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CEF1EF" w14:textId="77777777" w:rsidR="003431D2" w:rsidRPr="002F2FDF" w:rsidRDefault="003431D2" w:rsidP="0083075A">
      <w:pPr>
        <w:spacing w:after="0" w:line="240" w:lineRule="auto"/>
        <w:jc w:val="both"/>
        <w:rPr>
          <w:rFonts w:ascii="Times New Roman" w:hAnsi="Times New Roman" w:cs="Times New Roman"/>
          <w:b/>
          <w:bCs/>
          <w:color w:val="000000" w:themeColor="text1"/>
          <w:kern w:val="2"/>
          <w:sz w:val="16"/>
          <w:szCs w:val="16"/>
        </w:rPr>
      </w:pPr>
      <w:r w:rsidRPr="002F2FDF">
        <w:rPr>
          <w:rFonts w:ascii="Times New Roman" w:hAnsi="Times New Roman" w:cs="Times New Roman"/>
          <w:b/>
          <w:bCs/>
          <w:color w:val="000000" w:themeColor="text1"/>
          <w:kern w:val="2"/>
          <w:sz w:val="16"/>
          <w:szCs w:val="16"/>
        </w:rPr>
        <w:t>1917</w:t>
      </w:r>
    </w:p>
    <w:p w14:paraId="30243ABD" w14:textId="77777777" w:rsidR="00930008" w:rsidRPr="002F2FDF" w:rsidRDefault="00930008"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8EE382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5EC31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21C019" w14:textId="77777777" w:rsidR="00474654" w:rsidRPr="002F2FDF" w:rsidRDefault="00474654" w:rsidP="0083075A">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shd w:val="clear" w:color="auto" w:fill="FFFFFF"/>
        </w:rPr>
        <w:t>К началу 1917 года на фронте числилось 724 наших самолета. Благодаря поставкам союзников у нас появились новые типы самолетов: Моран-монокок, Ньюпор-10/11/12, Спад А.2, Фарман-27/30 (20019).</w:t>
      </w:r>
    </w:p>
    <w:p w14:paraId="52D353AD" w14:textId="77777777" w:rsidR="00474654" w:rsidRPr="002F2FDF" w:rsidRDefault="00474654" w:rsidP="0083075A">
      <w:pPr>
        <w:shd w:val="clear" w:color="auto" w:fill="FFFFFF"/>
        <w:spacing w:after="0" w:line="240" w:lineRule="auto"/>
        <w:jc w:val="both"/>
        <w:rPr>
          <w:rFonts w:ascii="Times New Roman" w:hAnsi="Times New Roman" w:cs="Times New Roman"/>
          <w:color w:val="000000" w:themeColor="text1"/>
          <w:sz w:val="16"/>
          <w:szCs w:val="16"/>
        </w:rPr>
      </w:pPr>
    </w:p>
    <w:p w14:paraId="103DF076" w14:textId="186489C9" w:rsidR="00474654" w:rsidRPr="002F2FDF" w:rsidRDefault="00474654" w:rsidP="0083075A">
      <w:pPr>
        <w:pStyle w:val="ae"/>
        <w:shd w:val="clear" w:color="auto" w:fill="FFFFFF"/>
        <w:spacing w:before="0" w:after="0"/>
        <w:jc w:val="both"/>
        <w:rPr>
          <w:color w:val="000000" w:themeColor="text1"/>
          <w:sz w:val="16"/>
          <w:szCs w:val="16"/>
        </w:rPr>
      </w:pPr>
      <w:r w:rsidRPr="002F2FDF">
        <w:rPr>
          <w:color w:val="000000" w:themeColor="text1"/>
          <w:sz w:val="16"/>
          <w:szCs w:val="16"/>
        </w:rPr>
        <w:t>На начало</w:t>
      </w:r>
      <w:r w:rsidR="00E52569">
        <w:rPr>
          <w:color w:val="000000" w:themeColor="text1"/>
          <w:sz w:val="16"/>
          <w:szCs w:val="16"/>
        </w:rPr>
        <w:t xml:space="preserve"> </w:t>
      </w:r>
      <w:r w:rsidRPr="002F2FDF">
        <w:rPr>
          <w:color w:val="000000" w:themeColor="text1"/>
          <w:sz w:val="16"/>
          <w:szCs w:val="16"/>
        </w:rPr>
        <w:t xml:space="preserve"> 1917 г. в России насчитывалось 14 самолетостроительных предприятий, на которых было занято около 12</w:t>
      </w:r>
      <w:r w:rsidR="00E52569">
        <w:rPr>
          <w:color w:val="000000" w:themeColor="text1"/>
          <w:sz w:val="16"/>
          <w:szCs w:val="16"/>
        </w:rPr>
        <w:t xml:space="preserve"> </w:t>
      </w:r>
      <w:r w:rsidRPr="002F2FDF">
        <w:rPr>
          <w:color w:val="000000" w:themeColor="text1"/>
          <w:sz w:val="16"/>
          <w:szCs w:val="16"/>
        </w:rPr>
        <w:t xml:space="preserve"> тыс. рабочих; производство авиационных двигателей было налажено на 7 заводах, насчитывающих</w:t>
      </w:r>
      <w:r w:rsidR="00E52569">
        <w:rPr>
          <w:color w:val="000000" w:themeColor="text1"/>
          <w:sz w:val="16"/>
          <w:szCs w:val="16"/>
        </w:rPr>
        <w:t xml:space="preserve"> </w:t>
      </w:r>
      <w:r w:rsidRPr="002F2FDF">
        <w:rPr>
          <w:color w:val="000000" w:themeColor="text1"/>
          <w:sz w:val="16"/>
          <w:szCs w:val="16"/>
        </w:rPr>
        <w:t xml:space="preserve"> около 3,5 тыс. рабочих. Перед войной юыло всего 15 заводов и мастерских. Выдача казенных заказов и специальные меры поддержки отечественной промышленности, безусловно, стимулировали развитие производства и заводское строительство в области авиации Таким образом, всего на 21 русском авиационном предприятии трудилось</w:t>
      </w:r>
      <w:r w:rsidR="00E52569">
        <w:rPr>
          <w:color w:val="000000" w:themeColor="text1"/>
          <w:sz w:val="16"/>
          <w:szCs w:val="16"/>
        </w:rPr>
        <w:t xml:space="preserve"> </w:t>
      </w:r>
      <w:r w:rsidRPr="002F2FDF">
        <w:rPr>
          <w:color w:val="000000" w:themeColor="text1"/>
          <w:sz w:val="16"/>
          <w:szCs w:val="16"/>
        </w:rPr>
        <w:t xml:space="preserve"> 15,5 тыс. рабочих (</w:t>
      </w:r>
      <w:r w:rsidRPr="002F2FDF">
        <w:rPr>
          <w:color w:val="000000" w:themeColor="text1"/>
          <w:sz w:val="16"/>
          <w:szCs w:val="16"/>
          <w:shd w:val="clear" w:color="auto" w:fill="FFFFFF"/>
        </w:rPr>
        <w:t>В число заводов не входят недостроенные предприятия. Количество заводов и численность рабочих</w:t>
      </w:r>
      <w:r w:rsidR="00E52569">
        <w:rPr>
          <w:color w:val="000000" w:themeColor="text1"/>
          <w:sz w:val="16"/>
          <w:szCs w:val="16"/>
          <w:shd w:val="clear" w:color="auto" w:fill="FFFFFF"/>
        </w:rPr>
        <w:t xml:space="preserve"> </w:t>
      </w:r>
      <w:r w:rsidRPr="002F2FDF">
        <w:rPr>
          <w:color w:val="000000" w:themeColor="text1"/>
          <w:sz w:val="16"/>
          <w:szCs w:val="16"/>
          <w:shd w:val="clear" w:color="auto" w:fill="FFFFFF"/>
        </w:rPr>
        <w:t xml:space="preserve"> установлены на основе подсчетов данных</w:t>
      </w:r>
      <w:r w:rsidR="00E52569">
        <w:rPr>
          <w:color w:val="000000" w:themeColor="text1"/>
          <w:sz w:val="16"/>
          <w:szCs w:val="16"/>
          <w:shd w:val="clear" w:color="auto" w:fill="FFFFFF"/>
        </w:rPr>
        <w:t xml:space="preserve"> </w:t>
      </w:r>
      <w:r w:rsidRPr="002F2FDF">
        <w:rPr>
          <w:color w:val="000000" w:themeColor="text1"/>
          <w:sz w:val="16"/>
          <w:szCs w:val="16"/>
          <w:shd w:val="clear" w:color="auto" w:fill="FFFFFF"/>
        </w:rPr>
        <w:t xml:space="preserve"> заводских совещаний</w:t>
      </w:r>
      <w:r w:rsidR="00E52569">
        <w:rPr>
          <w:color w:val="000000" w:themeColor="text1"/>
          <w:sz w:val="16"/>
          <w:szCs w:val="16"/>
          <w:shd w:val="clear" w:color="auto" w:fill="FFFFFF"/>
        </w:rPr>
        <w:t xml:space="preserve"> </w:t>
      </w:r>
      <w:r w:rsidRPr="002F2FDF">
        <w:rPr>
          <w:color w:val="000000" w:themeColor="text1"/>
          <w:sz w:val="16"/>
          <w:szCs w:val="16"/>
          <w:shd w:val="clear" w:color="auto" w:fill="FFFFFF"/>
        </w:rPr>
        <w:t xml:space="preserve"> и сведений УВВФ. РГВИА. Ф. 369. Оп. 1. Д. 471, 568; Там же. Оп. 8. Д. 43, 51; Там же. Оп. 21. Д. 145; Там же. Ф. 493. Оп. 9. Д. 493</w:t>
      </w:r>
      <w:r w:rsidRPr="002F2FDF">
        <w:rPr>
          <w:color w:val="000000" w:themeColor="text1"/>
          <w:sz w:val="16"/>
          <w:szCs w:val="16"/>
        </w:rPr>
        <w:t>). Суммарная средняя производительность аэроплановых заводов в месяц в конце 1916 г. составляла 200 аппаратов (довоенная - 40), а моторных - около 100 двигателей (против 10-15 до войны) (</w:t>
      </w:r>
      <w:r w:rsidRPr="002F2FDF">
        <w:rPr>
          <w:color w:val="000000" w:themeColor="text1"/>
          <w:sz w:val="16"/>
          <w:szCs w:val="16"/>
          <w:shd w:val="clear" w:color="auto" w:fill="FFFFFF"/>
        </w:rPr>
        <w:t>РГВИА. Ф. 369. Оп. 8. Д. 74. Л. 18-18об.</w:t>
      </w:r>
      <w:r w:rsidRPr="002F2FDF">
        <w:rPr>
          <w:color w:val="000000" w:themeColor="text1"/>
          <w:sz w:val="16"/>
          <w:szCs w:val="16"/>
        </w:rPr>
        <w:t>) (21552).</w:t>
      </w:r>
    </w:p>
    <w:p w14:paraId="333EA5D3" w14:textId="77777777" w:rsidR="00474654" w:rsidRPr="002F2FDF" w:rsidRDefault="00474654" w:rsidP="0083075A">
      <w:pPr>
        <w:spacing w:after="0" w:line="240" w:lineRule="auto"/>
        <w:jc w:val="both"/>
        <w:rPr>
          <w:rFonts w:ascii="Times New Roman" w:hAnsi="Times New Roman" w:cs="Times New Roman"/>
          <w:color w:val="000000" w:themeColor="text1"/>
          <w:sz w:val="16"/>
          <w:szCs w:val="16"/>
          <w:shd w:val="clear" w:color="auto" w:fill="FFFFFF"/>
        </w:rPr>
      </w:pPr>
    </w:p>
    <w:p w14:paraId="0056CBCF" w14:textId="77777777" w:rsidR="00875F0C" w:rsidRPr="002F2FDF" w:rsidRDefault="00875F0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начало 1917 г. в России насчитывалось 14 самолетостроительных предприятий, на которых было занято около 12 тыс. рабочих; производство авиационных двигателей было налажено на 7 заводах, насчитывающих около 3,5 тыс. рабочих. Таким образом, всего на 21 русском авиационном предприятии трудилось 15,5 тыс. рабочих [В число заводов не входят недостроенные предприятия. Количество заводов и численность рабочих установлены на основе подсчетов данных заводских совещаний и сведений УВВФ. РГВИА. Ф. 369. Оп. 1. Д. 471, 568; Там же. Оп. 8. Д. 43, 51; Там же. Оп. 21. Д. 145; Там же. Ф. 493. Оп. 9. Д. 493.]. Суммарная средняя производительность аэроплановых заводов в месяц в конце 1916 г. составляла 200 аппаратов (довоенная - 40), а моторных - около 100 двигателей (против 10-15 до войны) [РГВИА. Ф. 369. Оп. 8. Д. 74. Л. 18-18об.].</w:t>
      </w:r>
    </w:p>
    <w:p w14:paraId="1CD58564" w14:textId="77777777" w:rsidR="00875F0C" w:rsidRPr="002F2FDF" w:rsidRDefault="00875F0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годы войны значительно расширились, используя прямую финансовую поддержку казны, предприятия акционерного общества воздухоплавания «В. А. Лебедев», учрежденного в 1913 г. одним из первых авиаторов России. Обществу первоначально принадлежало два завода в Петербурге - самолетостроительный и завод по производству воздушных винтов «Интеграл».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[Там же. Ф. 493. Оп. 9. Д. 56. Л. 200.] 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Моран-Солье, Депердюссен) с применением двигателя «Сальмсон». Производительность завода к середине 1917 г. достигла 40-50 аппаратов в месяц (против 10 до войны) [Там же. Ф. 369. Оп. 8. Д. 74. Л. 18.], однако и при этом общество имело задолженность по выполнению контрактов. </w:t>
      </w:r>
    </w:p>
    <w:p w14:paraId="466B01DB" w14:textId="77777777" w:rsidR="00875F0C" w:rsidRPr="002F2FDF" w:rsidRDefault="00875F0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[Там же. Ф. 493. Оп. 9. Д. 56.].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w:t>
      </w:r>
    </w:p>
    <w:p w14:paraId="1232FD16" w14:textId="77777777" w:rsidR="00875F0C" w:rsidRPr="002F2FDF" w:rsidRDefault="00875F0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числу первых самолетостроительных предприятий в России относился завод акционерного общества «Дукс», учрежденного в 1900 г. по инициативе Ю.А. Меллера.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4923F641" w14:textId="77777777" w:rsidR="00875F0C" w:rsidRPr="002F2FDF" w:rsidRDefault="00875F0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03AAFD79" w14:textId="77777777" w:rsidR="00875F0C" w:rsidRPr="002F2FDF" w:rsidRDefault="00875F0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расширению производства, в том числе и через новое строительство, стремились и другие российские самолетостроительные заводы.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 Там же. Оп. 9. Д. 41. Л. 14об., 16об.].</w:t>
      </w:r>
    </w:p>
    <w:p w14:paraId="51CAC6F9" w14:textId="77777777" w:rsidR="00875F0C" w:rsidRPr="002F2FDF" w:rsidRDefault="00875F0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Ведущим в группе южно-российских предприятий был авиационный завод банкира А.А. Анатра в Одессе. В годы войны на заводе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С целью получения более значительных новых заказов А.А. Анатра осуществил постройку нового завода в Симферополе с аэропланным и моторным отделениями. Сооружение предприятия началось в феврале 1916 г.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 Там же. Д. 56. Л. 200.].</w:t>
      </w:r>
    </w:p>
    <w:p w14:paraId="6B402B40" w14:textId="77777777" w:rsidR="00875F0C" w:rsidRPr="002F2FDF" w:rsidRDefault="00875F0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аэропланостроительного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w:t>
      </w:r>
    </w:p>
    <w:p w14:paraId="17C82C91" w14:textId="77777777" w:rsidR="00875F0C" w:rsidRPr="002F2FDF" w:rsidRDefault="00875F0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Моска, А.А. Пороховщикова, торгового дома Безобразова, технической конторы «И.И. Стеглау», товарищества Липецких аэропланостроительных мастерских [РГВИА. Ф. 493. Оп. 9. Д. 56. Л. 200; Там же. Ф. 369. Оп. 8. Д. 74. Л. 18; Там же. Ф. 493. Оп. 4. Д. 384].</w:t>
      </w:r>
    </w:p>
    <w:p w14:paraId="756262F5" w14:textId="77777777" w:rsidR="00875F0C" w:rsidRPr="002F2FDF" w:rsidRDefault="00875F0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A49ABE" w14:textId="77777777" w:rsidR="00EE66CD" w:rsidRPr="00EE66CD" w:rsidRDefault="00EE66CD" w:rsidP="0083075A">
      <w:pPr>
        <w:spacing w:after="0" w:line="240" w:lineRule="auto"/>
        <w:jc w:val="both"/>
        <w:rPr>
          <w:rFonts w:ascii="Times New Roman" w:hAnsi="Times New Roman" w:cs="Times New Roman"/>
          <w:color w:val="0070C0"/>
          <w:sz w:val="16"/>
          <w:szCs w:val="16"/>
        </w:rPr>
      </w:pPr>
      <w:r w:rsidRPr="00EE66CD">
        <w:rPr>
          <w:rFonts w:ascii="Times New Roman" w:hAnsi="Times New Roman" w:cs="Times New Roman"/>
          <w:color w:val="0070C0"/>
          <w:sz w:val="16"/>
          <w:szCs w:val="16"/>
        </w:rPr>
        <w:t>На 1917 г. по плану предусматривалось поставить фронту 6677 самолетов, и военное руководство щедро раздавало авиазаводам (в том числе и недостроенным) большие заказы. В России намечалось построить 3477 аэропланов, а остальные заказать за границей.</w:t>
      </w:r>
    </w:p>
    <w:p w14:paraId="71D119DA" w14:textId="77777777" w:rsidR="00EE66CD" w:rsidRPr="00EE66CD" w:rsidRDefault="00EE66CD" w:rsidP="0083075A">
      <w:pPr>
        <w:spacing w:after="0" w:line="240" w:lineRule="auto"/>
        <w:jc w:val="both"/>
        <w:rPr>
          <w:rFonts w:ascii="Times New Roman" w:hAnsi="Times New Roman" w:cs="Times New Roman"/>
          <w:color w:val="0070C0"/>
          <w:sz w:val="16"/>
          <w:szCs w:val="16"/>
        </w:rPr>
      </w:pPr>
      <w:r w:rsidRPr="00EE66CD">
        <w:rPr>
          <w:rFonts w:ascii="Times New Roman" w:hAnsi="Times New Roman" w:cs="Times New Roman"/>
          <w:color w:val="0070C0"/>
          <w:sz w:val="16"/>
          <w:szCs w:val="16"/>
        </w:rPr>
        <w:lastRenderedPageBreak/>
        <w:t>К заявкам Военно-воздушного флота добавились требования от моряков — им нужны были истребители для охраны баз гидросамолетов на Балтике. Созданная в 1916 г. летающая лодка-истребитель Д.П. Григоровича М-11 оказалась недостаточно скоростной и маневренной, и летом 1917 г. «Дукс» принял от Управления морской авиации заказы на 50 «Ньюпоров-10», 50 «Ньюпоров-17» и 10 новейших истребителей «Спад».</w:t>
      </w:r>
    </w:p>
    <w:p w14:paraId="7DD9AE30" w14:textId="77777777" w:rsidR="00EE66CD" w:rsidRPr="00EE66CD" w:rsidRDefault="00EE66CD" w:rsidP="0083075A">
      <w:pPr>
        <w:spacing w:after="0" w:line="240" w:lineRule="auto"/>
        <w:jc w:val="both"/>
        <w:rPr>
          <w:rFonts w:ascii="Times New Roman" w:hAnsi="Times New Roman" w:cs="Times New Roman"/>
          <w:color w:val="0070C0"/>
          <w:sz w:val="16"/>
          <w:szCs w:val="16"/>
        </w:rPr>
      </w:pPr>
      <w:r w:rsidRPr="00EE66CD">
        <w:rPr>
          <w:rFonts w:ascii="Times New Roman" w:hAnsi="Times New Roman" w:cs="Times New Roman"/>
          <w:color w:val="0070C0"/>
          <w:sz w:val="16"/>
          <w:szCs w:val="16"/>
        </w:rPr>
        <w:t>К этому времени сформировалась стандартная система оценки стоимости самолетов: за одноместную машину государство платило 13,5 тыс. руб., за одноместную – 11 тыс. (летающие лодки М-9 и М-15 обходились дороже — по 18 тыс. руб.). В эту стоимость не входили двигатель и пропеллер, их приобретало государство по цене 120 руб. за лошадиную силу. Согласно этим расценкам, авиационные заказы 1917 г. стоили государству более 100 млн руб.</w:t>
      </w:r>
    </w:p>
    <w:p w14:paraId="22FC5A28" w14:textId="77777777" w:rsidR="00EE66CD" w:rsidRPr="00EE66CD" w:rsidRDefault="00EE66CD" w:rsidP="0083075A">
      <w:pPr>
        <w:spacing w:after="0" w:line="240" w:lineRule="auto"/>
        <w:jc w:val="both"/>
        <w:rPr>
          <w:rFonts w:ascii="Times New Roman" w:hAnsi="Times New Roman" w:cs="Times New Roman"/>
          <w:color w:val="0070C0"/>
          <w:sz w:val="16"/>
          <w:szCs w:val="16"/>
        </w:rPr>
      </w:pPr>
      <w:r w:rsidRPr="00EE66CD">
        <w:rPr>
          <w:rFonts w:ascii="Times New Roman" w:hAnsi="Times New Roman" w:cs="Times New Roman"/>
          <w:color w:val="0070C0"/>
          <w:sz w:val="16"/>
          <w:szCs w:val="16"/>
        </w:rPr>
        <w:t>Среди намеченных к выпуску машин было четыре совершенно новых: английский разведчик «Сопвич», французские истребитель «Спад-7», разведчик «Спад-14» и многоцелевая летающая лодка «Телье». Остальные самолеты представляли собой уже производившиеся ранее модели или их модификации (23472).</w:t>
      </w:r>
    </w:p>
    <w:p w14:paraId="461B679A" w14:textId="77777777" w:rsidR="00EE66CD" w:rsidRPr="00EE66CD" w:rsidRDefault="00EE66CD" w:rsidP="0083075A">
      <w:pPr>
        <w:spacing w:after="0" w:line="240" w:lineRule="auto"/>
        <w:jc w:val="both"/>
        <w:rPr>
          <w:rFonts w:ascii="Times New Roman" w:hAnsi="Times New Roman" w:cs="Times New Roman"/>
          <w:color w:val="0070C0"/>
          <w:sz w:val="16"/>
          <w:szCs w:val="16"/>
        </w:rPr>
      </w:pPr>
    </w:p>
    <w:p w14:paraId="24626C31" w14:textId="77777777" w:rsidR="00EE66CD" w:rsidRPr="00EE66CD" w:rsidRDefault="00EE66CD" w:rsidP="0083075A">
      <w:pPr>
        <w:spacing w:after="0" w:line="240" w:lineRule="auto"/>
        <w:jc w:val="both"/>
        <w:rPr>
          <w:rFonts w:ascii="Times New Roman" w:hAnsi="Times New Roman" w:cs="Times New Roman"/>
          <w:color w:val="0070C0"/>
          <w:sz w:val="16"/>
          <w:szCs w:val="16"/>
        </w:rPr>
      </w:pPr>
      <w:r w:rsidRPr="00EE66CD">
        <w:rPr>
          <w:rFonts w:ascii="Times New Roman" w:hAnsi="Times New Roman" w:cs="Times New Roman"/>
          <w:color w:val="0070C0"/>
          <w:sz w:val="16"/>
          <w:szCs w:val="16"/>
        </w:rPr>
        <w:t>К началу 1917 г. начался дефицит материалов, комплектующих, инструмента, электроэнергии и топлива всех видов, что резко затормозило работу предприятия и сдачу самолетов М-5 в частности, т.к. основными считались М-9. Хотя производство М-5 продолжалось, летом 1917 г. приемка готовой продукции практически прекратилась, а затем вообще начался открытый саботаж.</w:t>
      </w:r>
    </w:p>
    <w:p w14:paraId="6EDD6732" w14:textId="77777777" w:rsidR="00EE66CD" w:rsidRPr="00EE66CD" w:rsidRDefault="00EE66CD" w:rsidP="0083075A">
      <w:pPr>
        <w:spacing w:after="0" w:line="240" w:lineRule="auto"/>
        <w:jc w:val="both"/>
        <w:rPr>
          <w:rFonts w:ascii="Times New Roman" w:hAnsi="Times New Roman" w:cs="Times New Roman"/>
          <w:color w:val="0070C0"/>
          <w:sz w:val="16"/>
          <w:szCs w:val="16"/>
        </w:rPr>
      </w:pPr>
      <w:r w:rsidRPr="00EE66CD">
        <w:rPr>
          <w:rFonts w:ascii="Times New Roman" w:hAnsi="Times New Roman" w:cs="Times New Roman"/>
          <w:color w:val="0070C0"/>
          <w:sz w:val="16"/>
          <w:szCs w:val="16"/>
        </w:rPr>
        <w:t>До прекращения работы, завод ПРТВ построил менее 300 самолетов М-5, из которых было облетано и сдано, вероятно, немногим более 250, а остальные остались на территории предприятия и постепенно оказались разукомплектованы или пришли в негодность и требовали ремонта и замены отдельных частей и агрегатов, что делалось уже в советское время на заводе ГАЗ-3, см. ниже.</w:t>
      </w:r>
    </w:p>
    <w:p w14:paraId="3ECCC95F" w14:textId="77777777" w:rsidR="00EE66CD" w:rsidRPr="00EE66CD" w:rsidRDefault="00EE66CD" w:rsidP="0083075A">
      <w:pPr>
        <w:spacing w:after="0" w:line="240" w:lineRule="auto"/>
        <w:jc w:val="both"/>
        <w:rPr>
          <w:rFonts w:ascii="Times New Roman" w:hAnsi="Times New Roman" w:cs="Times New Roman"/>
          <w:color w:val="0070C0"/>
          <w:sz w:val="16"/>
          <w:szCs w:val="16"/>
        </w:rPr>
      </w:pPr>
      <w:r w:rsidRPr="00EE66CD">
        <w:rPr>
          <w:rFonts w:ascii="Times New Roman" w:hAnsi="Times New Roman" w:cs="Times New Roman"/>
          <w:color w:val="0070C0"/>
          <w:sz w:val="16"/>
          <w:szCs w:val="16"/>
        </w:rPr>
        <w:t>Руководство заводом ПРТВ к середине 1917 г. было нарушено, тем не менее, задел готовой полностью или частично продукции удалось сохранить в т.ч. и благодаря усилиям управляющего заводом Д.П. Григоровича (23594).</w:t>
      </w:r>
    </w:p>
    <w:p w14:paraId="5156240B" w14:textId="77777777" w:rsidR="00EE66CD" w:rsidRPr="00EE66CD" w:rsidRDefault="00EE66CD" w:rsidP="0083075A">
      <w:pPr>
        <w:spacing w:after="0" w:line="240" w:lineRule="auto"/>
        <w:jc w:val="both"/>
        <w:rPr>
          <w:rFonts w:ascii="Times New Roman" w:hAnsi="Times New Roman" w:cs="Times New Roman"/>
          <w:color w:val="0070C0"/>
          <w:sz w:val="16"/>
          <w:szCs w:val="16"/>
        </w:rPr>
      </w:pPr>
    </w:p>
    <w:p w14:paraId="56C91FFA" w14:textId="77777777" w:rsidR="00EE66CD" w:rsidRPr="00FB4F67" w:rsidRDefault="00EE66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1917 г. строительство цехов симферопольского авиазавода было в основном завершено. Но заказанное за рубежом оборудование так и не прибыло. В результате завод не смог начать выпуск авиадвигателей, а из 550 заказанных самолетов до конца года сумел изготовить только 50 истребителей «Ньюпор-17». Их приняли в российскую казну без испытания в полете, т. к. не было двигателей. Еще 80 «Ньюпоров» к моменту оккупации Крыма немцами весной 1918 г. находились в полуготовом состоянии.</w:t>
      </w:r>
    </w:p>
    <w:p w14:paraId="7CDC92AF" w14:textId="77777777" w:rsidR="00EE66CD" w:rsidRPr="00FB4F67" w:rsidRDefault="00EE66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Авиационный завод Анатра под Симферополем начали возводить в 1916 на правительства безвозмездной помощи в 300 тыс. руб. и беспроцентной ссуды на такую же сумму. От города к стройплощадке проложили железнодорожную ветку. Кроме самолетов, завод должен был выпускать двигатели «Испано-Сюиза» для истребителей «Спад» и гидросамолетов «Телье». Для этого во Франции и Испании закупили оборудование и полуфабрикаты. Построенные из кирпича и железобетона производственные корпуса и склады имели общую площадь 13650 м2 — больше, чем у Анатры в Одессе. Общее число станков по плану должно составлять 150 единиц, число сварочных постов — 18, рабочих — 700 человек, расчетная производительность — 60 самолетов и 60 моторов в месяц.</w:t>
      </w:r>
    </w:p>
    <w:p w14:paraId="34F42DC0" w14:textId="77777777" w:rsidR="00EE66CD" w:rsidRPr="00FB4F67" w:rsidRDefault="00EE66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Одновременно с симферопольским заводом на окраине Таганрога на берегу Азовского моря возводились корпуса авиационного завода В.А. Лебедева, рассчитанного на выпуск 70 самолетов в месяц. На строительство была получена беспроцентная ссуда на 800 тыс. руб. Предприятие спроектировали по передовой технологии. Работа должна была вестись одновременно на двух сборочных линиях: для сухопутных самолетов и для морских. К сборочному цеху примыкали два крыла, где изготавливали части сухопутных и морских самолетов. Это напоминало поточную систему на современном самолетостроительном заводе. Большая территория, наличие аэродрома, хороший морской спуск, близость металлургической и топливной баз, водные и железнодорожные пути сообщения — все это открывало перед новым предприятием Лебедева широкие перспективы развития. По плану завод должен был быть пущен в ход в сентябре 1917 г. (23472).</w:t>
      </w:r>
    </w:p>
    <w:p w14:paraId="168BE110" w14:textId="77777777" w:rsidR="00EE66CD" w:rsidRPr="00FB4F67" w:rsidRDefault="00EE66CD" w:rsidP="0083075A">
      <w:pPr>
        <w:spacing w:after="0" w:line="240" w:lineRule="auto"/>
        <w:jc w:val="both"/>
        <w:rPr>
          <w:rFonts w:ascii="Times New Roman" w:hAnsi="Times New Roman" w:cs="Times New Roman"/>
          <w:color w:val="0070C0"/>
          <w:sz w:val="16"/>
          <w:szCs w:val="16"/>
        </w:rPr>
      </w:pPr>
    </w:p>
    <w:p w14:paraId="56ACD4FA" w14:textId="77777777" w:rsidR="00EE66CD" w:rsidRPr="00FB4F67" w:rsidRDefault="00EE66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1917 году Anatra выпускала восемьдесят самолетов в месяц. В июне 1917 г. на заводе работало 1380 рабочих. В Анатре работали французский инженер А. Декан (EA Des Campes) (отсюда и обозначение самолета D) и В.Н. Хиони, который разделял обязанности заводского пилота.</w:t>
      </w:r>
    </w:p>
    <w:p w14:paraId="3F7359E8" w14:textId="77777777" w:rsidR="00EE66CD" w:rsidRPr="00FB4F67" w:rsidRDefault="00EE66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Anatra D (Anade) (Dekan) был двухместным разведчиком с двигателем Gnome Monosaupe мощностью 100 л.с., вооруженным одним 7,62-мм пулеметом для наблюдателя. Опытный образец прошел испытания в декабре 1915 года. 9 мая 1916 года Анатра получила заказ Главного военно-технического командования (ГВТУ) на восемьдесят самолетов. 28 мая 1916 года был построен первый серийный самолет, который вскоре поступил на фронт. Всего было доставлено 170 Anatra D. На 13 апреля 1917 года на передовой находилось 76 Анатра Д. В октябре 1916 года Военное министерство разместило заказ на 400 Анатра Д, 250 из которых должны были быть построены в Одессе, а остальные 150 - в недавно открытом филиале в Симферополе в Крыму. Считается, что только 200 из них были фактически завершены. Поставки начались только в середине 1917 года, и, наконец, с конвейера сошло 15-20 штук в месяц.</w:t>
      </w:r>
    </w:p>
    <w:p w14:paraId="474CE003" w14:textId="77777777" w:rsidR="00EE66CD" w:rsidRPr="00FB4F67" w:rsidRDefault="00EE66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июне 1917 г. на 4-м артиллерийском АО шесть вновь поставленных Anatra D разбились при посадке или взлете из-за плохой остойчивости. Этот тип также страдал от плохого охлаждения двигателя. Около двадцати четырех самолетов Anatra D (Anakler или Anakle, что указывает на двигатели Clerget) были построены с двигателями Clerget мощностью 110 и 130 л.с.</w:t>
      </w:r>
    </w:p>
    <w:p w14:paraId="6B3ABEE9" w14:textId="77777777" w:rsidR="00EE66CD" w:rsidRPr="00FB4F67" w:rsidRDefault="00EE66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Известно, что Анатра Анадес служила во 2-м гвардейском КАО; 1, 3, 9, 12, 16, 17. 20-й, 28-й и 36-й КАО; 1-й Туркестанский КАО; 1-й, 2-й, 3-й, 6-й и 7-й Сибирские КАО; и АО 6-й армии и, возможно, другие части.</w:t>
      </w:r>
    </w:p>
    <w:p w14:paraId="47BAD918" w14:textId="77777777" w:rsidR="00EE66CD" w:rsidRPr="00FB4F67" w:rsidRDefault="00EE66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течение июня-июля 1916 г. конструкторы Anatra построили и испытали три экспериментальные модели: DE, истребитель-бомбардировщик-биплан с фюзеляжем Anatra D, тремя тракторными двигателями Rhone мощностью 80 л. . Они также испытали Анатра Вх (Анадва) (Анатра-Хиони), у которого было два фюзеляжа Анатра Д, установленных на нижнем крыле, с пулеметным кольцом, установленным на гондоле на верхнем крыле. Anatra DM (Anatra Monocoque) (Anamon) — истребитель-моноплан с двигателем Gnome мощностью 100 л.с. Все эти модели были единственными в своем роде и никогда не использовались.</w:t>
      </w:r>
    </w:p>
    <w:p w14:paraId="66274FA6" w14:textId="77777777" w:rsidR="00EE66CD" w:rsidRPr="00FB4F67" w:rsidRDefault="00EE66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Anatra DS (Anasal) был двухместным разведывательным самолетом с радиальным двигателем Salmson (Canton-Unne) мощностью 150 л. DS был запущен в производство с заказом на восемьдесят самолетов 26 апреля 1916 года. Первый испытательный полет состоялся 7 августа. Считается, что 60-70 из них были завершены по ориентировочной стоимости рупий. 12 000 (6 000 долларов США) каждый. Известно, что у DS были проблемы со стабильностью в полете. Он начал свою линию фронта службу летом 1917 года. 8 августа 1917 года Anatra получила заказ на 300 машин Anatra DS с двигателями Hispano-Suiza мощностью 200 л.с. (по 13 500 рублей за самолет), из которых, вероятно, было построено только сорок шесть. Некоторые анасалы служили в АО 4-й, 8-й и 11-й армий.</w:t>
      </w:r>
    </w:p>
    <w:p w14:paraId="0D277CA8" w14:textId="77777777" w:rsidR="00EE66CD" w:rsidRPr="00FB4F67" w:rsidRDefault="00EE66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Anatra DS с двигателем Salmson мощностью 160 л.с. В феврале 1917 г. существовал план заказа 400 машин ДСС летом 1917 г., но он остался нереализованным.</w:t>
      </w:r>
    </w:p>
    <w:p w14:paraId="3EE5FB58" w14:textId="77777777" w:rsidR="00EE66CD" w:rsidRPr="00FB4F67" w:rsidRDefault="00EE66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Anadis представлял собой модифицированную Anatra D с фюзеляжем типа «монокок» и двигателем Hispano-Suiza мощностью 150 л.с., который был испытан в ноябре 1916 года. Был построен только один самолет. На нем должен был лететь из Одессы через Румынию, Македонию и Италию во Францию пилот Штабс Капитан Макаров в ноябре 1917 года. На пути к Салоникам он был вынужден из-за неисправности двигателя приземлиться в Яссах в Румынии, и полет был прекращено.</w:t>
      </w:r>
    </w:p>
    <w:p w14:paraId="17E82F4B" w14:textId="77777777" w:rsidR="00EE66CD" w:rsidRPr="00FB4F67" w:rsidRDefault="00EE66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Анатра VI (Вуазен Иванова) разработана военным летчиком Подпоручиком П.Д. Иванов из 26-го КАО, модифицировавший ЛАС Voisin. В январе 1915 г. был получен контракт на поставку 139 самолетов в период с марта 1915 г. по март 1916 г. К концу войны было построено около 100 самолетов. Производство закончилось в середине 1918 года. В армейских отчетах упоминается десять небоевых аварий в 5-м Сибирском КАО в апреле 1917 года. Известно, что у него были серьезные проблемы с боковой устойчивостью и управляемостью.</w:t>
      </w:r>
    </w:p>
    <w:p w14:paraId="416B1F4C" w14:textId="77777777" w:rsidR="00EE66CD" w:rsidRPr="00FB4F67" w:rsidRDefault="00EE66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Анатра также производила различные французские типы по лицензии, из которых Симферопольский завод поставил в общей сложности пятьдесят самолетов, а Одесский завод построил 433 машины в 1916 году и 623 в 1917 году. Основными французскими типами были Voisin LAS, Farman IV, Farman VII, Farman. XVI, Morane-Saulnier Parasol, Nieuport X, Nieuport XVIIbis типов. В 1917 году французское правительство аннулировало заказ Анатры на Симферопольский завод, из-за чего там производилось небольшое количество машин.</w:t>
      </w:r>
    </w:p>
    <w:p w14:paraId="459C7249" w14:textId="77777777" w:rsidR="00EE66CD" w:rsidRPr="00FB4F67" w:rsidRDefault="00EE66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Примеры заказов Anatra - количество готовых/заказанных; 30 марта 1916 г. - 150 из 150 Anatra D; 9 мая 1916 г. - 65 из 80 Анатра Д; 25 декабря 1916 г. - 10 из 10 Morane G, 15 из 15 Farman 20; 27 декабря 1916 г. - три из 250 Anatra DS; 28 декабря 1916 г. - ни одного из 150 Anatra DS; 12 февраля 1917 г. - ни одного из 100 Nieuport XVII; 4 марта 1917 г. - семь из 80 "Фарман-20"; 23 октября 1917 г. - ни одного из 50 анадв, а трое из 40 кодронов.</w:t>
      </w:r>
    </w:p>
    <w:p w14:paraId="1DD945E5" w14:textId="77777777" w:rsidR="00EE66CD" w:rsidRPr="00FB4F67" w:rsidRDefault="00EE66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 Одесском заводе в 1914 г. работало 23 рабочих, в 1915 г. - 70, число рабочих увеличилось до 1100 в 1916 г. и 1450 в 1917 г. На Симферопольском заводе в 1916 г. работало 295 рабочих, а в 1917 г. - 635. С 1910 по 1913 г. Анатра произвела 137 рабочих. самолет. В 1914-1917 годах было построено около 1569 самолетов. В мае 1924 года завод Анатра в Одессе стал государственным ГАЗом. №7.</w:t>
      </w:r>
    </w:p>
    <w:p w14:paraId="335B20D5" w14:textId="77777777" w:rsidR="00EE66CD" w:rsidRPr="00FB4F67" w:rsidRDefault="00EE66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У «Анатры» также был завод в Симферополе, выпускавший авиадвигатели «Испано-Сюиза». Производственные данные неизвестны. Позже Симферопольский завод стал казенным ГАЗ №15.</w:t>
      </w:r>
    </w:p>
    <w:p w14:paraId="4A075F86" w14:textId="77777777" w:rsidR="00EE66CD" w:rsidRPr="00FB4F67" w:rsidRDefault="00EE66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14 марта 1918 г. австро-венгерские и немецкие войска захватили Одессу и заняли завод «Анатра», захватив 242 самолета, в том числе 111 «Анасалов», 63 «Анадеса», 68 «Фарман 30» (Фарсалов) (с двигателями «Сальмсон»). 12 апреля австро-венгры отдали заказ на 200 Anatra Anasals (теперь называемых Anatra C.I), но к октябрю было построено только 66 и отправлено в Fleks 3, 9, 11, 13 и 15 (учебные части).</w:t>
      </w:r>
    </w:p>
    <w:p w14:paraId="17E870D9" w14:textId="77777777" w:rsidR="00EE66CD" w:rsidRPr="00FB4F67" w:rsidRDefault="00EE66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ноябре 1918 года у австро-венгров было на хранении шестьдесят два самолета Anatra CI; из них тридцать один достался австрийцам, двадцать три - чехословакам и восемь - Венгрии. Когда они ушли из Одессы, на заводе «Анатра» оставалось 134 «Анасала». В течение января и февраля 1919 г. белые эвакуировали часть анасалов из Одессы в Новороссийск. В марте 1919 года красные захватили Одессу и обнаружили на заводе 40-50 самолетов. В апреле 1919 года красные в Одессе сформировали два АО, в каждом из которых были анасалы. Во время Гражданской войны в России симферопольский филиал Анатра производил и ремонтировал для белых несколько самолетов (23525).</w:t>
      </w:r>
    </w:p>
    <w:p w14:paraId="4B3DEE27" w14:textId="77777777" w:rsidR="00EE66CD" w:rsidRPr="00FB4F67" w:rsidRDefault="00EE66CD" w:rsidP="0083075A">
      <w:pPr>
        <w:spacing w:after="0" w:line="240" w:lineRule="auto"/>
        <w:jc w:val="both"/>
        <w:rPr>
          <w:rFonts w:ascii="Times New Roman" w:hAnsi="Times New Roman" w:cs="Times New Roman"/>
          <w:color w:val="0070C0"/>
          <w:sz w:val="16"/>
          <w:szCs w:val="16"/>
        </w:rPr>
      </w:pPr>
    </w:p>
    <w:p w14:paraId="5A7B3841" w14:textId="77777777" w:rsidR="00875F0C" w:rsidRPr="002F2FDF" w:rsidRDefault="00875F0C" w:rsidP="0083075A">
      <w:pPr>
        <w:pStyle w:val="ae"/>
        <w:shd w:val="clear" w:color="auto" w:fill="FFFFFF"/>
        <w:spacing w:before="0" w:after="0"/>
        <w:jc w:val="both"/>
        <w:rPr>
          <w:color w:val="000000" w:themeColor="text1"/>
          <w:sz w:val="16"/>
          <w:szCs w:val="16"/>
        </w:rPr>
      </w:pPr>
      <w:r w:rsidRPr="002F2FDF">
        <w:rPr>
          <w:color w:val="000000" w:themeColor="text1"/>
          <w:sz w:val="16"/>
          <w:szCs w:val="16"/>
        </w:rPr>
        <w:lastRenderedPageBreak/>
        <w:t>На начало 1917 г. на заводе «Моска» числилось 64 служащих и 260 рабочих, его площадь была 6 962 м2 , в том числе 2 142 метра составляли здания, самым большим из которых был ангар на Ходынском поле. Этого для обеспечения программы выпуска было мало, и Моска хронически срывал плановые сроки поставки контрактных самолетов. Дела пошли еще хуже, когда начались перебои с поставками материалов и комплектующих (22754).</w:t>
      </w:r>
    </w:p>
    <w:p w14:paraId="4429FB24" w14:textId="77777777" w:rsidR="00875F0C" w:rsidRPr="002F2FDF" w:rsidRDefault="00875F0C" w:rsidP="0083075A">
      <w:pPr>
        <w:pStyle w:val="ae"/>
        <w:shd w:val="clear" w:color="auto" w:fill="FFFFFF"/>
        <w:spacing w:before="0" w:after="0"/>
        <w:jc w:val="both"/>
        <w:rPr>
          <w:color w:val="000000" w:themeColor="text1"/>
          <w:sz w:val="16"/>
          <w:szCs w:val="16"/>
        </w:rPr>
      </w:pPr>
    </w:p>
    <w:p w14:paraId="12843155" w14:textId="77777777" w:rsidR="00EE66CD" w:rsidRPr="00FB4F67" w:rsidRDefault="00EE66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началу 1917 г. завод Моска сдал заказанные в 1916 г. 12 МБ бис сдали. Последние из 15 «Фарман- IV» сдали в феврале 1917 г. Дальнейшее выполнение заказов шло весьма медленно. К апрелю количество рабочих на заводе уменьшилось до 190—180 человек. До на</w:t>
      </w:r>
      <w:r w:rsidRPr="00FB4F67">
        <w:rPr>
          <w:rFonts w:ascii="Times New Roman" w:hAnsi="Times New Roman" w:cs="Times New Roman"/>
          <w:color w:val="0070C0"/>
          <w:sz w:val="16"/>
          <w:szCs w:val="16"/>
        </w:rPr>
        <w:softHyphen/>
        <w:t>ступления летних событий заводу Моска удалось закончить еще 10 МБ бис из боль</w:t>
      </w:r>
      <w:r w:rsidRPr="00FB4F67">
        <w:rPr>
          <w:rFonts w:ascii="Times New Roman" w:hAnsi="Times New Roman" w:cs="Times New Roman"/>
          <w:color w:val="0070C0"/>
          <w:sz w:val="16"/>
          <w:szCs w:val="16"/>
        </w:rPr>
        <w:softHyphen/>
        <w:t>шого заказа (125 экз.) (23374).</w:t>
      </w:r>
    </w:p>
    <w:p w14:paraId="74654D76" w14:textId="77777777" w:rsidR="00EE66CD" w:rsidRPr="00FB4F67" w:rsidRDefault="00EE66CD" w:rsidP="0083075A">
      <w:pPr>
        <w:spacing w:after="0" w:line="240" w:lineRule="auto"/>
        <w:jc w:val="both"/>
        <w:rPr>
          <w:rFonts w:ascii="Times New Roman" w:hAnsi="Times New Roman" w:cs="Times New Roman"/>
          <w:color w:val="0070C0"/>
          <w:sz w:val="16"/>
          <w:szCs w:val="16"/>
        </w:rPr>
      </w:pPr>
    </w:p>
    <w:p w14:paraId="6D59A1EC" w14:textId="77777777" w:rsidR="00EE66CD" w:rsidRPr="00FB4F67" w:rsidRDefault="00EE66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началу 1917 года производство на РБВЗ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22A5D6E5" w14:textId="77777777" w:rsidR="00EE66CD" w:rsidRPr="00FB4F67" w:rsidRDefault="00EE66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4F31C1EB" w14:textId="77777777" w:rsidR="00EE66CD" w:rsidRPr="00FB4F67" w:rsidRDefault="00EE66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М. В. Шидловский и его сын Михаил были застрелены красногвардейцами 14 января 1921 г. при попытке бегства через границу в Финляндию (23125).</w:t>
      </w:r>
    </w:p>
    <w:p w14:paraId="42E92D16" w14:textId="77777777" w:rsidR="00EE66CD" w:rsidRPr="00FB4F67" w:rsidRDefault="00EE66CD" w:rsidP="0083075A">
      <w:pPr>
        <w:spacing w:after="0" w:line="240" w:lineRule="auto"/>
        <w:jc w:val="both"/>
        <w:rPr>
          <w:rFonts w:ascii="Times New Roman" w:hAnsi="Times New Roman" w:cs="Times New Roman"/>
          <w:color w:val="0070C0"/>
          <w:sz w:val="16"/>
          <w:szCs w:val="16"/>
        </w:rPr>
      </w:pPr>
    </w:p>
    <w:p w14:paraId="199472A4" w14:textId="77777777" w:rsidR="00875F0C" w:rsidRPr="002F2FDF" w:rsidRDefault="00875F0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color w:val="000000" w:themeColor="text1"/>
          <w:kern w:val="2"/>
          <w:sz w:val="16"/>
          <w:szCs w:val="16"/>
        </w:rPr>
        <w:t>К</w:t>
      </w:r>
      <w:r w:rsidRPr="002F2FDF">
        <w:rPr>
          <w:rFonts w:ascii="Times New Roman" w:hAnsi="Times New Roman" w:cs="Times New Roman"/>
          <w:color w:val="000000" w:themeColor="text1"/>
          <w:kern w:val="2"/>
          <w:sz w:val="16"/>
          <w:szCs w:val="16"/>
        </w:rPr>
        <w:t xml:space="preserve"> началу 1917 г. в Эскадре находилось в эксплуатации 14-15 самолетов С-16, то в канун октябрьской революции в летном состоянии их оставалось не более шести. Они достались в феврале 1918 г. австро-германским войскам, отсупавшим в Винницу, а затем находились в составе украинизированной “Эскадры повiтровiх кораблiв” , прекратившей свое существование осенью того же года. 0 применении С-16сер. в ЭВК сохранилось очень мало информаций. Главное внимание в боевой деятельности этого подразделения уделялось полетам воздушных кора6лей “Илья Муромец” . Малые самолеты в ЭВК выполняли вспомогательные функции и не имели даже собственных экипажей. С-16сер. преимущественно использовались для учебных целей в школе ЭВК и тренировочных полетов в боевых отрядах “муромцев” , Там, в отличие от истребительных авиаотрядов, отношение к С-16сер, было вполне доброжелательным. Опытному персоналу хорошо оборудованных мастерских ЭВК удалось устранить под непосредственным руководством И. И. Сикорского и Г. И. Лаврова ряд недостатков С-16сер., вызванных небрежностью сборки и отсутствием на заводе кондиционных материалов. Пилотажные характеристики хорошо отрегулированного самолета были столь высокими, что С-16сер. широко использовались для обучения на них начинающих пилотов. Многие прославившиеся впоследствии летчики прошли подготовку в школе ЭВК на С-16. Так, “артиллерийский офицер” воздушного корабля “Илья Муромец “капитан А. Н. Журавченко, ставший позднее профессором, крупнейшим советским специалистом по динамике полета, сдал 11 ноября 1916 г. на С-16сер. экзамен на звание военного летчика. До этого он совершил часовой самостоятельный полет, поднявшись на высоту 2670 м и спустившись по спирали на место взлета. Ведущим инструктором по обучению полетам на С-16сер. был поручик А, А. Кованько. В боевых отрядах ЭВК самолеты С-16сер. использовались для тренировок летчиков с целью сбережения ресурса “муромцев” и для связи с другими отрядами и базой ЭВК. Известно также, что летчики “муромцев” поднимались на приписанных к боевым отрядам “Сикорских-маленьких” для перехвата вражеских самолетов, совершавших налеты на аэродромы базирования воздушных кораблей, но сведений о каких-либо выдающихся победах не имеется. Главной причиной ограниченного применения С-16сер. в качестве истребителей-перехватчиков в ЭВК, так же как и в истребительных авиаотрядах, было отсутствие мощных двигателей. Эскадра получила ля своих легких самолетов только “ремонтно” моторы, да и то с огромным трудом. Августейший заведующий “легкой” авиацией наотрез отказывался делиться новейшими двигателями с истребителями “тяжелой” авиации, не без злорадства напоминая управлению Военно воздушного Флота (ВВФ) , что в 1915 г. генерал Шидловский “отрицал необходимость охраны “муромцев” истребителями” , доказывая их высокую боевую неуязвимость. Великий Князь не хотел учитывать, что на дворе стоял уже 1917 год и “муромцам” нужны были истребители хотя бы для прикрытия мест базирования. В результате на С-16сер. в ЭВК ставились двигатели, которые удавалось “выбить” для официально утвержденных учебных самолетов эскадренной школы. Это были подержанные моторы “Гном” , “Рон” и “Калеп” различной мощности. Например, в ноябре 1917 г. “долгожителю” Nо. 202 эксплуатировался с “Гномом” в 50 л. с., снятым со старого учебного “Фармана1Ч” . Были проблемы также и с вооружением самолетов. В связи с недостаточной надежностью синхронизаторов Лаврова пулеметы на С-16сер. перенесли в процессе эксплуатации на верхнее крыло, Пулеметы, кстати, также были “ремонтные” , т.е. добытые всеми правдами и неправдами благодаря связям М, В. Шидловского после ремонта на Тульском оружейном заводе, Естественно, оснащенные слабосильными моторами и недостаточно эффективным вооружением, эскадренные С-16сер. оказывали на противника больше моральное, чем боевое воздействие. Поднявшись с аэродрома базирования отряда “муромцев” , они могли спугнуть вражеский бомбардировщик, но догнать и связать его боем были уже не в состоянии. Самолеты С-15сер. показали пример исключительного по тем временам “долгожительство” . Их “служба” не прекратилась с падением Украинской Народной Республики, уже в 1918 г. летчики переправили всеми правдами и неправдами часть войскового авиационного имущества на Дон в формируемую Добровольческую Армию. Особенно много удалось захватить в 1919 г., когда Вооруженные Силы Юга России заняли большую часть фкраины (11188).</w:t>
      </w:r>
    </w:p>
    <w:p w14:paraId="6EFEB9E5" w14:textId="77777777" w:rsidR="00875F0C" w:rsidRPr="002F2FDF" w:rsidRDefault="00875F0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6C6A05" w14:textId="77777777" w:rsidR="00474654" w:rsidRPr="002F2FDF" w:rsidRDefault="00474654" w:rsidP="0083075A">
      <w:pPr>
        <w:pStyle w:val="ae"/>
        <w:shd w:val="clear" w:color="auto" w:fill="FFFFFF"/>
        <w:spacing w:before="0" w:after="0"/>
        <w:jc w:val="both"/>
        <w:rPr>
          <w:color w:val="000000" w:themeColor="text1"/>
          <w:sz w:val="16"/>
          <w:szCs w:val="16"/>
        </w:rPr>
      </w:pPr>
      <w:r w:rsidRPr="002F2FDF">
        <w:rPr>
          <w:color w:val="000000" w:themeColor="text1"/>
          <w:sz w:val="16"/>
          <w:szCs w:val="16"/>
        </w:rPr>
        <w:t>К началу 1917 г. доля самолетов с русских предприятий составляла около 80 %, а моторов – 30 %. Важным результатом заводского строительства в 1914-1917 гг. было создание тех основ авиастроения, которые позволили отечественной авиации добиться значительных успехов в конце 1920- 1930-е гг. В период индустриализации самолетостроительные и моторные заводы, построенные или реконструированные в годы Первой мировой войны, явились базой для создания мощной советской авиационной промышленности как высокоразвитой отрасли народного хозяйства (21522).</w:t>
      </w:r>
    </w:p>
    <w:p w14:paraId="2B2BF78B" w14:textId="77777777" w:rsidR="00474654" w:rsidRPr="002F2FDF" w:rsidRDefault="00474654" w:rsidP="0083075A">
      <w:pPr>
        <w:pStyle w:val="ae"/>
        <w:shd w:val="clear" w:color="auto" w:fill="FFFFFF"/>
        <w:spacing w:before="0" w:after="0"/>
        <w:jc w:val="both"/>
        <w:rPr>
          <w:color w:val="000000" w:themeColor="text1"/>
          <w:sz w:val="16"/>
          <w:szCs w:val="16"/>
        </w:rPr>
      </w:pPr>
    </w:p>
    <w:p w14:paraId="3126F6BE"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года в целом, российской авиации удалось сократить качественный разрыв с авиацией противника. Некоторое отставание с перевооруждением было вызвано зависимостью производства от поставок комплектующих из-за рубежа (11184).</w:t>
      </w:r>
    </w:p>
    <w:p w14:paraId="3ED4B2BC"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D9BC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 доля самолетов с русских предприятий составляла около 80 %, а моторов – 30 %. Важным результатом заводского строительства в 1914-1917 гг. было создание тех основ авиастроения, которые позволили отечественной авиации добиться значительных успехов в конце 1920- 1930-е гг. В период индустриализации самолетостроительные и моторные заводы, построенные или реконструированные в годы Первой мировой войны, явились базой для создания мощной советской авиационной промышленности как высокоразвитой отрасли народного хозяйства (11863).</w:t>
      </w:r>
    </w:p>
    <w:p w14:paraId="3C29EA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1C2CFD" w14:textId="77777777" w:rsidR="00D40A22" w:rsidRPr="002F2FDF" w:rsidRDefault="00D40A2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 “Авиабалт” расширился и насчиты</w:t>
      </w:r>
      <w:r w:rsidRPr="002F2FDF">
        <w:rPr>
          <w:rFonts w:ascii="Times New Roman" w:hAnsi="Times New Roman" w:cs="Times New Roman"/>
          <w:color w:val="000000" w:themeColor="text1"/>
          <w:kern w:val="2"/>
          <w:sz w:val="16"/>
          <w:szCs w:val="16"/>
        </w:rPr>
        <w:softHyphen/>
        <w:t>вал уже 869 человек, т.е. его личный состав почти удво</w:t>
      </w:r>
      <w:r w:rsidRPr="002F2FDF">
        <w:rPr>
          <w:rFonts w:ascii="Times New Roman" w:hAnsi="Times New Roman" w:cs="Times New Roman"/>
          <w:color w:val="000000" w:themeColor="text1"/>
          <w:kern w:val="2"/>
          <w:sz w:val="16"/>
          <w:szCs w:val="16"/>
        </w:rPr>
        <w:softHyphen/>
        <w:t>ился по сравнению с концом 1915 г. На Калашниковской набережной Петрограда АО РБВЗ строило специальный завод авиационных двигателей, что позволило бы уве</w:t>
      </w:r>
      <w:r w:rsidRPr="002F2FDF">
        <w:rPr>
          <w:rFonts w:ascii="Times New Roman" w:hAnsi="Times New Roman" w:cs="Times New Roman"/>
          <w:color w:val="000000" w:themeColor="text1"/>
          <w:kern w:val="2"/>
          <w:sz w:val="16"/>
          <w:szCs w:val="16"/>
        </w:rPr>
        <w:softHyphen/>
        <w:t>личить объемы производства всех других отделений фирмы. Эффективному использованию производственных мощностей “Авиабалта” мешала его тесная связь с Эска</w:t>
      </w:r>
      <w:r w:rsidRPr="002F2FDF">
        <w:rPr>
          <w:rFonts w:ascii="Times New Roman" w:hAnsi="Times New Roman" w:cs="Times New Roman"/>
          <w:color w:val="000000" w:themeColor="text1"/>
          <w:kern w:val="2"/>
          <w:sz w:val="16"/>
          <w:szCs w:val="16"/>
        </w:rPr>
        <w:softHyphen/>
        <w:t>дрой Воздушных Кораблей. В ее мастерской, а по суще</w:t>
      </w:r>
      <w:r w:rsidRPr="002F2FDF">
        <w:rPr>
          <w:rFonts w:ascii="Times New Roman" w:hAnsi="Times New Roman" w:cs="Times New Roman"/>
          <w:color w:val="000000" w:themeColor="text1"/>
          <w:kern w:val="2"/>
          <w:sz w:val="16"/>
          <w:szCs w:val="16"/>
        </w:rPr>
        <w:softHyphen/>
        <w:t>ству, настоящем заводе, “Муромцы” практически непрерывно переделывались, ремонтировались. Экс</w:t>
      </w:r>
      <w:r w:rsidRPr="002F2FDF">
        <w:rPr>
          <w:rFonts w:ascii="Times New Roman" w:hAnsi="Times New Roman" w:cs="Times New Roman"/>
          <w:color w:val="000000" w:themeColor="text1"/>
          <w:kern w:val="2"/>
          <w:sz w:val="16"/>
          <w:szCs w:val="16"/>
        </w:rPr>
        <w:softHyphen/>
        <w:t>тренные запросы на изготовление необходимых узлов и деталей, комплектующих, вносили дезорганизацию в производственные дела “Авиабалта”. Государственная Дума в докладе по авиации констатировала: “Русско-Балтийский воздухоплавательный завод обратился не в самостоятельное учреждение, а в мастерскую при аэро</w:t>
      </w:r>
      <w:r w:rsidRPr="002F2FDF">
        <w:rPr>
          <w:rFonts w:ascii="Times New Roman" w:hAnsi="Times New Roman" w:cs="Times New Roman"/>
          <w:color w:val="000000" w:themeColor="text1"/>
          <w:kern w:val="2"/>
          <w:sz w:val="16"/>
          <w:szCs w:val="16"/>
        </w:rPr>
        <w:softHyphen/>
        <w:t>дроме эскадры” (10667).</w:t>
      </w:r>
    </w:p>
    <w:p w14:paraId="66F6B1CF" w14:textId="77777777" w:rsidR="00D40A22" w:rsidRPr="002F2FDF" w:rsidRDefault="00D40A2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10527B" w14:textId="77777777" w:rsidR="00D40A22" w:rsidRPr="002F2FDF" w:rsidRDefault="00D40A22" w:rsidP="0083075A">
      <w:pPr>
        <w:spacing w:after="0" w:line="240" w:lineRule="auto"/>
        <w:jc w:val="both"/>
        <w:rPr>
          <w:rFonts w:ascii="Times New Roman" w:hAnsi="Times New Roman" w:cs="Times New Roman"/>
          <w:bCs/>
          <w:color w:val="000000" w:themeColor="text1"/>
          <w:kern w:val="2"/>
          <w:sz w:val="16"/>
          <w:szCs w:val="16"/>
        </w:rPr>
      </w:pPr>
      <w:r w:rsidRPr="002F2FDF">
        <w:rPr>
          <w:rFonts w:ascii="Times New Roman" w:hAnsi="Times New Roman" w:cs="Times New Roman"/>
          <w:bCs/>
          <w:color w:val="000000" w:themeColor="text1"/>
          <w:kern w:val="2"/>
          <w:sz w:val="16"/>
          <w:szCs w:val="16"/>
        </w:rPr>
        <w:t>К началу 1917 г. десять серийных экземпляров ИМ тип «Д» (№ 226-235) были почти наполовину готовы. Конструктор планировал наладить серийный выпуск двух внешне подобных бомбардировщиков - тяжелого типа «Е», о котором речь пойдет ниже, и более легкого типа «Д». С новыми мощными двигателями по 300-400 л. с. ДИМы могли стать неплохими бомбардировщиками. 1917 г. спутал все планы, и опытный № 225 был отправлен на фронт, но только в 1919 г. в Красный дивизион воздушных кораблей (15127).</w:t>
      </w:r>
    </w:p>
    <w:p w14:paraId="0A38EAF7" w14:textId="77777777" w:rsidR="00D40A22" w:rsidRPr="002F2FDF" w:rsidRDefault="00D40A22" w:rsidP="0083075A">
      <w:pPr>
        <w:spacing w:after="0" w:line="240" w:lineRule="auto"/>
        <w:jc w:val="both"/>
        <w:rPr>
          <w:rFonts w:ascii="Times New Roman" w:hAnsi="Times New Roman" w:cs="Times New Roman"/>
          <w:bCs/>
          <w:color w:val="000000" w:themeColor="text1"/>
          <w:kern w:val="2"/>
          <w:sz w:val="16"/>
          <w:szCs w:val="16"/>
        </w:rPr>
      </w:pPr>
    </w:p>
    <w:p w14:paraId="449AB4A3"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 сооружение основных цехов симферопольского филиала, находившегося в Одессе авиационного завода А. Анатра, было почти закончено. А. Анатра обязался наряду с самолетами приступить к производству мощных двигателей водяного охлаждения “Испано-Сюиза” (9705).</w:t>
      </w:r>
    </w:p>
    <w:p w14:paraId="7E109FD0"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CFDD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1917 г. фирма Лебедева построила пять авиационных заводов в Петрограде, Ярославле, Рыбинске, Пензе и Таганроге. Октябрьскую революцию Лебедев не понял и не принял. Уехал на юг. Некоторое время он был Министром торговли и промышленности Всевеликого Войска Донского, затем Министром (управляющим отделом) промышленности и торговли в правительстве (Особом совещании) при Верховном руководителе Добровольческой армии. Потом эмигрирует из России в Сербию, потом во Францию. За заслуги перед Французской республикой в развитии авиации В.А. Лебедев был награжден орденом Почетного Легиона. Он скончался в Париже на 68-м году жизни в 1947 г. и похоронен том же на знаменитом русском кладбище Сен-Женевьев де Буа (12044).</w:t>
      </w:r>
    </w:p>
    <w:p w14:paraId="676425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F68476"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начала 1917 года Ольховский получили двигатель «Рон» большей мощности (в 110 л. с), с которым «Торпедо» должен был иметь значительно лучшие данные. Примерно к тому же времени сделали и доставили в 5-й авиапарк воздушный винт системы Ольховского. Это двухлопастный полый металлический пропеллер диаметром 2,6 м. Он был установлен на самолете вместе с новым мотором взамен 80-сильного двигателя и деревянного винта диаметром 2,5 м. Из-за перестановки и доработки винтомоторной группы (мотор был закрыт снаружи кольцом Тауненда с нижним вырезом в 90°, характерным для ротативных двигателей, а втулка винта -широким тупым коком) несколько изменилась центровка самолета, а из-за увеличения диаметра винта уменьшалось расстояние от концов лопастей до земли. Вследствие этого Ольховский поставил самолет на более высокое шасси с заменой и перестановкой заделки стоек и некоторым передним выносом от колес.</w:t>
      </w:r>
    </w:p>
    <w:p w14:paraId="174465C8"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отремонтированной и усиленной хвостовой части фюзеляжа было установлено другое вертикальное оперение, по типу «Моран-Сольнье» (возможно, взятое с готового самолета). Для увеличения максимальной скорости полета уменьшен размах крыла с 10,2 м до 8,5 м за счет обрезания его законцовок. При столь небольшом крыле конструктор довел нагрузку до 50 кг/м</w:t>
      </w:r>
      <w:r w:rsidRPr="002F2FDF">
        <w:rPr>
          <w:rFonts w:ascii="Times New Roman" w:hAnsi="Times New Roman" w:cs="Times New Roman"/>
          <w:color w:val="000000" w:themeColor="text1"/>
          <w:kern w:val="2"/>
          <w:sz w:val="16"/>
          <w:szCs w:val="16"/>
          <w:vertAlign w:val="superscript"/>
        </w:rPr>
        <w:t>2</w:t>
      </w:r>
      <w:r w:rsidRPr="002F2FDF">
        <w:rPr>
          <w:rFonts w:ascii="Times New Roman" w:hAnsi="Times New Roman" w:cs="Times New Roman"/>
          <w:color w:val="000000" w:themeColor="text1"/>
          <w:kern w:val="2"/>
          <w:sz w:val="16"/>
          <w:szCs w:val="16"/>
        </w:rPr>
        <w:t>. Вес пустой машины с неподвижным пулеметом и синхронизатором стрельбы практически не изменился и составлял 500 кг.</w:t>
      </w:r>
    </w:p>
    <w:p w14:paraId="36016500"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Самолет был готов для полетов к весне 1917 года. Для испытаний моноплана «Торпедо» создали специальную комиссию под председательством капитана Николая Евграфовича Попова (1878-1929), в состав которой вошли известные в ту пору летчики Сергей Карлович Модрах*, Александр Прокофьев-Северский, Слепцов, Альбрехт и другие. С 6 по 20 марта1917 года комиссия провела всесторонние испытания нового истребителя.</w:t>
      </w:r>
    </w:p>
    <w:p w14:paraId="6E8C8571"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A1CD87" w14:textId="77777777" w:rsidR="00474654" w:rsidRPr="002F2FDF" w:rsidRDefault="00474654" w:rsidP="0083075A">
      <w:pPr>
        <w:pStyle w:val="ae"/>
        <w:shd w:val="clear" w:color="auto" w:fill="FFFFFF"/>
        <w:spacing w:before="0" w:after="0"/>
        <w:jc w:val="both"/>
        <w:rPr>
          <w:color w:val="000000" w:themeColor="text1"/>
          <w:sz w:val="16"/>
          <w:szCs w:val="16"/>
        </w:rPr>
      </w:pPr>
      <w:r w:rsidRPr="002F2FDF">
        <w:rPr>
          <w:color w:val="000000" w:themeColor="text1"/>
          <w:sz w:val="16"/>
          <w:szCs w:val="16"/>
        </w:rPr>
        <w:t>К началу 1917 г. в цехах завода «Русский Рено», учредителями которого выступили член Государственной думы Л.В. Половцев и французский подданный Поль Сико, трудилось около 2 тыс. рабочих. Целью общества были производство и продажа автомобилей, автомобильных и авиационных двигателей, эксплуатация автомобилей и прочее. В 1914 - 1916 гг. обществом был построен и первоклассно оборудован в Петрограде завод, осуществлявший сборку, испытание авиадвигателей «Рено» и изготовление запасных частей к ним. На заводе действовало и автомобильное отделение. Всего на предприятии размещалось 770 станков.  Несмотря на эти обстоятельства, производительность предприятия была невелика - всего 10 моторов в месяц (РГВИА. Ф. 493. Оп. 9. Д. 56. Л. 200; РГАЭ. Ф. 4086 (Главное управление металлической промышленности ВСНХ СССР). Оп. 10. Д. 3. Л. 131 (21522).</w:t>
      </w:r>
    </w:p>
    <w:p w14:paraId="08566187" w14:textId="77777777" w:rsidR="00474654" w:rsidRPr="002F2FDF" w:rsidRDefault="00474654" w:rsidP="0083075A">
      <w:pPr>
        <w:pStyle w:val="ae"/>
        <w:shd w:val="clear" w:color="auto" w:fill="FFFFFF"/>
        <w:spacing w:before="0" w:after="0"/>
        <w:jc w:val="both"/>
        <w:rPr>
          <w:color w:val="000000" w:themeColor="text1"/>
          <w:sz w:val="16"/>
          <w:szCs w:val="16"/>
        </w:rPr>
      </w:pPr>
      <w:bookmarkStart w:id="0" w:name="_Hlk83383752"/>
      <w:r w:rsidRPr="002F2FDF">
        <w:rPr>
          <w:color w:val="000000" w:themeColor="text1"/>
          <w:sz w:val="16"/>
          <w:szCs w:val="16"/>
        </w:rPr>
        <w:t>В ноябре 1915 г. обществом «Русский Рено» был заключен контракт с ГВТУ на поставку 150 моторов типа «Рено», по которому предусматривалось сооружение еще одного моторного завода. Завод начал строиться в Рыбинске, где это же общество строило автомобильный завод. Военное ведомство оказало широкую материальную помощь обществу в деле постройки авиамоторного завода. Правлению «Русский Рено» был выдан аванс в 1620 тыс. руб. Кроме того, для покупки необходимого оборудования за границей обществу была предоставлена соответствующая валюта</w:t>
      </w:r>
      <w:hyperlink r:id="rId6" w:anchor="_edn63" w:history="1">
        <w:r w:rsidRPr="002F2FDF">
          <w:rPr>
            <w:rStyle w:val="a5"/>
            <w:rFonts w:eastAsiaTheme="majorEastAsia"/>
            <w:color w:val="000000" w:themeColor="text1"/>
            <w:sz w:val="16"/>
            <w:szCs w:val="16"/>
          </w:rPr>
          <w:t>[63]</w:t>
        </w:r>
      </w:hyperlink>
      <w:r w:rsidRPr="002F2FDF">
        <w:rPr>
          <w:color w:val="000000" w:themeColor="text1"/>
          <w:sz w:val="16"/>
          <w:szCs w:val="16"/>
        </w:rPr>
        <w:t>. Хотя значительная часть зданий нового завода была построена, но завершить оборудование его не удалось по причине задержек в поступлении станков и механизмов из-за границы (21552).</w:t>
      </w:r>
    </w:p>
    <w:p w14:paraId="74E83555" w14:textId="77777777" w:rsidR="00474654" w:rsidRPr="002F2FDF" w:rsidRDefault="00474654" w:rsidP="0083075A">
      <w:pPr>
        <w:pStyle w:val="ae"/>
        <w:shd w:val="clear" w:color="auto" w:fill="FFFFFF"/>
        <w:spacing w:before="0" w:after="0"/>
        <w:jc w:val="both"/>
        <w:rPr>
          <w:color w:val="000000" w:themeColor="text1"/>
          <w:sz w:val="16"/>
          <w:szCs w:val="16"/>
        </w:rPr>
      </w:pPr>
    </w:p>
    <w:bookmarkEnd w:id="0"/>
    <w:p w14:paraId="1FE83517" w14:textId="77777777" w:rsidR="00D40A22" w:rsidRPr="002F2FDF" w:rsidRDefault="00D40A2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 на заводе Мотор в Москве работали 330 человек. Этот завод стал первым российским предприятием, наладившим выпуск авиамоторов, и был создан в Риге летом 1910 г. К началу 1914 г. завод производил по 13-14 двигателей в месяц. Завод «Мотор» после начала войны получил крупные заказы, но в 1915 г. из-за подхода немецких войск к Риге его пришлось эвакуировать в Москву. Там производство возобновили, выпуская примерно по 20 дви</w:t>
      </w:r>
      <w:r w:rsidRPr="002F2FDF">
        <w:rPr>
          <w:rFonts w:ascii="Times New Roman" w:hAnsi="Times New Roman" w:cs="Times New Roman"/>
          <w:color w:val="000000" w:themeColor="text1"/>
          <w:kern w:val="2"/>
          <w:sz w:val="16"/>
          <w:szCs w:val="16"/>
        </w:rPr>
        <w:softHyphen/>
        <w:t>гателей в месяц (11852).</w:t>
      </w:r>
    </w:p>
    <w:p w14:paraId="2A4982B5" w14:textId="77777777" w:rsidR="00D40A22" w:rsidRPr="002F2FDF" w:rsidRDefault="00D40A2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281AF1" w14:textId="77777777" w:rsidR="00D40A22" w:rsidRPr="002F2FDF" w:rsidRDefault="00D40A2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 на заводе “Сальмсон” было около 300 рабочих, а производительность дошла до 100 двигателей в месяц. По количеству продукции это был лучший завод в России (11852).</w:t>
      </w:r>
    </w:p>
    <w:p w14:paraId="5A9E6A70" w14:textId="77777777" w:rsidR="00D40A22" w:rsidRPr="002F2FDF" w:rsidRDefault="00D40A2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37152D" w14:textId="77777777" w:rsidR="009665DE" w:rsidRPr="002F2FDF" w:rsidRDefault="009665DE"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К началу 1917 г. на «Сальмсоне» было занято около 300 рабочих. Завод общества «Сальмсон» построен в 1915 г. в Москве за Семеновской заставой. Завод собирал из привезенных из-за границы частей звездообразные девятицилиндровые двигатели с водяным охлаждением типа «Сальмсон» мощностью 130…160 л.с. Основным потребителем продукции предприятия являлся авиационный завод «Дукс». Производительность завода достигала 50 авиадвигателей в месяц. Производство авиамоторов имело свою специфику и требовало от рабочих высокой квалификации. Как на заводе «Сальмсон», так и на «Гном-Рон» на работу принимали далеко не всех желающих, а только тех, кто был способен сдать пробную работу. За месяц такие мастера зарабатывали по 50…70 рублей, в три-четыре раза больше, чем в среднем по Москве (19015).</w:t>
      </w:r>
    </w:p>
    <w:p w14:paraId="163408F0" w14:textId="77777777" w:rsidR="009665DE" w:rsidRPr="002F2FDF" w:rsidRDefault="009665DE" w:rsidP="0083075A">
      <w:pPr>
        <w:spacing w:after="0" w:line="240" w:lineRule="auto"/>
        <w:jc w:val="both"/>
        <w:rPr>
          <w:rFonts w:ascii="Times New Roman" w:hAnsi="Times New Roman" w:cs="Times New Roman"/>
          <w:sz w:val="16"/>
          <w:szCs w:val="16"/>
        </w:rPr>
      </w:pPr>
    </w:p>
    <w:p w14:paraId="0A663131" w14:textId="77777777" w:rsidR="00D40A22" w:rsidRPr="002F2FDF" w:rsidRDefault="00D40A2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 некоторые второстепенные детали стали делать на месте, завод на заводе “Сальмсон” вы</w:t>
      </w:r>
      <w:r w:rsidRPr="002F2FDF">
        <w:rPr>
          <w:rFonts w:ascii="Times New Roman" w:hAnsi="Times New Roman" w:cs="Times New Roman"/>
          <w:color w:val="000000" w:themeColor="text1"/>
          <w:kern w:val="2"/>
          <w:sz w:val="16"/>
          <w:szCs w:val="16"/>
        </w:rPr>
        <w:softHyphen/>
        <w:t>пускал от 50 до 100 моторов в месяц (11852).</w:t>
      </w:r>
    </w:p>
    <w:p w14:paraId="0D79EADD"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33CD65" w14:textId="77777777" w:rsidR="00D40A22" w:rsidRPr="002F2FDF" w:rsidRDefault="00D40A2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 на “Сальмсоне” было занято около 300 рабочих. Произво</w:t>
      </w:r>
      <w:r w:rsidRPr="002F2FDF">
        <w:rPr>
          <w:rFonts w:ascii="Times New Roman" w:hAnsi="Times New Roman" w:cs="Times New Roman"/>
          <w:color w:val="000000" w:themeColor="text1"/>
          <w:kern w:val="2"/>
          <w:sz w:val="16"/>
          <w:szCs w:val="16"/>
        </w:rPr>
        <w:softHyphen/>
        <w:t>дительность завода достигала 50 авиа</w:t>
      </w:r>
      <w:r w:rsidRPr="002F2FDF">
        <w:rPr>
          <w:rFonts w:ascii="Times New Roman" w:hAnsi="Times New Roman" w:cs="Times New Roman"/>
          <w:color w:val="000000" w:themeColor="text1"/>
          <w:kern w:val="2"/>
          <w:sz w:val="16"/>
          <w:szCs w:val="16"/>
        </w:rPr>
        <w:softHyphen/>
        <w:t>двигателей в месяц. Производство авиамоторов имело свою специфику и требовало от рабо</w:t>
      </w:r>
      <w:r w:rsidRPr="002F2FDF">
        <w:rPr>
          <w:rFonts w:ascii="Times New Roman" w:hAnsi="Times New Roman" w:cs="Times New Roman"/>
          <w:color w:val="000000" w:themeColor="text1"/>
          <w:kern w:val="2"/>
          <w:sz w:val="16"/>
          <w:szCs w:val="16"/>
        </w:rPr>
        <w:softHyphen/>
        <w:t>чих высокой квалификации. Как на заводе “Сальмсон”, так и на “Гном-Рон” на работу принимали далеко не всех желающих, а только тех, кто был спо</w:t>
      </w:r>
      <w:r w:rsidRPr="002F2FDF">
        <w:rPr>
          <w:rFonts w:ascii="Times New Roman" w:hAnsi="Times New Roman" w:cs="Times New Roman"/>
          <w:color w:val="000000" w:themeColor="text1"/>
          <w:kern w:val="2"/>
          <w:sz w:val="16"/>
          <w:szCs w:val="16"/>
        </w:rPr>
        <w:softHyphen/>
        <w:t>собен сдать пробную работу. За ме</w:t>
      </w:r>
      <w:r w:rsidRPr="002F2FDF">
        <w:rPr>
          <w:rFonts w:ascii="Times New Roman" w:hAnsi="Times New Roman" w:cs="Times New Roman"/>
          <w:color w:val="000000" w:themeColor="text1"/>
          <w:kern w:val="2"/>
          <w:sz w:val="16"/>
          <w:szCs w:val="16"/>
        </w:rPr>
        <w:softHyphen/>
        <w:t>сяц такие мастера зарабатывали по 50...70 рублей, в три-четыре раза больше, чем в среднем по Москве. Пос</w:t>
      </w:r>
      <w:r w:rsidRPr="002F2FDF">
        <w:rPr>
          <w:rFonts w:ascii="Times New Roman" w:hAnsi="Times New Roman" w:cs="Times New Roman"/>
          <w:color w:val="000000" w:themeColor="text1"/>
          <w:kern w:val="2"/>
          <w:sz w:val="16"/>
          <w:szCs w:val="16"/>
        </w:rPr>
        <w:softHyphen/>
        <w:t>ле февральской революции рабочие “Гном-Рона” выбрали заводской коми</w:t>
      </w:r>
      <w:r w:rsidRPr="002F2FDF">
        <w:rPr>
          <w:rFonts w:ascii="Times New Roman" w:hAnsi="Times New Roman" w:cs="Times New Roman"/>
          <w:color w:val="000000" w:themeColor="text1"/>
          <w:kern w:val="2"/>
          <w:sz w:val="16"/>
          <w:szCs w:val="16"/>
        </w:rPr>
        <w:softHyphen/>
        <w:t>тет. С установлением советской власти в Москве из военно-революционного комитета поступил приказ: арестовать директора завода француза Жермине за неуплату зарплаты рабочим и дер</w:t>
      </w:r>
      <w:r w:rsidRPr="002F2FDF">
        <w:rPr>
          <w:rFonts w:ascii="Times New Roman" w:hAnsi="Times New Roman" w:cs="Times New Roman"/>
          <w:color w:val="000000" w:themeColor="text1"/>
          <w:kern w:val="2"/>
          <w:sz w:val="16"/>
          <w:szCs w:val="16"/>
        </w:rPr>
        <w:softHyphen/>
        <w:t>жать его под арестом в рабочем каби</w:t>
      </w:r>
      <w:r w:rsidRPr="002F2FDF">
        <w:rPr>
          <w:rFonts w:ascii="Times New Roman" w:hAnsi="Times New Roman" w:cs="Times New Roman"/>
          <w:color w:val="000000" w:themeColor="text1"/>
          <w:kern w:val="2"/>
          <w:sz w:val="16"/>
          <w:szCs w:val="16"/>
        </w:rPr>
        <w:softHyphen/>
        <w:t>нете до тех пор, пока не урегулирует проблему. На девятый день ареста Жермине согласился заплатить, но после расчета все иностранцы поки</w:t>
      </w:r>
      <w:r w:rsidRPr="002F2FDF">
        <w:rPr>
          <w:rFonts w:ascii="Times New Roman" w:hAnsi="Times New Roman" w:cs="Times New Roman"/>
          <w:color w:val="000000" w:themeColor="text1"/>
          <w:kern w:val="2"/>
          <w:sz w:val="16"/>
          <w:szCs w:val="16"/>
        </w:rPr>
        <w:softHyphen/>
        <w:t>нули Москву, в том числе и мастера-французы. Завод остался без техни</w:t>
      </w:r>
      <w:r w:rsidRPr="002F2FDF">
        <w:rPr>
          <w:rFonts w:ascii="Times New Roman" w:hAnsi="Times New Roman" w:cs="Times New Roman"/>
          <w:color w:val="000000" w:themeColor="text1"/>
          <w:kern w:val="2"/>
          <w:sz w:val="16"/>
          <w:szCs w:val="16"/>
        </w:rPr>
        <w:softHyphen/>
        <w:t>ческих руководителей. Будущее пред</w:t>
      </w:r>
      <w:r w:rsidRPr="002F2FDF">
        <w:rPr>
          <w:rFonts w:ascii="Times New Roman" w:hAnsi="Times New Roman" w:cs="Times New Roman"/>
          <w:color w:val="000000" w:themeColor="text1"/>
          <w:kern w:val="2"/>
          <w:sz w:val="16"/>
          <w:szCs w:val="16"/>
        </w:rPr>
        <w:softHyphen/>
        <w:t>приятия оказалось под угрозой (11156).</w:t>
      </w:r>
    </w:p>
    <w:p w14:paraId="735B5C80" w14:textId="77777777" w:rsidR="00D40A22" w:rsidRPr="002F2FDF" w:rsidRDefault="00D40A2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F89F47"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 на заводе Сальмсон было занято около 300 рабочих. Производительность завода достигала 50 авиадвигателей в месяц. В отдельные месяцы удавалось собирать до 100 единиц. Завод сдал военному ведомству около 400 двигателей “Сальмсон”. Качество двигателей русского производства мало отличалось от заграничных, но они имели и существенные недостатки (9745).</w:t>
      </w:r>
    </w:p>
    <w:p w14:paraId="6703152C"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502387" w14:textId="77777777" w:rsidR="00D40A22" w:rsidRPr="002F2FDF" w:rsidRDefault="00D40A22"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К началу 1917 г. на заводе Сальмсон работало около 300 рабочих, месячная производительность достигала 50 моторов, в отдельные месяцы выпуск доходил до 100 единиц. Всего завод сдал военному ведомству около 400 «Сальмсонов», причем качество не слишком отличалось от заграничных. Вместе с тем, проявлялись и специфические недостатки. Так В.М.Ткачев, инспектируя авиаотряды армий Юго-Западного фронта в начале 1917 г., отмечал «капризную работу» русских «Сальмсонов», у которых ломались шестерни пусковых магнето. В середине 1917 г. завод «Сальмсон» серьезно пострадал от пожара, а в конце года был полностью дезорганизован отъездом на родину французского персонала (15464).</w:t>
      </w:r>
    </w:p>
    <w:p w14:paraId="296FFD7C" w14:textId="77777777" w:rsidR="00D40A22" w:rsidRPr="002F2FDF" w:rsidRDefault="00D40A22" w:rsidP="0083075A">
      <w:pPr>
        <w:pStyle w:val="2"/>
        <w:spacing w:before="0" w:beforeAutospacing="0" w:after="0" w:afterAutospacing="0"/>
        <w:jc w:val="both"/>
        <w:rPr>
          <w:b w:val="0"/>
          <w:color w:val="000000" w:themeColor="text1"/>
          <w:kern w:val="2"/>
          <w:sz w:val="16"/>
          <w:szCs w:val="16"/>
        </w:rPr>
      </w:pPr>
    </w:p>
    <w:p w14:paraId="485C59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1917 г. Фабрика механической обработки дерева и изготовления воздушных винтов А.Ф. Засс расширила ассортимент продукции и была преобразована в самолетостроительный завод «Андреев-Ланцкой(Ланский) и К</w:t>
      </w:r>
      <w:r w:rsidRPr="002F2FDF">
        <w:rPr>
          <w:rFonts w:ascii="Times New Roman" w:hAnsi="Times New Roman" w:cs="Times New Roman"/>
          <w:color w:val="000000" w:themeColor="text1"/>
          <w:kern w:val="2"/>
          <w:sz w:val="16"/>
          <w:szCs w:val="16"/>
          <w:vertAlign w:val="superscript"/>
        </w:rPr>
        <w:t>0</w:t>
      </w:r>
      <w:r w:rsidRPr="002F2FDF">
        <w:rPr>
          <w:rFonts w:ascii="Times New Roman" w:hAnsi="Times New Roman" w:cs="Times New Roman"/>
          <w:color w:val="000000" w:themeColor="text1"/>
          <w:kern w:val="2"/>
          <w:sz w:val="16"/>
          <w:szCs w:val="16"/>
        </w:rPr>
        <w:t>» (Государственный деревообрабатывающий завод № 28 им. Каракозова, Фабрика механической обработки дерева и изготовления воздушных винтов А.Ф. Засс, Авиазавод «Андреев-Ланский и К°», Завод № 4 им. Каракозова Осоавиахима /г. Санкт-Петербург, Петроград ул. Волковская/).</w:t>
      </w:r>
    </w:p>
    <w:p w14:paraId="19D82E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Декретом СНК от 12.01.1918 г.</w:t>
      </w:r>
      <w:r w:rsidRPr="002F2FDF">
        <w:rPr>
          <w:rFonts w:ascii="Times New Roman" w:hAnsi="Times New Roman" w:cs="Times New Roman"/>
          <w:color w:val="000000" w:themeColor="text1"/>
          <w:kern w:val="2"/>
          <w:sz w:val="16"/>
          <w:szCs w:val="16"/>
          <w:vertAlign w:val="superscript"/>
        </w:rPr>
        <w:t>66</w:t>
      </w:r>
      <w:r w:rsidRPr="002F2FDF">
        <w:rPr>
          <w:rFonts w:ascii="Times New Roman" w:hAnsi="Times New Roman" w:cs="Times New Roman"/>
          <w:color w:val="000000" w:themeColor="text1"/>
          <w:kern w:val="2"/>
          <w:sz w:val="16"/>
          <w:szCs w:val="16"/>
        </w:rPr>
        <w:t xml:space="preserve"> завод национализирован и на его базе создан государственный деревообрабатывающий завод № 28 по изготовлению спортивного инвентаря. С 1922 г. заводу № 28 присвоено имя Каракозова, он находился в ведении Ленинградского Потребсоюза. В 1931 г. завод № 28 преобразован в судостроительный завод по мотоботам и катерам № 4 им. Каракозова в ведении Управления производственными предприятиями ЦС Осоавиахима (и на 1938 г.).</w:t>
      </w:r>
    </w:p>
    <w:p w14:paraId="158897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1930-х  г. построен головной катер ДТК проекта НИСС. Строил морские сторожевые катера КМ-2, КМ-5. Приказом № 195сс от 3.06.1938 г. заводу выдано задание на постройку в 1938 г. для строящейся Северной пристрелочной станции 15 деревянных катеров.</w:t>
      </w:r>
    </w:p>
    <w:p w14:paraId="341AEE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пост. СНК № 667 от 5.05.1940 г. и по приказу НКАП №465сс от 4.09.1940 г. на базе завода № 4 им. Каракозова, переданного из ЦС Осоавиахима, а также корпуса завода «Лентекстильмаш» (переданного из НКОМ по приказу № 551сс/ 261сс от 15.10 1940 г.) был образован ГС завод № 387 в системе 1ГУ НКАП (11982).</w:t>
      </w:r>
    </w:p>
    <w:p w14:paraId="084388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DEBA7A" w14:textId="5D42446F" w:rsidR="00436AFF" w:rsidRPr="002F2FDF" w:rsidRDefault="00436AF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началу 1917 г. «Авиабалт» расширился и насчитывал уже 869 человек, т. е. почти удвоился по сравнению с концом 1915 г. На Калашниковской набережной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Петрограда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АО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РБВЗ</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строило специальный завод авиационных двигателей, что позволило бы еще больше увеличить объемы производства всех других отделений фирмы. Эффективному использованию производственных мощностей «Авиабалта» мешала его тесная связь с Эскадрой воздушных кораблей. В ее фронтовой мастерской, а по существу, настоящем заводе, «Муромцы» практически непрерывно переделывались, ремонтировались. Экстренные запросы на изготовление необходимых узлов и деталей, комплектующих вносили дезорганизацию в производство «Авиабалта». Государственная дума в докладе по авиации констатировала: «Русско-Балтийский воздухоплавательный завод обратился не в самостоятельное учреждение, а в мастерскую при аэродроме Эскадры» (15125).</w:t>
      </w:r>
    </w:p>
    <w:p w14:paraId="78A49031" w14:textId="77777777" w:rsidR="00436AFF" w:rsidRPr="002F2FDF" w:rsidRDefault="00436AFF" w:rsidP="0083075A">
      <w:pPr>
        <w:spacing w:after="0" w:line="240" w:lineRule="auto"/>
        <w:jc w:val="both"/>
        <w:rPr>
          <w:rFonts w:ascii="Times New Roman" w:hAnsi="Times New Roman" w:cs="Times New Roman"/>
          <w:color w:val="000000" w:themeColor="text1"/>
          <w:kern w:val="2"/>
          <w:sz w:val="16"/>
          <w:szCs w:val="16"/>
        </w:rPr>
      </w:pPr>
    </w:p>
    <w:p w14:paraId="5C3C98A4" w14:textId="77777777" w:rsidR="00436AFF" w:rsidRPr="002F2FDF" w:rsidRDefault="00436AF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1917 г. заводская территория Дукс в плане похо</w:t>
      </w:r>
      <w:r w:rsidRPr="002F2FDF">
        <w:rPr>
          <w:rFonts w:ascii="Times New Roman" w:hAnsi="Times New Roman" w:cs="Times New Roman"/>
          <w:color w:val="000000" w:themeColor="text1"/>
          <w:kern w:val="2"/>
          <w:sz w:val="16"/>
          <w:szCs w:val="16"/>
        </w:rPr>
        <w:softHyphen/>
      </w:r>
      <w:r w:rsidRPr="002F2FDF">
        <w:rPr>
          <w:rStyle w:val="115pt0pt"/>
          <w:rFonts w:ascii="Times New Roman" w:hAnsi="Times New Roman" w:cs="Times New Roman"/>
          <w:b w:val="0"/>
          <w:color w:val="000000" w:themeColor="text1"/>
          <w:spacing w:val="0"/>
          <w:kern w:val="2"/>
          <w:sz w:val="16"/>
          <w:szCs w:val="16"/>
        </w:rPr>
        <w:t>дила</w:t>
      </w:r>
      <w:r w:rsidRPr="002F2FDF">
        <w:rPr>
          <w:rFonts w:ascii="Times New Roman" w:hAnsi="Times New Roman" w:cs="Times New Roman"/>
          <w:color w:val="000000" w:themeColor="text1"/>
          <w:kern w:val="2"/>
          <w:sz w:val="16"/>
          <w:szCs w:val="16"/>
        </w:rPr>
        <w:t xml:space="preserve"> на шахматную доску. Там, где воспользоваться правом долгосрочной аренды (ино</w:t>
      </w:r>
      <w:r w:rsidRPr="002F2FDF">
        <w:rPr>
          <w:rFonts w:ascii="Times New Roman" w:hAnsi="Times New Roman" w:cs="Times New Roman"/>
          <w:color w:val="000000" w:themeColor="text1"/>
          <w:kern w:val="2"/>
          <w:sz w:val="16"/>
          <w:szCs w:val="16"/>
        </w:rPr>
        <w:softHyphen/>
      </w:r>
      <w:r w:rsidRPr="002F2FDF">
        <w:rPr>
          <w:rStyle w:val="10pt0"/>
          <w:rFonts w:ascii="Times New Roman" w:hAnsi="Times New Roman" w:cs="Times New Roman"/>
          <w:b w:val="0"/>
          <w:color w:val="000000" w:themeColor="text1"/>
          <w:kern w:val="2"/>
          <w:sz w:val="16"/>
          <w:szCs w:val="16"/>
        </w:rPr>
        <w:t>гда—</w:t>
      </w:r>
      <w:r w:rsidRPr="002F2FDF">
        <w:rPr>
          <w:rFonts w:ascii="Times New Roman" w:hAnsi="Times New Roman" w:cs="Times New Roman"/>
          <w:color w:val="000000" w:themeColor="text1"/>
          <w:kern w:val="2"/>
          <w:sz w:val="16"/>
          <w:szCs w:val="16"/>
        </w:rPr>
        <w:t>до 1927 г.!) не удавалось, Ю.А. Брежнев, по-видимому, умело использовал высокое положение своего шу</w:t>
      </w:r>
      <w:r w:rsidRPr="002F2FDF">
        <w:rPr>
          <w:rFonts w:ascii="Times New Roman" w:hAnsi="Times New Roman" w:cs="Times New Roman"/>
          <w:color w:val="000000" w:themeColor="text1"/>
          <w:kern w:val="2"/>
          <w:sz w:val="16"/>
          <w:szCs w:val="16"/>
        </w:rPr>
        <w:softHyphen/>
        <w:t>рина А.Е. Кильштедта (15761).</w:t>
      </w:r>
    </w:p>
    <w:p w14:paraId="1BB8BAB3" w14:textId="77777777" w:rsidR="00436AFF" w:rsidRPr="002F2FDF" w:rsidRDefault="00436AFF" w:rsidP="0083075A">
      <w:pPr>
        <w:spacing w:after="0" w:line="240" w:lineRule="auto"/>
        <w:jc w:val="both"/>
        <w:rPr>
          <w:rFonts w:ascii="Times New Roman" w:hAnsi="Times New Roman" w:cs="Times New Roman"/>
          <w:color w:val="000000" w:themeColor="text1"/>
          <w:kern w:val="2"/>
          <w:sz w:val="16"/>
          <w:szCs w:val="16"/>
        </w:rPr>
      </w:pPr>
    </w:p>
    <w:p w14:paraId="18DF26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1917 году Сикорский усовершенствовал свою машину - заменил "Льюис" штурмана на второй крупнокалиберный пулемёт, поставил и третий "пятилинейный" - на верхнюю стрелковую точку; под крыльями разместил по полуавтоматической 37 мм пушке, с боекомплектом в 50 снарядов на ствол. Теперь для штурмовки использовалось не только 6 ракет, мелкокалиберная автоматическая пушка и 76,2мм безоткатки с малой скоростью снаряда и длительным процессом перезаряжания, но и 37мм мощные пушки, со скорострельностью до 55в/м, да и 12,7 мм пулемёт штурмана поджигал броневики и зенитные автомобили (11237).</w:t>
      </w:r>
    </w:p>
    <w:p w14:paraId="43E0E5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CB1C6E" w14:textId="77777777" w:rsidR="00474654" w:rsidRPr="002F2FDF" w:rsidRDefault="0047465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На первую половину 1917 г. для пополнения воздухоплавательных рот требовалось 207 аэростатов. Большие потери змейковых аэростатов были связаны также и с тем, что в условиях войны количество подготовленных кадров наблюдателей отставало от потребностей фронта. На этом сказывалось то, что для наблюдателей, помимо серьезных специальных знаний, немаловажное значение имела физическая закалка. Работа воздухоплавателя в сильный ветер осложнялась раскачиванием </w:t>
      </w:r>
      <w:r w:rsidRPr="002F2FDF">
        <w:rPr>
          <w:rFonts w:ascii="Times New Roman" w:hAnsi="Times New Roman" w:cs="Times New Roman"/>
          <w:color w:val="000000" w:themeColor="text1"/>
          <w:sz w:val="16"/>
          <w:szCs w:val="16"/>
        </w:rPr>
        <w:lastRenderedPageBreak/>
        <w:t>аэростата, что зачастую вызывало у него приступы морской болезни. Стало совершенно ясно, как незаменим для наблюдения за стрельбой артиллерии аэростат. По требованию командиров корпусов аэростаты стали передаваться в ведение командиров артиллерийских дивизионов. В 1915 г. последовал приказ, согласно которому наблюдательные станции крепостных рот переформировывались в полевые воздухоплавательные роты. В середине года насчитывалось уже не менее 25-ти таких рот. Каждая армия получила 2-3 роты, подчиненные инспектору артиллерии корпуса. В первой половине 1917 г. воздухоплавательные роты были переформированы в армейские и корпусные воздухоплавательные отряды, сведенные в 14 воздухоплавательных дивизионов. На каждом фронте организован воздухоплавательный парк, осуществлявший ремонт материальной части и снабжение воздухоплавательных дивизионов химическими материалами. Для военных воздухоплавателей принята та же организационная структура, что и для авиаторов. В действующей армии было 88 воздухоплавательных отрядов (59 корпусных и 29 армейских), 2 крепостные воздухоплавательные роты (Ревельская и Свеаборгская), каждая с тремя наблюдательными станциями. Всего на вооружении состояло около 200 змейковых аэростатов. Воздухоплавательные части и парки насчитывали 700 офицеров, 28 тыс. солдат. Число воздухоплавательных аппаратов не удовлетворяло потребностей русской армии, отставало как от противника, так и от своих союзников. Во французской армии, например, на каждый километр фронта приходился один аэростат. У союзников станции со змейковыми аэростатами надежно прикрывались огнем зенитной артиллерии и истребительной авиацией (22857).</w:t>
      </w:r>
    </w:p>
    <w:p w14:paraId="340E80C1" w14:textId="77777777" w:rsidR="00474654" w:rsidRPr="002F2FDF" w:rsidRDefault="00474654" w:rsidP="0083075A">
      <w:pPr>
        <w:spacing w:after="0" w:line="240" w:lineRule="auto"/>
        <w:jc w:val="both"/>
        <w:rPr>
          <w:rFonts w:ascii="Times New Roman" w:hAnsi="Times New Roman" w:cs="Times New Roman"/>
          <w:color w:val="000000" w:themeColor="text1"/>
          <w:sz w:val="16"/>
          <w:szCs w:val="16"/>
        </w:rPr>
      </w:pPr>
    </w:p>
    <w:p w14:paraId="25DE0847" w14:textId="77777777" w:rsidR="00436AFF" w:rsidRPr="002F2FDF" w:rsidRDefault="00436AF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 все боевые самолеты российского ВВФ были оснащены диаграммами (по 18 диаграмм в комплекте) с надписью: «Секретно. При спуске в районе неприятеля уничтожить».</w:t>
      </w:r>
    </w:p>
    <w:p w14:paraId="51F054D9" w14:textId="77777777" w:rsidR="00436AFF" w:rsidRPr="002F2FDF" w:rsidRDefault="00436AF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инструкции, прилагавшейся к диаграмме, указывалось: «По вертикаль</w:t>
      </w:r>
      <w:r w:rsidRPr="002F2FDF">
        <w:rPr>
          <w:rFonts w:ascii="Times New Roman" w:hAnsi="Times New Roman" w:cs="Times New Roman"/>
          <w:color w:val="000000" w:themeColor="text1"/>
          <w:kern w:val="2"/>
          <w:sz w:val="16"/>
          <w:szCs w:val="16"/>
        </w:rPr>
        <w:softHyphen/>
        <w:t>ному направлению в диаграмме отложены высоты, а по горизонтальному — углы прицела. Каждая кривая диаграмм отвечает определенной скорости аэро</w:t>
      </w:r>
      <w:r w:rsidRPr="002F2FDF">
        <w:rPr>
          <w:rFonts w:ascii="Times New Roman" w:hAnsi="Times New Roman" w:cs="Times New Roman"/>
          <w:color w:val="000000" w:themeColor="text1"/>
          <w:kern w:val="2"/>
          <w:sz w:val="16"/>
          <w:szCs w:val="16"/>
        </w:rPr>
        <w:softHyphen/>
        <w:t>плана относительно земли. Для пользования диаграммами должно знать соб</w:t>
      </w:r>
      <w:r w:rsidRPr="002F2FDF">
        <w:rPr>
          <w:rFonts w:ascii="Times New Roman" w:hAnsi="Times New Roman" w:cs="Times New Roman"/>
          <w:color w:val="000000" w:themeColor="text1"/>
          <w:kern w:val="2"/>
          <w:sz w:val="16"/>
          <w:szCs w:val="16"/>
        </w:rPr>
        <w:softHyphen/>
        <w:t>ственную скорость и высоту аэроплана, время падения бомбы. По собствен</w:t>
      </w:r>
      <w:r w:rsidRPr="002F2FDF">
        <w:rPr>
          <w:rFonts w:ascii="Times New Roman" w:hAnsi="Times New Roman" w:cs="Times New Roman"/>
          <w:color w:val="000000" w:themeColor="text1"/>
          <w:kern w:val="2"/>
          <w:sz w:val="16"/>
          <w:szCs w:val="16"/>
        </w:rPr>
        <w:softHyphen/>
        <w:t>ной скорости аэроплана и времени падения бомбы с высоты 2000 м отыскива</w:t>
      </w:r>
      <w:r w:rsidRPr="002F2FDF">
        <w:rPr>
          <w:rFonts w:ascii="Times New Roman" w:hAnsi="Times New Roman" w:cs="Times New Roman"/>
          <w:color w:val="000000" w:themeColor="text1"/>
          <w:kern w:val="2"/>
          <w:sz w:val="16"/>
          <w:szCs w:val="16"/>
        </w:rPr>
        <w:softHyphen/>
        <w:t>ем диаграмму. На ней по величине скорости аэроплана относительно земли находим кривую, по высоте находим горизонтальную линию и по вертикали, проходящей через пересечение этой горизонтальной линии с найденной кри</w:t>
      </w:r>
      <w:r w:rsidRPr="002F2FDF">
        <w:rPr>
          <w:rFonts w:ascii="Times New Roman" w:hAnsi="Times New Roman" w:cs="Times New Roman"/>
          <w:color w:val="000000" w:themeColor="text1"/>
          <w:kern w:val="2"/>
          <w:sz w:val="16"/>
          <w:szCs w:val="16"/>
        </w:rPr>
        <w:softHyphen/>
        <w:t>вой, — значение угла прицела. К диаграмме прилагался круговой указатель, позволявший определять абсолютную скорость полета летательного аппара</w:t>
      </w:r>
      <w:r w:rsidRPr="002F2FDF">
        <w:rPr>
          <w:rFonts w:ascii="Times New Roman" w:hAnsi="Times New Roman" w:cs="Times New Roman"/>
          <w:color w:val="000000" w:themeColor="text1"/>
          <w:kern w:val="2"/>
          <w:sz w:val="16"/>
          <w:szCs w:val="16"/>
        </w:rPr>
        <w:softHyphen/>
        <w:t>та.</w:t>
      </w:r>
    </w:p>
    <w:p w14:paraId="0BF3E67F" w14:textId="77777777" w:rsidR="00436AFF" w:rsidRPr="002F2FDF" w:rsidRDefault="00436AF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то время ни один из воздушных фло</w:t>
      </w:r>
      <w:r w:rsidRPr="002F2FDF">
        <w:rPr>
          <w:rFonts w:ascii="Times New Roman" w:hAnsi="Times New Roman" w:cs="Times New Roman"/>
          <w:color w:val="000000" w:themeColor="text1"/>
          <w:kern w:val="2"/>
          <w:sz w:val="16"/>
          <w:szCs w:val="16"/>
        </w:rPr>
        <w:softHyphen/>
        <w:t>тов воюющих стран ничего подобного не имел (15740).</w:t>
      </w:r>
    </w:p>
    <w:p w14:paraId="26DE4B90" w14:textId="77777777" w:rsidR="00436AFF" w:rsidRPr="002F2FDF" w:rsidRDefault="00436AFF" w:rsidP="0083075A">
      <w:pPr>
        <w:spacing w:after="0" w:line="240" w:lineRule="auto"/>
        <w:jc w:val="both"/>
        <w:rPr>
          <w:rFonts w:ascii="Times New Roman" w:hAnsi="Times New Roman" w:cs="Times New Roman"/>
          <w:color w:val="000000" w:themeColor="text1"/>
          <w:kern w:val="2"/>
          <w:sz w:val="16"/>
          <w:szCs w:val="16"/>
        </w:rPr>
      </w:pPr>
    </w:p>
    <w:p w14:paraId="39059A58" w14:textId="0FBC213A" w:rsidR="00436AFF" w:rsidRPr="002F2FDF" w:rsidRDefault="00BA2B3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w:t>
      </w:r>
      <w:r w:rsidR="00436AFF" w:rsidRPr="002F2FDF">
        <w:rPr>
          <w:rFonts w:ascii="Times New Roman" w:hAnsi="Times New Roman" w:cs="Times New Roman"/>
          <w:color w:val="000000" w:themeColor="text1"/>
          <w:kern w:val="2"/>
          <w:sz w:val="16"/>
          <w:szCs w:val="16"/>
        </w:rPr>
        <w:t xml:space="preserve"> началу 1917 г. вся механическая часть прибора (бомбометательной системы профессора Г. А. Ботезата) была готова, но недоставало оптической системы, заказанной субподрядчику — «Император</w:t>
      </w:r>
      <w:r w:rsidR="00436AFF" w:rsidRPr="002F2FDF">
        <w:rPr>
          <w:rFonts w:ascii="Times New Roman" w:hAnsi="Times New Roman" w:cs="Times New Roman"/>
          <w:color w:val="000000" w:themeColor="text1"/>
          <w:kern w:val="2"/>
          <w:sz w:val="16"/>
          <w:szCs w:val="16"/>
        </w:rPr>
        <w:softHyphen/>
        <w:t>скому фарфоровому заводу». Завод, единственный в своем роде, был пере</w:t>
      </w:r>
      <w:r w:rsidR="00436AFF" w:rsidRPr="002F2FDF">
        <w:rPr>
          <w:rFonts w:ascii="Times New Roman" w:hAnsi="Times New Roman" w:cs="Times New Roman"/>
          <w:color w:val="000000" w:themeColor="text1"/>
          <w:kern w:val="2"/>
          <w:sz w:val="16"/>
          <w:szCs w:val="16"/>
        </w:rPr>
        <w:softHyphen/>
        <w:t>гружен изготовлением оптических систем для артиллерии, и исполнение вто</w:t>
      </w:r>
      <w:r w:rsidR="00436AFF" w:rsidRPr="002F2FDF">
        <w:rPr>
          <w:rFonts w:ascii="Times New Roman" w:hAnsi="Times New Roman" w:cs="Times New Roman"/>
          <w:color w:val="000000" w:themeColor="text1"/>
          <w:kern w:val="2"/>
          <w:sz w:val="16"/>
          <w:szCs w:val="16"/>
        </w:rPr>
        <w:softHyphen/>
        <w:t>ростепенного для него заказа отодвигалось. В этих условиях руководство УВВФ решило начать испытания пока без оптической системы. В результате проведенных в январе испытаний «бомбометательная система показала силь</w:t>
      </w:r>
      <w:r w:rsidR="00436AFF" w:rsidRPr="002F2FDF">
        <w:rPr>
          <w:rFonts w:ascii="Times New Roman" w:hAnsi="Times New Roman" w:cs="Times New Roman"/>
          <w:color w:val="000000" w:themeColor="text1"/>
          <w:kern w:val="2"/>
          <w:sz w:val="16"/>
          <w:szCs w:val="16"/>
        </w:rPr>
        <w:softHyphen/>
        <w:t>ную устойчивость и легкое и самостоятельное установление на вертикаль, но недостаточно центрированный ротор, ...а без центровки прибора невозможно подогнать генератор, необходимый для приведения во вращение жироскопа». Последний недостаток, как полагали заказчики, был устраним. Вскоре посту</w:t>
      </w:r>
      <w:r w:rsidR="00436AFF" w:rsidRPr="002F2FDF">
        <w:rPr>
          <w:rFonts w:ascii="Times New Roman" w:hAnsi="Times New Roman" w:cs="Times New Roman"/>
          <w:color w:val="000000" w:themeColor="text1"/>
          <w:kern w:val="2"/>
          <w:sz w:val="16"/>
          <w:szCs w:val="16"/>
        </w:rPr>
        <w:softHyphen/>
        <w:t>пила оптическая система, и командование УВВФ признало результат испы</w:t>
      </w:r>
      <w:r w:rsidR="00436AFF" w:rsidRPr="002F2FDF">
        <w:rPr>
          <w:rFonts w:ascii="Times New Roman" w:hAnsi="Times New Roman" w:cs="Times New Roman"/>
          <w:color w:val="000000" w:themeColor="text1"/>
          <w:kern w:val="2"/>
          <w:sz w:val="16"/>
          <w:szCs w:val="16"/>
        </w:rPr>
        <w:softHyphen/>
        <w:t>таний «бомбометательной системы профессора Г. А. Ботезата» удачным. В Военный совет было отправлено предложение о серийном производстве при</w:t>
      </w:r>
      <w:r w:rsidR="00436AFF" w:rsidRPr="002F2FDF">
        <w:rPr>
          <w:rFonts w:ascii="Times New Roman" w:hAnsi="Times New Roman" w:cs="Times New Roman"/>
          <w:color w:val="000000" w:themeColor="text1"/>
          <w:kern w:val="2"/>
          <w:sz w:val="16"/>
          <w:szCs w:val="16"/>
        </w:rPr>
        <w:softHyphen/>
        <w:t>бора. «Проведенными испытаниями прибора на аэропланах выявлена полная целесообразность прибора и надежность его действия. Специальная комис</w:t>
      </w:r>
      <w:r w:rsidR="00436AFF" w:rsidRPr="002F2FDF">
        <w:rPr>
          <w:rFonts w:ascii="Times New Roman" w:hAnsi="Times New Roman" w:cs="Times New Roman"/>
          <w:color w:val="000000" w:themeColor="text1"/>
          <w:kern w:val="2"/>
          <w:sz w:val="16"/>
          <w:szCs w:val="16"/>
        </w:rPr>
        <w:softHyphen/>
        <w:t>сия по изучению воздушной артиллерии при УВВФ, производившая испыта</w:t>
      </w:r>
      <w:r w:rsidR="00436AFF" w:rsidRPr="002F2FDF">
        <w:rPr>
          <w:rFonts w:ascii="Times New Roman" w:hAnsi="Times New Roman" w:cs="Times New Roman"/>
          <w:color w:val="000000" w:themeColor="text1"/>
          <w:kern w:val="2"/>
          <w:sz w:val="16"/>
          <w:szCs w:val="16"/>
        </w:rPr>
        <w:softHyphen/>
        <w:t>ние прибора, признала желательным снабдить наши авиационные части эти</w:t>
      </w:r>
      <w:r w:rsidR="00436AFF" w:rsidRPr="002F2FDF">
        <w:rPr>
          <w:rFonts w:ascii="Times New Roman" w:hAnsi="Times New Roman" w:cs="Times New Roman"/>
          <w:color w:val="000000" w:themeColor="text1"/>
          <w:kern w:val="2"/>
          <w:sz w:val="16"/>
          <w:szCs w:val="16"/>
        </w:rPr>
        <w:softHyphen/>
        <w:t>ми приборами. К ней присоединяется и полевой генерал-инспектор ВВФ. Наиболее приспособленным для изготовления этого заказа на 300 приборов является "ДЕКА", на котором и производилась разработка прицела и изготовление».</w:t>
      </w:r>
    </w:p>
    <w:p w14:paraId="26FF034D" w14:textId="77777777" w:rsidR="00436AFF" w:rsidRPr="002F2FDF" w:rsidRDefault="00436AF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Вскоре произошла Февральская революция, и последующие события на</w:t>
      </w:r>
      <w:r w:rsidRPr="002F2FDF">
        <w:rPr>
          <w:rFonts w:ascii="Times New Roman" w:hAnsi="Times New Roman" w:cs="Times New Roman"/>
          <w:color w:val="000000" w:themeColor="text1"/>
          <w:kern w:val="2"/>
          <w:sz w:val="16"/>
          <w:szCs w:val="16"/>
        </w:rPr>
        <w:softHyphen/>
        <w:t>рушили все планы. Разрешение заказать серию «бомбометательных систем» УВВФ получило только летом, а контракт с акционерным обществом «Электромеханические сооружения» на 300 «прицельных приборов системы профессора Ботезата по цене 3150 рублей за комплект» был заключен лишь 18 августа 1917 г. Предполагалась поставить 50 систем через 6 месяцев, еще 100 — через месяц, последние 150 систем — еще через месяц. Для совместного выполнения заказа «ДЕКА» вступило в соглашение с петроградским обще</w:t>
      </w:r>
      <w:r w:rsidRPr="002F2FDF">
        <w:rPr>
          <w:rFonts w:ascii="Times New Roman" w:hAnsi="Times New Roman" w:cs="Times New Roman"/>
          <w:color w:val="000000" w:themeColor="text1"/>
          <w:kern w:val="2"/>
          <w:sz w:val="16"/>
          <w:szCs w:val="16"/>
        </w:rPr>
        <w:softHyphen/>
        <w:t>ством «Урания».</w:t>
      </w:r>
    </w:p>
    <w:p w14:paraId="202E78F1" w14:textId="77777777" w:rsidR="00436AFF" w:rsidRPr="002F2FDF" w:rsidRDefault="00436AF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Однако рабочие беспорядки спутали все планы. Так и не удалось добиться пресловутой центровки на прототипе. Токари дважды «запарывали» деталь, срывая окончательные испытания. У субподрядчика — завода «Урания» — конфликт между рабочими и администрацией перерос в настоящую граждан</w:t>
      </w:r>
      <w:r w:rsidRPr="002F2FDF">
        <w:rPr>
          <w:rFonts w:ascii="Times New Roman" w:hAnsi="Times New Roman" w:cs="Times New Roman"/>
          <w:color w:val="000000" w:themeColor="text1"/>
          <w:kern w:val="2"/>
          <w:sz w:val="16"/>
          <w:szCs w:val="16"/>
        </w:rPr>
        <w:softHyphen/>
        <w:t>скую войну</w:t>
      </w:r>
      <w:r w:rsidRPr="002F2FDF">
        <w:rPr>
          <w:rFonts w:ascii="Times New Roman" w:hAnsi="Times New Roman" w:cs="Times New Roman"/>
          <w:color w:val="000000" w:themeColor="text1"/>
          <w:kern w:val="2"/>
          <w:sz w:val="16"/>
          <w:szCs w:val="16"/>
          <w:vertAlign w:val="superscript"/>
        </w:rPr>
        <w:t>202</w:t>
      </w:r>
      <w:r w:rsidRPr="002F2FDF">
        <w:rPr>
          <w:rFonts w:ascii="Times New Roman" w:hAnsi="Times New Roman" w:cs="Times New Roman"/>
          <w:color w:val="000000" w:themeColor="text1"/>
          <w:kern w:val="2"/>
          <w:sz w:val="16"/>
          <w:szCs w:val="16"/>
        </w:rPr>
        <w:t>. Народный комиссар труда даже распорядился рабочих рассчи</w:t>
      </w:r>
      <w:r w:rsidRPr="002F2FDF">
        <w:rPr>
          <w:rFonts w:ascii="Times New Roman" w:hAnsi="Times New Roman" w:cs="Times New Roman"/>
          <w:color w:val="000000" w:themeColor="text1"/>
          <w:kern w:val="2"/>
          <w:sz w:val="16"/>
          <w:szCs w:val="16"/>
        </w:rPr>
        <w:softHyphen/>
        <w:t>тать, а завод закрыть. После пресловутого приказа Ю. М. Ларина о ликви</w:t>
      </w:r>
      <w:r w:rsidRPr="002F2FDF">
        <w:rPr>
          <w:rFonts w:ascii="Times New Roman" w:hAnsi="Times New Roman" w:cs="Times New Roman"/>
          <w:color w:val="000000" w:themeColor="text1"/>
          <w:kern w:val="2"/>
          <w:sz w:val="16"/>
          <w:szCs w:val="16"/>
        </w:rPr>
        <w:softHyphen/>
        <w:t>дации авиационной промышленности в России о прицельных приборах Г. А. Ботезата вспомнили только в конце апреля 1918 г. Прибывшая на «ДЕКА» специальная комиссия ВВФ РККА пришла к выводу: «Дальнейшее произ</w:t>
      </w:r>
      <w:r w:rsidRPr="002F2FDF">
        <w:rPr>
          <w:rFonts w:ascii="Times New Roman" w:hAnsi="Times New Roman" w:cs="Times New Roman"/>
          <w:color w:val="000000" w:themeColor="text1"/>
          <w:kern w:val="2"/>
          <w:sz w:val="16"/>
          <w:szCs w:val="16"/>
        </w:rPr>
        <w:softHyphen/>
        <w:t>водство работ и изысканий невозможно как по причине отсутствия специаль</w:t>
      </w:r>
      <w:r w:rsidRPr="002F2FDF">
        <w:rPr>
          <w:rFonts w:ascii="Times New Roman" w:hAnsi="Times New Roman" w:cs="Times New Roman"/>
          <w:color w:val="000000" w:themeColor="text1"/>
          <w:kern w:val="2"/>
          <w:sz w:val="16"/>
          <w:szCs w:val="16"/>
        </w:rPr>
        <w:softHyphen/>
        <w:t>ного персонала для исполнения требующихся чрезвычайно точных работ, так и за отсутствием требующихся указаний профессора Ботезата» (15740).</w:t>
      </w:r>
    </w:p>
    <w:p w14:paraId="31E27278" w14:textId="77777777" w:rsidR="00436AFF" w:rsidRPr="002F2FDF" w:rsidRDefault="00436AFF" w:rsidP="0083075A">
      <w:pPr>
        <w:spacing w:after="0" w:line="240" w:lineRule="auto"/>
        <w:jc w:val="both"/>
        <w:rPr>
          <w:rFonts w:ascii="Times New Roman" w:hAnsi="Times New Roman" w:cs="Times New Roman"/>
          <w:color w:val="000000" w:themeColor="text1"/>
          <w:kern w:val="2"/>
          <w:sz w:val="16"/>
          <w:szCs w:val="16"/>
        </w:rPr>
      </w:pPr>
    </w:p>
    <w:p w14:paraId="574E32E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1917 г. “бомбометательная система профессора ГА. Ботезата” была изготовлена и испытана. Командова</w:t>
      </w:r>
      <w:r w:rsidRPr="002F2FDF">
        <w:rPr>
          <w:rFonts w:ascii="Times New Roman" w:hAnsi="Times New Roman" w:cs="Times New Roman"/>
          <w:color w:val="000000" w:themeColor="text1"/>
          <w:kern w:val="2"/>
          <w:sz w:val="16"/>
          <w:szCs w:val="16"/>
        </w:rPr>
        <w:softHyphen/>
        <w:t>ние УВВФ результат испытаний признало удачным и направило в Воен</w:t>
      </w:r>
      <w:r w:rsidRPr="002F2FDF">
        <w:rPr>
          <w:rFonts w:ascii="Times New Roman" w:hAnsi="Times New Roman" w:cs="Times New Roman"/>
          <w:color w:val="000000" w:themeColor="text1"/>
          <w:kern w:val="2"/>
          <w:sz w:val="16"/>
          <w:szCs w:val="16"/>
        </w:rPr>
        <w:softHyphen/>
        <w:t>ный совет предложение о серийном производстве прибора. В предложе</w:t>
      </w:r>
      <w:r w:rsidRPr="002F2FDF">
        <w:rPr>
          <w:rFonts w:ascii="Times New Roman" w:hAnsi="Times New Roman" w:cs="Times New Roman"/>
          <w:color w:val="000000" w:themeColor="text1"/>
          <w:kern w:val="2"/>
          <w:sz w:val="16"/>
          <w:szCs w:val="16"/>
        </w:rPr>
        <w:softHyphen/>
        <w:t>нии было сказано: “Проведенными испытаниями прибора на аэропланах выявлена полная целесообразность прибора и надежность его действия. Специальная комиссия по изучению воздушной артиллерии при УВВФ, производившая испытание прибора, признала желательным снабдить наши авиационные части этими приборами”. Февральская революция и последующие события, к сожалению, раз</w:t>
      </w:r>
      <w:r w:rsidRPr="002F2FDF">
        <w:rPr>
          <w:rFonts w:ascii="Times New Roman" w:hAnsi="Times New Roman" w:cs="Times New Roman"/>
          <w:color w:val="000000" w:themeColor="text1"/>
          <w:kern w:val="2"/>
          <w:sz w:val="16"/>
          <w:szCs w:val="16"/>
        </w:rPr>
        <w:softHyphen/>
        <w:t>рушила эти планы. После пресловутого приказа Ю.М. Ларина о ликвида</w:t>
      </w:r>
      <w:r w:rsidRPr="002F2FDF">
        <w:rPr>
          <w:rFonts w:ascii="Times New Roman" w:hAnsi="Times New Roman" w:cs="Times New Roman"/>
          <w:color w:val="000000" w:themeColor="text1"/>
          <w:kern w:val="2"/>
          <w:sz w:val="16"/>
          <w:szCs w:val="16"/>
        </w:rPr>
        <w:softHyphen/>
        <w:t>ции авиационной промышленности в России, о прицельных приборах Бо</w:t>
      </w:r>
      <w:r w:rsidRPr="002F2FDF">
        <w:rPr>
          <w:rFonts w:ascii="Times New Roman" w:hAnsi="Times New Roman" w:cs="Times New Roman"/>
          <w:color w:val="000000" w:themeColor="text1"/>
          <w:kern w:val="2"/>
          <w:sz w:val="16"/>
          <w:szCs w:val="16"/>
        </w:rPr>
        <w:softHyphen/>
        <w:t>тезата вспомнили только в конце апреля 1918 г. Специальная комиссия ВВФ РККА, прибывшая на завод Общества ДЕКА сделала следующий вы</w:t>
      </w:r>
      <w:r w:rsidRPr="002F2FDF">
        <w:rPr>
          <w:rFonts w:ascii="Times New Roman" w:hAnsi="Times New Roman" w:cs="Times New Roman"/>
          <w:color w:val="000000" w:themeColor="text1"/>
          <w:kern w:val="2"/>
          <w:sz w:val="16"/>
          <w:szCs w:val="16"/>
        </w:rPr>
        <w:softHyphen/>
        <w:t>вод: “Дальнейшее проведение работ и испытаний невозможно как по при</w:t>
      </w:r>
      <w:r w:rsidRPr="002F2FDF">
        <w:rPr>
          <w:rFonts w:ascii="Times New Roman" w:hAnsi="Times New Roman" w:cs="Times New Roman"/>
          <w:color w:val="000000" w:themeColor="text1"/>
          <w:kern w:val="2"/>
          <w:sz w:val="16"/>
          <w:szCs w:val="16"/>
        </w:rPr>
        <w:softHyphen/>
        <w:t>чине отсутствия специального персонала для исполнения требующихся чрезвычайно точных работ, так и за отсутствием требующихся указаний профессора Ботезата.” Анализ развития прицельного бомбометания в годы первой миро</w:t>
      </w:r>
      <w:r w:rsidRPr="002F2FDF">
        <w:rPr>
          <w:rFonts w:ascii="Times New Roman" w:hAnsi="Times New Roman" w:cs="Times New Roman"/>
          <w:color w:val="000000" w:themeColor="text1"/>
          <w:kern w:val="2"/>
          <w:sz w:val="16"/>
          <w:szCs w:val="16"/>
        </w:rPr>
        <w:softHyphen/>
        <w:t>вой войны показывает, что отечественные специалисты и практики лет</w:t>
      </w:r>
      <w:r w:rsidRPr="002F2FDF">
        <w:rPr>
          <w:rFonts w:ascii="Times New Roman" w:hAnsi="Times New Roman" w:cs="Times New Roman"/>
          <w:color w:val="000000" w:themeColor="text1"/>
          <w:kern w:val="2"/>
          <w:sz w:val="16"/>
          <w:szCs w:val="16"/>
        </w:rPr>
        <w:softHyphen/>
        <w:t>ного дела сделали ценный вклад в дело развития прицельных приспособ</w:t>
      </w:r>
      <w:r w:rsidRPr="002F2FDF">
        <w:rPr>
          <w:rFonts w:ascii="Times New Roman" w:hAnsi="Times New Roman" w:cs="Times New Roman"/>
          <w:color w:val="000000" w:themeColor="text1"/>
          <w:kern w:val="2"/>
          <w:sz w:val="16"/>
          <w:szCs w:val="16"/>
        </w:rPr>
        <w:softHyphen/>
        <w:t>лений для бомбометания, главным образом механического типа. По ре</w:t>
      </w:r>
      <w:r w:rsidRPr="002F2FDF">
        <w:rPr>
          <w:rFonts w:ascii="Times New Roman" w:hAnsi="Times New Roman" w:cs="Times New Roman"/>
          <w:color w:val="000000" w:themeColor="text1"/>
          <w:kern w:val="2"/>
          <w:sz w:val="16"/>
          <w:szCs w:val="16"/>
        </w:rPr>
        <w:softHyphen/>
        <w:t>зультатам бомбометаний эти прицелы не только не уступали загранич</w:t>
      </w:r>
      <w:r w:rsidRPr="002F2FDF">
        <w:rPr>
          <w:rFonts w:ascii="Times New Roman" w:hAnsi="Times New Roman" w:cs="Times New Roman"/>
          <w:color w:val="000000" w:themeColor="text1"/>
          <w:kern w:val="2"/>
          <w:sz w:val="16"/>
          <w:szCs w:val="16"/>
        </w:rPr>
        <w:softHyphen/>
        <w:t>ным, но зачастую превосходили их (11425).</w:t>
      </w:r>
    </w:p>
    <w:p w14:paraId="6E044C9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FB3A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1917 году, занявшись в 1912 году предпринимательской деятельностью, В.А. Лебедев в короткий срок сумел создать солидную авиационную фирму, которая уже построила пять авиационных заводов в Петрограде, Ярославле, Рыбинске, Пензе и Таганроге. Революционные события прервали его плодотворную деятельность. С 1916 года он жил в Таганроге. Не поняв и не приняв революцию, Владимир Лебедев в начале 1918 года уезжает навсегда из России. Сначала он был в Сербии, потом перебрался во Францию. За заслуги перед Французской республикой в развитии авиации В.А. Лебедев был награжден орденом Почетного Легиона, Он скончался в Париже на 68-м году жизни в 1947 году и похоронен там же на знаменитом русском кладбище Сен-Женевьев дю Буа (11642).</w:t>
      </w:r>
    </w:p>
    <w:p w14:paraId="01F7DF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350271" w14:textId="77777777" w:rsidR="009376D7" w:rsidRPr="002F2FDF" w:rsidRDefault="009376D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 относятся упоминания о трехместном аппарате Анатры с двойным управлением «Анарено», но более никаких подробностей об этом самолете обнаружить в архивах не удалось. Рискнем лишь предположить, что «Анарено» представлял собой увеличенный «Анасаль» под 220-сильный мотор «Рено» (наличие именно такого двигателя на заводе «Анатра» установлено доподлинно) (12252).</w:t>
      </w:r>
    </w:p>
    <w:p w14:paraId="15AB612D" w14:textId="77777777" w:rsidR="009376D7" w:rsidRPr="002F2FDF" w:rsidRDefault="009376D7" w:rsidP="0083075A">
      <w:pPr>
        <w:spacing w:after="0" w:line="240" w:lineRule="auto"/>
        <w:jc w:val="both"/>
        <w:rPr>
          <w:rFonts w:ascii="Times New Roman" w:hAnsi="Times New Roman" w:cs="Times New Roman"/>
          <w:color w:val="000000" w:themeColor="text1"/>
          <w:kern w:val="2"/>
          <w:sz w:val="16"/>
          <w:szCs w:val="16"/>
        </w:rPr>
      </w:pPr>
    </w:p>
    <w:p w14:paraId="6ABBC7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года строительство основных цехов завода Анатра в Симферополе было почти закончено. Для работы на заводе были наняты 150 специалистов из Петрограда, всего же здесь трудились около 400 человек. Завод начал выпуск истребителей «Ньюпор-XVII» (в первой партии должно было быть 100 самолетов), однако вскоре возникли проблемы с загранпоставками оборудования и комплектующих, а затем началась Гражданская война.</w:t>
      </w:r>
    </w:p>
    <w:p w14:paraId="40E8FB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1920-м завод перешел в ведение 4-го воздухоплавательного парка Красной армии. В 1922-м он превратился в советский «Государственный авиационный завод № 15», но вскоре вовсе был закрыт, а в его цехах (частично перестроенные, они сохранились и поныне) организовали кожевенную фабрику. Одесский авиазавод Анатра также был национализирован и превращен сначала в «Государственный авиационный завод №?11», затем в «Государственные авиационные мастерские №?7» (сегодня это предприятие Минобороны Украины «Одесавиаремсервис»). Артур Анатра после революции покинул Россию и эмигрировал на родину предков — в Италию.</w:t>
      </w:r>
    </w:p>
    <w:p w14:paraId="4500EB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Анатра был самым мощным подобным предприятием в Крыму, но не единственным и даже не первым.</w:t>
      </w:r>
    </w:p>
    <w:p w14:paraId="4F4D81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Поначалу основные детали самолетов делались из дерева. Поэтому не случайно некоторые авиастроительные заводы возникли на базе мебельных и столярных фабрик. Первые самолеты крымского производства строились на севастопольской столярной фабрике Карла Эдуардовича Акстмана. Вначале авиационные заказы, поступавшие к Акстману, касались ремонта самолетов. Первый самолет здесь отремонтировали в августе 1910-го. В ноябре того же года в Севастополе открылась авиашкола, и поток заказов к Акстману резко возрос, на фабрике делали деревянные винты и другие части самолетов. Именно у Акстмана были сделаны деревянные поплавки, на которые попытались поставить аэроплан «Антуанетт», чтобы он мог взлетать с воды (правда, эта первая попытка создания гидросамолета оказалась неудачной). От ремонта Акстман перешел к постройке самолетов. В 1911-м по частным заказам на фабрике были построены два самолета: по типу «Фарман-IV» и «Блерио-XI».</w:t>
      </w:r>
    </w:p>
    <w:p w14:paraId="6B5C3C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этом Акстман не просто скопировал иностранные образцы, а еще и внес некоторые рациональные изменения в их конструкцию. Севастопольский фабрикант даже спроектировал собственный самолет — «аэроплан-парашют». При аварийной ситуации на таком самолете летчик мог поворотом специального штурвала сбросить фюзеляж с мотором и винтом, а сам в кабине, подвешенной под крылом, «парашютировать» на землю. В ноябре 1911-го Акстман запатентовал свой проект, на его фабрике была начата постройка двух экземпляров «аэроплана-парашюта», но ни один из них не был закончен. Да и самой фабрике по не вполне понятным причинам превратиться в полноценный авиастроительный завод так и не удалось.</w:t>
      </w:r>
    </w:p>
    <w:p w14:paraId="4C8887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Еще одним крымским центром авиастроения был Карасубазар (современный Белогорск). В 1913 году здесь был основан «Первый крымский завод аэропланов» Василия Федоровича Адаменко. Дворянин Таврической губернии Василий Адаменко обучился пилотированию во Франции. Вернувшись на родину, он оборудовал в своем имении мастерские, где построил самолет типа «фарман». С началом войны его предприятие стало выполнять заказы Севастопольской военной школы авиации, производя запчасти для самолетов. Вскоре завод Адаменко начал серийное производство самолетов. В 1915–1916 гг. здесь были сделаны 10 самолетов «Фарман-IV». В 1917-м было запланировано выпустить 25 самолетов «Фарман-XVI», однако этим планам не суждено было сбыться. Сделав 10 самолетов из этой партии, к апрелю 1918 года завод прекратил свое существование.</w:t>
      </w:r>
    </w:p>
    <w:p w14:paraId="2CBABE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Почти одновременно с симферопольским заводом авиационное предприятие появилось и в Евпатории, там лучший авиазавод России — московский «Дукс» — построил базу для сборки гидросамолетов. Так что Евпатория со временем могла бы стать еще одним городом в Крыму с промышленным самолетостроением. Но Первая мировая война и революция также лишили ее такой перспективы (11909).</w:t>
      </w:r>
    </w:p>
    <w:p w14:paraId="1322A3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F797C9" w14:textId="77777777" w:rsidR="0033751B" w:rsidRPr="002F2FDF" w:rsidRDefault="0033751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начале 1917 года русский летчик Рубинский и лаборанты расчетного бюро Ушаков и Раковский создали оптический авиационный прицел.</w:t>
      </w:r>
    </w:p>
    <w:p w14:paraId="5F86C7F1" w14:textId="77777777" w:rsidR="0033751B" w:rsidRPr="002F2FDF" w:rsidRDefault="0033751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22 марта 1917 года Н.Е.Жуковский писал: "Окончивший нашу школу летчик прапорщик Рубинский и лаборанты Расчетно-испытательного Бюро Ушаков и Раковский построили коллиматорный прицел для стрельбы с аэропланов, преимущественно истребителей по аэропланам.</w:t>
      </w:r>
    </w:p>
    <w:p w14:paraId="50B16528" w14:textId="77777777" w:rsidR="0033751B" w:rsidRPr="002F2FDF" w:rsidRDefault="0033751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Отдел изобретений при Московском Военно-Промышленном комитете, рассмотрев этот прибор, нашел его вполне удовлетворительным и выдал на него одобрительный отзыв. Я, со своей стороны, считаю тоже прибор очень хорошим и думаю, что было бы весьма полезно воспользоваться им для нашего воздушного флота".</w:t>
      </w:r>
    </w:p>
    <w:p w14:paraId="40828BFE" w14:textId="77777777" w:rsidR="0033751B" w:rsidRPr="002F2FDF" w:rsidRDefault="0033751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Это прицел, который получил название РУР, (начальные буквы фамилии авторов), был значительным шагом вперед в деле повышения точности воздушной стрельбы, но в войне ему не пришлось обеспечивать воздушную стрельбу (19621).</w:t>
      </w:r>
    </w:p>
    <w:p w14:paraId="6B416EA8" w14:textId="77777777" w:rsidR="0033751B" w:rsidRPr="002F2FDF" w:rsidRDefault="0033751B" w:rsidP="0083075A">
      <w:pPr>
        <w:spacing w:after="0" w:line="240" w:lineRule="auto"/>
        <w:jc w:val="both"/>
        <w:rPr>
          <w:rFonts w:ascii="Times New Roman" w:hAnsi="Times New Roman" w:cs="Times New Roman"/>
          <w:color w:val="000000" w:themeColor="text1"/>
          <w:sz w:val="16"/>
          <w:szCs w:val="16"/>
        </w:rPr>
      </w:pPr>
    </w:p>
    <w:p w14:paraId="483F05A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34C819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89202B" w14:textId="77777777" w:rsidR="00D40A22" w:rsidRPr="002F2FDF" w:rsidRDefault="00D40A22" w:rsidP="0083075A">
      <w:pPr>
        <w:pStyle w:val="ae"/>
        <w:spacing w:before="0" w:after="0"/>
        <w:jc w:val="both"/>
        <w:rPr>
          <w:color w:val="000000" w:themeColor="text1"/>
          <w:kern w:val="2"/>
          <w:sz w:val="16"/>
          <w:szCs w:val="16"/>
        </w:rPr>
      </w:pPr>
      <w:r w:rsidRPr="002F2FDF">
        <w:rPr>
          <w:color w:val="000000" w:themeColor="text1"/>
          <w:kern w:val="2"/>
          <w:sz w:val="16"/>
          <w:szCs w:val="16"/>
        </w:rPr>
        <w:t>К началу 1917 года ВПК окончательно ушли в оппозицию, а их лидеры приняли активное участие в Февральской революции и получили руководящие посты во Временном правительстве. Желая придать своей деятельности видимость борьбы с хозяйственной разрухой, Временное правительство создало ряд громоздких и безответственных учреждений – экономический совет (ЭС), главный экономический комитет (ГЭК) и др.</w:t>
      </w:r>
    </w:p>
    <w:p w14:paraId="56A40BAE" w14:textId="77777777" w:rsidR="00D40A22" w:rsidRPr="002F2FDF" w:rsidRDefault="00D40A22" w:rsidP="0083075A">
      <w:pPr>
        <w:pStyle w:val="ae"/>
        <w:spacing w:before="0" w:after="0"/>
        <w:jc w:val="both"/>
        <w:rPr>
          <w:color w:val="000000" w:themeColor="text1"/>
          <w:kern w:val="2"/>
          <w:sz w:val="16"/>
          <w:szCs w:val="16"/>
        </w:rPr>
      </w:pPr>
      <w:r w:rsidRPr="002F2FDF">
        <w:rPr>
          <w:color w:val="000000" w:themeColor="text1"/>
          <w:kern w:val="2"/>
          <w:sz w:val="16"/>
          <w:szCs w:val="16"/>
        </w:rPr>
        <w:t>Временное правительство поручило экономическому совету выработать «общегосударственный» хозяйственный план. Экономический совет, конечно, не выработал никаких планов и ограничился лишь рассуждениями об общих проблемах капитализма и социализма, о принудительных государственных объединениях и свободе в промышленности, о производительности труда и пр.</w:t>
      </w:r>
    </w:p>
    <w:p w14:paraId="6E60E800" w14:textId="36302FA5" w:rsidR="00D40A22" w:rsidRPr="002F2FDF" w:rsidRDefault="00D40A22" w:rsidP="0083075A">
      <w:pPr>
        <w:pStyle w:val="ae"/>
        <w:spacing w:before="0" w:after="0"/>
        <w:jc w:val="both"/>
        <w:rPr>
          <w:color w:val="000000" w:themeColor="text1"/>
          <w:kern w:val="2"/>
          <w:sz w:val="16"/>
          <w:szCs w:val="16"/>
        </w:rPr>
      </w:pPr>
      <w:r w:rsidRPr="002F2FDF">
        <w:rPr>
          <w:color w:val="000000" w:themeColor="text1"/>
          <w:kern w:val="2"/>
          <w:sz w:val="16"/>
          <w:szCs w:val="16"/>
        </w:rPr>
        <w:t>На главный экономический комитет (ГЭК) была возложена задача выработки конкретных экономических мероприятий на основе общих принципов, разработанных экономическим советом. Однако такие принципы не были выработаны. ГЭК занимался вопросами заготовки продуктов, распределения казенных заказов, материалов, топлива, рабочей силы между промышленными предприятиями и т.</w:t>
      </w:r>
      <w:r w:rsidR="00E52569">
        <w:rPr>
          <w:color w:val="000000" w:themeColor="text1"/>
          <w:kern w:val="2"/>
          <w:sz w:val="16"/>
          <w:szCs w:val="16"/>
        </w:rPr>
        <w:t xml:space="preserve"> </w:t>
      </w:r>
      <w:r w:rsidRPr="002F2FDF">
        <w:rPr>
          <w:color w:val="000000" w:themeColor="text1"/>
          <w:kern w:val="2"/>
          <w:sz w:val="16"/>
          <w:szCs w:val="16"/>
        </w:rPr>
        <w:t>п. Но ГЭК так и не стал руководящим центром проведения практических мероприятий экономической политики Временного правительства.</w:t>
      </w:r>
    </w:p>
    <w:p w14:paraId="16B14762" w14:textId="77777777" w:rsidR="00D40A22" w:rsidRPr="002F2FDF" w:rsidRDefault="00D40A22" w:rsidP="0083075A">
      <w:pPr>
        <w:pStyle w:val="ae"/>
        <w:spacing w:before="0" w:after="0"/>
        <w:jc w:val="both"/>
        <w:rPr>
          <w:color w:val="000000" w:themeColor="text1"/>
          <w:kern w:val="2"/>
          <w:sz w:val="16"/>
          <w:szCs w:val="16"/>
        </w:rPr>
      </w:pPr>
      <w:r w:rsidRPr="002F2FDF">
        <w:rPr>
          <w:color w:val="000000" w:themeColor="text1"/>
          <w:kern w:val="2"/>
          <w:sz w:val="16"/>
          <w:szCs w:val="16"/>
        </w:rPr>
        <w:t>Временное правительство, хотя и создало ряд новых хозяйственных учреждений, тем не менее идти на слом старого государственного аппарата не хотело, а ограничилось лишь изменением некоторых его функций. Создав параллелизм в работе новых и старых хозяйственных органов, временное правительство внесло еще больше путаницы в дело «регулирования» хозяйственной жизни страны (15736).</w:t>
      </w:r>
    </w:p>
    <w:p w14:paraId="2A0C25FD" w14:textId="77777777" w:rsidR="00D40A22" w:rsidRPr="002F2FDF" w:rsidRDefault="00D40A22" w:rsidP="0083075A">
      <w:pPr>
        <w:pStyle w:val="ae"/>
        <w:spacing w:before="0" w:after="0"/>
        <w:jc w:val="both"/>
        <w:rPr>
          <w:color w:val="000000" w:themeColor="text1"/>
          <w:kern w:val="2"/>
          <w:sz w:val="16"/>
          <w:szCs w:val="16"/>
        </w:rPr>
      </w:pPr>
    </w:p>
    <w:p w14:paraId="2F1A14E8" w14:textId="3C92682A" w:rsidR="00022C32" w:rsidRPr="002F2FDF" w:rsidRDefault="00022C32" w:rsidP="0083075A">
      <w:pPr>
        <w:pStyle w:val="ae"/>
        <w:spacing w:before="0" w:after="0"/>
        <w:jc w:val="both"/>
        <w:rPr>
          <w:color w:val="000000" w:themeColor="text1"/>
          <w:sz w:val="16"/>
          <w:szCs w:val="16"/>
        </w:rPr>
      </w:pPr>
      <w:r w:rsidRPr="002F2FDF">
        <w:rPr>
          <w:color w:val="000000" w:themeColor="text1"/>
          <w:sz w:val="16"/>
          <w:szCs w:val="16"/>
        </w:rPr>
        <w:t>К 1917 несмотря на жестокость топливно-энергетического кризиса в Петрограде, вопрос о строительстве электростанций, которые могли снабжать столицу</w:t>
      </w:r>
      <w:r w:rsidR="00E52569">
        <w:rPr>
          <w:color w:val="000000" w:themeColor="text1"/>
          <w:sz w:val="16"/>
          <w:szCs w:val="16"/>
        </w:rPr>
        <w:t xml:space="preserve"> </w:t>
      </w:r>
      <w:r w:rsidRPr="002F2FDF">
        <w:rPr>
          <w:color w:val="000000" w:themeColor="text1"/>
          <w:sz w:val="16"/>
          <w:szCs w:val="16"/>
        </w:rPr>
        <w:t xml:space="preserve"> электроэнергией, так и не приобрел практического характера. Большинство сооружавшихся в годы Первой мировой войны электростанций были заводскими, о чем свидетельствуют приведенные выше данные об авиационных и автомобильных предприятиях. Проект акционерного общества «Углеток», предусматривавший электрификацию всего Южного горнопромышленного района России, не стал предметом обсуждения ни в Особом совещании по обороне, ни в Особом совещании по топливу (18369).</w:t>
      </w:r>
    </w:p>
    <w:p w14:paraId="16A0D263" w14:textId="77777777" w:rsidR="00022C32" w:rsidRPr="002F2FDF" w:rsidRDefault="00022C32" w:rsidP="0083075A">
      <w:pPr>
        <w:pStyle w:val="ae"/>
        <w:spacing w:before="0" w:after="0"/>
        <w:jc w:val="both"/>
        <w:rPr>
          <w:color w:val="000000" w:themeColor="text1"/>
          <w:sz w:val="16"/>
          <w:szCs w:val="16"/>
        </w:rPr>
      </w:pPr>
    </w:p>
    <w:p w14:paraId="10D880AF" w14:textId="77777777" w:rsidR="00BA2B3A" w:rsidRPr="002F2FDF" w:rsidRDefault="00BA2B3A" w:rsidP="0083075A">
      <w:pPr>
        <w:autoSpaceDE w:val="0"/>
        <w:autoSpaceDN w:val="0"/>
        <w:adjustRightInd w:val="0"/>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канун 1917 года русское Морское ведомство поручило Петроградскому Металлическому заводу разработать проект первого русского железнодорожного транспортера с учетом использования орудийных станков с русского броненосца “Ростислав”. Этот завод был широко известен в России как разработчик и изготовитель башенных артиллерийских установок для боевых кораблей русского флота и батарей береговой обороны. В 1912 году завод победил в конкурсе на изготовление 48 орудий 356-мм калибра для четырех русских линкоров: “Измаил”, “Бородино”, “Кинбурн” и “Наварин”. К середине 1917 года первая российская артиллерийская установка на основе французского железнодорожного 50-тонного транспортера была изготовлена (11454).</w:t>
      </w:r>
    </w:p>
    <w:p w14:paraId="5CCD83D4" w14:textId="77777777" w:rsidR="00BA2B3A" w:rsidRPr="002F2FDF" w:rsidRDefault="00BA2B3A" w:rsidP="008307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B3EC18" w14:textId="77777777" w:rsidR="00022C32" w:rsidRPr="002F2FDF" w:rsidRDefault="00022C32"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К 1917 г. представители артиллерийского ведомства осознали принципиальную разницу между собственными ружейными заводами ГАУ, которые не жертвовали качеством продукции ради экономии, — и американскими фирмами с их исключительным стремлением к наживе. В понимании финансовой ситуации Залюбовский сделал заметный шаг вперед: ему стало ясно, что, в отличие от Ижевского завода, которым он управлял в России, в Америке он имеет дело с исполнителями, ставящими себе целью не максимальное снабжение русской армии, а прибыль: «У нас нет средств заставить заводы… преследующие исключительно коммерческие цели, делать действительно годные ружья и в срок», работая по русским стандартам — не считаясь с расходами, лишь бы «дать действительно годные ружья» (18409).</w:t>
      </w:r>
    </w:p>
    <w:p w14:paraId="3B751D2D" w14:textId="77777777" w:rsidR="00022C32" w:rsidRPr="002F2FDF" w:rsidRDefault="00022C32" w:rsidP="0083075A">
      <w:pPr>
        <w:pStyle w:val="p1"/>
        <w:spacing w:before="0" w:beforeAutospacing="0" w:after="0" w:afterAutospacing="0"/>
        <w:jc w:val="both"/>
        <w:rPr>
          <w:color w:val="000000" w:themeColor="text1"/>
          <w:sz w:val="16"/>
          <w:szCs w:val="16"/>
        </w:rPr>
      </w:pPr>
    </w:p>
    <w:p w14:paraId="16ED13A1" w14:textId="77777777" w:rsidR="00022C32" w:rsidRPr="002F2FDF" w:rsidRDefault="00022C3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1917 г. представители ГАУ осознали разницу между теми задачами, которые решали его собственные ружейные заводы, не жертвовавшие качеством продукции ради экономии, — и стремлением к наживе, руководившим американскими фирмами. «У нас нет средств заставить заводы… преследующие исключительно коммерческие цели, делать действительно годные ружья и в срок, а потому лучше взять у них возможно меньше неудовлетворительных ружей, — сообщал Залюбовский в Петроград 7 декабря 1916 г. — …Без нового аванса Вестингауз продолжать производство не может, если же выдать ему новый большой аванс, то весьма вероятно, что мы совсем перестанем получать винтовки и деньги потеряем». Отчаявшись добиться своего, чины ГАУ запрашивали из США разрешения начальства разорвать контракты (но на это еще нужно было согласие английских инстанций, контролировавших русские заказы в Америке), и часть из них действительно была отменена [Там же. Д. 6209. Л. 26 и об.; д. 5620. Л. 77 и об.; д. 6210. Л. 20 и об.; Михайлов 2007: 338–347, ср.: 126–130.] (18408).</w:t>
      </w:r>
    </w:p>
    <w:p w14:paraId="2016B785" w14:textId="77777777" w:rsidR="00022C32" w:rsidRPr="002F2FDF" w:rsidRDefault="00022C32" w:rsidP="0083075A">
      <w:pPr>
        <w:spacing w:after="0" w:line="240" w:lineRule="auto"/>
        <w:jc w:val="both"/>
        <w:rPr>
          <w:rFonts w:ascii="Times New Roman" w:hAnsi="Times New Roman" w:cs="Times New Roman"/>
          <w:color w:val="000000" w:themeColor="text1"/>
          <w:sz w:val="16"/>
          <w:szCs w:val="16"/>
        </w:rPr>
      </w:pPr>
    </w:p>
    <w:p w14:paraId="228B2D5A" w14:textId="77777777" w:rsidR="00022C32" w:rsidRPr="002F2FDF" w:rsidRDefault="00022C3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1917 г. на Суне на строительстве завода по переработке азота воздуха во взрывчатку была произведена лишь часть гидротехнических работ и сделаны заказы на некоторые механизмы; эта стройка в Кондопоге, с использованием тысяч военнопленных, не близилась к концу и в 1917 г. [РГВИА. Ф. 29. Оп. 3. Д. 722. Л. 64–65; Михайлов 2007: 264; Нахтигаль 2011: 117, 179, 177] (18408).</w:t>
      </w:r>
    </w:p>
    <w:p w14:paraId="5057ACD6" w14:textId="77777777" w:rsidR="00022C32" w:rsidRPr="002F2FDF" w:rsidRDefault="00022C32" w:rsidP="0083075A">
      <w:pPr>
        <w:spacing w:after="0" w:line="240" w:lineRule="auto"/>
        <w:jc w:val="both"/>
        <w:rPr>
          <w:rFonts w:ascii="Times New Roman" w:hAnsi="Times New Roman" w:cs="Times New Roman"/>
          <w:color w:val="000000" w:themeColor="text1"/>
          <w:sz w:val="16"/>
          <w:szCs w:val="16"/>
        </w:rPr>
      </w:pPr>
    </w:p>
    <w:p w14:paraId="4E8E7119" w14:textId="77777777" w:rsidR="00022C32" w:rsidRPr="002F2FDF" w:rsidRDefault="00022C32"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К 1917 г. . Оптический завод самого ГАУ (бывшие «Цейс» и «Герц») размещался в зданиях бывшей казенной пробочной фабрики и располагал собственной силовой станцией в 250 л. с; в августе 1917 г. на заводе работали около 500 человек. Ввиду намерения расширить завод было заказано дополнительное оборудование (18409).</w:t>
      </w:r>
    </w:p>
    <w:p w14:paraId="4995A060" w14:textId="77777777" w:rsidR="00022C32" w:rsidRPr="002F2FDF" w:rsidRDefault="00022C32" w:rsidP="0083075A">
      <w:pPr>
        <w:pStyle w:val="p1"/>
        <w:spacing w:before="0" w:beforeAutospacing="0" w:after="0" w:afterAutospacing="0"/>
        <w:jc w:val="both"/>
        <w:rPr>
          <w:color w:val="000000" w:themeColor="text1"/>
          <w:sz w:val="16"/>
          <w:szCs w:val="16"/>
        </w:rPr>
      </w:pPr>
    </w:p>
    <w:p w14:paraId="0C3669FB" w14:textId="77777777" w:rsidR="00022C32" w:rsidRPr="002F2FDF" w:rsidRDefault="00022C32"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К 1917 г. удалось построить лишь небольшой поселок барачного типа в Кондопоге, проложить железнодорожную ветку до деревни Сопохи, где планировалось сооружение водонапорной плотины, провести нивелировку трассы канала ГЭС и расчистить ее от леса. Была завезена также часть оборудования; эта стройка в Кондопоге, с использованием свыше тысячи военнопленных, не близилась к концу и в 1917 г. После Февральской революции работы на Суне были приостановлены (18409).</w:t>
      </w:r>
    </w:p>
    <w:p w14:paraId="1E8C7344" w14:textId="77777777" w:rsidR="00022C32" w:rsidRPr="002F2FDF" w:rsidRDefault="00022C32" w:rsidP="0083075A">
      <w:pPr>
        <w:pStyle w:val="p1"/>
        <w:spacing w:before="0" w:beforeAutospacing="0" w:after="0" w:afterAutospacing="0"/>
        <w:jc w:val="both"/>
        <w:rPr>
          <w:color w:val="000000" w:themeColor="text1"/>
          <w:sz w:val="16"/>
          <w:szCs w:val="16"/>
        </w:rPr>
      </w:pPr>
    </w:p>
    <w:p w14:paraId="0D2EAA35" w14:textId="77777777" w:rsidR="003C4B91" w:rsidRPr="002F2FDF" w:rsidRDefault="003C4B91"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К началу 1917 г. главное здание трубочного завода в Пензе (то есть 60% по площади производственных помещений) было «выстроено под крышу», сооружены склады, водонапорная башня и другие здания вспомогательного назначения; проведена железная дорога. 28 апреля 1917 г. при пересмотре Комиссией Покровского программы строительства новых заводов, создание Пензенского трубочного завода решено было продолжить. Для Пензенского завода предназначался готовый комплект станков, инструментов и лекал, предложенный за 1,5 млн. долларов заводом Recording and Computing Со в Дейтоне (США) (18409).</w:t>
      </w:r>
    </w:p>
    <w:p w14:paraId="52447710" w14:textId="77777777" w:rsidR="003C4B91" w:rsidRPr="002F2FDF" w:rsidRDefault="003C4B91" w:rsidP="0083075A">
      <w:pPr>
        <w:pStyle w:val="p1"/>
        <w:spacing w:before="0" w:beforeAutospacing="0" w:after="0" w:afterAutospacing="0"/>
        <w:jc w:val="both"/>
        <w:rPr>
          <w:color w:val="000000" w:themeColor="text1"/>
          <w:sz w:val="16"/>
          <w:szCs w:val="16"/>
        </w:rPr>
      </w:pPr>
    </w:p>
    <w:p w14:paraId="2798896A"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началу 1917 г. нехватка в армии отмечалась только в отечественном стрелковом, особенно автоматическом оружии. Но и эти проблемы были на пути к решению (11230). Россия была очень притягательной для иностранного капитала. Сюда переносили свою деятельность многие европейские фирмы, например по производству пулеметов "Мадсен" (ныне Ковровский завод им. Дегтярева), то же самое планировал "Виккерс". Для производства авиадвигателей в военные годы были созданы филиалы фирм "Рено", "Гном и Рон", "Сальмсон". Имел намерение открыть свой филиал "Фиат". Не уступая "иноземцам", за производство новых перспективных видов техники взялись и старые российские промышленные дома Рябушинских, Ильиных, Второвых, Терещенко и др., возникли новые товарищества. Военные заказы послужили мощным стимулом дальнейшего прогресса отечественной тяжелой индустрии. Эти и другие новые предприятия стали впоследствии надежной базой для "социалистической индустриализации" в 30-е годы (11230). Война внесла существенные коррективы в развитие отраслей российской промышленности. Военные </w:t>
      </w:r>
      <w:r w:rsidRPr="002F2FDF">
        <w:rPr>
          <w:rFonts w:ascii="Times New Roman" w:hAnsi="Times New Roman" w:cs="Times New Roman"/>
          <w:color w:val="000000" w:themeColor="text1"/>
          <w:kern w:val="2"/>
          <w:sz w:val="16"/>
          <w:szCs w:val="16"/>
        </w:rPr>
        <w:lastRenderedPageBreak/>
        <w:t>заказы заложили основу для создания мощной автомобильной индустрии, не получившей ранее большого развития из-за ограниченной сети пригодных дорог. Это имело важное значение для отечественного Воздушного флота, так как автомобильная индустрия в известной мере являлась опорой авиационной промышленности (11230).</w:t>
      </w:r>
    </w:p>
    <w:p w14:paraId="21DC70DD"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E2A17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1917 г. заграничные заказы на порох были выполнены на 35—40 %, а за</w:t>
      </w:r>
      <w:r w:rsidRPr="002F2FDF">
        <w:rPr>
          <w:rFonts w:ascii="Times New Roman" w:hAnsi="Times New Roman" w:cs="Times New Roman"/>
          <w:color w:val="000000" w:themeColor="text1"/>
          <w:kern w:val="2"/>
          <w:sz w:val="16"/>
          <w:szCs w:val="16"/>
        </w:rPr>
        <w:softHyphen/>
        <w:t>казы на пироксилин — почти на 80 %. В октябре 1916 г. по расчетам ГАУ, произведенным на основании полученного к тому времени опыта войны, для русской армии требовалось ежегодно до 7 500 тыс. пудов бездымного и до 800 тыс. пудов дымного пороха. Все казенные и частные пороховые заводы России после завершения их реконструкции и расширения могли давать ежегодно всего около 1364 тыс. пудов бездымного и 324 тыс. пудов дымного пороха. Воен</w:t>
      </w:r>
      <w:r w:rsidRPr="002F2FDF">
        <w:rPr>
          <w:rFonts w:ascii="Times New Roman" w:hAnsi="Times New Roman" w:cs="Times New Roman"/>
          <w:color w:val="000000" w:themeColor="text1"/>
          <w:kern w:val="2"/>
          <w:sz w:val="16"/>
          <w:szCs w:val="16"/>
        </w:rPr>
        <w:softHyphen/>
        <w:t>ное ведомство уже в 1914 г. прибегло к закупкам пороха за границей, главным образом в США. Основным поставщиком была фирма “Дюпон”, хотя к выполнению русских заказов на порох и пирокси</w:t>
      </w:r>
      <w:r w:rsidRPr="002F2FDF">
        <w:rPr>
          <w:rFonts w:ascii="Times New Roman" w:hAnsi="Times New Roman" w:cs="Times New Roman"/>
          <w:color w:val="000000" w:themeColor="text1"/>
          <w:kern w:val="2"/>
          <w:sz w:val="16"/>
          <w:szCs w:val="16"/>
        </w:rPr>
        <w:softHyphen/>
        <w:t>лин было привлечено и несколько других американских фирм. Потребность в порохе была велика, и Россия закупала его не только в Америке, но и в Англии, Франции, Японии, Италии. За гра</w:t>
      </w:r>
      <w:r w:rsidRPr="002F2FDF">
        <w:rPr>
          <w:rFonts w:ascii="Times New Roman" w:hAnsi="Times New Roman" w:cs="Times New Roman"/>
          <w:color w:val="000000" w:themeColor="text1"/>
          <w:kern w:val="2"/>
          <w:sz w:val="16"/>
          <w:szCs w:val="16"/>
        </w:rPr>
        <w:softHyphen/>
        <w:t>ницей, главным образом в Америке, для русской армии было заказа</w:t>
      </w:r>
      <w:r w:rsidRPr="002F2FDF">
        <w:rPr>
          <w:rFonts w:ascii="Times New Roman" w:hAnsi="Times New Roman" w:cs="Times New Roman"/>
          <w:color w:val="000000" w:themeColor="text1"/>
          <w:kern w:val="2"/>
          <w:sz w:val="16"/>
          <w:szCs w:val="16"/>
        </w:rPr>
        <w:softHyphen/>
        <w:t>но до 6,5 млн пудов разных порохов, не считая пороха, заказанного в виде полных выстрелов и патронов, и около 0,7 млн пудов пирокси</w:t>
      </w:r>
      <w:r w:rsidRPr="002F2FDF">
        <w:rPr>
          <w:rFonts w:ascii="Times New Roman" w:hAnsi="Times New Roman" w:cs="Times New Roman"/>
          <w:color w:val="000000" w:themeColor="text1"/>
          <w:kern w:val="2"/>
          <w:sz w:val="16"/>
          <w:szCs w:val="16"/>
        </w:rPr>
        <w:softHyphen/>
        <w:t>лина. Всего за 1914—1917 гг. было заготовлено пороха 5,2 млн пудов (а с дымным порохом 6 млн пудов), в том числе орудийного около 4,4 млн пудов и винтовочного около 0,8 млн пудов. Из общего коли</w:t>
      </w:r>
      <w:r w:rsidRPr="002F2FDF">
        <w:rPr>
          <w:rFonts w:ascii="Times New Roman" w:hAnsi="Times New Roman" w:cs="Times New Roman"/>
          <w:color w:val="000000" w:themeColor="text1"/>
          <w:kern w:val="2"/>
          <w:sz w:val="16"/>
          <w:szCs w:val="16"/>
        </w:rPr>
        <w:softHyphen/>
        <w:t>чества заготовленного пороха около 2 млн пудов произвели казенные заводы, а 3,2 млн, или 62 %, т. е. большая часть пороха, была получе</w:t>
      </w:r>
      <w:r w:rsidRPr="002F2FDF">
        <w:rPr>
          <w:rFonts w:ascii="Times New Roman" w:hAnsi="Times New Roman" w:cs="Times New Roman"/>
          <w:color w:val="000000" w:themeColor="text1"/>
          <w:kern w:val="2"/>
          <w:sz w:val="16"/>
          <w:szCs w:val="16"/>
        </w:rPr>
        <w:softHyphen/>
        <w:t>на из-за границы [5, с. 216]. В течение всей войны армия нуждалась в бездымном порохе, в частности, для винтовочных патронов. Из-за несвоевременной по</w:t>
      </w:r>
      <w:r w:rsidRPr="002F2FDF">
        <w:rPr>
          <w:rFonts w:ascii="Times New Roman" w:hAnsi="Times New Roman" w:cs="Times New Roman"/>
          <w:color w:val="000000" w:themeColor="text1"/>
          <w:kern w:val="2"/>
          <w:sz w:val="16"/>
          <w:szCs w:val="16"/>
        </w:rPr>
        <w:softHyphen/>
        <w:t>ставки пороха в 1915 и 1916 гг. неоднократно останавливались пат</w:t>
      </w:r>
      <w:r w:rsidRPr="002F2FDF">
        <w:rPr>
          <w:rFonts w:ascii="Times New Roman" w:hAnsi="Times New Roman" w:cs="Times New Roman"/>
          <w:color w:val="000000" w:themeColor="text1"/>
          <w:kern w:val="2"/>
          <w:sz w:val="16"/>
          <w:szCs w:val="16"/>
        </w:rPr>
        <w:softHyphen/>
        <w:t>ронные заводы. Несколько лучше было положение с производством черного дымного пороха. На частных заводах в 1914—1917 гг. было изготовлено 4 424 тыс. пудов этого пороха. Кроме того, закуплено за границей в 1915 г. 288 300 пудов, в 1916 г. — 1 797 613, в 1917 г — 758 829 пудов [7, с. 127]. (5484).</w:t>
      </w:r>
    </w:p>
    <w:p w14:paraId="3158D0C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4F5DB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 возвели некоторые постройки и заказали оборудование Нижегородского завода взрывчатых веществ. К сентябрю 1916 г., по расчетам ГАУ, потребность во взрывчатых веществах определялась в 15 млн пудов на срок с 1 сен</w:t>
      </w:r>
      <w:r w:rsidRPr="002F2FDF">
        <w:rPr>
          <w:rFonts w:ascii="Times New Roman" w:hAnsi="Times New Roman" w:cs="Times New Roman"/>
          <w:color w:val="000000" w:themeColor="text1"/>
          <w:kern w:val="2"/>
          <w:sz w:val="16"/>
          <w:szCs w:val="16"/>
        </w:rPr>
        <w:softHyphen/>
        <w:t>тября 1916 г. по 1 января 1918 г. или по 900 тыс. пудов в месяц. Это количество требовалось для снаряжения снарядов всех калибров и назначений, но только для наземной артиллерии. Самарский и Шлиссельбургский заводы вместе выпускали до 50 тыс. пудов троти</w:t>
      </w:r>
      <w:r w:rsidRPr="002F2FDF">
        <w:rPr>
          <w:rFonts w:ascii="Times New Roman" w:hAnsi="Times New Roman" w:cs="Times New Roman"/>
          <w:color w:val="000000" w:themeColor="text1"/>
          <w:kern w:val="2"/>
          <w:sz w:val="16"/>
          <w:szCs w:val="16"/>
        </w:rPr>
        <w:softHyphen/>
        <w:t>ла в месяц. Остальные тротиловые заводы — Охтинский и частные, возникшие во время войны, давали в совокупности до 25 тыс. пудов тротила в месяц. Производства других взрывчатых веществ (мелинита, ксилила, динитронафталина, аммонала, аммотолов и т. п.), организованные во время войны Химическим комитетом ГАУ, возглавляемым акаде</w:t>
      </w:r>
      <w:r w:rsidRPr="002F2FDF">
        <w:rPr>
          <w:rFonts w:ascii="Times New Roman" w:hAnsi="Times New Roman" w:cs="Times New Roman"/>
          <w:color w:val="000000" w:themeColor="text1"/>
          <w:kern w:val="2"/>
          <w:sz w:val="16"/>
          <w:szCs w:val="16"/>
        </w:rPr>
        <w:softHyphen/>
        <w:t>миком В. Н. Ипатьевым, в общей сложности давали до 70 тыс. пудов взрывчатки в месяц. Однако потребности русской армии во взрывча</w:t>
      </w:r>
      <w:r w:rsidRPr="002F2FDF">
        <w:rPr>
          <w:rFonts w:ascii="Times New Roman" w:hAnsi="Times New Roman" w:cs="Times New Roman"/>
          <w:color w:val="000000" w:themeColor="text1"/>
          <w:kern w:val="2"/>
          <w:sz w:val="16"/>
          <w:szCs w:val="16"/>
        </w:rPr>
        <w:softHyphen/>
        <w:t>тых веществах не удовлетворялись. В программе строительства новых казенных военных заводов, представленной начальником ГАУ генералом А. А. Маниковским военному министру 20 октября 1916 г., значительное место занима</w:t>
      </w:r>
      <w:r w:rsidRPr="002F2FDF">
        <w:rPr>
          <w:rFonts w:ascii="Times New Roman" w:hAnsi="Times New Roman" w:cs="Times New Roman"/>
          <w:color w:val="000000" w:themeColor="text1"/>
          <w:kern w:val="2"/>
          <w:sz w:val="16"/>
          <w:szCs w:val="16"/>
        </w:rPr>
        <w:softHyphen/>
        <w:t>ли предприятия, производящие взрывчатые вещества и исходные компоненты для них, а также снаряжательные заводы и мастерские [5, с. 135; 29, 37, 43]. В программу строительства, разработанную А. А. Маниковским и утвержденную Особым совещанием по обороне, было включено 37 предприятий. Примерно половину общего числа включенных в строительную программу объектов составляли заводы взрывчатых веществ и снаряжения, а также химические заводы по изготовлению толуола, селитры и кислот. Строительство Нижегородского завода взрывчатых веществ. Утверждено правительством в июне 1915 г. Завод был запроектиро</w:t>
      </w:r>
      <w:r w:rsidRPr="002F2FDF">
        <w:rPr>
          <w:rFonts w:ascii="Times New Roman" w:hAnsi="Times New Roman" w:cs="Times New Roman"/>
          <w:color w:val="000000" w:themeColor="text1"/>
          <w:kern w:val="2"/>
          <w:sz w:val="16"/>
          <w:szCs w:val="16"/>
        </w:rPr>
        <w:softHyphen/>
        <w:t>ван первоначально для производства в год: до 550 тыс. пудов троти</w:t>
      </w:r>
      <w:r w:rsidRPr="002F2FDF">
        <w:rPr>
          <w:rFonts w:ascii="Times New Roman" w:hAnsi="Times New Roman" w:cs="Times New Roman"/>
          <w:color w:val="000000" w:themeColor="text1"/>
          <w:kern w:val="2"/>
          <w:sz w:val="16"/>
          <w:szCs w:val="16"/>
        </w:rPr>
        <w:softHyphen/>
        <w:t>ла, до 12 тыс. пудов тетрила и снаряжения снарядов крупных, сред</w:t>
      </w:r>
      <w:r w:rsidRPr="002F2FDF">
        <w:rPr>
          <w:rFonts w:ascii="Times New Roman" w:hAnsi="Times New Roman" w:cs="Times New Roman"/>
          <w:color w:val="000000" w:themeColor="text1"/>
          <w:kern w:val="2"/>
          <w:sz w:val="16"/>
          <w:szCs w:val="16"/>
        </w:rPr>
        <w:softHyphen/>
        <w:t>них и малых калибров в количествах, соответствующих выработке тротила, но вскоре проектное задание было увеличено до 630 тыс. пудов тротила и 13,7 тыс. пудов тетрила. Строительство начали только в 1916 г. После Октябрьской революции строительство завода практически прекратилось. В по</w:t>
      </w:r>
      <w:r w:rsidRPr="002F2FDF">
        <w:rPr>
          <w:rFonts w:ascii="Times New Roman" w:hAnsi="Times New Roman" w:cs="Times New Roman"/>
          <w:color w:val="000000" w:themeColor="text1"/>
          <w:kern w:val="2"/>
          <w:sz w:val="16"/>
          <w:szCs w:val="16"/>
        </w:rPr>
        <w:softHyphen/>
        <w:t>следующие годы неоднократно возникал вопрос о ликвидации строи</w:t>
      </w:r>
      <w:r w:rsidRPr="002F2FDF">
        <w:rPr>
          <w:rFonts w:ascii="Times New Roman" w:hAnsi="Times New Roman" w:cs="Times New Roman"/>
          <w:color w:val="000000" w:themeColor="text1"/>
          <w:kern w:val="2"/>
          <w:sz w:val="16"/>
          <w:szCs w:val="16"/>
        </w:rPr>
        <w:softHyphen/>
        <w:t>тельства, но благодаря энергии и настойчивости управляющего за</w:t>
      </w:r>
      <w:r w:rsidRPr="002F2FDF">
        <w:rPr>
          <w:rFonts w:ascii="Times New Roman" w:hAnsi="Times New Roman" w:cs="Times New Roman"/>
          <w:color w:val="000000" w:themeColor="text1"/>
          <w:kern w:val="2"/>
          <w:sz w:val="16"/>
          <w:szCs w:val="16"/>
        </w:rPr>
        <w:softHyphen/>
        <w:t>водом И. А. Невструева и коллектива инженерно-технических ра</w:t>
      </w:r>
      <w:r w:rsidRPr="002F2FDF">
        <w:rPr>
          <w:rFonts w:ascii="Times New Roman" w:hAnsi="Times New Roman" w:cs="Times New Roman"/>
          <w:color w:val="000000" w:themeColor="text1"/>
          <w:kern w:val="2"/>
          <w:sz w:val="16"/>
          <w:szCs w:val="16"/>
        </w:rPr>
        <w:softHyphen/>
        <w:t>ботников этого не случилось. Строительство завода продолжалось без разрешения и поддержки из центра [5, с. 136]. Был разработан проект Уфимского завода взрывчатых веществ, но строительство его так и не было начато (5484).</w:t>
      </w:r>
    </w:p>
    <w:p w14:paraId="7ACBA22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1990FB" w14:textId="1AA3461C"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 за Морским ведомством числилось 117 130/55-мм орудий. На июнь 1922 г. на ОСЗ оставалось 47 новых 130/55-мм орудий с готовностью от 15 до 95%. В 1914-1917 гг. 130/55-мм орудиями вооружены черноморские линейные корабли типа «Императрица Мария» (60) и перевооружены КР «Диана» (10),</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«Богатырь» (16), «Кагул» (16), «Прут» (10), «Муравьев-Амурский» и «Невельской» (16), «Светлана»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и «Адмирал Бутаков» (30); КЛ «Храбрый», морской</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полигон (4), без назначения (10) (15132).</w:t>
      </w:r>
    </w:p>
    <w:p w14:paraId="7CDBD81A" w14:textId="77777777"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p>
    <w:p w14:paraId="18FE6571" w14:textId="0B7ACB11"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 Обуховский завод изготовил 52 ствола 305 мм гаубиц обр. 1915 г. На Металлическом заводе в 1917 г. имелись</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 разной степени готовности 8 лафетов. Люлька накладывается и закрепляется своими цапфами в лодыгах, уставленных на станке. При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действии подъёмным механизмом люлька может</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перемещаться в пределах от -2е до +60е градусов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вертикальной плоскости. Ствол и люлька образуют</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качающуюся часть системы. При выстреле ствол вместе с закреплёнными с ним штоками тормозов отката и накатника откатывается, скользя по направляющим планкам</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люльки, которая остаётся вместе со станком неподвижной. По окончании отката под действием</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накатника ствол возвращается в своё первоначальное положение. Цапфы расположены на люльке таким образом, что качающаяся часть находится в уравновешенном</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положении, что облегчает действие подъёмным механизмом. Горизонтальное наведение производится поворотным механизмом, при действии которого вращается на шарах весь лафет с основной плитой вокруг центральной втулки подпятника, при этом задняя</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часть станка перекатывается на двух задних опорных роликах по задней части фундаментной рамы. Станок — клепанный из стальных листов толщиной 13 мм, для большей жёсткости усиленный скрепляющими угольниками. Снизу в передней</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части станка к станинам при помощи угольников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приклёпана основная плита, служащая одновременно нижним основанием станка и верхним погоном</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шарового подпятника. С нижней стороны основной</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плиты выбрана канавка, которой она опирается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стальные шары, лежащие на фундаментной раме. К станинам приклёпаны откидные сидения у прицелов, откидные площадки у затвора ствола,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съёмные подножки и поручни для удобства обращения орудийного расчёта с отдельными механизмами гаубицы. Щитовое прикрытие имеет толщину 10 мм. На правой стороне станка расположены механизмы горизонтального наведения, на левой — вертикального. Гаубица снабжена двумя прицельными приспособлениями для раздельной наводки: правым для горизонтального наведения и левым — для вертикального. Каждое прицельное приспособление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укомплектовано панорамой четырёхкратного увеличения с поворотной головкой и угломером. Установленные на прицелах уровни позволяют учитывать при наводке негоризонтальность цапф. Фундаментная рама служит жёстким основанием, на котором лежит нижний погон шарикового подпятника, несущий на себе всю тяжесть гаубицы и преодолевающий усилия, возникающие в станке после выстрела. По задней части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фундаментной рамы перемещаются опорные ролики поворотного механизма при горизонтальном наведении гаубицы. Установочные части предназначены для соединения нижнего погона шарикового подпятника, фундаментной рамы и деревянного основания. Деревянное основание помещается в вырытом в земле котловане глубиной 2 м и состоит из рядов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квадратных брусьев со стороной 230 мм, уложенных</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поочередно рядами вдоль и поперёк основания гаубицы и скреплённых между собой планками, болтами и скобами. Длина деревянного основания — 7750 мм, ширина — 6400 мм. Практика применения деревянного основания во время Первой мировой войны внесла коррективы в первоначальный проект — вместо 4 рядов брусьев стали укладывать 6. Позади гаубицы, на верхний ряд брусьев укладываются 24 стальные пластины разной длины, которые образуют настил для радиусного пути тележки для подвоза снарядов. Для облегчения заряжания гаубицы в задней части станка устанавливалась тумба с поворотным</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 вертикальной плоскости лотком. Длина лотка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была несколько больше длины снаряда. Ось лотка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при заряжании была наклонена к горизонту под углом 2 градуса и составляла продолжение оси канала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ствола гаубицы при угле заряжания. Наклон лотка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и ствола сделаны для компенсации трения при движении снаряда по лотку и в каморе. Снарядный желоб и кокорная тележка устанавливались на одной линии с осью канала ствола и снаряд силами расчёта подавался в зарядную камору.</w:t>
      </w:r>
    </w:p>
    <w:p w14:paraId="72866D99" w14:textId="77777777"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Пороховой заряд закладывался вручную. На тележке перевозили сразу два снаряда.</w:t>
      </w:r>
    </w:p>
    <w:p w14:paraId="2A2786B6" w14:textId="77777777"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ТТХ 305-мм гаубицы:</w:t>
      </w:r>
    </w:p>
    <w:p w14:paraId="4967BEF8" w14:textId="77777777"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Калибр..............................304,8 мм</w:t>
      </w:r>
    </w:p>
    <w:p w14:paraId="2C161B8B" w14:textId="77777777"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Длина ствола..........................20 клб</w:t>
      </w:r>
    </w:p>
    <w:p w14:paraId="672B691A" w14:textId="77777777"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нарезов.............................72</w:t>
      </w:r>
    </w:p>
    <w:p w14:paraId="076C00D6" w14:textId="77777777"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Угол вертикального наведения......-2+60 град</w:t>
      </w:r>
    </w:p>
    <w:p w14:paraId="5568C4EB" w14:textId="77777777"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Угол горизонтального наведения.......60 град</w:t>
      </w:r>
    </w:p>
    <w:p w14:paraId="2F574789" w14:textId="77777777"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Высота оси цапф орудия...............2394 мм</w:t>
      </w:r>
    </w:p>
    <w:p w14:paraId="42601648" w14:textId="77777777"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Радиус вращения задних</w:t>
      </w:r>
    </w:p>
    <w:p w14:paraId="7B4394E1" w14:textId="77777777"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Опорных роликов.....................4200 мм</w:t>
      </w:r>
    </w:p>
    <w:p w14:paraId="6AB37BF0" w14:textId="54F00BB7"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Вес системы в боевом положении......64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783 кг</w:t>
      </w:r>
    </w:p>
    <w:p w14:paraId="02A69E4D" w14:textId="13B2D587"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Вес люльки..........................11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220 кг</w:t>
      </w:r>
    </w:p>
    <w:p w14:paraId="4D13A9F7" w14:textId="44434569"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Вес лафета...........................19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656 кг</w:t>
      </w:r>
    </w:p>
    <w:p w14:paraId="066C5934" w14:textId="6EC8967C"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Вес фундаментной рамы............... 5242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кг</w:t>
      </w:r>
    </w:p>
    <w:p w14:paraId="05A6DCA9" w14:textId="21E0B050"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Вес деревянного основания...........11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466 кг</w:t>
      </w:r>
    </w:p>
    <w:p w14:paraId="6D6BFEC8" w14:textId="77777777"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Скорострельность........1 выстрел в 3 минуты</w:t>
      </w:r>
    </w:p>
    <w:p w14:paraId="631A321E" w14:textId="77777777"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Начальная скорость....................442 м/с</w:t>
      </w:r>
    </w:p>
    <w:p w14:paraId="7F01A5A7" w14:textId="77777777"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Дальность стрельбы.................. 13 490 м</w:t>
      </w:r>
    </w:p>
    <w:p w14:paraId="7D3CE210" w14:textId="6A5CAB3D"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xml:space="preserve">Вес снаряда............................ 376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кг</w:t>
      </w:r>
    </w:p>
    <w:p w14:paraId="23B97D52" w14:textId="3CF7FE89"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Вес заряда...............................28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кг (15132).</w:t>
      </w:r>
    </w:p>
    <w:p w14:paraId="1E096FDC" w14:textId="77777777"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p>
    <w:p w14:paraId="6B14FFD2" w14:textId="77777777"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года на фронт отправили 137 пушек Розенберга, 150 должны были отправиться в первой половине года. Каждый пехотный полк по планам командования должен был снабжаться батареей в 4 траншейные пушки. Соответственно, для 687 полков было необходимо 2748 пушек, а также требовалось 144 пушки на ежемесячное пополнение. Увы, данные планы не были осуществлены в связи с начавшимся развалом армии в феврале 1917 года и последовавшим развалом военной промышленности с некоторым запозданием. В Россию из США в 1916-1917 годах было поставлено 218 ед. 37-миллиметровых автоматических пушек Маклена, так же использовавшихся как батальонная артиллерия. В автоматике пушки реализован принцип отвода газов. Питание осуществлялось от обоймы емкостью 5 патронов. Пушку Маклена устанавливали на колесный и тумбовый лафет. В батальонной артиллерии пушки использовали лишь на жестком колесном лафете. Противооткатные устройства отсутствовали. Поворотный и подъемный механизмы винтовые. Пушка в походном положении буксировалась конной тягой с передком, в котором было размещено 120 патронов. Выстрел от 37-миллиметровой пушки Маклена взаимозаменяем с выстрелом от других 37-миллиметровых пушек (Розенберга, Гочкиса и других) (15599).</w:t>
      </w:r>
    </w:p>
    <w:p w14:paraId="1FA6FE46" w14:textId="77777777" w:rsidR="00D40A22" w:rsidRPr="002F2FDF" w:rsidRDefault="00D40A22" w:rsidP="0083075A">
      <w:pPr>
        <w:spacing w:after="0" w:line="240" w:lineRule="auto"/>
        <w:jc w:val="both"/>
        <w:rPr>
          <w:rFonts w:ascii="Times New Roman" w:hAnsi="Times New Roman" w:cs="Times New Roman"/>
          <w:color w:val="000000" w:themeColor="text1"/>
          <w:kern w:val="2"/>
          <w:sz w:val="16"/>
          <w:szCs w:val="16"/>
        </w:rPr>
      </w:pPr>
    </w:p>
    <w:p w14:paraId="647574F5"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началу 1917 г. было отстроено здание Воронежского завода взрывателей и доставлены некоторые механизмы. В связи с революцией строительство остановилось и в 1918 г. было совершенно ликвидировано. Произведенные сооружения переданы Народному комиссариату путей сообщения. Оборудование распределено по артиллерийским заводам (11329). </w:t>
      </w:r>
    </w:p>
    <w:p w14:paraId="0914B752"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C96FDF"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началу 1917 г. на Тамбовском пороховом заводе были выстроены две пороходельные линии зданий, из коих одна была оборудована. Пироксилиновый отдел только начат был постройкой. Все сооружения общего технического обслуживания — водопровод, отопление, освещение и пр. — были исполнены. </w:t>
      </w:r>
    </w:p>
    <w:p w14:paraId="1CD5A8DD"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конце войны завод начал готовить порох из американского пироксилина. С революцией строительство было остановлено и в дальнейшем не продолжалось. </w:t>
      </w:r>
    </w:p>
    <w:p w14:paraId="4BBBDAA9"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Стоимость постройки, рассчитанная по ценам 1916 г., выражалась в суммах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04"/>
        <w:gridCol w:w="2916"/>
        <w:gridCol w:w="1476"/>
      </w:tblGrid>
      <w:tr w:rsidR="002B1C74" w:rsidRPr="002F2FDF" w14:paraId="3AB8AFDD" w14:textId="77777777" w:rsidTr="00247AF3">
        <w:tc>
          <w:tcPr>
            <w:tcW w:w="1104" w:type="dxa"/>
            <w:tcBorders>
              <w:top w:val="single" w:sz="12" w:space="0" w:color="auto"/>
            </w:tcBorders>
          </w:tcPr>
          <w:p w14:paraId="00C05DF7" w14:textId="621D8945" w:rsidR="00D40A2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2916" w:type="dxa"/>
            <w:tcBorders>
              <w:top w:val="single" w:sz="12" w:space="0" w:color="auto"/>
            </w:tcBorders>
          </w:tcPr>
          <w:p w14:paraId="6EE174AA"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строительные работы</w:t>
            </w:r>
          </w:p>
        </w:tc>
        <w:tc>
          <w:tcPr>
            <w:tcW w:w="1476" w:type="dxa"/>
            <w:tcBorders>
              <w:top w:val="single" w:sz="12" w:space="0" w:color="auto"/>
            </w:tcBorders>
          </w:tcPr>
          <w:p w14:paraId="5A4596D8"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12,1</w:t>
            </w:r>
          </w:p>
        </w:tc>
      </w:tr>
      <w:tr w:rsidR="002B1C74" w:rsidRPr="002F2FDF" w14:paraId="01D29477" w14:textId="77777777" w:rsidTr="00247AF3">
        <w:tc>
          <w:tcPr>
            <w:tcW w:w="1104" w:type="dxa"/>
          </w:tcPr>
          <w:p w14:paraId="5A3F917E" w14:textId="76CBC081" w:rsidR="00D40A2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2916" w:type="dxa"/>
          </w:tcPr>
          <w:p w14:paraId="53BD714E"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механические работы</w:t>
            </w:r>
          </w:p>
        </w:tc>
        <w:tc>
          <w:tcPr>
            <w:tcW w:w="1476" w:type="dxa"/>
          </w:tcPr>
          <w:p w14:paraId="25B091B5"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16,6</w:t>
            </w:r>
          </w:p>
        </w:tc>
      </w:tr>
      <w:tr w:rsidR="002B1C74" w:rsidRPr="002F2FDF" w14:paraId="7CBBFDC7" w14:textId="77777777" w:rsidTr="00247AF3">
        <w:tc>
          <w:tcPr>
            <w:tcW w:w="1104" w:type="dxa"/>
          </w:tcPr>
          <w:p w14:paraId="06964631" w14:textId="33CA2EA6" w:rsidR="00D40A2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2916" w:type="dxa"/>
          </w:tcPr>
          <w:p w14:paraId="4E0F78AE"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прочие расходы</w:t>
            </w:r>
          </w:p>
        </w:tc>
        <w:tc>
          <w:tcPr>
            <w:tcW w:w="1476" w:type="dxa"/>
          </w:tcPr>
          <w:p w14:paraId="4295827E"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r>
      <w:tr w:rsidR="002B1C74" w:rsidRPr="002F2FDF" w14:paraId="107C1BFD" w14:textId="77777777" w:rsidTr="00247AF3">
        <w:tc>
          <w:tcPr>
            <w:tcW w:w="1104" w:type="dxa"/>
            <w:tcBorders>
              <w:bottom w:val="single" w:sz="12" w:space="0" w:color="auto"/>
            </w:tcBorders>
          </w:tcPr>
          <w:p w14:paraId="5303AB9C" w14:textId="4D59E3AE" w:rsidR="00D40A2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2916" w:type="dxa"/>
            <w:tcBorders>
              <w:bottom w:val="single" w:sz="12" w:space="0" w:color="auto"/>
            </w:tcBorders>
          </w:tcPr>
          <w:p w14:paraId="4EDB644D"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1476" w:type="dxa"/>
            <w:tcBorders>
              <w:bottom w:val="single" w:sz="12" w:space="0" w:color="auto"/>
            </w:tcBorders>
          </w:tcPr>
          <w:p w14:paraId="51A3B5A3"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30,1</w:t>
            </w:r>
          </w:p>
        </w:tc>
      </w:tr>
    </w:tbl>
    <w:p w14:paraId="044A705C"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(11329).</w:t>
      </w:r>
    </w:p>
    <w:p w14:paraId="36C53CC9"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B9A9CF"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началу 1917 г. на Нижегородском заводе взрывчатых веществ были возведены вчерне некоторые постройки и заказаны механизмы. С революцией строительство почти приостановилось. В последующие годы возникал неоднократно вопрос о ликвидации Нижегородского завода. Однако благодаря энергии управляющего заводом И.А. Невструева и заводских инженеров строительство всякими способами, без разрешения из центра, продолжалось и было к концу 1923 г. продвинуто в такой мере, что возможность ликвидации завода была уже исключена (11329). </w:t>
      </w:r>
    </w:p>
    <w:p w14:paraId="38B44C48" w14:textId="77777777" w:rsidR="00D40A22" w:rsidRPr="002F2FDF" w:rsidRDefault="00D40A22" w:rsidP="0083075A">
      <w:pPr>
        <w:pStyle w:val="a3"/>
        <w:rPr>
          <w:color w:val="000000" w:themeColor="text1"/>
          <w:lang w:val="ru-RU"/>
        </w:rPr>
      </w:pPr>
    </w:p>
    <w:p w14:paraId="77DF3713"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 Юзовский завод азотной кислоты был оборудован на 1/3 проектной производительности. В 1917 г. завод начал производство, но в 1918 г. в связи с недостатком топлива прекратил его. За это время изготовлено 150 000 пудов азотной кислоты с 30% моногидрата, которая обращена была в аммиачную селитру (11329). Завод в Юзовке был разрушен во время гражданской войны. Всю документацию Временное правительство бесплатно передало союзникам за границу. Цех по производству азотной кислоты, построенный через 10 лет в Березниках на импортном оборудовании, по технологическим показателям значительно уступал юзовскому.</w:t>
      </w:r>
    </w:p>
    <w:p w14:paraId="4950DAB3" w14:textId="77777777" w:rsidR="00D40A22" w:rsidRPr="002F2FDF" w:rsidRDefault="00D40A22" w:rsidP="0083075A">
      <w:pPr>
        <w:shd w:val="clear" w:color="auto" w:fill="FFFFFF"/>
        <w:autoSpaceDE w:val="0"/>
        <w:autoSpaceDN w:val="0"/>
        <w:adjustRightInd w:val="0"/>
        <w:spacing w:after="0" w:line="240" w:lineRule="auto"/>
        <w:jc w:val="both"/>
        <w:rPr>
          <w:rFonts w:ascii="Times New Roman" w:hAnsi="Times New Roman" w:cs="Times New Roman"/>
          <w:bCs/>
          <w:color w:val="000000" w:themeColor="text1"/>
          <w:kern w:val="2"/>
          <w:sz w:val="16"/>
          <w:szCs w:val="16"/>
        </w:rPr>
      </w:pPr>
    </w:p>
    <w:p w14:paraId="3DE2D62D" w14:textId="77777777" w:rsidR="00E44BC9" w:rsidRPr="002F2FDF" w:rsidRDefault="00E44BC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канун 1917 года русское Морское ведомство поручило Петроградскому Металлическому заводу разработать проект первого русского железнодорожного транспортера с учетом использования орудийных станков с русского броненосца “Ростислав”. Этот завод был широко известен в России как разработчик и изготовитель башенных артиллерийских установок для боевых кораблей русского флота и батарей береговой обороны. В 1912 году завод победил в конкурсе на изготовление 48 орудий 356-мм калибра для четырех русских линкоров: “Измаил”, “Бородино”, “Кинбурн” и “Наварин”. К середине 1917 года первая российская артиллерийская установка на основе французского железнодорожного 50-тонного транспортера была изготовлена (11646).</w:t>
      </w:r>
    </w:p>
    <w:p w14:paraId="423F4B53" w14:textId="77777777" w:rsidR="00E44BC9" w:rsidRPr="002F2FDF" w:rsidRDefault="00E44BC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3973DD" w14:textId="77777777" w:rsidR="00E44BC9" w:rsidRPr="002F2FDF" w:rsidRDefault="00E44BC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январю 1917 г. была создана и получила одобрение технической комиссии Императорского Российского автомобильного общества конструкция автомобиля АМО-ФИАТ-15 грузоподъемностью 1,5 т. Предусматривалось выпускать 1500 таких машин в год. Предусматривалось, но не было выпущено. Война, революция, экономический кризис, грозящий обернуться катастрофой (что и произошло к осени) не позволили успешно начатое дело довести до конца. На недооборудованном заводе (точнее, в производственных мастерских) с лета 1917 г. начался ремонт автомобилей. 5 августа 1917 г. подписывается договор с главным военно-техническим управлением сроком до 1 марта 1918 г. о просмотре, чистке, сборке и регулировке получаемых из-за границ автомобилей (кроме "Рено"), а также их ремонте. Подтверждает такой вывод и записка ГВТУ военного ведомства в Особое совещание по обороне государства, направленная в сентябре 1917 г. В ней говорилось:</w:t>
      </w:r>
    </w:p>
    <w:p w14:paraId="641EAE6A" w14:textId="77777777" w:rsidR="00E44BC9" w:rsidRPr="002F2FDF" w:rsidRDefault="00E44BC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Постройка всех зданий, необходимых для осуществления всей предположенной по первоначальному договору производительности завода АМО, является вполне законченной, так как недостающие 5% постройки падают на здания второстепенного и третьестепенного значения. Поэтому никакой поддержки предприятию АМО не требуется.</w:t>
      </w:r>
    </w:p>
    <w:p w14:paraId="0815FD24" w14:textId="77777777" w:rsidR="00E44BC9" w:rsidRPr="002F2FDF" w:rsidRDefault="00E44BC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Оборудование завода АМО обстоит вполне удовлетворительно, так как фактически в распоряжении завода АМО имеется вполне готового оборудования 85%. Не остающие 15% оборудования падают на станки и приспособления второстепенного значения, кои на выпуск предполагаемого годового количества автомобилей влиять не могут. ...</w:t>
      </w:r>
    </w:p>
    <w:p w14:paraId="4E9CFF61" w14:textId="77777777" w:rsidR="00E44BC9" w:rsidRPr="002F2FDF" w:rsidRDefault="00E44BC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Завод АМО, вступивший в особые договорные отношения с итальянским заводом ФИАТ и получивший от последнего лицензию на право пользования его патентами и чертежами, находится в обладании прекрасно разработанного во всех отношениях типа грузового автомобиля 1,5 т, который единогласно признается автомобильными авторитетами наилучшим для условий работ в русской армии".</w:t>
      </w:r>
    </w:p>
    <w:p w14:paraId="77FE1A01" w14:textId="77777777" w:rsidR="00E44BC9" w:rsidRPr="002F2FDF" w:rsidRDefault="00E44BC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Можно, разумеется, говорить о степени объективности составленной записки. Выгодно или невыгодно кому-то было так утверждать - неизвестно. Но сейчас, по прошествии многих лет, ясно, что прежде всего причины социально-экономические, а потом уже технические не позволили в более ранние сроки начать производство первых автомобилей. Не хватало оборотных средств, мешали общая производственная анархия, подрыв авторитета специалистов, рабочая вольница, война. После гражданской - половина рабочих не имели квалификации и прогуливали. Сказалась нехватка производственного опыта у оставшихся на заводе старых специалистов. Но в тех условиях и Г. Форд ничего бы не сделал. Попытки организовать производство АМО-Ф-15 делались в 1918 г. и начиная с 1921 г. Технические ресурсы завода позволяли строить полуторатонные грузовики, но нужно было создавать школу своего автомобилестроения. Она создавалась постепенно - в процессе восстановления "Уайтов", через крупный ремонт (11195).</w:t>
      </w:r>
    </w:p>
    <w:p w14:paraId="6A389C89" w14:textId="77777777" w:rsidR="00E44BC9" w:rsidRPr="002F2FDF" w:rsidRDefault="00E44BC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DA1D7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 сформировали и направили в действующую армию 59 мо</w:t>
      </w:r>
      <w:r w:rsidRPr="002F2FDF">
        <w:rPr>
          <w:rFonts w:ascii="Times New Roman" w:hAnsi="Times New Roman" w:cs="Times New Roman"/>
          <w:color w:val="000000" w:themeColor="text1"/>
          <w:kern w:val="2"/>
          <w:sz w:val="16"/>
          <w:szCs w:val="16"/>
        </w:rPr>
        <w:softHyphen/>
        <w:t>тоциклетных воинских подразделений: 2 мотоциклетные роты, 55 мотоциклетных отделений, 2 мотоциклетных команды [2.27]. В 1916 году ГУГШ планировало увеличить количество мотоцик</w:t>
      </w:r>
      <w:r w:rsidRPr="002F2FDF">
        <w:rPr>
          <w:rFonts w:ascii="Times New Roman" w:hAnsi="Times New Roman" w:cs="Times New Roman"/>
          <w:color w:val="000000" w:themeColor="text1"/>
          <w:kern w:val="2"/>
          <w:sz w:val="16"/>
          <w:szCs w:val="16"/>
        </w:rPr>
        <w:softHyphen/>
        <w:t>летных отделений и довести их до 61 [2.50]. Однако сведений о воплощении этого замысла автору выявить не удалось. За период 1913-1917 гг. Россия приобрела 16 133 мотоцикла, из них до окончания войны выбыли из строя в результате воен</w:t>
      </w:r>
      <w:r w:rsidRPr="002F2FDF">
        <w:rPr>
          <w:rFonts w:ascii="Times New Roman" w:hAnsi="Times New Roman" w:cs="Times New Roman"/>
          <w:color w:val="000000" w:themeColor="text1"/>
          <w:kern w:val="2"/>
          <w:sz w:val="16"/>
          <w:szCs w:val="16"/>
        </w:rPr>
        <w:softHyphen/>
        <w:t>ных действий 15 440 экземпляра [2.59], по другим данным -12 тыс. [2.60]. Многие мотоциклы, повреждённые на войне, вос</w:t>
      </w:r>
      <w:r w:rsidRPr="002F2FDF">
        <w:rPr>
          <w:rFonts w:ascii="Times New Roman" w:hAnsi="Times New Roman" w:cs="Times New Roman"/>
          <w:color w:val="000000" w:themeColor="text1"/>
          <w:kern w:val="2"/>
          <w:sz w:val="16"/>
          <w:szCs w:val="16"/>
        </w:rPr>
        <w:softHyphen/>
        <w:t>станавливали в мобильных мотоциклетных мастерских, а также в мастерских и на заводах городов. Благодаря этому к 1 сентября 1917 г. Ставка Верховного Главнокомандующего имела в своём распоряжении примерно 6 тыс. мотоциклов [2.48]. В становлении мирового мотоциклостроения заметную роль сыграли экспериментальные машины. Испытанные на них техни</w:t>
      </w:r>
      <w:r w:rsidRPr="002F2FDF">
        <w:rPr>
          <w:rFonts w:ascii="Times New Roman" w:hAnsi="Times New Roman" w:cs="Times New Roman"/>
          <w:color w:val="000000" w:themeColor="text1"/>
          <w:kern w:val="2"/>
          <w:sz w:val="16"/>
          <w:szCs w:val="16"/>
        </w:rPr>
        <w:softHyphen/>
        <w:t>ческие решения помогли освоить серийное производство мотоцик</w:t>
      </w:r>
      <w:r w:rsidRPr="002F2FDF">
        <w:rPr>
          <w:rFonts w:ascii="Times New Roman" w:hAnsi="Times New Roman" w:cs="Times New Roman"/>
          <w:color w:val="000000" w:themeColor="text1"/>
          <w:kern w:val="2"/>
          <w:sz w:val="16"/>
          <w:szCs w:val="16"/>
        </w:rPr>
        <w:softHyphen/>
        <w:t>лов. При таком пути развития нарождавшейся отрасли техники большое значение имели различные состязания: испытательные пробеги с зачётом неисправностей каждой машины, спортивные соревнования, апробация разных новаций и в движении, и на стен</w:t>
      </w:r>
      <w:r w:rsidRPr="002F2FDF">
        <w:rPr>
          <w:rFonts w:ascii="Times New Roman" w:hAnsi="Times New Roman" w:cs="Times New Roman"/>
          <w:color w:val="000000" w:themeColor="text1"/>
          <w:kern w:val="2"/>
          <w:sz w:val="16"/>
          <w:szCs w:val="16"/>
        </w:rPr>
        <w:softHyphen/>
        <w:t>дах. Так формировалось мотоциклостроение в промышленно развитых странах. Советскому мотоциклостроению предстояло нечто подобное с учётом особенностей состояния нашей про</w:t>
      </w:r>
      <w:r w:rsidRPr="002F2FDF">
        <w:rPr>
          <w:rFonts w:ascii="Times New Roman" w:hAnsi="Times New Roman" w:cs="Times New Roman"/>
          <w:color w:val="000000" w:themeColor="text1"/>
          <w:kern w:val="2"/>
          <w:sz w:val="16"/>
          <w:szCs w:val="16"/>
        </w:rPr>
        <w:softHyphen/>
        <w:t>мышленности и наших дорог в ту пору (11429).</w:t>
      </w:r>
    </w:p>
    <w:p w14:paraId="02AA4FE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85A04A" w14:textId="77777777" w:rsidR="009376D7" w:rsidRPr="002F2FDF" w:rsidRDefault="009376D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 на Московском телефонном заводе, по данным архивов, работало 385 чел. 12 января 1917 г. уполномоченный ГВТУ затребовал у директора завода отчет о положении дел и ходе выполнения обязательств по договору. Ответ директора не удовлетворил заказчика, который решил тщательно обследовать положение дел. Однако ГВТУ так и не удалось выполнить это, поскольку свершилась Февральская буржуазная революция, которая не только счела многовековую Российскую монархию, но и в корне изменила дальнейшую судьбу русского пролетариата, российской промышленности и Московского телефонного завода в частности.</w:t>
      </w:r>
    </w:p>
    <w:p w14:paraId="5562FF0A" w14:textId="77777777" w:rsidR="009376D7" w:rsidRPr="002F2FDF" w:rsidRDefault="009376D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Однако кроме этих неизбежных, объективных факторов на судьбу Московского телефонного завода в значительной мере повлияло и то обстоятельство, что основной заказчик - Главное военно-техническое управление, ожидая значительную выгоду от производства и продажи телефонной и и телеграфной аппаратуры, ещё до февральской революции 1917 года, решило построить в Москве свой собственный телефонно-телеграфный завод, который принадлежал бы Военно-инженерному </w:t>
      </w:r>
      <w:r w:rsidRPr="002F2FDF">
        <w:rPr>
          <w:rFonts w:ascii="Times New Roman" w:hAnsi="Times New Roman" w:cs="Times New Roman"/>
          <w:color w:val="000000" w:themeColor="text1"/>
          <w:kern w:val="2"/>
          <w:sz w:val="16"/>
          <w:szCs w:val="16"/>
        </w:rPr>
        <w:lastRenderedPageBreak/>
        <w:t xml:space="preserve">ведомству (ВИВ). В конце 1915 г. по решению Особого государственного совещания по обороне Российской империи в Москве, у Преображенской заставы, на территории нынешнего завода "Изолит" началось строительство завода, рассчитанного на выпуск 1200 телеграфных и 12 тыс. телефонных аппаратов. В мае 1917 г. ВИВ объявило об открытии завода, на котором работало 450 человек. </w:t>
      </w:r>
    </w:p>
    <w:p w14:paraId="51DEF966" w14:textId="77777777" w:rsidR="009376D7" w:rsidRPr="002F2FDF" w:rsidRDefault="009376D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Обстановка в стране складывалась весьма напряжённая. Немцы рвались к Петрограду., поэтому Советское правительство приняло решение столицу перенести в Москву. В первой половине 1918 г. правительство со всеми наркоматами и учреждениями, в т.ч. ГВТУ, переехало в Москву. В итоге произошло слияние Московского телефонно-телеграфного завода ВИВ с Петроградским заводом (ПЭЗВИВ). И так появилось новое предприятие - Электротехнический завод Военоо-инженерного ведомства (ЭЗВИВ). А в это время на Московском телефонном заводе по Большой Татарской улице происходили следующие события. После бегства хозяев Акционерного общества из Петрограда завод по существу остался беспризорным. Рабочее правление с трудом получило небольшой заказ от Городской телефонной станции на ремонт старых телефонных аппаратов и коммутаторов. Заказов больше не было и тогда рабочее правление поставило вопрос о национализации Московского телефонного завода.</w:t>
      </w:r>
    </w:p>
    <w:p w14:paraId="7212A4EE" w14:textId="77777777" w:rsidR="009376D7" w:rsidRPr="002F2FDF" w:rsidRDefault="009376D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национализации на заводе было создано временное правительственное правление. Экономический комитет Моссовета назначил временным коммисаром на завод Е.М. Альперовича. Проработав на заводе не многим больше месяца, временный коммисар представил 8 марта 1918 г. Президиуму Московского экономического комитета доклад, из которого следовало, что при сложившемся положении дел завод целесообразнее всего закрыть, а рабочих и служащих расчитать (уволить). Было создано ликвидационное правление, которое через Моссовет получило ссуду и начало расчитывать рабочих. Таким образом , в апреле 1918 года сложилась такая ситуация, при которой в Москве оказались полностью построенный и оборудованный, но не имеющий денег и заказов и потому закрытый Телефонный завод на Большой Татарской улице, и недостроенный, но функционирующий и выполняющий заказы ГВТУ Телефонно-телеграфный завод на Преображенке, а также находящийся в стадии эвакуации в Москву для слияния с ним бывшый Петроградский ПЭЗВИВ, "наследник" фирмы "К. Лоренц". В итоге 16 апреля 1918 года Президиум ВСНХ постановил слить Московский телефонный завод с эвакуированным из Петрограда ПЭЗВИВ и образовать на их основе ПЕРВЫЙ ГОСУДАРСТВЕННЫЙ ЭЛЕКТРОТЕХНИЧЕСКИЙ ЗАВОД. Это день рождения радиозавода "Темп". (И только в ноябре 1922 года завод у Преображенской заставы вместе со всеми его капиталами и имуществом будет официально слит с Телефонным заводом) (12239).</w:t>
      </w:r>
    </w:p>
    <w:p w14:paraId="504E275C" w14:textId="77777777" w:rsidR="009376D7" w:rsidRPr="002F2FDF" w:rsidRDefault="009376D7" w:rsidP="0083075A">
      <w:pPr>
        <w:spacing w:after="0" w:line="240" w:lineRule="auto"/>
        <w:jc w:val="both"/>
        <w:rPr>
          <w:rFonts w:ascii="Times New Roman" w:hAnsi="Times New Roman" w:cs="Times New Roman"/>
          <w:color w:val="000000" w:themeColor="text1"/>
          <w:kern w:val="2"/>
          <w:sz w:val="16"/>
          <w:szCs w:val="16"/>
        </w:rPr>
      </w:pPr>
    </w:p>
    <w:p w14:paraId="164E06F3" w14:textId="77777777" w:rsidR="00605EDC" w:rsidRPr="00FB4F67" w:rsidRDefault="00605ED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1917 г. представители артиллерийского ведомства осоз</w:t>
      </w:r>
      <w:r w:rsidRPr="00FB4F67">
        <w:rPr>
          <w:rFonts w:ascii="Times New Roman" w:hAnsi="Times New Roman" w:cs="Times New Roman"/>
          <w:color w:val="0070C0"/>
          <w:sz w:val="16"/>
          <w:szCs w:val="16"/>
        </w:rPr>
        <w:softHyphen/>
        <w:t>нали принципиальную разницу между собственными ружей</w:t>
      </w:r>
      <w:r w:rsidRPr="00FB4F67">
        <w:rPr>
          <w:rFonts w:ascii="Times New Roman" w:hAnsi="Times New Roman" w:cs="Times New Roman"/>
          <w:color w:val="0070C0"/>
          <w:sz w:val="16"/>
          <w:szCs w:val="16"/>
        </w:rPr>
        <w:softHyphen/>
        <w:t>ными заводами ГАУ, которые не жертвовали качеством про</w:t>
      </w:r>
      <w:r w:rsidRPr="00FB4F67">
        <w:rPr>
          <w:rFonts w:ascii="Times New Roman" w:hAnsi="Times New Roman" w:cs="Times New Roman"/>
          <w:color w:val="0070C0"/>
          <w:sz w:val="16"/>
          <w:szCs w:val="16"/>
        </w:rPr>
        <w:softHyphen/>
        <w:t>дукции ради экономии, — и американскими фирмами с их исключительным стремлением к наживе. В понимании фи</w:t>
      </w:r>
      <w:r w:rsidRPr="00FB4F67">
        <w:rPr>
          <w:rFonts w:ascii="Times New Roman" w:hAnsi="Times New Roman" w:cs="Times New Roman"/>
          <w:color w:val="0070C0"/>
          <w:sz w:val="16"/>
          <w:szCs w:val="16"/>
        </w:rPr>
        <w:softHyphen/>
        <w:t>нансовой ситуации Залюбовский сделал заметный шаг впе</w:t>
      </w:r>
      <w:r w:rsidRPr="00FB4F67">
        <w:rPr>
          <w:rFonts w:ascii="Times New Roman" w:hAnsi="Times New Roman" w:cs="Times New Roman"/>
          <w:color w:val="0070C0"/>
          <w:sz w:val="16"/>
          <w:szCs w:val="16"/>
        </w:rPr>
        <w:softHyphen/>
        <w:t>ред: ему стало ясно, что, в отличие от Ижевского завода, которым он управлял в России, в Америке он имеет дело с исполнителями, ставящими себе целью не максимальное снабжение русской армии, а прибыль: «У нас нет средств заставить заводы... преследующие исключительно коммер</w:t>
      </w:r>
      <w:r w:rsidRPr="00FB4F67">
        <w:rPr>
          <w:rFonts w:ascii="Times New Roman" w:hAnsi="Times New Roman" w:cs="Times New Roman"/>
          <w:color w:val="0070C0"/>
          <w:sz w:val="16"/>
          <w:szCs w:val="16"/>
        </w:rPr>
        <w:softHyphen/>
        <w:t>ческие цели, делать действительно годные ружья и в срок», работая по русским стандартам — не считаясь с расходами, лишь бы «дать действительно годные ружья» (23452).</w:t>
      </w:r>
    </w:p>
    <w:p w14:paraId="4A6D51BF" w14:textId="77777777" w:rsidR="00605EDC" w:rsidRPr="00FB4F67" w:rsidRDefault="00605EDC" w:rsidP="0083075A">
      <w:pPr>
        <w:spacing w:after="0" w:line="240" w:lineRule="auto"/>
        <w:jc w:val="both"/>
        <w:rPr>
          <w:rFonts w:ascii="Times New Roman" w:hAnsi="Times New Roman" w:cs="Times New Roman"/>
          <w:color w:val="0070C0"/>
          <w:sz w:val="16"/>
          <w:szCs w:val="16"/>
        </w:rPr>
      </w:pPr>
    </w:p>
    <w:p w14:paraId="5EE5F270" w14:textId="77777777" w:rsidR="00605EDC" w:rsidRPr="00FB4F67" w:rsidRDefault="00605ED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1917 г. завод ГАУ (бывшие заводы «Цейс» и «Гёрц») размещался в зданиях бывшей ка</w:t>
      </w:r>
      <w:r w:rsidRPr="00FB4F67">
        <w:rPr>
          <w:rFonts w:ascii="Times New Roman" w:hAnsi="Times New Roman" w:cs="Times New Roman"/>
          <w:color w:val="0070C0"/>
          <w:sz w:val="16"/>
          <w:szCs w:val="16"/>
        </w:rPr>
        <w:softHyphen/>
        <w:t>зенной пробочной фабрики и располагал собственной си</w:t>
      </w:r>
      <w:r w:rsidRPr="00FB4F67">
        <w:rPr>
          <w:rFonts w:ascii="Times New Roman" w:hAnsi="Times New Roman" w:cs="Times New Roman"/>
          <w:color w:val="0070C0"/>
          <w:sz w:val="16"/>
          <w:szCs w:val="16"/>
        </w:rPr>
        <w:softHyphen/>
        <w:t>ловой станцией в 250 л. с.; в августе 1917 г. на заводе рабо</w:t>
      </w:r>
      <w:r w:rsidRPr="00FB4F67">
        <w:rPr>
          <w:rFonts w:ascii="Times New Roman" w:hAnsi="Times New Roman" w:cs="Times New Roman"/>
          <w:color w:val="0070C0"/>
          <w:sz w:val="16"/>
          <w:szCs w:val="16"/>
        </w:rPr>
        <w:softHyphen/>
        <w:t>тали около 500 человек. Ввиду намерения расширить завод было заказано дополнительное оборудование (По утверждению Игнатьева, через Италию и Швейцарию удавалось закупить и бинокли из Германии, от Гёрца и Цейса (Игнатьев А.А. Указ, соч. С. 395). Подобные сделки практиковали также и англичане. Через Швейцарию они производили обмен своих материалов (в частности, резины) на немецкие красители; велись переговоры и о поставках де</w:t>
      </w:r>
      <w:r w:rsidRPr="00FB4F67">
        <w:rPr>
          <w:rFonts w:ascii="Times New Roman" w:hAnsi="Times New Roman" w:cs="Times New Roman"/>
          <w:color w:val="0070C0"/>
          <w:sz w:val="16"/>
          <w:szCs w:val="16"/>
        </w:rPr>
        <w:softHyphen/>
        <w:t>сятков тысяч биноклей. См</w:t>
      </w:r>
      <w:r w:rsidRPr="000D11AB">
        <w:rPr>
          <w:rFonts w:ascii="Times New Roman" w:hAnsi="Times New Roman" w:cs="Times New Roman"/>
          <w:color w:val="0070C0"/>
          <w:sz w:val="16"/>
          <w:szCs w:val="16"/>
          <w:lang w:val="en-US"/>
        </w:rPr>
        <w:t xml:space="preserve">.: MacLeod R., MacLeod </w:t>
      </w:r>
      <w:r w:rsidRPr="00FB4F67">
        <w:rPr>
          <w:rFonts w:ascii="Times New Roman" w:hAnsi="Times New Roman" w:cs="Times New Roman"/>
          <w:color w:val="0070C0"/>
          <w:sz w:val="16"/>
          <w:szCs w:val="16"/>
        </w:rPr>
        <w:t>К</w:t>
      </w:r>
      <w:r w:rsidRPr="000D11AB">
        <w:rPr>
          <w:rFonts w:ascii="Times New Roman" w:hAnsi="Times New Roman" w:cs="Times New Roman"/>
          <w:color w:val="0070C0"/>
          <w:sz w:val="16"/>
          <w:szCs w:val="16"/>
          <w:lang w:val="en-US"/>
        </w:rPr>
        <w:t>. War and Economic Development. Government and the Optical Industry in Britain, 1914—18 // War and Economic Development, Essays in Memory of David Joslin, Cam</w:t>
      </w:r>
      <w:r w:rsidRPr="000D11AB">
        <w:rPr>
          <w:rFonts w:ascii="Times New Roman" w:hAnsi="Times New Roman" w:cs="Times New Roman"/>
          <w:color w:val="0070C0"/>
          <w:sz w:val="16"/>
          <w:szCs w:val="16"/>
          <w:lang w:val="en-US"/>
        </w:rPr>
        <w:softHyphen/>
        <w:t xml:space="preserve">bridge U.P., 1975. </w:t>
      </w:r>
      <w:r w:rsidRPr="00FB4F67">
        <w:rPr>
          <w:rFonts w:ascii="Times New Roman" w:hAnsi="Times New Roman" w:cs="Times New Roman"/>
          <w:color w:val="0070C0"/>
          <w:sz w:val="16"/>
          <w:szCs w:val="16"/>
        </w:rPr>
        <w:t>P. 174; РГВИА. Ф. 504. On. 10. Д. 89. JI. 54, 136 и об., 325).</w:t>
      </w:r>
    </w:p>
    <w:p w14:paraId="36929BAA" w14:textId="77777777" w:rsidR="00605EDC" w:rsidRPr="00FB4F67" w:rsidRDefault="00605ED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производству оптических дальномеров (потребность — около 25 тысяч, в войсках имелось «не свыше 200 шт.») в Пе</w:t>
      </w:r>
      <w:r w:rsidRPr="00FB4F67">
        <w:rPr>
          <w:rFonts w:ascii="Times New Roman" w:hAnsi="Times New Roman" w:cs="Times New Roman"/>
          <w:color w:val="0070C0"/>
          <w:sz w:val="16"/>
          <w:szCs w:val="16"/>
        </w:rPr>
        <w:softHyphen/>
        <w:t>трограде не знали как подступиться. При проектировании ново</w:t>
      </w:r>
      <w:r w:rsidRPr="00FB4F67">
        <w:rPr>
          <w:rFonts w:ascii="Times New Roman" w:hAnsi="Times New Roman" w:cs="Times New Roman"/>
          <w:color w:val="0070C0"/>
          <w:sz w:val="16"/>
          <w:szCs w:val="16"/>
        </w:rPr>
        <w:softHyphen/>
        <w:t>го завода в Изюме пришлось эту задачу «вовсе не затрагивать»: «выяснить условия такового [производства] теперь же не пред</w:t>
      </w:r>
      <w:r w:rsidRPr="00FB4F67">
        <w:rPr>
          <w:rFonts w:ascii="Times New Roman" w:hAnsi="Times New Roman" w:cs="Times New Roman"/>
          <w:color w:val="0070C0"/>
          <w:sz w:val="16"/>
          <w:szCs w:val="16"/>
        </w:rPr>
        <w:softHyphen/>
        <w:t>ставляется возможным», отмечало ГАУ 13 октября 1916 г., по</w:t>
      </w:r>
      <w:r w:rsidRPr="00FB4F67">
        <w:rPr>
          <w:rFonts w:ascii="Times New Roman" w:hAnsi="Times New Roman" w:cs="Times New Roman"/>
          <w:color w:val="0070C0"/>
          <w:sz w:val="16"/>
          <w:szCs w:val="16"/>
        </w:rPr>
        <w:softHyphen/>
        <w:t>тому что еще только начинались переговоры с фирмой Барра и Струда — возьмется ли она установить его на Изюмском заво</w:t>
      </w:r>
      <w:r w:rsidRPr="00FB4F67">
        <w:rPr>
          <w:rFonts w:ascii="Times New Roman" w:hAnsi="Times New Roman" w:cs="Times New Roman"/>
          <w:color w:val="0070C0"/>
          <w:sz w:val="16"/>
          <w:szCs w:val="16"/>
        </w:rPr>
        <w:softHyphen/>
        <w:t>де (Там же. Ф. 29. On. 3. Д. 2152. Л. 5 об., 2 об.) (тем не менее в законопроекте, направленном в Думу, была указана ожидаемая годовая производительность в 2700 шт.) (23452).</w:t>
      </w:r>
    </w:p>
    <w:p w14:paraId="316A8E98" w14:textId="77777777" w:rsidR="00605EDC" w:rsidRPr="00FB4F67" w:rsidRDefault="00605EDC" w:rsidP="0083075A">
      <w:pPr>
        <w:spacing w:after="0" w:line="240" w:lineRule="auto"/>
        <w:jc w:val="both"/>
        <w:rPr>
          <w:rFonts w:ascii="Times New Roman" w:hAnsi="Times New Roman" w:cs="Times New Roman"/>
          <w:color w:val="0070C0"/>
          <w:sz w:val="16"/>
          <w:szCs w:val="16"/>
        </w:rPr>
      </w:pPr>
    </w:p>
    <w:p w14:paraId="5FED1BC8" w14:textId="77777777" w:rsidR="00605EDC" w:rsidRPr="00FB4F67" w:rsidRDefault="00605ED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1917 г. удалось построить лишь небольшой поселок ба</w:t>
      </w:r>
      <w:r w:rsidRPr="00FB4F67">
        <w:rPr>
          <w:rFonts w:ascii="Times New Roman" w:hAnsi="Times New Roman" w:cs="Times New Roman"/>
          <w:color w:val="0070C0"/>
          <w:sz w:val="16"/>
          <w:szCs w:val="16"/>
        </w:rPr>
        <w:softHyphen/>
        <w:t>рачного типа в Кондопоге, проложить железнодорожную вет</w:t>
      </w:r>
      <w:r w:rsidRPr="00FB4F67">
        <w:rPr>
          <w:rFonts w:ascii="Times New Roman" w:hAnsi="Times New Roman" w:cs="Times New Roman"/>
          <w:color w:val="0070C0"/>
          <w:sz w:val="16"/>
          <w:szCs w:val="16"/>
        </w:rPr>
        <w:softHyphen/>
        <w:t>ку до деревни Сопохи, где планировалось сооружение водо</w:t>
      </w:r>
      <w:r w:rsidRPr="00FB4F67">
        <w:rPr>
          <w:rFonts w:ascii="Times New Roman" w:hAnsi="Times New Roman" w:cs="Times New Roman"/>
          <w:color w:val="0070C0"/>
          <w:sz w:val="16"/>
          <w:szCs w:val="16"/>
        </w:rPr>
        <w:softHyphen/>
        <w:t>напорной плотины, провести нивелировку трассы канала ГЭС и расчистить ее от леса. Была завезена также часть обо</w:t>
      </w:r>
      <w:r w:rsidRPr="00FB4F67">
        <w:rPr>
          <w:rFonts w:ascii="Times New Roman" w:hAnsi="Times New Roman" w:cs="Times New Roman"/>
          <w:color w:val="0070C0"/>
          <w:sz w:val="16"/>
          <w:szCs w:val="16"/>
        </w:rPr>
        <w:softHyphen/>
        <w:t>рудования; эта стройка в Кондопоге, с использованием свы</w:t>
      </w:r>
      <w:r w:rsidRPr="00FB4F67">
        <w:rPr>
          <w:rFonts w:ascii="Times New Roman" w:hAnsi="Times New Roman" w:cs="Times New Roman"/>
          <w:color w:val="0070C0"/>
          <w:sz w:val="16"/>
          <w:szCs w:val="16"/>
        </w:rPr>
        <w:softHyphen/>
        <w:t>ше тысячи военнопленных, не близилась к концу и в 1917 г. (Юргенс Б.А. Указ. соч. С. 64, 60, 71; Баданов В.Г, Кораблев Н.А., Жуков А.Ю. История экономики Ка</w:t>
      </w:r>
      <w:r w:rsidRPr="00FB4F67">
        <w:rPr>
          <w:rFonts w:ascii="Times New Roman" w:hAnsi="Times New Roman" w:cs="Times New Roman"/>
          <w:color w:val="0070C0"/>
          <w:sz w:val="16"/>
          <w:szCs w:val="16"/>
        </w:rPr>
        <w:softHyphen/>
        <w:t>релии. Петрозаводск, 2005. Кн. 1. С. 170. К 1 января 1917 г. на стройке работали 1000 военнопленных, охраняемых 4 ротами солдат, «в ближай</w:t>
      </w:r>
      <w:r w:rsidRPr="00FB4F67">
        <w:rPr>
          <w:rFonts w:ascii="Times New Roman" w:hAnsi="Times New Roman" w:cs="Times New Roman"/>
          <w:color w:val="0070C0"/>
          <w:sz w:val="16"/>
          <w:szCs w:val="16"/>
        </w:rPr>
        <w:softHyphen/>
        <w:t>шее время» должны были доставить еще 600 военнопленных (РГВИА. Ф. 1. On. 1. Т. 46. Д. 1282. Л. 20; Ф. 29. Оп. 3. Д. 722. Л. 64-65; Генерал В.С. Михайлов. С. 264; Нахтигаль Р. Мурманская железная дорога. 1915-1919 годы. СПб., 2011. С. 117, 179, 177)) (23452)ю</w:t>
      </w:r>
    </w:p>
    <w:p w14:paraId="264FBB33" w14:textId="77777777" w:rsidR="00605EDC" w:rsidRPr="00FB4F67" w:rsidRDefault="00605EDC" w:rsidP="0083075A">
      <w:pPr>
        <w:spacing w:after="0" w:line="240" w:lineRule="auto"/>
        <w:jc w:val="both"/>
        <w:rPr>
          <w:rFonts w:ascii="Times New Roman" w:hAnsi="Times New Roman" w:cs="Times New Roman"/>
          <w:color w:val="0070C0"/>
          <w:sz w:val="16"/>
          <w:szCs w:val="16"/>
        </w:rPr>
      </w:pPr>
    </w:p>
    <w:p w14:paraId="5BCD4A73" w14:textId="77777777" w:rsidR="00605EDC" w:rsidRPr="00FB4F67" w:rsidRDefault="00605ED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началу 1917 г. главное здание нового трубочного завода в Пензе завода, который строился в соответствии с программой 1913 г., (то есть 60% по площади производственных помещений) было «выстроено под крышу», сооружены скла</w:t>
      </w:r>
      <w:r w:rsidRPr="00FB4F67">
        <w:rPr>
          <w:rFonts w:ascii="Times New Roman" w:hAnsi="Times New Roman" w:cs="Times New Roman"/>
          <w:color w:val="0070C0"/>
          <w:sz w:val="16"/>
          <w:szCs w:val="16"/>
        </w:rPr>
        <w:softHyphen/>
        <w:t>ды, водонапорная башня и другие здания вспомогательного назначения; проведена железная дорога (Генерал В.С. Михайлов. С. 253. 6 апреля 1916 г. «Торгово-промыш</w:t>
      </w:r>
      <w:r w:rsidRPr="00FB4F67">
        <w:rPr>
          <w:rFonts w:ascii="Times New Roman" w:hAnsi="Times New Roman" w:cs="Times New Roman"/>
          <w:color w:val="0070C0"/>
          <w:sz w:val="16"/>
          <w:szCs w:val="16"/>
        </w:rPr>
        <w:softHyphen/>
        <w:t>ленная газета» объявила о торгах на постройку восьми каменных жилых домов для администрации завода). Для Пензенского завода предназна</w:t>
      </w:r>
      <w:r w:rsidRPr="00FB4F67">
        <w:rPr>
          <w:rFonts w:ascii="Times New Roman" w:hAnsi="Times New Roman" w:cs="Times New Roman"/>
          <w:color w:val="0070C0"/>
          <w:sz w:val="16"/>
          <w:szCs w:val="16"/>
        </w:rPr>
        <w:softHyphen/>
        <w:t>чался готовый комплект станков, инструментов и лекал, предложенный за 1,5 млн долларов заводом Recording and Computing Со в Дейтоне (США) (Гермониус Э.К. Ижевский оружейный завод и роль казенных за</w:t>
      </w:r>
      <w:r w:rsidRPr="00FB4F67">
        <w:rPr>
          <w:rFonts w:ascii="Times New Roman" w:hAnsi="Times New Roman" w:cs="Times New Roman"/>
          <w:color w:val="0070C0"/>
          <w:sz w:val="16"/>
          <w:szCs w:val="16"/>
        </w:rPr>
        <w:softHyphen/>
        <w:t>водов в деле обороны // Записки Русского экономического общества в Лондоне (The Russian Economist). 1922. Vol. 2. № 7—8. С. 2914).  28 апреля 1917 г. при пересмотре Комиссией Покровского программы строи</w:t>
      </w:r>
      <w:r w:rsidRPr="00FB4F67">
        <w:rPr>
          <w:rFonts w:ascii="Times New Roman" w:hAnsi="Times New Roman" w:cs="Times New Roman"/>
          <w:color w:val="0070C0"/>
          <w:sz w:val="16"/>
          <w:szCs w:val="16"/>
        </w:rPr>
        <w:softHyphen/>
        <w:t>тельства новых заводов, создание Пензенского трубочного завода решено было продолжить (РГВИА. Ф. 13251. Оп. 28. Д. 1. Л. 18) (23452).</w:t>
      </w:r>
    </w:p>
    <w:p w14:paraId="6DADFD15" w14:textId="77777777" w:rsidR="00605EDC" w:rsidRPr="00FB4F67" w:rsidRDefault="00605EDC" w:rsidP="0083075A">
      <w:pPr>
        <w:spacing w:after="0" w:line="240" w:lineRule="auto"/>
        <w:jc w:val="both"/>
        <w:rPr>
          <w:rFonts w:ascii="Times New Roman" w:hAnsi="Times New Roman" w:cs="Times New Roman"/>
          <w:color w:val="0070C0"/>
          <w:sz w:val="16"/>
          <w:szCs w:val="16"/>
        </w:rPr>
      </w:pPr>
    </w:p>
    <w:p w14:paraId="46D310A1" w14:textId="77777777" w:rsidR="00605EDC" w:rsidRPr="00FB4F67" w:rsidRDefault="00605ED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началу 1917 года было отстроено здание Воронежского трубочного завода «Взрыватель» и доставлены некоторые механизмы.</w:t>
      </w:r>
    </w:p>
    <w:p w14:paraId="2A31D006" w14:textId="77777777" w:rsidR="00605EDC" w:rsidRPr="00FB4F67" w:rsidRDefault="00605ED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 1917 год требовалось выделить 8 млн рублей, и в 1918 году еще 28,5 млн рублей, о чем и уведомили военные чины депутатов. Однако к концу 1916 года под напором политических страстей военные нужды воюющей державы для депутатов Государственной Думы отодвинулись на второй план. До Февральской революции в Таврическом дворце о проекте так и не вспомнили, а после Октябрьской революции и выхода Советской России из войны весной 1918 года о завершении строительства завода взрывателей никто не помышлял. Оборудование было распределено по артиллерийским заводам (24153).</w:t>
      </w:r>
    </w:p>
    <w:p w14:paraId="5406405C" w14:textId="77777777" w:rsidR="00605EDC" w:rsidRPr="00FB4F67" w:rsidRDefault="00605EDC" w:rsidP="0083075A">
      <w:pPr>
        <w:spacing w:after="0" w:line="240" w:lineRule="auto"/>
        <w:jc w:val="both"/>
        <w:rPr>
          <w:rFonts w:ascii="Times New Roman" w:hAnsi="Times New Roman" w:cs="Times New Roman"/>
          <w:color w:val="0070C0"/>
          <w:sz w:val="16"/>
          <w:szCs w:val="16"/>
        </w:rPr>
      </w:pPr>
    </w:p>
    <w:p w14:paraId="0EDFDC85" w14:textId="77777777" w:rsidR="00605EDC" w:rsidRPr="00FB4F67" w:rsidRDefault="00605ED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началу 1917 г. нехватка в армии от</w:t>
      </w:r>
      <w:r w:rsidRPr="00FB4F67">
        <w:rPr>
          <w:rFonts w:ascii="Times New Roman" w:hAnsi="Times New Roman" w:cs="Times New Roman"/>
          <w:color w:val="0070C0"/>
          <w:sz w:val="16"/>
          <w:szCs w:val="16"/>
        </w:rPr>
        <w:softHyphen/>
        <w:t>мечалась только в отечественном стрелковом, особенно автоматическом оружии. Но и эти проблемы были на пути к решению. Пресловутый «снарядный голод» 1915 г. был ликвидирован столь эффективно, что уже в 1917 г. при</w:t>
      </w:r>
      <w:r w:rsidRPr="00FB4F67">
        <w:rPr>
          <w:rFonts w:ascii="Times New Roman" w:hAnsi="Times New Roman" w:cs="Times New Roman"/>
          <w:color w:val="0070C0"/>
          <w:sz w:val="16"/>
          <w:szCs w:val="16"/>
        </w:rPr>
        <w:softHyphen/>
        <w:t>шлось принимать меры к сокращению производства орудий и боеприпасов. Выпущенного в 1914-1917 гг. военного снаряжения хватило впоследствии на всю гражданскую войну. Его использовали даже в Великую Отечественную.</w:t>
      </w:r>
    </w:p>
    <w:p w14:paraId="3D1B9EA7" w14:textId="77777777" w:rsidR="00605EDC" w:rsidRPr="00FB4F67" w:rsidRDefault="00605ED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Россия была очень притягательной для иностранного капитала. Сюда переносили свою деятельность многие европейские фирмы, например по производству пуле</w:t>
      </w:r>
      <w:r w:rsidRPr="00FB4F67">
        <w:rPr>
          <w:rFonts w:ascii="Times New Roman" w:hAnsi="Times New Roman" w:cs="Times New Roman"/>
          <w:color w:val="0070C0"/>
          <w:sz w:val="16"/>
          <w:szCs w:val="16"/>
        </w:rPr>
        <w:softHyphen/>
        <w:t>метов «Мадсен» (ныне Ковровский завод им. Дегтяре</w:t>
      </w:r>
      <w:r w:rsidRPr="00FB4F67">
        <w:rPr>
          <w:rFonts w:ascii="Times New Roman" w:hAnsi="Times New Roman" w:cs="Times New Roman"/>
          <w:color w:val="0070C0"/>
          <w:sz w:val="16"/>
          <w:szCs w:val="16"/>
        </w:rPr>
        <w:softHyphen/>
        <w:t>ва), то же самое планировал «Виккерс». Для производ</w:t>
      </w:r>
      <w:r w:rsidRPr="00FB4F67">
        <w:rPr>
          <w:rFonts w:ascii="Times New Roman" w:hAnsi="Times New Roman" w:cs="Times New Roman"/>
          <w:color w:val="0070C0"/>
          <w:sz w:val="16"/>
          <w:szCs w:val="16"/>
        </w:rPr>
        <w:softHyphen/>
        <w:t>ства авиадвигателей в военные годы были созданы филиалы фирм «Рено», «Гном и Рон», «Сальмсон». Имел намерение открыть свой филиал «Фиат». Не ус</w:t>
      </w:r>
      <w:r w:rsidRPr="00FB4F67">
        <w:rPr>
          <w:rFonts w:ascii="Times New Roman" w:hAnsi="Times New Roman" w:cs="Times New Roman"/>
          <w:color w:val="0070C0"/>
          <w:sz w:val="16"/>
          <w:szCs w:val="16"/>
        </w:rPr>
        <w:softHyphen/>
        <w:t>тупая «иноземцам», за производство новых перспек</w:t>
      </w:r>
      <w:r w:rsidRPr="00FB4F67">
        <w:rPr>
          <w:rFonts w:ascii="Times New Roman" w:hAnsi="Times New Roman" w:cs="Times New Roman"/>
          <w:color w:val="0070C0"/>
          <w:sz w:val="16"/>
          <w:szCs w:val="16"/>
        </w:rPr>
        <w:softHyphen/>
        <w:t>тивных видов техники взялись и старые российские промышленные дома Рябушинских, Ильиных, Второ</w:t>
      </w:r>
      <w:r w:rsidRPr="00FB4F67">
        <w:rPr>
          <w:rFonts w:ascii="Times New Roman" w:hAnsi="Times New Roman" w:cs="Times New Roman"/>
          <w:color w:val="0070C0"/>
          <w:sz w:val="16"/>
          <w:szCs w:val="16"/>
        </w:rPr>
        <w:softHyphen/>
        <w:t>вых, Терещенко и др., возникли новые товарищества. Военные заказы послужили мощным стимулом даль</w:t>
      </w:r>
      <w:r w:rsidRPr="00FB4F67">
        <w:rPr>
          <w:rFonts w:ascii="Times New Roman" w:hAnsi="Times New Roman" w:cs="Times New Roman"/>
          <w:color w:val="0070C0"/>
          <w:sz w:val="16"/>
          <w:szCs w:val="16"/>
        </w:rPr>
        <w:softHyphen/>
        <w:t>нейшего прогресса отечественной тяжелой индустрии. Эти и другие новые предприятия стали впоследствии надежной базой для «социалистической индустриали</w:t>
      </w:r>
      <w:r w:rsidRPr="00FB4F67">
        <w:rPr>
          <w:rFonts w:ascii="Times New Roman" w:hAnsi="Times New Roman" w:cs="Times New Roman"/>
          <w:color w:val="0070C0"/>
          <w:sz w:val="16"/>
          <w:szCs w:val="16"/>
        </w:rPr>
        <w:softHyphen/>
        <w:t>зации» в З0-е годы.</w:t>
      </w:r>
    </w:p>
    <w:p w14:paraId="67A23951" w14:textId="77777777" w:rsidR="00605EDC" w:rsidRPr="00FB4F67" w:rsidRDefault="00605ED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Огромные национальные богатства и большие вклады зарубежного капитала гарантировали успех в воплощении начатых в то время грандиозных строек типа «Второго Транссиба», «ДнепроГЭСа», каналов «Рига — Херсон», «Кама — Иртыш», железных дорог на Севере и т. п.</w:t>
      </w:r>
    </w:p>
    <w:p w14:paraId="557DD1A9" w14:textId="77777777" w:rsidR="00605EDC" w:rsidRPr="00FB4F67" w:rsidRDefault="00605ED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Война внесла существенные коррективы в развитие отраслей российской промышленности. Военные заказы заложили основу для создания мощной автомобильной индустрии, не получившей ранее большого развития из- за ограниченной сети пригодных дорог. Это имело важное значение для отечественного Воздушного флота, так как автомобильная индустрия в известной мере являлась опорой авиационной промышленности.</w:t>
      </w:r>
    </w:p>
    <w:p w14:paraId="56E11630" w14:textId="77777777" w:rsidR="00605EDC" w:rsidRPr="00FB4F67" w:rsidRDefault="00605ED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Из строившихся в 1915 — 1917 гг. в разных частях империи автомобильных заводов, три возводились в Москве: Государственный автозавод в Мытищах, АМО за Симоновой слободой (ныне ЗИЛ) и РБВЗ в Филях. Особая ставка делалась на последний. О надежности, неприхотливости и простоте «самоходов» производства РБВЗ (так в то время именовали в армии автомобили) в войсках ходили легенды. Помимо обычных колесных шасси для автомобилей рижский завод РБВЗ, например, выпускал и оригинальные полугусеничные шасси системы прапорщика русской армии Кегресса, служив</w:t>
      </w:r>
      <w:r w:rsidRPr="00FB4F67">
        <w:rPr>
          <w:rFonts w:ascii="Times New Roman" w:hAnsi="Times New Roman" w:cs="Times New Roman"/>
          <w:color w:val="0070C0"/>
          <w:sz w:val="16"/>
          <w:szCs w:val="16"/>
        </w:rPr>
        <w:softHyphen/>
        <w:t>шие базой для вездеходов и бронемашин. Новый завод в Филях, получивший название «Автомобильный завод РБВЗ» (или Русско-Балтийский автомобильный завод — «Автобалт») строился с поистине российским размахом. Его размеры поражали даже приглашенных для консультаций американцев. Огромные корпуса, собственная электростанция, американские и отечест</w:t>
      </w:r>
      <w:r w:rsidRPr="00FB4F67">
        <w:rPr>
          <w:rFonts w:ascii="Times New Roman" w:hAnsi="Times New Roman" w:cs="Times New Roman"/>
          <w:color w:val="0070C0"/>
          <w:sz w:val="16"/>
          <w:szCs w:val="16"/>
        </w:rPr>
        <w:softHyphen/>
        <w:t>венные станки новейших марок, жилой городок для ра</w:t>
      </w:r>
      <w:r w:rsidRPr="00FB4F67">
        <w:rPr>
          <w:rFonts w:ascii="Times New Roman" w:hAnsi="Times New Roman" w:cs="Times New Roman"/>
          <w:color w:val="0070C0"/>
          <w:sz w:val="16"/>
          <w:szCs w:val="16"/>
        </w:rPr>
        <w:softHyphen/>
        <w:t>бочих и служащих — все это вызывало восхищение. Несмотря на начавшийся в 1917 г. развал экономики, автозавод все-таки удалось к 1918 г. почти построить. Если вначале он предназначался для производства только автомобилей, то в 1917 г. его стали рассматри</w:t>
      </w:r>
      <w:r w:rsidRPr="00FB4F67">
        <w:rPr>
          <w:rFonts w:ascii="Times New Roman" w:hAnsi="Times New Roman" w:cs="Times New Roman"/>
          <w:color w:val="0070C0"/>
          <w:sz w:val="16"/>
          <w:szCs w:val="16"/>
        </w:rPr>
        <w:softHyphen/>
        <w:t>вать как многопрофильное производство, в том числе и для выпуска авиационной техники (24177)</w:t>
      </w:r>
    </w:p>
    <w:p w14:paraId="141D0875" w14:textId="77777777" w:rsidR="00605EDC" w:rsidRPr="00FB4F67" w:rsidRDefault="00605EDC" w:rsidP="0083075A">
      <w:pPr>
        <w:spacing w:after="0" w:line="240" w:lineRule="auto"/>
        <w:jc w:val="both"/>
        <w:rPr>
          <w:rFonts w:ascii="Times New Roman" w:hAnsi="Times New Roman" w:cs="Times New Roman"/>
          <w:color w:val="0070C0"/>
          <w:sz w:val="16"/>
          <w:szCs w:val="16"/>
        </w:rPr>
      </w:pPr>
    </w:p>
    <w:p w14:paraId="38DA1BE3" w14:textId="77777777" w:rsidR="00605EDC" w:rsidRPr="00FB4F67" w:rsidRDefault="00605ED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К началу января 1917 г. Барсуковым для конференции союзников. Подготовил ведомость «Поступление предметов вооружения в действующую армию России с 19 июля 1914 г. по 1 ноября 1916 г.», со</w:t>
      </w:r>
      <w:r w:rsidRPr="00FB4F67">
        <w:rPr>
          <w:rFonts w:ascii="Times New Roman" w:hAnsi="Times New Roman" w:cs="Times New Roman"/>
          <w:color w:val="0070C0"/>
          <w:sz w:val="16"/>
          <w:szCs w:val="16"/>
        </w:rPr>
        <w:softHyphen/>
        <w:t>ставленную на основе справки, которая была подготовлена в ведомстве великого князя Сергея Михайловича (Упарт).</w:t>
      </w:r>
    </w:p>
    <w:p w14:paraId="226CB3D3" w14:textId="77777777" w:rsidR="00605EDC" w:rsidRPr="00FB4F67" w:rsidRDefault="00605ED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 свидетельству Леховича, с созданием Упарта «был установлен строгий учет боевого снабжения на фронте», великий князь Сергей Михайлович был «постоянно в курсе... потребности фронта», обладал «воистину изумительной», «исключительной осведомлен</w:t>
      </w:r>
      <w:r w:rsidRPr="00FB4F67">
        <w:rPr>
          <w:rFonts w:ascii="Times New Roman" w:hAnsi="Times New Roman" w:cs="Times New Roman"/>
          <w:color w:val="0070C0"/>
          <w:sz w:val="16"/>
          <w:szCs w:val="16"/>
        </w:rPr>
        <w:softHyphen/>
        <w:t>ностью» о наличии вооружения на фронте и в тыловых за</w:t>
      </w:r>
      <w:r w:rsidRPr="00FB4F67">
        <w:rPr>
          <w:rFonts w:ascii="Times New Roman" w:hAnsi="Times New Roman" w:cs="Times New Roman"/>
          <w:color w:val="0070C0"/>
          <w:sz w:val="16"/>
          <w:szCs w:val="16"/>
        </w:rPr>
        <w:softHyphen/>
        <w:t>пасах (Лехович В.А. Светлой памяти августейшего генерал-инспектора ар</w:t>
      </w:r>
      <w:r w:rsidRPr="00FB4F67">
        <w:rPr>
          <w:rFonts w:ascii="Times New Roman" w:hAnsi="Times New Roman" w:cs="Times New Roman"/>
          <w:color w:val="0070C0"/>
          <w:sz w:val="16"/>
          <w:szCs w:val="16"/>
        </w:rPr>
        <w:softHyphen/>
        <w:t>тиллерии вел. кн. Сергия Михаиловича // Артиллерийский журнал. Paris, 1930. № 1—2. С. 12—13. По Барсукову, Упарт «педантически сле</w:t>
      </w:r>
      <w:r w:rsidRPr="00FB4F67">
        <w:rPr>
          <w:rFonts w:ascii="Times New Roman" w:hAnsi="Times New Roman" w:cs="Times New Roman"/>
          <w:color w:val="0070C0"/>
          <w:sz w:val="16"/>
          <w:szCs w:val="16"/>
        </w:rPr>
        <w:softHyphen/>
        <w:t>дил» за состоянием вооружения на фронтах (Маниковский А.А. Указ. соч. Изд. 1937 г. С. 586)) (23452).</w:t>
      </w:r>
    </w:p>
    <w:p w14:paraId="3F3B6FC2" w14:textId="77777777" w:rsidR="00605EDC" w:rsidRPr="00FB4F67" w:rsidRDefault="00605ED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Данные таблицы, приведенной Сидоровым по сводке Упарта, не вполне совпадают с теми, что имеются в «Бое</w:t>
      </w:r>
      <w:r w:rsidRPr="00FB4F67">
        <w:rPr>
          <w:rFonts w:ascii="Times New Roman" w:hAnsi="Times New Roman" w:cs="Times New Roman"/>
          <w:color w:val="0070C0"/>
          <w:sz w:val="16"/>
          <w:szCs w:val="16"/>
        </w:rPr>
        <w:softHyphen/>
        <w:t>вом снабжении» Маниковского и в архивных материалах делопроизводства.</w:t>
      </w:r>
    </w:p>
    <w:p w14:paraId="663B319A" w14:textId="77777777" w:rsidR="00605EDC" w:rsidRPr="00FB4F67" w:rsidRDefault="00605ED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Документ в виде таблицы, опубликованный Сидоровым, в подлиннике имеет другой заголовок («О производительности предметов вооружения с 19 июля 1914 г. по 1 ноября 1916 г.»), и под ним стоит подпись Барсукова. Составлен этот документ на основе другой таблицы, присланной ранее в ГАУ Барсуко</w:t>
      </w:r>
      <w:r w:rsidRPr="00FB4F67">
        <w:rPr>
          <w:rFonts w:ascii="Times New Roman" w:hAnsi="Times New Roman" w:cs="Times New Roman"/>
          <w:color w:val="0070C0"/>
          <w:sz w:val="16"/>
          <w:szCs w:val="16"/>
        </w:rPr>
        <w:softHyphen/>
        <w:t>вым из Ставки в ходе подготовки к конференции союзников (озаглавлена в оригинале «Картина вооружения действующей армии к началу войны, производительность отечественных и заграничных заводов с начала войны до 1 ноября 1916 г. и со</w:t>
      </w:r>
      <w:r w:rsidRPr="00FB4F67">
        <w:rPr>
          <w:rFonts w:ascii="Times New Roman" w:hAnsi="Times New Roman" w:cs="Times New Roman"/>
          <w:color w:val="0070C0"/>
          <w:sz w:val="16"/>
          <w:szCs w:val="16"/>
        </w:rPr>
        <w:softHyphen/>
        <w:t>временное наличие вооружения к этому сроку с имеющимися запасами»)1. Под ним было предложено подписаться Маниковскому, и поэтому впечатана его фамилия (РГВИА. Ф. 504. Оп. 2. Д. 496. Л. 1-2.; Там же. Ф. 2003. On. 1 доп.; Д. 1915 (бывш. оп. 10. Д. 109). Л. 130— 130 об.; Маниковский А.А. Указ. соч. Изд. 1937 г. С. 500, 544, 567. Также и по заказам за границу 3-дм снарядов Маниковский, приводя противо</w:t>
      </w:r>
      <w:r w:rsidRPr="00FB4F67">
        <w:rPr>
          <w:rFonts w:ascii="Times New Roman" w:hAnsi="Times New Roman" w:cs="Times New Roman"/>
          <w:color w:val="0070C0"/>
          <w:sz w:val="16"/>
          <w:szCs w:val="16"/>
        </w:rPr>
        <w:softHyphen/>
        <w:t>речивые числа, предупреждал, что не располагает «подробным и исчер</w:t>
      </w:r>
      <w:r w:rsidRPr="00FB4F67">
        <w:rPr>
          <w:rFonts w:ascii="Times New Roman" w:hAnsi="Times New Roman" w:cs="Times New Roman"/>
          <w:color w:val="0070C0"/>
          <w:sz w:val="16"/>
          <w:szCs w:val="16"/>
        </w:rPr>
        <w:softHyphen/>
        <w:t>пывающим перечнем этих заказов» (с. 523).). Приложенные к оригиналу исходные материалы, также доставленные из Упарта от Барсукова в ГАУ (варианты таблицы «Сведение о состоянии главнейших предметов вооружения на фронтах и в запасах»), свидетельствуют о том, что в Упарте не располага</w:t>
      </w:r>
      <w:r w:rsidRPr="00FB4F67">
        <w:rPr>
          <w:rFonts w:ascii="Times New Roman" w:hAnsi="Times New Roman" w:cs="Times New Roman"/>
          <w:color w:val="0070C0"/>
          <w:sz w:val="16"/>
          <w:szCs w:val="16"/>
        </w:rPr>
        <w:softHyphen/>
        <w:t>ли точными данными о наличии вооружения и, поскольку не были в состоянии указать распределение его, вынуждены были устранить в таблице намеченную было разбивку по фронтам. На документе, под которым должен был подписать</w:t>
      </w:r>
      <w:r w:rsidRPr="00FB4F67">
        <w:rPr>
          <w:rFonts w:ascii="Times New Roman" w:hAnsi="Times New Roman" w:cs="Times New Roman"/>
          <w:color w:val="0070C0"/>
          <w:sz w:val="16"/>
          <w:szCs w:val="16"/>
        </w:rPr>
        <w:softHyphen/>
        <w:t>ся Маниковский, сделана помета: «Совсем не сходится с ведомостью полковника Григорьева на 1 декабря», а сам Маниковский добавил запись: «За верность цифр я поручить</w:t>
      </w:r>
      <w:r w:rsidRPr="00FB4F67">
        <w:rPr>
          <w:rFonts w:ascii="Times New Roman" w:hAnsi="Times New Roman" w:cs="Times New Roman"/>
          <w:color w:val="0070C0"/>
          <w:sz w:val="16"/>
          <w:szCs w:val="16"/>
        </w:rPr>
        <w:softHyphen/>
        <w:t>ся не могу, так как Упарт меня по этой части в курсе не дер</w:t>
      </w:r>
      <w:r w:rsidRPr="00FB4F67">
        <w:rPr>
          <w:rFonts w:ascii="Times New Roman" w:hAnsi="Times New Roman" w:cs="Times New Roman"/>
          <w:color w:val="0070C0"/>
          <w:sz w:val="16"/>
          <w:szCs w:val="16"/>
        </w:rPr>
        <w:softHyphen/>
        <w:t>жит» по заказам за границу 3-дм снарядов Маниковский, приводя противо</w:t>
      </w:r>
      <w:r w:rsidRPr="00FB4F67">
        <w:rPr>
          <w:rFonts w:ascii="Times New Roman" w:hAnsi="Times New Roman" w:cs="Times New Roman"/>
          <w:color w:val="0070C0"/>
          <w:sz w:val="16"/>
          <w:szCs w:val="16"/>
        </w:rPr>
        <w:softHyphen/>
        <w:t>речивые числа, предупреждал, что не располагает «подробным и исчер</w:t>
      </w:r>
      <w:r w:rsidRPr="00FB4F67">
        <w:rPr>
          <w:rFonts w:ascii="Times New Roman" w:hAnsi="Times New Roman" w:cs="Times New Roman"/>
          <w:color w:val="0070C0"/>
          <w:sz w:val="16"/>
          <w:szCs w:val="16"/>
        </w:rPr>
        <w:softHyphen/>
        <w:t>пывающим перечнем этих заказов» (с. 523)). Наряду с позднейшим его суждением о другой справке (для союзников) как «единственном достоверном документе», у Маниковского встречаются обмолвки, из которых следует, что в действительности сведения в справках такого рода под</w:t>
      </w:r>
      <w:r w:rsidRPr="00FB4F67">
        <w:rPr>
          <w:rFonts w:ascii="Times New Roman" w:hAnsi="Times New Roman" w:cs="Times New Roman"/>
          <w:color w:val="0070C0"/>
          <w:sz w:val="16"/>
          <w:szCs w:val="16"/>
        </w:rPr>
        <w:softHyphen/>
        <w:t>вергались в его ведомстве целенаправленному искажению.</w:t>
      </w:r>
    </w:p>
    <w:p w14:paraId="07EACFC5" w14:textId="77777777" w:rsidR="00605EDC" w:rsidRPr="00FB4F67" w:rsidRDefault="00605ED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Ф.Ф. Палицын как представитель Ставки в Военном совете союзных армий во Франции убедился, что пользоваться сведениями Упарта невозможно, «ибо данные Генерального штаба и ГАУ не сходились со сведениями Ставки, в особенности по части тяжелой артиллерии. Но прибыв в Париж, оказалось, что сведения парижские об ар</w:t>
      </w:r>
      <w:r w:rsidRPr="00FB4F67">
        <w:rPr>
          <w:rFonts w:ascii="Times New Roman" w:hAnsi="Times New Roman" w:cs="Times New Roman"/>
          <w:color w:val="0070C0"/>
          <w:sz w:val="16"/>
          <w:szCs w:val="16"/>
        </w:rPr>
        <w:softHyphen/>
        <w:t>тиллерийских потребностях расходились со Ставкой и Пе</w:t>
      </w:r>
      <w:r w:rsidRPr="00FB4F67">
        <w:rPr>
          <w:rFonts w:ascii="Times New Roman" w:hAnsi="Times New Roman" w:cs="Times New Roman"/>
          <w:color w:val="0070C0"/>
          <w:sz w:val="16"/>
          <w:szCs w:val="16"/>
        </w:rPr>
        <w:softHyphen/>
        <w:t>троградом», и он, как можно понять, в конечном счете так и не выяснил истинное положение (23452).</w:t>
      </w:r>
    </w:p>
    <w:p w14:paraId="56315E7B" w14:textId="77777777" w:rsidR="00605EDC" w:rsidRPr="00FB4F67" w:rsidRDefault="00605EDC" w:rsidP="0083075A">
      <w:pPr>
        <w:spacing w:after="0" w:line="240" w:lineRule="auto"/>
        <w:jc w:val="both"/>
        <w:rPr>
          <w:rFonts w:ascii="Times New Roman" w:hAnsi="Times New Roman" w:cs="Times New Roman"/>
          <w:color w:val="0070C0"/>
          <w:sz w:val="16"/>
          <w:szCs w:val="16"/>
        </w:rPr>
      </w:pPr>
    </w:p>
    <w:p w14:paraId="6148D9A6"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 в составе русского флота числилось 558 военных кораблей различных классов и типов. Достраивались и проходили испытания 79 кораблей (10700).</w:t>
      </w:r>
    </w:p>
    <w:p w14:paraId="42D29E5B" w14:textId="77777777" w:rsidR="00D40A22" w:rsidRPr="002F2FDF" w:rsidRDefault="00D40A2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11D5D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84639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21887B" w14:textId="6CEC4913" w:rsidR="00D42617" w:rsidRPr="002F2FDF" w:rsidRDefault="00D4261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года на фронте числилось 724 наших самолета. Благодаря поставкам союзников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у нас появились новые типы самолетов: Моран-монокок, Ньюпор-10/11/12, Спад А.2, Фарман-27/30. Однако, проблемы с техникой и кадрами, характерные для 1915 года, продолжали сохраняться, что и отражалось</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на структуре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потерь: из всех погибших в 1916 году,</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52% стали жертвами отказов материальной части,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23% разбились из-за ошибок пилотирования,</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18% были сбиты огнем зенитной артиллерии и 7% погибли в воздушных боях (17037).</w:t>
      </w:r>
    </w:p>
    <w:p w14:paraId="167DD6D0" w14:textId="77777777" w:rsidR="00D42617" w:rsidRPr="002F2FDF" w:rsidRDefault="00D4261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A6B46A" w14:textId="77777777" w:rsidR="006548F0" w:rsidRPr="002F2FDF" w:rsidRDefault="006548F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1917 г. подготовка летно-подъемного состава была упорядочена, началось также специализированное обучение летчиков-истребителей. Однако истребительные отделения в школах ориентировались главным образом на практическую подготовку воздушных бойцов, в то время как создание боевых авиационных групп и истребительных отрядов, намеченное на 1917 г., требовало более углубленного обучения летчиков-офицеров с целью подготовки командных кадров, способных к ведению активной боевой работы и организации тактически грамотного применения авиации не только в масштабе отряда, но и в масштабе группы отрядов и дивизиона. Исходя из вышеизложенного, руководство авиации действующей армии приняло решение создать Военную школу воздушного боя (ВШВБ). Переменный состав школы планировался в количестве 120 человек (из них: 60 – летчиков и 60 – летчиков-наблюдателей). Срок обучения – два месяца. Разместить школу решили в Евпатории. Военный совет одобрил ее создание 3 февраля 1917 г. Однако открытие ВШВБ так и не состоялось из-за недостаточного финансирования. Организационная структура школы была реализована не полностью. Согласно расчетам в 1917 г. требовалось подготовить 458 летчиков-офицеров и 533 летчика-нижних чина. Командирование летчиков для обучения за границу не решало проблемы, так как они направлялись туда с фронта. Кроме летных школ, во время войны работали Теоретические курсы авиации (ТКА) при Петроградском политехническом институте. Они обучали учлетов в теоретическом отношении. После окончания этих курсов в первые полтора года войны будущие летчики отправлялись в Севастопольскую школу, где приступали к полетам на самолете. В 1916 г. Петроградские ТКА переориентивались на подготовку летчиков-нижних чинов для школы ВАК и для филиалов основных школ. Срок обучения в ТКА был установлен в пять месяцев (19566).</w:t>
      </w:r>
    </w:p>
    <w:p w14:paraId="3A6431F5" w14:textId="77777777" w:rsidR="006548F0" w:rsidRPr="002F2FDF" w:rsidRDefault="006548F0" w:rsidP="0083075A">
      <w:pPr>
        <w:spacing w:after="0" w:line="240" w:lineRule="auto"/>
        <w:jc w:val="both"/>
        <w:rPr>
          <w:rFonts w:ascii="Times New Roman" w:hAnsi="Times New Roman" w:cs="Times New Roman"/>
          <w:color w:val="000000" w:themeColor="text1"/>
          <w:sz w:val="16"/>
          <w:szCs w:val="16"/>
        </w:rPr>
      </w:pPr>
    </w:p>
    <w:p w14:paraId="30DD49C3" w14:textId="164CC11A" w:rsidR="00D42617" w:rsidRPr="002F2FDF" w:rsidRDefault="00D4261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года немцы тоже усилили свое присутствие в воздухе на Восточном фронте. Вот что писал</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об этом прапорщик Ф.А. Степун, артиллерийская часто которого стояла в январе 1917 года в м. Рудники на Золотой Липе: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«Неприятная сторона таких прекрасных дней — громадное количество немецких аэропланов…А война становится все ожесточеннее и все ужаснее. Удушливые газы, огнеметатели, горны, минные галереи, бесчисленные аэропланы — всего этого в 15-м году мы не знали, а теперь у нас прямо-таки французский фронт. Что же мы всему этому противопоставим? Техника и организация нам никогда не давались, и те некоторые усовершенствования, которых мы на третьем году войны с грехом пополам добились, решительно ничего не значат по сравнению с тем, что за это время сделали немцы». (Степун Ф.А. Из писем прапорщика-артиллериста. — Томск: «Водолей», 2000) (17037).</w:t>
      </w:r>
    </w:p>
    <w:p w14:paraId="34639BCD" w14:textId="77777777" w:rsidR="00D42617" w:rsidRPr="002F2FDF" w:rsidRDefault="00D4261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5CD8C4" w14:textId="20CFDB05" w:rsidR="00ED35CD" w:rsidRPr="002F2FDF" w:rsidRDefault="00ED35C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началу 1917 силы морской </w:t>
      </w:r>
      <w:bookmarkStart w:id="1" w:name="YANDEX_28"/>
      <w:bookmarkEnd w:id="1"/>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авиации</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на ЧМ выросли до 110 самолётов, летом поступили 8 сухопутных истребителей («Ньюпоров»). Была сформирована воздушная дивизия Чёрного моря – в 1-ю бригада входили 4 корабельных отряда (затем 6-ть), во 2-ю бригаду 13 отрядов сухопутного базирования. В марте 1917 года должна была начаться грандиозная операция по захвату Босфора, с воздуха её должны были поддерживать свыше 150 гидросамолетов, но гибель империи, разрушила замыслы этой операции. После Февральской революции «Александр» был переименован в «Республиканца», а «Николай» в «Авиатора». 24-27 мая «Авиатор» совершил свой последний поход на аэрофотосъёмку и бомбардировку Синопа. Дальнейшая деятельность морской </w:t>
      </w:r>
      <w:bookmarkStart w:id="2" w:name="YANDEX_29"/>
      <w:bookmarkEnd w:id="2"/>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авиации</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Черноморского </w:t>
      </w:r>
      <w:bookmarkStart w:id="3" w:name="YANDEX_30"/>
      <w:bookmarkEnd w:id="3"/>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флота</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закончилась в связи с началом Гражданской войны, летчики были разбросаны судьбой по разные стороны фронта (17043).</w:t>
      </w:r>
    </w:p>
    <w:p w14:paraId="40F4DA7A" w14:textId="77777777" w:rsidR="00ED35CD" w:rsidRPr="002F2FDF" w:rsidRDefault="00ED35C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6E5D27" w14:textId="77777777" w:rsidR="008E6AE0" w:rsidRPr="002F2FDF" w:rsidRDefault="008E6AE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 в каждом авиационном отряде уже насчитывалось до 20 радистов, были установлены должности начальника радиослужбы отряда (он же летчик-наблюдатель) и старшего радиотехника отряда (9705).</w:t>
      </w:r>
    </w:p>
    <w:p w14:paraId="00F86B0D" w14:textId="77777777" w:rsidR="008E6AE0" w:rsidRPr="002F2FDF" w:rsidRDefault="008E6AE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2F88F2" w14:textId="77777777" w:rsidR="008E6AE0" w:rsidRPr="002F2FDF" w:rsidRDefault="008E6AE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года даже в каждом авиационном отряде в России уже насчитывалось до 20 радистов, были установлены должности начальника радиослужбы отряда (он же летчик-наблюдатель) и старшего радиотехника отряда (11999).</w:t>
      </w:r>
    </w:p>
    <w:p w14:paraId="1BA580BD" w14:textId="77777777" w:rsidR="008E6AE0" w:rsidRPr="002F2FDF" w:rsidRDefault="008E6AE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4882EA" w14:textId="77777777" w:rsidR="008E6AE0" w:rsidRPr="002F2FDF" w:rsidRDefault="008E6AE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 в каждом авиационном отряде уже насчитывалось до 20 радистов. Передача сообщений из самолетов велась телеграфным ключом со средней скоростью 120 зн./мин. Военный летчик тех лет H.М.Брагин отмечал, что существовало до тридцати специальных кодовых телеграфных сигналов, которые отправлялись с самолета, и их прием наземным приемным пунктом вполне обеспечивал успех пристрелки артиллерийской батареи к необходимой цели (11338).</w:t>
      </w:r>
    </w:p>
    <w:p w14:paraId="73D323F2" w14:textId="77777777" w:rsidR="008E6AE0" w:rsidRPr="002F2FDF" w:rsidRDefault="008E6AE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16EC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года на фронте было потеряно 15 152-мм пушек обр. 1910 г (3861).</w:t>
      </w:r>
    </w:p>
    <w:p w14:paraId="386AB9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B45030" w14:textId="77777777" w:rsidR="00C615A7" w:rsidRPr="002F2FDF" w:rsidRDefault="00C615A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начало 1917 года в Кронштадском порту было 154 12/52-дюймовых удушающих снаряда, а в Севастополе снаряжалось 300 удушающих снарядов, переделанных из практических (3861).</w:t>
      </w:r>
    </w:p>
    <w:p w14:paraId="4174F92F" w14:textId="77777777" w:rsidR="00C615A7" w:rsidRPr="002F2FDF" w:rsidRDefault="00C615A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6379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1917 г., по данным Барсукова, были сформированы шесть тяжелых артиллерий</w:t>
      </w:r>
      <w:r w:rsidRPr="002F2FDF">
        <w:rPr>
          <w:rFonts w:ascii="Times New Roman" w:hAnsi="Times New Roman" w:cs="Times New Roman"/>
          <w:color w:val="000000" w:themeColor="text1"/>
          <w:kern w:val="2"/>
          <w:sz w:val="16"/>
          <w:szCs w:val="16"/>
        </w:rPr>
        <w:softHyphen/>
        <w:t>ских бригад, в числе которых находились Отдельные тракторные тяжелые дивизионы. Дивизион шестидюймовых осадных пушек «Шнейдер», учрежденный 2 января 1915 г., уже 19 октября был переформирован в 1 -й тракторный тяжелый артиллерийский ди</w:t>
      </w:r>
      <w:r w:rsidRPr="002F2FDF">
        <w:rPr>
          <w:rFonts w:ascii="Times New Roman" w:hAnsi="Times New Roman" w:cs="Times New Roman"/>
          <w:color w:val="000000" w:themeColor="text1"/>
          <w:kern w:val="2"/>
          <w:sz w:val="16"/>
          <w:szCs w:val="16"/>
        </w:rPr>
        <w:softHyphen/>
        <w:t>визион в составе трех тракторных батарей. 9 апреля 1916 г. подразделение было пере</w:t>
      </w:r>
      <w:r w:rsidRPr="002F2FDF">
        <w:rPr>
          <w:rFonts w:ascii="Times New Roman" w:hAnsi="Times New Roman" w:cs="Times New Roman"/>
          <w:color w:val="000000" w:themeColor="text1"/>
          <w:kern w:val="2"/>
          <w:sz w:val="16"/>
          <w:szCs w:val="16"/>
        </w:rPr>
        <w:softHyphen/>
        <w:t>формировано в 1 -й Отдельный тяжелый ар</w:t>
      </w:r>
      <w:r w:rsidRPr="002F2FDF">
        <w:rPr>
          <w:rFonts w:ascii="Times New Roman" w:hAnsi="Times New Roman" w:cs="Times New Roman"/>
          <w:color w:val="000000" w:themeColor="text1"/>
          <w:kern w:val="2"/>
          <w:sz w:val="16"/>
          <w:szCs w:val="16"/>
        </w:rPr>
        <w:softHyphen/>
        <w:t>тиллерийский дивизион батарей «Б», а 13 января 1917 г. дивизион вошел в состав 203-й бригады ТАОН (11874).</w:t>
      </w:r>
    </w:p>
    <w:p w14:paraId="102B6E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2FEB80" w14:textId="0CDD32AD" w:rsidR="003C4B91" w:rsidRPr="002F2FDF" w:rsidRDefault="003C4B91" w:rsidP="0083075A">
      <w:pPr>
        <w:pStyle w:val="ae"/>
        <w:spacing w:before="0" w:after="0"/>
        <w:jc w:val="both"/>
        <w:rPr>
          <w:color w:val="000000" w:themeColor="text1"/>
          <w:sz w:val="16"/>
          <w:szCs w:val="16"/>
        </w:rPr>
      </w:pPr>
      <w:r w:rsidRPr="002F2FDF">
        <w:rPr>
          <w:color w:val="000000" w:themeColor="text1"/>
          <w:sz w:val="16"/>
          <w:szCs w:val="16"/>
        </w:rPr>
        <w:t xml:space="preserve">К началу 1917 года бронеавтомобили были объединены в 18 автобронедивизионов, 50 автопулеметных взводов и шесть зенитных автобатарей. В период с 1914 по </w:t>
      </w:r>
      <w:r w:rsidRPr="002F2FDF">
        <w:rPr>
          <w:color w:val="000000" w:themeColor="text1"/>
          <w:sz w:val="16"/>
          <w:szCs w:val="16"/>
        </w:rPr>
        <w:lastRenderedPageBreak/>
        <w:t>1917 год в страну было импортировано 496 броневиков и построено (или доведено до ума</w:t>
      </w:r>
      <w:r w:rsidR="00E52569">
        <w:rPr>
          <w:color w:val="000000" w:themeColor="text1"/>
          <w:sz w:val="16"/>
          <w:szCs w:val="16"/>
        </w:rPr>
        <w:t xml:space="preserve"> </w:t>
      </w:r>
      <w:r w:rsidRPr="002F2FDF">
        <w:rPr>
          <w:color w:val="000000" w:themeColor="text1"/>
          <w:sz w:val="16"/>
          <w:szCs w:val="16"/>
        </w:rPr>
        <w:t>— вооружено, бронировано) еще 200 автомобилей (18519).</w:t>
      </w:r>
    </w:p>
    <w:p w14:paraId="626A7E31" w14:textId="77777777" w:rsidR="003C4B91" w:rsidRPr="002F2FDF" w:rsidRDefault="003C4B91" w:rsidP="0083075A">
      <w:pPr>
        <w:pStyle w:val="ae"/>
        <w:spacing w:before="0" w:after="0"/>
        <w:jc w:val="both"/>
        <w:rPr>
          <w:color w:val="000000" w:themeColor="text1"/>
          <w:sz w:val="16"/>
          <w:szCs w:val="16"/>
        </w:rPr>
      </w:pPr>
    </w:p>
    <w:p w14:paraId="2A77FED6" w14:textId="77777777" w:rsidR="00447212" w:rsidRPr="002F2FDF" w:rsidRDefault="00447212" w:rsidP="0083075A">
      <w:pPr>
        <w:pStyle w:val="a3"/>
        <w:rPr>
          <w:color w:val="000000" w:themeColor="text1"/>
          <w:kern w:val="2"/>
          <w:lang w:val="ru-RU"/>
        </w:rPr>
      </w:pPr>
      <w:r w:rsidRPr="002F2FDF">
        <w:rPr>
          <w:color w:val="000000" w:themeColor="text1"/>
          <w:kern w:val="2"/>
          <w:lang w:val="ru-RU"/>
        </w:rPr>
        <w:t>К 1917 г. за счет импорта (главным образом для военного ве</w:t>
      </w:r>
      <w:r w:rsidRPr="002F2FDF">
        <w:rPr>
          <w:color w:val="000000" w:themeColor="text1"/>
          <w:kern w:val="2"/>
          <w:lang w:val="ru-RU"/>
        </w:rPr>
        <w:softHyphen/>
        <w:t>домства) тракторный парк увеличился до 1500 машин. К этому времени почти все имевшиеся в народном хозяйстве тракторы были реквизи</w:t>
      </w:r>
      <w:r w:rsidRPr="002F2FDF">
        <w:rPr>
          <w:color w:val="000000" w:themeColor="text1"/>
          <w:kern w:val="2"/>
          <w:lang w:val="ru-RU"/>
        </w:rPr>
        <w:softHyphen/>
        <w:t>рованы военными. После революции, поражения в империа</w:t>
      </w:r>
      <w:r w:rsidRPr="002F2FDF">
        <w:rPr>
          <w:color w:val="000000" w:themeColor="text1"/>
          <w:kern w:val="2"/>
          <w:lang w:val="ru-RU"/>
        </w:rPr>
        <w:softHyphen/>
        <w:t>листической войне, начала Гражданской войны и интервенции тракторный парк народного хо</w:t>
      </w:r>
      <w:r w:rsidRPr="002F2FDF">
        <w:rPr>
          <w:color w:val="000000" w:themeColor="text1"/>
          <w:kern w:val="2"/>
          <w:lang w:val="ru-RU"/>
        </w:rPr>
        <w:softHyphen/>
        <w:t>зяйства пришел в запустение (12622).</w:t>
      </w:r>
    </w:p>
    <w:p w14:paraId="587813D5" w14:textId="77777777" w:rsidR="00447212" w:rsidRPr="002F2FDF" w:rsidRDefault="00447212" w:rsidP="0083075A">
      <w:pPr>
        <w:pStyle w:val="a3"/>
        <w:rPr>
          <w:color w:val="000000" w:themeColor="text1"/>
          <w:kern w:val="2"/>
          <w:lang w:val="ru-RU"/>
        </w:rPr>
      </w:pPr>
    </w:p>
    <w:p w14:paraId="119DC625" w14:textId="77777777" w:rsidR="00436AFF" w:rsidRPr="002F2FDF" w:rsidRDefault="00436AFF" w:rsidP="0083075A">
      <w:pPr>
        <w:pStyle w:val="a3"/>
        <w:rPr>
          <w:rStyle w:val="490"/>
          <w:rFonts w:ascii="Times New Roman" w:hAnsi="Times New Roman" w:cs="Times New Roman"/>
          <w:b w:val="0"/>
          <w:color w:val="000000" w:themeColor="text1"/>
          <w:kern w:val="2"/>
          <w:sz w:val="16"/>
          <w:szCs w:val="16"/>
          <w:lang w:val="ru-RU"/>
        </w:rPr>
      </w:pPr>
      <w:r w:rsidRPr="002F2FDF">
        <w:rPr>
          <w:color w:val="000000" w:themeColor="text1"/>
          <w:kern w:val="2"/>
          <w:lang w:val="ru-RU"/>
        </w:rPr>
        <w:t>К началу 1917 г. сформировали</w:t>
      </w:r>
      <w:r w:rsidRPr="002F2FDF">
        <w:rPr>
          <w:rStyle w:val="490"/>
          <w:rFonts w:ascii="Times New Roman" w:hAnsi="Times New Roman" w:cs="Times New Roman"/>
          <w:b w:val="0"/>
          <w:color w:val="000000" w:themeColor="text1"/>
          <w:kern w:val="2"/>
          <w:sz w:val="16"/>
          <w:szCs w:val="16"/>
          <w:lang w:val="ru-RU"/>
        </w:rPr>
        <w:t xml:space="preserve"> и направи</w:t>
      </w:r>
      <w:r w:rsidRPr="002F2FDF">
        <w:rPr>
          <w:rStyle w:val="490"/>
          <w:rFonts w:ascii="Times New Roman" w:hAnsi="Times New Roman" w:cs="Times New Roman"/>
          <w:b w:val="0"/>
          <w:color w:val="000000" w:themeColor="text1"/>
          <w:kern w:val="2"/>
          <w:sz w:val="16"/>
          <w:szCs w:val="16"/>
          <w:lang w:val="ru-RU"/>
        </w:rPr>
        <w:softHyphen/>
      </w:r>
      <w:r w:rsidRPr="002F2FDF">
        <w:rPr>
          <w:color w:val="000000" w:themeColor="text1"/>
          <w:kern w:val="2"/>
          <w:lang w:val="ru-RU"/>
        </w:rPr>
        <w:t>ли в действующую армию 2</w:t>
      </w:r>
      <w:r w:rsidRPr="002F2FDF">
        <w:rPr>
          <w:rStyle w:val="490"/>
          <w:rFonts w:ascii="Times New Roman" w:hAnsi="Times New Roman" w:cs="Times New Roman"/>
          <w:b w:val="0"/>
          <w:color w:val="000000" w:themeColor="text1"/>
          <w:kern w:val="2"/>
          <w:sz w:val="16"/>
          <w:szCs w:val="16"/>
          <w:lang w:val="ru-RU"/>
        </w:rPr>
        <w:t xml:space="preserve"> мотоциклетные </w:t>
      </w:r>
      <w:r w:rsidRPr="002F2FDF">
        <w:rPr>
          <w:color w:val="000000" w:themeColor="text1"/>
          <w:kern w:val="2"/>
          <w:lang w:val="ru-RU"/>
        </w:rPr>
        <w:t>роты, 55 мотоциклетных</w:t>
      </w:r>
      <w:r w:rsidRPr="002F2FDF">
        <w:rPr>
          <w:rStyle w:val="490"/>
          <w:rFonts w:ascii="Times New Roman" w:hAnsi="Times New Roman" w:cs="Times New Roman"/>
          <w:b w:val="0"/>
          <w:color w:val="000000" w:themeColor="text1"/>
          <w:kern w:val="2"/>
          <w:sz w:val="16"/>
          <w:szCs w:val="16"/>
          <w:lang w:val="ru-RU"/>
        </w:rPr>
        <w:t xml:space="preserve"> отделений и 2 мо</w:t>
      </w:r>
      <w:r w:rsidRPr="002F2FDF">
        <w:rPr>
          <w:rStyle w:val="490"/>
          <w:rFonts w:ascii="Times New Roman" w:hAnsi="Times New Roman" w:cs="Times New Roman"/>
          <w:b w:val="0"/>
          <w:color w:val="000000" w:themeColor="text1"/>
          <w:kern w:val="2"/>
          <w:sz w:val="16"/>
          <w:szCs w:val="16"/>
          <w:lang w:val="ru-RU"/>
        </w:rPr>
        <w:softHyphen/>
      </w:r>
      <w:r w:rsidRPr="002F2FDF">
        <w:rPr>
          <w:color w:val="000000" w:themeColor="text1"/>
          <w:kern w:val="2"/>
          <w:lang w:val="ru-RU"/>
        </w:rPr>
        <w:t>тоциклетных команды.</w:t>
      </w:r>
      <w:r w:rsidRPr="002F2FDF">
        <w:rPr>
          <w:rStyle w:val="490"/>
          <w:rFonts w:ascii="Times New Roman" w:hAnsi="Times New Roman" w:cs="Times New Roman"/>
          <w:b w:val="0"/>
          <w:color w:val="000000" w:themeColor="text1"/>
          <w:kern w:val="2"/>
          <w:sz w:val="16"/>
          <w:szCs w:val="16"/>
          <w:lang w:val="ru-RU"/>
        </w:rPr>
        <w:t xml:space="preserve"> Помимо отдельньк </w:t>
      </w:r>
      <w:r w:rsidRPr="002F2FDF">
        <w:rPr>
          <w:color w:val="000000" w:themeColor="text1"/>
          <w:kern w:val="2"/>
          <w:lang w:val="ru-RU"/>
        </w:rPr>
        <w:t>мотоциклетных частей,</w:t>
      </w:r>
      <w:r w:rsidRPr="002F2FDF">
        <w:rPr>
          <w:rStyle w:val="490"/>
          <w:rFonts w:ascii="Times New Roman" w:hAnsi="Times New Roman" w:cs="Times New Roman"/>
          <w:b w:val="0"/>
          <w:color w:val="000000" w:themeColor="text1"/>
          <w:kern w:val="2"/>
          <w:sz w:val="16"/>
          <w:szCs w:val="16"/>
          <w:lang w:val="ru-RU"/>
        </w:rPr>
        <w:t xml:space="preserve"> мотоциклы</w:t>
      </w:r>
      <w:r w:rsidRPr="002F2FDF">
        <w:rPr>
          <w:rStyle w:val="915"/>
          <w:rFonts w:ascii="Times New Roman" w:hAnsi="Times New Roman" w:cs="Times New Roman"/>
          <w:b w:val="0"/>
          <w:color w:val="000000" w:themeColor="text1"/>
          <w:spacing w:val="0"/>
          <w:kern w:val="2"/>
          <w:sz w:val="16"/>
          <w:szCs w:val="16"/>
          <w:lang w:val="ru-RU"/>
        </w:rPr>
        <w:t xml:space="preserve"> посту</w:t>
      </w:r>
      <w:r w:rsidRPr="002F2FDF">
        <w:rPr>
          <w:rStyle w:val="915"/>
          <w:rFonts w:ascii="Times New Roman" w:hAnsi="Times New Roman" w:cs="Times New Roman"/>
          <w:b w:val="0"/>
          <w:color w:val="000000" w:themeColor="text1"/>
          <w:spacing w:val="0"/>
          <w:kern w:val="2"/>
          <w:sz w:val="16"/>
          <w:szCs w:val="16"/>
          <w:lang w:val="ru-RU"/>
        </w:rPr>
        <w:softHyphen/>
      </w:r>
      <w:r w:rsidRPr="002F2FDF">
        <w:rPr>
          <w:color w:val="000000" w:themeColor="text1"/>
          <w:kern w:val="2"/>
          <w:lang w:val="ru-RU"/>
        </w:rPr>
        <w:t>пали на снабжение и других</w:t>
      </w:r>
      <w:r w:rsidRPr="002F2FDF">
        <w:rPr>
          <w:rStyle w:val="490"/>
          <w:rFonts w:ascii="Times New Roman" w:hAnsi="Times New Roman" w:cs="Times New Roman"/>
          <w:b w:val="0"/>
          <w:color w:val="000000" w:themeColor="text1"/>
          <w:kern w:val="2"/>
          <w:sz w:val="16"/>
          <w:szCs w:val="16"/>
          <w:lang w:val="ru-RU"/>
        </w:rPr>
        <w:t xml:space="preserve"> частей и под</w:t>
      </w:r>
      <w:r w:rsidRPr="002F2FDF">
        <w:rPr>
          <w:rStyle w:val="490"/>
          <w:rFonts w:ascii="Times New Roman" w:hAnsi="Times New Roman" w:cs="Times New Roman"/>
          <w:b w:val="0"/>
          <w:color w:val="000000" w:themeColor="text1"/>
          <w:kern w:val="2"/>
          <w:sz w:val="16"/>
          <w:szCs w:val="16"/>
          <w:lang w:val="ru-RU"/>
        </w:rPr>
        <w:softHyphen/>
      </w:r>
      <w:r w:rsidRPr="002F2FDF">
        <w:rPr>
          <w:color w:val="000000" w:themeColor="text1"/>
          <w:kern w:val="2"/>
          <w:lang w:val="ru-RU"/>
        </w:rPr>
        <w:t>разделений. Так, они имелись</w:t>
      </w:r>
      <w:r w:rsidRPr="002F2FDF">
        <w:rPr>
          <w:rStyle w:val="490"/>
          <w:rFonts w:ascii="Times New Roman" w:hAnsi="Times New Roman" w:cs="Times New Roman"/>
          <w:b w:val="0"/>
          <w:color w:val="000000" w:themeColor="text1"/>
          <w:kern w:val="2"/>
          <w:sz w:val="16"/>
          <w:szCs w:val="16"/>
          <w:lang w:val="ru-RU"/>
        </w:rPr>
        <w:t xml:space="preserve"> в крепости, </w:t>
      </w:r>
      <w:r w:rsidRPr="002F2FDF">
        <w:rPr>
          <w:color w:val="000000" w:themeColor="text1"/>
          <w:kern w:val="2"/>
          <w:lang w:val="ru-RU"/>
        </w:rPr>
        <w:t>в составе вновь</w:t>
      </w:r>
      <w:r w:rsidRPr="002F2FDF">
        <w:rPr>
          <w:rStyle w:val="490"/>
          <w:rFonts w:ascii="Times New Roman" w:hAnsi="Times New Roman" w:cs="Times New Roman"/>
          <w:b w:val="0"/>
          <w:color w:val="000000" w:themeColor="text1"/>
          <w:kern w:val="2"/>
          <w:sz w:val="16"/>
          <w:szCs w:val="16"/>
          <w:lang w:val="ru-RU"/>
        </w:rPr>
        <w:t xml:space="preserve"> формируемой Тяжелой </w:t>
      </w:r>
      <w:r w:rsidRPr="002F2FDF">
        <w:rPr>
          <w:color w:val="000000" w:themeColor="text1"/>
          <w:kern w:val="2"/>
          <w:lang w:val="ru-RU"/>
        </w:rPr>
        <w:t>артиллерии особого</w:t>
      </w:r>
      <w:r w:rsidRPr="002F2FDF">
        <w:rPr>
          <w:rStyle w:val="490"/>
          <w:rFonts w:ascii="Times New Roman" w:hAnsi="Times New Roman" w:cs="Times New Roman"/>
          <w:b w:val="0"/>
          <w:color w:val="000000" w:themeColor="text1"/>
          <w:kern w:val="2"/>
          <w:sz w:val="16"/>
          <w:szCs w:val="16"/>
          <w:lang w:val="ru-RU"/>
        </w:rPr>
        <w:t xml:space="preserve"> назначения (ТАОН), в </w:t>
      </w:r>
      <w:r w:rsidRPr="002F2FDF">
        <w:rPr>
          <w:color w:val="000000" w:themeColor="text1"/>
          <w:kern w:val="2"/>
          <w:lang w:val="ru-RU"/>
        </w:rPr>
        <w:t>структуре Всероссийского</w:t>
      </w:r>
      <w:r w:rsidRPr="002F2FDF">
        <w:rPr>
          <w:rStyle w:val="490"/>
          <w:rFonts w:ascii="Times New Roman" w:hAnsi="Times New Roman" w:cs="Times New Roman"/>
          <w:b w:val="0"/>
          <w:color w:val="000000" w:themeColor="text1"/>
          <w:kern w:val="2"/>
          <w:sz w:val="16"/>
          <w:szCs w:val="16"/>
          <w:lang w:val="ru-RU"/>
        </w:rPr>
        <w:t xml:space="preserve"> Земского Со</w:t>
      </w:r>
      <w:r w:rsidRPr="002F2FDF">
        <w:rPr>
          <w:rStyle w:val="490"/>
          <w:rFonts w:ascii="Times New Roman" w:hAnsi="Times New Roman" w:cs="Times New Roman"/>
          <w:b w:val="0"/>
          <w:color w:val="000000" w:themeColor="text1"/>
          <w:kern w:val="2"/>
          <w:sz w:val="16"/>
          <w:szCs w:val="16"/>
          <w:lang w:val="ru-RU"/>
        </w:rPr>
        <w:softHyphen/>
      </w:r>
      <w:r w:rsidRPr="002F2FDF">
        <w:rPr>
          <w:color w:val="000000" w:themeColor="text1"/>
          <w:kern w:val="2"/>
          <w:lang w:val="ru-RU"/>
        </w:rPr>
        <w:t>юза, у авиационных отрядов</w:t>
      </w:r>
      <w:r w:rsidRPr="002F2FDF">
        <w:rPr>
          <w:rStyle w:val="490"/>
          <w:rFonts w:ascii="Times New Roman" w:hAnsi="Times New Roman" w:cs="Times New Roman"/>
          <w:b w:val="0"/>
          <w:color w:val="000000" w:themeColor="text1"/>
          <w:kern w:val="2"/>
          <w:sz w:val="16"/>
          <w:szCs w:val="16"/>
          <w:lang w:val="ru-RU"/>
        </w:rPr>
        <w:t xml:space="preserve"> и др. (15741).</w:t>
      </w:r>
    </w:p>
    <w:p w14:paraId="6CC74544" w14:textId="77777777" w:rsidR="00436AFF" w:rsidRPr="002F2FDF" w:rsidRDefault="00436AFF" w:rsidP="0083075A">
      <w:pPr>
        <w:pStyle w:val="a3"/>
        <w:rPr>
          <w:rStyle w:val="490"/>
          <w:rFonts w:ascii="Times New Roman" w:hAnsi="Times New Roman" w:cs="Times New Roman"/>
          <w:b w:val="0"/>
          <w:color w:val="000000" w:themeColor="text1"/>
          <w:kern w:val="2"/>
          <w:sz w:val="16"/>
          <w:szCs w:val="16"/>
          <w:lang w:val="ru-RU"/>
        </w:rPr>
      </w:pPr>
    </w:p>
    <w:p w14:paraId="39682EB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CD4A2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7881E1" w14:textId="77777777" w:rsidR="00C364AB" w:rsidRPr="002F2FDF" w:rsidRDefault="00C364AB" w:rsidP="0083075A">
      <w:pPr>
        <w:autoSpaceDE w:val="0"/>
        <w:autoSpaceDN w:val="0"/>
        <w:adjustRightInd w:val="0"/>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январю 1917 года количество имевшихся в обращении денег выросло в 5–6 раз. Такое изменение повлияло на курс российской валюты за границей. На Стокгольмской бирже цена рубля упала на 44%.</w:t>
      </w:r>
    </w:p>
    <w:p w14:paraId="0E1B51CF" w14:textId="77777777" w:rsidR="00C364AB" w:rsidRPr="002F2FDF" w:rsidRDefault="00C364AB" w:rsidP="0083075A">
      <w:pPr>
        <w:autoSpaceDE w:val="0"/>
        <w:autoSpaceDN w:val="0"/>
        <w:adjustRightInd w:val="0"/>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Естественно, страну захлестнула инфляция. Землевладельцы и крестьяне видели, как быстро растут цены, и стали придерживать свой товар, чтобы продать его с большей выгодой. А горожане начали страдать от дефицита продовольствия, в первую очередь, хлеба. У булочных выстраивались длинные очереди, которые называли хвостами. Цены всё росли и росли. Ситуация в городах осложнялась ещё и тем, что численность их населения значительно увеличилась за счёт наплыва промышленных рабочих, беженцев и расквартирования войск (18086).</w:t>
      </w:r>
    </w:p>
    <w:p w14:paraId="491E2719" w14:textId="77777777" w:rsidR="00C364AB" w:rsidRPr="002F2FDF" w:rsidRDefault="00C364AB" w:rsidP="0083075A">
      <w:pPr>
        <w:pStyle w:val="a3"/>
        <w:rPr>
          <w:color w:val="000000" w:themeColor="text1"/>
          <w:lang w:val="ru-RU"/>
        </w:rPr>
      </w:pPr>
    </w:p>
    <w:p w14:paraId="24CECD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1917 г. цены на продукты питания возросли — только за год — от 40 до 200%. При этом, уже к весне 1915 г. цены на хлеб были повышены уже на 59%, на промышленные товары на 35%. За второй год войны цены на хлеб возросли на 122%, на промышленные товары — на 145%. Сокращение потребления во время войны влекло за собой понижение жизненного уровня. Рабочий день был везде удлинен обязательными сверхурочными часами для выполнения военных заказов. Было сокращено число дней отдыха. В связи с мобилизацией в промышленности стали широко применять женский и детский труд, хотя и менее квалифицированный, но более дешевый. Доля рабочих-мужчин упала с 61,3% в 1913 г. до 56,6% в 1917 г., а процент женщин-работниц за это время увеличился с 38,7 до 43,4% (11270).</w:t>
      </w:r>
    </w:p>
    <w:p w14:paraId="2C9DB6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7413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1917 г. ухудшается положение на фронте и в тылу. Армия претерпела существенные изменения, почти полностью выбыл в результате кровопролитных боев кадровый состав. Возникший в процессе войны кризис в снабжении армии вооружением, особенно тяжелой артиллерией, боеприпасами вынуждал возмещать этот недостаток более интенсивным использованием живой силы. За три с половиной года войны из деревни было призвано свыше 12,8 млн человек. Огромные жертвы, плохое снабжение, затягивание войны неотвратимо сказывались на моральном духе солдат и офицеров. Главным препятствием к победе стало теперь внутреннее состояние самого общества. В такой обстановке в правящих кругах обеих коалиций росла тревога. Поэтому кайзер и его окружение выступили с “мирными” предложениями — в расчете на то, что эти предложения будут отвергнуты противником и в таком случае на него можно будет свалить всю вину за продолжение войны (11270).</w:t>
      </w:r>
    </w:p>
    <w:p w14:paraId="3529A7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DC9B3E" w14:textId="77777777" w:rsidR="00621AC5" w:rsidRPr="002F2FDF" w:rsidRDefault="00621AC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D3C6F77" w14:textId="77777777" w:rsidR="00621AC5" w:rsidRPr="002F2FDF" w:rsidRDefault="00621AC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8D0F2E" w14:textId="77777777" w:rsidR="00621AC5" w:rsidRPr="002F2FDF" w:rsidRDefault="00621AC5"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ян</w:t>
      </w:r>
      <w:r w:rsidRPr="002F2FDF">
        <w:rPr>
          <w:rFonts w:ascii="Times New Roman" w:hAnsi="Times New Roman" w:cs="Times New Roman"/>
          <w:color w:val="000000" w:themeColor="text1"/>
          <w:kern w:val="2"/>
          <w:sz w:val="16"/>
          <w:szCs w:val="16"/>
        </w:rPr>
        <w:softHyphen/>
        <w:t>варю 1917 г., когда в процессе проработки тактики боевого применения тяжелого самолета-штурмовика в составе "охра</w:t>
      </w:r>
      <w:r w:rsidRPr="002F2FDF">
        <w:rPr>
          <w:rFonts w:ascii="Times New Roman" w:hAnsi="Times New Roman" w:cs="Times New Roman"/>
          <w:color w:val="000000" w:themeColor="text1"/>
          <w:kern w:val="2"/>
          <w:sz w:val="16"/>
          <w:szCs w:val="16"/>
        </w:rPr>
        <w:softHyphen/>
        <w:t>нительных" авиаотрядов выяснилось, что последний все же не в состоянии решать весь круг задач поля боя и не может считаться универсальным "са</w:t>
      </w:r>
      <w:r w:rsidRPr="002F2FDF">
        <w:rPr>
          <w:rFonts w:ascii="Times New Roman" w:hAnsi="Times New Roman" w:cs="Times New Roman"/>
          <w:color w:val="000000" w:themeColor="text1"/>
          <w:kern w:val="2"/>
          <w:sz w:val="16"/>
          <w:szCs w:val="16"/>
        </w:rPr>
        <w:softHyphen/>
        <w:t>молетом пехоты", немцами были разработаны ТТТ к легкому небронированному многоцеле</w:t>
      </w:r>
      <w:r w:rsidRPr="002F2FDF">
        <w:rPr>
          <w:rFonts w:ascii="Times New Roman" w:hAnsi="Times New Roman" w:cs="Times New Roman"/>
          <w:color w:val="000000" w:themeColor="text1"/>
          <w:kern w:val="2"/>
          <w:sz w:val="16"/>
          <w:szCs w:val="16"/>
        </w:rPr>
        <w:softHyphen/>
        <w:t>вому биплану класса "CL". Многоце</w:t>
      </w:r>
      <w:r w:rsidRPr="002F2FDF">
        <w:rPr>
          <w:rFonts w:ascii="Times New Roman" w:hAnsi="Times New Roman" w:cs="Times New Roman"/>
          <w:color w:val="000000" w:themeColor="text1"/>
          <w:kern w:val="2"/>
          <w:sz w:val="16"/>
          <w:szCs w:val="16"/>
        </w:rPr>
        <w:softHyphen/>
        <w:t>левой "воздушный пехотинец" должен был не только эффективно содейство</w:t>
      </w:r>
      <w:r w:rsidRPr="002F2FDF">
        <w:rPr>
          <w:rFonts w:ascii="Times New Roman" w:hAnsi="Times New Roman" w:cs="Times New Roman"/>
          <w:color w:val="000000" w:themeColor="text1"/>
          <w:kern w:val="2"/>
          <w:sz w:val="16"/>
          <w:szCs w:val="16"/>
        </w:rPr>
        <w:softHyphen/>
        <w:t>вать своим войскам в наземном бою (бомбоштурмовые удары, разведка, связь), но и уметь постоять за себя в случае нападения истребителей против</w:t>
      </w:r>
      <w:r w:rsidRPr="002F2FDF">
        <w:rPr>
          <w:rFonts w:ascii="Times New Roman" w:hAnsi="Times New Roman" w:cs="Times New Roman"/>
          <w:color w:val="000000" w:themeColor="text1"/>
          <w:kern w:val="2"/>
          <w:sz w:val="16"/>
          <w:szCs w:val="16"/>
        </w:rPr>
        <w:softHyphen/>
        <w:t>ника, а в некоторых случаях самому выступать в роли истребителя, унич</w:t>
      </w:r>
      <w:r w:rsidRPr="002F2FDF">
        <w:rPr>
          <w:rFonts w:ascii="Times New Roman" w:hAnsi="Times New Roman" w:cs="Times New Roman"/>
          <w:color w:val="000000" w:themeColor="text1"/>
          <w:kern w:val="2"/>
          <w:sz w:val="16"/>
          <w:szCs w:val="16"/>
        </w:rPr>
        <w:softHyphen/>
        <w:t>тожая над полем боя неприятельские легкие бомбардировщики, разведчики и корректировщики артиллерийского огня. Согласно ТТТ, бронированный "пе</w:t>
      </w:r>
      <w:r w:rsidRPr="002F2FDF">
        <w:rPr>
          <w:rFonts w:ascii="Times New Roman" w:hAnsi="Times New Roman" w:cs="Times New Roman"/>
          <w:color w:val="000000" w:themeColor="text1"/>
          <w:kern w:val="2"/>
          <w:sz w:val="16"/>
          <w:szCs w:val="16"/>
        </w:rPr>
        <w:softHyphen/>
        <w:t>хотный самолет" должен был оснащать</w:t>
      </w:r>
      <w:r w:rsidRPr="002F2FDF">
        <w:rPr>
          <w:rFonts w:ascii="Times New Roman" w:hAnsi="Times New Roman" w:cs="Times New Roman"/>
          <w:color w:val="000000" w:themeColor="text1"/>
          <w:kern w:val="2"/>
          <w:sz w:val="16"/>
          <w:szCs w:val="16"/>
        </w:rPr>
        <w:softHyphen/>
        <w:t>ся мотором Benz Bz.IV 200 л.с., подни</w:t>
      </w:r>
      <w:r w:rsidRPr="002F2FDF">
        <w:rPr>
          <w:rFonts w:ascii="Times New Roman" w:hAnsi="Times New Roman" w:cs="Times New Roman"/>
          <w:color w:val="000000" w:themeColor="text1"/>
          <w:kern w:val="2"/>
          <w:sz w:val="16"/>
          <w:szCs w:val="16"/>
        </w:rPr>
        <w:softHyphen/>
        <w:t>мать одного пилота и одного наблюда</w:t>
      </w:r>
      <w:r w:rsidRPr="002F2FDF">
        <w:rPr>
          <w:rFonts w:ascii="Times New Roman" w:hAnsi="Times New Roman" w:cs="Times New Roman"/>
          <w:color w:val="000000" w:themeColor="text1"/>
          <w:kern w:val="2"/>
          <w:sz w:val="16"/>
          <w:szCs w:val="16"/>
        </w:rPr>
        <w:softHyphen/>
        <w:t>теля-стрелка, иметь запас горючего на 3 часа полета, развивать максималь</w:t>
      </w:r>
      <w:r w:rsidRPr="002F2FDF">
        <w:rPr>
          <w:rFonts w:ascii="Times New Roman" w:hAnsi="Times New Roman" w:cs="Times New Roman"/>
          <w:color w:val="000000" w:themeColor="text1"/>
          <w:kern w:val="2"/>
          <w:sz w:val="16"/>
          <w:szCs w:val="16"/>
        </w:rPr>
        <w:softHyphen/>
        <w:t>ную скорость 140 км/ч, потолок 3000 м. Вооружение штурмовика включало один-два пулемета для обстрела назем</w:t>
      </w:r>
      <w:r w:rsidRPr="002F2FDF">
        <w:rPr>
          <w:rFonts w:ascii="Times New Roman" w:hAnsi="Times New Roman" w:cs="Times New Roman"/>
          <w:color w:val="000000" w:themeColor="text1"/>
          <w:kern w:val="2"/>
          <w:sz w:val="16"/>
          <w:szCs w:val="16"/>
        </w:rPr>
        <w:softHyphen/>
        <w:t>ных целей и один на турели для оборо</w:t>
      </w:r>
      <w:r w:rsidRPr="002F2FDF">
        <w:rPr>
          <w:rFonts w:ascii="Times New Roman" w:hAnsi="Times New Roman" w:cs="Times New Roman"/>
          <w:color w:val="000000" w:themeColor="text1"/>
          <w:kern w:val="2"/>
          <w:sz w:val="16"/>
          <w:szCs w:val="16"/>
        </w:rPr>
        <w:softHyphen/>
        <w:t>ны от атак самолетов противника. Бом</w:t>
      </w:r>
      <w:r w:rsidRPr="002F2FDF">
        <w:rPr>
          <w:rFonts w:ascii="Times New Roman" w:hAnsi="Times New Roman" w:cs="Times New Roman"/>
          <w:color w:val="000000" w:themeColor="text1"/>
          <w:kern w:val="2"/>
          <w:sz w:val="16"/>
          <w:szCs w:val="16"/>
        </w:rPr>
        <w:softHyphen/>
        <w:t>бовое вооружение не предполагалось. Экипаж, мотор и бензобак должны были иметь защиту от пуль нормаль</w:t>
      </w:r>
      <w:r w:rsidRPr="002F2FDF">
        <w:rPr>
          <w:rFonts w:ascii="Times New Roman" w:hAnsi="Times New Roman" w:cs="Times New Roman"/>
          <w:color w:val="000000" w:themeColor="text1"/>
          <w:kern w:val="2"/>
          <w:sz w:val="16"/>
          <w:szCs w:val="16"/>
        </w:rPr>
        <w:softHyphen/>
        <w:t>ного калибра и осколков. Для этой цели предлагалось использовать разработан</w:t>
      </w:r>
      <w:r w:rsidRPr="002F2FDF">
        <w:rPr>
          <w:rFonts w:ascii="Times New Roman" w:hAnsi="Times New Roman" w:cs="Times New Roman"/>
          <w:color w:val="000000" w:themeColor="text1"/>
          <w:kern w:val="2"/>
          <w:sz w:val="16"/>
          <w:szCs w:val="16"/>
        </w:rPr>
        <w:softHyphen/>
        <w:t>ную немецким техническим отделом хромоникелевую сталь с удельным ве</w:t>
      </w:r>
      <w:r w:rsidRPr="002F2FDF">
        <w:rPr>
          <w:rFonts w:ascii="Times New Roman" w:hAnsi="Times New Roman" w:cs="Times New Roman"/>
          <w:color w:val="000000" w:themeColor="text1"/>
          <w:kern w:val="2"/>
          <w:sz w:val="16"/>
          <w:szCs w:val="16"/>
        </w:rPr>
        <w:softHyphen/>
        <w:t>сом 40 кг/м</w:t>
      </w:r>
      <w:r w:rsidRPr="002F2FDF">
        <w:rPr>
          <w:rFonts w:ascii="Times New Roman" w:hAnsi="Times New Roman" w:cs="Times New Roman"/>
          <w:color w:val="000000" w:themeColor="text1"/>
          <w:kern w:val="2"/>
          <w:sz w:val="16"/>
          <w:szCs w:val="16"/>
          <w:vertAlign w:val="superscript"/>
        </w:rPr>
        <w:t>2</w:t>
      </w:r>
      <w:r w:rsidRPr="002F2FDF">
        <w:rPr>
          <w:rFonts w:ascii="Times New Roman" w:hAnsi="Times New Roman" w:cs="Times New Roman"/>
          <w:color w:val="000000" w:themeColor="text1"/>
          <w:kern w:val="2"/>
          <w:sz w:val="16"/>
          <w:szCs w:val="16"/>
        </w:rPr>
        <w:t xml:space="preserve"> (толщина листов 5,1 мм). Работа по созданию специального самолета-штурмовика на конкурсной основе была поручена трем авиастро</w:t>
      </w:r>
      <w:r w:rsidRPr="002F2FDF">
        <w:rPr>
          <w:rFonts w:ascii="Times New Roman" w:hAnsi="Times New Roman" w:cs="Times New Roman"/>
          <w:color w:val="000000" w:themeColor="text1"/>
          <w:kern w:val="2"/>
          <w:sz w:val="16"/>
          <w:szCs w:val="16"/>
        </w:rPr>
        <w:softHyphen/>
        <w:t>ительным фирмам A.E.G., Albatros и Junkers, которые вполне успешно спра</w:t>
      </w:r>
      <w:r w:rsidRPr="002F2FDF">
        <w:rPr>
          <w:rFonts w:ascii="Times New Roman" w:hAnsi="Times New Roman" w:cs="Times New Roman"/>
          <w:color w:val="000000" w:themeColor="text1"/>
          <w:kern w:val="2"/>
          <w:sz w:val="16"/>
          <w:szCs w:val="16"/>
        </w:rPr>
        <w:softHyphen/>
        <w:t>вились с поставленной задачей, предъя</w:t>
      </w:r>
      <w:r w:rsidRPr="002F2FDF">
        <w:rPr>
          <w:rFonts w:ascii="Times New Roman" w:hAnsi="Times New Roman" w:cs="Times New Roman"/>
          <w:color w:val="000000" w:themeColor="text1"/>
          <w:kern w:val="2"/>
          <w:sz w:val="16"/>
          <w:szCs w:val="16"/>
        </w:rPr>
        <w:softHyphen/>
        <w:t>вив на суд военных свои варианты са</w:t>
      </w:r>
      <w:r w:rsidRPr="002F2FDF">
        <w:rPr>
          <w:rFonts w:ascii="Times New Roman" w:hAnsi="Times New Roman" w:cs="Times New Roman"/>
          <w:color w:val="000000" w:themeColor="text1"/>
          <w:kern w:val="2"/>
          <w:sz w:val="16"/>
          <w:szCs w:val="16"/>
        </w:rPr>
        <w:softHyphen/>
        <w:t>молета поля боя (5999). Все представленные штурмовики имели сходные летно-технические дан</w:t>
      </w:r>
      <w:r w:rsidRPr="002F2FDF">
        <w:rPr>
          <w:rFonts w:ascii="Times New Roman" w:hAnsi="Times New Roman" w:cs="Times New Roman"/>
          <w:color w:val="000000" w:themeColor="text1"/>
          <w:kern w:val="2"/>
          <w:sz w:val="16"/>
          <w:szCs w:val="16"/>
        </w:rPr>
        <w:softHyphen/>
        <w:t>ные, но разные по замыслу и конст</w:t>
      </w:r>
      <w:r w:rsidRPr="002F2FDF">
        <w:rPr>
          <w:rFonts w:ascii="Times New Roman" w:hAnsi="Times New Roman" w:cs="Times New Roman"/>
          <w:color w:val="000000" w:themeColor="text1"/>
          <w:kern w:val="2"/>
          <w:sz w:val="16"/>
          <w:szCs w:val="16"/>
        </w:rPr>
        <w:softHyphen/>
        <w:t>рукции. Самолеты первых двух фирм представляли собой глубокие модифи</w:t>
      </w:r>
      <w:r w:rsidRPr="002F2FDF">
        <w:rPr>
          <w:rFonts w:ascii="Times New Roman" w:hAnsi="Times New Roman" w:cs="Times New Roman"/>
          <w:color w:val="000000" w:themeColor="text1"/>
          <w:kern w:val="2"/>
          <w:sz w:val="16"/>
          <w:szCs w:val="16"/>
        </w:rPr>
        <w:softHyphen/>
        <w:t>кации уже выпускавшихся ими само</w:t>
      </w:r>
      <w:r w:rsidRPr="002F2FDF">
        <w:rPr>
          <w:rFonts w:ascii="Times New Roman" w:hAnsi="Times New Roman" w:cs="Times New Roman"/>
          <w:color w:val="000000" w:themeColor="text1"/>
          <w:kern w:val="2"/>
          <w:sz w:val="16"/>
          <w:szCs w:val="16"/>
        </w:rPr>
        <w:softHyphen/>
        <w:t>летов-разведчиков и легких бомбарди</w:t>
      </w:r>
      <w:r w:rsidRPr="002F2FDF">
        <w:rPr>
          <w:rFonts w:ascii="Times New Roman" w:hAnsi="Times New Roman" w:cs="Times New Roman"/>
          <w:color w:val="000000" w:themeColor="text1"/>
          <w:kern w:val="2"/>
          <w:sz w:val="16"/>
          <w:szCs w:val="16"/>
        </w:rPr>
        <w:softHyphen/>
        <w:t>ровщиков (A.E.G. С.4 и Albatros С. 12) и только фирме Junkers удалось в ко</w:t>
      </w:r>
      <w:r w:rsidRPr="002F2FDF">
        <w:rPr>
          <w:rFonts w:ascii="Times New Roman" w:hAnsi="Times New Roman" w:cs="Times New Roman"/>
          <w:color w:val="000000" w:themeColor="text1"/>
          <w:kern w:val="2"/>
          <w:sz w:val="16"/>
          <w:szCs w:val="16"/>
        </w:rPr>
        <w:softHyphen/>
        <w:t>роткий срок создать полностью ориги</w:t>
      </w:r>
      <w:r w:rsidRPr="002F2FDF">
        <w:rPr>
          <w:rFonts w:ascii="Times New Roman" w:hAnsi="Times New Roman" w:cs="Times New Roman"/>
          <w:color w:val="000000" w:themeColor="text1"/>
          <w:kern w:val="2"/>
          <w:sz w:val="16"/>
          <w:szCs w:val="16"/>
        </w:rPr>
        <w:softHyphen/>
        <w:t>нальную конструкцию самолета-штур</w:t>
      </w:r>
      <w:r w:rsidRPr="002F2FDF">
        <w:rPr>
          <w:rFonts w:ascii="Times New Roman" w:hAnsi="Times New Roman" w:cs="Times New Roman"/>
          <w:color w:val="000000" w:themeColor="text1"/>
          <w:kern w:val="2"/>
          <w:sz w:val="16"/>
          <w:szCs w:val="16"/>
        </w:rPr>
        <w:softHyphen/>
        <w:t>мовика, во многом повлиявшую на раз</w:t>
      </w:r>
      <w:r w:rsidRPr="002F2FDF">
        <w:rPr>
          <w:rFonts w:ascii="Times New Roman" w:hAnsi="Times New Roman" w:cs="Times New Roman"/>
          <w:color w:val="000000" w:themeColor="text1"/>
          <w:kern w:val="2"/>
          <w:sz w:val="16"/>
          <w:szCs w:val="16"/>
        </w:rPr>
        <w:softHyphen/>
        <w:t>витие типа самолета-штурмовика в последующие годы (5999).</w:t>
      </w:r>
    </w:p>
    <w:p w14:paraId="088C4795" w14:textId="77777777" w:rsidR="00621AC5" w:rsidRPr="002F2FDF" w:rsidRDefault="00621AC5"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A2D9E0" w14:textId="77777777" w:rsidR="00621AC5" w:rsidRPr="002F2FDF" w:rsidRDefault="00621AC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январю 1917 г. в Германии были разработаны ТТТ к легкому небронированному многоцелевому биплану класса “CL”. Многоцелевой “воздушный пехотинец” должен был не только эффективно содействовать своим войскам в наземном бою, но и уметь в некоторых случаях выступать в роли истребителя, уничтожая над полем боя неприятельские легкие бомбардировщики, разведчики и корректировщики артиллерийского огня (9649).</w:t>
      </w:r>
    </w:p>
    <w:p w14:paraId="6A8D296F" w14:textId="77777777" w:rsidR="00621AC5" w:rsidRPr="002F2FDF" w:rsidRDefault="00621AC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7B76F8" w14:textId="77777777" w:rsidR="00621AC5" w:rsidRPr="002F2FDF" w:rsidRDefault="00621AC5"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В начале 1917 года во Франции Баре сменил полковник П. дю Пюи (P. De Peuty), который «продержался» до августа, когда заместителем начальника Генштаба по авиации назначается полковник Дюваль (Duval). К осени 1917 года Генштаб добивается от правительства решения о создании отдельных эскадрилий, подчиненных непосредственно заместителю начальника генштаба по авиации. Весной на фронте появляются 4 авиационные дивизии смешанного состава с 600 самолетами. Однако до конца боев опробовать действия новых соединений не удается (19791).</w:t>
      </w:r>
    </w:p>
    <w:p w14:paraId="4F8FD44C" w14:textId="77777777" w:rsidR="00621AC5" w:rsidRPr="002F2FDF" w:rsidRDefault="00621AC5" w:rsidP="0083075A">
      <w:pPr>
        <w:pStyle w:val="ae"/>
        <w:shd w:val="clear" w:color="auto" w:fill="FFFFFF"/>
        <w:spacing w:before="0" w:after="0"/>
        <w:jc w:val="both"/>
        <w:textAlignment w:val="baseline"/>
        <w:rPr>
          <w:color w:val="000000" w:themeColor="text1"/>
          <w:sz w:val="16"/>
          <w:szCs w:val="16"/>
        </w:rPr>
      </w:pPr>
    </w:p>
    <w:p w14:paraId="37E2E0B4" w14:textId="77777777" w:rsidR="00621AC5" w:rsidRPr="002F2FDF" w:rsidRDefault="00621AC5" w:rsidP="0083075A">
      <w:pPr>
        <w:pStyle w:val="ae"/>
        <w:shd w:val="clear" w:color="auto" w:fill="FFFFFF"/>
        <w:spacing w:before="0" w:after="0"/>
        <w:jc w:val="both"/>
        <w:rPr>
          <w:color w:val="000000" w:themeColor="text1"/>
          <w:sz w:val="16"/>
          <w:szCs w:val="16"/>
        </w:rPr>
      </w:pPr>
      <w:r w:rsidRPr="002F2FDF">
        <w:rPr>
          <w:color w:val="000000" w:themeColor="text1"/>
          <w:sz w:val="16"/>
          <w:szCs w:val="16"/>
        </w:rPr>
        <w:t>К 1917 г. в авиационной промышленности ведущих мировых индустриальных держав Франции и Германии сложилась парадоксальная ситуация: они смогли сделать хорошие сложные и дорогие в производстве истребители SPAD S.VII и Альбатрос D I, D II и D III с мощными моторами. «На подходе» у них были новые модели SPAD S.XII, S.XIII, Альбатрос D V, а у англичан — RAF S.E.5. Все они оказались исключительно удачными, а вот с простыми и дешевыми легкими истребителями явно не ладилось — они получались какими-то посредственными.</w:t>
      </w:r>
    </w:p>
    <w:p w14:paraId="15D32D03" w14:textId="77777777" w:rsidR="00621AC5" w:rsidRPr="002F2FDF" w:rsidRDefault="00621AC5" w:rsidP="0083075A">
      <w:pPr>
        <w:pStyle w:val="ae"/>
        <w:shd w:val="clear" w:color="auto" w:fill="FFFFFF"/>
        <w:spacing w:before="0" w:after="0"/>
        <w:jc w:val="both"/>
        <w:rPr>
          <w:color w:val="000000" w:themeColor="text1"/>
          <w:sz w:val="16"/>
          <w:szCs w:val="16"/>
        </w:rPr>
      </w:pPr>
      <w:r w:rsidRPr="002F2FDF">
        <w:rPr>
          <w:color w:val="000000" w:themeColor="text1"/>
          <w:sz w:val="16"/>
          <w:szCs w:val="16"/>
        </w:rPr>
        <w:t>К 1917 г. возникло обстоятельство, на которое ранее почти не обращали внимание: разница в цене легкого и мощного истребителя и в стоимости выполнения ими боевой задачи превысила 25…30 %. Это становилось важно не только для Германии, Австро-Венгрии и России, финансовый кризис в которых стал одной из причин развития предреволюционной ситуации, но и для остававшихся сравнительно благополучными Англии и Франции. Дефицит бюджета заставил военные министерства стимулировать разработку новых истребителей за меньшие деньги, да производители и сами к тому начали стремиться, потому что в их кассах стало не хватать оборотных средств, а кредит вздорожал. (22778).</w:t>
      </w:r>
    </w:p>
    <w:p w14:paraId="61729AD6" w14:textId="77777777" w:rsidR="00621AC5" w:rsidRPr="002F2FDF" w:rsidRDefault="00621AC5" w:rsidP="0083075A">
      <w:pPr>
        <w:pStyle w:val="ae"/>
        <w:shd w:val="clear" w:color="auto" w:fill="FFFFFF"/>
        <w:spacing w:before="0" w:after="0"/>
        <w:jc w:val="both"/>
        <w:rPr>
          <w:color w:val="000000" w:themeColor="text1"/>
          <w:sz w:val="16"/>
          <w:szCs w:val="16"/>
        </w:rPr>
      </w:pPr>
    </w:p>
    <w:p w14:paraId="04AB0047" w14:textId="77777777" w:rsidR="00621AC5" w:rsidRPr="002F2FDF" w:rsidRDefault="00621AC5"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 концерн Юнкерса так и не создал столь необходимого фронту боево</w:t>
      </w:r>
      <w:r w:rsidRPr="002F2FDF">
        <w:rPr>
          <w:rFonts w:ascii="Times New Roman" w:hAnsi="Times New Roman" w:cs="Times New Roman"/>
          <w:color w:val="000000" w:themeColor="text1"/>
          <w:kern w:val="2"/>
          <w:sz w:val="16"/>
          <w:szCs w:val="16"/>
        </w:rPr>
        <w:softHyphen/>
        <w:t>го самолёта, хотя немецкая армия и флот нуждались в 1000 новых машин ежемесячно. По-видимому, смирившись, что Юнкере способен строить только тяжелые самолёты, во</w:t>
      </w:r>
      <w:r w:rsidRPr="002F2FDF">
        <w:rPr>
          <w:rFonts w:ascii="Times New Roman" w:hAnsi="Times New Roman" w:cs="Times New Roman"/>
          <w:color w:val="000000" w:themeColor="text1"/>
          <w:kern w:val="2"/>
          <w:sz w:val="16"/>
          <w:szCs w:val="16"/>
        </w:rPr>
        <w:softHyphen/>
        <w:t>енное ведомство заказало ему низколетящий вооруженный самолёт непосредственной поддержки войск, с которого можно было бы точечно сбрасывать маленькие ручные бом</w:t>
      </w:r>
      <w:r w:rsidRPr="002F2FDF">
        <w:rPr>
          <w:rFonts w:ascii="Times New Roman" w:hAnsi="Times New Roman" w:cs="Times New Roman"/>
          <w:color w:val="000000" w:themeColor="text1"/>
          <w:kern w:val="2"/>
          <w:sz w:val="16"/>
          <w:szCs w:val="16"/>
        </w:rPr>
        <w:softHyphen/>
        <w:t>бы и гранаты прямо в траншеи врага и на другие позиции. Двигатель и экипаж должны были быть защищены от мелкокалиберных снарядов и пулемётного огня. Для такой ма</w:t>
      </w:r>
      <w:r w:rsidRPr="002F2FDF">
        <w:rPr>
          <w:rFonts w:ascii="Times New Roman" w:hAnsi="Times New Roman" w:cs="Times New Roman"/>
          <w:color w:val="000000" w:themeColor="text1"/>
          <w:kern w:val="2"/>
          <w:sz w:val="16"/>
          <w:szCs w:val="16"/>
        </w:rPr>
        <w:softHyphen/>
        <w:t>шины не требовались ни высота, ни хорошая скороподъёмность. Однако создание новой машины J4 затягивались из-за разногласий по её конфигу</w:t>
      </w:r>
      <w:r w:rsidRPr="002F2FDF">
        <w:rPr>
          <w:rFonts w:ascii="Times New Roman" w:hAnsi="Times New Roman" w:cs="Times New Roman"/>
          <w:color w:val="000000" w:themeColor="text1"/>
          <w:kern w:val="2"/>
          <w:sz w:val="16"/>
          <w:szCs w:val="16"/>
        </w:rPr>
        <w:softHyphen/>
        <w:t>рации. Военные считали схему моноплана неприемлемой для такого типа самолёта, и настаивали, чтобы он был бипланом. Но Юнкере яростно отстаивал идею моноплана. Инженер Фриц Бранденбург позднее отмечал: “Необходимость эффективной защи</w:t>
      </w:r>
      <w:r w:rsidRPr="002F2FDF">
        <w:rPr>
          <w:rFonts w:ascii="Times New Roman" w:hAnsi="Times New Roman" w:cs="Times New Roman"/>
          <w:color w:val="000000" w:themeColor="text1"/>
          <w:kern w:val="2"/>
          <w:sz w:val="16"/>
          <w:szCs w:val="16"/>
        </w:rPr>
        <w:softHyphen/>
        <w:t>ты экипажа, силовой установки и запасов топлива требовала создания подфюзеляжной лодки весом ок. 500 кг. Добавление защитного вооружения, запаса топлива на 2 часа полета и связного оборудования для обоих членов экипажа, потребовало бы чрезвычай</w:t>
      </w:r>
      <w:r w:rsidRPr="002F2FDF">
        <w:rPr>
          <w:rFonts w:ascii="Times New Roman" w:hAnsi="Times New Roman" w:cs="Times New Roman"/>
          <w:color w:val="000000" w:themeColor="text1"/>
          <w:kern w:val="2"/>
          <w:sz w:val="16"/>
          <w:szCs w:val="16"/>
        </w:rPr>
        <w:softHyphen/>
        <w:t>но длинных крыльев. Это, соответственно, приводило к невозможности выполнить тре</w:t>
      </w:r>
      <w:r w:rsidRPr="002F2FDF">
        <w:rPr>
          <w:rFonts w:ascii="Times New Roman" w:hAnsi="Times New Roman" w:cs="Times New Roman"/>
          <w:color w:val="000000" w:themeColor="text1"/>
          <w:kern w:val="2"/>
          <w:sz w:val="16"/>
          <w:szCs w:val="16"/>
        </w:rPr>
        <w:softHyphen/>
        <w:t>бования, предъявляемые Юнкерсом к моноплану, поскольку размах крыльев такого самолёта был слишком велик, чтобы уместиться в любом существующем ангаре или па</w:t>
      </w:r>
      <w:r w:rsidRPr="002F2FDF">
        <w:rPr>
          <w:rFonts w:ascii="Times New Roman" w:hAnsi="Times New Roman" w:cs="Times New Roman"/>
          <w:color w:val="000000" w:themeColor="text1"/>
          <w:kern w:val="2"/>
          <w:sz w:val="16"/>
          <w:szCs w:val="16"/>
        </w:rPr>
        <w:softHyphen/>
        <w:t>латке. В итоге после продолжительных изнурительных дебатов сошлись на схеме по-лутораплана, в которой размах крыльев сохранялся приемлемых размеров...” (</w:t>
      </w:r>
      <w:r w:rsidRPr="002F2FDF">
        <w:rPr>
          <w:rFonts w:ascii="Times New Roman" w:hAnsi="Times New Roman" w:cs="Times New Roman"/>
          <w:color w:val="000000" w:themeColor="text1"/>
          <w:kern w:val="2"/>
          <w:sz w:val="16"/>
          <w:szCs w:val="16"/>
          <w:lang w:val="en-US"/>
        </w:rPr>
        <w:t>SchmidtG</w:t>
      </w:r>
      <w:r w:rsidRPr="002F2FDF">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lang w:val="en-US"/>
        </w:rPr>
        <w:t>HugoJunkersandhisAircraft</w:t>
      </w:r>
      <w:r w:rsidRPr="002F2FDF">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lang w:val="en-US"/>
        </w:rPr>
        <w:t>Berlin</w:t>
      </w:r>
      <w:r w:rsidRPr="002F2FDF">
        <w:rPr>
          <w:rFonts w:ascii="Times New Roman" w:hAnsi="Times New Roman" w:cs="Times New Roman"/>
          <w:color w:val="000000" w:themeColor="text1"/>
          <w:kern w:val="2"/>
          <w:sz w:val="16"/>
          <w:szCs w:val="16"/>
        </w:rPr>
        <w:t xml:space="preserve">, 1988. - </w:t>
      </w:r>
      <w:r w:rsidRPr="002F2FDF">
        <w:rPr>
          <w:rFonts w:ascii="Times New Roman" w:hAnsi="Times New Roman" w:cs="Times New Roman"/>
          <w:color w:val="000000" w:themeColor="text1"/>
          <w:kern w:val="2"/>
          <w:sz w:val="16"/>
          <w:szCs w:val="16"/>
          <w:lang w:val="en-US"/>
        </w:rPr>
        <w:t>p</w:t>
      </w:r>
      <w:r w:rsidRPr="002F2FDF">
        <w:rPr>
          <w:rFonts w:ascii="Times New Roman" w:hAnsi="Times New Roman" w:cs="Times New Roman"/>
          <w:color w:val="000000" w:themeColor="text1"/>
          <w:kern w:val="2"/>
          <w:sz w:val="16"/>
          <w:szCs w:val="16"/>
        </w:rPr>
        <w:t>. 29-30).</w:t>
      </w:r>
    </w:p>
    <w:p w14:paraId="2F3652ED" w14:textId="77777777" w:rsidR="00621AC5" w:rsidRPr="002F2FDF" w:rsidRDefault="00621AC5"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lang w:val="en-US"/>
        </w:rPr>
        <w:t>X</w:t>
      </w:r>
      <w:r w:rsidRPr="002F2FDF">
        <w:rPr>
          <w:rFonts w:ascii="Times New Roman" w:hAnsi="Times New Roman" w:cs="Times New Roman"/>
          <w:color w:val="000000" w:themeColor="text1"/>
          <w:kern w:val="2"/>
          <w:sz w:val="16"/>
          <w:szCs w:val="16"/>
        </w:rPr>
        <w:t>. Юнкере, конечно, учитывал, чтосамолётстакимразмахом крыльев не будет вле</w:t>
      </w:r>
      <w:r w:rsidRPr="002F2FDF">
        <w:rPr>
          <w:rFonts w:ascii="Times New Roman" w:hAnsi="Times New Roman" w:cs="Times New Roman"/>
          <w:color w:val="000000" w:themeColor="text1"/>
          <w:kern w:val="2"/>
          <w:sz w:val="16"/>
          <w:szCs w:val="16"/>
        </w:rPr>
        <w:softHyphen/>
        <w:t>зать в ангары и палатки, и прекрасно понимал, что и военное ведомство, и большин</w:t>
      </w:r>
      <w:r w:rsidRPr="002F2FDF">
        <w:rPr>
          <w:rFonts w:ascii="Times New Roman" w:hAnsi="Times New Roman" w:cs="Times New Roman"/>
          <w:color w:val="000000" w:themeColor="text1"/>
          <w:kern w:val="2"/>
          <w:sz w:val="16"/>
          <w:szCs w:val="16"/>
        </w:rPr>
        <w:softHyphen/>
        <w:t>ство пилотов настроены против моноплана. Однако только он один представлял, что в отличие от машин, сделанных из других материалов, цельнометаллический самолёт не нуждается в защите от снега м дождя в ангаре или палатке. Только система охла</w:t>
      </w:r>
      <w:r w:rsidRPr="002F2FDF">
        <w:rPr>
          <w:rFonts w:ascii="Times New Roman" w:hAnsi="Times New Roman" w:cs="Times New Roman"/>
          <w:color w:val="000000" w:themeColor="text1"/>
          <w:kern w:val="2"/>
          <w:sz w:val="16"/>
          <w:szCs w:val="16"/>
        </w:rPr>
        <w:softHyphen/>
        <w:t>ждения двигателя, остававшаяся открытой, требовала брезентового укрытия. Позже все это блестяще подтвердилось. Однако перспективы дальнейшего использования такого самолёта и обострившиеся разногласия с заказчиком заставили Юнкерса отка</w:t>
      </w:r>
      <w:r w:rsidRPr="002F2FDF">
        <w:rPr>
          <w:rFonts w:ascii="Times New Roman" w:hAnsi="Times New Roman" w:cs="Times New Roman"/>
          <w:color w:val="000000" w:themeColor="text1"/>
          <w:kern w:val="2"/>
          <w:sz w:val="16"/>
          <w:szCs w:val="16"/>
        </w:rPr>
        <w:softHyphen/>
        <w:t xml:space="preserve">заться от концепции моноплана — в первый и последний раз за всю конструкторскую карьеру. В конце концов в качестве компромисса выбрали биплан, </w:t>
      </w:r>
      <w:r w:rsidRPr="002F2FDF">
        <w:rPr>
          <w:rFonts w:ascii="Times New Roman" w:hAnsi="Times New Roman" w:cs="Times New Roman"/>
          <w:color w:val="000000" w:themeColor="text1"/>
          <w:kern w:val="2"/>
          <w:sz w:val="16"/>
          <w:szCs w:val="16"/>
        </w:rPr>
        <w:lastRenderedPageBreak/>
        <w:t>точнее полутора-план. Сейчас не сохранилось никаких данных о том, что же именно заставило Юнкер</w:t>
      </w:r>
      <w:r w:rsidRPr="002F2FDF">
        <w:rPr>
          <w:rFonts w:ascii="Times New Roman" w:hAnsi="Times New Roman" w:cs="Times New Roman"/>
          <w:color w:val="000000" w:themeColor="text1"/>
          <w:kern w:val="2"/>
          <w:sz w:val="16"/>
          <w:szCs w:val="16"/>
        </w:rPr>
        <w:softHyphen/>
        <w:t>са отказаться от своей приверженности к моноплану. Любопытно, учитывал ли он тогда, что более компактный самолёт будет менее уязвим над полем боя?</w:t>
      </w:r>
    </w:p>
    <w:p w14:paraId="52180B3D" w14:textId="77777777" w:rsidR="00621AC5" w:rsidRPr="002F2FDF" w:rsidRDefault="00621AC5"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четыре месяца напряженной работы провели огромное количество испытаний эле</w:t>
      </w:r>
      <w:r w:rsidRPr="002F2FDF">
        <w:rPr>
          <w:rFonts w:ascii="Times New Roman" w:hAnsi="Times New Roman" w:cs="Times New Roman"/>
          <w:color w:val="000000" w:themeColor="text1"/>
          <w:kern w:val="2"/>
          <w:sz w:val="16"/>
          <w:szCs w:val="16"/>
        </w:rPr>
        <w:softHyphen/>
        <w:t>ментов конструкции, значительные трудности вызывало производство бронекоробки. Наконец, 28 января 1917 г., J4 с двигателем Бенц в 200 л.с. совершил первый полёт, В июле—августе 1917 г., 9 месяцев спустя заключения контракта, первые 14 машин испытали и передали в 4-й армейский парк-склад в Генте (Бельгия) (11696).</w:t>
      </w:r>
    </w:p>
    <w:p w14:paraId="7F740563" w14:textId="77777777" w:rsidR="00621AC5" w:rsidRPr="002F2FDF" w:rsidRDefault="00621AC5"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FFAC31" w14:textId="77777777" w:rsidR="00621AC5" w:rsidRPr="002F2FDF" w:rsidRDefault="00621AC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года была осуществлена реорганизация ПВО Германии. На западном фронте штаб-офицеры по зенитной артиллерии при армейском командовании были назначены командирами. Круг их ведения как в территориальном отношении, так и вследствие большого числа прикомандированных зенитных батарей был слишком велик для того, чтобы они могли руководить их применением и снабжением. Ввиду этого зенитные батареи западных армий были сведены в группы, и так как эти группы по боевой деятельности и ширине своего фронта отличались, то их подчиняли или штабу армии, или отдельным дивизиям. Вначале было сформировано 45 таких групп. На востоке обстановка была иная, т.к. количество зенитных батарей было значительно меньше; они были разбросаны по широкому фронту, отличавшемуся малоинтенсивной летной деятельностью. Здесь зенитные батареи подчинялись командирам групп, а последние, в свою очередь, были подчинены командирам зенитной артиллерии при армейской группе. Легкие зенитные авиапушки частично сводились по 2 в батарею; было отдано распоряжение формировать четырехорудийные батареи с конной тягой; эти мероприятия, однако, до конца войны не были проведены полностью. Взаимодействие приданных артиллеристам прожекторов с зенитными батареями вынудило присоединить таковые к батареям. Это произошло осенью 1916 года; одновременно к инспектору и к командирам зенитных батарей прикомандировывались офицеры прожекторных частей. Эта организация в 1916—1917 годах оправдалась и сохранялась до конца войны (11282).</w:t>
      </w:r>
    </w:p>
    <w:p w14:paraId="0B7D85C8" w14:textId="77777777" w:rsidR="00621AC5" w:rsidRPr="002F2FDF" w:rsidRDefault="00621AC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82030D" w14:textId="77777777" w:rsidR="00621AC5" w:rsidRPr="002F2FDF" w:rsidRDefault="00621AC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1917 г. появились усовершенствованные противосамолетные орудия, дававшие до 40 выстрелов в минуту, благодаря применению 4-х стволов, охлаждаемых поочередно. Однако их эффективность была не особенно высокой; по оценке немецких специалистов из одной тысячи выпущенных снарядов только один попадал в цель (11999).</w:t>
      </w:r>
    </w:p>
    <w:p w14:paraId="3BBBE8CF" w14:textId="77777777" w:rsidR="00621AC5" w:rsidRPr="002F2FDF" w:rsidRDefault="00621AC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30251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80B04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ACD8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1 (14) января 1917 г. месячная производительность всех самолетостроительных заводов составляла 215 военных самолетов. В дальнейшем военное ведомство предполагало увеличить месячный выпуск авиазаводов до 400-500 самолетов (9718).</w:t>
      </w:r>
    </w:p>
    <w:p w14:paraId="26F27E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F84C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 (14) января 1917 г. по оценкам Военного ведомства полтора года войны требовалось 9460 самолетов, в том числе 4214 истребителей т. е. доля истребителей составляла 44 % общей потребности. Между тем русские авиазаводы в соответствии с решением военного ведомства производили главным образом самолеты корпусного типа французских образцов (9705).</w:t>
      </w:r>
    </w:p>
    <w:p w14:paraId="33A460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253B0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1 </w:t>
      </w:r>
      <w:r w:rsidR="00E44BC9" w:rsidRPr="002F2FDF">
        <w:rPr>
          <w:rFonts w:ascii="Times New Roman" w:hAnsi="Times New Roman" w:cs="Times New Roman"/>
          <w:color w:val="000000" w:themeColor="text1"/>
          <w:kern w:val="2"/>
          <w:sz w:val="16"/>
          <w:szCs w:val="16"/>
        </w:rPr>
        <w:t xml:space="preserve">(14) </w:t>
      </w:r>
      <w:r w:rsidRPr="002F2FDF">
        <w:rPr>
          <w:rFonts w:ascii="Times New Roman" w:hAnsi="Times New Roman" w:cs="Times New Roman"/>
          <w:color w:val="000000" w:themeColor="text1"/>
          <w:kern w:val="2"/>
          <w:sz w:val="16"/>
          <w:szCs w:val="16"/>
        </w:rPr>
        <w:t xml:space="preserve">июня 1916 г. по 1 </w:t>
      </w:r>
      <w:r w:rsidR="00E44BC9" w:rsidRPr="002F2FDF">
        <w:rPr>
          <w:rFonts w:ascii="Times New Roman" w:hAnsi="Times New Roman" w:cs="Times New Roman"/>
          <w:color w:val="000000" w:themeColor="text1"/>
          <w:kern w:val="2"/>
          <w:sz w:val="16"/>
          <w:szCs w:val="16"/>
        </w:rPr>
        <w:t xml:space="preserve">(14) </w:t>
      </w:r>
      <w:r w:rsidRPr="002F2FDF">
        <w:rPr>
          <w:rFonts w:ascii="Times New Roman" w:hAnsi="Times New Roman" w:cs="Times New Roman"/>
          <w:color w:val="000000" w:themeColor="text1"/>
          <w:kern w:val="2"/>
          <w:sz w:val="16"/>
          <w:szCs w:val="16"/>
        </w:rPr>
        <w:t>января 1917 г. поступило 2826 моторов; из них 501 мотор русского производства и 2325 моторов, изготовленных за границей (278).</w:t>
      </w:r>
    </w:p>
    <w:p w14:paraId="63566A9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за время с начала войны и до февральской революции русская армия получила около 4600 авиационных моторов, из них 1100 моторов с русских заводов и 3500 моторов из-за гра</w:t>
      </w:r>
      <w:r w:rsidRPr="002F2FDF">
        <w:rPr>
          <w:rFonts w:ascii="Times New Roman" w:hAnsi="Times New Roman" w:cs="Times New Roman"/>
          <w:color w:val="000000" w:themeColor="text1"/>
          <w:kern w:val="2"/>
          <w:sz w:val="16"/>
          <w:szCs w:val="16"/>
        </w:rPr>
        <w:softHyphen/>
        <w:t>ницы (главным образом из Франции).</w:t>
      </w:r>
    </w:p>
    <w:p w14:paraId="0543DDA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Необходимо отметить, что качество самолетов и моторов, по</w:t>
      </w:r>
      <w:r w:rsidRPr="002F2FDF">
        <w:rPr>
          <w:rFonts w:ascii="Times New Roman" w:hAnsi="Times New Roman" w:cs="Times New Roman"/>
          <w:color w:val="000000" w:themeColor="text1"/>
          <w:kern w:val="2"/>
          <w:sz w:val="16"/>
          <w:szCs w:val="16"/>
        </w:rPr>
        <w:softHyphen/>
        <w:t>ступавших из-за границы, было очень низкое. Западные союз</w:t>
      </w:r>
      <w:r w:rsidRPr="002F2FDF">
        <w:rPr>
          <w:rFonts w:ascii="Times New Roman" w:hAnsi="Times New Roman" w:cs="Times New Roman"/>
          <w:color w:val="000000" w:themeColor="text1"/>
          <w:kern w:val="2"/>
          <w:sz w:val="16"/>
          <w:szCs w:val="16"/>
        </w:rPr>
        <w:softHyphen/>
        <w:t>ные державы, используя крайнюю нужду России в авиационных материалах, поставляли русской армии устаревшие, снятые с во</w:t>
      </w:r>
      <w:r w:rsidRPr="002F2FDF">
        <w:rPr>
          <w:rFonts w:ascii="Times New Roman" w:hAnsi="Times New Roman" w:cs="Times New Roman"/>
          <w:color w:val="000000" w:themeColor="text1"/>
          <w:kern w:val="2"/>
          <w:sz w:val="16"/>
          <w:szCs w:val="16"/>
        </w:rPr>
        <w:softHyphen/>
        <w:t>оружения самолеты и ненадежные, маломощные моторы.</w:t>
      </w:r>
    </w:p>
    <w:p w14:paraId="179BFFE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Купленные в начале войны в Америке 37 гидросамолетов имели столь большие дефекты (отваливались днища лодок, ло</w:t>
      </w:r>
      <w:r w:rsidRPr="002F2FDF">
        <w:rPr>
          <w:rFonts w:ascii="Times New Roman" w:hAnsi="Times New Roman" w:cs="Times New Roman"/>
          <w:color w:val="000000" w:themeColor="text1"/>
          <w:kern w:val="2"/>
          <w:sz w:val="16"/>
          <w:szCs w:val="16"/>
        </w:rPr>
        <w:softHyphen/>
        <w:t>мались коленчатые валы и моторные рамы и т. п.), что все эти самолеты были признаны непригодными для выполнения полетов (278).</w:t>
      </w:r>
    </w:p>
    <w:p w14:paraId="56B41FE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38872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1 </w:t>
      </w:r>
      <w:r w:rsidR="00E44BC9" w:rsidRPr="002F2FDF">
        <w:rPr>
          <w:rFonts w:ascii="Times New Roman" w:hAnsi="Times New Roman" w:cs="Times New Roman"/>
          <w:color w:val="000000" w:themeColor="text1"/>
          <w:kern w:val="2"/>
          <w:sz w:val="16"/>
          <w:szCs w:val="16"/>
        </w:rPr>
        <w:t xml:space="preserve">(14) </w:t>
      </w:r>
      <w:r w:rsidRPr="002F2FDF">
        <w:rPr>
          <w:rFonts w:ascii="Times New Roman" w:hAnsi="Times New Roman" w:cs="Times New Roman"/>
          <w:color w:val="000000" w:themeColor="text1"/>
          <w:kern w:val="2"/>
          <w:sz w:val="16"/>
          <w:szCs w:val="16"/>
        </w:rPr>
        <w:t>января 1917 г. в мастерских КПИ выпустили 3 аэроплана типа “Альбатрос”. Немало вни</w:t>
      </w:r>
      <w:r w:rsidRPr="002F2FDF">
        <w:rPr>
          <w:rFonts w:ascii="Times New Roman" w:hAnsi="Times New Roman" w:cs="Times New Roman"/>
          <w:color w:val="000000" w:themeColor="text1"/>
          <w:kern w:val="2"/>
          <w:sz w:val="16"/>
          <w:szCs w:val="16"/>
        </w:rPr>
        <w:softHyphen/>
        <w:t>мания уделялось опытным разработкам. По проекту известных киевских авиаторов бра</w:t>
      </w:r>
      <w:r w:rsidRPr="002F2FDF">
        <w:rPr>
          <w:rFonts w:ascii="Times New Roman" w:hAnsi="Times New Roman" w:cs="Times New Roman"/>
          <w:color w:val="000000" w:themeColor="text1"/>
          <w:kern w:val="2"/>
          <w:sz w:val="16"/>
          <w:szCs w:val="16"/>
        </w:rPr>
        <w:softHyphen/>
        <w:t>тьев Ивана и Андрея Касяненко был построен необычный истребитель, известный под обозначением “Касяненко № 5”. Стремясь обеспечить летчику отличный обзор, изба</w:t>
      </w:r>
      <w:r w:rsidRPr="002F2FDF">
        <w:rPr>
          <w:rFonts w:ascii="Times New Roman" w:hAnsi="Times New Roman" w:cs="Times New Roman"/>
          <w:color w:val="000000" w:themeColor="text1"/>
          <w:kern w:val="2"/>
          <w:sz w:val="16"/>
          <w:szCs w:val="16"/>
        </w:rPr>
        <w:softHyphen/>
        <w:t>виться от ненадежных в то время синхрозат-ров оружия, создатели этой машины устано</w:t>
      </w:r>
      <w:r w:rsidRPr="002F2FDF">
        <w:rPr>
          <w:rFonts w:ascii="Times New Roman" w:hAnsi="Times New Roman" w:cs="Times New Roman"/>
          <w:color w:val="000000" w:themeColor="text1"/>
          <w:kern w:val="2"/>
          <w:sz w:val="16"/>
          <w:szCs w:val="16"/>
        </w:rPr>
        <w:softHyphen/>
        <w:t>вили двигатель в середине фюзеляжа, а трехлопастный воздушный винт расположи</w:t>
      </w:r>
      <w:r w:rsidRPr="002F2FDF">
        <w:rPr>
          <w:rFonts w:ascii="Times New Roman" w:hAnsi="Times New Roman" w:cs="Times New Roman"/>
          <w:color w:val="000000" w:themeColor="text1"/>
          <w:kern w:val="2"/>
          <w:sz w:val="16"/>
          <w:szCs w:val="16"/>
        </w:rPr>
        <w:softHyphen/>
        <w:t>ли за крестообразным хвостовым оперени</w:t>
      </w:r>
      <w:r w:rsidRPr="002F2FDF">
        <w:rPr>
          <w:rFonts w:ascii="Times New Roman" w:hAnsi="Times New Roman" w:cs="Times New Roman"/>
          <w:color w:val="000000" w:themeColor="text1"/>
          <w:kern w:val="2"/>
          <w:sz w:val="16"/>
          <w:szCs w:val="16"/>
        </w:rPr>
        <w:softHyphen/>
        <w:t>ем. Испытания показали, что при весьма скромной мощности мотора “Гном-Моносупап” в 100 л.с. самолет развивает скорость до 170 км/ч (фактически такую же, как и “Ньюпор-ХХ1У” с двигателем в 120 л.с.). 1 ию</w:t>
      </w:r>
      <w:r w:rsidRPr="002F2FDF">
        <w:rPr>
          <w:rFonts w:ascii="Times New Roman" w:hAnsi="Times New Roman" w:cs="Times New Roman"/>
          <w:color w:val="000000" w:themeColor="text1"/>
          <w:kern w:val="2"/>
          <w:sz w:val="16"/>
          <w:szCs w:val="16"/>
        </w:rPr>
        <w:softHyphen/>
        <w:t>ля 1917 г. при очередной посадке у истреби</w:t>
      </w:r>
      <w:r w:rsidRPr="002F2FDF">
        <w:rPr>
          <w:rFonts w:ascii="Times New Roman" w:hAnsi="Times New Roman" w:cs="Times New Roman"/>
          <w:color w:val="000000" w:themeColor="text1"/>
          <w:kern w:val="2"/>
          <w:sz w:val="16"/>
          <w:szCs w:val="16"/>
        </w:rPr>
        <w:softHyphen/>
        <w:t>теля сломался хвостовой костыль, в резуль</w:t>
      </w:r>
      <w:r w:rsidRPr="002F2FDF">
        <w:rPr>
          <w:rFonts w:ascii="Times New Roman" w:hAnsi="Times New Roman" w:cs="Times New Roman"/>
          <w:color w:val="000000" w:themeColor="text1"/>
          <w:kern w:val="2"/>
          <w:sz w:val="16"/>
          <w:szCs w:val="16"/>
        </w:rPr>
        <w:softHyphen/>
        <w:t>тате повреждения получили воздушный винт и оперение. Каких-либо сведений о его даль</w:t>
      </w:r>
      <w:r w:rsidRPr="002F2FDF">
        <w:rPr>
          <w:rFonts w:ascii="Times New Roman" w:hAnsi="Times New Roman" w:cs="Times New Roman"/>
          <w:color w:val="000000" w:themeColor="text1"/>
          <w:kern w:val="2"/>
          <w:sz w:val="16"/>
          <w:szCs w:val="16"/>
        </w:rPr>
        <w:softHyphen/>
        <w:t>нейшей судьбе пока обнаружить не удалось. В мастерских КПИ было завершено также соз</w:t>
      </w:r>
      <w:r w:rsidRPr="002F2FDF">
        <w:rPr>
          <w:rFonts w:ascii="Times New Roman" w:hAnsi="Times New Roman" w:cs="Times New Roman"/>
          <w:color w:val="000000" w:themeColor="text1"/>
          <w:kern w:val="2"/>
          <w:sz w:val="16"/>
          <w:szCs w:val="16"/>
        </w:rPr>
        <w:softHyphen/>
        <w:t>дание самолета “Терещенко-7” по проекту конструктора В.П. Григорьева (подробнее см. в“АиВ”, № 1'2007, стр. 20) (11285).</w:t>
      </w:r>
    </w:p>
    <w:p w14:paraId="2EA4EF4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7B6A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Начиная с 1 </w:t>
      </w:r>
      <w:r w:rsidR="00E44BC9" w:rsidRPr="002F2FDF">
        <w:rPr>
          <w:rFonts w:ascii="Times New Roman" w:hAnsi="Times New Roman" w:cs="Times New Roman"/>
          <w:color w:val="000000" w:themeColor="text1"/>
          <w:kern w:val="2"/>
          <w:sz w:val="16"/>
          <w:szCs w:val="16"/>
        </w:rPr>
        <w:t xml:space="preserve">(14) </w:t>
      </w:r>
      <w:r w:rsidRPr="002F2FDF">
        <w:rPr>
          <w:rFonts w:ascii="Times New Roman" w:hAnsi="Times New Roman" w:cs="Times New Roman"/>
          <w:color w:val="000000" w:themeColor="text1"/>
          <w:kern w:val="2"/>
          <w:sz w:val="16"/>
          <w:szCs w:val="16"/>
        </w:rPr>
        <w:t>января 1917 г. Общая потребность в авиабомбах в суммарной массе исчислялась на полтора года в 3300 т. Военным ведомством были установлены нормы "метательных снарядов с аэропланов". На каждый военный самолет армейского и корпусного типа полагалось 3200 кг бомб на год, на самолет "Илья Муромец" - 8000 кг. Между тем на складах было только 400 т бомб. Заводы срывали их поставку в установленные сроки. Все это ставило русские авиационные отряды в неравное положение по сравнению с противником, который не испытывал дефицита в авиабомбах.</w:t>
      </w:r>
    </w:p>
    <w:p w14:paraId="01B295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целом производство авиабомб отставало от потребностей фронта, хотя оно не являлось сложным для стран с развитой промышленностью, поскольку применялись дешевые материалы, простые технологии. Основные проблемы представляла отработка взрывателя и аэродинамики бомбы. Война всегда вызывает резкий скачок в развитии военной техники. К 1918 г. в Англии, Франции и Германии были созданы достаточно эффективные осколочные, фугасные, бронебойные, химические и дымовые бомбы. Эти бомбы снабжались крыльевыми или кольцевыми стабилизаторами и имели вполне "современный" вид.</w:t>
      </w:r>
    </w:p>
    <w:p w14:paraId="3B252F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Среди оригинальных разработок союзников стоит отметить появление в конце войны во Франции "двухкамерных бомб".</w:t>
      </w:r>
    </w:p>
    <w:p w14:paraId="1CA940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Двухкамерные бомбы изготавливались весом 10, 15 и 20 кг с диаметром соответственно 120, 155 и 180 мм. Корпус бомбы состоял из двух частей, соединенных между собой по наибольшему диаметру. В плоскости стыков обеих частей была укреплена внутренняя перегородка из тонкой жести, делившая бомбу на 2 отдельные камеры. Нижняя камера наполнялась мононитробензолом, а верхняя - азотной кислотой.</w:t>
      </w:r>
    </w:p>
    <w:p w14:paraId="240BD1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Стабилизатор бомбы состоял из четырех продольных лопастей. В донной части устанавливался взрыватель, снабженный крыльчатым предохранителем. В нижней камере бомбы была укреплена труба, в которой помещался ударник с сильной спиральной пружиной. </w:t>
      </w:r>
    </w:p>
    <w:p w14:paraId="747B6D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Устройство 2-камерной бомбы дало возможность применять высокобризантное взрывчатое вещество без опасности взрыва при простреле бомбы пулей. Но вместе с этим бомба имела существенный недостаток - она не допускала продолжительного хранения, так как азотная кислота разъедала тонкую перегородку, и жидкости смешивались. Образовавшийся тринитротолуол представлял большую опасность из-за своей высокой чувствительности (11237).</w:t>
      </w:r>
    </w:p>
    <w:p w14:paraId="3E286A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70C0"/>
          <w:kern w:val="2"/>
          <w:sz w:val="16"/>
          <w:szCs w:val="16"/>
        </w:rPr>
      </w:pPr>
    </w:p>
    <w:p w14:paraId="22BB20A7" w14:textId="0AA0328B" w:rsidR="008F6C98" w:rsidRPr="002F2FDF" w:rsidRDefault="008F6C98" w:rsidP="0083075A">
      <w:pPr>
        <w:spacing w:after="0" w:line="240" w:lineRule="auto"/>
        <w:jc w:val="both"/>
        <w:rPr>
          <w:rFonts w:ascii="Times New Roman" w:eastAsia="Times New Roman" w:hAnsi="Times New Roman" w:cs="Times New Roman"/>
          <w:color w:val="0070C0"/>
          <w:sz w:val="16"/>
          <w:szCs w:val="16"/>
          <w:lang w:eastAsia="ru-RU"/>
        </w:rPr>
      </w:pPr>
      <w:r w:rsidRPr="002F2FDF">
        <w:rPr>
          <w:rFonts w:ascii="Times New Roman" w:eastAsia="Times New Roman" w:hAnsi="Times New Roman" w:cs="Times New Roman"/>
          <w:color w:val="0070C0"/>
          <w:sz w:val="16"/>
          <w:szCs w:val="16"/>
          <w:lang w:eastAsia="ru-RU"/>
        </w:rPr>
        <w:t>Начиная с 1 (14) января 1917 г. общая потребность в авиабомбах в суммарной массе исчислялась на полтора года, в 3300 т. Между тем на складах было только 400 т бомб. Заводы срывали их поставку в установленные сроки. Все это ставило русские авиационные отряды в неравное положение по сравнению с противником, который не испытывал дефицита в авиабомбах (18738).</w:t>
      </w:r>
    </w:p>
    <w:p w14:paraId="7FE070C5" w14:textId="77777777" w:rsidR="008F6C98" w:rsidRPr="002F2FDF" w:rsidRDefault="008F6C98" w:rsidP="0083075A">
      <w:pPr>
        <w:spacing w:after="0" w:line="240" w:lineRule="auto"/>
        <w:jc w:val="both"/>
        <w:rPr>
          <w:rFonts w:ascii="Times New Roman" w:eastAsia="Times New Roman" w:hAnsi="Times New Roman" w:cs="Times New Roman"/>
          <w:color w:val="0070C0"/>
          <w:sz w:val="16"/>
          <w:szCs w:val="16"/>
          <w:lang w:eastAsia="ru-RU"/>
        </w:rPr>
      </w:pPr>
    </w:p>
    <w:p w14:paraId="2F7D902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F10A3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56A1F6" w14:textId="5997357E"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1 (14) января 1917 г. ОСЗ сдал 225 из 505 заказанных 102/60-мм корабельных пушек. Кроме миноносцев после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1918 г. их ставили и на корабли других классов.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начало ВОВ на кораблях СССР было 152 орудия. Ствол орудия скреплён тремя цилиндрами. Затвор полуавтоматический, горизонтальный, клиновой. Количество нарезов в стволе 24. Глубина нарезов 1,016 мм. Вес замка 50-53 кг. Вес орудия с</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замком 2850 кг. В боекомплект входили снаряды: фугасный весом 17,5 кг, вес ВВ — 2,4 кг; фугасный весом 17,5 кг, вес ВВ — 2,1 кг; зажигательный весом 17,6 кг, снаряжённый термитом; ныряющий весом 15,8 кг, вес</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ВВ 3,13 кг; осветительный беспарашютный весом</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15,08 кг; химические. В 1917 г. было снаряжено 4000</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удушающих снаряда. Заряжание унитарное, вес заряда для фугасных снарядов 5,2 кг пороха. Начальная скорость фугасного снаряда 823 м/с. Дальность стрельбы при угле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возвышения +30° до 16 095 м. Первоначально орудия устанавливались на станках ОСЗ, дающих утлы вертикальной наводки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-6°...+15°. Компрессор гидравлический, накатник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пружинный. Длина отката 710 мм. Позже ставили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на станки М3, позволяющие увеличить угол вертикальной наводки до -10°...+30°. Вес откатных частей 2970 кг. Вес качающихся частей 3900 кг. Скорострельность до 20 выстрелов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 минуту (15132).</w:t>
      </w:r>
    </w:p>
    <w:p w14:paraId="6290291D"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p>
    <w:p w14:paraId="4F863A11"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ранее 1 января 1917 г.</w:t>
      </w:r>
      <w:hyperlink r:id="rId7" w:anchor="_ftn1" w:history="1">
        <w:r w:rsidRPr="002F2FDF">
          <w:rPr>
            <w:rFonts w:ascii="Times New Roman" w:hAnsi="Times New Roman" w:cs="Times New Roman"/>
            <w:color w:val="000000" w:themeColor="text1"/>
            <w:kern w:val="2"/>
            <w:sz w:val="16"/>
            <w:szCs w:val="16"/>
          </w:rPr>
          <w:t>[1]</w:t>
        </w:r>
      </w:hyperlink>
      <w:r w:rsidRPr="002F2FDF">
        <w:rPr>
          <w:rFonts w:ascii="Times New Roman" w:hAnsi="Times New Roman" w:cs="Times New Roman"/>
          <w:color w:val="000000" w:themeColor="text1"/>
          <w:kern w:val="2"/>
          <w:sz w:val="16"/>
          <w:szCs w:val="16"/>
        </w:rPr>
        <w:t xml:space="preserve"> Справка Статистического бюро Особого совещания по обороне о количестве промышленных предприятий и числе рабочих, обслуживавших военную промышленность в 1916 г.</w:t>
      </w:r>
    </w:p>
    <w:p w14:paraId="6B6E73AB"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17-18</w:t>
      </w:r>
    </w:p>
    <w:p w14:paraId="07584AA1"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369, Оп. 21, Д. 154, Л. 61. Черновик.</w:t>
      </w:r>
    </w:p>
    <w:p w14:paraId="6133BE5B"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Число промышленных предприятий, работающих на оборону государства, подотчетных заводским совещаниям, составляло в истекшем 1916 г. свыше 5200 предприятий. В них работами на оборону было занято свыше 1 947 000 чел. рабочих, каковое число по сравнению с 1915 г. дает увеличение числа рабочих приблизительно на 164 000 чел. (1915 г.— 1 783 000 чел.), т. е. на 9.2%,</w:t>
      </w:r>
    </w:p>
    <w:p w14:paraId="191A87EC"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отдельным районам число предприятий и занятых в них рабочих, как видно из прилагаемой при сем схемы, распределяется следующим образом: на нервом месте стоит район Московский как по числу предприятий, так и по числу занятых в них рабочих.</w:t>
      </w:r>
    </w:p>
    <w:p w14:paraId="29DD1A90"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предприятий Московского района составляет 23.3% общего числа обслуживающих оборону предприятий, а число занятых в них рабочих — 43.4% общего их количества. На втором месте Петроградский район, число предприятий коего достигает 12.7 % общего их количества и число рабочих — 15.6%. Далее следуют районы Уральский, Екате-ринославский, Нижегородский, Одесский и др. Наибольшее количество рабочих сосредоточивается в первых четырех районах и достигает 1 575 700 чел., что составляет более 75% общего числа рабочих во всех районах.</w:t>
      </w:r>
    </w:p>
    <w:p w14:paraId="2250D823"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Подписал за зав. Статистическим бюро</w:t>
      </w:r>
    </w:p>
    <w:p w14:paraId="128077AE"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Калинин.</w:t>
      </w:r>
    </w:p>
    <w:p w14:paraId="657C1431"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предприятий, находящихся в ведении заводских совещаний, и количество занятых в сих предприятиях рабочих</w:t>
      </w:r>
      <w:hyperlink r:id="rId8" w:anchor="_ftn2" w:history="1">
        <w:r w:rsidRPr="002F2FDF">
          <w:rPr>
            <w:rFonts w:ascii="Times New Roman" w:hAnsi="Times New Roman" w:cs="Times New Roman"/>
            <w:color w:val="000000" w:themeColor="text1"/>
            <w:kern w:val="2"/>
            <w:sz w:val="16"/>
            <w:szCs w:val="16"/>
          </w:rPr>
          <w:t>[2]</w:t>
        </w:r>
      </w:hyperlink>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55"/>
        <w:gridCol w:w="627"/>
        <w:gridCol w:w="872"/>
        <w:gridCol w:w="853"/>
        <w:gridCol w:w="887"/>
      </w:tblGrid>
      <w:tr w:rsidR="002B1C74" w:rsidRPr="002F2FDF" w14:paraId="7C4DF109"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1F8EAA"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Районы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0FB0F"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w:t>
            </w:r>
          </w:p>
          <w:p w14:paraId="059C2620"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w:t>
            </w:r>
          </w:p>
          <w:p w14:paraId="526F4B87"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приятий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152D6"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 же (В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39896"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w:t>
            </w:r>
          </w:p>
          <w:p w14:paraId="65C178D9"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60C2D"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 же (В %)</w:t>
            </w:r>
          </w:p>
        </w:tc>
      </w:tr>
      <w:tr w:rsidR="002B1C74" w:rsidRPr="002F2FDF" w14:paraId="115F5A73"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24EC8A"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Московский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35728"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35806"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4A464"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845198</w:t>
            </w:r>
            <w:hyperlink r:id="rId9" w:anchor="_ftn3" w:history="1">
              <w:r w:rsidRPr="002F2FDF">
                <w:rPr>
                  <w:rFonts w:ascii="Times New Roman" w:hAnsi="Times New Roman" w:cs="Times New Roman"/>
                  <w:color w:val="000000" w:themeColor="text1"/>
                  <w:kern w:val="2"/>
                  <w:sz w:val="16"/>
                  <w:szCs w:val="16"/>
                </w:rPr>
                <w:t>[3]</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78B34B5E"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43.4</w:t>
            </w:r>
          </w:p>
        </w:tc>
      </w:tr>
      <w:tr w:rsidR="002B1C74" w:rsidRPr="002F2FDF" w14:paraId="6AAB0B09"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1DB231"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Петроградский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9AF0F"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DA133"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DF7B2"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304134 </w:t>
            </w:r>
            <w:hyperlink r:id="rId10" w:anchor="_ftn4" w:history="1">
              <w:r w:rsidRPr="002F2FDF">
                <w:rPr>
                  <w:rFonts w:ascii="Times New Roman" w:hAnsi="Times New Roman" w:cs="Times New Roman"/>
                  <w:color w:val="000000" w:themeColor="text1"/>
                  <w:kern w:val="2"/>
                  <w:sz w:val="16"/>
                  <w:szCs w:val="16"/>
                </w:rPr>
                <w:t>[4]</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11043D29"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15.6</w:t>
            </w:r>
          </w:p>
        </w:tc>
      </w:tr>
      <w:tr w:rsidR="002B1C74" w:rsidRPr="002F2FDF" w14:paraId="77732E72"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D33A80"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Уральский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81F5C"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7E49D"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A2CDC"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289650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7B4E3"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14.9</w:t>
            </w:r>
          </w:p>
        </w:tc>
      </w:tr>
      <w:tr w:rsidR="002B1C74" w:rsidRPr="002F2FDF" w14:paraId="349FD04D"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C9BE48"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Екатеринославский</w:t>
            </w:r>
            <w:hyperlink r:id="rId11" w:anchor="_ftn5" w:history="1">
              <w:r w:rsidRPr="002F2FDF">
                <w:rPr>
                  <w:rFonts w:ascii="Times New Roman" w:hAnsi="Times New Roman" w:cs="Times New Roman"/>
                  <w:color w:val="000000" w:themeColor="text1"/>
                  <w:kern w:val="2"/>
                  <w:sz w:val="16"/>
                  <w:szCs w:val="16"/>
                </w:rPr>
                <w:t>[5]</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0E95952B"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85144"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24B7C"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136718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6AD37"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w:t>
            </w:r>
          </w:p>
        </w:tc>
      </w:tr>
      <w:tr w:rsidR="002B1C74" w:rsidRPr="002F2FDF" w14:paraId="1254B9ED"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06F216"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Нижегородский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22736" w14:textId="2F3D00B5" w:rsidR="00C06026"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707C8"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229DE"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D1BEA"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w:t>
            </w:r>
          </w:p>
        </w:tc>
      </w:tr>
      <w:tr w:rsidR="002B1C74" w:rsidRPr="002F2FDF" w14:paraId="41EB3E97"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6D6B60"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Одесский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D1725"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DB50B"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72F3A"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69857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BA1CE"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w:t>
            </w:r>
          </w:p>
        </w:tc>
      </w:tr>
      <w:tr w:rsidR="002B1C74" w:rsidRPr="002F2FDF" w14:paraId="1B349290"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CD1020"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Ростовский н/Д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0A3B1"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4B81C"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7D8EB"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9ABE7"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w:t>
            </w:r>
          </w:p>
        </w:tc>
      </w:tr>
      <w:tr w:rsidR="002B1C74" w:rsidRPr="002F2FDF" w14:paraId="0CB358B2"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E76964"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Сибирский</w:t>
            </w:r>
            <w:hyperlink r:id="rId12" w:anchor="_ftn6" w:history="1">
              <w:r w:rsidRPr="002F2FDF">
                <w:rPr>
                  <w:rFonts w:ascii="Times New Roman" w:hAnsi="Times New Roman" w:cs="Times New Roman"/>
                  <w:color w:val="000000" w:themeColor="text1"/>
                  <w:kern w:val="2"/>
                  <w:sz w:val="16"/>
                  <w:szCs w:val="16"/>
                </w:rPr>
                <w:t>[6]</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2AC2FB52"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0320A"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C546A"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42806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F5BD9"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w:t>
            </w:r>
          </w:p>
        </w:tc>
      </w:tr>
      <w:tr w:rsidR="002B1C74" w:rsidRPr="002F2FDF" w14:paraId="1E1E52CC"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5E555E" w14:textId="079B0CDC"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Харьковский</w:t>
            </w:r>
            <w:r w:rsidR="00E52569">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DD389"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90730"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57CCE"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33897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19F6F"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r>
      <w:tr w:rsidR="002B1C74" w:rsidRPr="002F2FDF" w14:paraId="388E3EB9"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5B1E20"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Кавказский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F6614"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BC66F"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880DF"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30638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497BF"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w:t>
            </w:r>
          </w:p>
        </w:tc>
      </w:tr>
      <w:tr w:rsidR="002B1C74" w:rsidRPr="002F2FDF" w14:paraId="5406F594"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090BDC"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Ревельский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8C9CB"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2468B"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8F526"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28277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1848E"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r>
      <w:tr w:rsidR="002B1C74" w:rsidRPr="002F2FDF" w14:paraId="4A1AAE3F"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081F3C"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Киевский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30CED"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3A88E"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61BDD"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7C3AD"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r>
    </w:tbl>
    <w:p w14:paraId="7C9B7E06" w14:textId="77777777" w:rsidR="00C06026"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13" w:anchor="_ftnref1" w:history="1">
        <w:r w:rsidR="00C06026" w:rsidRPr="002F2FDF">
          <w:rPr>
            <w:rFonts w:ascii="Times New Roman" w:hAnsi="Times New Roman" w:cs="Times New Roman"/>
            <w:color w:val="000000" w:themeColor="text1"/>
            <w:kern w:val="2"/>
            <w:sz w:val="16"/>
            <w:szCs w:val="16"/>
          </w:rPr>
          <w:t>[1]</w:t>
        </w:r>
      </w:hyperlink>
      <w:r w:rsidR="00C06026" w:rsidRPr="002F2FDF">
        <w:rPr>
          <w:rFonts w:ascii="Times New Roman" w:hAnsi="Times New Roman" w:cs="Times New Roman"/>
          <w:color w:val="000000" w:themeColor="text1"/>
          <w:kern w:val="2"/>
          <w:sz w:val="16"/>
          <w:szCs w:val="16"/>
        </w:rPr>
        <w:t xml:space="preserve"> Датируется по содержанию док.</w:t>
      </w:r>
    </w:p>
    <w:p w14:paraId="743EB5E5" w14:textId="77777777" w:rsidR="00C06026"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14" w:anchor="_ftnref2" w:history="1">
        <w:r w:rsidR="00C06026" w:rsidRPr="002F2FDF">
          <w:rPr>
            <w:rFonts w:ascii="Times New Roman" w:hAnsi="Times New Roman" w:cs="Times New Roman"/>
            <w:color w:val="000000" w:themeColor="text1"/>
            <w:kern w:val="2"/>
            <w:sz w:val="16"/>
            <w:szCs w:val="16"/>
          </w:rPr>
          <w:t>[2]</w:t>
        </w:r>
      </w:hyperlink>
      <w:r w:rsidR="00C06026" w:rsidRPr="002F2FDF">
        <w:rPr>
          <w:rFonts w:ascii="Times New Roman" w:hAnsi="Times New Roman" w:cs="Times New Roman"/>
          <w:color w:val="000000" w:themeColor="text1"/>
          <w:kern w:val="2"/>
          <w:sz w:val="16"/>
          <w:szCs w:val="16"/>
        </w:rPr>
        <w:t xml:space="preserve"> В док. помета карандашом По данным анкеты заводских совещаний, произведенной в середине 1916 г.</w:t>
      </w:r>
    </w:p>
    <w:p w14:paraId="24D50D00" w14:textId="77777777" w:rsidR="00C06026"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15" w:anchor="_ftnref3" w:history="1">
        <w:r w:rsidR="00C06026" w:rsidRPr="002F2FDF">
          <w:rPr>
            <w:rFonts w:ascii="Times New Roman" w:hAnsi="Times New Roman" w:cs="Times New Roman"/>
            <w:color w:val="000000" w:themeColor="text1"/>
            <w:kern w:val="2"/>
            <w:sz w:val="16"/>
            <w:szCs w:val="16"/>
          </w:rPr>
          <w:t>[3]</w:t>
        </w:r>
      </w:hyperlink>
      <w:r w:rsidR="00C06026" w:rsidRPr="002F2FDF">
        <w:rPr>
          <w:rFonts w:ascii="Times New Roman" w:hAnsi="Times New Roman" w:cs="Times New Roman"/>
          <w:color w:val="000000" w:themeColor="text1"/>
          <w:kern w:val="2"/>
          <w:sz w:val="16"/>
          <w:szCs w:val="16"/>
        </w:rPr>
        <w:t xml:space="preserve"> Число рабочих относится к 1167 предприятиям. (Прим. док.).</w:t>
      </w:r>
    </w:p>
    <w:p w14:paraId="1C6087C1" w14:textId="77777777" w:rsidR="00C06026"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16" w:anchor="_ftnref4" w:history="1">
        <w:r w:rsidR="00C06026" w:rsidRPr="002F2FDF">
          <w:rPr>
            <w:rFonts w:ascii="Times New Roman" w:hAnsi="Times New Roman" w:cs="Times New Roman"/>
            <w:color w:val="000000" w:themeColor="text1"/>
            <w:kern w:val="2"/>
            <w:sz w:val="16"/>
            <w:szCs w:val="16"/>
          </w:rPr>
          <w:t>[4]</w:t>
        </w:r>
      </w:hyperlink>
      <w:r w:rsidR="00C06026" w:rsidRPr="002F2FDF">
        <w:rPr>
          <w:rFonts w:ascii="Times New Roman" w:hAnsi="Times New Roman" w:cs="Times New Roman"/>
          <w:color w:val="000000" w:themeColor="text1"/>
          <w:kern w:val="2"/>
          <w:sz w:val="16"/>
          <w:szCs w:val="16"/>
        </w:rPr>
        <w:t xml:space="preserve"> Число рабочих относится к 560 предприятиям. (Прим. док.).</w:t>
      </w:r>
    </w:p>
    <w:p w14:paraId="3E44A6EB" w14:textId="276B5D31" w:rsidR="00C06026"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17" w:anchor="_ftnref5" w:history="1">
        <w:r w:rsidR="00C06026" w:rsidRPr="002F2FDF">
          <w:rPr>
            <w:rFonts w:ascii="Times New Roman" w:hAnsi="Times New Roman" w:cs="Times New Roman"/>
            <w:color w:val="000000" w:themeColor="text1"/>
            <w:kern w:val="2"/>
            <w:sz w:val="16"/>
            <w:szCs w:val="16"/>
          </w:rPr>
          <w:t>[5]</w:t>
        </w:r>
      </w:hyperlink>
      <w:r w:rsidR="00E52569">
        <w:rPr>
          <w:rFonts w:ascii="Times New Roman" w:hAnsi="Times New Roman" w:cs="Times New Roman"/>
          <w:color w:val="000000" w:themeColor="text1"/>
          <w:kern w:val="2"/>
          <w:sz w:val="16"/>
          <w:szCs w:val="16"/>
        </w:rPr>
        <w:t xml:space="preserve"> </w:t>
      </w:r>
      <w:r w:rsidR="00C06026" w:rsidRPr="002F2FDF">
        <w:rPr>
          <w:rFonts w:ascii="Times New Roman" w:hAnsi="Times New Roman" w:cs="Times New Roman"/>
          <w:color w:val="000000" w:themeColor="text1"/>
          <w:kern w:val="2"/>
          <w:sz w:val="16"/>
          <w:szCs w:val="16"/>
        </w:rPr>
        <w:t>По Екатеринославскому району данные неполны. (Прим. док.).</w:t>
      </w:r>
    </w:p>
    <w:p w14:paraId="6AC45ADD" w14:textId="77777777" w:rsidR="00C06026"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18" w:anchor="_ftnref6" w:history="1">
        <w:r w:rsidR="00C06026" w:rsidRPr="002F2FDF">
          <w:rPr>
            <w:rFonts w:ascii="Times New Roman" w:hAnsi="Times New Roman" w:cs="Times New Roman"/>
            <w:color w:val="000000" w:themeColor="text1"/>
            <w:kern w:val="2"/>
            <w:sz w:val="16"/>
            <w:szCs w:val="16"/>
          </w:rPr>
          <w:t>[6]</w:t>
        </w:r>
      </w:hyperlink>
      <w:r w:rsidR="00C06026" w:rsidRPr="002F2FDF">
        <w:rPr>
          <w:rFonts w:ascii="Times New Roman" w:hAnsi="Times New Roman" w:cs="Times New Roman"/>
          <w:color w:val="000000" w:themeColor="text1"/>
          <w:kern w:val="2"/>
          <w:sz w:val="16"/>
          <w:szCs w:val="16"/>
        </w:rPr>
        <w:t xml:space="preserve"> В число предприятий Сибирского района включены и все мелкие предприятия, работающие на оборону, типа мастерских, а равно копи и прииска (Прим . док.) (15523).</w:t>
      </w:r>
    </w:p>
    <w:p w14:paraId="09DEB3CB"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p>
    <w:p w14:paraId="752FF188" w14:textId="77777777" w:rsidR="00623859" w:rsidRPr="002F2FDF" w:rsidRDefault="00623859" w:rsidP="0083075A">
      <w:pPr>
        <w:pStyle w:val="ae"/>
        <w:spacing w:before="0" w:after="0"/>
        <w:jc w:val="both"/>
        <w:rPr>
          <w:color w:val="000000" w:themeColor="text1"/>
          <w:sz w:val="16"/>
          <w:szCs w:val="16"/>
        </w:rPr>
      </w:pPr>
      <w:r w:rsidRPr="002F2FDF">
        <w:rPr>
          <w:color w:val="000000" w:themeColor="text1"/>
          <w:sz w:val="16"/>
          <w:szCs w:val="16"/>
        </w:rPr>
        <w:t>К 1 (14) января 1917 г. было изготовлено для Главного Военно-Технического Управления 1800 огнеметов Горбова, для ГАУ — малых огнеметов системы Александрова — 140, малых огнеметов системы Товарницкого — 5000 и больших — 50; кроме того из Англии были получены 21 тяжелый огнемет системы Винсента.</w:t>
      </w:r>
    </w:p>
    <w:p w14:paraId="4B51D6C8" w14:textId="77777777" w:rsidR="00623859" w:rsidRPr="002F2FDF" w:rsidRDefault="00623859" w:rsidP="0083075A">
      <w:pPr>
        <w:pStyle w:val="ae"/>
        <w:spacing w:before="0" w:after="0"/>
        <w:jc w:val="both"/>
        <w:rPr>
          <w:color w:val="000000" w:themeColor="text1"/>
          <w:sz w:val="16"/>
          <w:szCs w:val="16"/>
        </w:rPr>
      </w:pPr>
      <w:r w:rsidRPr="002F2FDF">
        <w:rPr>
          <w:color w:val="000000" w:themeColor="text1"/>
          <w:sz w:val="16"/>
          <w:szCs w:val="16"/>
        </w:rPr>
        <w:t>Одновременно с производством огнеметов велась подготовка кадров огнеметчиков и разрабатывались штаты огнеметных подразделений. Генеральный штаб 15 (28) июля директивой № 5275 сообщил Начальнику УПИАРТ о введении на вооружение некоторых полков малых (легких) огнеметов и о разработке проекта штата огнеметного отделения на 12 огнеметов. Это отделение включалось в состав полковой команды траншейных орудий. Всего в отделении 1 офицер, 3 унтер-офицера, 5 ефрейторов и 21 рядовых. Генеральный штаб указывал, что необходимо немедленно приступить к формированию отделений и подготовке личного состава при запасной химической роте, для чего командировать на полторы недели личный состав на 20 полков (20246).</w:t>
      </w:r>
    </w:p>
    <w:p w14:paraId="1DA9918C" w14:textId="77777777" w:rsidR="00623859" w:rsidRPr="002F2FDF" w:rsidRDefault="00623859" w:rsidP="0083075A">
      <w:pPr>
        <w:pStyle w:val="ae"/>
        <w:spacing w:before="0" w:after="0"/>
        <w:jc w:val="both"/>
        <w:rPr>
          <w:color w:val="000000" w:themeColor="text1"/>
          <w:sz w:val="16"/>
          <w:szCs w:val="16"/>
        </w:rPr>
      </w:pPr>
    </w:p>
    <w:p w14:paraId="3FA42E9D" w14:textId="77777777" w:rsidR="00E44BC9" w:rsidRPr="002F2FDF" w:rsidRDefault="00E44BC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 (14) января 1917 г. из общего числа рабочих в 291,5 тыс. было 74 тыс. женщин, 30 тыс. подростков. Поэтому уже в 1916 г., несмотря на то что промышленность не справлялась с громадными военными заказами, обнаружился рост безработицы не только в таких отраслях, как текстильная, но и в металлургической промышленности. В 1915 г. в Петрограде и в некоторых других крупных центрах были организованы биржи труда. За 9 месяцев их работы из 313,9 тыс. рабочих, предлагавших свой труд, поступило на работу лишь 237,9 тыс. человек. Не лучше было и положение работающих. Хотя заработная плата у всех почти представителей военно-промышленного комплекса росла, но не следует забывать об инфляции. Так, заработная плата рабочих Московского военного округа в среднем выросла на 86%; в частности, у металлистов — на 98%, у текстильщиков — на 59,2%, в то время как цены к концу 1916 г. выросли по сравнению с 1914 г. на 200—300% (11270).</w:t>
      </w:r>
    </w:p>
    <w:p w14:paraId="189D1BE6" w14:textId="77777777" w:rsidR="00E44BC9" w:rsidRPr="002F2FDF" w:rsidRDefault="00E44BC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43F86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09C99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B6AB9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января 1917 в авиации числилось 77 отрядов, в том числе: 13 армейских, 39 корпусных, 12 истребительных,3 Сибирских, 4 Кавказских и 6 тыловых. Все они, кроме тыловых, были сведены в 12 авиационных дивизионов и одну фронтовую бо</w:t>
      </w:r>
      <w:r w:rsidRPr="002F2FDF">
        <w:rPr>
          <w:rFonts w:ascii="Times New Roman" w:hAnsi="Times New Roman" w:cs="Times New Roman"/>
          <w:color w:val="000000" w:themeColor="text1"/>
          <w:kern w:val="2"/>
          <w:sz w:val="16"/>
          <w:szCs w:val="16"/>
        </w:rPr>
        <w:softHyphen/>
        <w:t>евую группу (1-юу авиагруппу истребителей). В тылу формиро</w:t>
      </w:r>
      <w:r w:rsidRPr="002F2FDF">
        <w:rPr>
          <w:rFonts w:ascii="Times New Roman" w:hAnsi="Times New Roman" w:cs="Times New Roman"/>
          <w:color w:val="000000" w:themeColor="text1"/>
          <w:kern w:val="2"/>
          <w:sz w:val="16"/>
          <w:szCs w:val="16"/>
        </w:rPr>
        <w:softHyphen/>
        <w:t>валось еще 5 авиационных отрядов. Во всех отрядах и диви</w:t>
      </w:r>
      <w:r w:rsidRPr="002F2FDF">
        <w:rPr>
          <w:rFonts w:ascii="Times New Roman" w:hAnsi="Times New Roman" w:cs="Times New Roman"/>
          <w:color w:val="000000" w:themeColor="text1"/>
          <w:kern w:val="2"/>
          <w:sz w:val="16"/>
          <w:szCs w:val="16"/>
        </w:rPr>
        <w:softHyphen/>
        <w:t>зионах числилось 605 летчиков, в том числе 390 офицеров и 215 солдат. Самолетный парк фронтов составляли около 450 исправных и 120 неисправных самолетов преимущественно систем "Фарман-30", "Вуазен", "Моран-парасоль", "Ньюпор" типов XI, ХУП и XXI, "Анаде" и другие. Около 150 самолетов, главным образом летающих лодок "М-9” составляли парк морской авиации.</w:t>
      </w:r>
    </w:p>
    <w:p w14:paraId="74E0795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воздухоплавании числилось две трехстанционные крепост</w:t>
      </w:r>
      <w:r w:rsidRPr="002F2FDF">
        <w:rPr>
          <w:rFonts w:ascii="Times New Roman" w:hAnsi="Times New Roman" w:cs="Times New Roman"/>
          <w:color w:val="000000" w:themeColor="text1"/>
          <w:kern w:val="2"/>
          <w:sz w:val="16"/>
          <w:szCs w:val="16"/>
        </w:rPr>
        <w:softHyphen/>
        <w:t>ные роты (Ревельская и Свеаборгская), двухстанционная Кав</w:t>
      </w:r>
      <w:r w:rsidRPr="002F2FDF">
        <w:rPr>
          <w:rFonts w:ascii="Times New Roman" w:hAnsi="Times New Roman" w:cs="Times New Roman"/>
          <w:color w:val="000000" w:themeColor="text1"/>
          <w:kern w:val="2"/>
          <w:sz w:val="16"/>
          <w:szCs w:val="16"/>
        </w:rPr>
        <w:softHyphen/>
        <w:t>казская и 27 номерных двух- и трехстанционных воздухоплава</w:t>
      </w:r>
      <w:r w:rsidRPr="002F2FDF">
        <w:rPr>
          <w:rFonts w:ascii="Times New Roman" w:hAnsi="Times New Roman" w:cs="Times New Roman"/>
          <w:color w:val="000000" w:themeColor="text1"/>
          <w:kern w:val="2"/>
          <w:sz w:val="16"/>
          <w:szCs w:val="16"/>
        </w:rPr>
        <w:softHyphen/>
        <w:t>тельных рот с общим числом наблюдательных станций около 70. Из номерных роог24 заканчивали переформирование в воздухо-пдавателъные отряды. Кроме того, при 13 армиях формировались воздухоплавательные дивизионы по одному на армию. В воздухо</w:t>
      </w:r>
      <w:r w:rsidRPr="002F2FDF">
        <w:rPr>
          <w:rFonts w:ascii="Times New Roman" w:hAnsi="Times New Roman" w:cs="Times New Roman"/>
          <w:color w:val="000000" w:themeColor="text1"/>
          <w:kern w:val="2"/>
          <w:sz w:val="16"/>
          <w:szCs w:val="16"/>
        </w:rPr>
        <w:softHyphen/>
        <w:t>плавательных ротах и отрядах имелись привязные змейковые аэростаты "Парсевалъ" различных объемов (750, 850 и 1000 м</w:t>
      </w:r>
      <w:r w:rsidRPr="002F2FDF">
        <w:rPr>
          <w:rFonts w:ascii="Times New Roman" w:hAnsi="Times New Roman" w:cs="Times New Roman"/>
          <w:color w:val="000000" w:themeColor="text1"/>
          <w:kern w:val="2"/>
          <w:sz w:val="16"/>
          <w:szCs w:val="16"/>
          <w:vertAlign w:val="superscript"/>
        </w:rPr>
        <w:t>3</w:t>
      </w:r>
      <w:r w:rsidRPr="002F2FDF">
        <w:rPr>
          <w:rFonts w:ascii="Times New Roman" w:hAnsi="Times New Roman" w:cs="Times New Roman"/>
          <w:color w:val="000000" w:themeColor="text1"/>
          <w:kern w:val="2"/>
          <w:sz w:val="16"/>
          <w:szCs w:val="16"/>
        </w:rPr>
        <w:t>),. Все полевые воздухоплавательные части обслуживались тремя фронтовыми воздухоплавательными парками Северного, Западного и Юго-Западного фронтов. (ЦГВИА. ф. 2003, оп.1, д. 1224, л. 40 и сл.).</w:t>
      </w:r>
    </w:p>
    <w:p w14:paraId="629D04F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D3F230" w14:textId="77777777" w:rsidR="008E0A15" w:rsidRPr="002F2FDF" w:rsidRDefault="008E0A15" w:rsidP="0083075A">
      <w:pPr>
        <w:spacing w:after="0" w:line="240" w:lineRule="auto"/>
        <w:jc w:val="both"/>
        <w:rPr>
          <w:rFonts w:ascii="Times New Roman" w:hAnsi="Times New Roman" w:cs="Times New Roman"/>
          <w:color w:val="0070C0"/>
          <w:sz w:val="16"/>
          <w:szCs w:val="16"/>
        </w:rPr>
      </w:pPr>
      <w:r w:rsidRPr="002F2FDF">
        <w:rPr>
          <w:rFonts w:ascii="Times New Roman" w:hAnsi="Times New Roman" w:cs="Times New Roman"/>
          <w:color w:val="0070C0"/>
          <w:sz w:val="16"/>
          <w:szCs w:val="16"/>
        </w:rPr>
        <w:t>1 (14) января 1917 г. в авиации числилось 77 отрядов, в том числе:13 армей</w:t>
      </w:r>
      <w:r w:rsidRPr="002F2FDF">
        <w:rPr>
          <w:rFonts w:ascii="Times New Roman" w:hAnsi="Times New Roman" w:cs="Times New Roman"/>
          <w:color w:val="0070C0"/>
          <w:sz w:val="16"/>
          <w:szCs w:val="16"/>
        </w:rPr>
        <w:softHyphen/>
        <w:t>ских, 39 корпусных, 12 истребительных, 3 Сибирских, 4 Кавказских и 6 тыловых. Все они, кроме тыловых, были сведены в 12 авиационных дивизионов и одну фронтовую боевую группу /1-ю авиагруппу истре</w:t>
      </w:r>
      <w:r w:rsidRPr="002F2FDF">
        <w:rPr>
          <w:rFonts w:ascii="Times New Roman" w:hAnsi="Times New Roman" w:cs="Times New Roman"/>
          <w:color w:val="0070C0"/>
          <w:sz w:val="16"/>
          <w:szCs w:val="16"/>
        </w:rPr>
        <w:softHyphen/>
        <w:t>бителей/. В тылу формировалось еще 5 авиационных отрядов. Во всех отрядах и дивизионах числилось 605 летчиков, в том числе 390 офи</w:t>
      </w:r>
      <w:r w:rsidRPr="002F2FDF">
        <w:rPr>
          <w:rFonts w:ascii="Times New Roman" w:hAnsi="Times New Roman" w:cs="Times New Roman"/>
          <w:color w:val="0070C0"/>
          <w:sz w:val="16"/>
          <w:szCs w:val="16"/>
        </w:rPr>
        <w:softHyphen/>
        <w:t>церов и 215 солдат. Самолетный парк составляли около 450 исправных и 120 неисправных самолетов преимущественно систем Фарман-30, Вуа</w:t>
      </w:r>
      <w:r w:rsidRPr="002F2FDF">
        <w:rPr>
          <w:rFonts w:ascii="Times New Roman" w:hAnsi="Times New Roman" w:cs="Times New Roman"/>
          <w:color w:val="0070C0"/>
          <w:sz w:val="16"/>
          <w:szCs w:val="16"/>
        </w:rPr>
        <w:softHyphen/>
        <w:t>зен, Моран-парасоль, Ньюпор типов Х1, ХУ11 и XXI, Спад, Анаде и др.</w:t>
      </w:r>
    </w:p>
    <w:p w14:paraId="75FF1DCF" w14:textId="77777777" w:rsidR="008E0A15" w:rsidRPr="002F2FDF" w:rsidRDefault="008E0A15" w:rsidP="0083075A">
      <w:pPr>
        <w:spacing w:after="0" w:line="240" w:lineRule="auto"/>
        <w:jc w:val="both"/>
        <w:rPr>
          <w:rFonts w:ascii="Times New Roman" w:hAnsi="Times New Roman" w:cs="Times New Roman"/>
          <w:color w:val="0070C0"/>
          <w:sz w:val="16"/>
          <w:szCs w:val="16"/>
        </w:rPr>
      </w:pPr>
      <w:r w:rsidRPr="002F2FDF">
        <w:rPr>
          <w:rFonts w:ascii="Times New Roman" w:hAnsi="Times New Roman" w:cs="Times New Roman"/>
          <w:color w:val="0070C0"/>
          <w:sz w:val="16"/>
          <w:szCs w:val="16"/>
        </w:rPr>
        <w:t>В воздухоплавании числилось две трехстанционные крепостные роты /Ревельская и Свеаборгская/, двухстанционная Кавказская и 27 номерных двух-и трехстанционных воздухоплавательных рот с общим числом наблюдательных станций до 70. Из номерных рот 24 заканчива</w:t>
      </w:r>
      <w:r w:rsidRPr="002F2FDF">
        <w:rPr>
          <w:rFonts w:ascii="Times New Roman" w:hAnsi="Times New Roman" w:cs="Times New Roman"/>
          <w:color w:val="0070C0"/>
          <w:sz w:val="16"/>
          <w:szCs w:val="16"/>
        </w:rPr>
        <w:softHyphen/>
        <w:t>ли переформирование в воздухоплавательные отряды. Кроме того, при 13 армиях формировались воздухоплавательные дивизионы по одному на армию. В воздухоплавательных ротах и отрядах имелись привязные змейковые аэростаты "Парсеваль" различных объемов /750,850 и 1000 м3/. Все полевые воздухоплавательные части обслуживались тремя Фронто</w:t>
      </w:r>
      <w:r w:rsidRPr="002F2FDF">
        <w:rPr>
          <w:rFonts w:ascii="Times New Roman" w:hAnsi="Times New Roman" w:cs="Times New Roman"/>
          <w:color w:val="0070C0"/>
          <w:sz w:val="16"/>
          <w:szCs w:val="16"/>
        </w:rPr>
        <w:softHyphen/>
        <w:t>выми воздухоплавательными парками Северного, Западного и Юго-запад</w:t>
      </w:r>
      <w:r w:rsidRPr="002F2FDF">
        <w:rPr>
          <w:rFonts w:ascii="Times New Roman" w:hAnsi="Times New Roman" w:cs="Times New Roman"/>
          <w:color w:val="0070C0"/>
          <w:sz w:val="16"/>
          <w:szCs w:val="16"/>
        </w:rPr>
        <w:softHyphen/>
        <w:t>ного фронтов.</w:t>
      </w:r>
    </w:p>
    <w:p w14:paraId="57279080" w14:textId="77777777" w:rsidR="008E0A15" w:rsidRPr="002F2FDF" w:rsidRDefault="008E0A15" w:rsidP="0083075A">
      <w:pPr>
        <w:spacing w:after="0" w:line="240" w:lineRule="auto"/>
        <w:jc w:val="both"/>
        <w:rPr>
          <w:rFonts w:ascii="Times New Roman" w:hAnsi="Times New Roman" w:cs="Times New Roman"/>
          <w:color w:val="0070C0"/>
          <w:sz w:val="16"/>
          <w:szCs w:val="16"/>
        </w:rPr>
      </w:pPr>
      <w:r w:rsidRPr="002F2FDF">
        <w:rPr>
          <w:rFonts w:ascii="Times New Roman" w:hAnsi="Times New Roman" w:cs="Times New Roman"/>
          <w:color w:val="0070C0"/>
          <w:sz w:val="16"/>
          <w:szCs w:val="16"/>
        </w:rPr>
        <w:t>/ЦГВИА, ф. 2003, оп. 1, д. 1224, л. 40./ (23340).</w:t>
      </w:r>
    </w:p>
    <w:p w14:paraId="23DF538C" w14:textId="77777777" w:rsidR="008E0A15" w:rsidRPr="002F2FDF" w:rsidRDefault="008E0A15" w:rsidP="0083075A">
      <w:pPr>
        <w:spacing w:after="0" w:line="240" w:lineRule="auto"/>
        <w:jc w:val="both"/>
        <w:rPr>
          <w:rFonts w:ascii="Times New Roman" w:hAnsi="Times New Roman" w:cs="Times New Roman"/>
          <w:color w:val="0070C0"/>
          <w:sz w:val="16"/>
          <w:szCs w:val="16"/>
        </w:rPr>
      </w:pPr>
    </w:p>
    <w:p w14:paraId="3CD4F8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января 1917 согласно решению Увофлота по планам формирования на 1917 на вооружении русской армии должно было состоять (237,128):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B1C74" w:rsidRPr="002F2FDF" w14:paraId="2D8CE737" w14:textId="77777777">
        <w:tc>
          <w:tcPr>
            <w:tcW w:w="5636" w:type="dxa"/>
          </w:tcPr>
          <w:p w14:paraId="514E7F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аппаратов дальней разведки</w:t>
            </w:r>
          </w:p>
        </w:tc>
        <w:tc>
          <w:tcPr>
            <w:tcW w:w="5636" w:type="dxa"/>
          </w:tcPr>
          <w:p w14:paraId="4B80F6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- 104;</w:t>
            </w:r>
          </w:p>
        </w:tc>
      </w:tr>
      <w:tr w:rsidR="002B1C74" w:rsidRPr="002F2FDF" w14:paraId="0847F7A3" w14:textId="77777777">
        <w:tc>
          <w:tcPr>
            <w:tcW w:w="5636" w:type="dxa"/>
          </w:tcPr>
          <w:p w14:paraId="118F07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аппаратов ближней разведки</w:t>
            </w:r>
          </w:p>
        </w:tc>
        <w:tc>
          <w:tcPr>
            <w:tcW w:w="5636" w:type="dxa"/>
          </w:tcPr>
          <w:p w14:paraId="370CFC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- 344;</w:t>
            </w:r>
          </w:p>
        </w:tc>
      </w:tr>
      <w:tr w:rsidR="002B1C74" w:rsidRPr="002F2FDF" w14:paraId="37EE6C2E" w14:textId="77777777">
        <w:tc>
          <w:tcPr>
            <w:tcW w:w="5636" w:type="dxa"/>
          </w:tcPr>
          <w:p w14:paraId="4BF3E5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истребителей</w:t>
            </w:r>
          </w:p>
        </w:tc>
        <w:tc>
          <w:tcPr>
            <w:tcW w:w="5636" w:type="dxa"/>
          </w:tcPr>
          <w:p w14:paraId="66A736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- 266</w:t>
            </w:r>
          </w:p>
        </w:tc>
      </w:tr>
    </w:tbl>
    <w:p w14:paraId="50B8F7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Было 77 отрядов, в т.ч. 13 армейских, 39 корпусных, 12 истребительных, 3 сибирских, 4 кавказских и 6 тыловых, сведенные кроме тыловых в 12 дивизионов и одну фронтовую группу. В тылу формировали еще 5. Всего 605 было летчиков, в т.ч. 390 офицеров, 450 исправных самолетов и 120 неисправных, в том числе 150 в морской авиации (3612).</w:t>
      </w:r>
    </w:p>
    <w:p w14:paraId="62F80A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B0FF2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1 </w:t>
      </w:r>
      <w:r w:rsidR="00E44BC9" w:rsidRPr="002F2FDF">
        <w:rPr>
          <w:rFonts w:ascii="Times New Roman" w:hAnsi="Times New Roman" w:cs="Times New Roman"/>
          <w:color w:val="000000" w:themeColor="text1"/>
          <w:kern w:val="2"/>
          <w:sz w:val="16"/>
          <w:szCs w:val="16"/>
        </w:rPr>
        <w:t xml:space="preserve">(14) </w:t>
      </w:r>
      <w:r w:rsidRPr="002F2FDF">
        <w:rPr>
          <w:rFonts w:ascii="Times New Roman" w:hAnsi="Times New Roman" w:cs="Times New Roman"/>
          <w:color w:val="000000" w:themeColor="text1"/>
          <w:kern w:val="2"/>
          <w:sz w:val="16"/>
          <w:szCs w:val="16"/>
        </w:rPr>
        <w:t>января 1917 г. число самолетов в действую</w:t>
      </w:r>
      <w:r w:rsidRPr="002F2FDF">
        <w:rPr>
          <w:rFonts w:ascii="Times New Roman" w:hAnsi="Times New Roman" w:cs="Times New Roman"/>
          <w:color w:val="000000" w:themeColor="text1"/>
          <w:kern w:val="2"/>
          <w:sz w:val="16"/>
          <w:szCs w:val="16"/>
        </w:rPr>
        <w:softHyphen/>
        <w:t>щей армии было доведено до 724. Но и этого было еще недоста</w:t>
      </w:r>
      <w:r w:rsidRPr="002F2FDF">
        <w:rPr>
          <w:rFonts w:ascii="Times New Roman" w:hAnsi="Times New Roman" w:cs="Times New Roman"/>
          <w:color w:val="000000" w:themeColor="text1"/>
          <w:kern w:val="2"/>
          <w:sz w:val="16"/>
          <w:szCs w:val="16"/>
        </w:rPr>
        <w:softHyphen/>
        <w:t>точно в условиях возраставших потребностей войны.</w:t>
      </w:r>
    </w:p>
    <w:p w14:paraId="013A1FD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Качественные показатели тоже несколько возросли, по</w:t>
      </w:r>
      <w:r w:rsidRPr="002F2FDF">
        <w:rPr>
          <w:rFonts w:ascii="Times New Roman" w:hAnsi="Times New Roman" w:cs="Times New Roman"/>
          <w:color w:val="000000" w:themeColor="text1"/>
          <w:kern w:val="2"/>
          <w:sz w:val="16"/>
          <w:szCs w:val="16"/>
        </w:rPr>
        <w:softHyphen/>
        <w:t>скольку на вооружение поступали преимущественно самолеты, имевшие скорость 125—150 км/час, с моторами мощностью 140— 150 л. с.</w:t>
      </w:r>
    </w:p>
    <w:p w14:paraId="2DE4415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Состояние самолетного парка русской армии к моменту фев</w:t>
      </w:r>
      <w:r w:rsidRPr="002F2FDF">
        <w:rPr>
          <w:rFonts w:ascii="Times New Roman" w:hAnsi="Times New Roman" w:cs="Times New Roman"/>
          <w:color w:val="000000" w:themeColor="text1"/>
          <w:kern w:val="2"/>
          <w:sz w:val="16"/>
          <w:szCs w:val="16"/>
        </w:rPr>
        <w:softHyphen/>
        <w:t>ральской революции в России характеризуется следующими дан</w:t>
      </w:r>
      <w:r w:rsidRPr="002F2FDF">
        <w:rPr>
          <w:rFonts w:ascii="Times New Roman" w:hAnsi="Times New Roman" w:cs="Times New Roman"/>
          <w:color w:val="000000" w:themeColor="text1"/>
          <w:kern w:val="2"/>
          <w:sz w:val="16"/>
          <w:szCs w:val="16"/>
        </w:rPr>
        <w:softHyphen/>
        <w:t>ными (табл. 2) (ЦГВИА, ф. 2003., оп. 1, д. 1224, л. 224).</w:t>
      </w:r>
    </w:p>
    <w:p w14:paraId="28AA7B7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2 Количество самолетов на 1 марта 1917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2F2FDF" w14:paraId="13C719D0" w14:textId="77777777">
        <w:tc>
          <w:tcPr>
            <w:tcW w:w="4788" w:type="dxa"/>
            <w:tcBorders>
              <w:top w:val="single" w:sz="12" w:space="0" w:color="auto"/>
            </w:tcBorders>
            <w:shd w:val="clear" w:color="auto" w:fill="FFFFFF"/>
          </w:tcPr>
          <w:p w14:paraId="2F4F95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4788" w:type="dxa"/>
            <w:tcBorders>
              <w:top w:val="single" w:sz="12" w:space="0" w:color="auto"/>
            </w:tcBorders>
            <w:shd w:val="clear" w:color="auto" w:fill="FFFFFF"/>
          </w:tcPr>
          <w:p w14:paraId="1B151B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1 037 самолетов</w:t>
            </w:r>
          </w:p>
        </w:tc>
      </w:tr>
      <w:tr w:rsidR="002B1C74" w:rsidRPr="002F2FDF" w14:paraId="6627F794" w14:textId="77777777">
        <w:tc>
          <w:tcPr>
            <w:tcW w:w="4788" w:type="dxa"/>
            <w:shd w:val="clear" w:color="auto" w:fill="FFFFFF"/>
          </w:tcPr>
          <w:p w14:paraId="5835EE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фронте</w:t>
            </w:r>
          </w:p>
        </w:tc>
        <w:tc>
          <w:tcPr>
            <w:tcW w:w="4788" w:type="dxa"/>
            <w:shd w:val="clear" w:color="auto" w:fill="FFFFFF"/>
          </w:tcPr>
          <w:p w14:paraId="28126E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590</w:t>
            </w:r>
          </w:p>
        </w:tc>
      </w:tr>
      <w:tr w:rsidR="002B1C74" w:rsidRPr="002F2FDF" w14:paraId="1868B28E" w14:textId="77777777">
        <w:tc>
          <w:tcPr>
            <w:tcW w:w="4788" w:type="dxa"/>
            <w:shd w:val="clear" w:color="auto" w:fill="FFFFFF"/>
          </w:tcPr>
          <w:p w14:paraId="2651D9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них: исправных</w:t>
            </w:r>
          </w:p>
        </w:tc>
        <w:tc>
          <w:tcPr>
            <w:tcW w:w="4788" w:type="dxa"/>
            <w:shd w:val="clear" w:color="auto" w:fill="FFFFFF"/>
          </w:tcPr>
          <w:p w14:paraId="2D079E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545</w:t>
            </w:r>
          </w:p>
        </w:tc>
      </w:tr>
      <w:tr w:rsidR="002B1C74" w:rsidRPr="002F2FDF" w14:paraId="6AF3E03E" w14:textId="77777777">
        <w:tc>
          <w:tcPr>
            <w:tcW w:w="4788" w:type="dxa"/>
            <w:shd w:val="clear" w:color="auto" w:fill="FFFFFF"/>
          </w:tcPr>
          <w:p w14:paraId="0396BD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без моторов</w:t>
            </w:r>
          </w:p>
        </w:tc>
        <w:tc>
          <w:tcPr>
            <w:tcW w:w="4788" w:type="dxa"/>
            <w:shd w:val="clear" w:color="auto" w:fill="FFFFFF"/>
          </w:tcPr>
          <w:p w14:paraId="48FE9D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13</w:t>
            </w:r>
          </w:p>
        </w:tc>
      </w:tr>
      <w:tr w:rsidR="002B1C74" w:rsidRPr="002F2FDF" w14:paraId="2E25E6B9" w14:textId="77777777">
        <w:tc>
          <w:tcPr>
            <w:tcW w:w="4788" w:type="dxa"/>
            <w:shd w:val="clear" w:color="auto" w:fill="FFFFFF"/>
          </w:tcPr>
          <w:p w14:paraId="28EEA8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ремонтирующихся</w:t>
            </w:r>
          </w:p>
        </w:tc>
        <w:tc>
          <w:tcPr>
            <w:tcW w:w="4788" w:type="dxa"/>
            <w:shd w:val="clear" w:color="auto" w:fill="FFFFFF"/>
          </w:tcPr>
          <w:p w14:paraId="66B0F7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32</w:t>
            </w:r>
          </w:p>
        </w:tc>
      </w:tr>
      <w:tr w:rsidR="002B1C74" w:rsidRPr="002F2FDF" w14:paraId="245C09F0" w14:textId="77777777">
        <w:tc>
          <w:tcPr>
            <w:tcW w:w="4788" w:type="dxa"/>
            <w:shd w:val="clear" w:color="auto" w:fill="FFFFFF"/>
          </w:tcPr>
          <w:p w14:paraId="7F1103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парках</w:t>
            </w:r>
          </w:p>
        </w:tc>
        <w:tc>
          <w:tcPr>
            <w:tcW w:w="4788" w:type="dxa"/>
            <w:shd w:val="clear" w:color="auto" w:fill="FFFFFF"/>
          </w:tcPr>
          <w:p w14:paraId="4ACC8D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398</w:t>
            </w:r>
          </w:p>
        </w:tc>
      </w:tr>
      <w:tr w:rsidR="002B1C74" w:rsidRPr="002F2FDF" w14:paraId="4ADA6FAD" w14:textId="77777777">
        <w:tc>
          <w:tcPr>
            <w:tcW w:w="4788" w:type="dxa"/>
            <w:shd w:val="clear" w:color="auto" w:fill="FFFFFF"/>
          </w:tcPr>
          <w:p w14:paraId="79F611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них: исправных</w:t>
            </w:r>
          </w:p>
        </w:tc>
        <w:tc>
          <w:tcPr>
            <w:tcW w:w="4788" w:type="dxa"/>
            <w:shd w:val="clear" w:color="auto" w:fill="FFFFFF"/>
          </w:tcPr>
          <w:p w14:paraId="701403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179</w:t>
            </w:r>
          </w:p>
        </w:tc>
      </w:tr>
      <w:tr w:rsidR="002B1C74" w:rsidRPr="002F2FDF" w14:paraId="10EB51EA" w14:textId="77777777">
        <w:tc>
          <w:tcPr>
            <w:tcW w:w="4788" w:type="dxa"/>
            <w:shd w:val="clear" w:color="auto" w:fill="FFFFFF"/>
          </w:tcPr>
          <w:p w14:paraId="38FB26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без моторов</w:t>
            </w:r>
          </w:p>
        </w:tc>
        <w:tc>
          <w:tcPr>
            <w:tcW w:w="4788" w:type="dxa"/>
            <w:shd w:val="clear" w:color="auto" w:fill="FFFFFF"/>
          </w:tcPr>
          <w:p w14:paraId="15F271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70</w:t>
            </w:r>
          </w:p>
        </w:tc>
      </w:tr>
      <w:tr w:rsidR="002B1C74" w:rsidRPr="002F2FDF" w14:paraId="1C9F5F6A" w14:textId="77777777">
        <w:tc>
          <w:tcPr>
            <w:tcW w:w="4788" w:type="dxa"/>
            <w:shd w:val="clear" w:color="auto" w:fill="FFFFFF"/>
          </w:tcPr>
          <w:p w14:paraId="2EB23D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ремонтирующихся</w:t>
            </w:r>
          </w:p>
        </w:tc>
        <w:tc>
          <w:tcPr>
            <w:tcW w:w="4788" w:type="dxa"/>
            <w:shd w:val="clear" w:color="auto" w:fill="FFFFFF"/>
          </w:tcPr>
          <w:p w14:paraId="06F5BE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149</w:t>
            </w:r>
          </w:p>
        </w:tc>
      </w:tr>
      <w:tr w:rsidR="002B1C74" w:rsidRPr="002F2FDF" w14:paraId="2C0F6E8E" w14:textId="77777777">
        <w:tc>
          <w:tcPr>
            <w:tcW w:w="4788" w:type="dxa"/>
            <w:tcBorders>
              <w:bottom w:val="single" w:sz="12" w:space="0" w:color="auto"/>
            </w:tcBorders>
            <w:shd w:val="clear" w:color="auto" w:fill="FFFFFF"/>
          </w:tcPr>
          <w:p w14:paraId="291C24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тыловых отрядах</w:t>
            </w:r>
          </w:p>
        </w:tc>
        <w:tc>
          <w:tcPr>
            <w:tcW w:w="4788" w:type="dxa"/>
            <w:tcBorders>
              <w:bottom w:val="single" w:sz="12" w:space="0" w:color="auto"/>
            </w:tcBorders>
            <w:shd w:val="clear" w:color="auto" w:fill="FFFFFF"/>
          </w:tcPr>
          <w:p w14:paraId="37A0BA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49</w:t>
            </w:r>
          </w:p>
        </w:tc>
      </w:tr>
    </w:tbl>
    <w:p w14:paraId="6710F68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Революционные события, охватившие в 1917 г. страну и армию, отразились и на состоянии русской военной авиации. Выпуск самолетов внутри страны и ввоз их из-за границы резко сократились. Во время позорно провалившейся попытки Временного правительства организовать наступление на фронте (июнь 1917 г.) было потеряно значительное количество самолетов. Ма</w:t>
      </w:r>
      <w:r w:rsidRPr="002F2FDF">
        <w:rPr>
          <w:rFonts w:ascii="Times New Roman" w:hAnsi="Times New Roman" w:cs="Times New Roman"/>
          <w:color w:val="000000" w:themeColor="text1"/>
          <w:kern w:val="2"/>
          <w:sz w:val="16"/>
          <w:szCs w:val="16"/>
        </w:rPr>
        <w:softHyphen/>
        <w:t>териальная часть авиационных отрядов была сильно изношена и частично пришла в полную негодность, а заменить ее было не</w:t>
      </w:r>
      <w:r w:rsidRPr="002F2FDF">
        <w:rPr>
          <w:rFonts w:ascii="Times New Roman" w:hAnsi="Times New Roman" w:cs="Times New Roman"/>
          <w:color w:val="000000" w:themeColor="text1"/>
          <w:kern w:val="2"/>
          <w:sz w:val="16"/>
          <w:szCs w:val="16"/>
        </w:rPr>
        <w:softHyphen/>
        <w:t>чем, так как новые самолеты и моторы в армию почти не по</w:t>
      </w:r>
      <w:r w:rsidRPr="002F2FDF">
        <w:rPr>
          <w:rFonts w:ascii="Times New Roman" w:hAnsi="Times New Roman" w:cs="Times New Roman"/>
          <w:color w:val="000000" w:themeColor="text1"/>
          <w:kern w:val="2"/>
          <w:sz w:val="16"/>
          <w:szCs w:val="16"/>
        </w:rPr>
        <w:softHyphen/>
        <w:t>ступали.</w:t>
      </w:r>
    </w:p>
    <w:p w14:paraId="10CE9B0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Незначительное количество устаревших и до предела изно</w:t>
      </w:r>
      <w:r w:rsidRPr="002F2FDF">
        <w:rPr>
          <w:rFonts w:ascii="Times New Roman" w:hAnsi="Times New Roman" w:cs="Times New Roman"/>
          <w:color w:val="000000" w:themeColor="text1"/>
          <w:kern w:val="2"/>
          <w:sz w:val="16"/>
          <w:szCs w:val="16"/>
        </w:rPr>
        <w:softHyphen/>
        <w:t>шенных самолетов, несколько маломощных авиационных пред</w:t>
      </w:r>
      <w:r w:rsidRPr="002F2FDF">
        <w:rPr>
          <w:rFonts w:ascii="Times New Roman" w:hAnsi="Times New Roman" w:cs="Times New Roman"/>
          <w:color w:val="000000" w:themeColor="text1"/>
          <w:kern w:val="2"/>
          <w:sz w:val="16"/>
          <w:szCs w:val="16"/>
        </w:rPr>
        <w:softHyphen/>
        <w:t>приятий, лишенных запасов сырья,— таково было “авиацион</w:t>
      </w:r>
      <w:r w:rsidRPr="002F2FDF">
        <w:rPr>
          <w:rFonts w:ascii="Times New Roman" w:hAnsi="Times New Roman" w:cs="Times New Roman"/>
          <w:color w:val="000000" w:themeColor="text1"/>
          <w:kern w:val="2"/>
          <w:sz w:val="16"/>
          <w:szCs w:val="16"/>
        </w:rPr>
        <w:softHyphen/>
        <w:t>ное наследство”, которое получила молодая Советская Респу</w:t>
      </w:r>
      <w:r w:rsidRPr="002F2FDF">
        <w:rPr>
          <w:rFonts w:ascii="Times New Roman" w:hAnsi="Times New Roman" w:cs="Times New Roman"/>
          <w:color w:val="000000" w:themeColor="text1"/>
          <w:kern w:val="2"/>
          <w:sz w:val="16"/>
          <w:szCs w:val="16"/>
        </w:rPr>
        <w:softHyphen/>
        <w:t>блика от царской России. Не лучше обстояло дело и с мото</w:t>
      </w:r>
      <w:r w:rsidRPr="002F2FDF">
        <w:rPr>
          <w:rFonts w:ascii="Times New Roman" w:hAnsi="Times New Roman" w:cs="Times New Roman"/>
          <w:color w:val="000000" w:themeColor="text1"/>
          <w:kern w:val="2"/>
          <w:sz w:val="16"/>
          <w:szCs w:val="16"/>
        </w:rPr>
        <w:softHyphen/>
        <w:t>рами.</w:t>
      </w:r>
    </w:p>
    <w:p w14:paraId="611ED47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 армии в авиационных моторах русское прави</w:t>
      </w:r>
      <w:r w:rsidRPr="002F2FDF">
        <w:rPr>
          <w:rFonts w:ascii="Times New Roman" w:hAnsi="Times New Roman" w:cs="Times New Roman"/>
          <w:color w:val="000000" w:themeColor="text1"/>
          <w:kern w:val="2"/>
          <w:sz w:val="16"/>
          <w:szCs w:val="16"/>
        </w:rPr>
        <w:softHyphen/>
        <w:t>тельство предполагало удовлетворять за счет закупок моторов во Франции. Поэтому никаких серьезных мер для создания оте</w:t>
      </w:r>
      <w:r w:rsidRPr="002F2FDF">
        <w:rPr>
          <w:rFonts w:ascii="Times New Roman" w:hAnsi="Times New Roman" w:cs="Times New Roman"/>
          <w:color w:val="000000" w:themeColor="text1"/>
          <w:kern w:val="2"/>
          <w:sz w:val="16"/>
          <w:szCs w:val="16"/>
        </w:rPr>
        <w:softHyphen/>
        <w:t>чественного авиационного моторостроения военное ведомство не принимало. Производительность единственного в тот период в стране завода авиационных моторов была ничтожной. Кроме того, в самом начале войны стало ясно, что мощность моторов “Гном” (70—80 л. с.) недостаточна для боевых самолетов новых типов (278).</w:t>
      </w:r>
    </w:p>
    <w:p w14:paraId="76C94FB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03F6B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1 </w:t>
      </w:r>
      <w:r w:rsidR="00E44BC9" w:rsidRPr="002F2FDF">
        <w:rPr>
          <w:rFonts w:ascii="Times New Roman" w:hAnsi="Times New Roman" w:cs="Times New Roman"/>
          <w:color w:val="000000" w:themeColor="text1"/>
          <w:kern w:val="2"/>
          <w:sz w:val="16"/>
          <w:szCs w:val="16"/>
        </w:rPr>
        <w:t xml:space="preserve">(14) </w:t>
      </w:r>
      <w:r w:rsidRPr="002F2FDF">
        <w:rPr>
          <w:rFonts w:ascii="Times New Roman" w:hAnsi="Times New Roman" w:cs="Times New Roman"/>
          <w:color w:val="000000" w:themeColor="text1"/>
          <w:kern w:val="2"/>
          <w:sz w:val="16"/>
          <w:szCs w:val="16"/>
        </w:rPr>
        <w:t>января 1917 г. русская армия имела 75 авиационных от</w:t>
      </w:r>
      <w:r w:rsidRPr="002F2FDF">
        <w:rPr>
          <w:rFonts w:ascii="Times New Roman" w:hAnsi="Times New Roman" w:cs="Times New Roman"/>
          <w:color w:val="000000" w:themeColor="text1"/>
          <w:kern w:val="2"/>
          <w:sz w:val="16"/>
          <w:szCs w:val="16"/>
        </w:rPr>
        <w:softHyphen/>
        <w:t>рядов, в том числе:</w:t>
      </w:r>
    </w:p>
    <w:p w14:paraId="471BF4F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с 1-го по 12-й армейские авиационные отряды;</w:t>
      </w:r>
    </w:p>
    <w:p w14:paraId="16925E1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с 1-го по 12-й истребительные авиационные отряды;</w:t>
      </w:r>
    </w:p>
    <w:p w14:paraId="0830331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с 1-го по 36-й корпусные авиационные отряды;</w:t>
      </w:r>
    </w:p>
    <w:p w14:paraId="3C2566B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с 1-го по 4-й Кавказские корпусные авиационные отряды;</w:t>
      </w:r>
    </w:p>
    <w:p w14:paraId="01E2D83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 2-й и 4-й Сибирские корпусные авиационные отряды, гвардейский корпусной и гренадерский корпусной авиационные отряды;</w:t>
      </w:r>
    </w:p>
    <w:p w14:paraId="768CBBD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1-й и 2-й охранные авиационные отряды;</w:t>
      </w:r>
    </w:p>
    <w:p w14:paraId="100F4AD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Кронштадтский авиационный отряд;</w:t>
      </w:r>
    </w:p>
    <w:p w14:paraId="35B66D1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Ревельский авиационный отряд;</w:t>
      </w:r>
    </w:p>
    <w:p w14:paraId="3283456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Одесский авиационный отряд;</w:t>
      </w:r>
    </w:p>
    <w:p w14:paraId="710934A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авиационный отряд при школе летчиков-наблюдателей (ЦГВИА, ф. 2003, оп. 1, д. 1224, л. 218) (278).</w:t>
      </w:r>
    </w:p>
    <w:p w14:paraId="0937225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2D851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 состоянию на 1 </w:t>
      </w:r>
      <w:r w:rsidR="00E44BC9" w:rsidRPr="002F2FDF">
        <w:rPr>
          <w:rFonts w:ascii="Times New Roman" w:hAnsi="Times New Roman" w:cs="Times New Roman"/>
          <w:color w:val="000000" w:themeColor="text1"/>
          <w:kern w:val="2"/>
          <w:sz w:val="16"/>
          <w:szCs w:val="16"/>
        </w:rPr>
        <w:t xml:space="preserve">(14) </w:t>
      </w:r>
      <w:r w:rsidRPr="002F2FDF">
        <w:rPr>
          <w:rFonts w:ascii="Times New Roman" w:hAnsi="Times New Roman" w:cs="Times New Roman"/>
          <w:color w:val="000000" w:themeColor="text1"/>
          <w:kern w:val="2"/>
          <w:sz w:val="16"/>
          <w:szCs w:val="16"/>
        </w:rPr>
        <w:t>января 1917 года российская морская авиация имела 264 аэроплана разных типов, из них: 152 нахо</w:t>
      </w:r>
      <w:r w:rsidRPr="002F2FDF">
        <w:rPr>
          <w:rFonts w:ascii="Times New Roman" w:hAnsi="Times New Roman" w:cs="Times New Roman"/>
          <w:color w:val="000000" w:themeColor="text1"/>
          <w:kern w:val="2"/>
          <w:sz w:val="16"/>
          <w:szCs w:val="16"/>
        </w:rPr>
        <w:softHyphen/>
        <w:t>дились на Черноморском флоте, 88 - на Балтийском флоте, а 29 - в Петроградской и Бакинской авиашколах. Кроме того, в Севастополе располагалась воздухоплавательная станция с дву</w:t>
      </w:r>
      <w:r w:rsidRPr="002F2FDF">
        <w:rPr>
          <w:rFonts w:ascii="Times New Roman" w:hAnsi="Times New Roman" w:cs="Times New Roman"/>
          <w:color w:val="000000" w:themeColor="text1"/>
          <w:kern w:val="2"/>
          <w:sz w:val="16"/>
          <w:szCs w:val="16"/>
        </w:rPr>
        <w:softHyphen/>
        <w:t>мя уцелевшими дирижаблями, практически не используемы</w:t>
      </w:r>
      <w:r w:rsidRPr="002F2FDF">
        <w:rPr>
          <w:rFonts w:ascii="Times New Roman" w:hAnsi="Times New Roman" w:cs="Times New Roman"/>
          <w:color w:val="000000" w:themeColor="text1"/>
          <w:kern w:val="2"/>
          <w:sz w:val="16"/>
          <w:szCs w:val="16"/>
        </w:rPr>
        <w:softHyphen/>
        <w:t>ми, а в Балаклаве - станция змейковых аэростатов. В черноморских и балтийских авиационных частях служи</w:t>
      </w:r>
      <w:r w:rsidRPr="002F2FDF">
        <w:rPr>
          <w:rFonts w:ascii="Times New Roman" w:hAnsi="Times New Roman" w:cs="Times New Roman"/>
          <w:color w:val="000000" w:themeColor="text1"/>
          <w:kern w:val="2"/>
          <w:sz w:val="16"/>
          <w:szCs w:val="16"/>
        </w:rPr>
        <w:softHyphen/>
        <w:t>ли соответственно 115 и 96 офицеров, 1039 и 1339 кондукто</w:t>
      </w:r>
      <w:r w:rsidRPr="002F2FDF">
        <w:rPr>
          <w:rFonts w:ascii="Times New Roman" w:hAnsi="Times New Roman" w:cs="Times New Roman"/>
          <w:color w:val="000000" w:themeColor="text1"/>
          <w:kern w:val="2"/>
          <w:sz w:val="16"/>
          <w:szCs w:val="16"/>
        </w:rPr>
        <w:softHyphen/>
        <w:t>ров, унтер-офицеров и рядовых. Звания “Морской летчик” офи</w:t>
      </w:r>
      <w:r w:rsidRPr="002F2FDF">
        <w:rPr>
          <w:rFonts w:ascii="Times New Roman" w:hAnsi="Times New Roman" w:cs="Times New Roman"/>
          <w:color w:val="000000" w:themeColor="text1"/>
          <w:kern w:val="2"/>
          <w:sz w:val="16"/>
          <w:szCs w:val="16"/>
        </w:rPr>
        <w:softHyphen/>
        <w:t>циально имели 56 черноморцев и 46 балтийцев, в том числе 11 и 1 без офицерских чинов (11283).</w:t>
      </w:r>
    </w:p>
    <w:p w14:paraId="2457147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54CF6C" w14:textId="39598995" w:rsidR="00BA3275" w:rsidRPr="00FB4F67" w:rsidRDefault="00BA327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На 1 </w:t>
      </w:r>
      <w:r>
        <w:rPr>
          <w:rFonts w:ascii="Times New Roman" w:hAnsi="Times New Roman" w:cs="Times New Roman"/>
          <w:color w:val="0070C0"/>
          <w:sz w:val="16"/>
          <w:szCs w:val="16"/>
        </w:rPr>
        <w:t xml:space="preserve">(14) </w:t>
      </w:r>
      <w:r w:rsidRPr="00FB4F67">
        <w:rPr>
          <w:rFonts w:ascii="Times New Roman" w:hAnsi="Times New Roman" w:cs="Times New Roman"/>
          <w:color w:val="0070C0"/>
          <w:sz w:val="16"/>
          <w:szCs w:val="16"/>
        </w:rPr>
        <w:t>января 1917 г. лишь шесть аппаратов «Лебедь-ХП» находи</w:t>
      </w:r>
      <w:r w:rsidRPr="00FB4F67">
        <w:rPr>
          <w:rFonts w:ascii="Times New Roman" w:hAnsi="Times New Roman" w:cs="Times New Roman"/>
          <w:color w:val="0070C0"/>
          <w:sz w:val="16"/>
          <w:szCs w:val="16"/>
        </w:rPr>
        <w:softHyphen/>
        <w:t>лись на вооружении 12-го авиадивизиона, действующего на Северном фронте. В те</w:t>
      </w:r>
      <w:r w:rsidRPr="00FB4F67">
        <w:rPr>
          <w:rFonts w:ascii="Times New Roman" w:hAnsi="Times New Roman" w:cs="Times New Roman"/>
          <w:color w:val="0070C0"/>
          <w:sz w:val="16"/>
          <w:szCs w:val="16"/>
        </w:rPr>
        <w:softHyphen/>
        <w:t>чение первой половины 1917 г. изготовили еще полторы сотни «Лебедь-XII», общее количество произведенных составило 216 аппаратов, из них военной приемке сдали 192 экземпляра. Заметное расхождение указанных цифр объясняется дополнитель</w:t>
      </w:r>
      <w:r w:rsidRPr="00FB4F67">
        <w:rPr>
          <w:rFonts w:ascii="Times New Roman" w:hAnsi="Times New Roman" w:cs="Times New Roman"/>
          <w:color w:val="0070C0"/>
          <w:sz w:val="16"/>
          <w:szCs w:val="16"/>
        </w:rPr>
        <w:softHyphen/>
        <w:t>ной сдачей восстановленных и отремонти</w:t>
      </w:r>
      <w:r w:rsidRPr="00FB4F67">
        <w:rPr>
          <w:rFonts w:ascii="Times New Roman" w:hAnsi="Times New Roman" w:cs="Times New Roman"/>
          <w:color w:val="0070C0"/>
          <w:sz w:val="16"/>
          <w:szCs w:val="16"/>
        </w:rPr>
        <w:softHyphen/>
        <w:t>рованных образцов. Кроме этого количест</w:t>
      </w:r>
      <w:r w:rsidRPr="00FB4F67">
        <w:rPr>
          <w:rFonts w:ascii="Times New Roman" w:hAnsi="Times New Roman" w:cs="Times New Roman"/>
          <w:color w:val="0070C0"/>
          <w:sz w:val="16"/>
          <w:szCs w:val="16"/>
        </w:rPr>
        <w:softHyphen/>
        <w:t>ва 20 машин заказали заводу Слюсаренко, из которых было построено 4 экземпляра (23374).</w:t>
      </w:r>
    </w:p>
    <w:p w14:paraId="17A6613E" w14:textId="77777777" w:rsidR="00BA3275" w:rsidRPr="00FB4F67" w:rsidRDefault="00BA3275" w:rsidP="0083075A">
      <w:pPr>
        <w:spacing w:after="0" w:line="240" w:lineRule="auto"/>
        <w:jc w:val="both"/>
        <w:rPr>
          <w:rFonts w:ascii="Times New Roman" w:hAnsi="Times New Roman" w:cs="Times New Roman"/>
          <w:color w:val="0070C0"/>
          <w:sz w:val="16"/>
          <w:szCs w:val="16"/>
        </w:rPr>
      </w:pPr>
    </w:p>
    <w:p w14:paraId="0E670E15" w14:textId="0A20BDFB" w:rsidR="00623859" w:rsidRPr="002F2FDF" w:rsidRDefault="006238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 состоянию на 1 (14) января 1917 г., российская Морская Авиация являлась внушительной силой и имела в своём составе 264 аэроплана разных типов. Из них 152 самолёта и 4 малых управляемых аэростата находились на Черноморском флоте, 88 самолётов — на Балтийском. Ещё 29 самолётов имелось в Петроградской и Бакинской офицерских авиашколах. Только с сентября 1916 г. по май 1917 г. морское ведомство получило 61 гидросамолёт конструкции Григоровича М-11 и М-12; из них 26 летали на Чёрном море, около 20 поступили на Балтику. В черноморских и балтийских авиационных частях служили, соответственно, 115 и 96 офицеров, 1039 и 1339 кондукторов, унтер-офицеров и рядовых.</w:t>
      </w:r>
      <w:r w:rsidR="00E52569">
        <w:rPr>
          <w:rFonts w:ascii="Times New Roman" w:hAnsi="Times New Roman" w:cs="Times New Roman"/>
          <w:color w:val="000000" w:themeColor="text1"/>
          <w:sz w:val="16"/>
          <w:szCs w:val="16"/>
        </w:rPr>
        <w:t xml:space="preserve"> </w:t>
      </w:r>
      <w:bookmarkStart w:id="4" w:name="_Hlk51069425"/>
      <w:r w:rsidRPr="002F2FDF">
        <w:rPr>
          <w:rFonts w:ascii="Times New Roman" w:hAnsi="Times New Roman" w:cs="Times New Roman"/>
          <w:color w:val="000000" w:themeColor="text1"/>
          <w:sz w:val="16"/>
          <w:szCs w:val="16"/>
        </w:rPr>
        <w:t>Звание «морской лётчик» официально имели 56 черноморцев и 46 балтийцев.</w:t>
      </w:r>
      <w:bookmarkEnd w:id="4"/>
    </w:p>
    <w:p w14:paraId="229400CA" w14:textId="77777777" w:rsidR="00623859" w:rsidRPr="002F2FDF" w:rsidRDefault="006238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Согласно расчётам морского штаба ставки Верховного Главнокомандующего, на первую половину 1917 г. в Морской Авиации необходимо было иметь:</w:t>
      </w:r>
    </w:p>
    <w:p w14:paraId="22EF11F6" w14:textId="77777777" w:rsidR="00623859" w:rsidRPr="002F2FDF" w:rsidRDefault="006238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на Балтике — 169 самолётов;</w:t>
      </w:r>
    </w:p>
    <w:p w14:paraId="4890D645" w14:textId="77777777" w:rsidR="00623859" w:rsidRPr="002F2FDF" w:rsidRDefault="006238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на Чёрном море — 181 самолёт;</w:t>
      </w:r>
    </w:p>
    <w:p w14:paraId="7778EEFA" w14:textId="77777777" w:rsidR="00623859" w:rsidRPr="002F2FDF" w:rsidRDefault="006238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на Белом море и Мурманское побережье — 30 самолётов;</w:t>
      </w:r>
    </w:p>
    <w:p w14:paraId="7574EBD2" w14:textId="77777777" w:rsidR="00623859" w:rsidRPr="002F2FDF" w:rsidRDefault="006238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в авиашколах — 60 самолётов;</w:t>
      </w:r>
    </w:p>
    <w:p w14:paraId="2187D2FF" w14:textId="77777777" w:rsidR="00623859" w:rsidRPr="002F2FDF" w:rsidRDefault="006238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в запасах Центра — 53 самолёта.</w:t>
      </w:r>
    </w:p>
    <w:p w14:paraId="72B65647" w14:textId="77777777" w:rsidR="00623859" w:rsidRPr="002F2FDF" w:rsidRDefault="006238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Всего 493 самолёта (20002).</w:t>
      </w:r>
    </w:p>
    <w:p w14:paraId="5818D33C" w14:textId="77777777" w:rsidR="00623859" w:rsidRPr="002F2FDF" w:rsidRDefault="00623859" w:rsidP="0083075A">
      <w:pPr>
        <w:spacing w:after="0" w:line="240" w:lineRule="auto"/>
        <w:jc w:val="both"/>
        <w:rPr>
          <w:rFonts w:ascii="Times New Roman" w:hAnsi="Times New Roman" w:cs="Times New Roman"/>
          <w:color w:val="000000" w:themeColor="text1"/>
          <w:sz w:val="16"/>
          <w:szCs w:val="16"/>
        </w:rPr>
      </w:pPr>
    </w:p>
    <w:p w14:paraId="4B6C7EEF" w14:textId="77777777" w:rsidR="00623859" w:rsidRPr="002F2FDF" w:rsidRDefault="006238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1 (14) января 1917 звание «морской лётчик» официально имели 56 черноморцев и 46 балтийцев (20002).</w:t>
      </w:r>
    </w:p>
    <w:p w14:paraId="1C4E845F" w14:textId="77777777" w:rsidR="00623859" w:rsidRPr="002F2FDF" w:rsidRDefault="00623859" w:rsidP="0083075A">
      <w:pPr>
        <w:spacing w:after="0" w:line="240" w:lineRule="auto"/>
        <w:jc w:val="both"/>
        <w:rPr>
          <w:rFonts w:ascii="Times New Roman" w:hAnsi="Times New Roman" w:cs="Times New Roman"/>
          <w:color w:val="000000" w:themeColor="text1"/>
          <w:sz w:val="16"/>
          <w:szCs w:val="16"/>
        </w:rPr>
      </w:pPr>
    </w:p>
    <w:p w14:paraId="3BB864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 1 </w:t>
      </w:r>
      <w:r w:rsidR="00E44BC9" w:rsidRPr="002F2FDF">
        <w:rPr>
          <w:rFonts w:ascii="Times New Roman" w:hAnsi="Times New Roman" w:cs="Times New Roman"/>
          <w:color w:val="000000" w:themeColor="text1"/>
          <w:kern w:val="2"/>
          <w:sz w:val="16"/>
          <w:szCs w:val="16"/>
        </w:rPr>
        <w:t xml:space="preserve">(14) </w:t>
      </w:r>
      <w:r w:rsidRPr="002F2FDF">
        <w:rPr>
          <w:rFonts w:ascii="Times New Roman" w:hAnsi="Times New Roman" w:cs="Times New Roman"/>
          <w:color w:val="000000" w:themeColor="text1"/>
          <w:kern w:val="2"/>
          <w:sz w:val="16"/>
          <w:szCs w:val="16"/>
        </w:rPr>
        <w:t>января 1917 120 л были удостоены креста 4-й степени, 91 - крестов 3-й и 4-й степени, 48 - крестов 2-й, 3-й и 4-й степени, а 23 стали полными Георгиевскими кавалерами (11237).</w:t>
      </w:r>
    </w:p>
    <w:p w14:paraId="2C0200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E09B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 1 </w:t>
      </w:r>
      <w:r w:rsidR="00E44BC9" w:rsidRPr="002F2FDF">
        <w:rPr>
          <w:rFonts w:ascii="Times New Roman" w:hAnsi="Times New Roman" w:cs="Times New Roman"/>
          <w:color w:val="000000" w:themeColor="text1"/>
          <w:kern w:val="2"/>
          <w:sz w:val="16"/>
          <w:szCs w:val="16"/>
        </w:rPr>
        <w:t xml:space="preserve">(14) </w:t>
      </w:r>
      <w:r w:rsidRPr="002F2FDF">
        <w:rPr>
          <w:rFonts w:ascii="Times New Roman" w:hAnsi="Times New Roman" w:cs="Times New Roman"/>
          <w:color w:val="000000" w:themeColor="text1"/>
          <w:kern w:val="2"/>
          <w:sz w:val="16"/>
          <w:szCs w:val="16"/>
        </w:rPr>
        <w:t>января 1917 в армии числился 20341 автомобиль (11201).</w:t>
      </w:r>
    </w:p>
    <w:p w14:paraId="3ABB6A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E23C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 1 </w:t>
      </w:r>
      <w:r w:rsidR="00E44BC9" w:rsidRPr="002F2FDF">
        <w:rPr>
          <w:rFonts w:ascii="Times New Roman" w:hAnsi="Times New Roman" w:cs="Times New Roman"/>
          <w:color w:val="000000" w:themeColor="text1"/>
          <w:kern w:val="2"/>
          <w:sz w:val="16"/>
          <w:szCs w:val="16"/>
        </w:rPr>
        <w:t xml:space="preserve">(14) </w:t>
      </w:r>
      <w:r w:rsidRPr="002F2FDF">
        <w:rPr>
          <w:rFonts w:ascii="Times New Roman" w:hAnsi="Times New Roman" w:cs="Times New Roman"/>
          <w:color w:val="000000" w:themeColor="text1"/>
          <w:kern w:val="2"/>
          <w:sz w:val="16"/>
          <w:szCs w:val="16"/>
        </w:rPr>
        <w:t>января 1917 года численность российской армиии достигла 10,8 млн. по сравнению с 1,36 млн. человек (контингент мирного времени) и 6,6 млн. человек на 1 января 1915 и 8 млн. на 1 января 1916. Одно лишь проведение мобилизации и затраты на первичную переброску армий потребовали значительных средств. В дальнейшем военные расходы нарастали из месяца в месяц. Они увеличились с 826 млн. руб. в 1913 году до 2,2 млрд. руб. в 1914-м; в 1915 году они составили 8,8 млрд., в 1916-м уже 14,5 млрд. руб., а в первой половине 1917 года превысили 10 млрд. руб. (</w:t>
      </w:r>
      <w:r w:rsidRPr="002F2FDF">
        <w:rPr>
          <w:rFonts w:ascii="Times New Roman" w:hAnsi="Times New Roman" w:cs="Times New Roman"/>
          <w:iCs/>
          <w:color w:val="000000" w:themeColor="text1"/>
          <w:kern w:val="2"/>
          <w:sz w:val="16"/>
          <w:szCs w:val="16"/>
        </w:rPr>
        <w:t xml:space="preserve">Дьяченко В.П. </w:t>
      </w:r>
      <w:r w:rsidRPr="002F2FDF">
        <w:rPr>
          <w:rFonts w:ascii="Times New Roman" w:hAnsi="Times New Roman" w:cs="Times New Roman"/>
          <w:color w:val="000000" w:themeColor="text1"/>
          <w:kern w:val="2"/>
          <w:sz w:val="16"/>
          <w:szCs w:val="16"/>
        </w:rPr>
        <w:t>Советские финансы в первой фазе развития социалистического государства. Ч. 1. - 1917—1925. М.: Госфиниздат, 1947. С. 29.). Между тем налоговая база существенно сократилась. В июле 1914 года вместе с объявлением войны императорским указом была запрещена продажа водки. Сначала эта мера рассматривалась как временная на период мобилизации, однако по массовым ходатайствам с мест запрет был сохранен на все время войны. Образовавшуюся огромную брешь в бюджете попытались закрыть увеличением налогов. Уже осенью 1914 года выросли почти все налоги и почтово-телеграфные тарифы. В дополнение к существующим были установлены новые налоги: за право пользования телефоном, на перевозимые по железным дорогам грузы, налог со зрелищ, дополнительный акциз на чай и другие косвенные налоги. Долго не удавалось решить проблему налогообложения богатых (11177).</w:t>
      </w:r>
    </w:p>
    <w:p w14:paraId="7C2628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C94360" w14:textId="7A8A58BC" w:rsidR="00393BC3" w:rsidRPr="00FB4F67" w:rsidRDefault="00393BC3"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 (</w:t>
      </w:r>
      <w:r w:rsidRPr="00FB4F67">
        <w:rPr>
          <w:rFonts w:ascii="Times New Roman" w:hAnsi="Times New Roman" w:cs="Times New Roman"/>
          <w:color w:val="0070C0"/>
          <w:sz w:val="16"/>
          <w:szCs w:val="16"/>
        </w:rPr>
        <w:t>14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года 1-я румынская авиагруппа (со 2-й армией) состояла из ESC.F.2, ESC.F.6 и ESC.N1, базировавшихся в Ракачуни (позже Бакэу); 2-я авиагруппа (в составе 4-й русской армии) состояла из ESC.N.3, ESC.F.4, базирующихся в Текучи; 3-я авиагруппа (в составе 6-й русской армии) состояла из ESC.N.10, ESC.F.5, базировавшихся в Галаце. ESC.BM.8 все еще формировался в Яси. У них было пятьдесят три боеготовых самолета, в том числе двадцать три Farman F.40, восемнадцать Nieuport Xis и двенадцать Breguet Michelins (23525).</w:t>
      </w:r>
    </w:p>
    <w:p w14:paraId="572A936A" w14:textId="77777777" w:rsidR="00393BC3" w:rsidRPr="00FB4F67" w:rsidRDefault="00393BC3" w:rsidP="0083075A">
      <w:pPr>
        <w:spacing w:after="0" w:line="240" w:lineRule="auto"/>
        <w:jc w:val="both"/>
        <w:rPr>
          <w:rFonts w:ascii="Times New Roman" w:hAnsi="Times New Roman" w:cs="Times New Roman"/>
          <w:color w:val="0070C0"/>
          <w:sz w:val="16"/>
          <w:szCs w:val="16"/>
        </w:rPr>
      </w:pPr>
    </w:p>
    <w:p w14:paraId="176625AC" w14:textId="0209FF92" w:rsidR="00393BC3" w:rsidRPr="00FB4F67" w:rsidRDefault="00393BC3"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 (</w:t>
      </w:r>
      <w:r w:rsidRPr="00FB4F67">
        <w:rPr>
          <w:rFonts w:ascii="Times New Roman" w:hAnsi="Times New Roman" w:cs="Times New Roman"/>
          <w:color w:val="0070C0"/>
          <w:sz w:val="16"/>
          <w:szCs w:val="16"/>
        </w:rPr>
        <w:t>14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румынское верховное командование сформировало корпус аэростанций с четырьмя ротами и предприятиями по производству водорода. В феврале была сформирована 5-я аэровокзальная рота. Каждая рота имела аэростаты типа Coquet и три пулемета для защиты аэродрома. У каждого наблюдателя в гондоле был пистолет-пулемет. Роты аэростанций входили в состав 2-й авиагруппы, которая обеспечивала прикрытие с воздуха от атак противника (23525).</w:t>
      </w:r>
    </w:p>
    <w:p w14:paraId="44BFFAFF" w14:textId="77777777" w:rsidR="00393BC3" w:rsidRPr="00FB4F67" w:rsidRDefault="00393BC3" w:rsidP="0083075A">
      <w:pPr>
        <w:spacing w:after="0" w:line="240" w:lineRule="auto"/>
        <w:jc w:val="both"/>
        <w:rPr>
          <w:rFonts w:ascii="Times New Roman" w:hAnsi="Times New Roman" w:cs="Times New Roman"/>
          <w:color w:val="0070C0"/>
          <w:sz w:val="16"/>
          <w:szCs w:val="16"/>
        </w:rPr>
      </w:pPr>
    </w:p>
    <w:p w14:paraId="5EE2BFD8" w14:textId="77777777" w:rsidR="00C364AB" w:rsidRPr="002F2FDF" w:rsidRDefault="00C364A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BE69BE8" w14:textId="77777777" w:rsidR="00C364AB" w:rsidRPr="002F2FDF" w:rsidRDefault="00C364A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F7F657" w14:textId="77777777" w:rsidR="00C364AB" w:rsidRPr="002F2FDF" w:rsidRDefault="00C364AB"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К 1 (14) января 1917 г. число вкладчиков банков увеличилось в 1,5 раза, а сумма вкладов с учетом инфляции - на треть.</w:t>
      </w:r>
    </w:p>
    <w:p w14:paraId="7BB22006" w14:textId="77777777" w:rsidR="00C364AB" w:rsidRPr="002F2FDF" w:rsidRDefault="00C364AB"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Число вкладчиков - 12,7 млн. И это не буржуазия и помещики - купцов и предпринимателей во всей империи насчитывалось лишь около 120 тыс., помещиков - около 100 тыс.</w:t>
      </w:r>
    </w:p>
    <w:p w14:paraId="7B837DC3" w14:textId="77777777" w:rsidR="00C364AB" w:rsidRPr="002F2FDF" w:rsidRDefault="00C364AB"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Вкладчики состояли на 30% из крестьян, на 12% из мещан, на 13% из рабочих, т.е. на 55% из трудящихся (17082).</w:t>
      </w:r>
    </w:p>
    <w:p w14:paraId="7E7C9E24" w14:textId="77777777" w:rsidR="00C364AB" w:rsidRPr="002F2FDF" w:rsidRDefault="00C364AB" w:rsidP="0083075A">
      <w:pPr>
        <w:spacing w:after="0" w:line="240" w:lineRule="auto"/>
        <w:jc w:val="both"/>
        <w:rPr>
          <w:rFonts w:ascii="Times New Roman" w:eastAsia="Times New Roman" w:hAnsi="Times New Roman" w:cs="Times New Roman"/>
          <w:color w:val="000000" w:themeColor="text1"/>
          <w:sz w:val="16"/>
          <w:szCs w:val="16"/>
          <w:lang w:eastAsia="ru-RU"/>
        </w:rPr>
      </w:pPr>
    </w:p>
    <w:p w14:paraId="0DCBD87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03C44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0EFD0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января 1917 из-за взрыва боеприпасов затонул японский линкор “Цукуба”, 200 человек погибли (4962).</w:t>
      </w:r>
    </w:p>
    <w:p w14:paraId="710E019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5F9D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января 1917 в Польше был создан предварительный парламент (2100).</w:t>
      </w:r>
    </w:p>
    <w:p w14:paraId="0C2EF4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6C188A" w14:textId="77777777" w:rsidR="00F41AC8" w:rsidRPr="002F2FDF" w:rsidRDefault="00F41AC8" w:rsidP="0083075A">
      <w:pPr>
        <w:pStyle w:val="ae"/>
        <w:spacing w:before="0" w:after="0"/>
        <w:jc w:val="both"/>
        <w:rPr>
          <w:color w:val="000000" w:themeColor="text1"/>
          <w:kern w:val="2"/>
          <w:sz w:val="16"/>
          <w:szCs w:val="16"/>
        </w:rPr>
      </w:pPr>
      <w:r w:rsidRPr="002F2FDF">
        <w:rPr>
          <w:color w:val="000000" w:themeColor="text1"/>
          <w:kern w:val="2"/>
          <w:sz w:val="16"/>
          <w:szCs w:val="16"/>
        </w:rPr>
        <w:t>1 (14) января 1917 в оккупированной немцами русской части Польши, преобразованной немцами в «Королевство Польское», было создано временное польское правительство — так называемый Временный государственный совет. Он состоял из назначенных немцами и австрийцами 15 министров. Крон-маршалом (по аналогии с титулом высших должностных лиц при королевском дворе Речи Посполитой — «маршалек») стал польский магнат Вацлав Немировский. Военную комиссию возглавили представитель древнейшего польского дворянского рода Францишек Радзивилл и будущий правитель Польши Юзеф Пилсудский. С апреля 1917 года временное польское правительство получило значительные полномочия в сферах образования, судов и пропаганды (17045).</w:t>
      </w:r>
    </w:p>
    <w:p w14:paraId="4DF61B42" w14:textId="77777777" w:rsidR="00F41AC8" w:rsidRPr="002F2FDF" w:rsidRDefault="00F41AC8"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80847F" w14:textId="77777777" w:rsidR="003431D2" w:rsidRPr="002F2FDF" w:rsidRDefault="00CC1BE3"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E67F96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D84C52" w14:textId="419F7CCD"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(15-17) января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согласно показания Смысловского в предвоенные годы Тульский завод выпускал около 1000 пулеметов, и увеличение его годовой производительности не ставилось целью, так как для этого потребовалось бы на какое-то время нанять дополнительный контингент рабочих, но потом пришлось бы их “выбросить на улицу”. В конечном счете “к моменту начала войны с Германией... пулеметов не хватало... так как снабжение армии пулеметами надлежало по программе закончить в январе 1915</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(РГВИА. Ф. 1. Оп. 1. Д. 74544. Л. 5об.); (РГВИА. Ф.</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962. Оп.</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2. Д.</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137. Л.</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8, 11об.). “О насаждении в России нового пулеметного завода, — по мнению Смысловского, — нечего было и думать, так как производство их крайне сложно, почему на его установление потребовались бы годы”</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(РГВИА. Ф.</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962. Оп.</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2. Д.</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137. Л.</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193. Записка Смысловского о покупке и заказе винтовок за границей, 30 сентября 1915</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В конце 1914 — начале 1915</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армия уже ощутила “пулеметный голод”, который преодолевался заказами в Англии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(РГВИА. Ф.</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962. Оп.</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2. Д.</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137. Л.</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16. Показания Смысловского, 3—4 января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(11329).</w:t>
      </w:r>
    </w:p>
    <w:p w14:paraId="65F4C67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B61D76" w14:textId="77777777" w:rsidR="00CD089F" w:rsidRPr="002F2FDF" w:rsidRDefault="00CD089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094F6E1" w14:textId="77777777" w:rsidR="00CD089F" w:rsidRPr="002F2FDF" w:rsidRDefault="00CD089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95A764" w14:textId="77777777" w:rsidR="00CD089F" w:rsidRPr="002F2FDF" w:rsidRDefault="00CD08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(15) января 1917 первый полет Siemens-Schuckert R.VII (20341).</w:t>
      </w:r>
    </w:p>
    <w:p w14:paraId="304376D4" w14:textId="77777777" w:rsidR="00CD089F" w:rsidRPr="002F2FDF" w:rsidRDefault="00CD089F" w:rsidP="0083075A">
      <w:pPr>
        <w:spacing w:after="0" w:line="240" w:lineRule="auto"/>
        <w:jc w:val="both"/>
        <w:rPr>
          <w:rFonts w:ascii="Times New Roman" w:hAnsi="Times New Roman" w:cs="Times New Roman"/>
          <w:color w:val="000000" w:themeColor="text1"/>
          <w:sz w:val="16"/>
          <w:szCs w:val="16"/>
        </w:rPr>
      </w:pPr>
    </w:p>
    <w:p w14:paraId="7A6DE96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59F83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7E4433" w14:textId="190EFAFA"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w:t>
      </w:r>
      <w:r w:rsidR="00E44BC9" w:rsidRPr="002F2FDF">
        <w:rPr>
          <w:rFonts w:ascii="Times New Roman" w:hAnsi="Times New Roman" w:cs="Times New Roman"/>
          <w:color w:val="000000" w:themeColor="text1"/>
          <w:kern w:val="2"/>
          <w:sz w:val="16"/>
          <w:szCs w:val="16"/>
        </w:rPr>
        <w:t>6</w:t>
      </w:r>
      <w:r w:rsidRPr="002F2FDF">
        <w:rPr>
          <w:rFonts w:ascii="Times New Roman" w:hAnsi="Times New Roman" w:cs="Times New Roman"/>
          <w:color w:val="000000" w:themeColor="text1"/>
          <w:kern w:val="2"/>
          <w:sz w:val="16"/>
          <w:szCs w:val="16"/>
        </w:rPr>
        <w:t>) января 1917 г. Начальник Управления военного воздушного флота (УВВФ) генерал Пневский санкционировал внесение 14 пунктов усовершенствований в кон</w:t>
      </w:r>
      <w:r w:rsidRPr="002F2FDF">
        <w:rPr>
          <w:rFonts w:ascii="Times New Roman" w:hAnsi="Times New Roman" w:cs="Times New Roman"/>
          <w:color w:val="000000" w:themeColor="text1"/>
          <w:kern w:val="2"/>
          <w:sz w:val="16"/>
          <w:szCs w:val="16"/>
        </w:rPr>
        <w:softHyphen/>
        <w:t>струкцию “Фарманов XVI”, подлежавших изготовлению на заводе в Карасубазаре (11124).</w:t>
      </w:r>
    </w:p>
    <w:p w14:paraId="0E0B16B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73618A" w14:textId="77777777" w:rsidR="00C06026" w:rsidRPr="002F2FDF" w:rsidRDefault="00C06026" w:rsidP="0083075A">
      <w:pPr>
        <w:pStyle w:val="2"/>
        <w:spacing w:before="0" w:beforeAutospacing="0" w:after="0" w:afterAutospacing="0"/>
        <w:jc w:val="both"/>
        <w:rPr>
          <w:b w:val="0"/>
          <w:iCs/>
          <w:color w:val="000000" w:themeColor="text1"/>
          <w:kern w:val="2"/>
          <w:sz w:val="16"/>
          <w:szCs w:val="16"/>
        </w:rPr>
      </w:pPr>
      <w:r w:rsidRPr="002F2FDF">
        <w:rPr>
          <w:b w:val="0"/>
          <w:iCs/>
          <w:color w:val="000000" w:themeColor="text1"/>
          <w:kern w:val="2"/>
          <w:sz w:val="16"/>
          <w:szCs w:val="16"/>
        </w:rPr>
        <w:t>3 (16) января 1917 г. близкая к эсдекам ново-николаевская газета “Голос Сибири” в разделе “Хроника” опубликовала сообщение: “Местный военно-промышленный комитет в настоящее время озабочен подысканием лица, сведущего в авиации, для производства осмотра летательного аппарата, который строится в Н.-Николаевске”. В городе такого лица не оказалось, и комитет обратился в Томский технологический институт, откуда получился ответ: “в Томском технологическом институте не находится в настоящее время лица, сведущего в вопросах авиации” (15466).</w:t>
      </w:r>
    </w:p>
    <w:p w14:paraId="1771DD07" w14:textId="77777777" w:rsidR="00C06026" w:rsidRPr="002F2FDF" w:rsidRDefault="00C06026" w:rsidP="0083075A">
      <w:pPr>
        <w:pStyle w:val="2"/>
        <w:spacing w:before="0" w:beforeAutospacing="0" w:after="0" w:afterAutospacing="0"/>
        <w:jc w:val="both"/>
        <w:rPr>
          <w:b w:val="0"/>
          <w:iCs/>
          <w:color w:val="000000" w:themeColor="text1"/>
          <w:kern w:val="2"/>
          <w:sz w:val="16"/>
          <w:szCs w:val="16"/>
        </w:rPr>
      </w:pPr>
    </w:p>
    <w:p w14:paraId="0D8D3022" w14:textId="77777777" w:rsidR="00047A9F" w:rsidRPr="002F2FDF" w:rsidRDefault="00047A9F" w:rsidP="0083075A">
      <w:pPr>
        <w:spacing w:after="0" w:line="240" w:lineRule="auto"/>
        <w:jc w:val="both"/>
        <w:rPr>
          <w:rFonts w:ascii="Times New Roman" w:hAnsi="Times New Roman" w:cs="Times New Roman"/>
          <w:color w:val="0070C0"/>
          <w:sz w:val="16"/>
          <w:szCs w:val="16"/>
        </w:rPr>
      </w:pPr>
      <w:r w:rsidRPr="002F2FDF">
        <w:rPr>
          <w:rFonts w:ascii="Times New Roman" w:hAnsi="Times New Roman" w:cs="Times New Roman"/>
          <w:color w:val="0070C0"/>
          <w:sz w:val="16"/>
          <w:szCs w:val="16"/>
        </w:rPr>
        <w:t>3 (16) января 1917 г. Технический комитет УВВО рассмотрел прибор П.П.Шиловского под названием «Ортоокоп», предназначенный для выдерживания прямо линейного полета вне видимости каких-либо ориентиров. Прибор состоит из гироскопа с горизонтальной осью вращения и циферблата со стрелкой. Прибор действовал от аккумуляторной батареи. Было при</w:t>
      </w:r>
      <w:r w:rsidRPr="002F2FDF">
        <w:rPr>
          <w:rFonts w:ascii="Times New Roman" w:hAnsi="Times New Roman" w:cs="Times New Roman"/>
          <w:color w:val="0070C0"/>
          <w:sz w:val="16"/>
          <w:szCs w:val="16"/>
        </w:rPr>
        <w:softHyphen/>
        <w:t>звано желательным заказать с целью опыта 10 экземпляров. При испытаниях в полете прибор не показал своих преимуществ перед компа</w:t>
      </w:r>
      <w:r w:rsidRPr="002F2FDF">
        <w:rPr>
          <w:rFonts w:ascii="Times New Roman" w:hAnsi="Times New Roman" w:cs="Times New Roman"/>
          <w:color w:val="0070C0"/>
          <w:sz w:val="16"/>
          <w:szCs w:val="16"/>
        </w:rPr>
        <w:softHyphen/>
        <w:t>сом, вследствие чего опыты с ним были оставлены.</w:t>
      </w:r>
    </w:p>
    <w:p w14:paraId="7C7C481D" w14:textId="77777777" w:rsidR="00047A9F" w:rsidRPr="002F2FDF" w:rsidRDefault="00047A9F" w:rsidP="0083075A">
      <w:pPr>
        <w:spacing w:after="0" w:line="240" w:lineRule="auto"/>
        <w:jc w:val="both"/>
        <w:rPr>
          <w:rFonts w:ascii="Times New Roman" w:hAnsi="Times New Roman" w:cs="Times New Roman"/>
          <w:color w:val="0070C0"/>
          <w:sz w:val="16"/>
          <w:szCs w:val="16"/>
        </w:rPr>
      </w:pPr>
      <w:r w:rsidRPr="002F2FDF">
        <w:rPr>
          <w:rFonts w:ascii="Times New Roman" w:hAnsi="Times New Roman" w:cs="Times New Roman"/>
          <w:color w:val="0070C0"/>
          <w:sz w:val="16"/>
          <w:szCs w:val="16"/>
        </w:rPr>
        <w:t>/ЦГВИА, ф. 493, оп. 10, д. 110, л. 7/ (23320).</w:t>
      </w:r>
    </w:p>
    <w:p w14:paraId="3041E805" w14:textId="77777777" w:rsidR="00047A9F" w:rsidRPr="002F2FDF" w:rsidRDefault="00047A9F"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6390C9E" w14:textId="3E828555" w:rsidR="00C06026"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5A5D048" w14:textId="77777777" w:rsidR="00C06026" w:rsidRPr="002F2FDF" w:rsidRDefault="00C0602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70358D" w14:textId="61975067" w:rsidR="00393BC3" w:rsidRPr="00FB4F67" w:rsidRDefault="00393BC3"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 (</w:t>
      </w:r>
      <w:r w:rsidRPr="00FB4F67">
        <w:rPr>
          <w:rFonts w:ascii="Times New Roman" w:hAnsi="Times New Roman" w:cs="Times New Roman"/>
          <w:color w:val="0070C0"/>
          <w:sz w:val="16"/>
          <w:szCs w:val="16"/>
        </w:rPr>
        <w:t>16</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царь снял с поста военного министра генерала А. А. Поливанова и заменил его генералом Д. С. Шуваевым. Французы и англичане сочли это очень неразумным шагом, так как очень уважали Поливанова, но императрица ненавидела его (23525).</w:t>
      </w:r>
    </w:p>
    <w:p w14:paraId="7BC33A43" w14:textId="77777777" w:rsidR="00393BC3" w:rsidRPr="00FB4F67" w:rsidRDefault="00393BC3" w:rsidP="0083075A">
      <w:pPr>
        <w:spacing w:after="0" w:line="240" w:lineRule="auto"/>
        <w:jc w:val="both"/>
        <w:rPr>
          <w:rFonts w:ascii="Times New Roman" w:hAnsi="Times New Roman" w:cs="Times New Roman"/>
          <w:color w:val="0070C0"/>
          <w:sz w:val="16"/>
          <w:szCs w:val="16"/>
        </w:rPr>
      </w:pPr>
    </w:p>
    <w:p w14:paraId="0B9F0697" w14:textId="7DE95139" w:rsidR="00393BC3" w:rsidRPr="00FB4F67" w:rsidRDefault="00393BC3"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 (</w:t>
      </w:r>
      <w:r w:rsidRPr="00FB4F67">
        <w:rPr>
          <w:rFonts w:ascii="Times New Roman" w:hAnsi="Times New Roman" w:cs="Times New Roman"/>
          <w:color w:val="0070C0"/>
          <w:sz w:val="16"/>
          <w:szCs w:val="16"/>
        </w:rPr>
        <w:t>16</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Войсковой Старшины инспектор авиации Юго-Западного фронта В. М. Ткачев предложил приказать сформировать три КАО взамен тех, которые формировались в истребительные части. АВИАКАНТЫ Капитан 2-го ранга Эллис предложил осуществить это на Западном фронте и использовать 5-й, 6-й и 7-й Сибирские КАО для замены 1-го КАО, 11-го КАО и 22-го КАО, которые образовали бы новый 2-й БАГ на этом фронте.</w:t>
      </w:r>
    </w:p>
    <w:p w14:paraId="6ECC9835" w14:textId="77777777" w:rsidR="00393BC3" w:rsidRPr="00FB4F67" w:rsidRDefault="00393BC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Где-то в начале 1917 года штабс-капитан В.И. Толмачев разработал коллиматорный прицел для авиационных пулеметов. Это был небольшой телескоп с перекрестием в качестве фокуса, прикрепленный к другому телескопу для регулировки линии визирования (23525).</w:t>
      </w:r>
    </w:p>
    <w:p w14:paraId="39F822CA" w14:textId="77777777" w:rsidR="00393BC3" w:rsidRPr="00FB4F67" w:rsidRDefault="00393BC3" w:rsidP="0083075A">
      <w:pPr>
        <w:spacing w:after="0" w:line="240" w:lineRule="auto"/>
        <w:jc w:val="both"/>
        <w:rPr>
          <w:rFonts w:ascii="Times New Roman" w:hAnsi="Times New Roman" w:cs="Times New Roman"/>
          <w:color w:val="0070C0"/>
          <w:sz w:val="16"/>
          <w:szCs w:val="16"/>
        </w:rPr>
      </w:pPr>
    </w:p>
    <w:p w14:paraId="7BAAC22E" w14:textId="0AEF4AA3" w:rsidR="001569C2" w:rsidRPr="002F2FDF" w:rsidRDefault="001569C2" w:rsidP="0083075A">
      <w:pPr>
        <w:spacing w:after="0" w:line="240" w:lineRule="auto"/>
        <w:jc w:val="both"/>
        <w:rPr>
          <w:rFonts w:ascii="Times New Roman" w:hAnsi="Times New Roman" w:cs="Times New Roman"/>
          <w:color w:val="0070C0"/>
          <w:sz w:val="16"/>
          <w:szCs w:val="16"/>
        </w:rPr>
      </w:pPr>
      <w:r w:rsidRPr="002F2FDF">
        <w:rPr>
          <w:rFonts w:ascii="Times New Roman" w:hAnsi="Times New Roman" w:cs="Times New Roman"/>
          <w:color w:val="0070C0"/>
          <w:sz w:val="16"/>
          <w:szCs w:val="16"/>
        </w:rPr>
        <w:t>3 (1</w:t>
      </w:r>
      <w:r w:rsidR="00047A9F" w:rsidRPr="002F2FDF">
        <w:rPr>
          <w:rFonts w:ascii="Times New Roman" w:hAnsi="Times New Roman" w:cs="Times New Roman"/>
          <w:color w:val="0070C0"/>
          <w:sz w:val="16"/>
          <w:szCs w:val="16"/>
        </w:rPr>
        <w:t>6</w:t>
      </w:r>
      <w:r w:rsidRPr="002F2FDF">
        <w:rPr>
          <w:rFonts w:ascii="Times New Roman" w:hAnsi="Times New Roman" w:cs="Times New Roman"/>
          <w:color w:val="0070C0"/>
          <w:sz w:val="16"/>
          <w:szCs w:val="16"/>
        </w:rPr>
        <w:t>) января 1917 г. приказом Полевого генерал-инспектора Р 193 началось Формирование в добавление к имевшимся 50 корпусным авиационным радиоотделениям и 20 приемным радиостанциям для корректирования стрельбы артиллерии еще 15 армейских, 29 корпусных и 4 бомбометных - радиоотделений и 296 приемных радиостанций.</w:t>
      </w:r>
    </w:p>
    <w:p w14:paraId="60E8467C" w14:textId="77777777" w:rsidR="001569C2" w:rsidRPr="002F2FDF" w:rsidRDefault="001569C2" w:rsidP="0083075A">
      <w:pPr>
        <w:spacing w:after="0" w:line="240" w:lineRule="auto"/>
        <w:jc w:val="both"/>
        <w:rPr>
          <w:rFonts w:ascii="Times New Roman" w:hAnsi="Times New Roman" w:cs="Times New Roman"/>
          <w:color w:val="0070C0"/>
          <w:sz w:val="16"/>
          <w:szCs w:val="16"/>
        </w:rPr>
      </w:pPr>
      <w:r w:rsidRPr="002F2FDF">
        <w:rPr>
          <w:rFonts w:ascii="Times New Roman" w:hAnsi="Times New Roman" w:cs="Times New Roman"/>
          <w:color w:val="0070C0"/>
          <w:sz w:val="16"/>
          <w:szCs w:val="16"/>
        </w:rPr>
        <w:t>/справка Авиаканца о состоянии BBФ на 1.3.17/ (23320).</w:t>
      </w:r>
    </w:p>
    <w:p w14:paraId="49E4F2EA" w14:textId="77777777" w:rsidR="001569C2" w:rsidRPr="002F2FDF" w:rsidRDefault="001569C2" w:rsidP="0083075A">
      <w:pPr>
        <w:spacing w:after="0" w:line="240" w:lineRule="auto"/>
        <w:jc w:val="both"/>
        <w:rPr>
          <w:rFonts w:ascii="Times New Roman" w:hAnsi="Times New Roman" w:cs="Times New Roman"/>
          <w:color w:val="0070C0"/>
          <w:sz w:val="16"/>
          <w:szCs w:val="16"/>
        </w:rPr>
      </w:pPr>
    </w:p>
    <w:p w14:paraId="55342D8D"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 (16) января</w:t>
      </w:r>
      <w:r w:rsidRPr="002F2FDF">
        <w:rPr>
          <w:rFonts w:ascii="Times New Roman" w:hAnsi="Times New Roman" w:cs="Times New Roman"/>
          <w:color w:val="000000" w:themeColor="text1"/>
          <w:kern w:val="2"/>
          <w:sz w:val="16"/>
          <w:szCs w:val="16"/>
        </w:rPr>
        <w:t xml:space="preserve"> в 1917 году немцами проведена газовая атака (хлор) позиций 3-й русской бригады во Франции. 1980 человек выведены из строя, в том числе: 250 погибли, 384 получили отравления, 438 пропали без вести (14998).</w:t>
      </w:r>
    </w:p>
    <w:p w14:paraId="4DC45A6E" w14:textId="77777777" w:rsidR="00C06026" w:rsidRPr="002F2FDF" w:rsidRDefault="00C06026" w:rsidP="0083075A">
      <w:pPr>
        <w:spacing w:after="0" w:line="240" w:lineRule="auto"/>
        <w:jc w:val="both"/>
        <w:rPr>
          <w:rFonts w:ascii="Times New Roman" w:hAnsi="Times New Roman" w:cs="Times New Roman"/>
          <w:color w:val="000000" w:themeColor="text1"/>
          <w:kern w:val="2"/>
          <w:sz w:val="16"/>
          <w:szCs w:val="16"/>
        </w:rPr>
      </w:pPr>
    </w:p>
    <w:p w14:paraId="00CE107F" w14:textId="481AF726"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C5B86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D55D78" w14:textId="3C0C6156" w:rsidR="00E64DCB" w:rsidRPr="002F2FDF" w:rsidRDefault="00E64DC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 (1</w:t>
      </w:r>
      <w:r w:rsidR="00207363">
        <w:rPr>
          <w:rFonts w:ascii="Times New Roman" w:hAnsi="Times New Roman" w:cs="Times New Roman"/>
          <w:color w:val="000000" w:themeColor="text1"/>
          <w:sz w:val="16"/>
          <w:szCs w:val="16"/>
        </w:rPr>
        <w:t>6</w:t>
      </w:r>
      <w:r w:rsidRPr="002F2FDF">
        <w:rPr>
          <w:rFonts w:ascii="Times New Roman" w:hAnsi="Times New Roman" w:cs="Times New Roman"/>
          <w:color w:val="000000" w:themeColor="text1"/>
          <w:sz w:val="16"/>
          <w:szCs w:val="16"/>
        </w:rPr>
        <w:t>) января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Первая пробежка (подлет) первого в мире серийного цельнометаллического самолёта Junkers J.1 (J 4), пилот Arved von Schmidt. Юнкерс J 4, представлявший собой цельнометаллический свободнонесущий полутораплан, совершил первый испытательный полет. Он был оснащен рядным двигателем Бенц Bz.IV (200 л. с). Передняя часть фюзеляжа, включая кабину, представляла собой бронекоробку, склепанную из 5-6-миллиметровых стальных листов. Каркас задней части фюзеляжа и крыльев составляли ферменные конструкции из дюралевых труб. Обшивка крыльев и оперения - гофрированный дюраль, а задней части фюзеляжа - полотно.</w:t>
      </w:r>
    </w:p>
    <w:p w14:paraId="6949B757" w14:textId="77777777" w:rsidR="00E64DCB" w:rsidRPr="002F2FDF" w:rsidRDefault="00E64DC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Несмотря на все усилия, вес самолета все-таки был слишком большим - он достигал 2140 кг. Кроме того, машина обладала низкой маневренностью и скороподъемностью, а также плохими взлетно-посадочными характеристиками. Вооружение состояло из двух или трех 7,92-мм пулеметов "Парабеллум". Курсовой пулемет устанавливался на капоте двигателя, а один или два турельных - в кабине стрелка-наблюдателя. Первоначально планировалось разместить в кабине стрелка и неподвижную стрелковую установку, предназначенную для стрельбы вниз под углом. Но от этой идеи пришлось отказаться, так как войсковые испытания показали, что из-за невозможности вести прицельный огонь ее эффективность была крайне низкой.</w:t>
      </w:r>
    </w:p>
    <w:p w14:paraId="296F7958" w14:textId="6882497A" w:rsidR="00E64DCB" w:rsidRPr="002F2FDF" w:rsidRDefault="00E64DC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начале марта 1918 г. самолеты Юнкерс J 4 стали поступать на западный фронт (22655).</w:t>
      </w:r>
    </w:p>
    <w:p w14:paraId="348EFA03" w14:textId="77777777" w:rsidR="00E64DCB" w:rsidRPr="002F2FDF" w:rsidRDefault="00E64DCB" w:rsidP="0083075A">
      <w:pPr>
        <w:spacing w:after="0" w:line="240" w:lineRule="auto"/>
        <w:jc w:val="both"/>
        <w:rPr>
          <w:rFonts w:ascii="Times New Roman" w:hAnsi="Times New Roman" w:cs="Times New Roman"/>
          <w:color w:val="000000" w:themeColor="text1"/>
          <w:sz w:val="16"/>
          <w:szCs w:val="16"/>
        </w:rPr>
      </w:pPr>
    </w:p>
    <w:p w14:paraId="5E3601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января 1917 Греция приняла ультиматум союзных войск с требованием вывести войска из Фессалии (3907,89).</w:t>
      </w:r>
    </w:p>
    <w:p w14:paraId="58D6ED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6B4AD2" w14:textId="77777777" w:rsidR="00F41AC8" w:rsidRPr="002F2FDF" w:rsidRDefault="00F41AC8" w:rsidP="0083075A">
      <w:pPr>
        <w:pStyle w:val="ae"/>
        <w:spacing w:before="0" w:after="0"/>
        <w:jc w:val="both"/>
        <w:rPr>
          <w:color w:val="000000" w:themeColor="text1"/>
          <w:kern w:val="2"/>
          <w:sz w:val="16"/>
          <w:szCs w:val="16"/>
        </w:rPr>
      </w:pPr>
      <w:r w:rsidRPr="002F2FDF">
        <w:rPr>
          <w:color w:val="000000" w:themeColor="text1"/>
          <w:kern w:val="2"/>
          <w:sz w:val="16"/>
          <w:szCs w:val="16"/>
        </w:rPr>
        <w:t>3 (16) января 1917 германский министр иностранных дел Артур Циммерман отправил германскому послу в Мексике Генриху Экхарду шифрованную телеграмму следующего содержания: «Мы [Германия] намерены начать с 1 февраля беспощадную подводную войну. Несмотря ни на что, мы попытаемся удержать США в состоянии нейтралитета. Однако в случае неуспеха мы предложим Мексике: вместе вести войну и сообща заключить мир. С нашей стороны мы окажем Мексике финансовую помощь и заверим, что по окончании войны она получит обратно утраченные ею территории Техаса, Новой Мексики и Аризоны. Мы поручаем вам выработать детали этого соглашения. Вы немедленно и совершенно секретно предупредите президента [Мексики] Каррансу, как только объявление войны между нами и США станет совершившимся фактом. Добавьте, что президент Мексики может по своей инициативе сообщить японскому послу, что Японии было бы очень выгодно немедленно присоединиться к нашему союзу. Обратите внимание президента на тот факт, что мы впредь в полной мере используем наши подводные силы, что заставит Англию подписать мир в ближайшие месяцы».</w:t>
      </w:r>
    </w:p>
    <w:p w14:paraId="572227FD" w14:textId="77777777" w:rsidR="00F41AC8" w:rsidRPr="002F2FDF" w:rsidRDefault="00F41AC8" w:rsidP="0083075A">
      <w:pPr>
        <w:pStyle w:val="ae"/>
        <w:spacing w:before="0" w:after="0"/>
        <w:jc w:val="both"/>
        <w:rPr>
          <w:color w:val="000000" w:themeColor="text1"/>
          <w:kern w:val="2"/>
          <w:sz w:val="16"/>
          <w:szCs w:val="16"/>
        </w:rPr>
      </w:pPr>
      <w:r w:rsidRPr="002F2FDF">
        <w:rPr>
          <w:color w:val="000000" w:themeColor="text1"/>
          <w:kern w:val="2"/>
          <w:sz w:val="16"/>
          <w:szCs w:val="16"/>
        </w:rPr>
        <w:t>Под «беспощадной подводной войной» подразумевалось возобновление Германией так называемой «неограниченной подводной войны», когда подводные лодки без предупреждения топят все показавшиеся им подозрительными гражданские торговые суда, без оглядки на требования Гаагских и Женевских конвенций. В таких условиях торговля США с европейскими государствами стала бы невозможной, что действительно поставило бы, в первую очередь, Великобританию, а также Францию и Россию в очень трудное положение, поскольку эти страны закупали в Америке огромные объемы стратегического сырья, техники и вооружений. Несмотря на то, что телеграмма была направлена по закрытому дипломатическому каналу, британцам удалось перехватить ее в шифрованном виде. Позже, после того, как англичане дешифровали послание, его текст был передан представителям США, что стало официальным поводом для объявления этой страной войны Германии (17045).</w:t>
      </w:r>
    </w:p>
    <w:p w14:paraId="5464FC9C" w14:textId="77777777" w:rsidR="00F41AC8" w:rsidRPr="002F2FDF" w:rsidRDefault="00F41AC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3BD57F" w14:textId="77777777" w:rsidR="00CE4A00" w:rsidRPr="002F2FDF" w:rsidRDefault="00CE4A00" w:rsidP="0083075A">
      <w:pPr>
        <w:pStyle w:val="ae"/>
        <w:spacing w:before="0" w:after="0"/>
        <w:jc w:val="both"/>
        <w:rPr>
          <w:color w:val="000000" w:themeColor="text1"/>
          <w:kern w:val="2"/>
          <w:sz w:val="16"/>
          <w:szCs w:val="16"/>
        </w:rPr>
      </w:pPr>
      <w:r w:rsidRPr="002F2FDF">
        <w:rPr>
          <w:color w:val="000000" w:themeColor="text1"/>
          <w:kern w:val="2"/>
          <w:sz w:val="16"/>
          <w:szCs w:val="16"/>
        </w:rPr>
        <w:t>С 3 (16) по 9 (22) января 1917 германские подводные лодки потопили в Атлантическом океане (в основном у побережья Португалии и в Бискайском заливе) и в Средиземном море в общей сложности 48 торговых судов стран Антанты и нейтральных государств (17045).</w:t>
      </w:r>
    </w:p>
    <w:p w14:paraId="2F7A4766" w14:textId="77777777" w:rsidR="00CE4A00" w:rsidRPr="002F2FDF" w:rsidRDefault="00CE4A0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11DAD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5061C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8856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 </w:t>
      </w:r>
      <w:r w:rsidR="00E44BC9" w:rsidRPr="002F2FDF">
        <w:rPr>
          <w:rFonts w:ascii="Times New Roman" w:hAnsi="Times New Roman" w:cs="Times New Roman"/>
          <w:color w:val="000000" w:themeColor="text1"/>
          <w:kern w:val="2"/>
          <w:sz w:val="16"/>
          <w:szCs w:val="16"/>
        </w:rPr>
        <w:t xml:space="preserve">(17) </w:t>
      </w:r>
      <w:r w:rsidRPr="002F2FDF">
        <w:rPr>
          <w:rFonts w:ascii="Times New Roman" w:hAnsi="Times New Roman" w:cs="Times New Roman"/>
          <w:color w:val="000000" w:themeColor="text1"/>
          <w:kern w:val="2"/>
          <w:sz w:val="16"/>
          <w:szCs w:val="16"/>
        </w:rPr>
        <w:t>января 1917 года на ватмане с чертежами нового ИМ появилась высочайшая резолюция. Представив проект Императору, Сикорский сказал: "С ним мы выиграем войну". Скорострельная пушка и три крупнокалиберных пулемёта с боекомплектом, безоткатные орудия и полуавтоматические 37мм пушки, так же с боекомплектом, к тому же, каждая требовала своего заряжающего (в обязанности заряжающего 37мм полуавтомата входил взвод тяжёлой пружины на десять оборотов(за счёт отдачи автоматически происходил только выброс гильзы, досылка снаряда производилась механически) и смена десятизарядных "рожков" разных типов), что довело численность экипажа до 12 человек, система кассетного бомбометания и броня переутяжелили самолёт. Дальнейшая модернизация была просто невозможна.Несмотря на это, все воюющие стороны старались создать копию "ИМ". Англичанам и французам Правительством Российской Империи и Сикорским была продана лицензия на производство аналогичного самолёта вместе с чертежами. Немцы пытались скопировать и создать свой собственный бомбардировщик по обломкам сбитых русских машин на территории противника. И, хотя и английские, и французские, и немецкие машины, несколько превосходя "Муромца" в скорости, уступали ему по вооружению, бомбовой нагрузке, дальности, живучести - Сикорский решил построить новый самолёт "Александр Невский". Это был четырёхмоторный (надёжность этой схемы была доказана на ИМ - бомбардировщики возвращались с одним, а то и с двумя, раскуроченными 13мм пулями двигателями) биплан, 80% материалов конструкции которого составляли броневая сталь и дюралюминий. Двигатели имели скоростной шаг винта, что по расчётам позволило бы новому самолёту достичь скорости 230-250км/ч; для того, чтобы скоростной шаг винта не сильно увеличивало разбег, нижняя пара крыльев имела 12% угол атаки. Девятитонный самолёт не имел гофрированных поверхностей, нёс оборонительные пулемёты калибром 12,7 и 15,3мм, две автоматические курсовые 25мм пушки, комбинацию 37мм полуавтоматов и 76,2мм ДРП, десять ракет и 18 100кг, или 32 50кг, или четыре 500кг, или 3 650кг бомбы. Но судьба "Александра Невского" - взлететь в небо только один раз, для испытания соответствия скорости рассчётным характеристикам, при загрузке в 1,5 тонны, эквивалентной массе пушечно-пулемётного и ракетно-бомбового вооружения. Последний полёт последнего русского богатыря... (11237).</w:t>
      </w:r>
    </w:p>
    <w:p w14:paraId="676941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E4D006" w14:textId="44002E1A" w:rsidR="00BA3275" w:rsidRPr="00FB4F67" w:rsidRDefault="00BA327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4 </w:t>
      </w:r>
      <w:r>
        <w:rPr>
          <w:rFonts w:ascii="Times New Roman" w:hAnsi="Times New Roman" w:cs="Times New Roman"/>
          <w:color w:val="0070C0"/>
          <w:sz w:val="16"/>
          <w:szCs w:val="16"/>
        </w:rPr>
        <w:t xml:space="preserve">(17) </w:t>
      </w:r>
      <w:r w:rsidRPr="00FB4F67">
        <w:rPr>
          <w:rFonts w:ascii="Times New Roman" w:hAnsi="Times New Roman" w:cs="Times New Roman"/>
          <w:color w:val="0070C0"/>
          <w:sz w:val="16"/>
          <w:szCs w:val="16"/>
        </w:rPr>
        <w:t>января 1917 г. был оконча</w:t>
      </w:r>
      <w:r w:rsidRPr="00FB4F67">
        <w:rPr>
          <w:rFonts w:ascii="Times New Roman" w:hAnsi="Times New Roman" w:cs="Times New Roman"/>
          <w:color w:val="0070C0"/>
          <w:sz w:val="16"/>
          <w:szCs w:val="16"/>
        </w:rPr>
        <w:softHyphen/>
        <w:t>тельно оформлен контракт на поставку всей партии доработанных С-16 в 15 экземпляров. На деле поставка, по причине отсутствия двигате</w:t>
      </w:r>
      <w:r w:rsidRPr="00FB4F67">
        <w:rPr>
          <w:rFonts w:ascii="Times New Roman" w:hAnsi="Times New Roman" w:cs="Times New Roman"/>
          <w:color w:val="0070C0"/>
          <w:sz w:val="16"/>
          <w:szCs w:val="16"/>
        </w:rPr>
        <w:softHyphen/>
        <w:t>лей, затянулась до осени и в связи с на</w:t>
      </w:r>
      <w:r w:rsidRPr="00FB4F67">
        <w:rPr>
          <w:rFonts w:ascii="Times New Roman" w:hAnsi="Times New Roman" w:cs="Times New Roman"/>
          <w:color w:val="0070C0"/>
          <w:sz w:val="16"/>
          <w:szCs w:val="16"/>
        </w:rPr>
        <w:softHyphen/>
        <w:t>чавшимися революционными беспорядка ми, казалась бесперспективной. Лишь в мае 1919 г. два С-16з поступили в Мос</w:t>
      </w:r>
      <w:r w:rsidRPr="00FB4F67">
        <w:rPr>
          <w:rFonts w:ascii="Times New Roman" w:hAnsi="Times New Roman" w:cs="Times New Roman"/>
          <w:color w:val="0070C0"/>
          <w:sz w:val="16"/>
          <w:szCs w:val="16"/>
        </w:rPr>
        <w:softHyphen/>
        <w:t>ковскую школу авиации и еще пять (три в 1919 г. и два в 1920 г.) в Дивизион Воз</w:t>
      </w:r>
      <w:r w:rsidRPr="00FB4F67">
        <w:rPr>
          <w:rFonts w:ascii="Times New Roman" w:hAnsi="Times New Roman" w:cs="Times New Roman"/>
          <w:color w:val="0070C0"/>
          <w:sz w:val="16"/>
          <w:szCs w:val="16"/>
        </w:rPr>
        <w:softHyphen/>
        <w:t>душных Кораблей в Сарапуле. В Дивизио</w:t>
      </w:r>
      <w:r w:rsidRPr="00FB4F67">
        <w:rPr>
          <w:rFonts w:ascii="Times New Roman" w:hAnsi="Times New Roman" w:cs="Times New Roman"/>
          <w:color w:val="0070C0"/>
          <w:sz w:val="16"/>
          <w:szCs w:val="16"/>
        </w:rPr>
        <w:softHyphen/>
        <w:t>не самолеты использовались как учебные до 1922 г. (23374).</w:t>
      </w:r>
    </w:p>
    <w:p w14:paraId="220D5FAE" w14:textId="77777777" w:rsidR="00BA3275" w:rsidRPr="00FB4F67" w:rsidRDefault="00BA3275" w:rsidP="0083075A">
      <w:pPr>
        <w:spacing w:after="0" w:line="240" w:lineRule="auto"/>
        <w:jc w:val="both"/>
        <w:rPr>
          <w:rFonts w:ascii="Times New Roman" w:hAnsi="Times New Roman" w:cs="Times New Roman"/>
          <w:color w:val="0070C0"/>
          <w:sz w:val="16"/>
          <w:szCs w:val="16"/>
        </w:rPr>
      </w:pPr>
    </w:p>
    <w:p w14:paraId="4BF2361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612E9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A4F8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января 1917 Управление Полевого г-и авиации одобрило "Материалы по тактике воздушного боя", подготовленные осенью 1916, и их рекомендовали как "первое пособие по тактике боя в воздухе" (3613).</w:t>
      </w:r>
    </w:p>
    <w:p w14:paraId="59DC14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1D229E" w14:textId="516C8CE2"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января 1917 Управление Полевого генерал-инспектора авиа</w:t>
      </w:r>
      <w:r w:rsidRPr="002F2FDF">
        <w:rPr>
          <w:rFonts w:ascii="Times New Roman" w:hAnsi="Times New Roman" w:cs="Times New Roman"/>
          <w:color w:val="000000" w:themeColor="text1"/>
          <w:kern w:val="2"/>
          <w:sz w:val="16"/>
          <w:szCs w:val="16"/>
        </w:rPr>
        <w:softHyphen/>
        <w:t>ции одобрило "Материалы по тактике воздушного боя", разрабо</w:t>
      </w:r>
      <w:r w:rsidRPr="002F2FDF">
        <w:rPr>
          <w:rFonts w:ascii="Times New Roman" w:hAnsi="Times New Roman" w:cs="Times New Roman"/>
          <w:color w:val="000000" w:themeColor="text1"/>
          <w:kern w:val="2"/>
          <w:sz w:val="16"/>
          <w:szCs w:val="16"/>
        </w:rPr>
        <w:softHyphen/>
        <w:t>танные сотником В.М.Ткачевым на основе практики воздушных боев в Луцком районе осенью 1916 года. "Материалы" рекомен</w:t>
      </w:r>
      <w:r w:rsidRPr="002F2FDF">
        <w:rPr>
          <w:rFonts w:ascii="Times New Roman" w:hAnsi="Times New Roman" w:cs="Times New Roman"/>
          <w:color w:val="000000" w:themeColor="text1"/>
          <w:kern w:val="2"/>
          <w:sz w:val="16"/>
          <w:szCs w:val="16"/>
        </w:rPr>
        <w:softHyphen/>
        <w:t>дованы всем авиационным частям как "первое пособие по тактике боя в воздухе” (Имеется в виду первое пособие в отечественной литерату</w:t>
      </w:r>
      <w:r w:rsidRPr="002F2FDF">
        <w:rPr>
          <w:rFonts w:ascii="Times New Roman" w:hAnsi="Times New Roman" w:cs="Times New Roman"/>
          <w:color w:val="000000" w:themeColor="text1"/>
          <w:kern w:val="2"/>
          <w:sz w:val="16"/>
          <w:szCs w:val="16"/>
        </w:rPr>
        <w:softHyphen/>
        <w:t>ре, так как аналогичное переводное пособие было издано в Киеве в 1916 г.) (ЦГВИА. ф.493, оп.</w:t>
      </w:r>
      <w:r w:rsidR="00047A9F" w:rsidRPr="002F2FDF">
        <w:rPr>
          <w:rFonts w:ascii="Times New Roman" w:hAnsi="Times New Roman" w:cs="Times New Roman"/>
          <w:color w:val="000000" w:themeColor="text1"/>
          <w:kern w:val="2"/>
          <w:sz w:val="16"/>
          <w:szCs w:val="16"/>
        </w:rPr>
        <w:t xml:space="preserve"> 10</w:t>
      </w:r>
      <w:r w:rsidRPr="002F2FDF">
        <w:rPr>
          <w:rFonts w:ascii="Times New Roman" w:hAnsi="Times New Roman" w:cs="Times New Roman"/>
          <w:color w:val="000000" w:themeColor="text1"/>
          <w:kern w:val="2"/>
          <w:sz w:val="16"/>
          <w:szCs w:val="16"/>
        </w:rPr>
        <w:t>, д. 11I).</w:t>
      </w:r>
    </w:p>
    <w:p w14:paraId="57C5EDE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71020A" w14:textId="77777777" w:rsidR="00047A9F" w:rsidRPr="002F2FDF" w:rsidRDefault="00047A9F" w:rsidP="0083075A">
      <w:pPr>
        <w:spacing w:after="0" w:line="240" w:lineRule="auto"/>
        <w:jc w:val="both"/>
        <w:rPr>
          <w:rFonts w:ascii="Times New Roman" w:hAnsi="Times New Roman" w:cs="Times New Roman"/>
          <w:color w:val="0070C0"/>
          <w:sz w:val="16"/>
          <w:szCs w:val="16"/>
        </w:rPr>
      </w:pPr>
      <w:r w:rsidRPr="002F2FDF">
        <w:rPr>
          <w:rFonts w:ascii="Times New Roman" w:hAnsi="Times New Roman" w:cs="Times New Roman"/>
          <w:color w:val="0070C0"/>
          <w:sz w:val="16"/>
          <w:szCs w:val="16"/>
        </w:rPr>
        <w:t>4 (17) января 1917 г. Управление Полевого генерал-инспектора авиации одобри</w:t>
      </w:r>
      <w:r w:rsidRPr="002F2FDF">
        <w:rPr>
          <w:rFonts w:ascii="Times New Roman" w:hAnsi="Times New Roman" w:cs="Times New Roman"/>
          <w:color w:val="0070C0"/>
          <w:sz w:val="16"/>
          <w:szCs w:val="16"/>
        </w:rPr>
        <w:softHyphen/>
        <w:t>ло «Материалы по тактике воздушного боя», разработанные сотником В.М.Ткачевым на основе практики воздушных боев в Луцком районе осенью 1916 года. «Материалы» рекомендованы всем авиационным частям как «первое пособие по тактике боя в воздухе.</w:t>
      </w:r>
    </w:p>
    <w:p w14:paraId="696831AA" w14:textId="77777777" w:rsidR="00047A9F" w:rsidRPr="002F2FDF" w:rsidRDefault="00047A9F" w:rsidP="0083075A">
      <w:pPr>
        <w:spacing w:after="0" w:line="240" w:lineRule="auto"/>
        <w:jc w:val="both"/>
        <w:rPr>
          <w:rFonts w:ascii="Times New Roman" w:hAnsi="Times New Roman" w:cs="Times New Roman"/>
          <w:color w:val="0070C0"/>
          <w:sz w:val="16"/>
          <w:szCs w:val="16"/>
        </w:rPr>
      </w:pPr>
      <w:r w:rsidRPr="002F2FDF">
        <w:rPr>
          <w:rFonts w:ascii="Times New Roman" w:hAnsi="Times New Roman" w:cs="Times New Roman"/>
          <w:color w:val="0070C0"/>
          <w:sz w:val="16"/>
          <w:szCs w:val="16"/>
        </w:rPr>
        <w:t>/ЦГВИА, ф. 493, оп. 10, д. 111/ (23320).</w:t>
      </w:r>
    </w:p>
    <w:p w14:paraId="5D4646A9" w14:textId="77777777" w:rsidR="00047A9F" w:rsidRPr="002F2FDF" w:rsidRDefault="00047A9F" w:rsidP="0083075A">
      <w:pPr>
        <w:spacing w:after="0" w:line="240" w:lineRule="auto"/>
        <w:jc w:val="both"/>
        <w:rPr>
          <w:rFonts w:ascii="Times New Roman" w:hAnsi="Times New Roman" w:cs="Times New Roman"/>
          <w:color w:val="0070C0"/>
          <w:sz w:val="16"/>
          <w:szCs w:val="16"/>
        </w:rPr>
      </w:pPr>
    </w:p>
    <w:p w14:paraId="6D41C481" w14:textId="2819C2E5" w:rsidR="00D568C8" w:rsidRPr="00FB4F67" w:rsidRDefault="00D568C8"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4 (</w:t>
      </w:r>
      <w:r w:rsidRPr="00FB4F67">
        <w:rPr>
          <w:rFonts w:ascii="Times New Roman" w:hAnsi="Times New Roman" w:cs="Times New Roman"/>
          <w:color w:val="0070C0"/>
          <w:sz w:val="16"/>
          <w:szCs w:val="16"/>
        </w:rPr>
        <w:t>17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одиночный германский самолет сбросил бомбу над Ригой. Оказавшись в зоне зенитного огня, он поспешил удалиться в сторону своих позиций (23405).</w:t>
      </w:r>
    </w:p>
    <w:p w14:paraId="0F1C7284" w14:textId="77777777" w:rsidR="00D568C8" w:rsidRPr="00FB4F67" w:rsidRDefault="00D568C8" w:rsidP="0083075A">
      <w:pPr>
        <w:spacing w:after="0" w:line="240" w:lineRule="auto"/>
        <w:jc w:val="both"/>
        <w:rPr>
          <w:rFonts w:ascii="Times New Roman" w:hAnsi="Times New Roman" w:cs="Times New Roman"/>
          <w:color w:val="0070C0"/>
          <w:sz w:val="16"/>
          <w:szCs w:val="16"/>
        </w:rPr>
      </w:pPr>
    </w:p>
    <w:p w14:paraId="5F447CF9" w14:textId="77777777" w:rsidR="008F43EB" w:rsidRPr="002F2FDF" w:rsidRDefault="008F43E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4 (17) января</w:t>
      </w:r>
      <w:r w:rsidRPr="002F2FDF">
        <w:rPr>
          <w:rFonts w:ascii="Times New Roman" w:hAnsi="Times New Roman" w:cs="Times New Roman"/>
          <w:color w:val="000000" w:themeColor="text1"/>
          <w:kern w:val="2"/>
          <w:sz w:val="16"/>
          <w:szCs w:val="16"/>
        </w:rPr>
        <w:t xml:space="preserve"> в 1917 году подорвался в Средиземном море на мине заграждения, взорвался, перевернулся и затонул броненосец «Пересвет» (14999).</w:t>
      </w:r>
    </w:p>
    <w:p w14:paraId="617B564A" w14:textId="77777777" w:rsidR="008F43EB" w:rsidRPr="002F2FDF" w:rsidRDefault="008F43EB" w:rsidP="0083075A">
      <w:pPr>
        <w:spacing w:after="0" w:line="240" w:lineRule="auto"/>
        <w:jc w:val="both"/>
        <w:rPr>
          <w:rFonts w:ascii="Times New Roman" w:hAnsi="Times New Roman" w:cs="Times New Roman"/>
          <w:color w:val="000000" w:themeColor="text1"/>
          <w:kern w:val="2"/>
          <w:sz w:val="16"/>
          <w:szCs w:val="16"/>
        </w:rPr>
      </w:pPr>
    </w:p>
    <w:p w14:paraId="14CFE737" w14:textId="12A92808" w:rsidR="00207363" w:rsidRPr="00FB4F67" w:rsidRDefault="00207363"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4 (</w:t>
      </w:r>
      <w:r w:rsidRPr="00FB4F67">
        <w:rPr>
          <w:rFonts w:ascii="Times New Roman" w:hAnsi="Times New Roman" w:cs="Times New Roman"/>
          <w:color w:val="0070C0"/>
          <w:sz w:val="16"/>
          <w:szCs w:val="16"/>
        </w:rPr>
        <w:t>17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все авиационные части и штабы армий получили учебное пособие на 61 странице, написанное В. М. Ткачевым, под названием «Материалы по тактике воздушных боев» (23525).</w:t>
      </w:r>
    </w:p>
    <w:p w14:paraId="06E5DBB6" w14:textId="77777777" w:rsidR="00207363" w:rsidRPr="00FB4F67" w:rsidRDefault="00207363" w:rsidP="0083075A">
      <w:pPr>
        <w:spacing w:after="0" w:line="240" w:lineRule="auto"/>
        <w:jc w:val="both"/>
        <w:rPr>
          <w:rFonts w:ascii="Times New Roman" w:hAnsi="Times New Roman" w:cs="Times New Roman"/>
          <w:color w:val="0070C0"/>
          <w:sz w:val="16"/>
          <w:szCs w:val="16"/>
        </w:rPr>
      </w:pPr>
    </w:p>
    <w:p w14:paraId="3B2A8778" w14:textId="24F1B56F" w:rsidR="00207363" w:rsidRPr="00FB4F67" w:rsidRDefault="00207363"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4 (</w:t>
      </w:r>
      <w:r w:rsidRPr="00FB4F67">
        <w:rPr>
          <w:rFonts w:ascii="Times New Roman" w:hAnsi="Times New Roman" w:cs="Times New Roman"/>
          <w:color w:val="0070C0"/>
          <w:sz w:val="16"/>
          <w:szCs w:val="16"/>
        </w:rPr>
        <w:t>17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на румынском фронте австро-германо-болгарское наступление было остановлено вдоль рек Серет и Дунай (23625).</w:t>
      </w:r>
    </w:p>
    <w:p w14:paraId="699BE2D4" w14:textId="77777777" w:rsidR="00207363" w:rsidRPr="00FB4F67" w:rsidRDefault="00207363" w:rsidP="0083075A">
      <w:pPr>
        <w:spacing w:after="0" w:line="240" w:lineRule="auto"/>
        <w:jc w:val="both"/>
        <w:rPr>
          <w:rFonts w:ascii="Times New Roman" w:hAnsi="Times New Roman" w:cs="Times New Roman"/>
          <w:color w:val="0070C0"/>
          <w:sz w:val="16"/>
          <w:szCs w:val="16"/>
        </w:rPr>
      </w:pPr>
    </w:p>
    <w:p w14:paraId="53AA3C0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4CEE9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EE71AA" w14:textId="77777777" w:rsidR="005B454A" w:rsidRPr="002F2FDF" w:rsidRDefault="005B454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4 (17) января</w:t>
      </w:r>
      <w:r w:rsidRPr="002F2FDF">
        <w:rPr>
          <w:rFonts w:ascii="Times New Roman" w:hAnsi="Times New Roman" w:cs="Times New Roman"/>
          <w:color w:val="000000" w:themeColor="text1"/>
          <w:kern w:val="2"/>
          <w:sz w:val="16"/>
          <w:szCs w:val="16"/>
        </w:rPr>
        <w:t xml:space="preserve"> в 1917 году первая пробежка (подлет) первого в мире серийного цельнометаллического самолёта </w:t>
      </w:r>
      <w:hyperlink r:id="rId19" w:tgtFrame="_blank" w:history="1">
        <w:r w:rsidRPr="002F2FDF">
          <w:rPr>
            <w:rFonts w:ascii="Times New Roman" w:hAnsi="Times New Roman" w:cs="Times New Roman"/>
            <w:color w:val="000000" w:themeColor="text1"/>
            <w:kern w:val="2"/>
            <w:sz w:val="16"/>
            <w:szCs w:val="16"/>
          </w:rPr>
          <w:t>«Junkers» «J.1» («J4»),</w:t>
        </w:r>
      </w:hyperlink>
      <w:r w:rsidRPr="002F2FDF">
        <w:rPr>
          <w:rFonts w:ascii="Times New Roman" w:hAnsi="Times New Roman" w:cs="Times New Roman"/>
          <w:color w:val="000000" w:themeColor="text1"/>
          <w:kern w:val="2"/>
          <w:sz w:val="16"/>
          <w:szCs w:val="16"/>
        </w:rPr>
        <w:t xml:space="preserve"> пилот Arved von Schmidt «Юнкерс» «J 4», представлявший собой цельнометаллический свободнонесущий полутораплан, совершил первый испытательный полет. Он был оснащен рядным двигателем «Бенц» «Bz.IV» (200 л. с). Передняя часть фюзеляжа, включая кабину, представляла собой бронекоробку, склепанную из 5-6-миллиметровых стальных листов. Каркас задней части фюзеляжа и крыльев составляли ферменные конструкции из дюралевых труб. Обшивка крыльев и оперения - гофрированный дюраль, а задней части фюзеляжа - полотно. Несмотря на все усилия, вес самолета все-таки был слишком большим - он достигал 2140 кг. Кроме того, машина обладала низкой маневренностью и скороподъемностью, а также плохими взлетно-посадочными характеристиками. Вооружение состояло из двух или трех 7,92-мм пулеметов </w:t>
      </w:r>
      <w:r w:rsidRPr="002F2FDF">
        <w:rPr>
          <w:rFonts w:ascii="Times New Roman" w:hAnsi="Times New Roman" w:cs="Times New Roman"/>
          <w:color w:val="000000" w:themeColor="text1"/>
          <w:kern w:val="2"/>
          <w:sz w:val="16"/>
          <w:szCs w:val="16"/>
        </w:rPr>
        <w:lastRenderedPageBreak/>
        <w:t>"Парабеллум". Курсовой пулемет устанавливался на капоте двигателя, а один или два турельных - в кабине стрелка-наблюдателя. Первоначально планировалось разместить в кабине стрелка и неподвижную стрелковую установку, предназначенную для стрельбы вниз под углом. Но от этой идеи пришлось отказаться, так как войсковые испытания показали, что из-за невозможности вести прицельный огонь ее эффективность была крайне низкой. В начале марта 1918 г. самолеты «Юнкерс» «J 4» стали поступать на западный фронт (15012).</w:t>
      </w:r>
    </w:p>
    <w:p w14:paraId="668B714E" w14:textId="77777777" w:rsidR="005B454A" w:rsidRPr="002F2FDF" w:rsidRDefault="005B454A" w:rsidP="0083075A">
      <w:pPr>
        <w:spacing w:after="0" w:line="240" w:lineRule="auto"/>
        <w:jc w:val="both"/>
        <w:rPr>
          <w:rFonts w:ascii="Times New Roman" w:hAnsi="Times New Roman" w:cs="Times New Roman"/>
          <w:color w:val="000000" w:themeColor="text1"/>
          <w:kern w:val="2"/>
          <w:sz w:val="16"/>
          <w:szCs w:val="16"/>
        </w:rPr>
      </w:pPr>
    </w:p>
    <w:p w14:paraId="0E86A26B" w14:textId="77777777" w:rsidR="00CE4A00" w:rsidRPr="002F2FDF" w:rsidRDefault="00CE4A00" w:rsidP="0083075A">
      <w:pPr>
        <w:pStyle w:val="ae"/>
        <w:spacing w:before="0" w:after="0"/>
        <w:jc w:val="both"/>
        <w:rPr>
          <w:color w:val="000000" w:themeColor="text1"/>
          <w:kern w:val="2"/>
          <w:sz w:val="16"/>
          <w:szCs w:val="16"/>
        </w:rPr>
      </w:pPr>
      <w:r w:rsidRPr="002F2FDF">
        <w:rPr>
          <w:color w:val="000000" w:themeColor="text1"/>
          <w:kern w:val="2"/>
          <w:sz w:val="16"/>
          <w:szCs w:val="16"/>
        </w:rPr>
        <w:t>4 (17) января 1917 в Атлантическом океане недалеко от португальского острова Мадейра германский вспомогательный крейсер «Мёве» потопил британское торговое судно (17045).</w:t>
      </w:r>
    </w:p>
    <w:p w14:paraId="5E11979E" w14:textId="77777777" w:rsidR="00CE4A00" w:rsidRPr="002F2FDF" w:rsidRDefault="00CE4A00"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F283C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января 1917 США приобрела у Дании за 25 млн. долларов Виргинские острова (4962).</w:t>
      </w:r>
    </w:p>
    <w:p w14:paraId="69B755E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6706C9" w14:textId="77777777" w:rsidR="00122AB1" w:rsidRPr="002F2FDF" w:rsidRDefault="00122AB1"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 xml:space="preserve">4 (17) января 1917 г. США: союз покупает Виргинские острова у Дании и признает ее суверенитет над Гренландией. </w:t>
      </w:r>
      <w:r w:rsidRPr="002F2FDF">
        <w:rPr>
          <w:rFonts w:ascii="Times New Roman" w:eastAsia="Times New Roman" w:hAnsi="Times New Roman" w:cs="Times New Roman"/>
          <w:bCs/>
          <w:iCs/>
          <w:color w:val="000000" w:themeColor="text1"/>
          <w:kern w:val="2"/>
          <w:sz w:val="16"/>
          <w:szCs w:val="16"/>
          <w:lang w:eastAsia="ru-RU"/>
        </w:rPr>
        <w:t xml:space="preserve">«История Дании. XX век», М., Наука, 1998: </w:t>
      </w:r>
    </w:p>
    <w:p w14:paraId="407C29A2" w14:textId="77777777" w:rsidR="00122AB1" w:rsidRPr="002F2FDF" w:rsidRDefault="00122AB1"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bCs/>
          <w:color w:val="000000" w:themeColor="text1"/>
          <w:kern w:val="2"/>
          <w:sz w:val="16"/>
          <w:szCs w:val="16"/>
          <w:lang w:eastAsia="ru-RU"/>
        </w:rPr>
        <w:t xml:space="preserve">«4 августа 1916 г. после долгих переговоров договор наконец был подписан. Вест-Индские острова переходили во владение США, заплативших за них 25 млн долл. 14 декабря ригсдаг большинством голосов утвердил договор. В свою очередь, США признали суверенитет Дании над Гренландией. Договор было одобрен сенатом, </w:t>
      </w:r>
      <w:r w:rsidRPr="002F2FDF">
        <w:rPr>
          <w:rFonts w:ascii="Times New Roman" w:eastAsia="Times New Roman" w:hAnsi="Times New Roman" w:cs="Times New Roman"/>
          <w:color w:val="000000" w:themeColor="text1"/>
          <w:kern w:val="2"/>
          <w:sz w:val="16"/>
          <w:szCs w:val="16"/>
          <w:lang w:eastAsia="ru-RU"/>
        </w:rPr>
        <w:t>17 января 1917 г.</w:t>
      </w:r>
      <w:r w:rsidRPr="002F2FDF">
        <w:rPr>
          <w:rFonts w:ascii="Times New Roman" w:eastAsia="Times New Roman" w:hAnsi="Times New Roman" w:cs="Times New Roman"/>
          <w:bCs/>
          <w:color w:val="000000" w:themeColor="text1"/>
          <w:kern w:val="2"/>
          <w:sz w:val="16"/>
          <w:szCs w:val="16"/>
          <w:lang w:eastAsia="ru-RU"/>
        </w:rPr>
        <w:t xml:space="preserve"> стороны обменялись ратификационными грамотами (17326).</w:t>
      </w:r>
    </w:p>
    <w:p w14:paraId="7655F2CE" w14:textId="77777777" w:rsidR="00122AB1" w:rsidRPr="002F2FDF" w:rsidRDefault="00122AB1"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50C99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85175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176CB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5 </w:t>
      </w:r>
      <w:r w:rsidR="00E44BC9" w:rsidRPr="002F2FDF">
        <w:rPr>
          <w:rFonts w:ascii="Times New Roman" w:hAnsi="Times New Roman" w:cs="Times New Roman"/>
          <w:color w:val="000000" w:themeColor="text1"/>
          <w:kern w:val="2"/>
          <w:sz w:val="16"/>
          <w:szCs w:val="16"/>
        </w:rPr>
        <w:t xml:space="preserve">(18) </w:t>
      </w:r>
      <w:r w:rsidRPr="002F2FDF">
        <w:rPr>
          <w:rFonts w:ascii="Times New Roman" w:hAnsi="Times New Roman" w:cs="Times New Roman"/>
          <w:color w:val="000000" w:themeColor="text1"/>
          <w:kern w:val="2"/>
          <w:sz w:val="16"/>
          <w:szCs w:val="16"/>
        </w:rPr>
        <w:t>января 1917 г. штаб БФ просил МГШ о срочной разра</w:t>
      </w:r>
      <w:r w:rsidRPr="002F2FDF">
        <w:rPr>
          <w:rFonts w:ascii="Times New Roman" w:hAnsi="Times New Roman" w:cs="Times New Roman"/>
          <w:color w:val="000000" w:themeColor="text1"/>
          <w:kern w:val="2"/>
          <w:sz w:val="16"/>
          <w:szCs w:val="16"/>
        </w:rPr>
        <w:softHyphen/>
        <w:t>ботке мин и заказе опытной партии. Никаких активных действий этот запрос не повлек, хотя позднее Ковалевский пытался “протолкнуть” идею в несколько измененном виде: он уменьшил расчетный об</w:t>
      </w:r>
      <w:r w:rsidRPr="002F2FDF">
        <w:rPr>
          <w:rFonts w:ascii="Times New Roman" w:hAnsi="Times New Roman" w:cs="Times New Roman"/>
          <w:color w:val="000000" w:themeColor="text1"/>
          <w:kern w:val="2"/>
          <w:sz w:val="16"/>
          <w:szCs w:val="16"/>
        </w:rPr>
        <w:softHyphen/>
        <w:t>щий вес мины до 50-65 кг и предусмотрел ее установку в местах с глубиной до 10,5 м. Разумный по своей сути, план вряд ли мог быть осуществлен в условиях 1917 г. Интересно, что, скорее всего, изобретателем являлся тот самый капитан 1 р. Ковалевский, который командовал Воздушной дивизией Балтийского моря примерно с лета 1917 г. В свете этого отождествления есть некий смысл предположить, что какая-то привязка минного проекта к проекту МК, возможно, и делалась. Однако, никаких прямых доказательств тому нет (2807).</w:t>
      </w:r>
    </w:p>
    <w:p w14:paraId="55B1FDF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69F9D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4A2EE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5CA582" w14:textId="01AC190F" w:rsidR="00D568C8" w:rsidRPr="00FB4F67" w:rsidRDefault="00D568C8"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5 (</w:t>
      </w:r>
      <w:r w:rsidRPr="00FB4F67">
        <w:rPr>
          <w:rFonts w:ascii="Times New Roman" w:hAnsi="Times New Roman" w:cs="Times New Roman"/>
          <w:color w:val="0070C0"/>
          <w:sz w:val="16"/>
          <w:szCs w:val="16"/>
        </w:rPr>
        <w:t>18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начальник технического отдела УВО-флота Полковник Д. В. Яковлев сменил своего начальника генерала Н. В. Пневского. 20 сентября 1917 года Полковник Яковлев был произведен в генерал-майоры (23525).</w:t>
      </w:r>
    </w:p>
    <w:p w14:paraId="58461F7A" w14:textId="77777777" w:rsidR="00D568C8" w:rsidRPr="00FB4F67" w:rsidRDefault="00D568C8" w:rsidP="0083075A">
      <w:pPr>
        <w:spacing w:after="0" w:line="240" w:lineRule="auto"/>
        <w:jc w:val="both"/>
        <w:rPr>
          <w:rFonts w:ascii="Times New Roman" w:hAnsi="Times New Roman" w:cs="Times New Roman"/>
          <w:color w:val="0070C0"/>
          <w:sz w:val="16"/>
          <w:szCs w:val="16"/>
        </w:rPr>
      </w:pPr>
    </w:p>
    <w:p w14:paraId="799E91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января 1917 2 тральщика, 2 заградителя, крейсер Память Меркурия под прикрытием 2-й бригады линкоров поставили у Босфора 460 мин (3123).</w:t>
      </w:r>
    </w:p>
    <w:p w14:paraId="5331FB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9D463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F9BB1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EFAF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января 1917 было открыто движение по Дворцовому мосту в Петербурге (3960,8).</w:t>
      </w:r>
    </w:p>
    <w:p w14:paraId="2038FB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0AEE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5 (18) января 1917 было открыто движение по Дворцовому мосту через Неву, построенному по проекту инженера А.П. Пшеницкого. Мост не был полностью отделан, перила его оставались деревянными до 1939 года (10739). </w:t>
      </w:r>
    </w:p>
    <w:p w14:paraId="4F6CD6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6EE91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2EFD3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9169F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ночь с 6 на 7 </w:t>
      </w:r>
      <w:r w:rsidR="00E44BC9" w:rsidRPr="002F2FDF">
        <w:rPr>
          <w:rFonts w:ascii="Times New Roman" w:hAnsi="Times New Roman" w:cs="Times New Roman"/>
          <w:color w:val="000000" w:themeColor="text1"/>
          <w:kern w:val="2"/>
          <w:sz w:val="16"/>
          <w:szCs w:val="16"/>
        </w:rPr>
        <w:t xml:space="preserve">(19-20) </w:t>
      </w:r>
      <w:r w:rsidRPr="002F2FDF">
        <w:rPr>
          <w:rFonts w:ascii="Times New Roman" w:hAnsi="Times New Roman" w:cs="Times New Roman"/>
          <w:color w:val="000000" w:themeColor="text1"/>
          <w:kern w:val="2"/>
          <w:sz w:val="16"/>
          <w:szCs w:val="16"/>
        </w:rPr>
        <w:t>января 1917 г. случился пожар на ПРТВ. Сгорело 2 М-16 (2807).</w:t>
      </w:r>
    </w:p>
    <w:p w14:paraId="369AA60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контрактах на аппараты М-16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tblGrid>
      <w:tr w:rsidR="002B1C74" w:rsidRPr="002F2FDF" w14:paraId="4CAAA896" w14:textId="77777777">
        <w:tc>
          <w:tcPr>
            <w:tcW w:w="1915" w:type="dxa"/>
            <w:tcBorders>
              <w:top w:val="single" w:sz="12" w:space="0" w:color="auto"/>
            </w:tcBorders>
            <w:shd w:val="clear" w:color="auto" w:fill="FFFFFF"/>
          </w:tcPr>
          <w:p w14:paraId="65E06C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Дата контракта</w:t>
            </w:r>
          </w:p>
        </w:tc>
        <w:tc>
          <w:tcPr>
            <w:tcW w:w="1915" w:type="dxa"/>
            <w:tcBorders>
              <w:top w:val="single" w:sz="12" w:space="0" w:color="auto"/>
            </w:tcBorders>
            <w:shd w:val="clear" w:color="auto" w:fill="FFFFFF"/>
          </w:tcPr>
          <w:p w14:paraId="6DAC84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заказанных аэропланов</w:t>
            </w:r>
          </w:p>
        </w:tc>
        <w:tc>
          <w:tcPr>
            <w:tcW w:w="1915" w:type="dxa"/>
            <w:tcBorders>
              <w:top w:val="single" w:sz="12" w:space="0" w:color="auto"/>
            </w:tcBorders>
            <w:shd w:val="clear" w:color="auto" w:fill="FFFFFF"/>
          </w:tcPr>
          <w:p w14:paraId="0E656E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Заводские номера сданных аэропланов</w:t>
            </w:r>
          </w:p>
        </w:tc>
        <w:tc>
          <w:tcPr>
            <w:tcW w:w="1915" w:type="dxa"/>
            <w:tcBorders>
              <w:top w:val="single" w:sz="12" w:space="0" w:color="auto"/>
            </w:tcBorders>
            <w:shd w:val="clear" w:color="auto" w:fill="FFFFFF"/>
          </w:tcPr>
          <w:p w14:paraId="643B29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Условия</w:t>
            </w:r>
          </w:p>
        </w:tc>
      </w:tr>
      <w:tr w:rsidR="002B1C74" w:rsidRPr="002F2FDF" w14:paraId="28B64C4A" w14:textId="77777777">
        <w:tc>
          <w:tcPr>
            <w:tcW w:w="1915" w:type="dxa"/>
            <w:shd w:val="clear" w:color="auto" w:fill="FFFFFF"/>
          </w:tcPr>
          <w:p w14:paraId="4A1253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 24 1916</w:t>
            </w:r>
          </w:p>
        </w:tc>
        <w:tc>
          <w:tcPr>
            <w:tcW w:w="1915" w:type="dxa"/>
            <w:shd w:val="clear" w:color="auto" w:fill="FFFFFF"/>
          </w:tcPr>
          <w:p w14:paraId="3C1F89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40+ 10</w:t>
            </w:r>
          </w:p>
        </w:tc>
        <w:tc>
          <w:tcPr>
            <w:tcW w:w="1915" w:type="dxa"/>
            <w:shd w:val="clear" w:color="auto" w:fill="FFFFFF"/>
          </w:tcPr>
          <w:p w14:paraId="20ECD1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1201-1232, 1242-1245</w:t>
            </w:r>
          </w:p>
        </w:tc>
        <w:tc>
          <w:tcPr>
            <w:tcW w:w="1915" w:type="dxa"/>
            <w:shd w:val="clear" w:color="auto" w:fill="FFFFFF"/>
          </w:tcPr>
          <w:p w14:paraId="382619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тыс. руб. за боевой аппарат под мотор “Сальмсон” 150 л. с. и 17 тыс. 700 руб. за запасной аппарат, 3 тыс. 150 руб. за комплект запасных поплавков, срок исполнения с 10 декабря 1916 г. по 1 февраля 1917 г. (частично выполнен к марту-июню 1917 г.)</w:t>
            </w:r>
          </w:p>
        </w:tc>
      </w:tr>
      <w:tr w:rsidR="002B1C74" w:rsidRPr="002F2FDF" w14:paraId="12FCA4ED" w14:textId="77777777">
        <w:tc>
          <w:tcPr>
            <w:tcW w:w="1915" w:type="dxa"/>
            <w:shd w:val="clear" w:color="auto" w:fill="FFFFFF"/>
          </w:tcPr>
          <w:p w14:paraId="74998A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15" w:type="dxa"/>
            <w:shd w:val="clear" w:color="auto" w:fill="FFFFFF"/>
          </w:tcPr>
          <w:p w14:paraId="41650A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15" w:type="dxa"/>
            <w:shd w:val="clear" w:color="auto" w:fill="FFFFFF"/>
          </w:tcPr>
          <w:p w14:paraId="5C55A0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15" w:type="dxa"/>
            <w:shd w:val="clear" w:color="auto" w:fill="FFFFFF"/>
          </w:tcPr>
          <w:p w14:paraId="5BF64D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ПРИМЕЧАНИЯ: 40 боевых и 10 запасных аппаратов, плюс комплекты запасных поплавков</w:t>
            </w:r>
          </w:p>
        </w:tc>
      </w:tr>
      <w:tr w:rsidR="002B1C74" w:rsidRPr="002F2FDF" w14:paraId="4D3D123A" w14:textId="77777777">
        <w:tc>
          <w:tcPr>
            <w:tcW w:w="1915" w:type="dxa"/>
            <w:tcBorders>
              <w:bottom w:val="single" w:sz="12" w:space="0" w:color="auto"/>
            </w:tcBorders>
            <w:shd w:val="clear" w:color="auto" w:fill="FFFFFF"/>
          </w:tcPr>
          <w:p w14:paraId="014FD4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 30 1917</w:t>
            </w:r>
          </w:p>
        </w:tc>
        <w:tc>
          <w:tcPr>
            <w:tcW w:w="1915" w:type="dxa"/>
            <w:tcBorders>
              <w:bottom w:val="single" w:sz="12" w:space="0" w:color="auto"/>
            </w:tcBorders>
            <w:shd w:val="clear" w:color="auto" w:fill="FFFFFF"/>
          </w:tcPr>
          <w:p w14:paraId="6E8C29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1915" w:type="dxa"/>
            <w:tcBorders>
              <w:bottom w:val="single" w:sz="12" w:space="0" w:color="auto"/>
            </w:tcBorders>
            <w:shd w:val="clear" w:color="auto" w:fill="FFFFFF"/>
          </w:tcPr>
          <w:p w14:paraId="12157B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1080</w:t>
            </w:r>
          </w:p>
        </w:tc>
        <w:tc>
          <w:tcPr>
            <w:tcW w:w="1915" w:type="dxa"/>
            <w:tcBorders>
              <w:bottom w:val="single" w:sz="12" w:space="0" w:color="auto"/>
            </w:tcBorders>
            <w:shd w:val="clear" w:color="auto" w:fill="FFFFFF"/>
          </w:tcPr>
          <w:p w14:paraId="5D3820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контракт на покупку прототипа Тыловой базой и штабом 1-й Воздушной бригады был Ревель (2807).</w:t>
            </w:r>
          </w:p>
        </w:tc>
      </w:tr>
    </w:tbl>
    <w:p w14:paraId="3AF1217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4EDFEA" w14:textId="77777777" w:rsidR="00E64DCB" w:rsidRPr="002F2FDF" w:rsidRDefault="00E64DCB"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4DF0E694" w14:textId="77777777" w:rsidR="00E64DCB" w:rsidRPr="002F2FDF" w:rsidRDefault="00E64DCB"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8FD38B" w14:textId="77777777" w:rsidR="00E64DCB" w:rsidRPr="002F2FDF" w:rsidRDefault="00E64DCB" w:rsidP="0083075A">
      <w:pPr>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shd w:val="clear" w:color="auto" w:fill="FFFFFF"/>
        </w:rPr>
        <w:t>6 (19) января 1917 г. в Военное министерство поступило прошение жителя Петрограда А. Васильева. «6 марта 1915г. я подал в ГВТУ чертежи и модель невязнущей повозки с описанием и объяснением, что это годно для больших бронеавтомобилей… Случайно прочитав в журнале описание и чертежи английского бронированного автомобиля типа «tanks», я с удивлением заметил поразительное сходство с моим изобретением, – писал Васильев и с горечью спрашивал: – Почему изобретение русское остается без результатов, а точно такое у иностранцев производит сенсацию?» Тот же праведный гнев и снова – «точно такое изобретение». Васильев тоже не был однолюбом в технике: в том же марте 1915 г. он предлагал военному ведомству еще и «колесные коньки для солдат», «самодвижущийся фугас», «перископ для ружья и пулемета». Эти изобретения были отвергнуты, но сейчас негодование изобретателя вызвало непризнание именно «невязнущей повозки». Обратимся, однако, к справке Технического Комитета ГВТУ: «Изобретатель Васильев 6 марта 1915 г. представил в Технический Комитет модель колесной повозки, поставленной на бесконечные ведущие ленты с указанием, что такое устройство могло бы найти также применение для аэропланов типа «Илья Муромец» (вспомним гусеницу Пороховщикова для «Би-Кок» – С.Ф.) и автомобиля. Технический Комитет по Журналу от 17 марта 1915 г. за № 203 признал, что предлагаемое приспособление… для передвижения повозок по вязкой почве для военного ведомства неприемлемо… Идею повозки Васильева отнюдь нельзя считать русской, т.к. применение бесконечных ведущих лент к повозке было сделано в Америке лет на 10 раньше г. Васильева. В 1912г. в России уже было в работах несколько десятков тракторов гусеничной системы завода Holt». Относительно давности идеи гусеничного трактора и первенства «Холт» с членами Технического Комитета можно поспорить, но это уже не относится к нашей теме. Упомянем только, что военному ведомству тракторы «Холт» были знакомы еще перед войной – в 1913г. они испытывались на главном артиллерийском полигоне (20250).</w:t>
      </w:r>
    </w:p>
    <w:p w14:paraId="4BB3848A" w14:textId="77777777" w:rsidR="00E64DCB" w:rsidRPr="002F2FDF" w:rsidRDefault="00E64DCB" w:rsidP="0083075A">
      <w:pPr>
        <w:spacing w:after="0" w:line="240" w:lineRule="auto"/>
        <w:jc w:val="both"/>
        <w:rPr>
          <w:rFonts w:ascii="Times New Roman" w:hAnsi="Times New Roman" w:cs="Times New Roman"/>
          <w:color w:val="000000" w:themeColor="text1"/>
          <w:sz w:val="16"/>
          <w:szCs w:val="16"/>
          <w:shd w:val="clear" w:color="auto" w:fill="FFFFFF"/>
        </w:rPr>
      </w:pPr>
    </w:p>
    <w:p w14:paraId="4F9EEA97" w14:textId="77777777" w:rsidR="00122AB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E9A7A73" w14:textId="77777777" w:rsidR="00122AB1" w:rsidRPr="002F2FDF" w:rsidRDefault="00122AB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584E38" w14:textId="77777777" w:rsidR="00122AB1" w:rsidRPr="002F2FDF" w:rsidRDefault="00122AB1"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6 (19) января 1917 г. подлодка «Нарвал» у Босфора захватила турецкий буксир и 7 рыбацких шхун, буксир и 6 шхун русские «корсары» потопили, а одну шхуну как приз подводники пытались буксировать в Севастополь, но в свежую погоду она также утонула (17326).</w:t>
      </w:r>
    </w:p>
    <w:p w14:paraId="01BD75EA" w14:textId="77777777" w:rsidR="00122AB1" w:rsidRPr="002F2FDF" w:rsidRDefault="00122AB1"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6154F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D067C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F45D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января 1917 совершил первый вылет на аэродроме в Деберице J4 с Бенц 200 нр под управлением Арвида фон Шмидта. Хвост оказался тяжелым и металлическую обшивку хвостовой части фюзеляжа заменили на полотняную. Доводили машину на военном аэродроме в Галле. Военное обозначение J.1 в отличие от J1 (жестяного осла) (1461,14).</w:t>
      </w:r>
    </w:p>
    <w:p w14:paraId="65B7C9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B20EBF" w14:textId="77777777" w:rsidR="00315041" w:rsidRPr="002F2FDF" w:rsidRDefault="00315041" w:rsidP="0083075A">
      <w:pPr>
        <w:pStyle w:val="ae"/>
        <w:spacing w:before="0" w:after="0"/>
        <w:jc w:val="both"/>
        <w:rPr>
          <w:color w:val="000000" w:themeColor="text1"/>
          <w:kern w:val="2"/>
          <w:sz w:val="16"/>
          <w:szCs w:val="16"/>
        </w:rPr>
      </w:pPr>
      <w:r w:rsidRPr="002F2FDF">
        <w:rPr>
          <w:color w:val="000000" w:themeColor="text1"/>
          <w:kern w:val="2"/>
          <w:sz w:val="16"/>
          <w:szCs w:val="16"/>
        </w:rPr>
        <w:t>6 (19) января 1917 германские пилоты, находящиеся на службе Турции, провели бомбардировку захваченного британцами города Эль-Ариш, британские летчики, в свою очередь, совершили разведывательные рейды над Иерусалимом, Вифлеемом и Иерихоном (17045).</w:t>
      </w:r>
    </w:p>
    <w:p w14:paraId="07ECA0B0" w14:textId="77777777" w:rsidR="00315041" w:rsidRPr="002F2FDF" w:rsidRDefault="00315041"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DD379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января 1917 из-за взрыва арсенала в Сильвертауне (Эссекс, Англия) погибло более 300 человек (4962).</w:t>
      </w:r>
    </w:p>
    <w:p w14:paraId="10AB33F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F456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января 1917 Министр иностранных дел Германии А.Циммерман послал шифровку послу Германии в Мексике фон Экхарду с предложением к правительству Мексики заключить оборонительный союз между Мексикой и Германией в случае нападения США на одну из договаривающихся сторон. В случае вступления Мексики в войну против США ей обещаны потерянные территории штатов Нью-Мексика, Техас и Аризоны (7452).</w:t>
      </w:r>
    </w:p>
    <w:p w14:paraId="42B998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5B3843" w14:textId="77777777" w:rsidR="00047A9F" w:rsidRPr="002F2FDF" w:rsidRDefault="00047A9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48A428C" w14:textId="77777777" w:rsidR="00047A9F" w:rsidRPr="002F2FDF" w:rsidRDefault="00047A9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27D764"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7 (20) января 1917 года</w:t>
      </w:r>
    </w:p>
    <w:p w14:paraId="0E7EEBB3"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Совершенно секретно </w:t>
      </w:r>
    </w:p>
    <w:p w14:paraId="3624F9BC"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Журнал №  133</w:t>
      </w:r>
    </w:p>
    <w:p w14:paraId="438D749E"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Особого Совещания для обсуждения и объединения  мероприятий по обороне государства. </w:t>
      </w:r>
    </w:p>
    <w:p w14:paraId="24BFAAA4"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7 января 1917 года. </w:t>
      </w:r>
    </w:p>
    <w:p w14:paraId="680215DD"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Председательствовал Генерал от инфантерии  М. А. Беляев. </w:t>
      </w:r>
    </w:p>
    <w:p w14:paraId="330DB9A5"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Государственного  Совета  А.  И.  Гучков  полагал  необходимым,  предварительно рассмотрения возбужденного П.  П.  Козакевичем вопроса  в  наблюдательной  комиссии,  поручить  произвести  соответствующее  обследование  завода  Сименс  —  Шуккерт  Петроградскому  заводскому  совещанию. </w:t>
      </w:r>
    </w:p>
    <w:p w14:paraId="3097BA2C"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Государственного Совета А. С. Стишинский высказал сомнение  в своевременности предположенного обследования ввиду предстоящей,  согласно  постановлению  Совета  Министров,  ликвидации  предприятия  Сименс — Шуккерт и образования нового акционерного общества. </w:t>
      </w:r>
    </w:p>
    <w:p w14:paraId="47CDEB8C"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  Совещания  Генерал  от  инфантерии  М.  А.  Беляев  полагал, однако, что немедленное обследование завода Сименс — Шуккерт  является во всяком случае желательным: таковое обследование произведет надлежащее впечатление и на другие, работающие на оборону, частные  заводы  и  вместе  с  тем  результаты  обследования  могут  послужить  материалом для работы ликвидационного правления. </w:t>
      </w:r>
    </w:p>
    <w:p w14:paraId="41D2313A"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обмене  мнениями  Совещание  признало  желательным  поручить  председателю заводского совещания Петроградского района произвести  обследование завода Сименс — Шуккерт в Петрограде в отношении степени  продуктивности  работ  завода  в  сравнении  с  его  оборудованием  и  о результатах такового обследования внести доклад в наблюдательную  при Особом Совещании комиссию. </w:t>
      </w:r>
    </w:p>
    <w:p w14:paraId="37B74FF8"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Подписи. </w:t>
      </w:r>
    </w:p>
    <w:p w14:paraId="0E83A507"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6B5EBF67"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Утвердить доклад реквизиционной комиссии об отклонении ходатайства датского общества «Сибирская компания» об отмене произведенной распоряжением Владивостокской реквизиционной комиссии реквизиции 15 000 пудов горбуши, принадлежащих названному обществу. </w:t>
      </w:r>
    </w:p>
    <w:p w14:paraId="2CE1C5A9"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Утвердить     доклады     подготовительной      комиссии     по   общим  вопросам:</w:t>
      </w:r>
    </w:p>
    <w:p w14:paraId="6C68A5F4"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об отпуске главному военно-техническому управлению на предмет  оптовой  заблаговременной  закупки,  распоряжением  начальника  офицерской электротехнической школы, сырых материалов для мастерских  названной школы — пятисот пятидесяти тысяч (550 000) рублей; </w:t>
      </w:r>
    </w:p>
    <w:p w14:paraId="05B37F60"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 выдаче главному по снабжению армии комитету Всероссийских  земского и городского союзов, по наряду главного интендантского управления на изготовление 80 000 пар полусапог, 75 % аванса в размере восьмисот сорока тысяч (840  000) руб лей и об отклонении ходатайства того  же комитета о выдаче ему аванса по наряду на изготовление 80  000 пар  сапог; </w:t>
      </w:r>
    </w:p>
    <w:p w14:paraId="522A318F"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о разрешении главному военно-техническому управлению выдать  Московскому акционерному обществу «Электрические угли Кудиново»  дополнительную ссуду в размере трехсот тысяч (300 000) рублей на приобретение  вагонов-цистерн  и  оборудование  дистилляционного  устройства при сажевом заводе, сроком на семь лет со дня выдачи, с уплатой 6 %  годовых, под обеспечение имуществом общества и с условием выдачи на  него дополнительной закладной в размере получаемой ссуды; </w:t>
      </w:r>
    </w:p>
    <w:p w14:paraId="37BC10D1"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 о выдаче акционерному обществу электромеханических сооружений,  бывш.  т-во  «Дюфлон,  Константинович  и  Ко»,  по  заказу  главного  военно-технического управления на 150 зарядных агрегатов, 30 % аванс  без  обеспечения  в  размере  ста  шестидесяти  двух  тысяч  (162  000)  рублей. </w:t>
      </w:r>
    </w:p>
    <w:p w14:paraId="44DE01E9"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3)  Утвердить  доклады  подготовительной  комиссии  по  артиллерийским вопросам      : </w:t>
      </w:r>
    </w:p>
    <w:p w14:paraId="13FC1546"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 выдаче Н. П. Ильину, по заказу главного артиллерийского управления на изготовление двуколок и колес всего на сумму 1 315 000 рублей,  50 % аванса в размере шестисот пятидесяти семи тысяч пятисот (657 500)  рублей,  под  обеспечение  принадлежащим  Н.  П.  Ильину  недвижимым  имуществом, состоящим из четырех имений в Бугульминском уезде Самарской губернии; </w:t>
      </w:r>
    </w:p>
    <w:p w14:paraId="48C8D8CC"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  предоставлении  главным  артиллерийским  управлением  заводу  П.  Т.  Ипполитова заказа на сто миллионов учебных пуль системы полковника Тарасова на сумму 465 000 руб лей, с выдачей названному заводу  30 % аванса без обеспечения, в два срока, на общих основаниях; </w:t>
      </w:r>
    </w:p>
    <w:p w14:paraId="5C31F70E"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о  предоставлении  главным  артиллерийским  управлением  Физическому  институту  ИМПЕРАТОРСКОГО  Московского  университета  заказа на 200 000 капсюльных втулок для гильз полевой и горной артиллерии на сумму 130 000 рублей, с выдачей названному институту аванса  без обеспечения, в два срока, на общих основаниях, в размере пятидесяти  тысяч (50 000) рублей; </w:t>
      </w:r>
    </w:p>
    <w:p w14:paraId="03DFB1FA"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 о выдаче центральному военно-промышленному комитету, по нарядам </w:t>
      </w:r>
    </w:p>
    <w:p w14:paraId="37BB67C9"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главного артиллерийского управления на 50 000 штук 6” стальных  </w:t>
      </w:r>
    </w:p>
    <w:p w14:paraId="2B896B0E"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фугасных гаубичных бомб и 300 000 штук 6” бомб сталистого чугуна, дополнительных до 75 % авансов на общую сумму три миллиона сто пятьдесят тысяч (3  150 000) рублей. </w:t>
      </w:r>
    </w:p>
    <w:p w14:paraId="51DCB42D"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4)  Согласно  докладу  подготовительной  комиссии  по  артиллерийским  вопросам  и  дополнительно  к  пункту  4  утвержденной  28  декабря  1916  года резолюции по журналу Особого Совещания от 17 того же декабря за №  128: </w:t>
      </w:r>
    </w:p>
    <w:p w14:paraId="1AF9161D"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предложить  правительственным  директорам  правления  </w:t>
      </w:r>
      <w:r w:rsidRPr="002F2FDF">
        <w:rPr>
          <w:rFonts w:ascii="Times New Roman" w:hAnsi="Times New Roman" w:cs="Times New Roman"/>
          <w:color w:val="000000" w:themeColor="text1"/>
          <w:sz w:val="16"/>
          <w:szCs w:val="16"/>
          <w:highlight w:val="yellow"/>
        </w:rPr>
        <w:t>Русско-Балтийского</w:t>
      </w:r>
      <w:r w:rsidRPr="002F2FDF">
        <w:rPr>
          <w:rFonts w:ascii="Times New Roman" w:hAnsi="Times New Roman" w:cs="Times New Roman"/>
          <w:color w:val="000000" w:themeColor="text1"/>
          <w:sz w:val="16"/>
          <w:szCs w:val="16"/>
        </w:rPr>
        <w:t xml:space="preserve">  судостроительного  и  механического  акционерного  общества  представить  на  рассмотрение  Особого  Совещания  соображения  о  необходимой, в целях осуществления правительственного надзора, организации управления предприятиями общества, а равно проект инструкции, коей определялись бы права и обязанности правительственных директоров, с тем чтобы при выработке такового плана организации и при  составлении проекта означенной инструкции были приняты во внимание указания Особого Совещания на желательность сокращения числа  членов правления общества и на необходимость присвоения одному из  правительственных директоров полномочий председателя правления; </w:t>
      </w:r>
    </w:p>
    <w:p w14:paraId="60D2225C"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предложить  правительственным  директорам  правления  Русско-Балтийского  общества  установить  денежную  потребность  названного  общества на возможно более продолжительный период времени и представить соответствующие данные на рассмотрение Особого Совещания; </w:t>
      </w:r>
    </w:p>
    <w:p w14:paraId="787D1CBA"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ассигновать в распоряжение правительственных директоров правления Русско-Балтийского общества  десять  тысяч  (10  000)  руб лей  на  расходы по разъездам по делам общества; </w:t>
      </w:r>
    </w:p>
    <w:p w14:paraId="72C40EB1"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  выдать  Русско-Балтийскому  судостроительному  и  механическому акционерному обществу на предстоящие в течение января сего года  неотложные  расходы  по  Ревельскому  и  Таганрогскому  заводам  общества в виде аванса в счет тех сумм, кои могут быть выданы обществу, согласно его ходатайству об увеличении ранее полученных им авансов до  65 % нормы, на основании пункта 4 утвержденной 28 декабря 1916  года  резолюции  по  журналу  Особого  Совещания  от  17  того  же  декабря  за  №  128,  —  шесть  миллионов  пятьсот  восемьдесят  девять  тысяч  двести  тридцать шесть (6 589 236) рублей. </w:t>
      </w:r>
    </w:p>
    <w:p w14:paraId="667497B5"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5)  Снестись  с  Председателем  Особого  Совещания  по  топливу  и  с  управляющим министерством путей сообщения по вопросу о необходимости  обеспечить  беспрепятственную  доставку  на  Подольский  снарядный завод закупленного им в Нижнем Новгороде количества нефти. </w:t>
      </w:r>
    </w:p>
    <w:p w14:paraId="21ECDAE4"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6) Сообщить управляющему министерством путей сообщения суждения Особого Совещания о желательности, по окончании постройки нового железнодорожного моста через Дон в Ростове-на-Дону, сохранить  на все время войны ныне существующий мост. </w:t>
      </w:r>
    </w:p>
    <w:p w14:paraId="16961208"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7)  Поручить  председателю  заводского  совещания  Петроградского  района произвести обследование завода Сименс — Шуккерт в Петрограде, в отношении степени продуктивности работ завода в сравнении с его  оборудованием, и о результатах такового обследования внести доклад в  наблюдательную при Особом Совещании комиссию. </w:t>
      </w:r>
    </w:p>
    <w:p w14:paraId="163E6F09"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Верно: Управляющий делами, генерал-лейтенант [Бабиков] (20672).</w:t>
      </w:r>
    </w:p>
    <w:p w14:paraId="74367399" w14:textId="77777777" w:rsidR="00047A9F" w:rsidRPr="002F2FDF" w:rsidRDefault="00047A9F" w:rsidP="0083075A">
      <w:pPr>
        <w:spacing w:after="0" w:line="240" w:lineRule="auto"/>
        <w:jc w:val="both"/>
        <w:rPr>
          <w:rFonts w:ascii="Times New Roman" w:hAnsi="Times New Roman" w:cs="Times New Roman"/>
          <w:color w:val="000000" w:themeColor="text1"/>
          <w:sz w:val="16"/>
          <w:szCs w:val="16"/>
        </w:rPr>
      </w:pPr>
    </w:p>
    <w:p w14:paraId="67FDB1C9" w14:textId="77777777" w:rsidR="00047A9F" w:rsidRPr="002F2FDF" w:rsidRDefault="00047A9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A9A59F1" w14:textId="77777777" w:rsidR="00047A9F" w:rsidRPr="002F2FDF" w:rsidRDefault="00047A9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7937EF" w14:textId="77777777" w:rsidR="00047A9F" w:rsidRPr="002F2FDF" w:rsidRDefault="00047A9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ян</w:t>
      </w:r>
      <w:r w:rsidRPr="002F2FDF">
        <w:rPr>
          <w:rFonts w:ascii="Times New Roman" w:hAnsi="Times New Roman" w:cs="Times New Roman"/>
          <w:color w:val="000000" w:themeColor="text1"/>
          <w:kern w:val="2"/>
          <w:sz w:val="16"/>
          <w:szCs w:val="16"/>
        </w:rPr>
        <w:softHyphen/>
        <w:t>варя 1917 в группе ЮЗФ “...для боя вылетало 9 самоле</w:t>
      </w:r>
      <w:r w:rsidRPr="002F2FDF">
        <w:rPr>
          <w:rFonts w:ascii="Times New Roman" w:hAnsi="Times New Roman" w:cs="Times New Roman"/>
          <w:color w:val="000000" w:themeColor="text1"/>
          <w:kern w:val="2"/>
          <w:sz w:val="16"/>
          <w:szCs w:val="16"/>
        </w:rPr>
        <w:softHyphen/>
        <w:t>тов, бои вели: прапорщик Кокорин, сблизившись на 20-30 м, атаковал немца, который со снижением ушел к себе; подпрапорщик Крылов атаковал два неприятельских самолета у ст. Голобы и у Кисел и на и заставил их по</w:t>
      </w:r>
      <w:r w:rsidRPr="002F2FDF">
        <w:rPr>
          <w:rFonts w:ascii="Times New Roman" w:hAnsi="Times New Roman" w:cs="Times New Roman"/>
          <w:color w:val="000000" w:themeColor="text1"/>
          <w:kern w:val="2"/>
          <w:sz w:val="16"/>
          <w:szCs w:val="16"/>
        </w:rPr>
        <w:softHyphen/>
        <w:t>вернуть в свое расположение; летчик Леман с штабс-капитаном Пентко атаковали у Локачи самолет противника, который ушел к себе; на завтра бое</w:t>
      </w:r>
      <w:r w:rsidRPr="002F2FDF">
        <w:rPr>
          <w:rFonts w:ascii="Times New Roman" w:hAnsi="Times New Roman" w:cs="Times New Roman"/>
          <w:color w:val="000000" w:themeColor="text1"/>
          <w:kern w:val="2"/>
          <w:sz w:val="16"/>
          <w:szCs w:val="16"/>
        </w:rPr>
        <w:softHyphen/>
        <w:t>способных аппаратов 13” (3954).</w:t>
      </w:r>
    </w:p>
    <w:p w14:paraId="6B63AD4E" w14:textId="77777777" w:rsidR="00047A9F" w:rsidRPr="002F2FDF" w:rsidRDefault="00047A9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7631BC" w14:textId="532BD5FA" w:rsidR="00D568C8" w:rsidRPr="00FB4F67" w:rsidRDefault="00D568C8"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7 (</w:t>
      </w:r>
      <w:r w:rsidRPr="00FB4F67">
        <w:rPr>
          <w:rFonts w:ascii="Times New Roman" w:hAnsi="Times New Roman" w:cs="Times New Roman"/>
          <w:color w:val="0070C0"/>
          <w:sz w:val="16"/>
          <w:szCs w:val="16"/>
        </w:rPr>
        <w:t>20</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на Румынском фронте румыны сформировали ESC.N. 10 со смешанным составом, пять Nieuport 1 Is и 23 и один Morane Saulnier Parasol, базирующиеся в Галати (23525).</w:t>
      </w:r>
    </w:p>
    <w:p w14:paraId="4F5EC81F" w14:textId="77777777" w:rsidR="00D568C8" w:rsidRPr="00FB4F67" w:rsidRDefault="00D568C8" w:rsidP="0083075A">
      <w:pPr>
        <w:spacing w:after="0" w:line="240" w:lineRule="auto"/>
        <w:jc w:val="both"/>
        <w:rPr>
          <w:rFonts w:ascii="Times New Roman" w:hAnsi="Times New Roman" w:cs="Times New Roman"/>
          <w:color w:val="0070C0"/>
          <w:sz w:val="16"/>
          <w:szCs w:val="16"/>
        </w:rPr>
      </w:pPr>
    </w:p>
    <w:p w14:paraId="02302A67" w14:textId="605A8668" w:rsidR="00D568C8" w:rsidRPr="00FB4F67" w:rsidRDefault="00D568C8"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7 (</w:t>
      </w:r>
      <w:r w:rsidRPr="00FB4F67">
        <w:rPr>
          <w:rFonts w:ascii="Times New Roman" w:hAnsi="Times New Roman" w:cs="Times New Roman"/>
          <w:color w:val="0070C0"/>
          <w:sz w:val="16"/>
          <w:szCs w:val="16"/>
        </w:rPr>
        <w:t>20</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у австро-венгров были Flik 30 и 1 с 7-й армией в Карпатах, Fliks 7, 26 и 37 с 3-й армией, Fliks 9, 11 и 18 с Siidarmee, Fliks 3,8, 14 и 25 с 2-я армия, все в Восточной Галиции, Фликс 5 и 22 с Линзингенской армией в Северо-Восточной Галиции и Фликс 10, 20 и 27 с 4-й армией на Волыни (23525).</w:t>
      </w:r>
    </w:p>
    <w:p w14:paraId="0CD75C6E" w14:textId="77777777" w:rsidR="00D568C8" w:rsidRPr="00FB4F67" w:rsidRDefault="00D568C8" w:rsidP="0083075A">
      <w:pPr>
        <w:spacing w:after="0" w:line="240" w:lineRule="auto"/>
        <w:jc w:val="both"/>
        <w:rPr>
          <w:rFonts w:ascii="Times New Roman" w:hAnsi="Times New Roman" w:cs="Times New Roman"/>
          <w:color w:val="0070C0"/>
          <w:sz w:val="16"/>
          <w:szCs w:val="16"/>
        </w:rPr>
      </w:pPr>
    </w:p>
    <w:p w14:paraId="75DB6B7B" w14:textId="342008A3" w:rsidR="009E4C2F" w:rsidRPr="00FB4F67" w:rsidRDefault="009E4C2F"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7 (</w:t>
      </w:r>
      <w:r w:rsidRPr="00FB4F67">
        <w:rPr>
          <w:rFonts w:ascii="Times New Roman" w:hAnsi="Times New Roman" w:cs="Times New Roman"/>
          <w:color w:val="0070C0"/>
          <w:sz w:val="16"/>
          <w:szCs w:val="16"/>
        </w:rPr>
        <w:t>20</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в Царском Селе царь Николай II принял Михаила Родзянко, председателя Государственной думы, который недавно предупредил бесстрастного царя о надвигающемся кризисе его правления. Царь вернулся в Ставку 7 марта (23525).</w:t>
      </w:r>
    </w:p>
    <w:p w14:paraId="7DB74D0F" w14:textId="77777777" w:rsidR="009E4C2F" w:rsidRPr="00FB4F67" w:rsidRDefault="009E4C2F" w:rsidP="0083075A">
      <w:pPr>
        <w:spacing w:after="0" w:line="240" w:lineRule="auto"/>
        <w:jc w:val="both"/>
        <w:rPr>
          <w:rFonts w:ascii="Times New Roman" w:hAnsi="Times New Roman" w:cs="Times New Roman"/>
          <w:color w:val="0070C0"/>
          <w:sz w:val="16"/>
          <w:szCs w:val="16"/>
        </w:rPr>
      </w:pPr>
    </w:p>
    <w:p w14:paraId="69FC6F3C" w14:textId="77777777" w:rsidR="00047A9F" w:rsidRPr="002F2FDF" w:rsidRDefault="00047A9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4445233" w14:textId="77777777" w:rsidR="00047A9F" w:rsidRPr="002F2FDF" w:rsidRDefault="00047A9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123C9B" w14:textId="77777777" w:rsidR="00047A9F" w:rsidRPr="002F2FDF" w:rsidRDefault="00047A9F"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января 1917 спикер российской Думы М. Родзянко попытался убедить Николая II в том, что в России назревают серьезные потрясения (4962).</w:t>
      </w:r>
    </w:p>
    <w:p w14:paraId="02ABC421" w14:textId="77777777" w:rsidR="00047A9F" w:rsidRPr="002F2FDF" w:rsidRDefault="00047A9F"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0A0AE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D5108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CF36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первых числах января 1917 л А.Н.Прокофьев-Северский подал рапорт по результатам испытаний второй модификации М-11 - М-12 Д.П.Г. с Рон 110 нр. Называл его Щетинин М-11 (2807,54).</w:t>
      </w:r>
    </w:p>
    <w:p w14:paraId="0060EE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B5CEC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первых числах января 1917 г. л А.Н.Прокофьев-Северский подал начальству рапорт, подводивший итоги испытаний М-11; которые проходили с октября 1916, и писал:</w:t>
      </w:r>
    </w:p>
    <w:p w14:paraId="56CA1A0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“Доношу Вашему Превосходительству (Б. П. Дудорову</w:t>
      </w:r>
      <w:r w:rsidRPr="002F2FDF">
        <w:rPr>
          <w:rFonts w:ascii="Times New Roman" w:hAnsi="Times New Roman" w:cs="Times New Roman"/>
          <w:iCs/>
          <w:color w:val="000000" w:themeColor="text1"/>
          <w:kern w:val="2"/>
          <w:sz w:val="16"/>
          <w:szCs w:val="16"/>
        </w:rPr>
        <w:t xml:space="preserve">), </w:t>
      </w:r>
      <w:r w:rsidRPr="002F2FDF">
        <w:rPr>
          <w:rFonts w:ascii="Times New Roman" w:hAnsi="Times New Roman" w:cs="Times New Roman"/>
          <w:color w:val="000000" w:themeColor="text1"/>
          <w:kern w:val="2"/>
          <w:sz w:val="16"/>
          <w:szCs w:val="16"/>
        </w:rPr>
        <w:t>что, пролетав не</w:t>
      </w:r>
      <w:r w:rsidRPr="002F2FDF">
        <w:rPr>
          <w:rFonts w:ascii="Times New Roman" w:hAnsi="Times New Roman" w:cs="Times New Roman"/>
          <w:color w:val="000000" w:themeColor="text1"/>
          <w:kern w:val="2"/>
          <w:sz w:val="16"/>
          <w:szCs w:val="16"/>
        </w:rPr>
        <w:softHyphen/>
        <w:t>сколько часов на истребителе Щетинина типа М-11 (М-12 на деле. —</w:t>
      </w:r>
      <w:r w:rsidRPr="002F2FDF">
        <w:rPr>
          <w:rFonts w:ascii="Times New Roman" w:hAnsi="Times New Roman" w:cs="Times New Roman"/>
          <w:iCs/>
          <w:color w:val="000000" w:themeColor="text1"/>
          <w:kern w:val="2"/>
          <w:sz w:val="16"/>
          <w:szCs w:val="16"/>
        </w:rPr>
        <w:t xml:space="preserve">А. А.) я </w:t>
      </w:r>
      <w:r w:rsidRPr="002F2FDF">
        <w:rPr>
          <w:rFonts w:ascii="Times New Roman" w:hAnsi="Times New Roman" w:cs="Times New Roman"/>
          <w:color w:val="000000" w:themeColor="text1"/>
          <w:kern w:val="2"/>
          <w:sz w:val="16"/>
          <w:szCs w:val="16"/>
        </w:rPr>
        <w:t>пришел к следующему: аппарат весьма легок в управлении, посадка и подъем сравнительно просты. &lt;...&gt; Я доношу, конечно, о двухместном, так как имеемый одноместный уже признан несоответству</w:t>
      </w:r>
      <w:r w:rsidRPr="002F2FDF">
        <w:rPr>
          <w:rFonts w:ascii="Times New Roman" w:hAnsi="Times New Roman" w:cs="Times New Roman"/>
          <w:color w:val="000000" w:themeColor="text1"/>
          <w:kern w:val="2"/>
          <w:sz w:val="16"/>
          <w:szCs w:val="16"/>
        </w:rPr>
        <w:softHyphen/>
        <w:t>ющим практическим требованиям. С мотором Рон 125НР ("Рон" 125 л. с. —</w:t>
      </w:r>
      <w:r w:rsidRPr="002F2FDF">
        <w:rPr>
          <w:rFonts w:ascii="Times New Roman" w:hAnsi="Times New Roman" w:cs="Times New Roman"/>
          <w:iCs/>
          <w:color w:val="000000" w:themeColor="text1"/>
          <w:kern w:val="2"/>
          <w:sz w:val="16"/>
          <w:szCs w:val="16"/>
        </w:rPr>
        <w:t xml:space="preserve">А. А.), </w:t>
      </w:r>
      <w:r w:rsidRPr="002F2FDF">
        <w:rPr>
          <w:rFonts w:ascii="Times New Roman" w:hAnsi="Times New Roman" w:cs="Times New Roman"/>
          <w:color w:val="000000" w:themeColor="text1"/>
          <w:kern w:val="2"/>
          <w:sz w:val="16"/>
          <w:szCs w:val="16"/>
        </w:rPr>
        <w:t>конечно, все качества аппарата сильно повышаются, как скорость, так и особенно взлет его на высоту, который делается чуть ли не вдвое, например: с Моносупап 2000 м в 20 минут, а с Рон в 11 минут. Рейдовую волну лодка выдерживает хорошо, но в сильный ветер нужно обязательно подниматься точно против ветра, иначе подветренное крыло зарывается в воду и аппарат разворачивается по ветру. Вообще же при подъеме правое крыло вследствие реакции ротатив-ного мотора на весь поплавок уходит в воду, но как только лодка стала на редан, аппарат держится ровно. Если включать мотор на планировании, то заметно то же самое. &lt;...&gt; Благо</w:t>
      </w:r>
      <w:r w:rsidRPr="002F2FDF">
        <w:rPr>
          <w:rFonts w:ascii="Times New Roman" w:hAnsi="Times New Roman" w:cs="Times New Roman"/>
          <w:color w:val="000000" w:themeColor="text1"/>
          <w:kern w:val="2"/>
          <w:sz w:val="16"/>
          <w:szCs w:val="16"/>
        </w:rPr>
        <w:softHyphen/>
        <w:t>даря тому, что мотор расположен довольно высоко, в первый момент на воде, когда включа</w:t>
      </w:r>
      <w:r w:rsidRPr="002F2FDF">
        <w:rPr>
          <w:rFonts w:ascii="Times New Roman" w:hAnsi="Times New Roman" w:cs="Times New Roman"/>
          <w:color w:val="000000" w:themeColor="text1"/>
          <w:kern w:val="2"/>
          <w:sz w:val="16"/>
          <w:szCs w:val="16"/>
        </w:rPr>
        <w:softHyphen/>
        <w:t>ется мотор, лодка сильно зарывается носом, набирая воды, а на волне даже грозит основатель</w:t>
      </w:r>
      <w:r w:rsidRPr="002F2FDF">
        <w:rPr>
          <w:rFonts w:ascii="Times New Roman" w:hAnsi="Times New Roman" w:cs="Times New Roman"/>
          <w:color w:val="000000" w:themeColor="text1"/>
          <w:kern w:val="2"/>
          <w:sz w:val="16"/>
          <w:szCs w:val="16"/>
        </w:rPr>
        <w:softHyphen/>
        <w:t>но затопить. &lt;...&gt; У пилота необходимо сделать козырек, так как от сильной струи воздуха через некоторое время начинает болеть шея. &lt;...&gt; Выравнивается легко и вообще хорошо слушает рулей, но само управление ходит очень туго &lt;...&gt; быстро устают руки. Руль поворо</w:t>
      </w:r>
      <w:r w:rsidRPr="002F2FDF">
        <w:rPr>
          <w:rFonts w:ascii="Times New Roman" w:hAnsi="Times New Roman" w:cs="Times New Roman"/>
          <w:color w:val="000000" w:themeColor="text1"/>
          <w:kern w:val="2"/>
          <w:sz w:val="16"/>
          <w:szCs w:val="16"/>
        </w:rPr>
        <w:softHyphen/>
        <w:t>тов приходится сильно жать правой ногой. &lt;...&gt; С Роном давление на ногу очень значительно. &lt;...&gt; Полозки редана очень тонки и следует их сделать раза в два с половиной толще, оковать железом. &lt;...&gt; Ручка управления коротка, хорошо бы ее сделать несколько длиннее и в верх</w:t>
      </w:r>
      <w:r w:rsidRPr="002F2FDF">
        <w:rPr>
          <w:rFonts w:ascii="Times New Roman" w:hAnsi="Times New Roman" w:cs="Times New Roman"/>
          <w:color w:val="000000" w:themeColor="text1"/>
          <w:kern w:val="2"/>
          <w:sz w:val="16"/>
          <w:szCs w:val="16"/>
        </w:rPr>
        <w:softHyphen/>
        <w:t>ней части насаживать резинку, а не велосипедную ручку. Управление мотором как-то: запира</w:t>
      </w:r>
      <w:r w:rsidRPr="002F2FDF">
        <w:rPr>
          <w:rFonts w:ascii="Times New Roman" w:hAnsi="Times New Roman" w:cs="Times New Roman"/>
          <w:color w:val="000000" w:themeColor="text1"/>
          <w:kern w:val="2"/>
          <w:sz w:val="16"/>
          <w:szCs w:val="16"/>
        </w:rPr>
        <w:softHyphen/>
        <w:t>ющий кран бензина, регулировочный кран... расположены крайне неудобно—у левого локтя руки пилота. &lt;... &gt; Всю эту группу нужно перенести вперед, расположив перед пилотом, как это сделано на М-5. &lt;...&gt; Практически скорость М-11 нужно считать при полном числе оборо</w:t>
      </w:r>
      <w:r w:rsidRPr="002F2FDF">
        <w:rPr>
          <w:rFonts w:ascii="Times New Roman" w:hAnsi="Times New Roman" w:cs="Times New Roman"/>
          <w:color w:val="000000" w:themeColor="text1"/>
          <w:kern w:val="2"/>
          <w:sz w:val="16"/>
          <w:szCs w:val="16"/>
        </w:rPr>
        <w:softHyphen/>
        <w:t>тов мотора 140 километров — что, конечно, недостаточно для современного истребителя”.</w:t>
      </w:r>
    </w:p>
    <w:p w14:paraId="2256860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Как видно, офицер не пытался давать рекомендаций к улучшению характеристик, но все же предлагал изменить некоторые детали конструкции М-11/М-12 (2807).</w:t>
      </w:r>
    </w:p>
    <w:p w14:paraId="6C61309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9297A0" w14:textId="77777777" w:rsidR="008F43EB" w:rsidRPr="002F2FDF" w:rsidRDefault="008F43EB" w:rsidP="0083075A">
      <w:pPr>
        <w:pStyle w:val="45"/>
        <w:shd w:val="clear" w:color="auto" w:fill="auto"/>
        <w:spacing w:before="0" w:line="240" w:lineRule="auto"/>
        <w:jc w:val="both"/>
        <w:rPr>
          <w:rFonts w:ascii="Times New Roman" w:cs="Times New Roman"/>
          <w:color w:val="000000" w:themeColor="text1"/>
          <w:kern w:val="2"/>
          <w:sz w:val="16"/>
          <w:szCs w:val="16"/>
        </w:rPr>
      </w:pPr>
      <w:r w:rsidRPr="002F2FDF">
        <w:rPr>
          <w:rFonts w:ascii="Times New Roman" w:cs="Times New Roman"/>
          <w:color w:val="000000" w:themeColor="text1"/>
          <w:kern w:val="2"/>
          <w:sz w:val="16"/>
          <w:szCs w:val="16"/>
        </w:rPr>
        <w:t>В начале января 1917 были подготовлены Сведения о деятельности Технического комитета Управления Военно-воздушного флота за время с 15 мая по 25 декабря 1916 г.</w:t>
      </w:r>
    </w:p>
    <w:p w14:paraId="7DCFD5EC"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«За истекший период времени Техническим комитетом было рассмотрено и разрешено 374 вопроса по различным отраслям авиации и воздухоплавания и применению их к военному делу. Вопросы эти могут быть подразделены на следующие главные категории:</w:t>
      </w:r>
    </w:p>
    <w:p w14:paraId="294EC828"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Выработка технических условий на поставку различных предметов специального снабже</w:t>
      </w:r>
      <w:r w:rsidRPr="002F2FDF">
        <w:rPr>
          <w:rFonts w:ascii="Times New Roman" w:cs="Times New Roman"/>
          <w:color w:val="000000" w:themeColor="text1"/>
          <w:spacing w:val="0"/>
          <w:kern w:val="2"/>
          <w:sz w:val="16"/>
          <w:szCs w:val="16"/>
        </w:rPr>
        <w:softHyphen/>
        <w:t>ния авиационных и воздухоплавательных частей.</w:t>
      </w:r>
    </w:p>
    <w:p w14:paraId="4E615F1A"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Рассмотрение проектов новых аэропланов, предлагаемых различными конструкторами и фирмами.</w:t>
      </w:r>
    </w:p>
    <w:p w14:paraId="088A479C"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Рассмотрение конструктивных изменений в существующих летательных аппаратах.</w:t>
      </w:r>
    </w:p>
    <w:p w14:paraId="3BE9D303"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Двигатели, воздушные винты и оборудование ими аэропланов.</w:t>
      </w:r>
    </w:p>
    <w:p w14:paraId="1450DB6E"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Прочие предметы оборудования летательных аппаратов.</w:t>
      </w:r>
    </w:p>
    <w:p w14:paraId="7CFECD6B"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Проекты специальных построек для авиационных и воздухоплавательных частей и учреж</w:t>
      </w:r>
      <w:r w:rsidRPr="002F2FDF">
        <w:rPr>
          <w:rFonts w:ascii="Times New Roman" w:cs="Times New Roman"/>
          <w:color w:val="000000" w:themeColor="text1"/>
          <w:spacing w:val="0"/>
          <w:kern w:val="2"/>
          <w:sz w:val="16"/>
          <w:szCs w:val="16"/>
        </w:rPr>
        <w:softHyphen/>
        <w:t>дений.</w:t>
      </w:r>
    </w:p>
    <w:p w14:paraId="561B867E"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Предметы вооружения летательных аппаратов. Прицельные приборы и пулеметные уста</w:t>
      </w:r>
      <w:r w:rsidRPr="002F2FDF">
        <w:rPr>
          <w:rFonts w:ascii="Times New Roman" w:cs="Times New Roman"/>
          <w:color w:val="000000" w:themeColor="text1"/>
          <w:spacing w:val="0"/>
          <w:kern w:val="2"/>
          <w:sz w:val="16"/>
          <w:szCs w:val="16"/>
        </w:rPr>
        <w:softHyphen/>
        <w:t>новки.</w:t>
      </w:r>
    </w:p>
    <w:p w14:paraId="79037D17"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Аэронавигационные и аэрологические приборы.</w:t>
      </w:r>
    </w:p>
    <w:p w14:paraId="15E2DC16"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Применение фотографии в авиации и воздухоплавании.</w:t>
      </w:r>
    </w:p>
    <w:p w14:paraId="3B21EDDE"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Применение телефона и телеграфа в авиации и воздухоплавании.</w:t>
      </w:r>
    </w:p>
    <w:p w14:paraId="1FAF2821"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Материалы, употребляемые в авиационном и воздухоплавательном деле.</w:t>
      </w:r>
    </w:p>
    <w:p w14:paraId="1DA34299"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Указания и инструкции авиационным и воздухоплавательным частям.</w:t>
      </w:r>
    </w:p>
    <w:p w14:paraId="1B3E9B6F"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Предложения частных лиц и фирм, имеющие отношение к авиации и воздухоплаванию и испытания предлагаемых ими приборов.</w:t>
      </w:r>
    </w:p>
    <w:p w14:paraId="4BDDBF79"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Из общего числа 374 вопросов нижеследующие наиболее важные вопросы были рассмотре</w:t>
      </w:r>
      <w:r w:rsidRPr="002F2FDF">
        <w:rPr>
          <w:rFonts w:ascii="Times New Roman" w:cs="Times New Roman"/>
          <w:color w:val="000000" w:themeColor="text1"/>
          <w:spacing w:val="0"/>
          <w:kern w:val="2"/>
          <w:sz w:val="16"/>
          <w:szCs w:val="16"/>
        </w:rPr>
        <w:softHyphen/>
        <w:t>ны в общих заседаниях Технического комитета:</w:t>
      </w:r>
    </w:p>
    <w:p w14:paraId="1507701C"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а) разработан и одобрен ряд технических условий на поставку различных предметов специ</w:t>
      </w:r>
      <w:r w:rsidRPr="002F2FDF">
        <w:rPr>
          <w:rFonts w:ascii="Times New Roman" w:cs="Times New Roman"/>
          <w:color w:val="000000" w:themeColor="text1"/>
          <w:spacing w:val="0"/>
          <w:kern w:val="2"/>
          <w:sz w:val="16"/>
          <w:szCs w:val="16"/>
        </w:rPr>
        <w:softHyphen/>
        <w:t>ального имущества, как то:</w:t>
      </w:r>
    </w:p>
    <w:p w14:paraId="59648BE8"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на поставку воздушных винтов для аэропланов;</w:t>
      </w:r>
    </w:p>
    <w:p w14:paraId="015823CB"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на поставку специальных сортов хромоникелевой стали и никелевой стали для моторостро</w:t>
      </w:r>
      <w:r w:rsidRPr="002F2FDF">
        <w:rPr>
          <w:rFonts w:ascii="Times New Roman" w:cs="Times New Roman"/>
          <w:color w:val="000000" w:themeColor="text1"/>
          <w:spacing w:val="0"/>
          <w:kern w:val="2"/>
          <w:sz w:val="16"/>
          <w:szCs w:val="16"/>
        </w:rPr>
        <w:softHyphen/>
        <w:t>ения;</w:t>
      </w:r>
    </w:p>
    <w:p w14:paraId="2D61D46D"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на поставку струнной проволоки; на поставку радиаторных секций;</w:t>
      </w:r>
    </w:p>
    <w:p w14:paraId="1D1F1D7C"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на поставку одноместных и трехместных палаток для аэропланов; на поставку безопасных от взрыва бочек для бензина; на приемные испытания касторового масла; на поставку смазочных масел для двигателей; на поставку аэронавигационных и аэрологических приборов; на поставку зажигательных снарядов системы инженера Свечникова; на поставку зажигательных снарядов полковника Горчинского; на поставку ракет-мин системы Ле-Приера;</w:t>
      </w:r>
    </w:p>
    <w:p w14:paraId="4DBAF2C1" w14:textId="77777777" w:rsidR="008F43EB" w:rsidRPr="002F2FDF" w:rsidRDefault="008F43EB" w:rsidP="0083075A">
      <w:pPr>
        <w:pStyle w:val="35"/>
        <w:shd w:val="clear" w:color="auto" w:fill="auto"/>
        <w:tabs>
          <w:tab w:val="left" w:pos="541"/>
        </w:tabs>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б) Выработаны и одобрены правила испытаний аэропланов, из коих следует отметить: правила приемных испытаний боевых аэропланов;</w:t>
      </w:r>
    </w:p>
    <w:p w14:paraId="17FFAA00"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правила приемных испытаний учебных аэропланов; правила приемных испытаний аэропланов новых типов;</w:t>
      </w:r>
    </w:p>
    <w:p w14:paraId="46296F8E" w14:textId="77777777" w:rsidR="008F43EB" w:rsidRPr="002F2FDF" w:rsidRDefault="008F43EB" w:rsidP="0083075A">
      <w:pPr>
        <w:pStyle w:val="35"/>
        <w:shd w:val="clear" w:color="auto" w:fill="auto"/>
        <w:tabs>
          <w:tab w:val="left" w:pos="519"/>
        </w:tabs>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в) кроме того, к наиболее важным вопросам, разработанным Техническим комитетом, сле</w:t>
      </w:r>
      <w:r w:rsidRPr="002F2FDF">
        <w:rPr>
          <w:rFonts w:ascii="Times New Roman" w:cs="Times New Roman"/>
          <w:color w:val="000000" w:themeColor="text1"/>
          <w:spacing w:val="0"/>
          <w:kern w:val="2"/>
          <w:sz w:val="16"/>
          <w:szCs w:val="16"/>
        </w:rPr>
        <w:softHyphen/>
        <w:t>дует также отнести:</w:t>
      </w:r>
    </w:p>
    <w:p w14:paraId="3EA98536"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вопросы об изменении конструкции аэропланов «Фарман-27» и «Фарман-30», «Лебедь XII», «Ньюпор XI»;</w:t>
      </w:r>
    </w:p>
    <w:p w14:paraId="08682E4E"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вопрос об организации подготовки офицеров с высшим техническим образованием к инже</w:t>
      </w:r>
      <w:r w:rsidRPr="002F2FDF">
        <w:rPr>
          <w:rFonts w:ascii="Times New Roman" w:cs="Times New Roman"/>
          <w:color w:val="000000" w:themeColor="text1"/>
          <w:spacing w:val="0"/>
          <w:kern w:val="2"/>
          <w:sz w:val="16"/>
          <w:szCs w:val="16"/>
        </w:rPr>
        <w:softHyphen/>
        <w:t>нерной деятельности в авиационном деле; программы таковой подготовки.</w:t>
      </w:r>
    </w:p>
    <w:p w14:paraId="1FC516F7"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Сверх того, общим собранием Технического комитета был рассмотрен ряд вопросов о мате</w:t>
      </w:r>
      <w:r w:rsidRPr="002F2FDF">
        <w:rPr>
          <w:rFonts w:ascii="Times New Roman" w:cs="Times New Roman"/>
          <w:color w:val="000000" w:themeColor="text1"/>
          <w:spacing w:val="0"/>
          <w:kern w:val="2"/>
          <w:sz w:val="16"/>
          <w:szCs w:val="16"/>
        </w:rPr>
        <w:softHyphen/>
        <w:t>риалах, конструктивных способах выполнения различных частей летательных аппаратов и дру</w:t>
      </w:r>
      <w:r w:rsidRPr="002F2FDF">
        <w:rPr>
          <w:rFonts w:ascii="Times New Roman" w:cs="Times New Roman"/>
          <w:color w:val="000000" w:themeColor="text1"/>
          <w:spacing w:val="0"/>
          <w:kern w:val="2"/>
          <w:sz w:val="16"/>
          <w:szCs w:val="16"/>
        </w:rPr>
        <w:softHyphen/>
        <w:t>гих предметов снабжения авиационных и воздухоплавательных частей. Всего в Техническом комитете было рассмотрено 132 дела.</w:t>
      </w:r>
    </w:p>
    <w:p w14:paraId="670ED726"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Со стороны частных лиц за отчетный период поступило 201 предложение, относящееся к различным отраслям авиационного и воздухоплавательного дела. Из числа этих предложе</w:t>
      </w:r>
      <w:r w:rsidRPr="002F2FDF">
        <w:rPr>
          <w:rFonts w:ascii="Times New Roman" w:cs="Times New Roman"/>
          <w:color w:val="000000" w:themeColor="text1"/>
          <w:spacing w:val="0"/>
          <w:kern w:val="2"/>
          <w:sz w:val="16"/>
          <w:szCs w:val="16"/>
        </w:rPr>
        <w:softHyphen/>
        <w:t>ний на рассмотрение Технического комитета было вынесено 49, прочие же предложения были отклонены без рассмотрения в Техническом комитете или ввиду их явной несообразности, или же ввиду полной неразработанности и бесполезности. Из числа частных предложений, рассмот</w:t>
      </w:r>
      <w:r w:rsidRPr="002F2FDF">
        <w:rPr>
          <w:rFonts w:ascii="Times New Roman" w:cs="Times New Roman"/>
          <w:color w:val="000000" w:themeColor="text1"/>
          <w:spacing w:val="0"/>
          <w:kern w:val="2"/>
          <w:sz w:val="16"/>
          <w:szCs w:val="16"/>
        </w:rPr>
        <w:softHyphen/>
        <w:t>ренных Техническим комитетом, одобрительный отзыв получили нижеследующие:</w:t>
      </w:r>
    </w:p>
    <w:p w14:paraId="3F60A957"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Приспособление для стрельбы из пулемета сквозь поле вращающегося винта г-на Маслов</w:t>
      </w:r>
      <w:r w:rsidRPr="002F2FDF">
        <w:rPr>
          <w:rFonts w:ascii="Times New Roman" w:cs="Times New Roman"/>
          <w:color w:val="000000" w:themeColor="text1"/>
          <w:spacing w:val="0"/>
          <w:kern w:val="2"/>
          <w:sz w:val="16"/>
          <w:szCs w:val="16"/>
        </w:rPr>
        <w:softHyphen/>
        <w:t>ского. С целью осуществления и испытания этого приспособления разрабатываются его чер</w:t>
      </w:r>
      <w:r w:rsidRPr="002F2FDF">
        <w:rPr>
          <w:rFonts w:ascii="Times New Roman" w:cs="Times New Roman"/>
          <w:color w:val="000000" w:themeColor="text1"/>
          <w:spacing w:val="0"/>
          <w:kern w:val="2"/>
          <w:sz w:val="16"/>
          <w:szCs w:val="16"/>
        </w:rPr>
        <w:softHyphen/>
        <w:t>тежи.</w:t>
      </w:r>
    </w:p>
    <w:p w14:paraId="7A4D54F4"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lastRenderedPageBreak/>
        <w:t>Приспособление для стрельбы из пулемета сквозь вращающийся винт прапорщика Кулеба- кина. Приспособления эти были заказаны для установки на аэропланах.</w:t>
      </w:r>
    </w:p>
    <w:p w14:paraId="03C1197E"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Прицельный прибор для бомбометания штабс-капитана Иванова. Прибор этот заказан для снабжения частей действующей армии.</w:t>
      </w:r>
    </w:p>
    <w:p w14:paraId="21FBAC33"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Бомбомет (бомбосбрасыватель. —</w:t>
      </w:r>
      <w:r w:rsidRPr="002F2FDF">
        <w:rPr>
          <w:rStyle w:val="3c"/>
          <w:rFonts w:eastAsia="Gungsuh"/>
          <w:i w:val="0"/>
          <w:color w:val="000000" w:themeColor="text1"/>
          <w:kern w:val="2"/>
          <w:sz w:val="16"/>
          <w:szCs w:val="16"/>
        </w:rPr>
        <w:t xml:space="preserve"> Прим. авт.)</w:t>
      </w:r>
      <w:r w:rsidRPr="002F2FDF">
        <w:rPr>
          <w:rFonts w:ascii="Times New Roman" w:cs="Times New Roman"/>
          <w:color w:val="000000" w:themeColor="text1"/>
          <w:spacing w:val="0"/>
          <w:kern w:val="2"/>
          <w:sz w:val="16"/>
          <w:szCs w:val="16"/>
        </w:rPr>
        <w:t xml:space="preserve"> гвардии поручика Воеводского. Заказан для снабжения авиационных частей действующей армии.</w:t>
      </w:r>
    </w:p>
    <w:p w14:paraId="4F09E78F"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Горючая шрапнель капитана Иванова. Заказано несколько опытных экземпляров. Пулеметная установка инженера Колпакова. Принята для установки на боевых аэропланах. Металлический винт штабс-капитана Кокаева. Заказано несколько экземпляров для про</w:t>
      </w:r>
      <w:r w:rsidRPr="002F2FDF">
        <w:rPr>
          <w:rFonts w:ascii="Times New Roman" w:cs="Times New Roman"/>
          <w:color w:val="000000" w:themeColor="text1"/>
          <w:spacing w:val="0"/>
          <w:kern w:val="2"/>
          <w:sz w:val="16"/>
          <w:szCs w:val="16"/>
        </w:rPr>
        <w:softHyphen/>
        <w:t>изводства опытов.</w:t>
      </w:r>
    </w:p>
    <w:p w14:paraId="4A053A48"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Свеча для двигателя внутреннего сгорания механика Брылина. Предполагается заказать в ближайшее время.</w:t>
      </w:r>
    </w:p>
    <w:p w14:paraId="4599B41F"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Масляная помпа для двигателя внутреннего сгорания механика Брылина. Заказываются для опытов несколько экземпляров.</w:t>
      </w:r>
    </w:p>
    <w:p w14:paraId="349FEC8B"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Глушитель для авиационных двигателей профессора Лебедева. Будет заказан для аэропла</w:t>
      </w:r>
      <w:r w:rsidRPr="002F2FDF">
        <w:rPr>
          <w:rFonts w:ascii="Times New Roman" w:cs="Times New Roman"/>
          <w:color w:val="000000" w:themeColor="text1"/>
          <w:spacing w:val="0"/>
          <w:kern w:val="2"/>
          <w:sz w:val="16"/>
          <w:szCs w:val="16"/>
        </w:rPr>
        <w:softHyphen/>
        <w:t>нов с моторами автомобильного типа.</w:t>
      </w:r>
    </w:p>
    <w:p w14:paraId="76425DD2"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Подогреватель масла и воздуха в моторах механика Брылина. Предполагается заказать в ближайшее время.</w:t>
      </w:r>
    </w:p>
    <w:p w14:paraId="6B162C82"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Жиклер механика Медведева. Изготовляется для испытания. Отеплитель для аэропланов Лобанова. Заказан для действующей армии. Резиновые чехлы на аэропланные баки поручика Григорова. Заказаны для действующей армии.</w:t>
      </w:r>
    </w:p>
    <w:p w14:paraId="4CB674BB"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Сигнализационный прибор с привязного аэростата на землю штабс-капитана Когутова. Имеется в виду дать заказ.</w:t>
      </w:r>
    </w:p>
    <w:p w14:paraId="0EA90D5E"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Гамак для рулевого мешка ст. унтер-офицера Яковлева. Предписано заказать средствами воздухоплавательных частей.</w:t>
      </w:r>
    </w:p>
    <w:p w14:paraId="0672840D"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Парусная защита для змейкового аэростата штабс-капитана Когутова. Заказана для снаб</w:t>
      </w:r>
      <w:r w:rsidRPr="002F2FDF">
        <w:rPr>
          <w:rFonts w:ascii="Times New Roman" w:cs="Times New Roman"/>
          <w:color w:val="000000" w:themeColor="text1"/>
          <w:spacing w:val="0"/>
          <w:kern w:val="2"/>
          <w:sz w:val="16"/>
          <w:szCs w:val="16"/>
        </w:rPr>
        <w:softHyphen/>
        <w:t>жения воздухоплавательных частей действующей армии. Большой аэроплан Ижорского завода. Аэроплан заказан.</w:t>
      </w:r>
    </w:p>
    <w:p w14:paraId="7240A356"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Без внесения на рассмотрение общего собрания Технического комитета чинами Техниче</w:t>
      </w:r>
      <w:r w:rsidRPr="002F2FDF">
        <w:rPr>
          <w:rFonts w:ascii="Times New Roman" w:cs="Times New Roman"/>
          <w:color w:val="000000" w:themeColor="text1"/>
          <w:spacing w:val="0"/>
          <w:kern w:val="2"/>
          <w:sz w:val="16"/>
          <w:szCs w:val="16"/>
        </w:rPr>
        <w:softHyphen/>
        <w:t>ского комитета было рассмотрено и разработано 90 вопросов. Эти вопросы, главным образом утверждения представленных фирмами образцов и чертежей авиационного и воздухоплава</w:t>
      </w:r>
      <w:r w:rsidRPr="002F2FDF">
        <w:rPr>
          <w:rFonts w:ascii="Times New Roman" w:cs="Times New Roman"/>
          <w:color w:val="000000" w:themeColor="text1"/>
          <w:spacing w:val="0"/>
          <w:kern w:val="2"/>
          <w:sz w:val="16"/>
          <w:szCs w:val="16"/>
        </w:rPr>
        <w:softHyphen/>
        <w:t>тельного имущества, заготовленного по контрактам Управления, изменений в материалах, иду</w:t>
      </w:r>
      <w:r w:rsidRPr="002F2FDF">
        <w:rPr>
          <w:rFonts w:ascii="Times New Roman" w:cs="Times New Roman"/>
          <w:color w:val="000000" w:themeColor="text1"/>
          <w:spacing w:val="0"/>
          <w:kern w:val="2"/>
          <w:sz w:val="16"/>
          <w:szCs w:val="16"/>
        </w:rPr>
        <w:softHyphen/>
        <w:t>щих на постройку аэропланов и авиационно-воздухоплавательного имущества и проч. В связи с разрешением этих вопросов чинами Технического комитета были произведены: ряд испыта</w:t>
      </w:r>
      <w:r w:rsidRPr="002F2FDF">
        <w:rPr>
          <w:rFonts w:ascii="Times New Roman" w:cs="Times New Roman"/>
          <w:color w:val="000000" w:themeColor="text1"/>
          <w:spacing w:val="0"/>
          <w:kern w:val="2"/>
          <w:sz w:val="16"/>
          <w:szCs w:val="16"/>
        </w:rPr>
        <w:softHyphen/>
        <w:t>ний материалов, сверок* чертежей с натурой, а также испытания различных составных частей летательных аппаратов и других предметов. К наиболее крупным вопросам, решенным тако</w:t>
      </w:r>
      <w:r w:rsidRPr="002F2FDF">
        <w:rPr>
          <w:rFonts w:ascii="Times New Roman" w:cs="Times New Roman"/>
          <w:color w:val="000000" w:themeColor="text1"/>
          <w:spacing w:val="0"/>
          <w:kern w:val="2"/>
          <w:sz w:val="16"/>
          <w:szCs w:val="16"/>
        </w:rPr>
        <w:softHyphen/>
        <w:t>вым порядком, относятся:</w:t>
      </w:r>
    </w:p>
    <w:p w14:paraId="34C7186C"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разработка общих требований к лакам, идущим на покрытие матерчатой обтяжки аэропла</w:t>
      </w:r>
      <w:r w:rsidRPr="002F2FDF">
        <w:rPr>
          <w:rFonts w:ascii="Times New Roman" w:cs="Times New Roman"/>
          <w:color w:val="000000" w:themeColor="text1"/>
          <w:spacing w:val="0"/>
          <w:kern w:val="2"/>
          <w:sz w:val="16"/>
          <w:szCs w:val="16"/>
        </w:rPr>
        <w:softHyphen/>
        <w:t>нов;</w:t>
      </w:r>
    </w:p>
    <w:p w14:paraId="5500BC94"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установление технических условий на поставку приборов для прицельного бомбометания системы инженера Гарфа;</w:t>
      </w:r>
    </w:p>
    <w:p w14:paraId="184F4F56"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установление специализации принадлежностей и технических данных электроосветитель</w:t>
      </w:r>
      <w:r w:rsidRPr="002F2FDF">
        <w:rPr>
          <w:rFonts w:ascii="Times New Roman" w:cs="Times New Roman"/>
          <w:color w:val="000000" w:themeColor="text1"/>
          <w:spacing w:val="0"/>
          <w:kern w:val="2"/>
          <w:sz w:val="16"/>
          <w:szCs w:val="16"/>
        </w:rPr>
        <w:softHyphen/>
        <w:t>ных групп;</w:t>
      </w:r>
    </w:p>
    <w:p w14:paraId="35A35A5A"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составление описаний аэропланов «Анасаль» и Ньюпор 10000 и 11000; установление условий поставки зажигательных бомб системы полковника Яковлева; допущение ряда изменений в конструкциях нескольких аэропланов, главным образом, с це</w:t>
      </w:r>
      <w:r w:rsidRPr="002F2FDF">
        <w:rPr>
          <w:rFonts w:ascii="Times New Roman" w:cs="Times New Roman"/>
          <w:color w:val="000000" w:themeColor="text1"/>
          <w:spacing w:val="0"/>
          <w:kern w:val="2"/>
          <w:sz w:val="16"/>
          <w:szCs w:val="16"/>
        </w:rPr>
        <w:softHyphen/>
        <w:t>лью увеличения их прочности;</w:t>
      </w:r>
    </w:p>
    <w:p w14:paraId="56CE0CCE"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рассмотрение и одобрение для заготовки по ним ряда чертежей аэропланных винтов; произведены испытания: панцирей для летчиков, динамометров, кожаной одежды летчи</w:t>
      </w:r>
      <w:r w:rsidRPr="002F2FDF">
        <w:rPr>
          <w:rFonts w:ascii="Times New Roman" w:cs="Times New Roman"/>
          <w:color w:val="000000" w:themeColor="text1"/>
          <w:spacing w:val="0"/>
          <w:kern w:val="2"/>
          <w:sz w:val="16"/>
          <w:szCs w:val="16"/>
        </w:rPr>
        <w:softHyphen/>
        <w:t>ков, подстилочных брезентов, ряда парусиновых изделий, фотограф-бумаги и проч.;</w:t>
      </w:r>
    </w:p>
    <w:p w14:paraId="39CE1A12"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установлены образцы: двуколки для щелочного газодобывательного аппарата, замка для тросов змейкового аэростата, аэропланной грелки динамометра, проекционного фонаря, тем</w:t>
      </w:r>
      <w:r w:rsidRPr="002F2FDF">
        <w:rPr>
          <w:rFonts w:ascii="Times New Roman" w:cs="Times New Roman"/>
          <w:color w:val="000000" w:themeColor="text1"/>
          <w:spacing w:val="0"/>
          <w:kern w:val="2"/>
          <w:sz w:val="16"/>
          <w:szCs w:val="16"/>
        </w:rPr>
        <w:softHyphen/>
        <w:t>ной комнаты-чемодана, фотоаппарата системы полковника Потте, темной лаборатории, мик</w:t>
      </w:r>
      <w:r w:rsidRPr="002F2FDF">
        <w:rPr>
          <w:rFonts w:ascii="Times New Roman" w:cs="Times New Roman"/>
          <w:color w:val="000000" w:themeColor="text1"/>
          <w:spacing w:val="0"/>
          <w:kern w:val="2"/>
          <w:sz w:val="16"/>
          <w:szCs w:val="16"/>
        </w:rPr>
        <w:softHyphen/>
        <w:t>ротелефонного аппарата, комплекта приборов для съемки с аэропланов, бидона для бензина, вентилятора для мастерских, планшетной сумки, кузнечного инструмента, авиационного шле</w:t>
      </w:r>
      <w:r w:rsidRPr="002F2FDF">
        <w:rPr>
          <w:rFonts w:ascii="Times New Roman" w:cs="Times New Roman"/>
          <w:color w:val="000000" w:themeColor="text1"/>
          <w:spacing w:val="0"/>
          <w:kern w:val="2"/>
          <w:sz w:val="16"/>
          <w:szCs w:val="16"/>
        </w:rPr>
        <w:softHyphen/>
        <w:t>ма и проч.</w:t>
      </w:r>
    </w:p>
    <w:p w14:paraId="32CAF936"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Кроме того, членами Технического комитета вырабатывались и испытывались подогрева</w:t>
      </w:r>
      <w:r w:rsidRPr="002F2FDF">
        <w:rPr>
          <w:rFonts w:ascii="Times New Roman" w:cs="Times New Roman"/>
          <w:color w:val="000000" w:themeColor="text1"/>
          <w:spacing w:val="0"/>
          <w:kern w:val="2"/>
          <w:sz w:val="16"/>
          <w:szCs w:val="16"/>
        </w:rPr>
        <w:softHyphen/>
        <w:t>тели масла и воздуха для аэропланов с мотором.</w:t>
      </w:r>
    </w:p>
    <w:p w14:paraId="2FC749D6"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Изучение материалов, применяемых в деле авиации и воздухоплавания</w:t>
      </w:r>
    </w:p>
    <w:p w14:paraId="0B685995"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В отчетном году чинами Технического комитета было впервые организовано систематиче</w:t>
      </w:r>
      <w:r w:rsidRPr="002F2FDF">
        <w:rPr>
          <w:rFonts w:ascii="Times New Roman" w:cs="Times New Roman"/>
          <w:color w:val="000000" w:themeColor="text1"/>
          <w:spacing w:val="0"/>
          <w:kern w:val="2"/>
          <w:sz w:val="16"/>
          <w:szCs w:val="16"/>
        </w:rPr>
        <w:softHyphen/>
        <w:t>ское экспериментальное изучение различного рода материалов, идущих на постройку летатель</w:t>
      </w:r>
      <w:r w:rsidRPr="002F2FDF">
        <w:rPr>
          <w:rFonts w:ascii="Times New Roman" w:cs="Times New Roman"/>
          <w:color w:val="000000" w:themeColor="text1"/>
          <w:spacing w:val="0"/>
          <w:kern w:val="2"/>
          <w:sz w:val="16"/>
          <w:szCs w:val="16"/>
        </w:rPr>
        <w:softHyphen/>
        <w:t>ных аппаратов и других предметов специального имущества. Так, за отчетный период времени испытаны: различные породы дерева, употребляемые в авиационном деле, ряд материй, приме</w:t>
      </w:r>
      <w:r w:rsidRPr="002F2FDF">
        <w:rPr>
          <w:rFonts w:ascii="Times New Roman" w:cs="Times New Roman"/>
          <w:color w:val="000000" w:themeColor="text1"/>
          <w:spacing w:val="0"/>
          <w:kern w:val="2"/>
          <w:sz w:val="16"/>
          <w:szCs w:val="16"/>
        </w:rPr>
        <w:softHyphen/>
        <w:t>няемых для обтяжки аэропланов, для постройки палаток и проч., проволока, тросы, проволоч</w:t>
      </w:r>
      <w:r w:rsidRPr="002F2FDF">
        <w:rPr>
          <w:rFonts w:ascii="Times New Roman" w:cs="Times New Roman"/>
          <w:color w:val="000000" w:themeColor="text1"/>
          <w:spacing w:val="0"/>
          <w:kern w:val="2"/>
          <w:sz w:val="16"/>
          <w:szCs w:val="16"/>
        </w:rPr>
        <w:softHyphen/>
        <w:t>ные канаты, стальные цельнотянутые трубы и разные образцы тендеров и стяжек. Данные, по</w:t>
      </w:r>
      <w:r w:rsidRPr="002F2FDF">
        <w:rPr>
          <w:rFonts w:ascii="Times New Roman" w:cs="Times New Roman"/>
          <w:color w:val="000000" w:themeColor="text1"/>
          <w:spacing w:val="0"/>
          <w:kern w:val="2"/>
          <w:sz w:val="16"/>
          <w:szCs w:val="16"/>
        </w:rPr>
        <w:softHyphen/>
        <w:t>лученные путем вышеперечисленных испытаний, сводятся в особые ведомости, могущие слу</w:t>
      </w:r>
      <w:r w:rsidRPr="002F2FDF">
        <w:rPr>
          <w:rFonts w:ascii="Times New Roman" w:cs="Times New Roman"/>
          <w:color w:val="000000" w:themeColor="text1"/>
          <w:spacing w:val="0"/>
          <w:kern w:val="2"/>
          <w:sz w:val="16"/>
          <w:szCs w:val="16"/>
        </w:rPr>
        <w:softHyphen/>
        <w:t>жить на будущее время руководством для определения свойств тех или других материалов и для соответствующего их выбора.</w:t>
      </w:r>
    </w:p>
    <w:p w14:paraId="3D415D81"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Издание руководств и наставлений</w:t>
      </w:r>
    </w:p>
    <w:p w14:paraId="0FACF66F"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За истекший период Техническим комитетом был издан ряд руководств, инструкций и на</w:t>
      </w:r>
      <w:r w:rsidRPr="002F2FDF">
        <w:rPr>
          <w:rFonts w:ascii="Times New Roman" w:cs="Times New Roman"/>
          <w:color w:val="000000" w:themeColor="text1"/>
          <w:spacing w:val="0"/>
          <w:kern w:val="2"/>
          <w:sz w:val="16"/>
          <w:szCs w:val="16"/>
        </w:rPr>
        <w:softHyphen/>
        <w:t>ставлений по вопросам специальной службы и обращению с различными предметами снабже</w:t>
      </w:r>
      <w:r w:rsidRPr="002F2FDF">
        <w:rPr>
          <w:rFonts w:ascii="Times New Roman" w:cs="Times New Roman"/>
          <w:color w:val="000000" w:themeColor="text1"/>
          <w:spacing w:val="0"/>
          <w:kern w:val="2"/>
          <w:sz w:val="16"/>
          <w:szCs w:val="16"/>
        </w:rPr>
        <w:softHyphen/>
        <w:t>ния авиационных и воздухоплавательных частей. Эти руководства частью были разработаны чинами Технического комитета, а частью переведены с иностранных языков и редактированы указанными чинами. Все изданные инструкции и наставления разосланы для пользования в авиационные и воздухоплавательные части и школы. К числу таковых инструкций и настав</w:t>
      </w:r>
      <w:r w:rsidRPr="002F2FDF">
        <w:rPr>
          <w:rFonts w:ascii="Times New Roman" w:cs="Times New Roman"/>
          <w:color w:val="000000" w:themeColor="text1"/>
          <w:spacing w:val="0"/>
          <w:kern w:val="2"/>
          <w:sz w:val="16"/>
          <w:szCs w:val="16"/>
        </w:rPr>
        <w:softHyphen/>
        <w:t>лений относятся:</w:t>
      </w:r>
    </w:p>
    <w:p w14:paraId="7976A842"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три серии таблиц для прицельного бомбометания с летательных аппаратов, вычисленные по методу и под руководством члена Технического комитета Ботезата;</w:t>
      </w:r>
    </w:p>
    <w:p w14:paraId="5821E50F" w14:textId="77777777" w:rsidR="008F43EB" w:rsidRPr="002F2FDF" w:rsidRDefault="008F43EB" w:rsidP="0083075A">
      <w:pPr>
        <w:pStyle w:val="35"/>
        <w:shd w:val="clear" w:color="auto" w:fill="auto"/>
        <w:tabs>
          <w:tab w:val="left" w:pos="4153"/>
        </w:tabs>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диаграммы для бомбометания с летательных аппаратов, составленные под его же руковод</w:t>
      </w:r>
      <w:r w:rsidRPr="002F2FDF">
        <w:rPr>
          <w:rFonts w:ascii="Times New Roman" w:cs="Times New Roman"/>
          <w:color w:val="000000" w:themeColor="text1"/>
          <w:spacing w:val="0"/>
          <w:kern w:val="2"/>
          <w:sz w:val="16"/>
          <w:szCs w:val="16"/>
        </w:rPr>
        <w:softHyphen/>
        <w:t>ством;</w:t>
      </w:r>
      <w:r w:rsidRPr="002F2FDF">
        <w:rPr>
          <w:rFonts w:ascii="Times New Roman" w:cs="Times New Roman"/>
          <w:color w:val="000000" w:themeColor="text1"/>
          <w:spacing w:val="0"/>
          <w:kern w:val="2"/>
          <w:sz w:val="16"/>
          <w:szCs w:val="16"/>
        </w:rPr>
        <w:tab/>
        <w:t>; инструкция для употребления ракет-мин Ле-Приера;</w:t>
      </w:r>
    </w:p>
    <w:p w14:paraId="275D5EAC"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заметки для регулировки автокорректора для стрельбы по движущейся цели с аэроплана;</w:t>
      </w:r>
    </w:p>
    <w:p w14:paraId="4405A761"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описание прицельного прибора для бомбометания системы штабс-капитана Иванова;</w:t>
      </w:r>
    </w:p>
    <w:p w14:paraId="27F3053D"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описание авиационного двигателя Рено, 220 л. е.;</w:t>
      </w:r>
    </w:p>
    <w:p w14:paraId="311CB633"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описание ветрочета системы капитана Журавченко;</w:t>
      </w:r>
    </w:p>
    <w:p w14:paraId="35868F7B"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применение воздушной фотографии во французской армии;</w:t>
      </w:r>
    </w:p>
    <w:p w14:paraId="063B2A11"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описание зеркала для практического бомбометания;</w:t>
      </w:r>
    </w:p>
    <w:p w14:paraId="26C9937C"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наставление по обращению с грелками с платинированным асбестом;</w:t>
      </w:r>
    </w:p>
    <w:p w14:paraId="1E2BD690"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инструкция для пользования парашютами на змейковых аэростатах;</w:t>
      </w:r>
    </w:p>
    <w:p w14:paraId="12D315FA"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описание аэроплана «Фарман-30».</w:t>
      </w:r>
    </w:p>
    <w:p w14:paraId="46FECC1F"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В настоящее время находится в печати:</w:t>
      </w:r>
    </w:p>
    <w:p w14:paraId="37E992DC"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описание аэроплана «Фарман-40»;</w:t>
      </w:r>
    </w:p>
    <w:p w14:paraId="16B3D459"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инструкция для регулировки аэропланов «Ньюпор»;</w:t>
      </w:r>
    </w:p>
    <w:p w14:paraId="0BE60652"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описание биплана «Лебедь XII» с мотором Сальмсон, 150 л. е.;</w:t>
      </w:r>
    </w:p>
    <w:p w14:paraId="128D1CCF"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заметка о регулировке хвостовых поверхностей аэропланов;</w:t>
      </w:r>
    </w:p>
    <w:p w14:paraId="4A96DA56"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«Артиллерийские вопросы в авиации» капитана Журавченко;</w:t>
      </w:r>
    </w:p>
    <w:p w14:paraId="1842E45F"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Инструкция для цементации железа 5-го авиационного парка;</w:t>
      </w:r>
    </w:p>
    <w:p w14:paraId="593FBCCB"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заметки об авиационных радиостанциях;</w:t>
      </w:r>
    </w:p>
    <w:p w14:paraId="7D3A9EFE"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описание двигателя Изотто-Франскини;</w:t>
      </w:r>
    </w:p>
    <w:p w14:paraId="4CF28204"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первый выпуск трудов Комиссии по изучению воздушной артиллерии.</w:t>
      </w:r>
    </w:p>
    <w:p w14:paraId="0E72A427"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Готовятся к печати:</w:t>
      </w:r>
    </w:p>
    <w:p w14:paraId="5F1037B2"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описание аэроплана «Анатра Д»;</w:t>
      </w:r>
    </w:p>
    <w:p w14:paraId="0C35851A"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описание аэроплана «Вуазен И»;</w:t>
      </w:r>
    </w:p>
    <w:p w14:paraId="7C3FFD53"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описание аэроплана «Спад»;</w:t>
      </w:r>
    </w:p>
    <w:p w14:paraId="3DE652E9"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описание лебедки французского образца;</w:t>
      </w:r>
    </w:p>
    <w:p w14:paraId="480794ED"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описание двигателей Рон, 80 л. с. и 110 л. е.;</w:t>
      </w:r>
    </w:p>
    <w:p w14:paraId="65E93198"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описание двигателей Анзани.</w:t>
      </w:r>
    </w:p>
    <w:p w14:paraId="3E208AD5"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Чертежная</w:t>
      </w:r>
    </w:p>
    <w:p w14:paraId="017AD577"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В чертежной Технического комитета за отчетный период был исполнен ряд работ по изго</w:t>
      </w:r>
      <w:r w:rsidRPr="002F2FDF">
        <w:rPr>
          <w:rFonts w:ascii="Times New Roman" w:cs="Times New Roman"/>
          <w:color w:val="000000" w:themeColor="text1"/>
          <w:spacing w:val="0"/>
          <w:kern w:val="2"/>
          <w:sz w:val="16"/>
          <w:szCs w:val="16"/>
        </w:rPr>
        <w:softHyphen/>
        <w:t>товлению чертежей и снятию копий на кальку для размножения затем с помощью светокопи</w:t>
      </w:r>
      <w:r w:rsidRPr="002F2FDF">
        <w:rPr>
          <w:rFonts w:ascii="Times New Roman" w:cs="Times New Roman"/>
          <w:color w:val="000000" w:themeColor="text1"/>
          <w:spacing w:val="0"/>
          <w:kern w:val="2"/>
          <w:sz w:val="16"/>
          <w:szCs w:val="16"/>
        </w:rPr>
        <w:softHyphen/>
        <w:t>ровального аппарата. Все вышеозначенные чертежи можно разделить на следующие основные группы: чертежи аэропланов, моторов, воздушных винтов, снарядов и других предметов снаря</w:t>
      </w:r>
      <w:r w:rsidRPr="002F2FDF">
        <w:rPr>
          <w:rFonts w:ascii="Times New Roman" w:cs="Times New Roman"/>
          <w:color w:val="000000" w:themeColor="text1"/>
          <w:spacing w:val="0"/>
          <w:kern w:val="2"/>
          <w:sz w:val="16"/>
          <w:szCs w:val="16"/>
        </w:rPr>
        <w:softHyphen/>
        <w:t>жения авиационных и воздухоплавательных частей, как то: палаток, обоза, бочек, бидонов, а также разного рода построек и проч. Кроме того, в чертежной Технического комитета был исполнен целый ряд различных графиков и схем для нужд отделений Управления. Например: еженедельные графики движения авиационного и воздухоплавательного имущества, схемы орга</w:t>
      </w:r>
      <w:r w:rsidRPr="002F2FDF">
        <w:rPr>
          <w:rFonts w:ascii="Times New Roman" w:cs="Times New Roman"/>
          <w:color w:val="000000" w:themeColor="text1"/>
          <w:spacing w:val="0"/>
          <w:kern w:val="2"/>
          <w:sz w:val="16"/>
          <w:szCs w:val="16"/>
        </w:rPr>
        <w:softHyphen/>
        <w:t>низации авиационных частей и сверх сего изготовлена целая серия чертежей для издаваемых наставлений и инструкций. Как на особенно важную работу, следует указать на изготовление установочных чертежей различных авиационных моторов. Чертежи эти были разосланы для руководства на наши заводы.</w:t>
      </w:r>
    </w:p>
    <w:p w14:paraId="605BDFAA"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Выработка основных норм для расчета летательных аппаратов</w:t>
      </w:r>
    </w:p>
    <w:p w14:paraId="3FA067C2"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По инициативе Управления Военно-Воздушного Флота при аэродинамической лаборато</w:t>
      </w:r>
      <w:r w:rsidRPr="002F2FDF">
        <w:rPr>
          <w:rFonts w:ascii="Times New Roman" w:cs="Times New Roman"/>
          <w:color w:val="000000" w:themeColor="text1"/>
          <w:spacing w:val="0"/>
          <w:kern w:val="2"/>
          <w:sz w:val="16"/>
          <w:szCs w:val="16"/>
        </w:rPr>
        <w:softHyphen/>
        <w:t>рии Императорского технического училища было организовано Расчетно-испытательное бюро. Названное Бюро имело своими основными задачами разрешение нижеследующих во</w:t>
      </w:r>
      <w:r w:rsidRPr="002F2FDF">
        <w:rPr>
          <w:rFonts w:ascii="Times New Roman" w:cs="Times New Roman"/>
          <w:color w:val="000000" w:themeColor="text1"/>
          <w:spacing w:val="0"/>
          <w:kern w:val="2"/>
          <w:sz w:val="16"/>
          <w:szCs w:val="16"/>
        </w:rPr>
        <w:softHyphen/>
        <w:t>просов:</w:t>
      </w:r>
    </w:p>
    <w:p w14:paraId="07B94B1B"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выявление запасов прочности в существующих типах аэропланов; выявление вопроса о наивыгоднейших материалах для аэропланов; исследование различных форм поддерживающих поверхностей; разработка вопроса о проектировании воздушных винтов и проч.</w:t>
      </w:r>
    </w:p>
    <w:p w14:paraId="6A83052D"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За минувший период времени Расчетно-испытательным бюро были выполнены следующие наиболее важные работы:</w:t>
      </w:r>
    </w:p>
    <w:p w14:paraId="3F6A7C4B"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поверочные расчеты прочности аэропланов: «Ньюпор» X и XI, «Фарман-27» и -30, «Вуа- зен», «Моска», Касьяненко и Повалишина;</w:t>
      </w:r>
    </w:p>
    <w:p w14:paraId="732F2721"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lastRenderedPageBreak/>
        <w:t>произведены испытания «Фарман-27» посредством загрузки его песком; выяснено влияние на работу частей аэроплана предварительной затяжки проволок; исследуется вопрос о сравнительных выгодах деревянных и металлических конструкций аэропланов;</w:t>
      </w:r>
    </w:p>
    <w:p w14:paraId="72FD0DAD"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испытан ряд поддерживающих поверхностей и некоторые материалы, употребляемые в аэро- планостроении и проч.</w:t>
      </w:r>
    </w:p>
    <w:p w14:paraId="7102AD3E"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Поверочные расчеты прочности указанных выше аэропланов дали возможность Техниче</w:t>
      </w:r>
      <w:r w:rsidRPr="002F2FDF">
        <w:rPr>
          <w:rFonts w:ascii="Times New Roman" w:cs="Times New Roman"/>
          <w:color w:val="000000" w:themeColor="text1"/>
          <w:spacing w:val="0"/>
          <w:kern w:val="2"/>
          <w:sz w:val="16"/>
          <w:szCs w:val="16"/>
        </w:rPr>
        <w:softHyphen/>
        <w:t>скому комитету приступить совместно с Бюро к установлению норм прочности и расчетных нагрузок для аэропланов разных типов. Параллельно с этим разрабатываются и приемы аэро</w:t>
      </w:r>
      <w:r w:rsidRPr="002F2FDF">
        <w:rPr>
          <w:rFonts w:ascii="Times New Roman" w:cs="Times New Roman"/>
          <w:color w:val="000000" w:themeColor="text1"/>
          <w:spacing w:val="0"/>
          <w:kern w:val="2"/>
          <w:sz w:val="16"/>
          <w:szCs w:val="16"/>
        </w:rPr>
        <w:softHyphen/>
        <w:t>динамического расчета аэропланов. Оба этих вопроса подняты у нас впервые, равным образом они и за границей до сего времени достаточного освещения не получили. Определенное разре</w:t>
      </w:r>
      <w:r w:rsidRPr="002F2FDF">
        <w:rPr>
          <w:rFonts w:ascii="Times New Roman" w:cs="Times New Roman"/>
          <w:color w:val="000000" w:themeColor="text1"/>
          <w:spacing w:val="0"/>
          <w:kern w:val="2"/>
          <w:sz w:val="16"/>
          <w:szCs w:val="16"/>
        </w:rPr>
        <w:softHyphen/>
        <w:t>шение этих вопросов, долженствующее впрочем еще потребовать настойчивой и продолжитель</w:t>
      </w:r>
      <w:r w:rsidRPr="002F2FDF">
        <w:rPr>
          <w:rFonts w:ascii="Times New Roman" w:cs="Times New Roman"/>
          <w:color w:val="000000" w:themeColor="text1"/>
          <w:spacing w:val="0"/>
          <w:kern w:val="2"/>
          <w:sz w:val="16"/>
          <w:szCs w:val="16"/>
        </w:rPr>
        <w:softHyphen/>
        <w:t>ной работы, безусловно обещает дать ценные указания для проектирования и постройки аэро</w:t>
      </w:r>
      <w:r w:rsidRPr="002F2FDF">
        <w:rPr>
          <w:rFonts w:ascii="Times New Roman" w:cs="Times New Roman"/>
          <w:color w:val="000000" w:themeColor="text1"/>
          <w:spacing w:val="0"/>
          <w:kern w:val="2"/>
          <w:sz w:val="16"/>
          <w:szCs w:val="16"/>
        </w:rPr>
        <w:softHyphen/>
        <w:t>планов.</w:t>
      </w:r>
    </w:p>
    <w:p w14:paraId="0EBD060F"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Комиссия по изучению воздушной артиллерии</w:t>
      </w:r>
    </w:p>
    <w:p w14:paraId="049E1B89"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В период отчетного времени при Техническом комитете работала Комиссия по изучению роздушной артиллерии. В составе этой комиссии принимали участие чины Технического ко</w:t>
      </w:r>
      <w:r w:rsidRPr="002F2FDF">
        <w:rPr>
          <w:rFonts w:ascii="Times New Roman" w:cs="Times New Roman"/>
          <w:color w:val="000000" w:themeColor="text1"/>
          <w:spacing w:val="0"/>
          <w:kern w:val="2"/>
          <w:sz w:val="16"/>
          <w:szCs w:val="16"/>
        </w:rPr>
        <w:softHyphen/>
        <w:t>митета, чины Артиллерийского ведомства, представители от авиационных школ и частей дей</w:t>
      </w:r>
      <w:r w:rsidRPr="002F2FDF">
        <w:rPr>
          <w:rFonts w:ascii="Times New Roman" w:cs="Times New Roman"/>
          <w:color w:val="000000" w:themeColor="text1"/>
          <w:spacing w:val="0"/>
          <w:kern w:val="2"/>
          <w:sz w:val="16"/>
          <w:szCs w:val="16"/>
        </w:rPr>
        <w:softHyphen/>
        <w:t>ствующей армии. В этот период времени названной Комиссией был рассмотрен и разработан ряд вопросов, относящихся к современной постановке дела воздушной артиллерии.</w:t>
      </w:r>
    </w:p>
    <w:p w14:paraId="4092FF15"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За отчетный период Комиссия выполнила следующие, наиболее существенные работы: выработала основные требования к приборам для прицельного бомбометания с летатель</w:t>
      </w:r>
      <w:r w:rsidRPr="002F2FDF">
        <w:rPr>
          <w:rFonts w:ascii="Times New Roman" w:cs="Times New Roman"/>
          <w:color w:val="000000" w:themeColor="text1"/>
          <w:spacing w:val="0"/>
          <w:kern w:val="2"/>
          <w:sz w:val="16"/>
          <w:szCs w:val="16"/>
        </w:rPr>
        <w:softHyphen/>
        <w:t>ных аппаратов;</w:t>
      </w:r>
    </w:p>
    <w:p w14:paraId="625097D4"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произвела оценку всех известных у нас приборов для прицельного бомбометания; избрала наиболее совершенные из этих приборов для снабжения авиационных частей; выработала основные требования к приспособлениям для сбрасывания бомб и избрала бо</w:t>
      </w:r>
      <w:r w:rsidRPr="002F2FDF">
        <w:rPr>
          <w:rFonts w:ascii="Times New Roman" w:cs="Times New Roman"/>
          <w:color w:val="000000" w:themeColor="text1"/>
          <w:spacing w:val="0"/>
          <w:kern w:val="2"/>
          <w:sz w:val="16"/>
          <w:szCs w:val="16"/>
        </w:rPr>
        <w:softHyphen/>
        <w:t>лее совершенные из этих приспособлений для их испытания; избрала лучший тип пули для сбрасывания с аэропланов.</w:t>
      </w:r>
    </w:p>
    <w:p w14:paraId="48DD79A1"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Помимо сего Комиссия организовала производство испытаний аэродинамических характе</w:t>
      </w:r>
      <w:r w:rsidRPr="002F2FDF">
        <w:rPr>
          <w:rFonts w:ascii="Times New Roman" w:cs="Times New Roman"/>
          <w:color w:val="000000" w:themeColor="text1"/>
          <w:spacing w:val="0"/>
          <w:kern w:val="2"/>
          <w:sz w:val="16"/>
          <w:szCs w:val="16"/>
        </w:rPr>
        <w:softHyphen/>
        <w:t>ристик бомб, испытания осколочного действия принятых у нас авиационных бомб и вычисле</w:t>
      </w:r>
      <w:r w:rsidRPr="002F2FDF">
        <w:rPr>
          <w:rFonts w:ascii="Times New Roman" w:cs="Times New Roman"/>
          <w:color w:val="000000" w:themeColor="text1"/>
          <w:spacing w:val="0"/>
          <w:kern w:val="2"/>
          <w:sz w:val="16"/>
          <w:szCs w:val="16"/>
        </w:rPr>
        <w:softHyphen/>
        <w:t>ние баллистических таблиц для прицельного метания снарядов с летательных аппаратов.</w:t>
      </w:r>
    </w:p>
    <w:p w14:paraId="738FF89E" w14:textId="77777777" w:rsidR="008F43EB" w:rsidRPr="002F2FDF" w:rsidRDefault="008F43EB"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Комиссия собиралась ежемесячно, начиная с июля 1916 г., и в течение отчетного периода рассмотрела 40 вопросов.</w:t>
      </w:r>
    </w:p>
    <w:p w14:paraId="7541AB26" w14:textId="77777777" w:rsidR="008F43EB" w:rsidRPr="002F2FDF" w:rsidRDefault="008F43EB" w:rsidP="0083075A">
      <w:pPr>
        <w:pStyle w:val="45"/>
        <w:shd w:val="clear" w:color="auto" w:fill="auto"/>
        <w:spacing w:before="0" w:line="240" w:lineRule="auto"/>
        <w:jc w:val="both"/>
        <w:rPr>
          <w:rFonts w:ascii="Times New Roman" w:cs="Times New Roman"/>
          <w:color w:val="000000" w:themeColor="text1"/>
          <w:kern w:val="2"/>
          <w:sz w:val="16"/>
          <w:szCs w:val="16"/>
        </w:rPr>
      </w:pPr>
      <w:r w:rsidRPr="002F2FDF">
        <w:rPr>
          <w:rFonts w:ascii="Times New Roman" w:cs="Times New Roman"/>
          <w:color w:val="000000" w:themeColor="text1"/>
          <w:kern w:val="2"/>
          <w:sz w:val="16"/>
          <w:szCs w:val="16"/>
        </w:rPr>
        <w:t>Управляющий делами Технического комитета УВВФ полковник Калиновский.» (15740).</w:t>
      </w:r>
    </w:p>
    <w:p w14:paraId="734FC46B" w14:textId="77777777" w:rsidR="008F43EB" w:rsidRPr="002F2FDF" w:rsidRDefault="008F43EB" w:rsidP="0083075A">
      <w:pPr>
        <w:spacing w:after="0" w:line="240" w:lineRule="auto"/>
        <w:jc w:val="both"/>
        <w:rPr>
          <w:rFonts w:ascii="Times New Roman" w:hAnsi="Times New Roman" w:cs="Times New Roman"/>
          <w:color w:val="000000" w:themeColor="text1"/>
          <w:kern w:val="2"/>
          <w:sz w:val="16"/>
          <w:szCs w:val="16"/>
        </w:rPr>
      </w:pPr>
    </w:p>
    <w:p w14:paraId="562F213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91983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E088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 Отрицательного влияния на дело снабжения назначение Беляева не могло оказать, так как в начале марта вспыхнула революция (11292).</w:t>
      </w:r>
    </w:p>
    <w:p w14:paraId="4ADB23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7BCD2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379D6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31CE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8 </w:t>
      </w:r>
      <w:r w:rsidR="00E44BC9" w:rsidRPr="002F2FDF">
        <w:rPr>
          <w:rFonts w:ascii="Times New Roman" w:hAnsi="Times New Roman" w:cs="Times New Roman"/>
          <w:color w:val="000000" w:themeColor="text1"/>
          <w:kern w:val="2"/>
          <w:sz w:val="16"/>
          <w:szCs w:val="16"/>
        </w:rPr>
        <w:t xml:space="preserve">(21) </w:t>
      </w:r>
      <w:r w:rsidRPr="002F2FDF">
        <w:rPr>
          <w:rFonts w:ascii="Times New Roman" w:hAnsi="Times New Roman" w:cs="Times New Roman"/>
          <w:color w:val="000000" w:themeColor="text1"/>
          <w:kern w:val="2"/>
          <w:sz w:val="16"/>
          <w:szCs w:val="16"/>
        </w:rPr>
        <w:t xml:space="preserve">января 1917 г. ИЗ ПИСЬМА А. А. МАНИКОВСКОГО К Е. З. БАРСУКОВУ </w:t>
      </w:r>
    </w:p>
    <w:p w14:paraId="15D8BE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Петроград. </w:t>
      </w:r>
    </w:p>
    <w:p w14:paraId="3705E8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Часто я размышляю о той великой важности задаче, которая тяжелым крестам легла на Вас, и с тревогой подумываю, что весна ведь не за горами. Но, видно, великий князь не желает ничьего вмешательства в это дело, я со мной об этом предмете и говорить не хочет. Ну, что же - ограничусь ролью артиллерийского "каптенармуса", хотя ясно вижу, что многое делается не так, как должно. Главное же скорблю, что не призваны к этому делу те "береговики" - даже Фонштейн и Шайтанов, которые явились бы единственно грамотными в обращении с такою тяжелою материального частью... </w:t>
      </w:r>
    </w:p>
    <w:p w14:paraId="78B9EE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Ваши опасения, что при новом министре моя работа осложнится - конечно, справедливы. Ведь вот за 1,5 года приходится ломаться 4-й раз под "нового министра", да еще какого! Все это противно до такой степени, что требуются огромные усилия воли, чтобы терпеть и терпеть... Но ведь всякому терпению есть предел, тот физический предел, за которым уже исход неизбежен. Думаю, что этот предел уже близок, несмотря на ясное сознание, что уходить теперь, когда все складывается так катастрофично для России и для снабжения армии - подло. Вот я пока и терплю и терплю... </w:t>
      </w:r>
    </w:p>
    <w:p w14:paraId="100A52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Вчера вызывал меня к себе В. И. Гурко. Говорили о новых формированиях и о том, как их снабдить предметами артиллерийского довольствия. Я ему доложил о наших на этот счет предположениях. Видимо, он в курсе всего... При этом он указал, на что надо налечь. Конечно, я все усилия напрягу, но ведь Вы знаете в каких условиях мы работаем. В частности, Гурко просил приготовить для конференции не только числовые таблицы, но и схемы роста главных предметов артиллерийского снабжения. Это, конечно, мы приготовим. Но вот, что трудно нам дать: 1) что сейчас у Вас на ф р о н т а х, 2) как это выходит на 1 версту и на 1.000 чел., 3) и каковы такие же данные у наших союзников? </w:t>
      </w:r>
    </w:p>
    <w:p w14:paraId="770770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Когда я сказал ему, что таких сведений в ГАУ нет, он обещал мне прислать из Ставки. Но насколько я помню, ведь все это взялись доставить в Конференцию Вы, т. е. У п а р т. И не выйдет ли разнотыки, если и ГАУ и Упарт оба внесут свои схемы?.. </w:t>
      </w:r>
    </w:p>
    <w:p w14:paraId="737FB5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Условия работы боевых припасов все ухудшаются: заводы не получают металла, руды, угля, нефти; рабочие - продовольствия и одежды. </w:t>
      </w:r>
    </w:p>
    <w:p w14:paraId="0550A2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...Общее настроение здесь - задавленное, гнусное... </w:t>
      </w:r>
    </w:p>
    <w:p w14:paraId="0185B4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сильной власти - все нет, как нет!.. (11483).</w:t>
      </w:r>
    </w:p>
    <w:p w14:paraId="015B61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AEAE3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D5F45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F130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января 1917 в группе ЮЗФ Леман и Пентко летали на разведку, еще 6 аппаратов поднимались для воздушной охраны Луцка: “2-го као летчик Крылов имел бой с неприятельским самолетом, шедшим на Киверцы; 19-го као летчик Смирнов обстрелял в районе Локачи неприятельский привязной аэростат, который сейчас же приземлился” (3954).</w:t>
      </w:r>
    </w:p>
    <w:p w14:paraId="51EC40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DDC8A7" w14:textId="2F0B4F28" w:rsidR="009E4C2F" w:rsidRPr="00FB4F67" w:rsidRDefault="009E4C2F"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8 (</w:t>
      </w:r>
      <w:r w:rsidRPr="00FB4F67">
        <w:rPr>
          <w:rFonts w:ascii="Times New Roman" w:hAnsi="Times New Roman" w:cs="Times New Roman"/>
          <w:color w:val="0070C0"/>
          <w:sz w:val="16"/>
          <w:szCs w:val="16"/>
        </w:rPr>
        <w:t>21</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бомбардировке с воздуха подверглись отдельные участки Северного фронта (без особого вреда для русских войск и их тыловой инфраструктуры) (23405).</w:t>
      </w:r>
    </w:p>
    <w:p w14:paraId="7B67A55A" w14:textId="77777777" w:rsidR="009E4C2F" w:rsidRPr="00FB4F67" w:rsidRDefault="009E4C2F" w:rsidP="0083075A">
      <w:pPr>
        <w:spacing w:after="0" w:line="240" w:lineRule="auto"/>
        <w:jc w:val="both"/>
        <w:rPr>
          <w:rFonts w:ascii="Times New Roman" w:hAnsi="Times New Roman" w:cs="Times New Roman"/>
          <w:color w:val="0070C0"/>
          <w:sz w:val="16"/>
          <w:szCs w:val="16"/>
        </w:rPr>
      </w:pPr>
    </w:p>
    <w:p w14:paraId="5E381264" w14:textId="4326D2FF" w:rsidR="00E64DCB" w:rsidRPr="002F2FDF" w:rsidRDefault="00E64DCB"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8 (2</w:t>
      </w:r>
      <w:r w:rsidR="009E4C2F">
        <w:rPr>
          <w:rFonts w:ascii="Times New Roman" w:hAnsi="Times New Roman" w:cs="Times New Roman"/>
          <w:color w:val="000000" w:themeColor="text1"/>
          <w:sz w:val="16"/>
          <w:szCs w:val="16"/>
        </w:rPr>
        <w:t>1</w:t>
      </w:r>
      <w:r w:rsidRPr="002F2FDF">
        <w:rPr>
          <w:rFonts w:ascii="Times New Roman" w:hAnsi="Times New Roman" w:cs="Times New Roman"/>
          <w:color w:val="000000" w:themeColor="text1"/>
          <w:sz w:val="16"/>
          <w:szCs w:val="16"/>
        </w:rPr>
        <w:t>) января 1917 г. в приказе Командующего войсками Юго-Западного фронта генерала А.А. Брусилова № 0234 указывалось: «Есть сведения на то, что германцы уже построили два типа «тэнк»: один низкий, вооруженный пулеметами (на самом деле был построен только через год), другой большого типа, размером железнодорожного вагона (тогда только велась сборка деревянного макета тяжелого танка A7V – С.Ф.)… с пулеметами и приспособлением для выпуска ядовитых газов… Приказываю предупредить всех без исключения нижних чинов о возможности появления неприятельских «тэнков» и объяснить доступным им языком их устройство, дабы выход этих чудовищ современной техники не мог бы быть для войск неожиданным… Главное средство борьбы – это артиллерийский огонь. На каждом боевом участке надлежит теперь же разработать подробные соображения по организации надлежащей встречи «тэнков»… Необходимо сосредоточенный огонь по «тэнку» направлять с возможно большего фронта… Шрапнельный огонь необходим по сопровождающей «тэнк» пехоте, которая будет стремиться воспользоваться «тэнком» как подвижным фортом… Приобретает особое значение организация связи войсковой разведки и передовых окопов с наблюдательными артиллерийскими пунктами… Пехота выдержанная, стойкая, удерживающая окопы в своих руках и пропустившая «тэнки», неминуемо «приобретает их как славный и заслуженный трофей своего мужества». В следующем приказе № 0239 от 15 января были даны указания по применению фугасов: они должны были устанавливаться на путях вероятного движения танков, впереди или внутри проволочных заграждений, содержать не менее 20 фунтов взрывчатого вещества, подрываться дистанционно или автоматически – с помощью чувствительных замыкателей Бродского (20250).</w:t>
      </w:r>
    </w:p>
    <w:p w14:paraId="28266C28" w14:textId="77777777" w:rsidR="00E64DCB" w:rsidRPr="002F2FDF" w:rsidRDefault="00E64DCB" w:rsidP="0083075A">
      <w:pPr>
        <w:shd w:val="clear" w:color="auto" w:fill="FFFFFF"/>
        <w:spacing w:after="0" w:line="240" w:lineRule="auto"/>
        <w:jc w:val="both"/>
        <w:rPr>
          <w:rFonts w:ascii="Times New Roman" w:hAnsi="Times New Roman" w:cs="Times New Roman"/>
          <w:color w:val="000000" w:themeColor="text1"/>
          <w:sz w:val="16"/>
          <w:szCs w:val="16"/>
        </w:rPr>
      </w:pPr>
    </w:p>
    <w:p w14:paraId="6F6E79F0" w14:textId="77777777" w:rsidR="00B75F1E"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C48EEEF" w14:textId="77777777" w:rsidR="00B75F1E" w:rsidRPr="002F2FDF" w:rsidRDefault="00B75F1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0345AE" w14:textId="77777777" w:rsidR="00B75F1E" w:rsidRPr="002F2FDF" w:rsidRDefault="00B75F1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8 (21) января</w:t>
      </w:r>
      <w:r w:rsidRPr="002F2FDF">
        <w:rPr>
          <w:rFonts w:ascii="Times New Roman" w:hAnsi="Times New Roman" w:cs="Times New Roman"/>
          <w:color w:val="000000" w:themeColor="text1"/>
          <w:kern w:val="2"/>
          <w:sz w:val="16"/>
          <w:szCs w:val="16"/>
        </w:rPr>
        <w:t xml:space="preserve"> в 1917 году первый полёт единственного истребителя </w:t>
      </w:r>
      <w:hyperlink r:id="rId20" w:tgtFrame="_blank" w:history="1">
        <w:r w:rsidRPr="002F2FDF">
          <w:rPr>
            <w:rFonts w:ascii="Times New Roman" w:hAnsi="Times New Roman" w:cs="Times New Roman"/>
            <w:color w:val="000000" w:themeColor="text1"/>
            <w:kern w:val="2"/>
            <w:sz w:val="16"/>
            <w:szCs w:val="16"/>
          </w:rPr>
          <w:t>«Аа»,</w:t>
        </w:r>
      </w:hyperlink>
      <w:r w:rsidRPr="002F2FDF">
        <w:rPr>
          <w:rFonts w:ascii="Times New Roman" w:hAnsi="Times New Roman" w:cs="Times New Roman"/>
          <w:color w:val="000000" w:themeColor="text1"/>
          <w:kern w:val="2"/>
          <w:sz w:val="16"/>
          <w:szCs w:val="16"/>
        </w:rPr>
        <w:t>спроектированного в Дании и запущенного в серийное производство (компания «Nielsen &amp; Winther», Дания). Этот оригинальный одноместный аэроплан напоминал гибрид фюзеляжа и оперения английского истребителя Бристоль "Скаут" с типично "ньюпоровской" бипланной коробкой. Конструкция машины цельнодеревянная, обшивка - полотно по всем поверхностям, за исключением передней части фюзеляжа, покрытой фанерными листами. Самолет был оснащен шведским ротативным мотором "Тулин-А" мощностью 100 л.с. Вооружение - ручной пулемет "Мадсен", установленный на стойках над верхним крылом для стрельбы поверх диска вращения винта. Модификация с удлиненным на 0,94 м фюзеляжем вместимостью до 14 пассажиров. Для ВВС – «HS.125» «CC.Mk.2» (15016).</w:t>
      </w:r>
    </w:p>
    <w:p w14:paraId="3994EB9E" w14:textId="77777777" w:rsidR="00B75F1E" w:rsidRPr="002F2FDF" w:rsidRDefault="00B75F1E" w:rsidP="0083075A">
      <w:pPr>
        <w:spacing w:after="0" w:line="240" w:lineRule="auto"/>
        <w:jc w:val="both"/>
        <w:rPr>
          <w:rFonts w:ascii="Times New Roman" w:hAnsi="Times New Roman" w:cs="Times New Roman"/>
          <w:color w:val="000000" w:themeColor="text1"/>
          <w:kern w:val="2"/>
          <w:sz w:val="16"/>
          <w:szCs w:val="16"/>
        </w:rPr>
      </w:pPr>
    </w:p>
    <w:p w14:paraId="211FEA36" w14:textId="77777777" w:rsidR="008F43EB"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068DCFA" w14:textId="77777777" w:rsidR="008F43EB" w:rsidRPr="002F2FDF" w:rsidRDefault="008F43E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F247FA" w14:textId="77777777" w:rsidR="008F43EB" w:rsidRPr="002F2FDF" w:rsidRDefault="008F43EB"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lastRenderedPageBreak/>
        <w:t>8 (22) января 1917 г. из рапорта капитана Гортынского Великому князю по состоянию дел на с новейшими «Фарманами-40» следует, что срок между получением наряда и отправкой машины в действующую авиачасть, как правило, составлял меньше недели. Из 40 машин, поступивших в парк-склад и «наряженных» в октябре—декабре 1916 г., по назначению оперативно отправили 36. Аналогичным образом действовала система распределения по нарядам и новых самолетов, поступивших в Центральный парк-склад прямо с авиазаводов. В одной из телеграмм Гортынский отмечал, что «...все самолеты Дукса [поступают с] комплектами запчастей...» (15464).</w:t>
      </w:r>
    </w:p>
    <w:p w14:paraId="36BFFD8A" w14:textId="77777777" w:rsidR="008F43EB" w:rsidRPr="002F2FDF" w:rsidRDefault="008F43EB" w:rsidP="0083075A">
      <w:pPr>
        <w:pStyle w:val="2"/>
        <w:spacing w:before="0" w:beforeAutospacing="0" w:after="0" w:afterAutospacing="0"/>
        <w:jc w:val="both"/>
        <w:rPr>
          <w:b w:val="0"/>
          <w:color w:val="000000" w:themeColor="text1"/>
          <w:kern w:val="2"/>
          <w:sz w:val="16"/>
          <w:szCs w:val="16"/>
        </w:rPr>
      </w:pPr>
    </w:p>
    <w:p w14:paraId="7E6E680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C9AC1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FEDC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9 </w:t>
      </w:r>
      <w:r w:rsidR="00E44BC9" w:rsidRPr="002F2FDF">
        <w:rPr>
          <w:rFonts w:ascii="Times New Roman" w:hAnsi="Times New Roman" w:cs="Times New Roman"/>
          <w:color w:val="000000" w:themeColor="text1"/>
          <w:kern w:val="2"/>
          <w:sz w:val="16"/>
          <w:szCs w:val="16"/>
        </w:rPr>
        <w:t xml:space="preserve">(22) </w:t>
      </w:r>
      <w:r w:rsidRPr="002F2FDF">
        <w:rPr>
          <w:rFonts w:ascii="Times New Roman" w:hAnsi="Times New Roman" w:cs="Times New Roman"/>
          <w:color w:val="000000" w:themeColor="text1"/>
          <w:kern w:val="2"/>
          <w:sz w:val="16"/>
          <w:szCs w:val="16"/>
        </w:rPr>
        <w:t>января 1917 г. вступил в строй ГС завод № 197 ИМ. В.И. Ленина НКОП, НКАП, НКЭП, Радиотелефонный завод им. В.И. Ленина НКТП, Горьковский радиотелефонный завод, Горьковский телевизионный завод (ГТЗ) им. Ленина МРП, п/я 455, ПО «Радий», АООТ, ОАО «Нижегородский телевизионный завод им. В.И. Ленина» (НИТЕЛ) /603009  г. Горький,  г. Нижний Новгород пр. Гагарина, 37 тел. 65-51-19/, в 04.1917 г. выпустил первую партию форпостных телефонных аппаратов. Выпускал телефонные, телеграфные и другие электротехнические аппараты.</w:t>
      </w:r>
    </w:p>
    <w:p w14:paraId="575C90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революции завод практически остановился. После Гражданской войны начал изготавливать семафоры, стрелочные указатели, компостеры билетов, форсунки сжигания мазута для котлов речных судов, электроды конструкции Бонч-Бруевича и Вологдина для первой радиостанции; производил ремонт телефонных аппаратов. С 1924 г. начата подготовка к выпуску детекторных приемников. С 1929 г. начат выпуск связных радиостанций.</w:t>
      </w:r>
    </w:p>
    <w:p w14:paraId="1517E5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1928-29 г. велось расширение завода, постройка новых корпусов, радиополигона; в 1932 г. реконструкция завершена.</w:t>
      </w:r>
    </w:p>
    <w:p w14:paraId="50D907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1931 г. завод стал именоваться радиотелефонным, с конца 1933 г. Горьковский завод им. Ленина - в ведении «Главэспрома» НКТП. По пр. НКОП № Обсс от 30.12.1936 г. Радиотелефонный завод им. Ленина переименован в завод № 197 им. Ленина 5ГУ НКОП, приказом № 116 от 31.03.1937 г. утвержден Устав ГС завода № 197. С образованием НКАП завод № 197 5ГУ НКОП передан в ведение его 7ГУ, Устав завода утвержден в 01.1939 г. Имел наименование «п/я 455». По Указу Президиума ВС от 17.04.1940 г. и приказу НКАП/НКЭП № 105/5 от 23.04.1940 г. передан в ведение вновь образованного НКЭП.</w:t>
      </w:r>
    </w:p>
    <w:p w14:paraId="310B35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 0020 от 3.02.1937 г. заводу предписано создать к 1.01.1938 г. мощности по производству радиостанций: самолетных - 7700 шт. в год; аэродромных - 250 шт.; войсковых - 3255 шт. Приказом № 00116 от 28.05.1937 г. заводу поручен выпуск раций РСБ для самолета Вулти.</w:t>
      </w:r>
    </w:p>
    <w:p w14:paraId="161A01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11.1937 г. на заводе организован отдел специальной телефонии. Производство авиационных раций. По пр. № 156с от 7/10.05.1938 г. требовалось в 1938 г. построить и оборудовать цех изоляционно-керамических материалов, заводу выделено 11 станков. Во исполнение решения правительства № 152сс приказом № 319сс от 10.08.1938 г. было предписано расширить акустическую лабораторию завода № 197, перевести в нее 7 специалистов с завода «Красная заря». В конце 1930-х  г. завод начал самостоятельно модернизировать и разрабатывать новые радиостанции. После начала войны был организован цех по выпуску сопротивлений и конденсаторов, организован участок по переделке стрелочных измерительных приборов.</w:t>
      </w:r>
    </w:p>
    <w:p w14:paraId="7EAF1A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радиооборудования (1942 г.). 12.04.1944 г. вышло распоряжение ГКО № 5603 о мерах по обеспечению производства автомобильных радиостанций специальными автокузовами.</w:t>
      </w:r>
    </w:p>
    <w:p w14:paraId="1E8AB6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годы войны завод выпустил более 70 наименований изделий: 50.422 радиостанции, 112 тыс. переговорных устройств, 234 тыс. полевых телефонов.</w:t>
      </w:r>
    </w:p>
    <w:p w14:paraId="4A922F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1946 г. заводу поручена разработка и выпуск </w:t>
      </w:r>
      <w:r w:rsidRPr="002F2FDF">
        <w:rPr>
          <w:rFonts w:ascii="Times New Roman" w:hAnsi="Times New Roman" w:cs="Times New Roman"/>
          <w:color w:val="000000" w:themeColor="text1"/>
          <w:kern w:val="2"/>
          <w:sz w:val="16"/>
          <w:szCs w:val="16"/>
          <w:lang w:val="en-US"/>
        </w:rPr>
        <w:t>PJIC</w:t>
      </w:r>
      <w:r w:rsidRPr="002F2FDF">
        <w:rPr>
          <w:rFonts w:ascii="Times New Roman" w:hAnsi="Times New Roman" w:cs="Times New Roman"/>
          <w:color w:val="000000" w:themeColor="text1"/>
          <w:kern w:val="2"/>
          <w:sz w:val="16"/>
          <w:szCs w:val="16"/>
        </w:rPr>
        <w:t xml:space="preserve"> метрового диапазона для войск ПВО. В 1947 г. на заводе создано СКБ.</w:t>
      </w:r>
    </w:p>
    <w:p w14:paraId="652317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1949 г. прекращен выпуск изделий телефонии, в 1951 г.- выпуск радиосвязной техники. Производство средств радиосвязи передано на другие заводы. Завод полностью перешел на выпуск </w:t>
      </w:r>
      <w:r w:rsidRPr="002F2FDF">
        <w:rPr>
          <w:rFonts w:ascii="Times New Roman" w:hAnsi="Times New Roman" w:cs="Times New Roman"/>
          <w:color w:val="000000" w:themeColor="text1"/>
          <w:kern w:val="2"/>
          <w:sz w:val="16"/>
          <w:szCs w:val="16"/>
          <w:lang w:val="en-US"/>
        </w:rPr>
        <w:t>PJIC</w:t>
      </w:r>
      <w:r w:rsidRPr="002F2FDF">
        <w:rPr>
          <w:rFonts w:ascii="Times New Roman" w:hAnsi="Times New Roman" w:cs="Times New Roman"/>
          <w:color w:val="000000" w:themeColor="text1"/>
          <w:kern w:val="2"/>
          <w:sz w:val="16"/>
          <w:szCs w:val="16"/>
        </w:rPr>
        <w:t>.</w:t>
      </w:r>
    </w:p>
    <w:p w14:paraId="0E5221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1953 г. создана лаборатория изделий бытовой аппаратуры. С 1960 г. начат выпуск телевизоров. В 1974-75 г. проведена реконструкция телевизионного цеха (проект- начальник КБ КТО  Г.В. Лахвицкий). В 1986-87г,- вторая реконструкция телевизионного производства с установкой модульных линий.</w:t>
      </w:r>
    </w:p>
    <w:p w14:paraId="7FEB3A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1966 г. ГС завод № 197 переименован в ГТЗ им. В.И. Ленина. Входил в состав ПО «Радий».</w:t>
      </w:r>
    </w:p>
    <w:p w14:paraId="7E318C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1998 г. выпущено более 20 типов РЛС.</w:t>
      </w:r>
    </w:p>
    <w:p w14:paraId="4DED0E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(2002 г.): дежурные средства РЛ метрового диапазона, аппаратура: сопряжения РЛС со стрельбовыми комплексами, для обучения и тренировки расчетов РЛС; модернизация РЛС.</w:t>
      </w:r>
    </w:p>
    <w:p w14:paraId="1A4785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10.1992 г. завод акционирован и преобразован в АООТ «НИТЕЛ», затем- ОАО. По решению правительства № 22-р от 9.01.2004 г. ОАО вошло в перечень стратегических предприятий.</w:t>
      </w:r>
    </w:p>
    <w:p w14:paraId="44E44B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Директор (-16.05.1937 г.)- А.А. Соколенко; и.о. (16.05-10.1937 г.-)- Н.В. Добров; (-05-12.1938 г.-)- Н.В. Добров, (-1941 г.)- А.А. Форштер, (1960-е)- В.К. Мошков, (1986 г.)- </w:t>
      </w:r>
      <w:r w:rsidRPr="002F2FDF">
        <w:rPr>
          <w:rFonts w:ascii="Times New Roman" w:hAnsi="Times New Roman" w:cs="Times New Roman"/>
          <w:color w:val="000000" w:themeColor="text1"/>
          <w:kern w:val="2"/>
          <w:sz w:val="16"/>
          <w:szCs w:val="16"/>
          <w:lang w:val="en-US"/>
        </w:rPr>
        <w:t>B</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C</w:t>
      </w:r>
      <w:r w:rsidRPr="002F2FDF">
        <w:rPr>
          <w:rFonts w:ascii="Times New Roman" w:hAnsi="Times New Roman" w:cs="Times New Roman"/>
          <w:color w:val="000000" w:themeColor="text1"/>
          <w:kern w:val="2"/>
          <w:sz w:val="16"/>
          <w:szCs w:val="16"/>
        </w:rPr>
        <w:t>. Копылов. Гендиректор (2002 г.)- В.Ф. Казаков, (2003 г.-)- С. Б. Самойлов.</w:t>
      </w:r>
    </w:p>
    <w:p w14:paraId="05232C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директора (17.12.1938 г.-)- А.И. Васильев. Зам. гендиректора по кадровым вопросам и социальной сфере-  Г.А. Котлярова.</w:t>
      </w:r>
    </w:p>
    <w:p w14:paraId="316AFE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Технический директор (2002 г.)- Э.Л. Воловский, А.В. Воробьев. Финансовый директор (2002 г.)- С.А. Бушуев.</w:t>
      </w:r>
    </w:p>
    <w:p w14:paraId="70BBE0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Гл. инженер (17.12.1938 г.-)- А.И. Васильев, (1986 г.)- </w:t>
      </w:r>
      <w:r w:rsidRPr="002F2FDF">
        <w:rPr>
          <w:rFonts w:ascii="Times New Roman" w:hAnsi="Times New Roman" w:cs="Times New Roman"/>
          <w:color w:val="000000" w:themeColor="text1"/>
          <w:kern w:val="2"/>
          <w:sz w:val="16"/>
          <w:szCs w:val="16"/>
          <w:lang w:val="en-US"/>
        </w:rPr>
        <w:t>A</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M</w:t>
      </w:r>
      <w:r w:rsidRPr="002F2FDF">
        <w:rPr>
          <w:rFonts w:ascii="Times New Roman" w:hAnsi="Times New Roman" w:cs="Times New Roman"/>
          <w:color w:val="000000" w:themeColor="text1"/>
          <w:kern w:val="2"/>
          <w:sz w:val="16"/>
          <w:szCs w:val="16"/>
        </w:rPr>
        <w:t>. Александров, (2002 г.)- С.Х. Тибилов.</w:t>
      </w:r>
    </w:p>
    <w:p w14:paraId="729A6C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гл. инженера (1986 г.)- О.В. Татарчук.</w:t>
      </w:r>
    </w:p>
    <w:p w14:paraId="294457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конструктор (1930-е)- И.А. Щербаковский, В.Н. Марков.</w:t>
      </w:r>
    </w:p>
    <w:p w14:paraId="3DCDC1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гл. технолога (-1951 г.)- А.П. Щепин, Н.П. Калягин.</w:t>
      </w:r>
    </w:p>
    <w:p w14:paraId="19827C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отделов: специальной телефонии (1937 г.-)- Б.С. Тамаркин; (1936 г.-)- А.А. Форштер; лабораторий: изделий бытовой аппаратуры (1953 г.-)- Б.И. Аникин.</w:t>
      </w:r>
    </w:p>
    <w:p w14:paraId="3DDC84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конструкторы: (1944 г.)- М.М. Савинов (РСБ-5), (1947 г.)- Н.Д. Елкин (РСБ-70), (1985 г.)- А.А. Местер (ЗУСЦТ 51/61), (1992 г.)- В.М. Сафронов (УСЦТ1-51/61), (1993 г.)- С.И. Ярошук (НСП-001), (1990-е)- А.В. Филиппов (видеотехника).</w:t>
      </w:r>
    </w:p>
    <w:p w14:paraId="4FC9E9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телефонные аппараты: типа «Гейслер», системы Ботяновского, ЦБ, МБ, унифицированные военно-полевые УНА-Ф-28, -Ф-31, -И-28, -И-31, Т-2, Т-4 (1941-42), Т (1947); коммутаторы: КОФ, РЭ-112, К-7, К-3 (1933-39); переговорные устройства: ТАГ, ТТС, К-2, БПУ (1935-47), самолетные СПУбис, СПУ-2, СПУ-3 (- 1938-41-), танковые ТПУбис, ТПУ-2, ТПУ-3 (ВОВ); головные гарнитуры (1941-49); радиостанции: артполка 31- ДП, артдивизиона 32-ДП, пехотного полка 5-ДП, кавалерийского полка 24-ТВ (1929-)- всего около 200, дивизионная 23-ТВ (1929-30)- 20, 5-АК (1931-), 6-ПК (1931-), 11-А, 34-ДП (1931-), самолетные 15-СК, 5-СУ, РСВС, РСВС-1 (Луч-1), РТБ, РТБ-К, РСБ «Двина» (1938), РСБ-М, РСД, РСД-М (1933-37), наземные ЗА, П-АК (1933-37), РАФ, РАФ-КВ (1940), РАФ-КВбис, -КВ-3, -КВ-4, -КВ-5, «Дельфин» (1940-45), РК-05, РК-005 (1945), РСБ-Ф, РСВС-2 (1938), танковая РТУ-3 (1938), радиоприводная АПР-3, пеленгационная 54ДП, РТУ, РСУ «Терек» (1941-), ПАР-3, МПАР-2, командный радиоузел РУК, СРКС-00, РСБ-Збис, РД-5, ПАРКС-008, РАС-УКВ «Чернослив» (1950-), ПАР-7 (1946-51); радиоприемники: «УС» (ВОВ), ПР-4, УС-М (1946-51); радиопередатчики: РСБ-70 «Беркут», «Дунай» (1947-), РСБ-5 «Днепр», «Ока» (1948-), РСД-Д, РЗБ-5 (1946-51), «Кама», «Висла»; радиомаркерный пункт ПРМ-49; РЛС: П-ЗА (1948-), П-8, П-10, П-12, П-14 «Лена» (1959-), П-18-2,1РЛ113, 44Ж6, 55Ж6-1, 5Н84, 1Л13-3 (2002);</w:t>
      </w:r>
      <w:r w:rsidRPr="002F2FDF">
        <w:rPr>
          <w:rFonts w:ascii="Times New Roman" w:hAnsi="Times New Roman" w:cs="Times New Roman"/>
          <w:color w:val="000000" w:themeColor="text1"/>
          <w:kern w:val="2"/>
          <w:sz w:val="16"/>
          <w:szCs w:val="16"/>
          <w:vertAlign w:val="superscript"/>
        </w:rPr>
        <w:t>69</w:t>
      </w:r>
      <w:r w:rsidRPr="002F2FDF">
        <w:rPr>
          <w:rFonts w:ascii="Times New Roman" w:hAnsi="Times New Roman" w:cs="Times New Roman"/>
          <w:color w:val="000000" w:themeColor="text1"/>
          <w:kern w:val="2"/>
          <w:sz w:val="16"/>
          <w:szCs w:val="16"/>
        </w:rPr>
        <w:t xml:space="preserve"> АРЛСК 1РЛ116, 5Н85, 36Ж6; головные телефоны, микрофоны, микротелефоны, ларингофоны, джеки, динамики (1938); радиотеодолит для слежения за радиозондом; антенны АНВ, АНД для передачи телеметрических данных первых ИСЗ (1956-57); радиоприемники бытовые: ЛДВ-7-1, П-5, П-8 (1920-е), АРЗ, «Мелодия»; громкоговоритель «А» (1924-25); репродукторы: «Рекорд», «Рекорд-2, -3, -4 (1933), -5», «Зорька», «Пролетарий»; радиолы: «Балтика», «Соната», «Мелодия», «Октава» (1958-); телерадиола «Призма» (1961-); телевизоры: «Радий» (I960-), «Радий-А (1962-), -Б (1965-), -И (1966-)»- всего 765.500, «Чайка», «Чайка-2 (1967-), -4 (1970-), -5, -20, -201, -202, -205, -206, -207 (-1990)- всего 4.234.900, 34ТБ-424, 24ТБ-507, -701 (УЛПЦТ 59/61, 1974-), -711, -714 (1978-), -718, -722, -738, -739- всего 1.059.780, Ц-202, -275, -280 (ЗУСЦТ 51/61, 1985-), - 310, -380, 51ТЦ-310, 61ТЦ-330, 51ТЦ-423, 61ТЦ-437(-1992&gt; всего 1.823.750, 51ТЦ-441 (1992-), 61ТЦ-469», «Нител» 31ТБ-414, 31ТБ-424, 54ТЦ-480, 54ТЦ-4214, 51ТЦ-5187, 61ТЦ-5188, 61ТЦ-5190, 54ТЦ-5191,37ТЦ-5213 (- 1997)- всего 342.220; видеоплееры «Нител» </w:t>
      </w:r>
      <w:r w:rsidRPr="002F2FDF">
        <w:rPr>
          <w:rFonts w:ascii="Times New Roman" w:hAnsi="Times New Roman" w:cs="Times New Roman"/>
          <w:color w:val="000000" w:themeColor="text1"/>
          <w:kern w:val="2"/>
          <w:sz w:val="16"/>
          <w:szCs w:val="16"/>
          <w:lang w:val="en-US"/>
        </w:rPr>
        <w:t>VC</w:t>
      </w:r>
      <w:r w:rsidRPr="002F2FDF">
        <w:rPr>
          <w:rFonts w:ascii="Times New Roman" w:hAnsi="Times New Roman" w:cs="Times New Roman"/>
          <w:color w:val="000000" w:themeColor="text1"/>
          <w:kern w:val="2"/>
          <w:sz w:val="16"/>
          <w:szCs w:val="16"/>
        </w:rPr>
        <w:t xml:space="preserve">-50 (1994-), </w:t>
      </w:r>
      <w:r w:rsidRPr="002F2FDF">
        <w:rPr>
          <w:rFonts w:ascii="Times New Roman" w:hAnsi="Times New Roman" w:cs="Times New Roman"/>
          <w:color w:val="000000" w:themeColor="text1"/>
          <w:kern w:val="2"/>
          <w:sz w:val="16"/>
          <w:szCs w:val="16"/>
          <w:lang w:val="en-US"/>
        </w:rPr>
        <w:t>VC</w:t>
      </w:r>
      <w:r w:rsidRPr="002F2FDF">
        <w:rPr>
          <w:rFonts w:ascii="Times New Roman" w:hAnsi="Times New Roman" w:cs="Times New Roman"/>
          <w:color w:val="000000" w:themeColor="text1"/>
          <w:kern w:val="2"/>
          <w:sz w:val="16"/>
          <w:szCs w:val="16"/>
        </w:rPr>
        <w:t xml:space="preserve">-55, видеодвойка «Нител» 55-ТЦ (-1997)- всего 7830; наземная станция приема спутникового телевидения «Чайка НСП-001» (1993-).' </w:t>
      </w:r>
      <w:r w:rsidRPr="002F2FDF">
        <w:rPr>
          <w:rFonts w:ascii="Times New Roman" w:hAnsi="Times New Roman" w:cs="Times New Roman"/>
          <w:color w:val="000000" w:themeColor="text1"/>
          <w:kern w:val="2"/>
          <w:sz w:val="16"/>
          <w:szCs w:val="16"/>
          <w:vertAlign w:val="superscript"/>
          <w:lang w:val="en-US"/>
        </w:rPr>
        <w:t>aa</w:t>
      </w:r>
      <w:r w:rsidRPr="002F2FDF">
        <w:rPr>
          <w:rFonts w:ascii="Times New Roman" w:hAnsi="Times New Roman" w:cs="Times New Roman"/>
          <w:strike/>
          <w:color w:val="000000" w:themeColor="text1"/>
          <w:kern w:val="2"/>
          <w:sz w:val="16"/>
          <w:szCs w:val="16"/>
          <w:vertAlign w:val="superscript"/>
        </w:rPr>
        <w:t>?</w:t>
      </w:r>
      <w:r w:rsidRPr="002F2FDF">
        <w:rPr>
          <w:rFonts w:ascii="Times New Roman" w:hAnsi="Times New Roman" w:cs="Times New Roman"/>
          <w:strike/>
          <w:color w:val="000000" w:themeColor="text1"/>
          <w:kern w:val="2"/>
          <w:sz w:val="16"/>
          <w:szCs w:val="16"/>
          <w:vertAlign w:val="superscript"/>
          <w:lang w:val="en-US"/>
        </w:rPr>
        <w:t>wn</w:t>
      </w:r>
      <w:r w:rsidRPr="002F2FDF">
        <w:rPr>
          <w:rFonts w:ascii="Times New Roman" w:hAnsi="Times New Roman" w:cs="Times New Roman"/>
          <w:strike/>
          <w:color w:val="000000" w:themeColor="text1"/>
          <w:kern w:val="2"/>
          <w:sz w:val="16"/>
          <w:szCs w:val="16"/>
        </w:rPr>
        <w:t>"'</w:t>
      </w:r>
      <w:r w:rsidRPr="002F2FDF">
        <w:rPr>
          <w:rFonts w:ascii="Times New Roman" w:hAnsi="Times New Roman" w:cs="Times New Roman"/>
          <w:strike/>
          <w:color w:val="000000" w:themeColor="text1"/>
          <w:kern w:val="2"/>
          <w:sz w:val="16"/>
          <w:szCs w:val="16"/>
          <w:vertAlign w:val="superscript"/>
          <w:lang w:val="en-US"/>
        </w:rPr>
        <w:t>semnJu</w:t>
      </w:r>
      <w:r w:rsidRPr="002F2FDF">
        <w:rPr>
          <w:rFonts w:ascii="Times New Roman" w:hAnsi="Times New Roman" w:cs="Times New Roman"/>
          <w:strike/>
          <w:color w:val="000000" w:themeColor="text1"/>
          <w:kern w:val="2"/>
          <w:sz w:val="16"/>
          <w:szCs w:val="16"/>
          <w:vertAlign w:val="superscript"/>
        </w:rPr>
        <w:t>/</w:t>
      </w:r>
      <w:r w:rsidRPr="002F2FDF">
        <w:rPr>
          <w:rFonts w:ascii="Times New Roman" w:hAnsi="Times New Roman" w:cs="Times New Roman"/>
          <w:strike/>
          <w:color w:val="000000" w:themeColor="text1"/>
          <w:kern w:val="2"/>
          <w:sz w:val="16"/>
          <w:szCs w:val="16"/>
          <w:vertAlign w:val="superscript"/>
          <w:lang w:val="en-US"/>
        </w:rPr>
        <w:t>M</w:t>
      </w:r>
      <w:r w:rsidRPr="002F2FDF">
        <w:rPr>
          <w:rFonts w:ascii="Times New Roman" w:hAnsi="Times New Roman" w:cs="Times New Roman"/>
          <w:strike/>
          <w:color w:val="000000" w:themeColor="text1"/>
          <w:kern w:val="2"/>
          <w:sz w:val="16"/>
          <w:szCs w:val="16"/>
          <w:vertAlign w:val="superscript"/>
        </w:rPr>
        <w:t>185</w:t>
      </w:r>
      <w:r w:rsidRPr="002F2FDF">
        <w:rPr>
          <w:rFonts w:ascii="Times New Roman" w:hAnsi="Times New Roman" w:cs="Times New Roman"/>
          <w:color w:val="000000" w:themeColor="text1"/>
          <w:kern w:val="2"/>
          <w:sz w:val="16"/>
          <w:szCs w:val="16"/>
          <w:vertAlign w:val="superscript"/>
        </w:rPr>
        <w:t>1</w:t>
      </w:r>
    </w:p>
    <w:p w14:paraId="100B2A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СКБ завода № 197, СКБ-197, КБ ГТЗ им. Ленина, Горысовский НИИРТ (ГНИИРТ), ФГУП ФНПЦ «Нижегородский НИИ радиотехники» (ННИИРТ)</w:t>
      </w:r>
    </w:p>
    <w:p w14:paraId="176BFD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/603600 (603950)  г. Нижний Новгород ул. Шапошникова, 5(7) тел. 65-00-69,64-02-83/</w:t>
      </w:r>
    </w:p>
    <w:p w14:paraId="24E6EE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СКБ завода № 197 образовано 30.09.1947 г. для разработки связных самолетных и аэродромных радиостанций и модернизации </w:t>
      </w:r>
      <w:r w:rsidRPr="002F2FDF">
        <w:rPr>
          <w:rFonts w:ascii="Times New Roman" w:hAnsi="Times New Roman" w:cs="Times New Roman"/>
          <w:color w:val="000000" w:themeColor="text1"/>
          <w:kern w:val="2"/>
          <w:sz w:val="16"/>
          <w:szCs w:val="16"/>
          <w:lang w:val="en-US"/>
        </w:rPr>
        <w:t>PJIC</w:t>
      </w:r>
      <w:r w:rsidRPr="002F2FDF">
        <w:rPr>
          <w:rFonts w:ascii="Times New Roman" w:hAnsi="Times New Roman" w:cs="Times New Roman"/>
          <w:color w:val="000000" w:themeColor="text1"/>
          <w:kern w:val="2"/>
          <w:sz w:val="16"/>
          <w:szCs w:val="16"/>
        </w:rPr>
        <w:t xml:space="preserve"> П-3. По 1952 г. создано 10 типов и модификаций радиостанций.</w:t>
      </w:r>
    </w:p>
    <w:p w14:paraId="4A5021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распоряжению правительства № 5050-рс от 20.08.1956 г. научно-исследовательский радиофизический институт размещен в помещениях Горьковского суворовского училища.</w:t>
      </w:r>
    </w:p>
    <w:p w14:paraId="7F18F0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1953 г. начата разработка </w:t>
      </w:r>
      <w:r w:rsidRPr="002F2FDF">
        <w:rPr>
          <w:rFonts w:ascii="Times New Roman" w:hAnsi="Times New Roman" w:cs="Times New Roman"/>
          <w:color w:val="000000" w:themeColor="text1"/>
          <w:kern w:val="2"/>
          <w:sz w:val="16"/>
          <w:szCs w:val="16"/>
          <w:lang w:val="en-US"/>
        </w:rPr>
        <w:t>PJIC</w:t>
      </w:r>
      <w:r w:rsidRPr="002F2FDF">
        <w:rPr>
          <w:rFonts w:ascii="Times New Roman" w:hAnsi="Times New Roman" w:cs="Times New Roman"/>
          <w:color w:val="000000" w:themeColor="text1"/>
          <w:kern w:val="2"/>
          <w:sz w:val="16"/>
          <w:szCs w:val="16"/>
        </w:rPr>
        <w:t xml:space="preserve"> для войск ПВО: первые отечественные </w:t>
      </w:r>
      <w:r w:rsidRPr="002F2FDF">
        <w:rPr>
          <w:rFonts w:ascii="Times New Roman" w:hAnsi="Times New Roman" w:cs="Times New Roman"/>
          <w:color w:val="000000" w:themeColor="text1"/>
          <w:kern w:val="2"/>
          <w:sz w:val="16"/>
          <w:szCs w:val="16"/>
          <w:lang w:val="en-US"/>
        </w:rPr>
        <w:t>PJIC</w:t>
      </w:r>
      <w:r w:rsidRPr="002F2FDF">
        <w:rPr>
          <w:rFonts w:ascii="Times New Roman" w:hAnsi="Times New Roman" w:cs="Times New Roman"/>
          <w:color w:val="000000" w:themeColor="text1"/>
          <w:kern w:val="2"/>
          <w:sz w:val="16"/>
          <w:szCs w:val="16"/>
        </w:rPr>
        <w:t xml:space="preserve">: с индикатором кругового обзора П-8; с перестройкой частоты П-10; П-12 с когерентно-компенсационной аппаратурой СДЦ; высокопотенциальная П-14 (пнв пост. СМ СССР № 640-288 от 16.06.1959 г.); метрового диапазона с </w:t>
      </w:r>
      <w:r w:rsidRPr="002F2FDF">
        <w:rPr>
          <w:rFonts w:ascii="Times New Roman" w:hAnsi="Times New Roman" w:cs="Times New Roman"/>
          <w:color w:val="000000" w:themeColor="text1"/>
          <w:kern w:val="2"/>
          <w:sz w:val="16"/>
          <w:szCs w:val="16"/>
          <w:lang w:val="en-US"/>
        </w:rPr>
        <w:t>JI</w:t>
      </w:r>
      <w:r w:rsidRPr="002F2FDF">
        <w:rPr>
          <w:rFonts w:ascii="Times New Roman" w:hAnsi="Times New Roman" w:cs="Times New Roman"/>
          <w:color w:val="000000" w:themeColor="text1"/>
          <w:kern w:val="2"/>
          <w:sz w:val="16"/>
          <w:szCs w:val="16"/>
        </w:rPr>
        <w:t>4</w:t>
      </w:r>
      <w:r w:rsidRPr="002F2FDF">
        <w:rPr>
          <w:rFonts w:ascii="Times New Roman" w:hAnsi="Times New Roman" w:cs="Times New Roman"/>
          <w:color w:val="000000" w:themeColor="text1"/>
          <w:kern w:val="2"/>
          <w:sz w:val="16"/>
          <w:szCs w:val="16"/>
          <w:lang w:val="en-US"/>
        </w:rPr>
        <w:t>M</w:t>
      </w:r>
      <w:r w:rsidRPr="002F2FDF">
        <w:rPr>
          <w:rFonts w:ascii="Times New Roman" w:hAnsi="Times New Roman" w:cs="Times New Roman"/>
          <w:color w:val="000000" w:themeColor="text1"/>
          <w:kern w:val="2"/>
          <w:sz w:val="16"/>
          <w:szCs w:val="16"/>
        </w:rPr>
        <w:t xml:space="preserve"> зондирующим сигналом П-70; трехкоординатная </w:t>
      </w:r>
      <w:r w:rsidRPr="002F2FDF">
        <w:rPr>
          <w:rFonts w:ascii="Times New Roman" w:hAnsi="Times New Roman" w:cs="Times New Roman"/>
          <w:color w:val="000000" w:themeColor="text1"/>
          <w:kern w:val="2"/>
          <w:sz w:val="16"/>
          <w:szCs w:val="16"/>
          <w:lang w:val="en-US"/>
        </w:rPr>
        <w:t>L</w:t>
      </w:r>
      <w:r w:rsidRPr="002F2FDF">
        <w:rPr>
          <w:rFonts w:ascii="Times New Roman" w:hAnsi="Times New Roman" w:cs="Times New Roman"/>
          <w:color w:val="000000" w:themeColor="text1"/>
          <w:kern w:val="2"/>
          <w:sz w:val="16"/>
          <w:szCs w:val="16"/>
        </w:rPr>
        <w:t xml:space="preserve">-диапазона (длинноволновая) 5Н69; первые в мире: подвижная трехкоординатная метровая 55Ж6; высокомобильная метровая </w:t>
      </w:r>
      <w:r w:rsidRPr="002F2FDF">
        <w:rPr>
          <w:rFonts w:ascii="Times New Roman" w:hAnsi="Times New Roman" w:cs="Times New Roman"/>
          <w:color w:val="000000" w:themeColor="text1"/>
          <w:kern w:val="2"/>
          <w:sz w:val="16"/>
          <w:szCs w:val="16"/>
          <w:lang w:val="en-US"/>
        </w:rPr>
        <w:t>PJTC</w:t>
      </w:r>
      <w:r w:rsidRPr="002F2FDF">
        <w:rPr>
          <w:rFonts w:ascii="Times New Roman" w:hAnsi="Times New Roman" w:cs="Times New Roman"/>
          <w:color w:val="000000" w:themeColor="text1"/>
          <w:kern w:val="2"/>
          <w:sz w:val="16"/>
          <w:szCs w:val="16"/>
        </w:rPr>
        <w:t xml:space="preserve"> с активной ФАР 1</w:t>
      </w:r>
      <w:r w:rsidRPr="002F2FDF">
        <w:rPr>
          <w:rFonts w:ascii="Times New Roman" w:hAnsi="Times New Roman" w:cs="Times New Roman"/>
          <w:color w:val="000000" w:themeColor="text1"/>
          <w:kern w:val="2"/>
          <w:sz w:val="16"/>
          <w:szCs w:val="16"/>
          <w:lang w:val="en-US"/>
        </w:rPr>
        <w:t>JI</w:t>
      </w:r>
      <w:r w:rsidRPr="002F2FDF">
        <w:rPr>
          <w:rFonts w:ascii="Times New Roman" w:hAnsi="Times New Roman" w:cs="Times New Roman"/>
          <w:color w:val="000000" w:themeColor="text1"/>
          <w:kern w:val="2"/>
          <w:sz w:val="16"/>
          <w:szCs w:val="16"/>
        </w:rPr>
        <w:t>119.</w:t>
      </w:r>
    </w:p>
    <w:p w14:paraId="7AD958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1966 г. предприятие переименовано в КБ ГТЗ им. Ленина и становится самостоятельным. В 1981 г. КБ преобразовано в ГНИИРТ. С 1990 г.- ННИИРТ. Входило в состав ПО «Радий».</w:t>
      </w:r>
    </w:p>
    <w:p w14:paraId="7F2459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Выполнена НИР «Ока» по разработке принципов построения </w:t>
      </w:r>
      <w:r w:rsidRPr="002F2FDF">
        <w:rPr>
          <w:rFonts w:ascii="Times New Roman" w:hAnsi="Times New Roman" w:cs="Times New Roman"/>
          <w:color w:val="000000" w:themeColor="text1"/>
          <w:kern w:val="2"/>
          <w:sz w:val="16"/>
          <w:szCs w:val="16"/>
          <w:lang w:val="en-US"/>
        </w:rPr>
        <w:t>PJIC</w:t>
      </w:r>
      <w:r w:rsidRPr="002F2FDF">
        <w:rPr>
          <w:rFonts w:ascii="Times New Roman" w:hAnsi="Times New Roman" w:cs="Times New Roman"/>
          <w:color w:val="000000" w:themeColor="text1"/>
          <w:kern w:val="2"/>
          <w:sz w:val="16"/>
          <w:szCs w:val="16"/>
        </w:rPr>
        <w:t xml:space="preserve"> с частотным качанием луча, создана </w:t>
      </w:r>
      <w:r w:rsidRPr="002F2FDF">
        <w:rPr>
          <w:rFonts w:ascii="Times New Roman" w:hAnsi="Times New Roman" w:cs="Times New Roman"/>
          <w:color w:val="000000" w:themeColor="text1"/>
          <w:kern w:val="2"/>
          <w:sz w:val="16"/>
          <w:szCs w:val="16"/>
          <w:lang w:val="en-US"/>
        </w:rPr>
        <w:t>PJIC</w:t>
      </w:r>
      <w:r w:rsidRPr="002F2FDF">
        <w:rPr>
          <w:rFonts w:ascii="Times New Roman" w:hAnsi="Times New Roman" w:cs="Times New Roman"/>
          <w:color w:val="000000" w:themeColor="text1"/>
          <w:kern w:val="2"/>
          <w:sz w:val="16"/>
          <w:szCs w:val="16"/>
        </w:rPr>
        <w:t xml:space="preserve"> 5Н69.</w:t>
      </w:r>
    </w:p>
    <w:p w14:paraId="30867B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начала 1980-х  г.- разработка вертолетных </w:t>
      </w:r>
      <w:r w:rsidRPr="002F2FDF">
        <w:rPr>
          <w:rFonts w:ascii="Times New Roman" w:hAnsi="Times New Roman" w:cs="Times New Roman"/>
          <w:color w:val="000000" w:themeColor="text1"/>
          <w:kern w:val="2"/>
          <w:sz w:val="16"/>
          <w:szCs w:val="16"/>
          <w:lang w:val="en-US"/>
        </w:rPr>
        <w:t>PJIC</w:t>
      </w:r>
      <w:r w:rsidRPr="002F2FDF">
        <w:rPr>
          <w:rFonts w:ascii="Times New Roman" w:hAnsi="Times New Roman" w:cs="Times New Roman"/>
          <w:color w:val="000000" w:themeColor="text1"/>
          <w:kern w:val="2"/>
          <w:sz w:val="16"/>
          <w:szCs w:val="16"/>
        </w:rPr>
        <w:t xml:space="preserve"> обнаружения малоразмерных воздушных целей на малой высоте над водной и земной поверхностью («на просвет»). Велись работы по </w:t>
      </w:r>
      <w:r w:rsidRPr="002F2FDF">
        <w:rPr>
          <w:rFonts w:ascii="Times New Roman" w:hAnsi="Times New Roman" w:cs="Times New Roman"/>
          <w:color w:val="000000" w:themeColor="text1"/>
          <w:kern w:val="2"/>
          <w:sz w:val="16"/>
          <w:szCs w:val="16"/>
          <w:lang w:val="en-US"/>
        </w:rPr>
        <w:t>PJI</w:t>
      </w:r>
      <w:r w:rsidRPr="002F2FDF">
        <w:rPr>
          <w:rFonts w:ascii="Times New Roman" w:hAnsi="Times New Roman" w:cs="Times New Roman"/>
          <w:color w:val="000000" w:themeColor="text1"/>
          <w:kern w:val="2"/>
          <w:sz w:val="16"/>
          <w:szCs w:val="16"/>
        </w:rPr>
        <w:t xml:space="preserve"> обнаружению наземных целей.</w:t>
      </w:r>
    </w:p>
    <w:p w14:paraId="323C57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1995 г. предприятие освоило серийное производство своих разработок.</w:t>
      </w:r>
    </w:p>
    <w:p w14:paraId="4FFE7B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xml:space="preserve">Разработка (2002 г.): наземная и бортовая аппаратура радионавигации </w:t>
      </w:r>
      <w:r w:rsidRPr="002F2FDF">
        <w:rPr>
          <w:rFonts w:ascii="Times New Roman" w:hAnsi="Times New Roman" w:cs="Times New Roman"/>
          <w:color w:val="000000" w:themeColor="text1"/>
          <w:kern w:val="2"/>
          <w:sz w:val="16"/>
          <w:szCs w:val="16"/>
          <w:lang w:val="en-US"/>
        </w:rPr>
        <w:t>JIA</w:t>
      </w:r>
      <w:r w:rsidRPr="002F2FDF">
        <w:rPr>
          <w:rFonts w:ascii="Times New Roman" w:hAnsi="Times New Roman" w:cs="Times New Roman"/>
          <w:color w:val="000000" w:themeColor="text1"/>
          <w:kern w:val="2"/>
          <w:sz w:val="16"/>
          <w:szCs w:val="16"/>
        </w:rPr>
        <w:t xml:space="preserve">; системы дальнего обнаружения; </w:t>
      </w:r>
      <w:r w:rsidRPr="002F2FDF">
        <w:rPr>
          <w:rFonts w:ascii="Times New Roman" w:hAnsi="Times New Roman" w:cs="Times New Roman"/>
          <w:color w:val="000000" w:themeColor="text1"/>
          <w:kern w:val="2"/>
          <w:sz w:val="16"/>
          <w:szCs w:val="16"/>
          <w:lang w:val="en-US"/>
        </w:rPr>
        <w:t>PJIC</w:t>
      </w:r>
      <w:r w:rsidRPr="002F2FDF">
        <w:rPr>
          <w:rFonts w:ascii="Times New Roman" w:hAnsi="Times New Roman" w:cs="Times New Roman"/>
          <w:color w:val="000000" w:themeColor="text1"/>
          <w:kern w:val="2"/>
          <w:sz w:val="16"/>
          <w:szCs w:val="16"/>
        </w:rPr>
        <w:t xml:space="preserve"> ветрового зондирования атмосферы; многоканальные системы передачи информации; комплексы автоматизированного управления насосными агрегатами.</w:t>
      </w:r>
      <w:r w:rsidRPr="002F2FDF">
        <w:rPr>
          <w:rFonts w:ascii="Times New Roman" w:hAnsi="Times New Roman" w:cs="Times New Roman"/>
          <w:color w:val="000000" w:themeColor="text1"/>
          <w:kern w:val="2"/>
          <w:sz w:val="16"/>
          <w:szCs w:val="16"/>
          <w:vertAlign w:val="superscript"/>
        </w:rPr>
        <w:t>69</w:t>
      </w:r>
    </w:p>
    <w:p w14:paraId="70CCEE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2004 г. создано более 35 типов </w:t>
      </w:r>
      <w:r w:rsidRPr="002F2FDF">
        <w:rPr>
          <w:rFonts w:ascii="Times New Roman" w:hAnsi="Times New Roman" w:cs="Times New Roman"/>
          <w:color w:val="000000" w:themeColor="text1"/>
          <w:kern w:val="2"/>
          <w:sz w:val="16"/>
          <w:szCs w:val="16"/>
          <w:lang w:val="en-US"/>
        </w:rPr>
        <w:t>PJIC</w:t>
      </w:r>
      <w:r w:rsidRPr="002F2FDF">
        <w:rPr>
          <w:rFonts w:ascii="Times New Roman" w:hAnsi="Times New Roman" w:cs="Times New Roman"/>
          <w:color w:val="000000" w:themeColor="text1"/>
          <w:kern w:val="2"/>
          <w:sz w:val="16"/>
          <w:szCs w:val="16"/>
        </w:rPr>
        <w:t>, из них 26 строились серийно.</w:t>
      </w:r>
    </w:p>
    <w:p w14:paraId="00EE05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Указу Президента РФ № 1009 от 4.08.2004 г. вошел в число стратегических оборонных предприятий. Имел статус ФНПЦ (2005 г.). По Указу Президента РФ в 02.2007 г. исключен из перечня стратегических предприятий. По Указу Президента РФ в 03.2007 г. включен в состав Концерна ПВО «Алмаз-Антей».</w:t>
      </w:r>
    </w:p>
    <w:p w14:paraId="465882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(2004 г.)- 2500 чел.</w:t>
      </w:r>
    </w:p>
    <w:p w14:paraId="4CA217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И.О. начальника (1947 г.-)- В.А. Авдентов. Начальник (1947 г.-)- В.А. Авдентов; и.о. (1948 г.)- Е.А. Меркин; (-1949 г.)- Е.А. Меркин, (1956; 1966 г.-)- Л.И. Панкратов, (1957-; -1981 г.)-  Г.К. Киселев. Директор (1981-94 г.)- В.А. Проскурин, (-2002-06 г.)- В.В. Москаленко, (2006-07 г.-&gt; А.А. Таныгин.</w:t>
      </w:r>
      <w:r w:rsidRPr="002F2FDF">
        <w:rPr>
          <w:rFonts w:ascii="Times New Roman" w:hAnsi="Times New Roman" w:cs="Times New Roman"/>
          <w:color w:val="000000" w:themeColor="text1"/>
          <w:kern w:val="2"/>
          <w:sz w:val="16"/>
          <w:szCs w:val="16"/>
          <w:vertAlign w:val="superscript"/>
        </w:rPr>
        <w:t>130</w:t>
      </w:r>
    </w:p>
    <w:p w14:paraId="017CE6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1-й зам. директора (2007 г.)- А.Б. Бляхман. Зам. начальника по производству (-1971 г.)- В.А. Авдентов. Зам. директора: по научной работе (-1994 г.)- В.А. Антонов, по науке (-2005 г.)- А.А. Зачепицкий; по производству- В.В. Москаленко.</w:t>
      </w:r>
    </w:p>
    <w:p w14:paraId="2F94F2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конструктор- М. Лейких («Противник»), А.А. Зачепицкий.</w:t>
      </w:r>
      <w:r w:rsidRPr="002F2FDF">
        <w:rPr>
          <w:rFonts w:ascii="Times New Roman" w:hAnsi="Times New Roman" w:cs="Times New Roman"/>
          <w:color w:val="000000" w:themeColor="text1"/>
          <w:kern w:val="2"/>
          <w:sz w:val="16"/>
          <w:szCs w:val="16"/>
          <w:vertAlign w:val="superscript"/>
        </w:rPr>
        <w:t>63</w:t>
      </w:r>
      <w:r w:rsidRPr="002F2FDF">
        <w:rPr>
          <w:rFonts w:ascii="Times New Roman" w:hAnsi="Times New Roman" w:cs="Times New Roman"/>
          <w:color w:val="000000" w:themeColor="text1"/>
          <w:kern w:val="2"/>
          <w:sz w:val="16"/>
          <w:szCs w:val="16"/>
        </w:rPr>
        <w:t xml:space="preserve"> Ген. конструктор- А.Б. Бляхман, (-2005 г.)- А.А. Зачепицкий.</w:t>
      </w:r>
    </w:p>
    <w:p w14:paraId="00365D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инженер (-1950 г.)- Н.И. Угланов, (1952-81 г.)- Е.В. Бухвалов, (-1994 г.)- В.А. Антонов, (-2001 г.)- В.М. Марескин.</w:t>
      </w:r>
    </w:p>
    <w:p w14:paraId="40A94E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гл. инженера- А.Б. Бляхман, Н.С. Ерофеев, А.И. Калинцев, В.В. Москаленко.</w:t>
      </w:r>
    </w:p>
    <w:p w14:paraId="3A2462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производства (1972-79 г.)- Ю.П. Минаев; производства шефмонтажных и регулировочных работ, гарантийного и послегарантийного обслуживания эксплуатируемых изделий (2007 г.)- А.И. Калинцев.</w:t>
      </w:r>
    </w:p>
    <w:p w14:paraId="20DB90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конструкторы: В.А. Антонов (Э-801), Е.В. Бухвалов (П-ЗА, -8, -10, -12, -12М, -95), И. Г. Крылов (1Л13, 1Л119); направления (2007 г.)- А.Д. Бомштейн.</w:t>
      </w:r>
    </w:p>
    <w:p w14:paraId="223D43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Зам. гл. конструкторов: В.А. Антонов (5Н84А, 55Ж6, 1Л13), А.Д. Бомштейн (55Ж6У), Н.М. Вагин (1Л13), </w:t>
      </w:r>
      <w:r w:rsidRPr="002F2FDF">
        <w:rPr>
          <w:rFonts w:ascii="Times New Roman" w:hAnsi="Times New Roman" w:cs="Times New Roman"/>
          <w:color w:val="000000" w:themeColor="text1"/>
          <w:kern w:val="2"/>
          <w:sz w:val="16"/>
          <w:szCs w:val="16"/>
          <w:lang w:val="en-US"/>
        </w:rPr>
        <w:t>P</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M</w:t>
      </w:r>
      <w:r w:rsidRPr="002F2FDF">
        <w:rPr>
          <w:rFonts w:ascii="Times New Roman" w:hAnsi="Times New Roman" w:cs="Times New Roman"/>
          <w:color w:val="000000" w:themeColor="text1"/>
          <w:kern w:val="2"/>
          <w:sz w:val="16"/>
          <w:szCs w:val="16"/>
        </w:rPr>
        <w:t xml:space="preserve">. Глухих (П-14, -14Ф, -70, 5Н69), А.И. Калинцев (55Ж6, 55Ж6У), </w:t>
      </w:r>
      <w:r w:rsidRPr="002F2FDF">
        <w:rPr>
          <w:rFonts w:ascii="Times New Roman" w:hAnsi="Times New Roman" w:cs="Times New Roman"/>
          <w:color w:val="000000" w:themeColor="text1"/>
          <w:kern w:val="2"/>
          <w:sz w:val="16"/>
          <w:szCs w:val="16"/>
          <w:lang w:val="en-US"/>
        </w:rPr>
        <w:t>B</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C</w:t>
      </w:r>
      <w:r w:rsidRPr="002F2FDF">
        <w:rPr>
          <w:rFonts w:ascii="Times New Roman" w:hAnsi="Times New Roman" w:cs="Times New Roman"/>
          <w:color w:val="000000" w:themeColor="text1"/>
          <w:kern w:val="2"/>
          <w:sz w:val="16"/>
          <w:szCs w:val="16"/>
        </w:rPr>
        <w:t xml:space="preserve">. Каненгисер (55Ж6У), А.В. Карпов (П- 14), </w:t>
      </w:r>
      <w:r w:rsidRPr="002F2FDF">
        <w:rPr>
          <w:rFonts w:ascii="Times New Roman" w:hAnsi="Times New Roman" w:cs="Times New Roman"/>
          <w:color w:val="000000" w:themeColor="text1"/>
          <w:kern w:val="2"/>
          <w:sz w:val="16"/>
          <w:szCs w:val="16"/>
          <w:lang w:val="en-US"/>
        </w:rPr>
        <w:t>A</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M</w:t>
      </w:r>
      <w:r w:rsidRPr="002F2FDF">
        <w:rPr>
          <w:rFonts w:ascii="Times New Roman" w:hAnsi="Times New Roman" w:cs="Times New Roman"/>
          <w:color w:val="000000" w:themeColor="text1"/>
          <w:kern w:val="2"/>
          <w:sz w:val="16"/>
          <w:szCs w:val="16"/>
        </w:rPr>
        <w:t xml:space="preserve">. Клячев (5Н69), А. Г. Крылов (5Н69), И. Г. Крылов (5Н84-А), В.М. Марескин (55Ж6, Э-801), В.В. Масленников (55Ж6, 55Ж6У, 1Л13, 1Л119), Н.С. Митрофанов (РАС-УКВ «Чернослив»), В.В. Москаленко (55Ж6), В.И. Овсянников (П-10, -12), Н.И. Полежаев (П-10, -12, -14), А.И. Резчиков (55Ж6, 55Ж6У), Ю.Н. Соколов (П-12, -12М, -14), (2000-е)- </w:t>
      </w:r>
      <w:r w:rsidRPr="002F2FDF">
        <w:rPr>
          <w:rFonts w:ascii="Times New Roman" w:hAnsi="Times New Roman" w:cs="Times New Roman"/>
          <w:color w:val="000000" w:themeColor="text1"/>
          <w:kern w:val="2"/>
          <w:sz w:val="16"/>
          <w:szCs w:val="16"/>
          <w:lang w:val="en-US"/>
        </w:rPr>
        <w:t>A</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M</w:t>
      </w:r>
      <w:r w:rsidRPr="002F2FDF">
        <w:rPr>
          <w:rFonts w:ascii="Times New Roman" w:hAnsi="Times New Roman" w:cs="Times New Roman"/>
          <w:color w:val="000000" w:themeColor="text1"/>
          <w:kern w:val="2"/>
          <w:sz w:val="16"/>
          <w:szCs w:val="16"/>
        </w:rPr>
        <w:t>. Флаум (55Ж6, 55Ж6У), В.А. Целибеев (5Н69, Э-801).</w:t>
      </w:r>
    </w:p>
    <w:p w14:paraId="234712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отделений: Н.С. Ерофеев, А.И. Калинцев, В.М. Марескин, В.В. Москаленко, В.А. Целибеев.</w:t>
      </w:r>
    </w:p>
    <w:p w14:paraId="78ADF8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начальника отделения: (2007 г.)- А.Д. Бомштейн, (-1990 г.)- В.А. Целибеев.</w:t>
      </w:r>
    </w:p>
    <w:p w14:paraId="452017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Начальники отделов: А.Б. Бляхман, (2007 г.)- А.Д. Бомштейн, Н.М. Вагин, </w:t>
      </w:r>
      <w:r w:rsidRPr="002F2FDF">
        <w:rPr>
          <w:rFonts w:ascii="Times New Roman" w:hAnsi="Times New Roman" w:cs="Times New Roman"/>
          <w:color w:val="000000" w:themeColor="text1"/>
          <w:kern w:val="2"/>
          <w:sz w:val="16"/>
          <w:szCs w:val="16"/>
          <w:lang w:val="en-US"/>
        </w:rPr>
        <w:t>P</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M</w:t>
      </w:r>
      <w:r w:rsidRPr="002F2FDF">
        <w:rPr>
          <w:rFonts w:ascii="Times New Roman" w:hAnsi="Times New Roman" w:cs="Times New Roman"/>
          <w:color w:val="000000" w:themeColor="text1"/>
          <w:kern w:val="2"/>
          <w:sz w:val="16"/>
          <w:szCs w:val="16"/>
        </w:rPr>
        <w:t xml:space="preserve">. Глухих, А.А. Зачепицкий, А.И. Калинцев, </w:t>
      </w:r>
      <w:r w:rsidRPr="002F2FDF">
        <w:rPr>
          <w:rFonts w:ascii="Times New Roman" w:hAnsi="Times New Roman" w:cs="Times New Roman"/>
          <w:color w:val="000000" w:themeColor="text1"/>
          <w:kern w:val="2"/>
          <w:sz w:val="16"/>
          <w:szCs w:val="16"/>
          <w:lang w:val="en-US"/>
        </w:rPr>
        <w:t>A</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M</w:t>
      </w:r>
      <w:r w:rsidRPr="002F2FDF">
        <w:rPr>
          <w:rFonts w:ascii="Times New Roman" w:hAnsi="Times New Roman" w:cs="Times New Roman"/>
          <w:color w:val="000000" w:themeColor="text1"/>
          <w:kern w:val="2"/>
          <w:sz w:val="16"/>
          <w:szCs w:val="16"/>
        </w:rPr>
        <w:t xml:space="preserve">. Клячев, В.М. Марескин, В.В. Москаленко, В.И. Овсянников, (-1958 г.)- Н.И. Полежаев, (2000-е)- А.И. Резчиков, (-1987 г.)- Ю.Н. Соколов, </w:t>
      </w:r>
      <w:r w:rsidRPr="002F2FDF">
        <w:rPr>
          <w:rFonts w:ascii="Times New Roman" w:hAnsi="Times New Roman" w:cs="Times New Roman"/>
          <w:color w:val="000000" w:themeColor="text1"/>
          <w:kern w:val="2"/>
          <w:sz w:val="16"/>
          <w:szCs w:val="16"/>
          <w:lang w:val="en-US"/>
        </w:rPr>
        <w:t>A</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M</w:t>
      </w:r>
      <w:r w:rsidRPr="002F2FDF">
        <w:rPr>
          <w:rFonts w:ascii="Times New Roman" w:hAnsi="Times New Roman" w:cs="Times New Roman"/>
          <w:color w:val="000000" w:themeColor="text1"/>
          <w:kern w:val="2"/>
          <w:sz w:val="16"/>
          <w:szCs w:val="16"/>
        </w:rPr>
        <w:t>. Флаум, (-1990 г.)- В.А. Целибеев.</w:t>
      </w:r>
    </w:p>
    <w:p w14:paraId="7B2ED8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Зам. начальника отдела: (2007 г.)- </w:t>
      </w:r>
      <w:r w:rsidRPr="002F2FDF">
        <w:rPr>
          <w:rFonts w:ascii="Times New Roman" w:hAnsi="Times New Roman" w:cs="Times New Roman"/>
          <w:color w:val="000000" w:themeColor="text1"/>
          <w:kern w:val="2"/>
          <w:sz w:val="16"/>
          <w:szCs w:val="16"/>
          <w:lang w:val="en-US"/>
        </w:rPr>
        <w:t>B</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C</w:t>
      </w:r>
      <w:r w:rsidRPr="002F2FDF">
        <w:rPr>
          <w:rFonts w:ascii="Times New Roman" w:hAnsi="Times New Roman" w:cs="Times New Roman"/>
          <w:color w:val="000000" w:themeColor="text1"/>
          <w:kern w:val="2"/>
          <w:sz w:val="16"/>
          <w:szCs w:val="16"/>
        </w:rPr>
        <w:t>. Каненгисер, (-1979 г.)- Ю.И. Пахомов.</w:t>
      </w:r>
    </w:p>
    <w:p w14:paraId="4F30EF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секторов: В.А. Антонов, А.Д. Бомштейн, Н.С. Ерофеев, (-2000 г.)- А. Г. Крылов, И. Г. Крылов, (2007 г.)- В.В. Масленников, Ю.И. Пахомов.</w:t>
      </w:r>
    </w:p>
    <w:p w14:paraId="236622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начальника сектора: А.Б. Бляхман, В.В. Масленников.</w:t>
      </w:r>
    </w:p>
    <w:p w14:paraId="204FCD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лабораторий: (-1998 г.)- И.Ц. Гросман, Н.С. Ерофеев, А.В. Карпов, (1982 г.-)-  Г.К. Киселев, (-1991 г.)- Н.С. Митрофанов, В.И. Овсянников, Н.И. Полежаев, Ю.Н. Соколов, А.М. Флаум.</w:t>
      </w:r>
    </w:p>
    <w:p w14:paraId="309553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начальника лаборатории: В.А. Антонов.</w:t>
      </w:r>
    </w:p>
    <w:p w14:paraId="6BA505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Научные руководители НИР: Ю.Н. Соколов («Ока»),</w:t>
      </w:r>
    </w:p>
    <w:p w14:paraId="34CCCC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научного руководителя НИР: И. Г. Крылов.</w:t>
      </w:r>
      <w:r w:rsidRPr="002F2FDF">
        <w:rPr>
          <w:rFonts w:ascii="Times New Roman" w:hAnsi="Times New Roman" w:cs="Times New Roman"/>
          <w:color w:val="000000" w:themeColor="text1"/>
          <w:kern w:val="2"/>
          <w:sz w:val="16"/>
          <w:szCs w:val="16"/>
          <w:vertAlign w:val="superscript"/>
        </w:rPr>
        <w:t>130</w:t>
      </w:r>
    </w:p>
    <w:p w14:paraId="2FDEAD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Создано: радиостанции: «Орлан», связная РАС-УКВ «Чернослив», «Дыня», «Урюк», «Груша», «Альбатрос», «Витраж», «Привод», «Резерв», «Байкал» (1947-52); РЛС: П-ЗА (1948), П-8 (1950), П-10 (1953), П-12 (1955), П- 12М (1956), П-12МП (1959), П-12МА (1960), П-12НП (1965), П-14 «Лена» (пнв 16.06.1959 г.), П-14Ф (1966), П-18 (1970), П-70, 5Н84А (1974), 5Н69 (1975), 44Ж6 (1979), 55Ж6, 55Ж6У (1992), 1Л13 (1982), «Противник-ГЕ», трехкоординатная «Небо-У» (1995), мобильная 3-кординатная 59Н6 (1997), высокомобильная с активной ФАР 1Л119 «Небо-СВУ» (пнв в 2003 г.), 52Э6 (пнв в 2005 г.), 1Л13, 52Э6, 52Э6-МУ; автоматические РЖ: П-95 (1963), АРЛСК П-96 (1РЛ116, 1968), 5Н85, 36Ж6; бортовой комплекс контроля обстановки Э-801Е (1995) вертолета Ка- 31; система контроля за воздушной обстановкой «Барьер»;</w:t>
      </w:r>
      <w:r w:rsidRPr="002F2FDF">
        <w:rPr>
          <w:rFonts w:ascii="Times New Roman" w:hAnsi="Times New Roman" w:cs="Times New Roman"/>
          <w:color w:val="000000" w:themeColor="text1"/>
          <w:kern w:val="2"/>
          <w:sz w:val="16"/>
          <w:szCs w:val="16"/>
          <w:vertAlign w:val="superscript"/>
        </w:rPr>
        <w:t>63</w:t>
      </w:r>
      <w:r w:rsidRPr="002F2FDF">
        <w:rPr>
          <w:rFonts w:ascii="Times New Roman" w:hAnsi="Times New Roman" w:cs="Times New Roman"/>
          <w:color w:val="000000" w:themeColor="text1"/>
          <w:kern w:val="2"/>
          <w:sz w:val="16"/>
          <w:szCs w:val="16"/>
        </w:rPr>
        <w:t xml:space="preserve"> центр диагностики и ремонта РЛС «Момент-1М» (1989-).</w:t>
      </w:r>
    </w:p>
    <w:p w14:paraId="0CA6E5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«Радий»</w:t>
      </w:r>
    </w:p>
    <w:p w14:paraId="79BB67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составе ПО: ГТЗ, ГНИИРТ.</w:t>
      </w:r>
    </w:p>
    <w:p w14:paraId="257F67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ген. директора по научной работе (1981-94 г.)- В.А. Проскурин (11982).</w:t>
      </w:r>
    </w:p>
    <w:p w14:paraId="23C4DC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39DC32" w14:textId="77777777" w:rsidR="005B454A" w:rsidRPr="002F2FDF" w:rsidRDefault="005B454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января 1917 года нижегородской фабричной комиссией был подписан протокол о признании завода годным к эксплуатации, а 31 января было выдано разрешение на эксплуатацию завода за подписью нижегородского губернатора Гирса и старшего фабричного инспектора Кисляева (17022).</w:t>
      </w:r>
    </w:p>
    <w:p w14:paraId="10C15A56" w14:textId="77777777" w:rsidR="005B454A" w:rsidRPr="002F2FDF" w:rsidRDefault="005B454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B3457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C7DF2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BCB40C" w14:textId="5A694115"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января 1917 постановлением Военного Совета частные авиа</w:t>
      </w:r>
      <w:r w:rsidRPr="002F2FDF">
        <w:rPr>
          <w:rFonts w:ascii="Times New Roman" w:hAnsi="Times New Roman" w:cs="Times New Roman"/>
          <w:color w:val="000000" w:themeColor="text1"/>
          <w:kern w:val="2"/>
          <w:sz w:val="16"/>
          <w:szCs w:val="16"/>
        </w:rPr>
        <w:softHyphen/>
        <w:t>ционные школы: Всероссийского аэроклуба, Московского Об</w:t>
      </w:r>
      <w:r w:rsidRPr="002F2FDF">
        <w:rPr>
          <w:rFonts w:ascii="Times New Roman" w:hAnsi="Times New Roman" w:cs="Times New Roman"/>
          <w:color w:val="000000" w:themeColor="text1"/>
          <w:kern w:val="2"/>
          <w:sz w:val="16"/>
          <w:szCs w:val="16"/>
        </w:rPr>
        <w:softHyphen/>
        <w:t>щества Воздухоплавания и школа Анатра в Одессе переданы в военное ведомство с переформированием их в школы авиации военного времени. (ЦГВИА. ф.2003, оп.1, д. 1224, л.222).</w:t>
      </w:r>
    </w:p>
    <w:p w14:paraId="6053EE7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5C5A26" w14:textId="77777777" w:rsidR="00047A9F" w:rsidRPr="002F2FDF" w:rsidRDefault="00047A9F" w:rsidP="0083075A">
      <w:pPr>
        <w:spacing w:after="0" w:line="240" w:lineRule="auto"/>
        <w:jc w:val="both"/>
        <w:rPr>
          <w:rFonts w:ascii="Times New Roman" w:hAnsi="Times New Roman" w:cs="Times New Roman"/>
          <w:color w:val="0070C0"/>
          <w:sz w:val="16"/>
          <w:szCs w:val="16"/>
        </w:rPr>
      </w:pPr>
      <w:r w:rsidRPr="002F2FDF">
        <w:rPr>
          <w:rFonts w:ascii="Times New Roman" w:hAnsi="Times New Roman" w:cs="Times New Roman"/>
          <w:color w:val="0070C0"/>
          <w:sz w:val="16"/>
          <w:szCs w:val="16"/>
        </w:rPr>
        <w:t>9 (22) января 1917 г. постановлением Военного совета частные авиационные школы: Всероссийского аэроклуба, московского общества воздухоплавания и школа Анатра в Одессе переданы в военной ведомство с переформированием их в школы авиации военного времени.</w:t>
      </w:r>
    </w:p>
    <w:p w14:paraId="46FB3780" w14:textId="77777777" w:rsidR="00047A9F" w:rsidRPr="002F2FDF" w:rsidRDefault="00047A9F" w:rsidP="0083075A">
      <w:pPr>
        <w:spacing w:after="0" w:line="240" w:lineRule="auto"/>
        <w:jc w:val="both"/>
        <w:rPr>
          <w:rFonts w:ascii="Times New Roman" w:hAnsi="Times New Roman" w:cs="Times New Roman"/>
          <w:color w:val="0070C0"/>
          <w:sz w:val="16"/>
          <w:szCs w:val="16"/>
          <w:lang w:val="en-US"/>
        </w:rPr>
      </w:pPr>
      <w:r w:rsidRPr="002F2FDF">
        <w:rPr>
          <w:rFonts w:ascii="Times New Roman" w:hAnsi="Times New Roman" w:cs="Times New Roman"/>
          <w:color w:val="0070C0"/>
          <w:sz w:val="16"/>
          <w:szCs w:val="16"/>
          <w:lang w:val="en-US"/>
        </w:rPr>
        <w:t>/</w:t>
      </w:r>
      <w:r w:rsidRPr="002F2FDF">
        <w:rPr>
          <w:rFonts w:ascii="Times New Roman" w:hAnsi="Times New Roman" w:cs="Times New Roman"/>
          <w:color w:val="0070C0"/>
          <w:sz w:val="16"/>
          <w:szCs w:val="16"/>
        </w:rPr>
        <w:t>ЦГВИА</w:t>
      </w:r>
      <w:r w:rsidRPr="002F2FDF">
        <w:rPr>
          <w:rFonts w:ascii="Times New Roman" w:hAnsi="Times New Roman" w:cs="Times New Roman"/>
          <w:color w:val="0070C0"/>
          <w:sz w:val="16"/>
          <w:szCs w:val="16"/>
          <w:lang w:val="en-US"/>
        </w:rPr>
        <w:t xml:space="preserve">, </w:t>
      </w:r>
      <w:r w:rsidRPr="002F2FDF">
        <w:rPr>
          <w:rFonts w:ascii="Times New Roman" w:hAnsi="Times New Roman" w:cs="Times New Roman"/>
          <w:color w:val="0070C0"/>
          <w:sz w:val="16"/>
          <w:szCs w:val="16"/>
        </w:rPr>
        <w:t>ф</w:t>
      </w:r>
      <w:r w:rsidRPr="002F2FDF">
        <w:rPr>
          <w:rFonts w:ascii="Times New Roman" w:hAnsi="Times New Roman" w:cs="Times New Roman"/>
          <w:color w:val="0070C0"/>
          <w:sz w:val="16"/>
          <w:szCs w:val="16"/>
          <w:lang w:val="en-US"/>
        </w:rPr>
        <w:t xml:space="preserve">. 2003, on. 1, </w:t>
      </w:r>
      <w:r w:rsidRPr="002F2FDF">
        <w:rPr>
          <w:rFonts w:ascii="Times New Roman" w:hAnsi="Times New Roman" w:cs="Times New Roman"/>
          <w:color w:val="0070C0"/>
          <w:sz w:val="16"/>
          <w:szCs w:val="16"/>
        </w:rPr>
        <w:t>д</w:t>
      </w:r>
      <w:r w:rsidRPr="002F2FDF">
        <w:rPr>
          <w:rFonts w:ascii="Times New Roman" w:hAnsi="Times New Roman" w:cs="Times New Roman"/>
          <w:color w:val="0070C0"/>
          <w:sz w:val="16"/>
          <w:szCs w:val="16"/>
          <w:lang w:val="en-US"/>
        </w:rPr>
        <w:t xml:space="preserve">. 1224, </w:t>
      </w:r>
      <w:r w:rsidRPr="002F2FDF">
        <w:rPr>
          <w:rFonts w:ascii="Times New Roman" w:hAnsi="Times New Roman" w:cs="Times New Roman"/>
          <w:color w:val="0070C0"/>
          <w:sz w:val="16"/>
          <w:szCs w:val="16"/>
        </w:rPr>
        <w:t>л</w:t>
      </w:r>
      <w:r w:rsidRPr="002F2FDF">
        <w:rPr>
          <w:rFonts w:ascii="Times New Roman" w:hAnsi="Times New Roman" w:cs="Times New Roman"/>
          <w:color w:val="0070C0"/>
          <w:sz w:val="16"/>
          <w:szCs w:val="16"/>
          <w:lang w:val="en-US"/>
        </w:rPr>
        <w:t>. 222/</w:t>
      </w:r>
    </w:p>
    <w:p w14:paraId="2E8CFF38" w14:textId="77777777" w:rsidR="00047A9F" w:rsidRPr="002F2FDF" w:rsidRDefault="00047A9F" w:rsidP="0083075A">
      <w:pPr>
        <w:spacing w:after="0" w:line="240" w:lineRule="auto"/>
        <w:jc w:val="both"/>
        <w:rPr>
          <w:rFonts w:ascii="Times New Roman" w:hAnsi="Times New Roman" w:cs="Times New Roman"/>
          <w:color w:val="0070C0"/>
          <w:sz w:val="16"/>
          <w:szCs w:val="16"/>
          <w:lang w:val="en-US"/>
        </w:rPr>
      </w:pPr>
    </w:p>
    <w:p w14:paraId="1604D9AD" w14:textId="5F9C48E9" w:rsidR="009E4C2F" w:rsidRPr="00FB4F67" w:rsidRDefault="009E4C2F"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9 (</w:t>
      </w:r>
      <w:r w:rsidRPr="00FB4F67">
        <w:rPr>
          <w:rFonts w:ascii="Times New Roman" w:hAnsi="Times New Roman" w:cs="Times New Roman"/>
          <w:color w:val="0070C0"/>
          <w:sz w:val="16"/>
          <w:szCs w:val="16"/>
        </w:rPr>
        <w:t>22</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лейтенант французской службы летчик Э.И. Грассэ к югу от м. Брезжаны (Юго-Западный фронт) атаковал германский летательный аппарат и сбил его. Последний «камнем упал в свое расположение в д. Скоморохи (Нове) на р. Нараювке» (23405).</w:t>
      </w:r>
    </w:p>
    <w:p w14:paraId="531F7A91" w14:textId="77777777" w:rsidR="009E4C2F" w:rsidRPr="00FB4F67" w:rsidRDefault="009E4C2F" w:rsidP="0083075A">
      <w:pPr>
        <w:spacing w:after="0" w:line="240" w:lineRule="auto"/>
        <w:jc w:val="both"/>
        <w:rPr>
          <w:rFonts w:ascii="Times New Roman" w:hAnsi="Times New Roman" w:cs="Times New Roman"/>
          <w:color w:val="0070C0"/>
          <w:sz w:val="16"/>
          <w:szCs w:val="16"/>
        </w:rPr>
      </w:pPr>
    </w:p>
    <w:p w14:paraId="0EF0880E" w14:textId="282EC658"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CA02A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865B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января 1917 была 50 тыс. забастовка в Петрограде в честь годовщины Кровавого воскресения (1348,83).</w:t>
      </w:r>
    </w:p>
    <w:p w14:paraId="2873E0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08279C" w14:textId="623491EE" w:rsidR="00BA3275" w:rsidRPr="00FB4F67" w:rsidRDefault="00BA327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9-го</w:t>
      </w:r>
      <w:r>
        <w:rPr>
          <w:rFonts w:ascii="Times New Roman" w:hAnsi="Times New Roman" w:cs="Times New Roman"/>
          <w:color w:val="0070C0"/>
          <w:sz w:val="16"/>
          <w:szCs w:val="16"/>
        </w:rPr>
        <w:t xml:space="preserve"> (22-го)</w:t>
      </w:r>
      <w:r w:rsidRPr="00FB4F67">
        <w:rPr>
          <w:rFonts w:ascii="Times New Roman" w:hAnsi="Times New Roman" w:cs="Times New Roman"/>
          <w:color w:val="0070C0"/>
          <w:sz w:val="16"/>
          <w:szCs w:val="16"/>
        </w:rPr>
        <w:t xml:space="preserve"> января 1917 г. в Петрограде бастовали 150 000 рабочих ключевых заводов. О забастовках сообщили в Москве, Твери и Туле.</w:t>
      </w:r>
    </w:p>
    <w:p w14:paraId="33E47B64" w14:textId="77777777" w:rsidR="00BA3275" w:rsidRPr="00FB4F67" w:rsidRDefault="00BA3275" w:rsidP="0083075A">
      <w:pPr>
        <w:spacing w:after="0" w:line="240" w:lineRule="auto"/>
        <w:jc w:val="both"/>
        <w:rPr>
          <w:rFonts w:ascii="Times New Roman" w:hAnsi="Times New Roman" w:cs="Times New Roman"/>
          <w:color w:val="0070C0"/>
          <w:sz w:val="16"/>
          <w:szCs w:val="16"/>
        </w:rPr>
      </w:pPr>
    </w:p>
    <w:p w14:paraId="5AB8CA85" w14:textId="77777777" w:rsidR="009E4C2F" w:rsidRPr="00FB4F67" w:rsidRDefault="009E4C2F"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9 (</w:t>
      </w:r>
      <w:r w:rsidRPr="00FB4F67">
        <w:rPr>
          <w:rFonts w:ascii="Times New Roman" w:hAnsi="Times New Roman" w:cs="Times New Roman"/>
          <w:color w:val="0070C0"/>
          <w:sz w:val="16"/>
          <w:szCs w:val="16"/>
        </w:rPr>
        <w:t>22</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в Петрограде бастовали 150 тысяч рабочих. Звучали призывы к прекращению войны, жалобы на инфляцию и необходимость повышения заработной платы. В январе в большинстве городов прошли рабочие демонстрации (23525).</w:t>
      </w:r>
    </w:p>
    <w:p w14:paraId="7E3E3F95" w14:textId="77777777" w:rsidR="009E4C2F" w:rsidRPr="00FB4F67" w:rsidRDefault="009E4C2F" w:rsidP="0083075A">
      <w:pPr>
        <w:spacing w:after="0" w:line="240" w:lineRule="auto"/>
        <w:jc w:val="both"/>
        <w:rPr>
          <w:rFonts w:ascii="Times New Roman" w:hAnsi="Times New Roman" w:cs="Times New Roman"/>
          <w:color w:val="0070C0"/>
          <w:sz w:val="16"/>
          <w:szCs w:val="16"/>
        </w:rPr>
      </w:pPr>
    </w:p>
    <w:p w14:paraId="008426D7" w14:textId="77777777" w:rsidR="001E32B6" w:rsidRPr="002F2FDF" w:rsidRDefault="001E32B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января 1917 г., в одном Петрограде бастовало 150 тыс. рабочих. Политические забастовки происходили также в Москве, Харькове, Туле, Екатеринославе, Ростове-на-Дону. Забастовки сопровождались митингами и демонстрациями под лозунгами «Долой войну!», «Долой царскую монархию!»</w:t>
      </w:r>
    </w:p>
    <w:p w14:paraId="68D2BE13" w14:textId="77777777" w:rsidR="001E32B6" w:rsidRPr="002F2FDF" w:rsidRDefault="001E32B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январе-феврале 1917 г. число бастующих составило только на предприятиях, подчиненных надзору фабричной инспекции, около 700 тысяч. Усиливались антивоенные настроения в деревне. Нарастал процесс революционизирования армии. Учащались случаи неповиновения солдат на фронте, а в тыловых гарнизонах --проявления сочувствия к бастующим рабочим.</w:t>
      </w:r>
    </w:p>
    <w:p w14:paraId="77D2D30A" w14:textId="77777777" w:rsidR="001E32B6" w:rsidRPr="002F2FDF" w:rsidRDefault="001E32B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рост революционного движения царизм ответил усилением репрессий. Особое беспокойство вызвало у правительства положение в столице. В начале февраля Петроградский военный округ был выделен из Северного фронта и подчинен непосредственно Ставке. Полицию и жандармерию вооружили пулеметами.</w:t>
      </w:r>
    </w:p>
    <w:p w14:paraId="6DF720C3" w14:textId="77777777" w:rsidR="001E32B6" w:rsidRPr="002F2FDF" w:rsidRDefault="001E32B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Застрельщиком революционной борьбы выступал пролетариат. В его среде были живы традиции 1905 года и последующих классовых боев, идеи и лозунги большевизма. Несмотря на ослабление многих партийных организаций в результате непрерывных полицейских разгромов, большевики и в годы войны неутомимо продолжали работу в массах, готовя их к свержению царской монархии</w:t>
      </w:r>
      <w:r w:rsidR="000E76F1" w:rsidRPr="002F2FDF">
        <w:rPr>
          <w:rFonts w:ascii="Times New Roman" w:hAnsi="Times New Roman" w:cs="Times New Roman"/>
          <w:color w:val="000000" w:themeColor="text1"/>
          <w:kern w:val="2"/>
          <w:sz w:val="16"/>
          <w:szCs w:val="16"/>
        </w:rPr>
        <w:t xml:space="preserve"> (17025).</w:t>
      </w:r>
    </w:p>
    <w:p w14:paraId="3CB0DC0A" w14:textId="77777777" w:rsidR="001E32B6" w:rsidRPr="002F2FDF" w:rsidRDefault="001E32B6" w:rsidP="0083075A">
      <w:pPr>
        <w:spacing w:after="0" w:line="240" w:lineRule="auto"/>
        <w:jc w:val="both"/>
        <w:rPr>
          <w:rFonts w:ascii="Times New Roman" w:hAnsi="Times New Roman" w:cs="Times New Roman"/>
          <w:color w:val="000000" w:themeColor="text1"/>
          <w:kern w:val="2"/>
          <w:sz w:val="16"/>
          <w:szCs w:val="16"/>
        </w:rPr>
      </w:pPr>
    </w:p>
    <w:p w14:paraId="67F64791" w14:textId="77777777" w:rsidR="00F41AC8" w:rsidRPr="002F2FDF" w:rsidRDefault="00F41AC8" w:rsidP="0083075A">
      <w:pPr>
        <w:pStyle w:val="ae"/>
        <w:spacing w:before="0" w:after="0"/>
        <w:jc w:val="both"/>
        <w:rPr>
          <w:color w:val="000000" w:themeColor="text1"/>
          <w:kern w:val="2"/>
          <w:sz w:val="16"/>
          <w:szCs w:val="16"/>
        </w:rPr>
      </w:pPr>
      <w:r w:rsidRPr="002F2FDF">
        <w:rPr>
          <w:color w:val="000000" w:themeColor="text1"/>
          <w:kern w:val="2"/>
          <w:sz w:val="16"/>
          <w:szCs w:val="16"/>
        </w:rPr>
        <w:t>9 (22) января 1917 вождь большевиков Владимир Ленин, выступая в Цюрихе перед швейцарскими социал-демократами на митинге по случаю годовщины начала революции 1905 года (по старому стилю — 9 января, дата расстрела в Петербурге мирной демонстрации, вошедшего в историю как «Кровавое воскресенье»), заявил, что «мы, старики, наверное, не доживем до битв грядущей революции» (17045).</w:t>
      </w:r>
    </w:p>
    <w:p w14:paraId="6E248101" w14:textId="77777777" w:rsidR="00F41AC8" w:rsidRPr="002F2FDF" w:rsidRDefault="00F41AC8" w:rsidP="0083075A">
      <w:pPr>
        <w:spacing w:after="0" w:line="240" w:lineRule="auto"/>
        <w:jc w:val="both"/>
        <w:rPr>
          <w:rFonts w:ascii="Times New Roman" w:hAnsi="Times New Roman" w:cs="Times New Roman"/>
          <w:bCs/>
          <w:color w:val="000000" w:themeColor="text1"/>
          <w:kern w:val="2"/>
          <w:sz w:val="16"/>
          <w:szCs w:val="16"/>
        </w:rPr>
      </w:pPr>
    </w:p>
    <w:p w14:paraId="097602D2" w14:textId="77777777" w:rsidR="008F43EB" w:rsidRPr="002F2FDF" w:rsidRDefault="008F43E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9 (22) января</w:t>
      </w:r>
      <w:r w:rsidRPr="002F2FDF">
        <w:rPr>
          <w:rFonts w:ascii="Times New Roman" w:hAnsi="Times New Roman" w:cs="Times New Roman"/>
          <w:color w:val="000000" w:themeColor="text1"/>
          <w:kern w:val="2"/>
          <w:sz w:val="16"/>
          <w:szCs w:val="16"/>
        </w:rPr>
        <w:t xml:space="preserve"> в 1917 году император Николай II назначил председателем Совета Министров России князя Николая Дмитриевича Голицына вместо уволенного в отставку Александра Федоровича Трепова. Пробудет она на этом посту всего 2 месяца, до 27 февраля 1917 (15004).</w:t>
      </w:r>
    </w:p>
    <w:p w14:paraId="0F56E4B8" w14:textId="77777777" w:rsidR="008F43EB" w:rsidRPr="002F2FDF" w:rsidRDefault="008F43EB" w:rsidP="0083075A">
      <w:pPr>
        <w:spacing w:after="0" w:line="240" w:lineRule="auto"/>
        <w:jc w:val="both"/>
        <w:rPr>
          <w:rFonts w:ascii="Times New Roman" w:hAnsi="Times New Roman" w:cs="Times New Roman"/>
          <w:color w:val="000000" w:themeColor="text1"/>
          <w:kern w:val="2"/>
          <w:sz w:val="16"/>
          <w:szCs w:val="16"/>
        </w:rPr>
      </w:pPr>
    </w:p>
    <w:p w14:paraId="139123B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212DD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C0B9D8" w14:textId="6D14D193" w:rsidR="00E64DCB" w:rsidRPr="002F2FDF" w:rsidRDefault="00E64DC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9 (2</w:t>
      </w:r>
      <w:r w:rsidR="00047A9F" w:rsidRPr="002F2FDF">
        <w:rPr>
          <w:rFonts w:ascii="Times New Roman" w:hAnsi="Times New Roman" w:cs="Times New Roman"/>
          <w:color w:val="000000" w:themeColor="text1"/>
          <w:sz w:val="16"/>
          <w:szCs w:val="16"/>
        </w:rPr>
        <w:t>2</w:t>
      </w:r>
      <w:r w:rsidRPr="002F2FDF">
        <w:rPr>
          <w:rFonts w:ascii="Times New Roman" w:hAnsi="Times New Roman" w:cs="Times New Roman"/>
          <w:color w:val="000000" w:themeColor="text1"/>
          <w:sz w:val="16"/>
          <w:szCs w:val="16"/>
        </w:rPr>
        <w:t>) января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Первый полёт единственного истребителя Аа, спроектированного в Дании и запущенного в серийное производство (компания Nielsen &amp; Winther, Дания).</w:t>
      </w:r>
    </w:p>
    <w:p w14:paraId="3FA661EB" w14:textId="77777777" w:rsidR="00E64DCB" w:rsidRPr="002F2FDF" w:rsidRDefault="00E64DC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Этот оригинальный одноместный аэроплан напоминал гибрид фюзеляжа и оперения английского истребителя Бристоль "Скаут" с типично "ньюпоровской" бипланной коробкой. Конструкция машины цельнодеревянная, обшивка - полотно по всем поверхностям, за исключением передней части фюзеляжа, покрытой фанерными листами. Самолет был оснащен шведским ротативным мотором "Тулин-А" мощностью 100 л.с. Вооружение - ручной пулемет "Мадсен", установленный на стойках над верхним крылом для стрельбы поверх диска вращения винта (22651).</w:t>
      </w:r>
    </w:p>
    <w:p w14:paraId="6D075507" w14:textId="77777777" w:rsidR="00E64DCB" w:rsidRPr="002F2FDF" w:rsidRDefault="00E64DCB" w:rsidP="0083075A">
      <w:pPr>
        <w:spacing w:after="0" w:line="240" w:lineRule="auto"/>
        <w:jc w:val="both"/>
        <w:rPr>
          <w:rFonts w:ascii="Times New Roman" w:hAnsi="Times New Roman" w:cs="Times New Roman"/>
          <w:color w:val="000000" w:themeColor="text1"/>
          <w:sz w:val="16"/>
          <w:szCs w:val="16"/>
        </w:rPr>
      </w:pPr>
    </w:p>
    <w:p w14:paraId="68C0759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января 1917 президент США Вудро Вильсон призвал воюющие страны к миру “без победы” (4962).</w:t>
      </w:r>
    </w:p>
    <w:p w14:paraId="3A6BF88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2AF2C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9B036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1D0D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января 1917 в Севастополе состоялось заседание Авиационного комитета флота, на которое были приглашены Д.П.Г. и А.Н.Сидельников. Целью совещания было повышение приемных требований по М-9. Хотели более высокое качество сборки и более мощный мотор. Д.П.Г. заявил, что этот тип устарел без надежды на модернизацию. Ограничили нагрузку 350 кг и обороты мотора - не менее 1250 о/м (2809,8).</w:t>
      </w:r>
    </w:p>
    <w:p w14:paraId="2D9E13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5FB6B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января 1917 г. в Севастополе состоялось заседание Авиаци</w:t>
      </w:r>
      <w:r w:rsidRPr="002F2FDF">
        <w:rPr>
          <w:rFonts w:ascii="Times New Roman" w:hAnsi="Times New Roman" w:cs="Times New Roman"/>
          <w:color w:val="000000" w:themeColor="text1"/>
          <w:kern w:val="2"/>
          <w:sz w:val="16"/>
          <w:szCs w:val="16"/>
        </w:rPr>
        <w:softHyphen/>
        <w:t>онного комитета флота, на которое пригласили Д. П. Григоровича и А. Н. Седельникова. Целью собравшихся являлось повышение приемных требований, преследовавшее улучшение летно-технических ха</w:t>
      </w:r>
      <w:r w:rsidRPr="002F2FDF">
        <w:rPr>
          <w:rFonts w:ascii="Times New Roman" w:hAnsi="Times New Roman" w:cs="Times New Roman"/>
          <w:color w:val="000000" w:themeColor="text1"/>
          <w:kern w:val="2"/>
          <w:sz w:val="16"/>
          <w:szCs w:val="16"/>
        </w:rPr>
        <w:softHyphen/>
        <w:t>рактеристик М-9, но Григорович несколько неожиданно заявил, что тип устарел без надежды на модер</w:t>
      </w:r>
      <w:r w:rsidRPr="002F2FDF">
        <w:rPr>
          <w:rFonts w:ascii="Times New Roman" w:hAnsi="Times New Roman" w:cs="Times New Roman"/>
          <w:color w:val="000000" w:themeColor="text1"/>
          <w:kern w:val="2"/>
          <w:sz w:val="16"/>
          <w:szCs w:val="16"/>
        </w:rPr>
        <w:softHyphen/>
        <w:t>низацию. Морякам только и оставалось, что принять эту информацию к сведению и установить, что “девятка” могла нести активную службу при нагрузке не более 350 кг и скорости мотора не ниже 1250 оборотов в минуту. Решение узаконили приказом от 2 февраля, тогда как два способа достижения более высоких показателей, видившиеся в более качественной сборке аппаратов и более мощных двигателях, едва ли были осуществимы. Двадцать третьего марта командующий Черноморским флотом вице-адми</w:t>
      </w:r>
      <w:r w:rsidRPr="002F2FDF">
        <w:rPr>
          <w:rFonts w:ascii="Times New Roman" w:hAnsi="Times New Roman" w:cs="Times New Roman"/>
          <w:color w:val="000000" w:themeColor="text1"/>
          <w:kern w:val="2"/>
          <w:sz w:val="16"/>
          <w:szCs w:val="16"/>
        </w:rPr>
        <w:softHyphen/>
        <w:t>рал А. В. Колчак суммировал в своем докладе, что поступавшие с завода летающие лодки обладали многочисленными недостатками, включавшими аккуратно замаскированные пробоины корпусов (!), течи бензопроводов и баков, расклеивавшиеся через 3-4 часа работы пропеллеры и пр. По его словам, гидроаэропланы типа М-9 при скорости до 110 км/ч и скороподъемности 2000 м за 50-70 минут могли — из-за общей перегрузки—достигнуть названной боевой высоты только при исключительно хорошей работе мотора и, таким образом, являли неспособность подняться выше самолетов противника, всегда державшихся на 2-2,5 тыс. м. Это сковывало инициативу наших пилотов, вынужденных летать на 1,6-1,7 тыс. м и потому подвергавшихся сильному воздействию зенитного огня. Дабы остановить поток брака, Колчак, выражая интересы морских летчиков, предлагал утвердить следующие сдаточные усло</w:t>
      </w:r>
      <w:r w:rsidRPr="002F2FDF">
        <w:rPr>
          <w:rFonts w:ascii="Times New Roman" w:hAnsi="Times New Roman" w:cs="Times New Roman"/>
          <w:color w:val="000000" w:themeColor="text1"/>
          <w:kern w:val="2"/>
          <w:sz w:val="16"/>
          <w:szCs w:val="16"/>
        </w:rPr>
        <w:softHyphen/>
        <w:t>вия для строившихся М-9: полет на 3 тыс. м в течение 3 часов на скорости до 120 км/ч плюс способность оперировать на море при волнении высотой до 1,5 м. Без сомнения, аппараты данной модели не выдержа</w:t>
      </w:r>
      <w:r w:rsidRPr="002F2FDF">
        <w:rPr>
          <w:rFonts w:ascii="Times New Roman" w:hAnsi="Times New Roman" w:cs="Times New Roman"/>
          <w:color w:val="000000" w:themeColor="text1"/>
          <w:kern w:val="2"/>
          <w:sz w:val="16"/>
          <w:szCs w:val="16"/>
        </w:rPr>
        <w:softHyphen/>
        <w:t>ли бы таких нагрузок и заявленный план следовало рассматривать лишь как попытку добиться поставок более современной техники взамен устаревшей (2807).</w:t>
      </w:r>
    </w:p>
    <w:p w14:paraId="06F1B62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E562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 </w:t>
      </w:r>
      <w:r w:rsidR="00E44BC9" w:rsidRPr="002F2FDF">
        <w:rPr>
          <w:rFonts w:ascii="Times New Roman" w:hAnsi="Times New Roman" w:cs="Times New Roman"/>
          <w:color w:val="000000" w:themeColor="text1"/>
          <w:kern w:val="2"/>
          <w:sz w:val="16"/>
          <w:szCs w:val="16"/>
        </w:rPr>
        <w:t xml:space="preserve">(23) </w:t>
      </w:r>
      <w:r w:rsidRPr="002F2FDF">
        <w:rPr>
          <w:rFonts w:ascii="Times New Roman" w:hAnsi="Times New Roman" w:cs="Times New Roman"/>
          <w:color w:val="000000" w:themeColor="text1"/>
          <w:kern w:val="2"/>
          <w:sz w:val="16"/>
          <w:szCs w:val="16"/>
        </w:rPr>
        <w:t>января 1917 г. в Севастопо</w:t>
      </w:r>
      <w:r w:rsidRPr="002F2FDF">
        <w:rPr>
          <w:rFonts w:ascii="Times New Roman" w:hAnsi="Times New Roman" w:cs="Times New Roman"/>
          <w:color w:val="000000" w:themeColor="text1"/>
          <w:kern w:val="2"/>
          <w:sz w:val="16"/>
          <w:szCs w:val="16"/>
        </w:rPr>
        <w:softHyphen/>
        <w:t>ле состоялось заседание авиаци</w:t>
      </w:r>
      <w:r w:rsidRPr="002F2FDF">
        <w:rPr>
          <w:rFonts w:ascii="Times New Roman" w:hAnsi="Times New Roman" w:cs="Times New Roman"/>
          <w:color w:val="000000" w:themeColor="text1"/>
          <w:kern w:val="2"/>
          <w:sz w:val="16"/>
          <w:szCs w:val="16"/>
        </w:rPr>
        <w:softHyphen/>
        <w:t>онного комитета флота с пригла</w:t>
      </w:r>
      <w:r w:rsidRPr="002F2FDF">
        <w:rPr>
          <w:rFonts w:ascii="Times New Roman" w:hAnsi="Times New Roman" w:cs="Times New Roman"/>
          <w:color w:val="000000" w:themeColor="text1"/>
          <w:kern w:val="2"/>
          <w:sz w:val="16"/>
          <w:szCs w:val="16"/>
        </w:rPr>
        <w:softHyphen/>
        <w:t>шением Д.П.Григоровича и А.Н.Седельникова для обсуждения как улуч</w:t>
      </w:r>
      <w:r w:rsidRPr="002F2FDF">
        <w:rPr>
          <w:rFonts w:ascii="Times New Roman" w:hAnsi="Times New Roman" w:cs="Times New Roman"/>
          <w:color w:val="000000" w:themeColor="text1"/>
          <w:kern w:val="2"/>
          <w:sz w:val="16"/>
          <w:szCs w:val="16"/>
        </w:rPr>
        <w:softHyphen/>
        <w:t>шить лётно-тактические характери</w:t>
      </w:r>
      <w:r w:rsidRPr="002F2FDF">
        <w:rPr>
          <w:rFonts w:ascii="Times New Roman" w:hAnsi="Times New Roman" w:cs="Times New Roman"/>
          <w:color w:val="000000" w:themeColor="text1"/>
          <w:kern w:val="2"/>
          <w:sz w:val="16"/>
          <w:szCs w:val="16"/>
        </w:rPr>
        <w:softHyphen/>
        <w:t>стик самолёта М-9. Но Григорович заявил, что самолёт устарел. Тем не менее, черноморцы ещё на что-то надеялись и в докладе А.В. Колчака от 23 марта с критикой самолётов М-5 не оставили без внимания и М-9. И опять высказы</w:t>
      </w:r>
      <w:r w:rsidRPr="002F2FDF">
        <w:rPr>
          <w:rFonts w:ascii="Times New Roman" w:hAnsi="Times New Roman" w:cs="Times New Roman"/>
          <w:color w:val="000000" w:themeColor="text1"/>
          <w:kern w:val="2"/>
          <w:sz w:val="16"/>
          <w:szCs w:val="16"/>
        </w:rPr>
        <w:softHyphen/>
        <w:t>вались претензии к малой скоро</w:t>
      </w:r>
      <w:r w:rsidRPr="002F2FDF">
        <w:rPr>
          <w:rFonts w:ascii="Times New Roman" w:hAnsi="Times New Roman" w:cs="Times New Roman"/>
          <w:color w:val="000000" w:themeColor="text1"/>
          <w:kern w:val="2"/>
          <w:sz w:val="16"/>
          <w:szCs w:val="16"/>
        </w:rPr>
        <w:softHyphen/>
        <w:t>подъёмности, горизонтальной скорости, возрастанию производствен</w:t>
      </w:r>
      <w:r w:rsidRPr="002F2FDF">
        <w:rPr>
          <w:rFonts w:ascii="Times New Roman" w:hAnsi="Times New Roman" w:cs="Times New Roman"/>
          <w:color w:val="000000" w:themeColor="text1"/>
          <w:kern w:val="2"/>
          <w:sz w:val="16"/>
          <w:szCs w:val="16"/>
        </w:rPr>
        <w:softHyphen/>
        <w:t>ного брака (аккуратно маскирова</w:t>
      </w:r>
      <w:r w:rsidRPr="002F2FDF">
        <w:rPr>
          <w:rFonts w:ascii="Times New Roman" w:hAnsi="Times New Roman" w:cs="Times New Roman"/>
          <w:color w:val="000000" w:themeColor="text1"/>
          <w:kern w:val="2"/>
          <w:sz w:val="16"/>
          <w:szCs w:val="16"/>
        </w:rPr>
        <w:softHyphen/>
        <w:t>лись пробоины корпуса лодки, воз</w:t>
      </w:r>
      <w:r w:rsidRPr="002F2FDF">
        <w:rPr>
          <w:rFonts w:ascii="Times New Roman" w:hAnsi="Times New Roman" w:cs="Times New Roman"/>
          <w:color w:val="000000" w:themeColor="text1"/>
          <w:kern w:val="2"/>
          <w:sz w:val="16"/>
          <w:szCs w:val="16"/>
        </w:rPr>
        <w:softHyphen/>
        <w:t>душные винты расклеивались через несколько часов работы, трубопро</w:t>
      </w:r>
      <w:r w:rsidRPr="002F2FDF">
        <w:rPr>
          <w:rFonts w:ascii="Times New Roman" w:hAnsi="Times New Roman" w:cs="Times New Roman"/>
          <w:color w:val="000000" w:themeColor="text1"/>
          <w:kern w:val="2"/>
          <w:sz w:val="16"/>
          <w:szCs w:val="16"/>
        </w:rPr>
        <w:softHyphen/>
        <w:t>воды бензоситемы разного диамет</w:t>
      </w:r>
      <w:r w:rsidRPr="002F2FDF">
        <w:rPr>
          <w:rFonts w:ascii="Times New Roman" w:hAnsi="Times New Roman" w:cs="Times New Roman"/>
          <w:color w:val="000000" w:themeColor="text1"/>
          <w:kern w:val="2"/>
          <w:sz w:val="16"/>
          <w:szCs w:val="16"/>
        </w:rPr>
        <w:softHyphen/>
        <w:t>ра соединялись резиновыми дюри- тами и др.). На этот раз диапазон претензий не только расширился, но и появились новые и в частно</w:t>
      </w:r>
      <w:r w:rsidRPr="002F2FDF">
        <w:rPr>
          <w:rFonts w:ascii="Times New Roman" w:hAnsi="Times New Roman" w:cs="Times New Roman"/>
          <w:color w:val="000000" w:themeColor="text1"/>
          <w:kern w:val="2"/>
          <w:sz w:val="16"/>
          <w:szCs w:val="16"/>
        </w:rPr>
        <w:softHyphen/>
        <w:t>сти требование ужесточить усло</w:t>
      </w:r>
      <w:r w:rsidRPr="002F2FDF">
        <w:rPr>
          <w:rFonts w:ascii="Times New Roman" w:hAnsi="Times New Roman" w:cs="Times New Roman"/>
          <w:color w:val="000000" w:themeColor="text1"/>
          <w:kern w:val="2"/>
          <w:sz w:val="16"/>
          <w:szCs w:val="16"/>
        </w:rPr>
        <w:softHyphen/>
        <w:t>вия сдаточных испытаний для М-9 (предусмотреть полёт на высоте 3000 м. в течении 3 ч. взлёт и по</w:t>
      </w:r>
      <w:r w:rsidRPr="002F2FDF">
        <w:rPr>
          <w:rFonts w:ascii="Times New Roman" w:hAnsi="Times New Roman" w:cs="Times New Roman"/>
          <w:color w:val="000000" w:themeColor="text1"/>
          <w:kern w:val="2"/>
          <w:sz w:val="16"/>
          <w:szCs w:val="16"/>
        </w:rPr>
        <w:softHyphen/>
        <w:t>садка при высоте волн до 1,5 м). Одно из пожеланий - установка двигателя мощностью 160 л.с. Та</w:t>
      </w:r>
      <w:r w:rsidRPr="002F2FDF">
        <w:rPr>
          <w:rFonts w:ascii="Times New Roman" w:hAnsi="Times New Roman" w:cs="Times New Roman"/>
          <w:color w:val="000000" w:themeColor="text1"/>
          <w:kern w:val="2"/>
          <w:sz w:val="16"/>
          <w:szCs w:val="16"/>
        </w:rPr>
        <w:softHyphen/>
        <w:t>кая доработка производилась, но ничего не дала. Недостаточно вы</w:t>
      </w:r>
      <w:r w:rsidRPr="002F2FDF">
        <w:rPr>
          <w:rFonts w:ascii="Times New Roman" w:hAnsi="Times New Roman" w:cs="Times New Roman"/>
          <w:color w:val="000000" w:themeColor="text1"/>
          <w:kern w:val="2"/>
          <w:sz w:val="16"/>
          <w:szCs w:val="16"/>
        </w:rPr>
        <w:softHyphen/>
        <w:t>сокие характеристики самолёта объяснялись значительным лобовым сопротивлением, которое создава</w:t>
      </w:r>
      <w:r w:rsidRPr="002F2FDF">
        <w:rPr>
          <w:rFonts w:ascii="Times New Roman" w:hAnsi="Times New Roman" w:cs="Times New Roman"/>
          <w:color w:val="000000" w:themeColor="text1"/>
          <w:kern w:val="2"/>
          <w:sz w:val="16"/>
          <w:szCs w:val="16"/>
        </w:rPr>
        <w:softHyphen/>
        <w:t>ли девятицилиндровый звездообраз</w:t>
      </w:r>
      <w:r w:rsidRPr="002F2FDF">
        <w:rPr>
          <w:rFonts w:ascii="Times New Roman" w:hAnsi="Times New Roman" w:cs="Times New Roman"/>
          <w:color w:val="000000" w:themeColor="text1"/>
          <w:kern w:val="2"/>
          <w:sz w:val="16"/>
          <w:szCs w:val="16"/>
        </w:rPr>
        <w:softHyphen/>
        <w:t>ный двигатель, радиаторы, возду- хоприёмники, и множество стоек, тросов, расчалок и т.п. Наиболее серьёзные претензии поступали из авиации флотов, а позиция Морс</w:t>
      </w:r>
      <w:r w:rsidRPr="002F2FDF">
        <w:rPr>
          <w:rFonts w:ascii="Times New Roman" w:hAnsi="Times New Roman" w:cs="Times New Roman"/>
          <w:color w:val="000000" w:themeColor="text1"/>
          <w:kern w:val="2"/>
          <w:sz w:val="16"/>
          <w:szCs w:val="16"/>
        </w:rPr>
        <w:softHyphen/>
        <w:t>кого генерального штаба по неко</w:t>
      </w:r>
      <w:r w:rsidRPr="002F2FDF">
        <w:rPr>
          <w:rFonts w:ascii="Times New Roman" w:hAnsi="Times New Roman" w:cs="Times New Roman"/>
          <w:color w:val="000000" w:themeColor="text1"/>
          <w:kern w:val="2"/>
          <w:sz w:val="16"/>
          <w:szCs w:val="16"/>
        </w:rPr>
        <w:softHyphen/>
        <w:t>торым вопросам качества техники и организации её испытаний вызы</w:t>
      </w:r>
      <w:r w:rsidRPr="002F2FDF">
        <w:rPr>
          <w:rFonts w:ascii="Times New Roman" w:hAnsi="Times New Roman" w:cs="Times New Roman"/>
          <w:color w:val="000000" w:themeColor="text1"/>
          <w:kern w:val="2"/>
          <w:sz w:val="16"/>
          <w:szCs w:val="16"/>
        </w:rPr>
        <w:softHyphen/>
        <w:t>вала недоумение. В то время (18 апреля 1917 г.), когда черноморцы излагали свои претензии и предло</w:t>
      </w:r>
      <w:r w:rsidRPr="002F2FDF">
        <w:rPr>
          <w:rFonts w:ascii="Times New Roman" w:hAnsi="Times New Roman" w:cs="Times New Roman"/>
          <w:color w:val="000000" w:themeColor="text1"/>
          <w:kern w:val="2"/>
          <w:sz w:val="16"/>
          <w:szCs w:val="16"/>
        </w:rPr>
        <w:softHyphen/>
        <w:t>жения, наблюдающий за выпуском самолётов подпоручик Эрдели пред</w:t>
      </w:r>
      <w:r w:rsidRPr="002F2FDF">
        <w:rPr>
          <w:rFonts w:ascii="Times New Roman" w:hAnsi="Times New Roman" w:cs="Times New Roman"/>
          <w:color w:val="000000" w:themeColor="text1"/>
          <w:kern w:val="2"/>
          <w:sz w:val="16"/>
          <w:szCs w:val="16"/>
        </w:rPr>
        <w:softHyphen/>
        <w:t>ложил отправлять самолёты в час</w:t>
      </w:r>
      <w:r w:rsidRPr="002F2FDF">
        <w:rPr>
          <w:rFonts w:ascii="Times New Roman" w:hAnsi="Times New Roman" w:cs="Times New Roman"/>
          <w:color w:val="000000" w:themeColor="text1"/>
          <w:kern w:val="2"/>
          <w:sz w:val="16"/>
          <w:szCs w:val="16"/>
        </w:rPr>
        <w:softHyphen/>
        <w:t>ти без испытаний, опробуя лишь моторы. Он аргументировал свой план следующим: «все части лета</w:t>
      </w:r>
      <w:r w:rsidRPr="002F2FDF">
        <w:rPr>
          <w:rFonts w:ascii="Times New Roman" w:hAnsi="Times New Roman" w:cs="Times New Roman"/>
          <w:color w:val="000000" w:themeColor="text1"/>
          <w:kern w:val="2"/>
          <w:sz w:val="16"/>
          <w:szCs w:val="16"/>
        </w:rPr>
        <w:softHyphen/>
        <w:t>ющих лодок производились по шаб</w:t>
      </w:r>
      <w:r w:rsidRPr="002F2FDF">
        <w:rPr>
          <w:rFonts w:ascii="Times New Roman" w:hAnsi="Times New Roman" w:cs="Times New Roman"/>
          <w:color w:val="000000" w:themeColor="text1"/>
          <w:kern w:val="2"/>
          <w:sz w:val="16"/>
          <w:szCs w:val="16"/>
        </w:rPr>
        <w:softHyphen/>
        <w:t>лонам, многие штамповались, а потому гидроаэропланы выходили со стапелей почти идентичными, отличаясь только характеристика</w:t>
      </w:r>
      <w:r w:rsidRPr="002F2FDF">
        <w:rPr>
          <w:rFonts w:ascii="Times New Roman" w:hAnsi="Times New Roman" w:cs="Times New Roman"/>
          <w:color w:val="000000" w:themeColor="text1"/>
          <w:kern w:val="2"/>
          <w:sz w:val="16"/>
          <w:szCs w:val="16"/>
        </w:rPr>
        <w:softHyphen/>
        <w:t>ми своих силовых установок. Вслед</w:t>
      </w:r>
      <w:r w:rsidRPr="002F2FDF">
        <w:rPr>
          <w:rFonts w:ascii="Times New Roman" w:hAnsi="Times New Roman" w:cs="Times New Roman"/>
          <w:color w:val="000000" w:themeColor="text1"/>
          <w:kern w:val="2"/>
          <w:sz w:val="16"/>
          <w:szCs w:val="16"/>
        </w:rPr>
        <w:softHyphen/>
        <w:t>ствие этого было достаточно про</w:t>
      </w:r>
      <w:r w:rsidRPr="002F2FDF">
        <w:rPr>
          <w:rFonts w:ascii="Times New Roman" w:hAnsi="Times New Roman" w:cs="Times New Roman"/>
          <w:color w:val="000000" w:themeColor="text1"/>
          <w:kern w:val="2"/>
          <w:sz w:val="16"/>
          <w:szCs w:val="16"/>
        </w:rPr>
        <w:softHyphen/>
        <w:t>верять по полной программе лишь двигатели и один аппарат из каж</w:t>
      </w:r>
      <w:r w:rsidRPr="002F2FDF">
        <w:rPr>
          <w:rFonts w:ascii="Times New Roman" w:hAnsi="Times New Roman" w:cs="Times New Roman"/>
          <w:color w:val="000000" w:themeColor="text1"/>
          <w:kern w:val="2"/>
          <w:sz w:val="16"/>
          <w:szCs w:val="16"/>
        </w:rPr>
        <w:softHyphen/>
        <w:t>дых 10 построенных». Безусловно, это справедливо, если имеется вы</w:t>
      </w:r>
      <w:r w:rsidRPr="002F2FDF">
        <w:rPr>
          <w:rFonts w:ascii="Times New Roman" w:hAnsi="Times New Roman" w:cs="Times New Roman"/>
          <w:color w:val="000000" w:themeColor="text1"/>
          <w:kern w:val="2"/>
          <w:sz w:val="16"/>
          <w:szCs w:val="16"/>
        </w:rPr>
        <w:softHyphen/>
        <w:t>сокая культура производства, но как раз этого и не было! Тем не менее, командование воздушных дивизий, заинтересованное в быстрейшем прибытии новой техники, поддержа</w:t>
      </w:r>
      <w:r w:rsidRPr="002F2FDF">
        <w:rPr>
          <w:rFonts w:ascii="Times New Roman" w:hAnsi="Times New Roman" w:cs="Times New Roman"/>
          <w:color w:val="000000" w:themeColor="text1"/>
          <w:kern w:val="2"/>
          <w:sz w:val="16"/>
          <w:szCs w:val="16"/>
        </w:rPr>
        <w:softHyphen/>
        <w:t>ло идею Эрдели, но приказало оп- робывать всякий самолет по дос</w:t>
      </w:r>
      <w:r w:rsidRPr="002F2FDF">
        <w:rPr>
          <w:rFonts w:ascii="Times New Roman" w:hAnsi="Times New Roman" w:cs="Times New Roman"/>
          <w:color w:val="000000" w:themeColor="text1"/>
          <w:kern w:val="2"/>
          <w:sz w:val="16"/>
          <w:szCs w:val="16"/>
        </w:rPr>
        <w:softHyphen/>
        <w:t>тавлении его в часть, а в случае каких-либо неполадок, недора</w:t>
      </w:r>
      <w:r w:rsidRPr="002F2FDF">
        <w:rPr>
          <w:rFonts w:ascii="Times New Roman" w:hAnsi="Times New Roman" w:cs="Times New Roman"/>
          <w:color w:val="000000" w:themeColor="text1"/>
          <w:kern w:val="2"/>
          <w:sz w:val="16"/>
          <w:szCs w:val="16"/>
        </w:rPr>
        <w:softHyphen/>
        <w:t>зумений или сомнений, требовать от завода официальной сдачи де</w:t>
      </w:r>
      <w:r w:rsidRPr="002F2FDF">
        <w:rPr>
          <w:rFonts w:ascii="Times New Roman" w:hAnsi="Times New Roman" w:cs="Times New Roman"/>
          <w:color w:val="000000" w:themeColor="text1"/>
          <w:kern w:val="2"/>
          <w:sz w:val="16"/>
          <w:szCs w:val="16"/>
        </w:rPr>
        <w:softHyphen/>
        <w:t>фектной машины на месте, то есть в Ревеле, Або или Севастополе. 2 мая 1917 г. Морской генеральный штаб сообщил об этом в Главное управление кораблестроения. Как можно заметить, вопросам качества изготовления достаточного внима</w:t>
      </w:r>
      <w:r w:rsidRPr="002F2FDF">
        <w:rPr>
          <w:rFonts w:ascii="Times New Roman" w:hAnsi="Times New Roman" w:cs="Times New Roman"/>
          <w:color w:val="000000" w:themeColor="text1"/>
          <w:kern w:val="2"/>
          <w:sz w:val="16"/>
          <w:szCs w:val="16"/>
        </w:rPr>
        <w:softHyphen/>
        <w:t>ния не уделялось (11872).</w:t>
      </w:r>
    </w:p>
    <w:p w14:paraId="57F68B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605EA0" w14:textId="77777777" w:rsidR="008F43EB" w:rsidRPr="002F2FDF" w:rsidRDefault="008F43EB"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января 1917 г. по рекомендации Ботезата Технический комитет УВВФ официально принял винты Григорашвили к установке на самолеты на</w:t>
      </w:r>
      <w:r w:rsidRPr="002F2FDF">
        <w:rPr>
          <w:rFonts w:ascii="Times New Roman" w:hAnsi="Times New Roman" w:cs="Times New Roman"/>
          <w:color w:val="000000" w:themeColor="text1"/>
          <w:kern w:val="2"/>
          <w:sz w:val="16"/>
          <w:szCs w:val="16"/>
        </w:rPr>
        <w:softHyphen/>
        <w:t>равне с винтами Жуковского, Шовьера, Режи и Левассера. Теперь фирма Мельцера могла не платить за лицензии. Она имела собственные методики расчета и производства винтов системы Григорашвили, не уступавших по своим ха</w:t>
      </w:r>
      <w:r w:rsidRPr="002F2FDF">
        <w:rPr>
          <w:rFonts w:ascii="Times New Roman" w:hAnsi="Times New Roman" w:cs="Times New Roman"/>
          <w:color w:val="000000" w:themeColor="text1"/>
          <w:kern w:val="2"/>
          <w:sz w:val="16"/>
          <w:szCs w:val="16"/>
        </w:rPr>
        <w:softHyphen/>
        <w:t>рактеристикам лучшим зарубежным образцам.</w:t>
      </w:r>
    </w:p>
    <w:p w14:paraId="141AF998" w14:textId="77777777" w:rsidR="008F43EB" w:rsidRPr="002F2FDF" w:rsidRDefault="008F43EB"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69E5EB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или 17 (23 или 30) января 1917 из МГШ в Отдел мин заграждений и тралов ГУК пришли спецификации на аэропланные морские мины к1р В.В.Ковалевского. Вес - не более 90 кг при заряде 16 и 20 кг и минрепом в 50-100 м со сбросом с высоты не более 35 м и скорости до 130 км/час (2807,74).</w:t>
      </w:r>
    </w:p>
    <w:p w14:paraId="347719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14846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 (или 17) января </w:t>
      </w:r>
      <w:r w:rsidR="00E44BC9" w:rsidRPr="002F2FDF">
        <w:rPr>
          <w:rFonts w:ascii="Times New Roman" w:hAnsi="Times New Roman" w:cs="Times New Roman"/>
          <w:color w:val="000000" w:themeColor="text1"/>
          <w:kern w:val="2"/>
          <w:sz w:val="16"/>
          <w:szCs w:val="16"/>
        </w:rPr>
        <w:t xml:space="preserve">(23 или 30) </w:t>
      </w:r>
      <w:r w:rsidRPr="002F2FDF">
        <w:rPr>
          <w:rFonts w:ascii="Times New Roman" w:hAnsi="Times New Roman" w:cs="Times New Roman"/>
          <w:color w:val="000000" w:themeColor="text1"/>
          <w:kern w:val="2"/>
          <w:sz w:val="16"/>
          <w:szCs w:val="16"/>
        </w:rPr>
        <w:t>1917 г. из МГШ в Отдел мин заграждений и тралов ГУК были отправлены спецификации, согласно которым, общий вес снаряда (аэро-планной мины, предложенном капитаном 1 р. В. В. Ковалевским) не превышал 90 кг при боевом заряде от 16 до 20 кг, а длина минрепа составляла от 50 до 100 м. Мина могла сбрасываться при горизонтальной скорости носителя до 130 км/ч, но с высоты не более 5 м (2807).</w:t>
      </w:r>
    </w:p>
    <w:p w14:paraId="26288D8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C9742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77960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7B87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января 1917 года на совместном заседании комиссии по изучению естественных производительных сил России Академии наук и Военно-химического комитета обсуждалось создание Института прикладной химии. О том, какое значение придавалось этому вопросу, можно судить по числу участников мероприятия — 91 человек, среди которых преобладали ученые-химики. На заседании, где председательствовал В.И. Вернадский, наряду с обстоятельными выступлениями Н.С. Курнакова и Л.А. Чугаева о путях практического осуществления идеи исследовательских институтов в области химических наук прозвучал доклад А.П. Поспелова “Идея Института прикладной химии”. В других научных сообщениях и выступлениях анализировался широкий круг проблем организации отечественной науки: координация исследований, повышение роли вузов в научном потенциале страны, обеспечение правильных взаимоотношений между наукой, техникой и промышленностью, рациональное размещение институтов на территории России. Отметим, что большинство озвученных тогда предложений впоследствии в той или иной форме оказались реализованными (</w:t>
      </w:r>
      <w:r w:rsidRPr="002F2FDF">
        <w:rPr>
          <w:rFonts w:ascii="Times New Roman" w:hAnsi="Times New Roman" w:cs="Times New Roman"/>
          <w:iCs/>
          <w:color w:val="000000" w:themeColor="text1"/>
          <w:kern w:val="2"/>
          <w:sz w:val="16"/>
          <w:szCs w:val="16"/>
        </w:rPr>
        <w:t xml:space="preserve">Кольцов А.В. </w:t>
      </w:r>
      <w:r w:rsidRPr="002F2FDF">
        <w:rPr>
          <w:rFonts w:ascii="Times New Roman" w:hAnsi="Times New Roman" w:cs="Times New Roman"/>
          <w:color w:val="000000" w:themeColor="text1"/>
          <w:kern w:val="2"/>
          <w:sz w:val="16"/>
          <w:szCs w:val="16"/>
        </w:rPr>
        <w:t>Создание и деятельность Комиссии по изучению естественных производительных сил России. 1915—1930 гг. СПб.: Наука, 1999. - С. 43, 44.) (11174).</w:t>
      </w:r>
    </w:p>
    <w:p w14:paraId="2BF8E3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470BE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EA089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B90277" w14:textId="77777777" w:rsidR="00B75F1E" w:rsidRPr="002F2FDF" w:rsidRDefault="00B75F1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10 (23) января</w:t>
      </w:r>
      <w:r w:rsidRPr="002F2FDF">
        <w:rPr>
          <w:rFonts w:ascii="Times New Roman" w:hAnsi="Times New Roman" w:cs="Times New Roman"/>
          <w:color w:val="000000" w:themeColor="text1"/>
          <w:kern w:val="2"/>
          <w:sz w:val="16"/>
          <w:szCs w:val="16"/>
        </w:rPr>
        <w:t xml:space="preserve"> в 1917 году немецкий ас барон Манфред фон Рихтгофен сбил английский самолёт </w:t>
      </w:r>
      <w:hyperlink r:id="rId21" w:tgtFrame="_blank" w:history="1">
        <w:r w:rsidRPr="002F2FDF">
          <w:rPr>
            <w:rFonts w:ascii="Times New Roman" w:hAnsi="Times New Roman" w:cs="Times New Roman"/>
            <w:color w:val="000000" w:themeColor="text1"/>
            <w:kern w:val="2"/>
            <w:sz w:val="16"/>
            <w:szCs w:val="16"/>
          </w:rPr>
          <w:t xml:space="preserve">«F.E.8» </w:t>
        </w:r>
      </w:hyperlink>
      <w:r w:rsidRPr="002F2FDF">
        <w:rPr>
          <w:rFonts w:ascii="Times New Roman" w:hAnsi="Times New Roman" w:cs="Times New Roman"/>
          <w:color w:val="000000" w:themeColor="text1"/>
          <w:kern w:val="2"/>
          <w:sz w:val="16"/>
          <w:szCs w:val="16"/>
        </w:rPr>
        <w:t>, выполнявший патрульно-эскортную миссию, одержав свою 17-ю победу. Пилот, 2-й лейтенант Джон Хэй погиб (15018).</w:t>
      </w:r>
    </w:p>
    <w:p w14:paraId="17A05C7C" w14:textId="77777777" w:rsidR="00B75F1E" w:rsidRPr="002F2FDF" w:rsidRDefault="00B75F1E" w:rsidP="0083075A">
      <w:pPr>
        <w:spacing w:after="0" w:line="240" w:lineRule="auto"/>
        <w:jc w:val="both"/>
        <w:rPr>
          <w:rFonts w:ascii="Times New Roman" w:hAnsi="Times New Roman" w:cs="Times New Roman"/>
          <w:color w:val="000000" w:themeColor="text1"/>
          <w:kern w:val="2"/>
          <w:sz w:val="16"/>
          <w:szCs w:val="16"/>
        </w:rPr>
      </w:pPr>
    </w:p>
    <w:p w14:paraId="7E08BE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период с 10 (23) января по 19 (22) апреля 1917 года 11-й истребительный отряд под командой барона Манфреда фон Рихтгофена одержал 100 подтвержденных воздушных побед (11282).</w:t>
      </w:r>
    </w:p>
    <w:p w14:paraId="3091D8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0416BC" w14:textId="430E0BFE" w:rsidR="00C6188C" w:rsidRPr="00FB4F67" w:rsidRDefault="00C6188C"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10 (</w:t>
      </w:r>
      <w:r w:rsidRPr="00FB4F67">
        <w:rPr>
          <w:rFonts w:ascii="Times New Roman" w:hAnsi="Times New Roman" w:cs="Times New Roman"/>
          <w:color w:val="0070C0"/>
          <w:sz w:val="16"/>
          <w:szCs w:val="16"/>
        </w:rPr>
        <w:t>23</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на Северном фронте немцы перешли в контрнаступление на рижском участке между озером Бабит и Тирульским болотом, отвоевав недавно утраченные позиции (23525).</w:t>
      </w:r>
    </w:p>
    <w:p w14:paraId="4DE8D767" w14:textId="77777777" w:rsidR="00C6188C" w:rsidRPr="00FB4F67" w:rsidRDefault="00C6188C" w:rsidP="0083075A">
      <w:pPr>
        <w:spacing w:after="0" w:line="240" w:lineRule="auto"/>
        <w:jc w:val="both"/>
        <w:rPr>
          <w:rFonts w:ascii="Times New Roman" w:hAnsi="Times New Roman" w:cs="Times New Roman"/>
          <w:color w:val="0070C0"/>
          <w:sz w:val="16"/>
          <w:szCs w:val="16"/>
        </w:rPr>
      </w:pPr>
    </w:p>
    <w:p w14:paraId="789C7197" w14:textId="2BC9FA4D" w:rsidR="00C6188C" w:rsidRPr="00FB4F67" w:rsidRDefault="00C6188C"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10 (</w:t>
      </w:r>
      <w:r w:rsidRPr="00FB4F67">
        <w:rPr>
          <w:rFonts w:ascii="Times New Roman" w:hAnsi="Times New Roman" w:cs="Times New Roman"/>
          <w:color w:val="0070C0"/>
          <w:sz w:val="16"/>
          <w:szCs w:val="16"/>
        </w:rPr>
        <w:t>23</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дирижабль немецкой армии L.35 был</w:t>
      </w:r>
      <w:r>
        <w:rPr>
          <w:rFonts w:ascii="Times New Roman" w:hAnsi="Times New Roman" w:cs="Times New Roman"/>
          <w:color w:val="0070C0"/>
          <w:sz w:val="16"/>
          <w:szCs w:val="16"/>
        </w:rPr>
        <w:t xml:space="preserve"> </w:t>
      </w:r>
      <w:r w:rsidRPr="00FB4F67">
        <w:rPr>
          <w:rFonts w:ascii="Times New Roman" w:hAnsi="Times New Roman" w:cs="Times New Roman"/>
          <w:color w:val="0070C0"/>
          <w:sz w:val="16"/>
          <w:szCs w:val="16"/>
        </w:rPr>
        <w:t>переведен из Вайнодена на Балтийском море для службы в Северном море (23525).</w:t>
      </w:r>
    </w:p>
    <w:p w14:paraId="24BEB2A1" w14:textId="77777777" w:rsidR="00C6188C" w:rsidRPr="00FB4F67" w:rsidRDefault="00C6188C" w:rsidP="0083075A">
      <w:pPr>
        <w:spacing w:after="0" w:line="240" w:lineRule="auto"/>
        <w:jc w:val="both"/>
        <w:rPr>
          <w:rFonts w:ascii="Times New Roman" w:hAnsi="Times New Roman" w:cs="Times New Roman"/>
          <w:color w:val="0070C0"/>
          <w:sz w:val="16"/>
          <w:szCs w:val="16"/>
        </w:rPr>
      </w:pPr>
    </w:p>
    <w:p w14:paraId="44A4FCBF"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10 (23) января 1917 г. разбился Альбатрос D III эскадрильи Jasta 6, а на следующий день потерпел аварию командир Jasta 11 Манфред фон Рихтгофен. В обоих случаях при маневрировании разрушились передняя кромка и лонжерон нижнего крыла. Такое случалось и на «Ньюпорах» и приказом Командующего ВВС от 27 января 1917 г. полеты на Альбатросах D III были запрещены до устранения дефекта на всех сданных самолетах и в производстве. Эту работу фирма провела очень быстро, и запрет сняли уже 19 февраля. Вес планера вырос, а летные данные чуть снизились, полностью исключить возможность поломки нижнего крыла не удалось, тем не менее, самолет себя показал сразу с самой лучшей стороны (22775).</w:t>
      </w:r>
    </w:p>
    <w:p w14:paraId="0880F425"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p>
    <w:p w14:paraId="6626B6F6" w14:textId="65AA328D" w:rsidR="00172A82" w:rsidRPr="002F2FDF" w:rsidRDefault="00172A82"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За период с </w:t>
      </w:r>
      <w:r w:rsidR="00104EF5" w:rsidRPr="002F2FDF">
        <w:rPr>
          <w:color w:val="000000" w:themeColor="text1"/>
          <w:kern w:val="2"/>
          <w:sz w:val="16"/>
          <w:szCs w:val="16"/>
        </w:rPr>
        <w:t>10 по 16 (</w:t>
      </w:r>
      <w:r w:rsidRPr="002F2FDF">
        <w:rPr>
          <w:color w:val="000000" w:themeColor="text1"/>
          <w:kern w:val="2"/>
          <w:sz w:val="16"/>
          <w:szCs w:val="16"/>
        </w:rPr>
        <w:t>23 по 29</w:t>
      </w:r>
      <w:r w:rsidR="00104EF5" w:rsidRPr="002F2FDF">
        <w:rPr>
          <w:color w:val="000000" w:themeColor="text1"/>
          <w:kern w:val="2"/>
          <w:sz w:val="16"/>
          <w:szCs w:val="16"/>
        </w:rPr>
        <w:t>)</w:t>
      </w:r>
      <w:r w:rsidRPr="002F2FDF">
        <w:rPr>
          <w:color w:val="000000" w:themeColor="text1"/>
          <w:kern w:val="2"/>
          <w:sz w:val="16"/>
          <w:szCs w:val="16"/>
        </w:rPr>
        <w:t xml:space="preserve"> января 1917 немецкие подводные лодки потопили в общей сложности 48 кораблей, в том числе 1 шведский, 3 испанских, 10 норвежских, 1 датский и 1 нидерландский, несмотря на нейтралитет этих стран. Также 28 января у берегов западной Англии был потоплен русский пароход «Эгрет», который шел с грузом леса из Архангельска (17045).</w:t>
      </w:r>
    </w:p>
    <w:p w14:paraId="7645DE45" w14:textId="77777777" w:rsidR="00172A82" w:rsidRPr="002F2FDF" w:rsidRDefault="00172A8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6CF44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BE421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DF96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первой декаде января 1917 группа ЮЗФ еще продолжала бое</w:t>
      </w:r>
      <w:r w:rsidRPr="002F2FDF">
        <w:rPr>
          <w:rFonts w:ascii="Times New Roman" w:hAnsi="Times New Roman" w:cs="Times New Roman"/>
          <w:color w:val="000000" w:themeColor="text1"/>
          <w:kern w:val="2"/>
          <w:sz w:val="16"/>
          <w:szCs w:val="16"/>
        </w:rPr>
        <w:softHyphen/>
        <w:t>вую работу под Луцком. С 1 по 5 янва</w:t>
      </w:r>
      <w:r w:rsidRPr="002F2FDF">
        <w:rPr>
          <w:rFonts w:ascii="Times New Roman" w:hAnsi="Times New Roman" w:cs="Times New Roman"/>
          <w:color w:val="000000" w:themeColor="text1"/>
          <w:kern w:val="2"/>
          <w:sz w:val="16"/>
          <w:szCs w:val="16"/>
        </w:rPr>
        <w:softHyphen/>
        <w:t>ря из-за погодных условий полетов не было. Эти свободные дни летчики ис</w:t>
      </w:r>
      <w:r w:rsidRPr="002F2FDF">
        <w:rPr>
          <w:rFonts w:ascii="Times New Roman" w:hAnsi="Times New Roman" w:cs="Times New Roman"/>
          <w:color w:val="000000" w:themeColor="text1"/>
          <w:kern w:val="2"/>
          <w:sz w:val="16"/>
          <w:szCs w:val="16"/>
        </w:rPr>
        <w:softHyphen/>
        <w:t>пользовали для “поправки здоровья”. Новый начальник группы штабс-капи</w:t>
      </w:r>
      <w:r w:rsidRPr="002F2FDF">
        <w:rPr>
          <w:rFonts w:ascii="Times New Roman" w:hAnsi="Times New Roman" w:cs="Times New Roman"/>
          <w:color w:val="000000" w:themeColor="text1"/>
          <w:kern w:val="2"/>
          <w:sz w:val="16"/>
          <w:szCs w:val="16"/>
        </w:rPr>
        <w:softHyphen/>
        <w:t>тан Якобашвили 5 января направил в дивизион ходатайство: “прошу выдать командиру 2-го корпусного авиаотря</w:t>
      </w:r>
      <w:r w:rsidRPr="002F2FDF">
        <w:rPr>
          <w:rFonts w:ascii="Times New Roman" w:hAnsi="Times New Roman" w:cs="Times New Roman"/>
          <w:color w:val="000000" w:themeColor="text1"/>
          <w:kern w:val="2"/>
          <w:sz w:val="16"/>
          <w:szCs w:val="16"/>
        </w:rPr>
        <w:softHyphen/>
        <w:t>да поручику Бабкину две бутылки коньяку для лечебных целей...” (3854).</w:t>
      </w:r>
    </w:p>
    <w:p w14:paraId="118EC7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43E31A" w14:textId="77777777" w:rsidR="00104EF5" w:rsidRPr="002F2FDF" w:rsidRDefault="00104EF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A6C40B4" w14:textId="77777777" w:rsidR="00104EF5" w:rsidRPr="002F2FDF" w:rsidRDefault="00104EF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6239BE"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11 (24) января 1917 года</w:t>
      </w:r>
    </w:p>
    <w:p w14:paraId="4C4E04CA"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[Совершенно секр.] </w:t>
      </w:r>
    </w:p>
    <w:p w14:paraId="681AA042"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Журнал №  134  </w:t>
      </w:r>
    </w:p>
    <w:p w14:paraId="6082ECE0"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Особого Совещания для обсуждения и объединения  мероприятий по обороне государства. </w:t>
      </w:r>
    </w:p>
    <w:p w14:paraId="19C6329B"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11 января 1917 года. </w:t>
      </w:r>
    </w:p>
    <w:p w14:paraId="639026FE"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Председательствовал генерал от инфантерии  . . . . . . . . . .  М. А. Беляев. </w:t>
      </w:r>
    </w:p>
    <w:p w14:paraId="2C34D171"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Присутствовали: </w:t>
      </w:r>
    </w:p>
    <w:p w14:paraId="01539680"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Член Государственного Совета   . . . . . . . . . . . . . . . . . . . . . . С. И.  Тимашев. </w:t>
      </w:r>
    </w:p>
    <w:p w14:paraId="7EC153AF"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в. И.  Тимирязев. </w:t>
      </w:r>
    </w:p>
    <w:p w14:paraId="59B460B4"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А.  С.  Стишинский. </w:t>
      </w:r>
    </w:p>
    <w:p w14:paraId="77EEAFA1"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граф С. А.  Толь. </w:t>
      </w:r>
    </w:p>
    <w:p w14:paraId="1AD4B651"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 .  в. И. Карпов. </w:t>
      </w:r>
    </w:p>
    <w:p w14:paraId="6D62FA98"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 . .  в. И. Гурко. </w:t>
      </w:r>
    </w:p>
    <w:p w14:paraId="093489C4"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 А. И. Мосолов. </w:t>
      </w:r>
    </w:p>
    <w:p w14:paraId="3F95D116"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   Ф. А. Иванов. </w:t>
      </w:r>
    </w:p>
    <w:p w14:paraId="71830B43"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князь А. Н. Лобанов-Ростовский. </w:t>
      </w:r>
    </w:p>
    <w:p w14:paraId="4B53F41D"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Член Государственной Думы  . . . . . . . . . . . . . . . . .  . А. А. Добровольский. </w:t>
      </w:r>
    </w:p>
    <w:p w14:paraId="6EC8D03A"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 . Н. Е. Марков. </w:t>
      </w:r>
    </w:p>
    <w:p w14:paraId="28E93D27"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П. Н. Милюков. </w:t>
      </w:r>
    </w:p>
    <w:p w14:paraId="16DBD338"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 . .  Н. в.  Савич. </w:t>
      </w:r>
    </w:p>
    <w:p w14:paraId="0A42BADA"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Д. Н.  Сверчков. </w:t>
      </w:r>
    </w:p>
    <w:p w14:paraId="3D06F6D1"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  Д. Н.  Чихачев. </w:t>
      </w:r>
    </w:p>
    <w:p w14:paraId="4F377D8D"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А. И. Шингарев. </w:t>
      </w:r>
    </w:p>
    <w:p w14:paraId="1ED86AF5"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в. в. Шульгин. </w:t>
      </w:r>
    </w:p>
    <w:p w14:paraId="6F8BFF95"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П. Н. Крупенский. </w:t>
      </w:r>
    </w:p>
    <w:p w14:paraId="68D8FB60"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М.  С. Аджемов. </w:t>
      </w:r>
    </w:p>
    <w:p w14:paraId="673082A4"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От военного министерства: </w:t>
      </w:r>
    </w:p>
    <w:p w14:paraId="4B10B594"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Генерал от инфантерии  . . . . . . . . . . . . . . . . . . . . . . . . . . . . . .   П. А.  Фролов. </w:t>
      </w:r>
    </w:p>
    <w:p w14:paraId="5B12CD19"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Сенатор  . . . . . . . . . . . . . . . . . . . . . . . . . . . . . . . . . . . . . . . . . . . . . .  . Н. П. Гарин. </w:t>
      </w:r>
    </w:p>
    <w:p w14:paraId="7B532C38"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Генерал от артиллерии  . . . . . . . . . . . . . . . . . . . . . . . . .  А. А. Маниковский. </w:t>
      </w:r>
    </w:p>
    <w:p w14:paraId="40D44F03"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Генерал-лейтенант  . . . . . . . . . . . . . . . . . . . . . . . . . . . . . . . . . . Г. Г. Милеант. </w:t>
      </w:r>
    </w:p>
    <w:p w14:paraId="2BE80ADF"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  Н. А. Бабиков. </w:t>
      </w:r>
    </w:p>
    <w:p w14:paraId="7FF5CC3F"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Н. И. Богатко. </w:t>
      </w:r>
    </w:p>
    <w:p w14:paraId="13A998C8"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От морского министерства: </w:t>
      </w:r>
    </w:p>
    <w:p w14:paraId="6C56E8ED"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Вице-адмирал  . . . . . . . . . . . . . . . . . . . . . . . . . . . . . . . . . . . . . . . . . . . в. К. Гирс. </w:t>
      </w:r>
    </w:p>
    <w:p w14:paraId="5D32B5BF"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От министерства финансов: </w:t>
      </w:r>
    </w:p>
    <w:p w14:paraId="7D733EB8"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Тайный советник  . . . . . . . . . . . . . . . . . . . . . . . . . . . . . . . . в. в. Кузьминский. </w:t>
      </w:r>
    </w:p>
    <w:p w14:paraId="493A0CFB"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Государственного контроля </w:t>
      </w:r>
    </w:p>
    <w:p w14:paraId="5310E800"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Действительный статский советник  . . . . . . . . . . . . . . .            . А. Д. Приселков. </w:t>
      </w:r>
    </w:p>
    <w:p w14:paraId="4AA13AA4"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От министерства торговли и промышленности: </w:t>
      </w:r>
    </w:p>
    <w:p w14:paraId="26537BF9"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Гофмейстер Высочайшего Двора  . . . . . . . . . . . . . . . . . . . . . С. П. веселаго. </w:t>
      </w:r>
    </w:p>
    <w:p w14:paraId="6BC7C37D"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Статский советник  . . . . . . . . . . . . . . . . . . . . . . . . . . . . . . . в. А. Рогожников. </w:t>
      </w:r>
    </w:p>
    <w:p w14:paraId="69A38FEA"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Коллежский советник  . . . . . . . . . . . . . . . . . . . . . . . . . . Д.  С.  Старынкевич. </w:t>
      </w:r>
    </w:p>
    <w:p w14:paraId="42D4E770"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От министерства путей сообщений: </w:t>
      </w:r>
    </w:p>
    <w:p w14:paraId="7CBF8EF2"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Коллежский асессор  . . . . . . . . . . . . . . . . . . . . . . . . . . . . . . . .  Л. А.  Устругов. </w:t>
      </w:r>
    </w:p>
    <w:p w14:paraId="5BDBE342"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От Всероссийского земского союза: </w:t>
      </w:r>
    </w:p>
    <w:p w14:paraId="1DAA32DF"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Член Государственной Думы  . . . . . . . . . . . . . . . . . . . . . . . в. А. Маклаков. </w:t>
      </w:r>
    </w:p>
    <w:p w14:paraId="256E4AF6"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От Всероссийского городского союза: </w:t>
      </w:r>
    </w:p>
    <w:p w14:paraId="133E90D1"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Член Государственной Думы  . . . . . . . . . . . . . . . . . . . . . .  . Н. в. Некрасов. </w:t>
      </w:r>
    </w:p>
    <w:p w14:paraId="62466669"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От центрального военно-промышленного комитета: </w:t>
      </w:r>
    </w:p>
    <w:p w14:paraId="41D3A4BC"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Член Государственного Совета   . . . . . . . . . . . . . . . . . . . . . . .  А. И. Гучков. </w:t>
      </w:r>
    </w:p>
    <w:p w14:paraId="6F638AEC"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Член Государственной Думы  . . . . . . . . . . . . . . . . . . . . .  . А. И. Коновалов. </w:t>
      </w:r>
    </w:p>
    <w:p w14:paraId="58D57CA3"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Горный инженер  . . . . . . . . . . . . . . . . . . . . . . . . . . . . . . . . . .  П. П. Козакевич. </w:t>
      </w:r>
    </w:p>
    <w:p w14:paraId="111B71A1"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Особо приглашенные в заседание: </w:t>
      </w:r>
    </w:p>
    <w:p w14:paraId="64E2DCFE"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Генерал от инфантерии  . . . . . . . . . . . . . . . . . . . . . . . . . А. З. Мышлаевский. </w:t>
      </w:r>
    </w:p>
    <w:p w14:paraId="6E44DC41"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Генерал-лейтенант  . . . . . . . . . . . . . . . . . . . . . . . . . . . . . . . . . А. А. Якимович. </w:t>
      </w:r>
    </w:p>
    <w:p w14:paraId="62C29D9A"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Н. И. Петровский. </w:t>
      </w:r>
    </w:p>
    <w:p w14:paraId="5F24FDAD"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Генерал-майор  . . . . . . . . . . . . . . . . . . . . . . . . . . . . . . . . . . . . . А. А.  Саткевич. </w:t>
      </w:r>
    </w:p>
    <w:p w14:paraId="2924C2CC"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А. А. Михельсон. </w:t>
      </w:r>
    </w:p>
    <w:p w14:paraId="0251C3A3"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К. Е. Горецкий. </w:t>
      </w:r>
    </w:p>
    <w:p w14:paraId="15CAE82F"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Действительный статский советник  . . . . . в. П. Литвинов-Фалинский. </w:t>
      </w:r>
    </w:p>
    <w:p w14:paraId="243A0DBF"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  А. М.  Соколов. </w:t>
      </w:r>
    </w:p>
    <w:p w14:paraId="622E2B7B"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Отставной полковник  . . . . . . . . . . . . . . . . . . . . . . . . . . .  . Н. Е. Понафидин. </w:t>
      </w:r>
    </w:p>
    <w:p w14:paraId="2046F862"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Полковник  . . . . . . . . . . . . . . . . . . . . . . . . . . . . . . . . . . . . . . . . . . . Д. в. Яковлев. </w:t>
      </w:r>
    </w:p>
    <w:p w14:paraId="5DB39440"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Делопроизводитель Особого Совещания: </w:t>
      </w:r>
    </w:p>
    <w:p w14:paraId="4D4B547C"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Военный советник   . . . . . . . . . . . . . . . . . . . . . . . . . . . . . . . . . . . .   А. А.  Терне. </w:t>
      </w:r>
    </w:p>
    <w:p w14:paraId="5DF4EED7"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     По открытии  заседания  Совещание  заслушало  доклад  подготовительной комиссии по общим вопросам13 об исчислении потребности военного и морского ведомств в кожевенном товаре и о мероприятиях для  обеспечения возможно правильного удовлетворения этой потребности.  </w:t>
      </w:r>
    </w:p>
    <w:p w14:paraId="187B871F"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Материалом для суждений комиссии по означенному вопросу явились заключения особой комиссии, образованной при главном интендантском управлении,  под  председательством  генерал-майора  Горецкого,  по  выяснению общей потребности кожи, необходимой военному и морскому  министерствам для нужд обороны. Названная комиссия Генерал-майора  Горецкого помимо ряда частных пожеланий, касающихся порядка учета  и  распределения  кожевенного  товара,  признала  необходимым  поднять  авторитет комитета по делам кожевенной промышленности как единого  руководящего органа и для урегулирования распределения наличных запасов кожи между военным и морским ведомствами образовать постоянное совещание при одном из главных управлений военного ведомства, с  тем чтобы на комитет по делам кожевенной промышленности была возложена обязанность удовлетворять в первую очередь потребности военного и морского ведомств по указаниям упомянутого совещания. Подготовительная комиссия со своей стороны одобрила заключения комиссии  генерал-майора Горецкого и вместе с тем высказала пожелание о передаче комитета по делам кожевенной промышленности в целях придания  ему большей авторитетности в ведение Председателя Особого Совещания по обороне государства. </w:t>
      </w:r>
    </w:p>
    <w:p w14:paraId="55FB8202"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При последовавшем обмене мнениями член Государственной Думы  А.  И.  Шингарев,  принимая  во  внимание  крайний  недостаток  кожи  и  важное значение для дела обороны правильного ее распределения, высказался за передачу кожевенного комитета в ведение Особого Совещания по обороне государства. Организации, ведающей делом учета и распределения кожи, надлежит в настоящих условиях придать не столько технически-промышленный, сколько военный характер, и во главе этой  организации должно быть поставлено лицо, принадлежащее к военному  ведомству. Цель эта может быть достигнута путем назначения Председателем  Особого  Совещания  по  обороне  государства  главного  уполномоченного  по  делам  кожевенной  промышленности,  с  подчинением  ему  кожевенного комитета, подобно тому, как комитет по делам металлургической промышленности состоит при главном уполномоченном по снабжению металлами. </w:t>
      </w:r>
    </w:p>
    <w:p w14:paraId="2CB76716"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Начальник главного артиллерийского управления генерал от артиллерии А. А. Маниковский, указав на обострение вопроса об удовлетворении  потребности  артиллерийского  ведомства  в  кожевенном  материале,  присоединился со своей стороны к предложению А. И. Шингарева. </w:t>
      </w:r>
    </w:p>
    <w:p w14:paraId="12FA8119"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Член Государственного Совета А.  И.  Гучков равным образом высказался  за  передачу  дела  распределения  кожи  в  ведение  военного  министерства. По мнению А. И. Гучкова, в деятельности кожевенного комитета наблюдались существенные дефекты. Комитет не сумел своевременно  взять в свои руки распределение всего кожевенного сырья в стране и в  течение  долгого  времени  значительное  количество  этого  сырья  шло  на  частный  рынок  помимо  комитета.  Исполнительные  органы  комитета  на местах были образованы лишь в самое последнее время; между тем  действительный  учет  кожевенного  сырья  и  наблюдение  за  его  использованием  без  помощи  местных  органов,  силами  одного  центрального  учреждения, являлись фактически невыполнимыми. Подчинение кожевенного комитета уполномоченному Председателя Особого Совещания  по  обороне  государства  несомненно  приведет  к  устранению  дефектов,  наблюдающихся  ныне  в  организации  комитета.  Однако  во  избежание  двоевластия необходимо, чтобы уполномоченный Председателя Особого Совещания являлся в то же время председателем комитета по делам  кожевенной промышленности. </w:t>
      </w:r>
    </w:p>
    <w:p w14:paraId="2F376836"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Член Государственного Совета князь А. Н. Лобанов-Ростовский, считая, что настоящее положение кожевенного дела достаточно доказывает  неудовлетворительность прежней организации, высказался за передачу  этого дела в ведение военного министерства и присоединился к предложению А. И. Гучкова. </w:t>
      </w:r>
    </w:p>
    <w:p w14:paraId="7BA5A812"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Член  Государственного  Совета  А.  С.  Стишинский  высказал,  что  во  избежание  нежелательной  двойственности  в  организации  заведывания  кожевенным  делом  необходимо  помимо  назначения  председателем  кожевенного  комитета  уполномоченного  Председателя  Особого  Совещания согласовать положение о комитете с правами и обязанностями такового уполномоченного. </w:t>
      </w:r>
    </w:p>
    <w:p w14:paraId="1D2DAD2F"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Наконец, член Государственной Думы Н.  В.  Некрасов также высказался за передачу кожевенного комитета в ведение Председателя Особого Совещания по обороне государства. По мнению Н. В. Некрасова, только такая передача обеспечит надлежащий, соответствующий интересам  обороны, характер деятельности комитета. До сего же времени комитет  не  проявлял  достаточной  инициативы:  в  этом  отношении  показательным  является  то  обстоятельство,  что  мероприятия,  внесенные  ныне  на  обсуждение Совещания, исходят не от комитета, а от органов военного  ведомства. </w:t>
      </w:r>
    </w:p>
    <w:p w14:paraId="7C599440"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Со своей стороны председатель комитета по делам кожевенной промышленности  профессор  А.  М.  Соколов,  не  отрицая отдельных дефектов  в  деятельности  комитета,  полагал  вместе  с  тем,  что  для  обвинения  комитета в недостаточном внимании к нуждам обороны  — оснований не  имеется. Комитет прилагал все усилия к возможно более полному удовлетворению  потребности  военного  ведомства  и  всегда  ставил  нужды  обороны на первый план. Главной причиной обвинений, направляемых  против комитета, является, по мнению профессора А. М. Соколова, такое  не  зависящее  от  комитета  обстоятельство,  как  недостаток  кожи,  не  позволяющий удовлетворять заявляемые потребности полностью. Утечка  кожевенного сырья на частный рынок не превышает 15–20 % и в таком  размере  должна  быть  признана,  по-видимому,  неизбежной.  Во  всяком  случае со стороны комитета принимались все возможные меры к обеспечению  правильного  учета  кожевенного  сырья  в  стране.  В  частности,  проект  образования  местных  комиссий  был  выработан  комитетом  еще  в апреле 1916 года и не вина комитета, что осуществление этого проекта задержалось почти на полгода из-за отсутствия потребных кредитов. </w:t>
      </w:r>
    </w:p>
    <w:p w14:paraId="13995396"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При таких условиях профессор А.  М.  Соколов, не имея никакой личной  заинтересованности в сохранении за собою руководства ответственным  и трудным делом учета и распределения кожевенного материала, считает  своим долгом высказаться против проектированной передачи кожевенного комитета из министерства торговли и промышленности в военное  министерство  —  во-первых,  ввиду  нежелательности  ломки  существующей  организации  и  затруднений,  связанных  с  изменением  положения  о комитете, а во-вторых, и потому, что некоторые из функций комитета  едва ли могут быть отнесены к компетенции Особого Совещания по обороне  государства:  так,  например,  задачей  комитета  является  поддержание, в мере возможности, русской кожевенной промышленности, а равно  снабжение всей нашей промышленности необходимыми ей для технических надобностей кожами. </w:t>
      </w:r>
    </w:p>
    <w:p w14:paraId="7C28708A"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Товарищ    министра     торговли    и  промышленности       гофмейстер  С. П. Веселаго высказался против коренного изменения организации заведывания кожевенным делом. Необходимость такого коренного изменения этой организации устраняется теми частичными ее улучшениями,  которые уже проведены в жизнь или намечены к осуществлению. В  настоящее время кожевенный комитет наладил свою работу и организовал  на местах 14 комиссий, которые уже начали свою деятельность. Объединению потребностей военного ведомства в кожевенном материале положено начало работами образованной при главном интендантском управлении комиссии генерал-майора Горецкого. Для обеспечения в первую  очередь, удовлетворения нужд обороны принимаются экстренные меры:  в Совет Министров внесено представление о закреплении за казной фактически  монопольного  права  на  скупку  тяжелых  кож  в  стране.  Что  же  касается общих затруднений, встречающихся в деле удовлетворения потребностей армии и населения в кожевенном товаре, то затруднения эти  не устранятся и с передачей кожевенного комитета в ведение Председателя Особого Совещания по обороне государства. </w:t>
      </w:r>
    </w:p>
    <w:p w14:paraId="3672502D"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Председатель Совещания генерал от инфантерии М.  А.  Беляев указал,  что  вопрос  о  правильном  распределении  наличных  запасов  кожи  имеет в настоящее время огромное значение для дела обороны: из-за недостатка  упряжи  задерживается  формирование  новых  артиллерийских  частей и, следовательно, соответствующее количество изготовленных артиллерийским ведомством предметов боевого снабжения не может быть  своевременно  отправлено  на  фронт.  Такое  положение  вещей  должно  быть  изменено.  Однако  едва  ли  можно  признать  целесообразной  предположенную передачу дела учета и распределения кожи в ведение Председателя  Особого  Совещания  по  обороне  государства.  Такая  передача  привела бы к дальнейшему усложнению стоящих перед Председателем  Совещания обширных и ответственных задач, не обеспечив ему вместе  с тем возможности фактически руководить кожевенным делом. В аналогичном положении находится дело обеспечения заводов, работающих на  оборону, топливом. И в этой области встречаются существенные затруднения,  к  устранению  коих  должны  быть  приняты  решительные  меры.  </w:t>
      </w:r>
    </w:p>
    <w:p w14:paraId="5A7A9381"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Из этого не следует, однако, что вопросы снабжения заводов топливом  должны  разрешаться  Председателем  Особого  Совещания  по  обороне  государства. Председатель Совещания считает своим долгом постоянно  следить за всеми делами, имеющими отношение к обороне, и своевременно принимать меры к предупреждению затруднений, могущих угрожать  ее интересам, но он не может взять в свои руки непосредственное руководство деятельностью всех органов, в той или иной мере обслуживающих оборону. </w:t>
      </w:r>
    </w:p>
    <w:p w14:paraId="2B79AECE"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К  мнению  Председателя  Совещания  присоединился  член  Государственной Думы А.  А. Добровольский, указавший, что в аналогичном отношении к интересам обороны находятся помимо вопросов снабжения  заводов топливом также вопросы транспорта и продовольствия. Во всех  этих случаях задача Председателя Особого Совещания по обороне государства ограничивается лишь предъявлением к соответствующим органам требований об удовлетворении нужд обороны и общим наблюдением за их деятельностью. </w:t>
      </w:r>
    </w:p>
    <w:p w14:paraId="7633E0BC"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Член Государственной Думы Н.  Е.  Марков высказал, что обсуждаемый  вопрос  решается  заявлениями,  последовавшими  со  стороны  представителей ведомств: министерство торговли и промышленности желает  оставить  за  собою  руководство  деятельностью  кожевенного  комитета,  военное же министерство затрудняется взять на себя эту задачу. Помимо  того надлежит признать, что назначение председателем комитета представителя военного ведомства само по себе не гарантирует успешности работ  комитета.  Необходимо,  чтобы  руководители  дела,  к  какому  бы  ведомству  они  ни  принадлежали,  прониклись  сознанием  первостепенной важности интересов обороны и с надлежащей энергией стремились  к обеспечению этих интересов. В  частности, нужна самая решительная  борьба с утечкой кожевенного товара на частный рынок, для успешности  каковой борьбы необходимо усилить органы местного надзора и неукоснительно применять к лицам, спекулирующим кожей к ущербу для дела  обороны, меры уголовной и административной репрессии. </w:t>
      </w:r>
    </w:p>
    <w:p w14:paraId="3F418C93"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Член Государственного Совета С. И. Тимашев высказался против передачи кожевенного комитета в ведение военного министерства, полагая  возможным  ограничиться  частичными  улучшениями  ныне  существующей организации кожевенного дела. При этом С. И. Тимашев указал, что  реорганизация центрального учреждения неизбежно должна была бы повлечь за собою соответствующую реорганизацию местных учреждений,  что еще более усложнило бы намеченную к выполнению задачу. </w:t>
      </w:r>
    </w:p>
    <w:p w14:paraId="50BABC0B"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    По обмене мнениями Совещание, большинством 17 голосов против  15, высказалось за отклонение предположения подготовительной комиссии о передаче комитета по делам кожевенной промышленности в ведение Председателя Особого Совещания по обороне государства. </w:t>
      </w:r>
    </w:p>
    <w:p w14:paraId="26CCC744"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Пожелания, выраженные в журнале комиссии по выяснению общей  потребности  кожи,  необходимой  военному  и  морскому  министерствам  для нужд обороны, были Совещанием одобрены  — с тем чтобы проект  предусмотренных  этими  пожеланиями  изменений  в  организации  комитета  по  делам  кожевенной  промышленности  был  разработан  комиссией генерал-майора Горецкого и по рассмотрении в подготовительной  комиссии по общим вопросам внесен на обсуждение Совещания. Кроме  того, Совещание высказало пожелание о неукоснительном применении  статьи  II Высочайше утвержденного 19  октября 1916 года положения о  кожевенном комитете, каковой статьей установлена карательная санкция  для существующих правил об использовании кожевенных материалов. </w:t>
      </w:r>
    </w:p>
    <w:p w14:paraId="19054A4E"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Засим Совещание, заслушав доклад подготовительной комиссии по  общим  вопросам,  по  предложению  представителя  группы  американских кожевенных заводчиков И. Я. Шленкера о постройке в центральной  России кожевенного завода и об экспорте из России в Америку телячьих  и козловых шкур для выделки их на американских кожевенных заводах,  признало необходимым отклонить означенное предложение и одобрило  пожелание  комиссии:  </w:t>
      </w:r>
    </w:p>
    <w:p w14:paraId="7B005A90"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  производстве  через  посредство  подлежащих  военных   властей   обследования   местонахождения   и   принадлежности  запасов  легких  кож,  могущих  храниться  со  спекулятивными  целями,  а  также выяснения правильности имеющихся сведений о связи некоторых  лиц, владеющих таковыми запасами, с германскими организациями, </w:t>
      </w:r>
    </w:p>
    <w:p w14:paraId="579F4A69"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  производстве  реквизиции  или  конфискации  принадлежащих  частным  лицам запасов легких кож, </w:t>
      </w:r>
    </w:p>
    <w:p w14:paraId="14F680FA"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о подтверждении в самой категорической  форме запрещения вывоза за границу легких кож на срок не меньший,  чем  до  конца  третьего  года  со  дня  окончания  войны,  и  </w:t>
      </w:r>
    </w:p>
    <w:p w14:paraId="4FBEC0B3"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  о  поручении  подготовительной комиссии по общим вопросам внести на обсуждение  Совещания доклад о мерах к возможно скорому и прочному насаждению  в России особой отрасли промышленности, имеющей назначением переработку легких кож по наилучшим техническим методам. </w:t>
      </w:r>
    </w:p>
    <w:p w14:paraId="63F3709C"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Далее  Совещание  заслушало  и  одобрило  доклад  подготовительной  комиссии по артиллерийским вопросам: </w:t>
      </w:r>
    </w:p>
    <w:p w14:paraId="0D340BDB"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 выдаче акционерному обществу гильзовых, трубочных и механических заводов дополнительного  до 50 % аванса без обеспечения по заказу артиллерийского управления на  поставку бронебойных пуль системы гвардии штабс-капитана Кутового и </w:t>
      </w:r>
    </w:p>
    <w:p w14:paraId="20B79BB7"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 выдаче центральному военно-промышленному комитету, по наряду главного артиллерийского управления на изготовление 55  000  штук  6” бомб для мортир ближней обороны образца 1915 года, 75 % аванса в  размере 825 000 рублей. </w:t>
      </w:r>
    </w:p>
    <w:p w14:paraId="3EDD7613"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Равным  образом  был  одобрен  Совещанием  доклад  эвакуационной  комиссии      о выдаче Русскому обществу «Всеобщая компания электричества», на покрытие расходов по эвакуации и восстановлению на новом  месте предприятия общества: </w:t>
      </w:r>
    </w:p>
    <w:p w14:paraId="51079264"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безвозвратного пособия в размере не более 1  282  096 руб. 33 коп., с зачетом в эту сумму 200  000 руб., выданных  обществу эвакуационной комиссией в г.  Риге, и 1 000 000 руб., выданного артиллерийским ведомством для эвакуации трубочного завода общества из г.  Рига в г.  Москву, и </w:t>
      </w:r>
    </w:p>
    <w:p w14:paraId="2A87D7DA"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ссуды в размере 6 000 000 руб. с зачетом  1  000  000  руб.,  выданного  обществу  по  постановлению  Председателя  Особого Совещания по обороне государства,  — с тем чтобы на общество  было возложено обязательство использовать построенный им в г.  Харькове  завод  для  нужд  военной  обороны.  Ходатайство  названного  общества о выдаче ему ссуды для увеличения оборотного капитала, а равно о  выдаче ссуды городу Харькову было Совещанием, согласно заключению  эвакуационной комиссии, отклонено. </w:t>
      </w:r>
    </w:p>
    <w:p w14:paraId="387091A6"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Засим  Совещание  заслушало  доклад  подготовительной  комиссии  по авиационным вопросам           о заказе управлением военного воздушного флота компании Зингер магнето и распределителей к ним. По выработанному  управлением  военного  воздушного  флота  проекту  договора  компания Зингер определяет цены на заказываемые предметы по себестоимости с начислением в пользу завода 15 % прибыли. </w:t>
      </w:r>
    </w:p>
    <w:p w14:paraId="519063C5"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  договоре  устанавливается,  из  каких  именно  расходов  по  данному  заказу  составляется  себестоимость  изделий.  Завод  обязуется  предъявлять представителю управления военного воздушного флота все счета и  ведомости расходов по заказам для свидетельствования действительности произведенных расходов. Помимо сего устанавливаются предельные  цены, и в том случае, если цены, определенные по себестоимости с начислением прибыли, достигнут максимальной нормы или превысят ее, —  расчет производится по означенным предельным ценам. В  зависимости  от  удорожания  материалов  первоначально  установленные  предельные  цены могут быть повышены. Рассмотрев представление управления военного  воздушного  флота,  комиссия  не  встретила  препятствий  к  одобрению  предположенных  оснований  означенного  заказа,  но  признала  необходимым, чтобы управлением была установлена тщательная периодическая  проверка  счетов  завода,  для  каковой  цели  кредит,  предоставляемый в распоряжение начальника управления на расходы, связанные с  заготовкой магнето, подлежал бы увеличению до 13 000 рублей. </w:t>
      </w:r>
    </w:p>
    <w:p w14:paraId="2B506DEF"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При последовавшем обсуждении доклада, Председатель Совещания  генерал  от  инфантерии  М.  А.  Беляев  указал  на  затруднительность  для  представителей военного ведомства, не имеющих надлежащей коммерческой опытности, осуществлять действительную проверку себестоимости  изготовляемых  заводом  предметов  и  высказал  сомнение  в  целесообразности намеченного порядка расчета с компанией Зингер. Со своей  стороны член Государственного Совета А. И. Гучков, член Государственной  Думы  Н.  В.  Савич  и  помощник  начальника  управления  военного  воздушного  флота  полковник  Д.  В.  Яковлев,  допуская,  что,  как  общее  правило, такой порядок расчета по заказам военного ведомства мог бы  привести к повышению цен и потому являлся бы нежелательным, вместе  с тем полагали, что в данном случае надлежит признать его целесообразным. </w:t>
      </w:r>
    </w:p>
    <w:p w14:paraId="47963CD8"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При установлении совершенно нового производства точная калькуляция цен является невозможной. Принятие заказа на магнето сопряжено для завода со значительным риском, и при установлении твердой  цены завод согласится лишь на максимальный ее размер. Между тем при  предлагаемых управлением военного воздушного флота основаниях заказа остается все-таки некоторая возможность путем тщательного подсчета себестоимости добиться цен ниже максимальных. Наконец, самая  процедура  проверки  себестоимости  изготовляемых  заводом  предметов  заставит представителей управления военного воздушного флота войти  во все подробности производства магнето и в результате обогатит их соответствующим техническим опытом. </w:t>
      </w:r>
    </w:p>
    <w:p w14:paraId="69A90E32"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По обмене мнениями Совещание не встретило препятствий к одобрению доклада комиссии. </w:t>
      </w:r>
    </w:p>
    <w:p w14:paraId="15928B4E"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  заключение  член  Государственной  Думы  А.  И.  Шингарев  выступил, по поручению наблюдательной комиссии, с докладом о положении  дела   удовлетворения   металлами   потребностей   государственной   обороны. Заслушав сообщение главного уполномоченного по снабжению  металлами, наблюдательная комиссия признала, что количество металлов, поступивших за последние месяцы в распоряжение главного уполномоченного, является совершенно недостаточным для удовлетворения  потребностей обороны государства и полагала необходимым безотлагательное принятие решительных мер к увеличению и ускорению привоза  металлов из-за границы, а равно доставки металлов из мест их выработки  внутри Империи в учреждения, ведающие переработкою этих металлов.  </w:t>
      </w:r>
    </w:p>
    <w:p w14:paraId="31F6DB78"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частности, комиссия находила нужным прежде всего приведение в исполнение нижеследующих мероприятий: </w:t>
      </w:r>
    </w:p>
    <w:p w14:paraId="664E63E8"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 Ускорить выдачу из особенной канцелярии по кредитной части валюты — 20 000 000 иен, необходимых для покупки металлов на японском  рынке. </w:t>
      </w:r>
    </w:p>
    <w:p w14:paraId="685BA8E6"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2. Командировать представителей подлежащих ведомств в Японию с  целью приобретения и высылки металлов или же поручить пребывающим в Японии представителям ведомств произвести закупку металлов  на месте и организацию их доставки в Россию. </w:t>
      </w:r>
    </w:p>
    <w:p w14:paraId="1F6B75CB"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3. Ускорить выдачу особенной канцелярией по кредитной части валюты  — 15  000  000 крон, необходимых для расчетов по закупке высококачественного чугуна в Швеции. </w:t>
      </w:r>
    </w:p>
    <w:p w14:paraId="7892B858"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4. Просить министра путей сообщения сделать распоряжение о предоставлении во Владивостоке вместо 20 вагонов в сутки возможно большего числа вагонов для погрузки и отправки металлов, находящихся в  названном порту. </w:t>
      </w:r>
    </w:p>
    <w:p w14:paraId="2FB712BD"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5.  Просить  Великобританское  правительство,  а  также  Лондонский  комитет принять решительные меры к ускорению доставки металлов из  Англии в Нарвик и русские порты Колу и Романов. </w:t>
      </w:r>
    </w:p>
    <w:p w14:paraId="1D569F6C"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Ускорить  вывоз  металлов,  скопившихся  на  заводах,  вырабатывающих металлы, и доставление их в учреждения, перерабатывающие их на  нужды обороны государства. </w:t>
      </w:r>
    </w:p>
    <w:p w14:paraId="1F2EC602"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Со  своей  стороны  главный  уполномоченный  по  снабжению  металлами генерал  от  инфантерии  А.  З.  Мышлаевский  внес  на  обсуждение  Совещания,  дополнительно  к  заключениям  комиссии,  нижеследующие  предположения: </w:t>
      </w:r>
    </w:p>
    <w:p w14:paraId="606EF10C"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 Поставить на обсуждение имеющего состояться в Петрограде междусоюзнического совещания вопрос о срочном снабжении России металлами в необходимых ей количествах. </w:t>
      </w:r>
    </w:p>
    <w:p w14:paraId="1B224DA7"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2. Просить министра финансов ускорить разрешение вопроса о новом  японском займе и об отпуске из этого займа 10 000 000 иен для покупки  металлов в Японии. </w:t>
      </w:r>
    </w:p>
    <w:p w14:paraId="0E09AF8D"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3. Просить министра финансов возможно безотлагательно разрешить  вопрос об отпуске валюты на 240 миллионов рублей для заказов черных  металлов за границей. </w:t>
      </w:r>
    </w:p>
    <w:p w14:paraId="24A06A53"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4.  Просить  министерство  путей  сообщения  о  безотлагательном  вывозе на заводы лежащих на разных станциях 280 000 пудов русской меди,  а с медью, разверстанной на январь, — до 400 000 пудов. </w:t>
      </w:r>
    </w:p>
    <w:p w14:paraId="391BAB2C"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Заслушав доклад комиссии и сообщение главного уполномоченного  по снабжению металлами генерала от инфантерии А.  З.  Мышлаевского,  Совещание постановило отложить обсуждение представленных данных  и высказанных пожеланий до следующего заседания. </w:t>
      </w:r>
    </w:p>
    <w:p w14:paraId="75829996"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Подлинный [журнал] за надлежащими подписями. </w:t>
      </w:r>
    </w:p>
    <w:p w14:paraId="2E4B1132"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Председатель Особого Совещания в отношении приведения в исполнение требующих того суждений Особого Совещания решил: </w:t>
      </w:r>
    </w:p>
    <w:p w14:paraId="10DF6ED4"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  Утвердить  доклады  подготовительной  комиссии  по  артиллерийским вопросам: </w:t>
      </w:r>
    </w:p>
    <w:p w14:paraId="66AB6F50"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    а)  о  выдаче  акционерному  обществу  гильзовых,  трубочных  и  механических  заводов,  по  заказу  главного  артиллерийского  управления  на  100 миллионов штук бронебойных пуль системы гвардии штабс-капитана  Кутового всего на сумму 14 миллионов рублей, дополнительного до 50 %  аванса без обеспечения, при условии представления удостоверения артиллерийского  приемщика  о  том,  что  ранее  выданный  обществу  аванс  израсходован по прямому назначению; </w:t>
      </w:r>
    </w:p>
    <w:p w14:paraId="59DA4805"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б) о выдаче центральному военно-промышленному комитету, по наряду главного артиллерийского управления на изготовление 55 000 штук  6” бомб для мортир ближней обороны образца 1915 г., 75 % аванса в размере восьмисот двадцати пяти тысяч (825  000) рублей, с выдачей такового  аванса  единовременно  и  с  тем,  чтобы  названным  комитетом  было  обращено внимание на исполнение заказа в срок. </w:t>
      </w:r>
    </w:p>
    <w:p w14:paraId="2609E09A"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2.  Утвердить  доклад  эвакуационной  комиссии  о  выдаче  Русскому  обществу  «Всеобщая  компания  электричества»  на  покрытие  расходов  по эвакуации и восстановлению на новом месте предприятия общества  безвозвратного  пособия  в  размере  не  более  одного  миллиона  двухсот  восьмидесяти двух тысяч девяноста шести (1  282  096) рублей 33 коп., с  зачетом в эту сумму 200 000 рублей, выданных обществу эвакуационной  комиссией в г.  Риге, и 1  000  000 рублей, выданного артиллерийским ведомством для эвакуации трубочного завода общества из г.  Риги в г.  Москву, и ссуды в размере шести миллионов (6.000.000) рублей, на 15 лет из  6 % годовых, с зачетом 1.000.000 рублей, выданного обществу по постановлению Председателя Особого Совещания по обороне государства,  —  с  тем  чтобы  на  общество  было  возложено  обязательство  использовать  построенный им в г. Харькове завод для нужд военной обороны. </w:t>
      </w:r>
    </w:p>
    <w:p w14:paraId="63FA464A"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Ходатайство  означенного  общества  о  выдаче  ему  ссуды  для  увеличения   оборотного   капитала,   а   равно   о   выдаче   ссуды   г.   Харькову — отклонить. </w:t>
      </w:r>
    </w:p>
    <w:p w14:paraId="136776A1"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3. Утвердить доклад </w:t>
      </w:r>
      <w:r w:rsidRPr="002F2FDF">
        <w:rPr>
          <w:rFonts w:ascii="Times New Roman" w:hAnsi="Times New Roman" w:cs="Times New Roman"/>
          <w:color w:val="000000" w:themeColor="text1"/>
          <w:sz w:val="16"/>
          <w:szCs w:val="16"/>
          <w:highlight w:val="yellow"/>
        </w:rPr>
        <w:t>авиационной комиссии</w:t>
      </w:r>
      <w:r w:rsidRPr="002F2FDF">
        <w:rPr>
          <w:rFonts w:ascii="Times New Roman" w:hAnsi="Times New Roman" w:cs="Times New Roman"/>
          <w:color w:val="000000" w:themeColor="text1"/>
          <w:sz w:val="16"/>
          <w:szCs w:val="16"/>
        </w:rPr>
        <w:t xml:space="preserve"> о предоставлении компании Зингер заказа на магнето и распределителей к ним на основаниях, изложенных в представлении начальника управления военного воздушного  флота  от  21  декабря  1916  года  за  №  12240/3580,  с  тем  чтобы  управление военного воздушного флота озаботилось установлением периодической проверки счетов завода компании Зингер по исполнению  настоящего  заказа  и  чтобы  кредит,  предоставляемый  в  распоряжение  начальника названного управления на расходы, связанные с заготовкой  магнето, был увеличен до тринадцати тысяч (13 000) рублей. </w:t>
      </w:r>
    </w:p>
    <w:p w14:paraId="033EA7A1"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4.  По  докладу  подготовительной  комиссии  по  общим  вопросам  об  исчислении  потребности  военного  и  морского  ведомств  в  кожевенном  товаре  и  о  мероприятиях  для  обеспечения  возможно  правильного  удовлетворения этой потребности: </w:t>
      </w:r>
    </w:p>
    <w:p w14:paraId="15B17441"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а) одобрить к исполнению пожелания, выраженные в журнале комиссии  по  выяснении  общей  потребности  кожи,  необходимой  военному  и  морскому министерствам для нужд обороны, — с тем чтобы проект предусмотренных этими пожеланиями изменений в организации комитета по  делам кожевенной промышленности был выработан комиссией генерал-майора Горецкого и, по рассмотрении в подготовительной комиссии по  общим вопросам, внесен на обсуждение Особого Совещания по обороне  государства; </w:t>
      </w:r>
    </w:p>
    <w:p w14:paraId="53C58DE6"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б) отклонить предположение подготовительной комиссии по общим  вопросам о передаче комитета по делам кожевенной промышленности в  ведение Председателя Особого Совещания по обороне государства; </w:t>
      </w:r>
    </w:p>
    <w:p w14:paraId="5CE18872"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 просить министра торговли и промышленности указать комитету  по  делам  кожевенной  промышленности  на  необходимость  неукоснительного  применения  статьи  11  Высочайше  утвержденного  19  октября  1916  года  положения  о  названном  комитете,  каковой  статьей  установлена карательная санкция для существующих правил об использовании  кожевенных материалов. </w:t>
      </w:r>
    </w:p>
    <w:p w14:paraId="533C59BA"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5.  По  докладу  подготовительной  комиссии  по  общим  вопросам  об  устройстве в России кожевенного завода и об экспорте из России в Америку телячьих и козловых шкур: </w:t>
      </w:r>
    </w:p>
    <w:p w14:paraId="4D4B0604"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а)  изложенное  в  докладе  предложение  представителя  группы  американских кожевенных заводчиков И.  Я.  Шленкера о постройке в центральной России кожевенного завода отклонить; </w:t>
      </w:r>
    </w:p>
    <w:p w14:paraId="5232B24D"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б)  произвести  через  посредство  подлежащих  военных  властей  обследование  местонахождения  и  принадлежности  запасов  легких  кож,  могущих храниться со спекулятивными целями, а также выяснение правильности имеющихся сведений о связи некоторых лиц, владеющих таковыми запасами, с германскими организациями; </w:t>
      </w:r>
    </w:p>
    <w:p w14:paraId="7DEF0E8F"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 снестись с министром торговли и промышленности по вопросу о  желательности произвести реквизицию и конфискацию принадлежащих  частным лицам запасов легких кож, а равно о подтверждении в самой категорической форме запрещения вывоза за границу легких кож на срок  не меньший, чем до конца третьего года со дня окончания войны; </w:t>
      </w:r>
    </w:p>
    <w:p w14:paraId="570E74F1"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 поручить подготовительной комиссии по общим вопросам внести  на  обсуждение  Особого  Совещания  доклад  о  мерах  к  возможно  скорому и прочному насаждению в России особой отрасли промышленности,  имеющей назначением переработку легких кож по наилучшим техническим методам. </w:t>
      </w:r>
    </w:p>
    <w:p w14:paraId="60A91817"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Сверял: делопроизводитель военный советник А.  Терне (20649). </w:t>
      </w:r>
    </w:p>
    <w:p w14:paraId="520E22B1"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p>
    <w:p w14:paraId="35DAB2FE"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11 (24) ян</w:t>
      </w:r>
      <w:r w:rsidRPr="002F2FDF">
        <w:rPr>
          <w:rFonts w:ascii="Times New Roman" w:hAnsi="Times New Roman" w:cs="Times New Roman"/>
          <w:color w:val="000000" w:themeColor="text1"/>
          <w:sz w:val="16"/>
          <w:szCs w:val="16"/>
        </w:rPr>
        <w:softHyphen/>
        <w:t>варя 1917 г. в России о новом аэростате узнали из сооб</w:t>
      </w:r>
      <w:r w:rsidRPr="002F2FDF">
        <w:rPr>
          <w:rFonts w:ascii="Times New Roman" w:hAnsi="Times New Roman" w:cs="Times New Roman"/>
          <w:color w:val="000000" w:themeColor="text1"/>
          <w:sz w:val="16"/>
          <w:szCs w:val="16"/>
        </w:rPr>
        <w:softHyphen/>
        <w:t>щения военного агента во Франции, в котором говорилось, что эти аэростаты используются союзными армиями, но заказать их для России трудно. Позднее председатель За</w:t>
      </w:r>
      <w:r w:rsidRPr="002F2FDF">
        <w:rPr>
          <w:rFonts w:ascii="Times New Roman" w:hAnsi="Times New Roman" w:cs="Times New Roman"/>
          <w:color w:val="000000" w:themeColor="text1"/>
          <w:sz w:val="16"/>
          <w:szCs w:val="16"/>
        </w:rPr>
        <w:softHyphen/>
        <w:t>граничной комиссии по заготовке авиационного и воздухоплавательного имущества в Англии, Франции и Италии полковник С.А. Ульянин уточнил, что чертежи «Како» будут высланы, а пять аэростатов заказаны с полным снаряже</w:t>
      </w:r>
      <w:r w:rsidRPr="002F2FDF">
        <w:rPr>
          <w:rFonts w:ascii="Times New Roman" w:hAnsi="Times New Roman" w:cs="Times New Roman"/>
          <w:color w:val="000000" w:themeColor="text1"/>
          <w:sz w:val="16"/>
          <w:szCs w:val="16"/>
        </w:rPr>
        <w:softHyphen/>
        <w:t>нием с готовностью в апреле. 30 мая заказано 100 оболочек заводу «Треугольник». 19 апреля инспектор воздухоплавания Румынского фронта А. Ванькович поставил Ставку в известность, что французскими офицерами в румынской армии формируются 10 воздухоплавательных отрядов с аэростатами «Како», а это означает, что румыны будут иметь преимущество перед нами по высоте подъёма (1500 против 700 м) (20120)</w:t>
      </w:r>
    </w:p>
    <w:p w14:paraId="22118FFE"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p>
    <w:p w14:paraId="237D753F" w14:textId="1CCAAF5A" w:rsidR="00C6188C" w:rsidRDefault="00C6188C"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07A40151" w14:textId="77777777" w:rsidR="00C6188C" w:rsidRDefault="00C6188C"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9D33A59" w14:textId="40A89AAE" w:rsidR="00C6188C" w:rsidRPr="00FB4F67" w:rsidRDefault="00C6188C"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11 (</w:t>
      </w:r>
      <w:r w:rsidRPr="00FB4F67">
        <w:rPr>
          <w:rFonts w:ascii="Times New Roman" w:hAnsi="Times New Roman" w:cs="Times New Roman"/>
          <w:color w:val="0070C0"/>
          <w:sz w:val="16"/>
          <w:szCs w:val="16"/>
        </w:rPr>
        <w:t>24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на Северном фронте немецкий самолет Rfa.500 R VGO.III R.10 был уничтожен, приземлившись на снег в районе Альт-Ауз. с двумя потерянными членами экипажа. Другие потери Rfa произошли в феврале, когда RFA.501 SSW R.5 был уничтожен при аварийной посадке в Альт-Аузе, экипаж не пострадал. Летом Rfa.501 был переброшен на Запад (23525).</w:t>
      </w:r>
    </w:p>
    <w:p w14:paraId="77722B77" w14:textId="77777777" w:rsidR="00C6188C" w:rsidRPr="00FB4F67" w:rsidRDefault="00C6188C" w:rsidP="0083075A">
      <w:pPr>
        <w:spacing w:after="0" w:line="240" w:lineRule="auto"/>
        <w:jc w:val="both"/>
        <w:rPr>
          <w:rFonts w:ascii="Times New Roman" w:hAnsi="Times New Roman" w:cs="Times New Roman"/>
          <w:color w:val="0070C0"/>
          <w:sz w:val="16"/>
          <w:szCs w:val="16"/>
        </w:rPr>
      </w:pPr>
    </w:p>
    <w:p w14:paraId="71FA6AD7" w14:textId="5D5182DF" w:rsidR="00C6188C" w:rsidRPr="00FB4F67" w:rsidRDefault="00C6188C"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 (</w:t>
      </w:r>
      <w:r w:rsidRPr="00FB4F67">
        <w:rPr>
          <w:rFonts w:ascii="Times New Roman" w:hAnsi="Times New Roman" w:cs="Times New Roman"/>
          <w:color w:val="0070C0"/>
          <w:sz w:val="16"/>
          <w:szCs w:val="16"/>
        </w:rPr>
        <w:t>24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зенитным огнем русской артиллерии был подбит неприятельский аэроплан, который «опустился в нашем расположении в районе д. Смольно (западнее г. Броды). При падении аппарат от воспламенившегося бензина сгорел, летчик и наблюдатель, пытавшиеся скрыться, взяты в плен. С аппарата сняты 2 пулемета» (23405).</w:t>
      </w:r>
    </w:p>
    <w:p w14:paraId="2EE1A8A0" w14:textId="77777777" w:rsidR="00C6188C" w:rsidRPr="00FB4F67" w:rsidRDefault="00C6188C" w:rsidP="0083075A">
      <w:pPr>
        <w:spacing w:after="0" w:line="240" w:lineRule="auto"/>
        <w:jc w:val="both"/>
        <w:rPr>
          <w:rFonts w:ascii="Times New Roman" w:hAnsi="Times New Roman" w:cs="Times New Roman"/>
          <w:color w:val="0070C0"/>
          <w:sz w:val="16"/>
          <w:szCs w:val="16"/>
        </w:rPr>
      </w:pPr>
    </w:p>
    <w:p w14:paraId="2D867CCA" w14:textId="1F07C1D6" w:rsidR="00B75F1E"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B6E2E72" w14:textId="77777777" w:rsidR="00B75F1E" w:rsidRPr="002F2FDF" w:rsidRDefault="00B75F1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BBF770"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11 (24) января 1917 первый полет Aviatik DI, также известного как Berg DI и Berg Fighter (20341).</w:t>
      </w:r>
    </w:p>
    <w:p w14:paraId="3B107DF9"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p>
    <w:p w14:paraId="02BD7DB9"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11 (24) января 1917 первый полет Aviatik DI или Авиатик – Берг D I (рег. № 30.19). </w:t>
      </w:r>
    </w:p>
    <w:p w14:paraId="3A8CC187" w14:textId="1D3CC86C"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Постройка самолета начата на заводе фирмы в Асперне в конце 1916 г. в частичной комплектации. Однако впоследствии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решение было изменено и он был закончен как летная машина (включая покраску, но без вооружения).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По др. данным в этот день был облетан самолет 30.20, а самолет 30.19облетали позже).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Испытания прошли успешно (23146).</w:t>
      </w:r>
    </w:p>
    <w:p w14:paraId="44E92F09"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p>
    <w:p w14:paraId="40BE58B1" w14:textId="4BE38AA8" w:rsidR="00104EF5" w:rsidRPr="002F2FDF" w:rsidRDefault="00104EF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11 (24) января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г. был облетан первый истребитель датской конструкции Нильсен-Винтер тип Аа, но из шести построенных самолетов три разбились, и во избежание дальнейших неприятностей полеты остальных запретили. Послевоенная конъюнктура позволила по дешевке скупить довольно много старых аэропланов (прежде всего бывших немецких) (22971).</w:t>
      </w:r>
    </w:p>
    <w:p w14:paraId="615D51C5" w14:textId="77777777" w:rsidR="00104EF5" w:rsidRPr="002F2FDF" w:rsidRDefault="00104EF5" w:rsidP="0083075A">
      <w:pPr>
        <w:spacing w:after="0" w:line="240" w:lineRule="auto"/>
        <w:jc w:val="both"/>
        <w:rPr>
          <w:rFonts w:ascii="Times New Roman" w:hAnsi="Times New Roman" w:cs="Times New Roman"/>
          <w:color w:val="000000" w:themeColor="text1"/>
          <w:sz w:val="16"/>
          <w:szCs w:val="16"/>
        </w:rPr>
      </w:pPr>
    </w:p>
    <w:p w14:paraId="6CF895D1" w14:textId="77777777" w:rsidR="00B75F1E" w:rsidRPr="002F2FDF" w:rsidRDefault="00B75F1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11 (24) января</w:t>
      </w:r>
      <w:r w:rsidRPr="002F2FDF">
        <w:rPr>
          <w:rFonts w:ascii="Times New Roman" w:hAnsi="Times New Roman" w:cs="Times New Roman"/>
          <w:color w:val="000000" w:themeColor="text1"/>
          <w:kern w:val="2"/>
          <w:sz w:val="16"/>
          <w:szCs w:val="16"/>
        </w:rPr>
        <w:t xml:space="preserve"> в 1917 году немецкий ас барон Манфред фон Рихтгофен сбил английский самолёт «F.E. 8», выполнявший аэрофотографическю миссию, одержав свою 18-ю победу. Экипаж в составе: капитан Оскар Грейг и лейтенант Джон Эрик Маклеллан погибли (15019).</w:t>
      </w:r>
    </w:p>
    <w:p w14:paraId="17985AEE" w14:textId="77777777" w:rsidR="00B75F1E" w:rsidRPr="002F2FDF" w:rsidRDefault="00B75F1E" w:rsidP="0083075A">
      <w:pPr>
        <w:spacing w:after="0" w:line="240" w:lineRule="auto"/>
        <w:jc w:val="both"/>
        <w:rPr>
          <w:rFonts w:ascii="Times New Roman" w:hAnsi="Times New Roman" w:cs="Times New Roman"/>
          <w:color w:val="000000" w:themeColor="text1"/>
          <w:kern w:val="2"/>
          <w:sz w:val="16"/>
          <w:szCs w:val="16"/>
        </w:rPr>
      </w:pPr>
    </w:p>
    <w:p w14:paraId="4AE5146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14DB4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A4A469" w14:textId="77777777" w:rsidR="002F2FDF" w:rsidRPr="002F2FDF" w:rsidRDefault="002F2FDF" w:rsidP="0083075A">
      <w:pPr>
        <w:spacing w:after="0" w:line="240" w:lineRule="auto"/>
        <w:jc w:val="both"/>
        <w:rPr>
          <w:rFonts w:ascii="Times New Roman" w:hAnsi="Times New Roman" w:cs="Times New Roman"/>
          <w:color w:val="0070C0"/>
          <w:sz w:val="16"/>
          <w:szCs w:val="16"/>
        </w:rPr>
      </w:pPr>
      <w:r w:rsidRPr="002F2FDF">
        <w:rPr>
          <w:rFonts w:ascii="Times New Roman" w:hAnsi="Times New Roman" w:cs="Times New Roman"/>
          <w:color w:val="0070C0"/>
          <w:sz w:val="16"/>
          <w:szCs w:val="16"/>
        </w:rPr>
        <w:t>12 (25) января 1817 г. главнокомандующий армиями западного фронта доносил в Ставку ВГК: «В настоящее время на фронте имеются 14 авиаотрядов со 100 самолетами, из коих исправных современных машин только 18. Это самолеты со скоростью 125-150 км/час, высотою 2-3 км, скороподемкостью на боевую высоту 16-24 мин, В то же время у немцев самолеты типа Альбатрос и Фоккер при скорости 150-160 км/час берут высоту 3500-4000 м за 20-15 мин, Таким образом, даже лучшие наши самолеты значительно уступают в настоящее время по техническим данным рядовому самолету противника”.</w:t>
      </w:r>
    </w:p>
    <w:p w14:paraId="67440EA2" w14:textId="77777777" w:rsidR="002F2FDF" w:rsidRPr="002F2FDF" w:rsidRDefault="002F2FDF" w:rsidP="0083075A">
      <w:pPr>
        <w:spacing w:after="0" w:line="240" w:lineRule="auto"/>
        <w:jc w:val="both"/>
        <w:rPr>
          <w:rFonts w:ascii="Times New Roman" w:hAnsi="Times New Roman" w:cs="Times New Roman"/>
          <w:color w:val="0070C0"/>
          <w:sz w:val="16"/>
          <w:szCs w:val="16"/>
        </w:rPr>
      </w:pPr>
      <w:r w:rsidRPr="002F2FDF">
        <w:rPr>
          <w:rFonts w:ascii="Times New Roman" w:hAnsi="Times New Roman" w:cs="Times New Roman"/>
          <w:color w:val="0070C0"/>
          <w:sz w:val="16"/>
          <w:szCs w:val="16"/>
        </w:rPr>
        <w:t>/ЦГВИА, ф. 2003, оп, 1, д. 1224, л. 21/ (23320).</w:t>
      </w:r>
    </w:p>
    <w:p w14:paraId="38F2496C" w14:textId="77777777" w:rsidR="002F2FDF" w:rsidRPr="002F2FDF" w:rsidRDefault="002F2FDF" w:rsidP="0083075A">
      <w:pPr>
        <w:spacing w:after="0" w:line="240" w:lineRule="auto"/>
        <w:jc w:val="both"/>
        <w:rPr>
          <w:rFonts w:ascii="Times New Roman" w:hAnsi="Times New Roman" w:cs="Times New Roman"/>
          <w:color w:val="0070C0"/>
          <w:sz w:val="16"/>
          <w:szCs w:val="16"/>
        </w:rPr>
      </w:pPr>
    </w:p>
    <w:p w14:paraId="2D0311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января 1917 у ПРТВ был заказ уже на 10 ГАСН, которые должны были быть готовы между апрелем и июлем. Одновременно петроградский завод Г.А.Леснер (с февраля 1917 - Новый Леснер) получил заказ на торпедные аппараты катерного типа для размещения под фюзеляжем крылатых носителей (2807,82).</w:t>
      </w:r>
    </w:p>
    <w:p w14:paraId="69CCD7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EBCD8B" w14:textId="77777777" w:rsidR="00047A9F" w:rsidRPr="002F2FDF" w:rsidRDefault="00047A9F"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января 1917</w:t>
      </w:r>
    </w:p>
    <w:p w14:paraId="72725BC6" w14:textId="2F154459"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контрактах на аппараты ГАСН</w:t>
      </w:r>
    </w:p>
    <w:tbl>
      <w:tblPr>
        <w:tblW w:w="0" w:type="auto"/>
        <w:tblLayout w:type="fixed"/>
        <w:tblLook w:val="0000" w:firstRow="0" w:lastRow="0" w:firstColumn="0" w:lastColumn="0" w:noHBand="0" w:noVBand="0"/>
      </w:tblPr>
      <w:tblGrid>
        <w:gridCol w:w="1458"/>
        <w:gridCol w:w="1260"/>
        <w:gridCol w:w="1260"/>
        <w:gridCol w:w="5598"/>
      </w:tblGrid>
      <w:tr w:rsidR="002B1C74" w:rsidRPr="002F2FDF" w14:paraId="42DFE989" w14:textId="77777777">
        <w:tc>
          <w:tcPr>
            <w:tcW w:w="1458" w:type="dxa"/>
            <w:tcBorders>
              <w:top w:val="single" w:sz="12" w:space="0" w:color="auto"/>
              <w:left w:val="single" w:sz="12" w:space="0" w:color="auto"/>
              <w:bottom w:val="single" w:sz="12" w:space="0" w:color="auto"/>
              <w:right w:val="single" w:sz="6" w:space="0" w:color="auto"/>
            </w:tcBorders>
            <w:shd w:val="clear" w:color="auto" w:fill="FFFFFF"/>
          </w:tcPr>
          <w:p w14:paraId="2837A4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Дата контракта</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79B1A0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заказанных аэропланов</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2E57D3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Заводские номера сданных аэропланов</w:t>
            </w:r>
          </w:p>
        </w:tc>
        <w:tc>
          <w:tcPr>
            <w:tcW w:w="5598" w:type="dxa"/>
            <w:tcBorders>
              <w:top w:val="single" w:sz="12" w:space="0" w:color="auto"/>
              <w:left w:val="single" w:sz="6" w:space="0" w:color="auto"/>
              <w:bottom w:val="single" w:sz="12" w:space="0" w:color="auto"/>
              <w:right w:val="single" w:sz="12" w:space="0" w:color="auto"/>
            </w:tcBorders>
            <w:shd w:val="clear" w:color="auto" w:fill="FFFFFF"/>
          </w:tcPr>
          <w:p w14:paraId="7A4EFA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Условия</w:t>
            </w:r>
          </w:p>
        </w:tc>
      </w:tr>
      <w:tr w:rsidR="002B1C74" w:rsidRPr="002F2FDF" w14:paraId="0394239F" w14:textId="77777777">
        <w:tc>
          <w:tcPr>
            <w:tcW w:w="1458" w:type="dxa"/>
            <w:tcBorders>
              <w:top w:val="single" w:sz="6" w:space="0" w:color="auto"/>
              <w:left w:val="single" w:sz="12" w:space="0" w:color="auto"/>
              <w:bottom w:val="single" w:sz="12" w:space="0" w:color="auto"/>
              <w:right w:val="single" w:sz="6" w:space="0" w:color="auto"/>
            </w:tcBorders>
            <w:shd w:val="clear" w:color="auto" w:fill="FFFFFF"/>
          </w:tcPr>
          <w:p w14:paraId="230F03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Январь 12 </w:t>
            </w:r>
            <w:r w:rsidR="00E44BC9" w:rsidRPr="002F2FDF">
              <w:rPr>
                <w:rFonts w:ascii="Times New Roman" w:hAnsi="Times New Roman" w:cs="Times New Roman"/>
                <w:color w:val="000000" w:themeColor="text1"/>
                <w:kern w:val="2"/>
                <w:sz w:val="16"/>
                <w:szCs w:val="16"/>
              </w:rPr>
              <w:t xml:space="preserve">(25) </w:t>
            </w:r>
            <w:r w:rsidRPr="002F2FDF">
              <w:rPr>
                <w:rFonts w:ascii="Times New Roman" w:hAnsi="Times New Roman" w:cs="Times New Roman"/>
                <w:color w:val="000000" w:themeColor="text1"/>
                <w:kern w:val="2"/>
                <w:sz w:val="16"/>
                <w:szCs w:val="16"/>
              </w:rPr>
              <w:t>1917</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11FEE6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7ACBB6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598" w:type="dxa"/>
            <w:tcBorders>
              <w:top w:val="single" w:sz="6" w:space="0" w:color="auto"/>
              <w:left w:val="single" w:sz="6" w:space="0" w:color="auto"/>
              <w:bottom w:val="single" w:sz="12" w:space="0" w:color="auto"/>
              <w:right w:val="single" w:sz="12" w:space="0" w:color="auto"/>
            </w:tcBorders>
            <w:shd w:val="clear" w:color="auto" w:fill="FFFFFF"/>
          </w:tcPr>
          <w:p w14:paraId="741873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 тыс. руб. за аппарат, срок исполнения к началу летней кампании 1917 г. (не выполнен)</w:t>
            </w:r>
          </w:p>
          <w:p w14:paraId="691C73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ОБЩЕЕ ПРИМЕЧАНИЕ: 28 декабря 1917 г. было решено достраивать только 3 из 10 аппаратов типа ГАСН, все под моторы “Роллс-Ройс” 250л. с.</w:t>
            </w:r>
          </w:p>
        </w:tc>
      </w:tr>
    </w:tbl>
    <w:p w14:paraId="6527468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CA8D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янва</w:t>
      </w:r>
      <w:r w:rsidRPr="002F2FDF">
        <w:rPr>
          <w:rFonts w:ascii="Times New Roman" w:hAnsi="Times New Roman" w:cs="Times New Roman"/>
          <w:color w:val="000000" w:themeColor="text1"/>
          <w:kern w:val="2"/>
          <w:sz w:val="16"/>
          <w:szCs w:val="16"/>
        </w:rPr>
        <w:softHyphen/>
        <w:t>ря 1917 г. рабочие авиационного отделения РБВЗ устро</w:t>
      </w:r>
      <w:r w:rsidRPr="002F2FDF">
        <w:rPr>
          <w:rFonts w:ascii="Times New Roman" w:hAnsi="Times New Roman" w:cs="Times New Roman"/>
          <w:color w:val="000000" w:themeColor="text1"/>
          <w:kern w:val="2"/>
          <w:sz w:val="16"/>
          <w:szCs w:val="16"/>
        </w:rPr>
        <w:softHyphen/>
        <w:t>или “итальянскую забастовку”, т.е. саботаж. 20 января, исчерпав все возможности уговорить рабочих, бывший демократ и радетель прав угнетенных, директор РБВЗ В.И.Ярковский обратился с воззванием, в котором в же</w:t>
      </w:r>
      <w:r w:rsidRPr="002F2FDF">
        <w:rPr>
          <w:rFonts w:ascii="Times New Roman" w:hAnsi="Times New Roman" w:cs="Times New Roman"/>
          <w:color w:val="000000" w:themeColor="text1"/>
          <w:kern w:val="2"/>
          <w:sz w:val="16"/>
          <w:szCs w:val="16"/>
        </w:rPr>
        <w:softHyphen/>
        <w:t>сткой форме потребовал покончить с саботажем, угро</w:t>
      </w:r>
      <w:r w:rsidRPr="002F2FDF">
        <w:rPr>
          <w:rFonts w:ascii="Times New Roman" w:hAnsi="Times New Roman" w:cs="Times New Roman"/>
          <w:color w:val="000000" w:themeColor="text1"/>
          <w:kern w:val="2"/>
          <w:sz w:val="16"/>
          <w:szCs w:val="16"/>
        </w:rPr>
        <w:softHyphen/>
        <w:t>жая различными карами. В одном из пунктов его воззвания говорилось: “Рабочие, уличенные в уговари</w:t>
      </w:r>
      <w:r w:rsidRPr="002F2FDF">
        <w:rPr>
          <w:rFonts w:ascii="Times New Roman" w:hAnsi="Times New Roman" w:cs="Times New Roman"/>
          <w:color w:val="000000" w:themeColor="text1"/>
          <w:kern w:val="2"/>
          <w:sz w:val="16"/>
          <w:szCs w:val="16"/>
        </w:rPr>
        <w:softHyphen/>
        <w:t>вании своих товарищей к прекращению работы, будут немедленно и беспрекословно увольняемы без преду</w:t>
      </w:r>
      <w:r w:rsidRPr="002F2FDF">
        <w:rPr>
          <w:rFonts w:ascii="Times New Roman" w:hAnsi="Times New Roman" w:cs="Times New Roman"/>
          <w:color w:val="000000" w:themeColor="text1"/>
          <w:kern w:val="2"/>
          <w:sz w:val="16"/>
          <w:szCs w:val="16"/>
        </w:rPr>
        <w:softHyphen/>
        <w:t>преждения” (10667).</w:t>
      </w:r>
    </w:p>
    <w:p w14:paraId="2BA25D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EEE14D" w14:textId="69C76596" w:rsidR="008F43EB" w:rsidRPr="002F2FDF" w:rsidRDefault="008F43E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12 (25) января 1917 г. рабочие авиационного отделения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РБВЗ</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(Авиабалт) устроили «итальянскую забастовку», т. е. саботаж. 20 января, исчерпав все возможности уговорить рабочих, бывший демократ и радетель прав угнетенных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директор</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РБВЗ</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В. И. Ярковский обратился с воззванием, в котором в жесткой форме потребовал покончить с саботажем, угрожая различными карами. В одном из пунктов его воззвания говорилось: «Рабочие, уличенные в уговаривании своих товарищей к прекращению работы, будут немедленно и беспрекословно увольняемы без предупреждения». Завод возобновил работу, но ненадолго: с 12 по 14 февраля 1917 г. на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РБВЗ</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прокатилась новая забастовка, в которой участвовало около 400 человек, а через десять дней, 23–24 февраля 1917 г., уже весь завод бастовал вновь.</w:t>
      </w:r>
    </w:p>
    <w:p w14:paraId="7D460B74" w14:textId="77777777" w:rsidR="008F43EB" w:rsidRPr="002F2FDF" w:rsidRDefault="008F43E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Впрочем, подобное творилось на многих заводах Петрограда — Путиловском, Металлическом, Франко-русском и других. 23 февраля бастовали 43 предприятия (74 тыс. человек), 24 февраля — 131 (158 тыс. человек), 25 февраля — 173 (201 тыс. человек). На улицах проходили демонстрации и митинги. 25 февраля на сторону взбудораженного народа начали переходить солдаты и казаки. 26 февраля запоздалая попытка ареста членов революционных организаций и роспуск Государственной думы вызвали новый взрыв недовольства и привели к переходу на сторону народа частей Петроградского гарнизона. 27 февраля были созданы Временный комитет членов Государственной думы и Петроградский Совет рабочих депутатов (15125).</w:t>
      </w:r>
    </w:p>
    <w:p w14:paraId="03326219" w14:textId="77777777" w:rsidR="008F43EB" w:rsidRPr="002F2FDF" w:rsidRDefault="008F43EB" w:rsidP="0083075A">
      <w:pPr>
        <w:spacing w:after="0" w:line="240" w:lineRule="auto"/>
        <w:jc w:val="both"/>
        <w:rPr>
          <w:rFonts w:ascii="Times New Roman" w:hAnsi="Times New Roman" w:cs="Times New Roman"/>
          <w:color w:val="000000" w:themeColor="text1"/>
          <w:kern w:val="2"/>
          <w:sz w:val="16"/>
          <w:szCs w:val="16"/>
        </w:rPr>
      </w:pPr>
    </w:p>
    <w:p w14:paraId="496FD3A2" w14:textId="77777777" w:rsidR="00FE48C8" w:rsidRPr="00815ED5" w:rsidRDefault="00FE48C8"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12 </w:t>
      </w:r>
      <w:r>
        <w:rPr>
          <w:rFonts w:ascii="Times New Roman" w:hAnsi="Times New Roman" w:cs="Times New Roman"/>
          <w:color w:val="0070C0"/>
          <w:sz w:val="16"/>
          <w:szCs w:val="16"/>
        </w:rPr>
        <w:t xml:space="preserve">(25) </w:t>
      </w:r>
      <w:r w:rsidRPr="00815ED5">
        <w:rPr>
          <w:rFonts w:ascii="Times New Roman" w:hAnsi="Times New Roman" w:cs="Times New Roman"/>
          <w:color w:val="0070C0"/>
          <w:sz w:val="16"/>
          <w:szCs w:val="16"/>
        </w:rPr>
        <w:t>января</w:t>
      </w:r>
      <w:r>
        <w:rPr>
          <w:rFonts w:ascii="Times New Roman" w:hAnsi="Times New Roman" w:cs="Times New Roman"/>
          <w:color w:val="0070C0"/>
          <w:sz w:val="16"/>
          <w:szCs w:val="16"/>
        </w:rPr>
        <w:t xml:space="preserve">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Технический комитет УВВ</w:t>
      </w:r>
      <w:r>
        <w:rPr>
          <w:rFonts w:ascii="Times New Roman" w:hAnsi="Times New Roman" w:cs="Times New Roman"/>
          <w:color w:val="0070C0"/>
          <w:sz w:val="16"/>
          <w:szCs w:val="16"/>
        </w:rPr>
        <w:t>Ф</w:t>
      </w:r>
      <w:r w:rsidRPr="00815ED5">
        <w:rPr>
          <w:rFonts w:ascii="Times New Roman" w:hAnsi="Times New Roman" w:cs="Times New Roman"/>
          <w:color w:val="0070C0"/>
          <w:sz w:val="16"/>
          <w:szCs w:val="16"/>
        </w:rPr>
        <w:t xml:space="preserve"> рассмотрел проект "вакууммотора"</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К представленный ташкентским инженером Добкевичем и запатентованный им 20 августа 1916 года.</w:t>
      </w:r>
      <w:r>
        <w:rPr>
          <w:rFonts w:ascii="Times New Roman" w:hAnsi="Times New Roman" w:cs="Times New Roman"/>
          <w:color w:val="0070C0"/>
          <w:sz w:val="16"/>
          <w:szCs w:val="16"/>
        </w:rPr>
        <w:t xml:space="preserve"> Р</w:t>
      </w:r>
      <w:r w:rsidRPr="00815ED5">
        <w:rPr>
          <w:rFonts w:ascii="Times New Roman" w:hAnsi="Times New Roman" w:cs="Times New Roman"/>
          <w:color w:val="0070C0"/>
          <w:sz w:val="16"/>
          <w:szCs w:val="16"/>
        </w:rPr>
        <w:t>абота "вакуум-мотора" основана на принци</w:t>
      </w:r>
      <w:r w:rsidRPr="00815ED5">
        <w:rPr>
          <w:rFonts w:ascii="Times New Roman" w:hAnsi="Times New Roman" w:cs="Times New Roman"/>
          <w:color w:val="0070C0"/>
          <w:sz w:val="16"/>
          <w:szCs w:val="16"/>
        </w:rPr>
        <w:softHyphen/>
        <w:t>пе использования статического давления атмосферы для получения движущего или под</w:t>
      </w:r>
      <w:r>
        <w:rPr>
          <w:rFonts w:ascii="Times New Roman" w:hAnsi="Times New Roman" w:cs="Times New Roman"/>
          <w:color w:val="0070C0"/>
          <w:sz w:val="16"/>
          <w:szCs w:val="16"/>
        </w:rPr>
        <w:t>ъ</w:t>
      </w:r>
      <w:r w:rsidRPr="00815ED5">
        <w:rPr>
          <w:rFonts w:ascii="Times New Roman" w:hAnsi="Times New Roman" w:cs="Times New Roman"/>
          <w:color w:val="0070C0"/>
          <w:sz w:val="16"/>
          <w:szCs w:val="16"/>
        </w:rPr>
        <w:t>емного усилия.</w:t>
      </w:r>
      <w:r>
        <w:rPr>
          <w:rFonts w:ascii="Times New Roman" w:hAnsi="Times New Roman" w:cs="Times New Roman"/>
          <w:color w:val="0070C0"/>
          <w:sz w:val="16"/>
          <w:szCs w:val="16"/>
        </w:rPr>
        <w:t xml:space="preserve"> М</w:t>
      </w:r>
      <w:r w:rsidRPr="00815ED5">
        <w:rPr>
          <w:rFonts w:ascii="Times New Roman" w:hAnsi="Times New Roman" w:cs="Times New Roman"/>
          <w:color w:val="0070C0"/>
          <w:sz w:val="16"/>
          <w:szCs w:val="16"/>
        </w:rPr>
        <w:t>отор представляет собой горизонталъный диск с камерами,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открытыми сверху и о боков.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При вращении диска по дну камеры создается динамический вакуум,</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который и используется как движущее усилие.</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Двигателем для вращения диска намечалась турбина.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Техком признал в проекте лишь теоретический интерес,</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не име</w:t>
      </w:r>
      <w:r w:rsidRPr="00815ED5">
        <w:rPr>
          <w:rFonts w:ascii="Times New Roman" w:hAnsi="Times New Roman" w:cs="Times New Roman"/>
          <w:color w:val="0070C0"/>
          <w:sz w:val="16"/>
          <w:szCs w:val="16"/>
        </w:rPr>
        <w:softHyphen/>
        <w:t>ющий практического значения.</w:t>
      </w:r>
      <w:r>
        <w:rPr>
          <w:rFonts w:ascii="Times New Roman" w:hAnsi="Times New Roman" w:cs="Times New Roman"/>
          <w:color w:val="0070C0"/>
          <w:sz w:val="16"/>
          <w:szCs w:val="16"/>
        </w:rPr>
        <w:t xml:space="preserve"> В</w:t>
      </w:r>
      <w:r w:rsidRPr="00815ED5">
        <w:rPr>
          <w:rFonts w:ascii="Times New Roman" w:hAnsi="Times New Roman" w:cs="Times New Roman"/>
          <w:color w:val="0070C0"/>
          <w:sz w:val="16"/>
          <w:szCs w:val="16"/>
        </w:rPr>
        <w:t xml:space="preserve"> помощи изобретателю было отказано.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К идее Добкевича вернулись заграницей только 40 лет спустя в проек</w:t>
      </w:r>
      <w:r w:rsidRPr="00815ED5">
        <w:rPr>
          <w:rFonts w:ascii="Times New Roman" w:hAnsi="Times New Roman" w:cs="Times New Roman"/>
          <w:color w:val="0070C0"/>
          <w:sz w:val="16"/>
          <w:szCs w:val="16"/>
        </w:rPr>
        <w:softHyphen/>
        <w:t>тах так называемых "ди</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колетов",</w:t>
      </w:r>
    </w:p>
    <w:p w14:paraId="6216C6CA" w14:textId="77777777" w:rsidR="00FE48C8" w:rsidRDefault="00FE48C8" w:rsidP="0083075A">
      <w:pPr>
        <w:spacing w:after="0"/>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ф. </w:t>
      </w:r>
      <w:r w:rsidRPr="00815ED5">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оп </w:t>
      </w:r>
      <w:r>
        <w:rPr>
          <w:rFonts w:ascii="Times New Roman" w:hAnsi="Times New Roman" w:cs="Times New Roman"/>
          <w:color w:val="0070C0"/>
          <w:sz w:val="16"/>
          <w:szCs w:val="16"/>
        </w:rPr>
        <w:t>10</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д</w:t>
      </w:r>
      <w:r w:rsidRPr="00815ED5">
        <w:rPr>
          <w:rFonts w:ascii="Times New Roman" w:hAnsi="Times New Roman" w:cs="Times New Roman"/>
          <w:color w:val="0070C0"/>
          <w:sz w:val="16"/>
          <w:szCs w:val="16"/>
        </w:rPr>
        <w:t>. 106, л</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8-9/</w:t>
      </w:r>
      <w:r>
        <w:rPr>
          <w:rFonts w:ascii="Times New Roman" w:hAnsi="Times New Roman" w:cs="Times New Roman"/>
          <w:color w:val="0070C0"/>
          <w:sz w:val="16"/>
          <w:szCs w:val="16"/>
        </w:rPr>
        <w:t xml:space="preserve"> (23320).</w:t>
      </w:r>
    </w:p>
    <w:p w14:paraId="1ED52487" w14:textId="77777777" w:rsidR="00FE48C8" w:rsidRPr="00815ED5" w:rsidRDefault="00FE48C8" w:rsidP="0083075A">
      <w:pPr>
        <w:spacing w:after="0" w:line="240" w:lineRule="auto"/>
        <w:jc w:val="both"/>
        <w:rPr>
          <w:rFonts w:ascii="Times New Roman" w:hAnsi="Times New Roman" w:cs="Times New Roman"/>
          <w:color w:val="0070C0"/>
          <w:sz w:val="16"/>
          <w:szCs w:val="16"/>
        </w:rPr>
      </w:pPr>
    </w:p>
    <w:p w14:paraId="3EE9FD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января 1917 парашют Г.Е.Котельникова, подвешенный к аэростату наблюдения, порывом ветра раскрылся на высоте 250 м и выдернул из корзины наблюдателя Э.В.Мацкайта - командира 6 Сибирского воздухоплавательного отряда, после чего благополучно опустил его на землю через 40 сек. Первое спасение человека с помощью парашюта Г.Е.Котельникова (237,128). После этого Котельников решил размещать парашют в матерчатом чехле (3614).</w:t>
      </w:r>
    </w:p>
    <w:p w14:paraId="31ABF5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81D5D6" w14:textId="77777777" w:rsidR="00517316" w:rsidRPr="002F2FDF" w:rsidRDefault="00517316" w:rsidP="0083075A">
      <w:pPr>
        <w:spacing w:after="0" w:line="240" w:lineRule="auto"/>
        <w:jc w:val="both"/>
        <w:rPr>
          <w:rFonts w:ascii="Times New Roman" w:hAnsi="Times New Roman" w:cs="Times New Roman"/>
          <w:color w:val="0070C0"/>
          <w:sz w:val="16"/>
          <w:szCs w:val="16"/>
        </w:rPr>
      </w:pPr>
      <w:r w:rsidRPr="002F2FDF">
        <w:rPr>
          <w:rFonts w:ascii="Times New Roman" w:hAnsi="Times New Roman" w:cs="Times New Roman"/>
          <w:color w:val="0070C0"/>
          <w:sz w:val="16"/>
          <w:szCs w:val="16"/>
        </w:rPr>
        <w:t>12 (25) января 1917 г. командир 6 сибирского воздухоплавательного отряда подпоручик Эдгар Васильевич Мацкайт совершил вынужденный прыжок на парашюте Котельникова, сорвавшегося от ветра со своей привязи а аэростате, где он подвешивался в открытом виде. Воздухоплаватель был вытащен из корзины помимо своей воли и через 40 сек. плавно приземлился. Этот случай натолкнул воздухоплавателя Н.Д.Анощенко и сaмоro Котельникова на мысль изменить способ подвески парашюта, заключив чив последний в матерчатый чехол,</w:t>
      </w:r>
    </w:p>
    <w:p w14:paraId="4CF55486" w14:textId="77777777" w:rsidR="00517316" w:rsidRPr="002F2FDF" w:rsidRDefault="00517316" w:rsidP="0083075A">
      <w:pPr>
        <w:spacing w:after="0" w:line="240" w:lineRule="auto"/>
        <w:jc w:val="both"/>
        <w:rPr>
          <w:rFonts w:ascii="Times New Roman" w:hAnsi="Times New Roman" w:cs="Times New Roman"/>
          <w:color w:val="0070C0"/>
          <w:sz w:val="16"/>
          <w:szCs w:val="16"/>
        </w:rPr>
      </w:pPr>
      <w:r w:rsidRPr="002F2FDF">
        <w:rPr>
          <w:rFonts w:ascii="Times New Roman" w:hAnsi="Times New Roman" w:cs="Times New Roman"/>
          <w:color w:val="0070C0"/>
          <w:sz w:val="16"/>
          <w:szCs w:val="16"/>
        </w:rPr>
        <w:t>/ЦГВИА, ф. 2008, оп. 1, д. 209, л. 3/ (23320).</w:t>
      </w:r>
    </w:p>
    <w:p w14:paraId="7AB87417" w14:textId="77777777" w:rsidR="00517316" w:rsidRPr="002F2FDF" w:rsidRDefault="00517316" w:rsidP="0083075A">
      <w:pPr>
        <w:spacing w:after="0" w:line="240" w:lineRule="auto"/>
        <w:jc w:val="both"/>
        <w:rPr>
          <w:rFonts w:ascii="Times New Roman" w:hAnsi="Times New Roman" w:cs="Times New Roman"/>
          <w:color w:val="0070C0"/>
          <w:sz w:val="16"/>
          <w:szCs w:val="16"/>
        </w:rPr>
      </w:pPr>
    </w:p>
    <w:p w14:paraId="2CFF853E" w14:textId="77777777" w:rsidR="0044721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1A761BB" w14:textId="77777777" w:rsidR="00447212" w:rsidRPr="002F2FDF" w:rsidRDefault="0044721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5D2457" w14:textId="77777777" w:rsidR="00BF4A08" w:rsidRPr="002F2FDF" w:rsidRDefault="00BF4A0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ранее 12 (25) января 1917 г. Справка о количестве заграничных заказов для нужд «обороны» на 1917 г. и о предполагаемой пропускной способности железных дорог и водных путей России, составленная на основании заключений междуведомственной комиссии сенатора Н. П. Гарина.</w:t>
      </w:r>
    </w:p>
    <w:p w14:paraId="2947FC8B" w14:textId="5826AA44" w:rsidR="00BF4A08" w:rsidRPr="002F2FDF" w:rsidRDefault="00BF4A0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437-438</w:t>
      </w:r>
    </w:p>
    <w:p w14:paraId="49B0195E" w14:textId="77777777" w:rsidR="00BF4A08" w:rsidRPr="002F2FDF" w:rsidRDefault="00BF4A0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АВПР, ф. Секретного архива, д. 680/720, лл. 10—11. Копия.</w:t>
      </w:r>
    </w:p>
    <w:p w14:paraId="03C9FFD2"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 xml:space="preserve">В заседании комиссии сенатора Гарина </w:t>
      </w:r>
      <w:hyperlink r:id="rId22" w:anchor="_ftn2" w:history="1">
        <w:r w:rsidRPr="002F2FDF">
          <w:rPr>
            <w:rStyle w:val="a5"/>
            <w:color w:val="000000" w:themeColor="text1"/>
            <w:kern w:val="2"/>
            <w:sz w:val="16"/>
            <w:szCs w:val="16"/>
          </w:rPr>
          <w:t>[</w:t>
        </w:r>
        <w:r w:rsidRPr="002F2FDF">
          <w:rPr>
            <w:color w:val="000000" w:themeColor="text1"/>
            <w:kern w:val="2"/>
            <w:sz w:val="16"/>
            <w:szCs w:val="16"/>
          </w:rPr>
          <w:t>Междуведомственная комиссия под председательством сенатора Н. П. Гарина была создана решением Особого совещания но обороне в сентябре 1916 г. для составления программы морских перевозок на зимний период 1916—1917 гг. В связи с подготовкой к Петроградской конференции стран Антанты с конца 1916 г. на комиссию было возложено определение общей потребности России в заграничных грузах и рассмотрение вопроса о пропускной способности ввозных железнодорожных и водных путей.</w:t>
        </w:r>
        <w:r w:rsidRPr="002F2FDF">
          <w:rPr>
            <w:rStyle w:val="a5"/>
            <w:color w:val="000000" w:themeColor="text1"/>
            <w:kern w:val="2"/>
            <w:sz w:val="16"/>
            <w:szCs w:val="16"/>
          </w:rPr>
          <w:t>]</w:t>
        </w:r>
      </w:hyperlink>
      <w:r w:rsidRPr="002F2FDF">
        <w:rPr>
          <w:color w:val="000000" w:themeColor="text1"/>
          <w:kern w:val="2"/>
          <w:sz w:val="16"/>
          <w:szCs w:val="16"/>
        </w:rPr>
        <w:t xml:space="preserve"> 12 января были приблизительно установлены следующие грубые цифры количества наших заграничных заказов для нужд обороны с 1 января 1917 г. по 1 января 1918 г. Наша потребность определяется в самых грубых чертах в огромной цифре около 10.5 млн. т.</w:t>
      </w:r>
    </w:p>
    <w:p w14:paraId="7767D881"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Для сравнения с прошлым годом достаточно указать, что при заключении англо русского соглашения о перевозке весной 1916 г. количество грузов, предположенных по ввозу через северные порты России, исчислялось около 2.5 млн т, а причисляя к этому еще 1 млн т, который предположительно мог бы пройти через Владивосток и Швецию, — около</w:t>
      </w:r>
    </w:p>
    <w:p w14:paraId="65E9B610"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3.5 млн т. Следовательно, потребность России во ввозе грузов для обороны в 1917 г. возросла по сравнению с 1916 г. почти в три раза. При этом, однако, учитывается, что в составе упомянутых 10.5 млн. т находятся</w:t>
      </w:r>
    </w:p>
    <w:p w14:paraId="51FA5E8D"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2.5 млн грузов таких, которые останутся в портах ввоза (например, уголь), или таких, которые пойдут по железным дорогам сами и еще повезут на себе груз (например, подвижной состав).</w:t>
      </w:r>
    </w:p>
    <w:p w14:paraId="0D0A1FCB"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Военное ведомство предполагает, что наши внутренние пути более пли менее справятся с этой задачей, пользуясь путями: 1) через Архангельск — а) железной дорогой, б) водой, 2) по Мурманской ж. д. (через Романов и Кемь), 3) через Владивосток и 4) через Швецию и Финляндию.</w:t>
      </w:r>
    </w:p>
    <w:p w14:paraId="587256AF"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При этом ведется расчет на следующие пропускные способности этих ввозных путей:</w:t>
      </w:r>
    </w:p>
    <w:p w14:paraId="35744A4C"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1. Архангельская ж. д. — около 600 вагонов в сутки при нагрузке каждого вагона в 750 пуд.</w:t>
      </w:r>
    </w:p>
    <w:p w14:paraId="49530D77"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2. Мурманская ж. д. с 1 января по 1 марта — 120 вагонов, с 1 марта по 1 июня — 200 вагонов и с 1 июня по 31 декабря — 400 вагонов. Нагрузка вагона около 700 пуд.</w:t>
      </w:r>
    </w:p>
    <w:p w14:paraId="12386F7E"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3. Сибирская ж. д. — 100 вагонов в сутки при нагрузке 800 пуд.</w:t>
      </w:r>
    </w:p>
    <w:p w14:paraId="1A19DF69"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4. Финляндские железные дороги — 130 вагонов в сутки при нагрузке 620 пуд.</w:t>
      </w:r>
    </w:p>
    <w:p w14:paraId="6D9C802E"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Пропускная способность водных путей из Архангельска осталась невыясненной.</w:t>
      </w:r>
    </w:p>
    <w:p w14:paraId="27EE5807"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Рассчитывая пропускную способность ввозных путей России на основании этих цифр, получаем, что: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90"/>
        <w:gridCol w:w="652"/>
      </w:tblGrid>
      <w:tr w:rsidR="002B1C74" w:rsidRPr="002F2FDF" w14:paraId="388A8B56"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B3CCFF"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Архангельская ж. д. ввезет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C4546" w14:textId="7A0CD1CC" w:rsidR="00BF4A08"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34FF35BC"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10344A"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Мурманская »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2D0C1"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1.3 » »</w:t>
            </w:r>
          </w:p>
        </w:tc>
      </w:tr>
      <w:tr w:rsidR="002B1C74" w:rsidRPr="002F2FDF" w14:paraId="183DD22E"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BD3AEC"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Сибирская »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A5078"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0.5 » »</w:t>
            </w:r>
          </w:p>
        </w:tc>
      </w:tr>
      <w:tr w:rsidR="002B1C74" w:rsidRPr="002F2FDF" w14:paraId="2981EAA9"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B4E63C"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Финляндская »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15620"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0 5 » »</w:t>
            </w:r>
          </w:p>
        </w:tc>
      </w:tr>
      <w:tr w:rsidR="002B1C74" w:rsidRPr="002F2FDF" w14:paraId="6B1EB876"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14117C"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Всего по железным дорогам . .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FB5D0" w14:textId="29E1FE3A" w:rsidR="00BF4A08" w:rsidRPr="002F2FDF" w:rsidRDefault="00E52569" w:rsidP="0083075A">
            <w:pPr>
              <w:pStyle w:val="rtejustify"/>
              <w:spacing w:before="0" w:after="0"/>
              <w:rPr>
                <w:color w:val="000000" w:themeColor="text1"/>
                <w:kern w:val="2"/>
                <w:sz w:val="16"/>
                <w:szCs w:val="16"/>
              </w:rPr>
            </w:pPr>
            <w:r>
              <w:rPr>
                <w:color w:val="000000" w:themeColor="text1"/>
                <w:kern w:val="2"/>
                <w:sz w:val="16"/>
                <w:szCs w:val="16"/>
              </w:rPr>
              <w:t xml:space="preserve"> </w:t>
            </w:r>
            <w:r w:rsidR="00BF4A08" w:rsidRPr="002F2FDF">
              <w:rPr>
                <w:color w:val="000000" w:themeColor="text1"/>
                <w:kern w:val="2"/>
                <w:sz w:val="16"/>
                <w:szCs w:val="16"/>
              </w:rPr>
              <w:t>5 млн. т</w:t>
            </w:r>
          </w:p>
        </w:tc>
      </w:tr>
    </w:tbl>
    <w:p w14:paraId="14978726"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Допустим, что 2.5 пойдут по железным дорогам самостоятельно, придем к итогу в 7.5 млн т. Прибавив на водные пути еще 1 млн. (двойное количество по сравнению с прошлым годом), получим все-таки лишь 8.5 млн. т.</w:t>
      </w:r>
    </w:p>
    <w:p w14:paraId="14286F16"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Взяв провозные способности некоторых из упомянутых железных дорог в 1916 г., получим:</w:t>
      </w:r>
    </w:p>
    <w:p w14:paraId="6E3A4DE5"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lastRenderedPageBreak/>
        <w:t>Архангельская ж. д. в среднем вывозила по 276 вагонов в сутки (а в наиболее интенсивный период —347 вагонов). Имеются возражения, что прошлый год нельзя брать примером ввиду частого недостатка прихода пароходов в Архангельск.</w:t>
      </w:r>
    </w:p>
    <w:p w14:paraId="4DCB3F27"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Мурманская ж. д. с 1 января 1917 г. должна была пропускать 120 вагонов ежедневно. Практически же на ней движения еще ног.</w:t>
      </w:r>
    </w:p>
    <w:p w14:paraId="0942A9D7"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Сибирская ж. д. пропускает из Владивостока едва...</w:t>
      </w:r>
      <w:hyperlink r:id="rId23" w:anchor="_ftn3" w:history="1">
        <w:r w:rsidRPr="002F2FDF">
          <w:rPr>
            <w:rStyle w:val="a5"/>
            <w:color w:val="000000" w:themeColor="text1"/>
            <w:kern w:val="2"/>
            <w:sz w:val="16"/>
            <w:szCs w:val="16"/>
          </w:rPr>
          <w:t>[</w:t>
        </w:r>
        <w:r w:rsidRPr="002F2FDF">
          <w:rPr>
            <w:color w:val="000000" w:themeColor="text1"/>
            <w:kern w:val="2"/>
            <w:sz w:val="16"/>
            <w:szCs w:val="16"/>
          </w:rPr>
          <w:t xml:space="preserve"> Пропуск в документе</w:t>
        </w:r>
        <w:r w:rsidRPr="002F2FDF">
          <w:rPr>
            <w:rStyle w:val="a5"/>
            <w:color w:val="000000" w:themeColor="text1"/>
            <w:kern w:val="2"/>
            <w:sz w:val="16"/>
            <w:szCs w:val="16"/>
          </w:rPr>
          <w:t>]</w:t>
        </w:r>
      </w:hyperlink>
      <w:r w:rsidRPr="002F2FDF">
        <w:rPr>
          <w:color w:val="000000" w:themeColor="text1"/>
          <w:kern w:val="2"/>
          <w:sz w:val="16"/>
          <w:szCs w:val="16"/>
        </w:rPr>
        <w:t xml:space="preserve"> вагонов (ожидается в 1917 г. 100).</w:t>
      </w:r>
    </w:p>
    <w:p w14:paraId="5D7A5B72"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В заседании не была проверена приемная способность пристаней в портах, что представляется крайне необходимым сделать теперь же.</w:t>
      </w:r>
    </w:p>
    <w:p w14:paraId="3A13030D"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Союзники имеют во всех наших портах своих представителей, хорошо знакомых с действительным положением вещей и очевидно, что союзные члены конференции будут снабжены цифрами своих местных агентов. Один из них — французский капитан Дюкастель, проведший в Архангельске около года и только что бывший в Романове, — так смотрит на выполнимость нашей зимней программы грузооборота: в навигацию (зимнюю) 1916/17 г. через северные порты предполагалось ввезти 432 тыс. т, а действительно будет ввезено не более 200 тыс. т.</w:t>
      </w:r>
    </w:p>
    <w:p w14:paraId="0668CD03" w14:textId="77777777" w:rsidR="00BF4A08" w:rsidRPr="002F2FDF" w:rsidRDefault="00BF4A08" w:rsidP="0083075A">
      <w:pPr>
        <w:pStyle w:val="rtejustify"/>
        <w:spacing w:before="0" w:after="0"/>
        <w:rPr>
          <w:color w:val="000000" w:themeColor="text1"/>
          <w:kern w:val="2"/>
          <w:sz w:val="16"/>
          <w:szCs w:val="16"/>
        </w:rPr>
      </w:pPr>
      <w:r w:rsidRPr="002F2FDF">
        <w:rPr>
          <w:color w:val="000000" w:themeColor="text1"/>
          <w:kern w:val="2"/>
          <w:sz w:val="16"/>
          <w:szCs w:val="16"/>
        </w:rPr>
        <w:t>Еще более существенным представляется выяснение бывшем в 1916 и ожидаемом в 1917 г. количествах рабочей силы (15143).</w:t>
      </w:r>
    </w:p>
    <w:p w14:paraId="7D8DA3E8" w14:textId="77777777" w:rsidR="00BF4A08" w:rsidRPr="002F2FDF" w:rsidRDefault="00BF4A08" w:rsidP="0083075A">
      <w:pPr>
        <w:pStyle w:val="ae"/>
        <w:spacing w:before="0" w:after="0"/>
        <w:jc w:val="both"/>
        <w:rPr>
          <w:color w:val="000000" w:themeColor="text1"/>
          <w:kern w:val="2"/>
          <w:sz w:val="16"/>
          <w:szCs w:val="16"/>
        </w:rPr>
      </w:pPr>
    </w:p>
    <w:p w14:paraId="3DD607D9" w14:textId="77777777" w:rsidR="00447212" w:rsidRPr="002F2FDF" w:rsidRDefault="0044721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января 1917 г. уполномоченный ГВТУ затребовал у директора Московского телефонного завода отчет о положении дел и ходе выполнения обязательств по договору от 24 марта 1916. Ответ директора не удовлетворил заказчика, который решил тщательно обследовать положение дел. Однако ГВТУ так и не удалось выполнить это, поскольку свершилась Февральская буржуазная революция, которая не только счела многовековую Российскую монархию, но и в корне изменила дальнейшую судьбу русского пролетариата, российской промышленности и Московского телефонного завода в частности.</w:t>
      </w:r>
    </w:p>
    <w:p w14:paraId="56F7E061" w14:textId="77777777" w:rsidR="00447212" w:rsidRPr="002F2FDF" w:rsidRDefault="0044721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Однако кроме этих неизбежных, объективных факторов на судьбу Московского телефонного завода в значительной мере повлияло и то обстоятельство, что основной заказчик - Главное военно-техническое управление, ожидая значительную выгоду от производства и продажи телефонной и и телеграфной аппаратуры, ещё до февральской революции 1917 года, решило построить в Москве свой собственный телефонно-телеграфный завод, который принадлежал бы Военно-инженерному ведомству (ВИВ). В конце 1915 г. по решению Особого государственного совещания по обороне Российской империи в Москве, у Преображенской заставы, на территории нынешнего завода "Изолит" началось строительство завода, рассчитанного на выпуск 1200 телеграфных и 12 тыс. телефонных аппаратов. В мае 1917 г. ВИВ объявило об открытии завода, на котором работало 450 человек. </w:t>
      </w:r>
    </w:p>
    <w:p w14:paraId="7E67CD30" w14:textId="77777777" w:rsidR="00447212" w:rsidRPr="002F2FDF" w:rsidRDefault="0044721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Обстановка в стране складывалась весьма напряжённая. Немцы рвались к Петрограду., поэтому Советское правительство приняло решение столицу перенести в Москву. В первой половине 1918 г. правительство со всеми наркоматами и учреждениями, в т.ч. ГВТУ, переехало в Москву. В итоге произошло слияние Московского телефонно-телеграфного завода ВИВ с Петроградским заводом (ПЭЗВИВ). И так появилось новое предприятие - Электротехнический завод Военоо-инженерного ведомства (ЭЗВИВ). А в это время на Московском телефонном заводе по Большой Татарской улице происходили следующие события. После бегства хозяев Акционерного общества из Петрограда завод по существу остался беспризорным. Рабочее правление с трудом получило небольшой заказ от Городской телефонной станции на ремонт старых телефонных аппаратов и коммутаторов. Заказов больше не было и тогда рабочее правление поставило вопрос о национализации Московского телефонного завода.</w:t>
      </w:r>
    </w:p>
    <w:p w14:paraId="6F37B67A" w14:textId="77777777" w:rsidR="00447212" w:rsidRPr="002F2FDF" w:rsidRDefault="0044721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национализации на заводе было создано временное правительственное правление. Экономический комитет Моссовета назначил временным коммисаром на завод Е.М. Альперовича. Проработав на заводе не многим больше месяца, временный коммисар представил 8 марта 1918 г. Президиуму Московского экономического комитета доклад, из которого следовало, что при сложившемся положении дел завод целесообразнее всего закрыть, а рабочих и служащих расчитать (уволить). Было создано ликвидационное правление, которое через Моссовет получило ссуду и начало расчитывать рабочих. Таким образом , в апреле 1918 года сложилась такая ситуация, при которой в Москве оказались полностью построенный и оборудованный, но не имеющий денег и заказов и потому закрытый Телефонный завод на Большой Татарской улице, и недостроенный, но функционирующий и выполняющий заказы ГВТУ Телефонно-телеграфный завод на Преображенке, а также находящийся в стадии эвакуации в Москву для слияния с ним бывшый Петроградский ПЭЗВИВ, "наследник" фирмы "К. Лоренц". В итоге 16 апреля 1918 года Президиум ВСНХ постановил слить Московский телефонный завод с эвакуированным из Петрограда ПЭЗВИВ и образовать на их основе ПЕРВЫЙ ГОСУДАРСТВЕННЫЙ ЭЛЕКТРОТЕХНИЧЕСКИЙ ЗАВОД. Это день рождения радиозавода "Темп". (И только в ноябре 1922 года завод у Преображенской заставы вместе со всеми его капиталами и имуществом будет официально слит с Телефонным заводом) (12239).</w:t>
      </w:r>
    </w:p>
    <w:p w14:paraId="476052E4" w14:textId="77777777" w:rsidR="00447212" w:rsidRPr="002F2FDF" w:rsidRDefault="00447212" w:rsidP="0083075A">
      <w:pPr>
        <w:spacing w:after="0" w:line="240" w:lineRule="auto"/>
        <w:jc w:val="both"/>
        <w:rPr>
          <w:rFonts w:ascii="Times New Roman" w:hAnsi="Times New Roman" w:cs="Times New Roman"/>
          <w:color w:val="000000" w:themeColor="text1"/>
          <w:kern w:val="2"/>
          <w:sz w:val="16"/>
          <w:szCs w:val="16"/>
        </w:rPr>
      </w:pPr>
    </w:p>
    <w:p w14:paraId="5558D64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C227A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C640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января 1917 ГК армиями ЗФ доносил в ставку ВГК: "В настоящее время на фронте имеется 14 авиаотрядов со 100 самолетами, из коих исправных современных - 18. Даже лучшие значительно уступали Альбатросам и Фоккерам (3615).</w:t>
      </w:r>
    </w:p>
    <w:p w14:paraId="0DB7D1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F1A4F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января 1917 Главнокомандующий армиями Западного фронта доносит в Ставку ВГК: "В настоящее время на фронте имеются 14 авиаотрядов со 100 самолетами, из коих исправных совре</w:t>
      </w:r>
      <w:r w:rsidRPr="002F2FDF">
        <w:rPr>
          <w:rFonts w:ascii="Times New Roman" w:hAnsi="Times New Roman" w:cs="Times New Roman"/>
          <w:color w:val="000000" w:themeColor="text1"/>
          <w:kern w:val="2"/>
          <w:sz w:val="16"/>
          <w:szCs w:val="16"/>
        </w:rPr>
        <w:softHyphen/>
        <w:t>менных машин только 18. Это самолеты со скоростью 125-150 км/час, высотою 2-3 км , скороподъемностью на боевую высоту 16-24 мин. В то же время у немцев самолеты типа "Альбатрос” и "Фоккер" при скорости 150-160 км/час берут высоту 3500 -4000 м за 20-15 мин. Таким образом, даже лучшие наши самолеты значительно уступают в настоящее время по техническим данным рядовому самолету противника". (ЦГВИА. ф.2003, оп.1, д. 1224, л.21).</w:t>
      </w:r>
    </w:p>
    <w:p w14:paraId="545185C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85B6B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12 </w:t>
      </w:r>
      <w:r w:rsidR="00E44BC9" w:rsidRPr="002F2FDF">
        <w:rPr>
          <w:rFonts w:ascii="Times New Roman" w:hAnsi="Times New Roman" w:cs="Times New Roman"/>
          <w:color w:val="000000" w:themeColor="text1"/>
          <w:kern w:val="2"/>
          <w:sz w:val="16"/>
          <w:szCs w:val="16"/>
        </w:rPr>
        <w:t xml:space="preserve">(25) </w:t>
      </w:r>
      <w:r w:rsidRPr="002F2FDF">
        <w:rPr>
          <w:rFonts w:ascii="Times New Roman" w:hAnsi="Times New Roman" w:cs="Times New Roman"/>
          <w:color w:val="000000" w:themeColor="text1"/>
          <w:kern w:val="2"/>
          <w:sz w:val="16"/>
          <w:szCs w:val="16"/>
        </w:rPr>
        <w:t>января 1917 г. в одном из до</w:t>
      </w:r>
      <w:r w:rsidRPr="002F2FDF">
        <w:rPr>
          <w:rFonts w:ascii="Times New Roman" w:hAnsi="Times New Roman" w:cs="Times New Roman"/>
          <w:color w:val="000000" w:themeColor="text1"/>
          <w:kern w:val="2"/>
          <w:sz w:val="16"/>
          <w:szCs w:val="16"/>
        </w:rPr>
        <w:softHyphen/>
        <w:t>несений главнокомандующего армиями Западного фронта говорится: “В настоящее время на фронте состоит 14 авиационных отрядов со 100 самолетами, но из них исправных аппаратов - современных систем... только лишь 18” (ЦГВИА, ф. 2003, оп. II, д. 1224, л. 21) (430).</w:t>
      </w:r>
    </w:p>
    <w:p w14:paraId="62BECC9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BB95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января 1917 из штаба Особой армии поступило сообщение: “согласно приказу генерал-квартир</w:t>
      </w:r>
      <w:r w:rsidRPr="002F2FDF">
        <w:rPr>
          <w:rFonts w:ascii="Times New Roman" w:hAnsi="Times New Roman" w:cs="Times New Roman"/>
          <w:color w:val="000000" w:themeColor="text1"/>
          <w:kern w:val="2"/>
          <w:sz w:val="16"/>
          <w:szCs w:val="16"/>
        </w:rPr>
        <w:softHyphen/>
        <w:t>мейстера ЮЗФ авиагруппа в составе 2-го, 4-го и 19-го, корпусных авиаот</w:t>
      </w:r>
      <w:r w:rsidRPr="002F2FDF">
        <w:rPr>
          <w:rFonts w:ascii="Times New Roman" w:hAnsi="Times New Roman" w:cs="Times New Roman"/>
          <w:color w:val="000000" w:themeColor="text1"/>
          <w:kern w:val="2"/>
          <w:sz w:val="16"/>
          <w:szCs w:val="16"/>
        </w:rPr>
        <w:softHyphen/>
        <w:t>рядов сегодня выступает к месту ново</w:t>
      </w:r>
      <w:r w:rsidRPr="002F2FDF">
        <w:rPr>
          <w:rFonts w:ascii="Times New Roman" w:hAnsi="Times New Roman" w:cs="Times New Roman"/>
          <w:color w:val="000000" w:themeColor="text1"/>
          <w:kern w:val="2"/>
          <w:sz w:val="16"/>
          <w:szCs w:val="16"/>
        </w:rPr>
        <w:softHyphen/>
        <w:t>го назначения”. Началась долгая “одиссея” авиа</w:t>
      </w:r>
      <w:r w:rsidRPr="002F2FDF">
        <w:rPr>
          <w:rFonts w:ascii="Times New Roman" w:hAnsi="Times New Roman" w:cs="Times New Roman"/>
          <w:color w:val="000000" w:themeColor="text1"/>
          <w:kern w:val="2"/>
          <w:sz w:val="16"/>
          <w:szCs w:val="16"/>
        </w:rPr>
        <w:softHyphen/>
        <w:t>группы по железной дороге, забитой воинскими эшелонами. Передвиже</w:t>
      </w:r>
      <w:r w:rsidRPr="002F2FDF">
        <w:rPr>
          <w:rFonts w:ascii="Times New Roman" w:hAnsi="Times New Roman" w:cs="Times New Roman"/>
          <w:color w:val="000000" w:themeColor="text1"/>
          <w:kern w:val="2"/>
          <w:sz w:val="16"/>
          <w:szCs w:val="16"/>
        </w:rPr>
        <w:softHyphen/>
        <w:t>ние шло медленно, с частыми оста</w:t>
      </w:r>
      <w:r w:rsidRPr="002F2FDF">
        <w:rPr>
          <w:rFonts w:ascii="Times New Roman" w:hAnsi="Times New Roman" w:cs="Times New Roman"/>
          <w:color w:val="000000" w:themeColor="text1"/>
          <w:kern w:val="2"/>
          <w:sz w:val="16"/>
          <w:szCs w:val="16"/>
        </w:rPr>
        <w:softHyphen/>
        <w:t>новками на станциях, где составы загоняли на запасные пути. Лишь 23 января авиагруппа прибыла на стан</w:t>
      </w:r>
      <w:r w:rsidRPr="002F2FDF">
        <w:rPr>
          <w:rFonts w:ascii="Times New Roman" w:hAnsi="Times New Roman" w:cs="Times New Roman"/>
          <w:color w:val="000000" w:themeColor="text1"/>
          <w:kern w:val="2"/>
          <w:sz w:val="16"/>
          <w:szCs w:val="16"/>
        </w:rPr>
        <w:softHyphen/>
        <w:t>цию Бендеры, а 27 января - в Яссы, и там опять застряла на несколько дней. 3 февраля штабс-капитан Якобашви</w:t>
      </w:r>
      <w:r w:rsidRPr="002F2FDF">
        <w:rPr>
          <w:rFonts w:ascii="Times New Roman" w:hAnsi="Times New Roman" w:cs="Times New Roman"/>
          <w:color w:val="000000" w:themeColor="text1"/>
          <w:kern w:val="2"/>
          <w:sz w:val="16"/>
          <w:szCs w:val="16"/>
        </w:rPr>
        <w:softHyphen/>
        <w:t>ли сообщил начальнику Ясского гар</w:t>
      </w:r>
      <w:r w:rsidRPr="002F2FDF">
        <w:rPr>
          <w:rFonts w:ascii="Times New Roman" w:hAnsi="Times New Roman" w:cs="Times New Roman"/>
          <w:color w:val="000000" w:themeColor="text1"/>
          <w:kern w:val="2"/>
          <w:sz w:val="16"/>
          <w:szCs w:val="16"/>
        </w:rPr>
        <w:softHyphen/>
        <w:t>низона: “Доношу, что вверенная мне ударная авиагруппа Румынского фронта в составе 2, 4 и 19 корпусных авиаотрядов прибыла в Яссы. В каж</w:t>
      </w:r>
      <w:r w:rsidRPr="002F2FDF">
        <w:rPr>
          <w:rFonts w:ascii="Times New Roman" w:hAnsi="Times New Roman" w:cs="Times New Roman"/>
          <w:color w:val="000000" w:themeColor="text1"/>
          <w:kern w:val="2"/>
          <w:sz w:val="16"/>
          <w:szCs w:val="16"/>
        </w:rPr>
        <w:softHyphen/>
        <w:t>дом отряде 12 летчиков-офицеров, 140 нижних чинов, 65 лошадей, 5 ав</w:t>
      </w:r>
      <w:r w:rsidRPr="002F2FDF">
        <w:rPr>
          <w:rFonts w:ascii="Times New Roman" w:hAnsi="Times New Roman" w:cs="Times New Roman"/>
          <w:color w:val="000000" w:themeColor="text1"/>
          <w:kern w:val="2"/>
          <w:sz w:val="16"/>
          <w:szCs w:val="16"/>
        </w:rPr>
        <w:softHyphen/>
        <w:t>томобилей и 8 аппаратов (...) прошу предоставления в пользование аэро</w:t>
      </w:r>
      <w:r w:rsidRPr="002F2FDF">
        <w:rPr>
          <w:rFonts w:ascii="Times New Roman" w:hAnsi="Times New Roman" w:cs="Times New Roman"/>
          <w:color w:val="000000" w:themeColor="text1"/>
          <w:kern w:val="2"/>
          <w:sz w:val="16"/>
          <w:szCs w:val="16"/>
        </w:rPr>
        <w:softHyphen/>
        <w:t>дром Румынской авиашколы, а также отвод трех помещений для отрядов в непосредственной близости от аэро</w:t>
      </w:r>
      <w:r w:rsidRPr="002F2FDF">
        <w:rPr>
          <w:rFonts w:ascii="Times New Roman" w:hAnsi="Times New Roman" w:cs="Times New Roman"/>
          <w:color w:val="000000" w:themeColor="text1"/>
          <w:kern w:val="2"/>
          <w:sz w:val="16"/>
          <w:szCs w:val="16"/>
        </w:rPr>
        <w:softHyphen/>
        <w:t>дрома”. Однако аэродром в Яссах уже был отдан франко-румынскому авиа</w:t>
      </w:r>
      <w:r w:rsidRPr="002F2FDF">
        <w:rPr>
          <w:rFonts w:ascii="Times New Roman" w:hAnsi="Times New Roman" w:cs="Times New Roman"/>
          <w:color w:val="000000" w:themeColor="text1"/>
          <w:kern w:val="2"/>
          <w:sz w:val="16"/>
          <w:szCs w:val="16"/>
        </w:rPr>
        <w:softHyphen/>
        <w:t>отряду и наших там не ждали. Не дол</w:t>
      </w:r>
      <w:r w:rsidRPr="002F2FDF">
        <w:rPr>
          <w:rFonts w:ascii="Times New Roman" w:hAnsi="Times New Roman" w:cs="Times New Roman"/>
          <w:color w:val="000000" w:themeColor="text1"/>
          <w:kern w:val="2"/>
          <w:sz w:val="16"/>
          <w:szCs w:val="16"/>
        </w:rPr>
        <w:softHyphen/>
        <w:t>го думая, штабисты “отфутболили” группу в Бирланд. Для этого требовалась перегрузка в другие вагоны, т.к. в Яссах начиналась узкая “европейская” колея. Однако ко</w:t>
      </w:r>
      <w:r w:rsidRPr="002F2FDF">
        <w:rPr>
          <w:rFonts w:ascii="Times New Roman" w:hAnsi="Times New Roman" w:cs="Times New Roman"/>
          <w:color w:val="000000" w:themeColor="text1"/>
          <w:kern w:val="2"/>
          <w:sz w:val="16"/>
          <w:szCs w:val="16"/>
        </w:rPr>
        <w:softHyphen/>
        <w:t>мендант Ясс вагонов не дал и при</w:t>
      </w:r>
      <w:r w:rsidRPr="002F2FDF">
        <w:rPr>
          <w:rFonts w:ascii="Times New Roman" w:hAnsi="Times New Roman" w:cs="Times New Roman"/>
          <w:color w:val="000000" w:themeColor="text1"/>
          <w:kern w:val="2"/>
          <w:sz w:val="16"/>
          <w:szCs w:val="16"/>
        </w:rPr>
        <w:softHyphen/>
        <w:t>шлось двигаться обозами по раскис</w:t>
      </w:r>
      <w:r w:rsidRPr="002F2FDF">
        <w:rPr>
          <w:rFonts w:ascii="Times New Roman" w:hAnsi="Times New Roman" w:cs="Times New Roman"/>
          <w:color w:val="000000" w:themeColor="text1"/>
          <w:kern w:val="2"/>
          <w:sz w:val="16"/>
          <w:szCs w:val="16"/>
        </w:rPr>
        <w:softHyphen/>
        <w:t>шим и разбитым дорогам. Отвечать за сохранность и боеспособность авиа</w:t>
      </w:r>
      <w:r w:rsidRPr="002F2FDF">
        <w:rPr>
          <w:rFonts w:ascii="Times New Roman" w:hAnsi="Times New Roman" w:cs="Times New Roman"/>
          <w:color w:val="000000" w:themeColor="text1"/>
          <w:kern w:val="2"/>
          <w:sz w:val="16"/>
          <w:szCs w:val="16"/>
        </w:rPr>
        <w:softHyphen/>
        <w:t>имущества в этом случае Якобашвили отказался. Он покинул группу и поехал в штаб Румынского фронта выяснять причины столь наплевательского отно</w:t>
      </w:r>
      <w:r w:rsidRPr="002F2FDF">
        <w:rPr>
          <w:rFonts w:ascii="Times New Roman" w:hAnsi="Times New Roman" w:cs="Times New Roman"/>
          <w:color w:val="000000" w:themeColor="text1"/>
          <w:kern w:val="2"/>
          <w:sz w:val="16"/>
          <w:szCs w:val="16"/>
        </w:rPr>
        <w:softHyphen/>
        <w:t>шения. Временным командиром был оставлен Казаков. Для штабистов прибытие новой авиачасти означало лишь дополни</w:t>
      </w:r>
      <w:r w:rsidRPr="002F2FDF">
        <w:rPr>
          <w:rFonts w:ascii="Times New Roman" w:hAnsi="Times New Roman" w:cs="Times New Roman"/>
          <w:color w:val="000000" w:themeColor="text1"/>
          <w:kern w:val="2"/>
          <w:sz w:val="16"/>
          <w:szCs w:val="16"/>
        </w:rPr>
        <w:softHyphen/>
        <w:t>тельную “головную боль”. Занимать</w:t>
      </w:r>
      <w:r w:rsidRPr="002F2FDF">
        <w:rPr>
          <w:rFonts w:ascii="Times New Roman" w:hAnsi="Times New Roman" w:cs="Times New Roman"/>
          <w:color w:val="000000" w:themeColor="text1"/>
          <w:kern w:val="2"/>
          <w:sz w:val="16"/>
          <w:szCs w:val="16"/>
        </w:rPr>
        <w:softHyphen/>
        <w:t>ся ее обустройством никто не хотел. Дело дошло до того, что личный со</w:t>
      </w:r>
      <w:r w:rsidRPr="002F2FDF">
        <w:rPr>
          <w:rFonts w:ascii="Times New Roman" w:hAnsi="Times New Roman" w:cs="Times New Roman"/>
          <w:color w:val="000000" w:themeColor="text1"/>
          <w:kern w:val="2"/>
          <w:sz w:val="16"/>
          <w:szCs w:val="16"/>
        </w:rPr>
        <w:softHyphen/>
        <w:t>став группы отказались ставить на все виды довольствия, и Казаков 3 февраля просит разрешения выдать офицерам хотя бы солдатский паек. Почти в то же время он отправил теле</w:t>
      </w:r>
      <w:r w:rsidRPr="002F2FDF">
        <w:rPr>
          <w:rFonts w:ascii="Times New Roman" w:hAnsi="Times New Roman" w:cs="Times New Roman"/>
          <w:color w:val="000000" w:themeColor="text1"/>
          <w:kern w:val="2"/>
          <w:sz w:val="16"/>
          <w:szCs w:val="16"/>
        </w:rPr>
        <w:softHyphen/>
        <w:t>грамму Ткачеву с описанием их зло</w:t>
      </w:r>
      <w:r w:rsidRPr="002F2FDF">
        <w:rPr>
          <w:rFonts w:ascii="Times New Roman" w:hAnsi="Times New Roman" w:cs="Times New Roman"/>
          <w:color w:val="000000" w:themeColor="text1"/>
          <w:kern w:val="2"/>
          <w:sz w:val="16"/>
          <w:szCs w:val="16"/>
        </w:rPr>
        <w:softHyphen/>
        <w:t>ключений и просьбой вернуть группу обратно. Эти меры возымели действие. Тка</w:t>
      </w:r>
      <w:r w:rsidRPr="002F2FDF">
        <w:rPr>
          <w:rFonts w:ascii="Times New Roman" w:hAnsi="Times New Roman" w:cs="Times New Roman"/>
          <w:color w:val="000000" w:themeColor="text1"/>
          <w:kern w:val="2"/>
          <w:sz w:val="16"/>
          <w:szCs w:val="16"/>
        </w:rPr>
        <w:softHyphen/>
        <w:t>чеву удалось вернуть авиагруппу на Юго-западный фронт в расположение 7-й армии (3954).</w:t>
      </w:r>
    </w:p>
    <w:p w14:paraId="535D3E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39D69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января 1917 командир 6 Сибирского воздухоплавательного отряда подпоручик Здгар Васильевич Мацкайт совершил вынуж</w:t>
      </w:r>
      <w:r w:rsidRPr="002F2FDF">
        <w:rPr>
          <w:rFonts w:ascii="Times New Roman" w:hAnsi="Times New Roman" w:cs="Times New Roman"/>
          <w:color w:val="000000" w:themeColor="text1"/>
          <w:kern w:val="2"/>
          <w:sz w:val="16"/>
          <w:szCs w:val="16"/>
        </w:rPr>
        <w:softHyphen/>
        <w:t>денный прыжок на парашюте Котельникова, сорвавшемся от ветра со своей привязи на аэростате, где он подвешивался в откры</w:t>
      </w:r>
      <w:r w:rsidRPr="002F2FDF">
        <w:rPr>
          <w:rFonts w:ascii="Times New Roman" w:hAnsi="Times New Roman" w:cs="Times New Roman"/>
          <w:color w:val="000000" w:themeColor="text1"/>
          <w:kern w:val="2"/>
          <w:sz w:val="16"/>
          <w:szCs w:val="16"/>
        </w:rPr>
        <w:softHyphen/>
        <w:t>том виде. Воздухоплаватель был вытащен из корзины помимо своей воли и через 40 секунд плавно приземлился. Этот слу</w:t>
      </w:r>
      <w:r w:rsidRPr="002F2FDF">
        <w:rPr>
          <w:rFonts w:ascii="Times New Roman" w:hAnsi="Times New Roman" w:cs="Times New Roman"/>
          <w:color w:val="000000" w:themeColor="text1"/>
          <w:kern w:val="2"/>
          <w:sz w:val="16"/>
          <w:szCs w:val="16"/>
        </w:rPr>
        <w:softHyphen/>
        <w:t>чай натолкнул воздухоплавателя Н.Д.Анощенко и самого Ко</w:t>
      </w:r>
      <w:r w:rsidRPr="002F2FDF">
        <w:rPr>
          <w:rFonts w:ascii="Times New Roman" w:hAnsi="Times New Roman" w:cs="Times New Roman"/>
          <w:color w:val="000000" w:themeColor="text1"/>
          <w:kern w:val="2"/>
          <w:sz w:val="16"/>
          <w:szCs w:val="16"/>
        </w:rPr>
        <w:softHyphen/>
        <w:t>тельникова на мысль изменить способ подвески парашюта, за</w:t>
      </w:r>
      <w:r w:rsidRPr="002F2FDF">
        <w:rPr>
          <w:rFonts w:ascii="Times New Roman" w:hAnsi="Times New Roman" w:cs="Times New Roman"/>
          <w:color w:val="000000" w:themeColor="text1"/>
          <w:kern w:val="2"/>
          <w:sz w:val="16"/>
          <w:szCs w:val="16"/>
        </w:rPr>
        <w:softHyphen/>
        <w:t>ключив последний в матерчатый чехол (ЦГВИА. а.2008, оп.1, д.209, л. 3).</w:t>
      </w:r>
    </w:p>
    <w:p w14:paraId="34EA996E" w14:textId="77777777" w:rsidR="00CE4A00" w:rsidRPr="002F2FDF" w:rsidRDefault="00CE4A00"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B39EFB" w14:textId="060D1EEE" w:rsidR="00C6188C" w:rsidRPr="00FB4F67" w:rsidRDefault="00C6188C" w:rsidP="0083075A">
      <w:pPr>
        <w:spacing w:after="0" w:line="240" w:lineRule="auto"/>
        <w:jc w:val="both"/>
        <w:rPr>
          <w:rFonts w:ascii="Times New Roman" w:hAnsi="Times New Roman" w:cs="Times New Roman"/>
          <w:color w:val="0070C0"/>
          <w:sz w:val="16"/>
          <w:szCs w:val="16"/>
        </w:rPr>
      </w:pPr>
      <w:bookmarkStart w:id="5" w:name="bookmark679"/>
      <w:bookmarkStart w:id="6" w:name="bookmark680"/>
      <w:r>
        <w:rPr>
          <w:rFonts w:ascii="Times New Roman" w:hAnsi="Times New Roman" w:cs="Times New Roman"/>
          <w:color w:val="0070C0"/>
          <w:sz w:val="16"/>
          <w:szCs w:val="16"/>
        </w:rPr>
        <w:t>12 (</w:t>
      </w:r>
      <w:r w:rsidRPr="00FB4F67">
        <w:rPr>
          <w:rFonts w:ascii="Times New Roman" w:hAnsi="Times New Roman" w:cs="Times New Roman"/>
          <w:color w:val="0070C0"/>
          <w:sz w:val="16"/>
          <w:szCs w:val="16"/>
        </w:rPr>
        <w:t>25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авиация противника совершила бомбардировку ст. Радзивилов (без особого ущерба для ее сооружений). Одновременно участились налеты неприятельской авиации на г. Луцк (23405).</w:t>
      </w:r>
      <w:bookmarkEnd w:id="5"/>
      <w:bookmarkEnd w:id="6"/>
    </w:p>
    <w:p w14:paraId="38E6E57E" w14:textId="77777777" w:rsidR="00C6188C" w:rsidRPr="00FB4F67" w:rsidRDefault="00C6188C" w:rsidP="0083075A">
      <w:pPr>
        <w:spacing w:after="0" w:line="240" w:lineRule="auto"/>
        <w:jc w:val="both"/>
        <w:rPr>
          <w:rFonts w:ascii="Times New Roman" w:hAnsi="Times New Roman" w:cs="Times New Roman"/>
          <w:color w:val="0070C0"/>
          <w:sz w:val="16"/>
          <w:szCs w:val="16"/>
        </w:rPr>
      </w:pPr>
    </w:p>
    <w:p w14:paraId="270CCF61" w14:textId="77777777" w:rsidR="00CE4A00" w:rsidRPr="002F2FDF" w:rsidRDefault="00CE4A00" w:rsidP="0083075A">
      <w:pPr>
        <w:pStyle w:val="ae"/>
        <w:spacing w:before="0" w:after="0"/>
        <w:jc w:val="both"/>
        <w:rPr>
          <w:color w:val="000000" w:themeColor="text1"/>
          <w:kern w:val="2"/>
          <w:sz w:val="16"/>
          <w:szCs w:val="16"/>
        </w:rPr>
      </w:pPr>
      <w:r w:rsidRPr="002F2FDF">
        <w:rPr>
          <w:color w:val="000000" w:themeColor="text1"/>
          <w:kern w:val="2"/>
          <w:sz w:val="16"/>
          <w:szCs w:val="16"/>
        </w:rPr>
        <w:t>12 (25) января 1917 германские войска перешли в наступление под Ригой, пытаясь отбить территории, потерянные в ходе проведенной в середине января русской армией Митавской операции. Однако все их атаки были отражены (17045).</w:t>
      </w:r>
    </w:p>
    <w:p w14:paraId="317C7B7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99DCD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CBA4F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849203" w14:textId="77777777" w:rsidR="00CE4A00" w:rsidRPr="002F2FDF" w:rsidRDefault="00CE4A00" w:rsidP="0083075A">
      <w:pPr>
        <w:pStyle w:val="ae"/>
        <w:spacing w:before="0" w:after="0"/>
        <w:jc w:val="both"/>
        <w:rPr>
          <w:color w:val="000000" w:themeColor="text1"/>
          <w:kern w:val="2"/>
          <w:sz w:val="16"/>
          <w:szCs w:val="16"/>
        </w:rPr>
      </w:pPr>
      <w:r w:rsidRPr="002F2FDF">
        <w:rPr>
          <w:color w:val="000000" w:themeColor="text1"/>
          <w:kern w:val="2"/>
          <w:sz w:val="16"/>
          <w:szCs w:val="16"/>
        </w:rPr>
        <w:t>12 (25) января 1917 новый французский главнокомандующий Робер Нивель представил план операций на Западном фронте на 1917 год. Генеральное наступление было назначено на начало апреля и должно было начаться с нанесения двух мощных ударов в районе городка Камбре (в 60 километрах к северо-востоку от Амьена) и чуть восточнее, в бассейне реки Эна. Чтобы ускорить «расстройство» неприятеля, по замыслу Нивеля, затем в наступление должны были переходить войска и на других участках фронта.</w:t>
      </w:r>
    </w:p>
    <w:p w14:paraId="22E23909" w14:textId="77777777" w:rsidR="00CE4A00" w:rsidRPr="002F2FDF" w:rsidRDefault="00CE4A00"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Пока же на фронте продолжались бои «местного значения». 25 января после артподготовки немцы небольшими силами попытались атаковать французские позиции </w:t>
      </w:r>
      <w:r w:rsidRPr="002F2FDF">
        <w:rPr>
          <w:color w:val="000000" w:themeColor="text1"/>
          <w:kern w:val="2"/>
          <w:sz w:val="16"/>
          <w:szCs w:val="16"/>
        </w:rPr>
        <w:lastRenderedPageBreak/>
        <w:t>под Верденом, в районе разрушенной в ходе боев 1916 года деревни Мор-Омм, проверяя прочность обороны противника. Артиллерийские перестрелки активно велись вдоль границы с Эльзасом (17045).</w:t>
      </w:r>
    </w:p>
    <w:p w14:paraId="5BB2CDBC" w14:textId="77777777" w:rsidR="00CE4A00" w:rsidRPr="002F2FDF" w:rsidRDefault="00CE4A00"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8B795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января 1917 в Ирландском море на немецкой мине подорвался английский крейсер “Лоурентик”, перевозивший 3211 слитков золота, 350 человек погибли (4962).</w:t>
      </w:r>
    </w:p>
    <w:p w14:paraId="02BBDD5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275CD8" w14:textId="77777777" w:rsidR="008C5CCC" w:rsidRPr="002F2FDF" w:rsidRDefault="008C5CC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12 (25) января</w:t>
      </w:r>
      <w:r w:rsidRPr="002F2FDF">
        <w:rPr>
          <w:rFonts w:ascii="Times New Roman" w:hAnsi="Times New Roman" w:cs="Times New Roman"/>
          <w:color w:val="000000" w:themeColor="text1"/>
          <w:kern w:val="2"/>
          <w:sz w:val="16"/>
          <w:szCs w:val="16"/>
        </w:rPr>
        <w:t xml:space="preserve"> в 1917 году британский вспомогательный крейсер Laurentic подорвался на германской мине в Ирландском море. 350 жертв. С судном на дно ушло 3211 слитков золота, из которых позже водолазы подняли 3166 слитков (15019).</w:t>
      </w:r>
    </w:p>
    <w:p w14:paraId="0D21CF8C" w14:textId="77777777" w:rsidR="008C5CCC" w:rsidRPr="002F2FDF" w:rsidRDefault="008C5CCC" w:rsidP="0083075A">
      <w:pPr>
        <w:spacing w:after="0" w:line="240" w:lineRule="auto"/>
        <w:jc w:val="both"/>
        <w:rPr>
          <w:rFonts w:ascii="Times New Roman" w:hAnsi="Times New Roman" w:cs="Times New Roman"/>
          <w:color w:val="000000" w:themeColor="text1"/>
          <w:kern w:val="2"/>
          <w:sz w:val="16"/>
          <w:szCs w:val="16"/>
        </w:rPr>
      </w:pPr>
    </w:p>
    <w:p w14:paraId="6523E8D3" w14:textId="77777777" w:rsidR="00CE4A00" w:rsidRPr="002F2FDF" w:rsidRDefault="00CE4A00" w:rsidP="0083075A">
      <w:pPr>
        <w:pStyle w:val="ae"/>
        <w:spacing w:before="0" w:after="0"/>
        <w:jc w:val="both"/>
        <w:rPr>
          <w:color w:val="000000" w:themeColor="text1"/>
          <w:kern w:val="2"/>
          <w:sz w:val="16"/>
          <w:szCs w:val="16"/>
        </w:rPr>
      </w:pPr>
      <w:r w:rsidRPr="002F2FDF">
        <w:rPr>
          <w:color w:val="000000" w:themeColor="text1"/>
          <w:kern w:val="2"/>
          <w:sz w:val="16"/>
          <w:szCs w:val="16"/>
        </w:rPr>
        <w:t>12 (25) января 1917 в Ирландском море на мине, установленной немецкой подводной лодкой, подорвался британский вспомогательный крейсер «Лаурентик». Погибли 378 из 745 человек, находившихся на его борту. Также на дно отправились более 3200 слитков золота общей массой почти 43 тонны, которые крейсер перевозил из Ливерпуля в Галифакс (Канада). Золото предназначалось для правительства США в качестве оплаты за поставки продовольствия и военного снаряжения для Великобритании. В течение последующих нескольких лет большая часть золота была поднята водолазами.</w:t>
      </w:r>
    </w:p>
    <w:p w14:paraId="2DA7E4FC" w14:textId="77777777" w:rsidR="00CE4A00" w:rsidRPr="002F2FDF" w:rsidRDefault="00CE4A00" w:rsidP="0083075A">
      <w:pPr>
        <w:pStyle w:val="ae"/>
        <w:spacing w:before="0" w:after="0"/>
        <w:jc w:val="both"/>
        <w:rPr>
          <w:color w:val="000000" w:themeColor="text1"/>
          <w:kern w:val="2"/>
          <w:sz w:val="16"/>
          <w:szCs w:val="16"/>
        </w:rPr>
      </w:pPr>
      <w:r w:rsidRPr="002F2FDF">
        <w:rPr>
          <w:color w:val="000000" w:themeColor="text1"/>
          <w:kern w:val="2"/>
          <w:sz w:val="16"/>
          <w:szCs w:val="16"/>
        </w:rPr>
        <w:t>За период с 23 по 29 января немецкие подводные лодки потопили в общей сложности 48 кораблей, в том числе 1 шведский, 3 испанских, 10 норвежских, 1 датский и 1 нидерландский, несмотря на нейтралитет этих стран. Также 28 января у берегов западной Англии был потоплен русский пароход «Эгрет», который шел с грузом леса из Архангельска (17045).</w:t>
      </w:r>
    </w:p>
    <w:p w14:paraId="1D085477" w14:textId="77777777" w:rsidR="00CE4A00" w:rsidRPr="002F2FDF" w:rsidRDefault="00CE4A0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9D26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января 1917 США приобрели Датскую Вест-Индию (Виргинские острова) за 25 млн. долл. (3481).</w:t>
      </w:r>
    </w:p>
    <w:p w14:paraId="1EDD00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74DC45" w14:textId="77777777" w:rsidR="005B454A"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132F917" w14:textId="77777777" w:rsidR="005B454A" w:rsidRPr="002F2FDF" w:rsidRDefault="005B454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8ABFC4" w14:textId="77777777" w:rsidR="005B454A" w:rsidRPr="002F2FDF" w:rsidRDefault="005B454A"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 xml:space="preserve">По состоянию на 13 </w:t>
      </w:r>
      <w:r w:rsidR="008C5CCC" w:rsidRPr="002F2FDF">
        <w:rPr>
          <w:b w:val="0"/>
          <w:color w:val="000000" w:themeColor="text1"/>
          <w:kern w:val="2"/>
          <w:sz w:val="16"/>
          <w:szCs w:val="16"/>
        </w:rPr>
        <w:t xml:space="preserve">(26) </w:t>
      </w:r>
      <w:r w:rsidRPr="002F2FDF">
        <w:rPr>
          <w:b w:val="0"/>
          <w:color w:val="000000" w:themeColor="text1"/>
          <w:kern w:val="2"/>
          <w:sz w:val="16"/>
          <w:szCs w:val="16"/>
        </w:rPr>
        <w:t>января 1917 г. в Московском парк-складе числилось годных к отправке на фронт самолетов: «Ньюпор-XII» — 14 (в том числе два с нарядами и один в ремонте), «Ньюпор-XVJI» — 8 (все с нарядами), «Ньюпор-XXI» — 23 (14 с нарядами, 5 свободных и 4 в ремонте), «Ньюпор-Х» с «Моносупаном» «Дукса» — один с нарядом), «Моран-парасоль» тип 21 — 10 (в т.ч. три с наря дами и один без мотора для Гатчинской авиашколы), «Моран-Монокок» — 9 (из них четыре с нарядами и два в ремонте), «Фарман-ХХХ» — 10 (все в ремонте, из них шесть с нарядами), «Фарман-40» — 2 (один с нарядом, второй в ремонте), «Бреге» — 2 с нарядами, «Вуазен» — 2 свободных от нарядов, «Кодрон» двухмоторный — 8 (все в ремонте, из них пять с нарядами), «Кодрон» одномоторный с «Гномом» — один (для Кавказской авиашколы), «Бебе» завода «Дукс» — 9 свободных, «Виккерс» — 21 (все свободны), «Виккерс» FE — 7 свободных, «Бристоль» — 14 свободных.</w:t>
      </w:r>
    </w:p>
    <w:p w14:paraId="14EBCF4C" w14:textId="77777777" w:rsidR="005B454A" w:rsidRPr="002F2FDF" w:rsidRDefault="005B454A"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Кроме того, имелись наряды на восемь «Бебе» постройки «Дукса», но без моторов. Их высылка задерживалась из-за отсутствия самолетов на складе.23 Хотя в начале 1917 г. самолетов на фронте уже остро не хватало, по неизвестным причинам английские самолеты «не пользовались спросом». «Виккерсы» на фронт так и не попали, по данным на 6 мая 1917 г. их передали в английскую авиашколу (15464).</w:t>
      </w:r>
    </w:p>
    <w:p w14:paraId="357C4B49" w14:textId="77777777" w:rsidR="005B454A" w:rsidRPr="002F2FDF" w:rsidRDefault="005B454A" w:rsidP="0083075A">
      <w:pPr>
        <w:pStyle w:val="2"/>
        <w:spacing w:before="0" w:beforeAutospacing="0" w:after="0" w:afterAutospacing="0"/>
        <w:jc w:val="both"/>
        <w:rPr>
          <w:b w:val="0"/>
          <w:color w:val="000000" w:themeColor="text1"/>
          <w:kern w:val="2"/>
          <w:sz w:val="16"/>
          <w:szCs w:val="16"/>
        </w:rPr>
      </w:pPr>
    </w:p>
    <w:p w14:paraId="7C60FD9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FED94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62E15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января 1917 барон П. Врангель (будущий глава белого движения) получил звания генерал-майора (4962).</w:t>
      </w:r>
    </w:p>
    <w:p w14:paraId="146BFA7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4AEBFF" w14:textId="32CF7886" w:rsidR="003E0160" w:rsidRPr="00FB4F67" w:rsidRDefault="003E016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13 (</w:t>
      </w:r>
      <w:r w:rsidRPr="00FB4F67">
        <w:rPr>
          <w:rFonts w:ascii="Times New Roman" w:hAnsi="Times New Roman" w:cs="Times New Roman"/>
          <w:color w:val="0070C0"/>
          <w:sz w:val="16"/>
          <w:szCs w:val="16"/>
        </w:rPr>
        <w:t>26</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станцию Радзивилов (Волынская губ.) вновь подверглась воздушной атаке противника. На следующий день немецкие летчики бомбардировали ст. Замирье Александровской железной дороги (23405).</w:t>
      </w:r>
    </w:p>
    <w:p w14:paraId="4C4C8FC5" w14:textId="77777777" w:rsidR="003E0160" w:rsidRPr="00FB4F67" w:rsidRDefault="003E0160" w:rsidP="0083075A">
      <w:pPr>
        <w:spacing w:after="0" w:line="240" w:lineRule="auto"/>
        <w:jc w:val="both"/>
        <w:rPr>
          <w:rFonts w:ascii="Times New Roman" w:hAnsi="Times New Roman" w:cs="Times New Roman"/>
          <w:color w:val="0070C0"/>
          <w:sz w:val="16"/>
          <w:szCs w:val="16"/>
        </w:rPr>
      </w:pPr>
    </w:p>
    <w:p w14:paraId="30345541" w14:textId="43072174" w:rsidR="003E0160" w:rsidRPr="00FB4F67" w:rsidRDefault="003E016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13 (</w:t>
      </w:r>
      <w:r w:rsidRPr="00FB4F67">
        <w:rPr>
          <w:rFonts w:ascii="Times New Roman" w:hAnsi="Times New Roman" w:cs="Times New Roman"/>
          <w:color w:val="0070C0"/>
          <w:sz w:val="16"/>
          <w:szCs w:val="16"/>
        </w:rPr>
        <w:t>26</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1-я БАГ в составе 2-й КАО, 4-й КАО и 19-й КАО вышла из района Луцка на Юго-Западном фронте, проследовала поездом в Яссы в Румынии и прибыла туда 9 февраля. 7 апреля часть вернулась на Юго-Западный фронт и действовала с аэродрома Езержаны (Езержаны) (23525).</w:t>
      </w:r>
    </w:p>
    <w:p w14:paraId="62B76C89" w14:textId="77777777" w:rsidR="003E0160" w:rsidRPr="00FB4F67" w:rsidRDefault="003E0160" w:rsidP="0083075A">
      <w:pPr>
        <w:spacing w:after="0" w:line="240" w:lineRule="auto"/>
        <w:jc w:val="both"/>
        <w:rPr>
          <w:rFonts w:ascii="Times New Roman" w:hAnsi="Times New Roman" w:cs="Times New Roman"/>
          <w:color w:val="0070C0"/>
          <w:sz w:val="16"/>
          <w:szCs w:val="16"/>
        </w:rPr>
      </w:pPr>
    </w:p>
    <w:p w14:paraId="0D734BC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B2E77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6BDAAC" w14:textId="5E7B8E96" w:rsidR="005D0E99" w:rsidRPr="002F2FDF" w:rsidRDefault="005D0E99" w:rsidP="0083075A">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shd w:val="clear" w:color="auto" w:fill="FFFFFF"/>
        </w:rPr>
        <w:t>14 (27) января 1917 г. ВК отмечал:</w:t>
      </w:r>
      <w:r w:rsidR="00E52569">
        <w:rPr>
          <w:rFonts w:ascii="Times New Roman" w:hAnsi="Times New Roman" w:cs="Times New Roman"/>
          <w:color w:val="000000" w:themeColor="text1"/>
          <w:sz w:val="16"/>
          <w:szCs w:val="16"/>
          <w:shd w:val="clear" w:color="auto" w:fill="FFFFFF"/>
        </w:rPr>
        <w:t xml:space="preserve"> </w:t>
      </w:r>
      <w:r w:rsidRPr="002F2FDF">
        <w:rPr>
          <w:rFonts w:ascii="Times New Roman" w:hAnsi="Times New Roman" w:cs="Times New Roman"/>
          <w:color w:val="000000" w:themeColor="text1"/>
          <w:sz w:val="16"/>
          <w:szCs w:val="16"/>
          <w:bdr w:val="none" w:sz="0" w:space="0" w:color="auto" w:frame="1"/>
          <w:shd w:val="clear" w:color="auto" w:fill="FFFFFF"/>
        </w:rPr>
        <w:t>«Летчики мои меня радуют, работают на славу, теперь мы начали получать хорошие самолеты, и наши летчики показывают, насколько они выше немцев, и часто у них сбивают аппараты» {</w:t>
      </w:r>
      <w:r w:rsidRPr="002F2FDF">
        <w:rPr>
          <w:rFonts w:ascii="Times New Roman" w:hAnsi="Times New Roman" w:cs="Times New Roman"/>
          <w:color w:val="000000" w:themeColor="text1"/>
          <w:sz w:val="16"/>
          <w:szCs w:val="16"/>
          <w:shd w:val="clear" w:color="auto" w:fill="FFFFFF"/>
        </w:rPr>
        <w:t>Государственный архив Республики Крым. Ф. 532. Oп. 1. Д. 70. Л. 1 об.</w:t>
      </w:r>
      <w:r w:rsidRPr="002F2FDF">
        <w:rPr>
          <w:rFonts w:ascii="Times New Roman" w:hAnsi="Times New Roman" w:cs="Times New Roman"/>
          <w:color w:val="000000" w:themeColor="text1"/>
          <w:sz w:val="16"/>
          <w:szCs w:val="16"/>
          <w:bdr w:val="none" w:sz="0" w:space="0" w:color="auto" w:frame="1"/>
          <w:shd w:val="clear" w:color="auto" w:fill="FFFFFF"/>
        </w:rPr>
        <w:t>} (19949)</w:t>
      </w:r>
      <w:r w:rsidRPr="002F2FDF">
        <w:rPr>
          <w:rFonts w:ascii="Times New Roman" w:hAnsi="Times New Roman" w:cs="Times New Roman"/>
          <w:color w:val="000000" w:themeColor="text1"/>
          <w:sz w:val="16"/>
          <w:szCs w:val="16"/>
          <w:shd w:val="clear" w:color="auto" w:fill="FFFFFF"/>
        </w:rPr>
        <w:t xml:space="preserve">. </w:t>
      </w:r>
    </w:p>
    <w:p w14:paraId="12B0C092" w14:textId="77777777" w:rsidR="005D0E99" w:rsidRPr="002F2FDF" w:rsidRDefault="005D0E99" w:rsidP="0083075A">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p>
    <w:p w14:paraId="609AB1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C 14 по 17 (27-30) января 1917 эсминцы Поспешный и Дерзкий у Анатолийского побережья захватили 7 турецких парусников и уничтожили 13 шхун (3123).</w:t>
      </w:r>
    </w:p>
    <w:p w14:paraId="29928B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0F192D" w14:textId="77777777" w:rsidR="00247AF3" w:rsidRPr="002F2FDF" w:rsidRDefault="00247AF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C45CCE2" w14:textId="77777777" w:rsidR="00247AF3" w:rsidRPr="002F2FDF" w:rsidRDefault="00247AF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F68042" w14:textId="10DD526C" w:rsidR="005D0E99" w:rsidRPr="002F2FDF" w:rsidRDefault="005D0E9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14 (27) января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Цельнометаллический истребитель-моноплан «Юнкерс.J-1», с двигателем Benz в 200 л.с. совершил несколько подскоков на аэродроме в Adlershof. Пилотировал самолет Арвид фон Шмитт, специально откомандированный к Юнкерсу для проведения испытаний, еще одним испытателем был унтер-офицер Вандлер. Первоначально на самолете не была установлена броня, а ее "роль" выполняла фанера. На следующий день, машина была передана военному испытательному полигону в Doberitz где Шмидт выполнял первый полет.</w:t>
      </w:r>
    </w:p>
    <w:p w14:paraId="0FA349E2" w14:textId="77777777" w:rsidR="005D0E99" w:rsidRPr="002F2FDF" w:rsidRDefault="005D0E9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При 20-см снежном покрове взлетная дистанция составила 200 метров при встречном ветре. Самолет достиг высоты 250 метров и скорости 145 км/ч. Несмотря на отсутствие брони в первом полете "не все было гладко". Хвост оказался очень тяжелым, и только максимальное отклонение ручки позволило пилоту поднять машину в воздух. При первых полетах присутствовал лейтенант Маделунг, которого военное ведомство послало "военпредом" в Дессау, чтобы на месте контролировать процесс создания машины и убедиться, что ее конструкция соответствует представлениям заказчика. Это был второй цельнометаллический самолет (после "Антуанетт" Левассора в 1911 году) и первый летающий (22642).</w:t>
      </w:r>
    </w:p>
    <w:p w14:paraId="065617C8" w14:textId="77777777" w:rsidR="005D0E99" w:rsidRPr="002F2FDF" w:rsidRDefault="005D0E99" w:rsidP="0083075A">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p>
    <w:p w14:paraId="5CD1C58E" w14:textId="0F453682" w:rsidR="00247AF3" w:rsidRPr="002F2FDF" w:rsidRDefault="00247AF3"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14 (27) января 1917 в Морском министерстве Германии, авиационный отдел которого курировал не только авиацию, но и воздухоплавание, прошло трёхстороннее совещание представителей воздухоплавателей, министерства и фирмы «Цеппелин» по выбору конкретных мероприятий для повышения высоты полёта до</w:t>
      </w:r>
      <w:r w:rsidR="00E52569">
        <w:rPr>
          <w:color w:val="000000" w:themeColor="text1"/>
          <w:sz w:val="16"/>
          <w:szCs w:val="16"/>
        </w:rPr>
        <w:t xml:space="preserve"> </w:t>
      </w:r>
      <w:r w:rsidRPr="002F2FDF">
        <w:rPr>
          <w:iCs/>
          <w:color w:val="000000" w:themeColor="text1"/>
          <w:sz w:val="16"/>
          <w:szCs w:val="16"/>
          <w:bdr w:val="none" w:sz="0" w:space="0" w:color="auto" w:frame="1"/>
        </w:rPr>
        <w:t>«необходимых 5000 и желаемых 6000 метров»</w:t>
      </w:r>
      <w:r w:rsidRPr="002F2FDF">
        <w:rPr>
          <w:color w:val="000000" w:themeColor="text1"/>
          <w:sz w:val="16"/>
          <w:szCs w:val="16"/>
        </w:rPr>
        <w:t>.</w:t>
      </w:r>
    </w:p>
    <w:p w14:paraId="7694AF0D" w14:textId="77777777" w:rsidR="00247AF3" w:rsidRPr="002F2FDF" w:rsidRDefault="00247AF3"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Инженеры-конструкторы подтвердили, что снятие одного двигателя и обеспечивающих его работу систем даст экономию в 1750 кг, но облегчение силового набора приведёт к опасному ослаблению конструкции, поскольку подобные работы уже были проведены при проектировании типа R. Министерский флотский архитектор (специалист-кораблестроитель) выразил сомнение в том, что имеющиеся двигатели действительно настолько надёжны, как утверждал Штрассер. Он указывал на то, что высокая тяговооружённость критична для борьбы со штормами. Ответы Штрассера на эти возражения показательны:</w:t>
      </w:r>
    </w:p>
    <w:p w14:paraId="410C7717" w14:textId="77777777" w:rsidR="00247AF3" w:rsidRPr="002F2FDF" w:rsidRDefault="00247AF3" w:rsidP="0083075A">
      <w:pPr>
        <w:pStyle w:val="ae"/>
        <w:shd w:val="clear" w:color="auto" w:fill="FFFFFF"/>
        <w:spacing w:before="0" w:after="0"/>
        <w:jc w:val="both"/>
        <w:textAlignment w:val="baseline"/>
        <w:rPr>
          <w:iCs/>
          <w:color w:val="000000" w:themeColor="text1"/>
          <w:sz w:val="16"/>
          <w:szCs w:val="16"/>
        </w:rPr>
      </w:pPr>
      <w:r w:rsidRPr="002F2FDF">
        <w:rPr>
          <w:iCs/>
          <w:color w:val="000000" w:themeColor="text1"/>
          <w:sz w:val="16"/>
          <w:szCs w:val="16"/>
          <w:bdr w:val="none" w:sz="0" w:space="0" w:color="auto" w:frame="1"/>
        </w:rPr>
        <w:t>«Одно сломавшееся кольцо не станет катастрофой… Большая высота — это лучшая защита от самолётов, и значительное увеличение высоты атаки настолько необходимо для будущих наступательных операций дирижаблей против Англии, что все получившиеся недостатки, включая уменьшение скорости, должны быть приняты».</w:t>
      </w:r>
    </w:p>
    <w:p w14:paraId="16418074" w14:textId="77777777" w:rsidR="00247AF3" w:rsidRPr="002F2FDF" w:rsidRDefault="00247AF3"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В итоге приняли все предложения Штрассера и утвердили список мероприятий по доработке конструкции кораблей:</w:t>
      </w:r>
    </w:p>
    <w:p w14:paraId="69E9A679" w14:textId="77777777" w:rsidR="00247AF3" w:rsidRPr="002F2FDF" w:rsidRDefault="00247AF3" w:rsidP="0083075A">
      <w:pPr>
        <w:numPr>
          <w:ilvl w:val="0"/>
          <w:numId w:val="22"/>
        </w:numPr>
        <w:shd w:val="clear" w:color="auto" w:fill="FFFFFF"/>
        <w:spacing w:after="0" w:line="240" w:lineRule="auto"/>
        <w:ind w:left="0" w:firstLine="0"/>
        <w:jc w:val="both"/>
        <w:textAlignment w:val="baseline"/>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разработка новой кормовой гондолы;</w:t>
      </w:r>
    </w:p>
    <w:p w14:paraId="43A462F9" w14:textId="77777777" w:rsidR="00247AF3" w:rsidRPr="002F2FDF" w:rsidRDefault="00247AF3" w:rsidP="0083075A">
      <w:pPr>
        <w:numPr>
          <w:ilvl w:val="0"/>
          <w:numId w:val="22"/>
        </w:numPr>
        <w:shd w:val="clear" w:color="auto" w:fill="FFFFFF"/>
        <w:spacing w:after="0" w:line="240" w:lineRule="auto"/>
        <w:ind w:left="0" w:firstLine="0"/>
        <w:jc w:val="both"/>
        <w:textAlignment w:val="baseline"/>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сокращение запаса топлива с 36-часового до 30-часового;</w:t>
      </w:r>
    </w:p>
    <w:p w14:paraId="1475BD55" w14:textId="77777777" w:rsidR="00247AF3" w:rsidRPr="002F2FDF" w:rsidRDefault="00247AF3" w:rsidP="0083075A">
      <w:pPr>
        <w:numPr>
          <w:ilvl w:val="0"/>
          <w:numId w:val="22"/>
        </w:numPr>
        <w:shd w:val="clear" w:color="auto" w:fill="FFFFFF"/>
        <w:spacing w:after="0" w:line="240" w:lineRule="auto"/>
        <w:ind w:left="0" w:firstLine="0"/>
        <w:jc w:val="both"/>
        <w:textAlignment w:val="baseline"/>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полный отказ от стрелкового вооружения;</w:t>
      </w:r>
    </w:p>
    <w:p w14:paraId="03ED1550" w14:textId="77777777" w:rsidR="00247AF3" w:rsidRPr="002F2FDF" w:rsidRDefault="00247AF3" w:rsidP="0083075A">
      <w:pPr>
        <w:numPr>
          <w:ilvl w:val="0"/>
          <w:numId w:val="22"/>
        </w:numPr>
        <w:shd w:val="clear" w:color="auto" w:fill="FFFFFF"/>
        <w:spacing w:after="0" w:line="240" w:lineRule="auto"/>
        <w:ind w:left="0" w:firstLine="0"/>
        <w:jc w:val="both"/>
        <w:textAlignment w:val="baseline"/>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двукратное сокращение числа бомбодержателей и соответствующих им бомболюков;</w:t>
      </w:r>
    </w:p>
    <w:p w14:paraId="395750B7" w14:textId="77777777" w:rsidR="00247AF3" w:rsidRPr="002F2FDF" w:rsidRDefault="00247AF3" w:rsidP="0083075A">
      <w:pPr>
        <w:numPr>
          <w:ilvl w:val="0"/>
          <w:numId w:val="22"/>
        </w:numPr>
        <w:shd w:val="clear" w:color="auto" w:fill="FFFFFF"/>
        <w:spacing w:after="0" w:line="240" w:lineRule="auto"/>
        <w:ind w:left="0" w:firstLine="0"/>
        <w:jc w:val="both"/>
        <w:textAlignment w:val="baseline"/>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облегчение конструкции;</w:t>
      </w:r>
    </w:p>
    <w:p w14:paraId="65C04E3A" w14:textId="77777777" w:rsidR="00247AF3" w:rsidRPr="002F2FDF" w:rsidRDefault="00247AF3" w:rsidP="0083075A">
      <w:pPr>
        <w:numPr>
          <w:ilvl w:val="0"/>
          <w:numId w:val="22"/>
        </w:numPr>
        <w:shd w:val="clear" w:color="auto" w:fill="FFFFFF"/>
        <w:spacing w:after="0" w:line="240" w:lineRule="auto"/>
        <w:ind w:left="0" w:firstLine="0"/>
        <w:jc w:val="both"/>
        <w:textAlignment w:val="baseline"/>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разработка новой уменьшенной гондолы управления;</w:t>
      </w:r>
    </w:p>
    <w:p w14:paraId="1D85E76E" w14:textId="77777777" w:rsidR="00247AF3" w:rsidRPr="002F2FDF" w:rsidRDefault="00247AF3" w:rsidP="0083075A">
      <w:pPr>
        <w:numPr>
          <w:ilvl w:val="0"/>
          <w:numId w:val="22"/>
        </w:numPr>
        <w:shd w:val="clear" w:color="auto" w:fill="FFFFFF"/>
        <w:spacing w:after="0" w:line="240" w:lineRule="auto"/>
        <w:ind w:left="0" w:firstLine="0"/>
        <w:jc w:val="both"/>
        <w:textAlignment w:val="baseline"/>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ликвидация спальных мест для экипажа и вообще всех элементов комфорта.</w:t>
      </w:r>
    </w:p>
    <w:p w14:paraId="350C3111" w14:textId="77777777" w:rsidR="00247AF3" w:rsidRPr="002F2FDF" w:rsidRDefault="00247AF3"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Сразу по возвращении в Нордхольц Штрассер начал готовить модернизацию имевшихся в его распоряжении кораблей. На тот момент флот располагал в общей сложности 17 дирижаблями, из которых 13 действовали на Северном море: четыре «Цеппелина» типа P (учебный L.11 и боевые L.13, L.14 и L.16), два типа Q (L.23 и L.22) и семь типа R (L.30, L.35, L.36, L.37, L.39, L.40 и L.41). Один модифицированный «Цеппелин» типа P (L.25, бывший армейский LZ.88) использовался в тылу как опытовый корабль, а на Балтике базировались три «Шютте-Лянца» (SL.8, SL.9 и SL.14).</w:t>
      </w:r>
    </w:p>
    <w:p w14:paraId="2FC3254E" w14:textId="77777777" w:rsidR="00247AF3" w:rsidRPr="002F2FDF" w:rsidRDefault="00247AF3"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 xml:space="preserve">Для переделки в высотные годились исключительно корабли типа R, да и то не все: перетяжелённые L.30, L.37, и L.41 решили пока не трогать. Остальные подверглись немедленной конверсии по упрощённой программе: на них обрезали «хвост» кормовой гондолы с двигателем №1, оставив два других мотора и их боковые винты, сняли все бомбодержатели по левую сторону киля (силовая балка вдоль нижней части корпуса дирижабля), все пулемётные установки и вообще всё, что старшие </w:t>
      </w:r>
      <w:r w:rsidRPr="002F2FDF">
        <w:rPr>
          <w:color w:val="000000" w:themeColor="text1"/>
          <w:sz w:val="16"/>
          <w:szCs w:val="16"/>
        </w:rPr>
        <w:lastRenderedPageBreak/>
        <w:t>офицеры посчитали не слишком важным для выполнения боевых заданий (19156).</w:t>
      </w:r>
    </w:p>
    <w:p w14:paraId="6C7AE9CA" w14:textId="77777777" w:rsidR="00247AF3" w:rsidRPr="002F2FDF" w:rsidRDefault="00247AF3" w:rsidP="0083075A">
      <w:pPr>
        <w:shd w:val="clear" w:color="auto" w:fill="FFFFFF"/>
        <w:spacing w:after="0" w:line="240" w:lineRule="auto"/>
        <w:jc w:val="both"/>
        <w:textAlignment w:val="baseline"/>
        <w:rPr>
          <w:rFonts w:ascii="Times New Roman" w:hAnsi="Times New Roman" w:cs="Times New Roman"/>
          <w:color w:val="000000" w:themeColor="text1"/>
          <w:sz w:val="16"/>
          <w:szCs w:val="16"/>
        </w:rPr>
      </w:pPr>
    </w:p>
    <w:p w14:paraId="669FBA99" w14:textId="77777777" w:rsidR="005D0E99" w:rsidRPr="002F2FDF" w:rsidRDefault="005D0E9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14 (27) января 1917 французский авианалёт на Фрайбург, Германия (20341).</w:t>
      </w:r>
    </w:p>
    <w:p w14:paraId="18C65F0B" w14:textId="77777777" w:rsidR="005D0E99" w:rsidRPr="002F2FDF" w:rsidRDefault="005D0E99" w:rsidP="0083075A">
      <w:pPr>
        <w:spacing w:after="0" w:line="240" w:lineRule="auto"/>
        <w:jc w:val="both"/>
        <w:rPr>
          <w:rFonts w:ascii="Times New Roman" w:hAnsi="Times New Roman" w:cs="Times New Roman"/>
          <w:color w:val="000000" w:themeColor="text1"/>
          <w:sz w:val="16"/>
          <w:szCs w:val="16"/>
        </w:rPr>
      </w:pPr>
    </w:p>
    <w:p w14:paraId="65BF2DA8" w14:textId="77777777" w:rsidR="00047A9F" w:rsidRPr="002F2FDF" w:rsidRDefault="00047A9F" w:rsidP="0083075A">
      <w:pPr>
        <w:spacing w:after="0" w:line="240" w:lineRule="auto"/>
        <w:jc w:val="both"/>
        <w:rPr>
          <w:rFonts w:ascii="Times New Roman" w:hAnsi="Times New Roman" w:cs="Times New Roman"/>
          <w:color w:val="000000" w:themeColor="text1"/>
          <w:kern w:val="2"/>
          <w:sz w:val="16"/>
          <w:szCs w:val="16"/>
        </w:rPr>
      </w:pPr>
      <w:bookmarkStart w:id="7" w:name="_Hlk80625615"/>
      <w:r w:rsidRPr="002F2FDF">
        <w:rPr>
          <w:rFonts w:ascii="Times New Roman" w:hAnsi="Times New Roman" w:cs="Times New Roman"/>
          <w:bCs/>
          <w:color w:val="000000" w:themeColor="text1"/>
          <w:kern w:val="2"/>
          <w:sz w:val="16"/>
          <w:szCs w:val="16"/>
        </w:rPr>
        <w:t>14 (27) января</w:t>
      </w:r>
      <w:r w:rsidRPr="002F2FDF">
        <w:rPr>
          <w:rFonts w:ascii="Times New Roman" w:hAnsi="Times New Roman" w:cs="Times New Roman"/>
          <w:color w:val="000000" w:themeColor="text1"/>
          <w:kern w:val="2"/>
          <w:sz w:val="16"/>
          <w:szCs w:val="16"/>
        </w:rPr>
        <w:t xml:space="preserve"> в 1917 году истребитель-моноплан </w:t>
      </w:r>
      <w:hyperlink r:id="rId24" w:tgtFrame="_blank" w:history="1">
        <w:r w:rsidRPr="002F2FDF">
          <w:rPr>
            <w:rFonts w:ascii="Times New Roman" w:hAnsi="Times New Roman" w:cs="Times New Roman"/>
            <w:color w:val="000000" w:themeColor="text1"/>
            <w:kern w:val="2"/>
            <w:sz w:val="16"/>
            <w:szCs w:val="16"/>
          </w:rPr>
          <w:t xml:space="preserve">«Юнкерс.J-1», </w:t>
        </w:r>
      </w:hyperlink>
      <w:r w:rsidRPr="002F2FDF">
        <w:rPr>
          <w:rFonts w:ascii="Times New Roman" w:hAnsi="Times New Roman" w:cs="Times New Roman"/>
          <w:color w:val="000000" w:themeColor="text1"/>
          <w:kern w:val="2"/>
          <w:sz w:val="16"/>
          <w:szCs w:val="16"/>
        </w:rPr>
        <w:t>с двигателем Benz в 200 л.с. совершил несколько подскоков на аэродроме в Adlershof. Пилотировал самолет Арвид фон Шмитт, специально откомандированный к Юнкерсу для проведения испытаний, еще одним испытателем был унтер-офицер Вандлер. Первоначально на самолете не была установлена броня, а ее "роль" выполняла фанера. На следующий день, машина была передана военному испытательному полигону в Doberitz где Шмидт выполнял первый полет. При 20-см снежном покрове взлетная дистанция составила 200 метров при встречном ветре. Самолет достиг высоты 250 метров и скорости 145 км/ч. Несмотря на отсутствие брони в первом полете "не все было гладко". Хвост оказался очень тяжелым, и только максимальное отклонение ручки позволило пилоту поднять машину в воздух. При первых полетах присутствовал лейтенант Маделунг, которого военное ведомство послало "военпредом" в Дессау, чтобы на месте контролировать процесс создания машины и убедиться, что ее конструкция соответствует представлениям заказчика (15022).</w:t>
      </w:r>
    </w:p>
    <w:p w14:paraId="724760C4" w14:textId="77777777" w:rsidR="00047A9F" w:rsidRPr="002F2FDF" w:rsidRDefault="00047A9F" w:rsidP="0083075A">
      <w:pPr>
        <w:spacing w:after="0" w:line="240" w:lineRule="auto"/>
        <w:jc w:val="both"/>
        <w:rPr>
          <w:rFonts w:ascii="Times New Roman" w:hAnsi="Times New Roman" w:cs="Times New Roman"/>
          <w:color w:val="000000" w:themeColor="text1"/>
          <w:kern w:val="2"/>
          <w:sz w:val="16"/>
          <w:szCs w:val="16"/>
        </w:rPr>
      </w:pPr>
    </w:p>
    <w:p w14:paraId="1AD7F8CC" w14:textId="77777777" w:rsidR="005D0E99" w:rsidRPr="002F2FDF" w:rsidRDefault="005D0E9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A70709D" w14:textId="77777777" w:rsidR="005D0E99" w:rsidRPr="002F2FDF" w:rsidRDefault="005D0E9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48D9EC" w14:textId="659393FE" w:rsidR="005D0E99" w:rsidRPr="002F2FDF" w:rsidRDefault="005D0E99"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hAnsi="Times New Roman" w:cs="Times New Roman"/>
          <w:color w:val="000000" w:themeColor="text1"/>
          <w:sz w:val="16"/>
          <w:szCs w:val="16"/>
          <w:shd w:val="clear" w:color="auto" w:fill="FFFFFF"/>
        </w:rPr>
        <w:t xml:space="preserve">15 </w:t>
      </w:r>
      <w:r w:rsidR="00047A9F" w:rsidRPr="002F2FDF">
        <w:rPr>
          <w:rFonts w:ascii="Times New Roman" w:hAnsi="Times New Roman" w:cs="Times New Roman"/>
          <w:color w:val="000000" w:themeColor="text1"/>
          <w:sz w:val="16"/>
          <w:szCs w:val="16"/>
          <w:shd w:val="clear" w:color="auto" w:fill="FFFFFF"/>
        </w:rPr>
        <w:t xml:space="preserve">(18) </w:t>
      </w:r>
      <w:r w:rsidRPr="002F2FDF">
        <w:rPr>
          <w:rFonts w:ascii="Times New Roman" w:hAnsi="Times New Roman" w:cs="Times New Roman"/>
          <w:color w:val="000000" w:themeColor="text1"/>
          <w:sz w:val="16"/>
          <w:szCs w:val="16"/>
          <w:shd w:val="clear" w:color="auto" w:fill="FFFFFF"/>
        </w:rPr>
        <w:t>января 1917 года в дневнике царя осталась запись: «В 2 часа отправился со всеми детьми на снеговых моторах Кегресса к Пулкову; проезжали по разным оврагам, спустились с горы, ехали прямо полями и болотами вдоль Гатчинского шоссе и вернулись через Баболово. Нигде не застряли, несмотря на глубокий снег» (21494).</w:t>
      </w:r>
    </w:p>
    <w:p w14:paraId="1CDCDC8C" w14:textId="77777777" w:rsidR="005D0E99" w:rsidRPr="002F2FDF" w:rsidRDefault="005D0E99"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bookmarkEnd w:id="7"/>
    <w:p w14:paraId="2B2D87C7" w14:textId="77777777" w:rsidR="00172A8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CBEAA8C" w14:textId="77777777" w:rsidR="00172A82" w:rsidRPr="002F2FDF" w:rsidRDefault="00172A8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A17AC1" w14:textId="77777777" w:rsidR="00172A82" w:rsidRPr="002F2FDF" w:rsidRDefault="00172A82" w:rsidP="0083075A">
      <w:pPr>
        <w:pStyle w:val="ae"/>
        <w:spacing w:before="0" w:after="0"/>
        <w:jc w:val="both"/>
        <w:rPr>
          <w:color w:val="000000" w:themeColor="text1"/>
          <w:kern w:val="2"/>
          <w:sz w:val="16"/>
          <w:szCs w:val="16"/>
        </w:rPr>
      </w:pPr>
      <w:r w:rsidRPr="002F2FDF">
        <w:rPr>
          <w:color w:val="000000" w:themeColor="text1"/>
          <w:kern w:val="2"/>
          <w:sz w:val="16"/>
          <w:szCs w:val="16"/>
        </w:rPr>
        <w:t>15 (28) января 1917 в районе пролива Босфор русской подводной лодкой было потоплено 6 турецких судов, перевозивших продовольствие в Константинополь (17045).</w:t>
      </w:r>
    </w:p>
    <w:p w14:paraId="12EEF2F1" w14:textId="77777777" w:rsidR="00172A82" w:rsidRPr="002F2FDF" w:rsidRDefault="00172A82" w:rsidP="0083075A">
      <w:pPr>
        <w:pStyle w:val="ae"/>
        <w:spacing w:before="0" w:after="0"/>
        <w:jc w:val="both"/>
        <w:rPr>
          <w:color w:val="000000" w:themeColor="text1"/>
          <w:kern w:val="2"/>
          <w:sz w:val="16"/>
          <w:szCs w:val="16"/>
        </w:rPr>
      </w:pPr>
    </w:p>
    <w:p w14:paraId="73EABD32" w14:textId="77777777" w:rsidR="00172A82" w:rsidRPr="002F2FDF" w:rsidRDefault="00172A82" w:rsidP="0083075A">
      <w:pPr>
        <w:pStyle w:val="ae"/>
        <w:spacing w:before="0" w:after="0"/>
        <w:jc w:val="both"/>
        <w:rPr>
          <w:color w:val="000000" w:themeColor="text1"/>
          <w:kern w:val="2"/>
          <w:sz w:val="16"/>
          <w:szCs w:val="16"/>
        </w:rPr>
      </w:pPr>
      <w:r w:rsidRPr="002F2FDF">
        <w:rPr>
          <w:color w:val="000000" w:themeColor="text1"/>
          <w:kern w:val="2"/>
          <w:sz w:val="16"/>
          <w:szCs w:val="16"/>
        </w:rPr>
        <w:t>15 (28) января 1917 у берегов западной Англии был потоплен русский пароход «Эгрет», который шел с грузом леса из Архангельска (17045).</w:t>
      </w:r>
    </w:p>
    <w:p w14:paraId="0F692978" w14:textId="77777777" w:rsidR="00172A82" w:rsidRPr="002F2FDF" w:rsidRDefault="00172A8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688F4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64D50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647350" w14:textId="77777777" w:rsidR="005D0E99" w:rsidRPr="002F2FDF" w:rsidRDefault="005D0E9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 (28) января 1917 первый полет Junkers JI (20341).</w:t>
      </w:r>
    </w:p>
    <w:p w14:paraId="09A8B7D5" w14:textId="77777777" w:rsidR="005D0E99" w:rsidRPr="002F2FDF" w:rsidRDefault="005D0E99" w:rsidP="0083075A">
      <w:pPr>
        <w:spacing w:after="0" w:line="240" w:lineRule="auto"/>
        <w:jc w:val="both"/>
        <w:rPr>
          <w:rFonts w:ascii="Times New Roman" w:hAnsi="Times New Roman" w:cs="Times New Roman"/>
          <w:color w:val="000000" w:themeColor="text1"/>
          <w:sz w:val="16"/>
          <w:szCs w:val="16"/>
        </w:rPr>
      </w:pPr>
    </w:p>
    <w:p w14:paraId="28A10BD8" w14:textId="1D27E456" w:rsidR="005D0E99" w:rsidRPr="002F2FDF" w:rsidRDefault="005D0E9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 (28) января 1917 года — первый полёт самолёта поддержки войск</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Junkers J.I</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(он же Junkers J 4). /Германия/</w:t>
      </w:r>
    </w:p>
    <w:p w14:paraId="4550306A" w14:textId="3302EA1C" w:rsidR="005D0E99" w:rsidRPr="002F2FDF" w:rsidRDefault="005D0E9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1916 году Инспекция военно-воздушных сил Германии выпустила техзадание на т.н.</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«пехотный самолёт»</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для одновременного выполнения задач по разведке и штурмовке наземных целей. Главным требованием было бронирование двигателя и экипажа. По этой спецификации компания</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Junkers</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разработала самолёт J.I.</w:t>
      </w:r>
    </w:p>
    <w:p w14:paraId="305E2F45" w14:textId="3FC23567" w:rsidR="005D0E99" w:rsidRPr="002F2FDF" w:rsidRDefault="005D0E9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J.I был выполнен по схеме полутороплана из стали и дюралюминия.</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Кабины пилота и стрелка-наблюдателя, двигатель, топливные баки и радиостанция защищала 5-мм броня. Двигатель Benz Bz.IV позволял развить скорость до 155 км/ч при дальности полёта в 310 км. Вооружение — 7,92-мм пулемёт Parabellum MG14.</w:t>
      </w:r>
    </w:p>
    <w:p w14:paraId="28483EF6" w14:textId="237C4FE4" w:rsidR="005D0E99" w:rsidRPr="002F2FDF" w:rsidRDefault="005D0E9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Несмотря на то, что обшивку хвостовой части в итоге заменили на полотно, J.I</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считается первым серийным цельнометаллическим самолётом. Всего выпустили 227 этих штурмовиков-разведчиков. Единственный сохранившийся J.I находится в Национальном авиационном музее в Оттаве, Канада (22300).</w:t>
      </w:r>
    </w:p>
    <w:p w14:paraId="76A4357C" w14:textId="77777777" w:rsidR="005D0E99" w:rsidRPr="002F2FDF" w:rsidRDefault="005D0E99" w:rsidP="0083075A">
      <w:pPr>
        <w:spacing w:after="0" w:line="240" w:lineRule="auto"/>
        <w:jc w:val="both"/>
        <w:rPr>
          <w:rFonts w:ascii="Times New Roman" w:hAnsi="Times New Roman" w:cs="Times New Roman"/>
          <w:color w:val="000000" w:themeColor="text1"/>
          <w:sz w:val="16"/>
          <w:szCs w:val="16"/>
        </w:rPr>
      </w:pPr>
    </w:p>
    <w:p w14:paraId="6F15A00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января 1917 г., J4 с двигателем Бенц в 200 л.с. совершил первый полёт, В июле—августе 1917 г., 9 месяцев спустя заключения контракта, первые 14 машин испытали и передали в 4-й армейский парк-склад в Генте (Бельгия) (11696).</w:t>
      </w:r>
    </w:p>
    <w:p w14:paraId="2BA822F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5297C6" w14:textId="77777777" w:rsidR="00CE4A00" w:rsidRPr="002F2FDF" w:rsidRDefault="00CE4A00" w:rsidP="0083075A">
      <w:pPr>
        <w:pStyle w:val="ae"/>
        <w:spacing w:before="0" w:after="0"/>
        <w:jc w:val="both"/>
        <w:rPr>
          <w:color w:val="000000" w:themeColor="text1"/>
          <w:kern w:val="2"/>
          <w:sz w:val="16"/>
          <w:szCs w:val="16"/>
        </w:rPr>
      </w:pPr>
      <w:r w:rsidRPr="002F2FDF">
        <w:rPr>
          <w:color w:val="000000" w:themeColor="text1"/>
          <w:kern w:val="2"/>
          <w:sz w:val="16"/>
          <w:szCs w:val="16"/>
        </w:rPr>
        <w:t>15 (28) января 1917 в районе реки Сомма (в 50 километрах к северо-востоку от Амьена) близ деревни Невиль-сен-Вааст уже французские части в результате неожиданной атаки смогли захватить немецкие окопы первой линии, закидав противника гранатами (17045).</w:t>
      </w:r>
    </w:p>
    <w:p w14:paraId="379587A8" w14:textId="77777777" w:rsidR="00CE4A00" w:rsidRPr="002F2FDF" w:rsidRDefault="00CE4A00"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821444" w14:textId="77777777" w:rsidR="005B454A"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F50658B" w14:textId="77777777" w:rsidR="005B454A" w:rsidRPr="002F2FDF" w:rsidRDefault="005B454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54749E" w14:textId="77777777" w:rsidR="005B454A" w:rsidRPr="002F2FDF" w:rsidRDefault="005B454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первой половине января 1917 в Броневой отдел ГВТУ на обсуждение поступил проект ба Вездеход № 2 - 1916, разработанный А.А.Пороховщиковым. Экспертиза затянулась на 9 месяцев. Был и макет (9527,289).</w:t>
      </w:r>
    </w:p>
    <w:p w14:paraId="050A9330" w14:textId="77777777" w:rsidR="005B454A" w:rsidRPr="002F2FDF" w:rsidRDefault="005B454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BD5E5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8D941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C0AAB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января 1917 года закончилось начавшееся 7 (20) декабря 1916 года началось формирование Воздушной дивизии Черного моря под на</w:t>
      </w:r>
      <w:r w:rsidRPr="002F2FDF">
        <w:rPr>
          <w:rFonts w:ascii="Times New Roman" w:hAnsi="Times New Roman" w:cs="Times New Roman"/>
          <w:color w:val="000000" w:themeColor="text1"/>
          <w:kern w:val="2"/>
          <w:sz w:val="16"/>
          <w:szCs w:val="16"/>
        </w:rPr>
        <w:softHyphen/>
        <w:t>чальством капитана 1 ранга М. Федоровича (бывшего прежде командиром линкора “Евстафий”). Офици</w:t>
      </w:r>
      <w:r w:rsidRPr="002F2FDF">
        <w:rPr>
          <w:rFonts w:ascii="Times New Roman" w:hAnsi="Times New Roman" w:cs="Times New Roman"/>
          <w:color w:val="000000" w:themeColor="text1"/>
          <w:kern w:val="2"/>
          <w:sz w:val="16"/>
          <w:szCs w:val="16"/>
        </w:rPr>
        <w:softHyphen/>
        <w:t>ально исправляющим должность начальника воздушной ди</w:t>
      </w:r>
      <w:r w:rsidRPr="002F2FDF">
        <w:rPr>
          <w:rFonts w:ascii="Times New Roman" w:hAnsi="Times New Roman" w:cs="Times New Roman"/>
          <w:color w:val="000000" w:themeColor="text1"/>
          <w:kern w:val="2"/>
          <w:sz w:val="16"/>
          <w:szCs w:val="16"/>
        </w:rPr>
        <w:softHyphen/>
        <w:t>визии он являлся с 1 февраля по 19 июня. В первую бригаду со штабом в Севастополе вошли части Северного воздушного района, сведенные в два прибрежных дивизиона с 36 гидроаэ</w:t>
      </w:r>
      <w:r w:rsidRPr="002F2FDF">
        <w:rPr>
          <w:rFonts w:ascii="Times New Roman" w:hAnsi="Times New Roman" w:cs="Times New Roman"/>
          <w:color w:val="000000" w:themeColor="text1"/>
          <w:kern w:val="2"/>
          <w:sz w:val="16"/>
          <w:szCs w:val="16"/>
        </w:rPr>
        <w:softHyphen/>
        <w:t>ропланами, базирующиеся на две станции и семь постов. Во вторую бригаду со штабом в Батуме вошли части Южного воздушного района, сведенные в три дивизиона с 54 гидроаэро</w:t>
      </w:r>
      <w:r w:rsidRPr="002F2FDF">
        <w:rPr>
          <w:rFonts w:ascii="Times New Roman" w:hAnsi="Times New Roman" w:cs="Times New Roman"/>
          <w:color w:val="000000" w:themeColor="text1"/>
          <w:kern w:val="2"/>
          <w:sz w:val="16"/>
          <w:szCs w:val="16"/>
        </w:rPr>
        <w:softHyphen/>
        <w:t>планами, базирующиеся на три станции и девять постов. В хозяйственном отношении на штаб первой бригады за</w:t>
      </w:r>
      <w:r w:rsidRPr="002F2FDF">
        <w:rPr>
          <w:rFonts w:ascii="Times New Roman" w:hAnsi="Times New Roman" w:cs="Times New Roman"/>
          <w:color w:val="000000" w:themeColor="text1"/>
          <w:kern w:val="2"/>
          <w:sz w:val="16"/>
          <w:szCs w:val="16"/>
        </w:rPr>
        <w:softHyphen/>
        <w:t>мыкался дивизион гидрокрейсеров с четырьмя корабельными отрядами, которые по табелю снабжения могли иметь 33 ле</w:t>
      </w:r>
      <w:r w:rsidRPr="002F2FDF">
        <w:rPr>
          <w:rFonts w:ascii="Times New Roman" w:hAnsi="Times New Roman" w:cs="Times New Roman"/>
          <w:color w:val="000000" w:themeColor="text1"/>
          <w:kern w:val="2"/>
          <w:sz w:val="16"/>
          <w:szCs w:val="16"/>
        </w:rPr>
        <w:softHyphen/>
        <w:t>тающие лодки. По боевой организации этот дивизион посту</w:t>
      </w:r>
      <w:r w:rsidRPr="002F2FDF">
        <w:rPr>
          <w:rFonts w:ascii="Times New Roman" w:hAnsi="Times New Roman" w:cs="Times New Roman"/>
          <w:color w:val="000000" w:themeColor="text1"/>
          <w:kern w:val="2"/>
          <w:sz w:val="16"/>
          <w:szCs w:val="16"/>
        </w:rPr>
        <w:softHyphen/>
        <w:t>пил в непосредственное подчинение командующего флотом (11283).</w:t>
      </w:r>
    </w:p>
    <w:p w14:paraId="7761B00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D0678F" w14:textId="77777777" w:rsidR="00455A23" w:rsidRPr="00FB4F67" w:rsidRDefault="00455A2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середине января 1917 г. генерал Н. В. Пневский представил программу подготовки летчиков на 1917 год. Итог:</w:t>
      </w:r>
    </w:p>
    <w:p w14:paraId="04217B45" w14:textId="77777777" w:rsidR="00455A23" w:rsidRPr="00FB4F67" w:rsidRDefault="00455A2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 1917 год нам нужно 458 летчиков-офицеров и 533 летчика-унтер-офицера, всего 991 летчик. В 1916 году наши училища выпустили всего 463 летчика. Также была создана Кавказская школа для подготовки 25 летчиков в год. По расчетам, они [все школы] могут подготовить в 1917 году 1027 летчиков, но это будет зависеть от проведения специальных мероприятий. Один инструктор может обучить 8-9 пилотов, поэтому нам нужно еще 38 инструкторов, плюс еще несколько для работы во вновь образованных школах.</w:t>
      </w:r>
    </w:p>
    <w:p w14:paraId="1382C0E3" w14:textId="77777777" w:rsidR="00455A23" w:rsidRPr="00FB4F67" w:rsidRDefault="00455A2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Из-за отсутствия роторных (Gnome) двигателей мощностью 50-70 л.с. от Farman IV как учебно-тренировочного следует отказаться, а школы должны принять тренажеры с двойным управлением. Из-за грядущей нехватки моторов Gnome мощностью 80 л.с. мы вынуждены также отказаться от Farman XVI, XX и XXI1 и перейти к использованию боевых самолетов в качестве учебных с двойным управлением. Это приведет к большему количеству учеников, не способных пройти курсы повышения квалификации и экзамены, поэтому мы должны принять большее количество учеников в школах. Заказываем шестьдесят боевых моделей (предположительно Лебедь-12) для школ.</w:t>
      </w:r>
    </w:p>
    <w:p w14:paraId="1A2E8E7F" w14:textId="77777777" w:rsidR="00455A23" w:rsidRPr="00FB4F67" w:rsidRDefault="00455A2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1917 г. мы должны получить следующее количество выпускников училищ: 536 (498/38) летчиков-истребителей и инструкторов; 365 артиллерийских офицеров и матросов для полетов на самолетах-разведчиках ближнего действия; 128 солдат и офицеров для управления бомбардировщиками; Всего 1029 солдат и офицеров. Один самолет нужен для обучения 7-10 учеников, значит, нам нужно около 700 тренажеров на 1917 год (395 тренажеров плюс 355 тренажеров боевых моделей).</w:t>
      </w:r>
    </w:p>
    <w:p w14:paraId="071D634D" w14:textId="77777777" w:rsidR="00455A23" w:rsidRPr="00FB4F67" w:rsidRDefault="00455A2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Генерал Пневский продолжал:</w:t>
      </w:r>
    </w:p>
    <w:p w14:paraId="0D772731" w14:textId="77777777" w:rsidR="00455A23" w:rsidRPr="00FB4F67" w:rsidRDefault="00455A2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Гатчинская и Севастопольская школы должны стать на 66-77% производительнее; по малокомплектным школам эти цифры составляют 162-402%. Применительно к малокомплектным школам это вряд ли возможно. Должна быть создана новая школа, предположительно в Херсоне. Очень сомнительно, что эта программа может быть завершена в этом году, поэтому мы должны подумать о том, чтобы послать в ближайшее время, скажем, 20—40 офицеров и 200 солдат за границу для обучения на истребителях. Таким образом, к середине 1917 года мы можем получить 70-100 летчиков-истребителей. Что касается военных воздухоплавателей, то на 14 января 1917 г. нам не хватало 22 офицеров. К 14 апреля нам нужно 70 офицеров; 90 офицеров к 14 июля; 65 офицеров к 14 октября; то к 14 января 1918 г. нам потребуется еще 81 офицер (23525).</w:t>
      </w:r>
    </w:p>
    <w:p w14:paraId="2F272857" w14:textId="77777777" w:rsidR="00455A23" w:rsidRPr="00FB4F67" w:rsidRDefault="00455A23" w:rsidP="0083075A">
      <w:pPr>
        <w:spacing w:after="0" w:line="240" w:lineRule="auto"/>
        <w:jc w:val="both"/>
        <w:rPr>
          <w:rFonts w:ascii="Times New Roman" w:hAnsi="Times New Roman" w:cs="Times New Roman"/>
          <w:color w:val="0070C0"/>
          <w:sz w:val="16"/>
          <w:szCs w:val="16"/>
        </w:rPr>
      </w:pPr>
    </w:p>
    <w:p w14:paraId="79ABDBCE" w14:textId="77777777" w:rsidR="005B454A"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511C5C0E" w14:textId="77777777" w:rsidR="005B454A" w:rsidRPr="002F2FDF" w:rsidRDefault="005B454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04666B" w14:textId="77777777" w:rsidR="005B454A" w:rsidRPr="002F2FDF" w:rsidRDefault="005B454A" w:rsidP="0083075A">
      <w:pPr>
        <w:pStyle w:val="rtejustify"/>
        <w:spacing w:before="0" w:after="0"/>
        <w:rPr>
          <w:color w:val="000000" w:themeColor="text1"/>
          <w:kern w:val="2"/>
          <w:sz w:val="16"/>
          <w:szCs w:val="16"/>
        </w:rPr>
      </w:pPr>
      <w:r w:rsidRPr="002F2FDF">
        <w:rPr>
          <w:color w:val="000000" w:themeColor="text1"/>
          <w:kern w:val="2"/>
          <w:sz w:val="16"/>
          <w:szCs w:val="16"/>
        </w:rPr>
        <w:t xml:space="preserve">В середине января 1917 в Петрограде Петроградская была созвана конференция стран Антанты для рассмотрения вопроса об оказании материальной помощи русской армии и рассмотрения военного положения на Восточном театре мировой войны. В конференции участвовали представители Англии, Франции, Италии и России. Русскую делегацию возглавляли министр иностранных дел Н. Н. Покровский и военный министр ген. М. А. Беляев. Обсуждение вопросов повестки дня конференции происходило в трех комиссиях: военно-политической, финансовой и в комиссии но снабжению. Царское правительство возлагало большие надежды на конференцию. Военное министерство подготовило подробные сведения о потребностях русской армии на 1917 г., надеясь в значительной степени удовлетворить эти потребности за </w:t>
      </w:r>
      <w:r w:rsidRPr="002F2FDF">
        <w:rPr>
          <w:color w:val="000000" w:themeColor="text1"/>
          <w:kern w:val="2"/>
          <w:sz w:val="16"/>
          <w:szCs w:val="16"/>
        </w:rPr>
        <w:lastRenderedPageBreak/>
        <w:t xml:space="preserve">счет заграничных поставок. В связи с реорганизацией русской армии и созданием 45 новых дивизий особенно острая потребность была в артиллерии. Так, из 34 922 орудий, потребных на 1917 г., из-за границы предполагалось получить около 16 тыс. Кроме того, требовалось огромное количество снарядов, пороха, различных предметов военно-инженерного снабжения, автомашин, а также угля, металлов и т. п. Общий тоннаж заграничных грузов был определен в 9 млн. т. Выслушав заявления о потребностях русской армии, союзные представители в конце конференции передали военному министру ген. Беляеву записку о количестве военных и прочих материалов, уступаемом России союзными странами в 1917 г. (см. док. № 565). Обязательства, взятые на себя союзниками на Петроградской конференции, не были ими выполнены (см.: Conference des Alles a Petrograd. </w:t>
      </w:r>
      <w:r w:rsidRPr="002F2FDF">
        <w:rPr>
          <w:color w:val="000000" w:themeColor="text1"/>
          <w:kern w:val="2"/>
          <w:sz w:val="16"/>
          <w:szCs w:val="16"/>
          <w:lang w:val="en-US"/>
        </w:rPr>
        <w:t xml:space="preserve">Commission de Ravitaillement. Proces-verbaux, vol I-II. Petrograd, 1917; </w:t>
      </w:r>
      <w:r w:rsidRPr="002F2FDF">
        <w:rPr>
          <w:color w:val="000000" w:themeColor="text1"/>
          <w:kern w:val="2"/>
          <w:sz w:val="16"/>
          <w:szCs w:val="16"/>
        </w:rPr>
        <w:t>А</w:t>
      </w:r>
      <w:r w:rsidRPr="002F2FDF">
        <w:rPr>
          <w:color w:val="000000" w:themeColor="text1"/>
          <w:kern w:val="2"/>
          <w:sz w:val="16"/>
          <w:szCs w:val="16"/>
          <w:lang w:val="en-US"/>
        </w:rPr>
        <w:t xml:space="preserve">. </w:t>
      </w:r>
      <w:r w:rsidRPr="002F2FDF">
        <w:rPr>
          <w:color w:val="000000" w:themeColor="text1"/>
          <w:kern w:val="2"/>
          <w:sz w:val="16"/>
          <w:szCs w:val="16"/>
        </w:rPr>
        <w:t>Л</w:t>
      </w:r>
      <w:r w:rsidRPr="002F2FDF">
        <w:rPr>
          <w:color w:val="000000" w:themeColor="text1"/>
          <w:kern w:val="2"/>
          <w:sz w:val="16"/>
          <w:szCs w:val="16"/>
          <w:lang w:val="en-US"/>
        </w:rPr>
        <w:t xml:space="preserve">. </w:t>
      </w:r>
      <w:r w:rsidRPr="002F2FDF">
        <w:rPr>
          <w:color w:val="000000" w:themeColor="text1"/>
          <w:kern w:val="2"/>
          <w:sz w:val="16"/>
          <w:szCs w:val="16"/>
        </w:rPr>
        <w:t>Сидоров</w:t>
      </w:r>
      <w:r w:rsidRPr="002F2FDF">
        <w:rPr>
          <w:color w:val="000000" w:themeColor="text1"/>
          <w:kern w:val="2"/>
          <w:sz w:val="16"/>
          <w:szCs w:val="16"/>
          <w:lang w:val="en-US"/>
        </w:rPr>
        <w:t xml:space="preserve">. </w:t>
      </w:r>
      <w:r w:rsidRPr="002F2FDF">
        <w:rPr>
          <w:color w:val="000000" w:themeColor="text1"/>
          <w:kern w:val="2"/>
          <w:sz w:val="16"/>
          <w:szCs w:val="16"/>
        </w:rPr>
        <w:t>Отношения России с союзниками и иностранные поставки во время первой мировой войны 1914—1917 гг. Исторические записки, т. 15) (15143).</w:t>
      </w:r>
    </w:p>
    <w:p w14:paraId="6BD9EED6" w14:textId="77777777" w:rsidR="005B454A" w:rsidRPr="002F2FDF" w:rsidRDefault="005B454A" w:rsidP="0083075A">
      <w:pPr>
        <w:pStyle w:val="rtecenter"/>
        <w:spacing w:before="0" w:after="0"/>
        <w:jc w:val="both"/>
        <w:rPr>
          <w:rStyle w:val="af0"/>
          <w:i w:val="0"/>
          <w:color w:val="000000" w:themeColor="text1"/>
          <w:kern w:val="2"/>
          <w:sz w:val="16"/>
          <w:szCs w:val="16"/>
        </w:rPr>
      </w:pPr>
    </w:p>
    <w:p w14:paraId="5EA310B7" w14:textId="77777777" w:rsidR="005D0E99" w:rsidRPr="002F2FDF" w:rsidRDefault="005D0E9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0C533B1" w14:textId="77777777" w:rsidR="005D0E99" w:rsidRPr="002F2FDF" w:rsidRDefault="005D0E9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1B45BB" w14:textId="77777777" w:rsidR="005D0E99" w:rsidRPr="002F2FDF" w:rsidRDefault="005D0E9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середине января 1917 г. начались испытания Ганза-Бранденбург W 12, вероятно, сразу в Команде испытаний морских самолетов (Seeflugzeuge Versuchs Kommando, SVK) в Варнемюнде на северо-восточном балтийском побережье Германии у Ростока. Сразу после отрыва самолет начал «задирать нос», и летчику с трудом удалось удержать его от сваливания и произвести нормальную посадку. Для улучшения центровки пришлось сдвигать бипланную коробку назад на 350 мм, что «потянуло» переделку фюзеляжа, управления элеронами и крепления поплавков. Зато теперь самолет нормально летал, разгоняясь до 160 км/ч при заданной продолжительности полета. Хотя скороподъемность и маневренность были недостаточны, Ганза-Бранденбург W 12 был принят на вооружение, так как это в значительной мере компенсировалось широким полем обстрела турельного пулемета. Испытания были задержаны аварией, но в феврале 1917 г. подоспела вторая машина.</w:t>
      </w:r>
    </w:p>
    <w:p w14:paraId="544F1796" w14:textId="77777777" w:rsidR="005D0E99" w:rsidRPr="002F2FDF" w:rsidRDefault="005D0E9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Хотя эффективности стабилизатора иногда не хватало, и самолет шел с раскачкой по тангажу, фирме подтвердили первый заказ на остальные четыре машины и дали второй еще на 10, которые должны были пойти в строевые части. Самолет был принят на вооружение под обозначением Ганза-Бранденбург C 3MG, но оно не прижилось, и его продолжали именовать W 12. Первые серийные уже к весне 1917 г. были на авиастанциях Остенде и Зебрюгге в Западной Фландрии на берегу Северного моря, где в то время резко активизировалась английская авиация. Начав выпуск, Хейнкель сразу приступил к совершенствованию самолета. На 2-й серии поставили мотор Бенц Bz III взлетной мощностью 150 л. с. с лобовым радиатором, поменяли скругление законцовок обоих крыльев так, что радиус по передней кромке меньше, чем по задней, переделали «кабан» центроплана. В ответ на жалобы летчиков заменили горизонтальное оперение, даже чуть перестаравшись с его эффективностью. Все 10 таких самолетов сдали в 1917 г., уже имея третий заказ — вдвое больший. Теперь пытались поменять выхлопной коллектор, но неудачно, и со второй машины поставили короткие патрубки по одному на цилиндр, а в обоих бортах кабины летчика появились откидные вниз дверцы для защиты от брызг. Четвертый заказ на 20 Бранденбургов W 12 был получен в середине 1917 г. и выполнен с 10 сентября 1917 г. по март 1918 г. со значительными изменениями по отношению к серийным чертежам. Особо выделялся самолет W.Nr.2016 с V-образным 8-цилиндровым мотором Бенц Bz IIIb мощностью 195 л. с. и крыльевым радиатором. На нем укоротили стойки бипланной коробки, а нижнее крыло сделали новым с элеронами — его вместе со вторым синхронным пулеметом, в отличие от других новшеств, внедрили на следующем, пятом заказе: в феврале — июне 1918 г. сдали 30 таких самолетов. Мотор на них пришлось поставить обычный 150-сильный Бенц BzIII, но радиатор был крыльевой с меньшим сопротивлением. Самой большой, 40 штук, была шестая серия с мотором Мерседес D III и снова с одним синхронным пулеметом — практика показала, что для таких самолетов пулемет турельный стоит всех остальных. Завершил производство самолета седьмой заказ на 20 машин по типу серии 6 с незначительными улучшениями в системе управления.</w:t>
      </w:r>
    </w:p>
    <w:p w14:paraId="7948AAAF" w14:textId="77777777" w:rsidR="005D0E99" w:rsidRPr="002F2FDF" w:rsidRDefault="005D0E9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Всего построили 146 гидропланов Ганза-Бранденбург W 12, прекратив выпуск не потому, что они перестали удовлетворять заказчика, а просто чтобы конструкторское бюро Эрнста Хейнкеля не работало впустую — надо было дать дорогу новым его проектам (22843).</w:t>
      </w:r>
    </w:p>
    <w:p w14:paraId="73C8E991" w14:textId="77777777" w:rsidR="005D0E99" w:rsidRPr="002F2FDF" w:rsidRDefault="005D0E99" w:rsidP="0083075A">
      <w:pPr>
        <w:spacing w:after="0" w:line="240" w:lineRule="auto"/>
        <w:jc w:val="both"/>
        <w:rPr>
          <w:rFonts w:ascii="Times New Roman" w:hAnsi="Times New Roman" w:cs="Times New Roman"/>
          <w:color w:val="000000" w:themeColor="text1"/>
          <w:sz w:val="16"/>
          <w:szCs w:val="16"/>
        </w:rPr>
      </w:pPr>
    </w:p>
    <w:p w14:paraId="7DB55263" w14:textId="071F4B0F" w:rsidR="005D0E99" w:rsidRPr="002F2FDF" w:rsidRDefault="005D0E9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первые недели 1917 г. под руководством Р. Плаца начато проектирование Фоккер V.2 как развитие самолета Fokker V.1. Основной задачей была проверка самолета с более мощным мотором Mercedes D III (160 л.</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с.).</w:t>
      </w:r>
    </w:p>
    <w:p w14:paraId="3026A3C4" w14:textId="7B656A34" w:rsidR="005D0E99" w:rsidRPr="002F2FDF" w:rsidRDefault="005D0E9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Самолет был построен как частная инициатива заводом фирмы в Герризе без вооружения и совершил первый полет в первой половине 1917 г. Испытания показали, что установка более мощного, тяжелого и расходного мотора не дает преимуществ перед вариантом с мотором Оберурсель Ur I.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Данных по испытаниям самолета на базе IdFlieg не обнаружено, однако он демонстрировался строевым пилотам ВВС Германии, посещавшим завод. Они раскритиковали установку радиатора перед крылом и была предпринята попытка сделать новые радиаторы на бортах фюзеляжа. Это решение уже не соответствовало требованиям IdFlieg, т.к. при простреле вода из радиаторов, находившихся ниже рубашки охлаждения мотора, слишком быстро вытекала.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На вооружение принят не был и в серию не запускался (23163).</w:t>
      </w:r>
    </w:p>
    <w:p w14:paraId="55655D29" w14:textId="77777777" w:rsidR="005D0E99" w:rsidRPr="002F2FDF" w:rsidRDefault="005D0E99" w:rsidP="0083075A">
      <w:pPr>
        <w:spacing w:after="0" w:line="240" w:lineRule="auto"/>
        <w:jc w:val="both"/>
        <w:rPr>
          <w:rFonts w:ascii="Times New Roman" w:hAnsi="Times New Roman" w:cs="Times New Roman"/>
          <w:color w:val="000000" w:themeColor="text1"/>
          <w:sz w:val="16"/>
          <w:szCs w:val="16"/>
        </w:rPr>
      </w:pPr>
    </w:p>
    <w:p w14:paraId="22AC6B06" w14:textId="77777777" w:rsidR="008C5CCC"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B929295" w14:textId="77777777" w:rsidR="008C5CCC" w:rsidRPr="002F2FDF" w:rsidRDefault="008C5CC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0E29F5" w14:textId="77777777" w:rsidR="008C5CCC" w:rsidRPr="002F2FDF" w:rsidRDefault="008C5CCC"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color w:val="000000" w:themeColor="text1"/>
          <w:kern w:val="2"/>
          <w:sz w:val="16"/>
          <w:szCs w:val="16"/>
        </w:rPr>
        <w:t xml:space="preserve">16 (29) января </w:t>
      </w:r>
      <w:r w:rsidRPr="002F2FDF">
        <w:rPr>
          <w:rFonts w:ascii="Times New Roman" w:hAnsi="Times New Roman" w:cs="Times New Roman"/>
          <w:color w:val="000000" w:themeColor="text1"/>
          <w:kern w:val="2"/>
          <w:sz w:val="16"/>
          <w:szCs w:val="16"/>
        </w:rPr>
        <w:t>в 1917 году конгресс США принимает новый иммиграционный закон, требующий от всех лиц старше 16 лет знания 30-80 английских слов и запрещающий иммиграцию из всех стран Азии, кроме Японии (15024).</w:t>
      </w:r>
    </w:p>
    <w:p w14:paraId="276C6EF4" w14:textId="77777777" w:rsidR="008C5CCC" w:rsidRPr="002F2FDF" w:rsidRDefault="008C5CCC" w:rsidP="0083075A">
      <w:pPr>
        <w:spacing w:after="0" w:line="240" w:lineRule="auto"/>
        <w:jc w:val="both"/>
        <w:rPr>
          <w:rFonts w:ascii="Times New Roman" w:hAnsi="Times New Roman" w:cs="Times New Roman"/>
          <w:color w:val="000000" w:themeColor="text1"/>
          <w:kern w:val="2"/>
          <w:sz w:val="16"/>
          <w:szCs w:val="16"/>
        </w:rPr>
      </w:pPr>
    </w:p>
    <w:p w14:paraId="05E93D0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FD77D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F7762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января 1917 Адаменко написал письмо, где отмечал, что работает в авиации с 1910 г. и наличие такого опыта вполне позволяет ему лич</w:t>
      </w:r>
      <w:r w:rsidRPr="002F2FDF">
        <w:rPr>
          <w:rFonts w:ascii="Times New Roman" w:hAnsi="Times New Roman" w:cs="Times New Roman"/>
          <w:color w:val="000000" w:themeColor="text1"/>
          <w:kern w:val="2"/>
          <w:sz w:val="16"/>
          <w:szCs w:val="16"/>
        </w:rPr>
        <w:softHyphen/>
        <w:t>но осуществлять технический надзор. Кроме того, излагал план расширения производственных мощностей, предполагавший по</w:t>
      </w:r>
      <w:r w:rsidRPr="002F2FDF">
        <w:rPr>
          <w:rFonts w:ascii="Times New Roman" w:hAnsi="Times New Roman" w:cs="Times New Roman"/>
          <w:color w:val="000000" w:themeColor="text1"/>
          <w:kern w:val="2"/>
          <w:sz w:val="16"/>
          <w:szCs w:val="16"/>
        </w:rPr>
        <w:softHyphen/>
        <w:t>стройку нового двухэтажного каменного корпуса размером 36x6 саженей*, приобретение участка под склад и увеличение вдвое сборочного ангара (11124).</w:t>
      </w:r>
    </w:p>
    <w:p w14:paraId="787D061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5FA29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17 (или 10) </w:t>
      </w:r>
      <w:r w:rsidR="00E44BC9" w:rsidRPr="002F2FDF">
        <w:rPr>
          <w:rFonts w:ascii="Times New Roman" w:hAnsi="Times New Roman" w:cs="Times New Roman"/>
          <w:color w:val="000000" w:themeColor="text1"/>
          <w:kern w:val="2"/>
          <w:sz w:val="16"/>
          <w:szCs w:val="16"/>
        </w:rPr>
        <w:t xml:space="preserve">(30) </w:t>
      </w:r>
      <w:r w:rsidRPr="002F2FDF">
        <w:rPr>
          <w:rFonts w:ascii="Times New Roman" w:hAnsi="Times New Roman" w:cs="Times New Roman"/>
          <w:color w:val="000000" w:themeColor="text1"/>
          <w:kern w:val="2"/>
          <w:sz w:val="16"/>
          <w:szCs w:val="16"/>
        </w:rPr>
        <w:t>января 1917 г. из МГШ в Отдел мин заграждений и тралов ГУК были отправлены спецификации, согласно которым, общий вес снаряда (аэро-планной мины, предложенном капитаном 1 р. В. В. Ковалевским) не превышал 90 кг при боевом заряде от 16 до 20 кг, а длина минрепа составляла от 50 до 100 м. Мина могла сбрасываться при горизонтальной скорости носителя до 130 км/ч, но с высоты не более 5 м (2807).</w:t>
      </w:r>
    </w:p>
    <w:p w14:paraId="42ECFC4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971B05" w14:textId="0B278978" w:rsidR="005B454A" w:rsidRPr="002F2FDF" w:rsidRDefault="005B454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17 </w:t>
      </w:r>
      <w:r w:rsidR="00BA3275">
        <w:rPr>
          <w:rFonts w:ascii="Times New Roman" w:hAnsi="Times New Roman" w:cs="Times New Roman"/>
          <w:color w:val="000000" w:themeColor="text1"/>
          <w:kern w:val="2"/>
          <w:sz w:val="16"/>
          <w:szCs w:val="16"/>
        </w:rPr>
        <w:t xml:space="preserve">(30) </w:t>
      </w:r>
      <w:r w:rsidRPr="002F2FDF">
        <w:rPr>
          <w:rFonts w:ascii="Times New Roman" w:hAnsi="Times New Roman" w:cs="Times New Roman"/>
          <w:color w:val="000000" w:themeColor="text1"/>
          <w:kern w:val="2"/>
          <w:sz w:val="16"/>
          <w:szCs w:val="16"/>
        </w:rPr>
        <w:t>января 1917 г. Технический комитет УВВФ принял следующее реше</w:t>
      </w:r>
      <w:r w:rsidRPr="002F2FDF">
        <w:rPr>
          <w:rFonts w:ascii="Times New Roman" w:hAnsi="Times New Roman" w:cs="Times New Roman"/>
          <w:color w:val="000000" w:themeColor="text1"/>
          <w:kern w:val="2"/>
          <w:sz w:val="16"/>
          <w:szCs w:val="16"/>
        </w:rPr>
        <w:softHyphen/>
        <w:t>ние.</w:t>
      </w:r>
    </w:p>
    <w:p w14:paraId="77F43F84" w14:textId="77777777" w:rsidR="005B454A" w:rsidRPr="002F2FDF" w:rsidRDefault="005B454A"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«1. Расположение Главного аэродрома на юге России предпочтительнее его расположения в Петрограде, но при этом аэродром следует располагать в пункте, имеющем технические науч</w:t>
      </w:r>
      <w:r w:rsidRPr="002F2FDF">
        <w:rPr>
          <w:rFonts w:ascii="Times New Roman" w:cs="Times New Roman"/>
          <w:color w:val="000000" w:themeColor="text1"/>
          <w:spacing w:val="0"/>
          <w:kern w:val="2"/>
          <w:sz w:val="16"/>
          <w:szCs w:val="16"/>
        </w:rPr>
        <w:softHyphen/>
        <w:t>ные учреждения.</w:t>
      </w:r>
    </w:p>
    <w:p w14:paraId="7035ADB3" w14:textId="77777777" w:rsidR="005B454A" w:rsidRPr="002F2FDF" w:rsidRDefault="005B454A" w:rsidP="0083075A">
      <w:pPr>
        <w:pStyle w:val="35"/>
        <w:shd w:val="clear" w:color="auto" w:fill="auto"/>
        <w:spacing w:line="240" w:lineRule="auto"/>
        <w:jc w:val="both"/>
        <w:rPr>
          <w:rFonts w:ascii="Times New Roman" w:cs="Times New Roman"/>
          <w:color w:val="000000" w:themeColor="text1"/>
          <w:spacing w:val="0"/>
          <w:kern w:val="2"/>
          <w:sz w:val="16"/>
          <w:szCs w:val="16"/>
        </w:rPr>
      </w:pPr>
      <w:r w:rsidRPr="002F2FDF">
        <w:rPr>
          <w:rFonts w:ascii="Times New Roman" w:cs="Times New Roman"/>
          <w:color w:val="000000" w:themeColor="text1"/>
          <w:spacing w:val="0"/>
          <w:kern w:val="2"/>
          <w:sz w:val="16"/>
          <w:szCs w:val="16"/>
        </w:rPr>
        <w:t>2. Территориальное соединение Главного аэродрома с авиационными заводами военного ведомства является желательным и полезным для дела...».</w:t>
      </w:r>
    </w:p>
    <w:p w14:paraId="5655AAE1" w14:textId="77777777" w:rsidR="005B454A" w:rsidRPr="002F2FDF" w:rsidRDefault="005B454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Объединением на одной территории государственных авиазаводов, Глав</w:t>
      </w:r>
      <w:r w:rsidRPr="002F2FDF">
        <w:rPr>
          <w:rFonts w:ascii="Times New Roman" w:hAnsi="Times New Roman" w:cs="Times New Roman"/>
          <w:color w:val="000000" w:themeColor="text1"/>
          <w:kern w:val="2"/>
          <w:sz w:val="16"/>
          <w:szCs w:val="16"/>
        </w:rPr>
        <w:softHyphen/>
        <w:t>ного аэродрома и авиашколы предусматривалось создать «Авиационный го</w:t>
      </w:r>
      <w:r w:rsidRPr="002F2FDF">
        <w:rPr>
          <w:rFonts w:ascii="Times New Roman" w:hAnsi="Times New Roman" w:cs="Times New Roman"/>
          <w:color w:val="000000" w:themeColor="text1"/>
          <w:kern w:val="2"/>
          <w:sz w:val="16"/>
          <w:szCs w:val="16"/>
        </w:rPr>
        <w:softHyphen/>
        <w:t>родок — техническую душу русской авиации». Конечно, производительность в 200 самолетов в год была и для того времени небольшой, но завод как раз и не предназначался для конкуренции с частными производствами. По мнению специалистов, «это научно-техническое ядро в будущем будет играть роль регулятора и руководителя частного авиационного строительства и в пред</w:t>
      </w:r>
      <w:r w:rsidRPr="002F2FDF">
        <w:rPr>
          <w:rFonts w:ascii="Times New Roman" w:hAnsi="Times New Roman" w:cs="Times New Roman"/>
          <w:color w:val="000000" w:themeColor="text1"/>
          <w:kern w:val="2"/>
          <w:sz w:val="16"/>
          <w:szCs w:val="16"/>
        </w:rPr>
        <w:softHyphen/>
        <w:t>стоящий ближайший период промышленной депрессии будет иметь особен</w:t>
      </w:r>
      <w:r w:rsidRPr="002F2FDF">
        <w:rPr>
          <w:rFonts w:ascii="Times New Roman" w:hAnsi="Times New Roman" w:cs="Times New Roman"/>
          <w:color w:val="000000" w:themeColor="text1"/>
          <w:kern w:val="2"/>
          <w:sz w:val="16"/>
          <w:szCs w:val="16"/>
        </w:rPr>
        <w:softHyphen/>
        <w:t>но важное культурное значение. Аэродром накопит, расширит и сохранит столь необходимые специальные знания и непосредственный опыт. Заводы, не по</w:t>
      </w:r>
      <w:r w:rsidRPr="002F2FDF">
        <w:rPr>
          <w:rFonts w:ascii="Times New Roman" w:hAnsi="Times New Roman" w:cs="Times New Roman"/>
          <w:color w:val="000000" w:themeColor="text1"/>
          <w:kern w:val="2"/>
          <w:sz w:val="16"/>
          <w:szCs w:val="16"/>
        </w:rPr>
        <w:softHyphen/>
        <w:t>глотив сколько-нибудь заметного количества сырья, дадут работу наиболее способному контингенту рабочих, мастеров и инженеров, выработают лучшие типы машин и методы производства, достигнут ряда улучшений в конструк</w:t>
      </w:r>
      <w:r w:rsidRPr="002F2FDF">
        <w:rPr>
          <w:rFonts w:ascii="Times New Roman" w:hAnsi="Times New Roman" w:cs="Times New Roman"/>
          <w:color w:val="000000" w:themeColor="text1"/>
          <w:kern w:val="2"/>
          <w:sz w:val="16"/>
          <w:szCs w:val="16"/>
        </w:rPr>
        <w:softHyphen/>
        <w:t>ции. В совокупности же всех своих частей авиационный городок явится от</w:t>
      </w:r>
      <w:r w:rsidRPr="002F2FDF">
        <w:rPr>
          <w:rFonts w:ascii="Times New Roman" w:hAnsi="Times New Roman" w:cs="Times New Roman"/>
          <w:color w:val="000000" w:themeColor="text1"/>
          <w:kern w:val="2"/>
          <w:sz w:val="16"/>
          <w:szCs w:val="16"/>
        </w:rPr>
        <w:softHyphen/>
        <w:t>личной практической школой для летчиков, мотористов, рабочих, мастеров и инженеров, т. е. представит собой то ядро, из которого в нужную минуту мож</w:t>
      </w:r>
      <w:r w:rsidRPr="002F2FDF">
        <w:rPr>
          <w:rFonts w:ascii="Times New Roman" w:hAnsi="Times New Roman" w:cs="Times New Roman"/>
          <w:color w:val="000000" w:themeColor="text1"/>
          <w:kern w:val="2"/>
          <w:sz w:val="16"/>
          <w:szCs w:val="16"/>
        </w:rPr>
        <w:softHyphen/>
        <w:t>но восстановить ...частную промышленность и при помощи которого можно мобилизовать на авиацию заводы других специальностей...» (15740).</w:t>
      </w:r>
    </w:p>
    <w:p w14:paraId="2F896782" w14:textId="77777777" w:rsidR="005B454A" w:rsidRPr="002F2FDF" w:rsidRDefault="005B454A" w:rsidP="0083075A">
      <w:pPr>
        <w:spacing w:after="0" w:line="240" w:lineRule="auto"/>
        <w:jc w:val="both"/>
        <w:rPr>
          <w:rFonts w:ascii="Times New Roman" w:hAnsi="Times New Roman" w:cs="Times New Roman"/>
          <w:color w:val="000000" w:themeColor="text1"/>
          <w:kern w:val="2"/>
          <w:sz w:val="16"/>
          <w:szCs w:val="16"/>
        </w:rPr>
      </w:pPr>
    </w:p>
    <w:p w14:paraId="3F848792" w14:textId="77777777" w:rsidR="00E706C0" w:rsidRPr="002F2FDF" w:rsidRDefault="00E706C0"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A51D0F7" w14:textId="77777777" w:rsidR="00E706C0" w:rsidRPr="002F2FDF" w:rsidRDefault="00E706C0"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FF19FD" w14:textId="77777777" w:rsidR="00E706C0" w:rsidRPr="002F2FDF" w:rsidRDefault="00E706C0"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17 (30) января 1917г. прапорщик Э. Назариан подал в ГВТУ интересный проект: его самодвижущаяся мина имела гусеничный ход, корпус, «напоминающий по своим очертаниям английские tanks», двигатель внутреннего сгорания или на сжатом воздухе, заряд в 50 пудов (800 кг) ВВ и дистанционный взрыватель. Проект был отклонен, как и рассматривавшийся 26 января проект мины «Гидра» техника Н. Алексеева с электродвигателем и электрозапалом. Из Франции в мае сообщали об испытании на фронте «подвижной мины лейтенанта Маттэй». Все эти мины предназначались для подрыва проволочных заграждений, но могли оказаться и противотанковым средством (20250).</w:t>
      </w:r>
    </w:p>
    <w:p w14:paraId="6394DEBE" w14:textId="77777777" w:rsidR="00E706C0" w:rsidRPr="002F2FDF" w:rsidRDefault="00E706C0" w:rsidP="0083075A">
      <w:pPr>
        <w:shd w:val="clear" w:color="auto" w:fill="FFFFFF"/>
        <w:spacing w:after="0" w:line="240" w:lineRule="auto"/>
        <w:jc w:val="both"/>
        <w:rPr>
          <w:rFonts w:ascii="Times New Roman" w:hAnsi="Times New Roman" w:cs="Times New Roman"/>
          <w:color w:val="000000" w:themeColor="text1"/>
          <w:sz w:val="16"/>
          <w:szCs w:val="16"/>
        </w:rPr>
      </w:pPr>
    </w:p>
    <w:p w14:paraId="2C668FDB" w14:textId="27332468" w:rsidR="00BA3275" w:rsidRDefault="00BA3275"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Внешняя политика:</w:t>
      </w:r>
    </w:p>
    <w:p w14:paraId="06DA6C88" w14:textId="77777777" w:rsidR="00BA3275" w:rsidRDefault="00BA3275"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48257C8" w14:textId="369B5893" w:rsidR="00BA3275" w:rsidRPr="00FB4F67" w:rsidRDefault="00BA3275"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17 (</w:t>
      </w:r>
      <w:r w:rsidRPr="00FB4F67">
        <w:rPr>
          <w:rFonts w:ascii="Times New Roman" w:hAnsi="Times New Roman" w:cs="Times New Roman"/>
          <w:color w:val="0070C0"/>
          <w:sz w:val="16"/>
          <w:szCs w:val="16"/>
        </w:rPr>
        <w:t>30</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царь присутствовал на Межсоюзнической конференции в Петрограде, но мало что мог сказать и нечего предложить. Представители союзников узнали, что Россия столкнулась с серьезным железнодорожным кризисом, поскольку запасы угля были исчерпаны, а более 1200 локомотивов вышли из строя (23525).</w:t>
      </w:r>
    </w:p>
    <w:p w14:paraId="176E33E1" w14:textId="77777777" w:rsidR="00BA3275" w:rsidRPr="00FB4F67" w:rsidRDefault="00BA3275" w:rsidP="0083075A">
      <w:pPr>
        <w:spacing w:after="0" w:line="240" w:lineRule="auto"/>
        <w:jc w:val="both"/>
        <w:rPr>
          <w:rFonts w:ascii="Times New Roman" w:hAnsi="Times New Roman" w:cs="Times New Roman"/>
          <w:color w:val="0070C0"/>
          <w:sz w:val="16"/>
          <w:szCs w:val="16"/>
        </w:rPr>
      </w:pPr>
    </w:p>
    <w:p w14:paraId="240BF4DB" w14:textId="72676010" w:rsidR="00BA3275" w:rsidRDefault="00BA3275"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6CCA22AD" w14:textId="77777777" w:rsidR="00BA3275" w:rsidRDefault="00BA3275"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1A12FAD" w14:textId="397935CE" w:rsidR="00BA3275" w:rsidRPr="00FB4F67" w:rsidRDefault="00BA3275"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17 (</w:t>
      </w:r>
      <w:r w:rsidRPr="00FB4F67">
        <w:rPr>
          <w:rFonts w:ascii="Times New Roman" w:hAnsi="Times New Roman" w:cs="Times New Roman"/>
          <w:color w:val="0070C0"/>
          <w:sz w:val="16"/>
          <w:szCs w:val="16"/>
        </w:rPr>
        <w:t>30</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экипаж морского цеппелина LZ-98 получил боевую задачу совершить полет в сторону российской столицы. Однако вследствие сильного ветра полет был прерван. Позднее база дирижаблей была переведена из г. Ковно в Вайноден (Вайнёде, Курляндская губ.). Немцы решили тщательно подготовиться к следующему налету и особое внимание обратили на организацию метеослужбы. В дополнение ко всему, в это же время им удалось вскрыть шифр русских метеосводок.</w:t>
      </w:r>
    </w:p>
    <w:p w14:paraId="3FAEB7D2" w14:textId="77777777" w:rsidR="00BA3275" w:rsidRPr="00FB4F67" w:rsidRDefault="00BA3275" w:rsidP="0083075A">
      <w:pPr>
        <w:spacing w:after="0" w:line="240" w:lineRule="auto"/>
        <w:jc w:val="both"/>
        <w:rPr>
          <w:rFonts w:ascii="Times New Roman" w:hAnsi="Times New Roman" w:cs="Times New Roman"/>
          <w:color w:val="0070C0"/>
          <w:sz w:val="16"/>
          <w:szCs w:val="16"/>
        </w:rPr>
      </w:pPr>
      <w:bookmarkStart w:id="8" w:name="bookmark675"/>
      <w:r w:rsidRPr="00FB4F67">
        <w:rPr>
          <w:rFonts w:ascii="Times New Roman" w:hAnsi="Times New Roman" w:cs="Times New Roman"/>
          <w:color w:val="0070C0"/>
          <w:sz w:val="16"/>
          <w:szCs w:val="16"/>
        </w:rPr>
        <w:t>В очередной полет на Петроград был отправлен морской дирижабль L-38, который благополучно достиг финского берега и здесь был настигнут штормом. Дирижабль быстро обледенел, и только сброс всего балласта дал ему возможность долететь до берега и совершить вынужденную посадку в лесу</w:t>
      </w:r>
      <w:bookmarkEnd w:id="8"/>
      <w:r w:rsidRPr="00FB4F67">
        <w:rPr>
          <w:rFonts w:ascii="Times New Roman" w:hAnsi="Times New Roman" w:cs="Times New Roman"/>
          <w:color w:val="0070C0"/>
          <w:sz w:val="16"/>
          <w:szCs w:val="16"/>
        </w:rPr>
        <w:t>.</w:t>
      </w:r>
    </w:p>
    <w:p w14:paraId="2CCEC111" w14:textId="77777777" w:rsidR="00BA3275" w:rsidRPr="00FB4F67" w:rsidRDefault="00BA3275" w:rsidP="0083075A">
      <w:pPr>
        <w:spacing w:after="0" w:line="240" w:lineRule="auto"/>
        <w:jc w:val="both"/>
        <w:rPr>
          <w:rFonts w:ascii="Times New Roman" w:hAnsi="Times New Roman" w:cs="Times New Roman"/>
          <w:color w:val="0070C0"/>
          <w:sz w:val="16"/>
          <w:szCs w:val="16"/>
        </w:rPr>
      </w:pPr>
      <w:bookmarkStart w:id="9" w:name="bookmark676"/>
      <w:r w:rsidRPr="00FB4F67">
        <w:rPr>
          <w:rFonts w:ascii="Times New Roman" w:hAnsi="Times New Roman" w:cs="Times New Roman"/>
          <w:color w:val="0070C0"/>
          <w:sz w:val="16"/>
          <w:szCs w:val="16"/>
        </w:rPr>
        <w:t xml:space="preserve">Последним приданным сухопутным войскам дирижаблем стал LZ- 120 (LZ-90), цеппелин серии «G», которым руководил имевший значительный боевой опыт на русско-германском фронте Э. Леман (E. Lehman). Планировалось, что он сможет выполнить эту задачу, сбросив на столицу России большой запас бомб (до 7 тонн). Из-за плохой погоды вылет цеппелина не состоялся. Необходимо учитывать, что при полете к Петрограду необходимо было пересечь линию фронта или Рижский залив. Но это можно было сделать лишь при укрытии облаками и при наличии сильного западного ветра (при восточном ветре, как правило, устанавливалась ясная погода). В то же время полет к Петрограду при западном ветре был связан с огромным риском, так как у дирижабля оставалось мало шансов вернуться </w:t>
      </w:r>
      <w:bookmarkStart w:id="10" w:name="bookmark677"/>
      <w:bookmarkEnd w:id="9"/>
      <w:r w:rsidRPr="00FB4F67">
        <w:rPr>
          <w:rFonts w:ascii="Times New Roman" w:hAnsi="Times New Roman" w:cs="Times New Roman"/>
          <w:color w:val="0070C0"/>
          <w:sz w:val="16"/>
          <w:szCs w:val="16"/>
        </w:rPr>
        <w:t>обратно. К общей проблеме добавились сильные морозы, отмечаемые зимой 1916/17 г. Так, совершенные еще в декабре 1916 г. полеты на Ревель (Таллин) показали, что «никакими мерами нельзя было предупредить замерзание горючего».</w:t>
      </w:r>
    </w:p>
    <w:p w14:paraId="12D1717C" w14:textId="77777777" w:rsidR="00BA3275" w:rsidRPr="00FB4F67" w:rsidRDefault="00BA327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По оценке русского командования, обычный морской цеппелин (при вылете его с базы в Либаво-Шавлиском районе) мог достигнуть Петрограда без каких-либо шансов вернуться обратно. «Сверхцеппелин» (с дальностью полета до 800 км), при достижении российской столицы на обратном пути должен был опуститься в районе г. Ямбург - Луга. Такая же судьба постигла бы и «титан- цеппелин» (дальность полета - 1000-1200 км) с районом вынужденной посадки на полпути между Петроградом и Двинском. Для успешных налетов на столицу Российской империи необходимо было оборудовать воздушные базы на островах Эзель или Даго (Моонзундский архипелаг), которые до середины октября 1917 г. оставались под контролем русских войск </w:t>
      </w:r>
      <w:bookmarkEnd w:id="10"/>
      <w:r w:rsidRPr="00FB4F67">
        <w:rPr>
          <w:rFonts w:ascii="Times New Roman" w:hAnsi="Times New Roman" w:cs="Times New Roman"/>
          <w:color w:val="0070C0"/>
          <w:sz w:val="16"/>
          <w:szCs w:val="16"/>
        </w:rPr>
        <w:t>(23405).</w:t>
      </w:r>
    </w:p>
    <w:p w14:paraId="07FB6064" w14:textId="77777777" w:rsidR="00BA3275" w:rsidRPr="00FB4F67" w:rsidRDefault="00BA3275" w:rsidP="0083075A">
      <w:pPr>
        <w:spacing w:after="0" w:line="240" w:lineRule="auto"/>
        <w:jc w:val="both"/>
        <w:rPr>
          <w:rFonts w:ascii="Times New Roman" w:hAnsi="Times New Roman" w:cs="Times New Roman"/>
          <w:color w:val="0070C0"/>
          <w:sz w:val="16"/>
          <w:szCs w:val="16"/>
        </w:rPr>
      </w:pPr>
    </w:p>
    <w:p w14:paraId="51AD9499" w14:textId="2A94FDE7" w:rsidR="00BA3275" w:rsidRPr="00FB4F67" w:rsidRDefault="00BA3275"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17 (</w:t>
      </w:r>
      <w:r w:rsidRPr="00FB4F67">
        <w:rPr>
          <w:rFonts w:ascii="Times New Roman" w:hAnsi="Times New Roman" w:cs="Times New Roman"/>
          <w:color w:val="0070C0"/>
          <w:sz w:val="16"/>
          <w:szCs w:val="16"/>
        </w:rPr>
        <w:t>30</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над ст. Гайнаш (Айнажи, 120 км севернее г. Рига) был зафиксирован разведывательный полет цеппелина, освещавший местность лучами прожектора.</w:t>
      </w:r>
    </w:p>
    <w:p w14:paraId="0B2A9B3C" w14:textId="77777777" w:rsidR="00BA3275" w:rsidRPr="00FB4F67" w:rsidRDefault="00BA3275" w:rsidP="0083075A">
      <w:pPr>
        <w:spacing w:after="0" w:line="240" w:lineRule="auto"/>
        <w:jc w:val="both"/>
        <w:rPr>
          <w:rFonts w:ascii="Times New Roman" w:hAnsi="Times New Roman" w:cs="Times New Roman"/>
          <w:color w:val="0070C0"/>
          <w:sz w:val="16"/>
          <w:szCs w:val="16"/>
        </w:rPr>
      </w:pPr>
      <w:bookmarkStart w:id="11" w:name="bookmark684"/>
      <w:r w:rsidRPr="00FB4F67">
        <w:rPr>
          <w:rFonts w:ascii="Times New Roman" w:hAnsi="Times New Roman" w:cs="Times New Roman"/>
          <w:color w:val="0070C0"/>
          <w:sz w:val="16"/>
          <w:szCs w:val="16"/>
        </w:rPr>
        <w:t>В тот же день немецкий аэроплан совершил налет на Ригу, но «сильным обстрелом наших специальных орудий и нашим сторожевым самолетом вскоре отогнан от города и вынужден скрыться по направлению к неприятельским позициям (23405).</w:t>
      </w:r>
      <w:bookmarkEnd w:id="11"/>
    </w:p>
    <w:p w14:paraId="7C92049D" w14:textId="77777777" w:rsidR="00BA3275" w:rsidRPr="00FB4F67" w:rsidRDefault="00BA3275" w:rsidP="0083075A">
      <w:pPr>
        <w:spacing w:after="0" w:line="240" w:lineRule="auto"/>
        <w:jc w:val="both"/>
        <w:rPr>
          <w:rFonts w:ascii="Times New Roman" w:hAnsi="Times New Roman" w:cs="Times New Roman"/>
          <w:color w:val="0070C0"/>
          <w:sz w:val="16"/>
          <w:szCs w:val="16"/>
        </w:rPr>
      </w:pPr>
    </w:p>
    <w:p w14:paraId="4554C409" w14:textId="79BD4342"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FF176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50E500" w14:textId="547DB365" w:rsidR="00E706C0" w:rsidRPr="002F2FDF" w:rsidRDefault="00E706C0"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17 (30)</w:t>
      </w:r>
      <w:r w:rsidR="00E52569">
        <w:rPr>
          <w:color w:val="000000" w:themeColor="text1"/>
          <w:sz w:val="16"/>
          <w:szCs w:val="16"/>
        </w:rPr>
        <w:t xml:space="preserve"> </w:t>
      </w:r>
      <w:r w:rsidRPr="002F2FDF">
        <w:rPr>
          <w:color w:val="000000" w:themeColor="text1"/>
          <w:sz w:val="16"/>
          <w:szCs w:val="16"/>
        </w:rPr>
        <w:t>января 1917 экипаж морского цеппелина LZ-98</w:t>
      </w:r>
      <w:r w:rsidR="00E52569">
        <w:rPr>
          <w:color w:val="000000" w:themeColor="text1"/>
          <w:sz w:val="16"/>
          <w:szCs w:val="16"/>
        </w:rPr>
        <w:t xml:space="preserve"> </w:t>
      </w:r>
      <w:r w:rsidRPr="002F2FDF">
        <w:rPr>
          <w:color w:val="000000" w:themeColor="text1"/>
          <w:sz w:val="16"/>
          <w:szCs w:val="16"/>
        </w:rPr>
        <w:t>получил боевую задачу совершить полет в сторону российской столицы. Однако вследствие сильного ветра полет был прерван. Позднее база дирижаблей была переведена из г.</w:t>
      </w:r>
      <w:r w:rsidR="00E52569">
        <w:rPr>
          <w:color w:val="000000" w:themeColor="text1"/>
          <w:sz w:val="16"/>
          <w:szCs w:val="16"/>
        </w:rPr>
        <w:t xml:space="preserve"> </w:t>
      </w:r>
      <w:r w:rsidRPr="002F2FDF">
        <w:rPr>
          <w:color w:val="000000" w:themeColor="text1"/>
          <w:sz w:val="16"/>
          <w:szCs w:val="16"/>
        </w:rPr>
        <w:t>Ковно в Вайноден (Курляндия). Немцы решили тщательно подготовиться к следующему налету, обратив особое внимание на организацию метеослужбы. В дополнение ко всему, в это же время им удалось вскрыть шифр русских метеосводок.</w:t>
      </w:r>
    </w:p>
    <w:p w14:paraId="036E1076" w14:textId="3DFF4B95" w:rsidR="00E706C0" w:rsidRPr="002F2FDF" w:rsidRDefault="00E706C0"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В очередной полет на Петроград был отправлен морской дирижабль L-38, который благополучно достиг финского берега, и здесь был настигнут штормом. Дирижабль быстро обледенел и только сброс всего балласта дал ему возможность долететь до берега и совершить вынужденную посадку в лесу (</w:t>
      </w:r>
      <w:r w:rsidRPr="002F2FDF">
        <w:rPr>
          <w:color w:val="000000" w:themeColor="text1"/>
          <w:sz w:val="16"/>
          <w:szCs w:val="16"/>
          <w:shd w:val="clear" w:color="auto" w:fill="FFFFFF"/>
        </w:rPr>
        <w:t>Дирижабли на войне: материалы о создании, развитии и боевом применении дирижаблей / сост.: В.А.</w:t>
      </w:r>
      <w:r w:rsidR="00E52569">
        <w:rPr>
          <w:color w:val="000000" w:themeColor="text1"/>
          <w:sz w:val="16"/>
          <w:szCs w:val="16"/>
          <w:shd w:val="clear" w:color="auto" w:fill="FFFFFF"/>
        </w:rPr>
        <w:t xml:space="preserve"> </w:t>
      </w:r>
      <w:r w:rsidRPr="002F2FDF">
        <w:rPr>
          <w:color w:val="000000" w:themeColor="text1"/>
          <w:sz w:val="16"/>
          <w:szCs w:val="16"/>
          <w:shd w:val="clear" w:color="auto" w:fill="FFFFFF"/>
        </w:rPr>
        <w:t>Обухович, С.П.</w:t>
      </w:r>
      <w:r w:rsidR="00E52569">
        <w:rPr>
          <w:color w:val="000000" w:themeColor="text1"/>
          <w:sz w:val="16"/>
          <w:szCs w:val="16"/>
          <w:shd w:val="clear" w:color="auto" w:fill="FFFFFF"/>
        </w:rPr>
        <w:t xml:space="preserve"> </w:t>
      </w:r>
      <w:r w:rsidRPr="002F2FDF">
        <w:rPr>
          <w:color w:val="000000" w:themeColor="text1"/>
          <w:sz w:val="16"/>
          <w:szCs w:val="16"/>
          <w:shd w:val="clear" w:color="auto" w:fill="FFFFFF"/>
        </w:rPr>
        <w:t>Кульбака; ред. А.Е.</w:t>
      </w:r>
      <w:r w:rsidR="00E52569">
        <w:rPr>
          <w:color w:val="000000" w:themeColor="text1"/>
          <w:sz w:val="16"/>
          <w:szCs w:val="16"/>
          <w:shd w:val="clear" w:color="auto" w:fill="FFFFFF"/>
        </w:rPr>
        <w:t xml:space="preserve"> </w:t>
      </w:r>
      <w:r w:rsidRPr="002F2FDF">
        <w:rPr>
          <w:color w:val="000000" w:themeColor="text1"/>
          <w:sz w:val="16"/>
          <w:szCs w:val="16"/>
          <w:shd w:val="clear" w:color="auto" w:fill="FFFFFF"/>
        </w:rPr>
        <w:t>Тарас. Мн.: Харвест; М.: ООО «Издательство АСТ», 2000. С.</w:t>
      </w:r>
      <w:r w:rsidR="00E52569">
        <w:rPr>
          <w:color w:val="000000" w:themeColor="text1"/>
          <w:sz w:val="16"/>
          <w:szCs w:val="16"/>
          <w:shd w:val="clear" w:color="auto" w:fill="FFFFFF"/>
        </w:rPr>
        <w:t xml:space="preserve"> </w:t>
      </w:r>
      <w:r w:rsidRPr="002F2FDF">
        <w:rPr>
          <w:color w:val="000000" w:themeColor="text1"/>
          <w:sz w:val="16"/>
          <w:szCs w:val="16"/>
          <w:shd w:val="clear" w:color="auto" w:fill="FFFFFF"/>
        </w:rPr>
        <w:t>184</w:t>
      </w:r>
      <w:r w:rsidRPr="002F2FDF">
        <w:rPr>
          <w:color w:val="000000" w:themeColor="text1"/>
          <w:sz w:val="16"/>
          <w:szCs w:val="16"/>
        </w:rPr>
        <w:t>) (22783).</w:t>
      </w:r>
    </w:p>
    <w:p w14:paraId="307A4214" w14:textId="77777777" w:rsidR="00E706C0" w:rsidRPr="002F2FDF" w:rsidRDefault="00E706C0" w:rsidP="0083075A">
      <w:pPr>
        <w:shd w:val="clear" w:color="auto" w:fill="FFFFFF"/>
        <w:spacing w:after="0" w:line="240" w:lineRule="auto"/>
        <w:jc w:val="both"/>
        <w:rPr>
          <w:rFonts w:ascii="Times New Roman" w:hAnsi="Times New Roman" w:cs="Times New Roman"/>
          <w:color w:val="000000" w:themeColor="text1"/>
          <w:sz w:val="16"/>
          <w:szCs w:val="16"/>
        </w:rPr>
      </w:pPr>
    </w:p>
    <w:p w14:paraId="4D6ED36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января 1917 в США записана первая в мире джазовая пластинка (4962).</w:t>
      </w:r>
    </w:p>
    <w:p w14:paraId="2FB1DEA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B88A2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3981A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4862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января 1917 в Ревеле был передан Флоту Альбатрос А.2 М.Л. N 217 завода Лебедева на поплавках с четырехлопастным винтом и мотором Санбим 150 нр, построенный еще в 1915 (2843,37).</w:t>
      </w:r>
    </w:p>
    <w:p w14:paraId="7CE7FA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8A7A6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января 1917 г. аппарат лл Альбатрос номер 218 был в конце концов принят в Ре</w:t>
      </w:r>
      <w:r w:rsidRPr="002F2FDF">
        <w:rPr>
          <w:rFonts w:ascii="Times New Roman" w:hAnsi="Times New Roman" w:cs="Times New Roman"/>
          <w:color w:val="000000" w:themeColor="text1"/>
          <w:kern w:val="2"/>
          <w:sz w:val="16"/>
          <w:szCs w:val="16"/>
        </w:rPr>
        <w:softHyphen/>
        <w:t>веле Далее его следы теряются, тогда как основная причина отказа ави</w:t>
      </w:r>
      <w:r w:rsidRPr="002F2FDF">
        <w:rPr>
          <w:rFonts w:ascii="Times New Roman" w:hAnsi="Times New Roman" w:cs="Times New Roman"/>
          <w:color w:val="000000" w:themeColor="text1"/>
          <w:kern w:val="2"/>
          <w:sz w:val="16"/>
          <w:szCs w:val="16"/>
        </w:rPr>
        <w:softHyphen/>
        <w:t>ачастей военно-морских сил от аэропланов модели ЛМ-1 объясняется следующей цитатой из одного документа от 25 августа 1916 г.:</w:t>
      </w:r>
    </w:p>
    <w:p w14:paraId="5D868A2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"...последнее время гидроавиация комплектуется только лишь летающими лодками, то надобность в вышеуказанных аппаратах у нас отпала" (2843).</w:t>
      </w:r>
    </w:p>
    <w:p w14:paraId="0D6FA22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ABDEA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18 (31) января 1917 г. УВВФ приобрело </w:t>
      </w:r>
      <w:r w:rsidRPr="002F2FDF">
        <w:rPr>
          <w:rFonts w:ascii="Times New Roman" w:hAnsi="Times New Roman" w:cs="Times New Roman"/>
          <w:iCs/>
          <w:color w:val="000000" w:themeColor="text1"/>
          <w:kern w:val="2"/>
          <w:sz w:val="16"/>
          <w:szCs w:val="16"/>
        </w:rPr>
        <w:t xml:space="preserve">“наличной покупкой” </w:t>
      </w:r>
      <w:r w:rsidRPr="002F2FDF">
        <w:rPr>
          <w:rFonts w:ascii="Times New Roman" w:hAnsi="Times New Roman" w:cs="Times New Roman"/>
          <w:color w:val="000000" w:themeColor="text1"/>
          <w:kern w:val="2"/>
          <w:sz w:val="16"/>
          <w:szCs w:val="16"/>
        </w:rPr>
        <w:t>(то есть, без заключения контракта) из остатков иму</w:t>
      </w:r>
      <w:r w:rsidRPr="002F2FDF">
        <w:rPr>
          <w:rFonts w:ascii="Times New Roman" w:hAnsi="Times New Roman" w:cs="Times New Roman"/>
          <w:color w:val="000000" w:themeColor="text1"/>
          <w:kern w:val="2"/>
          <w:sz w:val="16"/>
          <w:szCs w:val="16"/>
        </w:rPr>
        <w:softHyphen/>
        <w:t>щества Червоннского завода один ком</w:t>
      </w:r>
      <w:r w:rsidRPr="002F2FDF">
        <w:rPr>
          <w:rFonts w:ascii="Times New Roman" w:hAnsi="Times New Roman" w:cs="Times New Roman"/>
          <w:color w:val="000000" w:themeColor="text1"/>
          <w:kern w:val="2"/>
          <w:sz w:val="16"/>
          <w:szCs w:val="16"/>
        </w:rPr>
        <w:softHyphen/>
        <w:t>плект запчастей к “Фарману XVI”. После прихода в Украину советской власти имение Червонное было национали</w:t>
      </w:r>
      <w:r w:rsidRPr="002F2FDF">
        <w:rPr>
          <w:rFonts w:ascii="Times New Roman" w:hAnsi="Times New Roman" w:cs="Times New Roman"/>
          <w:color w:val="000000" w:themeColor="text1"/>
          <w:kern w:val="2"/>
          <w:sz w:val="16"/>
          <w:szCs w:val="16"/>
        </w:rPr>
        <w:softHyphen/>
        <w:t>зировано. О восстановлении там авиацион</w:t>
      </w:r>
      <w:r w:rsidRPr="002F2FDF">
        <w:rPr>
          <w:rFonts w:ascii="Times New Roman" w:hAnsi="Times New Roman" w:cs="Times New Roman"/>
          <w:color w:val="000000" w:themeColor="text1"/>
          <w:kern w:val="2"/>
          <w:sz w:val="16"/>
          <w:szCs w:val="16"/>
        </w:rPr>
        <w:softHyphen/>
        <w:t>ного завода никто не помышлял, хотя сами производственные помещения сохраня</w:t>
      </w:r>
      <w:r w:rsidRPr="002F2FDF">
        <w:rPr>
          <w:rFonts w:ascii="Times New Roman" w:hAnsi="Times New Roman" w:cs="Times New Roman"/>
          <w:color w:val="000000" w:themeColor="text1"/>
          <w:kern w:val="2"/>
          <w:sz w:val="16"/>
          <w:szCs w:val="16"/>
        </w:rPr>
        <w:softHyphen/>
        <w:t>лись довольно долго и были разобраны уже после Второй мировой войны. О судьбе са</w:t>
      </w:r>
      <w:r w:rsidRPr="002F2FDF">
        <w:rPr>
          <w:rFonts w:ascii="Times New Roman" w:hAnsi="Times New Roman" w:cs="Times New Roman"/>
          <w:color w:val="000000" w:themeColor="text1"/>
          <w:kern w:val="2"/>
          <w:sz w:val="16"/>
          <w:szCs w:val="16"/>
        </w:rPr>
        <w:softHyphen/>
        <w:t>мого Терещенко долгие годы на родине ни</w:t>
      </w:r>
      <w:r w:rsidRPr="002F2FDF">
        <w:rPr>
          <w:rFonts w:ascii="Times New Roman" w:hAnsi="Times New Roman" w:cs="Times New Roman"/>
          <w:color w:val="000000" w:themeColor="text1"/>
          <w:kern w:val="2"/>
          <w:sz w:val="16"/>
          <w:szCs w:val="16"/>
        </w:rPr>
        <w:softHyphen/>
        <w:t>чего не знали даже исследователи, зани</w:t>
      </w:r>
      <w:r w:rsidRPr="002F2FDF">
        <w:rPr>
          <w:rFonts w:ascii="Times New Roman" w:hAnsi="Times New Roman" w:cs="Times New Roman"/>
          <w:color w:val="000000" w:themeColor="text1"/>
          <w:kern w:val="2"/>
          <w:sz w:val="16"/>
          <w:szCs w:val="16"/>
        </w:rPr>
        <w:softHyphen/>
        <w:t xml:space="preserve">мавшиеся историей этой семьи. Только несколько лет назад, </w:t>
      </w:r>
      <w:r w:rsidRPr="002F2FDF">
        <w:rPr>
          <w:rFonts w:ascii="Times New Roman" w:hAnsi="Times New Roman" w:cs="Times New Roman"/>
          <w:iCs/>
          <w:color w:val="000000" w:themeColor="text1"/>
          <w:kern w:val="2"/>
          <w:sz w:val="16"/>
          <w:szCs w:val="16"/>
        </w:rPr>
        <w:t xml:space="preserve">благодаря </w:t>
      </w:r>
      <w:r w:rsidRPr="002F2FDF">
        <w:rPr>
          <w:rFonts w:ascii="Times New Roman" w:hAnsi="Times New Roman" w:cs="Times New Roman"/>
          <w:color w:val="000000" w:themeColor="text1"/>
          <w:kern w:val="2"/>
          <w:sz w:val="16"/>
          <w:szCs w:val="16"/>
        </w:rPr>
        <w:t>усилиям киевского историка В.В. Ковалинского, ста</w:t>
      </w:r>
      <w:r w:rsidRPr="002F2FDF">
        <w:rPr>
          <w:rFonts w:ascii="Times New Roman" w:hAnsi="Times New Roman" w:cs="Times New Roman"/>
          <w:color w:val="000000" w:themeColor="text1"/>
          <w:kern w:val="2"/>
          <w:sz w:val="16"/>
          <w:szCs w:val="16"/>
        </w:rPr>
        <w:softHyphen/>
        <w:t>ло известно, что Федор Федорович эмигри</w:t>
      </w:r>
      <w:r w:rsidRPr="002F2FDF">
        <w:rPr>
          <w:rFonts w:ascii="Times New Roman" w:hAnsi="Times New Roman" w:cs="Times New Roman"/>
          <w:color w:val="000000" w:themeColor="text1"/>
          <w:kern w:val="2"/>
          <w:sz w:val="16"/>
          <w:szCs w:val="16"/>
        </w:rPr>
        <w:softHyphen/>
        <w:t>ровал во Францию и жил в Париже вплоть до своей кончины 30 января 1950 г. (11217).</w:t>
      </w:r>
    </w:p>
    <w:p w14:paraId="728865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B0CD72" w14:textId="77777777" w:rsidR="00447212" w:rsidRPr="002F2FDF" w:rsidRDefault="00447212" w:rsidP="0083075A">
      <w:pPr>
        <w:pStyle w:val="1c"/>
        <w:spacing w:before="0" w:after="0"/>
        <w:jc w:val="both"/>
        <w:rPr>
          <w:color w:val="000000" w:themeColor="text1"/>
          <w:kern w:val="2"/>
          <w:sz w:val="16"/>
          <w:szCs w:val="16"/>
        </w:rPr>
      </w:pPr>
      <w:r w:rsidRPr="002F2FDF">
        <w:rPr>
          <w:color w:val="000000" w:themeColor="text1"/>
          <w:kern w:val="2"/>
          <w:sz w:val="16"/>
          <w:szCs w:val="16"/>
        </w:rPr>
        <w:t>18 (31) января 1917 г. было последнее упоминание о предприятии Tepeщенко. Военное ведомство приобрело «наличной покупкой» (то есть без заключения контракта) из остатков имущества Червоннского завода один комплект запчастей к «Фарману XVI». После прихода в Украину советской власти имение Червонное было национализировано. О восстановлении там авиационного завода никто не помышлял, хотя все производственные помещения сохранялись довольно долго и были разобраны после Второй мировой войны. О судьбе самого Терещенко долгие годы на родине ничего не знали даже исследователи, занимавшиеся историей этой семьи. Лишь несколько лет назад, благодаря ycилиям киевского историка В.В.Ковалинского стало известно, что Федор Федорович эмигрировал во Францию и жил в Париже до своей кончины 30 января 1950 г. (12252).</w:t>
      </w:r>
    </w:p>
    <w:p w14:paraId="1AC69284" w14:textId="77777777" w:rsidR="00447212" w:rsidRPr="002F2FDF" w:rsidRDefault="00447212" w:rsidP="0083075A">
      <w:pPr>
        <w:pStyle w:val="1c"/>
        <w:spacing w:before="0" w:after="0"/>
        <w:jc w:val="both"/>
        <w:rPr>
          <w:rStyle w:val="1b"/>
          <w:b w:val="0"/>
          <w:color w:val="000000" w:themeColor="text1"/>
          <w:kern w:val="2"/>
          <w:sz w:val="16"/>
          <w:szCs w:val="16"/>
        </w:rPr>
      </w:pPr>
    </w:p>
    <w:p w14:paraId="4EEF8E6B" w14:textId="77777777" w:rsidR="00B75F1E" w:rsidRPr="002F2FDF" w:rsidRDefault="00CC1BE3"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7378F1D" w14:textId="77777777" w:rsidR="00B75F1E" w:rsidRPr="002F2FDF" w:rsidRDefault="00B75F1E"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AB570B" w14:textId="6B2EDBA3" w:rsidR="00BA3275" w:rsidRPr="00FB4F67" w:rsidRDefault="00BA3275"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18 (</w:t>
      </w:r>
      <w:r w:rsidRPr="00FB4F67">
        <w:rPr>
          <w:rFonts w:ascii="Times New Roman" w:hAnsi="Times New Roman" w:cs="Times New Roman"/>
          <w:color w:val="0070C0"/>
          <w:sz w:val="16"/>
          <w:szCs w:val="16"/>
        </w:rPr>
        <w:t>31</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Совет министров принял решение (ут</w:t>
      </w:r>
      <w:r w:rsidRPr="00FB4F67">
        <w:rPr>
          <w:rFonts w:ascii="Times New Roman" w:hAnsi="Times New Roman" w:cs="Times New Roman"/>
          <w:color w:val="0070C0"/>
          <w:sz w:val="16"/>
          <w:szCs w:val="16"/>
        </w:rPr>
        <w:softHyphen/>
        <w:t>верждено царем 8 февраля) о принудительной продаже «не</w:t>
      </w:r>
      <w:r w:rsidRPr="00FB4F67">
        <w:rPr>
          <w:rFonts w:ascii="Times New Roman" w:hAnsi="Times New Roman" w:cs="Times New Roman"/>
          <w:color w:val="0070C0"/>
          <w:sz w:val="16"/>
          <w:szCs w:val="16"/>
        </w:rPr>
        <w:softHyphen/>
        <w:t>приятельских» акций «без закрытия подлежащих обществ», для чего при Министерстве торговли и промышленности создавался специальный комитет. При продаже акций пре</w:t>
      </w:r>
      <w:r w:rsidRPr="00FB4F67">
        <w:rPr>
          <w:rFonts w:ascii="Times New Roman" w:hAnsi="Times New Roman" w:cs="Times New Roman"/>
          <w:color w:val="0070C0"/>
          <w:sz w:val="16"/>
          <w:szCs w:val="16"/>
        </w:rPr>
        <w:softHyphen/>
        <w:t>имущественное право на их приобретение получала казна, а в случае ее отказа — акционеры предприятия из числа рус</w:t>
      </w:r>
      <w:r w:rsidRPr="00FB4F67">
        <w:rPr>
          <w:rFonts w:ascii="Times New Roman" w:hAnsi="Times New Roman" w:cs="Times New Roman"/>
          <w:color w:val="0070C0"/>
          <w:sz w:val="16"/>
          <w:szCs w:val="16"/>
        </w:rPr>
        <w:softHyphen/>
        <w:t>ских, союзных или нейтральных подданных; на оставшуюся часть — с разрешения Комитета — могли рассчитывать «по</w:t>
      </w:r>
      <w:r w:rsidRPr="00FB4F67">
        <w:rPr>
          <w:rFonts w:ascii="Times New Roman" w:hAnsi="Times New Roman" w:cs="Times New Roman"/>
          <w:color w:val="0070C0"/>
          <w:sz w:val="16"/>
          <w:szCs w:val="16"/>
        </w:rPr>
        <w:softHyphen/>
        <w:t>сторонние лица» не из числа акционеров. Вырученные от продажи акций деньги не доставались экспроприируемым «неприятельским» подданным, а поступали до момента за</w:t>
      </w:r>
      <w:r w:rsidRPr="00FB4F67">
        <w:rPr>
          <w:rFonts w:ascii="Times New Roman" w:hAnsi="Times New Roman" w:cs="Times New Roman"/>
          <w:color w:val="0070C0"/>
          <w:sz w:val="16"/>
          <w:szCs w:val="16"/>
        </w:rPr>
        <w:softHyphen/>
        <w:t>ключения мира в особый фонд Государственного банка (РГВИА. Ф. 369. On. 1. Д. 156. Л. 107-108, 112-113, 122; РГИА. Ф. 1276. Оп. 12. Д. 244. Л. 45; Соболев И.Г. Указ. соч. С. 109; ОЖСМ 1917. С. 183-185. К этой мере было приговорено 86 предприятий (см.: Дякин В.С. Первая мировая война. С. 234). На практике за оставшиеся дни существования царско</w:t>
      </w:r>
      <w:r w:rsidRPr="00FB4F67">
        <w:rPr>
          <w:rFonts w:ascii="Times New Roman" w:hAnsi="Times New Roman" w:cs="Times New Roman"/>
          <w:color w:val="0070C0"/>
          <w:sz w:val="16"/>
          <w:szCs w:val="16"/>
        </w:rPr>
        <w:softHyphen/>
        <w:t>го режима такого рода принудительные продажи не состоялись «ни в одном случае» (см.: LS. Имущественные обязательства, возлагаемые Брестским мирным договором на РФСР // Бюллетень Ликвидацион</w:t>
      </w:r>
      <w:r w:rsidRPr="00FB4F67">
        <w:rPr>
          <w:rFonts w:ascii="Times New Roman" w:hAnsi="Times New Roman" w:cs="Times New Roman"/>
          <w:color w:val="0070C0"/>
          <w:sz w:val="16"/>
          <w:szCs w:val="16"/>
        </w:rPr>
        <w:softHyphen/>
        <w:t>ного отдела Наркомторга. 1918. № 3. Сентябрь. С. 6). Но Временное правительство сначала 7 июня 1917 г. фактически подтвердило это постановление, внеся в него лишь частичные изменения (в ст. 5—9), а затем 22 июня постановило применить его к «Обществу электрического освещения 1886 г.», неделю спустя — к обществу «Электрическая сила» (Грищенко А.И., Зиноватный П.С. Указ. соч. С. 71; СУ. 1917. Отд. 1. № 165. Ст. 904, 976; отд. 2. Ст. 538)).</w:t>
      </w:r>
    </w:p>
    <w:p w14:paraId="1936F0A7" w14:textId="77777777" w:rsidR="00BA3275" w:rsidRPr="00FB4F67" w:rsidRDefault="00BA327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«Судьбу этих денег предполагалось определить впослед</w:t>
      </w:r>
      <w:r w:rsidRPr="00FB4F67">
        <w:rPr>
          <w:rFonts w:ascii="Times New Roman" w:hAnsi="Times New Roman" w:cs="Times New Roman"/>
          <w:color w:val="0070C0"/>
          <w:sz w:val="16"/>
          <w:szCs w:val="16"/>
        </w:rPr>
        <w:softHyphen/>
        <w:t>ствии». Совокупность подобных мер, означавших небыва</w:t>
      </w:r>
      <w:r w:rsidRPr="00FB4F67">
        <w:rPr>
          <w:rFonts w:ascii="Times New Roman" w:hAnsi="Times New Roman" w:cs="Times New Roman"/>
          <w:color w:val="0070C0"/>
          <w:sz w:val="16"/>
          <w:szCs w:val="16"/>
        </w:rPr>
        <w:softHyphen/>
        <w:t>лый поворот в отношении к собственности, оценивается в новейшей литературе как создание «институционально-пра</w:t>
      </w:r>
      <w:r w:rsidRPr="00FB4F67">
        <w:rPr>
          <w:rFonts w:ascii="Times New Roman" w:hAnsi="Times New Roman" w:cs="Times New Roman"/>
          <w:color w:val="0070C0"/>
          <w:sz w:val="16"/>
          <w:szCs w:val="16"/>
        </w:rPr>
        <w:softHyphen/>
        <w:t>вового механизма “русификации” и частичной национали</w:t>
      </w:r>
      <w:r w:rsidRPr="00FB4F67">
        <w:rPr>
          <w:rFonts w:ascii="Times New Roman" w:hAnsi="Times New Roman" w:cs="Times New Roman"/>
          <w:color w:val="0070C0"/>
          <w:sz w:val="16"/>
          <w:szCs w:val="16"/>
        </w:rPr>
        <w:softHyphen/>
        <w:t>зации» и «всех необходимых правовых условий для свобод</w:t>
      </w:r>
      <w:r w:rsidRPr="00FB4F67">
        <w:rPr>
          <w:rFonts w:ascii="Times New Roman" w:hAnsi="Times New Roman" w:cs="Times New Roman"/>
          <w:color w:val="0070C0"/>
          <w:sz w:val="16"/>
          <w:szCs w:val="16"/>
        </w:rPr>
        <w:softHyphen/>
        <w:t>ной деятельности» предприятий, не хуже чем в Германии или Бельгии (23452).</w:t>
      </w:r>
    </w:p>
    <w:p w14:paraId="6BBAFE39" w14:textId="77777777" w:rsidR="00BA3275" w:rsidRPr="00FB4F67" w:rsidRDefault="00BA3275" w:rsidP="0083075A">
      <w:pPr>
        <w:spacing w:after="0" w:line="240" w:lineRule="auto"/>
        <w:jc w:val="both"/>
        <w:rPr>
          <w:rFonts w:ascii="Times New Roman" w:hAnsi="Times New Roman" w:cs="Times New Roman"/>
          <w:color w:val="0070C0"/>
          <w:sz w:val="16"/>
          <w:szCs w:val="16"/>
        </w:rPr>
      </w:pPr>
    </w:p>
    <w:p w14:paraId="097A2920" w14:textId="77777777" w:rsidR="00B75F1E" w:rsidRPr="002F2FDF" w:rsidRDefault="00B75F1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18 (31) января</w:t>
      </w:r>
      <w:r w:rsidRPr="002F2FDF">
        <w:rPr>
          <w:rFonts w:ascii="Times New Roman" w:hAnsi="Times New Roman" w:cs="Times New Roman"/>
          <w:color w:val="000000" w:themeColor="text1"/>
          <w:kern w:val="2"/>
          <w:sz w:val="16"/>
          <w:szCs w:val="16"/>
        </w:rPr>
        <w:t xml:space="preserve"> в 1917 году день основания ОАО "Нижегородский телевизионный завод "Нител". Основанный Акционерным обществом “русских электротехнических заводов” и фирмой “Сименс и Гальске” завод в 1917 г. начал выпуск своей первой продукции: телефонных аппаратов – и вот уже много лет из его цехов выходят самые современные российские товары и изделия. Это: радио и телеприемники; магнитофоны; чаекофеварки; деревообрабатывающие станки; электродвигатели; радиостанции; радары и многие другие товары. С октября 1992 г. завод провел приватизацию и стал Акционерным Обществом Открытого Типа – “НИТЕЛ”. Сегодня “НИТЕЛ” – общество со 100% частным капиталом. АО “НИТЕЛ” состоит из ряда крупных экономически самостоятельных, но не являющихся юридическими лицами производств: производство радаров; производство товаров народного потребления; телевизионное производство и т.д. Постоянно развиваются международные рыночные связи, продукция завода поставляется более чем в 50 стран мира (15013).</w:t>
      </w:r>
    </w:p>
    <w:p w14:paraId="2E885F15" w14:textId="77777777" w:rsidR="00B75F1E" w:rsidRPr="002F2FDF" w:rsidRDefault="00B75F1E" w:rsidP="0083075A">
      <w:pPr>
        <w:spacing w:after="0" w:line="240" w:lineRule="auto"/>
        <w:jc w:val="both"/>
        <w:rPr>
          <w:rFonts w:ascii="Times New Roman" w:hAnsi="Times New Roman" w:cs="Times New Roman"/>
          <w:color w:val="000000" w:themeColor="text1"/>
          <w:kern w:val="2"/>
          <w:sz w:val="16"/>
          <w:szCs w:val="16"/>
        </w:rPr>
      </w:pPr>
    </w:p>
    <w:p w14:paraId="40B473C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5CAA0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71E653" w14:textId="7B461324" w:rsidR="00BA3275" w:rsidRPr="00FB4F67" w:rsidRDefault="00BA3275"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18 (</w:t>
      </w:r>
      <w:r w:rsidRPr="00FB4F67">
        <w:rPr>
          <w:rFonts w:ascii="Times New Roman" w:hAnsi="Times New Roman" w:cs="Times New Roman"/>
          <w:color w:val="0070C0"/>
          <w:sz w:val="16"/>
          <w:szCs w:val="16"/>
        </w:rPr>
        <w:t>31</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января 1917 г. при проведении воздушной бомбардировки русской авиацией вражеских объектов (мыза Беверк, в 20 км северо-западнее г. Иллукст) один из наших летательных аппаратов вступил в бой с немецким аэропланом и заставил его снизиться в своем расположении. В тот же день германские летчики бомбили район д. Теплая (20 км северо-восточнее г. Поставы) и станцию Придруйск (23405).</w:t>
      </w:r>
    </w:p>
    <w:p w14:paraId="3B9DF7FD" w14:textId="77777777" w:rsidR="00BA3275" w:rsidRPr="00FB4F67" w:rsidRDefault="00BA3275" w:rsidP="0083075A">
      <w:pPr>
        <w:spacing w:after="0" w:line="240" w:lineRule="auto"/>
        <w:jc w:val="both"/>
        <w:rPr>
          <w:rFonts w:ascii="Times New Roman" w:hAnsi="Times New Roman" w:cs="Times New Roman"/>
          <w:color w:val="0070C0"/>
          <w:sz w:val="16"/>
          <w:szCs w:val="16"/>
        </w:rPr>
      </w:pPr>
    </w:p>
    <w:p w14:paraId="298082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18-19 января (31 января - 1 февраля) 1917 эсминцы Поспешный и Дерзкий у Анатолийского побережья уничтожили 2 турецких парусника (3123).</w:t>
      </w:r>
    </w:p>
    <w:p w14:paraId="421C20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20F26D" w14:textId="3B0ABD47" w:rsidR="000F3C8E" w:rsidRDefault="000F3C8E"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Внешняя политика:</w:t>
      </w:r>
    </w:p>
    <w:p w14:paraId="4F375205" w14:textId="77777777" w:rsidR="000F3C8E" w:rsidRDefault="000F3C8E"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18525B44"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18 января 1917 г. великий князь не исполь</w:t>
      </w:r>
      <w:r w:rsidRPr="00FB4F67">
        <w:rPr>
          <w:rFonts w:ascii="Times New Roman" w:hAnsi="Times New Roman" w:cs="Times New Roman"/>
          <w:color w:val="0070C0"/>
          <w:sz w:val="16"/>
          <w:szCs w:val="16"/>
        </w:rPr>
        <w:softHyphen/>
        <w:t>зовал в своем докладе на Петроградской конференции союзников недостоверную таблицу, подписанную в конечном счете не Маниковским, а Барсуковым. Этот доклад, как припоминал Лехович, «изумил своей обоснованностью всех... представителей наших союзников», но цифры, произнесенные Сергеем Михайловичем, согласуются не с заготовленной Барсуко</w:t>
      </w:r>
      <w:r w:rsidRPr="00FB4F67">
        <w:rPr>
          <w:rFonts w:ascii="Times New Roman" w:hAnsi="Times New Roman" w:cs="Times New Roman"/>
          <w:color w:val="0070C0"/>
          <w:sz w:val="16"/>
          <w:szCs w:val="16"/>
        </w:rPr>
        <w:softHyphen/>
        <w:t>вым справкой, а с реальным количеством союзнических поставок. О 42-лин. пушках в протокольной записи указа</w:t>
      </w:r>
      <w:r w:rsidRPr="00FB4F67">
        <w:rPr>
          <w:rFonts w:ascii="Times New Roman" w:hAnsi="Times New Roman" w:cs="Times New Roman"/>
          <w:color w:val="0070C0"/>
          <w:sz w:val="16"/>
          <w:szCs w:val="16"/>
        </w:rPr>
        <w:softHyphen/>
        <w:t>но: «4 в дор[оге], 52 прибыл [и], 36 конч[ают] формиро</w:t>
      </w:r>
      <w:r w:rsidRPr="00FB4F67">
        <w:rPr>
          <w:rFonts w:ascii="Times New Roman" w:hAnsi="Times New Roman" w:cs="Times New Roman"/>
          <w:color w:val="0070C0"/>
          <w:sz w:val="16"/>
          <w:szCs w:val="16"/>
        </w:rPr>
        <w:softHyphen/>
        <w:t>вание], 16 фор[мируются]». Представить же союзникам общий итог, ясную сводную справку о состоянии заготов</w:t>
      </w:r>
      <w:r w:rsidRPr="00FB4F67">
        <w:rPr>
          <w:rFonts w:ascii="Times New Roman" w:hAnsi="Times New Roman" w:cs="Times New Roman"/>
          <w:color w:val="0070C0"/>
          <w:sz w:val="16"/>
          <w:szCs w:val="16"/>
        </w:rPr>
        <w:softHyphen/>
        <w:t>лений (как то было задумано первоначально, в ноябре), русское артиллерийское ведомство не смогло. Сначала ве</w:t>
      </w:r>
      <w:r w:rsidRPr="00FB4F67">
        <w:rPr>
          <w:rFonts w:ascii="Times New Roman" w:hAnsi="Times New Roman" w:cs="Times New Roman"/>
          <w:color w:val="0070C0"/>
          <w:sz w:val="16"/>
          <w:szCs w:val="16"/>
        </w:rPr>
        <w:softHyphen/>
        <w:t>ликий князь пообещал им 18 января, что «будет составлена таблица, которая после проверки Великим Князем будет роздана», а затем 20 января, как записано в том же черно</w:t>
      </w:r>
      <w:r w:rsidRPr="00FB4F67">
        <w:rPr>
          <w:rFonts w:ascii="Times New Roman" w:hAnsi="Times New Roman" w:cs="Times New Roman"/>
          <w:color w:val="0070C0"/>
          <w:sz w:val="16"/>
          <w:szCs w:val="16"/>
        </w:rPr>
        <w:softHyphen/>
        <w:t>вом протоколе, Сергей Михайлович «обещает составить просимые данные к пон [едельнику]-вторн[ику]», но уже по сокращенной схеме: «необходимо]; что требуется из-за гр[аницы] (не хватает)» (РГВИА. Ф. 2003. On. 1 доп. Д. 1915. Л. 201 об., 202 об.; Там же. Л. 206); это и было исполнено (23452).</w:t>
      </w:r>
    </w:p>
    <w:p w14:paraId="2A840430" w14:textId="77777777" w:rsidR="000F3C8E" w:rsidRPr="00FB4F67" w:rsidRDefault="000F3C8E" w:rsidP="0083075A">
      <w:pPr>
        <w:spacing w:after="0" w:line="240" w:lineRule="auto"/>
        <w:jc w:val="both"/>
        <w:rPr>
          <w:rFonts w:ascii="Times New Roman" w:hAnsi="Times New Roman" w:cs="Times New Roman"/>
          <w:color w:val="0070C0"/>
          <w:sz w:val="16"/>
          <w:szCs w:val="16"/>
        </w:rPr>
      </w:pPr>
    </w:p>
    <w:p w14:paraId="25A18007"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18 января 1917 г. в Бюджетной комиссии Думы, прямо объявляя об анти- союзнической по сути направленности разработанной в ГАУ программы, Маниковский мотивировал строительство заводов опасением того, что «когда мирные переговоры наступят и начнется дележка, то мы останемся без патронов и снарядов». Шокированные думцы сочли услышанное объяснение «край</w:t>
      </w:r>
      <w:r w:rsidRPr="00FB4F67">
        <w:rPr>
          <w:rFonts w:ascii="Times New Roman" w:hAnsi="Times New Roman" w:cs="Times New Roman"/>
          <w:color w:val="0070C0"/>
          <w:sz w:val="16"/>
          <w:szCs w:val="16"/>
        </w:rPr>
        <w:softHyphen/>
        <w:t>не неудачным» (Вопросы истории. 2000. № 4—5. С. 14), но отказать в деньгах не могли (23452).</w:t>
      </w:r>
    </w:p>
    <w:p w14:paraId="3FB9572C" w14:textId="77777777" w:rsidR="000F3C8E" w:rsidRPr="00FB4F67" w:rsidRDefault="000F3C8E" w:rsidP="0083075A">
      <w:pPr>
        <w:spacing w:after="0" w:line="240" w:lineRule="auto"/>
        <w:jc w:val="both"/>
        <w:rPr>
          <w:rFonts w:ascii="Times New Roman" w:hAnsi="Times New Roman" w:cs="Times New Roman"/>
          <w:color w:val="0070C0"/>
          <w:sz w:val="16"/>
          <w:szCs w:val="16"/>
        </w:rPr>
      </w:pPr>
    </w:p>
    <w:p w14:paraId="4C0C3658" w14:textId="7101055A"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2F2FDF">
        <w:rPr>
          <w:rFonts w:ascii="Times New Roman" w:hAnsi="Times New Roman" w:cs="Times New Roman"/>
          <w:i/>
          <w:iCs/>
          <w:color w:val="000000" w:themeColor="text1"/>
          <w:kern w:val="2"/>
          <w:sz w:val="16"/>
          <w:szCs w:val="16"/>
        </w:rPr>
        <w:t>За</w:t>
      </w:r>
      <w:r w:rsidRPr="002F2FDF">
        <w:rPr>
          <w:rFonts w:ascii="Times New Roman" w:hAnsi="Times New Roman" w:cs="Times New Roman"/>
          <w:i/>
          <w:iCs/>
          <w:color w:val="000000" w:themeColor="text1"/>
          <w:kern w:val="2"/>
          <w:sz w:val="16"/>
          <w:szCs w:val="16"/>
          <w:lang w:val="en-US"/>
        </w:rPr>
        <w:t xml:space="preserve"> </w:t>
      </w:r>
      <w:r w:rsidRPr="002F2FDF">
        <w:rPr>
          <w:rFonts w:ascii="Times New Roman" w:hAnsi="Times New Roman" w:cs="Times New Roman"/>
          <w:i/>
          <w:iCs/>
          <w:color w:val="000000" w:themeColor="text1"/>
          <w:kern w:val="2"/>
          <w:sz w:val="16"/>
          <w:szCs w:val="16"/>
        </w:rPr>
        <w:t>рубежом</w:t>
      </w:r>
      <w:r w:rsidRPr="002F2FDF">
        <w:rPr>
          <w:rFonts w:ascii="Times New Roman" w:hAnsi="Times New Roman" w:cs="Times New Roman"/>
          <w:i/>
          <w:iCs/>
          <w:color w:val="000000" w:themeColor="text1"/>
          <w:kern w:val="2"/>
          <w:sz w:val="16"/>
          <w:szCs w:val="16"/>
          <w:lang w:val="en-US"/>
        </w:rPr>
        <w:t>:</w:t>
      </w:r>
    </w:p>
    <w:p w14:paraId="0B8DA4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53EA27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January 31, 1917 Germany announces resumption of unrestricted U-boat warfare (1067).</w:t>
      </w:r>
    </w:p>
    <w:p w14:paraId="590184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A3E21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января 1917 Германия объявила возобновление неограниченной подводной войны (1067).</w:t>
      </w:r>
    </w:p>
    <w:p w14:paraId="2C98BC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7490D9" w14:textId="77777777" w:rsidR="00570C45" w:rsidRPr="002F2FDF" w:rsidRDefault="00570C45" w:rsidP="0083075A">
      <w:pPr>
        <w:pStyle w:val="ae"/>
        <w:spacing w:before="0" w:after="0"/>
        <w:jc w:val="both"/>
        <w:rPr>
          <w:color w:val="000000" w:themeColor="text1"/>
          <w:kern w:val="2"/>
          <w:sz w:val="16"/>
          <w:szCs w:val="16"/>
        </w:rPr>
      </w:pPr>
      <w:r w:rsidRPr="002F2FDF">
        <w:rPr>
          <w:color w:val="000000" w:themeColor="text1"/>
          <w:kern w:val="2"/>
          <w:sz w:val="16"/>
          <w:szCs w:val="16"/>
        </w:rPr>
        <w:t>18 (31) января 1917 кайзер Германии Вильгельм II подписал приказ о начале «неограниченной подводной войны». Германским подлодкам было разрешено без предупреждения топить все гражданские суда вне зависимости от флага, не соблюдая Гаагские и Женевскую конвенции, в зоне вокруг Британских островов, в Бискайском заливе и Средиземном море к востоку от Испании. Этой мерой германский генералитет рассчитывал подорвать военный потенциал Франции и Великобритании, зависевших от поставок продовольствия, сырья и вооружений из США и колоний.</w:t>
      </w:r>
    </w:p>
    <w:p w14:paraId="64E5D482" w14:textId="77777777" w:rsidR="00570C45" w:rsidRPr="002F2FDF" w:rsidRDefault="00570C45" w:rsidP="0083075A">
      <w:pPr>
        <w:pStyle w:val="ae"/>
        <w:spacing w:before="0" w:after="0"/>
        <w:jc w:val="both"/>
        <w:rPr>
          <w:color w:val="000000" w:themeColor="text1"/>
          <w:kern w:val="2"/>
          <w:sz w:val="16"/>
          <w:szCs w:val="16"/>
        </w:rPr>
      </w:pPr>
      <w:r w:rsidRPr="002F2FDF">
        <w:rPr>
          <w:color w:val="000000" w:themeColor="text1"/>
          <w:kern w:val="2"/>
          <w:sz w:val="16"/>
          <w:szCs w:val="16"/>
        </w:rPr>
        <w:t>Когда премьер-министр Германии Теобальд фон Бетман-Гольвег узнал об этом решении, он заявил: «С Германией теперь покончено», предвидя неминуемое скорое вступление в войну США. Правительство этой страны ранее неоднократно предупреждало Германию, что расценит атаки на свои корабли как акт агрессии.</w:t>
      </w:r>
    </w:p>
    <w:p w14:paraId="60166CD8" w14:textId="77777777" w:rsidR="00570C45" w:rsidRPr="002F2FDF" w:rsidRDefault="00570C45" w:rsidP="0083075A">
      <w:pPr>
        <w:pStyle w:val="ae"/>
        <w:spacing w:before="0" w:after="0"/>
        <w:jc w:val="both"/>
        <w:rPr>
          <w:color w:val="000000" w:themeColor="text1"/>
          <w:kern w:val="2"/>
          <w:sz w:val="16"/>
          <w:szCs w:val="16"/>
        </w:rPr>
      </w:pPr>
      <w:r w:rsidRPr="002F2FDF">
        <w:rPr>
          <w:color w:val="000000" w:themeColor="text1"/>
          <w:kern w:val="2"/>
          <w:sz w:val="16"/>
          <w:szCs w:val="16"/>
        </w:rPr>
        <w:t>Действительно, уже 3 февраля из Берлина был отозван американский посол Жерар. В этот же день президент США Вудро Вильсон попросил у Сената «разрешения применять все средства, которые могут стать необходимыми для защиты американских кораблей и граждан при выполнении ими мирной деятельности». В завершение речи он заявил: «Мы не думаем только о защите наших материальных интересов; мы также хотим защитить фундаментальные права человечества, без которых не может быть цивилизации».</w:t>
      </w:r>
    </w:p>
    <w:p w14:paraId="575A90B4" w14:textId="77777777" w:rsidR="00570C45" w:rsidRPr="002F2FDF" w:rsidRDefault="00570C45" w:rsidP="0083075A">
      <w:pPr>
        <w:pStyle w:val="ae"/>
        <w:spacing w:before="0" w:after="0"/>
        <w:jc w:val="both"/>
        <w:rPr>
          <w:color w:val="000000" w:themeColor="text1"/>
          <w:kern w:val="2"/>
          <w:sz w:val="16"/>
          <w:szCs w:val="16"/>
        </w:rPr>
      </w:pPr>
      <w:r w:rsidRPr="002F2FDF">
        <w:rPr>
          <w:color w:val="000000" w:themeColor="text1"/>
          <w:kern w:val="2"/>
          <w:sz w:val="16"/>
          <w:szCs w:val="16"/>
        </w:rPr>
        <w:t>К 1 февраля у Германии имелось 105 боевых субмарин, 23 из которых действовали в Средиземном море, 46 — в северной Атлантике, 10 — на Балтике, 23 находились на базах в Бельгии, 3 — в Стамбуле (17045).</w:t>
      </w:r>
    </w:p>
    <w:p w14:paraId="486E3B5B" w14:textId="77777777" w:rsidR="00570C45" w:rsidRPr="002F2FDF" w:rsidRDefault="00570C4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E7F67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8E6F5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77E5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января (1 февраля) 1917 начальник канцелярии Полевого г-и авиации издал циркуляр N 1630 предписавший "во всех отчетах, телеграммах и всяческой переписке вместо слов "аэроплан", "аппарат" и т.п. употреблять только "самолет" (3616).</w:t>
      </w:r>
    </w:p>
    <w:p w14:paraId="759AB3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EC0E8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 января </w:t>
      </w:r>
      <w:r w:rsidR="00E44BC9" w:rsidRPr="002F2FDF">
        <w:rPr>
          <w:rFonts w:ascii="Times New Roman" w:hAnsi="Times New Roman" w:cs="Times New Roman"/>
          <w:color w:val="000000" w:themeColor="text1"/>
          <w:kern w:val="2"/>
          <w:sz w:val="16"/>
          <w:szCs w:val="16"/>
        </w:rPr>
        <w:t xml:space="preserve">(1 февраля) </w:t>
      </w:r>
      <w:r w:rsidRPr="002F2FDF">
        <w:rPr>
          <w:rFonts w:ascii="Times New Roman" w:hAnsi="Times New Roman" w:cs="Times New Roman"/>
          <w:color w:val="000000" w:themeColor="text1"/>
          <w:kern w:val="2"/>
          <w:sz w:val="16"/>
          <w:szCs w:val="16"/>
        </w:rPr>
        <w:t>1917 Начальник канцелярии Полевого генерал-инспек</w:t>
      </w:r>
      <w:r w:rsidRPr="002F2FDF">
        <w:rPr>
          <w:rFonts w:ascii="Times New Roman" w:hAnsi="Times New Roman" w:cs="Times New Roman"/>
          <w:color w:val="000000" w:themeColor="text1"/>
          <w:kern w:val="2"/>
          <w:sz w:val="16"/>
          <w:szCs w:val="16"/>
        </w:rPr>
        <w:softHyphen/>
        <w:t xml:space="preserve">тора авиации издал циркуляр № 1630, в котором предписывалось; "Во всех отчетах, телеграммах и всякой переписке вместо </w:t>
      </w:r>
      <w:r w:rsidRPr="002F2FDF">
        <w:rPr>
          <w:rFonts w:ascii="Times New Roman" w:hAnsi="Times New Roman" w:cs="Times New Roman"/>
          <w:smallCaps/>
          <w:color w:val="000000" w:themeColor="text1"/>
          <w:kern w:val="2"/>
          <w:sz w:val="16"/>
          <w:szCs w:val="16"/>
        </w:rPr>
        <w:t xml:space="preserve">слое </w:t>
      </w:r>
      <w:r w:rsidRPr="002F2FDF">
        <w:rPr>
          <w:rFonts w:ascii="Times New Roman" w:hAnsi="Times New Roman" w:cs="Times New Roman"/>
          <w:color w:val="000000" w:themeColor="text1"/>
          <w:kern w:val="2"/>
          <w:sz w:val="16"/>
          <w:szCs w:val="16"/>
        </w:rPr>
        <w:t>"аэроплан", "аппарат" и т.п. употреблять только одно "само</w:t>
      </w:r>
      <w:r w:rsidRPr="002F2FDF">
        <w:rPr>
          <w:rFonts w:ascii="Times New Roman" w:hAnsi="Times New Roman" w:cs="Times New Roman"/>
          <w:color w:val="000000" w:themeColor="text1"/>
          <w:kern w:val="2"/>
          <w:sz w:val="16"/>
          <w:szCs w:val="16"/>
        </w:rPr>
        <w:softHyphen/>
        <w:t>лет". (ЦГВИА. ф.493, оп. 3, д.53, л.22).</w:t>
      </w:r>
    </w:p>
    <w:p w14:paraId="5CF51AB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8F6986" w14:textId="77777777" w:rsidR="00640265" w:rsidRDefault="00640265"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19 января</w:t>
      </w:r>
      <w:r>
        <w:rPr>
          <w:rFonts w:ascii="Times New Roman" w:hAnsi="Times New Roman" w:cs="Times New Roman"/>
          <w:color w:val="0070C0"/>
          <w:sz w:val="16"/>
          <w:szCs w:val="16"/>
        </w:rPr>
        <w:t xml:space="preserve"> (1 февраля) 1916 г. </w:t>
      </w:r>
      <w:r w:rsidRPr="00815ED5">
        <w:rPr>
          <w:rFonts w:ascii="Times New Roman" w:hAnsi="Times New Roman" w:cs="Times New Roman"/>
          <w:color w:val="0070C0"/>
          <w:sz w:val="16"/>
          <w:szCs w:val="16"/>
        </w:rPr>
        <w:t xml:space="preserve">Начальник канцелярии Полевого генерал-инспектора авиации издал циркуляр </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1630,</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 котором предписывалось</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«во всех отче</w:t>
      </w:r>
      <w:r w:rsidRPr="00815ED5">
        <w:rPr>
          <w:rFonts w:ascii="Times New Roman" w:hAnsi="Times New Roman" w:cs="Times New Roman"/>
          <w:color w:val="0070C0"/>
          <w:sz w:val="16"/>
          <w:szCs w:val="16"/>
        </w:rPr>
        <w:softHyphen/>
        <w:t>тах, телеграммах и всякой переписке вместо слов «аэроплан",</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“аппарат"</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и т.п.</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употреблять только одно "самолет"</w:t>
      </w:r>
      <w:r>
        <w:rPr>
          <w:rFonts w:ascii="Times New Roman" w:hAnsi="Times New Roman" w:cs="Times New Roman"/>
          <w:color w:val="0070C0"/>
          <w:sz w:val="16"/>
          <w:szCs w:val="16"/>
        </w:rPr>
        <w:t>.</w:t>
      </w:r>
    </w:p>
    <w:p w14:paraId="16CFE5AA" w14:textId="77777777" w:rsidR="00640265" w:rsidRDefault="00640265"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ЦГ</w:t>
      </w:r>
      <w:r w:rsidRPr="00815ED5">
        <w:rPr>
          <w:rFonts w:ascii="Times New Roman" w:hAnsi="Times New Roman" w:cs="Times New Roman"/>
          <w:color w:val="0070C0"/>
          <w:sz w:val="16"/>
          <w:szCs w:val="16"/>
        </w:rPr>
        <w:t>ВИ</w:t>
      </w:r>
      <w:r>
        <w:rPr>
          <w:rFonts w:ascii="Times New Roman" w:hAnsi="Times New Roman" w:cs="Times New Roman"/>
          <w:color w:val="0070C0"/>
          <w:sz w:val="16"/>
          <w:szCs w:val="16"/>
        </w:rPr>
        <w:t>А</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w:t>
      </w:r>
      <w:r>
        <w:rPr>
          <w:rFonts w:ascii="Times New Roman" w:hAnsi="Times New Roman" w:cs="Times New Roman"/>
          <w:color w:val="0070C0"/>
          <w:sz w:val="16"/>
          <w:szCs w:val="16"/>
        </w:rPr>
        <w:t>93</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3,</w:t>
      </w:r>
      <w:r>
        <w:rPr>
          <w:rFonts w:ascii="Times New Roman" w:hAnsi="Times New Roman" w:cs="Times New Roman"/>
          <w:color w:val="0070C0"/>
          <w:sz w:val="16"/>
          <w:szCs w:val="16"/>
        </w:rPr>
        <w:t xml:space="preserve"> д</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53,</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22/</w:t>
      </w:r>
      <w:r>
        <w:rPr>
          <w:rFonts w:ascii="Times New Roman" w:hAnsi="Times New Roman" w:cs="Times New Roman"/>
          <w:color w:val="0070C0"/>
          <w:sz w:val="16"/>
          <w:szCs w:val="16"/>
        </w:rPr>
        <w:t xml:space="preserve"> (23320).</w:t>
      </w:r>
    </w:p>
    <w:p w14:paraId="40AA7623" w14:textId="77777777" w:rsidR="00640265" w:rsidRPr="00815ED5" w:rsidRDefault="00640265" w:rsidP="0083075A">
      <w:pPr>
        <w:spacing w:after="0" w:line="240" w:lineRule="auto"/>
        <w:jc w:val="both"/>
        <w:rPr>
          <w:rFonts w:ascii="Times New Roman" w:hAnsi="Times New Roman" w:cs="Times New Roman"/>
          <w:color w:val="0070C0"/>
          <w:sz w:val="16"/>
          <w:szCs w:val="16"/>
        </w:rPr>
      </w:pPr>
    </w:p>
    <w:p w14:paraId="420FC77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264BF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10C19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января (1 февраля) 1917 г. проект созданию “вездехода” № 2, или “вездехода 1916 г.” А.Пороховщикова поступил в отдел автомобильной части ГВТУ, но в марте ввиду начавшихся беспорядков в стране, работы по нему были прекращены (10733,25).</w:t>
      </w:r>
    </w:p>
    <w:p w14:paraId="03DEB30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8664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января (1 февраля) 1917 года проект Вездехода-2 Пороховщикова поступил в броневой отдел автомобильной части Главного военно-технического управления. Его экспертиза и обсуждение затянулись на срок более десяти месяцев. Помимо проекта была выполнена модель “Вездехода-2”. Сохранившиесядокументы позволяют получить довольно полное представление об егоустройстве. Ходовая часть “Вездехода-2” сочетает элементы ходовой частиавтомобиля и гусеничного трактора. Резиновая бесконечная лента, расположенная под днищемкорпуса, охватывает четыре подрессоренных барабана. Задний барабан связанцепью с силовой передачей и является ведущим. На одной оси с ним жесткопосажены автомобильные колеса, имеющие больший диаметр, чем барабан. Передний барабан, снабженный пружинным устройством, приподнят, что улучшаетпреодоление препятствий. На одной оси со вторым барабаном посажены передниеколеса, с помощью которых (как у автомобиля) выполняются повороты. При движении по дороге с твердым покровом “Вездеход-2” опирался на грунттолько колесами и двигался, как автомобиль; гусеница перематываласьвхолостую. На рыхлой почве колеса погружались в грунт, гусеница садилась нагрунт и начиналось движение на гусеничном ходу. Поворот и в этом случаеосуществлялся с помощью тех же колес, что и при движении на колесном ходу. Броневая защита предусматривалась толщиной в 8 мм. Вооружение состояло из 3 или 4 пулеметов. 2—3 пулемета должны были устанавливаться в башне весьмаоригинальной конструкции,допускавшей независимую наводку на цель каждогопулемета отдельно. Двигатель и трансмиссия, а также системы, обеспечивающие их работу,размещались в кормовой части корпуса. В носовой части корпуса находилось отделение управления, а посередине — боевое. Предусматривалась специальнаяперегородка между боевым отделением и отделением силовой установки. Дляосмотра и обслуживания двигателя в перегородке имелись люки (11194).</w:t>
      </w:r>
    </w:p>
    <w:p w14:paraId="6BB8A7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3CD3AB" w14:textId="77777777" w:rsidR="00E706C0" w:rsidRPr="002F2FDF" w:rsidRDefault="00E706C0"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19 января (1 февраля) 1917г. Пороховщиков представил в ГВТУ новый проект и модель, названную «Вездеходом №2», Технический Комитет вынужден был приступить к его рассмотрению.</w:t>
      </w:r>
    </w:p>
    <w:p w14:paraId="2090F85A" w14:textId="77777777" w:rsidR="00E706C0" w:rsidRPr="002F2FDF" w:rsidRDefault="00E706C0"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На этот раз Пороховщиков действительно разработал нечто подобное танку. Идея движителя осталась прежней, но управляемые колеса приняли сходство с автомобильными, такие же колеса появились и на концах заднего барабана. Размеры выросли – ведь теперь машина должна была нести экипаж в 4 человека, броню и вооружение. Здесь Пороховщиков добавил новое свое изобретение – «броневую рубку». «Рубка» (башня) делилась по высоте на три независимо вращающихся пояса, в каждом крепился пулемет «Максим». Еще один «Максим» крепился в лобовом листе корпуса рядом с водителем. Рассмотрение проекта затянулось ввиду наличия у ГВТУ огромного количества более насущных дел. Только 20 сентября Броневое отделение Авточасти ГВТУ рассмотрело этот проект в Журнале №1. Доклад делал инженер-техник отделения Л.Е. Земмеринг (чуть позже – в январе-феврале 1918г. – он возглавлял Исполком Совета Центробронь), указавший на целый ряд общих и частных недостатков «Вездехода №2». Мнение Броневого отделения стоит процитировать. Относительно «броневой рубки»: «а) слишком мала высота отдельных поясов, каковая препятствует проходу одного пулемета над другим, б) работа трех пулеметчиков одновременно по одному борту невозможна в виду недостаточного радиуса рубки, в) работа трех пулеметчиков в противоположных направлениях невозможна по той же причине, г) невозможно устройство термосифонного охлаждения пулеметов, д) не указаны расположение и конструкция сидений пулеметчиков, е) недопустимо катание башни по зубчатым рейкам на роликах.» И далее: «Комиссия находит рассматриваемый проект не заслуживающим внимания». Относительно движителя: «Ввиду того, что при движении по обычной </w:t>
      </w:r>
      <w:r w:rsidRPr="002F2FDF">
        <w:rPr>
          <w:rFonts w:ascii="Times New Roman" w:hAnsi="Times New Roman" w:cs="Times New Roman"/>
          <w:color w:val="000000" w:themeColor="text1"/>
          <w:sz w:val="16"/>
          <w:szCs w:val="16"/>
        </w:rPr>
        <w:lastRenderedPageBreak/>
        <w:t>дороге «Вездеход» перед обычным автомобилем не имеет никаких преимуществ, а наоборот имеет только недостатки, как то: отсутствие дифференциала, наличие одной ленты вместо двух и прочее, а при движении по рыхлой почве автомобиль вовсе не пойдет, ввиду наличия массы различных препятствий, вытекающих из несовершенства конструкции, неминуемого проскальзывания ленты по барабану и невозможности поворотов, Комиссия находит, что проект Вездехода конструктора Пороховщикова в его настоящем виде не заслуживает никакого внимания». Вполне исчерпывающий документ (20250).</w:t>
      </w:r>
    </w:p>
    <w:p w14:paraId="74945521" w14:textId="77777777" w:rsidR="00E706C0" w:rsidRPr="002F2FDF" w:rsidRDefault="00E706C0" w:rsidP="0083075A">
      <w:pPr>
        <w:spacing w:after="0" w:line="240" w:lineRule="auto"/>
        <w:jc w:val="both"/>
        <w:rPr>
          <w:rFonts w:ascii="Times New Roman" w:hAnsi="Times New Roman" w:cs="Times New Roman"/>
          <w:color w:val="000000" w:themeColor="text1"/>
          <w:sz w:val="16"/>
          <w:szCs w:val="16"/>
        </w:rPr>
      </w:pPr>
    </w:p>
    <w:p w14:paraId="25F817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января (1 февраля) 1917 г. он представил в ГВТУ проект и модель «Вездехода №2». Это уже действительно было нечто подобное танку с экипажем в 4 человека и «броневой рубкой». Последняя состояла из трех независимо вращающихся поясов с пулеметом «Максим» в каждом. Еще один «Максим» крепился в лобовом листе корпуса. Идея движителя осталась прежней, добавились только колеса на концах заднего барабана (11745).</w:t>
      </w:r>
    </w:p>
    <w:p w14:paraId="39A02A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98765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400A1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35FB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января (1 февраля) 1917 г. вышел доклад начальника артиллерии Кавказского военного округа за № 2, согласно которому работа Тифлисского артиллерийского склада мало чем отличалась от работы других артиллерийских складов, попавших в подчинение фронтовым органам артспабжения. При существовавшем во время войны штате Тифлисский артсклад был поставлен в весьма затруднительное, даже в безвыходное положение при выполнении вечно напряженной и всегда спешной работы по отпуску как вновь формируемым, так и состоящим на фронте частям войск артиллерийского имущества, возросшей по крайней мере в пять раз против мирного времени. Переписка склада возросла также в пять раз против мирного времени (11483).</w:t>
      </w:r>
    </w:p>
    <w:p w14:paraId="5D05BC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047696" w14:textId="7924783B" w:rsidR="00CC247A" w:rsidRPr="00FB4F67" w:rsidRDefault="00CC247A"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19 января (</w:t>
      </w:r>
      <w:r w:rsidRPr="00FB4F67">
        <w:rPr>
          <w:rFonts w:ascii="Times New Roman" w:hAnsi="Times New Roman" w:cs="Times New Roman"/>
          <w:color w:val="0070C0"/>
          <w:sz w:val="16"/>
          <w:szCs w:val="16"/>
        </w:rPr>
        <w:t>1 февраля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австро-венгры сообщили, что с начала войны они взяли в плен более 853 000 русских (23525).</w:t>
      </w:r>
    </w:p>
    <w:p w14:paraId="174616FC" w14:textId="77777777" w:rsidR="00CC247A" w:rsidRPr="00FB4F67" w:rsidRDefault="00CC247A" w:rsidP="0083075A">
      <w:pPr>
        <w:spacing w:after="0" w:line="240" w:lineRule="auto"/>
        <w:jc w:val="both"/>
        <w:rPr>
          <w:rFonts w:ascii="Times New Roman" w:hAnsi="Times New Roman" w:cs="Times New Roman"/>
          <w:color w:val="0070C0"/>
          <w:sz w:val="16"/>
          <w:szCs w:val="16"/>
        </w:rPr>
      </w:pPr>
    </w:p>
    <w:p w14:paraId="76EC87C0" w14:textId="54EB6767" w:rsidR="00CC247A" w:rsidRPr="00FB4F67" w:rsidRDefault="00CC247A"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19 января (</w:t>
      </w:r>
      <w:r w:rsidRPr="00FB4F67">
        <w:rPr>
          <w:rFonts w:ascii="Times New Roman" w:hAnsi="Times New Roman" w:cs="Times New Roman"/>
          <w:color w:val="0070C0"/>
          <w:sz w:val="16"/>
          <w:szCs w:val="16"/>
        </w:rPr>
        <w:t>1 февраля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Ставка приказала создать должности офицеров штаба авиации, которые должны были занимать офицеры Генерального штаба с летным опытом и теоретическими знаниями. Каждый человек должен знать предполагаемые операции и общие условия на фронте для правильного тактического применения авиации. На них же следует возложить ответственность за взаимодействие авиации с пехотой и артиллерией и за сбор разведданных об авиации противника. Такие должности предполагалось создать в Штабе Главного Командования (Ставки) и в аппарате генерал-фельдшера-инспектора Военно-Воздушного Флота (23525).</w:t>
      </w:r>
    </w:p>
    <w:p w14:paraId="6B20D885" w14:textId="77777777" w:rsidR="00CC247A" w:rsidRPr="00FB4F67" w:rsidRDefault="00CC247A" w:rsidP="0083075A">
      <w:pPr>
        <w:spacing w:after="0" w:line="240" w:lineRule="auto"/>
        <w:jc w:val="both"/>
        <w:rPr>
          <w:rFonts w:ascii="Times New Roman" w:hAnsi="Times New Roman" w:cs="Times New Roman"/>
          <w:color w:val="0070C0"/>
          <w:sz w:val="16"/>
          <w:szCs w:val="16"/>
        </w:rPr>
      </w:pPr>
    </w:p>
    <w:p w14:paraId="40195BA3" w14:textId="77777777" w:rsidR="000E76F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r w:rsidR="000E76F1" w:rsidRPr="002F2FDF">
        <w:rPr>
          <w:rFonts w:ascii="Times New Roman" w:hAnsi="Times New Roman" w:cs="Times New Roman"/>
          <w:iCs/>
          <w:color w:val="000000" w:themeColor="text1"/>
          <w:kern w:val="2"/>
          <w:sz w:val="16"/>
          <w:szCs w:val="16"/>
        </w:rPr>
        <w:t>:</w:t>
      </w:r>
    </w:p>
    <w:p w14:paraId="27DD5A1A" w14:textId="77777777" w:rsidR="000E76F1" w:rsidRPr="002F2FDF" w:rsidRDefault="000E76F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D661C5" w14:textId="77777777" w:rsidR="000E76F1" w:rsidRPr="002F2FDF" w:rsidRDefault="000E76F1"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января (1 февраля) 1917 перебои с хлебом в Петрограде (17025).</w:t>
      </w:r>
    </w:p>
    <w:p w14:paraId="4871C9F6" w14:textId="77777777" w:rsidR="000E76F1" w:rsidRPr="002F2FDF" w:rsidRDefault="000E76F1"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5DC4E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38577F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D36E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C 19 января по 7 февраля (с 1 по 20 февраля) 1917 в Петербурге прошла конференция союзников и рассматривали план кампании на 1917 (2443,20).</w:t>
      </w:r>
    </w:p>
    <w:p w14:paraId="3D4EA8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95DFC6" w14:textId="77777777" w:rsidR="00570C45" w:rsidRPr="002F2FDF" w:rsidRDefault="00570C45" w:rsidP="0083075A">
      <w:pPr>
        <w:pStyle w:val="ae"/>
        <w:spacing w:before="0" w:after="0"/>
        <w:jc w:val="both"/>
        <w:rPr>
          <w:color w:val="000000" w:themeColor="text1"/>
          <w:kern w:val="2"/>
          <w:sz w:val="16"/>
          <w:szCs w:val="16"/>
        </w:rPr>
      </w:pPr>
      <w:r w:rsidRPr="002F2FDF">
        <w:rPr>
          <w:color w:val="000000" w:themeColor="text1"/>
          <w:kern w:val="2"/>
          <w:sz w:val="16"/>
          <w:szCs w:val="16"/>
        </w:rPr>
        <w:t>19 января (1 февраля) 1917 в Петрограде начала работу конференция представителей стран Антанты, на которой предполагалось обсудить согласованные действия армий союзников в предстоящую кампанию 1917 года. Делегаты Франции, Англии и Италии прибыли в Россию по морю через порт Романов-на-Мурмане (ныне Мурманск), откуда проследовали поездом по только построенной железной дороге. Специально выделенный для иностранных гостей состав стал первым пассажирским поездом, проследовавшим по маршруту от порта до Петрограда в рабочем режиме. Сама конференция, впрочем, оказалась почти безрезультатной. Французский посол в России Михаил Палеолог так описал ее ход: «С первых же слов становится ясно, что делегаты западных держав получили лишь неопределенные инструкции, у них нет никакого направляющего принципа для координирования усилий союзников, никакой программы коллективного действия для ускорения общей победы» (17045).</w:t>
      </w:r>
    </w:p>
    <w:p w14:paraId="49B66F38" w14:textId="77777777" w:rsidR="00570C45" w:rsidRPr="002F2FDF" w:rsidRDefault="00570C4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D58B5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94F53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FEA2FD" w14:textId="77777777" w:rsidR="00384EC0" w:rsidRPr="002F2FDF" w:rsidRDefault="00384EC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19 января (1 февраля) 1917 г. Карл Майер Румплером 6В1 принудил к посадке у Бредене на побережье Западной Фландрии истребитель Сопвич «Пап». Почему англичанин хотя бы не сбежал, имея на 30 км/ч большую скорость, на треть лучшую скороподъемность и втрое меньший радиус виража, никто не стал разбираться, зато слава о том, какой хороший истребитель сделал «Румплер», пошла далеко (22841).</w:t>
      </w:r>
    </w:p>
    <w:p w14:paraId="01BF9630" w14:textId="77777777" w:rsidR="00384EC0" w:rsidRPr="002F2FDF" w:rsidRDefault="00384EC0" w:rsidP="0083075A">
      <w:pPr>
        <w:spacing w:after="0" w:line="240" w:lineRule="auto"/>
        <w:jc w:val="both"/>
        <w:rPr>
          <w:rFonts w:ascii="Times New Roman" w:hAnsi="Times New Roman" w:cs="Times New Roman"/>
          <w:color w:val="000000" w:themeColor="text1"/>
          <w:sz w:val="16"/>
          <w:szCs w:val="16"/>
        </w:rPr>
      </w:pPr>
    </w:p>
    <w:p w14:paraId="7703953A" w14:textId="77777777" w:rsidR="009665DE" w:rsidRPr="002F2FDF" w:rsidRDefault="009665DE"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К 19 января (1 февраля) 1917 собственные команды и базовый персонал Альхорна и Нордхольца завершили работы на L.35, L.36, L.39 и L.40 с фактическим облегчением, варьировавшимся от 1845 кг на L.35 до 2220 кг на L.39. В следующие два дня корабли прошли высотные испытания, продемонстрировавшие явный успех затеи: L.35 поднялся на 4900 метров, всё ещё сохраняя на борту 7070 кг полезной нагрузки, L.36, загруженный несколько меньше, показал статический потолок 5400 метров, а L.40 набрал высоту 5200 метров.</w:t>
      </w:r>
    </w:p>
    <w:p w14:paraId="5F80BE57" w14:textId="77777777" w:rsidR="009665DE" w:rsidRPr="002F2FDF" w:rsidRDefault="009665DE"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На больших высотах температура воздуха падала до −29°C, и водяной балласт, несмотря на наличие в нём глицерина, замерзал, поэтому часть воды решили заменить мешками с песком. Среди экипажей имелись случаи лёгкого головокружения и учащения пульса, но всего несколько вдохов кислорода надёжно избавляли от этих симптомов.</w:t>
      </w:r>
    </w:p>
    <w:p w14:paraId="6912FB93" w14:textId="77777777" w:rsidR="009665DE" w:rsidRPr="002F2FDF" w:rsidRDefault="009665DE"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Каких-либо других недостатков испытания не выявили, и Штрассер уверился, что его люди и техника полностью готовы к будущим операциям. Однако проведённые полёты были короткими — только на подъём до практического потолка и сразу обратно. Пара часов на холоде и при недостатке кислорода — это совсем не то, что 6–10 часов такого режима во время боевого вылета, но экспериментами с полной имитацией дальнего рейда не озаботились ни сам командующий, ни его офицеры, включая медиков. Никто не представлял, с чем вскоре придётся столкнуться командам дирижаблей.</w:t>
      </w:r>
    </w:p>
    <w:p w14:paraId="184A2CCB" w14:textId="77777777" w:rsidR="009665DE" w:rsidRPr="002F2FDF" w:rsidRDefault="009665DE"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Вслед за первой четвёркой решили всё же переоборудовать и L.41, а L.30 и L.37 так и остались невысотными, и в мае их перевели на Восточный фронт.</w:t>
      </w:r>
    </w:p>
    <w:p w14:paraId="70A51AEB" w14:textId="77777777" w:rsidR="009665DE" w:rsidRPr="002F2FDF" w:rsidRDefault="009665DE"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На момент принятия решения о повышении высотности дирижаблей корабли типа R строились на пяти стапелях трёх разных верфей, и за исключением двух кораблей последнего армейского заказа все они были завершены уже в модифицированном виде.</w:t>
      </w:r>
    </w:p>
    <w:p w14:paraId="0906ABE6" w14:textId="77777777" w:rsidR="009665DE" w:rsidRPr="002F2FDF" w:rsidRDefault="009665DE"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Первые два корабля — L.42 и L.43 — были обозначены как тип S. Новая трансмиссия была ещё далека до готовности, поэтому кормовую гондолу корабли имели как у фронтовых конверсий. По корпусу доработок сделали больше: верхние платформы монтировать не стали и провели общее облегчение конструкции, в том числе убрав один из шпангоутов в носовой части, заодно объединили две ячейки и увеличили максимальный объём газа на 300 м³. Все эти меры дали экономию веса по сравнению с L.40 на 3250 кг и повышение статического потолка до 5000 метров, а динамического, с боевой нагрузкой — до 6000 метров (19156).</w:t>
      </w:r>
    </w:p>
    <w:p w14:paraId="5FFD5A37" w14:textId="77777777" w:rsidR="009665DE" w:rsidRPr="002F2FDF" w:rsidRDefault="009665DE" w:rsidP="0083075A">
      <w:pPr>
        <w:spacing w:after="0" w:line="240" w:lineRule="auto"/>
        <w:jc w:val="both"/>
        <w:rPr>
          <w:rFonts w:ascii="Times New Roman" w:hAnsi="Times New Roman" w:cs="Times New Roman"/>
          <w:sz w:val="16"/>
          <w:szCs w:val="16"/>
        </w:rPr>
      </w:pPr>
    </w:p>
    <w:p w14:paraId="734FFA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января (1 февраля) 1917 Германия начала неограниченную подводную войну (2252).</w:t>
      </w:r>
    </w:p>
    <w:p w14:paraId="5E4259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7B003C" w14:textId="77777777" w:rsidR="001C638F" w:rsidRPr="002F2FDF" w:rsidRDefault="001C638F"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К 19 января (1 февраля) 1917 года все исправные подводные лодки кайзерфлота были направлены в море для начала неограниченной подводной войны. Их командирам были вручены инструкции, где говорилось: «Необходимо действовать энергично и прежде всего быстро. Подводная война должна вестись с величайшим напряжением. Ни одного корабля не оставлять на поверхности моря. Надо принудить Англию к заключению мира и таким образом закончить войну». И еще: «Если вам представится выбор потопить броненосец или большое коммерческое судно — изберите последнее» (17007).</w:t>
      </w:r>
    </w:p>
    <w:p w14:paraId="33C4C894" w14:textId="77777777" w:rsidR="001C638F" w:rsidRPr="002F2FDF" w:rsidRDefault="001C638F"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p>
    <w:p w14:paraId="1F4F93E2" w14:textId="77777777" w:rsidR="00570C45" w:rsidRPr="002F2FDF" w:rsidRDefault="00570C45" w:rsidP="0083075A">
      <w:pPr>
        <w:pStyle w:val="ae"/>
        <w:spacing w:before="0" w:after="0"/>
        <w:jc w:val="both"/>
        <w:rPr>
          <w:color w:val="000000" w:themeColor="text1"/>
          <w:kern w:val="2"/>
          <w:sz w:val="16"/>
          <w:szCs w:val="16"/>
        </w:rPr>
      </w:pPr>
      <w:r w:rsidRPr="002F2FDF">
        <w:rPr>
          <w:color w:val="000000" w:themeColor="text1"/>
          <w:kern w:val="2"/>
          <w:sz w:val="16"/>
          <w:szCs w:val="16"/>
        </w:rPr>
        <w:t>К 19 января (1 февраля) 1917 у Германии имелось 105 боевых субмарин, 23 из которых действовали в Средиземном море, 46 — в северной Атлантике, 10 — на Балтике, 23 находились на базах в Бельгии, 3 — в Стамбуле (17045).</w:t>
      </w:r>
    </w:p>
    <w:p w14:paraId="4AE90ED5" w14:textId="77777777" w:rsidR="00570C45" w:rsidRPr="002F2FDF" w:rsidRDefault="00570C4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EAD107" w14:textId="77777777" w:rsidR="00D130CE" w:rsidRPr="002F2FDF" w:rsidRDefault="00D130C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января 1917 г. (1 февраля 1917 г.). Германские подлодки начали неограниченную подводную войну. Все суда, в т.ч. и стран нейтральных могли быть атакованы и потоплены. Это привело к объявлению США 5 апреля 1917 г.н.с. войны Германии. Вступление заокеанского промышленного гиганта в мировую войну решило дело (17326).</w:t>
      </w:r>
    </w:p>
    <w:p w14:paraId="7061D69A" w14:textId="77777777" w:rsidR="00D130CE" w:rsidRPr="002F2FDF" w:rsidRDefault="00D130C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72C2B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1A4A8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D545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января (2 февраля) 1917, исчерпав все возможности уговорить рабочих, бывший демократ и радетель прав угнетенных, директор РБВЗ В.И.Ярковский обратился с воззванием, в котором в же</w:t>
      </w:r>
      <w:r w:rsidRPr="002F2FDF">
        <w:rPr>
          <w:rFonts w:ascii="Times New Roman" w:hAnsi="Times New Roman" w:cs="Times New Roman"/>
          <w:color w:val="000000" w:themeColor="text1"/>
          <w:kern w:val="2"/>
          <w:sz w:val="16"/>
          <w:szCs w:val="16"/>
        </w:rPr>
        <w:softHyphen/>
        <w:t>сткой форме потребовал покончить с саботажем, угро</w:t>
      </w:r>
      <w:r w:rsidRPr="002F2FDF">
        <w:rPr>
          <w:rFonts w:ascii="Times New Roman" w:hAnsi="Times New Roman" w:cs="Times New Roman"/>
          <w:color w:val="000000" w:themeColor="text1"/>
          <w:kern w:val="2"/>
          <w:sz w:val="16"/>
          <w:szCs w:val="16"/>
        </w:rPr>
        <w:softHyphen/>
        <w:t>жая различными карами. В одном из пунктов его воззвания говорилось: “Рабочие, уличенные в уговари</w:t>
      </w:r>
      <w:r w:rsidRPr="002F2FDF">
        <w:rPr>
          <w:rFonts w:ascii="Times New Roman" w:hAnsi="Times New Roman" w:cs="Times New Roman"/>
          <w:color w:val="000000" w:themeColor="text1"/>
          <w:kern w:val="2"/>
          <w:sz w:val="16"/>
          <w:szCs w:val="16"/>
        </w:rPr>
        <w:softHyphen/>
        <w:t>вании своих товарищей к прекращению работы, будут немедленно и беспрекословно увольняемы без преду</w:t>
      </w:r>
      <w:r w:rsidRPr="002F2FDF">
        <w:rPr>
          <w:rFonts w:ascii="Times New Roman" w:hAnsi="Times New Roman" w:cs="Times New Roman"/>
          <w:color w:val="000000" w:themeColor="text1"/>
          <w:kern w:val="2"/>
          <w:sz w:val="16"/>
          <w:szCs w:val="16"/>
        </w:rPr>
        <w:softHyphen/>
        <w:t>преждения” (10667).</w:t>
      </w:r>
    </w:p>
    <w:p w14:paraId="14CBC6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8775AC" w14:textId="1F1F2A0D" w:rsidR="00B75F1E" w:rsidRPr="002F2FDF" w:rsidRDefault="00B75F1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20 января</w:t>
      </w:r>
      <w:r w:rsidR="00CC247A">
        <w:rPr>
          <w:rFonts w:ascii="Times New Roman" w:hAnsi="Times New Roman" w:cs="Times New Roman"/>
          <w:color w:val="000000" w:themeColor="text1"/>
          <w:kern w:val="2"/>
          <w:sz w:val="16"/>
          <w:szCs w:val="16"/>
        </w:rPr>
        <w:t xml:space="preserve"> (2 февраля) </w:t>
      </w:r>
      <w:r w:rsidRPr="002F2FDF">
        <w:rPr>
          <w:rFonts w:ascii="Times New Roman" w:hAnsi="Times New Roman" w:cs="Times New Roman"/>
          <w:color w:val="000000" w:themeColor="text1"/>
          <w:kern w:val="2"/>
          <w:sz w:val="16"/>
          <w:szCs w:val="16"/>
        </w:rPr>
        <w:t xml:space="preserve">1917, исчерпав все возможности уговорить рабочих, бывший демократ и радетель прав угнетенных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директор</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РБВЗ</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В. И. Ярковский обратился с воззванием, в котором в жесткой форме потребовал покончить с саботажем, угрожая различными карами. В одном из пунктов его воззвания говорилось: «Рабочие, уличенные в уговаривании своих товарищей к прекращению работы, будут немедленно и беспрекословно увольняемы без предупреждения». Завод возобновил работу, но ненадолго: с 12 по 14 февраля 1917 г. на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РБВЗ</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прокатилась новая забастовка, в которой участвовало около 400 человек, а через десять дней, 23–24 февраля 1917 г., уже весь завод бастовал вновь.</w:t>
      </w:r>
    </w:p>
    <w:p w14:paraId="2FBA24EC" w14:textId="77777777" w:rsidR="00B75F1E" w:rsidRPr="002F2FDF" w:rsidRDefault="00B75F1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Впрочем, подобное творилось на многих заводах Петрограда — Путиловском, Металлическом, Франко-русском и других. 23 февраля бастовали 43 предприятия (74 тыс. человек), 24 февраля — 131 (158 тыс. человек), 25 февраля — 173 (201 тыс. человек). На улицах проходили демонстрации и митинги. 25 февраля на сторону взбудораженного народа начали переходить солдаты и казаки. 26 февраля запоздалая попытка ареста членов революционных организаций и роспуск Государственной думы вызвали новый взрыв недовольства и привели к переходу на сторону народа частей Петроградского гарнизона. 27 февраля были созданы Временный комитет членов Государственной думы и Петроградский Совет рабочих депутатов (15125).</w:t>
      </w:r>
    </w:p>
    <w:p w14:paraId="1327389F" w14:textId="77777777" w:rsidR="00B75F1E" w:rsidRPr="002F2FDF" w:rsidRDefault="00B75F1E" w:rsidP="0083075A">
      <w:pPr>
        <w:spacing w:after="0" w:line="240" w:lineRule="auto"/>
        <w:jc w:val="both"/>
        <w:rPr>
          <w:rFonts w:ascii="Times New Roman" w:hAnsi="Times New Roman" w:cs="Times New Roman"/>
          <w:color w:val="000000" w:themeColor="text1"/>
          <w:kern w:val="2"/>
          <w:sz w:val="16"/>
          <w:szCs w:val="16"/>
        </w:rPr>
      </w:pPr>
    </w:p>
    <w:p w14:paraId="62B3D8CB" w14:textId="77777777" w:rsidR="009B4CC6" w:rsidRPr="002F2FDF" w:rsidRDefault="009B4CC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890C3F5" w14:textId="77777777" w:rsidR="009B4CC6" w:rsidRPr="002F2FDF" w:rsidRDefault="009B4CC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BA4A2C" w14:textId="077CF7C3" w:rsidR="009B4CC6" w:rsidRPr="002F2FDF" w:rsidRDefault="009B4CC6" w:rsidP="0083075A">
      <w:pPr>
        <w:pStyle w:val="p1"/>
        <w:spacing w:before="0" w:beforeAutospacing="0" w:after="0" w:afterAutospacing="0"/>
        <w:jc w:val="both"/>
        <w:rPr>
          <w:color w:val="000000" w:themeColor="text1"/>
          <w:sz w:val="16"/>
          <w:szCs w:val="16"/>
        </w:rPr>
      </w:pPr>
      <w:r w:rsidRPr="002F2FDF">
        <w:rPr>
          <w:color w:val="000000" w:themeColor="text1"/>
          <w:sz w:val="16"/>
          <w:szCs w:val="16"/>
        </w:rPr>
        <w:t>20/21 января (</w:t>
      </w:r>
      <w:r w:rsidR="00CC247A">
        <w:rPr>
          <w:color w:val="000000" w:themeColor="text1"/>
          <w:sz w:val="16"/>
          <w:szCs w:val="16"/>
        </w:rPr>
        <w:t>2/</w:t>
      </w:r>
      <w:r w:rsidRPr="002F2FDF">
        <w:rPr>
          <w:color w:val="000000" w:themeColor="text1"/>
          <w:sz w:val="16"/>
          <w:szCs w:val="16"/>
        </w:rPr>
        <w:t>3 февраля) 1917 г. Автомобильно-авиационный отдел ЦВПК сообщал Г.Г. Кривошеину в отношении завода Котляренко — Шестернева в Самаре: «Если бы этот завод получил еще заказ на 20 машин упомянутого типа, — то он мог бы развиться в смысле технического оборудования и приобрести в Саратове один из готовых заводов, занятых изготовлением двигателей внутреннего сгорания для нужд волжского пароходства». Отдел считал, что с точки зрения реально ощущаемых потребностей имелись основания для создания в России двух заводов с выпуском по 1500 тракторов в год. Все эти предположения, писал Гольберг, не осуществились (18366).</w:t>
      </w:r>
    </w:p>
    <w:p w14:paraId="09BC4E5B" w14:textId="77777777" w:rsidR="009B4CC6" w:rsidRPr="002F2FDF" w:rsidRDefault="009B4CC6" w:rsidP="0083075A">
      <w:pPr>
        <w:pStyle w:val="p1"/>
        <w:spacing w:before="0" w:beforeAutospacing="0" w:after="0" w:afterAutospacing="0"/>
        <w:jc w:val="both"/>
        <w:rPr>
          <w:color w:val="000000" w:themeColor="text1"/>
          <w:sz w:val="16"/>
          <w:szCs w:val="16"/>
        </w:rPr>
      </w:pPr>
    </w:p>
    <w:p w14:paraId="1816C0C5" w14:textId="6BCADCBB" w:rsidR="009B4CC6" w:rsidRPr="002F2FDF" w:rsidRDefault="009B4CC6" w:rsidP="0083075A">
      <w:pPr>
        <w:pStyle w:val="p1"/>
        <w:spacing w:before="0" w:beforeAutospacing="0" w:after="0" w:afterAutospacing="0"/>
        <w:jc w:val="both"/>
        <w:rPr>
          <w:color w:val="000000" w:themeColor="text1"/>
          <w:sz w:val="16"/>
          <w:szCs w:val="16"/>
        </w:rPr>
      </w:pPr>
      <w:r w:rsidRPr="002F2FDF">
        <w:rPr>
          <w:color w:val="000000" w:themeColor="text1"/>
          <w:sz w:val="16"/>
          <w:szCs w:val="16"/>
        </w:rPr>
        <w:t>20/21 января (</w:t>
      </w:r>
      <w:r w:rsidR="00CC247A">
        <w:rPr>
          <w:color w:val="000000" w:themeColor="text1"/>
          <w:sz w:val="16"/>
          <w:szCs w:val="16"/>
        </w:rPr>
        <w:t>2/</w:t>
      </w:r>
      <w:r w:rsidRPr="002F2FDF">
        <w:rPr>
          <w:color w:val="000000" w:themeColor="text1"/>
          <w:sz w:val="16"/>
          <w:szCs w:val="16"/>
        </w:rPr>
        <w:t>3 февраля) 1917 г. Автомобильно-авиационный отдел ЦВПК сообщал Г.Г. Кривошеину, что «Если бы этот завод (Котляренко — Шестернева) получил еще (помимо предполагаемого заказа Министерством земледелия 80 гусеничных тракторов) заказ на 20 машин упомянутого типа — то он мог бы развиться в смысле технического оборудования и приобрести в Саратове один из готовых заводов, занятых изготовлением двигателей внутреннего сгорания для нужд волжского пароходства». Отдел считал, что с точки зрения реально ощущаемых потребностей имелись основания для создания в России двух заводов с выпуском по 1500 тракторов в год. Все эти предположения, писал Гольберг, не осуществились (18409).</w:t>
      </w:r>
    </w:p>
    <w:p w14:paraId="3BEDF286" w14:textId="77777777" w:rsidR="009B4CC6" w:rsidRPr="002F2FDF" w:rsidRDefault="009B4CC6" w:rsidP="0083075A">
      <w:pPr>
        <w:pStyle w:val="p1"/>
        <w:spacing w:before="0" w:beforeAutospacing="0" w:after="0" w:afterAutospacing="0"/>
        <w:jc w:val="both"/>
        <w:rPr>
          <w:color w:val="000000" w:themeColor="text1"/>
          <w:sz w:val="16"/>
          <w:szCs w:val="16"/>
        </w:rPr>
      </w:pPr>
    </w:p>
    <w:p w14:paraId="114E389A" w14:textId="3C46C78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20/21 января </w:t>
      </w:r>
      <w:r>
        <w:rPr>
          <w:rFonts w:ascii="Times New Roman" w:hAnsi="Times New Roman" w:cs="Times New Roman"/>
          <w:color w:val="0070C0"/>
          <w:sz w:val="16"/>
          <w:szCs w:val="16"/>
        </w:rPr>
        <w:t>(</w:t>
      </w:r>
      <w:r w:rsidR="00CC247A">
        <w:rPr>
          <w:rFonts w:ascii="Times New Roman" w:hAnsi="Times New Roman" w:cs="Times New Roman"/>
          <w:color w:val="0070C0"/>
          <w:sz w:val="16"/>
          <w:szCs w:val="16"/>
        </w:rPr>
        <w:t>2/3</w:t>
      </w:r>
      <w:r>
        <w:rPr>
          <w:rFonts w:ascii="Times New Roman" w:hAnsi="Times New Roman" w:cs="Times New Roman"/>
          <w:color w:val="0070C0"/>
          <w:sz w:val="16"/>
          <w:szCs w:val="16"/>
        </w:rPr>
        <w:t xml:space="preserve"> февраля) </w:t>
      </w:r>
      <w:r w:rsidRPr="00FB4F67">
        <w:rPr>
          <w:rFonts w:ascii="Times New Roman" w:hAnsi="Times New Roman" w:cs="Times New Roman"/>
          <w:color w:val="0070C0"/>
          <w:sz w:val="16"/>
          <w:szCs w:val="16"/>
        </w:rPr>
        <w:t>1917 г. Автомобильно-авиаци</w:t>
      </w:r>
      <w:r w:rsidRPr="00FB4F67">
        <w:rPr>
          <w:rFonts w:ascii="Times New Roman" w:hAnsi="Times New Roman" w:cs="Times New Roman"/>
          <w:color w:val="0070C0"/>
          <w:sz w:val="16"/>
          <w:szCs w:val="16"/>
        </w:rPr>
        <w:softHyphen/>
        <w:t>онный отдел ЦВПК сообщал Г.Г. Кривошеину, что «Если бы этот завод (завод Котляренко) получил еще заказ на 20 ма</w:t>
      </w:r>
      <w:r w:rsidRPr="00FB4F67">
        <w:rPr>
          <w:rFonts w:ascii="Times New Roman" w:hAnsi="Times New Roman" w:cs="Times New Roman"/>
          <w:color w:val="0070C0"/>
          <w:sz w:val="16"/>
          <w:szCs w:val="16"/>
        </w:rPr>
        <w:softHyphen/>
        <w:t>шин упомянутого типа (завод надеялся на предполагаемом заказе Министерством земледелия 80 гусеничных тракторов), то он мог бы развиться в смысле технического оборудования и приобрести в Саратове один из готовых за</w:t>
      </w:r>
      <w:r w:rsidRPr="00FB4F67">
        <w:rPr>
          <w:rFonts w:ascii="Times New Roman" w:hAnsi="Times New Roman" w:cs="Times New Roman"/>
          <w:color w:val="0070C0"/>
          <w:sz w:val="16"/>
          <w:szCs w:val="16"/>
        </w:rPr>
        <w:softHyphen/>
        <w:t>водов, занятых изготовлением двигателей внутреннего сго</w:t>
      </w:r>
      <w:r w:rsidRPr="00FB4F67">
        <w:rPr>
          <w:rFonts w:ascii="Times New Roman" w:hAnsi="Times New Roman" w:cs="Times New Roman"/>
          <w:color w:val="0070C0"/>
          <w:sz w:val="16"/>
          <w:szCs w:val="16"/>
        </w:rPr>
        <w:softHyphen/>
        <w:t>рания для нужд волжского пароходства». Отдел считал, что с точки зрения реально ощущаемых потребностей имелись основания для создания в России двух заводов с выпуском по 1500 тракторов в год. Все эти предположения, писал Гольберг, не осуществились (РГВИА. Ф. 369. Оп. 16. Д. 97. Л. 167-168 об. Шаховской - По</w:t>
      </w:r>
      <w:r w:rsidRPr="00FB4F67">
        <w:rPr>
          <w:rFonts w:ascii="Times New Roman" w:hAnsi="Times New Roman" w:cs="Times New Roman"/>
          <w:color w:val="0070C0"/>
          <w:sz w:val="16"/>
          <w:szCs w:val="16"/>
        </w:rPr>
        <w:softHyphen/>
        <w:t>ливанову, 13.XI.1915; Гольберг Я. М. Указ. соч. С. 180—185) (23452).</w:t>
      </w:r>
    </w:p>
    <w:p w14:paraId="00DE1CF4" w14:textId="77777777" w:rsidR="000F3C8E" w:rsidRPr="00FB4F67" w:rsidRDefault="000F3C8E" w:rsidP="0083075A">
      <w:pPr>
        <w:spacing w:after="0" w:line="240" w:lineRule="auto"/>
        <w:jc w:val="both"/>
        <w:rPr>
          <w:rFonts w:ascii="Times New Roman" w:hAnsi="Times New Roman" w:cs="Times New Roman"/>
          <w:color w:val="0070C0"/>
          <w:sz w:val="16"/>
          <w:szCs w:val="16"/>
        </w:rPr>
      </w:pPr>
    </w:p>
    <w:p w14:paraId="327DD7E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0D139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856F2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20 января </w:t>
      </w:r>
      <w:r w:rsidR="00E44BC9" w:rsidRPr="002F2FDF">
        <w:rPr>
          <w:rFonts w:ascii="Times New Roman" w:hAnsi="Times New Roman" w:cs="Times New Roman"/>
          <w:color w:val="000000" w:themeColor="text1"/>
          <w:kern w:val="2"/>
          <w:sz w:val="16"/>
          <w:szCs w:val="16"/>
        </w:rPr>
        <w:t xml:space="preserve">(2 февраля) </w:t>
      </w:r>
      <w:r w:rsidRPr="002F2FDF">
        <w:rPr>
          <w:rFonts w:ascii="Times New Roman" w:hAnsi="Times New Roman" w:cs="Times New Roman"/>
          <w:color w:val="000000" w:themeColor="text1"/>
          <w:kern w:val="2"/>
          <w:sz w:val="16"/>
          <w:szCs w:val="16"/>
        </w:rPr>
        <w:t>1917 в течение минувшей недели отправлены в дей</w:t>
      </w:r>
      <w:r w:rsidRPr="002F2FDF">
        <w:rPr>
          <w:rFonts w:ascii="Times New Roman" w:hAnsi="Times New Roman" w:cs="Times New Roman"/>
          <w:color w:val="000000" w:themeColor="text1"/>
          <w:kern w:val="2"/>
          <w:sz w:val="16"/>
          <w:szCs w:val="16"/>
        </w:rPr>
        <w:softHyphen/>
        <w:t>ствующую армию следующие самолеты: "Морон-монокок" - 7, "Вуазен" - 3, "Морэн-пэресоль" - 5, "Ныопор биплан" - 33, английские "ФЕ-2В" - 7 и "ВЕ-2С" - 14, "Бреге" учебный - 2, "Кодрон" - 4, "Фэрмэн-30" - Ю,"Фармэн-40" - 7, "Сопвич" -I, " Виккерс" - 20, "Ньюпор-Х" - 2, "Нъюпор-бебе" -II. Такая разнотипность самолетов еще больше усложняла эксплуатацию самолетного парка действующей армии. Всего же в армии было до 25 различных типов самолетов (ЦГВИА. ф.493, оп.2, Д.19).</w:t>
      </w:r>
    </w:p>
    <w:p w14:paraId="3B06DC9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0CC03B" w14:textId="448EE09B" w:rsidR="00B94A97" w:rsidRPr="00815ED5" w:rsidRDefault="00B94A97"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20</w:t>
      </w:r>
      <w:r w:rsidRPr="00815ED5">
        <w:rPr>
          <w:rFonts w:ascii="Times New Roman" w:hAnsi="Times New Roman" w:cs="Times New Roman"/>
          <w:color w:val="0070C0"/>
          <w:sz w:val="16"/>
          <w:szCs w:val="16"/>
        </w:rPr>
        <w:t xml:space="preserve"> января</w:t>
      </w:r>
      <w:r>
        <w:rPr>
          <w:rFonts w:ascii="Times New Roman" w:hAnsi="Times New Roman" w:cs="Times New Roman"/>
          <w:color w:val="0070C0"/>
          <w:sz w:val="16"/>
          <w:szCs w:val="16"/>
        </w:rPr>
        <w:t xml:space="preserve"> (2 февраля)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815ED5">
        <w:rPr>
          <w:rFonts w:ascii="Times New Roman" w:hAnsi="Times New Roman" w:cs="Times New Roman"/>
          <w:color w:val="0070C0"/>
          <w:sz w:val="16"/>
          <w:szCs w:val="16"/>
        </w:rPr>
        <w:t xml:space="preserve"> течение минувшей недели </w:t>
      </w:r>
      <w:r>
        <w:rPr>
          <w:rFonts w:ascii="Times New Roman" w:hAnsi="Times New Roman" w:cs="Times New Roman"/>
          <w:color w:val="0070C0"/>
          <w:sz w:val="16"/>
          <w:szCs w:val="16"/>
        </w:rPr>
        <w:t xml:space="preserve">отправлены </w:t>
      </w:r>
      <w:r w:rsidRPr="00815ED5">
        <w:rPr>
          <w:rFonts w:ascii="Times New Roman" w:hAnsi="Times New Roman" w:cs="Times New Roman"/>
          <w:color w:val="0070C0"/>
          <w:sz w:val="16"/>
          <w:szCs w:val="16"/>
        </w:rPr>
        <w:t xml:space="preserve">в действующую </w:t>
      </w:r>
      <w:r>
        <w:rPr>
          <w:rFonts w:ascii="Times New Roman" w:hAnsi="Times New Roman" w:cs="Times New Roman"/>
          <w:color w:val="0070C0"/>
          <w:sz w:val="16"/>
          <w:szCs w:val="16"/>
        </w:rPr>
        <w:t>армию</w:t>
      </w:r>
      <w:r w:rsidRPr="00815ED5">
        <w:rPr>
          <w:rFonts w:ascii="Times New Roman" w:hAnsi="Times New Roman" w:cs="Times New Roman"/>
          <w:color w:val="0070C0"/>
          <w:sz w:val="16"/>
          <w:szCs w:val="16"/>
        </w:rPr>
        <w:t>Тфкию следующие самолеты:</w:t>
      </w:r>
      <w:r>
        <w:rPr>
          <w:rFonts w:ascii="Times New Roman" w:hAnsi="Times New Roman" w:cs="Times New Roman"/>
          <w:color w:val="0070C0"/>
          <w:sz w:val="16"/>
          <w:szCs w:val="16"/>
        </w:rPr>
        <w:t xml:space="preserve"> М</w:t>
      </w:r>
      <w:r w:rsidRPr="00815ED5">
        <w:rPr>
          <w:rFonts w:ascii="Times New Roman" w:hAnsi="Times New Roman" w:cs="Times New Roman"/>
          <w:color w:val="0070C0"/>
          <w:sz w:val="16"/>
          <w:szCs w:val="16"/>
        </w:rPr>
        <w:t xml:space="preserve">оран-монокок </w:t>
      </w:r>
      <w:r>
        <w:rPr>
          <w:rFonts w:ascii="Times New Roman" w:hAnsi="Times New Roman" w:cs="Times New Roman"/>
          <w:color w:val="0070C0"/>
          <w:sz w:val="16"/>
          <w:szCs w:val="16"/>
        </w:rPr>
        <w:t xml:space="preserve">-7, </w:t>
      </w:r>
      <w:r w:rsidRPr="00815ED5">
        <w:rPr>
          <w:rFonts w:ascii="Times New Roman" w:hAnsi="Times New Roman" w:cs="Times New Roman"/>
          <w:color w:val="0070C0"/>
          <w:sz w:val="16"/>
          <w:szCs w:val="16"/>
        </w:rPr>
        <w:t xml:space="preserve">Вуазен </w:t>
      </w:r>
      <w:r>
        <w:rPr>
          <w:rFonts w:ascii="Times New Roman" w:hAnsi="Times New Roman" w:cs="Times New Roman"/>
          <w:color w:val="0070C0"/>
          <w:sz w:val="16"/>
          <w:szCs w:val="16"/>
        </w:rPr>
        <w:t>– 3, М</w:t>
      </w:r>
      <w:r w:rsidRPr="00815ED5">
        <w:rPr>
          <w:rFonts w:ascii="Times New Roman" w:hAnsi="Times New Roman" w:cs="Times New Roman"/>
          <w:color w:val="0070C0"/>
          <w:sz w:val="16"/>
          <w:szCs w:val="16"/>
        </w:rPr>
        <w:t xml:space="preserve">оран-парасоль - </w:t>
      </w:r>
      <w:r>
        <w:rPr>
          <w:rFonts w:ascii="Times New Roman" w:hAnsi="Times New Roman" w:cs="Times New Roman"/>
          <w:color w:val="0070C0"/>
          <w:sz w:val="16"/>
          <w:szCs w:val="16"/>
        </w:rPr>
        <w:t>6</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Ньюаор-биплан - 33,</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английские</w:t>
      </w:r>
      <w:r w:rsidRPr="008820DC">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ФЕ2Е </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7</w:t>
      </w:r>
      <w:r>
        <w:rPr>
          <w:rFonts w:ascii="Times New Roman" w:hAnsi="Times New Roman" w:cs="Times New Roman"/>
          <w:color w:val="0070C0"/>
          <w:sz w:val="16"/>
          <w:szCs w:val="16"/>
        </w:rPr>
        <w:t>, ВЕ2Е – 14,</w:t>
      </w:r>
      <w:r w:rsidRPr="008820DC">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Бреге учебны</w:t>
      </w:r>
      <w:r>
        <w:rPr>
          <w:rFonts w:ascii="Times New Roman" w:hAnsi="Times New Roman" w:cs="Times New Roman"/>
          <w:color w:val="0070C0"/>
          <w:sz w:val="16"/>
          <w:szCs w:val="16"/>
        </w:rPr>
        <w:t>й</w:t>
      </w:r>
      <w:r w:rsidRPr="00815ED5">
        <w:rPr>
          <w:rFonts w:ascii="Times New Roman" w:hAnsi="Times New Roman" w:cs="Times New Roman"/>
          <w:color w:val="0070C0"/>
          <w:sz w:val="16"/>
          <w:szCs w:val="16"/>
        </w:rPr>
        <w:t xml:space="preserve"> - 2,</w:t>
      </w:r>
      <w:r>
        <w:rPr>
          <w:rFonts w:ascii="Times New Roman" w:hAnsi="Times New Roman" w:cs="Times New Roman"/>
          <w:color w:val="0070C0"/>
          <w:sz w:val="16"/>
          <w:szCs w:val="16"/>
        </w:rPr>
        <w:t xml:space="preserve"> К</w:t>
      </w:r>
      <w:r w:rsidRPr="00815ED5">
        <w:rPr>
          <w:rFonts w:ascii="Times New Roman" w:hAnsi="Times New Roman" w:cs="Times New Roman"/>
          <w:color w:val="0070C0"/>
          <w:sz w:val="16"/>
          <w:szCs w:val="16"/>
        </w:rPr>
        <w:t>одроп - 4,</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Фарман-30 - 10,</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Фармап-40 </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7,</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опвич - 1,</w:t>
      </w:r>
      <w:r>
        <w:rPr>
          <w:rFonts w:ascii="Times New Roman" w:hAnsi="Times New Roman" w:cs="Times New Roman"/>
          <w:color w:val="0070C0"/>
          <w:sz w:val="16"/>
          <w:szCs w:val="16"/>
        </w:rPr>
        <w:t xml:space="preserve"> В</w:t>
      </w:r>
      <w:r w:rsidRPr="00815ED5">
        <w:rPr>
          <w:rFonts w:ascii="Times New Roman" w:hAnsi="Times New Roman" w:cs="Times New Roman"/>
          <w:color w:val="0070C0"/>
          <w:sz w:val="16"/>
          <w:szCs w:val="16"/>
        </w:rPr>
        <w:t>иккерс - 2</w:t>
      </w:r>
      <w:r>
        <w:rPr>
          <w:rFonts w:ascii="Times New Roman" w:hAnsi="Times New Roman" w:cs="Times New Roman"/>
          <w:color w:val="0070C0"/>
          <w:sz w:val="16"/>
          <w:szCs w:val="16"/>
        </w:rPr>
        <w:t>0</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Ньюпор-Х - 2,</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Ньюпор-’'бебе” </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11.</w:t>
      </w:r>
      <w:r w:rsidRPr="00815ED5">
        <w:rPr>
          <w:rFonts w:ascii="Times New Roman" w:hAnsi="Times New Roman" w:cs="Times New Roman"/>
          <w:color w:val="0070C0"/>
          <w:sz w:val="16"/>
          <w:szCs w:val="16"/>
        </w:rPr>
        <w:t xml:space="preserve"> Такая разнотипность самолетов еще больше усложняла эксплуатацию самолетного парка действующей армии.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Всего же в армии было до </w:t>
      </w:r>
      <w:r>
        <w:rPr>
          <w:rFonts w:ascii="Times New Roman" w:hAnsi="Times New Roman" w:cs="Times New Roman"/>
          <w:color w:val="0070C0"/>
          <w:sz w:val="16"/>
          <w:szCs w:val="16"/>
        </w:rPr>
        <w:t xml:space="preserve">25 </w:t>
      </w:r>
      <w:r w:rsidRPr="00815ED5">
        <w:rPr>
          <w:rFonts w:ascii="Times New Roman" w:hAnsi="Times New Roman" w:cs="Times New Roman"/>
          <w:color w:val="0070C0"/>
          <w:sz w:val="16"/>
          <w:szCs w:val="16"/>
        </w:rPr>
        <w:t>различных типов самолетов.</w:t>
      </w:r>
    </w:p>
    <w:p w14:paraId="00376D28" w14:textId="77777777" w:rsidR="00B94A97" w:rsidRDefault="00B94A97"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/ЦГВ</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19/</w:t>
      </w:r>
      <w:r>
        <w:rPr>
          <w:rFonts w:ascii="Times New Roman" w:hAnsi="Times New Roman" w:cs="Times New Roman"/>
          <w:color w:val="0070C0"/>
          <w:sz w:val="16"/>
          <w:szCs w:val="16"/>
        </w:rPr>
        <w:t xml:space="preserve"> (23320).</w:t>
      </w:r>
    </w:p>
    <w:p w14:paraId="69634336" w14:textId="77777777" w:rsidR="00B94A97" w:rsidRPr="00815ED5" w:rsidRDefault="00B94A97" w:rsidP="0083075A">
      <w:pPr>
        <w:spacing w:after="0" w:line="240" w:lineRule="auto"/>
        <w:jc w:val="both"/>
        <w:rPr>
          <w:rFonts w:ascii="Times New Roman" w:hAnsi="Times New Roman" w:cs="Times New Roman"/>
          <w:color w:val="0070C0"/>
          <w:sz w:val="16"/>
          <w:szCs w:val="16"/>
        </w:rPr>
      </w:pPr>
    </w:p>
    <w:p w14:paraId="59BB39C1" w14:textId="73A6D4E3" w:rsidR="00CC247A" w:rsidRPr="00FB4F67" w:rsidRDefault="00CC247A"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20 февраля (</w:t>
      </w:r>
      <w:r w:rsidRPr="00FB4F67">
        <w:rPr>
          <w:rFonts w:ascii="Times New Roman" w:hAnsi="Times New Roman" w:cs="Times New Roman"/>
          <w:color w:val="0070C0"/>
          <w:sz w:val="16"/>
          <w:szCs w:val="16"/>
        </w:rPr>
        <w:t>2 февраля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к югу от Кеммерна (Кемери, западнее г. Риги) с немецкого аэроплана была сброшена бомба, в результате разрыва которой ранение получили 10 нижних чинов. Одновременно германские самолеты атаковали ст. Крейцбург (северо-восточнее Якобштадта) и д. Гогово (7 км юго-восточнее м. Поставы, Витебская губ.). В последнем в результате взрыва бомбы было убито два нижних чина (23405).</w:t>
      </w:r>
    </w:p>
    <w:p w14:paraId="7EA38B48" w14:textId="77777777" w:rsidR="00CC247A" w:rsidRPr="00FB4F67" w:rsidRDefault="00CC247A" w:rsidP="0083075A">
      <w:pPr>
        <w:spacing w:after="0" w:line="240" w:lineRule="auto"/>
        <w:jc w:val="both"/>
        <w:rPr>
          <w:rFonts w:ascii="Times New Roman" w:hAnsi="Times New Roman" w:cs="Times New Roman"/>
          <w:color w:val="0070C0"/>
          <w:sz w:val="16"/>
          <w:szCs w:val="16"/>
        </w:rPr>
      </w:pPr>
    </w:p>
    <w:p w14:paraId="1148DB5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312FC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7C3B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января (2 февраля) 1917 в Великобритании было введено нормирование распределения хлеба (3907,89).</w:t>
      </w:r>
    </w:p>
    <w:p w14:paraId="0B1693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35F9A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DB8A1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2490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января (3 февраля) 1917 подпор. Г.Я.Эрдели, наблюдавший за заводом С.С.Щетинина, просил срочно установить морской истребитель М-15 Д.П.Г. на лыжи (2807,62).</w:t>
      </w:r>
    </w:p>
    <w:p w14:paraId="68C7E2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53BE5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января (3 февраля) 1917 г. на ПРТВ поступило одно из первых предложений по совершенствованию модели М-15— вернее, даже, по ее адаптации к зимним условиям. Наблюдающий офицер подпоручик Г. Я. Эрдели просил, следуя инструкциям своего начальства, срочно устанавливать собиравшиеся ап</w:t>
      </w:r>
      <w:r w:rsidRPr="002F2FDF">
        <w:rPr>
          <w:rFonts w:ascii="Times New Roman" w:hAnsi="Times New Roman" w:cs="Times New Roman"/>
          <w:color w:val="000000" w:themeColor="text1"/>
          <w:kern w:val="2"/>
          <w:sz w:val="16"/>
          <w:szCs w:val="16"/>
        </w:rPr>
        <w:softHyphen/>
        <w:t>параты на лыжи согласно чертежам мичмана А. Н. Прокофьева-Северского. Вскоре одна летающая лодка претерпела требуемую модификацию и 9 февраля с изобретателем за штурвалом совершила проб</w:t>
      </w:r>
      <w:r w:rsidRPr="002F2FDF">
        <w:rPr>
          <w:rFonts w:ascii="Times New Roman" w:hAnsi="Times New Roman" w:cs="Times New Roman"/>
          <w:color w:val="000000" w:themeColor="text1"/>
          <w:kern w:val="2"/>
          <w:sz w:val="16"/>
          <w:szCs w:val="16"/>
        </w:rPr>
        <w:softHyphen/>
        <w:t>ный полет. Пилот доложил о том, что гидроаэроплан оказался прекрасно уравновешен, легко взлетал и легко садился и взял высоту 1000 м за 7 минут. Последовавшие испытания на скорость дали повод отбросить все сомнения в целесообразности нововведения, а вот информация, пришедшая в том же меся</w:t>
      </w:r>
      <w:r w:rsidRPr="002F2FDF">
        <w:rPr>
          <w:rFonts w:ascii="Times New Roman" w:hAnsi="Times New Roman" w:cs="Times New Roman"/>
          <w:color w:val="000000" w:themeColor="text1"/>
          <w:kern w:val="2"/>
          <w:sz w:val="16"/>
          <w:szCs w:val="16"/>
        </w:rPr>
        <w:softHyphen/>
        <w:t>це из Баку, содержала 13 критических пунктов, требовавших различных доработок. Полученный с Каспийского моря доклад воспроизводится ниже:</w:t>
      </w:r>
    </w:p>
    <w:p w14:paraId="42B9E57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&lt;“...&gt; 1) Моторная установка с крыльями, соединена с лодкой при помощи обыденных проволочных растяжек, но конструкция главных в этом креплении шпангоутов значительно слабее, чем на М-5 и М-9, причем тонкие боковины шпангоута поставлены не из прямослой</w:t>
      </w:r>
      <w:r w:rsidRPr="002F2FDF">
        <w:rPr>
          <w:rFonts w:ascii="Times New Roman" w:hAnsi="Times New Roman" w:cs="Times New Roman"/>
          <w:color w:val="000000" w:themeColor="text1"/>
          <w:kern w:val="2"/>
          <w:sz w:val="16"/>
          <w:szCs w:val="16"/>
        </w:rPr>
        <w:softHyphen/>
        <w:t>ной ясени, что, надо полагать, при закреплении мелкими шурупами к фанере не дает надежно</w:t>
      </w:r>
      <w:r w:rsidRPr="002F2FDF">
        <w:rPr>
          <w:rFonts w:ascii="Times New Roman" w:hAnsi="Times New Roman" w:cs="Times New Roman"/>
          <w:color w:val="000000" w:themeColor="text1"/>
          <w:kern w:val="2"/>
          <w:sz w:val="16"/>
          <w:szCs w:val="16"/>
        </w:rPr>
        <w:softHyphen/>
        <w:t>го крепления крыльев с лодкой.</w:t>
      </w:r>
    </w:p>
    <w:p w14:paraId="70A532F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Крепление верхних крыльев к моторной установке при помощи овальных стальных труб и сложной растяжки над мотором не дает достаточной жесткости. При разрыве одной оттяжки креста нарушаются все крепления крыльев, в случае же аппарат будет перевернут на обратную сторону мало надежды, что верхние крылья выдержат давление с обратной стороны в месте соединения с моторной установкой.</w:t>
      </w:r>
    </w:p>
    <w:p w14:paraId="0CA0152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Руль поворота имеет один поворотным кабанчик, к которому проведен одинарный трос, необходимо при одинарном кабанчике делать двойную проводку.</w:t>
      </w:r>
    </w:p>
    <w:p w14:paraId="7459401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Трос руля глубины имеет двойную проводку снаружи, внутри же в местах большого трения одинарную именно там, где наблюдение за ним невозможно без разборки верхнего фанерного покрытия. Указанный одинарный трос (также у руля поворота) имеет трение о бензиновый бак и об установку, причем для уменьшения трения не сделано никаких приспо</w:t>
      </w:r>
      <w:r w:rsidRPr="002F2FDF">
        <w:rPr>
          <w:rFonts w:ascii="Times New Roman" w:hAnsi="Times New Roman" w:cs="Times New Roman"/>
          <w:color w:val="000000" w:themeColor="text1"/>
          <w:kern w:val="2"/>
          <w:sz w:val="16"/>
          <w:szCs w:val="16"/>
        </w:rPr>
        <w:softHyphen/>
        <w:t>соблений.</w:t>
      </w:r>
    </w:p>
    <w:p w14:paraId="1EFC2C3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Рычаг управления поставлен далеко от пилота и наоборот ножное управление стесне</w:t>
      </w:r>
      <w:r w:rsidRPr="002F2FDF">
        <w:rPr>
          <w:rFonts w:ascii="Times New Roman" w:hAnsi="Times New Roman" w:cs="Times New Roman"/>
          <w:color w:val="000000" w:themeColor="text1"/>
          <w:kern w:val="2"/>
          <w:sz w:val="16"/>
          <w:szCs w:val="16"/>
        </w:rPr>
        <w:softHyphen/>
        <w:t>но фанерной перегородкой.</w:t>
      </w:r>
    </w:p>
    <w:p w14:paraId="4B38F1A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Нет приспособления для перекачивания бензина автоматически пилот должен качать левой рукой ручным насосом. Если делать перекачку бензина вручную, то необходимо второй ручной насос установить у механика (если после многих неудач была все-таки создана надеж</w:t>
      </w:r>
      <w:r w:rsidRPr="002F2FDF">
        <w:rPr>
          <w:rFonts w:ascii="Times New Roman" w:hAnsi="Times New Roman" w:cs="Times New Roman"/>
          <w:color w:val="000000" w:themeColor="text1"/>
          <w:kern w:val="2"/>
          <w:sz w:val="16"/>
          <w:szCs w:val="16"/>
        </w:rPr>
        <w:softHyphen/>
        <w:t>ная ветрянка, почему от нее отказались).</w:t>
      </w:r>
    </w:p>
    <w:p w14:paraId="629B6BE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Нет физической возможности одному человеку запустить мотор пусковой рукояткой.</w:t>
      </w:r>
    </w:p>
    <w:p w14:paraId="7F88889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Желательно дежурные баки поместить в крыльях под парусиной, чтобы они не высту</w:t>
      </w:r>
      <w:r w:rsidRPr="002F2FDF">
        <w:rPr>
          <w:rFonts w:ascii="Times New Roman" w:hAnsi="Times New Roman" w:cs="Times New Roman"/>
          <w:color w:val="000000" w:themeColor="text1"/>
          <w:kern w:val="2"/>
          <w:sz w:val="16"/>
          <w:szCs w:val="16"/>
        </w:rPr>
        <w:softHyphen/>
        <w:t>пали, увеличивая лобовое сопротивление.</w:t>
      </w:r>
    </w:p>
    <w:p w14:paraId="33EDD23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Желательно, чтобы бензиновая проводка шла внутри крыльев.</w:t>
      </w:r>
    </w:p>
    <w:p w14:paraId="45A75AE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Счетчик оборотов ставить на более коротком гибком шланге и в поле зрения пилота.</w:t>
      </w:r>
    </w:p>
    <w:p w14:paraId="4056591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Нет манометра, показывающего давление в бензиновом баке.</w:t>
      </w:r>
    </w:p>
    <w:p w14:paraId="4BA4515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Необходимо контакт для включения мотора па рабочее магнето поместить вблизи пускового приспособления.</w:t>
      </w:r>
    </w:p>
    <w:p w14:paraId="79D096B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Пусковую рукоятку лучше вывести вперед, как на М-9, и устроить, чтобы искра от пускового магнето давалась бы в свечу с опозданием”.</w:t>
      </w:r>
    </w:p>
    <w:p w14:paraId="523217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Может быть, что до отправки на Каспий прототип едва не погиб на Крестовском аэродроме 3 декабря 1916 г. В тот день на борту находившегося на земле М-15 вспыхнул пожар, повлекший утрату рабочего магнето, пускового магнето и барографа (2807).</w:t>
      </w:r>
    </w:p>
    <w:p w14:paraId="66C379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191709" w14:textId="77777777" w:rsidR="009B4CC6" w:rsidRPr="002F2FDF" w:rsidRDefault="009B4CC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0195B7EC" w14:textId="77777777" w:rsidR="009B4CC6" w:rsidRPr="002F2FDF" w:rsidRDefault="009B4CC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1C3A41" w14:textId="795D9950"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21 января </w:t>
      </w:r>
      <w:r>
        <w:rPr>
          <w:rFonts w:ascii="Times New Roman" w:hAnsi="Times New Roman" w:cs="Times New Roman"/>
          <w:color w:val="0070C0"/>
          <w:sz w:val="16"/>
          <w:szCs w:val="16"/>
        </w:rPr>
        <w:t xml:space="preserve">(3 февраля) </w:t>
      </w:r>
      <w:r w:rsidRPr="00FB4F67">
        <w:rPr>
          <w:rFonts w:ascii="Times New Roman" w:hAnsi="Times New Roman" w:cs="Times New Roman"/>
          <w:color w:val="0070C0"/>
          <w:sz w:val="16"/>
          <w:szCs w:val="16"/>
        </w:rPr>
        <w:t>1917 г. в Петроград было доложено о «постепенном получении лекал» и о том, что «дело хотя медленно, но постепенно налаживается» (РГВИА. Ф. 2000. On. 1. Д. 5620. Л. 77; Д. 6210. Л. 20; «В общем уже сдано с двух заводов около 200 тысяч винтовок» (Там же)), но это не каса</w:t>
      </w:r>
      <w:r w:rsidRPr="00FB4F67">
        <w:rPr>
          <w:rFonts w:ascii="Times New Roman" w:hAnsi="Times New Roman" w:cs="Times New Roman"/>
          <w:color w:val="0070C0"/>
          <w:sz w:val="16"/>
          <w:szCs w:val="16"/>
        </w:rPr>
        <w:softHyphen/>
        <w:t>лось «Вестингауза»: завод «упорно противится», сообщал Залюбовский в ГАУ 20 апреля 1917 г., не желает подчинить</w:t>
      </w:r>
      <w:r w:rsidRPr="00FB4F67">
        <w:rPr>
          <w:rFonts w:ascii="Times New Roman" w:hAnsi="Times New Roman" w:cs="Times New Roman"/>
          <w:color w:val="0070C0"/>
          <w:sz w:val="16"/>
          <w:szCs w:val="16"/>
        </w:rPr>
        <w:softHyphen/>
        <w:t>ся «нашим техническим указаниям» и по-прежнему делает винтовки без проверки лекалами и приборами «за их от</w:t>
      </w:r>
      <w:r w:rsidRPr="00FB4F67">
        <w:rPr>
          <w:rFonts w:ascii="Times New Roman" w:hAnsi="Times New Roman" w:cs="Times New Roman"/>
          <w:color w:val="0070C0"/>
          <w:sz w:val="16"/>
          <w:szCs w:val="16"/>
        </w:rPr>
        <w:softHyphen/>
        <w:t>сутствием». «Как оружейник, — заявил он, — не могу взять на себя ответственность за соглашение с этой компанией, которая девять месяцев все обещает мне исполнить даже самые минимальные требования и ничего не делает для установления нормальной выделки винтовок... Качество, несмотря на все усилия приемщиков, почти не изменяет</w:t>
      </w:r>
      <w:r w:rsidRPr="00FB4F67">
        <w:rPr>
          <w:rFonts w:ascii="Times New Roman" w:hAnsi="Times New Roman" w:cs="Times New Roman"/>
          <w:color w:val="0070C0"/>
          <w:sz w:val="16"/>
          <w:szCs w:val="16"/>
        </w:rPr>
        <w:softHyphen/>
        <w:t>ся» (Там же. Оп. 2. Д. 6209. Л. 26). Все это — несмотря на то, что образцы винтовки, спецификация и чертежи лекал были переданы фирме еще до заключения контрактов, в апреле 1915 г., «а осенью того же года был передан также весь набор лекал в натуре», — свидетельствовал В.С. Михайлов.</w:t>
      </w:r>
    </w:p>
    <w:p w14:paraId="2BF3C028"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Непонятное на первый взгляд упрямство фирмы, не же</w:t>
      </w:r>
      <w:r w:rsidRPr="00FB4F67">
        <w:rPr>
          <w:rFonts w:ascii="Times New Roman" w:hAnsi="Times New Roman" w:cs="Times New Roman"/>
          <w:color w:val="0070C0"/>
          <w:sz w:val="16"/>
          <w:szCs w:val="16"/>
        </w:rPr>
        <w:softHyphen/>
        <w:t>лавшей использовать лекала, получает объяснение в тех сведениях, какие тут же добросовестно сообщает Михайлов. Имелись «весьма досадные обстоятельства, лежавшие це</w:t>
      </w:r>
      <w:r w:rsidRPr="00FB4F67">
        <w:rPr>
          <w:rFonts w:ascii="Times New Roman" w:hAnsi="Times New Roman" w:cs="Times New Roman"/>
          <w:color w:val="0070C0"/>
          <w:sz w:val="16"/>
          <w:szCs w:val="16"/>
        </w:rPr>
        <w:softHyphen/>
        <w:t>ликом на вине заказчика» и служившие «Вестингаузу» «от</w:t>
      </w:r>
      <w:r w:rsidRPr="00FB4F67">
        <w:rPr>
          <w:rFonts w:ascii="Times New Roman" w:hAnsi="Times New Roman" w:cs="Times New Roman"/>
          <w:color w:val="0070C0"/>
          <w:sz w:val="16"/>
          <w:szCs w:val="16"/>
        </w:rPr>
        <w:softHyphen/>
        <w:t>личной базой для оттяжки сроков поставки, претензий к заказчику об убытках и всякого рода препирательств с ин</w:t>
      </w:r>
      <w:r w:rsidRPr="00FB4F67">
        <w:rPr>
          <w:rFonts w:ascii="Times New Roman" w:hAnsi="Times New Roman" w:cs="Times New Roman"/>
          <w:color w:val="0070C0"/>
          <w:sz w:val="16"/>
          <w:szCs w:val="16"/>
        </w:rPr>
        <w:softHyphen/>
        <w:t>спекцией приемок»: в присланных «Вестингаузу» из России лекалах оказалось расхождение с чертежами, а в чертежах обнаружились «неточности и неувязки». К тому же лекала оказались не новыми, «в них был известный износ», а в присланных образцовых винтовках — «расхождение неко</w:t>
      </w:r>
      <w:r w:rsidRPr="00FB4F67">
        <w:rPr>
          <w:rFonts w:ascii="Times New Roman" w:hAnsi="Times New Roman" w:cs="Times New Roman"/>
          <w:color w:val="0070C0"/>
          <w:sz w:val="16"/>
          <w:szCs w:val="16"/>
        </w:rPr>
        <w:softHyphen/>
        <w:t>торых размеров самих винтовок с лекалами и чертежами. Кроме того, сами винтовки имели некоторые дефекты». В этом, надо полагать, и была причина того, что американ</w:t>
      </w:r>
      <w:r w:rsidRPr="00FB4F67">
        <w:rPr>
          <w:rFonts w:ascii="Times New Roman" w:hAnsi="Times New Roman" w:cs="Times New Roman"/>
          <w:color w:val="0070C0"/>
          <w:sz w:val="16"/>
          <w:szCs w:val="16"/>
        </w:rPr>
        <w:softHyphen/>
        <w:t>ские лекальщики не могли скопировать русские образцы. По свидетельствам с американской стороны, завод, потеряв надежду получить лекала из России, принялся самостоя</w:t>
      </w:r>
      <w:r w:rsidRPr="00FB4F67">
        <w:rPr>
          <w:rFonts w:ascii="Times New Roman" w:hAnsi="Times New Roman" w:cs="Times New Roman"/>
          <w:color w:val="0070C0"/>
          <w:sz w:val="16"/>
          <w:szCs w:val="16"/>
        </w:rPr>
        <w:softHyphen/>
        <w:t>тельно их изготовлять, и лишь через полгода ГАУ прислало часть лекал, причем они находились в деятельном употре</w:t>
      </w:r>
      <w:r w:rsidRPr="00FB4F67">
        <w:rPr>
          <w:rFonts w:ascii="Times New Roman" w:hAnsi="Times New Roman" w:cs="Times New Roman"/>
          <w:color w:val="0070C0"/>
          <w:sz w:val="16"/>
          <w:szCs w:val="16"/>
        </w:rPr>
        <w:softHyphen/>
        <w:t>блении с 1892 г. и расходились как с лекалами американ</w:t>
      </w:r>
      <w:r w:rsidRPr="00FB4F67">
        <w:rPr>
          <w:rFonts w:ascii="Times New Roman" w:hAnsi="Times New Roman" w:cs="Times New Roman"/>
          <w:color w:val="0070C0"/>
          <w:sz w:val="16"/>
          <w:szCs w:val="16"/>
        </w:rPr>
        <w:softHyphen/>
        <w:t>ского изготовления, так и с чертежами, представленными заказчиком. Именно из-за этой небрежности ГАУ пришлось затем прислать 40 контрольных образцов винтовок. Но рус</w:t>
      </w:r>
      <w:r w:rsidRPr="00FB4F67">
        <w:rPr>
          <w:rFonts w:ascii="Times New Roman" w:hAnsi="Times New Roman" w:cs="Times New Roman"/>
          <w:color w:val="0070C0"/>
          <w:sz w:val="16"/>
          <w:szCs w:val="16"/>
        </w:rPr>
        <w:softHyphen/>
        <w:t>ские приемщики в США и эти образцы считали неудовлет</w:t>
      </w:r>
      <w:r w:rsidRPr="00FB4F67">
        <w:rPr>
          <w:rFonts w:ascii="Times New Roman" w:hAnsi="Times New Roman" w:cs="Times New Roman"/>
          <w:color w:val="0070C0"/>
          <w:sz w:val="16"/>
          <w:szCs w:val="16"/>
        </w:rPr>
        <w:softHyphen/>
        <w:t>ворительными по качеству и непригодными, так как это были винтовки, выпущенные во время войны, по облегчен</w:t>
      </w:r>
      <w:r w:rsidRPr="00FB4F67">
        <w:rPr>
          <w:rFonts w:ascii="Times New Roman" w:hAnsi="Times New Roman" w:cs="Times New Roman"/>
          <w:color w:val="0070C0"/>
          <w:sz w:val="16"/>
          <w:szCs w:val="16"/>
        </w:rPr>
        <w:softHyphen/>
        <w:t>ным требованиям и с льготными допусками (Генерал В.С. Михайлов. С. 339, 340, 345, 346; Россия и США: Тор</w:t>
      </w:r>
      <w:r w:rsidRPr="00FB4F67">
        <w:rPr>
          <w:rFonts w:ascii="Times New Roman" w:hAnsi="Times New Roman" w:cs="Times New Roman"/>
          <w:color w:val="0070C0"/>
          <w:sz w:val="16"/>
          <w:szCs w:val="16"/>
        </w:rPr>
        <w:softHyphen/>
        <w:t>гово-экономические отношения. М., 1996. С. 209.; Zuckerman F.S. Op. cit. Р. 59; Rielage D.C. Op. cit. P. 58).</w:t>
      </w:r>
    </w:p>
    <w:p w14:paraId="411F91A1"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Ответственность за срыв сроков поставок от «Вестинга</w:t>
      </w:r>
      <w:r w:rsidRPr="00FB4F67">
        <w:rPr>
          <w:rFonts w:ascii="Times New Roman" w:hAnsi="Times New Roman" w:cs="Times New Roman"/>
          <w:color w:val="0070C0"/>
          <w:sz w:val="16"/>
          <w:szCs w:val="16"/>
        </w:rPr>
        <w:softHyphen/>
        <w:t>уза» и «Ремингтона» должна была лежать на ГАУ, но, впол</w:t>
      </w:r>
      <w:r w:rsidRPr="00FB4F67">
        <w:rPr>
          <w:rFonts w:ascii="Times New Roman" w:hAnsi="Times New Roman" w:cs="Times New Roman"/>
          <w:color w:val="0070C0"/>
          <w:sz w:val="16"/>
          <w:szCs w:val="16"/>
        </w:rPr>
        <w:softHyphen/>
        <w:t>не понятно, признавать эту ответственность (Виноградов П. В. Деятельность Русского заготовительного комитета и организация заказов военного имущества в США во время Первой мировой войны // Теория и практика общественного развития. 2012. № 10 (</w:t>
      </w:r>
      <w:hyperlink r:id="rId25" w:history="1">
        <w:r w:rsidRPr="00FB4F67">
          <w:rPr>
            <w:rStyle w:val="a5"/>
            <w:rFonts w:ascii="Times New Roman" w:hAnsi="Times New Roman" w:cs="Times New Roman"/>
            <w:color w:val="0070C0"/>
            <w:sz w:val="16"/>
            <w:szCs w:val="16"/>
          </w:rPr>
          <w:t>http://www.teoria-practica.ru/-10-2012/history/vinogradov.pdf)</w:t>
        </w:r>
      </w:hyperlink>
      <w:r w:rsidRPr="00FB4F67">
        <w:rPr>
          <w:rFonts w:ascii="Times New Roman" w:hAnsi="Times New Roman" w:cs="Times New Roman"/>
          <w:color w:val="0070C0"/>
          <w:sz w:val="16"/>
          <w:szCs w:val="16"/>
        </w:rPr>
        <w:t>.), чреватую слу</w:t>
      </w:r>
      <w:r w:rsidRPr="00FB4F67">
        <w:rPr>
          <w:rFonts w:ascii="Times New Roman" w:hAnsi="Times New Roman" w:cs="Times New Roman"/>
          <w:color w:val="0070C0"/>
          <w:sz w:val="16"/>
          <w:szCs w:val="16"/>
        </w:rPr>
        <w:softHyphen/>
        <w:t>жебными репрессиями, русские артиллеристы не спешили. Характерно, что и Михайлов в полной мере выдержать объ</w:t>
      </w:r>
      <w:r w:rsidRPr="00FB4F67">
        <w:rPr>
          <w:rFonts w:ascii="Times New Roman" w:hAnsi="Times New Roman" w:cs="Times New Roman"/>
          <w:color w:val="0070C0"/>
          <w:sz w:val="16"/>
          <w:szCs w:val="16"/>
        </w:rPr>
        <w:softHyphen/>
        <w:t>ективность не смог. «По существу же дела, — добавил он, — указанные погрешности в образцах и чертежах, конечно, не могли иметь заметного влияния на ход работы «Вестингау</w:t>
      </w:r>
      <w:r w:rsidRPr="00FB4F67">
        <w:rPr>
          <w:rFonts w:ascii="Times New Roman" w:hAnsi="Times New Roman" w:cs="Times New Roman"/>
          <w:color w:val="0070C0"/>
          <w:sz w:val="16"/>
          <w:szCs w:val="16"/>
        </w:rPr>
        <w:softHyphen/>
        <w:t>за», и он [завод] не обратил бы на них внимания, если бы был в состоянии технически и организационно сразу хоро</w:t>
      </w:r>
      <w:r w:rsidRPr="00FB4F67">
        <w:rPr>
          <w:rFonts w:ascii="Times New Roman" w:hAnsi="Times New Roman" w:cs="Times New Roman"/>
          <w:color w:val="0070C0"/>
          <w:sz w:val="16"/>
          <w:szCs w:val="16"/>
        </w:rPr>
        <w:softHyphen/>
        <w:t>шо справиться с делом». С этим разъяснением не сходится то упорство, какое было проявлено приемщиками в отно</w:t>
      </w:r>
      <w:r w:rsidRPr="00FB4F67">
        <w:rPr>
          <w:rFonts w:ascii="Times New Roman" w:hAnsi="Times New Roman" w:cs="Times New Roman"/>
          <w:color w:val="0070C0"/>
          <w:sz w:val="16"/>
          <w:szCs w:val="16"/>
        </w:rPr>
        <w:softHyphen/>
        <w:t>шении столь малозначительных, по мысли Михайлова, «по</w:t>
      </w:r>
      <w:r w:rsidRPr="00FB4F67">
        <w:rPr>
          <w:rFonts w:ascii="Times New Roman" w:hAnsi="Times New Roman" w:cs="Times New Roman"/>
          <w:color w:val="0070C0"/>
          <w:sz w:val="16"/>
          <w:szCs w:val="16"/>
        </w:rPr>
        <w:softHyphen/>
        <w:t>грешностей». Маниковскому было понятно, что «самый простой способ остановить работу завода на долгое вре</w:t>
      </w:r>
      <w:r w:rsidRPr="00FB4F67">
        <w:rPr>
          <w:rFonts w:ascii="Times New Roman" w:hAnsi="Times New Roman" w:cs="Times New Roman"/>
          <w:color w:val="0070C0"/>
          <w:sz w:val="16"/>
          <w:szCs w:val="16"/>
        </w:rPr>
        <w:softHyphen/>
        <w:t>мя — это лишить его лекал» (Генерал В.С. Михайлов. С. 340.; Маниковский А.А. Боевое снабжение русской армии в 1914—1918 гг. • М., 1923. Ч. 1. С. 16.). Присылка хотя бы одного- двух негодных лекал уже могла создать кризис. В декабре 1916 г. «вдруг... у «Ремингтона начали проявляться непо</w:t>
      </w:r>
      <w:r w:rsidRPr="00FB4F67">
        <w:rPr>
          <w:rFonts w:ascii="Times New Roman" w:hAnsi="Times New Roman" w:cs="Times New Roman"/>
          <w:color w:val="0070C0"/>
          <w:sz w:val="16"/>
          <w:szCs w:val="16"/>
        </w:rPr>
        <w:softHyphen/>
        <w:t>нятные остановки, — телеграфировал в Петроград Залюбовский, — а в январе сильное уменьшение сдач». Оказа</w:t>
      </w:r>
      <w:r w:rsidRPr="00FB4F67">
        <w:rPr>
          <w:rFonts w:ascii="Times New Roman" w:hAnsi="Times New Roman" w:cs="Times New Roman"/>
          <w:color w:val="0070C0"/>
          <w:sz w:val="16"/>
          <w:szCs w:val="16"/>
        </w:rPr>
        <w:softHyphen/>
        <w:t>лось, что «администрация взяла из мастерской лекало, без которого нельзя было работать» (РГВИА. Ф. 2000. Он. 2. Д. 6210. Л. 20.).</w:t>
      </w:r>
    </w:p>
    <w:p w14:paraId="732291D2"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стремлении обеспечить взаимозаменяемость частей винтовки приемщики браковали эти части, если они по</w:t>
      </w:r>
      <w:r w:rsidRPr="00FB4F67">
        <w:rPr>
          <w:rFonts w:ascii="Times New Roman" w:hAnsi="Times New Roman" w:cs="Times New Roman"/>
          <w:color w:val="0070C0"/>
          <w:sz w:val="16"/>
          <w:szCs w:val="16"/>
        </w:rPr>
        <w:softHyphen/>
        <w:t>ступали в сборку с разных заводов фирмы, что препятство</w:t>
      </w:r>
      <w:r w:rsidRPr="00FB4F67">
        <w:rPr>
          <w:rFonts w:ascii="Times New Roman" w:hAnsi="Times New Roman" w:cs="Times New Roman"/>
          <w:color w:val="0070C0"/>
          <w:sz w:val="16"/>
          <w:szCs w:val="16"/>
        </w:rPr>
        <w:softHyphen/>
        <w:t>вало специализации и кооперированию, столь необходи</w:t>
      </w:r>
      <w:r w:rsidRPr="00FB4F67">
        <w:rPr>
          <w:rFonts w:ascii="Times New Roman" w:hAnsi="Times New Roman" w:cs="Times New Roman"/>
          <w:color w:val="0070C0"/>
          <w:sz w:val="16"/>
          <w:szCs w:val="16"/>
        </w:rPr>
        <w:softHyphen/>
        <w:t>мым при массовом производстве (Rielage D.C. Op. cit. Р. 58—59.) (23452).</w:t>
      </w:r>
    </w:p>
    <w:p w14:paraId="1041184F" w14:textId="77777777" w:rsidR="000F3C8E" w:rsidRPr="00FB4F67" w:rsidRDefault="000F3C8E" w:rsidP="0083075A">
      <w:pPr>
        <w:spacing w:after="0" w:line="240" w:lineRule="auto"/>
        <w:jc w:val="both"/>
        <w:rPr>
          <w:rFonts w:ascii="Times New Roman" w:hAnsi="Times New Roman" w:cs="Times New Roman"/>
          <w:color w:val="0070C0"/>
          <w:sz w:val="16"/>
          <w:szCs w:val="16"/>
        </w:rPr>
      </w:pPr>
    </w:p>
    <w:p w14:paraId="2C4E3B48" w14:textId="3132DE0F"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21 января </w:t>
      </w:r>
      <w:r>
        <w:rPr>
          <w:rFonts w:ascii="Times New Roman" w:hAnsi="Times New Roman" w:cs="Times New Roman"/>
          <w:color w:val="0070C0"/>
          <w:sz w:val="16"/>
          <w:szCs w:val="16"/>
        </w:rPr>
        <w:t xml:space="preserve">(3 февраля) </w:t>
      </w:r>
      <w:r w:rsidRPr="00FB4F67">
        <w:rPr>
          <w:rFonts w:ascii="Times New Roman" w:hAnsi="Times New Roman" w:cs="Times New Roman"/>
          <w:color w:val="0070C0"/>
          <w:sz w:val="16"/>
          <w:szCs w:val="16"/>
        </w:rPr>
        <w:t>1917 г. Маниковский представил военному министру подробную справку о положении со снарядами. По его словам, оборудование механических заводов с из</w:t>
      </w:r>
      <w:r w:rsidRPr="00FB4F67">
        <w:rPr>
          <w:rFonts w:ascii="Times New Roman" w:hAnsi="Times New Roman" w:cs="Times New Roman"/>
          <w:color w:val="0070C0"/>
          <w:sz w:val="16"/>
          <w:szCs w:val="16"/>
        </w:rPr>
        <w:softHyphen/>
        <w:t>бытком обеспечивало требуемый Ставкой выпуск 3-дм сна</w:t>
      </w:r>
      <w:r w:rsidRPr="00FB4F67">
        <w:rPr>
          <w:rFonts w:ascii="Times New Roman" w:hAnsi="Times New Roman" w:cs="Times New Roman"/>
          <w:color w:val="0070C0"/>
          <w:sz w:val="16"/>
          <w:szCs w:val="16"/>
        </w:rPr>
        <w:softHyphen/>
        <w:t>рядов (соразмерно количеству наличных орудий), а тяже</w:t>
      </w:r>
      <w:r w:rsidRPr="00FB4F67">
        <w:rPr>
          <w:rFonts w:ascii="Times New Roman" w:hAnsi="Times New Roman" w:cs="Times New Roman"/>
          <w:color w:val="0070C0"/>
          <w:sz w:val="16"/>
          <w:szCs w:val="16"/>
        </w:rPr>
        <w:softHyphen/>
        <w:t>лых — пока лишь на две трети, но к весне и подача тяжелых могла достигнуть назначенной нормы, «если, конечно, это</w:t>
      </w:r>
      <w:r w:rsidRPr="00FB4F67">
        <w:rPr>
          <w:rFonts w:ascii="Times New Roman" w:hAnsi="Times New Roman" w:cs="Times New Roman"/>
          <w:color w:val="0070C0"/>
          <w:sz w:val="16"/>
          <w:szCs w:val="16"/>
        </w:rPr>
        <w:softHyphen/>
        <w:t>му не помешают неблагоприятные обстоятельства, которые ныне имеют место». Он подразумевал «недостаток отече</w:t>
      </w:r>
      <w:r w:rsidRPr="00FB4F67">
        <w:rPr>
          <w:rFonts w:ascii="Times New Roman" w:hAnsi="Times New Roman" w:cs="Times New Roman"/>
          <w:color w:val="0070C0"/>
          <w:sz w:val="16"/>
          <w:szCs w:val="16"/>
        </w:rPr>
        <w:softHyphen/>
        <w:t>ственного металла и невозможность получить его на бли</w:t>
      </w:r>
      <w:r w:rsidRPr="00FB4F67">
        <w:rPr>
          <w:rFonts w:ascii="Times New Roman" w:hAnsi="Times New Roman" w:cs="Times New Roman"/>
          <w:color w:val="0070C0"/>
          <w:sz w:val="16"/>
          <w:szCs w:val="16"/>
        </w:rPr>
        <w:softHyphen/>
        <w:t>жайшие сроки из-за границы» (в 1916 г. все же удалось ввез</w:t>
      </w:r>
      <w:r w:rsidRPr="00FB4F67">
        <w:rPr>
          <w:rFonts w:ascii="Times New Roman" w:hAnsi="Times New Roman" w:cs="Times New Roman"/>
          <w:color w:val="0070C0"/>
          <w:sz w:val="16"/>
          <w:szCs w:val="16"/>
        </w:rPr>
        <w:softHyphen/>
        <w:t>ти 1 501 000 пудов чугуна, 4 847 000 пудов железа и стали) (Иоффе А.Е. Русско-французские отношения в 1917 г. М., 1958. С. 25). Подсчет показал: «Требуется снарядной заготовки: для 3 620 000 3-дм снарядов — 2 059 000 пудов, для 1 135 000 тя</w:t>
      </w:r>
      <w:r w:rsidRPr="00FB4F67">
        <w:rPr>
          <w:rFonts w:ascii="Times New Roman" w:hAnsi="Times New Roman" w:cs="Times New Roman"/>
          <w:color w:val="0070C0"/>
          <w:sz w:val="16"/>
          <w:szCs w:val="16"/>
        </w:rPr>
        <w:softHyphen/>
        <w:t>желых снарядов — 4 154 000 пудов. Всего — 6 213 000 пу</w:t>
      </w:r>
      <w:r w:rsidRPr="00FB4F67">
        <w:rPr>
          <w:rFonts w:ascii="Times New Roman" w:hAnsi="Times New Roman" w:cs="Times New Roman"/>
          <w:color w:val="0070C0"/>
          <w:sz w:val="16"/>
          <w:szCs w:val="16"/>
        </w:rPr>
        <w:softHyphen/>
        <w:t>дов». А поступает «ежемесячно всего 4 743 000 пудов». По</w:t>
      </w:r>
      <w:r w:rsidRPr="00FB4F67">
        <w:rPr>
          <w:rFonts w:ascii="Times New Roman" w:hAnsi="Times New Roman" w:cs="Times New Roman"/>
          <w:color w:val="0070C0"/>
          <w:sz w:val="16"/>
          <w:szCs w:val="16"/>
        </w:rPr>
        <w:softHyphen/>
        <w:t>этому на тяжелые снаряды предполагалось направить столько металла, сколько позволит пропустить через механическую обработку имеющееся оборудование заводов (2 823 000 пу</w:t>
      </w:r>
      <w:r w:rsidRPr="00FB4F67">
        <w:rPr>
          <w:rFonts w:ascii="Times New Roman" w:hAnsi="Times New Roman" w:cs="Times New Roman"/>
          <w:color w:val="0070C0"/>
          <w:sz w:val="16"/>
          <w:szCs w:val="16"/>
        </w:rPr>
        <w:softHyphen/>
        <w:t>дов), а из остальных 1 920 000 пудов «можно изготовить около 3 млн 3-дм снарядов... Вот причины, почему и [да</w:t>
      </w:r>
      <w:r w:rsidRPr="00FB4F67">
        <w:rPr>
          <w:rFonts w:ascii="Times New Roman" w:hAnsi="Times New Roman" w:cs="Times New Roman"/>
          <w:color w:val="0070C0"/>
          <w:sz w:val="16"/>
          <w:szCs w:val="16"/>
        </w:rPr>
        <w:softHyphen/>
        <w:t>ваемые] организации генерал-майора Ванкова заказы на 3-дм гранаты были уменьшены против того количества, какое он мог бы выполнять». «В дальнейшем, — доклады</w:t>
      </w:r>
      <w:r w:rsidRPr="00FB4F67">
        <w:rPr>
          <w:rFonts w:ascii="Times New Roman" w:hAnsi="Times New Roman" w:cs="Times New Roman"/>
          <w:color w:val="0070C0"/>
          <w:sz w:val="16"/>
          <w:szCs w:val="16"/>
        </w:rPr>
        <w:softHyphen/>
        <w:t>вал Маниковский, — если положение с металлом не улуч</w:t>
      </w:r>
      <w:r w:rsidRPr="00FB4F67">
        <w:rPr>
          <w:rFonts w:ascii="Times New Roman" w:hAnsi="Times New Roman" w:cs="Times New Roman"/>
          <w:color w:val="0070C0"/>
          <w:sz w:val="16"/>
          <w:szCs w:val="16"/>
        </w:rPr>
        <w:softHyphen/>
        <w:t>шится (а на это пока надежд мало, напротив, есть основа</w:t>
      </w:r>
      <w:r w:rsidRPr="00FB4F67">
        <w:rPr>
          <w:rFonts w:ascii="Times New Roman" w:hAnsi="Times New Roman" w:cs="Times New Roman"/>
          <w:color w:val="0070C0"/>
          <w:sz w:val="16"/>
          <w:szCs w:val="16"/>
        </w:rPr>
        <w:softHyphen/>
        <w:t>ние ждать ухудшения), то по мере развития производства тяжелых снарядов придется еще в большей степени сокра</w:t>
      </w:r>
      <w:r w:rsidRPr="00FB4F67">
        <w:rPr>
          <w:rFonts w:ascii="Times New Roman" w:hAnsi="Times New Roman" w:cs="Times New Roman"/>
          <w:color w:val="0070C0"/>
          <w:sz w:val="16"/>
          <w:szCs w:val="16"/>
        </w:rPr>
        <w:softHyphen/>
        <w:t>тить наряды на трехдюймовые». К 1 мая 1917 г. могло бы скопиться 25—28 млн 3-дм выстрелов, «если, конечно, хва</w:t>
      </w:r>
      <w:r w:rsidRPr="00FB4F67">
        <w:rPr>
          <w:rFonts w:ascii="Times New Roman" w:hAnsi="Times New Roman" w:cs="Times New Roman"/>
          <w:color w:val="0070C0"/>
          <w:sz w:val="16"/>
          <w:szCs w:val="16"/>
        </w:rPr>
        <w:softHyphen/>
        <w:t>тит металлов, пороха и взрывчатых веществ на все коли</w:t>
      </w:r>
      <w:r w:rsidRPr="00FB4F67">
        <w:rPr>
          <w:rFonts w:ascii="Times New Roman" w:hAnsi="Times New Roman" w:cs="Times New Roman"/>
          <w:color w:val="0070C0"/>
          <w:sz w:val="16"/>
          <w:szCs w:val="16"/>
        </w:rPr>
        <w:softHyphen/>
        <w:t>чество и легких и тяжелых снарядов... Наконец, если бы Ставкой и эти ресурсы были признаны недостаточными, то у нас имеется настойчивое предложение французов увели</w:t>
      </w:r>
      <w:r w:rsidRPr="00FB4F67">
        <w:rPr>
          <w:rFonts w:ascii="Times New Roman" w:hAnsi="Times New Roman" w:cs="Times New Roman"/>
          <w:color w:val="0070C0"/>
          <w:sz w:val="16"/>
          <w:szCs w:val="16"/>
        </w:rPr>
        <w:softHyphen/>
        <w:t>чить подачу нам вдвое наших 3-дм патронов (они произво</w:t>
      </w:r>
      <w:r w:rsidRPr="00FB4F67">
        <w:rPr>
          <w:rFonts w:ascii="Times New Roman" w:hAnsi="Times New Roman" w:cs="Times New Roman"/>
          <w:color w:val="0070C0"/>
          <w:sz w:val="16"/>
          <w:szCs w:val="16"/>
        </w:rPr>
        <w:softHyphen/>
        <w:t>дительность их довели с 15 тысяч до 30 тысяч в день)». Но металла для тяжелых снарядов от французов нельзя полу</w:t>
      </w:r>
      <w:r w:rsidRPr="00FB4F67">
        <w:rPr>
          <w:rFonts w:ascii="Times New Roman" w:hAnsi="Times New Roman" w:cs="Times New Roman"/>
          <w:color w:val="0070C0"/>
          <w:sz w:val="16"/>
          <w:szCs w:val="16"/>
        </w:rPr>
        <w:softHyphen/>
        <w:t>чить больше, потому что им, «еле хватает для своих нужд». После январской конференции союзников в 1917 г. Маниковский поспешил заказать во Франции 4,7 млн 3-дм гра</w:t>
      </w:r>
      <w:r w:rsidRPr="00FB4F67">
        <w:rPr>
          <w:rFonts w:ascii="Times New Roman" w:hAnsi="Times New Roman" w:cs="Times New Roman"/>
          <w:color w:val="0070C0"/>
          <w:sz w:val="16"/>
          <w:szCs w:val="16"/>
        </w:rPr>
        <w:softHyphen/>
        <w:t>нат (РГВИА. Ф. 29. Оп. 3. Д. 831. Л. 12-14; Сидоров АЛ. Финансовое положение России. С. 497).</w:t>
      </w:r>
    </w:p>
    <w:p w14:paraId="504515EB"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Но все-таки и тяжелые снаряды от Франции удавалось получить — в виде боекомплектов к 120-мм пушкам образ</w:t>
      </w:r>
      <w:r w:rsidRPr="00FB4F67">
        <w:rPr>
          <w:rFonts w:ascii="Times New Roman" w:hAnsi="Times New Roman" w:cs="Times New Roman"/>
          <w:color w:val="0070C0"/>
          <w:sz w:val="16"/>
          <w:szCs w:val="16"/>
        </w:rPr>
        <w:softHyphen/>
        <w:t>ца 1877 г. Рассматривая вопрос об этой поставке, ГАУ ис</w:t>
      </w:r>
      <w:r w:rsidRPr="00FB4F67">
        <w:rPr>
          <w:rFonts w:ascii="Times New Roman" w:hAnsi="Times New Roman" w:cs="Times New Roman"/>
          <w:color w:val="0070C0"/>
          <w:sz w:val="16"/>
          <w:szCs w:val="16"/>
        </w:rPr>
        <w:softHyphen/>
        <w:t>ходило из того, что имевшиеся собственные орудия ана</w:t>
      </w:r>
      <w:r w:rsidRPr="00FB4F67">
        <w:rPr>
          <w:rFonts w:ascii="Times New Roman" w:hAnsi="Times New Roman" w:cs="Times New Roman"/>
          <w:color w:val="0070C0"/>
          <w:sz w:val="16"/>
          <w:szCs w:val="16"/>
        </w:rPr>
        <w:softHyphen/>
        <w:t>логичного калибра, 48-линейные (122-мм), невозможно полностью использовать из-за нехватки боеприпасов к ним, а французы обещали дать к каждой уступаемой русским 120-мм пушке запас снарядов. Первоначально этот запас выглядел как 500 выстрелов на каждое орудие из 40, «то есть всего 20 тысяч выстрелов и, кроме того, ежедневное снабжение по 5 выстрелов на орудие». Всего в 1916 г. из Франции были доставлены 130 120-мм пушек образца 1877 г. При дополнительной поставке 60 таких пушек в 1917 г. бое</w:t>
      </w:r>
      <w:r w:rsidRPr="00FB4F67">
        <w:rPr>
          <w:rFonts w:ascii="Times New Roman" w:hAnsi="Times New Roman" w:cs="Times New Roman"/>
          <w:color w:val="0070C0"/>
          <w:sz w:val="16"/>
          <w:szCs w:val="16"/>
        </w:rPr>
        <w:softHyphen/>
        <w:t>комплект полагался тот же, то есть 30 тысяч единовремен</w:t>
      </w:r>
      <w:r w:rsidRPr="00FB4F67">
        <w:rPr>
          <w:rFonts w:ascii="Times New Roman" w:hAnsi="Times New Roman" w:cs="Times New Roman"/>
          <w:color w:val="0070C0"/>
          <w:sz w:val="16"/>
          <w:szCs w:val="16"/>
        </w:rPr>
        <w:softHyphen/>
        <w:t>но и затем по 300 выстрелов в день, но фактически в Рос</w:t>
      </w:r>
      <w:r w:rsidRPr="00FB4F67">
        <w:rPr>
          <w:rFonts w:ascii="Times New Roman" w:hAnsi="Times New Roman" w:cs="Times New Roman"/>
          <w:color w:val="0070C0"/>
          <w:sz w:val="16"/>
          <w:szCs w:val="16"/>
        </w:rPr>
        <w:softHyphen/>
        <w:t>сии получили из 60 только 10 орудий. Французские орудия с боекомплектами прибывали с июля 1916 г. и пригоди</w:t>
      </w:r>
      <w:r w:rsidRPr="00FB4F67">
        <w:rPr>
          <w:rFonts w:ascii="Times New Roman" w:hAnsi="Times New Roman" w:cs="Times New Roman"/>
          <w:color w:val="0070C0"/>
          <w:sz w:val="16"/>
          <w:szCs w:val="16"/>
        </w:rPr>
        <w:softHyphen/>
        <w:t>лись при формировании новых батарей тяжелой артилле</w:t>
      </w:r>
      <w:r w:rsidRPr="00FB4F67">
        <w:rPr>
          <w:rFonts w:ascii="Times New Roman" w:hAnsi="Times New Roman" w:cs="Times New Roman"/>
          <w:color w:val="0070C0"/>
          <w:sz w:val="16"/>
          <w:szCs w:val="16"/>
        </w:rPr>
        <w:softHyphen/>
        <w:t>рии. По тем же соображениям ГАУ брало у французов ста</w:t>
      </w:r>
      <w:r w:rsidRPr="00FB4F67">
        <w:rPr>
          <w:rFonts w:ascii="Times New Roman" w:hAnsi="Times New Roman" w:cs="Times New Roman"/>
          <w:color w:val="0070C0"/>
          <w:sz w:val="16"/>
          <w:szCs w:val="16"/>
        </w:rPr>
        <w:softHyphen/>
        <w:t>рые 90-мм пушки (Маниковский А.А. Указ. соч. Ч. 2. С. 170, 73; РГВИА. Ф. 29. Оп. 3. Д. 796. Л. 44 и об. Доклад ГАУ, 16.IV. 1917, утв. Исполнительной комис</w:t>
      </w:r>
      <w:r w:rsidRPr="00FB4F67">
        <w:rPr>
          <w:rFonts w:ascii="Times New Roman" w:hAnsi="Times New Roman" w:cs="Times New Roman"/>
          <w:color w:val="0070C0"/>
          <w:sz w:val="16"/>
          <w:szCs w:val="16"/>
        </w:rPr>
        <w:softHyphen/>
        <w:t>сией 28.IV. 1917; Ф. 2000. On. 1. Д. 829. Л. 44. Игнатьев (Париж) в ГАУ и Ставку, 26.VIII. 1916; Там же. Оп. 2. Д. 1708) (23452).</w:t>
      </w:r>
    </w:p>
    <w:p w14:paraId="0566AD45" w14:textId="77777777" w:rsidR="000F3C8E" w:rsidRPr="00FB4F67" w:rsidRDefault="000F3C8E" w:rsidP="0083075A">
      <w:pPr>
        <w:spacing w:after="0" w:line="240" w:lineRule="auto"/>
        <w:jc w:val="both"/>
        <w:rPr>
          <w:rFonts w:ascii="Times New Roman" w:hAnsi="Times New Roman" w:cs="Times New Roman"/>
          <w:color w:val="0070C0"/>
          <w:sz w:val="16"/>
          <w:szCs w:val="16"/>
        </w:rPr>
      </w:pPr>
    </w:p>
    <w:p w14:paraId="67BD91C1" w14:textId="77777777" w:rsidR="009B4CC6" w:rsidRPr="002F2FDF" w:rsidRDefault="009B4CC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21 января (3 февраля) 1917 г. Маниковский представил военному министру подробную справку о положении со снарядами. По его словам, оборудование механических заводов с избытком обеспечивало требуемый Ставкой (соразмерно количеству наличных орудий) выпуск 3-дм снарядов, а тяжелых — пока лишь на две трети, но к весне и подача тяжелых могла достигнуть назначенной нормы, «если, конечно, этому не помешают неблагоприятные обстоятельства, которые ныне имеют место». Он подразумевал «недостаток отечественного металла и невозможность получить его на ближайшие сроки из-за границы». Подсчет показал: «Требуется снарядной заготовки: для 3 620 000 3-дм снарядов — 2 059 000 пудов, для 1 135 000 тяжелых снарядов — 4 154 000 пудов. Всего — 6 213 000 пудов». А поступает «ежемесячно всего 4 743 000 пудов». Поэтому на тяжелые снаряды предполагалось направить столько металла, сколько позволит пропустить через механическую обработку имеющееся оборудование заводов (2 823 000 пудов), а из оставшихся 1 920 000 пудов «можно изготовить около 3 млн 3-дм снарядов… Вот причины, почему и [даваемые] организации г.-м. Ванкова заказы на 3-дм гранаты были уменьшены против того количества, какое он мог бы выполнять». «В дальнейшем, — докладывал Маниковский, — если положение с металлом не улучшится (а на это пока надежд мало, напротив, есть основание ждать ухудшения), то по мере развития производства тяжелых снарядов придется еще в большей степени сократить наряды на 3- дюймовые». К 1 мая 1917 г. могло бы скопиться 25–28 млн 3-дм выстрелов, «если, конечно, хватит металлов, пороха и взрывчатых веществ на все количество и легких и тяжелых снарядов… Наконец, если бы Ставкой и эти ресурсы были признаны недостаточными, то у нас имеется настойчивое предложение французов увеличить подачу нам вдвое наших 3-дм патронов (они производительность их довели с 15 тыс. до 30 тыс. в день)». Но металла для тяжелых снарядов от французов нельзя получить больше, потому что им «еле хватает для своих нужд» [РГВИА. Ф. 29. Оп. 3. Д. 831. Л. 12–14] (18408).</w:t>
      </w:r>
    </w:p>
    <w:p w14:paraId="6E8D7BB8" w14:textId="77777777" w:rsidR="009B4CC6" w:rsidRPr="002F2FDF" w:rsidRDefault="009B4CC6" w:rsidP="0083075A">
      <w:pPr>
        <w:spacing w:after="0" w:line="240" w:lineRule="auto"/>
        <w:jc w:val="both"/>
        <w:rPr>
          <w:rFonts w:ascii="Times New Roman" w:hAnsi="Times New Roman" w:cs="Times New Roman"/>
          <w:color w:val="000000" w:themeColor="text1"/>
          <w:sz w:val="16"/>
          <w:szCs w:val="16"/>
        </w:rPr>
      </w:pPr>
    </w:p>
    <w:p w14:paraId="44D028A5" w14:textId="77777777" w:rsidR="009B4CC6" w:rsidRPr="002F2FDF" w:rsidRDefault="009B4CC6" w:rsidP="0083075A">
      <w:pPr>
        <w:pStyle w:val="p1"/>
        <w:spacing w:before="0" w:beforeAutospacing="0" w:after="0" w:afterAutospacing="0"/>
        <w:jc w:val="both"/>
        <w:rPr>
          <w:color w:val="000000" w:themeColor="text1"/>
          <w:sz w:val="16"/>
          <w:szCs w:val="16"/>
        </w:rPr>
      </w:pPr>
      <w:r w:rsidRPr="002F2FDF">
        <w:rPr>
          <w:color w:val="000000" w:themeColor="text1"/>
          <w:sz w:val="16"/>
          <w:szCs w:val="16"/>
        </w:rPr>
        <w:t xml:space="preserve">21 января (3 февраля) 1917 г. Маниковский представил военному министру подробную справку о положении со снарядами. По его словам, оборудование механических заводов с избытком обеспечивало требуемый Ставкой выпуск 3-дм снарядов (соразмерно количеству наличных орудий), а тяжелых — пока лишь на две трети, но к весне и подача тяжелых могла достигнуть назначенной нормы, «если, конечно, этому не помешают неблагоприятные обстоятельства, которые ныне имеют место». Он подразумевал «недостаток отечественного металла и невозможность получить его на ближайшие сроки из-за границы» (в 1916 г. все же удалось ввезти 1 501 000 пудов чугуна, 4 847 000 пудов железа и стали). Подсчет показал: «Требуется снарядной заготовки: для 3 620 000 3-дм снарядов — 2 059 000 пудов, для 1 135 000 тяжелых снарядов — 4 154 000 пудов. Всего — 6 213 000 пудов». А поступает «ежемесячно всего 4 743 000 пудов». Поэтому на тяжелые снаряды предполагалось </w:t>
      </w:r>
      <w:r w:rsidRPr="002F2FDF">
        <w:rPr>
          <w:color w:val="000000" w:themeColor="text1"/>
          <w:sz w:val="16"/>
          <w:szCs w:val="16"/>
        </w:rPr>
        <w:lastRenderedPageBreak/>
        <w:t>направить столько металла, сколько позволит пропустить через механическую обработку имеющееся оборудование заводов (2 823 000 пудов), а из остальных 1 920 000 пудов «можно изготовить около 3 млн. 3-дм снарядов… Вот причины, почему и [даваемые] организации генерал-майора Ванкова заказы на 3-дм гранаты были уменьшены против того количества, какое он мог бы выполнять». «В дальнейшем, — докладывал Маниковский, — если положение с металлом не улучшится (а на это пока надежд мало, напротив, есть основание ждать ухудшения), то по мере развития производства тяжелых снарядов придется еще в большей степени сократить наряды на трехдюймовые». К 1 мая 1917 г. могло бы скопиться 25–28 млн. 3-дм выстрелов, «если, конечно, хватит металлов, пороха и взрывчатых веществ на все количество и легких и тяжелых снарядов… Наконец, если бы Ставкой и эти ресурсы были признаны недостаточными, то у нас имеется настойчивое предложение французов увеличить подачу нам вдвое наших 3-дм патронов (они производительность их довели с 15 тысяч до 30 тысяч в день)». Но металла для тяжелых снарядов от французов нельзя получить больше, потому что им, «еле хватает для своих нужд». После январской конференции союзников в 1917 г. Маниковский поспешил заказать во Франции 4,7 млн. 3-дм гранат (18409).</w:t>
      </w:r>
    </w:p>
    <w:p w14:paraId="00B423E0" w14:textId="77777777" w:rsidR="009B4CC6" w:rsidRPr="002F2FDF" w:rsidRDefault="009B4CC6" w:rsidP="0083075A">
      <w:pPr>
        <w:pStyle w:val="p1"/>
        <w:spacing w:before="0" w:beforeAutospacing="0" w:after="0" w:afterAutospacing="0"/>
        <w:jc w:val="both"/>
        <w:rPr>
          <w:color w:val="000000" w:themeColor="text1"/>
          <w:sz w:val="16"/>
          <w:szCs w:val="16"/>
        </w:rPr>
      </w:pPr>
    </w:p>
    <w:p w14:paraId="19D10B5D" w14:textId="77777777" w:rsidR="009B4CC6" w:rsidRPr="002F2FDF" w:rsidRDefault="009B4CC6"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Лишь 21 января (3 февраля) 1917 г. в Петроград было доложено о «постепенном получении лекал» и о том, что «дело хотя медленно, но постепенно налаживается», но это не касалось «Вестингауза»: завод «упорно противится», сообщал Залюбовский в ГАУ 20 апреля 1917 г., не желает подчиниться «нашим техническим указаниям» и по-прежнему делает винтовки без проверки лекалами и приборами «за их отсутствием». «Как оружейник, — заявил он, — не могу взять на себя ответственность за соглашение с этой компанией, которая девять месяцев все обещает мне исполнить даже самые минимальные требования и ничего не делает для установления нормальной выделки винтовок… Качество, несмотря на все усилия приемщиков, почти не изменяется». Все это — несмотря на то, что образцы винтовки, спецификация и чертежи лекал были переданы фирме еще до заключения контрактов, в апреле 1915 г., «а осенью того же года был передан также весь набор лекал в натуре», — свидетельствовал B.C. Михайлов.</w:t>
      </w:r>
    </w:p>
    <w:p w14:paraId="03ADB11A" w14:textId="77777777" w:rsidR="009B4CC6" w:rsidRPr="002F2FDF" w:rsidRDefault="009B4CC6"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Непонятное на первый взгляд упрямство фирмы, не желавшей использовать лекала, получает объяснение в тех сведениях, какие тут же добросовестно сообщает Михайлов. Имелись «весьма досадные обстоятельства, лежавшие целиком на вине заказчика» и служившие «Вестингаузу» «отличной базой для оттяжки сроков поставки, претензий к заказчику об убытках и всякого рода препирательств с инспекцией приемок»: в присланных «Вестингаузу» из России лекалах оказалось расхождение с чертежами, а в чертежах обнаружились «неточности и неувязки». К тому же лекала оказались не новыми, «в них был известный износ», а в присланных образцовых винтовках — «расхождение некоторых размеров самих винтовок с лекалами и чертежами. Кроме того, сами винтовки имели некоторые дефекты»</w:t>
      </w:r>
      <w:r w:rsidRPr="002F2FDF">
        <w:rPr>
          <w:color w:val="000000" w:themeColor="text1"/>
          <w:sz w:val="16"/>
          <w:szCs w:val="16"/>
          <w:vertAlign w:val="superscript"/>
        </w:rPr>
        <w:t>{203}</w:t>
      </w:r>
      <w:r w:rsidRPr="002F2FDF">
        <w:rPr>
          <w:color w:val="000000" w:themeColor="text1"/>
          <w:sz w:val="16"/>
          <w:szCs w:val="16"/>
        </w:rPr>
        <w:t>. В этом, надо полагать, и была причина того, что американские лекальщики не могли скопировать русские образцы. По свидетельствам с американской стороны, завод, потеряв надежду получить лекала из России, принялся самостоятельно их изготовлять, и лишь через полгода ГАУ прислало часть лекал, причем они находились в деятельном употреблении с 1892 г. и расходились как с лекалами американского изготовления, так и с чертежами, представленными заказчиком. Именно из-за этой небрежности ГАУ пришлось затем прислать 40 контрольных образцов винтовок. Но русские приемщики в США и эти образцы считали неудовлетворительными по качеству и непригодными, так как это были винтовки, выпущенные во время войны, по облегченным требованиям и с льготными допусками.</w:t>
      </w:r>
    </w:p>
    <w:p w14:paraId="396FE7E8" w14:textId="77777777" w:rsidR="009B4CC6" w:rsidRPr="002F2FDF" w:rsidRDefault="009B4CC6"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Ответственность за срыв сроков поставок от «Вестингауза» и «Ремингтона» должна была лежать на ГАУ, но, вполне понятно, признавать эту ответственность, чреватую служебными репрессиями, русские артиллеристы не спешили. Характерно, что и Михайлов в полной мере выдержать объективность не смог. «По существу же дела, — добавил он, — указанные погрешности в образцах и чертежах, конечно, не могли иметь заметного влияния на ход работы «Вестингауза», и он [завод] не обратил бы на них внимания, если бы был в состоянии технически и организационно сразу хорошо справиться с делом». С этим разъяснением не сходится то упорство, какое было проявлено приемщиками в отношении столь малозначительных, по мысли Михайлова, «погрешностей». Маниковскому было понятно, что «самый простой способ остановить работу завода на долгое время — это лишить его лекал». Присылка хотя бы одного-двух негодных лекал уже могла создать кризис. В декабре 1916 г. «вдруг… у “Ремингтона” начали проявляться непонятные остановки, — телеграфировал в Петроград Залюбовский, — а в январе сильное уменьшение сдач». Оказалось, что «администрация взяла из мастерской лекало, без которого нельзя было работать».</w:t>
      </w:r>
    </w:p>
    <w:p w14:paraId="15208CFB" w14:textId="77777777" w:rsidR="009B4CC6" w:rsidRPr="002F2FDF" w:rsidRDefault="009B4CC6"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 стремлении обеспечить взаимозаменяемость частей винтовки приемщики браковали эти части, если они поступали в сборку с разных заводов фирмы, что препятствовало специализации и кооперированию, столь необходимым при массовом производстве.</w:t>
      </w:r>
    </w:p>
    <w:p w14:paraId="1CCD4550" w14:textId="77777777" w:rsidR="009B4CC6" w:rsidRPr="002F2FDF" w:rsidRDefault="009B4CC6"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Впоследствии, оспаривая мнение Сапожникова и Маниковского, Залюбовский считал себя «обязанным засвидетельствовать», что заводы в США выполнили главную задачу «безукоризненно, то есть вполне выдержанно и быстро», а объяснение запоздания заказов неумением американцев приспособиться к массовой выделке новых предметов «совершенно неверно»; «несправедливо взваливать всю вину за опоздания на американцев и англичан… целиком выгораживая и оправдывая наши действия, главным образом действия Русского заготовительного комитета».</w:t>
      </w:r>
    </w:p>
    <w:p w14:paraId="09E8D686" w14:textId="77777777" w:rsidR="009B4CC6" w:rsidRPr="002F2FDF" w:rsidRDefault="009B4CC6" w:rsidP="0083075A">
      <w:pPr>
        <w:pStyle w:val="p1"/>
        <w:spacing w:before="0" w:beforeAutospacing="0" w:after="0" w:afterAutospacing="0"/>
        <w:jc w:val="both"/>
        <w:rPr>
          <w:color w:val="000000" w:themeColor="text1"/>
          <w:sz w:val="16"/>
          <w:szCs w:val="16"/>
        </w:rPr>
      </w:pPr>
      <w:r w:rsidRPr="002F2FDF">
        <w:rPr>
          <w:color w:val="000000" w:themeColor="text1"/>
          <w:sz w:val="16"/>
          <w:szCs w:val="16"/>
        </w:rPr>
        <w:t>Утверждая, что русским специалистам удалось приучить американские заводы к высокой точности в работе, Маниковский приписал своим подчиненным лишние заслуги. Из его переписки с представителями ГАУ в США следует, что до конца 1916 г. относительно небольшие партии винтовок проходили приемку только благодаря вынужденному понижению требований со стороны ГАУ (отказ от взаимозаменяемости частей, сдача винтовок в собранном виде и т. п.). Отчаявшись добиться своего, чины ГАУ запрашивали из США разрешения начальства разорвать контракты — «лучше взять у них возможно меньше неудовлетворительных ружей», зато получить станки (но на это еще нужно было согласие английских инстанций, контролировавших русские заказы в Америке), и часть заказов действительно была отменена (18409).</w:t>
      </w:r>
    </w:p>
    <w:p w14:paraId="447A7898" w14:textId="77777777" w:rsidR="009B4CC6" w:rsidRPr="002F2FDF" w:rsidRDefault="009B4CC6" w:rsidP="0083075A">
      <w:pPr>
        <w:pStyle w:val="p1"/>
        <w:spacing w:before="0" w:beforeAutospacing="0" w:after="0" w:afterAutospacing="0"/>
        <w:jc w:val="both"/>
        <w:rPr>
          <w:color w:val="000000" w:themeColor="text1"/>
          <w:sz w:val="16"/>
          <w:szCs w:val="16"/>
        </w:rPr>
      </w:pPr>
    </w:p>
    <w:p w14:paraId="33710941" w14:textId="01CF7F4B" w:rsidR="00CC247A" w:rsidRDefault="00CC247A"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5A7B6750" w14:textId="77777777" w:rsidR="00CC247A" w:rsidRDefault="00CC247A"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4B374A4B" w14:textId="4E8C54B8" w:rsidR="00CC247A" w:rsidRPr="00FB4F67" w:rsidRDefault="00CC247A"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21 января (</w:t>
      </w:r>
      <w:r w:rsidRPr="00FB4F67">
        <w:rPr>
          <w:rFonts w:ascii="Times New Roman" w:hAnsi="Times New Roman" w:cs="Times New Roman"/>
          <w:color w:val="0070C0"/>
          <w:sz w:val="16"/>
          <w:szCs w:val="16"/>
        </w:rPr>
        <w:t>3 февраля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немецкий самолет бомбил ст. Роденпойс (Гаркалне, северо-восточнее Риги)  (23405).</w:t>
      </w:r>
    </w:p>
    <w:p w14:paraId="2329FE1B" w14:textId="77777777" w:rsidR="00CC247A" w:rsidRPr="00FB4F67" w:rsidRDefault="00CC247A" w:rsidP="0083075A">
      <w:pPr>
        <w:spacing w:after="0" w:line="240" w:lineRule="auto"/>
        <w:jc w:val="both"/>
        <w:rPr>
          <w:rFonts w:ascii="Times New Roman" w:hAnsi="Times New Roman" w:cs="Times New Roman"/>
          <w:color w:val="0070C0"/>
          <w:sz w:val="16"/>
          <w:szCs w:val="16"/>
        </w:rPr>
      </w:pPr>
    </w:p>
    <w:p w14:paraId="1D062A00" w14:textId="45F91E6D" w:rsidR="00CC247A" w:rsidRPr="00FB4F67" w:rsidRDefault="00CC247A" w:rsidP="0083075A">
      <w:pPr>
        <w:spacing w:after="0" w:line="240" w:lineRule="auto"/>
        <w:jc w:val="both"/>
        <w:rPr>
          <w:rFonts w:ascii="Times New Roman" w:hAnsi="Times New Roman" w:cs="Times New Roman"/>
          <w:color w:val="0070C0"/>
          <w:sz w:val="16"/>
          <w:szCs w:val="16"/>
        </w:rPr>
      </w:pPr>
      <w:bookmarkStart w:id="12" w:name="bookmark691"/>
      <w:r>
        <w:rPr>
          <w:rFonts w:ascii="Times New Roman" w:hAnsi="Times New Roman" w:cs="Times New Roman"/>
          <w:color w:val="0070C0"/>
          <w:sz w:val="16"/>
          <w:szCs w:val="16"/>
        </w:rPr>
        <w:t>21 января (</w:t>
      </w:r>
      <w:r w:rsidRPr="00FB4F67">
        <w:rPr>
          <w:rFonts w:ascii="Times New Roman" w:hAnsi="Times New Roman" w:cs="Times New Roman"/>
          <w:color w:val="0070C0"/>
          <w:sz w:val="16"/>
          <w:szCs w:val="16"/>
        </w:rPr>
        <w:t>3 февраля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на одном из участков Рижского укрепленного района противником был потерян привязной аэростат, сорванный порывом ветра с троса и унесенный из района «германского расположения» (23405).</w:t>
      </w:r>
      <w:bookmarkEnd w:id="12"/>
    </w:p>
    <w:p w14:paraId="108613D3" w14:textId="77777777" w:rsidR="00CC247A" w:rsidRPr="00FB4F67" w:rsidRDefault="00CC247A" w:rsidP="0083075A">
      <w:pPr>
        <w:spacing w:after="0" w:line="240" w:lineRule="auto"/>
        <w:jc w:val="both"/>
        <w:rPr>
          <w:rFonts w:ascii="Times New Roman" w:hAnsi="Times New Roman" w:cs="Times New Roman"/>
          <w:color w:val="0070C0"/>
          <w:sz w:val="16"/>
          <w:szCs w:val="16"/>
        </w:rPr>
      </w:pPr>
    </w:p>
    <w:p w14:paraId="2971359D" w14:textId="127CD81C"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7228C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6465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января (3 февраля) 1917 немецкая подводная лодка потопила американский лайнер Houseatonic у берегов Сицилии и США разорвали дипотношения с Германией (2100).</w:t>
      </w:r>
    </w:p>
    <w:p w14:paraId="3D9DA7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3519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января (3 февраля) 1917 США разорвали отношения с Германией (2252).</w:t>
      </w:r>
    </w:p>
    <w:p w14:paraId="642D30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9A93C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92541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5047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22 января </w:t>
      </w:r>
      <w:r w:rsidR="00E44BC9" w:rsidRPr="002F2FDF">
        <w:rPr>
          <w:rFonts w:ascii="Times New Roman" w:hAnsi="Times New Roman" w:cs="Times New Roman"/>
          <w:color w:val="000000" w:themeColor="text1"/>
          <w:kern w:val="2"/>
          <w:sz w:val="16"/>
          <w:szCs w:val="16"/>
        </w:rPr>
        <w:t xml:space="preserve">(4 февраля) </w:t>
      </w:r>
      <w:r w:rsidRPr="002F2FDF">
        <w:rPr>
          <w:rFonts w:ascii="Times New Roman" w:hAnsi="Times New Roman" w:cs="Times New Roman"/>
          <w:color w:val="000000" w:themeColor="text1"/>
          <w:kern w:val="2"/>
          <w:sz w:val="16"/>
          <w:szCs w:val="16"/>
        </w:rPr>
        <w:t>1917 г. УВВФ разрешило “допустить к сдаче и отправке 25 самолетов “ЛебедьЛ2” с установленными на них четырьмя круглыми бомбосбрасывателями системы инженера Шкульника” (9774).</w:t>
      </w:r>
    </w:p>
    <w:p w14:paraId="43C31B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FA9D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января (4 февраля) 1917 г. УВВФ разрешило "допустить к сдаче и отправке 25 самолетов "Лебедь-12" с установленными на них 4-мя круглыми бомбосбрасывателями системы инженера Шкульника" (11999).</w:t>
      </w:r>
    </w:p>
    <w:p w14:paraId="5F7E08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2175E1" w14:textId="77777777" w:rsidR="00247AF3" w:rsidRPr="002F2FDF" w:rsidRDefault="00247AF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BB3F5F4" w14:textId="77777777" w:rsidR="00247AF3" w:rsidRPr="002F2FDF" w:rsidRDefault="00247AF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EF7AD7" w14:textId="77777777" w:rsidR="00247AF3" w:rsidRPr="002F2FDF" w:rsidRDefault="00247AF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22 января (4 февраля) 1917 г. на Петроградской конференции союзников военный министр Беляев вынужден был просить о заграничных поставках, помимо вооружения, также чугуна и стали (удалось выпросить 106 тыс. т, т. е. 6,6 млн пудов) (18408).</w:t>
      </w:r>
    </w:p>
    <w:p w14:paraId="1B487063" w14:textId="77777777" w:rsidR="00247AF3" w:rsidRPr="002F2FDF" w:rsidRDefault="00247AF3" w:rsidP="0083075A">
      <w:pPr>
        <w:spacing w:after="0" w:line="240" w:lineRule="auto"/>
        <w:jc w:val="both"/>
        <w:rPr>
          <w:rFonts w:ascii="Times New Roman" w:hAnsi="Times New Roman" w:cs="Times New Roman"/>
          <w:color w:val="000000" w:themeColor="text1"/>
          <w:sz w:val="16"/>
          <w:szCs w:val="16"/>
        </w:rPr>
      </w:pPr>
    </w:p>
    <w:p w14:paraId="450C371E" w14:textId="77777777" w:rsidR="00247AF3" w:rsidRPr="002F2FDF" w:rsidRDefault="00247AF3" w:rsidP="0083075A">
      <w:pPr>
        <w:pStyle w:val="p1"/>
        <w:spacing w:before="0" w:beforeAutospacing="0" w:after="0" w:afterAutospacing="0"/>
        <w:jc w:val="both"/>
        <w:rPr>
          <w:color w:val="000000" w:themeColor="text1"/>
          <w:sz w:val="16"/>
          <w:szCs w:val="16"/>
        </w:rPr>
      </w:pPr>
      <w:r w:rsidRPr="002F2FDF">
        <w:rPr>
          <w:color w:val="000000" w:themeColor="text1"/>
          <w:sz w:val="16"/>
          <w:szCs w:val="16"/>
        </w:rPr>
        <w:t>22 января (4 февраля) 1917 г. на Петроградской конференции военный министр Беляев вынужден был просить у союзников, помимо вооружения, также чугуна и стали (удалось выпросить 106 тыс. тонн, то есть 6,6 млн. пудов). 1 февраля 1917 г. ввиду «наступившего кризиса» он указал на необходимость «считаться с предстоящим… временным закрытием некоторых обслуживающих оборону заводов», что в действительности и стало практиковаться и распространилось в феврале на Ижорский и Путиловский заводы в Петрограде (с известными последствиями). «Главные причины катастрофы — транспорт и топливо», а не революция, считали руководители «Продаметы». Более того, в марте — мае 1917 г. выплавка чугуна немного (и ненадолго) восстановилась (18409).</w:t>
      </w:r>
    </w:p>
    <w:p w14:paraId="00AB59BC" w14:textId="77777777" w:rsidR="00247AF3" w:rsidRPr="002F2FDF" w:rsidRDefault="00247AF3" w:rsidP="0083075A">
      <w:pPr>
        <w:pStyle w:val="p1"/>
        <w:spacing w:before="0" w:beforeAutospacing="0" w:after="0" w:afterAutospacing="0"/>
        <w:jc w:val="both"/>
        <w:rPr>
          <w:color w:val="000000" w:themeColor="text1"/>
          <w:sz w:val="16"/>
          <w:szCs w:val="16"/>
        </w:rPr>
      </w:pPr>
    </w:p>
    <w:p w14:paraId="00EBB996" w14:textId="47628FDE" w:rsidR="000F3C8E" w:rsidRPr="00FB4F67" w:rsidRDefault="000F3C8E" w:rsidP="0083075A">
      <w:pPr>
        <w:spacing w:after="0" w:line="240" w:lineRule="auto"/>
        <w:jc w:val="both"/>
        <w:rPr>
          <w:rFonts w:ascii="Times New Roman" w:hAnsi="Times New Roman" w:cs="Times New Roman"/>
          <w:color w:val="0070C0"/>
          <w:sz w:val="16"/>
          <w:szCs w:val="16"/>
        </w:rPr>
      </w:pPr>
      <w:bookmarkStart w:id="13" w:name="bookmark670"/>
      <w:bookmarkStart w:id="14" w:name="bookmark671"/>
      <w:r w:rsidRPr="00FB4F67">
        <w:rPr>
          <w:rFonts w:ascii="Times New Roman" w:hAnsi="Times New Roman" w:cs="Times New Roman"/>
          <w:color w:val="0070C0"/>
          <w:sz w:val="16"/>
          <w:szCs w:val="16"/>
        </w:rPr>
        <w:t xml:space="preserve">22 января </w:t>
      </w:r>
      <w:r>
        <w:rPr>
          <w:rFonts w:ascii="Times New Roman" w:hAnsi="Times New Roman" w:cs="Times New Roman"/>
          <w:color w:val="0070C0"/>
          <w:sz w:val="16"/>
          <w:szCs w:val="16"/>
        </w:rPr>
        <w:t xml:space="preserve">(4 февраля) </w:t>
      </w:r>
      <w:r w:rsidRPr="00FB4F67">
        <w:rPr>
          <w:rFonts w:ascii="Times New Roman" w:hAnsi="Times New Roman" w:cs="Times New Roman"/>
          <w:color w:val="0070C0"/>
          <w:sz w:val="16"/>
          <w:szCs w:val="16"/>
        </w:rPr>
        <w:t>1917 г. на Петроград</w:t>
      </w:r>
      <w:r w:rsidRPr="00FB4F67">
        <w:rPr>
          <w:rFonts w:ascii="Times New Roman" w:hAnsi="Times New Roman" w:cs="Times New Roman"/>
          <w:color w:val="0070C0"/>
          <w:sz w:val="16"/>
          <w:szCs w:val="16"/>
        </w:rPr>
        <w:softHyphen/>
        <w:t>ской конференции военный министр Беляев вынужден был просить у союзников, помимо вооружения, также чугуна и стали (удалось выпросить 106 тыс. тонн, то есть 6,6 млн пудов). 1 февраля 1917 г. ввиду «наступившего кризиса» он указал на необходимость «считаться с предстоящим... вре</w:t>
      </w:r>
      <w:r w:rsidRPr="00FB4F67">
        <w:rPr>
          <w:rFonts w:ascii="Times New Roman" w:hAnsi="Times New Roman" w:cs="Times New Roman"/>
          <w:color w:val="0070C0"/>
          <w:sz w:val="16"/>
          <w:szCs w:val="16"/>
        </w:rPr>
        <w:softHyphen/>
        <w:t>менным закрытием некоторых обслуживающих оборону заводов», что в действительности и стало практиковаться и распространилось в феврале на Ижорский и Путиловский заводы в Петрограде (с известными последствиями). «Глав</w:t>
      </w:r>
      <w:r w:rsidRPr="00FB4F67">
        <w:rPr>
          <w:rFonts w:ascii="Times New Roman" w:hAnsi="Times New Roman" w:cs="Times New Roman"/>
          <w:color w:val="0070C0"/>
          <w:sz w:val="16"/>
          <w:szCs w:val="16"/>
        </w:rPr>
        <w:softHyphen/>
        <w:t>ные причины катастрофы — транспорт и топливо», а не ре</w:t>
      </w:r>
      <w:r w:rsidRPr="00FB4F67">
        <w:rPr>
          <w:rFonts w:ascii="Times New Roman" w:hAnsi="Times New Roman" w:cs="Times New Roman"/>
          <w:color w:val="0070C0"/>
          <w:sz w:val="16"/>
          <w:szCs w:val="16"/>
        </w:rPr>
        <w:softHyphen/>
        <w:t xml:space="preserve">волюция, считали </w:t>
      </w:r>
      <w:r w:rsidRPr="00FB4F67">
        <w:rPr>
          <w:rFonts w:ascii="Times New Roman" w:hAnsi="Times New Roman" w:cs="Times New Roman"/>
          <w:color w:val="0070C0"/>
          <w:sz w:val="16"/>
          <w:szCs w:val="16"/>
        </w:rPr>
        <w:lastRenderedPageBreak/>
        <w:t>руководители «Продаметы» (Тарновский К.Н. Указ. соч. С. 216, 218, 225—228. См. также: Семен</w:t>
      </w:r>
      <w:r w:rsidRPr="00FB4F67">
        <w:rPr>
          <w:rFonts w:ascii="Times New Roman" w:hAnsi="Times New Roman" w:cs="Times New Roman"/>
          <w:color w:val="0070C0"/>
          <w:sz w:val="16"/>
          <w:szCs w:val="16"/>
        </w:rPr>
        <w:softHyphen/>
        <w:t>ников В.П. Монархия перед крушением. М.; Л., 1927. С. 131 — 134; ЭПР. Ч. 2. С. ПО; РГВИА. Ф. 2000. On. 1. Д. 6251. Л. 151, 92, 171; ЭПР. Ч. 1. С. 247). Более того, в марте—мае 1917 г. выплавка чугуна немного (и ненадолго) восстановилась (23452).</w:t>
      </w:r>
    </w:p>
    <w:p w14:paraId="6E3B715A" w14:textId="77777777" w:rsidR="000F3C8E" w:rsidRPr="00FB4F67" w:rsidRDefault="000F3C8E" w:rsidP="0083075A">
      <w:pPr>
        <w:spacing w:after="0" w:line="240" w:lineRule="auto"/>
        <w:jc w:val="both"/>
        <w:rPr>
          <w:rFonts w:ascii="Times New Roman" w:hAnsi="Times New Roman" w:cs="Times New Roman"/>
          <w:color w:val="0070C0"/>
          <w:sz w:val="16"/>
          <w:szCs w:val="16"/>
        </w:rPr>
      </w:pPr>
    </w:p>
    <w:bookmarkEnd w:id="13"/>
    <w:bookmarkEnd w:id="14"/>
    <w:p w14:paraId="0820B332" w14:textId="05D101F1" w:rsidR="00F1039C" w:rsidRPr="002F2FDF" w:rsidRDefault="00F1039C" w:rsidP="0083075A">
      <w:pPr>
        <w:spacing w:after="0" w:line="240" w:lineRule="auto"/>
        <w:jc w:val="both"/>
        <w:rPr>
          <w:rFonts w:ascii="Times New Roman" w:hAnsi="Times New Roman" w:cs="Times New Roman"/>
          <w:i/>
          <w:iCs/>
          <w:sz w:val="16"/>
          <w:szCs w:val="16"/>
        </w:rPr>
      </w:pPr>
      <w:r w:rsidRPr="002F2FDF">
        <w:rPr>
          <w:rFonts w:ascii="Times New Roman" w:hAnsi="Times New Roman" w:cs="Times New Roman"/>
          <w:i/>
          <w:iCs/>
          <w:sz w:val="16"/>
          <w:szCs w:val="16"/>
        </w:rPr>
        <w:t>Армия:</w:t>
      </w:r>
    </w:p>
    <w:p w14:paraId="04BCCFEF" w14:textId="77777777" w:rsidR="00F1039C" w:rsidRPr="002F2FDF" w:rsidRDefault="00F1039C" w:rsidP="0083075A">
      <w:pPr>
        <w:spacing w:after="0" w:line="240" w:lineRule="auto"/>
        <w:jc w:val="both"/>
        <w:rPr>
          <w:rFonts w:ascii="Times New Roman" w:hAnsi="Times New Roman" w:cs="Times New Roman"/>
          <w:i/>
          <w:iCs/>
          <w:sz w:val="16"/>
          <w:szCs w:val="16"/>
        </w:rPr>
      </w:pPr>
    </w:p>
    <w:p w14:paraId="45F6F7C9" w14:textId="6987405B" w:rsidR="00F1039C" w:rsidRPr="002F2FDF" w:rsidRDefault="00F1039C"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22 января (4 февраля) 1917 г. Александр Михайлович писал в Ставку: «Параллельно с постепенным налаживанием в нашей армии корректирования стрельбы артиллерии при помощи самолетов, с фронтов начали поступать весьма частые просьбы о сформировании возможно большего числа (…) артиллерийских отрядов».</w:t>
      </w:r>
    </w:p>
    <w:p w14:paraId="2E8CC146" w14:textId="77777777" w:rsidR="00F1039C" w:rsidRPr="002F2FDF" w:rsidRDefault="00F1039C"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В авиации действующей армии самолеты-корректировщики впервые оказали большую помощь артиллерии в 1915 г. во время осады крепости Перемышль. Однако из-за недостатка материальной части специальные артиллерийские отряды в русской армии не формировались до 1917 г. Их роль выполняли корпусные авиаотряды. В некоторых из них были даже созданы отделения двухсамолетного состава с радиотелеграфной аппаратурой. Кроме того, в корпусных авиаотрядах один из летчиков-наблюдателей заведовал организацией работы с артиллерией. Тем не менее, артиллеристы, руководствуясь примером франко-английской и германской авиации, настаивали на формировании в 1917 г. специальных артиллерийских авиаотрядов (19566).</w:t>
      </w:r>
    </w:p>
    <w:p w14:paraId="68DF5971" w14:textId="77777777" w:rsidR="00F1039C" w:rsidRPr="002F2FDF" w:rsidRDefault="00F1039C" w:rsidP="0083075A">
      <w:pPr>
        <w:spacing w:after="0" w:line="240" w:lineRule="auto"/>
        <w:jc w:val="both"/>
        <w:rPr>
          <w:rFonts w:ascii="Times New Roman" w:hAnsi="Times New Roman" w:cs="Times New Roman"/>
          <w:sz w:val="16"/>
          <w:szCs w:val="16"/>
        </w:rPr>
      </w:pPr>
    </w:p>
    <w:p w14:paraId="765C1C76" w14:textId="75DBBC74" w:rsidR="007F78D6" w:rsidRPr="00FB4F67" w:rsidRDefault="007F78D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22 января (</w:t>
      </w:r>
      <w:r w:rsidRPr="00FB4F67">
        <w:rPr>
          <w:rFonts w:ascii="Times New Roman" w:hAnsi="Times New Roman" w:cs="Times New Roman"/>
          <w:color w:val="0070C0"/>
          <w:sz w:val="16"/>
          <w:szCs w:val="16"/>
        </w:rPr>
        <w:t>4 февраля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неприятельский летательный аппарат над м. Поставы был обстрелян с земли и вынужден быстро спуститься в расположении своих войск. Днем ранее один из наших самолетов вступил в бой с аэропланом противника и заставил его снизиться в тылу своих войск (в 10 км северо-западнее Иллукста).</w:t>
      </w:r>
    </w:p>
    <w:p w14:paraId="46BCE45C" w14:textId="77777777" w:rsidR="007F78D6" w:rsidRPr="00FB4F67" w:rsidRDefault="007F78D6" w:rsidP="0083075A">
      <w:pPr>
        <w:spacing w:after="0" w:line="240" w:lineRule="auto"/>
        <w:jc w:val="both"/>
        <w:rPr>
          <w:rFonts w:ascii="Times New Roman" w:hAnsi="Times New Roman" w:cs="Times New Roman"/>
          <w:color w:val="0070C0"/>
          <w:sz w:val="16"/>
          <w:szCs w:val="16"/>
        </w:rPr>
      </w:pPr>
      <w:bookmarkStart w:id="15" w:name="bookmark690"/>
      <w:r w:rsidRPr="00FB4F67">
        <w:rPr>
          <w:rFonts w:ascii="Times New Roman" w:hAnsi="Times New Roman" w:cs="Times New Roman"/>
          <w:color w:val="0070C0"/>
          <w:sz w:val="16"/>
          <w:szCs w:val="16"/>
        </w:rPr>
        <w:t>В последующие дни немецкие самолеты совершили налеты на г. Якобштадт, Вилейка, станции Роденпойс, Погорельцы (район Луцка), Радзивиллов, м. Ливенгоф (близи Фридрихштадта), южнее м. Киселин, д. Святица (севернее оз. Выгоновское) и др.</w:t>
      </w:r>
      <w:bookmarkEnd w:id="15"/>
      <w:r w:rsidRPr="00FB4F67">
        <w:rPr>
          <w:rFonts w:ascii="Times New Roman" w:hAnsi="Times New Roman" w:cs="Times New Roman"/>
          <w:color w:val="0070C0"/>
          <w:sz w:val="16"/>
          <w:szCs w:val="16"/>
        </w:rPr>
        <w:t xml:space="preserve"> (23405).</w:t>
      </w:r>
    </w:p>
    <w:p w14:paraId="57918340" w14:textId="77777777" w:rsidR="007F78D6" w:rsidRPr="00FB4F67" w:rsidRDefault="007F78D6" w:rsidP="0083075A">
      <w:pPr>
        <w:spacing w:after="0" w:line="240" w:lineRule="auto"/>
        <w:jc w:val="both"/>
        <w:rPr>
          <w:rFonts w:ascii="Times New Roman" w:hAnsi="Times New Roman" w:cs="Times New Roman"/>
          <w:color w:val="0070C0"/>
          <w:sz w:val="16"/>
          <w:szCs w:val="16"/>
        </w:rPr>
      </w:pPr>
    </w:p>
    <w:p w14:paraId="489E40F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2F2FDF">
        <w:rPr>
          <w:rFonts w:ascii="Times New Roman" w:hAnsi="Times New Roman" w:cs="Times New Roman"/>
          <w:i/>
          <w:iCs/>
          <w:color w:val="000000" w:themeColor="text1"/>
          <w:kern w:val="2"/>
          <w:sz w:val="16"/>
          <w:szCs w:val="16"/>
        </w:rPr>
        <w:t>За</w:t>
      </w:r>
      <w:r w:rsidRPr="002F2FDF">
        <w:rPr>
          <w:rFonts w:ascii="Times New Roman" w:hAnsi="Times New Roman" w:cs="Times New Roman"/>
          <w:i/>
          <w:iCs/>
          <w:color w:val="000000" w:themeColor="text1"/>
          <w:kern w:val="2"/>
          <w:sz w:val="16"/>
          <w:szCs w:val="16"/>
          <w:lang w:val="en-US"/>
        </w:rPr>
        <w:t xml:space="preserve"> </w:t>
      </w:r>
      <w:r w:rsidRPr="002F2FDF">
        <w:rPr>
          <w:rFonts w:ascii="Times New Roman" w:hAnsi="Times New Roman" w:cs="Times New Roman"/>
          <w:i/>
          <w:iCs/>
          <w:color w:val="000000" w:themeColor="text1"/>
          <w:kern w:val="2"/>
          <w:sz w:val="16"/>
          <w:szCs w:val="16"/>
        </w:rPr>
        <w:t>рубежом</w:t>
      </w:r>
      <w:r w:rsidRPr="002F2FDF">
        <w:rPr>
          <w:rFonts w:ascii="Times New Roman" w:hAnsi="Times New Roman" w:cs="Times New Roman"/>
          <w:i/>
          <w:iCs/>
          <w:color w:val="000000" w:themeColor="text1"/>
          <w:kern w:val="2"/>
          <w:sz w:val="16"/>
          <w:szCs w:val="16"/>
          <w:lang w:val="en-US"/>
        </w:rPr>
        <w:t>:</w:t>
      </w:r>
    </w:p>
    <w:p w14:paraId="7A2FEC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1B91A1FB" w14:textId="19638C34" w:rsidR="003431D2" w:rsidRPr="002F2FDF" w:rsidRDefault="00B94A9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Pr>
          <w:rFonts w:ascii="Times New Roman" w:hAnsi="Times New Roman" w:cs="Times New Roman"/>
          <w:color w:val="000000" w:themeColor="text1"/>
          <w:kern w:val="2"/>
          <w:sz w:val="16"/>
          <w:szCs w:val="16"/>
          <w:lang w:val="en-US"/>
        </w:rPr>
        <w:t>January 11 (</w:t>
      </w:r>
      <w:r w:rsidR="003431D2" w:rsidRPr="002F2FDF">
        <w:rPr>
          <w:rFonts w:ascii="Times New Roman" w:hAnsi="Times New Roman" w:cs="Times New Roman"/>
          <w:color w:val="000000" w:themeColor="text1"/>
          <w:kern w:val="2"/>
          <w:sz w:val="16"/>
          <w:szCs w:val="16"/>
          <w:lang w:val="en-US"/>
        </w:rPr>
        <w:t>February 4</w:t>
      </w:r>
      <w:r>
        <w:rPr>
          <w:rFonts w:ascii="Times New Roman" w:hAnsi="Times New Roman" w:cs="Times New Roman"/>
          <w:color w:val="000000" w:themeColor="text1"/>
          <w:kern w:val="2"/>
          <w:sz w:val="16"/>
          <w:szCs w:val="16"/>
          <w:lang w:val="en-US"/>
        </w:rPr>
        <w:t>)</w:t>
      </w:r>
      <w:r w:rsidR="003431D2" w:rsidRPr="002F2FDF">
        <w:rPr>
          <w:rFonts w:ascii="Times New Roman" w:hAnsi="Times New Roman" w:cs="Times New Roman"/>
          <w:color w:val="000000" w:themeColor="text1"/>
          <w:kern w:val="2"/>
          <w:sz w:val="16"/>
          <w:szCs w:val="16"/>
          <w:lang w:val="en-US"/>
        </w:rPr>
        <w:t>, 1917 The Secretary of the Navy directed that 16 non-rigid airships of Class B be procured. Contracts were subsequently issued to the Connecticut Aircraft Corporation, the Goodyear Tire &amp; Rubber Company and the B. F. Goodrich Company (1090).</w:t>
      </w:r>
    </w:p>
    <w:p w14:paraId="3CFFD0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3CFA58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rPr>
        <w:t>22 января (4 февраля) 1917 Министр флота распорядился заказать 16 мягких дирижаблей. Контрактыбыливыданы</w:t>
      </w:r>
      <w:r w:rsidRPr="002F2FDF">
        <w:rPr>
          <w:rFonts w:ascii="Times New Roman" w:hAnsi="Times New Roman" w:cs="Times New Roman"/>
          <w:color w:val="000000" w:themeColor="text1"/>
          <w:kern w:val="2"/>
          <w:sz w:val="16"/>
          <w:szCs w:val="16"/>
          <w:lang w:val="en-US"/>
        </w:rPr>
        <w:t xml:space="preserve"> Connecticut Aircraft Corporation, the Goodyear Tire &amp; Rubber Company </w:t>
      </w:r>
      <w:r w:rsidRPr="002F2FDF">
        <w:rPr>
          <w:rFonts w:ascii="Times New Roman" w:hAnsi="Times New Roman" w:cs="Times New Roman"/>
          <w:color w:val="000000" w:themeColor="text1"/>
          <w:kern w:val="2"/>
          <w:sz w:val="16"/>
          <w:szCs w:val="16"/>
        </w:rPr>
        <w:t>и</w:t>
      </w:r>
      <w:r w:rsidRPr="002F2FDF">
        <w:rPr>
          <w:rFonts w:ascii="Times New Roman" w:hAnsi="Times New Roman" w:cs="Times New Roman"/>
          <w:color w:val="000000" w:themeColor="text1"/>
          <w:kern w:val="2"/>
          <w:sz w:val="16"/>
          <w:szCs w:val="16"/>
          <w:lang w:val="en-US"/>
        </w:rPr>
        <w:t xml:space="preserve"> the B. F. Goodrich Company (1090).</w:t>
      </w:r>
    </w:p>
    <w:p w14:paraId="6B272A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58A8706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0ED8A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E030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января (5 февраля) 1917 Ф.Мельцер, оправившийся после смерти Энгельса, напомнил руководству морской авиации, что при испытаниях второй прототип морского истребителя Энгельса показал хорошие качества. Предлагал изготовить 300 машин. 5 февраля 1917 комиссия рассмотрела этот план и дала заказ на 200 под Клерже 135 нр. 7 (20) февраля 1917 комиссия, расследовавшая причины катастрофы, также пришла к выводу о необходимости продолжения работы над машиной (2843,63).</w:t>
      </w:r>
    </w:p>
    <w:p w14:paraId="0AA8C8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0E327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23 января </w:t>
      </w:r>
      <w:r w:rsidR="00E44BC9" w:rsidRPr="002F2FDF">
        <w:rPr>
          <w:rFonts w:ascii="Times New Roman" w:hAnsi="Times New Roman" w:cs="Times New Roman"/>
          <w:color w:val="000000" w:themeColor="text1"/>
          <w:kern w:val="2"/>
          <w:sz w:val="16"/>
          <w:szCs w:val="16"/>
        </w:rPr>
        <w:t xml:space="preserve">(5 февраля) </w:t>
      </w:r>
      <w:r w:rsidRPr="002F2FDF">
        <w:rPr>
          <w:rFonts w:ascii="Times New Roman" w:hAnsi="Times New Roman" w:cs="Times New Roman"/>
          <w:color w:val="000000" w:themeColor="text1"/>
          <w:kern w:val="2"/>
          <w:sz w:val="16"/>
          <w:szCs w:val="16"/>
        </w:rPr>
        <w:t>1917 Ф. Мельцер решился напомнить руководству морской авиации о работе над истребителем. Он писал, что при испытаниях второй прототип продемонстрировал отличные результаты, тогда как на заводе оставались все чертежи, лекала и стапель, а потому организация про</w:t>
      </w:r>
      <w:r w:rsidRPr="002F2FDF">
        <w:rPr>
          <w:rFonts w:ascii="Times New Roman" w:hAnsi="Times New Roman" w:cs="Times New Roman"/>
          <w:color w:val="000000" w:themeColor="text1"/>
          <w:kern w:val="2"/>
          <w:sz w:val="16"/>
          <w:szCs w:val="16"/>
        </w:rPr>
        <w:softHyphen/>
        <w:t>изводства аппаратов конструкции Энгельса была бы возможна при наличии официального заказа. Примерно в те же дни, 7 февраля 1917 г. комиссия школы, расследовавшая причины катастрофы и обсуждавшая перспективы дальнейшего развития проекта, постановила, что начатую изобретателем работу надлежало продолжить, передав ее в опытные руки, пере</w:t>
      </w:r>
      <w:r w:rsidRPr="002F2FDF">
        <w:rPr>
          <w:rFonts w:ascii="Times New Roman" w:hAnsi="Times New Roman" w:cs="Times New Roman"/>
          <w:color w:val="000000" w:themeColor="text1"/>
          <w:kern w:val="2"/>
          <w:sz w:val="16"/>
          <w:szCs w:val="16"/>
        </w:rPr>
        <w:softHyphen/>
        <w:t>смотрев все чертежи и расчеты для выяснения вопросов, связанных с прочностью самолета, и усилив слабые места, в частности крепления крыльев.</w:t>
      </w:r>
    </w:p>
    <w:p w14:paraId="23B215F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этому дню Мельцер уже сделал предложение о строительстве 300 летающих лодок Энгельса в случае, если бы 2 новых прототипа оказались удачными. 5 февраля техническое совещание при Отделе воздушного плавания ГУК рассмотрело этот план, но приняло его лишь частично. Было решено, что заказать следует только 200 аппаратов, каждый под мо</w:t>
      </w:r>
      <w:r w:rsidRPr="002F2FDF">
        <w:rPr>
          <w:rFonts w:ascii="Times New Roman" w:hAnsi="Times New Roman" w:cs="Times New Roman"/>
          <w:color w:val="000000" w:themeColor="text1"/>
          <w:kern w:val="2"/>
          <w:sz w:val="16"/>
          <w:szCs w:val="16"/>
        </w:rPr>
        <w:softHyphen/>
        <w:t>тор "Клерже" 135 л.с., но и это количество в случае необходимости могло сократиться всего всего до 60 машин, с тем, чтобы остальные 140 были заменены таким же числом летающих лодок М-5 или М-9.</w:t>
      </w:r>
    </w:p>
    <w:p w14:paraId="020129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Условный контракт на 200 самолетов, включая 60 гидроаэропланов Энгельса, был дан фирме 27 апреля 1917 г. Он гласил, что первым делом обязанностью фирмы ста- новилось изготовление и испытание двух опытных истребителей со 135-сильными дви- гателями "Клерже" и еще двух — со 110-сильными "Ронами". По достижении успеха на этой стадии Морское ведомство могло инициировать сборку еще 56 аппаратов любой из двух названных моделей или же 56 машин любой другой конструкции. Как экспе- риментальные, так и серийные аэропланы стоили 13.000 руб. за каждый (без мотора) при следующем графике готовности: 2 истребителя к 15 июня, 2 — к 15 июля, серия — в период с 1 августа по 1 ноября. Требования сдаточных испытаний предполагали достижение скорости в 160 км/ч у поверхности воды, причем премия в 500 руб. вы- плачивалась бы за каждые 10 км/ч сверх этого показателя, а скороподъемность состав- ляла бы 1000 м за 5,5 минуты и 2000 м за 13 минут при полезной нагрузке 250 кг. Каждая машина имела бы 126-литровый топливный и 20-литровый масляный баки, ус- тановку для пулемета, компас, альтиметр и часы. Что до прочих 140 самолетов из этого условного заказа, то ими могли стать 70 М-5 с двигателями "Рон" 110 л. с. или "Гном-Моносупап" 100--110 л. с. и 70 М-9 с моторами "Сальмсон" или "Санбим" по 150 л. с. каждый. Цены на эти аппараты равнялись 11.000 и 18.000 руб. соответственно и включали лицензионную стоимость (10%), выплачиваемую компании С. С. Щетинина (2843).</w:t>
      </w:r>
    </w:p>
    <w:p w14:paraId="01B42A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D7B8F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9DF26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D5DC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23 января (5 февраля) 1917 в США от эмигрантов стали требовать прохождения теста на грамотность (2100).</w:t>
      </w:r>
    </w:p>
    <w:p w14:paraId="578214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549F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января (5 февраля) 1917 США. Завершен вывод из Мексики американских войск ген.Д.Першинга, направленных туда 15.03.1916 г. с целью ликвидации банды Ф.Вильи, совершившей 9.03.1916 г. налет на американский пограничный г.Колумбус. Мехико. Конституционное собрание приняло новую конституцию страны. После многих лет революционной борьбы в Мексике оформилась новая политическая система. Конституция запретила выбирать президента на второй срок, обеспечила всеобщее избирательное право и социальные гарантии для рабочих: 8-часовой рабочий день, страхование от несчастных случаев на производстве и повышение зарплаты. Кроме того, планировалось проведение широкомасштабной земельной реформы. Земля и недра провозглашались собственностью мексиканского народа. Завершение гражданской войны в Мексике 1910-1917 гг. (7452).</w:t>
      </w:r>
    </w:p>
    <w:p w14:paraId="2D6F89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F67AF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CD789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D243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января (6 февраля) 1917 ТК УВВС рассмотрел вопрос о бронировании баков самолета Фарман-30 по системе ш-к В.М.Григорова, предусматривающей броне-каучуковый чехол. Вата - 14 мм, листовая резина - 4 мм и брезент. Испытали, но не использовали (3617).</w:t>
      </w:r>
    </w:p>
    <w:p w14:paraId="347A24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CD8922" w14:textId="1D826D8D"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24 января </w:t>
      </w:r>
      <w:r w:rsidR="00E44BC9" w:rsidRPr="002F2FDF">
        <w:rPr>
          <w:rFonts w:ascii="Times New Roman" w:hAnsi="Times New Roman" w:cs="Times New Roman"/>
          <w:color w:val="000000" w:themeColor="text1"/>
          <w:kern w:val="2"/>
          <w:sz w:val="16"/>
          <w:szCs w:val="16"/>
        </w:rPr>
        <w:t xml:space="preserve">(6 февраля) </w:t>
      </w:r>
      <w:r w:rsidRPr="002F2FDF">
        <w:rPr>
          <w:rFonts w:ascii="Times New Roman" w:hAnsi="Times New Roman" w:cs="Times New Roman"/>
          <w:color w:val="000000" w:themeColor="text1"/>
          <w:kern w:val="2"/>
          <w:sz w:val="16"/>
          <w:szCs w:val="16"/>
        </w:rPr>
        <w:t>1917 Технический комитет УВВФ рассмотрел вопрос о бронировании баков самолета "Фарман-30" по системе штабс-капитана В.М. Григорова, разработанной им в 1916 г. Броня в виде "броне-каучукового чехла" состояла из слоя ваты тол</w:t>
      </w:r>
      <w:r w:rsidRPr="002F2FDF">
        <w:rPr>
          <w:rFonts w:ascii="Times New Roman" w:hAnsi="Times New Roman" w:cs="Times New Roman"/>
          <w:color w:val="000000" w:themeColor="text1"/>
          <w:kern w:val="2"/>
          <w:sz w:val="16"/>
          <w:szCs w:val="16"/>
        </w:rPr>
        <w:softHyphen/>
        <w:t>щиной 14 мм, листовой резины толщиной 4 мм и брезента. Бро</w:t>
      </w:r>
      <w:r w:rsidRPr="002F2FDF">
        <w:rPr>
          <w:rFonts w:ascii="Times New Roman" w:hAnsi="Times New Roman" w:cs="Times New Roman"/>
          <w:color w:val="000000" w:themeColor="text1"/>
          <w:kern w:val="2"/>
          <w:sz w:val="16"/>
          <w:szCs w:val="16"/>
        </w:rPr>
        <w:softHyphen/>
        <w:t>нирование предотвращало утечку бензина и масла в случае пулевых пробоин баков и одновременно служило защитой мас</w:t>
      </w:r>
      <w:r w:rsidRPr="002F2FDF">
        <w:rPr>
          <w:rFonts w:ascii="Times New Roman" w:hAnsi="Times New Roman" w:cs="Times New Roman"/>
          <w:color w:val="000000" w:themeColor="text1"/>
          <w:kern w:val="2"/>
          <w:sz w:val="16"/>
          <w:szCs w:val="16"/>
        </w:rPr>
        <w:softHyphen/>
        <w:t>ляного бака от переохлаждения. Предложение было одобрено и испытано, однако в экспл</w:t>
      </w:r>
      <w:r w:rsidR="00B94A97">
        <w:rPr>
          <w:rFonts w:ascii="Times New Roman" w:hAnsi="Times New Roman" w:cs="Times New Roman"/>
          <w:color w:val="000000" w:themeColor="text1"/>
          <w:kern w:val="2"/>
          <w:sz w:val="16"/>
          <w:szCs w:val="16"/>
          <w:lang w:val="en-US"/>
        </w:rPr>
        <w:t>e</w:t>
      </w:r>
      <w:r w:rsidRPr="002F2FDF">
        <w:rPr>
          <w:rFonts w:ascii="Times New Roman" w:hAnsi="Times New Roman" w:cs="Times New Roman"/>
          <w:color w:val="000000" w:themeColor="text1"/>
          <w:kern w:val="2"/>
          <w:sz w:val="16"/>
          <w:szCs w:val="16"/>
        </w:rPr>
        <w:t>тацию не вошло. (ЦГВИА. ф.493, оп. 10, д.46, лл.91-92).</w:t>
      </w:r>
    </w:p>
    <w:p w14:paraId="0412CE0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065A98" w14:textId="77777777" w:rsidR="00B94A97" w:rsidRPr="00815ED5" w:rsidRDefault="00B94A97"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24 января</w:t>
      </w:r>
      <w:r>
        <w:rPr>
          <w:rFonts w:ascii="Times New Roman" w:hAnsi="Times New Roman" w:cs="Times New Roman"/>
          <w:color w:val="0070C0"/>
          <w:sz w:val="16"/>
          <w:szCs w:val="16"/>
        </w:rPr>
        <w:t xml:space="preserve"> (6 февраля)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Технический комитет УВВ</w:t>
      </w:r>
      <w:r>
        <w:rPr>
          <w:rFonts w:ascii="Times New Roman" w:hAnsi="Times New Roman" w:cs="Times New Roman"/>
          <w:color w:val="0070C0"/>
          <w:sz w:val="16"/>
          <w:szCs w:val="16"/>
        </w:rPr>
        <w:t>Ф</w:t>
      </w:r>
      <w:r w:rsidRPr="00815ED5">
        <w:rPr>
          <w:rFonts w:ascii="Times New Roman" w:hAnsi="Times New Roman" w:cs="Times New Roman"/>
          <w:color w:val="0070C0"/>
          <w:sz w:val="16"/>
          <w:szCs w:val="16"/>
        </w:rPr>
        <w:t xml:space="preserve"> рассмотрел вопрос о бронировании баков самолета Фарман-30 по системе шт.-капитана В.М.Григорова,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разработанной им в 1916 г.</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Броня в виде "броне-каучукового че</w:t>
      </w:r>
      <w:r>
        <w:rPr>
          <w:rFonts w:ascii="Times New Roman" w:hAnsi="Times New Roman" w:cs="Times New Roman"/>
          <w:color w:val="0070C0"/>
          <w:sz w:val="16"/>
          <w:szCs w:val="16"/>
        </w:rPr>
        <w:t>хла</w:t>
      </w:r>
      <w:r w:rsidRPr="00815ED5">
        <w:rPr>
          <w:rFonts w:ascii="Times New Roman" w:hAnsi="Times New Roman" w:cs="Times New Roman"/>
          <w:color w:val="0070C0"/>
          <w:sz w:val="16"/>
          <w:szCs w:val="16"/>
        </w:rPr>
        <w:t>" состояла из слоя ваты толщиной 14 мм,</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листовой резины толщиной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 мм и брезента.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Бронирование предотвращало утечку бензина и масла в случае пулевых пробоин баков и одновременно служило защитой масляного бака от переохлаждения.</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Предложение было одобрено и испытано, однако,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 эксплуатацию не было принято.</w:t>
      </w:r>
    </w:p>
    <w:p w14:paraId="5DCE396E" w14:textId="77777777" w:rsidR="00B94A97" w:rsidRDefault="00B94A97" w:rsidP="0083075A">
      <w:pPr>
        <w:spacing w:after="0"/>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493, </w:t>
      </w:r>
      <w:r>
        <w:rPr>
          <w:rFonts w:ascii="Times New Roman" w:hAnsi="Times New Roman" w:cs="Times New Roman"/>
          <w:color w:val="0070C0"/>
          <w:sz w:val="16"/>
          <w:szCs w:val="16"/>
        </w:rPr>
        <w:t>оп</w:t>
      </w:r>
      <w:r w:rsidRPr="00815ED5">
        <w:rPr>
          <w:rFonts w:ascii="Times New Roman" w:hAnsi="Times New Roman" w:cs="Times New Roman"/>
          <w:color w:val="0070C0"/>
          <w:sz w:val="16"/>
          <w:szCs w:val="16"/>
        </w:rPr>
        <w:t xml:space="preserve">. 10, </w:t>
      </w:r>
      <w:r>
        <w:rPr>
          <w:rFonts w:ascii="Times New Roman" w:hAnsi="Times New Roman" w:cs="Times New Roman"/>
          <w:color w:val="0070C0"/>
          <w:sz w:val="16"/>
          <w:szCs w:val="16"/>
        </w:rPr>
        <w:t>д</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46, </w:t>
      </w:r>
      <w:r>
        <w:rPr>
          <w:rFonts w:ascii="Times New Roman" w:hAnsi="Times New Roman" w:cs="Times New Roman"/>
          <w:color w:val="0070C0"/>
          <w:sz w:val="16"/>
          <w:szCs w:val="16"/>
        </w:rPr>
        <w:t>лл</w:t>
      </w:r>
      <w:r w:rsidRPr="00815ED5">
        <w:rPr>
          <w:rFonts w:ascii="Times New Roman" w:hAnsi="Times New Roman" w:cs="Times New Roman"/>
          <w:color w:val="0070C0"/>
          <w:sz w:val="16"/>
          <w:szCs w:val="16"/>
        </w:rPr>
        <w:t>. 91-92/</w:t>
      </w:r>
      <w:r>
        <w:rPr>
          <w:rFonts w:ascii="Times New Roman" w:hAnsi="Times New Roman" w:cs="Times New Roman"/>
          <w:color w:val="0070C0"/>
          <w:sz w:val="16"/>
          <w:szCs w:val="16"/>
        </w:rPr>
        <w:t xml:space="preserve"> (23320).</w:t>
      </w:r>
    </w:p>
    <w:p w14:paraId="4B7E245A" w14:textId="77777777" w:rsidR="00B94A97" w:rsidRPr="00815ED5" w:rsidRDefault="00B94A97" w:rsidP="0083075A">
      <w:pPr>
        <w:spacing w:after="0" w:line="240" w:lineRule="auto"/>
        <w:jc w:val="both"/>
        <w:rPr>
          <w:rFonts w:ascii="Times New Roman" w:hAnsi="Times New Roman" w:cs="Times New Roman"/>
          <w:color w:val="0070C0"/>
          <w:sz w:val="16"/>
          <w:szCs w:val="16"/>
        </w:rPr>
      </w:pPr>
    </w:p>
    <w:p w14:paraId="60775D07" w14:textId="77777777" w:rsidR="00CD74B5"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E38B7FF" w14:textId="77777777" w:rsidR="00CD74B5" w:rsidRPr="002F2FDF" w:rsidRDefault="00CD74B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F7A567" w14:textId="730E1E46" w:rsidR="00CD74B5" w:rsidRPr="002F2FDF" w:rsidRDefault="00CD74B5" w:rsidP="0083075A">
      <w:pPr>
        <w:pStyle w:val="ae"/>
        <w:spacing w:before="0" w:after="0"/>
        <w:jc w:val="both"/>
        <w:rPr>
          <w:color w:val="000000" w:themeColor="text1"/>
          <w:kern w:val="2"/>
          <w:sz w:val="16"/>
          <w:szCs w:val="16"/>
        </w:rPr>
      </w:pPr>
      <w:r w:rsidRPr="002F2FDF">
        <w:rPr>
          <w:color w:val="000000" w:themeColor="text1"/>
          <w:kern w:val="2"/>
          <w:sz w:val="16"/>
          <w:szCs w:val="16"/>
        </w:rPr>
        <w:t>За период с 2</w:t>
      </w:r>
      <w:r w:rsidR="00875F0C" w:rsidRPr="00875F0C">
        <w:rPr>
          <w:color w:val="000000" w:themeColor="text1"/>
          <w:kern w:val="2"/>
          <w:sz w:val="16"/>
          <w:szCs w:val="16"/>
        </w:rPr>
        <w:t>4</w:t>
      </w:r>
      <w:r w:rsidRPr="002F2FDF">
        <w:rPr>
          <w:color w:val="000000" w:themeColor="text1"/>
          <w:kern w:val="2"/>
          <w:sz w:val="16"/>
          <w:szCs w:val="16"/>
        </w:rPr>
        <w:t xml:space="preserve"> по 30 января (6 по 12 февраля) 1917 немецкими подводными лодками было затоплено 77 судов, в том числе 13 кораблей нейтральных стран. Среди прочих, 7 февраля у берегов Англии был торпедирован русский пароход «Диаз» (17045).</w:t>
      </w:r>
    </w:p>
    <w:p w14:paraId="77912C3E" w14:textId="77777777" w:rsidR="00CD74B5" w:rsidRPr="002F2FDF" w:rsidRDefault="00CD74B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5B3FD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lastRenderedPageBreak/>
        <w:t>Авиапромышленность:</w:t>
      </w:r>
    </w:p>
    <w:p w14:paraId="22ACAB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3138D7" w14:textId="020E51E0"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w:t>
      </w:r>
      <w:r w:rsidR="00C26D81" w:rsidRPr="002F2FDF">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25 января </w:t>
      </w:r>
      <w:r w:rsidR="00E44BC9" w:rsidRPr="002F2FDF">
        <w:rPr>
          <w:rFonts w:ascii="Times New Roman" w:hAnsi="Times New Roman" w:cs="Times New Roman"/>
          <w:color w:val="000000" w:themeColor="text1"/>
          <w:kern w:val="2"/>
          <w:sz w:val="16"/>
          <w:szCs w:val="16"/>
        </w:rPr>
        <w:t xml:space="preserve">(7 февраля) </w:t>
      </w:r>
      <w:r w:rsidRPr="002F2FDF">
        <w:rPr>
          <w:rFonts w:ascii="Times New Roman" w:hAnsi="Times New Roman" w:cs="Times New Roman"/>
          <w:color w:val="000000" w:themeColor="text1"/>
          <w:kern w:val="2"/>
          <w:sz w:val="16"/>
          <w:szCs w:val="16"/>
        </w:rPr>
        <w:t>1917 г. Прокофьев-Северский, который на 3-й морской авиастанции в Ревеле оснастил аппарат типа М-11 лыжами, сняв при том вспомогательные подкрыльевые поплавки, успешно проверил нововведение, опробовав самолет в воздухе и на земле, после чего соответствующая техническая документация поступила на завод С. С. Щетинина для внедрения лыжно</w:t>
      </w:r>
      <w:r w:rsidRPr="002F2FDF">
        <w:rPr>
          <w:rFonts w:ascii="Times New Roman" w:hAnsi="Times New Roman" w:cs="Times New Roman"/>
          <w:color w:val="000000" w:themeColor="text1"/>
          <w:kern w:val="2"/>
          <w:sz w:val="16"/>
          <w:szCs w:val="16"/>
        </w:rPr>
        <w:softHyphen/>
        <w:t>го шасси в серийное производство. По Шаврову, конструктивно установка на лыжи осуществлялась “очень просто. Сквозь корпус лодки у нижних скул перед реданом проходила стальная труба с фланцами или такая же труба крепилась под реданом на особых узлах по бокам лодки. В эту трубу вставлялась ось (тоже труба), на которую и надевались лыжи. Амортизации не было. Под хвостом была небольшая третья лыжа”.</w:t>
      </w:r>
    </w:p>
    <w:p w14:paraId="5C5E847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Тридцатого апреля 1917 г. начальник Воздушной дивизии Балтийского моря капитан 1 р. Б. П. Дудоров получил из штаба 1-й воздушной бригады (Ревель) депешу, гласившую:</w:t>
      </w:r>
    </w:p>
    <w:p w14:paraId="310CCCC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“Практика показала аппараты О.Р. (код М-11</w:t>
      </w:r>
      <w:r w:rsidRPr="002F2FDF">
        <w:rPr>
          <w:rFonts w:ascii="Times New Roman" w:hAnsi="Times New Roman" w:cs="Times New Roman"/>
          <w:iCs/>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не пригодны для отражения неприятеля далее аэродрома по причинам:</w:t>
      </w:r>
    </w:p>
    <w:p w14:paraId="5319D32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ненадежность мотора из-за бензопровода под давлением</w:t>
      </w:r>
    </w:p>
    <w:p w14:paraId="20C7451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невозможность посадки и подъема на волне</w:t>
      </w:r>
    </w:p>
    <w:p w14:paraId="17B2FBE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совершенно невозможно запустить мотор одному человеку. Для аэродромного же истребителя О.Р. плохо берет высоту&lt;...&gt;”.</w:t>
      </w:r>
    </w:p>
    <w:p w14:paraId="487646E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Казалось, карьере М-11 должен был наступить конец, но у начальства имелись свои доводы продлить службу модели, и летчикам указали, что бензопровод недостаточно надежен почти у всех аппаратов, что садиться в море придется только подбитому аппарату, и что двигатель свободно запускается одним авиатором, знающим, как это делать. Что касается малой скороподъемности, то этот существенный недостаток надеялись устранить установкой 125-сильных моторов. Похоже, что существовала мысль об оснащении М-11 и двигателями “Испано-Суиза” 150 л. с., но в тот момент их просто не было (2807).</w:t>
      </w:r>
    </w:p>
    <w:p w14:paraId="7C8BB78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15BFD1" w14:textId="77777777" w:rsidR="00C26D81" w:rsidRPr="002F2FDF" w:rsidRDefault="00C26D8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bookmarkStart w:id="16" w:name="_Hlk80696851"/>
      <w:r w:rsidRPr="002F2FDF">
        <w:rPr>
          <w:rFonts w:ascii="Times New Roman" w:hAnsi="Times New Roman" w:cs="Times New Roman"/>
          <w:i/>
          <w:iCs/>
          <w:color w:val="000000" w:themeColor="text1"/>
          <w:kern w:val="2"/>
          <w:sz w:val="16"/>
          <w:szCs w:val="16"/>
        </w:rPr>
        <w:t>Армия:</w:t>
      </w:r>
    </w:p>
    <w:p w14:paraId="716C72BD" w14:textId="77777777" w:rsidR="00C26D81" w:rsidRPr="002F2FDF" w:rsidRDefault="00C26D8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D2AFD8" w14:textId="28A9AAB1" w:rsidR="00C26D81" w:rsidRPr="002F2FDF" w:rsidRDefault="00C26D81"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hAnsi="Times New Roman" w:cs="Times New Roman"/>
          <w:color w:val="000000" w:themeColor="text1"/>
          <w:sz w:val="16"/>
          <w:szCs w:val="16"/>
          <w:shd w:val="clear" w:color="auto" w:fill="FFFFFF"/>
        </w:rPr>
        <w:t xml:space="preserve">25 января </w:t>
      </w:r>
      <w:r w:rsidR="00875F0C" w:rsidRPr="00875F0C">
        <w:rPr>
          <w:rFonts w:ascii="Times New Roman" w:hAnsi="Times New Roman" w:cs="Times New Roman"/>
          <w:color w:val="000000" w:themeColor="text1"/>
          <w:sz w:val="16"/>
          <w:szCs w:val="16"/>
          <w:shd w:val="clear" w:color="auto" w:fill="FFFFFF"/>
        </w:rPr>
        <w:t xml:space="preserve">(7 </w:t>
      </w:r>
      <w:r w:rsidR="00875F0C">
        <w:rPr>
          <w:rFonts w:ascii="Times New Roman" w:hAnsi="Times New Roman" w:cs="Times New Roman"/>
          <w:color w:val="000000" w:themeColor="text1"/>
          <w:sz w:val="16"/>
          <w:szCs w:val="16"/>
          <w:shd w:val="clear" w:color="auto" w:fill="FFFFFF"/>
        </w:rPr>
        <w:t>февраля)</w:t>
      </w:r>
      <w:r w:rsidR="00875F0C" w:rsidRPr="00875F0C">
        <w:rPr>
          <w:rFonts w:ascii="Times New Roman" w:hAnsi="Times New Roman" w:cs="Times New Roman"/>
          <w:color w:val="000000" w:themeColor="text1"/>
          <w:sz w:val="16"/>
          <w:szCs w:val="16"/>
          <w:shd w:val="clear" w:color="auto" w:fill="FFFFFF"/>
        </w:rPr>
        <w:t xml:space="preserve"> </w:t>
      </w:r>
      <w:r w:rsidRPr="002F2FDF">
        <w:rPr>
          <w:rFonts w:ascii="Times New Roman" w:hAnsi="Times New Roman" w:cs="Times New Roman"/>
          <w:color w:val="000000" w:themeColor="text1"/>
          <w:sz w:val="16"/>
          <w:szCs w:val="16"/>
          <w:shd w:val="clear" w:color="auto" w:fill="FFFFFF"/>
        </w:rPr>
        <w:t>1917 г. ветер раздул шелковое полотнище и выдернул из корзины подпоручика Мацкайта. На счастье последнего, подвесная система была застегнута, и он спокойно опустился на землю (21505).</w:t>
      </w:r>
    </w:p>
    <w:p w14:paraId="73B0FC28" w14:textId="77777777" w:rsidR="00C26D81" w:rsidRPr="002F2FDF" w:rsidRDefault="00C26D81"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bookmarkEnd w:id="16"/>
    <w:p w14:paraId="170DAB0A" w14:textId="77777777" w:rsidR="0078307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2675A34" w14:textId="77777777" w:rsidR="00783072" w:rsidRPr="002F2FDF" w:rsidRDefault="0078307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FC3FE0" w14:textId="77777777" w:rsidR="00197288" w:rsidRPr="002F2FDF" w:rsidRDefault="0078307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25 января (</w:t>
      </w:r>
      <w:r w:rsidR="00197288" w:rsidRPr="002F2FDF">
        <w:rPr>
          <w:rFonts w:ascii="Times New Roman" w:hAnsi="Times New Roman" w:cs="Times New Roman"/>
          <w:bCs/>
          <w:color w:val="000000" w:themeColor="text1"/>
          <w:kern w:val="2"/>
          <w:sz w:val="16"/>
          <w:szCs w:val="16"/>
        </w:rPr>
        <w:t>7 февраля</w:t>
      </w:r>
      <w:r w:rsidRPr="002F2FDF">
        <w:rPr>
          <w:rFonts w:ascii="Times New Roman" w:hAnsi="Times New Roman" w:cs="Times New Roman"/>
          <w:bCs/>
          <w:color w:val="000000" w:themeColor="text1"/>
          <w:kern w:val="2"/>
          <w:sz w:val="16"/>
          <w:szCs w:val="16"/>
        </w:rPr>
        <w:t>)</w:t>
      </w:r>
      <w:r w:rsidR="00197288" w:rsidRPr="002F2FDF">
        <w:rPr>
          <w:rFonts w:ascii="Times New Roman" w:hAnsi="Times New Roman" w:cs="Times New Roman"/>
          <w:color w:val="000000" w:themeColor="text1"/>
          <w:kern w:val="2"/>
          <w:sz w:val="16"/>
          <w:szCs w:val="16"/>
        </w:rPr>
        <w:t xml:space="preserve"> в 1917 году прототип палубного истребителя </w:t>
      </w:r>
      <w:hyperlink r:id="rId26" w:tgtFrame="_blank" w:history="1">
        <w:r w:rsidR="00197288" w:rsidRPr="002F2FDF">
          <w:rPr>
            <w:rFonts w:ascii="Times New Roman" w:hAnsi="Times New Roman" w:cs="Times New Roman"/>
            <w:color w:val="000000" w:themeColor="text1"/>
            <w:kern w:val="2"/>
            <w:sz w:val="16"/>
            <w:szCs w:val="16"/>
          </w:rPr>
          <w:t xml:space="preserve">«Beardmore» «WB.III» («SB.3») </w:t>
        </w:r>
      </w:hyperlink>
      <w:r w:rsidR="00197288" w:rsidRPr="002F2FDF">
        <w:rPr>
          <w:rFonts w:ascii="Times New Roman" w:hAnsi="Times New Roman" w:cs="Times New Roman"/>
          <w:color w:val="000000" w:themeColor="text1"/>
          <w:kern w:val="2"/>
          <w:sz w:val="16"/>
          <w:szCs w:val="16"/>
        </w:rPr>
        <w:t>одобрен для эксплуатации на кораблях. Заказано 100 серийных машин (15033).</w:t>
      </w:r>
    </w:p>
    <w:p w14:paraId="552B5D0D" w14:textId="77777777" w:rsidR="00197288" w:rsidRPr="002F2FDF" w:rsidRDefault="00197288" w:rsidP="0083075A">
      <w:pPr>
        <w:spacing w:after="0" w:line="240" w:lineRule="auto"/>
        <w:jc w:val="both"/>
        <w:rPr>
          <w:rFonts w:ascii="Times New Roman" w:hAnsi="Times New Roman" w:cs="Times New Roman"/>
          <w:color w:val="000000" w:themeColor="text1"/>
          <w:kern w:val="2"/>
          <w:sz w:val="16"/>
          <w:szCs w:val="16"/>
        </w:rPr>
      </w:pPr>
    </w:p>
    <w:p w14:paraId="7B9DA30C" w14:textId="77777777" w:rsidR="00CD74B5" w:rsidRPr="002F2FDF" w:rsidRDefault="00CD74B5" w:rsidP="0083075A">
      <w:pPr>
        <w:pStyle w:val="ae"/>
        <w:spacing w:before="0" w:after="0"/>
        <w:jc w:val="both"/>
        <w:rPr>
          <w:color w:val="000000" w:themeColor="text1"/>
          <w:kern w:val="2"/>
          <w:sz w:val="16"/>
          <w:szCs w:val="16"/>
        </w:rPr>
      </w:pPr>
      <w:r w:rsidRPr="002F2FDF">
        <w:rPr>
          <w:bCs/>
          <w:color w:val="000000" w:themeColor="text1"/>
          <w:kern w:val="2"/>
          <w:sz w:val="16"/>
          <w:szCs w:val="16"/>
        </w:rPr>
        <w:t>25 января (7 февраля)</w:t>
      </w:r>
      <w:r w:rsidRPr="002F2FDF">
        <w:rPr>
          <w:color w:val="000000" w:themeColor="text1"/>
          <w:kern w:val="2"/>
          <w:sz w:val="16"/>
          <w:szCs w:val="16"/>
        </w:rPr>
        <w:t xml:space="preserve"> в 1917 году германские самолеты нанесли бомбовый удар по пригородам Нанси и Пон-Сен-Венсана, где погибло несколько мирных жителей, а 9 февраля совершили налет на порт Дюнкерк на берегу Ла-Манша (17045).</w:t>
      </w:r>
    </w:p>
    <w:p w14:paraId="6984EFB4" w14:textId="77777777" w:rsidR="00CD74B5" w:rsidRPr="002F2FDF" w:rsidRDefault="00CD74B5" w:rsidP="0083075A">
      <w:pPr>
        <w:spacing w:after="0" w:line="240" w:lineRule="auto"/>
        <w:jc w:val="both"/>
        <w:rPr>
          <w:rFonts w:ascii="Times New Roman" w:hAnsi="Times New Roman" w:cs="Times New Roman"/>
          <w:color w:val="000000" w:themeColor="text1"/>
          <w:kern w:val="2"/>
          <w:sz w:val="16"/>
          <w:szCs w:val="16"/>
        </w:rPr>
      </w:pPr>
    </w:p>
    <w:p w14:paraId="66E3F997" w14:textId="77777777" w:rsidR="00C26D81" w:rsidRPr="002F2FDF" w:rsidRDefault="00C26D8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25 января (7 февраля) 1917, получив повреждения из-за серии аварий в плохой видимости и плохой погоде, Цеппелин L 36 Императорского флота Германии, наконец, разбивается в районе реки Аллер и разрушается сильным ветром. Его команда выживает (20341).</w:t>
      </w:r>
    </w:p>
    <w:p w14:paraId="52EB14B5" w14:textId="77777777" w:rsidR="00C26D81" w:rsidRPr="002F2FDF" w:rsidRDefault="00C26D81" w:rsidP="0083075A">
      <w:pPr>
        <w:spacing w:after="0" w:line="240" w:lineRule="auto"/>
        <w:jc w:val="both"/>
        <w:rPr>
          <w:rFonts w:ascii="Times New Roman" w:hAnsi="Times New Roman" w:cs="Times New Roman"/>
          <w:color w:val="000000" w:themeColor="text1"/>
          <w:sz w:val="16"/>
          <w:szCs w:val="16"/>
        </w:rPr>
      </w:pPr>
    </w:p>
    <w:p w14:paraId="2BECBF6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477CB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CC9B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января (8 февраля) 1917 г. прототип Лебедь-Х удалось "пристроить" за 9500 рублей и 8 февраля 1917 года он был принят в казну. В июле Лебедь-Х передали в Гатчинскую авиашколу (11183).</w:t>
      </w:r>
    </w:p>
    <w:p w14:paraId="2E74D6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646D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января (8 февраля) 1917 г. начальником военно- воздушного флота было утверждено решение Технического комитета УВВФ, который постановил: "защита баков системы штабс-капитана Григорова для аэропланов "Фарман-30" с технической стороны является приемлемой". В июле 1916 г. было испытано приспособление поручика Григорова, изобретенное в июне 1915. Частая гибель авиаторов из-за попадания пуль в бензиновые баки и возникновения пожаров в воздухе привела к изобретению поручиком Григоровым в июне 1915 г. покрытия бензиновых баков последовательно слоями из ваты толщиной 14-18 мм, резины - 4 мм и брезента. Это препятствовало утечке бензина и масла в случае пробития баков, а также служило хорошим утеплителем.(11999).</w:t>
      </w:r>
    </w:p>
    <w:p w14:paraId="4ED6FE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E267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26 января </w:t>
      </w:r>
      <w:r w:rsidR="00E44BC9" w:rsidRPr="002F2FDF">
        <w:rPr>
          <w:rFonts w:ascii="Times New Roman" w:hAnsi="Times New Roman" w:cs="Times New Roman"/>
          <w:color w:val="000000" w:themeColor="text1"/>
          <w:kern w:val="2"/>
          <w:sz w:val="16"/>
          <w:szCs w:val="16"/>
        </w:rPr>
        <w:t>(</w:t>
      </w:r>
      <w:r w:rsidR="00C06026" w:rsidRPr="002F2FDF">
        <w:rPr>
          <w:rFonts w:ascii="Times New Roman" w:hAnsi="Times New Roman" w:cs="Times New Roman"/>
          <w:color w:val="000000" w:themeColor="text1"/>
          <w:kern w:val="2"/>
          <w:sz w:val="16"/>
          <w:szCs w:val="16"/>
        </w:rPr>
        <w:t>8</w:t>
      </w:r>
      <w:r w:rsidR="00E44BC9" w:rsidRPr="002F2FDF">
        <w:rPr>
          <w:rFonts w:ascii="Times New Roman" w:hAnsi="Times New Roman" w:cs="Times New Roman"/>
          <w:color w:val="000000" w:themeColor="text1"/>
          <w:kern w:val="2"/>
          <w:sz w:val="16"/>
          <w:szCs w:val="16"/>
        </w:rPr>
        <w:t xml:space="preserve"> февраля) </w:t>
      </w:r>
      <w:r w:rsidRPr="002F2FDF">
        <w:rPr>
          <w:rFonts w:ascii="Times New Roman" w:hAnsi="Times New Roman" w:cs="Times New Roman"/>
          <w:color w:val="000000" w:themeColor="text1"/>
          <w:kern w:val="2"/>
          <w:sz w:val="16"/>
          <w:szCs w:val="16"/>
        </w:rPr>
        <w:t>1917:</w:t>
      </w:r>
    </w:p>
    <w:p w14:paraId="10B8FB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Г-36 №182, Юго-Западный фронт, Бучач, июль 1917 г.</w:t>
      </w:r>
    </w:p>
    <w:p w14:paraId="2391B3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КОНСТРУКТИВНЫЕ ИЗМЕНЕНИЯ И УКАЗАНИЯ, КОТОРЫЕ НЕОБХОДИМО ВНЕСТИ В ТЕХНИЧЕСКИЕ УСЛОВИЯ НА ПОСТРОЙКУ ВОЗДУШНЫХ КОРАБЛЕЙ А) типа Г-3</w:t>
      </w:r>
    </w:p>
    <w:p w14:paraId="27A3E7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Головная часть по типу Г-1 (застеклена полностью).</w:t>
      </w:r>
    </w:p>
    <w:p w14:paraId="55EA4C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Управление рулями направления по типу Г-3: трос к рулям вести через ролики у стабилизатора (передаточная крестовина упраздняется).</w:t>
      </w:r>
    </w:p>
    <w:p w14:paraId="187645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Управление рамой и проводника тросов к рулю глубины по типу Г-1.</w:t>
      </w:r>
    </w:p>
    <w:p w14:paraId="0C5456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Сиденье для пилота по типу Г-1 (в центре фюзеляжа).</w:t>
      </w:r>
    </w:p>
    <w:p w14:paraId="1A93C0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Уширить кабину на 150 мм.</w:t>
      </w:r>
    </w:p>
    <w:p w14:paraId="3139E1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Увеличить высоту фюзеляжа на 50 мм.</w:t>
      </w:r>
    </w:p>
    <w:p w14:paraId="147A63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Управление крылышками по типу Е (рычагами).</w:t>
      </w:r>
    </w:p>
    <w:p w14:paraId="365805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для сбрасывания бомб ставить кассеты с вертикальной подвеской по типу Г.</w:t>
      </w:r>
    </w:p>
    <w:p w14:paraId="69E3D5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Люки и все пулеметные установки делать согласно снятым в ЭВК эскизам.</w:t>
      </w:r>
    </w:p>
    <w:p w14:paraId="647FA0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Верхняя площадка остается (трубы крепящей вилки пулеметов упраздняются).</w:t>
      </w:r>
    </w:p>
    <w:p w14:paraId="0F478E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Баки на 21 пуд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жестью на ширину 700 мм.</w:t>
      </w:r>
    </w:p>
    <w:p w14:paraId="4725D0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10CED9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Поверхность стабилизатора увеличить на 3-4 кв.метра.</w:t>
      </w:r>
    </w:p>
    <w:p w14:paraId="6A8DB0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Бензиновую проводку в фюзеляже не вводить и ввести по задним стойкам клеток планов.</w:t>
      </w:r>
    </w:p>
    <w:p w14:paraId="58BBE6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Корабли снабдить двумя кассетами для пудовых бомб и двумя кассетами для двухпудовых бомб. Б) типа Е</w:t>
      </w:r>
    </w:p>
    <w:p w14:paraId="3B7EC4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Кресло пилота и управление сдвинуть на 14 см вправо.</w:t>
      </w:r>
    </w:p>
    <w:p w14:paraId="0952D7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Изменить форму спинки сиденья и сделать ее суживающейся кверху (размером 160 мм вверху и высотою 500м). Спинку закрепить.</w:t>
      </w:r>
    </w:p>
    <w:p w14:paraId="4A2ECA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Головную часть корабля укоротить на 30 см и свести к верхней поверхности фюзеляжа.</w:t>
      </w:r>
    </w:p>
    <w:p w14:paraId="00267B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В полу головной части корабля впереди переднего лонжерона крыла вправо от сидения пилота поставить зеркальное стекло из двух половинок, одна из них должна открываться.</w:t>
      </w:r>
    </w:p>
    <w:p w14:paraId="5F49A4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Люк для стрельбы из верхнего пулемета головной части корабля сделать с правой стороны над подъемною площадкой для пулеметчика.</w:t>
      </w:r>
    </w:p>
    <w:p w14:paraId="2729C2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Опускающуюся пулеметную площадку для стрельбы под костыль выполнить по эскизам снятым в Эскадре с Корабля IX (тип Е №265).</w:t>
      </w:r>
    </w:p>
    <w:p w14:paraId="081F57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3563D0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Пулеметные установки: (задняя верхняя за дверью, боковая и передняя головная) выполнить по эскизам снятым с /Х-го корабля.</w:t>
      </w:r>
    </w:p>
    <w:p w14:paraId="514D2C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Высота шасси и расстояние между моторами должны допускать возможность постановки винтов до 3,5м в диаметре.</w:t>
      </w:r>
    </w:p>
    <w:p w14:paraId="18B2D0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оборудование корабля (сигнальный прибор, бомбовые шкафы, люки, установки компасов, контрольных приборов) выполнить по эскизам снятым с 1Х-го корабля.</w:t>
      </w:r>
    </w:p>
    <w:p w14:paraId="1F05D4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Баки до 30 пудов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 жестью по ширине 800мм.</w:t>
      </w:r>
    </w:p>
    <w:p w14:paraId="3DAECE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Лыжи выполнить по типу 1Х-го корабля.</w:t>
      </w:r>
    </w:p>
    <w:p w14:paraId="762517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Бензиновую проводку в фюзеляже не вводить и ввести по задним стойкам клеток планов.</w:t>
      </w:r>
    </w:p>
    <w:p w14:paraId="080B3B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Общая мощность моторов должна быть не ниже 1000 действительных лошадиных сил.</w:t>
      </w:r>
    </w:p>
    <w:p w14:paraId="320767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Подписал Начальник ЭВК Генерал-майор Шидловский, Винница у 26 января 1917 г. (12038).</w:t>
      </w:r>
    </w:p>
    <w:p w14:paraId="611DD9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3E63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января 1917:</w:t>
      </w:r>
    </w:p>
    <w:p w14:paraId="61815E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Г-36 №182, Юго-Западный фронт, Бучач, июль 1917 г.</w:t>
      </w:r>
    </w:p>
    <w:p w14:paraId="3B1E98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Конструктивные изменения и указания, которые необходимо внести в технические условия на постройку воздушных кораблей</w:t>
      </w:r>
    </w:p>
    <w:p w14:paraId="1FC35E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типа Г-3</w:t>
      </w:r>
    </w:p>
    <w:p w14:paraId="24FD4A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Головная часть по типу Г-1 (застеклена полностью).</w:t>
      </w:r>
    </w:p>
    <w:p w14:paraId="241F3E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Управление рулями направления по типу Г-3: трос к рулям вести через ролики у стабилизатора (передаточная крестовина упраздняется).</w:t>
      </w:r>
    </w:p>
    <w:p w14:paraId="5DA8E6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Управление рамой и проводка тросов к рулю глубины по типу Г-1.</w:t>
      </w:r>
    </w:p>
    <w:p w14:paraId="338F7B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Сиденье для пилота по типу Г-1 (в центре фюзеляжа).</w:t>
      </w:r>
    </w:p>
    <w:p w14:paraId="2272C5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Уширить кабину на 150 мм.</w:t>
      </w:r>
    </w:p>
    <w:p w14:paraId="2820E0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Увеличить высоту фюзеляжа на 50 мм.</w:t>
      </w:r>
    </w:p>
    <w:p w14:paraId="105FFD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Управление крылышками по типу Е (рычагами).</w:t>
      </w:r>
    </w:p>
    <w:p w14:paraId="4D83F8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Для сбрасывания бомб ставить кассеты с вертикальной подвеской по типу Г.</w:t>
      </w:r>
    </w:p>
    <w:p w14:paraId="5AD805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Люки и все пулемётные установки делать согласно снятым в ЭВК эскизам.</w:t>
      </w:r>
    </w:p>
    <w:p w14:paraId="2C4573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Верхняя площадка остается (трубы крепящей вилки пулемётов упраздняются).</w:t>
      </w:r>
    </w:p>
    <w:p w14:paraId="7F5E52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Баки на 21 пуд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жестью на ширину 700 мм.</w:t>
      </w:r>
    </w:p>
    <w:p w14:paraId="608010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Для обстрела из хвостового гнезда поставить подъёмный пулемётный штырь с закрепляющим приспособлением и амортизатором уравновешивающим пулемёт.</w:t>
      </w:r>
    </w:p>
    <w:p w14:paraId="2C02F7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Поверхность стабилизатора увеличить на 3-4 кв. метра.</w:t>
      </w:r>
    </w:p>
    <w:p w14:paraId="08EECA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Бензиновую проводку в фюзеляже не вводить и ввести по задним стойкам клеток планов.</w:t>
      </w:r>
    </w:p>
    <w:p w14:paraId="4BD36E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Корабли снабдить двумя кассетами для пудовых бомб и двумя кассетами для двухпудовых бомб.</w:t>
      </w:r>
    </w:p>
    <w:p w14:paraId="094C64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типа Е</w:t>
      </w:r>
    </w:p>
    <w:p w14:paraId="52B8C8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Кресло пилота и управление сдвинуть на 14 см вправо.</w:t>
      </w:r>
    </w:p>
    <w:p w14:paraId="15E68D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Изменить форму спинки сиденья и сделать её суживающейся кверху (размером 160 мм вверху и высотою 500 м). Спинку закрепить.</w:t>
      </w:r>
    </w:p>
    <w:p w14:paraId="48BDEA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Головную часть корабля укоротить на 30 см и свести к верхней поверхности фюзеляжа.</w:t>
      </w:r>
    </w:p>
    <w:p w14:paraId="38E325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В полу головной части корабля впереди переднего лонжерона крыла вправо от сидения пилота поставить зеркальное стекло из двух половинок, одна из них должна открываться.</w:t>
      </w:r>
    </w:p>
    <w:p w14:paraId="7D1A26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Люк для стрельбы из верхнего пулемёта головной части корабля сделать с правой стороны над подъёмною площадкой для пулемётчика.</w:t>
      </w:r>
    </w:p>
    <w:p w14:paraId="6F33AE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Опускающуюся пулемётную площадку для стрельбы под костыль выполнить по эскизам снятым в Эскадре с Корабля IX (тип Е No 265).</w:t>
      </w:r>
    </w:p>
    <w:p w14:paraId="2CC69B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Для обстрела из хвостового гнезда поставить подъёмный пулемётный штырь с закрепляющим приспособлением и амортизатором уравновешивающим пулемёт.</w:t>
      </w:r>
    </w:p>
    <w:p w14:paraId="5A410A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Пулемётные установки: (задняя верхняя за дверью, боковая и передняя головная) выполнить по эскизам снятым с IX-го корабля.</w:t>
      </w:r>
    </w:p>
    <w:p w14:paraId="0C418F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Высота шасси и расстояние между моторами должны допускать возможность постановки винтов до 3,5 м в диаметре.</w:t>
      </w:r>
    </w:p>
    <w:p w14:paraId="4A314A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Оборудование корабля (сигнальный прибор, бомбовые шкафы, люки, установки компасов, контрольных приборов) выполнить по эскизам снятым с IX корабля.</w:t>
      </w:r>
    </w:p>
    <w:p w14:paraId="5FF267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Баки до 30 пудов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 жестью по ширине 800 мм.</w:t>
      </w:r>
    </w:p>
    <w:p w14:paraId="7171F6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Лыжи выполнить по типу IX корабля.</w:t>
      </w:r>
    </w:p>
    <w:p w14:paraId="3C1C8D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Бензиновую проводку в фюзеляже не вводить и ввести по задним стойкам клеток планов.</w:t>
      </w:r>
    </w:p>
    <w:p w14:paraId="2E7D33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Общая мощность моторов должна быть не ниже 1000 действительных лошадиных сил.</w:t>
      </w:r>
    </w:p>
    <w:p w14:paraId="143672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Подписал: Начальник ЭВК генерал-майор Шидловский, Винница, 26 января 1917 года </w:t>
      </w:r>
    </w:p>
    <w:p w14:paraId="07C398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Начавшиеся поставки из Франции новых мощных двигателей "Рено" привели к появлению второго варианта модификации Г - Г-2. Самолёты новой модификации сохранили все внешние черты предшественников, но вместо внутренних двигателей установили "французов" по 220 л.с. Уже в Эскадре некоторые Г-2 были доработаны в соответствии с настоятельными просьбами лётчиков. Активность германской истребительной авиации росла. Лётчики противника быстро нащупали слабое место бомбардировщика - заднюю полусферу и атаковали оттуда почти безнаказанно. И вот силами техников Эскадры несколько самолётов получили кормовую стрелковую точку с пулемётом ("пулемётное гнездо" в терминологии того времени). При этом пришлось демонтировать основной руль направления и несколько увеличить площадь дополнительных рулей. Шкворневую установку кормового пулемёта выполнили на последнем шпангоуте фюзеляжа. Машины с кормовым "пулемётным гнездом" в документах иногда обозначались Г-2бис. </w:t>
      </w:r>
    </w:p>
    <w:p w14:paraId="75ADE1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ходе производства самолётов типа Г-1 и Г-2 было признано полезным переделать хвостовое оперение для установки пулемётного гнезда. Опыт механиков Эскадры был признан положительным. Сикорский пересчитал параметры горизонтального и вертикального оперения и переделал конструкцию. Появление в самой дальней точке фюзеляжа пулемётчика с пулемётом и боезапасом (общая масса около 100 кг) вызывало смещение центра тяжести самолёта назад. Для аэродинамической схемы "тандем", которую использовал Сикорский на "Муромце", парировать это смещение можно было только увеличением площади горизонтального оперения. Увеличивать размах было уже невозможно, он и так уже составлял половину размаха нижнего крыла, поэтому пришлось увеличивать ширину горизонтального оперения.</w:t>
      </w:r>
    </w:p>
    <w:p w14:paraId="2ABD3C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Вертикальное оперение было сделано разнесённым. Впервые на серийных "Му- Заводской чертёж ромцах" появились неподвижные кили (один сверху перед пулемётным гнездом и один снизу за костылём), поскольку без них курсовая устойчивость аппарата оставляла желать лучшего. Оно и понятно - оба руля направления находились в струях крайних двигателей. С одной стороны это повышало их эффективность, с другой - стоило только отпустить педали, как самолёт начинало мотать из стороны в сторону, поскольку рули колебались в этой струе. Теперь пилот мог хоть иногда снимать ноги с педалей.</w:t>
      </w:r>
    </w:p>
    <w:p w14:paraId="38B6E9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Конструкция последнего отсека фюзеляжа была несколько изменена. Теперь фюзеляж сходился к последнему шпангоуту не столь резко, образуя рабочее место кормового стрелка. Если на импровизационно доработанных в полевых условиях Г-2бис стрелок добирался на своё рабочее место ползком через весь фюзеляж, то и дело рискуя прорвать обшивку сапогами, то на новом самолёте стрелок при необходимости добирался на своё рабочее место на "трамвае" - так аэродромные остряки прозвали небольшую тележку, которая каталась по уголковым профилям, уложенным на нижней части фюзеляжа. Стрелок ложился на тележку и руками отталкивался от шпангоутов и расчалок. Можно отметить, что позднее подобная тележка применялась на американских "Сверхкрепостях" В-29 и советских Ту-4.</w:t>
      </w:r>
    </w:p>
    <w:p w14:paraId="5C1AD9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Реализация пожеланий лётного состава, проведённая силами механиков Эскадры, давала Сикорскому много пиши для размышлений. Любопытно привести документ, в котором зафиксированы такого рода пожелания (12941).</w:t>
      </w:r>
    </w:p>
    <w:p w14:paraId="0D05B2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A9053E" w14:textId="77777777" w:rsidR="00570C45"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53AD9CA" w14:textId="77777777" w:rsidR="00570C45" w:rsidRPr="002F2FDF" w:rsidRDefault="00570C4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C1F20C" w14:textId="77777777" w:rsidR="00570C45" w:rsidRPr="002F2FDF" w:rsidRDefault="00570C45" w:rsidP="0083075A">
      <w:pPr>
        <w:pStyle w:val="ae"/>
        <w:spacing w:before="0" w:after="0"/>
        <w:jc w:val="both"/>
        <w:rPr>
          <w:color w:val="000000" w:themeColor="text1"/>
          <w:kern w:val="2"/>
          <w:sz w:val="16"/>
          <w:szCs w:val="16"/>
        </w:rPr>
      </w:pPr>
      <w:r w:rsidRPr="002F2FDF">
        <w:rPr>
          <w:color w:val="000000" w:themeColor="text1"/>
          <w:kern w:val="2"/>
          <w:sz w:val="16"/>
          <w:szCs w:val="16"/>
        </w:rPr>
        <w:t>26 января (8 февраля) января 1917 под Ригой разгорелась артиллерийская перестрелка, начатая русскими — они пытались отогнать огнем рабочих, согнанных немцами на земляные работы для укрепления позиций. Также 8 февраля немецкие самолеты совершили авианалет на Ригу, но были отогнаны русской зенитной артиллерией. 10 февраля австрийская тяжелая артиллерия обстреляла город Станиславов (ныне украинский областной центр Ивано-Франковск), среди мирных жителей были пострадавшие, некоторые здания были разрушены (17045).</w:t>
      </w:r>
    </w:p>
    <w:p w14:paraId="746FA420" w14:textId="77777777" w:rsidR="00570C45" w:rsidRPr="002F2FDF" w:rsidRDefault="00570C4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F863CC" w14:textId="77777777" w:rsidR="00987A47" w:rsidRPr="002F2FDF" w:rsidRDefault="00987A4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91972D5" w14:textId="77777777" w:rsidR="00987A47" w:rsidRPr="002F2FDF" w:rsidRDefault="00987A4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573A9B" w14:textId="77777777" w:rsidR="00987A47" w:rsidRPr="002F2FDF" w:rsidRDefault="00987A47" w:rsidP="0083075A">
      <w:pPr>
        <w:pStyle w:val="ae"/>
        <w:spacing w:before="0" w:after="0"/>
        <w:jc w:val="both"/>
        <w:textAlignment w:val="top"/>
        <w:rPr>
          <w:color w:val="000000" w:themeColor="text1"/>
          <w:sz w:val="16"/>
          <w:szCs w:val="16"/>
        </w:rPr>
      </w:pPr>
      <w:r w:rsidRPr="002F2FDF">
        <w:rPr>
          <w:color w:val="000000" w:themeColor="text1"/>
          <w:sz w:val="16"/>
          <w:szCs w:val="16"/>
        </w:rPr>
        <w:t>В ночь с 26 на 27 января (с 8 на 9 февраля) 1917 г. было арестовано 10 из 11 ее членов. После этого ЦВПК, по словам Гучкова, окончательно сделался революционной организацией (18405).</w:t>
      </w:r>
    </w:p>
    <w:p w14:paraId="5D70355B" w14:textId="77777777" w:rsidR="00987A47" w:rsidRPr="002F2FDF" w:rsidRDefault="00987A47" w:rsidP="0083075A">
      <w:pPr>
        <w:pStyle w:val="ae"/>
        <w:spacing w:before="0" w:after="0"/>
        <w:jc w:val="both"/>
        <w:textAlignment w:val="top"/>
        <w:rPr>
          <w:color w:val="000000" w:themeColor="text1"/>
          <w:sz w:val="16"/>
          <w:szCs w:val="16"/>
        </w:rPr>
      </w:pPr>
    </w:p>
    <w:p w14:paraId="34BBD760" w14:textId="77777777" w:rsidR="008C5CCC"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25424642" w14:textId="77777777" w:rsidR="008C5CCC" w:rsidRPr="002F2FDF" w:rsidRDefault="008C5CC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8E1748" w14:textId="77777777" w:rsidR="008C5CCC" w:rsidRPr="002F2FDF" w:rsidRDefault="008C5CCC"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bCs/>
          <w:i w:val="0"/>
          <w:color w:val="000000" w:themeColor="text1"/>
          <w:kern w:val="2"/>
          <w:sz w:val="16"/>
          <w:szCs w:val="16"/>
        </w:rPr>
        <w:t xml:space="preserve">Не ранее 26 января (8 февраля) 1917 </w:t>
      </w:r>
      <w:r w:rsidRPr="002F2FDF">
        <w:rPr>
          <w:rStyle w:val="af0"/>
          <w:rFonts w:ascii="Times New Roman" w:hAnsi="Times New Roman" w:cs="Times New Roman"/>
          <w:i w:val="0"/>
          <w:color w:val="000000" w:themeColor="text1"/>
          <w:kern w:val="2"/>
          <w:sz w:val="16"/>
          <w:szCs w:val="16"/>
        </w:rPr>
        <w:t xml:space="preserve">г. была </w:t>
      </w:r>
      <w:r w:rsidRPr="002F2FDF">
        <w:rPr>
          <w:rFonts w:ascii="Times New Roman" w:hAnsi="Times New Roman" w:cs="Times New Roman"/>
          <w:color w:val="000000" w:themeColor="text1"/>
          <w:kern w:val="2"/>
          <w:sz w:val="16"/>
          <w:szCs w:val="16"/>
        </w:rPr>
        <w:t>Телеграмма военного министра ген. М. А. Беляева полк. А. А. Игнатьеву о зависимости программы усиления армии от заграничных поставок.</w:t>
      </w:r>
    </w:p>
    <w:p w14:paraId="38202609" w14:textId="77777777" w:rsidR="008C5CCC" w:rsidRPr="002F2FDF" w:rsidRDefault="008C5CC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439</w:t>
      </w:r>
    </w:p>
    <w:p w14:paraId="445FEAEE" w14:textId="77777777" w:rsidR="008C5CCC" w:rsidRPr="002F2FDF" w:rsidRDefault="008C5CC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АВПР, ф. Секретного архива, д. 680/720, л. 12. Копия</w:t>
      </w:r>
    </w:p>
    <w:p w14:paraId="2EC48720" w14:textId="77777777" w:rsidR="008C5CCC" w:rsidRPr="002F2FDF" w:rsidRDefault="008C5CCC" w:rsidP="0083075A">
      <w:pPr>
        <w:pStyle w:val="rtejustify"/>
        <w:spacing w:before="0" w:after="0"/>
        <w:rPr>
          <w:color w:val="000000" w:themeColor="text1"/>
          <w:kern w:val="2"/>
          <w:sz w:val="16"/>
          <w:szCs w:val="16"/>
        </w:rPr>
      </w:pPr>
      <w:r w:rsidRPr="002F2FDF">
        <w:rPr>
          <w:color w:val="000000" w:themeColor="text1"/>
          <w:kern w:val="2"/>
          <w:sz w:val="16"/>
          <w:szCs w:val="16"/>
        </w:rPr>
        <w:t>51. Поручаю вам самым категорическим образом возражать против сообщаемых в вашей телеграмме предположений о причинах заявлений наших на конференции о потребностях армии в предметах вооружения и снабжения. Передайте от меня г. Альберу Тома, что, стремясь всемерно развить успех на восточном фронте, мы разработали программу усиления наших вооруженных сил и сообщили на конференции о той материальной части для новых формирований, которую не можем получить на наших заводах. Если союзные страны не в состоянии уступить нам недостающее вооружение, мы сократим число новых формирований, но мы считали необходимым ознакомить представителей союзных армий с намеченным планом развития армии, который, однако, будет осуществлен в пределах, допускаемых той материальной частью, которую мы получим с заводов России и союзных государств. 4529.</w:t>
      </w:r>
    </w:p>
    <w:p w14:paraId="4480A839" w14:textId="77777777" w:rsidR="008C5CCC" w:rsidRPr="002F2FDF" w:rsidRDefault="008C5CCC"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lastRenderedPageBreak/>
        <w:t>Подписал: Беляев (15143).</w:t>
      </w:r>
    </w:p>
    <w:p w14:paraId="16C26522" w14:textId="77777777" w:rsidR="008C5CCC" w:rsidRPr="002F2FDF" w:rsidRDefault="008C5CCC" w:rsidP="0083075A">
      <w:pPr>
        <w:pStyle w:val="rtejustify"/>
        <w:spacing w:before="0" w:after="0"/>
        <w:rPr>
          <w:color w:val="000000" w:themeColor="text1"/>
          <w:kern w:val="2"/>
          <w:sz w:val="16"/>
          <w:szCs w:val="16"/>
        </w:rPr>
      </w:pPr>
    </w:p>
    <w:p w14:paraId="3AAE7556" w14:textId="77777777" w:rsidR="008C5CCC" w:rsidRPr="002F2FDF" w:rsidRDefault="008C5CCC" w:rsidP="0083075A">
      <w:pPr>
        <w:pStyle w:val="rtecenter"/>
        <w:spacing w:before="0" w:after="0"/>
        <w:jc w:val="both"/>
        <w:rPr>
          <w:color w:val="000000" w:themeColor="text1"/>
          <w:kern w:val="2"/>
          <w:sz w:val="16"/>
          <w:szCs w:val="16"/>
        </w:rPr>
      </w:pPr>
      <w:r w:rsidRPr="002F2FDF">
        <w:rPr>
          <w:rStyle w:val="af0"/>
          <w:i w:val="0"/>
          <w:color w:val="000000" w:themeColor="text1"/>
          <w:kern w:val="2"/>
          <w:sz w:val="16"/>
          <w:szCs w:val="16"/>
        </w:rPr>
        <w:t xml:space="preserve">26 января (8 февраля) 1917 г. была Телеграмма военного агента во Франции полк. А. А. Игнатьева Военному министерству об отрицательном отношении французского правительства и верховного командования к запросам России на поставку военного снаряжения из Франции, заявленным на Петроградской конференции </w:t>
      </w:r>
      <w:hyperlink r:id="rId27" w:anchor="_ftn1" w:history="1">
        <w:r w:rsidRPr="002F2FDF">
          <w:rPr>
            <w:rStyle w:val="a7"/>
            <w:rFonts w:eastAsiaTheme="majorEastAsia"/>
            <w:b w:val="0"/>
            <w:iCs/>
            <w:color w:val="000000" w:themeColor="text1"/>
            <w:kern w:val="2"/>
            <w:sz w:val="16"/>
            <w:szCs w:val="16"/>
          </w:rPr>
          <w:t>[</w:t>
        </w:r>
        <w:r w:rsidRPr="002F2FDF">
          <w:rPr>
            <w:color w:val="000000" w:themeColor="text1"/>
            <w:kern w:val="2"/>
            <w:sz w:val="16"/>
            <w:szCs w:val="16"/>
          </w:rPr>
          <w:t xml:space="preserve">Петроградская конференция стран Антанты была созвана в середине января в Петрограде для рассмотрения вопроса об оказании материальной помощи русской армии и рассмотрения военного положения на Восточном театре мировой войны. В конференции участвовали представители Англии, Франции, Италии и России. Русскую делегацию возглавляли министр иностранных дел Н. Н. Покровский и военный министр ген. М. А. Беляев. Обсуждение вопросов повестки дня конференции происходило в трех комиссиях: военно-политической, финансовой и в комиссии но снабжению. Царское правительство возлагало большие надежды на конференцию. Военное министерство подготовило подробные сведения о потребностях русской армии на 1917 г., надеясь в значительной степени удовлетворить эти потребности за счет заграничных поставок. В связи с реорганизацией русской армии и созданием 45 новых дивизий особенно острая потребность была в артиллерии. Так, из 34 922 орудий, потребных на 1917 г., из-за границы предполагалось получить около 16 тыс. Кроме того, требовалось огромное количество снарядов, пороха, различных предметов военно-инженерного снабжения, автомашин, а также угля, металлов и т. п. Общий тоннаж заграничных грузов был определен в 9 млн. т. Выслушав заявления о потребностях русской армии, союзные представители в конце конференции передали военному министру ген. Беляеву записку о количестве военных и прочих материалов, уступаемом России союзными странами в 1917 г. (см. док. № 565). Обязательства, взятые на себя союзниками на Петроградской конференции, не были ими выполнены (см.: Conference des Alles a Petrograd. </w:t>
        </w:r>
        <w:r w:rsidRPr="002F2FDF">
          <w:rPr>
            <w:color w:val="000000" w:themeColor="text1"/>
            <w:kern w:val="2"/>
            <w:sz w:val="16"/>
            <w:szCs w:val="16"/>
            <w:lang w:val="en-US"/>
          </w:rPr>
          <w:t xml:space="preserve">Commission de Ravitaillement. Proces-verbaux, vol I-II. Petrograd, 1917; </w:t>
        </w:r>
        <w:r w:rsidRPr="002F2FDF">
          <w:rPr>
            <w:color w:val="000000" w:themeColor="text1"/>
            <w:kern w:val="2"/>
            <w:sz w:val="16"/>
            <w:szCs w:val="16"/>
          </w:rPr>
          <w:t>А</w:t>
        </w:r>
        <w:r w:rsidRPr="002F2FDF">
          <w:rPr>
            <w:color w:val="000000" w:themeColor="text1"/>
            <w:kern w:val="2"/>
            <w:sz w:val="16"/>
            <w:szCs w:val="16"/>
            <w:lang w:val="en-US"/>
          </w:rPr>
          <w:t xml:space="preserve">. </w:t>
        </w:r>
        <w:r w:rsidRPr="002F2FDF">
          <w:rPr>
            <w:color w:val="000000" w:themeColor="text1"/>
            <w:kern w:val="2"/>
            <w:sz w:val="16"/>
            <w:szCs w:val="16"/>
          </w:rPr>
          <w:t>Л</w:t>
        </w:r>
        <w:r w:rsidRPr="002F2FDF">
          <w:rPr>
            <w:color w:val="000000" w:themeColor="text1"/>
            <w:kern w:val="2"/>
            <w:sz w:val="16"/>
            <w:szCs w:val="16"/>
            <w:lang w:val="en-US"/>
          </w:rPr>
          <w:t xml:space="preserve">. </w:t>
        </w:r>
        <w:r w:rsidRPr="002F2FDF">
          <w:rPr>
            <w:color w:val="000000" w:themeColor="text1"/>
            <w:kern w:val="2"/>
            <w:sz w:val="16"/>
            <w:szCs w:val="16"/>
          </w:rPr>
          <w:t>Сидоров</w:t>
        </w:r>
        <w:r w:rsidRPr="002F2FDF">
          <w:rPr>
            <w:color w:val="000000" w:themeColor="text1"/>
            <w:kern w:val="2"/>
            <w:sz w:val="16"/>
            <w:szCs w:val="16"/>
            <w:lang w:val="en-US"/>
          </w:rPr>
          <w:t xml:space="preserve">. </w:t>
        </w:r>
        <w:r w:rsidRPr="002F2FDF">
          <w:rPr>
            <w:color w:val="000000" w:themeColor="text1"/>
            <w:kern w:val="2"/>
            <w:sz w:val="16"/>
            <w:szCs w:val="16"/>
          </w:rPr>
          <w:t>Отношения России с союзниками и иностранные поставки во время первой мировой войны 1914—1917 гг. Исторические записки, т. 15)</w:t>
        </w:r>
        <w:r w:rsidRPr="002F2FDF">
          <w:rPr>
            <w:rStyle w:val="a7"/>
            <w:rFonts w:eastAsiaTheme="majorEastAsia"/>
            <w:b w:val="0"/>
            <w:iCs/>
            <w:color w:val="000000" w:themeColor="text1"/>
            <w:kern w:val="2"/>
            <w:sz w:val="16"/>
            <w:szCs w:val="16"/>
          </w:rPr>
          <w:t>]</w:t>
        </w:r>
      </w:hyperlink>
      <w:r w:rsidRPr="002F2FDF">
        <w:rPr>
          <w:rStyle w:val="af0"/>
          <w:i w:val="0"/>
          <w:color w:val="000000" w:themeColor="text1"/>
          <w:kern w:val="2"/>
          <w:sz w:val="16"/>
          <w:szCs w:val="16"/>
        </w:rPr>
        <w:t>.</w:t>
      </w:r>
    </w:p>
    <w:p w14:paraId="51D82F9F" w14:textId="77777777" w:rsidR="008C5CCC" w:rsidRPr="002F2FDF" w:rsidRDefault="008C5CCC" w:rsidP="0083075A">
      <w:pPr>
        <w:pStyle w:val="rtejustify"/>
        <w:spacing w:before="0" w:after="0"/>
        <w:rPr>
          <w:color w:val="000000" w:themeColor="text1"/>
          <w:kern w:val="2"/>
          <w:sz w:val="16"/>
          <w:szCs w:val="16"/>
        </w:rPr>
      </w:pPr>
      <w:r w:rsidRPr="002F2FDF">
        <w:rPr>
          <w:color w:val="000000" w:themeColor="text1"/>
          <w:kern w:val="2"/>
          <w:sz w:val="16"/>
          <w:szCs w:val="16"/>
        </w:rPr>
        <w:t>Прошу срочно передать военному министру.</w:t>
      </w:r>
    </w:p>
    <w:p w14:paraId="6DA7B642" w14:textId="77777777" w:rsidR="008C5CCC" w:rsidRPr="002F2FDF" w:rsidRDefault="008C5CCC" w:rsidP="0083075A">
      <w:pPr>
        <w:pStyle w:val="rtejustify"/>
        <w:spacing w:before="0" w:after="0"/>
        <w:rPr>
          <w:color w:val="000000" w:themeColor="text1"/>
          <w:kern w:val="2"/>
          <w:sz w:val="16"/>
          <w:szCs w:val="16"/>
        </w:rPr>
      </w:pPr>
      <w:r w:rsidRPr="002F2FDF">
        <w:rPr>
          <w:color w:val="000000" w:themeColor="text1"/>
          <w:kern w:val="2"/>
          <w:sz w:val="16"/>
          <w:szCs w:val="16"/>
        </w:rPr>
        <w:t>Телеграмма полк. Ремой о требованиях, предъявленных нами на Петроградской конференции,</w:t>
      </w:r>
      <w:hyperlink r:id="rId28" w:anchor="_ftn2" w:history="1">
        <w:r w:rsidRPr="002F2FDF">
          <w:rPr>
            <w:rStyle w:val="a5"/>
            <w:color w:val="000000" w:themeColor="text1"/>
            <w:kern w:val="2"/>
            <w:sz w:val="16"/>
            <w:szCs w:val="16"/>
          </w:rPr>
          <w:t>[</w:t>
        </w:r>
        <w:r w:rsidRPr="002F2FDF">
          <w:rPr>
            <w:color w:val="000000" w:themeColor="text1"/>
            <w:kern w:val="2"/>
            <w:sz w:val="16"/>
            <w:szCs w:val="16"/>
          </w:rPr>
          <w:t xml:space="preserve"> Телеграмма представителя Франции в комиссии по снабжению полк. Рсмопа на имя министра вооружений и военного производства Альбера Тома с изложением потребностей русской армии в заграничном военном снаряжении приводится в публикации французского военного министерства — «Les armees francaises dans la grande guerre» (t. V, v. 1, ann. 1 vol., №№ 575, 590). Запросы русского Военного министерства по отношению к Франции касались главным образом предметов артиллерийского снаряжения. Так, из необходимых русской армии на 1917 г. 9920 полевых орудий, потребных для реорганизации армии, у Франции запрашивали около 5 тыс., из необходимых на 1917 г. 1620 горных орудий 1033 запрашивали у Франции, а также большое количество тяжелой артиллерии, зенитных и траншейных орудий и снарядов различных калибров.</w:t>
        </w:r>
        <w:r w:rsidRPr="002F2FDF">
          <w:rPr>
            <w:rStyle w:val="a5"/>
            <w:color w:val="000000" w:themeColor="text1"/>
            <w:kern w:val="2"/>
            <w:sz w:val="16"/>
            <w:szCs w:val="16"/>
          </w:rPr>
          <w:t>]</w:t>
        </w:r>
      </w:hyperlink>
      <w:r w:rsidRPr="002F2FDF">
        <w:rPr>
          <w:color w:val="000000" w:themeColor="text1"/>
          <w:kern w:val="2"/>
          <w:sz w:val="16"/>
          <w:szCs w:val="16"/>
        </w:rPr>
        <w:t xml:space="preserve"> послужила предметом обсуждения в Верховном совете обороны </w:t>
      </w:r>
      <w:hyperlink r:id="rId29" w:anchor="_ftn3" w:history="1">
        <w:r w:rsidRPr="002F2FDF">
          <w:rPr>
            <w:rStyle w:val="a5"/>
            <w:color w:val="000000" w:themeColor="text1"/>
            <w:kern w:val="2"/>
            <w:sz w:val="16"/>
            <w:szCs w:val="16"/>
          </w:rPr>
          <w:t>[</w:t>
        </w:r>
        <w:r w:rsidRPr="002F2FDF">
          <w:rPr>
            <w:color w:val="000000" w:themeColor="text1"/>
            <w:kern w:val="2"/>
            <w:sz w:val="16"/>
            <w:szCs w:val="16"/>
          </w:rPr>
          <w:t>Верховный совет обороны Франции — консультативный орган президента республики и председателя Совета министров по общим вопросам организации армии и выработки военных планов. Совет обычно возглавлялся премьер-министром и состоял из ведущих министров и представителей высшего генералитета.</w:t>
        </w:r>
        <w:r w:rsidRPr="002F2FDF">
          <w:rPr>
            <w:rStyle w:val="a5"/>
            <w:color w:val="000000" w:themeColor="text1"/>
            <w:kern w:val="2"/>
            <w:sz w:val="16"/>
            <w:szCs w:val="16"/>
          </w:rPr>
          <w:t>]</w:t>
        </w:r>
      </w:hyperlink>
      <w:r w:rsidRPr="002F2FDF">
        <w:rPr>
          <w:color w:val="000000" w:themeColor="text1"/>
          <w:kern w:val="2"/>
          <w:sz w:val="16"/>
          <w:szCs w:val="16"/>
        </w:rPr>
        <w:t xml:space="preserve"> и произвела самое тяжелое впечатление на все правительство вследствие того, что наше требование совершенно не соответствует промышленным уступкам Франции, продуктивность коих ограничена к тому же недостатком в стали и чугуне, ввоз коих вследствие стеснения в тоннаже едва ли покрывает 50% потребностей заводской промышленности. Французы усматривают в наших требованиях в лучшем случае малообоснованный запрос, при котором вся оказанная до сих пор помощь Францией как бы сводится к нулю, а в худшем случае они усматривают стремление некоторых наших государственных людей доказать союзникам невозможность для нас при подобных условиях продолжать борьбу. Стремлюсь всемерно рассеять эти впечатления, в особенности второе, но, считая главной задачей сохранение дружественных и искренних отношений на почве военных интересов, прошу сообщить мне срочно предъявленные нами требования, без чего мне невозможно дать умиротворяющие возражения и объяснения. Кроме того, эти данные необходимы для согласования с ними текущих требований наших главных управлений. Сегодня с трудом удалось убедить Альбера Тома отменить принятое им было решение приостановить всякое изучение очередных вопросов нашего снабжения, среди которых есть немало весьма важных и срочных. Париж. Четверг. № 51.</w:t>
      </w:r>
    </w:p>
    <w:p w14:paraId="5607F777" w14:textId="77777777" w:rsidR="008C5CCC" w:rsidRPr="002F2FDF" w:rsidRDefault="008C5CCC"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Игнатьев (15143).</w:t>
      </w:r>
    </w:p>
    <w:p w14:paraId="0AAD62E1" w14:textId="77777777" w:rsidR="008C5CCC" w:rsidRPr="002F2FDF" w:rsidRDefault="008C5CCC" w:rsidP="0083075A">
      <w:pPr>
        <w:pStyle w:val="ae"/>
        <w:spacing w:before="0" w:after="0"/>
        <w:jc w:val="both"/>
        <w:rPr>
          <w:color w:val="000000" w:themeColor="text1"/>
          <w:kern w:val="2"/>
          <w:sz w:val="16"/>
          <w:szCs w:val="16"/>
        </w:rPr>
      </w:pPr>
    </w:p>
    <w:p w14:paraId="38B712A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25269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A64A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января (</w:t>
      </w:r>
      <w:r w:rsidR="00C06026" w:rsidRPr="002F2FDF">
        <w:rPr>
          <w:rFonts w:ascii="Times New Roman" w:hAnsi="Times New Roman" w:cs="Times New Roman"/>
          <w:color w:val="000000" w:themeColor="text1"/>
          <w:kern w:val="2"/>
          <w:sz w:val="16"/>
          <w:szCs w:val="16"/>
        </w:rPr>
        <w:t>8</w:t>
      </w:r>
      <w:r w:rsidRPr="002F2FDF">
        <w:rPr>
          <w:rFonts w:ascii="Times New Roman" w:hAnsi="Times New Roman" w:cs="Times New Roman"/>
          <w:color w:val="000000" w:themeColor="text1"/>
          <w:kern w:val="2"/>
          <w:sz w:val="16"/>
          <w:szCs w:val="16"/>
        </w:rPr>
        <w:t xml:space="preserve"> февраля) 1917 Гийнемеру удалось сбить бомбардировщик "Гота". Германский гигант бомбардировал Нанси, когда французский истребитель привычно зашел ему в хвост и снизу для атаки. Однако германский наблюдатель не дремал и, едва Гийнемер приблизился, воспользовался сюрпризом - последним изобретением германских летчиков. Француз вдруг увидел, как в пузе у гиганта открылся люк и оттуда высунулся пулемет. Гийнемер отреагировал тотчас и, сделав быстрый маневр, в следующую минуту атаковал немца в 3/4 с носа, первой же короткой очередью с близкого расстояния пробил мотор гиганта и вынудил его совершить посадку на французской территории у Понт-а- Мусона. Оба летчика были взяты в плен (11999).</w:t>
      </w:r>
    </w:p>
    <w:p w14:paraId="1C8461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82362A" w14:textId="77777777" w:rsidR="00FF2231" w:rsidRPr="002F2FDF" w:rsidRDefault="00FF223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26 января (8 февраля) 1917 французский ас Жорж Гинемер на SPAD VII становится первым пилотом союзников, сбившим немецкий тяжелый бомбардировщик - Gotha G.III (20341).</w:t>
      </w:r>
    </w:p>
    <w:p w14:paraId="7D64D839" w14:textId="77777777" w:rsidR="00FF2231" w:rsidRPr="002F2FDF" w:rsidRDefault="00FF2231" w:rsidP="0083075A">
      <w:pPr>
        <w:spacing w:after="0" w:line="240" w:lineRule="auto"/>
        <w:jc w:val="both"/>
        <w:rPr>
          <w:rFonts w:ascii="Times New Roman" w:hAnsi="Times New Roman" w:cs="Times New Roman"/>
          <w:color w:val="000000" w:themeColor="text1"/>
          <w:sz w:val="16"/>
          <w:szCs w:val="16"/>
        </w:rPr>
      </w:pPr>
    </w:p>
    <w:p w14:paraId="1DAF48A7" w14:textId="77777777" w:rsidR="00570C45"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882F52C" w14:textId="77777777" w:rsidR="00570C45" w:rsidRPr="002F2FDF" w:rsidRDefault="00570C4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049645" w14:textId="77777777" w:rsidR="00570C45" w:rsidRPr="002F2FDF" w:rsidRDefault="00570C45" w:rsidP="0083075A">
      <w:pPr>
        <w:pStyle w:val="ae"/>
        <w:spacing w:before="0" w:after="0"/>
        <w:jc w:val="both"/>
        <w:rPr>
          <w:color w:val="000000" w:themeColor="text1"/>
          <w:kern w:val="2"/>
          <w:sz w:val="16"/>
          <w:szCs w:val="16"/>
        </w:rPr>
      </w:pPr>
      <w:r w:rsidRPr="002F2FDF">
        <w:rPr>
          <w:color w:val="000000" w:themeColor="text1"/>
          <w:kern w:val="2"/>
          <w:sz w:val="16"/>
          <w:szCs w:val="16"/>
        </w:rPr>
        <w:t>27 января (9 февраля) 1917 во Франции министр торговли, промышленности, труда и сельского хозяйства Этьен Клементель представил проект закона о возможности реквизиции всех предприятий и организаций, связанных с обороной, а также о всеобщей трудовой повинности мужчин от 16 до 60 лет (за исключением «слабосильных», отпущенных с военной службы и в отдельных случаях — студентов и учеников ремесленников). Ранее подобный закон был принят в Германии, сильно страдавшей от «войны на истощение», но теперь нехватка ресурсов стала отмечаться уже и в странах Антанты. Во Франции проблема с продовольствием была не столь острой, как в Германии. Но и здесь правительство в эти же дни подготовило распоряжение, позволявшее при выпечке хлеба добавлять в него 15% кукурузной или ячменной муки. Правительство Великобритании, в свою очередь, подготовило распоряжение об ограничении использования в качестве кормов для скота продуктов питания, пригодных для людей. Кроме того, в стране открылись курсы по подготовке новых фермеров взамен ушедших на фронт (17045).</w:t>
      </w:r>
    </w:p>
    <w:p w14:paraId="62057D27" w14:textId="77777777" w:rsidR="00570C45" w:rsidRPr="002F2FDF" w:rsidRDefault="00570C4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9F21D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EE198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A957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28 января </w:t>
      </w:r>
      <w:r w:rsidR="00E44BC9" w:rsidRPr="002F2FDF">
        <w:rPr>
          <w:rFonts w:ascii="Times New Roman" w:hAnsi="Times New Roman" w:cs="Times New Roman"/>
          <w:color w:val="000000" w:themeColor="text1"/>
          <w:kern w:val="2"/>
          <w:sz w:val="16"/>
          <w:szCs w:val="16"/>
        </w:rPr>
        <w:t xml:space="preserve">(10 февраля) </w:t>
      </w:r>
      <w:r w:rsidRPr="002F2FDF">
        <w:rPr>
          <w:rFonts w:ascii="Times New Roman" w:hAnsi="Times New Roman" w:cs="Times New Roman"/>
          <w:color w:val="000000" w:themeColor="text1"/>
          <w:kern w:val="2"/>
          <w:sz w:val="16"/>
          <w:szCs w:val="16"/>
        </w:rPr>
        <w:t>1917 г. на основании ходатайства правления «Дукса», поддержанного авиационной комиссией, Особое совещание своим решением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 (11863).</w:t>
      </w:r>
    </w:p>
    <w:p w14:paraId="0E99D1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0AC608" w14:textId="66228010" w:rsidR="00987A47" w:rsidRPr="002F2FDF" w:rsidRDefault="00987A47" w:rsidP="0083075A">
      <w:pPr>
        <w:pStyle w:val="ae"/>
        <w:spacing w:before="0" w:after="0"/>
        <w:jc w:val="both"/>
        <w:rPr>
          <w:color w:val="000000" w:themeColor="text1"/>
          <w:sz w:val="16"/>
          <w:szCs w:val="16"/>
        </w:rPr>
      </w:pPr>
      <w:r w:rsidRPr="002F2FDF">
        <w:rPr>
          <w:color w:val="000000" w:themeColor="text1"/>
          <w:sz w:val="16"/>
          <w:szCs w:val="16"/>
        </w:rPr>
        <w:t>28 января (10 февраля) 1917 г. на основании ходатайства правления «Дукса», поддержанного авиационной комиссией, Особое совещание своим решением выдало заводу ссуду в 550 тыс. руб. из расчета 5 % годовых (все планируемые затраты по расширению предприятия исчислялись в 1063,1 тыс. руб.).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w:t>
      </w:r>
      <w:r w:rsidR="00E52569">
        <w:rPr>
          <w:color w:val="000000" w:themeColor="text1"/>
          <w:sz w:val="16"/>
          <w:szCs w:val="16"/>
        </w:rPr>
        <w:t xml:space="preserve"> </w:t>
      </w:r>
      <w:r w:rsidRPr="002F2FDF">
        <w:rPr>
          <w:color w:val="000000" w:themeColor="text1"/>
          <w:sz w:val="16"/>
          <w:szCs w:val="16"/>
        </w:rPr>
        <w:t xml:space="preserve">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 (18369).</w:t>
      </w:r>
    </w:p>
    <w:p w14:paraId="3E5BE684" w14:textId="77777777" w:rsidR="00987A47" w:rsidRPr="002F2FDF" w:rsidRDefault="00987A47" w:rsidP="0083075A">
      <w:pPr>
        <w:pStyle w:val="ae"/>
        <w:spacing w:before="0" w:after="0"/>
        <w:jc w:val="both"/>
        <w:rPr>
          <w:color w:val="000000" w:themeColor="text1"/>
          <w:sz w:val="16"/>
          <w:szCs w:val="16"/>
        </w:rPr>
      </w:pPr>
    </w:p>
    <w:p w14:paraId="66A725F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3568C1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CEC29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января (</w:t>
      </w:r>
      <w:r w:rsidR="00E44BC9" w:rsidRPr="002F2FDF">
        <w:rPr>
          <w:rFonts w:ascii="Times New Roman" w:hAnsi="Times New Roman" w:cs="Times New Roman"/>
          <w:color w:val="000000" w:themeColor="text1"/>
          <w:kern w:val="2"/>
          <w:sz w:val="16"/>
          <w:szCs w:val="16"/>
        </w:rPr>
        <w:t>10</w:t>
      </w:r>
      <w:r w:rsidRPr="002F2FDF">
        <w:rPr>
          <w:rFonts w:ascii="Times New Roman" w:hAnsi="Times New Roman" w:cs="Times New Roman"/>
          <w:color w:val="000000" w:themeColor="text1"/>
          <w:kern w:val="2"/>
          <w:sz w:val="16"/>
          <w:szCs w:val="16"/>
        </w:rPr>
        <w:t xml:space="preserve"> февраля) 1917 г. был заключен контракт с Первым русским ак</w:t>
      </w:r>
      <w:r w:rsidRPr="002F2FDF">
        <w:rPr>
          <w:rFonts w:ascii="Times New Roman" w:hAnsi="Times New Roman" w:cs="Times New Roman"/>
          <w:color w:val="000000" w:themeColor="text1"/>
          <w:kern w:val="2"/>
          <w:sz w:val="16"/>
          <w:szCs w:val="16"/>
        </w:rPr>
        <w:softHyphen/>
        <w:t>ционерным обществом ружейных и пулеметных заводов за № 21 (с до</w:t>
      </w:r>
      <w:r w:rsidRPr="002F2FDF">
        <w:rPr>
          <w:rFonts w:ascii="Times New Roman" w:hAnsi="Times New Roman" w:cs="Times New Roman"/>
          <w:color w:val="000000" w:themeColor="text1"/>
          <w:kern w:val="2"/>
          <w:sz w:val="16"/>
          <w:szCs w:val="16"/>
        </w:rPr>
        <w:softHyphen/>
        <w:t>полнительной надписью на нем от 11 января 1918 г. за № 8 о новых условиях) об изготовления на Ковровском пулеметном заводе ружей-пулеметов системы В. Федорова и Мадсена.</w:t>
      </w:r>
    </w:p>
    <w:p w14:paraId="2D0BB80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РГАЭ. Ф. 2097. Оп. 6. Д. 323. Л. 33-34. Заверенная копия (10711,91).</w:t>
      </w:r>
    </w:p>
    <w:p w14:paraId="359ECB1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E20B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28 января </w:t>
      </w:r>
      <w:r w:rsidR="00E44BC9" w:rsidRPr="002F2FDF">
        <w:rPr>
          <w:rFonts w:ascii="Times New Roman" w:hAnsi="Times New Roman" w:cs="Times New Roman"/>
          <w:color w:val="000000" w:themeColor="text1"/>
          <w:kern w:val="2"/>
          <w:sz w:val="16"/>
          <w:szCs w:val="16"/>
        </w:rPr>
        <w:t xml:space="preserve">(10 февраля) </w:t>
      </w:r>
      <w:r w:rsidRPr="002F2FDF">
        <w:rPr>
          <w:rFonts w:ascii="Times New Roman" w:hAnsi="Times New Roman" w:cs="Times New Roman"/>
          <w:color w:val="000000" w:themeColor="text1"/>
          <w:kern w:val="2"/>
          <w:sz w:val="16"/>
          <w:szCs w:val="16"/>
        </w:rPr>
        <w:t xml:space="preserve">1917 г. ГАУ заключает с Первым Русским Акционерным Обществом ружейных и пулеметных заводов контракт на производство 15000 ружей-пулеметов Мадсена Р.1916. Представителем артиллерийского управления на Оружейный завод в Коврове был назначен штабс-капитан Апарин. В мае 1917 г. здесь доводятся опытные образцы, а к декабрю закончена подготовка чертежной документации и начато производство двух первых партий - в 50 и 300 пулеметов. Ружье-пулемет Р.1916 имело ряд отличий от образца 1902 г. У дульной части ствола внутри кожуха помещена направляющая втулка, повышена прочность деталей, секторный </w:t>
      </w:r>
      <w:r w:rsidRPr="002F2FDF">
        <w:rPr>
          <w:rFonts w:ascii="Times New Roman" w:hAnsi="Times New Roman" w:cs="Times New Roman"/>
          <w:color w:val="000000" w:themeColor="text1"/>
          <w:kern w:val="2"/>
          <w:sz w:val="16"/>
          <w:szCs w:val="16"/>
        </w:rPr>
        <w:lastRenderedPageBreak/>
        <w:t>прицел насечен от 200 до 3200 шагов (2275 м) через 200, изменено расположение окон на кожухе, в утолщении приклада помещен задний опорный штырь с винтовой регулирующей муфтой. В январе 1917 г. войска считали необходимым иметь по 8 ружей-пулеметов на роту, то есть по 128 на пехотный и по 36 на кавалерийский полк. Общая потребность армии в них исчислялась в 100000 (в станковых пулеметах - 217400). Для ее удовлетворения кроме упомянутых 15000 "Мадсенов" за рубежом было заказано 42000 ружей-пулеметов Льюиса, Шоша и Гочкиса, часть из которых - под русский патрон (11404).</w:t>
      </w:r>
    </w:p>
    <w:p w14:paraId="25D44E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E14121" w14:textId="77777777" w:rsidR="00570C45"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88C8394" w14:textId="77777777" w:rsidR="00570C45" w:rsidRPr="002F2FDF" w:rsidRDefault="00570C4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A09084" w14:textId="77777777" w:rsidR="00570C45" w:rsidRPr="002F2FDF" w:rsidRDefault="00570C45" w:rsidP="0083075A">
      <w:pPr>
        <w:pStyle w:val="ae"/>
        <w:spacing w:before="0" w:after="0"/>
        <w:jc w:val="both"/>
        <w:rPr>
          <w:color w:val="000000" w:themeColor="text1"/>
          <w:kern w:val="2"/>
          <w:sz w:val="16"/>
          <w:szCs w:val="16"/>
        </w:rPr>
      </w:pPr>
      <w:r w:rsidRPr="002F2FDF">
        <w:rPr>
          <w:color w:val="000000" w:themeColor="text1"/>
          <w:kern w:val="2"/>
          <w:sz w:val="16"/>
          <w:szCs w:val="16"/>
        </w:rPr>
        <w:t>28 января (10 февраля) 1917 в Петрограде была запрещена выпечка изделий из сдобного теста (тортов, пирожных, кренделей и т.д.). В России дефицит муки в начале 1917 года был зафиксирован даже в Киеве, окруженном хлебородными губерниями, правда, основной его причиной была не собственно нехватка хлеба, а проблемы с его своевременной доставкой (17045).</w:t>
      </w:r>
    </w:p>
    <w:p w14:paraId="17D50A4C" w14:textId="77777777" w:rsidR="00570C45" w:rsidRPr="002F2FDF" w:rsidRDefault="00570C4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F8C02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BEF86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07FE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января (</w:t>
      </w:r>
      <w:r w:rsidR="00E44BC9" w:rsidRPr="002F2FDF">
        <w:rPr>
          <w:rFonts w:ascii="Times New Roman" w:hAnsi="Times New Roman" w:cs="Times New Roman"/>
          <w:color w:val="000000" w:themeColor="text1"/>
          <w:kern w:val="2"/>
          <w:sz w:val="16"/>
          <w:szCs w:val="16"/>
        </w:rPr>
        <w:t>10</w:t>
      </w:r>
      <w:r w:rsidRPr="002F2FDF">
        <w:rPr>
          <w:rFonts w:ascii="Times New Roman" w:hAnsi="Times New Roman" w:cs="Times New Roman"/>
          <w:color w:val="000000" w:themeColor="text1"/>
          <w:kern w:val="2"/>
          <w:sz w:val="16"/>
          <w:szCs w:val="16"/>
        </w:rPr>
        <w:t xml:space="preserve"> февраля) 1917 немецкая подводная лодка потопила пароход Калифорния у побережья Ирландии (2100).</w:t>
      </w:r>
    </w:p>
    <w:p w14:paraId="60C97C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AD38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February 10, 1917 The National Advisory Committee for Aeronautics established a Patent subcommittee with Lieutenant J. H. Towers as a member. The necessity for this subcommittee arose from the fact that the threat of infringement suits being brought by the holders of basic aeronautic patents was causing prohibitive prices for aircraft and general demoralization of the entire industry (1090).</w:t>
      </w:r>
    </w:p>
    <w:p w14:paraId="0C5271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51D7DA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января (10 февраля) 1917 Национальный консультативный комитет по аэронавтике США образовал патентный подкомитет во главе с лейтенантом J. H. Towers, членом комитета. Необходимость создания такого подкомитета была вызвана угрозой многочисленных процессов в связи с нарушением патентного законодательства в отношении базовых авиационных патентов, которые привели бы к значительному удорожанию самолетов и общей деморализации авиапромышленности (1090).</w:t>
      </w:r>
    </w:p>
    <w:p w14:paraId="60D77C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935C72" w14:textId="77777777" w:rsidR="00FF2231" w:rsidRPr="002F2FDF" w:rsidRDefault="00FF223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bookmarkStart w:id="17" w:name="_Hlk84487690"/>
      <w:r w:rsidRPr="002F2FDF">
        <w:rPr>
          <w:rFonts w:ascii="Times New Roman" w:hAnsi="Times New Roman" w:cs="Times New Roman"/>
          <w:i/>
          <w:iCs/>
          <w:color w:val="000000" w:themeColor="text1"/>
          <w:kern w:val="2"/>
          <w:sz w:val="16"/>
          <w:szCs w:val="16"/>
        </w:rPr>
        <w:t>Авиапромышленность:</w:t>
      </w:r>
    </w:p>
    <w:p w14:paraId="4E4E5901" w14:textId="77777777" w:rsidR="00FF2231" w:rsidRPr="002F2FDF" w:rsidRDefault="00FF223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C065BC" w14:textId="62239BD7" w:rsidR="00FF2231" w:rsidRPr="002F2FDF" w:rsidRDefault="00FF2231"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29 января (10 февраля) 1917 в ходе Конференции союзников в Петрограде состоялось заседание</w:t>
      </w:r>
      <w:r w:rsidR="00E52569">
        <w:rPr>
          <w:rFonts w:ascii="Times New Roman" w:eastAsia="Times New Roman" w:hAnsi="Times New Roman" w:cs="Times New Roman"/>
          <w:color w:val="000000" w:themeColor="text1"/>
          <w:sz w:val="16"/>
          <w:szCs w:val="16"/>
          <w:lang w:eastAsia="ru-RU"/>
        </w:rPr>
        <w:t xml:space="preserve"> </w:t>
      </w:r>
      <w:r w:rsidRPr="002F2FDF">
        <w:rPr>
          <w:rFonts w:ascii="Times New Roman" w:eastAsia="Times New Roman" w:hAnsi="Times New Roman" w:cs="Times New Roman"/>
          <w:color w:val="000000" w:themeColor="text1"/>
          <w:sz w:val="16"/>
          <w:szCs w:val="16"/>
          <w:lang w:eastAsia="ru-RU"/>
        </w:rPr>
        <w:t>подкомиссии по вопросу авиации.</w:t>
      </w:r>
    </w:p>
    <w:p w14:paraId="0B0BD2DD" w14:textId="28E1456C" w:rsidR="00FF2231" w:rsidRPr="002F2FDF" w:rsidRDefault="00FF2231"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Английский представитель подтвердил, что «все английские самолеты прибудут в Россию вполне экипированные». В общем, снабжение России самолетами было намечено без больших возражений союзников и в том количестве, как предлагало русское командование (</w:t>
      </w:r>
      <w:r w:rsidRPr="002F2FDF">
        <w:rPr>
          <w:rFonts w:ascii="Times New Roman" w:hAnsi="Times New Roman" w:cs="Times New Roman"/>
          <w:color w:val="000000" w:themeColor="text1"/>
          <w:sz w:val="16"/>
          <w:szCs w:val="16"/>
          <w:shd w:val="clear" w:color="auto" w:fill="FFFFFF"/>
        </w:rPr>
        <w:t>Русское командование настаивало лишь на том, чтобы пулеметы были поставлены фирмой «</w:t>
      </w:r>
      <w:r w:rsidRPr="002F2FDF">
        <w:rPr>
          <w:rFonts w:ascii="Times New Roman" w:hAnsi="Times New Roman" w:cs="Times New Roman"/>
          <w:color w:val="000000" w:themeColor="text1"/>
          <w:sz w:val="16"/>
          <w:szCs w:val="16"/>
        </w:rPr>
        <w:t>Виккерс» или же «Гочкис»</w:t>
      </w:r>
      <w:r w:rsidR="00E52569">
        <w:rPr>
          <w:rFonts w:ascii="Times New Roman" w:hAnsi="Times New Roman" w:cs="Times New Roman"/>
          <w:color w:val="000000" w:themeColor="text1"/>
          <w:sz w:val="16"/>
          <w:szCs w:val="16"/>
          <w:shd w:val="clear" w:color="auto" w:fill="FFFFFF"/>
        </w:rPr>
        <w:t xml:space="preserve"> </w:t>
      </w:r>
      <w:r w:rsidRPr="002F2FDF">
        <w:rPr>
          <w:rFonts w:ascii="Times New Roman" w:hAnsi="Times New Roman" w:cs="Times New Roman"/>
          <w:color w:val="000000" w:themeColor="text1"/>
          <w:sz w:val="16"/>
          <w:szCs w:val="16"/>
          <w:shd w:val="clear" w:color="auto" w:fill="FFFFFF"/>
        </w:rPr>
        <w:t>и «обеспечены патронами»</w:t>
      </w:r>
      <w:r w:rsidRPr="002F2FDF">
        <w:rPr>
          <w:rFonts w:ascii="Times New Roman" w:eastAsia="Times New Roman" w:hAnsi="Times New Roman" w:cs="Times New Roman"/>
          <w:color w:val="000000" w:themeColor="text1"/>
          <w:sz w:val="16"/>
          <w:szCs w:val="16"/>
          <w:lang w:eastAsia="ru-RU"/>
        </w:rPr>
        <w:t>) (20081).</w:t>
      </w:r>
    </w:p>
    <w:p w14:paraId="5FA51B89" w14:textId="77777777" w:rsidR="00FF2231" w:rsidRPr="002F2FDF" w:rsidRDefault="00FF2231" w:rsidP="0083075A">
      <w:pPr>
        <w:pStyle w:val="ae"/>
        <w:shd w:val="clear" w:color="auto" w:fill="FFFFFF"/>
        <w:spacing w:before="0" w:after="0"/>
        <w:jc w:val="both"/>
        <w:rPr>
          <w:color w:val="000000" w:themeColor="text1"/>
          <w:sz w:val="16"/>
          <w:szCs w:val="16"/>
        </w:rPr>
      </w:pPr>
    </w:p>
    <w:bookmarkEnd w:id="17"/>
    <w:p w14:paraId="0AE09BA7" w14:textId="77777777" w:rsidR="00875F0C" w:rsidRPr="002F2FDF" w:rsidRDefault="00875F0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5C016DB" w14:textId="77777777" w:rsidR="00875F0C" w:rsidRPr="002F2FDF" w:rsidRDefault="00875F0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39AA73" w14:textId="05031E85" w:rsidR="00875F0C" w:rsidRPr="002F2FDF" w:rsidRDefault="00875F0C" w:rsidP="0083075A">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Pr>
          <w:rFonts w:ascii="Times New Roman" w:hAnsi="Times New Roman" w:cs="Times New Roman"/>
          <w:color w:val="000000" w:themeColor="text1"/>
          <w:sz w:val="16"/>
          <w:szCs w:val="16"/>
          <w:shd w:val="clear" w:color="auto" w:fill="FFFFFF"/>
        </w:rPr>
        <w:t>29</w:t>
      </w:r>
      <w:r w:rsidR="00E52569">
        <w:rPr>
          <w:rFonts w:ascii="Times New Roman" w:hAnsi="Times New Roman" w:cs="Times New Roman"/>
          <w:color w:val="000000" w:themeColor="text1"/>
          <w:sz w:val="16"/>
          <w:szCs w:val="16"/>
          <w:shd w:val="clear" w:color="auto" w:fill="FFFFFF"/>
        </w:rPr>
        <w:t xml:space="preserve"> </w:t>
      </w:r>
      <w:r w:rsidRPr="002F2FDF">
        <w:rPr>
          <w:rFonts w:ascii="Times New Roman" w:hAnsi="Times New Roman" w:cs="Times New Roman"/>
          <w:color w:val="000000" w:themeColor="text1"/>
          <w:sz w:val="16"/>
          <w:szCs w:val="16"/>
          <w:shd w:val="clear" w:color="auto" w:fill="FFFFFF"/>
        </w:rPr>
        <w:t>января (11 февраля) 1917 экипаж морского цеппелина LZ-98</w:t>
      </w:r>
      <w:r w:rsidR="00E52569">
        <w:rPr>
          <w:rFonts w:ascii="Times New Roman" w:hAnsi="Times New Roman" w:cs="Times New Roman"/>
          <w:color w:val="000000" w:themeColor="text1"/>
          <w:sz w:val="16"/>
          <w:szCs w:val="16"/>
          <w:shd w:val="clear" w:color="auto" w:fill="FFFFFF"/>
        </w:rPr>
        <w:t xml:space="preserve"> </w:t>
      </w:r>
      <w:r w:rsidRPr="002F2FDF">
        <w:rPr>
          <w:rFonts w:ascii="Times New Roman" w:hAnsi="Times New Roman" w:cs="Times New Roman"/>
          <w:color w:val="000000" w:themeColor="text1"/>
          <w:sz w:val="16"/>
          <w:szCs w:val="16"/>
          <w:shd w:val="clear" w:color="auto" w:fill="FFFFFF"/>
        </w:rPr>
        <w:t>получил боевую задачу совершить полет в сторону российской столицы. Однако вследствие сильного ветра полет был прерван. Позднее база дирижаблей была переведена из г.</w:t>
      </w:r>
      <w:r w:rsidR="00E52569">
        <w:rPr>
          <w:rFonts w:ascii="Times New Roman" w:hAnsi="Times New Roman" w:cs="Times New Roman"/>
          <w:color w:val="000000" w:themeColor="text1"/>
          <w:sz w:val="16"/>
          <w:szCs w:val="16"/>
          <w:shd w:val="clear" w:color="auto" w:fill="FFFFFF"/>
        </w:rPr>
        <w:t xml:space="preserve"> </w:t>
      </w:r>
      <w:r w:rsidRPr="002F2FDF">
        <w:rPr>
          <w:rFonts w:ascii="Times New Roman" w:hAnsi="Times New Roman" w:cs="Times New Roman"/>
          <w:color w:val="000000" w:themeColor="text1"/>
          <w:sz w:val="16"/>
          <w:szCs w:val="16"/>
          <w:shd w:val="clear" w:color="auto" w:fill="FFFFFF"/>
        </w:rPr>
        <w:t>Ковно в Вайноден (Курляндия). Немцы решили тщательно подготовиться к следующему налету, обратив особое внимание на организацию метеослужбы. В дополнение ко всему, в это же время им удалось вскрыть шифр русских метеосводок.</w:t>
      </w:r>
    </w:p>
    <w:p w14:paraId="604CBDEA" w14:textId="77777777" w:rsidR="00875F0C" w:rsidRPr="002F2FDF" w:rsidRDefault="00875F0C" w:rsidP="0083075A">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shd w:val="clear" w:color="auto" w:fill="FFFFFF"/>
        </w:rPr>
        <w:t>В очередной полет на Петроград был отправлен морской дирижабль L-38, который благополучно достиг финского берега, и здесь был настигнут штормом. Дирижабль быстро обледенел и только сброс всего балласта дал ему возможность долететь до берега и совершить вынужденную посадку в лесу.</w:t>
      </w:r>
    </w:p>
    <w:p w14:paraId="7B1EA66D" w14:textId="6B0A2656" w:rsidR="00875F0C" w:rsidRPr="002F2FDF" w:rsidRDefault="00875F0C"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Последним приданным сухопутным войскам дирижаблем стал LZ-120</w:t>
      </w:r>
      <w:r w:rsidR="00E52569">
        <w:rPr>
          <w:color w:val="000000" w:themeColor="text1"/>
          <w:sz w:val="16"/>
          <w:szCs w:val="16"/>
        </w:rPr>
        <w:t xml:space="preserve"> </w:t>
      </w:r>
      <w:r w:rsidRPr="002F2FDF">
        <w:rPr>
          <w:color w:val="000000" w:themeColor="text1"/>
          <w:sz w:val="16"/>
          <w:szCs w:val="16"/>
        </w:rPr>
        <w:t>(LZ-90), цеппелин серии «G», которым руководил имевший значительный боевой опыт на русско-германском фронте Э.</w:t>
      </w:r>
      <w:r w:rsidR="00E52569">
        <w:rPr>
          <w:color w:val="000000" w:themeColor="text1"/>
          <w:sz w:val="16"/>
          <w:szCs w:val="16"/>
        </w:rPr>
        <w:t xml:space="preserve"> </w:t>
      </w:r>
      <w:r w:rsidRPr="002F2FDF">
        <w:rPr>
          <w:color w:val="000000" w:themeColor="text1"/>
          <w:sz w:val="16"/>
          <w:szCs w:val="16"/>
        </w:rPr>
        <w:t>Леман (E.</w:t>
      </w:r>
      <w:r w:rsidR="00E52569">
        <w:rPr>
          <w:color w:val="000000" w:themeColor="text1"/>
          <w:sz w:val="16"/>
          <w:szCs w:val="16"/>
        </w:rPr>
        <w:t xml:space="preserve"> </w:t>
      </w:r>
      <w:r w:rsidRPr="002F2FDF">
        <w:rPr>
          <w:color w:val="000000" w:themeColor="text1"/>
          <w:sz w:val="16"/>
          <w:szCs w:val="16"/>
        </w:rPr>
        <w:t>Lehman). Планировалось, что он сможет выполнить эту задачу, сбросив на столицу России большой запас бомб (до 7</w:t>
      </w:r>
      <w:r w:rsidR="00E52569">
        <w:rPr>
          <w:color w:val="000000" w:themeColor="text1"/>
          <w:sz w:val="16"/>
          <w:szCs w:val="16"/>
        </w:rPr>
        <w:t xml:space="preserve"> </w:t>
      </w:r>
      <w:r w:rsidRPr="002F2FDF">
        <w:rPr>
          <w:color w:val="000000" w:themeColor="text1"/>
          <w:sz w:val="16"/>
          <w:szCs w:val="16"/>
        </w:rPr>
        <w:t>тонн). Из-за плохой погоды вылет цеппелина не состоялся. Необходимо учитывать, что при полете к Петрограду необходимо было пересечь линию фронта или Рижский залив. Но это можно было сделать лишь при укрытии облаками и при наличии сильного западного ветра (при восточном ветре, как правило, устанавливалась ясная погода). В то же время полет к Петрограду при западном ветре был связан с огромным риском, так как у дирижабля оставалось мало шансов вернуться обратно. К общей проблеме добавились сильные морозы, отмечаемые зимой 1916/17</w:t>
      </w:r>
      <w:r w:rsidR="00E52569">
        <w:rPr>
          <w:color w:val="000000" w:themeColor="text1"/>
          <w:sz w:val="16"/>
          <w:szCs w:val="16"/>
        </w:rPr>
        <w:t xml:space="preserve"> </w:t>
      </w:r>
      <w:r w:rsidRPr="002F2FDF">
        <w:rPr>
          <w:color w:val="000000" w:themeColor="text1"/>
          <w:sz w:val="16"/>
          <w:szCs w:val="16"/>
        </w:rPr>
        <w:t>годов. Так, совершенные еще в декабре 1916</w:t>
      </w:r>
      <w:r w:rsidR="00E52569">
        <w:rPr>
          <w:color w:val="000000" w:themeColor="text1"/>
          <w:sz w:val="16"/>
          <w:szCs w:val="16"/>
        </w:rPr>
        <w:t xml:space="preserve"> </w:t>
      </w:r>
      <w:r w:rsidRPr="002F2FDF">
        <w:rPr>
          <w:color w:val="000000" w:themeColor="text1"/>
          <w:sz w:val="16"/>
          <w:szCs w:val="16"/>
        </w:rPr>
        <w:t>г. полеты на Ревель (Таллин) показали, что «никакими мерами нельзя было предупредить замерзание горючего».</w:t>
      </w:r>
    </w:p>
    <w:p w14:paraId="61E39D6E" w14:textId="08C000C3" w:rsidR="00875F0C" w:rsidRPr="002F2FDF" w:rsidRDefault="00875F0C"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По оценке русского командования, обычный морской цеппелин (при вылете его с базы в Либаво-Шавлиском районе) мог достигнуть Петрограда, без каких-либо шансов вернуться обратно. «Сверх-цеппелин» (с дальностью полета до 800</w:t>
      </w:r>
      <w:r w:rsidR="00E52569">
        <w:rPr>
          <w:color w:val="000000" w:themeColor="text1"/>
          <w:sz w:val="16"/>
          <w:szCs w:val="16"/>
        </w:rPr>
        <w:t xml:space="preserve"> </w:t>
      </w:r>
      <w:r w:rsidRPr="002F2FDF">
        <w:rPr>
          <w:color w:val="000000" w:themeColor="text1"/>
          <w:sz w:val="16"/>
          <w:szCs w:val="16"/>
        </w:rPr>
        <w:t>км), при достижении российской столицы на обратном пути должен был опуститься в районе г.</w:t>
      </w:r>
      <w:r w:rsidR="00E52569">
        <w:rPr>
          <w:color w:val="000000" w:themeColor="text1"/>
          <w:sz w:val="16"/>
          <w:szCs w:val="16"/>
        </w:rPr>
        <w:t xml:space="preserve"> </w:t>
      </w:r>
      <w:r w:rsidRPr="002F2FDF">
        <w:rPr>
          <w:color w:val="000000" w:themeColor="text1"/>
          <w:sz w:val="16"/>
          <w:szCs w:val="16"/>
        </w:rPr>
        <w:t>Ямбург</w:t>
      </w:r>
      <w:r w:rsidR="00E52569">
        <w:rPr>
          <w:color w:val="000000" w:themeColor="text1"/>
          <w:sz w:val="16"/>
          <w:szCs w:val="16"/>
        </w:rPr>
        <w:t xml:space="preserve"> </w:t>
      </w:r>
      <w:r w:rsidRPr="002F2FDF">
        <w:rPr>
          <w:color w:val="000000" w:themeColor="text1"/>
          <w:sz w:val="16"/>
          <w:szCs w:val="16"/>
        </w:rPr>
        <w:t>– Луга. Такая же судьба постигла бы и «титан-цеппелина» (дальность полета – 1000-1200</w:t>
      </w:r>
      <w:r w:rsidR="00E52569">
        <w:rPr>
          <w:color w:val="000000" w:themeColor="text1"/>
          <w:sz w:val="16"/>
          <w:szCs w:val="16"/>
        </w:rPr>
        <w:t xml:space="preserve"> </w:t>
      </w:r>
      <w:r w:rsidRPr="002F2FDF">
        <w:rPr>
          <w:color w:val="000000" w:themeColor="text1"/>
          <w:sz w:val="16"/>
          <w:szCs w:val="16"/>
        </w:rPr>
        <w:t>км) с районом вынужденной посадки на полпути между Петроградом и Двинском (Даугавпилс). Для успешных налетов на столицу Российской империи необходимо было оборудовать воздушные базы на островах Эзель или Даго (Моонзундский архипелаг), которые до середины октября 1917</w:t>
      </w:r>
      <w:r w:rsidR="00E52569">
        <w:rPr>
          <w:color w:val="000000" w:themeColor="text1"/>
          <w:sz w:val="16"/>
          <w:szCs w:val="16"/>
        </w:rPr>
        <w:t xml:space="preserve"> </w:t>
      </w:r>
      <w:r w:rsidRPr="002F2FDF">
        <w:rPr>
          <w:color w:val="000000" w:themeColor="text1"/>
          <w:sz w:val="16"/>
          <w:szCs w:val="16"/>
        </w:rPr>
        <w:t>г. оставались под контролем русских войск (20184)</w:t>
      </w:r>
      <w:r w:rsidRPr="002F2FDF">
        <w:rPr>
          <w:color w:val="000000" w:themeColor="text1"/>
          <w:sz w:val="16"/>
          <w:szCs w:val="16"/>
          <w:shd w:val="clear" w:color="auto" w:fill="FFFFFF"/>
        </w:rPr>
        <w:t>.</w:t>
      </w:r>
    </w:p>
    <w:p w14:paraId="741B6C49" w14:textId="77777777" w:rsidR="00875F0C" w:rsidRPr="002F2FDF" w:rsidRDefault="00875F0C" w:rsidP="0083075A">
      <w:pPr>
        <w:shd w:val="clear" w:color="auto" w:fill="FFFFFF"/>
        <w:spacing w:after="0" w:line="240" w:lineRule="auto"/>
        <w:jc w:val="both"/>
        <w:rPr>
          <w:rFonts w:ascii="Times New Roman" w:hAnsi="Times New Roman" w:cs="Times New Roman"/>
          <w:color w:val="000000" w:themeColor="text1"/>
          <w:sz w:val="16"/>
          <w:szCs w:val="16"/>
        </w:rPr>
      </w:pPr>
    </w:p>
    <w:p w14:paraId="2F14210A" w14:textId="3BBB22DE" w:rsidR="007F78D6" w:rsidRPr="00FB4F67" w:rsidRDefault="007F78D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29 января (</w:t>
      </w:r>
      <w:r w:rsidRPr="00FB4F67">
        <w:rPr>
          <w:rFonts w:ascii="Times New Roman" w:hAnsi="Times New Roman" w:cs="Times New Roman"/>
          <w:color w:val="0070C0"/>
          <w:sz w:val="16"/>
          <w:szCs w:val="16"/>
        </w:rPr>
        <w:t>11 февраля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немцы открыли военно-морскую авиабазу Дуинги в румынской Добрудже. Он прекратил свою деятельность 21 января 1918 года (23525).</w:t>
      </w:r>
    </w:p>
    <w:p w14:paraId="324448B0" w14:textId="77777777" w:rsidR="007F78D6" w:rsidRPr="00FB4F67" w:rsidRDefault="007F78D6" w:rsidP="0083075A">
      <w:pPr>
        <w:spacing w:after="0" w:line="240" w:lineRule="auto"/>
        <w:jc w:val="both"/>
        <w:rPr>
          <w:rFonts w:ascii="Times New Roman" w:hAnsi="Times New Roman" w:cs="Times New Roman"/>
          <w:color w:val="0070C0"/>
          <w:sz w:val="16"/>
          <w:szCs w:val="16"/>
        </w:rPr>
      </w:pPr>
    </w:p>
    <w:p w14:paraId="45CA5F2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FB199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51725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контрактах на аппараты М-15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1134"/>
        <w:gridCol w:w="1170"/>
        <w:gridCol w:w="4878"/>
      </w:tblGrid>
      <w:tr w:rsidR="002B1C74" w:rsidRPr="002F2FDF" w14:paraId="0BB1241C" w14:textId="77777777">
        <w:tc>
          <w:tcPr>
            <w:tcW w:w="2394" w:type="dxa"/>
            <w:tcBorders>
              <w:top w:val="single" w:sz="12" w:space="0" w:color="auto"/>
            </w:tcBorders>
            <w:shd w:val="clear" w:color="auto" w:fill="FFFFFF"/>
          </w:tcPr>
          <w:p w14:paraId="5E9D17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Дата контракта</w:t>
            </w:r>
          </w:p>
        </w:tc>
        <w:tc>
          <w:tcPr>
            <w:tcW w:w="1134" w:type="dxa"/>
            <w:tcBorders>
              <w:top w:val="single" w:sz="12" w:space="0" w:color="auto"/>
            </w:tcBorders>
            <w:shd w:val="clear" w:color="auto" w:fill="FFFFFF"/>
          </w:tcPr>
          <w:p w14:paraId="4B8E03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заказанных аэропланов</w:t>
            </w:r>
          </w:p>
        </w:tc>
        <w:tc>
          <w:tcPr>
            <w:tcW w:w="1170" w:type="dxa"/>
            <w:tcBorders>
              <w:top w:val="single" w:sz="12" w:space="0" w:color="auto"/>
            </w:tcBorders>
            <w:shd w:val="clear" w:color="auto" w:fill="FFFFFF"/>
          </w:tcPr>
          <w:p w14:paraId="223A07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Заводские номера сданных аэропланов</w:t>
            </w:r>
          </w:p>
        </w:tc>
        <w:tc>
          <w:tcPr>
            <w:tcW w:w="4878" w:type="dxa"/>
            <w:tcBorders>
              <w:top w:val="single" w:sz="12" w:space="0" w:color="auto"/>
            </w:tcBorders>
            <w:shd w:val="clear" w:color="auto" w:fill="FFFFFF"/>
          </w:tcPr>
          <w:p w14:paraId="272D30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УСЛОВИЯ</w:t>
            </w:r>
          </w:p>
        </w:tc>
      </w:tr>
      <w:tr w:rsidR="002B1C74" w:rsidRPr="002F2FDF" w14:paraId="0D240526" w14:textId="77777777">
        <w:tc>
          <w:tcPr>
            <w:tcW w:w="2394" w:type="dxa"/>
            <w:tcBorders>
              <w:bottom w:val="single" w:sz="12" w:space="0" w:color="auto"/>
            </w:tcBorders>
            <w:shd w:val="clear" w:color="auto" w:fill="FFFFFF"/>
          </w:tcPr>
          <w:p w14:paraId="25C2EF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Январь 30 </w:t>
            </w:r>
            <w:r w:rsidR="00E44BC9" w:rsidRPr="002F2FDF">
              <w:rPr>
                <w:rFonts w:ascii="Times New Roman" w:hAnsi="Times New Roman" w:cs="Times New Roman"/>
                <w:color w:val="000000" w:themeColor="text1"/>
                <w:kern w:val="2"/>
                <w:sz w:val="16"/>
                <w:szCs w:val="16"/>
              </w:rPr>
              <w:t xml:space="preserve">(12 февраля)) </w:t>
            </w:r>
            <w:r w:rsidRPr="002F2FDF">
              <w:rPr>
                <w:rFonts w:ascii="Times New Roman" w:hAnsi="Times New Roman" w:cs="Times New Roman"/>
                <w:color w:val="000000" w:themeColor="text1"/>
                <w:kern w:val="2"/>
                <w:sz w:val="16"/>
                <w:szCs w:val="16"/>
              </w:rPr>
              <w:t>1917</w:t>
            </w:r>
          </w:p>
        </w:tc>
        <w:tc>
          <w:tcPr>
            <w:tcW w:w="1134" w:type="dxa"/>
            <w:tcBorders>
              <w:bottom w:val="single" w:sz="12" w:space="0" w:color="auto"/>
            </w:tcBorders>
            <w:shd w:val="clear" w:color="auto" w:fill="FFFFFF"/>
          </w:tcPr>
          <w:p w14:paraId="4271D8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1170" w:type="dxa"/>
            <w:tcBorders>
              <w:bottom w:val="single" w:sz="12" w:space="0" w:color="auto"/>
            </w:tcBorders>
            <w:shd w:val="clear" w:color="auto" w:fill="FFFFFF"/>
          </w:tcPr>
          <w:p w14:paraId="247F1A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10791 </w:t>
            </w:r>
          </w:p>
        </w:tc>
        <w:tc>
          <w:tcPr>
            <w:tcW w:w="4878" w:type="dxa"/>
            <w:tcBorders>
              <w:bottom w:val="single" w:sz="12" w:space="0" w:color="auto"/>
            </w:tcBorders>
            <w:shd w:val="clear" w:color="auto" w:fill="FFFFFF"/>
          </w:tcPr>
          <w:p w14:paraId="3B3220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ПРИМЕЧАНИЯ: покупка прототипа (2807)</w:t>
            </w:r>
          </w:p>
        </w:tc>
      </w:tr>
    </w:tbl>
    <w:p w14:paraId="39E6392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2A74E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контрактах на аппараты М-16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tblGrid>
      <w:tr w:rsidR="002B1C74" w:rsidRPr="002F2FDF" w14:paraId="37E83B05" w14:textId="77777777">
        <w:tc>
          <w:tcPr>
            <w:tcW w:w="1915" w:type="dxa"/>
            <w:tcBorders>
              <w:top w:val="single" w:sz="12" w:space="0" w:color="auto"/>
            </w:tcBorders>
            <w:shd w:val="clear" w:color="auto" w:fill="FFFFFF"/>
          </w:tcPr>
          <w:p w14:paraId="07D40B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Дата контракта</w:t>
            </w:r>
          </w:p>
        </w:tc>
        <w:tc>
          <w:tcPr>
            <w:tcW w:w="1915" w:type="dxa"/>
            <w:tcBorders>
              <w:top w:val="single" w:sz="12" w:space="0" w:color="auto"/>
            </w:tcBorders>
            <w:shd w:val="clear" w:color="auto" w:fill="FFFFFF"/>
          </w:tcPr>
          <w:p w14:paraId="6CC072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заказанных аэропланов</w:t>
            </w:r>
          </w:p>
        </w:tc>
        <w:tc>
          <w:tcPr>
            <w:tcW w:w="1915" w:type="dxa"/>
            <w:tcBorders>
              <w:top w:val="single" w:sz="12" w:space="0" w:color="auto"/>
            </w:tcBorders>
            <w:shd w:val="clear" w:color="auto" w:fill="FFFFFF"/>
          </w:tcPr>
          <w:p w14:paraId="2DFD8F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Заводские номера сданных аэропланов</w:t>
            </w:r>
          </w:p>
        </w:tc>
        <w:tc>
          <w:tcPr>
            <w:tcW w:w="1915" w:type="dxa"/>
            <w:tcBorders>
              <w:top w:val="single" w:sz="12" w:space="0" w:color="auto"/>
            </w:tcBorders>
            <w:shd w:val="clear" w:color="auto" w:fill="FFFFFF"/>
          </w:tcPr>
          <w:p w14:paraId="737704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Условия</w:t>
            </w:r>
          </w:p>
        </w:tc>
      </w:tr>
      <w:tr w:rsidR="002B1C74" w:rsidRPr="002F2FDF" w14:paraId="426BD5F8" w14:textId="77777777">
        <w:tc>
          <w:tcPr>
            <w:tcW w:w="1915" w:type="dxa"/>
            <w:tcBorders>
              <w:bottom w:val="single" w:sz="12" w:space="0" w:color="auto"/>
            </w:tcBorders>
            <w:shd w:val="clear" w:color="auto" w:fill="FFFFFF"/>
          </w:tcPr>
          <w:p w14:paraId="632CEE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Январь 30 </w:t>
            </w:r>
            <w:r w:rsidR="00E44BC9" w:rsidRPr="002F2FDF">
              <w:rPr>
                <w:rFonts w:ascii="Times New Roman" w:hAnsi="Times New Roman" w:cs="Times New Roman"/>
                <w:color w:val="000000" w:themeColor="text1"/>
                <w:kern w:val="2"/>
                <w:sz w:val="16"/>
                <w:szCs w:val="16"/>
              </w:rPr>
              <w:t xml:space="preserve">(12 февраля) </w:t>
            </w:r>
            <w:r w:rsidRPr="002F2FDF">
              <w:rPr>
                <w:rFonts w:ascii="Times New Roman" w:hAnsi="Times New Roman" w:cs="Times New Roman"/>
                <w:color w:val="000000" w:themeColor="text1"/>
                <w:kern w:val="2"/>
                <w:sz w:val="16"/>
                <w:szCs w:val="16"/>
              </w:rPr>
              <w:t>1917</w:t>
            </w:r>
          </w:p>
        </w:tc>
        <w:tc>
          <w:tcPr>
            <w:tcW w:w="1915" w:type="dxa"/>
            <w:tcBorders>
              <w:bottom w:val="single" w:sz="12" w:space="0" w:color="auto"/>
            </w:tcBorders>
            <w:shd w:val="clear" w:color="auto" w:fill="FFFFFF"/>
          </w:tcPr>
          <w:p w14:paraId="4DBE14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1915" w:type="dxa"/>
            <w:tcBorders>
              <w:bottom w:val="single" w:sz="12" w:space="0" w:color="auto"/>
            </w:tcBorders>
            <w:shd w:val="clear" w:color="auto" w:fill="FFFFFF"/>
          </w:tcPr>
          <w:p w14:paraId="101AC7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1080</w:t>
            </w:r>
          </w:p>
        </w:tc>
        <w:tc>
          <w:tcPr>
            <w:tcW w:w="1915" w:type="dxa"/>
            <w:tcBorders>
              <w:bottom w:val="single" w:sz="12" w:space="0" w:color="auto"/>
            </w:tcBorders>
            <w:shd w:val="clear" w:color="auto" w:fill="FFFFFF"/>
          </w:tcPr>
          <w:p w14:paraId="6E5B5F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контракт на покупку прототипа Тыловой базой и штабом 1-й Воздушной бригады был Ревель (2807).</w:t>
            </w:r>
          </w:p>
        </w:tc>
      </w:tr>
    </w:tbl>
    <w:p w14:paraId="3DFC598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040A28" w14:textId="77777777" w:rsidR="00447212" w:rsidRPr="002F2FDF" w:rsidRDefault="0044721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30 января </w:t>
      </w:r>
      <w:r w:rsidR="00E44BC9" w:rsidRPr="002F2FDF">
        <w:rPr>
          <w:rFonts w:ascii="Times New Roman" w:hAnsi="Times New Roman" w:cs="Times New Roman"/>
          <w:color w:val="000000" w:themeColor="text1"/>
          <w:kern w:val="2"/>
          <w:sz w:val="16"/>
          <w:szCs w:val="16"/>
        </w:rPr>
        <w:t xml:space="preserve">(12 февраля) </w:t>
      </w:r>
      <w:r w:rsidRPr="002F2FDF">
        <w:rPr>
          <w:rFonts w:ascii="Times New Roman" w:hAnsi="Times New Roman" w:cs="Times New Roman"/>
          <w:color w:val="000000" w:themeColor="text1"/>
          <w:kern w:val="2"/>
          <w:sz w:val="16"/>
          <w:szCs w:val="16"/>
        </w:rPr>
        <w:t>1917 г. Анатра подписала контракт № 32504/4682. В соответствии с ним, сотню истребителей «Ньюпор XI» и комплекты запчастей предстояло сдать до конца июня. Цена одного самолета без мотора, винта и вооружения составляла 11000 руб. (12252).</w:t>
      </w:r>
    </w:p>
    <w:p w14:paraId="57066025" w14:textId="77777777" w:rsidR="00447212" w:rsidRPr="002F2FDF" w:rsidRDefault="0044721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Внедрение «Ньюпоров» в производство сильно отставало от намеченных сроков, что было вызвано самыми разными причинами.</w:t>
      </w:r>
    </w:p>
    <w:p w14:paraId="2AA34D73" w14:textId="77777777" w:rsidR="00447212" w:rsidRPr="002F2FDF" w:rsidRDefault="0044721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Например, вместо техдокументации завод получил разобранный образец истребителя, а на просьбу руководства предприятия предоставить альбом чертежей УВВФ ответило, что таковой в его распоряжении отсутствует. Не справлялось военное ведомство и с поставкой моторов. Оказалось также невозможным выдержать спецификацию по некоторым узлам. Так, в конструкции шасси дюралюминиевые трубы пришлось заменить стальными (12252).</w:t>
      </w:r>
    </w:p>
    <w:p w14:paraId="55DEFEBB" w14:textId="77777777" w:rsidR="00447212" w:rsidRPr="002F2FDF" w:rsidRDefault="00447212" w:rsidP="0083075A">
      <w:pPr>
        <w:spacing w:after="0" w:line="240" w:lineRule="auto"/>
        <w:jc w:val="both"/>
        <w:rPr>
          <w:rFonts w:ascii="Times New Roman" w:hAnsi="Times New Roman" w:cs="Times New Roman"/>
          <w:color w:val="000000" w:themeColor="text1"/>
          <w:kern w:val="2"/>
          <w:sz w:val="16"/>
          <w:szCs w:val="16"/>
        </w:rPr>
      </w:pPr>
    </w:p>
    <w:p w14:paraId="35D767EF" w14:textId="61854C44" w:rsidR="007F78D6" w:rsidRPr="00FB4F67" w:rsidRDefault="007F78D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30 янвпря (</w:t>
      </w:r>
      <w:r w:rsidRPr="00FB4F67">
        <w:rPr>
          <w:rFonts w:ascii="Times New Roman" w:hAnsi="Times New Roman" w:cs="Times New Roman"/>
          <w:color w:val="0070C0"/>
          <w:sz w:val="16"/>
          <w:szCs w:val="16"/>
        </w:rPr>
        <w:t>12 февраля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Анатре было заказано/выпущено - ни одного из 100 Nieuport XVII (23525).</w:t>
      </w:r>
    </w:p>
    <w:p w14:paraId="23BAFDFD" w14:textId="77777777" w:rsidR="007F78D6" w:rsidRPr="00FB4F67" w:rsidRDefault="007F78D6" w:rsidP="0083075A">
      <w:pPr>
        <w:spacing w:after="0" w:line="240" w:lineRule="auto"/>
        <w:jc w:val="both"/>
        <w:rPr>
          <w:rFonts w:ascii="Times New Roman" w:hAnsi="Times New Roman" w:cs="Times New Roman"/>
          <w:color w:val="0070C0"/>
          <w:sz w:val="16"/>
          <w:szCs w:val="16"/>
        </w:rPr>
      </w:pPr>
    </w:p>
    <w:p w14:paraId="66DF307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B53FC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FB89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января (12 февраля) 1917 Президент В.Вильсон отказался вести какие-либо переговоры с Германией, пока та не прекратит тотальную подводную войну (3907,89).</w:t>
      </w:r>
    </w:p>
    <w:p w14:paraId="6FDE75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4D1D3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D6594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0D386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января (1</w:t>
      </w:r>
      <w:r w:rsidR="00E44BC9" w:rsidRPr="002F2FDF">
        <w:rPr>
          <w:rFonts w:ascii="Times New Roman" w:hAnsi="Times New Roman" w:cs="Times New Roman"/>
          <w:color w:val="000000" w:themeColor="text1"/>
          <w:kern w:val="2"/>
          <w:sz w:val="16"/>
          <w:szCs w:val="16"/>
        </w:rPr>
        <w:t>3</w:t>
      </w:r>
      <w:r w:rsidRPr="002F2FDF">
        <w:rPr>
          <w:rFonts w:ascii="Times New Roman" w:hAnsi="Times New Roman" w:cs="Times New Roman"/>
          <w:color w:val="000000" w:themeColor="text1"/>
          <w:kern w:val="2"/>
          <w:sz w:val="16"/>
          <w:szCs w:val="16"/>
        </w:rPr>
        <w:t xml:space="preserve"> февраля) 1917 года Г.Д. Сендецкий защитил с отличием выполненный под руководством профессора В.Э. Тира “впервые в России главный проект оборудования завода авиадвигате</w:t>
      </w:r>
      <w:r w:rsidRPr="002F2FDF">
        <w:rPr>
          <w:rFonts w:ascii="Times New Roman" w:hAnsi="Times New Roman" w:cs="Times New Roman"/>
          <w:color w:val="000000" w:themeColor="text1"/>
          <w:kern w:val="2"/>
          <w:sz w:val="16"/>
          <w:szCs w:val="16"/>
        </w:rPr>
        <w:softHyphen/>
        <w:t>лей и получил звание инженера-технолога (553).</w:t>
      </w:r>
    </w:p>
    <w:p w14:paraId="1F3AB2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E81A9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851A8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CAA615" w14:textId="17F6EBE3" w:rsidR="007F78D6" w:rsidRPr="00FB4F67" w:rsidRDefault="007F78D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31 января (</w:t>
      </w:r>
      <w:r w:rsidRPr="00FB4F67">
        <w:rPr>
          <w:rFonts w:ascii="Times New Roman" w:hAnsi="Times New Roman" w:cs="Times New Roman"/>
          <w:color w:val="0070C0"/>
          <w:sz w:val="16"/>
          <w:szCs w:val="16"/>
        </w:rPr>
        <w:t>13 февраля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полосе Румынского фронта один из французских пилотов (северо-восточнее Фокшаны) атаковал неприятельский аэроплан и принудил его к снижению (23405).</w:t>
      </w:r>
    </w:p>
    <w:p w14:paraId="4D5250D4" w14:textId="77777777" w:rsidR="007F78D6" w:rsidRPr="00FB4F67" w:rsidRDefault="007F78D6" w:rsidP="0083075A">
      <w:pPr>
        <w:spacing w:after="0" w:line="240" w:lineRule="auto"/>
        <w:jc w:val="both"/>
        <w:rPr>
          <w:rFonts w:ascii="Times New Roman" w:hAnsi="Times New Roman" w:cs="Times New Roman"/>
          <w:color w:val="0070C0"/>
          <w:sz w:val="16"/>
          <w:szCs w:val="16"/>
        </w:rPr>
      </w:pPr>
    </w:p>
    <w:p w14:paraId="69F3C46F" w14:textId="6C04485C" w:rsidR="007F78D6" w:rsidRPr="00FB4F67" w:rsidRDefault="007F78D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31 января (</w:t>
      </w:r>
      <w:r w:rsidRPr="00FB4F67">
        <w:rPr>
          <w:rFonts w:ascii="Times New Roman" w:hAnsi="Times New Roman" w:cs="Times New Roman"/>
          <w:color w:val="0070C0"/>
          <w:sz w:val="16"/>
          <w:szCs w:val="16"/>
        </w:rPr>
        <w:t>13 февраля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на Кавказском фронте турецкая авиация нанесла бомбовые удары по российскому аэродрому в Эрзинджане, а также по российскому штабу в Ярхане (23525).</w:t>
      </w:r>
    </w:p>
    <w:p w14:paraId="47C3B3FC" w14:textId="77777777" w:rsidR="007F78D6" w:rsidRPr="00FB4F67" w:rsidRDefault="007F78D6" w:rsidP="0083075A">
      <w:pPr>
        <w:spacing w:after="0" w:line="240" w:lineRule="auto"/>
        <w:jc w:val="both"/>
        <w:rPr>
          <w:rFonts w:ascii="Times New Roman" w:hAnsi="Times New Roman" w:cs="Times New Roman"/>
          <w:color w:val="0070C0"/>
          <w:sz w:val="16"/>
          <w:szCs w:val="16"/>
        </w:rPr>
      </w:pPr>
    </w:p>
    <w:p w14:paraId="7FBE75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января (13 февраля) 1917 эсминцы Лейтенант Шестаков и Лейтенант Зацаренный обстреляли Тузлу и Калиакру (3123).</w:t>
      </w:r>
    </w:p>
    <w:p w14:paraId="48C134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04A7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31 января по 2 февраля (13 по 15 февраля) 1917 эсминцы Быстрый, Пылкий, заградитель Святой Николай у Анатолийского побережья уничтожили 15 турецких парусных шхун (3123).</w:t>
      </w:r>
    </w:p>
    <w:p w14:paraId="48A1FB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33B10B" w14:textId="77777777" w:rsidR="00CD74B5"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r w:rsidR="00CD74B5" w:rsidRPr="002F2FDF">
        <w:rPr>
          <w:rFonts w:ascii="Times New Roman" w:hAnsi="Times New Roman" w:cs="Times New Roman"/>
          <w:iCs/>
          <w:color w:val="000000" w:themeColor="text1"/>
          <w:kern w:val="2"/>
          <w:sz w:val="16"/>
          <w:szCs w:val="16"/>
        </w:rPr>
        <w:t>:</w:t>
      </w:r>
    </w:p>
    <w:p w14:paraId="1F1B9936" w14:textId="77777777" w:rsidR="00CD74B5" w:rsidRPr="002F2FDF" w:rsidRDefault="00CD74B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D17886" w14:textId="77777777" w:rsidR="00CD74B5" w:rsidRPr="002F2FDF" w:rsidRDefault="00CD74B5" w:rsidP="0083075A">
      <w:pPr>
        <w:pStyle w:val="ae"/>
        <w:spacing w:before="0" w:after="0"/>
        <w:jc w:val="both"/>
        <w:rPr>
          <w:color w:val="000000" w:themeColor="text1"/>
          <w:kern w:val="2"/>
          <w:sz w:val="16"/>
          <w:szCs w:val="16"/>
        </w:rPr>
      </w:pPr>
      <w:r w:rsidRPr="002F2FDF">
        <w:rPr>
          <w:color w:val="000000" w:themeColor="text1"/>
          <w:kern w:val="2"/>
          <w:sz w:val="16"/>
          <w:szCs w:val="16"/>
        </w:rPr>
        <w:t>31 января (13 февраля) 1917 в Петрограде были арестованы 11 рабочих, входивших в состав Центрального Военно-промышленного комитета (так называемая «Рабочая группа Военно-промышленного комитета», возглавляемая меньшевиком Кузьмой Гвоздевым). Военно-промышленные комитеты представляли собой организации предпринимателей, объединившихся с целью мобилизации российской промышленности для преодоления кризиса снабжения армии. Для оперативного решения проблем рабочих, чтобы избегать простоя предприятий из-за забастовок, в комитеты также включались и их представители.</w:t>
      </w:r>
    </w:p>
    <w:p w14:paraId="7F09603A" w14:textId="77777777" w:rsidR="00CD74B5" w:rsidRPr="002F2FDF" w:rsidRDefault="00CD74B5" w:rsidP="0083075A">
      <w:pPr>
        <w:pStyle w:val="ae"/>
        <w:spacing w:before="0" w:after="0"/>
        <w:jc w:val="both"/>
        <w:rPr>
          <w:color w:val="000000" w:themeColor="text1"/>
          <w:kern w:val="2"/>
          <w:sz w:val="16"/>
          <w:szCs w:val="16"/>
        </w:rPr>
      </w:pPr>
      <w:r w:rsidRPr="002F2FDF">
        <w:rPr>
          <w:color w:val="000000" w:themeColor="text1"/>
          <w:kern w:val="2"/>
          <w:sz w:val="16"/>
          <w:szCs w:val="16"/>
        </w:rPr>
        <w:t>Арестованным рабочим было предъявлено обвинение в том, что они «подготовляли революционное движение, имеющее целью подготовление республики». «Рабочая группа» действительно проводила двойственную политику. С одной стороны, «рабочие представители» поддерживали «войну до победного конца» и помогали властям поддерживать дисциплину в оборонной промышленности, но с другой, не могли удержаться от высказываний о необходимости скорейшего свержения монархии. 26 января Рабочая группа выпустила прокламацию, в которой отмечалось, что правительство использует войну для порабощения рабочего класса, а самих рабочих призывали быть готовыми к «общей организованной демонстрации перед Таврическим дворцом (в нем заседала Государственная Дума), чтобы потребовать создания временного правительства».</w:t>
      </w:r>
    </w:p>
    <w:p w14:paraId="25BD9014" w14:textId="77777777" w:rsidR="00CD74B5" w:rsidRPr="002F2FDF" w:rsidRDefault="00CD74B5" w:rsidP="0083075A">
      <w:pPr>
        <w:pStyle w:val="ae"/>
        <w:spacing w:before="0" w:after="0"/>
        <w:jc w:val="both"/>
        <w:rPr>
          <w:color w:val="000000" w:themeColor="text1"/>
          <w:kern w:val="2"/>
          <w:sz w:val="16"/>
          <w:szCs w:val="16"/>
        </w:rPr>
      </w:pPr>
      <w:r w:rsidRPr="002F2FDF">
        <w:rPr>
          <w:color w:val="000000" w:themeColor="text1"/>
          <w:kern w:val="2"/>
          <w:sz w:val="16"/>
          <w:szCs w:val="16"/>
        </w:rPr>
        <w:t>После ареста Рабочей группы Николай II попросил бывшего министра внутренних дел Николая Маклакова подготовить проект манифеста о роспуске Государственной Думы, которая должна была возобновить заседания в середине февраля. Но история распорядилась иначе — вскоре «роспуск» устроят самому императору, а Гвоздев и его товарищи будут освобождены из тюрьмы «Кресты» восставшими жителями Петрограда (17045).</w:t>
      </w:r>
    </w:p>
    <w:p w14:paraId="744D09C8" w14:textId="77777777" w:rsidR="00CD74B5" w:rsidRPr="002F2FDF" w:rsidRDefault="00CD74B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7D388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2F2FDF">
        <w:rPr>
          <w:rFonts w:ascii="Times New Roman" w:hAnsi="Times New Roman" w:cs="Times New Roman"/>
          <w:i/>
          <w:iCs/>
          <w:color w:val="000000" w:themeColor="text1"/>
          <w:kern w:val="2"/>
          <w:sz w:val="16"/>
          <w:szCs w:val="16"/>
        </w:rPr>
        <w:t>За</w:t>
      </w:r>
      <w:r w:rsidRPr="002F2FDF">
        <w:rPr>
          <w:rFonts w:ascii="Times New Roman" w:hAnsi="Times New Roman" w:cs="Times New Roman"/>
          <w:i/>
          <w:iCs/>
          <w:color w:val="000000" w:themeColor="text1"/>
          <w:kern w:val="2"/>
          <w:sz w:val="16"/>
          <w:szCs w:val="16"/>
          <w:lang w:val="en-US"/>
        </w:rPr>
        <w:t xml:space="preserve"> </w:t>
      </w:r>
      <w:r w:rsidRPr="002F2FDF">
        <w:rPr>
          <w:rFonts w:ascii="Times New Roman" w:hAnsi="Times New Roman" w:cs="Times New Roman"/>
          <w:i/>
          <w:iCs/>
          <w:color w:val="000000" w:themeColor="text1"/>
          <w:kern w:val="2"/>
          <w:sz w:val="16"/>
          <w:szCs w:val="16"/>
        </w:rPr>
        <w:t>рубежом</w:t>
      </w:r>
      <w:r w:rsidRPr="002F2FDF">
        <w:rPr>
          <w:rFonts w:ascii="Times New Roman" w:hAnsi="Times New Roman" w:cs="Times New Roman"/>
          <w:i/>
          <w:iCs/>
          <w:color w:val="000000" w:themeColor="text1"/>
          <w:kern w:val="2"/>
          <w:sz w:val="16"/>
          <w:szCs w:val="16"/>
          <w:lang w:val="en-US"/>
        </w:rPr>
        <w:t>:</w:t>
      </w:r>
    </w:p>
    <w:p w14:paraId="40EEDB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26722C5F" w14:textId="0A6F6373" w:rsidR="003431D2" w:rsidRPr="002F2FDF" w:rsidRDefault="00875F0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Pr>
          <w:rFonts w:ascii="Times New Roman" w:hAnsi="Times New Roman" w:cs="Times New Roman"/>
          <w:color w:val="000000" w:themeColor="text1"/>
          <w:kern w:val="2"/>
          <w:sz w:val="16"/>
          <w:szCs w:val="16"/>
          <w:lang w:val="en-US"/>
        </w:rPr>
        <w:t>January 31 (</w:t>
      </w:r>
      <w:r w:rsidR="003431D2" w:rsidRPr="002F2FDF">
        <w:rPr>
          <w:rFonts w:ascii="Times New Roman" w:hAnsi="Times New Roman" w:cs="Times New Roman"/>
          <w:color w:val="000000" w:themeColor="text1"/>
          <w:kern w:val="2"/>
          <w:sz w:val="16"/>
          <w:szCs w:val="16"/>
          <w:lang w:val="en-US"/>
        </w:rPr>
        <w:t>February 13</w:t>
      </w:r>
      <w:r>
        <w:rPr>
          <w:rFonts w:ascii="Times New Roman" w:hAnsi="Times New Roman" w:cs="Times New Roman"/>
          <w:color w:val="000000" w:themeColor="text1"/>
          <w:kern w:val="2"/>
          <w:sz w:val="16"/>
          <w:szCs w:val="16"/>
          <w:lang w:val="en-US"/>
        </w:rPr>
        <w:t>)</w:t>
      </w:r>
      <w:r w:rsidR="003431D2" w:rsidRPr="002F2FDF">
        <w:rPr>
          <w:rFonts w:ascii="Times New Roman" w:hAnsi="Times New Roman" w:cs="Times New Roman"/>
          <w:color w:val="000000" w:themeColor="text1"/>
          <w:kern w:val="2"/>
          <w:sz w:val="16"/>
          <w:szCs w:val="16"/>
          <w:lang w:val="en-US"/>
        </w:rPr>
        <w:t xml:space="preserve"> 1917 Aircraft Manufacturers Association formed, Frank H. Russell as president (1038).</w:t>
      </w:r>
    </w:p>
    <w:p w14:paraId="051D12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475B98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января (13 февраля) 1917 в США была создана Ассоциация производителей авиационной техники и Frank H. Russell стал ее президентом (1038).</w:t>
      </w:r>
    </w:p>
    <w:p w14:paraId="1FE73B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DB87C4" w14:textId="740C26A2" w:rsidR="003431D2" w:rsidRPr="002F2FDF" w:rsidRDefault="00875F0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Pr>
          <w:rFonts w:ascii="Times New Roman" w:hAnsi="Times New Roman" w:cs="Times New Roman"/>
          <w:color w:val="000000" w:themeColor="text1"/>
          <w:kern w:val="2"/>
          <w:sz w:val="16"/>
          <w:szCs w:val="16"/>
          <w:lang w:val="en-US"/>
        </w:rPr>
        <w:t>January 31 (</w:t>
      </w:r>
      <w:r w:rsidRPr="002F2FDF">
        <w:rPr>
          <w:rFonts w:ascii="Times New Roman" w:hAnsi="Times New Roman" w:cs="Times New Roman"/>
          <w:color w:val="000000" w:themeColor="text1"/>
          <w:kern w:val="2"/>
          <w:sz w:val="16"/>
          <w:szCs w:val="16"/>
          <w:lang w:val="en-US"/>
        </w:rPr>
        <w:t>February 13</w:t>
      </w:r>
      <w:r>
        <w:rPr>
          <w:rFonts w:ascii="Times New Roman" w:hAnsi="Times New Roman" w:cs="Times New Roman"/>
          <w:color w:val="000000" w:themeColor="text1"/>
          <w:kern w:val="2"/>
          <w:sz w:val="16"/>
          <w:szCs w:val="16"/>
          <w:lang w:val="en-US"/>
        </w:rPr>
        <w:t>)</w:t>
      </w:r>
      <w:r w:rsidR="003431D2" w:rsidRPr="002F2FDF">
        <w:rPr>
          <w:rFonts w:ascii="Times New Roman" w:hAnsi="Times New Roman" w:cs="Times New Roman"/>
          <w:color w:val="000000" w:themeColor="text1"/>
          <w:kern w:val="2"/>
          <w:sz w:val="16"/>
          <w:szCs w:val="16"/>
          <w:lang w:val="en-US"/>
        </w:rPr>
        <w:t xml:space="preserve"> 1917 At Pensacola, Captain Francis T. Evans, USMC, performed the first loop with a seaplane, an N-9 floatplane at 3,000 feet, and then forced it into a spin and successfully recovered. For this contribution to the science of aviation, he was later awarded the Distinguished Flying Cross (1090).</w:t>
      </w:r>
    </w:p>
    <w:p w14:paraId="74F42E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56B890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января (13 февраля) 1917 в Pensacola капитан Francis T. Evans, USMC выполнил петлю на поплавковом гидросамолете N-9 на высоте 3,000 футов, а после этого ввел машину в штопор и вывел из него. За вклад в авиационную науку позднее был награжден Летным крестом за заслуги (1090).</w:t>
      </w:r>
    </w:p>
    <w:p w14:paraId="017E73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1BCEA2" w14:textId="77777777" w:rsidR="00783072" w:rsidRPr="002F2FDF" w:rsidRDefault="0078307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31 января (13 февраля</w:t>
      </w:r>
      <w:r w:rsidRPr="002F2FDF">
        <w:rPr>
          <w:rFonts w:ascii="Times New Roman" w:hAnsi="Times New Roman" w:cs="Times New Roman"/>
          <w:color w:val="000000" w:themeColor="text1"/>
          <w:kern w:val="2"/>
          <w:sz w:val="16"/>
          <w:szCs w:val="16"/>
        </w:rPr>
        <w:t>) в 1917 году в Англии правительство разрешило женщинам быть водителями такси (15039).</w:t>
      </w:r>
    </w:p>
    <w:p w14:paraId="24D30AA0" w14:textId="77777777" w:rsidR="00783072" w:rsidRPr="002F2FDF" w:rsidRDefault="00783072" w:rsidP="0083075A">
      <w:pPr>
        <w:spacing w:after="0" w:line="240" w:lineRule="auto"/>
        <w:jc w:val="both"/>
        <w:rPr>
          <w:rFonts w:ascii="Times New Roman" w:hAnsi="Times New Roman" w:cs="Times New Roman"/>
          <w:color w:val="000000" w:themeColor="text1"/>
          <w:kern w:val="2"/>
          <w:sz w:val="16"/>
          <w:szCs w:val="16"/>
        </w:rPr>
      </w:pPr>
    </w:p>
    <w:p w14:paraId="4F4B5F2F" w14:textId="77777777" w:rsidR="003230C7" w:rsidRPr="002F2FDF" w:rsidRDefault="003230C7" w:rsidP="0083075A">
      <w:pPr>
        <w:pStyle w:val="ae"/>
        <w:spacing w:before="0" w:after="0"/>
        <w:jc w:val="both"/>
        <w:rPr>
          <w:color w:val="000000" w:themeColor="text1"/>
          <w:kern w:val="2"/>
          <w:sz w:val="16"/>
          <w:szCs w:val="16"/>
        </w:rPr>
      </w:pPr>
      <w:r w:rsidRPr="002F2FDF">
        <w:rPr>
          <w:color w:val="000000" w:themeColor="text1"/>
          <w:kern w:val="2"/>
          <w:sz w:val="16"/>
          <w:szCs w:val="16"/>
        </w:rPr>
        <w:t>За период с 31 января по 6 февраля (13 по 19) февраля 1917 в рамках «неограниченной подводной войны» германскими подводными лодками было потоплено 96 торговых судов стран Антанты и нейтральных государств (17045).</w:t>
      </w:r>
    </w:p>
    <w:p w14:paraId="198F7DB8" w14:textId="77777777" w:rsidR="003230C7" w:rsidRPr="002F2FDF" w:rsidRDefault="003230C7" w:rsidP="0083075A">
      <w:pPr>
        <w:spacing w:after="0" w:line="240" w:lineRule="auto"/>
        <w:jc w:val="both"/>
        <w:rPr>
          <w:rFonts w:ascii="Times New Roman" w:hAnsi="Times New Roman" w:cs="Times New Roman"/>
          <w:bCs/>
          <w:color w:val="000000" w:themeColor="text1"/>
          <w:kern w:val="2"/>
          <w:sz w:val="16"/>
          <w:szCs w:val="16"/>
        </w:rPr>
      </w:pPr>
    </w:p>
    <w:p w14:paraId="30D6C80C" w14:textId="77777777" w:rsidR="00783072" w:rsidRPr="002F2FDF" w:rsidRDefault="0078307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31 января (13 февраля</w:t>
      </w:r>
      <w:r w:rsidRPr="002F2FDF">
        <w:rPr>
          <w:rFonts w:ascii="Times New Roman" w:hAnsi="Times New Roman" w:cs="Times New Roman"/>
          <w:color w:val="000000" w:themeColor="text1"/>
          <w:kern w:val="2"/>
          <w:sz w:val="16"/>
          <w:szCs w:val="16"/>
        </w:rPr>
        <w:t>) в 1917 году в Париже была арестована Маргарита Гертруда Зелле (Целле), известная под именем Мата Хари — легендарная куртизанка, танцовщица и шпионка. Согласно одному из отчетов французской контрразведки немецкий консул в Гааге весной 1916 года предложил ей большие деньги за информацию, которую она, пользуясь связями в Париже, могла добыть для немцев. И хотя прямых доказательств того, что она во время Первой мировой войны работала на германскую разведку, не было, Мата Хари по приговору французского военного трибунала 15 октября 1917 года была расстреляна в пригороде Парижа. На момент смерти ей был 41 год (15039).</w:t>
      </w:r>
    </w:p>
    <w:p w14:paraId="3AC543C9" w14:textId="77777777" w:rsidR="00783072" w:rsidRPr="002F2FDF" w:rsidRDefault="00783072" w:rsidP="0083075A">
      <w:pPr>
        <w:spacing w:after="0" w:line="240" w:lineRule="auto"/>
        <w:jc w:val="both"/>
        <w:rPr>
          <w:rFonts w:ascii="Times New Roman" w:hAnsi="Times New Roman" w:cs="Times New Roman"/>
          <w:color w:val="000000" w:themeColor="text1"/>
          <w:kern w:val="2"/>
          <w:sz w:val="16"/>
          <w:szCs w:val="16"/>
        </w:rPr>
      </w:pPr>
    </w:p>
    <w:p w14:paraId="3CC63E2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C4C1B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B90E6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конца января 1917 г. длился шок, вызванный смертью Е.Р. Энгельса. Наконец, 23-го Ф. Мельцер решился напомнить руководству морской авиации о работе над истребителем. Он писал, что при испытаниях второй прототип продемонстрировал отличные результаты, тогда как на заводе оставались все чертежи, лекала и стапель, а потому организация про</w:t>
      </w:r>
      <w:r w:rsidRPr="002F2FDF">
        <w:rPr>
          <w:rFonts w:ascii="Times New Roman" w:hAnsi="Times New Roman" w:cs="Times New Roman"/>
          <w:color w:val="000000" w:themeColor="text1"/>
          <w:kern w:val="2"/>
          <w:sz w:val="16"/>
          <w:szCs w:val="16"/>
        </w:rPr>
        <w:softHyphen/>
        <w:t>изводства аппаратов конструкции Энгельса была бы возможна при наличии официального заказа. Примерно в те же дни, 7 февраля 1917 г. комиссия школы, расследовавшая причины катастрофы и обсуждавшая перспективы дальнейшего развития проекта, постановила, что начатую изобретателем работу надлежало продолжить, передав ее в опытные руки, пере</w:t>
      </w:r>
      <w:r w:rsidRPr="002F2FDF">
        <w:rPr>
          <w:rFonts w:ascii="Times New Roman" w:hAnsi="Times New Roman" w:cs="Times New Roman"/>
          <w:color w:val="000000" w:themeColor="text1"/>
          <w:kern w:val="2"/>
          <w:sz w:val="16"/>
          <w:szCs w:val="16"/>
        </w:rPr>
        <w:softHyphen/>
        <w:t>смотрев все чертежи и расчеты для выяснения вопросов, связанных с прочностью самолета, и усилив слабые места, в частности крепления крыльев.</w:t>
      </w:r>
    </w:p>
    <w:p w14:paraId="0C6ABB0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этому дню Мельцер уже сделал предложение о строительстве 300 летающих лодок Энгельса в случае, если бы 2 новых прототипа оказались удачными. 5 февраля техническое совещание при Отделе воздушного плавания ГУК рассмотрело этот план, но приняло его лишь частично. Было решено, что заказать следует только 200 аппаратов, каждый под мо</w:t>
      </w:r>
      <w:r w:rsidRPr="002F2FDF">
        <w:rPr>
          <w:rFonts w:ascii="Times New Roman" w:hAnsi="Times New Roman" w:cs="Times New Roman"/>
          <w:color w:val="000000" w:themeColor="text1"/>
          <w:kern w:val="2"/>
          <w:sz w:val="16"/>
          <w:szCs w:val="16"/>
        </w:rPr>
        <w:softHyphen/>
        <w:t>тор "Клерже" 135 л.с., но и это количество в случае необходимости могло сократиться всего всего до 60 машин, с тем, чтобы остальные 140 были заменены таким же числом летающих лодок М-5 или М-9.</w:t>
      </w:r>
    </w:p>
    <w:p w14:paraId="75967A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Условный контракт на 200 самолетов, включая 60 гидроаэропланов Энгельса, был дан фирме 27 апреля 1917 г. Он гласил, что первым делом обязанностью фирмы ста- новилось изготовление и испытание двух опытных истребителей со 135-сильными дви- гателями "Клерже" и еще двух — со 110-сильными "Ронами". По достижении успеха на этой стадии Морское ведомство могло инициировать сборку еще 56 аппаратов любой из двух названных моделей или же 56 машин любой другой конструкции. Как экспе- риментальные, так и серийные аэропланы стоили 13.000 руб. за каждый (без мотора) при следующем графике готовности: 2 истребителя к 15 июня, 2 — к 15 июля, серия — в период с 1 августа по 1 ноября. Требования сдаточных испытаний предполагали достижение скорости в 160 км/ч у поверхности воды, причем премия в 500 руб. вы- плачивалась бы за каждые 10 км/ч сверх этого показателя, а скороподъемность состав- ляла бы 1000 м за 5,5 минуты и 2000 м за 13 минут при полезной нагрузке 250 кг. Каждая машина имела бы 126-литровый топливный и 20-литровый масляный баки, ус- тановку для пулемета, компас, альтиметр и часы. Что до прочих 140 самолетов из этого условного заказа, то ими могли стать 70 М-5 с двигателями "Рон" 110 л. с. или "Гном-Моносупап" 100--110 л. с. и 70 М-9 с моторами "Сальмсон" или "Санбим" по 150 л. с. каждый. Цены на эти аппараты равнялись 11.000 и 18.000 руб. соответственно и включали лицензионную стоимость (10%), выплачиваемую компании С. С. Щетинина (2843).</w:t>
      </w:r>
    </w:p>
    <w:p w14:paraId="28DBC5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06502B" w14:textId="6A970DEF" w:rsidR="000F3C8E" w:rsidRDefault="000F3C8E"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4BE06B37" w14:textId="77777777" w:rsidR="000F3C8E" w:rsidRDefault="000F3C8E"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B7DF5EB" w14:textId="77777777" w:rsidR="000F3C8E" w:rsidRPr="00FB4F67" w:rsidRDefault="000F3C8E" w:rsidP="0083075A">
      <w:pPr>
        <w:spacing w:after="0" w:line="240" w:lineRule="auto"/>
        <w:jc w:val="both"/>
        <w:rPr>
          <w:rFonts w:ascii="Times New Roman" w:hAnsi="Times New Roman" w:cs="Times New Roman"/>
          <w:color w:val="0070C0"/>
          <w:sz w:val="16"/>
          <w:szCs w:val="16"/>
        </w:rPr>
      </w:pPr>
      <w:bookmarkStart w:id="18" w:name="bookmark682"/>
      <w:bookmarkStart w:id="19" w:name="bookmark683"/>
      <w:r w:rsidRPr="00FB4F67">
        <w:rPr>
          <w:rFonts w:ascii="Times New Roman" w:hAnsi="Times New Roman" w:cs="Times New Roman"/>
          <w:color w:val="0070C0"/>
          <w:sz w:val="16"/>
          <w:szCs w:val="16"/>
        </w:rPr>
        <w:t>В конце января 1917 г. в районе Шлока, Калнцема и Шмардена, в целом по берегам нижнего течения р. Курляндская Аа, были отмечены многочисленные полеты германских самолетов новых конструкций, которые непрерывно осуществляли воздушную разведку позиций наших войск (23405).</w:t>
      </w:r>
    </w:p>
    <w:p w14:paraId="2A502984" w14:textId="77777777" w:rsidR="000F3C8E" w:rsidRPr="00FB4F67" w:rsidRDefault="000F3C8E" w:rsidP="0083075A">
      <w:pPr>
        <w:spacing w:after="0" w:line="240" w:lineRule="auto"/>
        <w:jc w:val="both"/>
        <w:rPr>
          <w:rFonts w:ascii="Times New Roman" w:hAnsi="Times New Roman" w:cs="Times New Roman"/>
          <w:color w:val="0070C0"/>
          <w:sz w:val="16"/>
          <w:szCs w:val="16"/>
        </w:rPr>
      </w:pPr>
    </w:p>
    <w:bookmarkEnd w:id="18"/>
    <w:bookmarkEnd w:id="19"/>
    <w:p w14:paraId="123E706E" w14:textId="173E4B6E"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006BF4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8999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января — начале февраля 1917 состоялась межсоюзническая конференция в Петрограде. Созыв межсоюзнической конференции в Петрограде намечался на вторую половину декабря 1916 года. Конференция несколько раз откладывалась (См. СИДОРОВ А.Л. Экономическое положение. С. 310—332; Экономическое положение России накануне Великой Октябрьской социалистической революции. Ч. 2. М.; Л., 1957. С. 437—452) (11329).</w:t>
      </w:r>
    </w:p>
    <w:p w14:paraId="61CA13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538CD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04E4D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8EC489"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январе 1917 г. недатированном январском отчете (возможно, генерала Пневского) оценивается, что потери самолетов с января по июль для КАО, армейских АО и артиллерийских АО прогнозируются в 37%, а потери для ФАО составят 50%.</w:t>
      </w:r>
    </w:p>
    <w:p w14:paraId="0F16AA97"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Смета производства в месяц с января по март 1917 г. составляла 30 машин Лебедева, 40-45 Анатра в Одессе, 25 Анатра в Симферополе, 30-35 Фарман 27 и 30 в Дуксе, 30-35 Ньюпоров в Дуксе и 15 машин. «истребителя» на Моска (23525).</w:t>
      </w:r>
    </w:p>
    <w:p w14:paraId="739B2F21" w14:textId="77777777" w:rsidR="000F3C8E" w:rsidRPr="00FB4F67" w:rsidRDefault="000F3C8E" w:rsidP="0083075A">
      <w:pPr>
        <w:spacing w:after="0" w:line="240" w:lineRule="auto"/>
        <w:jc w:val="both"/>
        <w:rPr>
          <w:rFonts w:ascii="Times New Roman" w:hAnsi="Times New Roman" w:cs="Times New Roman"/>
          <w:color w:val="0070C0"/>
          <w:sz w:val="16"/>
          <w:szCs w:val="16"/>
        </w:rPr>
      </w:pPr>
    </w:p>
    <w:p w14:paraId="16F843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1917 г., вви</w:t>
      </w:r>
      <w:r w:rsidRPr="002F2FDF">
        <w:rPr>
          <w:rFonts w:ascii="Times New Roman" w:hAnsi="Times New Roman" w:cs="Times New Roman"/>
          <w:color w:val="000000" w:themeColor="text1"/>
          <w:kern w:val="2"/>
          <w:sz w:val="16"/>
          <w:szCs w:val="16"/>
        </w:rPr>
        <w:softHyphen/>
        <w:t>ду задержки с поступлением на РБВЗ чертежей новых винтов для самолетов С-ХП из Управления Военно-воз</w:t>
      </w:r>
      <w:r w:rsidRPr="002F2FDF">
        <w:rPr>
          <w:rFonts w:ascii="Times New Roman" w:hAnsi="Times New Roman" w:cs="Times New Roman"/>
          <w:color w:val="000000" w:themeColor="text1"/>
          <w:kern w:val="2"/>
          <w:sz w:val="16"/>
          <w:szCs w:val="16"/>
        </w:rPr>
        <w:softHyphen/>
        <w:t>душного флота, Поликарпов предложил оснастить зака</w:t>
      </w:r>
      <w:r w:rsidRPr="002F2FDF">
        <w:rPr>
          <w:rFonts w:ascii="Times New Roman" w:hAnsi="Times New Roman" w:cs="Times New Roman"/>
          <w:color w:val="000000" w:themeColor="text1"/>
          <w:kern w:val="2"/>
          <w:sz w:val="16"/>
          <w:szCs w:val="16"/>
        </w:rPr>
        <w:softHyphen/>
        <w:t>занную серию из 6 аппаратов имеющимися на заводе (но несколько видоизмененными) винтами типа “Интеграл”. Естественно, для того, чтобы обосновать это предло</w:t>
      </w:r>
      <w:r w:rsidRPr="002F2FDF">
        <w:rPr>
          <w:rFonts w:ascii="Times New Roman" w:hAnsi="Times New Roman" w:cs="Times New Roman"/>
          <w:color w:val="000000" w:themeColor="text1"/>
          <w:kern w:val="2"/>
          <w:sz w:val="16"/>
          <w:szCs w:val="16"/>
        </w:rPr>
        <w:softHyphen/>
        <w:t>жение и убедиться, что характеристики машины сущест</w:t>
      </w:r>
      <w:r w:rsidRPr="002F2FDF">
        <w:rPr>
          <w:rFonts w:ascii="Times New Roman" w:hAnsi="Times New Roman" w:cs="Times New Roman"/>
          <w:color w:val="000000" w:themeColor="text1"/>
          <w:kern w:val="2"/>
          <w:sz w:val="16"/>
          <w:szCs w:val="16"/>
        </w:rPr>
        <w:softHyphen/>
        <w:t>венно не изменятся, ему пришлось выполнить все необходимые проверочные расчеты (10667).</w:t>
      </w:r>
    </w:p>
    <w:p w14:paraId="4D5034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F33E99" w14:textId="6A759DF9" w:rsidR="008C5CCC" w:rsidRPr="002F2FDF" w:rsidRDefault="008C5CC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январе 1917 г., ввиду задержки с поступлением на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РБВЗ</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чертежей новых винтовдля самолетов C–XII из Управления Военно-воздушного флота, Поликарпов предложил оснастить заказанную серию из 6 аппаратов имеющимися на заводе (но несколько видоизмененными) винтами типа «Интеграл» (15125).</w:t>
      </w:r>
    </w:p>
    <w:p w14:paraId="46B53824" w14:textId="77777777" w:rsidR="008C5CCC" w:rsidRPr="002F2FDF" w:rsidRDefault="008C5CCC" w:rsidP="0083075A">
      <w:pPr>
        <w:spacing w:after="0" w:line="240" w:lineRule="auto"/>
        <w:jc w:val="both"/>
        <w:rPr>
          <w:rFonts w:ascii="Times New Roman" w:hAnsi="Times New Roman" w:cs="Times New Roman"/>
          <w:color w:val="000000" w:themeColor="text1"/>
          <w:kern w:val="2"/>
          <w:sz w:val="16"/>
          <w:szCs w:val="16"/>
        </w:rPr>
      </w:pPr>
    </w:p>
    <w:p w14:paraId="31379E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1917 г. на завершенном первом ДИМе все было сделано для уменьшения вредного сопротивления, фюзеляж имел плавные формы. Полностью остекленная носовая часть (по заводской терминологии — “голова”) давала экипажу прекрасный обзор. Плоский бензобак был спрятан в фюзеляж и располагался сверху сразу за кабиной пилота. За баком был алюминиевый обтекатель с пулеметным “гнездом”. Четыре “Санбима” располагались на крыльях попарно тандемом. Размах крыльев был уменьшен, число растяжек шасси — сокращено. Проводка управления была убрана в фюзеляж. Для стрельбы вперед была установлена пулеметная точка справа от пилота. Хвостовой точки вначале не было. На аппаратах типа “Д” впервые были введены эксплуатационные разъемы фюзеляжа. Передняя его часть составляла единое целое с “моторной клеткой”, т. е. центральной частью коробки крыльев, включавшей и силовые установки. Вместо рамы управления, как и на “Русском Витязе”, стала штурвальная колонка. Многое из нововведений, например обтекаемая форма фюзеляжа, полностью остекленная носовая часть, шасси, эксплуатационные разъемы, носовая пулеметная установка и др., перекочевало на корабль следующего типа, но в целом самолеты ДИМ оказались неудачными. Испытания в эскадре первого такого аппарата (№ 223) показали, что даже без боевой нагрузки по сравнению с предыдущими типами сильно удлинился разбег, упала скороподъемность, потолок был невероятно мал. Было совершено только два полета. Вредное взаимовлияние винтов при тандемной установке и повышенное индуктивное сопротивление из-за относительно небольшого удлинения, влиянию которого тогда еще не придавали значения, в совокупности со скверной работой “Санбимов” дали такой низкий результат. Второй ДИМ (№ 224) подвергся значительным изменениям — увеличен размах крыльев, удлинен фюзеляж, “Санбимы” переставлены в ряд (модификация Д-2). Однако события 1917 г. не позволили испытать эту машину в эскадре. Третий опытный ДИМ (№ 225) был также построен в 1916 г. и долго дорабатывался. На нем было установлено необычное бипланное хвостовое оперение с двумя килями и с пулеметной точкой, а подмоторные рамы переделаны под двигатель “Рено” (модификация Д-3), Сикорский не терял надежды довести до работоспособного состояния тип “Д”, десять серийных экземпляров которого (№ 226–235) были к началу 1917 г. почти наполовину готовы. Конструктор планировал наладить серийный выпуск двух внешне подобных бомбардировщиков — тяжелого типа “Е”, о котором речь пойдет ниже, и более легкого типа “Д”. С новыми мощными двигателями по 300–400 л. с. ДИМы могли стать неплохими бомбардировщиками. 1917 г. спутал все планы, и опытный № 225 был отправлен на фронт, но только в 1919 г. в Красный дивизион воздушных кораблей (11196).</w:t>
      </w:r>
    </w:p>
    <w:p w14:paraId="3DCD99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591042" w14:textId="77777777" w:rsidR="002E7C73" w:rsidRPr="002F2FDF" w:rsidRDefault="002E7C7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январе 1917 г. на одном из «Муромцев» для повышения поперечной устойчивости между стойками крыла установили щитки из фанеры (на фотографиях они видны), которые должны были устранить скольжение самолета при небольшом крене. Однако при резком маневре щитки у одного из самолетов были сорваны воздушным потоком, а стойки вывернуты в узлах. Самолет развалился в воздухе, экипаж погиб (23010).</w:t>
      </w:r>
    </w:p>
    <w:p w14:paraId="7CD17A7B" w14:textId="77777777" w:rsidR="002E7C73" w:rsidRPr="002F2FDF" w:rsidRDefault="002E7C73" w:rsidP="0083075A">
      <w:pPr>
        <w:spacing w:after="0" w:line="240" w:lineRule="auto"/>
        <w:jc w:val="both"/>
        <w:rPr>
          <w:rFonts w:ascii="Times New Roman" w:hAnsi="Times New Roman" w:cs="Times New Roman"/>
          <w:color w:val="000000" w:themeColor="text1"/>
          <w:sz w:val="16"/>
          <w:szCs w:val="16"/>
        </w:rPr>
      </w:pPr>
    </w:p>
    <w:p w14:paraId="138F2520" w14:textId="77777777" w:rsidR="008C5CCC" w:rsidRPr="002F2FDF" w:rsidRDefault="008C5CCC"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В январе 1917 г. выпуск самолетов на Дукс составил 76 машин – максимальный за его истории. За годы войны производительность «Дукса» выросла почти в десять раз, хотя даже этого оказалось недостаточно для обеспечения потребностей фронта. Впрочем, возможности авиазаводов ограничивались производительностью моторных заводов, заграничными поставками оборудования и приборов, наличием сырья и полуфабрикатов и общим уровнем развития всей тяжелой промышленности России (15464).</w:t>
      </w:r>
    </w:p>
    <w:p w14:paraId="75900B12" w14:textId="77777777" w:rsidR="008C5CCC" w:rsidRPr="002F2FDF" w:rsidRDefault="008C5CCC" w:rsidP="0083075A">
      <w:pPr>
        <w:pStyle w:val="2"/>
        <w:spacing w:before="0" w:beforeAutospacing="0" w:after="0" w:afterAutospacing="0"/>
        <w:jc w:val="both"/>
        <w:rPr>
          <w:b w:val="0"/>
          <w:color w:val="000000" w:themeColor="text1"/>
          <w:kern w:val="2"/>
          <w:sz w:val="16"/>
          <w:szCs w:val="16"/>
        </w:rPr>
      </w:pPr>
    </w:p>
    <w:p w14:paraId="3205B890" w14:textId="77777777" w:rsidR="008C5CCC" w:rsidRPr="002F2FDF" w:rsidRDefault="008C5CCC"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В январе 1917 по ходатайству правления «Дукса» Особое совещание выдало заводу ссуду в 550 тыс. руб. под 5% годовых (при оценке всех планируемых затрат на реорганизацию предприятия в 1,06 млн. руб.). Для контроля за «целевым» расходованием средств на «Дукс» командировали «специального» представителя военного ведомства. В марте 1917 г. «Дукс» заключил с УВВФ новый контракт с учетом увеличения производства на 100%. С июня 1917 г. по июль 1918 г. завод должен был изготовить от 750 до 840 боевых самолетов различных типов (15464).</w:t>
      </w:r>
    </w:p>
    <w:p w14:paraId="20862C14" w14:textId="77777777" w:rsidR="008C5CCC" w:rsidRPr="002F2FDF" w:rsidRDefault="008C5CCC" w:rsidP="0083075A">
      <w:pPr>
        <w:pStyle w:val="2"/>
        <w:spacing w:before="0" w:beforeAutospacing="0" w:after="0" w:afterAutospacing="0"/>
        <w:jc w:val="both"/>
        <w:rPr>
          <w:b w:val="0"/>
          <w:color w:val="000000" w:themeColor="text1"/>
          <w:kern w:val="2"/>
          <w:sz w:val="16"/>
          <w:szCs w:val="16"/>
        </w:rPr>
      </w:pPr>
    </w:p>
    <w:p w14:paraId="5655C4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1917 г. Лебедеву удалось продать прототип "Монокока" (зав. № 401) казне за 9500 рублей. В июне того же года аэроплан поступил в Гатчинскую авиашколу. Согласно технической описи, по которой аппарат был принят на баланс школы, "Монокок №11" имел мотор "Гном-Моносупап" 100 л.с. (зав. № 5556) и пропеллер типа "Интеграл" № 8470. Машина комплектовалась запасными крыльями и лыжами для полетов зимой (11183).</w:t>
      </w:r>
    </w:p>
    <w:p w14:paraId="336D7A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030B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январе 1917 г. Лебедев подготовил проект двухместного разведчика "Лебедь"-ХVIII по типу немецкого "Альбатроса" с двигателем "Фиат" 230 л.с. и предложил Военному ведомству построить 300 кземпляров этого самолета, но, не получив заказа, так и не приступил к производству. </w:t>
      </w:r>
    </w:p>
    <w:p w14:paraId="31E881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Двухместный разведчик "Лебедь"-ХХI построили осенью 1917 г. в 7 экземплярах. Это был моноплан с двигателем "Сальмсон" 150 л.с., набиравший высоту 2000 м за 20 минут. В целом его летные данные были невысокими и в серию он не пошел. Отдельные экземпляры этого типа летали до 1921 г. </w:t>
      </w:r>
    </w:p>
    <w:p w14:paraId="3FAE97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"Лебедь"-ХХIV так и остался на бумаге, так как поставки предназначенных для него моторов "Фиат" 230 л.с. и "Испано-Сюиза" 200 л.с. союзники прекратили во второй половине 1917 г, не успев толком и начать (11183).</w:t>
      </w:r>
    </w:p>
    <w:p w14:paraId="27FD5C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CAE65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Планировалось, что уже с января 1917 года Симферопольский завод Анатра бу</w:t>
      </w:r>
      <w:r w:rsidRPr="002F2FDF">
        <w:rPr>
          <w:rFonts w:ascii="Times New Roman" w:hAnsi="Times New Roman" w:cs="Times New Roman"/>
          <w:color w:val="000000" w:themeColor="text1"/>
          <w:kern w:val="2"/>
          <w:sz w:val="16"/>
          <w:szCs w:val="16"/>
        </w:rPr>
        <w:softHyphen/>
        <w:t>дет выпускать до 25 самолетов в месяц. Однако из-за срыва поставок импортного оборудования Симферо</w:t>
      </w:r>
      <w:r w:rsidRPr="002F2FDF">
        <w:rPr>
          <w:rFonts w:ascii="Times New Roman" w:hAnsi="Times New Roman" w:cs="Times New Roman"/>
          <w:color w:val="000000" w:themeColor="text1"/>
          <w:kern w:val="2"/>
          <w:sz w:val="16"/>
          <w:szCs w:val="16"/>
        </w:rPr>
        <w:softHyphen/>
        <w:t>польское отделение только к середине 1917 года ос</w:t>
      </w:r>
      <w:r w:rsidRPr="002F2FDF">
        <w:rPr>
          <w:rFonts w:ascii="Times New Roman" w:hAnsi="Times New Roman" w:cs="Times New Roman"/>
          <w:color w:val="000000" w:themeColor="text1"/>
          <w:kern w:val="2"/>
          <w:sz w:val="16"/>
          <w:szCs w:val="16"/>
        </w:rPr>
        <w:softHyphen/>
        <w:t>воило выпуск 20 машин в месяц. Главным образом изготавливались летающие лодки Д.П.Григоровича. К началу 1918 года на заводе работало около 700 че</w:t>
      </w:r>
      <w:r w:rsidRPr="002F2FDF">
        <w:rPr>
          <w:rFonts w:ascii="Times New Roman" w:hAnsi="Times New Roman" w:cs="Times New Roman"/>
          <w:color w:val="000000" w:themeColor="text1"/>
          <w:kern w:val="2"/>
          <w:sz w:val="16"/>
          <w:szCs w:val="16"/>
        </w:rPr>
        <w:softHyphen/>
        <w:t>ловек. Всего Крымским филиалом завода Анатра вы</w:t>
      </w:r>
      <w:r w:rsidRPr="002F2FDF">
        <w:rPr>
          <w:rFonts w:ascii="Times New Roman" w:hAnsi="Times New Roman" w:cs="Times New Roman"/>
          <w:color w:val="000000" w:themeColor="text1"/>
          <w:kern w:val="2"/>
          <w:sz w:val="16"/>
          <w:szCs w:val="16"/>
        </w:rPr>
        <w:softHyphen/>
        <w:t>пущено 50 самолетов. На этом же предприятии А.А.Анатра обязался наладить выпуск авиадвигателей водяного охлажде</w:t>
      </w:r>
      <w:r w:rsidRPr="002F2FDF">
        <w:rPr>
          <w:rFonts w:ascii="Times New Roman" w:hAnsi="Times New Roman" w:cs="Times New Roman"/>
          <w:color w:val="000000" w:themeColor="text1"/>
          <w:kern w:val="2"/>
          <w:sz w:val="16"/>
          <w:szCs w:val="16"/>
        </w:rPr>
        <w:softHyphen/>
        <w:t>ния “Испано-Сюиза” мощностью 200 л.с. В конце 1916 года в Париже и Барселоне закупили оборудование для производства 30 двигателей в месяц. Однако ре</w:t>
      </w:r>
      <w:r w:rsidRPr="002F2FDF">
        <w:rPr>
          <w:rFonts w:ascii="Times New Roman" w:hAnsi="Times New Roman" w:cs="Times New Roman"/>
          <w:color w:val="000000" w:themeColor="text1"/>
          <w:kern w:val="2"/>
          <w:sz w:val="16"/>
          <w:szCs w:val="16"/>
        </w:rPr>
        <w:softHyphen/>
        <w:t>волюционные события 1917 года не дали завершить строительство отделения по производству двигателей. Кроме заказов на поставку самолетов, завод Анат</w:t>
      </w:r>
      <w:r w:rsidRPr="002F2FDF">
        <w:rPr>
          <w:rFonts w:ascii="Times New Roman" w:hAnsi="Times New Roman" w:cs="Times New Roman"/>
          <w:color w:val="000000" w:themeColor="text1"/>
          <w:kern w:val="2"/>
          <w:sz w:val="16"/>
          <w:szCs w:val="16"/>
        </w:rPr>
        <w:softHyphen/>
        <w:t>ра выполнял заказы на изготовление отдельных частей самолетов, в частности 50 пар усовершенствован</w:t>
      </w:r>
      <w:r w:rsidRPr="002F2FDF">
        <w:rPr>
          <w:rFonts w:ascii="Times New Roman" w:hAnsi="Times New Roman" w:cs="Times New Roman"/>
          <w:color w:val="000000" w:themeColor="text1"/>
          <w:kern w:val="2"/>
          <w:sz w:val="16"/>
          <w:szCs w:val="16"/>
        </w:rPr>
        <w:softHyphen/>
        <w:t>ных крыльев для “Ньюпора-4” (553).</w:t>
      </w:r>
    </w:p>
    <w:p w14:paraId="2BF4694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78C846" w14:textId="77777777" w:rsidR="003431D2" w:rsidRPr="002F2FDF" w:rsidRDefault="003431D2" w:rsidP="0083075A">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2F2FDF">
        <w:rPr>
          <w:rFonts w:ascii="Times New Roman" w:eastAsia="Arial Unicode MS" w:hAnsi="Times New Roman" w:cs="Times New Roman"/>
          <w:color w:val="000000" w:themeColor="text1"/>
          <w:kern w:val="2"/>
          <w:sz w:val="16"/>
          <w:szCs w:val="16"/>
        </w:rPr>
        <w:t>В январе 1917 г. из Баку последовало требо</w:t>
      </w:r>
      <w:r w:rsidRPr="002F2FDF">
        <w:rPr>
          <w:rFonts w:ascii="Times New Roman" w:eastAsia="Arial Unicode MS" w:hAnsi="Times New Roman" w:cs="Times New Roman"/>
          <w:color w:val="000000" w:themeColor="text1"/>
          <w:kern w:val="2"/>
          <w:sz w:val="16"/>
          <w:szCs w:val="16"/>
        </w:rPr>
        <w:softHyphen/>
        <w:t>вание доработок М-15, основные положения которых сводились к более удобной компоновке управ</w:t>
      </w:r>
      <w:r w:rsidRPr="002F2FDF">
        <w:rPr>
          <w:rFonts w:ascii="Times New Roman" w:eastAsia="Arial Unicode MS" w:hAnsi="Times New Roman" w:cs="Times New Roman"/>
          <w:color w:val="000000" w:themeColor="text1"/>
          <w:kern w:val="2"/>
          <w:sz w:val="16"/>
          <w:szCs w:val="16"/>
        </w:rPr>
        <w:softHyphen/>
        <w:t>ления и оборудования, более ка</w:t>
      </w:r>
      <w:r w:rsidRPr="002F2FDF">
        <w:rPr>
          <w:rFonts w:ascii="Times New Roman" w:eastAsia="Arial Unicode MS" w:hAnsi="Times New Roman" w:cs="Times New Roman"/>
          <w:color w:val="000000" w:themeColor="text1"/>
          <w:kern w:val="2"/>
          <w:sz w:val="16"/>
          <w:szCs w:val="16"/>
        </w:rPr>
        <w:softHyphen/>
        <w:t>чественному изготовлению.</w:t>
      </w:r>
    </w:p>
    <w:p w14:paraId="66A817B1" w14:textId="77777777" w:rsidR="003431D2" w:rsidRPr="002F2FDF" w:rsidRDefault="003431D2" w:rsidP="0083075A">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2F2FDF">
        <w:rPr>
          <w:rFonts w:ascii="Times New Roman" w:eastAsia="Arial Unicode MS" w:hAnsi="Times New Roman" w:cs="Times New Roman"/>
          <w:color w:val="000000" w:themeColor="text1"/>
          <w:kern w:val="2"/>
          <w:sz w:val="16"/>
          <w:szCs w:val="16"/>
        </w:rPr>
        <w:t>С точки зрения пилотирования летающая лодка М-15 оценивалась очень хорошо. Она обладала бо</w:t>
      </w:r>
      <w:r w:rsidRPr="002F2FDF">
        <w:rPr>
          <w:rFonts w:ascii="Times New Roman" w:eastAsia="Arial Unicode MS" w:hAnsi="Times New Roman" w:cs="Times New Roman"/>
          <w:color w:val="000000" w:themeColor="text1"/>
          <w:kern w:val="2"/>
          <w:sz w:val="16"/>
          <w:szCs w:val="16"/>
        </w:rPr>
        <w:softHyphen/>
        <w:t>лее высокой полетной скоростью и скороподъемностью чем М-9, осо</w:t>
      </w:r>
      <w:r w:rsidRPr="002F2FDF">
        <w:rPr>
          <w:rFonts w:ascii="Times New Roman" w:eastAsia="Arial Unicode MS" w:hAnsi="Times New Roman" w:cs="Times New Roman"/>
          <w:color w:val="000000" w:themeColor="text1"/>
          <w:kern w:val="2"/>
          <w:sz w:val="16"/>
          <w:szCs w:val="16"/>
        </w:rPr>
        <w:softHyphen/>
        <w:t>бо отмечали ее высокую маневрен</w:t>
      </w:r>
      <w:r w:rsidRPr="002F2FDF">
        <w:rPr>
          <w:rFonts w:ascii="Times New Roman" w:eastAsia="Arial Unicode MS" w:hAnsi="Times New Roman" w:cs="Times New Roman"/>
          <w:color w:val="000000" w:themeColor="text1"/>
          <w:kern w:val="2"/>
          <w:sz w:val="16"/>
          <w:szCs w:val="16"/>
        </w:rPr>
        <w:softHyphen/>
        <w:t>ность. Уже в ходе серийной пост</w:t>
      </w:r>
      <w:r w:rsidRPr="002F2FDF">
        <w:rPr>
          <w:rFonts w:ascii="Times New Roman" w:eastAsia="Arial Unicode MS" w:hAnsi="Times New Roman" w:cs="Times New Roman"/>
          <w:color w:val="000000" w:themeColor="text1"/>
          <w:kern w:val="2"/>
          <w:sz w:val="16"/>
          <w:szCs w:val="16"/>
        </w:rPr>
        <w:softHyphen/>
        <w:t>ройки в носовой части оборудова</w:t>
      </w:r>
      <w:r w:rsidRPr="002F2FDF">
        <w:rPr>
          <w:rFonts w:ascii="Times New Roman" w:eastAsia="Arial Unicode MS" w:hAnsi="Times New Roman" w:cs="Times New Roman"/>
          <w:color w:val="000000" w:themeColor="text1"/>
          <w:kern w:val="2"/>
          <w:sz w:val="16"/>
          <w:szCs w:val="16"/>
        </w:rPr>
        <w:softHyphen/>
        <w:t>ли стрелковую установку для пуле</w:t>
      </w:r>
      <w:r w:rsidRPr="002F2FDF">
        <w:rPr>
          <w:rFonts w:ascii="Times New Roman" w:eastAsia="Arial Unicode MS" w:hAnsi="Times New Roman" w:cs="Times New Roman"/>
          <w:color w:val="000000" w:themeColor="text1"/>
          <w:kern w:val="2"/>
          <w:sz w:val="16"/>
          <w:szCs w:val="16"/>
        </w:rPr>
        <w:softHyphen/>
        <w:t>метов «Максим» или «Льюис», при</w:t>
      </w:r>
      <w:r w:rsidRPr="002F2FDF">
        <w:rPr>
          <w:rFonts w:ascii="Times New Roman" w:eastAsia="Arial Unicode MS" w:hAnsi="Times New Roman" w:cs="Times New Roman"/>
          <w:color w:val="000000" w:themeColor="text1"/>
          <w:kern w:val="2"/>
          <w:sz w:val="16"/>
          <w:szCs w:val="16"/>
        </w:rPr>
        <w:softHyphen/>
        <w:t>чем встречались как минимум два варианта верхнего грота носовой части лодки.</w:t>
      </w:r>
    </w:p>
    <w:p w14:paraId="59A1E194" w14:textId="77777777" w:rsidR="003431D2" w:rsidRPr="002F2FDF" w:rsidRDefault="003431D2" w:rsidP="0083075A">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2F2FDF">
        <w:rPr>
          <w:rFonts w:ascii="Times New Roman" w:eastAsia="Arial Unicode MS" w:hAnsi="Times New Roman" w:cs="Times New Roman"/>
          <w:color w:val="000000" w:themeColor="text1"/>
          <w:kern w:val="2"/>
          <w:sz w:val="16"/>
          <w:szCs w:val="16"/>
        </w:rPr>
        <w:t>М-15 определяли как средний тип между истребителем и разведчиком и в боевых условиях считали более эффективным, чем М-9. Изготовле</w:t>
      </w:r>
      <w:r w:rsidRPr="002F2FDF">
        <w:rPr>
          <w:rFonts w:ascii="Times New Roman" w:eastAsia="Arial Unicode MS" w:hAnsi="Times New Roman" w:cs="Times New Roman"/>
          <w:color w:val="000000" w:themeColor="text1"/>
          <w:kern w:val="2"/>
          <w:sz w:val="16"/>
          <w:szCs w:val="16"/>
        </w:rPr>
        <w:softHyphen/>
        <w:t>ние серии этих летающих лодок началось со второй половины 1916г., развивалось не очень стре</w:t>
      </w:r>
      <w:r w:rsidRPr="002F2FDF">
        <w:rPr>
          <w:rFonts w:ascii="Times New Roman" w:eastAsia="Arial Unicode MS" w:hAnsi="Times New Roman" w:cs="Times New Roman"/>
          <w:color w:val="000000" w:themeColor="text1"/>
          <w:kern w:val="2"/>
          <w:sz w:val="16"/>
          <w:szCs w:val="16"/>
        </w:rPr>
        <w:softHyphen/>
        <w:t>мительно, однако продолжалась до</w:t>
      </w:r>
      <w:r w:rsidRPr="002F2FDF">
        <w:rPr>
          <w:rFonts w:ascii="Times New Roman" w:eastAsia="Arial Unicode MS" w:hAnsi="Times New Roman" w:cs="Times New Roman"/>
          <w:color w:val="000000" w:themeColor="text1"/>
          <w:kern w:val="2"/>
          <w:sz w:val="16"/>
          <w:szCs w:val="16"/>
        </w:rPr>
        <w:softHyphen/>
        <w:t>вольно долго. Последние 9 машин сдали флоту в 1921 г. Всего пост</w:t>
      </w:r>
      <w:r w:rsidRPr="002F2FDF">
        <w:rPr>
          <w:rFonts w:ascii="Times New Roman" w:eastAsia="Arial Unicode MS" w:hAnsi="Times New Roman" w:cs="Times New Roman"/>
          <w:color w:val="000000" w:themeColor="text1"/>
          <w:kern w:val="2"/>
          <w:sz w:val="16"/>
          <w:szCs w:val="16"/>
        </w:rPr>
        <w:softHyphen/>
        <w:t>роили 87 экземпляров М-15.</w:t>
      </w:r>
    </w:p>
    <w:p w14:paraId="3257C368" w14:textId="77777777" w:rsidR="003431D2" w:rsidRPr="002F2FDF" w:rsidRDefault="003431D2" w:rsidP="0083075A">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2F2FDF">
        <w:rPr>
          <w:rFonts w:ascii="Times New Roman" w:eastAsia="Arial Unicode MS" w:hAnsi="Times New Roman" w:cs="Times New Roman"/>
          <w:color w:val="000000" w:themeColor="text1"/>
          <w:kern w:val="2"/>
          <w:sz w:val="16"/>
          <w:szCs w:val="16"/>
        </w:rPr>
        <w:t>Большая часть М-15 использова</w:t>
      </w:r>
      <w:r w:rsidRPr="002F2FDF">
        <w:rPr>
          <w:rFonts w:ascii="Times New Roman" w:eastAsia="Arial Unicode MS" w:hAnsi="Times New Roman" w:cs="Times New Roman"/>
          <w:color w:val="000000" w:themeColor="text1"/>
          <w:kern w:val="2"/>
          <w:sz w:val="16"/>
          <w:szCs w:val="16"/>
        </w:rPr>
        <w:softHyphen/>
        <w:t>лась на Балтике, ориентировочно до двух десятков на Черном море (в 1916 г. числилось 8 штук), и два экземпляра в летной школе в Баку.</w:t>
      </w:r>
    </w:p>
    <w:p w14:paraId="6BF0420C" w14:textId="77777777" w:rsidR="003431D2" w:rsidRPr="002F2FDF" w:rsidRDefault="003431D2" w:rsidP="0083075A">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2F2FDF">
        <w:rPr>
          <w:rFonts w:ascii="Times New Roman" w:eastAsia="Arial Unicode MS" w:hAnsi="Times New Roman" w:cs="Times New Roman"/>
          <w:color w:val="000000" w:themeColor="text1"/>
          <w:kern w:val="2"/>
          <w:sz w:val="16"/>
          <w:szCs w:val="16"/>
        </w:rPr>
        <w:t>Два М-15 после революции дос</w:t>
      </w:r>
      <w:r w:rsidRPr="002F2FDF">
        <w:rPr>
          <w:rFonts w:ascii="Times New Roman" w:eastAsia="Arial Unicode MS" w:hAnsi="Times New Roman" w:cs="Times New Roman"/>
          <w:color w:val="000000" w:themeColor="text1"/>
          <w:kern w:val="2"/>
          <w:sz w:val="16"/>
          <w:szCs w:val="16"/>
        </w:rPr>
        <w:softHyphen/>
        <w:t>тались Финляндии, еще один такой аппарат также оказался за грани</w:t>
      </w:r>
      <w:r w:rsidRPr="002F2FDF">
        <w:rPr>
          <w:rFonts w:ascii="Times New Roman" w:eastAsia="Arial Unicode MS" w:hAnsi="Times New Roman" w:cs="Times New Roman"/>
          <w:color w:val="000000" w:themeColor="text1"/>
          <w:kern w:val="2"/>
          <w:sz w:val="16"/>
          <w:szCs w:val="16"/>
        </w:rPr>
        <w:softHyphen/>
        <w:t>цами России, после чего судьба его оказалась весьма долгой и необыч</w:t>
      </w:r>
      <w:r w:rsidRPr="002F2FDF">
        <w:rPr>
          <w:rFonts w:ascii="Times New Roman" w:eastAsia="Arial Unicode MS" w:hAnsi="Times New Roman" w:cs="Times New Roman"/>
          <w:color w:val="000000" w:themeColor="text1"/>
          <w:kern w:val="2"/>
          <w:sz w:val="16"/>
          <w:szCs w:val="16"/>
        </w:rPr>
        <w:softHyphen/>
        <w:t>ной. Этот М-15 с флотским номе</w:t>
      </w:r>
      <w:r w:rsidRPr="002F2FDF">
        <w:rPr>
          <w:rFonts w:ascii="Times New Roman" w:eastAsia="Arial Unicode MS" w:hAnsi="Times New Roman" w:cs="Times New Roman"/>
          <w:color w:val="000000" w:themeColor="text1"/>
          <w:kern w:val="2"/>
          <w:sz w:val="16"/>
          <w:szCs w:val="16"/>
        </w:rPr>
        <w:softHyphen/>
        <w:t xml:space="preserve">ром ЩИ-1 был оставлен русскими летчиками как неисправный при отступлении из Аренсбурга. Немцы вывезли гидроплан в </w:t>
      </w:r>
      <w:r w:rsidRPr="002F2FDF">
        <w:rPr>
          <w:rFonts w:ascii="Times New Roman" w:eastAsia="Arial Unicode MS" w:hAnsi="Times New Roman" w:cs="Times New Roman"/>
          <w:color w:val="000000" w:themeColor="text1"/>
          <w:kern w:val="2"/>
          <w:sz w:val="16"/>
          <w:szCs w:val="16"/>
        </w:rPr>
        <w:lastRenderedPageBreak/>
        <w:t>Германию, где демонстрировали его сначала в качестве трофея, а затем сделали экспонатом Берлинского музея авиации, где он находился до 1945 г. Затем самолет был вывезен в Польшу, в настоящее время хранит</w:t>
      </w:r>
      <w:r w:rsidRPr="002F2FDF">
        <w:rPr>
          <w:rFonts w:ascii="Times New Roman" w:eastAsia="Arial Unicode MS" w:hAnsi="Times New Roman" w:cs="Times New Roman"/>
          <w:color w:val="000000" w:themeColor="text1"/>
          <w:kern w:val="2"/>
          <w:sz w:val="16"/>
          <w:szCs w:val="16"/>
        </w:rPr>
        <w:softHyphen/>
        <w:t>ся в авиационном музее города Кракова (12086).</w:t>
      </w:r>
    </w:p>
    <w:p w14:paraId="7B22BB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E2A8A3"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январе 1917 г. из Баку последовало требование доработок М-15, основные положения которых своди</w:t>
      </w:r>
      <w:r w:rsidRPr="00FB4F67">
        <w:rPr>
          <w:rFonts w:ascii="Times New Roman" w:hAnsi="Times New Roman" w:cs="Times New Roman"/>
          <w:color w:val="0070C0"/>
          <w:sz w:val="16"/>
          <w:szCs w:val="16"/>
        </w:rPr>
        <w:softHyphen/>
        <w:t>лись к более удобной компоновке управле</w:t>
      </w:r>
      <w:r w:rsidRPr="00FB4F67">
        <w:rPr>
          <w:rFonts w:ascii="Times New Roman" w:hAnsi="Times New Roman" w:cs="Times New Roman"/>
          <w:color w:val="0070C0"/>
          <w:sz w:val="16"/>
          <w:szCs w:val="16"/>
        </w:rPr>
        <w:softHyphen/>
        <w:t>ния и оборудования, более качественному изготовлению.</w:t>
      </w:r>
    </w:p>
    <w:p w14:paraId="046C2985"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 точки зрения пилотирования М-15 оце</w:t>
      </w:r>
      <w:r w:rsidRPr="00FB4F67">
        <w:rPr>
          <w:rFonts w:ascii="Times New Roman" w:hAnsi="Times New Roman" w:cs="Times New Roman"/>
          <w:color w:val="0070C0"/>
          <w:sz w:val="16"/>
          <w:szCs w:val="16"/>
        </w:rPr>
        <w:softHyphen/>
        <w:t>нивался очень хорошо. Он обладал более высокой скоростью и скороподъемностью, чем М-9, особо отмечали его высокую ма</w:t>
      </w:r>
      <w:r w:rsidRPr="00FB4F67">
        <w:rPr>
          <w:rFonts w:ascii="Times New Roman" w:hAnsi="Times New Roman" w:cs="Times New Roman"/>
          <w:color w:val="0070C0"/>
          <w:sz w:val="16"/>
          <w:szCs w:val="16"/>
        </w:rPr>
        <w:softHyphen/>
        <w:t>невренность. Уже в ходе постройки в носо</w:t>
      </w:r>
      <w:r w:rsidRPr="00FB4F67">
        <w:rPr>
          <w:rFonts w:ascii="Times New Roman" w:hAnsi="Times New Roman" w:cs="Times New Roman"/>
          <w:color w:val="0070C0"/>
          <w:sz w:val="16"/>
          <w:szCs w:val="16"/>
        </w:rPr>
        <w:softHyphen/>
        <w:t>вой части оборудовали стрелковую уста</w:t>
      </w:r>
      <w:r w:rsidRPr="00FB4F67">
        <w:rPr>
          <w:rFonts w:ascii="Times New Roman" w:hAnsi="Times New Roman" w:cs="Times New Roman"/>
          <w:color w:val="0070C0"/>
          <w:sz w:val="16"/>
          <w:szCs w:val="16"/>
        </w:rPr>
        <w:softHyphen/>
        <w:t>новку для пулеметов «Максим» или «Лью</w:t>
      </w:r>
      <w:r w:rsidRPr="00FB4F67">
        <w:rPr>
          <w:rFonts w:ascii="Times New Roman" w:hAnsi="Times New Roman" w:cs="Times New Roman"/>
          <w:color w:val="0070C0"/>
          <w:sz w:val="16"/>
          <w:szCs w:val="16"/>
        </w:rPr>
        <w:softHyphen/>
        <w:t>ис», причем имелись как минимум два варианта верхнего грота носовой части.</w:t>
      </w:r>
    </w:p>
    <w:p w14:paraId="44817E8D"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М-15 определяли как средний тип между истребителем и разведчиком и в боевых условиях считали более эффективным, чем М-9. Постройка М-15 началась со второй половины 1916 г. и продолжалась до конца 1917 г. Всего изготовили 54 М-15, большая часть их использовалась на Балтике, ори</w:t>
      </w:r>
      <w:r w:rsidRPr="00FB4F67">
        <w:rPr>
          <w:rFonts w:ascii="Times New Roman" w:hAnsi="Times New Roman" w:cs="Times New Roman"/>
          <w:color w:val="0070C0"/>
          <w:sz w:val="16"/>
          <w:szCs w:val="16"/>
        </w:rPr>
        <w:softHyphen/>
        <w:t>ентировочно до двух десятков на Черном море и два экземпляра в летной школе в Баку. Два самолета достались Финляндии, один М-15 был захвачен неприятелем, эва</w:t>
      </w:r>
      <w:r w:rsidRPr="00FB4F67">
        <w:rPr>
          <w:rFonts w:ascii="Times New Roman" w:hAnsi="Times New Roman" w:cs="Times New Roman"/>
          <w:color w:val="0070C0"/>
          <w:sz w:val="16"/>
          <w:szCs w:val="16"/>
        </w:rPr>
        <w:softHyphen/>
        <w:t>куирован на германскую территорию, по</w:t>
      </w:r>
      <w:r w:rsidRPr="00FB4F67">
        <w:rPr>
          <w:rFonts w:ascii="Times New Roman" w:hAnsi="Times New Roman" w:cs="Times New Roman"/>
          <w:color w:val="0070C0"/>
          <w:sz w:val="16"/>
          <w:szCs w:val="16"/>
        </w:rPr>
        <w:softHyphen/>
        <w:t>зднее попал в музей авиации в Берлине, в котором находился до 1945 г. Затем был вывезен в Польшу, где хранится по сей день в авиационном музее в городе Кра</w:t>
      </w:r>
      <w:r w:rsidRPr="00FB4F67">
        <w:rPr>
          <w:rFonts w:ascii="Times New Roman" w:hAnsi="Times New Roman" w:cs="Times New Roman"/>
          <w:color w:val="0070C0"/>
          <w:sz w:val="16"/>
          <w:szCs w:val="16"/>
        </w:rPr>
        <w:softHyphen/>
        <w:t>ков.</w:t>
      </w:r>
    </w:p>
    <w:p w14:paraId="36E0B9A5"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Летные и технические характеристики М-15</w:t>
      </w:r>
    </w:p>
    <w:tbl>
      <w:tblPr>
        <w:tblOverlap w:val="never"/>
        <w:tblW w:w="0" w:type="auto"/>
        <w:tblLayout w:type="fixed"/>
        <w:tblCellMar>
          <w:left w:w="10" w:type="dxa"/>
          <w:right w:w="10" w:type="dxa"/>
        </w:tblCellMar>
        <w:tblLook w:val="0000" w:firstRow="0" w:lastRow="0" w:firstColumn="0" w:lastColumn="0" w:noHBand="0" w:noVBand="0"/>
      </w:tblPr>
      <w:tblGrid>
        <w:gridCol w:w="3850"/>
        <w:gridCol w:w="1872"/>
      </w:tblGrid>
      <w:tr w:rsidR="000F3C8E" w:rsidRPr="00FB4F67" w14:paraId="19127CD7" w14:textId="77777777" w:rsidTr="00B85784">
        <w:trPr>
          <w:trHeight w:val="264"/>
        </w:trPr>
        <w:tc>
          <w:tcPr>
            <w:tcW w:w="3850" w:type="dxa"/>
            <w:tcBorders>
              <w:top w:val="single" w:sz="4" w:space="0" w:color="auto"/>
              <w:left w:val="single" w:sz="4" w:space="0" w:color="auto"/>
            </w:tcBorders>
            <w:shd w:val="clear" w:color="auto" w:fill="auto"/>
            <w:vAlign w:val="bottom"/>
          </w:tcPr>
          <w:p w14:paraId="663EC149"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Размах верхнего крыла (м)</w:t>
            </w:r>
          </w:p>
        </w:tc>
        <w:tc>
          <w:tcPr>
            <w:tcW w:w="1872" w:type="dxa"/>
            <w:tcBorders>
              <w:top w:val="single" w:sz="4" w:space="0" w:color="auto"/>
              <w:right w:val="single" w:sz="4" w:space="0" w:color="auto"/>
            </w:tcBorders>
            <w:shd w:val="clear" w:color="auto" w:fill="auto"/>
            <w:vAlign w:val="bottom"/>
          </w:tcPr>
          <w:p w14:paraId="1089FF44"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11,50 (11,9*)</w:t>
            </w:r>
          </w:p>
        </w:tc>
      </w:tr>
      <w:tr w:rsidR="000F3C8E" w:rsidRPr="00FB4F67" w14:paraId="18EC9398" w14:textId="77777777" w:rsidTr="00B85784">
        <w:trPr>
          <w:trHeight w:val="192"/>
        </w:trPr>
        <w:tc>
          <w:tcPr>
            <w:tcW w:w="3850" w:type="dxa"/>
            <w:tcBorders>
              <w:left w:val="single" w:sz="4" w:space="0" w:color="auto"/>
            </w:tcBorders>
            <w:shd w:val="clear" w:color="auto" w:fill="auto"/>
          </w:tcPr>
          <w:p w14:paraId="754C133A"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Длина в линии полета (м)</w:t>
            </w:r>
          </w:p>
        </w:tc>
        <w:tc>
          <w:tcPr>
            <w:tcW w:w="1872" w:type="dxa"/>
            <w:tcBorders>
              <w:right w:val="single" w:sz="4" w:space="0" w:color="auto"/>
            </w:tcBorders>
            <w:shd w:val="clear" w:color="auto" w:fill="auto"/>
          </w:tcPr>
          <w:p w14:paraId="028A9115"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8,385 (8,43*)</w:t>
            </w:r>
          </w:p>
        </w:tc>
      </w:tr>
      <w:tr w:rsidR="000F3C8E" w:rsidRPr="00FB4F67" w14:paraId="3CECCEEC" w14:textId="77777777" w:rsidTr="00B85784">
        <w:trPr>
          <w:trHeight w:val="197"/>
        </w:trPr>
        <w:tc>
          <w:tcPr>
            <w:tcW w:w="3850" w:type="dxa"/>
            <w:tcBorders>
              <w:left w:val="single" w:sz="4" w:space="0" w:color="auto"/>
            </w:tcBorders>
            <w:shd w:val="clear" w:color="auto" w:fill="auto"/>
            <w:vAlign w:val="bottom"/>
          </w:tcPr>
          <w:p w14:paraId="46E6F434"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Площадь крыльев (м2)</w:t>
            </w:r>
          </w:p>
        </w:tc>
        <w:tc>
          <w:tcPr>
            <w:tcW w:w="1872" w:type="dxa"/>
            <w:tcBorders>
              <w:right w:val="single" w:sz="4" w:space="0" w:color="auto"/>
            </w:tcBorders>
            <w:shd w:val="clear" w:color="auto" w:fill="auto"/>
            <w:vAlign w:val="bottom"/>
          </w:tcPr>
          <w:p w14:paraId="25335266"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45,48</w:t>
            </w:r>
          </w:p>
        </w:tc>
      </w:tr>
      <w:tr w:rsidR="000F3C8E" w:rsidRPr="00FB4F67" w14:paraId="756272F7" w14:textId="77777777" w:rsidTr="00B85784">
        <w:trPr>
          <w:trHeight w:val="192"/>
        </w:trPr>
        <w:tc>
          <w:tcPr>
            <w:tcW w:w="3850" w:type="dxa"/>
            <w:tcBorders>
              <w:left w:val="single" w:sz="4" w:space="0" w:color="auto"/>
            </w:tcBorders>
            <w:shd w:val="clear" w:color="auto" w:fill="auto"/>
          </w:tcPr>
          <w:p w14:paraId="63CB1297"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Вес пустого (кг)</w:t>
            </w:r>
          </w:p>
        </w:tc>
        <w:tc>
          <w:tcPr>
            <w:tcW w:w="1872" w:type="dxa"/>
            <w:tcBorders>
              <w:right w:val="single" w:sz="4" w:space="0" w:color="auto"/>
            </w:tcBorders>
            <w:shd w:val="clear" w:color="auto" w:fill="auto"/>
          </w:tcPr>
          <w:p w14:paraId="0095296A"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840</w:t>
            </w:r>
          </w:p>
        </w:tc>
      </w:tr>
      <w:tr w:rsidR="000F3C8E" w:rsidRPr="00FB4F67" w14:paraId="5FBA88C7" w14:textId="77777777" w:rsidTr="00B85784">
        <w:trPr>
          <w:trHeight w:val="187"/>
        </w:trPr>
        <w:tc>
          <w:tcPr>
            <w:tcW w:w="3850" w:type="dxa"/>
            <w:tcBorders>
              <w:left w:val="single" w:sz="4" w:space="0" w:color="auto"/>
            </w:tcBorders>
            <w:shd w:val="clear" w:color="auto" w:fill="auto"/>
          </w:tcPr>
          <w:p w14:paraId="5CE1550E"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Полетный вес (кг)</w:t>
            </w:r>
          </w:p>
        </w:tc>
        <w:tc>
          <w:tcPr>
            <w:tcW w:w="1872" w:type="dxa"/>
            <w:tcBorders>
              <w:right w:val="single" w:sz="4" w:space="0" w:color="auto"/>
            </w:tcBorders>
            <w:shd w:val="clear" w:color="auto" w:fill="auto"/>
          </w:tcPr>
          <w:p w14:paraId="4B88F20C"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1320</w:t>
            </w:r>
          </w:p>
        </w:tc>
      </w:tr>
      <w:tr w:rsidR="000F3C8E" w:rsidRPr="00FB4F67" w14:paraId="6CFFE085" w14:textId="77777777" w:rsidTr="00B85784">
        <w:trPr>
          <w:trHeight w:val="206"/>
        </w:trPr>
        <w:tc>
          <w:tcPr>
            <w:tcW w:w="3850" w:type="dxa"/>
            <w:tcBorders>
              <w:left w:val="single" w:sz="4" w:space="0" w:color="auto"/>
            </w:tcBorders>
            <w:shd w:val="clear" w:color="auto" w:fill="auto"/>
          </w:tcPr>
          <w:p w14:paraId="121E3301"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Скорость у земли (км/ч)</w:t>
            </w:r>
          </w:p>
        </w:tc>
        <w:tc>
          <w:tcPr>
            <w:tcW w:w="1872" w:type="dxa"/>
            <w:tcBorders>
              <w:right w:val="single" w:sz="4" w:space="0" w:color="auto"/>
            </w:tcBorders>
            <w:shd w:val="clear" w:color="auto" w:fill="auto"/>
          </w:tcPr>
          <w:p w14:paraId="2B9778BE"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125-130</w:t>
            </w:r>
          </w:p>
        </w:tc>
      </w:tr>
      <w:tr w:rsidR="000F3C8E" w:rsidRPr="00FB4F67" w14:paraId="0FAD3DF0" w14:textId="77777777" w:rsidTr="00B85784">
        <w:trPr>
          <w:trHeight w:val="197"/>
        </w:trPr>
        <w:tc>
          <w:tcPr>
            <w:tcW w:w="3850" w:type="dxa"/>
            <w:tcBorders>
              <w:left w:val="single" w:sz="4" w:space="0" w:color="auto"/>
            </w:tcBorders>
            <w:shd w:val="clear" w:color="auto" w:fill="auto"/>
          </w:tcPr>
          <w:p w14:paraId="2F5543CE"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Время набора высоты 2000 м (мин)</w:t>
            </w:r>
          </w:p>
        </w:tc>
        <w:tc>
          <w:tcPr>
            <w:tcW w:w="1872" w:type="dxa"/>
            <w:tcBorders>
              <w:right w:val="single" w:sz="4" w:space="0" w:color="auto"/>
            </w:tcBorders>
            <w:shd w:val="clear" w:color="auto" w:fill="auto"/>
          </w:tcPr>
          <w:p w14:paraId="7517087B"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20</w:t>
            </w:r>
          </w:p>
        </w:tc>
      </w:tr>
      <w:tr w:rsidR="000F3C8E" w:rsidRPr="00FB4F67" w14:paraId="63D2C64B" w14:textId="77777777" w:rsidTr="00B85784">
        <w:trPr>
          <w:trHeight w:val="192"/>
        </w:trPr>
        <w:tc>
          <w:tcPr>
            <w:tcW w:w="3850" w:type="dxa"/>
            <w:tcBorders>
              <w:left w:val="single" w:sz="4" w:space="0" w:color="auto"/>
            </w:tcBorders>
            <w:shd w:val="clear" w:color="auto" w:fill="auto"/>
          </w:tcPr>
          <w:p w14:paraId="042DDF5B"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Потолок (м)</w:t>
            </w:r>
          </w:p>
        </w:tc>
        <w:tc>
          <w:tcPr>
            <w:tcW w:w="1872" w:type="dxa"/>
            <w:tcBorders>
              <w:right w:val="single" w:sz="4" w:space="0" w:color="auto"/>
            </w:tcBorders>
            <w:shd w:val="clear" w:color="auto" w:fill="auto"/>
          </w:tcPr>
          <w:p w14:paraId="6EDE5E41"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3500</w:t>
            </w:r>
          </w:p>
        </w:tc>
      </w:tr>
      <w:tr w:rsidR="000F3C8E" w:rsidRPr="00FB4F67" w14:paraId="775CF0AE" w14:textId="77777777" w:rsidTr="00B85784">
        <w:trPr>
          <w:trHeight w:val="230"/>
        </w:trPr>
        <w:tc>
          <w:tcPr>
            <w:tcW w:w="3850" w:type="dxa"/>
            <w:tcBorders>
              <w:left w:val="single" w:sz="4" w:space="0" w:color="auto"/>
              <w:bottom w:val="single" w:sz="4" w:space="0" w:color="auto"/>
            </w:tcBorders>
            <w:shd w:val="clear" w:color="auto" w:fill="auto"/>
          </w:tcPr>
          <w:p w14:paraId="280E0DA1"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Продолжительность полета (час)</w:t>
            </w:r>
          </w:p>
        </w:tc>
        <w:tc>
          <w:tcPr>
            <w:tcW w:w="1872" w:type="dxa"/>
            <w:tcBorders>
              <w:bottom w:val="single" w:sz="4" w:space="0" w:color="auto"/>
              <w:right w:val="single" w:sz="4" w:space="0" w:color="auto"/>
            </w:tcBorders>
            <w:shd w:val="clear" w:color="auto" w:fill="auto"/>
          </w:tcPr>
          <w:p w14:paraId="3E2D9FEC"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5</w:t>
            </w:r>
          </w:p>
        </w:tc>
      </w:tr>
    </w:tbl>
    <w:p w14:paraId="438A3C25" w14:textId="77777777" w:rsidR="000F3C8E" w:rsidRPr="00FB4F67" w:rsidRDefault="000F3C8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(23374).</w:t>
      </w:r>
    </w:p>
    <w:p w14:paraId="293237E0" w14:textId="77777777" w:rsidR="000F3C8E" w:rsidRPr="00FB4F67" w:rsidRDefault="000F3C8E" w:rsidP="0083075A">
      <w:pPr>
        <w:spacing w:after="0" w:line="240" w:lineRule="auto"/>
        <w:jc w:val="both"/>
        <w:rPr>
          <w:rFonts w:ascii="Times New Roman" w:hAnsi="Times New Roman" w:cs="Times New Roman"/>
          <w:color w:val="0070C0"/>
          <w:sz w:val="16"/>
          <w:szCs w:val="16"/>
        </w:rPr>
      </w:pPr>
    </w:p>
    <w:p w14:paraId="7E79277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1917 г. по итогам первого месяца эксплуатации М-16 появился список желательных улуч</w:t>
      </w:r>
      <w:r w:rsidRPr="002F2FDF">
        <w:rPr>
          <w:rFonts w:ascii="Times New Roman" w:hAnsi="Times New Roman" w:cs="Times New Roman"/>
          <w:color w:val="000000" w:themeColor="text1"/>
          <w:kern w:val="2"/>
          <w:sz w:val="16"/>
          <w:szCs w:val="16"/>
        </w:rPr>
        <w:softHyphen/>
        <w:t>шений в конструкцию модели. Помимо увеличения амортизации задних подкосов поплавков, балтийцы просили устроить в полу гондолы остекленное окошко с нанесенной на него продольной осью аппарата, сделать ступеньки (небольшие подножки) для подъема экипажа к своим местам, установить ветровой козырек перед пилотом и прикрепить к левому борту бомбардировочный прицел (диск) старшего лейте</w:t>
      </w:r>
      <w:r w:rsidRPr="002F2FDF">
        <w:rPr>
          <w:rFonts w:ascii="Times New Roman" w:hAnsi="Times New Roman" w:cs="Times New Roman"/>
          <w:color w:val="000000" w:themeColor="text1"/>
          <w:kern w:val="2"/>
          <w:sz w:val="16"/>
          <w:szCs w:val="16"/>
        </w:rPr>
        <w:softHyphen/>
        <w:t>нанта С. А. Лишина. Компас следовало перевести в более удобную позицию и поставить уклономеры, хотя бы системы военного летчика К. В. Акашева; двум парам “раздвижных бомбоносов” для бомб разных калибров предстояло расположиться соответственно под гондолой и под крыльями по бокам поплавков. В целом отмечалась чрезмерная “задранность” гондолы кверху, как и то, что рули глубины обладали странным свойством: когда пилот брал штурвал на себя, аэроплан сначала не реагировал, а затем, по достижении рулями некоторого угла отклонения, резко прыгал вверх. Такая же картина на</w:t>
      </w:r>
      <w:r w:rsidRPr="002F2FDF">
        <w:rPr>
          <w:rFonts w:ascii="Times New Roman" w:hAnsi="Times New Roman" w:cs="Times New Roman"/>
          <w:color w:val="000000" w:themeColor="text1"/>
          <w:kern w:val="2"/>
          <w:sz w:val="16"/>
          <w:szCs w:val="16"/>
        </w:rPr>
        <w:softHyphen/>
        <w:t>блюдалась при снижении; к тому же при полном баке и без пассажира машина шла хорошо, но при неполном баке и с пассажиром “клевала” вниз, требуя держать управление “на себя”. Строго говоря, авиаторы допускали, что означенные странности могли проистекать от неправильной регулировки ап</w:t>
      </w:r>
      <w:r w:rsidRPr="002F2FDF">
        <w:rPr>
          <w:rFonts w:ascii="Times New Roman" w:hAnsi="Times New Roman" w:cs="Times New Roman"/>
          <w:color w:val="000000" w:themeColor="text1"/>
          <w:kern w:val="2"/>
          <w:sz w:val="16"/>
          <w:szCs w:val="16"/>
        </w:rPr>
        <w:softHyphen/>
        <w:t>парата, для устранения которой на авиастанциях необходимо было иметь приличные случаю регулиро</w:t>
      </w:r>
      <w:r w:rsidRPr="002F2FDF">
        <w:rPr>
          <w:rFonts w:ascii="Times New Roman" w:hAnsi="Times New Roman" w:cs="Times New Roman"/>
          <w:color w:val="000000" w:themeColor="text1"/>
          <w:kern w:val="2"/>
          <w:sz w:val="16"/>
          <w:szCs w:val="16"/>
        </w:rPr>
        <w:softHyphen/>
        <w:t>вочные чертежи. Имеются в виду аппараты “Морис Фармаи” тип МФ.11, на которых воевали еще в зимнюю кампанию 1915/16 г. Другими способами защиты являлись стальное бронирование бензобаков или их разделение на несколько обособленных отсеков внутренними перегородками. Лучший эффект давала резиновая броня в сочетании с внутренними перегородками (2807).</w:t>
      </w:r>
    </w:p>
    <w:p w14:paraId="08EB98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3DE7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1917 в Киев из Москвы после испытаний был отправлен самолет Терещенко и Григорьева (Терещенко N 7) с Гном-Моносупан в 100 нр - двухместный одностоечный биплан с крылом большой стреловидностью и изменяемым в полете углом установки, построенный в КПИ. Машину 29 августа 1916 отправляли в Москву на испытания (92,185).</w:t>
      </w:r>
    </w:p>
    <w:p w14:paraId="4EF3C2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87E5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1917 в Киев из Москвы после испытаний был отправлен самолет Терещенко и Григорьева (Терещенко N 7) с Гном-Моносупан в 100 нр - двухместный одностоечный биплан с крылом большой стреловидностью и изменяемым в полете углом установки, построенный в КПИ. Машину 29 августа 1916 отправляли в Москву на испытания (92,185).</w:t>
      </w:r>
    </w:p>
    <w:p w14:paraId="10883F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FD6F5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января 1917 г. к Авиационным мастерским АМИС прибавился испытательный отдел, открытый при Воздухоплава</w:t>
      </w:r>
      <w:r w:rsidRPr="002F2FDF">
        <w:rPr>
          <w:rFonts w:ascii="Times New Roman" w:hAnsi="Times New Roman" w:cs="Times New Roman"/>
          <w:color w:val="000000" w:themeColor="text1"/>
          <w:kern w:val="2"/>
          <w:sz w:val="16"/>
          <w:szCs w:val="16"/>
        </w:rPr>
        <w:softHyphen/>
        <w:t>тельной лаборатории Петроградского политехнического института и ведший работы по опы</w:t>
      </w:r>
      <w:r w:rsidRPr="002F2FDF">
        <w:rPr>
          <w:rFonts w:ascii="Times New Roman" w:hAnsi="Times New Roman" w:cs="Times New Roman"/>
          <w:color w:val="000000" w:themeColor="text1"/>
          <w:kern w:val="2"/>
          <w:sz w:val="16"/>
          <w:szCs w:val="16"/>
        </w:rPr>
        <w:softHyphen/>
        <w:t>там с материалами, моторами, маслами и пр. Тот же отдел должен был готовить конструк</w:t>
      </w:r>
      <w:r w:rsidRPr="002F2FDF">
        <w:rPr>
          <w:rFonts w:ascii="Times New Roman" w:hAnsi="Times New Roman" w:cs="Times New Roman"/>
          <w:color w:val="000000" w:themeColor="text1"/>
          <w:kern w:val="2"/>
          <w:sz w:val="16"/>
          <w:szCs w:val="16"/>
        </w:rPr>
        <w:softHyphen/>
        <w:t>торов для морской авиации, тогда как опробование создававшихся гидроаэропланов пред</w:t>
      </w:r>
      <w:r w:rsidRPr="002F2FDF">
        <w:rPr>
          <w:rFonts w:ascii="Times New Roman" w:hAnsi="Times New Roman" w:cs="Times New Roman"/>
          <w:color w:val="000000" w:themeColor="text1"/>
          <w:kern w:val="2"/>
          <w:sz w:val="16"/>
          <w:szCs w:val="16"/>
        </w:rPr>
        <w:softHyphen/>
        <w:t>стояло проводить на том же Крестовском острове, где находились подразделения компании Щетинина, Лебедева и Мельцера. Однако учреждение не располагало достаточно развитыми и специализированными производственными мощностями, необходимыми для постройки экс</w:t>
      </w:r>
      <w:r w:rsidRPr="002F2FDF">
        <w:rPr>
          <w:rFonts w:ascii="Times New Roman" w:hAnsi="Times New Roman" w:cs="Times New Roman"/>
          <w:color w:val="000000" w:themeColor="text1"/>
          <w:kern w:val="2"/>
          <w:sz w:val="16"/>
          <w:szCs w:val="16"/>
        </w:rPr>
        <w:softHyphen/>
        <w:t>периментальных аппаратов, и, таким образом, все разработанные АИС проекты планирова</w:t>
      </w:r>
      <w:r w:rsidRPr="002F2FDF">
        <w:rPr>
          <w:rFonts w:ascii="Times New Roman" w:hAnsi="Times New Roman" w:cs="Times New Roman"/>
          <w:color w:val="000000" w:themeColor="text1"/>
          <w:kern w:val="2"/>
          <w:sz w:val="16"/>
          <w:szCs w:val="16"/>
        </w:rPr>
        <w:softHyphen/>
        <w:t>лось воплощать в реальность на заводах частных предпринимателей, а именно у Мельцера и на ПРТВ (2843).</w:t>
      </w:r>
    </w:p>
    <w:p w14:paraId="76A4EF0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7320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январе 1917 г. Ставка внесла на Междусоюзническую конференцию просьбу о присылке Русской армии в ближайшие после 1 января 1917 г. восемнадцать месяцев 5200 самолетов (11292). </w:t>
      </w:r>
    </w:p>
    <w:p w14:paraId="4BAC44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D2AA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1917 г. было принято 23 турельных установки Колпакова из 109 заказанных. Они с успехом применялись на самолетах “Лебедь-12”, “Анаде” и “Сопвич”. Ведомство признавало, что по сравнению с другими “пулеметные установки инженера Колпакова гораздо надежнее, удобнее и лучше во всех отношениях” (9705).</w:t>
      </w:r>
    </w:p>
    <w:p w14:paraId="6EE24B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6452E8" w14:textId="77777777" w:rsidR="00987A47" w:rsidRPr="002F2FDF" w:rsidRDefault="00987A47"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 январе 1917 г. на конференции в Петрограде союзники согласились разместить заказы на 3200 самолетов, в том числе во Франции — на 2200. Как считает М.Ю. Мухин, «можно с высокой степенью вероятности предположить», что, не произойди в феврале — октябре 1917 г. «известных событий», российская авиационная промышленность «могла бы достичь» больших успехов, но в реальности ничего не остается, как «зафиксировать горький итог — в годы Первой мировой войны российская авиапромышленность удовлетворила потребности армии по самолетам на 9%, а по моторам — на 5%» (18366).</w:t>
      </w:r>
    </w:p>
    <w:p w14:paraId="75CD7DB2" w14:textId="77777777" w:rsidR="00987A47" w:rsidRPr="002F2FDF" w:rsidRDefault="00987A47" w:rsidP="0083075A">
      <w:pPr>
        <w:pStyle w:val="p1"/>
        <w:spacing w:before="0" w:beforeAutospacing="0" w:after="0" w:afterAutospacing="0"/>
        <w:jc w:val="both"/>
        <w:rPr>
          <w:color w:val="000000" w:themeColor="text1"/>
          <w:sz w:val="16"/>
          <w:szCs w:val="16"/>
        </w:rPr>
      </w:pPr>
    </w:p>
    <w:p w14:paraId="675C19C3" w14:textId="77777777" w:rsidR="00987A47" w:rsidRPr="002F2FDF" w:rsidRDefault="00987A47"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 январе 1917 г. на конференции в Петрограде союзники согласились разместить заказы на 3200 самолетов, в том числе во Франции — на 2200 (18408).</w:t>
      </w:r>
    </w:p>
    <w:p w14:paraId="535530AB" w14:textId="77777777" w:rsidR="00987A47" w:rsidRPr="002F2FDF" w:rsidRDefault="00987A47" w:rsidP="0083075A">
      <w:pPr>
        <w:pStyle w:val="p1"/>
        <w:spacing w:before="0" w:beforeAutospacing="0" w:after="0" w:afterAutospacing="0"/>
        <w:jc w:val="both"/>
        <w:rPr>
          <w:color w:val="000000" w:themeColor="text1"/>
          <w:sz w:val="16"/>
          <w:szCs w:val="16"/>
        </w:rPr>
      </w:pPr>
    </w:p>
    <w:p w14:paraId="3000FAED" w14:textId="77777777" w:rsidR="003B02DF" w:rsidRPr="002F2FDF" w:rsidRDefault="003B02DF" w:rsidP="0083075A">
      <w:pPr>
        <w:pStyle w:val="ae"/>
        <w:shd w:val="clear" w:color="auto" w:fill="FFFFFF"/>
        <w:spacing w:before="0" w:after="0"/>
        <w:jc w:val="both"/>
        <w:rPr>
          <w:color w:val="000000" w:themeColor="text1"/>
          <w:sz w:val="16"/>
          <w:szCs w:val="16"/>
        </w:rPr>
      </w:pPr>
      <w:r w:rsidRPr="002F2FDF">
        <w:rPr>
          <w:color w:val="000000" w:themeColor="text1"/>
          <w:sz w:val="16"/>
          <w:szCs w:val="16"/>
        </w:rPr>
        <w:t>На срок с января 1917 г. по июнь 1918 г. требовалось получить из-за рубежа более 7,5 млн. пуд стали, алюминия и цветных металлов, а также железв на сооружение зданий новых предприятий (РГВИА. Ф. 493. Оп. 4. Д. 173. Л. 8-8об., 5).</w:t>
      </w:r>
    </w:p>
    <w:p w14:paraId="30A72A65" w14:textId="003E54B6" w:rsidR="003B02DF" w:rsidRPr="002F2FDF" w:rsidRDefault="003B02DF" w:rsidP="0083075A">
      <w:pPr>
        <w:pStyle w:val="ae"/>
        <w:shd w:val="clear" w:color="auto" w:fill="FFFFFF"/>
        <w:spacing w:before="0" w:after="0"/>
        <w:jc w:val="both"/>
        <w:rPr>
          <w:color w:val="000000" w:themeColor="text1"/>
          <w:sz w:val="16"/>
          <w:szCs w:val="16"/>
        </w:rPr>
      </w:pPr>
      <w:r w:rsidRPr="002F2FDF">
        <w:rPr>
          <w:color w:val="000000" w:themeColor="text1"/>
          <w:sz w:val="16"/>
          <w:szCs w:val="16"/>
        </w:rPr>
        <w:t>Анализ ведомостей на заказы для авиационных заводов показывает отсутствие в России таких необходимых металлов, как алюминий, специальные стали, вольфрам, никель и других. Особое совещание по обороне и другие структуры военного ведомства принимали меры к созданию этих производств в России и сооружению специальных заводов. Имело место и проявление частной инициативы. Программа казенного строительства предусматривала сооружение алюминиевого завода ГАУ.</w:t>
      </w:r>
      <w:r w:rsidR="00E52569">
        <w:rPr>
          <w:color w:val="000000" w:themeColor="text1"/>
          <w:sz w:val="16"/>
          <w:szCs w:val="16"/>
        </w:rPr>
        <w:t xml:space="preserve"> </w:t>
      </w:r>
      <w:r w:rsidRPr="002F2FDF">
        <w:rPr>
          <w:color w:val="000000" w:themeColor="text1"/>
          <w:sz w:val="16"/>
          <w:szCs w:val="16"/>
        </w:rPr>
        <w:t xml:space="preserve"> Изготовление специальной стальной проволоки началось на московском заводе «Электросталь», построенном в годы войны Второвым. Производство стальных тросов налаживалось на Черноморском механическом и проволочном заводе в Одессе; намечалось строительство завода стальных цельнотянутых труб в Юрюзане (РГВИА. Ф. 369. Оп. 8. Д. 19. Л. 63, 100; Там же. Д. 60. Л. 22об.) (21552).</w:t>
      </w:r>
    </w:p>
    <w:p w14:paraId="1812256F" w14:textId="77777777" w:rsidR="003B02DF" w:rsidRPr="002F2FDF" w:rsidRDefault="003B02DF" w:rsidP="0083075A">
      <w:pPr>
        <w:pStyle w:val="ae"/>
        <w:shd w:val="clear" w:color="auto" w:fill="FFFFFF"/>
        <w:spacing w:before="0" w:after="0"/>
        <w:jc w:val="both"/>
        <w:rPr>
          <w:color w:val="000000" w:themeColor="text1"/>
          <w:sz w:val="16"/>
          <w:szCs w:val="16"/>
        </w:rPr>
      </w:pPr>
    </w:p>
    <w:p w14:paraId="0639005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3CFCD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447026" w14:textId="77777777" w:rsidR="006B6876" w:rsidRPr="00FB4F67" w:rsidRDefault="006B68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ян</w:t>
      </w:r>
      <w:r w:rsidRPr="00FB4F67">
        <w:rPr>
          <w:rFonts w:ascii="Times New Roman" w:hAnsi="Times New Roman" w:cs="Times New Roman"/>
          <w:color w:val="0070C0"/>
          <w:sz w:val="16"/>
          <w:szCs w:val="16"/>
        </w:rPr>
        <w:softHyphen/>
        <w:t>варе 1917 г. на конференции с союзниками они «катего</w:t>
      </w:r>
      <w:r w:rsidRPr="00FB4F67">
        <w:rPr>
          <w:rFonts w:ascii="Times New Roman" w:hAnsi="Times New Roman" w:cs="Times New Roman"/>
          <w:color w:val="0070C0"/>
          <w:sz w:val="16"/>
          <w:szCs w:val="16"/>
        </w:rPr>
        <w:softHyphen/>
        <w:t>рически отказались дать нам легкие орудия», докладывал Маниковский правительству 23 июня 1917 г. (РГВИА. Ф. 366. On. 1. Д. 410. Л. 10 (23452).</w:t>
      </w:r>
    </w:p>
    <w:p w14:paraId="388F1715" w14:textId="77777777" w:rsidR="006B6876" w:rsidRPr="00FB4F67" w:rsidRDefault="006B6876" w:rsidP="0083075A">
      <w:pPr>
        <w:spacing w:after="0" w:line="240" w:lineRule="auto"/>
        <w:jc w:val="both"/>
        <w:rPr>
          <w:rFonts w:ascii="Times New Roman" w:hAnsi="Times New Roman" w:cs="Times New Roman"/>
          <w:color w:val="0070C0"/>
          <w:sz w:val="16"/>
          <w:szCs w:val="16"/>
        </w:rPr>
      </w:pPr>
    </w:p>
    <w:p w14:paraId="64754819" w14:textId="77777777" w:rsidR="006B6876" w:rsidRPr="00FB4F67" w:rsidRDefault="006B68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январе 1917 г. ГАУ просило на продолжение строитель</w:t>
      </w:r>
      <w:r w:rsidRPr="00FB4F67">
        <w:rPr>
          <w:rFonts w:ascii="Times New Roman" w:hAnsi="Times New Roman" w:cs="Times New Roman"/>
          <w:color w:val="0070C0"/>
          <w:sz w:val="16"/>
          <w:szCs w:val="16"/>
        </w:rPr>
        <w:softHyphen/>
        <w:t>ства оружейного завода в Екатеринославе еще 9 млн руб. (около 6 млн уже было израсходовано), но Военный совет согласился дать лишь 3 млн, а в мае 1917 г. пришлось «в корне пересмотреть вопрос о постройке Екатеринославского завода». Комиссия бывшего государственно</w:t>
      </w:r>
      <w:r w:rsidRPr="00FB4F67">
        <w:rPr>
          <w:rFonts w:ascii="Times New Roman" w:hAnsi="Times New Roman" w:cs="Times New Roman"/>
          <w:color w:val="0070C0"/>
          <w:sz w:val="16"/>
          <w:szCs w:val="16"/>
        </w:rPr>
        <w:softHyphen/>
        <w:t>го контролера Н.Н. Покровского, учрежденная Временным правительством для пересмотра проектов казенного завод</w:t>
      </w:r>
      <w:r w:rsidRPr="00FB4F67">
        <w:rPr>
          <w:rFonts w:ascii="Times New Roman" w:hAnsi="Times New Roman" w:cs="Times New Roman"/>
          <w:color w:val="0070C0"/>
          <w:sz w:val="16"/>
          <w:szCs w:val="16"/>
        </w:rPr>
        <w:softHyphen/>
        <w:t>ского строительства, «признала необходимым отложить про</w:t>
      </w:r>
      <w:r w:rsidRPr="00FB4F67">
        <w:rPr>
          <w:rFonts w:ascii="Times New Roman" w:hAnsi="Times New Roman" w:cs="Times New Roman"/>
          <w:color w:val="0070C0"/>
          <w:sz w:val="16"/>
          <w:szCs w:val="16"/>
        </w:rPr>
        <w:softHyphen/>
        <w:t>изводство строительных работ... на один год», а для хранения скопившегося оборудования поставить «легкого типа сараи».</w:t>
      </w:r>
    </w:p>
    <w:p w14:paraId="025BE2F1" w14:textId="77777777" w:rsidR="006B6876" w:rsidRPr="00FB4F67" w:rsidRDefault="006B68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Учитывалось, что «в связи с обстоятельствами настоящего времени» надо «всемерно избегать крупных расходов казны» (ГАУ ходатайствовало, вместе с «текущими расходами» на строительство, об ассигновании 17 млн руб.).</w:t>
      </w:r>
    </w:p>
    <w:p w14:paraId="1A1DF4B2" w14:textId="77777777" w:rsidR="006B6876" w:rsidRPr="00FB4F67" w:rsidRDefault="006B68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тому же в момент, «когда оно (оборудование — 6 ты</w:t>
      </w:r>
      <w:r w:rsidRPr="00FB4F67">
        <w:rPr>
          <w:rFonts w:ascii="Times New Roman" w:hAnsi="Times New Roman" w:cs="Times New Roman"/>
          <w:color w:val="0070C0"/>
          <w:sz w:val="16"/>
          <w:szCs w:val="16"/>
        </w:rPr>
        <w:softHyphen/>
        <w:t>сяч станков) в действительности может потребо</w:t>
      </w:r>
      <w:r w:rsidRPr="00FB4F67">
        <w:rPr>
          <w:rFonts w:ascii="Times New Roman" w:hAnsi="Times New Roman" w:cs="Times New Roman"/>
          <w:color w:val="0070C0"/>
          <w:sz w:val="16"/>
          <w:szCs w:val="16"/>
        </w:rPr>
        <w:softHyphen/>
        <w:t>ваться», покупка «может не оказаться столь выгодной, на</w:t>
      </w:r>
      <w:r w:rsidRPr="00FB4F67">
        <w:rPr>
          <w:rFonts w:ascii="Times New Roman" w:hAnsi="Times New Roman" w:cs="Times New Roman"/>
          <w:color w:val="0070C0"/>
          <w:sz w:val="16"/>
          <w:szCs w:val="16"/>
        </w:rPr>
        <w:softHyphen/>
        <w:t>сколько она представляется выгодной в настоящее время». Более того, «постройка Екатеринославского оружейного завода может быть и вовсе отменена или будет произво</w:t>
      </w:r>
      <w:r w:rsidRPr="00FB4F67">
        <w:rPr>
          <w:rFonts w:ascii="Times New Roman" w:hAnsi="Times New Roman" w:cs="Times New Roman"/>
          <w:color w:val="0070C0"/>
          <w:sz w:val="16"/>
          <w:szCs w:val="16"/>
        </w:rPr>
        <w:softHyphen/>
        <w:t>диться постольку, поскольку это потребуется для переноса в Екатеринослав существующего оборудования Сестрорец</w:t>
      </w:r>
      <w:r w:rsidRPr="00FB4F67">
        <w:rPr>
          <w:rFonts w:ascii="Times New Roman" w:hAnsi="Times New Roman" w:cs="Times New Roman"/>
          <w:color w:val="0070C0"/>
          <w:sz w:val="16"/>
          <w:szCs w:val="16"/>
        </w:rPr>
        <w:softHyphen/>
        <w:t>кого завода», объясняли в Канцелярии Военного министер</w:t>
      </w:r>
      <w:r w:rsidRPr="00FB4F67">
        <w:rPr>
          <w:rFonts w:ascii="Times New Roman" w:hAnsi="Times New Roman" w:cs="Times New Roman"/>
          <w:color w:val="0070C0"/>
          <w:sz w:val="16"/>
          <w:szCs w:val="16"/>
        </w:rPr>
        <w:softHyphen/>
        <w:t>ства (РГВИА. Ф. 240. On. 1. Д. 158. Л. 3—4, 1. Записка Залюбовского о Екатеринославском оружейном заводе, 23.IV. 1918. Там же. Ф. 29. Оп. 3. Д. 1026. Л. 17—18. Доклад начальника КВМ В.Л. Туган-Барановского военному министру, 27.V.1917.</w:t>
      </w:r>
    </w:p>
    <w:p w14:paraId="0A410C8A" w14:textId="77777777" w:rsidR="006B6876" w:rsidRPr="00FB4F67" w:rsidRDefault="006B68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В конечном счете из комплекта «Ремингтона» ни один станок в Екатеринослав не попал; «оборудование это впоследствии распродавалось в Америке по частям, конеч</w:t>
      </w:r>
      <w:r w:rsidRPr="00FB4F67">
        <w:rPr>
          <w:rFonts w:ascii="Times New Roman" w:hAnsi="Times New Roman" w:cs="Times New Roman"/>
          <w:color w:val="0070C0"/>
          <w:sz w:val="16"/>
          <w:szCs w:val="16"/>
        </w:rPr>
        <w:softHyphen/>
        <w:t>но за бесценок». Доставлены были «лишь отправленные раньше, купленные мною, — писал Залюбовский, — особо из запасов «Ремингтона» около 150 станков для оборудова</w:t>
      </w:r>
      <w:r w:rsidRPr="00FB4F67">
        <w:rPr>
          <w:rFonts w:ascii="Times New Roman" w:hAnsi="Times New Roman" w:cs="Times New Roman"/>
          <w:color w:val="0070C0"/>
          <w:sz w:val="16"/>
          <w:szCs w:val="16"/>
        </w:rPr>
        <w:softHyphen/>
        <w:t>ния ремонтно-механической и инструментальной времен</w:t>
      </w:r>
      <w:r w:rsidRPr="00FB4F67">
        <w:rPr>
          <w:rFonts w:ascii="Times New Roman" w:hAnsi="Times New Roman" w:cs="Times New Roman"/>
          <w:color w:val="0070C0"/>
          <w:sz w:val="16"/>
          <w:szCs w:val="16"/>
        </w:rPr>
        <w:softHyphen/>
        <w:t>ной мастерской», они нужны были в первую очередь, еще до установки комплекта. Всего полагалось передать 255 стан</w:t>
      </w:r>
      <w:r w:rsidRPr="00FB4F67">
        <w:rPr>
          <w:rFonts w:ascii="Times New Roman" w:hAnsi="Times New Roman" w:cs="Times New Roman"/>
          <w:color w:val="0070C0"/>
          <w:sz w:val="16"/>
          <w:szCs w:val="16"/>
        </w:rPr>
        <w:softHyphen/>
        <w:t>ков на 222 тысячи долларов взамен 9871 из заказанных вин</w:t>
      </w:r>
      <w:r w:rsidRPr="00FB4F67">
        <w:rPr>
          <w:rFonts w:ascii="Times New Roman" w:hAnsi="Times New Roman" w:cs="Times New Roman"/>
          <w:color w:val="0070C0"/>
          <w:sz w:val="16"/>
          <w:szCs w:val="16"/>
        </w:rPr>
        <w:softHyphen/>
        <w:t>товок (Залюбовский А.П. Указ. соч. С. 67—68.).</w:t>
      </w:r>
    </w:p>
    <w:p w14:paraId="7C8AB344" w14:textId="77777777" w:rsidR="006B6876" w:rsidRPr="00FB4F67" w:rsidRDefault="006B68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«За недостатком средств» (Залюбовский) правительство приостановило работы, хотя они возобновились, «и при</w:t>
      </w:r>
      <w:r w:rsidRPr="00FB4F67">
        <w:rPr>
          <w:rFonts w:ascii="Times New Roman" w:hAnsi="Times New Roman" w:cs="Times New Roman"/>
          <w:color w:val="0070C0"/>
          <w:sz w:val="16"/>
          <w:szCs w:val="16"/>
        </w:rPr>
        <w:softHyphen/>
        <w:t>том в спешном порядке», в конце 1917 г. Но затем участь Екатеринославского оружейного завода была окончательно решена: ГАУ позволило комиссии, сооружавшей Воронеж</w:t>
      </w:r>
      <w:r w:rsidRPr="00FB4F67">
        <w:rPr>
          <w:rFonts w:ascii="Times New Roman" w:hAnsi="Times New Roman" w:cs="Times New Roman"/>
          <w:color w:val="0070C0"/>
          <w:sz w:val="16"/>
          <w:szCs w:val="16"/>
        </w:rPr>
        <w:softHyphen/>
        <w:t>ский завод взрывателей, взять с екатеринославской строй</w:t>
      </w:r>
      <w:r w:rsidRPr="00FB4F67">
        <w:rPr>
          <w:rFonts w:ascii="Times New Roman" w:hAnsi="Times New Roman" w:cs="Times New Roman"/>
          <w:color w:val="0070C0"/>
          <w:sz w:val="16"/>
          <w:szCs w:val="16"/>
        </w:rPr>
        <w:softHyphen/>
        <w:t>ки кабель, «а также, если окажется возможным... разные хозяйственные предметы, кои окажутся пригодными для завода взрывателей» (РГВИА. Ф. 505. On. 1. Д. 87. Л. 378. Журнал Воронежской строи</w:t>
      </w:r>
      <w:r w:rsidRPr="00FB4F67">
        <w:rPr>
          <w:rFonts w:ascii="Times New Roman" w:hAnsi="Times New Roman" w:cs="Times New Roman"/>
          <w:color w:val="0070C0"/>
          <w:sz w:val="16"/>
          <w:szCs w:val="16"/>
        </w:rPr>
        <w:softHyphen/>
        <w:t>тельно-хозяйственной комиссии № 304, 5.XII. 1917). С переходом же 4 апреля 1918 г. вла</w:t>
      </w:r>
      <w:r w:rsidRPr="00FB4F67">
        <w:rPr>
          <w:rFonts w:ascii="Times New Roman" w:hAnsi="Times New Roman" w:cs="Times New Roman"/>
          <w:color w:val="0070C0"/>
          <w:sz w:val="16"/>
          <w:szCs w:val="16"/>
        </w:rPr>
        <w:softHyphen/>
        <w:t>сти в Екатеринославе к украинской Центральной раде Залюбовский, возглавлявший строительную комиссию, при</w:t>
      </w:r>
      <w:r w:rsidRPr="00FB4F67">
        <w:rPr>
          <w:rFonts w:ascii="Times New Roman" w:hAnsi="Times New Roman" w:cs="Times New Roman"/>
          <w:color w:val="0070C0"/>
          <w:sz w:val="16"/>
          <w:szCs w:val="16"/>
        </w:rPr>
        <w:softHyphen/>
        <w:t>знал дело окончательно загубленным и предложил ликви</w:t>
      </w:r>
      <w:r w:rsidRPr="00FB4F67">
        <w:rPr>
          <w:rFonts w:ascii="Times New Roman" w:hAnsi="Times New Roman" w:cs="Times New Roman"/>
          <w:color w:val="0070C0"/>
          <w:sz w:val="16"/>
          <w:szCs w:val="16"/>
        </w:rPr>
        <w:softHyphen/>
        <w:t>дацию (23452).</w:t>
      </w:r>
    </w:p>
    <w:p w14:paraId="700C2D30" w14:textId="77777777" w:rsidR="006B6876" w:rsidRPr="00FB4F67" w:rsidRDefault="006B6876" w:rsidP="0083075A">
      <w:pPr>
        <w:spacing w:after="0" w:line="240" w:lineRule="auto"/>
        <w:jc w:val="both"/>
        <w:rPr>
          <w:rFonts w:ascii="Times New Roman" w:hAnsi="Times New Roman" w:cs="Times New Roman"/>
          <w:color w:val="0070C0"/>
          <w:sz w:val="16"/>
          <w:szCs w:val="16"/>
        </w:rPr>
      </w:pPr>
    </w:p>
    <w:p w14:paraId="1E2E8373" w14:textId="77777777" w:rsidR="006B6876" w:rsidRPr="00FB4F67" w:rsidRDefault="006B68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январе 1917 г. Залюбовский доносил: «Вследствие допущения приема собранных винто</w:t>
      </w:r>
      <w:r w:rsidRPr="00FB4F67">
        <w:rPr>
          <w:rFonts w:ascii="Times New Roman" w:hAnsi="Times New Roman" w:cs="Times New Roman"/>
          <w:color w:val="0070C0"/>
          <w:sz w:val="16"/>
          <w:szCs w:val="16"/>
        </w:rPr>
        <w:softHyphen/>
        <w:t>вок, а не отдельных частей очень трудно теперь заставить сдавать на поверку и испытание отдельные части, без чего нельзя обеспечить непопадание на сборку непринятых или даже забракованных частей» (23452).</w:t>
      </w:r>
    </w:p>
    <w:p w14:paraId="797593BD" w14:textId="77777777" w:rsidR="006B6876" w:rsidRPr="00FB4F67" w:rsidRDefault="006B6876" w:rsidP="0083075A">
      <w:pPr>
        <w:spacing w:after="0" w:line="240" w:lineRule="auto"/>
        <w:jc w:val="both"/>
        <w:rPr>
          <w:rFonts w:ascii="Times New Roman" w:hAnsi="Times New Roman" w:cs="Times New Roman"/>
          <w:color w:val="0070C0"/>
          <w:sz w:val="16"/>
          <w:szCs w:val="16"/>
        </w:rPr>
      </w:pPr>
    </w:p>
    <w:p w14:paraId="2EB1A602" w14:textId="77777777" w:rsidR="006B6876" w:rsidRPr="00FB4F67" w:rsidRDefault="006B68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 января 1917 г. после январской конференции союзников Маниковский поспешил заказать во Франции 4,7 млн 3-дм гра</w:t>
      </w:r>
      <w:r w:rsidRPr="00FB4F67">
        <w:rPr>
          <w:rFonts w:ascii="Times New Roman" w:hAnsi="Times New Roman" w:cs="Times New Roman"/>
          <w:color w:val="0070C0"/>
          <w:sz w:val="16"/>
          <w:szCs w:val="16"/>
        </w:rPr>
        <w:softHyphen/>
        <w:t>нат (РГВИА. Ф. 29. Оп. 3. Д. 831. Л. 12-14; Сидоров АЛ. Финансовое положение России. С. 497).</w:t>
      </w:r>
    </w:p>
    <w:p w14:paraId="703A6760" w14:textId="77777777" w:rsidR="006B6876" w:rsidRPr="00FB4F67" w:rsidRDefault="006B68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От Франции удавалось получить и тяжелые снаряды — в виде боекомплектов к 120-мм пушкам образ</w:t>
      </w:r>
      <w:r w:rsidRPr="00FB4F67">
        <w:rPr>
          <w:rFonts w:ascii="Times New Roman" w:hAnsi="Times New Roman" w:cs="Times New Roman"/>
          <w:color w:val="0070C0"/>
          <w:sz w:val="16"/>
          <w:szCs w:val="16"/>
        </w:rPr>
        <w:softHyphen/>
        <w:t>ца 1877 г. Рассматривая вопрос об этой поставке, ГАУ ис</w:t>
      </w:r>
      <w:r w:rsidRPr="00FB4F67">
        <w:rPr>
          <w:rFonts w:ascii="Times New Roman" w:hAnsi="Times New Roman" w:cs="Times New Roman"/>
          <w:color w:val="0070C0"/>
          <w:sz w:val="16"/>
          <w:szCs w:val="16"/>
        </w:rPr>
        <w:softHyphen/>
        <w:t>ходило из того, что имевшиеся собственные орудия ана</w:t>
      </w:r>
      <w:r w:rsidRPr="00FB4F67">
        <w:rPr>
          <w:rFonts w:ascii="Times New Roman" w:hAnsi="Times New Roman" w:cs="Times New Roman"/>
          <w:color w:val="0070C0"/>
          <w:sz w:val="16"/>
          <w:szCs w:val="16"/>
        </w:rPr>
        <w:softHyphen/>
        <w:t>логичного калибра, 48-линейные (122-мм), невозможно полностью использовать из-за нехватки боеприпасов к ним, а французы обещали дать к каждой уступаемой русским 120-мм пушке запас снарядов. Первоначально этот запас выглядел как 500 выстрелов на каждое орудие из 40, «то есть всего 20 тысяч выстрелов и, кроме того, ежедневное снабжение по 5 выстрелов на орудие». Всего в 1916 г. из Франции были доставлены 130 120-мм пушек образца 1877 г. При дополнительной поставке 60 таких пушек в 1917 г. бое</w:t>
      </w:r>
      <w:r w:rsidRPr="00FB4F67">
        <w:rPr>
          <w:rFonts w:ascii="Times New Roman" w:hAnsi="Times New Roman" w:cs="Times New Roman"/>
          <w:color w:val="0070C0"/>
          <w:sz w:val="16"/>
          <w:szCs w:val="16"/>
        </w:rPr>
        <w:softHyphen/>
        <w:t>комплект полагался тот же, то есть 30 тысяч единовремен</w:t>
      </w:r>
      <w:r w:rsidRPr="00FB4F67">
        <w:rPr>
          <w:rFonts w:ascii="Times New Roman" w:hAnsi="Times New Roman" w:cs="Times New Roman"/>
          <w:color w:val="0070C0"/>
          <w:sz w:val="16"/>
          <w:szCs w:val="16"/>
        </w:rPr>
        <w:softHyphen/>
        <w:t>но и затем по 300 выстрелов в день, но фактически в Рос</w:t>
      </w:r>
      <w:r w:rsidRPr="00FB4F67">
        <w:rPr>
          <w:rFonts w:ascii="Times New Roman" w:hAnsi="Times New Roman" w:cs="Times New Roman"/>
          <w:color w:val="0070C0"/>
          <w:sz w:val="16"/>
          <w:szCs w:val="16"/>
        </w:rPr>
        <w:softHyphen/>
        <w:t>сии получили из 60 только 10 орудий. Французские орудия с боекомплектами прибывали с июля 1916 г. и пригоди</w:t>
      </w:r>
      <w:r w:rsidRPr="00FB4F67">
        <w:rPr>
          <w:rFonts w:ascii="Times New Roman" w:hAnsi="Times New Roman" w:cs="Times New Roman"/>
          <w:color w:val="0070C0"/>
          <w:sz w:val="16"/>
          <w:szCs w:val="16"/>
        </w:rPr>
        <w:softHyphen/>
        <w:t>лись при формировании новых батарей тяжелой артилле</w:t>
      </w:r>
      <w:r w:rsidRPr="00FB4F67">
        <w:rPr>
          <w:rFonts w:ascii="Times New Roman" w:hAnsi="Times New Roman" w:cs="Times New Roman"/>
          <w:color w:val="0070C0"/>
          <w:sz w:val="16"/>
          <w:szCs w:val="16"/>
        </w:rPr>
        <w:softHyphen/>
        <w:t>рии. По тем же соображениям ГАУ брало у французов ста</w:t>
      </w:r>
      <w:r w:rsidRPr="00FB4F67">
        <w:rPr>
          <w:rFonts w:ascii="Times New Roman" w:hAnsi="Times New Roman" w:cs="Times New Roman"/>
          <w:color w:val="0070C0"/>
          <w:sz w:val="16"/>
          <w:szCs w:val="16"/>
        </w:rPr>
        <w:softHyphen/>
        <w:t>рые 90-мм пушки (Маниковский А.А. Указ. соч. Ч. 2. С. 170, 73; РГВИА. Ф. 29. Оп. 3. Д. 796. Л. 44 и об. Доклад ГАУ, 16.IV. 1917, утв. Исполнительной комис</w:t>
      </w:r>
      <w:r w:rsidRPr="00FB4F67">
        <w:rPr>
          <w:rFonts w:ascii="Times New Roman" w:hAnsi="Times New Roman" w:cs="Times New Roman"/>
          <w:color w:val="0070C0"/>
          <w:sz w:val="16"/>
          <w:szCs w:val="16"/>
        </w:rPr>
        <w:softHyphen/>
        <w:t>сией 28.IV. 1917; Ф. 2000. On. 1. Д. 829. Л. 44. Игнатьев (Париж) в ГАУ и Ставку, 26.VIII. 1916; Там же. Оп. 2. Д. 1708) (23452).</w:t>
      </w:r>
    </w:p>
    <w:p w14:paraId="0B9CC71D" w14:textId="77777777" w:rsidR="006B6876" w:rsidRPr="00FB4F67" w:rsidRDefault="006B6876" w:rsidP="0083075A">
      <w:pPr>
        <w:spacing w:after="0" w:line="240" w:lineRule="auto"/>
        <w:jc w:val="both"/>
        <w:rPr>
          <w:rFonts w:ascii="Times New Roman" w:hAnsi="Times New Roman" w:cs="Times New Roman"/>
          <w:color w:val="0070C0"/>
          <w:sz w:val="16"/>
          <w:szCs w:val="16"/>
        </w:rPr>
      </w:pPr>
    </w:p>
    <w:p w14:paraId="188F531E" w14:textId="77777777" w:rsidR="006B6876" w:rsidRPr="00FB4F67" w:rsidRDefault="006B68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январе 1917 г. ГВТУ намечало дать заказ на шестерни, коробки передач и дифференциалы листопрокатному заводу «Влохи», эвакуированному в столицу империи из Варшавы. Ведомство считало его «единственным заводом, подготов</w:t>
      </w:r>
      <w:r w:rsidRPr="00FB4F67">
        <w:rPr>
          <w:rFonts w:ascii="Times New Roman" w:hAnsi="Times New Roman" w:cs="Times New Roman"/>
          <w:color w:val="0070C0"/>
          <w:sz w:val="16"/>
          <w:szCs w:val="16"/>
        </w:rPr>
        <w:softHyphen/>
        <w:t>ленным к исполнению заказа на зубчатые колеса». При этом выяснилось, что заводу надо будет дать аванс на закупку око</w:t>
      </w:r>
      <w:r w:rsidRPr="00FB4F67">
        <w:rPr>
          <w:rFonts w:ascii="Times New Roman" w:hAnsi="Times New Roman" w:cs="Times New Roman"/>
          <w:color w:val="0070C0"/>
          <w:sz w:val="16"/>
          <w:szCs w:val="16"/>
        </w:rPr>
        <w:softHyphen/>
        <w:t>ло 4 тысяч пудов хромоникелевой стали, а также на устрой</w:t>
      </w:r>
      <w:r w:rsidRPr="00FB4F67">
        <w:rPr>
          <w:rFonts w:ascii="Times New Roman" w:hAnsi="Times New Roman" w:cs="Times New Roman"/>
          <w:color w:val="0070C0"/>
          <w:sz w:val="16"/>
          <w:szCs w:val="16"/>
        </w:rPr>
        <w:softHyphen/>
        <w:t>ство специальных печей для термической обработки этой стали и на усиление фрезерного отдела станками, причем их предполагалось «достать на местном рынке»1. Таким обра</w:t>
      </w:r>
      <w:r w:rsidRPr="00FB4F67">
        <w:rPr>
          <w:rFonts w:ascii="Times New Roman" w:hAnsi="Times New Roman" w:cs="Times New Roman"/>
          <w:color w:val="0070C0"/>
          <w:sz w:val="16"/>
          <w:szCs w:val="16"/>
        </w:rPr>
        <w:softHyphen/>
        <w:t>зом, речь шла лишь о замысле на будущее (23452).</w:t>
      </w:r>
    </w:p>
    <w:p w14:paraId="4D74667C" w14:textId="77777777" w:rsidR="006B6876" w:rsidRPr="00FB4F67" w:rsidRDefault="006B6876" w:rsidP="0083075A">
      <w:pPr>
        <w:spacing w:after="0" w:line="240" w:lineRule="auto"/>
        <w:jc w:val="both"/>
        <w:rPr>
          <w:rFonts w:ascii="Times New Roman" w:hAnsi="Times New Roman" w:cs="Times New Roman"/>
          <w:color w:val="0070C0"/>
          <w:sz w:val="16"/>
          <w:szCs w:val="16"/>
        </w:rPr>
      </w:pPr>
    </w:p>
    <w:p w14:paraId="66068A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1917 г. в Туле возникла забастовка, поводом к которой оказалось плохое качество французских булок в заводском кооперативе. Само собой разумеется, что дело здесь было не в булках и причины недовольства были более глубокого свойства. Эта забастовка особенно показательна для Тулы, где рабочие издавна отличались некоторым консерватизмом. Забастовка была ликвидирована, причем были сняты с учета и направлены на фронт два наиболее молодых призывных года. С начала войны и до 1916 г. завод не испытывал особых затруднений, тормозящих работу. Необходимые денежные средства отпускались в достаточном размере. В материалах острой нужды также не испытывалось, хотя нередко приходилось пользоваться материалами некондиционными. Не было особых затруднений также и в найме рабочих, в особенности после того, как в 1915 г. было разрешено брать рабочих на учет завода, с освобождением их от фронтовой службы, а также вызывать с фронта. Сказанное не относится, впрочем, к рабочим наиболее высоких квалификаций, как-то: инструментальщикам и лекальщикам; в них завод во время войны испытывал ощутительную нужду. Но уже в 1916 г. в заводе стал чувствоваться с достаточной остротой общий промышленно-экономический кризис, охвативший всю страну в связи с войной, и осложненный кризисом транспортным. Начали возникать задержки из-за топлива, различных производственных материалов, в том числе и таких, как сталь и пр. Попутно с форсированным разворачиванием производства заводу с начала войны пришлось вести крупное дело совершенно иного порядка, которое, по существу своему, конечно, должно было весьма ослабить производственную работу. Речь идет о постройке нового, так называемого "2-го Тульского оружейного завода" (11329).</w:t>
      </w:r>
    </w:p>
    <w:p w14:paraId="23F5AA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88D5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1917 года на ИНЗ запущено производство ручного пулемета системы Мадсена, образца принятого на вооружение в датской армии. В конце 1917 года были выпущены первые образцы оружия, которые комиссией не были приняты.</w:t>
      </w:r>
    </w:p>
    <w:p w14:paraId="76815A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этому же времени завод получил заказ на изготовление стрелкового оружия – автомата русского изобретателя В.Г. Федорова. В 1918 году для установки и развертывания производства по изготовлению автоматического оружия на завод прибыл изобретатель – инженер В.Г. Федоров и вместе с ним прибыл Дегтярев В.А. 8 июля 1918 года завод был национализирован ВСНХ. В 1926 году был принят на вооружение 7,62 мм ручной пулемет системы В.А. Дегтярева. В период 1927-1933 гг. завод изготовляет в больших количествах разновидности ручного пулемета системы Дегтярева ДП, приспособленного для использования в авиации – ДА и ДА-2, в танковых частях – ДТ. В 1934-35 гг. осваивается производство малокалиберной винтовки ТВ-8. В 1936 году заводом осваивается производство крупнокалиберной 12,5 мм, а потом 20 мм авиационной пушки ШВАК.</w:t>
      </w:r>
    </w:p>
    <w:p w14:paraId="5B842F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это же время осваивается в производстве 12,5 мм пулемет ДШК со станком, морской тумбовой установкой и турелью под него. В 1939 году на производство ставится ручной автомат ППД с последующим переходом на ППШ и осваивается производство крупнокалиберных авиационных пулеметов системы Березина БС, БК и БТ. К началу 1941 года на производстве завода в основном шли пехотный и танковый пулеметы системы Дегтярева, автомат ППШ, крупнокалиберный пулемет системы Березина и авиационная пушка ШВАК. В 1941 году в период боев под Москвой заводом выпускается 20 мм пушка ШВАК, приспособленная для танков и осваивается производство 14,5 мм противотанкового ружья ПТРД.</w:t>
      </w:r>
    </w:p>
    <w:p w14:paraId="791D40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время ВОВ, кроме имевшихся на производстве изделий заводом осваивается производство 23 мм авиационной пушки ВЯ и станкового пулемета системы Горюнова С.Г. на станке СД. В 1944 году на замену 20 мм пушки ШВАК осваивается производство 23 мм авиапушек НС.</w:t>
      </w:r>
    </w:p>
    <w:p w14:paraId="7243DD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послевоенный период заводом осваивается производство авиационной пушки НР-23, впоследствии замененной НР-30, зенитного, танкового и стрелкового 14,5 мм пулемета КПВ, КПВТ и КПВС. В период 1952-1963 гг. завод производил автопилоты АП-75-01 и АП-755. С 1946 года заводом поставлено производство мотоциклов (10255).</w:t>
      </w:r>
    </w:p>
    <w:p w14:paraId="309C74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1E7762" w14:textId="77777777" w:rsidR="00447212" w:rsidRPr="002F2FDF" w:rsidRDefault="00447212" w:rsidP="0083075A">
      <w:pPr>
        <w:pStyle w:val="ae"/>
        <w:spacing w:before="0" w:after="0"/>
        <w:jc w:val="both"/>
        <w:rPr>
          <w:color w:val="000000" w:themeColor="text1"/>
          <w:kern w:val="2"/>
          <w:sz w:val="16"/>
          <w:szCs w:val="16"/>
        </w:rPr>
      </w:pPr>
      <w:r w:rsidRPr="002F2FDF">
        <w:rPr>
          <w:color w:val="000000" w:themeColor="text1"/>
          <w:kern w:val="2"/>
          <w:sz w:val="16"/>
          <w:szCs w:val="16"/>
        </w:rPr>
        <w:t>В январе 1917 года было выпущено распоряжение Ковровской городской думы, в котором на основании договора от 15 июля 1916 года, между Первым русским акционерным обществом-ружейных и пулеметных заводов и городской думой - Ковровская городская дума предоставляет обществу под застройку на 99 лет, считая с 15-августа 1916 года по 15 августа 2015 года, участок городокой пустопорожней земли, мерою в 58,25 дасятин, находящийся между полотном Московско-Нижегородской ж.д. и Знаменской женской общинойпо направлению от (Павловского моста вдоль Вязниковского земского тракта.</w:t>
      </w:r>
    </w:p>
    <w:p w14:paraId="14D6F36C" w14:textId="77777777" w:rsidR="00447212" w:rsidRPr="002F2FDF" w:rsidRDefault="00447212" w:rsidP="0083075A">
      <w:pPr>
        <w:pStyle w:val="ae"/>
        <w:spacing w:before="0" w:after="0"/>
        <w:jc w:val="both"/>
        <w:rPr>
          <w:color w:val="000000" w:themeColor="text1"/>
          <w:kern w:val="2"/>
          <w:sz w:val="16"/>
          <w:szCs w:val="16"/>
        </w:rPr>
      </w:pPr>
      <w:r w:rsidRPr="002F2FDF">
        <w:rPr>
          <w:color w:val="000000" w:themeColor="text1"/>
          <w:kern w:val="2"/>
          <w:sz w:val="16"/>
          <w:szCs w:val="16"/>
        </w:rPr>
        <w:t>Строительство пулеметного завода, начатое по решению Совета Обороны России в 1916 году в г. Коврове Владимирской губернии, велось через посредничество Первого русского акционерного общества ружейных и пулеметных заводов на базе петроградского филиала шведской фирмы «А Джонсон и Ко». Ему же продали подряд на ведение строительства. Строительные работы были поручены петроградской строительной фирме инженера Квиля и велись под непосредственным руководством инженера С.И.Оршанского. Нужно было строить ускоренными темпами. Договор о поставках оружия, составленный между правлением русского акционерного общества ружейных и пулеметных заводов и Главным артиллерийским управлением, предусматривал, в случае задержки поставок, право расторгнуть соглашение с взысканием неустойки и непогашенной части аванса.</w:t>
      </w:r>
    </w:p>
    <w:p w14:paraId="154543CA" w14:textId="77777777" w:rsidR="00447212" w:rsidRPr="002F2FDF" w:rsidRDefault="00447212" w:rsidP="0083075A">
      <w:pPr>
        <w:pStyle w:val="ae"/>
        <w:spacing w:before="0" w:after="0"/>
        <w:jc w:val="both"/>
        <w:rPr>
          <w:color w:val="000000" w:themeColor="text1"/>
          <w:kern w:val="2"/>
          <w:sz w:val="16"/>
          <w:szCs w:val="16"/>
        </w:rPr>
      </w:pPr>
      <w:r w:rsidRPr="002F2FDF">
        <w:rPr>
          <w:color w:val="000000" w:themeColor="text1"/>
          <w:kern w:val="2"/>
          <w:sz w:val="16"/>
          <w:szCs w:val="16"/>
        </w:rPr>
        <w:t>Малый завод был построен за 2,5 месяца. В ноябре был произведен монтаж оборудования, размещено свыше 200 различных станков, верстаки, оборудован участок сборки. Прибывшие на стройку иностранцы начали установку станков и монтаж оборудования, все они числились старшими: старшие слесари, старшие кузнецы, старшие машинисты и т.д. - русских специалистов принимали только на должности чертежников, а рабочих - на работы «самых низких разрядов» (12221).</w:t>
      </w:r>
    </w:p>
    <w:p w14:paraId="1D464FC9" w14:textId="77777777" w:rsidR="00447212" w:rsidRPr="002F2FDF" w:rsidRDefault="00447212" w:rsidP="0083075A">
      <w:pPr>
        <w:pStyle w:val="ae"/>
        <w:spacing w:before="0" w:after="0"/>
        <w:jc w:val="both"/>
        <w:rPr>
          <w:color w:val="000000" w:themeColor="text1"/>
          <w:kern w:val="2"/>
          <w:sz w:val="16"/>
          <w:szCs w:val="16"/>
        </w:rPr>
      </w:pPr>
    </w:p>
    <w:p w14:paraId="2D6F9C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январе 1917 г. Сестрорецкий завод шел с производительностью 500 винтовок в сутки. Все было подготовлено к тому, чтобы с июня 1917 г. выйти на суточный выпуск 800 штук (11329).</w:t>
      </w:r>
    </w:p>
    <w:p w14:paraId="2DDC42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F85A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январю 1917 число заводов по производству ВВ достигло 28 (по сравнению с 4 в феврале 1915) (5484,59), в т.ч. 8 частных изготавливали тротил (5484,59)</w:t>
      </w:r>
    </w:p>
    <w:p w14:paraId="53BC2D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3B30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январе 1917 г. на Конференции с союзниками потребность в патронах была определена в 350 миллионов в месяц по сравнению со 150 млн. в начале 1915 г., 200 млн. в начале 1916, 225 млн. в середине 1916 и 250 млн. в конце 1916. Это цифры текущей регулярной потребности на пополнение расхода, и в них не учтены единовременные потребности, явившиеся результатом просчетов в мобилизационных предположениях. </w:t>
      </w:r>
    </w:p>
    <w:p w14:paraId="7AD094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Приведенные сейчас цифры — потребностей, превосходящих: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72"/>
        <w:gridCol w:w="1272"/>
      </w:tblGrid>
      <w:tr w:rsidR="002B1C74" w:rsidRPr="002F2FDF" w14:paraId="4E478903" w14:textId="77777777">
        <w:tc>
          <w:tcPr>
            <w:tcW w:w="3372" w:type="dxa"/>
            <w:tcBorders>
              <w:top w:val="single" w:sz="12" w:space="0" w:color="auto"/>
            </w:tcBorders>
          </w:tcPr>
          <w:p w14:paraId="2ED6C5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довоенную суммарную мощность заводов</w:t>
            </w:r>
          </w:p>
        </w:tc>
        <w:tc>
          <w:tcPr>
            <w:tcW w:w="1272" w:type="dxa"/>
            <w:tcBorders>
              <w:top w:val="single" w:sz="12" w:space="0" w:color="auto"/>
            </w:tcBorders>
          </w:tcPr>
          <w:p w14:paraId="006218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3-7 раз </w:t>
            </w:r>
          </w:p>
        </w:tc>
      </w:tr>
      <w:tr w:rsidR="002B1C74" w:rsidRPr="002F2FDF" w14:paraId="6F7A3241" w14:textId="77777777">
        <w:tc>
          <w:tcPr>
            <w:tcW w:w="3372" w:type="dxa"/>
            <w:tcBorders>
              <w:bottom w:val="single" w:sz="12" w:space="0" w:color="auto"/>
            </w:tcBorders>
          </w:tcPr>
          <w:p w14:paraId="296017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мощность заводов к концу 1916 г.</w:t>
            </w:r>
          </w:p>
        </w:tc>
        <w:tc>
          <w:tcPr>
            <w:tcW w:w="1272" w:type="dxa"/>
            <w:tcBorders>
              <w:bottom w:val="single" w:sz="12" w:space="0" w:color="auto"/>
            </w:tcBorders>
          </w:tcPr>
          <w:p w14:paraId="6665EE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1,3-3 раза.</w:t>
            </w:r>
          </w:p>
        </w:tc>
      </w:tr>
    </w:tbl>
    <w:p w14:paraId="3DE6DE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Дефицит покрывался заказами в Америке, Японии и Англии (11329).</w:t>
      </w:r>
    </w:p>
    <w:p w14:paraId="5CF0BE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D8E8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 январь 1917 г. общее количество заводов, изготовлявших взрывчатые вещества, возросло с февраля 1915 г. с 4 до 28. Общая мощность их по оборудованию в 1917 г. возросла до 218 000 пудов в месяц. Из них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2B1C74" w:rsidRPr="002F2FDF" w14:paraId="12BF10EE" w14:textId="77777777">
        <w:tc>
          <w:tcPr>
            <w:tcW w:w="1788" w:type="dxa"/>
            <w:tcBorders>
              <w:top w:val="single" w:sz="12" w:space="0" w:color="auto"/>
            </w:tcBorders>
          </w:tcPr>
          <w:p w14:paraId="0E57B5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Тротила</w:t>
            </w:r>
          </w:p>
        </w:tc>
        <w:tc>
          <w:tcPr>
            <w:tcW w:w="936" w:type="dxa"/>
            <w:tcBorders>
              <w:top w:val="single" w:sz="12" w:space="0" w:color="auto"/>
            </w:tcBorders>
          </w:tcPr>
          <w:p w14:paraId="55CC1E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52.000 </w:t>
            </w:r>
          </w:p>
        </w:tc>
      </w:tr>
      <w:tr w:rsidR="002B1C74" w:rsidRPr="002F2FDF" w14:paraId="47470BFC" w14:textId="77777777">
        <w:tc>
          <w:tcPr>
            <w:tcW w:w="1788" w:type="dxa"/>
          </w:tcPr>
          <w:p w14:paraId="46F92E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Пикриновой кислоты</w:t>
            </w:r>
          </w:p>
        </w:tc>
        <w:tc>
          <w:tcPr>
            <w:tcW w:w="936" w:type="dxa"/>
          </w:tcPr>
          <w:p w14:paraId="606CC1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50.000 </w:t>
            </w:r>
          </w:p>
        </w:tc>
      </w:tr>
      <w:tr w:rsidR="002B1C74" w:rsidRPr="002F2FDF" w14:paraId="121A84EA" w14:textId="77777777">
        <w:tc>
          <w:tcPr>
            <w:tcW w:w="1788" w:type="dxa"/>
          </w:tcPr>
          <w:p w14:paraId="0BA391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Аммиачной селитры</w:t>
            </w:r>
          </w:p>
        </w:tc>
        <w:tc>
          <w:tcPr>
            <w:tcW w:w="936" w:type="dxa"/>
          </w:tcPr>
          <w:p w14:paraId="1D20E5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60.000 </w:t>
            </w:r>
          </w:p>
        </w:tc>
      </w:tr>
      <w:tr w:rsidR="002B1C74" w:rsidRPr="002F2FDF" w14:paraId="2109D9C2" w14:textId="77777777">
        <w:tc>
          <w:tcPr>
            <w:tcW w:w="1788" w:type="dxa"/>
          </w:tcPr>
          <w:p w14:paraId="1E69C5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Ксилола</w:t>
            </w:r>
          </w:p>
        </w:tc>
        <w:tc>
          <w:tcPr>
            <w:tcW w:w="936" w:type="dxa"/>
          </w:tcPr>
          <w:p w14:paraId="5ABD08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9.000 </w:t>
            </w:r>
          </w:p>
        </w:tc>
      </w:tr>
      <w:tr w:rsidR="002B1C74" w:rsidRPr="002F2FDF" w14:paraId="5480FAFD" w14:textId="77777777">
        <w:tc>
          <w:tcPr>
            <w:tcW w:w="1788" w:type="dxa"/>
            <w:tcBorders>
              <w:bottom w:val="single" w:sz="12" w:space="0" w:color="auto"/>
            </w:tcBorders>
          </w:tcPr>
          <w:p w14:paraId="11F3A8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Динитронафталина</w:t>
            </w:r>
          </w:p>
        </w:tc>
        <w:tc>
          <w:tcPr>
            <w:tcW w:w="936" w:type="dxa"/>
            <w:tcBorders>
              <w:bottom w:val="single" w:sz="12" w:space="0" w:color="auto"/>
            </w:tcBorders>
          </w:tcPr>
          <w:p w14:paraId="4B8BFD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12.000 </w:t>
            </w:r>
          </w:p>
        </w:tc>
      </w:tr>
    </w:tbl>
    <w:p w14:paraId="7329A6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Фактически эта мощность не была использована полностью (11329).</w:t>
      </w:r>
    </w:p>
    <w:p w14:paraId="1FE3BB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A01E50" w14:textId="77777777" w:rsidR="00987A47" w:rsidRPr="002F2FDF" w:rsidRDefault="00987A47"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 январе 1917 г. на конференции с союзниками они «категорически отказались дать нам легкие орудия», докладывал Маниковский правительству 23 июня 1917 г. Тем не менее, как признавал Ф.Ф. Палицын, «Англия и Франция в период конца 1916 и начала 1917 г. дали столько, сколько мы в организационной работе на месте не могли переработать» (то есть не успевали формировать новые батареи и дивизионы) (18409).</w:t>
      </w:r>
    </w:p>
    <w:p w14:paraId="5FB7E570" w14:textId="77777777" w:rsidR="00987A47" w:rsidRPr="002F2FDF" w:rsidRDefault="00987A47" w:rsidP="0083075A">
      <w:pPr>
        <w:pStyle w:val="p1"/>
        <w:spacing w:before="0" w:beforeAutospacing="0" w:after="0" w:afterAutospacing="0"/>
        <w:jc w:val="both"/>
        <w:rPr>
          <w:color w:val="000000" w:themeColor="text1"/>
          <w:sz w:val="16"/>
          <w:szCs w:val="16"/>
        </w:rPr>
      </w:pPr>
    </w:p>
    <w:p w14:paraId="2CE9D5A0" w14:textId="77777777" w:rsidR="00987A47" w:rsidRPr="002F2FDF" w:rsidRDefault="00987A47"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 январе 1917 г. ГВТУ намечало дать заказ на шестерни, коробки передач и дифференциалы листопрокатному заводу «Влохи», эвакуированному в столицу империи из Варшавы. Ведомство считало его «единственным заводом, подготовленным к исполнению заказа на зубчатые колеса». При этом выяснилось, что заводу надо будет дать аванс на закупку около 4 тысяч пудов хромоникелевой стали, а также на устройство специальных печей для термической обработки этой стали и на усиление фрезерного отдела станками, причем их предполагалось «достать на местном рынке» (18366).</w:t>
      </w:r>
    </w:p>
    <w:p w14:paraId="21B53019" w14:textId="77777777" w:rsidR="00987A47" w:rsidRPr="002F2FDF" w:rsidRDefault="00987A47" w:rsidP="0083075A">
      <w:pPr>
        <w:pStyle w:val="p1"/>
        <w:spacing w:before="0" w:beforeAutospacing="0" w:after="0" w:afterAutospacing="0"/>
        <w:jc w:val="both"/>
        <w:rPr>
          <w:color w:val="000000" w:themeColor="text1"/>
          <w:sz w:val="16"/>
          <w:szCs w:val="16"/>
        </w:rPr>
      </w:pPr>
    </w:p>
    <w:p w14:paraId="3F02E1CF" w14:textId="77777777" w:rsidR="00987A47" w:rsidRPr="002F2FDF" w:rsidRDefault="00987A47" w:rsidP="0083075A">
      <w:pPr>
        <w:pStyle w:val="ae"/>
        <w:spacing w:before="0" w:after="0"/>
        <w:jc w:val="both"/>
        <w:rPr>
          <w:color w:val="000000" w:themeColor="text1"/>
          <w:sz w:val="16"/>
          <w:szCs w:val="16"/>
        </w:rPr>
      </w:pPr>
      <w:r w:rsidRPr="002F2FDF">
        <w:rPr>
          <w:color w:val="000000" w:themeColor="text1"/>
          <w:sz w:val="16"/>
          <w:szCs w:val="16"/>
        </w:rPr>
        <w:t>На январь 1917 г. ежемесячная потребность в боеприпасах для тяжелой артиллерии исчислялась цифрой в 33.000 снарядов, а отечественная промышленность могла произвести 17.679 снарядов ежемесячно. Поставки снарядов для артиллерии крупного калибра начали происходить с начала 1916 г. и к концу 1917 г. от союзников было получено 86.750 снарядов [3]. К орудиям среднего калибра от союзников было получено 2.649.845 снарядов, в то время как отечественная промышленность произвела около 8.500.000 артиллерийских снарядов (18515).</w:t>
      </w:r>
    </w:p>
    <w:p w14:paraId="6C9D9AE9" w14:textId="77777777" w:rsidR="00987A47" w:rsidRPr="002F2FDF" w:rsidRDefault="00987A47" w:rsidP="0083075A">
      <w:pPr>
        <w:pStyle w:val="ae"/>
        <w:spacing w:before="0" w:after="0"/>
        <w:jc w:val="both"/>
        <w:rPr>
          <w:color w:val="000000" w:themeColor="text1"/>
          <w:sz w:val="16"/>
          <w:szCs w:val="16"/>
        </w:rPr>
      </w:pPr>
    </w:p>
    <w:p w14:paraId="754CDF3E" w14:textId="77777777" w:rsidR="00987A47" w:rsidRPr="002F2FDF" w:rsidRDefault="00987A47"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 январе 1917 г. «Теперь, через 2,5 года войны, имеется ясное свидетельство о правильности принятого решения по заказу пороха в Америке и Японии, — с видимым удовлетворением констатировал обвиненный за всю артиллерию Кузьмин-Караваев в показаниях — 50 процентов расходуемого в боях пороха ныне получается из-за границы, почти исключительно от тех заводов, которые поставили производство нашего пороха по моим заказам в сентябре 1914 года» (18409).</w:t>
      </w:r>
    </w:p>
    <w:p w14:paraId="211D3E71" w14:textId="77777777" w:rsidR="00987A47" w:rsidRPr="002F2FDF" w:rsidRDefault="00987A47" w:rsidP="0083075A">
      <w:pPr>
        <w:pStyle w:val="p1"/>
        <w:spacing w:before="0" w:beforeAutospacing="0" w:after="0" w:afterAutospacing="0"/>
        <w:jc w:val="both"/>
        <w:rPr>
          <w:color w:val="000000" w:themeColor="text1"/>
          <w:sz w:val="16"/>
          <w:szCs w:val="16"/>
        </w:rPr>
      </w:pPr>
    </w:p>
    <w:p w14:paraId="79F144B2" w14:textId="77777777" w:rsidR="00987A47" w:rsidRPr="002F2FDF" w:rsidRDefault="00987A47"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 январе 1917 г., рассчитывая начать в России производство запасных частей, ГВТУ намечало дать заказ на шестерни, коробки передач и дифференциалы листопрокатному заводу «Влохи», эвакуированному в столицу империи из Варшавы. Ведомство считало его «единственным заводом, подготовленным к исполнению заказа на зубчатые колеса». При этом выяснилось, что заводу надо будет дать аванс на закупку около 4 тысяч пудов хромоникелевой стали, а также на устройство специальных печей для термической обработки этой стали и на усиление фрезерного отдела станками, причем их предполагалось «достать на местном рынке». Таким образом, речь шла лишь о замысле на будущее (18409).</w:t>
      </w:r>
    </w:p>
    <w:p w14:paraId="37E56417" w14:textId="77777777" w:rsidR="00987A47" w:rsidRPr="002F2FDF" w:rsidRDefault="00987A47" w:rsidP="0083075A">
      <w:pPr>
        <w:pStyle w:val="p1"/>
        <w:spacing w:before="0" w:beforeAutospacing="0" w:after="0" w:afterAutospacing="0"/>
        <w:jc w:val="both"/>
        <w:rPr>
          <w:color w:val="000000" w:themeColor="text1"/>
          <w:sz w:val="16"/>
          <w:szCs w:val="16"/>
        </w:rPr>
      </w:pPr>
    </w:p>
    <w:p w14:paraId="763D90E8" w14:textId="77777777" w:rsidR="00987A47" w:rsidRPr="002F2FDF" w:rsidRDefault="00987A47" w:rsidP="0083075A">
      <w:pPr>
        <w:autoSpaceDE w:val="0"/>
        <w:autoSpaceDN w:val="0"/>
        <w:adjustRightInd w:val="0"/>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январе 1917 г. совещание приемщиков на предприятии АО «Сименс и Гальске» обсуждало освобождение от призыва ведущих специалистов – начальника технической части радиотелеграфного отдела и разработчика новых радиостанций штабс-капитана А.А. Савельева, а также заведующего отделом слабых токов, ответственного за выполнение военных заказов на телеграфно-телефонную продукцию прапорщика Э.А. Бетге. Откомандированные в начале войны Инженерным ведомством на завод «Сименс и Гальске», эти специалисты оказались настолько ценными, что заменить их на данном предприятии оказалось невозможным. В связи с этим совещание приемщиков принимает решение ходатайствовать о возвращении инженеров не только перед заводским совещанием, но перед другими инстанциями (18297).</w:t>
      </w:r>
    </w:p>
    <w:p w14:paraId="32ED0A38" w14:textId="77777777" w:rsidR="00987A47" w:rsidRPr="002F2FDF" w:rsidRDefault="00987A47" w:rsidP="0083075A">
      <w:pPr>
        <w:spacing w:after="0" w:line="240" w:lineRule="auto"/>
        <w:jc w:val="both"/>
        <w:rPr>
          <w:rFonts w:ascii="Times New Roman" w:hAnsi="Times New Roman" w:cs="Times New Roman"/>
          <w:color w:val="000000" w:themeColor="text1"/>
          <w:sz w:val="16"/>
          <w:szCs w:val="16"/>
        </w:rPr>
      </w:pPr>
    </w:p>
    <w:p w14:paraId="4AADDC96" w14:textId="52F8620F" w:rsidR="00987A47" w:rsidRPr="002F2FDF" w:rsidRDefault="00987A47" w:rsidP="0083075A">
      <w:pPr>
        <w:pStyle w:val="ae"/>
        <w:spacing w:before="0" w:after="0"/>
        <w:jc w:val="both"/>
        <w:rPr>
          <w:color w:val="000000" w:themeColor="text1"/>
          <w:sz w:val="16"/>
          <w:szCs w:val="16"/>
        </w:rPr>
      </w:pPr>
      <w:r w:rsidRPr="002F2FDF">
        <w:rPr>
          <w:color w:val="000000" w:themeColor="text1"/>
          <w:sz w:val="16"/>
          <w:szCs w:val="16"/>
        </w:rPr>
        <w:t>В январе 1917 года Пороховщиков вынес на рассмотрение доработанную модель</w:t>
      </w:r>
      <w:r w:rsidR="00E52569">
        <w:rPr>
          <w:color w:val="000000" w:themeColor="text1"/>
          <w:sz w:val="16"/>
          <w:szCs w:val="16"/>
        </w:rPr>
        <w:t xml:space="preserve"> </w:t>
      </w:r>
      <w:r w:rsidRPr="002F2FDF">
        <w:rPr>
          <w:color w:val="000000" w:themeColor="text1"/>
          <w:sz w:val="16"/>
          <w:szCs w:val="16"/>
        </w:rPr>
        <w:t>— на четыре человека экипажа, вооруженный четырьмя пулеметами, один</w:t>
      </w:r>
      <w:r w:rsidR="00E52569">
        <w:rPr>
          <w:color w:val="000000" w:themeColor="text1"/>
          <w:sz w:val="16"/>
          <w:szCs w:val="16"/>
        </w:rPr>
        <w:t xml:space="preserve"> </w:t>
      </w:r>
      <w:r w:rsidRPr="002F2FDF">
        <w:rPr>
          <w:color w:val="000000" w:themeColor="text1"/>
          <w:sz w:val="16"/>
          <w:szCs w:val="16"/>
        </w:rPr>
        <w:t>— в лобовом листе, три</w:t>
      </w:r>
      <w:r w:rsidR="00E52569">
        <w:rPr>
          <w:color w:val="000000" w:themeColor="text1"/>
          <w:sz w:val="16"/>
          <w:szCs w:val="16"/>
        </w:rPr>
        <w:t xml:space="preserve"> </w:t>
      </w:r>
      <w:r w:rsidRPr="002F2FDF">
        <w:rPr>
          <w:color w:val="000000" w:themeColor="text1"/>
          <w:sz w:val="16"/>
          <w:szCs w:val="16"/>
        </w:rPr>
        <w:t>— в башне. Но и этот проект оказался не самым удачным. После революции, не признанный царским режимом, Пороховщиков начал работать на новую власть. В 1940 году был арестован за свое дворянское происхождение, обвинен в шпионаже в пользу немцев в 1941-м</w:t>
      </w:r>
      <w:r w:rsidR="00E52569">
        <w:rPr>
          <w:color w:val="000000" w:themeColor="text1"/>
          <w:sz w:val="16"/>
          <w:szCs w:val="16"/>
        </w:rPr>
        <w:t xml:space="preserve"> </w:t>
      </w:r>
      <w:r w:rsidRPr="002F2FDF">
        <w:rPr>
          <w:color w:val="000000" w:themeColor="text1"/>
          <w:sz w:val="16"/>
          <w:szCs w:val="16"/>
        </w:rPr>
        <w:t>— расстрелян (18519).</w:t>
      </w:r>
    </w:p>
    <w:p w14:paraId="0AF442F5" w14:textId="77777777" w:rsidR="00987A47" w:rsidRPr="002F2FDF" w:rsidRDefault="00987A47" w:rsidP="0083075A">
      <w:pPr>
        <w:pStyle w:val="ae"/>
        <w:spacing w:before="0" w:after="0"/>
        <w:jc w:val="both"/>
        <w:rPr>
          <w:color w:val="000000" w:themeColor="text1"/>
          <w:sz w:val="16"/>
          <w:szCs w:val="16"/>
        </w:rPr>
      </w:pPr>
    </w:p>
    <w:p w14:paraId="57B96A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1917 в Россия начали прибывать шасси Остин (9527,287).</w:t>
      </w:r>
    </w:p>
    <w:p w14:paraId="7F254A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B2DC5B" w14:textId="77777777" w:rsidR="007E26D6" w:rsidRPr="002F2FDF" w:rsidRDefault="007E26D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январе 1917 г. Винчестер закончил русский заказ, и если Ремингтон давал в августе 1916 г. менее 300 винтовок в день, то в апреле 1917 — около 1800 и в дальнейшем начал перевозить станки в Тулу [Россия и США… 1996: 209; Экономическое положение России… 1957, Ч. 2: 182; Советское ВПП… 2005, Т. 2: 294, 296] (18408).</w:t>
      </w:r>
    </w:p>
    <w:p w14:paraId="6CBC7914" w14:textId="77777777" w:rsidR="007E26D6" w:rsidRPr="002F2FDF" w:rsidRDefault="007E26D6" w:rsidP="0083075A">
      <w:pPr>
        <w:spacing w:after="0" w:line="240" w:lineRule="auto"/>
        <w:jc w:val="both"/>
        <w:rPr>
          <w:rFonts w:ascii="Times New Roman" w:hAnsi="Times New Roman" w:cs="Times New Roman"/>
          <w:color w:val="000000" w:themeColor="text1"/>
          <w:sz w:val="16"/>
          <w:szCs w:val="16"/>
        </w:rPr>
      </w:pPr>
    </w:p>
    <w:p w14:paraId="157DF54C" w14:textId="77777777" w:rsidR="007E26D6" w:rsidRPr="002F2FDF" w:rsidRDefault="007E26D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январе 1917 г. на конференции с союзниками они «категорически отказались дать нам легкие орудия», докладывал Маниковский правительству 23 июня 1917 г. [РГВИА. Ф. 366. Оп. 1. Д. 410. Л. 10]. Но в 1916 г. в Англии исполняли русские заказы на десятки тысяч пружин накатника к 3-дм полевым пушкам [там же. Ф. 504. Оп. 6. Д. 99. Л. 9, 12, 13, 52] (18408).</w:t>
      </w:r>
    </w:p>
    <w:p w14:paraId="1C380FFF" w14:textId="77777777" w:rsidR="007E26D6" w:rsidRPr="002F2FDF" w:rsidRDefault="007E26D6" w:rsidP="0083075A">
      <w:pPr>
        <w:spacing w:after="0" w:line="240" w:lineRule="auto"/>
        <w:jc w:val="both"/>
        <w:rPr>
          <w:rFonts w:ascii="Times New Roman" w:hAnsi="Times New Roman" w:cs="Times New Roman"/>
          <w:color w:val="000000" w:themeColor="text1"/>
          <w:sz w:val="16"/>
          <w:szCs w:val="16"/>
        </w:rPr>
      </w:pPr>
    </w:p>
    <w:p w14:paraId="2DCA63A2" w14:textId="77777777" w:rsidR="007E26D6" w:rsidRPr="002F2FDF" w:rsidRDefault="007E26D6"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 январе 1917 г. ГАУ просило на продолжение строительства под Екатеринославом 4-го казенного ружейного завода 9 млн. руб. (около 6 млн. уже было израсходовано), но Военный совет согласился дать лишь 3 млн., а в мае 1917 г. пришлось «в корне пересмотреть вопрос о постройке Екатеринославского завода». Комиссия бывшего государственного контролера Н.Н. Покровского, учрежденная Временным правительством для пересмотра проектов казенного заводского строительства, «признала необходимым отложить производство строительных работ… на один год», а для хранения скопившегося оборудования поставить «легкого типа сараи».</w:t>
      </w:r>
    </w:p>
    <w:p w14:paraId="485D07F5" w14:textId="77777777" w:rsidR="007E26D6" w:rsidRPr="002F2FDF" w:rsidRDefault="007E26D6" w:rsidP="0083075A">
      <w:pPr>
        <w:pStyle w:val="p1"/>
        <w:spacing w:before="0" w:beforeAutospacing="0" w:after="0" w:afterAutospacing="0"/>
        <w:jc w:val="both"/>
        <w:rPr>
          <w:color w:val="000000" w:themeColor="text1"/>
          <w:sz w:val="16"/>
          <w:szCs w:val="16"/>
        </w:rPr>
      </w:pPr>
      <w:r w:rsidRPr="002F2FDF">
        <w:rPr>
          <w:color w:val="000000" w:themeColor="text1"/>
          <w:sz w:val="16"/>
          <w:szCs w:val="16"/>
        </w:rPr>
        <w:t>Учитывалось, что «в связи с обстоятельствами настоящего времени» надо «всемерно избегать крупных расходов казны» (ГАУ ходатайствовало, вместе с «текущими расходами» на строительство, об ассигновании 17 млн. руб.).</w:t>
      </w:r>
    </w:p>
    <w:p w14:paraId="34070E22" w14:textId="50DCAD3A" w:rsidR="007E26D6" w:rsidRPr="002F2FDF" w:rsidRDefault="007E26D6"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К тому же в момент, «когда оно (оборудование — 6 тысяч станков</w:t>
      </w:r>
      <w:r w:rsidRPr="002F2FDF">
        <w:rPr>
          <w:rStyle w:val="af0"/>
          <w:rFonts w:eastAsiaTheme="majorEastAsia"/>
          <w:color w:val="000000" w:themeColor="text1"/>
          <w:sz w:val="16"/>
          <w:szCs w:val="16"/>
        </w:rPr>
        <w:t>)</w:t>
      </w:r>
      <w:r w:rsidR="00E52569">
        <w:rPr>
          <w:rStyle w:val="af0"/>
          <w:rFonts w:eastAsiaTheme="majorEastAsia"/>
          <w:color w:val="000000" w:themeColor="text1"/>
          <w:sz w:val="16"/>
          <w:szCs w:val="16"/>
        </w:rPr>
        <w:t xml:space="preserve"> </w:t>
      </w:r>
      <w:r w:rsidRPr="002F2FDF">
        <w:rPr>
          <w:color w:val="000000" w:themeColor="text1"/>
          <w:sz w:val="16"/>
          <w:szCs w:val="16"/>
        </w:rPr>
        <w:t>в действительности может потребоваться», покупка «может не оказаться столь выгодной, насколько она представляется выгодной в настоящее время». Более того, «постройка Екатеринославского оружейного завода может быть и вовсе отменена или будет производиться постольку, поскольку это потребуется для переноса в Екатеринослав существующего оборудования Сестрорецкого завода», объясняли в Канцелярии Военного министерства</w:t>
      </w:r>
      <w:r w:rsidRPr="002F2FDF">
        <w:rPr>
          <w:color w:val="000000" w:themeColor="text1"/>
          <w:sz w:val="16"/>
          <w:szCs w:val="16"/>
          <w:vertAlign w:val="superscript"/>
        </w:rPr>
        <w:t>}</w:t>
      </w:r>
      <w:r w:rsidRPr="002F2FDF">
        <w:rPr>
          <w:color w:val="000000" w:themeColor="text1"/>
          <w:sz w:val="16"/>
          <w:szCs w:val="16"/>
        </w:rPr>
        <w:t>. В конечном счете из комплекта «Ремингтона» ни один станок в Екатеринослав не попал; «оборудование это впоследствии распродавалось в Америке по частям, конечно за бесценок». Доставлены были «лишь отправленные раньше, купленные мною, — писал Залюбовский, — особо из запасов «Ремингтона» около 150 станков для оборудования ремонтно-механической и инструментальной временной мастерской», они нужны были в первую очередь, еще до установки комплекта. Всего полагалось передать 255 станков на 222 тысячи долларов взамен 9871 из заказанных винтовок.</w:t>
      </w:r>
    </w:p>
    <w:p w14:paraId="0DB5F6D0" w14:textId="77777777" w:rsidR="007E26D6" w:rsidRPr="002F2FDF" w:rsidRDefault="007E26D6" w:rsidP="0083075A">
      <w:pPr>
        <w:pStyle w:val="p1"/>
        <w:spacing w:before="0" w:beforeAutospacing="0" w:after="0" w:afterAutospacing="0"/>
        <w:jc w:val="both"/>
        <w:rPr>
          <w:color w:val="000000" w:themeColor="text1"/>
          <w:sz w:val="16"/>
          <w:szCs w:val="16"/>
        </w:rPr>
      </w:pPr>
      <w:r w:rsidRPr="002F2FDF">
        <w:rPr>
          <w:color w:val="000000" w:themeColor="text1"/>
          <w:sz w:val="16"/>
          <w:szCs w:val="16"/>
        </w:rPr>
        <w:t xml:space="preserve">«За недостатком средств» (Залюбовский) правительство приостановило работы, хотя они возобновились, «и притом в спешном порядке», в конце 1917 г. Но затем участь Екатеринославского оружейного завода была окончательно решена: ГАУ позволило комиссии, сооружавшей Воронежский завод взрывателей, взять с екатеринославской стройки кабель, «а также, если окажется возможным… разные хозяйственные предметы, кои окажутся пригодными для завода взрывателей». С </w:t>
      </w:r>
      <w:r w:rsidRPr="002F2FDF">
        <w:rPr>
          <w:color w:val="000000" w:themeColor="text1"/>
          <w:sz w:val="16"/>
          <w:szCs w:val="16"/>
        </w:rPr>
        <w:lastRenderedPageBreak/>
        <w:t>переходом же 4 апреля 1918 г. власти в Екатеринославе к украинской Центральной раде Залюбовский, возглавлявший строительную комиссию, признал дело окончательно загубленным и предложил ликвидацию (18409).</w:t>
      </w:r>
    </w:p>
    <w:p w14:paraId="18CA2F7B" w14:textId="77777777" w:rsidR="007E26D6" w:rsidRPr="002F2FDF" w:rsidRDefault="007E26D6" w:rsidP="0083075A">
      <w:pPr>
        <w:pStyle w:val="p1"/>
        <w:spacing w:before="0" w:beforeAutospacing="0" w:after="0" w:afterAutospacing="0"/>
        <w:jc w:val="both"/>
        <w:rPr>
          <w:color w:val="000000" w:themeColor="text1"/>
          <w:sz w:val="16"/>
          <w:szCs w:val="16"/>
        </w:rPr>
      </w:pPr>
    </w:p>
    <w:p w14:paraId="1F8C31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1917 г. Паратский завод (ГС завод № 184 ИМ. Серго НКОП, НКБ, МОП, п/я 1, Паратский сталелитейный завод, Волжско-Ижорский металлургический завод, Завод им. Серго НКТП, МОП, ММ, ПО «Завод им. Серго» ММ, ГУЛ «Зеленодольское ПО «Завод им. Серго» Росбоеприпаса, ФГУП «Производственное объединение «Завод им. Серго» (ПОЗИС) /г. Паратск,  г. Зеленодольск/ /Татарстан 422546  г. Зеленодольск ул. Привокзальная, 4 тел. 53-664/) выкуплен владельцем Охтинского оружейного завода французом Н. Бенуа для производства мин и осветительных ракет.</w:t>
      </w:r>
    </w:p>
    <w:p w14:paraId="605BFD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11.1917 г. Паратский завод национализирован. В 1918 г. сюда эвакуировано оборудование гильзового производства Ижорского завода, и образован Волжско-Ижорский металлургический завод. С 1919 г. он входил в состав Паратского металлургического завода, с 1922 г.- в состав Паратского промышленного комбината, объединявшего метало- и деревообрабатывающие цеха, производство артиллерийских гильз и осветительных ракет.</w:t>
      </w:r>
    </w:p>
    <w:p w14:paraId="441988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1919 г. введены в строй механические, кузнечная, инструментальная мастерские, термический и химический участки. 28.12.1919 г. выпущена первая партия гильз. В 03.1922 г. сданы в эксплуатацию металлургический и прокатный станы, получены первые латунные полуфабрикаты и начато производство гильз калибра 120.. .150 мм. Но в 1923-26 г. производство было остановлено. В соответствии с пост. Президиума ВСНХ № 1304 от 13.10.1930 г. началась реконструкция завода и восстановление производства пушечных гильз. В 1930 г. - в ведении Татарского СНХ. 12.10.1931 г. завод официально вступил в строй, в этом же году ему присвоено имя Серго (в честь С. Орджоникидзе). По пр. НКОГ1 № Обсс от 30.12.1936 г. Завод им. Серго переименован в завод № 184 им. Серго, в 02.1937 г. - в ведении 4ГУ. Приказом НКОП № 91 от 13.03.1937 г. утвержден Устав ГС завода № 184. По пр. НКОП № 0180 от 15.08.1937 г. завод передан из 4ГУ в новое 14ГУ.</w:t>
      </w:r>
      <w:r w:rsidRPr="002F2FDF">
        <w:rPr>
          <w:rFonts w:ascii="Times New Roman" w:hAnsi="Times New Roman" w:cs="Times New Roman"/>
          <w:color w:val="000000" w:themeColor="text1"/>
          <w:kern w:val="2"/>
          <w:sz w:val="16"/>
          <w:szCs w:val="16"/>
          <w:vertAlign w:val="superscript"/>
        </w:rPr>
        <w:t>139</w:t>
      </w:r>
      <w:r w:rsidRPr="002F2FDF">
        <w:rPr>
          <w:rFonts w:ascii="Times New Roman" w:hAnsi="Times New Roman" w:cs="Times New Roman"/>
          <w:color w:val="000000" w:themeColor="text1"/>
          <w:kern w:val="2"/>
          <w:sz w:val="16"/>
          <w:szCs w:val="16"/>
        </w:rPr>
        <w:t xml:space="preserve"> В 02.1939 г. завод № 184 21ГУ НКОП передан в ведение 21ГУ НКБ. В 12.1942-09.1944 г. - в ведении 5ГУ НКБ.</w:t>
      </w:r>
    </w:p>
    <w:p w14:paraId="2286E4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НКОП № 0025 от 4.02.1937 г. заводу предписано к 1.01.1938 г. создать мощности по выпуску орудийных гильз - 20 млн. шт. в год. Приказом НКОП № 0079 от 15.04.1937 г. заводу предписано с 15.05.1937 г. начать производство патронных гильз из неплакированного железа; изготовить опытную партию 45-мм железных гильз. Приказом № 275 от 4.08.1937 г. предписано ввести в эксплуатацию к 1.01.1938 г. металлургический цех в составе электролитейного, прокатного и вырубного отделений; пр. № 97сс от 19.03.1938 г. требовалось ввести 1-ю очередь металлургического цеха к 1.06.1938 г. По пр. № 254 от 29.06.1938 г. была создана комиссия для установления правильности выбора площадки и необходимости реконструкции завода.</w:t>
      </w:r>
    </w:p>
    <w:p w14:paraId="2BE881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 0223 от 28.09.1937 г. заводу была установлена программа по выпуску в 1938 г. 205 станков и 10 спецмашин.</w:t>
      </w:r>
    </w:p>
    <w:p w14:paraId="11B142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годы войны продолжен выпуск гильз и зарядов для малокалиберных автоматических пушек. Распоряжением ГКО № 7194 от 23.12.1944 г. заводу уменьшен план по выпуску орудийных гильз.</w:t>
      </w:r>
    </w:p>
    <w:p w14:paraId="584802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1946-50 г. завод перешел на выпуск станков, чугунного литья, запчастей для сельхозтехники. В 1950-х  г. продолжен выпуск гильз и снарядов. В 1960-е  г. освоено производство 23-мм патронов со снарядами: ИК-помех, противолокационными, многоэлементными.</w:t>
      </w:r>
    </w:p>
    <w:p w14:paraId="5D871E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1959 г. завод одним из первых в стране освоил выпуск бытовых холодильников.</w:t>
      </w:r>
    </w:p>
    <w:p w14:paraId="23A280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 184 - в ведении МОП (1953 г.). Имел наименование «п/я 1» (1950-66 г.)</w:t>
      </w:r>
    </w:p>
    <w:p w14:paraId="2C28E3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приказу МОП от 13.01.1966 г. для ускорения внедрения новых изделий в серию на заводе создано СКБ, руководитель которого одновременно был зам. гл. конструктора ГНПП «Прибор».</w:t>
      </w:r>
    </w:p>
    <w:p w14:paraId="37B905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приказу ММ № 162 от 5.05.1977 г. завод преобразован в ПО «Завод им. Серго». По Указу Президента РФ № 1009 от 4.08.2004 г. вошел в число стратегических оборонных предприятий.</w:t>
      </w:r>
    </w:p>
    <w:p w14:paraId="500FE0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(конец 1901 г.)- около 800 чел., (1902 г.)- около 200 чел., (12.1942 г.)- 5006 чел.</w:t>
      </w:r>
      <w:r w:rsidRPr="002F2FDF">
        <w:rPr>
          <w:rFonts w:ascii="Times New Roman" w:hAnsi="Times New Roman" w:cs="Times New Roman"/>
          <w:color w:val="000000" w:themeColor="text1"/>
          <w:kern w:val="2"/>
          <w:sz w:val="16"/>
          <w:szCs w:val="16"/>
          <w:vertAlign w:val="superscript"/>
        </w:rPr>
        <w:t>132</w:t>
      </w:r>
    </w:p>
    <w:p w14:paraId="0C2B64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(02.1935-7.06.1937 г.)- М.В. Хруничев, (7.06.1937-9.02.1938 г.)-  Г.И. Волошинов, (9.02.1938 г.-)- В.В. Сытин, (6.12.1941-43 г.)- А.В. Саханицкий, (1943 г.-)- Г.И. Рудаков. Гендиректор (2002 г.)- О.В. Филиппов,</w:t>
      </w:r>
      <w:r w:rsidRPr="002F2FDF">
        <w:rPr>
          <w:rFonts w:ascii="Times New Roman" w:hAnsi="Times New Roman" w:cs="Times New Roman"/>
          <w:color w:val="000000" w:themeColor="text1"/>
          <w:kern w:val="2"/>
          <w:sz w:val="16"/>
          <w:szCs w:val="16"/>
          <w:vertAlign w:val="superscript"/>
        </w:rPr>
        <w:t>69</w:t>
      </w:r>
      <w:r w:rsidRPr="002F2FDF">
        <w:rPr>
          <w:rFonts w:ascii="Times New Roman" w:hAnsi="Times New Roman" w:cs="Times New Roman"/>
          <w:color w:val="000000" w:themeColor="text1"/>
          <w:kern w:val="2"/>
          <w:sz w:val="16"/>
          <w:szCs w:val="16"/>
        </w:rPr>
        <w:t xml:space="preserve"> (1998- 2006 г.-)- Р.Ш. Хасанов.</w:t>
      </w:r>
    </w:p>
    <w:p w14:paraId="77C9D4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строительства (-7.06.1937 г.)- М.В. Хруничев. Зам. директора (-29.05.1937 г.)- С.З. Довконт (снят), (8.03.1938 г.-)- Н.В. Мартынов. Помощник директора по найму и увольнению (31.12.1938 г.-)- М.В. Бычков. Зам. Гендиректора по экспорту (2002 г.)- К. Г. Насифуллин.</w:t>
      </w:r>
    </w:p>
    <w:p w14:paraId="14E12E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инженер (1935-37; 8.03.1938 г.-)- Н.В. Мартынов, (-29.04.1937 г.)- С.З. Довконт (снят).</w:t>
      </w:r>
    </w:p>
    <w:p w14:paraId="1DBA85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энергетик (-1935 г.)- Н.В. Мартынов.</w:t>
      </w:r>
    </w:p>
    <w:p w14:paraId="179CD8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цехов: энергоцеха (1934 г.-)- Н.В. Мартынов. Производство: гильзы: латунные 37-мм для пушек «Гочкис», «Виккерс» (1930-е), 20-мм, 45-мм (1930-е), «ЗИК» (1950-е); стальные 85-мм (1950-е), 57-мм (1960-е); патроны: для авиационных пулеметов и пушек НС-37, НС-45 (ВОВ), для пушек НР-23, АМ-23, Р-23, ЗУ-23 (1950-е), 261-ПН, 291-П, НН-30, НР-30 (1960-е), АО-18, ГШ-30, ГШ-301, ГШ-6-30, ГШ-23, ГШ-6-23, 2А7, 2А14, 2А42, 2А72, 2А38 (2000-е); для охотничьего оружия (1993-); заряды для авиационных пушек калибра 23-, 30-мм, для морских пушек;</w:t>
      </w:r>
      <w:r w:rsidRPr="002F2FDF">
        <w:rPr>
          <w:rFonts w:ascii="Times New Roman" w:hAnsi="Times New Roman" w:cs="Times New Roman"/>
          <w:color w:val="000000" w:themeColor="text1"/>
          <w:kern w:val="2"/>
          <w:sz w:val="16"/>
          <w:szCs w:val="16"/>
          <w:vertAlign w:val="superscript"/>
        </w:rPr>
        <w:t>69</w:t>
      </w:r>
      <w:r w:rsidRPr="002F2FDF">
        <w:rPr>
          <w:rFonts w:ascii="Times New Roman" w:hAnsi="Times New Roman" w:cs="Times New Roman"/>
          <w:color w:val="000000" w:themeColor="text1"/>
          <w:kern w:val="2"/>
          <w:sz w:val="16"/>
          <w:szCs w:val="16"/>
        </w:rPr>
        <w:t xml:space="preserve"> пиропатроны (24 вида) для авиационно-космических катапульт ПК-7Т, ПК-ЗМ, ПК-5-2, ПК-4-1, ПК-8М, ЕПК-28-6, кресел К-36; глубинные бомбы Б-30 (1950-е); выстрелы к 40-мм гранатомету ВОГ-25 (1980-е-2000-е);</w:t>
      </w:r>
      <w:r w:rsidRPr="002F2FDF">
        <w:rPr>
          <w:rFonts w:ascii="Times New Roman" w:hAnsi="Times New Roman" w:cs="Times New Roman"/>
          <w:color w:val="000000" w:themeColor="text1"/>
          <w:kern w:val="2"/>
          <w:sz w:val="16"/>
          <w:szCs w:val="16"/>
          <w:vertAlign w:val="superscript"/>
        </w:rPr>
        <w:t>101</w:t>
      </w:r>
      <w:r w:rsidRPr="002F2FDF">
        <w:rPr>
          <w:rFonts w:ascii="Times New Roman" w:hAnsi="Times New Roman" w:cs="Times New Roman"/>
          <w:color w:val="000000" w:themeColor="text1"/>
          <w:kern w:val="2"/>
          <w:sz w:val="16"/>
          <w:szCs w:val="16"/>
        </w:rPr>
        <w:t xml:space="preserve"> автоматическая роторная линия ДСП-116 (1976-77)-4;</w:t>
      </w:r>
    </w:p>
    <w:p w14:paraId="772B5C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холодильники: «Мир» ДХ-120 (1959-), «Свияга» (1971-), "</w:t>
      </w:r>
      <w:r w:rsidRPr="002F2FDF">
        <w:rPr>
          <w:rFonts w:ascii="Times New Roman" w:hAnsi="Times New Roman" w:cs="Times New Roman"/>
          <w:color w:val="000000" w:themeColor="text1"/>
          <w:kern w:val="2"/>
          <w:sz w:val="16"/>
          <w:szCs w:val="16"/>
          <w:lang w:val="en-US"/>
        </w:rPr>
        <w:t>POZIS</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Premier</w:t>
      </w:r>
      <w:r w:rsidRPr="002F2FDF">
        <w:rPr>
          <w:rFonts w:ascii="Times New Roman" w:hAnsi="Times New Roman" w:cs="Times New Roman"/>
          <w:color w:val="000000" w:themeColor="text1"/>
          <w:kern w:val="2"/>
          <w:sz w:val="16"/>
          <w:szCs w:val="16"/>
        </w:rPr>
        <w:t xml:space="preserve"> (2003-), -</w:t>
      </w:r>
      <w:r w:rsidRPr="002F2FDF">
        <w:rPr>
          <w:rFonts w:ascii="Times New Roman" w:hAnsi="Times New Roman" w:cs="Times New Roman"/>
          <w:color w:val="000000" w:themeColor="text1"/>
          <w:kern w:val="2"/>
          <w:sz w:val="16"/>
          <w:szCs w:val="16"/>
          <w:lang w:val="en-US"/>
        </w:rPr>
        <w:t>Classic</w:t>
      </w:r>
      <w:r w:rsidRPr="002F2FDF">
        <w:rPr>
          <w:rFonts w:ascii="Times New Roman" w:hAnsi="Times New Roman" w:cs="Times New Roman"/>
          <w:color w:val="000000" w:themeColor="text1"/>
          <w:kern w:val="2"/>
          <w:sz w:val="16"/>
          <w:szCs w:val="16"/>
        </w:rPr>
        <w:t>, -</w:t>
      </w:r>
      <w:r w:rsidRPr="002F2FDF">
        <w:rPr>
          <w:rFonts w:ascii="Times New Roman" w:hAnsi="Times New Roman" w:cs="Times New Roman"/>
          <w:color w:val="000000" w:themeColor="text1"/>
          <w:kern w:val="2"/>
          <w:sz w:val="16"/>
          <w:szCs w:val="16"/>
          <w:lang w:val="en-US"/>
        </w:rPr>
        <w:t>ELECTROFROST</w:t>
      </w:r>
      <w:r w:rsidRPr="002F2FDF">
        <w:rPr>
          <w:rFonts w:ascii="Times New Roman" w:hAnsi="Times New Roman" w:cs="Times New Roman"/>
          <w:color w:val="000000" w:themeColor="text1"/>
          <w:kern w:val="2"/>
          <w:sz w:val="16"/>
          <w:szCs w:val="16"/>
        </w:rPr>
        <w:t>- 148 (2005-), -МИР-244 (2005-)"; изотермические автофургоны для МО на шасси ГАЭ-3307, ГАЗ-ЗЗО8, КАМАЗ- 43501 (1997-); изотермический прицеп-фургон ПФИ-5; изотермические камеры КИ-1, КИ-1Д-2, КР-1, КИ-02М; реанимационно-эвакуационный автомобиль на шасси ГАЗ-3308 (2005); стиральная машина «Свияга» (1990-е); амортизаторы для легковых автомобилей (1991-) (11982).</w:t>
      </w:r>
    </w:p>
    <w:p w14:paraId="557C1FD6" w14:textId="77777777" w:rsidR="000E76F1" w:rsidRPr="002F2FDF" w:rsidRDefault="000E76F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DE276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699E8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332D0A" w14:textId="77777777" w:rsidR="005B5D8E" w:rsidRPr="002F2FDF" w:rsidRDefault="005B5D8E"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В январе 1917 г. Увофлоту потребовалось новые отделения: школьное и по заводскому хозяйству (19566).</w:t>
      </w:r>
    </w:p>
    <w:p w14:paraId="4953CBCC" w14:textId="77777777" w:rsidR="005B5D8E" w:rsidRPr="002F2FDF" w:rsidRDefault="005B5D8E" w:rsidP="0083075A">
      <w:pPr>
        <w:spacing w:after="0" w:line="240" w:lineRule="auto"/>
        <w:jc w:val="both"/>
        <w:rPr>
          <w:rFonts w:ascii="Times New Roman" w:hAnsi="Times New Roman" w:cs="Times New Roman"/>
          <w:sz w:val="16"/>
          <w:szCs w:val="16"/>
        </w:rPr>
      </w:pPr>
    </w:p>
    <w:p w14:paraId="122CE17F" w14:textId="77777777" w:rsidR="002E7C73" w:rsidRPr="002F2FDF" w:rsidRDefault="002E7C73"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январе 1917 г. был утвержден план формирования броневых частей русской армии, который предусматривал создание 13 дивизионов по 30 боевых машин нескольких типов: по схеме капитана Поплавко (на полноприводном шасси “Джеффери”, “Рено”, “Панар-Левассор"), с движителем прапорщика Кегресса (“Фиат”, “Паккард”) и, наконец, заказанные во Франции танки. Для сравнения – на середину 1917г. броневые силы Русской армии включали 13 дивизионов (300 бронеавтомобилей различных марок) и 7 бронепоездов. То есть в начале 1917г. планировалось практически перевооружить броневые силы Русской армии танками и бронемашинами повышенной проходимости. Заметим, что на тот момент опыт применения английских танков был еще весьма ограничен (не более 50 боевых “танко-дней”), а французские еще не выходили в бой (20250).</w:t>
      </w:r>
    </w:p>
    <w:p w14:paraId="5ED37491" w14:textId="77777777" w:rsidR="002E7C73" w:rsidRPr="002F2FDF" w:rsidRDefault="002E7C73" w:rsidP="0083075A">
      <w:pPr>
        <w:spacing w:after="0" w:line="240" w:lineRule="auto"/>
        <w:jc w:val="both"/>
        <w:rPr>
          <w:rFonts w:ascii="Times New Roman" w:hAnsi="Times New Roman" w:cs="Times New Roman"/>
          <w:color w:val="000000" w:themeColor="text1"/>
          <w:sz w:val="16"/>
          <w:szCs w:val="16"/>
        </w:rPr>
      </w:pPr>
    </w:p>
    <w:p w14:paraId="596E6B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январь 1917 г. в Эскадре насчитывалось около 30 кораблей (считая учебные). Только 4 "Муромца" находилось на фронте. В 1-м отряде на Юго-Западном фронте в Ягельнице бы­ло 2 корабля: XIII-й штабс-капитана В.А.Соловьева и XV-й капитана Г.В.Клембовского. Из-за изношенности XIII-й корабль № 169 не годился для совершения боевых полетов. В 3-м от­ряде на Западном фронте в Станьково находилось еще 2 корабля: "Киевский" № 182 капита­на И.С.Башко и ХП-й штабс-капитана Е.М.Городецкого. В начале 1917 г. только "Киевский" выполнял боевые задания, совершив с января по март 11 вылетов. 6 апреля капитан Башко осуществил перелет Станьково-Винница, покрыв расстояние 650 верст за 6,5 часов. На базе "Муромец" был модернизирован: был полностью остеклен нос, вместо "Аргусов" поставлены 4 новеньких английских мотора "Бердмор" по 160 л.с.. Это были самые лучшие моторы, когда либо применявшиеся на кораблях (11277).</w:t>
      </w:r>
    </w:p>
    <w:p w14:paraId="7C1979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4585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январь 1917 г. в Эскадре насчитывалось около 30 кораблей (считая учебные). Только 4 "Муромца" находилось на фронте. В 1-м отряде на Юго-Западном фронте в Ягельнице было 2 корабля: XII 1-й штабс-капитана В.А.Соловьева и XV-й капитана Г.В.Клембовского. Из- за изношенности XIII-й корабль № 169 не годился для совершения боевых полетов. В 3-м отряде на Западном фронте в Станьково находилось еще 2 корабля: "Киевский" №182 капитана И.С.Башко и ХН-й штабс-капитана Е.М.Городецкого. В начале 1917 г. только "Киевский" выполнял боевые задания, совершив с января по март 11 вылетов (12038).</w:t>
      </w:r>
    </w:p>
    <w:p w14:paraId="1E2F6A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0275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январь 1917 г. в боевом составе авиации Балтфлота находилось 88 самолётов и 45 лётчиков. При отражении налётов авиации противника балтийские лётчики провели 19 воздушных боёв, противник потерял шесть самолётов, свои потери составили три самолёта. При таких начальных данных приступили к созданию авиационных частей и соединения (11928).</w:t>
      </w:r>
    </w:p>
    <w:p w14:paraId="25726B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2520A8" w14:textId="77777777" w:rsidR="002E7C73" w:rsidRPr="002F2FDF" w:rsidRDefault="002E7C7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январе 1917 г. УВВФ, исходя из ме</w:t>
      </w:r>
      <w:r w:rsidRPr="002F2FDF">
        <w:rPr>
          <w:rFonts w:ascii="Times New Roman" w:hAnsi="Times New Roman" w:cs="Times New Roman"/>
          <w:color w:val="000000" w:themeColor="text1"/>
          <w:sz w:val="16"/>
          <w:szCs w:val="16"/>
        </w:rPr>
        <w:softHyphen/>
        <w:t>сячной потребности авиационных частей в ша</w:t>
      </w:r>
      <w:r w:rsidRPr="002F2FDF">
        <w:rPr>
          <w:rFonts w:ascii="Times New Roman" w:hAnsi="Times New Roman" w:cs="Times New Roman"/>
          <w:color w:val="000000" w:themeColor="text1"/>
          <w:sz w:val="16"/>
          <w:szCs w:val="16"/>
        </w:rPr>
        <w:softHyphen/>
        <w:t>рах-пилотах в 10190 штук, заказало ТРАРМ на период до 1 июля 1918 г. 150 тыс. оболочек для них (20120).</w:t>
      </w:r>
    </w:p>
    <w:p w14:paraId="1B62A3BA" w14:textId="77777777" w:rsidR="002E7C73" w:rsidRPr="002F2FDF" w:rsidRDefault="002E7C73" w:rsidP="0083075A">
      <w:pPr>
        <w:spacing w:after="0" w:line="240" w:lineRule="auto"/>
        <w:jc w:val="both"/>
        <w:rPr>
          <w:rFonts w:ascii="Times New Roman" w:hAnsi="Times New Roman" w:cs="Times New Roman"/>
          <w:color w:val="000000" w:themeColor="text1"/>
          <w:sz w:val="16"/>
          <w:szCs w:val="16"/>
        </w:rPr>
      </w:pPr>
    </w:p>
    <w:p w14:paraId="319D55A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1917 г., после обобщения первых сообщений о применении танков союзниками, а также собственного опыта применения бронеавтомобилей, был принят перс</w:t>
      </w:r>
      <w:r w:rsidRPr="002F2FDF">
        <w:rPr>
          <w:rFonts w:ascii="Times New Roman" w:hAnsi="Times New Roman" w:cs="Times New Roman"/>
          <w:color w:val="000000" w:themeColor="text1"/>
          <w:kern w:val="2"/>
          <w:sz w:val="16"/>
          <w:szCs w:val="16"/>
        </w:rPr>
        <w:softHyphen/>
        <w:t>пективный план формирования броневых частей Русской армии. Этот план предусматривал создание новых броне-дивизионов, оснащенных новой материальной частью вез</w:t>
      </w:r>
      <w:r w:rsidRPr="002F2FDF">
        <w:rPr>
          <w:rFonts w:ascii="Times New Roman" w:hAnsi="Times New Roman" w:cs="Times New Roman"/>
          <w:color w:val="000000" w:themeColor="text1"/>
          <w:kern w:val="2"/>
          <w:sz w:val="16"/>
          <w:szCs w:val="16"/>
        </w:rPr>
        <w:softHyphen/>
        <w:t>деходного типа, среди которых особо выделялись боевые машины следующих типов:</w:t>
      </w:r>
    </w:p>
    <w:p w14:paraId="7BEB055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бронеавтомобили по проекту Поплавка на полноприводных шасси типа “Джеффери”, “Рено” “Панар-Левассер” и ФВД;</w:t>
      </w:r>
    </w:p>
    <w:p w14:paraId="02398EA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 бронированных автомобилей “Паккард”, “Остин” [и дру</w:t>
      </w:r>
      <w:r w:rsidRPr="002F2FDF">
        <w:rPr>
          <w:rFonts w:ascii="Times New Roman" w:hAnsi="Times New Roman" w:cs="Times New Roman"/>
          <w:color w:val="000000" w:themeColor="text1"/>
          <w:kern w:val="2"/>
          <w:sz w:val="16"/>
          <w:szCs w:val="16"/>
        </w:rPr>
        <w:softHyphen/>
        <w:t>гих] ...на вездеходных приспособлениях Кегресса;</w:t>
      </w:r>
    </w:p>
    <w:p w14:paraId="7521D29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заказом у французов танков “малого типа”.</w:t>
      </w:r>
    </w:p>
    <w:p w14:paraId="2D97C5D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Революционные события февраля—марта 1917 г. затор</w:t>
      </w:r>
      <w:r w:rsidRPr="002F2FDF">
        <w:rPr>
          <w:rFonts w:ascii="Times New Roman" w:hAnsi="Times New Roman" w:cs="Times New Roman"/>
          <w:color w:val="000000" w:themeColor="text1"/>
          <w:kern w:val="2"/>
          <w:sz w:val="16"/>
          <w:szCs w:val="16"/>
        </w:rPr>
        <w:softHyphen/>
        <w:t>мозили реализацию этого плана до лета. На состоявшейся в мае 1917 г. союзнической конференции в Петрограде бы</w:t>
      </w:r>
      <w:r w:rsidRPr="002F2FDF">
        <w:rPr>
          <w:rFonts w:ascii="Times New Roman" w:hAnsi="Times New Roman" w:cs="Times New Roman"/>
          <w:color w:val="000000" w:themeColor="text1"/>
          <w:kern w:val="2"/>
          <w:sz w:val="16"/>
          <w:szCs w:val="16"/>
        </w:rPr>
        <w:softHyphen/>
        <w:t>ла установлена точная потребность русской армии в танках нового типа в количестве 6 машин на каждое из 50 отделе</w:t>
      </w:r>
      <w:r w:rsidRPr="002F2FDF">
        <w:rPr>
          <w:rFonts w:ascii="Times New Roman" w:hAnsi="Times New Roman" w:cs="Times New Roman"/>
          <w:color w:val="000000" w:themeColor="text1"/>
          <w:kern w:val="2"/>
          <w:sz w:val="16"/>
          <w:szCs w:val="16"/>
        </w:rPr>
        <w:softHyphen/>
        <w:t>ний бронедивизионов и трети машин резерва, что состав</w:t>
      </w:r>
      <w:r w:rsidRPr="002F2FDF">
        <w:rPr>
          <w:rFonts w:ascii="Times New Roman" w:hAnsi="Times New Roman" w:cs="Times New Roman"/>
          <w:color w:val="000000" w:themeColor="text1"/>
          <w:kern w:val="2"/>
          <w:sz w:val="16"/>
          <w:szCs w:val="16"/>
        </w:rPr>
        <w:softHyphen/>
        <w:t>ляло в сумме 390 танков типа “Шнейдер С.А.1.” (10733,31).</w:t>
      </w:r>
    </w:p>
    <w:p w14:paraId="328EA14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CCF8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1917 г., после обобщения первых сообщений о применении танков союзниками, а также собственного опыта применения бронеавтомобилей, был принят перспективный план формирования броневых частей русской армии. Этот план предусматривал создание новых бронедивизионов, оснащенных новой материальной частью вездеходного типа, среди которых особо выделялись боевые машины следующих типов:</w:t>
      </w:r>
    </w:p>
    <w:p w14:paraId="666C07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бронеавтомобили по проекту Поплавко на полноприводных шасси типа «Джеффери», «Рено», «Панар- Левассер» и ФВД;</w:t>
      </w:r>
    </w:p>
    <w:p w14:paraId="5973CA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бронированные автомобили «Паккард», «Остин» /и др./… на вездеходных приспособлениях Кегресса;</w:t>
      </w:r>
    </w:p>
    <w:p w14:paraId="4A2D06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заказ у французов танков «малого типа».</w:t>
      </w:r>
    </w:p>
    <w:p w14:paraId="3C648F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Революционные события февраля-марта 1917 г. затормозили реализацию этого плана до лета (12108).</w:t>
      </w:r>
    </w:p>
    <w:p w14:paraId="78E21E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A9CE46" w14:textId="77777777" w:rsidR="00EE4596" w:rsidRPr="002F2FDF" w:rsidRDefault="00EE459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1917 года русское командование решило сформировать ещё 3 дивизиона бронепатомобилей Поплавко для Юго-Западного и Румынского фронтов. Заказ на изготовление 90 «Джеффери» с улучшенным вариантом бронировки 14 февраля 1917 года получил Склад приборов и приспособлений при Офицерской стрелковой школе, а броня должна была поступать с Ижорского завода.</w:t>
      </w:r>
    </w:p>
    <w:p w14:paraId="2E5B0C9A" w14:textId="77777777" w:rsidR="00EE4596" w:rsidRPr="002F2FDF" w:rsidRDefault="00EE459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Предполагалось, начиная с середины марта сдавать ежемесячно по 15 машин. Однако реально построили только 1 броневик, отправленный 16 июня 1916 года в Запасной броневой дивизион. В начавшемся 16 июня 1917 года наступлении войск 11-й армии бронедивизион Особого назначения для прорыва проволочных заграждений не применялся. Однако, действуя как обычные броневики, «Джеффери» оказали большую помощь 17-му армейскому корпусу, прикрывая его отход во время прорыва немцев на Тарнополь. Так, 7 июля у урочища Лисьи Ямы (северо-восточнее Тарнополя) машины 1-го отделения под командованием хорунжего Иноземцева атаковали немцев и под сильным артиллерийским огнём, заполняя прорывы в наших пехотных цепях, задержали продвижение противника на 3,5 часа. В тот же день 2-е отделение штабс-капитана Алексеевцева и 3-е штабс-капитана Устинова с 16 часов вели бой под м. Езерна, прикрывая эвакуацию имущества. С наступлением темноты, прорвавшись через объятую огнём Езерну и уничтожив склад боеприпасов, который не сумели вывезти, машины отошли к Тарнополю. 8 июля 1916 года все 3 отделения прикрывали переправы на реке Сереет и шоссе Тарнополь – Ново-Заложице. Не имея связи с пехотой, отходившей, не оказывая никакого сопротивления, броневики с 8 утра до 8 вечера сдерживали немцев, непрерывно атакуя их, расстреливая в упор и не давая продвигаться. Кроме того, машины дивизиона вывозили из-под огня раненых, брошенные отступавшими войсками пулемёты и орудия.</w:t>
      </w:r>
    </w:p>
    <w:p w14:paraId="75FF3A1F" w14:textId="77777777" w:rsidR="00EE4596" w:rsidRPr="002F2FDF" w:rsidRDefault="00EE459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ходе непрерывных 2-дневных боёв 2 броневика были разбиты огнём немецкой артиллерии, а 3 машины подорваны экипажами (из-за поломок вывести их в тыл не представлялось возможным). 18 июля 1-е отделение поддерживало части 122-й пехотной дивизии при атаке города Гжималув. Машины ворвались в город, помогли пехоте выбить оттуда противника и 1,5 километра преследовали его. Основной причиной эффективных действий «Джеффери» в июльских боях являлась их повышенная проходимость и подвижность (за счёт поворота передних и задних колёс) по сравнению с другими типами броневых автомобилей. Особенно это было заметно в боях 7 – 8 июля 1917 года, когда из-за дождей грунтовые дороги стали практически непроходимыми для автомашин. Однако выявились и серьёзные недостатки в системе бронировки и вооружения «Джеффери». Так, боевое отделение сильно нагревалось от находившегося там двигателя, а горизонтальный обстрел пулемётов составлял всего 15 градусов. 2 октября 1917 года, после испытания «Джеффери», в присутствии членов штаба Юго-Западного фронта решено было «отказаться от применения этих машин для выполнения задачи особого назначения, а использовать их для выполнения задач обыкновенных броневых автомобилей, причём благодаря неудовлетворительному размещению и конструкции бойниц (пулемётных) лишь при условии совместной работы одновременно не менее 2-х таких броневиков». После октябрьского переворота 1917 года бронедивизион Особого назначения был «украинизирован» и включён в состав вооружённых сил Центральной Рады – правительства провозгласившей независимость Украины. Однако Центральная Рада не смогла долго удержаться у власти и бронеавтомобили «Джеффери» пошли по рукам. Большая их часть досталась Красной Армии и была передана во вновь сформированные бронеотряды (17005).</w:t>
      </w:r>
    </w:p>
    <w:p w14:paraId="5B65B0B8" w14:textId="77777777" w:rsidR="00EE4596" w:rsidRPr="002F2FDF" w:rsidRDefault="00EE459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396D9D" w14:textId="77777777" w:rsidR="001C638F" w:rsidRPr="002F2FDF" w:rsidRDefault="001C638F"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В январе 1917 года у мурманского берега Кольского полуострова появилась немецкая субмарина U76, имевшая задание проникнуть в залив и поставить у Александровска–на–Мурмане минное заграждение. Эти планы сорвал русский тральщик Т-30, успевший протаранить лодку до ее погружения. Израсходовав все топливо, U76 некоторое время шла под электромоторами, пока не разрядились аккумуляторы. Тогда командир принял решение затопить ее, и 14 января она исчезла в пучине у норвежских берегов.</w:t>
      </w:r>
    </w:p>
    <w:p w14:paraId="212F1A05" w14:textId="77777777" w:rsidR="001C638F" w:rsidRPr="002F2FDF" w:rsidRDefault="001C638F"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Первой жертвой германских подводных лодок весной 1917 года на Севере стал русский транспорт «Ганслей», потопленный недалеко от острова Седловатый. Затем германские подводники уничтожили еще несколько торговых судов союзников. Одним из наиболее излюбленных «охотничьих угодий» для них стали подходы к Кольскому заливу. Только у мыса Цып–Наволок в те дни появилось до 7 германских подлодок. Вернувшаяся в северные воды U75 выставила здесь еще и три минные банки. Но эти мины были обнаружены русскими тральщиками и уничтожены. В 1917 году корабли флотилии СЛО более 20 раз обнаруживали германские подводные лодки у Кольского залива (к этому времени в Заполярье их было уже 12 единиц. — Авт.), которые только в Баренцевом море потопили более 20 транспортов стран Антанты. А 27 марта союзный транспорт был потоплен прямо на глазах у моряков дозорного русского тральщика (17007).</w:t>
      </w:r>
    </w:p>
    <w:p w14:paraId="27060091" w14:textId="77777777" w:rsidR="001C638F" w:rsidRPr="002F2FDF" w:rsidRDefault="001C638F"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p>
    <w:p w14:paraId="2C5090D8" w14:textId="77777777" w:rsidR="007E26D6" w:rsidRPr="002F2FDF" w:rsidRDefault="007E26D6"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В январе 1917 г. было принято решение о формировании трех тракторных рот: двух для Юго-Западного и одной для Западного фронтов. Формирование тракторных рот осуществлялось в Царском Селе при 1-м Запасном тяжелом артиллерийском полку, являвшимся центральной структурой по формированию подразделений тяжелой артиллерии и одним из центров обучения военных трактористов.</w:t>
      </w:r>
    </w:p>
    <w:p w14:paraId="29D183F7" w14:textId="77777777" w:rsidR="007E26D6" w:rsidRPr="002F2FDF" w:rsidRDefault="007E26D6"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Личный состав тракторной роты включал в себя десять офицеров, пять военных чиновников и 324 нижних чина. По штату роты должны были иметь в своем составе четыре взвода с материальной частью: 16 основных тракторов и четыре запасных, четыре трактора, оборудованные в ремонтные "летучки", четыре трактора с цистернами для горючего и 32 прицепные тележки (по две на каждый основной трактор). Для обслуживания тракторов предусматривались вспомогательные парки -- взводный и ротный. К взводному парку предписывались два грузовика, один легковой автомобиль для командира и один мотоцикл для связи. В ротном вспомогательном парке должны были находиться четыре легковых машины, два грузовика для перевозки запасных частей, четыре грузовика для перевозки ротного имущества, две автомобильных цистерны и четыре мотоцикла для службы связи и регулирования движения. В мае 1917 г. две тракторные роты были созданы (18380).</w:t>
      </w:r>
    </w:p>
    <w:p w14:paraId="65C057DF" w14:textId="77777777" w:rsidR="007E26D6" w:rsidRPr="002F2FDF" w:rsidRDefault="007E26D6" w:rsidP="0083075A">
      <w:pPr>
        <w:spacing w:after="0" w:line="240" w:lineRule="auto"/>
        <w:jc w:val="both"/>
        <w:rPr>
          <w:rFonts w:ascii="Times New Roman" w:eastAsia="Times New Roman" w:hAnsi="Times New Roman" w:cs="Times New Roman"/>
          <w:color w:val="000000" w:themeColor="text1"/>
          <w:sz w:val="16"/>
          <w:szCs w:val="16"/>
          <w:lang w:eastAsia="ru-RU"/>
        </w:rPr>
      </w:pPr>
    </w:p>
    <w:p w14:paraId="0D9D8A08" w14:textId="77777777" w:rsidR="006B6876" w:rsidRPr="00FB4F67" w:rsidRDefault="006B68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течение января 1917 г. на Кавказском фронте у турок был Fl.Abt. 10 в Элязыге со 2-й армией, а Fl.Abt.7 базировался в Су-Шехире с 3-й армией. Турецкий Fl.Abt.8 готовился к отправке в Гиресун на побережье Черного моря (23525).</w:t>
      </w:r>
    </w:p>
    <w:p w14:paraId="6FC51378" w14:textId="77777777" w:rsidR="006B6876" w:rsidRPr="00FB4F67" w:rsidRDefault="006B6876" w:rsidP="0083075A">
      <w:pPr>
        <w:spacing w:after="0" w:line="240" w:lineRule="auto"/>
        <w:jc w:val="both"/>
        <w:rPr>
          <w:rFonts w:ascii="Times New Roman" w:hAnsi="Times New Roman" w:cs="Times New Roman"/>
          <w:color w:val="0070C0"/>
          <w:sz w:val="16"/>
          <w:szCs w:val="16"/>
        </w:rPr>
      </w:pPr>
    </w:p>
    <w:p w14:paraId="7688D621" w14:textId="77777777" w:rsidR="006B6876" w:rsidRPr="00FB4F67" w:rsidRDefault="006B68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январе 1917 в составе Военно-Воздушного Флота России на фронте находилось 411 летчиков-офицеров и 219 летчиков младших чинов. Морская авиация Балтийского флота имела 96 офицеров, 44 летчика-офицера, одного летчика сержанта. 1338 человек и восемьдесят восемь самолетов. Черноморский флот имел сорок пять летчиков-офицеров и одиннадцать летчиков низшего ранга (23525).</w:t>
      </w:r>
    </w:p>
    <w:p w14:paraId="7A8BB3C9" w14:textId="77777777" w:rsidR="006B6876" w:rsidRPr="00FB4F67" w:rsidRDefault="006B6876" w:rsidP="0083075A">
      <w:pPr>
        <w:spacing w:after="0" w:line="240" w:lineRule="auto"/>
        <w:jc w:val="both"/>
        <w:rPr>
          <w:rFonts w:ascii="Times New Roman" w:hAnsi="Times New Roman" w:cs="Times New Roman"/>
          <w:color w:val="0070C0"/>
          <w:sz w:val="16"/>
          <w:szCs w:val="16"/>
        </w:rPr>
      </w:pPr>
    </w:p>
    <w:p w14:paraId="5C7D1357" w14:textId="77777777" w:rsidR="006B6876" w:rsidRPr="00FB4F67" w:rsidRDefault="006B68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январе 1917 г. на Кавказском фронте у русских были 1-я, 2-я и 4-я Кавказские КАО в Эрзеруме, а 3-я Кавказская КАО находилась в Хайдарабаде на севере Персии. Российские части начали получать Caudron G-type (23525).</w:t>
      </w:r>
    </w:p>
    <w:p w14:paraId="455BCB0B" w14:textId="77777777" w:rsidR="006B6876" w:rsidRPr="00FB4F67" w:rsidRDefault="006B6876" w:rsidP="0083075A">
      <w:pPr>
        <w:spacing w:after="0" w:line="240" w:lineRule="auto"/>
        <w:jc w:val="both"/>
        <w:rPr>
          <w:rFonts w:ascii="Times New Roman" w:hAnsi="Times New Roman" w:cs="Times New Roman"/>
          <w:color w:val="0070C0"/>
          <w:sz w:val="16"/>
          <w:szCs w:val="16"/>
        </w:rPr>
      </w:pPr>
    </w:p>
    <w:p w14:paraId="6D89480D" w14:textId="77777777" w:rsidR="006B6876" w:rsidRPr="00FB4F67" w:rsidRDefault="006B68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январе 1917 г. Россия имела следующие воздухоплавательные отряды: с 1-го по 27-й КВО (корпусные части); ВО с 1-й по 28-ю армии; и Кавказский КВО. Всего пятьдесят шесть (23525).</w:t>
      </w:r>
    </w:p>
    <w:p w14:paraId="469DF982" w14:textId="77777777" w:rsidR="006B6876" w:rsidRPr="00FB4F67" w:rsidRDefault="006B6876" w:rsidP="0083075A">
      <w:pPr>
        <w:spacing w:after="0" w:line="240" w:lineRule="auto"/>
        <w:jc w:val="both"/>
        <w:rPr>
          <w:rFonts w:ascii="Times New Roman" w:hAnsi="Times New Roman" w:cs="Times New Roman"/>
          <w:color w:val="0070C0"/>
          <w:sz w:val="16"/>
          <w:szCs w:val="16"/>
        </w:rPr>
      </w:pPr>
    </w:p>
    <w:p w14:paraId="1EF7E83F" w14:textId="27516DBC" w:rsidR="000E76F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7957162" w14:textId="77777777" w:rsidR="000E76F1" w:rsidRPr="002F2FDF" w:rsidRDefault="000E76F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2B94CB" w14:textId="77777777" w:rsidR="00C364AB" w:rsidRPr="002F2FDF" w:rsidRDefault="00C364A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январе 1917 года экономист Владимир Твердохлебов (во время революции главный редактор «Торгово-промышленной газеты») отмечал, что в России «в эти годы величайшего разорения население потребляет и расходует больше, чем в мирное время, бюджеты большей части населения возросли», что «нормальный солдатский рацион оказался роскошью для взятого на войну крестьянина». С разных концов России, отмечает Твердохлебов, сообщалось о том, что «крестьянки раскупают ситцы и другие материи в невиданном до сих пор размере». Городское население, по его мнению, в целом тоже увеличило свои доходы. При этом Твердохлебов признает, что «цены жизненных продуктов, обуви, одежды поднялись вдвое, втрое и больше того». Обсуждая вопрос об увеличении бюджета населения, он приходит к мнению, что не заработная плата поднялась из-за роста цен, а, «наоборот, рост цен вызван ростом доходов и спроса на товары» (18087).</w:t>
      </w:r>
    </w:p>
    <w:p w14:paraId="41F80191" w14:textId="77777777" w:rsidR="00C364AB" w:rsidRPr="002F2FDF" w:rsidRDefault="00C364AB" w:rsidP="0083075A">
      <w:pPr>
        <w:spacing w:after="0" w:line="240" w:lineRule="auto"/>
        <w:jc w:val="both"/>
        <w:rPr>
          <w:rFonts w:ascii="Times New Roman" w:hAnsi="Times New Roman" w:cs="Times New Roman"/>
          <w:color w:val="000000" w:themeColor="text1"/>
          <w:sz w:val="16"/>
          <w:szCs w:val="16"/>
        </w:rPr>
      </w:pPr>
    </w:p>
    <w:p w14:paraId="6260FF00" w14:textId="77777777" w:rsidR="00C364AB" w:rsidRPr="002F2FDF" w:rsidRDefault="00C364A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В январе 1917 года вновь открылась Санкт-Петербургской биржа, закрытая после того, как в предчувствии крупномасштабного военного конфликта 12 июля 1914 года началась паника на биржах, котировки российских фондов стали стремительно падать, а через неделю работа российских бирж и вовсе была прекращена, однако через два месяца снова перестала работать (18089).</w:t>
      </w:r>
    </w:p>
    <w:p w14:paraId="3E238F59" w14:textId="77777777" w:rsidR="00C364AB" w:rsidRPr="002F2FDF" w:rsidRDefault="00C364AB" w:rsidP="0083075A">
      <w:pPr>
        <w:spacing w:after="0" w:line="240" w:lineRule="auto"/>
        <w:jc w:val="both"/>
        <w:rPr>
          <w:rFonts w:ascii="Times New Roman" w:hAnsi="Times New Roman" w:cs="Times New Roman"/>
          <w:color w:val="000000" w:themeColor="text1"/>
          <w:sz w:val="16"/>
          <w:szCs w:val="16"/>
        </w:rPr>
      </w:pPr>
    </w:p>
    <w:p w14:paraId="753F15D5" w14:textId="2463638B" w:rsidR="00C364AB" w:rsidRPr="002F2FDF" w:rsidRDefault="00C364AB"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В</w:t>
      </w:r>
      <w:r w:rsidR="00E52569">
        <w:rPr>
          <w:rFonts w:ascii="Times New Roman" w:eastAsia="Times New Roman" w:hAnsi="Times New Roman" w:cs="Times New Roman"/>
          <w:color w:val="000000" w:themeColor="text1"/>
          <w:sz w:val="16"/>
          <w:szCs w:val="16"/>
          <w:lang w:eastAsia="ru-RU"/>
        </w:rPr>
        <w:t xml:space="preserve"> </w:t>
      </w:r>
      <w:r w:rsidRPr="002F2FDF">
        <w:rPr>
          <w:rFonts w:ascii="Times New Roman" w:eastAsia="Times New Roman" w:hAnsi="Times New Roman" w:cs="Times New Roman"/>
          <w:color w:val="000000" w:themeColor="text1"/>
          <w:sz w:val="16"/>
          <w:szCs w:val="16"/>
          <w:lang w:eastAsia="ru-RU"/>
        </w:rPr>
        <w:t>начале 1917</w:t>
      </w:r>
      <w:r w:rsidR="00E52569">
        <w:rPr>
          <w:rFonts w:ascii="Times New Roman" w:eastAsia="Times New Roman" w:hAnsi="Times New Roman" w:cs="Times New Roman"/>
          <w:color w:val="000000" w:themeColor="text1"/>
          <w:sz w:val="16"/>
          <w:szCs w:val="16"/>
          <w:lang w:eastAsia="ru-RU"/>
        </w:rPr>
        <w:t xml:space="preserve"> </w:t>
      </w:r>
      <w:r w:rsidRPr="002F2FDF">
        <w:rPr>
          <w:rFonts w:ascii="Times New Roman" w:eastAsia="Times New Roman" w:hAnsi="Times New Roman" w:cs="Times New Roman"/>
          <w:color w:val="000000" w:themeColor="text1"/>
          <w:sz w:val="16"/>
          <w:szCs w:val="16"/>
          <w:lang w:eastAsia="ru-RU"/>
        </w:rPr>
        <w:t>года в</w:t>
      </w:r>
      <w:r w:rsidR="00E52569">
        <w:rPr>
          <w:rFonts w:ascii="Times New Roman" w:eastAsia="Times New Roman" w:hAnsi="Times New Roman" w:cs="Times New Roman"/>
          <w:color w:val="000000" w:themeColor="text1"/>
          <w:sz w:val="16"/>
          <w:szCs w:val="16"/>
          <w:lang w:eastAsia="ru-RU"/>
        </w:rPr>
        <w:t xml:space="preserve"> </w:t>
      </w:r>
      <w:r w:rsidRPr="002F2FDF">
        <w:rPr>
          <w:rFonts w:ascii="Times New Roman" w:eastAsia="Times New Roman" w:hAnsi="Times New Roman" w:cs="Times New Roman"/>
          <w:color w:val="000000" w:themeColor="text1"/>
          <w:sz w:val="16"/>
          <w:szCs w:val="16"/>
          <w:lang w:eastAsia="ru-RU"/>
        </w:rPr>
        <w:t>состав Государственного банка входили 11</w:t>
      </w:r>
      <w:r w:rsidR="00E52569">
        <w:rPr>
          <w:rFonts w:ascii="Times New Roman" w:eastAsia="Times New Roman" w:hAnsi="Times New Roman" w:cs="Times New Roman"/>
          <w:color w:val="000000" w:themeColor="text1"/>
          <w:sz w:val="16"/>
          <w:szCs w:val="16"/>
          <w:lang w:eastAsia="ru-RU"/>
        </w:rPr>
        <w:t xml:space="preserve"> </w:t>
      </w:r>
      <w:r w:rsidRPr="002F2FDF">
        <w:rPr>
          <w:rFonts w:ascii="Times New Roman" w:eastAsia="Times New Roman" w:hAnsi="Times New Roman" w:cs="Times New Roman"/>
          <w:color w:val="000000" w:themeColor="text1"/>
          <w:sz w:val="16"/>
          <w:szCs w:val="16"/>
          <w:lang w:eastAsia="ru-RU"/>
        </w:rPr>
        <w:t>контор, 133</w:t>
      </w:r>
      <w:r w:rsidR="00E52569">
        <w:rPr>
          <w:rFonts w:ascii="Times New Roman" w:eastAsia="Times New Roman" w:hAnsi="Times New Roman" w:cs="Times New Roman"/>
          <w:color w:val="000000" w:themeColor="text1"/>
          <w:sz w:val="16"/>
          <w:szCs w:val="16"/>
          <w:lang w:eastAsia="ru-RU"/>
        </w:rPr>
        <w:t xml:space="preserve"> </w:t>
      </w:r>
      <w:r w:rsidRPr="002F2FDF">
        <w:rPr>
          <w:rFonts w:ascii="Times New Roman" w:eastAsia="Times New Roman" w:hAnsi="Times New Roman" w:cs="Times New Roman"/>
          <w:color w:val="000000" w:themeColor="text1"/>
          <w:sz w:val="16"/>
          <w:szCs w:val="16"/>
          <w:lang w:eastAsia="ru-RU"/>
        </w:rPr>
        <w:t>постоянных и</w:t>
      </w:r>
      <w:r w:rsidR="00E52569">
        <w:rPr>
          <w:rFonts w:ascii="Times New Roman" w:eastAsia="Times New Roman" w:hAnsi="Times New Roman" w:cs="Times New Roman"/>
          <w:color w:val="000000" w:themeColor="text1"/>
          <w:sz w:val="16"/>
          <w:szCs w:val="16"/>
          <w:lang w:eastAsia="ru-RU"/>
        </w:rPr>
        <w:t xml:space="preserve"> </w:t>
      </w:r>
      <w:r w:rsidRPr="002F2FDF">
        <w:rPr>
          <w:rFonts w:ascii="Times New Roman" w:eastAsia="Times New Roman" w:hAnsi="Times New Roman" w:cs="Times New Roman"/>
          <w:color w:val="000000" w:themeColor="text1"/>
          <w:sz w:val="16"/>
          <w:szCs w:val="16"/>
          <w:lang w:eastAsia="ru-RU"/>
        </w:rPr>
        <w:t>5</w:t>
      </w:r>
      <w:r w:rsidR="00E52569">
        <w:rPr>
          <w:rFonts w:ascii="Times New Roman" w:eastAsia="Times New Roman" w:hAnsi="Times New Roman" w:cs="Times New Roman"/>
          <w:color w:val="000000" w:themeColor="text1"/>
          <w:sz w:val="16"/>
          <w:szCs w:val="16"/>
          <w:lang w:eastAsia="ru-RU"/>
        </w:rPr>
        <w:t xml:space="preserve"> </w:t>
      </w:r>
      <w:r w:rsidRPr="002F2FDF">
        <w:rPr>
          <w:rFonts w:ascii="Times New Roman" w:eastAsia="Times New Roman" w:hAnsi="Times New Roman" w:cs="Times New Roman"/>
          <w:color w:val="000000" w:themeColor="text1"/>
          <w:sz w:val="16"/>
          <w:szCs w:val="16"/>
          <w:lang w:eastAsia="ru-RU"/>
        </w:rPr>
        <w:t>временных отделений, 42</w:t>
      </w:r>
      <w:r w:rsidR="00E52569">
        <w:rPr>
          <w:rFonts w:ascii="Times New Roman" w:eastAsia="Times New Roman" w:hAnsi="Times New Roman" w:cs="Times New Roman"/>
          <w:color w:val="000000" w:themeColor="text1"/>
          <w:sz w:val="16"/>
          <w:szCs w:val="16"/>
          <w:lang w:eastAsia="ru-RU"/>
        </w:rPr>
        <w:t xml:space="preserve"> </w:t>
      </w:r>
      <w:r w:rsidRPr="002F2FDF">
        <w:rPr>
          <w:rFonts w:ascii="Times New Roman" w:eastAsia="Times New Roman" w:hAnsi="Times New Roman" w:cs="Times New Roman"/>
          <w:color w:val="000000" w:themeColor="text1"/>
          <w:sz w:val="16"/>
          <w:szCs w:val="16"/>
          <w:lang w:eastAsia="ru-RU"/>
        </w:rPr>
        <w:t>агентства при зернохранилищах. Кроме того, в</w:t>
      </w:r>
      <w:r w:rsidR="00E52569">
        <w:rPr>
          <w:rFonts w:ascii="Times New Roman" w:eastAsia="Times New Roman" w:hAnsi="Times New Roman" w:cs="Times New Roman"/>
          <w:color w:val="000000" w:themeColor="text1"/>
          <w:sz w:val="16"/>
          <w:szCs w:val="16"/>
          <w:lang w:eastAsia="ru-RU"/>
        </w:rPr>
        <w:t xml:space="preserve"> </w:t>
      </w:r>
      <w:r w:rsidRPr="002F2FDF">
        <w:rPr>
          <w:rFonts w:ascii="Times New Roman" w:eastAsia="Times New Roman" w:hAnsi="Times New Roman" w:cs="Times New Roman"/>
          <w:color w:val="000000" w:themeColor="text1"/>
          <w:sz w:val="16"/>
          <w:szCs w:val="16"/>
          <w:lang w:eastAsia="ru-RU"/>
        </w:rPr>
        <w:t>это время Государственный банк руководил банковскими операциями, которые осуществлялись в</w:t>
      </w:r>
      <w:r w:rsidR="00E52569">
        <w:rPr>
          <w:rFonts w:ascii="Times New Roman" w:eastAsia="Times New Roman" w:hAnsi="Times New Roman" w:cs="Times New Roman"/>
          <w:color w:val="000000" w:themeColor="text1"/>
          <w:sz w:val="16"/>
          <w:szCs w:val="16"/>
          <w:lang w:eastAsia="ru-RU"/>
        </w:rPr>
        <w:t xml:space="preserve"> </w:t>
      </w:r>
      <w:r w:rsidRPr="002F2FDF">
        <w:rPr>
          <w:rFonts w:ascii="Times New Roman" w:eastAsia="Times New Roman" w:hAnsi="Times New Roman" w:cs="Times New Roman"/>
          <w:color w:val="000000" w:themeColor="text1"/>
          <w:sz w:val="16"/>
          <w:szCs w:val="16"/>
          <w:lang w:eastAsia="ru-RU"/>
        </w:rPr>
        <w:t>793</w:t>
      </w:r>
      <w:r w:rsidR="00E52569">
        <w:rPr>
          <w:rFonts w:ascii="Times New Roman" w:eastAsia="Times New Roman" w:hAnsi="Times New Roman" w:cs="Times New Roman"/>
          <w:color w:val="000000" w:themeColor="text1"/>
          <w:sz w:val="16"/>
          <w:szCs w:val="16"/>
          <w:lang w:eastAsia="ru-RU"/>
        </w:rPr>
        <w:t xml:space="preserve"> </w:t>
      </w:r>
      <w:r w:rsidRPr="002F2FDF">
        <w:rPr>
          <w:rFonts w:ascii="Times New Roman" w:eastAsia="Times New Roman" w:hAnsi="Times New Roman" w:cs="Times New Roman"/>
          <w:color w:val="000000" w:themeColor="text1"/>
          <w:sz w:val="16"/>
          <w:szCs w:val="16"/>
          <w:lang w:eastAsia="ru-RU"/>
        </w:rPr>
        <w:t>казначействах.</w:t>
      </w:r>
    </w:p>
    <w:p w14:paraId="103577AE" w14:textId="462A836C" w:rsidR="00C364AB" w:rsidRPr="002F2FDF" w:rsidRDefault="00C364AB"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Также банк поддерживал финансами Государственный дворянский земельный и</w:t>
      </w:r>
      <w:r w:rsidR="00E52569">
        <w:rPr>
          <w:rFonts w:ascii="Times New Roman" w:eastAsia="Times New Roman" w:hAnsi="Times New Roman" w:cs="Times New Roman"/>
          <w:color w:val="000000" w:themeColor="text1"/>
          <w:sz w:val="16"/>
          <w:szCs w:val="16"/>
          <w:lang w:eastAsia="ru-RU"/>
        </w:rPr>
        <w:t xml:space="preserve"> </w:t>
      </w:r>
      <w:r w:rsidRPr="002F2FDF">
        <w:rPr>
          <w:rFonts w:ascii="Times New Roman" w:eastAsia="Times New Roman" w:hAnsi="Times New Roman" w:cs="Times New Roman"/>
          <w:color w:val="000000" w:themeColor="text1"/>
          <w:sz w:val="16"/>
          <w:szCs w:val="16"/>
          <w:lang w:eastAsia="ru-RU"/>
        </w:rPr>
        <w:t>Крестьянский поземельный банки. При его поддержке создавались акционерные банки и</w:t>
      </w:r>
      <w:r w:rsidR="00E52569">
        <w:rPr>
          <w:rFonts w:ascii="Times New Roman" w:eastAsia="Times New Roman" w:hAnsi="Times New Roman" w:cs="Times New Roman"/>
          <w:color w:val="000000" w:themeColor="text1"/>
          <w:sz w:val="16"/>
          <w:szCs w:val="16"/>
          <w:lang w:eastAsia="ru-RU"/>
        </w:rPr>
        <w:t xml:space="preserve"> </w:t>
      </w:r>
      <w:r w:rsidRPr="002F2FDF">
        <w:rPr>
          <w:rFonts w:ascii="Times New Roman" w:eastAsia="Times New Roman" w:hAnsi="Times New Roman" w:cs="Times New Roman"/>
          <w:color w:val="000000" w:themeColor="text1"/>
          <w:sz w:val="16"/>
          <w:szCs w:val="16"/>
          <w:lang w:eastAsia="ru-RU"/>
        </w:rPr>
        <w:t>общества взаимного кредита.</w:t>
      </w:r>
    </w:p>
    <w:p w14:paraId="6E3D05E1" w14:textId="77777777" w:rsidR="00C364AB" w:rsidRPr="002F2FDF" w:rsidRDefault="00C364A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Общественных и частных банков было в России великое множество. К ним относились 50 акционерных коммерческих банков, 300 городских кредитных обществ и городских общественных банков, а также земские банки, общества взаимного поземельного кредита, начавшие работу еще в 1866 году.</w:t>
      </w:r>
    </w:p>
    <w:p w14:paraId="3617875E" w14:textId="4DD7759D" w:rsidR="00C364AB" w:rsidRPr="002F2FDF" w:rsidRDefault="00C364A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Имелись у нас в 1914 году и 80 обществ взаимного краткосрочного кредита, 15</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450 ссудо-сберегательных товариществ, 16</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000 кредитных товариществ, а также сельские, волостные и станичные банки и кассы Наиболее крупными банками в ту пору были Петербургский международный банк, основанный в 1869 году, Русский банк для внешней торговли — работал с 1871 года, Петербургский учетный и ссудный банк — основан в 1869 году, Петербургский частный коммерческий банк — открылся в 1864 году, Азовско-Донской коммерческий банк — работавший с 1890 года, и Волжско-Камский банк, основанный за 30 лет до XX века.</w:t>
      </w:r>
    </w:p>
    <w:p w14:paraId="3FB0FA17" w14:textId="77777777" w:rsidR="00C364AB" w:rsidRPr="002F2FDF" w:rsidRDefault="00C364AB"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hAnsi="Times New Roman" w:cs="Times New Roman"/>
          <w:color w:val="000000" w:themeColor="text1"/>
          <w:sz w:val="16"/>
          <w:szCs w:val="16"/>
        </w:rPr>
        <w:t>Были финансовые учреждения помельче, чем банки и ссудные кассы. В России перед революцией работало 11 кредитных союзов, которые объединяли 558 товариществ и 4724 общественных крестьянских учреждений мелкого кредита</w:t>
      </w:r>
      <w:r w:rsidRPr="002F2FDF">
        <w:rPr>
          <w:rFonts w:ascii="Times New Roman" w:eastAsia="Times New Roman" w:hAnsi="Times New Roman" w:cs="Times New Roman"/>
          <w:color w:val="000000" w:themeColor="text1"/>
          <w:sz w:val="16"/>
          <w:szCs w:val="16"/>
          <w:lang w:eastAsia="ru-RU"/>
        </w:rPr>
        <w:t xml:space="preserve"> (17088).</w:t>
      </w:r>
    </w:p>
    <w:p w14:paraId="03770F23" w14:textId="77777777" w:rsidR="00C364AB" w:rsidRPr="002F2FDF" w:rsidRDefault="00C364AB" w:rsidP="0083075A">
      <w:pPr>
        <w:spacing w:after="0" w:line="240" w:lineRule="auto"/>
        <w:jc w:val="both"/>
        <w:rPr>
          <w:rFonts w:ascii="Times New Roman" w:hAnsi="Times New Roman" w:cs="Times New Roman"/>
          <w:color w:val="000000" w:themeColor="text1"/>
          <w:sz w:val="16"/>
          <w:szCs w:val="16"/>
        </w:rPr>
      </w:pPr>
    </w:p>
    <w:p w14:paraId="098C6FD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BAB08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C09E1F" w14:textId="77777777" w:rsidR="002E7C73" w:rsidRPr="002F2FDF" w:rsidRDefault="002E7C7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январе 1917 Имперские военно-воздушные силы Германии (ВВС Германии) распускают три Kampfgeschwader (бомбардировочные крылья) и переименовываю их в Schutzstaffeln (эскортные эскадрильи). С двухместными самолетами Albatros L 1 DDK , Rumpler 4A 13 , Gotha Taube и Fokker M.8 новым эскадрильям "Schusta" поручено сопровождать двухместные наблюдательные самолеты Feldflieger Abteilungen (полевые летные отряды) и Artillerieflieger Abteilungen (артиллерийские летные отряды) во время своих разведывательных полетов и базироваться вместе с ними (20341).</w:t>
      </w:r>
    </w:p>
    <w:p w14:paraId="6C7EB299" w14:textId="77777777" w:rsidR="002E7C73" w:rsidRPr="002F2FDF" w:rsidRDefault="002E7C73" w:rsidP="0083075A">
      <w:pPr>
        <w:spacing w:after="0" w:line="240" w:lineRule="auto"/>
        <w:jc w:val="both"/>
        <w:rPr>
          <w:rFonts w:ascii="Times New Roman" w:hAnsi="Times New Roman" w:cs="Times New Roman"/>
          <w:color w:val="000000" w:themeColor="text1"/>
          <w:sz w:val="16"/>
          <w:szCs w:val="16"/>
        </w:rPr>
      </w:pPr>
    </w:p>
    <w:p w14:paraId="53967F48" w14:textId="77777777" w:rsidR="002E7C73" w:rsidRPr="002F2FDF" w:rsidRDefault="002E7C7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январе 1917 г. первые самолеты Фоккер D V были сданы ВВС Германии, а в следующем месяце заводу «Фоккер» в Герризе заказали еще 50 самолетов. Выпуск их прекращен еще в июне 1917 г. — досрочно. Завод в Герризе сделал только 215 из заказанных 250 Фоккеров D V, но в качестве «утешительного приза» получил заказ на новые легкие истребители Dr I и D VI (22778).</w:t>
      </w:r>
    </w:p>
    <w:p w14:paraId="4F9DD5FB" w14:textId="77777777" w:rsidR="002E7C73" w:rsidRPr="002F2FDF" w:rsidRDefault="002E7C73" w:rsidP="0083075A">
      <w:pPr>
        <w:spacing w:after="0" w:line="240" w:lineRule="auto"/>
        <w:jc w:val="both"/>
        <w:rPr>
          <w:rFonts w:ascii="Times New Roman" w:hAnsi="Times New Roman" w:cs="Times New Roman"/>
          <w:color w:val="000000" w:themeColor="text1"/>
          <w:sz w:val="16"/>
          <w:szCs w:val="16"/>
        </w:rPr>
      </w:pPr>
    </w:p>
    <w:p w14:paraId="7526DC71" w14:textId="77777777" w:rsidR="002E7C73" w:rsidRPr="002F2FDF" w:rsidRDefault="002E7C7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январе 1917 г. парк Альбатросов D II достиг своего пика в 214 машин, но дальше пошел быстро «таять» — 150 штук в марте, 107 в мае, 72 в июле, 44 в сентябре и 11 в ноябре 1917 г. И хотя два Альбатроса D II числились исправными еще в сентябре 1918 г., можно сказать, что за год войны почти все построенные самолеты противник выбил. А причиной такого оборота дел было появление у Антанты очередного поколения самолетов-истребителей, причем если раньше это были легкие машины с моторами 80–110 сил, то к середине 1916 г. у французов, а затем и у их союзников уже были и собственные мощные истребители с моторами не слабее немецких (22773).</w:t>
      </w:r>
    </w:p>
    <w:p w14:paraId="6EE3C838" w14:textId="77777777" w:rsidR="002E7C73" w:rsidRPr="002F2FDF" w:rsidRDefault="002E7C73" w:rsidP="0083075A">
      <w:pPr>
        <w:spacing w:after="0" w:line="240" w:lineRule="auto"/>
        <w:jc w:val="both"/>
        <w:rPr>
          <w:rFonts w:ascii="Times New Roman" w:hAnsi="Times New Roman" w:cs="Times New Roman"/>
          <w:color w:val="000000" w:themeColor="text1"/>
          <w:sz w:val="16"/>
          <w:szCs w:val="16"/>
        </w:rPr>
      </w:pPr>
    </w:p>
    <w:p w14:paraId="3384FF36" w14:textId="77777777" w:rsidR="002E7C73" w:rsidRPr="002F2FDF" w:rsidRDefault="002E7C7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январе 1917 г. английское флотское ведомство заказало 25 «Трипланов» лондонскому заводу «Окли», потребовав внедрить вооружение из двух синхронных пулеметов по типу нового истребителя «Кэмел». Их установка была упрощена, но не делавшая до того самолетов фирма смогла построить только три «Триплана», сдав первый летом 1917 г., а последний — осенью, и в октябре контракт был аннулирован (22781).</w:t>
      </w:r>
    </w:p>
    <w:p w14:paraId="103F7FA1" w14:textId="77777777" w:rsidR="002E7C73" w:rsidRPr="002F2FDF" w:rsidRDefault="002E7C73" w:rsidP="0083075A">
      <w:pPr>
        <w:spacing w:after="0" w:line="240" w:lineRule="auto"/>
        <w:jc w:val="both"/>
        <w:rPr>
          <w:rFonts w:ascii="Times New Roman" w:hAnsi="Times New Roman" w:cs="Times New Roman"/>
          <w:color w:val="000000" w:themeColor="text1"/>
          <w:sz w:val="16"/>
          <w:szCs w:val="16"/>
        </w:rPr>
      </w:pPr>
    </w:p>
    <w:p w14:paraId="6F100220" w14:textId="77777777" w:rsidR="002E7C73" w:rsidRPr="002F2FDF" w:rsidRDefault="002E7C73" w:rsidP="0083075A">
      <w:pPr>
        <w:pStyle w:val="ae"/>
        <w:shd w:val="clear" w:color="auto" w:fill="FFFFFF"/>
        <w:spacing w:before="0" w:after="0"/>
        <w:jc w:val="both"/>
        <w:rPr>
          <w:color w:val="000000" w:themeColor="text1"/>
          <w:sz w:val="16"/>
          <w:szCs w:val="16"/>
        </w:rPr>
      </w:pPr>
      <w:r w:rsidRPr="002F2FDF">
        <w:rPr>
          <w:color w:val="000000" w:themeColor="text1"/>
          <w:sz w:val="16"/>
          <w:szCs w:val="16"/>
        </w:rPr>
        <w:t>В январе 1917 г. при содействии князя Лобковица венский филиал «Альбатроса» был куплен Камилло Кастильони, ставшим крупнейшим в Австрии производителем самолетов. Он перерегистрировал завод под наименованием «Феникс Флюгцойгверке» (22825).</w:t>
      </w:r>
    </w:p>
    <w:p w14:paraId="542E8022" w14:textId="77777777" w:rsidR="002E7C73" w:rsidRPr="002F2FDF" w:rsidRDefault="002E7C73" w:rsidP="0083075A">
      <w:pPr>
        <w:pStyle w:val="ae"/>
        <w:shd w:val="clear" w:color="auto" w:fill="FFFFFF"/>
        <w:spacing w:before="0" w:after="0"/>
        <w:jc w:val="both"/>
        <w:rPr>
          <w:color w:val="000000" w:themeColor="text1"/>
          <w:sz w:val="16"/>
          <w:szCs w:val="16"/>
        </w:rPr>
      </w:pPr>
    </w:p>
    <w:p w14:paraId="16F67198" w14:textId="11734FFC" w:rsidR="002E7C73" w:rsidRPr="002F2FDF" w:rsidRDefault="002E7C73" w:rsidP="0083075A">
      <w:pPr>
        <w:pStyle w:val="ae"/>
        <w:shd w:val="clear" w:color="auto" w:fill="FFFFFF"/>
        <w:spacing w:before="0" w:after="0"/>
        <w:jc w:val="both"/>
        <w:rPr>
          <w:color w:val="000000" w:themeColor="text1"/>
          <w:sz w:val="16"/>
          <w:szCs w:val="16"/>
        </w:rPr>
      </w:pPr>
      <w:r w:rsidRPr="002F2FDF">
        <w:rPr>
          <w:color w:val="000000" w:themeColor="text1"/>
          <w:sz w:val="16"/>
          <w:szCs w:val="16"/>
        </w:rPr>
        <w:t>В январе 1917 г. прошло обсуждение проекта Char Lourd А, представленного FCM (Средиземноморское Общество металлургических заводов и верфей). Члены Консультативного комитета штурмовой артиллерии рассматривали различные предложения: относительно типа трансмиссии</w:t>
      </w:r>
      <w:r w:rsidR="00E52569">
        <w:rPr>
          <w:color w:val="000000" w:themeColor="text1"/>
          <w:sz w:val="16"/>
          <w:szCs w:val="16"/>
        </w:rPr>
        <w:t xml:space="preserve"> </w:t>
      </w:r>
      <w:r w:rsidRPr="002F2FDF">
        <w:rPr>
          <w:color w:val="000000" w:themeColor="text1"/>
          <w:sz w:val="16"/>
          <w:szCs w:val="16"/>
        </w:rPr>
        <w:t>— электрическая или механическая; относительно вооружения</w:t>
      </w:r>
      <w:r w:rsidR="00E52569">
        <w:rPr>
          <w:color w:val="000000" w:themeColor="text1"/>
          <w:sz w:val="16"/>
          <w:szCs w:val="16"/>
        </w:rPr>
        <w:t xml:space="preserve"> </w:t>
      </w:r>
      <w:r w:rsidRPr="002F2FDF">
        <w:rPr>
          <w:color w:val="000000" w:themeColor="text1"/>
          <w:sz w:val="16"/>
          <w:szCs w:val="16"/>
        </w:rPr>
        <w:t>— например, генерал Этьен предлагал установить вместо 105-мм</w:t>
      </w:r>
      <w:r w:rsidR="00E52569">
        <w:rPr>
          <w:color w:val="000000" w:themeColor="text1"/>
          <w:sz w:val="16"/>
          <w:szCs w:val="16"/>
        </w:rPr>
        <w:t xml:space="preserve"> </w:t>
      </w:r>
      <w:r w:rsidRPr="002F2FDF">
        <w:rPr>
          <w:color w:val="000000" w:themeColor="text1"/>
          <w:sz w:val="16"/>
          <w:szCs w:val="16"/>
        </w:rPr>
        <w:t>— 75-мм пушку во вращающейся башне; бронирования</w:t>
      </w:r>
      <w:r w:rsidR="00E52569">
        <w:rPr>
          <w:color w:val="000000" w:themeColor="text1"/>
          <w:sz w:val="16"/>
          <w:szCs w:val="16"/>
        </w:rPr>
        <w:t xml:space="preserve"> </w:t>
      </w:r>
      <w:r w:rsidRPr="002F2FDF">
        <w:rPr>
          <w:color w:val="000000" w:themeColor="text1"/>
          <w:sz w:val="16"/>
          <w:szCs w:val="16"/>
        </w:rPr>
        <w:t>— было решено, что оно должно выдерживать попадание снарядов немецких 77-мм полевых пушек, а это обуславливало толщину брони в 30 мм. Прийти к консенсусу по всем вопросам не удалось, поэтому было принято соломоново решение</w:t>
      </w:r>
      <w:r w:rsidR="00E52569">
        <w:rPr>
          <w:color w:val="000000" w:themeColor="text1"/>
          <w:sz w:val="16"/>
          <w:szCs w:val="16"/>
        </w:rPr>
        <w:t xml:space="preserve"> </w:t>
      </w:r>
      <w:r w:rsidRPr="002F2FDF">
        <w:rPr>
          <w:color w:val="000000" w:themeColor="text1"/>
          <w:sz w:val="16"/>
          <w:szCs w:val="16"/>
        </w:rPr>
        <w:t>— построить несколько прототипов, различающихся трансмиссией и вооружением. Перед изготовлением первого прототипа был построен его деревянный макет в натуральную величину, который одобрила Комиссия (22875).</w:t>
      </w:r>
    </w:p>
    <w:p w14:paraId="07709483" w14:textId="77777777" w:rsidR="002E7C73" w:rsidRPr="002F2FDF" w:rsidRDefault="002E7C73" w:rsidP="0083075A">
      <w:pPr>
        <w:pStyle w:val="ae"/>
        <w:shd w:val="clear" w:color="auto" w:fill="FFFFFF"/>
        <w:spacing w:before="0" w:after="0"/>
        <w:jc w:val="both"/>
        <w:rPr>
          <w:color w:val="000000" w:themeColor="text1"/>
          <w:sz w:val="16"/>
          <w:szCs w:val="16"/>
        </w:rPr>
      </w:pPr>
    </w:p>
    <w:p w14:paraId="04FE133A" w14:textId="406E19FC" w:rsidR="002E7C73" w:rsidRPr="002F2FDF" w:rsidRDefault="002E7C73" w:rsidP="0083075A">
      <w:pPr>
        <w:pStyle w:val="ae"/>
        <w:shd w:val="clear" w:color="auto" w:fill="FFFFFF"/>
        <w:spacing w:before="0" w:after="0"/>
        <w:jc w:val="both"/>
        <w:rPr>
          <w:color w:val="000000" w:themeColor="text1"/>
          <w:sz w:val="16"/>
          <w:szCs w:val="16"/>
        </w:rPr>
      </w:pPr>
      <w:r w:rsidRPr="002F2FDF">
        <w:rPr>
          <w:color w:val="000000" w:themeColor="text1"/>
          <w:sz w:val="16"/>
          <w:szCs w:val="16"/>
        </w:rPr>
        <w:t>В январе 1917</w:t>
      </w:r>
      <w:r w:rsidR="00E52569">
        <w:rPr>
          <w:color w:val="000000" w:themeColor="text1"/>
          <w:sz w:val="16"/>
          <w:szCs w:val="16"/>
        </w:rPr>
        <w:t xml:space="preserve"> </w:t>
      </w:r>
      <w:r w:rsidRPr="002F2FDF">
        <w:rPr>
          <w:color w:val="000000" w:themeColor="text1"/>
          <w:sz w:val="16"/>
          <w:szCs w:val="16"/>
        </w:rPr>
        <w:t>г. не вылезавшая из долгов компания «Братья Томас» в городке Итака в штате Нью-Йорк пошла на слияние с фирмой «Морзе», спонсируемой миллионером</w:t>
      </w:r>
      <w:r w:rsidR="00E52569">
        <w:rPr>
          <w:color w:val="000000" w:themeColor="text1"/>
          <w:sz w:val="16"/>
          <w:szCs w:val="16"/>
        </w:rPr>
        <w:t xml:space="preserve"> </w:t>
      </w:r>
      <w:r w:rsidRPr="002F2FDF">
        <w:rPr>
          <w:color w:val="000000" w:themeColor="text1"/>
          <w:sz w:val="16"/>
          <w:szCs w:val="16"/>
        </w:rPr>
        <w:t>Г. Вестингаузом. Чтобы поправить финансовое положение, руководство предприятия и инвесторы решили воспользоваться острой нуждой в учебных самолетах. Дивизион аэронавтики выпустил Технические требования №</w:t>
      </w:r>
      <w:r w:rsidR="00E52569">
        <w:rPr>
          <w:color w:val="000000" w:themeColor="text1"/>
          <w:sz w:val="16"/>
          <w:szCs w:val="16"/>
        </w:rPr>
        <w:t xml:space="preserve"> </w:t>
      </w:r>
      <w:r w:rsidRPr="002F2FDF">
        <w:rPr>
          <w:color w:val="000000" w:themeColor="text1"/>
          <w:sz w:val="16"/>
          <w:szCs w:val="16"/>
        </w:rPr>
        <w:t>4 к такой машине, и проектируемый самолет был назван School No.4, или S.4. Проект вел Бенджамин Томас, сохранивший хорошие связи в Великобритании, откуда приехал. Он перенял многое из знакомых ему английских самолетов Сопвич «Таблоид» и «Шнейдер», а также французских Ньюпор 11. Биплан S.4 был построен без вооружения на заводе в Итаке в июне 1917</w:t>
      </w:r>
      <w:r w:rsidR="00E52569">
        <w:rPr>
          <w:color w:val="000000" w:themeColor="text1"/>
          <w:sz w:val="16"/>
          <w:szCs w:val="16"/>
        </w:rPr>
        <w:t xml:space="preserve"> </w:t>
      </w:r>
      <w:r w:rsidRPr="002F2FDF">
        <w:rPr>
          <w:color w:val="000000" w:themeColor="text1"/>
          <w:sz w:val="16"/>
          <w:szCs w:val="16"/>
        </w:rPr>
        <w:t>г. и в том же месяце испытан летчиком П. Вильсоном (22949).</w:t>
      </w:r>
    </w:p>
    <w:p w14:paraId="22343CF0" w14:textId="77777777" w:rsidR="002E7C73" w:rsidRPr="002F2FDF" w:rsidRDefault="002E7C73" w:rsidP="0083075A">
      <w:pPr>
        <w:pStyle w:val="ae"/>
        <w:shd w:val="clear" w:color="auto" w:fill="FFFFFF"/>
        <w:spacing w:before="0" w:after="0"/>
        <w:jc w:val="both"/>
        <w:rPr>
          <w:color w:val="000000" w:themeColor="text1"/>
          <w:sz w:val="16"/>
          <w:szCs w:val="16"/>
        </w:rPr>
      </w:pPr>
    </w:p>
    <w:p w14:paraId="491284C0" w14:textId="77777777" w:rsidR="002E7C73" w:rsidRPr="002F2FDF" w:rsidRDefault="002E7C7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январе 1917 г. первый самолет Гота WD 14 № 801, который был изготовлен ее заводом в Берлине в агрегатах и перевезен на базу SVK в Варнемюнде, совершил первый полет.</w:t>
      </w:r>
    </w:p>
    <w:p w14:paraId="667B911D" w14:textId="77777777" w:rsidR="002E7C73" w:rsidRPr="002F2FDF" w:rsidRDefault="002E7C7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Хотя были отмечены недостатки управляемости в каналах крена и курса, а вооружение было испытано только на функционирование, фирма вскоре получила первый заказ на 16 таких самолетов с номерами с 1415 по 1430. Они строились по типу опытного образца, однако уже на этой серии по первому опыту боевого применения пришлось вносить изменения в конструкцию и комплектацию самолета.</w:t>
      </w:r>
    </w:p>
    <w:p w14:paraId="2D7AFDCC" w14:textId="77777777" w:rsidR="002E7C73" w:rsidRPr="002F2FDF" w:rsidRDefault="002E7C7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Вслед за первым поступили еще три заказа на торпедоносцы Гота WD 14 – на 15 самолетов с номерами с 1617 по 1631, далее еще на 12 (№№ 1651…1662) и самый большой 4-й на 25 гидропланов №№ 1946…1970. Итого таких самолетов Имперский Флот Германии получил 69 и хотел бы и больше, да возможности производства завода «Гота» в Берлине не позволяли, а Инспекция ВВС требовала от него все больше сухопутных бомбовозов (23073).</w:t>
      </w:r>
    </w:p>
    <w:p w14:paraId="6267430A" w14:textId="77777777" w:rsidR="002E7C73" w:rsidRPr="002F2FDF" w:rsidRDefault="002E7C73" w:rsidP="0083075A">
      <w:pPr>
        <w:pStyle w:val="ae"/>
        <w:shd w:val="clear" w:color="auto" w:fill="FFFFFF"/>
        <w:spacing w:before="0" w:after="0"/>
        <w:jc w:val="both"/>
        <w:rPr>
          <w:color w:val="000000" w:themeColor="text1"/>
          <w:sz w:val="16"/>
          <w:szCs w:val="16"/>
        </w:rPr>
      </w:pPr>
    </w:p>
    <w:p w14:paraId="1B62E9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1917 года военно-морской флот разработал требования на новые высотные цеппелины, где все было принесено в “жертву” высотности. Так как главным “врагом” высотности выступал собственный вес дирижабля, то ставилась задача максимально облегчить конструкцию корабля, даже за счет снижения некоторых важных технических характеристик. Принципиальные изменения состояли, прежде всего, в том, что число моторов снизилось до пяти. Вместо трехмоторной кормовой гондолы была установлена двухмоторная с непосредственным приводом на один толкающий воздушный винт. Воздушные винты на рамах были убраны, а их мощность передана на винты боковых гондол. Запас топлива снижен до 30 летных часов, оборонительное пулеметное вооружение демонтировано и почти на 50% уменьшена бомбовая нагрузка (осталось 8 бомб по 300 кг, 16 по 100 кг и 60 зажигательных по 10 кг). Также была уменьшена командирская гондола, отказались и от помещения для отдыха членов экипажа, был облегчен каркас корпуса. Все это постепенно воплощалось в жизнь во время доводочных работ на уже строящихся новых дирижаблях (11324).</w:t>
      </w:r>
    </w:p>
    <w:p w14:paraId="3CB0FA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83F8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1917 года в Германии было учреждено управление бомбардировочными отрядами; затем следовали управления по радиотелеграфу, вооружению, аэрофотосъемке. Так как эти управления ведали, кроме специального обучения наблюдателей, прежде всего, дальнейшим усовершенствованием приборов, то Главная авиамастерская оказалась в значительной степени разгруженной и смогла направить все свои силы на развитие собственного самолетостроения (11282).</w:t>
      </w:r>
    </w:p>
    <w:p w14:paraId="1DF325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04A0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1917 года первый из 12 построенных больших дирижаблей типа “N.S.” (North Sea), также с трехарочной оболочкой, но объемом 10 200 куб. м и двумя моторами “Фиат” мощностью по 260 л. с. Гондола была длинной и просторной с закрытой кабиной, где размещалось от шести до девяти человек. Дирижабль мог нести 360 кг бомб. Вооружение включало четыре пулемета Льюис: 3 находились в гондоле и 1 в верхней части оболочки, приступил к патрульной службе. Они развивали скорость 92,5 км/ч и номинально могли находиться в воздухе 24 часа, но практически обычно летали намного дольше. Например, N.S.1 в июне 1917 года продержался в воздухе 49,5 часов, а дирижабль N.S.11 в 1919 году установил мировой рекорд — 101 час полета на расстояние 6400 км. При большой продолжительности [277] полета экипаж работал в две смены. Начало карьеры типа “N.S.” омрачалось частыми авариями, вызванными малой живучестью (200 часов) длинных приводных валов воздушных винтов, но после того как винты стали устанавливаться непосредственно на вал двигателя, все пришло в норму (11324).</w:t>
      </w:r>
    </w:p>
    <w:p w14:paraId="10843B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F4E45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январе 1917 г. совершил свой пер</w:t>
      </w:r>
      <w:r w:rsidRPr="002F2FDF">
        <w:rPr>
          <w:rFonts w:ascii="Times New Roman" w:hAnsi="Times New Roman" w:cs="Times New Roman"/>
          <w:color w:val="000000" w:themeColor="text1"/>
          <w:kern w:val="2"/>
          <w:sz w:val="16"/>
          <w:szCs w:val="16"/>
        </w:rPr>
        <w:softHyphen/>
        <w:t>вый полет тяжелый двухместный бро</w:t>
      </w:r>
      <w:r w:rsidRPr="002F2FDF">
        <w:rPr>
          <w:rFonts w:ascii="Times New Roman" w:hAnsi="Times New Roman" w:cs="Times New Roman"/>
          <w:color w:val="000000" w:themeColor="text1"/>
          <w:kern w:val="2"/>
          <w:sz w:val="16"/>
          <w:szCs w:val="16"/>
        </w:rPr>
        <w:softHyphen/>
        <w:t>нированный штурмовик Junkers J.I (за</w:t>
      </w:r>
      <w:r w:rsidRPr="002F2FDF">
        <w:rPr>
          <w:rFonts w:ascii="Times New Roman" w:hAnsi="Times New Roman" w:cs="Times New Roman"/>
          <w:color w:val="000000" w:themeColor="text1"/>
          <w:kern w:val="2"/>
          <w:sz w:val="16"/>
          <w:szCs w:val="16"/>
        </w:rPr>
        <w:softHyphen/>
        <w:t>водское обозначение J.4). Штурмовик представлял собой цель</w:t>
      </w:r>
      <w:r w:rsidRPr="002F2FDF">
        <w:rPr>
          <w:rFonts w:ascii="Times New Roman" w:hAnsi="Times New Roman" w:cs="Times New Roman"/>
          <w:color w:val="000000" w:themeColor="text1"/>
          <w:kern w:val="2"/>
          <w:sz w:val="16"/>
          <w:szCs w:val="16"/>
        </w:rPr>
        <w:softHyphen/>
        <w:t>нометаллический свободнонесущий полутороплан, передняя часть фюзеля</w:t>
      </w:r>
      <w:r w:rsidRPr="002F2FDF">
        <w:rPr>
          <w:rFonts w:ascii="Times New Roman" w:hAnsi="Times New Roman" w:cs="Times New Roman"/>
          <w:color w:val="000000" w:themeColor="text1"/>
          <w:kern w:val="2"/>
          <w:sz w:val="16"/>
          <w:szCs w:val="16"/>
        </w:rPr>
        <w:softHyphen/>
        <w:t>жа которого выполнялась в виде бронекоробки, склепанной из 5-мм листов хромоникелевой броневой стали. Бро</w:t>
      </w:r>
      <w:r w:rsidRPr="002F2FDF">
        <w:rPr>
          <w:rFonts w:ascii="Times New Roman" w:hAnsi="Times New Roman" w:cs="Times New Roman"/>
          <w:color w:val="000000" w:themeColor="text1"/>
          <w:kern w:val="2"/>
          <w:sz w:val="16"/>
          <w:szCs w:val="16"/>
        </w:rPr>
        <w:softHyphen/>
        <w:t>ней были защищены мотор, бензобак. рабочие места экипажа (общий вес брони достигал 470 кг). Каркас задней части фюзеляжа и крыльев составляли форменные конструкции из дюралевых труб. Обшивка оперения - гофрирован</w:t>
      </w:r>
      <w:r w:rsidRPr="002F2FDF">
        <w:rPr>
          <w:rFonts w:ascii="Times New Roman" w:hAnsi="Times New Roman" w:cs="Times New Roman"/>
          <w:color w:val="000000" w:themeColor="text1"/>
          <w:kern w:val="2"/>
          <w:sz w:val="16"/>
          <w:szCs w:val="16"/>
        </w:rPr>
        <w:softHyphen/>
        <w:t>ный дюраль, а задней части фюзеляжа - полотно. Два пулемета LMG 08/15 Spandau калибра 7,92 мм устанавливались на фюзеляже под углом вперед-вниз, что давало возможность обстреливать на</w:t>
      </w:r>
      <w:r w:rsidRPr="002F2FDF">
        <w:rPr>
          <w:rFonts w:ascii="Times New Roman" w:hAnsi="Times New Roman" w:cs="Times New Roman"/>
          <w:color w:val="000000" w:themeColor="text1"/>
          <w:kern w:val="2"/>
          <w:sz w:val="16"/>
          <w:szCs w:val="16"/>
        </w:rPr>
        <w:softHyphen/>
        <w:t>земные цели (через специальные от</w:t>
      </w:r>
      <w:r w:rsidRPr="002F2FDF">
        <w:rPr>
          <w:rFonts w:ascii="Times New Roman" w:hAnsi="Times New Roman" w:cs="Times New Roman"/>
          <w:color w:val="000000" w:themeColor="text1"/>
          <w:kern w:val="2"/>
          <w:sz w:val="16"/>
          <w:szCs w:val="16"/>
        </w:rPr>
        <w:softHyphen/>
        <w:t>верстия в бронекоробке) с горизонталь</w:t>
      </w:r>
      <w:r w:rsidRPr="002F2FDF">
        <w:rPr>
          <w:rFonts w:ascii="Times New Roman" w:hAnsi="Times New Roman" w:cs="Times New Roman"/>
          <w:color w:val="000000" w:themeColor="text1"/>
          <w:kern w:val="2"/>
          <w:sz w:val="16"/>
          <w:szCs w:val="16"/>
        </w:rPr>
        <w:softHyphen/>
        <w:t>ного полета. Очевидно, что в этом слу</w:t>
      </w:r>
      <w:r w:rsidRPr="002F2FDF">
        <w:rPr>
          <w:rFonts w:ascii="Times New Roman" w:hAnsi="Times New Roman" w:cs="Times New Roman"/>
          <w:color w:val="000000" w:themeColor="text1"/>
          <w:kern w:val="2"/>
          <w:sz w:val="16"/>
          <w:szCs w:val="16"/>
        </w:rPr>
        <w:softHyphen/>
        <w:t>чае обеспечить высокую точность стрельбы было невозможно. Еще один пулемет нормального ка</w:t>
      </w:r>
      <w:r w:rsidRPr="002F2FDF">
        <w:rPr>
          <w:rFonts w:ascii="Times New Roman" w:hAnsi="Times New Roman" w:cs="Times New Roman"/>
          <w:color w:val="000000" w:themeColor="text1"/>
          <w:kern w:val="2"/>
          <w:sz w:val="16"/>
          <w:szCs w:val="16"/>
        </w:rPr>
        <w:softHyphen/>
        <w:t>либра Parabellum/mod.1912 устанавли</w:t>
      </w:r>
      <w:r w:rsidRPr="002F2FDF">
        <w:rPr>
          <w:rFonts w:ascii="Times New Roman" w:hAnsi="Times New Roman" w:cs="Times New Roman"/>
          <w:color w:val="000000" w:themeColor="text1"/>
          <w:kern w:val="2"/>
          <w:sz w:val="16"/>
          <w:szCs w:val="16"/>
        </w:rPr>
        <w:softHyphen/>
        <w:t>вался на турели у летнаба для защиты со стороны задней полусферы. Бомбо</w:t>
      </w:r>
      <w:r w:rsidRPr="002F2FDF">
        <w:rPr>
          <w:rFonts w:ascii="Times New Roman" w:hAnsi="Times New Roman" w:cs="Times New Roman"/>
          <w:color w:val="000000" w:themeColor="text1"/>
          <w:kern w:val="2"/>
          <w:sz w:val="16"/>
          <w:szCs w:val="16"/>
        </w:rPr>
        <w:softHyphen/>
        <w:t>вая нагрузка включала 30-50 кг мел</w:t>
      </w:r>
      <w:r w:rsidRPr="002F2FDF">
        <w:rPr>
          <w:rFonts w:ascii="Times New Roman" w:hAnsi="Times New Roman" w:cs="Times New Roman"/>
          <w:color w:val="000000" w:themeColor="text1"/>
          <w:kern w:val="2"/>
          <w:sz w:val="16"/>
          <w:szCs w:val="16"/>
        </w:rPr>
        <w:softHyphen/>
        <w:t>ких осколочных авиабомб весом от 1 до 2 кг. При полетном весе 2176 кг Junkers J.I имел максимальную скорость поле</w:t>
      </w:r>
      <w:r w:rsidRPr="002F2FDF">
        <w:rPr>
          <w:rFonts w:ascii="Times New Roman" w:hAnsi="Times New Roman" w:cs="Times New Roman"/>
          <w:color w:val="000000" w:themeColor="text1"/>
          <w:kern w:val="2"/>
          <w:sz w:val="16"/>
          <w:szCs w:val="16"/>
        </w:rPr>
        <w:softHyphen/>
        <w:t>та 155 км/ч. Высоту 1000 м штурмо</w:t>
      </w:r>
      <w:r w:rsidRPr="002F2FDF">
        <w:rPr>
          <w:rFonts w:ascii="Times New Roman" w:hAnsi="Times New Roman" w:cs="Times New Roman"/>
          <w:color w:val="000000" w:themeColor="text1"/>
          <w:kern w:val="2"/>
          <w:sz w:val="16"/>
          <w:szCs w:val="16"/>
        </w:rPr>
        <w:softHyphen/>
        <w:t>вик набирал за 10 минут, а 2000 м - за 32 минуты. Максимальная дальность полета не превышала 260 км. Оригинальность конструкции штур</w:t>
      </w:r>
      <w:r w:rsidRPr="002F2FDF">
        <w:rPr>
          <w:rFonts w:ascii="Times New Roman" w:hAnsi="Times New Roman" w:cs="Times New Roman"/>
          <w:color w:val="000000" w:themeColor="text1"/>
          <w:kern w:val="2"/>
          <w:sz w:val="16"/>
          <w:szCs w:val="16"/>
        </w:rPr>
        <w:softHyphen/>
        <w:t>мовика Хуго Юнкерса и постоянно ощущавшийся дефицит "крылатого" металла не позволило организовать массовое их производство. Несмотря на привлечение к производству Junk. J.I авиазавода Антони Фоккера в Шверине, за годы войны немецкие штурмо</w:t>
      </w:r>
      <w:r w:rsidRPr="002F2FDF">
        <w:rPr>
          <w:rFonts w:ascii="Times New Roman" w:hAnsi="Times New Roman" w:cs="Times New Roman"/>
          <w:color w:val="000000" w:themeColor="text1"/>
          <w:kern w:val="2"/>
          <w:sz w:val="16"/>
          <w:szCs w:val="16"/>
        </w:rPr>
        <w:softHyphen/>
        <w:t>вые авиачасти (сначала "охранитель</w:t>
      </w:r>
      <w:r w:rsidRPr="002F2FDF">
        <w:rPr>
          <w:rFonts w:ascii="Times New Roman" w:hAnsi="Times New Roman" w:cs="Times New Roman"/>
          <w:color w:val="000000" w:themeColor="text1"/>
          <w:kern w:val="2"/>
          <w:sz w:val="16"/>
          <w:szCs w:val="16"/>
        </w:rPr>
        <w:softHyphen/>
        <w:t>ные" авиаотряды, а затем штурмовые) получили от промышленности только 227 бронированных "юнкерсов" (189 машин было поставлено в период бое</w:t>
      </w:r>
      <w:r w:rsidRPr="002F2FDF">
        <w:rPr>
          <w:rFonts w:ascii="Times New Roman" w:hAnsi="Times New Roman" w:cs="Times New Roman"/>
          <w:color w:val="000000" w:themeColor="text1"/>
          <w:kern w:val="2"/>
          <w:sz w:val="16"/>
          <w:szCs w:val="16"/>
        </w:rPr>
        <w:softHyphen/>
        <w:t>вых действий и 38 экземпляров уже после окончания войны) (5999).</w:t>
      </w:r>
    </w:p>
    <w:p w14:paraId="3CE8517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8A32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1917 г. совершил свой первый полет тяжелый двухместный штурмовик Junkers J.I, передняя часть фюзеляжа которого выполнялась в виде бронекоробки. Броней защищались мотор, бензобак, рабочие места экипажа. Вооружение включало два пулемета для стрельбы вперед-вниз, один пулемет для защиты задней полусферы и 30-50 кг мелких бомб. С мая серийные машины начали поступать на вооружение фронтовых частей (всего построено 227 экземпляров). Кроме бронированного “юнкерса”, немецкая авиапромышленность сумела наладить серийный выпуск еще двух типов бронированных штурмовиков - A.E.G. J.I и J.2 (607 единиц) и Albatros J.I и J.2 (180 штук) (9649).</w:t>
      </w:r>
    </w:p>
    <w:p w14:paraId="4BB0CA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497C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1917 года германское главное командование издало распоряжение о том, что каждая радиостанция может приступить к действию лишь по приказу командования. Предшествовавшие изданию этого распоряжения переговоры выяснили намерения частей связи выделить из состава воздушного флота весь персонал радиотелеграфа вместе со всем имуществом и присоединить к себе. Это стремление проявилось вновь зимою 1917—1918 годов, когда артиллерия получила изрядное количество приемных станций. Авиация приветствовала подобное усиление радиосвязи, так как оно позволяло рассчитывать на осуществление, наконец, надежной связи между самолетом, радиостанцией и батареей, но при этом предполагалось, что новые артиллерийские радиотелеграфные станции будут служить лишь для связи на земле, так как ошибочно было думать, что они смогут поддерживать связь с наблюдателем на самолете. Последнему нужно не только работать с телеграфным ключом, но и наблюдать, а подчас и защищаться от нападения неприятельских самолетов. Таким образом, радиосвязь с самолетами с земли была чрезвычайно затруднительна. Наземному радиотелеграфисту нужны были особые способности, подготовка и опыт для обслуживания связи с самолетом. Этих необходимых качеств трудно было ожидать от артиллерийских радиотелеграфистов, прошедших весьма посредственную подготовку на аппаратах Морзе. Тем не менее в конце января 1918 года главное командование отдало приказ о передаче всего персонала и имущества радиотелеграфной службы частям связи. При каждом авиаотряде осталась в качестве прикомандированной одна аэродромная станция или же одна полевая или приемная станция вместе с персоналом. Все остальные радиотелеграфисты вместе с имуществом (за исключением аппаратов на борту самолетов) перешли в распоряжение частей связи. Это имевшее серьезные последствия решение вызвало прекращение взаимодействия между авиацией и артиллерией, и как раз в тот момент, когда необходимо было сделать эту взаимную связь как можно более надежной. Командующий воздушными силами как только мог противился осуществлению намеченных мероприятий. Он всячески подчеркивал, что уничтожение авиационных радиотелеграфных станций является серьезной угрозой рациональному использованию воздушного наблюдения. В конце концов между ним и начальником связи разгорелась борьба, окончившаяся неудачно для авиации из-за решения главного командования. К сожалению, дальнейшие события показали справедливость опасений командующего воздушными силами (11282).</w:t>
      </w:r>
    </w:p>
    <w:p w14:paraId="1647F3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57CD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течение января 1917 НАСА, обеспокоенное высокими затратами армии и флота выпустила рекомендацию по созданию Ассоциации производителей авиатехники для обеспечения эффективного перекрестного лицензирования по патентам в области авиации. Это был этапный шаг в предотвращении тупиковой ситуации, связанной с судебными процессами из-за нарушения патентного законодательства (1038).</w:t>
      </w:r>
    </w:p>
    <w:p w14:paraId="008200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Это был первый шаг к западному подходу в организации авиапромышленности - независимая ассоциация производителей с отменой патентной защиты в военное время.</w:t>
      </w:r>
    </w:p>
    <w:p w14:paraId="164D13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63AF95" w14:textId="77777777" w:rsidR="005E57EA" w:rsidRPr="00B36624" w:rsidRDefault="005E57EA" w:rsidP="008307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B36624">
        <w:rPr>
          <w:rFonts w:ascii="Times New Roman" w:hAnsi="Times New Roman" w:cs="Times New Roman"/>
          <w:color w:val="000000" w:themeColor="text1"/>
          <w:sz w:val="16"/>
          <w:szCs w:val="16"/>
          <w:lang w:val="en-US"/>
        </w:rPr>
        <w:t>During January 1917 The NACA, after considering high-cost complaints of Army and Navy, recommended creation of Manufacturers Aircraft Association to effect cross-licensing of aeronautic patents. This was a milestone in preventing a virtual deadlock in aircraft construction because of patent infringement suits (1038).</w:t>
      </w:r>
    </w:p>
    <w:p w14:paraId="6153D5F2" w14:textId="77777777" w:rsidR="005E57EA" w:rsidRPr="00B36624" w:rsidRDefault="005E57EA" w:rsidP="008307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0B291D0" w14:textId="27A2FEEC" w:rsidR="006B6876" w:rsidRPr="00FB4F67" w:rsidRDefault="006B68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январе 1917 г. руководство в Смитсоновского института предоставило Годдарду пятилетний грант на 5000  долларов. Потом университет Кларка добавил еще 3500. А Политехнический институт Вустера позволил ему использовать для испытаний заброшенную лабораторию (23372).</w:t>
      </w:r>
    </w:p>
    <w:p w14:paraId="0D90BEEB" w14:textId="77777777" w:rsidR="006B6876" w:rsidRPr="00FB4F67" w:rsidRDefault="006B6876" w:rsidP="0083075A">
      <w:pPr>
        <w:spacing w:after="0" w:line="240" w:lineRule="auto"/>
        <w:jc w:val="both"/>
        <w:rPr>
          <w:rFonts w:ascii="Times New Roman" w:hAnsi="Times New Roman" w:cs="Times New Roman"/>
          <w:color w:val="0070C0"/>
          <w:sz w:val="16"/>
          <w:szCs w:val="16"/>
        </w:rPr>
      </w:pPr>
    </w:p>
    <w:p w14:paraId="25EEA0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1917 Начался вывод из Мексики войск США (7452).</w:t>
      </w:r>
    </w:p>
    <w:p w14:paraId="4E878F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A4C962" w14:textId="77777777" w:rsidR="002A470B" w:rsidRPr="002F2FDF" w:rsidRDefault="002A470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9CE9A34" w14:textId="77777777" w:rsidR="002A470B" w:rsidRPr="002F2FDF" w:rsidRDefault="002A470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FEA26B" w14:textId="77777777" w:rsidR="002A470B" w:rsidRPr="002F2FDF" w:rsidRDefault="002A470B"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 январе — феврале 1917 г. на строительстве Симбирского патронного завода возникли затруднения: не хватало строительных материалов, в частности гравия и песка. В окрестностях имелись залежи песка и глины, действовал земский цементный и частные кирпичные заводы, но для подвоза материалов не хватало лошадей. Зыбин поручил уездному дворянскому предводителю (согласно закону, возглавлявшему реквизиционную комиссию) пригнать 500 санных возчиков из близлежащих сел (18409).</w:t>
      </w:r>
    </w:p>
    <w:p w14:paraId="04A9C16F" w14:textId="77777777" w:rsidR="002A470B" w:rsidRPr="002F2FDF" w:rsidRDefault="002A470B" w:rsidP="0083075A">
      <w:pPr>
        <w:pStyle w:val="p1"/>
        <w:spacing w:before="0" w:beforeAutospacing="0" w:after="0" w:afterAutospacing="0"/>
        <w:jc w:val="both"/>
        <w:rPr>
          <w:color w:val="000000" w:themeColor="text1"/>
          <w:sz w:val="16"/>
          <w:szCs w:val="16"/>
        </w:rPr>
      </w:pPr>
    </w:p>
    <w:p w14:paraId="2513B93E"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январе—феврале 1917 г. возникли затруднения со строительством Симбирского патронного завода: не хватало строительных материалов, в частности гравия и песка. В окрестностях имелись залежи песка и глины, дей</w:t>
      </w:r>
      <w:r w:rsidRPr="00FB4F67">
        <w:rPr>
          <w:rFonts w:ascii="Times New Roman" w:hAnsi="Times New Roman" w:cs="Times New Roman"/>
          <w:color w:val="0070C0"/>
          <w:sz w:val="16"/>
          <w:szCs w:val="16"/>
        </w:rPr>
        <w:softHyphen/>
        <w:t>ствовал земский цементный и частные кирпичные заводы, но для подвоза материалов не хватало лошадей. Зыбин по</w:t>
      </w:r>
      <w:r w:rsidRPr="00FB4F67">
        <w:rPr>
          <w:rFonts w:ascii="Times New Roman" w:hAnsi="Times New Roman" w:cs="Times New Roman"/>
          <w:color w:val="0070C0"/>
          <w:sz w:val="16"/>
          <w:szCs w:val="16"/>
        </w:rPr>
        <w:softHyphen/>
        <w:t>ручил уездному дворянскому предводителю (согласно зако</w:t>
      </w:r>
      <w:r w:rsidRPr="00FB4F67">
        <w:rPr>
          <w:rFonts w:ascii="Times New Roman" w:hAnsi="Times New Roman" w:cs="Times New Roman"/>
          <w:color w:val="0070C0"/>
          <w:sz w:val="16"/>
          <w:szCs w:val="16"/>
        </w:rPr>
        <w:softHyphen/>
        <w:t>ну, возглавлявшему реквизиционную комиссию) пригнать 500 санных возчиков из близлежащих сел. К июлю 1917 г. были полностью готовы часть мастерских, бараки для рабо</w:t>
      </w:r>
      <w:r w:rsidRPr="00FB4F67">
        <w:rPr>
          <w:rFonts w:ascii="Times New Roman" w:hAnsi="Times New Roman" w:cs="Times New Roman"/>
          <w:color w:val="0070C0"/>
          <w:sz w:val="16"/>
          <w:szCs w:val="16"/>
        </w:rPr>
        <w:softHyphen/>
        <w:t>чих, баня, склады, часть флигелей для заводской администра</w:t>
      </w:r>
      <w:r w:rsidRPr="00FB4F67">
        <w:rPr>
          <w:rFonts w:ascii="Times New Roman" w:hAnsi="Times New Roman" w:cs="Times New Roman"/>
          <w:color w:val="0070C0"/>
          <w:sz w:val="16"/>
          <w:szCs w:val="16"/>
        </w:rPr>
        <w:softHyphen/>
        <w:t>ции, железнодорожные ветки. Оставались недостроенными электростанция, помещения для гильзового производства, кузница, железобетонные складские сооружения и 15 фли</w:t>
      </w:r>
      <w:r w:rsidRPr="00FB4F67">
        <w:rPr>
          <w:rFonts w:ascii="Times New Roman" w:hAnsi="Times New Roman" w:cs="Times New Roman"/>
          <w:color w:val="0070C0"/>
          <w:sz w:val="16"/>
          <w:szCs w:val="16"/>
        </w:rPr>
        <w:softHyphen/>
        <w:t>гелей для администрации. Ряд объектов только начали возводить. Было завезено много материалов; работы вели 3419 человек (в том числе 309 — по монтажу оборудования), включая 622 военнопленных.</w:t>
      </w:r>
    </w:p>
    <w:p w14:paraId="00B63B8C"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Но в этот момент судьба предприятия оказалась под во</w:t>
      </w:r>
      <w:r w:rsidRPr="00FB4F67">
        <w:rPr>
          <w:rFonts w:ascii="Times New Roman" w:hAnsi="Times New Roman" w:cs="Times New Roman"/>
          <w:color w:val="0070C0"/>
          <w:sz w:val="16"/>
          <w:szCs w:val="16"/>
        </w:rPr>
        <w:softHyphen/>
        <w:t>просом. Правительственная комиссия, осмотревшая объ</w:t>
      </w:r>
      <w:r w:rsidRPr="00FB4F67">
        <w:rPr>
          <w:rFonts w:ascii="Times New Roman" w:hAnsi="Times New Roman" w:cs="Times New Roman"/>
          <w:color w:val="0070C0"/>
          <w:sz w:val="16"/>
          <w:szCs w:val="16"/>
        </w:rPr>
        <w:softHyphen/>
        <w:t>ект, решила приостановить сооружение помещений для пушечно-гильзового производства (к такому концу пришел замысел, продвинуть который ГАУ пыталось с конца XIX в.) и латунно-мельхиорового, а патронный завод строить и дальше, но не в полном объеме, поставив задачей, чтобы к началу 1918 г. при двухсменной работе он выпускал по 15—17 млн патронов в месяц.</w:t>
      </w:r>
    </w:p>
    <w:p w14:paraId="6A1709ED"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Расширялось латунно-мельхиоровое производство также и в Петрограде, поглотив 2,6 млн руб. (с учетом роста цен — 3,7 млн) (Ефимов Ю.Д. Указ. соч. С. 55—56; Зонтов М., Смирнов А. Ровесник Октября. Саратов, 1987. С. 7—8; РГВИА. Ф. 29. Оп. 3. Д. 1005. Л. 37-39.), но Петроградский патронный завод «в 1918 г. пре</w:t>
      </w:r>
      <w:r w:rsidRPr="00FB4F67">
        <w:rPr>
          <w:rFonts w:ascii="Times New Roman" w:hAnsi="Times New Roman" w:cs="Times New Roman"/>
          <w:color w:val="0070C0"/>
          <w:sz w:val="16"/>
          <w:szCs w:val="16"/>
        </w:rPr>
        <w:softHyphen/>
        <w:t>кратил свое существование, будучи эвакуированным частью в Подольск, частью в Симбирск»; в Луганске начатая в 1917 г. на патронном заводе постройка новых зданий вскоре была прервана (СВП. С. 298-299).</w:t>
      </w:r>
    </w:p>
    <w:p w14:paraId="10E4BF6A"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условиях, сложившихся за время войны, потеряло смысл высказанное ГАУ в 1913 г. опасение, что роль моно</w:t>
      </w:r>
      <w:r w:rsidRPr="00FB4F67">
        <w:rPr>
          <w:rFonts w:ascii="Times New Roman" w:hAnsi="Times New Roman" w:cs="Times New Roman"/>
          <w:color w:val="0070C0"/>
          <w:sz w:val="16"/>
          <w:szCs w:val="16"/>
        </w:rPr>
        <w:softHyphen/>
        <w:t>полистов может перейти от меднопрокатных заводов к ме</w:t>
      </w:r>
      <w:r w:rsidRPr="00FB4F67">
        <w:rPr>
          <w:rFonts w:ascii="Times New Roman" w:hAnsi="Times New Roman" w:cs="Times New Roman"/>
          <w:color w:val="0070C0"/>
          <w:sz w:val="16"/>
          <w:szCs w:val="16"/>
        </w:rPr>
        <w:softHyphen/>
        <w:t>деплавильным. С 1914 г. производство меди в России не</w:t>
      </w:r>
      <w:r w:rsidRPr="00FB4F67">
        <w:rPr>
          <w:rFonts w:ascii="Times New Roman" w:hAnsi="Times New Roman" w:cs="Times New Roman"/>
          <w:color w:val="0070C0"/>
          <w:sz w:val="16"/>
          <w:szCs w:val="16"/>
        </w:rPr>
        <w:softHyphen/>
        <w:t>уклонно падало, да оно и не играло главной роли: в основном (70% общего потребления) военная промышленность полу</w:t>
      </w:r>
      <w:r w:rsidRPr="00FB4F67">
        <w:rPr>
          <w:rFonts w:ascii="Times New Roman" w:hAnsi="Times New Roman" w:cs="Times New Roman"/>
          <w:color w:val="0070C0"/>
          <w:sz w:val="16"/>
          <w:szCs w:val="16"/>
        </w:rPr>
        <w:softHyphen/>
        <w:t>чала медь из-за границы. Перед войной импорт меди упал, очевидно, потому, что ГАУ уже создало намеченный моби</w:t>
      </w:r>
      <w:r w:rsidRPr="00FB4F67">
        <w:rPr>
          <w:rFonts w:ascii="Times New Roman" w:hAnsi="Times New Roman" w:cs="Times New Roman"/>
          <w:color w:val="0070C0"/>
          <w:sz w:val="16"/>
          <w:szCs w:val="16"/>
        </w:rPr>
        <w:softHyphen/>
        <w:t>лизационный запас. Из этого запаса была продана частным заводам большая часть (118 тысяч пудов) и осталось 96 ты</w:t>
      </w:r>
      <w:r w:rsidRPr="00FB4F67">
        <w:rPr>
          <w:rFonts w:ascii="Times New Roman" w:hAnsi="Times New Roman" w:cs="Times New Roman"/>
          <w:color w:val="0070C0"/>
          <w:sz w:val="16"/>
          <w:szCs w:val="16"/>
        </w:rPr>
        <w:softHyphen/>
        <w:t>сяч пудов; к 1916 г. «весь этот запас меди был исчерпан, и ныне военное ведомство приобретает заграничную медь», сообщил следствию Кузьмин-Караваев. «Для получения русской меди хотя бы в будущем» придется выдать «субси</w:t>
      </w:r>
      <w:r w:rsidRPr="00FB4F67">
        <w:rPr>
          <w:rFonts w:ascii="Times New Roman" w:hAnsi="Times New Roman" w:cs="Times New Roman"/>
          <w:color w:val="0070C0"/>
          <w:sz w:val="16"/>
          <w:szCs w:val="16"/>
        </w:rPr>
        <w:softHyphen/>
        <w:t>дии для разработки медной руды» (В начале века импорт покрывало 2/3 внутреннего потребления меди; к 1914 г. производство ее возросло, а ввоз сократился до 14%. Ввозили преимущественно очищенную медь, сплавы и изделия, выво</w:t>
      </w:r>
      <w:r w:rsidRPr="00FB4F67">
        <w:rPr>
          <w:rFonts w:ascii="Times New Roman" w:hAnsi="Times New Roman" w:cs="Times New Roman"/>
          <w:color w:val="0070C0"/>
          <w:sz w:val="16"/>
          <w:szCs w:val="16"/>
        </w:rPr>
        <w:softHyphen/>
        <w:t>зили — полуфабрикат (Дмитриев А.В. Акционирование медной про</w:t>
      </w:r>
      <w:r w:rsidRPr="00FB4F67">
        <w:rPr>
          <w:rFonts w:ascii="Times New Roman" w:hAnsi="Times New Roman" w:cs="Times New Roman"/>
          <w:color w:val="0070C0"/>
          <w:sz w:val="16"/>
          <w:szCs w:val="16"/>
        </w:rPr>
        <w:softHyphen/>
        <w:t>мышленности Урала на рубеже XIX—XX вв. // Коммерция и государство в истории России. Екатеринбург, 2001. С. 96); РГВИА. Ф. 962. Оп. 2. Д. 36. Л. 41. Справка, 31.III. 1916). Вся сложная синдикат</w:t>
      </w:r>
      <w:r w:rsidRPr="00FB4F67">
        <w:rPr>
          <w:rFonts w:ascii="Times New Roman" w:hAnsi="Times New Roman" w:cs="Times New Roman"/>
          <w:color w:val="0070C0"/>
          <w:sz w:val="16"/>
          <w:szCs w:val="16"/>
        </w:rPr>
        <w:softHyphen/>
        <w:t>ская система данной отрасли к концу войны стала посте</w:t>
      </w:r>
      <w:r w:rsidRPr="00FB4F67">
        <w:rPr>
          <w:rFonts w:ascii="Times New Roman" w:hAnsi="Times New Roman" w:cs="Times New Roman"/>
          <w:color w:val="0070C0"/>
          <w:sz w:val="16"/>
          <w:szCs w:val="16"/>
        </w:rPr>
        <w:softHyphen/>
        <w:t>пенно распадаться: правительственные органы закупали медь в количествах, намного превосходивших возможности ее быстрого использования. Скопившиеся огромные запасы ввезенной меди сохранились в стране после выхода ее из войны (Брейтерман АД. Медная промышленность СССР и мировой ры</w:t>
      </w:r>
      <w:r w:rsidRPr="00FB4F67">
        <w:rPr>
          <w:rFonts w:ascii="Times New Roman" w:hAnsi="Times New Roman" w:cs="Times New Roman"/>
          <w:color w:val="0070C0"/>
          <w:sz w:val="16"/>
          <w:szCs w:val="16"/>
        </w:rPr>
        <w:softHyphen/>
        <w:t>нок. Л., 1930. Ч. 3. С. 227, 256, 270) (23452).</w:t>
      </w:r>
    </w:p>
    <w:p w14:paraId="328FFD2E" w14:textId="77777777" w:rsidR="002966F1" w:rsidRPr="00FB4F67" w:rsidRDefault="002966F1" w:rsidP="0083075A">
      <w:pPr>
        <w:spacing w:after="0" w:line="240" w:lineRule="auto"/>
        <w:jc w:val="both"/>
        <w:rPr>
          <w:rFonts w:ascii="Times New Roman" w:hAnsi="Times New Roman" w:cs="Times New Roman"/>
          <w:color w:val="0070C0"/>
          <w:sz w:val="16"/>
          <w:szCs w:val="16"/>
        </w:rPr>
      </w:pPr>
    </w:p>
    <w:p w14:paraId="7F6E7BA3" w14:textId="77777777" w:rsidR="002A470B" w:rsidRPr="002F2FDF" w:rsidRDefault="002A470B" w:rsidP="0083075A">
      <w:pPr>
        <w:pStyle w:val="p1"/>
        <w:spacing w:before="0" w:beforeAutospacing="0" w:after="0" w:afterAutospacing="0"/>
        <w:jc w:val="both"/>
        <w:rPr>
          <w:color w:val="000000" w:themeColor="text1"/>
          <w:sz w:val="16"/>
          <w:szCs w:val="16"/>
        </w:rPr>
      </w:pPr>
      <w:r w:rsidRPr="002F2FDF">
        <w:rPr>
          <w:color w:val="000000" w:themeColor="text1"/>
          <w:sz w:val="16"/>
          <w:szCs w:val="16"/>
        </w:rPr>
        <w:lastRenderedPageBreak/>
        <w:t>Но в январе — феврале 1917 г. постройка завода взрывателей в Воронеже затормозилась. Комиссия рассчитывала за январь 1917 г. получить 825 вагонов для подвоза материалов (бутового камня), но ей назначили лишь пять вагонов; с 18 января по 24 февраля комиссия ходатайствовала о 2011 вагонах под перевозку строительных материалов, но не получила ни одного (18409).</w:t>
      </w:r>
    </w:p>
    <w:p w14:paraId="4C8A24E2" w14:textId="77777777" w:rsidR="002A470B" w:rsidRPr="002F2FDF" w:rsidRDefault="002A470B" w:rsidP="0083075A">
      <w:pPr>
        <w:pStyle w:val="p1"/>
        <w:spacing w:before="0" w:beforeAutospacing="0" w:after="0" w:afterAutospacing="0"/>
        <w:jc w:val="both"/>
        <w:rPr>
          <w:color w:val="000000" w:themeColor="text1"/>
          <w:sz w:val="16"/>
          <w:szCs w:val="16"/>
        </w:rPr>
      </w:pPr>
    </w:p>
    <w:p w14:paraId="5085D8B7" w14:textId="49362F1B" w:rsidR="002966F1" w:rsidRDefault="002966F1"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247963CA" w14:textId="77777777" w:rsidR="002966F1" w:rsidRDefault="002966F1"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5FF61339"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течение января и февраля 1917 г. во Францию для обучения прибыли еще несколько групп российских летчиков (23525).</w:t>
      </w:r>
    </w:p>
    <w:p w14:paraId="7E4C5F8C" w14:textId="77777777" w:rsidR="002966F1" w:rsidRPr="00FB4F67" w:rsidRDefault="002966F1" w:rsidP="0083075A">
      <w:pPr>
        <w:spacing w:after="0" w:line="240" w:lineRule="auto"/>
        <w:jc w:val="both"/>
        <w:rPr>
          <w:rFonts w:ascii="Times New Roman" w:hAnsi="Times New Roman" w:cs="Times New Roman"/>
          <w:color w:val="0070C0"/>
          <w:sz w:val="16"/>
          <w:szCs w:val="16"/>
        </w:rPr>
      </w:pPr>
    </w:p>
    <w:p w14:paraId="6AB5D7ED" w14:textId="39D7BCF9" w:rsidR="00C364AB" w:rsidRPr="002F2FDF" w:rsidRDefault="00C364A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r w:rsidRPr="002F2FDF">
        <w:rPr>
          <w:rFonts w:ascii="Times New Roman" w:hAnsi="Times New Roman" w:cs="Times New Roman"/>
          <w:iCs/>
          <w:color w:val="000000" w:themeColor="text1"/>
          <w:kern w:val="2"/>
          <w:sz w:val="16"/>
          <w:szCs w:val="16"/>
        </w:rPr>
        <w:t>:</w:t>
      </w:r>
    </w:p>
    <w:p w14:paraId="5D299987" w14:textId="77777777" w:rsidR="00C364AB" w:rsidRPr="002F2FDF" w:rsidRDefault="00C364A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F3C89B" w14:textId="77777777" w:rsidR="00C364AB" w:rsidRPr="002F2FDF" w:rsidRDefault="00C364A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январе-феврале 1917 г. число бастующих составило только на предприятиях, подчиненных надзору фабричной инспекции, около 700 тысяч. Усиливались антивоенные настроения в деревне. Нарастал процесс революционизирования армии. Учащались случаи неповиновения солдат на фронте, а в тыловых гарнизонах --проявления сочувствия к бастующим рабочим.</w:t>
      </w:r>
    </w:p>
    <w:p w14:paraId="66639FBF" w14:textId="77777777" w:rsidR="00C364AB" w:rsidRPr="002F2FDF" w:rsidRDefault="00C364A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рост революционного движения царизм ответил усилением репрессий. Особое беспокойство вызвало у правительства положение в столице. В начале февраля Петроградский военный округ был выделен из Северного фронта и подчинен непосредственно Ставке. Полицию и жандармерию вооружили пулеметами.</w:t>
      </w:r>
    </w:p>
    <w:p w14:paraId="16F4607E" w14:textId="77777777" w:rsidR="00C364AB" w:rsidRPr="002F2FDF" w:rsidRDefault="00C364A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Застрельщиком революционной борьбы выступал пролетариат. В его среде были живы традиции 1905 года и последующих классовых боев, идеи и лозунги большевизма. Несмотря на ослабление многих партийных организаций в результате непрерывных полицейских разгромов, большевики и в годы войны неутомимо продолжали работу в массах, готовя их к свержению царской монархии (17025).</w:t>
      </w:r>
    </w:p>
    <w:p w14:paraId="38269026" w14:textId="77777777" w:rsidR="00C364AB" w:rsidRPr="002F2FDF" w:rsidRDefault="00C364AB" w:rsidP="0083075A">
      <w:pPr>
        <w:spacing w:after="0" w:line="240" w:lineRule="auto"/>
        <w:jc w:val="both"/>
        <w:rPr>
          <w:rFonts w:ascii="Times New Roman" w:hAnsi="Times New Roman" w:cs="Times New Roman"/>
          <w:color w:val="000000" w:themeColor="text1"/>
          <w:kern w:val="2"/>
          <w:sz w:val="16"/>
          <w:szCs w:val="16"/>
        </w:rPr>
      </w:pPr>
    </w:p>
    <w:p w14:paraId="3A74DB7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0155A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FC8EF3" w14:textId="77777777" w:rsidR="00FF1A24" w:rsidRPr="002F2FDF" w:rsidRDefault="00FF1A24"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В начале 1917 г. из-за инфляции правительственные субсидии стали играть все более заметную роль в развитии завода Дукс. Чтобы их получить, АО «Дукс», представляя 11 ноября 1916 г. в УВВФ финансовый отчет за 1914/1915 операционный год и выписку из такого же отчета за 1915/1916 год, подлежащую утверждению на общем собрании акционеров 20 декабря, считало свои долгом указать: «По отчету за 1915/1916 год основной капитал Общества числится в сумме 800.000 руб.; в действительности же его следовало бы считать в значительно большей сумме. Об увеличении основного капитала на 1.000.000 рублей Обществом было возбуждено еще в 1915 г. ходатайство перед Министерством Торговли и Промышленности; ходатайство это уважено Министерством и представление по сему предмету внесено в Совет Министров, где должно последовать решение в ближайшем будущем. До выпуска же новых акций на 1.000.000 руб. на пополнение оборотных средств Обществу пришлось прибегнуть к займам и кредиту у разных лиц и к использованию на различных основаниях непринадлежащего Обществу недвижимого имущества в землях и постройках крупной ценности. Таким образом, фактически в обороте Общества кроме основного капитала в 800.000 руб., имеются в настоящее время позаимствованные капиталы и прочие ценности на сумму, много превышающую размер предполагаемого нового основного капитала в 1.800.000 руб.» (15464).</w:t>
      </w:r>
    </w:p>
    <w:p w14:paraId="6804BB52" w14:textId="77777777" w:rsidR="00FF1A24" w:rsidRPr="002F2FDF" w:rsidRDefault="00FF1A24" w:rsidP="0083075A">
      <w:pPr>
        <w:pStyle w:val="2"/>
        <w:spacing w:before="0" w:beforeAutospacing="0" w:after="0" w:afterAutospacing="0"/>
        <w:jc w:val="both"/>
        <w:rPr>
          <w:b w:val="0"/>
          <w:color w:val="000000" w:themeColor="text1"/>
          <w:kern w:val="2"/>
          <w:sz w:val="16"/>
          <w:szCs w:val="16"/>
        </w:rPr>
      </w:pPr>
    </w:p>
    <w:p w14:paraId="189317BA" w14:textId="19E9C5A2" w:rsidR="002A470B" w:rsidRPr="002F2FDF" w:rsidRDefault="002A470B" w:rsidP="0083075A">
      <w:pPr>
        <w:pStyle w:val="ae"/>
        <w:spacing w:before="0" w:after="0"/>
        <w:jc w:val="both"/>
        <w:rPr>
          <w:color w:val="000000" w:themeColor="text1"/>
          <w:sz w:val="16"/>
          <w:szCs w:val="16"/>
        </w:rPr>
      </w:pPr>
      <w:r w:rsidRPr="002F2FDF">
        <w:rPr>
          <w:color w:val="000000" w:themeColor="text1"/>
          <w:sz w:val="16"/>
          <w:szCs w:val="16"/>
        </w:rPr>
        <w:t>На начало</w:t>
      </w:r>
      <w:r w:rsidR="00E52569">
        <w:rPr>
          <w:color w:val="000000" w:themeColor="text1"/>
          <w:sz w:val="16"/>
          <w:szCs w:val="16"/>
        </w:rPr>
        <w:t xml:space="preserve"> </w:t>
      </w:r>
      <w:r w:rsidRPr="002F2FDF">
        <w:rPr>
          <w:color w:val="000000" w:themeColor="text1"/>
          <w:sz w:val="16"/>
          <w:szCs w:val="16"/>
        </w:rPr>
        <w:t xml:space="preserve"> 1917 г. в России насчитывалось 14 самолетостроительных предприятий, на которых было занято около 12</w:t>
      </w:r>
      <w:r w:rsidR="00E52569">
        <w:rPr>
          <w:color w:val="000000" w:themeColor="text1"/>
          <w:sz w:val="16"/>
          <w:szCs w:val="16"/>
        </w:rPr>
        <w:t xml:space="preserve"> </w:t>
      </w:r>
      <w:r w:rsidRPr="002F2FDF">
        <w:rPr>
          <w:color w:val="000000" w:themeColor="text1"/>
          <w:sz w:val="16"/>
          <w:szCs w:val="16"/>
        </w:rPr>
        <w:t xml:space="preserve"> тыс. рабочих по сревнению с 11 авиационных заводов и мастерских перед войной; производство авиационных двигателей было налажено на 7 заводах, насчитывающих</w:t>
      </w:r>
      <w:r w:rsidR="00E52569">
        <w:rPr>
          <w:color w:val="000000" w:themeColor="text1"/>
          <w:sz w:val="16"/>
          <w:szCs w:val="16"/>
        </w:rPr>
        <w:t xml:space="preserve"> </w:t>
      </w:r>
      <w:r w:rsidRPr="002F2FDF">
        <w:rPr>
          <w:color w:val="000000" w:themeColor="text1"/>
          <w:sz w:val="16"/>
          <w:szCs w:val="16"/>
        </w:rPr>
        <w:t xml:space="preserve"> около 3,5 тыс. рабочих. Таким образом, всего на 21 русском авиационном предприятии трудилось</w:t>
      </w:r>
      <w:r w:rsidR="00E52569">
        <w:rPr>
          <w:color w:val="000000" w:themeColor="text1"/>
          <w:sz w:val="16"/>
          <w:szCs w:val="16"/>
        </w:rPr>
        <w:t xml:space="preserve"> </w:t>
      </w:r>
      <w:r w:rsidRPr="002F2FDF">
        <w:rPr>
          <w:color w:val="000000" w:themeColor="text1"/>
          <w:sz w:val="16"/>
          <w:szCs w:val="16"/>
        </w:rPr>
        <w:t xml:space="preserve"> 15,5 тыс. рабочих. Суммарная средняя производительность аэроплановых заводов в месяц в конце 1916 г. составляла 200 аппаратов (довоенная - 40), а моторных - около 100 двигателей (против 10-15 до войны)</w:t>
      </w:r>
      <w:bookmarkStart w:id="20" w:name="_ednref41"/>
      <w:r w:rsidRPr="002F2FDF">
        <w:rPr>
          <w:color w:val="000000" w:themeColor="text1"/>
          <w:sz w:val="16"/>
          <w:szCs w:val="16"/>
        </w:rPr>
        <w:t xml:space="preserve"> (19369).</w:t>
      </w:r>
    </w:p>
    <w:p w14:paraId="5E01F35D" w14:textId="77777777" w:rsidR="002A470B" w:rsidRPr="002F2FDF" w:rsidRDefault="002A470B" w:rsidP="0083075A">
      <w:pPr>
        <w:pStyle w:val="ae"/>
        <w:spacing w:before="0" w:after="0"/>
        <w:jc w:val="both"/>
        <w:rPr>
          <w:color w:val="000000" w:themeColor="text1"/>
          <w:sz w:val="16"/>
          <w:szCs w:val="16"/>
        </w:rPr>
      </w:pPr>
    </w:p>
    <w:bookmarkEnd w:id="20"/>
    <w:p w14:paraId="0BE22ADA" w14:textId="77777777" w:rsidR="002A470B" w:rsidRPr="002F2FDF" w:rsidRDefault="002A470B" w:rsidP="0083075A">
      <w:pPr>
        <w:pStyle w:val="ae"/>
        <w:spacing w:before="0" w:after="0"/>
        <w:jc w:val="both"/>
        <w:rPr>
          <w:color w:val="000000" w:themeColor="text1"/>
          <w:sz w:val="16"/>
          <w:szCs w:val="16"/>
        </w:rPr>
      </w:pPr>
      <w:r w:rsidRPr="002F2FDF">
        <w:rPr>
          <w:color w:val="000000" w:themeColor="text1"/>
          <w:sz w:val="16"/>
          <w:szCs w:val="16"/>
        </w:rPr>
        <w:t>К началу 1917 г. доля самолетов с русских предприятий составляла около 80 %, а моторов – 30 %. Важным результатом заводского строительства в 1914-1917 гг. было создание тех основ авиастроения, которые позволили отечественной авиации добиться значительных успехов в конце 1920- 1930-е гг. В период индустриализации самолетостроительные и моторные заводы, построенные или реконструированные в годы Первой мировой войны, явились базой для создания мощной советской авиационной промышленности как высокоразвитой отрасли народного хозяйства (18369).</w:t>
      </w:r>
    </w:p>
    <w:p w14:paraId="7E92AE87" w14:textId="77777777" w:rsidR="002A470B" w:rsidRPr="002F2FDF" w:rsidRDefault="002A470B" w:rsidP="0083075A">
      <w:pPr>
        <w:pStyle w:val="ae"/>
        <w:spacing w:before="0" w:after="0"/>
        <w:jc w:val="both"/>
        <w:rPr>
          <w:color w:val="000000" w:themeColor="text1"/>
          <w:sz w:val="16"/>
          <w:szCs w:val="16"/>
        </w:rPr>
      </w:pPr>
    </w:p>
    <w:p w14:paraId="5C3E803B" w14:textId="77777777" w:rsidR="002A470B" w:rsidRPr="002F2FDF" w:rsidRDefault="002A47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начале 1917 г. при выработке плана демобилизации производств Особая финансово-экономическая комиссия провела классификацию военных заказов, и она рассматривала заказанные для армии обувь, одежду, повозки, автомобили как предметы, «могущие быть употребленными и в мирное время». К этому классу другая правительственная комиссия добавила военно-санитарные и ветеринарные запасы, авиационные моторы. Что же касается «артиллерийских заготовлений», то лишь кислоты смогла комиссия отнести к разряду тех продуктов, которые могут пригодиться и в случае их «излишка для целей войны» [РГИА ф. 23, оп. 27, д. 218, л. 8об.; ГАРФ ф. 6, оп. 2, д. 225, л. 4] (18408).</w:t>
      </w:r>
    </w:p>
    <w:p w14:paraId="64CA35C4" w14:textId="77777777" w:rsidR="002A470B" w:rsidRPr="002F2FDF" w:rsidRDefault="002A470B" w:rsidP="0083075A">
      <w:pPr>
        <w:spacing w:after="0" w:line="240" w:lineRule="auto"/>
        <w:jc w:val="both"/>
        <w:rPr>
          <w:rFonts w:ascii="Times New Roman" w:hAnsi="Times New Roman" w:cs="Times New Roman"/>
          <w:color w:val="000000" w:themeColor="text1"/>
          <w:sz w:val="16"/>
          <w:szCs w:val="16"/>
        </w:rPr>
      </w:pPr>
    </w:p>
    <w:p w14:paraId="3C7D9458" w14:textId="7382867B" w:rsidR="00FF1A24" w:rsidRPr="002F2FDF" w:rsidRDefault="00FF1A24" w:rsidP="0083075A">
      <w:pPr>
        <w:shd w:val="clear" w:color="auto" w:fill="FFFFFF"/>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начале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английской авиашколе майора Валентена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Ходынке появивились разведчик ВЕ2Е и истребители «Сопвич» и истребителей «Виккерс». Время их</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серийной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массовой (по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масштабам того времени) постройки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Москве пришло только после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когда завод превратился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ГАЗ № 1 (15219).</w:t>
      </w:r>
    </w:p>
    <w:p w14:paraId="38B0BC46" w14:textId="77777777" w:rsidR="00FF1A24" w:rsidRPr="002F2FDF" w:rsidRDefault="00FF1A24"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6F33AE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лл М-11 Д.П.Г. была положительно оценена морскими летчиками и особенно понравилась броня (92,224).</w:t>
      </w:r>
    </w:p>
    <w:p w14:paraId="2CAC2C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46A9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чертежи М-9 Д.П.Г. были переданы союзникам (92,222).</w:t>
      </w:r>
    </w:p>
    <w:p w14:paraId="05D8A1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ADC3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 на заводе Щетинина работало около 2 тыс. рабочих и инженеров. Его месячная производительность достигала 30-40 машин. Этот завод был единственным в России, серьезно освоившим производство военных гидросамолетов. Его коллективу морской флот России обязан прекрасными летающими лодками, превосходство которых признавало даже немецкое командование.</w:t>
      </w:r>
    </w:p>
    <w:p w14:paraId="3F2EFD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время войны было построено свыше 200 летающих лодок конструкции Д.П.Григоровича. Это значит, что завод Щетинина обеспечил материальной частью не менее 12 морских авиаотрядов. Летающие лодки были широко распространены на Балтийском и Черном морях и принесли российскому военно-морскому флоту большую пользу (9705).</w:t>
      </w:r>
    </w:p>
    <w:p w14:paraId="08C0B7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5611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был сдан один экз. самолета Лебедь-IX В.А.Лебедева - отремонтированный трофейный Эльфауге (L.V.G.) (92,160).</w:t>
      </w:r>
    </w:p>
    <w:p w14:paraId="54F693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8B83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испытали первый опытный экземпляр аэроплана Лебедь 16, который построили в 1916 г. Летал пилот компании А.П. Гончаров. В целом, аппарат показал неплохие результаты, но дальнейшие опыты с ним были по какой-то причине остановлены. Без сомнения, в конце 1917 г. В.А. Лебедев пробовал заинтересовать Морское ведомство этой моделью, выдавая ее за новейшую разработку, и к тому же за гидроаэроплан (2843).</w:t>
      </w:r>
    </w:p>
    <w:p w14:paraId="0D3610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3056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был выпущен в двух вариантах самолет Лебедь-X В.А.Лебедева. Имел два варианта комплекта крыльев - большие (двухстоечный) и малые (одностоечный) биплан. С малыми мог бы быть истребителем, но был непригоден, а с большими - разведчиком, но не хватало мощности. В серии не строился (92,160).</w:t>
      </w:r>
    </w:p>
    <w:p w14:paraId="4F7EE2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CD7E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летчик-сдатчик А.П.Гончаров провел испытания самолета В.А.Лебедева Лебедь-XVI - трехместного разведчика - двухстоечного биплана с двумя двигателями Рон по 80 нр (92,165).</w:t>
      </w:r>
    </w:p>
    <w:p w14:paraId="538DCC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F148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состоялись испытания тяжелого истребителя Лебедь-14 (Л-14) Л.Д.Колпаков-Мирошниченко - четырехместного биплана с двумя двигателями и монококовым фюзеляжем и 37 мм пушков и двумя пулеметами (318,85).</w:t>
      </w:r>
    </w:p>
    <w:p w14:paraId="2087D4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5FE1F6"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1917 г. заводской пилот Гончаров провел испытания «Лебедь-XVI», однако интереса военного ведомства са</w:t>
      </w:r>
      <w:r w:rsidRPr="00FB4F67">
        <w:rPr>
          <w:rFonts w:ascii="Times New Roman" w:hAnsi="Times New Roman" w:cs="Times New Roman"/>
          <w:color w:val="0070C0"/>
          <w:sz w:val="16"/>
          <w:szCs w:val="16"/>
        </w:rPr>
        <w:softHyphen/>
        <w:t xml:space="preserve">молет не вызвал. </w:t>
      </w:r>
    </w:p>
    <w:p w14:paraId="166C5FD4"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ходе постройки «Лебедь-XII» инженер Л.М. Шкульник предложил переконструи</w:t>
      </w:r>
      <w:r w:rsidRPr="00FB4F67">
        <w:rPr>
          <w:rFonts w:ascii="Times New Roman" w:hAnsi="Times New Roman" w:cs="Times New Roman"/>
          <w:color w:val="0070C0"/>
          <w:sz w:val="16"/>
          <w:szCs w:val="16"/>
        </w:rPr>
        <w:softHyphen/>
        <w:t>ровать аэроплан под два ротативных дви</w:t>
      </w:r>
      <w:r w:rsidRPr="00FB4F67">
        <w:rPr>
          <w:rFonts w:ascii="Times New Roman" w:hAnsi="Times New Roman" w:cs="Times New Roman"/>
          <w:color w:val="0070C0"/>
          <w:sz w:val="16"/>
          <w:szCs w:val="16"/>
        </w:rPr>
        <w:softHyphen/>
        <w:t>гателя «Рон» мощностью 80 л.с. Размах крыльев при этом увеличивался, фюзеляж для трех членов экипажа строился новый.</w:t>
      </w:r>
    </w:p>
    <w:p w14:paraId="56A50A1A"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Причиной такого решения явилась нео</w:t>
      </w:r>
      <w:r w:rsidRPr="00FB4F67">
        <w:rPr>
          <w:rFonts w:ascii="Times New Roman" w:hAnsi="Times New Roman" w:cs="Times New Roman"/>
          <w:color w:val="0070C0"/>
          <w:sz w:val="16"/>
          <w:szCs w:val="16"/>
        </w:rPr>
        <w:softHyphen/>
        <w:t>слабевающая российская проблема «мо</w:t>
      </w:r>
      <w:r w:rsidRPr="00FB4F67">
        <w:rPr>
          <w:rFonts w:ascii="Times New Roman" w:hAnsi="Times New Roman" w:cs="Times New Roman"/>
          <w:color w:val="0070C0"/>
          <w:sz w:val="16"/>
          <w:szCs w:val="16"/>
        </w:rPr>
        <w:softHyphen/>
        <w:t>торного голода», т.е. недостатка соответ</w:t>
      </w:r>
      <w:r w:rsidRPr="00FB4F67">
        <w:rPr>
          <w:rFonts w:ascii="Times New Roman" w:hAnsi="Times New Roman" w:cs="Times New Roman"/>
          <w:color w:val="0070C0"/>
          <w:sz w:val="16"/>
          <w:szCs w:val="16"/>
        </w:rPr>
        <w:softHyphen/>
        <w:t>ствующих двигателей. Двигатели «Рон» на тот момент являлись достаточно распрост</w:t>
      </w:r>
      <w:r w:rsidRPr="00FB4F67">
        <w:rPr>
          <w:rFonts w:ascii="Times New Roman" w:hAnsi="Times New Roman" w:cs="Times New Roman"/>
          <w:color w:val="0070C0"/>
          <w:sz w:val="16"/>
          <w:szCs w:val="16"/>
        </w:rPr>
        <w:softHyphen/>
        <w:t>раненными и серийно выпускались мос</w:t>
      </w:r>
      <w:r w:rsidRPr="00FB4F67">
        <w:rPr>
          <w:rFonts w:ascii="Times New Roman" w:hAnsi="Times New Roman" w:cs="Times New Roman"/>
          <w:color w:val="0070C0"/>
          <w:sz w:val="16"/>
          <w:szCs w:val="16"/>
        </w:rPr>
        <w:softHyphen/>
        <w:t>ковским заводом «Мотор».</w:t>
      </w:r>
    </w:p>
    <w:p w14:paraId="1481693B"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Двухмоторный самолет получил обозна</w:t>
      </w:r>
      <w:r w:rsidRPr="00FB4F67">
        <w:rPr>
          <w:rFonts w:ascii="Times New Roman" w:hAnsi="Times New Roman" w:cs="Times New Roman"/>
          <w:color w:val="0070C0"/>
          <w:sz w:val="16"/>
          <w:szCs w:val="16"/>
        </w:rPr>
        <w:softHyphen/>
        <w:t>чение «Лебедь-XVI», его изготовление за</w:t>
      </w:r>
      <w:r w:rsidRPr="00FB4F67">
        <w:rPr>
          <w:rFonts w:ascii="Times New Roman" w:hAnsi="Times New Roman" w:cs="Times New Roman"/>
          <w:color w:val="0070C0"/>
          <w:sz w:val="16"/>
          <w:szCs w:val="16"/>
        </w:rPr>
        <w:softHyphen/>
        <w:t>вершилось в 1916 г. «Роны» разместили в межкрыльевом пространстве бипланной коробки, в жесткости, образуемой Л-образными подкосами. В передней части де</w:t>
      </w:r>
      <w:r w:rsidRPr="00FB4F67">
        <w:rPr>
          <w:rFonts w:ascii="Times New Roman" w:hAnsi="Times New Roman" w:cs="Times New Roman"/>
          <w:color w:val="0070C0"/>
          <w:sz w:val="16"/>
          <w:szCs w:val="16"/>
        </w:rPr>
        <w:softHyphen/>
        <w:t>ревянного, обшитого фанерой фюзеляжа, находился воздушный стрелок с пулеме</w:t>
      </w:r>
      <w:r w:rsidRPr="00FB4F67">
        <w:rPr>
          <w:rFonts w:ascii="Times New Roman" w:hAnsi="Times New Roman" w:cs="Times New Roman"/>
          <w:color w:val="0070C0"/>
          <w:sz w:val="16"/>
          <w:szCs w:val="16"/>
        </w:rPr>
        <w:softHyphen/>
        <w:t>том, в средней части пилот — за ним кор</w:t>
      </w:r>
      <w:r w:rsidRPr="00FB4F67">
        <w:rPr>
          <w:rFonts w:ascii="Times New Roman" w:hAnsi="Times New Roman" w:cs="Times New Roman"/>
          <w:color w:val="0070C0"/>
          <w:sz w:val="16"/>
          <w:szCs w:val="16"/>
        </w:rPr>
        <w:softHyphen/>
        <w:t>мовой стрелок для защиты задней полу</w:t>
      </w:r>
      <w:r w:rsidRPr="00FB4F67">
        <w:rPr>
          <w:rFonts w:ascii="Times New Roman" w:hAnsi="Times New Roman" w:cs="Times New Roman"/>
          <w:color w:val="0070C0"/>
          <w:sz w:val="16"/>
          <w:szCs w:val="16"/>
        </w:rPr>
        <w:softHyphen/>
        <w:t xml:space="preserve">сферы. </w:t>
      </w:r>
    </w:p>
    <w:p w14:paraId="43AEB17C"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В последующем этот двухмоторный аппарат предлагался Управ</w:t>
      </w:r>
      <w:r w:rsidRPr="00FB4F67">
        <w:rPr>
          <w:rFonts w:ascii="Times New Roman" w:hAnsi="Times New Roman" w:cs="Times New Roman"/>
          <w:color w:val="0070C0"/>
          <w:sz w:val="16"/>
          <w:szCs w:val="16"/>
        </w:rPr>
        <w:softHyphen/>
        <w:t>лению морской авиации, для чего предпо</w:t>
      </w:r>
      <w:r w:rsidRPr="00FB4F67">
        <w:rPr>
          <w:rFonts w:ascii="Times New Roman" w:hAnsi="Times New Roman" w:cs="Times New Roman"/>
          <w:color w:val="0070C0"/>
          <w:sz w:val="16"/>
          <w:szCs w:val="16"/>
        </w:rPr>
        <w:softHyphen/>
        <w:t>лагалось его установить на поплавки. Ини</w:t>
      </w:r>
      <w:r w:rsidRPr="00FB4F67">
        <w:rPr>
          <w:rFonts w:ascii="Times New Roman" w:hAnsi="Times New Roman" w:cs="Times New Roman"/>
          <w:color w:val="0070C0"/>
          <w:sz w:val="16"/>
          <w:szCs w:val="16"/>
        </w:rPr>
        <w:softHyphen/>
        <w:t>циатива осталась без последствий (23374).</w:t>
      </w:r>
    </w:p>
    <w:p w14:paraId="1FDBAC9A" w14:textId="77777777" w:rsidR="002966F1" w:rsidRPr="00FB4F67" w:rsidRDefault="002966F1" w:rsidP="0083075A">
      <w:pPr>
        <w:spacing w:after="0" w:line="240" w:lineRule="auto"/>
        <w:jc w:val="both"/>
        <w:rPr>
          <w:rFonts w:ascii="Times New Roman" w:hAnsi="Times New Roman" w:cs="Times New Roman"/>
          <w:color w:val="0070C0"/>
          <w:sz w:val="16"/>
          <w:szCs w:val="16"/>
        </w:rPr>
      </w:pPr>
    </w:p>
    <w:p w14:paraId="49795F85"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1917 г. был испытан трехместный биплан «Лебедь-16» с двумя двигателями «Рона» мощностью 80 л. Лебедь-17, разработанный совместно с Гуревичем, с одним двигателем Salmson мощностью 150 л.с. Летные испытания он прошел в августе 1917 года. Было построено несколько самолетов, но в серийное производство он так и не пошел.</w:t>
      </w:r>
    </w:p>
    <w:p w14:paraId="50524769"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Salmson мощностью 150 л.с. Лебедь 24 остался проектом из-за непоставки ожидаемых двигателей Fiat и Hispano-Suiza.</w:t>
      </w:r>
    </w:p>
    <w:p w14:paraId="7F8A55AA"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Nieuport X; 10 марта 1917 г. - 15 из 60 Nieuport X; 30 мая 1917 г. - ни одного из 200 Лебедей 24; 1917 г., 5 июля - заказ на 140 Sopwith 1/2 Страттерс и 60 Лебедей для школы, неизвестно, были ли они построены.</w:t>
      </w:r>
    </w:p>
    <w:p w14:paraId="790568BE"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5F904951"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3D5991DA" w14:textId="77777777" w:rsidR="002966F1" w:rsidRPr="00FB4F67" w:rsidRDefault="002966F1" w:rsidP="0083075A">
      <w:pPr>
        <w:spacing w:after="0" w:line="240" w:lineRule="auto"/>
        <w:jc w:val="both"/>
        <w:rPr>
          <w:rFonts w:ascii="Times New Roman" w:hAnsi="Times New Roman" w:cs="Times New Roman"/>
          <w:color w:val="0070C0"/>
          <w:sz w:val="16"/>
          <w:szCs w:val="16"/>
        </w:rPr>
      </w:pPr>
    </w:p>
    <w:p w14:paraId="1602B1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года, в разгар строительства, на Таганрогский з-д стали завозить закупленное в разных местах, в том числе и за границей, современное оборудование, станки, механизмы, а также различные приборы, агрегаты и авиаматериалы для развертывания серийного строительства новейших по тому времени аэропланов. Завод был очень хорошо спланирован и этим выгодно отличался от всех авиационных предприятий дореволюционной России.</w:t>
      </w:r>
    </w:p>
    <w:p w14:paraId="005D5F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Интересно был построен сборочный цех. Главная сборка состояла из двух потоков: один для сухопутных самолетов, другой - для морских. К сборочному цеху примыкали два крыла зданий, где изготавливались части и детали сухопутных и морских машин. Все это напоминало поточную систему сборки на современном самолетостроительном заводе.</w:t>
      </w:r>
    </w:p>
    <w:p w14:paraId="193757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Уже в ходе строительства завода у В. Лебедева возникла идея не просто построить в Таганроге свой очередной самолетостроительный завод (а до этого он уже имел четыре в других городах), но и использовать выгоднейшее географическое местоположение, а именно завод строился на далекой окраине Таганрога. Рядом были обширные городские выгонные земли, вполне пригодные как для расширения заводской территории, так и для устройства самого современного аэродрома. Завод располагался на берегу Таганрогского залива Азовского моря, это давало возможность создать здесь гидропляж для летающих лодок и, используя довольно долгий навигационный период (с марта до середины ноября), строить и испытывать гидросамолеты.</w:t>
      </w:r>
    </w:p>
    <w:p w14:paraId="7B24C2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Уже в ходе строительства было решено создать при Таганрогском авиационном заводе свое конструкторское бюро, которое бы разрабатывало здесь новые гидросамолеты, т.е., говоря современным языком, строился научно-производственный центр отечественного гидросамолетостроения.</w:t>
      </w:r>
    </w:p>
    <w:p w14:paraId="4C412B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год - самый разгар строительства завода. Во вновь возведенных и еще не пол-ностью оснащенных заводских корпусах уже идет сборка французских самолетов “Вуазен L”, английских “Сопвичей”, а затем собираются и отечественные оригинальные самолеты—разведчики “Лебедь XII”. Всего этих машин было собрано на двух заводах фирмы - Петроградском и Таганрогском - 216 единиц. В Таганроге тогда же были соб-раны и облетаны две морские машины, поставленные на поплавки “Лебедь XII”. Они получили название “Лебедь Морской” (11642).</w:t>
      </w:r>
    </w:p>
    <w:p w14:paraId="7B1F75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E0809F" w14:textId="77777777" w:rsidR="00447212" w:rsidRPr="002F2FDF" w:rsidRDefault="0044721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часть уже оплаченных станков (110 единиц на общую сумму 1,2 млн. франков) для авиамоторного завода Анатра в Симферополе французское правительство задержало до весны для удовлетворения собственных потребностей. Как докладывал уполномоченный по строительству авиазаводов в Приазовском районе п-к Мезенцев, к 26 апреля 1917 г. на авиамоторное предприятие не поступила ни одна единица оборудования, хотя готовы стены и земляной пол первой и второй очередей корпусов, корпус первой очереди перекрыт, и завершения постройки можно ожидать к июлю месяцу. В мае заказанные во Франции станки были наконец переданы представителю фирмы в Париже. Однако встревоженный политической ситуацией на родине А. Анатра попытался задержать часть ценного оборудования во Франции до стабилизации положения в России. Под предлогом возможной потери станков при доставке морским путем ввиду возросшей активности германских подводных лодок, он предложил организовать в Париже «параллельную мастерскую». Изготовленные в ней детали поступали бы в Симферополь на окончательную сборку. Военные отнеслись к предложению со скептицизмом, заявив, что доставка деталей будет не менее рискованной, чем станков.</w:t>
      </w:r>
    </w:p>
    <w:p w14:paraId="3FB30BBC" w14:textId="77777777" w:rsidR="00447212" w:rsidRPr="002F2FDF" w:rsidRDefault="0044721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итоге представители А. Анатры стали попросту саботировать отправку оборудования. По состоянию на 13 февраля 1918 г. ни один станок на завод не прибыл. 19 единиц оборудования находились на станции в Симферополе, 54 — в Архангельске, а еще около 300 не покинули пределы Франции. Всю вторую половину 1917 и первые месяцы 1918 гг. между администрацией «Анатры» и УВВФ велась бесконечная переписка по поводу различных отсрочек с выполнением контрактов, последняя из них — на 6 месяцев — была предоставлена 10 апреля 1918 г. Но это уже не имело ровно никакого значения — авиамоторный завод в Симферополе скончался, так и не родившись (12252).</w:t>
      </w:r>
    </w:p>
    <w:p w14:paraId="52D5F913" w14:textId="77777777" w:rsidR="00447212" w:rsidRPr="002F2FDF" w:rsidRDefault="00447212" w:rsidP="0083075A">
      <w:pPr>
        <w:spacing w:after="0" w:line="240" w:lineRule="auto"/>
        <w:jc w:val="both"/>
        <w:rPr>
          <w:rFonts w:ascii="Times New Roman" w:hAnsi="Times New Roman" w:cs="Times New Roman"/>
          <w:color w:val="000000" w:themeColor="text1"/>
          <w:kern w:val="2"/>
          <w:sz w:val="16"/>
          <w:szCs w:val="16"/>
        </w:rPr>
      </w:pPr>
    </w:p>
    <w:p w14:paraId="75B254C8"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1917 г. в Брянске состоялись первые полеты одноместного «Торпедо» на лыжах. В дальнейшем испытания про</w:t>
      </w:r>
      <w:r w:rsidRPr="00FB4F67">
        <w:rPr>
          <w:rFonts w:ascii="Times New Roman" w:hAnsi="Times New Roman" w:cs="Times New Roman"/>
          <w:color w:val="0070C0"/>
          <w:sz w:val="16"/>
          <w:szCs w:val="16"/>
        </w:rPr>
        <w:softHyphen/>
        <w:t>должились в Одессе на колесах К этому моменту на самолете установили пулемет (снаружи, по правому борту), оборудован</w:t>
      </w:r>
      <w:r w:rsidRPr="00FB4F67">
        <w:rPr>
          <w:rFonts w:ascii="Times New Roman" w:hAnsi="Times New Roman" w:cs="Times New Roman"/>
          <w:color w:val="0070C0"/>
          <w:sz w:val="16"/>
          <w:szCs w:val="16"/>
        </w:rPr>
        <w:softHyphen/>
        <w:t>ный синхронизатором системы В.М. Оль</w:t>
      </w:r>
      <w:r w:rsidRPr="00FB4F67">
        <w:rPr>
          <w:rFonts w:ascii="Times New Roman" w:hAnsi="Times New Roman" w:cs="Times New Roman"/>
          <w:color w:val="0070C0"/>
          <w:sz w:val="16"/>
          <w:szCs w:val="16"/>
        </w:rPr>
        <w:softHyphen/>
        <w:t>ховского. В период 6—20 марта 1917 г. в Одессе велись сдаточные испытания «Тор</w:t>
      </w:r>
      <w:r w:rsidRPr="00FB4F67">
        <w:rPr>
          <w:rFonts w:ascii="Times New Roman" w:hAnsi="Times New Roman" w:cs="Times New Roman"/>
          <w:color w:val="0070C0"/>
          <w:sz w:val="16"/>
          <w:szCs w:val="16"/>
        </w:rPr>
        <w:softHyphen/>
        <w:t>педо». Присутствовали и летали члены спе</w:t>
      </w:r>
      <w:r w:rsidRPr="00FB4F67">
        <w:rPr>
          <w:rFonts w:ascii="Times New Roman" w:hAnsi="Times New Roman" w:cs="Times New Roman"/>
          <w:color w:val="0070C0"/>
          <w:sz w:val="16"/>
          <w:szCs w:val="16"/>
        </w:rPr>
        <w:softHyphen/>
        <w:t>циальной приемной комиссии Модрах, Прокофьев-Северский, Слепцов, Альбрехт. Самолет показал скорость 169 км/ч на вы</w:t>
      </w:r>
      <w:r w:rsidRPr="00FB4F67">
        <w:rPr>
          <w:rFonts w:ascii="Times New Roman" w:hAnsi="Times New Roman" w:cs="Times New Roman"/>
          <w:color w:val="0070C0"/>
          <w:sz w:val="16"/>
          <w:szCs w:val="16"/>
        </w:rPr>
        <w:softHyphen/>
        <w:t>соте 1000 м, потолок 4300 м. Оценивая са</w:t>
      </w:r>
      <w:r w:rsidRPr="00FB4F67">
        <w:rPr>
          <w:rFonts w:ascii="Times New Roman" w:hAnsi="Times New Roman" w:cs="Times New Roman"/>
          <w:color w:val="0070C0"/>
          <w:sz w:val="16"/>
          <w:szCs w:val="16"/>
        </w:rPr>
        <w:softHyphen/>
        <w:t>молет вполне положительно, комиссия от</w:t>
      </w:r>
      <w:r w:rsidRPr="00FB4F67">
        <w:rPr>
          <w:rFonts w:ascii="Times New Roman" w:hAnsi="Times New Roman" w:cs="Times New Roman"/>
          <w:color w:val="0070C0"/>
          <w:sz w:val="16"/>
          <w:szCs w:val="16"/>
        </w:rPr>
        <w:softHyphen/>
        <w:t>мечала перетяжеление конструкции, при</w:t>
      </w:r>
      <w:r w:rsidRPr="00FB4F67">
        <w:rPr>
          <w:rFonts w:ascii="Times New Roman" w:hAnsi="Times New Roman" w:cs="Times New Roman"/>
          <w:color w:val="0070C0"/>
          <w:sz w:val="16"/>
          <w:szCs w:val="16"/>
        </w:rPr>
        <w:softHyphen/>
        <w:t>обретенное в результате переделок.</w:t>
      </w:r>
    </w:p>
    <w:p w14:paraId="556B8267"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дальнейшем одноместный моноплан «Торпедо» эксплуатировался в отделении Гатчинской авиашколы в Одессе. (23374).</w:t>
      </w:r>
    </w:p>
    <w:p w14:paraId="18768C1A" w14:textId="77777777" w:rsidR="002966F1" w:rsidRPr="00FB4F67" w:rsidRDefault="002966F1" w:rsidP="0083075A">
      <w:pPr>
        <w:spacing w:after="0" w:line="240" w:lineRule="auto"/>
        <w:jc w:val="both"/>
        <w:rPr>
          <w:rFonts w:ascii="Times New Roman" w:hAnsi="Times New Roman" w:cs="Times New Roman"/>
          <w:color w:val="0070C0"/>
          <w:sz w:val="16"/>
          <w:szCs w:val="16"/>
        </w:rPr>
      </w:pPr>
    </w:p>
    <w:p w14:paraId="16E97D64"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1917 г. инженер П.Ю. Стефанович, до этого работавший у В.А. Лебедева, предложил перейти с мирного производства на военное и перепрофилировать завод в самолетостроительный. Это было крупное предприятие по выпуску сельскохозяйственных машин, действовавшее с 1884 г. Его владельцем был грек Матиас, позднее завод принадлежал акционерному обществу «Вдова Матиас и сыновья». Находился он в центре города, на нем работало около 500 человек, имелся механический цех с полусотней станков и еще несколько производственных помещений. Получив контрольный пакет акций, Стефанович начал реконструкцию предприятия. На первом этапе решили строить самолеты на старом месте, расширив площадь за счет покупки находившихся по соседству складов лесоматериалов. Одновременно заложили фундамент большого завода за городом. С его пуском суммарный выпуск должен был составлять 70 самолетов в месяц. Для контроля за постройкой аэропланов и проектирования новых летательных аппаратов Стефанович пригласил конструкторов Л. Колпакова с завода Лебедева в Петрограде, А. Пишофа с завода Анатры в Одессе и Д. Бершена с французской фирмы «Спад» (23472).</w:t>
      </w:r>
    </w:p>
    <w:p w14:paraId="167C24CC" w14:textId="77777777" w:rsidR="002966F1" w:rsidRPr="00FB4F67" w:rsidRDefault="002966F1" w:rsidP="0083075A">
      <w:pPr>
        <w:spacing w:after="0" w:line="240" w:lineRule="auto"/>
        <w:jc w:val="both"/>
        <w:rPr>
          <w:rFonts w:ascii="Times New Roman" w:hAnsi="Times New Roman" w:cs="Times New Roman"/>
          <w:color w:val="0070C0"/>
          <w:sz w:val="16"/>
          <w:szCs w:val="16"/>
        </w:rPr>
      </w:pPr>
    </w:p>
    <w:p w14:paraId="75C121A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А.Ю. Виллиш покинул компанию Лебедева и перешел на фабрику Ф. Мельцера, а потому строительство нового типа происходило именно там (2843).</w:t>
      </w:r>
    </w:p>
    <w:p w14:paraId="0D35A02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4E85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года, убедившись, что дело пошло должным образом, А.Ю. Виллиш закрепился у Ф. Мельтцера в качестве директора-распорядителя, и бывшая "фабрика художественной мебели" стала авиационным заводом того же хозяина. В марте 1916 года началась постройка ВМ-2. ВМ-2 стал следующим гидропланом А.Ю.Виллиша. Он был оснащен мотором "Гном-Моносупап" в 100 л.с. и строился на тех же условиях морского генштаба, что и ВМ-1. В 1916 году Виллиш обращается к обладателям более мощной производственной базы: Ю.А. Меллеру - владельцу завода "Дукс" и В.А. Лебедеву - владельцу завода "Лебедев" за предоставлением заводской территории и рабочих рук для постройки ВМ-2. Они отказали. Тогда Виллиш пошел на поклон к хозяину мебельной фабрики, некоему Ф. Мельтцеру, который по контрактам с самолетчиками делал разнообразные воздушные винты и имел желание заняться постройкой аэропланов. Ф.Мельтцер согласился и связался в тесном сотрудничестве с прибалтийским авиатором. Аппарат собирали в течение лета того же года, и к осени он был закончен. Тут и В.А. Лебедев "прозрел" и, не желая упускать возможность выгоды, договорился с Виллишем о сотрудничестве и также начал строить ВМ-2, но уже не в чистом виде, а усовершенствованную его копию. Переделки конструкции, были учтены, что дало основания Виллишу и Лебедеву считать обновленный аппарат новым типом, и он получил обозначение ВМ-4 (11918).</w:t>
      </w:r>
    </w:p>
    <w:p w14:paraId="2876F1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2577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летчик А.Гончаров провел испытания трехместного двухмоторного разведчика "Лебедь"-ХVI. Самолет показал неплохие результаты, но из-за отсутствия заказа работы над машиной вскоре прекратили. Трехместный двухмоторный разведчик "Лебедь"-ХVI - двухстоечный биплан с двумя двигателями "Рон" 80 л.с. с тянущими винтами построили в 1916 году. Моторы устанавливались на Л-образных стойках и закрывались капотами с обтекателями. Впереди располагалась кабина наблюдателя с пулеметом, за ней - кабина летчика и позади - кабина хвостового стрелка (11183).</w:t>
      </w:r>
    </w:p>
    <w:p w14:paraId="16726C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C054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закончили испытания Альбатрос с двигателем Фиат в 100 нр В.А.Лебедева, начатые в конце 1916 - и три экземпляра приняли и эксплуатировали (92,167).</w:t>
      </w:r>
    </w:p>
    <w:p w14:paraId="73825D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57F1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1917-го предложили выпустить небольшую серию "Анаде" в учебном варианте. Основными отличиями, помимо второго управления, стали капотирование двигателя по типу опытного аппарата и дополнительная пара передних, противокапотажных колес (9806).</w:t>
      </w:r>
    </w:p>
    <w:p w14:paraId="27CE27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C83CC0" w14:textId="77777777" w:rsidR="00FF1A24" w:rsidRPr="002F2FDF" w:rsidRDefault="00FF1A24"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строительством воздушных винтов занимались заводы Мельцера, Лебедева, Московский аэротехнический, Засса, Яковлева, Фроли- ка, братьев Кон, Харькова, РБВЗ, военно-промышленного комитета и ряд мел</w:t>
      </w:r>
      <w:r w:rsidRPr="002F2FDF">
        <w:rPr>
          <w:rFonts w:ascii="Times New Roman" w:hAnsi="Times New Roman" w:cs="Times New Roman"/>
          <w:color w:val="000000" w:themeColor="text1"/>
          <w:kern w:val="2"/>
          <w:sz w:val="16"/>
          <w:szCs w:val="16"/>
        </w:rPr>
        <w:softHyphen/>
        <w:t>ких мастерских. Они надежно обеспечивали русский Военно-Воздушный Флот всеми необходимыми типами пропеллеров. Накануне Февральской ре</w:t>
      </w:r>
      <w:r w:rsidRPr="002F2FDF">
        <w:rPr>
          <w:rFonts w:ascii="Times New Roman" w:hAnsi="Times New Roman" w:cs="Times New Roman"/>
          <w:color w:val="000000" w:themeColor="text1"/>
          <w:kern w:val="2"/>
          <w:sz w:val="16"/>
          <w:szCs w:val="16"/>
        </w:rPr>
        <w:softHyphen/>
        <w:t>волюции на заводе «Ф. Мельцер» насчитывалось до 750 рабочих и служащих. Его производственные мощности обеспечивали выпуск до 600 воздушных винтов в месяц. В Бердянске возводился филиал производительностью 200 винтов в месяц.</w:t>
      </w:r>
    </w:p>
    <w:p w14:paraId="5ECF6D29" w14:textId="77777777" w:rsidR="00FF1A24" w:rsidRPr="002F2FDF" w:rsidRDefault="00FF1A24"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объему производства единственным конкурентом Мельцеру были за</w:t>
      </w:r>
      <w:r w:rsidRPr="002F2FDF">
        <w:rPr>
          <w:rFonts w:ascii="Times New Roman" w:hAnsi="Times New Roman" w:cs="Times New Roman"/>
          <w:color w:val="000000" w:themeColor="text1"/>
          <w:kern w:val="2"/>
          <w:sz w:val="16"/>
          <w:szCs w:val="16"/>
        </w:rPr>
        <w:softHyphen/>
        <w:t>воды Лебедева. Однако все строившиеся на них винты были французской кон</w:t>
      </w:r>
      <w:r w:rsidRPr="002F2FDF">
        <w:rPr>
          <w:rFonts w:ascii="Times New Roman" w:hAnsi="Times New Roman" w:cs="Times New Roman"/>
          <w:color w:val="000000" w:themeColor="text1"/>
          <w:kern w:val="2"/>
          <w:sz w:val="16"/>
          <w:szCs w:val="16"/>
        </w:rPr>
        <w:softHyphen/>
        <w:t>струкции, в то время как Мельцер в 1917 г. практически полностью перешел на выпуск только винтов отечественного конструктора Григорашвили. Подоб</w:t>
      </w:r>
      <w:r w:rsidRPr="002F2FDF">
        <w:rPr>
          <w:rFonts w:ascii="Times New Roman" w:hAnsi="Times New Roman" w:cs="Times New Roman"/>
          <w:color w:val="000000" w:themeColor="text1"/>
          <w:kern w:val="2"/>
          <w:sz w:val="16"/>
          <w:szCs w:val="16"/>
        </w:rPr>
        <w:softHyphen/>
        <w:t>ным достижением мог похвастаться только Московский аэротехнический за</w:t>
      </w:r>
      <w:r w:rsidRPr="002F2FDF">
        <w:rPr>
          <w:rFonts w:ascii="Times New Roman" w:hAnsi="Times New Roman" w:cs="Times New Roman"/>
          <w:color w:val="000000" w:themeColor="text1"/>
          <w:kern w:val="2"/>
          <w:sz w:val="16"/>
          <w:szCs w:val="16"/>
        </w:rPr>
        <w:softHyphen/>
        <w:t>вод, где талантливыми учениками «отца русской авиации» Михаилом Фадее- вичем Адамчиком, Александром Лукичом Кузнецовым и Николаем Родионо</w:t>
      </w:r>
      <w:r w:rsidRPr="002F2FDF">
        <w:rPr>
          <w:rFonts w:ascii="Times New Roman" w:hAnsi="Times New Roman" w:cs="Times New Roman"/>
          <w:color w:val="000000" w:themeColor="text1"/>
          <w:kern w:val="2"/>
          <w:sz w:val="16"/>
          <w:szCs w:val="16"/>
        </w:rPr>
        <w:softHyphen/>
        <w:t>вичем Лобановым было налажено крупносерийное производство воздушных винтов системы Н. Е. Жуковского. Кроме того, сравнительно оригинальные винты конструкции И. И. Сикорского строились небольшими сериями про</w:t>
      </w:r>
      <w:r w:rsidRPr="002F2FDF">
        <w:rPr>
          <w:rFonts w:ascii="Times New Roman" w:hAnsi="Times New Roman" w:cs="Times New Roman"/>
          <w:color w:val="000000" w:themeColor="text1"/>
          <w:kern w:val="2"/>
          <w:sz w:val="16"/>
          <w:szCs w:val="16"/>
        </w:rPr>
        <w:softHyphen/>
        <w:t>пеллерным отделением РБВЗ (15740).</w:t>
      </w:r>
    </w:p>
    <w:p w14:paraId="569BAECF" w14:textId="77777777" w:rsidR="00FF1A24" w:rsidRPr="002F2FDF" w:rsidRDefault="00FF1A24"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2D8E3123" w14:textId="77777777" w:rsidR="00FF1A24" w:rsidRPr="002F2FDF" w:rsidRDefault="00FF1A2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года главный конструктор самолетостроительного завода «Анатра» Декан спроектировал скоростной катер — «аэролодку». Она предлагалась УВВФ как средство обучения воздушных стрелков ведению огня и подвижный стенд для испытания воздушных винтов. По проекту «аэролодка» представляла со</w:t>
      </w:r>
      <w:r w:rsidRPr="002F2FDF">
        <w:rPr>
          <w:rFonts w:ascii="Times New Roman" w:hAnsi="Times New Roman" w:cs="Times New Roman"/>
          <w:color w:val="000000" w:themeColor="text1"/>
          <w:kern w:val="2"/>
          <w:sz w:val="16"/>
          <w:szCs w:val="16"/>
        </w:rPr>
        <w:softHyphen/>
        <w:t>бой цельнодеревянный плоскодонный трехреданный глиссер с толкающим воз</w:t>
      </w:r>
      <w:r w:rsidRPr="002F2FDF">
        <w:rPr>
          <w:rFonts w:ascii="Times New Roman" w:hAnsi="Times New Roman" w:cs="Times New Roman"/>
          <w:color w:val="000000" w:themeColor="text1"/>
          <w:kern w:val="2"/>
          <w:sz w:val="16"/>
          <w:szCs w:val="16"/>
        </w:rPr>
        <w:softHyphen/>
        <w:t>душным винтом, установленным на высокой ферменной башне. Винт должен был приводиться в движение цепной передачей от расположенного на палубе авиационного двигателя Анзани мощностью 90 л. с. В центре «аэролодки» сто</w:t>
      </w:r>
      <w:r w:rsidRPr="002F2FDF">
        <w:rPr>
          <w:rFonts w:ascii="Times New Roman" w:hAnsi="Times New Roman" w:cs="Times New Roman"/>
          <w:color w:val="000000" w:themeColor="text1"/>
          <w:kern w:val="2"/>
          <w:sz w:val="16"/>
          <w:szCs w:val="16"/>
        </w:rPr>
        <w:softHyphen/>
        <w:t>яли две пулеметные башенки, за ними, перед фермой, — закрытая хорошо обте</w:t>
      </w:r>
      <w:r w:rsidRPr="002F2FDF">
        <w:rPr>
          <w:rFonts w:ascii="Times New Roman" w:hAnsi="Times New Roman" w:cs="Times New Roman"/>
          <w:color w:val="000000" w:themeColor="text1"/>
          <w:kern w:val="2"/>
          <w:sz w:val="16"/>
          <w:szCs w:val="16"/>
        </w:rPr>
        <w:softHyphen/>
        <w:t>каемым фасонным козырьком рулевая рубка. Экипаж по проекту составлял 5- 6 человек. Идея «аэролодки» понравилась Великому князю Александру Ми</w:t>
      </w:r>
      <w:r w:rsidRPr="002F2FDF">
        <w:rPr>
          <w:rFonts w:ascii="Times New Roman" w:hAnsi="Times New Roman" w:cs="Times New Roman"/>
          <w:color w:val="000000" w:themeColor="text1"/>
          <w:kern w:val="2"/>
          <w:sz w:val="16"/>
          <w:szCs w:val="16"/>
        </w:rPr>
        <w:softHyphen/>
        <w:t>хайловичу, и он поручил Техническому комитету помочь фирме «Анатра» с ре</w:t>
      </w:r>
      <w:r w:rsidRPr="002F2FDF">
        <w:rPr>
          <w:rFonts w:ascii="Times New Roman" w:hAnsi="Times New Roman" w:cs="Times New Roman"/>
          <w:color w:val="000000" w:themeColor="text1"/>
          <w:kern w:val="2"/>
          <w:sz w:val="16"/>
          <w:szCs w:val="16"/>
        </w:rPr>
        <w:softHyphen/>
        <w:t>ализацией проекта (15740).</w:t>
      </w:r>
    </w:p>
    <w:p w14:paraId="42FFE1CF" w14:textId="77777777" w:rsidR="00FF1A24" w:rsidRPr="002F2FDF" w:rsidRDefault="00FF1A24" w:rsidP="0083075A">
      <w:pPr>
        <w:spacing w:after="0" w:line="240" w:lineRule="auto"/>
        <w:jc w:val="both"/>
        <w:rPr>
          <w:rFonts w:ascii="Times New Roman" w:hAnsi="Times New Roman" w:cs="Times New Roman"/>
          <w:color w:val="000000" w:themeColor="text1"/>
          <w:kern w:val="2"/>
          <w:sz w:val="16"/>
          <w:szCs w:val="16"/>
        </w:rPr>
      </w:pPr>
    </w:p>
    <w:p w14:paraId="09EA7967" w14:textId="77777777" w:rsidR="00096E4B" w:rsidRPr="002F2FDF" w:rsidRDefault="00096E4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начале 1917 г. часть уже оплаченных станков (110 единиц на общую сумму 1,2 млн. франков) французское правительство задержало до весны для удовлетворения потребностей собственных предприятий</w:t>
      </w:r>
      <w:bookmarkStart w:id="21" w:name="_Hlk51752448"/>
      <w:r w:rsidRPr="002F2FDF">
        <w:rPr>
          <w:rFonts w:ascii="Times New Roman" w:hAnsi="Times New Roman" w:cs="Times New Roman"/>
          <w:color w:val="000000" w:themeColor="text1"/>
          <w:sz w:val="16"/>
          <w:szCs w:val="16"/>
        </w:rPr>
        <w:t xml:space="preserve">. Вопреки расхожему мнению, случилось это ещё до Февральской революции, поскольку факт задержки упоминается А. Анатрой в письме в УВВФ от 24 января как аргумент в пользу предоставления отсрочки на поставку двигателей до 1 июня. </w:t>
      </w:r>
      <w:bookmarkEnd w:id="21"/>
      <w:r w:rsidRPr="002F2FDF">
        <w:rPr>
          <w:rFonts w:ascii="Times New Roman" w:hAnsi="Times New Roman" w:cs="Times New Roman"/>
          <w:color w:val="000000" w:themeColor="text1"/>
          <w:sz w:val="16"/>
          <w:szCs w:val="16"/>
        </w:rPr>
        <w:t>Согласно рапорту полковника Мезенцева – уполномоченного по строительству авиазаводов в Приазовском районе – к 26 апреля 1917 г. готовы стены и земляной пол первой и второй очередей корпусов авиамоторного завода; корпус первой очереди перекрыт, и завершения постройки можно ожидать к июлю месяцу. Но до сих пор не поступила ни одна единица оборудования. Заказанные во Франции станки были переданы представителю фирмы в Париже лишь в мае 1917 г. Не желая рисковать ценным оборудованием и ожидая, когда ситуация в России нормализуется, Анатра высказал предложение оставить часть станков во Франции под предлогом возможной их потери при доставке морским путем ввиду возросшей активности германских подводных лодок. При этом предполагалось организовать в Париже «параллельную мастерскую». Изготовленные в ней детали поступали бы в Симферополь для окончательной сборки моторов, которую можно было бы начать с 1 августа 1917 г. Военные отнеслись к предложению со скептицизмом, заявив, что доставка деталей в Россию будет не менее рискованной, чем перевозка станков. В итоге, представители Анатры фактически саботировали отправку оборудования. По состоянию на 13 февраля 1918 г. на заводе не имелось ни одного станка. 19 единиц оборудования находилось на станции в Симферополе, 54 – в Архангельске, а ещё около 300 единиц так и не покинуло пределы Франции. Не прибыли и заказанные во Франции двигатели для силовой станции и электромоторы общей мощностью соответственно 750 и 450 л.с. Всю вторую половину 1917 и первые месяцы 1918 гг. между администрацией фирмы «Анатра» и УВВФ велась бесконечная переписка по поводу предоставления все новых и новых и отсрочек, последняя из которых – на 6 месяцев – была предоставлена 10 апреля 1918 г. Но это уже не имело ровно никакого значения – авиамоторный завод в Симферополе скончался, так и не родившись…(20051).</w:t>
      </w:r>
    </w:p>
    <w:p w14:paraId="03400FA8" w14:textId="77777777" w:rsidR="00096E4B" w:rsidRPr="002F2FDF" w:rsidRDefault="00096E4B" w:rsidP="0083075A">
      <w:pPr>
        <w:spacing w:after="0" w:line="240" w:lineRule="auto"/>
        <w:jc w:val="both"/>
        <w:rPr>
          <w:rFonts w:ascii="Times New Roman" w:hAnsi="Times New Roman" w:cs="Times New Roman"/>
          <w:color w:val="000000" w:themeColor="text1"/>
          <w:sz w:val="16"/>
          <w:szCs w:val="16"/>
        </w:rPr>
      </w:pPr>
    </w:p>
    <w:p w14:paraId="6D8690B9" w14:textId="77777777" w:rsidR="00FF1A24" w:rsidRPr="002F2FDF" w:rsidRDefault="00FF1A2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года главный конструктор самолетостроительного завода «Анатра» Декан спроектировал скоростной катер — «аэролодку». Она предлагалась УВВФ как средство обучения воздушных стрелков ведению огня и подвижный стенд для испытания воздушных винтов. По проекту «аэролодка» представляла со</w:t>
      </w:r>
      <w:r w:rsidRPr="002F2FDF">
        <w:rPr>
          <w:rFonts w:ascii="Times New Roman" w:hAnsi="Times New Roman" w:cs="Times New Roman"/>
          <w:color w:val="000000" w:themeColor="text1"/>
          <w:kern w:val="2"/>
          <w:sz w:val="16"/>
          <w:szCs w:val="16"/>
        </w:rPr>
        <w:softHyphen/>
        <w:t>бой цельнодеревянный плоскодонный трехреданный глиссер с толкающим воз</w:t>
      </w:r>
      <w:r w:rsidRPr="002F2FDF">
        <w:rPr>
          <w:rFonts w:ascii="Times New Roman" w:hAnsi="Times New Roman" w:cs="Times New Roman"/>
          <w:color w:val="000000" w:themeColor="text1"/>
          <w:kern w:val="2"/>
          <w:sz w:val="16"/>
          <w:szCs w:val="16"/>
        </w:rPr>
        <w:softHyphen/>
        <w:t>душным винтом, установленным на высокой ферменной башне. Винт должен был приводиться в движение цепной передачей от расположенного на палубе авиационного двигателя Анзани мощностью 90 л. с. В центре «аэролодки» сто</w:t>
      </w:r>
      <w:r w:rsidRPr="002F2FDF">
        <w:rPr>
          <w:rFonts w:ascii="Times New Roman" w:hAnsi="Times New Roman" w:cs="Times New Roman"/>
          <w:color w:val="000000" w:themeColor="text1"/>
          <w:kern w:val="2"/>
          <w:sz w:val="16"/>
          <w:szCs w:val="16"/>
        </w:rPr>
        <w:softHyphen/>
        <w:t>яли две пулеметные башенки, за ними, перед фермой, — закрытая хорошо обте</w:t>
      </w:r>
      <w:r w:rsidRPr="002F2FDF">
        <w:rPr>
          <w:rFonts w:ascii="Times New Roman" w:hAnsi="Times New Roman" w:cs="Times New Roman"/>
          <w:color w:val="000000" w:themeColor="text1"/>
          <w:kern w:val="2"/>
          <w:sz w:val="16"/>
          <w:szCs w:val="16"/>
        </w:rPr>
        <w:softHyphen/>
        <w:t>каемым фасонным козырьком рулевая рубка. Экипаж по проекту составлял 5- 6 человек. Идея «аэролодки» понравилась Великому князю Александру Ми</w:t>
      </w:r>
      <w:r w:rsidRPr="002F2FDF">
        <w:rPr>
          <w:rFonts w:ascii="Times New Roman" w:hAnsi="Times New Roman" w:cs="Times New Roman"/>
          <w:color w:val="000000" w:themeColor="text1"/>
          <w:kern w:val="2"/>
          <w:sz w:val="16"/>
          <w:szCs w:val="16"/>
        </w:rPr>
        <w:softHyphen/>
        <w:t>хайловичу, и он поручил Техническому комитету помочь фирме «Анатра» с ре</w:t>
      </w:r>
      <w:r w:rsidRPr="002F2FDF">
        <w:rPr>
          <w:rFonts w:ascii="Times New Roman" w:hAnsi="Times New Roman" w:cs="Times New Roman"/>
          <w:color w:val="000000" w:themeColor="text1"/>
          <w:kern w:val="2"/>
          <w:sz w:val="16"/>
          <w:szCs w:val="16"/>
        </w:rPr>
        <w:softHyphen/>
        <w:t>ализацией проекта (15740).</w:t>
      </w:r>
    </w:p>
    <w:p w14:paraId="5E6AF0D5" w14:textId="77777777" w:rsidR="00FF1A24" w:rsidRPr="002F2FDF" w:rsidRDefault="00FF1A24" w:rsidP="0083075A">
      <w:pPr>
        <w:spacing w:after="0" w:line="240" w:lineRule="auto"/>
        <w:jc w:val="both"/>
        <w:rPr>
          <w:rFonts w:ascii="Times New Roman" w:hAnsi="Times New Roman" w:cs="Times New Roman"/>
          <w:color w:val="000000" w:themeColor="text1"/>
          <w:kern w:val="2"/>
          <w:sz w:val="16"/>
          <w:szCs w:val="16"/>
        </w:rPr>
      </w:pPr>
    </w:p>
    <w:p w14:paraId="47A5FD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когда возникла острая нехватка специальных сортов леса для лонжеронов крыльев, Анатра возбудил ходатайство перед УВВФ разрешить склеивать каждую половину лонжерона из двух частей. Нормальные лонжероны крыльев состояли из двух половин, склеенных между собой по всей длине. Теперь же место склейки каждой половины лонжерона приходилось против осей стоек главной коробки. Длина склейки составляла 300 мм. Место склейки обматывалось полотняной лентой на клею. Официальные испытания склеенных таким способом лонжеронов показали, что прочность их одинакова с прочностью целых лонжеронов. После того как Технический комитет УВВФ получил положительное заключение профессора С. П. Тимошенко, такая склейка была допущена при изготовлении самолета. Но одно дело испытание специально подготовленной склейки в лабораторных условиях, и другое, - когда ее осуществляют в условиях серийного производства при спешке и слабом техническом контроле. Прочность заводской склейки лонжеронов оказалась недостаточной (9705).</w:t>
      </w:r>
    </w:p>
    <w:p w14:paraId="45F3A9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0874E7"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1917 г. появилось предложение выпустить небольшую серию «Анаде» в учебном варианте. Основными отличиями, помимо второго управления, явилось капо</w:t>
      </w:r>
      <w:r w:rsidRPr="00FB4F67">
        <w:rPr>
          <w:rFonts w:ascii="Times New Roman" w:hAnsi="Times New Roman" w:cs="Times New Roman"/>
          <w:color w:val="0070C0"/>
          <w:sz w:val="16"/>
          <w:szCs w:val="16"/>
        </w:rPr>
        <w:softHyphen/>
        <w:t>тирование двигателя по типу опытного ап</w:t>
      </w:r>
      <w:r w:rsidRPr="00FB4F67">
        <w:rPr>
          <w:rFonts w:ascii="Times New Roman" w:hAnsi="Times New Roman" w:cs="Times New Roman"/>
          <w:color w:val="0070C0"/>
          <w:sz w:val="16"/>
          <w:szCs w:val="16"/>
        </w:rPr>
        <w:softHyphen/>
        <w:t>парата и наличие дополнительной пары пе</w:t>
      </w:r>
      <w:r w:rsidRPr="00FB4F67">
        <w:rPr>
          <w:rFonts w:ascii="Times New Roman" w:hAnsi="Times New Roman" w:cs="Times New Roman"/>
          <w:color w:val="0070C0"/>
          <w:sz w:val="16"/>
          <w:szCs w:val="16"/>
        </w:rPr>
        <w:softHyphen/>
        <w:t>редних, противокапотажных колес. Первый учебный «Анаде» с новым шасси облетали 27 мая 1917 г. Всего завод изготовил 10 та</w:t>
      </w:r>
      <w:r w:rsidRPr="00FB4F67">
        <w:rPr>
          <w:rFonts w:ascii="Times New Roman" w:hAnsi="Times New Roman" w:cs="Times New Roman"/>
          <w:color w:val="0070C0"/>
          <w:sz w:val="16"/>
          <w:szCs w:val="16"/>
        </w:rPr>
        <w:softHyphen/>
        <w:t>ких самолетов, которые отличались высокой устойчивостью и легкостью управления (23374).</w:t>
      </w:r>
    </w:p>
    <w:p w14:paraId="737980EE" w14:textId="77777777" w:rsidR="002966F1" w:rsidRPr="00FB4F67" w:rsidRDefault="002966F1" w:rsidP="0083075A">
      <w:pPr>
        <w:spacing w:after="0" w:line="240" w:lineRule="auto"/>
        <w:jc w:val="both"/>
        <w:rPr>
          <w:rFonts w:ascii="Times New Roman" w:hAnsi="Times New Roman" w:cs="Times New Roman"/>
          <w:color w:val="0070C0"/>
          <w:sz w:val="16"/>
          <w:szCs w:val="16"/>
        </w:rPr>
      </w:pPr>
    </w:p>
    <w:p w14:paraId="2FA91A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в связи с подготовкой наступления генерала Брусилова, которое планировалось, все корабли эскадры нацеливались для применения на Галицийском и Румынском фронтах. Боевой генерал давно оценил возможности "Муромцев" и хотел их максимально использовать в предстоящем наступлении. Штаб эскадры передислоцировался в Винницу. Кроме имеющихся трех отрядов Лаврова, Панкратьева и Башко создавался четвертый отряд под командованием штабс-капитана Нижевского. Для первого отряда предназначался аэродром Микулинце (район Тернополя), для второго - Ягельница, для третьего - Колодзиевка и для четвертого - Болгарийка около Белграда. Общее количество боевых кораблей - 16. Это был мощный кулак, и Брусилов отводил эскадре важное место в своем плане. Учтен большой предыдущий опыт, все продумано до мелочей, и генерал имел реальные шансы на успех. Однако этим планам осуществиться было не суждено (11230). Рассматривая работу по совершенствованию воздушных кораблей, надо сказать, что Сикорский, вероятно, был единственным в мире авиаконструктором, который много времени проводил не в конструкторском бюро вдали от фронта, а в самой гуще событий. Он получал информацию о поведении своих машин в боевой обстановке из первых рук, от только что вернувшихся экипажей. Это позволяло немедленно вносить необходимые изменения и давать нужные рекомендации экипажу, что сразу повышало эффективность применения воздушных кораблей. Некоторые доработки можно было проводить прямо в мастерских эскадры. Крупные же изменения конструкции производились на заводе в Петрограде, куда Сикорский возвращался "с позиций" неизменно полный планов. На заводе его ждали верные друзья, которым предстояло воплощать в жизнь новые, подчас совершенно неожиданные идеи. Растущая на глазах мощь Акционерного общества РБВЗ гарантировала их осуществление (11230).</w:t>
      </w:r>
    </w:p>
    <w:p w14:paraId="05589B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F2449D"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1917 г. Технический комитет Управления Воздушного Флота была назначена комиссия для проверки прочности и аэродинамической оценки самолетов «Илья Муромец» типа Г., в которую вошли А.П. Фан-дер-Флит (председатель), С.П. Тимошенко и Г.А. Ботезат.</w:t>
      </w:r>
    </w:p>
    <w:p w14:paraId="3A3EE37F"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28.05.17 г. (10.06.17 г. по н.ст.) Техком Увофлота признал прочность кораблей типа ИМ недостаточной, а полеты на них – опасными. Было установлено, что достаточных расчетов прочности при проектировании самолета сделано не было, в дальнейшем с ростом веса самолета и нагрузок на планер его прочность не пересчитывалась и ее запас в итоге оказался меньшим, чем у легких самолетов. Комиссия постановила увеличить запас прочности сдаваемых кораблей вдвое и провести дополнительные испытания самолета на готовых и специально изготовленных агрегатах и моделях.</w:t>
      </w:r>
    </w:p>
    <w:p w14:paraId="19AA5C46"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Для устранения указанных недостатков в конструкцию строящихся и дорабатываемых самолетов Г-1 введены следующие изменения:</w:t>
      </w:r>
    </w:p>
    <w:p w14:paraId="37A2BACD"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введены дополнительные растяжки, соединяющие стык средней и хвостовой частей фюзеляжа;</w:t>
      </w:r>
    </w:p>
    <w:p w14:paraId="78E52E59"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размер окон в хвостовой части СЧФ уменьшен, взамен введено остекление входных дверей;</w:t>
      </w:r>
    </w:p>
    <w:p w14:paraId="0B301169"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восстановлена обтяжка колес ООШ попарно кожаными чехлами и др.</w:t>
      </w:r>
    </w:p>
    <w:p w14:paraId="4E188D09"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Эти доработки были утверждены летом-осенью 1917 г., но не известно, началось ли их внедрение уже тогда. Первые сведения об их выполнении относятся к 1919 г. и делались они на отдельных самолетах не единообразно (23553).</w:t>
      </w:r>
    </w:p>
    <w:p w14:paraId="1EE76C56" w14:textId="77777777" w:rsidR="002966F1" w:rsidRPr="00FB4F67" w:rsidRDefault="002966F1" w:rsidP="0083075A">
      <w:pPr>
        <w:spacing w:after="0" w:line="240" w:lineRule="auto"/>
        <w:jc w:val="both"/>
        <w:rPr>
          <w:rFonts w:ascii="Times New Roman" w:hAnsi="Times New Roman" w:cs="Times New Roman"/>
          <w:color w:val="0070C0"/>
          <w:sz w:val="16"/>
          <w:szCs w:val="16"/>
        </w:rPr>
      </w:pPr>
    </w:p>
    <w:p w14:paraId="06FE8A19"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1917 г. проект на модификации самолета ИМ Г-3 и Е прошел одобрение и началась передача новых чертежей в производство (23553).</w:t>
      </w:r>
    </w:p>
    <w:p w14:paraId="6E04A39E"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Во второй половине 1916 г. при участии командира ЭВК и одновременно Председателя правления строившего самолеты «Илья Муромец» АО РБВЗ генерал-майора М.В. Шидловского были выпущены технические условия одновременно (в одном документе) на модификации самолета Г-3 и Е (Е-2, т.к. к тому времени самолет Е-1 или ИМ Е-56 был уже готов):</w:t>
      </w:r>
    </w:p>
    <w:p w14:paraId="4305C9A0"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силовая установка с 4 моторами (6-цилиндровые водяного охлаждения любого типа в установке по образцу самолета Г-1);</w:t>
      </w:r>
    </w:p>
    <w:p w14:paraId="5014E840"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бензиновые баки емкостью 21 пуд (336 кг) каждый и новой дренажной системой установлены над верхним крылом на высоте не менее 150 мм над ним между 1-й (внутренней) моторной стойкой и фюзеляжем, поверхность крыла под ними обить алюминием или жестью на ширину 700 мм (на самолете № 243 выполнено);</w:t>
      </w:r>
    </w:p>
    <w:p w14:paraId="4D1EB305"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проводка бензопитания моторов по заднему лонжерону верхнего крыла и по задним стойкам бипланной коробки (таким образом, в фюзеляже она вообще не прокладывалась);</w:t>
      </w:r>
    </w:p>
    <w:p w14:paraId="2DC6A381"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ширина фюзеляжа по миделю (в зоне кабины) увеличена на 150 мм, а высота – на 50 мм;</w:t>
      </w:r>
    </w:p>
    <w:p w14:paraId="387B59CA"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головная часть фюзеляжа и ее остекление – по типу самолетов Г-1 (однако устоявшегося варианта ГЧФ на Г-1 не сформировалось, потому дано уточнение – застеклен а полностью) – внедрено фактически;</w:t>
      </w:r>
    </w:p>
    <w:p w14:paraId="6F30709F"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конструкция средней части фюзеляжа новая в соответствии с новым составом вооружения;</w:t>
      </w:r>
    </w:p>
    <w:p w14:paraId="305D8696"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новая хвостовая часть фюзеляжа с пулеметной установкой (на самолете № 243 выполнено);</w:t>
      </w:r>
    </w:p>
    <w:p w14:paraId="0F010807"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полностью новое хвостовое оперение – см. ниже;</w:t>
      </w:r>
    </w:p>
    <w:p w14:paraId="359DBEB9"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пост управления самолетом – штурвальная рама для управления по тангажу и курсу по типу Г-1 и удлиненные рычаги для управления по крену по типу ИМ Е;</w:t>
      </w:r>
    </w:p>
    <w:p w14:paraId="7FAA924D"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прокладка проводки управления полностью новая;</w:t>
      </w:r>
    </w:p>
    <w:p w14:paraId="4DBB7EAC"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установка сиденья пилота и его рычагов управления – по ПСС по типу Г-1;</w:t>
      </w:r>
    </w:p>
    <w:p w14:paraId="2CF75923"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тросы управления РВ и РН в ХЧФ проложены по роликам, неудачная «передаточная крестовина» упразднена, остальная проводка управления РВ – по типу Г-1;</w:t>
      </w:r>
    </w:p>
    <w:p w14:paraId="28236696"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бомбовые кассеты – две для бомб калибра 32 кг (2 пуда) и две – две для бомб калибра 16 кг (1 пуд) с вертикальной подвеской по типу предыдущих ИМ Г;</w:t>
      </w:r>
    </w:p>
    <w:p w14:paraId="71235E48"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оборонительное вооружение в составе четырех пулеметных точек (на самолете № 243 выполнено);</w:t>
      </w:r>
    </w:p>
    <w:p w14:paraId="74E4EF88"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все люки и пулеметные установки – по эскизам их улучшенных в эксплуатации конструкций, снятым в ЭВК (таким образом, эти улучшения, сделанные, видимо, на разных самолетах намеревались сделать стандартными;</w:t>
      </w:r>
    </w:p>
    <w:p w14:paraId="0DC62C85"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верхняя площадка под центропланом верхнего крыла остается, но трубы крепления пулеметов на ней не устанавливаются;</w:t>
      </w:r>
    </w:p>
    <w:p w14:paraId="06A6A464"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верхняя пулеметная установка монтируется в измененном люке в крыше СЧФ за дверью;</w:t>
      </w:r>
    </w:p>
    <w:p w14:paraId="41FD3B0A"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в хвостовой огневой точке установить новый подъемный штырь (шкворень) с приспособлением, амортизирующим пулемет и фиксирующим его в походном положении (так же сделано и на Е-2).</w:t>
      </w:r>
    </w:p>
    <w:p w14:paraId="2ACEB6A4"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Новая конструкция хвостового оперения (на самолете № 243 выполнено):</w:t>
      </w:r>
    </w:p>
    <w:p w14:paraId="57417A68"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площадь стабилизатора увеличена на 3…4 кв.м – на самолете № 243 она фактически была увеличена на 4 кв.м, в его передней кромке сделаны треугольные вырезы для обеспечения поворота рулей направления;</w:t>
      </w:r>
    </w:p>
    <w:p w14:paraId="0601D6E7"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ВО состоит из нижнего и верхнего килей, установленных жестко на верхней и нижней поверхностях ХЧФ, и двух цельноповоротных рулей направления, установленных в шарнирных узлах с одной степенью свободы на передних лонжеронах стабилизатора;</w:t>
      </w:r>
    </w:p>
    <w:p w14:paraId="0F9E1DB5"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неподвижные кили примерно одинаковой конструкции и формы в плане – передняя кромка дугообразная, переходит радиусом в вертикальную заднюю кромку, силовой набор деревянный – лонжероны, нервюры и обод из реек по кромкам, обшивка – полотно, узлы навески на корневых нервюрах металлические;</w:t>
      </w:r>
    </w:p>
    <w:p w14:paraId="3FE66EAA"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верхний киль установлен на безмоментных узлах, его жесткость обеспечена либо двумя подкосами и 4 растяжками, либо рамой в виде параллелепипеда из труб и 6 растяжек с каждой стороны (было по меньшей мере 2 варианта конструкции);</w:t>
      </w:r>
    </w:p>
    <w:p w14:paraId="0630354C"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цельноповоротные кили шестиугольной в плане формы с проемом от лонжерона до задней кромки на половине высоты, передняя кромка в средней части прямая перпендикулярная СГФ, на законцовках имеет малую положительную стреловидность, законцовки параллельны СГФ, задняя кромка перпендикулярная СГФ;</w:t>
      </w:r>
    </w:p>
    <w:p w14:paraId="0279474E"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силовой набор РН состоит из одного лонжерона, на который он навешивается и вокруг которого поворачивается, 10 нервюр и кромочных реек (ободов);</w:t>
      </w:r>
    </w:p>
    <w:p w14:paraId="01B132A3"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жесткость установки каждого РН обеспечена двумя подкосами с его внутренней стороны над стабилизатором и под ним, эти подкосы соединяли передний лонжерон стабилизатора с шарнирными узлами на концах лонжерона РН, что обеспечивало возможность свободного поворота рулей.</w:t>
      </w:r>
    </w:p>
    <w:p w14:paraId="05F04CA5"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Кроме указанных для самолетов ИМ Г-3 делалось еще два варианта оперения (при этом не ясно, была ли проектная документация, или же решение принималось прямо в ходе производства:</w:t>
      </w:r>
    </w:p>
    <w:p w14:paraId="6EB90D9B"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вертикального оперения без верхнего киля (но рама его крепления была);</w:t>
      </w:r>
    </w:p>
    <w:p w14:paraId="4C4BEA4F"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без верхнего и нижнего киля (но рама крепления верхнего киля также была).</w:t>
      </w:r>
    </w:p>
    <w:p w14:paraId="1768B431"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конце 1916 г. проект модификации был завершен.</w:t>
      </w:r>
    </w:p>
    <w:p w14:paraId="26D566F6"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Однако в дальнейшем в проект и ТУ на самолет пришлось вносить значительные изменения:</w:t>
      </w:r>
    </w:p>
    <w:p w14:paraId="63DBB6D1"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внедрены такие же меры для повышения прочности, что и на самолетах Г-1 (их осуществление шло тем же порядком и в те же сроки – начиная с 1919 г.);</w:t>
      </w:r>
    </w:p>
    <w:p w14:paraId="7F016CC1"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топливная система возращена к тому виду, в котором она была на самолетах Г-1 – с баками под верхним крылом (23553).</w:t>
      </w:r>
    </w:p>
    <w:p w14:paraId="74B6197A" w14:textId="77777777" w:rsidR="002966F1" w:rsidRPr="00FB4F67" w:rsidRDefault="002966F1" w:rsidP="0083075A">
      <w:pPr>
        <w:spacing w:after="0" w:line="240" w:lineRule="auto"/>
        <w:jc w:val="both"/>
        <w:rPr>
          <w:rFonts w:ascii="Times New Roman" w:hAnsi="Times New Roman" w:cs="Times New Roman"/>
          <w:color w:val="0070C0"/>
          <w:sz w:val="16"/>
          <w:szCs w:val="16"/>
        </w:rPr>
      </w:pPr>
    </w:p>
    <w:p w14:paraId="08FC56C8"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 начала 1917 г. на корабли ИМ-Г и ИМ-Е были распространены общие условия приемки военного имущества, что позволило заказывать и строить их не по одному, а сериями. Это облегчило организацию снабжения их производства материалами, инструментом и комплектующими, однако в связи с отсутствием у РБВЗ опыта работы в такой системе…</w:t>
      </w:r>
    </w:p>
    <w:p w14:paraId="5399FB11"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Первые по номерам самолеты были переделаны из серийных кораблей ИМ В-20, В-22, В-25 и В-27 и их конструкция и комплектация получила лишь незначительные отличия:</w:t>
      </w:r>
    </w:p>
    <w:p w14:paraId="55418ECB"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площадь элеронов уменьшена;</w:t>
      </w:r>
    </w:p>
    <w:p w14:paraId="4F0FF6DC"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изменена конструкция технологического стыка средней и хвостовой частей фюзеляжа, по его сторонам сделаны открывающиеся окна, через которые можно вести огонь из пулеметов;</w:t>
      </w:r>
    </w:p>
    <w:p w14:paraId="327E2C17"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кабина летчика остеклена по всем поверхностям (как и на последних ИМ-В);</w:t>
      </w:r>
    </w:p>
    <w:p w14:paraId="2D6E43DA"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пост управления самолетом со штурвальной рамой (управление РВ и РН) и сиденье пилота установлены в ПСС;</w:t>
      </w:r>
    </w:p>
    <w:p w14:paraId="7A2DBF55"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колеса шасси без кожаных чехлов, которые объединяли их попарно;</w:t>
      </w:r>
    </w:p>
    <w:p w14:paraId="48122879"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экипаж увеличен до 6 чел. (23553).</w:t>
      </w:r>
    </w:p>
    <w:p w14:paraId="7BA788E3" w14:textId="77777777" w:rsidR="002966F1" w:rsidRPr="00FB4F67" w:rsidRDefault="002966F1" w:rsidP="0083075A">
      <w:pPr>
        <w:spacing w:after="0" w:line="240" w:lineRule="auto"/>
        <w:jc w:val="both"/>
        <w:rPr>
          <w:rFonts w:ascii="Times New Roman" w:hAnsi="Times New Roman" w:cs="Times New Roman"/>
          <w:color w:val="0070C0"/>
          <w:sz w:val="16"/>
          <w:szCs w:val="16"/>
        </w:rPr>
      </w:pPr>
    </w:p>
    <w:p w14:paraId="653B71FC"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1917 г., получив из ЭВК технические условия на вариант ИМ Г-3, правление РБВЗ предложило Военному министерству заключить новый договор на поставку и оплату 25 серийных самолетов, но не типа Г-3, а нового Г-4, который предлагалось оснастить составной силовой установкой из 2 моторов «Рено» по 225 л.с. и 2 РБЗ-6 по 150 л.с. Таким образом, ее общая «паспортная» мощность была бы на 250 л.с. меньше предусмотренной ТУ.</w:t>
      </w:r>
    </w:p>
    <w:p w14:paraId="3490C4C3"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Конкретный тип обоих моторов в этих источниках не указан.</w:t>
      </w:r>
    </w:p>
    <w:p w14:paraId="30D93C1D"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Мощностью моторов «Рено» по данным В. Шаврова была 220 л.с., а по М. Хайрулину 225 л.с., но в истории авиадвигателей фирмы Société Renault Frères изделия с такой мощностью на 1916 г. или ранее не найдены – видимо, речь идет о V-образном 8-цилиндровом двигателе водяного охлаждения Renault 8Gd, выпуск которого начат в 1916 г., максимальной мощностью на взлете и на боевом режиме 200 л.с. при 1600 об./мин. (régime maximum), 196 л.с. при 1550 об./мин. на нормальном полетном режиме (régime normal) и 192 л.с. при 1500 об./мин. в крейсерском полете.</w:t>
      </w:r>
    </w:p>
    <w:p w14:paraId="18E4051F"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Таким образом, недобор мощности на взлете по сравнению с ТУ был бы 300 л.с. или 30%.</w:t>
      </w:r>
    </w:p>
    <w:p w14:paraId="7EA52EE7"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Самолет «Илья Муромец» серии Г-4 (ИМ Г-4 боевой ширококрылый, «Ренобалт») серийный должен был строиться как дальнейшее развитие серии ИМ Г-3 с усиленной конструкцией, но без существенного увеличения ее массы. Запас прочности доведен до 3,5 (в отдельных агрегатах и узлах – до 4,5).</w:t>
      </w:r>
    </w:p>
    <w:p w14:paraId="22056069"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Работа проводилась начале 1917 г. на РБВЗ при участии Увофлоте (Управление Воздушного Флота, созданный в 1917 г. государственный орган для управления комплектацией и снабжением военной авиации России).</w:t>
      </w:r>
    </w:p>
    <w:p w14:paraId="435065CD"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Испытания прошли в июне – июле 1917 г., самолет был признан пригодным к серийной постройке.</w:t>
      </w:r>
    </w:p>
    <w:p w14:paraId="7E5E3226"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 данным В. Шаврова по типу Г-4 было построено несколько экземпляров, но М. Хайрулин утверждает, что в серию он запущен не был.</w:t>
      </w:r>
    </w:p>
    <w:p w14:paraId="7EB6E359"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Самолет ИМ-Г был основной модификацией кораблей «Илья Муромец».</w:t>
      </w:r>
    </w:p>
    <w:p w14:paraId="493CBDCD"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Всего самолетов ИМ-Г было построено сразу в этом виде 33 (из них 10 переоборудованы из еще не облетанных ИМ-В), еще 1 переоборудован из уже облетанного самолета ИМ-В.</w:t>
      </w:r>
    </w:p>
    <w:p w14:paraId="3A4A2DAD"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После Великой Октябрьской Социалистической революции выпуск самолетов был возобновлен именно по типу ИМ-Г и из задела этих кораблей, хотя и с отличиями (23553).</w:t>
      </w:r>
    </w:p>
    <w:p w14:paraId="4AC71545" w14:textId="77777777" w:rsidR="002966F1" w:rsidRPr="00FB4F67" w:rsidRDefault="002966F1" w:rsidP="0083075A">
      <w:pPr>
        <w:spacing w:after="0" w:line="240" w:lineRule="auto"/>
        <w:jc w:val="both"/>
        <w:rPr>
          <w:rFonts w:ascii="Times New Roman" w:hAnsi="Times New Roman" w:cs="Times New Roman"/>
          <w:color w:val="0070C0"/>
          <w:sz w:val="16"/>
          <w:szCs w:val="16"/>
        </w:rPr>
      </w:pPr>
    </w:p>
    <w:p w14:paraId="5287E696"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В начале 1917 г. летчик И.С. Башко на самолете ИМ Г-2 «Корабль Киевский 3-й» достиг высоты 5200 м с полной нагрузкой в 1340 кг (включающей ГСМ, вооружение, съемное оборудование и экипаж). Дальнейший подъем был прекращен по причине кислородного голодания экипажа – в то время некоторые немецкие тяжелые </w:t>
      </w:r>
      <w:r w:rsidRPr="00FB4F67">
        <w:rPr>
          <w:rFonts w:ascii="Times New Roman" w:hAnsi="Times New Roman" w:cs="Times New Roman"/>
          <w:color w:val="0070C0"/>
          <w:sz w:val="16"/>
          <w:szCs w:val="16"/>
        </w:rPr>
        <w:lastRenderedPageBreak/>
        <w:t>бомбардировщики уже комплектовались дыхательными масками, получавшими кислород из баллонов на борту. Максимальная скорость самолета 137 км/ч была признана достаточной, хотя опять же она была уже значительно меньше развиваемой не только немецкими истребителями, но и тяжелыми бомбардировщиками (23353).</w:t>
      </w:r>
    </w:p>
    <w:p w14:paraId="42A5DF42" w14:textId="77777777" w:rsidR="002966F1" w:rsidRPr="00FB4F67" w:rsidRDefault="002966F1" w:rsidP="0083075A">
      <w:pPr>
        <w:spacing w:after="0" w:line="240" w:lineRule="auto"/>
        <w:jc w:val="both"/>
        <w:rPr>
          <w:rFonts w:ascii="Times New Roman" w:hAnsi="Times New Roman" w:cs="Times New Roman"/>
          <w:color w:val="0070C0"/>
          <w:sz w:val="16"/>
          <w:szCs w:val="16"/>
        </w:rPr>
      </w:pPr>
    </w:p>
    <w:p w14:paraId="7072CDDA"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1917 г под управлением командира корабля И. С. Башко на Г-2, носившим по преемственности название «Киевский» с четырьмя двигателями «Бердмор-Даймлер» в 160 л.с. была достигнута высота 5200 м при общей нагрузке 1340 кг. В отчете отмечалось, что высо</w:t>
      </w:r>
      <w:r w:rsidRPr="00FB4F67">
        <w:rPr>
          <w:rFonts w:ascii="Times New Roman" w:hAnsi="Times New Roman" w:cs="Times New Roman"/>
          <w:color w:val="0070C0"/>
          <w:sz w:val="16"/>
          <w:szCs w:val="16"/>
        </w:rPr>
        <w:softHyphen/>
        <w:t>та 5200 м не является пределом для «Муромца», а подъем был прекращен из-за кислородного голодания экипажа. Скорость этой машины достигала 137 км/ч (24177).</w:t>
      </w:r>
    </w:p>
    <w:p w14:paraId="7F500D17" w14:textId="77777777" w:rsidR="002966F1" w:rsidRPr="00FB4F67" w:rsidRDefault="002966F1" w:rsidP="0083075A">
      <w:pPr>
        <w:spacing w:after="0" w:line="240" w:lineRule="auto"/>
        <w:jc w:val="both"/>
        <w:rPr>
          <w:rFonts w:ascii="Times New Roman" w:hAnsi="Times New Roman" w:cs="Times New Roman"/>
          <w:color w:val="0070C0"/>
          <w:sz w:val="16"/>
          <w:szCs w:val="16"/>
        </w:rPr>
      </w:pPr>
    </w:p>
    <w:p w14:paraId="3D1336F3"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1917 г., получив из ЭВК технические условия на вариант ИМ Е (Е-2), правление РБВЗ предложило Военному министерству заключить новый договор на поставку и оплату 15 серийных самолетов типа Е-2, который предлагалось оснастить составной силовой установкой из 2 моторов «Рено» по 225 л.с.</w:t>
      </w:r>
    </w:p>
    <w:p w14:paraId="252FCB0A"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Но далее был построен только один самолет ИМ Е-2 – этот № 266. Все указанные требования на нем в полном объеме выполнены не были. По конструкции он соответствовал самолету ДИМ-2, силовая установка – 4 двигателя водяного охлаждения Renault 8Gd, по Хайрулину 225 л.с., по Шаврову – 220 л.с., фактически 200 л.с. на взлете, 196 на боевом и 192 на крейсерском режимах.</w:t>
      </w:r>
    </w:p>
    <w:p w14:paraId="358D1267"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Отправлен с завода 28.08.16 г. (10.09.16 г. по н.ст.) на аэродром Псков.</w:t>
      </w:r>
    </w:p>
    <w:p w14:paraId="0007D61C"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Весной 1917 г. корабль передан во вновь сформированный 4-й боевой отряд ЭВК, командиром экипажа был назначен штабс-капитан Г.В. Алехнович.</w:t>
      </w:r>
    </w:p>
    <w:p w14:paraId="47AD97BC"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первых числах (в середине по н.ст.) апреля 1917 г. экипаж получил приказ вылететь в составе отряда на Румынский фронт на аэродром Болгарийка, но до места назначения не дошел, совершив посадку в Кишиневе.</w:t>
      </w:r>
    </w:p>
    <w:p w14:paraId="69A2DD8A"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мае 1917 г. корабль перелетел на аэродром 4-го отряда ЭВК Болгарийка.</w:t>
      </w:r>
    </w:p>
    <w:p w14:paraId="2819E13C"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31.05.17 г. (13.06.17 г. по н.ст.) самолет в паре с ИМ Е-56 совершил бомбардировку складов и казарм в г. Тулча – оба корабля сбросили 288 кг бомб.</w:t>
      </w:r>
    </w:p>
    <w:p w14:paraId="03E27612"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17.06.17 г. (29.06.17 г. по н.ст.) стрелки корабля отбили атаку двухмоторного биплана противника.</w:t>
      </w:r>
    </w:p>
    <w:p w14:paraId="21D837A7"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21.09.17 г. (04.10.17 г. по н.ст.) состоялся последний вылет этого корабля.</w:t>
      </w:r>
    </w:p>
    <w:p w14:paraId="7EDBD476"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15.11.17 г. (28.11.17 г.) разбит.</w:t>
      </w:r>
    </w:p>
    <w:p w14:paraId="5272A80E"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Всего самолет выполнил не менее трех боевых вылетов.</w:t>
      </w:r>
    </w:p>
    <w:p w14:paraId="13A5FE3A" w14:textId="77777777" w:rsidR="002966F1" w:rsidRPr="00FB4F67" w:rsidRDefault="002966F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Всего достроено и облетано 2 самолета ИМ-Е. Модификация по отношению к ИМ-Г определенные преимущества имела, однако ее запуск в серию не состоялся по организационным причинам – еще летом 1917 г. производство на РБВЗ было дезорганизовано, а после Октябрьской революции наладить выпуск новой модификации самолета оказалось невозможно (24094).</w:t>
      </w:r>
    </w:p>
    <w:p w14:paraId="6216A214" w14:textId="77777777" w:rsidR="002966F1" w:rsidRPr="00FB4F67" w:rsidRDefault="002966F1" w:rsidP="0083075A">
      <w:pPr>
        <w:spacing w:after="0" w:line="240" w:lineRule="auto"/>
        <w:jc w:val="both"/>
        <w:rPr>
          <w:rFonts w:ascii="Times New Roman" w:hAnsi="Times New Roman" w:cs="Times New Roman"/>
          <w:color w:val="0070C0"/>
          <w:sz w:val="16"/>
          <w:szCs w:val="16"/>
        </w:rPr>
      </w:pPr>
    </w:p>
    <w:p w14:paraId="1B9A83B8" w14:textId="77777777" w:rsidR="002C14D7" w:rsidRPr="00FB4F67" w:rsidRDefault="002C14D7"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1917 г., когда никто не сомне</w:t>
      </w:r>
      <w:r w:rsidRPr="00FB4F67">
        <w:rPr>
          <w:rFonts w:ascii="Times New Roman" w:hAnsi="Times New Roman" w:cs="Times New Roman"/>
          <w:color w:val="0070C0"/>
          <w:sz w:val="16"/>
          <w:szCs w:val="16"/>
        </w:rPr>
        <w:softHyphen/>
        <w:t>вался в близкой победе, в военном министерстве даже началась подго</w:t>
      </w:r>
      <w:r w:rsidRPr="00FB4F67">
        <w:rPr>
          <w:rFonts w:ascii="Times New Roman" w:hAnsi="Times New Roman" w:cs="Times New Roman"/>
          <w:color w:val="0070C0"/>
          <w:sz w:val="16"/>
          <w:szCs w:val="16"/>
        </w:rPr>
        <w:softHyphen/>
        <w:t>товка к демобилизации и мирному строительству Воздушного Флота. На основе Эскадры планировалось создать Военно-Воздушный Флот Резерва Верховного Главнокоман</w:t>
      </w:r>
      <w:r w:rsidRPr="00FB4F67">
        <w:rPr>
          <w:rFonts w:ascii="Times New Roman" w:hAnsi="Times New Roman" w:cs="Times New Roman"/>
          <w:color w:val="0070C0"/>
          <w:sz w:val="16"/>
          <w:szCs w:val="16"/>
        </w:rPr>
        <w:softHyphen/>
        <w:t>дующего. Предполагая предстоящее сокращение Вооруженных Сил, лётчики «Муромцев» начали поду</w:t>
      </w:r>
      <w:r w:rsidRPr="00FB4F67">
        <w:rPr>
          <w:rFonts w:ascii="Times New Roman" w:hAnsi="Times New Roman" w:cs="Times New Roman"/>
          <w:color w:val="0070C0"/>
          <w:sz w:val="16"/>
          <w:szCs w:val="16"/>
        </w:rPr>
        <w:softHyphen/>
        <w:t>мывать о мирных областях приме</w:t>
      </w:r>
      <w:r w:rsidRPr="00FB4F67">
        <w:rPr>
          <w:rFonts w:ascii="Times New Roman" w:hAnsi="Times New Roman" w:cs="Times New Roman"/>
          <w:color w:val="0070C0"/>
          <w:sz w:val="16"/>
          <w:szCs w:val="16"/>
        </w:rPr>
        <w:softHyphen/>
        <w:t>нения воздушных кораблей. Они мечтали использовать гиганты для перевозки пассажиров, почты и срочных или ценных грузов, снабжения отдаленных районов России. Были предложения достав</w:t>
      </w:r>
      <w:r w:rsidRPr="00FB4F67">
        <w:rPr>
          <w:rFonts w:ascii="Times New Roman" w:hAnsi="Times New Roman" w:cs="Times New Roman"/>
          <w:color w:val="0070C0"/>
          <w:sz w:val="16"/>
          <w:szCs w:val="16"/>
        </w:rPr>
        <w:softHyphen/>
        <w:t>ки сезонных рабочих в районы с тяжёлым климатом, картографи</w:t>
      </w:r>
      <w:r w:rsidRPr="00FB4F67">
        <w:rPr>
          <w:rFonts w:ascii="Times New Roman" w:hAnsi="Times New Roman" w:cs="Times New Roman"/>
          <w:color w:val="0070C0"/>
          <w:sz w:val="16"/>
          <w:szCs w:val="16"/>
        </w:rPr>
        <w:softHyphen/>
        <w:t>рования и геологоразведки, ледо</w:t>
      </w:r>
      <w:r w:rsidRPr="00FB4F67">
        <w:rPr>
          <w:rFonts w:ascii="Times New Roman" w:hAnsi="Times New Roman" w:cs="Times New Roman"/>
          <w:color w:val="0070C0"/>
          <w:sz w:val="16"/>
          <w:szCs w:val="16"/>
        </w:rPr>
        <w:softHyphen/>
        <w:t>вой разведки на Северном Морском пути, санитарной и полицейской службы, охраны границ и многие другие. Однако этим планам не суждено было сбыться (23469).</w:t>
      </w:r>
    </w:p>
    <w:p w14:paraId="11BBF599" w14:textId="77777777" w:rsidR="002C14D7" w:rsidRPr="00FB4F67" w:rsidRDefault="002C14D7" w:rsidP="0083075A">
      <w:pPr>
        <w:spacing w:after="0" w:line="240" w:lineRule="auto"/>
        <w:jc w:val="both"/>
        <w:rPr>
          <w:rFonts w:ascii="Times New Roman" w:hAnsi="Times New Roman" w:cs="Times New Roman"/>
          <w:color w:val="0070C0"/>
          <w:sz w:val="16"/>
          <w:szCs w:val="16"/>
        </w:rPr>
      </w:pPr>
    </w:p>
    <w:p w14:paraId="72C9BA8E" w14:textId="77777777" w:rsidR="002C14D7" w:rsidRPr="00FB4F67" w:rsidRDefault="002C14D7"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1917 г. правление Об</w:t>
      </w:r>
      <w:r w:rsidRPr="00FB4F67">
        <w:rPr>
          <w:rFonts w:ascii="Times New Roman" w:hAnsi="Times New Roman" w:cs="Times New Roman"/>
          <w:color w:val="0070C0"/>
          <w:sz w:val="16"/>
          <w:szCs w:val="16"/>
        </w:rPr>
        <w:softHyphen/>
        <w:t>щества оптических и механических производств обратилось в ГАУ за разрешением на ряд построек, расширяющих производительность трубочного отдела (над</w:t>
      </w:r>
      <w:r w:rsidRPr="00FB4F67">
        <w:rPr>
          <w:rFonts w:ascii="Times New Roman" w:hAnsi="Times New Roman" w:cs="Times New Roman"/>
          <w:color w:val="0070C0"/>
          <w:sz w:val="16"/>
          <w:szCs w:val="16"/>
        </w:rPr>
        <w:softHyphen/>
        <w:t>стройка второго этажа над частью заводского корпуса, со</w:t>
      </w:r>
      <w:r w:rsidRPr="00FB4F67">
        <w:rPr>
          <w:rFonts w:ascii="Times New Roman" w:hAnsi="Times New Roman" w:cs="Times New Roman"/>
          <w:color w:val="0070C0"/>
          <w:sz w:val="16"/>
          <w:szCs w:val="16"/>
        </w:rPr>
        <w:softHyphen/>
        <w:t>оружение складских помещений) с 450 тысяч до 1 млн шт. в месяц, и 16 февраля 1917 г. последовало согласие Особо</w:t>
      </w:r>
      <w:r w:rsidRPr="00FB4F67">
        <w:rPr>
          <w:rFonts w:ascii="Times New Roman" w:hAnsi="Times New Roman" w:cs="Times New Roman"/>
          <w:color w:val="0070C0"/>
          <w:sz w:val="16"/>
          <w:szCs w:val="16"/>
        </w:rPr>
        <w:softHyphen/>
        <w:t>го совещания по обороне (23452).</w:t>
      </w:r>
    </w:p>
    <w:p w14:paraId="4006E0D5" w14:textId="77777777" w:rsidR="002C14D7" w:rsidRPr="00FB4F67" w:rsidRDefault="002C14D7" w:rsidP="0083075A">
      <w:pPr>
        <w:spacing w:after="0" w:line="240" w:lineRule="auto"/>
        <w:jc w:val="both"/>
        <w:rPr>
          <w:rFonts w:ascii="Times New Roman" w:hAnsi="Times New Roman" w:cs="Times New Roman"/>
          <w:color w:val="0070C0"/>
          <w:sz w:val="16"/>
          <w:szCs w:val="16"/>
        </w:rPr>
      </w:pPr>
    </w:p>
    <w:p w14:paraId="17937012" w14:textId="77777777" w:rsidR="002C14D7" w:rsidRPr="00FB4F67" w:rsidRDefault="002C14D7"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1917 г. в Эскадре воздушных кораблей насчитывалось до 30 экземпля</w:t>
      </w:r>
      <w:r w:rsidRPr="00FB4F67">
        <w:rPr>
          <w:rFonts w:ascii="Times New Roman" w:hAnsi="Times New Roman" w:cs="Times New Roman"/>
          <w:color w:val="0070C0"/>
          <w:sz w:val="16"/>
          <w:szCs w:val="16"/>
        </w:rPr>
        <w:softHyphen/>
        <w:t>ров «Муромцев». В большинстве своем они использовались для учебных целей, на фронте отметились единичные аппараты. Кампания 1917 г. для «Муромцев» прохо</w:t>
      </w:r>
      <w:r w:rsidRPr="00FB4F67">
        <w:rPr>
          <w:rFonts w:ascii="Times New Roman" w:hAnsi="Times New Roman" w:cs="Times New Roman"/>
          <w:color w:val="0070C0"/>
          <w:sz w:val="16"/>
          <w:szCs w:val="16"/>
        </w:rPr>
        <w:softHyphen/>
        <w:t>дила на Румынском фронте (2—3 экземпля</w:t>
      </w:r>
      <w:r w:rsidRPr="00FB4F67">
        <w:rPr>
          <w:rFonts w:ascii="Times New Roman" w:hAnsi="Times New Roman" w:cs="Times New Roman"/>
          <w:color w:val="0070C0"/>
          <w:sz w:val="16"/>
          <w:szCs w:val="16"/>
        </w:rPr>
        <w:softHyphen/>
        <w:t>ра) и на Юго-Западном фронте (3—4 эк</w:t>
      </w:r>
      <w:r w:rsidRPr="00FB4F67">
        <w:rPr>
          <w:rFonts w:ascii="Times New Roman" w:hAnsi="Times New Roman" w:cs="Times New Roman"/>
          <w:color w:val="0070C0"/>
          <w:sz w:val="16"/>
          <w:szCs w:val="16"/>
        </w:rPr>
        <w:softHyphen/>
        <w:t>земпляра). За весь год воздушные корабли «ИМ» совершили около 70 вылетов на раз</w:t>
      </w:r>
      <w:r w:rsidRPr="00FB4F67">
        <w:rPr>
          <w:rFonts w:ascii="Times New Roman" w:hAnsi="Times New Roman" w:cs="Times New Roman"/>
          <w:color w:val="0070C0"/>
          <w:sz w:val="16"/>
          <w:szCs w:val="16"/>
        </w:rPr>
        <w:softHyphen/>
        <w:t>ведку и бомбометание, при этом сбросили на противника до 650 пудов бомб.</w:t>
      </w:r>
    </w:p>
    <w:p w14:paraId="0E3F2980" w14:textId="77777777" w:rsidR="002C14D7" w:rsidRPr="00FB4F67" w:rsidRDefault="002C14D7"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период 1914—1917 гг., до момента вы</w:t>
      </w:r>
      <w:r w:rsidRPr="00FB4F67">
        <w:rPr>
          <w:rFonts w:ascii="Times New Roman" w:hAnsi="Times New Roman" w:cs="Times New Roman"/>
          <w:color w:val="0070C0"/>
          <w:sz w:val="16"/>
          <w:szCs w:val="16"/>
        </w:rPr>
        <w:softHyphen/>
        <w:t>хода России из войны, РБВЗ сдал 65 «Му</w:t>
      </w:r>
      <w:r w:rsidRPr="00FB4F67">
        <w:rPr>
          <w:rFonts w:ascii="Times New Roman" w:hAnsi="Times New Roman" w:cs="Times New Roman"/>
          <w:color w:val="0070C0"/>
          <w:sz w:val="16"/>
          <w:szCs w:val="16"/>
        </w:rPr>
        <w:softHyphen/>
        <w:t>ромцев», из которых 51 экземпляр посту</w:t>
      </w:r>
      <w:r w:rsidRPr="00FB4F67">
        <w:rPr>
          <w:rFonts w:ascii="Times New Roman" w:hAnsi="Times New Roman" w:cs="Times New Roman"/>
          <w:color w:val="0070C0"/>
          <w:sz w:val="16"/>
          <w:szCs w:val="16"/>
        </w:rPr>
        <w:softHyphen/>
        <w:t>пил на фронт. 40 воздушных кораблей при</w:t>
      </w:r>
      <w:r w:rsidRPr="00FB4F67">
        <w:rPr>
          <w:rFonts w:ascii="Times New Roman" w:hAnsi="Times New Roman" w:cs="Times New Roman"/>
          <w:color w:val="0070C0"/>
          <w:sz w:val="16"/>
          <w:szCs w:val="16"/>
        </w:rPr>
        <w:softHyphen/>
        <w:t>нимали участие в боевых действиях, совершили 300 вылетов и сбросили на противника около 3000 пудов бомб (23374).</w:t>
      </w:r>
    </w:p>
    <w:p w14:paraId="2827C781" w14:textId="77777777" w:rsidR="002C14D7" w:rsidRPr="00FB4F67" w:rsidRDefault="002C14D7" w:rsidP="0083075A">
      <w:pPr>
        <w:spacing w:after="0" w:line="240" w:lineRule="auto"/>
        <w:jc w:val="both"/>
        <w:rPr>
          <w:rFonts w:ascii="Times New Roman" w:hAnsi="Times New Roman" w:cs="Times New Roman"/>
          <w:color w:val="0070C0"/>
          <w:sz w:val="16"/>
          <w:szCs w:val="16"/>
        </w:rPr>
      </w:pPr>
    </w:p>
    <w:p w14:paraId="61A2AD8B" w14:textId="77777777" w:rsidR="002C14D7" w:rsidRPr="00FB4F67" w:rsidRDefault="002C14D7"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1917 г., суммируя все ранее произведенные улучшения ИМ, предполага</w:t>
      </w:r>
      <w:r w:rsidRPr="00FB4F67">
        <w:rPr>
          <w:rFonts w:ascii="Times New Roman" w:hAnsi="Times New Roman" w:cs="Times New Roman"/>
          <w:color w:val="0070C0"/>
          <w:sz w:val="16"/>
          <w:szCs w:val="16"/>
        </w:rPr>
        <w:softHyphen/>
        <w:t>лось строить серию Г-4. Первый такой са</w:t>
      </w:r>
      <w:r w:rsidRPr="00FB4F67">
        <w:rPr>
          <w:rFonts w:ascii="Times New Roman" w:hAnsi="Times New Roman" w:cs="Times New Roman"/>
          <w:color w:val="0070C0"/>
          <w:sz w:val="16"/>
          <w:szCs w:val="16"/>
        </w:rPr>
        <w:softHyphen/>
        <w:t>молет испытывался в июне — июле 1917 г., позднее построили несколько экземпляров данной модификации (23374).</w:t>
      </w:r>
    </w:p>
    <w:p w14:paraId="38E89247" w14:textId="77777777" w:rsidR="002C14D7" w:rsidRPr="00FB4F67" w:rsidRDefault="002C14D7" w:rsidP="0083075A">
      <w:pPr>
        <w:spacing w:after="0" w:line="240" w:lineRule="auto"/>
        <w:jc w:val="both"/>
        <w:rPr>
          <w:rFonts w:ascii="Times New Roman" w:hAnsi="Times New Roman" w:cs="Times New Roman"/>
          <w:color w:val="0070C0"/>
          <w:sz w:val="16"/>
          <w:szCs w:val="16"/>
        </w:rPr>
      </w:pPr>
    </w:p>
    <w:p w14:paraId="4D406D08" w14:textId="77777777" w:rsidR="002C14D7" w:rsidRPr="00FB4F67" w:rsidRDefault="002C14D7"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1917 г. в Эскадре воздушных ко</w:t>
      </w:r>
      <w:r w:rsidRPr="00FB4F67">
        <w:rPr>
          <w:rFonts w:ascii="Times New Roman" w:hAnsi="Times New Roman" w:cs="Times New Roman"/>
          <w:color w:val="0070C0"/>
          <w:sz w:val="16"/>
          <w:szCs w:val="16"/>
        </w:rPr>
        <w:softHyphen/>
        <w:t>раблей летчики Романов и Нижевский испытали само</w:t>
      </w:r>
      <w:r w:rsidRPr="00FB4F67">
        <w:rPr>
          <w:rFonts w:ascii="Times New Roman" w:hAnsi="Times New Roman" w:cs="Times New Roman"/>
          <w:color w:val="0070C0"/>
          <w:sz w:val="16"/>
          <w:szCs w:val="16"/>
        </w:rPr>
        <w:softHyphen/>
        <w:t>лет-истребитель С-20.</w:t>
      </w:r>
    </w:p>
    <w:p w14:paraId="3BA3B16F" w14:textId="77777777" w:rsidR="002C14D7" w:rsidRPr="00FB4F67" w:rsidRDefault="002C14D7"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Это был биплан чис</w:t>
      </w:r>
      <w:r w:rsidRPr="00FB4F67">
        <w:rPr>
          <w:rFonts w:ascii="Times New Roman" w:hAnsi="Times New Roman" w:cs="Times New Roman"/>
          <w:color w:val="0070C0"/>
          <w:sz w:val="16"/>
          <w:szCs w:val="16"/>
        </w:rPr>
        <w:softHyphen/>
        <w:t>тых аэродинамических форм с небольшим превышением размаха верхнего крыла над нижним крылом. Согласно данным В.Б.Ша врова всего изготовили пять экземпляров С-20 с двигателями «Рон» 120 л.с. Однако доподлинно известно только об одном та</w:t>
      </w:r>
      <w:r w:rsidRPr="00FB4F67">
        <w:rPr>
          <w:rFonts w:ascii="Times New Roman" w:hAnsi="Times New Roman" w:cs="Times New Roman"/>
          <w:color w:val="0070C0"/>
          <w:sz w:val="16"/>
          <w:szCs w:val="16"/>
        </w:rPr>
        <w:softHyphen/>
        <w:t>ком аппарате, имеющем заводской №267.</w:t>
      </w:r>
    </w:p>
    <w:p w14:paraId="11DACDE3" w14:textId="77777777" w:rsidR="002C14D7" w:rsidRPr="00FB4F67" w:rsidRDefault="002C14D7"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одном из полетов Нижевский на С-20 потерпел аварию, после чего аппа</w:t>
      </w:r>
      <w:r w:rsidRPr="00FB4F67">
        <w:rPr>
          <w:rFonts w:ascii="Times New Roman" w:hAnsi="Times New Roman" w:cs="Times New Roman"/>
          <w:color w:val="0070C0"/>
          <w:sz w:val="16"/>
          <w:szCs w:val="16"/>
        </w:rPr>
        <w:softHyphen/>
        <w:t>рат вернули на РБВЗ для ремонта. Ремон</w:t>
      </w:r>
      <w:r w:rsidRPr="00FB4F67">
        <w:rPr>
          <w:rFonts w:ascii="Times New Roman" w:hAnsi="Times New Roman" w:cs="Times New Roman"/>
          <w:color w:val="0070C0"/>
          <w:sz w:val="16"/>
          <w:szCs w:val="16"/>
        </w:rPr>
        <w:softHyphen/>
        <w:t>том дело не ограничилось, машину устано</w:t>
      </w:r>
      <w:r w:rsidRPr="00FB4F67">
        <w:rPr>
          <w:rFonts w:ascii="Times New Roman" w:hAnsi="Times New Roman" w:cs="Times New Roman"/>
          <w:color w:val="0070C0"/>
          <w:sz w:val="16"/>
          <w:szCs w:val="16"/>
        </w:rPr>
        <w:softHyphen/>
        <w:t>вили на поплавки, однако далее история продолжения не имела (23374).</w:t>
      </w:r>
    </w:p>
    <w:p w14:paraId="121939C9" w14:textId="77777777" w:rsidR="002C14D7" w:rsidRPr="00FB4F67" w:rsidRDefault="002C14D7" w:rsidP="0083075A">
      <w:pPr>
        <w:spacing w:after="0" w:line="240" w:lineRule="auto"/>
        <w:jc w:val="both"/>
        <w:rPr>
          <w:rFonts w:ascii="Times New Roman" w:hAnsi="Times New Roman" w:cs="Times New Roman"/>
          <w:color w:val="0070C0"/>
          <w:sz w:val="16"/>
          <w:szCs w:val="16"/>
        </w:rPr>
      </w:pPr>
    </w:p>
    <w:p w14:paraId="6CCA8FF6" w14:textId="77777777" w:rsidR="002C14D7" w:rsidRPr="00FB4F67" w:rsidRDefault="002C14D7"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1917 г. опытный экземпляр С-20 отправили в эскадру без двигателя, но с двумя парами крыльев разного размера для выбора в ходе испытаний наиболее оптимальных из них. Шидловский запросил из ГВТУ ротативные двигатели «Рон» в 110 л. с. и «Клерже» в 130 л. с. Предусматривалась возможность переделки истребителя и под рядный двигатель водяного охлаждения «Испано- Сюиза» в 150 л. с. Достать удалось только «Рон» в 120 л. с. Испытания выявили прекрасные качества ис</w:t>
      </w:r>
      <w:r w:rsidRPr="00FB4F67">
        <w:rPr>
          <w:rFonts w:ascii="Times New Roman" w:hAnsi="Times New Roman" w:cs="Times New Roman"/>
          <w:color w:val="0070C0"/>
          <w:sz w:val="16"/>
          <w:szCs w:val="16"/>
        </w:rPr>
        <w:softHyphen/>
        <w:t>требителя, находившегося по своим данным на уровне самой передовой техники 1916 — 1917 гг. По скорости, например, он превосходил все «Ньюпоры», немного ус</w:t>
      </w:r>
      <w:r w:rsidRPr="00FB4F67">
        <w:rPr>
          <w:rFonts w:ascii="Times New Roman" w:hAnsi="Times New Roman" w:cs="Times New Roman"/>
          <w:color w:val="0070C0"/>
          <w:sz w:val="16"/>
          <w:szCs w:val="16"/>
        </w:rPr>
        <w:softHyphen/>
        <w:t>тупая лишь «Виккерсу». «Авиа-Балт» выступил с предложением о постройке крупной серии — не менее 50 машин, но уже шел 1917-й год. По свидетельству В.Б. Шаврова, построить удалось только пять С-20, причем один из них — в поплавковом варианте (24177).</w:t>
      </w:r>
    </w:p>
    <w:p w14:paraId="3201B632" w14:textId="77777777" w:rsidR="002C14D7" w:rsidRPr="00FB4F67" w:rsidRDefault="002C14D7" w:rsidP="0083075A">
      <w:pPr>
        <w:spacing w:after="0" w:line="240" w:lineRule="auto"/>
        <w:jc w:val="both"/>
        <w:rPr>
          <w:rFonts w:ascii="Times New Roman" w:hAnsi="Times New Roman" w:cs="Times New Roman"/>
          <w:color w:val="0070C0"/>
          <w:sz w:val="16"/>
          <w:szCs w:val="16"/>
        </w:rPr>
      </w:pPr>
    </w:p>
    <w:p w14:paraId="06B77050" w14:textId="77777777" w:rsidR="002C14D7" w:rsidRPr="00FB4F67" w:rsidRDefault="002C14D7"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1917 г. в Эскад</w:t>
      </w:r>
      <w:r w:rsidRPr="00FB4F67">
        <w:rPr>
          <w:rFonts w:ascii="Times New Roman" w:hAnsi="Times New Roman" w:cs="Times New Roman"/>
          <w:color w:val="0070C0"/>
          <w:sz w:val="16"/>
          <w:szCs w:val="16"/>
        </w:rPr>
        <w:softHyphen/>
        <w:t>ру воздушных кораблей, куда передали все оставши</w:t>
      </w:r>
      <w:r w:rsidRPr="00FB4F67">
        <w:rPr>
          <w:rFonts w:ascii="Times New Roman" w:hAnsi="Times New Roman" w:cs="Times New Roman"/>
          <w:color w:val="0070C0"/>
          <w:sz w:val="16"/>
          <w:szCs w:val="16"/>
        </w:rPr>
        <w:softHyphen/>
        <w:t>еся машины этого типа, использовалось более десятка С-16, к концу года их оставалось не более шести экземпляров. Один самолет, заводской №202, летал до 1918 г.</w:t>
      </w:r>
    </w:p>
    <w:p w14:paraId="465C5FDD" w14:textId="77777777" w:rsidR="002C14D7" w:rsidRPr="00FB4F67" w:rsidRDefault="002C14D7" w:rsidP="0083075A">
      <w:pPr>
        <w:spacing w:after="0" w:line="240" w:lineRule="auto"/>
        <w:jc w:val="both"/>
        <w:rPr>
          <w:rFonts w:ascii="Times New Roman" w:hAnsi="Times New Roman" w:cs="Times New Roman"/>
          <w:color w:val="0070C0"/>
          <w:sz w:val="16"/>
          <w:szCs w:val="16"/>
        </w:rPr>
      </w:pPr>
    </w:p>
    <w:p w14:paraId="3355E5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на одном из "Муромцев" для повышения поперечной устойчивости между стойками крыла установили щитки из фанеры, в надежде устранить скольжение самолета при небольшом крене. Однако при маневре в воздухе щитки были сорваны, а стойки вывернуты в узлах. Самолет развалился в воздухе, экипаж погиб (11999).</w:t>
      </w:r>
    </w:p>
    <w:p w14:paraId="014953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1E8B65" w14:textId="77777777" w:rsidR="00FF1A24" w:rsidRPr="002F2FDF" w:rsidRDefault="00FF1A24"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получив из ЭВК дополнения и изменения к конструкции ИМ от 26 января, Правление РБВЗ предлагало заключить новый контракт на постройку 25 машин по типу Г-4 и 15 по типу Е-2. Г-4 предлагалось оснастить 2 "Рено" по 225 л.с. и 2 РБ3.6 по 150 л.с., а Е-2 4 "Рено" по 225 л.с.. Но данные типы так и не были пушены в серийное производство (12038).</w:t>
      </w:r>
    </w:p>
    <w:p w14:paraId="2FD686B2" w14:textId="77777777" w:rsidR="00FF1A24" w:rsidRPr="002F2FDF" w:rsidRDefault="00FF1A24"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FA3A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года Правление РБВЗ предлагало заключить новый контракт на постройку 25 машин по типу Г-4 и 15 по типу Е-2. Г-4 предлагалось оснастить двумя моторами "Рено" по 225 л.с. и двумя РБ3.6 по 150 л.с., а Е-2 - четырьмя "Рено" по 225 л.с. Но данные типы так и не были пушены в производство (12041).</w:t>
      </w:r>
    </w:p>
    <w:p w14:paraId="419D40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BE46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Правление РБВЗ, получив от ЭВК требования по совершенствованию ИМ, предлагало заключить новый контракт на постройку 25 машин по типу Г-4 и 15 по типу Е-2. Г-4 предлагалось оснастить 2 "Рено" по 225 л.с. и 2 РБ3.6 по 150 л.с., а Е-2 4 "Рено" по 225 л.с.. Но данные типы так и не были пущены в серийное производство.</w:t>
      </w:r>
    </w:p>
    <w:p w14:paraId="46A879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КОНСТРУКТИВНЫЕ ИЗМЕНЕНИЯ И УКАЗАНИЯ, КОТОРЫЕ НЕОБХОДИМО ВНЕСТИ В ТЕХ­НИЧЕСКИЕ УСЛОВИЯ НА ПОСТРОЙКУ ВОЗДУШНЫХ КОРАБЛЕЙ А) типа Г-3 </w:t>
      </w:r>
    </w:p>
    <w:p w14:paraId="485AB1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Головная часть по типу Г-1 (застеклена полностью). 2. Управление рулями направления по типу Г-3: трос к рулям вести через ролики у стабилизатора (переда­точная крестовина упраздняется).</w:t>
      </w:r>
    </w:p>
    <w:p w14:paraId="5A63AF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Управление рамой и проводника тросов к рулю глубины по типу Г-1.</w:t>
      </w:r>
    </w:p>
    <w:p w14:paraId="3D4284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Сиденье для пилота по типу Г-1 (в центре фюзеляжа).</w:t>
      </w:r>
    </w:p>
    <w:p w14:paraId="3BF0FA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Уширить кабину на 150мм.</w:t>
      </w:r>
    </w:p>
    <w:p w14:paraId="26D9A5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Увеличить высоту фюзеляжа на 50 мм.</w:t>
      </w:r>
    </w:p>
    <w:p w14:paraId="06B9DC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7. Управление крылышками по типу Е (рычагами).</w:t>
      </w:r>
    </w:p>
    <w:p w14:paraId="235665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для сбрасывания бомб ставить кассеты с вертикальной подвеской по типу Г.</w:t>
      </w:r>
    </w:p>
    <w:p w14:paraId="447633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Люки и все пулеметные установки делать согласно снятым в ЭВК эскизам.</w:t>
      </w:r>
    </w:p>
    <w:p w14:paraId="05ABD9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Верхняя площадка остается (трубы крепящей вилки пулеметов упраздняются).</w:t>
      </w:r>
    </w:p>
    <w:p w14:paraId="2CC085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Баки на 21 пуд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жестью на шири­ну 700мм.</w:t>
      </w:r>
    </w:p>
    <w:p w14:paraId="70D749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0E1A43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Поверхность стабилизатора увеличить на 3-4 кв.метра.</w:t>
      </w:r>
    </w:p>
    <w:p w14:paraId="20A40B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бензиновую проводку в фюзеляже не вводить и ввести по задним стойкам клеток планов.</w:t>
      </w:r>
    </w:p>
    <w:p w14:paraId="504920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15. Корабли снабдить двумя кассетами для пудовых бомб и двумя кассетами для двухпудовых бомб. Б) </w:t>
      </w:r>
    </w:p>
    <w:p w14:paraId="208031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типа Е </w:t>
      </w:r>
    </w:p>
    <w:p w14:paraId="70FED2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Кресло пилота и управление сдвинуть на 14 см вправо.</w:t>
      </w:r>
    </w:p>
    <w:p w14:paraId="7ADA8C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Изменить форму спинки сиденья и сделать ее суживающейся кверху (размером 160мм вверху и высотою 500м). Спинку закрепить.</w:t>
      </w:r>
    </w:p>
    <w:p w14:paraId="2D47A8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Головную часть корабля укоротить на 30 см и свести к верхней поверхности фюзеляжа.</w:t>
      </w:r>
    </w:p>
    <w:p w14:paraId="311CB7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В полу головной части корабля впереди переднего лонжерона крыла вправо от сидения пилота поставить зеркальное стекло из двух половинок, одна из них должна открываться.</w:t>
      </w:r>
    </w:p>
    <w:p w14:paraId="35C022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Люк для стрельбы из верхнего пулемета головной части корабля сделать с правой стороны над подъем­ною площадкой для пулеметчика.</w:t>
      </w:r>
    </w:p>
    <w:p w14:paraId="270B69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Опускающуюся пулеметную площадку для стрельбы под костыль выполнить по эскизам снятым в Эска­дре с Корабля IX (тип Е№265).</w:t>
      </w:r>
    </w:p>
    <w:p w14:paraId="7BE3DD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6FAD15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Пулеметные установки: (задняя верхняя за дверью, бо­ковая и передняя головная) выполнить по эскизам снятым с 1Х-го корабля.</w:t>
      </w:r>
    </w:p>
    <w:p w14:paraId="5E287E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Высота шасси и расстояние между моторами должны допускать возможность постановки винтов до 3,5 м в диаметре.</w:t>
      </w:r>
    </w:p>
    <w:p w14:paraId="5277C8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оборудование корабля (сигнальный прибор, бомбовые шкафы, люки, установки компасов, контрольных приборов) выполнить по эскизам снятым с 1Х-го корабля.</w:t>
      </w:r>
    </w:p>
    <w:p w14:paraId="5855CC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Баки до 30 пудов каждый вынести на верхний план между первой моторной стойкой и фюзеляжем и устанавливать не ниже 15см над планом. Поверхность под баками обить алюминием или же жестью по ширине 800мм.</w:t>
      </w:r>
    </w:p>
    <w:p w14:paraId="6E98C6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Лыжи выполнить по типу 1Х-го корабля.</w:t>
      </w:r>
    </w:p>
    <w:p w14:paraId="760BF5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Бензиновую проводку в фюзеляже не вводить и ввести по задним стойкам клеток планов.</w:t>
      </w:r>
    </w:p>
    <w:p w14:paraId="43DFCB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14. Общая мощность моторов должна быть не ниже 1000 действительных лошадиных сил. </w:t>
      </w:r>
    </w:p>
    <w:p w14:paraId="7B8CC8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Получив из ЭВК вышеупомянутые дополнения и изменения. </w:t>
      </w:r>
    </w:p>
    <w:p w14:paraId="62F997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требованию Эскадры в Винницу в феврале-мае были присланы 10 комплектов новых рулей направления по типу Г-3, подмоторных ферм для "Рено" — 20 штук, для "Аргус" — 8 и для "РБ3.6" — 12 штук (т.е. на ос­нащение 10 кораблей, которые были поставлены до января 1917 г. на базу) (11277).</w:t>
      </w:r>
    </w:p>
    <w:p w14:paraId="1C3FF4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B7A817" w14:textId="77777777" w:rsidR="00096E4B" w:rsidRPr="002F2FDF" w:rsidRDefault="00096E4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начале 1917 г. Поликарпов вместе с Сикорским участвовал и в летных испытаниях последних модификаций «Муромцев». Много лет спустя выдающийся советский авиаконструктор тепло вспоминал своего учителя и наставника (19963).</w:t>
      </w:r>
    </w:p>
    <w:p w14:paraId="50B85E62" w14:textId="77777777" w:rsidR="00096E4B" w:rsidRPr="002F2FDF" w:rsidRDefault="00096E4B" w:rsidP="0083075A">
      <w:pPr>
        <w:spacing w:after="0" w:line="240" w:lineRule="auto"/>
        <w:jc w:val="both"/>
        <w:rPr>
          <w:rFonts w:ascii="Times New Roman" w:hAnsi="Times New Roman" w:cs="Times New Roman"/>
          <w:color w:val="000000" w:themeColor="text1"/>
          <w:sz w:val="16"/>
          <w:szCs w:val="16"/>
        </w:rPr>
      </w:pPr>
    </w:p>
    <w:p w14:paraId="4C09C252" w14:textId="77777777" w:rsidR="00096E4B" w:rsidRPr="002F2FDF" w:rsidRDefault="00096E4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lang w:eastAsia="ru-RU" w:bidi="ru-RU"/>
        </w:rPr>
        <w:t>В начале 1917 г. на Таганрогский завод Лебедева стали заво</w:t>
      </w:r>
      <w:r w:rsidRPr="002F2FDF">
        <w:rPr>
          <w:rFonts w:ascii="Times New Roman" w:hAnsi="Times New Roman" w:cs="Times New Roman"/>
          <w:color w:val="000000" w:themeColor="text1"/>
          <w:sz w:val="16"/>
          <w:szCs w:val="16"/>
          <w:lang w:eastAsia="ru-RU" w:bidi="ru-RU"/>
        </w:rPr>
        <w:softHyphen/>
        <w:t>зить закупленные в разных местах, в том числе и за границей, современное оборудование, станки, механизмы, а также различные приборы, агрегаты и материалы для развертывания серийного строительства аэропланов.</w:t>
      </w:r>
    </w:p>
    <w:p w14:paraId="2D70B322" w14:textId="77777777" w:rsidR="00096E4B" w:rsidRPr="002F2FDF" w:rsidRDefault="00096E4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lang w:eastAsia="ru-RU" w:bidi="ru-RU"/>
        </w:rPr>
        <w:t>В первую очередь были сооружены главный корпус и по</w:t>
      </w:r>
      <w:r w:rsidRPr="002F2FDF">
        <w:rPr>
          <w:rFonts w:ascii="Times New Roman" w:hAnsi="Times New Roman" w:cs="Times New Roman"/>
          <w:color w:val="000000" w:themeColor="text1"/>
          <w:sz w:val="16"/>
          <w:szCs w:val="16"/>
          <w:lang w:eastAsia="ru-RU" w:bidi="ru-RU"/>
        </w:rPr>
        <w:softHyphen/>
        <w:t>мещение для малярных работ. Главный корпус состоял из восьми отдельных мастерских, расположенных под од</w:t>
      </w:r>
      <w:r w:rsidRPr="002F2FDF">
        <w:rPr>
          <w:rFonts w:ascii="Times New Roman" w:hAnsi="Times New Roman" w:cs="Times New Roman"/>
          <w:color w:val="000000" w:themeColor="text1"/>
          <w:sz w:val="16"/>
          <w:szCs w:val="16"/>
          <w:lang w:eastAsia="ru-RU" w:bidi="ru-RU"/>
        </w:rPr>
        <w:softHyphen/>
        <w:t>ной крышей, где потом шла сборка самолетов, установка на них моторов, приборов, механизмов.</w:t>
      </w:r>
    </w:p>
    <w:p w14:paraId="5794F60B" w14:textId="77777777" w:rsidR="00096E4B" w:rsidRPr="002F2FDF" w:rsidRDefault="00096E4B" w:rsidP="0083075A">
      <w:pPr>
        <w:spacing w:after="0" w:line="240" w:lineRule="auto"/>
        <w:jc w:val="both"/>
        <w:rPr>
          <w:rFonts w:ascii="Times New Roman" w:hAnsi="Times New Roman" w:cs="Times New Roman"/>
          <w:color w:val="000000" w:themeColor="text1"/>
          <w:sz w:val="16"/>
          <w:szCs w:val="16"/>
          <w:lang w:eastAsia="ru-RU" w:bidi="ru-RU"/>
        </w:rPr>
      </w:pPr>
      <w:r w:rsidRPr="002F2FDF">
        <w:rPr>
          <w:rFonts w:ascii="Times New Roman" w:hAnsi="Times New Roman" w:cs="Times New Roman"/>
          <w:color w:val="000000" w:themeColor="text1"/>
          <w:sz w:val="16"/>
          <w:szCs w:val="16"/>
          <w:lang w:eastAsia="ru-RU" w:bidi="ru-RU"/>
        </w:rPr>
        <w:t>Были заключены крупные контракты с Главным управлени</w:t>
      </w:r>
      <w:r w:rsidRPr="002F2FDF">
        <w:rPr>
          <w:rFonts w:ascii="Times New Roman" w:hAnsi="Times New Roman" w:cs="Times New Roman"/>
          <w:color w:val="000000" w:themeColor="text1"/>
          <w:sz w:val="16"/>
          <w:szCs w:val="16"/>
          <w:lang w:eastAsia="ru-RU" w:bidi="ru-RU"/>
        </w:rPr>
        <w:softHyphen/>
        <w:t>ем кораблестроения на постройку самолетов «Лебедь»-Х11 и копированию трофейных немецких аппаратов «Фридрих</w:t>
      </w:r>
      <w:r w:rsidRPr="002F2FDF">
        <w:rPr>
          <w:rFonts w:ascii="Times New Roman" w:hAnsi="Times New Roman" w:cs="Times New Roman"/>
          <w:color w:val="000000" w:themeColor="text1"/>
          <w:sz w:val="16"/>
          <w:szCs w:val="16"/>
          <w:lang w:eastAsia="ru-RU" w:bidi="ru-RU"/>
        </w:rPr>
        <w:softHyphen/>
        <w:t xml:space="preserve">схафен» </w:t>
      </w:r>
      <w:r w:rsidRPr="002F2FDF">
        <w:rPr>
          <w:rFonts w:ascii="Times New Roman" w:hAnsi="Times New Roman" w:cs="Times New Roman"/>
          <w:color w:val="000000" w:themeColor="text1"/>
          <w:sz w:val="16"/>
          <w:szCs w:val="16"/>
          <w:lang w:val="en-US" w:bidi="en-US"/>
        </w:rPr>
        <w:t>FF</w:t>
      </w:r>
      <w:r w:rsidRPr="002F2FDF">
        <w:rPr>
          <w:rFonts w:ascii="Times New Roman" w:hAnsi="Times New Roman" w:cs="Times New Roman"/>
          <w:color w:val="000000" w:themeColor="text1"/>
          <w:sz w:val="16"/>
          <w:szCs w:val="16"/>
          <w:lang w:bidi="en-US"/>
        </w:rPr>
        <w:t>.33</w:t>
      </w:r>
      <w:r w:rsidRPr="002F2FDF">
        <w:rPr>
          <w:rFonts w:ascii="Times New Roman" w:hAnsi="Times New Roman" w:cs="Times New Roman"/>
          <w:color w:val="000000" w:themeColor="text1"/>
          <w:sz w:val="16"/>
          <w:szCs w:val="16"/>
          <w:lang w:val="en-US" w:bidi="en-US"/>
        </w:rPr>
        <w:t>h</w:t>
      </w:r>
      <w:r w:rsidRPr="002F2FDF">
        <w:rPr>
          <w:rFonts w:ascii="Times New Roman" w:hAnsi="Times New Roman" w:cs="Times New Roman"/>
          <w:color w:val="000000" w:themeColor="text1"/>
          <w:sz w:val="16"/>
          <w:szCs w:val="16"/>
          <w:lang w:bidi="en-US"/>
        </w:rPr>
        <w:t xml:space="preserve">. </w:t>
      </w:r>
      <w:r w:rsidRPr="002F2FDF">
        <w:rPr>
          <w:rFonts w:ascii="Times New Roman" w:hAnsi="Times New Roman" w:cs="Times New Roman"/>
          <w:color w:val="000000" w:themeColor="text1"/>
          <w:sz w:val="16"/>
          <w:szCs w:val="16"/>
          <w:lang w:eastAsia="ru-RU" w:bidi="ru-RU"/>
        </w:rPr>
        <w:t>Пока же во вновь возведенных и еще не полностью оснащенных заводских корпусах шла сборка французских самолетов «Вуазен»-Ь и английских «сопвичей». Самолеты собирались из уже готовых частей, узлов и агрегатов, покупаемых за границей или доставлявших</w:t>
      </w:r>
      <w:r w:rsidRPr="002F2FDF">
        <w:rPr>
          <w:rFonts w:ascii="Times New Roman" w:hAnsi="Times New Roman" w:cs="Times New Roman"/>
          <w:color w:val="000000" w:themeColor="text1"/>
          <w:sz w:val="16"/>
          <w:szCs w:val="16"/>
          <w:lang w:eastAsia="ru-RU" w:bidi="ru-RU"/>
        </w:rPr>
        <w:softHyphen/>
        <w:t>ся сюда с других заводов (20273).</w:t>
      </w:r>
    </w:p>
    <w:p w14:paraId="08AFE3E8" w14:textId="77777777" w:rsidR="00096E4B" w:rsidRPr="002F2FDF" w:rsidRDefault="00096E4B" w:rsidP="0083075A">
      <w:pPr>
        <w:spacing w:after="0" w:line="240" w:lineRule="auto"/>
        <w:jc w:val="both"/>
        <w:rPr>
          <w:rFonts w:ascii="Times New Roman" w:hAnsi="Times New Roman" w:cs="Times New Roman"/>
          <w:color w:val="000000" w:themeColor="text1"/>
          <w:sz w:val="16"/>
          <w:szCs w:val="16"/>
          <w:lang w:eastAsia="ru-RU" w:bidi="ru-RU"/>
        </w:rPr>
      </w:pPr>
    </w:p>
    <w:p w14:paraId="5EC701F0" w14:textId="77777777" w:rsidR="00096E4B" w:rsidRPr="002F2FDF" w:rsidRDefault="00096E4B" w:rsidP="0083075A">
      <w:pPr>
        <w:spacing w:after="0" w:line="240" w:lineRule="auto"/>
        <w:jc w:val="both"/>
        <w:rPr>
          <w:rFonts w:ascii="Times New Roman" w:hAnsi="Times New Roman" w:cs="Times New Roman"/>
          <w:color w:val="000000" w:themeColor="text1"/>
          <w:sz w:val="16"/>
          <w:szCs w:val="16"/>
          <w:lang w:eastAsia="ru-RU" w:bidi="ru-RU"/>
        </w:rPr>
      </w:pPr>
      <w:r w:rsidRPr="002F2FDF">
        <w:rPr>
          <w:rFonts w:ascii="Times New Roman" w:hAnsi="Times New Roman" w:cs="Times New Roman"/>
          <w:color w:val="000000" w:themeColor="text1"/>
          <w:sz w:val="16"/>
          <w:szCs w:val="16"/>
        </w:rPr>
        <w:t>В начале 1917 г. в авиационном отделении петроградского РБВЗ работало около двух тысяч рабочих и служащих. Мощности этого предприятия свободно позволяли ежемесячно выпускать шесть многомоторных и 30-40 одномоторных самолетов. Однако и к этому периоду с момента начала войны производство «Муромцев» продолжало тормозиться отсутствием достаточного количества двигателей, небьющихся стекол, специальных сортов стали, цветмета и пр. Попытка администрации завода приобрести в США необходимые станки для обработки деталей авиадвигателей окончилась неудачей — правительство не согласилось предоставить валюту для оплаты заказа (23010).</w:t>
      </w:r>
    </w:p>
    <w:p w14:paraId="13A2390B" w14:textId="77777777" w:rsidR="00096E4B" w:rsidRPr="002F2FDF" w:rsidRDefault="00096E4B" w:rsidP="0083075A">
      <w:pPr>
        <w:spacing w:after="0" w:line="240" w:lineRule="auto"/>
        <w:jc w:val="both"/>
        <w:rPr>
          <w:rFonts w:ascii="Times New Roman" w:hAnsi="Times New Roman" w:cs="Times New Roman"/>
          <w:color w:val="000000" w:themeColor="text1"/>
          <w:sz w:val="16"/>
          <w:szCs w:val="16"/>
          <w:lang w:eastAsia="ru-RU" w:bidi="ru-RU"/>
        </w:rPr>
      </w:pPr>
    </w:p>
    <w:p w14:paraId="51732134" w14:textId="77777777" w:rsidR="00096E4B" w:rsidRPr="002F2FDF" w:rsidRDefault="00096E4B" w:rsidP="0083075A">
      <w:pPr>
        <w:shd w:val="clear" w:color="auto" w:fill="FFFFFF"/>
        <w:spacing w:after="0" w:line="240" w:lineRule="auto"/>
        <w:jc w:val="both"/>
        <w:textAlignment w:val="baseline"/>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начале 1917 Правлением рассматривалась также возможность возведения на Волге и нового авиационного завода (19993).</w:t>
      </w:r>
    </w:p>
    <w:p w14:paraId="48CDA94C" w14:textId="77777777" w:rsidR="00096E4B" w:rsidRPr="002F2FDF" w:rsidRDefault="00096E4B" w:rsidP="0083075A">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p>
    <w:p w14:paraId="5C9671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опытный экземпляр С-20 отправили в эскадру без двигателя, но с двумя парами крыльев разного размера для выбора в ходе испытаний наиболее оптимальных из них. Шидловский запросил из ГВТУ ротативные двигатели “Рон” в 110 л. с. и “Клерже” в 130 л. с. Предусматривалась возможность переделки истребителя и под рядный двигатель водяного охлаждения “Испано-Сюиза” в 150 л. с. Достать удалось только “Рон” в 120 л. с. Испытания выявили прекрасные качества истребителя, находившегося по своим данным на уровне самой передовой техники 1916–1917 гг. По скорости, например, он превосходил все “Ньюпоры”, немного уступая лишь “Виккерсу”. “Авиа-Балт” выступил с предложением о постройке крупной серии — не менее 50 машин, но уже шел 1917-й год. По свидетельству В. Б. Шаврова, построить удалось только пять С-20, причем один из них — в поплавковом варианте. Революционные события 1917 г. нарушили планомерный ход развития российской промышленности, да и не только ее. Рвались связи, нарушались условия поставок, аннулировались заказы. В этих условиях Сикорскому и его помощникам не удалось выполнить всего, что было задумано. Не удалось завершить производство всех заказанных воздушных кораблей типа “Г”, довести до работоспособного состояния тип “Д”, начать массовый выпуск бомбардировщиков типа “Е”. Остался на бумаге и проект дальнейшего развития “Муромца” — нового тяжелого самолета. С легкими машинами было то же самое. Не закончена серия самолетов С-16, уникальный штурмовик С-19 и великолепный истребитель С-20 так и остались в опытных образцах, не осуществлен проект нового истребителя. В 1917 г. не создано ни одной новой машины. Пульс большого организма — созидательного коллектива — затухал. Тем не менее, несмотря на все трудности военного времени, и особенно 1917 г., под руководством И. И. Сикорского на РБВЗ была создана целая гамма боевых самолетов, которые представляли собой все основные для того времени и ближайшего будущего типы. Конструкторское бюро шло в ногу со временем, во многих случаях даже опережая его (11196).</w:t>
      </w:r>
    </w:p>
    <w:p w14:paraId="129FAE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F3A2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Только в начале 1917 г. РБВЗ удалось организовать нечто похожее на серийное производство. За период войны петроградское отделение РВБЗ построило около 80 "Муромцев". Это число могло бы быть удвоено при должном содействии военного ведомства, которое могло бы привлечь к постройке самолетов заводы-смежники, способные изготовлять отдельные детали и необходимые полуфабрикаты. Военное же ведомство сначала вообще устранилось от участия в постройке тяжелых кораблей. Трудно найти более яркий пример неразберихи, бюрократизма, равнодушия, а может быть, и злого умысла. Руководители военного ведомства признавали, что в деле улучшения конструкции "Муромцев" РБВЗ добился положительных результатов. Процесс их технического совершенствования был связан, прежде всего, с повышением грузоподъемности и обеспечением большего радиуса полета. Наряду с улучшением аэродинамики самолета на отдельных машинах серии Е была увеличена суммарная мощность силовых установок до 900 л.с. "Муромец" этой серии с полезной нагрузкой в 2500 кг свободно поднимался до высоты в 4000 м. Его вооружение состояло из семи пулеметов, бомбовая нагрузка превышала 900 кг. Команда состояла из семи человек, в том числе четырех офицеров. Горизонтальная скорость полета достигла 135 км/ч, скороподъемность на высоту 1000 м - 7 мин, на высоту 3000 м - 43 мин. Авиационная комиссия Особого совещания по обороне государства полагала, что "Илья Муромец" серии Е с четырьмя двигателями "Рено" может быть признан очень хорошим" (11276).</w:t>
      </w:r>
    </w:p>
    <w:p w14:paraId="27B3C1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1AD27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УВВФ поставило вопрос о проверке прочности “Муромцев” и оценке их реальных аэродина</w:t>
      </w:r>
      <w:r w:rsidRPr="002F2FDF">
        <w:rPr>
          <w:rFonts w:ascii="Times New Roman" w:hAnsi="Times New Roman" w:cs="Times New Roman"/>
          <w:color w:val="000000" w:themeColor="text1"/>
          <w:kern w:val="2"/>
          <w:sz w:val="16"/>
          <w:szCs w:val="16"/>
        </w:rPr>
        <w:softHyphen/>
        <w:t>мических характеристик. Толчком к этому послужила авария “Муромца”, произошедшая 28 апреля 1917 г. При Техническом комитете УВВФ была создана специальная комиссия. В нее вошли лучшие научные силы Петрогра</w:t>
      </w:r>
      <w:r w:rsidRPr="002F2FDF">
        <w:rPr>
          <w:rFonts w:ascii="Times New Roman" w:hAnsi="Times New Roman" w:cs="Times New Roman"/>
          <w:color w:val="000000" w:themeColor="text1"/>
          <w:kern w:val="2"/>
          <w:sz w:val="16"/>
          <w:szCs w:val="16"/>
        </w:rPr>
        <w:softHyphen/>
        <w:t>да - профессора Политехнического института А.П.Фан-дер-Флит (председатель), Г.А.Ботезат, С.П.Тимошенко. Комиссия начала свою деятельность с изучения черте</w:t>
      </w:r>
      <w:r w:rsidRPr="002F2FDF">
        <w:rPr>
          <w:rFonts w:ascii="Times New Roman" w:hAnsi="Times New Roman" w:cs="Times New Roman"/>
          <w:color w:val="000000" w:themeColor="text1"/>
          <w:kern w:val="2"/>
          <w:sz w:val="16"/>
          <w:szCs w:val="16"/>
        </w:rPr>
        <w:softHyphen/>
        <w:t>жей и расчетов. Выяснилось, что полного аэродинамиче</w:t>
      </w:r>
      <w:r w:rsidRPr="002F2FDF">
        <w:rPr>
          <w:rFonts w:ascii="Times New Roman" w:hAnsi="Times New Roman" w:cs="Times New Roman"/>
          <w:color w:val="000000" w:themeColor="text1"/>
          <w:kern w:val="2"/>
          <w:sz w:val="16"/>
          <w:szCs w:val="16"/>
        </w:rPr>
        <w:softHyphen/>
        <w:t>ского расчета и полного прочностного расчета самолета завод вообще не делал, многие элементы конструкции производились с учетом опыта постройки предыдущих самолетов. Комиссия сделала вывод о том, что “запас прочности “Муромцев” в два раза меньше, чем у самых слабых малых аппаратов”. Были даны рекомендации по усилению стоек и растяжек коробок крыльев. Однако не все в выводах комиссии было бесспорным (10667).</w:t>
      </w:r>
    </w:p>
    <w:p w14:paraId="3E09AC7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29839C" w14:textId="77777777" w:rsidR="00FF1A24" w:rsidRPr="002F2FDF" w:rsidRDefault="00FF1A24" w:rsidP="0083075A">
      <w:pPr>
        <w:spacing w:after="0" w:line="240" w:lineRule="auto"/>
        <w:jc w:val="both"/>
        <w:rPr>
          <w:rFonts w:ascii="Times New Roman" w:hAnsi="Times New Roman" w:cs="Times New Roman"/>
          <w:bCs/>
          <w:color w:val="000000" w:themeColor="text1"/>
          <w:kern w:val="2"/>
          <w:sz w:val="16"/>
          <w:szCs w:val="16"/>
        </w:rPr>
      </w:pPr>
      <w:r w:rsidRPr="002F2FDF">
        <w:rPr>
          <w:rFonts w:ascii="Times New Roman" w:hAnsi="Times New Roman" w:cs="Times New Roman"/>
          <w:bCs/>
          <w:color w:val="000000" w:themeColor="text1"/>
          <w:kern w:val="2"/>
          <w:sz w:val="16"/>
          <w:szCs w:val="16"/>
        </w:rPr>
        <w:lastRenderedPageBreak/>
        <w:t>В начале 1917 г. опытный экземпляр С-20 отправили в эскадру без двигателя, но с двумя парами крыльев разного размера для выбора в ходе испытаний наиболее оптимальных из них. Шидловский запросил из ГВТУ ротативные двигатели «Рон» в 120 л. с. и «Клерже» в 130 л. с. Предусматривалась возможность переделки истребителя и под рядный двигатель водяного охлаждения «Испано-Сюиза» в 150 л. с. Достать удалось только «Рон» в 120 л. с. Испытания выявили прекрасные качества истребителя, находившегося по своим данным на уровне самой передовой техники 1916 - 1917 гг. По скорости, например, он превосходил все «Ньюпоры», немного уступая лишь «Виккерсу». «Авиа-Балт» выступил с предложением о постройке крупной серии - не менее 50 машин, но уже шел 1917-й год. По свидетельству В.Б. Шаврова, построить удалось только пять С-20, причем один из них - в поплавковом варианте.</w:t>
      </w:r>
    </w:p>
    <w:p w14:paraId="17AAA442" w14:textId="77777777" w:rsidR="00FF1A24" w:rsidRPr="002F2FDF" w:rsidRDefault="00FF1A24" w:rsidP="0083075A">
      <w:pPr>
        <w:spacing w:after="0" w:line="240" w:lineRule="auto"/>
        <w:jc w:val="both"/>
        <w:rPr>
          <w:rFonts w:ascii="Times New Roman" w:hAnsi="Times New Roman" w:cs="Times New Roman"/>
          <w:bCs/>
          <w:color w:val="000000" w:themeColor="text1"/>
          <w:kern w:val="2"/>
          <w:sz w:val="16"/>
          <w:szCs w:val="16"/>
        </w:rPr>
      </w:pPr>
    </w:p>
    <w:p w14:paraId="086C2E61" w14:textId="77777777" w:rsidR="00FF1A24" w:rsidRPr="002F2FDF" w:rsidRDefault="00FF1A2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в рамках проведения общей технической политики, УВВФ поставило вопрос о проверке прочности «Муромцев» и оценке их реальных аэродинамических характеристик. Толчком к этому послужила авария «Муромца», произошедшая 28 апреля 1917 г. При Техническом комитете УВВФ была создана специальная комиссия. В нее вошли лучшие научные силы Петрограда — профессора Политехнического института АЛ. Фан-дер-Флит (председатель), Г. А. Ботезат, СЛ. Тимошенко. Комиссия начала свою деятельность с изучения чертежей и расчетов. Выяснилось, что полного аэродинамического расчета и полного прочностного расчета самолета завод вообще не делал. Многие элементы конструкции производились с учетом опыта постройки предыдущих самолетов. Комиссия сделала вывод о том, что «запас прочности «Муромцев» в два раза меньше, чем у самых слабых малых аппаратов». Были даны рекомендации по усилению стоек и растяжек коробок крыльев. Однако не все в выводах комиссии было бесспорным. Сикорский организовал работы по выполнению этих рекомендаций. Многое легло на плечи Н. Н. Поликарпова. Он должен был проанализировать все материалы комиссии. Николай Николаевич собрал и изучил имеющиеся теоретические материалы по предварительной затяжке расчалок бипланной коробки. Он организовал испытания стоек крыла на продольный изгиб в лаборатории Петроградского политехнического института (их провел 15 июля 1917 г. инженер Петковский). Николай Николаевич выполнял проверочные расчеты «Муромца» на прочность. При этом он руководствовался запиской И. И. Сикорского о расчетах прочности самолета. За сравнительно короткое время был проделан большой объем работы. Ее результаты показали, что многие части самолета удовлетворяют необходимым запасом прочности (15125).</w:t>
      </w:r>
    </w:p>
    <w:p w14:paraId="393BEDC5" w14:textId="77777777" w:rsidR="00FF1A24" w:rsidRPr="002F2FDF" w:rsidRDefault="00FF1A24" w:rsidP="0083075A">
      <w:pPr>
        <w:spacing w:after="0" w:line="240" w:lineRule="auto"/>
        <w:jc w:val="both"/>
        <w:rPr>
          <w:rFonts w:ascii="Times New Roman" w:hAnsi="Times New Roman" w:cs="Times New Roman"/>
          <w:color w:val="000000" w:themeColor="text1"/>
          <w:kern w:val="2"/>
          <w:sz w:val="16"/>
          <w:szCs w:val="16"/>
        </w:rPr>
      </w:pPr>
    </w:p>
    <w:p w14:paraId="4B1D70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ТК Увофлота была назначена комиссия для проверки прочности и аэродинамической оценки Муромцев серии Г. Привлекли С.П.Тимошенко, А.П.Фан-дер-Флит (председатель) и Г.А.Ботезат (92,206).</w:t>
      </w:r>
    </w:p>
    <w:p w14:paraId="4378EC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2043CC" w14:textId="77777777" w:rsidR="00FF1A24" w:rsidRPr="002F2FDF" w:rsidRDefault="00FF1A24" w:rsidP="0083075A">
      <w:pPr>
        <w:spacing w:after="0" w:line="240" w:lineRule="auto"/>
        <w:jc w:val="both"/>
        <w:rPr>
          <w:rFonts w:ascii="Times New Roman" w:hAnsi="Times New Roman" w:cs="Times New Roman"/>
          <w:bCs/>
          <w:color w:val="000000" w:themeColor="text1"/>
          <w:kern w:val="2"/>
          <w:sz w:val="16"/>
          <w:szCs w:val="16"/>
        </w:rPr>
      </w:pPr>
      <w:r w:rsidRPr="002F2FDF">
        <w:rPr>
          <w:rFonts w:ascii="Times New Roman" w:hAnsi="Times New Roman" w:cs="Times New Roman"/>
          <w:bCs/>
          <w:color w:val="000000" w:themeColor="text1"/>
          <w:kern w:val="2"/>
          <w:sz w:val="16"/>
          <w:szCs w:val="16"/>
        </w:rPr>
        <w:t>В начале 1917 г. на ИМ модификации Г-2, носившим по преемственности название «Киевский», на который установили 4 (из 6 имеющихся рядных шестицилиндровых двигателя «Бердмор-Даймлер» в 160 л.с., под управлением командира корабля И. С. Башко была достигнута высота 5200 м при общей нагрузке 1340 кг. В отчете отмечалось, что высота 5200 м не является пределом для «Муромца», а подъем был прекращен из-за кислородного голодания экипажа. Скорость этой машины достигала 137 км/ч, полная нагрузка - 1900 кг (15127).</w:t>
      </w:r>
    </w:p>
    <w:p w14:paraId="1DD590C0" w14:textId="77777777" w:rsidR="00FF1A24" w:rsidRPr="002F2FDF" w:rsidRDefault="00FF1A24" w:rsidP="0083075A">
      <w:pPr>
        <w:spacing w:after="0" w:line="240" w:lineRule="auto"/>
        <w:jc w:val="both"/>
        <w:rPr>
          <w:rFonts w:ascii="Times New Roman" w:hAnsi="Times New Roman" w:cs="Times New Roman"/>
          <w:bCs/>
          <w:color w:val="000000" w:themeColor="text1"/>
          <w:kern w:val="2"/>
          <w:sz w:val="16"/>
          <w:szCs w:val="16"/>
        </w:rPr>
      </w:pPr>
    </w:p>
    <w:p w14:paraId="251ECC99" w14:textId="3B25CF3E" w:rsidR="00FF1A24" w:rsidRPr="002F2FDF" w:rsidRDefault="00FF1A24" w:rsidP="0083075A">
      <w:pPr>
        <w:spacing w:after="0" w:line="240" w:lineRule="auto"/>
        <w:jc w:val="both"/>
        <w:rPr>
          <w:rFonts w:ascii="Times New Roman" w:hAnsi="Times New Roman" w:cs="Times New Roman"/>
          <w:bCs/>
          <w:color w:val="000000" w:themeColor="text1"/>
          <w:kern w:val="2"/>
          <w:sz w:val="16"/>
          <w:szCs w:val="16"/>
        </w:rPr>
      </w:pPr>
      <w:r w:rsidRPr="002F2FDF">
        <w:rPr>
          <w:rFonts w:ascii="Times New Roman" w:hAnsi="Times New Roman" w:cs="Times New Roman"/>
          <w:bCs/>
          <w:color w:val="000000" w:themeColor="text1"/>
          <w:kern w:val="2"/>
          <w:sz w:val="16"/>
          <w:szCs w:val="16"/>
        </w:rPr>
        <w:t xml:space="preserve">В начале 1917 г. общая потребность эскадры оценивалась в 80 истребителей, 52 тренировочных и 20 учебных самолетов. Все предполагалось строить на предприятиях </w:t>
      </w:r>
      <w:r w:rsidR="00E52569">
        <w:rPr>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РБВЗ</w:t>
      </w:r>
      <w:r w:rsidR="00E52569">
        <w:rPr>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 xml:space="preserve"> (15127).</w:t>
      </w:r>
    </w:p>
    <w:p w14:paraId="299BE1ED" w14:textId="77777777" w:rsidR="00FF1A24" w:rsidRPr="002F2FDF" w:rsidRDefault="00FF1A24" w:rsidP="0083075A">
      <w:pPr>
        <w:spacing w:after="0" w:line="240" w:lineRule="auto"/>
        <w:jc w:val="both"/>
        <w:rPr>
          <w:rFonts w:ascii="Times New Roman" w:hAnsi="Times New Roman" w:cs="Times New Roman"/>
          <w:bCs/>
          <w:color w:val="000000" w:themeColor="text1"/>
          <w:kern w:val="2"/>
          <w:sz w:val="16"/>
          <w:szCs w:val="16"/>
        </w:rPr>
      </w:pPr>
    </w:p>
    <w:p w14:paraId="5C36FA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И.С.Башко на ИМ серии Г2 Корабль Киевский-3 с нагрузкой в 1340 кг достиг высоты 5200 м (92,202).</w:t>
      </w:r>
    </w:p>
    <w:p w14:paraId="443492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F2C8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года "Илья Муромец" серии Г-2 (1916 г.) достиг высоты 5200 м и скорости 137 км/ч при общей нагрузке 1340 кг. Подъем прекратился из-за кислородного голодания экипажа (3861).</w:t>
      </w:r>
    </w:p>
    <w:p w14:paraId="10089A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1B95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когда к производству были приняты “Муромцы” серий Г и Е и на эти заказы распространены общие порядки “приемки предметов военного снаряжения”, заводу удалось организовать нечто похожее на серийное производство. За время войны Петроградское отделение завода построило около 80 “Муромцев”. Это число могло бы быть удвоено при должном содействии военного ведомства в привлечении к постройке самолетов заводов-смежников, способных изготовлять отдельные детали и необходимые полуфабрикаты. Военное же ведомство сначала вообще устранилось от участия в постройке тяжелых кораблей, а потом только ставило палки в колеса. Трудно найти более яркий пример неразберихи, бюрократизма, равнодушия, а может, и злого умысла. Тем большей заслугой коллектива завода является постройка этих замечательных самолетов (9705).</w:t>
      </w:r>
    </w:p>
    <w:p w14:paraId="7E50FA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AEA6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РБВЗ удалось организовать нечто похожее на серийное производство. За период войны петроградское отделение РВБЗ построило около 80 "Муромцев". Это число могло бы быть удвоено при должном содействии военного ведомства, которое могло бы привлечь к постройке самолетов заводы-смежники, способные изготовлять отдельные детали и необходимые полуфабрикаты (11029).</w:t>
      </w:r>
    </w:p>
    <w:p w14:paraId="5E41F7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BC86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на одном из “Муромцев” для повышения поперечной устойчивости между стойками крыла установили щитки из фанеры, которые по идее должны были устранить скольжение самолета при небольшом крене. Однако при резком маневре щитки были сорваны воздушным потоком, а стойки вывернуты в узлах. Самолет развалился в воздухе, экипаж погиб. Пустотелые элементы конструкции крыльев, как и крылья в целом, не имели дренажа в виде небольших отверстий или “шпигатов”. Одной из причин катастрофы могли быть и паразитические потоки, распространявшиеся по крыльям, в то время еще неизвестные ученым и конструкторам (9705).</w:t>
      </w:r>
    </w:p>
    <w:p w14:paraId="129022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759B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на одном из "Муромцев" для повышения поперечной устойчивости между стойками крыла установили щитки из фанеры, которые по идее должны были устранить скольжение самолета при небольшом крене. Однако при резком маневре щитки были сорваны воздушным потоком, а стойки вывернуты в узлах. Самолет развалился в воздухе, экипаж погиб. Пустотелые элементы конструкции крыльев, как и крылья в целом, не имели дренажа и быстро поражались плесенью (11276).</w:t>
      </w:r>
    </w:p>
    <w:p w14:paraId="40DFBD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7BDE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w:t>
      </w:r>
      <w:r w:rsidRPr="002F2FDF">
        <w:rPr>
          <w:rFonts w:ascii="Times New Roman" w:hAnsi="Times New Roman" w:cs="Times New Roman"/>
          <w:bCs/>
          <w:color w:val="000000" w:themeColor="text1"/>
          <w:kern w:val="2"/>
          <w:sz w:val="16"/>
          <w:szCs w:val="16"/>
        </w:rPr>
        <w:t>.</w:t>
      </w:r>
      <w:r w:rsidRPr="002F2FDF">
        <w:rPr>
          <w:rFonts w:ascii="Times New Roman" w:hAnsi="Times New Roman" w:cs="Times New Roman"/>
          <w:color w:val="000000" w:themeColor="text1"/>
          <w:kern w:val="2"/>
          <w:sz w:val="16"/>
          <w:szCs w:val="16"/>
        </w:rPr>
        <w:t xml:space="preserve"> завод РБВЗ мог выпускать до 6 многомоторных и 30-40 легких самолетов в месяц, но на деле про</w:t>
      </w:r>
      <w:r w:rsidRPr="002F2FDF">
        <w:rPr>
          <w:rFonts w:ascii="Times New Roman" w:hAnsi="Times New Roman" w:cs="Times New Roman"/>
          <w:color w:val="000000" w:themeColor="text1"/>
          <w:kern w:val="2"/>
          <w:sz w:val="16"/>
          <w:szCs w:val="16"/>
        </w:rPr>
        <w:softHyphen/>
        <w:t>мышленные возможности предприятия использовались не более, чем на 40%. Причиной тому, в частности, были непрекращавшиеся в высших военных сферах дискуссии о роли и месте тяжелых разведчиков-бомбардировщиков, интриги в деловых кругах и общая нехватка нужных авиадвигателей. Для устранения последней предпринималась попытка наладить изготовление собственных моторов, но она принесла лишь ограниченные результаты. В таком состоянии ком</w:t>
      </w:r>
      <w:r w:rsidRPr="002F2FDF">
        <w:rPr>
          <w:rFonts w:ascii="Times New Roman" w:hAnsi="Times New Roman" w:cs="Times New Roman"/>
          <w:color w:val="000000" w:themeColor="text1"/>
          <w:kern w:val="2"/>
          <w:sz w:val="16"/>
          <w:szCs w:val="16"/>
        </w:rPr>
        <w:softHyphen/>
        <w:t>пания встретила большевистский переворот и национализацию; при советской власти завод слал базой для возрождения авиационного производства в Петрограде, а затем Ленинграде, в то время как предприятия Щетинина, Лебедева, Мсльцсра и Григоровича оказались разорены и частично или полностью уничтожены. Преемником Р-БВЗ и ПРТВ явился ГАЗ №3 "Красный летчик", переименованный потом в Завод №23. Его деятельность началась с возобновления строительства летающих лодок типов М-5 и М-9, за которыми последовали новые модели; и 1941 г. работа была прервана эвакуацией в Омск (2843).</w:t>
      </w:r>
    </w:p>
    <w:p w14:paraId="450A1FA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6C504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гг. аппарат С.10-4 (или С-4. С-10-4, СА-4) все еще числился в списках 3-й станции в Ревеле. Его спецификации, данные по архивным документам, заключают этот раздел (2843).</w:t>
      </w:r>
    </w:p>
    <w:p w14:paraId="4650D07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5A5E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года завод Анатры производил до 100 самолётов в месяц. 10 июня 1913 года мастерские А. А. Анатра получили первый заказ на пять самолетов «Фарман-IV», выполненный ими к ноябрю 1913 года. Этим было положено начало заводу. На протяжении 1913—1917 гг. значительную часть продукции завода составляли лицензионные самолеты «Фарман», «Ньюпор», «Вуазен» и «Моран-Сонье» по французским образцам. С 1915 года начали выходить собственные опытные самолеты завода «Анатра Анаде», «Анатра ВИ», «Анатра Д», «Анатра ДС» часть которых пошла в серию, «Анатра ДСС Анасаль» (1916 г.), и в 1917 г. они уже численно преобладали над иностранными. (12095).</w:t>
      </w:r>
    </w:p>
    <w:p w14:paraId="16DB51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D404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начала 1917 г. самолеты Ньюпор-11 Анатры начали поступать в действующую армию. Но сроки поставок не выдерживались. Выполнение заказа затянулось до конца 1917 г. Заводу пришлось производить уже не “Ньюпор-11”, а “Ньюпор-17”. Военное ведомство выдало ему официальное задание на 200 таких самолетов. Крупный заказ получило предприятие также и на летающие лодки. К октябрю 1917 г. завод выпускал ежемесячно 50 самолетов (9739).</w:t>
      </w:r>
    </w:p>
    <w:p w14:paraId="3EC28B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5F2C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начале 1917 г. Пороховщиков выпустил учебный самолет П-IV и в 1920 г. —его модификацию П-IV бис. В 1921—1923 гг. вышли еще три его модификации (11828). </w:t>
      </w:r>
    </w:p>
    <w:p w14:paraId="063EE6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25BAFF" w14:textId="77777777" w:rsidR="00FF1A24" w:rsidRPr="002F2FDF" w:rsidRDefault="00FF1A2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начале 1917 г. старший лейтенант Российского флота Иван Иванович Голенищев-Кутузов обратился к Сикорскому с предложением установить на самолете «Илья Муромец» съемный торпедный аппарат своей конструкции. Таким образом, самолет можно было использовать и в качестве бомбардировщика и дальнего разведчика, и в качестве торпедоносца. Сикорский собрал своих инженеров и предложил им рассмотреть предложение Голенищева-Кутузова. Расчеты показали, что оно вполне </w:t>
      </w:r>
      <w:r w:rsidRPr="002F2FDF">
        <w:rPr>
          <w:rFonts w:ascii="Times New Roman" w:hAnsi="Times New Roman" w:cs="Times New Roman"/>
          <w:color w:val="000000" w:themeColor="text1"/>
          <w:kern w:val="2"/>
          <w:sz w:val="16"/>
          <w:szCs w:val="16"/>
        </w:rPr>
        <w:lastRenderedPageBreak/>
        <w:t>реально. Эту идею поддержал Морской Генеральный штаб. Было принято решение переоборудовать несколько сухопутных «Муромцев» в торпедоносцы. В работах принимал участие и Н. Н. Поликарпов. На острове Эзель близ Аренсбурга для «Муромцев» спешно сооружался аэродром с удлиненной взлетно-посадочной полосой. Впоследствии он стал тем самым аэродромом, с которого летчики 1-го минно-торпедного полка авиации Балтийского флота осенью 1941 г. летали бомбить Берлин (15125).</w:t>
      </w:r>
    </w:p>
    <w:p w14:paraId="60838B2C" w14:textId="77777777" w:rsidR="00FF1A24" w:rsidRPr="002F2FDF" w:rsidRDefault="00FF1A24" w:rsidP="0083075A">
      <w:pPr>
        <w:spacing w:after="0" w:line="240" w:lineRule="auto"/>
        <w:jc w:val="both"/>
        <w:rPr>
          <w:rFonts w:ascii="Times New Roman" w:hAnsi="Times New Roman" w:cs="Times New Roman"/>
          <w:color w:val="000000" w:themeColor="text1"/>
          <w:kern w:val="2"/>
          <w:sz w:val="16"/>
          <w:szCs w:val="16"/>
        </w:rPr>
      </w:pPr>
    </w:p>
    <w:p w14:paraId="317EFC37" w14:textId="77777777" w:rsidR="00FF1A24" w:rsidRPr="002F2FDF" w:rsidRDefault="00FF1A24" w:rsidP="0083075A">
      <w:pPr>
        <w:pStyle w:val="2"/>
        <w:spacing w:before="0" w:beforeAutospacing="0" w:after="0" w:afterAutospacing="0"/>
        <w:jc w:val="both"/>
        <w:rPr>
          <w:b w:val="0"/>
          <w:iCs/>
          <w:color w:val="000000" w:themeColor="text1"/>
          <w:kern w:val="2"/>
          <w:sz w:val="16"/>
          <w:szCs w:val="16"/>
        </w:rPr>
      </w:pPr>
      <w:r w:rsidRPr="002F2FDF">
        <w:rPr>
          <w:b w:val="0"/>
          <w:iCs/>
          <w:color w:val="000000" w:themeColor="text1"/>
          <w:kern w:val="2"/>
          <w:sz w:val="16"/>
          <w:szCs w:val="16"/>
        </w:rPr>
        <w:t>В начале 1917 г. студент-технолог Томского имени Императора Николая II технологического института Михаил Попов строил в Ново-Николаевске самолет (15466).</w:t>
      </w:r>
    </w:p>
    <w:p w14:paraId="6F9E8CAA" w14:textId="77777777" w:rsidR="00FF1A24" w:rsidRPr="002F2FDF" w:rsidRDefault="00FF1A24" w:rsidP="0083075A">
      <w:pPr>
        <w:pStyle w:val="2"/>
        <w:spacing w:before="0" w:beforeAutospacing="0" w:after="0" w:afterAutospacing="0"/>
        <w:jc w:val="both"/>
        <w:rPr>
          <w:b w:val="0"/>
          <w:iCs/>
          <w:color w:val="000000" w:themeColor="text1"/>
          <w:kern w:val="2"/>
          <w:sz w:val="16"/>
          <w:szCs w:val="16"/>
        </w:rPr>
      </w:pPr>
    </w:p>
    <w:p w14:paraId="308748E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в связи с тем, что практика испытательных полетов на Главном аэродроме показала неудобство его географического положения из-за неблагоприятных по</w:t>
      </w:r>
      <w:r w:rsidRPr="002F2FDF">
        <w:rPr>
          <w:rFonts w:ascii="Times New Roman" w:hAnsi="Times New Roman" w:cs="Times New Roman"/>
          <w:color w:val="000000" w:themeColor="text1"/>
          <w:kern w:val="2"/>
          <w:sz w:val="16"/>
          <w:szCs w:val="16"/>
        </w:rPr>
        <w:softHyphen/>
        <w:t>годных условий, А.Н. Вегенер в рапорте Командованию официально поднял вопрос о создании новой испытательной базы около города Херсона [34]. При участии сотрудников Главного аэродрома с июля 1917 г. начались работы по созданию новой большой испытательной базы. Там планировалась постройка теплых ангаров, лабораторий и мастерс</w:t>
      </w:r>
      <w:r w:rsidRPr="002F2FDF">
        <w:rPr>
          <w:rFonts w:ascii="Times New Roman" w:hAnsi="Times New Roman" w:cs="Times New Roman"/>
          <w:color w:val="000000" w:themeColor="text1"/>
          <w:kern w:val="2"/>
          <w:sz w:val="16"/>
          <w:szCs w:val="16"/>
        </w:rPr>
        <w:softHyphen/>
        <w:t>ких, а также самолётостроительного завода с производительностью 200 самолётов в год, моторного завода с производительностью 200 моторов и авиационной школы летчиков [34]. Предполагалось, что такие учрежде</w:t>
      </w:r>
      <w:r w:rsidRPr="002F2FDF">
        <w:rPr>
          <w:rFonts w:ascii="Times New Roman" w:hAnsi="Times New Roman" w:cs="Times New Roman"/>
          <w:color w:val="000000" w:themeColor="text1"/>
          <w:kern w:val="2"/>
          <w:sz w:val="16"/>
          <w:szCs w:val="16"/>
        </w:rPr>
        <w:softHyphen/>
        <w:t>ния, имея общий аэродром, могли бы совместной работой эффективно способствовать развитию авиационного дела в России.</w:t>
      </w:r>
    </w:p>
    <w:p w14:paraId="5105669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Примечательно, что в одном из документов строившийся новый ис</w:t>
      </w:r>
      <w:r w:rsidRPr="002F2FDF">
        <w:rPr>
          <w:rFonts w:ascii="Times New Roman" w:hAnsi="Times New Roman" w:cs="Times New Roman"/>
          <w:color w:val="000000" w:themeColor="text1"/>
          <w:kern w:val="2"/>
          <w:sz w:val="16"/>
          <w:szCs w:val="16"/>
        </w:rPr>
        <w:softHyphen/>
        <w:t>пытательный центр назван, со взглядом на будущее - “авиационным го</w:t>
      </w:r>
      <w:r w:rsidRPr="002F2FDF">
        <w:rPr>
          <w:rFonts w:ascii="Times New Roman" w:hAnsi="Times New Roman" w:cs="Times New Roman"/>
          <w:color w:val="000000" w:themeColor="text1"/>
          <w:kern w:val="2"/>
          <w:sz w:val="16"/>
          <w:szCs w:val="16"/>
        </w:rPr>
        <w:softHyphen/>
        <w:t>родком технической души русской авиации”. Научным руководителем со</w:t>
      </w:r>
      <w:r w:rsidRPr="002F2FDF">
        <w:rPr>
          <w:rFonts w:ascii="Times New Roman" w:hAnsi="Times New Roman" w:cs="Times New Roman"/>
          <w:color w:val="000000" w:themeColor="text1"/>
          <w:kern w:val="2"/>
          <w:sz w:val="16"/>
          <w:szCs w:val="16"/>
        </w:rPr>
        <w:softHyphen/>
        <w:t>здаваемого испытательного центра был назначен Александр Петрович Фан-дер-Флит,</w:t>
      </w:r>
    </w:p>
    <w:p w14:paraId="573E8FE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августа 1917 г. ВрИО начальника Управления ВВФ полковник Уль-янин и его помощник по технической части полковник Гончаров подписа</w:t>
      </w:r>
      <w:r w:rsidRPr="002F2FDF">
        <w:rPr>
          <w:rFonts w:ascii="Times New Roman" w:hAnsi="Times New Roman" w:cs="Times New Roman"/>
          <w:color w:val="000000" w:themeColor="text1"/>
          <w:kern w:val="2"/>
          <w:sz w:val="16"/>
          <w:szCs w:val="16"/>
        </w:rPr>
        <w:softHyphen/>
        <w:t>ли приказ, разрешающий строительство Главного аэродрома на куплен</w:t>
      </w:r>
      <w:r w:rsidRPr="002F2FDF">
        <w:rPr>
          <w:rFonts w:ascii="Times New Roman" w:hAnsi="Times New Roman" w:cs="Times New Roman"/>
          <w:color w:val="000000" w:themeColor="text1"/>
          <w:kern w:val="2"/>
          <w:sz w:val="16"/>
          <w:szCs w:val="16"/>
        </w:rPr>
        <w:softHyphen/>
        <w:t>ных землях, и распоряжение о выделении на его строительство и на его оборудование смету в объеме 12650000 рублей. Ровно за месяц до Ок</w:t>
      </w:r>
      <w:r w:rsidRPr="002F2FDF">
        <w:rPr>
          <w:rFonts w:ascii="Times New Roman" w:hAnsi="Times New Roman" w:cs="Times New Roman"/>
          <w:color w:val="000000" w:themeColor="text1"/>
          <w:kern w:val="2"/>
          <w:sz w:val="16"/>
          <w:szCs w:val="16"/>
        </w:rPr>
        <w:softHyphen/>
        <w:t>тябрьской революции, 25 сентября, под Херсоном развернулись актив</w:t>
      </w:r>
      <w:r w:rsidRPr="002F2FDF">
        <w:rPr>
          <w:rFonts w:ascii="Times New Roman" w:hAnsi="Times New Roman" w:cs="Times New Roman"/>
          <w:color w:val="000000" w:themeColor="text1"/>
          <w:kern w:val="2"/>
          <w:sz w:val="16"/>
          <w:szCs w:val="16"/>
        </w:rPr>
        <w:softHyphen/>
        <w:t>ные строительные работы. Правда, смету вскоре же сократили. Но шла война, и потому из военного фонда добавили 2000000 рублей, а Управле</w:t>
      </w:r>
      <w:r w:rsidRPr="002F2FDF">
        <w:rPr>
          <w:rFonts w:ascii="Times New Roman" w:hAnsi="Times New Roman" w:cs="Times New Roman"/>
          <w:color w:val="000000" w:themeColor="text1"/>
          <w:kern w:val="2"/>
          <w:sz w:val="16"/>
          <w:szCs w:val="16"/>
        </w:rPr>
        <w:softHyphen/>
        <w:t>ние ВВФ 6 ноября 1917 г. выделило еще 5590000 рублей. Ведь испыта</w:t>
      </w:r>
      <w:r w:rsidRPr="002F2FDF">
        <w:rPr>
          <w:rFonts w:ascii="Times New Roman" w:hAnsi="Times New Roman" w:cs="Times New Roman"/>
          <w:color w:val="000000" w:themeColor="text1"/>
          <w:kern w:val="2"/>
          <w:sz w:val="16"/>
          <w:szCs w:val="16"/>
        </w:rPr>
        <w:softHyphen/>
        <w:t>тельный центр должен работать и на фронт.</w:t>
      </w:r>
    </w:p>
    <w:p w14:paraId="1624000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Строительные же работы в Херсоне некоторое время продолжались и после революции. Оттуда в адрес Увофлота, теперь уже советского, не</w:t>
      </w:r>
      <w:r w:rsidRPr="002F2FDF">
        <w:rPr>
          <w:rFonts w:ascii="Times New Roman" w:hAnsi="Times New Roman" w:cs="Times New Roman"/>
          <w:color w:val="000000" w:themeColor="text1"/>
          <w:kern w:val="2"/>
          <w:sz w:val="16"/>
          <w:szCs w:val="16"/>
        </w:rPr>
        <w:softHyphen/>
        <w:t>прерывно продолжали идти запросы на денежные ссуды. Обновленный состав Увофлота не упускал из своего поля зрения строящийся испытатель</w:t>
      </w:r>
      <w:r w:rsidRPr="002F2FDF">
        <w:rPr>
          <w:rFonts w:ascii="Times New Roman" w:hAnsi="Times New Roman" w:cs="Times New Roman"/>
          <w:color w:val="000000" w:themeColor="text1"/>
          <w:kern w:val="2"/>
          <w:sz w:val="16"/>
          <w:szCs w:val="16"/>
        </w:rPr>
        <w:softHyphen/>
        <w:t>ный центр, всячески намереваясь оказать ему помощь. Последний денеж</w:t>
      </w:r>
      <w:r w:rsidRPr="002F2FDF">
        <w:rPr>
          <w:rFonts w:ascii="Times New Roman" w:hAnsi="Times New Roman" w:cs="Times New Roman"/>
          <w:color w:val="000000" w:themeColor="text1"/>
          <w:kern w:val="2"/>
          <w:sz w:val="16"/>
          <w:szCs w:val="16"/>
        </w:rPr>
        <w:softHyphen/>
        <w:t>ный перевод от имени Увофлота был сделан 8 (21) декабря 1917 г., но... эти деньги до Херсона не дошли. Спустя 9 месяцев, 11 сентября 1918 г., в Уп</w:t>
      </w:r>
      <w:r w:rsidRPr="002F2FDF">
        <w:rPr>
          <w:rFonts w:ascii="Times New Roman" w:hAnsi="Times New Roman" w:cs="Times New Roman"/>
          <w:color w:val="000000" w:themeColor="text1"/>
          <w:kern w:val="2"/>
          <w:sz w:val="16"/>
          <w:szCs w:val="16"/>
        </w:rPr>
        <w:softHyphen/>
        <w:t>равление Воздухофлота пришла очередная телеграмма [39]: “Прошу пе</w:t>
      </w:r>
      <w:r w:rsidRPr="002F2FDF">
        <w:rPr>
          <w:rFonts w:ascii="Times New Roman" w:hAnsi="Times New Roman" w:cs="Times New Roman"/>
          <w:color w:val="000000" w:themeColor="text1"/>
          <w:kern w:val="2"/>
          <w:sz w:val="16"/>
          <w:szCs w:val="16"/>
        </w:rPr>
        <w:softHyphen/>
        <w:t>ревода денег в Херсон авиакомпании. Декабрьская ассигновка задержа</w:t>
      </w:r>
      <w:r w:rsidRPr="002F2FDF">
        <w:rPr>
          <w:rFonts w:ascii="Times New Roman" w:hAnsi="Times New Roman" w:cs="Times New Roman"/>
          <w:color w:val="000000" w:themeColor="text1"/>
          <w:kern w:val="2"/>
          <w:sz w:val="16"/>
          <w:szCs w:val="16"/>
        </w:rPr>
        <w:softHyphen/>
        <w:t>на войной с Украиной. Перевод повторите. Без денег пропадет часть ма</w:t>
      </w:r>
      <w:r w:rsidRPr="002F2FDF">
        <w:rPr>
          <w:rFonts w:ascii="Times New Roman" w:hAnsi="Times New Roman" w:cs="Times New Roman"/>
          <w:color w:val="000000" w:themeColor="text1"/>
          <w:kern w:val="2"/>
          <w:sz w:val="16"/>
          <w:szCs w:val="16"/>
        </w:rPr>
        <w:softHyphen/>
        <w:t>териалов. Тлг. № 327. Фан-дер-Флит”.</w:t>
      </w:r>
    </w:p>
    <w:p w14:paraId="7E21648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следующий день после подачи телеграммы №327 Фан-дер-Флит повторил запрос: “Петроград. Авиасовету. Прошу содействовать перево</w:t>
      </w:r>
      <w:r w:rsidRPr="002F2FDF">
        <w:rPr>
          <w:rFonts w:ascii="Times New Roman" w:hAnsi="Times New Roman" w:cs="Times New Roman"/>
          <w:color w:val="000000" w:themeColor="text1"/>
          <w:kern w:val="2"/>
          <w:sz w:val="16"/>
          <w:szCs w:val="16"/>
        </w:rPr>
        <w:softHyphen/>
        <w:t>ду Увофлотом отпущенного кредита авиационных заводов на сумму 3300000 руб. Деньги крайне нужны. Тлг. № 328. Фан-дер-Флит” [39].</w:t>
      </w:r>
    </w:p>
    <w:p w14:paraId="621A8F6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этом переписка оборвалась - к Херсону подступила война. Вре</w:t>
      </w:r>
      <w:r w:rsidRPr="002F2FDF">
        <w:rPr>
          <w:rFonts w:ascii="Times New Roman" w:hAnsi="Times New Roman" w:cs="Times New Roman"/>
          <w:color w:val="000000" w:themeColor="text1"/>
          <w:kern w:val="2"/>
          <w:sz w:val="16"/>
          <w:szCs w:val="16"/>
        </w:rPr>
        <w:softHyphen/>
        <w:t>менными хозяевами этих краев стали петлюровцы, австро-германские и турецкие интервенты, а позже и французские. Значительная часть специ</w:t>
      </w:r>
      <w:r w:rsidRPr="002F2FDF">
        <w:rPr>
          <w:rFonts w:ascii="Times New Roman" w:hAnsi="Times New Roman" w:cs="Times New Roman"/>
          <w:color w:val="000000" w:themeColor="text1"/>
          <w:kern w:val="2"/>
          <w:sz w:val="16"/>
          <w:szCs w:val="16"/>
        </w:rPr>
        <w:softHyphen/>
        <w:t>алистов Главного Авиационного центра осталась на юге и попала с вол</w:t>
      </w:r>
      <w:r w:rsidRPr="002F2FDF">
        <w:rPr>
          <w:rFonts w:ascii="Times New Roman" w:hAnsi="Times New Roman" w:cs="Times New Roman"/>
          <w:color w:val="000000" w:themeColor="text1"/>
          <w:kern w:val="2"/>
          <w:sz w:val="16"/>
          <w:szCs w:val="16"/>
        </w:rPr>
        <w:softHyphen/>
        <w:t>ной эмиграции в зарубежные страны. Последние самолёты из Херсона выводили летчики А.Е. Раевский и Н.А. Жемчужин.</w:t>
      </w:r>
    </w:p>
    <w:p w14:paraId="2FFBF56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Главного аэродрома А.Н. Вегенер 23 февраля 1918 г. всту</w:t>
      </w:r>
      <w:r w:rsidRPr="002F2FDF">
        <w:rPr>
          <w:rFonts w:ascii="Times New Roman" w:hAnsi="Times New Roman" w:cs="Times New Roman"/>
          <w:color w:val="000000" w:themeColor="text1"/>
          <w:kern w:val="2"/>
          <w:sz w:val="16"/>
          <w:szCs w:val="16"/>
        </w:rPr>
        <w:softHyphen/>
        <w:t>пил в Красную Армию и, начиная с 1918 г., добивался возобновления ра</w:t>
      </w:r>
      <w:r w:rsidRPr="002F2FDF">
        <w:rPr>
          <w:rFonts w:ascii="Times New Roman" w:hAnsi="Times New Roman" w:cs="Times New Roman"/>
          <w:color w:val="000000" w:themeColor="text1"/>
          <w:kern w:val="2"/>
          <w:sz w:val="16"/>
          <w:szCs w:val="16"/>
        </w:rPr>
        <w:softHyphen/>
        <w:t>боты Главного аэродрома. В 1918 году создается Совет Главного аэродро</w:t>
      </w:r>
      <w:r w:rsidRPr="002F2FDF">
        <w:rPr>
          <w:rFonts w:ascii="Times New Roman" w:hAnsi="Times New Roman" w:cs="Times New Roman"/>
          <w:color w:val="000000" w:themeColor="text1"/>
          <w:kern w:val="2"/>
          <w:sz w:val="16"/>
          <w:szCs w:val="16"/>
        </w:rPr>
        <w:softHyphen/>
        <w:t>ма, он назначается председателем Совета (11425).</w:t>
      </w:r>
    </w:p>
    <w:p w14:paraId="70013BF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674A2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после того, как практика первых испытательных полетов на Главном аэродроме по</w:t>
      </w:r>
      <w:r w:rsidRPr="002F2FDF">
        <w:rPr>
          <w:rFonts w:ascii="Times New Roman" w:hAnsi="Times New Roman" w:cs="Times New Roman"/>
          <w:color w:val="000000" w:themeColor="text1"/>
          <w:kern w:val="2"/>
          <w:sz w:val="16"/>
          <w:szCs w:val="16"/>
        </w:rPr>
        <w:softHyphen/>
        <w:t>казала неудобство географического положения этого аэродрома, связан</w:t>
      </w:r>
      <w:r w:rsidRPr="002F2FDF">
        <w:rPr>
          <w:rFonts w:ascii="Times New Roman" w:hAnsi="Times New Roman" w:cs="Times New Roman"/>
          <w:color w:val="000000" w:themeColor="text1"/>
          <w:kern w:val="2"/>
          <w:sz w:val="16"/>
          <w:szCs w:val="16"/>
        </w:rPr>
        <w:softHyphen/>
        <w:t>ное прежде всего с неблагоприятными погодными условиями, А.Н. Вегенер в рапорте Командованию обосновал необходимость перевода испытательного центра из Петрограда в другой район, с луч</w:t>
      </w:r>
      <w:r w:rsidRPr="002F2FDF">
        <w:rPr>
          <w:rFonts w:ascii="Times New Roman" w:hAnsi="Times New Roman" w:cs="Times New Roman"/>
          <w:color w:val="000000" w:themeColor="text1"/>
          <w:kern w:val="2"/>
          <w:sz w:val="16"/>
          <w:szCs w:val="16"/>
        </w:rPr>
        <w:softHyphen/>
        <w:t>шей погодой. Таким местом он определил г. Херсон.</w:t>
      </w:r>
    </w:p>
    <w:p w14:paraId="6793992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этом рапорте излагается необходимость строительства в Херсоне не только испытательного аэродрома, но и авиазаводов, и обосновыва</w:t>
      </w:r>
      <w:r w:rsidRPr="002F2FDF">
        <w:rPr>
          <w:rFonts w:ascii="Times New Roman" w:hAnsi="Times New Roman" w:cs="Times New Roman"/>
          <w:color w:val="000000" w:themeColor="text1"/>
          <w:kern w:val="2"/>
          <w:sz w:val="16"/>
          <w:szCs w:val="16"/>
        </w:rPr>
        <w:softHyphen/>
        <w:t>ется смета на каждое здание. В г. Херсоне А.Н. Венегер встретил Октябрьскою революцию. В ап</w:t>
      </w:r>
      <w:r w:rsidRPr="002F2FDF">
        <w:rPr>
          <w:rFonts w:ascii="Times New Roman" w:hAnsi="Times New Roman" w:cs="Times New Roman"/>
          <w:color w:val="000000" w:themeColor="text1"/>
          <w:kern w:val="2"/>
          <w:sz w:val="16"/>
          <w:szCs w:val="16"/>
        </w:rPr>
        <w:softHyphen/>
        <w:t>реле 1918 г. Херсон захватили интервенты, и работы на Главном аэродро</w:t>
      </w:r>
      <w:r w:rsidRPr="002F2FDF">
        <w:rPr>
          <w:rFonts w:ascii="Times New Roman" w:hAnsi="Times New Roman" w:cs="Times New Roman"/>
          <w:color w:val="000000" w:themeColor="text1"/>
          <w:kern w:val="2"/>
          <w:sz w:val="16"/>
          <w:szCs w:val="16"/>
        </w:rPr>
        <w:softHyphen/>
        <w:t>ме прекратились.</w:t>
      </w:r>
    </w:p>
    <w:p w14:paraId="2467137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короткий срок существования Главного аэродрома А.Н. Венегер организовал проведение летных испытаний нескольких типов самолётов и разработал основы методик летных испытаний.</w:t>
      </w:r>
    </w:p>
    <w:p w14:paraId="2162426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февраля 1918 г. А.Н. Венегер вступил в Красную Армию.</w:t>
      </w:r>
    </w:p>
    <w:p w14:paraId="519932A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1918 г. при УВВФ был создан совет Главного аэродрома, предсе</w:t>
      </w:r>
      <w:r w:rsidRPr="002F2FDF">
        <w:rPr>
          <w:rFonts w:ascii="Times New Roman" w:hAnsi="Times New Roman" w:cs="Times New Roman"/>
          <w:color w:val="000000" w:themeColor="text1"/>
          <w:kern w:val="2"/>
          <w:sz w:val="16"/>
          <w:szCs w:val="16"/>
        </w:rPr>
        <w:softHyphen/>
        <w:t>дателем которого назначен А.Н. Вегенер. С 1919 г. он работает в Глав-воздухофлоте и настойчиво добивается возобновления работы Главно</w:t>
      </w:r>
      <w:r w:rsidRPr="002F2FDF">
        <w:rPr>
          <w:rFonts w:ascii="Times New Roman" w:hAnsi="Times New Roman" w:cs="Times New Roman"/>
          <w:color w:val="000000" w:themeColor="text1"/>
          <w:kern w:val="2"/>
          <w:sz w:val="16"/>
          <w:szCs w:val="16"/>
        </w:rPr>
        <w:softHyphen/>
        <w:t>го аэродрома (11425).</w:t>
      </w:r>
    </w:p>
    <w:p w14:paraId="7D39A32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3447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средняя месячная производительность моторного завода Гном-Рон составляла 40 двигателей воздушного охлаждения (9705).</w:t>
      </w:r>
    </w:p>
    <w:p w14:paraId="1BA65A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E30D0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завод «Гном и Рон», образованный в 1915 году после слияния фирм «Гном» (создана в Москве как филиал в 1912 и запущенная в апреле 1912) и «Ле Рон», где в 1916 работало уже более 100 человек, делало уже по 40 мо</w:t>
      </w:r>
      <w:r w:rsidRPr="002F2FDF">
        <w:rPr>
          <w:rFonts w:ascii="Times New Roman" w:hAnsi="Times New Roman" w:cs="Times New Roman"/>
          <w:color w:val="000000" w:themeColor="text1"/>
          <w:kern w:val="2"/>
          <w:sz w:val="16"/>
          <w:szCs w:val="16"/>
        </w:rPr>
        <w:softHyphen/>
        <w:t>торов ежемесячно, а численность работающих достигла 235 человек (11852).</w:t>
      </w:r>
    </w:p>
    <w:p w14:paraId="3C784D5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3CD7F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на заводе «Гном» в Москве делали до 40 моторов ежемесячно, а численность персонала достигла 235 человек (11852).</w:t>
      </w:r>
    </w:p>
    <w:p w14:paraId="2F3680F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FD5F69" w14:textId="77777777" w:rsidR="008C5CCC" w:rsidRPr="002F2FDF" w:rsidRDefault="008C5CCC"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В начале 1917 г. В.М.Ткачев, инспектируя авиаотряды армий Юго-Западного фронта, отмечал «капризную работу» русских «Сальмсонов», у которых ломались шестерни пусковых магнето. В середине 1917 г. завод «Сальмсон» серьезно пострадал от пожара, а в конце года был полностью дезорганизован отъездом на родину французского персонала (15464).</w:t>
      </w:r>
    </w:p>
    <w:p w14:paraId="0B423263" w14:textId="77777777" w:rsidR="008C5CCC" w:rsidRPr="002F2FDF" w:rsidRDefault="008C5CCC" w:rsidP="0083075A">
      <w:pPr>
        <w:pStyle w:val="2"/>
        <w:spacing w:before="0" w:beforeAutospacing="0" w:after="0" w:afterAutospacing="0"/>
        <w:jc w:val="both"/>
        <w:rPr>
          <w:b w:val="0"/>
          <w:color w:val="000000" w:themeColor="text1"/>
          <w:kern w:val="2"/>
          <w:sz w:val="16"/>
          <w:szCs w:val="16"/>
        </w:rPr>
      </w:pPr>
    </w:p>
    <w:p w14:paraId="0593C1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подполковник Ткачев, инспектируя авиаотряды армий Юго-Западного фронта, отмечал в рапорте, что наблюдается “капризная работа русских “Сальмсонов”. Ломаются шестерни пусковых магнето” (9746).</w:t>
      </w:r>
    </w:p>
    <w:p w14:paraId="106E6F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BECD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Подполковник В. М. Ткачев, инспектируя авиацию Юго-Западного фронта, вынужден был признать, что “лучшими из имеющихся сейчас на фронте систем являются истребители французских заводов с моторами “Рон” мощностью 80 л. с. Большинство из них, по заявлениям командиров отрядов и летчиков, безукоризненны. Ощущается только отсутствие запасных частей” (9705).</w:t>
      </w:r>
    </w:p>
    <w:p w14:paraId="6DD54A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98BF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положение с французским импортом для русской авиации не только не улучшилось, но стало значительно хуже. Истощившая свои ресурсы французская военная машина не могла оказать должной помощи России. Военное ведомство России рассчитывало еще на англичан и итальянцев, но авиапромышленность этих стран сама нуждалась в поддержке и едва удовлетворяла потребности своих военно-воздушных сил. Например, английская авиапромышленность сдала армии 11 536 авиадвигателей. И несмотря на это в период войны англичане ежегодно тратили 500 тыс. фунтов стерлингов на импорт двигателей из-за границы. Естественно, что при таком положении русской авиации рассчитывать на сколько-нибудь серьезную поддержку со стороны Англии было безосновательно.</w:t>
      </w:r>
    </w:p>
    <w:p w14:paraId="41006D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Оставалась надежда на американскую промышленность. Но в 1915-1916 гг. американская промышленность была еще не подготовлена для широкого производства двигателей и самолетов. Однако вскоре США добились в постройке авиадвигателей значительных успехов. Но несмотря на быстрый рост производства в США “реально для нашего снабжения они дали пока ничтожно мало и притом изделий не первоклассного качества” - писал военному министру генерал Пневский (9705).</w:t>
      </w:r>
    </w:p>
    <w:p w14:paraId="4863AE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3072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1917 г. из 112 установок Шкульника, заказанных военным ведомством, завод Лебедева изготовил 19. Когда дело дошло до стрельбы с самолета, конструкция оказалась слабой (9705).</w:t>
      </w:r>
    </w:p>
    <w:p w14:paraId="64ABEB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82F8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завод Акционерного общества "Дека" (бывшее товарищество "Дюфлон-Константинович и К°") позучил заказ на 400 тыс. "пуль для метания с аэропланов" и сдал этот заказ армии (9705).</w:t>
      </w:r>
    </w:p>
    <w:p w14:paraId="658295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AFC4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Акционерное общество "Дека" (бывшее товарищество "Дюфлон-Константинович и К°") получило заказ военного ведомства на 400 тыс. "пуль для метания с аэропланов" и сдало его к июлю 1917 (11237).</w:t>
      </w:r>
    </w:p>
    <w:p w14:paraId="3B19BA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0C18E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Уже в начале 1917 г. в России появился коллиматорный прицел для воздушной стрельбы, что завершило создание современной схемы пулеметной установки одноместного самолета-истребителя с поршневым двигателем (318).</w:t>
      </w:r>
    </w:p>
    <w:p w14:paraId="1C24FB7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D0B78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начале 1917 г. один из пяти пассажирских пароходов, полученных в наем от Румынии - Коташа, который стал именоваться “Румы</w:t>
      </w:r>
      <w:r w:rsidRPr="002F2FDF">
        <w:rPr>
          <w:rFonts w:ascii="Times New Roman" w:hAnsi="Times New Roman" w:cs="Times New Roman"/>
          <w:color w:val="000000" w:themeColor="text1"/>
          <w:kern w:val="2"/>
          <w:sz w:val="16"/>
          <w:szCs w:val="16"/>
        </w:rPr>
        <w:softHyphen/>
        <w:t>ния” и был переоборудован в гидрокрейсер, на котором базировались 3-4 са</w:t>
      </w:r>
      <w:r w:rsidRPr="002F2FDF">
        <w:rPr>
          <w:rFonts w:ascii="Times New Roman" w:hAnsi="Times New Roman" w:cs="Times New Roman"/>
          <w:color w:val="000000" w:themeColor="text1"/>
          <w:kern w:val="2"/>
          <w:sz w:val="16"/>
          <w:szCs w:val="16"/>
        </w:rPr>
        <w:softHyphen/>
        <w:t>молета. “Румыния” практически не принимала участия в войне, однако использовалась в ходе революционных со</w:t>
      </w:r>
      <w:r w:rsidRPr="002F2FDF">
        <w:rPr>
          <w:rFonts w:ascii="Times New Roman" w:hAnsi="Times New Roman" w:cs="Times New Roman"/>
          <w:color w:val="000000" w:themeColor="text1"/>
          <w:kern w:val="2"/>
          <w:sz w:val="16"/>
          <w:szCs w:val="16"/>
        </w:rPr>
        <w:softHyphen/>
        <w:t>бытий на стороне красных. Весной 1918 г. корабль был за</w:t>
      </w:r>
      <w:r w:rsidRPr="002F2FDF">
        <w:rPr>
          <w:rFonts w:ascii="Times New Roman" w:hAnsi="Times New Roman" w:cs="Times New Roman"/>
          <w:color w:val="000000" w:themeColor="text1"/>
          <w:kern w:val="2"/>
          <w:sz w:val="16"/>
          <w:szCs w:val="16"/>
        </w:rPr>
        <w:softHyphen/>
        <w:t>хвачен в Севастополе немецкими войсками и позднее воз</w:t>
      </w:r>
      <w:r w:rsidRPr="002F2FDF">
        <w:rPr>
          <w:rFonts w:ascii="Times New Roman" w:hAnsi="Times New Roman" w:cs="Times New Roman"/>
          <w:color w:val="000000" w:themeColor="text1"/>
          <w:kern w:val="2"/>
          <w:sz w:val="16"/>
          <w:szCs w:val="16"/>
        </w:rPr>
        <w:softHyphen/>
        <w:t>вращен Румынии (11107).</w:t>
      </w:r>
    </w:p>
    <w:p w14:paraId="4F1CF2E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9F91B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18A5CE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EB4238" w14:textId="77777777" w:rsidR="00454891" w:rsidRPr="002F2FDF" w:rsidRDefault="00454891" w:rsidP="0083075A">
      <w:pPr>
        <w:autoSpaceDE w:val="0"/>
        <w:autoSpaceDN w:val="0"/>
        <w:adjustRightInd w:val="0"/>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начале 1917 г. сложившийся порядок планирования снабжения армии был существенно деформирован в результате появления новых чрезвычайных органов регулирования промышленности (Особой временной комиссией под председательством помощника военного министра сенатора Н.П. Гарина (Архив ВИМАИВиВС. Ф. 13. Оп. 87/1. Д. 63. Л. 44); после Февральской революции – Совещания товарищей министров под председательством помощника военного министра генерала А.А. Маниковского (Архив ВИМАИВиВС. Ф. 13. Оп. 87/1. Д. 64. Л. 45)). Именно эти органы и занимались рассмотрением планов снабжения армии на период до 1 июля 1918 г.</w:t>
      </w:r>
    </w:p>
    <w:p w14:paraId="7B583628" w14:textId="77777777" w:rsidR="00454891" w:rsidRPr="002F2FDF" w:rsidRDefault="00454891" w:rsidP="0083075A">
      <w:pPr>
        <w:autoSpaceDE w:val="0"/>
        <w:autoSpaceDN w:val="0"/>
        <w:adjustRightInd w:val="0"/>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Тем не менее вопросы финансового обеспечения этих планов в значительной степени оставались в руках Особого совещания по обороне государства. В счет плановых поставок на сумму около 3,4 млн. руб. в феврале 1917 г. через органы совещания было проведено авансирование РОБТиТ. В мае того же года еще четыре петроградских предприятия (РОБТиТ, АО «Сименс», АО Электромеханических сооружений, электрическая мастерская Н.Т. Аносова) вновь получили авансы на поставки радиопродукции. На сей раз общая сумма контрактов составила 3,2 млн. руб.</w:t>
      </w:r>
    </w:p>
    <w:p w14:paraId="0222983E" w14:textId="77777777" w:rsidR="00454891" w:rsidRPr="002F2FDF" w:rsidRDefault="00454891" w:rsidP="0083075A">
      <w:pPr>
        <w:autoSpaceDE w:val="0"/>
        <w:autoSpaceDN w:val="0"/>
        <w:adjustRightInd w:val="0"/>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 вот авансирование предприятий, привлеченных к выполнению плана заготовки телеграфно-телефонного имущества, было осуществлено решением Совещания товарищей министров. Для планомерной загрузки предприятий и предоставления им возможности заблаговременно осуществить закупку материалов в связи со сложным положением на рынке в июне 1917 г. заводам были выданы авансы в размере 15% от стоимости заказанного имущества по так называемым «последнезаготовительным» ценам.</w:t>
      </w:r>
    </w:p>
    <w:p w14:paraId="043731CF" w14:textId="77777777" w:rsidR="00454891" w:rsidRPr="002F2FDF" w:rsidRDefault="00454891" w:rsidP="0083075A">
      <w:pPr>
        <w:autoSpaceDE w:val="0"/>
        <w:autoSpaceDN w:val="0"/>
        <w:adjustRightInd w:val="0"/>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Хотя большинство выданных предприятиям в 1917 г. заказов так и не было исполнено в полном объеме, однако предоставленная в связи с этим заводам финансовая помощь позволила им накопить определенные запасы сырья, материалов, полуфабрикатов, которые и составили материальную основу их деятельности в последующие годы Гражданской войны (18297).</w:t>
      </w:r>
    </w:p>
    <w:p w14:paraId="547E76EA" w14:textId="77777777" w:rsidR="00454891" w:rsidRPr="002F2FDF" w:rsidRDefault="00454891" w:rsidP="0083075A">
      <w:pPr>
        <w:spacing w:after="0" w:line="240" w:lineRule="auto"/>
        <w:jc w:val="both"/>
        <w:rPr>
          <w:rFonts w:ascii="Times New Roman" w:hAnsi="Times New Roman" w:cs="Times New Roman"/>
          <w:color w:val="000000" w:themeColor="text1"/>
          <w:sz w:val="16"/>
          <w:szCs w:val="16"/>
        </w:rPr>
      </w:pPr>
    </w:p>
    <w:p w14:paraId="12A4DFFE" w14:textId="77777777" w:rsidR="00454891" w:rsidRPr="002F2FDF" w:rsidRDefault="00454891" w:rsidP="0083075A">
      <w:pPr>
        <w:pStyle w:val="krstr"/>
        <w:spacing w:before="0" w:beforeAutospacing="0" w:after="0" w:afterAutospacing="0"/>
        <w:jc w:val="both"/>
        <w:rPr>
          <w:color w:val="000000" w:themeColor="text1"/>
          <w:sz w:val="16"/>
          <w:szCs w:val="16"/>
        </w:rPr>
      </w:pPr>
      <w:r w:rsidRPr="002F2FDF">
        <w:rPr>
          <w:color w:val="000000" w:themeColor="text1"/>
          <w:sz w:val="16"/>
          <w:szCs w:val="16"/>
        </w:rPr>
        <w:t>К началу 1917 г. на Московском телефонном заводе Арматурно-электрического акционерного общества, по данным архивов, работало 385 чел. 12 января 1917 г. уполномоченный ГВТУ затребовал у директора завода отчет о положении дел и ходе выполнения обязательств по договору. Ответ директора не удовлетворил заказчика, который решил тщательно обследовать положение дел. Однако ГВТУ так и не удалось выполнить это, поскольку свершилась Февральская буржуазная революция, которая не только счела многовековую Российскую монархию, но и в корне изменила дальнейшую судьбу русского пролетариата, российской промышленности и Московского телефонного завода в частности.</w:t>
      </w:r>
    </w:p>
    <w:p w14:paraId="5A31DA87" w14:textId="77777777" w:rsidR="00454891" w:rsidRPr="002F2FDF" w:rsidRDefault="00454891" w:rsidP="0083075A">
      <w:pPr>
        <w:pStyle w:val="krstr"/>
        <w:spacing w:before="0" w:beforeAutospacing="0" w:after="0" w:afterAutospacing="0"/>
        <w:jc w:val="both"/>
        <w:rPr>
          <w:color w:val="000000" w:themeColor="text1"/>
          <w:sz w:val="16"/>
          <w:szCs w:val="16"/>
        </w:rPr>
      </w:pPr>
      <w:r w:rsidRPr="002F2FDF">
        <w:rPr>
          <w:color w:val="000000" w:themeColor="text1"/>
          <w:sz w:val="16"/>
          <w:szCs w:val="16"/>
        </w:rPr>
        <w:t>Однако кроме этих неизбежных, объективных факторов на судьбу Московского телефонного завода в значительной мере повлияло и то обстоятельство, что основной заказчик - Главное военно-техническое управление, ожидая значительную выгоду от производства и продажи телефонной и и телеграфной аппаратуры, ещё до февральской революции 1917 года, решило построить в Москве свой собственный телефонно-телеграфный завод, который принадлежал бы Военно-инженерному ведомству (ВИВ). В конце 1915 г. по решению Особого государственного совещания по обороне Российской империи в Москве, у Преображенской заставы, на территории нынешнего завода "Изолит" началось строительство завода, рассчитанного на выпуск 1200 телеграфных и 12 тыс. телефонных аппаратов. В мае 1917 г. ВИВ объявило об открытии завода, на котором работало 450 человек (18373).</w:t>
      </w:r>
    </w:p>
    <w:p w14:paraId="45996348" w14:textId="77777777" w:rsidR="00454891" w:rsidRPr="002F2FDF" w:rsidRDefault="00454891" w:rsidP="0083075A">
      <w:pPr>
        <w:pStyle w:val="krstr"/>
        <w:spacing w:before="0" w:beforeAutospacing="0" w:after="0" w:afterAutospacing="0"/>
        <w:jc w:val="both"/>
        <w:rPr>
          <w:color w:val="000000" w:themeColor="text1"/>
          <w:sz w:val="16"/>
          <w:szCs w:val="16"/>
        </w:rPr>
      </w:pPr>
    </w:p>
    <w:p w14:paraId="28828CC3" w14:textId="77777777" w:rsidR="00454891" w:rsidRPr="002F2FDF" w:rsidRDefault="00454891"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В начале 1917 года был пущен в эксплуатацию Казённый азотнокислотный завод мощностью в 600 тыс. пуд в год (18381).</w:t>
      </w:r>
    </w:p>
    <w:p w14:paraId="335ED2E2" w14:textId="77777777" w:rsidR="00454891" w:rsidRPr="002F2FDF" w:rsidRDefault="00454891" w:rsidP="0083075A">
      <w:pPr>
        <w:spacing w:after="0" w:line="240" w:lineRule="auto"/>
        <w:jc w:val="both"/>
        <w:rPr>
          <w:rFonts w:ascii="Times New Roman" w:eastAsia="Times New Roman" w:hAnsi="Times New Roman" w:cs="Times New Roman"/>
          <w:color w:val="000000" w:themeColor="text1"/>
          <w:sz w:val="16"/>
          <w:szCs w:val="16"/>
          <w:lang w:eastAsia="ru-RU"/>
        </w:rPr>
      </w:pPr>
    </w:p>
    <w:p w14:paraId="57CCEAD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был подготовлен Всеподданнейший доклад по Военному министерству о мероприятиях и состоянии всех частей военного управления за 1916 год</w:t>
      </w:r>
    </w:p>
    <w:p w14:paraId="6B5AF40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&lt;...&gt; IV. ЧАСТЬ АРТИЛЛЕРИЙСКАЯ</w:t>
      </w:r>
    </w:p>
    <w:p w14:paraId="1B5199C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Деятельность технических артиллерийских заведений. В минувшем году принимались меры к дальнейшему развитию начатых в 1915 г. работ с целью удовлетворения потребно</w:t>
      </w:r>
      <w:r w:rsidRPr="002F2FDF">
        <w:rPr>
          <w:rFonts w:ascii="Times New Roman" w:hAnsi="Times New Roman" w:cs="Times New Roman"/>
          <w:color w:val="000000" w:themeColor="text1"/>
          <w:kern w:val="2"/>
          <w:sz w:val="16"/>
          <w:szCs w:val="16"/>
        </w:rPr>
        <w:softHyphen/>
        <w:t>стей нашей армии, а также пополнения после войны в наикратчайший срок всех артил</w:t>
      </w:r>
      <w:r w:rsidRPr="002F2FDF">
        <w:rPr>
          <w:rFonts w:ascii="Times New Roman" w:hAnsi="Times New Roman" w:cs="Times New Roman"/>
          <w:color w:val="000000" w:themeColor="text1"/>
          <w:kern w:val="2"/>
          <w:sz w:val="16"/>
          <w:szCs w:val="16"/>
        </w:rPr>
        <w:softHyphen/>
        <w:t>лерийских запасов и замены предметов, пришедших в негодность.</w:t>
      </w:r>
    </w:p>
    <w:p w14:paraId="24850EE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Дальнейшее развитие военных действий и характер последних, определившийся в 1915 г., вызвали чрезвычайную потребность в различных предметах артиллерийского довольствия, а также в усовершенствовании и увеличении некоторых специальных средств борьбы в условиях позиционной войны.</w:t>
      </w:r>
    </w:p>
    <w:p w14:paraId="1F9A9DA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этого в 1916 г. с целью наивозможного использования отечественной промыш</w:t>
      </w:r>
      <w:r w:rsidRPr="002F2FDF">
        <w:rPr>
          <w:rFonts w:ascii="Times New Roman" w:hAnsi="Times New Roman" w:cs="Times New Roman"/>
          <w:color w:val="000000" w:themeColor="text1"/>
          <w:kern w:val="2"/>
          <w:sz w:val="16"/>
          <w:szCs w:val="16"/>
        </w:rPr>
        <w:softHyphen/>
        <w:t>ленности в деле снабжения нашей армии продолжались интенсивные работы по расши</w:t>
      </w:r>
      <w:r w:rsidRPr="002F2FDF">
        <w:rPr>
          <w:rFonts w:ascii="Times New Roman" w:hAnsi="Times New Roman" w:cs="Times New Roman"/>
          <w:color w:val="000000" w:themeColor="text1"/>
          <w:kern w:val="2"/>
          <w:sz w:val="16"/>
          <w:szCs w:val="16"/>
        </w:rPr>
        <w:softHyphen/>
        <w:t>рению соответствующих заводов и по постройке новых.</w:t>
      </w:r>
    </w:p>
    <w:p w14:paraId="099FA7D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строительные и механические работы в истекшем году велись непрерывно, с пол</w:t>
      </w:r>
      <w:r w:rsidRPr="002F2FDF">
        <w:rPr>
          <w:rFonts w:ascii="Times New Roman" w:hAnsi="Times New Roman" w:cs="Times New Roman"/>
          <w:color w:val="000000" w:themeColor="text1"/>
          <w:kern w:val="2"/>
          <w:sz w:val="16"/>
          <w:szCs w:val="16"/>
        </w:rPr>
        <w:softHyphen/>
        <w:t>ным напряжением сил, чему во многом способствовало патриотическое настроение как высших, так и низших служащих, до валового рабочего включительно. Происходившие задержки в работах являлись в большинстве случаев следствием расстройства перевозок, трудности получения из-за границы механических средств оборудования и недостатка рабочих рук и материалов. В результате единодушной и энергичной работы всех чинов и рабочих в исполнении спешных нарядов по снабжению армии в отчетном году многие казенные заводы и арсеналы удвоили или утроили свою производительность, а некото</w:t>
      </w:r>
      <w:r w:rsidRPr="002F2FDF">
        <w:rPr>
          <w:rFonts w:ascii="Times New Roman" w:hAnsi="Times New Roman" w:cs="Times New Roman"/>
          <w:color w:val="000000" w:themeColor="text1"/>
          <w:kern w:val="2"/>
          <w:sz w:val="16"/>
          <w:szCs w:val="16"/>
        </w:rPr>
        <w:softHyphen/>
        <w:t>рые расширили ее почти в 5 раз.</w:t>
      </w:r>
    </w:p>
    <w:p w14:paraId="4CF6296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частности, Тульский оружейный завод взамен изготовлявшихся в декабре 1915 г. 524 пулеметов довел производительность их до 1200 в декабре 1916 г., а выход винтовок со всех трех оружейных заводов поднялся с 84 835 в декабре 1915 г. до 127 200 в декабре 1916 года.</w:t>
      </w:r>
    </w:p>
    <w:p w14:paraId="1A9F803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громадном расходе орудийных патронов на фронтах действующих армий произ</w:t>
      </w:r>
      <w:r w:rsidRPr="002F2FDF">
        <w:rPr>
          <w:rFonts w:ascii="Times New Roman" w:hAnsi="Times New Roman" w:cs="Times New Roman"/>
          <w:color w:val="000000" w:themeColor="text1"/>
          <w:kern w:val="2"/>
          <w:sz w:val="16"/>
          <w:szCs w:val="16"/>
        </w:rPr>
        <w:softHyphen/>
        <w:t>водительность имевшихся лабораторных мастерских оказалась недостаточной и потре</w:t>
      </w:r>
      <w:r w:rsidRPr="002F2FDF">
        <w:rPr>
          <w:rFonts w:ascii="Times New Roman" w:hAnsi="Times New Roman" w:cs="Times New Roman"/>
          <w:color w:val="000000" w:themeColor="text1"/>
          <w:kern w:val="2"/>
          <w:sz w:val="16"/>
          <w:szCs w:val="16"/>
        </w:rPr>
        <w:softHyphen/>
        <w:t>бовалось спешно усилить деятельность их, расширив самые помещения мастерских. С этой целью при Петроградском складе огнестрельных припасов, а также при Бобруйс</w:t>
      </w:r>
      <w:r w:rsidRPr="002F2FDF">
        <w:rPr>
          <w:rFonts w:ascii="Times New Roman" w:hAnsi="Times New Roman" w:cs="Times New Roman"/>
          <w:color w:val="000000" w:themeColor="text1"/>
          <w:kern w:val="2"/>
          <w:sz w:val="16"/>
          <w:szCs w:val="16"/>
        </w:rPr>
        <w:softHyphen/>
        <w:t>ком, Двинском, Киевском и Кременчугском артиллерийских складах были приспособ</w:t>
      </w:r>
      <w:r w:rsidRPr="002F2FDF">
        <w:rPr>
          <w:rFonts w:ascii="Times New Roman" w:hAnsi="Times New Roman" w:cs="Times New Roman"/>
          <w:color w:val="000000" w:themeColor="text1"/>
          <w:kern w:val="2"/>
          <w:sz w:val="16"/>
          <w:szCs w:val="16"/>
        </w:rPr>
        <w:softHyphen/>
        <w:t>лены существующие здания под устройство временных снаряжательных пунктов для массового изготовления орудийных патронов. Затем, с эвакуацией Бобруйска и Двинска, такие же снаряжательные пункты оборудованы в Казанском, Курском, Московском и Томыловском артиллерийских складах, причем производительность шести снаряжатель</w:t>
      </w:r>
      <w:r w:rsidRPr="002F2FDF">
        <w:rPr>
          <w:rFonts w:ascii="Times New Roman" w:hAnsi="Times New Roman" w:cs="Times New Roman"/>
          <w:color w:val="000000" w:themeColor="text1"/>
          <w:kern w:val="2"/>
          <w:sz w:val="16"/>
          <w:szCs w:val="16"/>
        </w:rPr>
        <w:softHyphen/>
        <w:t xml:space="preserve">ных пунктов была рассчитана на выпуск 1 млн. 800 тыс. патронов ежемесячно т е по 10 легких парков каждым из них. </w:t>
      </w:r>
    </w:p>
    <w:p w14:paraId="74071E2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Однако с дальнейшим развитием военных действий указанное количество снаряжае</w:t>
      </w:r>
      <w:r w:rsidRPr="002F2FDF">
        <w:rPr>
          <w:rFonts w:ascii="Times New Roman" w:hAnsi="Times New Roman" w:cs="Times New Roman"/>
          <w:color w:val="000000" w:themeColor="text1"/>
          <w:kern w:val="2"/>
          <w:sz w:val="16"/>
          <w:szCs w:val="16"/>
        </w:rPr>
        <w:softHyphen/>
        <w:t>мых пушечных патронов оказалось недостаточным и потребовалось расширить снаряжа-тельные мастерские в двух складах с расчетом снаряжать ежемесячно по 20 парков в каж</w:t>
      </w:r>
      <w:r w:rsidRPr="002F2FDF">
        <w:rPr>
          <w:rFonts w:ascii="Times New Roman" w:hAnsi="Times New Roman" w:cs="Times New Roman"/>
          <w:color w:val="000000" w:themeColor="text1"/>
          <w:kern w:val="2"/>
          <w:sz w:val="16"/>
          <w:szCs w:val="16"/>
        </w:rPr>
        <w:softHyphen/>
        <w:t>дом из них.</w:t>
      </w:r>
    </w:p>
    <w:p w14:paraId="501D1D1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 января 1917 г. ежемесячная производительность перечисленных выше снаряжательных пунктов определилась в 92 легких парка, 12 горных, 43 48-лин.; 43 42-лин. и 6-дм гаубичных.</w:t>
      </w:r>
    </w:p>
    <w:p w14:paraId="07F170C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Постройка новых заводов и мастерских. Кроме расширения технических артиллерий</w:t>
      </w:r>
      <w:r w:rsidRPr="002F2FDF">
        <w:rPr>
          <w:rFonts w:ascii="Times New Roman" w:hAnsi="Times New Roman" w:cs="Times New Roman"/>
          <w:color w:val="000000" w:themeColor="text1"/>
          <w:kern w:val="2"/>
          <w:sz w:val="16"/>
          <w:szCs w:val="16"/>
        </w:rPr>
        <w:softHyphen/>
        <w:t>ских заведений, принимались все меры к скорейшему окончанию постройки новых за</w:t>
      </w:r>
      <w:r w:rsidRPr="002F2FDF">
        <w:rPr>
          <w:rFonts w:ascii="Times New Roman" w:hAnsi="Times New Roman" w:cs="Times New Roman"/>
          <w:color w:val="000000" w:themeColor="text1"/>
          <w:kern w:val="2"/>
          <w:sz w:val="16"/>
          <w:szCs w:val="16"/>
        </w:rPr>
        <w:softHyphen/>
        <w:t>водов, а именно: капсюльного отдела Сергиевско-Самарского завода взрывчатых веществ и Тамбовского порохового завода, с установлением на последнем производительности не менее 400 тыс. пудов пороха в год; 4-го оружейного завода в Туле производительнос</w:t>
      </w:r>
      <w:r w:rsidRPr="002F2FDF">
        <w:rPr>
          <w:rFonts w:ascii="Times New Roman" w:hAnsi="Times New Roman" w:cs="Times New Roman"/>
          <w:color w:val="000000" w:themeColor="text1"/>
          <w:kern w:val="2"/>
          <w:sz w:val="16"/>
          <w:szCs w:val="16"/>
        </w:rPr>
        <w:softHyphen/>
        <w:t>тью в 1850 винтовок в день, причем в будущем предположено оба Тульских завода слить в один, мощностью до 3500 винтовок в день; 2-го сталеделательного завода в Луганске, с оборудованием для ежегодной выплавки до 4 млн. 100 тыс. пудов мартеновского метал</w:t>
      </w:r>
      <w:r w:rsidRPr="002F2FDF">
        <w:rPr>
          <w:rFonts w:ascii="Times New Roman" w:hAnsi="Times New Roman" w:cs="Times New Roman"/>
          <w:color w:val="000000" w:themeColor="text1"/>
          <w:kern w:val="2"/>
          <w:sz w:val="16"/>
          <w:szCs w:val="16"/>
        </w:rPr>
        <w:softHyphen/>
        <w:t>ла; трубочного завода в Пензе для изготовления ежегодно 4 млн. трубок и 2 млн. кап</w:t>
      </w:r>
      <w:r w:rsidRPr="002F2FDF">
        <w:rPr>
          <w:rFonts w:ascii="Times New Roman" w:hAnsi="Times New Roman" w:cs="Times New Roman"/>
          <w:color w:val="000000" w:themeColor="text1"/>
          <w:kern w:val="2"/>
          <w:sz w:val="16"/>
          <w:szCs w:val="16"/>
        </w:rPr>
        <w:softHyphen/>
        <w:t>сюльных втулок (к 1 января 1917 г. этот завод приступил уже к сдаче трубок); завода взрывчатых веществ в Нижегородской губернии с ежегодной производительностью 550 тыс. пудов тротила, 12 тыс. пудов тетрила и суточным снаряжением 16 тыс. снарядов и 5 тыс. ручных гранат; завода для добывания азотной кислоты из воздуха на реке Суне в Олонецкой губернии; завода аммиачной селитры производительностью в 50 тыс. пуд. ежемесячно; снаряжательного завода во Владимирской губернии; нитрационной мас</w:t>
      </w:r>
      <w:r w:rsidRPr="002F2FDF">
        <w:rPr>
          <w:rFonts w:ascii="Times New Roman" w:hAnsi="Times New Roman" w:cs="Times New Roman"/>
          <w:color w:val="000000" w:themeColor="text1"/>
          <w:kern w:val="2"/>
          <w:sz w:val="16"/>
          <w:szCs w:val="16"/>
        </w:rPr>
        <w:softHyphen/>
        <w:t>терской в г. Грозном и мастерских для изготовления светящихся снарядов на главном артиллерийском полигоне.</w:t>
      </w:r>
    </w:p>
    <w:p w14:paraId="5480DE2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Сестрорецкий оружейный завод, как расположенный в крепостном районе, было постановлено перевести в одну из внутренних губерний, увеличив его производитель</w:t>
      </w:r>
      <w:r w:rsidRPr="002F2FDF">
        <w:rPr>
          <w:rFonts w:ascii="Times New Roman" w:hAnsi="Times New Roman" w:cs="Times New Roman"/>
          <w:color w:val="000000" w:themeColor="text1"/>
          <w:kern w:val="2"/>
          <w:sz w:val="16"/>
          <w:szCs w:val="16"/>
        </w:rPr>
        <w:softHyphen/>
        <w:t>ность с 200 тыс. до 800 тыс. винтовок в год; к постройке завода уже приступлено в г. Екатеринославе.</w:t>
      </w:r>
    </w:p>
    <w:p w14:paraId="6ED695A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 же касается 3-го патронного завода, то работы по его постройке находятся в пол</w:t>
      </w:r>
      <w:r w:rsidRPr="002F2FDF">
        <w:rPr>
          <w:rFonts w:ascii="Times New Roman" w:hAnsi="Times New Roman" w:cs="Times New Roman"/>
          <w:color w:val="000000" w:themeColor="text1"/>
          <w:kern w:val="2"/>
          <w:sz w:val="16"/>
          <w:szCs w:val="16"/>
        </w:rPr>
        <w:softHyphen/>
        <w:t>ном ходу и начало сдачи отдельных элементов патрона предположено в течение 1917 года. На Петроградском орудийном заводе в отчетном году, по расширении его, установлено новое производство 42-лин. пушек, которые начиная с сентября 1916 г. выпускаются в среднем по 3 орудия в месяц.</w:t>
      </w:r>
    </w:p>
    <w:p w14:paraId="3937A5D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Ручное оружие. Работы по изготовлению ручного огнестрельного оружия ввиду опреде</w:t>
      </w:r>
      <w:r w:rsidRPr="002F2FDF">
        <w:rPr>
          <w:rFonts w:ascii="Times New Roman" w:hAnsi="Times New Roman" w:cs="Times New Roman"/>
          <w:color w:val="000000" w:themeColor="text1"/>
          <w:kern w:val="2"/>
          <w:sz w:val="16"/>
          <w:szCs w:val="16"/>
        </w:rPr>
        <w:softHyphen/>
        <w:t>лившейся крайней потребности в нем, в особенности винтовок, велись в технических артил</w:t>
      </w:r>
      <w:r w:rsidRPr="002F2FDF">
        <w:rPr>
          <w:rFonts w:ascii="Times New Roman" w:hAnsi="Times New Roman" w:cs="Times New Roman"/>
          <w:color w:val="000000" w:themeColor="text1"/>
          <w:kern w:val="2"/>
          <w:sz w:val="16"/>
          <w:szCs w:val="16"/>
        </w:rPr>
        <w:softHyphen/>
        <w:t>лерийских заведениях при высшем напряжении, не считаясь с полученными нарядами.</w:t>
      </w:r>
    </w:p>
    <w:p w14:paraId="26E3281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 развить наивысшую возможную производительность наших заводов диктовалась еще тем обстоятельством, что заказанные в Америке винтовки поступали крайне слабо, не говоря о совершенном невыполнении этими заводами контрактных сроков.</w:t>
      </w:r>
    </w:p>
    <w:p w14:paraId="7384D5A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Поэтому наряду с изготовлением новых винтовок были приняты все меры к тому, чтобы насколько возможно использовать высылаемые с фронтов, собранные с полей сра</w:t>
      </w:r>
      <w:r w:rsidRPr="002F2FDF">
        <w:rPr>
          <w:rFonts w:ascii="Times New Roman" w:hAnsi="Times New Roman" w:cs="Times New Roman"/>
          <w:color w:val="000000" w:themeColor="text1"/>
          <w:kern w:val="2"/>
          <w:sz w:val="16"/>
          <w:szCs w:val="16"/>
        </w:rPr>
        <w:softHyphen/>
        <w:t>жений винтовки путем исправления, а также путем сбора отдельных частей, скупленных у частных фабрикантов и поступивших в артиллерийские склады.</w:t>
      </w:r>
    </w:p>
    <w:p w14:paraId="4A05AB2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Кроме того, были заказаны за границей черновые винтовочные стволы, каковой ме</w:t>
      </w:r>
      <w:r w:rsidRPr="002F2FDF">
        <w:rPr>
          <w:rFonts w:ascii="Times New Roman" w:hAnsi="Times New Roman" w:cs="Times New Roman"/>
          <w:color w:val="000000" w:themeColor="text1"/>
          <w:kern w:val="2"/>
          <w:sz w:val="16"/>
          <w:szCs w:val="16"/>
        </w:rPr>
        <w:softHyphen/>
        <w:t>рой явилась возможность увеличить выпуск винтовок.</w:t>
      </w:r>
    </w:p>
    <w:p w14:paraId="5683F39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Кроме целых экземпляров оружия, изготовлялись запасные части и принадлежность к винтовкам и карабинам, а также принадлежность к трехлинейным револьверам Нагана.</w:t>
      </w:r>
    </w:p>
    <w:p w14:paraId="1F260FA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Появление на вооружении наших противников автоматических винтовок и невоз</w:t>
      </w:r>
      <w:r w:rsidRPr="002F2FDF">
        <w:rPr>
          <w:rFonts w:ascii="Times New Roman" w:hAnsi="Times New Roman" w:cs="Times New Roman"/>
          <w:color w:val="000000" w:themeColor="text1"/>
          <w:kern w:val="2"/>
          <w:sz w:val="16"/>
          <w:szCs w:val="16"/>
        </w:rPr>
        <w:softHyphen/>
        <w:t>можность изготовить своевременно таковые для нашей армии побудили Военное мини</w:t>
      </w:r>
      <w:r w:rsidRPr="002F2FDF">
        <w:rPr>
          <w:rFonts w:ascii="Times New Roman" w:hAnsi="Times New Roman" w:cs="Times New Roman"/>
          <w:color w:val="000000" w:themeColor="text1"/>
          <w:kern w:val="2"/>
          <w:sz w:val="16"/>
          <w:szCs w:val="16"/>
        </w:rPr>
        <w:softHyphen/>
        <w:t>стерство изыскать способы для увеличения скорострельности винтовок, состоящих на вооружении; наиболее подходящим оказался способ пригонки к винтовкам приставных магазинов на 25 патронов, потребность в коих определилась в 250 тыс. штук. Кроме того, заказано за границей для надобностей авиации 1 тыс. автоматических карабинов и 1,5 млн. патронов к ним.</w:t>
      </w:r>
    </w:p>
    <w:p w14:paraId="12333AE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&lt;...&gt; Работа заводов организации генерала Ванкова, возникшей в 1915 г. для изготов</w:t>
      </w:r>
      <w:r w:rsidRPr="002F2FDF">
        <w:rPr>
          <w:rFonts w:ascii="Times New Roman" w:hAnsi="Times New Roman" w:cs="Times New Roman"/>
          <w:color w:val="000000" w:themeColor="text1"/>
          <w:kern w:val="2"/>
          <w:sz w:val="16"/>
          <w:szCs w:val="16"/>
        </w:rPr>
        <w:softHyphen/>
        <w:t>ления фугасных гранат французского образца</w:t>
      </w:r>
      <w:r w:rsidRPr="002F2FDF">
        <w:rPr>
          <w:rFonts w:ascii="Times New Roman" w:hAnsi="Times New Roman" w:cs="Times New Roman"/>
          <w:color w:val="000000" w:themeColor="text1"/>
          <w:kern w:val="2"/>
          <w:sz w:val="16"/>
          <w:szCs w:val="16"/>
          <w:vertAlign w:val="superscript"/>
        </w:rPr>
        <w:t>209</w:t>
      </w:r>
      <w:r w:rsidRPr="002F2FDF">
        <w:rPr>
          <w:rFonts w:ascii="Times New Roman" w:hAnsi="Times New Roman" w:cs="Times New Roman"/>
          <w:color w:val="000000" w:themeColor="text1"/>
          <w:kern w:val="2"/>
          <w:sz w:val="16"/>
          <w:szCs w:val="16"/>
        </w:rPr>
        <w:t>, в истекшем году значительно увеличи</w:t>
      </w:r>
      <w:r w:rsidRPr="002F2FDF">
        <w:rPr>
          <w:rFonts w:ascii="Times New Roman" w:hAnsi="Times New Roman" w:cs="Times New Roman"/>
          <w:color w:val="000000" w:themeColor="text1"/>
          <w:kern w:val="2"/>
          <w:sz w:val="16"/>
          <w:szCs w:val="16"/>
        </w:rPr>
        <w:softHyphen/>
        <w:t>лась, так как заводы основательно ознакомились с производством снарядов и дали про</w:t>
      </w:r>
      <w:r w:rsidRPr="002F2FDF">
        <w:rPr>
          <w:rFonts w:ascii="Times New Roman" w:hAnsi="Times New Roman" w:cs="Times New Roman"/>
          <w:color w:val="000000" w:themeColor="text1"/>
          <w:kern w:val="2"/>
          <w:sz w:val="16"/>
          <w:szCs w:val="16"/>
        </w:rPr>
        <w:softHyphen/>
        <w:t>изводительность со станка, значительно превышавшую в отдельных случаях результаты, достигнутые крупными механическими заводами, как Брянский, Сормовский и др., имевшими установленное снарядное производство еще до начала войны.</w:t>
      </w:r>
    </w:p>
    <w:p w14:paraId="52689E5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Производительность всех заводов (около 300), работающих в этой организации, в декабре 1915 г. составляла 224 339 гранат, а в декабре 1916 г. — 793 664, т. е. возросла более чем в три раза.</w:t>
      </w:r>
    </w:p>
    <w:p w14:paraId="128E6BC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отчетный год организацией генерала Ванкова было сдано 3-дм фугасных гранат 7 002 922, а с начала производства - 7 627 838.</w:t>
      </w:r>
    </w:p>
    <w:p w14:paraId="7CCAAAA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благоприятных условиях, в смысле снабжения металлами, производительность этой организации продолжала бы прогрессивно возрастать и легко могла бы достигнуть 1 млн. шт. в месяц и более. Ввиду же недостатка металлов работу пришлось искусственно сокращать, и в ноябре производительность заводов была ограничена до 700 тыс. гранат в месяц.</w:t>
      </w:r>
    </w:p>
    <w:p w14:paraId="0600D8C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Помимо выполняемой работы, на организацию генерала Ванкова в отчетном году были возложены новые задачи, а именно - изготовление 300 тыс. 48-лин. и полумилли</w:t>
      </w:r>
      <w:r w:rsidRPr="002F2FDF">
        <w:rPr>
          <w:rFonts w:ascii="Times New Roman" w:hAnsi="Times New Roman" w:cs="Times New Roman"/>
          <w:color w:val="000000" w:themeColor="text1"/>
          <w:kern w:val="2"/>
          <w:sz w:val="16"/>
          <w:szCs w:val="16"/>
        </w:rPr>
        <w:softHyphen/>
        <w:t>она 6-дм бомб сталистого чугуна.</w:t>
      </w:r>
    </w:p>
    <w:p w14:paraId="698A031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работам по изготовлению этих снарядов было приступлено еще до получения наря</w:t>
      </w:r>
      <w:r w:rsidRPr="002F2FDF">
        <w:rPr>
          <w:rFonts w:ascii="Times New Roman" w:hAnsi="Times New Roman" w:cs="Times New Roman"/>
          <w:color w:val="000000" w:themeColor="text1"/>
          <w:kern w:val="2"/>
          <w:sz w:val="16"/>
          <w:szCs w:val="16"/>
        </w:rPr>
        <w:softHyphen/>
        <w:t>дов, причем ввиду совершенной новизны этого дела в России для установления произ</w:t>
      </w:r>
      <w:r w:rsidRPr="002F2FDF">
        <w:rPr>
          <w:rFonts w:ascii="Times New Roman" w:hAnsi="Times New Roman" w:cs="Times New Roman"/>
          <w:color w:val="000000" w:themeColor="text1"/>
          <w:kern w:val="2"/>
          <w:sz w:val="16"/>
          <w:szCs w:val="16"/>
        </w:rPr>
        <w:softHyphen/>
        <w:t>водства потребовалось значительное время. Кроме непосредственной задачи выполне</w:t>
      </w:r>
      <w:r w:rsidRPr="002F2FDF">
        <w:rPr>
          <w:rFonts w:ascii="Times New Roman" w:hAnsi="Times New Roman" w:cs="Times New Roman"/>
          <w:color w:val="000000" w:themeColor="text1"/>
          <w:kern w:val="2"/>
          <w:sz w:val="16"/>
          <w:szCs w:val="16"/>
        </w:rPr>
        <w:softHyphen/>
        <w:t>ния этих нарядов, дело получения сталистого чугуна имеет крупное значение для рус</w:t>
      </w:r>
      <w:r w:rsidRPr="002F2FDF">
        <w:rPr>
          <w:rFonts w:ascii="Times New Roman" w:hAnsi="Times New Roman" w:cs="Times New Roman"/>
          <w:color w:val="000000" w:themeColor="text1"/>
          <w:kern w:val="2"/>
          <w:sz w:val="16"/>
          <w:szCs w:val="16"/>
        </w:rPr>
        <w:softHyphen/>
        <w:t>ской промышленности и в будущем, так как чугун такого высокого качества может найти широкое применение в машиностроении.</w:t>
      </w:r>
    </w:p>
    <w:p w14:paraId="6EA67D2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сего времени русские заводы с этим производством не были знакомы, но в насто</w:t>
      </w:r>
      <w:r w:rsidRPr="002F2FDF">
        <w:rPr>
          <w:rFonts w:ascii="Times New Roman" w:hAnsi="Times New Roman" w:cs="Times New Roman"/>
          <w:color w:val="000000" w:themeColor="text1"/>
          <w:kern w:val="2"/>
          <w:sz w:val="16"/>
          <w:szCs w:val="16"/>
        </w:rPr>
        <w:softHyphen/>
        <w:t>ящее время производство снарядов сталистого чугуна можно считать вполне налажен</w:t>
      </w:r>
      <w:r w:rsidRPr="002F2FDF">
        <w:rPr>
          <w:rFonts w:ascii="Times New Roman" w:hAnsi="Times New Roman" w:cs="Times New Roman"/>
          <w:color w:val="000000" w:themeColor="text1"/>
          <w:kern w:val="2"/>
          <w:sz w:val="16"/>
          <w:szCs w:val="16"/>
        </w:rPr>
        <w:softHyphen/>
        <w:t>ным, причем обработка значительно обгоняет литье, каковое задерживается главным образом из-за недостатка топлива и металла.</w:t>
      </w:r>
    </w:p>
    <w:p w14:paraId="041C003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Готовых 6-дм корпусов бомб из сталистого чугуна к 1 января 1917 г. сдано 79935, а вполне снаряженных бомб— 13 760.</w:t>
      </w:r>
    </w:p>
    <w:p w14:paraId="413FDBC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Кроме перечисленных заказов, на заводы организации генерала Ванкова в отчетном году было возложено производство гранат калибром в 75 мм для румынской армии.</w:t>
      </w:r>
    </w:p>
    <w:p w14:paraId="49DF067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отчетный год поступило с отечественных заводов и из-за границы более 48 млн. снарядов всех калибров, причем подача их увеличилась почти в 3—4 раза.</w:t>
      </w:r>
    </w:p>
    <w:p w14:paraId="0C0793F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Распределение поступлений выстрелов по калибрам, за округлением, было следую</w:t>
      </w:r>
      <w:r w:rsidRPr="002F2FDF">
        <w:rPr>
          <w:rFonts w:ascii="Times New Roman" w:hAnsi="Times New Roman" w:cs="Times New Roman"/>
          <w:color w:val="000000" w:themeColor="text1"/>
          <w:kern w:val="2"/>
          <w:sz w:val="16"/>
          <w:szCs w:val="16"/>
        </w:rPr>
        <w:softHyphen/>
        <w:t>щее: для 3-дм полевых и горных пушек - 42 млн.; из них заграничного изготовления -12 млн. 600 тыс. и около 7 млн. — организации генерала Ванкова.</w:t>
      </w:r>
    </w:p>
    <w:p w14:paraId="19C34B7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&lt;...&gt; Взрывчатые вещества, порох и взрыватели. В связи с громадным количеством изготовляемых снарядов, чрезвычайно возросла потребность в первичных материалах для боевых припасов.</w:t>
      </w:r>
    </w:p>
    <w:p w14:paraId="7431B4B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этого, с целью надлежащего обеспечения заводов взрывчатых веществ сырыми материалами отечественного производства, в отчетном году велись интенсивные работы по оборудованию новых заводов и расширению старых. В частности, в 1916 г. шла усилен</w:t>
      </w:r>
      <w:r w:rsidRPr="002F2FDF">
        <w:rPr>
          <w:rFonts w:ascii="Times New Roman" w:hAnsi="Times New Roman" w:cs="Times New Roman"/>
          <w:color w:val="000000" w:themeColor="text1"/>
          <w:kern w:val="2"/>
          <w:sz w:val="16"/>
          <w:szCs w:val="16"/>
        </w:rPr>
        <w:softHyphen/>
        <w:t>ная постройка новых коксовых печей с рекуперацией* побочных продуктов (бензола, то</w:t>
      </w:r>
      <w:r w:rsidRPr="002F2FDF">
        <w:rPr>
          <w:rFonts w:ascii="Times New Roman" w:hAnsi="Times New Roman" w:cs="Times New Roman"/>
          <w:color w:val="000000" w:themeColor="text1"/>
          <w:kern w:val="2"/>
          <w:sz w:val="16"/>
          <w:szCs w:val="16"/>
        </w:rPr>
        <w:softHyphen/>
        <w:t>луола, ксилола, нафталина, аммиака и др.); постройка печей сильно затруднялась и под</w:t>
      </w:r>
      <w:r w:rsidRPr="002F2FDF">
        <w:rPr>
          <w:rFonts w:ascii="Times New Roman" w:hAnsi="Times New Roman" w:cs="Times New Roman"/>
          <w:color w:val="000000" w:themeColor="text1"/>
          <w:kern w:val="2"/>
          <w:sz w:val="16"/>
          <w:szCs w:val="16"/>
        </w:rPr>
        <w:softHyphen/>
        <w:t>час совершенно приостанавливалась за недостатком огнеупорных материалов и железа. Тем не менее в течение года были пущены в ход в Донецком бассейне 5 печей. При полном снабжении всех печей топливом можно рассчитывать получить около 100 тыс. пуд. сырого каменноугольного бензола вместо 54 тыс. пуд., полученных в январе 1916 года.</w:t>
      </w:r>
    </w:p>
    <w:p w14:paraId="31EED70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Кроме того, было налажено впервые в России производство бензола и толуола из нефти пирогенетическим путем, и в настоящее время работают 4 таких завода; установ</w:t>
      </w:r>
      <w:r w:rsidRPr="002F2FDF">
        <w:rPr>
          <w:rFonts w:ascii="Times New Roman" w:hAnsi="Times New Roman" w:cs="Times New Roman"/>
          <w:color w:val="000000" w:themeColor="text1"/>
          <w:kern w:val="2"/>
          <w:sz w:val="16"/>
          <w:szCs w:val="16"/>
        </w:rPr>
        <w:softHyphen/>
        <w:t>лено производство мононитротолуола из толуольных фракций лигроина; увеличено до бывание аммиачной воды, необходимой для получения аммиачной селитры; были пу</w:t>
      </w:r>
      <w:r w:rsidRPr="002F2FDF">
        <w:rPr>
          <w:rFonts w:ascii="Times New Roman" w:hAnsi="Times New Roman" w:cs="Times New Roman"/>
          <w:color w:val="000000" w:themeColor="text1"/>
          <w:kern w:val="2"/>
          <w:sz w:val="16"/>
          <w:szCs w:val="16"/>
        </w:rPr>
        <w:softHyphen/>
        <w:t>щены в ход два завода синтетического фенола, и заканчивается оборудованием завод по перегонке нафталина.</w:t>
      </w:r>
    </w:p>
    <w:p w14:paraId="32BCF04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производства же взрывчатых веществ оборудованы и пущены в ход: 5 тротиловых заводов; 2 для добывания пикриновой кислоты и 1 для добывания аммиачной селитры; кроме того, заканчивается оборудованием завод азотной кислоты и аммиачной селитры. Последнее производство является для России совершенно новым и имеет большое зна</w:t>
      </w:r>
      <w:r w:rsidRPr="002F2FDF">
        <w:rPr>
          <w:rFonts w:ascii="Times New Roman" w:hAnsi="Times New Roman" w:cs="Times New Roman"/>
          <w:color w:val="000000" w:themeColor="text1"/>
          <w:kern w:val="2"/>
          <w:sz w:val="16"/>
          <w:szCs w:val="16"/>
        </w:rPr>
        <w:softHyphen/>
        <w:t>чение, так как может освободить от необходимости ввоза чилийской селитры, являв</w:t>
      </w:r>
      <w:r w:rsidRPr="002F2FDF">
        <w:rPr>
          <w:rFonts w:ascii="Times New Roman" w:hAnsi="Times New Roman" w:cs="Times New Roman"/>
          <w:color w:val="000000" w:themeColor="text1"/>
          <w:kern w:val="2"/>
          <w:sz w:val="16"/>
          <w:szCs w:val="16"/>
        </w:rPr>
        <w:softHyphen/>
        <w:t>шейся до сего времени единственным источником для получения азотной кислоты.</w:t>
      </w:r>
    </w:p>
    <w:p w14:paraId="1559C1F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Общее производство взрывчатых веществ достигло к концу 1916 г. 148 тыс. пуд. в месяц, тогда как в декабре Г915 г. оно достигало 72 тыс. пуд. Всего в 1916 г. выработано 1 млн. 400 тыс. пуд. взрывчатых веществ, т. е. почти в три раза более, чем за 1915 год.</w:t>
      </w:r>
    </w:p>
    <w:p w14:paraId="2F73A84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Производством серной кислоты для обеспечения заводов взрывчатых веществ и по</w:t>
      </w:r>
      <w:r w:rsidRPr="002F2FDF">
        <w:rPr>
          <w:rFonts w:ascii="Times New Roman" w:hAnsi="Times New Roman" w:cs="Times New Roman"/>
          <w:color w:val="000000" w:themeColor="text1"/>
          <w:kern w:val="2"/>
          <w:sz w:val="16"/>
          <w:szCs w:val="16"/>
        </w:rPr>
        <w:softHyphen/>
        <w:t>роховых было занято 33 завода, и в конце 1916 г. пущено в ход еще 16 заводов. По сравне</w:t>
      </w:r>
      <w:r w:rsidRPr="002F2FDF">
        <w:rPr>
          <w:rFonts w:ascii="Times New Roman" w:hAnsi="Times New Roman" w:cs="Times New Roman"/>
          <w:color w:val="000000" w:themeColor="text1"/>
          <w:kern w:val="2"/>
          <w:sz w:val="16"/>
          <w:szCs w:val="16"/>
        </w:rPr>
        <w:softHyphen/>
        <w:t>нию с 1915 г. выработка серной кислоты увеличилась почти вдвое, дойдя до 1 млн. 500 тыс. пуд. в месяц. Выработка азотной кислоты увеличилась в 1,5 раза.</w:t>
      </w:r>
    </w:p>
    <w:p w14:paraId="030A98F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заказанного и купленного в России и за границей в отчетном году прибыло следу</w:t>
      </w:r>
      <w:r w:rsidRPr="002F2FDF">
        <w:rPr>
          <w:rFonts w:ascii="Times New Roman" w:hAnsi="Times New Roman" w:cs="Times New Roman"/>
          <w:color w:val="000000" w:themeColor="text1"/>
          <w:kern w:val="2"/>
          <w:sz w:val="16"/>
          <w:szCs w:val="16"/>
        </w:rPr>
        <w:softHyphen/>
        <w:t>ющее количество взрывчатых веществ: тротила- 618 500 пуд.; аммонала- 435 500 пуд.; шнейдерита — 209 300 пуд.; пикриновой кислоты — 682 тыс. пуд.; аммиачной селитры — 1 124 300 пуд.; прочих взрывчатых веществ — 142 900 пуд. и сырых материалов — около 7 млн. пуд.</w:t>
      </w:r>
    </w:p>
    <w:p w14:paraId="4899E21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Начиная с отчетного года потребность в порохе также сильно возросла, и ныне на срок до 1 июля 1918 г. требуется дымного пороха 1 241 200 пудов и бездымного 6 млн. 49 тыс. пуд.</w:t>
      </w:r>
    </w:p>
    <w:p w14:paraId="5282667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счет этой потребности в отчетном году заказано отечественным казенным и част</w:t>
      </w:r>
      <w:r w:rsidRPr="002F2FDF">
        <w:rPr>
          <w:rFonts w:ascii="Times New Roman" w:hAnsi="Times New Roman" w:cs="Times New Roman"/>
          <w:color w:val="000000" w:themeColor="text1"/>
          <w:kern w:val="2"/>
          <w:sz w:val="16"/>
          <w:szCs w:val="16"/>
        </w:rPr>
        <w:softHyphen/>
        <w:t>ным заводам: дымного пороха — 196 370 пуд. и бездымного — 918 600 пуд., заграничным заводам: дымного — 196 400 пуд.; бездымного — 2 212 400 пуд.</w:t>
      </w:r>
    </w:p>
    <w:p w14:paraId="6FA1CE3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течение года поступило: с отечественных заводов и из-за границы дымного пороха около 310 тыс. пуд. и бездымного— 2 млн. 594 тыс. пуд.</w:t>
      </w:r>
    </w:p>
    <w:p w14:paraId="2D716F9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Кроме того, переделано бездымного пороха выделки прежних лет 2190 пуд.</w:t>
      </w:r>
    </w:p>
    <w:p w14:paraId="73D3030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увеличением числа требуемых снарядов увеличилась потребность во взрывателях, дистанционных трубках и капсюльных втулках.</w:t>
      </w:r>
    </w:p>
    <w:p w14:paraId="01289B4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вновь составленной программе, потребность с 1 января 1917 г. по 1 июля 1918 г. определена: взрывателей разных марок— 60 млн. 900 тыс., дистанционных трубок-44 млн. 630 тыс. и капсюльных втулок — 103 млн. 640 тыс. штук.</w:t>
      </w:r>
    </w:p>
    <w:p w14:paraId="0DD8F9F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отчетный год прибыло с отечественных заводов и из-за границы: взрывателей — 14 805 506, дистанционных трубок — 19 225 393, капсюльных втулок — 30 748 550.</w:t>
      </w:r>
    </w:p>
    <w:p w14:paraId="57F9203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Особые заготовления. Сверх обеспечения армий общими предметами артиллерийс</w:t>
      </w:r>
      <w:r w:rsidRPr="002F2FDF">
        <w:rPr>
          <w:rFonts w:ascii="Times New Roman" w:hAnsi="Times New Roman" w:cs="Times New Roman"/>
          <w:color w:val="000000" w:themeColor="text1"/>
          <w:kern w:val="2"/>
          <w:sz w:val="16"/>
          <w:szCs w:val="16"/>
        </w:rPr>
        <w:softHyphen/>
        <w:t>кого довольствия, принимались все меры к дальнейшему обеспечению различными сред</w:t>
      </w:r>
      <w:r w:rsidRPr="002F2FDF">
        <w:rPr>
          <w:rFonts w:ascii="Times New Roman" w:hAnsi="Times New Roman" w:cs="Times New Roman"/>
          <w:color w:val="000000" w:themeColor="text1"/>
          <w:kern w:val="2"/>
          <w:sz w:val="16"/>
          <w:szCs w:val="16"/>
        </w:rPr>
        <w:softHyphen/>
        <w:t>ствами борьбы, выдвинутыми настоящей войной.</w:t>
      </w:r>
    </w:p>
    <w:p w14:paraId="0B54B90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отчетном году при ГАУ на все время войны был учрежден специальный Химичес</w:t>
      </w:r>
      <w:r w:rsidRPr="002F2FDF">
        <w:rPr>
          <w:rFonts w:ascii="Times New Roman" w:hAnsi="Times New Roman" w:cs="Times New Roman"/>
          <w:color w:val="000000" w:themeColor="text1"/>
          <w:kern w:val="2"/>
          <w:sz w:val="16"/>
          <w:szCs w:val="16"/>
        </w:rPr>
        <w:softHyphen/>
        <w:t>кий комитет по изысканию и заготовлению взрывчатых, удушающих и зажигательных веществ, в который вошла и учрежденная в 1915 г. при том же управлении Комиссия по изысканию и заготовлению удушающих и зажигательных средств. В Химический же ко</w:t>
      </w:r>
      <w:r w:rsidRPr="002F2FDF">
        <w:rPr>
          <w:rFonts w:ascii="Times New Roman" w:hAnsi="Times New Roman" w:cs="Times New Roman"/>
          <w:color w:val="000000" w:themeColor="text1"/>
          <w:kern w:val="2"/>
          <w:sz w:val="16"/>
          <w:szCs w:val="16"/>
        </w:rPr>
        <w:softHyphen/>
        <w:t>митет из управления бывшего верховного начальника санитарной и эвакуационной час</w:t>
      </w:r>
      <w:r w:rsidRPr="002F2FDF">
        <w:rPr>
          <w:rFonts w:ascii="Times New Roman" w:hAnsi="Times New Roman" w:cs="Times New Roman"/>
          <w:color w:val="000000" w:themeColor="text1"/>
          <w:kern w:val="2"/>
          <w:sz w:val="16"/>
          <w:szCs w:val="16"/>
        </w:rPr>
        <w:softHyphen/>
        <w:t>ти было передано все дело по борьбе с удушливыми газами.</w:t>
      </w:r>
    </w:p>
    <w:p w14:paraId="4C4B0CC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отчетном году Химическим комитетом произведены следующие работы:</w:t>
      </w:r>
    </w:p>
    <w:p w14:paraId="7635C97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испытания и изучения свойств различных удушающих средств выработаны осо</w:t>
      </w:r>
      <w:r w:rsidRPr="002F2FDF">
        <w:rPr>
          <w:rFonts w:ascii="Times New Roman" w:hAnsi="Times New Roman" w:cs="Times New Roman"/>
          <w:color w:val="000000" w:themeColor="text1"/>
          <w:kern w:val="2"/>
          <w:sz w:val="16"/>
          <w:szCs w:val="16"/>
        </w:rPr>
        <w:softHyphen/>
        <w:t>бые методы, быстро определяющие физические свойства и практическую пригодность различных удушающих средств; разработаны способы снаряжения снарядов сильнодей</w:t>
      </w:r>
      <w:r w:rsidRPr="002F2FDF">
        <w:rPr>
          <w:rFonts w:ascii="Times New Roman" w:hAnsi="Times New Roman" w:cs="Times New Roman"/>
          <w:color w:val="000000" w:themeColor="text1"/>
          <w:kern w:val="2"/>
          <w:sz w:val="16"/>
          <w:szCs w:val="16"/>
        </w:rPr>
        <w:softHyphen/>
        <w:t>ствующими газами и произведены батарейные стрельбы для испытания действия этих снарядов. Результатом произведенных опытов было введение новых веществ и замена некоторых прежде употреблявшихся веществ более энергичными. Кроме удушающих средств, изготовлялись ядовитые вещества. Всего в отчетном году изготовлено около 240 тыс. пуд. удушающих и ядовитых веществ. В настоящее время выработка удушающих и ядовитых веществ производится на 30 заводах, и в 1917 г. будут пущены в ход еще 11 заводов.</w:t>
      </w:r>
    </w:p>
    <w:p w14:paraId="087FBE2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отчетный год снаряжено 1 257096 шт. 3-дм удушающих снарядов и 161 806— ядо</w:t>
      </w:r>
      <w:r w:rsidRPr="002F2FDF">
        <w:rPr>
          <w:rFonts w:ascii="Times New Roman" w:hAnsi="Times New Roman" w:cs="Times New Roman"/>
          <w:color w:val="000000" w:themeColor="text1"/>
          <w:kern w:val="2"/>
          <w:sz w:val="16"/>
          <w:szCs w:val="16"/>
        </w:rPr>
        <w:softHyphen/>
        <w:t>витых.</w:t>
      </w:r>
    </w:p>
    <w:p w14:paraId="27AE3D2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настоящее время заготовляются химические мины и ручные химические гранаты и ведутся опыты и опытные стрельбы тяжелыми химическими снарядами. &lt;...&gt;</w:t>
      </w:r>
    </w:p>
    <w:p w14:paraId="626BCA7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РГВИА. Ф. 1.Оп. 2.Д. 179. Л. 1 об., 17-18, 20-22. Типогр. экз. (10707,626).</w:t>
      </w:r>
    </w:p>
    <w:p w14:paraId="5C4423C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1C97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начале 1917 г. строительство Пензенского трубочного завода находилось в следующем состоянии. Главное здание, составлявшее по площади около 60% проектных площадей всех производственных зданий, было выстроено под крышу. Построены были склады, водонапорная башня к пр. здания вспомогательного назначения. Проведена железная дорога. После некоторой остановки, связанной с событиями революции, строительство в дальнейшем продолжалось, но медленным темпом и уже по измененному заданию (11329). </w:t>
      </w:r>
    </w:p>
    <w:p w14:paraId="0CDDA1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7D28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был пущен завод азотной кислоты в Юзово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Пг., 1921.). Производство взрывчатых веществ требовало большого количества азотной кислоты. В России до войны ее получали из привозного сырья – чилийской селитры, поступление которой с началом войны прекратилось. Комиссия по заготовке взрывчатых веществ столкнулась с необходимостью разработки способа получения азотной кислоты из аммиака, получаемого в больших количествах при коксовании угля. Эта комиссия, а затем и Химический комитет при ГАУ руководили разработкой и созданием лабораторной установки по производству азотной кислоты из аммиака, заводскими опытами на бензольном заводе в Макеевке, а позже – строительством завода по производству азотной кислоты в Юзово (11781).</w:t>
      </w:r>
    </w:p>
    <w:p w14:paraId="357FA3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A219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был пущен второй Казанский пороховой завод (11329).</w:t>
      </w:r>
    </w:p>
    <w:p w14:paraId="71C009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2F72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начале 1917 г. в Москве был образован Центральный орган для объединения работ подготовительных комиссий, подходивших к концу. 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0A3757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0825CB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2CEF93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7E020F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1A44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года в Главном военно-техническом управлении обсуждался подробно разработанный проект перевода артиллерии русской армии на тракторную тягу. В этом проекте было дано и теоретическое обоснованиенеобходимости широкого внедрения гусеничного движителя в артиллерию.</w:t>
      </w:r>
    </w:p>
    <w:p w14:paraId="7ACF0E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Применительно к основной цели проекта были определены желательные типы тракторов. Была также обоснована целесообразность введения самоходных гусеничных лафетов. Проект, намного опережавший экономические возможности тогдашней России,остался нереализованным (11194).</w:t>
      </w:r>
    </w:p>
    <w:p w14:paraId="746CE3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540D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начале 1917 года для установки 10"/45 орудий Морское ведомство выделило ПМЗ два 50-тонных восьмиосных транспортера, которыеслужили для перевозки тяжелых корабельных конструкций из Петербурга на Черное море (11870). </w:t>
      </w:r>
    </w:p>
    <w:p w14:paraId="039DF8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5D83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года на заводе Лебедева работало более 100 человек. Завод стал третьим по величине металлообрабатывающим предприятием в Ярославле.</w:t>
      </w:r>
    </w:p>
    <w:p w14:paraId="448F2D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Продолжалось строительство основного железобетонного корпуса. В трех временных мастерских работа шла полным ходом: пока завод готовился к производству автомобилей – ожидали поставок оборудования английскими и американскими фирмами, - здесь уже выпустили 285 кабин и 185 кузовов для санитарных автомобилей “Рено”. Лебедев закупил в Англии комплекты автомобилей “Кросслей” для организации их сборки в Ярославле, но удалось собрать только один автомобиль.</w:t>
      </w:r>
    </w:p>
    <w:p w14:paraId="43CC81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июлю 1917 года основные корпуса завода были готовы на 90 процентов, их оснащение оборудованием планировалось закончить к ноябрю. Четверть станков уже была на месте, поставка остальных задерживалась из-за трудностей морских перевозок в условиях войны и паралича транспортной системы России.</w:t>
      </w:r>
    </w:p>
    <w:p w14:paraId="1798E1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Сразу после свершения октябрьской революции 1917 года директор Карпов уехал в Петроград, объявив всех рабочих, за исключением 42 человек – охраны, конюхов, подсобных рабочих и нескольких специалистов, уволенными. Автозаводцы считали, что администрация устроила саботаж. Не менее реальная причина закрытия предприятия 15 ноября 1917 года – в кассе правления отсутствовали деньги. Положенной третьей части аванса акционерному обществу Лебедева Главное Военно-техническое управление так и не выдало.</w:t>
      </w:r>
    </w:p>
    <w:p w14:paraId="5F16C3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Рабочие и служащие взяли инициативу в свои руки. Созданная ими техническая комиссия после осмотра завода пришла к выводу, что состояние предприятия позволяет использовать его для капитального ремонта автомобилей в широком масштабе. </w:t>
      </w:r>
    </w:p>
    <w:p w14:paraId="07607A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368A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года "Вестник инженеров" поместил исследования Б. К. Млодзеевского "К теории управления в автомобилях", а 19 августа 1917 года профессор Н. Е. Жуковский сделал в Московском математическом обществе сообщение "К динамике автомобиля" о теоретическом анализе сил инерции автомобиля при его движении на повороте". В области теории двигателей (применимой и к автомобильным силовым установкам) большую роль сыграла работа профессора В. И. Гриневецкого (1907 г.), которая содержала методы теплового расчета двигателей внутреннего сгорания (12098).</w:t>
      </w:r>
    </w:p>
    <w:p w14:paraId="166F2B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E0EDE0" w14:textId="77777777" w:rsidR="00FF1A24" w:rsidRPr="002F2FDF" w:rsidRDefault="00FF1A24" w:rsidP="0083075A">
      <w:pPr>
        <w:pStyle w:val="ae"/>
        <w:spacing w:before="0" w:after="0"/>
        <w:jc w:val="both"/>
        <w:rPr>
          <w:color w:val="000000" w:themeColor="text1"/>
          <w:kern w:val="2"/>
          <w:sz w:val="16"/>
          <w:szCs w:val="16"/>
        </w:rPr>
      </w:pPr>
      <w:r w:rsidRPr="002F2FDF">
        <w:rPr>
          <w:color w:val="000000" w:themeColor="text1"/>
          <w:kern w:val="2"/>
          <w:sz w:val="16"/>
          <w:szCs w:val="16"/>
        </w:rPr>
        <w:t>В начале 1917 года в Нижнем Новгороде вошел в строй действующих новый телефонный завод «Сименс и Гальске». Завод сразу же приступил к выполнению крупного заказа – на военно-полевые и форпостные телефоны, и в апреле того же года была выпущена первая партия аппаратов – 1400 комплектов. На заводе работало около тысячи человек, которые делали до 4000 телефонных аппаратов. Но государственные заказы были вскоре аннулированы, и в 1918-м завод выпускает уже всякую мелочевку: зажигалки, шурупы, гири-разновесы, косы, серпы и прочие форсунки для Госпароходства, и даже пуговицы Швейпрому. Так, хотя и теряя лучшие кадры и оборудование, завод на Арзамасском тракте продержался все годы «разрухи» (15736).</w:t>
      </w:r>
    </w:p>
    <w:p w14:paraId="6D1293F2" w14:textId="77777777" w:rsidR="00FF1A24" w:rsidRPr="002F2FDF" w:rsidRDefault="00FF1A24" w:rsidP="0083075A">
      <w:pPr>
        <w:pStyle w:val="ae"/>
        <w:spacing w:before="0" w:after="0"/>
        <w:jc w:val="both"/>
        <w:rPr>
          <w:color w:val="000000" w:themeColor="text1"/>
          <w:kern w:val="2"/>
          <w:sz w:val="16"/>
          <w:szCs w:val="16"/>
        </w:rPr>
      </w:pPr>
    </w:p>
    <w:p w14:paraId="7CC2A87E" w14:textId="77777777" w:rsidR="003431D2" w:rsidRPr="002F2FDF" w:rsidRDefault="003431D2" w:rsidP="0083075A">
      <w:pPr>
        <w:shd w:val="clear" w:color="auto" w:fill="FFFFFF"/>
        <w:tabs>
          <w:tab w:val="left" w:pos="343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Начало 1917 года ознаменовалось новым мощным выступлением рабочих. Семьсот человек рабочих РОБТиТ отме</w:t>
      </w:r>
      <w:r w:rsidRPr="002F2FDF">
        <w:rPr>
          <w:rFonts w:ascii="Times New Roman" w:hAnsi="Times New Roman" w:cs="Times New Roman"/>
          <w:color w:val="000000" w:themeColor="text1"/>
          <w:kern w:val="2"/>
          <w:sz w:val="16"/>
          <w:szCs w:val="16"/>
        </w:rPr>
        <w:softHyphen/>
        <w:t>тили забастовкой традиционный день памяти жертв первой рус</w:t>
      </w:r>
      <w:r w:rsidRPr="002F2FDF">
        <w:rPr>
          <w:rFonts w:ascii="Times New Roman" w:hAnsi="Times New Roman" w:cs="Times New Roman"/>
          <w:color w:val="000000" w:themeColor="text1"/>
          <w:kern w:val="2"/>
          <w:sz w:val="16"/>
          <w:szCs w:val="16"/>
        </w:rPr>
        <w:softHyphen/>
        <w:t>ской революции 9 января (11481).</w:t>
      </w:r>
    </w:p>
    <w:p w14:paraId="52C6D419" w14:textId="77777777" w:rsidR="003431D2" w:rsidRPr="002F2FDF" w:rsidRDefault="003431D2" w:rsidP="0083075A">
      <w:pPr>
        <w:shd w:val="clear" w:color="auto" w:fill="FFFFFF"/>
        <w:tabs>
          <w:tab w:val="left" w:pos="3437"/>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C3935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и в 1916 г. радиостанции и пеленгаторы в Балтийском море и на островах Энксе, Люм, Преете и др. Начали также строить дуговою радиостанцию, но не успели её закончить, так как немцы начали с аэронланов обстре</w:t>
      </w:r>
      <w:r w:rsidRPr="002F2FDF">
        <w:rPr>
          <w:rFonts w:ascii="Times New Roman" w:hAnsi="Times New Roman" w:cs="Times New Roman"/>
          <w:color w:val="000000" w:themeColor="text1"/>
          <w:kern w:val="2"/>
          <w:sz w:val="16"/>
          <w:szCs w:val="16"/>
        </w:rPr>
        <w:softHyphen/>
        <w:t>ливать стройку из пулеметов (11481).</w:t>
      </w:r>
    </w:p>
    <w:p w14:paraId="59F7EB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240C2B"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года на основе завода "Карболит", ранее принадлежавшего торговому дому "Васильев и К°", было учреждено Товарищество на паях "Карболит". Заведующим заводом стал К.И.Тарасов. Видную роль в Товариществе на паях играл Г.С.Петров.</w:t>
      </w:r>
    </w:p>
    <w:p w14:paraId="5CF39241"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1919 года "Карболит" был национализирован. В то время производство размещалось в трех каменных двухэтажных корпусах, занимавшихся прежде шелкоткацкой фабрикой. На заводе работало 132 человека.</w:t>
      </w:r>
    </w:p>
    <w:p w14:paraId="073EB024"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национализации, став государственным предприятием, завод работал по заданиям Высшего Совета Народного Хозяйства (ВСНХ). В то время начиналось осуществление плана электрификации России и "Карболит" выпускал высоковольтные изоляторы. Они применялись на строительстве электролиний первых советских электростанций - Шатурской, Каширской, а также для "Электропередачи". В 1920 году завод выпустил продукции 22 тонны - плиты, телефонные трубки, электровыключатели.</w:t>
      </w:r>
    </w:p>
    <w:p w14:paraId="0AF81778"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декабре 1920 года карболитовцы изготовили в подарок В.И.Ленину чернильный прибор из темно-коричневого литого карболита, посвященный идеям электрификации России. На плите - чернильница в виде изолятора, по обе стороны от нее - электроопоры с проводами и кронштейны с электрическими лампочками. Ленин оставил прибор в своем кремлевском кабинете.</w:t>
      </w:r>
    </w:p>
    <w:p w14:paraId="6AA90785"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1923 году завод освоил выпуск детекторов для радиоприемников, выпускал клеммы, переключатели, ручки. Делали их на ручных прессах. В 1922-1923 годах разработали и освоили технологию изготовления прессовочных порошков и метод горячего прессования. Гидропрессы делали сами, чугунные детали отливали на заводе имени Барышникова в Орехово-Зуеве. В 1924 году установили первые гидропрессы, появились пресс-формы с электрообогревом.</w:t>
      </w:r>
    </w:p>
    <w:p w14:paraId="71926A9B"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1923 году изделия "Карболита" демонстрировались на Всероссийской сельскохозяйственной выставке в Москве и получили высшую награду.</w:t>
      </w:r>
    </w:p>
    <w:p w14:paraId="1910AEBA"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Начиная с 1920 года, в московском правлении завода "Карболит" в качестве консультанта, заведующего испытаниями продукции завода и заведующего научно-техническими исследованиями карболита в комиссии "Карболит" при Совнархозе служил Павел Александрович Флоренский. В дальнейшем он был заместителем директора по научной части. Его перу принадлежит изданная в 1928 году в Москве монография "Карболит".</w:t>
      </w:r>
    </w:p>
    <w:p w14:paraId="300BD722"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1923/24-ом хозяйственном году государственный электротехнический завод "Карболит" выпустил 202648 выключателей, 34033 переключателя, 204289 штепсельных вилок, 882399 деталей для рубильников, 5355 килограммов плит. В 1925 году на заводе работал 221 человек.</w:t>
      </w:r>
    </w:p>
    <w:p w14:paraId="51490AB8"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1925-1926 годах образован прессовый цех, базой которого стало впервые осуществленное в стране горячее прессование изделий в отличие от холодной штамповки. Горячее прессование порошка - это более высокая ступень в переработке пластмасс, этот метод сохранил свое значение вплоть до наших дней.</w:t>
      </w:r>
    </w:p>
    <w:p w14:paraId="7A2D06BD"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1926 году единственный производитель пластмасс в России "Карболит" входил в трест "Электросвязь". Промышленные тресты были самостоятельны, сами приобретали топливо и сырье, реализовывали товары. Закон разрешал им действовать на началах коммерческого расчета с целью извлечения прибыли. В 1926/27-ом хозяйственном году на заводе работало 289, в 1927/28 году - 438 человек, в том числе 22 инженерно-технических работника.</w:t>
      </w:r>
    </w:p>
    <w:p w14:paraId="2C686EF5"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1928 году постановлением ВЦИК "Карболит" вместе с Подгорной текстильной фабрикой и деревней Дубровкой был включен в черту города Орехово-Зуево.</w:t>
      </w:r>
    </w:p>
    <w:p w14:paraId="3D756EDE"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1929 году по плану первой пятилетки на заводе развернулось промышленное строительство. Были увеличены мощности котельной, расширена электроподстанция, пущен новый корпус цеха смол. Выпуск клеммовых коробок дал возможность наладить в СССР собственное производство электрических счетчиков. Карболит успешно применялся для изготовления аккумуляторных коробок.</w:t>
      </w:r>
    </w:p>
    <w:p w14:paraId="5D2B0786"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Новый химический корпус (1928 г .) выпускал пресс-порошки, смолы и лаки. Весной 1929 года на заводе, как и во всей стране, началось социалистическое соревнование за досрочное выполнение заданий пятилетки, создавали цехи и бригады-коммуны. С сентября 1929 года начался перевод завода на непрерывную шестидневную рабочую неделю, что способствовало увеличению выпуска продукции. С 1 мая 1930 года завод переведен на 7-часовой рабочий день.</w:t>
      </w:r>
    </w:p>
    <w:p w14:paraId="56CC8774"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1931 году был организован инструментальный цех, тогда же началось освоение новых фенольных и резольных порошков. Пуск автомобильных, тракторных, авиационных предприятий потребовал новых пластмассовых деталей. Они выпускались во втором прессовом, автотракторном цехе. 30 июня 1931 года на заводе вышел первый номер многотиражной газеты "Карболитовец".</w:t>
      </w:r>
    </w:p>
    <w:p w14:paraId="7F755CEE"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1931 году началась полная реконструкция завода, был создан трест "Ореховострой", который и вел реконструкцию. Завод досрочно справился с контрольными цифрами первой пятилетки. За это время выпуск продукции увеличился в 7,5 раза. В 1932 году на заводе работало 863 человека.</w:t>
      </w:r>
    </w:p>
    <w:p w14:paraId="547B16F6"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Всесоюзное объединение электропромышленности, в состав которого входил "Карболит", начало осуществление проекта "Большой Карболит". В 1930 году вчерне построили три основных корпуса - химический (варка), порошковый и прессовый. В 1931 году "Карболит" вместе со строительными организациями перешел в объединение "Союзхимпластмасс", у которого был более широкий профиль. Научно-технический совет объединения постепенно увеличивал мощность предприятия, видоизменял и усложнял его профиль.</w:t>
      </w:r>
    </w:p>
    <w:p w14:paraId="112CC8FE"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Дефицит цветных металлов побудил срочно приступить к выпуску текстолитов и асфальтопековых масс и наладить производство из них вкладышей подшипников и аккумуляторных баков. У завода появились новые потребители; транспорт (автоблокировка, ролики для эскалаторов и другое), промышленность искусственного шелка (кислотоупорная аппаратура для нес). "Карболит" выпускал также детали телефонов, точных инструментов и товары широкого потребления. По генплану "Большой Карболит" должен выпускать смолы и на их основе прессовочные, порошковые и другие материалы и в то же время производить изделия из своих пластиков.</w:t>
      </w:r>
    </w:p>
    <w:p w14:paraId="7E2761C8"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Преимущество такого предприятия - в возможности в одном месте провести весь процесс от подготовки материалов, пресс-форм и арматуры до отпрессования и испытания новых изделий. При этом учитывалось благоприятное расположение завода в центре самого крупного тогда промышленного района, хорошие пути сообщения, железнодорожные и шоссейные, для доставки сырья и отправки готовой продукции. Намечалось соорудить железнодорожную подъездную ветку, соединяющую завод с железнодорожной станцией, Проект предусматривал значительное жилищное строительство. Люди жили тесно, половина домов не имела водопровода и канализации. В среднем на одного проживающего приходилось 2,2 квадратных метра,</w:t>
      </w:r>
    </w:p>
    <w:p w14:paraId="47DF279F"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второй пятилетке (1933-1937 гг.) продолжалось начатое в 1931 году строительство. Был освоен выпуск фурфурольных смол и новых видов пресс-порошков, текстолита, смол и лаков. Из новых цветных пресс-порошков делали пуговицы, корпуса для авторучек и бритвенных приборов, оригинальной конструкции настольные лампы.</w:t>
      </w:r>
    </w:p>
    <w:p w14:paraId="56FFE33D"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Продолжались реконструкция и расширение завода. Во время второй пятилетки построили главный механический корпус, здание цеха пресс-порошков, пековарочный цех, новую котельную, кузницу, электроподстанцию. В 1935 году открылось отделение пропитки тканей, и карболитовцы начали поставлять предприятиям машиностроительной, авиационной и судостроительной промышленности текстолиты - слоистые пластики, изготовляемые на основе различных тканей, пропитанных синтетической смолой. Одна из особенностей слоистых пластиков - высокая прочность. В 1935 году на заводе начало развиваться стахановское движение.</w:t>
      </w:r>
    </w:p>
    <w:p w14:paraId="31BD8B41"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1937 году, открывшем третью пятилетку, на заводе работало более пяти тысяч человек. Репрессии, которыми отмечен тот год, не обошли и "Карболит". Был арестован директор завода Г.И.Левин. Руководство завода обвинялось во вредительстве. Были арестованы мастер Кабин, член профкома Волков, начальник инструментального цеха Дубинский, начальник прессового цеха Бендовский и другие.</w:t>
      </w:r>
    </w:p>
    <w:p w14:paraId="4F940C43"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Начавшаяся в 1939 году вторая мировая война осложнила и затруднила работу предприятия. Значительно изменилась номенклатура продукции. Появились перебои в поставках сырья. Часть мощностей не использовалась из-за несоответствия новому профилю производства. Завод лихорадило. Но в целом он выполнял все ответственные задания.</w:t>
      </w:r>
    </w:p>
    <w:p w14:paraId="7DA74366"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1940 году начали прокладывать железнодорожную ветку, соединяющую завод с Ярославской железной дорогой. Война помешала завершить прокладку. Ветку "Карболит" - Поточино закончили в 1943 году. Ею пользовались, кроме "Карболита", Дехиховский машиностроительный завод и другие предприятия. Во время войны эта маленькая железнодорожная артерия действовала бесперебойно, перебрасывая в течение суток из конца в конец по 30-35 вагонов - целый эшелон.</w:t>
      </w:r>
    </w:p>
    <w:p w14:paraId="14D190D3"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время войны завод работал на военные нужды. В середине октября 1941 года по распоряжению Наркомхимпрома начался демонтаж оборудования с целью эвакуации завода в Сибирь. В первых числах ноября сформировали первый эшелон, оборудование и людей отправляли, используя железнодорожную ветку, соединяющую завод с Ярославской железной дорогой. К середине ноября ореховозуевский завод "Карболит" перестал существовать. Вместе с оборудованием были вывезены 385 рабочих и специалистов и 432 члена их семей.</w:t>
      </w:r>
    </w:p>
    <w:p w14:paraId="46ADB05D"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эвакуировали в Кемерово. 3 февраля 1942 г. кемеровский "Карболит" выпустил первую продукцию. В то же время эвакуация завода из Орехово-Зуева была в конце ноября приостановлена. 5 декабря 1941 года Государственный Комитет Обороны (ГКО) отдал приказ возобновить на заводе в Орехово-Зуеве производство пластических масс и изделий из них. Днем и ночью вели рабочие монтаж оборудования, пустили 50-тонные прессы, гидрокомпрессорную станцию, и вскоре начали выпускать головки для минометных мин и детали взрывателя.</w:t>
      </w:r>
    </w:p>
    <w:p w14:paraId="1053C517"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1942 года на заводе частично действовали три цеха. Помимо оборонной продукции завод выпускал бакелитовые изделия, автокранные детали, изделия автоблокировки, электроизмерительные, электроустановочные и радиодетали, хозяйственную продукцию, школьно-письменные принадлежности. А.Ф.Киселева, А.Г.Дарьина, Т.И.Тюляева, Т.И.Варламова и другие женщины овладели мужскими профессиями прессовщиков.</w:t>
      </w:r>
    </w:p>
    <w:p w14:paraId="78BCCD02"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Занимаясь восстановлением предприятия, карболитовцы в 1942 году приняли вывезенное из Ленинграда производство органического стекла и быстро наладили выпуск новой продукции. В 1943 году завод поставил детали для метростроя. Три четверти всего объема производства занимала оборонная продукция. С началом освобождения оккупированных врагом территорий увеличивался выпуск электропатронов, розеток, выключателей.</w:t>
      </w:r>
    </w:p>
    <w:p w14:paraId="7E11B4C4"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1944 году под руководством главного инженера завода М.И.Гарбара и начальника научно-исследовательской лаборатории А.Д.Соколова была освоена технология выпуска новых видов продукции - сухой резольной смолы и пресс-порошков на ее основе, карбамидного волокнита и гибкого текстолита. В 1945 году начали осваивать новейшие литьевые машины.</w:t>
      </w:r>
    </w:p>
    <w:p w14:paraId="0850CAE7"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войны и в военное время "Карболит" был основным и самым крупным заводом СССР по производству фенопластов и на их основе - пресс-изделий. Послевоенный профиль завода - работа на нужды промышленности и выпуск товаров народного потребления. Развитие автомобилестроения, авиационной, машиностроительной и других отраслей промышленности потребовало значительного увеличения выпуска пластмасс и изделий из них. Особая роль отводилась "Карболиту", находящемуся в промышленном центре России, имевшему кадры опытных рабочих и специалистов. В Кемерове работал рожденный в войну "Карболит".</w:t>
      </w:r>
    </w:p>
    <w:p w14:paraId="1E84B199"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Работали в первые послевоенные годы, переживая трудности. Жестко лимитировался отпуск электроэнергии, не хватало топлива, древесной муки, силикатного стекла. В 1946 году освоили выпуск продукции из новой пластмассы-полистирола. Новый материал отличался высокой прочностью, легко окрашивался во всевозможные светлые тона. В 1947 году смонтировали и пустили конвейер по сборке выключателей. На заводе появились новые пропиточные машины, установка для закалки металлических изделий токами высокой частоты. Большую роль в развитии лаборатории, всей заводской науки играл кандидат химических наук Александр Дмитриевич Соколов, крупный ученый в области пластических масс.</w:t>
      </w:r>
    </w:p>
    <w:p w14:paraId="639DFE77"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заводе делали декоративные детали для новых легковых автомобилей "ЗиС-110", "Победа", "Москвич". К началу выпуска этих машин спроектировали и изготовили пресс-формы, разработали рецептуру и технологию производства. Был также освоен выпуск пористых материалов и изделий из них, текстолитовых цельнопрессованных подшипников для прокатных станов "Азовстали" и Краматорского завода. По специальному заказу карболитовцы сделали рассеиватели света, установленные в МГУ и в варшавском Дворце науки. Были освоены пресс-порошки для зубопротезной отрасли медицины, выпущены образцы цельнопрессованных подшипников для прокатных станов с высокими физико-механическими свойствами.</w:t>
      </w:r>
    </w:p>
    <w:p w14:paraId="3F380ACD"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пятилетие (1951 – 1955 гг.) выпуск продукции увеличился более, чем вдвое. По сравнению с довоенным уровнем объем производства возрос в 5,7 раза. Завод продолжал оставаться основным поставщиком пластмассовых деталей для автомобильной промышленности. В 1954 году для этой отрасли было выпущено около 22 миллионов различных изделий. Требования к ним росли. Штурвалы, например, должны выдерживать как очень высокую, так и очень низкую температуру, чтобы могли работать и в Арктике, и в тропиках.</w:t>
      </w:r>
    </w:p>
    <w:p w14:paraId="64031FB4"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50-х годов на заводе имелось производство новолачных и резольных пресс-порошков, а также порошков специального назначения, идущих на изготовление различных технических и бытовых изделий. Завод выпускал волокнистые материалы, волокнит для изделий повышенной прочности и асбомассы, на основе которых готовили детали тормозных колодок экскаваторов, поездов метро и др. Большим производством было изготовление пропитанных хлопчатобумажных и стеклянных тканей - основ для выпуска конструктивных листовых материалов - текстолита и стеклотекстолита, крупных вкладышей подшипников прокатных станов для большинства металлургических заводов страны.</w:t>
      </w:r>
    </w:p>
    <w:p w14:paraId="66E4364C"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Завод имел крупные цеха по переработке прессовочных и литьевых материалов, а также цех обработки и сборки готовых изделий. Их продукция шла на предприятия автомобильной, радиотехнической, авиационной, судостроительной и других отраслей промышленности, для комплектования машин и станков.</w:t>
      </w:r>
    </w:p>
    <w:p w14:paraId="5C03EFC1"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Крупнейшим событием в техническом развитии завода стало применение роторных линий для прессования изделий. Роторные линии создал академик Л.Н.Кошкин. Роторная - это автоматическая линия, в которой деталь обрабатывается на ходу, при ее транспортировке. Линия выполняет операции, которые раньше производились раздельно: весовая дозировка, таблетирование, подогрев таблеток, прессование, съем изделий. Весь процесс, начиная от дозировки и кончая выходом готового изделия, идет непрерывно, на ходу. Первую опытную роторную линию пустили в 1960 году.</w:t>
      </w:r>
    </w:p>
    <w:p w14:paraId="1E119967"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1967 году завод перешел на новую систему хозяйствования. "Карболит" располагал возможностями и нашел рычаги для осуществления экономической реформы и работы в новых условиях. Он имел значительную величину массы прибыли, рентабельность превышала среднеотраслевой уровень. Завод постоянно пополнял фонды предприятия. Устойчивое финансовое положение, надежный сбыт продукции, большая часть которой справедливо считалась дефицитной, и достаточно высокой по качеству, - все это позволяло коллективу справиться с работой в новых условиях планирования и экономического стимулирования.</w:t>
      </w:r>
    </w:p>
    <w:p w14:paraId="2436D98A"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1969 году "Карболит" начал выпускать первые комплекты деталей для новой машины "Жигули" Волжского автозавода (ВАЗ). Автомобильный завод еще строился, а "Карболит" уже участвовал в создании автомобиля, выпустив первые 10 тысяч комплектов пластмассовых изделий для ВАЗа. В каждом комплекте - 183 наименования деталей. Здесь – коробка вентилятора отопления, корпус переключения сигнала поворота и торможения, крупногабаритные перекладины обивки пола и многое другое. С каждым годом выпуск комплектующих нарастал, дойдя до двух тысяч комплектов каждый день.</w:t>
      </w:r>
    </w:p>
    <w:p w14:paraId="674443CB"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выпуска был выстроен литьевой корпус, который называли заводом в заводе. В конце 1971 года закончилось строительство второго корпуса литьевого цеха, монтировались новые литьевые машины - отечественные и зарубежные.</w:t>
      </w:r>
    </w:p>
    <w:p w14:paraId="40E9B995"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1985 году в СССР началась перестройка, на которую возлагали большие надежды. Завод переживал большие трудности. Он не успевал выполнять заказы ВАЗа и других автомобильных предприятий, ощущался недостаток рабочей силы. Был провозглашен курс на гласность и демократизацию, намечалось на базе ускорения научно-технического прогресса повысить темпы и эффективность развития экономики. В 1986 году, когда заводу исполнилось 70 лет, продолжились реконструкция и техническое перевооружение предприятия, строилось новое жилье. За десятилетие (1976- 1986) около 700 семей работников объединения улучшили жилищные условия. Ставилась задача к 2000 году каждую семью обеспечить отдельной квартирой. На заводе работало 5022 человека.</w:t>
      </w:r>
    </w:p>
    <w:p w14:paraId="6181661D"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 января 1987 года "Карболит" одним из четырех предприятии отрасли перешел на полный хозрасчет и самоокупаемость, что обеспечило рост производства и прибыли, которая возросла почти на 20 процентов. В 1981 году директором объединения стал Анатолий Николаевич Ветлов. Он - потомственный карболитовец, здесь работал его отец. Начинал токарем. По направлению завода окончил с отличием МВТУ имени Баумана. Работал мастером, конструктором, главным механиком, избирался председателем профкома. В 1991 году "Карболит" сохранял свои приоритеты и значение. Его химическую продукцию и комплектующие пластмассовые изделия получали более пяти тысяч предприятий почти всех отраслей промышленности.</w:t>
      </w:r>
    </w:p>
    <w:p w14:paraId="3C375056"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Годом раньше закончилась двенадцатая пятилетка, которая стала для объединения удачной. Выпуск товарной продукции увеличился на 35 процентов, производительность труда выросла в полтора раза. В 1990 году завод имел хорошее финансовое положение. Никому не должны, полностью рассчитались с государством, с поставщиками сырья и оборудования, имели средства в производственно-социальных фондах, осуществлялась и социальная программа. Введена в строй первая очередь поликлиники, отделали хозспособом задел 72-квартирного жилого дома (12628).</w:t>
      </w:r>
    </w:p>
    <w:p w14:paraId="3111B900" w14:textId="77777777" w:rsidR="00C9473E" w:rsidRPr="002F2FDF" w:rsidRDefault="00C9473E" w:rsidP="0083075A">
      <w:pPr>
        <w:spacing w:after="0" w:line="240" w:lineRule="auto"/>
        <w:jc w:val="both"/>
        <w:rPr>
          <w:rFonts w:ascii="Times New Roman" w:hAnsi="Times New Roman" w:cs="Times New Roman"/>
          <w:color w:val="000000" w:themeColor="text1"/>
          <w:kern w:val="2"/>
          <w:sz w:val="16"/>
          <w:szCs w:val="16"/>
        </w:rPr>
      </w:pPr>
    </w:p>
    <w:p w14:paraId="0FF312F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был подготовлен секретный доклад о деятельности Морского министерства за 1916 год</w:t>
      </w:r>
    </w:p>
    <w:p w14:paraId="7B2B38A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&lt;...&gt; XI. СУДОСТРОИТЕЛЬСТВО И ТЕХНИКА Общий обзор хода постройки кораблей</w:t>
      </w:r>
    </w:p>
    <w:p w14:paraId="4429AEA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Постройка боевых судов в Балтийском море по судостроительной программе 1912— 1916 гг.</w:t>
      </w:r>
    </w:p>
    <w:p w14:paraId="0E1EB8F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Линейные крейсера.</w:t>
      </w:r>
    </w:p>
    <w:p w14:paraId="4BAA328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Постройка линейных крейсеров типа “Измаил” достигла к 1 декабря 1916 г. следую</w:t>
      </w:r>
      <w:r w:rsidRPr="002F2FDF">
        <w:rPr>
          <w:rFonts w:ascii="Times New Roman" w:hAnsi="Times New Roman" w:cs="Times New Roman"/>
          <w:color w:val="000000" w:themeColor="text1"/>
          <w:kern w:val="2"/>
          <w:sz w:val="16"/>
          <w:szCs w:val="16"/>
        </w:rPr>
        <w:softHyphen/>
        <w:t>щей степени общей готовности:</w:t>
      </w:r>
    </w:p>
    <w:p w14:paraId="5B60F5E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“Измаил” 61 % (Балтийский завод)</w:t>
      </w:r>
    </w:p>
    <w:p w14:paraId="31C673B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“Кинбурн” 50 % То же</w:t>
      </w:r>
    </w:p>
    <w:p w14:paraId="2552E4D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“Бородино” 56 % (Адмиралтейский завод)</w:t>
      </w:r>
    </w:p>
    <w:p w14:paraId="7820E08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“Наварин” 50 % То же</w:t>
      </w:r>
    </w:p>
    <w:p w14:paraId="205229C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течение отчетного года спущен крейсер “Наварин”.</w:t>
      </w:r>
    </w:p>
    <w:p w14:paraId="0B1A957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Постройка крейсера “Измаил” в отчетном году была поставлена в первую очередь и одновременно приняты все меры к возможной готовности крейсера к лету 1918 года. Постройка остальных трех крейсеров поставлена во вторую очередь.</w:t>
      </w:r>
    </w:p>
    <w:p w14:paraId="15E395C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Легкие крейсера.</w:t>
      </w:r>
    </w:p>
    <w:p w14:paraId="56F492B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примеру предшествующего года, постройка легких крейсеров, в целях ускорения их изготовления, была разбита на две очереди, причем к первой очереди на Путиловском заводе отнесен крейсер “Адмирал Бутаков”, готовность которого к 1 декабря 1916 г. достигла 59 %.</w:t>
      </w:r>
    </w:p>
    <w:p w14:paraId="7FAE01A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заводе Русско-Балтийского общества в первую очередь изготовляется крейсер “Светлана”, достигший к 1 декабря 1916 г. готовности в 81 %.</w:t>
      </w:r>
    </w:p>
    <w:p w14:paraId="5183195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течение года спущены на воду крейсера:</w:t>
      </w:r>
    </w:p>
    <w:p w14:paraId="2D703A8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“Адмирал Бутаков” 28 июля 1916 г.</w:t>
      </w:r>
    </w:p>
    <w:p w14:paraId="45824D0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“Адмирал Спиридов” 27 августа 1916 г.</w:t>
      </w:r>
    </w:p>
    <w:p w14:paraId="32D19BF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“Адмирал Грейг” 26 ноября 1916 г.</w:t>
      </w:r>
    </w:p>
    <w:p w14:paraId="2E5878A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г. ожидается вступление в строй крейсера “Светлана”.</w:t>
      </w:r>
    </w:p>
    <w:p w14:paraId="131A053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Эскадренные миноносцы.</w:t>
      </w:r>
    </w:p>
    <w:p w14:paraId="6847320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отчетном году продолжалась постройка 27 миноносцев из числа 36 миноносцев программы 1912 года. Из них в течение года вступили в строй миноносцы:</w:t>
      </w:r>
    </w:p>
    <w:p w14:paraId="0E56F39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Постройки Металлического завода: “Орфей”, “Гром”, “Летун”, “Десна”, “Самсон” и “Азард”.</w:t>
      </w:r>
    </w:p>
    <w:p w14:paraId="38CC82E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Постройки Путиловского завода: “Капитан Изыльметьев” и “Лейтенант Ильин”.</w:t>
      </w:r>
    </w:p>
    <w:p w14:paraId="18C7EDC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Постройки Русско-Балтийского общества: “Гавриил”.</w:t>
      </w:r>
    </w:p>
    <w:p w14:paraId="48FACFA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Начаты приемные испытания миноносцев:</w:t>
      </w:r>
    </w:p>
    <w:p w14:paraId="58FD0F0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Постройки Русско-Балтийского Общества: “Константин”.</w:t>
      </w:r>
    </w:p>
    <w:p w14:paraId="7F35BBA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Постройки Общества Северо-Западных заводов: “Изяслав”.</w:t>
      </w:r>
    </w:p>
    <w:p w14:paraId="4B6D068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Спущены на воду миноносцы постройки Путиловского завода:</w:t>
      </w:r>
    </w:p>
    <w:p w14:paraId="309F610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“Капитан Кроун” 28 июля 1916 г.</w:t>
      </w:r>
    </w:p>
    <w:p w14:paraId="6D5AEF8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“Лейтенант Дубасов” 27 августа 1916 г.</w:t>
      </w:r>
    </w:p>
    <w:p w14:paraId="54A537D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течение 1917 г. ожидается вступление в строй пяти миноносцев постройки Пути</w:t>
      </w:r>
      <w:r w:rsidRPr="002F2FDF">
        <w:rPr>
          <w:rFonts w:ascii="Times New Roman" w:hAnsi="Times New Roman" w:cs="Times New Roman"/>
          <w:color w:val="000000" w:themeColor="text1"/>
          <w:kern w:val="2"/>
          <w:sz w:val="16"/>
          <w:szCs w:val="16"/>
        </w:rPr>
        <w:softHyphen/>
        <w:t>ловского завода, четырех миноносцев постройки Русско-Балтийского общества и трех миноносцев постройки Общества Северо-Западных заводов.</w:t>
      </w:r>
    </w:p>
    <w:p w14:paraId="615CD6F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девяти миноносцев типа “Гогланд”, подлежавших постройке на Мюльграбенской верфи, постройка четырех миноносцев передана Металлическому заводу по чертежам измененного типа “Гогланд”, а постройку остальных пяти миноносцев предположено передать Русско-Балтийскому обществу- по чертежам типа “Гавриил”.</w:t>
      </w:r>
    </w:p>
    <w:p w14:paraId="41AF14E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течение отчетного года произведена разработка и рассмотрение проектов минонос</w:t>
      </w:r>
      <w:r w:rsidRPr="002F2FDF">
        <w:rPr>
          <w:rFonts w:ascii="Times New Roman" w:hAnsi="Times New Roman" w:cs="Times New Roman"/>
          <w:color w:val="000000" w:themeColor="text1"/>
          <w:kern w:val="2"/>
          <w:sz w:val="16"/>
          <w:szCs w:val="16"/>
        </w:rPr>
        <w:softHyphen/>
        <w:t>цев водоизмещением в 600 тонн, предполагаемых к постройке для Балтийского моря.</w:t>
      </w:r>
    </w:p>
    <w:p w14:paraId="74C28A1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 Подводные лодки.</w:t>
      </w:r>
    </w:p>
    <w:p w14:paraId="66392EF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1916 г. вступили в строй: четыре лодки постройки Судостроительного акционерно</w:t>
      </w:r>
      <w:r w:rsidRPr="002F2FDF">
        <w:rPr>
          <w:rFonts w:ascii="Times New Roman" w:hAnsi="Times New Roman" w:cs="Times New Roman"/>
          <w:color w:val="000000" w:themeColor="text1"/>
          <w:kern w:val="2"/>
          <w:sz w:val="16"/>
          <w:szCs w:val="16"/>
        </w:rPr>
        <w:softHyphen/>
        <w:t>го общества “Петровская Верфь”: “Тигр”, “Львица”, “Пантера” и “Рысь” и одна подвод</w:t>
      </w:r>
      <w:r w:rsidRPr="002F2FDF">
        <w:rPr>
          <w:rFonts w:ascii="Times New Roman" w:hAnsi="Times New Roman" w:cs="Times New Roman"/>
          <w:color w:val="000000" w:themeColor="text1"/>
          <w:kern w:val="2"/>
          <w:sz w:val="16"/>
          <w:szCs w:val="16"/>
        </w:rPr>
        <w:softHyphen/>
        <w:t>ная лодка постройки Балтийского завода “Волк”. Помимо этих вступивших в строй под</w:t>
      </w:r>
      <w:r w:rsidRPr="002F2FDF">
        <w:rPr>
          <w:rFonts w:ascii="Times New Roman" w:hAnsi="Times New Roman" w:cs="Times New Roman"/>
          <w:color w:val="000000" w:themeColor="text1"/>
          <w:kern w:val="2"/>
          <w:sz w:val="16"/>
          <w:szCs w:val="16"/>
        </w:rPr>
        <w:softHyphen/>
        <w:t>водных лодок, предъявлены к приемным испытаниям, кои частью уже закончены, а час</w:t>
      </w:r>
      <w:r w:rsidRPr="002F2FDF">
        <w:rPr>
          <w:rFonts w:ascii="Times New Roman" w:hAnsi="Times New Roman" w:cs="Times New Roman"/>
          <w:color w:val="000000" w:themeColor="text1"/>
          <w:kern w:val="2"/>
          <w:sz w:val="16"/>
          <w:szCs w:val="16"/>
        </w:rPr>
        <w:softHyphen/>
        <w:t>тью производятся, подводные лодки Балтийского завода “Змея”, “Угорь”, “Единорог” и Судостроительного акционерного общества “Петровская Верфь” - “Кугуар” и “Леопард”.</w:t>
      </w:r>
    </w:p>
    <w:p w14:paraId="3ACC591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Подводные лодки Балтийского завода типа “Барс” — “Ерш” и “Форель” — решено перестроить под минные заградители. Главнейшие чертежи закончены, и Балтийским заводом приступлено уже к переделкам.</w:t>
      </w:r>
    </w:p>
    <w:p w14:paraId="4C8244C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Три последние подводные лодки типа “Барс” Судостроительного акционерного об</w:t>
      </w:r>
      <w:r w:rsidRPr="002F2FDF">
        <w:rPr>
          <w:rFonts w:ascii="Times New Roman" w:hAnsi="Times New Roman" w:cs="Times New Roman"/>
          <w:color w:val="000000" w:themeColor="text1"/>
          <w:kern w:val="2"/>
          <w:sz w:val="16"/>
          <w:szCs w:val="16"/>
        </w:rPr>
        <w:softHyphen/>
        <w:t>щества “Петровская Верфь” - “Тур”, “Ягуар” и “Язь” — находятся на стапеле, время окон</w:t>
      </w:r>
      <w:r w:rsidRPr="002F2FDF">
        <w:rPr>
          <w:rFonts w:ascii="Times New Roman" w:hAnsi="Times New Roman" w:cs="Times New Roman"/>
          <w:color w:val="000000" w:themeColor="text1"/>
          <w:kern w:val="2"/>
          <w:sz w:val="16"/>
          <w:szCs w:val="16"/>
        </w:rPr>
        <w:softHyphen/>
        <w:t>чания их постройки — к навигации 1917 года.</w:t>
      </w:r>
    </w:p>
    <w:p w14:paraId="3C968C4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Заказанные в Америке в 1915 г. через Судостроительное акционерное общество “Пет</w:t>
      </w:r>
      <w:r w:rsidRPr="002F2FDF">
        <w:rPr>
          <w:rFonts w:ascii="Times New Roman" w:hAnsi="Times New Roman" w:cs="Times New Roman"/>
          <w:color w:val="000000" w:themeColor="text1"/>
          <w:kern w:val="2"/>
          <w:sz w:val="16"/>
          <w:szCs w:val="16"/>
        </w:rPr>
        <w:softHyphen/>
        <w:t>ровская Верфь” пять подводных лодок типа “Голланд” (АГ), водоизмещением 361 тон</w:t>
      </w:r>
      <w:r w:rsidRPr="002F2FDF">
        <w:rPr>
          <w:rFonts w:ascii="Times New Roman" w:hAnsi="Times New Roman" w:cs="Times New Roman"/>
          <w:color w:val="000000" w:themeColor="text1"/>
          <w:kern w:val="2"/>
          <w:sz w:val="16"/>
          <w:szCs w:val="16"/>
        </w:rPr>
        <w:softHyphen/>
        <w:t>на, были доставлены в разобранном виде на Балтийский завод, где и собраны.</w:t>
      </w:r>
    </w:p>
    <w:p w14:paraId="769103F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Лодки “АГ-11” и “АГ-12” вступили в строй 9 июня 1916 г., “АГ-13”, “АГ-14” — 17 ноября, “АГ-15” - 15 ноября.</w:t>
      </w:r>
    </w:p>
    <w:p w14:paraId="3451279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Кроме этих подводных лодок, Балтийским заводом были собраны четыре английских подводных лодки типа “С”, доставленные из Архангельска по внутренним водным путям.</w:t>
      </w:r>
    </w:p>
    <w:p w14:paraId="2867B8A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Из числа подводных лодок, намеченных судостроительною программой 1915 года, к концу отчетного года разработаны чертежи и приступлено к постройке на Балтийском судостроительном и механическом заводе 12 лодок проекта генерал-майора Бубнова — по 971 тонне водоизмещения, на Русско-Балтийском заводе 8 лодок </w:t>
      </w:r>
      <w:r w:rsidRPr="002F2FDF">
        <w:rPr>
          <w:rFonts w:ascii="Times New Roman" w:hAnsi="Times New Roman" w:cs="Times New Roman"/>
          <w:color w:val="000000" w:themeColor="text1"/>
          <w:kern w:val="2"/>
          <w:sz w:val="16"/>
          <w:szCs w:val="16"/>
        </w:rPr>
        <w:lastRenderedPageBreak/>
        <w:t>того же водоизме</w:t>
      </w:r>
      <w:r w:rsidRPr="002F2FDF">
        <w:rPr>
          <w:rFonts w:ascii="Times New Roman" w:hAnsi="Times New Roman" w:cs="Times New Roman"/>
          <w:color w:val="000000" w:themeColor="text1"/>
          <w:kern w:val="2"/>
          <w:sz w:val="16"/>
          <w:szCs w:val="16"/>
        </w:rPr>
        <w:softHyphen/>
        <w:t>щения, на “Петровской Верфи” 20 лодок типа “Голланд” по 952 тонны водоизмещения и, кроме того, заказано в Америке 6 подводных лодок типа “Голланд” (АГ) по 361 тонне водоизмещения (из коих три - для Белого моря).</w:t>
      </w:r>
    </w:p>
    <w:p w14:paraId="2E22888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Постройка судов в Черном море по судостроительной программе 1911 года.</w:t>
      </w:r>
    </w:p>
    <w:p w14:paraId="7DDC519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Линейные корабли.</w:t>
      </w:r>
    </w:p>
    <w:p w14:paraId="0832468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отчетном году на заводе Русского судостроительного общества продолжалась пост</w:t>
      </w:r>
      <w:r w:rsidRPr="002F2FDF">
        <w:rPr>
          <w:rFonts w:ascii="Times New Roman" w:hAnsi="Times New Roman" w:cs="Times New Roman"/>
          <w:color w:val="000000" w:themeColor="text1"/>
          <w:kern w:val="2"/>
          <w:sz w:val="16"/>
          <w:szCs w:val="16"/>
        </w:rPr>
        <w:softHyphen/>
        <w:t>ройка линейного корабля “Император Александр III”, достигшая к 1 декабря 92 % готов</w:t>
      </w:r>
      <w:r w:rsidRPr="002F2FDF">
        <w:rPr>
          <w:rFonts w:ascii="Times New Roman" w:hAnsi="Times New Roman" w:cs="Times New Roman"/>
          <w:color w:val="000000" w:themeColor="text1"/>
          <w:kern w:val="2"/>
          <w:sz w:val="16"/>
          <w:szCs w:val="16"/>
        </w:rPr>
        <w:softHyphen/>
        <w:t>ности.</w:t>
      </w:r>
    </w:p>
    <w:p w14:paraId="0BC85F8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течение года была успешно выполнена перевозка главных механизмов корабля из Англии через Архангельск по водным системам в Николаев. В результате принятых мер по ускорению постройки корабля выяснилась возможность приготовить его к весне 1917 года.</w:t>
      </w:r>
    </w:p>
    <w:p w14:paraId="210526D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Легкие крейсера.</w:t>
      </w:r>
    </w:p>
    <w:p w14:paraId="5DAEEDE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Постройка легких крейсеров “Адмирал Нахимов” и “Адмирал Лазарев” в отчетном году к 1 декабря достигла по крейсеру “Адмирал Нахимов” 78,7 %, а по крейсеру “Адми</w:t>
      </w:r>
      <w:r w:rsidRPr="002F2FDF">
        <w:rPr>
          <w:rFonts w:ascii="Times New Roman" w:hAnsi="Times New Roman" w:cs="Times New Roman"/>
          <w:color w:val="000000" w:themeColor="text1"/>
          <w:kern w:val="2"/>
          <w:sz w:val="16"/>
          <w:szCs w:val="16"/>
        </w:rPr>
        <w:softHyphen/>
        <w:t>рал Лазарев” - 7,1,7 %.</w:t>
      </w:r>
    </w:p>
    <w:p w14:paraId="1AEA7A5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течение, года спущен на воду крейсер “Адмирал Лазарев” — 8 июня 1916 года.</w:t>
      </w:r>
    </w:p>
    <w:p w14:paraId="3063010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ожидается вступление в строй:</w:t>
      </w:r>
    </w:p>
    <w:p w14:paraId="612BBC6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крейсера “Адмирал Нахимов” в июле</w:t>
      </w:r>
    </w:p>
    <w:p w14:paraId="65E7276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крейсера “Адмирал Лазарев” в декабре</w:t>
      </w:r>
    </w:p>
    <w:p w14:paraId="6FDFD43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III. Постройка судов для Черного моря по дополнительной программе 1914 года.</w:t>
      </w:r>
    </w:p>
    <w:p w14:paraId="78DE13F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Линейные корабли.</w:t>
      </w:r>
    </w:p>
    <w:p w14:paraId="7AB16CB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верфи Общества Николаевских заводов и верфей в отчетном году продолжалась постройка линейного корабля “Император Николай I”, который 5 октября 1916 г. спу</w:t>
      </w:r>
      <w:r w:rsidRPr="002F2FDF">
        <w:rPr>
          <w:rFonts w:ascii="Times New Roman" w:hAnsi="Times New Roman" w:cs="Times New Roman"/>
          <w:color w:val="000000" w:themeColor="text1"/>
          <w:kern w:val="2"/>
          <w:sz w:val="16"/>
          <w:szCs w:val="16"/>
        </w:rPr>
        <w:softHyphen/>
        <w:t>щен на воду; готовность его к 1 декабря достигла 53,9 %.</w:t>
      </w:r>
    </w:p>
    <w:p w14:paraId="03A4449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Легкие крейсера.</w:t>
      </w:r>
    </w:p>
    <w:p w14:paraId="4FE7C01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отчетном году продолжалась постройка Обществом Николаевских заводов и вер</w:t>
      </w:r>
      <w:r w:rsidRPr="002F2FDF">
        <w:rPr>
          <w:rFonts w:ascii="Times New Roman" w:hAnsi="Times New Roman" w:cs="Times New Roman"/>
          <w:color w:val="000000" w:themeColor="text1"/>
          <w:kern w:val="2"/>
          <w:sz w:val="16"/>
          <w:szCs w:val="16"/>
        </w:rPr>
        <w:softHyphen/>
        <w:t>фей крейсера “Адмирал Истомин”, доведенного к 1 декабря до 54,5 % готовности, и Русским судостроительным обществом — крейсера “Адмирал Корнилов”, доведенного до 54,9 % готовности.</w:t>
      </w:r>
    </w:p>
    <w:p w14:paraId="08C1733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Эскадренные миноносцы.</w:t>
      </w:r>
    </w:p>
    <w:p w14:paraId="006E1A0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заводе Общества Николаевских заводов и верфей продолжалась в отчетном году постройка 8 миноносцев Ушаковской серии: “Фидониси”, “Керчь”, “Гаджибей”, “Кали-акрия”, “Цериго”, “Занте”, “Корфу” и “Левкас”.</w:t>
      </w:r>
    </w:p>
    <w:p w14:paraId="1AE8C9C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Готовность миноносцев к 1 декабря показана в прилагаемой таблице.</w:t>
      </w:r>
    </w:p>
    <w:p w14:paraId="6F924F6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течение года спущены на воду миноносцы:</w:t>
      </w:r>
    </w:p>
    <w:p w14:paraId="5AFC316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“Фидониси” 18 мая 1916 г.</w:t>
      </w:r>
    </w:p>
    <w:p w14:paraId="17FF8FD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“Керчь” 18 мая 1916 г.</w:t>
      </w:r>
    </w:p>
    <w:p w14:paraId="423DDBA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“Гаджибей” 14 августа 1916 г.</w:t>
      </w:r>
    </w:p>
    <w:p w14:paraId="5A20B0D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“Калиакрия” 14 августа 1916 г.</w:t>
      </w:r>
    </w:p>
    <w:p w14:paraId="332D2F2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Ожидается в 1917 году вступление в строй миноносцев:</w:t>
      </w:r>
    </w:p>
    <w:p w14:paraId="6775C49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“Фидониси” в январе-феврале 1917 г.</w:t>
      </w:r>
    </w:p>
    <w:p w14:paraId="2C0429F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“Керчь” и “Гаджибей” в апреле 1917 г.</w:t>
      </w:r>
    </w:p>
    <w:p w14:paraId="36CA3F9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“Калиакрия” в мае 1917 г.</w:t>
      </w:r>
    </w:p>
    <w:p w14:paraId="07F68EC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течение года произведены подготовительные работы по заказу Обществу Никола</w:t>
      </w:r>
      <w:r w:rsidRPr="002F2FDF">
        <w:rPr>
          <w:rFonts w:ascii="Times New Roman" w:hAnsi="Times New Roman" w:cs="Times New Roman"/>
          <w:color w:val="000000" w:themeColor="text1"/>
          <w:kern w:val="2"/>
          <w:sz w:val="16"/>
          <w:szCs w:val="16"/>
        </w:rPr>
        <w:softHyphen/>
        <w:t>евских заводов и верфей 12 миноносцев по типу Ушаковской серии, контракт на пост</w:t>
      </w:r>
      <w:r w:rsidRPr="002F2FDF">
        <w:rPr>
          <w:rFonts w:ascii="Times New Roman" w:hAnsi="Times New Roman" w:cs="Times New Roman"/>
          <w:color w:val="000000" w:themeColor="text1"/>
          <w:kern w:val="2"/>
          <w:sz w:val="16"/>
          <w:szCs w:val="16"/>
        </w:rPr>
        <w:softHyphen/>
        <w:t>ройку которых предполагается заключить в начале 1917 года.</w:t>
      </w:r>
    </w:p>
    <w:p w14:paraId="18D012A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 Подводные лодки.</w:t>
      </w:r>
    </w:p>
    <w:p w14:paraId="0167760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1916 г. вступила в строй последняя из трех подводных лодок типа “Голланд” водо</w:t>
      </w:r>
      <w:r w:rsidRPr="002F2FDF">
        <w:rPr>
          <w:rFonts w:ascii="Times New Roman" w:hAnsi="Times New Roman" w:cs="Times New Roman"/>
          <w:color w:val="000000" w:themeColor="text1"/>
          <w:kern w:val="2"/>
          <w:sz w:val="16"/>
          <w:szCs w:val="16"/>
        </w:rPr>
        <w:softHyphen/>
        <w:t>измещения 630 тонн “Кашалот” постройки Невского судостроительного завода в г. Ни</w:t>
      </w:r>
      <w:r w:rsidRPr="002F2FDF">
        <w:rPr>
          <w:rFonts w:ascii="Times New Roman" w:hAnsi="Times New Roman" w:cs="Times New Roman"/>
          <w:color w:val="000000" w:themeColor="text1"/>
          <w:kern w:val="2"/>
          <w:sz w:val="16"/>
          <w:szCs w:val="16"/>
        </w:rPr>
        <w:softHyphen/>
        <w:t>колаеве.</w:t>
      </w:r>
    </w:p>
    <w:p w14:paraId="792754E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Продолжается постройка шести подводных лодок — 4 типа “Лебедь” на заводе Обще</w:t>
      </w:r>
      <w:r w:rsidRPr="002F2FDF">
        <w:rPr>
          <w:rFonts w:ascii="Times New Roman" w:hAnsi="Times New Roman" w:cs="Times New Roman"/>
          <w:color w:val="000000" w:themeColor="text1"/>
          <w:kern w:val="2"/>
          <w:sz w:val="16"/>
          <w:szCs w:val="16"/>
        </w:rPr>
        <w:softHyphen/>
        <w:t>ства Николаевских заводов и верфей и 2 типа “Лебедь” Николаевским отделением Бал</w:t>
      </w:r>
      <w:r w:rsidRPr="002F2FDF">
        <w:rPr>
          <w:rFonts w:ascii="Times New Roman" w:hAnsi="Times New Roman" w:cs="Times New Roman"/>
          <w:color w:val="000000" w:themeColor="text1"/>
          <w:kern w:val="2"/>
          <w:sz w:val="16"/>
          <w:szCs w:val="16"/>
        </w:rPr>
        <w:softHyphen/>
        <w:t>тийского завода. Из этой серии строящаяся на заводе Общества Николаевских заводов и верфей подводная лодка “Орлан” уже спущена на воду и спешно достраивается с расче</w:t>
      </w:r>
      <w:r w:rsidRPr="002F2FDF">
        <w:rPr>
          <w:rFonts w:ascii="Times New Roman" w:hAnsi="Times New Roman" w:cs="Times New Roman"/>
          <w:color w:val="000000" w:themeColor="text1"/>
          <w:kern w:val="2"/>
          <w:sz w:val="16"/>
          <w:szCs w:val="16"/>
        </w:rPr>
        <w:softHyphen/>
        <w:t>том быть предъявленной к испытаниям к 1 января 1917 года.</w:t>
      </w:r>
    </w:p>
    <w:p w14:paraId="74F075B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Независимо этих лодок к концу отчетного года на верфи Русского судостроительного общества приступлено к постройке по судостроительной программе 1915 г. 8 подводных лодок типа “Голланд” по 952 тонны и 7 лодок типа “Фиат” по 900 тонн. Кроме того, в Америке заказаны для Черноморского флота 6 подводных лодок типа “Голланд” (АГ) по 361 тонне водоизмещения. &lt;...&gt;</w:t>
      </w:r>
    </w:p>
    <w:p w14:paraId="47E0A60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 Испытание судов, законченных постройкой в 1916 году.</w:t>
      </w:r>
    </w:p>
    <w:p w14:paraId="104F1FF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течение 1916 г. были закончены постройкой, испытаны и приняты в казну следую</w:t>
      </w:r>
      <w:r w:rsidRPr="002F2FDF">
        <w:rPr>
          <w:rFonts w:ascii="Times New Roman" w:hAnsi="Times New Roman" w:cs="Times New Roman"/>
          <w:color w:val="000000" w:themeColor="text1"/>
          <w:kern w:val="2"/>
          <w:sz w:val="16"/>
          <w:szCs w:val="16"/>
        </w:rPr>
        <w:softHyphen/>
        <w:t>щие боевые суда:</w:t>
      </w:r>
    </w:p>
    <w:p w14:paraId="4689CEA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Миноносцы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958"/>
        <w:gridCol w:w="1997"/>
        <w:gridCol w:w="1958"/>
        <w:gridCol w:w="2045"/>
      </w:tblGrid>
      <w:tr w:rsidR="002B1C74" w:rsidRPr="002F2FDF" w14:paraId="33C7AB6E" w14:textId="77777777">
        <w:trPr>
          <w:trHeight w:val="413"/>
        </w:trPr>
        <w:tc>
          <w:tcPr>
            <w:tcW w:w="1958" w:type="dxa"/>
            <w:tcBorders>
              <w:top w:val="single" w:sz="12" w:space="0" w:color="auto"/>
            </w:tcBorders>
          </w:tcPr>
          <w:p w14:paraId="2FCA801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Название</w:t>
            </w:r>
          </w:p>
        </w:tc>
        <w:tc>
          <w:tcPr>
            <w:tcW w:w="1997" w:type="dxa"/>
            <w:tcBorders>
              <w:top w:val="single" w:sz="12" w:space="0" w:color="auto"/>
            </w:tcBorders>
          </w:tcPr>
          <w:p w14:paraId="069FCF0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w:t>
            </w:r>
          </w:p>
        </w:tc>
        <w:tc>
          <w:tcPr>
            <w:tcW w:w="1958" w:type="dxa"/>
            <w:tcBorders>
              <w:top w:val="single" w:sz="12" w:space="0" w:color="auto"/>
            </w:tcBorders>
          </w:tcPr>
          <w:p w14:paraId="3BD580D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Начало испытания</w:t>
            </w:r>
          </w:p>
        </w:tc>
        <w:tc>
          <w:tcPr>
            <w:tcW w:w="2045" w:type="dxa"/>
            <w:tcBorders>
              <w:top w:val="single" w:sz="12" w:space="0" w:color="auto"/>
            </w:tcBorders>
          </w:tcPr>
          <w:p w14:paraId="08BC1D9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Конец испытания</w:t>
            </w:r>
          </w:p>
        </w:tc>
      </w:tr>
      <w:tr w:rsidR="002B1C74" w:rsidRPr="002F2FDF" w14:paraId="3EAFF8C0" w14:textId="77777777">
        <w:trPr>
          <w:trHeight w:val="211"/>
        </w:trPr>
        <w:tc>
          <w:tcPr>
            <w:tcW w:w="1958" w:type="dxa"/>
          </w:tcPr>
          <w:p w14:paraId="0E086DA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“Гром”</w:t>
            </w:r>
          </w:p>
        </w:tc>
        <w:tc>
          <w:tcPr>
            <w:tcW w:w="1997" w:type="dxa"/>
          </w:tcPr>
          <w:p w14:paraId="74649A6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Металлический завод</w:t>
            </w:r>
          </w:p>
        </w:tc>
        <w:tc>
          <w:tcPr>
            <w:tcW w:w="1958" w:type="dxa"/>
          </w:tcPr>
          <w:p w14:paraId="52854F3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апреля 1916 г.</w:t>
            </w:r>
          </w:p>
        </w:tc>
        <w:tc>
          <w:tcPr>
            <w:tcW w:w="2045" w:type="dxa"/>
          </w:tcPr>
          <w:p w14:paraId="5F3CE87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мая 1916 г.</w:t>
            </w:r>
          </w:p>
        </w:tc>
      </w:tr>
      <w:tr w:rsidR="002B1C74" w:rsidRPr="002F2FDF" w14:paraId="78C0B3EA" w14:textId="77777777">
        <w:trPr>
          <w:trHeight w:val="173"/>
        </w:trPr>
        <w:tc>
          <w:tcPr>
            <w:tcW w:w="1958" w:type="dxa"/>
          </w:tcPr>
          <w:p w14:paraId="7FE6A27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“Орфей”</w:t>
            </w:r>
          </w:p>
        </w:tc>
        <w:tc>
          <w:tcPr>
            <w:tcW w:w="1997" w:type="dxa"/>
          </w:tcPr>
          <w:p w14:paraId="4DF351F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Металлический завод</w:t>
            </w:r>
          </w:p>
        </w:tc>
        <w:tc>
          <w:tcPr>
            <w:tcW w:w="1958" w:type="dxa"/>
          </w:tcPr>
          <w:p w14:paraId="0A9D884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марта 1916 г.</w:t>
            </w:r>
          </w:p>
        </w:tc>
        <w:tc>
          <w:tcPr>
            <w:tcW w:w="2045" w:type="dxa"/>
          </w:tcPr>
          <w:p w14:paraId="5881705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мая 1916 г.</w:t>
            </w:r>
          </w:p>
        </w:tc>
      </w:tr>
      <w:tr w:rsidR="002B1C74" w:rsidRPr="002F2FDF" w14:paraId="52656357" w14:textId="77777777">
        <w:trPr>
          <w:trHeight w:val="163"/>
        </w:trPr>
        <w:tc>
          <w:tcPr>
            <w:tcW w:w="1958" w:type="dxa"/>
          </w:tcPr>
          <w:p w14:paraId="13C31C2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“Десна”</w:t>
            </w:r>
          </w:p>
        </w:tc>
        <w:tc>
          <w:tcPr>
            <w:tcW w:w="1997" w:type="dxa"/>
          </w:tcPr>
          <w:p w14:paraId="3F1CFA6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Металлический завод</w:t>
            </w:r>
          </w:p>
        </w:tc>
        <w:tc>
          <w:tcPr>
            <w:tcW w:w="1958" w:type="dxa"/>
          </w:tcPr>
          <w:p w14:paraId="55C059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июля 1916 г.</w:t>
            </w:r>
          </w:p>
        </w:tc>
        <w:tc>
          <w:tcPr>
            <w:tcW w:w="2045" w:type="dxa"/>
          </w:tcPr>
          <w:p w14:paraId="4F357F6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августа 1916 г.</w:t>
            </w:r>
          </w:p>
        </w:tc>
      </w:tr>
      <w:tr w:rsidR="002B1C74" w:rsidRPr="002F2FDF" w14:paraId="50148C3D" w14:textId="77777777">
        <w:trPr>
          <w:trHeight w:val="173"/>
        </w:trPr>
        <w:tc>
          <w:tcPr>
            <w:tcW w:w="1958" w:type="dxa"/>
          </w:tcPr>
          <w:p w14:paraId="16A0E10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“Летун”</w:t>
            </w:r>
          </w:p>
        </w:tc>
        <w:tc>
          <w:tcPr>
            <w:tcW w:w="1997" w:type="dxa"/>
          </w:tcPr>
          <w:p w14:paraId="34E60DB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Металлический завод</w:t>
            </w:r>
          </w:p>
        </w:tc>
        <w:tc>
          <w:tcPr>
            <w:tcW w:w="1958" w:type="dxa"/>
          </w:tcPr>
          <w:p w14:paraId="78A8A0C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мая 1916 г.</w:t>
            </w:r>
          </w:p>
        </w:tc>
        <w:tc>
          <w:tcPr>
            <w:tcW w:w="2045" w:type="dxa"/>
          </w:tcPr>
          <w:p w14:paraId="782C21A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июля 1916 г.</w:t>
            </w:r>
          </w:p>
        </w:tc>
      </w:tr>
      <w:tr w:rsidR="002B1C74" w:rsidRPr="002F2FDF" w14:paraId="30F1CF8C" w14:textId="77777777">
        <w:trPr>
          <w:trHeight w:val="163"/>
        </w:trPr>
        <w:tc>
          <w:tcPr>
            <w:tcW w:w="1958" w:type="dxa"/>
          </w:tcPr>
          <w:p w14:paraId="3F54E86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“Азард”</w:t>
            </w:r>
          </w:p>
        </w:tc>
        <w:tc>
          <w:tcPr>
            <w:tcW w:w="1997" w:type="dxa"/>
          </w:tcPr>
          <w:p w14:paraId="3763EAD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Металлический завод</w:t>
            </w:r>
          </w:p>
        </w:tc>
        <w:tc>
          <w:tcPr>
            <w:tcW w:w="1958" w:type="dxa"/>
          </w:tcPr>
          <w:p w14:paraId="0F3521E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августа 1916 г.</w:t>
            </w:r>
          </w:p>
        </w:tc>
        <w:tc>
          <w:tcPr>
            <w:tcW w:w="2045" w:type="dxa"/>
          </w:tcPr>
          <w:p w14:paraId="0461A48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октября 1916 г.</w:t>
            </w:r>
          </w:p>
        </w:tc>
      </w:tr>
      <w:tr w:rsidR="002B1C74" w:rsidRPr="002F2FDF" w14:paraId="3ED621F4" w14:textId="77777777">
        <w:trPr>
          <w:trHeight w:val="173"/>
        </w:trPr>
        <w:tc>
          <w:tcPr>
            <w:tcW w:w="1958" w:type="dxa"/>
          </w:tcPr>
          <w:p w14:paraId="47B3F50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“Самсон”</w:t>
            </w:r>
          </w:p>
        </w:tc>
        <w:tc>
          <w:tcPr>
            <w:tcW w:w="1997" w:type="dxa"/>
          </w:tcPr>
          <w:p w14:paraId="5DCC6FE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Металлический завод</w:t>
            </w:r>
          </w:p>
        </w:tc>
        <w:tc>
          <w:tcPr>
            <w:tcW w:w="1958" w:type="dxa"/>
          </w:tcPr>
          <w:p w14:paraId="06EDC0A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октября 1916 г.</w:t>
            </w:r>
          </w:p>
        </w:tc>
        <w:tc>
          <w:tcPr>
            <w:tcW w:w="2045" w:type="dxa"/>
          </w:tcPr>
          <w:p w14:paraId="6A04379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ноября 1916 г.</w:t>
            </w:r>
          </w:p>
        </w:tc>
      </w:tr>
      <w:tr w:rsidR="002B1C74" w:rsidRPr="002F2FDF" w14:paraId="2ABF7CB4" w14:textId="77777777">
        <w:trPr>
          <w:trHeight w:val="173"/>
        </w:trPr>
        <w:tc>
          <w:tcPr>
            <w:tcW w:w="1958" w:type="dxa"/>
          </w:tcPr>
          <w:p w14:paraId="37E1760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“Капитан Изыльметьев”</w:t>
            </w:r>
          </w:p>
        </w:tc>
        <w:tc>
          <w:tcPr>
            <w:tcW w:w="1997" w:type="dxa"/>
          </w:tcPr>
          <w:p w14:paraId="5F79524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Путиловская верфь</w:t>
            </w:r>
          </w:p>
        </w:tc>
        <w:tc>
          <w:tcPr>
            <w:tcW w:w="1958" w:type="dxa"/>
          </w:tcPr>
          <w:p w14:paraId="4C55DA3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октября 1916 г.</w:t>
            </w:r>
          </w:p>
        </w:tc>
        <w:tc>
          <w:tcPr>
            <w:tcW w:w="2045" w:type="dxa"/>
          </w:tcPr>
          <w:p w14:paraId="14A2205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ноября 1916 г.</w:t>
            </w:r>
          </w:p>
        </w:tc>
      </w:tr>
      <w:tr w:rsidR="002B1C74" w:rsidRPr="002F2FDF" w14:paraId="6AB8D7F6" w14:textId="77777777">
        <w:trPr>
          <w:trHeight w:val="163"/>
        </w:trPr>
        <w:tc>
          <w:tcPr>
            <w:tcW w:w="1958" w:type="dxa"/>
          </w:tcPr>
          <w:p w14:paraId="0F1FC9B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“Лейтенант Ильин”</w:t>
            </w:r>
          </w:p>
        </w:tc>
        <w:tc>
          <w:tcPr>
            <w:tcW w:w="1997" w:type="dxa"/>
          </w:tcPr>
          <w:p w14:paraId="518AB13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Путиловская верфь</w:t>
            </w:r>
          </w:p>
        </w:tc>
        <w:tc>
          <w:tcPr>
            <w:tcW w:w="1958" w:type="dxa"/>
          </w:tcPr>
          <w:p w14:paraId="50BDAA9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ноября 1916 г.</w:t>
            </w:r>
          </w:p>
        </w:tc>
        <w:tc>
          <w:tcPr>
            <w:tcW w:w="2045" w:type="dxa"/>
          </w:tcPr>
          <w:p w14:paraId="1745C59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ноября 1916 г.</w:t>
            </w:r>
          </w:p>
        </w:tc>
      </w:tr>
      <w:tr w:rsidR="002B1C74" w:rsidRPr="002F2FDF" w14:paraId="7098200A" w14:textId="77777777">
        <w:trPr>
          <w:trHeight w:val="346"/>
        </w:trPr>
        <w:tc>
          <w:tcPr>
            <w:tcW w:w="1958" w:type="dxa"/>
            <w:tcBorders>
              <w:bottom w:val="single" w:sz="12" w:space="0" w:color="auto"/>
            </w:tcBorders>
          </w:tcPr>
          <w:p w14:paraId="5041F0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“Гавриил”</w:t>
            </w:r>
          </w:p>
        </w:tc>
        <w:tc>
          <w:tcPr>
            <w:tcW w:w="1997" w:type="dxa"/>
            <w:tcBorders>
              <w:bottom w:val="single" w:sz="12" w:space="0" w:color="auto"/>
            </w:tcBorders>
          </w:tcPr>
          <w:p w14:paraId="0CB358A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Путиловская верфь</w:t>
            </w:r>
          </w:p>
        </w:tc>
        <w:tc>
          <w:tcPr>
            <w:tcW w:w="1958" w:type="dxa"/>
            <w:tcBorders>
              <w:bottom w:val="single" w:sz="12" w:space="0" w:color="auto"/>
            </w:tcBorders>
          </w:tcPr>
          <w:p w14:paraId="575DD55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сентября 1916 г.</w:t>
            </w:r>
          </w:p>
        </w:tc>
        <w:tc>
          <w:tcPr>
            <w:tcW w:w="2045" w:type="dxa"/>
            <w:tcBorders>
              <w:bottom w:val="single" w:sz="12" w:space="0" w:color="auto"/>
            </w:tcBorders>
          </w:tcPr>
          <w:p w14:paraId="45CD508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декабря 1916 г.</w:t>
            </w:r>
          </w:p>
        </w:tc>
      </w:tr>
    </w:tbl>
    <w:p w14:paraId="1712124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Были начаты, но в отчетном году не закончены испытания эскадренных миноносцев: “Изяслав” постройки завода Северо-Западного акционерного общества и “Константин” постройки Русско-Балтийского завода в Ревеле.</w:t>
      </w:r>
    </w:p>
    <w:p w14:paraId="2B53DDF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Испытания механизмов миноносцев, по обстоятельствам военного времени, произ</w:t>
      </w:r>
      <w:r w:rsidRPr="002F2FDF">
        <w:rPr>
          <w:rFonts w:ascii="Times New Roman" w:hAnsi="Times New Roman" w:cs="Times New Roman"/>
          <w:color w:val="000000" w:themeColor="text1"/>
          <w:kern w:val="2"/>
          <w:sz w:val="16"/>
          <w:szCs w:val="16"/>
        </w:rPr>
        <w:softHyphen/>
        <w:t>водились по облегченной и сокращенной программе в согласии с требованиями действу</w:t>
      </w:r>
      <w:r w:rsidRPr="002F2FDF">
        <w:rPr>
          <w:rFonts w:ascii="Times New Roman" w:hAnsi="Times New Roman" w:cs="Times New Roman"/>
          <w:color w:val="000000" w:themeColor="text1"/>
          <w:kern w:val="2"/>
          <w:sz w:val="16"/>
          <w:szCs w:val="16"/>
        </w:rPr>
        <w:softHyphen/>
        <w:t>ющего флота.</w:t>
      </w:r>
    </w:p>
    <w:p w14:paraId="4B776B6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Сокращенная программа ходовых испытаний заключала в себе два испытания: одно — на полный ход при 540 оборотах главных турбин, другое— на 21-узловой ход.</w:t>
      </w:r>
    </w:p>
    <w:p w14:paraId="3F6129D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Миноносцы, испытанные по этой программе, развили при 540 оборотах в среднем 31,5 узла, и этот ход для дальнейшей службы миноносцев было предложено считать пол</w:t>
      </w:r>
      <w:r w:rsidRPr="002F2FDF">
        <w:rPr>
          <w:rFonts w:ascii="Times New Roman" w:hAnsi="Times New Roman" w:cs="Times New Roman"/>
          <w:color w:val="000000" w:themeColor="text1"/>
          <w:kern w:val="2"/>
          <w:sz w:val="16"/>
          <w:szCs w:val="16"/>
        </w:rPr>
        <w:softHyphen/>
        <w:t>ным. 540 оборотов турбины развили при неполной форсировке котлов. Испытания по</w:t>
      </w:r>
      <w:r w:rsidRPr="002F2FDF">
        <w:rPr>
          <w:rFonts w:ascii="Times New Roman" w:hAnsi="Times New Roman" w:cs="Times New Roman"/>
          <w:color w:val="000000" w:themeColor="text1"/>
          <w:kern w:val="2"/>
          <w:sz w:val="16"/>
          <w:szCs w:val="16"/>
        </w:rPr>
        <w:softHyphen/>
        <w:t>казали, что миноносцы могли бы дать и большую скорость.</w:t>
      </w:r>
    </w:p>
    <w:p w14:paraId="0D8FC10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испытании на средний ход турбины развили около 310 оборотов, причем полу</w:t>
      </w:r>
      <w:r w:rsidRPr="002F2FDF">
        <w:rPr>
          <w:rFonts w:ascii="Times New Roman" w:hAnsi="Times New Roman" w:cs="Times New Roman"/>
          <w:color w:val="000000" w:themeColor="text1"/>
          <w:kern w:val="2"/>
          <w:sz w:val="16"/>
          <w:szCs w:val="16"/>
        </w:rPr>
        <w:softHyphen/>
        <w:t>чилась скорость около 22 узлов.</w:t>
      </w:r>
    </w:p>
    <w:p w14:paraId="5EECF6C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Кроме того, были испытаны и приняты в казну вспомогательные суда: сторожевое судно “Коршун” Сандвикского завода (скорость 15,4 узла, мощность 1414 инд. л. с.), пароходы-отметчики “Куница” и “Выдра” завода Лахтониеми и Тайпале (мощность 395— 408 инд. л. с.), плавучий док в 30 тыс. тонн для Черного моря Общества Николаевских заводов и верфей и тральщики: “Груз”, “Капсюль”, “Крамбол” и “Щит” Путиловской верфи и Русско-Балтийского завода (скорость до 10 узлов, мощность до 470 инд. л. с.).</w:t>
      </w:r>
    </w:p>
    <w:p w14:paraId="43C4AE0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Испытания артиллерийского и минного вооружения судов, вступивших в течение отчетного года в строй, были закончены успешно. &lt;...&gt;</w:t>
      </w:r>
    </w:p>
    <w:p w14:paraId="6B54112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Новые заводы морского ведомства — трубочный и взрывчатых веществ</w:t>
      </w:r>
    </w:p>
    <w:p w14:paraId="13243A7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1916 году продолжалась достройка и оборудование заводов морского ведомства: трубочного и электромеханического в г. Николаеве и толуолового в г. Грозном.</w:t>
      </w:r>
    </w:p>
    <w:p w14:paraId="6FE329B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Оборудование этих заводов не могло быть закончено в назначенные сроки вследствие вызванного войной расстройства транспорта, которое повлекло к тому, что заказанное за границей оборудование прибыло в Россию с большим запозданием. Несмотря на встре</w:t>
      </w:r>
      <w:r w:rsidRPr="002F2FDF">
        <w:rPr>
          <w:rFonts w:ascii="Times New Roman" w:hAnsi="Times New Roman" w:cs="Times New Roman"/>
          <w:color w:val="000000" w:themeColor="text1"/>
          <w:kern w:val="2"/>
          <w:sz w:val="16"/>
          <w:szCs w:val="16"/>
        </w:rPr>
        <w:softHyphen/>
        <w:t>ченные затруднения при получении оборудования из-за границы, а также затруднения в заготовке необходимых материалов и частей оборудования на внутренних рынках, глав</w:t>
      </w:r>
      <w:r w:rsidRPr="002F2FDF">
        <w:rPr>
          <w:rFonts w:ascii="Times New Roman" w:hAnsi="Times New Roman" w:cs="Times New Roman"/>
          <w:color w:val="000000" w:themeColor="text1"/>
          <w:kern w:val="2"/>
          <w:sz w:val="16"/>
          <w:szCs w:val="16"/>
        </w:rPr>
        <w:softHyphen/>
        <w:t>ное строительство, а также и оборудование заводов закончено и заводы эти по частям пущены в ход. Так, трубочный и электромеханический завод в конце ноября отчетного года начал валовое изготовление морских снарядных взрывателей, а толуоловый завод в конце декабря пущен в ход для пробного производства толуола. &lt;...&gt;</w:t>
      </w:r>
    </w:p>
    <w:p w14:paraId="78C4267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Радиотелеграфный завод</w:t>
      </w:r>
    </w:p>
    <w:p w14:paraId="1803E30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Ход постройки зданий завода и оборудование их станками велись с расчетом подго</w:t>
      </w:r>
      <w:r w:rsidRPr="002F2FDF">
        <w:rPr>
          <w:rFonts w:ascii="Times New Roman" w:hAnsi="Times New Roman" w:cs="Times New Roman"/>
          <w:color w:val="000000" w:themeColor="text1"/>
          <w:kern w:val="2"/>
          <w:sz w:val="16"/>
          <w:szCs w:val="16"/>
        </w:rPr>
        <w:softHyphen/>
        <w:t>товить завод к массовому изготовлению в 1917 г. приборов радиотелеграфа и к организа</w:t>
      </w:r>
      <w:r w:rsidRPr="002F2FDF">
        <w:rPr>
          <w:rFonts w:ascii="Times New Roman" w:hAnsi="Times New Roman" w:cs="Times New Roman"/>
          <w:color w:val="000000" w:themeColor="text1"/>
          <w:kern w:val="2"/>
          <w:sz w:val="16"/>
          <w:szCs w:val="16"/>
        </w:rPr>
        <w:softHyphen/>
        <w:t>ции производства магнето, эмалированной проволоки высокого напряжения и провод</w:t>
      </w:r>
      <w:r w:rsidRPr="002F2FDF">
        <w:rPr>
          <w:rFonts w:ascii="Times New Roman" w:hAnsi="Times New Roman" w:cs="Times New Roman"/>
          <w:color w:val="000000" w:themeColor="text1"/>
          <w:kern w:val="2"/>
          <w:sz w:val="16"/>
          <w:szCs w:val="16"/>
        </w:rPr>
        <w:softHyphen/>
        <w:t>ников.</w:t>
      </w:r>
    </w:p>
    <w:p w14:paraId="6828F72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1916 г. завод, продолжая разработку радиостанции новых типов и ряда ответствен</w:t>
      </w:r>
      <w:r w:rsidRPr="002F2FDF">
        <w:rPr>
          <w:rFonts w:ascii="Times New Roman" w:hAnsi="Times New Roman" w:cs="Times New Roman"/>
          <w:color w:val="000000" w:themeColor="text1"/>
          <w:kern w:val="2"/>
          <w:sz w:val="16"/>
          <w:szCs w:val="16"/>
        </w:rPr>
        <w:softHyphen/>
        <w:t>ных приборов, выделал 270 приемников, 104 передатчика разных типов и установил 81 судовую и пять береговых радиостанций. &lt;...&gt;</w:t>
      </w:r>
    </w:p>
    <w:p w14:paraId="069F7AA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Рассмотрение изобретений в области военно-морского дела</w:t>
      </w:r>
    </w:p>
    <w:p w14:paraId="2F3205F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Образованная в июле 1915 г. при Главном управлении кораблестроения Особая ко</w:t>
      </w:r>
      <w:r w:rsidRPr="002F2FDF">
        <w:rPr>
          <w:rFonts w:ascii="Times New Roman" w:hAnsi="Times New Roman" w:cs="Times New Roman"/>
          <w:color w:val="000000" w:themeColor="text1"/>
          <w:kern w:val="2"/>
          <w:sz w:val="16"/>
          <w:szCs w:val="16"/>
        </w:rPr>
        <w:softHyphen/>
        <w:t>миссия по рассмотрению предложенных Морскому министерству изобретений продол</w:t>
      </w:r>
      <w:r w:rsidRPr="002F2FDF">
        <w:rPr>
          <w:rFonts w:ascii="Times New Roman" w:hAnsi="Times New Roman" w:cs="Times New Roman"/>
          <w:color w:val="000000" w:themeColor="text1"/>
          <w:kern w:val="2"/>
          <w:sz w:val="16"/>
          <w:szCs w:val="16"/>
        </w:rPr>
        <w:softHyphen/>
        <w:t>жала в отчетном году свою деятельность.</w:t>
      </w:r>
    </w:p>
    <w:p w14:paraId="2D1B49F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Работы свои Комиссия вела в тесном сотрудничестве с отделом изобретений, дей</w:t>
      </w:r>
      <w:r w:rsidRPr="002F2FDF">
        <w:rPr>
          <w:rFonts w:ascii="Times New Roman" w:hAnsi="Times New Roman" w:cs="Times New Roman"/>
          <w:color w:val="000000" w:themeColor="text1"/>
          <w:kern w:val="2"/>
          <w:sz w:val="16"/>
          <w:szCs w:val="16"/>
        </w:rPr>
        <w:softHyphen/>
        <w:t>ствующим в составе Центрального военно-промышленного комитета, обмениваясь с ним, когда в том являлась надобность, результатами обсуждения того или иного изобретения и приглашая к участию в своих заседаниях представителей отдела изобретений.</w:t>
      </w:r>
    </w:p>
    <w:p w14:paraId="0AF0766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числа 401 рассмотренных за истекшее время предложений Комиссия признала 309 предложений (или 77,2 %) явно неприемлемыми для военно-морского дела, 46 пред</w:t>
      </w:r>
      <w:r w:rsidRPr="002F2FDF">
        <w:rPr>
          <w:rFonts w:ascii="Times New Roman" w:hAnsi="Times New Roman" w:cs="Times New Roman"/>
          <w:color w:val="000000" w:themeColor="text1"/>
          <w:kern w:val="2"/>
          <w:sz w:val="16"/>
          <w:szCs w:val="16"/>
        </w:rPr>
        <w:softHyphen/>
        <w:t>ложений (или 11,4%) Комиссия признала заслуживающими внимания и препроводила в соответствующие технические отделы Министерства в целях их осуществления. По остальным же предложениям ввиду отсутствия описания или пояснительных чертежей Комиссия запросила от изобретателей дополнительные данные.</w:t>
      </w:r>
    </w:p>
    <w:p w14:paraId="45FAE45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числе изобретений, признанных заслуживающими внимания, имеютс*я изобрете</w:t>
      </w:r>
      <w:r w:rsidRPr="002F2FDF">
        <w:rPr>
          <w:rFonts w:ascii="Times New Roman" w:hAnsi="Times New Roman" w:cs="Times New Roman"/>
          <w:color w:val="000000" w:themeColor="text1"/>
          <w:kern w:val="2"/>
          <w:sz w:val="16"/>
          <w:szCs w:val="16"/>
        </w:rPr>
        <w:softHyphen/>
        <w:t>ния по артиллерийской, минной, механической, металлургической частом, электротех</w:t>
      </w:r>
      <w:r w:rsidRPr="002F2FDF">
        <w:rPr>
          <w:rFonts w:ascii="Times New Roman" w:hAnsi="Times New Roman" w:cs="Times New Roman"/>
          <w:color w:val="000000" w:themeColor="text1"/>
          <w:kern w:val="2"/>
          <w:sz w:val="16"/>
          <w:szCs w:val="16"/>
        </w:rPr>
        <w:softHyphen/>
        <w:t>нике, сигнализации и пр. &lt;...&gt;</w:t>
      </w:r>
    </w:p>
    <w:p w14:paraId="4516F42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&lt;...&gt; XV. ЗАВОДЫ МОРСКОГО ВЕДОМСТВА</w:t>
      </w:r>
    </w:p>
    <w:p w14:paraId="1CA0B95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течение отчетного года состоялось 68 заседаний Совета управления делами заводов морского ведомства, причем рассмотрено 1400 дел. &lt;...&gt;</w:t>
      </w:r>
    </w:p>
    <w:p w14:paraId="5CF2CAD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Балтийский судостроительный и механический завод</w:t>
      </w:r>
    </w:p>
    <w:p w14:paraId="695BA51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отчетном 1916 г. работы кораблестроительного отдела завода главным образом были сосредоточены на постройке линейных крейсеров “Измаил” и “Кинбурн” и подводных лодок. &lt;...&gt;</w:t>
      </w:r>
    </w:p>
    <w:p w14:paraId="7BD861A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Обуховский сталелитейный завод</w:t>
      </w:r>
    </w:p>
    <w:p w14:paraId="372733C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отчетный год производительные средства завода как по оборудованию и рабочей силе, так и по запасам сырых материалов и полуфабрикатов заметно увеличились и обес</w:t>
      </w:r>
      <w:r w:rsidRPr="002F2FDF">
        <w:rPr>
          <w:rFonts w:ascii="Times New Roman" w:hAnsi="Times New Roman" w:cs="Times New Roman"/>
          <w:color w:val="000000" w:themeColor="text1"/>
          <w:kern w:val="2"/>
          <w:sz w:val="16"/>
          <w:szCs w:val="16"/>
        </w:rPr>
        <w:softHyphen/>
        <w:t>печивают непрерывность производства в масштабе на 25 % более значительном, чем в прошлом году. &lt;...&gt;</w:t>
      </w:r>
    </w:p>
    <w:p w14:paraId="75F98F7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Мероприятия по усилению оборудования и увеличению рабочей силы значительно усилили выпуск заводом изделий для морского и военного ведомств и частных лиц, как то видно из приведенной ниже сравнительной за 1915 и 1916 гг. таблицы:</w:t>
      </w:r>
    </w:p>
    <w:tbl>
      <w:tblPr>
        <w:tblW w:w="0" w:type="auto"/>
        <w:tblInd w:w="4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30"/>
        <w:gridCol w:w="2765"/>
        <w:gridCol w:w="2754"/>
      </w:tblGrid>
      <w:tr w:rsidR="002B1C74" w:rsidRPr="002F2FDF" w14:paraId="11CA485B" w14:textId="77777777">
        <w:tc>
          <w:tcPr>
            <w:tcW w:w="2430" w:type="dxa"/>
            <w:tcBorders>
              <w:top w:val="single" w:sz="12" w:space="0" w:color="auto"/>
            </w:tcBorders>
          </w:tcPr>
          <w:p w14:paraId="02028B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765" w:type="dxa"/>
            <w:tcBorders>
              <w:top w:val="single" w:sz="12" w:space="0" w:color="auto"/>
            </w:tcBorders>
          </w:tcPr>
          <w:p w14:paraId="36AD6B8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 января 1915 г. по 1 января 1916 г.</w:t>
            </w:r>
          </w:p>
        </w:tc>
        <w:tc>
          <w:tcPr>
            <w:tcW w:w="2754" w:type="dxa"/>
            <w:tcBorders>
              <w:top w:val="single" w:sz="12" w:space="0" w:color="auto"/>
            </w:tcBorders>
          </w:tcPr>
          <w:p w14:paraId="3602502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 января 1916 г. по 1 января 1917 г.</w:t>
            </w:r>
          </w:p>
        </w:tc>
      </w:tr>
      <w:tr w:rsidR="002B1C74" w:rsidRPr="002F2FDF" w14:paraId="30DEECF1" w14:textId="77777777">
        <w:tc>
          <w:tcPr>
            <w:tcW w:w="2430" w:type="dxa"/>
          </w:tcPr>
          <w:p w14:paraId="1846908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заказу морского ведомства</w:t>
            </w:r>
          </w:p>
        </w:tc>
        <w:tc>
          <w:tcPr>
            <w:tcW w:w="2765" w:type="dxa"/>
          </w:tcPr>
          <w:p w14:paraId="6623006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19 363 004 руб.</w:t>
            </w:r>
          </w:p>
        </w:tc>
        <w:tc>
          <w:tcPr>
            <w:tcW w:w="2754" w:type="dxa"/>
          </w:tcPr>
          <w:p w14:paraId="67D3513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16616996 руб. 52 коп.</w:t>
            </w:r>
          </w:p>
        </w:tc>
      </w:tr>
      <w:tr w:rsidR="002B1C74" w:rsidRPr="002F2FDF" w14:paraId="2CFCB2EF" w14:textId="77777777">
        <w:tc>
          <w:tcPr>
            <w:tcW w:w="2430" w:type="dxa"/>
          </w:tcPr>
          <w:p w14:paraId="7334A41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заказу военного ведомства</w:t>
            </w:r>
          </w:p>
        </w:tc>
        <w:tc>
          <w:tcPr>
            <w:tcW w:w="2765" w:type="dxa"/>
          </w:tcPr>
          <w:p w14:paraId="45886F6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6981 728 руб.</w:t>
            </w:r>
          </w:p>
        </w:tc>
        <w:tc>
          <w:tcPr>
            <w:tcW w:w="2754" w:type="dxa"/>
          </w:tcPr>
          <w:p w14:paraId="1E25D8D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24910565 руб. 47 коп.</w:t>
            </w:r>
          </w:p>
        </w:tc>
      </w:tr>
      <w:tr w:rsidR="002B1C74" w:rsidRPr="002F2FDF" w14:paraId="06ED7A1D" w14:textId="77777777">
        <w:tc>
          <w:tcPr>
            <w:tcW w:w="2430" w:type="dxa"/>
          </w:tcPr>
          <w:p w14:paraId="756933D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заказу частных лиц</w:t>
            </w:r>
          </w:p>
        </w:tc>
        <w:tc>
          <w:tcPr>
            <w:tcW w:w="2765" w:type="dxa"/>
          </w:tcPr>
          <w:p w14:paraId="5FF6C81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4876 518 руб.</w:t>
            </w:r>
          </w:p>
        </w:tc>
        <w:tc>
          <w:tcPr>
            <w:tcW w:w="2754" w:type="dxa"/>
          </w:tcPr>
          <w:p w14:paraId="19665C3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3 303 239 руб. 51 коп.</w:t>
            </w:r>
          </w:p>
        </w:tc>
      </w:tr>
      <w:tr w:rsidR="002B1C74" w:rsidRPr="002F2FDF" w14:paraId="1EE2B909" w14:textId="77777777">
        <w:tc>
          <w:tcPr>
            <w:tcW w:w="2430" w:type="dxa"/>
            <w:tcBorders>
              <w:bottom w:val="single" w:sz="12" w:space="0" w:color="auto"/>
            </w:tcBorders>
          </w:tcPr>
          <w:p w14:paraId="5F7257D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2765" w:type="dxa"/>
            <w:tcBorders>
              <w:bottom w:val="single" w:sz="12" w:space="0" w:color="auto"/>
            </w:tcBorders>
          </w:tcPr>
          <w:p w14:paraId="40A1B55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31 221 250 руб.</w:t>
            </w:r>
          </w:p>
        </w:tc>
        <w:tc>
          <w:tcPr>
            <w:tcW w:w="2754" w:type="dxa"/>
            <w:tcBorders>
              <w:bottom w:val="single" w:sz="12" w:space="0" w:color="auto"/>
            </w:tcBorders>
          </w:tcPr>
          <w:p w14:paraId="16B7A93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44830801 руб. 50 коп.</w:t>
            </w:r>
          </w:p>
        </w:tc>
      </w:tr>
    </w:tbl>
    <w:p w14:paraId="7AE147E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&lt;...&gt; Ижорский завод</w:t>
      </w:r>
    </w:p>
    <w:p w14:paraId="2F8FC37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истекшем 1916 г. Ижорский завод работал с еще большим напряжением, чем в предшествовавшем 1915 г., стремясь все свое техническое оборудование использовать на производство военно-технического снабжения, необходимого армии и флоту в пережи</w:t>
      </w:r>
      <w:r w:rsidRPr="002F2FDF">
        <w:rPr>
          <w:rFonts w:ascii="Times New Roman" w:hAnsi="Times New Roman" w:cs="Times New Roman"/>
          <w:color w:val="000000" w:themeColor="text1"/>
          <w:kern w:val="2"/>
          <w:sz w:val="16"/>
          <w:szCs w:val="16"/>
        </w:rPr>
        <w:softHyphen/>
        <w:t>ваемое военное время.</w:t>
      </w:r>
    </w:p>
    <w:p w14:paraId="394A19E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Заводом за отчетный год изготовлено и сдано разных изделий на сумму около 34 млн. руб., т. е. более, чем в предшествовавшем 1915 году, почти на 6 млн. рублей. &lt;...&gt;</w:t>
      </w:r>
    </w:p>
    <w:p w14:paraId="6ACF6CF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РГАВМФ. Научно-справочная библиотека (10707,630).</w:t>
      </w:r>
    </w:p>
    <w:p w14:paraId="3293D0E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C1853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A2110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137857" w14:textId="77777777" w:rsidR="005B5D8E" w:rsidRPr="002F2FDF" w:rsidRDefault="005B5D8E"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В начале 1917 г. выпуска самолетов вырос до 350 в месяц (в 10 раз больше по сравнению с 1914 г.), однако летом авиапроизводство в стране продолжало сокращаться. Это нашло отражение в резолюции Авиасъезда: «В деле снабжения аппаратами, моторами и материалами (…) нежизненность программы заказов, как на русском, так и заграничном рынках, полная неорганизованность отечественной авиапромышленности, в особенности моторной, недостаточное наблюдение за заказами» (19566).</w:t>
      </w:r>
    </w:p>
    <w:p w14:paraId="07FC8257" w14:textId="77777777" w:rsidR="005B5D8E" w:rsidRPr="002F2FDF" w:rsidRDefault="005B5D8E" w:rsidP="0083075A">
      <w:pPr>
        <w:spacing w:after="0" w:line="240" w:lineRule="auto"/>
        <w:jc w:val="both"/>
        <w:rPr>
          <w:rFonts w:ascii="Times New Roman" w:hAnsi="Times New Roman" w:cs="Times New Roman"/>
          <w:sz w:val="16"/>
          <w:szCs w:val="16"/>
        </w:rPr>
      </w:pPr>
    </w:p>
    <w:p w14:paraId="7D210A2F" w14:textId="77777777" w:rsidR="005B5D8E" w:rsidRPr="002F2FDF" w:rsidRDefault="005B5D8E"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В начале 1917 г. было принято новое Положение об Увофлоте. В нем новый начальник Увофлота Д.В. Яковлев самопроизвольно называет Управление ВВФ «Главным», однако название не было утверждено ни Военным советом и Николаем II (19566).</w:t>
      </w:r>
    </w:p>
    <w:p w14:paraId="7790B152" w14:textId="77777777" w:rsidR="005B5D8E" w:rsidRPr="002F2FDF" w:rsidRDefault="005B5D8E" w:rsidP="0083075A">
      <w:pPr>
        <w:spacing w:after="0" w:line="240" w:lineRule="auto"/>
        <w:jc w:val="both"/>
        <w:rPr>
          <w:rFonts w:ascii="Times New Roman" w:hAnsi="Times New Roman" w:cs="Times New Roman"/>
          <w:sz w:val="16"/>
          <w:szCs w:val="16"/>
        </w:rPr>
      </w:pPr>
    </w:p>
    <w:p w14:paraId="04EF878F" w14:textId="77777777" w:rsidR="005B5D8E" w:rsidRPr="002F2FDF" w:rsidRDefault="005B5D8E"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В начале 1917 г. инспектора авиации проверяли авиапарки. Так, Инспектор авиации армий СФ проинспектировал 4 и 7-й авиапарки. По его докладу в 4-м парке «мастерские оборудованы отлично и могут дать значительную работу для авиационных частей. Если в настоящее время таковая невелика, то лишь потому, что налицо сравнительно небольшое число авиачастей, питаемых парком, обходятся больше ремонтными средствами баз, оставляя парку функции тылового склада, и парк тратит много работы на собственное устройство». В 7-м авиапарке, по его же докладу: «в столярных отделениях, за исключением винторемонтного, производились работы исключительно неавиационного назначения. (...). Между парком и питаемыми авиачастями нет обмена мнениями, нет согласованности в деле». Примерно такие же результаты инспектирования имели и другие парки. За два с половиной года войны авиапарки приобрели достаточно сложную организационную структуру и занимались как ремонтом, хранением, изготовлением авиационного и автомобильного имущества, так и обучением личного состава. Это усложняло работу инспекторов ВВФ округов, введенных взамен помощников начальников инженерных снабжений по авиации. С другой стороны, округа, не входившие в действующую армию, управляли авиапарками, что нарушало связь с ними авиачастей. Расчеты, проведенные в Увофлоте, показали, что «обслуживать более 12 авиаотрядов парку не под силу». Увеличение штатов авиапарков было обусловлено, прежде всего, дальнейшим развитием отраслей авиационного дела. Этот процесс затронул и аэрофотопарк, который расширялся в соответствии с приказом НШ ВГК от 18 октября 1916 г. № 1433. Второе расширение произошло в июне 1917 г. В конце августа 1917 г. командир АФП вновь обратился к Начальнику УВВФ с предложением об увеличении штатов и табельных средств парка, однако в письме от 20 сентября 1917 г. Начальник Увофлота указал на отсутствие в этом необходимости. Осенью 1917 г. в АФП состояло 118 и 100 человек постоянного и переменного состава соответственно. Назначение АФП оставалось прежним: снабжение частей фотоимуществом, его изготовление и обучение специалистов (19566).</w:t>
      </w:r>
    </w:p>
    <w:p w14:paraId="74303AA9" w14:textId="77777777" w:rsidR="005B5D8E" w:rsidRPr="002F2FDF" w:rsidRDefault="005B5D8E" w:rsidP="0083075A">
      <w:pPr>
        <w:spacing w:after="0" w:line="240" w:lineRule="auto"/>
        <w:jc w:val="both"/>
        <w:rPr>
          <w:rFonts w:ascii="Times New Roman" w:hAnsi="Times New Roman" w:cs="Times New Roman"/>
          <w:sz w:val="16"/>
          <w:szCs w:val="16"/>
        </w:rPr>
      </w:pPr>
    </w:p>
    <w:p w14:paraId="618050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только "Киевский" выполнял боевые задания, совершив с января по март 11 вылетов (12038).</w:t>
      </w:r>
    </w:p>
    <w:p w14:paraId="12A331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A50D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года ЭВК располагала 30 кораблями (включая учебные). И лишь четыре "Муромца" от обшего числа находилось на фронте. На Юго-Западном фронте, в l-м боевом отряде в Ягельнице (у Черткова) имелось два корабля: XIII штабс-капитана В.А. Соловьёва и XV капитана Г.В. Клембов- ского. Из-за изношенности машина Соловьёва (№ 169) не годилась для совершения боевых полётов. За зиму отряд не совершал боевых полётов из-за того, что устарели "Аргусы" (у Соловьёва), а моторы "Санбим" (у Клембовского) зимой плохо работали. Ещё двумя кораблями был вооружён 3-й огряд на Западном фронте в Станьково: "Киевский" (№ 182) капитана И.С. Башко и XII штабс-капитана Е.М. Городецкого. В начале 19I7 года только "Киевский" выполнял боевые задания (позволяли хорошие моторы), совершив с января по март 11 вылетов (12041).</w:t>
      </w:r>
    </w:p>
    <w:p w14:paraId="6BF6BE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F62D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"Ньюпор-10" считался истребителем. Позже, когда появились самолеты с большей скоростью, "Ныопор" стали использовать в качестве разведчика. В 1917 г. лучшими разведчиками считались "Сопвичи", но эту машину нередко использовали и в качестве истребителя. Кроме того, зачастую, из-за недостатка самолетов, выполнение особо ответственных заданий по разведке и фотографированию позиций противника возлагалось на истребителей, способных обороняться и уходить от воздушного противника. Одни военные летчики считали "Ньюпор-10", "Моска" и "Сопвич" - разведчиками, другие относили их к истребителям. Такой же разнобой в оценке машин можно встретить и в официальных документах. Также добавляло путаницы и то, что роль отдельных самолетов то и дело менялась в ходе боевых действий. По-прежнему многоцелевому использованию предназначались гиганты "ИМ". В этом году планировалось поставить на вооружение 120 "ИМ" (построить 80 новых). Норма потерь для самолетов типа "ИМ" исчислялась ГВТУ в 200% в год (11999).</w:t>
      </w:r>
    </w:p>
    <w:p w14:paraId="4635D5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51E4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русский Императорский Военно-воздушный флот действовал на пяти фронтах: Северном, Западном, Юго-Западном, Румынском и Кавказском. Николай II высоко оценил заслуги своих летчиков в Великой войне: тысячи из них удостоились различных наград, в том числе стали Георгиевскими кавалерами (11237).</w:t>
      </w:r>
    </w:p>
    <w:p w14:paraId="52BB8A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B40D8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первые месяцы 1917 г. в русской армии продолжалось фор</w:t>
      </w:r>
      <w:r w:rsidRPr="002F2FDF">
        <w:rPr>
          <w:rFonts w:ascii="Times New Roman" w:hAnsi="Times New Roman" w:cs="Times New Roman"/>
          <w:color w:val="000000" w:themeColor="text1"/>
          <w:kern w:val="2"/>
          <w:sz w:val="16"/>
          <w:szCs w:val="16"/>
        </w:rPr>
        <w:softHyphen/>
        <w:t>мирование новых авиационных отрядов. Наряду с увеличением числа армейских и корпусных авиационных отрядов в этот период было сформировано несколько артиллерийских авиационных отря</w:t>
      </w:r>
      <w:r w:rsidRPr="002F2FDF">
        <w:rPr>
          <w:rFonts w:ascii="Times New Roman" w:hAnsi="Times New Roman" w:cs="Times New Roman"/>
          <w:color w:val="000000" w:themeColor="text1"/>
          <w:kern w:val="2"/>
          <w:sz w:val="16"/>
          <w:szCs w:val="16"/>
        </w:rPr>
        <w:softHyphen/>
        <w:t>дов, предназначавшихся специально для корректирования артил</w:t>
      </w:r>
      <w:r w:rsidRPr="002F2FDF">
        <w:rPr>
          <w:rFonts w:ascii="Times New Roman" w:hAnsi="Times New Roman" w:cs="Times New Roman"/>
          <w:color w:val="000000" w:themeColor="text1"/>
          <w:kern w:val="2"/>
          <w:sz w:val="16"/>
          <w:szCs w:val="16"/>
        </w:rPr>
        <w:softHyphen/>
        <w:t>лерийского огня. К началу февральской революции русская армия имела 85 авиационных отрядов, из них 52 корпусных, 12 армей</w:t>
      </w:r>
      <w:r w:rsidRPr="002F2FDF">
        <w:rPr>
          <w:rFonts w:ascii="Times New Roman" w:hAnsi="Times New Roman" w:cs="Times New Roman"/>
          <w:color w:val="000000" w:themeColor="text1"/>
          <w:kern w:val="2"/>
          <w:sz w:val="16"/>
          <w:szCs w:val="16"/>
        </w:rPr>
        <w:softHyphen/>
        <w:t>ских, 12 истребительных, 3 артиллерийских, 2 охранных и 4 тыло</w:t>
      </w:r>
      <w:r w:rsidRPr="002F2FDF">
        <w:rPr>
          <w:rFonts w:ascii="Times New Roman" w:hAnsi="Times New Roman" w:cs="Times New Roman"/>
          <w:color w:val="000000" w:themeColor="text1"/>
          <w:kern w:val="2"/>
          <w:sz w:val="16"/>
          <w:szCs w:val="16"/>
        </w:rPr>
        <w:softHyphen/>
        <w:t xml:space="preserve">вых. Еще несколько авиационных отрядов было сформировано весной 1917 г. Однако в боевых действиях эти отряды принять </w:t>
      </w:r>
      <w:r w:rsidRPr="002F2FDF">
        <w:rPr>
          <w:rFonts w:ascii="Times New Roman" w:hAnsi="Times New Roman" w:cs="Times New Roman"/>
          <w:color w:val="000000" w:themeColor="text1"/>
          <w:kern w:val="2"/>
          <w:sz w:val="16"/>
          <w:szCs w:val="16"/>
        </w:rPr>
        <w:lastRenderedPageBreak/>
        <w:t>участия уже не успели. Под натиском революционной волны ста</w:t>
      </w:r>
      <w:r w:rsidRPr="002F2FDF">
        <w:rPr>
          <w:rFonts w:ascii="Times New Roman" w:hAnsi="Times New Roman" w:cs="Times New Roman"/>
          <w:color w:val="000000" w:themeColor="text1"/>
          <w:kern w:val="2"/>
          <w:sz w:val="16"/>
          <w:szCs w:val="16"/>
        </w:rPr>
        <w:softHyphen/>
        <w:t>рая армия разваливалась. Поступление новой материальной части почти полностью прекратилось. Количество самолетов в армии не</w:t>
      </w:r>
      <w:r w:rsidRPr="002F2FDF">
        <w:rPr>
          <w:rFonts w:ascii="Times New Roman" w:hAnsi="Times New Roman" w:cs="Times New Roman"/>
          <w:color w:val="000000" w:themeColor="text1"/>
          <w:kern w:val="2"/>
          <w:sz w:val="16"/>
          <w:szCs w:val="16"/>
        </w:rPr>
        <w:softHyphen/>
        <w:t>прерывно сокращалось, поскольку потери материальной части не восполнялись (278).</w:t>
      </w:r>
    </w:p>
    <w:p w14:paraId="397797B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03E64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была проведена новая реорганизация возду</w:t>
      </w:r>
      <w:r w:rsidRPr="002F2FDF">
        <w:rPr>
          <w:rFonts w:ascii="Times New Roman" w:hAnsi="Times New Roman" w:cs="Times New Roman"/>
          <w:color w:val="000000" w:themeColor="text1"/>
          <w:kern w:val="2"/>
          <w:sz w:val="16"/>
          <w:szCs w:val="16"/>
        </w:rPr>
        <w:softHyphen/>
        <w:t>хоплавательных частей. Вместо отдельных воздухоплавательных рот с несколькими станциями (аэростатами) были созданы воз</w:t>
      </w:r>
      <w:r w:rsidRPr="002F2FDF">
        <w:rPr>
          <w:rFonts w:ascii="Times New Roman" w:hAnsi="Times New Roman" w:cs="Times New Roman"/>
          <w:color w:val="000000" w:themeColor="text1"/>
          <w:kern w:val="2"/>
          <w:sz w:val="16"/>
          <w:szCs w:val="16"/>
        </w:rPr>
        <w:softHyphen/>
        <w:t>духоплавательные отряды, организационно входившие в состав корпусов и армий. К лету 1917 г. русская армия имела 59 кор</w:t>
      </w:r>
      <w:r w:rsidRPr="002F2FDF">
        <w:rPr>
          <w:rFonts w:ascii="Times New Roman" w:hAnsi="Times New Roman" w:cs="Times New Roman"/>
          <w:color w:val="000000" w:themeColor="text1"/>
          <w:kern w:val="2"/>
          <w:sz w:val="16"/>
          <w:szCs w:val="16"/>
        </w:rPr>
        <w:softHyphen/>
        <w:t>пусных и 28 армейских воздухоплавательных отрядов, 2 крепост</w:t>
      </w:r>
      <w:r w:rsidRPr="002F2FDF">
        <w:rPr>
          <w:rFonts w:ascii="Times New Roman" w:hAnsi="Times New Roman" w:cs="Times New Roman"/>
          <w:color w:val="000000" w:themeColor="text1"/>
          <w:kern w:val="2"/>
          <w:sz w:val="16"/>
          <w:szCs w:val="16"/>
        </w:rPr>
        <w:softHyphen/>
        <w:t>ные воздухоплавательные роты и 4 воздухоплавательных парка (по одному на каждый фронт) (278).</w:t>
      </w:r>
    </w:p>
    <w:p w14:paraId="7CA5FE5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1C4E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было подговлено руководство:</w:t>
      </w:r>
    </w:p>
    <w:p w14:paraId="63F912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Воздушный пилотаж. Советы летчику на истребителе </w:t>
      </w:r>
    </w:p>
    <w:p w14:paraId="654771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Взлет и спуск — основы летания. Это пробный камень, дающий возможность судить о чуткости летчика. </w:t>
      </w:r>
    </w:p>
    <w:p w14:paraId="00E37D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Будьте во время взлета и спуска внимательны, сберегая при этом полетные качества аппарата. Не делайте ничего с целью кого-либо удивить или поразить. </w:t>
      </w:r>
    </w:p>
    <w:p w14:paraId="3253BF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Перед вылетом.</w:t>
      </w:r>
      <w:r w:rsidRPr="002F2FDF">
        <w:rPr>
          <w:rFonts w:ascii="Times New Roman" w:hAnsi="Times New Roman" w:cs="Times New Roman"/>
          <w:color w:val="000000" w:themeColor="text1"/>
          <w:kern w:val="2"/>
          <w:sz w:val="16"/>
          <w:szCs w:val="16"/>
        </w:rPr>
        <w:t xml:space="preserve"> Осмотрите аппарат, попробуйте управление, попробуйте мотор. Не заставляя мотор работать слишком долго, убедитесь, что масло пульсирует в стаканчике. </w:t>
      </w:r>
    </w:p>
    <w:p w14:paraId="51EFC7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Взлет.</w:t>
      </w:r>
      <w:r w:rsidRPr="002F2FDF">
        <w:rPr>
          <w:rFonts w:ascii="Times New Roman" w:hAnsi="Times New Roman" w:cs="Times New Roman"/>
          <w:color w:val="000000" w:themeColor="text1"/>
          <w:kern w:val="2"/>
          <w:sz w:val="16"/>
          <w:szCs w:val="16"/>
        </w:rPr>
        <w:t xml:space="preserve"> Производите разбег по возможности против ветра, поднимая хвост с самого начала. Катитесь дольше и прямо. Не отделяйтесь с перебоями. Не делайте виражей у земли. Не подымайтесь круто вначале. </w:t>
      </w:r>
    </w:p>
    <w:p w14:paraId="76B5DE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В полете.</w:t>
      </w:r>
      <w:r w:rsidRPr="002F2FDF">
        <w:rPr>
          <w:rFonts w:ascii="Times New Roman" w:hAnsi="Times New Roman" w:cs="Times New Roman"/>
          <w:color w:val="000000" w:themeColor="text1"/>
          <w:kern w:val="2"/>
          <w:sz w:val="16"/>
          <w:szCs w:val="16"/>
        </w:rPr>
        <w:t xml:space="preserve"> Соблюдайте большую осторожность на высоте до 600 метров. На малых высотах не должно быть крутых виражей. Выше 800 метров делайте что хотите: опасности нет. </w:t>
      </w:r>
    </w:p>
    <w:p w14:paraId="3A2DDF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Управление мотором.</w:t>
      </w:r>
      <w:r w:rsidRPr="002F2FDF">
        <w:rPr>
          <w:rFonts w:ascii="Times New Roman" w:hAnsi="Times New Roman" w:cs="Times New Roman"/>
          <w:color w:val="000000" w:themeColor="text1"/>
          <w:kern w:val="2"/>
          <w:sz w:val="16"/>
          <w:szCs w:val="16"/>
        </w:rPr>
        <w:t xml:space="preserve"> Управление мотором должно быть мягким. Контакта на полном газе давать не следует. Не действуйте резко. Давайте в полете меньше бензина, по мере подъема убавляйте бензин. </w:t>
      </w:r>
    </w:p>
    <w:p w14:paraId="0CDE8D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Во время спуска.</w:t>
      </w:r>
      <w:r w:rsidRPr="002F2FDF">
        <w:rPr>
          <w:rFonts w:ascii="Times New Roman" w:hAnsi="Times New Roman" w:cs="Times New Roman"/>
          <w:color w:val="000000" w:themeColor="text1"/>
          <w:kern w:val="2"/>
          <w:sz w:val="16"/>
          <w:szCs w:val="16"/>
        </w:rPr>
        <w:t xml:space="preserve"> Прекращайте работу мотора газовой рукояткой. Убавляйте бензин, если спуск длинен. </w:t>
      </w:r>
    </w:p>
    <w:p w14:paraId="50F9D3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Спуск.</w:t>
      </w:r>
      <w:r w:rsidRPr="002F2FDF">
        <w:rPr>
          <w:rFonts w:ascii="Times New Roman" w:hAnsi="Times New Roman" w:cs="Times New Roman"/>
          <w:color w:val="000000" w:themeColor="text1"/>
          <w:kern w:val="2"/>
          <w:sz w:val="16"/>
          <w:szCs w:val="16"/>
        </w:rPr>
        <w:t xml:space="preserve"> Не забывайте об осторожности ниже 600 метров. Наблюдайте, нет ли других аппаратов, собирающихся садиться или взлетать. </w:t>
      </w:r>
    </w:p>
    <w:p w14:paraId="1B4389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Заботьтесь о ваших спусках, если хотите, чтобы аппарат хорошо летал и брал бы высоту. (Военный летчик. 1917. № 2., Издание Севастопольской Его Императорского Высочества Великого князя Александра Михайловича военной авиационной школы. [203] (11334).</w:t>
      </w:r>
    </w:p>
    <w:p w14:paraId="090E513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4E6CD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года в Одессе на базе летной шко</w:t>
      </w:r>
      <w:r w:rsidRPr="002F2FDF">
        <w:rPr>
          <w:rFonts w:ascii="Times New Roman" w:hAnsi="Times New Roman" w:cs="Times New Roman"/>
          <w:color w:val="000000" w:themeColor="text1"/>
          <w:kern w:val="2"/>
          <w:sz w:val="16"/>
          <w:szCs w:val="16"/>
        </w:rPr>
        <w:softHyphen/>
        <w:t>лы аэроклуба путем выделе</w:t>
      </w:r>
      <w:r w:rsidRPr="002F2FDF">
        <w:rPr>
          <w:rFonts w:ascii="Times New Roman" w:hAnsi="Times New Roman" w:cs="Times New Roman"/>
          <w:color w:val="000000" w:themeColor="text1"/>
          <w:kern w:val="2"/>
          <w:sz w:val="16"/>
          <w:szCs w:val="16"/>
        </w:rPr>
        <w:softHyphen/>
        <w:t>ния из состава Гатчинской школы был открыт отдел усовершенствования летчи</w:t>
      </w:r>
      <w:r w:rsidRPr="002F2FDF">
        <w:rPr>
          <w:rFonts w:ascii="Times New Roman" w:hAnsi="Times New Roman" w:cs="Times New Roman"/>
          <w:color w:val="000000" w:themeColor="text1"/>
          <w:kern w:val="2"/>
          <w:sz w:val="16"/>
          <w:szCs w:val="16"/>
        </w:rPr>
        <w:softHyphen/>
        <w:t>ков-истребителей, где одним из инструкторов некоторое время состоял известный летчик первой мировой вой</w:t>
      </w:r>
      <w:r w:rsidRPr="002F2FDF">
        <w:rPr>
          <w:rFonts w:ascii="Times New Roman" w:hAnsi="Times New Roman" w:cs="Times New Roman"/>
          <w:color w:val="000000" w:themeColor="text1"/>
          <w:kern w:val="2"/>
          <w:sz w:val="16"/>
          <w:szCs w:val="16"/>
        </w:rPr>
        <w:softHyphen/>
        <w:t>ны В.Г.Федоров (553).</w:t>
      </w:r>
    </w:p>
    <w:p w14:paraId="2CB2675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1206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общая потребность эскадры оценивалась в 80 истребителей, 52 тренировочных и 20 учебных самолетов. Все предполагалось строить на предприятиях РБВЗ (11196).</w:t>
      </w:r>
    </w:p>
    <w:p w14:paraId="097F81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4B4EC0" w14:textId="77777777" w:rsidR="0090030F" w:rsidRPr="002F2FDF" w:rsidRDefault="0090030F"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в начале 1917 года авиация Черноморского флота насчитывала 152 самолета. В годы гражданской войны она практически перестала существовать, а авиатранспорты были затоплены (553).</w:t>
      </w:r>
    </w:p>
    <w:p w14:paraId="7F18EF37" w14:textId="77777777" w:rsidR="0090030F" w:rsidRPr="002F2FDF" w:rsidRDefault="0090030F"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954F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военное командование стало вводить на вооружение самолеты “Сопвич” производства французских и английских заводов. Это резко изменило условия боя. Полеты с целью глубокой разведки и бомбометания проводились теперь строем из шести - восьми самолетов. С этого времени стали возникать групповые воздушные бои. Для прикрытия корректировщиков и разведчиков придавались истребительные авиаотряды. Значительное количество воздушных боев возникало именно при сопровождении и охране разведывательных, корректировочных и бомбардировочных самолетов. В разгар войны были случаи, когда в воздухе одновременно Дрались по нескольку десятков истребителей (9705).</w:t>
      </w:r>
    </w:p>
    <w:p w14:paraId="2A0F03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92B4FD" w14:textId="77777777" w:rsidR="00621FD4" w:rsidRPr="00FB4F67" w:rsidRDefault="00621FD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 начала 1917 г. Бакинский филиал петроградской школы морской авиации стал самостоятельной летной школой с пре</w:t>
      </w:r>
      <w:r w:rsidRPr="00FB4F67">
        <w:rPr>
          <w:rFonts w:ascii="Times New Roman" w:hAnsi="Times New Roman" w:cs="Times New Roman"/>
          <w:color w:val="0070C0"/>
          <w:sz w:val="16"/>
          <w:szCs w:val="16"/>
        </w:rPr>
        <w:softHyphen/>
        <w:t>красно оборудованными мастерскими, ан</w:t>
      </w:r>
      <w:r w:rsidRPr="00FB4F67">
        <w:rPr>
          <w:rFonts w:ascii="Times New Roman" w:hAnsi="Times New Roman" w:cs="Times New Roman"/>
          <w:color w:val="0070C0"/>
          <w:sz w:val="16"/>
          <w:szCs w:val="16"/>
        </w:rPr>
        <w:softHyphen/>
        <w:t>гарами и спусками на воду. В лучшие вре</w:t>
      </w:r>
      <w:r w:rsidRPr="00FB4F67">
        <w:rPr>
          <w:rFonts w:ascii="Times New Roman" w:hAnsi="Times New Roman" w:cs="Times New Roman"/>
          <w:color w:val="0070C0"/>
          <w:sz w:val="16"/>
          <w:szCs w:val="16"/>
        </w:rPr>
        <w:softHyphen/>
        <w:t>мена здесь насчитывалось до 20 учебных гидросамолетов М-5. Часть из них в сере</w:t>
      </w:r>
      <w:r w:rsidRPr="00FB4F67">
        <w:rPr>
          <w:rFonts w:ascii="Times New Roman" w:hAnsi="Times New Roman" w:cs="Times New Roman"/>
          <w:color w:val="0070C0"/>
          <w:sz w:val="16"/>
          <w:szCs w:val="16"/>
        </w:rPr>
        <w:softHyphen/>
        <w:t>дине 1918 г. принимала участие в отраже</w:t>
      </w:r>
      <w:r w:rsidRPr="00FB4F67">
        <w:rPr>
          <w:rFonts w:ascii="Times New Roman" w:hAnsi="Times New Roman" w:cs="Times New Roman"/>
          <w:color w:val="0070C0"/>
          <w:sz w:val="16"/>
          <w:szCs w:val="16"/>
        </w:rPr>
        <w:softHyphen/>
        <w:t>нии турецкого наступления в Закавказье, действуя в интересах остатков русской (царской) армии. Активное использование вело к неуклонному снижению количества пригодных к полетам машин, поэтому в 1919 г. здесь оставалось лишь два экземп</w:t>
      </w:r>
      <w:r w:rsidRPr="00FB4F67">
        <w:rPr>
          <w:rFonts w:ascii="Times New Roman" w:hAnsi="Times New Roman" w:cs="Times New Roman"/>
          <w:color w:val="0070C0"/>
          <w:sz w:val="16"/>
          <w:szCs w:val="16"/>
        </w:rPr>
        <w:softHyphen/>
        <w:t>ляра М-5. В последующих бурных событиях гражданской войны Бакинская школа и ее имущество перестали существовать (23374).</w:t>
      </w:r>
    </w:p>
    <w:p w14:paraId="6E362400" w14:textId="77777777" w:rsidR="00621FD4" w:rsidRPr="00FB4F67" w:rsidRDefault="00621FD4" w:rsidP="0083075A">
      <w:pPr>
        <w:spacing w:after="0" w:line="240" w:lineRule="auto"/>
        <w:jc w:val="both"/>
        <w:rPr>
          <w:rFonts w:ascii="Times New Roman" w:hAnsi="Times New Roman" w:cs="Times New Roman"/>
          <w:color w:val="0070C0"/>
          <w:sz w:val="16"/>
          <w:szCs w:val="16"/>
        </w:rPr>
      </w:pPr>
    </w:p>
    <w:p w14:paraId="2E1008E4" w14:textId="77777777" w:rsidR="00621FD4" w:rsidRPr="00FB4F67" w:rsidRDefault="00621FD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Где-то в начале 1917 года были составлены планы подготовки морских летчиков в Таганроге. Ситуация изменилась в мае, когда было принято решение о размещении специального подразделения, Воздушно-боевой школы, в Красном Селе, в 28 км к юго-западу от Петрограда. Его должен был организовать военный летчик Подпоручик А.А. Нелидов. К 25 июля школа заработала. Обучение проводилось в два этапа, начиная с обучения на Лебедях 12 и, наконец, соло на Ньюпор XVII и XXIII. Летчиков готовили для наземных истребительных частей ВМФ (23525).</w:t>
      </w:r>
    </w:p>
    <w:p w14:paraId="7BC5BF56" w14:textId="77777777" w:rsidR="00621FD4" w:rsidRDefault="00621FD4"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7D0E995" w14:textId="49A28B45" w:rsidR="0090030F" w:rsidRPr="002F2FDF" w:rsidRDefault="0090030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49DED7F" w14:textId="77777777" w:rsidR="0090030F" w:rsidRPr="002F2FDF" w:rsidRDefault="0090030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090FA7" w14:textId="77777777" w:rsidR="0090030F" w:rsidRPr="002F2FDF" w:rsidRDefault="0090030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shd w:val="clear" w:color="auto" w:fill="FFFFFF"/>
        </w:rPr>
        <w:t>В начале 1917г. И. Гулькевич намеревалось начать на Брянском заводе производство тракторов типа «Аллис-Чапмерс». Но Гулькевичу от этого не стало бы легче: все количество тракторов «съедалось» тяжелой артиллерией. Правда, кредит на один бронеавтомобиль его системы отпустили, работы вели на Путиловском заводе.</w:t>
      </w:r>
    </w:p>
    <w:p w14:paraId="63AA530E" w14:textId="77777777" w:rsidR="0090030F" w:rsidRPr="002F2FDF" w:rsidRDefault="0090030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shd w:val="clear" w:color="auto" w:fill="FFFFFF"/>
        </w:rPr>
        <w:t>Бронирование одного шасси закончили в 1916 г., Гулькевич наконец смог установить на машину два 7,62-мм пулемета “Максим” в независимых шаровых установках во вращающейся башне в средней части машины и 76-мм противоштурмовую пушку в кормовой установке с углом наведения по горизонтали 90°. В корме оборудовали также второй пост управления (большинство русских бронеавтомобилей выходило в бой задним ходом, дабы иметь возможность быстро выйти из-под обстрела). Вся конструкция монтировалась на раме. Двигатель ставился в передней части, ходовая часть включала две независимо подвешенные и поворачивавшиеся относительно рамы гусеничные тележки с металлическими крупнозвенчатыми гусеницами и управляемые неподресоренные передние колеса со стальными бандажами. Коробка передач обеспечивала 4 скорости вперед и 1 назад. Заказанный второй экземпляр Путиловский завод так и не построил – разворачивались бурные события 1917 года. Полугусеничный бронеавтомобиль Гулькечвича, названный “Ахтырец” (очевидно, в честь Ахтырского полка), успешно прошел испытания и в апреле был зачислен в Запасной бронедивизон в Петрограде. Этот дивизион принял активное участие в революционных событиях, а “Ахтырец” (переименованный со временем в “Красный Петербург”) в ноябре появился в Москве во время боев за установление Советской власти, затем в составе 3- го автобронеотряда воевал на Восточном фронте. В 1923г. он пошел на слом (грубый макет бронеавтомобиля можно увидеть в Центральном музее Вооруженных Сил в Москве) (20250).</w:t>
      </w:r>
    </w:p>
    <w:p w14:paraId="184134AD" w14:textId="77777777" w:rsidR="0090030F" w:rsidRPr="002F2FDF" w:rsidRDefault="0090030F" w:rsidP="0083075A">
      <w:pPr>
        <w:spacing w:after="0" w:line="240" w:lineRule="auto"/>
        <w:jc w:val="both"/>
        <w:rPr>
          <w:rFonts w:ascii="Times New Roman" w:hAnsi="Times New Roman" w:cs="Times New Roman"/>
          <w:color w:val="000000" w:themeColor="text1"/>
          <w:sz w:val="16"/>
          <w:szCs w:val="16"/>
        </w:rPr>
      </w:pPr>
    </w:p>
    <w:p w14:paraId="188E9C9A" w14:textId="77777777" w:rsidR="0090030F" w:rsidRPr="002F2FDF" w:rsidRDefault="0090030F" w:rsidP="0083075A">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r w:rsidRPr="002F2FDF">
        <w:rPr>
          <w:rFonts w:ascii="Times New Roman" w:eastAsia="TimesNewRoman" w:hAnsi="Times New Roman" w:cs="Times New Roman"/>
          <w:color w:val="000000" w:themeColor="text1"/>
          <w:sz w:val="16"/>
          <w:szCs w:val="16"/>
        </w:rPr>
        <w:t xml:space="preserve">В начале </w:t>
      </w:r>
      <w:r w:rsidRPr="002F2FDF">
        <w:rPr>
          <w:rFonts w:ascii="Times New Roman" w:eastAsia="Times-Roman" w:hAnsi="Times New Roman" w:cs="Times New Roman"/>
          <w:color w:val="000000" w:themeColor="text1"/>
          <w:sz w:val="16"/>
          <w:szCs w:val="16"/>
        </w:rPr>
        <w:t xml:space="preserve">1917 </w:t>
      </w:r>
      <w:r w:rsidRPr="002F2FDF">
        <w:rPr>
          <w:rFonts w:ascii="Times New Roman" w:eastAsia="TimesNewRoman" w:hAnsi="Times New Roman" w:cs="Times New Roman"/>
          <w:color w:val="000000" w:themeColor="text1"/>
          <w:sz w:val="16"/>
          <w:szCs w:val="16"/>
        </w:rPr>
        <w:t>г</w:t>
      </w:r>
      <w:r w:rsidRPr="002F2FDF">
        <w:rPr>
          <w:rFonts w:ascii="Times New Roman" w:eastAsia="Times-Roman" w:hAnsi="Times New Roman" w:cs="Times New Roman"/>
          <w:color w:val="000000" w:themeColor="text1"/>
          <w:sz w:val="16"/>
          <w:szCs w:val="16"/>
        </w:rPr>
        <w:t xml:space="preserve">. </w:t>
      </w:r>
      <w:r w:rsidRPr="002F2FDF">
        <w:rPr>
          <w:rFonts w:ascii="Times New Roman" w:eastAsia="TimesNewRoman" w:hAnsi="Times New Roman" w:cs="Times New Roman"/>
          <w:color w:val="000000" w:themeColor="text1"/>
          <w:sz w:val="16"/>
          <w:szCs w:val="16"/>
        </w:rPr>
        <w:t xml:space="preserve">были разработаны и готовились к применению в боевых условиях </w:t>
      </w:r>
      <w:r w:rsidRPr="002F2FDF">
        <w:rPr>
          <w:rFonts w:ascii="Times New Roman" w:eastAsia="Times-Roman" w:hAnsi="Times New Roman" w:cs="Times New Roman"/>
          <w:color w:val="000000" w:themeColor="text1"/>
          <w:sz w:val="16"/>
          <w:szCs w:val="16"/>
        </w:rPr>
        <w:t>107-</w:t>
      </w:r>
      <w:r w:rsidRPr="002F2FDF">
        <w:rPr>
          <w:rFonts w:ascii="Times New Roman" w:eastAsia="TimesNewRoman" w:hAnsi="Times New Roman" w:cs="Times New Roman"/>
          <w:color w:val="000000" w:themeColor="text1"/>
          <w:sz w:val="16"/>
          <w:szCs w:val="16"/>
        </w:rPr>
        <w:t xml:space="preserve">мм пушечные и </w:t>
      </w:r>
      <w:r w:rsidRPr="002F2FDF">
        <w:rPr>
          <w:rFonts w:ascii="Times New Roman" w:eastAsia="Times-Roman" w:hAnsi="Times New Roman" w:cs="Times New Roman"/>
          <w:color w:val="000000" w:themeColor="text1"/>
          <w:sz w:val="16"/>
          <w:szCs w:val="16"/>
        </w:rPr>
        <w:t>152-</w:t>
      </w:r>
      <w:r w:rsidRPr="002F2FDF">
        <w:rPr>
          <w:rFonts w:ascii="Times New Roman" w:eastAsia="TimesNewRoman" w:hAnsi="Times New Roman" w:cs="Times New Roman"/>
          <w:color w:val="000000" w:themeColor="text1"/>
          <w:sz w:val="16"/>
          <w:szCs w:val="16"/>
        </w:rPr>
        <w:t>мм гаубичные химические снаряды (20240).</w:t>
      </w:r>
    </w:p>
    <w:p w14:paraId="321A8BEC" w14:textId="77777777" w:rsidR="0090030F" w:rsidRPr="002F2FDF" w:rsidRDefault="0090030F" w:rsidP="0083075A">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p>
    <w:p w14:paraId="3F76BD9E" w14:textId="77777777" w:rsidR="0090030F" w:rsidRPr="002F2FDF" w:rsidRDefault="0090030F" w:rsidP="0083075A">
      <w:pPr>
        <w:pStyle w:val="ae"/>
        <w:spacing w:before="0" w:after="0"/>
        <w:jc w:val="both"/>
        <w:rPr>
          <w:color w:val="000000" w:themeColor="text1"/>
          <w:sz w:val="16"/>
          <w:szCs w:val="16"/>
        </w:rPr>
      </w:pPr>
      <w:r w:rsidRPr="002F2FDF">
        <w:rPr>
          <w:color w:val="000000" w:themeColor="text1"/>
          <w:sz w:val="16"/>
          <w:szCs w:val="16"/>
        </w:rPr>
        <w:t>В начале 1917 г. фугасный огнемет Страндена, Поварнина и Столицы прошел испытания и под названием «СПС» (взяты начальные буквы фамилий конструкторов) поступил в серийное производство. Их предполагалась устанавливать в одну или несколько линий с дистанциями между линиями в 100-150 метров и с интервалами между отдельными огнеметами в линии в 35- 50 метров (20246).</w:t>
      </w:r>
    </w:p>
    <w:p w14:paraId="49552AEB" w14:textId="77777777" w:rsidR="0090030F" w:rsidRPr="002F2FDF" w:rsidRDefault="0090030F" w:rsidP="0083075A">
      <w:pPr>
        <w:pStyle w:val="ae"/>
        <w:spacing w:before="0" w:after="0"/>
        <w:jc w:val="both"/>
        <w:rPr>
          <w:color w:val="000000" w:themeColor="text1"/>
          <w:sz w:val="16"/>
          <w:szCs w:val="16"/>
        </w:rPr>
      </w:pPr>
    </w:p>
    <w:p w14:paraId="635C4F03" w14:textId="77777777" w:rsidR="0090030F" w:rsidRPr="002F2FDF" w:rsidRDefault="0090030F" w:rsidP="0083075A">
      <w:pPr>
        <w:pStyle w:val="ae"/>
        <w:spacing w:before="0" w:after="0"/>
        <w:jc w:val="both"/>
        <w:rPr>
          <w:color w:val="000000" w:themeColor="text1"/>
          <w:sz w:val="16"/>
          <w:szCs w:val="16"/>
        </w:rPr>
      </w:pPr>
      <w:r w:rsidRPr="002F2FDF">
        <w:rPr>
          <w:color w:val="000000" w:themeColor="text1"/>
          <w:sz w:val="16"/>
          <w:szCs w:val="16"/>
        </w:rPr>
        <w:t>В начале 1917 г. предполагалось доставить на фронт для боевого опыта по 3000 снарядов — 107-мм пушечных и 152-мм гаубичных снарядов.</w:t>
      </w:r>
    </w:p>
    <w:p w14:paraId="67501787" w14:textId="04E9B484" w:rsidR="0090030F" w:rsidRPr="002F2FDF" w:rsidRDefault="0090030F" w:rsidP="0083075A">
      <w:pPr>
        <w:pStyle w:val="ae"/>
        <w:spacing w:before="0" w:after="0"/>
        <w:jc w:val="both"/>
        <w:rPr>
          <w:color w:val="000000" w:themeColor="text1"/>
          <w:sz w:val="16"/>
          <w:szCs w:val="16"/>
        </w:rPr>
      </w:pPr>
      <w:r w:rsidRPr="002F2FDF">
        <w:rPr>
          <w:color w:val="000000" w:themeColor="text1"/>
          <w:sz w:val="16"/>
          <w:szCs w:val="16"/>
        </w:rPr>
        <w:t>Газовое облако от разрыва одного 76-мм химического снаряда охватывало площадь около 5 м2. Для расчета количества химических снарядов, необходимых для обстрела площадей, принята была норма — одна 76-мм химическая граната на 40 м2</w:t>
      </w:r>
      <w:r w:rsidR="00E52569">
        <w:rPr>
          <w:color w:val="000000" w:themeColor="text1"/>
          <w:sz w:val="16"/>
          <w:szCs w:val="16"/>
        </w:rPr>
        <w:t xml:space="preserve"> </w:t>
      </w:r>
      <w:r w:rsidRPr="002F2FDF">
        <w:rPr>
          <w:color w:val="000000" w:themeColor="text1"/>
          <w:sz w:val="16"/>
          <w:szCs w:val="16"/>
        </w:rPr>
        <w:t>площади и один 152-мм снаряд на 80 м2. Выпущенные непрерывно в таком количестве снаряды создавали газовое облако достаточной концентрации; в дальнейшем для поддержания полученной концентрации число выпускаемых снарядов убавлялось вдвое. Такая стрельба химическими снарядами велась в условиях, когда ветер меньше 7 м/с (лучше полное затишье), когда нет сильного дождя и большой жары при твердом грунте у цели, обеспечивающем разрыв снарядов, и на дистанции не свыше 5 км. Ограничение дистанций вызывалось предположением о необходимости обеспечения снаряда от опрокидывания при полете в результате переливания отравляющей жидкости, которой наполняется не весь внутренний объем снаряда с целью дать жидкости возможность расширяться при неизбежном ее нагревании. Явление опрокидывания снаряда заметно могло сказаться именно на больших дистанциях стрельбы, особенно в высшей точке траектории.</w:t>
      </w:r>
    </w:p>
    <w:p w14:paraId="06A39666" w14:textId="77777777" w:rsidR="0090030F" w:rsidRPr="002F2FDF" w:rsidRDefault="0090030F" w:rsidP="0083075A">
      <w:pPr>
        <w:pStyle w:val="ae"/>
        <w:spacing w:before="0" w:after="0"/>
        <w:jc w:val="both"/>
        <w:rPr>
          <w:color w:val="000000" w:themeColor="text1"/>
          <w:sz w:val="16"/>
          <w:szCs w:val="16"/>
        </w:rPr>
      </w:pPr>
      <w:r w:rsidRPr="002F2FDF">
        <w:rPr>
          <w:color w:val="000000" w:themeColor="text1"/>
          <w:sz w:val="16"/>
          <w:szCs w:val="16"/>
        </w:rPr>
        <w:t>Стенки корпуса артиллерийских снарядов в силу условий прочности делали довольно толстыми, вследствие чего уменьшался внутренний объем снаряда и количество помещаемой в нем жидкости. В среднем вес ОВ в русском химическом артиллерийском снаряде не превосходил 10 % от его общего веса.</w:t>
      </w:r>
    </w:p>
    <w:p w14:paraId="4CCD804D" w14:textId="77777777" w:rsidR="0090030F" w:rsidRPr="002F2FDF" w:rsidRDefault="0090030F" w:rsidP="0083075A">
      <w:pPr>
        <w:pStyle w:val="ae"/>
        <w:spacing w:before="0" w:after="0"/>
        <w:jc w:val="both"/>
        <w:rPr>
          <w:color w:val="000000" w:themeColor="text1"/>
          <w:sz w:val="16"/>
          <w:szCs w:val="16"/>
        </w:rPr>
      </w:pPr>
      <w:r w:rsidRPr="002F2FDF">
        <w:rPr>
          <w:color w:val="000000" w:themeColor="text1"/>
          <w:sz w:val="16"/>
          <w:szCs w:val="16"/>
        </w:rPr>
        <w:t xml:space="preserve">Е. И. Барсуков (1938) отмечал, что русская артиллерия не была настолько богата химическими снарядами, чтобы применять массовую стрельбу, как это было у бывших союзников и противников России. Она применяла 76-мм химические гранаты почти исключительно в обстановке позиционной войны как вспомогательное средство наряду со стрельбой обыкновенными снарядами и главным образом с целью выгнать противника из укрытий, неуязвимых для обыкновенных снарядов, с </w:t>
      </w:r>
      <w:r w:rsidRPr="002F2FDF">
        <w:rPr>
          <w:color w:val="000000" w:themeColor="text1"/>
          <w:sz w:val="16"/>
          <w:szCs w:val="16"/>
        </w:rPr>
        <w:lastRenderedPageBreak/>
        <w:t>тем, чтобы подставить его под действие шрапнели или комбинированного огня с фугасной гранатой. Кроме обстрела неприятельских окопов непосредственно перед атакой войск противника, скопившихся в лесу или в другом укрытом месте, стрельба химическими снарядами применялась русскими с особым успехом для временного прекращения огня (нейтрализации) неприятельских батарей, траншейных орудий и пулеметов, для содействия своей газобаллонной атаке — путем борьбы с артиллерией противника и обстреливания тех целей, которые не захватывались газовой волной, а также для обстрела наблюдательных и командных пунктов противника, укрытых ходов и путей его сообщения.</w:t>
      </w:r>
    </w:p>
    <w:p w14:paraId="02BFDB20" w14:textId="77777777" w:rsidR="0090030F" w:rsidRPr="002F2FDF" w:rsidRDefault="0090030F" w:rsidP="0083075A">
      <w:pPr>
        <w:pStyle w:val="ae"/>
        <w:spacing w:before="0" w:after="0"/>
        <w:jc w:val="both"/>
        <w:rPr>
          <w:color w:val="000000" w:themeColor="text1"/>
          <w:sz w:val="16"/>
          <w:szCs w:val="16"/>
        </w:rPr>
      </w:pPr>
      <w:r w:rsidRPr="002F2FDF">
        <w:rPr>
          <w:color w:val="000000" w:themeColor="text1"/>
          <w:sz w:val="16"/>
          <w:szCs w:val="16"/>
        </w:rPr>
        <w:t>Действительность стрельбы химическими снарядами достигалась лишь большим числом снарядов, выпущенных в короткое время с надлежащей точностью; поэтому стрельба этими снарядами одиночными выстрелами в русской армии не допускалась. Требовались: самая тщательная организация наблюдения за своей стрельбой; заблаговременное распределение между батареями участков целей, подлежащих обстрелу; пристрелка фугасными снарядами или шрапнелью; неожиданный для противника переход на поражение химическими снарядами одновременно всеми назначенными для этого батареями в целях использования внезапности. Батареи, стреляющие химическими снарядами по атакуемым участкам неприятельской позиции, обязывались в момент движения своей пехоты в атаку переносить огонь на батареи противника, на фланкирующие участки и сооружения, на укрытые подступы; при этом рекомендовалось вести огонь преимущественно удушающими снарядами (20246).</w:t>
      </w:r>
    </w:p>
    <w:p w14:paraId="1546033D" w14:textId="77777777" w:rsidR="0090030F" w:rsidRPr="002F2FDF" w:rsidRDefault="0090030F" w:rsidP="0083075A">
      <w:pPr>
        <w:pStyle w:val="ae"/>
        <w:spacing w:before="0" w:after="0"/>
        <w:jc w:val="both"/>
        <w:rPr>
          <w:color w:val="000000" w:themeColor="text1"/>
          <w:sz w:val="16"/>
          <w:szCs w:val="16"/>
        </w:rPr>
      </w:pPr>
    </w:p>
    <w:p w14:paraId="2BFCDF7F" w14:textId="46840037" w:rsidR="0090030F" w:rsidRPr="002F2FDF" w:rsidRDefault="0090030F"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93EE051" w14:textId="77777777" w:rsidR="0090030F" w:rsidRPr="002F2FDF" w:rsidRDefault="0090030F"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0961C0D" w14:textId="77777777" w:rsidR="0090030F" w:rsidRPr="002F2FDF" w:rsidRDefault="0090030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года артиллерийский резерв главковерха (ТАОН) под зашифрованным названием 48-го корпуса был сформирован в составе шести тяжелых артиллерийских бригад под №№ 200,201,202, 203, 204 и 205. В эти бригады были влиты не только заново сформированные тяжелые батареи, но и батареи с фронтов, вооруженные наиболее мощными орудиями. Всего на вооружении ТАОН состояло 338 орудий, в том числе: 280-мм гаубиц Шнейдера 16, 152-мм пушек Шнейдера 24, 205-мм гаубиц Обуховского завода 18, 203-мм гаубиц Виккерса 48, 305-мм гаубиц Виккерса 8, 120-мм французских пушек 48, 120-мм английских пушек 6, 152-мм английских гаубиц 8, 120-мм пушек Обуховского завода 28, 152-мм осадных пушек в 200 пудов 48, 152-мм гаубиц 72, 152-мм береговых пушек Кане 8, 254-мм береговых пушек в 45 калибров 6.</w:t>
      </w:r>
    </w:p>
    <w:p w14:paraId="09BEE2B0" w14:textId="77777777" w:rsidR="0090030F" w:rsidRPr="002F2FDF" w:rsidRDefault="0090030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ТАОН был подразделен на три части: сильнейший кулак для нанесения главного удара, намеченного на Юго-Западном фронте, состоял их четырех бригад ТАОН 200-й, 202-й, 204-й и 205-й, всего 222 орудия; на Западный фронт была назначена одна 201-я бригада с 62 орудиями; на Северный фронт также одна 203-я бригада с 54 орудиями (3861).</w:t>
      </w:r>
    </w:p>
    <w:p w14:paraId="7B0B23BF" w14:textId="77777777" w:rsidR="0090030F" w:rsidRPr="002F2FDF" w:rsidRDefault="0090030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2F651F" w14:textId="77777777" w:rsidR="0090030F" w:rsidRPr="002F2FDF" w:rsidRDefault="0090030F" w:rsidP="0083075A">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shd w:val="clear" w:color="auto" w:fill="FFFFFF"/>
        </w:rPr>
        <w:t>В начале 1917 года немцы тоже усилили свое присутствие в воздухе на Восточном фронте. Вот что писал об этом прапорщик Ф.А. Степун, артиллерийская часто которого стояла в январе 1917 года в м. Рудники на Золотой Липе:</w:t>
      </w:r>
    </w:p>
    <w:p w14:paraId="3A472563" w14:textId="77777777" w:rsidR="0090030F" w:rsidRPr="002F2FDF" w:rsidRDefault="0090030F" w:rsidP="0083075A">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shd w:val="clear" w:color="auto" w:fill="FFFFFF"/>
        </w:rPr>
        <w:t>«Неприятная сторона таких прекрасных дней — громадное количество немецких аэропланов…</w:t>
      </w:r>
    </w:p>
    <w:p w14:paraId="5672199C" w14:textId="77777777" w:rsidR="0090030F" w:rsidRPr="002F2FDF" w:rsidRDefault="0090030F" w:rsidP="0083075A">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shd w:val="clear" w:color="auto" w:fill="FFFFFF"/>
        </w:rPr>
        <w:t>А война становится все ожесточеннее и все ужаснее. Удушливые газы, огнеметатели, горны, минные галереи, бесчисленные аэропланы — всего этого в 15-м году мы не знали, а теперь у нас прямо-таки французский фронт. Что же мы всему этому противопоставим?</w:t>
      </w:r>
    </w:p>
    <w:p w14:paraId="724D5CEC" w14:textId="77777777" w:rsidR="0090030F" w:rsidRPr="002F2FDF" w:rsidRDefault="0090030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shd w:val="clear" w:color="auto" w:fill="FFFFFF"/>
        </w:rPr>
        <w:t>Техника и организация нам никогда не давались, и те некоторые усовершенствования, которых мы на третьем году войны с грехом пополам добились, решительно ничего не значат по сравнению с тем, что за это время сделали немцы». (Степун Ф.А. Из писем прапорщика-артиллериста. — Томск: «Водолей», 2000) (19941</w:t>
      </w:r>
    </w:p>
    <w:p w14:paraId="1CF2AF1D" w14:textId="77777777" w:rsidR="0090030F" w:rsidRPr="002F2FDF" w:rsidRDefault="0090030F" w:rsidP="0083075A">
      <w:pPr>
        <w:spacing w:after="0" w:line="240" w:lineRule="auto"/>
        <w:jc w:val="both"/>
        <w:rPr>
          <w:rFonts w:ascii="Times New Roman" w:hAnsi="Times New Roman" w:cs="Times New Roman"/>
          <w:color w:val="000000" w:themeColor="text1"/>
          <w:sz w:val="16"/>
          <w:szCs w:val="16"/>
        </w:rPr>
      </w:pPr>
    </w:p>
    <w:p w14:paraId="75673DDC" w14:textId="77777777" w:rsidR="0090030F" w:rsidRPr="002F2FDF" w:rsidRDefault="0090030F"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началом 1917 года основным содержанием боевой под</w:t>
      </w:r>
      <w:r w:rsidRPr="002F2FDF">
        <w:rPr>
          <w:rFonts w:ascii="Times New Roman" w:hAnsi="Times New Roman" w:cs="Times New Roman"/>
          <w:color w:val="000000" w:themeColor="text1"/>
          <w:kern w:val="2"/>
          <w:sz w:val="16"/>
          <w:szCs w:val="16"/>
        </w:rPr>
        <w:softHyphen/>
        <w:t>готовки главных сил Черноморского флота и его Транспорт</w:t>
      </w:r>
      <w:r w:rsidRPr="002F2FDF">
        <w:rPr>
          <w:rFonts w:ascii="Times New Roman" w:hAnsi="Times New Roman" w:cs="Times New Roman"/>
          <w:color w:val="000000" w:themeColor="text1"/>
          <w:kern w:val="2"/>
          <w:sz w:val="16"/>
          <w:szCs w:val="16"/>
        </w:rPr>
        <w:softHyphen/>
        <w:t>ной флотилии, в частности, стала отработка задач, связанных с запланированной Ставкой на лето Босфорской десантной опе</w:t>
      </w:r>
      <w:r w:rsidRPr="002F2FDF">
        <w:rPr>
          <w:rFonts w:ascii="Times New Roman" w:hAnsi="Times New Roman" w:cs="Times New Roman"/>
          <w:color w:val="000000" w:themeColor="text1"/>
          <w:kern w:val="2"/>
          <w:sz w:val="16"/>
          <w:szCs w:val="16"/>
        </w:rPr>
        <w:softHyphen/>
        <w:t>рацией. Поэтому под руководством начальника Воздушной дивизии капитана 1 ранга М. Федоровича 26 февраля отряд в составе трех гидрокрейсеров (имевших всего 10 летающих ло</w:t>
      </w:r>
      <w:r w:rsidRPr="002F2FDF">
        <w:rPr>
          <w:rFonts w:ascii="Times New Roman" w:hAnsi="Times New Roman" w:cs="Times New Roman"/>
          <w:color w:val="000000" w:themeColor="text1"/>
          <w:kern w:val="2"/>
          <w:sz w:val="16"/>
          <w:szCs w:val="16"/>
        </w:rPr>
        <w:softHyphen/>
        <w:t>док!) в сопровождении трех эсминцев осуществлял разведку и фотосъемку объектов в Констанце, сохраняя готовность к на</w:t>
      </w:r>
      <w:r w:rsidRPr="002F2FDF">
        <w:rPr>
          <w:rFonts w:ascii="Times New Roman" w:hAnsi="Times New Roman" w:cs="Times New Roman"/>
          <w:color w:val="000000" w:themeColor="text1"/>
          <w:kern w:val="2"/>
          <w:sz w:val="16"/>
          <w:szCs w:val="16"/>
        </w:rPr>
        <w:softHyphen/>
        <w:t>несению бомбовых ударов. Однако надводных кораблей и подводных лодок там не ока</w:t>
      </w:r>
      <w:r w:rsidRPr="002F2FDF">
        <w:rPr>
          <w:rFonts w:ascii="Times New Roman" w:hAnsi="Times New Roman" w:cs="Times New Roman"/>
          <w:color w:val="000000" w:themeColor="text1"/>
          <w:kern w:val="2"/>
          <w:sz w:val="16"/>
          <w:szCs w:val="16"/>
        </w:rPr>
        <w:softHyphen/>
        <w:t>залось. Зато на рассвете 27 февраля наша оперативная груп</w:t>
      </w:r>
      <w:r w:rsidRPr="002F2FDF">
        <w:rPr>
          <w:rFonts w:ascii="Times New Roman" w:hAnsi="Times New Roman" w:cs="Times New Roman"/>
          <w:color w:val="000000" w:themeColor="text1"/>
          <w:kern w:val="2"/>
          <w:sz w:val="16"/>
          <w:szCs w:val="16"/>
        </w:rPr>
        <w:softHyphen/>
        <w:t>па и присоединившаяся к ней пара миноносцев, обеспечивав</w:t>
      </w:r>
      <w:r w:rsidRPr="002F2FDF">
        <w:rPr>
          <w:rFonts w:ascii="Times New Roman" w:hAnsi="Times New Roman" w:cs="Times New Roman"/>
          <w:color w:val="000000" w:themeColor="text1"/>
          <w:kern w:val="2"/>
          <w:sz w:val="16"/>
          <w:szCs w:val="16"/>
        </w:rPr>
        <w:softHyphen/>
        <w:t>шая безопасность полетов, подверглась налету 3 германских аэропланов, встреченных заградительным пушечным и пуле</w:t>
      </w:r>
      <w:r w:rsidRPr="002F2FDF">
        <w:rPr>
          <w:rFonts w:ascii="Times New Roman" w:hAnsi="Times New Roman" w:cs="Times New Roman"/>
          <w:color w:val="000000" w:themeColor="text1"/>
          <w:kern w:val="2"/>
          <w:sz w:val="16"/>
          <w:szCs w:val="16"/>
        </w:rPr>
        <w:softHyphen/>
        <w:t>метным огнем. Ни одна из 50 сброшенных бомб в цели не попала (11283).</w:t>
      </w:r>
    </w:p>
    <w:p w14:paraId="14BD1B48" w14:textId="77777777" w:rsidR="0090030F" w:rsidRPr="002F2FDF" w:rsidRDefault="0090030F"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617FE6" w14:textId="77777777" w:rsidR="00447212" w:rsidRPr="002F2FDF" w:rsidRDefault="0044721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к действующим добавился дивизион особого назначения. Бронеавтомобили получили весьма широкое распространение в Русской армии. До октября 1917 г. организация подразделений, тактика боевого использования и количество бронеавтомобилей во многом превосходили показатели армий других стран (12256).</w:t>
      </w:r>
    </w:p>
    <w:p w14:paraId="0E746F4D" w14:textId="77777777" w:rsidR="00447212" w:rsidRPr="002F2FDF" w:rsidRDefault="00447212" w:rsidP="0083075A">
      <w:pPr>
        <w:spacing w:after="0" w:line="240" w:lineRule="auto"/>
        <w:jc w:val="both"/>
        <w:rPr>
          <w:rFonts w:ascii="Times New Roman" w:hAnsi="Times New Roman" w:cs="Times New Roman"/>
          <w:color w:val="000000" w:themeColor="text1"/>
          <w:kern w:val="2"/>
          <w:sz w:val="16"/>
          <w:szCs w:val="16"/>
        </w:rPr>
      </w:pPr>
    </w:p>
    <w:p w14:paraId="6F2F4EEC" w14:textId="77777777" w:rsidR="0090030F" w:rsidRPr="002F2FDF" w:rsidRDefault="0090030F" w:rsidP="0083075A">
      <w:pPr>
        <w:autoSpaceDE w:val="0"/>
        <w:autoSpaceDN w:val="0"/>
        <w:adjustRightInd w:val="0"/>
        <w:spacing w:after="0" w:line="240" w:lineRule="auto"/>
        <w:jc w:val="both"/>
        <w:rPr>
          <w:rFonts w:ascii="Times New Roman" w:eastAsia="TimesNew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начале 1917 г. после реорганизации воздухоплавания снабжением и ремонтом стали заниматься управления воздухоплавательных дивизионов. Однако и после этого базы для обслуживания воздухоплавателей на передовой так и не были созданы. Все это, естественно, ухудшало боевую работу привязных аэростатов (22957).</w:t>
      </w:r>
      <w:r w:rsidRPr="002F2FDF">
        <w:rPr>
          <w:rFonts w:ascii="Times New Roman" w:eastAsia="TimesNewRoman" w:hAnsi="Times New Roman" w:cs="Times New Roman"/>
          <w:color w:val="000000" w:themeColor="text1"/>
          <w:sz w:val="16"/>
          <w:szCs w:val="16"/>
        </w:rPr>
        <w:t xml:space="preserve"> </w:t>
      </w:r>
    </w:p>
    <w:p w14:paraId="04F3B630" w14:textId="77777777" w:rsidR="0090030F" w:rsidRPr="002F2FDF" w:rsidRDefault="0090030F" w:rsidP="0083075A">
      <w:pPr>
        <w:autoSpaceDE w:val="0"/>
        <w:autoSpaceDN w:val="0"/>
        <w:adjustRightInd w:val="0"/>
        <w:spacing w:after="0" w:line="240" w:lineRule="auto"/>
        <w:jc w:val="both"/>
        <w:rPr>
          <w:rFonts w:ascii="Times New Roman" w:eastAsia="TimesNewRoman" w:hAnsi="Times New Roman" w:cs="Times New Roman"/>
          <w:color w:val="000000" w:themeColor="text1"/>
          <w:sz w:val="16"/>
          <w:szCs w:val="16"/>
        </w:rPr>
      </w:pPr>
    </w:p>
    <w:p w14:paraId="14A10C0F" w14:textId="77777777" w:rsidR="0090030F" w:rsidRPr="002F2FDF" w:rsidRDefault="0090030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начале 1917 г., когда воздухоплавательные части окончательно были приданы стрелковым корпусам, прекратились частые переброски аэростатов. Однако тяжелая артиллерия, имевшая самостоятельное подчинение и часто перемещавшаяся вдоль фронта, не получила постоянно закрепленных за ней аэростатов. Между тем главная задача воздухоплавателей состояла именно в обслуживании стрельбы тяжелой артиллерии. 5-й армейский воздухоотряд под командованием Н.Д. Анощенко работал с группой особо тяжелой артиллерии, в которую входили четыре батареи 12-дюймовых орудий с дальностью огня свыше 20 км. В боях под Двинском летом 1917 г. он прекрасно справлялся со всеми возложенными на него задачами артиллерийской разведки и корректирования стрельбы, за что наблюдатели были отмечены боевыми наградами (22857).</w:t>
      </w:r>
    </w:p>
    <w:p w14:paraId="01584CE8" w14:textId="77777777" w:rsidR="0090030F" w:rsidRPr="002F2FDF" w:rsidRDefault="0090030F" w:rsidP="0083075A">
      <w:pPr>
        <w:spacing w:after="0" w:line="240" w:lineRule="auto"/>
        <w:jc w:val="both"/>
        <w:rPr>
          <w:rFonts w:ascii="Times New Roman" w:hAnsi="Times New Roman" w:cs="Times New Roman"/>
          <w:color w:val="000000" w:themeColor="text1"/>
          <w:sz w:val="16"/>
          <w:szCs w:val="16"/>
        </w:rPr>
      </w:pPr>
    </w:p>
    <w:p w14:paraId="23DEA12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ED960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51637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В начале 1917 г. лицензию на Альбатрос D II купил завод «Остерейхише Флюгцойгфабрик АГ» (Oeffag) в Винер-Нойштадте на юге Австрии, который переделал его под мотор фирмы «Австро-Даймлер» мощностью 185 л. с. Вместо двух пулеметов LMG 08/15 «Шпандау» поставили один М16 «Шварцлозе» калибра 8 мм, который был полностью «утоплен» в фюзеляже. Габариты австрийского и немецкого моторов были близки, и капоты отличались в основном формой вырезов, но для части самолетов фирма «Оэффаг» сделала свой собственный капот, в котором цилиндры были полностью закрыты продолговатой крышкой. В Австро-Венгрии самолет первоначально был обозначен Оэффаг Va.53, но в большинстве документов он шел как Альбатрос D II (Oef.) серии 53. Всего в Австрии построили 16 таких истребителей. С ними общий выпуск этого типа составил 291 машину — довольно много, однако они в численности все еще уступали практически всем конкурентам. Хотя часть самолетов этого типа была передана Австро-Венгрии и Турции, подавляющее большинство их попало в истребительную авиацию Германии и действовало в основном на самом напряженном Западном фронте (22773).</w:t>
      </w:r>
    </w:p>
    <w:p w14:paraId="1F62ED0F" w14:textId="77777777" w:rsidR="00B40BBD" w:rsidRPr="002F2FDF" w:rsidRDefault="00B40BBD" w:rsidP="0083075A">
      <w:pPr>
        <w:pStyle w:val="ae"/>
        <w:spacing w:before="0" w:after="0"/>
        <w:jc w:val="both"/>
        <w:rPr>
          <w:color w:val="000000" w:themeColor="text1"/>
          <w:sz w:val="16"/>
          <w:szCs w:val="16"/>
        </w:rPr>
      </w:pPr>
    </w:p>
    <w:p w14:paraId="312D1DE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В начале 1917 г. у Фоккера вслед за прототипом легкого истребителя V.1 с мотором Оберурсель Ur I в сто сил появились V.2 и V.3 со 160-сильным Мерседесом D III, но они так и остались каждый в единственном экземпляре. И представители Инспекции авиации IdFlieg, и бывавшие на заводе Фоккера в Герризе строевые пилоты почему-то больше обращали внимание на несущественные, по мнению конструкторов, недостатки самолетов, чем на их достоинства. И единственное, чего удалось добиться, — это заинтересовать австро-венгерский завод MAG, который заказал прототип истребителя на базе легкого V.1, но при условии улучшения обзора, замены фанерной обшивки верхнего крыла полотном, сочтя его слишком тяжелым и инертным, а также сделать обычные элероны и руль высоты вместо концевых цельноповоротных. Дав указания начавшему такой проект V.4 Плацу, Фоккер уехал на Западный фронт, чтобы рассказать строевым командирам о своих новых самолетах и послушать их мнение о том, что же нужно делать (22781).</w:t>
      </w:r>
    </w:p>
    <w:p w14:paraId="2AE135BC" w14:textId="77777777" w:rsidR="00B40BBD" w:rsidRPr="002F2FDF" w:rsidRDefault="00B40BBD" w:rsidP="0083075A">
      <w:pPr>
        <w:pStyle w:val="ae"/>
        <w:spacing w:before="0" w:after="0"/>
        <w:jc w:val="both"/>
        <w:rPr>
          <w:color w:val="000000" w:themeColor="text1"/>
          <w:sz w:val="16"/>
          <w:szCs w:val="16"/>
        </w:rPr>
      </w:pPr>
    </w:p>
    <w:p w14:paraId="1CD728B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В начале 1917 года на испытания вышел двухмоторный G III самолеты фирмы «Фридрихсхафен», устроивший командование Люфтваффе. По компоновке силовой установки с толкающими винтами он напоминал конструкции «Готы», но имел металлический каркас фюзеляжа с обшивкой из фанеры. Крылья с коробчатыми лонжеронами были из сосны с полотняной обшивкой. Место летчика было поднято относительно передней стрелковой точки, и на посадке машина оказалась гораздо удобнее своих конкурентов. Большая высота фюзеляжа, определенная этим решением, позволила все бомбы (510 кг) подвешивать внутри. В 1917-1918 годах было построено 245 «Фридрихсхафенов» G III (22794).</w:t>
      </w:r>
    </w:p>
    <w:p w14:paraId="0541CFE6" w14:textId="77777777" w:rsidR="00B40BBD" w:rsidRPr="002F2FDF" w:rsidRDefault="00B40BBD" w:rsidP="0083075A">
      <w:pPr>
        <w:pStyle w:val="ae"/>
        <w:spacing w:before="0" w:after="0"/>
        <w:jc w:val="both"/>
        <w:rPr>
          <w:color w:val="000000" w:themeColor="text1"/>
          <w:sz w:val="16"/>
          <w:szCs w:val="16"/>
        </w:rPr>
      </w:pPr>
    </w:p>
    <w:p w14:paraId="48D14EBF" w14:textId="70CEB12C"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В начале 1917 г. Военное министерство Франции настоятельно просило ускорить разработку новых самолетов, чтобы использовать их в намеченных на весну наступательных операциях. В январе-феврале в чертежи серийного SPAD S.VIIC1 были внесены необходимые изменения</w:t>
      </w:r>
      <w:r w:rsidR="00E52569">
        <w:rPr>
          <w:color w:val="000000" w:themeColor="text1"/>
          <w:sz w:val="16"/>
          <w:szCs w:val="16"/>
        </w:rPr>
        <w:t xml:space="preserve"> </w:t>
      </w:r>
      <w:r w:rsidRPr="002F2FDF">
        <w:rPr>
          <w:color w:val="000000" w:themeColor="text1"/>
          <w:sz w:val="16"/>
          <w:szCs w:val="16"/>
        </w:rPr>
        <w:t>— обычно незначительные. Оперение взяли из готовой документации пушечного истребителя SPAD S.XIICa1 с небольшими переделками, разработка которого началась на месяц раньше, и только некоторые узлы сделали «с нуля», например капот и установку пулеметов. Проекту был присвоен очередной номер</w:t>
      </w:r>
      <w:r w:rsidR="00E52569">
        <w:rPr>
          <w:color w:val="000000" w:themeColor="text1"/>
          <w:sz w:val="16"/>
          <w:szCs w:val="16"/>
        </w:rPr>
        <w:t xml:space="preserve"> </w:t>
      </w:r>
      <w:r w:rsidRPr="002F2FDF">
        <w:rPr>
          <w:color w:val="000000" w:themeColor="text1"/>
          <w:sz w:val="16"/>
          <w:szCs w:val="16"/>
        </w:rPr>
        <w:t>— тринадцатый. Редуктор менял направление вращения воздушного винта и повышал крутящий момент, что дало рост тяги. Выходной вал мотора сместился выше, его теплоотдача увеличилась, и пришлось менять лобовой радиатор, а это и изменения размеров мотора «потянуло» переделку капота. В ожидании роста веса с новым мотором, усиленным планером и вторым пулеметом для сохранения удельной нагрузки на крыло несущую площадь увеличили на 2,35 м2 за счет размаха и расширения элеронов, но это не понадобилось</w:t>
      </w:r>
      <w:r w:rsidR="00E52569">
        <w:rPr>
          <w:color w:val="000000" w:themeColor="text1"/>
          <w:sz w:val="16"/>
          <w:szCs w:val="16"/>
        </w:rPr>
        <w:t xml:space="preserve"> </w:t>
      </w:r>
      <w:r w:rsidRPr="002F2FDF">
        <w:rPr>
          <w:color w:val="000000" w:themeColor="text1"/>
          <w:sz w:val="16"/>
          <w:szCs w:val="16"/>
        </w:rPr>
        <w:t xml:space="preserve">— другие части </w:t>
      </w:r>
      <w:r w:rsidRPr="002F2FDF">
        <w:rPr>
          <w:color w:val="000000" w:themeColor="text1"/>
          <w:sz w:val="16"/>
          <w:szCs w:val="16"/>
        </w:rPr>
        <w:lastRenderedPageBreak/>
        <w:t>конструкции облегчили. Обтекаемость улучшила новая форма законцовок крыла и оперения (22974).</w:t>
      </w:r>
    </w:p>
    <w:p w14:paraId="20C6C4F6" w14:textId="77777777" w:rsidR="00B40BBD" w:rsidRPr="002F2FDF" w:rsidRDefault="00B40BBD" w:rsidP="0083075A">
      <w:pPr>
        <w:pStyle w:val="ae"/>
        <w:spacing w:before="0" w:after="0"/>
        <w:jc w:val="both"/>
        <w:rPr>
          <w:color w:val="000000" w:themeColor="text1"/>
          <w:sz w:val="16"/>
          <w:szCs w:val="16"/>
        </w:rPr>
      </w:pPr>
    </w:p>
    <w:p w14:paraId="047EE777" w14:textId="10C43620"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 xml:space="preserve">В начале 1917 г., когда на фронте появились английские самолеты Sopwith Triplane, фирме «Ганза-Бранденбург» (Hansa und Brandenburgische Flugzeugwerke) была задана разработка истребителя-триплана Ганза-Бранденбург L 16 проект. Проектирование шло под руководством Э. Хейнкеля с использованием готовых решений, опробованных на самолете Hansa-Brandenburg D I, но агрегаты не копировались, а делались подобные с нужными размерами. Самолет был выполнен в классической аэродинамической схеме. </w:t>
      </w:r>
      <w:r w:rsidR="00E52569">
        <w:rPr>
          <w:color w:val="000000" w:themeColor="text1"/>
          <w:sz w:val="16"/>
          <w:szCs w:val="16"/>
        </w:rPr>
        <w:t xml:space="preserve"> </w:t>
      </w:r>
      <w:r w:rsidRPr="002F2FDF">
        <w:rPr>
          <w:color w:val="000000" w:themeColor="text1"/>
          <w:sz w:val="16"/>
          <w:szCs w:val="16"/>
        </w:rPr>
        <w:t xml:space="preserve"> Хотя задание было дано ВВС Германии, фирма ориентировалась в основном на своего основного австрийского заказчика в т.ч. и при выборе комплектующих (мотор, пулеметы и др.).</w:t>
      </w:r>
    </w:p>
    <w:p w14:paraId="13826865" w14:textId="7AD3A60C"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 xml:space="preserve">Самолет был построен заводом фирмы (предположительно, в Бранденбурге) и совершил первый полет в 1917 г. </w:t>
      </w:r>
      <w:r w:rsidR="00E52569">
        <w:rPr>
          <w:color w:val="000000" w:themeColor="text1"/>
          <w:sz w:val="16"/>
          <w:szCs w:val="16"/>
        </w:rPr>
        <w:t xml:space="preserve"> </w:t>
      </w:r>
      <w:r w:rsidRPr="002F2FDF">
        <w:rPr>
          <w:color w:val="000000" w:themeColor="text1"/>
          <w:sz w:val="16"/>
          <w:szCs w:val="16"/>
        </w:rPr>
        <w:t xml:space="preserve"> Поскольку он имел мотор и вооружение австрийского производства, руководство ВВС Германии им не заинтересовалось, командование ВВ Австро-Венгрии тоже заказа не выдало. Кроме того, самолет имел ряд дефектов – его доводка шла до 1918 г., но все их устранить не удалось. </w:t>
      </w:r>
      <w:r w:rsidR="00E52569">
        <w:rPr>
          <w:color w:val="000000" w:themeColor="text1"/>
          <w:sz w:val="16"/>
          <w:szCs w:val="16"/>
        </w:rPr>
        <w:t xml:space="preserve"> </w:t>
      </w:r>
      <w:r w:rsidRPr="002F2FDF">
        <w:rPr>
          <w:color w:val="000000" w:themeColor="text1"/>
          <w:sz w:val="16"/>
          <w:szCs w:val="16"/>
        </w:rPr>
        <w:t xml:space="preserve"> На вооружение самолет принят не был и в серию не запускался (23164).</w:t>
      </w:r>
    </w:p>
    <w:p w14:paraId="0CEBABF5" w14:textId="77777777" w:rsidR="00B40BBD" w:rsidRPr="002F2FDF" w:rsidRDefault="00B40BBD" w:rsidP="0083075A">
      <w:pPr>
        <w:pStyle w:val="ae"/>
        <w:spacing w:before="0" w:after="0"/>
        <w:jc w:val="both"/>
        <w:rPr>
          <w:color w:val="000000" w:themeColor="text1"/>
          <w:sz w:val="16"/>
          <w:szCs w:val="16"/>
        </w:rPr>
      </w:pPr>
    </w:p>
    <w:p w14:paraId="4830917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В начале 1917 г. в Италии был облетан первый опытный гидроплан-истребитель Макки Тип М, показав хорошую скорость и маневренность, но курсовая устойчивость и управляемость были недостаточны. Переделки его и второго опытного образца результата долго не давали, и только в варианте Тип Мa bis удалось добиться сносных пилотажных свойств. В серию самолет пошел под обозначением М.5 с улучшенным мотором Изотта Фраскини V.4В, дававшим 160 сил, а затем стали ставить еще более мощные V.6 «Семи-Ассо» в 200 л. с. и даже 250-сильный «МеццоАссо». С ними устойчивость и управляемость остались приемлемыми, но и летные данные не сильно выросли. Впрочем, по скорости Макки М.5 был и так хорош, развивая 189 … 190 км/ч — больше, чем многие сухопутные истребители, не отставая от них в маневре.</w:t>
      </w:r>
    </w:p>
    <w:p w14:paraId="0A4A978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Поставки истребителей Макки М.5 в эскадрильи Авиационной службы Королевского флота (Servizio Aeronautico Regia Marina) Италии начались летом 1917 г., что совпало с возникновением дефицита пулеметов «Виккерс». Приоритет в их получении отдали пехоте и сухопутной авиации, и фирма «Макки» была вынуждена начать ставить на М.5 по одному английскому пулемету место двух. Но и так секундный залп оставался больше, чем у любого австрийского истребителя с двумя пулеметами.</w:t>
      </w:r>
    </w:p>
    <w:p w14:paraId="6AA38FB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Правда, вскоре после начала выпуска пришлось перейти на итальянские FIAT образца 1914 г. «авиационного типа» калибра 6,5 мм, которые оказались слабее. До конца войны завод «Макки» сделал ровно 200 истребителей М.5, еще 44 построила фирма «Итальянское общество аэронавтики» — SAI. Этот самолет стал основным итальянским истребителем, хотя были и другие, — например, фирма «Ансальдо» на своем авиазаводе в Турине построила серию самолетов Сопвич «Бэби» по английской лицензии (22832).</w:t>
      </w:r>
    </w:p>
    <w:p w14:paraId="1FCE88B3" w14:textId="77777777" w:rsidR="00B40BBD" w:rsidRPr="002F2FDF" w:rsidRDefault="00B40BBD" w:rsidP="0083075A">
      <w:pPr>
        <w:pStyle w:val="ae"/>
        <w:spacing w:before="0" w:after="0"/>
        <w:jc w:val="both"/>
        <w:rPr>
          <w:color w:val="000000" w:themeColor="text1"/>
          <w:sz w:val="16"/>
          <w:szCs w:val="16"/>
        </w:rPr>
      </w:pPr>
    </w:p>
    <w:p w14:paraId="515F0D99"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начале 1917 г. главный конструктор фирмы «Ньюпор» Густав Деляж решил сменить линию полутора планов, нача</w:t>
      </w:r>
      <w:r w:rsidRPr="002F2FDF">
        <w:rPr>
          <w:rFonts w:ascii="Times New Roman" w:hAnsi="Times New Roman" w:cs="Times New Roman"/>
          <w:color w:val="000000" w:themeColor="text1"/>
          <w:sz w:val="16"/>
          <w:szCs w:val="16"/>
        </w:rPr>
        <w:softHyphen/>
        <w:t>тую 10-м типом и завершенную 27-м. Глядя на гладкие обводы немецких «Альбатросов», «Пфальцев» и «Ролан</w:t>
      </w:r>
      <w:r w:rsidRPr="002F2FDF">
        <w:rPr>
          <w:rFonts w:ascii="Times New Roman" w:hAnsi="Times New Roman" w:cs="Times New Roman"/>
          <w:color w:val="000000" w:themeColor="text1"/>
          <w:sz w:val="16"/>
          <w:szCs w:val="16"/>
        </w:rPr>
        <w:softHyphen/>
        <w:t>дов», он не просто продолжил улучше</w:t>
      </w:r>
      <w:r w:rsidRPr="002F2FDF">
        <w:rPr>
          <w:rFonts w:ascii="Times New Roman" w:hAnsi="Times New Roman" w:cs="Times New Roman"/>
          <w:color w:val="000000" w:themeColor="text1"/>
          <w:sz w:val="16"/>
          <w:szCs w:val="16"/>
        </w:rPr>
        <w:softHyphen/>
        <w:t>ние аэродинамики, начатое на Ньюпоре 17bis скруглением его бортов, а пере</w:t>
      </w:r>
      <w:r w:rsidRPr="002F2FDF">
        <w:rPr>
          <w:rFonts w:ascii="Times New Roman" w:hAnsi="Times New Roman" w:cs="Times New Roman"/>
          <w:color w:val="000000" w:themeColor="text1"/>
          <w:sz w:val="16"/>
          <w:szCs w:val="16"/>
        </w:rPr>
        <w:softHyphen/>
        <w:t>шел к идеально обтекаемому сигаро</w:t>
      </w:r>
      <w:r w:rsidRPr="002F2FDF">
        <w:rPr>
          <w:rFonts w:ascii="Times New Roman" w:hAnsi="Times New Roman" w:cs="Times New Roman"/>
          <w:color w:val="000000" w:themeColor="text1"/>
          <w:sz w:val="16"/>
          <w:szCs w:val="16"/>
        </w:rPr>
        <w:softHyphen/>
        <w:t>образному фюзеляжу. Но сделано это было не «по-немецки», а по старинке установкой на ферму фюзеляжа пря</w:t>
      </w:r>
      <w:r w:rsidRPr="002F2FDF">
        <w:rPr>
          <w:rFonts w:ascii="Times New Roman" w:hAnsi="Times New Roman" w:cs="Times New Roman"/>
          <w:color w:val="000000" w:themeColor="text1"/>
          <w:sz w:val="16"/>
          <w:szCs w:val="16"/>
        </w:rPr>
        <w:softHyphen/>
        <w:t>моугольного сечения фанерных дужек, что превратило их в полноценные шпангоуты, стянутые легким и проч</w:t>
      </w:r>
      <w:r w:rsidRPr="002F2FDF">
        <w:rPr>
          <w:rFonts w:ascii="Times New Roman" w:hAnsi="Times New Roman" w:cs="Times New Roman"/>
          <w:color w:val="000000" w:themeColor="text1"/>
          <w:sz w:val="16"/>
          <w:szCs w:val="16"/>
        </w:rPr>
        <w:softHyphen/>
        <w:t>ным стрингерным набором. Обшивка хвостовой части осталась полотняной, но форма фюзеляжа улучшилась.</w:t>
      </w:r>
    </w:p>
    <w:p w14:paraId="469986DD"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«Ахиллесовой пятой» всех первых бипланов фирмы было ломающееся от скручивания на перегрузках одно</w:t>
      </w:r>
      <w:r w:rsidRPr="002F2FDF">
        <w:rPr>
          <w:rFonts w:ascii="Times New Roman" w:hAnsi="Times New Roman" w:cs="Times New Roman"/>
          <w:color w:val="000000" w:themeColor="text1"/>
          <w:sz w:val="16"/>
          <w:szCs w:val="16"/>
        </w:rPr>
        <w:softHyphen/>
        <w:t>лонжеронное нижнее крыло. Аэроди</w:t>
      </w:r>
      <w:r w:rsidRPr="002F2FDF">
        <w:rPr>
          <w:rFonts w:ascii="Times New Roman" w:hAnsi="Times New Roman" w:cs="Times New Roman"/>
          <w:color w:val="000000" w:themeColor="text1"/>
          <w:sz w:val="16"/>
          <w:szCs w:val="16"/>
        </w:rPr>
        <w:softHyphen/>
        <w:t>намики подсказывали, что на возрос</w:t>
      </w:r>
      <w:r w:rsidRPr="002F2FDF">
        <w:rPr>
          <w:rFonts w:ascii="Times New Roman" w:hAnsi="Times New Roman" w:cs="Times New Roman"/>
          <w:color w:val="000000" w:themeColor="text1"/>
          <w:sz w:val="16"/>
          <w:szCs w:val="16"/>
        </w:rPr>
        <w:softHyphen/>
        <w:t>ших скоростях лучше бы увеличить его относительную площадь и хорду, что позволяло перейти на двухлон</w:t>
      </w:r>
      <w:r w:rsidRPr="002F2FDF">
        <w:rPr>
          <w:rFonts w:ascii="Times New Roman" w:hAnsi="Times New Roman" w:cs="Times New Roman"/>
          <w:color w:val="000000" w:themeColor="text1"/>
          <w:sz w:val="16"/>
          <w:szCs w:val="16"/>
        </w:rPr>
        <w:softHyphen/>
        <w:t>жеронную схему и решить вопрос прочности. Обе плоскости получили новые эллиптические законцовки, снизившие индуктивное сопротивле</w:t>
      </w:r>
      <w:r w:rsidRPr="002F2FDF">
        <w:rPr>
          <w:rFonts w:ascii="Times New Roman" w:hAnsi="Times New Roman" w:cs="Times New Roman"/>
          <w:color w:val="000000" w:themeColor="text1"/>
          <w:sz w:val="16"/>
          <w:szCs w:val="16"/>
        </w:rPr>
        <w:softHyphen/>
        <w:t>ние благодаря лучшему распределе</w:t>
      </w:r>
      <w:r w:rsidRPr="002F2FDF">
        <w:rPr>
          <w:rFonts w:ascii="Times New Roman" w:hAnsi="Times New Roman" w:cs="Times New Roman"/>
          <w:color w:val="000000" w:themeColor="text1"/>
          <w:sz w:val="16"/>
          <w:szCs w:val="16"/>
        </w:rPr>
        <w:softHyphen/>
        <w:t>нию давления обтекающего потока. Еще одной идеей было разместить элероны не на верхнем, а на нижнем крыле, заменив сложное тросовое управление ими простыми валами из труб, но, забегая вперед, скажем, что получившаяся система стала даже сложнее и тяжелее обычной.</w:t>
      </w:r>
    </w:p>
    <w:p w14:paraId="0AD7B5CA"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Оперение и шасси заимствовали у Ньюпора 27, слегка изменив раз</w:t>
      </w:r>
      <w:r w:rsidRPr="002F2FDF">
        <w:rPr>
          <w:rFonts w:ascii="Times New Roman" w:hAnsi="Times New Roman" w:cs="Times New Roman"/>
          <w:color w:val="000000" w:themeColor="text1"/>
          <w:sz w:val="16"/>
          <w:szCs w:val="16"/>
        </w:rPr>
        <w:softHyphen/>
        <w:t>меры, но на осях колес впервые в пра</w:t>
      </w:r>
      <w:r w:rsidRPr="002F2FDF">
        <w:rPr>
          <w:rFonts w:ascii="Times New Roman" w:hAnsi="Times New Roman" w:cs="Times New Roman"/>
          <w:color w:val="000000" w:themeColor="text1"/>
          <w:sz w:val="16"/>
          <w:szCs w:val="16"/>
        </w:rPr>
        <w:softHyphen/>
        <w:t>ктике фирмы появились тормоза. Нако</w:t>
      </w:r>
      <w:r w:rsidRPr="002F2FDF">
        <w:rPr>
          <w:rFonts w:ascii="Times New Roman" w:hAnsi="Times New Roman" w:cs="Times New Roman"/>
          <w:color w:val="000000" w:themeColor="text1"/>
          <w:sz w:val="16"/>
          <w:szCs w:val="16"/>
        </w:rPr>
        <w:softHyphen/>
        <w:t>нец, полностью переделали силовую установку. Хотя Деляж уже имел опыт с V-образными двигателями Испано- Сюиза H.S.8, на этом самолете оставили ротативный, но самый новый — Гном 9N «Моносупап» развивал 160 л. с. на взлете и 140 — на боевой высоте 2 000 м. Его закрыли обтекаемым капо</w:t>
      </w:r>
      <w:r w:rsidRPr="002F2FDF">
        <w:rPr>
          <w:rFonts w:ascii="Times New Roman" w:hAnsi="Times New Roman" w:cs="Times New Roman"/>
          <w:color w:val="000000" w:themeColor="text1"/>
          <w:sz w:val="16"/>
          <w:szCs w:val="16"/>
        </w:rPr>
        <w:softHyphen/>
        <w:t>том, а в топливную систему, помимо насоса, включили наддув от трубки Вентури над крылом. Простое устрой</w:t>
      </w:r>
      <w:r w:rsidRPr="002F2FDF">
        <w:rPr>
          <w:rFonts w:ascii="Times New Roman" w:hAnsi="Times New Roman" w:cs="Times New Roman"/>
          <w:color w:val="000000" w:themeColor="text1"/>
          <w:sz w:val="16"/>
          <w:szCs w:val="16"/>
        </w:rPr>
        <w:softHyphen/>
        <w:t>ство из двух проточных конусов пода</w:t>
      </w:r>
      <w:r w:rsidRPr="002F2FDF">
        <w:rPr>
          <w:rFonts w:ascii="Times New Roman" w:hAnsi="Times New Roman" w:cs="Times New Roman"/>
          <w:color w:val="000000" w:themeColor="text1"/>
          <w:sz w:val="16"/>
          <w:szCs w:val="16"/>
        </w:rPr>
        <w:softHyphen/>
        <w:t>вало подсжатый воздух в бак, увеличи</w:t>
      </w:r>
      <w:r w:rsidRPr="002F2FDF">
        <w:rPr>
          <w:rFonts w:ascii="Times New Roman" w:hAnsi="Times New Roman" w:cs="Times New Roman"/>
          <w:color w:val="000000" w:themeColor="text1"/>
          <w:sz w:val="16"/>
          <w:szCs w:val="16"/>
        </w:rPr>
        <w:softHyphen/>
        <w:t>вая высотность силовой установки.</w:t>
      </w:r>
    </w:p>
    <w:p w14:paraId="1065B045"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Вооружение было таким же, как и на предшественниках, но пуле</w:t>
      </w:r>
      <w:r w:rsidRPr="002F2FDF">
        <w:rPr>
          <w:rFonts w:ascii="Times New Roman" w:hAnsi="Times New Roman" w:cs="Times New Roman"/>
          <w:color w:val="000000" w:themeColor="text1"/>
          <w:sz w:val="16"/>
          <w:szCs w:val="16"/>
        </w:rPr>
        <w:softHyphen/>
        <w:t>мет Виккерс Тип II с синхронизато</w:t>
      </w:r>
      <w:r w:rsidRPr="002F2FDF">
        <w:rPr>
          <w:rFonts w:ascii="Times New Roman" w:hAnsi="Times New Roman" w:cs="Times New Roman"/>
          <w:color w:val="000000" w:themeColor="text1"/>
          <w:sz w:val="16"/>
          <w:szCs w:val="16"/>
        </w:rPr>
        <w:softHyphen/>
        <w:t>ром «Алкан-Хами» поставили со сме</w:t>
      </w:r>
      <w:r w:rsidRPr="002F2FDF">
        <w:rPr>
          <w:rFonts w:ascii="Times New Roman" w:hAnsi="Times New Roman" w:cs="Times New Roman"/>
          <w:color w:val="000000" w:themeColor="text1"/>
          <w:sz w:val="16"/>
          <w:szCs w:val="16"/>
        </w:rPr>
        <w:softHyphen/>
        <w:t>щением влево, чтобы летчик мог дотя</w:t>
      </w:r>
      <w:r w:rsidRPr="002F2FDF">
        <w:rPr>
          <w:rFonts w:ascii="Times New Roman" w:hAnsi="Times New Roman" w:cs="Times New Roman"/>
          <w:color w:val="000000" w:themeColor="text1"/>
          <w:sz w:val="16"/>
          <w:szCs w:val="16"/>
        </w:rPr>
        <w:softHyphen/>
        <w:t>гиваться до его механизма из кабины и этому не мешал широкий ветровой козырек (22876).</w:t>
      </w:r>
    </w:p>
    <w:p w14:paraId="28280F26"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p w14:paraId="23D9F49B"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начале 1917 г. состоялся первый полет самолета Пфальц D.4, проектирование которого было начато на фирме Pfalz Flugzeugwerke GmbH во 2-й половине 1916 г. вероятно под руководством братьев Альфреда и Эрнста Эвербухом (Alfred и Ernst Eversbusch). Оно шло по инициативе фирмы без заказа Инспекции Воздушных войск / ВВС Германии (IdFlieg), потому военный индекс самолету присвоен не был.</w:t>
      </w:r>
    </w:p>
    <w:p w14:paraId="7B89A2F1"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Весной 1917 г. самолет был принят на официальные испытания IdFlieg, но их не выдержал. Были выявлены следующие основные недостатки: недостаточные устойчивость и управляемость; плохой обзор из кабины (23080).</w:t>
      </w:r>
    </w:p>
    <w:p w14:paraId="6A3CE013"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p w14:paraId="3C6D21BA"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начале 1917 г. заводские и официальные испытания Zeppelin R VI были пройдены без существенных замечаний и Инспекция ВВС Германии оформила заказы на 17 серийных самолетов, которые получили номера (Werk Nummern) с R 25/16 по R 29/16 и с R 31/16 по R 39/16, а во второй с R 52/16 по R 54/16. Первый самолет, уже построенный, не входил в их число, как и борт W.Nr. R 30/16, который строился по отдельному заказу.</w:t>
      </w:r>
    </w:p>
    <w:p w14:paraId="41B3BAD5"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Однако строивший опытный образец завод «Цеппелин-Штаакен» достаточными для этого мощностями все еще не располагал, поскольку не все его цехи вошли в строй к тому времени, а кроме того возникла проблема с квалифицированной рабсилой, которую все больше гнали в армию.</w:t>
      </w:r>
    </w:p>
    <w:p w14:paraId="27134430"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Для обеспечения постройки как можно большего числа самолетов к их производству были подключены другие фирмы. Семь самолетов были заказаны компании «Шютте-Ланц», которая должна была использовать часть цехов филиала «Цеппелина» в Штаакене, но свой персонал, шесть – заводу «Авиатик» в Фрайбурге (Баден-Вюртемберг, земля на юго-западе Германии), три – «Альбатрос» в Йоханништале под Берлином. Сам завод «Цеппелин-Штаакен» должен был построить еще один головной серийный самолет, на котором отработать требуемые заказчиком улучшения, которые должны были внедрить и остальные производители (23077).</w:t>
      </w:r>
    </w:p>
    <w:p w14:paraId="292BB1DE"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p w14:paraId="0C534F9E" w14:textId="10A9662D" w:rsidR="00B40BBD" w:rsidRPr="002F2FDF" w:rsidRDefault="00B40BB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начале 1917 г.</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IdFlieg было задано создание самолета Альбатрос D</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V как улучшенной модификации Albatros D III Проектирование велось под руководством Р. Телена (23153).</w:t>
      </w:r>
    </w:p>
    <w:p w14:paraId="73221C30"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p w14:paraId="645C1B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года R.28 и R.30 были демонтированы. У дирижаблей этой серии киль был ликвидирован и его функцию выполнял соединительный коридор, расположенный внутри оболочки. В отдельных гондолах размещались 4 мотора “Игл” мощностью по 275 л. с., сообщавшие дирижаблю скорость 90 км/ч. Объем оболочки на несколько тысяч кубических метров превышал объем дирижаблей типа R.23 (11324).</w:t>
      </w:r>
    </w:p>
    <w:p w14:paraId="3CA2C3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221C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года погода не благоприятствовала проведению полетов. Только в марте удалось вновь применить дирижабли М.11, М.14, М.15, М.16 и Е.5 в групповых налетах на цели в Порденноне, Касарсе и Конельяно. 17 июня было осуществлено самое массированное применение итальянцами дирижаблей. Восемнадцать дирижаблей сбросили 12 т бомб на воинские цели в Пуле. Налеты продолжались в 1918 году, когда в июне и октябре дирижабли способствовали своими активными действиями наступлению итальянской армии. За время войны воздушные корабли совершили 235 боевых вылетов, сбросив 250 т бомб и 50 т листовок. Самым активным среди них стал М.11, который 53 раза поднимался навстречу смерти. Судьба была к нему благосклонна — корабль так и не был сбит (11324).</w:t>
      </w:r>
    </w:p>
    <w:p w14:paraId="76BA6B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BEF5E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 ДН-4 появились на вооружении авиационных подразделений во Франции, где с успехом продемонст</w:t>
      </w:r>
      <w:r w:rsidRPr="002F2FDF">
        <w:rPr>
          <w:rFonts w:ascii="Times New Roman" w:hAnsi="Times New Roman" w:cs="Times New Roman"/>
          <w:color w:val="000000" w:themeColor="text1"/>
          <w:kern w:val="2"/>
          <w:sz w:val="16"/>
          <w:szCs w:val="16"/>
        </w:rPr>
        <w:softHyphen/>
        <w:t>рировала свои летные и боевые качества. Самолеты ДН-4 применялись для дневных налетов на Франкфурт, Маннгейм, Штутгарт, для разведки и бомбардировки, для морских операций в прибрежных водах. Например, 12 августа 1918 г. четверка ДН-4 удачно атаковала не</w:t>
      </w:r>
      <w:r w:rsidRPr="002F2FDF">
        <w:rPr>
          <w:rFonts w:ascii="Times New Roman" w:hAnsi="Times New Roman" w:cs="Times New Roman"/>
          <w:color w:val="000000" w:themeColor="text1"/>
          <w:kern w:val="2"/>
          <w:sz w:val="16"/>
          <w:szCs w:val="16"/>
        </w:rPr>
        <w:softHyphen/>
        <w:t>мецкую подводную лодку U-12. Сравнительно высокая скорость, мощное вооружение (дополненное еще од</w:t>
      </w:r>
      <w:r w:rsidRPr="002F2FDF">
        <w:rPr>
          <w:rFonts w:ascii="Times New Roman" w:hAnsi="Times New Roman" w:cs="Times New Roman"/>
          <w:color w:val="000000" w:themeColor="text1"/>
          <w:kern w:val="2"/>
          <w:sz w:val="16"/>
          <w:szCs w:val="16"/>
        </w:rPr>
        <w:softHyphen/>
        <w:t>ним-двумя пулеметами или пушкой) позволяли ис</w:t>
      </w:r>
      <w:r w:rsidRPr="002F2FDF">
        <w:rPr>
          <w:rFonts w:ascii="Times New Roman" w:hAnsi="Times New Roman" w:cs="Times New Roman"/>
          <w:color w:val="000000" w:themeColor="text1"/>
          <w:kern w:val="2"/>
          <w:sz w:val="16"/>
          <w:szCs w:val="16"/>
        </w:rPr>
        <w:softHyphen/>
        <w:t>пользовать машину и в качестве истребителя. 5 августа 1918 г. майор Кадбери сбил на высоте 4800 м цеппелин 2-70, на борту которого находился командующий гер</w:t>
      </w:r>
      <w:r w:rsidRPr="002F2FDF">
        <w:rPr>
          <w:rFonts w:ascii="Times New Roman" w:hAnsi="Times New Roman" w:cs="Times New Roman"/>
          <w:color w:val="000000" w:themeColor="text1"/>
          <w:kern w:val="2"/>
          <w:sz w:val="16"/>
          <w:szCs w:val="16"/>
        </w:rPr>
        <w:softHyphen/>
        <w:t>манским воздухоплавательным флотом фрегаттен-капитан П.Штрассер. Всего британская авиапромышленность построила 1449 экземпляров ДН-4, а американская - 4846. ДН-4 со</w:t>
      </w:r>
      <w:r w:rsidRPr="002F2FDF">
        <w:rPr>
          <w:rFonts w:ascii="Times New Roman" w:hAnsi="Times New Roman" w:cs="Times New Roman"/>
          <w:color w:val="000000" w:themeColor="text1"/>
          <w:kern w:val="2"/>
          <w:sz w:val="16"/>
          <w:szCs w:val="16"/>
        </w:rPr>
        <w:softHyphen/>
        <w:t>стояли на вооружении ВВС ряда стран Антанты. лета данного класса машин. Так как особенности конст</w:t>
      </w:r>
      <w:r w:rsidRPr="002F2FDF">
        <w:rPr>
          <w:rFonts w:ascii="Times New Roman" w:hAnsi="Times New Roman" w:cs="Times New Roman"/>
          <w:color w:val="000000" w:themeColor="text1"/>
          <w:kern w:val="2"/>
          <w:sz w:val="16"/>
          <w:szCs w:val="16"/>
        </w:rPr>
        <w:softHyphen/>
        <w:t>руктивной схемы ДН-4 не позволяли увеличить емкость топливных баков, машина была перекомпонована: ос</w:t>
      </w:r>
      <w:r w:rsidRPr="002F2FDF">
        <w:rPr>
          <w:rFonts w:ascii="Times New Roman" w:hAnsi="Times New Roman" w:cs="Times New Roman"/>
          <w:color w:val="000000" w:themeColor="text1"/>
          <w:kern w:val="2"/>
          <w:sz w:val="16"/>
          <w:szCs w:val="16"/>
        </w:rPr>
        <w:softHyphen/>
        <w:t>новной топливный бак теперь располагался непосредст</w:t>
      </w:r>
      <w:r w:rsidRPr="002F2FDF">
        <w:rPr>
          <w:rFonts w:ascii="Times New Roman" w:hAnsi="Times New Roman" w:cs="Times New Roman"/>
          <w:color w:val="000000" w:themeColor="text1"/>
          <w:kern w:val="2"/>
          <w:sz w:val="16"/>
          <w:szCs w:val="16"/>
        </w:rPr>
        <w:softHyphen/>
        <w:t>венно за двигателем вблизи центра тяжести, а кабина пилота отнесена назад, к кабине стрелка-наблюдателя, что улучшило обтекание передней части фюзеляжа. При этом несколько изменили конструкцию, поставили кры</w:t>
      </w:r>
      <w:r w:rsidRPr="002F2FDF">
        <w:rPr>
          <w:rFonts w:ascii="Times New Roman" w:hAnsi="Times New Roman" w:cs="Times New Roman"/>
          <w:color w:val="000000" w:themeColor="text1"/>
          <w:kern w:val="2"/>
          <w:sz w:val="16"/>
          <w:szCs w:val="16"/>
        </w:rPr>
        <w:softHyphen/>
        <w:t>ло увеличенного размаха, что способствовало росту ско</w:t>
      </w:r>
      <w:r w:rsidRPr="002F2FDF">
        <w:rPr>
          <w:rFonts w:ascii="Times New Roman" w:hAnsi="Times New Roman" w:cs="Times New Roman"/>
          <w:color w:val="000000" w:themeColor="text1"/>
          <w:kern w:val="2"/>
          <w:sz w:val="16"/>
          <w:szCs w:val="16"/>
        </w:rPr>
        <w:softHyphen/>
        <w:t>роподъемности и потолка. Новый самолет получил обозначение ДН-9. Он прошел испытания в июне 1917 г. (10667).</w:t>
      </w:r>
    </w:p>
    <w:p w14:paraId="00ED25B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CBD1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начале 1917-го фирма "Моран-Солнье" представила новый самолет-истребитель типа AI. Он имел двигатель "Гном" мощностью 150 л. с. и крыло размахом 8,5 м со стреловидностью в 5°. Самолет обладал высокими прочностными, пилотажными и скоростными характеристиками. Пилот Жильбер достиг на нем скорости 215 км/ч </w:t>
      </w:r>
      <w:r w:rsidRPr="002F2FDF">
        <w:rPr>
          <w:rFonts w:ascii="Times New Roman" w:hAnsi="Times New Roman" w:cs="Times New Roman"/>
          <w:color w:val="000000" w:themeColor="text1"/>
          <w:kern w:val="2"/>
          <w:sz w:val="16"/>
          <w:szCs w:val="16"/>
        </w:rPr>
        <w:lastRenderedPageBreak/>
        <w:t>на высоте 3000 м, поднявшись туда за 7,5 мин. Высоту в 5000 м "Моран" набирал за 17 мин. Практический же потолок составлял 8000 м, совсем неплохо для того времени. Вооружение состояло из двух синхронных пулеметов "Виккерс". В середине 1917-го начат серийный выпуск машины под маркой MOS-27C.1. До окончания боевых действий ими успели вооружить 4 французские эскадрильи. Часть самолетов передали англичанам, 51 машину получил американский экспедиционный корпус в Европе. "Мораиы" типа АI принимали участие в завершающих боях первой мировой войны. Их производство продолжалось и после ее окончания, общее число построенных “Моранов" этого типа достигло 1200, что сделало этот самолет одним из самых массовых в послевоенной Франции. Удачно выбрав схему, фирма успешно ее развивала в течение почти 25 лет. Начав с типов L м Р во время первой мировой, она пришла к самолетам "Моран-парасоль" MS-225, успевшим повоевать во второй мировой войне, и MS-230, который и сейчас можно встретить в аэроклубах Франции и на съемках исторических фильмов. Там он играет роли многих своих несохранившихся современников и предшественников. В 1917 году, когда первенство в небе полностью захватили маневренные бипланы, на фирме "Моран-Солнье" решили превратить свой самолет в биплан. На фюзеляж типа N поставили бипланную коробку, а к названию добавили литеру "А". В зависимости от типа мотора прибавлялась еще одна буква. Так, например, "Моран-Солнье" тип ANR - был с мотором "Рено", ANB - с мотором "Бугатти", ANL- с мотором "Либерти", ANS - с мотором "Сальмсон". Серийно строились только AN R и ANS под обозначением MoS-35 и MoS-36 8 России был проект создания на базе "Морfна" двухместного биплана - разведчика, вооруженного двумя пулеметами "Виккерс" с мотором -Рон.в 110л. с. На заводе "Дукс" предпринималась попытка налаживания выпуска такого "Морана" - биплана (у нас его называли "Морбип"). Но по своим характеристикам он, как и "Мормон", уже уступал современным ему самолетам и поэтому от производства вскоре отказались, да и на западе "Моран-биплан" не оставил заметного следа (11265).</w:t>
      </w:r>
    </w:p>
    <w:p w14:paraId="3A3742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0C46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начала 1917 года союзники также стал широко применять ночные налеты. При этом одному германскому пилоту самолета удалось благодаря удаче и мужеству уже в феврале 1917 года сбить ночью над аэродромом отряда бомбардировщиков в Мальзевиле 2 неприятельских самолета (11282).</w:t>
      </w:r>
    </w:p>
    <w:p w14:paraId="7307DE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FC7B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в Германии необходимость существования особого управления воздушного флота нередко подвергалась сомнению. Особый путь служебного подчинения как командование, так и части находили стеснительным. Не находило поддержки также стремление командующего воздушными силами сохранить или приобрестируководящее влияние на те отрасли техники, которые играли важную роль в авиации. Техника и наука должны были перейти на службу авиации и развиваться в соответствующем направлении; чтобы добиться максимального успеха, нужно было согласовать их со специальными потребностями, проистекающими из условий работы воздушного флота. Например, не случайно то, что создание пригодного для самолета оружия увенчалось успехом лишь после того, как соответствующими исследованиями занялся воздушный флот. Артиллерийская испытательная комиссия, достигавшая столь превосходных результатов при конструировании наземного оружия, создала для сбрасывания с самолетов совершенно не подходящие для этой цели бомбы. Серьезные успехи в усовершенствовании авиабомб явились результатом работы воздушного флота. С другой стороны, внедрению самолетной пушки, несомненно помешало то, что многообещающие результаты исследований, проводившихся инспекцией авиачастей, по распоряжению Военного министерства были переданы Артиллерийской испытательной комиссии, как более компетентному в таких исследованиях учреждению. Представителям воздушного флота было запрещено всякое непосредственное участие в дальнейшем развитии конструкции самолетного орудия. Вследствие сильной загруженности Артиллерийской испытательной комиссии решением других, естественно, более насущных для нее задач, дальнейшее усовершенствование авиапушки прекратилось. Те испытания, которые орудие уже прошло, в комиссии вновь повторили; после чего предложили внести в его конструкцию изменения, которые вообще ставили под вопрос применение этого орудия в воздухе. Совершенно иначе обстояло дело с получившими свое развитие в авиачастях аэрофотографическими приборами, для которых вскоре были найдены подходящие для употребления в самолетах формы. Также и авиационные радиотелеграфные аппараты только благодаря работе инспекции авиации и авиаотрядов созрели для фронта, чего, несомненно, не случилось бы, если бы разработку этих необходимых авиации приборов доверили учреждениям, которые имели не более чем общее понятие об условиях ведения воздушной войны. Насколько, однако, нужен был центр, координировавший применение воздушного флота, обучение его личного состава и совершенствовавший его организацию, достаточно ясно показала путаница первых лет войны, которой нельзя было дать повториться (11282).</w:t>
      </w:r>
    </w:p>
    <w:p w14:paraId="640B79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C8194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 xml:space="preserve">В начале 1917 г. начался так называемый </w:t>
      </w:r>
      <w:r w:rsidRPr="002F2FDF">
        <w:rPr>
          <w:rStyle w:val="af0"/>
          <w:rFonts w:eastAsiaTheme="majorEastAsia"/>
          <w:color w:val="000000" w:themeColor="text1"/>
          <w:sz w:val="16"/>
          <w:szCs w:val="16"/>
        </w:rPr>
        <w:t>периоде «цветных газов».</w:t>
      </w:r>
      <w:r w:rsidRPr="002F2FDF">
        <w:rPr>
          <w:color w:val="000000" w:themeColor="text1"/>
          <w:sz w:val="16"/>
          <w:szCs w:val="16"/>
        </w:rPr>
        <w:t xml:space="preserve"> Инициатива принадлежала немцам, но очень скоро вызвала подражание со стороны их противников. Такое название ОВ получили от наружных опознавательных знаков на снарядах в виде крестов различного цвета. Отсюда пошла речь об ОВ синего, зеленого и желтого крестов.</w:t>
      </w:r>
    </w:p>
    <w:p w14:paraId="167F202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Так как с обеих сторон средства защиты органов дыхания все более и более совершенствовались, то противники начали стремиться создать такое положение, при котором их использование было бы невозможно или пытались применить ОВ внезапно.</w:t>
      </w:r>
    </w:p>
    <w:p w14:paraId="26020E3B" w14:textId="4C788019"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Для первой цели служило</w:t>
      </w:r>
      <w:r w:rsidR="00E52569">
        <w:rPr>
          <w:color w:val="000000" w:themeColor="text1"/>
          <w:sz w:val="16"/>
          <w:szCs w:val="16"/>
        </w:rPr>
        <w:t xml:space="preserve"> </w:t>
      </w:r>
      <w:r w:rsidRPr="002F2FDF">
        <w:rPr>
          <w:rStyle w:val="af0"/>
          <w:rFonts w:eastAsiaTheme="majorEastAsia"/>
          <w:color w:val="000000" w:themeColor="text1"/>
          <w:sz w:val="16"/>
          <w:szCs w:val="16"/>
        </w:rPr>
        <w:t>ОВ</w:t>
      </w:r>
      <w:r w:rsidR="00E52569">
        <w:rPr>
          <w:rStyle w:val="af0"/>
          <w:rFonts w:eastAsiaTheme="majorEastAsia"/>
          <w:color w:val="000000" w:themeColor="text1"/>
          <w:sz w:val="16"/>
          <w:szCs w:val="16"/>
        </w:rPr>
        <w:t xml:space="preserve"> </w:t>
      </w:r>
      <w:r w:rsidRPr="002F2FDF">
        <w:rPr>
          <w:rStyle w:val="a7"/>
          <w:rFonts w:eastAsia="Segoe UI"/>
          <w:color w:val="000000" w:themeColor="text1"/>
          <w:sz w:val="16"/>
          <w:szCs w:val="16"/>
        </w:rPr>
        <w:t>синего креста</w:t>
      </w:r>
      <w:r w:rsidR="00E52569">
        <w:rPr>
          <w:color w:val="000000" w:themeColor="text1"/>
          <w:sz w:val="16"/>
          <w:szCs w:val="16"/>
        </w:rPr>
        <w:t xml:space="preserve"> </w:t>
      </w:r>
      <w:r w:rsidRPr="002F2FDF">
        <w:rPr>
          <w:color w:val="000000" w:themeColor="text1"/>
          <w:sz w:val="16"/>
          <w:szCs w:val="16"/>
        </w:rPr>
        <w:t>—</w:t>
      </w:r>
      <w:r w:rsidR="00E52569">
        <w:rPr>
          <w:color w:val="000000" w:themeColor="text1"/>
          <w:sz w:val="16"/>
          <w:szCs w:val="16"/>
        </w:rPr>
        <w:t xml:space="preserve"> </w:t>
      </w:r>
      <w:r w:rsidRPr="002F2FDF">
        <w:rPr>
          <w:rStyle w:val="af0"/>
          <w:rFonts w:eastAsiaTheme="majorEastAsia"/>
          <w:color w:val="000000" w:themeColor="text1"/>
          <w:sz w:val="16"/>
          <w:szCs w:val="16"/>
        </w:rPr>
        <w:t>дифенилхлоарсин</w:t>
      </w:r>
      <w:r w:rsidRPr="002F2FDF">
        <w:rPr>
          <w:color w:val="000000" w:themeColor="text1"/>
          <w:sz w:val="16"/>
          <w:szCs w:val="16"/>
        </w:rPr>
        <w:t>. При разрыве снаряда оно рассеивалось в воздухе в виде твердых частиц тончайшего дробления (дыма), проникало через респиратор, и носитель последнего вследствие резкого раздражения слизистых вынужден был снимать его. Действие синего креста усиливалось применением снарядов с более «старыми» по хронологии применения ОВ —</w:t>
      </w:r>
      <w:r w:rsidR="00E52569">
        <w:rPr>
          <w:color w:val="000000" w:themeColor="text1"/>
          <w:sz w:val="16"/>
          <w:szCs w:val="16"/>
        </w:rPr>
        <w:t xml:space="preserve"> </w:t>
      </w:r>
      <w:r w:rsidRPr="002F2FDF">
        <w:rPr>
          <w:rStyle w:val="af0"/>
          <w:rFonts w:eastAsiaTheme="majorEastAsia"/>
          <w:color w:val="000000" w:themeColor="text1"/>
          <w:sz w:val="16"/>
          <w:szCs w:val="16"/>
        </w:rPr>
        <w:t>фосгеном</w:t>
      </w:r>
      <w:r w:rsidR="00E52569">
        <w:rPr>
          <w:color w:val="000000" w:themeColor="text1"/>
          <w:sz w:val="16"/>
          <w:szCs w:val="16"/>
        </w:rPr>
        <w:t xml:space="preserve"> </w:t>
      </w:r>
      <w:r w:rsidRPr="002F2FDF">
        <w:rPr>
          <w:color w:val="000000" w:themeColor="text1"/>
          <w:sz w:val="16"/>
          <w:szCs w:val="16"/>
        </w:rPr>
        <w:t>или</w:t>
      </w:r>
      <w:r w:rsidR="00E52569">
        <w:rPr>
          <w:color w:val="000000" w:themeColor="text1"/>
          <w:sz w:val="16"/>
          <w:szCs w:val="16"/>
        </w:rPr>
        <w:t xml:space="preserve"> </w:t>
      </w:r>
      <w:r w:rsidRPr="002F2FDF">
        <w:rPr>
          <w:rStyle w:val="af0"/>
          <w:rFonts w:eastAsiaTheme="majorEastAsia"/>
          <w:color w:val="000000" w:themeColor="text1"/>
          <w:sz w:val="16"/>
          <w:szCs w:val="16"/>
        </w:rPr>
        <w:t>дифосгеном</w:t>
      </w:r>
      <w:r w:rsidRPr="002F2FDF">
        <w:rPr>
          <w:color w:val="000000" w:themeColor="text1"/>
          <w:sz w:val="16"/>
          <w:szCs w:val="16"/>
        </w:rPr>
        <w:t>. Эти крайне ядовитые соединения обозначались</w:t>
      </w:r>
      <w:r w:rsidR="00E52569">
        <w:rPr>
          <w:color w:val="000000" w:themeColor="text1"/>
          <w:sz w:val="16"/>
          <w:szCs w:val="16"/>
        </w:rPr>
        <w:t xml:space="preserve"> </w:t>
      </w:r>
      <w:r w:rsidRPr="002F2FDF">
        <w:rPr>
          <w:rStyle w:val="af0"/>
          <w:rFonts w:eastAsiaTheme="majorEastAsia"/>
          <w:color w:val="000000" w:themeColor="text1"/>
          <w:sz w:val="16"/>
          <w:szCs w:val="16"/>
        </w:rPr>
        <w:t>зеленым крестом</w:t>
      </w:r>
      <w:r w:rsidRPr="002F2FDF">
        <w:rPr>
          <w:color w:val="000000" w:themeColor="text1"/>
          <w:sz w:val="16"/>
          <w:szCs w:val="16"/>
        </w:rPr>
        <w:t>.</w:t>
      </w:r>
    </w:p>
    <w:p w14:paraId="37E8A388" w14:textId="121738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Внезапность нападения достигалась таким образом, что вместо чисто химических снарядов, которые разрывались с легкой детонацией и благодаря этому тотчас узнавались, применяли химические бризантные гранаты, разрыв которых не отличался от обычных бризантных снарядов. Для этой цели оказалось пригодным крайне опасное вещество</w:t>
      </w:r>
      <w:r w:rsidR="00E52569">
        <w:rPr>
          <w:rStyle w:val="af0"/>
          <w:rFonts w:eastAsiaTheme="majorEastAsia"/>
          <w:color w:val="000000" w:themeColor="text1"/>
          <w:sz w:val="16"/>
          <w:szCs w:val="16"/>
        </w:rPr>
        <w:t xml:space="preserve"> </w:t>
      </w:r>
      <w:r w:rsidRPr="002F2FDF">
        <w:rPr>
          <w:rStyle w:val="af0"/>
          <w:rFonts w:eastAsiaTheme="majorEastAsia"/>
          <w:color w:val="000000" w:themeColor="text1"/>
          <w:sz w:val="16"/>
          <w:szCs w:val="16"/>
        </w:rPr>
        <w:t>желтого креста</w:t>
      </w:r>
      <w:r w:rsidRPr="002F2FDF">
        <w:rPr>
          <w:color w:val="000000" w:themeColor="text1"/>
          <w:sz w:val="16"/>
          <w:szCs w:val="16"/>
        </w:rPr>
        <w:t>, которое могло незаметно поразить противника, так как почти не имело запаха и его действие сразу не обнаруживалось — бета-бета-дихлордиэтилсульфид. Из-за слабого горчичного запаха оно было названо англичанами</w:t>
      </w:r>
      <w:r w:rsidR="00E52569">
        <w:rPr>
          <w:rStyle w:val="af0"/>
          <w:rFonts w:eastAsiaTheme="majorEastAsia"/>
          <w:color w:val="000000" w:themeColor="text1"/>
          <w:sz w:val="16"/>
          <w:szCs w:val="16"/>
        </w:rPr>
        <w:t xml:space="preserve"> </w:t>
      </w:r>
      <w:r w:rsidRPr="002F2FDF">
        <w:rPr>
          <w:rStyle w:val="af0"/>
          <w:rFonts w:eastAsiaTheme="majorEastAsia"/>
          <w:color w:val="000000" w:themeColor="text1"/>
          <w:sz w:val="16"/>
          <w:szCs w:val="16"/>
        </w:rPr>
        <w:t>горчичным газом (mustard gas)</w:t>
      </w:r>
      <w:r w:rsidRPr="002F2FDF">
        <w:rPr>
          <w:color w:val="000000" w:themeColor="text1"/>
          <w:sz w:val="16"/>
          <w:szCs w:val="16"/>
        </w:rPr>
        <w:t>, а позднее, когда они научились производить его сами, вещество получило название</w:t>
      </w:r>
      <w:r w:rsidR="00E52569">
        <w:rPr>
          <w:color w:val="000000" w:themeColor="text1"/>
          <w:sz w:val="16"/>
          <w:szCs w:val="16"/>
        </w:rPr>
        <w:t xml:space="preserve"> </w:t>
      </w:r>
      <w:r w:rsidRPr="002F2FDF">
        <w:rPr>
          <w:rStyle w:val="af0"/>
          <w:rFonts w:eastAsiaTheme="majorEastAsia"/>
          <w:color w:val="000000" w:themeColor="text1"/>
          <w:sz w:val="16"/>
          <w:szCs w:val="16"/>
        </w:rPr>
        <w:t>иприта,</w:t>
      </w:r>
      <w:r w:rsidR="00E52569">
        <w:rPr>
          <w:color w:val="000000" w:themeColor="text1"/>
          <w:sz w:val="16"/>
          <w:szCs w:val="16"/>
        </w:rPr>
        <w:t xml:space="preserve"> </w:t>
      </w:r>
      <w:r w:rsidRPr="002F2FDF">
        <w:rPr>
          <w:color w:val="000000" w:themeColor="text1"/>
          <w:sz w:val="16"/>
          <w:szCs w:val="16"/>
        </w:rPr>
        <w:t>по месту первого боевого применения (20246).</w:t>
      </w:r>
    </w:p>
    <w:p w14:paraId="72D677CA" w14:textId="1CA960F3"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Германские химические снаряды*</w:t>
      </w:r>
      <w:r w:rsidR="00E52569">
        <w:rPr>
          <w:color w:val="000000" w:themeColor="text1"/>
          <w:sz w:val="16"/>
          <w:szCs w:val="16"/>
        </w:rPr>
        <w:t xml:space="preserve"> </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070"/>
        <w:gridCol w:w="1953"/>
        <w:gridCol w:w="1234"/>
        <w:gridCol w:w="2016"/>
        <w:gridCol w:w="1965"/>
        <w:gridCol w:w="3084"/>
      </w:tblGrid>
      <w:tr w:rsidR="002B1C74" w:rsidRPr="002F2FDF" w14:paraId="5BD0F9E2" w14:textId="77777777" w:rsidTr="00920A70">
        <w:trPr>
          <w:tblCellSpacing w:w="15" w:type="dxa"/>
        </w:trPr>
        <w:tc>
          <w:tcPr>
            <w:tcW w:w="1515" w:type="dxa"/>
            <w:tcBorders>
              <w:top w:val="outset" w:sz="6" w:space="0" w:color="auto"/>
              <w:left w:val="outset" w:sz="6" w:space="0" w:color="auto"/>
              <w:bottom w:val="outset" w:sz="6" w:space="0" w:color="auto"/>
              <w:right w:val="outset" w:sz="6" w:space="0" w:color="auto"/>
            </w:tcBorders>
            <w:hideMark/>
          </w:tcPr>
          <w:p w14:paraId="28BE62F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Калибр</w:t>
            </w:r>
          </w:p>
        </w:tc>
        <w:tc>
          <w:tcPr>
            <w:tcW w:w="2850" w:type="dxa"/>
            <w:tcBorders>
              <w:top w:val="outset" w:sz="6" w:space="0" w:color="auto"/>
              <w:left w:val="outset" w:sz="6" w:space="0" w:color="auto"/>
              <w:bottom w:val="outset" w:sz="6" w:space="0" w:color="auto"/>
              <w:right w:val="outset" w:sz="6" w:space="0" w:color="auto"/>
            </w:tcBorders>
            <w:hideMark/>
          </w:tcPr>
          <w:p w14:paraId="2AE85F4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Клеймо</w:t>
            </w:r>
          </w:p>
        </w:tc>
        <w:tc>
          <w:tcPr>
            <w:tcW w:w="2010" w:type="dxa"/>
            <w:tcBorders>
              <w:top w:val="outset" w:sz="6" w:space="0" w:color="auto"/>
              <w:left w:val="outset" w:sz="6" w:space="0" w:color="auto"/>
              <w:bottom w:val="outset" w:sz="6" w:space="0" w:color="auto"/>
              <w:right w:val="outset" w:sz="6" w:space="0" w:color="auto"/>
            </w:tcBorders>
            <w:hideMark/>
          </w:tcPr>
          <w:p w14:paraId="2F9ADDD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Общий вес, кг</w:t>
            </w:r>
          </w:p>
        </w:tc>
        <w:tc>
          <w:tcPr>
            <w:tcW w:w="3285" w:type="dxa"/>
            <w:tcBorders>
              <w:top w:val="outset" w:sz="6" w:space="0" w:color="auto"/>
              <w:left w:val="outset" w:sz="6" w:space="0" w:color="auto"/>
              <w:bottom w:val="outset" w:sz="6" w:space="0" w:color="auto"/>
              <w:right w:val="outset" w:sz="6" w:space="0" w:color="auto"/>
            </w:tcBorders>
            <w:hideMark/>
          </w:tcPr>
          <w:p w14:paraId="633D2E6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Вес разрывного заряда (пикриновой кислоты) г.</w:t>
            </w:r>
          </w:p>
        </w:tc>
        <w:tc>
          <w:tcPr>
            <w:tcW w:w="3165" w:type="dxa"/>
            <w:tcBorders>
              <w:top w:val="outset" w:sz="6" w:space="0" w:color="auto"/>
              <w:left w:val="outset" w:sz="6" w:space="0" w:color="auto"/>
              <w:bottom w:val="outset" w:sz="6" w:space="0" w:color="auto"/>
              <w:right w:val="outset" w:sz="6" w:space="0" w:color="auto"/>
            </w:tcBorders>
            <w:hideMark/>
          </w:tcPr>
          <w:p w14:paraId="3D2B546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Объем или вес химического заряда</w:t>
            </w:r>
          </w:p>
        </w:tc>
        <w:tc>
          <w:tcPr>
            <w:tcW w:w="4650" w:type="dxa"/>
            <w:tcBorders>
              <w:top w:val="outset" w:sz="6" w:space="0" w:color="auto"/>
              <w:left w:val="outset" w:sz="6" w:space="0" w:color="auto"/>
              <w:bottom w:val="outset" w:sz="6" w:space="0" w:color="auto"/>
              <w:right w:val="outset" w:sz="6" w:space="0" w:color="auto"/>
            </w:tcBorders>
            <w:hideMark/>
          </w:tcPr>
          <w:p w14:paraId="4251EBD4"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Вещество химического заряда</w:t>
            </w:r>
          </w:p>
        </w:tc>
      </w:tr>
      <w:tr w:rsidR="002B1C74" w:rsidRPr="002F2FDF" w14:paraId="56AFA851" w14:textId="77777777" w:rsidTr="00920A70">
        <w:trPr>
          <w:tblCellSpacing w:w="15" w:type="dxa"/>
        </w:trPr>
        <w:tc>
          <w:tcPr>
            <w:tcW w:w="1515" w:type="dxa"/>
            <w:vMerge w:val="restart"/>
            <w:tcBorders>
              <w:top w:val="outset" w:sz="6" w:space="0" w:color="auto"/>
              <w:left w:val="outset" w:sz="6" w:space="0" w:color="auto"/>
              <w:bottom w:val="outset" w:sz="6" w:space="0" w:color="auto"/>
              <w:right w:val="outset" w:sz="6" w:space="0" w:color="auto"/>
            </w:tcBorders>
            <w:hideMark/>
          </w:tcPr>
          <w:p w14:paraId="7B0F331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7,7-см полевая пушка</w:t>
            </w:r>
          </w:p>
        </w:tc>
        <w:tc>
          <w:tcPr>
            <w:tcW w:w="2850" w:type="dxa"/>
            <w:tcBorders>
              <w:top w:val="outset" w:sz="6" w:space="0" w:color="auto"/>
              <w:left w:val="outset" w:sz="6" w:space="0" w:color="auto"/>
              <w:bottom w:val="outset" w:sz="6" w:space="0" w:color="auto"/>
              <w:right w:val="outset" w:sz="6" w:space="0" w:color="auto"/>
            </w:tcBorders>
            <w:hideMark/>
          </w:tcPr>
          <w:p w14:paraId="1127A09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зеленый крест</w:t>
            </w:r>
          </w:p>
        </w:tc>
        <w:tc>
          <w:tcPr>
            <w:tcW w:w="2010" w:type="dxa"/>
            <w:tcBorders>
              <w:top w:val="outset" w:sz="6" w:space="0" w:color="auto"/>
              <w:left w:val="outset" w:sz="6" w:space="0" w:color="auto"/>
              <w:bottom w:val="outset" w:sz="6" w:space="0" w:color="auto"/>
              <w:right w:val="outset" w:sz="6" w:space="0" w:color="auto"/>
            </w:tcBorders>
            <w:hideMark/>
          </w:tcPr>
          <w:p w14:paraId="3849AE22"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7,10</w:t>
            </w:r>
          </w:p>
        </w:tc>
        <w:tc>
          <w:tcPr>
            <w:tcW w:w="3285" w:type="dxa"/>
            <w:tcBorders>
              <w:top w:val="outset" w:sz="6" w:space="0" w:color="auto"/>
              <w:left w:val="outset" w:sz="6" w:space="0" w:color="auto"/>
              <w:bottom w:val="outset" w:sz="6" w:space="0" w:color="auto"/>
              <w:right w:val="outset" w:sz="6" w:space="0" w:color="auto"/>
            </w:tcBorders>
            <w:hideMark/>
          </w:tcPr>
          <w:p w14:paraId="7DAA14EE"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23</w:t>
            </w:r>
          </w:p>
        </w:tc>
        <w:tc>
          <w:tcPr>
            <w:tcW w:w="3165" w:type="dxa"/>
            <w:tcBorders>
              <w:top w:val="outset" w:sz="6" w:space="0" w:color="auto"/>
              <w:left w:val="outset" w:sz="6" w:space="0" w:color="auto"/>
              <w:bottom w:val="outset" w:sz="6" w:space="0" w:color="auto"/>
              <w:right w:val="outset" w:sz="6" w:space="0" w:color="auto"/>
            </w:tcBorders>
            <w:hideMark/>
          </w:tcPr>
          <w:p w14:paraId="00F1F2B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0,585 л</w:t>
            </w:r>
          </w:p>
        </w:tc>
        <w:tc>
          <w:tcPr>
            <w:tcW w:w="4650" w:type="dxa"/>
            <w:tcBorders>
              <w:top w:val="outset" w:sz="6" w:space="0" w:color="auto"/>
              <w:left w:val="outset" w:sz="6" w:space="0" w:color="auto"/>
              <w:bottom w:val="outset" w:sz="6" w:space="0" w:color="auto"/>
              <w:right w:val="outset" w:sz="6" w:space="0" w:color="auto"/>
            </w:tcBorders>
            <w:hideMark/>
          </w:tcPr>
          <w:p w14:paraId="5CF8FA8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Хлоромуравьинокислый трихлорметил (дифосген)</w:t>
            </w:r>
          </w:p>
        </w:tc>
      </w:tr>
      <w:tr w:rsidR="002B1C74" w:rsidRPr="002F2FDF" w14:paraId="0B2A2DC2"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BD9153A"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421017D4"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зеленый крест («зеленый крест»)</w:t>
            </w:r>
          </w:p>
        </w:tc>
        <w:tc>
          <w:tcPr>
            <w:tcW w:w="2010" w:type="dxa"/>
            <w:tcBorders>
              <w:top w:val="outset" w:sz="6" w:space="0" w:color="auto"/>
              <w:left w:val="outset" w:sz="6" w:space="0" w:color="auto"/>
              <w:bottom w:val="outset" w:sz="6" w:space="0" w:color="auto"/>
              <w:right w:val="outset" w:sz="6" w:space="0" w:color="auto"/>
            </w:tcBorders>
            <w:hideMark/>
          </w:tcPr>
          <w:p w14:paraId="7E6EFDF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7,29</w:t>
            </w:r>
          </w:p>
        </w:tc>
        <w:tc>
          <w:tcPr>
            <w:tcW w:w="3285" w:type="dxa"/>
            <w:tcBorders>
              <w:top w:val="outset" w:sz="6" w:space="0" w:color="auto"/>
              <w:left w:val="outset" w:sz="6" w:space="0" w:color="auto"/>
              <w:bottom w:val="outset" w:sz="6" w:space="0" w:color="auto"/>
              <w:right w:val="outset" w:sz="6" w:space="0" w:color="auto"/>
            </w:tcBorders>
            <w:hideMark/>
          </w:tcPr>
          <w:p w14:paraId="0312311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23</w:t>
            </w:r>
          </w:p>
        </w:tc>
        <w:tc>
          <w:tcPr>
            <w:tcW w:w="3165" w:type="dxa"/>
            <w:tcBorders>
              <w:top w:val="outset" w:sz="6" w:space="0" w:color="auto"/>
              <w:left w:val="outset" w:sz="6" w:space="0" w:color="auto"/>
              <w:bottom w:val="outset" w:sz="6" w:space="0" w:color="auto"/>
              <w:right w:val="outset" w:sz="6" w:space="0" w:color="auto"/>
            </w:tcBorders>
            <w:hideMark/>
          </w:tcPr>
          <w:p w14:paraId="6BF328E2"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0,610 л</w:t>
            </w:r>
          </w:p>
        </w:tc>
        <w:tc>
          <w:tcPr>
            <w:tcW w:w="4650" w:type="dxa"/>
            <w:tcBorders>
              <w:top w:val="outset" w:sz="6" w:space="0" w:color="auto"/>
              <w:left w:val="outset" w:sz="6" w:space="0" w:color="auto"/>
              <w:bottom w:val="outset" w:sz="6" w:space="0" w:color="auto"/>
              <w:right w:val="outset" w:sz="6" w:space="0" w:color="auto"/>
            </w:tcBorders>
            <w:hideMark/>
          </w:tcPr>
          <w:p w14:paraId="6A744FE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30–70 % дифосгена, 70–30 % хлорпикрина</w:t>
            </w:r>
          </w:p>
        </w:tc>
      </w:tr>
      <w:tr w:rsidR="002B1C74" w:rsidRPr="002F2FDF" w14:paraId="7BAB699C"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C2A20F9"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273FE4D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синий крест</w:t>
            </w:r>
          </w:p>
        </w:tc>
        <w:tc>
          <w:tcPr>
            <w:tcW w:w="2010" w:type="dxa"/>
            <w:tcBorders>
              <w:top w:val="outset" w:sz="6" w:space="0" w:color="auto"/>
              <w:left w:val="outset" w:sz="6" w:space="0" w:color="auto"/>
              <w:bottom w:val="outset" w:sz="6" w:space="0" w:color="auto"/>
              <w:right w:val="outset" w:sz="6" w:space="0" w:color="auto"/>
            </w:tcBorders>
            <w:hideMark/>
          </w:tcPr>
          <w:p w14:paraId="593A299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7,37</w:t>
            </w:r>
          </w:p>
        </w:tc>
        <w:tc>
          <w:tcPr>
            <w:tcW w:w="3285" w:type="dxa"/>
            <w:tcBorders>
              <w:top w:val="outset" w:sz="6" w:space="0" w:color="auto"/>
              <w:left w:val="outset" w:sz="6" w:space="0" w:color="auto"/>
              <w:bottom w:val="outset" w:sz="6" w:space="0" w:color="auto"/>
              <w:right w:val="outset" w:sz="6" w:space="0" w:color="auto"/>
            </w:tcBorders>
            <w:hideMark/>
          </w:tcPr>
          <w:p w14:paraId="2759CBB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23</w:t>
            </w:r>
          </w:p>
        </w:tc>
        <w:tc>
          <w:tcPr>
            <w:tcW w:w="3165" w:type="dxa"/>
            <w:tcBorders>
              <w:top w:val="outset" w:sz="6" w:space="0" w:color="auto"/>
              <w:left w:val="outset" w:sz="6" w:space="0" w:color="auto"/>
              <w:bottom w:val="outset" w:sz="6" w:space="0" w:color="auto"/>
              <w:right w:val="outset" w:sz="6" w:space="0" w:color="auto"/>
            </w:tcBorders>
            <w:hideMark/>
          </w:tcPr>
          <w:p w14:paraId="3AE8E0C1"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0,124 кг</w:t>
            </w:r>
          </w:p>
        </w:tc>
        <w:tc>
          <w:tcPr>
            <w:tcW w:w="4650" w:type="dxa"/>
            <w:tcBorders>
              <w:top w:val="outset" w:sz="6" w:space="0" w:color="auto"/>
              <w:left w:val="outset" w:sz="6" w:space="0" w:color="auto"/>
              <w:bottom w:val="outset" w:sz="6" w:space="0" w:color="auto"/>
              <w:right w:val="outset" w:sz="6" w:space="0" w:color="auto"/>
            </w:tcBorders>
            <w:hideMark/>
          </w:tcPr>
          <w:p w14:paraId="13032B9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Нечищенный дифенилхлорарсин в 0,651 кг тротила</w:t>
            </w:r>
          </w:p>
        </w:tc>
      </w:tr>
      <w:tr w:rsidR="002B1C74" w:rsidRPr="002F2FDF" w14:paraId="4F4480DD"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9FF8340"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5A5B1892"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желтый крест</w:t>
            </w:r>
          </w:p>
        </w:tc>
        <w:tc>
          <w:tcPr>
            <w:tcW w:w="2010" w:type="dxa"/>
            <w:tcBorders>
              <w:top w:val="outset" w:sz="6" w:space="0" w:color="auto"/>
              <w:left w:val="outset" w:sz="6" w:space="0" w:color="auto"/>
              <w:bottom w:val="outset" w:sz="6" w:space="0" w:color="auto"/>
              <w:right w:val="outset" w:sz="6" w:space="0" w:color="auto"/>
            </w:tcBorders>
            <w:hideMark/>
          </w:tcPr>
          <w:p w14:paraId="73CA8FA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7,14</w:t>
            </w:r>
          </w:p>
        </w:tc>
        <w:tc>
          <w:tcPr>
            <w:tcW w:w="3285" w:type="dxa"/>
            <w:tcBorders>
              <w:top w:val="outset" w:sz="6" w:space="0" w:color="auto"/>
              <w:left w:val="outset" w:sz="6" w:space="0" w:color="auto"/>
              <w:bottom w:val="outset" w:sz="6" w:space="0" w:color="auto"/>
              <w:right w:val="outset" w:sz="6" w:space="0" w:color="auto"/>
            </w:tcBorders>
            <w:hideMark/>
          </w:tcPr>
          <w:p w14:paraId="3CF5C1C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20</w:t>
            </w:r>
          </w:p>
        </w:tc>
        <w:tc>
          <w:tcPr>
            <w:tcW w:w="3165" w:type="dxa"/>
            <w:tcBorders>
              <w:top w:val="outset" w:sz="6" w:space="0" w:color="auto"/>
              <w:left w:val="outset" w:sz="6" w:space="0" w:color="auto"/>
              <w:bottom w:val="outset" w:sz="6" w:space="0" w:color="auto"/>
              <w:right w:val="outset" w:sz="6" w:space="0" w:color="auto"/>
            </w:tcBorders>
            <w:hideMark/>
          </w:tcPr>
          <w:p w14:paraId="3B16B2B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0,610 л</w:t>
            </w:r>
          </w:p>
        </w:tc>
        <w:tc>
          <w:tcPr>
            <w:tcW w:w="4650" w:type="dxa"/>
            <w:tcBorders>
              <w:top w:val="outset" w:sz="6" w:space="0" w:color="auto"/>
              <w:left w:val="outset" w:sz="6" w:space="0" w:color="auto"/>
              <w:bottom w:val="outset" w:sz="6" w:space="0" w:color="auto"/>
              <w:right w:val="outset" w:sz="6" w:space="0" w:color="auto"/>
            </w:tcBorders>
            <w:hideMark/>
          </w:tcPr>
          <w:p w14:paraId="70D24F9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80–90 % дихлордиэтилсульфида (иприт) в 20–10 % хлористого углерода или хлорбензола</w:t>
            </w:r>
          </w:p>
        </w:tc>
      </w:tr>
      <w:tr w:rsidR="002B1C74" w:rsidRPr="002F2FDF" w14:paraId="30AE63CF" w14:textId="77777777" w:rsidTr="00920A70">
        <w:trPr>
          <w:tblCellSpacing w:w="15" w:type="dxa"/>
        </w:trPr>
        <w:tc>
          <w:tcPr>
            <w:tcW w:w="1515" w:type="dxa"/>
            <w:vMerge w:val="restart"/>
            <w:tcBorders>
              <w:top w:val="outset" w:sz="6" w:space="0" w:color="auto"/>
              <w:left w:val="outset" w:sz="6" w:space="0" w:color="auto"/>
              <w:bottom w:val="outset" w:sz="6" w:space="0" w:color="auto"/>
              <w:right w:val="outset" w:sz="6" w:space="0" w:color="auto"/>
            </w:tcBorders>
            <w:hideMark/>
          </w:tcPr>
          <w:p w14:paraId="121087D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10,5-см легкая полевая гаубица</w:t>
            </w:r>
          </w:p>
        </w:tc>
        <w:tc>
          <w:tcPr>
            <w:tcW w:w="2850" w:type="dxa"/>
            <w:tcBorders>
              <w:top w:val="outset" w:sz="6" w:space="0" w:color="auto"/>
              <w:left w:val="outset" w:sz="6" w:space="0" w:color="auto"/>
              <w:bottom w:val="outset" w:sz="6" w:space="0" w:color="auto"/>
              <w:right w:val="outset" w:sz="6" w:space="0" w:color="auto"/>
            </w:tcBorders>
            <w:hideMark/>
          </w:tcPr>
          <w:p w14:paraId="1F38DA24"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зеленый крест («зеленый крест 1»)</w:t>
            </w:r>
          </w:p>
        </w:tc>
        <w:tc>
          <w:tcPr>
            <w:tcW w:w="2010" w:type="dxa"/>
            <w:tcBorders>
              <w:top w:val="outset" w:sz="6" w:space="0" w:color="auto"/>
              <w:left w:val="outset" w:sz="6" w:space="0" w:color="auto"/>
              <w:bottom w:val="outset" w:sz="6" w:space="0" w:color="auto"/>
              <w:right w:val="outset" w:sz="6" w:space="0" w:color="auto"/>
            </w:tcBorders>
            <w:hideMark/>
          </w:tcPr>
          <w:p w14:paraId="63155B0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16,20</w:t>
            </w:r>
          </w:p>
        </w:tc>
        <w:tc>
          <w:tcPr>
            <w:tcW w:w="3285" w:type="dxa"/>
            <w:tcBorders>
              <w:top w:val="outset" w:sz="6" w:space="0" w:color="auto"/>
              <w:left w:val="outset" w:sz="6" w:space="0" w:color="auto"/>
              <w:bottom w:val="outset" w:sz="6" w:space="0" w:color="auto"/>
              <w:right w:val="outset" w:sz="6" w:space="0" w:color="auto"/>
            </w:tcBorders>
            <w:hideMark/>
          </w:tcPr>
          <w:p w14:paraId="45525ECE"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58</w:t>
            </w:r>
          </w:p>
        </w:tc>
        <w:tc>
          <w:tcPr>
            <w:tcW w:w="3165" w:type="dxa"/>
            <w:tcBorders>
              <w:top w:val="outset" w:sz="6" w:space="0" w:color="auto"/>
              <w:left w:val="outset" w:sz="6" w:space="0" w:color="auto"/>
              <w:bottom w:val="outset" w:sz="6" w:space="0" w:color="auto"/>
              <w:right w:val="outset" w:sz="6" w:space="0" w:color="auto"/>
            </w:tcBorders>
            <w:hideMark/>
          </w:tcPr>
          <w:p w14:paraId="040BEC51"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1,340 л</w:t>
            </w:r>
          </w:p>
        </w:tc>
        <w:tc>
          <w:tcPr>
            <w:tcW w:w="4650" w:type="dxa"/>
            <w:tcBorders>
              <w:top w:val="outset" w:sz="6" w:space="0" w:color="auto"/>
              <w:left w:val="outset" w:sz="6" w:space="0" w:color="auto"/>
              <w:bottom w:val="outset" w:sz="6" w:space="0" w:color="auto"/>
              <w:right w:val="outset" w:sz="6" w:space="0" w:color="auto"/>
            </w:tcBorders>
            <w:hideMark/>
          </w:tcPr>
          <w:p w14:paraId="58758CFB"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30–70 % дифосгена, 70–30 % хлорпикрина</w:t>
            </w:r>
          </w:p>
        </w:tc>
      </w:tr>
      <w:tr w:rsidR="002B1C74" w:rsidRPr="002F2FDF" w14:paraId="4A9325AC"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D37C1E2"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4F15D21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синий крест</w:t>
            </w:r>
          </w:p>
        </w:tc>
        <w:tc>
          <w:tcPr>
            <w:tcW w:w="2010" w:type="dxa"/>
            <w:tcBorders>
              <w:top w:val="outset" w:sz="6" w:space="0" w:color="auto"/>
              <w:left w:val="outset" w:sz="6" w:space="0" w:color="auto"/>
              <w:bottom w:val="outset" w:sz="6" w:space="0" w:color="auto"/>
              <w:right w:val="outset" w:sz="6" w:space="0" w:color="auto"/>
            </w:tcBorders>
            <w:hideMark/>
          </w:tcPr>
          <w:p w14:paraId="1329B824"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15,80</w:t>
            </w:r>
          </w:p>
        </w:tc>
        <w:tc>
          <w:tcPr>
            <w:tcW w:w="3285" w:type="dxa"/>
            <w:tcBorders>
              <w:top w:val="outset" w:sz="6" w:space="0" w:color="auto"/>
              <w:left w:val="outset" w:sz="6" w:space="0" w:color="auto"/>
              <w:bottom w:val="outset" w:sz="6" w:space="0" w:color="auto"/>
              <w:right w:val="outset" w:sz="6" w:space="0" w:color="auto"/>
            </w:tcBorders>
            <w:hideMark/>
          </w:tcPr>
          <w:p w14:paraId="4289F34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58</w:t>
            </w:r>
          </w:p>
        </w:tc>
        <w:tc>
          <w:tcPr>
            <w:tcW w:w="3165" w:type="dxa"/>
            <w:tcBorders>
              <w:top w:val="outset" w:sz="6" w:space="0" w:color="auto"/>
              <w:left w:val="outset" w:sz="6" w:space="0" w:color="auto"/>
              <w:bottom w:val="outset" w:sz="6" w:space="0" w:color="auto"/>
              <w:right w:val="outset" w:sz="6" w:space="0" w:color="auto"/>
            </w:tcBorders>
            <w:hideMark/>
          </w:tcPr>
          <w:p w14:paraId="4145C49A"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0,410 кг</w:t>
            </w:r>
          </w:p>
        </w:tc>
        <w:tc>
          <w:tcPr>
            <w:tcW w:w="4650" w:type="dxa"/>
            <w:tcBorders>
              <w:top w:val="outset" w:sz="6" w:space="0" w:color="auto"/>
              <w:left w:val="outset" w:sz="6" w:space="0" w:color="auto"/>
              <w:bottom w:val="outset" w:sz="6" w:space="0" w:color="auto"/>
              <w:right w:val="outset" w:sz="6" w:space="0" w:color="auto"/>
            </w:tcBorders>
            <w:hideMark/>
          </w:tcPr>
          <w:p w14:paraId="2C94266E"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Дифенилхлорарсин в 1,3 кг тротила</w:t>
            </w:r>
          </w:p>
        </w:tc>
      </w:tr>
      <w:tr w:rsidR="002B1C74" w:rsidRPr="002F2FDF" w14:paraId="0F531153"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A191DEA"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009D591A"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синий крест (разновидность)</w:t>
            </w:r>
          </w:p>
        </w:tc>
        <w:tc>
          <w:tcPr>
            <w:tcW w:w="2010" w:type="dxa"/>
            <w:tcBorders>
              <w:top w:val="outset" w:sz="6" w:space="0" w:color="auto"/>
              <w:left w:val="outset" w:sz="6" w:space="0" w:color="auto"/>
              <w:bottom w:val="outset" w:sz="6" w:space="0" w:color="auto"/>
              <w:right w:val="outset" w:sz="6" w:space="0" w:color="auto"/>
            </w:tcBorders>
            <w:hideMark/>
          </w:tcPr>
          <w:p w14:paraId="2F6FEBA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73B10C4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6A3139F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7D891762"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55 % дифенилхлорарсина, 45 % этилкарбазола</w:t>
            </w:r>
          </w:p>
        </w:tc>
      </w:tr>
      <w:tr w:rsidR="002B1C74" w:rsidRPr="002F2FDF" w14:paraId="122ED5F3"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0CC6769"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3CA7DAD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желтый крест</w:t>
            </w:r>
          </w:p>
        </w:tc>
        <w:tc>
          <w:tcPr>
            <w:tcW w:w="2010" w:type="dxa"/>
            <w:tcBorders>
              <w:top w:val="outset" w:sz="6" w:space="0" w:color="auto"/>
              <w:left w:val="outset" w:sz="6" w:space="0" w:color="auto"/>
              <w:bottom w:val="outset" w:sz="6" w:space="0" w:color="auto"/>
              <w:right w:val="outset" w:sz="6" w:space="0" w:color="auto"/>
            </w:tcBorders>
            <w:hideMark/>
          </w:tcPr>
          <w:p w14:paraId="0E83770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14,80</w:t>
            </w:r>
          </w:p>
        </w:tc>
        <w:tc>
          <w:tcPr>
            <w:tcW w:w="3285" w:type="dxa"/>
            <w:tcBorders>
              <w:top w:val="outset" w:sz="6" w:space="0" w:color="auto"/>
              <w:left w:val="outset" w:sz="6" w:space="0" w:color="auto"/>
              <w:bottom w:val="outset" w:sz="6" w:space="0" w:color="auto"/>
              <w:right w:val="outset" w:sz="6" w:space="0" w:color="auto"/>
            </w:tcBorders>
            <w:hideMark/>
          </w:tcPr>
          <w:p w14:paraId="647ADFD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21</w:t>
            </w:r>
          </w:p>
        </w:tc>
        <w:tc>
          <w:tcPr>
            <w:tcW w:w="3165" w:type="dxa"/>
            <w:tcBorders>
              <w:top w:val="outset" w:sz="6" w:space="0" w:color="auto"/>
              <w:left w:val="outset" w:sz="6" w:space="0" w:color="auto"/>
              <w:bottom w:val="outset" w:sz="6" w:space="0" w:color="auto"/>
              <w:right w:val="outset" w:sz="6" w:space="0" w:color="auto"/>
            </w:tcBorders>
            <w:hideMark/>
          </w:tcPr>
          <w:p w14:paraId="58EA758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1,2 л</w:t>
            </w:r>
          </w:p>
        </w:tc>
        <w:tc>
          <w:tcPr>
            <w:tcW w:w="4650" w:type="dxa"/>
            <w:tcBorders>
              <w:top w:val="outset" w:sz="6" w:space="0" w:color="auto"/>
              <w:left w:val="outset" w:sz="6" w:space="0" w:color="auto"/>
              <w:bottom w:val="outset" w:sz="6" w:space="0" w:color="auto"/>
              <w:right w:val="outset" w:sz="6" w:space="0" w:color="auto"/>
            </w:tcBorders>
            <w:hideMark/>
          </w:tcPr>
          <w:p w14:paraId="35AB92E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80–90 % дихлордиэтилсульфида, 20–10 % хлористого углерода или хлорбензола</w:t>
            </w:r>
          </w:p>
        </w:tc>
      </w:tr>
      <w:tr w:rsidR="002B1C74" w:rsidRPr="002F2FDF" w14:paraId="2078DB26"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9D289B2"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0CF930E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желтый крест (разновидность)</w:t>
            </w:r>
          </w:p>
        </w:tc>
        <w:tc>
          <w:tcPr>
            <w:tcW w:w="2010" w:type="dxa"/>
            <w:tcBorders>
              <w:top w:val="outset" w:sz="6" w:space="0" w:color="auto"/>
              <w:left w:val="outset" w:sz="6" w:space="0" w:color="auto"/>
              <w:bottom w:val="outset" w:sz="6" w:space="0" w:color="auto"/>
              <w:right w:val="outset" w:sz="6" w:space="0" w:color="auto"/>
            </w:tcBorders>
            <w:hideMark/>
          </w:tcPr>
          <w:p w14:paraId="4ED5F372"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14,80</w:t>
            </w:r>
          </w:p>
        </w:tc>
        <w:tc>
          <w:tcPr>
            <w:tcW w:w="3285" w:type="dxa"/>
            <w:tcBorders>
              <w:top w:val="outset" w:sz="6" w:space="0" w:color="auto"/>
              <w:left w:val="outset" w:sz="6" w:space="0" w:color="auto"/>
              <w:bottom w:val="outset" w:sz="6" w:space="0" w:color="auto"/>
              <w:right w:val="outset" w:sz="6" w:space="0" w:color="auto"/>
            </w:tcBorders>
            <w:hideMark/>
          </w:tcPr>
          <w:p w14:paraId="00E93AFA"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21</w:t>
            </w:r>
          </w:p>
        </w:tc>
        <w:tc>
          <w:tcPr>
            <w:tcW w:w="3165" w:type="dxa"/>
            <w:tcBorders>
              <w:top w:val="outset" w:sz="6" w:space="0" w:color="auto"/>
              <w:left w:val="outset" w:sz="6" w:space="0" w:color="auto"/>
              <w:bottom w:val="outset" w:sz="6" w:space="0" w:color="auto"/>
              <w:right w:val="outset" w:sz="6" w:space="0" w:color="auto"/>
            </w:tcBorders>
            <w:hideMark/>
          </w:tcPr>
          <w:p w14:paraId="0E884524"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1,2 л</w:t>
            </w:r>
          </w:p>
        </w:tc>
        <w:tc>
          <w:tcPr>
            <w:tcW w:w="4650" w:type="dxa"/>
            <w:tcBorders>
              <w:top w:val="outset" w:sz="6" w:space="0" w:color="auto"/>
              <w:left w:val="outset" w:sz="6" w:space="0" w:color="auto"/>
              <w:bottom w:val="outset" w:sz="6" w:space="0" w:color="auto"/>
              <w:right w:val="outset" w:sz="6" w:space="0" w:color="auto"/>
            </w:tcBorders>
            <w:hideMark/>
          </w:tcPr>
          <w:p w14:paraId="1CD1320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77,5 % дихлордиэтилсульфида, 11,5 % нитробензола, 9 % хлорбензола</w:t>
            </w:r>
          </w:p>
        </w:tc>
      </w:tr>
      <w:tr w:rsidR="002B1C74" w:rsidRPr="002F2FDF" w14:paraId="333BC144"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77BFD29"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4AABE081"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желтый крест (разновидность)</w:t>
            </w:r>
          </w:p>
        </w:tc>
        <w:tc>
          <w:tcPr>
            <w:tcW w:w="2010" w:type="dxa"/>
            <w:tcBorders>
              <w:top w:val="outset" w:sz="6" w:space="0" w:color="auto"/>
              <w:left w:val="outset" w:sz="6" w:space="0" w:color="auto"/>
              <w:bottom w:val="outset" w:sz="6" w:space="0" w:color="auto"/>
              <w:right w:val="outset" w:sz="6" w:space="0" w:color="auto"/>
            </w:tcBorders>
            <w:hideMark/>
          </w:tcPr>
          <w:p w14:paraId="3ED0857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14,80</w:t>
            </w:r>
          </w:p>
        </w:tc>
        <w:tc>
          <w:tcPr>
            <w:tcW w:w="3285" w:type="dxa"/>
            <w:tcBorders>
              <w:top w:val="outset" w:sz="6" w:space="0" w:color="auto"/>
              <w:left w:val="outset" w:sz="6" w:space="0" w:color="auto"/>
              <w:bottom w:val="outset" w:sz="6" w:space="0" w:color="auto"/>
              <w:right w:val="outset" w:sz="6" w:space="0" w:color="auto"/>
            </w:tcBorders>
            <w:hideMark/>
          </w:tcPr>
          <w:p w14:paraId="609DD0F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21</w:t>
            </w:r>
          </w:p>
        </w:tc>
        <w:tc>
          <w:tcPr>
            <w:tcW w:w="3165" w:type="dxa"/>
            <w:tcBorders>
              <w:top w:val="outset" w:sz="6" w:space="0" w:color="auto"/>
              <w:left w:val="outset" w:sz="6" w:space="0" w:color="auto"/>
              <w:bottom w:val="outset" w:sz="6" w:space="0" w:color="auto"/>
              <w:right w:val="outset" w:sz="6" w:space="0" w:color="auto"/>
            </w:tcBorders>
            <w:hideMark/>
          </w:tcPr>
          <w:p w14:paraId="21669BA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1,2 л</w:t>
            </w:r>
          </w:p>
        </w:tc>
        <w:tc>
          <w:tcPr>
            <w:tcW w:w="4650" w:type="dxa"/>
            <w:tcBorders>
              <w:top w:val="outset" w:sz="6" w:space="0" w:color="auto"/>
              <w:left w:val="outset" w:sz="6" w:space="0" w:color="auto"/>
              <w:bottom w:val="outset" w:sz="6" w:space="0" w:color="auto"/>
              <w:right w:val="outset" w:sz="6" w:space="0" w:color="auto"/>
            </w:tcBorders>
            <w:hideMark/>
          </w:tcPr>
          <w:p w14:paraId="786E1C2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Дихлордиэтилсульфид, окись дихлорметила в хлористом углероде</w:t>
            </w:r>
          </w:p>
        </w:tc>
      </w:tr>
      <w:tr w:rsidR="002B1C74" w:rsidRPr="002F2FDF" w14:paraId="57FEBD57"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6721C28"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32AEE4D4"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Два желтых креста (желтый крест 1)</w:t>
            </w:r>
          </w:p>
        </w:tc>
        <w:tc>
          <w:tcPr>
            <w:tcW w:w="2010" w:type="dxa"/>
            <w:tcBorders>
              <w:top w:val="outset" w:sz="6" w:space="0" w:color="auto"/>
              <w:left w:val="outset" w:sz="6" w:space="0" w:color="auto"/>
              <w:bottom w:val="outset" w:sz="6" w:space="0" w:color="auto"/>
              <w:right w:val="outset" w:sz="6" w:space="0" w:color="auto"/>
            </w:tcBorders>
            <w:hideMark/>
          </w:tcPr>
          <w:p w14:paraId="7A8D58A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1B8DFA7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30CFA41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1,2 л</w:t>
            </w:r>
          </w:p>
        </w:tc>
        <w:tc>
          <w:tcPr>
            <w:tcW w:w="4650" w:type="dxa"/>
            <w:tcBorders>
              <w:top w:val="outset" w:sz="6" w:space="0" w:color="auto"/>
              <w:left w:val="outset" w:sz="6" w:space="0" w:color="auto"/>
              <w:bottom w:val="outset" w:sz="6" w:space="0" w:color="auto"/>
              <w:right w:val="outset" w:sz="6" w:space="0" w:color="auto"/>
            </w:tcBorders>
            <w:hideMark/>
          </w:tcPr>
          <w:p w14:paraId="28D6EAE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2, 35, 47, 4 % этилдихлорарсина и соответственно 98, 65, 53, 96 % окиси дихлорметила</w:t>
            </w:r>
          </w:p>
        </w:tc>
      </w:tr>
      <w:tr w:rsidR="002B1C74" w:rsidRPr="002F2FDF" w14:paraId="7A803B1F"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2B2A47F"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7A5D7992"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 xml:space="preserve">Один зеленый крест </w:t>
            </w:r>
            <w:r w:rsidRPr="002F2FDF">
              <w:rPr>
                <w:color w:val="000000" w:themeColor="text1"/>
                <w:sz w:val="16"/>
                <w:szCs w:val="16"/>
              </w:rPr>
              <w:lastRenderedPageBreak/>
              <w:t>(«зеленый крест» позднейшего периода для создания «пестрых участков» совместно с «синим крестом»)</w:t>
            </w:r>
          </w:p>
        </w:tc>
        <w:tc>
          <w:tcPr>
            <w:tcW w:w="2010" w:type="dxa"/>
            <w:tcBorders>
              <w:top w:val="outset" w:sz="6" w:space="0" w:color="auto"/>
              <w:left w:val="outset" w:sz="6" w:space="0" w:color="auto"/>
              <w:bottom w:val="outset" w:sz="6" w:space="0" w:color="auto"/>
              <w:right w:val="outset" w:sz="6" w:space="0" w:color="auto"/>
            </w:tcBorders>
            <w:hideMark/>
          </w:tcPr>
          <w:p w14:paraId="6F0DC34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lastRenderedPageBreak/>
              <w:t>-</w:t>
            </w:r>
          </w:p>
        </w:tc>
        <w:tc>
          <w:tcPr>
            <w:tcW w:w="3285" w:type="dxa"/>
            <w:tcBorders>
              <w:top w:val="outset" w:sz="6" w:space="0" w:color="auto"/>
              <w:left w:val="outset" w:sz="6" w:space="0" w:color="auto"/>
              <w:bottom w:val="outset" w:sz="6" w:space="0" w:color="auto"/>
              <w:right w:val="outset" w:sz="6" w:space="0" w:color="auto"/>
            </w:tcBorders>
            <w:hideMark/>
          </w:tcPr>
          <w:p w14:paraId="7E099B1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518EA30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1,2 л</w:t>
            </w:r>
          </w:p>
        </w:tc>
        <w:tc>
          <w:tcPr>
            <w:tcW w:w="4650" w:type="dxa"/>
            <w:tcBorders>
              <w:top w:val="outset" w:sz="6" w:space="0" w:color="auto"/>
              <w:left w:val="outset" w:sz="6" w:space="0" w:color="auto"/>
              <w:bottom w:val="outset" w:sz="6" w:space="0" w:color="auto"/>
              <w:right w:val="outset" w:sz="6" w:space="0" w:color="auto"/>
            </w:tcBorders>
            <w:hideMark/>
          </w:tcPr>
          <w:p w14:paraId="68114B3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37 % этилдихлорарсина, 45 % этилди-</w:t>
            </w:r>
            <w:r w:rsidRPr="002F2FDF">
              <w:rPr>
                <w:color w:val="000000" w:themeColor="text1"/>
                <w:sz w:val="16"/>
                <w:szCs w:val="16"/>
              </w:rPr>
              <w:lastRenderedPageBreak/>
              <w:t>бромарсина, 18 % окиси дихлорметила</w:t>
            </w:r>
          </w:p>
        </w:tc>
      </w:tr>
      <w:tr w:rsidR="002B1C74" w:rsidRPr="002F2FDF" w14:paraId="6D268E3B"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4691DE8"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6FAD1AAE"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Без клейма</w:t>
            </w:r>
          </w:p>
        </w:tc>
        <w:tc>
          <w:tcPr>
            <w:tcW w:w="2010" w:type="dxa"/>
            <w:tcBorders>
              <w:top w:val="outset" w:sz="6" w:space="0" w:color="auto"/>
              <w:left w:val="outset" w:sz="6" w:space="0" w:color="auto"/>
              <w:bottom w:val="outset" w:sz="6" w:space="0" w:color="auto"/>
              <w:right w:val="outset" w:sz="6" w:space="0" w:color="auto"/>
            </w:tcBorders>
            <w:hideMark/>
          </w:tcPr>
          <w:p w14:paraId="5EE5776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24227D5E"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5A30358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068310C2"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Почти чистый хлористый фенилкарбиламин</w:t>
            </w:r>
          </w:p>
        </w:tc>
      </w:tr>
      <w:tr w:rsidR="002B1C74" w:rsidRPr="002F2FDF" w14:paraId="60194D9E" w14:textId="77777777" w:rsidTr="00920A70">
        <w:trPr>
          <w:tblCellSpacing w:w="15" w:type="dxa"/>
        </w:trPr>
        <w:tc>
          <w:tcPr>
            <w:tcW w:w="1515" w:type="dxa"/>
            <w:tcBorders>
              <w:top w:val="outset" w:sz="6" w:space="0" w:color="auto"/>
              <w:left w:val="outset" w:sz="6" w:space="0" w:color="auto"/>
              <w:bottom w:val="outset" w:sz="6" w:space="0" w:color="auto"/>
              <w:right w:val="outset" w:sz="6" w:space="0" w:color="auto"/>
            </w:tcBorders>
            <w:hideMark/>
          </w:tcPr>
          <w:p w14:paraId="7B2B70A1"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10-см пушка</w:t>
            </w:r>
          </w:p>
        </w:tc>
        <w:tc>
          <w:tcPr>
            <w:tcW w:w="2850" w:type="dxa"/>
            <w:tcBorders>
              <w:top w:val="outset" w:sz="6" w:space="0" w:color="auto"/>
              <w:left w:val="outset" w:sz="6" w:space="0" w:color="auto"/>
              <w:bottom w:val="outset" w:sz="6" w:space="0" w:color="auto"/>
              <w:right w:val="outset" w:sz="6" w:space="0" w:color="auto"/>
            </w:tcBorders>
            <w:hideMark/>
          </w:tcPr>
          <w:p w14:paraId="4C8CD2CA"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зеленый крест («зеленый крест 1»)</w:t>
            </w:r>
          </w:p>
        </w:tc>
        <w:tc>
          <w:tcPr>
            <w:tcW w:w="2010" w:type="dxa"/>
            <w:tcBorders>
              <w:top w:val="outset" w:sz="6" w:space="0" w:color="auto"/>
              <w:left w:val="outset" w:sz="6" w:space="0" w:color="auto"/>
              <w:bottom w:val="outset" w:sz="6" w:space="0" w:color="auto"/>
              <w:right w:val="outset" w:sz="6" w:space="0" w:color="auto"/>
            </w:tcBorders>
            <w:hideMark/>
          </w:tcPr>
          <w:p w14:paraId="517F646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17,50</w:t>
            </w:r>
          </w:p>
        </w:tc>
        <w:tc>
          <w:tcPr>
            <w:tcW w:w="3285" w:type="dxa"/>
            <w:tcBorders>
              <w:top w:val="outset" w:sz="6" w:space="0" w:color="auto"/>
              <w:left w:val="outset" w:sz="6" w:space="0" w:color="auto"/>
              <w:bottom w:val="outset" w:sz="6" w:space="0" w:color="auto"/>
              <w:right w:val="outset" w:sz="6" w:space="0" w:color="auto"/>
            </w:tcBorders>
            <w:hideMark/>
          </w:tcPr>
          <w:p w14:paraId="1F3C89A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60</w:t>
            </w:r>
          </w:p>
        </w:tc>
        <w:tc>
          <w:tcPr>
            <w:tcW w:w="3165" w:type="dxa"/>
            <w:tcBorders>
              <w:top w:val="outset" w:sz="6" w:space="0" w:color="auto"/>
              <w:left w:val="outset" w:sz="6" w:space="0" w:color="auto"/>
              <w:bottom w:val="outset" w:sz="6" w:space="0" w:color="auto"/>
              <w:right w:val="outset" w:sz="6" w:space="0" w:color="auto"/>
            </w:tcBorders>
            <w:hideMark/>
          </w:tcPr>
          <w:p w14:paraId="7079C69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1,33 л</w:t>
            </w:r>
          </w:p>
        </w:tc>
        <w:tc>
          <w:tcPr>
            <w:tcW w:w="4650" w:type="dxa"/>
            <w:tcBorders>
              <w:top w:val="outset" w:sz="6" w:space="0" w:color="auto"/>
              <w:left w:val="outset" w:sz="6" w:space="0" w:color="auto"/>
              <w:bottom w:val="outset" w:sz="6" w:space="0" w:color="auto"/>
              <w:right w:val="outset" w:sz="6" w:space="0" w:color="auto"/>
            </w:tcBorders>
            <w:hideMark/>
          </w:tcPr>
          <w:p w14:paraId="0AC5C4B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30–70 % дифосгена, 70–30 % хлорпикрина</w:t>
            </w:r>
          </w:p>
        </w:tc>
      </w:tr>
      <w:tr w:rsidR="002B1C74" w:rsidRPr="002F2FDF" w14:paraId="6D5E5F48" w14:textId="77777777" w:rsidTr="00920A70">
        <w:trPr>
          <w:tblCellSpacing w:w="15" w:type="dxa"/>
        </w:trPr>
        <w:tc>
          <w:tcPr>
            <w:tcW w:w="1515" w:type="dxa"/>
            <w:vMerge w:val="restart"/>
            <w:tcBorders>
              <w:top w:val="outset" w:sz="6" w:space="0" w:color="auto"/>
              <w:left w:val="outset" w:sz="6" w:space="0" w:color="auto"/>
              <w:bottom w:val="outset" w:sz="6" w:space="0" w:color="auto"/>
              <w:right w:val="outset" w:sz="6" w:space="0" w:color="auto"/>
            </w:tcBorders>
            <w:hideMark/>
          </w:tcPr>
          <w:p w14:paraId="45C380C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15-см тяжелая полевая гаубица</w:t>
            </w:r>
          </w:p>
        </w:tc>
        <w:tc>
          <w:tcPr>
            <w:tcW w:w="2850" w:type="dxa"/>
            <w:tcBorders>
              <w:top w:val="outset" w:sz="6" w:space="0" w:color="auto"/>
              <w:left w:val="outset" w:sz="6" w:space="0" w:color="auto"/>
              <w:bottom w:val="outset" w:sz="6" w:space="0" w:color="auto"/>
              <w:right w:val="outset" w:sz="6" w:space="0" w:color="auto"/>
            </w:tcBorders>
            <w:hideMark/>
          </w:tcPr>
          <w:p w14:paraId="782F94E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зеленый крест («зеленый крест 1»)</w:t>
            </w:r>
          </w:p>
        </w:tc>
        <w:tc>
          <w:tcPr>
            <w:tcW w:w="2010" w:type="dxa"/>
            <w:tcBorders>
              <w:top w:val="outset" w:sz="6" w:space="0" w:color="auto"/>
              <w:left w:val="outset" w:sz="6" w:space="0" w:color="auto"/>
              <w:bottom w:val="outset" w:sz="6" w:space="0" w:color="auto"/>
              <w:right w:val="outset" w:sz="6" w:space="0" w:color="auto"/>
            </w:tcBorders>
            <w:hideMark/>
          </w:tcPr>
          <w:p w14:paraId="54712B01"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41,36</w:t>
            </w:r>
          </w:p>
        </w:tc>
        <w:tc>
          <w:tcPr>
            <w:tcW w:w="3285" w:type="dxa"/>
            <w:tcBorders>
              <w:top w:val="outset" w:sz="6" w:space="0" w:color="auto"/>
              <w:left w:val="outset" w:sz="6" w:space="0" w:color="auto"/>
              <w:bottom w:val="outset" w:sz="6" w:space="0" w:color="auto"/>
              <w:right w:val="outset" w:sz="6" w:space="0" w:color="auto"/>
            </w:tcBorders>
            <w:hideMark/>
          </w:tcPr>
          <w:p w14:paraId="148B963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60</w:t>
            </w:r>
          </w:p>
        </w:tc>
        <w:tc>
          <w:tcPr>
            <w:tcW w:w="3165" w:type="dxa"/>
            <w:tcBorders>
              <w:top w:val="outset" w:sz="6" w:space="0" w:color="auto"/>
              <w:left w:val="outset" w:sz="6" w:space="0" w:color="auto"/>
              <w:bottom w:val="outset" w:sz="6" w:space="0" w:color="auto"/>
              <w:right w:val="outset" w:sz="6" w:space="0" w:color="auto"/>
            </w:tcBorders>
            <w:hideMark/>
          </w:tcPr>
          <w:p w14:paraId="4A0E6F1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3,9 л</w:t>
            </w:r>
          </w:p>
        </w:tc>
        <w:tc>
          <w:tcPr>
            <w:tcW w:w="4650" w:type="dxa"/>
            <w:tcBorders>
              <w:top w:val="outset" w:sz="6" w:space="0" w:color="auto"/>
              <w:left w:val="outset" w:sz="6" w:space="0" w:color="auto"/>
              <w:bottom w:val="outset" w:sz="6" w:space="0" w:color="auto"/>
              <w:right w:val="outset" w:sz="6" w:space="0" w:color="auto"/>
            </w:tcBorders>
            <w:hideMark/>
          </w:tcPr>
          <w:p w14:paraId="26C84DD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Дифосген</w:t>
            </w:r>
          </w:p>
        </w:tc>
      </w:tr>
      <w:tr w:rsidR="002B1C74" w:rsidRPr="002F2FDF" w14:paraId="6D3A7D55"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87A3FDF"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vMerge w:val="restart"/>
            <w:tcBorders>
              <w:top w:val="outset" w:sz="6" w:space="0" w:color="auto"/>
              <w:left w:val="outset" w:sz="6" w:space="0" w:color="auto"/>
              <w:bottom w:val="outset" w:sz="6" w:space="0" w:color="auto"/>
              <w:right w:val="outset" w:sz="6" w:space="0" w:color="auto"/>
            </w:tcBorders>
            <w:hideMark/>
          </w:tcPr>
          <w:p w14:paraId="64F12B72"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зеленый крест (разновидность)</w:t>
            </w:r>
          </w:p>
        </w:tc>
        <w:tc>
          <w:tcPr>
            <w:tcW w:w="2010" w:type="dxa"/>
            <w:tcBorders>
              <w:top w:val="outset" w:sz="6" w:space="0" w:color="auto"/>
              <w:left w:val="outset" w:sz="6" w:space="0" w:color="auto"/>
              <w:bottom w:val="outset" w:sz="6" w:space="0" w:color="auto"/>
              <w:right w:val="outset" w:sz="6" w:space="0" w:color="auto"/>
            </w:tcBorders>
            <w:hideMark/>
          </w:tcPr>
          <w:p w14:paraId="131CA1AA"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41,36</w:t>
            </w:r>
          </w:p>
        </w:tc>
        <w:tc>
          <w:tcPr>
            <w:tcW w:w="3285" w:type="dxa"/>
            <w:tcBorders>
              <w:top w:val="outset" w:sz="6" w:space="0" w:color="auto"/>
              <w:left w:val="outset" w:sz="6" w:space="0" w:color="auto"/>
              <w:bottom w:val="outset" w:sz="6" w:space="0" w:color="auto"/>
              <w:right w:val="outset" w:sz="6" w:space="0" w:color="auto"/>
            </w:tcBorders>
            <w:hideMark/>
          </w:tcPr>
          <w:p w14:paraId="4C72A3CA"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60</w:t>
            </w:r>
          </w:p>
        </w:tc>
        <w:tc>
          <w:tcPr>
            <w:tcW w:w="3165" w:type="dxa"/>
            <w:tcBorders>
              <w:top w:val="outset" w:sz="6" w:space="0" w:color="auto"/>
              <w:left w:val="outset" w:sz="6" w:space="0" w:color="auto"/>
              <w:bottom w:val="outset" w:sz="6" w:space="0" w:color="auto"/>
              <w:right w:val="outset" w:sz="6" w:space="0" w:color="auto"/>
            </w:tcBorders>
            <w:hideMark/>
          </w:tcPr>
          <w:p w14:paraId="65025C9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3,91 л</w:t>
            </w:r>
          </w:p>
        </w:tc>
        <w:tc>
          <w:tcPr>
            <w:tcW w:w="4650" w:type="dxa"/>
            <w:tcBorders>
              <w:top w:val="outset" w:sz="6" w:space="0" w:color="auto"/>
              <w:left w:val="outset" w:sz="6" w:space="0" w:color="auto"/>
              <w:bottom w:val="outset" w:sz="6" w:space="0" w:color="auto"/>
              <w:right w:val="outset" w:sz="6" w:space="0" w:color="auto"/>
            </w:tcBorders>
            <w:hideMark/>
          </w:tcPr>
          <w:p w14:paraId="26A6EF6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Дифосген с бромметилэтилкетоном</w:t>
            </w:r>
          </w:p>
        </w:tc>
      </w:tr>
      <w:tr w:rsidR="002B1C74" w:rsidRPr="002F2FDF" w14:paraId="2DF59579"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7E713F2"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6F524AB"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010" w:type="dxa"/>
            <w:tcBorders>
              <w:top w:val="outset" w:sz="6" w:space="0" w:color="auto"/>
              <w:left w:val="outset" w:sz="6" w:space="0" w:color="auto"/>
              <w:bottom w:val="outset" w:sz="6" w:space="0" w:color="auto"/>
              <w:right w:val="outset" w:sz="6" w:space="0" w:color="auto"/>
            </w:tcBorders>
            <w:hideMark/>
          </w:tcPr>
          <w:p w14:paraId="358CBAC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40,80</w:t>
            </w:r>
          </w:p>
        </w:tc>
        <w:tc>
          <w:tcPr>
            <w:tcW w:w="3285" w:type="dxa"/>
            <w:tcBorders>
              <w:top w:val="outset" w:sz="6" w:space="0" w:color="auto"/>
              <w:left w:val="outset" w:sz="6" w:space="0" w:color="auto"/>
              <w:bottom w:val="outset" w:sz="6" w:space="0" w:color="auto"/>
              <w:right w:val="outset" w:sz="6" w:space="0" w:color="auto"/>
            </w:tcBorders>
            <w:hideMark/>
          </w:tcPr>
          <w:p w14:paraId="72E5DAC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6DB82"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3,91 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FF48C"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Бромметилэтилкетон</w:t>
            </w:r>
          </w:p>
        </w:tc>
      </w:tr>
      <w:tr w:rsidR="002B1C74" w:rsidRPr="002F2FDF" w14:paraId="7B55B38F"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1740B0A"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BD84E6F"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010" w:type="dxa"/>
            <w:tcBorders>
              <w:top w:val="outset" w:sz="6" w:space="0" w:color="auto"/>
              <w:left w:val="outset" w:sz="6" w:space="0" w:color="auto"/>
              <w:bottom w:val="outset" w:sz="6" w:space="0" w:color="auto"/>
              <w:right w:val="outset" w:sz="6" w:space="0" w:color="auto"/>
            </w:tcBorders>
            <w:hideMark/>
          </w:tcPr>
          <w:p w14:paraId="5445BCF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39,88</w:t>
            </w:r>
          </w:p>
        </w:tc>
        <w:tc>
          <w:tcPr>
            <w:tcW w:w="3285" w:type="dxa"/>
            <w:tcBorders>
              <w:top w:val="outset" w:sz="6" w:space="0" w:color="auto"/>
              <w:left w:val="outset" w:sz="6" w:space="0" w:color="auto"/>
              <w:bottom w:val="outset" w:sz="6" w:space="0" w:color="auto"/>
              <w:right w:val="outset" w:sz="6" w:space="0" w:color="auto"/>
            </w:tcBorders>
            <w:hideMark/>
          </w:tcPr>
          <w:p w14:paraId="126EEB8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E82CB"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3,91 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C7D0A"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Хлористый фенилкарбиламин</w:t>
            </w:r>
          </w:p>
        </w:tc>
      </w:tr>
      <w:tr w:rsidR="002B1C74" w:rsidRPr="002F2FDF" w14:paraId="7BB34F8A"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1D6675E"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394842B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зеленый крест («зеленый крест 1»)</w:t>
            </w:r>
          </w:p>
        </w:tc>
        <w:tc>
          <w:tcPr>
            <w:tcW w:w="2010" w:type="dxa"/>
            <w:tcBorders>
              <w:top w:val="outset" w:sz="6" w:space="0" w:color="auto"/>
              <w:left w:val="outset" w:sz="6" w:space="0" w:color="auto"/>
              <w:bottom w:val="outset" w:sz="6" w:space="0" w:color="auto"/>
              <w:right w:val="outset" w:sz="6" w:space="0" w:color="auto"/>
            </w:tcBorders>
            <w:hideMark/>
          </w:tcPr>
          <w:p w14:paraId="2434177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41,36</w:t>
            </w:r>
          </w:p>
        </w:tc>
        <w:tc>
          <w:tcPr>
            <w:tcW w:w="3285" w:type="dxa"/>
            <w:tcBorders>
              <w:top w:val="outset" w:sz="6" w:space="0" w:color="auto"/>
              <w:left w:val="outset" w:sz="6" w:space="0" w:color="auto"/>
              <w:bottom w:val="outset" w:sz="6" w:space="0" w:color="auto"/>
              <w:right w:val="outset" w:sz="6" w:space="0" w:color="auto"/>
            </w:tcBorders>
            <w:hideMark/>
          </w:tcPr>
          <w:p w14:paraId="7D75C1F1"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60</w:t>
            </w:r>
          </w:p>
        </w:tc>
        <w:tc>
          <w:tcPr>
            <w:tcW w:w="3165" w:type="dxa"/>
            <w:tcBorders>
              <w:top w:val="outset" w:sz="6" w:space="0" w:color="auto"/>
              <w:left w:val="outset" w:sz="6" w:space="0" w:color="auto"/>
              <w:bottom w:val="outset" w:sz="6" w:space="0" w:color="auto"/>
              <w:right w:val="outset" w:sz="6" w:space="0" w:color="auto"/>
            </w:tcBorders>
            <w:hideMark/>
          </w:tcPr>
          <w:p w14:paraId="299E28D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3391CEB2"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70–30 % дифосгена, 30–70 % хлорпикрина</w:t>
            </w:r>
          </w:p>
        </w:tc>
      </w:tr>
      <w:tr w:rsidR="002B1C74" w:rsidRPr="002F2FDF" w14:paraId="3FC76417"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8FF48E9"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649CDC2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Два зеленых креста («зеленый крест 2»)</w:t>
            </w:r>
          </w:p>
        </w:tc>
        <w:tc>
          <w:tcPr>
            <w:tcW w:w="2010" w:type="dxa"/>
            <w:tcBorders>
              <w:top w:val="outset" w:sz="6" w:space="0" w:color="auto"/>
              <w:left w:val="outset" w:sz="6" w:space="0" w:color="auto"/>
              <w:bottom w:val="outset" w:sz="6" w:space="0" w:color="auto"/>
              <w:right w:val="outset" w:sz="6" w:space="0" w:color="auto"/>
            </w:tcBorders>
            <w:hideMark/>
          </w:tcPr>
          <w:p w14:paraId="70B67EE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41,70</w:t>
            </w:r>
          </w:p>
        </w:tc>
        <w:tc>
          <w:tcPr>
            <w:tcW w:w="3285" w:type="dxa"/>
            <w:tcBorders>
              <w:top w:val="outset" w:sz="6" w:space="0" w:color="auto"/>
              <w:left w:val="outset" w:sz="6" w:space="0" w:color="auto"/>
              <w:bottom w:val="outset" w:sz="6" w:space="0" w:color="auto"/>
              <w:right w:val="outset" w:sz="6" w:space="0" w:color="auto"/>
            </w:tcBorders>
            <w:hideMark/>
          </w:tcPr>
          <w:p w14:paraId="242F9A12"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18</w:t>
            </w:r>
          </w:p>
        </w:tc>
        <w:tc>
          <w:tcPr>
            <w:tcW w:w="3165" w:type="dxa"/>
            <w:tcBorders>
              <w:top w:val="outset" w:sz="6" w:space="0" w:color="auto"/>
              <w:left w:val="outset" w:sz="6" w:space="0" w:color="auto"/>
              <w:bottom w:val="outset" w:sz="6" w:space="0" w:color="auto"/>
              <w:right w:val="outset" w:sz="6" w:space="0" w:color="auto"/>
            </w:tcBorders>
            <w:hideMark/>
          </w:tcPr>
          <w:p w14:paraId="51366DE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3,2 л</w:t>
            </w:r>
          </w:p>
        </w:tc>
        <w:tc>
          <w:tcPr>
            <w:tcW w:w="4650" w:type="dxa"/>
            <w:tcBorders>
              <w:top w:val="outset" w:sz="6" w:space="0" w:color="auto"/>
              <w:left w:val="outset" w:sz="6" w:space="0" w:color="auto"/>
              <w:bottom w:val="outset" w:sz="6" w:space="0" w:color="auto"/>
              <w:right w:val="outset" w:sz="6" w:space="0" w:color="auto"/>
            </w:tcBorders>
            <w:hideMark/>
          </w:tcPr>
          <w:p w14:paraId="3022BD5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60% фосгена, 28% дифосгена, 12% дифенилхлорарсина + 0,187 кг тротила</w:t>
            </w:r>
          </w:p>
        </w:tc>
      </w:tr>
      <w:tr w:rsidR="002B1C74" w:rsidRPr="002F2FDF" w14:paraId="2FCAE973"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F578EE2"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3D116DB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синий крест</w:t>
            </w:r>
          </w:p>
        </w:tc>
        <w:tc>
          <w:tcPr>
            <w:tcW w:w="2010" w:type="dxa"/>
            <w:tcBorders>
              <w:top w:val="outset" w:sz="6" w:space="0" w:color="auto"/>
              <w:left w:val="outset" w:sz="6" w:space="0" w:color="auto"/>
              <w:bottom w:val="outset" w:sz="6" w:space="0" w:color="auto"/>
              <w:right w:val="outset" w:sz="6" w:space="0" w:color="auto"/>
            </w:tcBorders>
            <w:hideMark/>
          </w:tcPr>
          <w:p w14:paraId="60AAB16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41,20</w:t>
            </w:r>
          </w:p>
        </w:tc>
        <w:tc>
          <w:tcPr>
            <w:tcW w:w="3285" w:type="dxa"/>
            <w:tcBorders>
              <w:top w:val="outset" w:sz="6" w:space="0" w:color="auto"/>
              <w:left w:val="outset" w:sz="6" w:space="0" w:color="auto"/>
              <w:bottom w:val="outset" w:sz="6" w:space="0" w:color="auto"/>
              <w:right w:val="outset" w:sz="6" w:space="0" w:color="auto"/>
            </w:tcBorders>
            <w:hideMark/>
          </w:tcPr>
          <w:p w14:paraId="0F640DBE"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60</w:t>
            </w:r>
          </w:p>
        </w:tc>
        <w:tc>
          <w:tcPr>
            <w:tcW w:w="3165" w:type="dxa"/>
            <w:tcBorders>
              <w:top w:val="outset" w:sz="6" w:space="0" w:color="auto"/>
              <w:left w:val="outset" w:sz="6" w:space="0" w:color="auto"/>
              <w:bottom w:val="outset" w:sz="6" w:space="0" w:color="auto"/>
              <w:right w:val="outset" w:sz="6" w:space="0" w:color="auto"/>
            </w:tcBorders>
            <w:hideMark/>
          </w:tcPr>
          <w:p w14:paraId="0C6FDF4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1,35 кг</w:t>
            </w:r>
          </w:p>
        </w:tc>
        <w:tc>
          <w:tcPr>
            <w:tcW w:w="4650" w:type="dxa"/>
            <w:tcBorders>
              <w:top w:val="outset" w:sz="6" w:space="0" w:color="auto"/>
              <w:left w:val="outset" w:sz="6" w:space="0" w:color="auto"/>
              <w:bottom w:val="outset" w:sz="6" w:space="0" w:color="auto"/>
              <w:right w:val="outset" w:sz="6" w:space="0" w:color="auto"/>
            </w:tcBorders>
            <w:hideMark/>
          </w:tcPr>
          <w:p w14:paraId="3AD59BE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Дифенилхлорарсин в 3,47 кг тротила</w:t>
            </w:r>
          </w:p>
        </w:tc>
      </w:tr>
      <w:tr w:rsidR="002B1C74" w:rsidRPr="002F2FDF" w14:paraId="0D4218B8"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66AB646"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16DF589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или два синих креста («синий крест 2»).</w:t>
            </w:r>
          </w:p>
        </w:tc>
        <w:tc>
          <w:tcPr>
            <w:tcW w:w="2010" w:type="dxa"/>
            <w:tcBorders>
              <w:top w:val="outset" w:sz="6" w:space="0" w:color="auto"/>
              <w:left w:val="outset" w:sz="6" w:space="0" w:color="auto"/>
              <w:bottom w:val="outset" w:sz="6" w:space="0" w:color="auto"/>
              <w:right w:val="outset" w:sz="6" w:space="0" w:color="auto"/>
            </w:tcBorders>
            <w:hideMark/>
          </w:tcPr>
          <w:p w14:paraId="1155BB4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20FE24EE"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50DB704A"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0D6F98B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Дифенилцианарсин</w:t>
            </w:r>
          </w:p>
        </w:tc>
      </w:tr>
      <w:tr w:rsidR="002B1C74" w:rsidRPr="002F2FDF" w14:paraId="2957E468"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BBB10D4"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1281618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желтый крест</w:t>
            </w:r>
          </w:p>
        </w:tc>
        <w:tc>
          <w:tcPr>
            <w:tcW w:w="2010" w:type="dxa"/>
            <w:tcBorders>
              <w:top w:val="outset" w:sz="6" w:space="0" w:color="auto"/>
              <w:left w:val="outset" w:sz="6" w:space="0" w:color="auto"/>
              <w:bottom w:val="outset" w:sz="6" w:space="0" w:color="auto"/>
              <w:right w:val="outset" w:sz="6" w:space="0" w:color="auto"/>
            </w:tcBorders>
            <w:hideMark/>
          </w:tcPr>
          <w:p w14:paraId="0886F041"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40,23</w:t>
            </w:r>
          </w:p>
        </w:tc>
        <w:tc>
          <w:tcPr>
            <w:tcW w:w="3285" w:type="dxa"/>
            <w:tcBorders>
              <w:top w:val="outset" w:sz="6" w:space="0" w:color="auto"/>
              <w:left w:val="outset" w:sz="6" w:space="0" w:color="auto"/>
              <w:bottom w:val="outset" w:sz="6" w:space="0" w:color="auto"/>
              <w:right w:val="outset" w:sz="6" w:space="0" w:color="auto"/>
            </w:tcBorders>
            <w:hideMark/>
          </w:tcPr>
          <w:p w14:paraId="3BBBA54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62</w:t>
            </w:r>
          </w:p>
        </w:tc>
        <w:tc>
          <w:tcPr>
            <w:tcW w:w="3165" w:type="dxa"/>
            <w:tcBorders>
              <w:top w:val="outset" w:sz="6" w:space="0" w:color="auto"/>
              <w:left w:val="outset" w:sz="6" w:space="0" w:color="auto"/>
              <w:bottom w:val="outset" w:sz="6" w:space="0" w:color="auto"/>
              <w:right w:val="outset" w:sz="6" w:space="0" w:color="auto"/>
            </w:tcBorders>
            <w:hideMark/>
          </w:tcPr>
          <w:p w14:paraId="28C0B9C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2,88 л</w:t>
            </w:r>
          </w:p>
        </w:tc>
        <w:tc>
          <w:tcPr>
            <w:tcW w:w="4650" w:type="dxa"/>
            <w:tcBorders>
              <w:top w:val="outset" w:sz="6" w:space="0" w:color="auto"/>
              <w:left w:val="outset" w:sz="6" w:space="0" w:color="auto"/>
              <w:bottom w:val="outset" w:sz="6" w:space="0" w:color="auto"/>
              <w:right w:val="outset" w:sz="6" w:space="0" w:color="auto"/>
            </w:tcBorders>
            <w:hideMark/>
          </w:tcPr>
          <w:p w14:paraId="04A42CD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80% дихлордиэтилсульфида, 20% хлорбензола, 0,7 кг тротила</w:t>
            </w:r>
          </w:p>
        </w:tc>
      </w:tr>
      <w:tr w:rsidR="002B1C74" w:rsidRPr="002F2FDF" w14:paraId="2064AAC4"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BE23024"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1F5D9E1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желтый крест (снаряд с баллистическим наконечником).</w:t>
            </w:r>
          </w:p>
        </w:tc>
        <w:tc>
          <w:tcPr>
            <w:tcW w:w="2010" w:type="dxa"/>
            <w:tcBorders>
              <w:top w:val="outset" w:sz="6" w:space="0" w:color="auto"/>
              <w:left w:val="outset" w:sz="6" w:space="0" w:color="auto"/>
              <w:bottom w:val="outset" w:sz="6" w:space="0" w:color="auto"/>
              <w:right w:val="outset" w:sz="6" w:space="0" w:color="auto"/>
            </w:tcBorders>
            <w:hideMark/>
          </w:tcPr>
          <w:p w14:paraId="65857C24"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4CF850F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6D47C091"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74B35F8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72 % дихлордиэтилсульфида, 28 % нитробензола.</w:t>
            </w:r>
          </w:p>
        </w:tc>
      </w:tr>
      <w:tr w:rsidR="002B1C74" w:rsidRPr="002F2FDF" w14:paraId="0E9259BA"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0F7EA42"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51E2C3A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Два желтых креста (разновидность)</w:t>
            </w:r>
          </w:p>
        </w:tc>
        <w:tc>
          <w:tcPr>
            <w:tcW w:w="2010" w:type="dxa"/>
            <w:tcBorders>
              <w:top w:val="outset" w:sz="6" w:space="0" w:color="auto"/>
              <w:left w:val="outset" w:sz="6" w:space="0" w:color="auto"/>
              <w:bottom w:val="outset" w:sz="6" w:space="0" w:color="auto"/>
              <w:right w:val="outset" w:sz="6" w:space="0" w:color="auto"/>
            </w:tcBorders>
            <w:hideMark/>
          </w:tcPr>
          <w:p w14:paraId="03782002"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32708D6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22ED3D0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024AE72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80 % дихлордиэтилсульфида, 20 % окиси дихлорметила</w:t>
            </w:r>
          </w:p>
        </w:tc>
      </w:tr>
      <w:tr w:rsidR="002B1C74" w:rsidRPr="002F2FDF" w14:paraId="231053E7"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F88DB8A"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605AF2A1"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желтый 6- конечный крест («бризантный желтого креста»).</w:t>
            </w:r>
          </w:p>
        </w:tc>
        <w:tc>
          <w:tcPr>
            <w:tcW w:w="2010" w:type="dxa"/>
            <w:tcBorders>
              <w:top w:val="outset" w:sz="6" w:space="0" w:color="auto"/>
              <w:left w:val="outset" w:sz="6" w:space="0" w:color="auto"/>
              <w:bottom w:val="outset" w:sz="6" w:space="0" w:color="auto"/>
              <w:right w:val="outset" w:sz="6" w:space="0" w:color="auto"/>
            </w:tcBorders>
            <w:hideMark/>
          </w:tcPr>
          <w:p w14:paraId="1C1AFEDB"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52AFCE6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3D8E441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15D8390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Дихлордиэтилсульфид и тротил, разделенные промежуточным днищем</w:t>
            </w:r>
          </w:p>
        </w:tc>
      </w:tr>
      <w:tr w:rsidR="002B1C74" w:rsidRPr="002F2FDF" w14:paraId="04D5C1CF" w14:textId="77777777" w:rsidTr="00920A70">
        <w:trPr>
          <w:tblCellSpacing w:w="15" w:type="dxa"/>
        </w:trPr>
        <w:tc>
          <w:tcPr>
            <w:tcW w:w="1515" w:type="dxa"/>
            <w:tcBorders>
              <w:top w:val="outset" w:sz="6" w:space="0" w:color="auto"/>
              <w:left w:val="outset" w:sz="6" w:space="0" w:color="auto"/>
              <w:bottom w:val="outset" w:sz="6" w:space="0" w:color="auto"/>
              <w:right w:val="outset" w:sz="6" w:space="0" w:color="auto"/>
            </w:tcBorders>
            <w:hideMark/>
          </w:tcPr>
          <w:p w14:paraId="446F8BA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15-см пушка</w:t>
            </w:r>
          </w:p>
        </w:tc>
        <w:tc>
          <w:tcPr>
            <w:tcW w:w="2850" w:type="dxa"/>
            <w:tcBorders>
              <w:top w:val="outset" w:sz="6" w:space="0" w:color="auto"/>
              <w:left w:val="outset" w:sz="6" w:space="0" w:color="auto"/>
              <w:bottom w:val="outset" w:sz="6" w:space="0" w:color="auto"/>
              <w:right w:val="outset" w:sz="6" w:space="0" w:color="auto"/>
            </w:tcBorders>
            <w:hideMark/>
          </w:tcPr>
          <w:p w14:paraId="064D4B21"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желтый крест</w:t>
            </w:r>
          </w:p>
        </w:tc>
        <w:tc>
          <w:tcPr>
            <w:tcW w:w="2010" w:type="dxa"/>
            <w:tcBorders>
              <w:top w:val="outset" w:sz="6" w:space="0" w:color="auto"/>
              <w:left w:val="outset" w:sz="6" w:space="0" w:color="auto"/>
              <w:bottom w:val="outset" w:sz="6" w:space="0" w:color="auto"/>
              <w:right w:val="outset" w:sz="6" w:space="0" w:color="auto"/>
            </w:tcBorders>
            <w:hideMark/>
          </w:tcPr>
          <w:p w14:paraId="5E47F31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50,00</w:t>
            </w:r>
          </w:p>
        </w:tc>
        <w:tc>
          <w:tcPr>
            <w:tcW w:w="3285" w:type="dxa"/>
            <w:tcBorders>
              <w:top w:val="outset" w:sz="6" w:space="0" w:color="auto"/>
              <w:left w:val="outset" w:sz="6" w:space="0" w:color="auto"/>
              <w:bottom w:val="outset" w:sz="6" w:space="0" w:color="auto"/>
              <w:right w:val="outset" w:sz="6" w:space="0" w:color="auto"/>
            </w:tcBorders>
            <w:hideMark/>
          </w:tcPr>
          <w:p w14:paraId="094501B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43</w:t>
            </w:r>
          </w:p>
        </w:tc>
        <w:tc>
          <w:tcPr>
            <w:tcW w:w="3165" w:type="dxa"/>
            <w:tcBorders>
              <w:top w:val="outset" w:sz="6" w:space="0" w:color="auto"/>
              <w:left w:val="outset" w:sz="6" w:space="0" w:color="auto"/>
              <w:bottom w:val="outset" w:sz="6" w:space="0" w:color="auto"/>
              <w:right w:val="outset" w:sz="6" w:space="0" w:color="auto"/>
            </w:tcBorders>
            <w:hideMark/>
          </w:tcPr>
          <w:p w14:paraId="375E71F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3,08 л</w:t>
            </w:r>
          </w:p>
        </w:tc>
        <w:tc>
          <w:tcPr>
            <w:tcW w:w="4650" w:type="dxa"/>
            <w:tcBorders>
              <w:top w:val="outset" w:sz="6" w:space="0" w:color="auto"/>
              <w:left w:val="outset" w:sz="6" w:space="0" w:color="auto"/>
              <w:bottom w:val="outset" w:sz="6" w:space="0" w:color="auto"/>
              <w:right w:val="outset" w:sz="6" w:space="0" w:color="auto"/>
            </w:tcBorders>
            <w:hideMark/>
          </w:tcPr>
          <w:p w14:paraId="3D47C17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80 % дихлордиэтилсульфида, 20% хлорбензола, 0,7 кг тротила</w:t>
            </w:r>
          </w:p>
        </w:tc>
      </w:tr>
      <w:tr w:rsidR="002B1C74" w:rsidRPr="002F2FDF" w14:paraId="790FEE6A" w14:textId="77777777" w:rsidTr="00920A70">
        <w:trPr>
          <w:tblCellSpacing w:w="15" w:type="dxa"/>
        </w:trPr>
        <w:tc>
          <w:tcPr>
            <w:tcW w:w="1515" w:type="dxa"/>
            <w:vMerge w:val="restart"/>
            <w:tcBorders>
              <w:top w:val="outset" w:sz="6" w:space="0" w:color="auto"/>
              <w:left w:val="outset" w:sz="6" w:space="0" w:color="auto"/>
              <w:bottom w:val="outset" w:sz="6" w:space="0" w:color="auto"/>
              <w:right w:val="outset" w:sz="6" w:space="0" w:color="auto"/>
            </w:tcBorders>
            <w:hideMark/>
          </w:tcPr>
          <w:p w14:paraId="1778D1EE"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21-см мортира</w:t>
            </w:r>
          </w:p>
        </w:tc>
        <w:tc>
          <w:tcPr>
            <w:tcW w:w="2850" w:type="dxa"/>
            <w:tcBorders>
              <w:top w:val="outset" w:sz="6" w:space="0" w:color="auto"/>
              <w:left w:val="outset" w:sz="6" w:space="0" w:color="auto"/>
              <w:bottom w:val="outset" w:sz="6" w:space="0" w:color="auto"/>
              <w:right w:val="outset" w:sz="6" w:space="0" w:color="auto"/>
            </w:tcBorders>
            <w:hideMark/>
          </w:tcPr>
          <w:p w14:paraId="111A65F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зеленый крест</w:t>
            </w:r>
          </w:p>
        </w:tc>
        <w:tc>
          <w:tcPr>
            <w:tcW w:w="2010" w:type="dxa"/>
            <w:tcBorders>
              <w:top w:val="outset" w:sz="6" w:space="0" w:color="auto"/>
              <w:left w:val="outset" w:sz="6" w:space="0" w:color="auto"/>
              <w:bottom w:val="outset" w:sz="6" w:space="0" w:color="auto"/>
              <w:right w:val="outset" w:sz="6" w:space="0" w:color="auto"/>
            </w:tcBorders>
            <w:hideMark/>
          </w:tcPr>
          <w:p w14:paraId="3CC75C2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116,50</w:t>
            </w:r>
          </w:p>
        </w:tc>
        <w:tc>
          <w:tcPr>
            <w:tcW w:w="3285" w:type="dxa"/>
            <w:tcBorders>
              <w:top w:val="outset" w:sz="6" w:space="0" w:color="auto"/>
              <w:left w:val="outset" w:sz="6" w:space="0" w:color="auto"/>
              <w:bottom w:val="outset" w:sz="6" w:space="0" w:color="auto"/>
              <w:right w:val="outset" w:sz="6" w:space="0" w:color="auto"/>
            </w:tcBorders>
            <w:hideMark/>
          </w:tcPr>
          <w:p w14:paraId="4727E5D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18</w:t>
            </w:r>
          </w:p>
        </w:tc>
        <w:tc>
          <w:tcPr>
            <w:tcW w:w="3165" w:type="dxa"/>
            <w:tcBorders>
              <w:top w:val="outset" w:sz="6" w:space="0" w:color="auto"/>
              <w:left w:val="outset" w:sz="6" w:space="0" w:color="auto"/>
              <w:bottom w:val="outset" w:sz="6" w:space="0" w:color="auto"/>
              <w:right w:val="outset" w:sz="6" w:space="0" w:color="auto"/>
            </w:tcBorders>
            <w:hideMark/>
          </w:tcPr>
          <w:p w14:paraId="60A94B7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8,0 л</w:t>
            </w:r>
          </w:p>
        </w:tc>
        <w:tc>
          <w:tcPr>
            <w:tcW w:w="4650" w:type="dxa"/>
            <w:tcBorders>
              <w:top w:val="outset" w:sz="6" w:space="0" w:color="auto"/>
              <w:left w:val="outset" w:sz="6" w:space="0" w:color="auto"/>
              <w:bottom w:val="outset" w:sz="6" w:space="0" w:color="auto"/>
              <w:right w:val="outset" w:sz="6" w:space="0" w:color="auto"/>
            </w:tcBorders>
            <w:hideMark/>
          </w:tcPr>
          <w:p w14:paraId="59C1C0D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95 % дифосгена, 5% хлорпикрина</w:t>
            </w:r>
          </w:p>
        </w:tc>
      </w:tr>
      <w:tr w:rsidR="002B1C74" w:rsidRPr="002F2FDF" w14:paraId="67BB0016"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33A5170"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1F533C7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Два зеленых креста</w:t>
            </w:r>
          </w:p>
        </w:tc>
        <w:tc>
          <w:tcPr>
            <w:tcW w:w="2010" w:type="dxa"/>
            <w:tcBorders>
              <w:top w:val="outset" w:sz="6" w:space="0" w:color="auto"/>
              <w:left w:val="outset" w:sz="6" w:space="0" w:color="auto"/>
              <w:bottom w:val="outset" w:sz="6" w:space="0" w:color="auto"/>
              <w:right w:val="outset" w:sz="6" w:space="0" w:color="auto"/>
            </w:tcBorders>
            <w:hideMark/>
          </w:tcPr>
          <w:p w14:paraId="57443231"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116,50</w:t>
            </w:r>
          </w:p>
        </w:tc>
        <w:tc>
          <w:tcPr>
            <w:tcW w:w="3285" w:type="dxa"/>
            <w:tcBorders>
              <w:top w:val="outset" w:sz="6" w:space="0" w:color="auto"/>
              <w:left w:val="outset" w:sz="6" w:space="0" w:color="auto"/>
              <w:bottom w:val="outset" w:sz="6" w:space="0" w:color="auto"/>
              <w:right w:val="outset" w:sz="6" w:space="0" w:color="auto"/>
            </w:tcBorders>
            <w:hideMark/>
          </w:tcPr>
          <w:p w14:paraId="6E46772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18</w:t>
            </w:r>
          </w:p>
        </w:tc>
        <w:tc>
          <w:tcPr>
            <w:tcW w:w="3165" w:type="dxa"/>
            <w:tcBorders>
              <w:top w:val="outset" w:sz="6" w:space="0" w:color="auto"/>
              <w:left w:val="outset" w:sz="6" w:space="0" w:color="auto"/>
              <w:bottom w:val="outset" w:sz="6" w:space="0" w:color="auto"/>
              <w:right w:val="outset" w:sz="6" w:space="0" w:color="auto"/>
            </w:tcBorders>
            <w:hideMark/>
          </w:tcPr>
          <w:p w14:paraId="205564CA"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8,0 л</w:t>
            </w:r>
          </w:p>
        </w:tc>
        <w:tc>
          <w:tcPr>
            <w:tcW w:w="4650" w:type="dxa"/>
            <w:tcBorders>
              <w:top w:val="outset" w:sz="6" w:space="0" w:color="auto"/>
              <w:left w:val="outset" w:sz="6" w:space="0" w:color="auto"/>
              <w:bottom w:val="outset" w:sz="6" w:space="0" w:color="auto"/>
              <w:right w:val="outset" w:sz="6" w:space="0" w:color="auto"/>
            </w:tcBorders>
            <w:hideMark/>
          </w:tcPr>
          <w:p w14:paraId="0708629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60 % фосгена, 28 % дифосгена, 12 % дифенилхлорарсина — 0,878 кг тротила.</w:t>
            </w:r>
          </w:p>
        </w:tc>
      </w:tr>
      <w:tr w:rsidR="002B1C74" w:rsidRPr="002F2FDF" w14:paraId="18401DF8"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BFF45E7"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5B2976B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зеленый крест (позднейшего периода, в сущности «желтый</w:t>
            </w:r>
          </w:p>
          <w:p w14:paraId="60BB8B5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крест»)</w:t>
            </w:r>
          </w:p>
        </w:tc>
        <w:tc>
          <w:tcPr>
            <w:tcW w:w="2010" w:type="dxa"/>
            <w:tcBorders>
              <w:top w:val="outset" w:sz="6" w:space="0" w:color="auto"/>
              <w:left w:val="outset" w:sz="6" w:space="0" w:color="auto"/>
              <w:bottom w:val="outset" w:sz="6" w:space="0" w:color="auto"/>
              <w:right w:val="outset" w:sz="6" w:space="0" w:color="auto"/>
            </w:tcBorders>
            <w:hideMark/>
          </w:tcPr>
          <w:p w14:paraId="15DC778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45E2F68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2F18432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50D50C2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37 % этилдихлорарсина, 45 % этилдибромарсина, 18 % окиси дихлорметила</w:t>
            </w:r>
          </w:p>
        </w:tc>
      </w:tr>
      <w:tr w:rsidR="002B1C74" w:rsidRPr="002F2FDF" w14:paraId="6FD080ED"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ECA78D9"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688B212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желтый крест</w:t>
            </w:r>
          </w:p>
        </w:tc>
        <w:tc>
          <w:tcPr>
            <w:tcW w:w="2010" w:type="dxa"/>
            <w:tcBorders>
              <w:top w:val="outset" w:sz="6" w:space="0" w:color="auto"/>
              <w:left w:val="outset" w:sz="6" w:space="0" w:color="auto"/>
              <w:bottom w:val="outset" w:sz="6" w:space="0" w:color="auto"/>
              <w:right w:val="outset" w:sz="6" w:space="0" w:color="auto"/>
            </w:tcBorders>
            <w:hideMark/>
          </w:tcPr>
          <w:p w14:paraId="3C83CCFB"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116,50</w:t>
            </w:r>
          </w:p>
        </w:tc>
        <w:tc>
          <w:tcPr>
            <w:tcW w:w="3285" w:type="dxa"/>
            <w:tcBorders>
              <w:top w:val="outset" w:sz="6" w:space="0" w:color="auto"/>
              <w:left w:val="outset" w:sz="6" w:space="0" w:color="auto"/>
              <w:bottom w:val="outset" w:sz="6" w:space="0" w:color="auto"/>
              <w:right w:val="outset" w:sz="6" w:space="0" w:color="auto"/>
            </w:tcBorders>
            <w:hideMark/>
          </w:tcPr>
          <w:p w14:paraId="275B7DAB"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18</w:t>
            </w:r>
          </w:p>
        </w:tc>
        <w:tc>
          <w:tcPr>
            <w:tcW w:w="3165" w:type="dxa"/>
            <w:tcBorders>
              <w:top w:val="outset" w:sz="6" w:space="0" w:color="auto"/>
              <w:left w:val="outset" w:sz="6" w:space="0" w:color="auto"/>
              <w:bottom w:val="outset" w:sz="6" w:space="0" w:color="auto"/>
              <w:right w:val="outset" w:sz="6" w:space="0" w:color="auto"/>
            </w:tcBorders>
            <w:hideMark/>
          </w:tcPr>
          <w:p w14:paraId="7BF0E3B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8,0 л</w:t>
            </w:r>
          </w:p>
        </w:tc>
        <w:tc>
          <w:tcPr>
            <w:tcW w:w="4650" w:type="dxa"/>
            <w:tcBorders>
              <w:top w:val="outset" w:sz="6" w:space="0" w:color="auto"/>
              <w:left w:val="outset" w:sz="6" w:space="0" w:color="auto"/>
              <w:bottom w:val="outset" w:sz="6" w:space="0" w:color="auto"/>
              <w:right w:val="outset" w:sz="6" w:space="0" w:color="auto"/>
            </w:tcBorders>
            <w:hideMark/>
          </w:tcPr>
          <w:p w14:paraId="635C87BE"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75 % дихлордиэтилсульфида, 15 % хлорбензола, 5 % окиси дихлорметила, 5 % трехокиси метилена</w:t>
            </w:r>
          </w:p>
        </w:tc>
      </w:tr>
      <w:tr w:rsidR="002B1C74" w:rsidRPr="002F2FDF" w14:paraId="6FF3B95B"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CEEFC6F"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6756FD5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Один или два желтых креста</w:t>
            </w:r>
          </w:p>
        </w:tc>
        <w:tc>
          <w:tcPr>
            <w:tcW w:w="2010" w:type="dxa"/>
            <w:tcBorders>
              <w:top w:val="outset" w:sz="6" w:space="0" w:color="auto"/>
              <w:left w:val="outset" w:sz="6" w:space="0" w:color="auto"/>
              <w:bottom w:val="outset" w:sz="6" w:space="0" w:color="auto"/>
              <w:right w:val="outset" w:sz="6" w:space="0" w:color="auto"/>
            </w:tcBorders>
            <w:hideMark/>
          </w:tcPr>
          <w:p w14:paraId="0F43178E"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1BEB679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30F2173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5271B9DA"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2 % или 53 % этилдихлорарсина, 98 % или 47 % окиси дихлорметила</w:t>
            </w:r>
          </w:p>
        </w:tc>
      </w:tr>
    </w:tbl>
    <w:p w14:paraId="741ADE1A" w14:textId="03410E99"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 В 1917 г. немцами была выработана методика комбинированного огня снарядами «синего» и «зеленого креста». Снаряды «синего креста» поражают противника осколками и заставляют снять противогазы, снаряды «зеленого креста» отравляли бойцов, снявших маски. Зародилась новая тактика химической стрельбы, получившая красивое название</w:t>
      </w:r>
      <w:r w:rsidR="00E52569">
        <w:rPr>
          <w:color w:val="000000" w:themeColor="text1"/>
          <w:sz w:val="16"/>
          <w:szCs w:val="16"/>
        </w:rPr>
        <w:t xml:space="preserve"> </w:t>
      </w:r>
      <w:r w:rsidRPr="002F2FDF">
        <w:rPr>
          <w:color w:val="000000" w:themeColor="text1"/>
          <w:sz w:val="16"/>
          <w:szCs w:val="16"/>
        </w:rPr>
        <w:t>«стрельбы разноцветным крестом». Была разработана рецептура для снаряжения артхимснарядов, состоящая из смеси дифосгена с дифенилхлорарсином. Она известна под названиями</w:t>
      </w:r>
      <w:r w:rsidR="00E52569">
        <w:rPr>
          <w:color w:val="000000" w:themeColor="text1"/>
          <w:sz w:val="16"/>
          <w:szCs w:val="16"/>
        </w:rPr>
        <w:t xml:space="preserve"> </w:t>
      </w:r>
      <w:r w:rsidRPr="002F2FDF">
        <w:rPr>
          <w:color w:val="000000" w:themeColor="text1"/>
          <w:sz w:val="16"/>
          <w:szCs w:val="16"/>
        </w:rPr>
        <w:t>«разноцветный крест»</w:t>
      </w:r>
      <w:r w:rsidR="00E52569">
        <w:rPr>
          <w:color w:val="000000" w:themeColor="text1"/>
          <w:sz w:val="16"/>
          <w:szCs w:val="16"/>
        </w:rPr>
        <w:t xml:space="preserve"> </w:t>
      </w:r>
      <w:r w:rsidRPr="002F2FDF">
        <w:rPr>
          <w:color w:val="000000" w:themeColor="text1"/>
          <w:sz w:val="16"/>
          <w:szCs w:val="16"/>
        </w:rPr>
        <w:t>или</w:t>
      </w:r>
      <w:r w:rsidR="00E52569">
        <w:rPr>
          <w:color w:val="000000" w:themeColor="text1"/>
          <w:sz w:val="16"/>
          <w:szCs w:val="16"/>
        </w:rPr>
        <w:t xml:space="preserve"> </w:t>
      </w:r>
      <w:r w:rsidRPr="002F2FDF">
        <w:rPr>
          <w:color w:val="000000" w:themeColor="text1"/>
          <w:sz w:val="16"/>
          <w:szCs w:val="16"/>
        </w:rPr>
        <w:t>«зеленый крест 2». Когда на вооружении германской армии появились снаряды с ипритом (июль 1917 г.), их маркировали</w:t>
      </w:r>
      <w:r w:rsidR="00E52569">
        <w:rPr>
          <w:color w:val="000000" w:themeColor="text1"/>
          <w:sz w:val="16"/>
          <w:szCs w:val="16"/>
        </w:rPr>
        <w:t xml:space="preserve"> </w:t>
      </w:r>
      <w:r w:rsidRPr="002F2FDF">
        <w:rPr>
          <w:color w:val="000000" w:themeColor="text1"/>
          <w:sz w:val="16"/>
          <w:szCs w:val="16"/>
        </w:rPr>
        <w:t>«желтым крестом». Эти снаряды были двух типов — осколочно-химические с мощным зарядом взрывчатого вещества, маскировавшим их химическое действие. Предназначались для поражения людей «туманом ОВ» и осколками. И со слабым зарядом — для заражения местности.</w:t>
      </w:r>
    </w:p>
    <w:p w14:paraId="45C78A0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Германские химические минометные и газометные мины</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6432"/>
        <w:gridCol w:w="4890"/>
      </w:tblGrid>
      <w:tr w:rsidR="002B1C74" w:rsidRPr="002F2FDF" w14:paraId="666A867C" w14:textId="77777777" w:rsidTr="00920A70">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1305F3E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Мины первоначального периода</w:t>
            </w:r>
          </w:p>
        </w:tc>
      </w:tr>
      <w:tr w:rsidR="002B1C74" w:rsidRPr="002F2FDF" w14:paraId="60513D1C"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1FB62B4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Мины «В» (I желтое кольцо на головке)</w:t>
            </w:r>
          </w:p>
        </w:tc>
        <w:tc>
          <w:tcPr>
            <w:tcW w:w="8505" w:type="dxa"/>
            <w:tcBorders>
              <w:top w:val="outset" w:sz="6" w:space="0" w:color="auto"/>
              <w:left w:val="outset" w:sz="6" w:space="0" w:color="auto"/>
              <w:bottom w:val="outset" w:sz="6" w:space="0" w:color="auto"/>
              <w:right w:val="outset" w:sz="6" w:space="0" w:color="auto"/>
            </w:tcBorders>
            <w:hideMark/>
          </w:tcPr>
          <w:p w14:paraId="2AA6E94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бромацетон</w:t>
            </w:r>
          </w:p>
        </w:tc>
      </w:tr>
      <w:tr w:rsidR="002B1C74" w:rsidRPr="002F2FDF" w14:paraId="08279533"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27A24AF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Мины «С» (2 желтых кольца)</w:t>
            </w:r>
          </w:p>
        </w:tc>
        <w:tc>
          <w:tcPr>
            <w:tcW w:w="8505" w:type="dxa"/>
            <w:tcBorders>
              <w:top w:val="outset" w:sz="6" w:space="0" w:color="auto"/>
              <w:left w:val="outset" w:sz="6" w:space="0" w:color="auto"/>
              <w:bottom w:val="outset" w:sz="6" w:space="0" w:color="auto"/>
              <w:right w:val="outset" w:sz="6" w:space="0" w:color="auto"/>
            </w:tcBorders>
            <w:hideMark/>
          </w:tcPr>
          <w:p w14:paraId="1822BFD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монохлорметиловый эфир хлоромуравьиной кислоты</w:t>
            </w:r>
          </w:p>
        </w:tc>
      </w:tr>
      <w:tr w:rsidR="002B1C74" w:rsidRPr="002F2FDF" w14:paraId="5589D05E"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71936811"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(без клейма)</w:t>
            </w:r>
          </w:p>
        </w:tc>
        <w:tc>
          <w:tcPr>
            <w:tcW w:w="8505" w:type="dxa"/>
            <w:tcBorders>
              <w:top w:val="outset" w:sz="6" w:space="0" w:color="auto"/>
              <w:left w:val="outset" w:sz="6" w:space="0" w:color="auto"/>
              <w:bottom w:val="outset" w:sz="6" w:space="0" w:color="auto"/>
              <w:right w:val="outset" w:sz="6" w:space="0" w:color="auto"/>
            </w:tcBorders>
            <w:hideMark/>
          </w:tcPr>
          <w:p w14:paraId="3F0C4A4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бромметилэтилкетон</w:t>
            </w:r>
          </w:p>
        </w:tc>
      </w:tr>
      <w:tr w:rsidR="002B1C74" w:rsidRPr="002F2FDF" w14:paraId="0E0B5E20" w14:textId="77777777" w:rsidTr="00920A70">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230B92C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Мины калибра 7,6 см (легкие химические мины с зарядом до 0,8 кг)</w:t>
            </w:r>
          </w:p>
        </w:tc>
      </w:tr>
      <w:tr w:rsidR="002B1C74" w:rsidRPr="002F2FDF" w14:paraId="1309C0DF"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6526A61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Мины «В» (1 желтое кольцо)</w:t>
            </w:r>
          </w:p>
        </w:tc>
        <w:tc>
          <w:tcPr>
            <w:tcW w:w="8505" w:type="dxa"/>
            <w:tcBorders>
              <w:top w:val="outset" w:sz="6" w:space="0" w:color="auto"/>
              <w:left w:val="outset" w:sz="6" w:space="0" w:color="auto"/>
              <w:bottom w:val="outset" w:sz="6" w:space="0" w:color="auto"/>
              <w:right w:val="outset" w:sz="6" w:space="0" w:color="auto"/>
            </w:tcBorders>
            <w:hideMark/>
          </w:tcPr>
          <w:p w14:paraId="16BE067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540 куб. см = 750 г бромистых ксилила и ксилилена</w:t>
            </w:r>
          </w:p>
        </w:tc>
      </w:tr>
      <w:tr w:rsidR="002B1C74" w:rsidRPr="002F2FDF" w14:paraId="623F4BDB"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7838D7BE"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Мины «С» (2 желтых кольца)</w:t>
            </w:r>
          </w:p>
        </w:tc>
        <w:tc>
          <w:tcPr>
            <w:tcW w:w="8505" w:type="dxa"/>
            <w:tcBorders>
              <w:top w:val="outset" w:sz="6" w:space="0" w:color="auto"/>
              <w:left w:val="outset" w:sz="6" w:space="0" w:color="auto"/>
              <w:bottom w:val="outset" w:sz="6" w:space="0" w:color="auto"/>
              <w:right w:val="outset" w:sz="6" w:space="0" w:color="auto"/>
            </w:tcBorders>
            <w:hideMark/>
          </w:tcPr>
          <w:p w14:paraId="37B97EB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540 куб. см монохлорметилового эфира хлоромуравьиной кислоты</w:t>
            </w:r>
          </w:p>
        </w:tc>
      </w:tr>
      <w:tr w:rsidR="002B1C74" w:rsidRPr="002F2FDF" w14:paraId="6F683525"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314E09CB"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Мины «D» (3 желтых кольца)</w:t>
            </w:r>
          </w:p>
        </w:tc>
        <w:tc>
          <w:tcPr>
            <w:tcW w:w="8505" w:type="dxa"/>
            <w:tcBorders>
              <w:top w:val="outset" w:sz="6" w:space="0" w:color="auto"/>
              <w:left w:val="outset" w:sz="6" w:space="0" w:color="auto"/>
              <w:bottom w:val="outset" w:sz="6" w:space="0" w:color="auto"/>
              <w:right w:val="outset" w:sz="6" w:space="0" w:color="auto"/>
            </w:tcBorders>
            <w:hideMark/>
          </w:tcPr>
          <w:p w14:paraId="19DA868B"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700 куб. см дифосгена или фосгена</w:t>
            </w:r>
          </w:p>
        </w:tc>
      </w:tr>
      <w:tr w:rsidR="002B1C74" w:rsidRPr="002F2FDF" w14:paraId="234035A8" w14:textId="77777777" w:rsidTr="00920A70">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0BCBC48E"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Мины калибра 17,0 см (средние химические мины с зарядом около 10 кг)</w:t>
            </w:r>
          </w:p>
        </w:tc>
      </w:tr>
      <w:tr w:rsidR="002B1C74" w:rsidRPr="002F2FDF" w14:paraId="579E38D4"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71573F1A"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Мины «В» (1 белое кольцо)</w:t>
            </w:r>
          </w:p>
        </w:tc>
        <w:tc>
          <w:tcPr>
            <w:tcW w:w="8505" w:type="dxa"/>
            <w:tcBorders>
              <w:top w:val="outset" w:sz="6" w:space="0" w:color="auto"/>
              <w:left w:val="outset" w:sz="6" w:space="0" w:color="auto"/>
              <w:bottom w:val="outset" w:sz="6" w:space="0" w:color="auto"/>
              <w:right w:val="outset" w:sz="6" w:space="0" w:color="auto"/>
            </w:tcBorders>
            <w:hideMark/>
          </w:tcPr>
          <w:p w14:paraId="3B1CB6D1"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11500 г бромметилэтилкетона</w:t>
            </w:r>
          </w:p>
        </w:tc>
      </w:tr>
      <w:tr w:rsidR="002B1C74" w:rsidRPr="002F2FDF" w14:paraId="4912FEAE"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6BF7131A"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Мины «С» (2 белых кольца)</w:t>
            </w:r>
          </w:p>
        </w:tc>
        <w:tc>
          <w:tcPr>
            <w:tcW w:w="8505" w:type="dxa"/>
            <w:tcBorders>
              <w:top w:val="outset" w:sz="6" w:space="0" w:color="auto"/>
              <w:left w:val="outset" w:sz="6" w:space="0" w:color="auto"/>
              <w:bottom w:val="outset" w:sz="6" w:space="0" w:color="auto"/>
              <w:right w:val="outset" w:sz="6" w:space="0" w:color="auto"/>
            </w:tcBorders>
            <w:hideMark/>
          </w:tcPr>
          <w:p w14:paraId="00A4B07B"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монохлорметиловый эфир хлоромуравьиной кислоты или сернокислый хлорметил</w:t>
            </w:r>
          </w:p>
        </w:tc>
      </w:tr>
      <w:tr w:rsidR="002B1C74" w:rsidRPr="002F2FDF" w14:paraId="35BDF60C"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78C1223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Мины «D» (3 белых кольца)</w:t>
            </w:r>
          </w:p>
        </w:tc>
        <w:tc>
          <w:tcPr>
            <w:tcW w:w="8505" w:type="dxa"/>
            <w:tcBorders>
              <w:top w:val="outset" w:sz="6" w:space="0" w:color="auto"/>
              <w:left w:val="outset" w:sz="6" w:space="0" w:color="auto"/>
              <w:bottom w:val="outset" w:sz="6" w:space="0" w:color="auto"/>
              <w:right w:val="outset" w:sz="6" w:space="0" w:color="auto"/>
            </w:tcBorders>
            <w:hideMark/>
          </w:tcPr>
          <w:p w14:paraId="244993F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8500 куб. см. дифосгена или фосгена</w:t>
            </w:r>
          </w:p>
        </w:tc>
      </w:tr>
      <w:tr w:rsidR="002B1C74" w:rsidRPr="002F2FDF" w14:paraId="64644DF3"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5394EE3E"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Мины с желтым крестом (2 желтых креста)</w:t>
            </w:r>
          </w:p>
        </w:tc>
        <w:tc>
          <w:tcPr>
            <w:tcW w:w="8505" w:type="dxa"/>
            <w:tcBorders>
              <w:top w:val="outset" w:sz="6" w:space="0" w:color="auto"/>
              <w:left w:val="outset" w:sz="6" w:space="0" w:color="auto"/>
              <w:bottom w:val="outset" w:sz="6" w:space="0" w:color="auto"/>
              <w:right w:val="outset" w:sz="6" w:space="0" w:color="auto"/>
            </w:tcBorders>
            <w:hideMark/>
          </w:tcPr>
          <w:p w14:paraId="1384B01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83% дихлордиэтилсульфида, 12% хлорбензола, дымообразующее вещество (красный фосфор, парафин и арсен). Общий вес химического заряда — 10700 г.</w:t>
            </w:r>
          </w:p>
        </w:tc>
      </w:tr>
      <w:tr w:rsidR="002B1C74" w:rsidRPr="002F2FDF" w14:paraId="1E05B8C9"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770F5D2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lastRenderedPageBreak/>
              <w:t>Мины «G» (июль 1918) (белое «G»)</w:t>
            </w:r>
          </w:p>
        </w:tc>
        <w:tc>
          <w:tcPr>
            <w:tcW w:w="8505" w:type="dxa"/>
            <w:tcBorders>
              <w:top w:val="outset" w:sz="6" w:space="0" w:color="auto"/>
              <w:left w:val="outset" w:sz="6" w:space="0" w:color="auto"/>
              <w:bottom w:val="outset" w:sz="6" w:space="0" w:color="auto"/>
              <w:right w:val="outset" w:sz="6" w:space="0" w:color="auto"/>
            </w:tcBorders>
            <w:hideMark/>
          </w:tcPr>
          <w:p w14:paraId="2376C23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57,5 % фосгена, 41,5 % дифосгена, хлорпикрин. Общий вес — 12500 г.</w:t>
            </w:r>
          </w:p>
        </w:tc>
      </w:tr>
      <w:tr w:rsidR="002B1C74" w:rsidRPr="002F2FDF" w14:paraId="69912BE6" w14:textId="77777777" w:rsidTr="00920A70">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5C8EB3B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Мины калибра 26 см (тяжелые химические мины с зарядом около 20 кг)</w:t>
            </w:r>
          </w:p>
        </w:tc>
      </w:tr>
      <w:tr w:rsidR="002B1C74" w:rsidRPr="002F2FDF" w14:paraId="3E0E13C5"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014E0E2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Мины «В»</w:t>
            </w:r>
          </w:p>
        </w:tc>
        <w:tc>
          <w:tcPr>
            <w:tcW w:w="8505" w:type="dxa"/>
            <w:tcBorders>
              <w:top w:val="outset" w:sz="6" w:space="0" w:color="auto"/>
              <w:left w:val="outset" w:sz="6" w:space="0" w:color="auto"/>
              <w:bottom w:val="outset" w:sz="6" w:space="0" w:color="auto"/>
              <w:right w:val="outset" w:sz="6" w:space="0" w:color="auto"/>
            </w:tcBorders>
            <w:hideMark/>
          </w:tcPr>
          <w:p w14:paraId="2A81510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около 20 кг бромацетона</w:t>
            </w:r>
          </w:p>
        </w:tc>
      </w:tr>
      <w:tr w:rsidR="002B1C74" w:rsidRPr="002F2FDF" w14:paraId="3E835E85"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3D19419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Мины «С»</w:t>
            </w:r>
          </w:p>
        </w:tc>
        <w:tc>
          <w:tcPr>
            <w:tcW w:w="8505" w:type="dxa"/>
            <w:tcBorders>
              <w:top w:val="outset" w:sz="6" w:space="0" w:color="auto"/>
              <w:left w:val="outset" w:sz="6" w:space="0" w:color="auto"/>
              <w:bottom w:val="outset" w:sz="6" w:space="0" w:color="auto"/>
              <w:right w:val="outset" w:sz="6" w:space="0" w:color="auto"/>
            </w:tcBorders>
            <w:hideMark/>
          </w:tcPr>
          <w:p w14:paraId="0CF56DD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около 20 кг монохлорметилового эфира хлоромуравьиной кислоты</w:t>
            </w:r>
          </w:p>
        </w:tc>
      </w:tr>
      <w:tr w:rsidR="002B1C74" w:rsidRPr="002F2FDF" w14:paraId="046A8669" w14:textId="77777777" w:rsidTr="00920A70">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50CDDB7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Газометные мины калибра 18 см.</w:t>
            </w:r>
          </w:p>
        </w:tc>
      </w:tr>
      <w:tr w:rsidR="002B1C74" w:rsidRPr="002F2FDF" w14:paraId="19D45A7A"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05B31382"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Синий крест</w:t>
            </w:r>
          </w:p>
        </w:tc>
        <w:tc>
          <w:tcPr>
            <w:tcW w:w="8505" w:type="dxa"/>
            <w:tcBorders>
              <w:top w:val="outset" w:sz="6" w:space="0" w:color="auto"/>
              <w:left w:val="outset" w:sz="6" w:space="0" w:color="auto"/>
              <w:bottom w:val="outset" w:sz="6" w:space="0" w:color="auto"/>
              <w:right w:val="outset" w:sz="6" w:space="0" w:color="auto"/>
            </w:tcBorders>
            <w:hideMark/>
          </w:tcPr>
          <w:p w14:paraId="42001FE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48 % дифенилхлорарсина, 51 % гексанитродифениламина. Общий вес — 5,240 г.</w:t>
            </w:r>
          </w:p>
        </w:tc>
      </w:tr>
      <w:tr w:rsidR="002B1C74" w:rsidRPr="002F2FDF" w14:paraId="0113DCD7"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029FBC5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Без клейма</w:t>
            </w:r>
          </w:p>
        </w:tc>
        <w:tc>
          <w:tcPr>
            <w:tcW w:w="8505" w:type="dxa"/>
            <w:tcBorders>
              <w:top w:val="outset" w:sz="6" w:space="0" w:color="auto"/>
              <w:left w:val="outset" w:sz="6" w:space="0" w:color="auto"/>
              <w:bottom w:val="outset" w:sz="6" w:space="0" w:color="auto"/>
              <w:right w:val="outset" w:sz="6" w:space="0" w:color="auto"/>
            </w:tcBorders>
            <w:hideMark/>
          </w:tcPr>
          <w:p w14:paraId="4508E3B1"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фосген или 62 % фосгена, 34 % дифосгена, 2 % хлоромуравьинокислого дихлорметила</w:t>
            </w:r>
          </w:p>
        </w:tc>
      </w:tr>
      <w:tr w:rsidR="002B1C74" w:rsidRPr="002F2FDF" w14:paraId="4C73F421" w14:textId="77777777" w:rsidTr="00920A70">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720BDEE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Газометные мины калибра 25 см</w:t>
            </w:r>
          </w:p>
        </w:tc>
      </w:tr>
      <w:tr w:rsidR="002B1C74" w:rsidRPr="002F2FDF" w14:paraId="14CA67AB"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176966B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Без клейма</w:t>
            </w:r>
          </w:p>
        </w:tc>
        <w:tc>
          <w:tcPr>
            <w:tcW w:w="8505" w:type="dxa"/>
            <w:tcBorders>
              <w:top w:val="outset" w:sz="6" w:space="0" w:color="auto"/>
              <w:left w:val="outset" w:sz="6" w:space="0" w:color="auto"/>
              <w:bottom w:val="outset" w:sz="6" w:space="0" w:color="auto"/>
              <w:right w:val="outset" w:sz="6" w:space="0" w:color="auto"/>
            </w:tcBorders>
            <w:hideMark/>
          </w:tcPr>
          <w:p w14:paraId="4195397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фосген и дымовой цилиндр</w:t>
            </w:r>
          </w:p>
        </w:tc>
      </w:tr>
    </w:tbl>
    <w:p w14:paraId="33F7D201" w14:textId="47567760" w:rsidR="00B40BBD"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r w:rsidR="00B40BBD" w:rsidRPr="002F2FDF">
        <w:rPr>
          <w:color w:val="000000" w:themeColor="text1"/>
          <w:sz w:val="16"/>
          <w:szCs w:val="16"/>
        </w:rPr>
        <w:t>Германские химические ручные гранаты</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6168"/>
        <w:gridCol w:w="2314"/>
        <w:gridCol w:w="2840"/>
      </w:tblGrid>
      <w:tr w:rsidR="002B1C74" w:rsidRPr="002F2FDF" w14:paraId="67A05D2D"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454043C2"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Образец</w:t>
            </w:r>
          </w:p>
        </w:tc>
        <w:tc>
          <w:tcPr>
            <w:tcW w:w="4560" w:type="dxa"/>
            <w:tcBorders>
              <w:top w:val="outset" w:sz="6" w:space="0" w:color="auto"/>
              <w:left w:val="outset" w:sz="6" w:space="0" w:color="auto"/>
              <w:bottom w:val="outset" w:sz="6" w:space="0" w:color="auto"/>
              <w:right w:val="outset" w:sz="6" w:space="0" w:color="auto"/>
            </w:tcBorders>
            <w:hideMark/>
          </w:tcPr>
          <w:p w14:paraId="4D7449A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Клеймо</w:t>
            </w:r>
          </w:p>
        </w:tc>
        <w:tc>
          <w:tcPr>
            <w:tcW w:w="4560" w:type="dxa"/>
            <w:tcBorders>
              <w:top w:val="outset" w:sz="6" w:space="0" w:color="auto"/>
              <w:left w:val="outset" w:sz="6" w:space="0" w:color="auto"/>
              <w:bottom w:val="outset" w:sz="6" w:space="0" w:color="auto"/>
              <w:right w:val="outset" w:sz="6" w:space="0" w:color="auto"/>
            </w:tcBorders>
            <w:hideMark/>
          </w:tcPr>
          <w:p w14:paraId="013BA11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Химический заряд</w:t>
            </w:r>
          </w:p>
        </w:tc>
      </w:tr>
      <w:tr w:rsidR="002B1C74" w:rsidRPr="002F2FDF" w14:paraId="7DED818E"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0E23756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Круглая граната</w:t>
            </w:r>
          </w:p>
        </w:tc>
        <w:tc>
          <w:tcPr>
            <w:tcW w:w="4560" w:type="dxa"/>
            <w:tcBorders>
              <w:top w:val="outset" w:sz="6" w:space="0" w:color="auto"/>
              <w:left w:val="outset" w:sz="6" w:space="0" w:color="auto"/>
              <w:bottom w:val="outset" w:sz="6" w:space="0" w:color="auto"/>
              <w:right w:val="outset" w:sz="6" w:space="0" w:color="auto"/>
            </w:tcBorders>
            <w:hideMark/>
          </w:tcPr>
          <w:p w14:paraId="015C68A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Красное «В»</w:t>
            </w:r>
          </w:p>
        </w:tc>
        <w:tc>
          <w:tcPr>
            <w:tcW w:w="4560" w:type="dxa"/>
            <w:tcBorders>
              <w:top w:val="outset" w:sz="6" w:space="0" w:color="auto"/>
              <w:left w:val="outset" w:sz="6" w:space="0" w:color="auto"/>
              <w:bottom w:val="outset" w:sz="6" w:space="0" w:color="auto"/>
              <w:right w:val="outset" w:sz="6" w:space="0" w:color="auto"/>
            </w:tcBorders>
            <w:hideMark/>
          </w:tcPr>
          <w:p w14:paraId="5127C641"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Бромметилэтилкетон</w:t>
            </w:r>
          </w:p>
        </w:tc>
      </w:tr>
      <w:tr w:rsidR="002B1C74" w:rsidRPr="002F2FDF" w14:paraId="56A68821"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1B901701"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Круглая граната</w:t>
            </w:r>
          </w:p>
        </w:tc>
        <w:tc>
          <w:tcPr>
            <w:tcW w:w="4560" w:type="dxa"/>
            <w:tcBorders>
              <w:top w:val="outset" w:sz="6" w:space="0" w:color="auto"/>
              <w:left w:val="outset" w:sz="6" w:space="0" w:color="auto"/>
              <w:bottom w:val="outset" w:sz="6" w:space="0" w:color="auto"/>
              <w:right w:val="outset" w:sz="6" w:space="0" w:color="auto"/>
            </w:tcBorders>
            <w:hideMark/>
          </w:tcPr>
          <w:p w14:paraId="01CF42EE"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Красное «С»</w:t>
            </w:r>
          </w:p>
        </w:tc>
        <w:tc>
          <w:tcPr>
            <w:tcW w:w="4560" w:type="dxa"/>
            <w:tcBorders>
              <w:top w:val="outset" w:sz="6" w:space="0" w:color="auto"/>
              <w:left w:val="outset" w:sz="6" w:space="0" w:color="auto"/>
              <w:bottom w:val="outset" w:sz="6" w:space="0" w:color="auto"/>
              <w:right w:val="outset" w:sz="6" w:space="0" w:color="auto"/>
            </w:tcBorders>
            <w:hideMark/>
          </w:tcPr>
          <w:p w14:paraId="0747557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Сернокислый хлорметил с 5 % сернокислого диметила</w:t>
            </w:r>
          </w:p>
        </w:tc>
      </w:tr>
      <w:tr w:rsidR="002B1C74" w:rsidRPr="002F2FDF" w14:paraId="59AE3ACB"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4DC138EA"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Граната с ручкой</w:t>
            </w:r>
          </w:p>
        </w:tc>
        <w:tc>
          <w:tcPr>
            <w:tcW w:w="4560" w:type="dxa"/>
            <w:tcBorders>
              <w:top w:val="outset" w:sz="6" w:space="0" w:color="auto"/>
              <w:left w:val="outset" w:sz="6" w:space="0" w:color="auto"/>
              <w:bottom w:val="outset" w:sz="6" w:space="0" w:color="auto"/>
              <w:right w:val="outset" w:sz="6" w:space="0" w:color="auto"/>
            </w:tcBorders>
            <w:hideMark/>
          </w:tcPr>
          <w:p w14:paraId="08B138E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Синее «С»</w:t>
            </w:r>
          </w:p>
        </w:tc>
        <w:tc>
          <w:tcPr>
            <w:tcW w:w="4560" w:type="dxa"/>
            <w:tcBorders>
              <w:top w:val="outset" w:sz="6" w:space="0" w:color="auto"/>
              <w:left w:val="outset" w:sz="6" w:space="0" w:color="auto"/>
              <w:bottom w:val="outset" w:sz="6" w:space="0" w:color="auto"/>
              <w:right w:val="outset" w:sz="6" w:space="0" w:color="auto"/>
            </w:tcBorders>
            <w:hideMark/>
          </w:tcPr>
          <w:p w14:paraId="11E001B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Дифенилхлорарсин с равным количеством взрывчатого вещества</w:t>
            </w:r>
          </w:p>
        </w:tc>
      </w:tr>
      <w:tr w:rsidR="002B1C74" w:rsidRPr="002F2FDF" w14:paraId="39014CC8" w14:textId="77777777" w:rsidTr="00920A70">
        <w:trPr>
          <w:tblCellSpacing w:w="15" w:type="dxa"/>
        </w:trPr>
        <w:tc>
          <w:tcPr>
            <w:tcW w:w="0" w:type="auto"/>
            <w:gridSpan w:val="3"/>
            <w:tcBorders>
              <w:top w:val="outset" w:sz="6" w:space="0" w:color="auto"/>
              <w:left w:val="outset" w:sz="6" w:space="0" w:color="auto"/>
              <w:bottom w:val="outset" w:sz="6" w:space="0" w:color="auto"/>
              <w:right w:val="outset" w:sz="6" w:space="0" w:color="auto"/>
            </w:tcBorders>
            <w:hideMark/>
          </w:tcPr>
          <w:p w14:paraId="0C1266E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Кроме того, в первое время применялись ручные гранаты с бромацетоном, сначала стеклянные шары, затем сферические ручные гранаты. Далее, применялись дымовые ручные гранаты с хлорсульфоновой кислотой</w:t>
            </w:r>
          </w:p>
        </w:tc>
      </w:tr>
    </w:tbl>
    <w:p w14:paraId="01EB7159" w14:textId="2051BD8D" w:rsidR="00B40BBD"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r w:rsidR="00B40BBD" w:rsidRPr="002F2FDF">
        <w:rPr>
          <w:color w:val="000000" w:themeColor="text1"/>
          <w:sz w:val="16"/>
          <w:szCs w:val="16"/>
        </w:rPr>
        <w:t>Австро-венгерские химические снаряды</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730"/>
        <w:gridCol w:w="1715"/>
        <w:gridCol w:w="1931"/>
        <w:gridCol w:w="1946"/>
      </w:tblGrid>
      <w:tr w:rsidR="002B1C74" w:rsidRPr="002F2FDF" w14:paraId="606A4F54"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40680AE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Калибр</w:t>
            </w:r>
          </w:p>
        </w:tc>
        <w:tc>
          <w:tcPr>
            <w:tcW w:w="3420" w:type="dxa"/>
            <w:tcBorders>
              <w:top w:val="outset" w:sz="6" w:space="0" w:color="auto"/>
              <w:left w:val="outset" w:sz="6" w:space="0" w:color="auto"/>
              <w:bottom w:val="outset" w:sz="6" w:space="0" w:color="auto"/>
              <w:right w:val="outset" w:sz="6" w:space="0" w:color="auto"/>
            </w:tcBorders>
            <w:hideMark/>
          </w:tcPr>
          <w:p w14:paraId="7276C96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Клеймо</w:t>
            </w:r>
          </w:p>
        </w:tc>
        <w:tc>
          <w:tcPr>
            <w:tcW w:w="3420" w:type="dxa"/>
            <w:tcBorders>
              <w:top w:val="outset" w:sz="6" w:space="0" w:color="auto"/>
              <w:left w:val="outset" w:sz="6" w:space="0" w:color="auto"/>
              <w:bottom w:val="outset" w:sz="6" w:space="0" w:color="auto"/>
              <w:right w:val="outset" w:sz="6" w:space="0" w:color="auto"/>
            </w:tcBorders>
            <w:hideMark/>
          </w:tcPr>
          <w:p w14:paraId="521A9ACA"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Объем или вес химического заряда</w:t>
            </w:r>
          </w:p>
        </w:tc>
        <w:tc>
          <w:tcPr>
            <w:tcW w:w="3420" w:type="dxa"/>
            <w:tcBorders>
              <w:top w:val="outset" w:sz="6" w:space="0" w:color="auto"/>
              <w:left w:val="outset" w:sz="6" w:space="0" w:color="auto"/>
              <w:bottom w:val="outset" w:sz="6" w:space="0" w:color="auto"/>
              <w:right w:val="outset" w:sz="6" w:space="0" w:color="auto"/>
            </w:tcBorders>
            <w:hideMark/>
          </w:tcPr>
          <w:p w14:paraId="61B10DC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Состав химического заряда</w:t>
            </w:r>
          </w:p>
        </w:tc>
      </w:tr>
      <w:tr w:rsidR="002B1C74" w:rsidRPr="002F2FDF" w14:paraId="54FE7FB5"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697220A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8-см</w:t>
            </w:r>
          </w:p>
        </w:tc>
        <w:tc>
          <w:tcPr>
            <w:tcW w:w="3420" w:type="dxa"/>
            <w:tcBorders>
              <w:top w:val="outset" w:sz="6" w:space="0" w:color="auto"/>
              <w:left w:val="outset" w:sz="6" w:space="0" w:color="auto"/>
              <w:bottom w:val="outset" w:sz="6" w:space="0" w:color="auto"/>
              <w:right w:val="outset" w:sz="6" w:space="0" w:color="auto"/>
            </w:tcBorders>
            <w:hideMark/>
          </w:tcPr>
          <w:p w14:paraId="5A5BB06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Се</w:t>
            </w:r>
          </w:p>
        </w:tc>
        <w:tc>
          <w:tcPr>
            <w:tcW w:w="3420" w:type="dxa"/>
            <w:tcBorders>
              <w:top w:val="outset" w:sz="6" w:space="0" w:color="auto"/>
              <w:left w:val="outset" w:sz="6" w:space="0" w:color="auto"/>
              <w:bottom w:val="outset" w:sz="6" w:space="0" w:color="auto"/>
              <w:right w:val="outset" w:sz="6" w:space="0" w:color="auto"/>
            </w:tcBorders>
            <w:hideMark/>
          </w:tcPr>
          <w:p w14:paraId="0A8A9A4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0,4 кг</w:t>
            </w:r>
          </w:p>
        </w:tc>
        <w:tc>
          <w:tcPr>
            <w:tcW w:w="3420" w:type="dxa"/>
            <w:tcBorders>
              <w:top w:val="outset" w:sz="6" w:space="0" w:color="auto"/>
              <w:left w:val="outset" w:sz="6" w:space="0" w:color="auto"/>
              <w:bottom w:val="outset" w:sz="6" w:space="0" w:color="auto"/>
              <w:right w:val="outset" w:sz="6" w:space="0" w:color="auto"/>
            </w:tcBorders>
            <w:hideMark/>
          </w:tcPr>
          <w:p w14:paraId="024CBD1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Бромциан</w:t>
            </w:r>
          </w:p>
        </w:tc>
      </w:tr>
      <w:tr w:rsidR="002B1C74" w:rsidRPr="002F2FDF" w14:paraId="259C0D65"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42761B9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15-см гаубица</w:t>
            </w:r>
          </w:p>
        </w:tc>
        <w:tc>
          <w:tcPr>
            <w:tcW w:w="3420" w:type="dxa"/>
            <w:tcBorders>
              <w:top w:val="outset" w:sz="6" w:space="0" w:color="auto"/>
              <w:left w:val="outset" w:sz="6" w:space="0" w:color="auto"/>
              <w:bottom w:val="outset" w:sz="6" w:space="0" w:color="auto"/>
              <w:right w:val="outset" w:sz="6" w:space="0" w:color="auto"/>
            </w:tcBorders>
            <w:hideMark/>
          </w:tcPr>
          <w:p w14:paraId="480E7D9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Се</w:t>
            </w:r>
          </w:p>
        </w:tc>
        <w:tc>
          <w:tcPr>
            <w:tcW w:w="3420" w:type="dxa"/>
            <w:tcBorders>
              <w:top w:val="outset" w:sz="6" w:space="0" w:color="auto"/>
              <w:left w:val="outset" w:sz="6" w:space="0" w:color="auto"/>
              <w:bottom w:val="outset" w:sz="6" w:space="0" w:color="auto"/>
              <w:right w:val="outset" w:sz="6" w:space="0" w:color="auto"/>
            </w:tcBorders>
            <w:hideMark/>
          </w:tcPr>
          <w:p w14:paraId="6EF44FE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420" w:type="dxa"/>
            <w:tcBorders>
              <w:top w:val="outset" w:sz="6" w:space="0" w:color="auto"/>
              <w:left w:val="outset" w:sz="6" w:space="0" w:color="auto"/>
              <w:bottom w:val="outset" w:sz="6" w:space="0" w:color="auto"/>
              <w:right w:val="outset" w:sz="6" w:space="0" w:color="auto"/>
            </w:tcBorders>
            <w:hideMark/>
          </w:tcPr>
          <w:p w14:paraId="2DAB745E" w14:textId="3B4EE348" w:rsidR="00B40BBD"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2B9DAC5A"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6EBAADF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15-см мортира</w:t>
            </w:r>
          </w:p>
        </w:tc>
        <w:tc>
          <w:tcPr>
            <w:tcW w:w="3420" w:type="dxa"/>
            <w:tcBorders>
              <w:top w:val="outset" w:sz="6" w:space="0" w:color="auto"/>
              <w:left w:val="outset" w:sz="6" w:space="0" w:color="auto"/>
              <w:bottom w:val="outset" w:sz="6" w:space="0" w:color="auto"/>
              <w:right w:val="outset" w:sz="6" w:space="0" w:color="auto"/>
            </w:tcBorders>
            <w:hideMark/>
          </w:tcPr>
          <w:p w14:paraId="0AB0A12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Се</w:t>
            </w:r>
          </w:p>
        </w:tc>
        <w:tc>
          <w:tcPr>
            <w:tcW w:w="3420" w:type="dxa"/>
            <w:tcBorders>
              <w:top w:val="outset" w:sz="6" w:space="0" w:color="auto"/>
              <w:left w:val="outset" w:sz="6" w:space="0" w:color="auto"/>
              <w:bottom w:val="outset" w:sz="6" w:space="0" w:color="auto"/>
              <w:right w:val="outset" w:sz="6" w:space="0" w:color="auto"/>
            </w:tcBorders>
            <w:hideMark/>
          </w:tcPr>
          <w:p w14:paraId="3522B5C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420" w:type="dxa"/>
            <w:tcBorders>
              <w:top w:val="outset" w:sz="6" w:space="0" w:color="auto"/>
              <w:left w:val="outset" w:sz="6" w:space="0" w:color="auto"/>
              <w:bottom w:val="outset" w:sz="6" w:space="0" w:color="auto"/>
              <w:right w:val="outset" w:sz="6" w:space="0" w:color="auto"/>
            </w:tcBorders>
            <w:hideMark/>
          </w:tcPr>
          <w:p w14:paraId="0FA442A7" w14:textId="1F1E0A59" w:rsidR="00B40BBD"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7B41B8FC"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5AE9CE9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8-см</w:t>
            </w:r>
          </w:p>
        </w:tc>
        <w:tc>
          <w:tcPr>
            <w:tcW w:w="3420" w:type="dxa"/>
            <w:tcBorders>
              <w:top w:val="outset" w:sz="6" w:space="0" w:color="auto"/>
              <w:left w:val="outset" w:sz="6" w:space="0" w:color="auto"/>
              <w:bottom w:val="outset" w:sz="6" w:space="0" w:color="auto"/>
              <w:right w:val="outset" w:sz="6" w:space="0" w:color="auto"/>
            </w:tcBorders>
            <w:hideMark/>
          </w:tcPr>
          <w:p w14:paraId="56A64A4B"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Be</w:t>
            </w:r>
          </w:p>
        </w:tc>
        <w:tc>
          <w:tcPr>
            <w:tcW w:w="3420" w:type="dxa"/>
            <w:tcBorders>
              <w:top w:val="outset" w:sz="6" w:space="0" w:color="auto"/>
              <w:left w:val="outset" w:sz="6" w:space="0" w:color="auto"/>
              <w:bottom w:val="outset" w:sz="6" w:space="0" w:color="auto"/>
              <w:right w:val="outset" w:sz="6" w:space="0" w:color="auto"/>
            </w:tcBorders>
            <w:hideMark/>
          </w:tcPr>
          <w:p w14:paraId="447D133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420" w:type="dxa"/>
            <w:tcBorders>
              <w:top w:val="outset" w:sz="6" w:space="0" w:color="auto"/>
              <w:left w:val="outset" w:sz="6" w:space="0" w:color="auto"/>
              <w:bottom w:val="outset" w:sz="6" w:space="0" w:color="auto"/>
              <w:right w:val="outset" w:sz="6" w:space="0" w:color="auto"/>
            </w:tcBorders>
            <w:hideMark/>
          </w:tcPr>
          <w:p w14:paraId="0D57C58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Бромацетон</w:t>
            </w:r>
          </w:p>
        </w:tc>
      </w:tr>
      <w:tr w:rsidR="002B1C74" w:rsidRPr="002F2FDF" w14:paraId="71B97493"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23629FC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15-см гаубица</w:t>
            </w:r>
          </w:p>
        </w:tc>
        <w:tc>
          <w:tcPr>
            <w:tcW w:w="3420" w:type="dxa"/>
            <w:tcBorders>
              <w:top w:val="outset" w:sz="6" w:space="0" w:color="auto"/>
              <w:left w:val="outset" w:sz="6" w:space="0" w:color="auto"/>
              <w:bottom w:val="outset" w:sz="6" w:space="0" w:color="auto"/>
              <w:right w:val="outset" w:sz="6" w:space="0" w:color="auto"/>
            </w:tcBorders>
            <w:hideMark/>
          </w:tcPr>
          <w:p w14:paraId="19991F84"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Be</w:t>
            </w:r>
          </w:p>
        </w:tc>
        <w:tc>
          <w:tcPr>
            <w:tcW w:w="3420" w:type="dxa"/>
            <w:tcBorders>
              <w:top w:val="outset" w:sz="6" w:space="0" w:color="auto"/>
              <w:left w:val="outset" w:sz="6" w:space="0" w:color="auto"/>
              <w:bottom w:val="outset" w:sz="6" w:space="0" w:color="auto"/>
              <w:right w:val="outset" w:sz="6" w:space="0" w:color="auto"/>
            </w:tcBorders>
            <w:hideMark/>
          </w:tcPr>
          <w:p w14:paraId="225ACC9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420" w:type="dxa"/>
            <w:tcBorders>
              <w:top w:val="outset" w:sz="6" w:space="0" w:color="auto"/>
              <w:left w:val="outset" w:sz="6" w:space="0" w:color="auto"/>
              <w:bottom w:val="outset" w:sz="6" w:space="0" w:color="auto"/>
              <w:right w:val="outset" w:sz="6" w:space="0" w:color="auto"/>
            </w:tcBorders>
            <w:hideMark/>
          </w:tcPr>
          <w:p w14:paraId="10679B32" w14:textId="64B52170" w:rsidR="00B40BBD"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5D4B22FD"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72BA1A12"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15-см мортира</w:t>
            </w:r>
          </w:p>
        </w:tc>
        <w:tc>
          <w:tcPr>
            <w:tcW w:w="3420" w:type="dxa"/>
            <w:tcBorders>
              <w:top w:val="outset" w:sz="6" w:space="0" w:color="auto"/>
              <w:left w:val="outset" w:sz="6" w:space="0" w:color="auto"/>
              <w:bottom w:val="outset" w:sz="6" w:space="0" w:color="auto"/>
              <w:right w:val="outset" w:sz="6" w:space="0" w:color="auto"/>
            </w:tcBorders>
            <w:hideMark/>
          </w:tcPr>
          <w:p w14:paraId="68870951"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Be</w:t>
            </w:r>
          </w:p>
        </w:tc>
        <w:tc>
          <w:tcPr>
            <w:tcW w:w="3420" w:type="dxa"/>
            <w:tcBorders>
              <w:top w:val="outset" w:sz="6" w:space="0" w:color="auto"/>
              <w:left w:val="outset" w:sz="6" w:space="0" w:color="auto"/>
              <w:bottom w:val="outset" w:sz="6" w:space="0" w:color="auto"/>
              <w:right w:val="outset" w:sz="6" w:space="0" w:color="auto"/>
            </w:tcBorders>
            <w:hideMark/>
          </w:tcPr>
          <w:p w14:paraId="1F7D4E1B"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3420" w:type="dxa"/>
            <w:tcBorders>
              <w:top w:val="outset" w:sz="6" w:space="0" w:color="auto"/>
              <w:left w:val="outset" w:sz="6" w:space="0" w:color="auto"/>
              <w:bottom w:val="outset" w:sz="6" w:space="0" w:color="auto"/>
              <w:right w:val="outset" w:sz="6" w:space="0" w:color="auto"/>
            </w:tcBorders>
            <w:hideMark/>
          </w:tcPr>
          <w:p w14:paraId="252A27F2" w14:textId="459BCEAE" w:rsidR="00B40BBD"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7E51892C" w14:textId="77777777" w:rsidTr="00920A70">
        <w:trPr>
          <w:tblCellSpacing w:w="15" w:type="dxa"/>
        </w:trPr>
        <w:tc>
          <w:tcPr>
            <w:tcW w:w="0" w:type="auto"/>
            <w:gridSpan w:val="4"/>
            <w:tcBorders>
              <w:top w:val="outset" w:sz="6" w:space="0" w:color="auto"/>
              <w:left w:val="outset" w:sz="6" w:space="0" w:color="auto"/>
              <w:bottom w:val="outset" w:sz="6" w:space="0" w:color="auto"/>
              <w:right w:val="outset" w:sz="6" w:space="0" w:color="auto"/>
            </w:tcBorders>
            <w:hideMark/>
          </w:tcPr>
          <w:p w14:paraId="268A26F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Первое время оба вещества соединялись в одном снаряде («граната Се + Ве»), который часто снаряжался одним бромметилэтилкетоном. Впоследствии, в виду ненадежности при хранении и понижении ядовитого действия, — в отдельных снарядах, которыми стреляли на подобие германского «разноцветного креста» в пропорции 6 Се на 1 Be.</w:t>
            </w:r>
          </w:p>
          <w:p w14:paraId="1D05B084"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В последние месяцы войны австрийские батареи на германском западном фронте стреляли также снарядами с дихлордиэтилсульфидом (ипритом)</w:t>
            </w:r>
          </w:p>
        </w:tc>
      </w:tr>
    </w:tbl>
    <w:p w14:paraId="1908594B" w14:textId="208952DC" w:rsidR="00B40BBD"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r w:rsidR="00B40BBD" w:rsidRPr="002F2FDF">
        <w:rPr>
          <w:color w:val="000000" w:themeColor="text1"/>
          <w:sz w:val="16"/>
          <w:szCs w:val="16"/>
        </w:rPr>
        <w:t>Французские химические снаряды (на начало 1918 г.)</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257"/>
        <w:gridCol w:w="1018"/>
        <w:gridCol w:w="1477"/>
        <w:gridCol w:w="3570"/>
      </w:tblGrid>
      <w:tr w:rsidR="002B1C74" w:rsidRPr="002F2FDF" w14:paraId="63918E75" w14:textId="77777777" w:rsidTr="00920A70">
        <w:trPr>
          <w:tblCellSpacing w:w="15" w:type="dxa"/>
        </w:trPr>
        <w:tc>
          <w:tcPr>
            <w:tcW w:w="12900" w:type="dxa"/>
            <w:tcBorders>
              <w:top w:val="outset" w:sz="6" w:space="0" w:color="auto"/>
              <w:left w:val="outset" w:sz="6" w:space="0" w:color="auto"/>
              <w:bottom w:val="outset" w:sz="6" w:space="0" w:color="auto"/>
              <w:right w:val="outset" w:sz="6" w:space="0" w:color="auto"/>
            </w:tcBorders>
            <w:hideMark/>
          </w:tcPr>
          <w:p w14:paraId="705652E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Калибр, см</w:t>
            </w:r>
          </w:p>
        </w:tc>
        <w:tc>
          <w:tcPr>
            <w:tcW w:w="1605" w:type="dxa"/>
            <w:tcBorders>
              <w:top w:val="outset" w:sz="6" w:space="0" w:color="auto"/>
              <w:left w:val="outset" w:sz="6" w:space="0" w:color="auto"/>
              <w:bottom w:val="outset" w:sz="6" w:space="0" w:color="auto"/>
              <w:right w:val="outset" w:sz="6" w:space="0" w:color="auto"/>
            </w:tcBorders>
            <w:hideMark/>
          </w:tcPr>
          <w:p w14:paraId="3AB7851E"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Вес стакана, кг</w:t>
            </w:r>
          </w:p>
        </w:tc>
        <w:tc>
          <w:tcPr>
            <w:tcW w:w="2295" w:type="dxa"/>
            <w:tcBorders>
              <w:top w:val="outset" w:sz="6" w:space="0" w:color="auto"/>
              <w:left w:val="outset" w:sz="6" w:space="0" w:color="auto"/>
              <w:bottom w:val="outset" w:sz="6" w:space="0" w:color="auto"/>
              <w:right w:val="outset" w:sz="6" w:space="0" w:color="auto"/>
            </w:tcBorders>
            <w:hideMark/>
          </w:tcPr>
          <w:p w14:paraId="2D7AAD0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Вес химического заряда, кг</w:t>
            </w:r>
          </w:p>
        </w:tc>
        <w:tc>
          <w:tcPr>
            <w:tcW w:w="7515" w:type="dxa"/>
            <w:tcBorders>
              <w:top w:val="outset" w:sz="6" w:space="0" w:color="auto"/>
              <w:left w:val="outset" w:sz="6" w:space="0" w:color="auto"/>
              <w:bottom w:val="outset" w:sz="6" w:space="0" w:color="auto"/>
              <w:right w:val="outset" w:sz="6" w:space="0" w:color="auto"/>
            </w:tcBorders>
            <w:hideMark/>
          </w:tcPr>
          <w:p w14:paraId="564D03A4"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Состав химического заряда</w:t>
            </w:r>
          </w:p>
        </w:tc>
      </w:tr>
      <w:tr w:rsidR="002B1C74" w:rsidRPr="002F2FDF" w14:paraId="1D137B65" w14:textId="77777777" w:rsidTr="00920A70">
        <w:trPr>
          <w:tblCellSpacing w:w="15" w:type="dxa"/>
        </w:trPr>
        <w:tc>
          <w:tcPr>
            <w:tcW w:w="12900" w:type="dxa"/>
            <w:vMerge w:val="restart"/>
            <w:tcBorders>
              <w:top w:val="outset" w:sz="6" w:space="0" w:color="auto"/>
              <w:left w:val="outset" w:sz="6" w:space="0" w:color="auto"/>
              <w:bottom w:val="outset" w:sz="6" w:space="0" w:color="auto"/>
              <w:right w:val="outset" w:sz="6" w:space="0" w:color="auto"/>
            </w:tcBorders>
            <w:hideMark/>
          </w:tcPr>
          <w:p w14:paraId="6212FD3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7,5</w:t>
            </w:r>
          </w:p>
          <w:p w14:paraId="0D88F13D" w14:textId="77777777" w:rsidR="00B40BBD" w:rsidRPr="002F2FDF" w:rsidRDefault="00B40BBD" w:rsidP="0083075A">
            <w:pPr>
              <w:pStyle w:val="ae"/>
              <w:spacing w:before="0" w:after="0"/>
              <w:jc w:val="both"/>
              <w:rPr>
                <w:color w:val="000000" w:themeColor="text1"/>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599B64D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4,5</w:t>
            </w:r>
          </w:p>
        </w:tc>
        <w:tc>
          <w:tcPr>
            <w:tcW w:w="2295" w:type="dxa"/>
            <w:tcBorders>
              <w:top w:val="outset" w:sz="6" w:space="0" w:color="auto"/>
              <w:left w:val="outset" w:sz="6" w:space="0" w:color="auto"/>
              <w:bottom w:val="outset" w:sz="6" w:space="0" w:color="auto"/>
              <w:right w:val="outset" w:sz="6" w:space="0" w:color="auto"/>
            </w:tcBorders>
            <w:hideMark/>
          </w:tcPr>
          <w:p w14:paraId="3979328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0,75</w:t>
            </w:r>
          </w:p>
        </w:tc>
        <w:tc>
          <w:tcPr>
            <w:tcW w:w="7515" w:type="dxa"/>
            <w:tcBorders>
              <w:top w:val="outset" w:sz="6" w:space="0" w:color="auto"/>
              <w:left w:val="outset" w:sz="6" w:space="0" w:color="auto"/>
              <w:bottom w:val="outset" w:sz="6" w:space="0" w:color="auto"/>
              <w:right w:val="outset" w:sz="6" w:space="0" w:color="auto"/>
            </w:tcBorders>
            <w:hideMark/>
          </w:tcPr>
          <w:p w14:paraId="7993258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50–60 % фосгена 50–40 % хлорного олова или треххлористого мышьяка</w:t>
            </w:r>
          </w:p>
        </w:tc>
      </w:tr>
      <w:tr w:rsidR="002B1C74" w:rsidRPr="002F2FDF" w14:paraId="6F111FB2"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F7192F5"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131F7C80" w14:textId="629AE03C" w:rsidR="00B40BBD"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c>
          <w:tcPr>
            <w:tcW w:w="2295" w:type="dxa"/>
            <w:tcBorders>
              <w:top w:val="outset" w:sz="6" w:space="0" w:color="auto"/>
              <w:left w:val="outset" w:sz="6" w:space="0" w:color="auto"/>
              <w:bottom w:val="outset" w:sz="6" w:space="0" w:color="auto"/>
              <w:right w:val="outset" w:sz="6" w:space="0" w:color="auto"/>
            </w:tcBorders>
            <w:hideMark/>
          </w:tcPr>
          <w:p w14:paraId="39F7F68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0,45</w:t>
            </w:r>
          </w:p>
        </w:tc>
        <w:tc>
          <w:tcPr>
            <w:tcW w:w="7515" w:type="dxa"/>
            <w:tcBorders>
              <w:top w:val="outset" w:sz="6" w:space="0" w:color="auto"/>
              <w:left w:val="outset" w:sz="6" w:space="0" w:color="auto"/>
              <w:bottom w:val="outset" w:sz="6" w:space="0" w:color="auto"/>
              <w:right w:val="outset" w:sz="6" w:space="0" w:color="auto"/>
            </w:tcBorders>
            <w:hideMark/>
          </w:tcPr>
          <w:p w14:paraId="78B912BF" w14:textId="164553DE"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50°/0</w:t>
            </w:r>
            <w:r w:rsidR="00E52569">
              <w:rPr>
                <w:color w:val="000000" w:themeColor="text1"/>
                <w:sz w:val="16"/>
                <w:szCs w:val="16"/>
              </w:rPr>
              <w:t xml:space="preserve"> </w:t>
            </w:r>
            <w:r w:rsidRPr="002F2FDF">
              <w:rPr>
                <w:color w:val="000000" w:themeColor="text1"/>
                <w:sz w:val="16"/>
                <w:szCs w:val="16"/>
              </w:rPr>
              <w:t>синильной кислоты, 50% треххлористого мышьяка</w:t>
            </w:r>
          </w:p>
        </w:tc>
      </w:tr>
      <w:tr w:rsidR="002B1C74" w:rsidRPr="002F2FDF" w14:paraId="09E56B9D"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EF9E8AB"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545FF5C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4,3</w:t>
            </w:r>
          </w:p>
        </w:tc>
        <w:tc>
          <w:tcPr>
            <w:tcW w:w="2295" w:type="dxa"/>
            <w:tcBorders>
              <w:top w:val="outset" w:sz="6" w:space="0" w:color="auto"/>
              <w:left w:val="outset" w:sz="6" w:space="0" w:color="auto"/>
              <w:bottom w:val="outset" w:sz="6" w:space="0" w:color="auto"/>
              <w:right w:val="outset" w:sz="6" w:space="0" w:color="auto"/>
            </w:tcBorders>
            <w:hideMark/>
          </w:tcPr>
          <w:p w14:paraId="0065F2A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0,95</w:t>
            </w:r>
          </w:p>
        </w:tc>
        <w:tc>
          <w:tcPr>
            <w:tcW w:w="7515" w:type="dxa"/>
            <w:tcBorders>
              <w:top w:val="outset" w:sz="6" w:space="0" w:color="auto"/>
              <w:left w:val="outset" w:sz="6" w:space="0" w:color="auto"/>
              <w:bottom w:val="outset" w:sz="6" w:space="0" w:color="auto"/>
              <w:right w:val="outset" w:sz="6" w:space="0" w:color="auto"/>
            </w:tcBorders>
            <w:hideMark/>
          </w:tcPr>
          <w:p w14:paraId="6219913B"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50% иодацетона, 50% хлорного олова</w:t>
            </w:r>
          </w:p>
        </w:tc>
      </w:tr>
      <w:tr w:rsidR="002B1C74" w:rsidRPr="002F2FDF" w14:paraId="213FB001"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15E2C78"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54DCC78B"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4,85</w:t>
            </w:r>
          </w:p>
        </w:tc>
        <w:tc>
          <w:tcPr>
            <w:tcW w:w="2295" w:type="dxa"/>
            <w:tcBorders>
              <w:top w:val="outset" w:sz="6" w:space="0" w:color="auto"/>
              <w:left w:val="outset" w:sz="6" w:space="0" w:color="auto"/>
              <w:bottom w:val="outset" w:sz="6" w:space="0" w:color="auto"/>
              <w:right w:val="outset" w:sz="6" w:space="0" w:color="auto"/>
            </w:tcBorders>
            <w:hideMark/>
          </w:tcPr>
          <w:p w14:paraId="34DFF211"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0,33</w:t>
            </w:r>
          </w:p>
        </w:tc>
        <w:tc>
          <w:tcPr>
            <w:tcW w:w="7515" w:type="dxa"/>
            <w:tcBorders>
              <w:top w:val="outset" w:sz="6" w:space="0" w:color="auto"/>
              <w:left w:val="outset" w:sz="6" w:space="0" w:color="auto"/>
              <w:bottom w:val="outset" w:sz="6" w:space="0" w:color="auto"/>
              <w:right w:val="outset" w:sz="6" w:space="0" w:color="auto"/>
            </w:tcBorders>
            <w:hideMark/>
          </w:tcPr>
          <w:p w14:paraId="0E56567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60% йодистого бензила</w:t>
            </w:r>
          </w:p>
        </w:tc>
      </w:tr>
      <w:tr w:rsidR="002B1C74" w:rsidRPr="002F2FDF" w14:paraId="4E50A5EB"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34FE69D"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4B4EDD1E" w14:textId="679FC565" w:rsidR="00B40BBD"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c>
          <w:tcPr>
            <w:tcW w:w="2295" w:type="dxa"/>
            <w:tcBorders>
              <w:top w:val="outset" w:sz="6" w:space="0" w:color="auto"/>
              <w:left w:val="outset" w:sz="6" w:space="0" w:color="auto"/>
              <w:bottom w:val="outset" w:sz="6" w:space="0" w:color="auto"/>
              <w:right w:val="outset" w:sz="6" w:space="0" w:color="auto"/>
            </w:tcBorders>
            <w:hideMark/>
          </w:tcPr>
          <w:p w14:paraId="2B8597B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0,075</w:t>
            </w:r>
          </w:p>
        </w:tc>
        <w:tc>
          <w:tcPr>
            <w:tcW w:w="7515" w:type="dxa"/>
            <w:tcBorders>
              <w:top w:val="outset" w:sz="6" w:space="0" w:color="auto"/>
              <w:left w:val="outset" w:sz="6" w:space="0" w:color="auto"/>
              <w:bottom w:val="outset" w:sz="6" w:space="0" w:color="auto"/>
              <w:right w:val="outset" w:sz="6" w:space="0" w:color="auto"/>
            </w:tcBorders>
            <w:hideMark/>
          </w:tcPr>
          <w:p w14:paraId="3F1972A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40% бензола, толуола или ксилола, хлорное олово в особой трубке</w:t>
            </w:r>
          </w:p>
        </w:tc>
      </w:tr>
      <w:tr w:rsidR="002B1C74" w:rsidRPr="002F2FDF" w14:paraId="021B4138" w14:textId="77777777" w:rsidTr="00920A70">
        <w:trPr>
          <w:tblCellSpacing w:w="15" w:type="dxa"/>
        </w:trPr>
        <w:tc>
          <w:tcPr>
            <w:tcW w:w="12900" w:type="dxa"/>
            <w:vMerge w:val="restart"/>
            <w:tcBorders>
              <w:top w:val="outset" w:sz="6" w:space="0" w:color="auto"/>
              <w:left w:val="outset" w:sz="6" w:space="0" w:color="auto"/>
              <w:bottom w:val="outset" w:sz="6" w:space="0" w:color="auto"/>
              <w:right w:val="outset" w:sz="6" w:space="0" w:color="auto"/>
            </w:tcBorders>
            <w:hideMark/>
          </w:tcPr>
          <w:p w14:paraId="06FA112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12</w:t>
            </w:r>
          </w:p>
        </w:tc>
        <w:tc>
          <w:tcPr>
            <w:tcW w:w="1605" w:type="dxa"/>
            <w:tcBorders>
              <w:top w:val="outset" w:sz="6" w:space="0" w:color="auto"/>
              <w:left w:val="outset" w:sz="6" w:space="0" w:color="auto"/>
              <w:bottom w:val="outset" w:sz="6" w:space="0" w:color="auto"/>
              <w:right w:val="outset" w:sz="6" w:space="0" w:color="auto"/>
            </w:tcBorders>
            <w:hideMark/>
          </w:tcPr>
          <w:p w14:paraId="426FA98E"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15,5</w:t>
            </w:r>
          </w:p>
        </w:tc>
        <w:tc>
          <w:tcPr>
            <w:tcW w:w="2295" w:type="dxa"/>
            <w:tcBorders>
              <w:top w:val="outset" w:sz="6" w:space="0" w:color="auto"/>
              <w:left w:val="outset" w:sz="6" w:space="0" w:color="auto"/>
              <w:bottom w:val="outset" w:sz="6" w:space="0" w:color="auto"/>
              <w:right w:val="outset" w:sz="6" w:space="0" w:color="auto"/>
            </w:tcBorders>
            <w:hideMark/>
          </w:tcPr>
          <w:p w14:paraId="50C8778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7515" w:type="dxa"/>
            <w:tcBorders>
              <w:top w:val="outset" w:sz="6" w:space="0" w:color="auto"/>
              <w:left w:val="outset" w:sz="6" w:space="0" w:color="auto"/>
              <w:bottom w:val="outset" w:sz="6" w:space="0" w:color="auto"/>
              <w:right w:val="outset" w:sz="6" w:space="0" w:color="auto"/>
            </w:tcBorders>
            <w:hideMark/>
          </w:tcPr>
          <w:p w14:paraId="359DCF02"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Фосген и треххлористый мышьяк.</w:t>
            </w:r>
          </w:p>
        </w:tc>
      </w:tr>
      <w:tr w:rsidR="002B1C74" w:rsidRPr="002F2FDF" w14:paraId="6CA06815"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AA1AB60"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57387E42"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17,0</w:t>
            </w:r>
          </w:p>
        </w:tc>
        <w:tc>
          <w:tcPr>
            <w:tcW w:w="2295" w:type="dxa"/>
            <w:tcBorders>
              <w:top w:val="outset" w:sz="6" w:space="0" w:color="auto"/>
              <w:left w:val="outset" w:sz="6" w:space="0" w:color="auto"/>
              <w:bottom w:val="outset" w:sz="6" w:space="0" w:color="auto"/>
              <w:right w:val="outset" w:sz="6" w:space="0" w:color="auto"/>
            </w:tcBorders>
            <w:hideMark/>
          </w:tcPr>
          <w:p w14:paraId="2D50888A"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1,8</w:t>
            </w:r>
          </w:p>
        </w:tc>
        <w:tc>
          <w:tcPr>
            <w:tcW w:w="7515" w:type="dxa"/>
            <w:tcBorders>
              <w:top w:val="outset" w:sz="6" w:space="0" w:color="auto"/>
              <w:left w:val="outset" w:sz="6" w:space="0" w:color="auto"/>
              <w:bottom w:val="outset" w:sz="6" w:space="0" w:color="auto"/>
              <w:right w:val="outset" w:sz="6" w:space="0" w:color="auto"/>
            </w:tcBorders>
            <w:hideMark/>
          </w:tcPr>
          <w:p w14:paraId="0592D274"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60% фосгена, 40% хлорного олова.</w:t>
            </w:r>
          </w:p>
        </w:tc>
      </w:tr>
      <w:tr w:rsidR="002B1C74" w:rsidRPr="002F2FDF" w14:paraId="47E05AFC"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0C5D374"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204E03A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17,2</w:t>
            </w:r>
          </w:p>
        </w:tc>
        <w:tc>
          <w:tcPr>
            <w:tcW w:w="2295" w:type="dxa"/>
            <w:tcBorders>
              <w:top w:val="outset" w:sz="6" w:space="0" w:color="auto"/>
              <w:left w:val="outset" w:sz="6" w:space="0" w:color="auto"/>
              <w:bottom w:val="outset" w:sz="6" w:space="0" w:color="auto"/>
              <w:right w:val="outset" w:sz="6" w:space="0" w:color="auto"/>
            </w:tcBorders>
            <w:hideMark/>
          </w:tcPr>
          <w:p w14:paraId="6BEED07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1,1</w:t>
            </w:r>
          </w:p>
        </w:tc>
        <w:tc>
          <w:tcPr>
            <w:tcW w:w="7515" w:type="dxa"/>
            <w:tcBorders>
              <w:top w:val="outset" w:sz="6" w:space="0" w:color="auto"/>
              <w:left w:val="outset" w:sz="6" w:space="0" w:color="auto"/>
              <w:bottom w:val="outset" w:sz="6" w:space="0" w:color="auto"/>
              <w:right w:val="outset" w:sz="6" w:space="0" w:color="auto"/>
            </w:tcBorders>
            <w:hideMark/>
          </w:tcPr>
          <w:p w14:paraId="43C06B4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46% синильной кислоты, 54% треххлористого мышьяка</w:t>
            </w:r>
          </w:p>
        </w:tc>
      </w:tr>
      <w:tr w:rsidR="002B1C74" w:rsidRPr="002F2FDF" w14:paraId="0B6AEF0B" w14:textId="77777777" w:rsidTr="00920A70">
        <w:trPr>
          <w:tblCellSpacing w:w="15" w:type="dxa"/>
        </w:trPr>
        <w:tc>
          <w:tcPr>
            <w:tcW w:w="12900" w:type="dxa"/>
            <w:vMerge w:val="restart"/>
            <w:tcBorders>
              <w:top w:val="outset" w:sz="6" w:space="0" w:color="auto"/>
              <w:left w:val="outset" w:sz="6" w:space="0" w:color="auto"/>
              <w:bottom w:val="outset" w:sz="6" w:space="0" w:color="auto"/>
              <w:right w:val="outset" w:sz="6" w:space="0" w:color="auto"/>
            </w:tcBorders>
            <w:hideMark/>
          </w:tcPr>
          <w:p w14:paraId="050F475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15,5</w:t>
            </w:r>
          </w:p>
        </w:tc>
        <w:tc>
          <w:tcPr>
            <w:tcW w:w="1605" w:type="dxa"/>
            <w:tcBorders>
              <w:top w:val="outset" w:sz="6" w:space="0" w:color="auto"/>
              <w:left w:val="outset" w:sz="6" w:space="0" w:color="auto"/>
              <w:bottom w:val="outset" w:sz="6" w:space="0" w:color="auto"/>
              <w:right w:val="outset" w:sz="6" w:space="0" w:color="auto"/>
            </w:tcBorders>
            <w:hideMark/>
          </w:tcPr>
          <w:p w14:paraId="3631C87A"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39,5</w:t>
            </w:r>
          </w:p>
        </w:tc>
        <w:tc>
          <w:tcPr>
            <w:tcW w:w="2295" w:type="dxa"/>
            <w:tcBorders>
              <w:top w:val="outset" w:sz="6" w:space="0" w:color="auto"/>
              <w:left w:val="outset" w:sz="6" w:space="0" w:color="auto"/>
              <w:bottom w:val="outset" w:sz="6" w:space="0" w:color="auto"/>
              <w:right w:val="outset" w:sz="6" w:space="0" w:color="auto"/>
            </w:tcBorders>
            <w:hideMark/>
          </w:tcPr>
          <w:p w14:paraId="2EE4B64E"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4,4</w:t>
            </w:r>
          </w:p>
        </w:tc>
        <w:tc>
          <w:tcPr>
            <w:tcW w:w="7515" w:type="dxa"/>
            <w:tcBorders>
              <w:top w:val="outset" w:sz="6" w:space="0" w:color="auto"/>
              <w:left w:val="outset" w:sz="6" w:space="0" w:color="auto"/>
              <w:bottom w:val="outset" w:sz="6" w:space="0" w:color="auto"/>
              <w:right w:val="outset" w:sz="6" w:space="0" w:color="auto"/>
            </w:tcBorders>
            <w:hideMark/>
          </w:tcPr>
          <w:p w14:paraId="17329AD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50% фосгена, 50% треххлористого мышьяка или 60% фосгена, 40% хлорного олова</w:t>
            </w:r>
          </w:p>
        </w:tc>
      </w:tr>
      <w:tr w:rsidR="002B1C74" w:rsidRPr="002F2FDF" w14:paraId="3F5D6926"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06130AC"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4B94E86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39.5</w:t>
            </w:r>
          </w:p>
        </w:tc>
        <w:tc>
          <w:tcPr>
            <w:tcW w:w="2295" w:type="dxa"/>
            <w:tcBorders>
              <w:top w:val="outset" w:sz="6" w:space="0" w:color="auto"/>
              <w:left w:val="outset" w:sz="6" w:space="0" w:color="auto"/>
              <w:bottom w:val="outset" w:sz="6" w:space="0" w:color="auto"/>
              <w:right w:val="outset" w:sz="6" w:space="0" w:color="auto"/>
            </w:tcBorders>
            <w:hideMark/>
          </w:tcPr>
          <w:p w14:paraId="2AA3F6C2"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2,6</w:t>
            </w:r>
          </w:p>
        </w:tc>
        <w:tc>
          <w:tcPr>
            <w:tcW w:w="7515" w:type="dxa"/>
            <w:tcBorders>
              <w:top w:val="outset" w:sz="6" w:space="0" w:color="auto"/>
              <w:left w:val="outset" w:sz="6" w:space="0" w:color="auto"/>
              <w:bottom w:val="outset" w:sz="6" w:space="0" w:color="auto"/>
              <w:right w:val="outset" w:sz="6" w:space="0" w:color="auto"/>
            </w:tcBorders>
            <w:hideMark/>
          </w:tcPr>
          <w:p w14:paraId="6F3E2D51"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50% синильной кислоты, 50% треххлористого мышьяка</w:t>
            </w:r>
          </w:p>
        </w:tc>
      </w:tr>
      <w:tr w:rsidR="002B1C74" w:rsidRPr="002F2FDF" w14:paraId="202E49AF"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D979FDB"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3CDC989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32,2</w:t>
            </w:r>
          </w:p>
        </w:tc>
        <w:tc>
          <w:tcPr>
            <w:tcW w:w="2295" w:type="dxa"/>
            <w:tcBorders>
              <w:top w:val="outset" w:sz="6" w:space="0" w:color="auto"/>
              <w:left w:val="outset" w:sz="6" w:space="0" w:color="auto"/>
              <w:bottom w:val="outset" w:sz="6" w:space="0" w:color="auto"/>
              <w:right w:val="outset" w:sz="6" w:space="0" w:color="auto"/>
            </w:tcBorders>
            <w:hideMark/>
          </w:tcPr>
          <w:p w14:paraId="75D6681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10,3</w:t>
            </w:r>
          </w:p>
        </w:tc>
        <w:tc>
          <w:tcPr>
            <w:tcW w:w="7515" w:type="dxa"/>
            <w:tcBorders>
              <w:top w:val="outset" w:sz="6" w:space="0" w:color="auto"/>
              <w:left w:val="outset" w:sz="6" w:space="0" w:color="auto"/>
              <w:bottom w:val="outset" w:sz="6" w:space="0" w:color="auto"/>
              <w:right w:val="outset" w:sz="6" w:space="0" w:color="auto"/>
            </w:tcBorders>
            <w:hideMark/>
          </w:tcPr>
          <w:p w14:paraId="3D63292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50% фосгена, 50% треххлористого мышьяка</w:t>
            </w:r>
          </w:p>
        </w:tc>
      </w:tr>
      <w:tr w:rsidR="002B1C74" w:rsidRPr="002F2FDF" w14:paraId="2888B848" w14:textId="77777777" w:rsidTr="00920A70">
        <w:trPr>
          <w:tblCellSpacing w:w="15" w:type="dxa"/>
        </w:trPr>
        <w:tc>
          <w:tcPr>
            <w:tcW w:w="0" w:type="auto"/>
            <w:gridSpan w:val="4"/>
            <w:tcBorders>
              <w:top w:val="outset" w:sz="6" w:space="0" w:color="auto"/>
              <w:left w:val="outset" w:sz="6" w:space="0" w:color="auto"/>
              <w:bottom w:val="outset" w:sz="6" w:space="0" w:color="auto"/>
              <w:right w:val="outset" w:sz="6" w:space="0" w:color="auto"/>
            </w:tcBorders>
            <w:hideMark/>
          </w:tcPr>
          <w:p w14:paraId="2ACD7ED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Кроме того, для наполнения снарядов служили: четыреххлористый сероуглерод, хлорацетон, этилбромацетат, акролеин, хлорметиловый эфир хлоромуравьиной кислоты, иприт (конец 1918 г.) и проч., всего до 30 различных ОВ</w:t>
            </w:r>
          </w:p>
        </w:tc>
      </w:tr>
    </w:tbl>
    <w:p w14:paraId="20126D63" w14:textId="6B50C124" w:rsidR="00B40BBD"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r w:rsidR="00B40BBD" w:rsidRPr="002F2FDF">
        <w:rPr>
          <w:color w:val="000000" w:themeColor="text1"/>
          <w:sz w:val="16"/>
          <w:szCs w:val="16"/>
        </w:rPr>
        <w:t>Французские газобаллоны*</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661"/>
        <w:gridCol w:w="5661"/>
      </w:tblGrid>
      <w:tr w:rsidR="002B1C74" w:rsidRPr="002F2FDF" w14:paraId="0B74C832" w14:textId="77777777" w:rsidTr="00920A70">
        <w:trPr>
          <w:tblCellSpacing w:w="15" w:type="dxa"/>
        </w:trPr>
        <w:tc>
          <w:tcPr>
            <w:tcW w:w="5490" w:type="dxa"/>
            <w:tcBorders>
              <w:top w:val="outset" w:sz="6" w:space="0" w:color="auto"/>
              <w:left w:val="outset" w:sz="6" w:space="0" w:color="auto"/>
              <w:bottom w:val="outset" w:sz="6" w:space="0" w:color="auto"/>
              <w:right w:val="outset" w:sz="6" w:space="0" w:color="auto"/>
            </w:tcBorders>
            <w:hideMark/>
          </w:tcPr>
          <w:p w14:paraId="7DFB308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Хлор и хлорное олово</w:t>
            </w:r>
          </w:p>
        </w:tc>
        <w:tc>
          <w:tcPr>
            <w:tcW w:w="5490" w:type="dxa"/>
            <w:vMerge w:val="restart"/>
            <w:tcBorders>
              <w:top w:val="outset" w:sz="6" w:space="0" w:color="auto"/>
              <w:left w:val="outset" w:sz="6" w:space="0" w:color="auto"/>
              <w:bottom w:val="outset" w:sz="6" w:space="0" w:color="auto"/>
              <w:right w:val="outset" w:sz="6" w:space="0" w:color="auto"/>
            </w:tcBorders>
            <w:hideMark/>
          </w:tcPr>
          <w:p w14:paraId="2881826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в различных пропорциях</w:t>
            </w:r>
          </w:p>
        </w:tc>
      </w:tr>
      <w:tr w:rsidR="002B1C74" w:rsidRPr="002F2FDF" w14:paraId="37A5966F" w14:textId="77777777" w:rsidTr="00920A70">
        <w:trPr>
          <w:tblCellSpacing w:w="15" w:type="dxa"/>
        </w:trPr>
        <w:tc>
          <w:tcPr>
            <w:tcW w:w="5490" w:type="dxa"/>
            <w:tcBorders>
              <w:top w:val="outset" w:sz="6" w:space="0" w:color="auto"/>
              <w:left w:val="outset" w:sz="6" w:space="0" w:color="auto"/>
              <w:bottom w:val="outset" w:sz="6" w:space="0" w:color="auto"/>
              <w:right w:val="outset" w:sz="6" w:space="0" w:color="auto"/>
            </w:tcBorders>
            <w:hideMark/>
          </w:tcPr>
          <w:p w14:paraId="1A30D5A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Хлор и треххлористый мышьяк</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E81E11A"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r>
      <w:tr w:rsidR="002B1C74" w:rsidRPr="002F2FDF" w14:paraId="10B607CB" w14:textId="77777777" w:rsidTr="00920A70">
        <w:trPr>
          <w:tblCellSpacing w:w="15" w:type="dxa"/>
        </w:trPr>
        <w:tc>
          <w:tcPr>
            <w:tcW w:w="5490" w:type="dxa"/>
            <w:tcBorders>
              <w:top w:val="outset" w:sz="6" w:space="0" w:color="auto"/>
              <w:left w:val="outset" w:sz="6" w:space="0" w:color="auto"/>
              <w:bottom w:val="outset" w:sz="6" w:space="0" w:color="auto"/>
              <w:right w:val="outset" w:sz="6" w:space="0" w:color="auto"/>
            </w:tcBorders>
            <w:hideMark/>
          </w:tcPr>
          <w:p w14:paraId="6689010E"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Хлор и фосген</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0FA6308"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r>
    </w:tbl>
    <w:p w14:paraId="3255C11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 Кроме того, французской армией использовались:</w:t>
      </w:r>
    </w:p>
    <w:p w14:paraId="1EDCD6F0" w14:textId="07CC0265"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химические мины</w:t>
      </w:r>
      <w:r w:rsidR="00E52569">
        <w:rPr>
          <w:color w:val="000000" w:themeColor="text1"/>
          <w:sz w:val="16"/>
          <w:szCs w:val="16"/>
        </w:rPr>
        <w:t xml:space="preserve"> </w:t>
      </w:r>
      <w:r w:rsidRPr="002F2FDF">
        <w:rPr>
          <w:color w:val="000000" w:themeColor="text1"/>
          <w:sz w:val="16"/>
          <w:szCs w:val="16"/>
        </w:rPr>
        <w:t>(для минометов) с хлорэтилсульфатом, фосгеном в хлорном олове; с синильной кислотой в смеси с треххлористым мышьяком;</w:t>
      </w:r>
    </w:p>
    <w:p w14:paraId="192E7148" w14:textId="5150AB25"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химические ручные гранаты</w:t>
      </w:r>
      <w:r w:rsidR="00E52569">
        <w:rPr>
          <w:color w:val="000000" w:themeColor="text1"/>
          <w:sz w:val="16"/>
          <w:szCs w:val="16"/>
        </w:rPr>
        <w:t xml:space="preserve"> </w:t>
      </w:r>
      <w:r w:rsidRPr="002F2FDF">
        <w:rPr>
          <w:color w:val="000000" w:themeColor="text1"/>
          <w:sz w:val="16"/>
          <w:szCs w:val="16"/>
        </w:rPr>
        <w:t>с хлорацетоном, хлорацетоном и этилбромацетатом, хлорацетоном и акролеином, а в конце 1918 г. с ипритом;</w:t>
      </w:r>
    </w:p>
    <w:p w14:paraId="25BCA48F" w14:textId="289E613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химические ружейные гранаты</w:t>
      </w:r>
      <w:r w:rsidR="00E52569">
        <w:rPr>
          <w:color w:val="000000" w:themeColor="text1"/>
          <w:sz w:val="16"/>
          <w:szCs w:val="16"/>
        </w:rPr>
        <w:t xml:space="preserve"> </w:t>
      </w:r>
      <w:r w:rsidRPr="002F2FDF">
        <w:rPr>
          <w:color w:val="000000" w:themeColor="text1"/>
          <w:sz w:val="16"/>
          <w:szCs w:val="16"/>
        </w:rPr>
        <w:t>с этилбромацетатом;</w:t>
      </w:r>
    </w:p>
    <w:p w14:paraId="5101CDC7" w14:textId="435977EB"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авиабомбы</w:t>
      </w:r>
      <w:r w:rsidR="00E52569">
        <w:rPr>
          <w:color w:val="000000" w:themeColor="text1"/>
          <w:sz w:val="16"/>
          <w:szCs w:val="16"/>
        </w:rPr>
        <w:t xml:space="preserve"> </w:t>
      </w:r>
      <w:r w:rsidRPr="002F2FDF">
        <w:rPr>
          <w:color w:val="000000" w:themeColor="text1"/>
          <w:sz w:val="16"/>
          <w:szCs w:val="16"/>
        </w:rPr>
        <w:t>с синильной кислотой в смеси «Винсеннит»</w:t>
      </w:r>
    </w:p>
    <w:p w14:paraId="4D401E3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lastRenderedPageBreak/>
        <w:t>Химические снаряды Соединенного Королевства</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299"/>
        <w:gridCol w:w="1936"/>
        <w:gridCol w:w="2584"/>
        <w:gridCol w:w="3503"/>
      </w:tblGrid>
      <w:tr w:rsidR="002B1C74" w:rsidRPr="002F2FDF" w14:paraId="575F422A" w14:textId="77777777" w:rsidTr="00920A70">
        <w:trPr>
          <w:tblCellSpacing w:w="15" w:type="dxa"/>
        </w:trPr>
        <w:tc>
          <w:tcPr>
            <w:tcW w:w="6150" w:type="dxa"/>
            <w:tcBorders>
              <w:top w:val="outset" w:sz="6" w:space="0" w:color="auto"/>
              <w:left w:val="outset" w:sz="6" w:space="0" w:color="auto"/>
              <w:bottom w:val="outset" w:sz="6" w:space="0" w:color="auto"/>
              <w:right w:val="outset" w:sz="6" w:space="0" w:color="auto"/>
            </w:tcBorders>
            <w:hideMark/>
          </w:tcPr>
          <w:p w14:paraId="2FD4E6E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Калибр, см</w:t>
            </w:r>
          </w:p>
        </w:tc>
        <w:tc>
          <w:tcPr>
            <w:tcW w:w="3315" w:type="dxa"/>
            <w:tcBorders>
              <w:top w:val="outset" w:sz="6" w:space="0" w:color="auto"/>
              <w:left w:val="outset" w:sz="6" w:space="0" w:color="auto"/>
              <w:bottom w:val="outset" w:sz="6" w:space="0" w:color="auto"/>
              <w:right w:val="outset" w:sz="6" w:space="0" w:color="auto"/>
            </w:tcBorders>
            <w:hideMark/>
          </w:tcPr>
          <w:p w14:paraId="15ABC0A2"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Вес стакана, кг</w:t>
            </w:r>
          </w:p>
        </w:tc>
        <w:tc>
          <w:tcPr>
            <w:tcW w:w="4320" w:type="dxa"/>
            <w:tcBorders>
              <w:top w:val="outset" w:sz="6" w:space="0" w:color="auto"/>
              <w:left w:val="outset" w:sz="6" w:space="0" w:color="auto"/>
              <w:bottom w:val="outset" w:sz="6" w:space="0" w:color="auto"/>
              <w:right w:val="outset" w:sz="6" w:space="0" w:color="auto"/>
            </w:tcBorders>
            <w:hideMark/>
          </w:tcPr>
          <w:p w14:paraId="7909B29B"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Вес химического заряда, кг</w:t>
            </w:r>
          </w:p>
        </w:tc>
        <w:tc>
          <w:tcPr>
            <w:tcW w:w="5970" w:type="dxa"/>
            <w:tcBorders>
              <w:top w:val="outset" w:sz="6" w:space="0" w:color="auto"/>
              <w:left w:val="outset" w:sz="6" w:space="0" w:color="auto"/>
              <w:bottom w:val="outset" w:sz="6" w:space="0" w:color="auto"/>
              <w:right w:val="outset" w:sz="6" w:space="0" w:color="auto"/>
            </w:tcBorders>
            <w:hideMark/>
          </w:tcPr>
          <w:p w14:paraId="0415E78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Состав химического заряда</w:t>
            </w:r>
          </w:p>
        </w:tc>
      </w:tr>
      <w:tr w:rsidR="002B1C74" w:rsidRPr="002F2FDF" w14:paraId="699D5BF5" w14:textId="77777777" w:rsidTr="00920A70">
        <w:trPr>
          <w:tblCellSpacing w:w="15" w:type="dxa"/>
        </w:trPr>
        <w:tc>
          <w:tcPr>
            <w:tcW w:w="6150" w:type="dxa"/>
            <w:vMerge w:val="restart"/>
            <w:tcBorders>
              <w:top w:val="outset" w:sz="6" w:space="0" w:color="auto"/>
              <w:left w:val="outset" w:sz="6" w:space="0" w:color="auto"/>
              <w:bottom w:val="outset" w:sz="6" w:space="0" w:color="auto"/>
              <w:right w:val="outset" w:sz="6" w:space="0" w:color="auto"/>
            </w:tcBorders>
            <w:hideMark/>
          </w:tcPr>
          <w:p w14:paraId="7C7A1A3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11,4</w:t>
            </w:r>
          </w:p>
        </w:tc>
        <w:tc>
          <w:tcPr>
            <w:tcW w:w="3315" w:type="dxa"/>
            <w:tcBorders>
              <w:top w:val="outset" w:sz="6" w:space="0" w:color="auto"/>
              <w:left w:val="outset" w:sz="6" w:space="0" w:color="auto"/>
              <w:bottom w:val="outset" w:sz="6" w:space="0" w:color="auto"/>
              <w:right w:val="outset" w:sz="6" w:space="0" w:color="auto"/>
            </w:tcBorders>
            <w:hideMark/>
          </w:tcPr>
          <w:p w14:paraId="734CFC2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14,65</w:t>
            </w:r>
          </w:p>
        </w:tc>
        <w:tc>
          <w:tcPr>
            <w:tcW w:w="4320" w:type="dxa"/>
            <w:tcBorders>
              <w:top w:val="outset" w:sz="6" w:space="0" w:color="auto"/>
              <w:left w:val="outset" w:sz="6" w:space="0" w:color="auto"/>
              <w:bottom w:val="outset" w:sz="6" w:space="0" w:color="auto"/>
              <w:right w:val="outset" w:sz="6" w:space="0" w:color="auto"/>
            </w:tcBorders>
            <w:hideMark/>
          </w:tcPr>
          <w:p w14:paraId="6B7289A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0,870</w:t>
            </w:r>
          </w:p>
        </w:tc>
        <w:tc>
          <w:tcPr>
            <w:tcW w:w="5970" w:type="dxa"/>
            <w:tcBorders>
              <w:top w:val="outset" w:sz="6" w:space="0" w:color="auto"/>
              <w:left w:val="outset" w:sz="6" w:space="0" w:color="auto"/>
              <w:bottom w:val="outset" w:sz="6" w:space="0" w:color="auto"/>
              <w:right w:val="outset" w:sz="6" w:space="0" w:color="auto"/>
            </w:tcBorders>
            <w:hideMark/>
          </w:tcPr>
          <w:p w14:paraId="2418E1DB"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Этилиодацетат</w:t>
            </w:r>
          </w:p>
        </w:tc>
      </w:tr>
      <w:tr w:rsidR="002B1C74" w:rsidRPr="002F2FDF" w14:paraId="25C520F8"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4DDB832"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58F0291C" w14:textId="56A8D416" w:rsidR="00B40BBD"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c>
          <w:tcPr>
            <w:tcW w:w="4320" w:type="dxa"/>
            <w:tcBorders>
              <w:top w:val="outset" w:sz="6" w:space="0" w:color="auto"/>
              <w:left w:val="outset" w:sz="6" w:space="0" w:color="auto"/>
              <w:bottom w:val="outset" w:sz="6" w:space="0" w:color="auto"/>
              <w:right w:val="outset" w:sz="6" w:space="0" w:color="auto"/>
            </w:tcBorders>
            <w:hideMark/>
          </w:tcPr>
          <w:p w14:paraId="1065F3F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0,850</w:t>
            </w:r>
          </w:p>
        </w:tc>
        <w:tc>
          <w:tcPr>
            <w:tcW w:w="5970" w:type="dxa"/>
            <w:tcBorders>
              <w:top w:val="outset" w:sz="6" w:space="0" w:color="auto"/>
              <w:left w:val="outset" w:sz="6" w:space="0" w:color="auto"/>
              <w:bottom w:val="outset" w:sz="6" w:space="0" w:color="auto"/>
              <w:right w:val="outset" w:sz="6" w:space="0" w:color="auto"/>
            </w:tcBorders>
            <w:hideMark/>
          </w:tcPr>
          <w:p w14:paraId="324BECB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70% этилиодацетата, 30% спирта и уксусного эфира</w:t>
            </w:r>
          </w:p>
        </w:tc>
      </w:tr>
      <w:tr w:rsidR="002B1C74" w:rsidRPr="002F2FDF" w14:paraId="13931787"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68E8092"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73E71689" w14:textId="34A293A0" w:rsidR="00B40BBD"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c>
          <w:tcPr>
            <w:tcW w:w="4320" w:type="dxa"/>
            <w:tcBorders>
              <w:top w:val="outset" w:sz="6" w:space="0" w:color="auto"/>
              <w:left w:val="outset" w:sz="6" w:space="0" w:color="auto"/>
              <w:bottom w:val="outset" w:sz="6" w:space="0" w:color="auto"/>
              <w:right w:val="outset" w:sz="6" w:space="0" w:color="auto"/>
            </w:tcBorders>
            <w:hideMark/>
          </w:tcPr>
          <w:p w14:paraId="03587A2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1,00</w:t>
            </w:r>
          </w:p>
        </w:tc>
        <w:tc>
          <w:tcPr>
            <w:tcW w:w="5970" w:type="dxa"/>
            <w:tcBorders>
              <w:top w:val="outset" w:sz="6" w:space="0" w:color="auto"/>
              <w:left w:val="outset" w:sz="6" w:space="0" w:color="auto"/>
              <w:bottom w:val="outset" w:sz="6" w:space="0" w:color="auto"/>
              <w:right w:val="outset" w:sz="6" w:space="0" w:color="auto"/>
            </w:tcBorders>
            <w:hideMark/>
          </w:tcPr>
          <w:p w14:paraId="745247A2"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Хлорпикрин</w:t>
            </w:r>
          </w:p>
        </w:tc>
      </w:tr>
      <w:tr w:rsidR="002B1C74" w:rsidRPr="002F2FDF" w14:paraId="7675E801"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CFA4B52"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792841E2"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13,50</w:t>
            </w:r>
          </w:p>
        </w:tc>
        <w:tc>
          <w:tcPr>
            <w:tcW w:w="4320" w:type="dxa"/>
            <w:tcBorders>
              <w:top w:val="outset" w:sz="6" w:space="0" w:color="auto"/>
              <w:left w:val="outset" w:sz="6" w:space="0" w:color="auto"/>
              <w:bottom w:val="outset" w:sz="6" w:space="0" w:color="auto"/>
              <w:right w:val="outset" w:sz="6" w:space="0" w:color="auto"/>
            </w:tcBorders>
            <w:hideMark/>
          </w:tcPr>
          <w:p w14:paraId="187464AE"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1,50</w:t>
            </w:r>
          </w:p>
        </w:tc>
        <w:tc>
          <w:tcPr>
            <w:tcW w:w="5970" w:type="dxa"/>
            <w:tcBorders>
              <w:top w:val="outset" w:sz="6" w:space="0" w:color="auto"/>
              <w:left w:val="outset" w:sz="6" w:space="0" w:color="auto"/>
              <w:bottom w:val="outset" w:sz="6" w:space="0" w:color="auto"/>
              <w:right w:val="outset" w:sz="6" w:space="0" w:color="auto"/>
            </w:tcBorders>
            <w:hideMark/>
          </w:tcPr>
          <w:p w14:paraId="44471824"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80% хлорпикрина, 20% уксусного эфира</w:t>
            </w:r>
          </w:p>
        </w:tc>
      </w:tr>
      <w:tr w:rsidR="002B1C74" w:rsidRPr="002F2FDF" w14:paraId="646E6E62"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45260C8"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07579A39" w14:textId="72C0ED8D" w:rsidR="00B40BBD"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c>
          <w:tcPr>
            <w:tcW w:w="4320" w:type="dxa"/>
            <w:tcBorders>
              <w:top w:val="outset" w:sz="6" w:space="0" w:color="auto"/>
              <w:left w:val="outset" w:sz="6" w:space="0" w:color="auto"/>
              <w:bottom w:val="outset" w:sz="6" w:space="0" w:color="auto"/>
              <w:right w:val="outset" w:sz="6" w:space="0" w:color="auto"/>
            </w:tcBorders>
            <w:hideMark/>
          </w:tcPr>
          <w:p w14:paraId="46C42DB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5970" w:type="dxa"/>
            <w:tcBorders>
              <w:top w:val="outset" w:sz="6" w:space="0" w:color="auto"/>
              <w:left w:val="outset" w:sz="6" w:space="0" w:color="auto"/>
              <w:bottom w:val="outset" w:sz="6" w:space="0" w:color="auto"/>
              <w:right w:val="outset" w:sz="6" w:space="0" w:color="auto"/>
            </w:tcBorders>
            <w:hideMark/>
          </w:tcPr>
          <w:p w14:paraId="6F1A710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80% этилиодацетата, 20% спирта и уксусного эфира</w:t>
            </w:r>
          </w:p>
        </w:tc>
      </w:tr>
      <w:tr w:rsidR="002B1C74" w:rsidRPr="002F2FDF" w14:paraId="00EE370C"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B8D8DD3"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0086CAE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13,20</w:t>
            </w:r>
          </w:p>
        </w:tc>
        <w:tc>
          <w:tcPr>
            <w:tcW w:w="4320" w:type="dxa"/>
            <w:tcBorders>
              <w:top w:val="outset" w:sz="6" w:space="0" w:color="auto"/>
              <w:left w:val="outset" w:sz="6" w:space="0" w:color="auto"/>
              <w:bottom w:val="outset" w:sz="6" w:space="0" w:color="auto"/>
              <w:right w:val="outset" w:sz="6" w:space="0" w:color="auto"/>
            </w:tcBorders>
            <w:hideMark/>
          </w:tcPr>
          <w:p w14:paraId="4E2274C1"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0,89</w:t>
            </w:r>
          </w:p>
        </w:tc>
        <w:tc>
          <w:tcPr>
            <w:tcW w:w="5970" w:type="dxa"/>
            <w:tcBorders>
              <w:top w:val="outset" w:sz="6" w:space="0" w:color="auto"/>
              <w:left w:val="outset" w:sz="6" w:space="0" w:color="auto"/>
              <w:bottom w:val="outset" w:sz="6" w:space="0" w:color="auto"/>
              <w:right w:val="outset" w:sz="6" w:space="0" w:color="auto"/>
            </w:tcBorders>
            <w:hideMark/>
          </w:tcPr>
          <w:p w14:paraId="1AE5E77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55% синильной кислоты, 45% треххлористого мышьяка</w:t>
            </w:r>
          </w:p>
        </w:tc>
      </w:tr>
      <w:tr w:rsidR="002B1C74" w:rsidRPr="002F2FDF" w14:paraId="65A7A1EE"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DC28746"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3ACC5FF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13,56</w:t>
            </w:r>
          </w:p>
        </w:tc>
        <w:tc>
          <w:tcPr>
            <w:tcW w:w="4320" w:type="dxa"/>
            <w:tcBorders>
              <w:top w:val="outset" w:sz="6" w:space="0" w:color="auto"/>
              <w:left w:val="outset" w:sz="6" w:space="0" w:color="auto"/>
              <w:bottom w:val="outset" w:sz="6" w:space="0" w:color="auto"/>
              <w:right w:val="outset" w:sz="6" w:space="0" w:color="auto"/>
            </w:tcBorders>
            <w:hideMark/>
          </w:tcPr>
          <w:p w14:paraId="4D89B23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1,64</w:t>
            </w:r>
          </w:p>
        </w:tc>
        <w:tc>
          <w:tcPr>
            <w:tcW w:w="5970" w:type="dxa"/>
            <w:tcBorders>
              <w:top w:val="outset" w:sz="6" w:space="0" w:color="auto"/>
              <w:left w:val="outset" w:sz="6" w:space="0" w:color="auto"/>
              <w:bottom w:val="outset" w:sz="6" w:space="0" w:color="auto"/>
              <w:right w:val="outset" w:sz="6" w:space="0" w:color="auto"/>
            </w:tcBorders>
            <w:hideMark/>
          </w:tcPr>
          <w:p w14:paraId="36869FA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78% хлорпикрина, 22% хлорного олова (N С)</w:t>
            </w:r>
          </w:p>
        </w:tc>
      </w:tr>
      <w:tr w:rsidR="002B1C74" w:rsidRPr="002F2FDF" w14:paraId="499A4F52"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AFC269D"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6662383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12,70</w:t>
            </w:r>
          </w:p>
        </w:tc>
        <w:tc>
          <w:tcPr>
            <w:tcW w:w="4320" w:type="dxa"/>
            <w:tcBorders>
              <w:top w:val="outset" w:sz="6" w:space="0" w:color="auto"/>
              <w:left w:val="outset" w:sz="6" w:space="0" w:color="auto"/>
              <w:bottom w:val="outset" w:sz="6" w:space="0" w:color="auto"/>
              <w:right w:val="outset" w:sz="6" w:space="0" w:color="auto"/>
            </w:tcBorders>
            <w:hideMark/>
          </w:tcPr>
          <w:p w14:paraId="611468E1"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1,52</w:t>
            </w:r>
          </w:p>
        </w:tc>
        <w:tc>
          <w:tcPr>
            <w:tcW w:w="5970" w:type="dxa"/>
            <w:tcBorders>
              <w:top w:val="outset" w:sz="6" w:space="0" w:color="auto"/>
              <w:left w:val="outset" w:sz="6" w:space="0" w:color="auto"/>
              <w:bottom w:val="outset" w:sz="6" w:space="0" w:color="auto"/>
              <w:right w:val="outset" w:sz="6" w:space="0" w:color="auto"/>
            </w:tcBorders>
            <w:hideMark/>
          </w:tcPr>
          <w:p w14:paraId="67086F14"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75% этилиодацетата, 25% спирта и уксусного эфира.</w:t>
            </w:r>
          </w:p>
        </w:tc>
      </w:tr>
      <w:tr w:rsidR="002B1C74" w:rsidRPr="002F2FDF" w14:paraId="7A937406"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FE1DCB3"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56DC85A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13,00</w:t>
            </w:r>
          </w:p>
        </w:tc>
        <w:tc>
          <w:tcPr>
            <w:tcW w:w="4320" w:type="dxa"/>
            <w:tcBorders>
              <w:top w:val="outset" w:sz="6" w:space="0" w:color="auto"/>
              <w:left w:val="outset" w:sz="6" w:space="0" w:color="auto"/>
              <w:bottom w:val="outset" w:sz="6" w:space="0" w:color="auto"/>
              <w:right w:val="outset" w:sz="6" w:space="0" w:color="auto"/>
            </w:tcBorders>
            <w:hideMark/>
          </w:tcPr>
          <w:p w14:paraId="65016F6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1,85</w:t>
            </w:r>
          </w:p>
        </w:tc>
        <w:tc>
          <w:tcPr>
            <w:tcW w:w="5970" w:type="dxa"/>
            <w:tcBorders>
              <w:top w:val="outset" w:sz="6" w:space="0" w:color="auto"/>
              <w:left w:val="outset" w:sz="6" w:space="0" w:color="auto"/>
              <w:bottom w:val="outset" w:sz="6" w:space="0" w:color="auto"/>
              <w:right w:val="outset" w:sz="6" w:space="0" w:color="auto"/>
            </w:tcBorders>
            <w:hideMark/>
          </w:tcPr>
          <w:p w14:paraId="031C952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90% хлорпикрина, 10% этилиодацетата</w:t>
            </w:r>
          </w:p>
        </w:tc>
      </w:tr>
      <w:tr w:rsidR="002B1C74" w:rsidRPr="002F2FDF" w14:paraId="4E8E9A0C"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5D70F7C"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2679B17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13,10</w:t>
            </w:r>
          </w:p>
        </w:tc>
        <w:tc>
          <w:tcPr>
            <w:tcW w:w="4320" w:type="dxa"/>
            <w:tcBorders>
              <w:top w:val="outset" w:sz="6" w:space="0" w:color="auto"/>
              <w:left w:val="outset" w:sz="6" w:space="0" w:color="auto"/>
              <w:bottom w:val="outset" w:sz="6" w:space="0" w:color="auto"/>
              <w:right w:val="outset" w:sz="6" w:space="0" w:color="auto"/>
            </w:tcBorders>
            <w:hideMark/>
          </w:tcPr>
          <w:p w14:paraId="259AA6AF" w14:textId="6101EEC2" w:rsidR="00B40BBD"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c>
          <w:tcPr>
            <w:tcW w:w="5970" w:type="dxa"/>
            <w:tcBorders>
              <w:top w:val="outset" w:sz="6" w:space="0" w:color="auto"/>
              <w:left w:val="outset" w:sz="6" w:space="0" w:color="auto"/>
              <w:bottom w:val="outset" w:sz="6" w:space="0" w:color="auto"/>
              <w:right w:val="outset" w:sz="6" w:space="0" w:color="auto"/>
            </w:tcBorders>
            <w:hideMark/>
          </w:tcPr>
          <w:p w14:paraId="38F949B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76 % хлорпикрина, 24 % хлорного олова (N С)</w:t>
            </w:r>
          </w:p>
        </w:tc>
      </w:tr>
      <w:tr w:rsidR="002B1C74" w:rsidRPr="002F2FDF" w14:paraId="01CB5AAA"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FB895A6"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7751F29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12,70</w:t>
            </w:r>
          </w:p>
        </w:tc>
        <w:tc>
          <w:tcPr>
            <w:tcW w:w="4320" w:type="dxa"/>
            <w:tcBorders>
              <w:top w:val="outset" w:sz="6" w:space="0" w:color="auto"/>
              <w:left w:val="outset" w:sz="6" w:space="0" w:color="auto"/>
              <w:bottom w:val="outset" w:sz="6" w:space="0" w:color="auto"/>
              <w:right w:val="outset" w:sz="6" w:space="0" w:color="auto"/>
            </w:tcBorders>
            <w:hideMark/>
          </w:tcPr>
          <w:p w14:paraId="1DD4A3A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1,60</w:t>
            </w:r>
          </w:p>
        </w:tc>
        <w:tc>
          <w:tcPr>
            <w:tcW w:w="5970" w:type="dxa"/>
            <w:tcBorders>
              <w:top w:val="outset" w:sz="6" w:space="0" w:color="auto"/>
              <w:left w:val="outset" w:sz="6" w:space="0" w:color="auto"/>
              <w:bottom w:val="outset" w:sz="6" w:space="0" w:color="auto"/>
              <w:right w:val="outset" w:sz="6" w:space="0" w:color="auto"/>
            </w:tcBorders>
            <w:hideMark/>
          </w:tcPr>
          <w:p w14:paraId="019665C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50 % фосгена, 50 % треххлористого мышьяка</w:t>
            </w:r>
          </w:p>
        </w:tc>
      </w:tr>
      <w:tr w:rsidR="002B1C74" w:rsidRPr="002F2FDF" w14:paraId="1A2E3F19" w14:textId="77777777" w:rsidTr="00920A70">
        <w:trPr>
          <w:tblCellSpacing w:w="15" w:type="dxa"/>
        </w:trPr>
        <w:tc>
          <w:tcPr>
            <w:tcW w:w="6150" w:type="dxa"/>
            <w:tcBorders>
              <w:top w:val="outset" w:sz="6" w:space="0" w:color="auto"/>
              <w:left w:val="outset" w:sz="6" w:space="0" w:color="auto"/>
              <w:bottom w:val="outset" w:sz="6" w:space="0" w:color="auto"/>
              <w:right w:val="outset" w:sz="6" w:space="0" w:color="auto"/>
            </w:tcBorders>
            <w:hideMark/>
          </w:tcPr>
          <w:p w14:paraId="7161D74A"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11,9</w:t>
            </w:r>
          </w:p>
        </w:tc>
        <w:tc>
          <w:tcPr>
            <w:tcW w:w="3315" w:type="dxa"/>
            <w:tcBorders>
              <w:top w:val="outset" w:sz="6" w:space="0" w:color="auto"/>
              <w:left w:val="outset" w:sz="6" w:space="0" w:color="auto"/>
              <w:bottom w:val="outset" w:sz="6" w:space="0" w:color="auto"/>
              <w:right w:val="outset" w:sz="6" w:space="0" w:color="auto"/>
            </w:tcBorders>
            <w:hideMark/>
          </w:tcPr>
          <w:p w14:paraId="518D2BA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16,80</w:t>
            </w:r>
          </w:p>
        </w:tc>
        <w:tc>
          <w:tcPr>
            <w:tcW w:w="4320" w:type="dxa"/>
            <w:tcBorders>
              <w:top w:val="outset" w:sz="6" w:space="0" w:color="auto"/>
              <w:left w:val="outset" w:sz="6" w:space="0" w:color="auto"/>
              <w:bottom w:val="outset" w:sz="6" w:space="0" w:color="auto"/>
              <w:right w:val="outset" w:sz="6" w:space="0" w:color="auto"/>
            </w:tcBorders>
            <w:hideMark/>
          </w:tcPr>
          <w:p w14:paraId="2FD16BD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1,40</w:t>
            </w:r>
          </w:p>
        </w:tc>
        <w:tc>
          <w:tcPr>
            <w:tcW w:w="5970" w:type="dxa"/>
            <w:tcBorders>
              <w:top w:val="outset" w:sz="6" w:space="0" w:color="auto"/>
              <w:left w:val="outset" w:sz="6" w:space="0" w:color="auto"/>
              <w:bottom w:val="outset" w:sz="6" w:space="0" w:color="auto"/>
              <w:right w:val="outset" w:sz="6" w:space="0" w:color="auto"/>
            </w:tcBorders>
            <w:hideMark/>
          </w:tcPr>
          <w:p w14:paraId="10229802"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Хлорпикрин</w:t>
            </w:r>
          </w:p>
        </w:tc>
      </w:tr>
      <w:tr w:rsidR="002B1C74" w:rsidRPr="002F2FDF" w14:paraId="65CAA26D" w14:textId="77777777" w:rsidTr="00920A70">
        <w:trPr>
          <w:tblCellSpacing w:w="15" w:type="dxa"/>
        </w:trPr>
        <w:tc>
          <w:tcPr>
            <w:tcW w:w="6150" w:type="dxa"/>
            <w:vMerge w:val="restart"/>
            <w:tcBorders>
              <w:top w:val="outset" w:sz="6" w:space="0" w:color="auto"/>
              <w:left w:val="outset" w:sz="6" w:space="0" w:color="auto"/>
              <w:bottom w:val="outset" w:sz="6" w:space="0" w:color="auto"/>
              <w:right w:val="outset" w:sz="6" w:space="0" w:color="auto"/>
            </w:tcBorders>
            <w:hideMark/>
          </w:tcPr>
          <w:p w14:paraId="7B3768A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12,7</w:t>
            </w:r>
          </w:p>
        </w:tc>
        <w:tc>
          <w:tcPr>
            <w:tcW w:w="3315" w:type="dxa"/>
            <w:tcBorders>
              <w:top w:val="outset" w:sz="6" w:space="0" w:color="auto"/>
              <w:left w:val="outset" w:sz="6" w:space="0" w:color="auto"/>
              <w:bottom w:val="outset" w:sz="6" w:space="0" w:color="auto"/>
              <w:right w:val="outset" w:sz="6" w:space="0" w:color="auto"/>
            </w:tcBorders>
            <w:hideMark/>
          </w:tcPr>
          <w:p w14:paraId="17B71FA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24,00</w:t>
            </w:r>
          </w:p>
        </w:tc>
        <w:tc>
          <w:tcPr>
            <w:tcW w:w="4320" w:type="dxa"/>
            <w:tcBorders>
              <w:top w:val="outset" w:sz="6" w:space="0" w:color="auto"/>
              <w:left w:val="outset" w:sz="6" w:space="0" w:color="auto"/>
              <w:bottom w:val="outset" w:sz="6" w:space="0" w:color="auto"/>
              <w:right w:val="outset" w:sz="6" w:space="0" w:color="auto"/>
            </w:tcBorders>
            <w:hideMark/>
          </w:tcPr>
          <w:p w14:paraId="6745C75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5970" w:type="dxa"/>
            <w:tcBorders>
              <w:top w:val="outset" w:sz="6" w:space="0" w:color="auto"/>
              <w:left w:val="outset" w:sz="6" w:space="0" w:color="auto"/>
              <w:bottom w:val="outset" w:sz="6" w:space="0" w:color="auto"/>
              <w:right w:val="outset" w:sz="6" w:space="0" w:color="auto"/>
            </w:tcBorders>
            <w:hideMark/>
          </w:tcPr>
          <w:p w14:paraId="7AFD62F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Этилиодацетат</w:t>
            </w:r>
          </w:p>
        </w:tc>
      </w:tr>
      <w:tr w:rsidR="002B1C74" w:rsidRPr="002F2FDF" w14:paraId="6BF63505"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9C623D0"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3158B1D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24,00</w:t>
            </w:r>
          </w:p>
        </w:tc>
        <w:tc>
          <w:tcPr>
            <w:tcW w:w="4320" w:type="dxa"/>
            <w:tcBorders>
              <w:top w:val="outset" w:sz="6" w:space="0" w:color="auto"/>
              <w:left w:val="outset" w:sz="6" w:space="0" w:color="auto"/>
              <w:bottom w:val="outset" w:sz="6" w:space="0" w:color="auto"/>
              <w:right w:val="outset" w:sz="6" w:space="0" w:color="auto"/>
            </w:tcBorders>
            <w:hideMark/>
          </w:tcPr>
          <w:p w14:paraId="32AB3F5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2,00</w:t>
            </w:r>
          </w:p>
        </w:tc>
        <w:tc>
          <w:tcPr>
            <w:tcW w:w="5970" w:type="dxa"/>
            <w:tcBorders>
              <w:top w:val="outset" w:sz="6" w:space="0" w:color="auto"/>
              <w:left w:val="outset" w:sz="6" w:space="0" w:color="auto"/>
              <w:bottom w:val="outset" w:sz="6" w:space="0" w:color="auto"/>
              <w:right w:val="outset" w:sz="6" w:space="0" w:color="auto"/>
            </w:tcBorders>
            <w:hideMark/>
          </w:tcPr>
          <w:p w14:paraId="6EA9322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Хлорпикрин</w:t>
            </w:r>
          </w:p>
        </w:tc>
      </w:tr>
      <w:tr w:rsidR="002B1C74" w:rsidRPr="002F2FDF" w14:paraId="6D61BF47"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F5CF0D5"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0B900A8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23,40</w:t>
            </w:r>
          </w:p>
        </w:tc>
        <w:tc>
          <w:tcPr>
            <w:tcW w:w="4320" w:type="dxa"/>
            <w:tcBorders>
              <w:top w:val="outset" w:sz="6" w:space="0" w:color="auto"/>
              <w:left w:val="outset" w:sz="6" w:space="0" w:color="auto"/>
              <w:bottom w:val="outset" w:sz="6" w:space="0" w:color="auto"/>
              <w:right w:val="outset" w:sz="6" w:space="0" w:color="auto"/>
            </w:tcBorders>
            <w:hideMark/>
          </w:tcPr>
          <w:p w14:paraId="2FEF924A" w14:textId="5C0889EC" w:rsidR="00B40BBD"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c>
          <w:tcPr>
            <w:tcW w:w="5970" w:type="dxa"/>
            <w:tcBorders>
              <w:top w:val="outset" w:sz="6" w:space="0" w:color="auto"/>
              <w:left w:val="outset" w:sz="6" w:space="0" w:color="auto"/>
              <w:bottom w:val="outset" w:sz="6" w:space="0" w:color="auto"/>
              <w:right w:val="outset" w:sz="6" w:space="0" w:color="auto"/>
            </w:tcBorders>
            <w:hideMark/>
          </w:tcPr>
          <w:p w14:paraId="14CBE6CB"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70 % этилиодацетата, 30% спирта и уксусного эфира</w:t>
            </w:r>
          </w:p>
        </w:tc>
      </w:tr>
      <w:tr w:rsidR="002B1C74" w:rsidRPr="002F2FDF" w14:paraId="3D543B2C"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9F3F636"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7F39535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23,50</w:t>
            </w:r>
          </w:p>
        </w:tc>
        <w:tc>
          <w:tcPr>
            <w:tcW w:w="4320" w:type="dxa"/>
            <w:tcBorders>
              <w:top w:val="outset" w:sz="6" w:space="0" w:color="auto"/>
              <w:left w:val="outset" w:sz="6" w:space="0" w:color="auto"/>
              <w:bottom w:val="outset" w:sz="6" w:space="0" w:color="auto"/>
              <w:right w:val="outset" w:sz="6" w:space="0" w:color="auto"/>
            </w:tcBorders>
            <w:hideMark/>
          </w:tcPr>
          <w:p w14:paraId="553F867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2,40</w:t>
            </w:r>
          </w:p>
        </w:tc>
        <w:tc>
          <w:tcPr>
            <w:tcW w:w="5970" w:type="dxa"/>
            <w:tcBorders>
              <w:top w:val="outset" w:sz="6" w:space="0" w:color="auto"/>
              <w:left w:val="outset" w:sz="6" w:space="0" w:color="auto"/>
              <w:bottom w:val="outset" w:sz="6" w:space="0" w:color="auto"/>
              <w:right w:val="outset" w:sz="6" w:space="0" w:color="auto"/>
            </w:tcBorders>
            <w:hideMark/>
          </w:tcPr>
          <w:p w14:paraId="0115D335" w14:textId="6EA2F74A"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53 % фосгена, 47°/0</w:t>
            </w:r>
            <w:r w:rsidR="00E52569">
              <w:rPr>
                <w:color w:val="000000" w:themeColor="text1"/>
                <w:sz w:val="16"/>
                <w:szCs w:val="16"/>
              </w:rPr>
              <w:t xml:space="preserve"> </w:t>
            </w:r>
            <w:r w:rsidRPr="002F2FDF">
              <w:rPr>
                <w:color w:val="000000" w:themeColor="text1"/>
                <w:sz w:val="16"/>
                <w:szCs w:val="16"/>
              </w:rPr>
              <w:t>треххлористого мышьяка</w:t>
            </w:r>
          </w:p>
        </w:tc>
      </w:tr>
      <w:tr w:rsidR="002B1C74" w:rsidRPr="002F2FDF" w14:paraId="2DA8B354" w14:textId="77777777" w:rsidTr="00920A70">
        <w:trPr>
          <w:tblCellSpacing w:w="15" w:type="dxa"/>
        </w:trPr>
        <w:tc>
          <w:tcPr>
            <w:tcW w:w="0" w:type="auto"/>
            <w:gridSpan w:val="4"/>
            <w:tcBorders>
              <w:top w:val="outset" w:sz="6" w:space="0" w:color="auto"/>
              <w:left w:val="outset" w:sz="6" w:space="0" w:color="auto"/>
              <w:bottom w:val="outset" w:sz="6" w:space="0" w:color="auto"/>
              <w:right w:val="outset" w:sz="6" w:space="0" w:color="auto"/>
            </w:tcBorders>
            <w:hideMark/>
          </w:tcPr>
          <w:p w14:paraId="636ED33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Кроме того, иприт (конец 1918 г.)</w:t>
            </w:r>
          </w:p>
        </w:tc>
      </w:tr>
    </w:tbl>
    <w:p w14:paraId="3BF45DA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Газобаллоны Соединенного Королевства*</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661"/>
        <w:gridCol w:w="5661"/>
      </w:tblGrid>
      <w:tr w:rsidR="002B1C74" w:rsidRPr="002F2FDF" w14:paraId="37F432D4" w14:textId="77777777" w:rsidTr="00920A70">
        <w:trPr>
          <w:tblCellSpacing w:w="15" w:type="dxa"/>
        </w:trPr>
        <w:tc>
          <w:tcPr>
            <w:tcW w:w="5490" w:type="dxa"/>
            <w:tcBorders>
              <w:top w:val="outset" w:sz="6" w:space="0" w:color="auto"/>
              <w:left w:val="outset" w:sz="6" w:space="0" w:color="auto"/>
              <w:bottom w:val="outset" w:sz="6" w:space="0" w:color="auto"/>
              <w:right w:val="outset" w:sz="6" w:space="0" w:color="auto"/>
            </w:tcBorders>
            <w:hideMark/>
          </w:tcPr>
          <w:p w14:paraId="28B9BC1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Хлор</w:t>
            </w:r>
          </w:p>
        </w:tc>
        <w:tc>
          <w:tcPr>
            <w:tcW w:w="5490" w:type="dxa"/>
            <w:vMerge w:val="restart"/>
            <w:tcBorders>
              <w:top w:val="outset" w:sz="6" w:space="0" w:color="auto"/>
              <w:left w:val="outset" w:sz="6" w:space="0" w:color="auto"/>
              <w:bottom w:val="outset" w:sz="6" w:space="0" w:color="auto"/>
              <w:right w:val="outset" w:sz="6" w:space="0" w:color="auto"/>
            </w:tcBorders>
            <w:hideMark/>
          </w:tcPr>
          <w:p w14:paraId="787191D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в различных пропорциях</w:t>
            </w:r>
          </w:p>
        </w:tc>
      </w:tr>
      <w:tr w:rsidR="002B1C74" w:rsidRPr="002F2FDF" w14:paraId="336C950C" w14:textId="77777777" w:rsidTr="00920A70">
        <w:trPr>
          <w:tblCellSpacing w:w="15" w:type="dxa"/>
        </w:trPr>
        <w:tc>
          <w:tcPr>
            <w:tcW w:w="5490" w:type="dxa"/>
            <w:tcBorders>
              <w:top w:val="outset" w:sz="6" w:space="0" w:color="auto"/>
              <w:left w:val="outset" w:sz="6" w:space="0" w:color="auto"/>
              <w:bottom w:val="outset" w:sz="6" w:space="0" w:color="auto"/>
              <w:right w:val="outset" w:sz="6" w:space="0" w:color="auto"/>
            </w:tcBorders>
            <w:hideMark/>
          </w:tcPr>
          <w:p w14:paraId="2E4ECD8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Хлор и хлорпикрин</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02E8337"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r>
      <w:tr w:rsidR="002B1C74" w:rsidRPr="002F2FDF" w14:paraId="406AEFF3" w14:textId="77777777" w:rsidTr="00920A70">
        <w:trPr>
          <w:tblCellSpacing w:w="15" w:type="dxa"/>
        </w:trPr>
        <w:tc>
          <w:tcPr>
            <w:tcW w:w="5490" w:type="dxa"/>
            <w:tcBorders>
              <w:top w:val="outset" w:sz="6" w:space="0" w:color="auto"/>
              <w:left w:val="outset" w:sz="6" w:space="0" w:color="auto"/>
              <w:bottom w:val="outset" w:sz="6" w:space="0" w:color="auto"/>
              <w:right w:val="outset" w:sz="6" w:space="0" w:color="auto"/>
            </w:tcBorders>
            <w:hideMark/>
          </w:tcPr>
          <w:p w14:paraId="679EAC72"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Хлор и фосген</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D4A8F5E" w14:textId="77777777" w:rsidR="00B40BBD" w:rsidRPr="002F2FDF" w:rsidRDefault="00B40BBD" w:rsidP="0083075A">
            <w:pPr>
              <w:spacing w:after="0" w:line="240" w:lineRule="auto"/>
              <w:jc w:val="both"/>
              <w:rPr>
                <w:rFonts w:ascii="Times New Roman" w:hAnsi="Times New Roman" w:cs="Times New Roman"/>
                <w:color w:val="000000" w:themeColor="text1"/>
                <w:sz w:val="16"/>
                <w:szCs w:val="16"/>
              </w:rPr>
            </w:pPr>
          </w:p>
        </w:tc>
      </w:tr>
    </w:tbl>
    <w:p w14:paraId="61841F3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 Кроме того, британской армией использовались:</w:t>
      </w:r>
    </w:p>
    <w:p w14:paraId="24AE1D9B"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минометные и газометные химические мины, снаряженные этилиодацетатом, хлорпикрином, фосгеном (чистым); смесями, содержащими 80 % хлорпикрина и 20 хлорного олова; хлор с фосгеном;</w:t>
      </w:r>
    </w:p>
    <w:p w14:paraId="46B2859F" w14:textId="7D4FEA52"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Химические ручные гранаты</w:t>
      </w:r>
      <w:r w:rsidR="00E52569">
        <w:rPr>
          <w:color w:val="000000" w:themeColor="text1"/>
          <w:sz w:val="16"/>
          <w:szCs w:val="16"/>
        </w:rPr>
        <w:t xml:space="preserve"> </w:t>
      </w:r>
      <w:r w:rsidRPr="002F2FDF">
        <w:rPr>
          <w:color w:val="000000" w:themeColor="text1"/>
          <w:sz w:val="16"/>
          <w:szCs w:val="16"/>
        </w:rPr>
        <w:t>со смесью, включающей 75% этилиодацетата и 25% спирта; этилиодацетатом (чистым); смесью 80 % хлорпикрина и 20 % хлорного олова; в конце 1918 г. с ипритом.</w:t>
      </w:r>
    </w:p>
    <w:p w14:paraId="49BCF51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Русские химические снаряды*</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228"/>
        <w:gridCol w:w="1527"/>
        <w:gridCol w:w="2082"/>
        <w:gridCol w:w="6485"/>
      </w:tblGrid>
      <w:tr w:rsidR="002B1C74" w:rsidRPr="002F2FDF" w14:paraId="04CA643E"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71131C0A"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Калибр, см</w:t>
            </w:r>
          </w:p>
        </w:tc>
        <w:tc>
          <w:tcPr>
            <w:tcW w:w="2460" w:type="dxa"/>
            <w:tcBorders>
              <w:top w:val="outset" w:sz="6" w:space="0" w:color="auto"/>
              <w:left w:val="outset" w:sz="6" w:space="0" w:color="auto"/>
              <w:bottom w:val="outset" w:sz="6" w:space="0" w:color="auto"/>
              <w:right w:val="outset" w:sz="6" w:space="0" w:color="auto"/>
            </w:tcBorders>
            <w:hideMark/>
          </w:tcPr>
          <w:p w14:paraId="05279DA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Вес стакана, кг</w:t>
            </w:r>
          </w:p>
        </w:tc>
        <w:tc>
          <w:tcPr>
            <w:tcW w:w="3270" w:type="dxa"/>
            <w:tcBorders>
              <w:top w:val="outset" w:sz="6" w:space="0" w:color="auto"/>
              <w:left w:val="outset" w:sz="6" w:space="0" w:color="auto"/>
              <w:bottom w:val="outset" w:sz="6" w:space="0" w:color="auto"/>
              <w:right w:val="outset" w:sz="6" w:space="0" w:color="auto"/>
            </w:tcBorders>
            <w:hideMark/>
          </w:tcPr>
          <w:p w14:paraId="5BD8BB01"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Вес химического заряда, кг</w:t>
            </w:r>
          </w:p>
        </w:tc>
        <w:tc>
          <w:tcPr>
            <w:tcW w:w="12195" w:type="dxa"/>
            <w:tcBorders>
              <w:top w:val="outset" w:sz="6" w:space="0" w:color="auto"/>
              <w:left w:val="outset" w:sz="6" w:space="0" w:color="auto"/>
              <w:bottom w:val="outset" w:sz="6" w:space="0" w:color="auto"/>
              <w:right w:val="outset" w:sz="6" w:space="0" w:color="auto"/>
            </w:tcBorders>
            <w:hideMark/>
          </w:tcPr>
          <w:p w14:paraId="248B084E"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Состав химического заряда</w:t>
            </w:r>
          </w:p>
        </w:tc>
      </w:tr>
      <w:tr w:rsidR="002B1C74" w:rsidRPr="002F2FDF" w14:paraId="65EA2387"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6374521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7,6</w:t>
            </w:r>
          </w:p>
        </w:tc>
        <w:tc>
          <w:tcPr>
            <w:tcW w:w="2460" w:type="dxa"/>
            <w:tcBorders>
              <w:top w:val="outset" w:sz="6" w:space="0" w:color="auto"/>
              <w:left w:val="outset" w:sz="6" w:space="0" w:color="auto"/>
              <w:bottom w:val="outset" w:sz="6" w:space="0" w:color="auto"/>
              <w:right w:val="outset" w:sz="6" w:space="0" w:color="auto"/>
            </w:tcBorders>
            <w:hideMark/>
          </w:tcPr>
          <w:p w14:paraId="007D7B8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5,50</w:t>
            </w:r>
          </w:p>
        </w:tc>
        <w:tc>
          <w:tcPr>
            <w:tcW w:w="3270" w:type="dxa"/>
            <w:tcBorders>
              <w:top w:val="outset" w:sz="6" w:space="0" w:color="auto"/>
              <w:left w:val="outset" w:sz="6" w:space="0" w:color="auto"/>
              <w:bottom w:val="outset" w:sz="6" w:space="0" w:color="auto"/>
              <w:right w:val="outset" w:sz="6" w:space="0" w:color="auto"/>
            </w:tcBorders>
            <w:hideMark/>
          </w:tcPr>
          <w:p w14:paraId="68F958C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12195" w:type="dxa"/>
            <w:tcBorders>
              <w:top w:val="outset" w:sz="6" w:space="0" w:color="auto"/>
              <w:left w:val="outset" w:sz="6" w:space="0" w:color="auto"/>
              <w:bottom w:val="outset" w:sz="6" w:space="0" w:color="auto"/>
              <w:right w:val="outset" w:sz="6" w:space="0" w:color="auto"/>
            </w:tcBorders>
            <w:hideMark/>
          </w:tcPr>
          <w:p w14:paraId="40CF25CE"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Хлорацетон</w:t>
            </w:r>
          </w:p>
        </w:tc>
      </w:tr>
      <w:tr w:rsidR="002B1C74" w:rsidRPr="002F2FDF" w14:paraId="3D9427D6"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6261EE1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7,6</w:t>
            </w:r>
          </w:p>
        </w:tc>
        <w:tc>
          <w:tcPr>
            <w:tcW w:w="2460" w:type="dxa"/>
            <w:tcBorders>
              <w:top w:val="outset" w:sz="6" w:space="0" w:color="auto"/>
              <w:left w:val="outset" w:sz="6" w:space="0" w:color="auto"/>
              <w:bottom w:val="outset" w:sz="6" w:space="0" w:color="auto"/>
              <w:right w:val="outset" w:sz="6" w:space="0" w:color="auto"/>
            </w:tcBorders>
            <w:hideMark/>
          </w:tcPr>
          <w:p w14:paraId="61F913AB"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5,50</w:t>
            </w:r>
          </w:p>
        </w:tc>
        <w:tc>
          <w:tcPr>
            <w:tcW w:w="3270" w:type="dxa"/>
            <w:tcBorders>
              <w:top w:val="outset" w:sz="6" w:space="0" w:color="auto"/>
              <w:left w:val="outset" w:sz="6" w:space="0" w:color="auto"/>
              <w:bottom w:val="outset" w:sz="6" w:space="0" w:color="auto"/>
              <w:right w:val="outset" w:sz="6" w:space="0" w:color="auto"/>
            </w:tcBorders>
            <w:hideMark/>
          </w:tcPr>
          <w:p w14:paraId="2B74835B"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w:t>
            </w:r>
          </w:p>
        </w:tc>
        <w:tc>
          <w:tcPr>
            <w:tcW w:w="12195" w:type="dxa"/>
            <w:tcBorders>
              <w:top w:val="outset" w:sz="6" w:space="0" w:color="auto"/>
              <w:left w:val="outset" w:sz="6" w:space="0" w:color="auto"/>
              <w:bottom w:val="outset" w:sz="6" w:space="0" w:color="auto"/>
              <w:right w:val="outset" w:sz="6" w:space="0" w:color="auto"/>
            </w:tcBorders>
            <w:hideMark/>
          </w:tcPr>
          <w:p w14:paraId="2FDFF3AE"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Хлористый метилмеркаптан и хлористая сера</w:t>
            </w:r>
          </w:p>
        </w:tc>
      </w:tr>
      <w:tr w:rsidR="002B1C74" w:rsidRPr="002F2FDF" w14:paraId="2712CAF2"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77C91D79"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7,6</w:t>
            </w:r>
          </w:p>
        </w:tc>
        <w:tc>
          <w:tcPr>
            <w:tcW w:w="2460" w:type="dxa"/>
            <w:tcBorders>
              <w:top w:val="outset" w:sz="6" w:space="0" w:color="auto"/>
              <w:left w:val="outset" w:sz="6" w:space="0" w:color="auto"/>
              <w:bottom w:val="outset" w:sz="6" w:space="0" w:color="auto"/>
              <w:right w:val="outset" w:sz="6" w:space="0" w:color="auto"/>
            </w:tcBorders>
            <w:hideMark/>
          </w:tcPr>
          <w:p w14:paraId="797C97E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5,50</w:t>
            </w:r>
          </w:p>
        </w:tc>
        <w:tc>
          <w:tcPr>
            <w:tcW w:w="3270" w:type="dxa"/>
            <w:tcBorders>
              <w:top w:val="outset" w:sz="6" w:space="0" w:color="auto"/>
              <w:left w:val="outset" w:sz="6" w:space="0" w:color="auto"/>
              <w:bottom w:val="outset" w:sz="6" w:space="0" w:color="auto"/>
              <w:right w:val="outset" w:sz="6" w:space="0" w:color="auto"/>
            </w:tcBorders>
            <w:hideMark/>
          </w:tcPr>
          <w:p w14:paraId="3BDC56F4"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0,71</w:t>
            </w:r>
          </w:p>
        </w:tc>
        <w:tc>
          <w:tcPr>
            <w:tcW w:w="12195" w:type="dxa"/>
            <w:tcBorders>
              <w:top w:val="outset" w:sz="6" w:space="0" w:color="auto"/>
              <w:left w:val="outset" w:sz="6" w:space="0" w:color="auto"/>
              <w:bottom w:val="outset" w:sz="6" w:space="0" w:color="auto"/>
              <w:right w:val="outset" w:sz="6" w:space="0" w:color="auto"/>
            </w:tcBorders>
            <w:hideMark/>
          </w:tcPr>
          <w:p w14:paraId="0F00A6F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56% хлорпикрина, 44 % хлористого сульфурила</w:t>
            </w:r>
          </w:p>
        </w:tc>
      </w:tr>
      <w:tr w:rsidR="002B1C74" w:rsidRPr="002F2FDF" w14:paraId="1A0F6952"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17005EA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7,6</w:t>
            </w:r>
          </w:p>
        </w:tc>
        <w:tc>
          <w:tcPr>
            <w:tcW w:w="2460" w:type="dxa"/>
            <w:tcBorders>
              <w:top w:val="outset" w:sz="6" w:space="0" w:color="auto"/>
              <w:left w:val="outset" w:sz="6" w:space="0" w:color="auto"/>
              <w:bottom w:val="outset" w:sz="6" w:space="0" w:color="auto"/>
              <w:right w:val="outset" w:sz="6" w:space="0" w:color="auto"/>
            </w:tcBorders>
            <w:hideMark/>
          </w:tcPr>
          <w:p w14:paraId="043B59F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5,50</w:t>
            </w:r>
          </w:p>
        </w:tc>
        <w:tc>
          <w:tcPr>
            <w:tcW w:w="3270" w:type="dxa"/>
            <w:tcBorders>
              <w:top w:val="outset" w:sz="6" w:space="0" w:color="auto"/>
              <w:left w:val="outset" w:sz="6" w:space="0" w:color="auto"/>
              <w:bottom w:val="outset" w:sz="6" w:space="0" w:color="auto"/>
              <w:right w:val="outset" w:sz="6" w:space="0" w:color="auto"/>
            </w:tcBorders>
            <w:hideMark/>
          </w:tcPr>
          <w:p w14:paraId="73F684B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0,75</w:t>
            </w:r>
          </w:p>
        </w:tc>
        <w:tc>
          <w:tcPr>
            <w:tcW w:w="12195" w:type="dxa"/>
            <w:tcBorders>
              <w:top w:val="outset" w:sz="6" w:space="0" w:color="auto"/>
              <w:left w:val="outset" w:sz="6" w:space="0" w:color="auto"/>
              <w:bottom w:val="outset" w:sz="6" w:space="0" w:color="auto"/>
              <w:right w:val="outset" w:sz="6" w:space="0" w:color="auto"/>
            </w:tcBorders>
            <w:hideMark/>
          </w:tcPr>
          <w:p w14:paraId="534F08B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45 % хлорпикрина, 35 % хлористого сульфурила, 20 % хлорного олова</w:t>
            </w:r>
          </w:p>
        </w:tc>
      </w:tr>
      <w:tr w:rsidR="002B1C74" w:rsidRPr="002F2FDF" w14:paraId="238FC999"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5C4831C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7,6</w:t>
            </w:r>
          </w:p>
        </w:tc>
        <w:tc>
          <w:tcPr>
            <w:tcW w:w="2460" w:type="dxa"/>
            <w:tcBorders>
              <w:top w:val="outset" w:sz="6" w:space="0" w:color="auto"/>
              <w:left w:val="outset" w:sz="6" w:space="0" w:color="auto"/>
              <w:bottom w:val="outset" w:sz="6" w:space="0" w:color="auto"/>
              <w:right w:val="outset" w:sz="6" w:space="0" w:color="auto"/>
            </w:tcBorders>
            <w:hideMark/>
          </w:tcPr>
          <w:p w14:paraId="58AA619A"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5,50</w:t>
            </w:r>
          </w:p>
        </w:tc>
        <w:tc>
          <w:tcPr>
            <w:tcW w:w="3270" w:type="dxa"/>
            <w:tcBorders>
              <w:top w:val="outset" w:sz="6" w:space="0" w:color="auto"/>
              <w:left w:val="outset" w:sz="6" w:space="0" w:color="auto"/>
              <w:bottom w:val="outset" w:sz="6" w:space="0" w:color="auto"/>
              <w:right w:val="outset" w:sz="6" w:space="0" w:color="auto"/>
            </w:tcBorders>
            <w:hideMark/>
          </w:tcPr>
          <w:p w14:paraId="1B6F47A2"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0,72</w:t>
            </w:r>
          </w:p>
        </w:tc>
        <w:tc>
          <w:tcPr>
            <w:tcW w:w="12195" w:type="dxa"/>
            <w:tcBorders>
              <w:top w:val="outset" w:sz="6" w:space="0" w:color="auto"/>
              <w:left w:val="outset" w:sz="6" w:space="0" w:color="auto"/>
              <w:bottom w:val="outset" w:sz="6" w:space="0" w:color="auto"/>
              <w:right w:val="outset" w:sz="6" w:space="0" w:color="auto"/>
            </w:tcBorders>
            <w:hideMark/>
          </w:tcPr>
          <w:p w14:paraId="171BE0E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Фосген и хлорное олово.</w:t>
            </w:r>
          </w:p>
        </w:tc>
      </w:tr>
      <w:tr w:rsidR="002B1C74" w:rsidRPr="002F2FDF" w14:paraId="6055C64A"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5E35B79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7,6</w:t>
            </w:r>
          </w:p>
        </w:tc>
        <w:tc>
          <w:tcPr>
            <w:tcW w:w="2460" w:type="dxa"/>
            <w:tcBorders>
              <w:top w:val="outset" w:sz="6" w:space="0" w:color="auto"/>
              <w:left w:val="outset" w:sz="6" w:space="0" w:color="auto"/>
              <w:bottom w:val="outset" w:sz="6" w:space="0" w:color="auto"/>
              <w:right w:val="outset" w:sz="6" w:space="0" w:color="auto"/>
            </w:tcBorders>
            <w:hideMark/>
          </w:tcPr>
          <w:p w14:paraId="4DD100D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5,50</w:t>
            </w:r>
          </w:p>
        </w:tc>
        <w:tc>
          <w:tcPr>
            <w:tcW w:w="3270" w:type="dxa"/>
            <w:tcBorders>
              <w:top w:val="outset" w:sz="6" w:space="0" w:color="auto"/>
              <w:left w:val="outset" w:sz="6" w:space="0" w:color="auto"/>
              <w:bottom w:val="outset" w:sz="6" w:space="0" w:color="auto"/>
              <w:right w:val="outset" w:sz="6" w:space="0" w:color="auto"/>
            </w:tcBorders>
            <w:hideMark/>
          </w:tcPr>
          <w:p w14:paraId="661ACC1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0,50</w:t>
            </w:r>
          </w:p>
        </w:tc>
        <w:tc>
          <w:tcPr>
            <w:tcW w:w="12195" w:type="dxa"/>
            <w:tcBorders>
              <w:top w:val="outset" w:sz="6" w:space="0" w:color="auto"/>
              <w:left w:val="outset" w:sz="6" w:space="0" w:color="auto"/>
              <w:bottom w:val="outset" w:sz="6" w:space="0" w:color="auto"/>
              <w:right w:val="outset" w:sz="6" w:space="0" w:color="auto"/>
            </w:tcBorders>
            <w:hideMark/>
          </w:tcPr>
          <w:p w14:paraId="2D13815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50 % синильной кислоты, 50 %, треххлористого мышьяка</w:t>
            </w:r>
          </w:p>
        </w:tc>
      </w:tr>
      <w:tr w:rsidR="002B1C74" w:rsidRPr="002F2FDF" w14:paraId="54B7393F"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55A4DCF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15,5</w:t>
            </w:r>
          </w:p>
        </w:tc>
        <w:tc>
          <w:tcPr>
            <w:tcW w:w="2460" w:type="dxa"/>
            <w:tcBorders>
              <w:top w:val="outset" w:sz="6" w:space="0" w:color="auto"/>
              <w:left w:val="outset" w:sz="6" w:space="0" w:color="auto"/>
              <w:bottom w:val="outset" w:sz="6" w:space="0" w:color="auto"/>
              <w:right w:val="outset" w:sz="6" w:space="0" w:color="auto"/>
            </w:tcBorders>
            <w:hideMark/>
          </w:tcPr>
          <w:p w14:paraId="30BF13DB"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36,55</w:t>
            </w:r>
          </w:p>
        </w:tc>
        <w:tc>
          <w:tcPr>
            <w:tcW w:w="3270" w:type="dxa"/>
            <w:tcBorders>
              <w:top w:val="outset" w:sz="6" w:space="0" w:color="auto"/>
              <w:left w:val="outset" w:sz="6" w:space="0" w:color="auto"/>
              <w:bottom w:val="outset" w:sz="6" w:space="0" w:color="auto"/>
              <w:right w:val="outset" w:sz="6" w:space="0" w:color="auto"/>
            </w:tcBorders>
            <w:hideMark/>
          </w:tcPr>
          <w:p w14:paraId="2D697DA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3,75</w:t>
            </w:r>
          </w:p>
        </w:tc>
        <w:tc>
          <w:tcPr>
            <w:tcW w:w="12195" w:type="dxa"/>
            <w:tcBorders>
              <w:top w:val="outset" w:sz="6" w:space="0" w:color="auto"/>
              <w:left w:val="outset" w:sz="6" w:space="0" w:color="auto"/>
              <w:bottom w:val="outset" w:sz="6" w:space="0" w:color="auto"/>
              <w:right w:val="outset" w:sz="6" w:space="0" w:color="auto"/>
            </w:tcBorders>
            <w:hideMark/>
          </w:tcPr>
          <w:p w14:paraId="4305E88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60 % фосгена, 40 % хлорного олова</w:t>
            </w:r>
          </w:p>
        </w:tc>
      </w:tr>
      <w:tr w:rsidR="002B1C74" w:rsidRPr="002F2FDF" w14:paraId="78D08E12"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141BFF6E"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15,2</w:t>
            </w:r>
          </w:p>
        </w:tc>
        <w:tc>
          <w:tcPr>
            <w:tcW w:w="2460" w:type="dxa"/>
            <w:tcBorders>
              <w:top w:val="outset" w:sz="6" w:space="0" w:color="auto"/>
              <w:left w:val="outset" w:sz="6" w:space="0" w:color="auto"/>
              <w:bottom w:val="outset" w:sz="6" w:space="0" w:color="auto"/>
              <w:right w:val="outset" w:sz="6" w:space="0" w:color="auto"/>
            </w:tcBorders>
            <w:hideMark/>
          </w:tcPr>
          <w:p w14:paraId="1122D4C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36,30</w:t>
            </w:r>
          </w:p>
        </w:tc>
        <w:tc>
          <w:tcPr>
            <w:tcW w:w="3270" w:type="dxa"/>
            <w:tcBorders>
              <w:top w:val="outset" w:sz="6" w:space="0" w:color="auto"/>
              <w:left w:val="outset" w:sz="6" w:space="0" w:color="auto"/>
              <w:bottom w:val="outset" w:sz="6" w:space="0" w:color="auto"/>
              <w:right w:val="outset" w:sz="6" w:space="0" w:color="auto"/>
            </w:tcBorders>
            <w:hideMark/>
          </w:tcPr>
          <w:p w14:paraId="0049005B"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3,60</w:t>
            </w:r>
          </w:p>
        </w:tc>
        <w:tc>
          <w:tcPr>
            <w:tcW w:w="12195" w:type="dxa"/>
            <w:tcBorders>
              <w:top w:val="outset" w:sz="6" w:space="0" w:color="auto"/>
              <w:left w:val="outset" w:sz="6" w:space="0" w:color="auto"/>
              <w:bottom w:val="outset" w:sz="6" w:space="0" w:color="auto"/>
              <w:right w:val="outset" w:sz="6" w:space="0" w:color="auto"/>
            </w:tcBorders>
            <w:hideMark/>
          </w:tcPr>
          <w:p w14:paraId="0B9F496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60 % фосгена, 5 % хлорпикрина, 35 % хлорного олова</w:t>
            </w:r>
          </w:p>
        </w:tc>
      </w:tr>
    </w:tbl>
    <w:p w14:paraId="73E74EF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*Русской армией использовались газобаллоны с хлором, со смесью хлора и фосгена и смесью хлора и хлорпикрина. С конца 1916 г. в русскую армию поставлялись химические ручные гранаты с «удушающими жидкостями».</w:t>
      </w:r>
    </w:p>
    <w:p w14:paraId="0BCCAC1A"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Итальянские химические снаряды</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694"/>
        <w:gridCol w:w="1920"/>
        <w:gridCol w:w="2383"/>
        <w:gridCol w:w="3325"/>
      </w:tblGrid>
      <w:tr w:rsidR="002B1C74" w:rsidRPr="002F2FDF" w14:paraId="4FD83BB1" w14:textId="77777777" w:rsidTr="00920A70">
        <w:trPr>
          <w:tblCellSpacing w:w="15" w:type="dxa"/>
        </w:trPr>
        <w:tc>
          <w:tcPr>
            <w:tcW w:w="6915" w:type="dxa"/>
            <w:tcBorders>
              <w:top w:val="outset" w:sz="6" w:space="0" w:color="auto"/>
              <w:left w:val="outset" w:sz="6" w:space="0" w:color="auto"/>
              <w:bottom w:val="outset" w:sz="6" w:space="0" w:color="auto"/>
              <w:right w:val="outset" w:sz="6" w:space="0" w:color="auto"/>
            </w:tcBorders>
            <w:hideMark/>
          </w:tcPr>
          <w:p w14:paraId="45F3239B"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Калибр, см</w:t>
            </w:r>
          </w:p>
        </w:tc>
        <w:tc>
          <w:tcPr>
            <w:tcW w:w="3255" w:type="dxa"/>
            <w:tcBorders>
              <w:top w:val="outset" w:sz="6" w:space="0" w:color="auto"/>
              <w:left w:val="outset" w:sz="6" w:space="0" w:color="auto"/>
              <w:bottom w:val="outset" w:sz="6" w:space="0" w:color="auto"/>
              <w:right w:val="outset" w:sz="6" w:space="0" w:color="auto"/>
            </w:tcBorders>
            <w:hideMark/>
          </w:tcPr>
          <w:p w14:paraId="1BA9DA1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Вес стакана, кг</w:t>
            </w:r>
          </w:p>
        </w:tc>
        <w:tc>
          <w:tcPr>
            <w:tcW w:w="3870" w:type="dxa"/>
            <w:tcBorders>
              <w:top w:val="outset" w:sz="6" w:space="0" w:color="auto"/>
              <w:left w:val="outset" w:sz="6" w:space="0" w:color="auto"/>
              <w:bottom w:val="outset" w:sz="6" w:space="0" w:color="auto"/>
              <w:right w:val="outset" w:sz="6" w:space="0" w:color="auto"/>
            </w:tcBorders>
            <w:hideMark/>
          </w:tcPr>
          <w:p w14:paraId="5E1F48B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Вес химического заряда, кг</w:t>
            </w:r>
          </w:p>
        </w:tc>
        <w:tc>
          <w:tcPr>
            <w:tcW w:w="5715" w:type="dxa"/>
            <w:tcBorders>
              <w:top w:val="outset" w:sz="6" w:space="0" w:color="auto"/>
              <w:left w:val="outset" w:sz="6" w:space="0" w:color="auto"/>
              <w:bottom w:val="outset" w:sz="6" w:space="0" w:color="auto"/>
              <w:right w:val="outset" w:sz="6" w:space="0" w:color="auto"/>
            </w:tcBorders>
            <w:hideMark/>
          </w:tcPr>
          <w:p w14:paraId="71366BF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Состав химического заряда</w:t>
            </w:r>
          </w:p>
        </w:tc>
      </w:tr>
      <w:tr w:rsidR="002B1C74" w:rsidRPr="002F2FDF" w14:paraId="48491076" w14:textId="77777777" w:rsidTr="00920A70">
        <w:trPr>
          <w:tblCellSpacing w:w="15" w:type="dxa"/>
        </w:trPr>
        <w:tc>
          <w:tcPr>
            <w:tcW w:w="6915" w:type="dxa"/>
            <w:tcBorders>
              <w:top w:val="outset" w:sz="6" w:space="0" w:color="auto"/>
              <w:left w:val="outset" w:sz="6" w:space="0" w:color="auto"/>
              <w:bottom w:val="outset" w:sz="6" w:space="0" w:color="auto"/>
              <w:right w:val="outset" w:sz="6" w:space="0" w:color="auto"/>
            </w:tcBorders>
            <w:hideMark/>
          </w:tcPr>
          <w:p w14:paraId="3576DD3A"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7,5</w:t>
            </w:r>
          </w:p>
        </w:tc>
        <w:tc>
          <w:tcPr>
            <w:tcW w:w="3255" w:type="dxa"/>
            <w:tcBorders>
              <w:top w:val="outset" w:sz="6" w:space="0" w:color="auto"/>
              <w:left w:val="outset" w:sz="6" w:space="0" w:color="auto"/>
              <w:bottom w:val="outset" w:sz="6" w:space="0" w:color="auto"/>
              <w:right w:val="outset" w:sz="6" w:space="0" w:color="auto"/>
            </w:tcBorders>
            <w:hideMark/>
          </w:tcPr>
          <w:p w14:paraId="2C11D17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5,45</w:t>
            </w:r>
          </w:p>
        </w:tc>
        <w:tc>
          <w:tcPr>
            <w:tcW w:w="3870" w:type="dxa"/>
            <w:tcBorders>
              <w:top w:val="outset" w:sz="6" w:space="0" w:color="auto"/>
              <w:left w:val="outset" w:sz="6" w:space="0" w:color="auto"/>
              <w:bottom w:val="outset" w:sz="6" w:space="0" w:color="auto"/>
              <w:right w:val="outset" w:sz="6" w:space="0" w:color="auto"/>
            </w:tcBorders>
            <w:hideMark/>
          </w:tcPr>
          <w:p w14:paraId="429C879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0,465</w:t>
            </w:r>
          </w:p>
        </w:tc>
        <w:tc>
          <w:tcPr>
            <w:tcW w:w="5715" w:type="dxa"/>
            <w:tcBorders>
              <w:top w:val="outset" w:sz="6" w:space="0" w:color="auto"/>
              <w:left w:val="outset" w:sz="6" w:space="0" w:color="auto"/>
              <w:bottom w:val="outset" w:sz="6" w:space="0" w:color="auto"/>
              <w:right w:val="outset" w:sz="6" w:space="0" w:color="auto"/>
            </w:tcBorders>
            <w:hideMark/>
          </w:tcPr>
          <w:p w14:paraId="0A0A4D6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Хлорпикрин</w:t>
            </w:r>
          </w:p>
        </w:tc>
      </w:tr>
      <w:tr w:rsidR="002B1C74" w:rsidRPr="002F2FDF" w14:paraId="6F1502A1" w14:textId="77777777" w:rsidTr="00920A70">
        <w:trPr>
          <w:tblCellSpacing w:w="15" w:type="dxa"/>
        </w:trPr>
        <w:tc>
          <w:tcPr>
            <w:tcW w:w="6915" w:type="dxa"/>
            <w:tcBorders>
              <w:top w:val="outset" w:sz="6" w:space="0" w:color="auto"/>
              <w:left w:val="outset" w:sz="6" w:space="0" w:color="auto"/>
              <w:bottom w:val="outset" w:sz="6" w:space="0" w:color="auto"/>
              <w:right w:val="outset" w:sz="6" w:space="0" w:color="auto"/>
            </w:tcBorders>
            <w:hideMark/>
          </w:tcPr>
          <w:p w14:paraId="36094BB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7,5</w:t>
            </w:r>
          </w:p>
        </w:tc>
        <w:tc>
          <w:tcPr>
            <w:tcW w:w="3255" w:type="dxa"/>
            <w:tcBorders>
              <w:top w:val="outset" w:sz="6" w:space="0" w:color="auto"/>
              <w:left w:val="outset" w:sz="6" w:space="0" w:color="auto"/>
              <w:bottom w:val="outset" w:sz="6" w:space="0" w:color="auto"/>
              <w:right w:val="outset" w:sz="6" w:space="0" w:color="auto"/>
            </w:tcBorders>
            <w:hideMark/>
          </w:tcPr>
          <w:p w14:paraId="1DAB9FC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5,44</w:t>
            </w:r>
          </w:p>
        </w:tc>
        <w:tc>
          <w:tcPr>
            <w:tcW w:w="3870" w:type="dxa"/>
            <w:tcBorders>
              <w:top w:val="outset" w:sz="6" w:space="0" w:color="auto"/>
              <w:left w:val="outset" w:sz="6" w:space="0" w:color="auto"/>
              <w:bottom w:val="outset" w:sz="6" w:space="0" w:color="auto"/>
              <w:right w:val="outset" w:sz="6" w:space="0" w:color="auto"/>
            </w:tcBorders>
            <w:hideMark/>
          </w:tcPr>
          <w:p w14:paraId="5C1E44E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0,32</w:t>
            </w:r>
          </w:p>
        </w:tc>
        <w:tc>
          <w:tcPr>
            <w:tcW w:w="5715" w:type="dxa"/>
            <w:tcBorders>
              <w:top w:val="outset" w:sz="6" w:space="0" w:color="auto"/>
              <w:left w:val="outset" w:sz="6" w:space="0" w:color="auto"/>
              <w:bottom w:val="outset" w:sz="6" w:space="0" w:color="auto"/>
              <w:right w:val="outset" w:sz="6" w:space="0" w:color="auto"/>
            </w:tcBorders>
            <w:hideMark/>
          </w:tcPr>
          <w:p w14:paraId="10462C0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70 % йодистого бензила, 30 % бензола</w:t>
            </w:r>
          </w:p>
        </w:tc>
      </w:tr>
      <w:tr w:rsidR="002B1C74" w:rsidRPr="002F2FDF" w14:paraId="09A43F04" w14:textId="77777777" w:rsidTr="00920A70">
        <w:trPr>
          <w:tblCellSpacing w:w="15" w:type="dxa"/>
        </w:trPr>
        <w:tc>
          <w:tcPr>
            <w:tcW w:w="6915" w:type="dxa"/>
            <w:tcBorders>
              <w:top w:val="outset" w:sz="6" w:space="0" w:color="auto"/>
              <w:left w:val="outset" w:sz="6" w:space="0" w:color="auto"/>
              <w:bottom w:val="outset" w:sz="6" w:space="0" w:color="auto"/>
              <w:right w:val="outset" w:sz="6" w:space="0" w:color="auto"/>
            </w:tcBorders>
            <w:hideMark/>
          </w:tcPr>
          <w:p w14:paraId="1412C9C3"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10,5</w:t>
            </w:r>
          </w:p>
        </w:tc>
        <w:tc>
          <w:tcPr>
            <w:tcW w:w="3255" w:type="dxa"/>
            <w:tcBorders>
              <w:top w:val="outset" w:sz="6" w:space="0" w:color="auto"/>
              <w:left w:val="outset" w:sz="6" w:space="0" w:color="auto"/>
              <w:bottom w:val="outset" w:sz="6" w:space="0" w:color="auto"/>
              <w:right w:val="outset" w:sz="6" w:space="0" w:color="auto"/>
            </w:tcBorders>
            <w:hideMark/>
          </w:tcPr>
          <w:p w14:paraId="2FD2E747"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15,30</w:t>
            </w:r>
          </w:p>
        </w:tc>
        <w:tc>
          <w:tcPr>
            <w:tcW w:w="3870" w:type="dxa"/>
            <w:tcBorders>
              <w:top w:val="outset" w:sz="6" w:space="0" w:color="auto"/>
              <w:left w:val="outset" w:sz="6" w:space="0" w:color="auto"/>
              <w:bottom w:val="outset" w:sz="6" w:space="0" w:color="auto"/>
              <w:right w:val="outset" w:sz="6" w:space="0" w:color="auto"/>
            </w:tcBorders>
            <w:hideMark/>
          </w:tcPr>
          <w:p w14:paraId="48FF536D"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0,80</w:t>
            </w:r>
          </w:p>
        </w:tc>
        <w:tc>
          <w:tcPr>
            <w:tcW w:w="5715" w:type="dxa"/>
            <w:tcBorders>
              <w:top w:val="outset" w:sz="6" w:space="0" w:color="auto"/>
              <w:left w:val="outset" w:sz="6" w:space="0" w:color="auto"/>
              <w:bottom w:val="outset" w:sz="6" w:space="0" w:color="auto"/>
              <w:right w:val="outset" w:sz="6" w:space="0" w:color="auto"/>
            </w:tcBorders>
            <w:hideMark/>
          </w:tcPr>
          <w:p w14:paraId="06306520"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91 % фосгена, 5 % сероуглерода, 4 % хлороформа</w:t>
            </w:r>
          </w:p>
        </w:tc>
      </w:tr>
      <w:tr w:rsidR="002B1C74" w:rsidRPr="002F2FDF" w14:paraId="70D99774" w14:textId="77777777" w:rsidTr="00920A70">
        <w:trPr>
          <w:tblCellSpacing w:w="15" w:type="dxa"/>
        </w:trPr>
        <w:tc>
          <w:tcPr>
            <w:tcW w:w="6915" w:type="dxa"/>
            <w:tcBorders>
              <w:top w:val="outset" w:sz="6" w:space="0" w:color="auto"/>
              <w:left w:val="outset" w:sz="6" w:space="0" w:color="auto"/>
              <w:bottom w:val="outset" w:sz="6" w:space="0" w:color="auto"/>
              <w:right w:val="outset" w:sz="6" w:space="0" w:color="auto"/>
            </w:tcBorders>
            <w:hideMark/>
          </w:tcPr>
          <w:p w14:paraId="7D122D61"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14,9</w:t>
            </w:r>
          </w:p>
        </w:tc>
        <w:tc>
          <w:tcPr>
            <w:tcW w:w="3255" w:type="dxa"/>
            <w:tcBorders>
              <w:top w:val="outset" w:sz="6" w:space="0" w:color="auto"/>
              <w:left w:val="outset" w:sz="6" w:space="0" w:color="auto"/>
              <w:bottom w:val="outset" w:sz="6" w:space="0" w:color="auto"/>
              <w:right w:val="outset" w:sz="6" w:space="0" w:color="auto"/>
            </w:tcBorders>
            <w:hideMark/>
          </w:tcPr>
          <w:p w14:paraId="3D63D388"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30,00</w:t>
            </w:r>
          </w:p>
        </w:tc>
        <w:tc>
          <w:tcPr>
            <w:tcW w:w="3870" w:type="dxa"/>
            <w:tcBorders>
              <w:top w:val="outset" w:sz="6" w:space="0" w:color="auto"/>
              <w:left w:val="outset" w:sz="6" w:space="0" w:color="auto"/>
              <w:bottom w:val="outset" w:sz="6" w:space="0" w:color="auto"/>
              <w:right w:val="outset" w:sz="6" w:space="0" w:color="auto"/>
            </w:tcBorders>
            <w:hideMark/>
          </w:tcPr>
          <w:p w14:paraId="39B6D476"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5,55</w:t>
            </w:r>
          </w:p>
        </w:tc>
        <w:tc>
          <w:tcPr>
            <w:tcW w:w="5715" w:type="dxa"/>
            <w:tcBorders>
              <w:top w:val="outset" w:sz="6" w:space="0" w:color="auto"/>
              <w:left w:val="outset" w:sz="6" w:space="0" w:color="auto"/>
              <w:bottom w:val="outset" w:sz="6" w:space="0" w:color="auto"/>
              <w:right w:val="outset" w:sz="6" w:space="0" w:color="auto"/>
            </w:tcBorders>
            <w:hideMark/>
          </w:tcPr>
          <w:p w14:paraId="3601745B"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Фосген</w:t>
            </w:r>
          </w:p>
        </w:tc>
      </w:tr>
      <w:tr w:rsidR="002B1C74" w:rsidRPr="002F2FDF" w14:paraId="48FDE3B9" w14:textId="77777777" w:rsidTr="00920A70">
        <w:trPr>
          <w:tblCellSpacing w:w="15" w:type="dxa"/>
        </w:trPr>
        <w:tc>
          <w:tcPr>
            <w:tcW w:w="6915" w:type="dxa"/>
            <w:tcBorders>
              <w:top w:val="outset" w:sz="6" w:space="0" w:color="auto"/>
              <w:left w:val="outset" w:sz="6" w:space="0" w:color="auto"/>
              <w:bottom w:val="outset" w:sz="6" w:space="0" w:color="auto"/>
              <w:right w:val="outset" w:sz="6" w:space="0" w:color="auto"/>
            </w:tcBorders>
            <w:hideMark/>
          </w:tcPr>
          <w:p w14:paraId="66943985"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14,9</w:t>
            </w:r>
          </w:p>
        </w:tc>
        <w:tc>
          <w:tcPr>
            <w:tcW w:w="3255" w:type="dxa"/>
            <w:tcBorders>
              <w:top w:val="outset" w:sz="6" w:space="0" w:color="auto"/>
              <w:left w:val="outset" w:sz="6" w:space="0" w:color="auto"/>
              <w:bottom w:val="outset" w:sz="6" w:space="0" w:color="auto"/>
              <w:right w:val="outset" w:sz="6" w:space="0" w:color="auto"/>
            </w:tcBorders>
            <w:hideMark/>
          </w:tcPr>
          <w:p w14:paraId="5F6F913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29,20</w:t>
            </w:r>
          </w:p>
        </w:tc>
        <w:tc>
          <w:tcPr>
            <w:tcW w:w="3870" w:type="dxa"/>
            <w:tcBorders>
              <w:top w:val="outset" w:sz="6" w:space="0" w:color="auto"/>
              <w:left w:val="outset" w:sz="6" w:space="0" w:color="auto"/>
              <w:bottom w:val="outset" w:sz="6" w:space="0" w:color="auto"/>
              <w:right w:val="outset" w:sz="6" w:space="0" w:color="auto"/>
            </w:tcBorders>
            <w:hideMark/>
          </w:tcPr>
          <w:p w14:paraId="5623968B"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2,30</w:t>
            </w:r>
          </w:p>
        </w:tc>
        <w:tc>
          <w:tcPr>
            <w:tcW w:w="5715" w:type="dxa"/>
            <w:tcBorders>
              <w:top w:val="outset" w:sz="6" w:space="0" w:color="auto"/>
              <w:left w:val="outset" w:sz="6" w:space="0" w:color="auto"/>
              <w:bottom w:val="outset" w:sz="6" w:space="0" w:color="auto"/>
              <w:right w:val="outset" w:sz="6" w:space="0" w:color="auto"/>
            </w:tcBorders>
            <w:hideMark/>
          </w:tcPr>
          <w:p w14:paraId="2E5333FB"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Хлорпикрин</w:t>
            </w:r>
          </w:p>
        </w:tc>
      </w:tr>
      <w:tr w:rsidR="002B1C74" w:rsidRPr="002F2FDF" w14:paraId="1BBA3DF7" w14:textId="77777777" w:rsidTr="00920A70">
        <w:trPr>
          <w:tblCellSpacing w:w="15" w:type="dxa"/>
        </w:trPr>
        <w:tc>
          <w:tcPr>
            <w:tcW w:w="0" w:type="auto"/>
            <w:gridSpan w:val="4"/>
            <w:tcBorders>
              <w:top w:val="outset" w:sz="6" w:space="0" w:color="auto"/>
              <w:left w:val="outset" w:sz="6" w:space="0" w:color="auto"/>
              <w:bottom w:val="outset" w:sz="6" w:space="0" w:color="auto"/>
              <w:right w:val="outset" w:sz="6" w:space="0" w:color="auto"/>
            </w:tcBorders>
            <w:hideMark/>
          </w:tcPr>
          <w:p w14:paraId="4F160B3F"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Кроме того, в конце 1918 г., дихлордиэтилсульфид, предоставленный Францией</w:t>
            </w:r>
          </w:p>
        </w:tc>
      </w:tr>
    </w:tbl>
    <w:p w14:paraId="52E7EA8C" w14:textId="77777777" w:rsidR="00B40BBD" w:rsidRPr="002F2FDF" w:rsidRDefault="00B40BBD" w:rsidP="0083075A">
      <w:pPr>
        <w:pStyle w:val="ae"/>
        <w:spacing w:before="0" w:after="0"/>
        <w:jc w:val="both"/>
        <w:rPr>
          <w:color w:val="000000" w:themeColor="text1"/>
          <w:sz w:val="16"/>
          <w:szCs w:val="16"/>
        </w:rPr>
      </w:pPr>
      <w:r w:rsidRPr="002F2FDF">
        <w:rPr>
          <w:color w:val="000000" w:themeColor="text1"/>
          <w:sz w:val="16"/>
          <w:szCs w:val="16"/>
        </w:rPr>
        <w:t>(20246).</w:t>
      </w:r>
    </w:p>
    <w:p w14:paraId="261DD115" w14:textId="77777777" w:rsidR="00B40BBD" w:rsidRPr="002F2FDF" w:rsidRDefault="00B40BBD" w:rsidP="0083075A">
      <w:pPr>
        <w:pStyle w:val="ae"/>
        <w:spacing w:before="0" w:after="0"/>
        <w:jc w:val="both"/>
        <w:rPr>
          <w:color w:val="000000" w:themeColor="text1"/>
          <w:sz w:val="16"/>
          <w:szCs w:val="16"/>
        </w:rPr>
      </w:pPr>
    </w:p>
    <w:p w14:paraId="2747A48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27FE8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0A09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Зимой 1917 РБВЗ провел испытания опытного многоместного истребителя сопровождения в Эскадре воздушных кораблей, построенного летом 1916 (318,85).</w:t>
      </w:r>
    </w:p>
    <w:p w14:paraId="1C2897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447B5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4A3D75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DD98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Зимой - весной 1917 года мотовагон “Заамурец” находился на головном участке 8-й армии, но использовался как зенитная батарея ввиду затишья на фронте (9643).</w:t>
      </w:r>
    </w:p>
    <w:p w14:paraId="7A346F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ACA22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1D674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4EE87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Зимой 1917 года в Петрограде состоялась конференция представителей стран Антанты подтвердила решение осенней сессии 1916 года в Шантильи о том, что с началом весны со</w:t>
      </w:r>
      <w:r w:rsidRPr="002F2FDF">
        <w:rPr>
          <w:rFonts w:ascii="Times New Roman" w:hAnsi="Times New Roman" w:cs="Times New Roman"/>
          <w:color w:val="000000" w:themeColor="text1"/>
          <w:kern w:val="2"/>
          <w:sz w:val="16"/>
          <w:szCs w:val="16"/>
        </w:rPr>
        <w:softHyphen/>
        <w:t>юзники должны вести активные действия и лишить против</w:t>
      </w:r>
      <w:r w:rsidRPr="002F2FDF">
        <w:rPr>
          <w:rFonts w:ascii="Times New Roman" w:hAnsi="Times New Roman" w:cs="Times New Roman"/>
          <w:color w:val="000000" w:themeColor="text1"/>
          <w:kern w:val="2"/>
          <w:sz w:val="16"/>
          <w:szCs w:val="16"/>
        </w:rPr>
        <w:softHyphen/>
        <w:t>ника возможности захватить военную инициативу, а летом перейти в стратегическое наступление на важнейших фрон</w:t>
      </w:r>
      <w:r w:rsidRPr="002F2FDF">
        <w:rPr>
          <w:rFonts w:ascii="Times New Roman" w:hAnsi="Times New Roman" w:cs="Times New Roman"/>
          <w:color w:val="000000" w:themeColor="text1"/>
          <w:kern w:val="2"/>
          <w:sz w:val="16"/>
          <w:szCs w:val="16"/>
        </w:rPr>
        <w:softHyphen/>
        <w:t>тах, для России - на Западном и Северном. В связи с этим Балканский театр военных действий утрачивал прежнее зна</w:t>
      </w:r>
      <w:r w:rsidRPr="002F2FDF">
        <w:rPr>
          <w:rFonts w:ascii="Times New Roman" w:hAnsi="Times New Roman" w:cs="Times New Roman"/>
          <w:color w:val="000000" w:themeColor="text1"/>
          <w:kern w:val="2"/>
          <w:sz w:val="16"/>
          <w:szCs w:val="16"/>
        </w:rPr>
        <w:softHyphen/>
        <w:t>чение. Поэтому Ставка Верховного Главнокомандования России по</w:t>
      </w:r>
      <w:r w:rsidRPr="002F2FDF">
        <w:rPr>
          <w:rFonts w:ascii="Times New Roman" w:hAnsi="Times New Roman" w:cs="Times New Roman"/>
          <w:color w:val="000000" w:themeColor="text1"/>
          <w:kern w:val="2"/>
          <w:sz w:val="16"/>
          <w:szCs w:val="16"/>
        </w:rPr>
        <w:softHyphen/>
        <w:t>вышенное внимание стала уделять Балтийскому флоту, которо</w:t>
      </w:r>
      <w:r w:rsidRPr="002F2FDF">
        <w:rPr>
          <w:rFonts w:ascii="Times New Roman" w:hAnsi="Times New Roman" w:cs="Times New Roman"/>
          <w:color w:val="000000" w:themeColor="text1"/>
          <w:kern w:val="2"/>
          <w:sz w:val="16"/>
          <w:szCs w:val="16"/>
        </w:rPr>
        <w:softHyphen/>
        <w:t>му предстояло тесно взаимодействовать с Северным фронтом, а при благоприятных условиях может быть и выйти в открытое море. Черноморский флот должен был продолжать блокаду Босфора, оказывать содействие нашим войскам на Румынском и Кавказском фронтах, вести подготовку к проведению круп</w:t>
      </w:r>
      <w:r w:rsidRPr="002F2FDF">
        <w:rPr>
          <w:rFonts w:ascii="Times New Roman" w:hAnsi="Times New Roman" w:cs="Times New Roman"/>
          <w:color w:val="000000" w:themeColor="text1"/>
          <w:kern w:val="2"/>
          <w:sz w:val="16"/>
          <w:szCs w:val="16"/>
        </w:rPr>
        <w:softHyphen/>
        <w:t>ной десантной операции. О назревании в обоих столицах и крупных городах России новой революционной ситуации, вызванной дезорганизацией экономики страны, разрухи в промышленности и на транс</w:t>
      </w:r>
      <w:r w:rsidRPr="002F2FDF">
        <w:rPr>
          <w:rFonts w:ascii="Times New Roman" w:hAnsi="Times New Roman" w:cs="Times New Roman"/>
          <w:color w:val="000000" w:themeColor="text1"/>
          <w:kern w:val="2"/>
          <w:sz w:val="16"/>
          <w:szCs w:val="16"/>
        </w:rPr>
        <w:softHyphen/>
        <w:t>порте, крайних трудностей, переживаемых сельским хозяйством, правительственные и законодательные органы империи пред</w:t>
      </w:r>
      <w:r w:rsidRPr="002F2FDF">
        <w:rPr>
          <w:rFonts w:ascii="Times New Roman" w:hAnsi="Times New Roman" w:cs="Times New Roman"/>
          <w:color w:val="000000" w:themeColor="text1"/>
          <w:kern w:val="2"/>
          <w:sz w:val="16"/>
          <w:szCs w:val="16"/>
        </w:rPr>
        <w:softHyphen/>
        <w:t>почитали говорить за закрытыми дверями. Многие политики и военные надеялись путем крупных побед ускорить оконча</w:t>
      </w:r>
      <w:r w:rsidRPr="002F2FDF">
        <w:rPr>
          <w:rFonts w:ascii="Times New Roman" w:hAnsi="Times New Roman" w:cs="Times New Roman"/>
          <w:color w:val="000000" w:themeColor="text1"/>
          <w:kern w:val="2"/>
          <w:sz w:val="16"/>
          <w:szCs w:val="16"/>
        </w:rPr>
        <w:softHyphen/>
        <w:t>ние войны и тем самым разрядить складывающуюся взрыво</w:t>
      </w:r>
      <w:r w:rsidRPr="002F2FDF">
        <w:rPr>
          <w:rFonts w:ascii="Times New Roman" w:hAnsi="Times New Roman" w:cs="Times New Roman"/>
          <w:color w:val="000000" w:themeColor="text1"/>
          <w:kern w:val="2"/>
          <w:sz w:val="16"/>
          <w:szCs w:val="16"/>
        </w:rPr>
        <w:softHyphen/>
        <w:t>опасную обстановку. Как на Балтике, так и на Черноморье зима действительно была чрезвычайно суровой по местным климатическим мер</w:t>
      </w:r>
      <w:r w:rsidRPr="002F2FDF">
        <w:rPr>
          <w:rFonts w:ascii="Times New Roman" w:hAnsi="Times New Roman" w:cs="Times New Roman"/>
          <w:color w:val="000000" w:themeColor="text1"/>
          <w:kern w:val="2"/>
          <w:sz w:val="16"/>
          <w:szCs w:val="16"/>
        </w:rPr>
        <w:softHyphen/>
        <w:t>кам. Ледовые массивы сковали не только Финский, Рижский и Ботнический заливы, но появились даже у южных побере</w:t>
      </w:r>
      <w:r w:rsidRPr="002F2FDF">
        <w:rPr>
          <w:rFonts w:ascii="Times New Roman" w:hAnsi="Times New Roman" w:cs="Times New Roman"/>
          <w:color w:val="000000" w:themeColor="text1"/>
          <w:kern w:val="2"/>
          <w:sz w:val="16"/>
          <w:szCs w:val="16"/>
        </w:rPr>
        <w:softHyphen/>
        <w:t>жий моря. Невзирая на возникшие осложнения, летчики Бал</w:t>
      </w:r>
      <w:r w:rsidRPr="002F2FDF">
        <w:rPr>
          <w:rFonts w:ascii="Times New Roman" w:hAnsi="Times New Roman" w:cs="Times New Roman"/>
          <w:color w:val="000000" w:themeColor="text1"/>
          <w:kern w:val="2"/>
          <w:sz w:val="16"/>
          <w:szCs w:val="16"/>
        </w:rPr>
        <w:softHyphen/>
        <w:t>тийского флота проводили ледовую разведку на подходах к Ирбенскому проливу, а летчики Черноморского флота - так</w:t>
      </w:r>
      <w:r w:rsidRPr="002F2FDF">
        <w:rPr>
          <w:rFonts w:ascii="Times New Roman" w:hAnsi="Times New Roman" w:cs="Times New Roman"/>
          <w:color w:val="000000" w:themeColor="text1"/>
          <w:kern w:val="2"/>
          <w:sz w:val="16"/>
          <w:szCs w:val="16"/>
        </w:rPr>
        <w:softHyphen/>
        <w:t>тическую разведку возле Дунайских гирл. Они рассчитывали с приходом весны развернуть активные боевые действия силами формируемых воздушных бригад (11283).</w:t>
      </w:r>
    </w:p>
    <w:p w14:paraId="5D3888A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DE3DD6" w14:textId="77777777" w:rsidR="006E0883"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4F7212B" w14:textId="77777777" w:rsidR="006E0883" w:rsidRPr="002F2FDF" w:rsidRDefault="006E088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3DAF1A" w14:textId="77777777" w:rsidR="002E11B0" w:rsidRPr="002F2FDF" w:rsidRDefault="002E11B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shd w:val="clear" w:color="auto" w:fill="FFFFFF"/>
        </w:rPr>
        <w:t>К февралю 17-го в России ежедневно выпускается уже до пяти моторов (20047).</w:t>
      </w:r>
    </w:p>
    <w:p w14:paraId="14735DD4" w14:textId="77777777" w:rsidR="002E11B0" w:rsidRPr="002F2FDF" w:rsidRDefault="002E11B0" w:rsidP="0083075A">
      <w:pPr>
        <w:spacing w:after="0" w:line="240" w:lineRule="auto"/>
        <w:jc w:val="both"/>
        <w:rPr>
          <w:rFonts w:ascii="Times New Roman" w:hAnsi="Times New Roman" w:cs="Times New Roman"/>
          <w:color w:val="000000" w:themeColor="text1"/>
          <w:sz w:val="16"/>
          <w:szCs w:val="16"/>
        </w:rPr>
      </w:pPr>
    </w:p>
    <w:p w14:paraId="27C05413" w14:textId="21B8B3CE" w:rsidR="006E0883" w:rsidRPr="002F2FDF" w:rsidRDefault="006E0883" w:rsidP="0083075A">
      <w:pPr>
        <w:shd w:val="clear" w:color="auto" w:fill="FFFFFF"/>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февралю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триплан Безобразова-Моска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отремонтировали, но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было уже поздно. Моска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работах над трипланом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1916—1917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уже не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участвовал. Дальнейшая судьба уникального самолета, одного из</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шести построенных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России трипланов, неизвестна (15219).</w:t>
      </w:r>
    </w:p>
    <w:p w14:paraId="1866347F" w14:textId="77777777" w:rsidR="006E0883" w:rsidRPr="002F2FDF" w:rsidRDefault="006E0883"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23F8AC94" w14:textId="77777777" w:rsidR="006E0883" w:rsidRPr="002F2FDF" w:rsidRDefault="006E0883"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К февралю 1917 г. Безобразов машину отремонтировал, но было уже поздно. Дальнейшая судьба уникального самолета, одного из шести построенных в России трипланов, неизвестна (15464).</w:t>
      </w:r>
    </w:p>
    <w:p w14:paraId="16016556" w14:textId="77777777" w:rsidR="006E0883" w:rsidRPr="002F2FDF" w:rsidRDefault="006E0883" w:rsidP="0083075A">
      <w:pPr>
        <w:pStyle w:val="2"/>
        <w:spacing w:before="0" w:beforeAutospacing="0" w:after="0" w:afterAutospacing="0"/>
        <w:jc w:val="both"/>
        <w:rPr>
          <w:b w:val="0"/>
          <w:color w:val="000000" w:themeColor="text1"/>
          <w:kern w:val="2"/>
          <w:sz w:val="16"/>
          <w:szCs w:val="16"/>
        </w:rPr>
      </w:pPr>
    </w:p>
    <w:p w14:paraId="4E99573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BB434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5853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февралю 1917 г. ни один из строящихся автозаводов производства не начал, хотя правительство выделило большие средства, но их не хватало. К октябрю 1917 г. из шести заводов в наилучшем положении находился московский АМО, строительство которого было закончено на 75% и имевшего в распоряжении 500 новейших американских станков. В цехах предприятия намечали делать полуторатонные грузовики модели "15 тер" по чертежам итальянской фирмы ФИАТ, Руководство АМО, понимая, что заказанные ему первые 150 машин оно не сможет сдать к указанному в договоре сроку, марту 1917 г., закупило в Италии комплекты деталей и начало сборку автомобилей "ФИАТ-15 тер". Таким образом, пока, поступали детали, АМО собрал в 1917 г. 432 машины, в 1918-779 и в 1919-108, т. е. всего 1319 автомобилей. Завод в Филях к октябрю 1917 г. располагал 25 станками и недостроенными заводскими корпусами. Правда, другие отделения РБВЗ, эвакуированные в Петроград и Тверь, работали, причем последний дал 300 комплектов поковок и литья для легковых машин. Ярославское предприятие заводчика В. А. Лебедева не выполнило взятых обязательств и временно приступило к изготовлению кабин и кузовов (сделали около 200 штук), которые шли на сборку грузовиков ФИАТ, монтируемых из итальянских деталей. Для постройки автомобилей "Лебедь-А" в Ярославле владелец завода купил в Англии лицензию и в опытном порядке собрал из закупленных английских деталей несколько машин "Кросслей". Но основные корпуса предприятия он не достроил, а оборудование не смонтировал в запланированном количестве. Остальные заводы оказались в таком же положении, и производства автомобилей наладить не смогли" .Катастрофическое положение пришлось выправлять закупками за рубежом. К началу 1916 г. русская армия располагала 5,3 тыс. автомобилей. За год импортировала 6,8 тыс., но и этого дополнительного количества оказалось недостаточно по сравнению с автомобильным парком армий Германии, Франции и Англии (12098).</w:t>
      </w:r>
    </w:p>
    <w:p w14:paraId="06903C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61095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3B173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108824" w14:textId="77777777" w:rsidR="002E11B0" w:rsidRPr="002F2FDF" w:rsidRDefault="002E11B0" w:rsidP="0083075A">
      <w:pPr>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shd w:val="clear" w:color="auto" w:fill="FFFFFF"/>
        </w:rPr>
        <w:t>К февралю 1917 года в Российской Империи насчитывалось 1039 аэропланов (20016).</w:t>
      </w:r>
    </w:p>
    <w:p w14:paraId="7E43BA52" w14:textId="77777777" w:rsidR="002E11B0" w:rsidRPr="002F2FDF" w:rsidRDefault="002E11B0" w:rsidP="0083075A">
      <w:pPr>
        <w:spacing w:after="0" w:line="240" w:lineRule="auto"/>
        <w:jc w:val="both"/>
        <w:rPr>
          <w:rFonts w:ascii="Times New Roman" w:hAnsi="Times New Roman" w:cs="Times New Roman"/>
          <w:color w:val="000000" w:themeColor="text1"/>
          <w:sz w:val="16"/>
          <w:szCs w:val="16"/>
          <w:shd w:val="clear" w:color="auto" w:fill="FFFFFF"/>
        </w:rPr>
      </w:pPr>
    </w:p>
    <w:p w14:paraId="39B653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февралю 1917 в русской авиации было 1039 самолетов, включая 590 в действующей армии (430,57).</w:t>
      </w:r>
    </w:p>
    <w:p w14:paraId="229DFA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AAC6A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февралю 1917 г. на Северном фронте из положенных по штату 118 самолетов имелось всего 60, причем значительная часть их была настолько изношена, что требовала замены. Нормальной организации боевых действий авиационных частей сильно мешала разнотипность самолетов. Насчитывалось немало авиационных отрядов, где все имевшиеся самолеты были раз</w:t>
      </w:r>
      <w:r w:rsidRPr="002F2FDF">
        <w:rPr>
          <w:rFonts w:ascii="Times New Roman" w:hAnsi="Times New Roman" w:cs="Times New Roman"/>
          <w:color w:val="000000" w:themeColor="text1"/>
          <w:kern w:val="2"/>
          <w:sz w:val="16"/>
          <w:szCs w:val="16"/>
        </w:rPr>
        <w:softHyphen/>
        <w:t>личных систем. Это вызывало серьезные затруднения в их бое</w:t>
      </w:r>
      <w:r w:rsidRPr="002F2FDF">
        <w:rPr>
          <w:rFonts w:ascii="Times New Roman" w:hAnsi="Times New Roman" w:cs="Times New Roman"/>
          <w:color w:val="000000" w:themeColor="text1"/>
          <w:kern w:val="2"/>
          <w:sz w:val="16"/>
          <w:szCs w:val="16"/>
        </w:rPr>
        <w:softHyphen/>
        <w:t>вом использовании, ремонте и снабжении запасными частями (430).</w:t>
      </w:r>
    </w:p>
    <w:p w14:paraId="2F9432D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5CEE5B" w14:textId="77777777" w:rsidR="002E11B0" w:rsidRPr="002F2FDF" w:rsidRDefault="002E11B0" w:rsidP="0083075A">
      <w:pPr>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shd w:val="clear" w:color="auto" w:fill="FFFFFF"/>
        </w:rPr>
        <w:t>К февралю 1917-го по числу действующей на фронте авиации Россия в два раза уступала союзной Франции и в три раза – Германии. За годы Первой мировой войны все воюющие державы произвели более 200 тыс. авиамоторов; на долю России приходится чуть более 0,5% от этого числа. За годы войны для наших ВВС было куплено у иностранных производителей около 4 тыс. авиационных двигателей, и порядка 1 тыс. произвели в стране по иностранным лицензиям и образцам. Но из этой тысячи моторов собранных без импортных комплектующих наберется не более трех сотен (21547).</w:t>
      </w:r>
    </w:p>
    <w:p w14:paraId="7231106B" w14:textId="77777777" w:rsidR="002E11B0" w:rsidRPr="002F2FDF" w:rsidRDefault="002E11B0" w:rsidP="0083075A">
      <w:pPr>
        <w:spacing w:after="0" w:line="240" w:lineRule="auto"/>
        <w:jc w:val="both"/>
        <w:rPr>
          <w:rFonts w:ascii="Times New Roman" w:hAnsi="Times New Roman" w:cs="Times New Roman"/>
          <w:color w:val="000000" w:themeColor="text1"/>
          <w:sz w:val="16"/>
          <w:szCs w:val="16"/>
          <w:shd w:val="clear" w:color="auto" w:fill="FFFFFF"/>
        </w:rPr>
      </w:pPr>
    </w:p>
    <w:p w14:paraId="636F15BB" w14:textId="77777777" w:rsidR="00C364AB" w:rsidRPr="002F2FDF" w:rsidRDefault="00C364A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7A1868B" w14:textId="77777777" w:rsidR="00C364AB" w:rsidRPr="002F2FDF" w:rsidRDefault="00C364A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B353A5" w14:textId="77777777" w:rsidR="00C364AB" w:rsidRPr="002F2FDF" w:rsidRDefault="00C364AB" w:rsidP="0083075A">
      <w:pPr>
        <w:autoSpaceDE w:val="0"/>
        <w:autoSpaceDN w:val="0"/>
        <w:adjustRightInd w:val="0"/>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февралю 1917 года задание по снабжению городского населения хлебом было выполнено всего на 30%. В Петрограде, который и так уже жил на запасах, осталось 714 тыс. пудов муки. В день привозили 5 тыс. пудов при норме 60 тыс. пудов. Продовольственный кризис принял катастрофический характер. Огромные очереди выстраивались не только в Москве и Петрограде, но даже в Черноземье. Стали распространяться слухи о введении карточной системы.</w:t>
      </w:r>
    </w:p>
    <w:p w14:paraId="5C9CAFEA" w14:textId="77777777" w:rsidR="00C364AB" w:rsidRPr="002F2FDF" w:rsidRDefault="00C364AB" w:rsidP="0083075A">
      <w:pPr>
        <w:autoSpaceDE w:val="0"/>
        <w:autoSpaceDN w:val="0"/>
        <w:adjustRightInd w:val="0"/>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Газеты писали, что на взрослого едока будут давать не более 1 фунта хлеба в день (норма, недостаточная для нормального питания взрослого человека). Началась продовольственная паника и голодные бунты, в которых активно участвовали женщины. Солдаты и казаки отказывались подавлять такие стихийные восстания. События развивались неумолимо. 27 февраля (12 марта) 1917 года всеобщая забастовка переросла в вооруженное восстание, в ходе которого царский режим в России пал (16086).</w:t>
      </w:r>
    </w:p>
    <w:p w14:paraId="02158F16" w14:textId="77777777" w:rsidR="00C364AB" w:rsidRPr="002F2FDF" w:rsidRDefault="00C364AB" w:rsidP="0083075A">
      <w:pPr>
        <w:spacing w:after="0" w:line="240" w:lineRule="auto"/>
        <w:jc w:val="both"/>
        <w:rPr>
          <w:rFonts w:ascii="Times New Roman" w:eastAsia="Times New Roman" w:hAnsi="Times New Roman" w:cs="Times New Roman"/>
          <w:color w:val="000000" w:themeColor="text1"/>
          <w:sz w:val="16"/>
          <w:szCs w:val="16"/>
          <w:lang w:eastAsia="ru-RU"/>
        </w:rPr>
      </w:pPr>
    </w:p>
    <w:p w14:paraId="101EE1C3" w14:textId="77777777" w:rsidR="00E874D7" w:rsidRPr="002F2FDF" w:rsidRDefault="00E874D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0BC7B41C" w14:textId="77777777" w:rsidR="00E874D7" w:rsidRPr="002F2FDF" w:rsidRDefault="00E874D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555E7B" w14:textId="77777777" w:rsidR="00E874D7" w:rsidRPr="002F2FDF" w:rsidRDefault="00E874D7"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На 1 (14) февраля 1917 г. Земгор из заказов, полученных на сумму в 242 млн., выполнил лишь на 80 млн. рублей (18381).</w:t>
      </w:r>
    </w:p>
    <w:p w14:paraId="71165305" w14:textId="77777777" w:rsidR="00E874D7" w:rsidRPr="002F2FDF" w:rsidRDefault="00E874D7" w:rsidP="0083075A">
      <w:pPr>
        <w:spacing w:after="0" w:line="240" w:lineRule="auto"/>
        <w:jc w:val="both"/>
        <w:rPr>
          <w:rFonts w:ascii="Times New Roman" w:eastAsia="Times New Roman" w:hAnsi="Times New Roman" w:cs="Times New Roman"/>
          <w:color w:val="000000" w:themeColor="text1"/>
          <w:sz w:val="16"/>
          <w:szCs w:val="16"/>
          <w:lang w:eastAsia="ru-RU"/>
        </w:rPr>
      </w:pPr>
    </w:p>
    <w:p w14:paraId="007BEBD1" w14:textId="77777777" w:rsidR="00E874D7" w:rsidRPr="002F2FDF" w:rsidRDefault="00E874D7" w:rsidP="0083075A">
      <w:pPr>
        <w:pStyle w:val="ae"/>
        <w:spacing w:before="0" w:after="0"/>
        <w:jc w:val="both"/>
        <w:textAlignment w:val="top"/>
        <w:rPr>
          <w:color w:val="000000" w:themeColor="text1"/>
          <w:sz w:val="16"/>
          <w:szCs w:val="16"/>
        </w:rPr>
      </w:pPr>
      <w:r w:rsidRPr="002F2FDF">
        <w:rPr>
          <w:color w:val="000000" w:themeColor="text1"/>
          <w:sz w:val="16"/>
          <w:szCs w:val="16"/>
        </w:rPr>
        <w:t>По 1 (14) февраля 1917 г. с 1 февраля 1916 сумма заказов механического отдела ВПК составила только 41 млн. руб по сравнению со 129 млн. руб. заказов, полученных до 1 февраля 1916 г. с середины 1915 г., т.е. за 8 месяцев. Чем хуже шли дела у комитетов, тем агрессивнее становились их требования смены политического курса и «ответственного министерства». В первом номере «Известий ЦВПК» за 1917 г. была опубликована статья «Итоги деятельности военно-промышленных комитетов за 1916 г.», в которой утверждалось, что работа идет успешно, и была бы гораздо более В конце 1916 г. Рабочая Группа начала активно вмешиваться в противостояние Думы и Правительства. В ночь с 26 на 27 января(с 8 на 9 февраля) 1917 г. было арестовано 10 из 11 ее членов. После этого ЦВПК, по словам Гучкова, окончательно сделался революционной организацией (18405).</w:t>
      </w:r>
    </w:p>
    <w:p w14:paraId="2D12744A" w14:textId="77777777" w:rsidR="00E874D7" w:rsidRPr="002F2FDF" w:rsidRDefault="00E874D7" w:rsidP="0083075A">
      <w:pPr>
        <w:pStyle w:val="ae"/>
        <w:spacing w:before="0" w:after="0"/>
        <w:jc w:val="both"/>
        <w:textAlignment w:val="top"/>
        <w:rPr>
          <w:color w:val="000000" w:themeColor="text1"/>
          <w:sz w:val="16"/>
          <w:szCs w:val="16"/>
        </w:rPr>
      </w:pPr>
    </w:p>
    <w:p w14:paraId="3803F9AD" w14:textId="77777777" w:rsidR="00E874D7" w:rsidRPr="002F2FDF" w:rsidRDefault="00E874D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(14) февраля 1917 г. ввиду «наступившего кризиса» военный министр Беляев предлагал «считаться с предстоящим… временным закрытием некоторых обслуживающих оборону заводов», что в действительности и стало практиковаться и распространилось в феврале на петроградские Ижорский и Путиловский заводы (с известными последствиями). «Главные причины катастрофы — транспорт и топливо», а не революция, считали руководители синдиката «Продамет». Более того, в марте — мае 1917 г. выплавка чугуна немного (и ненадолго) восстановилась. Другое дело, что в условиях войны это не изменяло основного: экономика не «демонстрировала многие признаки подъема», как представляется Никонову, а происходило, наоборот, «разрушение материальных ценностей», «истощение производительных сил» из-за роста специальных военных производств (18408).</w:t>
      </w:r>
    </w:p>
    <w:p w14:paraId="0B8E2912" w14:textId="77777777" w:rsidR="00E874D7" w:rsidRPr="002F2FDF" w:rsidRDefault="00E874D7" w:rsidP="0083075A">
      <w:pPr>
        <w:spacing w:after="0" w:line="240" w:lineRule="auto"/>
        <w:jc w:val="both"/>
        <w:rPr>
          <w:rFonts w:ascii="Times New Roman" w:hAnsi="Times New Roman" w:cs="Times New Roman"/>
          <w:color w:val="000000" w:themeColor="text1"/>
          <w:sz w:val="16"/>
          <w:szCs w:val="16"/>
        </w:rPr>
      </w:pPr>
    </w:p>
    <w:p w14:paraId="6427E0FF" w14:textId="6C9704F5" w:rsidR="00D11089" w:rsidRPr="00FB4F67" w:rsidRDefault="00D1108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 xml:space="preserve">1 </w:t>
      </w:r>
      <w:r>
        <w:rPr>
          <w:rFonts w:ascii="Times New Roman" w:hAnsi="Times New Roman" w:cs="Times New Roman"/>
          <w:color w:val="0070C0"/>
          <w:sz w:val="16"/>
          <w:szCs w:val="16"/>
        </w:rPr>
        <w:t xml:space="preserve">(14) </w:t>
      </w:r>
      <w:r w:rsidRPr="00FB4F67">
        <w:rPr>
          <w:rFonts w:ascii="Times New Roman" w:hAnsi="Times New Roman" w:cs="Times New Roman"/>
          <w:color w:val="0070C0"/>
          <w:sz w:val="16"/>
          <w:szCs w:val="16"/>
        </w:rPr>
        <w:t>февраля 1917 г. ввиду «наступившего кризиса» военный министр Беляев указал на необходимость «считаться с предстоящим... вре</w:t>
      </w:r>
      <w:r w:rsidRPr="00FB4F67">
        <w:rPr>
          <w:rFonts w:ascii="Times New Roman" w:hAnsi="Times New Roman" w:cs="Times New Roman"/>
          <w:color w:val="0070C0"/>
          <w:sz w:val="16"/>
          <w:szCs w:val="16"/>
        </w:rPr>
        <w:softHyphen/>
        <w:t>менным закрытием некоторых обслуживающих оборону заводов», что в действительности и стало практиковаться и распространилось в феврале на Ижорский и Путиловский заводы в Петрограде (с известными последствиями). «Глав</w:t>
      </w:r>
      <w:r w:rsidRPr="00FB4F67">
        <w:rPr>
          <w:rFonts w:ascii="Times New Roman" w:hAnsi="Times New Roman" w:cs="Times New Roman"/>
          <w:color w:val="0070C0"/>
          <w:sz w:val="16"/>
          <w:szCs w:val="16"/>
        </w:rPr>
        <w:softHyphen/>
        <w:t>ные причины катастрофы — транспорт и топливо», а не ре</w:t>
      </w:r>
      <w:r w:rsidRPr="00FB4F67">
        <w:rPr>
          <w:rFonts w:ascii="Times New Roman" w:hAnsi="Times New Roman" w:cs="Times New Roman"/>
          <w:color w:val="0070C0"/>
          <w:sz w:val="16"/>
          <w:szCs w:val="16"/>
        </w:rPr>
        <w:softHyphen/>
        <w:t>волюция, считали руководители «Продаметы» (Тарновский К.Н. Указ. соч. С. 216, 218, 225—228. См. также: Семен</w:t>
      </w:r>
      <w:r w:rsidRPr="00FB4F67">
        <w:rPr>
          <w:rFonts w:ascii="Times New Roman" w:hAnsi="Times New Roman" w:cs="Times New Roman"/>
          <w:color w:val="0070C0"/>
          <w:sz w:val="16"/>
          <w:szCs w:val="16"/>
        </w:rPr>
        <w:softHyphen/>
        <w:t>ников В.П. Монархия перед крушением. М.; Л., 1927. С. 131 — 134; ЭПР. Ч. 2. С. ПО; РГВИА. Ф. 2000. On. 1. Д. 6251. Л. 151, 92, 171; ЭПР. Ч. 1. С. 247). Более того, в марте—мае 1917 г. выплавка чугуна немного (и ненадолго) восстановилась (23452).</w:t>
      </w:r>
    </w:p>
    <w:p w14:paraId="68EF88AD" w14:textId="77777777" w:rsidR="00D11089" w:rsidRPr="00FB4F67" w:rsidRDefault="00D11089" w:rsidP="0083075A">
      <w:pPr>
        <w:spacing w:after="0" w:line="240" w:lineRule="auto"/>
        <w:jc w:val="both"/>
        <w:rPr>
          <w:rFonts w:ascii="Times New Roman" w:hAnsi="Times New Roman" w:cs="Times New Roman"/>
          <w:color w:val="0070C0"/>
          <w:sz w:val="16"/>
          <w:szCs w:val="16"/>
        </w:rPr>
      </w:pPr>
    </w:p>
    <w:p w14:paraId="67CA50C8" w14:textId="77777777" w:rsidR="006E0883"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78A002A" w14:textId="77777777" w:rsidR="006E0883" w:rsidRPr="002F2FDF" w:rsidRDefault="006E088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354098" w14:textId="77777777" w:rsidR="006E0883" w:rsidRPr="002F2FDF" w:rsidRDefault="006E088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 (14) февраля 1917 поступило на вооружение ЭВК 38 машин (11999).</w:t>
      </w:r>
    </w:p>
    <w:p w14:paraId="69FBF24A" w14:textId="77777777" w:rsidR="006E0883" w:rsidRPr="002F2FDF" w:rsidRDefault="006E088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BD408D" w14:textId="12884652" w:rsidR="007F78D6" w:rsidRPr="00FB4F67" w:rsidRDefault="007F78D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 (</w:t>
      </w:r>
      <w:r w:rsidRPr="00FB4F67">
        <w:rPr>
          <w:rFonts w:ascii="Times New Roman" w:hAnsi="Times New Roman" w:cs="Times New Roman"/>
          <w:color w:val="0070C0"/>
          <w:sz w:val="16"/>
          <w:szCs w:val="16"/>
        </w:rPr>
        <w:t>14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февраля 1917 г. русские открыли школу в составе 15-й КАО на Двинском направлении для подготовки артиллерийских офицеров-наблюдателей (23525).</w:t>
      </w:r>
    </w:p>
    <w:p w14:paraId="166219B9" w14:textId="77777777" w:rsidR="007F78D6" w:rsidRPr="00FB4F67" w:rsidRDefault="007F78D6" w:rsidP="0083075A">
      <w:pPr>
        <w:spacing w:after="0" w:line="240" w:lineRule="auto"/>
        <w:jc w:val="both"/>
        <w:rPr>
          <w:rFonts w:ascii="Times New Roman" w:hAnsi="Times New Roman" w:cs="Times New Roman"/>
          <w:color w:val="0070C0"/>
          <w:sz w:val="16"/>
          <w:szCs w:val="16"/>
        </w:rPr>
      </w:pPr>
    </w:p>
    <w:p w14:paraId="4C818009" w14:textId="397726F8" w:rsidR="007F78D6" w:rsidRPr="00FB4F67" w:rsidRDefault="007F78D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 (</w:t>
      </w:r>
      <w:r w:rsidRPr="00FB4F67">
        <w:rPr>
          <w:rFonts w:ascii="Times New Roman" w:hAnsi="Times New Roman" w:cs="Times New Roman"/>
          <w:color w:val="0070C0"/>
          <w:sz w:val="16"/>
          <w:szCs w:val="16"/>
        </w:rPr>
        <w:t>14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февраля 1917 г. в районе г. Ковель (Западный фронт) летчик 3-го авиаотряда истребителей прапорщик Е.Ф. Кострицкий имел шесть воздушных столкновений с германскими самолетами. В Рижском районе (южнее Фридрихштадта (Яунелгава) и западнее Двинска) три неприятельских аэроплана попали в зону зенитного огня и были вынуждены снизиться в своем расположений (23405).</w:t>
      </w:r>
    </w:p>
    <w:p w14:paraId="1F19AB18" w14:textId="77777777" w:rsidR="007F78D6" w:rsidRPr="00FB4F67" w:rsidRDefault="007F78D6" w:rsidP="0083075A">
      <w:pPr>
        <w:spacing w:after="0" w:line="240" w:lineRule="auto"/>
        <w:jc w:val="both"/>
        <w:rPr>
          <w:rFonts w:ascii="Times New Roman" w:hAnsi="Times New Roman" w:cs="Times New Roman"/>
          <w:color w:val="0070C0"/>
          <w:sz w:val="16"/>
          <w:szCs w:val="16"/>
        </w:rPr>
      </w:pPr>
    </w:p>
    <w:p w14:paraId="36C578AF" w14:textId="11D24087" w:rsidR="007F78D6" w:rsidRPr="00FB4F67" w:rsidRDefault="007F78D6" w:rsidP="0083075A">
      <w:pPr>
        <w:spacing w:after="0" w:line="240" w:lineRule="auto"/>
        <w:jc w:val="both"/>
        <w:rPr>
          <w:rFonts w:ascii="Times New Roman" w:hAnsi="Times New Roman" w:cs="Times New Roman"/>
          <w:color w:val="0070C0"/>
          <w:sz w:val="16"/>
          <w:szCs w:val="16"/>
        </w:rPr>
      </w:pPr>
      <w:bookmarkStart w:id="22" w:name="bookmark696"/>
      <w:bookmarkStart w:id="23" w:name="bookmark697"/>
      <w:r>
        <w:rPr>
          <w:rFonts w:ascii="Times New Roman" w:hAnsi="Times New Roman" w:cs="Times New Roman"/>
          <w:color w:val="0070C0"/>
          <w:sz w:val="16"/>
          <w:szCs w:val="16"/>
        </w:rPr>
        <w:t>1 (</w:t>
      </w:r>
      <w:r w:rsidRPr="00FB4F67">
        <w:rPr>
          <w:rFonts w:ascii="Times New Roman" w:hAnsi="Times New Roman" w:cs="Times New Roman"/>
          <w:color w:val="0070C0"/>
          <w:sz w:val="16"/>
          <w:szCs w:val="16"/>
        </w:rPr>
        <w:t>14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февраля 1917 г. французский пилот Револьтиссо сбил германский аппарат, упавший в нашем расположении юго-западнее Выралта. Немецкие летчики погибли (23405).</w:t>
      </w:r>
      <w:bookmarkEnd w:id="22"/>
      <w:bookmarkEnd w:id="23"/>
    </w:p>
    <w:p w14:paraId="50B3978E" w14:textId="77777777" w:rsidR="007F78D6" w:rsidRPr="00FB4F67" w:rsidRDefault="007F78D6" w:rsidP="0083075A">
      <w:pPr>
        <w:spacing w:after="0" w:line="240" w:lineRule="auto"/>
        <w:jc w:val="both"/>
        <w:rPr>
          <w:rFonts w:ascii="Times New Roman" w:hAnsi="Times New Roman" w:cs="Times New Roman"/>
          <w:color w:val="0070C0"/>
          <w:sz w:val="16"/>
          <w:szCs w:val="16"/>
        </w:rPr>
      </w:pPr>
    </w:p>
    <w:p w14:paraId="018AF06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A3477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D967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февраля 1917 приказом Авиационного комитета флота установили, что на М-9 нагрузка д.б. ограничена 350 кг и обороты мотора - не менее 1250 о/м (2809,8).</w:t>
      </w:r>
    </w:p>
    <w:p w14:paraId="04659F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9C3C9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февраля 1917 решение что “девятка” могла нести активную службу при нагрузке не более 350 кг и скорости мотора не ниже 1250 оборотов в минуту узаконили приказом, тогда как два способа достижения более высоких показателей, видившиеся в более качественной сборке аппаратов и более мощных двигателях, едва ли были осуществимы. Двадцать третьего марта командующий Черноморским флотом вице-адми</w:t>
      </w:r>
      <w:r w:rsidRPr="002F2FDF">
        <w:rPr>
          <w:rFonts w:ascii="Times New Roman" w:hAnsi="Times New Roman" w:cs="Times New Roman"/>
          <w:color w:val="000000" w:themeColor="text1"/>
          <w:kern w:val="2"/>
          <w:sz w:val="16"/>
          <w:szCs w:val="16"/>
        </w:rPr>
        <w:softHyphen/>
        <w:t>рал А. В. Колчак суммировал в своем докладе, что поступавшие с завода летающие лодки обладали многочисленными недостатками, включавшими аккуратно замаскированные пробоины корпусов (!), течи бензопроводов и баков, расклеивавшиеся через 3-4 часа работы пропеллеры и пр. По его словам, гидроаэропланы типа М-9 при скорости до 110 км/ч и скороподъемности 2000 м за 50-70 минут могли — из-за общей перегрузки—достигнуть названной боевой высоты только при исключительно хорошей работе мотора и, таким образом, являли неспособность подняться выше самолетов противника, всегда державшихся на 2-2,5 тыс. м. Это сковывало инициативу наших пилотов, вынужденных летать на 1,6-1,7 тыс. м и потому подвергавшихся сильному воздействию зенитного огня. Дабы остановить поток брака, Колчак, выражая интересы морских летчиков, предлагал утвердить следующие сдаточные усло</w:t>
      </w:r>
      <w:r w:rsidRPr="002F2FDF">
        <w:rPr>
          <w:rFonts w:ascii="Times New Roman" w:hAnsi="Times New Roman" w:cs="Times New Roman"/>
          <w:color w:val="000000" w:themeColor="text1"/>
          <w:kern w:val="2"/>
          <w:sz w:val="16"/>
          <w:szCs w:val="16"/>
        </w:rPr>
        <w:softHyphen/>
        <w:t>вия для строившихся М-9: полет на 3 тыс. м в течение 3 часов на скорости до 120 км/ч плюс способность оперировать на море при волнении высотой до 1,5 м. Без сомнения, аппараты данной модели не выдержа</w:t>
      </w:r>
      <w:r w:rsidRPr="002F2FDF">
        <w:rPr>
          <w:rFonts w:ascii="Times New Roman" w:hAnsi="Times New Roman" w:cs="Times New Roman"/>
          <w:color w:val="000000" w:themeColor="text1"/>
          <w:kern w:val="2"/>
          <w:sz w:val="16"/>
          <w:szCs w:val="16"/>
        </w:rPr>
        <w:softHyphen/>
        <w:t>ли бы таких нагрузок и заявленный план следовало рассматривать лишь как попытку добиться поставок более современной техники взамен устаревшей (2807).</w:t>
      </w:r>
    </w:p>
    <w:p w14:paraId="09CD1F8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3E8FFA" w14:textId="77777777" w:rsidR="00E874D7" w:rsidRPr="002F2FDF" w:rsidRDefault="00E874D7" w:rsidP="0083075A">
      <w:pPr>
        <w:pStyle w:val="p1"/>
        <w:spacing w:before="0" w:beforeAutospacing="0" w:after="0" w:afterAutospacing="0"/>
        <w:jc w:val="both"/>
        <w:rPr>
          <w:color w:val="000000" w:themeColor="text1"/>
          <w:sz w:val="16"/>
          <w:szCs w:val="16"/>
        </w:rPr>
      </w:pPr>
      <w:r w:rsidRPr="002F2FDF">
        <w:rPr>
          <w:color w:val="000000" w:themeColor="text1"/>
          <w:sz w:val="16"/>
          <w:szCs w:val="16"/>
        </w:rPr>
        <w:t>2 (15) февраля 1917 г. Подготовительная комиссия Особого совещания по обороне одобрила заказ «Русскому Рено» на 1000 авиационных двигателей «автомобильного типа» для поставки с ноября 1917 по середину 1918 г. При этом «Русский Рено» выдвинул «ряд пожеланий о содействии ему Управления [военного воздушного флота] в получении материалов, топлива, машин, станков, магнето, рабочих рук и пр.». По предыдущему контракту на моторы того же типа (утвержденному 12 октября 1915 г.) ГВТУ также оказало «содействие заводу по получению готовых частей из Франции для сборки в России части заказанных моторов». В феврале 1917 г. Общество заявляло, что «обязуется изготовить моторы и запасные части на его русских заводах и из материалов русского происхождения» — с многозначительной оговоркой: «исключая тех, которые не представляется возможным найти на русском рынке». Со своей стороны, Управление аттестовало «Русский Рено» как «один из немногих русских моторных заводов, который, обладая достаточным оборудованием, техническими силами и преемственностью производства от такового же во Франции, в состоянии выполнить заказ в обусловленный срок на такое количество моторов и оказать действительное содействие в снабжении аэропланов моторами русского изделия» (18366).</w:t>
      </w:r>
    </w:p>
    <w:p w14:paraId="042623D2" w14:textId="77777777" w:rsidR="00E874D7" w:rsidRPr="002F2FDF" w:rsidRDefault="00E874D7" w:rsidP="0083075A">
      <w:pPr>
        <w:pStyle w:val="p1"/>
        <w:spacing w:before="0" w:beforeAutospacing="0" w:after="0" w:afterAutospacing="0"/>
        <w:jc w:val="both"/>
        <w:rPr>
          <w:color w:val="000000" w:themeColor="text1"/>
          <w:sz w:val="16"/>
          <w:szCs w:val="16"/>
        </w:rPr>
      </w:pPr>
    </w:p>
    <w:p w14:paraId="4638D308" w14:textId="77777777" w:rsidR="00E874D7" w:rsidRPr="002F2FDF" w:rsidRDefault="00E874D7" w:rsidP="0083075A">
      <w:pPr>
        <w:pStyle w:val="p1"/>
        <w:spacing w:before="0" w:beforeAutospacing="0" w:after="0" w:afterAutospacing="0"/>
        <w:jc w:val="both"/>
        <w:rPr>
          <w:color w:val="000000" w:themeColor="text1"/>
          <w:sz w:val="16"/>
          <w:szCs w:val="16"/>
        </w:rPr>
      </w:pPr>
      <w:r w:rsidRPr="002F2FDF">
        <w:rPr>
          <w:color w:val="000000" w:themeColor="text1"/>
          <w:sz w:val="16"/>
          <w:szCs w:val="16"/>
        </w:rPr>
        <w:t>2 (15) февраля 1917 г. наиболее крупному поставщику авиамоторов, «Русскому Рено», Подготовительная комиссия Особого совещания по обороне одобрила заказ на 1000 авиационных двигателей «автомобильного типа» для поставки с ноября 1917 по середину 1918 г. При этом «Русский Рено» выдвинул «ряд пожеланий о содействии ему Управления [военного воздушного флота] в получении материалов, топлива, машин, станков, магнето, рабочих рук и пр.». По предыдущему контракту на моторы того же типа (утвержденному 12 октября 1915 г.) ГВТУ также оказало «содействие заводу по получению готовых частей из Франции для сборки в России части заказанных моторов». В феврале 1917 г. Общество заявляло, что «обязуется изготовить моторы и запасные части на его русских заводах и из материалов русского происхождения» — с многозначительной оговоркой: «исключая тех, которые не представляется возможным найти на русском рынке». Со своей стороны, Управление аттестовало «Русский Рено» как «один из немногих русских моторных заводов, который, обладая достаточным оборудованием, техническими силами и преемственностью производства от такового же во Франции, в состоянии выполнить заказ в обусловленный срок на такое количество моторов и оказать действительное содействие в снабжении аэропланов моторами русского изделия» (18409).</w:t>
      </w:r>
    </w:p>
    <w:p w14:paraId="0D04A609" w14:textId="77777777" w:rsidR="00E874D7" w:rsidRPr="002F2FDF" w:rsidRDefault="00E874D7" w:rsidP="0083075A">
      <w:pPr>
        <w:pStyle w:val="p1"/>
        <w:spacing w:before="0" w:beforeAutospacing="0" w:after="0" w:afterAutospacing="0"/>
        <w:jc w:val="both"/>
        <w:rPr>
          <w:color w:val="000000" w:themeColor="text1"/>
          <w:sz w:val="16"/>
          <w:szCs w:val="16"/>
        </w:rPr>
      </w:pPr>
    </w:p>
    <w:p w14:paraId="1247D9F4" w14:textId="4E341C1A" w:rsidR="00D11089" w:rsidRPr="00FB4F67" w:rsidRDefault="00D11089" w:rsidP="0083075A">
      <w:pPr>
        <w:spacing w:after="0" w:line="240" w:lineRule="auto"/>
        <w:jc w:val="both"/>
        <w:rPr>
          <w:rFonts w:ascii="Times New Roman" w:hAnsi="Times New Roman" w:cs="Times New Roman"/>
          <w:color w:val="0070C0"/>
          <w:sz w:val="16"/>
          <w:szCs w:val="16"/>
        </w:rPr>
      </w:pPr>
      <w:bookmarkStart w:id="24" w:name="bookmark685"/>
      <w:bookmarkStart w:id="25" w:name="bookmark686"/>
      <w:bookmarkStart w:id="26" w:name="bookmark687"/>
      <w:bookmarkStart w:id="27" w:name="bookmark688"/>
      <w:bookmarkStart w:id="28" w:name="bookmark689"/>
      <w:r w:rsidRPr="00FB4F67">
        <w:rPr>
          <w:rFonts w:ascii="Times New Roman" w:hAnsi="Times New Roman" w:cs="Times New Roman"/>
          <w:color w:val="0070C0"/>
          <w:sz w:val="16"/>
          <w:szCs w:val="16"/>
        </w:rPr>
        <w:t xml:space="preserve">2 </w:t>
      </w:r>
      <w:r>
        <w:rPr>
          <w:rFonts w:ascii="Times New Roman" w:hAnsi="Times New Roman" w:cs="Times New Roman"/>
          <w:color w:val="0070C0"/>
          <w:sz w:val="16"/>
          <w:szCs w:val="16"/>
        </w:rPr>
        <w:t xml:space="preserve">(15) </w:t>
      </w:r>
      <w:r w:rsidRPr="00FB4F67">
        <w:rPr>
          <w:rFonts w:ascii="Times New Roman" w:hAnsi="Times New Roman" w:cs="Times New Roman"/>
          <w:color w:val="0070C0"/>
          <w:sz w:val="16"/>
          <w:szCs w:val="16"/>
        </w:rPr>
        <w:t>февраля 1917 г. наиболее крупному поставщику авиамоторов, «Русскому Рено», Подготовительная комиссия Особого совещания по обороне одобрила заказ на 1000 авиаци</w:t>
      </w:r>
      <w:r w:rsidRPr="00FB4F67">
        <w:rPr>
          <w:rFonts w:ascii="Times New Roman" w:hAnsi="Times New Roman" w:cs="Times New Roman"/>
          <w:color w:val="0070C0"/>
          <w:sz w:val="16"/>
          <w:szCs w:val="16"/>
        </w:rPr>
        <w:softHyphen/>
        <w:t>онных двигателей «автомобильного типа» для поставки с ноября 1917 по середину 1918 г. При этом «Русский Рено» выдвинул «ряд пожеланий о содействии ему Управления [военного воздушного флота] в получении материалов, то</w:t>
      </w:r>
      <w:r w:rsidRPr="00FB4F67">
        <w:rPr>
          <w:rFonts w:ascii="Times New Roman" w:hAnsi="Times New Roman" w:cs="Times New Roman"/>
          <w:color w:val="0070C0"/>
          <w:sz w:val="16"/>
          <w:szCs w:val="16"/>
        </w:rPr>
        <w:softHyphen/>
        <w:t>плива, машин, станков, магнето, рабочих рук и пр.». По предыдущему контракту на моторы того же типа (утверж</w:t>
      </w:r>
      <w:r w:rsidRPr="00FB4F67">
        <w:rPr>
          <w:rFonts w:ascii="Times New Roman" w:hAnsi="Times New Roman" w:cs="Times New Roman"/>
          <w:color w:val="0070C0"/>
          <w:sz w:val="16"/>
          <w:szCs w:val="16"/>
        </w:rPr>
        <w:softHyphen/>
        <w:t>денному 12 октября 1915 г.) ГВТУ также оказало «содей</w:t>
      </w:r>
      <w:r w:rsidRPr="00FB4F67">
        <w:rPr>
          <w:rFonts w:ascii="Times New Roman" w:hAnsi="Times New Roman" w:cs="Times New Roman"/>
          <w:color w:val="0070C0"/>
          <w:sz w:val="16"/>
          <w:szCs w:val="16"/>
        </w:rPr>
        <w:softHyphen/>
        <w:t>ствие заводу по получению готовых частей из Франции для сборки в России части заказанных моторов». В феврале 1917 г. Общество заявляло, что «обязуется изготовить мо</w:t>
      </w:r>
      <w:r w:rsidRPr="00FB4F67">
        <w:rPr>
          <w:rFonts w:ascii="Times New Roman" w:hAnsi="Times New Roman" w:cs="Times New Roman"/>
          <w:color w:val="0070C0"/>
          <w:sz w:val="16"/>
          <w:szCs w:val="16"/>
        </w:rPr>
        <w:softHyphen/>
        <w:t>торы и запасные части на его русских заводах и из мате</w:t>
      </w:r>
      <w:r w:rsidRPr="00FB4F67">
        <w:rPr>
          <w:rFonts w:ascii="Times New Roman" w:hAnsi="Times New Roman" w:cs="Times New Roman"/>
          <w:color w:val="0070C0"/>
          <w:sz w:val="16"/>
          <w:szCs w:val="16"/>
        </w:rPr>
        <w:softHyphen/>
        <w:t>риалов русского происхождения» — с многозначительной оговоркой: «исключая тех, которые не представляется воз</w:t>
      </w:r>
      <w:r w:rsidRPr="00FB4F67">
        <w:rPr>
          <w:rFonts w:ascii="Times New Roman" w:hAnsi="Times New Roman" w:cs="Times New Roman"/>
          <w:color w:val="0070C0"/>
          <w:sz w:val="16"/>
          <w:szCs w:val="16"/>
        </w:rPr>
        <w:softHyphen/>
        <w:t>можным найти на русском рынке». Со своей стороны, Управление аттестовало «Русский Рено» как «один из не</w:t>
      </w:r>
      <w:r w:rsidRPr="00FB4F67">
        <w:rPr>
          <w:rFonts w:ascii="Times New Roman" w:hAnsi="Times New Roman" w:cs="Times New Roman"/>
          <w:color w:val="0070C0"/>
          <w:sz w:val="16"/>
          <w:szCs w:val="16"/>
        </w:rPr>
        <w:softHyphen/>
        <w:t>многих русских моторных заводов, который, обладая до</w:t>
      </w:r>
      <w:r w:rsidRPr="00FB4F67">
        <w:rPr>
          <w:rFonts w:ascii="Times New Roman" w:hAnsi="Times New Roman" w:cs="Times New Roman"/>
          <w:color w:val="0070C0"/>
          <w:sz w:val="16"/>
          <w:szCs w:val="16"/>
        </w:rPr>
        <w:softHyphen/>
        <w:t>статочным оборудованием, техническими силами и преем</w:t>
      </w:r>
      <w:r w:rsidRPr="00FB4F67">
        <w:rPr>
          <w:rFonts w:ascii="Times New Roman" w:hAnsi="Times New Roman" w:cs="Times New Roman"/>
          <w:color w:val="0070C0"/>
          <w:sz w:val="16"/>
          <w:szCs w:val="16"/>
        </w:rPr>
        <w:softHyphen/>
        <w:t>ственностью производства от такового же во Франции, в состоянии выполнить заказ в обусловленный срок на такое количество моторов и оказать действительное содействие в снабжении аэропланов моторами русского изделия» (23452).</w:t>
      </w:r>
    </w:p>
    <w:p w14:paraId="698114B2" w14:textId="77777777" w:rsidR="00D11089" w:rsidRPr="00FB4F67" w:rsidRDefault="00D11089" w:rsidP="0083075A">
      <w:pPr>
        <w:spacing w:after="0" w:line="240" w:lineRule="auto"/>
        <w:jc w:val="both"/>
        <w:rPr>
          <w:rFonts w:ascii="Times New Roman" w:hAnsi="Times New Roman" w:cs="Times New Roman"/>
          <w:color w:val="0070C0"/>
          <w:sz w:val="16"/>
          <w:szCs w:val="16"/>
        </w:rPr>
      </w:pPr>
    </w:p>
    <w:bookmarkEnd w:id="24"/>
    <w:bookmarkEnd w:id="25"/>
    <w:bookmarkEnd w:id="26"/>
    <w:bookmarkEnd w:id="27"/>
    <w:bookmarkEnd w:id="28"/>
    <w:p w14:paraId="06626FBB" w14:textId="77777777" w:rsidR="00197288"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0964FEDA" w14:textId="77777777" w:rsidR="00197288" w:rsidRPr="002F2FDF" w:rsidRDefault="0019728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F294AE" w14:textId="75D4009B" w:rsidR="00831CDC" w:rsidRPr="002F2FDF" w:rsidRDefault="00831CDC" w:rsidP="0083075A">
      <w:pPr>
        <w:spacing w:after="0" w:line="240" w:lineRule="auto"/>
        <w:jc w:val="both"/>
        <w:rPr>
          <w:rFonts w:ascii="Times New Roman" w:hAnsi="Times New Roman" w:cs="Times New Roman"/>
          <w:color w:val="000000" w:themeColor="text1"/>
          <w:sz w:val="16"/>
          <w:szCs w:val="16"/>
          <w:shd w:val="clear" w:color="auto" w:fill="FBFCFC"/>
        </w:rPr>
      </w:pPr>
      <w:r w:rsidRPr="002F2FDF">
        <w:rPr>
          <w:rFonts w:ascii="Times New Roman" w:hAnsi="Times New Roman" w:cs="Times New Roman"/>
          <w:color w:val="000000" w:themeColor="text1"/>
          <w:sz w:val="16"/>
          <w:szCs w:val="16"/>
          <w:shd w:val="clear" w:color="auto" w:fill="FBFCFC"/>
        </w:rPr>
        <w:t xml:space="preserve">2 </w:t>
      </w:r>
      <w:r w:rsidR="00640944">
        <w:rPr>
          <w:rFonts w:ascii="Times New Roman" w:hAnsi="Times New Roman" w:cs="Times New Roman"/>
          <w:color w:val="000000" w:themeColor="text1"/>
          <w:sz w:val="16"/>
          <w:szCs w:val="16"/>
          <w:shd w:val="clear" w:color="auto" w:fill="FBFCFC"/>
        </w:rPr>
        <w:t xml:space="preserve">(15) </w:t>
      </w:r>
      <w:r w:rsidRPr="002F2FDF">
        <w:rPr>
          <w:rFonts w:ascii="Times New Roman" w:hAnsi="Times New Roman" w:cs="Times New Roman"/>
          <w:color w:val="000000" w:themeColor="text1"/>
          <w:sz w:val="16"/>
          <w:szCs w:val="16"/>
          <w:shd w:val="clear" w:color="auto" w:fill="FBFCFC"/>
        </w:rPr>
        <w:t>февраля 1917 г. Подготовительная комиссия Особого совещания по обороне одобрила заказ на 1000 авиационных двигателей «автомобильного типа» для поставки с ноября 1917 по середину 1918 г. наиболее крупному поставщику авиамоторов, «Русскому Рено».</w:t>
      </w:r>
    </w:p>
    <w:p w14:paraId="4B3EC787" w14:textId="77777777" w:rsidR="00831CDC" w:rsidRPr="002F2FDF" w:rsidRDefault="00831CDC" w:rsidP="0083075A">
      <w:pPr>
        <w:spacing w:after="0" w:line="240" w:lineRule="auto"/>
        <w:jc w:val="both"/>
        <w:rPr>
          <w:rFonts w:ascii="Times New Roman" w:hAnsi="Times New Roman" w:cs="Times New Roman"/>
          <w:color w:val="000000" w:themeColor="text1"/>
          <w:sz w:val="16"/>
          <w:szCs w:val="16"/>
          <w:shd w:val="clear" w:color="auto" w:fill="FBFCFC"/>
        </w:rPr>
      </w:pPr>
      <w:r w:rsidRPr="002F2FDF">
        <w:rPr>
          <w:rFonts w:ascii="Times New Roman" w:hAnsi="Times New Roman" w:cs="Times New Roman"/>
          <w:color w:val="000000" w:themeColor="text1"/>
          <w:sz w:val="16"/>
          <w:szCs w:val="16"/>
          <w:shd w:val="clear" w:color="auto" w:fill="FBFCFC"/>
        </w:rPr>
        <w:t>При этом «Русский Рено» выдвинул «ряд пожеланий о содействии ему Управления [военного воздушного флота] в получении материалов, топлива, машин, станков, магнето, рабочих рук и пр.».</w:t>
      </w:r>
    </w:p>
    <w:p w14:paraId="42796A99" w14:textId="77777777" w:rsidR="00831CDC" w:rsidRPr="002F2FDF" w:rsidRDefault="00831CDC" w:rsidP="0083075A">
      <w:pPr>
        <w:spacing w:after="0" w:line="240" w:lineRule="auto"/>
        <w:jc w:val="both"/>
        <w:rPr>
          <w:rFonts w:ascii="Times New Roman" w:hAnsi="Times New Roman" w:cs="Times New Roman"/>
          <w:color w:val="000000" w:themeColor="text1"/>
          <w:sz w:val="16"/>
          <w:szCs w:val="16"/>
          <w:shd w:val="clear" w:color="auto" w:fill="FBFCFC"/>
        </w:rPr>
      </w:pPr>
      <w:r w:rsidRPr="002F2FDF">
        <w:rPr>
          <w:rFonts w:ascii="Times New Roman" w:hAnsi="Times New Roman" w:cs="Times New Roman"/>
          <w:color w:val="000000" w:themeColor="text1"/>
          <w:sz w:val="16"/>
          <w:szCs w:val="16"/>
          <w:shd w:val="clear" w:color="auto" w:fill="FBFCFC"/>
        </w:rPr>
        <w:t>По предыдущему контракту на моторы того же типа (утвержденному 12 октября 1915 г.) ГВТУ также оказало «содействие заводу по получению готовых частей из Франции для сборки в России части заказанных моторов».</w:t>
      </w:r>
    </w:p>
    <w:p w14:paraId="46FB4048" w14:textId="77777777" w:rsidR="00831CDC" w:rsidRPr="002F2FDF" w:rsidRDefault="00831CD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shd w:val="clear" w:color="auto" w:fill="FBFCFC"/>
        </w:rPr>
        <w:t>В феврале 1917 г. Общество заявляло, что «обязуется изготовить моторы и запасные части на его русских заводах и из материалов русского происхождения» — с многозначительной оговоркой: «исключая тех, которые не представляется возможным найти на русском рынке». Со своей стороны, Управление аттестовало «Русский Рено» как «один из немногих русских моторных заводов, который, обладая достаточным оборудованием, техническими силами и преемственностью производства от такового же во Франции, в состоянии выполнить заказ в обусловленный срок на такое количество моторов и оказать действительное содействие в снабжении аэропланов моторами русского изделия» (20069).</w:t>
      </w:r>
    </w:p>
    <w:p w14:paraId="2FDDD5AF" w14:textId="77777777" w:rsidR="00831CDC" w:rsidRPr="002F2FDF" w:rsidRDefault="00831CDC" w:rsidP="0083075A">
      <w:pPr>
        <w:spacing w:after="0" w:line="240" w:lineRule="auto"/>
        <w:jc w:val="both"/>
        <w:rPr>
          <w:rFonts w:ascii="Times New Roman" w:hAnsi="Times New Roman" w:cs="Times New Roman"/>
          <w:color w:val="000000" w:themeColor="text1"/>
          <w:sz w:val="16"/>
          <w:szCs w:val="16"/>
        </w:rPr>
      </w:pPr>
    </w:p>
    <w:p w14:paraId="0291A13A" w14:textId="77777777" w:rsidR="00197288" w:rsidRPr="002F2FDF" w:rsidRDefault="00197288"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2 (15) февраля 1917 г. </w:t>
      </w:r>
      <w:r w:rsidRPr="002F2FDF">
        <w:rPr>
          <w:rFonts w:ascii="Times New Roman" w:hAnsi="Times New Roman" w:cs="Times New Roman"/>
          <w:color w:val="000000" w:themeColor="text1"/>
          <w:kern w:val="2"/>
          <w:sz w:val="16"/>
          <w:szCs w:val="16"/>
        </w:rPr>
        <w:t>Телеграмма ген. Э. К. Гермониуса военному министру о задержке английским казначейством отпуска кредитов для расплаты по русским заказам в Америке и о необходимости иметь в Соединенных Штатах независимый от Англии кредит.</w:t>
      </w:r>
    </w:p>
    <w:p w14:paraId="27E2F21B" w14:textId="583F7BA4" w:rsidR="00197288" w:rsidRPr="002F2FDF" w:rsidRDefault="0019728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532</w:t>
      </w:r>
    </w:p>
    <w:p w14:paraId="486ECCF4" w14:textId="767DD904" w:rsidR="00197288" w:rsidRPr="002F2FDF" w:rsidRDefault="0019728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ЦГВИА, ф. 2000, оп. 1, д. 6142, л. 44—44 об. Заверенная копия.</w:t>
      </w:r>
    </w:p>
    <w:p w14:paraId="5DB980A2" w14:textId="77777777" w:rsidR="00197288" w:rsidRPr="002F2FDF" w:rsidRDefault="00197288" w:rsidP="0083075A">
      <w:pPr>
        <w:pStyle w:val="rtejustify"/>
        <w:spacing w:before="0" w:after="0"/>
        <w:rPr>
          <w:color w:val="000000" w:themeColor="text1"/>
          <w:kern w:val="2"/>
          <w:sz w:val="16"/>
          <w:szCs w:val="16"/>
        </w:rPr>
      </w:pPr>
      <w:r w:rsidRPr="002F2FDF">
        <w:rPr>
          <w:color w:val="000000" w:themeColor="text1"/>
          <w:kern w:val="2"/>
          <w:sz w:val="16"/>
          <w:szCs w:val="16"/>
        </w:rPr>
        <w:t xml:space="preserve">Доношу Вашему высокопревосходительству, что сколько я не добиваюсь и через нашего представителя Министерства финансов, и лично,, и в письменной форме о скорейшем удовлетворении наших важнейших и срочных потребностей, я неизменно получаю лишь частичный отпуск кредитов. На последнее мое заявление, на </w:t>
      </w:r>
      <w:r w:rsidRPr="002F2FDF">
        <w:rPr>
          <w:color w:val="000000" w:themeColor="text1"/>
          <w:kern w:val="2"/>
          <w:sz w:val="16"/>
          <w:szCs w:val="16"/>
        </w:rPr>
        <w:lastRenderedPageBreak/>
        <w:t>которое я ждал ответа почти две недели, и дождался его теперь лишь благодаря самому настойчивому давлению, ответ получил снова частью уклончивый, частью отрицательный и лишь половину заявленных требований удовлетворяющий полностью. Я буду снова протестовать, и пройдет еще не менее двух недель, когда снова удастся что-либо вырвать от казначейства. Я положительно теряюсь, как вести дело дальше, полагаю, что прежде всего необходимо сообщить положение дела главе английской миссии в Петрограде лорду Мильнеру, чтобы он мог сообщить своему правительству о недоумении русских центральных властей. Кроме того, считаю чрезвычайно полезным иметь в Америке хотя бы лишь для американских заказов кредит, независимый от Англии. Вместе с тем с каждым днем выясняется необходимость продолжения займа, так как недостаток кредита по существующему займу является одной из причин затруднения в получении денег. Ввиду телеграммы Маниковского номер 68259</w:t>
      </w:r>
      <w:hyperlink r:id="rId30" w:anchor="_ftn1" w:history="1">
        <w:r w:rsidRPr="002F2FDF">
          <w:rPr>
            <w:rStyle w:val="a5"/>
            <w:color w:val="000000" w:themeColor="text1"/>
            <w:kern w:val="2"/>
            <w:sz w:val="16"/>
            <w:szCs w:val="16"/>
          </w:rPr>
          <w:t>[1]</w:t>
        </w:r>
      </w:hyperlink>
      <w:r w:rsidRPr="002F2FDF">
        <w:rPr>
          <w:color w:val="000000" w:themeColor="text1"/>
          <w:kern w:val="2"/>
          <w:sz w:val="16"/>
          <w:szCs w:val="16"/>
        </w:rPr>
        <w:t xml:space="preserve"> о необходимости моей поездки в Америку и телеграммы ген. Залюбовского о желательности и полезности моего присутствия в Америке, я отбываю туда в один из ближайших дней, хотя полагаю, что создавшееся положение делает мое пребывание в Лондоне также ответственным и важным. 9383.</w:t>
      </w:r>
    </w:p>
    <w:p w14:paraId="3088B872" w14:textId="77777777" w:rsidR="00197288" w:rsidRPr="002F2FDF" w:rsidRDefault="00197288"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Гермониус.</w:t>
      </w:r>
    </w:p>
    <w:p w14:paraId="0818AEFB" w14:textId="77777777" w:rsidR="00197288" w:rsidRPr="002F2FDF" w:rsidRDefault="00000000" w:rsidP="0083075A">
      <w:pPr>
        <w:pStyle w:val="ae"/>
        <w:spacing w:before="0" w:after="0"/>
        <w:jc w:val="both"/>
        <w:rPr>
          <w:color w:val="000000" w:themeColor="text1"/>
          <w:kern w:val="2"/>
          <w:sz w:val="16"/>
          <w:szCs w:val="16"/>
        </w:rPr>
      </w:pPr>
      <w:hyperlink r:id="rId31" w:anchor="_ftnref1" w:history="1">
        <w:r w:rsidR="00197288" w:rsidRPr="002F2FDF">
          <w:rPr>
            <w:rStyle w:val="a5"/>
            <w:color w:val="000000" w:themeColor="text1"/>
            <w:kern w:val="2"/>
            <w:sz w:val="16"/>
            <w:szCs w:val="16"/>
          </w:rPr>
          <w:t>[1]</w:t>
        </w:r>
      </w:hyperlink>
      <w:r w:rsidR="00197288" w:rsidRPr="002F2FDF">
        <w:rPr>
          <w:color w:val="000000" w:themeColor="text1"/>
          <w:kern w:val="2"/>
          <w:sz w:val="16"/>
          <w:szCs w:val="16"/>
        </w:rPr>
        <w:t xml:space="preserve"> См. ЦГВИА, ф. 2000, оп. 1, д. 6129, л. 273 (15192).</w:t>
      </w:r>
    </w:p>
    <w:p w14:paraId="35FD8430" w14:textId="77777777" w:rsidR="00197288" w:rsidRPr="002F2FDF" w:rsidRDefault="00197288"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59C4F75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45166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C98E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февраля 1917 Полевой генерал-инспектор издал циркуляр, в котором отмечалась слабая подготовка л в обращении с пулеметами, незнание причин задержек при стрельбе. Приказал использовать период летнего затишья для тренировки и учебы (3618).</w:t>
      </w:r>
    </w:p>
    <w:p w14:paraId="5C617A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A7FB7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 </w:t>
      </w:r>
      <w:r w:rsidR="006E0883" w:rsidRPr="002F2FDF">
        <w:rPr>
          <w:rFonts w:ascii="Times New Roman" w:hAnsi="Times New Roman" w:cs="Times New Roman"/>
          <w:color w:val="000000" w:themeColor="text1"/>
          <w:kern w:val="2"/>
          <w:sz w:val="16"/>
          <w:szCs w:val="16"/>
        </w:rPr>
        <w:t xml:space="preserve">(16) </w:t>
      </w:r>
      <w:r w:rsidRPr="002F2FDF">
        <w:rPr>
          <w:rFonts w:ascii="Times New Roman" w:hAnsi="Times New Roman" w:cs="Times New Roman"/>
          <w:color w:val="000000" w:themeColor="text1"/>
          <w:kern w:val="2"/>
          <w:sz w:val="16"/>
          <w:szCs w:val="16"/>
        </w:rPr>
        <w:t>февраля 1917 полевой генерал-инспектор воздушного флота издал циркуляр, в котором отмечалась слабая подготовка лет</w:t>
      </w:r>
      <w:r w:rsidRPr="002F2FDF">
        <w:rPr>
          <w:rFonts w:ascii="Times New Roman" w:hAnsi="Times New Roman" w:cs="Times New Roman"/>
          <w:color w:val="000000" w:themeColor="text1"/>
          <w:kern w:val="2"/>
          <w:sz w:val="16"/>
          <w:szCs w:val="16"/>
        </w:rPr>
        <w:softHyphen/>
        <w:t>чиков в обращении с пулеметами, незнание прииин задержек при стрельбе. Генерал-инспектор приказал использовать период летного затишья для тренировки в стрельбе и изучения матери</w:t>
      </w:r>
      <w:r w:rsidRPr="002F2FDF">
        <w:rPr>
          <w:rFonts w:ascii="Times New Roman" w:hAnsi="Times New Roman" w:cs="Times New Roman"/>
          <w:color w:val="000000" w:themeColor="text1"/>
          <w:kern w:val="2"/>
          <w:sz w:val="16"/>
          <w:szCs w:val="16"/>
        </w:rPr>
        <w:softHyphen/>
        <w:t>альной части пулеметов (ЦГВИА. ф.493, оп.2, д.15).</w:t>
      </w:r>
    </w:p>
    <w:p w14:paraId="2168036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83D332" w14:textId="77777777" w:rsidR="00640944" w:rsidRPr="00815ED5" w:rsidRDefault="00640944"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3 </w:t>
      </w:r>
      <w:r w:rsidRPr="003F61A4">
        <w:rPr>
          <w:rFonts w:ascii="Times New Roman" w:hAnsi="Times New Roman" w:cs="Times New Roman"/>
          <w:color w:val="0070C0"/>
          <w:sz w:val="16"/>
          <w:szCs w:val="16"/>
        </w:rPr>
        <w:t xml:space="preserve">(16) </w:t>
      </w:r>
      <w:r>
        <w:rPr>
          <w:rFonts w:ascii="Times New Roman" w:hAnsi="Times New Roman" w:cs="Times New Roman"/>
          <w:color w:val="0070C0"/>
          <w:sz w:val="16"/>
          <w:szCs w:val="16"/>
        </w:rPr>
        <w:t>ф</w:t>
      </w:r>
      <w:r w:rsidRPr="00815ED5">
        <w:rPr>
          <w:rFonts w:ascii="Times New Roman" w:hAnsi="Times New Roman" w:cs="Times New Roman"/>
          <w:color w:val="0070C0"/>
          <w:sz w:val="16"/>
          <w:szCs w:val="16"/>
        </w:rPr>
        <w:t>евраля</w:t>
      </w:r>
      <w:r>
        <w:rPr>
          <w:rFonts w:ascii="Times New Roman" w:hAnsi="Times New Roman" w:cs="Times New Roman"/>
          <w:color w:val="0070C0"/>
          <w:sz w:val="16"/>
          <w:szCs w:val="16"/>
        </w:rPr>
        <w:t xml:space="preserve">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815ED5">
        <w:rPr>
          <w:rFonts w:ascii="Times New Roman" w:hAnsi="Times New Roman" w:cs="Times New Roman"/>
          <w:color w:val="0070C0"/>
          <w:sz w:val="16"/>
          <w:szCs w:val="16"/>
        </w:rPr>
        <w:t>олевой генерал-инспектор воздушного флота издал циркуляр, в котором отмечалась слабая подготовка летчиков в обращении с пу</w:t>
      </w:r>
      <w:r>
        <w:rPr>
          <w:rFonts w:ascii="Times New Roman" w:hAnsi="Times New Roman" w:cs="Times New Roman"/>
          <w:color w:val="0070C0"/>
          <w:sz w:val="16"/>
          <w:szCs w:val="16"/>
        </w:rPr>
        <w:t>лем</w:t>
      </w:r>
      <w:r w:rsidRPr="00815ED5">
        <w:rPr>
          <w:rFonts w:ascii="Times New Roman" w:hAnsi="Times New Roman" w:cs="Times New Roman"/>
          <w:color w:val="0070C0"/>
          <w:sz w:val="16"/>
          <w:szCs w:val="16"/>
        </w:rPr>
        <w:t>етами, незнание причин задержек при стрельбе.</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Генерал-инспектор приказал использовать период летного затишья на тренировку в стре</w:t>
      </w:r>
      <w:r w:rsidRPr="00815ED5">
        <w:rPr>
          <w:rFonts w:ascii="Times New Roman" w:hAnsi="Times New Roman" w:cs="Times New Roman"/>
          <w:color w:val="0070C0"/>
          <w:sz w:val="16"/>
          <w:szCs w:val="16"/>
        </w:rPr>
        <w:softHyphen/>
        <w:t>льбе и изучение материальной части пулеметов.</w:t>
      </w:r>
    </w:p>
    <w:p w14:paraId="044A0560" w14:textId="77777777" w:rsidR="00640944" w:rsidRDefault="00640944"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Ц</w:t>
      </w:r>
      <w:r w:rsidRPr="00815ED5">
        <w:rPr>
          <w:rFonts w:ascii="Times New Roman" w:hAnsi="Times New Roman" w:cs="Times New Roman"/>
          <w:color w:val="0070C0"/>
          <w:sz w:val="16"/>
          <w:szCs w:val="16"/>
        </w:rPr>
        <w:t>ГВИА</w:t>
      </w:r>
      <w:r>
        <w:rPr>
          <w:rFonts w:ascii="Times New Roman" w:hAnsi="Times New Roman" w:cs="Times New Roman"/>
          <w:color w:val="0070C0"/>
          <w:sz w:val="16"/>
          <w:szCs w:val="16"/>
        </w:rPr>
        <w:t>, ф</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493, </w:t>
      </w:r>
      <w:r>
        <w:rPr>
          <w:rFonts w:ascii="Times New Roman" w:hAnsi="Times New Roman" w:cs="Times New Roman"/>
          <w:color w:val="0070C0"/>
          <w:sz w:val="16"/>
          <w:szCs w:val="16"/>
        </w:rPr>
        <w:t>оп.</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2</w:t>
      </w:r>
      <w:r w:rsidRPr="00815ED5">
        <w:rPr>
          <w:rFonts w:ascii="Times New Roman" w:hAnsi="Times New Roman" w:cs="Times New Roman"/>
          <w:color w:val="0070C0"/>
          <w:sz w:val="16"/>
          <w:szCs w:val="16"/>
        </w:rPr>
        <w:t>, Д.</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15/</w:t>
      </w:r>
      <w:r>
        <w:rPr>
          <w:rFonts w:ascii="Times New Roman" w:hAnsi="Times New Roman" w:cs="Times New Roman"/>
          <w:color w:val="0070C0"/>
          <w:sz w:val="16"/>
          <w:szCs w:val="16"/>
        </w:rPr>
        <w:t xml:space="preserve"> (23320).</w:t>
      </w:r>
    </w:p>
    <w:p w14:paraId="26BCF00B" w14:textId="77777777" w:rsidR="00640944" w:rsidRDefault="00640944" w:rsidP="0083075A">
      <w:pPr>
        <w:spacing w:after="0" w:line="240" w:lineRule="auto"/>
        <w:jc w:val="both"/>
        <w:rPr>
          <w:rFonts w:ascii="Times New Roman" w:hAnsi="Times New Roman" w:cs="Times New Roman"/>
          <w:color w:val="0070C0"/>
          <w:sz w:val="16"/>
          <w:szCs w:val="16"/>
        </w:rPr>
      </w:pPr>
    </w:p>
    <w:p w14:paraId="2E57CFE7" w14:textId="3951AA5E"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 </w:t>
      </w:r>
      <w:r w:rsidR="006E0883" w:rsidRPr="002F2FDF">
        <w:rPr>
          <w:rFonts w:ascii="Times New Roman" w:hAnsi="Times New Roman" w:cs="Times New Roman"/>
          <w:color w:val="000000" w:themeColor="text1"/>
          <w:kern w:val="2"/>
          <w:sz w:val="16"/>
          <w:szCs w:val="16"/>
        </w:rPr>
        <w:t xml:space="preserve">(16) </w:t>
      </w:r>
      <w:r w:rsidRPr="002F2FDF">
        <w:rPr>
          <w:rFonts w:ascii="Times New Roman" w:hAnsi="Times New Roman" w:cs="Times New Roman"/>
          <w:color w:val="000000" w:themeColor="text1"/>
          <w:kern w:val="2"/>
          <w:sz w:val="16"/>
          <w:szCs w:val="16"/>
        </w:rPr>
        <w:t>февраля 1917 Военный Совет утвердил положение о Военной школе воздушного боя в</w:t>
      </w:r>
      <w:r w:rsidR="00640944">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Евпатории, представленное Управлением ВВФ 18 января. Школе создавалась для усовершенствования во</w:t>
      </w:r>
      <w:r w:rsidRPr="002F2FDF">
        <w:rPr>
          <w:rFonts w:ascii="Times New Roman" w:hAnsi="Times New Roman" w:cs="Times New Roman"/>
          <w:color w:val="000000" w:themeColor="text1"/>
          <w:kern w:val="2"/>
          <w:sz w:val="16"/>
          <w:szCs w:val="16"/>
        </w:rPr>
        <w:softHyphen/>
        <w:t>енных летчиков и летчиков-наблюдателей. (ЦГВИА. ф.493, оп. 10, д.48, л.21).</w:t>
      </w:r>
    </w:p>
    <w:p w14:paraId="79CF94F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CB4040" w14:textId="77777777" w:rsidR="00640944" w:rsidRPr="00815ED5" w:rsidRDefault="00640944"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3 </w:t>
      </w:r>
      <w:r w:rsidRPr="003F61A4">
        <w:rPr>
          <w:rFonts w:ascii="Times New Roman" w:hAnsi="Times New Roman" w:cs="Times New Roman"/>
          <w:color w:val="0070C0"/>
          <w:sz w:val="16"/>
          <w:szCs w:val="16"/>
        </w:rPr>
        <w:t xml:space="preserve">(16) </w:t>
      </w:r>
      <w:r>
        <w:rPr>
          <w:rFonts w:ascii="Times New Roman" w:hAnsi="Times New Roman" w:cs="Times New Roman"/>
          <w:color w:val="0070C0"/>
          <w:sz w:val="16"/>
          <w:szCs w:val="16"/>
        </w:rPr>
        <w:t>ф</w:t>
      </w:r>
      <w:r w:rsidRPr="00815ED5">
        <w:rPr>
          <w:rFonts w:ascii="Times New Roman" w:hAnsi="Times New Roman" w:cs="Times New Roman"/>
          <w:color w:val="0070C0"/>
          <w:sz w:val="16"/>
          <w:szCs w:val="16"/>
        </w:rPr>
        <w:t>евраля</w:t>
      </w:r>
      <w:r>
        <w:rPr>
          <w:rFonts w:ascii="Times New Roman" w:hAnsi="Times New Roman" w:cs="Times New Roman"/>
          <w:color w:val="0070C0"/>
          <w:sz w:val="16"/>
          <w:szCs w:val="16"/>
        </w:rPr>
        <w:t xml:space="preserve">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815ED5">
        <w:rPr>
          <w:rFonts w:ascii="Times New Roman" w:hAnsi="Times New Roman" w:cs="Times New Roman"/>
          <w:color w:val="0070C0"/>
          <w:sz w:val="16"/>
          <w:szCs w:val="16"/>
        </w:rPr>
        <w:t>оенный совет утвердил положение о Военной школе воз</w:t>
      </w:r>
      <w:r w:rsidRPr="00815ED5">
        <w:rPr>
          <w:rFonts w:ascii="Times New Roman" w:hAnsi="Times New Roman" w:cs="Times New Roman"/>
          <w:color w:val="0070C0"/>
          <w:sz w:val="16"/>
          <w:szCs w:val="16"/>
        </w:rPr>
        <w:softHyphen/>
        <w:t>душного боя в Евпатории,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представлен</w:t>
      </w:r>
      <w:r>
        <w:rPr>
          <w:rFonts w:ascii="Times New Roman" w:hAnsi="Times New Roman" w:cs="Times New Roman"/>
          <w:color w:val="0070C0"/>
          <w:sz w:val="16"/>
          <w:szCs w:val="16"/>
        </w:rPr>
        <w:t xml:space="preserve">ное </w:t>
      </w:r>
      <w:r w:rsidRPr="00815ED5">
        <w:rPr>
          <w:rFonts w:ascii="Times New Roman" w:hAnsi="Times New Roman" w:cs="Times New Roman"/>
          <w:color w:val="0070C0"/>
          <w:sz w:val="16"/>
          <w:szCs w:val="16"/>
        </w:rPr>
        <w:t>Управлением 18 января. Школа создавалась для усовершенствования военных летчиков и летнабов.</w:t>
      </w:r>
    </w:p>
    <w:p w14:paraId="066CB8BC" w14:textId="77777777" w:rsidR="00640944" w:rsidRDefault="00640944"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Ц</w:t>
      </w:r>
      <w:r w:rsidRPr="00815ED5">
        <w:rPr>
          <w:rFonts w:ascii="Times New Roman" w:hAnsi="Times New Roman" w:cs="Times New Roman"/>
          <w:color w:val="0070C0"/>
          <w:sz w:val="16"/>
          <w:szCs w:val="16"/>
        </w:rPr>
        <w:t>ГВИА,</w:t>
      </w:r>
      <w:r>
        <w:rPr>
          <w:rFonts w:ascii="Times New Roman" w:hAnsi="Times New Roman" w:cs="Times New Roman"/>
          <w:color w:val="0070C0"/>
          <w:sz w:val="16"/>
          <w:szCs w:val="16"/>
        </w:rPr>
        <w:t xml:space="preserve"> ф</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оп. 10, </w:t>
      </w:r>
      <w:r>
        <w:rPr>
          <w:rFonts w:ascii="Times New Roman" w:hAnsi="Times New Roman" w:cs="Times New Roman"/>
          <w:color w:val="0070C0"/>
          <w:sz w:val="16"/>
          <w:szCs w:val="16"/>
        </w:rPr>
        <w:t>д</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48, л. 21/</w:t>
      </w:r>
      <w:r>
        <w:rPr>
          <w:rFonts w:ascii="Times New Roman" w:hAnsi="Times New Roman" w:cs="Times New Roman"/>
          <w:color w:val="0070C0"/>
          <w:sz w:val="16"/>
          <w:szCs w:val="16"/>
        </w:rPr>
        <w:t xml:space="preserve"> (23320).</w:t>
      </w:r>
    </w:p>
    <w:p w14:paraId="13F7C3EA" w14:textId="77777777" w:rsidR="00640944" w:rsidRPr="00815ED5" w:rsidRDefault="00640944" w:rsidP="0083075A">
      <w:pPr>
        <w:spacing w:after="0" w:line="240" w:lineRule="auto"/>
        <w:jc w:val="both"/>
        <w:rPr>
          <w:rFonts w:ascii="Times New Roman" w:hAnsi="Times New Roman" w:cs="Times New Roman"/>
          <w:color w:val="0070C0"/>
          <w:sz w:val="16"/>
          <w:szCs w:val="16"/>
        </w:rPr>
      </w:pPr>
    </w:p>
    <w:p w14:paraId="2B922BC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1A67B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4203C4"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 (16) февраля 1917 первый полет Fairey Кампанья (20341).</w:t>
      </w:r>
    </w:p>
    <w:p w14:paraId="6E975163"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p>
    <w:p w14:paraId="3E1A4557" w14:textId="4DD3A923"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 (16) февраля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Совершил свой первый вылет прототип F. 16 будущего двухстоечного полутораплана Fairey F. 17 Campania (береговой патрульный и палубный разведывательный гидросамолет с экипажем из двух человек). Машина имела обычную для того времени конструкцию. Прямоугольный фюзеляж, собранный из деревянных стрингеров и шпангоутов, обтянутый полотном (22596).</w:t>
      </w:r>
    </w:p>
    <w:p w14:paraId="10E2F68C"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p>
    <w:p w14:paraId="6E190776" w14:textId="191C4106" w:rsidR="00DE709B" w:rsidRPr="002F2FDF" w:rsidRDefault="00640944"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3</w:t>
      </w:r>
      <w:r w:rsidR="00DE709B" w:rsidRPr="002F2FDF">
        <w:rPr>
          <w:rFonts w:ascii="Times New Roman" w:hAnsi="Times New Roman" w:cs="Times New Roman"/>
          <w:color w:val="000000" w:themeColor="text1"/>
          <w:sz w:val="16"/>
          <w:szCs w:val="16"/>
        </w:rPr>
        <w:t xml:space="preserve"> </w:t>
      </w:r>
      <w:r>
        <w:rPr>
          <w:rFonts w:ascii="Times New Roman" w:hAnsi="Times New Roman" w:cs="Times New Roman"/>
          <w:color w:val="000000" w:themeColor="text1"/>
          <w:sz w:val="16"/>
          <w:szCs w:val="16"/>
        </w:rPr>
        <w:t xml:space="preserve">(16) </w:t>
      </w:r>
      <w:r w:rsidR="00DE709B" w:rsidRPr="002F2FDF">
        <w:rPr>
          <w:rFonts w:ascii="Times New Roman" w:hAnsi="Times New Roman" w:cs="Times New Roman"/>
          <w:color w:val="000000" w:themeColor="text1"/>
          <w:sz w:val="16"/>
          <w:szCs w:val="16"/>
        </w:rPr>
        <w:t>февраля 1917 года — первый полёт разведывательного гидросамолёта</w:t>
      </w:r>
      <w:r w:rsidR="00E52569">
        <w:rPr>
          <w:rFonts w:ascii="Times New Roman" w:hAnsi="Times New Roman" w:cs="Times New Roman"/>
          <w:color w:val="000000" w:themeColor="text1"/>
          <w:sz w:val="16"/>
          <w:szCs w:val="16"/>
        </w:rPr>
        <w:t xml:space="preserve"> </w:t>
      </w:r>
      <w:r w:rsidR="00DE709B" w:rsidRPr="002F2FDF">
        <w:rPr>
          <w:rFonts w:ascii="Times New Roman" w:hAnsi="Times New Roman" w:cs="Times New Roman"/>
          <w:color w:val="000000" w:themeColor="text1"/>
          <w:sz w:val="16"/>
          <w:szCs w:val="16"/>
        </w:rPr>
        <w:t>Fairey Campania. /Великобритания/</w:t>
      </w:r>
    </w:p>
    <w:p w14:paraId="51403952" w14:textId="54BE357E"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начале Первой мировой войны Королевский ВМФ Великобритании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приобрёл лайнер Campania и переделал его в гидроавианосец. А компании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Fairey Aviation</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заказали разработку новых гидросамолётов специально для размещения их на этом корабле. Они получили обозначение Fairey Campania.</w:t>
      </w:r>
    </w:p>
    <w:p w14:paraId="27E3D795" w14:textId="514B2EF9"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Полутораплан с поплавковым шасси и подкрыльевыми поплавками Campania был выполнен, в основном, из дерева и полотна. В зависимости от модификации, устанавливались двигатели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Rolls-Royce Eagle III/IV/V</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или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Sunbeam Maori II. Максимальная скорость — до 137 км/ч. Вооружение — 1 × 7,7-мм пулемёт + 6 × 53-кг бомб.</w:t>
      </w:r>
    </w:p>
    <w:p w14:paraId="6AD22BF8" w14:textId="18817324"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У инженеров Fairey</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получился надёжный патрульный гидросамолёт. Выпустили 62 единицы Fairey Campania, которые использовались не только с гидроавианосцев, но также и с береговых баз. Все самолёты списали в 1919 году ввиду их устаревания (22300).</w:t>
      </w:r>
    </w:p>
    <w:p w14:paraId="1BEDB5D1"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p>
    <w:p w14:paraId="0ACCD642" w14:textId="77777777" w:rsidR="00783072" w:rsidRPr="002F2FDF" w:rsidRDefault="0078307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 (16) февраля</w:t>
      </w:r>
      <w:r w:rsidRPr="002F2FDF">
        <w:rPr>
          <w:rFonts w:ascii="Times New Roman" w:hAnsi="Times New Roman" w:cs="Times New Roman"/>
          <w:color w:val="000000" w:themeColor="text1"/>
          <w:kern w:val="2"/>
          <w:sz w:val="16"/>
          <w:szCs w:val="16"/>
        </w:rPr>
        <w:t xml:space="preserve"> в 1917 году совершил свой первый вылет прототип «F.16» будущего двухстоечного полутораплана </w:t>
      </w:r>
      <w:hyperlink r:id="rId32" w:tgtFrame="_blank" w:history="1">
        <w:r w:rsidRPr="002F2FDF">
          <w:rPr>
            <w:rFonts w:ascii="Times New Roman" w:hAnsi="Times New Roman" w:cs="Times New Roman"/>
            <w:color w:val="000000" w:themeColor="text1"/>
            <w:kern w:val="2"/>
            <w:sz w:val="16"/>
            <w:szCs w:val="16"/>
          </w:rPr>
          <w:t xml:space="preserve">«Fairey» «F. 17» «Campania» </w:t>
        </w:r>
      </w:hyperlink>
      <w:r w:rsidRPr="002F2FDF">
        <w:rPr>
          <w:rFonts w:ascii="Times New Roman" w:hAnsi="Times New Roman" w:cs="Times New Roman"/>
          <w:color w:val="000000" w:themeColor="text1"/>
          <w:kern w:val="2"/>
          <w:sz w:val="16"/>
          <w:szCs w:val="16"/>
        </w:rPr>
        <w:t xml:space="preserve">(береговой патрульный и палубный разведывательный гидросамолет с экипажем из двух человек) </w:t>
      </w:r>
      <w:hyperlink r:id="rId33" w:tgtFrame="_blank" w:history="1">
        <w:r w:rsidRPr="002F2FDF">
          <w:rPr>
            <w:rFonts w:ascii="Times New Roman" w:hAnsi="Times New Roman" w:cs="Times New Roman"/>
            <w:color w:val="000000" w:themeColor="text1"/>
            <w:kern w:val="2"/>
            <w:sz w:val="16"/>
            <w:szCs w:val="16"/>
          </w:rPr>
          <w:t>www.airwar.ru/enc/other1/campania.html</w:t>
        </w:r>
      </w:hyperlink>
      <w:r w:rsidRPr="002F2FDF">
        <w:rPr>
          <w:rFonts w:ascii="Times New Roman" w:hAnsi="Times New Roman" w:cs="Times New Roman"/>
          <w:color w:val="000000" w:themeColor="text1"/>
          <w:kern w:val="2"/>
          <w:sz w:val="16"/>
          <w:szCs w:val="16"/>
        </w:rPr>
        <w:t xml:space="preserve"> . Машина имела обычную для того времени конструкцию. Прямоугольный фюзеляж, собранный из деревянных стрингеров и шпангоутов, обтянутый полотном. Металлическая рама двигателя и панели носовой части фюзеляжа. Лобовой либо два бортовых радиатора (в зависимости от двигателя). Двигатели устанавливались различные: «Роллс-Ройс» "Игл VIII" (360 л. с.) или «Санбим» "Майори II" (250 л. с.). За двигателем устанавливались топливные баки и маслобаки. Далее располагались кабины пилота и стрелка-наблюдателя. Крыло двухлонжеронное, цельнодеревянной конструкции, обтянутое полотном. Для обеспечения жесткости верхнее крыло имело шпренгели. Стойки - стальные трубы в обтекателях из дерева. Растяжки - стальные профилированные ленты. Оперение обычной схемы с килем и регулируемым на земле стабилизатором крепилось системой распорок и растяжек. Управление рулями и элеронами (только на верхнем крыле) тросовое, от штурвала и педалей. Поплавки понтонного типа, деревянной конструкции крепились шестью металлическими стойками к фюзеляжу. Хвостовой и подкрыльевые поплавки также деревянной конструкции выполнялись заподлицо с крылом. Всего было собрано 62 самолета, из которых 50 были построены «Fairey», а остальные — по субподрядам в компании «Barclay, Curie &amp; Со.» (Клайдсайд) (15042).</w:t>
      </w:r>
    </w:p>
    <w:p w14:paraId="6F445E97" w14:textId="77777777" w:rsidR="00783072" w:rsidRPr="002F2FDF" w:rsidRDefault="00783072" w:rsidP="0083075A">
      <w:pPr>
        <w:spacing w:after="0" w:line="240" w:lineRule="auto"/>
        <w:jc w:val="both"/>
        <w:rPr>
          <w:rFonts w:ascii="Times New Roman" w:hAnsi="Times New Roman" w:cs="Times New Roman"/>
          <w:color w:val="000000" w:themeColor="text1"/>
          <w:kern w:val="2"/>
          <w:sz w:val="16"/>
          <w:szCs w:val="16"/>
        </w:rPr>
      </w:pPr>
    </w:p>
    <w:p w14:paraId="2CEDC5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февраля 1917 года армейское воздухоплавание совершило свой последний боевой полет, когда LZ-107 сбросил бомбы на Булонь. После этого армия прекратила использование дирижаблей. Основанием для этого послужило и то, что промышленность не могла восполнить понесенные потери одновременно и для армии, и для флота. Вследствие блокады, Германия стала испытывать недостаток сырья, и поэтому армейская авиация все реже удовлетворяла запросы воздухоплавания. Приоритет получили имеющие более высокие характеристики самолеты. Им отдавались все ресурсы, выделенные армии. Как следствие, большинство имеющихся армейских дирижаблей были разобраны. В мае 1917 года на флот поступили цеппелины LZ-98, LZ-111, LZ-113, LZ-120 и SL-8, которые были приписаны к базам на побережье Балтийского моря. Эти дирижабли использовались для патрульной службы на Балтике. На фронте и в тылу было решено держать всего 15 дирижаблей, а центр тяжести их использования перенести на Восточный фронт и Балканы, так как в этих регионах воздушная оборона все еще была не развита. LZ-98 в пятнадцати разведывательных полетах прошел 11 982 км, LZ-111 в семи полетах — 5611 км, LZ-113 в пятнадцати полетах — 12305 км. Все армейские аэродромы и эллинги было предложено передать флоту, но тот отказался. Годные к эксплуатации эллинги стала использовать авиация, а освободившийся личный состав передан для пополнения и формирования авиационных и воздухоплавательных отрядов, а также пехотных частей. Командиры и экипажи армейских дирижаблей заслужили высокое признание за свою настойчивость и энергию при выполнении боевых заданий. Во время атак самолетов противника или в огне зенитных орудий на малой высоте они никогда не испытывали недостатка мужества. В 1917 году только военно-морской флот использовал дирижабли (11324).</w:t>
      </w:r>
    </w:p>
    <w:p w14:paraId="38ACBF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2788BB" w14:textId="77777777" w:rsidR="00DE709B" w:rsidRPr="002F2FDF" w:rsidRDefault="00DE709B" w:rsidP="0083075A">
      <w:pPr>
        <w:pStyle w:val="ae"/>
        <w:spacing w:before="0" w:after="0"/>
        <w:jc w:val="both"/>
        <w:rPr>
          <w:color w:val="000000" w:themeColor="text1"/>
          <w:sz w:val="16"/>
          <w:szCs w:val="16"/>
        </w:rPr>
      </w:pPr>
      <w:r w:rsidRPr="002F2FDF">
        <w:rPr>
          <w:color w:val="000000" w:themeColor="text1"/>
          <w:sz w:val="16"/>
          <w:szCs w:val="16"/>
        </w:rPr>
        <w:t>3 (16) февраля 1917 США разрывают дипломатические отношения с Германией, а 6 апреля объявляют Германии войну (20246).</w:t>
      </w:r>
    </w:p>
    <w:p w14:paraId="5AB56BBD" w14:textId="77777777" w:rsidR="00DE709B" w:rsidRPr="002F2FDF" w:rsidRDefault="00DE709B" w:rsidP="0083075A">
      <w:pPr>
        <w:pStyle w:val="ae"/>
        <w:spacing w:before="0" w:after="0"/>
        <w:jc w:val="both"/>
        <w:rPr>
          <w:color w:val="000000" w:themeColor="text1"/>
          <w:sz w:val="16"/>
          <w:szCs w:val="16"/>
        </w:rPr>
      </w:pPr>
    </w:p>
    <w:p w14:paraId="563FBF9A" w14:textId="77777777" w:rsidR="00E874D7" w:rsidRPr="002F2FDF" w:rsidRDefault="00E874D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6A6616B" w14:textId="77777777" w:rsidR="00E874D7" w:rsidRPr="002F2FDF" w:rsidRDefault="00E874D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F423FC" w14:textId="77777777" w:rsidR="00E874D7" w:rsidRPr="002F2FDF" w:rsidRDefault="00E874D7"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4 (17) февраля 1917 г. Особое совещание по обороне на заседании вынуждено было констатировать полное расстройство экономического тыла. Выступивший на этом заседании Шингарёв отметил, что "продовольствие, транспорт, снабжение заводов топливом - во всех этих важнейших для дела обороны областях переживаются исключительные и угрожающие тяжёлыми последствиями осложнения".</w:t>
      </w:r>
    </w:p>
    <w:p w14:paraId="0C15336C" w14:textId="77777777" w:rsidR="00E874D7" w:rsidRPr="002F2FDF" w:rsidRDefault="00E874D7"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Из-за отсутствия топлива к этому времени приходилось останавливать даже предприятия, занятые изготовлением боеприпасов. Как сообщил на указанном заседании Ипатьев, из-за отсутствия топлива накануне остановки находились военно-химические заводы.</w:t>
      </w:r>
    </w:p>
    <w:p w14:paraId="2462648B" w14:textId="77777777" w:rsidR="00E874D7" w:rsidRPr="002F2FDF" w:rsidRDefault="00E874D7"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lastRenderedPageBreak/>
        <w:t>С наиболее резкой характеристикой сложившейся обстановки выступил Гучков. "С начала войны, - заявил он, - не было ещё такого критического положения для России, как момент, который переживается нами ныне. Долго надвигающийся кризис в области удовлетворения наших потребностей в продовольствии, топливе и сырых материалах наступил" (18381).</w:t>
      </w:r>
    </w:p>
    <w:p w14:paraId="6DB7E5B6" w14:textId="77777777" w:rsidR="00E874D7" w:rsidRPr="002F2FDF" w:rsidRDefault="00E874D7" w:rsidP="0083075A">
      <w:pPr>
        <w:spacing w:after="0" w:line="240" w:lineRule="auto"/>
        <w:jc w:val="both"/>
        <w:rPr>
          <w:rFonts w:ascii="Times New Roman" w:eastAsia="Times New Roman" w:hAnsi="Times New Roman" w:cs="Times New Roman"/>
          <w:color w:val="000000" w:themeColor="text1"/>
          <w:sz w:val="16"/>
          <w:szCs w:val="16"/>
          <w:lang w:eastAsia="ru-RU"/>
        </w:rPr>
      </w:pPr>
    </w:p>
    <w:p w14:paraId="42F46051" w14:textId="77777777" w:rsidR="00D130CE"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41FDE2A" w14:textId="77777777" w:rsidR="00D130CE" w:rsidRPr="002F2FDF" w:rsidRDefault="00D130C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9AC9D3" w14:textId="77777777" w:rsidR="00D130CE" w:rsidRPr="002F2FDF" w:rsidRDefault="00D130C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 (17) февраля 1917 г. к югу от Ирландии германская подлодка U-83 потоплена спецсудном-ловушкой </w:t>
      </w:r>
      <w:r w:rsidRPr="002F2FDF">
        <w:rPr>
          <w:rFonts w:ascii="Times New Roman" w:hAnsi="Times New Roman" w:cs="Times New Roman"/>
          <w:bCs/>
          <w:iCs/>
          <w:color w:val="000000" w:themeColor="text1"/>
          <w:kern w:val="2"/>
          <w:sz w:val="16"/>
          <w:szCs w:val="16"/>
        </w:rPr>
        <w:t>Farnborough (17326)</w:t>
      </w:r>
      <w:r w:rsidRPr="002F2FDF">
        <w:rPr>
          <w:rFonts w:ascii="Times New Roman" w:hAnsi="Times New Roman" w:cs="Times New Roman"/>
          <w:color w:val="000000" w:themeColor="text1"/>
          <w:kern w:val="2"/>
          <w:sz w:val="16"/>
          <w:szCs w:val="16"/>
        </w:rPr>
        <w:t>.</w:t>
      </w:r>
    </w:p>
    <w:p w14:paraId="5E3D71F3" w14:textId="77777777" w:rsidR="00D130CE" w:rsidRPr="002F2FDF" w:rsidRDefault="00D130C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49705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A6867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5CDF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февраля 1917 Техсовещание при Отделе воздухоплавания ГУК постановило, что компания С.С.Щетинина д. сконструировать 2 новые модели: одномоторный лодочный истребитель и двухмоторный лодочный разведчик под ИС 200 нр (2807,85).</w:t>
      </w:r>
    </w:p>
    <w:p w14:paraId="1006C5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DAB4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февраля 1917 комиссия рассмотрела план Мельцера по производству 300 морских истребителей монопланов Энгельса и дала заказ на 200 под Клерже 135 нр. 7 (20) февраля 1917 комиссия, расследовавшая причины катастрофы, также пришла к выводу о необходимости продолжения работы над машиной (2843,63).</w:t>
      </w:r>
    </w:p>
    <w:p w14:paraId="5757CB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347C3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E8EBD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19D6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февраля 1917 утвердили штат и положение об "Авиационных боевых группах", состоящих из 3-6 истребительных отрядов, которые придавались фронтам (438,345).</w:t>
      </w:r>
    </w:p>
    <w:p w14:paraId="2B578F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366F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февраля 1917 были утверждены штат и положение об Авиационных боевых группах. Создавались из 3-6 истребительных авиаотрядов и придавались фронту. Все располагались на одном или близко расположенных нескольких. 1-ю сформировали из 2, 4 и 19 као под командованием А.А.Казакова, 2-ю - из 3,7 и 8 као под командованием Е.Н.Крутня (3619).</w:t>
      </w:r>
    </w:p>
    <w:p w14:paraId="186B91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ACF0F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февраля 1917 утверждены штат и положение об "Авиационных боевых группах". Боевые группы создавались из 3-6 истреби</w:t>
      </w:r>
      <w:r w:rsidRPr="002F2FDF">
        <w:rPr>
          <w:rFonts w:ascii="Times New Roman" w:hAnsi="Times New Roman" w:cs="Times New Roman"/>
          <w:color w:val="000000" w:themeColor="text1"/>
          <w:kern w:val="2"/>
          <w:sz w:val="16"/>
          <w:szCs w:val="16"/>
        </w:rPr>
        <w:softHyphen/>
        <w:t>тельных отрядов и придавались фронту. Все отряды группы рас</w:t>
      </w:r>
      <w:r w:rsidRPr="002F2FDF">
        <w:rPr>
          <w:rFonts w:ascii="Times New Roman" w:hAnsi="Times New Roman" w:cs="Times New Roman"/>
          <w:color w:val="000000" w:themeColor="text1"/>
          <w:kern w:val="2"/>
          <w:sz w:val="16"/>
          <w:szCs w:val="16"/>
        </w:rPr>
        <w:softHyphen/>
        <w:t>полагались на одном аэродроме или же на нескольких, но расположенных в небольшом удалении один от другого. 1-ябоевая группа была сформирована из 2,4 и 19 корпусных авиа</w:t>
      </w:r>
      <w:r w:rsidRPr="002F2FDF">
        <w:rPr>
          <w:rFonts w:ascii="Times New Roman" w:hAnsi="Times New Roman" w:cs="Times New Roman"/>
          <w:color w:val="000000" w:themeColor="text1"/>
          <w:kern w:val="2"/>
          <w:sz w:val="16"/>
          <w:szCs w:val="16"/>
        </w:rPr>
        <w:softHyphen/>
        <w:t>отрядов под командованием штэбс-ротмистрэ А.А.Козакова, 2-я авиагруппа формировалась из 3,7 и 8 корпусных авиаот</w:t>
      </w:r>
      <w:r w:rsidRPr="002F2FDF">
        <w:rPr>
          <w:rFonts w:ascii="Times New Roman" w:hAnsi="Times New Roman" w:cs="Times New Roman"/>
          <w:color w:val="000000" w:themeColor="text1"/>
          <w:kern w:val="2"/>
          <w:sz w:val="16"/>
          <w:szCs w:val="16"/>
        </w:rPr>
        <w:softHyphen/>
        <w:t>рядов. Командиром ее был назначен штсбс-капитэн Е.Н.Крутень. (ЦГВИА. ф.2008, д.640, л.17).</w:t>
      </w:r>
    </w:p>
    <w:p w14:paraId="12A525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AF62D7" w14:textId="77777777" w:rsidR="00640944" w:rsidRPr="00815ED5" w:rsidRDefault="0064094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5 (18)</w:t>
      </w:r>
      <w:r w:rsidRPr="00815ED5">
        <w:rPr>
          <w:rFonts w:ascii="Times New Roman" w:hAnsi="Times New Roman" w:cs="Times New Roman"/>
          <w:color w:val="0070C0"/>
          <w:sz w:val="16"/>
          <w:szCs w:val="16"/>
        </w:rPr>
        <w:t xml:space="preserve"> февраля</w:t>
      </w:r>
      <w:r>
        <w:rPr>
          <w:rFonts w:ascii="Times New Roman" w:hAnsi="Times New Roman" w:cs="Times New Roman"/>
          <w:color w:val="0070C0"/>
          <w:sz w:val="16"/>
          <w:szCs w:val="16"/>
        </w:rPr>
        <w:t xml:space="preserve">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у</w:t>
      </w:r>
      <w:r w:rsidRPr="00815ED5">
        <w:rPr>
          <w:rFonts w:ascii="Times New Roman" w:hAnsi="Times New Roman" w:cs="Times New Roman"/>
          <w:color w:val="0070C0"/>
          <w:sz w:val="16"/>
          <w:szCs w:val="16"/>
        </w:rPr>
        <w:t xml:space="preserve">тверждены штат и положение об </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Авиационных боевых группах».</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Боевые группы создавались из З-б истребительных отрядов </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 xml:space="preserve"> придавались фронту.</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Все отряди группы располагались на одной аэ родроме или же на нескольких,</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но расположенных в небольшой удалении один от другого. 1-я боевая группа была сформирована из 2,</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 и 19 корпусных авиаотрядов.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под командованием шт.-ротмистра А. А.Ка</w:t>
      </w:r>
      <w:r w:rsidRPr="00815ED5">
        <w:rPr>
          <w:rFonts w:ascii="Times New Roman" w:hAnsi="Times New Roman" w:cs="Times New Roman"/>
          <w:color w:val="0070C0"/>
          <w:sz w:val="16"/>
          <w:szCs w:val="16"/>
        </w:rPr>
        <w:softHyphen/>
        <w:t>закова, 2-я авиагруппа формировалась из 3,</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7 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8. корпусных авиаотрядов.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Командиром ее был назначен шт.-капитан Е.Н.Крутень.</w:t>
      </w:r>
    </w:p>
    <w:p w14:paraId="066FD156" w14:textId="77777777" w:rsidR="00640944" w:rsidRDefault="00640944"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/ЦГВИА, </w:t>
      </w:r>
      <w:r>
        <w:rPr>
          <w:rFonts w:ascii="Times New Roman" w:hAnsi="Times New Roman" w:cs="Times New Roman"/>
          <w:color w:val="0070C0"/>
          <w:sz w:val="16"/>
          <w:szCs w:val="16"/>
        </w:rPr>
        <w:t>ф</w:t>
      </w:r>
      <w:r w:rsidRPr="00815ED5">
        <w:rPr>
          <w:rFonts w:ascii="Times New Roman" w:hAnsi="Times New Roman" w:cs="Times New Roman"/>
          <w:color w:val="0070C0"/>
          <w:sz w:val="16"/>
          <w:szCs w:val="16"/>
        </w:rPr>
        <w:t xml:space="preserve">. 2000, </w:t>
      </w:r>
      <w:r>
        <w:rPr>
          <w:rFonts w:ascii="Times New Roman" w:hAnsi="Times New Roman" w:cs="Times New Roman"/>
          <w:color w:val="0070C0"/>
          <w:sz w:val="16"/>
          <w:szCs w:val="16"/>
        </w:rPr>
        <w:t>д</w:t>
      </w:r>
      <w:r w:rsidRPr="00815ED5">
        <w:rPr>
          <w:rFonts w:ascii="Times New Roman" w:hAnsi="Times New Roman" w:cs="Times New Roman"/>
          <w:color w:val="0070C0"/>
          <w:sz w:val="16"/>
          <w:szCs w:val="16"/>
        </w:rPr>
        <w:t xml:space="preserve">. 640, </w:t>
      </w:r>
      <w:r>
        <w:rPr>
          <w:rFonts w:ascii="Times New Roman" w:hAnsi="Times New Roman" w:cs="Times New Roman"/>
          <w:color w:val="0070C0"/>
          <w:sz w:val="16"/>
          <w:szCs w:val="16"/>
        </w:rPr>
        <w:t>л. 1</w:t>
      </w:r>
      <w:r w:rsidRPr="00815ED5">
        <w:rPr>
          <w:rFonts w:ascii="Times New Roman" w:hAnsi="Times New Roman" w:cs="Times New Roman"/>
          <w:color w:val="0070C0"/>
          <w:sz w:val="16"/>
          <w:szCs w:val="16"/>
        </w:rPr>
        <w:t>7/</w:t>
      </w:r>
      <w:r>
        <w:rPr>
          <w:rFonts w:ascii="Times New Roman" w:hAnsi="Times New Roman" w:cs="Times New Roman"/>
          <w:color w:val="0070C0"/>
          <w:sz w:val="16"/>
          <w:szCs w:val="16"/>
        </w:rPr>
        <w:t xml:space="preserve"> (23320).</w:t>
      </w:r>
    </w:p>
    <w:p w14:paraId="0ABE9435" w14:textId="77777777" w:rsidR="00640944" w:rsidRPr="00815ED5" w:rsidRDefault="00640944" w:rsidP="0083075A">
      <w:pPr>
        <w:spacing w:after="0" w:line="240" w:lineRule="auto"/>
        <w:jc w:val="both"/>
        <w:rPr>
          <w:rFonts w:ascii="Times New Roman" w:hAnsi="Times New Roman" w:cs="Times New Roman"/>
          <w:color w:val="0070C0"/>
          <w:sz w:val="16"/>
          <w:szCs w:val="16"/>
        </w:rPr>
      </w:pPr>
    </w:p>
    <w:p w14:paraId="275CA41C" w14:textId="77777777" w:rsidR="004C450A" w:rsidRPr="002F2FDF" w:rsidRDefault="004C450A"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5 (18) февраля 1917 г. Приказом НШ ВГК № 203 предписывалось из 1, 3, 7, 8, 14, 16, 19, 22, 24 и 30-го корпусных авиаотрядов образовать 1, 2, 3 и 4-ю боевые авиационные группы и сформировать управления этих групп, т.е. сформировать применять авиагруппы на всех четырех фронтах. При создании БАГ учитывались недочеты, имевшие место в Первой авиагруппе ЮЗФ. Существенным изменением было введение в штат группы управления ею во главе с командиром. В Положении о БАГ говорилось, что группы «назначаются для активной борьбы с воздушным флотом противника, на них могут, кроме того, возлагаться задачи по охране разведывательных и корректирующих стрельбу самолетов, по разведке и фотографированию, а также по обстрелу живых целей». В управление БАГ входили командир, летчикнаблюдатель, механик, врач и 17 нижних чинов. Группа должна была подчиняться командиру авиадивизиона или инспектору авиации армий фронта (19566).</w:t>
      </w:r>
    </w:p>
    <w:p w14:paraId="28107D8C" w14:textId="77777777" w:rsidR="004C450A" w:rsidRPr="002F2FDF" w:rsidRDefault="004C450A" w:rsidP="0083075A">
      <w:pPr>
        <w:spacing w:after="0" w:line="240" w:lineRule="auto"/>
        <w:jc w:val="both"/>
        <w:rPr>
          <w:rFonts w:ascii="Times New Roman" w:hAnsi="Times New Roman" w:cs="Times New Roman"/>
          <w:sz w:val="16"/>
          <w:szCs w:val="16"/>
        </w:rPr>
      </w:pPr>
    </w:p>
    <w:p w14:paraId="009155C8" w14:textId="30084660" w:rsidR="007F78D6" w:rsidRPr="00FB4F67" w:rsidRDefault="007F78D6" w:rsidP="0083075A">
      <w:pPr>
        <w:spacing w:after="0" w:line="240" w:lineRule="auto"/>
        <w:jc w:val="both"/>
        <w:rPr>
          <w:rFonts w:ascii="Times New Roman" w:hAnsi="Times New Roman" w:cs="Times New Roman"/>
          <w:color w:val="0070C0"/>
          <w:sz w:val="16"/>
          <w:szCs w:val="16"/>
        </w:rPr>
      </w:pPr>
      <w:bookmarkStart w:id="29" w:name="bookmark698"/>
      <w:r>
        <w:rPr>
          <w:rFonts w:ascii="Times New Roman" w:hAnsi="Times New Roman" w:cs="Times New Roman"/>
          <w:color w:val="0070C0"/>
          <w:sz w:val="16"/>
          <w:szCs w:val="16"/>
        </w:rPr>
        <w:t>5 (</w:t>
      </w:r>
      <w:r w:rsidRPr="00FB4F67">
        <w:rPr>
          <w:rFonts w:ascii="Times New Roman" w:hAnsi="Times New Roman" w:cs="Times New Roman"/>
          <w:color w:val="0070C0"/>
          <w:sz w:val="16"/>
          <w:szCs w:val="16"/>
        </w:rPr>
        <w:t>18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февраля 1917 г. Приказом начальника Штаба ВГК № 203 предписывалось сформировать 1, 2, 3 и 4-ю БАГ (с управлениями) с включением в их состав 1, 3, 7, 8, 14, 16, 19, 22, 24 и 30-го корпусных авиаотрядов.</w:t>
      </w:r>
    </w:p>
    <w:p w14:paraId="62948BDB" w14:textId="77777777" w:rsidR="007F78D6" w:rsidRPr="00FB4F67" w:rsidRDefault="007F78D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Увеличение доли истребительной авиации в действующей армии позволило русским летчикам активно включиться в борьбу за завоевание господства в воздухе на фронте. По оценке российских исследователей, на ее долю пришлось (до ноября 1917 г.) до 200 сбитых неприятельских самолетов. Одновременно решались задачи воздушной обороны важных прифронтовых пунктов и объектов. По указанию Авиадарма из-под Луцка для воздушного прикрытия главной квартиры войск Румынского фронта (г. Яссы) была переброшена 1-я БАГ (штабс-капитан П.О. Якоба-Швили), позднее решение этой задачи перешло франко-румынскому авиаотряду (23405).</w:t>
      </w:r>
    </w:p>
    <w:p w14:paraId="77C64538" w14:textId="77777777" w:rsidR="007F78D6" w:rsidRPr="00FB4F67" w:rsidRDefault="007F78D6" w:rsidP="0083075A">
      <w:pPr>
        <w:spacing w:after="0" w:line="240" w:lineRule="auto"/>
        <w:jc w:val="both"/>
        <w:rPr>
          <w:rFonts w:ascii="Times New Roman" w:hAnsi="Times New Roman" w:cs="Times New Roman"/>
          <w:color w:val="0070C0"/>
          <w:sz w:val="16"/>
          <w:szCs w:val="16"/>
        </w:rPr>
      </w:pPr>
    </w:p>
    <w:p w14:paraId="0C5A79E5" w14:textId="6D441E55" w:rsidR="007F78D6" w:rsidRPr="00FB4F67" w:rsidRDefault="007F78D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В период </w:t>
      </w:r>
      <w:r>
        <w:rPr>
          <w:rFonts w:ascii="Times New Roman" w:hAnsi="Times New Roman" w:cs="Times New Roman"/>
          <w:color w:val="0070C0"/>
          <w:sz w:val="16"/>
          <w:szCs w:val="16"/>
        </w:rPr>
        <w:t>5-6 (</w:t>
      </w:r>
      <w:r w:rsidRPr="00FB4F67">
        <w:rPr>
          <w:rFonts w:ascii="Times New Roman" w:hAnsi="Times New Roman" w:cs="Times New Roman"/>
          <w:color w:val="0070C0"/>
          <w:sz w:val="16"/>
          <w:szCs w:val="16"/>
        </w:rPr>
        <w:t>18-19</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февраля 1917 г. в районе Сморгони (Западный фронт) русские летчики «имели ряд успешных для нас воздушных столкновений с неприятельскими аэропланами, причем один из наших самолетов, управляемых летчиком 1-го корпусного авиаотряда прапорщиком [Э.М.]Томсоном, выдержал бой с двумя летательными аппаратами и заставил обоих удалиться в свое расположение».</w:t>
      </w:r>
      <w:bookmarkEnd w:id="29"/>
    </w:p>
    <w:p w14:paraId="0603061C" w14:textId="77777777" w:rsidR="007F78D6" w:rsidRPr="00FB4F67" w:rsidRDefault="007F78D6" w:rsidP="0083075A">
      <w:pPr>
        <w:spacing w:after="0" w:line="240" w:lineRule="auto"/>
        <w:jc w:val="both"/>
        <w:rPr>
          <w:rFonts w:ascii="Times New Roman" w:hAnsi="Times New Roman" w:cs="Times New Roman"/>
          <w:color w:val="0070C0"/>
          <w:sz w:val="16"/>
          <w:szCs w:val="16"/>
        </w:rPr>
      </w:pPr>
      <w:bookmarkStart w:id="30" w:name="bookmark699"/>
      <w:r w:rsidRPr="00FB4F67">
        <w:rPr>
          <w:rFonts w:ascii="Times New Roman" w:hAnsi="Times New Roman" w:cs="Times New Roman"/>
          <w:color w:val="0070C0"/>
          <w:sz w:val="16"/>
          <w:szCs w:val="16"/>
        </w:rPr>
        <w:t>Позднее на одном из участков Северного фронта «с вражеского „Фоккера“ были сброшены бомбы, не причинившие вреда нашим военным интересам». Одновременно германская авиация продолжала появляться в небе г. Рига, становясь объектом обстрела со стороны русской артиллерии (23405).</w:t>
      </w:r>
      <w:bookmarkEnd w:id="30"/>
    </w:p>
    <w:p w14:paraId="3D0E1153" w14:textId="77777777" w:rsidR="007F78D6" w:rsidRPr="00FB4F67" w:rsidRDefault="007F78D6" w:rsidP="0083075A">
      <w:pPr>
        <w:spacing w:after="0" w:line="240" w:lineRule="auto"/>
        <w:jc w:val="both"/>
        <w:rPr>
          <w:rFonts w:ascii="Times New Roman" w:hAnsi="Times New Roman" w:cs="Times New Roman"/>
          <w:color w:val="0070C0"/>
          <w:sz w:val="16"/>
          <w:szCs w:val="16"/>
        </w:rPr>
      </w:pPr>
    </w:p>
    <w:p w14:paraId="649B629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822B1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FB53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февраля 1917 для борьбы с беспорядками в Петербурге был образован Особый военный округ под командованием С.С.Хабалова (1348,83).</w:t>
      </w:r>
    </w:p>
    <w:p w14:paraId="35CF20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0BCB0F" w14:textId="77777777" w:rsidR="000E76F1" w:rsidRPr="002F2FDF" w:rsidRDefault="000E76F1"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февраля 1917 для предупреждения беспорядков в Петрограде создан особый военный округ под командованием генерала С.С. Хабалова, известного участием в подавлении революции 1905 г. (17025).</w:t>
      </w:r>
    </w:p>
    <w:p w14:paraId="6D79F296" w14:textId="77777777" w:rsidR="000E76F1" w:rsidRPr="002F2FDF" w:rsidRDefault="000E76F1"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5C5328" w14:textId="77777777" w:rsidR="00CD74B5" w:rsidRPr="002F2FDF" w:rsidRDefault="00CD74B5" w:rsidP="0083075A">
      <w:pPr>
        <w:pStyle w:val="ae"/>
        <w:spacing w:before="0" w:after="0"/>
        <w:jc w:val="both"/>
        <w:rPr>
          <w:color w:val="000000" w:themeColor="text1"/>
          <w:kern w:val="2"/>
          <w:sz w:val="16"/>
          <w:szCs w:val="16"/>
        </w:rPr>
      </w:pPr>
      <w:r w:rsidRPr="002F2FDF">
        <w:rPr>
          <w:color w:val="000000" w:themeColor="text1"/>
          <w:kern w:val="2"/>
          <w:sz w:val="16"/>
          <w:szCs w:val="16"/>
        </w:rPr>
        <w:t>5 (18) февраля 1917 из состава Северного фронта был выделен в самостоятельную единицу Петроградский военный округ. Генералу Сергею Хабалову, назначенному командующим округом, были предоставлены широкие полномочия для борьбы с «неблагонадежными» и «смутьянами». Это решение было принято из-за угрозы новых стачек и массовых беспорядков на фоне все возрастающего всеобщего недовольства происходящим в стране. Поскольку в Петрограде на тот момент имелось всего 3,5 тысячи полицейских и несколько сотен казаков, власти начали стягивать в столицу войска — к середине февраля их численность в Петрограде составляла около 160 тысяч (17045).</w:t>
      </w:r>
    </w:p>
    <w:p w14:paraId="42EF30AC" w14:textId="77777777" w:rsidR="00CD74B5" w:rsidRPr="002F2FDF" w:rsidRDefault="00CD74B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2B1C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февраля 1917 правительство приняло решение о введении в Петрограде карточной системы распределения продуктов (3908,252).</w:t>
      </w:r>
    </w:p>
    <w:p w14:paraId="29E43D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13FFC5" w14:textId="77777777" w:rsidR="00197288"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E47E541" w14:textId="77777777" w:rsidR="00197288" w:rsidRPr="002F2FDF" w:rsidRDefault="0019728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32F3C3" w14:textId="77777777" w:rsidR="00197288" w:rsidRPr="002F2FDF" w:rsidRDefault="00197288"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февраля 1917 г. УВВФ заключило с Р. Ф. Мельцером контракт на производство до 1 января 1918 г. 3500 воздушных винтов, т. е. больше, чем предыдущий «ноябрьский» заказ всем винтостроительным заводам вместе взятым.</w:t>
      </w:r>
    </w:p>
    <w:p w14:paraId="68BE5123" w14:textId="77777777" w:rsidR="00197288" w:rsidRPr="002F2FDF" w:rsidRDefault="00197288"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заказ входило 750 винтов для «Анаде», 750 — для «Анасаль», 300 — для «Морис Фарман», 1000 — для «Фарман-30» и 520 — для «Ньюпоров» разных типов. В отношении производства винтов для самолетов завода «Анатра», фирма Мельцер стала основным поставщиком. Так как небольшую оставшу</w:t>
      </w:r>
      <w:r w:rsidRPr="002F2FDF">
        <w:rPr>
          <w:rFonts w:ascii="Times New Roman" w:hAnsi="Times New Roman" w:cs="Times New Roman"/>
          <w:color w:val="000000" w:themeColor="text1"/>
          <w:kern w:val="2"/>
          <w:sz w:val="16"/>
          <w:szCs w:val="16"/>
        </w:rPr>
        <w:softHyphen/>
        <w:t>юся часть винтов для «Анаде» и «Анасаль» московский Аэротехнический за</w:t>
      </w:r>
      <w:r w:rsidRPr="002F2FDF">
        <w:rPr>
          <w:rFonts w:ascii="Times New Roman" w:hAnsi="Times New Roman" w:cs="Times New Roman"/>
          <w:color w:val="000000" w:themeColor="text1"/>
          <w:kern w:val="2"/>
          <w:sz w:val="16"/>
          <w:szCs w:val="16"/>
        </w:rPr>
        <w:softHyphen/>
        <w:t>вод выпускал типа Жуковского, можно утверждать, что самый лучший рус</w:t>
      </w:r>
      <w:r w:rsidRPr="002F2FDF">
        <w:rPr>
          <w:rFonts w:ascii="Times New Roman" w:hAnsi="Times New Roman" w:cs="Times New Roman"/>
          <w:color w:val="000000" w:themeColor="text1"/>
          <w:kern w:val="2"/>
          <w:sz w:val="16"/>
          <w:szCs w:val="16"/>
        </w:rPr>
        <w:softHyphen/>
        <w:t>ский самолет-разведчик стал чисто отечественной конструкцией, за исключе</w:t>
      </w:r>
      <w:r w:rsidRPr="002F2FDF">
        <w:rPr>
          <w:rFonts w:ascii="Times New Roman" w:hAnsi="Times New Roman" w:cs="Times New Roman"/>
          <w:color w:val="000000" w:themeColor="text1"/>
          <w:kern w:val="2"/>
          <w:sz w:val="16"/>
          <w:szCs w:val="16"/>
        </w:rPr>
        <w:softHyphen/>
        <w:t>нием только двигателя «Сальмсон», да и тот все в больших количествах вы</w:t>
      </w:r>
      <w:r w:rsidRPr="002F2FDF">
        <w:rPr>
          <w:rFonts w:ascii="Times New Roman" w:hAnsi="Times New Roman" w:cs="Times New Roman"/>
          <w:color w:val="000000" w:themeColor="text1"/>
          <w:kern w:val="2"/>
          <w:sz w:val="16"/>
          <w:szCs w:val="16"/>
        </w:rPr>
        <w:softHyphen/>
        <w:t>пускался отделением фирмы в Москве (15470).</w:t>
      </w:r>
    </w:p>
    <w:p w14:paraId="683B88A0" w14:textId="77777777" w:rsidR="00197288" w:rsidRPr="002F2FDF" w:rsidRDefault="00197288"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4EF544F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26334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F09FB0" w14:textId="77777777" w:rsidR="00D130CE" w:rsidRPr="002F2FDF" w:rsidRDefault="00D130C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 (19) февраля 1917 г. у острова Джерси германская подлодка UC-18 потоплена спецсудном-ловушкой </w:t>
      </w:r>
      <w:r w:rsidRPr="002F2FDF">
        <w:rPr>
          <w:rFonts w:ascii="Times New Roman" w:hAnsi="Times New Roman" w:cs="Times New Roman"/>
          <w:bCs/>
          <w:iCs/>
          <w:color w:val="000000" w:themeColor="text1"/>
          <w:kern w:val="2"/>
          <w:sz w:val="16"/>
          <w:szCs w:val="16"/>
        </w:rPr>
        <w:t>Lady Olive (17326)</w:t>
      </w:r>
      <w:r w:rsidRPr="002F2FDF">
        <w:rPr>
          <w:rFonts w:ascii="Times New Roman" w:hAnsi="Times New Roman" w:cs="Times New Roman"/>
          <w:color w:val="000000" w:themeColor="text1"/>
          <w:kern w:val="2"/>
          <w:sz w:val="16"/>
          <w:szCs w:val="16"/>
        </w:rPr>
        <w:t>.</w:t>
      </w:r>
    </w:p>
    <w:p w14:paraId="042AF7C3" w14:textId="77777777" w:rsidR="00D130CE" w:rsidRPr="002F2FDF" w:rsidRDefault="00D130C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6F98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февраля 1917 американские войска были отозваны с мексиканской границей (2100).</w:t>
      </w:r>
    </w:p>
    <w:p w14:paraId="773F39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8BA60D" w14:textId="77777777" w:rsidR="003230C7" w:rsidRPr="002F2FDF" w:rsidRDefault="003230C7" w:rsidP="0083075A">
      <w:pPr>
        <w:pStyle w:val="ae"/>
        <w:spacing w:before="0" w:after="0"/>
        <w:jc w:val="both"/>
        <w:rPr>
          <w:color w:val="000000" w:themeColor="text1"/>
          <w:kern w:val="2"/>
          <w:sz w:val="16"/>
          <w:szCs w:val="16"/>
        </w:rPr>
      </w:pPr>
      <w:r w:rsidRPr="002F2FDF">
        <w:rPr>
          <w:color w:val="000000" w:themeColor="text1"/>
          <w:kern w:val="2"/>
          <w:sz w:val="16"/>
          <w:szCs w:val="16"/>
        </w:rPr>
        <w:t>6 (19) февраля 1917 глава криптографической службы британской разведки Реджинальд Холл передал секретарю посольства США в Лондоне Эдварду Беллу текст перехваченной и расшифрованной телеграммы, отправленной в середине января министром иностранных дел Артуром Циммерманом немецкому послу в Мексику. В ней давались инструкции относительно переговоров с правительством этой страны: Германия предлагала Мексике военный союз, и прямо указывалось, что в случае вступления в войну Мексика может рассчитывать на получение части территорий соседних США. Поначалу Белл счел эту депешу уловкой британской секретной службы, созданной, чтобы спровоцировать США вступить в войну, и не спешил с выводами (17045).</w:t>
      </w:r>
    </w:p>
    <w:p w14:paraId="3B6E2042" w14:textId="77777777" w:rsidR="003230C7" w:rsidRPr="002F2FDF" w:rsidRDefault="003230C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AECA37"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B909492"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A070CA"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февраля 1917 комиссия, расследовавшая причины катастрофы морского истребителя-моноплана Энгельса, также пришла к выводу о необходимости продолжения работы над машиной (2843,63).</w:t>
      </w:r>
    </w:p>
    <w:p w14:paraId="7A13E7B8"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AD8516" w14:textId="77777777" w:rsidR="00AE71CB" w:rsidRPr="002F2FDF" w:rsidRDefault="00AE71CB"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февраля 1917 г. в акте комиссии, работавшей по факту катастрофы, было констатиро</w:t>
      </w:r>
      <w:r w:rsidRPr="002F2FDF">
        <w:rPr>
          <w:rFonts w:ascii="Times New Roman" w:hAnsi="Times New Roman" w:cs="Times New Roman"/>
          <w:color w:val="000000" w:themeColor="text1"/>
          <w:kern w:val="2"/>
          <w:sz w:val="16"/>
          <w:szCs w:val="16"/>
        </w:rPr>
        <w:softHyphen/>
        <w:t>вано:</w:t>
      </w:r>
    </w:p>
    <w:p w14:paraId="63D797F3"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Главной причиной гибели аппарата явилась поломка заднего коробчатого лонже</w:t>
      </w:r>
      <w:r w:rsidRPr="002F2FDF">
        <w:rPr>
          <w:rFonts w:ascii="Times New Roman" w:hAnsi="Times New Roman" w:cs="Times New Roman"/>
          <w:color w:val="000000" w:themeColor="text1"/>
          <w:kern w:val="2"/>
          <w:sz w:val="16"/>
          <w:szCs w:val="16"/>
        </w:rPr>
        <w:softHyphen/>
        <w:t>рона правого крыла, построенного из соснового дерева и облегченного рядом круглых отверстий. Крепление плоскостей к раме двумя болтами — переднее, и стальными трубами — заднее, недостаточно: желательно крепление обычным способом — план</w:t>
      </w:r>
      <w:r w:rsidRPr="002F2FDF">
        <w:rPr>
          <w:rFonts w:ascii="Times New Roman" w:hAnsi="Times New Roman" w:cs="Times New Roman"/>
          <w:color w:val="000000" w:themeColor="text1"/>
          <w:kern w:val="2"/>
          <w:sz w:val="16"/>
          <w:szCs w:val="16"/>
        </w:rPr>
        <w:softHyphen/>
        <w:t>ками. Недостаточно укреплена для скручивающих усилий та часть рамы, где одева</w:t>
      </w:r>
      <w:r w:rsidRPr="002F2FDF">
        <w:rPr>
          <w:rFonts w:ascii="Times New Roman" w:hAnsi="Times New Roman" w:cs="Times New Roman"/>
          <w:color w:val="000000" w:themeColor="text1"/>
          <w:kern w:val="2"/>
          <w:sz w:val="16"/>
          <w:szCs w:val="16"/>
        </w:rPr>
        <w:softHyphen/>
        <w:t>ются крылья (добавить внутренний крест) ... плоско на борту лежащий крест растяжек создал бы вполне жесткую систему и продолженный в хвосте до самого оперения, опи</w:t>
      </w:r>
      <w:r w:rsidRPr="002F2FDF">
        <w:rPr>
          <w:rFonts w:ascii="Times New Roman" w:hAnsi="Times New Roman" w:cs="Times New Roman"/>
          <w:color w:val="000000" w:themeColor="text1"/>
          <w:kern w:val="2"/>
          <w:sz w:val="16"/>
          <w:szCs w:val="16"/>
        </w:rPr>
        <w:softHyphen/>
        <w:t>раясь на 5 стрингеров, кои имеет лодка, обеспечил бы аппарат от гибели в случае взрывания цилиндра, с чем необходимо считаться, пользуясь ротативным мотором, особенно "Моносупап". Направление тросов, поддерживающих крыло, оставляет же</w:t>
      </w:r>
      <w:r w:rsidRPr="002F2FDF">
        <w:rPr>
          <w:rFonts w:ascii="Times New Roman" w:hAnsi="Times New Roman" w:cs="Times New Roman"/>
          <w:color w:val="000000" w:themeColor="text1"/>
          <w:kern w:val="2"/>
          <w:sz w:val="16"/>
          <w:szCs w:val="16"/>
        </w:rPr>
        <w:softHyphen/>
        <w:t>лать более надежного крепления крыльев, для чего носовая скоба располагается ниже и тросы идут к узлу на конце крыла. ..." (2843).</w:t>
      </w:r>
    </w:p>
    <w:p w14:paraId="60ED21E3" w14:textId="77777777" w:rsidR="00AE71CB" w:rsidRPr="002F2FDF" w:rsidRDefault="00AE71CB"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контракте на истребитель Энгельса, 2-й прототип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AE71CB" w:rsidRPr="002F2FDF" w14:paraId="02DFDEB1" w14:textId="77777777" w:rsidTr="00A93330">
        <w:tc>
          <w:tcPr>
            <w:tcW w:w="4788" w:type="dxa"/>
            <w:tcBorders>
              <w:top w:val="single" w:sz="12" w:space="0" w:color="auto"/>
            </w:tcBorders>
            <w:shd w:val="clear" w:color="auto" w:fill="FFFFFF"/>
          </w:tcPr>
          <w:p w14:paraId="0439EECA"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3D8A6F62"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 7/8 1916</w:t>
            </w:r>
          </w:p>
        </w:tc>
      </w:tr>
      <w:tr w:rsidR="00AE71CB" w:rsidRPr="002F2FDF" w14:paraId="28D94EE5" w14:textId="77777777" w:rsidTr="00A93330">
        <w:tc>
          <w:tcPr>
            <w:tcW w:w="4788" w:type="dxa"/>
            <w:shd w:val="clear" w:color="auto" w:fill="FFFFFF"/>
          </w:tcPr>
          <w:p w14:paraId="616EE8D7"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заказанных аэропланов</w:t>
            </w:r>
          </w:p>
        </w:tc>
        <w:tc>
          <w:tcPr>
            <w:tcW w:w="4788" w:type="dxa"/>
            <w:shd w:val="clear" w:color="auto" w:fill="FFFFFF"/>
          </w:tcPr>
          <w:p w14:paraId="76E77751"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r>
      <w:tr w:rsidR="00AE71CB" w:rsidRPr="002F2FDF" w14:paraId="38B97C0E" w14:textId="77777777" w:rsidTr="00A93330">
        <w:tc>
          <w:tcPr>
            <w:tcW w:w="4788" w:type="dxa"/>
            <w:shd w:val="clear" w:color="auto" w:fill="FFFFFF"/>
          </w:tcPr>
          <w:p w14:paraId="33B47365"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Заводские номера сданных аэропланов</w:t>
            </w:r>
          </w:p>
        </w:tc>
        <w:tc>
          <w:tcPr>
            <w:tcW w:w="4788" w:type="dxa"/>
            <w:shd w:val="clear" w:color="auto" w:fill="FFFFFF"/>
          </w:tcPr>
          <w:p w14:paraId="2CBBB91E"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r>
      <w:tr w:rsidR="00AE71CB" w:rsidRPr="002F2FDF" w14:paraId="0CF5B871" w14:textId="77777777" w:rsidTr="00A93330">
        <w:tc>
          <w:tcPr>
            <w:tcW w:w="4788" w:type="dxa"/>
            <w:tcBorders>
              <w:bottom w:val="single" w:sz="12" w:space="0" w:color="auto"/>
            </w:tcBorders>
            <w:shd w:val="clear" w:color="auto" w:fill="FFFFFF"/>
          </w:tcPr>
          <w:p w14:paraId="3ED8FBDA"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2542C113"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11.500 руб. за аппарат без мотора, срок исполнения 1 октября 1916 г. (выполнен к 25 октября 1916 г.) (2843).</w:t>
            </w:r>
          </w:p>
        </w:tc>
      </w:tr>
    </w:tbl>
    <w:p w14:paraId="49B185EA" w14:textId="77777777" w:rsidR="00AE71CB" w:rsidRPr="002F2FDF" w:rsidRDefault="00AE71CB"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6B4B0F" w14:textId="77777777" w:rsidR="00AE71CB" w:rsidRPr="002F2FDF" w:rsidRDefault="00AE71CB"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февраля 1917 г. комиссия школы, расследовавшая причины катастрофы лл Энгельса и обсуждавшая перспективы дальнейшего развития проекта, постановила, что начатую изобретателем работу надлежало продолжить, передав ее в опытные руки, пере</w:t>
      </w:r>
      <w:r w:rsidRPr="002F2FDF">
        <w:rPr>
          <w:rFonts w:ascii="Times New Roman" w:hAnsi="Times New Roman" w:cs="Times New Roman"/>
          <w:color w:val="000000" w:themeColor="text1"/>
          <w:kern w:val="2"/>
          <w:sz w:val="16"/>
          <w:szCs w:val="16"/>
        </w:rPr>
        <w:softHyphen/>
        <w:t>смотрев все чертежи и расчеты для выяснения вопросов, связанных с прочностью самолета, и усилив слабые места, в частности крепления крыльев.</w:t>
      </w:r>
    </w:p>
    <w:p w14:paraId="412B4B40" w14:textId="77777777" w:rsidR="00AE71CB" w:rsidRPr="002F2FDF" w:rsidRDefault="00AE71CB"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этому дню Мельцер уже сделал предложение о строительстве 300 летающих лодок Энгельса в случае, если бы 2 новых прототипа оказались удачными. 5 февраля техническое совещание при Отделе воздушного плавания ГУК рассмотрело этот план, но приняло его лишь частично. Было решено, что заказать следует только 200 аппаратов, каждый под мо</w:t>
      </w:r>
      <w:r w:rsidRPr="002F2FDF">
        <w:rPr>
          <w:rFonts w:ascii="Times New Roman" w:hAnsi="Times New Roman" w:cs="Times New Roman"/>
          <w:color w:val="000000" w:themeColor="text1"/>
          <w:kern w:val="2"/>
          <w:sz w:val="16"/>
          <w:szCs w:val="16"/>
        </w:rPr>
        <w:softHyphen/>
        <w:t>тор "Клерже" 135 л.с., но и это количество в случае необходимости могло сократиться всего всего до 60 машин, с тем, чтобы остальные 140 были заменены таким же числом летающих лодок М-5 или М-9.</w:t>
      </w:r>
    </w:p>
    <w:p w14:paraId="34F2B70F"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Условный контракт на 200 самолетов, включая 60 гидроаэропланов Энгельса, был дан фирме 27 апреля 1917 г. Он гласил, что первым делом обязанностью фирмы становилось изготовление и испытание двух опытных истребителей со 135-сильными дви- гателями "Клерже" и еще двух — со 110-сильными "Ронами". По достижении успеха на этой стадии Морское ведомство могло инициировать сборку еще 56 аппаратов любой из двух названных моделей или же 56 машин любой другой конструкции. Как экспе- риментальные, так и серийные аэропланы стоили 13.000 руб. за каждый (без мотора) при следующем графике готовности: 2 истребителя к 15 июня, 2 — к 15 июля, серия — в период с 1 августа по 1 ноября. Требования сдаточных испытаний предполагали достижение скорости в 160 км/ч у поверхности воды, причем премия в 500 руб. вы- плачивалась бы за каждые 10 км/ч сверх этого показателя, а скороподъемность состав- ляла бы 1000 м за 5,5 минуты и 2000 м за 13 минут при полезной нагрузке 250 кг. Каждая машина имела бы 126-литровый топливный и 20-литровый масляный баки, ус- тановку для пулемета, компас, альтиметр и часы. Что до прочих 140 самолетов из этого условного заказа, то ими могли стать 70 М-5 с двигателями "Рон" 110 л. с. или "Гном-Моносупап" 100--110 л. с. и 70 М-9 с моторами "Сальмсон" или "Санбим" по 150 л. с. каждый. Цены на эти аппараты равнялись 11.000 и 18.000 руб. соответственно и включали лицензионную стоимость (10%), выплачиваемую компании С. С. Щетинина (2843).</w:t>
      </w:r>
    </w:p>
    <w:p w14:paraId="5E658800"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87C564" w14:textId="1C27EB40" w:rsidR="00980BD1" w:rsidRPr="00FB4F67" w:rsidRDefault="00980B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7 </w:t>
      </w:r>
      <w:r>
        <w:rPr>
          <w:rFonts w:ascii="Times New Roman" w:hAnsi="Times New Roman" w:cs="Times New Roman"/>
          <w:color w:val="0070C0"/>
          <w:sz w:val="16"/>
          <w:szCs w:val="16"/>
        </w:rPr>
        <w:t xml:space="preserve">(20) </w:t>
      </w:r>
      <w:r w:rsidRPr="00FB4F67">
        <w:rPr>
          <w:rFonts w:ascii="Times New Roman" w:hAnsi="Times New Roman" w:cs="Times New Roman"/>
          <w:color w:val="0070C0"/>
          <w:sz w:val="16"/>
          <w:szCs w:val="16"/>
        </w:rPr>
        <w:t>февраля 1917 года было подписано заключение комиссии по расследованию катастрофы лл Энгельса, в котором констатирова</w:t>
      </w:r>
      <w:r w:rsidRPr="00FB4F67">
        <w:rPr>
          <w:rFonts w:ascii="Times New Roman" w:hAnsi="Times New Roman" w:cs="Times New Roman"/>
          <w:color w:val="0070C0"/>
          <w:sz w:val="16"/>
          <w:szCs w:val="16"/>
        </w:rPr>
        <w:softHyphen/>
        <w:t>лось:</w:t>
      </w:r>
    </w:p>
    <w:p w14:paraId="24AC69CB" w14:textId="77777777" w:rsidR="00980BD1" w:rsidRPr="00FB4F67" w:rsidRDefault="00980B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«...Главной причиной гибели ап</w:t>
      </w:r>
      <w:r w:rsidRPr="00FB4F67">
        <w:rPr>
          <w:rFonts w:ascii="Times New Roman" w:hAnsi="Times New Roman" w:cs="Times New Roman"/>
          <w:color w:val="0070C0"/>
          <w:sz w:val="16"/>
          <w:szCs w:val="16"/>
        </w:rPr>
        <w:softHyphen/>
        <w:t>парата явилась поломка заднего ко</w:t>
      </w:r>
      <w:r w:rsidRPr="00FB4F67">
        <w:rPr>
          <w:rFonts w:ascii="Times New Roman" w:hAnsi="Times New Roman" w:cs="Times New Roman"/>
          <w:color w:val="0070C0"/>
          <w:sz w:val="16"/>
          <w:szCs w:val="16"/>
        </w:rPr>
        <w:softHyphen/>
        <w:t>робчатого лонжерона правого крыла, построенного из соснового дерева и облегченного рядом круглых отвер</w:t>
      </w:r>
      <w:r w:rsidRPr="00FB4F67">
        <w:rPr>
          <w:rFonts w:ascii="Times New Roman" w:hAnsi="Times New Roman" w:cs="Times New Roman"/>
          <w:color w:val="0070C0"/>
          <w:sz w:val="16"/>
          <w:szCs w:val="16"/>
        </w:rPr>
        <w:softHyphen/>
        <w:t>стий. Крепление плоскостей к раме двумя болтами - переднее, и сталь</w:t>
      </w:r>
      <w:r w:rsidRPr="00FB4F67">
        <w:rPr>
          <w:rFonts w:ascii="Times New Roman" w:hAnsi="Times New Roman" w:cs="Times New Roman"/>
          <w:color w:val="0070C0"/>
          <w:sz w:val="16"/>
          <w:szCs w:val="16"/>
        </w:rPr>
        <w:softHyphen/>
        <w:t>ными трубами - заднее, недостаточ</w:t>
      </w:r>
      <w:r w:rsidRPr="00FB4F67">
        <w:rPr>
          <w:rFonts w:ascii="Times New Roman" w:hAnsi="Times New Roman" w:cs="Times New Roman"/>
          <w:color w:val="0070C0"/>
          <w:sz w:val="16"/>
          <w:szCs w:val="16"/>
        </w:rPr>
        <w:softHyphen/>
        <w:t>но, желательно крепление обычным способом - планками... Направление тросов, поддерживающих крыло, оставляет желать более надежного крепления крыльев...»</w:t>
      </w:r>
    </w:p>
    <w:p w14:paraId="056349C5" w14:textId="77777777" w:rsidR="00980BD1" w:rsidRPr="00FB4F67" w:rsidRDefault="00980B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Рассматривалась и версия злого умысла, поводом для которой послужило письмо начальника Школы А.А. Яно</w:t>
      </w:r>
      <w:r w:rsidRPr="00FB4F67">
        <w:rPr>
          <w:rFonts w:ascii="Times New Roman" w:hAnsi="Times New Roman" w:cs="Times New Roman"/>
          <w:color w:val="0070C0"/>
          <w:sz w:val="16"/>
          <w:szCs w:val="16"/>
        </w:rPr>
        <w:softHyphen/>
        <w:t>вича в МГШ от 14 декабря 1916 года, в котором, в частности, говорилось:</w:t>
      </w:r>
    </w:p>
    <w:p w14:paraId="4D11C6CF" w14:textId="77777777" w:rsidR="00980BD1" w:rsidRPr="00FB4F67" w:rsidRDefault="00980B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«...Вчера вечером для меня окон</w:t>
      </w:r>
      <w:r w:rsidRPr="00FB4F67">
        <w:rPr>
          <w:rFonts w:ascii="Times New Roman" w:hAnsi="Times New Roman" w:cs="Times New Roman"/>
          <w:color w:val="0070C0"/>
          <w:sz w:val="16"/>
          <w:szCs w:val="16"/>
        </w:rPr>
        <w:softHyphen/>
        <w:t>чательно выяснилась необходимость подать заявление о возможности зло</w:t>
      </w:r>
      <w:r w:rsidRPr="00FB4F67">
        <w:rPr>
          <w:rFonts w:ascii="Times New Roman" w:hAnsi="Times New Roman" w:cs="Times New Roman"/>
          <w:color w:val="0070C0"/>
          <w:sz w:val="16"/>
          <w:szCs w:val="16"/>
        </w:rPr>
        <w:softHyphen/>
        <w:t>умышления на Энгельса. Дело в том, что оказалось, что Энгельс совер</w:t>
      </w:r>
      <w:r w:rsidRPr="00FB4F67">
        <w:rPr>
          <w:rFonts w:ascii="Times New Roman" w:hAnsi="Times New Roman" w:cs="Times New Roman"/>
          <w:color w:val="0070C0"/>
          <w:sz w:val="16"/>
          <w:szCs w:val="16"/>
        </w:rPr>
        <w:softHyphen/>
        <w:t>шенно официально заявил по началь</w:t>
      </w:r>
      <w:r w:rsidRPr="00FB4F67">
        <w:rPr>
          <w:rFonts w:ascii="Times New Roman" w:hAnsi="Times New Roman" w:cs="Times New Roman"/>
          <w:color w:val="0070C0"/>
          <w:sz w:val="16"/>
          <w:szCs w:val="16"/>
        </w:rPr>
        <w:softHyphen/>
        <w:t>ству школы о перерезанных тросах, результатом чего и было назначение дневальных к его аппарату...».</w:t>
      </w:r>
    </w:p>
    <w:p w14:paraId="3E04CE8A" w14:textId="77777777" w:rsidR="00980BD1" w:rsidRPr="00FB4F67" w:rsidRDefault="00980B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Тем не менее, версию злого умысла «спустили на тормозах», хотя в ней оста</w:t>
      </w:r>
      <w:r w:rsidRPr="00FB4F67">
        <w:rPr>
          <w:rFonts w:ascii="Times New Roman" w:hAnsi="Times New Roman" w:cs="Times New Roman"/>
          <w:color w:val="0070C0"/>
          <w:sz w:val="16"/>
          <w:szCs w:val="16"/>
        </w:rPr>
        <w:softHyphen/>
        <w:t>лись уверены ряд сослуживцев Е.Р. Эн</w:t>
      </w:r>
      <w:r w:rsidRPr="00FB4F67">
        <w:rPr>
          <w:rFonts w:ascii="Times New Roman" w:hAnsi="Times New Roman" w:cs="Times New Roman"/>
          <w:color w:val="0070C0"/>
          <w:sz w:val="16"/>
          <w:szCs w:val="16"/>
        </w:rPr>
        <w:softHyphen/>
        <w:t>гельса по БОШМА, например, поручик В.Л. Кербер-Корвин, в советское время известный авиаконструктор, соавтор В.Б. Шаврова по летающей лодке Ш-2 (23764).</w:t>
      </w:r>
    </w:p>
    <w:p w14:paraId="597447B8" w14:textId="77777777" w:rsidR="00980BD1" w:rsidRPr="00FB4F67" w:rsidRDefault="00980BD1" w:rsidP="0083075A">
      <w:pPr>
        <w:spacing w:after="0" w:line="240" w:lineRule="auto"/>
        <w:jc w:val="both"/>
        <w:rPr>
          <w:rFonts w:ascii="Times New Roman" w:hAnsi="Times New Roman" w:cs="Times New Roman"/>
          <w:color w:val="0070C0"/>
          <w:sz w:val="16"/>
          <w:szCs w:val="16"/>
        </w:rPr>
      </w:pPr>
    </w:p>
    <w:p w14:paraId="781F41C3"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февраля 1917 испытали бомбосбрасыватели системы и Л.Д.Колпакова-Мирошниченко для наружной подвески бомб. Устанавливались на самолет Лебедь-12. Крайние - для пудовых, средние - для 20 фунтовых бомб. Приняли на вооружение (3620).</w:t>
      </w:r>
    </w:p>
    <w:p w14:paraId="622AC6E8"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1D8FDE"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февраля 1917 г. было организовано бомбосбрасывателя Лебедева. Завод предъявил комиссии четыре бомбомета, установленных на самолете “ЛебедьЛ2”: два крайних для пудовых бомб п два средних-для 20-фунтовых. Бомбометы действовали исправно. Конструктору предлагалось осуществить небольшие переделки, после чего бомбометы были приняты на вооружение отечественных самолетов (9705).</w:t>
      </w:r>
    </w:p>
    <w:p w14:paraId="6F250C77"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5C22BE" w14:textId="77777777" w:rsidR="00AE71CB" w:rsidRPr="002F2FDF" w:rsidRDefault="00AE71CB"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февраля 1917 состоялось испытание бомбосбрасывателей системы инженера Л.Д.Колпакова-Мирошниченко для наружной подвески бомб. Бомбосбрасыватели устанавливались на самолете "Лебедь-12". Два крайних были приспособлены для пуд овых бомб, два средних - для 20 - фунтовых, Испытание дало положительные результаты. Бомбосбрасыватели были приняты на вооружение. (ЦГВИА. ф.736, кор.10, д.736, л.26).</w:t>
      </w:r>
    </w:p>
    <w:p w14:paraId="18ADDA6C" w14:textId="77777777" w:rsidR="00AE71CB" w:rsidRPr="002F2FDF" w:rsidRDefault="00AE71CB"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AA98AC" w14:textId="77777777" w:rsidR="00AE71CB" w:rsidRPr="00815ED5" w:rsidRDefault="00AE71CB"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7 </w:t>
      </w:r>
      <w:r>
        <w:rPr>
          <w:rFonts w:ascii="Times New Roman" w:hAnsi="Times New Roman" w:cs="Times New Roman"/>
          <w:color w:val="0070C0"/>
          <w:sz w:val="16"/>
          <w:szCs w:val="16"/>
        </w:rPr>
        <w:t xml:space="preserve">(20) </w:t>
      </w:r>
      <w:r w:rsidRPr="00815ED5">
        <w:rPr>
          <w:rFonts w:ascii="Times New Roman" w:hAnsi="Times New Roman" w:cs="Times New Roman"/>
          <w:color w:val="0070C0"/>
          <w:sz w:val="16"/>
          <w:szCs w:val="16"/>
        </w:rPr>
        <w:t>февраля</w:t>
      </w:r>
      <w:r>
        <w:rPr>
          <w:rFonts w:ascii="Times New Roman" w:hAnsi="Times New Roman" w:cs="Times New Roman"/>
          <w:color w:val="0070C0"/>
          <w:sz w:val="16"/>
          <w:szCs w:val="16"/>
        </w:rPr>
        <w:t xml:space="preserve">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815ED5">
        <w:rPr>
          <w:rFonts w:ascii="Times New Roman" w:hAnsi="Times New Roman" w:cs="Times New Roman"/>
          <w:color w:val="0070C0"/>
          <w:sz w:val="16"/>
          <w:szCs w:val="16"/>
        </w:rPr>
        <w:t>o</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тоялось испытание бомбосбрасывателей системы инж. Л.Д.Колпакова-Мирошниченко для наружной подвески бомб.</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Бомбосбрасыватели устанавливались на самолете "Лебедь-12".</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Два крайних были приспособлены для пудовых бомб,</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два средних - для 20-тифунтовых</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Испытание показало положительные результаты.</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Бомбосбрасыватели бы</w:t>
      </w:r>
      <w:r w:rsidRPr="00815ED5">
        <w:rPr>
          <w:rFonts w:ascii="Times New Roman" w:hAnsi="Times New Roman" w:cs="Times New Roman"/>
          <w:color w:val="0070C0"/>
          <w:sz w:val="16"/>
          <w:szCs w:val="16"/>
        </w:rPr>
        <w:softHyphen/>
        <w:t>ли приняты на вооружение</w:t>
      </w:r>
      <w:r>
        <w:rPr>
          <w:rFonts w:ascii="Times New Roman" w:hAnsi="Times New Roman" w:cs="Times New Roman"/>
          <w:color w:val="0070C0"/>
          <w:sz w:val="16"/>
          <w:szCs w:val="16"/>
        </w:rPr>
        <w:t>.</w:t>
      </w:r>
    </w:p>
    <w:p w14:paraId="5DAFD600" w14:textId="77777777" w:rsidR="00AE71CB" w:rsidRPr="00815ED5" w:rsidRDefault="00AE71CB"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ф </w:t>
      </w:r>
      <w:r>
        <w:rPr>
          <w:rFonts w:ascii="Times New Roman" w:hAnsi="Times New Roman" w:cs="Times New Roman"/>
          <w:color w:val="0070C0"/>
          <w:sz w:val="16"/>
          <w:szCs w:val="16"/>
        </w:rPr>
        <w:t>736</w:t>
      </w:r>
      <w:r w:rsidRPr="00815ED5">
        <w:rPr>
          <w:rFonts w:ascii="Times New Roman" w:hAnsi="Times New Roman" w:cs="Times New Roman"/>
          <w:color w:val="0070C0"/>
          <w:sz w:val="16"/>
          <w:szCs w:val="16"/>
        </w:rPr>
        <w:t>, кор. 10,</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 7</w:t>
      </w:r>
      <w:r>
        <w:rPr>
          <w:rFonts w:ascii="Times New Roman" w:hAnsi="Times New Roman" w:cs="Times New Roman"/>
          <w:color w:val="0070C0"/>
          <w:sz w:val="16"/>
          <w:szCs w:val="16"/>
        </w:rPr>
        <w:t>5</w:t>
      </w:r>
      <w:r w:rsidRPr="00815ED5">
        <w:rPr>
          <w:rFonts w:ascii="Times New Roman" w:hAnsi="Times New Roman" w:cs="Times New Roman"/>
          <w:color w:val="0070C0"/>
          <w:sz w:val="16"/>
          <w:szCs w:val="16"/>
        </w:rPr>
        <w:t>б,</w:t>
      </w:r>
      <w:r>
        <w:rPr>
          <w:rFonts w:ascii="Times New Roman" w:hAnsi="Times New Roman" w:cs="Times New Roman"/>
          <w:color w:val="0070C0"/>
          <w:sz w:val="16"/>
          <w:szCs w:val="16"/>
        </w:rPr>
        <w:t xml:space="preserve"> л</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2</w:t>
      </w:r>
      <w:r>
        <w:rPr>
          <w:rFonts w:ascii="Times New Roman" w:hAnsi="Times New Roman" w:cs="Times New Roman"/>
          <w:color w:val="0070C0"/>
          <w:sz w:val="16"/>
          <w:szCs w:val="16"/>
        </w:rPr>
        <w:t>6</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3DB19DD5" w14:textId="77777777" w:rsidR="00AE71CB" w:rsidRDefault="00AE71CB" w:rsidP="0083075A">
      <w:pPr>
        <w:spacing w:after="0" w:line="240" w:lineRule="auto"/>
        <w:jc w:val="both"/>
        <w:rPr>
          <w:rFonts w:ascii="Times New Roman" w:hAnsi="Times New Roman" w:cs="Times New Roman"/>
          <w:color w:val="0070C0"/>
          <w:sz w:val="16"/>
          <w:szCs w:val="16"/>
        </w:rPr>
      </w:pPr>
    </w:p>
    <w:p w14:paraId="7C32C8D2" w14:textId="1F7F8D7C" w:rsidR="00EA1875" w:rsidRDefault="00EA1875"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4D9893C7" w14:textId="77777777" w:rsidR="00EA1875" w:rsidRDefault="00EA1875"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16A21E4" w14:textId="7895F225" w:rsidR="00EA1875" w:rsidRPr="00FB4F67" w:rsidRDefault="00EA1875"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7 (</w:t>
      </w:r>
      <w:r w:rsidRPr="00FB4F67">
        <w:rPr>
          <w:rFonts w:ascii="Times New Roman" w:hAnsi="Times New Roman" w:cs="Times New Roman"/>
          <w:color w:val="0070C0"/>
          <w:sz w:val="16"/>
          <w:szCs w:val="16"/>
        </w:rPr>
        <w:t>20</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февраля 1917 г. в Великобританию прибыло от 70 до 80 российских летчиков для обучения пилотов и наблюдателей, которое проходило на аэродромах Тетфорд, Нортхолт и Кройдон (23525).</w:t>
      </w:r>
    </w:p>
    <w:p w14:paraId="0FA3178D" w14:textId="77777777" w:rsidR="00EA1875" w:rsidRPr="00FB4F67" w:rsidRDefault="00EA1875" w:rsidP="0083075A">
      <w:pPr>
        <w:spacing w:after="0" w:line="240" w:lineRule="auto"/>
        <w:jc w:val="both"/>
        <w:rPr>
          <w:rFonts w:ascii="Times New Roman" w:hAnsi="Times New Roman" w:cs="Times New Roman"/>
          <w:color w:val="0070C0"/>
          <w:sz w:val="16"/>
          <w:szCs w:val="16"/>
        </w:rPr>
      </w:pPr>
    </w:p>
    <w:p w14:paraId="60A11D66" w14:textId="434F2057" w:rsidR="00AE71CB" w:rsidRPr="002F2FDF" w:rsidRDefault="00AE71C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FF1CCCA"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4A2918" w14:textId="77777777" w:rsidR="00AE71CB" w:rsidRPr="002F2FDF" w:rsidRDefault="00AE71CB"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февраля 1917 из-за взрыва в доках Архангельска погибло около 1500 человек (4962).</w:t>
      </w:r>
    </w:p>
    <w:p w14:paraId="2A172AAD" w14:textId="77777777" w:rsidR="00AE71CB" w:rsidRPr="002F2FDF" w:rsidRDefault="00AE71CB"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CD0816"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5BC1AA5"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56FFF1"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февраля 1917 во Франции командующий Нивель подает в Военное министерство на утверждение подробный план воздушных бомбардировок. Теперь уже и Франция собирается приступить к централизованному утверждению объектов воздушного нападения (11999).</w:t>
      </w:r>
    </w:p>
    <w:p w14:paraId="00A5656B" w14:textId="77777777" w:rsidR="00AE71CB" w:rsidRPr="002F2FDF" w:rsidRDefault="00AE71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D84E2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73B27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6C0F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февраля 1917 г., когда УВВФ попыталось составить отчет о выполнении плана снабжения действующей армии авиационно-воздухоплавательным имуществом, оказалось, что из 4351 подлежащего постройке корпусного самолета заказы размещены только на 1513. Еще хуже было с истребителями. Русские заводы приняли заказ на 487 машин. Согласно планам военного ведомства, все армейские самолеты должны были строиться за границей. Однако к началу февраля 1917 г. они не были даже заказаны. Из 120 “Муромцев” Русско-Балтийскому заводу заказали только 38 машин (9750).</w:t>
      </w:r>
    </w:p>
    <w:p w14:paraId="03A7DE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08293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621AC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D221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февраля 1917 Казаков из группы ЮЗФ телеграфирует Ткачеву: “...благода</w:t>
      </w:r>
      <w:r w:rsidRPr="002F2FDF">
        <w:rPr>
          <w:rFonts w:ascii="Times New Roman" w:hAnsi="Times New Roman" w:cs="Times New Roman"/>
          <w:color w:val="000000" w:themeColor="text1"/>
          <w:kern w:val="2"/>
          <w:sz w:val="16"/>
          <w:szCs w:val="16"/>
        </w:rPr>
        <w:softHyphen/>
        <w:t>рим за память (в смысле, что помни</w:t>
      </w:r>
      <w:r w:rsidRPr="002F2FDF">
        <w:rPr>
          <w:rFonts w:ascii="Times New Roman" w:hAnsi="Times New Roman" w:cs="Times New Roman"/>
          <w:color w:val="000000" w:themeColor="text1"/>
          <w:kern w:val="2"/>
          <w:sz w:val="16"/>
          <w:szCs w:val="16"/>
        </w:rPr>
        <w:softHyphen/>
        <w:t>те). Просим ускорить по</w:t>
      </w:r>
      <w:r w:rsidRPr="002F2FDF">
        <w:rPr>
          <w:rFonts w:ascii="Times New Roman" w:hAnsi="Times New Roman" w:cs="Times New Roman"/>
          <w:color w:val="000000" w:themeColor="text1"/>
          <w:kern w:val="2"/>
          <w:sz w:val="16"/>
          <w:szCs w:val="16"/>
        </w:rPr>
        <w:softHyphen/>
        <w:t>грузку в Яссах и передвижение на родной фронт”. Начались долгие хлопоты с возвра</w:t>
      </w:r>
      <w:r w:rsidRPr="002F2FDF">
        <w:rPr>
          <w:rFonts w:ascii="Times New Roman" w:hAnsi="Times New Roman" w:cs="Times New Roman"/>
          <w:color w:val="000000" w:themeColor="text1"/>
          <w:kern w:val="2"/>
          <w:sz w:val="16"/>
          <w:szCs w:val="16"/>
        </w:rPr>
        <w:softHyphen/>
        <w:t>щением. Опять требования и просьбы дать эшелоны и отправить их побыст</w:t>
      </w:r>
      <w:r w:rsidRPr="002F2FDF">
        <w:rPr>
          <w:rFonts w:ascii="Times New Roman" w:hAnsi="Times New Roman" w:cs="Times New Roman"/>
          <w:color w:val="000000" w:themeColor="text1"/>
          <w:kern w:val="2"/>
          <w:sz w:val="16"/>
          <w:szCs w:val="16"/>
        </w:rPr>
        <w:softHyphen/>
        <w:t>рее. Но лишь 16 марта отряды группы начинают погрузку и через два дня со станции Николино уходит последний эшелон (3954).</w:t>
      </w:r>
    </w:p>
    <w:p w14:paraId="1C5731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17811E" w14:textId="77777777" w:rsidR="000E76F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r w:rsidR="000E76F1" w:rsidRPr="002F2FDF">
        <w:rPr>
          <w:rFonts w:ascii="Times New Roman" w:hAnsi="Times New Roman" w:cs="Times New Roman"/>
          <w:iCs/>
          <w:color w:val="000000" w:themeColor="text1"/>
          <w:kern w:val="2"/>
          <w:sz w:val="16"/>
          <w:szCs w:val="16"/>
        </w:rPr>
        <w:t>:</w:t>
      </w:r>
    </w:p>
    <w:p w14:paraId="18C14C5E" w14:textId="77777777" w:rsidR="000E76F1" w:rsidRPr="002F2FDF" w:rsidRDefault="000E76F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9B7E46" w14:textId="77777777" w:rsidR="000E76F1" w:rsidRPr="002F2FDF" w:rsidRDefault="000E76F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февраля 1917 Петроградский военный округ был выделен из Северного фронта и подчинен непосредственно Ставке. Полицию и жандармерию вооружили пулеметами. Застрельщиком революционной борьбы выступал пролетариат. В его среде были живы традиции 1905 года и последующих классовых боев, идеи и лозунги большевизма. Несмотря на ослабление многих партийных организаций в результате непрерывных полицейских разгромов, большевики и в годы войны неутомимо продолжали работу в массах, готовя их к свержению царской монархии (17025).</w:t>
      </w:r>
    </w:p>
    <w:p w14:paraId="4A483240" w14:textId="77777777" w:rsidR="000E76F1" w:rsidRPr="002F2FDF" w:rsidRDefault="000E76F1" w:rsidP="0083075A">
      <w:pPr>
        <w:spacing w:after="0" w:line="240" w:lineRule="auto"/>
        <w:jc w:val="both"/>
        <w:rPr>
          <w:rFonts w:ascii="Times New Roman" w:hAnsi="Times New Roman" w:cs="Times New Roman"/>
          <w:color w:val="000000" w:themeColor="text1"/>
          <w:kern w:val="2"/>
          <w:sz w:val="16"/>
          <w:szCs w:val="16"/>
        </w:rPr>
      </w:pPr>
    </w:p>
    <w:p w14:paraId="1A98E1B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617B6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B657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февраля 1917 года прототип Лебедь-Х, который 26 января (8 февраля) 1917 г. удалось "пристроить" за 9500 рублей, был принят в казну. В июле Лебедь-Х передали в Гатчинскую авиашколу (11183).</w:t>
      </w:r>
    </w:p>
    <w:p w14:paraId="1C4910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F7DA0B"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8 (21) февраля 1917 года </w:t>
      </w:r>
    </w:p>
    <w:p w14:paraId="56748F11"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Совершенно секретно </w:t>
      </w:r>
    </w:p>
    <w:p w14:paraId="50A16C6C"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Журнал №  142  </w:t>
      </w:r>
    </w:p>
    <w:p w14:paraId="5BC93EA1"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Особого Совещания для обсуждения и объединения мероприятий по обороне государства. </w:t>
      </w:r>
    </w:p>
    <w:p w14:paraId="527486B2"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8 февраля 1917 года. </w:t>
      </w:r>
    </w:p>
    <w:p w14:paraId="5B603D32"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Председательствовал сенатор  . Н. П. Гарин. </w:t>
      </w:r>
    </w:p>
    <w:p w14:paraId="16187B89"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Присутствовали: </w:t>
      </w:r>
    </w:p>
    <w:p w14:paraId="4447FE7A"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Государственного Совета   . С. И.  Тимашев. </w:t>
      </w:r>
    </w:p>
    <w:p w14:paraId="18FA61A5"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В. И.  Тимирязев. </w:t>
      </w:r>
    </w:p>
    <w:p w14:paraId="5880A9D1"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А.  С.  Стишинский. </w:t>
      </w:r>
    </w:p>
    <w:p w14:paraId="5AFF9D94"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граф С. А.  Толь. </w:t>
      </w:r>
    </w:p>
    <w:p w14:paraId="1B4D0AC3"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В. И. Карпов. </w:t>
      </w:r>
    </w:p>
    <w:p w14:paraId="75A2A611"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В. И. Гурко. </w:t>
      </w:r>
    </w:p>
    <w:p w14:paraId="7BC9C219"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М. А.  Стахович. </w:t>
      </w:r>
    </w:p>
    <w:p w14:paraId="062836E4"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А. И. Мосолов. </w:t>
      </w:r>
    </w:p>
    <w:p w14:paraId="4FCE7B67"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Ф. А. Иванов. </w:t>
      </w:r>
    </w:p>
    <w:p w14:paraId="3F610F8F"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И. А. Шебеко. </w:t>
      </w:r>
    </w:p>
    <w:p w14:paraId="099EC56F"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князь А. Н. Лобанов-Ростовский. </w:t>
      </w:r>
    </w:p>
    <w:p w14:paraId="2B08D6B1"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Государственной Думы  . А. А. Добровольский. </w:t>
      </w:r>
    </w:p>
    <w:p w14:paraId="0D2113F4"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Н. Е. Марков. </w:t>
      </w:r>
    </w:p>
    <w:p w14:paraId="49072E57"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П. Н. Милюков. </w:t>
      </w:r>
    </w:p>
    <w:p w14:paraId="33898A03"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Н. В.  Савич. </w:t>
      </w:r>
    </w:p>
    <w:p w14:paraId="3E8056BA"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Д. Н.  Сверчков. </w:t>
      </w:r>
    </w:p>
    <w:p w14:paraId="5C8BFBE7"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Д. Н.  Чихачев. </w:t>
      </w:r>
    </w:p>
    <w:p w14:paraId="014BC110"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А. И. Шингарев. </w:t>
      </w:r>
    </w:p>
    <w:p w14:paraId="523A24C1"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В. В. Шульгин. </w:t>
      </w:r>
    </w:p>
    <w:p w14:paraId="1BA0E4D2"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Б. А. Энгельгардт. </w:t>
      </w:r>
    </w:p>
    <w:p w14:paraId="06771007"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П. Н. Крупенский. </w:t>
      </w:r>
    </w:p>
    <w:p w14:paraId="20AE97D0"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М.  С. Аджемов. </w:t>
      </w:r>
    </w:p>
    <w:p w14:paraId="6502D409"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Н. Н. Львов. </w:t>
      </w:r>
    </w:p>
    <w:p w14:paraId="388D566E"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военного министерства: </w:t>
      </w:r>
    </w:p>
    <w:p w14:paraId="213988CA"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 от инфантерии  . П. А.  Фролов. </w:t>
      </w:r>
    </w:p>
    <w:p w14:paraId="37416428"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 от артиллерии  . А. А. Маниковский. </w:t>
      </w:r>
    </w:p>
    <w:p w14:paraId="62AC23E7"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Генерал-лейтенант  . Г. Г. Милеант. </w:t>
      </w:r>
    </w:p>
    <w:p w14:paraId="00EA38CD"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Н. А. Бабиков. </w:t>
      </w:r>
    </w:p>
    <w:p w14:paraId="3491C8D2"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Н. И. Богатко. </w:t>
      </w:r>
    </w:p>
    <w:p w14:paraId="57D1EA8B"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морского министерства: </w:t>
      </w:r>
    </w:p>
    <w:p w14:paraId="2B1FBC10"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Вице-адмирал  . В. К. Гирс. </w:t>
      </w:r>
    </w:p>
    <w:p w14:paraId="7B7E80A2"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министерства финансов: </w:t>
      </w:r>
    </w:p>
    <w:p w14:paraId="3F19CA5A"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Действительный статский советник  . . .П. М. Гришкевич-Трохимовский. </w:t>
      </w:r>
    </w:p>
    <w:p w14:paraId="5B74B024"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Государственного контроля: </w:t>
      </w:r>
    </w:p>
    <w:p w14:paraId="26963FEE"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Действительный статский советник  . А. Д. Приселков. </w:t>
      </w:r>
    </w:p>
    <w:p w14:paraId="6D1F41AF"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министерства торговли и промышленности: </w:t>
      </w:r>
    </w:p>
    <w:p w14:paraId="6327C790"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Гофмейстер Высочайшего Двора  . С. П. Веселаго. </w:t>
      </w:r>
    </w:p>
    <w:p w14:paraId="081FDC39"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Всероссийского земского союза: </w:t>
      </w:r>
    </w:p>
    <w:p w14:paraId="49502251"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Государственной Думы  . В. А. Маклаков. </w:t>
      </w:r>
    </w:p>
    <w:p w14:paraId="22414C54"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Всероссийского городского союза: </w:t>
      </w:r>
    </w:p>
    <w:p w14:paraId="3E19F042"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Государственной Думы  . Н. В. Некрасов. </w:t>
      </w:r>
    </w:p>
    <w:p w14:paraId="0422E13B"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центрального военно-промышленного комитета: </w:t>
      </w:r>
    </w:p>
    <w:p w14:paraId="49275253"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Государственного Совета   . А. И. Гучков. </w:t>
      </w:r>
    </w:p>
    <w:p w14:paraId="048E1558"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Государственной Думы  . А. И. Коновалов. </w:t>
      </w:r>
    </w:p>
    <w:p w14:paraId="59D5869E"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Особо приглашенные в заседание: </w:t>
      </w:r>
    </w:p>
    <w:p w14:paraId="6F9A3755"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Государственного Совета   . Н.  Ф. фон Дитмар. </w:t>
      </w:r>
    </w:p>
    <w:p w14:paraId="0A49B337"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 от инфантерии  . А. З. Мышлаевский. </w:t>
      </w:r>
    </w:p>
    <w:p w14:paraId="486CF7DB"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Генерал-лейтенант  . В. А. Лехович. </w:t>
      </w:r>
    </w:p>
    <w:p w14:paraId="176D7337"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А. А. Якимович. </w:t>
      </w:r>
    </w:p>
    <w:p w14:paraId="5CE9B29C"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 » » . Д. в.  Филатьев. </w:t>
      </w:r>
    </w:p>
    <w:p w14:paraId="0C75FC44"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Н. И. Петровский. </w:t>
      </w:r>
    </w:p>
    <w:p w14:paraId="255B7E44"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Флота генерал-лейтенант  . Н. М.  Сергеев. </w:t>
      </w:r>
    </w:p>
    <w:p w14:paraId="4207CE12"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Генерал-майор  . А. А.  Саткевич. </w:t>
      </w:r>
    </w:p>
    <w:p w14:paraId="40795A70"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Действительный статский советник  . В. П. Литвинов-Фалинский. </w:t>
      </w:r>
    </w:p>
    <w:p w14:paraId="0A8F429F"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Профессор  . А.  С. Ломшаков. </w:t>
      </w:r>
    </w:p>
    <w:p w14:paraId="34FB8FA0"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Отставной полковник  . Н. Е. Понафидин. </w:t>
      </w:r>
    </w:p>
    <w:p w14:paraId="31C1BA01"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Полковник  . Д. В. Яковлев. </w:t>
      </w:r>
    </w:p>
    <w:p w14:paraId="700979C6"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Инженер путей сообщения барон  . Г. Х. Майдель. </w:t>
      </w:r>
    </w:p>
    <w:p w14:paraId="369190B9"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Делопроизводитель Особого Совещания: </w:t>
      </w:r>
    </w:p>
    <w:p w14:paraId="0969E359"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Военный советник   . А. А.  Терне. </w:t>
      </w:r>
    </w:p>
    <w:p w14:paraId="3E439484"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 открытии заседания Совещание заслушало доклад подготовительной комиссии по артиллерийским вопросам о реорганизации управления  делами  Русско-Балтийского  судостроительного  и  механического  акционерного  общества.  Комиссия  признала  необходимым  образовать  правление названного общества в составе пяти директоров по назначению от правительства и четырех по избранию акционеров с тем, чтобы  один  из  правительственных  директоров  был  назначен  председателем  правления. Вместе с тем комиссия присоединилась к мнению члена Государственного Совета А. И. Гучкова, что надлежало бы правительственным директорам правления общества рассмотреть вопрос о назначении Особого директора-распорядителя из числа правительственных членов правления.</w:t>
      </w:r>
    </w:p>
    <w:p w14:paraId="41A554DC"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При обсуждении доклада член Государственного Совета Ф.  А.  Иванов высказал, что образование правления смешанного состава из 9 членов  представляется  нецелесообразным  ввиду  громоздкости  подобной  организации и неизбежности трений между правительственными и выборными директорами и полагал возможным, оставив выбранное акционерами правление в прежнем составе, ограничиться назначением от правительства полновластного и ответственного директора-распорядителя.  </w:t>
      </w:r>
    </w:p>
    <w:p w14:paraId="7EB54BA4"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Напротив того, член Совета Съездов представителей металлообрабатывающей  промышленности  Н.  Е.  Понафидин  признавал  нежелательной  замену  директора-распорядителя,  заведующего  ныне  технической  стороной  предприятий  Русско-Балтийского  общества  и,  по  отзывам  специалистов, прекрасно выполняющего возложенные на него обязанности,  каким-либо  другим  лицом  и  находил,  что  надлежало  бы  ограничиться  установлением  правительственного  надзора  лишь  за  хозяйственной  и  финансовой  стороной  дела.  По  этому  поводу  председатель  подготовительной комиссии по артиллерийским вопросам член Государственного  Совета  С.  И.  Тимашев  пояснил,  что  комиссия  имела  в  виду  не  замену  ныне действующего директора-распорядителя новым лицом, а назначение  второго  директора-распорядителя  для  руководства  хозяйственной  стороной  дела,  каковое  назначение  не  противоречило  бы  уставу  общества. </w:t>
      </w:r>
    </w:p>
    <w:p w14:paraId="0C23DCF9"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обмене мнениями Совещание одобрило заключения комиссии. </w:t>
      </w:r>
    </w:p>
    <w:p w14:paraId="56E102D0"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Совещание  заслушало  доклад  той  же  комиссии  об  отпуске  Русско-Балтийскому судостроительному и механическому акционерному  обществу  7  190  000  руб лей  на  предстоящие  в  течение  февраля  сего  года  неотложные  расходы  по  Ревельскому  и  Таганрогскому  заводам  общества, с тем чтобы часть этой суммы, в пределах свободного остатка  авансов до 65 %, была выдана в счет таковых авансов, а остальная сумма  — в виде ссуды на одинаковых основаниях с первоначальной ссудой  в 11  250  000 руб лей. Вместе с тем комиссия высказалась за удовлетворение ходатайства правления названного общества о разрешении изъять  имеющие поступить по заказам морского министерства авансы от обращения, согласно условиям данной правлением подписки, на погашение  полученной обществом ссуды в 11  250  000 руб лей. Ходатайство того же  правления о разрешении в первую очередь погашения из ожидаемых поступлений некоторых наиболее обременительных частных долгов было  признано комиссией подлежащим отклонению. Совещание со своей стороны присоединилось к заключениям комиссии. </w:t>
      </w:r>
    </w:p>
    <w:p w14:paraId="1135D4E9"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При обсуждении доклада комиссии об условиях приобретения чугуна в Швеции и использования его на нужды обороны начальник главного  управления кораблестроения вице-адмирал В.  К.  Гирс выразил пожелание,  чтобы  помимо  Путиловского,  Обуховского  и  Ижорского  заводов  чугун  этот  был  предоставлен  также  Царицынскому  заводу.  Член  Государственного Совета Ф. А. Иванов, остановившись на вопросе о цене, по  коей предположено приобретать шведский чугун (8 руб. — 8 руб. 50 коп.  за пуд), указал, что она является крайне высокой и значительно превышающей ту цену, по которой в свое время не было признано возможным  приобрести чугун в России. Ф. А. Иванов усматривает в этом проявление  чрезвычайной скупости в отношении русской промышленности и расточительности в отношении промышленности иностранной. </w:t>
      </w:r>
    </w:p>
    <w:p w14:paraId="59359EF9"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обмене мнениями Совещание одобрило доклад комиссии, равно  как доклады той же комиссии: </w:t>
      </w:r>
    </w:p>
    <w:p w14:paraId="7920965D"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 выдаче товариществу И. К. Ольджияти и Ко, по заказу главного артиллерийского управления на 6” чугунные  бомбы, дополнительного аванса в размере 10 % от стоимости заказа, то  есть 102 250 руб лей единовременно, </w:t>
      </w:r>
    </w:p>
    <w:p w14:paraId="72355ACE"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 предоставлении Богословскому  горнозаводскому обществу и акционерному обществ «Лысьвенский горный округ наследников графа П.  П.  Шувалова» заказов на 6” стальные  фугасные гаубичные бомбы, с выдачей названным общества авансов без  обеспечения, в два срока, на общих основаниях: первому — в размере 45 %,  второму — в размере 30 % от стоимости заказа и в) о заказе Итальянскому обществу торговли с Россией 15  000 штук призменных биноклей, по  цене 97 руб.  63 коп. за штуку, всего на сумму 1  464  450 руб лей. Попутно с рассмотрением последнего вопроса комиссия высказала суждения  о желательности при снабжении биноклями офицерского состава армии  выдавать бинокли не отдельным лицам, а отпускать их в распоряжение  воинских частей. Суждения эти были также одобрены Совещанием. </w:t>
      </w:r>
    </w:p>
    <w:p w14:paraId="03E975C5"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Далее Совещание заслушало доклад подготовительной комиссии по  авиационным вопросам  об условиях изготовления и приемки воздушных кораблей типа «Илья Муромец» в связи с правами начальника эскадры воздушных кораблей. Комиссия пришла к заключению о желательности  подчинить  эскадру  воздушных  кораблей,  на  общих  основаниях,  Августейшему полевому генерал-инспектору военного </w:t>
      </w:r>
      <w:r w:rsidRPr="002F2FDF">
        <w:rPr>
          <w:rFonts w:ascii="Times New Roman" w:hAnsi="Times New Roman" w:cs="Times New Roman"/>
          <w:color w:val="000000" w:themeColor="text1"/>
          <w:sz w:val="16"/>
          <w:szCs w:val="16"/>
          <w:highlight w:val="yellow"/>
        </w:rPr>
        <w:t>воздушного флота</w:t>
      </w:r>
      <w:r w:rsidRPr="002F2FDF">
        <w:rPr>
          <w:rFonts w:ascii="Times New Roman" w:hAnsi="Times New Roman" w:cs="Times New Roman"/>
          <w:color w:val="000000" w:themeColor="text1"/>
          <w:sz w:val="16"/>
          <w:szCs w:val="16"/>
        </w:rPr>
        <w:t xml:space="preserve">, а равно  — сосредоточить вопросы изготовления и приемки воздушных кораблей типа «Илья Муромец» в управлении военного воздушного  флота.  При  последовавшем  обмене  мнениями  Член  Государственного  Совета  А.  И.  Гучков  указал,  что  Русско-Балтийский  вагонный  завод,  изготовляющий  воздушные  корабли  типа  «Илья  Муромец»,  является  едва ли не единственным русским заводом, имевшим к началу войны серьезный опыт по постройке моторов и летательных аппаратов. Однако  же реальные результаты деятельности этого завода по удовлетворению  нужд нашей авиации во время текущей войны оказались крайне незначительными.  </w:t>
      </w:r>
    </w:p>
    <w:p w14:paraId="2E57AD75"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Причиной  этого  надлежит  признать  ненормальность  тех  условий, в которые поставлено до сего времени дело изготовления и приемки воздушных кораблей. Заводу не может быть предоставлен твердый  заказ на целую серию воздушных кораблей ввиду того, что командиром  эскадры воздушных кораблей даются указания о внесении все новых и  новых  изменений  в  тип  «Ильи  Муромца».  Последние  из  намеченных  усовершенствований типа настолько сложны, что, согласно заявлениям  специалистов,  потребуют  для  своего  осуществления  значительного  количества  времени.  Между  тем  потребность  действующей  армии  в  воздушных кораблях остается неудовлетворенной. Для прекращения подобного положения вещей надлежит возбудить перед Ставкой ходатайство  о скорейшей передаче дела изготовления воздушных кораблей в ведение  управления  военного  воздушного  флота.  Член  Государственной  Думы  Н.  В.  Савич полагал, что во избежание потери времени представлялось  бы целесообразным теперь же, не ожидая результатов сношения по сему  делу со Ставкой, поручить управлению военного воздушного флота приступить  к  разработке  вопроса  о  предоставлении  Русско-Балтийскому  вагонному  заводу  твердого  заказа  на  серию  воздушных  кораблей  типа  «Илья Муромец»  — с тем, чтобы к моменту передачи дела изготовления  этих кораблей в ведение названного управления, буде таковая передача состоится, все необходимые материалы были управлением уже подготовлены. </w:t>
      </w:r>
    </w:p>
    <w:p w14:paraId="74A61F64"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Совещание по обмене мнениями одобрило как заключение комиссии, так и предложение Н. В. Савича. </w:t>
      </w:r>
    </w:p>
    <w:p w14:paraId="240F40E2"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Совещанием  был  заслушан  доклад  той  же  комиссии  о  положении  нашей  авиации  в  связи  с  мероприятиями  по  осуществлению  предположений  подготовительной  комиссии  по  авиационным  вопросам, одобренных Особым Совещанием в заседании 29 октября 1916 года.  </w:t>
      </w:r>
    </w:p>
    <w:p w14:paraId="7838D3D2"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Комиссия  констатировала,  что  большинство  высказанных  Совещанием  пожеланий  осуществлено  или  находится  на  пути  к  осуществлению.  </w:t>
      </w:r>
    </w:p>
    <w:p w14:paraId="3723288F"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Осталось без исполнения пожелание Совещания об утверждении нового  положения  об  управлении  военного  воздушного  флота  взамен  ныне  существующего  временного.  Комиссия  признала  необходимым  снова  высказать означенное пожелание. В случае же необходимости безотлагательного усиления личного состава управления и подведомственных ему  учреждений надлежало бы, по мнению комиссии, отпускать потребные  для  сего  средства  из  военного  фонда  не  ожидая  утверждения  нового  положения. Независимо от сего, комиссия высказала пожелание об обращении к министрам торговли и промышленности и путей сообщения  с просьбой о принятии безотлагательных мер к обеспечению завода Шодуар в Екатеринославе, изготовляющего цельнотянутые трубы для аэропланов, необходимым ему топливом, а равно к министру Императорского двора с просьбой об уничтожении группы деревьев, находящихся на  Гатчинском аэродроме и мешающих обучению летчиков. Совещание со  своей стороны присоединилось к пожеланиям комиссии. </w:t>
      </w:r>
    </w:p>
    <w:p w14:paraId="5AD7C6CC"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Равным образом одобрило Совещание доклады реквизиционной комиссии:</w:t>
      </w:r>
    </w:p>
    <w:p w14:paraId="22F25993"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  разрешении  секвестрованному  заводу  общества  Северо-Западных металлургических, механических и судостроительных заводов,  </w:t>
      </w:r>
    </w:p>
    <w:p w14:paraId="46633199"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быв. «Беккер и Ко», в Горловке Екатеринославской губернии принудительно взять на время секвестра в свое исключительное пользование заводской пруд на реке Корсуни с водокачками и водопроводными сооружениями и</w:t>
      </w:r>
    </w:p>
    <w:p w14:paraId="66728236"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  наложении  секвестра  на  находящийся  в  г.  Харькове  и  принадлежащий германским подданным механический завод Блейхерт  и Эйхнер, с передачей в заведывание военного министерства и в управление главного военно-технического управления. </w:t>
      </w:r>
    </w:p>
    <w:p w14:paraId="51FA4455"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Далее  член  Государственного  Совета  А.  И.  Мосолов  доложил  Совещанию, что, по полученным им сведениям, в Туле остановился из-за  недостатка топлива патронный завод, а рабочие оружейного завода прекратили работу вследствие продовольственных затруднений80. Указав на  важность этих заводов для дела обороны </w:t>
      </w:r>
      <w:r w:rsidRPr="002F2FDF">
        <w:rPr>
          <w:rFonts w:ascii="Times New Roman" w:hAnsi="Times New Roman" w:cs="Times New Roman"/>
          <w:color w:val="000000" w:themeColor="text1"/>
          <w:sz w:val="16"/>
          <w:szCs w:val="16"/>
        </w:rPr>
        <w:lastRenderedPageBreak/>
        <w:t xml:space="preserve">и на успешность их работы до  сего времени, А. И. Мосолов высказал пожелание о принятии решительных мер для прекращения переживаемого заводами кризиса. В  частности,  представлялось  бы  желательным,  чтобы  интендантское  ведомство  приняло на себя заботу о снабжении названных заводов продовольственными продуктами. </w:t>
      </w:r>
    </w:p>
    <w:p w14:paraId="091C4E3E"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Государственной Думы А.  И.  Шингарев выразил сомнение относительно возможности надеяться на поддержку со стороны интендантского ведомства. По имеющимся у А.  И.  Шингарева сведениям, запасы  ведомства не могут быть признаны достаточными даже для удовлетворения нужд армии. В настоящее время Западный фронт испытывает уже  острый  недостаток  в  продовольствии,  как  это  явствует  из  телеграммы  главного полевого интенданта генерал-лейтенанта Егорьева. Положение  представляется угрожающим, ибо, насколько известно А. И. Шингареву,  достаточное количество хлеба для армии до сего времени не заготовлено;  предпринятая министром земледелия разверстка               дает пока неудовлетворительные  результаты  —  между  тем  через  несколько  недель  провоз  хлеба во многих местах сделается невозможным. По мнению А. И. Шингарева,  необходимо  стать  на  путь  принудительной  разверстки  хлеба  и  планомерного распределения продовольственных продуктов. </w:t>
      </w:r>
    </w:p>
    <w:p w14:paraId="1DF26071"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Государственного Совета граф С. А. Толь указал, что во многих  местах, в частности в Рязанской губернии, имеются значительные запасы хлеба, но они остаются неиспользованными и подвергаются порче, так  как свободная продажа их не разрешена, реквизиция же для нужд армии также не производится. Надлежало бы возможно скорее определить,  какое именно количество этих запасов будет реквизировано, с тем чтобы  остальное количество могло быть пущено владельцами в продажу. </w:t>
      </w:r>
    </w:p>
    <w:p w14:paraId="766A8033"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Государственного Совета А. И. Гучков доложил Совещанию полученные им сведения о критическом положении заводов Урала, не имеющих ни продовольствия для рабочих, ни фуража для лошадей. В частности, уральские заводы не могут получить необходимого им количества  овса. Между тем овес на Урале имеется, но по твердой цене купить его  невозможно, а реквизиция применяется лишь для удовлетворения нужд  армии. По мнению А.  И.  Гучкова, правительству надлежало бы взять на  себя снабжение продовольствием не только армии, но также крупных городских центров и работающих на оборону заводов. </w:t>
      </w:r>
    </w:p>
    <w:p w14:paraId="6EC52AB9"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Государственного Совета М. А. Стахович полагал, что дело продовольствия,  равно  как  вопросы  транспорта  и  распределения  топлива,  имеющие  ныне  первостепенное  значение  для  обороны,  должны  быть  объединены в общем ведении Председателя Особого Совещания по обороне  государства,  на  каковое  Совещание  возложено  по  закону  объединение  всех  мероприятий  по  обеспечению  армии  предметами  боевого  и  прочего материального снабжения. </w:t>
      </w:r>
    </w:p>
    <w:p w14:paraId="1D04E156"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Государственной Думы Н.  Е.  Марков высказал, что в переживаемое  Россией  тяжелое  время  на  членах  Особого  Совещания  лежит  обязанность,  не  ограничиваясь  указаниями  на  трудность  положения  и обвинениями  власти  в  непредусмотрительности,  предлагать  реальные  меры, которые могли бы поправить дело. Со своей стороны Н.  Е.  Марков полагает необходимым высказать, что правительству надлежало бы  стать на путь принудительного отчуждения продовольственных продуктов и установления обязательных цен на все предметы потребления. Для  облегчения же угольного кризиса представлялось бы необходимым немедленное закрытие всех потребляющих электрическую энергию увеселительных заведений и сокращение вечерней торговли. Последнее предложение Н. Е. Маркова было поддержано членом Государственной Думы  П.  Н.  Крупенским.  По  этому  поводу  председатель  подготовительной  комиссии по общим вопросам генерал-майор А.  А.  Сеткевич указал, что  вопросы распределения электрической энергии отнесены ныне к компетенции Особого Совещания по топливу. Основываясь на этом указании,  член Государственной Думы А. А. Добровольский полагал, что Особому  Совещанию по обороне Государства не следовало бы принимать какое-либо  решение  по  вопросу  о  принятии  мер  к  экономии  электрического  освещения прежде, чем вопрос этот не получит своего разрешения в Особом Совещании по топливу, где он уже поставлен на очередь. Член Государственного Совета А. С. Стишинский признавал, однако, необходимым  скорейшее разрешение означенного вопроса, имеющего первостепенное  значение для дела снабжения армии, в Особом Совещании по обороне  государства и предложил передать пожелание Н.  Е.  Маркова на рассмотрение  подготовительной  комиссии  по  общим  вопросам.  Большинство  Совещания присоединилось к этому предложению. </w:t>
      </w:r>
    </w:p>
    <w:p w14:paraId="5F4569E5"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заключение Совещание одобрило пожелание члена Государственного  Совета  А.  И.  Гучкова  о  поручений  главному  военно-санитарному  управлению  сообщить  комиссии  по  пересмотру  норм  санитарного  и  медицинского снабжения армии данные по вопросу об обеспечении новых формирований предметами санитарного снабжения и медицинским  персоналом. </w:t>
      </w:r>
    </w:p>
    <w:p w14:paraId="04FC653D"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Подлинный [журнал] за надлежащими подписями. </w:t>
      </w:r>
    </w:p>
    <w:p w14:paraId="61C48FFA"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4CD45A36"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Утвердить доклады реквизиционной комиссии: </w:t>
      </w:r>
    </w:p>
    <w:p w14:paraId="0995B525"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 разрешении секвестрованному заводу общества Северо-Западных  металлургических,  механических  и  судостроительных  заводов,  бывш.  «Беккер и Ко», в Горловке Екатеринославской губернии принудительно  взять на время секвестра в свое исключительное пользование заводской  пруд на реке Корсун с водокачками и водопроводными сооружениями,  на изложенных в докладе условиях; </w:t>
      </w:r>
    </w:p>
    <w:p w14:paraId="4F52F2A7"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 наложении секвестра на находящийся в г.  Харькове и принадлежащий германским подданным механический завод Блейхерт и Эйхнер,  с передачей в заведывание военного министерства и в управление главного военно-технического управления, не приостанавливая ликвидации  предприятия. </w:t>
      </w:r>
    </w:p>
    <w:p w14:paraId="3C33E2EF"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Утвердить  доклады  подготовительной  комиссии  по  артиллерийским вопросам: </w:t>
      </w:r>
    </w:p>
    <w:p w14:paraId="2D95C4BD"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об  отпуске  Русско-Балтийскому  судостроительному  и  механическому  акционерному  обществу  семи  миллионов  ста  девяноста  тысяч  (7  190 000) руб лей на предстоящие в течение февраля сего года неотложные расходы по Ревельскому и Таганрогскому заводам; об удовлетворении  ходатайства  правления  названного  общества  о  разрешении  изъять  имеющие поступить по заказам морского министерства авансы от обращения, согласно условиям данной правлением подписки, на погашение  полученной обществом ссуды в 11  250  000 рублей; об отклонении ходатайства того же правления о разрешении в первую очередь погашения из  ожидаемых поступлений некоторых наиболее обременительных частных  долгов; </w:t>
      </w:r>
    </w:p>
    <w:p w14:paraId="65A95F4C"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об условиях приобретения чугуна в Швеции и использовании его  на нужды обороны; </w:t>
      </w:r>
    </w:p>
    <w:p w14:paraId="2DB9E23E"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о выдаче товариществу И.  К.  Ольджияти и Ко, по заказу главного  артиллерийского  управления  на  6”  чугунные  бомбы,  дополнительного  аванса в размере 10 % от стоимости заказа, то есть ста двух тысяч пятисот  (102 500) рублей единовременно; </w:t>
      </w:r>
    </w:p>
    <w:p w14:paraId="4F29331F"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 о предоставлении Богословскому горнозаводскому обществу и акционерному  обществу  «Лысьвенский  горный  округ  наследников  графа  П.  П.  Шувалова» заказов на 6” стальные фугасные гаубичные бомбы, с  выдачей названным обществам авансов без обеспечения, в два срока, на  общих основаниях: первому — в размере 45 %, второму — в размере 30 % от стоимости заказа, с тем чтобы вопрос о предоставлении Богословскому обществу иностранной валюты для оплаты приобретенного за границей оборудования был разрешен в установленном порядке; </w:t>
      </w:r>
    </w:p>
    <w:p w14:paraId="7A9B1ADA"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 о заказе Итальянскому обществу торговли с Россией 15  000 штук  призменных биноклей, по цене 97 руб.  63 коп. за штуку, всего на сумму  1 464 450 рублей. </w:t>
      </w:r>
    </w:p>
    <w:p w14:paraId="2B62214C"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3.  Сообщить  начальнику  штаба  Верховного  Главнокомандующего  одобренные  Совещанием  суждения  подготовительной  комиссии  по  артиллерийским  вопросам  о  желательности  при  снабжении  биноклями  офицерского состава армии выдавать бинокли не отдельным лицам, а отпускать их в распоряжение воинских частей. </w:t>
      </w:r>
    </w:p>
    <w:p w14:paraId="6EA41D13"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4.  Согласно  докладу  подготовительной  комиссии  по  артиллерийским  вопросам,  признать  необходимым  образовать  правление  Русско-Балтийского судостроительного и механического акционерного общества  в составе пяти директоров по назначению от правительства и четырех по  избранию акционеров, с тем чтобы один из правительственных директоров был назначен председателем правления. </w:t>
      </w:r>
    </w:p>
    <w:p w14:paraId="28FC5226"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Поручить    правительственным      директорам    правления    названного   общества   рассмотреть   вопрос   о   назначении   Особого   директора-распорядителя из числа правительственных членов правления и внести  свое заключение по сему вопросу на обсуждение подготовительной комиссии </w:t>
      </w:r>
    </w:p>
    <w:p w14:paraId="72E8332D"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артиллерийским вопросам. </w:t>
      </w:r>
    </w:p>
    <w:p w14:paraId="5100281A"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5. Поручить управлению военного воздушного флота разработать вопрос о возможности ныне же предоставить Русско-Балтийскому вагонному  заводу  твердый  заказ  на  серию  воздушных  кораблей  типа  «Илья  Муромец» и внести свои предположения по сему вопросу на обсуждение  подготовительной комиссии по авиационным вопросам. </w:t>
      </w:r>
    </w:p>
    <w:p w14:paraId="0E0F56DF"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6.  Согласно  заключению  подготовительной  комиссии  по  авиационным  вопросам,  признать  желательным  утверждение,  в  установленном  порядке, нового положения об управлении военного воздушного флота,  взамен ныне существующего временного; в случае же необходимости безотлагательного усиления личного состава управления и подведомственных ему учреждений отпускать потребные для сего средства из военного  фонда, не ожидая утверждений нового положения. </w:t>
      </w:r>
    </w:p>
    <w:p w14:paraId="7D84724A"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7.  Просить  министра  торговли  и  промышленности  и  управляющего  министерством  путей  сообщения  о  принятии  безотлагательных  мер  к  обеспечению завода Шодуар в Екатеринославе, изготовляющего цельнотянутые трубы для аэропланов, необходимым ему топливом. </w:t>
      </w:r>
    </w:p>
    <w:p w14:paraId="5D217372"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8.  Снестись  с  министром  Императорского  Двора  об  уничтожении  группы  деревьев,  находящихся  на  Гатчинском  аэродроме  и  мешающих  обучению летчиков. </w:t>
      </w:r>
    </w:p>
    <w:p w14:paraId="6756D246"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9.  Получить  подготовительной  комиссии  по  общим  вопросам  обсудить внесенное членом Совещания Н.  Е.  Марковым предложение о закрытии  увеселительных  заведений  и  сокращении  вечерней  торговли  в  целях экономии электрической энергии и топлива. </w:t>
      </w:r>
    </w:p>
    <w:p w14:paraId="08CDBCEC"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10.  Поручить  главному  военно-санитарному  управлению  сообщить  комиссии по пересмотру норм санитарного и медицинского снабжения  армии данные по вопросу об обеспечении новых формирований предметами санитарного снабжения и медицинским персоналом. </w:t>
      </w:r>
    </w:p>
    <w:p w14:paraId="57D55604"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Сверял: делопроизводитель военный советник А.  Терне (20626).</w:t>
      </w:r>
    </w:p>
    <w:p w14:paraId="2E51BEB5" w14:textId="77777777" w:rsidR="00DE709B" w:rsidRPr="002F2FDF" w:rsidRDefault="00DE709B" w:rsidP="0083075A">
      <w:pPr>
        <w:spacing w:after="0" w:line="240" w:lineRule="auto"/>
        <w:jc w:val="both"/>
        <w:rPr>
          <w:rFonts w:ascii="Times New Roman" w:hAnsi="Times New Roman" w:cs="Times New Roman"/>
          <w:color w:val="000000" w:themeColor="text1"/>
          <w:sz w:val="16"/>
          <w:szCs w:val="16"/>
        </w:rPr>
      </w:pPr>
    </w:p>
    <w:p w14:paraId="113E73F1" w14:textId="7D0C99C3" w:rsidR="00EA1875" w:rsidRDefault="00EA1875"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2D6B8E75" w14:textId="77777777" w:rsidR="00EA1875" w:rsidRDefault="00EA1875"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1244E6D0" w14:textId="202940BB" w:rsidR="00EA1875" w:rsidRPr="00FB4F67" w:rsidRDefault="00EA1875"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lastRenderedPageBreak/>
        <w:t>8 (</w:t>
      </w:r>
      <w:r w:rsidRPr="00FB4F67">
        <w:rPr>
          <w:rFonts w:ascii="Times New Roman" w:hAnsi="Times New Roman" w:cs="Times New Roman"/>
          <w:color w:val="0070C0"/>
          <w:sz w:val="16"/>
          <w:szCs w:val="16"/>
        </w:rPr>
        <w:t>21</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февраля 1917 г. Ставка издала приказ о преобразовании одной части 2-й Сибирской КАО в 4-ю артиллерийскую АО (с 7-й армией на Юго-Западном фронте), а другой части - в новую 2-ю Сибирскую КАО (с 7-й армией на Юго-Западном фронте). . Также 21 февраля был издан приказ о переименовании 7-й армии АО во 2-ю гвардейскую КАО. В недатированном февральском отчете (автор неизвестен) указывалось, что на Западном фронте нехватка истребителей составляет 59%, а на Северном фронте должно было быть 118 самолетов, но боеспособными были только 60 (23525).</w:t>
      </w:r>
    </w:p>
    <w:p w14:paraId="785777E6" w14:textId="77777777" w:rsidR="00EA1875" w:rsidRPr="00FB4F67" w:rsidRDefault="00EA1875" w:rsidP="0083075A">
      <w:pPr>
        <w:spacing w:after="0" w:line="240" w:lineRule="auto"/>
        <w:jc w:val="both"/>
        <w:rPr>
          <w:rFonts w:ascii="Times New Roman" w:hAnsi="Times New Roman" w:cs="Times New Roman"/>
          <w:color w:val="0070C0"/>
          <w:sz w:val="16"/>
          <w:szCs w:val="16"/>
        </w:rPr>
      </w:pPr>
    </w:p>
    <w:p w14:paraId="3A17DB6D" w14:textId="23F29C86"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049BD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252868" w14:textId="77777777" w:rsidR="004C450A" w:rsidRPr="002F2FDF" w:rsidRDefault="004C450A"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8 (21) февраля 1917 L.42 впервые поднялся в воздух, а через неделю вступил в строй флота. Ещё на заводе, чтобы уменьшить заметность в лучах прожекторов, оконечности и нижние 2/3 корпуса дирижабля выкрасили матовой чёрной краской. Идея понравилась Штрассеру, и такая окраска стала характерной особенностью всех высотных рейдеров.</w:t>
      </w:r>
    </w:p>
    <w:p w14:paraId="178C12D2" w14:textId="77777777" w:rsidR="004C450A" w:rsidRPr="002F2FDF" w:rsidRDefault="004C450A"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Ещё одним стандартом стали обязательные высотные испытания как часть процедуры принятия корабля на вооружение. Для L.42 такой полет состоялся 10 марта, дав обнадёживающие результаты. Капитан-лейтенант Мартин Дитрих (Martin Dietrich) в отчёте указал, что после сброса бомб корабль способен подняться на 6400 метров (19156).</w:t>
      </w:r>
    </w:p>
    <w:p w14:paraId="73BAD17C" w14:textId="77777777" w:rsidR="004C450A" w:rsidRPr="002F2FDF" w:rsidRDefault="004C450A" w:rsidP="0083075A">
      <w:pPr>
        <w:spacing w:after="0" w:line="240" w:lineRule="auto"/>
        <w:jc w:val="both"/>
        <w:rPr>
          <w:rFonts w:ascii="Times New Roman" w:hAnsi="Times New Roman" w:cs="Times New Roman"/>
          <w:sz w:val="16"/>
          <w:szCs w:val="16"/>
        </w:rPr>
      </w:pPr>
    </w:p>
    <w:p w14:paraId="6804A16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февраля 1917 в Ла-Манше затонул английский транспортный корабль “Менди”, погибло 627 человек (4962).</w:t>
      </w:r>
    </w:p>
    <w:p w14:paraId="14B073B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52F22A" w14:textId="77777777" w:rsidR="003573C6" w:rsidRPr="002F2FDF" w:rsidRDefault="003573C6" w:rsidP="0083075A">
      <w:pPr>
        <w:pStyle w:val="ae"/>
        <w:spacing w:before="0" w:after="0"/>
        <w:jc w:val="both"/>
        <w:rPr>
          <w:color w:val="000000" w:themeColor="text1"/>
          <w:kern w:val="2"/>
          <w:sz w:val="16"/>
          <w:szCs w:val="16"/>
        </w:rPr>
      </w:pPr>
      <w:r w:rsidRPr="002F2FDF">
        <w:rPr>
          <w:color w:val="000000" w:themeColor="text1"/>
          <w:kern w:val="2"/>
          <w:sz w:val="16"/>
          <w:szCs w:val="16"/>
        </w:rPr>
        <w:t>8 (21) февраля 1917 к юго-западу от Великобритании потерпел катастрофу пароход «Менди», перевозивший более 820 рабочих 5-го батальона Южно-Африканского трудового корпуса, рекрутированных на трудовые работы во Франции. В густом тумане судно столкнулось с транспортным кораблем «Дарро», следовавшим из Великобритании в Аргентину. В результате «Менди» был фактически перерублен пополам и быстро затонул. Большинство африканских рабочих, до этого никогда не видевших моря, не умели плавать и утонули в водах Кельтского моря. Всего трагедия унесла жизни 646 человек, включая 30 членов экипажа корабля (17045).</w:t>
      </w:r>
    </w:p>
    <w:p w14:paraId="19211D30" w14:textId="77777777" w:rsidR="003573C6" w:rsidRPr="002F2FDF" w:rsidRDefault="003573C6"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696B7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февраля 1917 в Румынии из-за крушения поезда погибло около 500 человек (4962).</w:t>
      </w:r>
    </w:p>
    <w:p w14:paraId="354B9FF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43F53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722DA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246D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февраля 1917 мичман А.Н.Прокофьев-Северский совершил полет на М-15 с лыжами его конструкции, построенными на ПРТВ. Понравился, но требовались доделки (2807,62).</w:t>
      </w:r>
    </w:p>
    <w:p w14:paraId="238BEE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521F0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февраля 1917 одна летающая лодка М-15 претерпела требуемую модификацию и с изобретателем - А. Н. Прокофьевым-Северским - за штурвалом совершила проб</w:t>
      </w:r>
      <w:r w:rsidRPr="002F2FDF">
        <w:rPr>
          <w:rFonts w:ascii="Times New Roman" w:hAnsi="Times New Roman" w:cs="Times New Roman"/>
          <w:color w:val="000000" w:themeColor="text1"/>
          <w:kern w:val="2"/>
          <w:sz w:val="16"/>
          <w:szCs w:val="16"/>
        </w:rPr>
        <w:softHyphen/>
        <w:t>ный полет. Пилот доложил о том, что гидроаэроплан оказался прекрасно уравновешен, легко взлетал и легко садился и взял высоту 1000 м за 7 минут. Последовавшие испытания на скорость дали повод отбросить все сомнения в целесообразности нововведения, а вот информация, пришедшая в том же меся</w:t>
      </w:r>
      <w:r w:rsidRPr="002F2FDF">
        <w:rPr>
          <w:rFonts w:ascii="Times New Roman" w:hAnsi="Times New Roman" w:cs="Times New Roman"/>
          <w:color w:val="000000" w:themeColor="text1"/>
          <w:kern w:val="2"/>
          <w:sz w:val="16"/>
          <w:szCs w:val="16"/>
        </w:rPr>
        <w:softHyphen/>
        <w:t>це из Баку, содержала 13 критических пунктов, требовавших различных доработок. Полученный с Каспийского моря доклад воспроизводится ниже:</w:t>
      </w:r>
    </w:p>
    <w:p w14:paraId="4B7C1D2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&lt;“...&gt; 1) Моторная установка с крыльями, соединена с лодкой при помощи обыденных проволочных растяжек, но конструкция главных в этом креплении шпангоутов значительно слабее, чем на М-5 и М-9, причем тонкие боковины шпангоута поставлены не из прямослой</w:t>
      </w:r>
      <w:r w:rsidRPr="002F2FDF">
        <w:rPr>
          <w:rFonts w:ascii="Times New Roman" w:hAnsi="Times New Roman" w:cs="Times New Roman"/>
          <w:color w:val="000000" w:themeColor="text1"/>
          <w:kern w:val="2"/>
          <w:sz w:val="16"/>
          <w:szCs w:val="16"/>
        </w:rPr>
        <w:softHyphen/>
        <w:t>ной ясени, что, надо полагать, при закреплении мелкими шурупами к фанере не дает надежно</w:t>
      </w:r>
      <w:r w:rsidRPr="002F2FDF">
        <w:rPr>
          <w:rFonts w:ascii="Times New Roman" w:hAnsi="Times New Roman" w:cs="Times New Roman"/>
          <w:color w:val="000000" w:themeColor="text1"/>
          <w:kern w:val="2"/>
          <w:sz w:val="16"/>
          <w:szCs w:val="16"/>
        </w:rPr>
        <w:softHyphen/>
        <w:t>го крепления крыльев с лодкой.</w:t>
      </w:r>
    </w:p>
    <w:p w14:paraId="7376B54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Крепление верхних крыльев к моторной установке при помощи овальных стальных труб и сложной растяжки над мотором не дает достаточной жесткости. При разрыве одной оттяжки креста нарушаются все крепления крыльев, в случае же аппарат будет перевернут на обратную сторону мало надежды, что верхние крылья выдержат давление с обратной стороны в месте соединения с моторной установкой.</w:t>
      </w:r>
    </w:p>
    <w:p w14:paraId="2C14943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Руль поворота имеет один поворотным кабанчик, к которому проведен одинарный трос, необходимо при одинарном кабанчике делать двойную проводку.</w:t>
      </w:r>
    </w:p>
    <w:p w14:paraId="2C8804B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Трос руля глубины имеет двойную проводку снаружи, внутри же в местах большого трения одинарную именно там, где наблюдение за ним невозможно без разборки верхнего фанерного покрытия. Указанный одинарный трос (также у руля поворота) имеет трение о бензиновый бак и об установку, причем для уменьшения трения не сделано никаких приспо</w:t>
      </w:r>
      <w:r w:rsidRPr="002F2FDF">
        <w:rPr>
          <w:rFonts w:ascii="Times New Roman" w:hAnsi="Times New Roman" w:cs="Times New Roman"/>
          <w:color w:val="000000" w:themeColor="text1"/>
          <w:kern w:val="2"/>
          <w:sz w:val="16"/>
          <w:szCs w:val="16"/>
        </w:rPr>
        <w:softHyphen/>
        <w:t>соблений.</w:t>
      </w:r>
    </w:p>
    <w:p w14:paraId="7928989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Рычаг управления поставлен далеко от пилота и наоборот ножное управление стесне</w:t>
      </w:r>
      <w:r w:rsidRPr="002F2FDF">
        <w:rPr>
          <w:rFonts w:ascii="Times New Roman" w:hAnsi="Times New Roman" w:cs="Times New Roman"/>
          <w:color w:val="000000" w:themeColor="text1"/>
          <w:kern w:val="2"/>
          <w:sz w:val="16"/>
          <w:szCs w:val="16"/>
        </w:rPr>
        <w:softHyphen/>
        <w:t>но фанерной перегородкой.</w:t>
      </w:r>
    </w:p>
    <w:p w14:paraId="2572019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Нет приспособления для перекачивания бензина автоматически пилот должен качать левой рукой ручным насосом. Если делать перекачку бензина вручную, то необходимо второй ручной насос установить у механика (если после многих неудач была все-таки создана надеж</w:t>
      </w:r>
      <w:r w:rsidRPr="002F2FDF">
        <w:rPr>
          <w:rFonts w:ascii="Times New Roman" w:hAnsi="Times New Roman" w:cs="Times New Roman"/>
          <w:color w:val="000000" w:themeColor="text1"/>
          <w:kern w:val="2"/>
          <w:sz w:val="16"/>
          <w:szCs w:val="16"/>
        </w:rPr>
        <w:softHyphen/>
        <w:t>ная ветрянка, почему от нее отказались).</w:t>
      </w:r>
    </w:p>
    <w:p w14:paraId="21B2DA2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Нет физической возможности одному человеку запустить мотор пусковой рукояткой.</w:t>
      </w:r>
    </w:p>
    <w:p w14:paraId="65674EF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Желательно дежурные баки поместить в крыльях под парусиной, чтобы они не высту</w:t>
      </w:r>
      <w:r w:rsidRPr="002F2FDF">
        <w:rPr>
          <w:rFonts w:ascii="Times New Roman" w:hAnsi="Times New Roman" w:cs="Times New Roman"/>
          <w:color w:val="000000" w:themeColor="text1"/>
          <w:kern w:val="2"/>
          <w:sz w:val="16"/>
          <w:szCs w:val="16"/>
        </w:rPr>
        <w:softHyphen/>
        <w:t>пали, увеличивая лобовое сопротивление.</w:t>
      </w:r>
    </w:p>
    <w:p w14:paraId="474D93A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Желательно, чтобы бензиновая проводка шла внутри крыльев.</w:t>
      </w:r>
    </w:p>
    <w:p w14:paraId="062553E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Счетчик оборотов ставить на более коротком гибком шланге и в поле зрения пилота.</w:t>
      </w:r>
    </w:p>
    <w:p w14:paraId="61111C5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Нет манометра, показывающего давление в бензиновом баке.</w:t>
      </w:r>
    </w:p>
    <w:p w14:paraId="6878F16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Необходимо контакт для включения мотора па рабочее магнето поместить вблизи пускового приспособления.</w:t>
      </w:r>
    </w:p>
    <w:p w14:paraId="02D1ADF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Пусковую рукоятку лучше вывести вперед, как на М-9, и устроить, чтобы искра от пускового магнето давалась бы в свечу с опозданием”.</w:t>
      </w:r>
    </w:p>
    <w:p w14:paraId="410AF9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Может быть, что до отправки на Каспий прототип едва не погиб на Крестовском аэродроме 3 декабря 1916 г. В тот день на борту находившегося на земле М-15 вспыхнул пожар, повлекший утрату рабочего магнето, пускового магнето и барографа (2807).</w:t>
      </w:r>
    </w:p>
    <w:p w14:paraId="5D07F7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AF84CF" w14:textId="77777777" w:rsidR="00E874D7" w:rsidRPr="002F2FDF" w:rsidRDefault="00E874D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0986A45D" w14:textId="77777777" w:rsidR="00E874D7" w:rsidRPr="002F2FDF" w:rsidRDefault="00E874D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5C28E1" w14:textId="77777777" w:rsidR="00E874D7" w:rsidRPr="002F2FDF" w:rsidRDefault="00E874D7" w:rsidP="0083075A">
      <w:pPr>
        <w:pStyle w:val="p1"/>
        <w:spacing w:before="0" w:beforeAutospacing="0" w:after="0" w:afterAutospacing="0"/>
        <w:jc w:val="both"/>
        <w:rPr>
          <w:color w:val="000000" w:themeColor="text1"/>
          <w:sz w:val="16"/>
          <w:szCs w:val="16"/>
        </w:rPr>
      </w:pPr>
      <w:r w:rsidRPr="002F2FDF">
        <w:rPr>
          <w:color w:val="000000" w:themeColor="text1"/>
          <w:sz w:val="16"/>
          <w:szCs w:val="16"/>
        </w:rPr>
        <w:t>9 (22) февраля 1917 г. Начальник штаба Верховного главнокомандующего В.И. Гурко объяснял М.В. Родзянко (в июне 1916 г. то же самое докладывал царю Алексеев): «Могучая артиллерия и технические средства, хотя бы такие же, как у наших противников, весьма понизили бы наши потери, но о подобном уравнении, по крайней мере в ближайшее время, не приходится и думать». На вооружение тяжелых батарей были использованы орудия старых образцов крепостного и берегового типа, ас 1916 г. добавились «новейшие орудия, поступавшие главным образом по заказам из-за границы» (как и снаряды к ним). Хотя и существует представление, что «производство тяжелых орудий… едва ли не на 100% обеспечивалось российской промышленностью», Гурко в тех условиях свою надежду облегчить положение в отношении тяжелой артиллерии не связывал с опорой на русскую промышленность, рассчитывая использовать в предстоявших весной — летом. 1917 г. операциях 6-, 8-, 10-, 11-, 12-дм орудия «от наших союзников».</w:t>
      </w:r>
    </w:p>
    <w:p w14:paraId="2398EFD8" w14:textId="02B16AAB" w:rsidR="00E874D7" w:rsidRPr="002F2FDF" w:rsidRDefault="00E874D7"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 1916 г. Пермский завод дал орудий калибров средних и выше средних — в приведенных к условным 3-дм единицах по трудоемкости — 1113 таких условных единиц (по сравнению с этим он выпустил в 1914 г. 15% — 153 единицы, а в 1915 г. 74% — 823 единицы); пушечный отдел Путиловского — до 250 в месяц</w:t>
      </w:r>
      <w:r w:rsidRPr="002F2FDF">
        <w:rPr>
          <w:color w:val="000000" w:themeColor="text1"/>
          <w:sz w:val="16"/>
          <w:szCs w:val="16"/>
          <w:vertAlign w:val="superscript"/>
        </w:rPr>
        <w:t>{369}</w:t>
      </w:r>
      <w:r w:rsidRPr="002F2FDF">
        <w:rPr>
          <w:color w:val="000000" w:themeColor="text1"/>
          <w:sz w:val="16"/>
          <w:szCs w:val="16"/>
        </w:rPr>
        <w:t>. Но в своих калибрах эти показатели не выглядели столь эффектно. Тяжелая артиллерия особого назначения (ТАОН) к моменту летнего наступления 1917 г. располагала 632 орудиями и минометами, но лишь малая их часть поступила с русских заводов: 258 пушек и 56 минометов предоставили союзники в 1917 г., а до того — они же еще почти столько же</w:t>
      </w:r>
      <w:r w:rsidRPr="002F2FDF">
        <w:rPr>
          <w:color w:val="000000" w:themeColor="text1"/>
          <w:sz w:val="16"/>
          <w:szCs w:val="16"/>
          <w:vertAlign w:val="superscript"/>
        </w:rPr>
        <w:t>{370}</w:t>
      </w:r>
      <w:r w:rsidRPr="002F2FDF">
        <w:rPr>
          <w:color w:val="000000" w:themeColor="text1"/>
          <w:sz w:val="16"/>
          <w:szCs w:val="16"/>
        </w:rPr>
        <w:t>. Всего за 1915, 1916 и 1917 гг. тяжелых и осадных орудий разных калибров русская артиллерия получила 1448 стволов, в том числе 602 было изготовлено в России и 846 у союзников; если же взять только полученные до 1917 г. 685 орудий, то 283 и 402, соответственно. Формируемым для операций 1917 г. мортирным батальонам поступили 4,5-дм гаубицы из Англии. «Основной тип принятой у нас гаубицы — 48-линейный, но, — по свидетельству Маниковского, — ввиду обнаружившегося недостатка их и невозможности изготовления (как и 6-дм гаубиц. —</w:t>
      </w:r>
      <w:r w:rsidR="00E52569">
        <w:rPr>
          <w:color w:val="000000" w:themeColor="text1"/>
          <w:sz w:val="16"/>
          <w:szCs w:val="16"/>
        </w:rPr>
        <w:t xml:space="preserve"> </w:t>
      </w:r>
      <w:r w:rsidRPr="002F2FDF">
        <w:rPr>
          <w:rStyle w:val="af0"/>
          <w:rFonts w:eastAsiaTheme="majorEastAsia"/>
          <w:color w:val="000000" w:themeColor="text1"/>
          <w:sz w:val="16"/>
          <w:szCs w:val="16"/>
        </w:rPr>
        <w:t>В.</w:t>
      </w:r>
      <w:r w:rsidR="00E52569">
        <w:rPr>
          <w:rStyle w:val="af0"/>
          <w:rFonts w:eastAsiaTheme="majorEastAsia"/>
          <w:color w:val="000000" w:themeColor="text1"/>
          <w:sz w:val="16"/>
          <w:szCs w:val="16"/>
        </w:rPr>
        <w:t xml:space="preserve"> </w:t>
      </w:r>
      <w:r w:rsidRPr="002F2FDF">
        <w:rPr>
          <w:color w:val="000000" w:themeColor="text1"/>
          <w:sz w:val="16"/>
          <w:szCs w:val="16"/>
        </w:rPr>
        <w:t>Я.) в достаточном количестве пришлось пойти на подкрепление нас 45-лин. английской гаубицей» (18409).</w:t>
      </w:r>
    </w:p>
    <w:p w14:paraId="3D35FC79" w14:textId="77777777" w:rsidR="00E874D7" w:rsidRPr="002F2FDF" w:rsidRDefault="00E874D7" w:rsidP="0083075A">
      <w:pPr>
        <w:pStyle w:val="p1"/>
        <w:spacing w:before="0" w:beforeAutospacing="0" w:after="0" w:afterAutospacing="0"/>
        <w:jc w:val="both"/>
        <w:rPr>
          <w:color w:val="000000" w:themeColor="text1"/>
          <w:sz w:val="16"/>
          <w:szCs w:val="16"/>
        </w:rPr>
      </w:pPr>
    </w:p>
    <w:p w14:paraId="5B2380FA" w14:textId="77777777" w:rsidR="00E874D7" w:rsidRPr="002F2FDF" w:rsidRDefault="00E874D7" w:rsidP="0083075A">
      <w:pPr>
        <w:pStyle w:val="p1"/>
        <w:spacing w:before="0" w:beforeAutospacing="0" w:after="0" w:afterAutospacing="0"/>
        <w:jc w:val="both"/>
        <w:rPr>
          <w:color w:val="000000" w:themeColor="text1"/>
          <w:sz w:val="16"/>
          <w:szCs w:val="16"/>
        </w:rPr>
      </w:pPr>
      <w:r w:rsidRPr="002F2FDF">
        <w:rPr>
          <w:color w:val="000000" w:themeColor="text1"/>
          <w:sz w:val="16"/>
          <w:szCs w:val="16"/>
        </w:rPr>
        <w:t>9 (22) февраля 1917 г. Начальник штаба Верховного главнокомандующего В.И. Гурко объяснял М.В. Родзянко (в июне 1916 г. то же самое докладывал царю Алексеев): «Могучая артиллерия и технические средства, хотя бы такие же, как у наших противников, весьма понизили бы наши потери, но о подобном уравнении, по крайней мере в ближайшее время, не приходится и думать»</w:t>
      </w:r>
      <w:r w:rsidRPr="002F2FDF">
        <w:rPr>
          <w:color w:val="000000" w:themeColor="text1"/>
          <w:sz w:val="16"/>
          <w:szCs w:val="16"/>
          <w:vertAlign w:val="superscript"/>
        </w:rPr>
        <w:t>{365}</w:t>
      </w:r>
      <w:r w:rsidRPr="002F2FDF">
        <w:rPr>
          <w:color w:val="000000" w:themeColor="text1"/>
          <w:sz w:val="16"/>
          <w:szCs w:val="16"/>
        </w:rPr>
        <w:t>. На вооружение тяжелых батарей были использованы орудия старых образцов крепостного и берегового типа, а с 1916 г. добавились «новейшие орудия, поступавшие главным образом по заказам из-за границы» (как и снаряды к ним)</w:t>
      </w:r>
      <w:r w:rsidRPr="002F2FDF">
        <w:rPr>
          <w:color w:val="000000" w:themeColor="text1"/>
          <w:sz w:val="16"/>
          <w:szCs w:val="16"/>
          <w:vertAlign w:val="superscript"/>
        </w:rPr>
        <w:t>{366}</w:t>
      </w:r>
      <w:r w:rsidRPr="002F2FDF">
        <w:rPr>
          <w:color w:val="000000" w:themeColor="text1"/>
          <w:sz w:val="16"/>
          <w:szCs w:val="16"/>
        </w:rPr>
        <w:t>. Хотя и существует представление, что «производство тяжелых орудий… едва ли не на 100% обеспечивалось российской промышленностью»</w:t>
      </w:r>
      <w:r w:rsidRPr="002F2FDF">
        <w:rPr>
          <w:color w:val="000000" w:themeColor="text1"/>
          <w:sz w:val="16"/>
          <w:szCs w:val="16"/>
          <w:vertAlign w:val="superscript"/>
        </w:rPr>
        <w:t>{367}</w:t>
      </w:r>
      <w:r w:rsidRPr="002F2FDF">
        <w:rPr>
          <w:color w:val="000000" w:themeColor="text1"/>
          <w:sz w:val="16"/>
          <w:szCs w:val="16"/>
        </w:rPr>
        <w:t>, Гурко в тех условиях свою надежду облегчить положение в отношении тяжелой артиллерии не связывал с опорой на русскую промышленность, рассчитывая использовать в предстоявших весной — летом. 1917 г. операциях 6-, 8-, 10-, 11-, 12-дм орудия «от наших союзников»</w:t>
      </w:r>
      <w:r w:rsidRPr="002F2FDF">
        <w:rPr>
          <w:color w:val="000000" w:themeColor="text1"/>
          <w:sz w:val="16"/>
          <w:szCs w:val="16"/>
          <w:vertAlign w:val="superscript"/>
        </w:rPr>
        <w:t>{368}</w:t>
      </w:r>
      <w:r w:rsidRPr="002F2FDF">
        <w:rPr>
          <w:color w:val="000000" w:themeColor="text1"/>
          <w:sz w:val="16"/>
          <w:szCs w:val="16"/>
        </w:rPr>
        <w:t>.</w:t>
      </w:r>
    </w:p>
    <w:p w14:paraId="7C17DA8C" w14:textId="379E2F76" w:rsidR="00E874D7" w:rsidRPr="002F2FDF" w:rsidRDefault="00E874D7"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 1916 г. Пермский завод дал орудий калибров средних и выше средних — в приведенных к условным 3-дм единицах по трудоемкости — 1113 таких условных единиц (по сравнению с этим он выпустил в 1914 г. 15% — 153 единицы, а в 1915 г. 74% — 823 единицы); пушечный отдел Путиловского — до 250 в месяц</w:t>
      </w:r>
      <w:r w:rsidRPr="002F2FDF">
        <w:rPr>
          <w:color w:val="000000" w:themeColor="text1"/>
          <w:sz w:val="16"/>
          <w:szCs w:val="16"/>
          <w:vertAlign w:val="superscript"/>
        </w:rPr>
        <w:t>{369}</w:t>
      </w:r>
      <w:r w:rsidRPr="002F2FDF">
        <w:rPr>
          <w:color w:val="000000" w:themeColor="text1"/>
          <w:sz w:val="16"/>
          <w:szCs w:val="16"/>
        </w:rPr>
        <w:t xml:space="preserve">. Но в своих калибрах эти показатели не выглядели столь эффектно. Тяжелая артиллерия особого назначения (ТАОН) к моменту летнего наступления 1917 г. располагала 632 орудиями и минометами, но лишь малая их часть поступила с русских заводов: 258 пушек и 56 минометов предоставили союзники в 1917 г., а до того — они же еще </w:t>
      </w:r>
      <w:r w:rsidRPr="002F2FDF">
        <w:rPr>
          <w:color w:val="000000" w:themeColor="text1"/>
          <w:sz w:val="16"/>
          <w:szCs w:val="16"/>
        </w:rPr>
        <w:lastRenderedPageBreak/>
        <w:t>почти столько же</w:t>
      </w:r>
      <w:r w:rsidRPr="002F2FDF">
        <w:rPr>
          <w:color w:val="000000" w:themeColor="text1"/>
          <w:sz w:val="16"/>
          <w:szCs w:val="16"/>
          <w:vertAlign w:val="superscript"/>
        </w:rPr>
        <w:t>{370}</w:t>
      </w:r>
      <w:r w:rsidRPr="002F2FDF">
        <w:rPr>
          <w:color w:val="000000" w:themeColor="text1"/>
          <w:sz w:val="16"/>
          <w:szCs w:val="16"/>
        </w:rPr>
        <w:t>. Всего за 1915, 1916 и 1917 гг. тяжелых и осадных орудий разных калибров русская артиллерия получила 1448 стволов, в том числе 602 было изготовлено в России и 846 у союзников; если же взять только полученные до 1917 г. 685 орудий, то 283 и 402, соответственно. Формируемым для операций 1917 г. мортирным батальонам поступили 4,5-дм гаубицы из Англии. «Основной тип принятой у нас гаубицы — 48-линейный, но, — по свидетельству Маниковского, — ввиду обнаружившегося недостатка их и невозможности изготовления (как и 6-дм гаубиц. —</w:t>
      </w:r>
      <w:r w:rsidR="00E52569">
        <w:rPr>
          <w:color w:val="000000" w:themeColor="text1"/>
          <w:sz w:val="16"/>
          <w:szCs w:val="16"/>
        </w:rPr>
        <w:t xml:space="preserve"> </w:t>
      </w:r>
      <w:r w:rsidRPr="002F2FDF">
        <w:rPr>
          <w:rStyle w:val="af0"/>
          <w:i w:val="0"/>
          <w:color w:val="000000" w:themeColor="text1"/>
          <w:sz w:val="16"/>
          <w:szCs w:val="16"/>
        </w:rPr>
        <w:t>В.</w:t>
      </w:r>
      <w:r w:rsidR="00E52569">
        <w:rPr>
          <w:rStyle w:val="af0"/>
          <w:i w:val="0"/>
          <w:color w:val="000000" w:themeColor="text1"/>
          <w:sz w:val="16"/>
          <w:szCs w:val="16"/>
        </w:rPr>
        <w:t xml:space="preserve"> </w:t>
      </w:r>
      <w:r w:rsidRPr="002F2FDF">
        <w:rPr>
          <w:color w:val="000000" w:themeColor="text1"/>
          <w:sz w:val="16"/>
          <w:szCs w:val="16"/>
        </w:rPr>
        <w:t>Я.) в достаточном количестве пришлось пойти на подкрепление нас 45-лин. английской гаубицей»</w:t>
      </w:r>
      <w:r w:rsidRPr="002F2FDF">
        <w:rPr>
          <w:color w:val="000000" w:themeColor="text1"/>
          <w:sz w:val="16"/>
          <w:szCs w:val="16"/>
          <w:vertAlign w:val="superscript"/>
        </w:rPr>
        <w:t>{371}</w:t>
      </w:r>
      <w:r w:rsidRPr="002F2FDF">
        <w:rPr>
          <w:color w:val="000000" w:themeColor="text1"/>
          <w:sz w:val="16"/>
          <w:szCs w:val="16"/>
        </w:rPr>
        <w:t>.</w:t>
      </w:r>
    </w:p>
    <w:p w14:paraId="3A2823FF" w14:textId="77777777" w:rsidR="00E874D7" w:rsidRPr="002F2FDF" w:rsidRDefault="00E874D7" w:rsidP="0083075A">
      <w:pPr>
        <w:pStyle w:val="p1"/>
        <w:spacing w:before="0" w:beforeAutospacing="0" w:after="0" w:afterAutospacing="0"/>
        <w:jc w:val="both"/>
        <w:rPr>
          <w:color w:val="000000" w:themeColor="text1"/>
          <w:sz w:val="16"/>
          <w:szCs w:val="16"/>
        </w:rPr>
      </w:pPr>
      <w:r w:rsidRPr="002F2FDF">
        <w:rPr>
          <w:color w:val="000000" w:themeColor="text1"/>
          <w:sz w:val="16"/>
          <w:szCs w:val="16"/>
        </w:rPr>
        <w:t>Существует также представление, что для удовлетворения нужд фронта и в винтовках, и в гаубицах, и в 42-лин. тяжелых пушках в России имелись «все условия»</w:t>
      </w:r>
      <w:r w:rsidRPr="002F2FDF">
        <w:rPr>
          <w:color w:val="000000" w:themeColor="text1"/>
          <w:sz w:val="16"/>
          <w:szCs w:val="16"/>
          <w:vertAlign w:val="superscript"/>
        </w:rPr>
        <w:t>{372}</w:t>
      </w:r>
      <w:r w:rsidRPr="002F2FDF">
        <w:rPr>
          <w:color w:val="000000" w:themeColor="text1"/>
          <w:sz w:val="16"/>
          <w:szCs w:val="16"/>
        </w:rPr>
        <w:t>. Однако в ноябре 1915 г., подсчитав потребности фронта до середины 1917 г., Маниковский докладывал Военному министерству</w:t>
      </w:r>
      <w:r w:rsidRPr="002F2FDF">
        <w:rPr>
          <w:color w:val="000000" w:themeColor="text1"/>
          <w:sz w:val="16"/>
          <w:szCs w:val="16"/>
          <w:vertAlign w:val="superscript"/>
        </w:rPr>
        <w:t>{373}</w:t>
      </w:r>
      <w:r w:rsidRPr="002F2FDF">
        <w:rPr>
          <w:color w:val="000000" w:themeColor="text1"/>
          <w:sz w:val="16"/>
          <w:szCs w:val="16"/>
        </w:rPr>
        <w:t>, что 1400 48-лин. (122-мм) гаубиц (из требовавшихся 2396) придется заказать за границей. Он предупреждал, что «если заказ [этих 1400] гаубиц за границей не состоится, получить их в России не удастся, так как ни один из существующих заводов принять заказ не может».</w:t>
      </w:r>
    </w:p>
    <w:p w14:paraId="30F9C049" w14:textId="77777777" w:rsidR="00E874D7" w:rsidRPr="002F2FDF" w:rsidRDefault="00E874D7"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Все 42-лин. (107-мм) тяжелые пушки, состоявшие на вооружении к середине 1915 г., были французского изготовления (122 шт. по контракту 1910 года). При потребности в 808 таких орудий[82] в России ожидали от Путиловского завода 315 пушек, заказанных в феврале и июле 1914 г. (с обязательством начать поставку с апреля 1916 г.; фактически этот завод дал с июня по декабрь 1916 г. 50 и в 1917 г. еще 20 шт.). В июне 1915 г. ГАУ запросило и Петроградский орудийный завод, но выяснилось, что он не мог бы одновременно с 42-лин. пушками исполнять наряд на 3-дм пушки, признаваемый в условиях маневренной войны более срочным. Тогда ГАУ адресовалось к Обуховскому заводу, и, хотя там не рассчитывали начать выпуск 42-лин. пушек раньше осени 1916 г. (по 12 в месяц), заказ на 400 пушек все же пришлось дать ему (25 июня 1916 г.). А требовалось 808 шт. «Так как все производство 42-лин. пушек на русских заводах следует считать данными заказами совершенно использованным, — докладывал Маниковский 10 ноября 1915 г., — то рассчитывать получить 42-лин. пушки можно только с иностранных заводов» (французских или японских)[83]. На протяжении 1916 г. число 42-лин. пушек (скорострельных, образца 1910 г.) на фронтах не превышало 116, а в 1917 г. достигло 172 шт. Обуховский завод по февраль 1917 г. выпустил 51 пушку</w:t>
      </w:r>
      <w:r w:rsidRPr="002F2FDF">
        <w:rPr>
          <w:color w:val="000000" w:themeColor="text1"/>
          <w:sz w:val="16"/>
          <w:szCs w:val="16"/>
          <w:vertAlign w:val="superscript"/>
        </w:rPr>
        <w:t>{374}</w:t>
      </w:r>
      <w:r w:rsidRPr="002F2FDF">
        <w:rPr>
          <w:color w:val="000000" w:themeColor="text1"/>
          <w:sz w:val="16"/>
          <w:szCs w:val="16"/>
        </w:rPr>
        <w:t>. Тяжелая артиллерия имела на вооружении также 42-лин. пушки образца 1877 г. и другие устаревшие системы: 152-мм в 120, 190 и 200 пудов образца 1877 и 1904 гг., 229-мм береговые образца 1867 г., 155-мм французские образца 1877 г., 127-мм английские и др.</w:t>
      </w:r>
      <w:r w:rsidRPr="002F2FDF">
        <w:rPr>
          <w:color w:val="000000" w:themeColor="text1"/>
          <w:sz w:val="16"/>
          <w:szCs w:val="16"/>
          <w:vertAlign w:val="superscript"/>
        </w:rPr>
        <w:t>{375},</w:t>
      </w:r>
      <w:r w:rsidRPr="002F2FDF">
        <w:rPr>
          <w:color w:val="000000" w:themeColor="text1"/>
          <w:sz w:val="16"/>
          <w:szCs w:val="16"/>
        </w:rPr>
        <w:t>[84] (18366(.</w:t>
      </w:r>
    </w:p>
    <w:p w14:paraId="78527168" w14:textId="77777777" w:rsidR="00E874D7" w:rsidRPr="002F2FDF" w:rsidRDefault="00E874D7" w:rsidP="0083075A">
      <w:pPr>
        <w:pStyle w:val="p1"/>
        <w:spacing w:before="0" w:beforeAutospacing="0" w:after="0" w:afterAutospacing="0"/>
        <w:jc w:val="both"/>
        <w:rPr>
          <w:color w:val="000000" w:themeColor="text1"/>
          <w:sz w:val="16"/>
          <w:szCs w:val="16"/>
        </w:rPr>
      </w:pPr>
    </w:p>
    <w:p w14:paraId="0DD5882A" w14:textId="77777777" w:rsidR="00E874D7" w:rsidRPr="002F2FDF" w:rsidRDefault="00E874D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9 (22) февраля 1917 г. Начальник штаба верховного главнокомандующего В.И. Гурко объяснял М.В. Родзянко (в июне 1916 г. то же самое докладывал царю М.В. Алексеев): «Могучая артиллерия и технические средства, хотя бы такие же, как у наших противников, весьма понизили бы наши потери, но о подобном уравнении, по крайней мере в ближайшее время, не приходится и думать» [цит. по: Гаврилов, Кутузов 1968: 155; Головин 1939, Т. 1: 123]. Надежду облегчить положение Гурко не связывал с опорой на русскую промышленность, рассчитывая в предстоявших весной — летом 1917 г. операциях использовать 6-, 8-, 10-, 11-, 12-дм орудия «от наших союзников» [Gourko 1918: 220]. Тяжелая артиллерия особого назначения к моменту летнего наступления 1917 г. располагала 632 орудиями и минометами, но лишь малая их часть поступила с русских заводов: 258 пушек и 56 минометов предоставили союзники в 1917 г., а до того — они же еще почти столько же [Павлов 2008: 152; Белаш 2012: 236– 238]. Всего, если полагаться на сведения Маниковского, за 1915, 1916 и 1917 гг. тяжелых и осадных орудий разных калибров русская артиллерия получила 1448 стволов, в том числе 602 было изготовлено в России и 846 у союзников (если же взять только полученные до 1917 г. 685 орудий, то 283 и 402, соответственно). Формируемые для операций 1917 г. мортирные батальоны должны были получить 4,5-дм гаубицы из Англии: «Основной тип принятой у нас гаубицы — 48-линейный, но, — по свидетельству начальника ГАУ генерала А.А. Маниковского, — ввиду обнаружившегося недостатка их и невозможности изготовления в достаточном количестве пришлось пойти на подкрепление нас 45-лин. английской гаубицей» [Маниковский 1922, ч. 2: 51, 73] (18408).</w:t>
      </w:r>
    </w:p>
    <w:p w14:paraId="53D55D97" w14:textId="77777777" w:rsidR="00E874D7" w:rsidRPr="002F2FDF" w:rsidRDefault="00E874D7" w:rsidP="0083075A">
      <w:pPr>
        <w:spacing w:after="0" w:line="240" w:lineRule="auto"/>
        <w:jc w:val="both"/>
        <w:rPr>
          <w:rFonts w:ascii="Times New Roman" w:hAnsi="Times New Roman" w:cs="Times New Roman"/>
          <w:color w:val="000000" w:themeColor="text1"/>
          <w:sz w:val="16"/>
          <w:szCs w:val="16"/>
        </w:rPr>
      </w:pPr>
    </w:p>
    <w:p w14:paraId="4A2D33CE" w14:textId="6912A4BB" w:rsidR="00922CA7" w:rsidRPr="00FB4F67" w:rsidRDefault="00922CA7" w:rsidP="0083075A">
      <w:pPr>
        <w:spacing w:after="0" w:line="240" w:lineRule="auto"/>
        <w:jc w:val="both"/>
        <w:rPr>
          <w:rFonts w:ascii="Times New Roman" w:hAnsi="Times New Roman" w:cs="Times New Roman"/>
          <w:color w:val="0070C0"/>
          <w:sz w:val="16"/>
          <w:szCs w:val="16"/>
        </w:rPr>
      </w:pPr>
      <w:bookmarkStart w:id="31" w:name="bookmark693"/>
      <w:bookmarkStart w:id="32" w:name="bookmark694"/>
      <w:bookmarkStart w:id="33" w:name="bookmark695"/>
      <w:r w:rsidRPr="00FB4F67">
        <w:rPr>
          <w:rFonts w:ascii="Times New Roman" w:hAnsi="Times New Roman" w:cs="Times New Roman"/>
          <w:color w:val="0070C0"/>
          <w:sz w:val="16"/>
          <w:szCs w:val="16"/>
        </w:rPr>
        <w:t xml:space="preserve">9 </w:t>
      </w:r>
      <w:r>
        <w:rPr>
          <w:rFonts w:ascii="Times New Roman" w:hAnsi="Times New Roman" w:cs="Times New Roman"/>
          <w:color w:val="0070C0"/>
          <w:sz w:val="16"/>
          <w:szCs w:val="16"/>
        </w:rPr>
        <w:t xml:space="preserve">(22) </w:t>
      </w:r>
      <w:r w:rsidRPr="00FB4F67">
        <w:rPr>
          <w:rFonts w:ascii="Times New Roman" w:hAnsi="Times New Roman" w:cs="Times New Roman"/>
          <w:color w:val="0070C0"/>
          <w:sz w:val="16"/>
          <w:szCs w:val="16"/>
        </w:rPr>
        <w:t>февраля 1917 г. Начальник штаба Вер</w:t>
      </w:r>
      <w:r w:rsidRPr="00FB4F67">
        <w:rPr>
          <w:rFonts w:ascii="Times New Roman" w:hAnsi="Times New Roman" w:cs="Times New Roman"/>
          <w:color w:val="0070C0"/>
          <w:sz w:val="16"/>
          <w:szCs w:val="16"/>
        </w:rPr>
        <w:softHyphen/>
        <w:t>ховного главнокомандующего В.И. Гурко объяснял М.В. Родзянко (в июне 1916 г. то же самое докла</w:t>
      </w:r>
      <w:r w:rsidRPr="00FB4F67">
        <w:rPr>
          <w:rFonts w:ascii="Times New Roman" w:hAnsi="Times New Roman" w:cs="Times New Roman"/>
          <w:color w:val="0070C0"/>
          <w:sz w:val="16"/>
          <w:szCs w:val="16"/>
        </w:rPr>
        <w:softHyphen/>
        <w:t>дывал царю Алексеев): «Могучая артиллерия и технические средства, хотя бы такие же, как у наших противников, весь</w:t>
      </w:r>
      <w:r w:rsidRPr="00FB4F67">
        <w:rPr>
          <w:rFonts w:ascii="Times New Roman" w:hAnsi="Times New Roman" w:cs="Times New Roman"/>
          <w:color w:val="0070C0"/>
          <w:sz w:val="16"/>
          <w:szCs w:val="16"/>
        </w:rPr>
        <w:softHyphen/>
        <w:t>ма понизили бы наши потери, но о подобном уравнении, по крайней мере в ближайшее время, не приходится и думать» (Цит. по: Гаврилов Л. М., Кутузов В.В. Истощение людских резервов русской армии в 1917 году // Первая мировая война. 1914—1918. М., 1968. С. 155; Головин Н.Н. Указ. соч. Париж, 1939. Т. 1. С. 123). На вооружение тяжелых батарей были использованы орудия старых образцов крепостного и берегового типа, ас 1916 г. добавились «новейшие орудия, поступавшие главным об</w:t>
      </w:r>
      <w:r w:rsidRPr="00FB4F67">
        <w:rPr>
          <w:rFonts w:ascii="Times New Roman" w:hAnsi="Times New Roman" w:cs="Times New Roman"/>
          <w:color w:val="0070C0"/>
          <w:sz w:val="16"/>
          <w:szCs w:val="16"/>
        </w:rPr>
        <w:softHyphen/>
        <w:t>разом по заказам из-за границы» (как и снаряды к ним)1. Хотя и существует представление, что «производство тяже</w:t>
      </w:r>
      <w:r w:rsidRPr="00FB4F67">
        <w:rPr>
          <w:rFonts w:ascii="Times New Roman" w:hAnsi="Times New Roman" w:cs="Times New Roman"/>
          <w:color w:val="0070C0"/>
          <w:sz w:val="16"/>
          <w:szCs w:val="16"/>
        </w:rPr>
        <w:softHyphen/>
        <w:t>лых орудий... едва ли не на 100% обеспечивалось российской промышленностью» (Барсуков Е.З. Русская артиллерия в мировую войну. Т. 2. С. 444, 448; Соколов Ю.В. Красная звезда или крест? М., 1994. С. 73), Гурко в тех условиях свою надежду об</w:t>
      </w:r>
      <w:r w:rsidRPr="00FB4F67">
        <w:rPr>
          <w:rFonts w:ascii="Times New Roman" w:hAnsi="Times New Roman" w:cs="Times New Roman"/>
          <w:color w:val="0070C0"/>
          <w:sz w:val="16"/>
          <w:szCs w:val="16"/>
        </w:rPr>
        <w:softHyphen/>
        <w:t>легчить положение в отношении тяжелой артиллерии не свя</w:t>
      </w:r>
      <w:r w:rsidRPr="00FB4F67">
        <w:rPr>
          <w:rFonts w:ascii="Times New Roman" w:hAnsi="Times New Roman" w:cs="Times New Roman"/>
          <w:color w:val="0070C0"/>
          <w:sz w:val="16"/>
          <w:szCs w:val="16"/>
        </w:rPr>
        <w:softHyphen/>
        <w:t>зывал с опорой на русскую промышленность, рассчитывая использовать в предстоявших весной—летом 1917 г. опера</w:t>
      </w:r>
      <w:r w:rsidRPr="00FB4F67">
        <w:rPr>
          <w:rFonts w:ascii="Times New Roman" w:hAnsi="Times New Roman" w:cs="Times New Roman"/>
          <w:color w:val="0070C0"/>
          <w:sz w:val="16"/>
          <w:szCs w:val="16"/>
        </w:rPr>
        <w:softHyphen/>
        <w:t>циях 6-, 8-, 10-, 11-, 12-дм орудия «от наших союзников» (Gourko В. Memories and Impressions of War and Revolution in Russia, 1914-1917. London, 1918. P. 220) (23452).</w:t>
      </w:r>
    </w:p>
    <w:p w14:paraId="43293DE0" w14:textId="77777777" w:rsidR="00922CA7" w:rsidRPr="00FB4F67" w:rsidRDefault="00922CA7" w:rsidP="0083075A">
      <w:pPr>
        <w:spacing w:after="0" w:line="240" w:lineRule="auto"/>
        <w:jc w:val="both"/>
        <w:rPr>
          <w:rFonts w:ascii="Times New Roman" w:hAnsi="Times New Roman" w:cs="Times New Roman"/>
          <w:color w:val="0070C0"/>
          <w:sz w:val="16"/>
          <w:szCs w:val="16"/>
        </w:rPr>
      </w:pPr>
    </w:p>
    <w:bookmarkEnd w:id="31"/>
    <w:bookmarkEnd w:id="32"/>
    <w:bookmarkEnd w:id="33"/>
    <w:p w14:paraId="3B745BB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9F08B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30E4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февраля 1917 л 35 као под. пор. К.Ф.Святогор и летнаб В.Глинский на Фармане 27 дважды пролетели в тыл противника и сфотографировали весь заданный участок. встретились с Альбатросом, вступили в бой и с 50-40 м сбили его (438,346).</w:t>
      </w:r>
    </w:p>
    <w:p w14:paraId="1ABC2F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6FFE3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февраля 1917 военный летчик 35 КАО подпоручик Кузьма Фи</w:t>
      </w:r>
      <w:r w:rsidRPr="002F2FDF">
        <w:rPr>
          <w:rFonts w:ascii="Times New Roman" w:hAnsi="Times New Roman" w:cs="Times New Roman"/>
          <w:color w:val="000000" w:themeColor="text1"/>
          <w:kern w:val="2"/>
          <w:sz w:val="16"/>
          <w:szCs w:val="16"/>
        </w:rPr>
        <w:softHyphen/>
        <w:t>липпович Святогор и летнаб Владислав Глинский нэ самолете "Фарман-27" дважды пролетели в тыл противника и сфотографи</w:t>
      </w:r>
      <w:r w:rsidRPr="002F2FDF">
        <w:rPr>
          <w:rFonts w:ascii="Times New Roman" w:hAnsi="Times New Roman" w:cs="Times New Roman"/>
          <w:color w:val="000000" w:themeColor="text1"/>
          <w:kern w:val="2"/>
          <w:sz w:val="16"/>
          <w:szCs w:val="16"/>
        </w:rPr>
        <w:softHyphen/>
        <w:t>ровали весь заданный участок. Встретившись с неприятельским "Альбатросом", они вступили в бой и с дистанции 50-40 м сбили его. Летчики были награждены орденами Георгия 4-й сте</w:t>
      </w:r>
      <w:r w:rsidRPr="002F2FDF">
        <w:rPr>
          <w:rFonts w:ascii="Times New Roman" w:hAnsi="Times New Roman" w:cs="Times New Roman"/>
          <w:color w:val="000000" w:themeColor="text1"/>
          <w:kern w:val="2"/>
          <w:sz w:val="16"/>
          <w:szCs w:val="16"/>
        </w:rPr>
        <w:softHyphen/>
        <w:t>пени...("Русский инвалид", 1917 г.,13 августа).</w:t>
      </w:r>
    </w:p>
    <w:p w14:paraId="2378118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9F7A78" w14:textId="77777777" w:rsidR="00AE71CB" w:rsidRPr="00815ED5" w:rsidRDefault="00AE71CB"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9 </w:t>
      </w:r>
      <w:r>
        <w:rPr>
          <w:rFonts w:ascii="Times New Roman" w:hAnsi="Times New Roman" w:cs="Times New Roman"/>
          <w:color w:val="0070C0"/>
          <w:sz w:val="16"/>
          <w:szCs w:val="16"/>
        </w:rPr>
        <w:t xml:space="preserve">(22) </w:t>
      </w:r>
      <w:r w:rsidRPr="00815ED5">
        <w:rPr>
          <w:rFonts w:ascii="Times New Roman" w:hAnsi="Times New Roman" w:cs="Times New Roman"/>
          <w:color w:val="0070C0"/>
          <w:sz w:val="16"/>
          <w:szCs w:val="16"/>
        </w:rPr>
        <w:t>февраля</w:t>
      </w:r>
      <w:r>
        <w:rPr>
          <w:rFonts w:ascii="Times New Roman" w:hAnsi="Times New Roman" w:cs="Times New Roman"/>
          <w:color w:val="0070C0"/>
          <w:sz w:val="16"/>
          <w:szCs w:val="16"/>
        </w:rPr>
        <w:t xml:space="preserve">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военный летчик 35 КАО подпоручик Кузьма-Филиппович Святогор и летнаб Владислав Глинский на самолете фарман-27 дваж</w:t>
      </w:r>
      <w:r w:rsidRPr="00815ED5">
        <w:rPr>
          <w:rFonts w:ascii="Times New Roman" w:hAnsi="Times New Roman" w:cs="Times New Roman"/>
          <w:color w:val="0070C0"/>
          <w:sz w:val="16"/>
          <w:szCs w:val="16"/>
        </w:rPr>
        <w:softHyphen/>
        <w:t>ды пролетели в тыл противника и сфотографировали весь заданный участок.</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Встретившись с неприятельским "Альбатросом",</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они вступили в бой и с дистанции 50-40 м сбили его.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Летчики были награждены ор</w:t>
      </w:r>
      <w:r w:rsidRPr="00815ED5">
        <w:rPr>
          <w:rFonts w:ascii="Times New Roman" w:hAnsi="Times New Roman" w:cs="Times New Roman"/>
          <w:color w:val="0070C0"/>
          <w:sz w:val="16"/>
          <w:szCs w:val="16"/>
        </w:rPr>
        <w:softHyphen/>
        <w:t>денами св.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Георгия 4 ст</w:t>
      </w:r>
      <w:r>
        <w:rPr>
          <w:rFonts w:ascii="Times New Roman" w:hAnsi="Times New Roman" w:cs="Times New Roman"/>
          <w:color w:val="0070C0"/>
          <w:sz w:val="16"/>
          <w:szCs w:val="16"/>
        </w:rPr>
        <w:t>.</w:t>
      </w:r>
    </w:p>
    <w:p w14:paraId="3B2A06B1" w14:textId="77777777" w:rsidR="00AE71CB" w:rsidRPr="00815ED5" w:rsidRDefault="00AE71CB"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/"Русский инвалид" за 1</w:t>
      </w:r>
      <w:r>
        <w:rPr>
          <w:rFonts w:ascii="Times New Roman" w:hAnsi="Times New Roman" w:cs="Times New Roman"/>
          <w:color w:val="0070C0"/>
          <w:sz w:val="16"/>
          <w:szCs w:val="16"/>
        </w:rPr>
        <w:t>3</w:t>
      </w:r>
      <w:r w:rsidRPr="00815ED5">
        <w:rPr>
          <w:rFonts w:ascii="Times New Roman" w:hAnsi="Times New Roman" w:cs="Times New Roman"/>
          <w:color w:val="0070C0"/>
          <w:sz w:val="16"/>
          <w:szCs w:val="16"/>
        </w:rPr>
        <w:t xml:space="preserve"> августа 1917/</w:t>
      </w:r>
      <w:r>
        <w:rPr>
          <w:rFonts w:ascii="Times New Roman" w:hAnsi="Times New Roman" w:cs="Times New Roman"/>
          <w:color w:val="0070C0"/>
          <w:sz w:val="16"/>
          <w:szCs w:val="16"/>
        </w:rPr>
        <w:t xml:space="preserve"> (23320).</w:t>
      </w:r>
    </w:p>
    <w:p w14:paraId="564F7783" w14:textId="77777777" w:rsidR="00AE71CB" w:rsidRDefault="00AE71CB" w:rsidP="0083075A">
      <w:pPr>
        <w:spacing w:after="0" w:line="240" w:lineRule="auto"/>
        <w:jc w:val="both"/>
        <w:rPr>
          <w:rFonts w:ascii="Times New Roman" w:hAnsi="Times New Roman" w:cs="Times New Roman"/>
          <w:color w:val="0070C0"/>
          <w:sz w:val="16"/>
          <w:szCs w:val="16"/>
        </w:rPr>
      </w:pPr>
    </w:p>
    <w:p w14:paraId="45571C53" w14:textId="5D4B80B5" w:rsidR="00EA1875" w:rsidRPr="00FB4F67" w:rsidRDefault="00EA1875"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9 (</w:t>
      </w:r>
      <w:r w:rsidRPr="00FB4F67">
        <w:rPr>
          <w:rFonts w:ascii="Times New Roman" w:hAnsi="Times New Roman" w:cs="Times New Roman"/>
          <w:color w:val="0070C0"/>
          <w:sz w:val="16"/>
          <w:szCs w:val="16"/>
        </w:rPr>
        <w:t>22</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февраля 1917 г. в районе Шельвова (Волынская губ.) произошел очередной воздушный бой. В 20 км южнее м. Киселин неприятельский самолет атаковал наш аэроплан, управляемый военным летчиком 35-го авиаотряда подпоручиком К.Ф. Святогором. Во время проведения воздушной разведки на аппарате типа «Фарман- XXVII» он вступил в бой с немецким истребителем. Во время боя </w:t>
      </w:r>
      <w:bookmarkStart w:id="34" w:name="bookmark700"/>
      <w:r w:rsidRPr="00FB4F67">
        <w:rPr>
          <w:rFonts w:ascii="Times New Roman" w:hAnsi="Times New Roman" w:cs="Times New Roman"/>
          <w:color w:val="0070C0"/>
          <w:sz w:val="16"/>
          <w:szCs w:val="16"/>
        </w:rPr>
        <w:t>русский летчик, «сохраняя полное самообладание, крайне резким поворотом поставил свой аппарат лицом к противнику и тем дал возможность своему наблюдателю [поручику В.А. Глинскому] встретить пулеметным огнем неприятельский самолет на расстоянии 50-40 м. Самолет противника был сбит и упал на землю» (23405).</w:t>
      </w:r>
      <w:bookmarkEnd w:id="34"/>
    </w:p>
    <w:p w14:paraId="39E66369" w14:textId="77777777" w:rsidR="00EA1875" w:rsidRPr="00FB4F67" w:rsidRDefault="00EA1875" w:rsidP="0083075A">
      <w:pPr>
        <w:spacing w:after="0" w:line="240" w:lineRule="auto"/>
        <w:jc w:val="both"/>
        <w:rPr>
          <w:rFonts w:ascii="Times New Roman" w:hAnsi="Times New Roman" w:cs="Times New Roman"/>
          <w:color w:val="0070C0"/>
          <w:sz w:val="16"/>
          <w:szCs w:val="16"/>
        </w:rPr>
      </w:pPr>
    </w:p>
    <w:p w14:paraId="5045D69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2472C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7232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февраля 1917 в Петрограде прошла 50-тысячная забастовка в честь годовщины "кровавого воскресения" (1348,83). Странно, ведь “кровавое воскресение” - 9 января</w:t>
      </w:r>
    </w:p>
    <w:p w14:paraId="7AFFF7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C6F9A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464B4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6E09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февраля 1917 эсминцы Живой и Жаркий обстреляли Тузлу и Калиакру (3123).</w:t>
      </w:r>
    </w:p>
    <w:p w14:paraId="767F27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6AE8C7" w14:textId="32C55967" w:rsidR="00EA1875" w:rsidRPr="00FB4F67" w:rsidRDefault="00EA1875"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10 (</w:t>
      </w:r>
      <w:r w:rsidRPr="00FB4F67">
        <w:rPr>
          <w:rFonts w:ascii="Times New Roman" w:hAnsi="Times New Roman" w:cs="Times New Roman"/>
          <w:color w:val="0070C0"/>
          <w:sz w:val="16"/>
          <w:szCs w:val="16"/>
        </w:rPr>
        <w:t>23</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февраля 1917 г, появившийся в небе Риги вражеский самолет- разведчик попал в зону зенитного огня. В результате обстрела летательный аппарат получил повреждения и ретировался за линию фронта (23405).</w:t>
      </w:r>
    </w:p>
    <w:p w14:paraId="7D70CDC4" w14:textId="77777777" w:rsidR="00EA1875" w:rsidRPr="00FB4F67" w:rsidRDefault="00EA1875" w:rsidP="0083075A">
      <w:pPr>
        <w:spacing w:after="0" w:line="240" w:lineRule="auto"/>
        <w:jc w:val="both"/>
        <w:rPr>
          <w:rFonts w:ascii="Times New Roman" w:hAnsi="Times New Roman" w:cs="Times New Roman"/>
          <w:color w:val="0070C0"/>
          <w:sz w:val="16"/>
          <w:szCs w:val="16"/>
        </w:rPr>
      </w:pPr>
    </w:p>
    <w:p w14:paraId="0713B8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10 по 12 (23-25) февраля 1917 линкор Свободная Россия, крейсер Память Меркурия и 3 эсминца у Анатолийского побережья уничтожили 3 парусных шхуны (3123).</w:t>
      </w:r>
    </w:p>
    <w:p w14:paraId="1A930B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33457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7FD7F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1FF9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февраля 1917 был последний всеподданнейший доклад М.В.Родзянко Николаю II с требованием удалить А.Д.Протопопова, предупреждением о надвигавшейся революции (3908,252).</w:t>
      </w:r>
    </w:p>
    <w:p w14:paraId="5CA58D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231308" w14:textId="77777777" w:rsidR="003573C6" w:rsidRPr="002F2FDF" w:rsidRDefault="003573C6"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10 (23) февраля 1917 французский посол в России Морис Палеолог написал в своем дневнике: «Сегодня агитаторы обошли Путиловские заводы, балтийские верфи и Выборгскую сторону, призывая ко всеобщей забастовке протеста против правительства, против голода, против войны. Волнение настолько сильно, что военный губернатор столицы велел расклеить афиши, воспрещающие скопление народа и извещающие население, что "всякое сопротивление власти будет немедленно </w:t>
      </w:r>
      <w:r w:rsidRPr="002F2FDF">
        <w:rPr>
          <w:color w:val="000000" w:themeColor="text1"/>
          <w:kern w:val="2"/>
          <w:sz w:val="16"/>
          <w:szCs w:val="16"/>
        </w:rPr>
        <w:lastRenderedPageBreak/>
        <w:t>подавлено силой оружия"» (17045).</w:t>
      </w:r>
    </w:p>
    <w:p w14:paraId="1A9E0C06" w14:textId="77777777" w:rsidR="003573C6" w:rsidRPr="002F2FDF" w:rsidRDefault="003573C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400E2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06BF5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B2B8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февраля 1917 в воздух поднялись “Шампань” и “Пилатр де Розье”, для которого этот полет действительно оказался последним — он был сбит над Эльзасом близ Вермердингена. Экипаж вместе с капитаном Прешером погиб, в живых остался только граф де ля Во. Дирижабль выполнил всего 2 боевых вылета. (11324).</w:t>
      </w:r>
    </w:p>
    <w:p w14:paraId="0B4ABA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AF11B4" w14:textId="77777777" w:rsidR="007548B1" w:rsidRPr="002F2FDF" w:rsidRDefault="007548B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10 (23) февраля 1917 г. гибель «</w:t>
      </w:r>
      <w:r w:rsidRPr="002F2FDF">
        <w:rPr>
          <w:rFonts w:ascii="Times New Roman" w:hAnsi="Times New Roman" w:cs="Times New Roman"/>
          <w:color w:val="000000" w:themeColor="text1"/>
          <w:sz w:val="16"/>
          <w:szCs w:val="16"/>
          <w:lang w:val="en-US"/>
        </w:rPr>
        <w:t>Pilatre</w:t>
      </w:r>
      <w:r w:rsidRPr="002F2FDF">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lang w:val="en-US"/>
        </w:rPr>
        <w:t>de</w:t>
      </w:r>
      <w:r w:rsidRPr="002F2FDF">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lang w:val="en-US"/>
        </w:rPr>
        <w:t>Rozier</w:t>
      </w:r>
      <w:r w:rsidRPr="002F2FDF">
        <w:rPr>
          <w:rFonts w:ascii="Times New Roman" w:hAnsi="Times New Roman" w:cs="Times New Roman"/>
          <w:color w:val="000000" w:themeColor="text1"/>
          <w:sz w:val="16"/>
          <w:szCs w:val="16"/>
        </w:rPr>
        <w:t>»со всем экипажем положила конец применению дирижаблей во французской армии. Попытка переломить ситуацию введени</w:t>
      </w:r>
      <w:r w:rsidRPr="002F2FDF">
        <w:rPr>
          <w:rFonts w:ascii="Times New Roman" w:hAnsi="Times New Roman" w:cs="Times New Roman"/>
          <w:color w:val="000000" w:themeColor="text1"/>
          <w:sz w:val="16"/>
          <w:szCs w:val="16"/>
        </w:rPr>
        <w:softHyphen/>
        <w:t>ем в строй мягких и полумягких дирижаблей объёмом 20000 м3 не удалась ни в России, ни во Франции. Но если «Гигант» и «Воздушный крей</w:t>
      </w:r>
      <w:r w:rsidRPr="002F2FDF">
        <w:rPr>
          <w:rFonts w:ascii="Times New Roman" w:hAnsi="Times New Roman" w:cs="Times New Roman"/>
          <w:color w:val="000000" w:themeColor="text1"/>
          <w:sz w:val="16"/>
          <w:szCs w:val="16"/>
        </w:rPr>
        <w:softHyphen/>
        <w:t>сер» в строй не вступили, то французские дири</w:t>
      </w:r>
      <w:r w:rsidRPr="002F2FDF">
        <w:rPr>
          <w:rFonts w:ascii="Times New Roman" w:hAnsi="Times New Roman" w:cs="Times New Roman"/>
          <w:color w:val="000000" w:themeColor="text1"/>
          <w:sz w:val="16"/>
          <w:szCs w:val="16"/>
        </w:rPr>
        <w:softHyphen/>
        <w:t>жабли оперативно перестроили в корабли мень</w:t>
      </w:r>
      <w:r w:rsidRPr="002F2FDF">
        <w:rPr>
          <w:rFonts w:ascii="Times New Roman" w:hAnsi="Times New Roman" w:cs="Times New Roman"/>
          <w:color w:val="000000" w:themeColor="text1"/>
          <w:sz w:val="16"/>
          <w:szCs w:val="16"/>
        </w:rPr>
        <w:softHyphen/>
        <w:t>шего объёма (15000 м3).  (20120).</w:t>
      </w:r>
    </w:p>
    <w:p w14:paraId="2E46FD89" w14:textId="77777777" w:rsidR="007548B1" w:rsidRPr="002F2FDF" w:rsidRDefault="007548B1" w:rsidP="0083075A">
      <w:pPr>
        <w:spacing w:after="0" w:line="240" w:lineRule="auto"/>
        <w:jc w:val="both"/>
        <w:rPr>
          <w:rFonts w:ascii="Times New Roman" w:hAnsi="Times New Roman" w:cs="Times New Roman"/>
          <w:color w:val="000000" w:themeColor="text1"/>
          <w:sz w:val="16"/>
          <w:szCs w:val="16"/>
        </w:rPr>
      </w:pPr>
    </w:p>
    <w:p w14:paraId="4CD599FB" w14:textId="02AB7C8D" w:rsidR="003573C6" w:rsidRPr="002F2FDF" w:rsidRDefault="003573C6" w:rsidP="0083075A">
      <w:pPr>
        <w:pStyle w:val="ae"/>
        <w:spacing w:before="0" w:after="0"/>
        <w:jc w:val="both"/>
        <w:rPr>
          <w:color w:val="000000" w:themeColor="text1"/>
          <w:kern w:val="2"/>
          <w:sz w:val="16"/>
          <w:szCs w:val="16"/>
        </w:rPr>
      </w:pPr>
      <w:r w:rsidRPr="002F2FDF">
        <w:rPr>
          <w:color w:val="000000" w:themeColor="text1"/>
          <w:kern w:val="2"/>
          <w:sz w:val="16"/>
          <w:szCs w:val="16"/>
        </w:rPr>
        <w:t>10 (23) февраля 1917 в районе крепости Эль-Кут (город на берегу Тигра на территории нынешнего Ирака в 160 км к юго-востоку от Багдада) начались бои между турецкими частями и подошедшей крупной британской группировкой. Годом ранее англичане потерпели под Эль-Кутом жестокое поражение и были вынуждены отступить на юг к Басре. Собрав новую армию численностью около 50</w:t>
      </w:r>
      <w:r w:rsidR="00E52569">
        <w:rPr>
          <w:color w:val="000000" w:themeColor="text1"/>
          <w:kern w:val="2"/>
          <w:sz w:val="16"/>
          <w:szCs w:val="16"/>
        </w:rPr>
        <w:t xml:space="preserve"> </w:t>
      </w:r>
      <w:r w:rsidRPr="002F2FDF">
        <w:rPr>
          <w:color w:val="000000" w:themeColor="text1"/>
          <w:kern w:val="2"/>
          <w:sz w:val="16"/>
          <w:szCs w:val="16"/>
        </w:rPr>
        <w:t>000 «штыков», в декабре 1916 года британцы выступили снова на север, планируя начать наступление на Багдад.</w:t>
      </w:r>
    </w:p>
    <w:p w14:paraId="39810428" w14:textId="77777777" w:rsidR="003573C6" w:rsidRPr="002F2FDF" w:rsidRDefault="003573C6" w:rsidP="0083075A">
      <w:pPr>
        <w:pStyle w:val="ae"/>
        <w:spacing w:before="0" w:after="0"/>
        <w:jc w:val="both"/>
        <w:rPr>
          <w:color w:val="000000" w:themeColor="text1"/>
          <w:kern w:val="2"/>
          <w:sz w:val="16"/>
          <w:szCs w:val="16"/>
        </w:rPr>
      </w:pPr>
      <w:r w:rsidRPr="002F2FDF">
        <w:rPr>
          <w:color w:val="000000" w:themeColor="text1"/>
          <w:kern w:val="2"/>
          <w:sz w:val="16"/>
          <w:szCs w:val="16"/>
        </w:rPr>
        <w:t>Вскоре после начала первых боев турецкий генерал Карабекир принял решение не оборонять Эль-Кут и отступил. При этом британцам удалось захватить в плен более 9000 турецких солдат. Заместитель начальника германского генерального штаба Эрих Людендорф после этого написал: «В Месопотамии вскоре выяснилось, что турецкая армия в районе Ирака не способна на дальнейшее сопротивление» (17045).</w:t>
      </w:r>
    </w:p>
    <w:p w14:paraId="2589416F" w14:textId="77777777" w:rsidR="003573C6" w:rsidRPr="002F2FDF" w:rsidRDefault="003573C6"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9FFD1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февраля 1917 при взрыве собственного миномета тяжело ранен итальянский капрал, будущий диктатор Бенито Муссолини (после этого ему чуть не ампутировали ногу) (4962).</w:t>
      </w:r>
    </w:p>
    <w:p w14:paraId="1DBC426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4D33D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ECB0D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CD44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февраля 1917 была неудачная попытка использования управляемого с самолета немецкого катера, начиненного взрывчаткой (был разработан и изготовлен еще к концу 1915, имел водоизмещение 6 т и скорость до 30 узлов, дальность 50 км и 200 кг взрывчатки) (3415,24).</w:t>
      </w:r>
    </w:p>
    <w:p w14:paraId="13CE16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5423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февраля 1917 была потоплена Laconia (2412).</w:t>
      </w:r>
    </w:p>
    <w:p w14:paraId="0ADFE5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7B69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февраля 1917 в Месопотамии британские войска отбили у турок Кут-эль-Имара м начала наступление вдоль Тигра (3907,89).</w:t>
      </w:r>
    </w:p>
    <w:p w14:paraId="7B9107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E919C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A8E16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05AD5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12 (25) по 14 (28) февраля 1917 г. на РБВЗ прокатилась новая забастов</w:t>
      </w:r>
      <w:r w:rsidRPr="002F2FDF">
        <w:rPr>
          <w:rFonts w:ascii="Times New Roman" w:hAnsi="Times New Roman" w:cs="Times New Roman"/>
          <w:color w:val="000000" w:themeColor="text1"/>
          <w:kern w:val="2"/>
          <w:sz w:val="16"/>
          <w:szCs w:val="16"/>
        </w:rPr>
        <w:softHyphen/>
        <w:t>ка, в которой участвовало около 400 человек, а через де</w:t>
      </w:r>
      <w:r w:rsidRPr="002F2FDF">
        <w:rPr>
          <w:rFonts w:ascii="Times New Roman" w:hAnsi="Times New Roman" w:cs="Times New Roman"/>
          <w:color w:val="000000" w:themeColor="text1"/>
          <w:kern w:val="2"/>
          <w:sz w:val="16"/>
          <w:szCs w:val="16"/>
        </w:rPr>
        <w:softHyphen/>
        <w:t>сять дней, 23-24 февраля 1917 г. уже весь завод бастовал вновь. В те дни нелегко пришлось заведующим произ</w:t>
      </w:r>
      <w:r w:rsidRPr="002F2FDF">
        <w:rPr>
          <w:rFonts w:ascii="Times New Roman" w:hAnsi="Times New Roman" w:cs="Times New Roman"/>
          <w:color w:val="000000" w:themeColor="text1"/>
          <w:kern w:val="2"/>
          <w:sz w:val="16"/>
          <w:szCs w:val="16"/>
        </w:rPr>
        <w:softHyphen/>
        <w:t>водством Н.Н.Поликарпову и К.К.Эрганту. Подобное творилось на многих заводах Пе</w:t>
      </w:r>
      <w:r w:rsidRPr="002F2FDF">
        <w:rPr>
          <w:rFonts w:ascii="Times New Roman" w:hAnsi="Times New Roman" w:cs="Times New Roman"/>
          <w:color w:val="000000" w:themeColor="text1"/>
          <w:kern w:val="2"/>
          <w:sz w:val="16"/>
          <w:szCs w:val="16"/>
        </w:rPr>
        <w:softHyphen/>
        <w:t>трограда - Путиловском, Металлическом, Франко-рус</w:t>
      </w:r>
      <w:r w:rsidRPr="002F2FDF">
        <w:rPr>
          <w:rFonts w:ascii="Times New Roman" w:hAnsi="Times New Roman" w:cs="Times New Roman"/>
          <w:color w:val="000000" w:themeColor="text1"/>
          <w:kern w:val="2"/>
          <w:sz w:val="16"/>
          <w:szCs w:val="16"/>
        </w:rPr>
        <w:softHyphen/>
        <w:t>ском и других. 23 февраля бастовали 43 предприятия (74 тыс. человек), 24 февраля- 131 (158 тыс. человек), 25 фе</w:t>
      </w:r>
      <w:r w:rsidRPr="002F2FDF">
        <w:rPr>
          <w:rFonts w:ascii="Times New Roman" w:hAnsi="Times New Roman" w:cs="Times New Roman"/>
          <w:color w:val="000000" w:themeColor="text1"/>
          <w:kern w:val="2"/>
          <w:sz w:val="16"/>
          <w:szCs w:val="16"/>
        </w:rPr>
        <w:softHyphen/>
        <w:t>враля - 173 (201 тыс. человек). На улицах проходили де</w:t>
      </w:r>
      <w:r w:rsidRPr="002F2FDF">
        <w:rPr>
          <w:rFonts w:ascii="Times New Roman" w:hAnsi="Times New Roman" w:cs="Times New Roman"/>
          <w:color w:val="000000" w:themeColor="text1"/>
          <w:kern w:val="2"/>
          <w:sz w:val="16"/>
          <w:szCs w:val="16"/>
        </w:rPr>
        <w:softHyphen/>
        <w:t>монстрации и митинги. 25 февраля на сторону взбудораженного народа начали переходить солдаты и казаки. 26 февраля запоздалая попытка ареста членов революционных организаций и роспуск Государствен</w:t>
      </w:r>
      <w:r w:rsidRPr="002F2FDF">
        <w:rPr>
          <w:rFonts w:ascii="Times New Roman" w:hAnsi="Times New Roman" w:cs="Times New Roman"/>
          <w:color w:val="000000" w:themeColor="text1"/>
          <w:kern w:val="2"/>
          <w:sz w:val="16"/>
          <w:szCs w:val="16"/>
        </w:rPr>
        <w:softHyphen/>
        <w:t>ной Думы вызвали новый взрыв недовольства и приве</w:t>
      </w:r>
      <w:r w:rsidRPr="002F2FDF">
        <w:rPr>
          <w:rFonts w:ascii="Times New Roman" w:hAnsi="Times New Roman" w:cs="Times New Roman"/>
          <w:color w:val="000000" w:themeColor="text1"/>
          <w:kern w:val="2"/>
          <w:sz w:val="16"/>
          <w:szCs w:val="16"/>
        </w:rPr>
        <w:softHyphen/>
        <w:t>ли к переходу на сторону народа частей Петроградского гарнизона. 27 февраля были созданы Временный коми</w:t>
      </w:r>
      <w:r w:rsidRPr="002F2FDF">
        <w:rPr>
          <w:rFonts w:ascii="Times New Roman" w:hAnsi="Times New Roman" w:cs="Times New Roman"/>
          <w:color w:val="000000" w:themeColor="text1"/>
          <w:kern w:val="2"/>
          <w:sz w:val="16"/>
          <w:szCs w:val="16"/>
        </w:rPr>
        <w:softHyphen/>
        <w:t>тет членов Государственной Думы и Петроградский Со</w:t>
      </w:r>
      <w:r w:rsidRPr="002F2FDF">
        <w:rPr>
          <w:rFonts w:ascii="Times New Roman" w:hAnsi="Times New Roman" w:cs="Times New Roman"/>
          <w:color w:val="000000" w:themeColor="text1"/>
          <w:kern w:val="2"/>
          <w:sz w:val="16"/>
          <w:szCs w:val="16"/>
        </w:rPr>
        <w:softHyphen/>
        <w:t>вет рабочих депутатов (10667).</w:t>
      </w:r>
    </w:p>
    <w:p w14:paraId="2CD8DB6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6683C5" w14:textId="241BFB17" w:rsidR="00783072" w:rsidRPr="002F2FDF" w:rsidRDefault="0078307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12 (25) по 14 (28) февраля 1917 г. в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авиационном отделении РБВЗ</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прокатилась новая забастовка, в которой участвовало около 400 человек, а через десять дней, 23–24 февраля 1917 г., уже весь завод бастовал вновь.</w:t>
      </w:r>
    </w:p>
    <w:p w14:paraId="75D9E59E" w14:textId="77777777" w:rsidR="00783072" w:rsidRPr="002F2FDF" w:rsidRDefault="0078307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Впрочем, подобное творилось на многих заводах Петрограда — Путиловском, Металлическом, Франко-русском и других. 23 февраля бастовали 43 предприятия (74 тыс. человек), 24 февраля — 131 (158 тыс. человек), 25 февраля — 173 (201 тыс. человек). На улицах проходили демонстрации и митинги. 25 февраля на сторону взбудораженного народа начали переходить солдаты и казаки. 26 февраля запоздалая попытка ареста членов революционных организаций и роспуск Государственной думы вызвали новый взрыв недовольства и привели к переходу на сторону народа частей Петроградского гарнизона. 27 февраля были созданы Временный комитет членов Государственной думы и Петроградский Совет рабочих депутатов (15125).</w:t>
      </w:r>
    </w:p>
    <w:p w14:paraId="434AE26C" w14:textId="77777777" w:rsidR="00783072" w:rsidRPr="002F2FDF" w:rsidRDefault="00783072" w:rsidP="0083075A">
      <w:pPr>
        <w:spacing w:after="0" w:line="240" w:lineRule="auto"/>
        <w:jc w:val="both"/>
        <w:rPr>
          <w:rFonts w:ascii="Times New Roman" w:hAnsi="Times New Roman" w:cs="Times New Roman"/>
          <w:color w:val="000000" w:themeColor="text1"/>
          <w:kern w:val="2"/>
          <w:sz w:val="16"/>
          <w:szCs w:val="16"/>
        </w:rPr>
      </w:pPr>
    </w:p>
    <w:p w14:paraId="2ADD252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0E7DD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3AB2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февраля 1917 Союзники начинают выполнять решения последней межсоюзнической конференции и посылают в Россию военных летчиков.</w:t>
      </w:r>
    </w:p>
    <w:p w14:paraId="18E788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 Крутень</w:t>
      </w:r>
    </w:p>
    <w:p w14:paraId="057230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Нашествие иноплеменников</w:t>
      </w:r>
    </w:p>
    <w:p w14:paraId="08A87F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 нас всегда зовут варягов. Авиация не может представить исключения. Были одиночные французы-летчики в начале войны, потом назвали механиков, потом стали выписывать летчиков вагонами - все мало - едет в Россию целая организованная банда в виде двух отрядов - разведочного и истребительного.</w:t>
      </w:r>
    </w:p>
    <w:p w14:paraId="432432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 этого мало - едут около двадцати англичан...</w:t>
      </w:r>
    </w:p>
    <w:p w14:paraId="5EB9C3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 учиться у них пока что авиации решительно нечему.</w:t>
      </w:r>
    </w:p>
    <w:p w14:paraId="179AB5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Англии, слов нет, лихая авиация, но без систематической организации и без хороших технических средств...</w:t>
      </w:r>
    </w:p>
    <w:p w14:paraId="252516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 французах надо говорить иначе.</w:t>
      </w:r>
    </w:p>
    <w:p w14:paraId="1AEE4A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...Вполне достаточно было бы ограничиться призывом инженеров, мотористов и прочего технического люда. Но вот призыв летчиков не находит себе никакого оправдания...</w:t>
      </w:r>
    </w:p>
    <w:p w14:paraId="42AA5C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Едет компания не лучших летчиков, а "так себе"...</w:t>
      </w:r>
    </w:p>
    <w:p w14:paraId="1CA086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1916 г. какой-то Смольянинов писал в газете "Новое Время" о том, как вдруг все изменилось на нашем фронте, когда к нам приехал французский авиационный отряд , летчики которого ежедневно сбивали по несколько немцев и совсем заставили их перестать летать в этом месте...</w:t>
      </w:r>
    </w:p>
    <w:p w14:paraId="554CBC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 это писалось еще тогда, когда французского отряда и в помине не было у нас. Что же будет теперь, когда вдруг среди заплеванных обществом русских летчиков появится в самом деле отряд истребителей из 16 летчиков*, среди которых, верно, хотя один да будет порядочный, да еще на лучших аппаратах "СПАД", с которого довольно просто сбивать неподготовленных немцев...</w:t>
      </w:r>
    </w:p>
    <w:p w14:paraId="7BEFBD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Мы в технике уступаем, но в работе боевой французы не смеют сделать нам упрека.</w:t>
      </w:r>
    </w:p>
    <w:p w14:paraId="373835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только французы нас презирают, но и свои нас оплевывают, начальство не доверяет, а французов, которые смотрят на нас, как англичане на негров или мы на персюков, у нас сажают на первое место и дают полную возможность омертветь еще пока ретивому сердцу русского военного летчика.</w:t>
      </w:r>
    </w:p>
    <w:p w14:paraId="02652E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Кризис близок.</w:t>
      </w:r>
    </w:p>
    <w:p w14:paraId="7EB1B6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февраля 1917 г." (11999).</w:t>
      </w:r>
    </w:p>
    <w:p w14:paraId="02A7B6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1A7D4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E45CA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7614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12 (25) февраля 1917 при улучшившейся погоде немцы вновь начались авиационные полеты, фоторазведка показала, что противник готовит большое наступление в районе Вайли — Реймс; следовало ожидать, что наступление распространится и на местность восточнее Реймса. Почти ежедневно летчики доставляли новые данные о размерах и силе предполагаемого наступления. Так, например, 7-я армия насчитала 43 ветки и 15 насыпей для подъездных железнодорожных путей. Число бараков было увеличено более чем на 3000, ангары могли предоставить место 7500 самолетам! Когда 6 апреля были обнаружены новые широкие окопы, в том, что вскоре враг предпримет наступление, уже не оставалось сомнений. Об успехах немецкой авиации начальник, оказавшийся под угрозой атаки армейской группы, сказал следующее: “в 1917 году исключительно благодаря авиаразведке мы узнали о подготовке противника к наступлению на р. Эн и в Шампани и своевременно приняли предупредительные меры”. Если французские летчики, в соответствии с указаниями своего высшего командования, ограничивались тем, что затрудняли глубокую разведку, то англичане развивали более бурную деятельность. Главным образом на английском фронте в первую неделю апреля из воздушных схваток отдельных истребительных отрядов развились первые воздушные сражения. Храбро, на хороших машинах, неприятель атаковал наши самолеты. Однако за свою смелость он </w:t>
      </w:r>
      <w:r w:rsidRPr="002F2FDF">
        <w:rPr>
          <w:rFonts w:ascii="Times New Roman" w:hAnsi="Times New Roman" w:cs="Times New Roman"/>
          <w:color w:val="000000" w:themeColor="text1"/>
          <w:kern w:val="2"/>
          <w:sz w:val="16"/>
          <w:szCs w:val="16"/>
        </w:rPr>
        <w:lastRenderedPageBreak/>
        <w:t>заплатил громадными потерями. 6 апреля огнем наших лучше вооруженных истребительных эскадрилий было сбито 44 неприятельских самолета. Однако и мы понесли тяжелые потери, лишившись многих опытных летчиков-истребителей (11282).</w:t>
      </w:r>
    </w:p>
    <w:p w14:paraId="5AF671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F86D75" w14:textId="77777777" w:rsidR="00DF19B3" w:rsidRPr="002F2FDF" w:rsidRDefault="00DF19B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48BDF8B" w14:textId="77777777" w:rsidR="00DF19B3" w:rsidRPr="002F2FDF" w:rsidRDefault="00DF19B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0B4A8C"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13 (26) февраля 1917 г. штабс-капитан Фетисов, командир воздухопла</w:t>
      </w:r>
      <w:r w:rsidRPr="002F2FDF">
        <w:rPr>
          <w:rFonts w:ascii="Times New Roman" w:hAnsi="Times New Roman" w:cs="Times New Roman"/>
          <w:color w:val="000000" w:themeColor="text1"/>
          <w:sz w:val="16"/>
          <w:szCs w:val="16"/>
        </w:rPr>
        <w:softHyphen/>
        <w:t>вательного дивизиона особого назначения, объ</w:t>
      </w:r>
      <w:r w:rsidRPr="002F2FDF">
        <w:rPr>
          <w:rFonts w:ascii="Times New Roman" w:hAnsi="Times New Roman" w:cs="Times New Roman"/>
          <w:color w:val="000000" w:themeColor="text1"/>
          <w:sz w:val="16"/>
          <w:szCs w:val="16"/>
        </w:rPr>
        <w:softHyphen/>
        <w:t>единявшего 15 отрядов вместо 5-7 по штату, по</w:t>
      </w:r>
      <w:r w:rsidRPr="002F2FDF">
        <w:rPr>
          <w:rFonts w:ascii="Times New Roman" w:hAnsi="Times New Roman" w:cs="Times New Roman"/>
          <w:color w:val="000000" w:themeColor="text1"/>
          <w:sz w:val="16"/>
          <w:szCs w:val="16"/>
        </w:rPr>
        <w:softHyphen/>
        <w:t>дал рапорт великому князю с просьбой «иметь в дивизионе химматериалов на 20 000 м3 и в это количество не включать силиколь и трубы как не могущие быть всегда использованы»9. Разреше</w:t>
      </w:r>
      <w:r w:rsidRPr="002F2FDF">
        <w:rPr>
          <w:rFonts w:ascii="Times New Roman" w:hAnsi="Times New Roman" w:cs="Times New Roman"/>
          <w:color w:val="000000" w:themeColor="text1"/>
          <w:sz w:val="16"/>
          <w:szCs w:val="16"/>
        </w:rPr>
        <w:softHyphen/>
        <w:t>ние дано не было, более того, Александр Михай</w:t>
      </w:r>
      <w:r w:rsidRPr="002F2FDF">
        <w:rPr>
          <w:rFonts w:ascii="Times New Roman" w:hAnsi="Times New Roman" w:cs="Times New Roman"/>
          <w:color w:val="000000" w:themeColor="text1"/>
          <w:sz w:val="16"/>
          <w:szCs w:val="16"/>
        </w:rPr>
        <w:softHyphen/>
        <w:t>лович через генерала А. Барсова предложил ему «возможно полнее использовать силиколевый завод и принять все меры, чтобы газодобывание щёлочным способом было сокращено до мини</w:t>
      </w:r>
      <w:r w:rsidRPr="002F2FDF">
        <w:rPr>
          <w:rFonts w:ascii="Times New Roman" w:hAnsi="Times New Roman" w:cs="Times New Roman"/>
          <w:color w:val="000000" w:themeColor="text1"/>
          <w:sz w:val="16"/>
          <w:szCs w:val="16"/>
        </w:rPr>
        <w:softHyphen/>
        <w:t>мума». Вскоре великий князь отправил в войска секретное распоряжение:</w:t>
      </w:r>
    </w:p>
    <w:p w14:paraId="7E37CF59" w14:textId="77777777" w:rsidR="00DF19B3" w:rsidRPr="002F2FDF" w:rsidRDefault="00DF19B3" w:rsidP="0083075A">
      <w:pPr>
        <w:pStyle w:val="67"/>
        <w:shd w:val="clear" w:color="auto" w:fill="auto"/>
        <w:spacing w:before="0" w:line="240" w:lineRule="auto"/>
        <w:jc w:val="both"/>
        <w:rPr>
          <w:b w:val="0"/>
          <w:bCs w:val="0"/>
          <w:color w:val="000000" w:themeColor="text1"/>
          <w:sz w:val="16"/>
          <w:szCs w:val="16"/>
        </w:rPr>
      </w:pPr>
      <w:r w:rsidRPr="002F2FDF">
        <w:rPr>
          <w:b w:val="0"/>
          <w:bCs w:val="0"/>
          <w:color w:val="000000" w:themeColor="text1"/>
          <w:sz w:val="16"/>
          <w:szCs w:val="16"/>
        </w:rPr>
        <w:t>Для упорядочения пользования воздухоплаватель</w:t>
      </w:r>
      <w:r w:rsidRPr="002F2FDF">
        <w:rPr>
          <w:b w:val="0"/>
          <w:bCs w:val="0"/>
          <w:color w:val="000000" w:themeColor="text1"/>
          <w:sz w:val="16"/>
          <w:szCs w:val="16"/>
        </w:rPr>
        <w:softHyphen/>
        <w:t>ными станциями и в виду необходимой экономии:</w:t>
      </w:r>
    </w:p>
    <w:p w14:paraId="3E1A7827" w14:textId="77777777" w:rsidR="00DF19B3" w:rsidRPr="002F2FDF" w:rsidRDefault="00DF19B3" w:rsidP="0083075A">
      <w:pPr>
        <w:pStyle w:val="67"/>
        <w:shd w:val="clear" w:color="auto" w:fill="auto"/>
        <w:tabs>
          <w:tab w:val="left" w:pos="754"/>
        </w:tabs>
        <w:spacing w:before="0" w:line="240" w:lineRule="auto"/>
        <w:jc w:val="both"/>
        <w:rPr>
          <w:b w:val="0"/>
          <w:bCs w:val="0"/>
          <w:color w:val="000000" w:themeColor="text1"/>
          <w:sz w:val="16"/>
          <w:szCs w:val="16"/>
        </w:rPr>
      </w:pPr>
      <w:r w:rsidRPr="002F2FDF">
        <w:rPr>
          <w:b w:val="0"/>
          <w:bCs w:val="0"/>
          <w:color w:val="000000" w:themeColor="text1"/>
          <w:sz w:val="16"/>
          <w:szCs w:val="16"/>
        </w:rPr>
        <w:t>1. змейковые аэростаты поднимать строго в необ</w:t>
      </w:r>
      <w:r w:rsidRPr="002F2FDF">
        <w:rPr>
          <w:b w:val="0"/>
          <w:bCs w:val="0"/>
          <w:color w:val="000000" w:themeColor="text1"/>
          <w:sz w:val="16"/>
          <w:szCs w:val="16"/>
        </w:rPr>
        <w:softHyphen/>
        <w:t>ходимых случаях, главным образом, для наблюдения при стрельбе наших батарей и для совместного с ней обучения.</w:t>
      </w:r>
    </w:p>
    <w:p w14:paraId="18803C86" w14:textId="77777777" w:rsidR="00DF19B3" w:rsidRPr="002F2FDF" w:rsidRDefault="00DF19B3" w:rsidP="0083075A">
      <w:pPr>
        <w:pStyle w:val="67"/>
        <w:shd w:val="clear" w:color="auto" w:fill="auto"/>
        <w:tabs>
          <w:tab w:val="left" w:pos="774"/>
        </w:tabs>
        <w:spacing w:before="0" w:line="240" w:lineRule="auto"/>
        <w:jc w:val="both"/>
        <w:rPr>
          <w:b w:val="0"/>
          <w:bCs w:val="0"/>
          <w:color w:val="000000" w:themeColor="text1"/>
          <w:sz w:val="16"/>
          <w:szCs w:val="16"/>
        </w:rPr>
      </w:pPr>
      <w:r w:rsidRPr="002F2FDF">
        <w:rPr>
          <w:b w:val="0"/>
          <w:bCs w:val="0"/>
          <w:color w:val="000000" w:themeColor="text1"/>
          <w:sz w:val="16"/>
          <w:szCs w:val="16"/>
        </w:rPr>
        <w:t>2. при частом расположении станций, 2 аэроста</w:t>
      </w:r>
      <w:r w:rsidRPr="002F2FDF">
        <w:rPr>
          <w:b w:val="0"/>
          <w:bCs w:val="0"/>
          <w:color w:val="000000" w:themeColor="text1"/>
          <w:sz w:val="16"/>
          <w:szCs w:val="16"/>
        </w:rPr>
        <w:softHyphen/>
        <w:t>та поднимать лишь в случаях, когда без этого нельзя обойтись &lt;...&gt; Между тем, аэростаты надо держать наготове10.</w:t>
      </w:r>
    </w:p>
    <w:p w14:paraId="0A9E97AE"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Указанные меры свидетельствуют о нерешён</w:t>
      </w:r>
      <w:r w:rsidRPr="002F2FDF">
        <w:rPr>
          <w:rFonts w:ascii="Times New Roman" w:hAnsi="Times New Roman" w:cs="Times New Roman"/>
          <w:color w:val="000000" w:themeColor="text1"/>
          <w:sz w:val="16"/>
          <w:szCs w:val="16"/>
        </w:rPr>
        <w:softHyphen/>
        <w:t>ности вопроса снабжения войск водородом на четвёртом годе войны (20120).</w:t>
      </w:r>
    </w:p>
    <w:p w14:paraId="012DAE21" w14:textId="77777777" w:rsidR="00DF19B3" w:rsidRPr="002F2FDF" w:rsidRDefault="00DF19B3" w:rsidP="0083075A">
      <w:pPr>
        <w:shd w:val="clear" w:color="auto" w:fill="FFFFFF"/>
        <w:spacing w:after="0" w:line="240" w:lineRule="auto"/>
        <w:jc w:val="both"/>
        <w:rPr>
          <w:rFonts w:ascii="Times New Roman" w:hAnsi="Times New Roman" w:cs="Times New Roman"/>
          <w:color w:val="000000" w:themeColor="text1"/>
          <w:sz w:val="16"/>
          <w:szCs w:val="16"/>
        </w:rPr>
      </w:pPr>
    </w:p>
    <w:p w14:paraId="3B766BB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90E9E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E4551E" w14:textId="77777777" w:rsidR="003573C6" w:rsidRPr="002F2FDF" w:rsidRDefault="003573C6" w:rsidP="0083075A">
      <w:pPr>
        <w:pStyle w:val="ae"/>
        <w:spacing w:before="0" w:after="0"/>
        <w:jc w:val="both"/>
        <w:rPr>
          <w:color w:val="000000" w:themeColor="text1"/>
          <w:kern w:val="2"/>
          <w:sz w:val="16"/>
          <w:szCs w:val="16"/>
        </w:rPr>
      </w:pPr>
      <w:r w:rsidRPr="002F2FDF">
        <w:rPr>
          <w:color w:val="000000" w:themeColor="text1"/>
          <w:kern w:val="2"/>
          <w:sz w:val="16"/>
          <w:szCs w:val="16"/>
        </w:rPr>
        <w:t>13 (26) февраля 1917 во Франции в городе Кале на побережье Ла-Манша открылась двухдневная англо-французская конференция. Изначально она была посвящена налаживанию работы железнодорожного транспорта, который все хуже справлялся с переброской на фронт постоянно возрастающего объема военных грузов. Однако стороны почти сразу перешли к более принципиальным вопросам — о планах предстоящего генерального наступления и введения единого командования силами союзников на Западном фронте, где действовали английские, французские, бельгийские, новозеландские и русские части.</w:t>
      </w:r>
    </w:p>
    <w:p w14:paraId="62A242F4" w14:textId="77777777" w:rsidR="003573C6" w:rsidRPr="002F2FDF" w:rsidRDefault="003573C6" w:rsidP="0083075A">
      <w:pPr>
        <w:pStyle w:val="ae"/>
        <w:spacing w:before="0" w:after="0"/>
        <w:jc w:val="both"/>
        <w:rPr>
          <w:color w:val="000000" w:themeColor="text1"/>
          <w:kern w:val="2"/>
          <w:sz w:val="16"/>
          <w:szCs w:val="16"/>
        </w:rPr>
      </w:pPr>
      <w:r w:rsidRPr="002F2FDF">
        <w:rPr>
          <w:color w:val="000000" w:themeColor="text1"/>
          <w:kern w:val="2"/>
          <w:sz w:val="16"/>
          <w:szCs w:val="16"/>
        </w:rPr>
        <w:t>Французский главнокомандующий генерал Нивель настаивал, что главный удар должны будут нанести французские части между реками Реймс и Эна, а британцы начнут отвлекающее наступление между городами Аррас и Бапум. Командующим британскими войсками в Европе генерал Дуглас Хейг, в свою очередь, полагал, что прежде всего необходимо овладеть так называемым хребтом Вими — холмистой местности к северу от Арраса. Согласовать планы Нивелю и Хейгу так и не удалось из-за скандала, произошедшего при обсуждении второй темы — создания объединенного командования.</w:t>
      </w:r>
    </w:p>
    <w:p w14:paraId="05EF696E" w14:textId="77777777" w:rsidR="003573C6" w:rsidRPr="002F2FDF" w:rsidRDefault="003573C6" w:rsidP="0083075A">
      <w:pPr>
        <w:pStyle w:val="ae"/>
        <w:spacing w:before="0" w:after="0"/>
        <w:jc w:val="both"/>
        <w:rPr>
          <w:color w:val="000000" w:themeColor="text1"/>
          <w:kern w:val="2"/>
          <w:sz w:val="16"/>
          <w:szCs w:val="16"/>
        </w:rPr>
      </w:pPr>
      <w:r w:rsidRPr="002F2FDF">
        <w:rPr>
          <w:color w:val="000000" w:themeColor="text1"/>
          <w:kern w:val="2"/>
          <w:sz w:val="16"/>
          <w:szCs w:val="16"/>
        </w:rPr>
        <w:t>Генерал Нивель предложил уже с 1 марта 1917 года передать французскому главнокомандующему, то есть, ему самому, командование британскими армиями во Франции по всем вопросам — планирования и проведения боевых операций, размещения, снабжения и даже комплектования. При таком варианте у британцев оставался лишь формальный контроль над войсками — фельдмаршал Хейг лишался своих армий, а начальник имперского генерального штаба Вилли Робертсон становился «почтальоном» между французским командованием и британским военным министерством.</w:t>
      </w:r>
    </w:p>
    <w:p w14:paraId="4CAC4BD2" w14:textId="77777777" w:rsidR="003573C6" w:rsidRPr="002F2FDF" w:rsidRDefault="003573C6" w:rsidP="0083075A">
      <w:pPr>
        <w:pStyle w:val="ae"/>
        <w:spacing w:before="0" w:after="0"/>
        <w:jc w:val="both"/>
        <w:rPr>
          <w:color w:val="000000" w:themeColor="text1"/>
          <w:kern w:val="2"/>
          <w:sz w:val="16"/>
          <w:szCs w:val="16"/>
        </w:rPr>
      </w:pPr>
      <w:r w:rsidRPr="002F2FDF">
        <w:rPr>
          <w:color w:val="000000" w:themeColor="text1"/>
          <w:kern w:val="2"/>
          <w:sz w:val="16"/>
          <w:szCs w:val="16"/>
        </w:rPr>
        <w:t>Узнав об этом, Робертсон пригрозил уйти в отставку, и в итоге вопрос о совместном командовании был отложен. Неожиданное и радикальное предложение Нивеля надолго подорвало доверие между английским и французским командованиями.</w:t>
      </w:r>
    </w:p>
    <w:p w14:paraId="08E58D3C" w14:textId="77777777" w:rsidR="003573C6" w:rsidRPr="002F2FDF" w:rsidRDefault="003573C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Согласовать союзникам в Кале удалось лишь план действий на 1917 год на Салоникском фронте. В итоговой резолюции конференции среди прочего указывалось: «Задача союзных армий в Салониках заключается в том, чтобы удерживать перед собой силы противника, которые там находятся, и одержать верх, атакуя их, если это окажется уместным» (17045).</w:t>
      </w:r>
    </w:p>
    <w:p w14:paraId="6967F762" w14:textId="77777777" w:rsidR="003573C6" w:rsidRPr="002F2FDF" w:rsidRDefault="003573C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8A5A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февраля 1917 президент Вудро Вильсон запросил у Конгресса разрешение на вооружение гражданских судов (2100).</w:t>
      </w:r>
    </w:p>
    <w:p w14:paraId="5ABD8E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185274" w14:textId="77777777" w:rsidR="00EE4596"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011FF56D" w14:textId="77777777" w:rsidR="00EE4596" w:rsidRPr="002F2FDF" w:rsidRDefault="00EE459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16FC70" w14:textId="77777777" w:rsidR="00EE4596" w:rsidRPr="002F2FDF" w:rsidRDefault="00EE459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февраля 1917 года, с учетом того, что в январе 1917 года русское командование решило сформировать ещё 3 дивизиона бронепатомобилей Поплавко для Юго-Западного и Румынского фронтов, Склад приборов и приспособлений при Офицерской стрелковой школе получил заказ на 90 «Джеффери» с улучшенным вариантом бронировки, а броня должна была поступать с Ижорского завода.</w:t>
      </w:r>
    </w:p>
    <w:p w14:paraId="06DF241E" w14:textId="77777777" w:rsidR="00EE4596" w:rsidRPr="002F2FDF" w:rsidRDefault="00EE459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Предполагалось, начиная с середины марта сдавать ежемесячно по 15 машин. Однако реально построили только 1 броневик, отправленный 16 июня 1916 года в Запасной броневой дивизион. В начавшемся 16 июня 1917 года наступлении войск 11-й армии бронедивизион Особого назначения для прорыва проволочных заграждений не применялся. Однако, действуя как обычные броневики, «Джеффери» оказали большую помощь 17-му армейскому корпусу, прикрывая его отход во время прорыва немцев на Тарнополь. Так, 7 июля у урочища Лисьи Ямы (северо-восточнее Тарнополя) машины 1-го отделения под командованием хорунжего Иноземцева атаковали немцев и под сильным артиллерийским огнём, заполняя прорывы в наших пехотных цепях, задержали продвижение противника на 3,5 часа. В тот же день 2-е отделение штабс-капитана Алексеевцева и 3-е штабс-капитана Устинова с 16 часов вели бой под м. Езерна, прикрывая эвакуацию имущества. С наступлением темноты, прорвавшись через объятую огнём Езерну и уничтожив склад боеприпасов, который не сумели вывезти, машины отошли к Тарнополю. 8 июля 1916 года все 3 отделения прикрывали переправы на реке Сереет и шоссе Тарнополь – Ново-Заложице. Не имея связи с пехотой, отходившей, не оказывая никакого сопротивления, броневики с 8 утра до 8 вечера сдерживали немцев, непрерывно атакуя их, расстреливая в упор и не давая продвигаться. Кроме того, машины дивизиона вывозили из-под огня раненых, брошенные отступавшими войсками пулемёты и орудия.</w:t>
      </w:r>
    </w:p>
    <w:p w14:paraId="39794028" w14:textId="77777777" w:rsidR="00EE4596" w:rsidRPr="002F2FDF" w:rsidRDefault="00EE459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ходе непрерывных 2-дневных боёв 2 броневика были разбиты огнём немецкой артиллерии, а 3 машины подорваны экипажами (из-за поломок вывести их в тыл не представлялось возможным). 18 июля 1-е отделение поддерживало части 122-й пехотной дивизии при атаке города Гжималув. Машины ворвались в город, помогли пехоте выбить оттуда противника и 1,5 километра преследовали его. Основной причиной эффективных действий «Джеффери» в июльских боях являлась их повышенная проходимость и подвижность (за счёт поворота передних и задних колёс) по сравнению с другими типами броневых автомобилей. Особенно это было заметно в боях 7 – 8 июля 1917 года, когда из-за дождей грунтовые дороги стали практически непроходимыми для автомашин. Однако выявились и серьёзные недостатки в системе бронировки и вооружения «Джеффери». Так, боевое отделение сильно нагревалось от находившегося там двигателя, а горизонтальный обстрел пулемётов составлял всего 15 градусов. 2 октября 1917 года, после испытания «Джеффери», в присутствии членов штаба Юго-Западного фронта решено было «отказаться от применения этих машин для выполнения задачи особого назначения, а использовать их для выполнения задач обыкновенных броневых автомобилей, причём благодаря неудовлетворительному размещению и конструкции бойниц (пулемётных) лишь при условии совместной работы одновременно не менее 2-х таких броневиков». После октябрьского переворота 1917 года бронедивизион Особого назначения был «украинизирован» и включён в состав вооружённых сил Центральной Рады – правительства провозгласившей независимость Украины. Однако Центральная Рада не смогла долго удержаться у власти и бронеавтомобили «Джеффери» пошли по рукам. Большая их часть досталась Красной Армии и была передана во вновь сформированные бронеотряды (17005).</w:t>
      </w:r>
    </w:p>
    <w:p w14:paraId="7B9F0D47" w14:textId="77777777" w:rsidR="00EE4596" w:rsidRPr="002F2FDF" w:rsidRDefault="00EE459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CD595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3E89A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874F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февраля 1917 численность бастующих в Петрограде достигла 80 тыс. На открывшемся заседании 4 Думы депутаты требуют отставки ряда министров царского правительства (1348,83).</w:t>
      </w:r>
    </w:p>
    <w:p w14:paraId="3AF5BE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973B3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февраля 1917 Дума России потребовала отставки русского правительства (4962).</w:t>
      </w:r>
    </w:p>
    <w:p w14:paraId="44C7316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BF0B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февраля 1917 открылась сессия Думы. Депутаты потребовали отставки неспособных министров (3908,252).</w:t>
      </w:r>
    </w:p>
    <w:p w14:paraId="4424F1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5F92C3" w14:textId="77777777" w:rsidR="000E76F1" w:rsidRPr="002F2FDF" w:rsidRDefault="000E76F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14 (27) февраля 1917 открылась сессия Думы. Депутаты потребовали отставки неспособных министров (17025).</w:t>
      </w:r>
    </w:p>
    <w:p w14:paraId="658E16C2" w14:textId="77777777" w:rsidR="000E76F1" w:rsidRPr="002F2FDF" w:rsidRDefault="000E76F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0BFB1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1ACDA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38FA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февраля 1917 На англо-французской конференции в Кале был одобрен план операций Нивеля. С целью обеспечения полного единства командования "в течение предстоящих военных операций" общее руководство французской и английской армиями возлагалось на французского главнокомандующего.</w:t>
      </w:r>
    </w:p>
    <w:p w14:paraId="680144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Англии создан Комитет войны под председательством Ллойда Джорджа. Ллойд Джордж сменил на этом посту лорда Китченера, погибшего в июне 1916 г. при подрыве британского крейсера на мине (11999).</w:t>
      </w:r>
    </w:p>
    <w:p w14:paraId="13B1A4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FFE90A" w14:textId="77777777" w:rsidR="002F0CB2" w:rsidRPr="002F2FDF" w:rsidRDefault="002F0CB2" w:rsidP="0083075A">
      <w:pPr>
        <w:pStyle w:val="ae"/>
        <w:spacing w:before="0" w:after="0"/>
        <w:jc w:val="both"/>
        <w:rPr>
          <w:color w:val="000000" w:themeColor="text1"/>
          <w:kern w:val="2"/>
          <w:sz w:val="16"/>
          <w:szCs w:val="16"/>
        </w:rPr>
      </w:pPr>
      <w:r w:rsidRPr="002F2FDF">
        <w:rPr>
          <w:color w:val="000000" w:themeColor="text1"/>
          <w:kern w:val="2"/>
          <w:sz w:val="16"/>
          <w:szCs w:val="16"/>
        </w:rPr>
        <w:t>За период с 14 (27) февраля по 5 марта 1917 германские подводные лодки затопили 77 судов (17045).</w:t>
      </w:r>
    </w:p>
    <w:p w14:paraId="149BDCC2" w14:textId="77777777" w:rsidR="002F0CB2" w:rsidRPr="002F2FDF" w:rsidRDefault="002F0CB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70B3D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lastRenderedPageBreak/>
        <w:t>Авиапромышленность:</w:t>
      </w:r>
    </w:p>
    <w:p w14:paraId="10AF8C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9DC0B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15 </w:t>
      </w:r>
      <w:r w:rsidR="006E0883" w:rsidRPr="002F2FDF">
        <w:rPr>
          <w:rFonts w:ascii="Times New Roman" w:hAnsi="Times New Roman" w:cs="Times New Roman"/>
          <w:color w:val="000000" w:themeColor="text1"/>
          <w:kern w:val="2"/>
          <w:sz w:val="16"/>
          <w:szCs w:val="16"/>
        </w:rPr>
        <w:t xml:space="preserve">(28) </w:t>
      </w:r>
      <w:r w:rsidRPr="002F2FDF">
        <w:rPr>
          <w:rFonts w:ascii="Times New Roman" w:hAnsi="Times New Roman" w:cs="Times New Roman"/>
          <w:color w:val="000000" w:themeColor="text1"/>
          <w:kern w:val="2"/>
          <w:sz w:val="16"/>
          <w:szCs w:val="16"/>
        </w:rPr>
        <w:t>февраля 1917 В.А. Лебедев предложил Морскому ведомству 50 аппа</w:t>
      </w:r>
      <w:r w:rsidRPr="002F2FDF">
        <w:rPr>
          <w:rFonts w:ascii="Times New Roman" w:hAnsi="Times New Roman" w:cs="Times New Roman"/>
          <w:color w:val="000000" w:themeColor="text1"/>
          <w:kern w:val="2"/>
          <w:sz w:val="16"/>
          <w:szCs w:val="16"/>
        </w:rPr>
        <w:softHyphen/>
        <w:t>ратов "Лебедь 12", "специально переделанных для учебных целей и особо прочных". Согласие на покупку последовало в тот же самый день 6 марта, а официальный контракт с фирмой был подписан 11 апреля. Некоторые машины предполагалось оборудовать двойным управлением, что, впрочем, не отражалось на цене каждого самолета в отдельности, которая равнялась 15.000 руб. Весь заказ предстояло выполнить в период с 19 мая по 4 сентября 1917 г., а по другим данным — с 26 апреля по 25 августа. Чтобы не создавать прецедента и по причине политических беспорядков компания не поспела к сроку и это при том, что этот аэроплан находился в производстве с июня 1916 г. Для улучшения ситуации и после необходимых переговоров флоту были переданы 33 аппарата из числа купленных армией, что вкупе с определенной несогласованностью привело, по всей видимости, к тому, что об</w:t>
      </w:r>
      <w:r w:rsidRPr="002F2FDF">
        <w:rPr>
          <w:rFonts w:ascii="Times New Roman" w:hAnsi="Times New Roman" w:cs="Times New Roman"/>
          <w:color w:val="000000" w:themeColor="text1"/>
          <w:kern w:val="2"/>
          <w:sz w:val="16"/>
          <w:szCs w:val="16"/>
        </w:rPr>
        <w:softHyphen/>
        <w:t>щее количество аэропланов типа "Лебедь 12", направляемых в школу, к концу года достигло 57 единиц (2843).</w:t>
      </w:r>
    </w:p>
    <w:p w14:paraId="73F72A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23CB2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4346C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356D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февраля 1917 впервые в США по радио была выполнена голосовая передача с самолета (2253).</w:t>
      </w:r>
    </w:p>
    <w:p w14:paraId="4EA3D5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3D69B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50D60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4B6C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февраля (1 марта) 1917 УВВФ предложило построить в Херсоне авиационный завод производительностью 200 машин в год и моторно-механический завод той же мощности. 31 марта 1917 это предложение было одобрено Исполнительной комиссией при военном министре и поэтому туда и решили перенести Главный аэродром. Не построили (3621).</w:t>
      </w:r>
    </w:p>
    <w:p w14:paraId="118BDB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6ED80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16 февраля </w:t>
      </w:r>
      <w:r w:rsidR="006E0883" w:rsidRPr="002F2FDF">
        <w:rPr>
          <w:rFonts w:ascii="Times New Roman" w:hAnsi="Times New Roman" w:cs="Times New Roman"/>
          <w:color w:val="000000" w:themeColor="text1"/>
          <w:kern w:val="2"/>
          <w:sz w:val="16"/>
          <w:szCs w:val="16"/>
        </w:rPr>
        <w:t xml:space="preserve">(1 марта) </w:t>
      </w:r>
      <w:r w:rsidRPr="002F2FDF">
        <w:rPr>
          <w:rFonts w:ascii="Times New Roman" w:hAnsi="Times New Roman" w:cs="Times New Roman"/>
          <w:color w:val="000000" w:themeColor="text1"/>
          <w:kern w:val="2"/>
          <w:sz w:val="16"/>
          <w:szCs w:val="16"/>
        </w:rPr>
        <w:t>1917 Управление ВВФ внесло предложение о построй</w:t>
      </w:r>
      <w:r w:rsidRPr="002F2FDF">
        <w:rPr>
          <w:rFonts w:ascii="Times New Roman" w:hAnsi="Times New Roman" w:cs="Times New Roman"/>
          <w:color w:val="000000" w:themeColor="text1"/>
          <w:kern w:val="2"/>
          <w:sz w:val="16"/>
          <w:szCs w:val="16"/>
        </w:rPr>
        <w:softHyphen/>
        <w:t>ке в городе Херсоне сэмолетостроительного завода производи</w:t>
      </w:r>
      <w:r w:rsidRPr="002F2FDF">
        <w:rPr>
          <w:rFonts w:ascii="Times New Roman" w:hAnsi="Times New Roman" w:cs="Times New Roman"/>
          <w:color w:val="000000" w:themeColor="text1"/>
          <w:kern w:val="2"/>
          <w:sz w:val="16"/>
          <w:szCs w:val="16"/>
        </w:rPr>
        <w:softHyphen/>
        <w:t>тельностью 200 самолетов в год и моторно-механическвго завода производительностью 200 двигателей в год. 12 марта подготовительная комиссия по авиационным вопросам одобрила предложение УВВФ, а 31 марта оно было одобрено и Исполнительной комиссией при военном министре. Туда же ре</w:t>
      </w:r>
      <w:r w:rsidRPr="002F2FDF">
        <w:rPr>
          <w:rFonts w:ascii="Times New Roman" w:hAnsi="Times New Roman" w:cs="Times New Roman"/>
          <w:color w:val="000000" w:themeColor="text1"/>
          <w:kern w:val="2"/>
          <w:sz w:val="16"/>
          <w:szCs w:val="16"/>
        </w:rPr>
        <w:softHyphen/>
        <w:t>шено было перевести и Главный аэродром. Заводы построены не были. (ЦГВИА. ф.493, оп.6, д. 11, л.127).</w:t>
      </w:r>
    </w:p>
    <w:p w14:paraId="6061FA5A" w14:textId="11B6DED8"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8BF748" w14:textId="77777777" w:rsidR="00BA5103" w:rsidRDefault="00BA5103"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16 февраля</w:t>
      </w:r>
      <w:r>
        <w:rPr>
          <w:rFonts w:ascii="Times New Roman" w:hAnsi="Times New Roman" w:cs="Times New Roman"/>
          <w:color w:val="0070C0"/>
          <w:sz w:val="16"/>
          <w:szCs w:val="16"/>
        </w:rPr>
        <w:t xml:space="preserve"> (1 марта) 1917 г</w:t>
      </w:r>
      <w:r w:rsidRPr="00815ED5">
        <w:rPr>
          <w:rFonts w:ascii="Times New Roman" w:hAnsi="Times New Roman" w:cs="Times New Roman"/>
          <w:color w:val="0070C0"/>
          <w:sz w:val="16"/>
          <w:szCs w:val="16"/>
        </w:rPr>
        <w:t>. Управление BB</w:t>
      </w:r>
      <w:r>
        <w:rPr>
          <w:rFonts w:ascii="Times New Roman" w:hAnsi="Times New Roman" w:cs="Times New Roman"/>
          <w:color w:val="0070C0"/>
          <w:sz w:val="16"/>
          <w:szCs w:val="16"/>
        </w:rPr>
        <w:t>Ф</w:t>
      </w:r>
      <w:r w:rsidRPr="00815ED5">
        <w:rPr>
          <w:rFonts w:ascii="Times New Roman" w:hAnsi="Times New Roman" w:cs="Times New Roman"/>
          <w:color w:val="0070C0"/>
          <w:sz w:val="16"/>
          <w:szCs w:val="16"/>
        </w:rPr>
        <w:t xml:space="preserve"> внесло предложение о постройке в г. Херсоне самолетостроительного завода производительностью 200 са</w:t>
      </w:r>
      <w:r w:rsidRPr="00815ED5">
        <w:rPr>
          <w:rFonts w:ascii="Times New Roman" w:hAnsi="Times New Roman" w:cs="Times New Roman"/>
          <w:color w:val="0070C0"/>
          <w:sz w:val="16"/>
          <w:szCs w:val="16"/>
        </w:rPr>
        <w:softHyphen/>
        <w:t>молетов в год,</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стоимостью до 3.350.000 рублей и моторно-механиче</w:t>
      </w:r>
      <w:r w:rsidRPr="00815ED5">
        <w:rPr>
          <w:rFonts w:ascii="Times New Roman" w:hAnsi="Times New Roman" w:cs="Times New Roman"/>
          <w:color w:val="0070C0"/>
          <w:sz w:val="16"/>
          <w:szCs w:val="16"/>
        </w:rPr>
        <w:softHyphen/>
        <w:t>ского завода производительностью 200 моторов в год,</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стоимостью 3.400.000 рублей. 12-го марта подготовительная комиссия по авиациони</w:t>
      </w:r>
      <w:r>
        <w:rPr>
          <w:rFonts w:ascii="Times New Roman" w:hAnsi="Times New Roman" w:cs="Times New Roman"/>
          <w:color w:val="0070C0"/>
          <w:sz w:val="16"/>
          <w:szCs w:val="16"/>
        </w:rPr>
        <w:t>ы</w:t>
      </w:r>
      <w:r w:rsidRPr="00815ED5">
        <w:rPr>
          <w:rFonts w:ascii="Times New Roman" w:hAnsi="Times New Roman" w:cs="Times New Roman"/>
          <w:color w:val="0070C0"/>
          <w:sz w:val="16"/>
          <w:szCs w:val="16"/>
        </w:rPr>
        <w:t>м вопросам одобрила предложение УВ</w:t>
      </w:r>
      <w:r>
        <w:rPr>
          <w:rFonts w:ascii="Times New Roman" w:hAnsi="Times New Roman" w:cs="Times New Roman"/>
          <w:color w:val="0070C0"/>
          <w:sz w:val="16"/>
          <w:szCs w:val="16"/>
        </w:rPr>
        <w:t>Ф</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 31 марта оно б</w:t>
      </w:r>
      <w:r>
        <w:rPr>
          <w:rFonts w:ascii="Times New Roman" w:hAnsi="Times New Roman" w:cs="Times New Roman"/>
          <w:color w:val="0070C0"/>
          <w:sz w:val="16"/>
          <w:szCs w:val="16"/>
        </w:rPr>
        <w:t>ы</w:t>
      </w:r>
      <w:r w:rsidRPr="00815ED5">
        <w:rPr>
          <w:rFonts w:ascii="Times New Roman" w:hAnsi="Times New Roman" w:cs="Times New Roman"/>
          <w:color w:val="0070C0"/>
          <w:sz w:val="16"/>
          <w:szCs w:val="16"/>
        </w:rPr>
        <w:t>ло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одобрено </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 xml:space="preserve"> Исполнительной комиссией при военном министр оттуда решено било перевести и главный аэродром» /</w:t>
      </w:r>
      <w:r>
        <w:rPr>
          <w:rFonts w:ascii="Times New Roman" w:hAnsi="Times New Roman" w:cs="Times New Roman"/>
          <w:color w:val="0070C0"/>
          <w:sz w:val="16"/>
          <w:szCs w:val="16"/>
        </w:rPr>
        <w:t>ЦГВИА, ф</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6,</w:t>
      </w:r>
      <w:r>
        <w:rPr>
          <w:rFonts w:ascii="Times New Roman" w:hAnsi="Times New Roman" w:cs="Times New Roman"/>
          <w:color w:val="0070C0"/>
          <w:sz w:val="16"/>
          <w:szCs w:val="16"/>
        </w:rPr>
        <w:t xml:space="preserve"> д</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11, л. 127</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249A715B" w14:textId="77777777" w:rsidR="00BA5103" w:rsidRDefault="00BA5103" w:rsidP="0083075A">
      <w:pPr>
        <w:spacing w:after="0" w:line="240" w:lineRule="auto"/>
        <w:jc w:val="both"/>
        <w:rPr>
          <w:rFonts w:ascii="Times New Roman" w:hAnsi="Times New Roman" w:cs="Times New Roman"/>
          <w:color w:val="0070C0"/>
          <w:sz w:val="16"/>
          <w:szCs w:val="16"/>
        </w:rPr>
      </w:pPr>
    </w:p>
    <w:p w14:paraId="2F8FC189" w14:textId="22828C56" w:rsidR="004C450A" w:rsidRPr="002F2FDF" w:rsidRDefault="004C450A" w:rsidP="0083075A">
      <w:pPr>
        <w:shd w:val="clear" w:color="auto" w:fill="FFFFFF"/>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33C95E2" w14:textId="77777777" w:rsidR="004C450A" w:rsidRPr="002F2FDF" w:rsidRDefault="004C450A" w:rsidP="0083075A">
      <w:pPr>
        <w:shd w:val="clear" w:color="auto" w:fill="FFFFFF"/>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BABD374" w14:textId="77777777" w:rsidR="004C450A" w:rsidRPr="002F2FDF" w:rsidRDefault="004C450A"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16 (29) февраля 1917 года было последнее изменение цен на нефть Осотопом буквально за несколько дней до Февральской революции. Цена нефти на местах добычи возросла с 45 до 60 копеек за пуд. Следующая фиксация цен на сырую нефть — до 96 копеек за пуд — была проведена уже Временным правительством. С одной стороны, установление твердых цен на нефть и нефтепродукты было явлением положительным, прежде всего для потребителей, с другой — сдерживание отпускных цен при постоянном росте цен на материалы для нефтяной отрасли привело к снижению прибылей, что повлияло на свертывание разведочных буровых работ. И если до 1918 года это еще не успело проявиться, то в последующем сыграло свою роль в усилении разрухи и топливном кризисе: в 1921 году добыча нефти снизилась по сравнению с 1917 годом более чем вдвое, до 3,8 млн. т. (11178).</w:t>
      </w:r>
    </w:p>
    <w:p w14:paraId="49DBD63E" w14:textId="77777777" w:rsidR="004C450A" w:rsidRPr="002F2FDF" w:rsidRDefault="004C450A" w:rsidP="0083075A">
      <w:pPr>
        <w:spacing w:after="0" w:line="240" w:lineRule="auto"/>
        <w:jc w:val="both"/>
        <w:rPr>
          <w:rFonts w:ascii="Times New Roman" w:hAnsi="Times New Roman" w:cs="Times New Roman"/>
          <w:sz w:val="16"/>
          <w:szCs w:val="16"/>
        </w:rPr>
      </w:pPr>
    </w:p>
    <w:p w14:paraId="29CE33E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6AACD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A564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16 февраля (1 марта) 1917 - Из отчета русского авиационного командования в Ставку: "...сложилась крайне неблагоприятная обстановка для нашей авиации. Материальная часть очень изношена. Новых самолетов поступает очень мало. Наша авиация действует в условиях значительного количественного и качественного превосходства самолетов противника. Разведывательная авиация вынуждена перейти к групповым полетам под прикрытием истребителей. Дальняя разведка производится одиночными самолетами-истребителями, а в особо важных случаях - группами по 5-7 самолетов... На сегодняшний день за первые два месяца кампании 1917 г. произведено 2505 самолето-вылетов, а всего с начала войны 31 162 самолето-вылета..." </w:t>
      </w:r>
    </w:p>
    <w:p w14:paraId="0119AD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Молль : "При первых же воздушных боях весной 1917 года у русских... было сбито виидавскими истребителями 4 самолета без всяких потерь с нашей стороны. И с тех пор все русские гидросамолеты, при виде даже одного нашего, поворачивали обычно назад и спускались в районе своих авиачастей или дозорных кораблей. Их не удавалось расшевелить и вызвать на бой, даже применяя особые приманочные самолеты... И только над собственной территорией русские пытались всегда сбить наши гидросамолеты с помощью большого числа своих истребителей" (11999).</w:t>
      </w:r>
    </w:p>
    <w:p w14:paraId="511265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3888F6"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16 февраля (1 марта) 1917 г. к 3-му дивизиону в Севастополе причислили наблюдате</w:t>
      </w:r>
      <w:r w:rsidRPr="002F2FDF">
        <w:rPr>
          <w:rFonts w:ascii="Times New Roman" w:hAnsi="Times New Roman" w:cs="Times New Roman"/>
          <w:color w:val="000000" w:themeColor="text1"/>
          <w:sz w:val="16"/>
          <w:szCs w:val="16"/>
        </w:rPr>
        <w:softHyphen/>
        <w:t>ля змейковой станции подпоручика Сегаля. Это свидетельствует о том, что с середины октября 1916 г. по весну 1917 г. станция работала в нор</w:t>
      </w:r>
      <w:r w:rsidRPr="002F2FDF">
        <w:rPr>
          <w:rFonts w:ascii="Times New Roman" w:hAnsi="Times New Roman" w:cs="Times New Roman"/>
          <w:color w:val="000000" w:themeColor="text1"/>
          <w:sz w:val="16"/>
          <w:szCs w:val="16"/>
        </w:rPr>
        <w:softHyphen/>
        <w:t>мальном режиме (20120).</w:t>
      </w:r>
    </w:p>
    <w:p w14:paraId="42EB3589"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p>
    <w:p w14:paraId="49D1D1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февраля (1 марта) 1917 вышел приказ N 1 по Петроградскому гарнизону, который отменил старые порядки в войсках и призвал солдат создавать солдатские советы и ставить распоряжения офицеров под контроль Советов (3481).</w:t>
      </w:r>
    </w:p>
    <w:p w14:paraId="116370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E2402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8C495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99CE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февраля (1 марта) 1917 управляемый с самолета немецкий катер, начиненный взрывчаткой (был разработан и изготовлен еще к концу 1915, имел водоизмещение 6 т и скорость до 30 узлов, дальность 50 км и 200 кг взрывчатки), был направлен на мол занятого англичанами порта Ньепор. Взрыв разрушил 50 м мола (3415,24).</w:t>
      </w:r>
    </w:p>
    <w:p w14:paraId="6FA186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AE8F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февраля (1 марта) 1917 г. управляемый с самолета взрывающийся катер был направлен на мол занятого англичанами порта Ньепор. Взрыв разрушил 50 м мола и английский наблюдательный пункт. К юнцу 1915 года в Германии были изготовлены уже боевые взрывающиеся катера. Их водоизмещение составляло 6 т, скорость — до 30 узлов. Катер нес взрывчатый заряд весом более 200 кг и мог наводиться на цель по радио с берегового поста на дальности до 40 км. При корректировке с самолета дальность действия катера увеличивалась до 50 км. Катера базировались на захваченных бельгийских портах и с их помощью было предпринято несколько попыток атаковать неприятеля. Первая такая попытка (впервые в истории) 24 апреля 1917 г. была неудачной: на катере вышла из строя радиоустановка (11916).</w:t>
      </w:r>
    </w:p>
    <w:p w14:paraId="1DB32A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B5FDC2" w14:textId="1DFD1379" w:rsidR="00EE1282" w:rsidRPr="002F2FDF" w:rsidRDefault="00EE1282"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1</w:t>
      </w:r>
      <w:r>
        <w:rPr>
          <w:rFonts w:ascii="Times New Roman" w:hAnsi="Times New Roman" w:cs="Times New Roman"/>
          <w:sz w:val="16"/>
          <w:szCs w:val="16"/>
        </w:rPr>
        <w:t>6</w:t>
      </w:r>
      <w:r w:rsidRPr="002F2FDF">
        <w:rPr>
          <w:rFonts w:ascii="Times New Roman" w:hAnsi="Times New Roman" w:cs="Times New Roman"/>
          <w:sz w:val="16"/>
          <w:szCs w:val="16"/>
        </w:rPr>
        <w:t xml:space="preserve"> февраля (1 марта) 1917 года Штрассер, разделявший мнение, что безопасность дирижаблей может быть достигнута только увеличением рабочих высот, отправил по команде свои предложения по модернизации цеппелинов типа R: для поднятия высоты полёта с боевой нагрузкой до безопасных 5000 метров было необходимо снизить мёртвый вес на 3300 кг. Почти половину необходимого облегчения давала замена кормовой гондолы, как в министерских проектах, большую же часть оставшейся половины можно было сэкономить общим облегчением силового набора. Считалось, что</w:t>
      </w:r>
      <w:r w:rsidR="00E52569">
        <w:rPr>
          <w:rFonts w:ascii="Times New Roman" w:hAnsi="Times New Roman" w:cs="Times New Roman"/>
          <w:sz w:val="16"/>
          <w:szCs w:val="16"/>
        </w:rPr>
        <w:t xml:space="preserve"> </w:t>
      </w:r>
      <w:r w:rsidRPr="002F2FDF">
        <w:rPr>
          <w:rFonts w:ascii="Times New Roman" w:hAnsi="Times New Roman" w:cs="Times New Roman"/>
          <w:sz w:val="16"/>
          <w:szCs w:val="16"/>
        </w:rPr>
        <w:t>«для достижения больших высот и возможности проводить атаки нужно не пытаться быть осторожным, а работать на низком уровне безопасности». Остаток предполагалось добрать уменьшением запаса топлива и бомбовой нагрузки. Высотный вариант имел безусловные преимущества перед скоростным, и его сразу же приняли за основу (19156).</w:t>
      </w:r>
    </w:p>
    <w:p w14:paraId="23D4C270" w14:textId="77777777" w:rsidR="00EE1282" w:rsidRPr="002F2FDF" w:rsidRDefault="00EE1282" w:rsidP="0083075A">
      <w:pPr>
        <w:spacing w:after="0" w:line="240" w:lineRule="auto"/>
        <w:jc w:val="both"/>
        <w:rPr>
          <w:rFonts w:ascii="Times New Roman" w:hAnsi="Times New Roman" w:cs="Times New Roman"/>
          <w:sz w:val="16"/>
          <w:szCs w:val="16"/>
        </w:rPr>
      </w:pPr>
    </w:p>
    <w:p w14:paraId="7D7A50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февраля (1 марта) 1917 в США был опубликован текст телеграммы Циммермана - МИД послу в Мехико, в которой говорится, что в случае начала войны США и Германии послу следует предложить Мексике сотрудничество и поддержку требований в возврате территорий, захваченных США (3907,89).</w:t>
      </w:r>
    </w:p>
    <w:p w14:paraId="585DC4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4B7B72" w14:textId="77777777" w:rsidR="003573C6" w:rsidRPr="002F2FDF" w:rsidRDefault="003573C6" w:rsidP="0083075A">
      <w:pPr>
        <w:pStyle w:val="ae"/>
        <w:spacing w:before="0" w:after="0"/>
        <w:jc w:val="both"/>
        <w:rPr>
          <w:color w:val="000000" w:themeColor="text1"/>
          <w:kern w:val="2"/>
          <w:sz w:val="16"/>
          <w:szCs w:val="16"/>
        </w:rPr>
      </w:pPr>
      <w:r w:rsidRPr="002F2FDF">
        <w:rPr>
          <w:color w:val="000000" w:themeColor="text1"/>
          <w:kern w:val="2"/>
          <w:sz w:val="16"/>
          <w:szCs w:val="16"/>
        </w:rPr>
        <w:t>16 февраля (1 марта) 1917 в американских газетах был опубликован текст так называемой «телеграммы Циммермана» — секретной депеши, отправленной в середине января главой германского МИДа Артуром Циммерманом послам в Вашингтоне и Мехико, и перехваченной и расшифрованной английской разведкой. В ней давались инструкции по ведению переговоров с правительством Мексики, которому прямо предлагалось заключить союз с Германией и вступить в войну, в том числе и против США. За это немцы обещали помочь Мексике в возвращении части территорий, отошедших по результатам войн XIX века к США — Техаса, Нью-Мексико и Аризоны. Также в депеше Циммермана предлагалось провести переговоры с представителями Японии и убедить их выйти из союза с Антантой и присоединиться к Центральным державам.</w:t>
      </w:r>
    </w:p>
    <w:p w14:paraId="0ACB8CCC" w14:textId="77777777" w:rsidR="003573C6" w:rsidRPr="002F2FDF" w:rsidRDefault="003573C6"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Британский военный историк Нейл Грант так описал это событие: «Телеграмма Циммермана представила доказательства враждебного отношения Германии к США, </w:t>
      </w:r>
      <w:r w:rsidRPr="002F2FDF">
        <w:rPr>
          <w:color w:val="000000" w:themeColor="text1"/>
          <w:kern w:val="2"/>
          <w:sz w:val="16"/>
          <w:szCs w:val="16"/>
        </w:rPr>
        <w:lastRenderedPageBreak/>
        <w:t>которые, как часто повторял президент Вильсон, были необходимы ему для того, чтобы принять решение об объявлении войны. С этим инцидентом была связана блестяще проведенная английской морской разведкой операция. Телеграмма была перехвачена в «комнате 40» (криптографическая служба) Британского Адмиралтейства. Ее обитатели разбирались в немецких шифрах и распознали зашифрованное имя «Циммерман», означавшее классификацию документа как «совершенно секретную»».</w:t>
      </w:r>
    </w:p>
    <w:p w14:paraId="3DE5336B" w14:textId="77777777" w:rsidR="003573C6" w:rsidRPr="002F2FDF" w:rsidRDefault="003573C6" w:rsidP="0083075A">
      <w:pPr>
        <w:pStyle w:val="ae"/>
        <w:spacing w:before="0" w:after="0"/>
        <w:jc w:val="both"/>
        <w:rPr>
          <w:color w:val="000000" w:themeColor="text1"/>
          <w:kern w:val="2"/>
          <w:sz w:val="16"/>
          <w:szCs w:val="16"/>
        </w:rPr>
      </w:pPr>
      <w:r w:rsidRPr="002F2FDF">
        <w:rPr>
          <w:color w:val="000000" w:themeColor="text1"/>
          <w:kern w:val="2"/>
          <w:sz w:val="16"/>
          <w:szCs w:val="16"/>
        </w:rPr>
        <w:t>Расшифрованный текст депеши Циммермана был передан для ознакомления в американское посольство, после чего, по результатам консультаций был разработан специальный план по ее легализации — чтобы раскрытие тайны, касающейся США, выглядело бы как дело именно этой страны, и, таким образом, избежать кривотолков о возможной провокации со стороны Великобритании. В результате оригинал телеграммы был передан в США, где ее формально расшифровали уже американские специалисты. Это позволило президенту Вильсону заявить, что телеграмму перехватили и раскрыли ее тайну именно на американской территории. После этого вопрос о вступлении США войну переходил в разряд сугубо технических — оставалось лишь определить точную дату. Единственным препятствием оставались чисто организованные детали.</w:t>
      </w:r>
    </w:p>
    <w:p w14:paraId="1CF26A63" w14:textId="77777777" w:rsidR="003573C6" w:rsidRPr="002F2FDF" w:rsidRDefault="003573C6" w:rsidP="0083075A">
      <w:pPr>
        <w:pStyle w:val="ae"/>
        <w:spacing w:before="0" w:after="0"/>
        <w:jc w:val="both"/>
        <w:rPr>
          <w:color w:val="000000" w:themeColor="text1"/>
          <w:kern w:val="2"/>
          <w:sz w:val="16"/>
          <w:szCs w:val="16"/>
        </w:rPr>
      </w:pPr>
      <w:r w:rsidRPr="002F2FDF">
        <w:rPr>
          <w:color w:val="000000" w:themeColor="text1"/>
          <w:kern w:val="2"/>
          <w:sz w:val="16"/>
          <w:szCs w:val="16"/>
        </w:rPr>
        <w:t>К марту 1917 года США располагали совсем небольшой для 105-миллионной страны контрактной армией — численностью около 190 000 человек, довольно слабо вооруженной и плохо обученной. Также имелся резерв в виде Национальной гвардии численностью 123 000 человек, которые призывались ежегодно на сборы не более чем на месяц, и, подготовка которых заключалась, в основном, лишь в совершенствовании навыков стрельбы. Но всего за несколько следующих месяцев правительство США смогло увеличить численность армии почти в 20 раз, превратив ее в одну из самых мощных «боевых машин» в мире.</w:t>
      </w:r>
    </w:p>
    <w:p w14:paraId="1AE81BA1" w14:textId="77777777" w:rsidR="003573C6" w:rsidRPr="002F2FDF" w:rsidRDefault="003573C6" w:rsidP="0083075A">
      <w:pPr>
        <w:pStyle w:val="ae"/>
        <w:spacing w:before="0" w:after="0"/>
        <w:jc w:val="both"/>
        <w:rPr>
          <w:color w:val="000000" w:themeColor="text1"/>
          <w:kern w:val="2"/>
          <w:sz w:val="16"/>
          <w:szCs w:val="16"/>
        </w:rPr>
      </w:pPr>
      <w:r w:rsidRPr="002F2FDF">
        <w:rPr>
          <w:color w:val="000000" w:themeColor="text1"/>
          <w:kern w:val="2"/>
          <w:sz w:val="16"/>
          <w:szCs w:val="16"/>
        </w:rPr>
        <w:t>Также 1 марта конгресс США принял решение о вооружении всех своих торговых судов для противодействия «неограниченной подводной войне», объявленной ранее Германией. А 2 марта конгресс принял так называемый «закон Джонса», на основании которого остров Пуэрто-Рико, отвоеванный в 1898 году у Испании, был объявлен территорией США, а его жители получили права американских граждан (17045).</w:t>
      </w:r>
    </w:p>
    <w:p w14:paraId="5578A3CA" w14:textId="77777777" w:rsidR="003573C6" w:rsidRPr="002F2FDF" w:rsidRDefault="003573C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304DF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82C68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B5D4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февраля (2 марта) 1917 приказом морского министра N 54 было объявлено временное положение о Воздушной бригаде ОН (на правах воздушной дивизии), которой ставились задачи обслуживания флотилий Северного Ледовитого Океана и прочих морских частей. Хотели иметь шесть дивизионов по 10 отрядов. Однако, ее так и не сформировали и штаб ВБОН в июле 1917 был расформирован (1085,70).</w:t>
      </w:r>
    </w:p>
    <w:p w14:paraId="3CABFC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FF17A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13AE4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4C32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февраля (2 марта) 1917 начались забастовки на Путиловском и других заводах в Петрограде (3186).</w:t>
      </w:r>
    </w:p>
    <w:p w14:paraId="154689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175883" w14:textId="77777777" w:rsidR="00D130CE" w:rsidRPr="002F2FDF" w:rsidRDefault="00D130C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февраля (2 марта) 1917 г.с.с. — 17 (30) марта 1917 г. начался Великий пост, забастовка на Путиловском, увольнение рабочих — начало Февральской революции, образование Временного комитета, отречение Николая Романова от власти, вся власть у Временного комитета и Совета Народных депутатов, три волновых героя Романов, Протопопов, Рузский не справляются с проблемами и теряют Империю (17326).</w:t>
      </w:r>
    </w:p>
    <w:p w14:paraId="70AB6A36" w14:textId="77777777" w:rsidR="00D130CE" w:rsidRPr="002F2FDF" w:rsidRDefault="00D130C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16848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9E783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B6C3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февраля (2 марта) 1917 Конгресс США принял закон Джонса, на основании которого Пуэрто-Рико была объявлена территорией США и жители стали гражданами США (3907,93).</w:t>
      </w:r>
    </w:p>
    <w:p w14:paraId="4B809C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0F2E72" w14:textId="42E5B956" w:rsidR="003573C6" w:rsidRPr="002F2FDF" w:rsidRDefault="00315738" w:rsidP="0083075A">
      <w:pPr>
        <w:pStyle w:val="ae"/>
        <w:spacing w:before="0" w:after="0"/>
        <w:jc w:val="both"/>
        <w:rPr>
          <w:color w:val="000000" w:themeColor="text1"/>
          <w:kern w:val="2"/>
          <w:sz w:val="16"/>
          <w:szCs w:val="16"/>
        </w:rPr>
      </w:pPr>
      <w:r w:rsidRPr="002F2FDF">
        <w:rPr>
          <w:color w:val="000000" w:themeColor="text1"/>
          <w:kern w:val="2"/>
          <w:sz w:val="16"/>
          <w:szCs w:val="16"/>
        </w:rPr>
        <w:t>14 февраля (</w:t>
      </w:r>
      <w:r w:rsidR="003573C6" w:rsidRPr="002F2FDF">
        <w:rPr>
          <w:color w:val="000000" w:themeColor="text1"/>
          <w:kern w:val="2"/>
          <w:sz w:val="16"/>
          <w:szCs w:val="16"/>
        </w:rPr>
        <w:t>2 марта</w:t>
      </w:r>
      <w:r w:rsidRPr="002F2FDF">
        <w:rPr>
          <w:color w:val="000000" w:themeColor="text1"/>
          <w:kern w:val="2"/>
          <w:sz w:val="16"/>
          <w:szCs w:val="16"/>
        </w:rPr>
        <w:t xml:space="preserve">) 1917 г. </w:t>
      </w:r>
      <w:r w:rsidR="003573C6" w:rsidRPr="002F2FDF">
        <w:rPr>
          <w:color w:val="000000" w:themeColor="text1"/>
          <w:kern w:val="2"/>
          <w:sz w:val="16"/>
          <w:szCs w:val="16"/>
        </w:rPr>
        <w:t>конгресс принял так называемый «закон Джонса», на основании которого остров Пуэрто-Рико, отвоеванный в 1898 году у Испании, был объявлен территорией США, а его жители получили права американских граждан (17045).</w:t>
      </w:r>
    </w:p>
    <w:p w14:paraId="01758291" w14:textId="77777777" w:rsidR="003573C6" w:rsidRPr="002F2FDF" w:rsidRDefault="003573C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CA8B3A" w14:textId="77777777" w:rsidR="00DF19B3" w:rsidRPr="002F2FDF" w:rsidRDefault="00DF19B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E4C0317" w14:textId="77777777" w:rsidR="00DF19B3" w:rsidRPr="002F2FDF" w:rsidRDefault="00DF19B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6FC934"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18 февраля (3 марта) 1917 г.</w:t>
      </w:r>
    </w:p>
    <w:p w14:paraId="5786AA2E"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Резолюция по Журналу №  145.  </w:t>
      </w:r>
    </w:p>
    <w:p w14:paraId="643B7BD4"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18 февраля 1917 г. </w:t>
      </w:r>
    </w:p>
    <w:p w14:paraId="590A5B0A"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25 февраля.  — Резолюция Председателя Особого Совещания для обсуждения и объединения мероприятий по обороне государства по журналу Особого Совещания от 18 февраля 1917 года за №  145. </w:t>
      </w:r>
    </w:p>
    <w:p w14:paraId="7D538577"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Рассмотрев настоящий журнал, я в отношении приведения в исполнение требующих того суждений Особого Совещания решил: </w:t>
      </w:r>
    </w:p>
    <w:p w14:paraId="08342995"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  Утвердить  доклады  подготовительной  комиссии  по  артиллерийским вопросам: </w:t>
      </w:r>
    </w:p>
    <w:p w14:paraId="542BFCA3"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об отпуске обществу Франко-Русских заводов ссуды на пополнение  оборотных средств в размере одного миллиона двухсот тысяч (1 200 000)  руб лей, сроком не далее как на один год, в остальном — на основаниях, изложенных в журнале № 26 междуведомственного совещания по вопросу  о финансировании некоторых частных металлургических предприятий,  работающих на нужды государственной обороны, от 5 января 1917 года; </w:t>
      </w:r>
    </w:p>
    <w:p w14:paraId="3687EC4E"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б) об отпуске Симбирской губернской земской управе беспроцентной  ссуды в размере трехсот тысяч (300 000) руб лей, с погашением ее вместе  с ранее выданным названной управе авансом по контракту на поставку  жидкого хлора на условиях, изложенных в представлении главного артиллерийского управления от 5 сего февраля за №  1553; </w:t>
      </w:r>
    </w:p>
    <w:p w14:paraId="1781462E"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  о  предоставлении  Петроградской  артели  увечных  воинов  заказа  на 300  000 корпусов к ручным гранатам Новицкого на условиях, изложенных в представлении главного артиллерийского управления от 6 сего  февраля за № 24250, с выдачей 30 % аванса без обеспечения, в два срока,  на общих основаниях. </w:t>
      </w:r>
    </w:p>
    <w:p w14:paraId="556DFE05"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2)  Утвердить  доклад  подготовительной  комиссии  </w:t>
      </w:r>
      <w:r w:rsidRPr="002F2FDF">
        <w:rPr>
          <w:rFonts w:ascii="Times New Roman" w:hAnsi="Times New Roman" w:cs="Times New Roman"/>
          <w:color w:val="000000" w:themeColor="text1"/>
          <w:sz w:val="16"/>
          <w:szCs w:val="16"/>
          <w:highlight w:val="yellow"/>
        </w:rPr>
        <w:t>по  авиационным  вопросам</w:t>
      </w:r>
      <w:r w:rsidRPr="002F2FDF">
        <w:rPr>
          <w:rFonts w:ascii="Times New Roman" w:hAnsi="Times New Roman" w:cs="Times New Roman"/>
          <w:color w:val="000000" w:themeColor="text1"/>
          <w:sz w:val="16"/>
          <w:szCs w:val="16"/>
        </w:rPr>
        <w:t xml:space="preserve">  о  снятии  гарантии  банка  по  авансу,  выданному  правлению  Русско-Балтийского вагонного завода по заказу на поставку 32 самолетов типа «Илья Муромец», не ожидая окончания расчетов с заводом по  сему заказу. </w:t>
      </w:r>
    </w:p>
    <w:p w14:paraId="77B6DF34"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3)  Просить  министерство  путей  сообщения  о  предоставлении  Особому Совещанию по обороне государства периодических сведений относительно вывоза грузов из г. Романова по Мурманской железной дороге. </w:t>
      </w:r>
    </w:p>
    <w:p w14:paraId="3D9DC27B"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Генерал от инфантерии Беляев. </w:t>
      </w:r>
    </w:p>
    <w:p w14:paraId="683AB46F"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Управляющий      делами    Особого    Совещания      генерал-лейтенант  Бабиков. </w:t>
      </w:r>
    </w:p>
    <w:p w14:paraId="2F28F8AB"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11 марта. — Дополнительная резолюция Председателя Особого Совещания для обсуждения и объединения мероприятий по обороне государства по журналу Особого Совещания от 18 февраля 1917 года за №  145. </w:t>
      </w:r>
    </w:p>
    <w:p w14:paraId="51D872A4"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Дополнительно  к  резолюции  по  журналу  Особого  Совещания  от  18 февраля 1917 года за №  145 я решил: </w:t>
      </w:r>
    </w:p>
    <w:p w14:paraId="77B2D218"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4) Образовать из состава Особого Совещания комиссию для обследования на месте современного положения дела выгрузки прибывающих в  Романов на Мурмане иностранных грузов и отправки их по Мурманской  железной дороге. </w:t>
      </w:r>
    </w:p>
    <w:p w14:paraId="2232DEBA"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Вр. и. о. Председателя Особого Совещания     генерал-адъютант Маниковский. </w:t>
      </w:r>
    </w:p>
    <w:p w14:paraId="149750BA"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Управляющий делами Особого Совещания     генерал-лейтенант Бабиков (20630). </w:t>
      </w:r>
    </w:p>
    <w:p w14:paraId="0C00AA2B"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p>
    <w:p w14:paraId="108CE8C0"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заседании 18 Февраля (3 марта) 1917 г. Наблюдательная Комиссия при Особом Совещании по Обороне государства, выслушав доклад члена Комиссии А. И. Шингарева по вопросу о ходе снабжения армии </w:t>
      </w:r>
      <w:r w:rsidRPr="002F2FDF">
        <w:rPr>
          <w:rFonts w:ascii="Times New Roman" w:hAnsi="Times New Roman" w:cs="Times New Roman"/>
          <w:color w:val="000000" w:themeColor="text1"/>
          <w:sz w:val="16"/>
          <w:szCs w:val="16"/>
          <w:highlight w:val="yellow"/>
        </w:rPr>
        <w:t>авиационного и воздухоплавательного имущества</w:t>
      </w:r>
      <w:r w:rsidRPr="002F2FDF">
        <w:rPr>
          <w:rFonts w:ascii="Times New Roman" w:hAnsi="Times New Roman" w:cs="Times New Roman"/>
          <w:color w:val="000000" w:themeColor="text1"/>
          <w:sz w:val="16"/>
          <w:szCs w:val="16"/>
        </w:rPr>
        <w:t xml:space="preserve">, постановила: Признать желательным возложение на подготовительную Комиссию по авиационным вопросам представление в Особое Совещание по обороне государства ежемесячных сведений о порядке выполнения заказов и о поступлении предметов военно-авиационного имущества с тем, чтобы означенная Комиссия сообщала в случае надобности Наблюдательной Комиссии сведения о неудовлетворительном выполнении отдельными поставщиками тех или иных военных заказов на предмет выяснения причин недопоставки, мер к их устранению и необходимости привлечения в подлежащих случаях лиц, виновных в неисполнении заказов, к уголовной ответственности (20424). </w:t>
      </w:r>
    </w:p>
    <w:p w14:paraId="08C9B8EA" w14:textId="77777777" w:rsidR="00DF19B3" w:rsidRPr="002F2FDF" w:rsidRDefault="00DF19B3" w:rsidP="0083075A">
      <w:pPr>
        <w:spacing w:after="0" w:line="240" w:lineRule="auto"/>
        <w:jc w:val="both"/>
        <w:rPr>
          <w:rFonts w:ascii="Times New Roman" w:hAnsi="Times New Roman" w:cs="Times New Roman"/>
          <w:color w:val="000000" w:themeColor="text1"/>
          <w:sz w:val="16"/>
          <w:szCs w:val="16"/>
        </w:rPr>
      </w:pPr>
    </w:p>
    <w:p w14:paraId="141E9C2A" w14:textId="77777777" w:rsidR="004139EC" w:rsidRPr="002F2FDF" w:rsidRDefault="004139E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559C688" w14:textId="77777777" w:rsidR="004139EC" w:rsidRPr="002F2FDF" w:rsidRDefault="004139E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223B7E" w14:textId="77777777" w:rsidR="004139EC" w:rsidRPr="002F2FDF" w:rsidRDefault="004139EC" w:rsidP="0083075A">
      <w:pPr>
        <w:pStyle w:val="p1"/>
        <w:spacing w:before="0" w:beforeAutospacing="0" w:after="0" w:afterAutospacing="0"/>
        <w:jc w:val="both"/>
        <w:rPr>
          <w:color w:val="000000" w:themeColor="text1"/>
          <w:sz w:val="16"/>
          <w:szCs w:val="16"/>
        </w:rPr>
      </w:pPr>
      <w:r w:rsidRPr="002F2FDF">
        <w:rPr>
          <w:color w:val="000000" w:themeColor="text1"/>
          <w:sz w:val="16"/>
          <w:szCs w:val="16"/>
        </w:rPr>
        <w:t>18 февраля (3 марта) 1917 г. началось ускоренное сооружение мастерской для снаряжения выстрелов тяжелой артиллерии: Военный совет отпустил 1,2 млн. руб. на устройство этой мастерской на месте отдела огнестрельных припасов Кременчугского артиллерийского склада. Сверх того, «в ближайшем будущем» ГАУ обещало представить «подробную дополнительную программу» усиления производства пороха и взрывчатых веществ (18409).</w:t>
      </w:r>
    </w:p>
    <w:p w14:paraId="0C51182F" w14:textId="77777777" w:rsidR="004139EC" w:rsidRPr="002F2FDF" w:rsidRDefault="004139EC" w:rsidP="0083075A">
      <w:pPr>
        <w:pStyle w:val="p1"/>
        <w:spacing w:before="0" w:beforeAutospacing="0" w:after="0" w:afterAutospacing="0"/>
        <w:jc w:val="both"/>
        <w:rPr>
          <w:color w:val="000000" w:themeColor="text1"/>
          <w:sz w:val="16"/>
          <w:szCs w:val="16"/>
        </w:rPr>
      </w:pPr>
    </w:p>
    <w:p w14:paraId="1E197A8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27E2A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1FA6C9" w14:textId="07980F51" w:rsidR="00D363DB" w:rsidRPr="002F2FDF" w:rsidRDefault="00D363DB" w:rsidP="0083075A">
      <w:pPr>
        <w:pStyle w:val="ae"/>
        <w:spacing w:before="0" w:after="0"/>
        <w:jc w:val="both"/>
        <w:rPr>
          <w:color w:val="000000" w:themeColor="text1"/>
          <w:kern w:val="2"/>
          <w:sz w:val="16"/>
          <w:szCs w:val="16"/>
        </w:rPr>
      </w:pPr>
      <w:r w:rsidRPr="002F2FDF">
        <w:rPr>
          <w:color w:val="000000" w:themeColor="text1"/>
          <w:kern w:val="2"/>
          <w:sz w:val="16"/>
          <w:szCs w:val="16"/>
        </w:rPr>
        <w:t>18 февраля (</w:t>
      </w:r>
      <w:r w:rsidR="00A06735">
        <w:rPr>
          <w:color w:val="000000" w:themeColor="text1"/>
          <w:kern w:val="2"/>
          <w:sz w:val="16"/>
          <w:szCs w:val="16"/>
        </w:rPr>
        <w:t>3</w:t>
      </w:r>
      <w:r w:rsidRPr="002F2FDF">
        <w:rPr>
          <w:color w:val="000000" w:themeColor="text1"/>
          <w:kern w:val="2"/>
          <w:sz w:val="16"/>
          <w:szCs w:val="16"/>
        </w:rPr>
        <w:t xml:space="preserve"> марта) 1917 г. приказом Начальника штаба ВГ №203 предписывалось сформировать 1-ю, 2-ю, 3-ю и 4-ю БАГ (с управлениями) с включением в их состав 1-го, 3-го, 7-го, 8-го, 14-го, 16-го, 19-го, 22-го, 24-го и 30-го корпусных авиаотрядов.</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093"/>
        <w:gridCol w:w="1103"/>
        <w:gridCol w:w="1078"/>
        <w:gridCol w:w="1228"/>
        <w:gridCol w:w="629"/>
        <w:gridCol w:w="1357"/>
        <w:gridCol w:w="851"/>
        <w:gridCol w:w="580"/>
        <w:gridCol w:w="1585"/>
        <w:gridCol w:w="1824"/>
      </w:tblGrid>
      <w:tr w:rsidR="002B1C74" w:rsidRPr="002F2FDF" w14:paraId="1AB16DC0" w14:textId="77777777" w:rsidTr="00D363DB">
        <w:trPr>
          <w:tblHeade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524E4F1A"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Style w:val="a7"/>
                <w:rFonts w:ascii="Times New Roman" w:hAnsi="Times New Roman" w:cs="Times New Roman"/>
                <w:b w:val="0"/>
                <w:color w:val="000000" w:themeColor="text1"/>
                <w:kern w:val="2"/>
                <w:sz w:val="16"/>
                <w:szCs w:val="16"/>
              </w:rPr>
              <w:t>Наименование</w:t>
            </w:r>
          </w:p>
        </w:tc>
        <w:tc>
          <w:tcPr>
            <w:tcW w:w="0" w:type="auto"/>
            <w:tcBorders>
              <w:top w:val="single" w:sz="4" w:space="0" w:color="auto"/>
              <w:left w:val="single" w:sz="4" w:space="0" w:color="auto"/>
              <w:bottom w:val="single" w:sz="4" w:space="0" w:color="auto"/>
              <w:right w:val="single" w:sz="4" w:space="0" w:color="auto"/>
            </w:tcBorders>
            <w:vAlign w:val="center"/>
            <w:hideMark/>
          </w:tcPr>
          <w:p w14:paraId="213D695F"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Style w:val="a7"/>
                <w:rFonts w:ascii="Times New Roman" w:hAnsi="Times New Roman" w:cs="Times New Roman"/>
                <w:b w:val="0"/>
                <w:color w:val="000000" w:themeColor="text1"/>
                <w:kern w:val="2"/>
                <w:sz w:val="16"/>
                <w:szCs w:val="16"/>
              </w:rPr>
              <w:t>Сформирована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C001B95"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Style w:val="a7"/>
                <w:rFonts w:ascii="Times New Roman" w:hAnsi="Times New Roman" w:cs="Times New Roman"/>
                <w:b w:val="0"/>
                <w:color w:val="000000" w:themeColor="text1"/>
                <w:kern w:val="2"/>
                <w:sz w:val="16"/>
                <w:szCs w:val="16"/>
              </w:rPr>
              <w:t>Основание</w:t>
            </w:r>
          </w:p>
        </w:tc>
        <w:tc>
          <w:tcPr>
            <w:tcW w:w="0" w:type="auto"/>
            <w:tcBorders>
              <w:top w:val="single" w:sz="4" w:space="0" w:color="auto"/>
              <w:left w:val="single" w:sz="4" w:space="0" w:color="auto"/>
              <w:bottom w:val="single" w:sz="4" w:space="0" w:color="auto"/>
              <w:right w:val="single" w:sz="4" w:space="0" w:color="auto"/>
            </w:tcBorders>
            <w:vAlign w:val="center"/>
            <w:hideMark/>
          </w:tcPr>
          <w:p w14:paraId="3B2EF434"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Style w:val="a7"/>
                <w:rFonts w:ascii="Times New Roman" w:hAnsi="Times New Roman" w:cs="Times New Roman"/>
                <w:b w:val="0"/>
                <w:color w:val="000000" w:themeColor="text1"/>
                <w:kern w:val="2"/>
                <w:sz w:val="16"/>
                <w:szCs w:val="16"/>
              </w:rPr>
              <w:t xml:space="preserve">Расформирована </w:t>
            </w:r>
          </w:p>
        </w:tc>
        <w:tc>
          <w:tcPr>
            <w:tcW w:w="0" w:type="auto"/>
            <w:tcBorders>
              <w:top w:val="single" w:sz="4" w:space="0" w:color="auto"/>
              <w:left w:val="single" w:sz="4" w:space="0" w:color="auto"/>
              <w:bottom w:val="single" w:sz="4" w:space="0" w:color="auto"/>
              <w:right w:val="single" w:sz="4" w:space="0" w:color="auto"/>
            </w:tcBorders>
            <w:vAlign w:val="center"/>
            <w:hideMark/>
          </w:tcPr>
          <w:p w14:paraId="135B36E6"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Style w:val="a7"/>
                <w:rFonts w:ascii="Times New Roman" w:hAnsi="Times New Roman" w:cs="Times New Roman"/>
                <w:b w:val="0"/>
                <w:color w:val="000000" w:themeColor="text1"/>
                <w:kern w:val="2"/>
                <w:sz w:val="16"/>
                <w:szCs w:val="16"/>
              </w:rPr>
              <w:t>Состав БАГ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D55DE63"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Style w:val="a7"/>
                <w:rFonts w:ascii="Times New Roman" w:hAnsi="Times New Roman" w:cs="Times New Roman"/>
                <w:b w:val="0"/>
                <w:color w:val="000000" w:themeColor="text1"/>
                <w:kern w:val="2"/>
                <w:sz w:val="16"/>
                <w:szCs w:val="16"/>
              </w:rPr>
              <w:t>Командиры БАГ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24144B8"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Style w:val="a7"/>
                <w:rFonts w:ascii="Times New Roman" w:hAnsi="Times New Roman" w:cs="Times New Roman"/>
                <w:b w:val="0"/>
                <w:color w:val="000000" w:themeColor="text1"/>
                <w:kern w:val="2"/>
                <w:sz w:val="16"/>
                <w:szCs w:val="16"/>
              </w:rPr>
              <w:t>Победы</w:t>
            </w:r>
            <w:r w:rsidRPr="002F2FDF">
              <w:rPr>
                <w:rFonts w:ascii="Times New Roman" w:hAnsi="Times New Roman" w:cs="Times New Roman"/>
                <w:color w:val="000000" w:themeColor="text1"/>
                <w:kern w:val="2"/>
                <w:sz w:val="16"/>
                <w:szCs w:val="16"/>
              </w:rPr>
              <w:t xml:space="preserve"> (+подбито)</w:t>
            </w:r>
          </w:p>
        </w:tc>
        <w:tc>
          <w:tcPr>
            <w:tcW w:w="0" w:type="auto"/>
            <w:tcBorders>
              <w:top w:val="single" w:sz="4" w:space="0" w:color="auto"/>
              <w:left w:val="single" w:sz="4" w:space="0" w:color="auto"/>
              <w:bottom w:val="single" w:sz="4" w:space="0" w:color="auto"/>
              <w:right w:val="single" w:sz="4" w:space="0" w:color="auto"/>
            </w:tcBorders>
            <w:vAlign w:val="center"/>
            <w:hideMark/>
          </w:tcPr>
          <w:p w14:paraId="2CF62EFF"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Style w:val="a7"/>
                <w:rFonts w:ascii="Times New Roman" w:hAnsi="Times New Roman" w:cs="Times New Roman"/>
                <w:b w:val="0"/>
                <w:color w:val="000000" w:themeColor="text1"/>
                <w:kern w:val="2"/>
                <w:sz w:val="16"/>
                <w:szCs w:val="16"/>
              </w:rPr>
              <w:t>Потери</w:t>
            </w:r>
          </w:p>
        </w:tc>
        <w:tc>
          <w:tcPr>
            <w:tcW w:w="0" w:type="auto"/>
            <w:tcBorders>
              <w:top w:val="single" w:sz="4" w:space="0" w:color="auto"/>
              <w:left w:val="single" w:sz="4" w:space="0" w:color="auto"/>
              <w:bottom w:val="single" w:sz="4" w:space="0" w:color="auto"/>
              <w:right w:val="single" w:sz="4" w:space="0" w:color="auto"/>
            </w:tcBorders>
            <w:vAlign w:val="center"/>
            <w:hideMark/>
          </w:tcPr>
          <w:p w14:paraId="7B75B28B"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Style w:val="a7"/>
                <w:rFonts w:ascii="Times New Roman" w:hAnsi="Times New Roman" w:cs="Times New Roman"/>
                <w:b w:val="0"/>
                <w:color w:val="000000" w:themeColor="text1"/>
                <w:kern w:val="2"/>
                <w:sz w:val="16"/>
                <w:szCs w:val="16"/>
              </w:rPr>
              <w:t>Асы</w:t>
            </w:r>
          </w:p>
        </w:tc>
        <w:tc>
          <w:tcPr>
            <w:tcW w:w="0" w:type="auto"/>
            <w:tcBorders>
              <w:top w:val="single" w:sz="4" w:space="0" w:color="auto"/>
              <w:left w:val="single" w:sz="4" w:space="0" w:color="auto"/>
              <w:bottom w:val="single" w:sz="4" w:space="0" w:color="auto"/>
              <w:right w:val="single" w:sz="4" w:space="0" w:color="auto"/>
            </w:tcBorders>
            <w:vAlign w:val="center"/>
            <w:hideMark/>
          </w:tcPr>
          <w:p w14:paraId="6D4F6A64"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Style w:val="a7"/>
                <w:rFonts w:ascii="Times New Roman" w:hAnsi="Times New Roman" w:cs="Times New Roman"/>
                <w:b w:val="0"/>
                <w:color w:val="000000" w:themeColor="text1"/>
                <w:kern w:val="2"/>
                <w:sz w:val="16"/>
                <w:szCs w:val="16"/>
              </w:rPr>
              <w:t>Примечания</w:t>
            </w:r>
          </w:p>
        </w:tc>
      </w:tr>
      <w:tr w:rsidR="002B1C74" w:rsidRPr="002F2FDF" w14:paraId="7F81E717" w14:textId="77777777" w:rsidTr="00D363DB">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23CC1620"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67798604"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C1730BA"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60B53146"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2230453D"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0DD03D6"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29E8F7F1"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697CB22A"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6FCBD863"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7A3933B7"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7D17980F" w14:textId="77777777" w:rsidTr="00D363DB">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358B680C"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1-я БАГ</w:t>
            </w:r>
          </w:p>
        </w:tc>
        <w:tc>
          <w:tcPr>
            <w:tcW w:w="0" w:type="auto"/>
            <w:tcBorders>
              <w:top w:val="single" w:sz="4" w:space="0" w:color="auto"/>
              <w:left w:val="single" w:sz="4" w:space="0" w:color="auto"/>
              <w:bottom w:val="single" w:sz="4" w:space="0" w:color="auto"/>
              <w:right w:val="single" w:sz="4" w:space="0" w:color="auto"/>
            </w:tcBorders>
            <w:vAlign w:val="center"/>
            <w:hideMark/>
          </w:tcPr>
          <w:p w14:paraId="40237697"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конец июля 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B895DB7"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4FDD0DAC"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6E62514E"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2-й КАО, 4-й КАО, 19-й КАО</w:t>
            </w:r>
          </w:p>
        </w:tc>
        <w:tc>
          <w:tcPr>
            <w:tcW w:w="0" w:type="auto"/>
            <w:tcBorders>
              <w:top w:val="single" w:sz="4" w:space="0" w:color="auto"/>
              <w:left w:val="single" w:sz="4" w:space="0" w:color="auto"/>
              <w:bottom w:val="single" w:sz="4" w:space="0" w:color="auto"/>
              <w:right w:val="single" w:sz="4" w:space="0" w:color="auto"/>
            </w:tcBorders>
            <w:vAlign w:val="center"/>
            <w:hideMark/>
          </w:tcPr>
          <w:p w14:paraId="4CD604A9"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Ткачев (?) А. Козаков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497DB3D1"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(+15)</w:t>
            </w:r>
          </w:p>
        </w:tc>
        <w:tc>
          <w:tcPr>
            <w:tcW w:w="0" w:type="auto"/>
            <w:tcBorders>
              <w:top w:val="single" w:sz="4" w:space="0" w:color="auto"/>
              <w:left w:val="single" w:sz="4" w:space="0" w:color="auto"/>
              <w:bottom w:val="single" w:sz="4" w:space="0" w:color="auto"/>
              <w:right w:val="single" w:sz="4" w:space="0" w:color="auto"/>
            </w:tcBorders>
            <w:vAlign w:val="center"/>
            <w:hideMark/>
          </w:tcPr>
          <w:p w14:paraId="76682C65"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157C05DF"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Козаков —16 побед (ещё 5 побед не получили подтверждения или он записал их на счёт других лётчиков группы), И. Смирнов — 10 побед (ещё 3 победы не получили подтверждения), Н. Кокорин — 5.</w:t>
            </w:r>
          </w:p>
        </w:tc>
        <w:tc>
          <w:tcPr>
            <w:tcW w:w="0" w:type="auto"/>
            <w:tcBorders>
              <w:top w:val="single" w:sz="4" w:space="0" w:color="auto"/>
              <w:left w:val="single" w:sz="4" w:space="0" w:color="auto"/>
              <w:bottom w:val="single" w:sz="4" w:space="0" w:color="auto"/>
              <w:right w:val="single" w:sz="4" w:space="0" w:color="auto"/>
            </w:tcBorders>
            <w:vAlign w:val="center"/>
            <w:hideMark/>
          </w:tcPr>
          <w:p w14:paraId="51F9F422"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Юго-Западный фронт. 17 апреля 1917 г. в состав 1-й БАГ вошёл 8-й ИАО, который приступил к боевой работе 22 апреля. 25 мая 1917 г. 8-й ИАО вышел из состава 1-й БАГ.</w:t>
            </w:r>
          </w:p>
        </w:tc>
      </w:tr>
      <w:tr w:rsidR="002B1C74" w:rsidRPr="002F2FDF" w14:paraId="727D99BB" w14:textId="77777777" w:rsidTr="00D363DB">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0D31843E"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2-я БАГ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FAAFDB0"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DD32780"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489F15D1"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октябрь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A14D53C"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3-й КАО, 7-й КАО, 8-й КАО</w:t>
            </w:r>
          </w:p>
        </w:tc>
        <w:tc>
          <w:tcPr>
            <w:tcW w:w="0" w:type="auto"/>
            <w:tcBorders>
              <w:top w:val="single" w:sz="4" w:space="0" w:color="auto"/>
              <w:left w:val="single" w:sz="4" w:space="0" w:color="auto"/>
              <w:bottom w:val="single" w:sz="4" w:space="0" w:color="auto"/>
              <w:right w:val="single" w:sz="4" w:space="0" w:color="auto"/>
            </w:tcBorders>
            <w:vAlign w:val="center"/>
            <w:hideMark/>
          </w:tcPr>
          <w:p w14:paraId="2C451E43" w14:textId="1CBD310E"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капитан Е.Н. Крутень (с 18.04.1917 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шт.-капитан Модрах (с 25.06.1917 г.), шт.-кап. П.В. Аргеев (с 24.07.1917 г. по 04.10.1917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72A6C468"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+ 1 аэростат</w:t>
            </w:r>
          </w:p>
        </w:tc>
        <w:tc>
          <w:tcPr>
            <w:tcW w:w="0" w:type="auto"/>
            <w:tcBorders>
              <w:top w:val="single" w:sz="4" w:space="0" w:color="auto"/>
              <w:left w:val="single" w:sz="4" w:space="0" w:color="auto"/>
              <w:bottom w:val="single" w:sz="4" w:space="0" w:color="auto"/>
              <w:right w:val="single" w:sz="4" w:space="0" w:color="auto"/>
            </w:tcBorders>
            <w:vAlign w:val="center"/>
            <w:hideMark/>
          </w:tcPr>
          <w:p w14:paraId="02C9C258"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1131677D"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Е.Н. Крутень (5), Свешников (4).</w:t>
            </w:r>
          </w:p>
        </w:tc>
        <w:tc>
          <w:tcPr>
            <w:tcW w:w="0" w:type="auto"/>
            <w:tcBorders>
              <w:top w:val="single" w:sz="4" w:space="0" w:color="auto"/>
              <w:left w:val="single" w:sz="4" w:space="0" w:color="auto"/>
              <w:bottom w:val="single" w:sz="4" w:space="0" w:color="auto"/>
              <w:right w:val="single" w:sz="4" w:space="0" w:color="auto"/>
            </w:tcBorders>
            <w:vAlign w:val="center"/>
            <w:hideMark/>
          </w:tcPr>
          <w:p w14:paraId="2F5BDEC3"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11-я армия ЮЗФ. В оперативном отношении 2-я БАГ подчинена штабу 11-й армии. В хозяйственном и техническом отношении 2-я БАГ была подчинена 11-му авиационному дивизиону, которым командовал капитан В.Е. Гартман.</w:t>
            </w:r>
          </w:p>
        </w:tc>
      </w:tr>
      <w:tr w:rsidR="002B1C74" w:rsidRPr="002F2FDF" w14:paraId="027E34B5" w14:textId="77777777" w:rsidTr="00D363DB">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577F924B"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3-я БАГ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41C2EB9"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8394320"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 по Управлению инспекции авиации армий Западного фронта от 28 марта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7D10D40" w14:textId="6E7A5B5F" w:rsidR="00D363D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D363DB" w:rsidRPr="002F2FDF">
              <w:rPr>
                <w:rFonts w:ascii="Times New Roman" w:hAnsi="Times New Roman" w:cs="Times New Roman"/>
                <w:color w:val="000000" w:themeColor="text1"/>
                <w:kern w:val="2"/>
                <w:sz w:val="16"/>
                <w:szCs w:val="16"/>
              </w:rPr>
              <w:t>31.12.1917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9F615F0"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1-й КАО, 11-й КАО, 22-й КАО</w:t>
            </w:r>
          </w:p>
        </w:tc>
        <w:tc>
          <w:tcPr>
            <w:tcW w:w="0" w:type="auto"/>
            <w:tcBorders>
              <w:top w:val="single" w:sz="4" w:space="0" w:color="auto"/>
              <w:left w:val="single" w:sz="4" w:space="0" w:color="auto"/>
              <w:bottom w:val="single" w:sz="4" w:space="0" w:color="auto"/>
              <w:right w:val="single" w:sz="4" w:space="0" w:color="auto"/>
            </w:tcBorders>
            <w:vAlign w:val="center"/>
            <w:hideMark/>
          </w:tcPr>
          <w:p w14:paraId="10B448D2"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подполковник И.Я. Земитан, капитан Горн (врио с августа 1917 г.), шт.-капитан П.В. Аргеев (04.10.1917 г. — 01.12.1917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6F5A4F57"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6A2BF81"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w:t>
            </w:r>
          </w:p>
        </w:tc>
        <w:tc>
          <w:tcPr>
            <w:tcW w:w="0" w:type="auto"/>
            <w:tcBorders>
              <w:top w:val="single" w:sz="4" w:space="0" w:color="auto"/>
              <w:left w:val="single" w:sz="4" w:space="0" w:color="auto"/>
              <w:bottom w:val="single" w:sz="4" w:space="0" w:color="auto"/>
              <w:right w:val="single" w:sz="4" w:space="0" w:color="auto"/>
            </w:tcBorders>
            <w:vAlign w:val="center"/>
            <w:hideMark/>
          </w:tcPr>
          <w:p w14:paraId="5C999E4A"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асов нет, число сбитых самолётов достоверно неизвестно (десяток заявок на победу не получили подтверждения).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0C5A626A"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Западный фронт.</w:t>
            </w:r>
          </w:p>
        </w:tc>
      </w:tr>
      <w:tr w:rsidR="002B1C74" w:rsidRPr="002F2FDF" w14:paraId="26AA34A0" w14:textId="77777777" w:rsidTr="00D363DB">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3EB8C012"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4-я БАГ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0AD54D9" w14:textId="733ECAF4" w:rsidR="00D363D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D363DB" w:rsidRPr="002F2FDF">
              <w:rPr>
                <w:rFonts w:ascii="Times New Roman" w:hAnsi="Times New Roman" w:cs="Times New Roman"/>
                <w:color w:val="000000" w:themeColor="text1"/>
                <w:kern w:val="2"/>
                <w:sz w:val="16"/>
                <w:szCs w:val="16"/>
              </w:rPr>
              <w:t>май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49CDF4D"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12F57FA"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март-апрель 1918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004EE4D8"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5-й ИАО, 13-й ИАО, 14-й ИАО, 15-й ИАО</w:t>
            </w:r>
          </w:p>
        </w:tc>
        <w:tc>
          <w:tcPr>
            <w:tcW w:w="0" w:type="auto"/>
            <w:tcBorders>
              <w:top w:val="single" w:sz="4" w:space="0" w:color="auto"/>
              <w:left w:val="single" w:sz="4" w:space="0" w:color="auto"/>
              <w:bottom w:val="single" w:sz="4" w:space="0" w:color="auto"/>
              <w:right w:val="single" w:sz="4" w:space="0" w:color="auto"/>
            </w:tcBorders>
            <w:vAlign w:val="center"/>
            <w:hideMark/>
          </w:tcPr>
          <w:p w14:paraId="6DADEFD5"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капитан А.И. Кульвинский (с 11.08.1917 г.)</w:t>
            </w:r>
            <w:hyperlink r:id="rId34" w:anchor="footnote_7_4794" w:tooltip="Кульвинский 05.10.1918 г. был арестован органами ВЧК " w:history="1">
              <w:r w:rsidRPr="002F2FDF">
                <w:rPr>
                  <w:rStyle w:val="a5"/>
                  <w:rFonts w:ascii="Times New Roman" w:hAnsi="Times New Roman" w:cs="Times New Roman"/>
                  <w:color w:val="000000" w:themeColor="text1"/>
                  <w:kern w:val="2"/>
                  <w:sz w:val="16"/>
                  <w:szCs w:val="16"/>
                  <w:vertAlign w:val="superscript"/>
                </w:rPr>
                <w:t>8</w:t>
              </w:r>
            </w:hyperlink>
          </w:p>
        </w:tc>
        <w:tc>
          <w:tcPr>
            <w:tcW w:w="0" w:type="auto"/>
            <w:tcBorders>
              <w:top w:val="single" w:sz="4" w:space="0" w:color="auto"/>
              <w:left w:val="single" w:sz="4" w:space="0" w:color="auto"/>
              <w:bottom w:val="single" w:sz="4" w:space="0" w:color="auto"/>
              <w:right w:val="single" w:sz="4" w:space="0" w:color="auto"/>
            </w:tcBorders>
            <w:vAlign w:val="center"/>
            <w:hideMark/>
          </w:tcPr>
          <w:p w14:paraId="44D6B584"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0" w:type="auto"/>
            <w:tcBorders>
              <w:top w:val="single" w:sz="4" w:space="0" w:color="auto"/>
              <w:left w:val="single" w:sz="4" w:space="0" w:color="auto"/>
              <w:bottom w:val="single" w:sz="4" w:space="0" w:color="auto"/>
              <w:right w:val="single" w:sz="4" w:space="0" w:color="auto"/>
            </w:tcBorders>
            <w:vAlign w:val="center"/>
            <w:hideMark/>
          </w:tcPr>
          <w:p w14:paraId="7BFE69D5"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A2F0B42"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29CFDEFC"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5-я армия Северного фронта. Создание 4-й БАГ происходило в 7-м авиационном парке в Пскове. 4-я БАГ прибыла в Ригу в августе 1917 г. Она была передана в подчинение штабу 12-й армии и вошла в состав 12-го авиадивизиона.В начале 1918 г. 4-я БАГ была эвакуирована сначала в Тверь, потом в Москву.</w:t>
            </w:r>
          </w:p>
        </w:tc>
      </w:tr>
      <w:tr w:rsidR="002B1C74" w:rsidRPr="002F2FDF" w14:paraId="3D895C40" w14:textId="77777777" w:rsidTr="00D363DB">
        <w:trPr>
          <w:trHeight w:val="22"/>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6AB1B81D"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5-я БАГ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EF11025"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41052C97"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7E8C6BD4"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6C118F16"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2-й ИАО, 6-й ИАО, 7-й ИАО</w:t>
            </w:r>
          </w:p>
        </w:tc>
        <w:tc>
          <w:tcPr>
            <w:tcW w:w="0" w:type="auto"/>
            <w:tcBorders>
              <w:top w:val="single" w:sz="4" w:space="0" w:color="auto"/>
              <w:left w:val="single" w:sz="4" w:space="0" w:color="auto"/>
              <w:bottom w:val="single" w:sz="4" w:space="0" w:color="auto"/>
              <w:right w:val="single" w:sz="4" w:space="0" w:color="auto"/>
            </w:tcBorders>
            <w:vAlign w:val="center"/>
            <w:hideMark/>
          </w:tcPr>
          <w:p w14:paraId="78AB2E8F"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штабс-капитан П.А. Аргеев (рекомендован)</w:t>
            </w:r>
          </w:p>
        </w:tc>
        <w:tc>
          <w:tcPr>
            <w:tcW w:w="0" w:type="auto"/>
            <w:tcBorders>
              <w:top w:val="single" w:sz="4" w:space="0" w:color="auto"/>
              <w:left w:val="single" w:sz="4" w:space="0" w:color="auto"/>
              <w:bottom w:val="single" w:sz="4" w:space="0" w:color="auto"/>
              <w:right w:val="single" w:sz="4" w:space="0" w:color="auto"/>
            </w:tcBorders>
            <w:vAlign w:val="center"/>
            <w:hideMark/>
          </w:tcPr>
          <w:p w14:paraId="5A260F9F"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0132215B"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B364452"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BE7FAB1" w14:textId="77777777" w:rsidR="00D363DB" w:rsidRPr="002F2FDF" w:rsidRDefault="00D363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Юго-Западный фронт. Развал фронта не позволил завершить формирование.</w:t>
            </w:r>
          </w:p>
        </w:tc>
      </w:tr>
    </w:tbl>
    <w:p w14:paraId="59A4D824" w14:textId="77777777" w:rsidR="00D363DB" w:rsidRPr="002F2FDF" w:rsidRDefault="00D363D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(17041).</w:t>
      </w:r>
    </w:p>
    <w:p w14:paraId="2404D591" w14:textId="77777777" w:rsidR="00D363DB" w:rsidRPr="002F2FDF" w:rsidRDefault="00D363D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98F511" w14:textId="49A50E7B" w:rsidR="00CC19BB" w:rsidRPr="00FB4F67" w:rsidRDefault="00CC19B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18 февраля (</w:t>
      </w:r>
      <w:r w:rsidRPr="00FB4F67">
        <w:rPr>
          <w:rFonts w:ascii="Times New Roman" w:hAnsi="Times New Roman" w:cs="Times New Roman"/>
          <w:color w:val="0070C0"/>
          <w:sz w:val="16"/>
          <w:szCs w:val="16"/>
        </w:rPr>
        <w:t>3 марта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старший унтер-офицер Вишневский в полосе Западного фронта имел два боевых столкновения с немецкими самолетами, одним вблизи Сморгони, с другим - в районе Боруны (юго-западнее Сморгони). В обоих случаях «немецкие летчики были прогнаны вглубь своего расположения». В тот же день самолет противника, появившись над г. Радзивиллов, сбросил «на наше расположение 4 бомбы, не причинив вреда» (23405).</w:t>
      </w:r>
    </w:p>
    <w:p w14:paraId="4DFE7C25" w14:textId="77777777" w:rsidR="00CC19BB" w:rsidRPr="00FB4F67" w:rsidRDefault="00CC19BB" w:rsidP="0083075A">
      <w:pPr>
        <w:spacing w:after="0" w:line="240" w:lineRule="auto"/>
        <w:jc w:val="both"/>
        <w:rPr>
          <w:rFonts w:ascii="Times New Roman" w:hAnsi="Times New Roman" w:cs="Times New Roman"/>
          <w:color w:val="0070C0"/>
          <w:sz w:val="16"/>
          <w:szCs w:val="16"/>
        </w:rPr>
      </w:pPr>
    </w:p>
    <w:p w14:paraId="6881D226" w14:textId="77777777" w:rsidR="002F0CB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767D7AA" w14:textId="77777777" w:rsidR="002F0CB2" w:rsidRPr="002F2FDF" w:rsidRDefault="002F0CB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C9891F" w14:textId="77777777" w:rsidR="002F0CB2" w:rsidRPr="002F2FDF" w:rsidRDefault="002F0CB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февраля (3 марта) 1917 с успехом завершилась Эрзерумская операция, которая началась с 28 декабря (10 января) 1916. Захватили Эрзерум и Франция и Англия подписали с Россией договор, что она получает под контроль Черноморские проливы. Хотели высадить в 1917 десант, но помешала революция (1348,43).</w:t>
      </w:r>
    </w:p>
    <w:p w14:paraId="5F9E4779" w14:textId="77777777" w:rsidR="002F0CB2" w:rsidRPr="002F2FDF" w:rsidRDefault="002F0CB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28C54C" w14:textId="77777777" w:rsidR="00783072" w:rsidRPr="002F2FDF" w:rsidRDefault="0078307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18 февраля</w:t>
      </w:r>
      <w:r w:rsidRPr="002F2FDF">
        <w:rPr>
          <w:rFonts w:ascii="Times New Roman" w:hAnsi="Times New Roman" w:cs="Times New Roman"/>
          <w:color w:val="000000" w:themeColor="text1"/>
          <w:kern w:val="2"/>
          <w:sz w:val="16"/>
          <w:szCs w:val="16"/>
        </w:rPr>
        <w:t xml:space="preserve"> (3 марта) в 1917 году для подавления беспорядков в Петрограде создается Особый военный округ (15044).</w:t>
      </w:r>
    </w:p>
    <w:p w14:paraId="7525D45D" w14:textId="77777777" w:rsidR="00783072" w:rsidRPr="002F2FDF" w:rsidRDefault="00783072" w:rsidP="0083075A">
      <w:pPr>
        <w:spacing w:after="0" w:line="240" w:lineRule="auto"/>
        <w:jc w:val="both"/>
        <w:rPr>
          <w:rFonts w:ascii="Times New Roman" w:hAnsi="Times New Roman" w:cs="Times New Roman"/>
          <w:color w:val="000000" w:themeColor="text1"/>
          <w:kern w:val="2"/>
          <w:sz w:val="16"/>
          <w:szCs w:val="16"/>
        </w:rPr>
      </w:pPr>
    </w:p>
    <w:p w14:paraId="4750F93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87639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8CBB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февраля (3 марта) 1917 началась крупная забастовка на Путиловском заводе (1348,83).</w:t>
      </w:r>
    </w:p>
    <w:p w14:paraId="440AFF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FD7F4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C08C5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7C39BF" w14:textId="77777777" w:rsidR="002F0CB2" w:rsidRPr="002F2FDF" w:rsidRDefault="002F0CB2"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18 -19 февраля (3-4 марта) 1917 французские, а затем и русские газеты опубликовали сведения, полученные от немецких перебежчиков на Западном фронте о планах немецкого командования добровольно отойти с позиций на Западном фронте на так называемую «Линию Гинденбурга». Эта система оборонительных сооружений, созданная в ближнем тылу во многом руками русских военнопленных, протянулась на 160 километров от города Ланс до города Суассон на оккупированном северо-востоке Франции. Накануне отступления немцы, следуя тактике «выжженной земли», уничтожали на оставляемых территориях практически все, что возможно, было расставлено множество мин-ловушек. При этом за счет спрямления линии фронта немцы могли высвободить 13 дивизий, а сами закрепиться на хорошо оборудованных позициях с несколькими рядами траншей, проволочных заграждений, минных полей, с бетонными бункерами и пулеметными гнездами, блиндажами и бункерами для пехоты, соединенными подземными тоннелями. Как считали немецкие стратеги, эти укрепления должны были быть неуязвимы для тяжелой артиллерии противника </w:t>
      </w:r>
      <w:r w:rsidRPr="002F2FDF">
        <w:rPr>
          <w:color w:val="000000" w:themeColor="text1"/>
          <w:kern w:val="2"/>
          <w:sz w:val="16"/>
          <w:szCs w:val="16"/>
        </w:rPr>
        <w:lastRenderedPageBreak/>
        <w:t>(17045).</w:t>
      </w:r>
    </w:p>
    <w:p w14:paraId="33C02CCE" w14:textId="77777777" w:rsidR="002F0CB2" w:rsidRPr="002F2FDF" w:rsidRDefault="002F0CB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839B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февраля (3 марта) 1917 Немцы разбомбили английский госпиталь, в котором погибли раненые - жертвы недавнего налета германских бомбардировщиков (11999).</w:t>
      </w:r>
    </w:p>
    <w:p w14:paraId="49E5CE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2F7F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февраля (3 марта) 1917 Конгресс признал Пуэрто Рико территорией США (2100).</w:t>
      </w:r>
    </w:p>
    <w:p w14:paraId="092925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ADBD2C" w14:textId="2ED3AB82" w:rsidR="00CC19BB" w:rsidRDefault="00CC19B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Авиапромышленность:</w:t>
      </w:r>
    </w:p>
    <w:p w14:paraId="44D5C647" w14:textId="77777777" w:rsidR="00CC19BB" w:rsidRDefault="00CC19B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582465F0" w14:textId="4E311F4C" w:rsidR="00CC19BB" w:rsidRPr="00FB4F67" w:rsidRDefault="00CC19B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19 февраля (</w:t>
      </w:r>
      <w:r w:rsidRPr="00FB4F67">
        <w:rPr>
          <w:rFonts w:ascii="Times New Roman" w:hAnsi="Times New Roman" w:cs="Times New Roman"/>
          <w:color w:val="0070C0"/>
          <w:sz w:val="16"/>
          <w:szCs w:val="16"/>
        </w:rPr>
        <w:t>4 марта</w:t>
      </w:r>
      <w:r>
        <w:rPr>
          <w:rFonts w:ascii="Times New Roman" w:hAnsi="Times New Roman" w:cs="Times New Roman"/>
          <w:color w:val="0070C0"/>
          <w:sz w:val="16"/>
          <w:szCs w:val="16"/>
        </w:rPr>
        <w:t xml:space="preserve">) </w:t>
      </w:r>
      <w:r w:rsidRPr="00FB4F67">
        <w:rPr>
          <w:rFonts w:ascii="Times New Roman" w:hAnsi="Times New Roman" w:cs="Times New Roman"/>
          <w:color w:val="0070C0"/>
          <w:sz w:val="16"/>
          <w:szCs w:val="16"/>
        </w:rPr>
        <w:t>1917 г. Анатре было заказано/выпущено - семь из 80 "Фарман-20" (23525).</w:t>
      </w:r>
    </w:p>
    <w:p w14:paraId="0767815B" w14:textId="77777777" w:rsidR="00CC19BB" w:rsidRPr="00FB4F67" w:rsidRDefault="00CC19BB" w:rsidP="0083075A">
      <w:pPr>
        <w:spacing w:after="0" w:line="240" w:lineRule="auto"/>
        <w:jc w:val="both"/>
        <w:rPr>
          <w:rFonts w:ascii="Times New Roman" w:hAnsi="Times New Roman" w:cs="Times New Roman"/>
          <w:color w:val="0070C0"/>
          <w:sz w:val="16"/>
          <w:szCs w:val="16"/>
        </w:rPr>
      </w:pPr>
    </w:p>
    <w:p w14:paraId="0A9B3543" w14:textId="183F05FF"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F5709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0FB7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февраля (4 марта) 1917 ИМ-Киевский под управления И.С.Башко совершил налет на город и станцию Барановичи. Сбросили 13 бомб общим весом 10 пудов 30 фт, сфотографировали позиции и обстреляли их из пулемета. Во время бомбометания отбили 2 атаки истребителей. Насчитали 290 пробоин (3622).</w:t>
      </w:r>
    </w:p>
    <w:p w14:paraId="7AFA3E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418A2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 февраля </w:t>
      </w:r>
      <w:r w:rsidR="006E0883" w:rsidRPr="002F2FDF">
        <w:rPr>
          <w:rFonts w:ascii="Times New Roman" w:hAnsi="Times New Roman" w:cs="Times New Roman"/>
          <w:color w:val="000000" w:themeColor="text1"/>
          <w:kern w:val="2"/>
          <w:sz w:val="16"/>
          <w:szCs w:val="16"/>
        </w:rPr>
        <w:t xml:space="preserve">(4 марта) </w:t>
      </w:r>
      <w:r w:rsidRPr="002F2FDF">
        <w:rPr>
          <w:rFonts w:ascii="Times New Roman" w:hAnsi="Times New Roman" w:cs="Times New Roman"/>
          <w:color w:val="000000" w:themeColor="text1"/>
          <w:kern w:val="2"/>
          <w:sz w:val="16"/>
          <w:szCs w:val="16"/>
        </w:rPr>
        <w:t>1917 воздушный корабль "Илья Муромец Киевский" под управлением И.С.Башко совершил налет на город и станцию Бэрэновичи. Экипаж сбросил 13 бомб общим весом 10 пудов 30 фунтов, сфотографировал неприятельские позиции и обстрелял их из пулемета, а во время бомбометания отбил две атаки истре</w:t>
      </w:r>
      <w:r w:rsidRPr="002F2FDF">
        <w:rPr>
          <w:rFonts w:ascii="Times New Roman" w:hAnsi="Times New Roman" w:cs="Times New Roman"/>
          <w:color w:val="000000" w:themeColor="text1"/>
          <w:kern w:val="2"/>
          <w:sz w:val="16"/>
          <w:szCs w:val="16"/>
        </w:rPr>
        <w:softHyphen/>
        <w:t>бителей. В корабле было обнаружено 290 пробоин от разрывных пуль. (Донесение Бзшко. ЦГВИА. ф.2003, оп.1, д.731, л. 19).</w:t>
      </w:r>
    </w:p>
    <w:p w14:paraId="065D776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AEAB5C" w14:textId="76B1ED78" w:rsidR="00CC19BB" w:rsidRPr="00FB4F67" w:rsidRDefault="00CC19B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19 февраля (</w:t>
      </w:r>
      <w:r w:rsidRPr="00FB4F67">
        <w:rPr>
          <w:rFonts w:ascii="Times New Roman" w:hAnsi="Times New Roman" w:cs="Times New Roman"/>
          <w:color w:val="0070C0"/>
          <w:sz w:val="16"/>
          <w:szCs w:val="16"/>
        </w:rPr>
        <w:t>4 марта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юго-западнее г. Луцк огнем полевых частей был подбит неприятельский аэроплан типа «Альбатрос». При приземлении в районе н/п Угринов его экипаж взят в плен, самолет сгорел (23405).</w:t>
      </w:r>
    </w:p>
    <w:p w14:paraId="4BF0BC0B" w14:textId="77777777" w:rsidR="00CC19BB" w:rsidRPr="00FB4F67" w:rsidRDefault="00CC19BB" w:rsidP="0083075A">
      <w:pPr>
        <w:spacing w:after="0" w:line="240" w:lineRule="auto"/>
        <w:jc w:val="both"/>
        <w:rPr>
          <w:rFonts w:ascii="Times New Roman" w:hAnsi="Times New Roman" w:cs="Times New Roman"/>
          <w:color w:val="0070C0"/>
          <w:sz w:val="16"/>
          <w:szCs w:val="16"/>
        </w:rPr>
      </w:pPr>
    </w:p>
    <w:p w14:paraId="6D6AC0BE" w14:textId="66441A20" w:rsidR="00CC19BB" w:rsidRPr="00FB4F67" w:rsidRDefault="00CC19BB" w:rsidP="0083075A">
      <w:pPr>
        <w:spacing w:after="0" w:line="240" w:lineRule="auto"/>
        <w:jc w:val="both"/>
        <w:rPr>
          <w:rFonts w:ascii="Times New Roman" w:hAnsi="Times New Roman" w:cs="Times New Roman"/>
          <w:color w:val="0070C0"/>
          <w:sz w:val="16"/>
          <w:szCs w:val="16"/>
        </w:rPr>
      </w:pPr>
      <w:bookmarkStart w:id="35" w:name="bookmark705"/>
      <w:bookmarkStart w:id="36" w:name="bookmark706"/>
      <w:r>
        <w:rPr>
          <w:rFonts w:ascii="Times New Roman" w:hAnsi="Times New Roman" w:cs="Times New Roman"/>
          <w:color w:val="0070C0"/>
          <w:sz w:val="16"/>
          <w:szCs w:val="16"/>
        </w:rPr>
        <w:t>19 февраля (</w:t>
      </w:r>
      <w:r w:rsidRPr="00FB4F67">
        <w:rPr>
          <w:rFonts w:ascii="Times New Roman" w:hAnsi="Times New Roman" w:cs="Times New Roman"/>
          <w:color w:val="0070C0"/>
          <w:sz w:val="16"/>
          <w:szCs w:val="16"/>
        </w:rPr>
        <w:t>4 марта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противник недосчитался самолета в полосе Юго-Западного фронта, уничтоженного огнем нашей артиллерии вблизи г. Луцк. При падении летательный аппарат сгорел, летчики взяты в плен (23405).</w:t>
      </w:r>
      <w:bookmarkEnd w:id="35"/>
      <w:bookmarkEnd w:id="36"/>
    </w:p>
    <w:p w14:paraId="3371358E" w14:textId="77777777" w:rsidR="00CC19BB" w:rsidRPr="00FB4F67" w:rsidRDefault="00CC19BB" w:rsidP="0083075A">
      <w:pPr>
        <w:spacing w:after="0" w:line="240" w:lineRule="auto"/>
        <w:jc w:val="both"/>
        <w:rPr>
          <w:rFonts w:ascii="Times New Roman" w:hAnsi="Times New Roman" w:cs="Times New Roman"/>
          <w:color w:val="0070C0"/>
          <w:sz w:val="16"/>
          <w:szCs w:val="16"/>
        </w:rPr>
      </w:pPr>
    </w:p>
    <w:p w14:paraId="19205E3B" w14:textId="087EF898" w:rsidR="00CC19BB" w:rsidRPr="00FB4F67" w:rsidRDefault="00CC19B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19 февраля (</w:t>
      </w:r>
      <w:r w:rsidRPr="00FB4F67">
        <w:rPr>
          <w:rFonts w:ascii="Times New Roman" w:hAnsi="Times New Roman" w:cs="Times New Roman"/>
          <w:color w:val="0070C0"/>
          <w:sz w:val="16"/>
          <w:szCs w:val="16"/>
        </w:rPr>
        <w:t>4 марта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французский офицер Жюль Легра писал в своих мемуарах, что он «поехал в АО 2-й армии в Янов, чтобы присмотреть за похоронами французского наблюдателя лейтенанта Берна, только что убитого немецким истребителем. Во время похорон его лишенный крыльев и изрешеченный пулями фюзеляж использовался как телега для перевозки гроба» (23525).</w:t>
      </w:r>
    </w:p>
    <w:p w14:paraId="09CBC884" w14:textId="77777777" w:rsidR="00CC19BB" w:rsidRPr="00FB4F67" w:rsidRDefault="00CC19BB" w:rsidP="0083075A">
      <w:pPr>
        <w:spacing w:after="0" w:line="240" w:lineRule="auto"/>
        <w:jc w:val="both"/>
        <w:rPr>
          <w:rFonts w:ascii="Times New Roman" w:hAnsi="Times New Roman" w:cs="Times New Roman"/>
          <w:color w:val="0070C0"/>
          <w:sz w:val="16"/>
          <w:szCs w:val="16"/>
        </w:rPr>
      </w:pPr>
    </w:p>
    <w:p w14:paraId="4ABA4252" w14:textId="77777777" w:rsidR="0078307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68F1B74" w14:textId="77777777" w:rsidR="00783072" w:rsidRPr="002F2FDF" w:rsidRDefault="0078307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1D1EEA" w14:textId="77777777" w:rsidR="00783072" w:rsidRPr="002F2FDF" w:rsidRDefault="00783072"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20 февраля (5 марта) 1917 из-за нехватки боевых самолетов великий князь Александр Михайлович послал из киевской Авиаканцелярии в УВВФ и в Авиасклад в целом нетипичную для переписки тех лет телеграмму: «Для соображений по снабжению отрядов прошу сообщить, сколько и каких систем самолетов ремонтируется на московском складе и какой приблизительно срок их готовности.»</w:t>
      </w:r>
    </w:p>
    <w:p w14:paraId="4737AE74" w14:textId="77777777" w:rsidR="00783072" w:rsidRPr="002F2FDF" w:rsidRDefault="00783072"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Незамедлительно составили «Ведомость самолетов, ремонтируемых в мастерских парк-склада с указанием срока выхода из ремонта для контрольного полета». По состоянию на 21 февраля 1917 г. ремонту подлежало 32 аэроплана, но «производственных мощностей» хватало только на 20 машин, остальные «в мастерские не переданы за неимением места» В ремонте находились 6 двухмоторных «Кодронов» со сроком окончания 25.02—7.03, но у одного требовался особо сложный и длительный ремонт (срок сдачи — 16.04). Еще у двух ожидавших очереди на ремонт «Би-Кодронов» «фанера гондолы сгнила и требует новой». Одномоторный «Кодрон» № 2829 был «совершенно разрушен, желательно оставить на складе, разобрав на запчасти». В ремонте находились также три «Фармана-ХХХ», один «Моран-Монокок», два «Бреге», два «Ньюпора-XVII» и три «Ньюпора-ХХ1», один «Морис Фарман» и один «Итальянский Вуазен». На все самолеты, кроме двух последних, уже имелись наряды, один «Ньюпор-XXI» уже был сдан в полете, о чем отправили соответствующую телеграмму № 2118, на «Ньюпорах-XVII» стояли пулеметы, но «ожидались ленты для пулеметной стрельбы» (15464).</w:t>
      </w:r>
    </w:p>
    <w:p w14:paraId="3E2C81DD" w14:textId="77777777" w:rsidR="00783072" w:rsidRPr="002F2FDF" w:rsidRDefault="00783072" w:rsidP="0083075A">
      <w:pPr>
        <w:pStyle w:val="2"/>
        <w:spacing w:before="0" w:beforeAutospacing="0" w:after="0" w:afterAutospacing="0"/>
        <w:jc w:val="both"/>
        <w:rPr>
          <w:b w:val="0"/>
          <w:color w:val="000000" w:themeColor="text1"/>
          <w:kern w:val="2"/>
          <w:sz w:val="16"/>
          <w:szCs w:val="16"/>
        </w:rPr>
      </w:pPr>
    </w:p>
    <w:p w14:paraId="4C7EE070" w14:textId="77777777" w:rsidR="00783072" w:rsidRPr="002F2FDF" w:rsidRDefault="0078307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20 февраля</w:t>
      </w:r>
      <w:r w:rsidRPr="002F2FDF">
        <w:rPr>
          <w:rFonts w:ascii="Times New Roman" w:hAnsi="Times New Roman" w:cs="Times New Roman"/>
          <w:color w:val="000000" w:themeColor="text1"/>
          <w:kern w:val="2"/>
          <w:sz w:val="16"/>
          <w:szCs w:val="16"/>
        </w:rPr>
        <w:t xml:space="preserve"> (5 марта) в 1917 году испытали бомбосбрасыватели системы и Л.Д.Колпакова-Мирошниченко wwi.hut2.ru/avia/Lebed/Lebed12.htm для наружной подвески бомб. Устанавливались на самолет Лебедь-12. Крайние - для пудовых, средние - для 20 фунтовых бомб. Приняли на вооружение (15044).</w:t>
      </w:r>
    </w:p>
    <w:p w14:paraId="3A750AC5" w14:textId="77777777" w:rsidR="00783072" w:rsidRPr="002F2FDF" w:rsidRDefault="00783072" w:rsidP="0083075A">
      <w:pPr>
        <w:spacing w:after="0" w:line="240" w:lineRule="auto"/>
        <w:jc w:val="both"/>
        <w:rPr>
          <w:rFonts w:ascii="Times New Roman" w:hAnsi="Times New Roman" w:cs="Times New Roman"/>
          <w:color w:val="000000" w:themeColor="text1"/>
          <w:kern w:val="2"/>
          <w:sz w:val="16"/>
          <w:szCs w:val="16"/>
        </w:rPr>
      </w:pPr>
    </w:p>
    <w:p w14:paraId="1DF08FB6" w14:textId="2E4FD08F" w:rsidR="00CC19BB" w:rsidRDefault="00CC19B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352EE817" w14:textId="77777777" w:rsidR="00CC19BB" w:rsidRDefault="00CC19B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638A7B64" w14:textId="301D5EF2" w:rsidR="00CC19BB" w:rsidRPr="00FB4F67" w:rsidRDefault="00CC19B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20 февраля (</w:t>
      </w:r>
      <w:r w:rsidRPr="00FB4F67">
        <w:rPr>
          <w:rFonts w:ascii="Times New Roman" w:hAnsi="Times New Roman" w:cs="Times New Roman"/>
          <w:color w:val="0070C0"/>
          <w:sz w:val="16"/>
          <w:szCs w:val="16"/>
        </w:rPr>
        <w:t>5 марта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ознаменовался очередной победой нашей авиации. В районе ст. Волчецк (Сарны, Ковельская ж. д.) </w:t>
      </w:r>
      <w:bookmarkStart w:id="37" w:name="bookmark707"/>
      <w:bookmarkStart w:id="38" w:name="bookmark708"/>
      <w:bookmarkStart w:id="39" w:name="bookmark709"/>
      <w:r w:rsidRPr="00FB4F67">
        <w:rPr>
          <w:rFonts w:ascii="Times New Roman" w:hAnsi="Times New Roman" w:cs="Times New Roman"/>
          <w:color w:val="0070C0"/>
          <w:sz w:val="16"/>
          <w:szCs w:val="16"/>
        </w:rPr>
        <w:t xml:space="preserve">летчиком унтер-офицером Андреевым был сбит германский самолет. Аппарат сгорел, экипаж взят в плен. Другой русский пилот, унтер-офицер Я.М. Махлапу, на Рижском участке Северного фронта уничтожил неприятельский «Альбатрос», вражеские летчики пленены (по другим данным - летчик погиб, наблюдатель остался в живых). Наградой за успех были: поздравление великого князя </w:t>
      </w:r>
      <w:bookmarkStart w:id="40" w:name="bookmark710"/>
      <w:bookmarkEnd w:id="37"/>
      <w:bookmarkEnd w:id="38"/>
      <w:bookmarkEnd w:id="39"/>
      <w:r w:rsidRPr="00FB4F67">
        <w:rPr>
          <w:rFonts w:ascii="Times New Roman" w:hAnsi="Times New Roman" w:cs="Times New Roman"/>
          <w:color w:val="0070C0"/>
          <w:sz w:val="16"/>
          <w:szCs w:val="16"/>
        </w:rPr>
        <w:t>Александра Михайловича (руководителя ВВФ действующей армии), следующий по степени Георгиевский крест и производство в первый офицерский чин (23405).</w:t>
      </w:r>
      <w:bookmarkEnd w:id="40"/>
    </w:p>
    <w:p w14:paraId="52AC9EA4" w14:textId="77777777" w:rsidR="00CC19BB" w:rsidRPr="00FB4F67" w:rsidRDefault="00CC19BB" w:rsidP="0083075A">
      <w:pPr>
        <w:spacing w:after="0" w:line="240" w:lineRule="auto"/>
        <w:jc w:val="both"/>
        <w:rPr>
          <w:rFonts w:ascii="Times New Roman" w:hAnsi="Times New Roman" w:cs="Times New Roman"/>
          <w:color w:val="0070C0"/>
          <w:sz w:val="16"/>
          <w:szCs w:val="16"/>
        </w:rPr>
      </w:pPr>
    </w:p>
    <w:p w14:paraId="434EE852" w14:textId="5D4E4596" w:rsidR="00CC19BB" w:rsidRPr="00FB4F67" w:rsidRDefault="00CC19B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20 февраля (</w:t>
      </w:r>
      <w:r w:rsidRPr="00FB4F67">
        <w:rPr>
          <w:rFonts w:ascii="Times New Roman" w:hAnsi="Times New Roman" w:cs="Times New Roman"/>
          <w:color w:val="0070C0"/>
          <w:sz w:val="16"/>
          <w:szCs w:val="16"/>
        </w:rPr>
        <w:t>5 марта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районе юго-восточнее м. Барановичи в результате ружейно-пулеметного обстрела был сбит немецкий аэроплан, упавший в расположении своих войск (23405).</w:t>
      </w:r>
    </w:p>
    <w:p w14:paraId="45337D76" w14:textId="77777777" w:rsidR="00CC19BB" w:rsidRPr="00FB4F67" w:rsidRDefault="00CC19BB" w:rsidP="0083075A">
      <w:pPr>
        <w:spacing w:after="0" w:line="240" w:lineRule="auto"/>
        <w:jc w:val="both"/>
        <w:rPr>
          <w:rFonts w:ascii="Times New Roman" w:hAnsi="Times New Roman" w:cs="Times New Roman"/>
          <w:color w:val="0070C0"/>
          <w:sz w:val="16"/>
          <w:szCs w:val="16"/>
        </w:rPr>
      </w:pPr>
    </w:p>
    <w:p w14:paraId="372AF87D" w14:textId="30C5F403" w:rsidR="003573C6"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68BB3D9" w14:textId="77777777" w:rsidR="003573C6" w:rsidRPr="002F2FDF" w:rsidRDefault="003573C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7F368B" w14:textId="77777777" w:rsidR="003573C6" w:rsidRPr="002F2FDF" w:rsidRDefault="003573C6" w:rsidP="0083075A">
      <w:pPr>
        <w:pStyle w:val="ae"/>
        <w:spacing w:before="0" w:after="0"/>
        <w:jc w:val="both"/>
        <w:rPr>
          <w:color w:val="000000" w:themeColor="text1"/>
          <w:kern w:val="2"/>
          <w:sz w:val="16"/>
          <w:szCs w:val="16"/>
        </w:rPr>
      </w:pPr>
      <w:r w:rsidRPr="002F2FDF">
        <w:rPr>
          <w:color w:val="000000" w:themeColor="text1"/>
          <w:kern w:val="2"/>
          <w:sz w:val="16"/>
          <w:szCs w:val="16"/>
        </w:rPr>
        <w:t>20 февраля (5 марта) 1917 Московская городская управа рассмотрела проект постановления о введении в городе карточной системы при продаже хлеба и муки. Отмечалось, что городские пекарни на тот момент выпекали лишь две трети от необходимого для Москвы количества хлеба (17045).</w:t>
      </w:r>
    </w:p>
    <w:p w14:paraId="035C3A82" w14:textId="77777777" w:rsidR="003573C6" w:rsidRPr="002F2FDF" w:rsidRDefault="003573C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3D2FB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3A5B88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8D59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февраля (</w:t>
      </w:r>
      <w:r w:rsidR="006E0883" w:rsidRPr="002F2FDF">
        <w:rPr>
          <w:rFonts w:ascii="Times New Roman" w:hAnsi="Times New Roman" w:cs="Times New Roman"/>
          <w:color w:val="000000" w:themeColor="text1"/>
          <w:kern w:val="2"/>
          <w:sz w:val="16"/>
          <w:szCs w:val="16"/>
        </w:rPr>
        <w:t>5</w:t>
      </w:r>
      <w:r w:rsidRPr="002F2FDF">
        <w:rPr>
          <w:rFonts w:ascii="Times New Roman" w:hAnsi="Times New Roman" w:cs="Times New Roman"/>
          <w:color w:val="000000" w:themeColor="text1"/>
          <w:kern w:val="2"/>
          <w:sz w:val="16"/>
          <w:szCs w:val="16"/>
        </w:rPr>
        <w:t xml:space="preserve"> марта) 1917 вышел манифест о восстановлении автономии Финляндии (3481).</w:t>
      </w:r>
    </w:p>
    <w:p w14:paraId="1D9D01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3F94E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13FB7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47E36C3" w14:textId="77777777" w:rsidR="00783072" w:rsidRPr="002F2FDF" w:rsidRDefault="00783072"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По состоянию на 21 февраля (6 марта) 1917 г. на центральном складе в Москве на Ходынке ремонту подлежало 32 аэроплана, но «производственных мощностей» хватало только на 20 машин, остальные «в мастерские не переданы за неимением места» В ремонте находились 6 двухмоторных «Кодронов» со сроком окончания 25.02—7.03, но у одного требовался особо сложный и длительный ремонт (срок сдачи — 16.04). Еще у двух ожидавших очереди на ремонт «Би-Кодронов» «фанера гондолы сгнила и требует новой». Одномоторный «Кодрон» № 2829 был «совершенно разрушен, желательно оставить на складе, разобрав на запчасти». В ремонте находились также три «Фармана-ХХХ», один «Моран-Монокок», два «Бреге», два «Ньюпора-XVII» и три «Ньюпора-ХХ1», один «Морис Фарман» и один «Итальянский Вуазен». На все самолеты, кроме двух последних, уже имелись наряды, один «Ньюпор-XXI» уже был сдан в полете, о чем отправили соответствующую телеграмму № 2118, на «Ньюпорах-XVII» стояли пулеметы, но «ожидались ленты для пулеметной стрельбы» (15464).</w:t>
      </w:r>
    </w:p>
    <w:p w14:paraId="3907B2A1" w14:textId="77777777" w:rsidR="00783072" w:rsidRPr="002F2FDF" w:rsidRDefault="00783072" w:rsidP="0083075A">
      <w:pPr>
        <w:pStyle w:val="2"/>
        <w:spacing w:before="0" w:beforeAutospacing="0" w:after="0" w:afterAutospacing="0"/>
        <w:jc w:val="both"/>
        <w:rPr>
          <w:b w:val="0"/>
          <w:color w:val="000000" w:themeColor="text1"/>
          <w:kern w:val="2"/>
          <w:sz w:val="16"/>
          <w:szCs w:val="16"/>
        </w:rPr>
      </w:pPr>
    </w:p>
    <w:p w14:paraId="775C91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21 февраля </w:t>
      </w:r>
      <w:r w:rsidR="006E0883" w:rsidRPr="002F2FDF">
        <w:rPr>
          <w:rFonts w:ascii="Times New Roman" w:hAnsi="Times New Roman" w:cs="Times New Roman"/>
          <w:color w:val="000000" w:themeColor="text1"/>
          <w:kern w:val="2"/>
          <w:sz w:val="16"/>
          <w:szCs w:val="16"/>
        </w:rPr>
        <w:t xml:space="preserve">(6 марта) </w:t>
      </w:r>
      <w:r w:rsidRPr="002F2FDF">
        <w:rPr>
          <w:rFonts w:ascii="Times New Roman" w:hAnsi="Times New Roman" w:cs="Times New Roman"/>
          <w:color w:val="000000" w:themeColor="text1"/>
          <w:kern w:val="2"/>
          <w:sz w:val="16"/>
          <w:szCs w:val="16"/>
        </w:rPr>
        <w:t>1917 г. комиссия Расчетно-испытательного бюро аэродинамической лаборатории МВТУ под председательством Н. Е. Жуковского в составе В. П. Ветчинкина, А. Н. Туполева и Н. И. Иванова, которая была создана для расследования катастрофы “Фарман-30”, построенном на заводе “Дукс”, окончившейся гибелью летчиков, командованием воздушного флота, доложила свое заключение на заседании бюро. Комиссия установила, что небольшой момент инерции хвостовых стоек в направлении, перпендикулярном полету, способствует возникновению сильных вибраций стойки, что “порождает игру болта в трубе”. Следствием являлось “изъедание” болта, что приводило к его разрушению и в конечном итоге к выпаданию стоек. Предлагалось увеличить толщину болтов, более тщательно сверлить дыры, установить “строгий надзор механиков за состоянием крепления”, увеличить сечение стойки на 20 %, сохраняя ту же толщину стенок (9705).</w:t>
      </w:r>
    </w:p>
    <w:p w14:paraId="35477C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7B37BF" w14:textId="77777777" w:rsidR="00F95428" w:rsidRPr="002F2FDF" w:rsidRDefault="00F9542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21676ED" w14:textId="77777777" w:rsidR="00F95428" w:rsidRPr="002F2FDF" w:rsidRDefault="00F9542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34E85B" w14:textId="0DF70E84" w:rsidR="00F95428" w:rsidRPr="002F2FDF" w:rsidRDefault="00F95428"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lastRenderedPageBreak/>
        <w:t>21 февраля (6 марта) 1917 г. Ижорский завод согласился изготовить еще одну партию 89-мм миномет</w:t>
      </w:r>
      <w:r w:rsidR="00A06735">
        <w:rPr>
          <w:rFonts w:ascii="Times New Roman" w:eastAsia="Times New Roman" w:hAnsi="Times New Roman" w:cs="Times New Roman"/>
          <w:color w:val="000000" w:themeColor="text1"/>
          <w:sz w:val="16"/>
          <w:szCs w:val="16"/>
          <w:lang w:eastAsia="ru-RU"/>
        </w:rPr>
        <w:t>ов</w:t>
      </w:r>
      <w:r w:rsidRPr="002F2FDF">
        <w:rPr>
          <w:rFonts w:ascii="Times New Roman" w:eastAsia="Times New Roman" w:hAnsi="Times New Roman" w:cs="Times New Roman"/>
          <w:color w:val="000000" w:themeColor="text1"/>
          <w:sz w:val="16"/>
          <w:szCs w:val="16"/>
          <w:lang w:eastAsia="ru-RU"/>
        </w:rPr>
        <w:t xml:space="preserve"> с дальностью стрельбы в 1200–1300 шагов, при этом ему для дооборудования производства была выделена ссуда [Журнал № 119 ПКАВ. Заседание 21 февраля 1917 г. / Архив ВИМАИВиВС. Ф. 13. Оп. 87/2. Д. 63. Л. 64.].</w:t>
      </w:r>
    </w:p>
    <w:p w14:paraId="0CC2D430" w14:textId="77777777" w:rsidR="00F95428" w:rsidRPr="002F2FDF" w:rsidRDefault="00F95428"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В русской армии применялись несколько типов этих орудий. Минометы калибра 58 мм системы Ф.Р. производились Невским и Ижорским заводами, общий объем заказа которым составил 1150 шт. Большой заказ в 2 500 минометов этой системы был выдан также через ЦВПК. 47-мм минометы выпускались Ижорским заводом, и небольшая партия их была поставлена Обществом Франко-Русских заводов (20236).</w:t>
      </w:r>
    </w:p>
    <w:p w14:paraId="2952E2D9" w14:textId="77777777" w:rsidR="00F95428" w:rsidRPr="002F2FDF" w:rsidRDefault="00F95428" w:rsidP="0083075A">
      <w:pPr>
        <w:spacing w:after="0" w:line="240" w:lineRule="auto"/>
        <w:jc w:val="both"/>
        <w:rPr>
          <w:rFonts w:ascii="Times New Roman" w:hAnsi="Times New Roman" w:cs="Times New Roman"/>
          <w:color w:val="000000" w:themeColor="text1"/>
          <w:sz w:val="16"/>
          <w:szCs w:val="16"/>
          <w:shd w:val="clear" w:color="auto" w:fill="FFFFFF"/>
        </w:rPr>
      </w:pPr>
    </w:p>
    <w:p w14:paraId="3C6B10F4" w14:textId="6DE1A8F0" w:rsidR="00CC19BB" w:rsidRDefault="00CC19B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3BEDBB05" w14:textId="77777777" w:rsidR="00CC19BB" w:rsidRDefault="00CC19B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A2C8FDA" w14:textId="551B0A6A" w:rsidR="00CC19BB" w:rsidRPr="00FB4F67" w:rsidRDefault="00CC19BB" w:rsidP="0083075A">
      <w:pPr>
        <w:spacing w:after="0" w:line="240" w:lineRule="auto"/>
        <w:jc w:val="both"/>
        <w:rPr>
          <w:rFonts w:ascii="Times New Roman" w:hAnsi="Times New Roman" w:cs="Times New Roman"/>
          <w:color w:val="0070C0"/>
          <w:sz w:val="16"/>
          <w:szCs w:val="16"/>
        </w:rPr>
      </w:pPr>
      <w:bookmarkStart w:id="41" w:name="bookmark711"/>
      <w:bookmarkStart w:id="42" w:name="bookmark712"/>
      <w:r>
        <w:rPr>
          <w:rFonts w:ascii="Times New Roman" w:hAnsi="Times New Roman" w:cs="Times New Roman"/>
          <w:color w:val="0070C0"/>
          <w:sz w:val="16"/>
          <w:szCs w:val="16"/>
        </w:rPr>
        <w:t>21 февраля (</w:t>
      </w:r>
      <w:r w:rsidRPr="00FB4F67">
        <w:rPr>
          <w:rFonts w:ascii="Times New Roman" w:hAnsi="Times New Roman" w:cs="Times New Roman"/>
          <w:color w:val="0070C0"/>
          <w:sz w:val="16"/>
          <w:szCs w:val="16"/>
        </w:rPr>
        <w:t>6 марта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неприятельские аэропланы провели разведку в районе г. Рига, Рижского взморья и Роденпойса (Ропажи). В последующие дни все попытки германской авиации прорваться к Риге разбивались о прочность нашей воздушной обороны (23405).</w:t>
      </w:r>
      <w:bookmarkEnd w:id="41"/>
      <w:bookmarkEnd w:id="42"/>
    </w:p>
    <w:p w14:paraId="0A975A4B" w14:textId="77777777" w:rsidR="00CC19BB" w:rsidRPr="00FB4F67" w:rsidRDefault="00CC19BB" w:rsidP="0083075A">
      <w:pPr>
        <w:spacing w:after="0" w:line="240" w:lineRule="auto"/>
        <w:jc w:val="both"/>
        <w:rPr>
          <w:rFonts w:ascii="Times New Roman" w:hAnsi="Times New Roman" w:cs="Times New Roman"/>
          <w:color w:val="0070C0"/>
          <w:sz w:val="16"/>
          <w:szCs w:val="16"/>
        </w:rPr>
      </w:pPr>
    </w:p>
    <w:p w14:paraId="1285C459" w14:textId="72763575" w:rsidR="002F0CB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0CA4E38" w14:textId="77777777" w:rsidR="002F0CB2" w:rsidRPr="002F2FDF" w:rsidRDefault="002F0CB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27838C" w14:textId="77777777" w:rsidR="002F0CB2" w:rsidRPr="002F2FDF" w:rsidRDefault="002F0CB2" w:rsidP="0083075A">
      <w:pPr>
        <w:pStyle w:val="ae"/>
        <w:spacing w:before="0" w:after="0"/>
        <w:jc w:val="both"/>
        <w:rPr>
          <w:color w:val="000000" w:themeColor="text1"/>
          <w:kern w:val="2"/>
          <w:sz w:val="16"/>
          <w:szCs w:val="16"/>
        </w:rPr>
      </w:pPr>
      <w:r w:rsidRPr="002F2FDF">
        <w:rPr>
          <w:color w:val="000000" w:themeColor="text1"/>
          <w:kern w:val="2"/>
          <w:sz w:val="16"/>
          <w:szCs w:val="16"/>
        </w:rPr>
        <w:t>21 февраля (6 марта) 1917 в Петрограде начались уличные беспорядки — люди, стоявшие на морозе в длинных очередях за хлебом, начали громить магазины и лавки. В Петрограде проблем с поставками основных продуктов никогда не было, и долгое стояние в «хвостах», как тогда называли очереди, из-за хлеба на фоне разговоров о возможном введении карточек вызвало резкое раздражение публики. Даже при том, что дефицит хлеба наблюдался только в отдельных районах.</w:t>
      </w:r>
    </w:p>
    <w:p w14:paraId="72EE7D74" w14:textId="60CCEA87" w:rsidR="002F0CB2" w:rsidRPr="002F2FDF" w:rsidRDefault="002F0CB2" w:rsidP="0083075A">
      <w:pPr>
        <w:pStyle w:val="ae"/>
        <w:spacing w:before="0" w:after="0"/>
        <w:jc w:val="both"/>
        <w:rPr>
          <w:color w:val="000000" w:themeColor="text1"/>
          <w:kern w:val="2"/>
          <w:sz w:val="16"/>
          <w:szCs w:val="16"/>
        </w:rPr>
      </w:pPr>
      <w:r w:rsidRPr="002F2FDF">
        <w:rPr>
          <w:color w:val="000000" w:themeColor="text1"/>
          <w:kern w:val="2"/>
          <w:sz w:val="16"/>
          <w:szCs w:val="16"/>
        </w:rPr>
        <w:t>Хлеб в Петроград не был завезен в достаточном количестве по причине железнодорожного кризиса. Сильные морозы (до -43◦С), которые накрыли европейскую часть России с конца января, вывели из строя паровые трубы более 1200 локомотивов, а запасных труб не хватало из-за забастовок петроградских заводов. Кроме того, неделей ранее в окрестностях Петрограда выпал обильный снег, который завалил железнодорожные пути, в результате чего на подступах к городу застряли 57</w:t>
      </w:r>
      <w:r w:rsidR="00E52569">
        <w:rPr>
          <w:color w:val="000000" w:themeColor="text1"/>
          <w:kern w:val="2"/>
          <w:sz w:val="16"/>
          <w:szCs w:val="16"/>
        </w:rPr>
        <w:t xml:space="preserve"> </w:t>
      </w:r>
      <w:r w:rsidRPr="002F2FDF">
        <w:rPr>
          <w:color w:val="000000" w:themeColor="text1"/>
          <w:kern w:val="2"/>
          <w:sz w:val="16"/>
          <w:szCs w:val="16"/>
        </w:rPr>
        <w:t>000 вагонов. При этом некоторые историки полагают, что хлебный кризис в Петрограде не обошелся и без сознательного саботажа некоторых чиновников, в том числе и из Министерства путей сообщений, выступавших за свержение монархии.</w:t>
      </w:r>
    </w:p>
    <w:p w14:paraId="424FC50D" w14:textId="77777777" w:rsidR="002F0CB2" w:rsidRPr="002F2FDF" w:rsidRDefault="002F0CB2" w:rsidP="0083075A">
      <w:pPr>
        <w:pStyle w:val="ae"/>
        <w:spacing w:before="0" w:after="0"/>
        <w:jc w:val="both"/>
        <w:rPr>
          <w:color w:val="000000" w:themeColor="text1"/>
          <w:kern w:val="2"/>
          <w:sz w:val="16"/>
          <w:szCs w:val="16"/>
        </w:rPr>
      </w:pPr>
      <w:r w:rsidRPr="002F2FDF">
        <w:rPr>
          <w:color w:val="000000" w:themeColor="text1"/>
          <w:kern w:val="2"/>
          <w:sz w:val="16"/>
          <w:szCs w:val="16"/>
        </w:rPr>
        <w:t>По сообщениям газеты «Биржевые ведомости» от 6 марта, на Петроградской стороне (ныне Петроградский район Петербурга) начался разгром булочных и мелочных лавок толпами, скандировавшими: «Хлеба! Хлеба!». В этот же день в Киеве собрание духовенства обратилось к императрице с предложением разогнать Госдуму (17045).</w:t>
      </w:r>
    </w:p>
    <w:p w14:paraId="09474B95" w14:textId="77777777" w:rsidR="002F0CB2" w:rsidRPr="002F2FDF" w:rsidRDefault="002F0CB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2AFE02" w14:textId="77777777" w:rsidR="00D73E9F" w:rsidRPr="002F2FDF" w:rsidRDefault="00D73E9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435F5843" w14:textId="77777777" w:rsidR="00D73E9F" w:rsidRPr="002F2FDF" w:rsidRDefault="00D73E9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815DFE" w14:textId="77777777" w:rsidR="00D73E9F" w:rsidRPr="002F2FDF" w:rsidRDefault="00D73E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22 февраля (7 марта) 1917 г. </w:t>
      </w:r>
    </w:p>
    <w:p w14:paraId="1EFF9FDC" w14:textId="77777777" w:rsidR="00D73E9F" w:rsidRPr="002F2FDF" w:rsidRDefault="00D73E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Резолюция по Журналу №  151.  </w:t>
      </w:r>
    </w:p>
    <w:p w14:paraId="4FA47271" w14:textId="77777777" w:rsidR="00D73E9F" w:rsidRPr="002F2FDF" w:rsidRDefault="00D73E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22 февраля 1917 г. </w:t>
      </w:r>
    </w:p>
    <w:p w14:paraId="72C749BD" w14:textId="77777777" w:rsidR="00D73E9F" w:rsidRPr="002F2FDF" w:rsidRDefault="00D73E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6 апреля. — Резолюция Председателя Особого Совещания для обсуждения и объединения мероприятий по обороне государства по журналу  116 </w:t>
      </w:r>
    </w:p>
    <w:p w14:paraId="6264DF0E" w14:textId="77777777" w:rsidR="00D73E9F" w:rsidRPr="002F2FDF" w:rsidRDefault="00D73E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Особого Совещания от 29 марта 1917 года за №  151 </w:t>
      </w:r>
    </w:p>
    <w:p w14:paraId="52CDFE9E" w14:textId="77777777" w:rsidR="00D73E9F" w:rsidRPr="002F2FDF" w:rsidRDefault="00D73E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43ADC7C5" w14:textId="77777777" w:rsidR="00D73E9F" w:rsidRPr="002F2FDF" w:rsidRDefault="00D73E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Утвердить     доклады    подготовительной       комиссии     по   общим  вопросам: </w:t>
      </w:r>
    </w:p>
    <w:p w14:paraId="7CD59845" w14:textId="77777777" w:rsidR="00D73E9F" w:rsidRPr="002F2FDF" w:rsidRDefault="00D73E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  разрешении     главному    военно-техническому       управлению      и  учреждениям  и  заведениям  морского  ведомства  выдать  особому  правлению  акционерных  обществ  Сименс  —  Гальске  и  Сименс  —  Шуккерт  дополнительные авансы без обеспечения до общего размера непогашенных  авансов  в  50 %  от  не  исполненной  названными  обществами  части  </w:t>
      </w:r>
    </w:p>
    <w:p w14:paraId="293F88C0" w14:textId="77777777" w:rsidR="00D73E9F" w:rsidRPr="002F2FDF" w:rsidRDefault="00D73E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 заготовлении автомобилей различного назначения и самокатов  для  всех  правительственных  учреждений  и  общественных  организаций, работающих на оборону, по срокам с 1 января 1917 года по 1  июля  1918 года. </w:t>
      </w:r>
    </w:p>
    <w:p w14:paraId="056E06FE" w14:textId="77777777" w:rsidR="00D73E9F" w:rsidRPr="002F2FDF" w:rsidRDefault="00D73E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Утвердить  доклады  подготовительной  комиссии  по  артиллерийским вопросам: </w:t>
      </w:r>
    </w:p>
    <w:p w14:paraId="690EFE8F" w14:textId="77777777" w:rsidR="00D73E9F" w:rsidRPr="002F2FDF" w:rsidRDefault="00D73E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об  отпуске  Русско-Балтийскому  судостроительному  и  механическому акционерному обществу причитающихся ему по заказам морского  ведомства авансов, в общей сумме пять миллионов четыреста восемьдесят тысяч (5 480  000) руб лей, и краткосрочной ссуды в размере пятисот  сорока девяти тысяч ста девяноста девяти (549  199) рублей, с тем чтобы  ссуда эта была погашена из платежей, имеющих поступить в возмещение  перерасходов общества по заказам морского министерства по 1  января  1917 года; </w:t>
      </w:r>
    </w:p>
    <w:p w14:paraId="7F48AE4E" w14:textId="77777777" w:rsidR="00D73E9F" w:rsidRPr="002F2FDF" w:rsidRDefault="00D73E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 предоставлении фирме Гочкис заказа на изготовление 85 000 штук  ружей-пулеметов системы названной фирмы на условиях, изложенных в  сношении главного артиллерийского управления от 14  марта 1917 года  за № 44261; </w:t>
      </w:r>
    </w:p>
    <w:p w14:paraId="2253D7EE" w14:textId="77777777" w:rsidR="00D73E9F" w:rsidRPr="002F2FDF" w:rsidRDefault="00D73E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об отклонении наряда главного артиллерийского управления комитету средней и мелкой промышленности на тяжелые сварные мины к  58 м/м миномету Дюмезиля и о предложении главному артиллерийскому управлению разместить этот заказ при посредстве главного по снабжению армии комитета Всероссийских земского и городского союзов и  центрального военно-промышленного комитета с тем, чтобы изготовление мин производилось вне Петроградского района; </w:t>
      </w:r>
    </w:p>
    <w:p w14:paraId="058F8707" w14:textId="77777777" w:rsidR="00D73E9F" w:rsidRPr="002F2FDF" w:rsidRDefault="00D73E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 об оставлении в силе существующего порядка разрешения вопросов, возникающих в связи с неисправностью поставщиков.</w:t>
      </w:r>
    </w:p>
    <w:p w14:paraId="6E3BC88B" w14:textId="77777777" w:rsidR="00D73E9F" w:rsidRPr="002F2FDF" w:rsidRDefault="00D73E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3. Утвердить выработанные валютной комиссией и одобренные Особым  Совещанием  правила  помещения  заказов  за  границей  казенными  ведомствами, общественными организациями и частными фирмами, работающими на оборону. </w:t>
      </w:r>
    </w:p>
    <w:p w14:paraId="068974C3" w14:textId="77777777" w:rsidR="00D73E9F" w:rsidRPr="002F2FDF" w:rsidRDefault="00D73E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 председателя Особого Совещания     помощник Военного Министра генерал-адъютант Маниковский. </w:t>
      </w:r>
    </w:p>
    <w:p w14:paraId="6250FE7B" w14:textId="77777777" w:rsidR="00D73E9F" w:rsidRPr="002F2FDF" w:rsidRDefault="00D73E9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Управляющий      делами    Особого    Совещания      генерал-лейтенант  Бабиков (20527).</w:t>
      </w:r>
    </w:p>
    <w:p w14:paraId="583FA3E0" w14:textId="77777777" w:rsidR="00D73E9F" w:rsidRPr="002F2FDF" w:rsidRDefault="00D73E9F" w:rsidP="0083075A">
      <w:pPr>
        <w:spacing w:after="0" w:line="240" w:lineRule="auto"/>
        <w:jc w:val="both"/>
        <w:rPr>
          <w:rFonts w:ascii="Times New Roman" w:hAnsi="Times New Roman" w:cs="Times New Roman"/>
          <w:color w:val="000000" w:themeColor="text1"/>
          <w:sz w:val="16"/>
          <w:szCs w:val="16"/>
        </w:rPr>
      </w:pPr>
    </w:p>
    <w:p w14:paraId="0F2B4E0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B5D0D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CF5E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февраля (7 марта) 1917 эсминцы Сметливый и Свирепый обстреляли портовые сооружения в Тиреболу Керасунде и уничтожили 2 парусника (3123).</w:t>
      </w:r>
    </w:p>
    <w:p w14:paraId="2D72B8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2499C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82C06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F82C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февраля (7 марта) 1917 был локаут на Путиловском заводе (3481) из-за перебоев со снабжением сырьем и завод закрывается (3908,252).</w:t>
      </w:r>
    </w:p>
    <w:p w14:paraId="1AD6AC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A4D1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22 февраля (7 марта) </w:t>
      </w:r>
      <w:r w:rsidR="002F0CB2" w:rsidRPr="002F2FDF">
        <w:rPr>
          <w:rFonts w:ascii="Times New Roman" w:hAnsi="Times New Roman" w:cs="Times New Roman"/>
          <w:color w:val="000000" w:themeColor="text1"/>
          <w:kern w:val="2"/>
          <w:sz w:val="16"/>
          <w:szCs w:val="16"/>
        </w:rPr>
        <w:t xml:space="preserve">1917 </w:t>
      </w:r>
      <w:r w:rsidRPr="002F2FDF">
        <w:rPr>
          <w:rFonts w:ascii="Times New Roman" w:hAnsi="Times New Roman" w:cs="Times New Roman"/>
          <w:color w:val="000000" w:themeColor="text1"/>
          <w:kern w:val="2"/>
          <w:sz w:val="16"/>
          <w:szCs w:val="16"/>
        </w:rPr>
        <w:t>Николай II выехал в Ставку в Могилев (3908,252).</w:t>
      </w:r>
    </w:p>
    <w:p w14:paraId="2614E9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4BCD06" w14:textId="77777777" w:rsidR="002F0CB2" w:rsidRPr="002F2FDF" w:rsidRDefault="002F0CB2" w:rsidP="0083075A">
      <w:pPr>
        <w:pStyle w:val="ae"/>
        <w:spacing w:before="0" w:after="0"/>
        <w:jc w:val="both"/>
        <w:rPr>
          <w:color w:val="000000" w:themeColor="text1"/>
          <w:kern w:val="2"/>
          <w:sz w:val="16"/>
          <w:szCs w:val="16"/>
        </w:rPr>
      </w:pPr>
      <w:r w:rsidRPr="002F2FDF">
        <w:rPr>
          <w:color w:val="000000" w:themeColor="text1"/>
          <w:kern w:val="2"/>
          <w:sz w:val="16"/>
          <w:szCs w:val="16"/>
        </w:rPr>
        <w:t>22 февраля (7 марта) 1917 на фоне нарастающих беспорядков в столице император Николай II выехал из Петрограда в Могилев в Ставку Верховного Главнокомандующего. Перед этим он провел совещание с министром внутренних дел А. Д. Протопоповом, который убедил императора в том, что ситуация в Петрограде находится под контролем. Еще 13 февраля полиция арестовала рабочую группу Центрального Военно-Промышленного комитета, а позже была запрещена намеченная на 27 февраля массовая демонстрация, посвященная открытию новой сессии Госдумы. Протопопов был уверен, что эти мерами ему удалось снять угрозу новых волнений (17045).</w:t>
      </w:r>
    </w:p>
    <w:p w14:paraId="76050B29" w14:textId="77777777" w:rsidR="002F0CB2" w:rsidRPr="002F2FDF" w:rsidRDefault="002F0CB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8A15A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E6CDD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884459" w14:textId="4C4A9CAA"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23-24 февраля (</w:t>
      </w:r>
      <w:r w:rsidR="00A06735">
        <w:rPr>
          <w:rFonts w:ascii="Times New Roman" w:hAnsi="Times New Roman" w:cs="Times New Roman"/>
          <w:color w:val="000000" w:themeColor="text1"/>
          <w:kern w:val="2"/>
          <w:sz w:val="16"/>
          <w:szCs w:val="16"/>
        </w:rPr>
        <w:t>8</w:t>
      </w:r>
      <w:r w:rsidRPr="002F2FDF">
        <w:rPr>
          <w:rFonts w:ascii="Times New Roman" w:hAnsi="Times New Roman" w:cs="Times New Roman"/>
          <w:color w:val="000000" w:themeColor="text1"/>
          <w:kern w:val="2"/>
          <w:sz w:val="16"/>
          <w:szCs w:val="16"/>
        </w:rPr>
        <w:t>-</w:t>
      </w:r>
      <w:r w:rsidR="00A06735">
        <w:rPr>
          <w:rFonts w:ascii="Times New Roman" w:hAnsi="Times New Roman" w:cs="Times New Roman"/>
          <w:color w:val="000000" w:themeColor="text1"/>
          <w:kern w:val="2"/>
          <w:sz w:val="16"/>
          <w:szCs w:val="16"/>
        </w:rPr>
        <w:t>9</w:t>
      </w:r>
      <w:r w:rsidRPr="002F2FDF">
        <w:rPr>
          <w:rFonts w:ascii="Times New Roman" w:hAnsi="Times New Roman" w:cs="Times New Roman"/>
          <w:color w:val="000000" w:themeColor="text1"/>
          <w:kern w:val="2"/>
          <w:sz w:val="16"/>
          <w:szCs w:val="16"/>
        </w:rPr>
        <w:t xml:space="preserve"> марта) 1917 г. уже весь РБВЗ бастовал вновь. В те дни нелегко пришлось заведующим произ</w:t>
      </w:r>
      <w:r w:rsidRPr="002F2FDF">
        <w:rPr>
          <w:rFonts w:ascii="Times New Roman" w:hAnsi="Times New Roman" w:cs="Times New Roman"/>
          <w:color w:val="000000" w:themeColor="text1"/>
          <w:kern w:val="2"/>
          <w:sz w:val="16"/>
          <w:szCs w:val="16"/>
        </w:rPr>
        <w:softHyphen/>
        <w:t>водством Н.Н.Поликарпову и К.К.Эрганту. Подобное творилось на многих заводах Пе</w:t>
      </w:r>
      <w:r w:rsidRPr="002F2FDF">
        <w:rPr>
          <w:rFonts w:ascii="Times New Roman" w:hAnsi="Times New Roman" w:cs="Times New Roman"/>
          <w:color w:val="000000" w:themeColor="text1"/>
          <w:kern w:val="2"/>
          <w:sz w:val="16"/>
          <w:szCs w:val="16"/>
        </w:rPr>
        <w:softHyphen/>
        <w:t>трограда - Путиловском, Металлическом, Франко-рус</w:t>
      </w:r>
      <w:r w:rsidRPr="002F2FDF">
        <w:rPr>
          <w:rFonts w:ascii="Times New Roman" w:hAnsi="Times New Roman" w:cs="Times New Roman"/>
          <w:color w:val="000000" w:themeColor="text1"/>
          <w:kern w:val="2"/>
          <w:sz w:val="16"/>
          <w:szCs w:val="16"/>
        </w:rPr>
        <w:softHyphen/>
        <w:t>ском и других (10667).</w:t>
      </w:r>
    </w:p>
    <w:p w14:paraId="33B2D4B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98184B" w14:textId="0A5B88A7" w:rsidR="00783072" w:rsidRPr="002F2FDF" w:rsidRDefault="00783072"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23 февраля (</w:t>
      </w:r>
      <w:r w:rsidR="00A06735">
        <w:rPr>
          <w:b w:val="0"/>
          <w:color w:val="000000" w:themeColor="text1"/>
          <w:kern w:val="2"/>
          <w:sz w:val="16"/>
          <w:szCs w:val="16"/>
        </w:rPr>
        <w:t>8</w:t>
      </w:r>
      <w:r w:rsidRPr="002F2FDF">
        <w:rPr>
          <w:b w:val="0"/>
          <w:color w:val="000000" w:themeColor="text1"/>
          <w:kern w:val="2"/>
          <w:sz w:val="16"/>
          <w:szCs w:val="16"/>
        </w:rPr>
        <w:t xml:space="preserve"> марта) 1917 была телеграмма Великого князя, написанная после получения от Гортынского информации о состоянии дел, «по горячим следам», отправленная в УВВФ полковнику Голубову за № 5005: «11 января № 295 Гортынский сообщил, что прибыло пять Двухмоторных Кодронов, из которых один требует ремонта, того же числа № 855 я их нарядил Кавказский парк, 22 января два Кодрона были высланы, а сегодня 23 февраля через 43 дня после наряда согласно № 2156 Г ортынского три Кодрона значатся еще в ремонте № 40284 Увофлот 24 января известил о наряде самолетов с указанием что они не требуют капитального ремонта и желательна их рассылка в парки, того числа самолеты были наряжены Кб 2134 Увофлоту, по телеграмме Гортынского 1015 от 27 января было сделано распоряжение № 2453 увофлоту оставить пять Фарсалей ремонте Московском авиаскладе, сегодня № 2136 Гор- тыкский уведомляет что наряженные мною месяц тому назад по просьбе Увофлота для ремонта втором парке два Бебе еще находятся Московском складе числе ремон- тируемых. Кроме того, на мой запрос сегодня в том же извещении Гортынский сообщает, что на складе имеется двенадцать самолетов, ожидающих очереди ремонта что не имело бы места при аккуратном исполнении нарядов и </w:t>
      </w:r>
      <w:r w:rsidRPr="002F2FDF">
        <w:rPr>
          <w:b w:val="0"/>
          <w:color w:val="000000" w:themeColor="text1"/>
          <w:kern w:val="2"/>
          <w:sz w:val="16"/>
          <w:szCs w:val="16"/>
        </w:rPr>
        <w:lastRenderedPageBreak/>
        <w:t>противоречит всем моим просьбам возможно ускорить ремонт самолетов путем рассылки части неисправных в парки. Очень прошу проследить точное исполнение даваемого сегодня наряда.» (15464).</w:t>
      </w:r>
    </w:p>
    <w:p w14:paraId="5BE8F9F1" w14:textId="77777777" w:rsidR="00783072" w:rsidRPr="002F2FDF" w:rsidRDefault="00783072" w:rsidP="0083075A">
      <w:pPr>
        <w:pStyle w:val="2"/>
        <w:spacing w:before="0" w:beforeAutospacing="0" w:after="0" w:afterAutospacing="0"/>
        <w:jc w:val="both"/>
        <w:rPr>
          <w:b w:val="0"/>
          <w:color w:val="000000" w:themeColor="text1"/>
          <w:kern w:val="2"/>
          <w:sz w:val="16"/>
          <w:szCs w:val="16"/>
        </w:rPr>
      </w:pPr>
    </w:p>
    <w:p w14:paraId="13C986C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3543DC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6E14E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дни Февральской 1917 революции на заводе РОБТиТ была создана во</w:t>
      </w:r>
      <w:r w:rsidRPr="002F2FDF">
        <w:rPr>
          <w:rFonts w:ascii="Times New Roman" w:hAnsi="Times New Roman" w:cs="Times New Roman"/>
          <w:color w:val="000000" w:themeColor="text1"/>
          <w:kern w:val="2"/>
          <w:sz w:val="16"/>
          <w:szCs w:val="16"/>
        </w:rPr>
        <w:softHyphen/>
        <w:t>оруженная охрана, которая несла охрану завода, участвовала в разгроме полицейских участков и в демонстрациях с оружием в руках. Часть администрации была изгнана с завода. При поддер</w:t>
      </w:r>
      <w:r w:rsidRPr="002F2FDF">
        <w:rPr>
          <w:rFonts w:ascii="Times New Roman" w:hAnsi="Times New Roman" w:cs="Times New Roman"/>
          <w:color w:val="000000" w:themeColor="text1"/>
          <w:kern w:val="2"/>
          <w:sz w:val="16"/>
          <w:szCs w:val="16"/>
        </w:rPr>
        <w:softHyphen/>
        <w:t>жке заводского комитета, возглавляемого членами партии боль</w:t>
      </w:r>
      <w:r w:rsidRPr="002F2FDF">
        <w:rPr>
          <w:rFonts w:ascii="Times New Roman" w:hAnsi="Times New Roman" w:cs="Times New Roman"/>
          <w:color w:val="000000" w:themeColor="text1"/>
          <w:kern w:val="2"/>
          <w:sz w:val="16"/>
          <w:szCs w:val="16"/>
        </w:rPr>
        <w:softHyphen/>
        <w:t>шевиков Алексеевым и Пустыновым, был введен 8-ми часовой рабочий день. Во дворе завода состоялись выборы депутатов в Петроградский Совет рабочих и солдатских депутатов. Февральская революция легализовала положение большевиков, на заводе образовалась коммунистическая ячейка. Вот что вспоминает об этих событиях рабочий И.Н. Пенкин:</w:t>
      </w:r>
    </w:p>
    <w:p w14:paraId="2524C0E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заводе находилась искровая станция, охрану и обслужи</w:t>
      </w:r>
      <w:r w:rsidRPr="002F2FDF">
        <w:rPr>
          <w:rFonts w:ascii="Times New Roman" w:hAnsi="Times New Roman" w:cs="Times New Roman"/>
          <w:color w:val="000000" w:themeColor="text1"/>
          <w:kern w:val="2"/>
          <w:sz w:val="16"/>
          <w:szCs w:val="16"/>
        </w:rPr>
        <w:softHyphen/>
        <w:t>вание которой несла так называемая рота слухачей. У солдат этой роты мы добыли винтовки и из рабочих завода организовали воору</w:t>
      </w:r>
      <w:r w:rsidRPr="002F2FDF">
        <w:rPr>
          <w:rFonts w:ascii="Times New Roman" w:hAnsi="Times New Roman" w:cs="Times New Roman"/>
          <w:color w:val="000000" w:themeColor="text1"/>
          <w:kern w:val="2"/>
          <w:sz w:val="16"/>
          <w:szCs w:val="16"/>
        </w:rPr>
        <w:softHyphen/>
        <w:t>женный отряд, который с самых первых дней Февральской рево</w:t>
      </w:r>
      <w:r w:rsidRPr="002F2FDF">
        <w:rPr>
          <w:rFonts w:ascii="Times New Roman" w:hAnsi="Times New Roman" w:cs="Times New Roman"/>
          <w:color w:val="000000" w:themeColor="text1"/>
          <w:kern w:val="2"/>
          <w:sz w:val="16"/>
          <w:szCs w:val="16"/>
        </w:rPr>
        <w:softHyphen/>
        <w:t>люции установил охрану завода. В состав рабочего отряда входи</w:t>
      </w:r>
      <w:r w:rsidRPr="002F2FDF">
        <w:rPr>
          <w:rFonts w:ascii="Times New Roman" w:hAnsi="Times New Roman" w:cs="Times New Roman"/>
          <w:color w:val="000000" w:themeColor="text1"/>
          <w:kern w:val="2"/>
          <w:sz w:val="16"/>
          <w:szCs w:val="16"/>
        </w:rPr>
        <w:softHyphen/>
        <w:t>ли настройщик Петров, электромонтер Виноградов, механик Пу-стынов. слесарь и токарь Пенкины, токарь Мокряков (младший), столяры Гриман, Родионов, двое Васильевых, механики Хлудов, Пошшвский и другие. Впоследствии все они вошли в состав заводс</w:t>
      </w:r>
      <w:r w:rsidRPr="002F2FDF">
        <w:rPr>
          <w:rFonts w:ascii="Times New Roman" w:hAnsi="Times New Roman" w:cs="Times New Roman"/>
          <w:color w:val="000000" w:themeColor="text1"/>
          <w:kern w:val="2"/>
          <w:sz w:val="16"/>
          <w:szCs w:val="16"/>
        </w:rPr>
        <w:softHyphen/>
        <w:t>кого отряда Красной Гвардии.</w:t>
      </w:r>
    </w:p>
    <w:p w14:paraId="0E0A2A3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Сразуже после победы Февральской буржуазно-демократи</w:t>
      </w:r>
      <w:r w:rsidRPr="002F2FDF">
        <w:rPr>
          <w:rFonts w:ascii="Times New Roman" w:hAnsi="Times New Roman" w:cs="Times New Roman"/>
          <w:color w:val="000000" w:themeColor="text1"/>
          <w:kern w:val="2"/>
          <w:sz w:val="16"/>
          <w:szCs w:val="16"/>
        </w:rPr>
        <w:softHyphen/>
        <w:t>ческой революции от завода был избран в депутаты Городского Совета рабочих и солдатских депутатов слесарь моторной мас</w:t>
      </w:r>
      <w:r w:rsidRPr="002F2FDF">
        <w:rPr>
          <w:rFonts w:ascii="Times New Roman" w:hAnsi="Times New Roman" w:cs="Times New Roman"/>
          <w:color w:val="000000" w:themeColor="text1"/>
          <w:kern w:val="2"/>
          <w:sz w:val="16"/>
          <w:szCs w:val="16"/>
        </w:rPr>
        <w:softHyphen/>
        <w:t>терской Харитонов... 2 и 3 марта явочным порядком на заводе был введен 8-часовой рабочий день...</w:t>
      </w:r>
    </w:p>
    <w:p w14:paraId="3702BCA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Личное участие в работе ячейки большевиков на заводе я стал принимать в конце апреля 1917 года. ...В июне 1917 года руковод</w:t>
      </w:r>
      <w:r w:rsidRPr="002F2FDF">
        <w:rPr>
          <w:rFonts w:ascii="Times New Roman" w:hAnsi="Times New Roman" w:cs="Times New Roman"/>
          <w:color w:val="000000" w:themeColor="text1"/>
          <w:kern w:val="2"/>
          <w:sz w:val="16"/>
          <w:szCs w:val="16"/>
        </w:rPr>
        <w:softHyphen/>
        <w:t>ство заводским комитетом возглавлялось большевиками: предсе</w:t>
      </w:r>
      <w:r w:rsidRPr="002F2FDF">
        <w:rPr>
          <w:rFonts w:ascii="Times New Roman" w:hAnsi="Times New Roman" w:cs="Times New Roman"/>
          <w:color w:val="000000" w:themeColor="text1"/>
          <w:kern w:val="2"/>
          <w:sz w:val="16"/>
          <w:szCs w:val="16"/>
        </w:rPr>
        <w:softHyphen/>
        <w:t>дателем заводского комитета был большевик Алексеев, а замес</w:t>
      </w:r>
      <w:r w:rsidRPr="002F2FDF">
        <w:rPr>
          <w:rFonts w:ascii="Times New Roman" w:hAnsi="Times New Roman" w:cs="Times New Roman"/>
          <w:color w:val="000000" w:themeColor="text1"/>
          <w:kern w:val="2"/>
          <w:sz w:val="16"/>
          <w:szCs w:val="16"/>
        </w:rPr>
        <w:softHyphen/>
        <w:t>тителем председателя - Лустынов...(11481).</w:t>
      </w:r>
    </w:p>
    <w:p w14:paraId="7F0C14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76B28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DAC48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6DFC6D" w14:textId="57680E4F" w:rsidR="0040389F" w:rsidRPr="00FB4F67" w:rsidRDefault="0040389F" w:rsidP="0083075A">
      <w:pPr>
        <w:spacing w:after="0" w:line="240" w:lineRule="auto"/>
        <w:jc w:val="both"/>
        <w:rPr>
          <w:rFonts w:ascii="Times New Roman" w:hAnsi="Times New Roman" w:cs="Times New Roman"/>
          <w:color w:val="0070C0"/>
          <w:sz w:val="16"/>
          <w:szCs w:val="16"/>
        </w:rPr>
      </w:pPr>
      <w:bookmarkStart w:id="43" w:name="bookmark704"/>
      <w:bookmarkStart w:id="44" w:name="bookmark724"/>
      <w:bookmarkStart w:id="45" w:name="bookmark725"/>
      <w:bookmarkStart w:id="46" w:name="bookmark726"/>
      <w:bookmarkStart w:id="47" w:name="bookmark727"/>
      <w:bookmarkStart w:id="48" w:name="bookmark728"/>
      <w:bookmarkStart w:id="49" w:name="bookmark713"/>
      <w:r w:rsidRPr="00FB4F67">
        <w:rPr>
          <w:rFonts w:ascii="Times New Roman" w:hAnsi="Times New Roman" w:cs="Times New Roman"/>
          <w:color w:val="0070C0"/>
          <w:sz w:val="16"/>
          <w:szCs w:val="16"/>
        </w:rPr>
        <w:t>23 февраля (8 марта) 1917 г. в тот день, когда Николай II издал свой манифест об отречении, начался пожар на одном из складов ЭВК. Инцидент был вызван намеренным поджогом, очевидно</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это был предумышленный акт, а не случайность. Ущерб, нанесенный пожаром, был значительным. К чести нижних чинов</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правительственная собственность не была разворована. Многие солдаты приняли участие в тушении пожара. Некоторых даже пришлось силой оттаскивать от горящего здания. Несколько солдат пострадали от ожогов и многие наглотались дыма. Часовой, стоявший на посту рядом с бензиновой цистерной не ушел со своего поста даже когда рядом с ними стали сыпаться искры. Этот же часовой поднял тревогу, открыв огонь в воздух. Он вызвал остальных, которые переместили цистерну в безопасное место (23470).</w:t>
      </w:r>
    </w:p>
    <w:p w14:paraId="2C799CF1" w14:textId="77777777" w:rsidR="0040389F" w:rsidRPr="00FB4F67" w:rsidRDefault="0040389F" w:rsidP="0083075A">
      <w:pPr>
        <w:spacing w:after="0" w:line="240" w:lineRule="auto"/>
        <w:jc w:val="both"/>
        <w:rPr>
          <w:rFonts w:ascii="Times New Roman" w:hAnsi="Times New Roman" w:cs="Times New Roman"/>
          <w:color w:val="0070C0"/>
          <w:sz w:val="16"/>
          <w:szCs w:val="16"/>
        </w:rPr>
      </w:pPr>
    </w:p>
    <w:bookmarkEnd w:id="43"/>
    <w:bookmarkEnd w:id="44"/>
    <w:bookmarkEnd w:id="45"/>
    <w:bookmarkEnd w:id="46"/>
    <w:bookmarkEnd w:id="47"/>
    <w:bookmarkEnd w:id="48"/>
    <w:bookmarkEnd w:id="49"/>
    <w:p w14:paraId="7558C8D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февраля (8 марта) 1917 года с разрешения мор</w:t>
      </w:r>
      <w:r w:rsidRPr="002F2FDF">
        <w:rPr>
          <w:rFonts w:ascii="Times New Roman" w:hAnsi="Times New Roman" w:cs="Times New Roman"/>
          <w:color w:val="000000" w:themeColor="text1"/>
          <w:kern w:val="2"/>
          <w:sz w:val="16"/>
          <w:szCs w:val="16"/>
        </w:rPr>
        <w:softHyphen/>
        <w:t>ского министра, “самодеятельную инициативу” проявил на</w:t>
      </w:r>
      <w:r w:rsidRPr="002F2FDF">
        <w:rPr>
          <w:rFonts w:ascii="Times New Roman" w:hAnsi="Times New Roman" w:cs="Times New Roman"/>
          <w:color w:val="000000" w:themeColor="text1"/>
          <w:kern w:val="2"/>
          <w:sz w:val="16"/>
          <w:szCs w:val="16"/>
        </w:rPr>
        <w:softHyphen/>
        <w:t>чальник Управления Беломорско-Мурманским районом вице-адмирал А. Угрюмов, знавший о предстоящем назначении его командующим флотилии и своим приказом по Управлению № 54 объявил о введении в дей</w:t>
      </w:r>
      <w:r w:rsidRPr="002F2FDF">
        <w:rPr>
          <w:rFonts w:ascii="Times New Roman" w:hAnsi="Times New Roman" w:cs="Times New Roman"/>
          <w:color w:val="000000" w:themeColor="text1"/>
          <w:kern w:val="2"/>
          <w:sz w:val="16"/>
          <w:szCs w:val="16"/>
        </w:rPr>
        <w:softHyphen/>
        <w:t>ствие “Временного положения о Воздушной бригаде особого назначения”, которую намечалось создать из шести дивизио</w:t>
      </w:r>
      <w:r w:rsidRPr="002F2FDF">
        <w:rPr>
          <w:rFonts w:ascii="Times New Roman" w:hAnsi="Times New Roman" w:cs="Times New Roman"/>
          <w:color w:val="000000" w:themeColor="text1"/>
          <w:kern w:val="2"/>
          <w:sz w:val="16"/>
          <w:szCs w:val="16"/>
        </w:rPr>
        <w:softHyphen/>
        <w:t>нов по 10 аэропланов в каждом. Она предназначалась “для обслуживания Флотилии Северного Ледовитого океана и под</w:t>
      </w:r>
      <w:r w:rsidRPr="002F2FDF">
        <w:rPr>
          <w:rFonts w:ascii="Times New Roman" w:hAnsi="Times New Roman" w:cs="Times New Roman"/>
          <w:color w:val="000000" w:themeColor="text1"/>
          <w:kern w:val="2"/>
          <w:sz w:val="16"/>
          <w:szCs w:val="16"/>
        </w:rPr>
        <w:softHyphen/>
        <w:t>готовки авиационных резервов”. Осуществление этого проекта в условиях революционных перемен натолкнулось на серьезные препоны. Запланирован</w:t>
      </w:r>
      <w:r w:rsidRPr="002F2FDF">
        <w:rPr>
          <w:rFonts w:ascii="Times New Roman" w:hAnsi="Times New Roman" w:cs="Times New Roman"/>
          <w:color w:val="000000" w:themeColor="text1"/>
          <w:kern w:val="2"/>
          <w:sz w:val="16"/>
          <w:szCs w:val="16"/>
        </w:rPr>
        <w:softHyphen/>
        <w:t>ное на первое полугодие производство гидроаэропланов и рань</w:t>
      </w:r>
      <w:r w:rsidRPr="002F2FDF">
        <w:rPr>
          <w:rFonts w:ascii="Times New Roman" w:hAnsi="Times New Roman" w:cs="Times New Roman"/>
          <w:color w:val="000000" w:themeColor="text1"/>
          <w:kern w:val="2"/>
          <w:sz w:val="16"/>
          <w:szCs w:val="16"/>
        </w:rPr>
        <w:softHyphen/>
        <w:t>ше представлялось трудно выполнимым. “Камнем преткно</w:t>
      </w:r>
      <w:r w:rsidRPr="002F2FDF">
        <w:rPr>
          <w:rFonts w:ascii="Times New Roman" w:hAnsi="Times New Roman" w:cs="Times New Roman"/>
          <w:color w:val="000000" w:themeColor="text1"/>
          <w:kern w:val="2"/>
          <w:sz w:val="16"/>
          <w:szCs w:val="16"/>
        </w:rPr>
        <w:softHyphen/>
        <w:t>вения” оставалась нехватка отечественных авиамоторов. Правление Ижорского завода рассчитывало поставить Морс</w:t>
      </w:r>
      <w:r w:rsidRPr="002F2FDF">
        <w:rPr>
          <w:rFonts w:ascii="Times New Roman" w:hAnsi="Times New Roman" w:cs="Times New Roman"/>
          <w:color w:val="000000" w:themeColor="text1"/>
          <w:kern w:val="2"/>
          <w:sz w:val="16"/>
          <w:szCs w:val="16"/>
        </w:rPr>
        <w:softHyphen/>
        <w:t>кому ведомству за это время 200 моторов, а построенный в Симферополе завод Анатры - лишь 75 моторов, что было со</w:t>
      </w:r>
      <w:r w:rsidRPr="002F2FDF">
        <w:rPr>
          <w:rFonts w:ascii="Times New Roman" w:hAnsi="Times New Roman" w:cs="Times New Roman"/>
          <w:color w:val="000000" w:themeColor="text1"/>
          <w:kern w:val="2"/>
          <w:sz w:val="16"/>
          <w:szCs w:val="16"/>
        </w:rPr>
        <w:softHyphen/>
        <w:t>вершенно недостаточно для выполнения программы авиастро</w:t>
      </w:r>
      <w:r w:rsidRPr="002F2FDF">
        <w:rPr>
          <w:rFonts w:ascii="Times New Roman" w:hAnsi="Times New Roman" w:cs="Times New Roman"/>
          <w:color w:val="000000" w:themeColor="text1"/>
          <w:kern w:val="2"/>
          <w:sz w:val="16"/>
          <w:szCs w:val="16"/>
        </w:rPr>
        <w:softHyphen/>
        <w:t>ения и вынуждало добиваться зарубежных поставок (11283).</w:t>
      </w:r>
    </w:p>
    <w:p w14:paraId="6A1E0E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1E0AA3" w14:textId="07D6D7A9" w:rsidR="00BF74EB" w:rsidRPr="00FB4F67" w:rsidRDefault="00BF74E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23 февраля </w:t>
      </w:r>
      <w:r>
        <w:rPr>
          <w:rFonts w:ascii="Times New Roman" w:hAnsi="Times New Roman" w:cs="Times New Roman"/>
          <w:color w:val="0070C0"/>
          <w:sz w:val="16"/>
          <w:szCs w:val="16"/>
        </w:rPr>
        <w:t xml:space="preserve">(8 марта) </w:t>
      </w:r>
      <w:r w:rsidRPr="00FB4F67">
        <w:rPr>
          <w:rFonts w:ascii="Times New Roman" w:hAnsi="Times New Roman" w:cs="Times New Roman"/>
          <w:color w:val="0070C0"/>
          <w:sz w:val="16"/>
          <w:szCs w:val="16"/>
        </w:rPr>
        <w:t>1917 г. на севере России адмирал Каталинский, командующий флотом в Мурманске, был убит революционными моряками (23525).</w:t>
      </w:r>
    </w:p>
    <w:p w14:paraId="678AF544" w14:textId="77777777" w:rsidR="00BF74EB" w:rsidRPr="00FB4F67" w:rsidRDefault="00BF74EB" w:rsidP="0083075A">
      <w:pPr>
        <w:spacing w:after="0" w:line="240" w:lineRule="auto"/>
        <w:jc w:val="both"/>
        <w:rPr>
          <w:rFonts w:ascii="Times New Roman" w:hAnsi="Times New Roman" w:cs="Times New Roman"/>
          <w:color w:val="0070C0"/>
          <w:sz w:val="16"/>
          <w:szCs w:val="16"/>
        </w:rPr>
      </w:pPr>
    </w:p>
    <w:p w14:paraId="7394DB8C" w14:textId="1E4960B5" w:rsidR="00BF74EB" w:rsidRPr="00FB4F67" w:rsidRDefault="00BF74E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23 февраля </w:t>
      </w:r>
      <w:r>
        <w:rPr>
          <w:rFonts w:ascii="Times New Roman" w:hAnsi="Times New Roman" w:cs="Times New Roman"/>
          <w:color w:val="0070C0"/>
          <w:sz w:val="16"/>
          <w:szCs w:val="16"/>
        </w:rPr>
        <w:t xml:space="preserve">(8 марта) </w:t>
      </w:r>
      <w:r w:rsidRPr="00FB4F67">
        <w:rPr>
          <w:rFonts w:ascii="Times New Roman" w:hAnsi="Times New Roman" w:cs="Times New Roman"/>
          <w:color w:val="0070C0"/>
          <w:sz w:val="16"/>
          <w:szCs w:val="16"/>
        </w:rPr>
        <w:t>1917 г. в Царском Селе царь отверг совет великих князей и других лиц, надеявшихся сохранить монархию, назначив ответственное министерство и созвав Думу на заседание. Они просили царя объявить всеобщую амнистию и назначить князя Г.Я. Львова премьер-министром. Царь дал им ощущение, что все происходящее в руках Божиих (23525).</w:t>
      </w:r>
    </w:p>
    <w:p w14:paraId="30B7802C" w14:textId="77777777" w:rsidR="00BF74EB" w:rsidRPr="00FB4F67" w:rsidRDefault="00BF74EB" w:rsidP="0083075A">
      <w:pPr>
        <w:spacing w:after="0" w:line="240" w:lineRule="auto"/>
        <w:jc w:val="both"/>
        <w:rPr>
          <w:rFonts w:ascii="Times New Roman" w:hAnsi="Times New Roman" w:cs="Times New Roman"/>
          <w:color w:val="0070C0"/>
          <w:sz w:val="16"/>
          <w:szCs w:val="16"/>
        </w:rPr>
      </w:pPr>
    </w:p>
    <w:p w14:paraId="1E0C79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23 февраля </w:t>
      </w:r>
      <w:r w:rsidR="006E0883" w:rsidRPr="002F2FDF">
        <w:rPr>
          <w:rFonts w:ascii="Times New Roman" w:hAnsi="Times New Roman" w:cs="Times New Roman"/>
          <w:color w:val="000000" w:themeColor="text1"/>
          <w:kern w:val="2"/>
          <w:sz w:val="16"/>
          <w:szCs w:val="16"/>
        </w:rPr>
        <w:t xml:space="preserve">(8 марта) </w:t>
      </w:r>
      <w:r w:rsidRPr="002F2FDF">
        <w:rPr>
          <w:rFonts w:ascii="Times New Roman" w:hAnsi="Times New Roman" w:cs="Times New Roman"/>
          <w:color w:val="000000" w:themeColor="text1"/>
          <w:kern w:val="2"/>
          <w:sz w:val="16"/>
          <w:szCs w:val="16"/>
        </w:rPr>
        <w:t>1917 г. был создан 1 -й Отдельный тракторный тяжелый ар</w:t>
      </w:r>
      <w:r w:rsidRPr="002F2FDF">
        <w:rPr>
          <w:rFonts w:ascii="Times New Roman" w:hAnsi="Times New Roman" w:cs="Times New Roman"/>
          <w:color w:val="000000" w:themeColor="text1"/>
          <w:kern w:val="2"/>
          <w:sz w:val="16"/>
          <w:szCs w:val="16"/>
        </w:rPr>
        <w:softHyphen/>
        <w:t>тиллерийский дивизион батарей «М». Он имел на воо</w:t>
      </w:r>
      <w:r w:rsidRPr="002F2FDF">
        <w:rPr>
          <w:rFonts w:ascii="Times New Roman" w:hAnsi="Times New Roman" w:cs="Times New Roman"/>
          <w:color w:val="000000" w:themeColor="text1"/>
          <w:kern w:val="2"/>
          <w:sz w:val="16"/>
          <w:szCs w:val="16"/>
        </w:rPr>
        <w:softHyphen/>
        <w:t>ружении шестидюймовые английские гауби</w:t>
      </w:r>
      <w:r w:rsidRPr="002F2FDF">
        <w:rPr>
          <w:rFonts w:ascii="Times New Roman" w:hAnsi="Times New Roman" w:cs="Times New Roman"/>
          <w:color w:val="000000" w:themeColor="text1"/>
          <w:kern w:val="2"/>
          <w:sz w:val="16"/>
          <w:szCs w:val="16"/>
        </w:rPr>
        <w:softHyphen/>
        <w:t>цы «Виккерс» и состоял из трех тракторных батарей. Механическую тягу обеспечивали американские автомобили-тракторы «ФВД». 8 мая 1917 г. дивизион вошел в состав 203-й бригады ТАОН (11874).</w:t>
      </w:r>
    </w:p>
    <w:p w14:paraId="5FA02F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3ADAB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FE5B7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BCE6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февраля (8 марта) 1917 Международный женский день - массовые демонстрации в Петрограде с требованием обеспечения продовольствием. Фактическое начало февральской революции (1348,83).</w:t>
      </w:r>
    </w:p>
    <w:p w14:paraId="5BE141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8AC022"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23 февраля (8 марта)</w:t>
      </w:r>
      <w:r w:rsidRPr="002F2FDF">
        <w:rPr>
          <w:rFonts w:ascii="Times New Roman" w:hAnsi="Times New Roman" w:cs="Times New Roman"/>
          <w:color w:val="000000" w:themeColor="text1"/>
          <w:kern w:val="2"/>
          <w:sz w:val="16"/>
          <w:szCs w:val="16"/>
        </w:rPr>
        <w:t xml:space="preserve"> в 1917 году женскими демонстрациями началась Февральская революция в России. 10 марта к бастующим рабочим присоединятся солдаты. 14 марта Дума сформирует Временное правительство во главе с князем Львовым (15062).</w:t>
      </w:r>
    </w:p>
    <w:p w14:paraId="44F9BBB5"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p>
    <w:p w14:paraId="3BA2E333" w14:textId="77777777" w:rsidR="00FE2D53" w:rsidRPr="002F2FDF" w:rsidRDefault="00FE2D5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23 февраля (8 марта)</w:t>
      </w:r>
      <w:r w:rsidRPr="002F2FDF">
        <w:rPr>
          <w:rFonts w:ascii="Times New Roman" w:hAnsi="Times New Roman" w:cs="Times New Roman"/>
          <w:color w:val="000000" w:themeColor="text1"/>
          <w:kern w:val="2"/>
          <w:sz w:val="16"/>
          <w:szCs w:val="16"/>
        </w:rPr>
        <w:t xml:space="preserve"> в 1917 году манифестации на улицах города. Этот день следует считать днем начала Февральской революции: именно 24 февраля по старому стилю началась Всеобщая политическая забастовка рабочих Петрограда. За несколько дней Петроград, переполненный солдатами, не желавшими ехать на фронт и впервые испытавший перебои с продовольствием, полностью перешел в руки восставших. Спустя шесть дней, 2 марта по старому стилю, Николай II отрекся от престола и было сформировано Временное правительство (15062).</w:t>
      </w:r>
    </w:p>
    <w:p w14:paraId="72F2EA33" w14:textId="77777777" w:rsidR="00FE2D53" w:rsidRPr="002F2FDF" w:rsidRDefault="00FE2D53" w:rsidP="0083075A">
      <w:pPr>
        <w:spacing w:after="0" w:line="240" w:lineRule="auto"/>
        <w:jc w:val="both"/>
        <w:rPr>
          <w:rFonts w:ascii="Times New Roman" w:hAnsi="Times New Roman" w:cs="Times New Roman"/>
          <w:color w:val="000000" w:themeColor="text1"/>
          <w:kern w:val="2"/>
          <w:sz w:val="16"/>
          <w:szCs w:val="16"/>
        </w:rPr>
      </w:pPr>
    </w:p>
    <w:p w14:paraId="6C0F9C16" w14:textId="02F1999D" w:rsidR="002F0CB2" w:rsidRPr="002F2FDF" w:rsidRDefault="002F0CB2" w:rsidP="0083075A">
      <w:pPr>
        <w:pStyle w:val="ae"/>
        <w:spacing w:before="0" w:after="0"/>
        <w:jc w:val="both"/>
        <w:rPr>
          <w:color w:val="000000" w:themeColor="text1"/>
          <w:kern w:val="2"/>
          <w:sz w:val="16"/>
          <w:szCs w:val="16"/>
        </w:rPr>
      </w:pPr>
      <w:r w:rsidRPr="002F2FDF">
        <w:rPr>
          <w:color w:val="000000" w:themeColor="text1"/>
          <w:kern w:val="2"/>
          <w:sz w:val="16"/>
          <w:szCs w:val="16"/>
        </w:rPr>
        <w:t>23 февраля (8 марта) 1917 в Петрограде прошла серия митингов, посвященных Дню работницы, как тогда назывался Международный женский день.</w:t>
      </w:r>
      <w:r w:rsidR="00E52569">
        <w:rPr>
          <w:color w:val="000000" w:themeColor="text1"/>
          <w:kern w:val="2"/>
          <w:sz w:val="16"/>
          <w:szCs w:val="16"/>
        </w:rPr>
        <w:t xml:space="preserve"> </w:t>
      </w:r>
      <w:r w:rsidRPr="002F2FDF">
        <w:rPr>
          <w:color w:val="000000" w:themeColor="text1"/>
          <w:kern w:val="2"/>
          <w:sz w:val="16"/>
          <w:szCs w:val="16"/>
        </w:rPr>
        <w:t xml:space="preserve"> Прекратили работу заводы «Старый Парвиайнен», «Новый Парвиайнен», «Старый Лесснер», «Новый Лесснер», «Айваз», «Эриксон», «Русский Рено», «Розенкранц», «Феникс», «Промет», ткацкая Торшиловская фабрика, Путиловский завод и другие. К вечеру бастовало 128</w:t>
      </w:r>
      <w:r w:rsidR="00E52569">
        <w:rPr>
          <w:color w:val="000000" w:themeColor="text1"/>
          <w:kern w:val="2"/>
          <w:sz w:val="16"/>
          <w:szCs w:val="16"/>
        </w:rPr>
        <w:t xml:space="preserve"> </w:t>
      </w:r>
      <w:r w:rsidRPr="002F2FDF">
        <w:rPr>
          <w:color w:val="000000" w:themeColor="text1"/>
          <w:kern w:val="2"/>
          <w:sz w:val="16"/>
          <w:szCs w:val="16"/>
        </w:rPr>
        <w:t>000 человек. Французский посол в России Морис Палеолог так описал происходящее в Петрограде: «По главным улицам проходили народные шествия. В нескольких местах толпа кричала: «Хлеба и мира!». В других местах она запевала «Рабочую Марсельезу» (русская революционная песня на мелодию французского гимна — «Марсельезу», известная также как «Отречемся от старого мира»)». В центре города состоялись первые стычки рабочих с казаками и полицией.</w:t>
      </w:r>
    </w:p>
    <w:p w14:paraId="2DE3F80C" w14:textId="77777777" w:rsidR="002F0CB2" w:rsidRPr="002F2FDF" w:rsidRDefault="002F0CB2" w:rsidP="0083075A">
      <w:pPr>
        <w:pStyle w:val="ae"/>
        <w:spacing w:before="0" w:after="0"/>
        <w:jc w:val="both"/>
        <w:rPr>
          <w:color w:val="000000" w:themeColor="text1"/>
          <w:kern w:val="2"/>
          <w:sz w:val="16"/>
          <w:szCs w:val="16"/>
        </w:rPr>
      </w:pPr>
      <w:r w:rsidRPr="002F2FDF">
        <w:rPr>
          <w:color w:val="000000" w:themeColor="text1"/>
          <w:kern w:val="2"/>
          <w:sz w:val="16"/>
          <w:szCs w:val="16"/>
        </w:rPr>
        <w:t>В донесение Охранного отделения от 8 марта сообщалось: «23 февраля (8 марта по новому) с утра явившиеся на заводы и фабрики рабочие Выборгского района постепенно стали прекращать работы и толпами выходить на улицу, выражая протест и недовольство по поводу недостатка хлеба, который особенно чувствовался в названном фабричном районе, где, по наблюдениям местной полиции, за последние дни многие совершенно не могли получить хлеба. &lt;…&gt; При рассеивании все возраставшей толпы, направлявшейся от Нижегородской улицы к Финляндскому вокзалу, был сбит с ног младший помощник пристава первого участка Выборгской части коллежский секретарь Гротиус, пытавшийся задержать одного из рабочих, причем коллежскому секретарю Гротиусу причинены рассеченная рана на затылочной части головы, пять ушибленных ран головы и поранение носа. По оказании первоначальной помощи пострадавший был отправлен в свою квартиру. К вечеру 23-го февраля усилиями чинов полиции и воинских нарядов порядок повсеместно в столице был восстановлен».</w:t>
      </w:r>
    </w:p>
    <w:p w14:paraId="1DAFA82C" w14:textId="77777777" w:rsidR="002F0CB2" w:rsidRPr="002F2FDF" w:rsidRDefault="002F0CB2" w:rsidP="0083075A">
      <w:pPr>
        <w:pStyle w:val="ae"/>
        <w:spacing w:before="0" w:after="0"/>
        <w:jc w:val="both"/>
        <w:rPr>
          <w:color w:val="000000" w:themeColor="text1"/>
          <w:kern w:val="2"/>
          <w:sz w:val="16"/>
          <w:szCs w:val="16"/>
        </w:rPr>
      </w:pPr>
      <w:r w:rsidRPr="002F2FDF">
        <w:rPr>
          <w:color w:val="000000" w:themeColor="text1"/>
          <w:kern w:val="2"/>
          <w:sz w:val="16"/>
          <w:szCs w:val="16"/>
        </w:rPr>
        <w:t>Вечером 8 марта было проведено совещание военных и полицейских властей Петрограда, на котором председательствовал командующий Петроградским военным округом генерал С.С. Хабалов. По итогам совещания ответственность за обеспечение порядка в городе была возложена на военных (17045).</w:t>
      </w:r>
    </w:p>
    <w:p w14:paraId="76D36238" w14:textId="77777777" w:rsidR="002F0CB2" w:rsidRPr="002F2FDF" w:rsidRDefault="002F0CB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CC0A96" w14:textId="77777777" w:rsidR="002E4200" w:rsidRPr="002F2FDF" w:rsidRDefault="002E420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23 февраля (8 марта) 1917 г. в Петрограде произошёл стихийный революционный взрыв, переросший 27 февраля в вооружённое восстание. Начался переход воинских частей гарнизона на сторону восставших. 28 февраля в расположение ОВШ и Запасного воздухоплавательного батальона прибыли представители Государственной думы в сопровождении вооружённой охраны. «На</w:t>
      </w:r>
      <w:r w:rsidRPr="002F2FDF">
        <w:rPr>
          <w:rFonts w:ascii="Times New Roman" w:hAnsi="Times New Roman" w:cs="Times New Roman"/>
          <w:color w:val="000000" w:themeColor="text1"/>
          <w:sz w:val="16"/>
          <w:szCs w:val="16"/>
        </w:rPr>
        <w:softHyphen/>
        <w:t>званные представители, сообщив о том, что все войсковые части Петроградского гарнизона уже примкнули к народному движению, предложи</w:t>
      </w:r>
      <w:r w:rsidRPr="002F2FDF">
        <w:rPr>
          <w:rFonts w:ascii="Times New Roman" w:hAnsi="Times New Roman" w:cs="Times New Roman"/>
          <w:color w:val="000000" w:themeColor="text1"/>
          <w:sz w:val="16"/>
          <w:szCs w:val="16"/>
        </w:rPr>
        <w:softHyphen/>
        <w:t>ли и чинам вверенной мне школы и батальона присоединиться к ним, после чего чины школы и батальона выступили в полном составе в го</w:t>
      </w:r>
      <w:r w:rsidRPr="002F2FDF">
        <w:rPr>
          <w:rFonts w:ascii="Times New Roman" w:hAnsi="Times New Roman" w:cs="Times New Roman"/>
          <w:color w:val="000000" w:themeColor="text1"/>
          <w:sz w:val="16"/>
          <w:szCs w:val="16"/>
        </w:rPr>
        <w:softHyphen/>
        <w:t>род», — рапортовал 1 марта в УВВФ начальник ОВШ А.М. Кованько50. Офицерский состав ОВШ и батальона остался на своих местах, но после совещания по указанию А.М. Кованько к предсе</w:t>
      </w:r>
      <w:r w:rsidRPr="002F2FDF">
        <w:rPr>
          <w:rFonts w:ascii="Times New Roman" w:hAnsi="Times New Roman" w:cs="Times New Roman"/>
          <w:color w:val="000000" w:themeColor="text1"/>
          <w:sz w:val="16"/>
          <w:szCs w:val="16"/>
        </w:rPr>
        <w:softHyphen/>
        <w:t>дателю Государственной думы были направлены командир Запасного воздухоплавательного бата</w:t>
      </w:r>
      <w:r w:rsidRPr="002F2FDF">
        <w:rPr>
          <w:rFonts w:ascii="Times New Roman" w:hAnsi="Times New Roman" w:cs="Times New Roman"/>
          <w:color w:val="000000" w:themeColor="text1"/>
          <w:sz w:val="16"/>
          <w:szCs w:val="16"/>
        </w:rPr>
        <w:softHyphen/>
        <w:t>льона капитан Новицкий и адъютант ОВШ пору</w:t>
      </w:r>
      <w:r w:rsidRPr="002F2FDF">
        <w:rPr>
          <w:rFonts w:ascii="Times New Roman" w:hAnsi="Times New Roman" w:cs="Times New Roman"/>
          <w:color w:val="000000" w:themeColor="text1"/>
          <w:sz w:val="16"/>
          <w:szCs w:val="16"/>
        </w:rPr>
        <w:softHyphen/>
        <w:t>чик Беггров «за указаниями в связи с происшед</w:t>
      </w:r>
      <w:r w:rsidRPr="002F2FDF">
        <w:rPr>
          <w:rFonts w:ascii="Times New Roman" w:hAnsi="Times New Roman" w:cs="Times New Roman"/>
          <w:color w:val="000000" w:themeColor="text1"/>
          <w:sz w:val="16"/>
          <w:szCs w:val="16"/>
        </w:rPr>
        <w:softHyphen/>
        <w:t>шими событиями».</w:t>
      </w:r>
    </w:p>
    <w:p w14:paraId="13BEE7CC" w14:textId="77777777" w:rsidR="002E4200" w:rsidRPr="002F2FDF" w:rsidRDefault="002E420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марта Николай II отрёкся от престола, и вско</w:t>
      </w:r>
      <w:r w:rsidRPr="002F2FDF">
        <w:rPr>
          <w:rFonts w:ascii="Times New Roman" w:hAnsi="Times New Roman" w:cs="Times New Roman"/>
          <w:color w:val="000000" w:themeColor="text1"/>
          <w:sz w:val="16"/>
          <w:szCs w:val="16"/>
        </w:rPr>
        <w:softHyphen/>
        <w:t>ре воздухоплавательные отряды вместе со всеми другими частями русской армии принесли при</w:t>
      </w:r>
      <w:r w:rsidRPr="002F2FDF">
        <w:rPr>
          <w:rFonts w:ascii="Times New Roman" w:hAnsi="Times New Roman" w:cs="Times New Roman"/>
          <w:color w:val="000000" w:themeColor="text1"/>
          <w:sz w:val="16"/>
          <w:szCs w:val="16"/>
        </w:rPr>
        <w:softHyphen/>
        <w:t>сягу Временному правительству.</w:t>
      </w:r>
    </w:p>
    <w:p w14:paraId="1DCF45A4" w14:textId="77777777" w:rsidR="002E4200" w:rsidRPr="002F2FDF" w:rsidRDefault="002E420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Свержение самодержавия не привело к пре</w:t>
      </w:r>
      <w:r w:rsidRPr="002F2FDF">
        <w:rPr>
          <w:rFonts w:ascii="Times New Roman" w:hAnsi="Times New Roman" w:cs="Times New Roman"/>
          <w:color w:val="000000" w:themeColor="text1"/>
          <w:sz w:val="16"/>
          <w:szCs w:val="16"/>
        </w:rPr>
        <w:softHyphen/>
        <w:t>кращению войны, и фронт продолжал отчаянно нуждаться в специалистах-воздухоплавателях. В конце марта — начале апреля состоялся выпуск офицеров девятого ускоренного курса ОВШ — 39 человек (20120).</w:t>
      </w:r>
    </w:p>
    <w:p w14:paraId="33AF77D3" w14:textId="77777777" w:rsidR="002E4200" w:rsidRPr="002F2FDF" w:rsidRDefault="002E4200" w:rsidP="0083075A">
      <w:pPr>
        <w:spacing w:after="0" w:line="240" w:lineRule="auto"/>
        <w:jc w:val="both"/>
        <w:rPr>
          <w:rFonts w:ascii="Times New Roman" w:hAnsi="Times New Roman" w:cs="Times New Roman"/>
          <w:color w:val="000000" w:themeColor="text1"/>
          <w:sz w:val="16"/>
          <w:szCs w:val="16"/>
        </w:rPr>
      </w:pPr>
    </w:p>
    <w:p w14:paraId="266BEE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февраля (</w:t>
      </w:r>
      <w:r w:rsidR="006E0883" w:rsidRPr="002F2FDF">
        <w:rPr>
          <w:rFonts w:ascii="Times New Roman" w:hAnsi="Times New Roman" w:cs="Times New Roman"/>
          <w:color w:val="000000" w:themeColor="text1"/>
          <w:kern w:val="2"/>
          <w:sz w:val="16"/>
          <w:szCs w:val="16"/>
        </w:rPr>
        <w:t>8</w:t>
      </w:r>
      <w:r w:rsidRPr="002F2FDF">
        <w:rPr>
          <w:rFonts w:ascii="Times New Roman" w:hAnsi="Times New Roman" w:cs="Times New Roman"/>
          <w:color w:val="000000" w:themeColor="text1"/>
          <w:kern w:val="2"/>
          <w:sz w:val="16"/>
          <w:szCs w:val="16"/>
        </w:rPr>
        <w:t xml:space="preserve"> марта) 1917 был первый день февральской буржуазной революции и забастовало 50 предприятий (128 тыс. чел.) (3481).</w:t>
      </w:r>
    </w:p>
    <w:p w14:paraId="1598AF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80A4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февраля (8 марта) 1917 в Петрограде начались политические забастовки, которые переросли в вооруженное восстание с участием войск Петроградского гарнизона и 12 марта закончились Февральской революцией (3186).</w:t>
      </w:r>
    </w:p>
    <w:p w14:paraId="6B3C11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7CAE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февраля (8 марта) 1917 бастовали 43 предприятия (74 тыс. человек), 24 февраля- 131 (158 тыс. человек), 25 фе</w:t>
      </w:r>
      <w:r w:rsidRPr="002F2FDF">
        <w:rPr>
          <w:rFonts w:ascii="Times New Roman" w:hAnsi="Times New Roman" w:cs="Times New Roman"/>
          <w:color w:val="000000" w:themeColor="text1"/>
          <w:kern w:val="2"/>
          <w:sz w:val="16"/>
          <w:szCs w:val="16"/>
        </w:rPr>
        <w:softHyphen/>
        <w:t>враля - 173 (201 тыс. человек). На улицах проходили де</w:t>
      </w:r>
      <w:r w:rsidRPr="002F2FDF">
        <w:rPr>
          <w:rFonts w:ascii="Times New Roman" w:hAnsi="Times New Roman" w:cs="Times New Roman"/>
          <w:color w:val="000000" w:themeColor="text1"/>
          <w:kern w:val="2"/>
          <w:sz w:val="16"/>
          <w:szCs w:val="16"/>
        </w:rPr>
        <w:softHyphen/>
        <w:t>монстрации и митинги. 25 февраля на сторону взбудораженного народа начали переходить солдаты и казаки. 26 февраля запоздалая попытка ареста членов революционных организаций и роспуск Государствен</w:t>
      </w:r>
      <w:r w:rsidRPr="002F2FDF">
        <w:rPr>
          <w:rFonts w:ascii="Times New Roman" w:hAnsi="Times New Roman" w:cs="Times New Roman"/>
          <w:color w:val="000000" w:themeColor="text1"/>
          <w:kern w:val="2"/>
          <w:sz w:val="16"/>
          <w:szCs w:val="16"/>
        </w:rPr>
        <w:softHyphen/>
        <w:t>ной Думы вызвали новый взрыв недовольства и приве</w:t>
      </w:r>
      <w:r w:rsidRPr="002F2FDF">
        <w:rPr>
          <w:rFonts w:ascii="Times New Roman" w:hAnsi="Times New Roman" w:cs="Times New Roman"/>
          <w:color w:val="000000" w:themeColor="text1"/>
          <w:kern w:val="2"/>
          <w:sz w:val="16"/>
          <w:szCs w:val="16"/>
        </w:rPr>
        <w:softHyphen/>
        <w:t>ли к переходу на сторону народа частей Петроградского гарнизона. 27 февраля были созданы Временный коми</w:t>
      </w:r>
      <w:r w:rsidRPr="002F2FDF">
        <w:rPr>
          <w:rFonts w:ascii="Times New Roman" w:hAnsi="Times New Roman" w:cs="Times New Roman"/>
          <w:color w:val="000000" w:themeColor="text1"/>
          <w:kern w:val="2"/>
          <w:sz w:val="16"/>
          <w:szCs w:val="16"/>
        </w:rPr>
        <w:softHyphen/>
        <w:t>тет членов Государственной Думы и Петроградский Со</w:t>
      </w:r>
      <w:r w:rsidRPr="002F2FDF">
        <w:rPr>
          <w:rFonts w:ascii="Times New Roman" w:hAnsi="Times New Roman" w:cs="Times New Roman"/>
          <w:color w:val="000000" w:themeColor="text1"/>
          <w:kern w:val="2"/>
          <w:sz w:val="16"/>
          <w:szCs w:val="16"/>
        </w:rPr>
        <w:softHyphen/>
        <w:t>вет рабочих депутатов(10667).</w:t>
      </w:r>
    </w:p>
    <w:p w14:paraId="1C2CC4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7DC4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февраля (8 марта) 1917 была арестована царская семья (3481).</w:t>
      </w:r>
    </w:p>
    <w:p w14:paraId="7FF847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E895E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FCBFC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99707B"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23 февраля (8 марта)</w:t>
      </w:r>
      <w:r w:rsidRPr="002F2FDF">
        <w:rPr>
          <w:rFonts w:ascii="Times New Roman" w:hAnsi="Times New Roman" w:cs="Times New Roman"/>
          <w:color w:val="000000" w:themeColor="text1"/>
          <w:kern w:val="2"/>
          <w:sz w:val="16"/>
          <w:szCs w:val="16"/>
        </w:rPr>
        <w:t xml:space="preserve"> в 1917 году с немецкой формой «LTG» был заключен контракт на разработку и постройку трех прототипов одноместного поплавкового истребителя для защиты морских баз. Этот самолёт, получивший обозначение </w:t>
      </w:r>
      <w:hyperlink r:id="rId35" w:tgtFrame="_blank" w:history="1">
        <w:r w:rsidRPr="002F2FDF">
          <w:rPr>
            <w:rFonts w:ascii="Times New Roman" w:hAnsi="Times New Roman" w:cs="Times New Roman"/>
            <w:color w:val="000000" w:themeColor="text1"/>
            <w:kern w:val="2"/>
            <w:sz w:val="16"/>
            <w:szCs w:val="16"/>
          </w:rPr>
          <w:t xml:space="preserve">«LTG» «FD.1», </w:t>
        </w:r>
      </w:hyperlink>
      <w:r w:rsidRPr="002F2FDF">
        <w:rPr>
          <w:rFonts w:ascii="Times New Roman" w:hAnsi="Times New Roman" w:cs="Times New Roman"/>
          <w:color w:val="000000" w:themeColor="text1"/>
          <w:kern w:val="2"/>
          <w:sz w:val="16"/>
          <w:szCs w:val="16"/>
        </w:rPr>
        <w:t>представлял собой одноместный одностоечный биплан, оснащенный двигателем «Benz» «Bz III» мощностью 150 л.с. Вооружение самолёта состояло из одного переднего синхронизированного 7.92-мм пулемёта «LMG 08/15» «Spandau». Первый прототип самолёта взлетел в мае 1917 года. В ходе испытаний были выявлены некоторые недостатки в конструкции, из-за чего выпуск остальных экземпляров был задержан до сентября этого же года. Новые испытания самолёт прошел с отметкой удовлетворительно - более положительную оценку помешало получить слабая маневренность самолёта. Несмотря на это с фирмой был подписан второй контракт на постройку еще трёх самолетов, первый из которых был готов в октябре 1917 года (15062).</w:t>
      </w:r>
    </w:p>
    <w:p w14:paraId="2C7CE5DE"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p>
    <w:p w14:paraId="4E8B3E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февраля (8 марта) 1917 в Берлине скончался граф Цеппелин (3481).</w:t>
      </w:r>
    </w:p>
    <w:p w14:paraId="4EEB9D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209B99" w14:textId="77777777" w:rsidR="007A769B" w:rsidRPr="002F2FDF" w:rsidRDefault="007A76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23 февраля (8 марта) 1917 умирает граф Фердинанд фон Цеппелин, изобретатель жесткого дирижабля (20341).</w:t>
      </w:r>
    </w:p>
    <w:p w14:paraId="60FE0243" w14:textId="77777777" w:rsidR="007A769B" w:rsidRPr="002F2FDF" w:rsidRDefault="007A769B" w:rsidP="0083075A">
      <w:pPr>
        <w:spacing w:after="0" w:line="240" w:lineRule="auto"/>
        <w:jc w:val="both"/>
        <w:rPr>
          <w:rFonts w:ascii="Times New Roman" w:hAnsi="Times New Roman" w:cs="Times New Roman"/>
          <w:color w:val="000000" w:themeColor="text1"/>
          <w:sz w:val="16"/>
          <w:szCs w:val="16"/>
        </w:rPr>
      </w:pPr>
    </w:p>
    <w:p w14:paraId="0BA9C1B3" w14:textId="77777777" w:rsidR="007A769B" w:rsidRPr="002F2FDF" w:rsidRDefault="007A76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23 февраля (8 марта) 1917 г. накануне запланированного на апрель «наступления Нивеля» 48-я эскадрилья RFC, сформированная для освоения самолета Бристоль F.2A «Файтер» и укомплектованная исключительно опытным летным составом, прибыла во Францию, но в первый боевой вылет шестерка «Брисфайтов», как сокращенно называли новый аэроплан, пошла только 5 апреля 1917 г. и с ходу напоролась на группу Альбатросов D III, которую вел сам Манфред фон Рихтгофен. В первом бою потеряли сразу четыре новых самолета, один из которых сделал вынужденную посадку в расположении противника, и ни одного немецкого истребителя сбить не удалось.</w:t>
      </w:r>
    </w:p>
    <w:p w14:paraId="0A789F16" w14:textId="77777777" w:rsidR="007A769B" w:rsidRPr="002F2FDF" w:rsidRDefault="007A76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11 апреля, когда в бою 4 х 4 англичане сбили два Альбатроса D III, но на пути домой один «Брисфайт» был сбит — у него заклинил пулемет, чем противник и воспользовался. (22847).</w:t>
      </w:r>
    </w:p>
    <w:p w14:paraId="507BC52A" w14:textId="77777777" w:rsidR="007A769B" w:rsidRPr="002F2FDF" w:rsidRDefault="007A769B" w:rsidP="0083075A">
      <w:pPr>
        <w:spacing w:after="0" w:line="240" w:lineRule="auto"/>
        <w:jc w:val="both"/>
        <w:rPr>
          <w:rFonts w:ascii="Times New Roman" w:hAnsi="Times New Roman" w:cs="Times New Roman"/>
          <w:color w:val="000000" w:themeColor="text1"/>
          <w:sz w:val="16"/>
          <w:szCs w:val="16"/>
        </w:rPr>
      </w:pPr>
    </w:p>
    <w:p w14:paraId="3FFEC3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февраля (8 марта) 1917 Президент В.Вильсон без консультаций с конгрессом отдал распоряжение вооружить торговые суда (3907,89).</w:t>
      </w:r>
    </w:p>
    <w:p w14:paraId="2BA7A3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2D5D5B"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23 фневраля (8 марта)</w:t>
      </w:r>
      <w:r w:rsidRPr="002F2FDF">
        <w:rPr>
          <w:rFonts w:ascii="Times New Roman" w:hAnsi="Times New Roman" w:cs="Times New Roman"/>
          <w:color w:val="000000" w:themeColor="text1"/>
          <w:kern w:val="2"/>
          <w:sz w:val="16"/>
          <w:szCs w:val="16"/>
        </w:rPr>
        <w:t xml:space="preserve"> в 1917 году президент США Вудро Вильсон без консультаций с конгрессом отдает распоряжение вооружить все американские торговые суда (15062).</w:t>
      </w:r>
    </w:p>
    <w:p w14:paraId="3C6346DF"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p>
    <w:p w14:paraId="47A2B88C" w14:textId="77777777" w:rsidR="000B16CD" w:rsidRPr="002F2FDF" w:rsidRDefault="000B16CD" w:rsidP="0083075A">
      <w:pPr>
        <w:pStyle w:val="ae"/>
        <w:spacing w:before="0" w:after="0"/>
        <w:jc w:val="both"/>
        <w:rPr>
          <w:color w:val="000000" w:themeColor="text1"/>
          <w:kern w:val="2"/>
          <w:sz w:val="16"/>
          <w:szCs w:val="16"/>
        </w:rPr>
      </w:pPr>
      <w:r w:rsidRPr="002F2FDF">
        <w:rPr>
          <w:bCs/>
          <w:color w:val="000000" w:themeColor="text1"/>
          <w:kern w:val="2"/>
          <w:sz w:val="16"/>
          <w:szCs w:val="16"/>
        </w:rPr>
        <w:t>23 фневраля (8 марта)</w:t>
      </w:r>
      <w:r w:rsidRPr="002F2FDF">
        <w:rPr>
          <w:color w:val="000000" w:themeColor="text1"/>
          <w:kern w:val="2"/>
          <w:sz w:val="16"/>
          <w:szCs w:val="16"/>
        </w:rPr>
        <w:t xml:space="preserve"> в 1917 году британские части, наступавшие с юга вдоль реки Тигр, подошли к пригородам Багдада на реке Дияла. Командующий турецкими силами генерал Халил Кут принял решение защищать город по рубежу этой реки. 9 марта туркам удалось отбить все атаки англичан, но на следующий день британцы, подтянув подкрепления, стремительным броском смогли прорвать оборону противника. В 8 часов вечера Халил Кут принял решение об эвакуации Багдада. 11 марта британцы вошли в Багдад, взяв в плен около 9000 турецких солдат. Местное население встретило британцев добродушно (17045).</w:t>
      </w:r>
    </w:p>
    <w:p w14:paraId="488E9D0A" w14:textId="77777777" w:rsidR="000B16CD" w:rsidRPr="002F2FDF" w:rsidRDefault="000B16C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2B5B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февраля (8 марта) 1917 морская пехота США высадилась в Сантьяго до Куба (3907,89).</w:t>
      </w:r>
    </w:p>
    <w:p w14:paraId="746AD9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1DF8B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2DB7D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758B2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24 февраля </w:t>
      </w:r>
      <w:r w:rsidR="006E0883" w:rsidRPr="002F2FDF">
        <w:rPr>
          <w:rFonts w:ascii="Times New Roman" w:hAnsi="Times New Roman" w:cs="Times New Roman"/>
          <w:color w:val="000000" w:themeColor="text1"/>
          <w:kern w:val="2"/>
          <w:sz w:val="16"/>
          <w:szCs w:val="16"/>
        </w:rPr>
        <w:t xml:space="preserve">(9 марта) </w:t>
      </w:r>
      <w:r w:rsidRPr="002F2FDF">
        <w:rPr>
          <w:rFonts w:ascii="Times New Roman" w:hAnsi="Times New Roman" w:cs="Times New Roman"/>
          <w:color w:val="000000" w:themeColor="text1"/>
          <w:kern w:val="2"/>
          <w:sz w:val="16"/>
          <w:szCs w:val="16"/>
        </w:rPr>
        <w:t>1917 1 тыс. 520 рабочих компании ПРТВ объявили забастовку, дабы поддержать товарищей на других промышленных предприятиях Петрограда. Для фирмы же главная в то время угроза заключалась скорее в “моторном голоде” и нехватке необходимых материалов. По сложившейся с первого военного года традиции снабжение производителя авиадвигателями являлось обязанностью заказчика, но суть проблемы крылась в другом: недостаточно развитая отечественная индустрия не могла справиться с задачей обеспечения русской авиации нужным числом силовых установок, в то время как поставки техники из-за рубежа часто срывались по различным причинам.</w:t>
      </w:r>
    </w:p>
    <w:p w14:paraId="7D67DF5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Неквалифицированные и недисциплинированные рабочие кадры военного времени и дефицит ма</w:t>
      </w:r>
      <w:r w:rsidRPr="002F2FDF">
        <w:rPr>
          <w:rFonts w:ascii="Times New Roman" w:hAnsi="Times New Roman" w:cs="Times New Roman"/>
          <w:color w:val="000000" w:themeColor="text1"/>
          <w:kern w:val="2"/>
          <w:sz w:val="16"/>
          <w:szCs w:val="16"/>
        </w:rPr>
        <w:softHyphen/>
        <w:t>териалов осложняли ситуацию до крайности, и нет ничего странного в том, что продукция завода ПРТВ не отличалась, мягко говоря, слишком высоким качеством, ко всему прочему “хромавшим” еще с пред</w:t>
      </w:r>
      <w:r w:rsidRPr="002F2FDF">
        <w:rPr>
          <w:rFonts w:ascii="Times New Roman" w:hAnsi="Times New Roman" w:cs="Times New Roman"/>
          <w:color w:val="000000" w:themeColor="text1"/>
          <w:kern w:val="2"/>
          <w:sz w:val="16"/>
          <w:szCs w:val="16"/>
        </w:rPr>
        <w:softHyphen/>
        <w:t>военных лет. Команда наблюдающих офицеров, посылавшихся на предприятие с самого начала строи</w:t>
      </w:r>
      <w:r w:rsidRPr="002F2FDF">
        <w:rPr>
          <w:rFonts w:ascii="Times New Roman" w:hAnsi="Times New Roman" w:cs="Times New Roman"/>
          <w:color w:val="000000" w:themeColor="text1"/>
          <w:kern w:val="2"/>
          <w:sz w:val="16"/>
          <w:szCs w:val="16"/>
        </w:rPr>
        <w:softHyphen/>
        <w:t>тельства морских аэропланов, едва ли могла исправить положение, так как она только контролировала выполнение контрактных условий и играла роль “толкача”, почти не влияя на технологический процесс, заготовку материалов и подбор персонала. Для подтверждения этого грустного факта ниже приводится цитата из рапорта подпоручика Г. Я. Эрдели, писавшего 17 февраля 1917 г.:</w:t>
      </w:r>
    </w:p>
    <w:p w14:paraId="14EFB85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&lt;“...&gt; Ввиду частого отсутствия на рынке тех или иных материалов, ввиду того, что аппараты фактически отправляются в Севастопольское филиальное отделение того же заво</w:t>
      </w:r>
      <w:r w:rsidRPr="002F2FDF">
        <w:rPr>
          <w:rFonts w:ascii="Times New Roman" w:hAnsi="Times New Roman" w:cs="Times New Roman"/>
          <w:color w:val="000000" w:themeColor="text1"/>
          <w:kern w:val="2"/>
          <w:sz w:val="16"/>
          <w:szCs w:val="16"/>
        </w:rPr>
        <w:softHyphen/>
        <w:t>да, ввиду загруженности завода аппаратами из-за бывшего отсутствия моторов, я часто до</w:t>
      </w:r>
      <w:r w:rsidRPr="002F2FDF">
        <w:rPr>
          <w:rFonts w:ascii="Times New Roman" w:hAnsi="Times New Roman" w:cs="Times New Roman"/>
          <w:color w:val="000000" w:themeColor="text1"/>
          <w:kern w:val="2"/>
          <w:sz w:val="16"/>
          <w:szCs w:val="16"/>
        </w:rPr>
        <w:softHyphen/>
        <w:t>пускаю отправку аппаратов, не законченных вполне. Так был отправлен целый ряд М-9 без баков из-за отсутствия меди на рынке; так могут быть отправлены в Севастопольское отделе</w:t>
      </w:r>
      <w:r w:rsidRPr="002F2FDF">
        <w:rPr>
          <w:rFonts w:ascii="Times New Roman" w:hAnsi="Times New Roman" w:cs="Times New Roman"/>
          <w:color w:val="000000" w:themeColor="text1"/>
          <w:kern w:val="2"/>
          <w:sz w:val="16"/>
          <w:szCs w:val="16"/>
        </w:rPr>
        <w:softHyphen/>
        <w:t>ние завода аппараты без картодержателей или чехлов за временным отсутствием целлулоида или парусины &lt;...”&gt; (2807).</w:t>
      </w:r>
    </w:p>
    <w:p w14:paraId="4B80A49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321079" w14:textId="633C1B2B" w:rsidR="00BF74EB" w:rsidRDefault="00BF74E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02833FB3" w14:textId="77777777" w:rsidR="00BF74EB" w:rsidRDefault="00BF74E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02F599F" w14:textId="63054A7A" w:rsidR="00BF74EB" w:rsidRPr="00FB4F67" w:rsidRDefault="00BF74E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24 февраля </w:t>
      </w:r>
      <w:r>
        <w:rPr>
          <w:rFonts w:ascii="Times New Roman" w:hAnsi="Times New Roman" w:cs="Times New Roman"/>
          <w:color w:val="0070C0"/>
          <w:sz w:val="16"/>
          <w:szCs w:val="16"/>
        </w:rPr>
        <w:t xml:space="preserve">(9 марта) </w:t>
      </w:r>
      <w:r w:rsidRPr="00FB4F67">
        <w:rPr>
          <w:rFonts w:ascii="Times New Roman" w:hAnsi="Times New Roman" w:cs="Times New Roman"/>
          <w:color w:val="0070C0"/>
          <w:sz w:val="16"/>
          <w:szCs w:val="16"/>
        </w:rPr>
        <w:t>1917 г. приказом начальника штаба ВГК № 83 о создании 13-го и 14-го ФАО в составе 7-го аэропарка (23525).</w:t>
      </w:r>
    </w:p>
    <w:p w14:paraId="338DE6F5" w14:textId="77777777" w:rsidR="00BF74EB" w:rsidRPr="00FB4F67" w:rsidRDefault="00BF74EB" w:rsidP="0083075A">
      <w:pPr>
        <w:spacing w:after="0" w:line="240" w:lineRule="auto"/>
        <w:jc w:val="both"/>
        <w:rPr>
          <w:rFonts w:ascii="Times New Roman" w:hAnsi="Times New Roman" w:cs="Times New Roman"/>
          <w:color w:val="0070C0"/>
          <w:sz w:val="16"/>
          <w:szCs w:val="16"/>
        </w:rPr>
      </w:pPr>
    </w:p>
    <w:p w14:paraId="213843A0" w14:textId="77AEA880"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6871F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C1EB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февраля (9 марта) 1917 первые столкновения демонстрантов с полицией в Петрограде (1348,83). Лозунги Долой войну, Долой самодержавие (3908,252).</w:t>
      </w:r>
    </w:p>
    <w:p w14:paraId="128149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DD8A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24-28 февраля (9-13 марта) 1917 в Петрограде была всеобщая забастовка и мятеж Преображенского, Волынского и Литовского полков (2239).</w:t>
      </w:r>
    </w:p>
    <w:p w14:paraId="4212D7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D0D47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февраля (9 марта) 191</w:t>
      </w:r>
      <w:r w:rsidR="000B16CD" w:rsidRPr="002F2FDF">
        <w:rPr>
          <w:rFonts w:ascii="Times New Roman" w:hAnsi="Times New Roman" w:cs="Times New Roman"/>
          <w:color w:val="000000" w:themeColor="text1"/>
          <w:kern w:val="2"/>
          <w:sz w:val="16"/>
          <w:szCs w:val="16"/>
        </w:rPr>
        <w:t>7</w:t>
      </w:r>
      <w:r w:rsidRPr="002F2FDF">
        <w:rPr>
          <w:rFonts w:ascii="Times New Roman" w:hAnsi="Times New Roman" w:cs="Times New Roman"/>
          <w:color w:val="000000" w:themeColor="text1"/>
          <w:kern w:val="2"/>
          <w:sz w:val="16"/>
          <w:szCs w:val="16"/>
        </w:rPr>
        <w:t xml:space="preserve"> бастовало 131 завода (158 тыс. человек), 25 фе</w:t>
      </w:r>
      <w:r w:rsidRPr="002F2FDF">
        <w:rPr>
          <w:rFonts w:ascii="Times New Roman" w:hAnsi="Times New Roman" w:cs="Times New Roman"/>
          <w:color w:val="000000" w:themeColor="text1"/>
          <w:kern w:val="2"/>
          <w:sz w:val="16"/>
          <w:szCs w:val="16"/>
        </w:rPr>
        <w:softHyphen/>
        <w:t>враля - 173 (201 тыс. человек). На улицах проходили де</w:t>
      </w:r>
      <w:r w:rsidRPr="002F2FDF">
        <w:rPr>
          <w:rFonts w:ascii="Times New Roman" w:hAnsi="Times New Roman" w:cs="Times New Roman"/>
          <w:color w:val="000000" w:themeColor="text1"/>
          <w:kern w:val="2"/>
          <w:sz w:val="16"/>
          <w:szCs w:val="16"/>
        </w:rPr>
        <w:softHyphen/>
        <w:t>монстрации и митинги. 25 февраля на сторону взбудораженного народа начали переходить солдаты и казаки. 26 февраля запоздалая попытка ареста членов революционных организаций и роспуск Государствен</w:t>
      </w:r>
      <w:r w:rsidRPr="002F2FDF">
        <w:rPr>
          <w:rFonts w:ascii="Times New Roman" w:hAnsi="Times New Roman" w:cs="Times New Roman"/>
          <w:color w:val="000000" w:themeColor="text1"/>
          <w:kern w:val="2"/>
          <w:sz w:val="16"/>
          <w:szCs w:val="16"/>
        </w:rPr>
        <w:softHyphen/>
        <w:t>ной Думы вызвали новый взрыв недовольства и приве</w:t>
      </w:r>
      <w:r w:rsidRPr="002F2FDF">
        <w:rPr>
          <w:rFonts w:ascii="Times New Roman" w:hAnsi="Times New Roman" w:cs="Times New Roman"/>
          <w:color w:val="000000" w:themeColor="text1"/>
          <w:kern w:val="2"/>
          <w:sz w:val="16"/>
          <w:szCs w:val="16"/>
        </w:rPr>
        <w:softHyphen/>
        <w:t>ли к переходу на сторону народа частей Петроградского гарнизона. 27 февраля были созданы Временный коми</w:t>
      </w:r>
      <w:r w:rsidRPr="002F2FDF">
        <w:rPr>
          <w:rFonts w:ascii="Times New Roman" w:hAnsi="Times New Roman" w:cs="Times New Roman"/>
          <w:color w:val="000000" w:themeColor="text1"/>
          <w:kern w:val="2"/>
          <w:sz w:val="16"/>
          <w:szCs w:val="16"/>
        </w:rPr>
        <w:softHyphen/>
        <w:t>тет членов Государственной Думы и Петроградский Со</w:t>
      </w:r>
      <w:r w:rsidRPr="002F2FDF">
        <w:rPr>
          <w:rFonts w:ascii="Times New Roman" w:hAnsi="Times New Roman" w:cs="Times New Roman"/>
          <w:color w:val="000000" w:themeColor="text1"/>
          <w:kern w:val="2"/>
          <w:sz w:val="16"/>
          <w:szCs w:val="16"/>
        </w:rPr>
        <w:softHyphen/>
        <w:t>вет рабочих депутатов (10667).</w:t>
      </w:r>
    </w:p>
    <w:p w14:paraId="517351F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1C32D1" w14:textId="77777777" w:rsidR="000B16CD" w:rsidRPr="002F2FDF" w:rsidRDefault="000B16CD" w:rsidP="0083075A">
      <w:pPr>
        <w:pStyle w:val="ae"/>
        <w:spacing w:before="0" w:after="0"/>
        <w:jc w:val="both"/>
        <w:rPr>
          <w:color w:val="000000" w:themeColor="text1"/>
          <w:kern w:val="2"/>
          <w:sz w:val="16"/>
          <w:szCs w:val="16"/>
        </w:rPr>
      </w:pPr>
      <w:r w:rsidRPr="002F2FDF">
        <w:rPr>
          <w:color w:val="000000" w:themeColor="text1"/>
          <w:kern w:val="2"/>
          <w:sz w:val="16"/>
          <w:szCs w:val="16"/>
        </w:rPr>
        <w:t>24 февраля (9 марта) 1917 в Петрограде началась всеобщая забастовка рабочих 224 предприятий. К 12.00 петроградский градоначальник Балк доложил генералу Хабалову, что полиция не в состоянии «остановить движение и скопление народа». После этого в центр города были отправлены солдаты гвардейских запасных полков — Гренадёрского, Кексгольмского, Московского, Финляндского, 3-го стрелкового, а также была усилена охрана правительственных зданий, почтамта, телеграфа и мостов через Неву (17045).</w:t>
      </w:r>
    </w:p>
    <w:p w14:paraId="64D65DB5" w14:textId="77777777" w:rsidR="000B16CD" w:rsidRPr="002F2FDF" w:rsidRDefault="000B16C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D5C42B" w14:textId="77777777" w:rsidR="004139EC" w:rsidRPr="002F2FDF" w:rsidRDefault="004139E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39D3702D" w14:textId="77777777" w:rsidR="004139EC" w:rsidRPr="002F2FDF" w:rsidRDefault="004139E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833DEB" w14:textId="77777777" w:rsidR="004139EC" w:rsidRPr="002F2FDF" w:rsidRDefault="004139EC"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К 25 февраля (10 марта) 1917 г. Законопроект по Воронежскому заводу взрывателей, направленный в Думу, еще не был ею рассмотрен, однако комиссия действовала полным ходом и в январе — июне 1917 г. заключила контракты со строителями и поставщиками (в том числе контракт на бетонные сооружения на 8,2 млн. руб.); за это время были выполнены земляные работы на 2,5 млн. руб., заказаны в Англии и в США котлы для силовой станции, турбогенераторы, тысячи станков. В Воронеже нужны были «станки специального типа», изготовлявшиеся Сестрорецким заводом, но он сообщил, что не имеет такой возможности «впредь до установки производства автоматических ружей генерал-майора Федорова». Всего к 25 февраля 1917 г. заказов на механическое оборудование завода было сделано на 8,6 млн. руб., не считая завода в Дейтоне, то есть использовано свыше трети суммы, отпущенной на механизмы. Соответственно, в сентябре 1916 г. считалось, что большая часть мастерских обязательно должна быть готова вчерне не позже конца строительного сезона 1917 г. Станки из США должны были поступить в конце 1917 г., и тогда в Воронеже частично начался бы выпуск взрывателей уже в начале 1918 г. В апреле на стройку привезли румын, а из Тоцкого лагеря под Самарой 98 военнопленных чехов, было назначено и еще 200 военнопленных (18409).</w:t>
      </w:r>
    </w:p>
    <w:p w14:paraId="68EB5CD3" w14:textId="77777777" w:rsidR="004139EC" w:rsidRPr="002F2FDF" w:rsidRDefault="004139EC" w:rsidP="0083075A">
      <w:pPr>
        <w:pStyle w:val="p1"/>
        <w:spacing w:before="0" w:beforeAutospacing="0" w:after="0" w:afterAutospacing="0"/>
        <w:jc w:val="both"/>
        <w:rPr>
          <w:color w:val="000000" w:themeColor="text1"/>
          <w:sz w:val="16"/>
          <w:szCs w:val="16"/>
        </w:rPr>
      </w:pPr>
    </w:p>
    <w:p w14:paraId="2854FF9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FDF18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C0B6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февраля (10 марта) 1917 приказом N 54 по Управлению Беломорским и Мурманским районами было объявлено положение о "воздушной бригаде ОН" для обслуживания флотилий СЛОкеана и других морских частей, не входящих в состав ВФ и ЧМФ (438,347).</w:t>
      </w:r>
    </w:p>
    <w:p w14:paraId="581B8B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C2172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25 февраля </w:t>
      </w:r>
      <w:r w:rsidR="006E0883" w:rsidRPr="002F2FDF">
        <w:rPr>
          <w:rFonts w:ascii="Times New Roman" w:hAnsi="Times New Roman" w:cs="Times New Roman"/>
          <w:color w:val="000000" w:themeColor="text1"/>
          <w:kern w:val="2"/>
          <w:sz w:val="16"/>
          <w:szCs w:val="16"/>
        </w:rPr>
        <w:t xml:space="preserve">(10 марта) </w:t>
      </w:r>
      <w:r w:rsidRPr="002F2FDF">
        <w:rPr>
          <w:rFonts w:ascii="Times New Roman" w:hAnsi="Times New Roman" w:cs="Times New Roman"/>
          <w:color w:val="000000" w:themeColor="text1"/>
          <w:kern w:val="2"/>
          <w:sz w:val="16"/>
          <w:szCs w:val="16"/>
        </w:rPr>
        <w:t>1917 приказом № 54 по Управлению Беломорским и Мурманским районами объявлено положение о "воздушной бригаде особого назначения" для обслуживания флотилий Северного Ледо</w:t>
      </w:r>
      <w:r w:rsidRPr="002F2FDF">
        <w:rPr>
          <w:rFonts w:ascii="Times New Roman" w:hAnsi="Times New Roman" w:cs="Times New Roman"/>
          <w:color w:val="000000" w:themeColor="text1"/>
          <w:kern w:val="2"/>
          <w:sz w:val="16"/>
          <w:szCs w:val="16"/>
        </w:rPr>
        <w:softHyphen/>
        <w:t>витого океана и других морских частей, не входящих в состав Балтийского и Черноморского флотов, а также для подготовки резервов специалистов морской авиации.</w:t>
      </w:r>
    </w:p>
    <w:p w14:paraId="37FEA1C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EA1CD1" w14:textId="77777777" w:rsidR="00A06735" w:rsidRDefault="00A06735"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25</w:t>
      </w:r>
      <w:r w:rsidRPr="00815ED5">
        <w:rPr>
          <w:rFonts w:ascii="Times New Roman" w:hAnsi="Times New Roman" w:cs="Times New Roman"/>
          <w:color w:val="0070C0"/>
          <w:sz w:val="16"/>
          <w:szCs w:val="16"/>
        </w:rPr>
        <w:t xml:space="preserve"> февраля</w:t>
      </w:r>
      <w:r>
        <w:rPr>
          <w:rFonts w:ascii="Times New Roman" w:hAnsi="Times New Roman" w:cs="Times New Roman"/>
          <w:color w:val="0070C0"/>
          <w:sz w:val="16"/>
          <w:szCs w:val="16"/>
        </w:rPr>
        <w:t xml:space="preserve"> (10 марта)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815ED5">
        <w:rPr>
          <w:rFonts w:ascii="Times New Roman" w:hAnsi="Times New Roman" w:cs="Times New Roman"/>
          <w:color w:val="0070C0"/>
          <w:sz w:val="16"/>
          <w:szCs w:val="16"/>
        </w:rPr>
        <w:t xml:space="preserve">риказом </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54 по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Управлению Беломорским и Мурман</w:t>
      </w:r>
      <w:r w:rsidRPr="00815ED5">
        <w:rPr>
          <w:rFonts w:ascii="Times New Roman" w:hAnsi="Times New Roman" w:cs="Times New Roman"/>
          <w:color w:val="0070C0"/>
          <w:sz w:val="16"/>
          <w:szCs w:val="16"/>
        </w:rPr>
        <w:softHyphen/>
        <w:t>ским районами объявлено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положение </w:t>
      </w:r>
      <w:r>
        <w:rPr>
          <w:rFonts w:ascii="Times New Roman" w:hAnsi="Times New Roman" w:cs="Times New Roman"/>
          <w:color w:val="0070C0"/>
          <w:sz w:val="16"/>
          <w:szCs w:val="16"/>
        </w:rPr>
        <w:t xml:space="preserve">о </w:t>
      </w:r>
      <w:r w:rsidRPr="00815ED5">
        <w:rPr>
          <w:rFonts w:ascii="Times New Roman" w:hAnsi="Times New Roman" w:cs="Times New Roman"/>
          <w:color w:val="0070C0"/>
          <w:sz w:val="16"/>
          <w:szCs w:val="16"/>
        </w:rPr>
        <w:t>«воздушной бригаде особого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назначения» для обслуживания флотилий северного Ледовитого океана и других морских частей,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не входящих в состав Балтийского и Черноморского флотов,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 также для подготовки резервов специалистов морской авиации</w:t>
      </w:r>
      <w:r>
        <w:rPr>
          <w:rFonts w:ascii="Times New Roman" w:hAnsi="Times New Roman" w:cs="Times New Roman"/>
          <w:color w:val="0070C0"/>
          <w:sz w:val="16"/>
          <w:szCs w:val="16"/>
        </w:rPr>
        <w:t xml:space="preserve"> (23320)</w:t>
      </w:r>
      <w:r w:rsidRPr="00815ED5">
        <w:rPr>
          <w:rFonts w:ascii="Times New Roman" w:hAnsi="Times New Roman" w:cs="Times New Roman"/>
          <w:color w:val="0070C0"/>
          <w:sz w:val="16"/>
          <w:szCs w:val="16"/>
        </w:rPr>
        <w:t>.</w:t>
      </w:r>
    </w:p>
    <w:p w14:paraId="6D6070DD" w14:textId="77777777" w:rsidR="00A06735" w:rsidRPr="00815ED5" w:rsidRDefault="00A06735" w:rsidP="0083075A">
      <w:pPr>
        <w:spacing w:after="0" w:line="240" w:lineRule="auto"/>
        <w:jc w:val="both"/>
        <w:rPr>
          <w:rFonts w:ascii="Times New Roman" w:hAnsi="Times New Roman" w:cs="Times New Roman"/>
          <w:color w:val="0070C0"/>
          <w:sz w:val="16"/>
          <w:szCs w:val="16"/>
        </w:rPr>
      </w:pPr>
    </w:p>
    <w:p w14:paraId="63247E36" w14:textId="280A4A54" w:rsidR="00BF74EB" w:rsidRPr="00FB4F67" w:rsidRDefault="00BF74E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25 февраля </w:t>
      </w:r>
      <w:r>
        <w:rPr>
          <w:rFonts w:ascii="Times New Roman" w:hAnsi="Times New Roman" w:cs="Times New Roman"/>
          <w:color w:val="0070C0"/>
          <w:sz w:val="16"/>
          <w:szCs w:val="16"/>
        </w:rPr>
        <w:t xml:space="preserve">(10 марта) </w:t>
      </w:r>
      <w:r w:rsidRPr="00FB4F67">
        <w:rPr>
          <w:rFonts w:ascii="Times New Roman" w:hAnsi="Times New Roman" w:cs="Times New Roman"/>
          <w:color w:val="0070C0"/>
          <w:sz w:val="16"/>
          <w:szCs w:val="16"/>
        </w:rPr>
        <w:t>1917 г. Бакинское военно-морское авиационное училище стало отдельным учебным заведением ВМФ. В сентябре-октябре 1917 г. в распоряжении находилось около шестидесяти пяти курсантов-офицеров и двадцать шесть летающих лодок (23525).</w:t>
      </w:r>
    </w:p>
    <w:p w14:paraId="0A0ABC8E" w14:textId="77777777" w:rsidR="00BF74EB" w:rsidRPr="00FB4F67" w:rsidRDefault="00BF74EB" w:rsidP="0083075A">
      <w:pPr>
        <w:spacing w:after="0" w:line="240" w:lineRule="auto"/>
        <w:jc w:val="both"/>
        <w:rPr>
          <w:rFonts w:ascii="Times New Roman" w:hAnsi="Times New Roman" w:cs="Times New Roman"/>
          <w:color w:val="0070C0"/>
          <w:sz w:val="16"/>
          <w:szCs w:val="16"/>
        </w:rPr>
      </w:pPr>
    </w:p>
    <w:p w14:paraId="58F04C61" w14:textId="2DD25042" w:rsidR="00BF74EB" w:rsidRPr="00FB4F67" w:rsidRDefault="00BF74E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25 февраля </w:t>
      </w:r>
      <w:r>
        <w:rPr>
          <w:rFonts w:ascii="Times New Roman" w:hAnsi="Times New Roman" w:cs="Times New Roman"/>
          <w:color w:val="0070C0"/>
          <w:sz w:val="16"/>
          <w:szCs w:val="16"/>
        </w:rPr>
        <w:t xml:space="preserve">(10 марта) </w:t>
      </w:r>
      <w:r w:rsidRPr="00FB4F67">
        <w:rPr>
          <w:rFonts w:ascii="Times New Roman" w:hAnsi="Times New Roman" w:cs="Times New Roman"/>
          <w:color w:val="0070C0"/>
          <w:sz w:val="16"/>
          <w:szCs w:val="16"/>
        </w:rPr>
        <w:t>1917 г. на Румынском фронте дирижабль немецкой армии LZ. 101 (LZ.71) нанесла бомбовый удар по временной столице Яси. В начале марта ее операции были перенесены в Восточное Средиземноморье (23525).</w:t>
      </w:r>
    </w:p>
    <w:p w14:paraId="15AF194E" w14:textId="77777777" w:rsidR="00BF74EB" w:rsidRPr="00FB4F67" w:rsidRDefault="00BF74EB" w:rsidP="0083075A">
      <w:pPr>
        <w:spacing w:after="0" w:line="240" w:lineRule="auto"/>
        <w:jc w:val="both"/>
        <w:rPr>
          <w:rFonts w:ascii="Times New Roman" w:hAnsi="Times New Roman" w:cs="Times New Roman"/>
          <w:color w:val="0070C0"/>
          <w:sz w:val="16"/>
          <w:szCs w:val="16"/>
        </w:rPr>
      </w:pPr>
    </w:p>
    <w:p w14:paraId="3E91707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C9453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63BA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февраля (10 марта) 1917 началась всеобщая забастовка рабочих Петрограда. Казаки отказались открыть огонь. Директива Николая 2 С.С.Хабалову из Ставки (3908,253) - "завтра же прекратить беспорядки в столице" (1348,83).</w:t>
      </w:r>
    </w:p>
    <w:p w14:paraId="39F5DA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C7589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фе</w:t>
      </w:r>
      <w:r w:rsidRPr="002F2FDF">
        <w:rPr>
          <w:rFonts w:ascii="Times New Roman" w:hAnsi="Times New Roman" w:cs="Times New Roman"/>
          <w:color w:val="000000" w:themeColor="text1"/>
          <w:kern w:val="2"/>
          <w:sz w:val="16"/>
          <w:szCs w:val="16"/>
        </w:rPr>
        <w:softHyphen/>
        <w:t>враля (10 марта) 1917 бастовало 173 завода (201 тыс. человек). На улицах проходили де</w:t>
      </w:r>
      <w:r w:rsidRPr="002F2FDF">
        <w:rPr>
          <w:rFonts w:ascii="Times New Roman" w:hAnsi="Times New Roman" w:cs="Times New Roman"/>
          <w:color w:val="000000" w:themeColor="text1"/>
          <w:kern w:val="2"/>
          <w:sz w:val="16"/>
          <w:szCs w:val="16"/>
        </w:rPr>
        <w:softHyphen/>
        <w:t>монстрации и митинги. 25 февраля на сторону взбудораженного народа начали переходить солдаты и казаки. 26 февраля запоздалая попытка ареста членов революционных организаций и роспуск Государствен</w:t>
      </w:r>
      <w:r w:rsidRPr="002F2FDF">
        <w:rPr>
          <w:rFonts w:ascii="Times New Roman" w:hAnsi="Times New Roman" w:cs="Times New Roman"/>
          <w:color w:val="000000" w:themeColor="text1"/>
          <w:kern w:val="2"/>
          <w:sz w:val="16"/>
          <w:szCs w:val="16"/>
        </w:rPr>
        <w:softHyphen/>
        <w:t>ной Думы вызвали новый взрыв недовольства и приве</w:t>
      </w:r>
      <w:r w:rsidRPr="002F2FDF">
        <w:rPr>
          <w:rFonts w:ascii="Times New Roman" w:hAnsi="Times New Roman" w:cs="Times New Roman"/>
          <w:color w:val="000000" w:themeColor="text1"/>
          <w:kern w:val="2"/>
          <w:sz w:val="16"/>
          <w:szCs w:val="16"/>
        </w:rPr>
        <w:softHyphen/>
        <w:t>ли к переходу на сторону народа частей Петроградского гарнизона. 27 февраля были созданы Временный коми</w:t>
      </w:r>
      <w:r w:rsidRPr="002F2FDF">
        <w:rPr>
          <w:rFonts w:ascii="Times New Roman" w:hAnsi="Times New Roman" w:cs="Times New Roman"/>
          <w:color w:val="000000" w:themeColor="text1"/>
          <w:kern w:val="2"/>
          <w:sz w:val="16"/>
          <w:szCs w:val="16"/>
        </w:rPr>
        <w:softHyphen/>
        <w:t>тет членов Государственной Думы и Петроградский Со</w:t>
      </w:r>
      <w:r w:rsidRPr="002F2FDF">
        <w:rPr>
          <w:rFonts w:ascii="Times New Roman" w:hAnsi="Times New Roman" w:cs="Times New Roman"/>
          <w:color w:val="000000" w:themeColor="text1"/>
          <w:kern w:val="2"/>
          <w:sz w:val="16"/>
          <w:szCs w:val="16"/>
        </w:rPr>
        <w:softHyphen/>
        <w:t>вет рабочих депутатов (10667).</w:t>
      </w:r>
    </w:p>
    <w:p w14:paraId="259F3A4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8C8FCF" w14:textId="2BF34D1F" w:rsidR="000B16CD" w:rsidRPr="002F2FDF" w:rsidRDefault="000B16CD" w:rsidP="0083075A">
      <w:pPr>
        <w:pStyle w:val="ae"/>
        <w:spacing w:before="0" w:after="0"/>
        <w:jc w:val="both"/>
        <w:rPr>
          <w:color w:val="000000" w:themeColor="text1"/>
          <w:kern w:val="2"/>
          <w:sz w:val="16"/>
          <w:szCs w:val="16"/>
        </w:rPr>
      </w:pPr>
      <w:r w:rsidRPr="002F2FDF">
        <w:rPr>
          <w:color w:val="000000" w:themeColor="text1"/>
          <w:kern w:val="2"/>
          <w:sz w:val="16"/>
          <w:szCs w:val="16"/>
        </w:rPr>
        <w:t>25 февраля (10 марта) 1917 забастовка и манифестации продолжились и расширились. Бастовало уже 421 предприятие и более 300</w:t>
      </w:r>
      <w:r w:rsidR="00E52569">
        <w:rPr>
          <w:color w:val="000000" w:themeColor="text1"/>
          <w:kern w:val="2"/>
          <w:sz w:val="16"/>
          <w:szCs w:val="16"/>
        </w:rPr>
        <w:t xml:space="preserve"> </w:t>
      </w:r>
      <w:r w:rsidRPr="002F2FDF">
        <w:rPr>
          <w:color w:val="000000" w:themeColor="text1"/>
          <w:kern w:val="2"/>
          <w:sz w:val="16"/>
          <w:szCs w:val="16"/>
        </w:rPr>
        <w:t>000 человек. Морис Палеолог вспоминал этот день: «[Рабочие] пели «Марсельезу», носили красные знамена, на которых было написано: «Долой Правительство! Долой Протопопова! Долой Войну! Долой немку!... (имелась в вину императрица Александра Федоровна)»».</w:t>
      </w:r>
    </w:p>
    <w:p w14:paraId="7375F15B" w14:textId="77777777" w:rsidR="000B16CD" w:rsidRPr="002F2FDF" w:rsidRDefault="000B16CD" w:rsidP="0083075A">
      <w:pPr>
        <w:pStyle w:val="ae"/>
        <w:spacing w:before="0" w:after="0"/>
        <w:jc w:val="both"/>
        <w:rPr>
          <w:color w:val="000000" w:themeColor="text1"/>
          <w:kern w:val="2"/>
          <w:sz w:val="16"/>
          <w:szCs w:val="16"/>
        </w:rPr>
      </w:pPr>
      <w:r w:rsidRPr="002F2FDF">
        <w:rPr>
          <w:color w:val="000000" w:themeColor="text1"/>
          <w:kern w:val="2"/>
          <w:sz w:val="16"/>
          <w:szCs w:val="16"/>
        </w:rPr>
        <w:t>Разъезд 1-го Донского казачьего полка отказался стрелять в рабочих и обратил в бегство полицейский отряд. В 17.30 генерал Хабалов отправил царю донесение, согласно которому «утром полицмейстеру Выборгского района сломали руку и нанесли в голову рану тупым орудием», и ещё четыре чина полиции «получили неопасные ранения». Николай II телеграммой потребовал от Хабалова решительных действий. Ночью сотрудники охранного отделения арестовали свыше 150 человек. Кроме того, император подписал указ о переносе начала очередной сессии Государственной Думы на 14 апреля. В ночь на 11 марта генерал Хабалов велел расклеить по Петербургу объявления следующего содержания: «Всякие скопления людей воспрещаются. Предупреждаю население, что возобновил войскам разрешение употребить для поддержания порядка оружие, ни перед чем не останавливаясь» (17045.</w:t>
      </w:r>
    </w:p>
    <w:p w14:paraId="0EB92540" w14:textId="77777777" w:rsidR="000B16CD" w:rsidRPr="002F2FDF" w:rsidRDefault="000B16CD" w:rsidP="0083075A">
      <w:pPr>
        <w:spacing w:after="0" w:line="240" w:lineRule="auto"/>
        <w:jc w:val="both"/>
        <w:rPr>
          <w:rFonts w:ascii="Times New Roman" w:hAnsi="Times New Roman" w:cs="Times New Roman"/>
          <w:color w:val="000000" w:themeColor="text1"/>
          <w:kern w:val="2"/>
          <w:sz w:val="16"/>
          <w:szCs w:val="16"/>
        </w:rPr>
      </w:pPr>
    </w:p>
    <w:p w14:paraId="6FD6BF05" w14:textId="77777777" w:rsidR="009E49F6" w:rsidRPr="002F2FDF" w:rsidRDefault="009E49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25 февраля (10 марта) 1917 Николай приказал генералу Хабалову навести в столице порядок, но приказ не был выполнен (12629). </w:t>
      </w:r>
    </w:p>
    <w:p w14:paraId="1C6B1A8E" w14:textId="77777777" w:rsidR="009E49F6" w:rsidRPr="002F2FDF" w:rsidRDefault="009E49F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E67740" w14:textId="77777777" w:rsidR="00D23E57" w:rsidRPr="002F2FDF" w:rsidRDefault="00D23E5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февраля (10 марта) 1917 Хабалов писал:</w:t>
      </w:r>
    </w:p>
    <w:p w14:paraId="4B79BEE5" w14:textId="77777777" w:rsidR="00D23E57" w:rsidRPr="002F2FDF" w:rsidRDefault="00D23E5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«Последние дни в Петрограде произошли беспорядки, сопровождающиеся насилиями и посягательствами на жизнь воинских и полицейских чинов. Воспрещаю всякое скопление на улицах. Предваряю население Петрограда, что мною подтверждено войскам употреблять в дело оружие, не останавливаясь ни перед чем для водворения порядка в столице.»</w:t>
      </w:r>
    </w:p>
    <w:p w14:paraId="189D3F92" w14:textId="77777777" w:rsidR="00D23E57" w:rsidRPr="002F2FDF" w:rsidRDefault="00D23E5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Телеграмма царя генералу Хабалову 25 февраля (10 марта), 21 час.:</w:t>
      </w:r>
    </w:p>
    <w:p w14:paraId="639C787D" w14:textId="77777777" w:rsidR="00D23E57" w:rsidRPr="002F2FDF" w:rsidRDefault="00D23E5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генеральный штаб Хабалову:</w:t>
      </w:r>
    </w:p>
    <w:p w14:paraId="04C732F3" w14:textId="77777777" w:rsidR="00D23E57" w:rsidRPr="002F2FDF" w:rsidRDefault="00D23E5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rPr>
        <w:t xml:space="preserve">Повелеваю завтра же прекратить в столице беспорядки, недопустимые в тяжелое время войны с Германией и Австрией.» </w:t>
      </w:r>
      <w:r w:rsidRPr="002F2FDF">
        <w:rPr>
          <w:rFonts w:ascii="Times New Roman" w:hAnsi="Times New Roman" w:cs="Times New Roman"/>
          <w:color w:val="000000" w:themeColor="text1"/>
          <w:kern w:val="2"/>
          <w:sz w:val="16"/>
          <w:szCs w:val="16"/>
          <w:lang w:val="en-US"/>
        </w:rPr>
        <w:t>(17025).</w:t>
      </w:r>
    </w:p>
    <w:p w14:paraId="68FA3817" w14:textId="77777777" w:rsidR="00D23E57" w:rsidRPr="002F2FDF" w:rsidRDefault="00D23E5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6246C3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 xml:space="preserve">25 </w:t>
      </w:r>
      <w:r w:rsidRPr="002F2FDF">
        <w:rPr>
          <w:rFonts w:ascii="Times New Roman" w:hAnsi="Times New Roman" w:cs="Times New Roman"/>
          <w:color w:val="000000" w:themeColor="text1"/>
          <w:kern w:val="2"/>
          <w:sz w:val="16"/>
          <w:szCs w:val="16"/>
        </w:rPr>
        <w:t>февраля</w:t>
      </w:r>
      <w:r w:rsidRPr="002F2FDF">
        <w:rPr>
          <w:rFonts w:ascii="Times New Roman" w:hAnsi="Times New Roman" w:cs="Times New Roman"/>
          <w:color w:val="000000" w:themeColor="text1"/>
          <w:kern w:val="2"/>
          <w:sz w:val="16"/>
          <w:szCs w:val="16"/>
          <w:lang w:val="en-US"/>
        </w:rPr>
        <w:t xml:space="preserve"> (10 </w:t>
      </w:r>
      <w:r w:rsidRPr="002F2FDF">
        <w:rPr>
          <w:rFonts w:ascii="Times New Roman" w:hAnsi="Times New Roman" w:cs="Times New Roman"/>
          <w:color w:val="000000" w:themeColor="text1"/>
          <w:kern w:val="2"/>
          <w:sz w:val="16"/>
          <w:szCs w:val="16"/>
        </w:rPr>
        <w:t>марта</w:t>
      </w:r>
      <w:r w:rsidRPr="002F2FDF">
        <w:rPr>
          <w:rFonts w:ascii="Times New Roman" w:hAnsi="Times New Roman" w:cs="Times New Roman"/>
          <w:color w:val="000000" w:themeColor="text1"/>
          <w:kern w:val="2"/>
          <w:sz w:val="16"/>
          <w:szCs w:val="16"/>
          <w:lang w:val="en-US"/>
        </w:rPr>
        <w:t xml:space="preserve">) 1917 </w:t>
      </w:r>
      <w:r w:rsidRPr="002F2FDF">
        <w:rPr>
          <w:rFonts w:ascii="Times New Roman" w:hAnsi="Times New Roman" w:cs="Times New Roman"/>
          <w:color w:val="000000" w:themeColor="text1"/>
          <w:kern w:val="2"/>
          <w:sz w:val="16"/>
          <w:szCs w:val="16"/>
        </w:rPr>
        <w:t>былраспушенДепартаментполиции</w:t>
      </w:r>
      <w:r w:rsidRPr="002F2FDF">
        <w:rPr>
          <w:rFonts w:ascii="Times New Roman" w:hAnsi="Times New Roman" w:cs="Times New Roman"/>
          <w:color w:val="000000" w:themeColor="text1"/>
          <w:kern w:val="2"/>
          <w:sz w:val="16"/>
          <w:szCs w:val="16"/>
          <w:lang w:val="en-US"/>
        </w:rPr>
        <w:t xml:space="preserve"> (3481).</w:t>
      </w:r>
    </w:p>
    <w:p w14:paraId="4FD2ED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69E4EF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March 10, 1917 Russian Czar suspends sittings of the Duma (1036).</w:t>
      </w:r>
    </w:p>
    <w:p w14:paraId="0ED7B6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04737F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февраля (10 марта) 1917 Царь запретил заседания Госдумы (1036).</w:t>
      </w:r>
    </w:p>
    <w:p w14:paraId="5DE4F9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50724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февраля (10 марта) 1917 Николай II приостановил деятельность Государственной Думы России (4962).</w:t>
      </w:r>
    </w:p>
    <w:p w14:paraId="0D3E210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87068E" w14:textId="77777777" w:rsidR="00783072" w:rsidRPr="002F2FDF" w:rsidRDefault="0078307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25 февраля</w:t>
      </w:r>
      <w:r w:rsidRPr="002F2FDF">
        <w:rPr>
          <w:rFonts w:ascii="Times New Roman" w:hAnsi="Times New Roman" w:cs="Times New Roman"/>
          <w:color w:val="000000" w:themeColor="text1"/>
          <w:kern w:val="2"/>
          <w:sz w:val="16"/>
          <w:szCs w:val="16"/>
        </w:rPr>
        <w:t xml:space="preserve"> (10 марта) в 1917 году завершение работы IV Государственной Думы (15051).</w:t>
      </w:r>
    </w:p>
    <w:p w14:paraId="0E1341B7" w14:textId="77777777" w:rsidR="00783072" w:rsidRPr="002F2FDF" w:rsidRDefault="00783072" w:rsidP="0083075A">
      <w:pPr>
        <w:spacing w:after="0" w:line="240" w:lineRule="auto"/>
        <w:jc w:val="both"/>
        <w:rPr>
          <w:rFonts w:ascii="Times New Roman" w:hAnsi="Times New Roman" w:cs="Times New Roman"/>
          <w:color w:val="000000" w:themeColor="text1"/>
          <w:kern w:val="2"/>
          <w:sz w:val="16"/>
          <w:szCs w:val="16"/>
        </w:rPr>
      </w:pPr>
    </w:p>
    <w:p w14:paraId="527FBCCE" w14:textId="66F8D7A1" w:rsidR="008774AD" w:rsidRDefault="008774AD" w:rsidP="0083075A">
      <w:pPr>
        <w:tabs>
          <w:tab w:val="left" w:pos="11199"/>
        </w:tabs>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Авиапромышленность:</w:t>
      </w:r>
    </w:p>
    <w:p w14:paraId="53716459" w14:textId="77777777" w:rsidR="008774AD" w:rsidRDefault="008774AD" w:rsidP="0083075A">
      <w:pPr>
        <w:tabs>
          <w:tab w:val="left" w:pos="11199"/>
        </w:tabs>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40239CAC" w14:textId="1331894B"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26 февраля </w:t>
      </w:r>
      <w:r>
        <w:rPr>
          <w:rFonts w:ascii="Times New Roman" w:hAnsi="Times New Roman" w:cs="Times New Roman"/>
          <w:color w:val="0070C0"/>
          <w:sz w:val="16"/>
          <w:szCs w:val="16"/>
        </w:rPr>
        <w:t xml:space="preserve">(11 марта) </w:t>
      </w:r>
      <w:r w:rsidRPr="00FB4F67">
        <w:rPr>
          <w:rFonts w:ascii="Times New Roman" w:hAnsi="Times New Roman" w:cs="Times New Roman"/>
          <w:color w:val="0070C0"/>
          <w:sz w:val="16"/>
          <w:szCs w:val="16"/>
        </w:rPr>
        <w:t>1917 г. завод Сакова в Липецке, который успешно выполнил заказ военного министерства на пять Morane G от 21 ноября 1916 года, был отдан заказ еще на пять, но он так и не был выполнен (23525).</w:t>
      </w:r>
    </w:p>
    <w:p w14:paraId="313E535E" w14:textId="77777777" w:rsidR="008774AD" w:rsidRPr="00FB4F67" w:rsidRDefault="008774AD" w:rsidP="0083075A">
      <w:pPr>
        <w:spacing w:after="0" w:line="240" w:lineRule="auto"/>
        <w:jc w:val="both"/>
        <w:rPr>
          <w:rFonts w:ascii="Times New Roman" w:hAnsi="Times New Roman" w:cs="Times New Roman"/>
          <w:color w:val="0070C0"/>
          <w:sz w:val="16"/>
          <w:szCs w:val="16"/>
        </w:rPr>
      </w:pPr>
    </w:p>
    <w:p w14:paraId="13CCD1F0" w14:textId="097B1F6E" w:rsidR="003431D2" w:rsidRPr="002F2FDF" w:rsidRDefault="00CC1BE3" w:rsidP="0083075A">
      <w:pPr>
        <w:tabs>
          <w:tab w:val="left" w:pos="11199"/>
        </w:tabs>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39EB07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E49B9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февраля (11 марта) 1917 под руководством начальника Воздушной дивизии капитана 1 ранга М. Федоровича отряд в составе трех гидрокрейсеров (имевших всего 10 летающих ло</w:t>
      </w:r>
      <w:r w:rsidRPr="002F2FDF">
        <w:rPr>
          <w:rFonts w:ascii="Times New Roman" w:hAnsi="Times New Roman" w:cs="Times New Roman"/>
          <w:color w:val="000000" w:themeColor="text1"/>
          <w:kern w:val="2"/>
          <w:sz w:val="16"/>
          <w:szCs w:val="16"/>
        </w:rPr>
        <w:softHyphen/>
        <w:t>док!) в сопровождении трех эсминцев осуществлял разведку и фотосъемку объектов в Констанце, сохраняя готовность к на</w:t>
      </w:r>
      <w:r w:rsidRPr="002F2FDF">
        <w:rPr>
          <w:rFonts w:ascii="Times New Roman" w:hAnsi="Times New Roman" w:cs="Times New Roman"/>
          <w:color w:val="000000" w:themeColor="text1"/>
          <w:kern w:val="2"/>
          <w:sz w:val="16"/>
          <w:szCs w:val="16"/>
        </w:rPr>
        <w:softHyphen/>
        <w:t>несению бомбовых ударов. Однако надводных кораблей и подводных лодок там не ока</w:t>
      </w:r>
      <w:r w:rsidRPr="002F2FDF">
        <w:rPr>
          <w:rFonts w:ascii="Times New Roman" w:hAnsi="Times New Roman" w:cs="Times New Roman"/>
          <w:color w:val="000000" w:themeColor="text1"/>
          <w:kern w:val="2"/>
          <w:sz w:val="16"/>
          <w:szCs w:val="16"/>
        </w:rPr>
        <w:softHyphen/>
        <w:t>залось. Зато на рассвете 27 февраля наша оперативная груп</w:t>
      </w:r>
      <w:r w:rsidRPr="002F2FDF">
        <w:rPr>
          <w:rFonts w:ascii="Times New Roman" w:hAnsi="Times New Roman" w:cs="Times New Roman"/>
          <w:color w:val="000000" w:themeColor="text1"/>
          <w:kern w:val="2"/>
          <w:sz w:val="16"/>
          <w:szCs w:val="16"/>
        </w:rPr>
        <w:softHyphen/>
        <w:t>па и присоединившаяся к ней пара миноносцев, обеспечивав</w:t>
      </w:r>
      <w:r w:rsidRPr="002F2FDF">
        <w:rPr>
          <w:rFonts w:ascii="Times New Roman" w:hAnsi="Times New Roman" w:cs="Times New Roman"/>
          <w:color w:val="000000" w:themeColor="text1"/>
          <w:kern w:val="2"/>
          <w:sz w:val="16"/>
          <w:szCs w:val="16"/>
        </w:rPr>
        <w:softHyphen/>
        <w:t>шая безопасность полетов, подверглась налету 3 германских аэропланов, встреченных заградительным пушечным и пуле</w:t>
      </w:r>
      <w:r w:rsidRPr="002F2FDF">
        <w:rPr>
          <w:rFonts w:ascii="Times New Roman" w:hAnsi="Times New Roman" w:cs="Times New Roman"/>
          <w:color w:val="000000" w:themeColor="text1"/>
          <w:kern w:val="2"/>
          <w:sz w:val="16"/>
          <w:szCs w:val="16"/>
        </w:rPr>
        <w:softHyphen/>
        <w:t>метным огнем. Ни одна из 50 сброшенных бомб в цели не попала (11283).</w:t>
      </w:r>
    </w:p>
    <w:p w14:paraId="02330D2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8CB5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26 февраля (11 марта) 1917 г. три гидротранспорта (10 летающих лодок) в сопровождении эсминцев под руководством начальника воздушной дивизии капитана 1-го ранга М. Федоровича выясняли обстановку в Констанце (11933).</w:t>
      </w:r>
    </w:p>
    <w:p w14:paraId="6009FD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53CE7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C25C3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FBC1039" w14:textId="77777777" w:rsidR="000B16CD" w:rsidRPr="002F2FDF" w:rsidRDefault="000B16CD" w:rsidP="0083075A">
      <w:pPr>
        <w:pStyle w:val="ae"/>
        <w:spacing w:before="0" w:after="0"/>
        <w:jc w:val="both"/>
        <w:rPr>
          <w:color w:val="000000" w:themeColor="text1"/>
          <w:kern w:val="2"/>
          <w:sz w:val="16"/>
          <w:szCs w:val="16"/>
        </w:rPr>
      </w:pPr>
      <w:r w:rsidRPr="002F2FDF">
        <w:rPr>
          <w:color w:val="000000" w:themeColor="text1"/>
          <w:kern w:val="2"/>
          <w:sz w:val="16"/>
          <w:szCs w:val="16"/>
        </w:rPr>
        <w:t>26 февраля (11 марта) 1917 произошло несколько столкновений протестующих с полицией. На Знаменской площади рота лейб-гвардии Волынского полка открыла огонь по демонстрантам, было убито 40 человек и еще 40 ранено. В отчете охранного отделения за этот день говорилось: «Во время беспорядков наблюдалось (как общее явление) крайне вызывающее отношение буйствовавших скопищ к воинским нарядам, в которые толпа в ответ на предложение разойтись бросала каменьями и комьями сколотого с улиц снега. При предварительной стрельбе войсками вверх толпа не только не рассеивалась, но подобные залпы встречала смехом. Лишь по применении стрельбы боевыми патронами в гущу толпы оказывалось возможным рассеивать скопища, участники коих, однако, в большинстве прятались во дворы ближайших домов и по прекращении стрельбы вновь выходили на улицу».</w:t>
      </w:r>
    </w:p>
    <w:p w14:paraId="7CC733F1" w14:textId="77777777" w:rsidR="000B16CD" w:rsidRPr="002F2FDF" w:rsidRDefault="000B16CD" w:rsidP="0083075A">
      <w:pPr>
        <w:pStyle w:val="ae"/>
        <w:spacing w:before="0" w:after="0"/>
        <w:jc w:val="both"/>
        <w:rPr>
          <w:color w:val="000000" w:themeColor="text1"/>
          <w:kern w:val="2"/>
          <w:sz w:val="16"/>
          <w:szCs w:val="16"/>
        </w:rPr>
      </w:pPr>
      <w:r w:rsidRPr="002F2FDF">
        <w:rPr>
          <w:color w:val="000000" w:themeColor="text1"/>
          <w:kern w:val="2"/>
          <w:sz w:val="16"/>
          <w:szCs w:val="16"/>
        </w:rPr>
        <w:t>11 марта взбунтовалась 4-я рота запасного батальона лейб-гвардии Павловского полка, солдаты которой открыли огонь по полиции и собственным офицерам. Бунт был подавлен, но 20 солдатам удалось бежать с оружием, а арестовать всю роту (1100 человек) не было возможным, в результате были арестованы только 19 зачинщиков бунта. Военный министр Беляев предлагал отдать их под трибунал и казнить, однако генерал Хабалов не решился на столь жесткие меры. В 17.00 Николай II получил телеграмму от председателя Государственной Думы М. В. Родзянко, в которой сообщалось, что «в столице анархия», и «части войск стреляют друг в друга». Прочитав ее, царь заявил министру императорского двора В. Б. Фредериксу, что «опять этот толстяк Родзянко пишет мне всякий вздор». В 22.22 Родзянко отправил императору Николаю II новую телеграмму, которая призывала царя составить «правительство, пользующееся доверием всего населения». Копии этой телеграммы были разосланы командующим фронтами (17045).</w:t>
      </w:r>
    </w:p>
    <w:p w14:paraId="0120B192" w14:textId="77777777" w:rsidR="000B16CD" w:rsidRPr="002F2FDF" w:rsidRDefault="000B16C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48DB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февраля (11 марта) 1917 - массовые столкновения демонстрантов с войсками в Петрограде. Гибель 150 чел. Объявление перерыва в работе Думы (1348,83) несмотря на требования ее председателя М.Родзянко создать "министерство доверия" (3908,253).</w:t>
      </w:r>
    </w:p>
    <w:p w14:paraId="2C25E0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20AD4A" w14:textId="77777777" w:rsidR="00783072" w:rsidRPr="002F2FDF" w:rsidRDefault="0078307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26 февраля</w:t>
      </w:r>
      <w:r w:rsidRPr="002F2FDF">
        <w:rPr>
          <w:rFonts w:ascii="Times New Roman" w:hAnsi="Times New Roman" w:cs="Times New Roman"/>
          <w:color w:val="000000" w:themeColor="text1"/>
          <w:kern w:val="2"/>
          <w:sz w:val="16"/>
          <w:szCs w:val="16"/>
        </w:rPr>
        <w:t xml:space="preserve"> (11 марта) в 1917 году 25-го вечером Николай II отдает приказ прекратить беспорядки в столице. Государственная Дума распущена. С 12 часов дня начинают новые митинги, которые рассеиваются с применением оружия. В городе появляются баррикады. Начинается всеобщая стачка в Петрограде (15052).</w:t>
      </w:r>
    </w:p>
    <w:p w14:paraId="34A4BFFB" w14:textId="77777777" w:rsidR="00783072" w:rsidRPr="002F2FDF" w:rsidRDefault="00783072" w:rsidP="0083075A">
      <w:pPr>
        <w:spacing w:after="0" w:line="240" w:lineRule="auto"/>
        <w:jc w:val="both"/>
        <w:rPr>
          <w:rFonts w:ascii="Times New Roman" w:hAnsi="Times New Roman" w:cs="Times New Roman"/>
          <w:color w:val="000000" w:themeColor="text1"/>
          <w:kern w:val="2"/>
          <w:sz w:val="16"/>
          <w:szCs w:val="16"/>
        </w:rPr>
      </w:pPr>
    </w:p>
    <w:p w14:paraId="2F65E0B1" w14:textId="77777777" w:rsidR="00783072" w:rsidRPr="002F2FDF" w:rsidRDefault="0078307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26 февраля</w:t>
      </w:r>
      <w:r w:rsidRPr="002F2FDF">
        <w:rPr>
          <w:rFonts w:ascii="Times New Roman" w:hAnsi="Times New Roman" w:cs="Times New Roman"/>
          <w:color w:val="000000" w:themeColor="text1"/>
          <w:kern w:val="2"/>
          <w:sz w:val="16"/>
          <w:szCs w:val="16"/>
        </w:rPr>
        <w:t xml:space="preserve"> (11 марта) в 1917 году начало перехода войск на сторону революции в России (15052).</w:t>
      </w:r>
    </w:p>
    <w:p w14:paraId="7269BE57" w14:textId="77777777" w:rsidR="00783072" w:rsidRPr="002F2FDF" w:rsidRDefault="00783072" w:rsidP="0083075A">
      <w:pPr>
        <w:spacing w:after="0" w:line="240" w:lineRule="auto"/>
        <w:jc w:val="both"/>
        <w:rPr>
          <w:rFonts w:ascii="Times New Roman" w:hAnsi="Times New Roman" w:cs="Times New Roman"/>
          <w:color w:val="000000" w:themeColor="text1"/>
          <w:kern w:val="2"/>
          <w:sz w:val="16"/>
          <w:szCs w:val="16"/>
        </w:rPr>
      </w:pPr>
    </w:p>
    <w:p w14:paraId="5DB7F9DA" w14:textId="77777777" w:rsidR="00D23E57" w:rsidRPr="002F2FDF" w:rsidRDefault="00D23E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февраля (11 марта) 1917 в Петрограде войска открыли огонь (150 убитых).</w:t>
      </w:r>
    </w:p>
    <w:p w14:paraId="75F90FE9" w14:textId="77777777" w:rsidR="00D23E57" w:rsidRPr="002F2FDF" w:rsidRDefault="00D23E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Заседания Думы отложены. М.В.Родзянко отправляет телеграмму в ставку - Николаю II.:</w:t>
      </w:r>
    </w:p>
    <w:p w14:paraId="6EE4572D" w14:textId="77777777" w:rsidR="00D23E57" w:rsidRPr="002F2FDF" w:rsidRDefault="00D23E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Ваше величество!</w:t>
      </w:r>
    </w:p>
    <w:p w14:paraId="48F14B2A" w14:textId="77777777" w:rsidR="00D23E57" w:rsidRPr="002F2FDF" w:rsidRDefault="00D23E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Положение серьезное. В столице анархия. Правительство парализовано. Транспорт, продовольствие и топливо пришли в полное расстройство. Растет общественное недовольство. На улицах происходит беспорядочная стрельба. Части войск стреляют друг в друга. Необходимо немедленно поручить лицу, пользующемуся доверием страны, составить новое правительство. Медлить нельзя. Всякое промедление смерти подобно. Молю бога, чтобы в этот час ответственность не пала на венценосца (17025).</w:t>
      </w:r>
    </w:p>
    <w:p w14:paraId="6BDD60CC" w14:textId="77777777" w:rsidR="00D23E57" w:rsidRPr="002F2FDF" w:rsidRDefault="00D23E57" w:rsidP="0083075A">
      <w:pPr>
        <w:spacing w:after="0" w:line="240" w:lineRule="auto"/>
        <w:jc w:val="both"/>
        <w:rPr>
          <w:rFonts w:ascii="Times New Roman" w:hAnsi="Times New Roman" w:cs="Times New Roman"/>
          <w:color w:val="000000" w:themeColor="text1"/>
          <w:kern w:val="2"/>
          <w:sz w:val="16"/>
          <w:szCs w:val="16"/>
        </w:rPr>
      </w:pPr>
    </w:p>
    <w:p w14:paraId="26D76A72" w14:textId="77777777" w:rsidR="00D23E57" w:rsidRPr="002F2FDF" w:rsidRDefault="00D23E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26—27 февраля (11-12 марта) 1917 г. листовка:</w:t>
      </w:r>
    </w:p>
    <w:p w14:paraId="311B6677" w14:textId="77777777" w:rsidR="00D23E57" w:rsidRPr="002F2FDF" w:rsidRDefault="00D23E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Российская социал-демократическая рабочая партия</w:t>
      </w:r>
    </w:p>
    <w:p w14:paraId="0336AEE9" w14:textId="77777777" w:rsidR="00D23E57" w:rsidRPr="002F2FDF" w:rsidRDefault="00D23E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Пролетарии всех стран, соединяйтесь! </w:t>
      </w:r>
    </w:p>
    <w:p w14:paraId="63E0E5A7" w14:textId="77777777" w:rsidR="00D23E57" w:rsidRPr="002F2FDF" w:rsidRDefault="00D23E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БРАТЬЯ СОЛДАТЫ!</w:t>
      </w:r>
    </w:p>
    <w:p w14:paraId="45D71CAC" w14:textId="77777777" w:rsidR="00D23E57" w:rsidRPr="002F2FDF" w:rsidRDefault="00D23E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Третий день мы, рабочие Петрограда, открыто требуем уничтожения самодержавного строя, виновника льющейся крови народа, виновника голода в стране, обрекающего на гибель ваших жен и детей, матерей и братьев. Помните, товарищи солдаты, что только братский союз рабочего класса и революционной армии принесет освобождение порабощенному народу и конец братоубийственной бессмысленной бойне. Долой царскую монархию! Да здравствует братский союз революционной армии с народом! (17025).</w:t>
      </w:r>
    </w:p>
    <w:p w14:paraId="6873DDA1" w14:textId="77777777" w:rsidR="00D23E57" w:rsidRPr="002F2FDF" w:rsidRDefault="00D23E57" w:rsidP="0083075A">
      <w:pPr>
        <w:spacing w:after="0" w:line="240" w:lineRule="auto"/>
        <w:jc w:val="both"/>
        <w:rPr>
          <w:rFonts w:ascii="Times New Roman" w:hAnsi="Times New Roman" w:cs="Times New Roman"/>
          <w:color w:val="000000" w:themeColor="text1"/>
          <w:kern w:val="2"/>
          <w:sz w:val="16"/>
          <w:szCs w:val="16"/>
        </w:rPr>
      </w:pPr>
    </w:p>
    <w:p w14:paraId="400A5FF3" w14:textId="77777777" w:rsidR="009E49F6" w:rsidRPr="002F2FDF" w:rsidRDefault="009E49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26 февраля (11 марта) 1917 царским указом прекращены заседания Государственной Думы, но заседания продолжались (12629). </w:t>
      </w:r>
    </w:p>
    <w:p w14:paraId="690FCDC8" w14:textId="77777777" w:rsidR="009E49F6" w:rsidRPr="002F2FDF" w:rsidRDefault="009E49F6"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56701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февраля (11 марта) 1917 русские войска начали переход на сторону революции (4962).</w:t>
      </w:r>
    </w:p>
    <w:p w14:paraId="7515D9B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4D713B"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26 февраля (11 марта)</w:t>
      </w:r>
      <w:r w:rsidRPr="002F2FDF">
        <w:rPr>
          <w:rFonts w:ascii="Times New Roman" w:hAnsi="Times New Roman" w:cs="Times New Roman"/>
          <w:color w:val="000000" w:themeColor="text1"/>
          <w:kern w:val="2"/>
          <w:sz w:val="16"/>
          <w:szCs w:val="16"/>
        </w:rPr>
        <w:t xml:space="preserve"> в 1917 году русские войска начинают переход на сторону революции (15065).</w:t>
      </w:r>
    </w:p>
    <w:p w14:paraId="4FFDD01B"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p>
    <w:p w14:paraId="57257652"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26 февраля (11 марта)</w:t>
      </w:r>
      <w:r w:rsidRPr="002F2FDF">
        <w:rPr>
          <w:rFonts w:ascii="Times New Roman" w:hAnsi="Times New Roman" w:cs="Times New Roman"/>
          <w:color w:val="000000" w:themeColor="text1"/>
          <w:kern w:val="2"/>
          <w:sz w:val="16"/>
          <w:szCs w:val="16"/>
        </w:rPr>
        <w:t xml:space="preserve"> в 1917 году соглашение рабочих с работодателями, которое предусматривало введение на промышленных предприятиях Петрограда 8-часового рабочего дня (15065).</w:t>
      </w:r>
    </w:p>
    <w:p w14:paraId="533911D0"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p>
    <w:p w14:paraId="4F6D33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февраля (11 марта) 1917 в результате соглашения между рабочими и работодателями на предприятиях Петрограда был введен 8 часовой рабочий день (3481).</w:t>
      </w:r>
    </w:p>
    <w:p w14:paraId="2B5309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A6B7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февраля (11 марта) 1917 начались аресты членов революционных организаций (3908,253).</w:t>
      </w:r>
    </w:p>
    <w:p w14:paraId="35DC21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0B26D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BDE22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D7E601"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26 февраля (11 марта)</w:t>
      </w:r>
      <w:r w:rsidRPr="002F2FDF">
        <w:rPr>
          <w:rFonts w:ascii="Times New Roman" w:hAnsi="Times New Roman" w:cs="Times New Roman"/>
          <w:color w:val="000000" w:themeColor="text1"/>
          <w:kern w:val="2"/>
          <w:sz w:val="16"/>
          <w:szCs w:val="16"/>
        </w:rPr>
        <w:t xml:space="preserve"> в 1917 году немецкий ас барон Манфред фон Рихтгофен на своём истребителе «Halberstadt» «D II» сбил английский самолёт «BE 2d», выполнявший фотографическую миссию, одержав свою 26-ю победу. Пилот 2-й лейтенант Джеймс Смит и лётчик-наблюдатель 2-й лейтенант Эдуард Бирн погибли (15065).</w:t>
      </w:r>
    </w:p>
    <w:p w14:paraId="7C9F8701"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p>
    <w:p w14:paraId="0F0B3E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февраля (11 марта) 1917 г. 10 марта - Немецкие самолеты разбомбили еще один английский госпиталь; погибли все раненые и 2 сестры (11999).</w:t>
      </w:r>
    </w:p>
    <w:p w14:paraId="3D7BE2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A74E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March 11 1917 Naval Act carried appropriation of $1 million for purchase of basic aeronautical patents by the Federal Government (1038).</w:t>
      </w:r>
    </w:p>
    <w:p w14:paraId="318A63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51854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февраля (11 марта) 1917 Морской закон одобрил выделение 1 млн. долл. для выкупа основных авиационных патентов федеральным правительством (1038).</w:t>
      </w:r>
    </w:p>
    <w:p w14:paraId="316FCB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D490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февраля (11 марта) 1917 англичане захватили Багдад (2252).</w:t>
      </w:r>
    </w:p>
    <w:p w14:paraId="7DC666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645046"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26 февраля (11 марта)</w:t>
      </w:r>
      <w:r w:rsidRPr="002F2FDF">
        <w:rPr>
          <w:rFonts w:ascii="Times New Roman" w:hAnsi="Times New Roman" w:cs="Times New Roman"/>
          <w:color w:val="000000" w:themeColor="text1"/>
          <w:kern w:val="2"/>
          <w:sz w:val="16"/>
          <w:szCs w:val="16"/>
        </w:rPr>
        <w:t xml:space="preserve"> в 1917 году британские войска захватили Багдад (15065).</w:t>
      </w:r>
    </w:p>
    <w:p w14:paraId="0668652D"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p>
    <w:p w14:paraId="6DFE175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7D2FE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6B62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27 февраля (12 марта) 1917 состоялся первый полет учебного биплана "Пороховщиков-IV" с двухместной кабиной и испытания шли до 3 мая 1917. Техкомитет УВВФ признал его способным заменить в авиашколах самолеты Фарман-4 и Фарман-16 (237,129).</w:t>
      </w:r>
    </w:p>
    <w:p w14:paraId="26A8B2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D754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27 февраля (12 марта) 1917 г. Пороховщиков построил учебный двухместный биплан П-IV, в 1920-23 гг. появились П-IV бис, П-IV 2 бис, П-VI, П-VI бис. Они строились серийно и послужили «летающей партой» для многих советских летчиков (Шавров История воздухоплавания и авиации в СССР, с. 470—475.). </w:t>
      </w:r>
    </w:p>
    <w:p w14:paraId="4FCD79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C8DE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февраля (12 марта) 1917 состоялся первый полет учебного двухместного биплана "Пороховщиков-4" (274) и испытывался до 3 мая 1917 (3634).</w:t>
      </w:r>
    </w:p>
    <w:p w14:paraId="6D100F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2B1C3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февраля (12 марта) 1917 г. состоялся первый полет первого отечест</w:t>
      </w:r>
      <w:r w:rsidRPr="002F2FDF">
        <w:rPr>
          <w:rFonts w:ascii="Times New Roman" w:hAnsi="Times New Roman" w:cs="Times New Roman"/>
          <w:color w:val="000000" w:themeColor="text1"/>
          <w:kern w:val="2"/>
          <w:sz w:val="16"/>
          <w:szCs w:val="16"/>
        </w:rPr>
        <w:softHyphen/>
        <w:t xml:space="preserve">венного учебного самолета П-1У, разрабатываемого Александром Александровичем Пороховщиковым по заданию Управления Военно-воздушным флотом П-1У. По схеме эта машина представляла собой биплан с ферменным хвостом. На нижнем </w:t>
      </w:r>
      <w:r w:rsidRPr="002F2FDF">
        <w:rPr>
          <w:rFonts w:ascii="Times New Roman" w:hAnsi="Times New Roman" w:cs="Times New Roman"/>
          <w:color w:val="000000" w:themeColor="text1"/>
          <w:kern w:val="2"/>
          <w:sz w:val="16"/>
          <w:szCs w:val="16"/>
        </w:rPr>
        <w:lastRenderedPageBreak/>
        <w:t>крыле была установлена гондола для экипажа с толкающим ротативным двигателем мощностью 50 или 80 л.с.. К маю испытания закончились. Научно-техниче</w:t>
      </w:r>
      <w:r w:rsidRPr="002F2FDF">
        <w:rPr>
          <w:rFonts w:ascii="Times New Roman" w:hAnsi="Times New Roman" w:cs="Times New Roman"/>
          <w:color w:val="000000" w:themeColor="text1"/>
          <w:kern w:val="2"/>
          <w:sz w:val="16"/>
          <w:szCs w:val="16"/>
        </w:rPr>
        <w:softHyphen/>
        <w:t>ский комитет УВВФ в постановлении от 13 июня 1917 г. дал следующую оценку самолету:</w:t>
      </w:r>
    </w:p>
    <w:p w14:paraId="3CE615F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Аппарат Пороховщикова является весьма хоро</w:t>
      </w:r>
      <w:r w:rsidRPr="002F2FDF">
        <w:rPr>
          <w:rFonts w:ascii="Times New Roman" w:hAnsi="Times New Roman" w:cs="Times New Roman"/>
          <w:color w:val="000000" w:themeColor="text1"/>
          <w:kern w:val="2"/>
          <w:sz w:val="16"/>
          <w:szCs w:val="16"/>
        </w:rPr>
        <w:softHyphen/>
        <w:t>шим учебным аппаратом, а потому заказ его для авиа</w:t>
      </w:r>
      <w:r w:rsidRPr="002F2FDF">
        <w:rPr>
          <w:rFonts w:ascii="Times New Roman" w:hAnsi="Times New Roman" w:cs="Times New Roman"/>
          <w:color w:val="000000" w:themeColor="text1"/>
          <w:kern w:val="2"/>
          <w:sz w:val="16"/>
          <w:szCs w:val="16"/>
        </w:rPr>
        <w:softHyphen/>
        <w:t>ционных школ желателен.</w:t>
      </w:r>
    </w:p>
    <w:p w14:paraId="61E5701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Обязательство по постройке аппарата нового ти</w:t>
      </w:r>
      <w:r w:rsidRPr="002F2FDF">
        <w:rPr>
          <w:rFonts w:ascii="Times New Roman" w:hAnsi="Times New Roman" w:cs="Times New Roman"/>
          <w:color w:val="000000" w:themeColor="text1"/>
          <w:kern w:val="2"/>
          <w:sz w:val="16"/>
          <w:szCs w:val="16"/>
        </w:rPr>
        <w:softHyphen/>
        <w:t>па, принятое на себя г-ном Пороховщиковым, следует считать выполненным”.</w:t>
      </w:r>
    </w:p>
    <w:p w14:paraId="3A0AB1A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Серийная постройка П-1У развернулась с июня на эвакуированном из Риги заводе Пороховщикова. Он располагался в Петрограде на Песочной набережной Аптекарского острова. После революции завод был на</w:t>
      </w:r>
      <w:r w:rsidRPr="002F2FDF">
        <w:rPr>
          <w:rFonts w:ascii="Times New Roman" w:hAnsi="Times New Roman" w:cs="Times New Roman"/>
          <w:color w:val="000000" w:themeColor="text1"/>
          <w:kern w:val="2"/>
          <w:sz w:val="16"/>
          <w:szCs w:val="16"/>
        </w:rPr>
        <w:softHyphen/>
        <w:t>ционализирован, однако постройка П-ГУ продолжалась. Пороховщиков разработал несколько модификаций машины, в том числе с тянущим винтом (П-ГУ 2бис). В их создании принимал деятельное участие инженер А.Р.Рубенчик, впоследствии один из руководителей авиапромышленности СССР. Летчики высоко оценивали эти самолеты. В удосто</w:t>
      </w:r>
      <w:r w:rsidRPr="002F2FDF">
        <w:rPr>
          <w:rFonts w:ascii="Times New Roman" w:hAnsi="Times New Roman" w:cs="Times New Roman"/>
          <w:color w:val="000000" w:themeColor="text1"/>
          <w:kern w:val="2"/>
          <w:sz w:val="16"/>
          <w:szCs w:val="16"/>
        </w:rPr>
        <w:softHyphen/>
        <w:t>верении, выданном А.А.Пороховщикову 25 мая 1918 г. 1-й Народной социалистической школой авиации, гово</w:t>
      </w:r>
      <w:r w:rsidRPr="002F2FDF">
        <w:rPr>
          <w:rFonts w:ascii="Times New Roman" w:hAnsi="Times New Roman" w:cs="Times New Roman"/>
          <w:color w:val="000000" w:themeColor="text1"/>
          <w:kern w:val="2"/>
          <w:sz w:val="16"/>
          <w:szCs w:val="16"/>
        </w:rPr>
        <w:softHyphen/>
        <w:t>рилось: “Считать самолет системы “Пороховщиков IV” наилучшим учебным аппаратом данного времени и [его] применение в авиационных школах крайне потреб</w:t>
      </w:r>
      <w:r w:rsidRPr="002F2FDF">
        <w:rPr>
          <w:rFonts w:ascii="Times New Roman" w:hAnsi="Times New Roman" w:cs="Times New Roman"/>
          <w:color w:val="000000" w:themeColor="text1"/>
          <w:kern w:val="2"/>
          <w:sz w:val="16"/>
          <w:szCs w:val="16"/>
        </w:rPr>
        <w:softHyphen/>
        <w:t>ным” (10667).</w:t>
      </w:r>
    </w:p>
    <w:p w14:paraId="474EE29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290F3E" w14:textId="77777777" w:rsidR="007A769B" w:rsidRPr="002F2FDF" w:rsidRDefault="007A76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shd w:val="clear" w:color="auto" w:fill="FFFFFF"/>
        </w:rPr>
        <w:t>27 февраля (12 марта) 1917г., Пороховщиков построил учебный двухместный биплан П-lV. Уже во время гражданской войны он продолжил эту работу, и в феврале 1920 г. появился П-IV бис, в 1921-23 гг. – П-IV 2 бис, П-VI, П-VI бис. Эти самолеты строились в качестве учебных серийно, на них учились летать многие советские летчики (20250).</w:t>
      </w:r>
    </w:p>
    <w:p w14:paraId="5A3AA3F3" w14:textId="77777777" w:rsidR="007A769B" w:rsidRPr="002F2FDF" w:rsidRDefault="007A769B" w:rsidP="0083075A">
      <w:pPr>
        <w:spacing w:after="0" w:line="240" w:lineRule="auto"/>
        <w:jc w:val="both"/>
        <w:rPr>
          <w:rFonts w:ascii="Times New Roman" w:hAnsi="Times New Roman" w:cs="Times New Roman"/>
          <w:color w:val="000000" w:themeColor="text1"/>
          <w:sz w:val="16"/>
          <w:szCs w:val="16"/>
        </w:rPr>
      </w:pPr>
    </w:p>
    <w:p w14:paraId="38584D5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E9B03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E8E9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февраля (12 марта) 1917 командующий СЗФ г Рузский доносил в штаб ВГК" "Вследствие недостатка аппаратов для дальней разведки и ограниченного числа аппаратов типа истребителей можно рассчитывать на успешность производства разведок только в ближайшем тылу противника и при этом до тех пор, пока противник не сосредоточит превосходящих авиационных средств, чему пока мы не можем противопоставить соответствующие силы. Что касается дальних разведок, то они могут при теперешних средствах производиться лишь в исключительных случаях и до снабжения отрядов аппаратами для дальних разведок армии фронта лишены возможности организовать непрерывное наблюдение за глубоким тылом противника." (3623).</w:t>
      </w:r>
    </w:p>
    <w:p w14:paraId="014826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013F3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27 февраля </w:t>
      </w:r>
      <w:r w:rsidR="006E0883" w:rsidRPr="002F2FDF">
        <w:rPr>
          <w:rFonts w:ascii="Times New Roman" w:hAnsi="Times New Roman" w:cs="Times New Roman"/>
          <w:color w:val="000000" w:themeColor="text1"/>
          <w:kern w:val="2"/>
          <w:sz w:val="16"/>
          <w:szCs w:val="16"/>
        </w:rPr>
        <w:t xml:space="preserve">(12 марта) </w:t>
      </w:r>
      <w:r w:rsidRPr="002F2FDF">
        <w:rPr>
          <w:rFonts w:ascii="Times New Roman" w:hAnsi="Times New Roman" w:cs="Times New Roman"/>
          <w:color w:val="000000" w:themeColor="text1"/>
          <w:kern w:val="2"/>
          <w:sz w:val="16"/>
          <w:szCs w:val="16"/>
        </w:rPr>
        <w:t>1917 командующий Северо-Западным фронтом генерал-Рузский доносил в штаб ВГК; "Вследствие недостатка аппаратов для дальней разведки и ограниченного числа аппаратов типа истребителей можно рассчитывать на успешность производства разведок только в ближайшем тылу противника и при этом до тех пор, пока противник не сосредоточит превосходящих авиа</w:t>
      </w:r>
      <w:r w:rsidRPr="002F2FDF">
        <w:rPr>
          <w:rFonts w:ascii="Times New Roman" w:hAnsi="Times New Roman" w:cs="Times New Roman"/>
          <w:color w:val="000000" w:themeColor="text1"/>
          <w:kern w:val="2"/>
          <w:sz w:val="16"/>
          <w:szCs w:val="16"/>
        </w:rPr>
        <w:softHyphen/>
        <w:t>ционных средств, чему пока мы не можем противопоставить со</w:t>
      </w:r>
      <w:r w:rsidRPr="002F2FDF">
        <w:rPr>
          <w:rFonts w:ascii="Times New Roman" w:hAnsi="Times New Roman" w:cs="Times New Roman"/>
          <w:color w:val="000000" w:themeColor="text1"/>
          <w:kern w:val="2"/>
          <w:sz w:val="16"/>
          <w:szCs w:val="16"/>
        </w:rPr>
        <w:softHyphen/>
        <w:t>ответствующие силы. Что касается дальних разведок, то они могут при теперешних средствах производиться лишь в исключи</w:t>
      </w:r>
      <w:r w:rsidRPr="002F2FDF">
        <w:rPr>
          <w:rFonts w:ascii="Times New Roman" w:hAnsi="Times New Roman" w:cs="Times New Roman"/>
          <w:color w:val="000000" w:themeColor="text1"/>
          <w:kern w:val="2"/>
          <w:sz w:val="16"/>
          <w:szCs w:val="16"/>
        </w:rPr>
        <w:softHyphen/>
        <w:t>тельных случаях и до снабжения отрядов аппаратами для дальних разведок армии фронта лишены возможности организовать непре</w:t>
      </w:r>
      <w:r w:rsidRPr="002F2FDF">
        <w:rPr>
          <w:rFonts w:ascii="Times New Roman" w:hAnsi="Times New Roman" w:cs="Times New Roman"/>
          <w:color w:val="000000" w:themeColor="text1"/>
          <w:kern w:val="2"/>
          <w:sz w:val="16"/>
          <w:szCs w:val="16"/>
        </w:rPr>
        <w:softHyphen/>
        <w:t xml:space="preserve">рывное наблюдение </w:t>
      </w:r>
      <w:r w:rsidRPr="002F2FDF">
        <w:rPr>
          <w:rFonts w:ascii="Times New Roman" w:hAnsi="Times New Roman" w:cs="Times New Roman"/>
          <w:smallCaps/>
          <w:color w:val="000000" w:themeColor="text1"/>
          <w:kern w:val="2"/>
          <w:sz w:val="16"/>
          <w:szCs w:val="16"/>
        </w:rPr>
        <w:t xml:space="preserve">зу </w:t>
      </w:r>
      <w:r w:rsidRPr="002F2FDF">
        <w:rPr>
          <w:rFonts w:ascii="Times New Roman" w:hAnsi="Times New Roman" w:cs="Times New Roman"/>
          <w:color w:val="000000" w:themeColor="text1"/>
          <w:kern w:val="2"/>
          <w:sz w:val="16"/>
          <w:szCs w:val="16"/>
        </w:rPr>
        <w:t>глубоким тылом противнике". (ЦГВИА. ф.2003, оп.1, д.1224, л.159),</w:t>
      </w:r>
    </w:p>
    <w:p w14:paraId="72E34F4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1C814C" w14:textId="45D2F5CD" w:rsidR="00D51D78" w:rsidRPr="00815ED5" w:rsidRDefault="00D51D78"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27 февраля</w:t>
      </w:r>
      <w:r>
        <w:rPr>
          <w:rFonts w:ascii="Times New Roman" w:hAnsi="Times New Roman" w:cs="Times New Roman"/>
          <w:color w:val="0070C0"/>
          <w:sz w:val="16"/>
          <w:szCs w:val="16"/>
        </w:rPr>
        <w:t xml:space="preserve"> 12 марта)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Командующий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ев.-Западным фронтом ген</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Ру</w:t>
      </w:r>
      <w:r w:rsidRPr="00815ED5">
        <w:rPr>
          <w:rFonts w:ascii="Times New Roman" w:hAnsi="Times New Roman" w:cs="Times New Roman"/>
          <w:color w:val="0070C0"/>
          <w:sz w:val="16"/>
          <w:szCs w:val="16"/>
        </w:rPr>
        <w:t>зский доно</w:t>
      </w:r>
      <w:r w:rsidRPr="00815ED5">
        <w:rPr>
          <w:rFonts w:ascii="Times New Roman" w:hAnsi="Times New Roman" w:cs="Times New Roman"/>
          <w:color w:val="0070C0"/>
          <w:sz w:val="16"/>
          <w:szCs w:val="16"/>
        </w:rPr>
        <w:softHyphen/>
        <w:t xml:space="preserve">сил в штаб </w:t>
      </w: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ГК:</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“Вследствие недостатка аппаратов для дальней разведки и ограниченного числа аппаратов типа истребителей можно рас</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чи</w:t>
      </w:r>
      <w:r>
        <w:rPr>
          <w:rFonts w:ascii="Times New Roman" w:hAnsi="Times New Roman" w:cs="Times New Roman"/>
          <w:color w:val="0070C0"/>
          <w:sz w:val="16"/>
          <w:szCs w:val="16"/>
        </w:rPr>
        <w:t>ты</w:t>
      </w:r>
      <w:r w:rsidRPr="00815ED5">
        <w:rPr>
          <w:rFonts w:ascii="Times New Roman" w:hAnsi="Times New Roman" w:cs="Times New Roman"/>
          <w:color w:val="0070C0"/>
          <w:sz w:val="16"/>
          <w:szCs w:val="16"/>
        </w:rPr>
        <w:t>вать па успешность производства разведок только в ближайшем тылу противника и при этом до тех пор,</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пока противник не сосредоточит превосходящих авиационных средств,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чему пока мы не можем противопоставить соответствующие силы.</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Что касается дальних разведок,</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то они могут при теперешних средствах производиться- лишь в исключительных</w:t>
      </w:r>
      <w:r>
        <w:rPr>
          <w:rFonts w:ascii="Times New Roman" w:hAnsi="Times New Roman" w:cs="Times New Roman"/>
          <w:color w:val="0070C0"/>
          <w:sz w:val="16"/>
          <w:szCs w:val="16"/>
        </w:rPr>
        <w:t xml:space="preserve"> случаях</w:t>
      </w:r>
      <w:r w:rsidRPr="00D51D78">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и до снабжения отрядов аппаратами для дальних разведок армии фронта лишены возможности организовать непре</w:t>
      </w:r>
      <w:r w:rsidRPr="002F2FDF">
        <w:rPr>
          <w:rFonts w:ascii="Times New Roman" w:hAnsi="Times New Roman" w:cs="Times New Roman"/>
          <w:color w:val="000000" w:themeColor="text1"/>
          <w:kern w:val="2"/>
          <w:sz w:val="16"/>
          <w:szCs w:val="16"/>
        </w:rPr>
        <w:softHyphen/>
        <w:t xml:space="preserve">рывное наблюдение </w:t>
      </w:r>
      <w:r w:rsidRPr="002F2FDF">
        <w:rPr>
          <w:rFonts w:ascii="Times New Roman" w:hAnsi="Times New Roman" w:cs="Times New Roman"/>
          <w:smallCaps/>
          <w:color w:val="000000" w:themeColor="text1"/>
          <w:kern w:val="2"/>
          <w:sz w:val="16"/>
          <w:szCs w:val="16"/>
        </w:rPr>
        <w:t xml:space="preserve">зу </w:t>
      </w:r>
      <w:r w:rsidRPr="002F2FDF">
        <w:rPr>
          <w:rFonts w:ascii="Times New Roman" w:hAnsi="Times New Roman" w:cs="Times New Roman"/>
          <w:color w:val="000000" w:themeColor="text1"/>
          <w:kern w:val="2"/>
          <w:sz w:val="16"/>
          <w:szCs w:val="16"/>
        </w:rPr>
        <w:t>глубоким тылом противнике"</w:t>
      </w:r>
      <w:r>
        <w:rPr>
          <w:rFonts w:ascii="Times New Roman" w:hAnsi="Times New Roman" w:cs="Times New Roman"/>
          <w:color w:val="0070C0"/>
          <w:sz w:val="16"/>
          <w:szCs w:val="16"/>
        </w:rPr>
        <w:t xml:space="preserve"> (23320).</w:t>
      </w:r>
    </w:p>
    <w:p w14:paraId="4DAFD56F" w14:textId="77777777" w:rsidR="00D51D78" w:rsidRDefault="00D51D7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A0072D" w14:textId="529AE483" w:rsidR="00481E1E" w:rsidRPr="00FB4F67" w:rsidRDefault="00481E1E"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27 февраля (</w:t>
      </w:r>
      <w:r w:rsidRPr="00FB4F67">
        <w:rPr>
          <w:rFonts w:ascii="Times New Roman" w:hAnsi="Times New Roman" w:cs="Times New Roman"/>
          <w:color w:val="0070C0"/>
          <w:sz w:val="16"/>
          <w:szCs w:val="16"/>
        </w:rPr>
        <w:t>12 марта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экипаж «Моран-Парасоль» 17-го корпусного авиаотряда (летчик прапорщик А.М. Гусев и летчик-наблюдатель А.Я. Валлейко) в воздушном бою уничтожил одноместный немецкий истребитель.</w:t>
      </w:r>
    </w:p>
    <w:p w14:paraId="224035FF" w14:textId="77777777" w:rsidR="00481E1E" w:rsidRPr="00FB4F67" w:rsidRDefault="00481E1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23 марта 1917 г. в следующем бою в районе д. Космичевки самолет Гусева был сбит (летчик погиб, летнаб штабс-капитан Ф.Ф. Лазовский попал в плен). Наши летчики были награждены орденом Святого Георгия IV степени. Этот бой стоил противнику также сбитого летательного аппарата (23405).</w:t>
      </w:r>
    </w:p>
    <w:p w14:paraId="146439CD" w14:textId="77777777" w:rsidR="00481E1E" w:rsidRPr="00FB4F67" w:rsidRDefault="00481E1E" w:rsidP="0083075A">
      <w:pPr>
        <w:spacing w:after="0" w:line="240" w:lineRule="auto"/>
        <w:jc w:val="both"/>
        <w:rPr>
          <w:rFonts w:ascii="Times New Roman" w:hAnsi="Times New Roman" w:cs="Times New Roman"/>
          <w:color w:val="0070C0"/>
          <w:sz w:val="16"/>
          <w:szCs w:val="16"/>
        </w:rPr>
      </w:pPr>
    </w:p>
    <w:p w14:paraId="539A7CE5" w14:textId="13EC716D" w:rsidR="003431D2" w:rsidRPr="002F2FDF" w:rsidRDefault="006E088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февраля (</w:t>
      </w:r>
      <w:r w:rsidR="003431D2" w:rsidRPr="002F2FDF">
        <w:rPr>
          <w:rFonts w:ascii="Times New Roman" w:hAnsi="Times New Roman" w:cs="Times New Roman"/>
          <w:color w:val="000000" w:themeColor="text1"/>
          <w:kern w:val="2"/>
          <w:sz w:val="16"/>
          <w:szCs w:val="16"/>
        </w:rPr>
        <w:t xml:space="preserve">12 марта) </w:t>
      </w:r>
      <w:r w:rsidRPr="002F2FDF">
        <w:rPr>
          <w:rFonts w:ascii="Times New Roman" w:hAnsi="Times New Roman" w:cs="Times New Roman"/>
          <w:color w:val="000000" w:themeColor="text1"/>
          <w:kern w:val="2"/>
          <w:sz w:val="16"/>
          <w:szCs w:val="16"/>
        </w:rPr>
        <w:t xml:space="preserve">1917 </w:t>
      </w:r>
      <w:r w:rsidR="003431D2" w:rsidRPr="002F2FDF">
        <w:rPr>
          <w:rFonts w:ascii="Times New Roman" w:hAnsi="Times New Roman" w:cs="Times New Roman"/>
          <w:color w:val="000000" w:themeColor="text1"/>
          <w:kern w:val="2"/>
          <w:sz w:val="16"/>
          <w:szCs w:val="16"/>
        </w:rPr>
        <w:t>в России произошла Февральская буржуазно-демократическая революция.</w:t>
      </w:r>
      <w:r w:rsidR="00481E1E">
        <w:rPr>
          <w:rFonts w:ascii="Times New Roman" w:hAnsi="Times New Roman" w:cs="Times New Roman"/>
          <w:color w:val="000000" w:themeColor="text1"/>
          <w:kern w:val="2"/>
          <w:sz w:val="16"/>
          <w:szCs w:val="16"/>
        </w:rPr>
        <w:t xml:space="preserve"> </w:t>
      </w:r>
      <w:r w:rsidR="003431D2" w:rsidRPr="002F2FDF">
        <w:rPr>
          <w:rFonts w:ascii="Times New Roman" w:hAnsi="Times New Roman" w:cs="Times New Roman"/>
          <w:color w:val="000000" w:themeColor="text1"/>
          <w:kern w:val="2"/>
          <w:sz w:val="16"/>
          <w:szCs w:val="16"/>
        </w:rPr>
        <w:t>После революции в летных школах была проведена чистка, обнаружены офицеры, которые не имели ни одного боевого вылета. От руководства летными школами были освобождены барон Буксгевден, полковник Стаматьев и др. Многих офицеров вернули в кавалерию и пехоту (11999).</w:t>
      </w:r>
    </w:p>
    <w:p w14:paraId="216A816A" w14:textId="77777777" w:rsidR="00481E1E" w:rsidRDefault="00481E1E"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B64F3B" w14:textId="7A72CE8A"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рассвете 27 февраля (12 марта) 1917 наша оперативная груп</w:t>
      </w:r>
      <w:r w:rsidRPr="002F2FDF">
        <w:rPr>
          <w:rFonts w:ascii="Times New Roman" w:hAnsi="Times New Roman" w:cs="Times New Roman"/>
          <w:color w:val="000000" w:themeColor="text1"/>
          <w:kern w:val="2"/>
          <w:sz w:val="16"/>
          <w:szCs w:val="16"/>
        </w:rPr>
        <w:softHyphen/>
        <w:t>па и присоединившаяся к ней пара миноносцев, обеспечивав</w:t>
      </w:r>
      <w:r w:rsidRPr="002F2FDF">
        <w:rPr>
          <w:rFonts w:ascii="Times New Roman" w:hAnsi="Times New Roman" w:cs="Times New Roman"/>
          <w:color w:val="000000" w:themeColor="text1"/>
          <w:kern w:val="2"/>
          <w:sz w:val="16"/>
          <w:szCs w:val="16"/>
        </w:rPr>
        <w:softHyphen/>
        <w:t>шая безопасность полетов на Констанцу, подверглась налету 3 германских аэропланов, встреченных заградительным пушечным и пуле</w:t>
      </w:r>
      <w:r w:rsidRPr="002F2FDF">
        <w:rPr>
          <w:rFonts w:ascii="Times New Roman" w:hAnsi="Times New Roman" w:cs="Times New Roman"/>
          <w:color w:val="000000" w:themeColor="text1"/>
          <w:kern w:val="2"/>
          <w:sz w:val="16"/>
          <w:szCs w:val="16"/>
        </w:rPr>
        <w:softHyphen/>
        <w:t>метным огнем. Ни одна из 50 сброшенных бомб в цели не попала (11283).</w:t>
      </w:r>
    </w:p>
    <w:p w14:paraId="350A75C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5644D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19BC0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AA0298" w14:textId="6AFDCB8E" w:rsidR="00481E1E" w:rsidRPr="00FB4F67" w:rsidRDefault="00481E1E"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27 февраля (</w:t>
      </w:r>
      <w:r w:rsidRPr="00FB4F67">
        <w:rPr>
          <w:rFonts w:ascii="Times New Roman" w:hAnsi="Times New Roman" w:cs="Times New Roman"/>
          <w:color w:val="0070C0"/>
          <w:sz w:val="16"/>
          <w:szCs w:val="16"/>
        </w:rPr>
        <w:t>12 марта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Петрограде из-за хронической нехватки продовольствия и предметов первой необходимости произошли массовые демонстрации и начало революции. Депутаты Государственной думы отчаянно пытались организовать Временное правительство. 13-го депутаты Думы образовали исполнительное бюро, известное как «Временный комитет депутатов Думы по наведению порядка в столице и установлению сношений с лицами и учреждениями», которое 15-го было переименовано во Временное правительство (23525).</w:t>
      </w:r>
    </w:p>
    <w:p w14:paraId="1A326AA5" w14:textId="77777777" w:rsidR="00481E1E" w:rsidRPr="00FB4F67" w:rsidRDefault="00481E1E" w:rsidP="0083075A">
      <w:pPr>
        <w:spacing w:after="0" w:line="240" w:lineRule="auto"/>
        <w:jc w:val="both"/>
        <w:rPr>
          <w:rFonts w:ascii="Times New Roman" w:hAnsi="Times New Roman" w:cs="Times New Roman"/>
          <w:color w:val="0070C0"/>
          <w:sz w:val="16"/>
          <w:szCs w:val="16"/>
        </w:rPr>
      </w:pPr>
    </w:p>
    <w:p w14:paraId="6F2B307D" w14:textId="77777777" w:rsidR="000B16CD" w:rsidRPr="002F2FDF" w:rsidRDefault="000B16CD" w:rsidP="0083075A">
      <w:pPr>
        <w:pStyle w:val="ae"/>
        <w:spacing w:before="0" w:after="0"/>
        <w:jc w:val="both"/>
        <w:rPr>
          <w:color w:val="000000" w:themeColor="text1"/>
          <w:kern w:val="2"/>
          <w:sz w:val="16"/>
          <w:szCs w:val="16"/>
        </w:rPr>
      </w:pPr>
      <w:r w:rsidRPr="002F2FDF">
        <w:rPr>
          <w:color w:val="000000" w:themeColor="text1"/>
          <w:kern w:val="2"/>
          <w:sz w:val="16"/>
          <w:szCs w:val="16"/>
        </w:rPr>
        <w:t>27 февраля (12 марта) 1917 в Петрограде решающим моментом революции стал переход на сторону демонстрантов Петроградского гарнизона, после чего митинги переросли в вооруженное восстание. Историк Ричард Пайпс так комментирует этот момент: «Понять случившееся [в феврале-марте 1917 года] невозможно, не приняв во внимание состав и условия содержания Петроградского гарнизона. Гарнизон состоял, собственно, из новобранцев и отставников, зачисленных в пополнение ушедших на фронт запасных батальонов гвардейских полков, квартировавшихся в мирное время в Петрограде. Перед отправкой на фронт им предстояло в течение нескольких недель проходить общую военную подготовку. Численность сформированных с этой целью учебных частей превосходила всякую допустимую норму: в некоторых резервных ротах было более 1000 солдат, а встречались батальоны по 12-15 тысяч человек; в общей сложности 160 тысяч солдат были втиснуты в казармы, рассчитанные на 20 тысяч».</w:t>
      </w:r>
    </w:p>
    <w:p w14:paraId="66F0120F" w14:textId="77777777" w:rsidR="000B16CD" w:rsidRPr="002F2FDF" w:rsidRDefault="000B16CD" w:rsidP="0083075A">
      <w:pPr>
        <w:pStyle w:val="ae"/>
        <w:spacing w:before="0" w:after="0"/>
        <w:jc w:val="both"/>
        <w:rPr>
          <w:color w:val="000000" w:themeColor="text1"/>
          <w:kern w:val="2"/>
          <w:sz w:val="16"/>
          <w:szCs w:val="16"/>
        </w:rPr>
      </w:pPr>
      <w:r w:rsidRPr="002F2FDF">
        <w:rPr>
          <w:color w:val="000000" w:themeColor="text1"/>
          <w:kern w:val="2"/>
          <w:sz w:val="16"/>
          <w:szCs w:val="16"/>
        </w:rPr>
        <w:t>Первым мятеж подняла учебная команда запасного батальона Волынского полка под командованием старшего фельдфебеля Т. И. Кирпичникова. Вскоре восстание перекинулось на запасные батальоны Литовского и Преображенского полков вместе с 6-м сапёрным батальоном. Во второй половине дня к восстанию присоединились Семёновский и Измайловский полки. К вечеру бунтовало уже около 67 тысяч солдат Петроградского гарнизона. Офицеры этих батальонов либо разбежались, либо были убиты. По пути в центр города солдаты избивали и расстреливали полицейских. В 13.00 был захвачен Арсенал и боевое оружие стало бесконтрольно раздаваться демонстрантам. В 14.00 было подожжено здание Окружного суда. Около 15.00 были захвачены городские тюрьмы «Кресты», Литовский замок и «Шпалерка», все арестованные и заключенные, включая уголовников, освобождены.</w:t>
      </w:r>
    </w:p>
    <w:p w14:paraId="22F1C3F6" w14:textId="1A0422BD" w:rsidR="000B16CD"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r w:rsidR="000B16CD" w:rsidRPr="002F2FDF">
        <w:rPr>
          <w:color w:val="000000" w:themeColor="text1"/>
          <w:kern w:val="2"/>
          <w:sz w:val="16"/>
          <w:szCs w:val="16"/>
        </w:rPr>
        <w:t>В 14.00 солдаты заняли здание Государственной Думы — Таврический дворец. Депутаты оказались в сложном положении — с одной стороны, они уже были распущены царем, с другой, их окружала революционная толпа, которая видела в них альтернативный царизму центр власти. В результате депутаты продолжили заседание в виде «частных совещаний», по результатам которых был создан Временный комитет Государственной думы («Комитет Государственной думы для водворения порядка в Петербурге и для сношения с учреждениями и лицами»). В состав Комитета вошли октябрист М. В. Родзянко, назначенный председателем, члены «Прогрессивного блока» В. В. Шульгин, П. Н. Милюков и некоторые другие, а также меньшевик Н. С. Чхеидзе и «трудовик» А. Ф. Керенский. В этот же день бюро Центрального Комитета РСДРП опубликовало манифест «Ко всем гражданам России». В нем выдвигались требования установления демократической республики, введения 8-часового рабочего дня, конфискации помещичьих земель и прекращения империалистической войны. Лидеры фракции меньшевиков в Государственной Думе, представители солдат и рабочих, «социалисты», журналисты объявили в Таврическом дворце о создании Временного исполнительного комитета Петросовета, в который из членов временного комитета вошел только Н. С. Чхеидзе.</w:t>
      </w:r>
    </w:p>
    <w:p w14:paraId="2FF7672B" w14:textId="77777777" w:rsidR="000B16CD" w:rsidRPr="002F2FDF" w:rsidRDefault="000B16CD" w:rsidP="0083075A">
      <w:pPr>
        <w:pStyle w:val="ae"/>
        <w:spacing w:before="0" w:after="0"/>
        <w:jc w:val="both"/>
        <w:rPr>
          <w:color w:val="000000" w:themeColor="text1"/>
          <w:kern w:val="2"/>
          <w:sz w:val="16"/>
          <w:szCs w:val="16"/>
        </w:rPr>
      </w:pPr>
      <w:r w:rsidRPr="002F2FDF">
        <w:rPr>
          <w:color w:val="000000" w:themeColor="text1"/>
          <w:kern w:val="2"/>
          <w:sz w:val="16"/>
          <w:szCs w:val="16"/>
        </w:rPr>
        <w:t>В 16.00 состоялось последнее заседание царского правительства в Мариинском дворце, на котором было принято решение отправить царю телеграмму с предложением о самороспуске Совета министров и создании «ответственного министерства». В 19.00 о положении в Петрограде снова доложили Николаю II, который заявил, что все перемены в составе правительства он откладывает до возвращения в Царское Село. Также он назначил генерала Н.И. Иванова новым командующим Петроградского военного округа, который возглавил «карательную экспедицию» в составе 4 пехотных и 4 кавалерийских полков.</w:t>
      </w:r>
    </w:p>
    <w:p w14:paraId="413DBC4E" w14:textId="77777777" w:rsidR="000B16CD" w:rsidRPr="002F2FDF" w:rsidRDefault="000B16CD"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В Петрограде председатель Госдумы Родзянко начал убеждать великого князя Михаила Александровича, младшего брата Николая II, принять на себя диктаторские полномочия в пределах Петрограда, отправить правительство в отставку и просить царя о даровании ответственного министерства. В 20.00 эту идею поддержал и премьер-министр царского правительства князь Голицын. Сначала Михаил Александрович отказывался, но в итоге ночью отправил царю телеграмму, в которой говорилось: «Для немедленного успокоения принявшего крупные размеры движения — необходимо уволить весь совет министров и поручить образование нового министерства князю Львову как лицу, пользующемуся уважением в широких кругах». На фоне беспорядков и властного паралича вечером 12 марта было разгромлено </w:t>
      </w:r>
      <w:r w:rsidRPr="002F2FDF">
        <w:rPr>
          <w:color w:val="000000" w:themeColor="text1"/>
          <w:kern w:val="2"/>
          <w:sz w:val="16"/>
          <w:szCs w:val="16"/>
        </w:rPr>
        <w:lastRenderedPageBreak/>
        <w:t>Петроградское охранное отделение и как «немецкий» сожжен дом министра императорского двора Фредерикса (17045).</w:t>
      </w:r>
    </w:p>
    <w:p w14:paraId="786DD473" w14:textId="77777777" w:rsidR="000B16CD" w:rsidRPr="002F2FDF" w:rsidRDefault="000B16CD"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7C30FF" w14:textId="77777777" w:rsidR="00D23E57" w:rsidRPr="002F2FDF" w:rsidRDefault="00D23E57"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февраля (12 марта) 1917 в Петрограде создан Временный комитет Думы из центристов и умеренных левых. Одновременно Петроградский Совет под руководством Н.С. Чхеидзе и А.Ф. Керенского начал работать в Таврическом дворце. Хабалов отправляет телеграмму в ставку генералу Алексееву (17025).</w:t>
      </w:r>
    </w:p>
    <w:p w14:paraId="3F706BCC" w14:textId="77777777" w:rsidR="00D23E57" w:rsidRPr="002F2FDF" w:rsidRDefault="00D23E57"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E43DA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февраля (12 марта) 1917 свершилась Февральская революция в России, создан Временный Комитет Думы и Петросовет (4962).</w:t>
      </w:r>
    </w:p>
    <w:p w14:paraId="0D1F54D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0696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февраля (12 марта) 1917 началось восстание в Петрограде. Братание рабочих и солдат. Взятие арсенала и Зимнего дворца. Арест царских министров. Образование Петросовета. Образование Временного исполнительного комитета Госдумы. Начало складывания двоевластия (1348,83): Временный комитет Думы их центристов и умеренных левых депутатов и Петросовет под председательством эсера А.Керенского в Таврическом дворце (3908,253).</w:t>
      </w:r>
    </w:p>
    <w:p w14:paraId="45B616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8FD84B" w14:textId="72948360"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27 февраля </w:t>
      </w:r>
      <w:r>
        <w:rPr>
          <w:rFonts w:ascii="Times New Roman" w:hAnsi="Times New Roman" w:cs="Times New Roman"/>
          <w:color w:val="0070C0"/>
          <w:sz w:val="16"/>
          <w:szCs w:val="16"/>
        </w:rPr>
        <w:t xml:space="preserve">(12 марта) </w:t>
      </w:r>
      <w:r w:rsidRPr="00FB4F67">
        <w:rPr>
          <w:rFonts w:ascii="Times New Roman" w:hAnsi="Times New Roman" w:cs="Times New Roman"/>
          <w:color w:val="0070C0"/>
          <w:sz w:val="16"/>
          <w:szCs w:val="16"/>
        </w:rPr>
        <w:t>1917 г. в Петрограде в связи с повторным созывом Государственной думы на правительство были нанесены ожесточенные нападки. Около 200 000 рабочих вышли на улицы. В городе было много волнений (23525).</w:t>
      </w:r>
    </w:p>
    <w:p w14:paraId="6D697023" w14:textId="77777777" w:rsidR="008774AD" w:rsidRPr="00FB4F67" w:rsidRDefault="008774AD" w:rsidP="0083075A">
      <w:pPr>
        <w:spacing w:after="0" w:line="240" w:lineRule="auto"/>
        <w:jc w:val="both"/>
        <w:rPr>
          <w:rFonts w:ascii="Times New Roman" w:hAnsi="Times New Roman" w:cs="Times New Roman"/>
          <w:color w:val="0070C0"/>
          <w:sz w:val="16"/>
          <w:szCs w:val="16"/>
        </w:rPr>
      </w:pPr>
    </w:p>
    <w:p w14:paraId="75885BC5" w14:textId="77777777" w:rsidR="009E49F6" w:rsidRPr="002F2FDF" w:rsidRDefault="009E49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февраля (12 марта) 1917 восстали солдаты питерского гарнизона и присоединились к забастовщикам. Создан Временный Комитет Государственной Думы под председательством октябриста Родзянко. Но восставшие (170 тыс.чел.) больше поддерживали Петроградский совет, который тем же вечером провел заседание. Преобладали в Совете эсеры и меньшевики (12629).</w:t>
      </w:r>
    </w:p>
    <w:p w14:paraId="0B358988" w14:textId="77777777" w:rsidR="009E49F6" w:rsidRPr="002F2FDF" w:rsidRDefault="009E49F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E9EEB7"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27 февраля (12 марта)</w:t>
      </w:r>
      <w:r w:rsidRPr="002F2FDF">
        <w:rPr>
          <w:rFonts w:ascii="Times New Roman" w:hAnsi="Times New Roman" w:cs="Times New Roman"/>
          <w:color w:val="000000" w:themeColor="text1"/>
          <w:kern w:val="2"/>
          <w:sz w:val="16"/>
          <w:szCs w:val="16"/>
        </w:rPr>
        <w:t xml:space="preserve"> в 1917 году Февральская революция в России. Всеобщая забастовка в Петрограде переросла в вооруженное восстание. На Литейном проспекте подожжено здание Окружного суда (теперь здесь расположен "Большой дом"). Штурмом взяты тюрьмы, подожжен Литовский замок. Восставшими занят Таврический дворец.</w:t>
      </w:r>
    </w:p>
    <w:p w14:paraId="6C77A0D2"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Свержение самодержавия. Образован Петроградский Совет рабочих и солдатских депутатов (15066).</w:t>
      </w:r>
    </w:p>
    <w:p w14:paraId="446176EC"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p>
    <w:p w14:paraId="6A1C25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февраля (12 марта) 1917 в дневнике царя впервые появилась запись о беспорядках в Петрограде (70,49).</w:t>
      </w:r>
    </w:p>
    <w:p w14:paraId="54D5DE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CBB51D" w14:textId="77777777" w:rsidR="006323CD" w:rsidRPr="002F2FDF" w:rsidRDefault="006323C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27 февраля</w:t>
      </w:r>
      <w:r w:rsidRPr="002F2FDF">
        <w:rPr>
          <w:rFonts w:ascii="Times New Roman" w:hAnsi="Times New Roman" w:cs="Times New Roman"/>
          <w:color w:val="000000" w:themeColor="text1"/>
          <w:kern w:val="2"/>
          <w:sz w:val="16"/>
          <w:szCs w:val="16"/>
        </w:rPr>
        <w:t xml:space="preserve"> (12 марта) в 1917 году захват Арсенала и Зимнего дворца. Свержение самодержавия (15053).</w:t>
      </w:r>
    </w:p>
    <w:p w14:paraId="40EFEA75" w14:textId="77777777" w:rsidR="006323CD" w:rsidRPr="002F2FDF" w:rsidRDefault="006323CD" w:rsidP="0083075A">
      <w:pPr>
        <w:spacing w:after="0" w:line="240" w:lineRule="auto"/>
        <w:jc w:val="both"/>
        <w:rPr>
          <w:rFonts w:ascii="Times New Roman" w:hAnsi="Times New Roman" w:cs="Times New Roman"/>
          <w:color w:val="000000" w:themeColor="text1"/>
          <w:kern w:val="2"/>
          <w:sz w:val="16"/>
          <w:szCs w:val="16"/>
        </w:rPr>
      </w:pPr>
    </w:p>
    <w:p w14:paraId="4F026AF0" w14:textId="77777777" w:rsidR="006323CD" w:rsidRPr="002F2FDF" w:rsidRDefault="006323C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27 февраля</w:t>
      </w:r>
      <w:r w:rsidRPr="002F2FDF">
        <w:rPr>
          <w:rFonts w:ascii="Times New Roman" w:hAnsi="Times New Roman" w:cs="Times New Roman"/>
          <w:color w:val="000000" w:themeColor="text1"/>
          <w:kern w:val="2"/>
          <w:sz w:val="16"/>
          <w:szCs w:val="16"/>
        </w:rPr>
        <w:t xml:space="preserve"> (12 марта) в 1917 году начало деятельности "Временного комитета Государственной Думы...» (15053).</w:t>
      </w:r>
    </w:p>
    <w:p w14:paraId="2ACD4A43" w14:textId="77777777" w:rsidR="006323CD" w:rsidRPr="002F2FDF" w:rsidRDefault="006323CD" w:rsidP="0083075A">
      <w:pPr>
        <w:spacing w:after="0" w:line="240" w:lineRule="auto"/>
        <w:jc w:val="both"/>
        <w:rPr>
          <w:rFonts w:ascii="Times New Roman" w:hAnsi="Times New Roman" w:cs="Times New Roman"/>
          <w:color w:val="000000" w:themeColor="text1"/>
          <w:kern w:val="2"/>
          <w:sz w:val="16"/>
          <w:szCs w:val="16"/>
        </w:rPr>
      </w:pPr>
    </w:p>
    <w:p w14:paraId="20A6B459" w14:textId="77777777" w:rsidR="006323CD" w:rsidRPr="002F2FDF" w:rsidRDefault="006323C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27 февраля</w:t>
      </w:r>
      <w:r w:rsidRPr="002F2FDF">
        <w:rPr>
          <w:rFonts w:ascii="Times New Roman" w:hAnsi="Times New Roman" w:cs="Times New Roman"/>
          <w:color w:val="000000" w:themeColor="text1"/>
          <w:kern w:val="2"/>
          <w:sz w:val="16"/>
          <w:szCs w:val="16"/>
        </w:rPr>
        <w:t xml:space="preserve"> (12 марта) в 1917 году образование Исполкома Совета рабочих и солдатских депутатов Петрограда (15053).</w:t>
      </w:r>
    </w:p>
    <w:p w14:paraId="3661832A" w14:textId="77777777" w:rsidR="006323CD" w:rsidRPr="002F2FDF" w:rsidRDefault="006323CD" w:rsidP="0083075A">
      <w:pPr>
        <w:spacing w:after="0" w:line="240" w:lineRule="auto"/>
        <w:jc w:val="both"/>
        <w:rPr>
          <w:rFonts w:ascii="Times New Roman" w:hAnsi="Times New Roman" w:cs="Times New Roman"/>
          <w:color w:val="000000" w:themeColor="text1"/>
          <w:kern w:val="2"/>
          <w:sz w:val="16"/>
          <w:szCs w:val="16"/>
        </w:rPr>
      </w:pPr>
    </w:p>
    <w:p w14:paraId="55F1AB03" w14:textId="1B13E18A" w:rsidR="003431D2" w:rsidRPr="002F2FDF" w:rsidRDefault="007A769B" w:rsidP="0083075A">
      <w:pPr>
        <w:autoSpaceDE w:val="0"/>
        <w:autoSpaceDN w:val="0"/>
        <w:adjustRightInd w:val="0"/>
        <w:spacing w:after="0" w:line="240" w:lineRule="auto"/>
        <w:jc w:val="both"/>
        <w:rPr>
          <w:rFonts w:ascii="Times New Roman" w:hAnsi="Times New Roman" w:cs="Times New Roman"/>
          <w:i/>
          <w:color w:val="000000" w:themeColor="text1"/>
          <w:kern w:val="2"/>
          <w:sz w:val="16"/>
          <w:szCs w:val="16"/>
        </w:rPr>
      </w:pPr>
      <w:r w:rsidRPr="002F2FDF">
        <w:rPr>
          <w:rFonts w:ascii="Times New Roman" w:hAnsi="Times New Roman" w:cs="Times New Roman"/>
          <w:i/>
          <w:color w:val="000000" w:themeColor="text1"/>
          <w:kern w:val="2"/>
          <w:sz w:val="16"/>
          <w:szCs w:val="16"/>
        </w:rPr>
        <w:t>Д</w:t>
      </w:r>
      <w:r w:rsidR="003431D2" w:rsidRPr="002F2FDF">
        <w:rPr>
          <w:rFonts w:ascii="Times New Roman" w:hAnsi="Times New Roman" w:cs="Times New Roman"/>
          <w:i/>
          <w:color w:val="000000" w:themeColor="text1"/>
          <w:kern w:val="2"/>
          <w:sz w:val="16"/>
          <w:szCs w:val="16"/>
        </w:rPr>
        <w:t>ругие оборонные отрасли:</w:t>
      </w:r>
    </w:p>
    <w:p w14:paraId="333A7A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
          <w:color w:val="000000" w:themeColor="text1"/>
          <w:kern w:val="2"/>
          <w:sz w:val="16"/>
          <w:szCs w:val="16"/>
        </w:rPr>
      </w:pPr>
    </w:p>
    <w:p w14:paraId="657062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28 февраля </w:t>
      </w:r>
      <w:r w:rsidR="006E0883" w:rsidRPr="002F2FDF">
        <w:rPr>
          <w:rFonts w:ascii="Times New Roman" w:hAnsi="Times New Roman" w:cs="Times New Roman"/>
          <w:color w:val="000000" w:themeColor="text1"/>
          <w:kern w:val="2"/>
          <w:sz w:val="16"/>
          <w:szCs w:val="16"/>
        </w:rPr>
        <w:t xml:space="preserve">(13 марта) </w:t>
      </w:r>
      <w:r w:rsidRPr="002F2FDF">
        <w:rPr>
          <w:rFonts w:ascii="Times New Roman" w:hAnsi="Times New Roman" w:cs="Times New Roman"/>
          <w:color w:val="000000" w:themeColor="text1"/>
          <w:kern w:val="2"/>
          <w:sz w:val="16"/>
          <w:szCs w:val="16"/>
        </w:rPr>
        <w:t>1917 г. на Богородском снаряжательном заводе было выпущена первая партия боеприпасов, эта дата считается днем рождения завода. Проектная мощность - 600 тыс. трехдюймовых гранат и 112 тыс. снарядов средних калибров в месяц. В 1917 г. назывался «снаряжательный завод Егорова».</w:t>
      </w:r>
    </w:p>
    <w:p w14:paraId="237D01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24.08.1918 г. завод (Богородский завод № 12 ВСНХ, Снаряжательный завод Егорова, Богородский снаряжательный завод ВСНХ, ГС завод № 12 НКОП, НКБ, ПГУ, МСМ, и/я 3, Электростальский машиностроительный завод, АООТ, ОАО «Машиностроительный завод» (МСЗ, «Элемаш») Росатома /ст. Электросталь Нижегородской ж/д (1927 г.); г. Электросталь Московской обл. п/я 3 (1943 г.)/ /144007 г. Электросталь Московской обл. ул. Победы, 16/ - /144001 г. Электросталь Московской обл. ул. Карла Маркса, 12 тел. 702-99-01/) был национализирован и переименован в Богородский снаряжательный завод в ведении Чрезкомвзрыва и ЦПАЗ. В 1924 г. - в ведении ГУВП ВСНХ. В соответствии с пост. СНК от 27.04.1926 г. по пр. ВСНХ/НКВМ/ОГПУ № 73сс от 9.07.1927 г. Богородский снаряжательный завод с 1.10.1927 г. переименован в Богородский завод № 12 в ведении Вохимтреста УВП ВСНХ.</w:t>
      </w:r>
      <w:r w:rsidRPr="002F2FDF">
        <w:rPr>
          <w:rFonts w:ascii="Times New Roman" w:hAnsi="Times New Roman" w:cs="Times New Roman"/>
          <w:color w:val="000000" w:themeColor="text1"/>
          <w:kern w:val="2"/>
          <w:sz w:val="16"/>
          <w:szCs w:val="16"/>
          <w:vertAlign w:val="superscript"/>
        </w:rPr>
        <w:t>133</w:t>
      </w:r>
      <w:r w:rsidRPr="002F2FDF">
        <w:rPr>
          <w:rFonts w:ascii="Times New Roman" w:hAnsi="Times New Roman" w:cs="Times New Roman"/>
          <w:color w:val="000000" w:themeColor="text1"/>
          <w:kern w:val="2"/>
          <w:sz w:val="16"/>
          <w:szCs w:val="16"/>
        </w:rPr>
        <w:t xml:space="preserve"> В 12.1936 г. завод передан в ведение НКОП. Приказом НКОП № 91 от 13.03.1937 г. утвержден Устав ГС завода № 12 4ГУ. В 02.1939 г. завод № 12 4ГУ НКОП передан в ведение 4ГУ НКБ.</w:t>
      </w:r>
    </w:p>
    <w:p w14:paraId="0DBD1D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Руководство заводом вначале осуществлялось коллективным правлением, и лишь с 1920 г. - директором. К 1921 г. завод почти не работал, затем начался подъем производства. В 1923-25 г. было построено и пущено новое «противогазное» производство, строился завод для активации угля, состоявший из корпуса печей, здания «Бункер», здания «Тушильня» и двух котельных. В то время этот завод был единственным в СССР по производству активированного угля и противогазов. Его мощность- 12 тыс. противогазов и 60 т угля в месяц. В 1925-26 г. на заводе велось снаряжение химических 76-мм снарядов ипритом. В 1926 г. завод состоял из 16 основных производственных корпусов, всего имелось 72 производственных здания. В 1931-33 г. Н.Т. Зверевым изобретен и внедрен метод шнекового снаряжения. По пр. № 0044 от 8/9.03.1937 г. завод переведен на снаряжение боеприпасов методом шнекования. Приказом НКОП № 0025 от 4.02.1937 г. заводу предписано к 1.01.1938 г. создать мощности: по снаряжению снарядов - 38,8 млн. шт. в год, авиабомб - 78 тыс. шт.; по производству химпоглотителя - 2200 т, противогазов - 28,8 млн. шт. Во исполнение постановления СНК № 334 от 26.02.1937 г. приказом № 060 от 23.03.1937 г. заводу предписано создать к 1.01.1938 г. производство динафталита мощностью 3000 т в год. Мощность производства по снаряжению авиабомб перед эвакуацией- 792 тыс. шт. в год.</w:t>
      </w:r>
    </w:p>
    <w:p w14:paraId="2B33DD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 НКОП № 0089 от 20.04.1937 г. из состава завода выделены в самостоятельное предприятие цеха химической защиты: снаряжательные цеха по индивидуальным средствам защиты, коллективных средств защиты, изготовления химпоглотителя, изготовления активированного угля и изготовления гопкалита. Приказом № 0130 от 11.06.1937 г. ему присвоено наименование ГС завод № 395 6ГУ НКОП. Также, вероятно, на базе подразделений завода ранее был создан НИПИ.</w:t>
      </w:r>
    </w:p>
    <w:p w14:paraId="7FC493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10.1941 г. часть завода № 12 1ГУ (снаряжение ФАБ, 7 шнековых аппаратов, и 3-е производство, 9 прессов Сан-Галя; 700 чел.) была эвакуирована на завод № 635,</w:t>
      </w:r>
      <w:r w:rsidRPr="002F2FDF">
        <w:rPr>
          <w:rFonts w:ascii="Times New Roman" w:hAnsi="Times New Roman" w:cs="Times New Roman"/>
          <w:color w:val="000000" w:themeColor="text1"/>
          <w:kern w:val="2"/>
          <w:sz w:val="16"/>
          <w:szCs w:val="16"/>
          <w:vertAlign w:val="superscript"/>
        </w:rPr>
        <w:t>132</w:t>
      </w:r>
      <w:r w:rsidRPr="002F2FDF">
        <w:rPr>
          <w:rFonts w:ascii="Times New Roman" w:hAnsi="Times New Roman" w:cs="Times New Roman"/>
          <w:color w:val="000000" w:themeColor="text1"/>
          <w:kern w:val="2"/>
          <w:sz w:val="16"/>
          <w:szCs w:val="16"/>
        </w:rPr>
        <w:t xml:space="preserve"> часть осталась на месте. В соответствии с пост. ГКО № 1645 от 25.04.1942 г. эвакуированное оборудование по снаряжению боеприпасов было возвращено обратно. В годы ВОВ выпускал противотанковые гранаты, фугасные авиабомбы калибра до 5 т, </w:t>
      </w:r>
      <w:r w:rsidRPr="002F2FDF">
        <w:rPr>
          <w:rFonts w:ascii="Times New Roman" w:hAnsi="Times New Roman" w:cs="Times New Roman"/>
          <w:color w:val="000000" w:themeColor="text1"/>
          <w:kern w:val="2"/>
          <w:sz w:val="16"/>
          <w:szCs w:val="16"/>
          <w:lang w:val="en-US"/>
        </w:rPr>
        <w:t>PC</w:t>
      </w:r>
      <w:r w:rsidRPr="002F2FDF">
        <w:rPr>
          <w:rFonts w:ascii="Times New Roman" w:hAnsi="Times New Roman" w:cs="Times New Roman"/>
          <w:color w:val="000000" w:themeColor="text1"/>
          <w:kern w:val="2"/>
          <w:sz w:val="16"/>
          <w:szCs w:val="16"/>
        </w:rPr>
        <w:t xml:space="preserve"> для «Катюш» (2 млн. шт.), </w:t>
      </w:r>
      <w:r w:rsidRPr="002F2FDF">
        <w:rPr>
          <w:rFonts w:ascii="Times New Roman" w:hAnsi="Times New Roman" w:cs="Times New Roman"/>
          <w:color w:val="000000" w:themeColor="text1"/>
          <w:kern w:val="2"/>
          <w:sz w:val="16"/>
          <w:szCs w:val="16"/>
          <w:lang w:val="en-US"/>
        </w:rPr>
        <w:t>PC</w:t>
      </w:r>
      <w:r w:rsidRPr="002F2FDF">
        <w:rPr>
          <w:rFonts w:ascii="Times New Roman" w:hAnsi="Times New Roman" w:cs="Times New Roman"/>
          <w:color w:val="000000" w:themeColor="text1"/>
          <w:kern w:val="2"/>
          <w:sz w:val="16"/>
          <w:szCs w:val="16"/>
        </w:rPr>
        <w:t>-132, РОФС-132. За годы войны выпущено 240 млн. шт. боеприпасов.</w:t>
      </w:r>
    </w:p>
    <w:p w14:paraId="335A4F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составе завода цехи (1943 г.): производственные: № 1, 2, 3,4, 5, 9, 13, опытный; вспомогательные: № 6, 7, 8, 10, И, 12, лакокрасочный.</w:t>
      </w:r>
    </w:p>
    <w:p w14:paraId="2ABB7E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12.1942 г. - в ведении 1ГУ НКБ. 12.05.1944 г. вышло постановление ГКО № 5871 о срочных мерах по ликвидации последствий аварии на заводе.</w:t>
      </w:r>
    </w:p>
    <w:p w14:paraId="75E6E8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Решением Спецкомитета ГКО от 24.08.1945 г. завод № 12 НКБ стал первым предприятием, переданным в подчинение 111 У, и первым по переработке урановых руд и выпуску металлического урана. В 1945 г. завод имел более 400 промышленных зданий. Начальник строительства (1945 г.)- п Н.Н. Волгин. Производственный процесс включал переработку урановых концентратов, очистку урановых солей, восстановление металлического урана из солей, аффинаж, литье, механическую обработку и пластическую деформацию металлического урана, герметизацию урановых заготовок в алюминиевую оболочку. Первая руда, поступившая на переработку, была трофейной, из Германии, технология переработки была применена также немецкая. Оборудование было вывезено с немецкого электрохимического комбината «Норд». На заводе работала группа немецких специалистов во главе с доктором Н.В. Рилем. В соответствии с ПСМ от 13.10.1945 г. проведена реконструкция завода, в процессе которой создан «опытный завод» для отработки технологии, научно-исследовательская лаборатория и ЦЗЛ. «Опытный завод» включал три передела: № 1- получение чистых оксидов урана из солей; № 2- получение уранового порошка; № 3- получение урановых блоков. В 09-10.1945 г. реконструирован корпус № 172 и пущен передел № 3, получены первые урановые блоки. В 01.1946 г. пущен передел № 2, а в 02.1946 г.- передел № 1. в 02.1946 г. пущен опытный цех № 2 «бис» по получению чернового урана фторидным методом. В 02.1947 г. этот метод внедрен на «блыпом заводе». В конце 1946 г. введен в строй «большой завод» в составе корпусов № 10, 11, 127, 132. В конце 1946 г. организован экспериментальный цех по изготовлению специзделий методом пластической деформации с участками плавки, проката, прессования, волочения и механической обработки, а также отделения герметизации урановых заготовок. В середине 1947 г. выпущена первая партия урановых блочков для реактора комбината № 817 (цех- в корпусе № 105).</w:t>
      </w:r>
    </w:p>
    <w:p w14:paraId="3671E6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1946 г. пущена в эксплуатацию опытная установка по производству металлического кальция (И.С. Шатунов). В 06.1946 г. начато строительство опытного цеха № 3 «бис», в 10.1946 г. получен первый в СССР металлический кальций. В 1947 г. несколько десятков специалистов переведено на завод № 544 для освоения производства кальция. В 05.1948 г. введен в эксплуатацию серийный цех по производству металлического кальция.</w:t>
      </w:r>
    </w:p>
    <w:p w14:paraId="4AABE1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пост. СМ № 1129-404сс от 6.04.1948 г. и приказом 111 У № 150сс/оп от 13.04.1948 г. началось освоение производства никелевых диффузионных фильтров для разделения изотопов урана, для этого заводу передана часть оборудования для изготовления фильтров из НИИ-5 (г. Сухуми). В 1948 г. цех по производству фильтров вступил в строй. В 1949 и 1952 г. проведена реконструкция производства, позволившая резко увеличить выпуск фильтров. В 1954 г. группа специалистов завода переведена на комбинат № 813 для внедрения производства фильтров. В 1960 г. их выпуск прекращен.</w:t>
      </w:r>
    </w:p>
    <w:p w14:paraId="3EFE82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1949 г. пост, правительства заводу поручено производство бромидов радия (по технологии Радиевого института, включавшей более 2000 операций). В 06.1950 г. введен в сторй специальный цех, в конце года получена первая продукция- 5,2 г бромида радия. В 1956 г. завод полностью обеспечивал потребности страны в радии. В соответствии с ПСМ от 20.06.1956 г. производство радия с 1957 г. преращено, начато изготовление из него источников излучения для нужд народного хозяйства. В 1967 г. производство источников закрыто.</w:t>
      </w:r>
    </w:p>
    <w:p w14:paraId="44D671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xml:space="preserve">В соответствии с ПСМ от 24.10.1953 г. заводу поручено производство ядерного топлива: тепловыделяющих элементов (ТВЭЛ) </w:t>
      </w:r>
      <w:r w:rsidRPr="002F2FDF">
        <w:rPr>
          <w:rFonts w:ascii="Times New Roman" w:hAnsi="Times New Roman" w:cs="Times New Roman"/>
          <w:color w:val="000000" w:themeColor="text1"/>
          <w:kern w:val="2"/>
          <w:sz w:val="16"/>
          <w:szCs w:val="16"/>
          <w:lang w:val="en-US"/>
        </w:rPr>
        <w:t>AM</w:t>
      </w:r>
      <w:r w:rsidRPr="002F2FDF">
        <w:rPr>
          <w:rFonts w:ascii="Times New Roman" w:hAnsi="Times New Roman" w:cs="Times New Roman"/>
          <w:color w:val="000000" w:themeColor="text1"/>
          <w:kern w:val="2"/>
          <w:sz w:val="16"/>
          <w:szCs w:val="16"/>
        </w:rPr>
        <w:t xml:space="preserve"> для для Обнинской АЭС. В конце 1953 г. начата реконструкция корпуса № 50 для выпуска ТВЭЛов, организован цех № 39, размещавшийся в корпусах № 50 и № 100. Отработана технология получения сплава уран-молибден. Затем освоен выпуск ТВЭЛ и тепловыделяющих сборок (ТВС) для всех типов реакторов: для АЭС, энергетических установок ВМФ, экспериментальных реакторов. В 1982 г. на заводе впервые в мире пущена в эксплуатацию автоматизированная линия изготовления ТВЭЛ. Затем пущены линии ТВЭЛ для реакторов РБМК, ВВЭР, БН.</w:t>
      </w:r>
    </w:p>
    <w:p w14:paraId="71C500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ПСМ от 1.10.1954 г. заводу поручена организация производства по разделению изотопов лития и выпуску обогащенного хлористого лития по технологии ЛФТИ. В конце 1955 г. построен корпус № 145 для этого производства и организован цех № 14. В производственном процессе использовалось около 300 т ртути. В 1961 г., после организации аналогичного производства на заводе № 250, цех закрыт и уничтожен.</w:t>
      </w:r>
    </w:p>
    <w:p w14:paraId="2DB68E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1953 г. завод имел наименование «п/я 3».</w:t>
      </w:r>
    </w:p>
    <w:p w14:paraId="4F9279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Имелись цеха: № 1, 2,4 (1957 г.), № 14 (1956 г.), № 51, 54, 57, 71, 77 (1957 г.); корпус № 129 (2000-е).</w:t>
      </w:r>
    </w:p>
    <w:p w14:paraId="415CCF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распоряжению СМ СССР от 14.06.1960 г. на заводе создано производство (сначала опытное) постоянных магнитов и магнитных подвесов для центрифуг обогащения урана, организованное на месте цеха переработки урановых руд. В 1961 г. выпущены первые магниты. Основной цех № 51 введен в эксплуатацию в 1962 г., а опытный цех в 1966 г. закрыт. В 1990-е г. производство мангитов модернизировано, на смену феррит-бариевым пришли феррит-стронциевые магниты. В 2007 г. выпускалось около 50 типоразмеров магнитов.</w:t>
      </w:r>
    </w:p>
    <w:p w14:paraId="20A41B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1994 г. созано собственное производство особотонкостенных труб из коррозионностойких сталей и сплавов. Создана серия автоматизированных линий по производству ТВЭЛов (1985-87 г.). В 2003 г. введен в эксплуатацию новый комплекс по переработке гексафторида урана (установка «сухой конверсии»). В 2004 г. сдана в эксплуатацию автоматическая линия по производству ТВЭЛ для проекта "</w:t>
      </w:r>
      <w:r w:rsidRPr="002F2FDF">
        <w:rPr>
          <w:rFonts w:ascii="Times New Roman" w:hAnsi="Times New Roman" w:cs="Times New Roman"/>
          <w:color w:val="000000" w:themeColor="text1"/>
          <w:kern w:val="2"/>
          <w:sz w:val="16"/>
          <w:szCs w:val="16"/>
          <w:lang w:val="en-US"/>
        </w:rPr>
        <w:t>FramatomeANP</w:t>
      </w:r>
      <w:r w:rsidRPr="002F2FDF">
        <w:rPr>
          <w:rFonts w:ascii="Times New Roman" w:hAnsi="Times New Roman" w:cs="Times New Roman"/>
          <w:color w:val="000000" w:themeColor="text1"/>
          <w:kern w:val="2"/>
          <w:sz w:val="16"/>
          <w:szCs w:val="16"/>
        </w:rPr>
        <w:t>", в 2006 г.- линия ТВЭЛов для ВВЭР-440 и для плавучей АЭС, новая гальваническая линия.</w:t>
      </w:r>
    </w:p>
    <w:p w14:paraId="52AD36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(2005 г.): ТВЭЛы для различных реакторов; металлический кальций; магниты анизотропные феррито-бариевые и сверхсильные специальные; твердые сплавы; ядерно-безопасные контейнеры для транспортировки ТВЭЛов; ТЭНы, импортные электробытовые приборы.</w:t>
      </w:r>
    </w:p>
    <w:p w14:paraId="5A1D3C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1996 г. входил в состав ОАО ТВЭЛ. В 1998 г.- Электростальский Машиностроительный завод,</w:t>
      </w:r>
      <w:r w:rsidRPr="002F2FDF">
        <w:rPr>
          <w:rFonts w:ascii="Times New Roman" w:hAnsi="Times New Roman" w:cs="Times New Roman"/>
          <w:color w:val="000000" w:themeColor="text1"/>
          <w:kern w:val="2"/>
          <w:sz w:val="16"/>
          <w:szCs w:val="16"/>
          <w:vertAlign w:val="superscript"/>
        </w:rPr>
        <w:t>3</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vertAlign w:val="superscript"/>
        </w:rPr>
        <w:t>75</w:t>
      </w:r>
      <w:r w:rsidRPr="002F2FDF">
        <w:rPr>
          <w:rFonts w:ascii="Times New Roman" w:hAnsi="Times New Roman" w:cs="Times New Roman"/>
          <w:color w:val="000000" w:themeColor="text1"/>
          <w:kern w:val="2"/>
          <w:sz w:val="16"/>
          <w:szCs w:val="16"/>
        </w:rPr>
        <w:t xml:space="preserve"> в 2005 г.- ОАО «Машиностроительный завод». В 2006 г.- в ведении Росатома.</w:t>
      </w:r>
    </w:p>
    <w:p w14:paraId="2EAEAF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составе предприятия (2007 г.)- ЦНИЛ, ЦЛАМ, ЦЗЛС.</w:t>
      </w:r>
    </w:p>
    <w:p w14:paraId="7E8F30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производственная (04.1943 г.)- 65887 м</w:t>
      </w:r>
      <w:r w:rsidRPr="002F2FDF">
        <w:rPr>
          <w:rFonts w:ascii="Times New Roman" w:hAnsi="Times New Roman" w:cs="Times New Roman"/>
          <w:color w:val="000000" w:themeColor="text1"/>
          <w:kern w:val="2"/>
          <w:sz w:val="16"/>
          <w:szCs w:val="16"/>
          <w:vertAlign w:val="superscript"/>
        </w:rPr>
        <w:t>2</w:t>
      </w:r>
      <w:r w:rsidRPr="002F2FDF">
        <w:rPr>
          <w:rFonts w:ascii="Times New Roman" w:hAnsi="Times New Roman" w:cs="Times New Roman"/>
          <w:color w:val="000000" w:themeColor="text1"/>
          <w:kern w:val="2"/>
          <w:sz w:val="16"/>
          <w:szCs w:val="16"/>
        </w:rPr>
        <w:t>.</w:t>
      </w:r>
    </w:p>
    <w:p w14:paraId="5632E3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(01.1930 г.)- 2100 чел., (12.1942 г.)- 7389 чел., (01.1946 г.)- около 4500 чел., (конец 1980- х)- более 12 тыс. чел., (2007 г.)- около 10 тыс. чел.</w:t>
      </w:r>
    </w:p>
    <w:p w14:paraId="794D6B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Управляющий (1920-25 г.)- И.Т. Титов. Директор (1926-28 г.)- В.Е. Смекалов, (1928-31 г.)- А.Е. Титов, (1932- 35 г.)- К.А. Озол, (1935-29.04.37 г.)- С.И. Сырцов (репрессирован), (19.06-19.11.1937 г.)- И.А. Белов, (19- 23.11.1937 г.)- С.А. Мартынов, (23.11.1937-1.07.1938 г.)- Н.Е. Стрельцов; и.о. (1.07-08.1938 г.)- А.Е. Романов; (14.08.1938-39 г.)- А.Е. Романов, (1940 г.)- Н.П. Сорокин, (12.1940-10.1941 г.)- И.И. Иванов. Начальник (1941-46 г.)- г-м С.А. Невструев. Директор (1946-51; 1956 г.-)- А.Н. Каллистов, (1953 г.)- Ю.Н. Голованов, (1950-е-70-е)- С.И. Золотуха, (1980-е)- В.Ф. Коновалов, (1986-90 г.)- А.Г. Мешков. Гендиректор (1990-2001 г.)- В.А. Межуев, (2001- 05 г.)- В.П. Разин, (28.02.2005-07 г.-)- О.В. Крюков.</w:t>
      </w:r>
    </w:p>
    <w:p w14:paraId="2A3159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гендиректора по кадрам и социальным вопросам (1990-2007 г.-)- А.А. Сенюшкин. Помощник начальника, директора: по найму и увольнению рабочей силы (-12.1936 г.)- Г.А. Попов, (28.12.1936-15.12.1937 г.)- В.П. Смирнов (снят), (10.07.1938 г.-)- В.В. Брюханов; по быту- В. Ларюшин.</w:t>
      </w:r>
    </w:p>
    <w:p w14:paraId="424A3D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технический (1986-2002(1)г.)- А.К. Панюшкин, (2002(1 )-07 г.-)- И.В. Петров; коммерческий (1930- е)- Д.О. Лифшиц (репрессирован), (1930-е)- Вайсберг (репрессирован), (1930-е)- Эйдинов (репрессирован), (1930- е)- Ю.И. Ольшевский (репрессирован), (1930-е)- Хидарковский (репрессирован), (2001-07 г.-)- А.Р. Гасилов; по производству (2001-04 г.)- О.В. Крюков, (2005-07 г.-)- В.В. Галкин; по капстроительству и реконструкции (2001- 07 г.-)- О.Л. Седельников; по экономике и финансам (17.07.2006-07 г.-)- С.Л. Румненко.</w:t>
      </w:r>
    </w:p>
    <w:p w14:paraId="351CC6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инженер (1920-е)- Б.К. Шишковский, (1936 г.)- А.Ф. Шапошников (репрессирован), (-04-14.07.1937 г.)- А.А. Целиков (репрессирован), (1939 г.)- П.П. Сорокин, (04.1943 г.)- Мальский, (1945; 1948-49 г.-)- Ю.Н. Голованов, (1946-47 г.-)- Ф.М. Бреховских, (1953 г.)- С.И. Золотуха.</w:t>
      </w:r>
    </w:p>
    <w:p w14:paraId="2BFE89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металлург (1946 г.-)- Ю.Н. Голованов. Гл. технолог- С.И. Золотуха.</w:t>
      </w:r>
    </w:p>
    <w:p w14:paraId="5EDDA0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цехов: по производству кальция (1948-49 г.)- Л.Я. Правдивцев, (1949-53 г.)- В.А. Горский, (1953- 60 г.)- Ф.Ф. Квашин; никелевых фильтров (1948 г.-)- И.Я. Барташов; урановых блочков (-01.1954 г.)- Н.С. Смирнов; № 51 (1962 г.-)- В.М. Глухов; № 14 (1955 г.-)- И.Т. Образцов; № 39 (1953 г.-)- К.А. Колосов, (01.1954 г.-)- Н.С. Смирнов; (-1947 г.)- А.Р. Белов, (1930-е)- Вайтман (репрессирован), (1930-е)- Васильев (репрессирован), (2001- 05 г.)- В.В. Галкин, (1930-е)- Иванов (репрессирован), (1993-2001 г.)- О.В. Крюков, (1930-е)- Р. Курочкин (репрессирован), (1930-е)- Лейзеровский (репрессирован), (1930-е)- Мирошин (репрессирован), (1991-2002 г.)- И.В. Петров, (1930-е)- Э.М. Пирновский (репрессирован), (1930-е)- Резаев (репрессирован), (1988-2001 г.)- О.Л.Седельников, (1979-90 г.)- А.А. Сенюшкин, (1930-е)- Синицкий (репрессирован), (1930-е)- Снегирев (репрессирован), (1930-е)- Б.Н. Цицинов (репрессирован).</w:t>
      </w:r>
    </w:p>
    <w:p w14:paraId="77719E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Начальники отделов: маркетинга (2007 г.)- </w:t>
      </w:r>
      <w:r w:rsidRPr="002F2FDF">
        <w:rPr>
          <w:rFonts w:ascii="Times New Roman" w:hAnsi="Times New Roman" w:cs="Times New Roman"/>
          <w:color w:val="000000" w:themeColor="text1"/>
          <w:kern w:val="2"/>
          <w:sz w:val="16"/>
          <w:szCs w:val="16"/>
          <w:lang w:val="en-US"/>
        </w:rPr>
        <w:t>H</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JI</w:t>
      </w:r>
      <w:r w:rsidRPr="002F2FDF">
        <w:rPr>
          <w:rFonts w:ascii="Times New Roman" w:hAnsi="Times New Roman" w:cs="Times New Roman"/>
          <w:color w:val="000000" w:themeColor="text1"/>
          <w:kern w:val="2"/>
          <w:sz w:val="16"/>
          <w:szCs w:val="16"/>
        </w:rPr>
        <w:t>. Кессаринский; ОТК (1930-е)- Лопатин (репрессирован); ОКС (1930-е)- В. Ларюшин (репрессирован); транспортного (02.1937 г.)- Богданов (репрессирован); по подготовке кадров- МБ. Гельман; ОКС (1939 г.)- И.Е. Давыдов; бюджетного (2002-06 г.)- С.Л. Румненко; (1930-е)- Винтяков (репрессирован), (1990-91 г.)- А.Р. Гасилов, (1930-е)- Л.М. Гурвич (репрессирован), (1930-е)- Иванов (репрессирован), (1930-е)- Николин (репрессирован), (1930-е)- Ф.И. Ольшевский (репрессирован), (1930-е)- Петняк (репрессирован), (1930-е)- Рейзин (репрессирован), (1930-е)- Руденко (репрессирован), (1930-е)- Смолянский (репрессирован), (1930-е)- Хлиманов (репрессирован), (1930-е)- В. Шурба (репрессирован), (1930-е)- И.Шурба (репрессирован).</w:t>
      </w:r>
    </w:p>
    <w:p w14:paraId="5CE1ED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инженер ОКС (09.1938 г.)- Шляк.</w:t>
      </w:r>
    </w:p>
    <w:p w14:paraId="624F01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опытных мастерских (02.1937 г.)- Сидякин.</w:t>
      </w:r>
    </w:p>
    <w:p w14:paraId="0C0420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Производство:</w:t>
      </w:r>
      <w:r w:rsidRPr="002F2FDF">
        <w:rPr>
          <w:rFonts w:ascii="Times New Roman" w:hAnsi="Times New Roman" w:cs="Times New Roman"/>
          <w:color w:val="000000" w:themeColor="text1"/>
          <w:kern w:val="2"/>
          <w:sz w:val="16"/>
          <w:szCs w:val="16"/>
        </w:rPr>
        <w:t xml:space="preserve"> французские гранаты (1917), снаряды 48-мм, 64,2 мм (1918-), морские мины: заграждения, «Рыбка» (1918-); мины: минометные 82-мм, 120-мм; МЯДТП, ЯМ-21, ЯФУ, ТМ-41 (1943); </w:t>
      </w:r>
      <w:r w:rsidRPr="002F2FDF">
        <w:rPr>
          <w:rFonts w:ascii="Times New Roman" w:hAnsi="Times New Roman" w:cs="Times New Roman"/>
          <w:color w:val="000000" w:themeColor="text1"/>
          <w:kern w:val="2"/>
          <w:sz w:val="16"/>
          <w:szCs w:val="16"/>
          <w:lang w:val="en-US"/>
        </w:rPr>
        <w:t>PC</w:t>
      </w:r>
      <w:r w:rsidRPr="002F2FDF">
        <w:rPr>
          <w:rFonts w:ascii="Times New Roman" w:hAnsi="Times New Roman" w:cs="Times New Roman"/>
          <w:color w:val="000000" w:themeColor="text1"/>
          <w:kern w:val="2"/>
          <w:sz w:val="16"/>
          <w:szCs w:val="16"/>
        </w:rPr>
        <w:t>: М-8, М-13, М-20, М-31 (1943); снаряды 76-мм; авиабомбы: А08-Ю, АО-25, ФАБ-50, -100, -250, -500, ПЛАБ-100, ХАБ-100 (1943); ВВ: Шнейдерит, Амматол (1943);</w:t>
      </w:r>
    </w:p>
    <w:p w14:paraId="1551A7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ядерное топливо:</w:t>
      </w:r>
      <w:r w:rsidRPr="002F2FDF">
        <w:rPr>
          <w:rFonts w:ascii="Times New Roman" w:hAnsi="Times New Roman" w:cs="Times New Roman"/>
          <w:color w:val="000000" w:themeColor="text1"/>
          <w:kern w:val="2"/>
          <w:sz w:val="16"/>
          <w:szCs w:val="16"/>
          <w:lang w:val="en-US"/>
        </w:rPr>
        <w:t>AM</w:t>
      </w:r>
      <w:r w:rsidRPr="002F2FDF">
        <w:rPr>
          <w:rFonts w:ascii="Times New Roman" w:hAnsi="Times New Roman" w:cs="Times New Roman"/>
          <w:color w:val="000000" w:themeColor="text1"/>
          <w:kern w:val="2"/>
          <w:sz w:val="16"/>
          <w:szCs w:val="16"/>
        </w:rPr>
        <w:t xml:space="preserve"> для Обнинской, Белоярской АЭС, Билибинской АТЭЦ (1954-), металлокерамические ТВЭЛы для реактора АИ (1950-е), ТВС для РБМК-1000 (1973-), для РБМК-1500 (1982-), для ВВЭР-440 (1972-), для ЭГП-6 (1976-), для БН-600 (1980-), для </w:t>
      </w:r>
      <w:r w:rsidRPr="002F2FDF">
        <w:rPr>
          <w:rFonts w:ascii="Times New Roman" w:hAnsi="Times New Roman" w:cs="Times New Roman"/>
          <w:color w:val="000000" w:themeColor="text1"/>
          <w:kern w:val="2"/>
          <w:sz w:val="16"/>
          <w:szCs w:val="16"/>
          <w:lang w:val="en-US"/>
        </w:rPr>
        <w:t>CEFR</w:t>
      </w:r>
      <w:r w:rsidRPr="002F2FDF">
        <w:rPr>
          <w:rFonts w:ascii="Times New Roman" w:hAnsi="Times New Roman" w:cs="Times New Roman"/>
          <w:color w:val="000000" w:themeColor="text1"/>
          <w:kern w:val="2"/>
          <w:sz w:val="16"/>
          <w:szCs w:val="16"/>
        </w:rPr>
        <w:t xml:space="preserve"> (Китай, 2004), ТВСА для ВВЭР-1000 (1998-2007-), для БН-350, БОР-бО; металлический кальций; постоянные магниты: феррито-бариевые для центрифуг «128» (1964-), «177Б» (1974-); феррито-стронциевые (1990-е-), из сплава неодим-железо-бор (</w:t>
      </w:r>
      <w:r w:rsidRPr="002F2FDF">
        <w:rPr>
          <w:rFonts w:ascii="Times New Roman" w:hAnsi="Times New Roman" w:cs="Times New Roman"/>
          <w:color w:val="000000" w:themeColor="text1"/>
          <w:kern w:val="2"/>
          <w:sz w:val="16"/>
          <w:szCs w:val="16"/>
          <w:lang w:val="en-US"/>
        </w:rPr>
        <w:t>i</w:t>
      </w:r>
      <w:r w:rsidRPr="002F2FDF">
        <w:rPr>
          <w:rFonts w:ascii="Times New Roman" w:hAnsi="Times New Roman" w:cs="Times New Roman"/>
          <w:color w:val="000000" w:themeColor="text1"/>
          <w:kern w:val="2"/>
          <w:sz w:val="16"/>
          <w:szCs w:val="16"/>
        </w:rPr>
        <w:t>990-</w:t>
      </w:r>
      <w:r w:rsidRPr="002F2FDF">
        <w:rPr>
          <w:rFonts w:ascii="Times New Roman" w:hAnsi="Times New Roman" w:cs="Times New Roman"/>
          <w:color w:val="000000" w:themeColor="text1"/>
          <w:kern w:val="2"/>
          <w:sz w:val="16"/>
          <w:szCs w:val="16"/>
          <w:vertAlign w:val="subscript"/>
          <w:lang w:val="en-US"/>
        </w:rPr>
        <w:t>e</w:t>
      </w:r>
      <w:r w:rsidRPr="002F2FDF">
        <w:rPr>
          <w:rFonts w:ascii="Times New Roman" w:hAnsi="Times New Roman" w:cs="Times New Roman"/>
          <w:color w:val="000000" w:themeColor="text1"/>
          <w:kern w:val="2"/>
          <w:sz w:val="16"/>
          <w:szCs w:val="16"/>
        </w:rPr>
        <w:t>) (11982).</w:t>
      </w:r>
    </w:p>
    <w:p w14:paraId="788CCF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94E460" w14:textId="77777777" w:rsidR="007A769B" w:rsidRPr="002F2FDF" w:rsidRDefault="007A76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28 февраля (13 марта) 1917 в расположение ОВШ и Запасного воздухоплавательного батальона прибыли представители Государственной думы в сопровождении вооружённой охраны. «На</w:t>
      </w:r>
      <w:r w:rsidRPr="002F2FDF">
        <w:rPr>
          <w:rFonts w:ascii="Times New Roman" w:hAnsi="Times New Roman" w:cs="Times New Roman"/>
          <w:color w:val="000000" w:themeColor="text1"/>
          <w:sz w:val="16"/>
          <w:szCs w:val="16"/>
        </w:rPr>
        <w:softHyphen/>
        <w:t>званные представители, сообщив о том, что все войсковые части Петроградского гарнизона уже примкнули к народному движению, предложи</w:t>
      </w:r>
      <w:r w:rsidRPr="002F2FDF">
        <w:rPr>
          <w:rFonts w:ascii="Times New Roman" w:hAnsi="Times New Roman" w:cs="Times New Roman"/>
          <w:color w:val="000000" w:themeColor="text1"/>
          <w:sz w:val="16"/>
          <w:szCs w:val="16"/>
        </w:rPr>
        <w:softHyphen/>
        <w:t>ли и чинам вверенной мне школы и батальона присоединиться к ним, после чего чины школы и батальона выступили в полном составе в го</w:t>
      </w:r>
      <w:r w:rsidRPr="002F2FDF">
        <w:rPr>
          <w:rFonts w:ascii="Times New Roman" w:hAnsi="Times New Roman" w:cs="Times New Roman"/>
          <w:color w:val="000000" w:themeColor="text1"/>
          <w:sz w:val="16"/>
          <w:szCs w:val="16"/>
        </w:rPr>
        <w:softHyphen/>
        <w:t>род», — рапортовал 1 марта в УВВФ начальник ОВШ А.М. Кованько50. Офицерский состав ОВШ и батальона остался на своих местах, но после совещания по указанию А.М. Кованько к предсе</w:t>
      </w:r>
      <w:r w:rsidRPr="002F2FDF">
        <w:rPr>
          <w:rFonts w:ascii="Times New Roman" w:hAnsi="Times New Roman" w:cs="Times New Roman"/>
          <w:color w:val="000000" w:themeColor="text1"/>
          <w:sz w:val="16"/>
          <w:szCs w:val="16"/>
        </w:rPr>
        <w:softHyphen/>
        <w:t>дателю Государственной думы были направлены командир Запасного воздухоплавательного бата</w:t>
      </w:r>
      <w:r w:rsidRPr="002F2FDF">
        <w:rPr>
          <w:rFonts w:ascii="Times New Roman" w:hAnsi="Times New Roman" w:cs="Times New Roman"/>
          <w:color w:val="000000" w:themeColor="text1"/>
          <w:sz w:val="16"/>
          <w:szCs w:val="16"/>
        </w:rPr>
        <w:softHyphen/>
        <w:t>льона капитан Новицкий и адъютант ОВШ пору</w:t>
      </w:r>
      <w:r w:rsidRPr="002F2FDF">
        <w:rPr>
          <w:rFonts w:ascii="Times New Roman" w:hAnsi="Times New Roman" w:cs="Times New Roman"/>
          <w:color w:val="000000" w:themeColor="text1"/>
          <w:sz w:val="16"/>
          <w:szCs w:val="16"/>
        </w:rPr>
        <w:softHyphen/>
        <w:t>чик Беггров «за указаниями в связи с происшед</w:t>
      </w:r>
      <w:r w:rsidRPr="002F2FDF">
        <w:rPr>
          <w:rFonts w:ascii="Times New Roman" w:hAnsi="Times New Roman" w:cs="Times New Roman"/>
          <w:color w:val="000000" w:themeColor="text1"/>
          <w:sz w:val="16"/>
          <w:szCs w:val="16"/>
        </w:rPr>
        <w:softHyphen/>
        <w:t>шими событиями» (20120).</w:t>
      </w:r>
    </w:p>
    <w:p w14:paraId="0C09F2D2" w14:textId="77777777" w:rsidR="007A769B" w:rsidRPr="002F2FDF" w:rsidRDefault="007A769B" w:rsidP="0083075A">
      <w:pPr>
        <w:spacing w:after="0" w:line="240" w:lineRule="auto"/>
        <w:jc w:val="both"/>
        <w:rPr>
          <w:rFonts w:ascii="Times New Roman" w:hAnsi="Times New Roman" w:cs="Times New Roman"/>
          <w:color w:val="000000" w:themeColor="text1"/>
          <w:sz w:val="16"/>
          <w:szCs w:val="16"/>
        </w:rPr>
      </w:pPr>
    </w:p>
    <w:p w14:paraId="60B90A6A" w14:textId="5A37C392" w:rsidR="008774AD" w:rsidRDefault="008774AD"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40367ECD" w14:textId="77777777" w:rsidR="008774AD" w:rsidRDefault="008774AD"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5AB4FD9" w14:textId="3C254A4F"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На 28 февраля </w:t>
      </w:r>
      <w:r>
        <w:rPr>
          <w:rFonts w:ascii="Times New Roman" w:hAnsi="Times New Roman" w:cs="Times New Roman"/>
          <w:color w:val="0070C0"/>
          <w:sz w:val="16"/>
          <w:szCs w:val="16"/>
        </w:rPr>
        <w:t xml:space="preserve">(13 марта) </w:t>
      </w:r>
      <w:r w:rsidRPr="00FB4F67">
        <w:rPr>
          <w:rFonts w:ascii="Times New Roman" w:hAnsi="Times New Roman" w:cs="Times New Roman"/>
          <w:color w:val="0070C0"/>
          <w:sz w:val="16"/>
          <w:szCs w:val="16"/>
        </w:rPr>
        <w:t>1917 г. боевой порядок Военно-воздушного флота России (с севера на юг): 12-я армия с 10-й КАО, 23-й КАО, 33-й КАО, 12-й армией АО и 12-й ФАО; 5-я армия в составе 13-й КАО, 17-й КАО, 29-й КАО, 1-й армии АО и 5-й ФАО; 1-я армия с 15-й КАО, 5-й армией АО и 1-й ФАО; 10-я армия в составе 1-й КАО, 18-й КАО, 22-й КАО, 25-й КАО, 34-й КАО и 10-й армейской АО; 2-я армия с гренадерами КАО. 11-я КАО, 21-я КАО и 2-я армия АО; 3-я армия в составе 9-й КАО, 24-й КАО, 1-й Сибирской КАО и 3-й ФАО; Особая армия в составе 1-й гв. КАО, 31-й КАО, 35-й КАО, 4-й Сибирской КАО, 2-й гв. КАО, 7-й армии АО и 2-й ФАО; 11-я армия с 7-й КАО, 8-й КАО. АО 6-я армия, АО 11-я армия. 13-я армия АО и 2-я ФАО; 7-я армия в составе 3-й КАО, 32-й КАО, 2-й Сибирской КАО. АО 4-й артиллерии, АО 3-й армии, АО 9-й армии и АО 7-й ФАО; 8-я армия в составе 5-й КАО, 12-й КАО, 16-й КАО, 8-й армии АО и 8-й ФАО; 9-я армия в составе 2-й КАО, 4-й КАО, 19-й КАО, 14-й КАО, 26-й КАО, 28-й КАО, 30-й КАО и 9-й ФАО; 4-я армия в составе 27-й КАО. 4-я армия АО и 4-я ФАО; 6-я армия в составе 6-й КАО, 20-й КАО, 36-й КАО и 10-й ФАО; Кавказская армия в составе 1-й, 2-й, 3-й и 4-й Кавказских КАО (23525).</w:t>
      </w:r>
    </w:p>
    <w:p w14:paraId="1822F55A" w14:textId="77777777" w:rsidR="008774AD" w:rsidRPr="00FB4F67" w:rsidRDefault="008774AD" w:rsidP="0083075A">
      <w:pPr>
        <w:spacing w:after="0" w:line="240" w:lineRule="auto"/>
        <w:jc w:val="both"/>
        <w:rPr>
          <w:rFonts w:ascii="Times New Roman" w:hAnsi="Times New Roman" w:cs="Times New Roman"/>
          <w:color w:val="0070C0"/>
          <w:sz w:val="16"/>
          <w:szCs w:val="16"/>
        </w:rPr>
      </w:pPr>
    </w:p>
    <w:p w14:paraId="4CEE2783" w14:textId="35D179B2"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76EB7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8E7D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февраля (13 марта) 1917 восставшие полностью одолели столицей - Петроградом (3186).</w:t>
      </w:r>
    </w:p>
    <w:p w14:paraId="7E7665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2F1AC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февраля (13 марта) 1917 в Петрограде создан Временный Комитет Государственной Думы (4962).</w:t>
      </w:r>
    </w:p>
    <w:p w14:paraId="6D239E1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75732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февраля (13 марта) 1917 вышел первый номер “Известий Петроградского совета” (теперь “Известия”) (4962).</w:t>
      </w:r>
    </w:p>
    <w:p w14:paraId="56CECCF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9A3C54"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28 февраля (13 марта)</w:t>
      </w:r>
      <w:r w:rsidRPr="002F2FDF">
        <w:rPr>
          <w:rFonts w:ascii="Times New Roman" w:hAnsi="Times New Roman" w:cs="Times New Roman"/>
          <w:color w:val="000000" w:themeColor="text1"/>
          <w:kern w:val="2"/>
          <w:sz w:val="16"/>
          <w:szCs w:val="16"/>
        </w:rPr>
        <w:t xml:space="preserve"> в 1917 году в Петрограде вышел в свет первый номер газеты "Известия Петроградского совета рабочих депутатов". "Известия..." - ежедневная газета. Основанa как орган Петроградского совета рабочих депутатов, с 1 августа 1917 орган ВЦИК и Петросовета, с 27 октября 1917 официальный орган ВЦИК, с конца 1922 - ЦИК СССР. С 26 января 1938 выходила под названием "Известия Советов депутатов трудящихся СССР", в 1977- 1991 - "Известия Советов народных депутатов СССР". С начала 1990-х гг. издание концерна "Известия". Первыми редакторами "Известий" были Ю.М.Стеклов, И.И.Скворцов-Степанов, М.А.Савельев. На страницах "Известий" неоднократно выступали М.И.Калинин, Г.К.Орджоникидзе, М.В.Фрунзе, Г.И.Петровский, В.В.Куйбышев, Н.К.Крупская, Г.М.Кржижановский, А.В.Луначарский, М.Горький и многие другие видные государственные и общественные деятели. В 1949 газета была награждена орденом Трудового Красного Знамени, в 1967 в связи с 50-летием со дня выхода первого номера - орденом Ленина (15067).</w:t>
      </w:r>
    </w:p>
    <w:p w14:paraId="7609547B"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p>
    <w:p w14:paraId="5EFAD7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февраля (13 марта) 1917 - выход первого номера Известий Петроградского Совета рабочих депутатов (1348,83).</w:t>
      </w:r>
    </w:p>
    <w:p w14:paraId="581A50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8062AC"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28 февраля (13 марта)</w:t>
      </w:r>
      <w:r w:rsidRPr="002F2FDF">
        <w:rPr>
          <w:rFonts w:ascii="Times New Roman" w:hAnsi="Times New Roman" w:cs="Times New Roman"/>
          <w:color w:val="000000" w:themeColor="text1"/>
          <w:kern w:val="2"/>
          <w:sz w:val="16"/>
          <w:szCs w:val="16"/>
        </w:rPr>
        <w:t xml:space="preserve"> в 1917 году своим бывшим лакеем арестован министр финансов России Петр Барк, инициатор запрета продажи водки в России на период первой мировой войны (15067).</w:t>
      </w:r>
    </w:p>
    <w:p w14:paraId="4C5616CF"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p>
    <w:p w14:paraId="1DB5D12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февраля (13 марта) 1917 поезд Николая II не пропустили в Петроград, так как восставшие рабочие и матросы преградили пути (4962).</w:t>
      </w:r>
    </w:p>
    <w:p w14:paraId="63248ED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89B71D" w14:textId="77777777" w:rsidR="009E49F6" w:rsidRPr="002F2FDF" w:rsidRDefault="009E49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февраля (13 марта) 1917 царь выехал из Ставки, не смог доехать до Царского Села и к 1 марта добрался до Пскова, где находился штаб армий Северного фронта. Дума сформировала Временное правительство во главе с князем Львовым. Образован Петроградский Совет рабочих и солдатских депутатов. 2 марта Николай II отрекается сам и от имени своего сына от престола. Его брат, великий князь Михаил, также отказывается от трона - в его отречении сказано, что великий князь согласится занять трон лишь в том случае, если на то будет воля Учредительного собрания. 3 марта царь передумал и написал телеграмму о том, что остается на троне. Но генерал Алексеев ее не отправил, дескать слишком поздно, ваше величество. С 9 марта царь и его семья сидят под арестом в Царском Селе. 14 августа их перевезли в Тобольск. Великого князя Михаила вывезли в Пермь.Читаешь дневник Николая и диву даешься: мир рушится, а он гуляет по парку, пилит дрова, играет с детьми, разгадывает кроссворды, читает книги и фотографируется с вертухаями, имеющими приказ - ежели чего, мочить царя без проволочек. Так закончилось царское самодержавие (12629).</w:t>
      </w:r>
    </w:p>
    <w:p w14:paraId="1A428C8F" w14:textId="77777777" w:rsidR="009E49F6" w:rsidRPr="002F2FDF" w:rsidRDefault="009E49F6" w:rsidP="0083075A">
      <w:pPr>
        <w:spacing w:after="0" w:line="240" w:lineRule="auto"/>
        <w:jc w:val="both"/>
        <w:rPr>
          <w:rFonts w:ascii="Times New Roman" w:hAnsi="Times New Roman" w:cs="Times New Roman"/>
          <w:color w:val="000000" w:themeColor="text1"/>
          <w:kern w:val="2"/>
          <w:sz w:val="16"/>
          <w:szCs w:val="16"/>
        </w:rPr>
      </w:pPr>
    </w:p>
    <w:p w14:paraId="06170632"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28 февраля</w:t>
      </w:r>
      <w:r w:rsidRPr="002F2FDF">
        <w:rPr>
          <w:rFonts w:ascii="Times New Roman" w:hAnsi="Times New Roman" w:cs="Times New Roman"/>
          <w:color w:val="000000" w:themeColor="text1"/>
          <w:kern w:val="2"/>
          <w:sz w:val="16"/>
          <w:szCs w:val="16"/>
        </w:rPr>
        <w:t xml:space="preserve"> (13 марта) в 1917 году начало революции в Москве (15054).</w:t>
      </w:r>
    </w:p>
    <w:p w14:paraId="3C556124"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p>
    <w:p w14:paraId="327C65AA"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28 февраля (13 марта)</w:t>
      </w:r>
      <w:r w:rsidRPr="002F2FDF">
        <w:rPr>
          <w:rFonts w:ascii="Times New Roman" w:hAnsi="Times New Roman" w:cs="Times New Roman"/>
          <w:color w:val="000000" w:themeColor="text1"/>
          <w:kern w:val="2"/>
          <w:sz w:val="16"/>
          <w:szCs w:val="16"/>
        </w:rPr>
        <w:t xml:space="preserve"> в 1917 году образование Московского совета рабочих и солдатских депутатов (15067).</w:t>
      </w:r>
    </w:p>
    <w:p w14:paraId="6954FE73"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p>
    <w:p w14:paraId="7CB27DDB" w14:textId="77777777" w:rsidR="001B6ED4" w:rsidRPr="002F2FDF" w:rsidRDefault="001B6ED4"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28 февраля (13 марта) 1917 Московское областное бюро ЦК РСДРП(б) получило сообщение о событиях в Петрограде и издало листовку с призывом к рабочим города и солдатам гарнизона поддержать восстание. 1 марта почин сделали артиллеристы, с ними были рабочие «Дукса».3 Днем на заводе раздался мощный протяжный гудок, «Дукс» замер. Рабочие организованно прекратили работу и с красным знаменем и революционной песней направились по 3-й Ямской улице к Белорусскому вокзалу. У моста через железную дорогу их встретил отряд полиции. В ответ на крики «Долой царя!» прогремели выстрелы и завязалась рукопашная. Большинство дуксовцев прорвалось через мост и соединилось на Тверской улице с колоннами Военно-артиллерийского завода и Брестских железнодорожных мастерских, вместе с другим московским пролетариатом двигавшимися к Городской Думе на грандиозный митинг. На следующий день к революции примкнули солдаты остальных Ходынских частей. К вечеру 2 марта все важнейшие городские объекты — почта, телеграф, телефон, Кремль, арсенал, вокзалы, охранное отделение — находились в руках рабочих и солдат (15464).</w:t>
      </w:r>
    </w:p>
    <w:p w14:paraId="669332F7" w14:textId="77777777" w:rsidR="001B6ED4" w:rsidRPr="002F2FDF" w:rsidRDefault="001B6ED4" w:rsidP="0083075A">
      <w:pPr>
        <w:pStyle w:val="2"/>
        <w:spacing w:before="0" w:beforeAutospacing="0" w:after="0" w:afterAutospacing="0"/>
        <w:jc w:val="both"/>
        <w:rPr>
          <w:b w:val="0"/>
          <w:color w:val="000000" w:themeColor="text1"/>
          <w:kern w:val="2"/>
          <w:sz w:val="16"/>
          <w:szCs w:val="16"/>
        </w:rPr>
      </w:pPr>
    </w:p>
    <w:p w14:paraId="38172A0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февраля (13 марта) 1917 своим бывшим лакеем арестован министр финансов России Петр Барк, инициатор запрета продажи водки в России на период первой мировой войны (4962).</w:t>
      </w:r>
    </w:p>
    <w:p w14:paraId="6BB4823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F48E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февраля (13 марта) 1917 Захват крейсера "Аврора" матросами (11145)</w:t>
      </w:r>
    </w:p>
    <w:p w14:paraId="6F008E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731881" w14:textId="77777777" w:rsidR="00A37479" w:rsidRPr="002F2FDF" w:rsidRDefault="00A37479" w:rsidP="0083075A">
      <w:pPr>
        <w:pStyle w:val="ae"/>
        <w:spacing w:before="0" w:after="0"/>
        <w:jc w:val="both"/>
        <w:rPr>
          <w:color w:val="000000" w:themeColor="text1"/>
          <w:kern w:val="2"/>
          <w:sz w:val="16"/>
          <w:szCs w:val="16"/>
        </w:rPr>
      </w:pPr>
      <w:r w:rsidRPr="002F2FDF">
        <w:rPr>
          <w:color w:val="000000" w:themeColor="text1"/>
          <w:kern w:val="2"/>
          <w:sz w:val="16"/>
          <w:szCs w:val="16"/>
        </w:rPr>
        <w:t>В период с 28 февраля по 6 марта (13 по 19) марта 1917 в рамках «неограниченной подводной войны» немецким подлодкам удалось затопить 111 кораблей как воюющих, так и нейтральных стран. В их числе 19 марта у берегов Сардинии в Средиземном море немецкой подводной лодкой U-64 был торпедирован французский эскадренный броненосец «Дантон» (17045).</w:t>
      </w:r>
    </w:p>
    <w:p w14:paraId="717FD205" w14:textId="77777777" w:rsidR="00A37479" w:rsidRPr="002F2FDF" w:rsidRDefault="00A3747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CF6B43" w14:textId="77777777" w:rsidR="007A769B" w:rsidRPr="002F2FDF" w:rsidRDefault="007A769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E52C9B3" w14:textId="77777777" w:rsidR="007A769B" w:rsidRPr="002F2FDF" w:rsidRDefault="007A769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FE3F9AD" w14:textId="77777777" w:rsidR="007A769B" w:rsidRPr="002F2FDF" w:rsidRDefault="007A769B" w:rsidP="0083075A">
      <w:pPr>
        <w:pStyle w:val="ae"/>
        <w:spacing w:before="0" w:after="0"/>
        <w:jc w:val="both"/>
        <w:rPr>
          <w:color w:val="000000" w:themeColor="text1"/>
          <w:sz w:val="16"/>
          <w:szCs w:val="16"/>
        </w:rPr>
      </w:pPr>
      <w:r w:rsidRPr="002F2FDF">
        <w:rPr>
          <w:color w:val="000000" w:themeColor="text1"/>
          <w:sz w:val="16"/>
          <w:szCs w:val="16"/>
        </w:rPr>
        <w:t>В конце февраля 1917 г. на западе немецкие войска отступили на сильно укрепленные позиции «Линии Гинденбурга», создав дополнительные проблемы французскому главнокомандующему генералу Роберу Ж. Нивелю, намеревавшемуся принести французам победу в этом году. Наступление Нивеля продолжалось в форме медленного «прогрызания» обороны и сопровождалось огромными потерями (свыше 200 тыс. человек). «Бойня» Нивеля вызвала возмущение во Франции, восстания и волнения в 16 корпусах, жестоко подавленные правительством. 15 мая Нивель был снят с должности (20246).</w:t>
      </w:r>
    </w:p>
    <w:p w14:paraId="77EE4666" w14:textId="77777777" w:rsidR="007A769B" w:rsidRPr="002F2FDF" w:rsidRDefault="007A769B" w:rsidP="0083075A">
      <w:pPr>
        <w:pStyle w:val="ae"/>
        <w:spacing w:before="0" w:after="0"/>
        <w:jc w:val="both"/>
        <w:rPr>
          <w:color w:val="000000" w:themeColor="text1"/>
          <w:sz w:val="16"/>
          <w:szCs w:val="16"/>
        </w:rPr>
      </w:pPr>
    </w:p>
    <w:p w14:paraId="0B0FAE1F" w14:textId="77777777" w:rsidR="007A769B" w:rsidRPr="002F2FDF" w:rsidRDefault="007A76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конце февраля 1917 Цеппелин L 42 ВМС Германии достигает высоты 19 700 футов (6005 метров), что является рекордом для дирижаблей. Командующий германской военно-морской эскадры дирижаблей Питер Штрассер запрашивает разрешение на создание 30 морских цеппелинов, 24 из которых могут использоваться над Северным морем и шесть - над Балтийским морем (20341).</w:t>
      </w:r>
    </w:p>
    <w:p w14:paraId="73978080" w14:textId="77777777" w:rsidR="007A769B" w:rsidRPr="002F2FDF" w:rsidRDefault="007A769B" w:rsidP="0083075A">
      <w:pPr>
        <w:spacing w:after="0" w:line="240" w:lineRule="auto"/>
        <w:jc w:val="both"/>
        <w:rPr>
          <w:rFonts w:ascii="Times New Roman" w:hAnsi="Times New Roman" w:cs="Times New Roman"/>
          <w:color w:val="000000" w:themeColor="text1"/>
          <w:sz w:val="16"/>
          <w:szCs w:val="16"/>
        </w:rPr>
      </w:pPr>
    </w:p>
    <w:p w14:paraId="4FA8FCC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0F56A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04A4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г. РБВЗ принял заказ на постройку 25 “Муромцев” типа Г4 и 15 типа Е2. Но его выполнение затянулось ввиду чрезвычайных обстоятельств. 12 янва</w:t>
      </w:r>
      <w:r w:rsidRPr="002F2FDF">
        <w:rPr>
          <w:rFonts w:ascii="Times New Roman" w:hAnsi="Times New Roman" w:cs="Times New Roman"/>
          <w:color w:val="000000" w:themeColor="text1"/>
          <w:kern w:val="2"/>
          <w:sz w:val="16"/>
          <w:szCs w:val="16"/>
        </w:rPr>
        <w:softHyphen/>
        <w:t>ря 1917 г. рабочие авиационного отделения РБВЗ устро</w:t>
      </w:r>
      <w:r w:rsidRPr="002F2FDF">
        <w:rPr>
          <w:rFonts w:ascii="Times New Roman" w:hAnsi="Times New Roman" w:cs="Times New Roman"/>
          <w:color w:val="000000" w:themeColor="text1"/>
          <w:kern w:val="2"/>
          <w:sz w:val="16"/>
          <w:szCs w:val="16"/>
        </w:rPr>
        <w:softHyphen/>
        <w:t>или “итальянскую забастовку”, т.е. саботаж. 20 января, исчерпав все возможности уговорить рабочих, бывший демократ и радетель прав угнетенных, директор РБВЗ В.И.Ярковский обратился с воззванием, в котором в же</w:t>
      </w:r>
      <w:r w:rsidRPr="002F2FDF">
        <w:rPr>
          <w:rFonts w:ascii="Times New Roman" w:hAnsi="Times New Roman" w:cs="Times New Roman"/>
          <w:color w:val="000000" w:themeColor="text1"/>
          <w:kern w:val="2"/>
          <w:sz w:val="16"/>
          <w:szCs w:val="16"/>
        </w:rPr>
        <w:softHyphen/>
        <w:t>сткой форме потребовал покончить с саботажем, угро</w:t>
      </w:r>
      <w:r w:rsidRPr="002F2FDF">
        <w:rPr>
          <w:rFonts w:ascii="Times New Roman" w:hAnsi="Times New Roman" w:cs="Times New Roman"/>
          <w:color w:val="000000" w:themeColor="text1"/>
          <w:kern w:val="2"/>
          <w:sz w:val="16"/>
          <w:szCs w:val="16"/>
        </w:rPr>
        <w:softHyphen/>
        <w:t>жая различными карами. В одном из пунктов его воззвания говорилось: “Рабочие, уличенные в уговари</w:t>
      </w:r>
      <w:r w:rsidRPr="002F2FDF">
        <w:rPr>
          <w:rFonts w:ascii="Times New Roman" w:hAnsi="Times New Roman" w:cs="Times New Roman"/>
          <w:color w:val="000000" w:themeColor="text1"/>
          <w:kern w:val="2"/>
          <w:sz w:val="16"/>
          <w:szCs w:val="16"/>
        </w:rPr>
        <w:softHyphen/>
        <w:t>вании своих товарищей к прекращению работы, будут немедленно и беспрекословно увольняемы без преду</w:t>
      </w:r>
      <w:r w:rsidRPr="002F2FDF">
        <w:rPr>
          <w:rFonts w:ascii="Times New Roman" w:hAnsi="Times New Roman" w:cs="Times New Roman"/>
          <w:color w:val="000000" w:themeColor="text1"/>
          <w:kern w:val="2"/>
          <w:sz w:val="16"/>
          <w:szCs w:val="16"/>
        </w:rPr>
        <w:softHyphen/>
        <w:t>преждения” (10667).</w:t>
      </w:r>
    </w:p>
    <w:p w14:paraId="0736B5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E137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завод Дукс обещал в период с июня 1917 по июнь 1918 325 морских самолетов и выдвигал предложение об организации филиала в Николаеве на реке Буг (2843,17).</w:t>
      </w:r>
    </w:p>
    <w:p w14:paraId="53296A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F7D97D" w14:textId="23056B75" w:rsidR="001B6ED4" w:rsidRPr="002F2FDF" w:rsidRDefault="001B6ED4" w:rsidP="0083075A">
      <w:pPr>
        <w:shd w:val="clear" w:color="auto" w:fill="FFFFFF"/>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феврале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владелец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Дукса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пообещал с</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июня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 июнь 1918</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построить 325 морских самолетов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предложил создать филиал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Дукса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Николаеве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реке Буг. Тип самолета не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обозначен, по-видимому, речь шла 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проекте Туполева, но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том</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же феврале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стали известны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предварительные расчеты по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морскому самолету типа «Кертисс» с</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мотором мощностью 150—160 л. с. С</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полезной нагрузкой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350</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кг скорость должна была достигать 125—130 км/ч. Меллер планировал завершить испытания прототипа уже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мае, начать серийное производство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июле, первую партию летающих лодок сдать флоту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сентябре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Для реализации столь грандиозных замыслов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был необходим Николаевский филиал (15219).</w:t>
      </w:r>
    </w:p>
    <w:p w14:paraId="1D5F96FC"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p>
    <w:p w14:paraId="772FFDB6" w14:textId="77777777" w:rsidR="001B6ED4" w:rsidRPr="002F2FDF" w:rsidRDefault="001B6ED4" w:rsidP="0083075A">
      <w:pPr>
        <w:spacing w:after="0" w:line="240" w:lineRule="auto"/>
        <w:jc w:val="both"/>
        <w:rPr>
          <w:rStyle w:val="10pt0"/>
          <w:rFonts w:ascii="Times New Roman" w:hAnsi="Times New Roman" w:cs="Times New Roman"/>
          <w:b w:val="0"/>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г., все</w:t>
      </w:r>
      <w:r w:rsidRPr="002F2FDF">
        <w:rPr>
          <w:rFonts w:ascii="Times New Roman" w:hAnsi="Times New Roman" w:cs="Times New Roman"/>
          <w:color w:val="000000" w:themeColor="text1"/>
          <w:kern w:val="2"/>
          <w:sz w:val="16"/>
          <w:szCs w:val="16"/>
        </w:rPr>
        <w:softHyphen/>
        <w:t>го за две недели (!) до отречения Николая II, Брежнев-Меллер «про</w:t>
      </w:r>
      <w:r w:rsidRPr="002F2FDF">
        <w:rPr>
          <w:rFonts w:ascii="Times New Roman" w:hAnsi="Times New Roman" w:cs="Times New Roman"/>
          <w:color w:val="000000" w:themeColor="text1"/>
          <w:kern w:val="2"/>
          <w:sz w:val="16"/>
          <w:szCs w:val="16"/>
        </w:rPr>
        <w:softHyphen/>
        <w:t>лоббировал» царский указ, по которому земли общины ямщиков и не</w:t>
      </w:r>
      <w:r w:rsidRPr="002F2FDF">
        <w:rPr>
          <w:rFonts w:ascii="Times New Roman" w:hAnsi="Times New Roman" w:cs="Times New Roman"/>
          <w:color w:val="000000" w:themeColor="text1"/>
          <w:kern w:val="2"/>
          <w:sz w:val="16"/>
          <w:szCs w:val="16"/>
        </w:rPr>
        <w:softHyphen/>
        <w:t>коей М.С. Жемлички по соседству с заводом, которые в 1910-е годы никак</w:t>
      </w:r>
      <w:r w:rsidRPr="002F2FDF">
        <w:rPr>
          <w:rStyle w:val="10pt0"/>
          <w:rFonts w:ascii="Times New Roman" w:hAnsi="Times New Roman" w:cs="Times New Roman"/>
          <w:b w:val="0"/>
          <w:color w:val="000000" w:themeColor="text1"/>
          <w:kern w:val="2"/>
          <w:sz w:val="16"/>
          <w:szCs w:val="16"/>
        </w:rPr>
        <w:t xml:space="preserve"> не удавалось</w:t>
      </w:r>
      <w:r w:rsidRPr="002F2FDF">
        <w:rPr>
          <w:rFonts w:ascii="Times New Roman" w:hAnsi="Times New Roman" w:cs="Times New Roman"/>
          <w:color w:val="000000" w:themeColor="text1"/>
          <w:kern w:val="2"/>
          <w:sz w:val="16"/>
          <w:szCs w:val="16"/>
        </w:rPr>
        <w:t xml:space="preserve"> при</w:t>
      </w:r>
      <w:r w:rsidRPr="002F2FDF">
        <w:rPr>
          <w:rFonts w:ascii="Times New Roman" w:hAnsi="Times New Roman" w:cs="Times New Roman"/>
          <w:color w:val="000000" w:themeColor="text1"/>
          <w:kern w:val="2"/>
          <w:sz w:val="16"/>
          <w:szCs w:val="16"/>
        </w:rPr>
        <w:softHyphen/>
      </w:r>
      <w:r w:rsidRPr="002F2FDF">
        <w:rPr>
          <w:rStyle w:val="10pt0"/>
          <w:rFonts w:ascii="Times New Roman" w:hAnsi="Times New Roman" w:cs="Times New Roman"/>
          <w:b w:val="0"/>
          <w:color w:val="000000" w:themeColor="text1"/>
          <w:kern w:val="2"/>
          <w:sz w:val="16"/>
          <w:szCs w:val="16"/>
        </w:rPr>
        <w:t>обрести или хотя</w:t>
      </w:r>
      <w:r w:rsidRPr="002F2FDF">
        <w:rPr>
          <w:rFonts w:ascii="Times New Roman" w:hAnsi="Times New Roman" w:cs="Times New Roman"/>
          <w:color w:val="000000" w:themeColor="text1"/>
          <w:kern w:val="2"/>
          <w:sz w:val="16"/>
          <w:szCs w:val="16"/>
        </w:rPr>
        <w:t xml:space="preserve"> бы </w:t>
      </w:r>
      <w:r w:rsidRPr="002F2FDF">
        <w:rPr>
          <w:rStyle w:val="10pt0"/>
          <w:rFonts w:ascii="Times New Roman" w:hAnsi="Times New Roman" w:cs="Times New Roman"/>
          <w:b w:val="0"/>
          <w:color w:val="000000" w:themeColor="text1"/>
          <w:kern w:val="2"/>
          <w:sz w:val="16"/>
          <w:szCs w:val="16"/>
        </w:rPr>
        <w:t>взять в долгосрочную аренду «отчуждались для нужд военного ведомства», т.е. фактически передавапись</w:t>
      </w:r>
      <w:r w:rsidRPr="002F2FDF">
        <w:rPr>
          <w:rFonts w:ascii="Times New Roman" w:hAnsi="Times New Roman" w:cs="Times New Roman"/>
          <w:color w:val="000000" w:themeColor="text1"/>
          <w:kern w:val="2"/>
          <w:sz w:val="16"/>
          <w:szCs w:val="16"/>
        </w:rPr>
        <w:t xml:space="preserve"> «Дуксу» для </w:t>
      </w:r>
      <w:r w:rsidRPr="002F2FDF">
        <w:rPr>
          <w:rStyle w:val="10pt0"/>
          <w:rFonts w:ascii="Times New Roman" w:hAnsi="Times New Roman" w:cs="Times New Roman"/>
          <w:b w:val="0"/>
          <w:color w:val="000000" w:themeColor="text1"/>
          <w:kern w:val="2"/>
          <w:sz w:val="16"/>
          <w:szCs w:val="16"/>
        </w:rPr>
        <w:t>расширения</w:t>
      </w:r>
      <w:r w:rsidRPr="002F2FDF">
        <w:rPr>
          <w:rFonts w:ascii="Times New Roman" w:hAnsi="Times New Roman" w:cs="Times New Roman"/>
          <w:color w:val="000000" w:themeColor="text1"/>
          <w:kern w:val="2"/>
          <w:sz w:val="16"/>
          <w:szCs w:val="16"/>
        </w:rPr>
        <w:t xml:space="preserve"> производства (15761)</w:t>
      </w:r>
      <w:r w:rsidRPr="002F2FDF">
        <w:rPr>
          <w:rStyle w:val="10pt0"/>
          <w:rFonts w:ascii="Times New Roman" w:hAnsi="Times New Roman" w:cs="Times New Roman"/>
          <w:b w:val="0"/>
          <w:color w:val="000000" w:themeColor="text1"/>
          <w:kern w:val="2"/>
          <w:sz w:val="16"/>
          <w:szCs w:val="16"/>
        </w:rPr>
        <w:t>.</w:t>
      </w:r>
    </w:p>
    <w:p w14:paraId="072529DB" w14:textId="77777777" w:rsidR="001B6ED4" w:rsidRPr="002F2FDF" w:rsidRDefault="001B6ED4" w:rsidP="0083075A">
      <w:pPr>
        <w:spacing w:after="0" w:line="240" w:lineRule="auto"/>
        <w:jc w:val="both"/>
        <w:rPr>
          <w:rStyle w:val="10pt0"/>
          <w:rFonts w:ascii="Times New Roman" w:hAnsi="Times New Roman" w:cs="Times New Roman"/>
          <w:b w:val="0"/>
          <w:color w:val="000000" w:themeColor="text1"/>
          <w:kern w:val="2"/>
          <w:sz w:val="16"/>
          <w:szCs w:val="16"/>
        </w:rPr>
      </w:pPr>
    </w:p>
    <w:p w14:paraId="37C3580D" w14:textId="77777777" w:rsidR="001B6ED4" w:rsidRPr="002F2FDF" w:rsidRDefault="001B6ED4"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Меллер “пролоббировал” царский указ об отчуждении участков земли для нужд военного ведомства (9651).</w:t>
      </w:r>
    </w:p>
    <w:p w14:paraId="5C15CBFA" w14:textId="77777777" w:rsidR="001B6ED4" w:rsidRPr="002F2FDF" w:rsidRDefault="001B6ED4"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3F2D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г. "Дукс" обещал построить в период с июня 1917 и по июнь 1918 г.г. 325 морских самолетов необозначенного типа, для чего выдвигал предложе</w:t>
      </w:r>
      <w:r w:rsidRPr="002F2FDF">
        <w:rPr>
          <w:rFonts w:ascii="Times New Roman" w:hAnsi="Times New Roman" w:cs="Times New Roman"/>
          <w:color w:val="000000" w:themeColor="text1"/>
          <w:kern w:val="2"/>
          <w:sz w:val="16"/>
          <w:szCs w:val="16"/>
        </w:rPr>
        <w:softHyphen/>
        <w:t>ние об учреждении филиала в Николаеве на реке Буг. Так и не имея, однако, своих гото</w:t>
      </w:r>
      <w:r w:rsidRPr="002F2FDF">
        <w:rPr>
          <w:rFonts w:ascii="Times New Roman" w:hAnsi="Times New Roman" w:cs="Times New Roman"/>
          <w:color w:val="000000" w:themeColor="text1"/>
          <w:kern w:val="2"/>
          <w:sz w:val="16"/>
          <w:szCs w:val="16"/>
        </w:rPr>
        <w:softHyphen/>
        <w:t>вых моделей, в апреле фирма согласилась приступить к лицензированному выпуску фран</w:t>
      </w:r>
      <w:r w:rsidRPr="002F2FDF">
        <w:rPr>
          <w:rFonts w:ascii="Times New Roman" w:hAnsi="Times New Roman" w:cs="Times New Roman"/>
          <w:color w:val="000000" w:themeColor="text1"/>
          <w:kern w:val="2"/>
          <w:sz w:val="16"/>
          <w:szCs w:val="16"/>
        </w:rPr>
        <w:softHyphen/>
        <w:t xml:space="preserve">цузских летающих лодок "Теллье" тип Т.З, которые производились бы в Москве, а собирались и опробовались — в Севастополе. Этот план исходил от начальников, ведавших вопросами технического снабжения морской авиации и склонявшихся к мысли о нецелесообразности концентрации всех ее поставщиков в </w:t>
      </w:r>
      <w:r w:rsidRPr="002F2FDF">
        <w:rPr>
          <w:rFonts w:ascii="Times New Roman" w:hAnsi="Times New Roman" w:cs="Times New Roman"/>
          <w:color w:val="000000" w:themeColor="text1"/>
          <w:kern w:val="2"/>
          <w:sz w:val="16"/>
          <w:szCs w:val="16"/>
        </w:rPr>
        <w:lastRenderedPageBreak/>
        <w:t>Петрограде; давая свои условные контракты, они хо</w:t>
      </w:r>
      <w:r w:rsidRPr="002F2FDF">
        <w:rPr>
          <w:rFonts w:ascii="Times New Roman" w:hAnsi="Times New Roman" w:cs="Times New Roman"/>
          <w:color w:val="000000" w:themeColor="text1"/>
          <w:kern w:val="2"/>
          <w:sz w:val="16"/>
          <w:szCs w:val="16"/>
        </w:rPr>
        <w:softHyphen/>
        <w:t>тели инициировать нужную им деятельность на заводах Ю.А. Брежнева в Москве и В.А. Лебедева в Таганроге. 5 июня 1917 г. "Дукс" наконец получил реальный наряд на 160 ле</w:t>
      </w:r>
      <w:r w:rsidRPr="002F2FDF">
        <w:rPr>
          <w:rFonts w:ascii="Times New Roman" w:hAnsi="Times New Roman" w:cs="Times New Roman"/>
          <w:color w:val="000000" w:themeColor="text1"/>
          <w:kern w:val="2"/>
          <w:sz w:val="16"/>
          <w:szCs w:val="16"/>
        </w:rPr>
        <w:softHyphen/>
        <w:t>тающих лодок "Теллье" который был потом сокращен, но не выполнен даже и в урезанном виде. Помимо этих машин, 3 августа компании поручили строительство 50 тренировочных "Ньюпоров" тип 10, 25 истребителей "Ньюпор" тип 17 и еще 10 истребителей "Спад" тип 7, под ротативные моторы "Рон" 110 л.с. и стационарные двигатели "Испано-Суиза" 150 л.с. Аппараты были изготовлены и часть из них успели принять до конца 1917 г. Таким обра</w:t>
      </w:r>
      <w:r w:rsidRPr="002F2FDF">
        <w:rPr>
          <w:rFonts w:ascii="Times New Roman" w:hAnsi="Times New Roman" w:cs="Times New Roman"/>
          <w:color w:val="000000" w:themeColor="text1"/>
          <w:kern w:val="2"/>
          <w:sz w:val="16"/>
          <w:szCs w:val="16"/>
        </w:rPr>
        <w:softHyphen/>
        <w:t>зом, "Дукс" все же вошел в список фирм, работавших на флот (2843).</w:t>
      </w:r>
    </w:p>
    <w:p w14:paraId="51B5251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2</w:t>
      </w:r>
    </w:p>
    <w:p w14:paraId="2D5D967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Некоторые статистические данные об авиационном отделении компании "Дукс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2F2FDF" w14:paraId="517E89AC" w14:textId="77777777">
        <w:tc>
          <w:tcPr>
            <w:tcW w:w="4788" w:type="dxa"/>
            <w:tcBorders>
              <w:top w:val="single" w:sz="12" w:space="0" w:color="auto"/>
            </w:tcBorders>
            <w:shd w:val="clear" w:color="auto" w:fill="FFFFFF"/>
          </w:tcPr>
          <w:p w14:paraId="7A6301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 основания</w:t>
            </w:r>
          </w:p>
        </w:tc>
        <w:tc>
          <w:tcPr>
            <w:tcW w:w="4788" w:type="dxa"/>
            <w:tcBorders>
              <w:top w:val="single" w:sz="12" w:space="0" w:color="auto"/>
            </w:tcBorders>
            <w:shd w:val="clear" w:color="auto" w:fill="FFFFFF"/>
          </w:tcPr>
          <w:p w14:paraId="43488E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1910</w:t>
            </w:r>
          </w:p>
        </w:tc>
      </w:tr>
      <w:tr w:rsidR="002B1C74" w:rsidRPr="002F2FDF" w14:paraId="60F13254" w14:textId="77777777">
        <w:tc>
          <w:tcPr>
            <w:tcW w:w="4788" w:type="dxa"/>
            <w:shd w:val="clear" w:color="auto" w:fill="FFFFFF"/>
          </w:tcPr>
          <w:p w14:paraId="7E747C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строений к 1918 г., кв.м</w:t>
            </w:r>
          </w:p>
        </w:tc>
        <w:tc>
          <w:tcPr>
            <w:tcW w:w="4788" w:type="dxa"/>
            <w:shd w:val="clear" w:color="auto" w:fill="FFFFFF"/>
          </w:tcPr>
          <w:p w14:paraId="55D82A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36.472</w:t>
            </w:r>
          </w:p>
        </w:tc>
      </w:tr>
      <w:tr w:rsidR="002B1C74" w:rsidRPr="002F2FDF" w14:paraId="41ABC923" w14:textId="77777777">
        <w:tc>
          <w:tcPr>
            <w:tcW w:w="4788" w:type="dxa"/>
            <w:shd w:val="clear" w:color="auto" w:fill="FFFFFF"/>
          </w:tcPr>
          <w:p w14:paraId="2024BC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территории, кв.м</w:t>
            </w:r>
          </w:p>
        </w:tc>
        <w:tc>
          <w:tcPr>
            <w:tcW w:w="4788" w:type="dxa"/>
            <w:shd w:val="clear" w:color="auto" w:fill="FFFFFF"/>
          </w:tcPr>
          <w:p w14:paraId="3C69CB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59.950</w:t>
            </w:r>
          </w:p>
        </w:tc>
      </w:tr>
      <w:tr w:rsidR="002B1C74" w:rsidRPr="002F2FDF" w14:paraId="54CDA575" w14:textId="77777777">
        <w:tc>
          <w:tcPr>
            <w:tcW w:w="4788" w:type="dxa"/>
            <w:shd w:val="clear" w:color="auto" w:fill="FFFFFF"/>
          </w:tcPr>
          <w:p w14:paraId="765024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Мощность энергетических установок, л.с.</w:t>
            </w:r>
          </w:p>
        </w:tc>
        <w:tc>
          <w:tcPr>
            <w:tcW w:w="4788" w:type="dxa"/>
            <w:shd w:val="clear" w:color="auto" w:fill="FFFFFF"/>
          </w:tcPr>
          <w:p w14:paraId="7B9316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480</w:t>
            </w:r>
          </w:p>
        </w:tc>
      </w:tr>
      <w:tr w:rsidR="002B1C74" w:rsidRPr="002F2FDF" w14:paraId="595EAF4E" w14:textId="77777777">
        <w:tc>
          <w:tcPr>
            <w:tcW w:w="4788" w:type="dxa"/>
            <w:shd w:val="clear" w:color="auto" w:fill="FFFFFF"/>
          </w:tcPr>
          <w:p w14:paraId="705151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двигателей</w:t>
            </w:r>
          </w:p>
        </w:tc>
        <w:tc>
          <w:tcPr>
            <w:tcW w:w="4788" w:type="dxa"/>
            <w:shd w:val="clear" w:color="auto" w:fill="FFFFFF"/>
          </w:tcPr>
          <w:p w14:paraId="7ABDAB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r>
      <w:tr w:rsidR="002B1C74" w:rsidRPr="002F2FDF" w14:paraId="5C8C8DA4" w14:textId="77777777">
        <w:tc>
          <w:tcPr>
            <w:tcW w:w="4788" w:type="dxa"/>
            <w:shd w:val="clear" w:color="auto" w:fill="FFFFFF"/>
          </w:tcPr>
          <w:p w14:paraId="207818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станков</w:t>
            </w:r>
          </w:p>
        </w:tc>
        <w:tc>
          <w:tcPr>
            <w:tcW w:w="4788" w:type="dxa"/>
            <w:shd w:val="clear" w:color="auto" w:fill="FFFFFF"/>
          </w:tcPr>
          <w:p w14:paraId="3A40A1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195</w:t>
            </w:r>
          </w:p>
        </w:tc>
      </w:tr>
      <w:tr w:rsidR="002B1C74" w:rsidRPr="002F2FDF" w14:paraId="28683E07" w14:textId="77777777">
        <w:tc>
          <w:tcPr>
            <w:tcW w:w="4788" w:type="dxa"/>
            <w:shd w:val="clear" w:color="auto" w:fill="FFFFFF"/>
          </w:tcPr>
          <w:p w14:paraId="1722A7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служащих в 1917</w:t>
            </w:r>
          </w:p>
        </w:tc>
        <w:tc>
          <w:tcPr>
            <w:tcW w:w="4788" w:type="dxa"/>
            <w:shd w:val="clear" w:color="auto" w:fill="FFFFFF"/>
          </w:tcPr>
          <w:p w14:paraId="278806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300</w:t>
            </w:r>
          </w:p>
        </w:tc>
      </w:tr>
      <w:tr w:rsidR="002B1C74" w:rsidRPr="002F2FDF" w14:paraId="512B0B79" w14:textId="77777777">
        <w:tc>
          <w:tcPr>
            <w:tcW w:w="4788" w:type="dxa"/>
            <w:shd w:val="clear" w:color="auto" w:fill="FFFFFF"/>
          </w:tcPr>
          <w:p w14:paraId="422067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рабочих в</w:t>
            </w:r>
          </w:p>
        </w:tc>
        <w:tc>
          <w:tcPr>
            <w:tcW w:w="4788" w:type="dxa"/>
            <w:shd w:val="clear" w:color="auto" w:fill="FFFFFF"/>
          </w:tcPr>
          <w:p w14:paraId="702186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13E46253" w14:textId="77777777">
        <w:tc>
          <w:tcPr>
            <w:tcW w:w="4788" w:type="dxa"/>
            <w:shd w:val="clear" w:color="auto" w:fill="FFFFFF"/>
          </w:tcPr>
          <w:p w14:paraId="7B63FB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 г.</w:t>
            </w:r>
          </w:p>
        </w:tc>
        <w:tc>
          <w:tcPr>
            <w:tcW w:w="4788" w:type="dxa"/>
            <w:shd w:val="clear" w:color="auto" w:fill="FFFFFF"/>
          </w:tcPr>
          <w:p w14:paraId="45B034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725</w:t>
            </w:r>
          </w:p>
        </w:tc>
      </w:tr>
      <w:tr w:rsidR="002B1C74" w:rsidRPr="002F2FDF" w14:paraId="118BAB86" w14:textId="77777777">
        <w:tc>
          <w:tcPr>
            <w:tcW w:w="4788" w:type="dxa"/>
            <w:shd w:val="clear" w:color="auto" w:fill="FFFFFF"/>
          </w:tcPr>
          <w:p w14:paraId="3B9CC2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w:t>
            </w:r>
          </w:p>
        </w:tc>
        <w:tc>
          <w:tcPr>
            <w:tcW w:w="4788" w:type="dxa"/>
            <w:shd w:val="clear" w:color="auto" w:fill="FFFFFF"/>
          </w:tcPr>
          <w:p w14:paraId="07EFB1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850</w:t>
            </w:r>
          </w:p>
        </w:tc>
      </w:tr>
      <w:tr w:rsidR="002B1C74" w:rsidRPr="002F2FDF" w14:paraId="01844D6B" w14:textId="77777777">
        <w:tc>
          <w:tcPr>
            <w:tcW w:w="4788" w:type="dxa"/>
            <w:shd w:val="clear" w:color="auto" w:fill="FFFFFF"/>
          </w:tcPr>
          <w:p w14:paraId="363FF6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4788" w:type="dxa"/>
            <w:shd w:val="clear" w:color="auto" w:fill="FFFFFF"/>
          </w:tcPr>
          <w:p w14:paraId="4ED2A1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1575</w:t>
            </w:r>
          </w:p>
        </w:tc>
      </w:tr>
      <w:tr w:rsidR="002B1C74" w:rsidRPr="002F2FDF" w14:paraId="595AA5C9" w14:textId="77777777">
        <w:tc>
          <w:tcPr>
            <w:tcW w:w="4788" w:type="dxa"/>
            <w:shd w:val="clear" w:color="auto" w:fill="FFFFFF"/>
          </w:tcPr>
          <w:p w14:paraId="4B9AA7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4788" w:type="dxa"/>
            <w:shd w:val="clear" w:color="auto" w:fill="FFFFFF"/>
          </w:tcPr>
          <w:p w14:paraId="072960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2120</w:t>
            </w:r>
          </w:p>
        </w:tc>
      </w:tr>
      <w:tr w:rsidR="002B1C74" w:rsidRPr="002F2FDF" w14:paraId="2D5C5B2C" w14:textId="77777777">
        <w:tc>
          <w:tcPr>
            <w:tcW w:w="4788" w:type="dxa"/>
            <w:shd w:val="clear" w:color="auto" w:fill="FFFFFF"/>
          </w:tcPr>
          <w:p w14:paraId="059706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сданных аппаратов за период</w:t>
            </w:r>
          </w:p>
        </w:tc>
        <w:tc>
          <w:tcPr>
            <w:tcW w:w="4788" w:type="dxa"/>
            <w:shd w:val="clear" w:color="auto" w:fill="FFFFFF"/>
          </w:tcPr>
          <w:p w14:paraId="0DD7DD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5CBD1337" w14:textId="77777777">
        <w:tc>
          <w:tcPr>
            <w:tcW w:w="4788" w:type="dxa"/>
            <w:shd w:val="clear" w:color="auto" w:fill="FFFFFF"/>
          </w:tcPr>
          <w:p w14:paraId="4B2269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1910-1913 г.г.</w:t>
            </w:r>
          </w:p>
        </w:tc>
        <w:tc>
          <w:tcPr>
            <w:tcW w:w="4788" w:type="dxa"/>
            <w:shd w:val="clear" w:color="auto" w:fill="FFFFFF"/>
          </w:tcPr>
          <w:p w14:paraId="023F98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137</w:t>
            </w:r>
          </w:p>
        </w:tc>
      </w:tr>
      <w:tr w:rsidR="002B1C74" w:rsidRPr="002F2FDF" w14:paraId="4DBC2575" w14:textId="77777777">
        <w:tc>
          <w:tcPr>
            <w:tcW w:w="4788" w:type="dxa"/>
            <w:tcBorders>
              <w:bottom w:val="single" w:sz="12" w:space="0" w:color="auto"/>
            </w:tcBorders>
            <w:shd w:val="clear" w:color="auto" w:fill="FFFFFF"/>
          </w:tcPr>
          <w:p w14:paraId="5C9719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1914-1917 г.г.</w:t>
            </w:r>
          </w:p>
        </w:tc>
        <w:tc>
          <w:tcPr>
            <w:tcW w:w="4788" w:type="dxa"/>
            <w:tcBorders>
              <w:bottom w:val="single" w:sz="12" w:space="0" w:color="auto"/>
            </w:tcBorders>
            <w:shd w:val="clear" w:color="auto" w:fill="FFFFFF"/>
          </w:tcPr>
          <w:p w14:paraId="2BB159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1569 (2843).</w:t>
            </w:r>
          </w:p>
        </w:tc>
      </w:tr>
    </w:tbl>
    <w:p w14:paraId="45F5D9B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ADFDA7" w14:textId="77777777" w:rsidR="001B6ED4" w:rsidRPr="002F2FDF" w:rsidRDefault="001B6ED4"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г. стали известны предва</w:t>
      </w:r>
      <w:r w:rsidRPr="002F2FDF">
        <w:rPr>
          <w:rFonts w:ascii="Times New Roman" w:hAnsi="Times New Roman" w:cs="Times New Roman"/>
          <w:color w:val="000000" w:themeColor="text1"/>
          <w:kern w:val="2"/>
          <w:sz w:val="16"/>
          <w:szCs w:val="16"/>
        </w:rPr>
        <w:softHyphen/>
        <w:t>рительные расчеты для морского самолета типа Кертисса под мотор 150-160 л.с. и согласно им машина была способна развивать скорость 125-130 км/ч с полезной нагрузкой до 350 кг. Компания Дукс надеялась завершить испытания прототипа уже в мае, запустить серийное производство в июле, а в сентябре сдать флоту первые партии летающих лодок. Столь оп</w:t>
      </w:r>
      <w:r w:rsidRPr="002F2FDF">
        <w:rPr>
          <w:rFonts w:ascii="Times New Roman" w:hAnsi="Times New Roman" w:cs="Times New Roman"/>
          <w:color w:val="000000" w:themeColor="text1"/>
          <w:kern w:val="2"/>
          <w:sz w:val="16"/>
          <w:szCs w:val="16"/>
        </w:rPr>
        <w:softHyphen/>
        <w:t>тимистичные прогнозы кружили голову их составителям и привели, вероятно, к мысли об открытии николаевского отделения. В конечном же итоге ничего сделано не было. Согла</w:t>
      </w:r>
      <w:r w:rsidRPr="002F2FDF">
        <w:rPr>
          <w:rFonts w:ascii="Times New Roman" w:hAnsi="Times New Roman" w:cs="Times New Roman"/>
          <w:color w:val="000000" w:themeColor="text1"/>
          <w:kern w:val="2"/>
          <w:sz w:val="16"/>
          <w:szCs w:val="16"/>
        </w:rPr>
        <w:softHyphen/>
        <w:t>шение о выпуске аппаратов "Теллье" поставило окончательную точку в этой истории (2843).</w:t>
      </w:r>
    </w:p>
    <w:p w14:paraId="44E89DAD" w14:textId="77777777" w:rsidR="001B6ED4" w:rsidRPr="002F2FDF" w:rsidRDefault="001B6ED4"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F5BD8E" w14:textId="77777777" w:rsidR="001B6ED4" w:rsidRPr="002F2FDF" w:rsidRDefault="001B6ED4" w:rsidP="0083075A">
      <w:pPr>
        <w:spacing w:after="0" w:line="240" w:lineRule="auto"/>
        <w:jc w:val="both"/>
        <w:rPr>
          <w:rStyle w:val="10pt0"/>
          <w:rFonts w:ascii="Times New Roman" w:hAnsi="Times New Roman" w:cs="Times New Roman"/>
          <w:b w:val="0"/>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г., все</w:t>
      </w:r>
      <w:r w:rsidRPr="002F2FDF">
        <w:rPr>
          <w:rFonts w:ascii="Times New Roman" w:hAnsi="Times New Roman" w:cs="Times New Roman"/>
          <w:color w:val="000000" w:themeColor="text1"/>
          <w:kern w:val="2"/>
          <w:sz w:val="16"/>
          <w:szCs w:val="16"/>
        </w:rPr>
        <w:softHyphen/>
        <w:t>го за две недели (!) до отречения Николая II, Брежнев-Меллер «про</w:t>
      </w:r>
      <w:r w:rsidRPr="002F2FDF">
        <w:rPr>
          <w:rFonts w:ascii="Times New Roman" w:hAnsi="Times New Roman" w:cs="Times New Roman"/>
          <w:color w:val="000000" w:themeColor="text1"/>
          <w:kern w:val="2"/>
          <w:sz w:val="16"/>
          <w:szCs w:val="16"/>
        </w:rPr>
        <w:softHyphen/>
        <w:t>лоббировал» царский указ, по которому земли общины ямщиков и не</w:t>
      </w:r>
      <w:r w:rsidRPr="002F2FDF">
        <w:rPr>
          <w:rFonts w:ascii="Times New Roman" w:hAnsi="Times New Roman" w:cs="Times New Roman"/>
          <w:color w:val="000000" w:themeColor="text1"/>
          <w:kern w:val="2"/>
          <w:sz w:val="16"/>
          <w:szCs w:val="16"/>
        </w:rPr>
        <w:softHyphen/>
        <w:t>коей М.С. Жемлички по соседству с заводом, которые в 1910-е годы никак</w:t>
      </w:r>
      <w:r w:rsidRPr="002F2FDF">
        <w:rPr>
          <w:rStyle w:val="10pt0"/>
          <w:rFonts w:ascii="Times New Roman" w:hAnsi="Times New Roman" w:cs="Times New Roman"/>
          <w:b w:val="0"/>
          <w:color w:val="000000" w:themeColor="text1"/>
          <w:kern w:val="2"/>
          <w:sz w:val="16"/>
          <w:szCs w:val="16"/>
        </w:rPr>
        <w:t xml:space="preserve"> не удавалось</w:t>
      </w:r>
      <w:r w:rsidRPr="002F2FDF">
        <w:rPr>
          <w:rFonts w:ascii="Times New Roman" w:hAnsi="Times New Roman" w:cs="Times New Roman"/>
          <w:color w:val="000000" w:themeColor="text1"/>
          <w:kern w:val="2"/>
          <w:sz w:val="16"/>
          <w:szCs w:val="16"/>
        </w:rPr>
        <w:t xml:space="preserve"> при</w:t>
      </w:r>
      <w:r w:rsidRPr="002F2FDF">
        <w:rPr>
          <w:rFonts w:ascii="Times New Roman" w:hAnsi="Times New Roman" w:cs="Times New Roman"/>
          <w:color w:val="000000" w:themeColor="text1"/>
          <w:kern w:val="2"/>
          <w:sz w:val="16"/>
          <w:szCs w:val="16"/>
        </w:rPr>
        <w:softHyphen/>
      </w:r>
      <w:r w:rsidRPr="002F2FDF">
        <w:rPr>
          <w:rStyle w:val="10pt0"/>
          <w:rFonts w:ascii="Times New Roman" w:hAnsi="Times New Roman" w:cs="Times New Roman"/>
          <w:b w:val="0"/>
          <w:color w:val="000000" w:themeColor="text1"/>
          <w:kern w:val="2"/>
          <w:sz w:val="16"/>
          <w:szCs w:val="16"/>
        </w:rPr>
        <w:t>обрести или хотя</w:t>
      </w:r>
      <w:r w:rsidRPr="002F2FDF">
        <w:rPr>
          <w:rFonts w:ascii="Times New Roman" w:hAnsi="Times New Roman" w:cs="Times New Roman"/>
          <w:color w:val="000000" w:themeColor="text1"/>
          <w:kern w:val="2"/>
          <w:sz w:val="16"/>
          <w:szCs w:val="16"/>
        </w:rPr>
        <w:t xml:space="preserve"> бы </w:t>
      </w:r>
      <w:r w:rsidRPr="002F2FDF">
        <w:rPr>
          <w:rStyle w:val="10pt0"/>
          <w:rFonts w:ascii="Times New Roman" w:hAnsi="Times New Roman" w:cs="Times New Roman"/>
          <w:b w:val="0"/>
          <w:color w:val="000000" w:themeColor="text1"/>
          <w:kern w:val="2"/>
          <w:sz w:val="16"/>
          <w:szCs w:val="16"/>
        </w:rPr>
        <w:t>взять в долгосрочную аренду «отчуждались для нужд военного ведомства», т.е. фактически передавапись</w:t>
      </w:r>
      <w:r w:rsidRPr="002F2FDF">
        <w:rPr>
          <w:rFonts w:ascii="Times New Roman" w:hAnsi="Times New Roman" w:cs="Times New Roman"/>
          <w:color w:val="000000" w:themeColor="text1"/>
          <w:kern w:val="2"/>
          <w:sz w:val="16"/>
          <w:szCs w:val="16"/>
        </w:rPr>
        <w:t xml:space="preserve"> «Дуксу» для </w:t>
      </w:r>
      <w:r w:rsidRPr="002F2FDF">
        <w:rPr>
          <w:rStyle w:val="10pt0"/>
          <w:rFonts w:ascii="Times New Roman" w:hAnsi="Times New Roman" w:cs="Times New Roman"/>
          <w:b w:val="0"/>
          <w:color w:val="000000" w:themeColor="text1"/>
          <w:kern w:val="2"/>
          <w:sz w:val="16"/>
          <w:szCs w:val="16"/>
        </w:rPr>
        <w:t>расширения</w:t>
      </w:r>
      <w:r w:rsidRPr="002F2FDF">
        <w:rPr>
          <w:rFonts w:ascii="Times New Roman" w:hAnsi="Times New Roman" w:cs="Times New Roman"/>
          <w:color w:val="000000" w:themeColor="text1"/>
          <w:kern w:val="2"/>
          <w:sz w:val="16"/>
          <w:szCs w:val="16"/>
        </w:rPr>
        <w:t xml:space="preserve"> производства (15761)</w:t>
      </w:r>
      <w:r w:rsidRPr="002F2FDF">
        <w:rPr>
          <w:rStyle w:val="10pt0"/>
          <w:rFonts w:ascii="Times New Roman" w:hAnsi="Times New Roman" w:cs="Times New Roman"/>
          <w:b w:val="0"/>
          <w:color w:val="000000" w:themeColor="text1"/>
          <w:kern w:val="2"/>
          <w:sz w:val="16"/>
          <w:szCs w:val="16"/>
        </w:rPr>
        <w:t>.</w:t>
      </w:r>
    </w:p>
    <w:p w14:paraId="3075C3E8" w14:textId="77777777" w:rsidR="001B6ED4" w:rsidRPr="002F2FDF" w:rsidRDefault="001B6ED4" w:rsidP="0083075A">
      <w:pPr>
        <w:spacing w:after="0" w:line="240" w:lineRule="auto"/>
        <w:jc w:val="both"/>
        <w:rPr>
          <w:rStyle w:val="10pt0"/>
          <w:rFonts w:ascii="Times New Roman" w:hAnsi="Times New Roman" w:cs="Times New Roman"/>
          <w:b w:val="0"/>
          <w:color w:val="000000" w:themeColor="text1"/>
          <w:kern w:val="2"/>
          <w:sz w:val="16"/>
          <w:szCs w:val="16"/>
        </w:rPr>
      </w:pPr>
    </w:p>
    <w:p w14:paraId="30E97486" w14:textId="77777777" w:rsidR="001B6ED4" w:rsidRPr="002F2FDF" w:rsidRDefault="001B6ED4"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Меллер “пролоббировал” царский указ об отчуждении участков земли для нужд военного ведомства (9651).</w:t>
      </w:r>
    </w:p>
    <w:p w14:paraId="0727F8F9" w14:textId="77777777" w:rsidR="001B6ED4" w:rsidRPr="002F2FDF" w:rsidRDefault="001B6ED4"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871617" w14:textId="77777777" w:rsidR="001B6ED4" w:rsidRPr="002F2FDF" w:rsidRDefault="001B6ED4"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В феврале 1917 г., проинспектировав авиацию Юго-Западного фронта, В.М.Тка чев докладывал Великому князю о том, что имеет место «небрежная постройка самолетов русскими заводами, в особенности заводом «Дукс». Эго выяснилось на фронте в 4-м Сибирском као и в 8-м истребительном: «По заявлению командира отряда, не могли собрать «Бебе» завода «Дукс» вследствие того, что части самолета не подходили друг к другу; во втором — в полете вылетали стойки хвостовой фермы вследствие поломки болтов, скрепляющих стойки с лонжеронами.» (15464).</w:t>
      </w:r>
    </w:p>
    <w:p w14:paraId="10673B96" w14:textId="77777777" w:rsidR="001B6ED4" w:rsidRPr="002F2FDF" w:rsidRDefault="001B6ED4" w:rsidP="0083075A">
      <w:pPr>
        <w:pStyle w:val="2"/>
        <w:spacing w:before="0" w:beforeAutospacing="0" w:after="0" w:afterAutospacing="0"/>
        <w:jc w:val="both"/>
        <w:rPr>
          <w:b w:val="0"/>
          <w:color w:val="000000" w:themeColor="text1"/>
          <w:kern w:val="2"/>
          <w:sz w:val="16"/>
          <w:szCs w:val="16"/>
        </w:rPr>
      </w:pPr>
    </w:p>
    <w:p w14:paraId="3E3B6DFF"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феврале 1917 г. В.М. Ткачевым отмечалась «небрежная постройка самолетов русскими заводами, в особенности заводом “Дукс”, что выяснено, главным образом, в 8-м истребительном и 4-м сибирском корпусном авиационных отрядах. В первом, по заявлению командира отряда, не смогли собрать “Бебе” («Ньюпор-11») завода “Дукс” вследствие того, что части самолета не подходят друг к другу; во втором — в полете [на «Фарман-30»] вылетали стойки хвостовой фермы вследствие поломки болтов, скрепляющих стойки с лонжеронами» (23472).</w:t>
      </w:r>
    </w:p>
    <w:p w14:paraId="08F79BB1" w14:textId="77777777" w:rsidR="008774AD" w:rsidRPr="00FB4F67" w:rsidRDefault="008774AD" w:rsidP="0083075A">
      <w:pPr>
        <w:spacing w:after="0" w:line="240" w:lineRule="auto"/>
        <w:jc w:val="both"/>
        <w:rPr>
          <w:rFonts w:ascii="Times New Roman" w:hAnsi="Times New Roman" w:cs="Times New Roman"/>
          <w:color w:val="0070C0"/>
          <w:sz w:val="16"/>
          <w:szCs w:val="16"/>
        </w:rPr>
      </w:pPr>
    </w:p>
    <w:p w14:paraId="6365AB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г. чтобы определить целе</w:t>
      </w:r>
      <w:r w:rsidRPr="002F2FDF">
        <w:rPr>
          <w:rFonts w:ascii="Times New Roman" w:hAnsi="Times New Roman" w:cs="Times New Roman"/>
          <w:color w:val="000000" w:themeColor="text1"/>
          <w:kern w:val="2"/>
          <w:sz w:val="16"/>
          <w:szCs w:val="16"/>
        </w:rPr>
        <w:softHyphen/>
        <w:t>сообразность постройки летающих лодок штабс-капитана Энгельса была создана ко</w:t>
      </w:r>
      <w:r w:rsidRPr="002F2FDF">
        <w:rPr>
          <w:rFonts w:ascii="Times New Roman" w:hAnsi="Times New Roman" w:cs="Times New Roman"/>
          <w:color w:val="000000" w:themeColor="text1"/>
          <w:kern w:val="2"/>
          <w:sz w:val="16"/>
          <w:szCs w:val="16"/>
        </w:rPr>
        <w:softHyphen/>
        <w:t>миссия. Эксперты пришли к выводу, что «постройка аппаратов со ско</w:t>
      </w:r>
      <w:r w:rsidRPr="002F2FDF">
        <w:rPr>
          <w:rFonts w:ascii="Times New Roman" w:hAnsi="Times New Roman" w:cs="Times New Roman"/>
          <w:color w:val="000000" w:themeColor="text1"/>
          <w:kern w:val="2"/>
          <w:sz w:val="16"/>
          <w:szCs w:val="16"/>
        </w:rPr>
        <w:softHyphen/>
        <w:t>ростью 170 км/ч желательна и что самолет Энгельса соответствовал всем требованиям гидроавиации». 27 апреля 1917 г. Заводу Мель- цера заказали 60 самолетов Эн</w:t>
      </w:r>
      <w:r w:rsidRPr="002F2FDF">
        <w:rPr>
          <w:rFonts w:ascii="Times New Roman" w:hAnsi="Times New Roman" w:cs="Times New Roman"/>
          <w:color w:val="000000" w:themeColor="text1"/>
          <w:kern w:val="2"/>
          <w:sz w:val="16"/>
          <w:szCs w:val="16"/>
        </w:rPr>
        <w:softHyphen/>
        <w:t>гельса. Руководить работой пригла</w:t>
      </w:r>
      <w:r w:rsidRPr="002F2FDF">
        <w:rPr>
          <w:rFonts w:ascii="Times New Roman" w:hAnsi="Times New Roman" w:cs="Times New Roman"/>
          <w:color w:val="000000" w:themeColor="text1"/>
          <w:kern w:val="2"/>
          <w:sz w:val="16"/>
          <w:szCs w:val="16"/>
        </w:rPr>
        <w:softHyphen/>
        <w:t>сили А.Ю. Виллиша. Установили бо</w:t>
      </w:r>
      <w:r w:rsidRPr="002F2FDF">
        <w:rPr>
          <w:rFonts w:ascii="Times New Roman" w:hAnsi="Times New Roman" w:cs="Times New Roman"/>
          <w:color w:val="000000" w:themeColor="text1"/>
          <w:kern w:val="2"/>
          <w:sz w:val="16"/>
          <w:szCs w:val="16"/>
        </w:rPr>
        <w:softHyphen/>
        <w:t>лее мощный двигатель "Рон" в 120 л. с. Постройка первого самолета этой серии закончилась 24 авгус</w:t>
      </w:r>
      <w:r w:rsidRPr="002F2FDF">
        <w:rPr>
          <w:rFonts w:ascii="Times New Roman" w:hAnsi="Times New Roman" w:cs="Times New Roman"/>
          <w:color w:val="000000" w:themeColor="text1"/>
          <w:kern w:val="2"/>
          <w:sz w:val="16"/>
          <w:szCs w:val="16"/>
        </w:rPr>
        <w:softHyphen/>
        <w:t>та, второго - 9 сентября. Первое испытание самолета "Энгельс-ПГ (как его стали называть), которое проводил лейтенант Яковицкий, по</w:t>
      </w:r>
      <w:r w:rsidRPr="002F2FDF">
        <w:rPr>
          <w:rFonts w:ascii="Times New Roman" w:hAnsi="Times New Roman" w:cs="Times New Roman"/>
          <w:color w:val="000000" w:themeColor="text1"/>
          <w:kern w:val="2"/>
          <w:sz w:val="16"/>
          <w:szCs w:val="16"/>
        </w:rPr>
        <w:softHyphen/>
        <w:t>казало, что самолет зарывается на рулении правым крылом из-за ре</w:t>
      </w:r>
      <w:r w:rsidRPr="002F2FDF">
        <w:rPr>
          <w:rFonts w:ascii="Times New Roman" w:hAnsi="Times New Roman" w:cs="Times New Roman"/>
          <w:color w:val="000000" w:themeColor="text1"/>
          <w:kern w:val="2"/>
          <w:sz w:val="16"/>
          <w:szCs w:val="16"/>
        </w:rPr>
        <w:softHyphen/>
        <w:t>акции винта и не отрывается. В законцовку левого крыла помести</w:t>
      </w:r>
      <w:r w:rsidRPr="002F2FDF">
        <w:rPr>
          <w:rFonts w:ascii="Times New Roman" w:hAnsi="Times New Roman" w:cs="Times New Roman"/>
          <w:color w:val="000000" w:themeColor="text1"/>
          <w:kern w:val="2"/>
          <w:sz w:val="16"/>
          <w:szCs w:val="16"/>
        </w:rPr>
        <w:softHyphen/>
        <w:t>ли груз в 5 кг. Это помогло. 10 ок</w:t>
      </w:r>
      <w:r w:rsidRPr="002F2FDF">
        <w:rPr>
          <w:rFonts w:ascii="Times New Roman" w:hAnsi="Times New Roman" w:cs="Times New Roman"/>
          <w:color w:val="000000" w:themeColor="text1"/>
          <w:kern w:val="2"/>
          <w:sz w:val="16"/>
          <w:szCs w:val="16"/>
        </w:rPr>
        <w:softHyphen/>
        <w:t>тября 1917 г. первый самолет был сдан морскому ведомству. Второй передан не вполне законченным и лишь в марте 1920 г. Военно-морс</w:t>
      </w:r>
      <w:r w:rsidRPr="002F2FDF">
        <w:rPr>
          <w:rFonts w:ascii="Times New Roman" w:hAnsi="Times New Roman" w:cs="Times New Roman"/>
          <w:color w:val="000000" w:themeColor="text1"/>
          <w:kern w:val="2"/>
          <w:sz w:val="16"/>
          <w:szCs w:val="16"/>
        </w:rPr>
        <w:softHyphen/>
        <w:t>кой школе авиации, эвакуирован</w:t>
      </w:r>
      <w:r w:rsidRPr="002F2FDF">
        <w:rPr>
          <w:rFonts w:ascii="Times New Roman" w:hAnsi="Times New Roman" w:cs="Times New Roman"/>
          <w:color w:val="000000" w:themeColor="text1"/>
          <w:kern w:val="2"/>
          <w:sz w:val="16"/>
          <w:szCs w:val="16"/>
        </w:rPr>
        <w:softHyphen/>
        <w:t>ной в Нижний Новгород; самолет был окончательно завершен и ис</w:t>
      </w:r>
      <w:r w:rsidRPr="002F2FDF">
        <w:rPr>
          <w:rFonts w:ascii="Times New Roman" w:hAnsi="Times New Roman" w:cs="Times New Roman"/>
          <w:color w:val="000000" w:themeColor="text1"/>
          <w:kern w:val="2"/>
          <w:sz w:val="16"/>
          <w:szCs w:val="16"/>
        </w:rPr>
        <w:softHyphen/>
        <w:t>пытан на лыжах. Осенью школа перебазировалась в другой город, где через год самолет, уже сомни</w:t>
      </w:r>
      <w:r w:rsidRPr="002F2FDF">
        <w:rPr>
          <w:rFonts w:ascii="Times New Roman" w:hAnsi="Times New Roman" w:cs="Times New Roman"/>
          <w:color w:val="000000" w:themeColor="text1"/>
          <w:kern w:val="2"/>
          <w:sz w:val="16"/>
          <w:szCs w:val="16"/>
        </w:rPr>
        <w:softHyphen/>
        <w:t>тельной сохранности испытан С. А. Кочеригиным. При попытке разбе</w:t>
      </w:r>
      <w:r w:rsidRPr="002F2FDF">
        <w:rPr>
          <w:rFonts w:ascii="Times New Roman" w:hAnsi="Times New Roman" w:cs="Times New Roman"/>
          <w:color w:val="000000" w:themeColor="text1"/>
          <w:kern w:val="2"/>
          <w:sz w:val="16"/>
          <w:szCs w:val="16"/>
        </w:rPr>
        <w:softHyphen/>
        <w:t>га отломались поплавки вместе с опущенными концами крыльев, са</w:t>
      </w:r>
      <w:r w:rsidRPr="002F2FDF">
        <w:rPr>
          <w:rFonts w:ascii="Times New Roman" w:hAnsi="Times New Roman" w:cs="Times New Roman"/>
          <w:color w:val="000000" w:themeColor="text1"/>
          <w:kern w:val="2"/>
          <w:sz w:val="16"/>
          <w:szCs w:val="16"/>
        </w:rPr>
        <w:softHyphen/>
        <w:t>молёт реконструировали, поставив поплавки от М-5 на стойках. При второй попытке произошел капот на разбеге, после чего самолет уже не восстанавливали (11872).</w:t>
      </w:r>
    </w:p>
    <w:p w14:paraId="4E600F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84731F"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феврале 1917 года, когда шок от гибели Е.Р. Энгельса прошел, Ф.А Мель</w:t>
      </w:r>
      <w:r w:rsidRPr="00FB4F67">
        <w:rPr>
          <w:rFonts w:ascii="Times New Roman" w:hAnsi="Times New Roman" w:cs="Times New Roman"/>
          <w:color w:val="0070C0"/>
          <w:sz w:val="16"/>
          <w:szCs w:val="16"/>
        </w:rPr>
        <w:softHyphen/>
        <w:t>цер решился напомнить МГШ о перспек</w:t>
      </w:r>
      <w:r w:rsidRPr="00FB4F67">
        <w:rPr>
          <w:rFonts w:ascii="Times New Roman" w:hAnsi="Times New Roman" w:cs="Times New Roman"/>
          <w:color w:val="0070C0"/>
          <w:sz w:val="16"/>
          <w:szCs w:val="16"/>
        </w:rPr>
        <w:softHyphen/>
        <w:t>тивном гидроистребителе. Он писал, что на испытаниях самолет показал от</w:t>
      </w:r>
      <w:r w:rsidRPr="00FB4F67">
        <w:rPr>
          <w:rFonts w:ascii="Times New Roman" w:hAnsi="Times New Roman" w:cs="Times New Roman"/>
          <w:color w:val="0070C0"/>
          <w:sz w:val="16"/>
          <w:szCs w:val="16"/>
        </w:rPr>
        <w:softHyphen/>
        <w:t>личные летные данные, на заводе оста</w:t>
      </w:r>
      <w:r w:rsidRPr="00FB4F67">
        <w:rPr>
          <w:rFonts w:ascii="Times New Roman" w:hAnsi="Times New Roman" w:cs="Times New Roman"/>
          <w:color w:val="0070C0"/>
          <w:sz w:val="16"/>
          <w:szCs w:val="16"/>
        </w:rPr>
        <w:softHyphen/>
        <w:t>лись все чертежи, лекала и стапель, и он готов, при наличии заказа, поставить до 300 гидропланов Энгельса. Комиссия БОШМА, расследовавшая причины ава</w:t>
      </w:r>
      <w:r w:rsidRPr="00FB4F67">
        <w:rPr>
          <w:rFonts w:ascii="Times New Roman" w:hAnsi="Times New Roman" w:cs="Times New Roman"/>
          <w:color w:val="0070C0"/>
          <w:sz w:val="16"/>
          <w:szCs w:val="16"/>
        </w:rPr>
        <w:softHyphen/>
        <w:t>рии, в свою очередь, постановила, что начатую изобретателем работу следует продолжить, передав ее в опытные руки, пересмотрев все чертежи и расчеты для выяснения вопросов, связанных с прочностью самолета, и усилив слабые места, в частности, крепление крыла.</w:t>
      </w:r>
    </w:p>
    <w:p w14:paraId="49414CFE"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 всех производило впечатление, на</w:t>
      </w:r>
      <w:r w:rsidRPr="00FB4F67">
        <w:rPr>
          <w:rFonts w:ascii="Times New Roman" w:hAnsi="Times New Roman" w:cs="Times New Roman"/>
          <w:color w:val="0070C0"/>
          <w:sz w:val="16"/>
          <w:szCs w:val="16"/>
        </w:rPr>
        <w:softHyphen/>
        <w:t>сколько гидроистребитель Энгельса пре</w:t>
      </w:r>
      <w:r w:rsidRPr="00FB4F67">
        <w:rPr>
          <w:rFonts w:ascii="Times New Roman" w:hAnsi="Times New Roman" w:cs="Times New Roman"/>
          <w:color w:val="0070C0"/>
          <w:sz w:val="16"/>
          <w:szCs w:val="16"/>
        </w:rPr>
        <w:softHyphen/>
        <w:t>восходил по летным характеристикам М-11 и М-12 Григоровича</w:t>
      </w:r>
    </w:p>
    <w:p w14:paraId="69339938"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Технические характеристики гидроистребителей Григоровича и Энгельса</w:t>
      </w:r>
    </w:p>
    <w:tbl>
      <w:tblPr>
        <w:tblOverlap w:val="never"/>
        <w:tblW w:w="0" w:type="auto"/>
        <w:tblLayout w:type="fixed"/>
        <w:tblCellMar>
          <w:left w:w="10" w:type="dxa"/>
          <w:right w:w="10" w:type="dxa"/>
        </w:tblCellMar>
        <w:tblLook w:val="04A0" w:firstRow="1" w:lastRow="0" w:firstColumn="1" w:lastColumn="0" w:noHBand="0" w:noVBand="1"/>
      </w:tblPr>
      <w:tblGrid>
        <w:gridCol w:w="2304"/>
        <w:gridCol w:w="2405"/>
        <w:gridCol w:w="2458"/>
      </w:tblGrid>
      <w:tr w:rsidR="008774AD" w:rsidRPr="00FB4F67" w14:paraId="62B0FE8A" w14:textId="77777777" w:rsidTr="00B85784">
        <w:trPr>
          <w:trHeight w:val="269"/>
        </w:trPr>
        <w:tc>
          <w:tcPr>
            <w:tcW w:w="2304" w:type="dxa"/>
            <w:tcBorders>
              <w:top w:val="single" w:sz="4" w:space="0" w:color="auto"/>
              <w:left w:val="single" w:sz="4" w:space="0" w:color="auto"/>
            </w:tcBorders>
            <w:shd w:val="clear" w:color="auto" w:fill="auto"/>
            <w:vAlign w:val="bottom"/>
          </w:tcPr>
          <w:p w14:paraId="7B89D73A"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Самолет</w:t>
            </w:r>
          </w:p>
        </w:tc>
        <w:tc>
          <w:tcPr>
            <w:tcW w:w="2405" w:type="dxa"/>
            <w:tcBorders>
              <w:top w:val="single" w:sz="4" w:space="0" w:color="auto"/>
              <w:left w:val="single" w:sz="4" w:space="0" w:color="auto"/>
            </w:tcBorders>
            <w:shd w:val="clear" w:color="auto" w:fill="auto"/>
            <w:vAlign w:val="bottom"/>
          </w:tcPr>
          <w:p w14:paraId="7212BCC2"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Григорович М-11</w:t>
            </w:r>
          </w:p>
        </w:tc>
        <w:tc>
          <w:tcPr>
            <w:tcW w:w="2458" w:type="dxa"/>
            <w:tcBorders>
              <w:top w:val="single" w:sz="4" w:space="0" w:color="auto"/>
              <w:left w:val="single" w:sz="4" w:space="0" w:color="auto"/>
              <w:right w:val="single" w:sz="4" w:space="0" w:color="auto"/>
            </w:tcBorders>
            <w:shd w:val="clear" w:color="auto" w:fill="auto"/>
            <w:vAlign w:val="bottom"/>
          </w:tcPr>
          <w:p w14:paraId="53E065DF"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Энгельс Э.П</w:t>
            </w:r>
          </w:p>
        </w:tc>
      </w:tr>
      <w:tr w:rsidR="008774AD" w:rsidRPr="00FB4F67" w14:paraId="7ED95279" w14:textId="77777777" w:rsidTr="00B85784">
        <w:trPr>
          <w:trHeight w:val="264"/>
        </w:trPr>
        <w:tc>
          <w:tcPr>
            <w:tcW w:w="2304" w:type="dxa"/>
            <w:tcBorders>
              <w:top w:val="single" w:sz="4" w:space="0" w:color="auto"/>
              <w:left w:val="single" w:sz="4" w:space="0" w:color="auto"/>
            </w:tcBorders>
            <w:shd w:val="clear" w:color="auto" w:fill="auto"/>
            <w:vAlign w:val="bottom"/>
          </w:tcPr>
          <w:p w14:paraId="3B21EEDE"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Год</w:t>
            </w:r>
          </w:p>
        </w:tc>
        <w:tc>
          <w:tcPr>
            <w:tcW w:w="2405" w:type="dxa"/>
            <w:tcBorders>
              <w:top w:val="single" w:sz="4" w:space="0" w:color="auto"/>
              <w:left w:val="single" w:sz="4" w:space="0" w:color="auto"/>
            </w:tcBorders>
            <w:shd w:val="clear" w:color="auto" w:fill="auto"/>
            <w:vAlign w:val="bottom"/>
          </w:tcPr>
          <w:p w14:paraId="1FD5825B"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1916</w:t>
            </w:r>
          </w:p>
        </w:tc>
        <w:tc>
          <w:tcPr>
            <w:tcW w:w="2458" w:type="dxa"/>
            <w:tcBorders>
              <w:top w:val="single" w:sz="4" w:space="0" w:color="auto"/>
              <w:left w:val="single" w:sz="4" w:space="0" w:color="auto"/>
              <w:right w:val="single" w:sz="4" w:space="0" w:color="auto"/>
            </w:tcBorders>
            <w:shd w:val="clear" w:color="auto" w:fill="auto"/>
            <w:vAlign w:val="bottom"/>
          </w:tcPr>
          <w:p w14:paraId="5CF6B061"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1916</w:t>
            </w:r>
          </w:p>
        </w:tc>
      </w:tr>
      <w:tr w:rsidR="008774AD" w:rsidRPr="00FB4F67" w14:paraId="143726BB" w14:textId="77777777" w:rsidTr="00B85784">
        <w:trPr>
          <w:trHeight w:val="269"/>
        </w:trPr>
        <w:tc>
          <w:tcPr>
            <w:tcW w:w="2304" w:type="dxa"/>
            <w:tcBorders>
              <w:top w:val="single" w:sz="4" w:space="0" w:color="auto"/>
              <w:left w:val="single" w:sz="4" w:space="0" w:color="auto"/>
            </w:tcBorders>
            <w:shd w:val="clear" w:color="auto" w:fill="auto"/>
            <w:vAlign w:val="bottom"/>
          </w:tcPr>
          <w:p w14:paraId="723DF8F8"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Двигатель</w:t>
            </w:r>
          </w:p>
        </w:tc>
        <w:tc>
          <w:tcPr>
            <w:tcW w:w="2405" w:type="dxa"/>
            <w:tcBorders>
              <w:top w:val="single" w:sz="4" w:space="0" w:color="auto"/>
              <w:left w:val="single" w:sz="4" w:space="0" w:color="auto"/>
            </w:tcBorders>
            <w:shd w:val="clear" w:color="auto" w:fill="auto"/>
            <w:vAlign w:val="bottom"/>
          </w:tcPr>
          <w:p w14:paraId="4E853C9A"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«Гном-Моносупап»</w:t>
            </w:r>
          </w:p>
        </w:tc>
        <w:tc>
          <w:tcPr>
            <w:tcW w:w="2458" w:type="dxa"/>
            <w:tcBorders>
              <w:top w:val="single" w:sz="4" w:space="0" w:color="auto"/>
              <w:left w:val="single" w:sz="4" w:space="0" w:color="auto"/>
              <w:right w:val="single" w:sz="4" w:space="0" w:color="auto"/>
            </w:tcBorders>
            <w:shd w:val="clear" w:color="auto" w:fill="auto"/>
            <w:vAlign w:val="bottom"/>
          </w:tcPr>
          <w:p w14:paraId="6872B92F"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«Гном-Моносупап»</w:t>
            </w:r>
          </w:p>
        </w:tc>
      </w:tr>
      <w:tr w:rsidR="008774AD" w:rsidRPr="00FB4F67" w14:paraId="5C6D78E9" w14:textId="77777777" w:rsidTr="00B85784">
        <w:trPr>
          <w:trHeight w:val="269"/>
        </w:trPr>
        <w:tc>
          <w:tcPr>
            <w:tcW w:w="2304" w:type="dxa"/>
            <w:tcBorders>
              <w:top w:val="single" w:sz="4" w:space="0" w:color="auto"/>
              <w:left w:val="single" w:sz="4" w:space="0" w:color="auto"/>
            </w:tcBorders>
            <w:shd w:val="clear" w:color="auto" w:fill="auto"/>
            <w:vAlign w:val="bottom"/>
          </w:tcPr>
          <w:p w14:paraId="22D58191"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Мощность двигателя, л.с.</w:t>
            </w:r>
          </w:p>
        </w:tc>
        <w:tc>
          <w:tcPr>
            <w:tcW w:w="2405" w:type="dxa"/>
            <w:tcBorders>
              <w:top w:val="single" w:sz="4" w:space="0" w:color="auto"/>
              <w:left w:val="single" w:sz="4" w:space="0" w:color="auto"/>
            </w:tcBorders>
            <w:shd w:val="clear" w:color="auto" w:fill="auto"/>
            <w:vAlign w:val="bottom"/>
          </w:tcPr>
          <w:p w14:paraId="73D862E7"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100</w:t>
            </w:r>
          </w:p>
        </w:tc>
        <w:tc>
          <w:tcPr>
            <w:tcW w:w="2458" w:type="dxa"/>
            <w:tcBorders>
              <w:top w:val="single" w:sz="4" w:space="0" w:color="auto"/>
              <w:left w:val="single" w:sz="4" w:space="0" w:color="auto"/>
              <w:right w:val="single" w:sz="4" w:space="0" w:color="auto"/>
            </w:tcBorders>
            <w:shd w:val="clear" w:color="auto" w:fill="auto"/>
            <w:vAlign w:val="bottom"/>
          </w:tcPr>
          <w:p w14:paraId="4F571FD8"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100</w:t>
            </w:r>
          </w:p>
        </w:tc>
      </w:tr>
      <w:tr w:rsidR="008774AD" w:rsidRPr="00FB4F67" w14:paraId="479AB755" w14:textId="77777777" w:rsidTr="00B85784">
        <w:trPr>
          <w:trHeight w:val="269"/>
        </w:trPr>
        <w:tc>
          <w:tcPr>
            <w:tcW w:w="2304" w:type="dxa"/>
            <w:tcBorders>
              <w:top w:val="single" w:sz="4" w:space="0" w:color="auto"/>
              <w:left w:val="single" w:sz="4" w:space="0" w:color="auto"/>
            </w:tcBorders>
            <w:shd w:val="clear" w:color="auto" w:fill="auto"/>
            <w:vAlign w:val="bottom"/>
          </w:tcPr>
          <w:p w14:paraId="6EC45B82"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Размах крыла, м</w:t>
            </w:r>
          </w:p>
        </w:tc>
        <w:tc>
          <w:tcPr>
            <w:tcW w:w="2405" w:type="dxa"/>
            <w:tcBorders>
              <w:top w:val="single" w:sz="4" w:space="0" w:color="auto"/>
              <w:left w:val="single" w:sz="4" w:space="0" w:color="auto"/>
            </w:tcBorders>
            <w:shd w:val="clear" w:color="auto" w:fill="auto"/>
            <w:vAlign w:val="bottom"/>
          </w:tcPr>
          <w:p w14:paraId="7DF77466"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8,7</w:t>
            </w:r>
          </w:p>
        </w:tc>
        <w:tc>
          <w:tcPr>
            <w:tcW w:w="2458" w:type="dxa"/>
            <w:tcBorders>
              <w:top w:val="single" w:sz="4" w:space="0" w:color="auto"/>
              <w:left w:val="single" w:sz="4" w:space="0" w:color="auto"/>
              <w:right w:val="single" w:sz="4" w:space="0" w:color="auto"/>
            </w:tcBorders>
            <w:shd w:val="clear" w:color="auto" w:fill="auto"/>
            <w:vAlign w:val="bottom"/>
          </w:tcPr>
          <w:p w14:paraId="193955BB"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9,0</w:t>
            </w:r>
          </w:p>
        </w:tc>
      </w:tr>
      <w:tr w:rsidR="008774AD" w:rsidRPr="00FB4F67" w14:paraId="21D159DB" w14:textId="77777777" w:rsidTr="00B85784">
        <w:trPr>
          <w:trHeight w:val="269"/>
        </w:trPr>
        <w:tc>
          <w:tcPr>
            <w:tcW w:w="2304" w:type="dxa"/>
            <w:tcBorders>
              <w:top w:val="single" w:sz="4" w:space="0" w:color="auto"/>
              <w:left w:val="single" w:sz="4" w:space="0" w:color="auto"/>
            </w:tcBorders>
            <w:shd w:val="clear" w:color="auto" w:fill="auto"/>
            <w:vAlign w:val="bottom"/>
          </w:tcPr>
          <w:p w14:paraId="15780DE6"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Длина самолета, м</w:t>
            </w:r>
          </w:p>
        </w:tc>
        <w:tc>
          <w:tcPr>
            <w:tcW w:w="2405" w:type="dxa"/>
            <w:tcBorders>
              <w:top w:val="single" w:sz="4" w:space="0" w:color="auto"/>
              <w:left w:val="single" w:sz="4" w:space="0" w:color="auto"/>
            </w:tcBorders>
            <w:shd w:val="clear" w:color="auto" w:fill="auto"/>
            <w:vAlign w:val="bottom"/>
          </w:tcPr>
          <w:p w14:paraId="39B9F81D"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7,66</w:t>
            </w:r>
          </w:p>
        </w:tc>
        <w:tc>
          <w:tcPr>
            <w:tcW w:w="2458" w:type="dxa"/>
            <w:tcBorders>
              <w:top w:val="single" w:sz="4" w:space="0" w:color="auto"/>
              <w:left w:val="single" w:sz="4" w:space="0" w:color="auto"/>
              <w:right w:val="single" w:sz="4" w:space="0" w:color="auto"/>
            </w:tcBorders>
            <w:shd w:val="clear" w:color="auto" w:fill="auto"/>
            <w:vAlign w:val="bottom"/>
          </w:tcPr>
          <w:p w14:paraId="2E7035EC"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7,5</w:t>
            </w:r>
          </w:p>
        </w:tc>
      </w:tr>
      <w:tr w:rsidR="008774AD" w:rsidRPr="00FB4F67" w14:paraId="0A24D64C" w14:textId="77777777" w:rsidTr="00B85784">
        <w:trPr>
          <w:trHeight w:val="264"/>
        </w:trPr>
        <w:tc>
          <w:tcPr>
            <w:tcW w:w="2304" w:type="dxa"/>
            <w:tcBorders>
              <w:top w:val="single" w:sz="4" w:space="0" w:color="auto"/>
              <w:left w:val="single" w:sz="4" w:space="0" w:color="auto"/>
            </w:tcBorders>
            <w:shd w:val="clear" w:color="auto" w:fill="auto"/>
            <w:vAlign w:val="bottom"/>
          </w:tcPr>
          <w:p w14:paraId="7770E618"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Площадь крыльев, м2</w:t>
            </w:r>
          </w:p>
        </w:tc>
        <w:tc>
          <w:tcPr>
            <w:tcW w:w="2405" w:type="dxa"/>
            <w:tcBorders>
              <w:top w:val="single" w:sz="4" w:space="0" w:color="auto"/>
              <w:left w:val="single" w:sz="4" w:space="0" w:color="auto"/>
            </w:tcBorders>
            <w:shd w:val="clear" w:color="auto" w:fill="auto"/>
            <w:vAlign w:val="bottom"/>
          </w:tcPr>
          <w:p w14:paraId="4138281F"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23,1</w:t>
            </w:r>
          </w:p>
        </w:tc>
        <w:tc>
          <w:tcPr>
            <w:tcW w:w="2458" w:type="dxa"/>
            <w:tcBorders>
              <w:top w:val="single" w:sz="4" w:space="0" w:color="auto"/>
              <w:left w:val="single" w:sz="4" w:space="0" w:color="auto"/>
              <w:right w:val="single" w:sz="4" w:space="0" w:color="auto"/>
            </w:tcBorders>
            <w:shd w:val="clear" w:color="auto" w:fill="auto"/>
            <w:vAlign w:val="bottom"/>
          </w:tcPr>
          <w:p w14:paraId="2267FB6A"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14,2</w:t>
            </w:r>
          </w:p>
        </w:tc>
      </w:tr>
      <w:tr w:rsidR="008774AD" w:rsidRPr="00FB4F67" w14:paraId="6C3CDAAB" w14:textId="77777777" w:rsidTr="00B85784">
        <w:trPr>
          <w:trHeight w:val="269"/>
        </w:trPr>
        <w:tc>
          <w:tcPr>
            <w:tcW w:w="2304" w:type="dxa"/>
            <w:tcBorders>
              <w:top w:val="single" w:sz="4" w:space="0" w:color="auto"/>
              <w:left w:val="single" w:sz="4" w:space="0" w:color="auto"/>
            </w:tcBorders>
            <w:shd w:val="clear" w:color="auto" w:fill="auto"/>
            <w:vAlign w:val="bottom"/>
          </w:tcPr>
          <w:p w14:paraId="423DCB58"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Масса пустого, кг</w:t>
            </w:r>
          </w:p>
        </w:tc>
        <w:tc>
          <w:tcPr>
            <w:tcW w:w="2405" w:type="dxa"/>
            <w:tcBorders>
              <w:top w:val="single" w:sz="4" w:space="0" w:color="auto"/>
              <w:left w:val="single" w:sz="4" w:space="0" w:color="auto"/>
            </w:tcBorders>
            <w:shd w:val="clear" w:color="auto" w:fill="auto"/>
            <w:vAlign w:val="bottom"/>
          </w:tcPr>
          <w:p w14:paraId="57AECF7A"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676</w:t>
            </w:r>
          </w:p>
        </w:tc>
        <w:tc>
          <w:tcPr>
            <w:tcW w:w="2458" w:type="dxa"/>
            <w:tcBorders>
              <w:top w:val="single" w:sz="4" w:space="0" w:color="auto"/>
              <w:left w:val="single" w:sz="4" w:space="0" w:color="auto"/>
              <w:right w:val="single" w:sz="4" w:space="0" w:color="auto"/>
            </w:tcBorders>
            <w:shd w:val="clear" w:color="auto" w:fill="auto"/>
            <w:vAlign w:val="bottom"/>
          </w:tcPr>
          <w:p w14:paraId="685A535C"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350</w:t>
            </w:r>
          </w:p>
        </w:tc>
      </w:tr>
      <w:tr w:rsidR="008774AD" w:rsidRPr="00FB4F67" w14:paraId="3F17EBF8" w14:textId="77777777" w:rsidTr="00B85784">
        <w:trPr>
          <w:trHeight w:val="264"/>
        </w:trPr>
        <w:tc>
          <w:tcPr>
            <w:tcW w:w="2304" w:type="dxa"/>
            <w:tcBorders>
              <w:top w:val="single" w:sz="4" w:space="0" w:color="auto"/>
              <w:left w:val="single" w:sz="4" w:space="0" w:color="auto"/>
            </w:tcBorders>
            <w:shd w:val="clear" w:color="auto" w:fill="auto"/>
            <w:vAlign w:val="bottom"/>
          </w:tcPr>
          <w:p w14:paraId="759DC1B0"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Взлетная масса, кг</w:t>
            </w:r>
          </w:p>
        </w:tc>
        <w:tc>
          <w:tcPr>
            <w:tcW w:w="2405" w:type="dxa"/>
            <w:tcBorders>
              <w:top w:val="single" w:sz="4" w:space="0" w:color="auto"/>
              <w:left w:val="single" w:sz="4" w:space="0" w:color="auto"/>
            </w:tcBorders>
            <w:shd w:val="clear" w:color="auto" w:fill="auto"/>
            <w:vAlign w:val="bottom"/>
          </w:tcPr>
          <w:p w14:paraId="401C689C"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926</w:t>
            </w:r>
          </w:p>
        </w:tc>
        <w:tc>
          <w:tcPr>
            <w:tcW w:w="2458" w:type="dxa"/>
            <w:tcBorders>
              <w:top w:val="single" w:sz="4" w:space="0" w:color="auto"/>
              <w:left w:val="single" w:sz="4" w:space="0" w:color="auto"/>
              <w:right w:val="single" w:sz="4" w:space="0" w:color="auto"/>
            </w:tcBorders>
            <w:shd w:val="clear" w:color="auto" w:fill="auto"/>
            <w:vAlign w:val="bottom"/>
          </w:tcPr>
          <w:p w14:paraId="1CE60343"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520</w:t>
            </w:r>
          </w:p>
        </w:tc>
      </w:tr>
      <w:tr w:rsidR="008774AD" w:rsidRPr="00FB4F67" w14:paraId="542D196C" w14:textId="77777777" w:rsidTr="00B85784">
        <w:trPr>
          <w:trHeight w:val="269"/>
        </w:trPr>
        <w:tc>
          <w:tcPr>
            <w:tcW w:w="2304" w:type="dxa"/>
            <w:tcBorders>
              <w:top w:val="single" w:sz="4" w:space="0" w:color="auto"/>
              <w:left w:val="single" w:sz="4" w:space="0" w:color="auto"/>
            </w:tcBorders>
            <w:shd w:val="clear" w:color="auto" w:fill="auto"/>
            <w:vAlign w:val="bottom"/>
          </w:tcPr>
          <w:p w14:paraId="13C45FA4"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Масса полной нагрузки, кг</w:t>
            </w:r>
          </w:p>
        </w:tc>
        <w:tc>
          <w:tcPr>
            <w:tcW w:w="2405" w:type="dxa"/>
            <w:tcBorders>
              <w:top w:val="single" w:sz="4" w:space="0" w:color="auto"/>
              <w:left w:val="single" w:sz="4" w:space="0" w:color="auto"/>
            </w:tcBorders>
            <w:shd w:val="clear" w:color="auto" w:fill="auto"/>
            <w:vAlign w:val="bottom"/>
          </w:tcPr>
          <w:p w14:paraId="6F95C22F"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250</w:t>
            </w:r>
          </w:p>
        </w:tc>
        <w:tc>
          <w:tcPr>
            <w:tcW w:w="2458" w:type="dxa"/>
            <w:tcBorders>
              <w:top w:val="single" w:sz="4" w:space="0" w:color="auto"/>
              <w:left w:val="single" w:sz="4" w:space="0" w:color="auto"/>
              <w:right w:val="single" w:sz="4" w:space="0" w:color="auto"/>
            </w:tcBorders>
            <w:shd w:val="clear" w:color="auto" w:fill="auto"/>
            <w:vAlign w:val="bottom"/>
          </w:tcPr>
          <w:p w14:paraId="5F477A56"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170</w:t>
            </w:r>
          </w:p>
        </w:tc>
      </w:tr>
      <w:tr w:rsidR="008774AD" w:rsidRPr="00FB4F67" w14:paraId="72032AC3" w14:textId="77777777" w:rsidTr="00B85784">
        <w:trPr>
          <w:trHeight w:val="264"/>
        </w:trPr>
        <w:tc>
          <w:tcPr>
            <w:tcW w:w="2304" w:type="dxa"/>
            <w:tcBorders>
              <w:top w:val="single" w:sz="4" w:space="0" w:color="auto"/>
              <w:left w:val="single" w:sz="4" w:space="0" w:color="auto"/>
            </w:tcBorders>
            <w:shd w:val="clear" w:color="auto" w:fill="auto"/>
            <w:vAlign w:val="bottom"/>
          </w:tcPr>
          <w:p w14:paraId="61351874"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Весовая отдача, %</w:t>
            </w:r>
          </w:p>
        </w:tc>
        <w:tc>
          <w:tcPr>
            <w:tcW w:w="2405" w:type="dxa"/>
            <w:tcBorders>
              <w:top w:val="single" w:sz="4" w:space="0" w:color="auto"/>
              <w:left w:val="single" w:sz="4" w:space="0" w:color="auto"/>
            </w:tcBorders>
            <w:shd w:val="clear" w:color="auto" w:fill="auto"/>
            <w:vAlign w:val="bottom"/>
          </w:tcPr>
          <w:p w14:paraId="4CF7FA46"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27</w:t>
            </w:r>
          </w:p>
        </w:tc>
        <w:tc>
          <w:tcPr>
            <w:tcW w:w="2458" w:type="dxa"/>
            <w:tcBorders>
              <w:top w:val="single" w:sz="4" w:space="0" w:color="auto"/>
              <w:left w:val="single" w:sz="4" w:space="0" w:color="auto"/>
              <w:right w:val="single" w:sz="4" w:space="0" w:color="auto"/>
            </w:tcBorders>
            <w:shd w:val="clear" w:color="auto" w:fill="auto"/>
            <w:vAlign w:val="bottom"/>
          </w:tcPr>
          <w:p w14:paraId="60492AFE"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33</w:t>
            </w:r>
          </w:p>
        </w:tc>
      </w:tr>
      <w:tr w:rsidR="008774AD" w:rsidRPr="00FB4F67" w14:paraId="4E7EB8AD" w14:textId="77777777" w:rsidTr="00B85784">
        <w:trPr>
          <w:trHeight w:val="269"/>
        </w:trPr>
        <w:tc>
          <w:tcPr>
            <w:tcW w:w="2304" w:type="dxa"/>
            <w:tcBorders>
              <w:top w:val="single" w:sz="4" w:space="0" w:color="auto"/>
              <w:left w:val="single" w:sz="4" w:space="0" w:color="auto"/>
            </w:tcBorders>
            <w:shd w:val="clear" w:color="auto" w:fill="auto"/>
            <w:vAlign w:val="bottom"/>
          </w:tcPr>
          <w:p w14:paraId="7E8C6888"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Нагрузка на крыло, кг/м2</w:t>
            </w:r>
          </w:p>
        </w:tc>
        <w:tc>
          <w:tcPr>
            <w:tcW w:w="2405" w:type="dxa"/>
            <w:tcBorders>
              <w:top w:val="single" w:sz="4" w:space="0" w:color="auto"/>
              <w:left w:val="single" w:sz="4" w:space="0" w:color="auto"/>
            </w:tcBorders>
            <w:shd w:val="clear" w:color="auto" w:fill="auto"/>
            <w:vAlign w:val="bottom"/>
          </w:tcPr>
          <w:p w14:paraId="6B93269C"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40,1</w:t>
            </w:r>
          </w:p>
        </w:tc>
        <w:tc>
          <w:tcPr>
            <w:tcW w:w="2458" w:type="dxa"/>
            <w:tcBorders>
              <w:top w:val="single" w:sz="4" w:space="0" w:color="auto"/>
              <w:left w:val="single" w:sz="4" w:space="0" w:color="auto"/>
              <w:right w:val="single" w:sz="4" w:space="0" w:color="auto"/>
            </w:tcBorders>
            <w:shd w:val="clear" w:color="auto" w:fill="auto"/>
            <w:vAlign w:val="bottom"/>
          </w:tcPr>
          <w:p w14:paraId="073D1C98"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37,1</w:t>
            </w:r>
          </w:p>
        </w:tc>
      </w:tr>
      <w:tr w:rsidR="008774AD" w:rsidRPr="00FB4F67" w14:paraId="40D8CC73" w14:textId="77777777" w:rsidTr="00B85784">
        <w:trPr>
          <w:trHeight w:val="470"/>
        </w:trPr>
        <w:tc>
          <w:tcPr>
            <w:tcW w:w="2304" w:type="dxa"/>
            <w:tcBorders>
              <w:top w:val="single" w:sz="4" w:space="0" w:color="auto"/>
              <w:left w:val="single" w:sz="4" w:space="0" w:color="auto"/>
            </w:tcBorders>
            <w:shd w:val="clear" w:color="auto" w:fill="auto"/>
            <w:vAlign w:val="bottom"/>
          </w:tcPr>
          <w:p w14:paraId="6E7FAD4C"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Нагрузка на мощность, кг/л.с.</w:t>
            </w:r>
          </w:p>
        </w:tc>
        <w:tc>
          <w:tcPr>
            <w:tcW w:w="2405" w:type="dxa"/>
            <w:tcBorders>
              <w:top w:val="single" w:sz="4" w:space="0" w:color="auto"/>
              <w:left w:val="single" w:sz="4" w:space="0" w:color="auto"/>
            </w:tcBorders>
            <w:shd w:val="clear" w:color="auto" w:fill="auto"/>
          </w:tcPr>
          <w:p w14:paraId="33281E64"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9,26</w:t>
            </w:r>
          </w:p>
        </w:tc>
        <w:tc>
          <w:tcPr>
            <w:tcW w:w="2458" w:type="dxa"/>
            <w:tcBorders>
              <w:top w:val="single" w:sz="4" w:space="0" w:color="auto"/>
              <w:left w:val="single" w:sz="4" w:space="0" w:color="auto"/>
              <w:right w:val="single" w:sz="4" w:space="0" w:color="auto"/>
            </w:tcBorders>
            <w:shd w:val="clear" w:color="auto" w:fill="auto"/>
          </w:tcPr>
          <w:p w14:paraId="2522BDD1"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5,2</w:t>
            </w:r>
          </w:p>
        </w:tc>
      </w:tr>
      <w:tr w:rsidR="008774AD" w:rsidRPr="00FB4F67" w14:paraId="49B77CC1" w14:textId="77777777" w:rsidTr="00B85784">
        <w:trPr>
          <w:trHeight w:val="475"/>
        </w:trPr>
        <w:tc>
          <w:tcPr>
            <w:tcW w:w="2304" w:type="dxa"/>
            <w:tcBorders>
              <w:top w:val="single" w:sz="4" w:space="0" w:color="auto"/>
              <w:left w:val="single" w:sz="4" w:space="0" w:color="auto"/>
            </w:tcBorders>
            <w:shd w:val="clear" w:color="auto" w:fill="auto"/>
            <w:vAlign w:val="bottom"/>
          </w:tcPr>
          <w:p w14:paraId="5828233B"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Максимальная скорость у земли, км/ч</w:t>
            </w:r>
          </w:p>
        </w:tc>
        <w:tc>
          <w:tcPr>
            <w:tcW w:w="2405" w:type="dxa"/>
            <w:tcBorders>
              <w:top w:val="single" w:sz="4" w:space="0" w:color="auto"/>
              <w:left w:val="single" w:sz="4" w:space="0" w:color="auto"/>
            </w:tcBorders>
            <w:shd w:val="clear" w:color="auto" w:fill="auto"/>
          </w:tcPr>
          <w:p w14:paraId="16DC64E7"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130-140</w:t>
            </w:r>
          </w:p>
        </w:tc>
        <w:tc>
          <w:tcPr>
            <w:tcW w:w="2458" w:type="dxa"/>
            <w:tcBorders>
              <w:top w:val="single" w:sz="4" w:space="0" w:color="auto"/>
              <w:left w:val="single" w:sz="4" w:space="0" w:color="auto"/>
              <w:right w:val="single" w:sz="4" w:space="0" w:color="auto"/>
            </w:tcBorders>
            <w:shd w:val="clear" w:color="auto" w:fill="auto"/>
          </w:tcPr>
          <w:p w14:paraId="2017BCEC"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160-170</w:t>
            </w:r>
          </w:p>
        </w:tc>
      </w:tr>
      <w:tr w:rsidR="008774AD" w:rsidRPr="00FB4F67" w14:paraId="4DCA5021" w14:textId="77777777" w:rsidTr="00B85784">
        <w:trPr>
          <w:trHeight w:val="264"/>
        </w:trPr>
        <w:tc>
          <w:tcPr>
            <w:tcW w:w="2304" w:type="dxa"/>
            <w:tcBorders>
              <w:top w:val="single" w:sz="4" w:space="0" w:color="auto"/>
              <w:left w:val="single" w:sz="4" w:space="0" w:color="auto"/>
            </w:tcBorders>
            <w:shd w:val="clear" w:color="auto" w:fill="auto"/>
            <w:vAlign w:val="bottom"/>
          </w:tcPr>
          <w:p w14:paraId="1F39DBD8"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Скороподъемность</w:t>
            </w:r>
          </w:p>
        </w:tc>
        <w:tc>
          <w:tcPr>
            <w:tcW w:w="2405" w:type="dxa"/>
            <w:tcBorders>
              <w:top w:val="single" w:sz="4" w:space="0" w:color="auto"/>
              <w:left w:val="single" w:sz="4" w:space="0" w:color="auto"/>
            </w:tcBorders>
            <w:shd w:val="clear" w:color="auto" w:fill="auto"/>
            <w:vAlign w:val="bottom"/>
          </w:tcPr>
          <w:p w14:paraId="09B3BE3F"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1000 м за 11 мин</w:t>
            </w:r>
          </w:p>
        </w:tc>
        <w:tc>
          <w:tcPr>
            <w:tcW w:w="2458" w:type="dxa"/>
            <w:tcBorders>
              <w:top w:val="single" w:sz="4" w:space="0" w:color="auto"/>
              <w:left w:val="single" w:sz="4" w:space="0" w:color="auto"/>
              <w:right w:val="single" w:sz="4" w:space="0" w:color="auto"/>
            </w:tcBorders>
            <w:shd w:val="clear" w:color="auto" w:fill="auto"/>
            <w:vAlign w:val="bottom"/>
          </w:tcPr>
          <w:p w14:paraId="4F962305"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1000 м за 5 мин</w:t>
            </w:r>
          </w:p>
        </w:tc>
      </w:tr>
      <w:tr w:rsidR="008774AD" w:rsidRPr="00FB4F67" w14:paraId="038DDC46" w14:textId="77777777" w:rsidTr="00B85784">
        <w:trPr>
          <w:trHeight w:val="269"/>
        </w:trPr>
        <w:tc>
          <w:tcPr>
            <w:tcW w:w="2304" w:type="dxa"/>
            <w:tcBorders>
              <w:top w:val="single" w:sz="4" w:space="0" w:color="auto"/>
              <w:left w:val="single" w:sz="4" w:space="0" w:color="auto"/>
            </w:tcBorders>
            <w:shd w:val="clear" w:color="auto" w:fill="auto"/>
            <w:vAlign w:val="center"/>
          </w:tcPr>
          <w:p w14:paraId="6570EF9B"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Потолок практический, м</w:t>
            </w:r>
          </w:p>
        </w:tc>
        <w:tc>
          <w:tcPr>
            <w:tcW w:w="2405" w:type="dxa"/>
            <w:tcBorders>
              <w:top w:val="single" w:sz="4" w:space="0" w:color="auto"/>
              <w:left w:val="single" w:sz="4" w:space="0" w:color="auto"/>
            </w:tcBorders>
            <w:shd w:val="clear" w:color="auto" w:fill="auto"/>
            <w:vAlign w:val="center"/>
          </w:tcPr>
          <w:p w14:paraId="38A5038C"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2500-400</w:t>
            </w:r>
          </w:p>
        </w:tc>
        <w:tc>
          <w:tcPr>
            <w:tcW w:w="2458" w:type="dxa"/>
            <w:tcBorders>
              <w:top w:val="single" w:sz="4" w:space="0" w:color="auto"/>
              <w:left w:val="single" w:sz="4" w:space="0" w:color="auto"/>
              <w:right w:val="single" w:sz="4" w:space="0" w:color="auto"/>
            </w:tcBorders>
            <w:shd w:val="clear" w:color="auto" w:fill="auto"/>
            <w:vAlign w:val="center"/>
          </w:tcPr>
          <w:p w14:paraId="2D85DD77"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w:t>
            </w:r>
          </w:p>
        </w:tc>
      </w:tr>
      <w:tr w:rsidR="008774AD" w:rsidRPr="00FB4F67" w14:paraId="4638B53D" w14:textId="77777777" w:rsidTr="00B85784">
        <w:trPr>
          <w:trHeight w:val="480"/>
        </w:trPr>
        <w:tc>
          <w:tcPr>
            <w:tcW w:w="2304" w:type="dxa"/>
            <w:tcBorders>
              <w:top w:val="single" w:sz="4" w:space="0" w:color="auto"/>
              <w:left w:val="single" w:sz="4" w:space="0" w:color="auto"/>
              <w:bottom w:val="single" w:sz="4" w:space="0" w:color="auto"/>
            </w:tcBorders>
            <w:shd w:val="clear" w:color="auto" w:fill="auto"/>
            <w:vAlign w:val="bottom"/>
          </w:tcPr>
          <w:p w14:paraId="74482C30"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Продолжительность полета, ч</w:t>
            </w:r>
          </w:p>
        </w:tc>
        <w:tc>
          <w:tcPr>
            <w:tcW w:w="2405" w:type="dxa"/>
            <w:tcBorders>
              <w:top w:val="single" w:sz="4" w:space="0" w:color="auto"/>
              <w:left w:val="single" w:sz="4" w:space="0" w:color="auto"/>
              <w:bottom w:val="single" w:sz="4" w:space="0" w:color="auto"/>
            </w:tcBorders>
            <w:shd w:val="clear" w:color="auto" w:fill="auto"/>
          </w:tcPr>
          <w:p w14:paraId="0FD42793"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1,5-2,0</w:t>
            </w:r>
          </w:p>
        </w:tc>
        <w:tc>
          <w:tcPr>
            <w:tcW w:w="2458" w:type="dxa"/>
            <w:tcBorders>
              <w:top w:val="single" w:sz="4" w:space="0" w:color="auto"/>
              <w:left w:val="single" w:sz="4" w:space="0" w:color="auto"/>
              <w:bottom w:val="single" w:sz="4" w:space="0" w:color="auto"/>
              <w:right w:val="single" w:sz="4" w:space="0" w:color="auto"/>
            </w:tcBorders>
            <w:shd w:val="clear" w:color="auto" w:fill="auto"/>
          </w:tcPr>
          <w:p w14:paraId="58FEE8E0"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2,0</w:t>
            </w:r>
          </w:p>
        </w:tc>
      </w:tr>
    </w:tbl>
    <w:p w14:paraId="088DB32A"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(23764).</w:t>
      </w:r>
    </w:p>
    <w:p w14:paraId="3F1F091B" w14:textId="77777777" w:rsidR="008774AD" w:rsidRPr="00FB4F67" w:rsidRDefault="008774AD" w:rsidP="0083075A">
      <w:pPr>
        <w:spacing w:after="0" w:line="240" w:lineRule="auto"/>
        <w:jc w:val="both"/>
        <w:rPr>
          <w:rFonts w:ascii="Times New Roman" w:hAnsi="Times New Roman" w:cs="Times New Roman"/>
          <w:color w:val="0070C0"/>
          <w:sz w:val="16"/>
          <w:szCs w:val="16"/>
        </w:rPr>
      </w:pPr>
    </w:p>
    <w:p w14:paraId="7B903042" w14:textId="77777777" w:rsidR="008774AD" w:rsidRPr="00FB4F67" w:rsidRDefault="008774A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феврале 1917 г. существовал план заказа 400 машин Anatra DS с двигателем Salmson мощностью 160 л.с. с поставкой летом 1917 г., но он остался нереализованным (23525).</w:t>
      </w:r>
    </w:p>
    <w:p w14:paraId="6598517B" w14:textId="77777777" w:rsidR="008774AD" w:rsidRPr="00FB4F67" w:rsidRDefault="008774AD" w:rsidP="0083075A">
      <w:pPr>
        <w:spacing w:after="0" w:line="240" w:lineRule="auto"/>
        <w:jc w:val="both"/>
        <w:rPr>
          <w:rFonts w:ascii="Times New Roman" w:hAnsi="Times New Roman" w:cs="Times New Roman"/>
          <w:color w:val="0070C0"/>
          <w:sz w:val="16"/>
          <w:szCs w:val="16"/>
        </w:rPr>
      </w:pPr>
    </w:p>
    <w:p w14:paraId="563DA7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на Анатре строили истребитель В.М.Ольховского Торпедо (553,81).</w:t>
      </w:r>
    </w:p>
    <w:p w14:paraId="163DF2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другим данным к весне 1917 был готов самолет Торпедо В.М.Ольховского с мотором Рон в 110 нр. Машина была построена в СВАРМ под Брянском к октябрю 1916, но мотор 80 нр был недостаточен. Для испытаний образовали комиссию под председательством к Н.Е.Попова (1117,24).</w:t>
      </w:r>
    </w:p>
    <w:p w14:paraId="618F66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5D890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года на заводе Анатра строился опытный самолет-истребитель конструктора В.М.Оль</w:t>
      </w:r>
      <w:r w:rsidRPr="002F2FDF">
        <w:rPr>
          <w:rFonts w:ascii="Times New Roman" w:hAnsi="Times New Roman" w:cs="Times New Roman"/>
          <w:color w:val="000000" w:themeColor="text1"/>
          <w:kern w:val="2"/>
          <w:sz w:val="16"/>
          <w:szCs w:val="16"/>
        </w:rPr>
        <w:softHyphen/>
        <w:t>ховского “Торпедо”. В отличие от существовавших в то время аэропланов, “Торпедо” обладал более высо</w:t>
      </w:r>
      <w:r w:rsidRPr="002F2FDF">
        <w:rPr>
          <w:rFonts w:ascii="Times New Roman" w:hAnsi="Times New Roman" w:cs="Times New Roman"/>
          <w:color w:val="000000" w:themeColor="text1"/>
          <w:kern w:val="2"/>
          <w:sz w:val="16"/>
          <w:szCs w:val="16"/>
        </w:rPr>
        <w:softHyphen/>
        <w:t>кими скоростями полета и маневренностью, имел легкое пулеметное вооружение для ведения воздуш</w:t>
      </w:r>
      <w:r w:rsidRPr="002F2FDF">
        <w:rPr>
          <w:rFonts w:ascii="Times New Roman" w:hAnsi="Times New Roman" w:cs="Times New Roman"/>
          <w:color w:val="000000" w:themeColor="text1"/>
          <w:kern w:val="2"/>
          <w:sz w:val="16"/>
          <w:szCs w:val="16"/>
        </w:rPr>
        <w:softHyphen/>
        <w:t>ных боев и штурмовок.</w:t>
      </w:r>
    </w:p>
    <w:p w14:paraId="005DF98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Владимир Михайлович Ольховский - военный летчик, командир 6-го авиапарка в Брянске, являлся автором нескольких планеров и самолетов, частью совершенно новых, частью представлявших собой модификации самолетов, проходивших ремонт в мас</w:t>
      </w:r>
      <w:r w:rsidRPr="002F2FDF">
        <w:rPr>
          <w:rFonts w:ascii="Times New Roman" w:hAnsi="Times New Roman" w:cs="Times New Roman"/>
          <w:color w:val="000000" w:themeColor="text1"/>
          <w:kern w:val="2"/>
          <w:sz w:val="16"/>
          <w:szCs w:val="16"/>
        </w:rPr>
        <w:softHyphen/>
        <w:t>терских парка.</w:t>
      </w:r>
    </w:p>
    <w:p w14:paraId="3039934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Моноплан “Торпедо” — расчалочный высокоп-лан, оснащенный двигателем “Рон” в 80 (позже в 100) л.с., установленным под круглым капотом. Воздуш</w:t>
      </w:r>
      <w:r w:rsidRPr="002F2FDF">
        <w:rPr>
          <w:rFonts w:ascii="Times New Roman" w:hAnsi="Times New Roman" w:cs="Times New Roman"/>
          <w:color w:val="000000" w:themeColor="text1"/>
          <w:kern w:val="2"/>
          <w:sz w:val="16"/>
          <w:szCs w:val="16"/>
        </w:rPr>
        <w:softHyphen/>
        <w:t>ный винт конструкции Ольховского — с широким коком-обтекателем. Выклеенный из шпона фюзеляж-монокок очень чистой формы, вытянутый сзади в острие. Двухлонжеронное крыло тонкого профиля, разделенное промежутком около 0,7 метра, распола</w:t>
      </w:r>
      <w:r w:rsidRPr="002F2FDF">
        <w:rPr>
          <w:rFonts w:ascii="Times New Roman" w:hAnsi="Times New Roman" w:cs="Times New Roman"/>
          <w:color w:val="000000" w:themeColor="text1"/>
          <w:kern w:val="2"/>
          <w:sz w:val="16"/>
          <w:szCs w:val="16"/>
        </w:rPr>
        <w:softHyphen/>
        <w:t>галось чуть выше глаз летчика.</w:t>
      </w:r>
    </w:p>
    <w:p w14:paraId="2BD47E6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Вооружение самолета состояло из оригинальной пулеметной установки, позволяющей вести огонь че</w:t>
      </w:r>
      <w:r w:rsidRPr="002F2FDF">
        <w:rPr>
          <w:rFonts w:ascii="Times New Roman" w:hAnsi="Times New Roman" w:cs="Times New Roman"/>
          <w:color w:val="000000" w:themeColor="text1"/>
          <w:kern w:val="2"/>
          <w:sz w:val="16"/>
          <w:szCs w:val="16"/>
        </w:rPr>
        <w:softHyphen/>
        <w:t>рез винт. Установка неподвижно крепилась вне ка</w:t>
      </w:r>
      <w:r w:rsidRPr="002F2FDF">
        <w:rPr>
          <w:rFonts w:ascii="Times New Roman" w:hAnsi="Times New Roman" w:cs="Times New Roman"/>
          <w:color w:val="000000" w:themeColor="text1"/>
          <w:kern w:val="2"/>
          <w:sz w:val="16"/>
          <w:szCs w:val="16"/>
        </w:rPr>
        <w:softHyphen/>
        <w:t>бины пилота, с правой стороны корпуса самолета. Пулеметная лента подавалась из нижней части кор</w:t>
      </w:r>
      <w:r w:rsidRPr="002F2FDF">
        <w:rPr>
          <w:rFonts w:ascii="Times New Roman" w:hAnsi="Times New Roman" w:cs="Times New Roman"/>
          <w:color w:val="000000" w:themeColor="text1"/>
          <w:kern w:val="2"/>
          <w:sz w:val="16"/>
          <w:szCs w:val="16"/>
        </w:rPr>
        <w:softHyphen/>
        <w:t>пуса.</w:t>
      </w:r>
    </w:p>
    <w:p w14:paraId="1201718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Аэродинамике самолета сильно вредило разделе</w:t>
      </w:r>
      <w:r w:rsidRPr="002F2FDF">
        <w:rPr>
          <w:rFonts w:ascii="Times New Roman" w:hAnsi="Times New Roman" w:cs="Times New Roman"/>
          <w:color w:val="000000" w:themeColor="text1"/>
          <w:kern w:val="2"/>
          <w:sz w:val="16"/>
          <w:szCs w:val="16"/>
        </w:rPr>
        <w:softHyphen/>
        <w:t>ние крыла, появление которого объясняется незна</w:t>
      </w:r>
      <w:r w:rsidRPr="002F2FDF">
        <w:rPr>
          <w:rFonts w:ascii="Times New Roman" w:hAnsi="Times New Roman" w:cs="Times New Roman"/>
          <w:color w:val="000000" w:themeColor="text1"/>
          <w:kern w:val="2"/>
          <w:sz w:val="16"/>
          <w:szCs w:val="16"/>
        </w:rPr>
        <w:softHyphen/>
        <w:t>нием в то время теории индуктивного сопротивле</w:t>
      </w:r>
      <w:r w:rsidRPr="002F2FDF">
        <w:rPr>
          <w:rFonts w:ascii="Times New Roman" w:hAnsi="Times New Roman" w:cs="Times New Roman"/>
          <w:color w:val="000000" w:themeColor="text1"/>
          <w:kern w:val="2"/>
          <w:sz w:val="16"/>
          <w:szCs w:val="16"/>
        </w:rPr>
        <w:softHyphen/>
        <w:t>ния (553).</w:t>
      </w:r>
    </w:p>
    <w:p w14:paraId="5C6D58E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F78D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в нескольких экз. был выпущен самолет Анатра ДСС (Анасаль) с Сальмсоном в 160 нр (92,173).</w:t>
      </w:r>
    </w:p>
    <w:p w14:paraId="59099D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DB69D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года был выпущен самолет “Анатра-ДСС” (“Анасаль” с двигателем “Сальмсон” в 160 л.с.), который несколько отличался от типового “Анасаля” разме</w:t>
      </w:r>
      <w:r w:rsidRPr="002F2FDF">
        <w:rPr>
          <w:rFonts w:ascii="Times New Roman" w:hAnsi="Times New Roman" w:cs="Times New Roman"/>
          <w:color w:val="000000" w:themeColor="text1"/>
          <w:kern w:val="2"/>
          <w:sz w:val="16"/>
          <w:szCs w:val="16"/>
        </w:rPr>
        <w:softHyphen/>
        <w:t>ром, весом и максимальной скоростью полета, достигав</w:t>
      </w:r>
      <w:r w:rsidRPr="002F2FDF">
        <w:rPr>
          <w:rFonts w:ascii="Times New Roman" w:hAnsi="Times New Roman" w:cs="Times New Roman"/>
          <w:color w:val="000000" w:themeColor="text1"/>
          <w:kern w:val="2"/>
          <w:sz w:val="16"/>
          <w:szCs w:val="16"/>
        </w:rPr>
        <w:softHyphen/>
        <w:t>шей у земли 156 км/ч. По</w:t>
      </w:r>
      <w:r w:rsidRPr="002F2FDF">
        <w:rPr>
          <w:rFonts w:ascii="Times New Roman" w:hAnsi="Times New Roman" w:cs="Times New Roman"/>
          <w:color w:val="000000" w:themeColor="text1"/>
          <w:kern w:val="2"/>
          <w:sz w:val="16"/>
          <w:szCs w:val="16"/>
        </w:rPr>
        <w:softHyphen/>
        <w:t>строен в нескольких экзем</w:t>
      </w:r>
      <w:r w:rsidRPr="002F2FDF">
        <w:rPr>
          <w:rFonts w:ascii="Times New Roman" w:hAnsi="Times New Roman" w:cs="Times New Roman"/>
          <w:color w:val="000000" w:themeColor="text1"/>
          <w:kern w:val="2"/>
          <w:sz w:val="16"/>
          <w:szCs w:val="16"/>
        </w:rPr>
        <w:softHyphen/>
        <w:t>плярах по числу имевшихся на заводе двигателей (553).</w:t>
      </w:r>
    </w:p>
    <w:p w14:paraId="5C78670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162090" w14:textId="77777777" w:rsidR="00447212" w:rsidRPr="002F2FDF" w:rsidRDefault="0044721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 февраль 1917 г. </w:t>
      </w:r>
      <w:r w:rsidRPr="002F2FDF">
        <w:rPr>
          <w:rFonts w:ascii="Times New Roman" w:hAnsi="Times New Roman" w:cs="Times New Roman"/>
          <w:color w:val="000000" w:themeColor="text1"/>
          <w:kern w:val="2"/>
          <w:sz w:val="16"/>
          <w:szCs w:val="16"/>
          <w:lang w:val="en-US"/>
        </w:rPr>
        <w:t>c</w:t>
      </w:r>
      <w:r w:rsidRPr="002F2FDF">
        <w:rPr>
          <w:rFonts w:ascii="Times New Roman" w:hAnsi="Times New Roman" w:cs="Times New Roman"/>
          <w:color w:val="000000" w:themeColor="text1"/>
          <w:kern w:val="2"/>
          <w:sz w:val="16"/>
          <w:szCs w:val="16"/>
        </w:rPr>
        <w:t xml:space="preserve"> ноября 1914 г. «Анатра» получила заказы на 278 самолетов, разработанных этой французской фирмой, из них 138 «Фарманов IV», 15 — «XVI», 95 — «XX» и 30 — «XXII». В некоторых публикациях встречается упоминание о постройке на заводе самолетов «Фарман XXX» — т.н. «Фарсалей» (12252).</w:t>
      </w:r>
    </w:p>
    <w:p w14:paraId="75EBE8AF" w14:textId="77777777" w:rsidR="00447212" w:rsidRPr="002F2FDF" w:rsidRDefault="00447212" w:rsidP="0083075A">
      <w:pPr>
        <w:spacing w:after="0" w:line="240" w:lineRule="auto"/>
        <w:jc w:val="both"/>
        <w:rPr>
          <w:rFonts w:ascii="Times New Roman" w:hAnsi="Times New Roman" w:cs="Times New Roman"/>
          <w:color w:val="000000" w:themeColor="text1"/>
          <w:kern w:val="2"/>
          <w:sz w:val="16"/>
          <w:szCs w:val="16"/>
        </w:rPr>
      </w:pPr>
    </w:p>
    <w:p w14:paraId="764A80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г. Инспектор авиации армий Юго-Западного фронта подполковник В. М. Ткачев докладывал: “При объезде мной авиационных отрядов армий Юго-Западного фронта выяснилось следующее:...небрежная постройка самолетов русскими заводами, в особенности заводом “Дукс”, что выяснено, главным образом, в 8-м истребительном и 4-м сибирском корпусных авиационных отрядах. В первом, по заявлению командира отряда, не могли собрать “Бебе” завода “Дукс” вследствие того, что части самолета не подходили друг к другу; во втором - в полете вылетали стойки хвостовой фермы вследствие поломки болтов, скрепляющих стойки с лонжеронами” (9727).</w:t>
      </w:r>
    </w:p>
    <w:p w14:paraId="2330A3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F614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г. инспектор авиации армий Юго-Западного фронта объезжал авиационные отряды фронта и летчики повсеместно жаловались ему на плохое качество самолетов завода Анатра. В своем докладе на имя полевого генерал-инспектора военного воздушного флота при верховном главнокомандующем инспектор подчеркнул: “К самолетам “ВИ” летчики относятся с большим недоверием. Боковая устойчивость и управляемость у него хуже “Вуазена”. Небольшое превосходство в скорости не увеличивает его способности к бою сравнительно с “Вуазеном” вследствие меньшей управляемости. Случаи катастроф в 26-м корпусном авиационном отряде приписывают неконструктивности “ВИ”. Крайне желательно эту систему изъять из вооружения на фронте, иначе на работу артиллерийских отделений в горячий период операций трудно рассчитывать”. (9737).</w:t>
      </w:r>
    </w:p>
    <w:p w14:paraId="4A889C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F010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был отремонтирован триплан А.А.Безобразова, 6 августа 1916 разбитый И.А.Орловым при попытке взлета (полный капот из-за поломки оси) (92,153).</w:t>
      </w:r>
    </w:p>
    <w:p w14:paraId="15A9CB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FAFF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специальной комиссии было поручено разобраться в целесообразности дальнейшей постройки лл ш-к Энгельса. Решили, что постройка самолета со скоростью полета 170 км/час - желательна (99,100).</w:t>
      </w:r>
    </w:p>
    <w:p w14:paraId="111E83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9E22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феврале 1917 г. самолет Пороховщиков П-IV совершил свой первый полет. Он поступил в производство три месяца спустя и чаще всего имел двигатель Гном (Gnome) мощностью 37 кВт (50 л.с.) или ротативный двигатель Ле Рон (Le Rhone) мощностью 60 кВт (80 л.с.). Первый П-IV получил толкающий винт, а в гондоле располагались два человека в тандемных кабинах; П-IVбис - тянущий винт и расположенные бок о бок кабины; П-IV2бис - тянущий винт и тандемное расположение сидений. Послевоенный вариант П-VI (1921 г.) имел усиленную конструкцию для установки более мощного двигателя Ле Рон мощностью 82 кВт (110 л.с.), был без нервюр в центроплане верхнего крыла и обшивки крыла. Самолет П-VIбис 1923 г. имел стандартный центроплан с обшивкой. Пороховщиков также создал на основе модели Ньюпор (Nieuport) IV несколько двухместных тренировочных самолетов П-V. </w:t>
      </w:r>
    </w:p>
    <w:p w14:paraId="7F8BBF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Тип: двухместный тренировочный самолет. </w:t>
      </w:r>
    </w:p>
    <w:p w14:paraId="2F3600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Силовая установка: один ротативный поршневой двигатель Ле Рон мощностью 60 кВт (80 л.с.). </w:t>
      </w:r>
    </w:p>
    <w:p w14:paraId="45AEC2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Летные данные: максимальная скорость 112 км/час (70 миль/час); практический потолок 3000 м (9840 футов); максимальная продолжительность полета 4 часа 36 минут. </w:t>
      </w:r>
    </w:p>
    <w:p w14:paraId="5C6020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Веса: пустого - 398 кг (877 фунтов); максимальный взлетный 660 кг (1455 фунтов). </w:t>
      </w:r>
    </w:p>
    <w:p w14:paraId="6EB92D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Размеры: размах крыла 10,21 м (33 фута 5,5 дюйма); длина 7,3 м (23 фута 11,5 дюйма); площадь крыла 33,1 кв.м (356,3 кв. фута) (http://cofe.ru/Avia/PH-137.htm) (11827).</w:t>
      </w:r>
    </w:p>
    <w:p w14:paraId="511F88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B67F0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февраля 1917 г. делались попытки восстановить АМБС-1 и продолжить испытания, но все они ока</w:t>
      </w:r>
      <w:r w:rsidRPr="002F2FDF">
        <w:rPr>
          <w:rFonts w:ascii="Times New Roman" w:hAnsi="Times New Roman" w:cs="Times New Roman"/>
          <w:color w:val="000000" w:themeColor="text1"/>
          <w:kern w:val="2"/>
          <w:sz w:val="16"/>
          <w:szCs w:val="16"/>
        </w:rPr>
        <w:softHyphen/>
        <w:t>зались безуспешны (11852).</w:t>
      </w:r>
    </w:p>
    <w:p w14:paraId="11351BD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7A0C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успешно прошли испытания бомбосбрасывателя Л.Д.Колпакова-Мирошниченко, заменившего бомбосбрасыватели и Шкульника - трубы из березовой фанеры, диаметром 193 мм (2549,10).</w:t>
      </w:r>
    </w:p>
    <w:p w14:paraId="0E406A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3B913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года Г.Д. Сендецкий назначается лаборантом гидравлической лаборатории ХТИ для специализации в чтении курса воздухоплавания. По рекомендации Г.Ф.Проскуры весной 1917 года он был командирован в 4-й Авиапарк действующей армии (г.Витебск), где организовал и возглавил пропеллер</w:t>
      </w:r>
      <w:r w:rsidRPr="002F2FDF">
        <w:rPr>
          <w:rFonts w:ascii="Times New Roman" w:hAnsi="Times New Roman" w:cs="Times New Roman"/>
          <w:color w:val="000000" w:themeColor="text1"/>
          <w:kern w:val="2"/>
          <w:sz w:val="16"/>
          <w:szCs w:val="16"/>
        </w:rPr>
        <w:softHyphen/>
        <w:t>ную мастерскую, так необходимую фронту (553).</w:t>
      </w:r>
    </w:p>
    <w:p w14:paraId="0040065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3FF306" w14:textId="77777777" w:rsidR="00447212" w:rsidRPr="002F2FDF" w:rsidRDefault="00447212" w:rsidP="0083075A">
      <w:pPr>
        <w:pStyle w:val="1c"/>
        <w:spacing w:before="0" w:after="0"/>
        <w:jc w:val="both"/>
        <w:rPr>
          <w:color w:val="000000" w:themeColor="text1"/>
          <w:kern w:val="2"/>
          <w:sz w:val="16"/>
          <w:szCs w:val="16"/>
        </w:rPr>
      </w:pPr>
      <w:r w:rsidRPr="002F2FDF">
        <w:rPr>
          <w:color w:val="000000" w:themeColor="text1"/>
          <w:kern w:val="2"/>
          <w:sz w:val="16"/>
          <w:szCs w:val="16"/>
        </w:rPr>
        <w:t xml:space="preserve">В феврале 1917 г. Акционерное общество «Вдова Матиас и сыновья» приняло решение продать инициативному инженеру акционерного общества П.Ю. Стефанкевичу 70 % акций АО «Матиас». Таким образом, Стефанкевич стал фактическим владельцем завода, занимая одновременно должность директора-распорядителя. Исполнительным директором стал С. Завадский, главным инженером — П. Слободчиков, оба — опытные организаторы производства с Путиловского завода. Для работы в конструкторском отделе также пригласили опытных специалистов, в частности, Л. Колпакова с петроградского завода Лебедева, Альфреда Пишофа — француза по происхождению, но работавшего уже около пяти лет в России на заводах Терещенко и Анатры, и Д. Вершена — тоже француза с фирмы «Спад». Для организации в более отдаленной перспективе авиамоторного отделения удалось заручиться согласием перейти на работу в Бердянск Б. Гролларда с завода «Лоррен-Дитрих». Причины такого засилья французов нужно, вероятно, искать не только в «низкопоклонстве перед Западом». Дело в том, что большинство молодых </w:t>
      </w:r>
      <w:r w:rsidRPr="002F2FDF">
        <w:rPr>
          <w:color w:val="000000" w:themeColor="text1"/>
          <w:kern w:val="2"/>
          <w:sz w:val="16"/>
          <w:szCs w:val="16"/>
        </w:rPr>
        <w:lastRenderedPageBreak/>
        <w:t xml:space="preserve">российских инженеров к тому времени оказались мобилизованными, и военное ведомство не спешило расставаться с ними. Например, когда Стефанкевич обратился с просьбой направить для работы в техническое бюро завода прапорщика Сибирского запасного понтонного батальона Н. Шапошникова, имевшего опыт работы в авиации еще с довоенных времен, из Петрограда был получен ответ: </w:t>
      </w:r>
      <w:r w:rsidRPr="002F2FDF">
        <w:rPr>
          <w:rStyle w:val="1d"/>
          <w:rFonts w:ascii="Times New Roman" w:hAnsi="Times New Roman"/>
          <w:b w:val="0"/>
          <w:i w:val="0"/>
          <w:color w:val="000000" w:themeColor="text1"/>
          <w:kern w:val="2"/>
          <w:sz w:val="16"/>
          <w:szCs w:val="16"/>
        </w:rPr>
        <w:t>«Военное ведомство не считает необходимым усиление технического персонала завода «Матиас»</w:t>
      </w:r>
      <w:r w:rsidRPr="002F2FDF">
        <w:rPr>
          <w:color w:val="000000" w:themeColor="text1"/>
          <w:kern w:val="2"/>
          <w:sz w:val="16"/>
          <w:szCs w:val="16"/>
        </w:rPr>
        <w:t>. Безусловно, с точки зрения военных, опытного авиатора гораздо разумнее использовать в понтонных частях, чем на авиазаводе!</w:t>
      </w:r>
    </w:p>
    <w:p w14:paraId="375B0898" w14:textId="77777777" w:rsidR="00447212" w:rsidRPr="002F2FDF" w:rsidRDefault="00447212" w:rsidP="0083075A">
      <w:pPr>
        <w:pStyle w:val="1c"/>
        <w:spacing w:before="0" w:after="0"/>
        <w:jc w:val="both"/>
        <w:rPr>
          <w:color w:val="000000" w:themeColor="text1"/>
          <w:kern w:val="2"/>
          <w:sz w:val="16"/>
          <w:szCs w:val="16"/>
        </w:rPr>
      </w:pPr>
      <w:r w:rsidRPr="002F2FDF">
        <w:rPr>
          <w:color w:val="000000" w:themeColor="text1"/>
          <w:kern w:val="2"/>
          <w:sz w:val="16"/>
          <w:szCs w:val="16"/>
        </w:rPr>
        <w:t>Завод в Бердянске был основан еще в 1884 г., а после акционирования в 1910 г. официально именовался Акционерным обществом «Вдова Матиас и сыновья», причем его правление расположилось в Петербурге. По состоянию на 1913 г. завод занимал 12 место по объемам производства среди 334 предприятий сельскохозяйственного машиностроения Российской империи. На нем работало около 500 человек. Среди подразделений находились литейная, деревообрабатывающая и малярно-сборочная мастерские, кузница с тремя фрикционными и одним пневматическим молотами, механический цех с полусотней станков.</w:t>
      </w:r>
    </w:p>
    <w:p w14:paraId="3A658829" w14:textId="77777777" w:rsidR="00447212" w:rsidRPr="002F2FDF" w:rsidRDefault="00447212" w:rsidP="0083075A">
      <w:pPr>
        <w:pStyle w:val="1c"/>
        <w:spacing w:before="0" w:after="0"/>
        <w:jc w:val="both"/>
        <w:rPr>
          <w:color w:val="000000" w:themeColor="text1"/>
          <w:kern w:val="2"/>
          <w:sz w:val="16"/>
          <w:szCs w:val="16"/>
        </w:rPr>
      </w:pPr>
      <w:r w:rsidRPr="002F2FDF">
        <w:rPr>
          <w:color w:val="000000" w:themeColor="text1"/>
          <w:kern w:val="2"/>
          <w:sz w:val="16"/>
          <w:szCs w:val="16"/>
        </w:rPr>
        <w:t>Для организации авиационного производства на бердянском заводе требовалось провести существенную реконструкцию и расширение, под которое решили приобрести новый участок в 75 десятин за пределами города. Там намеревались возвести 2 новых корпуса размером 16x75 саженей каждый, силовую станцию, ангары и оборудовать аэродром. Однако это широкомасштабное строительство разворачивалось весьма медленно, зато в апреле уже вовсю велась реконструкция на старой территории по ул. Воронцовской, где в том числе сооружали временный сборочный корпус. Предполагалось, что имевшееся оборудование позволит при получении материалов приступить к выпуску самолетов уже в июле 1917 г., постепенно увеличивая производительность предприятия по мере ввода новых мощностей (12252).</w:t>
      </w:r>
    </w:p>
    <w:p w14:paraId="642557AC" w14:textId="77777777" w:rsidR="00447212" w:rsidRPr="002F2FDF" w:rsidRDefault="00447212" w:rsidP="0083075A">
      <w:pPr>
        <w:pStyle w:val="1c"/>
        <w:spacing w:before="0" w:after="0"/>
        <w:jc w:val="both"/>
        <w:rPr>
          <w:color w:val="000000" w:themeColor="text1"/>
          <w:kern w:val="2"/>
          <w:sz w:val="16"/>
          <w:szCs w:val="16"/>
        </w:rPr>
      </w:pPr>
    </w:p>
    <w:p w14:paraId="07A145F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w:t>
      </w:r>
      <w:r w:rsidRPr="002F2FDF">
        <w:rPr>
          <w:rFonts w:ascii="Times New Roman" w:hAnsi="Times New Roman" w:cs="Times New Roman"/>
          <w:color w:val="000000" w:themeColor="text1"/>
          <w:kern w:val="2"/>
          <w:sz w:val="16"/>
          <w:szCs w:val="16"/>
        </w:rPr>
        <w:softHyphen/>
        <w:t>ле 1917 г. не будучи уверенным в успехе затеи, правление АО Матиас решило продать инженеру П.Ю. Стефанкевичу 70 % акций АО “Матиас”. Таким образом, Стефанкевич стал фактическим владельцем завода, занимая одновременно должность директора-распорядителя. Испол</w:t>
      </w:r>
      <w:r w:rsidRPr="002F2FDF">
        <w:rPr>
          <w:rFonts w:ascii="Times New Roman" w:hAnsi="Times New Roman" w:cs="Times New Roman"/>
          <w:color w:val="000000" w:themeColor="text1"/>
          <w:kern w:val="2"/>
          <w:sz w:val="16"/>
          <w:szCs w:val="16"/>
        </w:rPr>
        <w:softHyphen/>
        <w:t>нительным директором стал С. Завадский, главным инженером — П. Слободчиков, оба — опытные организаторы производства с Путиловского завода. Для работы в конструкторском отделе также пригла</w:t>
      </w:r>
      <w:r w:rsidRPr="002F2FDF">
        <w:rPr>
          <w:rFonts w:ascii="Times New Roman" w:hAnsi="Times New Roman" w:cs="Times New Roman"/>
          <w:color w:val="000000" w:themeColor="text1"/>
          <w:kern w:val="2"/>
          <w:sz w:val="16"/>
          <w:szCs w:val="16"/>
        </w:rPr>
        <w:softHyphen/>
        <w:t>сили опытных специалистов, в частности, Л. Колпакова с петроград</w:t>
      </w:r>
      <w:r w:rsidRPr="002F2FDF">
        <w:rPr>
          <w:rFonts w:ascii="Times New Roman" w:hAnsi="Times New Roman" w:cs="Times New Roman"/>
          <w:color w:val="000000" w:themeColor="text1"/>
          <w:kern w:val="2"/>
          <w:sz w:val="16"/>
          <w:szCs w:val="16"/>
        </w:rPr>
        <w:softHyphen/>
        <w:t>ского завода Лебедева, Альфреда Пишофа — француза по происхож</w:t>
      </w:r>
      <w:r w:rsidRPr="002F2FDF">
        <w:rPr>
          <w:rFonts w:ascii="Times New Roman" w:hAnsi="Times New Roman" w:cs="Times New Roman"/>
          <w:color w:val="000000" w:themeColor="text1"/>
          <w:kern w:val="2"/>
          <w:sz w:val="16"/>
          <w:szCs w:val="16"/>
        </w:rPr>
        <w:softHyphen/>
        <w:t>дению, но работавшего уже около пяти лет в России на заводах Тере</w:t>
      </w:r>
      <w:r w:rsidRPr="002F2FDF">
        <w:rPr>
          <w:rFonts w:ascii="Times New Roman" w:hAnsi="Times New Roman" w:cs="Times New Roman"/>
          <w:color w:val="000000" w:themeColor="text1"/>
          <w:kern w:val="2"/>
          <w:sz w:val="16"/>
          <w:szCs w:val="16"/>
        </w:rPr>
        <w:softHyphen/>
        <w:t>щенко и Анатры, и Д. Вершена — тоже француза с фирмы “Спад”. Для организации в более отдаленной перспективе авиамоторного отделе</w:t>
      </w:r>
      <w:r w:rsidRPr="002F2FDF">
        <w:rPr>
          <w:rFonts w:ascii="Times New Roman" w:hAnsi="Times New Roman" w:cs="Times New Roman"/>
          <w:color w:val="000000" w:themeColor="text1"/>
          <w:kern w:val="2"/>
          <w:sz w:val="16"/>
          <w:szCs w:val="16"/>
        </w:rPr>
        <w:softHyphen/>
        <w:t>ния удалось заручиться согласием перейти на работу в Бердянск Б. Гролларда с завода “Лоррен-Дитрих”. Причины такого засилья французов нужно, вероятно, искать не только в “низкопоклонстве пе</w:t>
      </w:r>
      <w:r w:rsidRPr="002F2FDF">
        <w:rPr>
          <w:rFonts w:ascii="Times New Roman" w:hAnsi="Times New Roman" w:cs="Times New Roman"/>
          <w:color w:val="000000" w:themeColor="text1"/>
          <w:kern w:val="2"/>
          <w:sz w:val="16"/>
          <w:szCs w:val="16"/>
        </w:rPr>
        <w:softHyphen/>
        <w:t>ред Западом”. Дело в том, что большинство молодых российских ин</w:t>
      </w:r>
      <w:r w:rsidRPr="002F2FDF">
        <w:rPr>
          <w:rFonts w:ascii="Times New Roman" w:hAnsi="Times New Roman" w:cs="Times New Roman"/>
          <w:color w:val="000000" w:themeColor="text1"/>
          <w:kern w:val="2"/>
          <w:sz w:val="16"/>
          <w:szCs w:val="16"/>
        </w:rPr>
        <w:softHyphen/>
        <w:t>женеров к тому времени оказались мобилизованными, и военное ве</w:t>
      </w:r>
      <w:r w:rsidRPr="002F2FDF">
        <w:rPr>
          <w:rFonts w:ascii="Times New Roman" w:hAnsi="Times New Roman" w:cs="Times New Roman"/>
          <w:color w:val="000000" w:themeColor="text1"/>
          <w:kern w:val="2"/>
          <w:sz w:val="16"/>
          <w:szCs w:val="16"/>
        </w:rPr>
        <w:softHyphen/>
        <w:t>домство не спешило расставаться с ними. Например, когда Стефан</w:t>
      </w:r>
      <w:r w:rsidRPr="002F2FDF">
        <w:rPr>
          <w:rFonts w:ascii="Times New Roman" w:hAnsi="Times New Roman" w:cs="Times New Roman"/>
          <w:color w:val="000000" w:themeColor="text1"/>
          <w:kern w:val="2"/>
          <w:sz w:val="16"/>
          <w:szCs w:val="16"/>
        </w:rPr>
        <w:softHyphen/>
        <w:t>кевич обратился с просьбой направить для работы в техническое бю</w:t>
      </w:r>
      <w:r w:rsidRPr="002F2FDF">
        <w:rPr>
          <w:rFonts w:ascii="Times New Roman" w:hAnsi="Times New Roman" w:cs="Times New Roman"/>
          <w:color w:val="000000" w:themeColor="text1"/>
          <w:kern w:val="2"/>
          <w:sz w:val="16"/>
          <w:szCs w:val="16"/>
        </w:rPr>
        <w:softHyphen/>
        <w:t>ро завода прапорщика Сибирского запасного понтонного батальона Н. Шапошникова, имевшего опыт работы в авиации еще с довоенных времен, из Петрограда был получен ответ: “Военное ведомство не считает необходимым усиление технического персонала завода “Ма</w:t>
      </w:r>
      <w:r w:rsidRPr="002F2FDF">
        <w:rPr>
          <w:rFonts w:ascii="Times New Roman" w:hAnsi="Times New Roman" w:cs="Times New Roman"/>
          <w:color w:val="000000" w:themeColor="text1"/>
          <w:kern w:val="2"/>
          <w:sz w:val="16"/>
          <w:szCs w:val="16"/>
        </w:rPr>
        <w:softHyphen/>
        <w:t>тиас”. Безусловно, с точки зрения военных, опытного авиатора гораз</w:t>
      </w:r>
      <w:r w:rsidRPr="002F2FDF">
        <w:rPr>
          <w:rFonts w:ascii="Times New Roman" w:hAnsi="Times New Roman" w:cs="Times New Roman"/>
          <w:color w:val="000000" w:themeColor="text1"/>
          <w:kern w:val="2"/>
          <w:sz w:val="16"/>
          <w:szCs w:val="16"/>
        </w:rPr>
        <w:softHyphen/>
        <w:t>до разумнее использовать в понтонных частях, чем на авиазаводе! (11154)</w:t>
      </w:r>
    </w:p>
    <w:p w14:paraId="5105DE7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3424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Накануне Февральской 1917 года революции авиационное производство в Петрограде, было представлено следующими предприятиями: Русскобалтийским воздухоплавательным заводом, Авиационным заводом первого русского товарищества воздухоплавания “С.С. Щетинин и Ко”, Аэропланным заводом акционерного общества воздухоплавания “В.А. Лебедев”. Производственнотехнические и кадровые потери этих предприятий за годы двух революций, иностранной интервенции и Гражданской войны оказались настолько огромны, что выпуск летательных аппаратов снизился в несколько раз. Поэтому с ноября 1920 года упомянутые заводы объединили в один, состоящий из трех соответствующих отделений и именуемый с ноября 1922-го Петроградским государственным соединенным авиационным заводом № 3 (ГАЗ № 3) “Красный летчик” (Центральный государственный архив Санкт-Петербурга (ЦГА СПб). Ф. 1790. Оп. 19. Д. 48. Л. 147.) (11176).</w:t>
      </w:r>
    </w:p>
    <w:p w14:paraId="1069B9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EB98D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года председателем комиссии по прочности самолетов стал С.П. Тимо</w:t>
      </w:r>
      <w:r w:rsidRPr="002F2FDF">
        <w:rPr>
          <w:rFonts w:ascii="Times New Roman" w:hAnsi="Times New Roman" w:cs="Times New Roman"/>
          <w:color w:val="000000" w:themeColor="text1"/>
          <w:kern w:val="2"/>
          <w:sz w:val="16"/>
          <w:szCs w:val="16"/>
        </w:rPr>
        <w:softHyphen/>
        <w:t>шенко. Членами комиссии были профессора Н.Е. Жуковский, А.П. Боте</w:t>
      </w:r>
      <w:r w:rsidRPr="002F2FDF">
        <w:rPr>
          <w:rFonts w:ascii="Times New Roman" w:hAnsi="Times New Roman" w:cs="Times New Roman"/>
          <w:color w:val="000000" w:themeColor="text1"/>
          <w:kern w:val="2"/>
          <w:sz w:val="16"/>
          <w:szCs w:val="16"/>
        </w:rPr>
        <w:softHyphen/>
        <w:t>зат, подполковники Калиновский, Вегенер, Лукьянов и инженеры Ветчин-кин, Туполев и Архангельский. На этих совещаниях были разработаны предложения по расчетным нагрузкам на конструкцию самолётов, план дальнейших работ в области прочности самолётов. Впервые были определены необходимые запасы по прочности для истребителей и тяжелых самолётов [29] (11425).</w:t>
      </w:r>
    </w:p>
    <w:p w14:paraId="6353F1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66D949" w14:textId="77777777" w:rsidR="000E7270" w:rsidRPr="002F2FDF" w:rsidRDefault="000E7270"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В феврале 1917 года было собрано специальное заседание Особого совещания по обороне.</w:t>
      </w:r>
    </w:p>
    <w:p w14:paraId="52AA934B" w14:textId="2021E36E" w:rsidR="000E7270" w:rsidRPr="002F2FDF" w:rsidRDefault="000E7270"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 xml:space="preserve">Выступая на нем, председатель Государственной Думы М.В. Родзянко подверг ситуацию, сложившуюся в авиационной отрасли, острой критике: «Несмотря на то, что война продолжается уже третий год, развитие русской </w:t>
      </w:r>
      <w:bookmarkStart w:id="50" w:name="YANDEX_22"/>
      <w:bookmarkEnd w:id="50"/>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авиации</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 xml:space="preserve"> продолжается по-прежнему слабо, количество аэропланов увеличивается медленно, число выпускаемых школами летчиков незначительно, а неблагоприятное соотношение наших авиационных сил с неприятельскими не подверглось сколько-нибудь значительному изменению в нашу пользу». Далее председатель Государственной Думы подчеркнул, что, если в начале войны русская </w:t>
      </w:r>
      <w:bookmarkStart w:id="51" w:name="YANDEX_23"/>
      <w:bookmarkEnd w:id="51"/>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авиация</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 xml:space="preserve"> численно превосходила </w:t>
      </w:r>
      <w:bookmarkStart w:id="52" w:name="YANDEX_24"/>
      <w:bookmarkEnd w:id="52"/>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авиацию</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 xml:space="preserve"> противника, то с </w:t>
      </w:r>
      <w:bookmarkStart w:id="53" w:name="YANDEX_25"/>
      <w:bookmarkEnd w:id="53"/>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1916</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 xml:space="preserve"> года она стала существенно отставать.</w:t>
      </w:r>
    </w:p>
    <w:p w14:paraId="74E192EA" w14:textId="77777777" w:rsidR="000E7270" w:rsidRPr="002F2FDF" w:rsidRDefault="000E7270"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Представители Главного военно-технического управления проинформировали Особое совещание, что на весь 1917 год и первую половину 1918-го общая потребность фронта в боевых самолетах составляет 10065 машин. Из них для армейских авиаотрядов требовалось 895, для корпусных — 4351, истребителей — 4214, учебных — 485, а также не менее 120 тяжелых самолетов типа «Илья Муромец». Представители ГВТУ вынуждены были констатировать, что такое количество авиатехники отечественная авиапромышленность поставить на фронт не в состоянии.</w:t>
      </w:r>
    </w:p>
    <w:p w14:paraId="0CCDFFB7" w14:textId="77777777" w:rsidR="000E7270" w:rsidRPr="002F2FDF" w:rsidRDefault="000E7270"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Очевидный факт, что преимущественно частная авиапромышленность России оказалась неспособна к масштабному развитию авиапроизводства в условиях мирового военного конфликта, подтолкнул, наконец, военное ведомство империи к решению о строительстве крупного государственного авиазавода. Большой завод по производству моторов и самолетов решено было строить в Херсоне, где уже сооружался небольшой экспериментальный авиазавод, рассчитанный на производство 200 самолетов и моторов в год. Предполагалось, что он же станет центром по разработке новых типов самолетов по государственным заказам (17011).</w:t>
      </w:r>
    </w:p>
    <w:p w14:paraId="55D7C7C0" w14:textId="77777777" w:rsidR="000E7270" w:rsidRPr="002F2FDF" w:rsidRDefault="000E7270" w:rsidP="0083075A">
      <w:pPr>
        <w:spacing w:after="0" w:line="240" w:lineRule="auto"/>
        <w:jc w:val="both"/>
        <w:rPr>
          <w:rFonts w:ascii="Times New Roman" w:hAnsi="Times New Roman" w:cs="Times New Roman"/>
          <w:color w:val="000000" w:themeColor="text1"/>
          <w:kern w:val="2"/>
          <w:sz w:val="16"/>
          <w:szCs w:val="16"/>
        </w:rPr>
      </w:pPr>
    </w:p>
    <w:p w14:paraId="576CCA86" w14:textId="77777777" w:rsidR="00C45776" w:rsidRPr="00FB4F67" w:rsidRDefault="00C457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феврале 1917 г. на побережье Черного моря открылся Центральный экспериментальный аэродром в Херсоне (23525).</w:t>
      </w:r>
    </w:p>
    <w:p w14:paraId="03A26487" w14:textId="77777777" w:rsidR="00C45776" w:rsidRPr="00FB4F67" w:rsidRDefault="00C45776" w:rsidP="0083075A">
      <w:pPr>
        <w:spacing w:after="0" w:line="240" w:lineRule="auto"/>
        <w:jc w:val="both"/>
        <w:rPr>
          <w:rFonts w:ascii="Times New Roman" w:hAnsi="Times New Roman" w:cs="Times New Roman"/>
          <w:color w:val="0070C0"/>
          <w:sz w:val="16"/>
          <w:szCs w:val="16"/>
        </w:rPr>
      </w:pPr>
    </w:p>
    <w:p w14:paraId="07F74D76" w14:textId="77777777" w:rsidR="00C45776" w:rsidRPr="00FB4F67" w:rsidRDefault="00C457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феврале 1917 г. Руководство завода, не будучи уверенным в успехе затеи перепрофилирования акционерного общества «Матиас» продало инициативному инженеру 70 % акций АО «Матиас». Таким образом, Стефанкевич стал фактическим владельцем завода, занимая одновременно должность директора-распорядителя. Для организации авиационного производства на бердянском заводе требовалось провести существенную реконструкцию. Построить два новых корпуса, ангары и оборудовать аэродром. Однако это широкомасштабное строительство разворачивалось очень медленно. Предполагалось, что имевшееся оборудование позволит при получении материалов приступить к выпуску самолетов уже в июле 1917 г., постепенно увеличивая производительность предприятия по мере ввода новых мощностей. На этих условиях оборонным ведомством был подписан контракт на сумму 1849900 руб., по которому фирма получила заказ на 100 самолетов. В июне 1917 г. был составлен государственный контракт на сумму около 3,4 млн. руб. с поставкой ещё 200 самолётов к концу 1917 г.</w:t>
      </w:r>
    </w:p>
    <w:p w14:paraId="3563671C" w14:textId="77777777" w:rsidR="00C45776" w:rsidRPr="00FB4F67" w:rsidRDefault="00C457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Сразу же после подписания контрактов владельцам стало ясно, что фирма не сможет выдержать сроки поставок. Правление завода увязло в проблемах с получением материалов и в конфликтах с недовольными рабочими. До конца указанного срока акционерное общество «Матиас» не выпустило ни одного самолета (23485).</w:t>
      </w:r>
    </w:p>
    <w:p w14:paraId="41775C56" w14:textId="77777777" w:rsidR="00C45776" w:rsidRPr="00FB4F67" w:rsidRDefault="00C45776" w:rsidP="0083075A">
      <w:pPr>
        <w:spacing w:after="0" w:line="240" w:lineRule="auto"/>
        <w:jc w:val="both"/>
        <w:rPr>
          <w:rFonts w:ascii="Times New Roman" w:hAnsi="Times New Roman" w:cs="Times New Roman"/>
          <w:color w:val="0070C0"/>
          <w:sz w:val="16"/>
          <w:szCs w:val="16"/>
        </w:rPr>
      </w:pPr>
    </w:p>
    <w:p w14:paraId="1B1E2DCE" w14:textId="77777777" w:rsidR="00C45776" w:rsidRPr="00FB4F67" w:rsidRDefault="00C457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феврале 1917 г. появилась дальнейшая модифика</w:t>
      </w:r>
      <w:r w:rsidRPr="00FB4F67">
        <w:rPr>
          <w:rFonts w:ascii="Times New Roman" w:hAnsi="Times New Roman" w:cs="Times New Roman"/>
          <w:color w:val="0070C0"/>
          <w:sz w:val="16"/>
          <w:szCs w:val="16"/>
        </w:rPr>
        <w:softHyphen/>
        <w:t>цией стандартного «Анасаль» с двигателем «Сальмсон» мощностью 160 л.с. - Анатра ДСС» («Анасаль» с двигателем «Сальмсон» мощностью 160 л.с.). Отличался увеличенными размерами и усиленной конструкцией. Точное количество изготов</w:t>
      </w:r>
      <w:r w:rsidRPr="00FB4F67">
        <w:rPr>
          <w:rFonts w:ascii="Times New Roman" w:hAnsi="Times New Roman" w:cs="Times New Roman"/>
          <w:color w:val="0070C0"/>
          <w:sz w:val="16"/>
          <w:szCs w:val="16"/>
        </w:rPr>
        <w:softHyphen/>
        <w:t>ленных экземпляров не установлено (23374).</w:t>
      </w:r>
    </w:p>
    <w:p w14:paraId="6FCFF427" w14:textId="77777777" w:rsidR="00C45776" w:rsidRPr="00FB4F67" w:rsidRDefault="00C45776" w:rsidP="0083075A">
      <w:pPr>
        <w:spacing w:after="0" w:line="240" w:lineRule="auto"/>
        <w:jc w:val="both"/>
        <w:rPr>
          <w:rFonts w:ascii="Times New Roman" w:hAnsi="Times New Roman" w:cs="Times New Roman"/>
          <w:color w:val="0070C0"/>
          <w:sz w:val="16"/>
          <w:szCs w:val="16"/>
        </w:rPr>
      </w:pPr>
    </w:p>
    <w:p w14:paraId="17D65E7A" w14:textId="77777777" w:rsidR="00C45776" w:rsidRPr="00FB4F67" w:rsidRDefault="00C457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феврале 1917 г. прошли испытания бомбодержатели конструкции Колпакова-Мирошниченко, которые показали лучшие результа</w:t>
      </w:r>
      <w:r w:rsidRPr="00FB4F67">
        <w:rPr>
          <w:rFonts w:ascii="Times New Roman" w:hAnsi="Times New Roman" w:cs="Times New Roman"/>
          <w:color w:val="0070C0"/>
          <w:sz w:val="16"/>
          <w:szCs w:val="16"/>
        </w:rPr>
        <w:softHyphen/>
        <w:t>ты, чем бомбометы системы Шкульника — цилиндрические пе</w:t>
      </w:r>
      <w:r w:rsidRPr="00FB4F67">
        <w:rPr>
          <w:rFonts w:ascii="Times New Roman" w:hAnsi="Times New Roman" w:cs="Times New Roman"/>
          <w:color w:val="0070C0"/>
          <w:sz w:val="16"/>
          <w:szCs w:val="16"/>
        </w:rPr>
        <w:softHyphen/>
        <w:t>налы для размещения бомб, выполненные из фанеры, которые в полевых условиях короби</w:t>
      </w:r>
      <w:r w:rsidRPr="00FB4F67">
        <w:rPr>
          <w:rFonts w:ascii="Times New Roman" w:hAnsi="Times New Roman" w:cs="Times New Roman"/>
          <w:color w:val="0070C0"/>
          <w:sz w:val="16"/>
          <w:szCs w:val="16"/>
        </w:rPr>
        <w:softHyphen/>
        <w:t>лись, теряли форму и выходили из строя (23374).</w:t>
      </w:r>
    </w:p>
    <w:p w14:paraId="15F32DCA" w14:textId="77777777" w:rsidR="00C45776" w:rsidRPr="00FB4F67" w:rsidRDefault="00C45776" w:rsidP="0083075A">
      <w:pPr>
        <w:spacing w:after="0" w:line="240" w:lineRule="auto"/>
        <w:jc w:val="both"/>
        <w:rPr>
          <w:rFonts w:ascii="Times New Roman" w:hAnsi="Times New Roman" w:cs="Times New Roman"/>
          <w:color w:val="0070C0"/>
          <w:sz w:val="16"/>
          <w:szCs w:val="16"/>
        </w:rPr>
      </w:pPr>
    </w:p>
    <w:p w14:paraId="2D304C17" w14:textId="77777777" w:rsidR="00C45776" w:rsidRPr="00FB4F67" w:rsidRDefault="00C457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феврале 1917 г. завод Моска сдал последние из 15 заказанных «Фарман- IV», но дальнейшее выполнение заказов шло весьма медленно. К апрелю количество рабочих на заводе уменьшилось до 190—180 человек. До на</w:t>
      </w:r>
      <w:r w:rsidRPr="00FB4F67">
        <w:rPr>
          <w:rFonts w:ascii="Times New Roman" w:hAnsi="Times New Roman" w:cs="Times New Roman"/>
          <w:color w:val="0070C0"/>
          <w:sz w:val="16"/>
          <w:szCs w:val="16"/>
        </w:rPr>
        <w:softHyphen/>
        <w:t>ступления летних событий заводу Моска удалось закончить еще 10 МБ бис из боль</w:t>
      </w:r>
      <w:r w:rsidRPr="00FB4F67">
        <w:rPr>
          <w:rFonts w:ascii="Times New Roman" w:hAnsi="Times New Roman" w:cs="Times New Roman"/>
          <w:color w:val="0070C0"/>
          <w:sz w:val="16"/>
          <w:szCs w:val="16"/>
        </w:rPr>
        <w:softHyphen/>
        <w:t>шого заказа (125 экз.) (23374).</w:t>
      </w:r>
    </w:p>
    <w:p w14:paraId="30E3E08E" w14:textId="77777777" w:rsidR="00C45776" w:rsidRPr="00FB4F67" w:rsidRDefault="00C45776" w:rsidP="0083075A">
      <w:pPr>
        <w:spacing w:after="0" w:line="240" w:lineRule="auto"/>
        <w:jc w:val="both"/>
        <w:rPr>
          <w:rFonts w:ascii="Times New Roman" w:hAnsi="Times New Roman" w:cs="Times New Roman"/>
          <w:color w:val="0070C0"/>
          <w:sz w:val="16"/>
          <w:szCs w:val="16"/>
        </w:rPr>
      </w:pPr>
    </w:p>
    <w:p w14:paraId="312A6507" w14:textId="77777777" w:rsidR="00C45776" w:rsidRPr="00FB4F67" w:rsidRDefault="00C457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феврале 1917 г. построили учебный самолет Пороховщикова под обозначением П-IV. Особенностью П-IV являлась простота его сборки, разборки и регулировки, воз</w:t>
      </w:r>
      <w:r w:rsidRPr="00FB4F67">
        <w:rPr>
          <w:rFonts w:ascii="Times New Roman" w:hAnsi="Times New Roman" w:cs="Times New Roman"/>
          <w:color w:val="0070C0"/>
          <w:sz w:val="16"/>
          <w:szCs w:val="16"/>
        </w:rPr>
        <w:softHyphen/>
        <w:t>можность отключения второго управления, а также установки различных ротативных двигателей мощностью 50, 60, 70 и 80 л.с. Гондола экипажа, с размещением ученика и инструктора друг за другом, вынесена вперед, двигатель с толкающим винтом.</w:t>
      </w:r>
    </w:p>
    <w:p w14:paraId="42729549" w14:textId="77777777" w:rsidR="00C45776" w:rsidRPr="00FB4F67" w:rsidRDefault="00C457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После прохождения испытаний в мае 1917 г. П-IV, благодаря удачному сочета</w:t>
      </w:r>
      <w:r w:rsidRPr="00FB4F67">
        <w:rPr>
          <w:rFonts w:ascii="Times New Roman" w:hAnsi="Times New Roman" w:cs="Times New Roman"/>
          <w:color w:val="0070C0"/>
          <w:sz w:val="16"/>
          <w:szCs w:val="16"/>
        </w:rPr>
        <w:softHyphen/>
        <w:t>нию высокой устойчивости и простоты уп</w:t>
      </w:r>
      <w:r w:rsidRPr="00FB4F67">
        <w:rPr>
          <w:rFonts w:ascii="Times New Roman" w:hAnsi="Times New Roman" w:cs="Times New Roman"/>
          <w:color w:val="0070C0"/>
          <w:sz w:val="16"/>
          <w:szCs w:val="16"/>
        </w:rPr>
        <w:softHyphen/>
        <w:t>равления, признавался хорошим учебным самолетом и рекомендовался к серийной постройке. Неустановленное количество таких аппаратов было изготовлено и ис</w:t>
      </w:r>
      <w:r w:rsidRPr="00FB4F67">
        <w:rPr>
          <w:rFonts w:ascii="Times New Roman" w:hAnsi="Times New Roman" w:cs="Times New Roman"/>
          <w:color w:val="0070C0"/>
          <w:sz w:val="16"/>
          <w:szCs w:val="16"/>
        </w:rPr>
        <w:softHyphen/>
        <w:t>пользовалось для обучения летчиков.</w:t>
      </w:r>
    </w:p>
    <w:p w14:paraId="40D5DFE5" w14:textId="77777777" w:rsidR="00C45776" w:rsidRPr="00FB4F67" w:rsidRDefault="00C457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1919 г. Пороховщиков построил учеб</w:t>
      </w:r>
      <w:r w:rsidRPr="00FB4F67">
        <w:rPr>
          <w:rFonts w:ascii="Times New Roman" w:hAnsi="Times New Roman" w:cs="Times New Roman"/>
          <w:color w:val="0070C0"/>
          <w:sz w:val="16"/>
          <w:szCs w:val="16"/>
        </w:rPr>
        <w:softHyphen/>
        <w:t>ный самолет П-IV бис, отличающийся уста</w:t>
      </w:r>
      <w:r w:rsidRPr="00FB4F67">
        <w:rPr>
          <w:rFonts w:ascii="Times New Roman" w:hAnsi="Times New Roman" w:cs="Times New Roman"/>
          <w:color w:val="0070C0"/>
          <w:sz w:val="16"/>
          <w:szCs w:val="16"/>
        </w:rPr>
        <w:softHyphen/>
        <w:t>новкой двигателя «Рон» 80 л.с. с тянущим винтом и посадкой ученика и инструктора рядом друг с другом. Известно, что соглас</w:t>
      </w:r>
      <w:r w:rsidRPr="00FB4F67">
        <w:rPr>
          <w:rFonts w:ascii="Times New Roman" w:hAnsi="Times New Roman" w:cs="Times New Roman"/>
          <w:color w:val="0070C0"/>
          <w:sz w:val="16"/>
          <w:szCs w:val="16"/>
        </w:rPr>
        <w:softHyphen/>
        <w:t>но докладной записке Главного управления объединенных авиазаводов от 27 сентября 1919 года на заводе «Моска» велось изго</w:t>
      </w:r>
      <w:r w:rsidRPr="00FB4F67">
        <w:rPr>
          <w:rFonts w:ascii="Times New Roman" w:hAnsi="Times New Roman" w:cs="Times New Roman"/>
          <w:color w:val="0070C0"/>
          <w:sz w:val="16"/>
          <w:szCs w:val="16"/>
        </w:rPr>
        <w:softHyphen/>
        <w:t>товление 55 экземпляров П-IV бис, (РГАЭ. Ф.2097, оп.7, д.29). Однако другой доку мент (Протокол Объединенного согласи</w:t>
      </w:r>
      <w:r w:rsidRPr="00FB4F67">
        <w:rPr>
          <w:rFonts w:ascii="Times New Roman" w:hAnsi="Times New Roman" w:cs="Times New Roman"/>
          <w:color w:val="0070C0"/>
          <w:sz w:val="16"/>
          <w:szCs w:val="16"/>
        </w:rPr>
        <w:softHyphen/>
        <w:t xml:space="preserve">тельного совещания по вопросам </w:t>
      </w:r>
      <w:r w:rsidRPr="00FB4F67">
        <w:rPr>
          <w:rFonts w:ascii="Times New Roman" w:hAnsi="Times New Roman" w:cs="Times New Roman"/>
          <w:color w:val="0070C0"/>
          <w:sz w:val="16"/>
          <w:szCs w:val="16"/>
        </w:rPr>
        <w:lastRenderedPageBreak/>
        <w:t>авиаст</w:t>
      </w:r>
      <w:r w:rsidRPr="00FB4F67">
        <w:rPr>
          <w:rFonts w:ascii="Times New Roman" w:hAnsi="Times New Roman" w:cs="Times New Roman"/>
          <w:color w:val="0070C0"/>
          <w:sz w:val="16"/>
          <w:szCs w:val="16"/>
        </w:rPr>
        <w:softHyphen/>
        <w:t>роения от 29 октября 1919 г.) указывает о возможном изготовлении к 1 мая 1920 года лишь 20 самолетов П-IV бис (РГАЭ. Ф.2097, оп. 3, д.120). Скорее всего, по при</w:t>
      </w:r>
      <w:r w:rsidRPr="00FB4F67">
        <w:rPr>
          <w:rFonts w:ascii="Times New Roman" w:hAnsi="Times New Roman" w:cs="Times New Roman"/>
          <w:color w:val="0070C0"/>
          <w:sz w:val="16"/>
          <w:szCs w:val="16"/>
        </w:rPr>
        <w:softHyphen/>
        <w:t>чине недостатка материалов и это количе</w:t>
      </w:r>
      <w:r w:rsidRPr="00FB4F67">
        <w:rPr>
          <w:rFonts w:ascii="Times New Roman" w:hAnsi="Times New Roman" w:cs="Times New Roman"/>
          <w:color w:val="0070C0"/>
          <w:sz w:val="16"/>
          <w:szCs w:val="16"/>
        </w:rPr>
        <w:softHyphen/>
        <w:t>ство было затем уменьшено (23370).</w:t>
      </w:r>
    </w:p>
    <w:p w14:paraId="67FB2DE1" w14:textId="77777777" w:rsidR="00C45776" w:rsidRPr="00FB4F67" w:rsidRDefault="00C45776" w:rsidP="0083075A">
      <w:pPr>
        <w:spacing w:after="0" w:line="240" w:lineRule="auto"/>
        <w:jc w:val="both"/>
        <w:rPr>
          <w:rFonts w:ascii="Times New Roman" w:hAnsi="Times New Roman" w:cs="Times New Roman"/>
          <w:color w:val="0070C0"/>
          <w:sz w:val="16"/>
          <w:szCs w:val="16"/>
        </w:rPr>
      </w:pPr>
    </w:p>
    <w:p w14:paraId="2A1BFAD7" w14:textId="77777777" w:rsidR="00C45776" w:rsidRPr="00FB4F67" w:rsidRDefault="00C4577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феврале 1917 г. общество «Русский Рено» заявляло, что «обязуется изготовить заказанные 1000 мо</w:t>
      </w:r>
      <w:r w:rsidRPr="00FB4F67">
        <w:rPr>
          <w:rFonts w:ascii="Times New Roman" w:hAnsi="Times New Roman" w:cs="Times New Roman"/>
          <w:color w:val="0070C0"/>
          <w:sz w:val="16"/>
          <w:szCs w:val="16"/>
        </w:rPr>
        <w:softHyphen/>
        <w:t>торы и запасные части на его русских заводах и из мате</w:t>
      </w:r>
      <w:r w:rsidRPr="00FB4F67">
        <w:rPr>
          <w:rFonts w:ascii="Times New Roman" w:hAnsi="Times New Roman" w:cs="Times New Roman"/>
          <w:color w:val="0070C0"/>
          <w:sz w:val="16"/>
          <w:szCs w:val="16"/>
        </w:rPr>
        <w:softHyphen/>
        <w:t>риалов русского происхождения» — с многозначительной оговоркой: «исключая тех, которые не представляется воз</w:t>
      </w:r>
      <w:r w:rsidRPr="00FB4F67">
        <w:rPr>
          <w:rFonts w:ascii="Times New Roman" w:hAnsi="Times New Roman" w:cs="Times New Roman"/>
          <w:color w:val="0070C0"/>
          <w:sz w:val="16"/>
          <w:szCs w:val="16"/>
        </w:rPr>
        <w:softHyphen/>
        <w:t>можным найти на русском рынке». Со своей стороны, Управление аттестовало «Русский Рено» как «один из не</w:t>
      </w:r>
      <w:r w:rsidRPr="00FB4F67">
        <w:rPr>
          <w:rFonts w:ascii="Times New Roman" w:hAnsi="Times New Roman" w:cs="Times New Roman"/>
          <w:color w:val="0070C0"/>
          <w:sz w:val="16"/>
          <w:szCs w:val="16"/>
        </w:rPr>
        <w:softHyphen/>
        <w:t>многих русских моторных заводов, который, обладая до</w:t>
      </w:r>
      <w:r w:rsidRPr="00FB4F67">
        <w:rPr>
          <w:rFonts w:ascii="Times New Roman" w:hAnsi="Times New Roman" w:cs="Times New Roman"/>
          <w:color w:val="0070C0"/>
          <w:sz w:val="16"/>
          <w:szCs w:val="16"/>
        </w:rPr>
        <w:softHyphen/>
        <w:t>статочным оборудованием, техническими силами и преем</w:t>
      </w:r>
      <w:r w:rsidRPr="00FB4F67">
        <w:rPr>
          <w:rFonts w:ascii="Times New Roman" w:hAnsi="Times New Roman" w:cs="Times New Roman"/>
          <w:color w:val="0070C0"/>
          <w:sz w:val="16"/>
          <w:szCs w:val="16"/>
        </w:rPr>
        <w:softHyphen/>
        <w:t>ственностью производства от такового же во Франции, в состоянии выполнить заказ в обусловленный срок на такое количество моторов и оказать действительное содействие в снабжении аэропланов моторами русского изделия» (23352)ю</w:t>
      </w:r>
    </w:p>
    <w:p w14:paraId="0E72C561" w14:textId="77777777" w:rsidR="00C45776" w:rsidRPr="00FB4F67" w:rsidRDefault="00C45776" w:rsidP="0083075A">
      <w:pPr>
        <w:spacing w:after="0" w:line="240" w:lineRule="auto"/>
        <w:jc w:val="both"/>
        <w:rPr>
          <w:rFonts w:ascii="Times New Roman" w:hAnsi="Times New Roman" w:cs="Times New Roman"/>
          <w:color w:val="0070C0"/>
          <w:sz w:val="16"/>
          <w:szCs w:val="16"/>
        </w:rPr>
      </w:pPr>
    </w:p>
    <w:p w14:paraId="5216FA66" w14:textId="77777777" w:rsidR="004139EC" w:rsidRPr="002F2FDF" w:rsidRDefault="004139EC"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 феврале 1917 г. Общество «Русскому Рено» заявляло, что «обязуется изготовить моторы и запасные части на его русских заводах и из материалов русского происхождения» — с многозначительной оговоркой: «исключая тех, которые не представляется возможным найти на русском рынке». Со своей стороны, ГВПУ аттестовало «Русский Рено» как «один из немногих русских моторных заводов, который, обладая достаточным оборудованием, техническими силами и преемственностью производства от такового же во Франции, в состоянии выполнить заказ в обусловленный срок на такое количество моторов и оказать действительное содействие в снабжении аэропланов моторами русского изделия» (18366).</w:t>
      </w:r>
    </w:p>
    <w:p w14:paraId="5690F93D" w14:textId="77777777" w:rsidR="004139EC" w:rsidRPr="002F2FDF" w:rsidRDefault="004139EC" w:rsidP="0083075A">
      <w:pPr>
        <w:pStyle w:val="p1"/>
        <w:spacing w:before="0" w:beforeAutospacing="0" w:after="0" w:afterAutospacing="0"/>
        <w:jc w:val="both"/>
        <w:rPr>
          <w:color w:val="000000" w:themeColor="text1"/>
          <w:sz w:val="16"/>
          <w:szCs w:val="16"/>
        </w:rPr>
      </w:pPr>
    </w:p>
    <w:p w14:paraId="12B67F5E" w14:textId="77777777" w:rsidR="004139EC" w:rsidRPr="002F2FDF" w:rsidRDefault="004139EC"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 феврале 1917 г. Общество «Русскому Рено» заявляло, что «обязуется изготовить моторы и запасные части на его русских заводах и из материалов русского происхождения» — с многозначительной оговоркой: «исключая тех, которые не представляется возможным найти на русском рынке». Со своей стороны, Управление аттестовало «Русский Рено» как «один из немногих русских моторных заводов, который, обладая достаточным оборудованием, техническими силами и преемственностью производства от такового же во Франции, в состоянии выполнить заказ в обусловленный срок на такое количество моторов и оказать действительное содействие в снабжении аэропланов моторами русского изделия» (18409).</w:t>
      </w:r>
    </w:p>
    <w:p w14:paraId="7E40E354" w14:textId="77777777" w:rsidR="004139EC" w:rsidRPr="002F2FDF" w:rsidRDefault="004139EC" w:rsidP="0083075A">
      <w:pPr>
        <w:pStyle w:val="p1"/>
        <w:spacing w:before="0" w:beforeAutospacing="0" w:after="0" w:afterAutospacing="0"/>
        <w:jc w:val="both"/>
        <w:rPr>
          <w:color w:val="000000" w:themeColor="text1"/>
          <w:sz w:val="16"/>
          <w:szCs w:val="16"/>
        </w:rPr>
      </w:pPr>
    </w:p>
    <w:p w14:paraId="29566CC4" w14:textId="77777777" w:rsidR="001F5BD5" w:rsidRPr="002F2FDF" w:rsidRDefault="001F5BD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феврале 1917 г. из названия аэроклуба ИВАК тотчас же удалили титул «Императорский», а бывший великий князь Александр Михайлович лишился поста его председателя. Лишь благодаря заступни</w:t>
      </w:r>
      <w:r w:rsidRPr="002F2FDF">
        <w:rPr>
          <w:rFonts w:ascii="Times New Roman" w:hAnsi="Times New Roman" w:cs="Times New Roman"/>
          <w:color w:val="000000" w:themeColor="text1"/>
          <w:sz w:val="16"/>
          <w:szCs w:val="16"/>
        </w:rPr>
        <w:softHyphen/>
        <w:t>честву старого народовольца, отстаивавшего «принцип внепартийности», другой великий князь — Михаил Александрович — остался чле</w:t>
      </w:r>
      <w:r w:rsidRPr="002F2FDF">
        <w:rPr>
          <w:rFonts w:ascii="Times New Roman" w:hAnsi="Times New Roman" w:cs="Times New Roman"/>
          <w:color w:val="000000" w:themeColor="text1"/>
          <w:sz w:val="16"/>
          <w:szCs w:val="16"/>
        </w:rPr>
        <w:softHyphen/>
        <w:t>ном Всероссийского аэроклуба. Пост председа</w:t>
      </w:r>
      <w:r w:rsidRPr="002F2FDF">
        <w:rPr>
          <w:rFonts w:ascii="Times New Roman" w:hAnsi="Times New Roman" w:cs="Times New Roman"/>
          <w:color w:val="000000" w:themeColor="text1"/>
          <w:sz w:val="16"/>
          <w:szCs w:val="16"/>
        </w:rPr>
        <w:softHyphen/>
        <w:t>теля ВАК занял В.А. Лебедев, затем сменённый В.С. Бородаевским. ВАК поддержал Февраль</w:t>
      </w:r>
      <w:r w:rsidRPr="002F2FDF">
        <w:rPr>
          <w:rFonts w:ascii="Times New Roman" w:hAnsi="Times New Roman" w:cs="Times New Roman"/>
          <w:color w:val="000000" w:themeColor="text1"/>
          <w:sz w:val="16"/>
          <w:szCs w:val="16"/>
        </w:rPr>
        <w:softHyphen/>
        <w:t>скую революцию, и В.В. Корн поспешил исклю</w:t>
      </w:r>
      <w:r w:rsidRPr="002F2FDF">
        <w:rPr>
          <w:rFonts w:ascii="Times New Roman" w:hAnsi="Times New Roman" w:cs="Times New Roman"/>
          <w:color w:val="000000" w:themeColor="text1"/>
          <w:sz w:val="16"/>
          <w:szCs w:val="16"/>
        </w:rPr>
        <w:softHyphen/>
        <w:t>чить ряд фигур старого режима из числа членов ВАК. Началась работа над новым уставом аэро</w:t>
      </w:r>
      <w:r w:rsidRPr="002F2FDF">
        <w:rPr>
          <w:rFonts w:ascii="Times New Roman" w:hAnsi="Times New Roman" w:cs="Times New Roman"/>
          <w:color w:val="000000" w:themeColor="text1"/>
          <w:sz w:val="16"/>
          <w:szCs w:val="16"/>
        </w:rPr>
        <w:softHyphen/>
        <w:t>клуба, оставшаяся незавершённой. Демократи</w:t>
      </w:r>
      <w:r w:rsidRPr="002F2FDF">
        <w:rPr>
          <w:rFonts w:ascii="Times New Roman" w:hAnsi="Times New Roman" w:cs="Times New Roman"/>
          <w:color w:val="000000" w:themeColor="text1"/>
          <w:sz w:val="16"/>
          <w:szCs w:val="16"/>
        </w:rPr>
        <w:softHyphen/>
        <w:t>зация ВАК не производилась, но в его состав вошёл в качестве коллективного члена Всерос</w:t>
      </w:r>
      <w:r w:rsidRPr="002F2FDF">
        <w:rPr>
          <w:rFonts w:ascii="Times New Roman" w:hAnsi="Times New Roman" w:cs="Times New Roman"/>
          <w:color w:val="000000" w:themeColor="text1"/>
          <w:sz w:val="16"/>
          <w:szCs w:val="16"/>
        </w:rPr>
        <w:softHyphen/>
        <w:t>сийский комитет лётчиков-солдат и авиацион</w:t>
      </w:r>
      <w:r w:rsidRPr="002F2FDF">
        <w:rPr>
          <w:rFonts w:ascii="Times New Roman" w:hAnsi="Times New Roman" w:cs="Times New Roman"/>
          <w:color w:val="000000" w:themeColor="text1"/>
          <w:sz w:val="16"/>
          <w:szCs w:val="16"/>
        </w:rPr>
        <w:softHyphen/>
        <w:t>ных мотористов. В 1917 г. отделы ВАК органи</w:t>
      </w:r>
      <w:r w:rsidRPr="002F2FDF">
        <w:rPr>
          <w:rFonts w:ascii="Times New Roman" w:hAnsi="Times New Roman" w:cs="Times New Roman"/>
          <w:color w:val="000000" w:themeColor="text1"/>
          <w:sz w:val="16"/>
          <w:szCs w:val="16"/>
        </w:rPr>
        <w:softHyphen/>
        <w:t>зовали в Ростове-на-Дону, Таганроге и Пензе (20120).</w:t>
      </w:r>
    </w:p>
    <w:p w14:paraId="73976FA5" w14:textId="77777777" w:rsidR="001F5BD5" w:rsidRPr="002F2FDF" w:rsidRDefault="001F5BD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После Октябрьской революции ВАК функци</w:t>
      </w:r>
      <w:r w:rsidRPr="002F2FDF">
        <w:rPr>
          <w:rFonts w:ascii="Times New Roman" w:hAnsi="Times New Roman" w:cs="Times New Roman"/>
          <w:color w:val="000000" w:themeColor="text1"/>
          <w:sz w:val="16"/>
          <w:szCs w:val="16"/>
        </w:rPr>
        <w:softHyphen/>
        <w:t>онировал ещё более полугода. Из организаци</w:t>
      </w:r>
      <w:r w:rsidRPr="002F2FDF">
        <w:rPr>
          <w:rFonts w:ascii="Times New Roman" w:hAnsi="Times New Roman" w:cs="Times New Roman"/>
          <w:color w:val="000000" w:themeColor="text1"/>
          <w:sz w:val="16"/>
          <w:szCs w:val="16"/>
        </w:rPr>
        <w:softHyphen/>
        <w:t>онной работы ВАК в этот период заслуживает внимание попытка создания при аэроклубе Аэро</w:t>
      </w:r>
      <w:r w:rsidRPr="002F2FDF">
        <w:rPr>
          <w:rFonts w:ascii="Times New Roman" w:hAnsi="Times New Roman" w:cs="Times New Roman"/>
          <w:color w:val="000000" w:themeColor="text1"/>
          <w:sz w:val="16"/>
          <w:szCs w:val="16"/>
        </w:rPr>
        <w:softHyphen/>
        <w:t>технического института с высшей практической школой воздухоплавания и авиации (по проекту Н.А. Рынина) и постановка вопроса об участии аэроклубов в демобилизации авиационного иму</w:t>
      </w:r>
      <w:r w:rsidRPr="002F2FDF">
        <w:rPr>
          <w:rFonts w:ascii="Times New Roman" w:hAnsi="Times New Roman" w:cs="Times New Roman"/>
          <w:color w:val="000000" w:themeColor="text1"/>
          <w:sz w:val="16"/>
          <w:szCs w:val="16"/>
        </w:rPr>
        <w:softHyphen/>
        <w:t>щества и частном (любительском) воздухоплава</w:t>
      </w:r>
      <w:r w:rsidRPr="002F2FDF">
        <w:rPr>
          <w:rFonts w:ascii="Times New Roman" w:hAnsi="Times New Roman" w:cs="Times New Roman"/>
          <w:color w:val="000000" w:themeColor="text1"/>
          <w:sz w:val="16"/>
          <w:szCs w:val="16"/>
        </w:rPr>
        <w:softHyphen/>
        <w:t>нии (20120).</w:t>
      </w:r>
    </w:p>
    <w:p w14:paraId="13A301FC" w14:textId="77777777" w:rsidR="001F5BD5" w:rsidRPr="002F2FDF" w:rsidRDefault="001F5BD5" w:rsidP="0083075A">
      <w:pPr>
        <w:spacing w:after="0" w:line="240" w:lineRule="auto"/>
        <w:jc w:val="both"/>
        <w:rPr>
          <w:rFonts w:ascii="Times New Roman" w:hAnsi="Times New Roman" w:cs="Times New Roman"/>
          <w:color w:val="000000" w:themeColor="text1"/>
          <w:sz w:val="16"/>
          <w:szCs w:val="16"/>
        </w:rPr>
      </w:pPr>
    </w:p>
    <w:p w14:paraId="1A5E17D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6C52C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3DC152" w14:textId="342595B8" w:rsidR="003431D2" w:rsidRPr="002F2FDF" w:rsidRDefault="00E55A6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В ф</w:t>
      </w:r>
      <w:r w:rsidR="003431D2" w:rsidRPr="002F2FDF">
        <w:rPr>
          <w:rFonts w:ascii="Times New Roman" w:hAnsi="Times New Roman" w:cs="Times New Roman"/>
          <w:color w:val="000000" w:themeColor="text1"/>
          <w:kern w:val="2"/>
          <w:sz w:val="16"/>
          <w:szCs w:val="16"/>
        </w:rPr>
        <w:t>еврал</w:t>
      </w:r>
      <w:r>
        <w:rPr>
          <w:rFonts w:ascii="Times New Roman" w:hAnsi="Times New Roman" w:cs="Times New Roman"/>
          <w:color w:val="000000" w:themeColor="text1"/>
          <w:kern w:val="2"/>
          <w:sz w:val="16"/>
          <w:szCs w:val="16"/>
        </w:rPr>
        <w:t>е</w:t>
      </w:r>
      <w:r w:rsidR="003431D2" w:rsidRPr="002F2FDF">
        <w:rPr>
          <w:rFonts w:ascii="Times New Roman" w:hAnsi="Times New Roman" w:cs="Times New Roman"/>
          <w:color w:val="000000" w:themeColor="text1"/>
          <w:kern w:val="2"/>
          <w:sz w:val="16"/>
          <w:szCs w:val="16"/>
        </w:rPr>
        <w:t xml:space="preserve"> 1917. </w:t>
      </w:r>
      <w:r>
        <w:rPr>
          <w:rFonts w:ascii="Times New Roman" w:hAnsi="Times New Roman" w:cs="Times New Roman"/>
          <w:color w:val="000000" w:themeColor="text1"/>
          <w:kern w:val="2"/>
          <w:sz w:val="16"/>
          <w:szCs w:val="16"/>
        </w:rPr>
        <w:t>т</w:t>
      </w:r>
      <w:r w:rsidR="003431D2" w:rsidRPr="002F2FDF">
        <w:rPr>
          <w:rFonts w:ascii="Times New Roman" w:hAnsi="Times New Roman" w:cs="Times New Roman"/>
          <w:color w:val="000000" w:themeColor="text1"/>
          <w:kern w:val="2"/>
          <w:sz w:val="16"/>
          <w:szCs w:val="16"/>
        </w:rPr>
        <w:t xml:space="preserve">отчас же после февральского переворота гг. промышленники настояли на образовании особой комиссии, с преобладанием их, для уничтожения казенного заводского строительства, что и было ими успешно выполнено. </w:t>
      </w:r>
    </w:p>
    <w:p w14:paraId="5D2E5F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При составлении программы заводского строительства ГАУ приняло за основание: а) полную потребность армии в главнейших предметах боевого снабжения по опыту войны, слагающуюся из текущей потребности, из потребности для пополнения и для крепостей; б) какая часть полной потребности могла бы быть удовлетворена и какая часть составляет фактический дефицит в боевом снабжении армии; в) казенные заводы должны быть в соответствующем количестве в ка-ждом производстве всех важнейших предметов боевого снабжения, а некоторые специальные производства должны быть переданы исключительно казенным заводам, как-то: ружья и пулеметы, сильно взрывчатые вещества, снаряжение снаря-дов и пр. </w:t>
      </w:r>
    </w:p>
    <w:p w14:paraId="570CBD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программе были указаны заводы: начатые постройкой до войны - 1 пороховой завод, начатые постройкой во время </w:t>
      </w:r>
    </w:p>
    <w:p w14:paraId="1EC39F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войны - 34 завода и мастерских, проектируемые - 2 завода; кроме того, были приведены подробные объяснения о необходимости постройки этих заводов и исчислены расходы на постройку. Всего потребовалось на 37 заводов и мастерских около 607 млн. рублей (11483).</w:t>
      </w:r>
    </w:p>
    <w:p w14:paraId="51C423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"Ниже сведены в краткий перечень все перечисленные выше заводы разных специальностей, вошедшие в большую программу строительства, и указаны округленные цифры стоимости постройки каждого из них (млн руб.):</w:t>
      </w:r>
    </w:p>
    <w:p w14:paraId="6C9D16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2-й Тульский оружейный 49,7</w:t>
      </w:r>
    </w:p>
    <w:p w14:paraId="617A05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Екатеринославский оружейный 34,6</w:t>
      </w:r>
    </w:p>
    <w:p w14:paraId="21212A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Ковровский пулеметный 26,0</w:t>
      </w:r>
    </w:p>
    <w:p w14:paraId="105FBC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Симбирский патронный 40,9</w:t>
      </w:r>
    </w:p>
    <w:p w14:paraId="43C061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Пензенский трубочный 20,7</w:t>
      </w:r>
    </w:p>
    <w:p w14:paraId="466D2C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Воронежский завод взрывателей 41,6</w:t>
      </w:r>
    </w:p>
    <w:p w14:paraId="6545D0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Саратовский орудийный 37,5</w:t>
      </w:r>
    </w:p>
    <w:p w14:paraId="425265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Тамбовский пороховой 30,1</w:t>
      </w:r>
    </w:p>
    <w:p w14:paraId="6E110D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Самарский пороховой 30,0</w:t>
      </w:r>
    </w:p>
    <w:p w14:paraId="1F3B17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Ташкентский хлопкоочистительный 4,0</w:t>
      </w:r>
    </w:p>
    <w:p w14:paraId="390D24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Нижегородский завод взрывчатых веществ 17,4</w:t>
      </w:r>
    </w:p>
    <w:p w14:paraId="483C88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Уфимский завод взрывчатых веществ 20,6</w:t>
      </w:r>
    </w:p>
    <w:p w14:paraId="554F60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Екатеринодарская мастерская 4,5</w:t>
      </w:r>
    </w:p>
    <w:p w14:paraId="612AF3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Грозненская мастерская 1,4</w:t>
      </w:r>
    </w:p>
    <w:p w14:paraId="47C86C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Богородский снаряжательный 20,9</w:t>
      </w:r>
    </w:p>
    <w:p w14:paraId="6EFAC3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Троицкий снаряжательный 3,5</w:t>
      </w:r>
    </w:p>
    <w:p w14:paraId="251FA6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Тверская снаряжательная мастерская 1,2</w:t>
      </w:r>
    </w:p>
    <w:p w14:paraId="4A4C7C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Екатеринославская снаряжательная мастерская 1,3</w:t>
      </w:r>
    </w:p>
    <w:p w14:paraId="734F0E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Кронштадтская снаряжательная мастерская 0,1</w:t>
      </w:r>
    </w:p>
    <w:p w14:paraId="3AF7FC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Свеаборгская снаряжательная мастерская 0,1</w:t>
      </w:r>
    </w:p>
    <w:p w14:paraId="569FC5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Петроградская химическая снаряжательная мастерская 0,1</w:t>
      </w:r>
    </w:p>
    <w:p w14:paraId="4A6690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Юзовский завод азотной кислоты 1,3</w:t>
      </w:r>
    </w:p>
    <w:p w14:paraId="5BC892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Кадиевский бензольный 0,7</w:t>
      </w:r>
    </w:p>
    <w:p w14:paraId="38BAD2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Казанский нефтеперегонный 0,11</w:t>
      </w:r>
    </w:p>
    <w:p w14:paraId="723C21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Нижегородский кислотный 1,9</w:t>
      </w:r>
    </w:p>
    <w:p w14:paraId="07D568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Финляндские хлорные заводы 3,2</w:t>
      </w:r>
    </w:p>
    <w:p w14:paraId="2119A9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Казанский военно-химический 0,4</w:t>
      </w:r>
    </w:p>
    <w:p w14:paraId="709580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Глобинский военно-химический 0,5</w:t>
      </w:r>
    </w:p>
    <w:p w14:paraId="326283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Каменский сталелитейный 49,0</w:t>
      </w:r>
    </w:p>
    <w:p w14:paraId="08627B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Каменский снарядный 138,0</w:t>
      </w:r>
    </w:p>
    <w:p w14:paraId="452907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Алюминиевый 10,0</w:t>
      </w:r>
    </w:p>
    <w:p w14:paraId="5203AC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Изюмский оптического стекла завод 1,2</w:t>
      </w:r>
    </w:p>
    <w:p w14:paraId="71FF40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Изюмский оптических приборов 4,8</w:t>
      </w:r>
    </w:p>
    <w:p w14:paraId="686370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Тульский Машиностроительный 31,9</w:t>
      </w:r>
    </w:p>
    <w:p w14:paraId="49D5F5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Онежский завод азотной кислоты 26,1</w:t>
      </w:r>
    </w:p>
    <w:p w14:paraId="3042CB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на сумму 655,2 (11488).</w:t>
      </w:r>
    </w:p>
    <w:p w14:paraId="0D906E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DDC3D9" w14:textId="388A3970" w:rsidR="003431D2" w:rsidRPr="002F2FDF" w:rsidRDefault="00E55A6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В феврале</w:t>
      </w:r>
      <w:r w:rsidR="003431D2" w:rsidRPr="002F2FDF">
        <w:rPr>
          <w:rFonts w:ascii="Times New Roman" w:hAnsi="Times New Roman" w:cs="Times New Roman"/>
          <w:color w:val="000000" w:themeColor="text1"/>
          <w:kern w:val="2"/>
          <w:sz w:val="16"/>
          <w:szCs w:val="16"/>
        </w:rPr>
        <w:t xml:space="preserve"> 1917</w:t>
      </w:r>
      <w:r>
        <w:rPr>
          <w:rFonts w:ascii="Times New Roman" w:hAnsi="Times New Roman" w:cs="Times New Roman"/>
          <w:color w:val="000000" w:themeColor="text1"/>
          <w:kern w:val="2"/>
          <w:sz w:val="16"/>
          <w:szCs w:val="16"/>
        </w:rPr>
        <w:t xml:space="preserve"> была п</w:t>
      </w:r>
      <w:r w:rsidR="003431D2" w:rsidRPr="002F2FDF">
        <w:rPr>
          <w:rFonts w:ascii="Times New Roman" w:hAnsi="Times New Roman" w:cs="Times New Roman"/>
          <w:color w:val="000000" w:themeColor="text1"/>
          <w:kern w:val="2"/>
          <w:sz w:val="16"/>
          <w:szCs w:val="16"/>
        </w:rPr>
        <w:t>лановая дата ввода в строй казенного завода самодвигателей "БЕКОС" в Мытищах. Пуск отложен до полгого завершения строительства (11201).</w:t>
      </w:r>
    </w:p>
    <w:p w14:paraId="6EAF50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A46B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года снаряжательный завод Второва выпустил первую партию французских гранат (11245).</w:t>
      </w:r>
    </w:p>
    <w:p w14:paraId="7CBAFA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1BD9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февраля 1917 г. производительность изготовление 3-дм гранат начинает падать и приходит к нулю в конце 1917 года.</w:t>
      </w:r>
    </w:p>
    <w:p w14:paraId="4373DE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декабре 1916 года валовое изготовление 3-дм гранат, которое началось с сентября 1915 г. и шло постоянно увеличиваясь, достигло максимума. </w:t>
      </w:r>
    </w:p>
    <w:p w14:paraId="4F38A1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Рост месячного выпуска снарядов шел следующим темпом (суммарно по всем заводам,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600"/>
      </w:tblGrid>
      <w:tr w:rsidR="002B1C74" w:rsidRPr="002F2FDF" w14:paraId="52EAD71B" w14:textId="77777777">
        <w:tc>
          <w:tcPr>
            <w:tcW w:w="1896" w:type="dxa"/>
            <w:tcBorders>
              <w:top w:val="single" w:sz="12" w:space="0" w:color="auto"/>
            </w:tcBorders>
          </w:tcPr>
          <w:p w14:paraId="4A9FD6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 сентябрь</w:t>
            </w:r>
          </w:p>
        </w:tc>
        <w:tc>
          <w:tcPr>
            <w:tcW w:w="600" w:type="dxa"/>
            <w:tcBorders>
              <w:top w:val="single" w:sz="12" w:space="0" w:color="auto"/>
            </w:tcBorders>
          </w:tcPr>
          <w:p w14:paraId="7107CA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66 </w:t>
            </w:r>
          </w:p>
        </w:tc>
      </w:tr>
      <w:tr w:rsidR="002B1C74" w:rsidRPr="002F2FDF" w14:paraId="09BF1AE6" w14:textId="77777777">
        <w:tc>
          <w:tcPr>
            <w:tcW w:w="1896" w:type="dxa"/>
          </w:tcPr>
          <w:p w14:paraId="164AFCC1" w14:textId="5F47B3C7" w:rsidR="003431D2" w:rsidRPr="002F2FDF" w:rsidRDefault="00E55A6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w:t>
            </w:r>
            <w:r w:rsidR="003431D2" w:rsidRPr="002F2FDF">
              <w:rPr>
                <w:rFonts w:ascii="Times New Roman" w:hAnsi="Times New Roman" w:cs="Times New Roman"/>
                <w:color w:val="000000" w:themeColor="text1"/>
                <w:kern w:val="2"/>
                <w:sz w:val="16"/>
                <w:szCs w:val="16"/>
              </w:rPr>
              <w:t>ктябрь</w:t>
            </w:r>
          </w:p>
        </w:tc>
        <w:tc>
          <w:tcPr>
            <w:tcW w:w="600" w:type="dxa"/>
          </w:tcPr>
          <w:p w14:paraId="55CF38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127 </w:t>
            </w:r>
          </w:p>
        </w:tc>
      </w:tr>
      <w:tr w:rsidR="002B1C74" w:rsidRPr="002F2FDF" w14:paraId="7753DF8C" w14:textId="77777777">
        <w:tc>
          <w:tcPr>
            <w:tcW w:w="1896" w:type="dxa"/>
          </w:tcPr>
          <w:p w14:paraId="0377A44D" w14:textId="1F7DB81F" w:rsidR="003431D2" w:rsidRPr="002F2FDF" w:rsidRDefault="00E55A6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w:t>
            </w:r>
            <w:r w:rsidR="003431D2" w:rsidRPr="002F2FDF">
              <w:rPr>
                <w:rFonts w:ascii="Times New Roman" w:hAnsi="Times New Roman" w:cs="Times New Roman"/>
                <w:color w:val="000000" w:themeColor="text1"/>
                <w:kern w:val="2"/>
                <w:sz w:val="16"/>
                <w:szCs w:val="16"/>
              </w:rPr>
              <w:t>оябрь</w:t>
            </w:r>
          </w:p>
        </w:tc>
        <w:tc>
          <w:tcPr>
            <w:tcW w:w="600" w:type="dxa"/>
          </w:tcPr>
          <w:p w14:paraId="1FE6E1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185 </w:t>
            </w:r>
          </w:p>
        </w:tc>
      </w:tr>
      <w:tr w:rsidR="002B1C74" w:rsidRPr="002F2FDF" w14:paraId="1C9C6F35" w14:textId="77777777">
        <w:tc>
          <w:tcPr>
            <w:tcW w:w="1896" w:type="dxa"/>
          </w:tcPr>
          <w:p w14:paraId="67B3F0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декабрь</w:t>
            </w:r>
          </w:p>
        </w:tc>
        <w:tc>
          <w:tcPr>
            <w:tcW w:w="600" w:type="dxa"/>
          </w:tcPr>
          <w:p w14:paraId="7D1B55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223 </w:t>
            </w:r>
          </w:p>
        </w:tc>
      </w:tr>
      <w:tr w:rsidR="002B1C74" w:rsidRPr="002F2FDF" w14:paraId="5A5F3036" w14:textId="77777777">
        <w:tc>
          <w:tcPr>
            <w:tcW w:w="1896" w:type="dxa"/>
          </w:tcPr>
          <w:p w14:paraId="386316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 январь</w:t>
            </w:r>
          </w:p>
        </w:tc>
        <w:tc>
          <w:tcPr>
            <w:tcW w:w="600" w:type="dxa"/>
          </w:tcPr>
          <w:p w14:paraId="4C725C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245 </w:t>
            </w:r>
          </w:p>
        </w:tc>
      </w:tr>
      <w:tr w:rsidR="002B1C74" w:rsidRPr="002F2FDF" w14:paraId="412F5A35" w14:textId="77777777">
        <w:tc>
          <w:tcPr>
            <w:tcW w:w="1896" w:type="dxa"/>
          </w:tcPr>
          <w:p w14:paraId="10C97E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600" w:type="dxa"/>
          </w:tcPr>
          <w:p w14:paraId="1D0AC4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422 </w:t>
            </w:r>
          </w:p>
        </w:tc>
      </w:tr>
      <w:tr w:rsidR="002B1C74" w:rsidRPr="002F2FDF" w14:paraId="4146C4ED" w14:textId="77777777">
        <w:tc>
          <w:tcPr>
            <w:tcW w:w="1896" w:type="dxa"/>
          </w:tcPr>
          <w:p w14:paraId="50A469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w:t>
            </w:r>
          </w:p>
        </w:tc>
        <w:tc>
          <w:tcPr>
            <w:tcW w:w="600" w:type="dxa"/>
          </w:tcPr>
          <w:p w14:paraId="4E7A34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688 </w:t>
            </w:r>
          </w:p>
        </w:tc>
      </w:tr>
      <w:tr w:rsidR="002B1C74" w:rsidRPr="002F2FDF" w14:paraId="78C1F65C" w14:textId="77777777">
        <w:tc>
          <w:tcPr>
            <w:tcW w:w="1896" w:type="dxa"/>
          </w:tcPr>
          <w:p w14:paraId="52FD98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w:t>
            </w:r>
          </w:p>
        </w:tc>
        <w:tc>
          <w:tcPr>
            <w:tcW w:w="600" w:type="dxa"/>
          </w:tcPr>
          <w:p w14:paraId="65DA0A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703 </w:t>
            </w:r>
          </w:p>
        </w:tc>
      </w:tr>
      <w:tr w:rsidR="002B1C74" w:rsidRPr="002F2FDF" w14:paraId="46C4F88D" w14:textId="77777777">
        <w:tc>
          <w:tcPr>
            <w:tcW w:w="1896" w:type="dxa"/>
          </w:tcPr>
          <w:p w14:paraId="441517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декабрь</w:t>
            </w:r>
          </w:p>
        </w:tc>
        <w:tc>
          <w:tcPr>
            <w:tcW w:w="600" w:type="dxa"/>
          </w:tcPr>
          <w:p w14:paraId="783C92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783 </w:t>
            </w:r>
          </w:p>
        </w:tc>
      </w:tr>
      <w:tr w:rsidR="002B1C74" w:rsidRPr="002F2FDF" w14:paraId="6B49671D" w14:textId="77777777">
        <w:tc>
          <w:tcPr>
            <w:tcW w:w="1896" w:type="dxa"/>
          </w:tcPr>
          <w:p w14:paraId="0D8000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 январь</w:t>
            </w:r>
          </w:p>
        </w:tc>
        <w:tc>
          <w:tcPr>
            <w:tcW w:w="600" w:type="dxa"/>
          </w:tcPr>
          <w:p w14:paraId="02AABE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764 </w:t>
            </w:r>
          </w:p>
        </w:tc>
      </w:tr>
      <w:tr w:rsidR="002B1C74" w:rsidRPr="002F2FDF" w14:paraId="71CAEDE3" w14:textId="77777777">
        <w:tc>
          <w:tcPr>
            <w:tcW w:w="1896" w:type="dxa"/>
          </w:tcPr>
          <w:p w14:paraId="7A05A9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600" w:type="dxa"/>
          </w:tcPr>
          <w:p w14:paraId="46421F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501 </w:t>
            </w:r>
          </w:p>
        </w:tc>
      </w:tr>
      <w:tr w:rsidR="002B1C74" w:rsidRPr="002F2FDF" w14:paraId="50866869" w14:textId="77777777">
        <w:tc>
          <w:tcPr>
            <w:tcW w:w="1896" w:type="dxa"/>
          </w:tcPr>
          <w:p w14:paraId="111505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w:t>
            </w:r>
          </w:p>
        </w:tc>
        <w:tc>
          <w:tcPr>
            <w:tcW w:w="600" w:type="dxa"/>
          </w:tcPr>
          <w:p w14:paraId="6E79C4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449 </w:t>
            </w:r>
          </w:p>
        </w:tc>
      </w:tr>
      <w:tr w:rsidR="002B1C74" w:rsidRPr="002F2FDF" w14:paraId="44E7923D" w14:textId="77777777">
        <w:tc>
          <w:tcPr>
            <w:tcW w:w="1896" w:type="dxa"/>
            <w:tcBorders>
              <w:bottom w:val="single" w:sz="12" w:space="0" w:color="auto"/>
            </w:tcBorders>
          </w:tcPr>
          <w:p w14:paraId="4F6069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w:t>
            </w:r>
          </w:p>
        </w:tc>
        <w:tc>
          <w:tcPr>
            <w:tcW w:w="600" w:type="dxa"/>
            <w:tcBorders>
              <w:bottom w:val="single" w:sz="12" w:space="0" w:color="auto"/>
            </w:tcBorders>
          </w:tcPr>
          <w:p w14:paraId="40CE49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291 </w:t>
            </w:r>
          </w:p>
        </w:tc>
      </w:tr>
    </w:tbl>
    <w:p w14:paraId="02E211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с сентября 1915 г. по ноябрь 1917 г. выпущено 12 000 000 корпусов 3-дм гранат. (11329).</w:t>
      </w:r>
    </w:p>
    <w:p w14:paraId="35D808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C9D85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в Юзовке был пущен казенный завод на производство 600000 пудов азотной кислоты [20, с. 37; 28, с. 119]. В 1915 г. по проекту И. И. Андреева на бензольном заводе в Ма</w:t>
      </w:r>
      <w:r w:rsidRPr="002F2FDF">
        <w:rPr>
          <w:rFonts w:ascii="Times New Roman" w:hAnsi="Times New Roman" w:cs="Times New Roman"/>
          <w:color w:val="000000" w:themeColor="text1"/>
          <w:kern w:val="2"/>
          <w:sz w:val="16"/>
          <w:szCs w:val="16"/>
        </w:rPr>
        <w:softHyphen/>
        <w:t>кеевке оборудовали опытный завод. Производственные показатели опытной установки были настолько высокими, что Главное артилле</w:t>
      </w:r>
      <w:r w:rsidRPr="002F2FDF">
        <w:rPr>
          <w:rFonts w:ascii="Times New Roman" w:hAnsi="Times New Roman" w:cs="Times New Roman"/>
          <w:color w:val="000000" w:themeColor="text1"/>
          <w:kern w:val="2"/>
          <w:sz w:val="16"/>
          <w:szCs w:val="16"/>
        </w:rPr>
        <w:softHyphen/>
        <w:t>рийское управление приняло по докладу В. Н. Ипатьева решение о строительстве в Юзовке крупного казенного завода на 600 тыс. пудов азотной кислоты в год. Проект завода был разработан И. И. Андрее</w:t>
      </w:r>
      <w:r w:rsidRPr="002F2FDF">
        <w:rPr>
          <w:rFonts w:ascii="Times New Roman" w:hAnsi="Times New Roman" w:cs="Times New Roman"/>
          <w:color w:val="000000" w:themeColor="text1"/>
          <w:kern w:val="2"/>
          <w:sz w:val="16"/>
          <w:szCs w:val="16"/>
        </w:rPr>
        <w:softHyphen/>
        <w:t>вым и инженером-технологом Н. М. Кулепетовым, который и руко</w:t>
      </w:r>
      <w:r w:rsidRPr="002F2FDF">
        <w:rPr>
          <w:rFonts w:ascii="Times New Roman" w:hAnsi="Times New Roman" w:cs="Times New Roman"/>
          <w:color w:val="000000" w:themeColor="text1"/>
          <w:kern w:val="2"/>
          <w:sz w:val="16"/>
          <w:szCs w:val="16"/>
        </w:rPr>
        <w:softHyphen/>
        <w:t>водил постройкой завода. Если до войны азотную кислоту в России изготовляли на 35 заво</w:t>
      </w:r>
      <w:r w:rsidRPr="002F2FDF">
        <w:rPr>
          <w:rFonts w:ascii="Times New Roman" w:hAnsi="Times New Roman" w:cs="Times New Roman"/>
          <w:color w:val="000000" w:themeColor="text1"/>
          <w:kern w:val="2"/>
          <w:sz w:val="16"/>
          <w:szCs w:val="16"/>
        </w:rPr>
        <w:softHyphen/>
        <w:t>дах, то в 1916 г. их было уже 44. Без заводов взрывчатых веществ и порохов перед войной в 1912 г. в России было выработано азотной кислоты 652,7 тыс. пудов, а в 1916 г. — около 4 880 тыс. пудов [28, с. 118] (5484,59).</w:t>
      </w:r>
    </w:p>
    <w:p w14:paraId="497D25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173312" w14:textId="028C5BF7" w:rsidR="001B6ED4" w:rsidRPr="002F2FDF" w:rsidRDefault="00E55A6A"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В феврале</w:t>
      </w:r>
      <w:r w:rsidR="001B6ED4" w:rsidRPr="002F2FDF">
        <w:rPr>
          <w:rFonts w:ascii="Times New Roman" w:hAnsi="Times New Roman" w:cs="Times New Roman"/>
          <w:color w:val="000000" w:themeColor="text1"/>
          <w:kern w:val="2"/>
          <w:sz w:val="16"/>
          <w:szCs w:val="16"/>
        </w:rPr>
        <w:t xml:space="preserve"> 1917 г. </w:t>
      </w:r>
      <w:hyperlink r:id="rId36" w:anchor="_ftn2" w:history="1">
        <w:r w:rsidR="001B6ED4" w:rsidRPr="002F2FDF">
          <w:rPr>
            <w:rFonts w:ascii="Times New Roman" w:hAnsi="Times New Roman" w:cs="Times New Roman"/>
            <w:color w:val="000000" w:themeColor="text1"/>
            <w:kern w:val="2"/>
            <w:sz w:val="16"/>
            <w:szCs w:val="16"/>
          </w:rPr>
          <w:t>[2]</w:t>
        </w:r>
      </w:hyperlink>
      <w:r w:rsidR="001B6ED4" w:rsidRPr="002F2FDF">
        <w:rPr>
          <w:rFonts w:ascii="Times New Roman" w:hAnsi="Times New Roman" w:cs="Times New Roman"/>
          <w:color w:val="000000" w:themeColor="text1"/>
          <w:kern w:val="2"/>
          <w:sz w:val="16"/>
          <w:szCs w:val="16"/>
        </w:rPr>
        <w:t xml:space="preserve"> </w:t>
      </w:r>
      <w:r>
        <w:rPr>
          <w:rFonts w:ascii="Times New Roman" w:hAnsi="Times New Roman" w:cs="Times New Roman"/>
          <w:color w:val="000000" w:themeColor="text1"/>
          <w:kern w:val="2"/>
          <w:sz w:val="16"/>
          <w:szCs w:val="16"/>
        </w:rPr>
        <w:t>была з</w:t>
      </w:r>
      <w:r w:rsidR="001B6ED4" w:rsidRPr="002F2FDF">
        <w:rPr>
          <w:rFonts w:ascii="Times New Roman" w:hAnsi="Times New Roman" w:cs="Times New Roman"/>
          <w:color w:val="000000" w:themeColor="text1"/>
          <w:kern w:val="2"/>
          <w:sz w:val="16"/>
          <w:szCs w:val="16"/>
        </w:rPr>
        <w:t>аписка председателя Государственной думы М. В. Родзянко Николаю II об экономическом положении России.</w:t>
      </w:r>
    </w:p>
    <w:p w14:paraId="520F1BFE"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18-32</w:t>
      </w:r>
    </w:p>
    <w:p w14:paraId="28B1D30A"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Ваше императорское величество.</w:t>
      </w:r>
    </w:p>
    <w:p w14:paraId="48F9F276"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минуту грозной опасности самая плохая политика — закрывать глаза на всю серьезность сложившейся обстановки. Надо смело глядеть в ее лицо, так как в этом случае не исключена возможность отыскать какой-либо счастливый выход. Положение России сейчас катастрофическое и вместе с тем глубоко трагическое. Ее армия не разбита; она снабжена предметами вооружения более, чем когда бы то ни было раньше, но позади армии, в тылу, идет такой развал, который грозит сделать бесцельными все жертвы, всю пролитую кровь, весь беспримерный героизм и — даже более — решительно склонить чашу военных весов на сторону наших врагов. Со всех концов России приходят вести одна другой безотраднее, одна другой горше. Московский городской голова сообщает в записке, представленной председателю Совета министров, что положение Москвы в продовольственном отношении критическое: вместо 65 вагонов муки,— а по нормам, установленным в продовольственном совещании при московском градоначальнике, даже 86 вагонов ежедневно плюс 7 вагонов для продовольствия подмосковных крестьян,— в декабре подвоз муки в Москву не превышал 50 вагонов в сутки, а в январе упал даже до 42 вагонов, т. е. предложение покрывало немногим более половины потребности. Если подвоз муки не будет доведен до нормы, Москва скоро совсем не будет иметь никаких запасов муки. Не лучше, положение Петрограда. Январский привоз продуктов первейшей необходимости равнялся 50% нормы, утвержденной Особым совещанием [по продовольственному делу], а скота, птиц и масла — 25%, причем в первую половину января подвоз происходил лучше, чем во вторую. Так, ржи и ржаной муки надо было подвозить по 32 вагона в день, а подвозилось 2, 1,21, 2; пшеничной муки—40 вагонов в день, а подвозилось 12, 10, 35, 8 и 2.</w:t>
      </w:r>
    </w:p>
    <w:p w14:paraId="37D76BD0"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 провинции, на которую внимание власти обращено, конечно, в меньшей степени, и говорить нечего. Вот несколько характерных иллюстраций. По заявлению Уральского областного военно-промышленного комитета, Пермская губ. обеспечена запасами зерна только до половины марта, после чего запасы будут все истощены и Пермской губ., работающей на оборону, в апреле грозит формальный голод, ибо на рынке в марте и апреле месяце хлеба не будет. Аналогичная картина наблюдается на противоположном конце России. В Совет съезда горнопромышленников Юга Росссии поступают сообщения, что многие рудники и заводы остались почти совсем без муки и находятся под угрозой настоящего голода, а уполномоченный по продовольствию Екатеринославской губ. оказывается не в состоянии обеспечить предприятия мукою. Вообще дело продовольствия страны находится в катастрофическом положении. Разверстка, предпринятая Министерством земледелия, определенно не удалась. Вот цифры, характеризующие ход последней. Предполагалось разверстать 772 млн. пуд. Из них по 23 января было теоретически разверстано: 1) губернскими земствами 643 млн. пуд., т. е. на 129 млн. пуд. менее предположенного, 2) уездными земствами 229 млн. пуд. и, наконец,</w:t>
      </w:r>
    </w:p>
    <w:p w14:paraId="5E4FE752"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волостями только 4 млн пуд. Эти цифры свидетельствуют о полном крахе разверстки, и ввиду этой неудачи есть опасение, что правительство обратится к военным реквизициям, о которых упоминалось в телеграмме Симбирскому земству и которые несомненно поведут к полному разрушению народного хозяйства ввиду того, что при реквизициях нет возможности проводить принципы правильно построенного народнохозяйственного плана, и к народным волнениям, чего, конечно, следует избегать всемерно.</w:t>
      </w:r>
    </w:p>
    <w:p w14:paraId="3A6A300C"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всяком случае, судя по этим данным, весь февраль уйдет на разверстку хлеба на местах; в марте и апреле начинается распутица, и хлеба подвезти к станциям не удастся; только в конце апреля и в начале мая можно ожидать подвоза зерна к мельницам, которые, однако, стоят без топлива. Следовательно, в течение по крайней мере трех месяцев следует ожидать крайнего обострения на рынке продовольствия, граничащего со всероссийской голодовкой. Не лучше положение с топливом. Почти вся Россия испытывает острый недостаток в жидком и твердом минеральном топливе, в дровах, в торфе. В той же записке московского городского головы приведены факты, удручающие по своему значению. В зимний сезон Москве нужно ежедневно 475 тыс. пуд. дров, 100 тыс. пуд. каменного угля, 100 тыс. пуд. нефтяных остатков и '15 тыс. пуд. торфа. Между тем в январе до начала морозов привозилось в Москву ежедневно в среднем до 430 тыс. пуд. дров, 60 тыс. пуд. каменного угля и 75 тыс. пуд. нефти, так что недовоз, в переводе на дрова, составлял ежедневно 220 тыс. пуд.; с 17 января прибытие дров в Москву упало до 300—400 вагонов в день, т. е. до половины нормы, установленной порайонным комитетом, а нефти и каменного угля почти совсем не поступало. Запасы топлива к зиме на фабриках и заводах в Москве были заготовлены примерно на 2-месяч-иую потребность, но вследствие недовоза, начавшегося еще в ноябре, эти запасы свелись на нет. Вследствие недостатка топлива многие предприятия, даже работающие на оборону, уже остановились или скоро остановятся. Дома с центральным отоплением имеют топлива в размере всего 50%, а дровяные склады пусты. Городской газовый завод с 28 января сократил свою работу более чем на %, и газовое освещение улиц совершенно прекратилось. Городской трамвай в ближайшие дни останавливает вечернее и ночное движение, и не исключена возможность полного его прекращения. Городские лазареты закрываются один за другим. В квартирах обывателей температура редко подымается выше 11—12° Р, а в домах с центральным отоплением падает до 10—9°. В учебных заведениях и многих учреждениях занятия крайне затруднены, так как термометр держится в их помещениях на 6—8°. В городе развилась масса заболеваний инфлюэицией и воспалением легких, а на почве недоедания — желудочные и кишечные расстройства. Благодаря недостатку топлива, сообщает Об-во заводчиков и фабрикантов Московского промышленного района, стоят фабрики: Т-во Даниловской мануфактуры, Т-во «А. Гюбнер», ткацкая фабрика Бебищева, завод сельскохозяйственных машин Головина, суконная фабрика Жучковой, Подольский снарядный завод Земгора, ряд мукомольных мельниц; остановлено производство аэропланов на заводе Акц. об-ва «Дукс», остановлено производство малых моторов на заводе «Динамо», стоит Докторовский химический завод; с 26 января остановлена работа литейных мастерских на Коломенских заводах, грозит полная остановка фабрикам Симонова, Т-ва «Гурьев, Склянин и бр. Карповы», дрожжевому заводу Гивартовского, снаряжательному заводу Второва, заводам бр. Бромлей, формалиновому заводу, Московскому вагоностроительному заводу, электрической станции Рыбинской городской управы, Т-ву Трехгорной Прохоровской мануфактуры. Грозит частичная остановка; Кувасвской мануфактуре, механическим заводам Т-ва Добровых и Набгольц, Люберещ-еому заводу сельскохозяйственных машин, Московским обозным мастерским, юфтевому заводу Савина, Т-ву Московского металлического завода, Ростовской льняной мануфактуре, Московскому электролитическому заводу, механическому заводу Пелевина, заводу «Проводник», заводам Сормово, Тверскому вагоностроительному заводу, Тульскому меднопрокатному заводу, Тульскому оружейному заводу и целому ряду других.</w:t>
      </w:r>
    </w:p>
    <w:p w14:paraId="16C20E7C"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высшей степени неутешительная картина наблюдается и в Петрограде. Из 73 предприятий, стоявших в декабре 1916 г., 39 были вынуждены приостановить производство вследствие отсутствия топлива и 11 — вследствие прекращения отпуска электрической энергии, вызванного недостатком топлива на электрических станциях. Железопрокатный завод Донецко-Юрьевского об-ва стоял 11 дней вследствие отсутствия угля, 8 дней стоял по той же причине завод «Дангензипѳн и К°» и 16 дней завод Северо-Трубопрокатного об-ва. Сокращено производство или частично остановлены заводы: чугунолитейный я механический Сан-Галли, Об-ва Франко-Русских заводов, Т-ва Тентелевских химических заводов. Совершенно остановлен машиностроительный завод Т/д. «А. Вельц» и Петроградского т-ва для производства глухозерского портланд-цемента. Со дня на день грозит остановка работ 'Северному об-ву трубопрокатных и механических заводов; Русскому об-ву для изготовления снарядов и военных припасов; Акц. об-ву русских аккумуляторных заводов Тюдор; Т-ву Чудовского цементного завода; Невскому судостроительному и механическому </w:t>
      </w:r>
      <w:r w:rsidRPr="002F2FDF">
        <w:rPr>
          <w:rFonts w:ascii="Times New Roman" w:hAnsi="Times New Roman" w:cs="Times New Roman"/>
          <w:color w:val="000000" w:themeColor="text1"/>
          <w:kern w:val="2"/>
          <w:sz w:val="16"/>
          <w:szCs w:val="16"/>
        </w:rPr>
        <w:lastRenderedPageBreak/>
        <w:t>заводу; Акц. об-ву механических, трубочных и гильзовых заводов Барановского; Об-ву механических, литейных и трубочных заводов «Атлас» в Петрограде; Северному торгово-промышленному и строительному об-ву «А. Д. Благодарев». Городские предприятия испытывают весьма серьезные затруднения. Запасы нефти для трамвая на 31 января с. г. составляли 60 тыс. пуд., что равно однонедельной потребности топлива. Ежедневный подвоз нефти на 50—60% ниже ежедневного расхода. Запасы угля для газового завода и водопровода равны 250 тыс. пуд., что обеспечивает 2)4 недели работ. Положение электрической станции весьма неблагоприятно. Об-во электрического освещения 1886 г. было обеспечено антрацитом на 7 дней, а нефтыо — всего лишь на 3 дня. У «Ге-лиоса» запаса антрацита и угля не имеется. Почти нет никаких запасов у Бельгийского об-ва электрического освещения. Угрожающим представляется положение даже казенных заводов. По данным Петроградского районного уполномоченного Особого совещания по топливу, на Обуховском сталелитейном заводе на 25 января запасы каменного угля составляли 248 тыс. пуд. при ежедневном расходе в 23 333 пуд; запасы кокса равнялись 18 300 пуд. при ежедневном расходе в 1000 пуд.; запасов антрацита совершенно не было, между тем его требуется заводам ежедневно 1800 пуд. Арсенал Петра I при ежедневном расходе каменного угля в 2030 пуд. имел запас около 2260 нуд. Запасы антрацита составляли 3649 пуд. при ежедневном расходе в 600 пуд. Такие же неутешительные сведения приходят из других мест. Так, Нижнеднепровский завод б. Гантке уведомил Центральный военно-промышленный комитет, что трубочный завод бездействует уже четвертую неделю; проволочно-болтовый завод и снарядная, работавшие с 14 января с постоянными перерывами, снова будут остановлены, ибо поступление топлива самое ничтожное и едва хщатает на поддержание освещения заводов и снабжения водой. Завод этот готовит, между прочим, трехдюймовые снаряды, шестидюймовые бомбы, телеграфную, телефонную и колючую проволоку. В январе месяце приостановлены были работы по всем отделениям завода об-ва «Русский Провиданс». В Екатеринославском районе из 130 предприятий, представленных в Об-ве заводчиков и фабрикантов, большинство работало в декабре и январе только в размере 50% своего производства, причем некоторые заводы работали лишь по нескольку дней; крупнейшие заводы, как «Шодуар» с 10 тыс. рабочих стоит долее двух недель, завод Гантке с 4500 рабочих — 18 дней, «Эстампаж» с 3500 рабочих — 10 дней, Рудз-кий с 1500 рабочих — 3 недели. В Орловской губ. остановлен на неопределенное время Бежицкий завод Брянского об-ва и т. д.</w:t>
      </w:r>
    </w:p>
    <w:p w14:paraId="2DB26185"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Стало резко ухудшаться и положение такого важного рынка, как металлический. Получение чугуна прогрессивно уменьшается: против 98.26 млн пуд., добытых в первое полугодие 1914 г., в 1916 г. выплавлено чугуна на Юге России 80.09 млн пуд. Уже в октябре 1916 г. определился недостаток металла только для нужд обороны в 3 млн пуд. С тех пор положение значительно ухудшилось. Выплавка в ноябре на Юге России сократилась с 16 313 тыс. пуд. до 14 090 тыс. пуд. Вследствие затруднений в перевозке сырья в ноябре пришлось остановить часть домен. В декабре крупные металлургические заводы значительно сократили свою работу и дали всего 14 002 тыс. пуд. В феврале наблюдается сильное сокращение в выработке стали, а именно всего 4 млн пуд., т. е. на 6 млн пуд. менее, чем в январе. Па Урале положение еще хуже. Производительность уральских заводов но данным комиссии ген. Дроздова</w:t>
      </w:r>
      <w:hyperlink r:id="rId37" w:anchor="_ftn3" w:history="1">
        <w:r w:rsidRPr="002F2FDF">
          <w:rPr>
            <w:rFonts w:ascii="Times New Roman" w:hAnsi="Times New Roman" w:cs="Times New Roman"/>
            <w:color w:val="000000" w:themeColor="text1"/>
            <w:kern w:val="2"/>
            <w:sz w:val="16"/>
            <w:szCs w:val="16"/>
          </w:rPr>
          <w:t>[3]</w:t>
        </w:r>
      </w:hyperlink>
      <w:r w:rsidRPr="002F2FDF">
        <w:rPr>
          <w:rFonts w:ascii="Times New Roman" w:hAnsi="Times New Roman" w:cs="Times New Roman"/>
          <w:color w:val="000000" w:themeColor="text1"/>
          <w:kern w:val="2"/>
          <w:sz w:val="16"/>
          <w:szCs w:val="16"/>
        </w:rPr>
        <w:t xml:space="preserve"> определена в 62 млн пуд. чугуна и 61 млн пуд. литого металла. На самом же деле в 1916 г. было получено около 46 млн пуд. чугуна и 48 млн пуд. литого металла.</w:t>
      </w:r>
    </w:p>
    <w:p w14:paraId="2F54072E"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Где причина всей этой разрухи? Есть ли это результат каких-либо непреодолимых сил, бороться с которыми невозможно, или мы имеем</w:t>
      </w:r>
    </w:p>
    <w:p w14:paraId="45A43DB6" w14:textId="5DEA73FA"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перед собою творение рук человеческих? К счастью, но вместе с тем и к несчастью России, налицо есть именно второе. Страна имеет все необходимое, но использовать в достаточной степени не может. Не подлежит ни малейшему сомнению, что сельскохозяйственное производство в состоянии удовлетворить потребительские нужды населения России. Вот что мы читаем в официальном издании «Предварительные итоги всероссийской сельскохозяйственной переписи»: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«Сельскохозяйственная перепись показала, что размер посевной площади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1916 г. приблизительно на 20—25% превышает площадь, необходимую для удовлетворения потребностей населения России при среднем урожае. Принимая во внимание, что урожай 1916 г. был в общем не ниже среднего, можно сделать отсюда вывод о наличии в стране значительных хлебных запасов сверх количеств, необходимых для снабжения населения. А так как 1913, 1914 и 1915 гг. по урожаю в общем также были благополучны, то запасы эти сложились из остатков от нескольких лет. Таким образом, Россия обладает достаточными - хлебными ресурсами, чтобы спокойно и уверенно смотреть в будущее». О том же говорят и данные урожайной статистики. Урожай только четырех главнейших хлебов в 1916 г. исчисляется в 3336 млн пуд.; общее же потребление их равно 2643 млн пуд. Ничего угрожающего с точки зрения имеющихся возможностей нет и в вопросе обеспечения страны топливом: страна владеет неисчерпаемыми источниками топлива в его различных видах: лесом, залежами каменного угля, нефтью, торфом, горючими сланцами и т. п. Добывная способность одного Донецкого бассейна на 1917 г. определена в 2082 млн пуд. каменного угля и антрацита против 1544 млн пуд. в 1913 г., т. е. один Донецкий бассейн в состоянии возместить всю потерю, обусловленную захватом Домбровского района неприятелем и прекращением подвоза заграничного угля. Металлический рынок также владеет богатейшими возможностями. Теоретическая производительная способность доменных печей определяется для всей империи в 357 083 тыс. пуд. ежегодно. Рекордная цифра производительности домен перед войною составляла 257 399 тыс. пуд. в год, что вполне покрывает нужды обороны и дает солидный остаток для свободного рынка. И если все эти богатейшие возможности не использованы, то только потому, что отсутствует надлежащая организация тыла.</w:t>
      </w:r>
    </w:p>
    <w:p w14:paraId="48E04C54"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первую очередь, конечно, следует поставить плохую организацию транспорта, не позволяющую передвигать нужные продукты в необходимом количестве с одного места на другое и потому мешающую правильному темпу народного хозяйства. Так, кризис топлива вызван только тем обстоятельством, что железным дорогам не удается перевезти надлежащего количества топлива, хотя оно имеется в наличности. Например, в 1916 г. из Донецкого бассейна было вывезено только 878 млн пуд. каменного угля из 1370 млн добытого, причем причина недовывоза заключается главным образом в недостаточной подаче вагонов железной дорогой, что признается и Особым совещанием по перевозкам, в отчете которого мы читаем, что «первой причиной недовывоза донецкого топлива за время войны несомненно является недостаток вагонов». По данным журнала «Горнозаводское дело»</w:t>
      </w:r>
      <w:hyperlink r:id="rId38" w:anchor="_ftn4" w:history="1">
        <w:r w:rsidRPr="002F2FDF">
          <w:rPr>
            <w:rFonts w:ascii="Times New Roman" w:hAnsi="Times New Roman" w:cs="Times New Roman"/>
            <w:color w:val="000000" w:themeColor="text1"/>
            <w:kern w:val="2"/>
            <w:sz w:val="16"/>
            <w:szCs w:val="16"/>
          </w:rPr>
          <w:t>[4]</w:t>
        </w:r>
      </w:hyperlink>
      <w:r w:rsidRPr="002F2FDF">
        <w:rPr>
          <w:rFonts w:ascii="Times New Roman" w:hAnsi="Times New Roman" w:cs="Times New Roman"/>
          <w:color w:val="000000" w:themeColor="text1"/>
          <w:kern w:val="2"/>
          <w:sz w:val="16"/>
          <w:szCs w:val="16"/>
        </w:rPr>
        <w:t>, причины недогруза донецкого топлива в октябре и ноябре 1916 г. представляются в следующем виде: по причине отказа — 53.8 млн пуд., неподачи вагонов —107.9 млн пуд., т. е. процент неподачи вагонов составил 59% для всего количества невывезенного угля.</w:t>
      </w:r>
    </w:p>
    <w:p w14:paraId="5FDD0ADB"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силу того же расстройства транспорта резко понижается производительность металлургических и металлообрабатывающих заводов. Заводы не получают в достаточном числе ни топлива, ни руды, ни флюсов, ни других необходимых материалов.</w:t>
      </w:r>
    </w:p>
    <w:p w14:paraId="3DF65351" w14:textId="161A56A1"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Кроме тех данных, которые приводились ранее, достаточно познакомиться с положением дела в Петроградском районе. Здесь большинство металлообрабатывающих заводов не имеет запасов металлического сырья в надлежащем количестве; при обилии одного сорта железа не имеют совершенно других сортов металла, необходимых для производства. Только немногие заводы обеспечены металлом в достаточной мере. Между тем металлургические заводы имеют большие запасы железа, которые не могут быть подвезены к рынкам потребления. Из 73 предприятий, стоявших в декабре 1916 г., 9 приостановили свое производство по недостатку материалов, главным образом чугуна и железа. В ответ на анкету, произведенную Центральным военно-промышленным комитетом, Петроградский вагоностроительный завод сообщил, что запасов железа и стали у него на 31 января 1917 г. имеется около И тыс. пуд., но хотя запасы как будто и большие, фактически завод приостановится, если не будет подвоза металлов, ибо на заводе нет всех потребных ему металлов. Совершенно нет запасов мелкосортного железа на заводе военных и морских приборов «Сименс—Шуккерт»: «. . . стали для взрывателей, — сообщают оттуда, — идет 8 сортов и расходуется в рабочий день в размере около 1300 пуд. Всего на складе имеется около 21 тыс. пуд., причем некоторых сортов хватает для работы только на несколько дней, и работы на заводе в самом непродолжительном времени должны остановиться, если не будет подвоза». На Балтийском судостроительном заводе снарядной заготовки имеется на 31 января «круглой диаметр 85 мм — 8500 пуд. при среднем ежедневном расходе — 2000 пуд., 3 мм — 8 тыс. пуд. при расходе 4б0 пуд. в день, 75 мм заготовки имелось лишь всего 500 пуд. при среднем расходе 1500 пуд.». Соединенные кабельные заводы совершенно не имеют чушковой меди при ежедневном расходе ее 300 пуд. меди ...</w:t>
      </w:r>
      <w:hyperlink r:id="rId39" w:anchor="_ftn5" w:history="1">
        <w:r w:rsidRPr="002F2FDF">
          <w:rPr>
            <w:rFonts w:ascii="Times New Roman" w:hAnsi="Times New Roman" w:cs="Times New Roman"/>
            <w:color w:val="000000" w:themeColor="text1"/>
            <w:kern w:val="2"/>
            <w:sz w:val="16"/>
            <w:szCs w:val="16"/>
          </w:rPr>
          <w:t>[5]</w:t>
        </w:r>
      </w:hyperlink>
      <w:r w:rsidRPr="002F2FDF">
        <w:rPr>
          <w:rFonts w:ascii="Times New Roman" w:hAnsi="Times New Roman" w:cs="Times New Roman"/>
          <w:color w:val="000000" w:themeColor="text1"/>
          <w:kern w:val="2"/>
          <w:sz w:val="16"/>
          <w:szCs w:val="16"/>
        </w:rPr>
        <w:t xml:space="preserve">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хватит только на 5 дней; 7000 пуд. имеется в запасе на 31 января при расходе 1350 пуд. в день. Об-во меднопрокатного завода б. Розенкранца, потребляющее главным образом медь, имело ее в запасе на 31 января всего 6260 пуд. при ежедневном расходе в 4400 пуд. На заводе П. М. Айваз чугуна имелось на 30 января около 200 пуд., а ежедневно расходуется 400—500 пуд.</w:t>
      </w:r>
    </w:p>
    <w:p w14:paraId="2DE72983"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 то же самое расстройство транспорта препятствует, само собою разумеется, использованию всех продовольственных возможностей империи, так как нельзя перевезти даже все заготовленные в станционных складах продовольственные запасы: например, на сибирских железных дорогах гниют миллионы пудов мяса, дичи, разных хлебов.</w:t>
      </w:r>
    </w:p>
    <w:p w14:paraId="18304D53"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Чем же вызвано все это расстройство транспорта? Его нельзя отнести на полное отсутствие технических возможностей, так как пропускная способность наших железных дорог значительно выше используемой и велики средства для водных и гужевых перевозок. По исчислению такого компетентного лица, как теперешний министр путей сообщения, для полного использования пропускной способности главнейших наших магистралей и поддержания движения на боковых линиях в том размере, какой был в 1913 г., на железнодорожной сети недостает по крайней мере двух тысяч товарных паровозов и 80 тыс. вагонов, при наличности которых можно было бы удовлетворить все главнейшие потребности страны. Мало этого, и то, что есть, используется нецелесообразно и неэкономно. Здесь на первую очередь нужно поставить то вредное влияние, какое оказывал и продолжает оказывать на дороги тыла фронт, распоряжающийся тыловым подвижным составом, не считаясь ни с какими заранее выработанными графиками и планами перевозок, что вносит неизбежную путаницу и затруднения в дело транспорта грузов по сети тыла.</w:t>
      </w:r>
    </w:p>
    <w:p w14:paraId="10132E9D"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Опять-таки достаточно для характеристики сослаться на то неблагоприятное влияние, которое оказывала на перевозки топлива из Донецкого района задолженность фронта вагонами. В периоды высоких вагонных долгов, доходивших иногда до 30 тыс. вагонов, неизбежно сокращалась разгрузка угля, что хорошо видно из следующей таблицы: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3058"/>
        <w:gridCol w:w="4060"/>
      </w:tblGrid>
      <w:tr w:rsidR="002B1C74" w:rsidRPr="002F2FDF" w14:paraId="23DD5DB3"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EFFF1F"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B2A0A"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Погружено донецкого топлива (млн пуд.)</w:t>
            </w:r>
            <w:hyperlink r:id="rId40" w:anchor="_ftn6" w:history="1">
              <w:r w:rsidRPr="002F2FDF">
                <w:rPr>
                  <w:rFonts w:ascii="Times New Roman" w:hAnsi="Times New Roman" w:cs="Times New Roman"/>
                  <w:color w:val="000000" w:themeColor="text1"/>
                  <w:kern w:val="2"/>
                  <w:sz w:val="16"/>
                  <w:szCs w:val="16"/>
                </w:rPr>
                <w:t>[6]</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5128C368"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Средний месячный долг за дорогами фронта (шт. вагонов)</w:t>
            </w:r>
          </w:p>
        </w:tc>
      </w:tr>
      <w:tr w:rsidR="002B1C74" w:rsidRPr="002F2FDF" w14:paraId="744AED06"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606B99"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CC909"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9533C"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19000</w:t>
            </w:r>
          </w:p>
        </w:tc>
      </w:tr>
      <w:tr w:rsidR="002B1C74" w:rsidRPr="002F2FDF" w14:paraId="04855CE6"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740346"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E9D9F"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1CD15"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32400</w:t>
            </w:r>
          </w:p>
        </w:tc>
      </w:tr>
      <w:tr w:rsidR="002B1C74" w:rsidRPr="002F2FDF" w14:paraId="088E58E1"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4994DC"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08355"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B0B53"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29000</w:t>
            </w:r>
          </w:p>
        </w:tc>
      </w:tr>
      <w:tr w:rsidR="002B1C74" w:rsidRPr="002F2FDF" w14:paraId="47CE724B"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F46E87"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1131F"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7838B"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13650</w:t>
            </w:r>
          </w:p>
        </w:tc>
      </w:tr>
      <w:tr w:rsidR="002B1C74" w:rsidRPr="002F2FDF" w14:paraId="2FA59983"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037864"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E89AA"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429D5"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19000</w:t>
            </w:r>
          </w:p>
        </w:tc>
      </w:tr>
      <w:tr w:rsidR="002B1C74" w:rsidRPr="002F2FDF" w14:paraId="0AFAF2E0"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FEF4DA"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44D3A"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371A1"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34900</w:t>
            </w:r>
          </w:p>
        </w:tc>
      </w:tr>
    </w:tbl>
    <w:p w14:paraId="5844367E"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Во-вторых, не устранено до сих пор многовластие на местах в деле распоряжения подвижным составом и в самом тылу. Правда, с формальной стороны дело обстоит как будто вполне благополучно: заранее составляются планы перевозок путем довольно сложным и как будто бы рациональным; даются всякие указания строго следовать плану и т. п. На самом же деле планы не осуществляются под разными предлогами, и поэтому железные дороги работают совершенно без системы, способствуя тому развалу тыла, о каком говорилось выше. Вот весьма обычные картины. В Пермской губ. с тех пор, как начала действовать система плановых перевозок, между управлением Омской ж. д., с одной стороны, и Уральским порайонным комитетом, с другой—-идет безрезультатный спор о том, нужны ли на плановые перевозки особые наряды порайонного комитета или не нужны. При этом порайонный комитет полагает, что нарядов этих не требуется, тогда как железная дорога и администрация неукоснительно требуют выдачи нарядов порайонным комитетом на перевозку и отказывают в отправке грузов по плановым перевозкам, если нет нарядов. Ни телеграфные, ни письменные по этому поводу разъяснения председателя порайонного комитета не достигают цели, и грузы остаются без движения, ибо их отказываются перевозить как по старому порядку, так и по новой системе. Железнодорожные агенты, обезволенные множеством циркуляров, становятся в тупик при решении самых несложных по своему характеру вопросов и за всем решительно вынуждены обращаться в управление дорог. Циркуляры часто противоречивы, и выполнить их невозможно. Кроме того, развился крайний формализм, который препятствует рациональному использованию вагонов и нарядов.</w:t>
      </w:r>
    </w:p>
    <w:p w14:paraId="4BEB65AD"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 например, в той же Пермской губ. уполномоченный по муко-молью Е. Д. Калугин выдал однажды разрешение на перевозку 120 вагонов по литерным предложениям, но предложений этих у него в наличности в Перми не оказалось. Предложения эти, однако, нашлись у заместителя его А. М. Симонова в г. Екатеринбурге. Для того чтобы не задерживать перевозки, ибо до конца месяца оставалось всего несколько дней, предложения эти не были посланы в Пермь Калугину для подписки, а были подписаны одним из заместителей Калугина, П. В. Ивановым. Па станциях Омской дороги отказались принять эти предложения, так как, но мнению железнодорожной администрации, предложения должны бы быть подписаны: «За уполномоченного Иванов», а не «Заместитель уполномоченного Иванов». В результате предложения остались неиспользованными, и груз не был доставлен на места, где в нем ощущалась острая потребность. В Богословском округе в ноябре—декабре ощущался остро недостаток в муке. Для того чтобы хотя частью сгладить остроту кризиса, Богословская дорога по соглашению с управлением Омской дороги посылала свои вагоны в Косулино за тем, чтобы перевезти муку. Вагоны эти каждый раз простаивали в Косулине по нескольку дней, так как железнодорожная администрация без особого каждый раз распоряжения управления Омской дороги отказывалась их загружать. [На телеграфные же сношения с управлением уходило времени от 3 до 5 дней. Наконец, много пропадает неиспользованных нарядов благодаря тому, что они с опозданием получаются на месте. Так, например, наряды на вторую половину декабря были получены на месте только 2 января.</w:t>
      </w:r>
    </w:p>
    <w:p w14:paraId="20A878E3"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связи с этим развились крайние злоупотребления железнодорожных агентов, система сложного взяточничества, которая одна только действует сколько-нибудь удовлетворительно. В стране сложилась горькая поговорка, что лучше всего сейчас возить товары на литере Д (деньги).</w:t>
      </w:r>
    </w:p>
    <w:p w14:paraId="7A326A89"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Наконец, следует отметить крайнюю изношенность подвижного состава, обусловленную отчасти тою непосильной работой, какую сейчас выполняет уменьшенный подвижной состав, а отчасти, поскольку речь идет о паровозах, плохим качеством топлива. Последнее отнюдь не есть результат только каких-либо злоупотреблений, а той удивительной бесхозяйственности, того неумения использовать средства тыла, которые проявляются в настоящем деле агентами власти.</w:t>
      </w:r>
    </w:p>
    <w:p w14:paraId="7B2E144F"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Вместо того чтобы принять самые решительные меры для обеспечения себя углем надлежащего качества, для чего потребовалось бы заключить соответствующие контракты с углепромышленниками или создать особый регулирующий орган, Министерство путей сообщения, начиная с 1915 г., предпочитает получать уголь путем реквизиций. Это ставит железные дороги в весьма рискованное положение, мешая им как приобрести уголь хорошего качества, так и сделать надлежащие запасы на складах. Так как при реквизиции личная ответственность владельцев рудников за качество угля совершенно исчезает, было вполне естественно стремление некоторых из них сбыть железным дорогам всякий хлам. Но и помимо этого существовали и существуют условия, оказывающие самое роковое влияние на получение железными дорогами угля подходящих сортов. Так, в 1915 и 1916 гг. Министерство торговли и промышленности не решилось осуществить полной реквизиции всего твердого топлива, и для Министерства путей сообщения реквизировался уголь, только оставшийся от потребителей двух первых категорий. Весьма естественно, что реквизированный уголь был не первого качества и притом самых разнообразных сортов. Распределение реквизированного угля по отдельным дорогам и складам было совершенно случайно, так что каждый склад получал топливо от весьма многих поставщиков неизвестного ему типа, а потом) и не мог расходовать его планомерно. Дошло до того, что, например, Екатерининская ж. д. имела одновременно 300—400 поставщиков вместо 35—39, как это было в нормальное время. Неразборчивость при реквизиции сортов угля имела весьма тяжелые последствия. Дело в том, что до войны дороги снабжались исключительно углями спекающимися, к которым приспособлены топки всех паровозов и паровозный персонал. Во время войны железные дороги стали брать тощий уголь и антрацит. Хорошие сами по себе, эти сорта топлива требуют специальных топок, в существующих же топках могут сжигаться только как примесь к углям спекающимся и при условии правильного производства смесей. Министерство путей сообщения не приспособило своих топок к антрациту и все время продолжало строить новые паровозы с топками для спекающегося угля. Правильных смесей сортов оно тоже не производило, да и не могло производить при описываемых условиях реквизиции и поставки. Отсюда произошел громадный расход топлива, которого паровозы не могли использовать, остановки в пути и т. д., словом, весь тот сумбур, который теперь дарит в деле снабжения топливом паровозов.</w:t>
      </w:r>
    </w:p>
    <w:p w14:paraId="31CE155C"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Бесхозяйственность администрации железных дорог сказалась не в одном этом. Теперешнее положение паровозов таково, что они вынуждены расходовать большое количество топлива. Напряжение перевозок так велико, что общий расход горючего на железных дорогах возрос до чрезвычайности. Между тем Министерство путей сообщения не озаботилось за все время войны заготовкой надлежащего количества дров и всей своей тяжестью навалилось на Донецкий бассейн, снабжая углем даже такие дороги, которые по самому их положению легче всего обеспечить дровяным горючим, как например Либаво-Роменская и Полесские. Между тем повышенные требования на уголь со стороны железных дорог рикошетом весьма тяжело отзываются на всем тылу. Вот характерная цифра: расход железных дорог доходит теперь до 70 млн пуд. в месяц, а всего вывозится из Донецкого бассейна угля до 110 млн пуд., — значит, на все потребности, кроме железных дорог, остается только 40 млн пуд., между тем только для производства кокса необходимо 30 млн пуд.</w:t>
      </w:r>
    </w:p>
    <w:p w14:paraId="4A162B3C"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Ремонт больного состава ведется крайне бесхозяйственно; в погоне отчасти за внешним эффектом, отчасти по причине крайней нужды в подвижном составе вагоны выпускаются из ремонтных мастерских в малоудовлетворительном виде, и работа их поэтому очень плоха.</w:t>
      </w:r>
    </w:p>
    <w:p w14:paraId="4F857B35"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расстройства транспорта, отсутствия топлива, металла, рабочих рук производительность отечественных вагоностроительных п паровозостроительных заводов падает в огромной прогрессии. Вот красноречивые цифры.</w:t>
      </w:r>
    </w:p>
    <w:p w14:paraId="4ED474FF"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Заказы отечественных заводов на паровозы и вагоны</w:t>
      </w:r>
    </w:p>
    <w:p w14:paraId="4799452F"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1913—1916</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8"/>
        <w:gridCol w:w="706"/>
        <w:gridCol w:w="651"/>
        <w:gridCol w:w="664"/>
        <w:gridCol w:w="722"/>
        <w:gridCol w:w="1772"/>
        <w:gridCol w:w="478"/>
        <w:gridCol w:w="736"/>
      </w:tblGrid>
      <w:tr w:rsidR="002B1C74" w:rsidRPr="002F2FDF" w14:paraId="7701E210" w14:textId="77777777" w:rsidTr="00FE2D53">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000127"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1391048"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Вагоны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5326F33"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Недопо</w:t>
            </w:r>
          </w:p>
          <w:p w14:paraId="3AE0D796"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ставлено</w:t>
            </w:r>
          </w:p>
          <w:p w14:paraId="5EBB6A16"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товар</w:t>
            </w:r>
          </w:p>
          <w:p w14:paraId="56E1AA9A"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ных</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A5AC344"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Паровозы</w:t>
            </w:r>
          </w:p>
        </w:tc>
      </w:tr>
      <w:tr w:rsidR="002B1C74" w:rsidRPr="002F2FDF" w14:paraId="27AC1746" w14:textId="77777777" w:rsidTr="00FE2D53">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E4A8244"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B742752"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выпущено</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2154C9B"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628ABA7"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выпущено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14DFB3D"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недопоста влѳно</w:t>
            </w:r>
          </w:p>
        </w:tc>
      </w:tr>
      <w:tr w:rsidR="002B1C74" w:rsidRPr="002F2FDF" w14:paraId="543E2EA5" w14:textId="77777777" w:rsidTr="00FE2D53">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005902E"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78F915"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товарных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87DF1"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пасса</w:t>
            </w:r>
          </w:p>
          <w:p w14:paraId="070490DF"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жирских</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367A7A"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056E64"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дорог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8C486"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полевого управления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82C7D"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товар</w:t>
            </w:r>
          </w:p>
          <w:p w14:paraId="02DF68CB"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3DBC2"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пасса</w:t>
            </w:r>
          </w:p>
          <w:p w14:paraId="27D2922A"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жирских</w:t>
            </w:r>
          </w:p>
        </w:tc>
      </w:tr>
      <w:tr w:rsidR="002B1C74" w:rsidRPr="002F2FDF" w14:paraId="193A3B77"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906487"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D8128"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18613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0CDF2"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9A4D8"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5A38D"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00AB9" w14:textId="65E798B3" w:rsidR="001B6ED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84562" w14:textId="47890CA2" w:rsidR="001B6ED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A82D8" w14:textId="4567A01F" w:rsidR="001B6ED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D50389E"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07F109"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6D7EF"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6DAB7"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19817"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47CB3"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0D0C6"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5E512"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18C4D"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w:t>
            </w:r>
          </w:p>
        </w:tc>
      </w:tr>
      <w:tr w:rsidR="002B1C74" w:rsidRPr="002F2FDF" w14:paraId="41D3A972"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98ECA6"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B81D5"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0A6F0"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127DE"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351F5"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BE378"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246AA"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DB9F5"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w:t>
            </w:r>
          </w:p>
        </w:tc>
      </w:tr>
      <w:tr w:rsidR="002B1C74" w:rsidRPr="002F2FDF" w14:paraId="326E3A2E"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185227"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1496E7"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20355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E1C1E"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9A303"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F6415"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F6A18"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60D36"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59912"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w:t>
            </w:r>
          </w:p>
        </w:tc>
      </w:tr>
    </w:tbl>
    <w:p w14:paraId="49BACD41"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Вторая главная причина разрухи тыла — неустройство рабочего рынка. Огромные выемки населения мобилизациями, превысившие 50% всего трудоспособного мужского населения в возрасте от 16 до 50 лет, создают в тылу чрезвычайно сложное и ответственное положение. Перед государством стояла задача наиболее рационального использования оставшихся рабочих рук, дабы смягчить тот кризис на рабочем рынке, который неизбежно был связан с уходом в армию самого работоспособного населения страны. Прежде всего, следовало бы позаботиться о том. чтобы остались в тылу квалифицированные рабочие, которыми России так бедна и которые являются для нас самым драгоценным сокровищем. Во-вторых, надлежало принять меры к тому, чтобы не было праздных, незанятых рук и чтобы не наблюдалось того крайне ненормального явления, когда в одном районе существует недостаток рабочих рук, в то время как в другом напрасно ищут занятий толпы безработных. Наконец, нужно было сделать так, чтобы работа шла планомерно и без всяких перерывов, так как только тогда национальный труд дал бы весь тот производительный эффект, на который он способен. Что же произошло на самом деле?</w:t>
      </w:r>
    </w:p>
    <w:p w14:paraId="1E610896"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Квалифицированные рабочие были мобилизованы и отправлены на фронт, и все попытки возвратить их из армии до самого последнего времени оказывались почти бесплодными. При таких условиях предприятия должны были обратиться к труду малообученных или совсем не обученных рабочих, что имело целый ряд вредных последствий. Во-первых, обнаружилась усиленная тяга населения в города и промышленные центры ввиду существующей здесь высокой оплаты труда, что лишило сельское хозяйство рабочих рук и тем самым обусловило острый кризис на рынке сельскохозяйственных рабочих со всеми проистекающими отсюда вредными последствиями. Во-вторых, эта масса неподготовленного населения, как и следовало ожидать, оказалась малопродуктивной. Так, например, в каменноугольной промышленности Юга России средняя месячная производительность рабочего выражалась следующими цифрами: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23"/>
        <w:gridCol w:w="1212"/>
        <w:gridCol w:w="300"/>
        <w:gridCol w:w="312"/>
      </w:tblGrid>
      <w:tr w:rsidR="002B1C74" w:rsidRPr="002F2FDF" w14:paraId="23782680"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933165"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AAD6F" w14:textId="5330415D"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I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полугодие . . .</w:t>
            </w:r>
          </w:p>
          <w:p w14:paraId="683C4893" w14:textId="5A645145"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xml:space="preserve">II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913A7"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753</w:t>
            </w:r>
          </w:p>
          <w:p w14:paraId="3633EF38"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757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D136F"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пуд</w:t>
            </w:r>
          </w:p>
          <w:p w14:paraId="508F45DE"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w:t>
            </w:r>
          </w:p>
        </w:tc>
      </w:tr>
      <w:tr w:rsidR="002B1C74" w:rsidRPr="002F2FDF" w14:paraId="3AF9C709"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69BB10"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A485B"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 …</w:t>
            </w:r>
          </w:p>
          <w:p w14:paraId="48F681FB" w14:textId="5F9F4D29" w:rsidR="001B6ED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1B6ED4" w:rsidRPr="002F2FDF">
              <w:rPr>
                <w:rFonts w:ascii="Times New Roman" w:hAnsi="Times New Roman" w:cs="Times New Roman"/>
                <w:color w:val="000000" w:themeColor="text1"/>
                <w:kern w:val="2"/>
                <w:sz w:val="16"/>
                <w:szCs w:val="16"/>
              </w:rPr>
              <w:t>II »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5597E"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779</w:t>
            </w:r>
          </w:p>
          <w:p w14:paraId="00A7126A"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A259B"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7D016E84"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5DFD5115"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5576EB"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FD643" w14:textId="69502F32" w:rsidR="001B6ED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1B6ED4" w:rsidRPr="002F2FDF">
              <w:rPr>
                <w:rFonts w:ascii="Times New Roman" w:hAnsi="Times New Roman" w:cs="Times New Roman"/>
                <w:color w:val="000000" w:themeColor="text1"/>
                <w:kern w:val="2"/>
                <w:sz w:val="16"/>
                <w:szCs w:val="16"/>
              </w:rPr>
              <w:t>I » ...</w:t>
            </w:r>
          </w:p>
          <w:p w14:paraId="328B875B"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47EAF"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656</w:t>
            </w:r>
          </w:p>
          <w:p w14:paraId="4C0CC422"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D2DE9"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7A670A26"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bl>
    <w:p w14:paraId="5A1C8771"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этой малой продуктивности приходится значительно увеличивать количество рабочих. Так, в Донецком каменноугольном районе количество рабочих по месяцам за 2 года — 1913 и 1916, — в тысячах, было следующее: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7"/>
        <w:gridCol w:w="540"/>
        <w:gridCol w:w="555"/>
      </w:tblGrid>
      <w:tr w:rsidR="002B1C74" w:rsidRPr="002F2FDF" w14:paraId="7E5C0180"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84DAB6" w14:textId="6BD803A2" w:rsidR="001B6ED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737BB"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1E2F0"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r>
      <w:tr w:rsidR="002B1C74" w:rsidRPr="002F2FDF" w14:paraId="075E1D35"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B2967E"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43784"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29153"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208000</w:t>
            </w:r>
          </w:p>
        </w:tc>
      </w:tr>
      <w:tr w:rsidR="002B1C74" w:rsidRPr="002F2FDF" w14:paraId="58E48487"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933E10"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0D469"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1AFDC"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219000</w:t>
            </w:r>
          </w:p>
        </w:tc>
      </w:tr>
      <w:tr w:rsidR="002B1C74" w:rsidRPr="002F2FDF" w14:paraId="5399BB5A"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BD27AD"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8029E"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96162"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220000</w:t>
            </w:r>
          </w:p>
        </w:tc>
      </w:tr>
      <w:tr w:rsidR="002B1C74" w:rsidRPr="002F2FDF" w14:paraId="095A4558"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B541DD"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C90C8"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B05CD"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217000</w:t>
            </w:r>
          </w:p>
        </w:tc>
      </w:tr>
      <w:tr w:rsidR="002B1C74" w:rsidRPr="002F2FDF" w14:paraId="57C40F69"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22F976"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9226C"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A5B0F"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220000</w:t>
            </w:r>
          </w:p>
        </w:tc>
      </w:tr>
      <w:tr w:rsidR="002B1C74" w:rsidRPr="002F2FDF" w14:paraId="3957AA9B"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901B7E"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B7D47"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1D1BA"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222000</w:t>
            </w:r>
          </w:p>
        </w:tc>
      </w:tr>
      <w:tr w:rsidR="002B1C74" w:rsidRPr="002F2FDF" w14:paraId="01A965F6"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38D492"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FE431"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20F15"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232000</w:t>
            </w:r>
          </w:p>
        </w:tc>
      </w:tr>
      <w:tr w:rsidR="002B1C74" w:rsidRPr="002F2FDF" w14:paraId="22845842"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B92CDD"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AF15B"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9F18D"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242000</w:t>
            </w:r>
          </w:p>
        </w:tc>
      </w:tr>
      <w:tr w:rsidR="002B1C74" w:rsidRPr="002F2FDF" w14:paraId="266D1658"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3AB1FE"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B4B31"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10828C"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247000</w:t>
            </w:r>
          </w:p>
        </w:tc>
      </w:tr>
    </w:tbl>
    <w:p w14:paraId="41FEED82"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железнорудной промышленности Юга России было занято (на ноябрь):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3"/>
        <w:gridCol w:w="500"/>
        <w:gridCol w:w="675"/>
      </w:tblGrid>
      <w:tr w:rsidR="002B1C74" w:rsidRPr="002F2FDF" w14:paraId="508C6CEB"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EA6F43"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 г.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B51C8"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D239E"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тыс. чел.</w:t>
            </w:r>
          </w:p>
        </w:tc>
      </w:tr>
      <w:tr w:rsidR="002B1C74" w:rsidRPr="002F2FDF" w14:paraId="160268CB"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3B4B6A"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8E565"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51CE6"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w:t>
            </w:r>
          </w:p>
        </w:tc>
      </w:tr>
      <w:tr w:rsidR="002B1C74" w:rsidRPr="002F2FDF" w14:paraId="512EB66C"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7AE0ED"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3D23F"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24.969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56EF6"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w:t>
            </w:r>
          </w:p>
        </w:tc>
      </w:tr>
    </w:tbl>
    <w:p w14:paraId="08192C06"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Урале в ноябре 1916 г. числилось рабочих 178 тыс. чел. против 148 тыс. чел., бывших в 1915 г.</w:t>
      </w:r>
    </w:p>
    <w:p w14:paraId="48BA8D0A"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бакинской нефтяной промышленности в 1916 г. рабочих было 48 500 чел. против 45 015 чел. в 1913 г. и т. д.</w:t>
      </w:r>
    </w:p>
    <w:p w14:paraId="37C18E94"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Столь значительное увеличение количества рабочих в промышленных центрах обусловило увеличение продовольственных затруднений</w:t>
      </w:r>
    </w:p>
    <w:p w14:paraId="1787845B"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просто уже в силу того факта, что теперь требуется доставлять продукты питания в большем количестве, чем было в нормальное время.</w:t>
      </w:r>
    </w:p>
    <w:p w14:paraId="44ED6090" w14:textId="633D191C"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планомерного посредничества по приисканию труда ведет к тому, что местами в империи имеются значительные количества безработных, которым при иных условиях нетрудно было бы дать полезное назначение. Так, по данным Петроградской биржи труда, за время с 19 января 1915 г. по 21 января</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1917 г. предложение труда равнялось 236 579 чел., получили работу только 94 875 чел. По данным Всероссийского бюро труда, за ноябрь и декабрь 1915 г. и январь 1916 г. искало работу 99 155 чел., получило — 72 715 чел.</w:t>
      </w:r>
    </w:p>
    <w:p w14:paraId="619E556B"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Наконец, как очень неблагоприятный момент, следует отметить здесь существование забастовок, мешающих правильному ходу занятий и способствующих понижению производительности национального труда. Вот цифры, не нуждающиеся в объяснениях:</w:t>
      </w:r>
    </w:p>
    <w:p w14:paraId="123FD34C"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ОТДЕЛ ПРОМЫШЛЕННОСТИ</w:t>
      </w:r>
    </w:p>
    <w:p w14:paraId="3599D3E4"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Данные о числе забастовок, их участников и потерянных рабочих днях за 1915—1916 гг., по месяцам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7"/>
        <w:gridCol w:w="1259"/>
        <w:gridCol w:w="1995"/>
        <w:gridCol w:w="2311"/>
      </w:tblGrid>
      <w:tr w:rsidR="002B1C74" w:rsidRPr="002F2FDF" w14:paraId="797B254B"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629E07"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56856"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забастовок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04D08"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бастовавших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8290A"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потерянных рабочих дней</w:t>
            </w:r>
          </w:p>
        </w:tc>
      </w:tr>
      <w:tr w:rsidR="002B1C74" w:rsidRPr="002F2FDF" w14:paraId="7193F3C3" w14:textId="77777777" w:rsidTr="00FE2D53">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452A516"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w:t>
            </w:r>
          </w:p>
        </w:tc>
      </w:tr>
      <w:tr w:rsidR="002B1C74" w:rsidRPr="002F2FDF" w14:paraId="09AB9422"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FB7793"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7266E"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A369C"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8853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DC0D5"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16733</w:t>
            </w:r>
          </w:p>
        </w:tc>
      </w:tr>
      <w:tr w:rsidR="002B1C74" w:rsidRPr="002F2FDF" w14:paraId="5FCB1AF7"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5E8D6F"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48DD3"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1C1D3"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95A441"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92831</w:t>
            </w:r>
          </w:p>
        </w:tc>
      </w:tr>
      <w:tr w:rsidR="002B1C74" w:rsidRPr="002F2FDF" w14:paraId="0552DFFB"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D66F44"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74F01"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EC842"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15368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55F38"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31136</w:t>
            </w:r>
          </w:p>
        </w:tc>
      </w:tr>
      <w:tr w:rsidR="002B1C74" w:rsidRPr="002F2FDF" w14:paraId="09F6BC11"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676498"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AEED7"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97CDB"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35727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7B3BB"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263667</w:t>
            </w:r>
          </w:p>
        </w:tc>
      </w:tr>
      <w:tr w:rsidR="002B1C74" w:rsidRPr="002F2FDF" w14:paraId="5551C961"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999551"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226A7"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1D9E5"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0D82C"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212294</w:t>
            </w:r>
          </w:p>
        </w:tc>
      </w:tr>
      <w:tr w:rsidR="002B1C74" w:rsidRPr="002F2FDF" w14:paraId="0D5B36DC"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A76D53"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9CFE2"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8FCED"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80054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BD22E"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228173</w:t>
            </w:r>
          </w:p>
        </w:tc>
      </w:tr>
      <w:tr w:rsidR="002B1C74" w:rsidRPr="002F2FDF" w14:paraId="7F3EC716"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544B0B"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FDCE1"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9958E"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27827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B3F0E"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75309</w:t>
            </w:r>
          </w:p>
        </w:tc>
      </w:tr>
      <w:tr w:rsidR="002B1C74" w:rsidRPr="002F2FDF" w14:paraId="64A04DF0"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689061"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7969C"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98915"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54625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CBD21"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102456</w:t>
            </w:r>
          </w:p>
        </w:tc>
      </w:tr>
      <w:tr w:rsidR="002B1C74" w:rsidRPr="002F2FDF" w14:paraId="2D06FC9C"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DADDCE"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C1E14"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A8AA8"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113866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61B02"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224482</w:t>
            </w:r>
          </w:p>
        </w:tc>
      </w:tr>
      <w:tr w:rsidR="002B1C74" w:rsidRPr="002F2FDF" w14:paraId="7A4981E8"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15C132"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14A71"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1C27F"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77992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F4367"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337123</w:t>
            </w:r>
          </w:p>
        </w:tc>
      </w:tr>
      <w:tr w:rsidR="002B1C74" w:rsidRPr="002F2FDF" w14:paraId="3BDCAB17"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09AA06"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C950E"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EEAB7"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F43E6"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249400</w:t>
            </w:r>
          </w:p>
        </w:tc>
      </w:tr>
      <w:tr w:rsidR="002B1C74" w:rsidRPr="002F2FDF" w14:paraId="1C556F25"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9C77B6"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9393D"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5B4DF"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17077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8B570"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51820</w:t>
            </w:r>
          </w:p>
        </w:tc>
      </w:tr>
      <w:tr w:rsidR="002B1C74" w:rsidRPr="002F2FDF" w14:paraId="48BB39AA" w14:textId="77777777" w:rsidTr="00FE2D53">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4958FD2"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r>
      <w:tr w:rsidR="002B1C74" w:rsidRPr="002F2FDF" w14:paraId="51CF33DF"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A00872"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0E784"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E6E39"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128450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74E2F"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525570</w:t>
            </w:r>
          </w:p>
        </w:tc>
      </w:tr>
      <w:tr w:rsidR="002B1C74" w:rsidRPr="002F2FDF" w14:paraId="28F8C66F"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05C0D7"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3AEE1"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8BF1D"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91978</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8790E"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886396</w:t>
            </w:r>
          </w:p>
        </w:tc>
      </w:tr>
      <w:tr w:rsidR="002B1C74" w:rsidRPr="002F2FDF" w14:paraId="5830B804"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E15A93"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CB9D4"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1E0BF"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98435</w:t>
            </w:r>
            <w:hyperlink r:id="rId41" w:anchor="_ftn7" w:history="1">
              <w:r w:rsidRPr="002F2FDF">
                <w:rPr>
                  <w:rFonts w:ascii="Times New Roman" w:hAnsi="Times New Roman" w:cs="Times New Roman"/>
                  <w:color w:val="000000" w:themeColor="text1"/>
                  <w:kern w:val="2"/>
                  <w:sz w:val="16"/>
                  <w:szCs w:val="16"/>
                </w:rPr>
                <w:t>[7]</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5227B3FC"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336374</w:t>
            </w:r>
          </w:p>
        </w:tc>
      </w:tr>
    </w:tbl>
    <w:p w14:paraId="601059C0"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Третья главная причина разрухи тыла — неправильное использование существующих в стране хозяйственных возможностей, поскольку речь идет о накопленных специальных знаниях и специальных приспособлениях по различным отраслям хозяйственной жизни. Здоровая экономическая политика требовала и требует, чтобы к делу устроения тыла были привлечены лица со специальными навыками и со специальным опытом. Если нельзя поручать врачу строить мост, а инженеру лечить больных, то еще менее оснований предоставлять устраивать экономическую жизнь не тем, которые вполне осведомлены в том или другом деле, а людям случайным, в лучшем случае дилетантам в порученном им деле, в худшем — прямым невеждам. В западноевропейских государствах это отлично понимают, и вся система тыловой хозяйственной организации покоится там на доверии к общественным силам, на широком участии последних в учреждениях, призванных организовать национальное хозяйство в интересаѴ- обороны. К сожалению, в России отношение правительства к обществу построено на принципе прямо противоположном: общественной инициативе не доверяют, в ней видят опасного врага; общественные организации, несмотря на все оказанные ими огромные услуги стране и армии, преследуются. И результаты этой системы ясны. Те отрасли народного хозяйства, где правительство менее всего связало себя с общественными силами, находятся в состоянии полного разгрома. Так, вместо того чтобы целесообразно использовать живой, подвижной аппарат торговли, владеющий прекрасным знанием всех рынков страны, имеющий широко развитые деловые связи и соответствующее материальное оборудование, — разумеется,только общественно его организовавши, — правительство обратилось к услугам чиновников, в огромном большинстве случаев незнакомых с делом, внесших в него пустой и сухой формализм. Конечно, ничего другого, кроме полного расстройства торговли, получиться не могло; и переживаемая нами продовольственная разруха, и бешеная спекуляция, и всевозможные голоды — они созданы руками власти, невежественной и бездарной.</w:t>
      </w:r>
    </w:p>
    <w:p w14:paraId="6E5014F5"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Четвертый фактор, не упомянуть который здесь нельзя, — безумная финансовая политика правительства. Во всех воюющих государствах принимаются усиленные меры к тому, чтобы не подвергать рынок всяким излишним потрясениям. Наряду с экономической организацией тыла идет и финансовая организация. Главная забота финансового ведомства западноевропейских дерягав сводится сейчас к созданию таких способов получения средств на ведение войны, іедторые были бы по возможности менее болезненными и менее разрушительными для тыла. Повсюду приведен в действие налоговый пресс, причем настойчиво осуществляется идея равномерного участия населения в несении тяжести последнего. Но, конечно, налоговые ресурсы имеют предел, который далеко отстает от требований современной гигантской войны. Государство повсюду вынуждено обращаться к другим ресурсам, главным образом к займам и к выпускам бумажных денег. Оба эти средства, однако, весьма опасны, так как могут при известных условиях создать тяжелые потрясения на рынке. В особенности это приходится сказать о бумажных деньгах, </w:t>
      </w:r>
      <w:r w:rsidRPr="002F2FDF">
        <w:rPr>
          <w:rFonts w:ascii="Times New Roman" w:hAnsi="Times New Roman" w:cs="Times New Roman"/>
          <w:color w:val="000000" w:themeColor="text1"/>
          <w:kern w:val="2"/>
          <w:sz w:val="16"/>
          <w:szCs w:val="16"/>
        </w:rPr>
        <w:lastRenderedPageBreak/>
        <w:t>которые не даром называются экономистами «сладким ядом». Велик соблазн обратиться к этому ресурсу, не требующему ничего другого, кроме соответствующих печатных станков, краски и бумаги, но последствия необдуманных выпусков бумажных денег чрезвычайно опасны. Переполнение рынка излишними денежными знаками всегда и всюду, — так учит политическая экономия, — влечет за собою революцию цен, причем последняя совершается с тем большею силою и быстротою, чем более значительны соответствующие выпуски бумажных денежных знаков. Если бы изменение цен совершалось на всем поле народного хозяйства совершенно равномерно и одновременно, тогда народное хозяйство не испытывало бы значительных потрясений, но так как на самом деле этого нет, происходит нарушение правильного соотношения различных расценок. В то время как одни быстро учитывают падение ценности бумажных денег, другие приспособляются к этому явлению с большой медленностью. В особенно неблагоприятном положении оказываются лица, получающие твердые оклады, например чиновники и служащие различных ведомств, оплата труда которых не может следовать за лажем с той быстротою, с какой следовало бы для удержания их прежнего материального статуса. Государство и частные организации вынуждены изыскивать средства для улучшения быта своих служащих, что не всегда может быть осуществлено и во всяком случае вызывает излишние расходы. Промышленность и торговля, не имея никакой уверенности в будущем, мало-помалу отвыкают от здоровых навыков и делаются спекулятивными. Создается почва для той вакханалии цен, которая окончательно запутывает и без того сложное и тяжелое положение. В будущем, с возобновлением международных сношений в широком масштабе, неупорядоченная валюта грозит нам огромными переплатами в пользу заграницы и искусственным направлением нашей интернациональной торговли. Учитывая все эти обстоятельства, правительства западноевропейских государств, где также наблюдается бумажно-денежная инфляция, принимают ряд мер, дабы предохранить рынок от переполнения его излишними денежными знаками. С этой целью государства развивают чековые операции, принимают меры для привлечения вкладов в кредитные учреждения и, наконец, широко используют систему внутренних займов, главным назначением которых становится снятие с открытого рынка значительного числа бумажных денег. Теория и практика давным давно выработали приемы наиболее рационального распределения займов. Они, конечно, должны быть привлекательны для владельцев свободных денежных капиталов. Это значит, что условия займа должны быть для них выгодны. Здоровая финансовая политика прежде всего, конечно, учитывает то обстоятельство, что существуют различные категории капиталистов, руководящихся различными мотивами при оценке предлагаемого им займа: в то время как одни готовы отдать свои средства на короткий срок, другие ищут для них твердого помещения. Отсюда следует, что государственные займы должны иметь различный характер и различный тип. Наряду с краткосрочными должны выпускаться займы долгосрочные. Наряду с займами рентными — займы лотерейные. Другая задача ■— создать благоприятную общую обстановку для займа. Прежде всего и больше всего надо пробудить в нации живое сознание своего долга перед родиной, всей важности ведущейся борьбы для страны, всей огромности потери, которая нас ожидает, если страна потерпит неудачу. Далее, необходимо сделать так, чтобы помещение своих сбережений в государственные займы оказывалось более выгодным, чем в какие бы то ни было другие предприятия, что опять-таки предполагает соответствующую организацию тыла, способствующую удержанию нормального порядка вещей. Что же мы видим у нас? Государственные займы до сих пор совершенно однотипны; хозяйство страны находится в полном развале; биржевой ажиотаж достиг небывалых размеров; живой дух нации угашается; все попытки общественно организовать страну, воспитать ее в сознательном отношении к развертывающимся грандиозным событиям наталкиваются на непреодолимые административные препоны. Дело доходит до того, что запрещаются вполне благонамеренные лекции о государственных займах, предпринятые комитетом пропаганды последних.</w:t>
      </w:r>
    </w:p>
    <w:p w14:paraId="1140DEA9"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результате всего этого государственные займы почти ничего ие снимают с рынка и размещаются среди публики все труднее и труднее. Последний заем определенно не удался, и если все останется по-прежнему , в будущем улучшения, разумеется, не последует.</w:t>
      </w:r>
    </w:p>
    <w:p w14:paraId="00AAC35A"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использованы и другие средства для извлечения бумажных денег из оборота. Слабо развита чековая операция, и совершенно нерациональна учетная политика Государственного банка, так как последний почти до самого последнего времени держал низкий учетный процент, значительно ниже, чем в частных кредитных учреждениях, и тем самым, конечно, препятствовал привлечению вкладов в кассы Государственного банка, которые, конечно, облегчили бы положение фиска в валютном вопросе.</w:t>
      </w:r>
    </w:p>
    <w:p w14:paraId="321511E3"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Наконец, необходимо обратить внимание на отсутствие общего правильного народнохозяйственного плана во время войны. До войны превалирующим принципом экономического оборота был частнохозяйственный интерес, и вмешательство общественной и государственной власти рассматривалось как некоторый корректив для устранения эксцессов капиталистического строя. Война потребовала напряжения всех сил страны; на сцену выдвинулась идея защиты интересов целого, и эта идея должна была поглотить все остальные. Вполне очевидно, что интересы частных лиц должны были отступить на второй план, и должны были быть приняты все меры к тому, чтобы народное хозяйство давало максимальный производительный эффект. Оставить рынок в том положении, в каком он находился до войны, было нельзя, потому что не могло быть никакой уверенности в том, что все частные лица добровольно откажутся от узких личных выгод и станут действовать только по соображениям патриотического и морального долга. Практика бесспорно подтвердила всю справедливость высказанных здесь опасений: там, где не было планомерной общественной организации, самые добрые побуждения отдельных лиц приносили только вред. Когда некоторые крупные фирмы стали продавать свои товары по нормальным ценам, далеко отстающим от спекулятивных, спекулянты скупили почти весь запас товаров, принадлежащих патриотично настроенным фирмам, и сделали его предметом самой широкой спекуляции.</w:t>
      </w:r>
    </w:p>
    <w:p w14:paraId="6D5C0229"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 начало организации рынка только тогда может дать положительный эффект, когда оно осуществляется всесторонне и планомерно, а не частично в отношении отдельных рынков и товаров. В самом деле, какой смысл, например, нормировать цены на нефть или на уголь, если остается вне нормировки весь остальной рынок. Цена на нефть или на уголь, вполне достаточная во всех отношениях для того момента, когда нормировка происходит, может очень скоро оказаться ниже нормальных просто в силу изменений расценки на те предметы и услуги, которые определяют издержки производства таксированного предмета. С другой стороны, открывается широкое поле для обогащения на чужой счет тех лиц, которые, сами пользуясь таксированными предметами, продают принадлежащий им товар по произвольным ценам, учитывая в свою пользу, конечно, весь тот плюс, который получается между ценою таксированной и ценою, свободно устанавливаемой на рынке. Между тем у нас в России до сих пор такая система частичных организаций практикуется и притом в самой несовершенной форме — простой таксировке. История такс для всех времен и для всех народов была одна и та же: она снимала товары с открытого рынка, не улучшая, а резко ухудшая положение последнего. Таксы хороши только в том случае, если за ними стоит всесторонняя организация рынка, если есть возможность наблюдать и за производством, и за распределением продуктов. Без участия общественных сил такой контроль осуществлен быть не может. Только общество, кровно заинтересованное в том, чтобы рынок функционировал правильно, может осуществить все меры, тому способствующие. Тот учет продуктов, производительных возможностей страны, потребительных нужд населения и т. п., без которого никакой упорядоченный рынок немыслим, требует таких средств и таких знаний, которыми чиновники, конечно, не располагают. В западноевропейских государствах, ведущих войну, это давным давно поняли, и привлечение к делу упорядочения рынка общественных организаций различного типа есть там явление общее. К сожалению, у нас отношение к общественным организациям совсем иное: их всячески преследуют, с ними ведут непрерывную войну, их заподозривают и оскорбляют. А результат такой политики налицо. . .</w:t>
      </w:r>
    </w:p>
    <w:p w14:paraId="7DCBDC49"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Когда причины, поставившие нас на краю гибели, ясны, нетрудно указать средство для их устранения. Необходимо упорядочить транспорт, для чего нужно: а) усилить производительность национальных заводов, что возможно при условиях полного упорядочения тыла, и немедленно заказать недостающий подвижной состав из-за границы; б) приступить к немедленному увеличению пропускной способности железных дорог;</w:t>
      </w:r>
    </w:p>
    <w:p w14:paraId="10CEC8A5"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усилить их погрузочные и разгрузочные средства; г) допустить общественный контроль за работой железнодорожной сети в ее целом; д) допустить образование профессиональных союзов служащих, как самого мощного средства в деле борьбы с железнодорожными злоупотреблениями; е) упорядочить снабжение дорог топливом всякого рода.</w:t>
      </w:r>
    </w:p>
    <w:p w14:paraId="67F4199C"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упорядочения рабочего рынка необходимо: а) допустить профессиональные союзы рабочих, как необходимую основу организации рынков; б) создать повсеместно биржи труда; в) осуществить принудительный арбитраж; г) выработать закон об обеспечении безработных.</w:t>
      </w:r>
    </w:p>
    <w:p w14:paraId="1A87744E"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улучшения финансов: а) выработать стройный финансовый план, ставящий себе задачи не высасывания всех соков страны, а наоборот, содействующий развитию производительных сил последней; б) принять решительные меры против переполнения рынка бумажноденежными знаками; в) коренным образом изменить систему внутренних государственных займов.</w:t>
      </w:r>
    </w:p>
    <w:p w14:paraId="598586C3"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Наконец, как необходимая предпосылка осуществления всего вышеуказанного, привлечь к делу устроения народного хозяйства все живые силы страны, что необходимо предполагает установление не только полного доверия, но и полного контакта между властью и обществом. Только правительство, которому страна доверяет, в которое она верит, может заставить народ идти на дальнейшие жертвы, только тогда лозунг «война до победного конца» получит твердую основу.</w:t>
      </w:r>
    </w:p>
    <w:p w14:paraId="728FCA0B"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Государь, Ваш предок в тяжкую годину, когда стране грозила неминуемая гибель, не поколебался доверить власть лицу, облеченному общественным доверием, и страна была спасена, а имя императора Александра I золотыми буквами записано на страницах не только русской, но и мировой истории. Со всею горячностью, на которую мы только способны, с сознанием того патриотического долга, который на нас всех лежит, мы молим Вас, государь, — последуйте примеру Вашего благородного предка. Бьет двенадцатый час, и слишком близко время, когда всякое обращение к разуму народа станет запоздалым и бесполезным.</w:t>
      </w:r>
    </w:p>
    <w:p w14:paraId="1146F4B8"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Красный архив, 1925, № 10, стр. 69—94.</w:t>
      </w:r>
    </w:p>
    <w:p w14:paraId="6A26FFE6" w14:textId="77777777" w:rsidR="001B6ED4"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2" w:anchor="_ftnref1" w:history="1">
        <w:r w:rsidR="001B6ED4" w:rsidRPr="002F2FDF">
          <w:rPr>
            <w:rFonts w:ascii="Times New Roman" w:hAnsi="Times New Roman" w:cs="Times New Roman"/>
            <w:color w:val="000000" w:themeColor="text1"/>
            <w:kern w:val="2"/>
            <w:sz w:val="16"/>
            <w:szCs w:val="16"/>
          </w:rPr>
          <w:t>[1]</w:t>
        </w:r>
      </w:hyperlink>
      <w:r w:rsidR="001B6ED4" w:rsidRPr="002F2FDF">
        <w:rPr>
          <w:rFonts w:ascii="Times New Roman" w:hAnsi="Times New Roman" w:cs="Times New Roman"/>
          <w:color w:val="000000" w:themeColor="text1"/>
          <w:kern w:val="2"/>
          <w:sz w:val="16"/>
          <w:szCs w:val="16"/>
        </w:rPr>
        <w:t xml:space="preserve"> Записка председателя Государственной думы М. В. Родзянко Николаю II была представлена царю почти накануне Февральской революции. Авторитетное свидетельство одного из видных буржуазных деятелей об истинном положении экономики России накануне Февральской революции начисто опровергает клеветнические измышления русской буржуазии о том, что якобы революция и рабочий класс повинны в экономическом развале страны. Как видно из записки, экономическое положение России уже к началу 1917 г. было катастрофическим. Глубокий кризис охватил все отрасли народного хозяйства страны. Главными причинами экономической разрухи были война и антинародная политика царизма и буржуазии. Естественно, М. В. Родзянко не называет этих причин, а в качестве мер для смягчения экономического кризиса требует передать всю полноту экономического и политического руководства страной в руки буржуазии. Во что обошлось трудящимся России восьмимесячное руководство буржуазии экономикой страны, свидетельствуют публикуемые в сборнике документы.</w:t>
      </w:r>
    </w:p>
    <w:p w14:paraId="7533F836" w14:textId="77777777" w:rsidR="001B6ED4"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3" w:anchor="_ftnref2" w:history="1">
        <w:r w:rsidR="001B6ED4" w:rsidRPr="002F2FDF">
          <w:rPr>
            <w:rFonts w:ascii="Times New Roman" w:hAnsi="Times New Roman" w:cs="Times New Roman"/>
            <w:color w:val="000000" w:themeColor="text1"/>
            <w:kern w:val="2"/>
            <w:sz w:val="16"/>
            <w:szCs w:val="16"/>
          </w:rPr>
          <w:t>[2]</w:t>
        </w:r>
      </w:hyperlink>
      <w:r w:rsidR="001B6ED4" w:rsidRPr="002F2FDF">
        <w:rPr>
          <w:rFonts w:ascii="Times New Roman" w:hAnsi="Times New Roman" w:cs="Times New Roman"/>
          <w:color w:val="000000" w:themeColor="text1"/>
          <w:kern w:val="2"/>
          <w:sz w:val="16"/>
          <w:szCs w:val="16"/>
        </w:rPr>
        <w:t xml:space="preserve"> Датируется, по содержанию док.</w:t>
      </w:r>
    </w:p>
    <w:p w14:paraId="65C631C4" w14:textId="77777777" w:rsidR="001B6ED4"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4" w:anchor="_ftnref3" w:history="1">
        <w:r w:rsidR="001B6ED4" w:rsidRPr="002F2FDF">
          <w:rPr>
            <w:rFonts w:ascii="Times New Roman" w:hAnsi="Times New Roman" w:cs="Times New Roman"/>
            <w:color w:val="000000" w:themeColor="text1"/>
            <w:kern w:val="2"/>
            <w:sz w:val="16"/>
            <w:szCs w:val="16"/>
          </w:rPr>
          <w:t>[3]</w:t>
        </w:r>
      </w:hyperlink>
      <w:r w:rsidR="001B6ED4" w:rsidRPr="002F2FDF">
        <w:rPr>
          <w:rFonts w:ascii="Times New Roman" w:hAnsi="Times New Roman" w:cs="Times New Roman"/>
          <w:color w:val="000000" w:themeColor="text1"/>
          <w:kern w:val="2"/>
          <w:sz w:val="16"/>
          <w:szCs w:val="16"/>
        </w:rPr>
        <w:t xml:space="preserve"> Имеется в виду комиссия под председательством ген.-лейтенанта Н. Ф. Дроздова, обследовавшая деятельность металлургических заводов Урала в конце 1916 г.</w:t>
      </w:r>
    </w:p>
    <w:p w14:paraId="7F7019AB" w14:textId="77777777" w:rsidR="001B6ED4"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5" w:anchor="_ftnref4" w:history="1">
        <w:r w:rsidR="001B6ED4" w:rsidRPr="002F2FDF">
          <w:rPr>
            <w:rFonts w:ascii="Times New Roman" w:hAnsi="Times New Roman" w:cs="Times New Roman"/>
            <w:color w:val="000000" w:themeColor="text1"/>
            <w:kern w:val="2"/>
            <w:sz w:val="16"/>
            <w:szCs w:val="16"/>
          </w:rPr>
          <w:t>[4]</w:t>
        </w:r>
      </w:hyperlink>
      <w:r w:rsidR="001B6ED4" w:rsidRPr="002F2FDF">
        <w:rPr>
          <w:rFonts w:ascii="Times New Roman" w:hAnsi="Times New Roman" w:cs="Times New Roman"/>
          <w:color w:val="000000" w:themeColor="text1"/>
          <w:kern w:val="2"/>
          <w:sz w:val="16"/>
          <w:szCs w:val="16"/>
        </w:rPr>
        <w:t xml:space="preserve"> Указываемые М. В. Родзянко со ссылкой на «Горнозаводское дело» цифры ошибочны. По данным этого журнала, причины и количество недогруза представляются в следующем виде: по причине отказа — 53.8 млн пуд., неподачи вагонов — 96.7 млн пуд., запрещений— 11 млн пуд. (См. журн. «Горнозаводское дело», 1916, № 51. стр. 14912).</w:t>
      </w:r>
    </w:p>
    <w:p w14:paraId="0A95C3CA" w14:textId="77777777" w:rsidR="001B6ED4"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6" w:anchor="_ftnref5" w:history="1">
        <w:r w:rsidR="001B6ED4" w:rsidRPr="002F2FDF">
          <w:rPr>
            <w:rFonts w:ascii="Times New Roman" w:hAnsi="Times New Roman" w:cs="Times New Roman"/>
            <w:color w:val="000000" w:themeColor="text1"/>
            <w:kern w:val="2"/>
            <w:sz w:val="16"/>
            <w:szCs w:val="16"/>
          </w:rPr>
          <w:t>[5]</w:t>
        </w:r>
      </w:hyperlink>
      <w:r w:rsidR="001B6ED4" w:rsidRPr="002F2FDF">
        <w:rPr>
          <w:rFonts w:ascii="Times New Roman" w:hAnsi="Times New Roman" w:cs="Times New Roman"/>
          <w:color w:val="000000" w:themeColor="text1"/>
          <w:kern w:val="2"/>
          <w:sz w:val="16"/>
          <w:szCs w:val="16"/>
        </w:rPr>
        <w:t xml:space="preserve"> Многоточие в тексте док.</w:t>
      </w:r>
    </w:p>
    <w:p w14:paraId="2E84C9DE" w14:textId="77777777" w:rsidR="001B6ED4"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7" w:anchor="_ftnref6" w:history="1">
        <w:r w:rsidR="001B6ED4" w:rsidRPr="002F2FDF">
          <w:rPr>
            <w:rFonts w:ascii="Times New Roman" w:hAnsi="Times New Roman" w:cs="Times New Roman"/>
            <w:color w:val="000000" w:themeColor="text1"/>
            <w:kern w:val="2"/>
            <w:sz w:val="16"/>
            <w:szCs w:val="16"/>
          </w:rPr>
          <w:t>[6]</w:t>
        </w:r>
      </w:hyperlink>
      <w:r w:rsidR="001B6ED4" w:rsidRPr="002F2FDF">
        <w:rPr>
          <w:rFonts w:ascii="Times New Roman" w:hAnsi="Times New Roman" w:cs="Times New Roman"/>
          <w:color w:val="000000" w:themeColor="text1"/>
          <w:kern w:val="2"/>
          <w:sz w:val="16"/>
          <w:szCs w:val="16"/>
        </w:rPr>
        <w:t xml:space="preserve"> По данным отчета о деятельности Особого совещания по перевозкам (Прим . док).</w:t>
      </w:r>
    </w:p>
    <w:p w14:paraId="374106F1" w14:textId="77777777" w:rsidR="001B6ED4"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8" w:anchor="_ftnref7" w:history="1">
        <w:r w:rsidR="001B6ED4" w:rsidRPr="002F2FDF">
          <w:rPr>
            <w:rFonts w:ascii="Times New Roman" w:hAnsi="Times New Roman" w:cs="Times New Roman"/>
            <w:color w:val="000000" w:themeColor="text1"/>
            <w:kern w:val="2"/>
            <w:sz w:val="16"/>
            <w:szCs w:val="16"/>
          </w:rPr>
          <w:t>[7]</w:t>
        </w:r>
      </w:hyperlink>
      <w:r w:rsidR="001B6ED4" w:rsidRPr="002F2FDF">
        <w:rPr>
          <w:rFonts w:ascii="Times New Roman" w:hAnsi="Times New Roman" w:cs="Times New Roman"/>
          <w:color w:val="000000" w:themeColor="text1"/>
          <w:kern w:val="2"/>
          <w:sz w:val="16"/>
          <w:szCs w:val="16"/>
        </w:rPr>
        <w:t xml:space="preserve"> В «Красном архиве» ошибочно приводится цифра 984435</w:t>
      </w:r>
    </w:p>
    <w:p w14:paraId="54B4155B" w14:textId="3177BBA2"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 istmat.info:</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Непосредственно в журнале "Красный архив" документ опубликован со ссылкой на архивный документ хранящийся а Архиве Октябрьской революции, ныне ГАРФ —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"Записка воспроизводится с копии, хранящейся в АОР,</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Фонд III, опись 11, дело № 23, л. 132—157" (15522).</w:t>
      </w:r>
    </w:p>
    <w:p w14:paraId="1BA41AAE"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p>
    <w:p w14:paraId="01A037CB" w14:textId="77777777" w:rsidR="004139EC" w:rsidRPr="002F2FDF" w:rsidRDefault="004139EC"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 феврале 1917 г. был пущен в ход Юзовский завод с использованием технологии окисления аммиака по способу Вильгельма Оствальда, котороая была отработана. «В работе была только треть завода, которая вырабатывала в среднем 3 тысячи пудов азотной кислоты в месяц» (18409).</w:t>
      </w:r>
    </w:p>
    <w:p w14:paraId="7A890B28" w14:textId="77777777" w:rsidR="004139EC" w:rsidRPr="002F2FDF" w:rsidRDefault="004139EC" w:rsidP="0083075A">
      <w:pPr>
        <w:pStyle w:val="p1"/>
        <w:spacing w:before="0" w:beforeAutospacing="0" w:after="0" w:afterAutospacing="0"/>
        <w:jc w:val="both"/>
        <w:rPr>
          <w:color w:val="000000" w:themeColor="text1"/>
          <w:sz w:val="16"/>
          <w:szCs w:val="16"/>
        </w:rPr>
      </w:pPr>
    </w:p>
    <w:p w14:paraId="767E085F" w14:textId="77777777" w:rsidR="004139EC" w:rsidRPr="002F2FDF" w:rsidRDefault="004139E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феврале 1917 выдающуюся роль в событиях сыграли рабочие главных военных заводов столицы. Историки иногда отводят инициативную роль также текстильщицам Выборгской стороны, но речь все равно идет фактически опять-таки о военно-промышленном производстве, поскольку и выборгские мануфактуры были заняты главным образом заказами интендантства. Авторам, рассматривающим этот вопрос под полицейским углом зрения (недосмотрели в Питере, надо было вовремя «додавить» оппозицию), не удается логически последовательно раскрыть движущую силу переворота. С одной стороны, версия об «инспирированных народных выступлениях» отвечает стремлению доказать, что «вдохновителем и организатором» их являлась «либерально-радикальная интеллигенция», а народ был сбит с толку «умелой агитацией и пропагандой», «умелой манипуляцией общественным мнением». Оппозиция «воспользовалась моментом, чтобы вывести народ на улицы» и столкнуть его «с правоохранительными органами». Более того, «оппозиционные круги» якобы «сознательно вели продовольственное дело с таким расчетом», чтобы спровоцировать массовое недовольство [Миронов 2013: 575, 579, 647, 700– 701; Никонов 2011: 600 и сл.]. </w:t>
      </w:r>
    </w:p>
    <w:p w14:paraId="5C142038" w14:textId="77777777" w:rsidR="004139EC" w:rsidRPr="002F2FDF" w:rsidRDefault="004139E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Эта версия «находит поддержку», в глазах Миронова, «и у других современных исследователей» [Стариков 2007; Сенявский 2008]. Никонов в этом ряду видит также О.А. Платонова, П.В. Мультатули и др. С другой стороны, оказывается, нельзя не признать, что «возможность радикальным партиям спекулировать на трудностях» войны и «вывести народ на улицы в решающий момент» была создана все же «недовольством всех слоев населения», «тяготами войны», «материальными трудностями», даже «социальными противоречиями», которым «позволила выйти наружу» «неудачная для России Первая мировая война». Пытаясь объяснить отзывчивость масс на радикальную агитацию и не умея это сделать, политолог вместо причин такого поведения масс указывает на заинтересованность самой «либерально-радикальной интеллигенции» в сочувствии народа [Миронов 2012: 646–647, 694, 700], то есть, как и Никонов в подобной ситуации («парадигма», однако), уходит от объяснения. Но этот отложенный вопрос, раз уж он затронут, заслуживал бы внимания. Почему-то оппозиция вела свою агитацию с успехом, тогда как правительственная «манипуляция общественным мнением» — с использованием «всех доступных средств» (Миронов) — провалилась. И ведь нет оснований объяснять ее провал недостаточным усердием и невниманием власти к охранительной агитации. Не зря же при каждом заводе военного и морского ведомств действовал собственный храм с причтом (средства, ежегодно ассигнуемые на содержание этого, по выражению Никонова, «инструмента пропаганды», не входили в расценки изделий). «Отцы» призывали свою военно-промышленную паству «вооружиться спокойствием и терпением, а не искать виновных в нашей неготовности», «не злобствовать», а «каяться, и молиться, и в очищенной совести трудиться». Те же идеи несли в массы Союз русского народа, Общество активной борьбы с революцией и с анархией при Путиловском заводе и т. п. организации. Рабочих Брянского арсенала и Бежицкого завода «батюшки» увещевали так: «приросшая к земле душа», исполненная «животной сытости», думает о мире, но «не надо этого мира, страшен он, страшнее самой кровопролитной войны» [Прот. Восторгов 1916: 36, 38, 39, 101; Орловские ведомости… 1915; Цит. по: Первая мировая война… 2011: 347–348]. «Пресловутые идеи права, свободы личности… исповедание принципа „человек есть мера вещей“» — все это требовалось «отринуть» в пользу «национальных и государственных интересов» [Прот. Восторгов 1917; цит. по: Экштут 2012: 300]. Однако перевесили «лживые посулы революционеров, безбожников и предателей, увлекших русский народ… в разверстую пасть отступления от Бога и церкви» [Прот. Леонид 2011: 312]. Наряду с собственно церковниками и «либеральная интеллигенция», лучшие умы и перья того, что называлось «культурной элитой», употребили свои таланты вовсе не на борьбу с милитаризмом или подрыв военных усилий власти; они вели все ту же «стилизованную под проповеди пропаганду». В 1914–1917 гг., заполняя столбцы «Русского слова», «Биржевых ведомостей», «Утра России» милитаристскими статьями, православные мыслители силились объяснить «взрослым детям — Иванам и Петрам», этому «человеческому материалу», что война — не братоубийство, а «творческое действие», угодное «Самому Богу», тогда как абстрактный гуманизм («отвлеченный морализм», «гладко-поверхностный гуманизм» и т. д.) «антирелигиозен по своей природе». Они радовались, что наконец-то «пали утопии гуманизма, пасифизма, международного социализма, международного анархизма и т. п.» [Голлербах 2000: 13, 246 сл., 376 сл., 396; Бердяев 2007] (18408). </w:t>
      </w:r>
    </w:p>
    <w:p w14:paraId="0B24D9FE" w14:textId="77777777" w:rsidR="004139EC" w:rsidRPr="002F2FDF" w:rsidRDefault="004139EC" w:rsidP="0083075A">
      <w:pPr>
        <w:spacing w:after="0" w:line="240" w:lineRule="auto"/>
        <w:jc w:val="both"/>
        <w:rPr>
          <w:rFonts w:ascii="Times New Roman" w:hAnsi="Times New Roman" w:cs="Times New Roman"/>
          <w:color w:val="000000" w:themeColor="text1"/>
          <w:sz w:val="16"/>
          <w:szCs w:val="16"/>
        </w:rPr>
      </w:pPr>
    </w:p>
    <w:p w14:paraId="1FCB89FE" w14:textId="77777777" w:rsidR="004139EC" w:rsidRPr="002F2FDF" w:rsidRDefault="004139EC"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 феврале 1917 выплавка чугуна сократилась до 9,5 млн. пудов. Между тем Министерство путей сообщения требовало свыше 8 млн., ГАУ — свыше 11 млн. пудов в месяц. На январь-февраль 1917 г., по заключению главноуполномоченного по металлу, пришелся «наивысший кризис» металлургии. Составленный его управлением расчет выявил, что при средней месячной потребности в различных сортах черного металла в 37,6 млн. пудов «вырисовывался ежемесячный дефицит в 14,1 млн. пудов» (18409).</w:t>
      </w:r>
    </w:p>
    <w:p w14:paraId="5E7988E6" w14:textId="77777777" w:rsidR="004139EC" w:rsidRPr="002F2FDF" w:rsidRDefault="004139EC" w:rsidP="0083075A">
      <w:pPr>
        <w:pStyle w:val="p1"/>
        <w:spacing w:before="0" w:beforeAutospacing="0" w:after="0" w:afterAutospacing="0"/>
        <w:jc w:val="both"/>
        <w:rPr>
          <w:color w:val="000000" w:themeColor="text1"/>
          <w:sz w:val="16"/>
          <w:szCs w:val="16"/>
        </w:rPr>
      </w:pPr>
    </w:p>
    <w:p w14:paraId="363A80FA" w14:textId="77777777" w:rsidR="000C394F" w:rsidRPr="00FB4F67" w:rsidRDefault="000C394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феврале 1917 г. была создана специальная комиссия при Отделе промышленности по подготовке перехода производства на мирное положение (23472).</w:t>
      </w:r>
    </w:p>
    <w:p w14:paraId="7D72CEB5" w14:textId="77777777" w:rsidR="000C394F" w:rsidRPr="00FB4F67" w:rsidRDefault="000C394F" w:rsidP="0083075A">
      <w:pPr>
        <w:spacing w:after="0" w:line="240" w:lineRule="auto"/>
        <w:jc w:val="both"/>
        <w:rPr>
          <w:rFonts w:ascii="Times New Roman" w:hAnsi="Times New Roman" w:cs="Times New Roman"/>
          <w:color w:val="0070C0"/>
          <w:sz w:val="16"/>
          <w:szCs w:val="16"/>
        </w:rPr>
      </w:pPr>
    </w:p>
    <w:p w14:paraId="3870F86E" w14:textId="77777777" w:rsidR="000C394F" w:rsidRPr="00FB4F67" w:rsidRDefault="000C394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фев</w:t>
      </w:r>
      <w:r w:rsidRPr="00FB4F67">
        <w:rPr>
          <w:rFonts w:ascii="Times New Roman" w:hAnsi="Times New Roman" w:cs="Times New Roman"/>
          <w:color w:val="0070C0"/>
          <w:sz w:val="16"/>
          <w:szCs w:val="16"/>
        </w:rPr>
        <w:softHyphen/>
        <w:t>рале 1917 г. был пущен в ход Юзовский азотный  завод для исполь</w:t>
      </w:r>
      <w:r w:rsidRPr="00FB4F67">
        <w:rPr>
          <w:rFonts w:ascii="Times New Roman" w:hAnsi="Times New Roman" w:cs="Times New Roman"/>
          <w:color w:val="0070C0"/>
          <w:sz w:val="16"/>
          <w:szCs w:val="16"/>
        </w:rPr>
        <w:softHyphen/>
        <w:t>зования реакции. технология окисления аммиака по способу Вильгельма Оствальда. «В работе была только треть завода, которая вырабатывала в среднем 3 тысячи пудов азотной кислоты в месяц» (Тищенко В.Е. Химическая промышленность и война. Пг., 1922. С. 39; СВП. С. 301-302; Колосов А.К. Первый русский завод контактной азотной кислоты // Технико-экономический вестник. 1922. Т. 2. № 1; Лукьянов П.М. К во</w:t>
      </w:r>
      <w:r w:rsidRPr="00FB4F67">
        <w:rPr>
          <w:rFonts w:ascii="Times New Roman" w:hAnsi="Times New Roman" w:cs="Times New Roman"/>
          <w:color w:val="0070C0"/>
          <w:sz w:val="16"/>
          <w:szCs w:val="16"/>
        </w:rPr>
        <w:softHyphen/>
        <w:t>просу о создании в России производства синтетической азотной кисло</w:t>
      </w:r>
      <w:r w:rsidRPr="00FB4F67">
        <w:rPr>
          <w:rFonts w:ascii="Times New Roman" w:hAnsi="Times New Roman" w:cs="Times New Roman"/>
          <w:color w:val="0070C0"/>
          <w:sz w:val="16"/>
          <w:szCs w:val="16"/>
        </w:rPr>
        <w:softHyphen/>
        <w:t>ты // Труды Института истории естествознания и техники. 1958. Т. 18).</w:t>
      </w:r>
    </w:p>
    <w:p w14:paraId="60F76568" w14:textId="77777777" w:rsidR="000C394F" w:rsidRPr="00FB4F67" w:rsidRDefault="000C394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Добыча азотной кислоты сжиганием воздуха, как это предполагалось на Онежском заводе, к тому вре</w:t>
      </w:r>
      <w:r w:rsidRPr="00FB4F67">
        <w:rPr>
          <w:rFonts w:ascii="Times New Roman" w:hAnsi="Times New Roman" w:cs="Times New Roman"/>
          <w:color w:val="0070C0"/>
          <w:sz w:val="16"/>
          <w:szCs w:val="16"/>
        </w:rPr>
        <w:softHyphen/>
        <w:t>мени уже считалась экономически нерациональной: пред</w:t>
      </w:r>
      <w:r w:rsidRPr="00FB4F67">
        <w:rPr>
          <w:rFonts w:ascii="Times New Roman" w:hAnsi="Times New Roman" w:cs="Times New Roman"/>
          <w:color w:val="0070C0"/>
          <w:sz w:val="16"/>
          <w:szCs w:val="16"/>
        </w:rPr>
        <w:softHyphen/>
        <w:t>почтение было отдано «прямому синтезу из азота и водо</w:t>
      </w:r>
      <w:r w:rsidRPr="00FB4F67">
        <w:rPr>
          <w:rFonts w:ascii="Times New Roman" w:hAnsi="Times New Roman" w:cs="Times New Roman"/>
          <w:color w:val="0070C0"/>
          <w:sz w:val="16"/>
          <w:szCs w:val="16"/>
        </w:rPr>
        <w:softHyphen/>
        <w:t>рода по Габеру и Клоду» (за ним идет более доступный по оборудованию и простоте выполнения способ цианамидный», — писал Тищенко) (23452).</w:t>
      </w:r>
    </w:p>
    <w:p w14:paraId="0DFA31A2" w14:textId="77777777" w:rsidR="000C394F" w:rsidRPr="00FB4F67" w:rsidRDefault="000C394F" w:rsidP="0083075A">
      <w:pPr>
        <w:spacing w:after="0" w:line="240" w:lineRule="auto"/>
        <w:jc w:val="both"/>
        <w:rPr>
          <w:rFonts w:ascii="Times New Roman" w:hAnsi="Times New Roman" w:cs="Times New Roman"/>
          <w:color w:val="0070C0"/>
          <w:sz w:val="16"/>
          <w:szCs w:val="16"/>
        </w:rPr>
      </w:pPr>
    </w:p>
    <w:p w14:paraId="524EC813" w14:textId="77777777" w:rsidR="000C394F" w:rsidRPr="00FB4F67" w:rsidRDefault="000C394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феврале 1917 г. вы</w:t>
      </w:r>
      <w:r w:rsidRPr="00FB4F67">
        <w:rPr>
          <w:rFonts w:ascii="Times New Roman" w:hAnsi="Times New Roman" w:cs="Times New Roman"/>
          <w:color w:val="0070C0"/>
          <w:sz w:val="16"/>
          <w:szCs w:val="16"/>
        </w:rPr>
        <w:softHyphen/>
        <w:t>плавка чугуна сократилась до 9,5 млн пудов. Между тем Министерство путей сообщения требовало свы</w:t>
      </w:r>
      <w:r w:rsidRPr="00FB4F67">
        <w:rPr>
          <w:rFonts w:ascii="Times New Roman" w:hAnsi="Times New Roman" w:cs="Times New Roman"/>
          <w:color w:val="0070C0"/>
          <w:sz w:val="16"/>
          <w:szCs w:val="16"/>
        </w:rPr>
        <w:softHyphen/>
        <w:t>ше 8 млн, ГАУ — свыше 11 млн пудов в месяц. На январь- февраль 1917 г., по заключению главноуполномоченного по металлу, пришелся «наивысший кризис» металлургии. Со</w:t>
      </w:r>
      <w:r w:rsidRPr="00FB4F67">
        <w:rPr>
          <w:rFonts w:ascii="Times New Roman" w:hAnsi="Times New Roman" w:cs="Times New Roman"/>
          <w:color w:val="0070C0"/>
          <w:sz w:val="16"/>
          <w:szCs w:val="16"/>
        </w:rPr>
        <w:softHyphen/>
        <w:t>ставленный его управлением расчет выявил, что при сред</w:t>
      </w:r>
      <w:r w:rsidRPr="00FB4F67">
        <w:rPr>
          <w:rFonts w:ascii="Times New Roman" w:hAnsi="Times New Roman" w:cs="Times New Roman"/>
          <w:color w:val="0070C0"/>
          <w:sz w:val="16"/>
          <w:szCs w:val="16"/>
        </w:rPr>
        <w:softHyphen/>
        <w:t>ней месячной потребности в различных сортах черного металла в 37,6 млн пудов «вырисовывался ежемесячный дефицит в 14,1 млн пудов». 22 января 1917 г. на Петроград</w:t>
      </w:r>
      <w:r w:rsidRPr="00FB4F67">
        <w:rPr>
          <w:rFonts w:ascii="Times New Roman" w:hAnsi="Times New Roman" w:cs="Times New Roman"/>
          <w:color w:val="0070C0"/>
          <w:sz w:val="16"/>
          <w:szCs w:val="16"/>
        </w:rPr>
        <w:softHyphen/>
        <w:t>ской конференции военный министр Беляев вынужден был просить у союзников, помимо вооружения, также чугуна и стали (удалось выпросить 106 тыс. (23452).</w:t>
      </w:r>
    </w:p>
    <w:p w14:paraId="335E71E5" w14:textId="77777777" w:rsidR="000C394F" w:rsidRPr="00FB4F67" w:rsidRDefault="000C394F" w:rsidP="0083075A">
      <w:pPr>
        <w:spacing w:after="0" w:line="240" w:lineRule="auto"/>
        <w:jc w:val="both"/>
        <w:rPr>
          <w:rFonts w:ascii="Times New Roman" w:hAnsi="Times New Roman" w:cs="Times New Roman"/>
          <w:color w:val="0070C0"/>
          <w:sz w:val="16"/>
          <w:szCs w:val="16"/>
        </w:rPr>
      </w:pPr>
    </w:p>
    <w:p w14:paraId="494434BC" w14:textId="77777777" w:rsidR="000C394F" w:rsidRPr="00FB4F67" w:rsidRDefault="000C394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 февраля 1917 г., сразу после возвращения Милнера в Лондон с Петроградской конференции союзни</w:t>
      </w:r>
      <w:r w:rsidRPr="00FB4F67">
        <w:rPr>
          <w:rFonts w:ascii="Times New Roman" w:hAnsi="Times New Roman" w:cs="Times New Roman"/>
          <w:color w:val="0070C0"/>
          <w:sz w:val="16"/>
          <w:szCs w:val="16"/>
        </w:rPr>
        <w:softHyphen/>
        <w:t>ков, выполнение русских заказов на про</w:t>
      </w:r>
      <w:r w:rsidRPr="00FB4F67">
        <w:rPr>
          <w:rFonts w:ascii="Times New Roman" w:hAnsi="Times New Roman" w:cs="Times New Roman"/>
          <w:color w:val="0070C0"/>
          <w:sz w:val="16"/>
          <w:szCs w:val="16"/>
        </w:rPr>
        <w:softHyphen/>
        <w:t>мышленное оборудование в Англии полностью прекрати</w:t>
      </w:r>
      <w:r w:rsidRPr="00FB4F67">
        <w:rPr>
          <w:rFonts w:ascii="Times New Roman" w:hAnsi="Times New Roman" w:cs="Times New Roman"/>
          <w:color w:val="0070C0"/>
          <w:sz w:val="16"/>
          <w:szCs w:val="16"/>
        </w:rPr>
        <w:softHyphen/>
        <w:t>лось (Бабичев Д.С. Деятельность Русского правительственного комитета в Лондоне. С. 285, 287, 289—292; Сидоров А.Л. Финансовое положение России. С. 365. Из Лондона Гермониус сообщал, что с этого момента «положение всех заказов на заводские оборудования стало... безнадеж</w:t>
      </w:r>
      <w:r w:rsidRPr="00FB4F67">
        <w:rPr>
          <w:rFonts w:ascii="Times New Roman" w:hAnsi="Times New Roman" w:cs="Times New Roman"/>
          <w:color w:val="0070C0"/>
          <w:sz w:val="16"/>
          <w:szCs w:val="16"/>
        </w:rPr>
        <w:softHyphen/>
        <w:t>ным. Остановлено все, касающееся сколько-нибудь до оборудований не только по неразмещенным заказам, но и по уже исполняющимся. Ан</w:t>
      </w:r>
      <w:r w:rsidRPr="00FB4F67">
        <w:rPr>
          <w:rFonts w:ascii="Times New Roman" w:hAnsi="Times New Roman" w:cs="Times New Roman"/>
          <w:color w:val="0070C0"/>
          <w:sz w:val="16"/>
          <w:szCs w:val="16"/>
        </w:rPr>
        <w:softHyphen/>
        <w:t>глийское правительство намерено по мере исполнения уже размещен</w:t>
      </w:r>
      <w:r w:rsidRPr="00FB4F67">
        <w:rPr>
          <w:rFonts w:ascii="Times New Roman" w:hAnsi="Times New Roman" w:cs="Times New Roman"/>
          <w:color w:val="0070C0"/>
          <w:sz w:val="16"/>
          <w:szCs w:val="16"/>
        </w:rPr>
        <w:softHyphen/>
        <w:t>ных заказов передавать их на удовлетворение потребностей Англии и других союзников». Речь шла, в частности, о станках для Ижорского, Ревдинского, Путиловского, Царицынского заводов (Сидоров А.Л. Фи</w:t>
      </w:r>
      <w:r w:rsidRPr="00FB4F67">
        <w:rPr>
          <w:rFonts w:ascii="Times New Roman" w:hAnsi="Times New Roman" w:cs="Times New Roman"/>
          <w:color w:val="0070C0"/>
          <w:sz w:val="16"/>
          <w:szCs w:val="16"/>
        </w:rPr>
        <w:softHyphen/>
        <w:t>нансовое положение России. С. 454—455; Виноградов С.Е. Последние исполины Российского императорского флота. СПб., 1999. С. 108, 377, сн. 37)).</w:t>
      </w:r>
    </w:p>
    <w:p w14:paraId="58A7E244" w14:textId="77777777" w:rsidR="000C394F" w:rsidRPr="00FB4F67" w:rsidRDefault="000C394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Наряду с этим, реквизиционные меры английского правительства включали и его отказа в кре</w:t>
      </w:r>
      <w:r w:rsidRPr="00FB4F67">
        <w:rPr>
          <w:rFonts w:ascii="Times New Roman" w:hAnsi="Times New Roman" w:cs="Times New Roman"/>
          <w:color w:val="0070C0"/>
          <w:sz w:val="16"/>
          <w:szCs w:val="16"/>
        </w:rPr>
        <w:softHyphen/>
        <w:t>дитах на оплату заказов в США (так вышло, в частности, и с главным объектом «программы Маниковского» — стале</w:t>
      </w:r>
      <w:r w:rsidRPr="00FB4F67">
        <w:rPr>
          <w:rFonts w:ascii="Times New Roman" w:hAnsi="Times New Roman" w:cs="Times New Roman"/>
          <w:color w:val="0070C0"/>
          <w:sz w:val="16"/>
          <w:szCs w:val="16"/>
        </w:rPr>
        <w:softHyphen/>
        <w:t>литейно-снарядным заводом). Такая же судьба постигла, например, оборудование ружейного, трубочных заводов, а ГАУ рассчитывало его получить целыми комплектами. Что</w:t>
      </w:r>
      <w:r w:rsidRPr="00FB4F67">
        <w:rPr>
          <w:rFonts w:ascii="Times New Roman" w:hAnsi="Times New Roman" w:cs="Times New Roman"/>
          <w:color w:val="0070C0"/>
          <w:sz w:val="16"/>
          <w:szCs w:val="16"/>
        </w:rPr>
        <w:softHyphen/>
        <w:t>бы привезти станки, заказанные для одного только ГАУ, тоннаж на 1917 г. был исчислен в 12 тысяч тонн.</w:t>
      </w:r>
    </w:p>
    <w:p w14:paraId="3BA03FF7" w14:textId="77777777" w:rsidR="000C394F" w:rsidRPr="00FB4F67" w:rsidRDefault="000C394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 это оборудование, как и тысячи станков для многих других заводов, признавалось крайне нужным для русской военной промышленности; получить его не удалось, но и ожидать «замещения» станками собственного изготовления не приходилось (23452).</w:t>
      </w:r>
    </w:p>
    <w:p w14:paraId="0DC2CAD7" w14:textId="77777777" w:rsidR="000C394F" w:rsidRPr="00FB4F67" w:rsidRDefault="000C394F" w:rsidP="0083075A">
      <w:pPr>
        <w:spacing w:after="0" w:line="240" w:lineRule="auto"/>
        <w:jc w:val="both"/>
        <w:rPr>
          <w:rFonts w:ascii="Times New Roman" w:hAnsi="Times New Roman" w:cs="Times New Roman"/>
          <w:color w:val="0070C0"/>
          <w:sz w:val="16"/>
          <w:szCs w:val="16"/>
        </w:rPr>
      </w:pPr>
    </w:p>
    <w:p w14:paraId="7785BF29"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года «князь Пожарский» (будущий ледокол Макаров), построенный в Англии, в Нью-Касле, прибыл в Архангельск, вошел в состав флотилии Северного Ледовитого океана в качестве ледокола. В апреле 1917 года был мобилизован, вооружен и как вспомогательный крейсер включен в Беломорскую флотилию. 7 мая 1920 года ледокол «Князь Пожарский» получил название «Лейтенант Шмидт». В июне 1921 года ледокол был разоружен и возвращен ведомству Мортана. Моряки переименовали его с 12 июля 1921 года в «С. Макаров». Три года спустя его перевели на юг, а в 1926-м передали Мариупольскому морскому торговому порту (15732).</w:t>
      </w:r>
    </w:p>
    <w:p w14:paraId="61037F67"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p>
    <w:p w14:paraId="04A32311" w14:textId="3B094288" w:rsidR="00421CDC" w:rsidRPr="002F2FDF" w:rsidRDefault="00421CD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184EF03" w14:textId="77777777" w:rsidR="00421CDC" w:rsidRPr="002F2FDF" w:rsidRDefault="00421CD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2F9CCA" w14:textId="77777777" w:rsidR="00421CDC" w:rsidRPr="002F2FDF" w:rsidRDefault="00421CD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феврале 1917 г. совершил первый полет Ганза-Бранденбург W 16 (Werk.Nr. 1077, без б/№) 1-й опытный - морской поплавковый истребитель, построенный заводом фирмы Hansa und Brandenburgische Flugzeugwerke (предположительно, в Гамбурге) в полной комплектации с вооружением. ЗИ самолета прошли в короткое время и он был направлен на официальные типовые испытания, которые прошли в Команде испытаний морских самолетов (Seeflugzeuge Versuchs Kommando) в г. Варнемюнде (Warnemünde, северо-восток Германии, побережье Балтийского моря у г. Росток). Решение о принятии самолета на вооружение отложено до испытаний 2-го опытного образца (23123).</w:t>
      </w:r>
    </w:p>
    <w:p w14:paraId="5D9EB20B" w14:textId="77777777" w:rsidR="00421CDC" w:rsidRPr="002F2FDF" w:rsidRDefault="00421CDC" w:rsidP="0083075A">
      <w:pPr>
        <w:spacing w:after="0" w:line="240" w:lineRule="auto"/>
        <w:jc w:val="both"/>
        <w:rPr>
          <w:rFonts w:ascii="Times New Roman" w:hAnsi="Times New Roman" w:cs="Times New Roman"/>
          <w:color w:val="000000" w:themeColor="text1"/>
          <w:sz w:val="16"/>
          <w:szCs w:val="16"/>
        </w:rPr>
      </w:pPr>
    </w:p>
    <w:p w14:paraId="2C2146D5" w14:textId="77777777" w:rsidR="00421CDC" w:rsidRPr="002F2FDF" w:rsidRDefault="00421CD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феврале 1917 г. был облетан головной Ганза-Бранденбург CC/3 для немецкой авиации. Он ничем не отличался от первого опытного и в таком виде был принят на вооружение авиации ВМС Германии. Десять самолетов Ганза-Бранденбург CC/3 серии 1 были построены по типу головного и сданы заказчику к середине 1917 г., на серии 2 лобовой радиатор заменили поверхностным «Тевес и Браун» в средней части верхнего крыла со сдвигом вправо, существенно переделав весь планер. Из главных изменений были новая конструкция лодки с плоской палубой и узкой конической надстройкой на ней перед кабиной, по бокам которой стояли два пулемета. Теперь секундный залп был в 6 раз больше, чем у «Альбатросов» с двумя синхронными пулеметами. На части самолетов установили также капот мотора и кок винта. Все 25 летающих лодок Ганза-Бранденбург CC/3 серии 2 были сданы до конца 1917 г., а поступать в строевые части они начали с осени. Их летные данные были несколько ниже, чем у машин серии 1, но выше, чем у поплавковых истребителей (22841).</w:t>
      </w:r>
    </w:p>
    <w:p w14:paraId="13A7365E" w14:textId="77777777" w:rsidR="00421CDC" w:rsidRPr="002F2FDF" w:rsidRDefault="00421CDC" w:rsidP="0083075A">
      <w:pPr>
        <w:spacing w:after="0" w:line="240" w:lineRule="auto"/>
        <w:jc w:val="both"/>
        <w:rPr>
          <w:rFonts w:ascii="Times New Roman" w:hAnsi="Times New Roman" w:cs="Times New Roman"/>
          <w:color w:val="000000" w:themeColor="text1"/>
          <w:sz w:val="16"/>
          <w:szCs w:val="16"/>
        </w:rPr>
      </w:pPr>
    </w:p>
    <w:p w14:paraId="10DD7796" w14:textId="77777777" w:rsidR="00421CDC" w:rsidRPr="002F2FDF" w:rsidRDefault="00421CD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феврале и марте 1917 г. фирма Альбатрос получила еще два заказа на самолеты типа </w:t>
      </w:r>
      <w:r w:rsidRPr="002F2FDF">
        <w:rPr>
          <w:rFonts w:ascii="Times New Roman" w:hAnsi="Times New Roman" w:cs="Times New Roman"/>
          <w:color w:val="000000" w:themeColor="text1"/>
          <w:sz w:val="16"/>
          <w:szCs w:val="16"/>
          <w:lang w:val="en-US"/>
        </w:rPr>
        <w:t>D</w:t>
      </w:r>
      <w:r w:rsidRPr="002F2FDF">
        <w:rPr>
          <w:rFonts w:ascii="Times New Roman" w:hAnsi="Times New Roman" w:cs="Times New Roman"/>
          <w:color w:val="000000" w:themeColor="text1"/>
          <w:sz w:val="16"/>
          <w:szCs w:val="16"/>
        </w:rPr>
        <w:t xml:space="preserve"> 3 — по 50 штук (22775).</w:t>
      </w:r>
    </w:p>
    <w:p w14:paraId="1B417B41" w14:textId="77777777" w:rsidR="00421CDC" w:rsidRPr="002F2FDF" w:rsidRDefault="00421CDC" w:rsidP="0083075A">
      <w:pPr>
        <w:spacing w:after="0" w:line="240" w:lineRule="auto"/>
        <w:jc w:val="both"/>
        <w:rPr>
          <w:rFonts w:ascii="Times New Roman" w:hAnsi="Times New Roman" w:cs="Times New Roman"/>
          <w:color w:val="000000" w:themeColor="text1"/>
          <w:sz w:val="16"/>
          <w:szCs w:val="16"/>
        </w:rPr>
      </w:pPr>
    </w:p>
    <w:p w14:paraId="3A222436" w14:textId="77777777" w:rsidR="00421CDC" w:rsidRPr="002F2FDF" w:rsidRDefault="00421CD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феврале 1917 г. облетали новый истребитель Ньюпор 24C1, а в марте он прошел официальные испытания. Благодаря облегчению конструкции и росту мощности нагрузка на крыло уменьшилась на 9 %, а на мощность — на 7 %. Скорость выросла на 10 %, значительно повысились скороподъемность и потолок, который достиг 6 900 м. Маневренность, как горизонтальная, так и вертикальная, улучшилась. Но на этом приятное заканчивалось. Испытания выявили слабость костыля шасси и его заменили старой конструкцией по типу Ньюпора 17. Мотор перегревался, и кок винта пришлось снять (правда, указанное преимущество в скорости получили уже без него). Солнечные блики на новом козырьке кабины слепили пилота. Он не мог дотянуться до ручек перезарядки на пулеметах, что после первой же осечки обнуляло выгоды от двойного роста огневой мощи. Взвесив все за и против, военные приняли самолет, но обязали фирму устранить эти недостатки по ходу выпуска, который разворачивался на предприятиях концерна «Ньюпор-Астра» в кооперации с поставщиками агрегатов и комплектующих, которые строили предыдущие самолеты семейства (22778).</w:t>
      </w:r>
    </w:p>
    <w:p w14:paraId="4AD3FCEA" w14:textId="77777777" w:rsidR="00421CDC" w:rsidRPr="002F2FDF" w:rsidRDefault="00421CDC" w:rsidP="0083075A">
      <w:pPr>
        <w:spacing w:after="0" w:line="240" w:lineRule="auto"/>
        <w:jc w:val="both"/>
        <w:rPr>
          <w:rFonts w:ascii="Times New Roman" w:hAnsi="Times New Roman" w:cs="Times New Roman"/>
          <w:color w:val="000000" w:themeColor="text1"/>
          <w:sz w:val="16"/>
          <w:szCs w:val="16"/>
        </w:rPr>
      </w:pPr>
    </w:p>
    <w:p w14:paraId="419A79EB" w14:textId="77777777" w:rsidR="00421CDC" w:rsidRPr="002F2FDF" w:rsidRDefault="00421CD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феврале 1917 г. был сдан головной самолет Альбатрос W 4, который предстояло строить не в Йоханништале, где не было места для испытаний гидросамолетов, а на новом заводе фирмы в деревне Фридрихсхаген под Берлином, у озера Мюггельзее. Он не отличался от 3-го опытного, но остальные получили уменьшенный вырез кабины, новые поплавки с улучшенной аэродинамикой и смещенным вперед реданом и ряд мелких доработок. Последний самолет установочной серии был готов в апреле 1917 г. Вес пустого увеличился на 81 кг, прибавка взлетного была «только» 75 за счет отказа от специального морского снаряжения, и, хотя скорость даже увеличилась на 4 км/ч, его маневренность и разгонные качества ухудшились. Полеты показали плохую управляемость по крену, недостаточную прочность и герметичность поплавков. Кроме того, на этот раз испытатели отметили и слабость вооружения, которое не соответствовало стандарту Инспекции ВВС, распространявшемуся и на морскую авиацию. Первый серийный заказ на 20 Альбатросов W 4 был выдан еще 6 октября 1916 г., но завод во Фридрихсхагене оказался не готов к их выпуску, к тому же пришлось усиливать поплавки и устанавливать второй пулемет, облегчая остальную конструкцию, чтобы не допустить дальнейшего падения летных данных. Эти меры оказались успешны, и вес законченных в апреле 1917 г. первых серийных самолетов уменьшился на 6 кг, устойчивость и управляемость улучшились, скорость увеличилась на 1 км/ч, скороподъемность выше 800 м упала, а остальные данные не изменились. Первая серия делалась очень долго и была закончена только в августе 1917 г. Второй заказ был выдан 16 декабря 1916 г. — ее 10 самолетов сдали с июля по август 1917 г., третий на 25 самолетов поступил 30 января 1917 г., а поставка шла с августа по октябрь 1917 г., четвертый выдали 19 апреля 1917 г. и по нему с августа по октябрь этого года отправили 29 самолетов. Последний заказ поступил в августе 1917 г., и все его 20 самолетов были готовы с ноября по декабрь 1917 г. Итого было сделано 114 серийных поплавковых истребителей Альбатрос W 4, восемь из них передали Авиации Императорских и Королевских ВМС Австро-Венгрии в обмен на моторы Австро-Даймлер AD 12 (22841).</w:t>
      </w:r>
    </w:p>
    <w:p w14:paraId="5E440F33" w14:textId="77777777" w:rsidR="00421CDC" w:rsidRPr="002F2FDF" w:rsidRDefault="00421CDC" w:rsidP="0083075A">
      <w:pPr>
        <w:spacing w:after="0" w:line="240" w:lineRule="auto"/>
        <w:jc w:val="both"/>
        <w:rPr>
          <w:rFonts w:ascii="Times New Roman" w:hAnsi="Times New Roman" w:cs="Times New Roman"/>
          <w:color w:val="000000" w:themeColor="text1"/>
          <w:sz w:val="16"/>
          <w:szCs w:val="16"/>
        </w:rPr>
      </w:pPr>
    </w:p>
    <w:p w14:paraId="5E3B87D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CD6C2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DF7E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феврале-мае 1917 по требованию Эскадры в Винницу были присланы 10 комплектов новых рулей направления по типу Г-3, подмоторных ферм для "Рено" - 20 штук, для "Аргус" - 8 и для "РБ3.6" - 12 штук (т.е. на оснащение 10 кораблей, которые были поставлены до января 1917 г. на базу).</w:t>
      </w:r>
    </w:p>
    <w:p w14:paraId="2A0333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Удалось обнаружить уникальный список (с карандашными пометками) указывающий на то, какие моторы были установлены (или назначены) на корабли. Были очень интересные варианты (12038).</w:t>
      </w:r>
    </w:p>
    <w:p w14:paraId="57DBD6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BBD3A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BB473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C1008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первые месяцы 1917 г. в русской армии продолжалось фор</w:t>
      </w:r>
      <w:r w:rsidRPr="002F2FDF">
        <w:rPr>
          <w:rFonts w:ascii="Times New Roman" w:hAnsi="Times New Roman" w:cs="Times New Roman"/>
          <w:color w:val="000000" w:themeColor="text1"/>
          <w:kern w:val="2"/>
          <w:sz w:val="16"/>
          <w:szCs w:val="16"/>
        </w:rPr>
        <w:softHyphen/>
        <w:t>мирование новых авиационных отрядов. Наряду с увеличением числа армейских и корпусных авиационных отрядов в этот период было сформировано несколько артиллерийских авиационных отря</w:t>
      </w:r>
      <w:r w:rsidRPr="002F2FDF">
        <w:rPr>
          <w:rFonts w:ascii="Times New Roman" w:hAnsi="Times New Roman" w:cs="Times New Roman"/>
          <w:color w:val="000000" w:themeColor="text1"/>
          <w:kern w:val="2"/>
          <w:sz w:val="16"/>
          <w:szCs w:val="16"/>
        </w:rPr>
        <w:softHyphen/>
        <w:t>дов, предназначавшихся специально для корректирования артил</w:t>
      </w:r>
      <w:r w:rsidRPr="002F2FDF">
        <w:rPr>
          <w:rFonts w:ascii="Times New Roman" w:hAnsi="Times New Roman" w:cs="Times New Roman"/>
          <w:color w:val="000000" w:themeColor="text1"/>
          <w:kern w:val="2"/>
          <w:sz w:val="16"/>
          <w:szCs w:val="16"/>
        </w:rPr>
        <w:softHyphen/>
        <w:t>лерийского огня. К началу февральской революции русская армия имела 85 авиационных отрядов, из них 52 корпусных, 12 армей</w:t>
      </w:r>
      <w:r w:rsidRPr="002F2FDF">
        <w:rPr>
          <w:rFonts w:ascii="Times New Roman" w:hAnsi="Times New Roman" w:cs="Times New Roman"/>
          <w:color w:val="000000" w:themeColor="text1"/>
          <w:kern w:val="2"/>
          <w:sz w:val="16"/>
          <w:szCs w:val="16"/>
        </w:rPr>
        <w:softHyphen/>
        <w:t>ских, 12 истребительных, 3 артиллерийских, 2 охранных и 4 тыло</w:t>
      </w:r>
      <w:r w:rsidRPr="002F2FDF">
        <w:rPr>
          <w:rFonts w:ascii="Times New Roman" w:hAnsi="Times New Roman" w:cs="Times New Roman"/>
          <w:color w:val="000000" w:themeColor="text1"/>
          <w:kern w:val="2"/>
          <w:sz w:val="16"/>
          <w:szCs w:val="16"/>
        </w:rPr>
        <w:softHyphen/>
        <w:t>вых. Еще несколько авиационных отрядов было сформировано весной 1917 г. Однако в боевых действиях эти отряды принять участия уже не успели. Под натиском революционной волны ста</w:t>
      </w:r>
      <w:r w:rsidRPr="002F2FDF">
        <w:rPr>
          <w:rFonts w:ascii="Times New Roman" w:hAnsi="Times New Roman" w:cs="Times New Roman"/>
          <w:color w:val="000000" w:themeColor="text1"/>
          <w:kern w:val="2"/>
          <w:sz w:val="16"/>
          <w:szCs w:val="16"/>
        </w:rPr>
        <w:softHyphen/>
        <w:t>рая армия разваливалась. Поступление новой материальной части почти полностью прекратилось. Количество самолетов в армии не</w:t>
      </w:r>
      <w:r w:rsidRPr="002F2FDF">
        <w:rPr>
          <w:rFonts w:ascii="Times New Roman" w:hAnsi="Times New Roman" w:cs="Times New Roman"/>
          <w:color w:val="000000" w:themeColor="text1"/>
          <w:kern w:val="2"/>
          <w:sz w:val="16"/>
          <w:szCs w:val="16"/>
        </w:rPr>
        <w:softHyphen/>
        <w:t>прерывно сокращалось, поскольку потери материальной части не восполнялись (278).</w:t>
      </w:r>
    </w:p>
    <w:p w14:paraId="7B3DDF8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B54FD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февральской революции русская армия имела 85 авиационных отрядов, из них 52 корпусных, 12 армей</w:t>
      </w:r>
      <w:r w:rsidRPr="002F2FDF">
        <w:rPr>
          <w:rFonts w:ascii="Times New Roman" w:hAnsi="Times New Roman" w:cs="Times New Roman"/>
          <w:color w:val="000000" w:themeColor="text1"/>
          <w:kern w:val="2"/>
          <w:sz w:val="16"/>
          <w:szCs w:val="16"/>
        </w:rPr>
        <w:softHyphen/>
        <w:t>ских, 12 истребительных, 3 артиллерийских, 2 охранных и 4 тыло</w:t>
      </w:r>
      <w:r w:rsidRPr="002F2FDF">
        <w:rPr>
          <w:rFonts w:ascii="Times New Roman" w:hAnsi="Times New Roman" w:cs="Times New Roman"/>
          <w:color w:val="000000" w:themeColor="text1"/>
          <w:kern w:val="2"/>
          <w:sz w:val="16"/>
          <w:szCs w:val="16"/>
        </w:rPr>
        <w:softHyphen/>
        <w:t>вых. Еще несколько авиационных отрядов было сформировано весной 1917 г. Однако в боевых действиях эти отряды принять участия уже не успели. Под натиском революционной волны ста</w:t>
      </w:r>
      <w:r w:rsidRPr="002F2FDF">
        <w:rPr>
          <w:rFonts w:ascii="Times New Roman" w:hAnsi="Times New Roman" w:cs="Times New Roman"/>
          <w:color w:val="000000" w:themeColor="text1"/>
          <w:kern w:val="2"/>
          <w:sz w:val="16"/>
          <w:szCs w:val="16"/>
        </w:rPr>
        <w:softHyphen/>
        <w:t>рая армия разваливалась. Поступление новой материальной части почти полностью прекратилось. Количество самолетов в армии не</w:t>
      </w:r>
      <w:r w:rsidRPr="002F2FDF">
        <w:rPr>
          <w:rFonts w:ascii="Times New Roman" w:hAnsi="Times New Roman" w:cs="Times New Roman"/>
          <w:color w:val="000000" w:themeColor="text1"/>
          <w:kern w:val="2"/>
          <w:sz w:val="16"/>
          <w:szCs w:val="16"/>
        </w:rPr>
        <w:softHyphen/>
        <w:t>прерывно сокращалось, поскольку потери материальной части не восполнялись (278).</w:t>
      </w:r>
    </w:p>
    <w:p w14:paraId="39C54A5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C0E36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начала войны по февраль 1917 г. было сформировано 46 авиационных отрядов (ЦГВИА, ф. 2003, оп. 1, д. 1224, л. 218) (356). Однако обеспечивались эти отряды самолетами с большими перебоями. Особенно большую нужду русская авиация испытывала в авиационных моторах. Бывали случаи, когда в разгар воен</w:t>
      </w:r>
      <w:r w:rsidRPr="002F2FDF">
        <w:rPr>
          <w:rFonts w:ascii="Times New Roman" w:hAnsi="Times New Roman" w:cs="Times New Roman"/>
          <w:color w:val="000000" w:themeColor="text1"/>
          <w:kern w:val="2"/>
          <w:sz w:val="16"/>
          <w:szCs w:val="16"/>
        </w:rPr>
        <w:softHyphen/>
        <w:t>ных действий значительное количество самолетов, построен</w:t>
      </w:r>
      <w:r w:rsidRPr="002F2FDF">
        <w:rPr>
          <w:rFonts w:ascii="Times New Roman" w:hAnsi="Times New Roman" w:cs="Times New Roman"/>
          <w:color w:val="000000" w:themeColor="text1"/>
          <w:kern w:val="2"/>
          <w:sz w:val="16"/>
          <w:szCs w:val="16"/>
        </w:rPr>
        <w:softHyphen/>
        <w:t>ных на русских заводах, направлялось на фронт без моторов. А иногда на пять-шесть самолетов приходилось всего два ис</w:t>
      </w:r>
      <w:r w:rsidRPr="002F2FDF">
        <w:rPr>
          <w:rFonts w:ascii="Times New Roman" w:hAnsi="Times New Roman" w:cs="Times New Roman"/>
          <w:color w:val="000000" w:themeColor="text1"/>
          <w:kern w:val="2"/>
          <w:sz w:val="16"/>
          <w:szCs w:val="16"/>
        </w:rPr>
        <w:softHyphen/>
        <w:t>правных мотора. Отсюда понятно, какое огромное напряжение сил требовалось от русских авиаторов, чтобы выполнять боевые задачи на устарепших, изношенных, разнотипных (бо</w:t>
      </w:r>
      <w:r w:rsidRPr="002F2FDF">
        <w:rPr>
          <w:rFonts w:ascii="Times New Roman" w:hAnsi="Times New Roman" w:cs="Times New Roman"/>
          <w:color w:val="000000" w:themeColor="text1"/>
          <w:kern w:val="2"/>
          <w:sz w:val="16"/>
          <w:szCs w:val="16"/>
        </w:rPr>
        <w:softHyphen/>
        <w:t>лее 25 типов - “Ньюпор-4, -10, -11, -17, -21, -24”, “Фарман 16, -22, -27, -30”, “Моран”, “Вуазен”, “Илья Муромец”, летающие лодки М-5 и М-9. “Лебедь-12”, “Анатра”, “МосКа”, “Кодрон”, “Дюпердюссен”, “Сопвич” и др) самолетах. Таким образом, расчеты царского правительства на снаб</w:t>
      </w:r>
      <w:r w:rsidRPr="002F2FDF">
        <w:rPr>
          <w:rFonts w:ascii="Times New Roman" w:hAnsi="Times New Roman" w:cs="Times New Roman"/>
          <w:color w:val="000000" w:themeColor="text1"/>
          <w:kern w:val="2"/>
          <w:sz w:val="16"/>
          <w:szCs w:val="16"/>
        </w:rPr>
        <w:softHyphen/>
        <w:t>жение фронта заграничной авиационной техникой не оправда</w:t>
      </w:r>
      <w:r w:rsidRPr="002F2FDF">
        <w:rPr>
          <w:rFonts w:ascii="Times New Roman" w:hAnsi="Times New Roman" w:cs="Times New Roman"/>
          <w:color w:val="000000" w:themeColor="text1"/>
          <w:kern w:val="2"/>
          <w:sz w:val="16"/>
          <w:szCs w:val="16"/>
        </w:rPr>
        <w:softHyphen/>
        <w:t>лись. За всю первую мировую войну русская армия получила только 3150 самолетов, из них 2250 с отечественных предприя</w:t>
      </w:r>
      <w:r w:rsidRPr="002F2FDF">
        <w:rPr>
          <w:rFonts w:ascii="Times New Roman" w:hAnsi="Times New Roman" w:cs="Times New Roman"/>
          <w:color w:val="000000" w:themeColor="text1"/>
          <w:kern w:val="2"/>
          <w:sz w:val="16"/>
          <w:szCs w:val="16"/>
        </w:rPr>
        <w:softHyphen/>
        <w:t>тий и около 900 из-за границы (356).</w:t>
      </w:r>
    </w:p>
    <w:p w14:paraId="62E01E4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F5CD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Февральская революция формально поставила точку в истории Императорского ВВФ и открыла первые страницы в биографии Военно-воздушного флота новой демократической России. Великого Князя Александра Михайловича на посту командующего ВВФ сменил военный летчик, инспектор авиации Юго-Западного фронта п-к Вячеслав Ткачев. Авиация Юго-Западного фронта в летней операции Главный удар в планировавшемся летнем наступлении предстояло наносить армиям Юго-Западного фронта в общем направлении на Львов. Весной началась усиленная подготовка к операции. Для авиации прежде всего требовалось создать резервы самолетов, моторов, боеприпасов и вооружения. Положение с этими средствами на отдельных участках фронта было просто катастрофическим. Так, начальник штаба VIII-й армии генерал Черемисов сообщал: "...армия занимает фронтом около 120 верст и располагает всего лишь восемью самолетами, способными к работе". Усилиями русских авиазаводов и благодаря помощи союзных держав, прежде всего Франции, в целом силы ВВФ к началу наступления удалось восстановить. Однако в отрядах имелось много изношенных самолетов, причем в некоторых из них находились машины четырех различных типов. Всего фронт располагал 36 авиаотрядами, включая два французских, один английский, а также 1-й и 3-й боевые отряды эскадры воздушных кораблей (ЭВК). Армейская авиация насчитывала 225 самолетов и 222 летчика (11237).</w:t>
      </w:r>
    </w:p>
    <w:p w14:paraId="52CFF3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AD36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феврале 1917 Особое совещание по обороне утвердило предложение УВВФ довести число дивизионов до 15, а авиаотрядов - до 146 и обеспечить их 1500 самолетами (по сравнению с 12, 95 и 774 в конце 1916) (5484,112).</w:t>
      </w:r>
    </w:p>
    <w:p w14:paraId="2610F6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C01205" w14:textId="77777777" w:rsidR="00B57901" w:rsidRPr="00FB4F67" w:rsidRDefault="00B579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феврале 1917 года Морское министерство планировало создать так называемую Авиабригаду особого назначения, подчиненную Беломорско-мурманскому военному управлению. В нем должно было быть шесть авиационных батальонов, но планы так и не были реализованы. В июне-июле штаб бригады был расформирован (23525).</w:t>
      </w:r>
    </w:p>
    <w:p w14:paraId="7F801C4F" w14:textId="77777777" w:rsidR="00B57901" w:rsidRPr="00FB4F67" w:rsidRDefault="00B57901" w:rsidP="0083075A">
      <w:pPr>
        <w:spacing w:after="0" w:line="240" w:lineRule="auto"/>
        <w:jc w:val="both"/>
        <w:rPr>
          <w:rFonts w:ascii="Times New Roman" w:hAnsi="Times New Roman" w:cs="Times New Roman"/>
          <w:color w:val="0070C0"/>
          <w:sz w:val="16"/>
          <w:szCs w:val="16"/>
        </w:rPr>
      </w:pPr>
    </w:p>
    <w:p w14:paraId="70CB0260" w14:textId="77777777" w:rsidR="00B57901" w:rsidRPr="00FB4F67" w:rsidRDefault="00B579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феврале 1917 г. Начальник штаба Вер</w:t>
      </w:r>
      <w:r w:rsidRPr="00FB4F67">
        <w:rPr>
          <w:rFonts w:ascii="Times New Roman" w:hAnsi="Times New Roman" w:cs="Times New Roman"/>
          <w:color w:val="0070C0"/>
          <w:sz w:val="16"/>
          <w:szCs w:val="16"/>
        </w:rPr>
        <w:softHyphen/>
        <w:t>ховного Главнокомандующего ут</w:t>
      </w:r>
      <w:r w:rsidRPr="00FB4F67">
        <w:rPr>
          <w:rFonts w:ascii="Times New Roman" w:hAnsi="Times New Roman" w:cs="Times New Roman"/>
          <w:color w:val="0070C0"/>
          <w:sz w:val="16"/>
          <w:szCs w:val="16"/>
        </w:rPr>
        <w:softHyphen/>
        <w:t>вердил новый штат и табель для Эскадры. Теперь общее число воздушных кораблей доводилось до сорока!</w:t>
      </w:r>
    </w:p>
    <w:p w14:paraId="37270A7F" w14:textId="77777777" w:rsidR="00B57901" w:rsidRPr="00FB4F67" w:rsidRDefault="00B579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Число боевых отрядов ЭВК воз</w:t>
      </w:r>
      <w:r w:rsidRPr="00FB4F67">
        <w:rPr>
          <w:rFonts w:ascii="Times New Roman" w:hAnsi="Times New Roman" w:cs="Times New Roman"/>
          <w:color w:val="0070C0"/>
          <w:sz w:val="16"/>
          <w:szCs w:val="16"/>
        </w:rPr>
        <w:softHyphen/>
        <w:t>росло до пяти. В дальнейшем Шидловский планировал сформировать ещё три. Помимо шести-восьми тя</w:t>
      </w:r>
      <w:r w:rsidRPr="00FB4F67">
        <w:rPr>
          <w:rFonts w:ascii="Times New Roman" w:hAnsi="Times New Roman" w:cs="Times New Roman"/>
          <w:color w:val="0070C0"/>
          <w:sz w:val="16"/>
          <w:szCs w:val="16"/>
        </w:rPr>
        <w:softHyphen/>
        <w:t>жёлых бомбардировщиков в соста</w:t>
      </w:r>
      <w:r w:rsidRPr="00FB4F67">
        <w:rPr>
          <w:rFonts w:ascii="Times New Roman" w:hAnsi="Times New Roman" w:cs="Times New Roman"/>
          <w:color w:val="0070C0"/>
          <w:sz w:val="16"/>
          <w:szCs w:val="16"/>
        </w:rPr>
        <w:softHyphen/>
        <w:t>ве каждого боевого отряда «Муром</w:t>
      </w:r>
      <w:r w:rsidRPr="00FB4F67">
        <w:rPr>
          <w:rFonts w:ascii="Times New Roman" w:hAnsi="Times New Roman" w:cs="Times New Roman"/>
          <w:color w:val="0070C0"/>
          <w:sz w:val="16"/>
          <w:szCs w:val="16"/>
        </w:rPr>
        <w:softHyphen/>
        <w:t>цев» предусматривалось по восемь истребителей прикрытия и шесть тренировочных лёгких самолётов, а также автомобильные, прожектор</w:t>
      </w:r>
      <w:r w:rsidRPr="00FB4F67">
        <w:rPr>
          <w:rFonts w:ascii="Times New Roman" w:hAnsi="Times New Roman" w:cs="Times New Roman"/>
          <w:color w:val="0070C0"/>
          <w:sz w:val="16"/>
          <w:szCs w:val="16"/>
        </w:rPr>
        <w:softHyphen/>
        <w:t>ные, ремонтно-технические и аэро</w:t>
      </w:r>
      <w:r w:rsidRPr="00FB4F67">
        <w:rPr>
          <w:rFonts w:ascii="Times New Roman" w:hAnsi="Times New Roman" w:cs="Times New Roman"/>
          <w:color w:val="0070C0"/>
          <w:sz w:val="16"/>
          <w:szCs w:val="16"/>
        </w:rPr>
        <w:softHyphen/>
        <w:t>дромно-эксплуатационные части, подразделения ПВО и связи, воен</w:t>
      </w:r>
      <w:r w:rsidRPr="00FB4F67">
        <w:rPr>
          <w:rFonts w:ascii="Times New Roman" w:hAnsi="Times New Roman" w:cs="Times New Roman"/>
          <w:color w:val="0070C0"/>
          <w:sz w:val="16"/>
          <w:szCs w:val="16"/>
        </w:rPr>
        <w:softHyphen/>
        <w:t>но-метеорологические и медицин</w:t>
      </w:r>
      <w:r w:rsidRPr="00FB4F67">
        <w:rPr>
          <w:rFonts w:ascii="Times New Roman" w:hAnsi="Times New Roman" w:cs="Times New Roman"/>
          <w:color w:val="0070C0"/>
          <w:sz w:val="16"/>
          <w:szCs w:val="16"/>
        </w:rPr>
        <w:softHyphen/>
        <w:t>ские пункты, склады и прочие тыло</w:t>
      </w:r>
      <w:r w:rsidRPr="00FB4F67">
        <w:rPr>
          <w:rFonts w:ascii="Times New Roman" w:hAnsi="Times New Roman" w:cs="Times New Roman"/>
          <w:color w:val="0070C0"/>
          <w:sz w:val="16"/>
          <w:szCs w:val="16"/>
        </w:rPr>
        <w:softHyphen/>
        <w:t>вые службы. Словом, каждый отряд ЭВК превращался в самостоятель</w:t>
      </w:r>
      <w:r w:rsidRPr="00FB4F67">
        <w:rPr>
          <w:rFonts w:ascii="Times New Roman" w:hAnsi="Times New Roman" w:cs="Times New Roman"/>
          <w:color w:val="0070C0"/>
          <w:sz w:val="16"/>
          <w:szCs w:val="16"/>
        </w:rPr>
        <w:softHyphen/>
        <w:t>ную часть тяжёлой авиации.</w:t>
      </w:r>
    </w:p>
    <w:p w14:paraId="6FCA7A15" w14:textId="77777777" w:rsidR="00B57901" w:rsidRPr="00FB4F67" w:rsidRDefault="00B579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Усиливалось оснащение и значе</w:t>
      </w:r>
      <w:r w:rsidRPr="00FB4F67">
        <w:rPr>
          <w:rFonts w:ascii="Times New Roman" w:hAnsi="Times New Roman" w:cs="Times New Roman"/>
          <w:color w:val="0070C0"/>
          <w:sz w:val="16"/>
          <w:szCs w:val="16"/>
        </w:rPr>
        <w:softHyphen/>
        <w:t>ние главной базы Эскадры. Выпол</w:t>
      </w:r>
      <w:r w:rsidRPr="00FB4F67">
        <w:rPr>
          <w:rFonts w:ascii="Times New Roman" w:hAnsi="Times New Roman" w:cs="Times New Roman"/>
          <w:color w:val="0070C0"/>
          <w:sz w:val="16"/>
          <w:szCs w:val="16"/>
        </w:rPr>
        <w:softHyphen/>
        <w:t>няя функции армейского тылового учебного центра и авиационно-тех</w:t>
      </w:r>
      <w:r w:rsidRPr="00FB4F67">
        <w:rPr>
          <w:rFonts w:ascii="Times New Roman" w:hAnsi="Times New Roman" w:cs="Times New Roman"/>
          <w:color w:val="0070C0"/>
          <w:sz w:val="16"/>
          <w:szCs w:val="16"/>
        </w:rPr>
        <w:softHyphen/>
        <w:t>нического парка, она становилась, кроме того, полноценным сбороч</w:t>
      </w:r>
      <w:r w:rsidRPr="00FB4F67">
        <w:rPr>
          <w:rFonts w:ascii="Times New Roman" w:hAnsi="Times New Roman" w:cs="Times New Roman"/>
          <w:color w:val="0070C0"/>
          <w:sz w:val="16"/>
          <w:szCs w:val="16"/>
        </w:rPr>
        <w:softHyphen/>
        <w:t>ным цехом, лётно-испытательным и доводочным отделом авиацион</w:t>
      </w:r>
      <w:r w:rsidRPr="00FB4F67">
        <w:rPr>
          <w:rFonts w:ascii="Times New Roman" w:hAnsi="Times New Roman" w:cs="Times New Roman"/>
          <w:color w:val="0070C0"/>
          <w:sz w:val="16"/>
          <w:szCs w:val="16"/>
        </w:rPr>
        <w:softHyphen/>
        <w:t>ного завода РБВЗ. Стараниями Шид- ловского и его помощников быв</w:t>
      </w:r>
      <w:r w:rsidRPr="00FB4F67">
        <w:rPr>
          <w:rFonts w:ascii="Times New Roman" w:hAnsi="Times New Roman" w:cs="Times New Roman"/>
          <w:color w:val="0070C0"/>
          <w:sz w:val="16"/>
          <w:szCs w:val="16"/>
        </w:rPr>
        <w:softHyphen/>
        <w:t>ший семенной завод превратился к весне 1917 г. в надёжную и хоро</w:t>
      </w:r>
      <w:r w:rsidRPr="00FB4F67">
        <w:rPr>
          <w:rFonts w:ascii="Times New Roman" w:hAnsi="Times New Roman" w:cs="Times New Roman"/>
          <w:color w:val="0070C0"/>
          <w:sz w:val="16"/>
          <w:szCs w:val="16"/>
        </w:rPr>
        <w:softHyphen/>
        <w:t>шо организованную базу обеспече</w:t>
      </w:r>
      <w:r w:rsidRPr="00FB4F67">
        <w:rPr>
          <w:rFonts w:ascii="Times New Roman" w:hAnsi="Times New Roman" w:cs="Times New Roman"/>
          <w:color w:val="0070C0"/>
          <w:sz w:val="16"/>
          <w:szCs w:val="16"/>
        </w:rPr>
        <w:softHyphen/>
        <w:t>ния стратегической авиации. Мас</w:t>
      </w:r>
      <w:r w:rsidRPr="00FB4F67">
        <w:rPr>
          <w:rFonts w:ascii="Times New Roman" w:hAnsi="Times New Roman" w:cs="Times New Roman"/>
          <w:color w:val="0070C0"/>
          <w:sz w:val="16"/>
          <w:szCs w:val="16"/>
        </w:rPr>
        <w:softHyphen/>
        <w:t>терские могли не только осуществ</w:t>
      </w:r>
      <w:r w:rsidRPr="00FB4F67">
        <w:rPr>
          <w:rFonts w:ascii="Times New Roman" w:hAnsi="Times New Roman" w:cs="Times New Roman"/>
          <w:color w:val="0070C0"/>
          <w:sz w:val="16"/>
          <w:szCs w:val="16"/>
        </w:rPr>
        <w:softHyphen/>
        <w:t>лять ремонт и вносить изменения в конструкцию самолётов и двига</w:t>
      </w:r>
      <w:r w:rsidRPr="00FB4F67">
        <w:rPr>
          <w:rFonts w:ascii="Times New Roman" w:hAnsi="Times New Roman" w:cs="Times New Roman"/>
          <w:color w:val="0070C0"/>
          <w:sz w:val="16"/>
          <w:szCs w:val="16"/>
        </w:rPr>
        <w:softHyphen/>
        <w:t>телей, но и качественно собирать новые из поступавших с завода аг</w:t>
      </w:r>
      <w:r w:rsidRPr="00FB4F67">
        <w:rPr>
          <w:rFonts w:ascii="Times New Roman" w:hAnsi="Times New Roman" w:cs="Times New Roman"/>
          <w:color w:val="0070C0"/>
          <w:sz w:val="16"/>
          <w:szCs w:val="16"/>
        </w:rPr>
        <w:softHyphen/>
        <w:t>регатов и деталей. Предполагалось, что по окончании войны винниц</w:t>
      </w:r>
      <w:r w:rsidRPr="00FB4F67">
        <w:rPr>
          <w:rFonts w:ascii="Times New Roman" w:hAnsi="Times New Roman" w:cs="Times New Roman"/>
          <w:color w:val="0070C0"/>
          <w:sz w:val="16"/>
          <w:szCs w:val="16"/>
        </w:rPr>
        <w:softHyphen/>
        <w:t>кая база ЭВК превратится в крупное авиаремонтное предприятие воен</w:t>
      </w:r>
      <w:r w:rsidRPr="00FB4F67">
        <w:rPr>
          <w:rFonts w:ascii="Times New Roman" w:hAnsi="Times New Roman" w:cs="Times New Roman"/>
          <w:color w:val="0070C0"/>
          <w:sz w:val="16"/>
          <w:szCs w:val="16"/>
        </w:rPr>
        <w:softHyphen/>
        <w:t>но-воздушного флота России (23469).</w:t>
      </w:r>
    </w:p>
    <w:p w14:paraId="45BA7090" w14:textId="77777777" w:rsidR="00B57901" w:rsidRPr="00FB4F67" w:rsidRDefault="00B57901" w:rsidP="0083075A">
      <w:pPr>
        <w:spacing w:after="0" w:line="240" w:lineRule="auto"/>
        <w:jc w:val="both"/>
        <w:rPr>
          <w:rFonts w:ascii="Times New Roman" w:hAnsi="Times New Roman" w:cs="Times New Roman"/>
          <w:color w:val="0070C0"/>
          <w:sz w:val="16"/>
          <w:szCs w:val="16"/>
        </w:rPr>
      </w:pPr>
    </w:p>
    <w:p w14:paraId="73D95E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черноморские авиатранспорты были переименованы. Александр 1 стал Республиканцем, а Николай 1 - Авиатором. Последняя операция Авиатора была в апреле 1917, когда бомбили Синоп (553,69).</w:t>
      </w:r>
    </w:p>
    <w:p w14:paraId="7506A0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51ED2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года после падения царизма чер</w:t>
      </w:r>
      <w:r w:rsidRPr="002F2FDF">
        <w:rPr>
          <w:rFonts w:ascii="Times New Roman" w:hAnsi="Times New Roman" w:cs="Times New Roman"/>
          <w:color w:val="000000" w:themeColor="text1"/>
          <w:kern w:val="2"/>
          <w:sz w:val="16"/>
          <w:szCs w:val="16"/>
        </w:rPr>
        <w:softHyphen/>
        <w:t>номорские авиатранспорты были переименованы: “Александр I” стал “Республиканцем”, а “Николай I” получил наименование “Авиатор”. Последняя опера</w:t>
      </w:r>
      <w:r w:rsidRPr="002F2FDF">
        <w:rPr>
          <w:rFonts w:ascii="Times New Roman" w:hAnsi="Times New Roman" w:cs="Times New Roman"/>
          <w:color w:val="000000" w:themeColor="text1"/>
          <w:kern w:val="2"/>
          <w:sz w:val="16"/>
          <w:szCs w:val="16"/>
        </w:rPr>
        <w:softHyphen/>
        <w:t>ция с применением авиатранспорта “Авиатор” состо</w:t>
      </w:r>
      <w:r w:rsidRPr="002F2FDF">
        <w:rPr>
          <w:rFonts w:ascii="Times New Roman" w:hAnsi="Times New Roman" w:cs="Times New Roman"/>
          <w:color w:val="000000" w:themeColor="text1"/>
          <w:kern w:val="2"/>
          <w:sz w:val="16"/>
          <w:szCs w:val="16"/>
        </w:rPr>
        <w:softHyphen/>
        <w:t>ялась в апреле 1917 года, когда его гидросамолеты бомбили укрепления неприятеля в районе Синопа (553).</w:t>
      </w:r>
    </w:p>
    <w:p w14:paraId="540386F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5DD2D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года, в Харькове от</w:t>
      </w:r>
      <w:r w:rsidRPr="002F2FDF">
        <w:rPr>
          <w:rFonts w:ascii="Times New Roman" w:hAnsi="Times New Roman" w:cs="Times New Roman"/>
          <w:color w:val="000000" w:themeColor="text1"/>
          <w:kern w:val="2"/>
          <w:sz w:val="16"/>
          <w:szCs w:val="16"/>
        </w:rPr>
        <w:softHyphen/>
        <w:t>крылся отдел Гатчинской военной авиационной шко</w:t>
      </w:r>
      <w:r w:rsidRPr="002F2FDF">
        <w:rPr>
          <w:rFonts w:ascii="Times New Roman" w:hAnsi="Times New Roman" w:cs="Times New Roman"/>
          <w:color w:val="000000" w:themeColor="text1"/>
          <w:kern w:val="2"/>
          <w:sz w:val="16"/>
          <w:szCs w:val="16"/>
        </w:rPr>
        <w:softHyphen/>
        <w:t>лы, предназначенный для подготовки летчиков-солдат. Хотя школа имела авиационное имущество и личный состав, реальную практическую деятельность развер</w:t>
      </w:r>
      <w:r w:rsidRPr="002F2FDF">
        <w:rPr>
          <w:rFonts w:ascii="Times New Roman" w:hAnsi="Times New Roman" w:cs="Times New Roman"/>
          <w:color w:val="000000" w:themeColor="text1"/>
          <w:kern w:val="2"/>
          <w:sz w:val="16"/>
          <w:szCs w:val="16"/>
        </w:rPr>
        <w:softHyphen/>
        <w:t>нуть не успела. Таким образом, размах подготовки авиационных кадров не отвечал растущим запросам фронта (553).</w:t>
      </w:r>
    </w:p>
    <w:p w14:paraId="786DD6B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D34A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февраля 1917 года начался постепенный развал русской армии (3861).</w:t>
      </w:r>
    </w:p>
    <w:p w14:paraId="4CDEF6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E9C384" w14:textId="77777777" w:rsidR="00B57901" w:rsidRPr="00FB4F67" w:rsidRDefault="00B579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феврале 1917 г. генерал Жанен был заменен генералом Нисселем на посту начальника французской военной миссии в Ставке, а комендант Бордаж сменил коменданта Поля Берже во главе авиационной миссии. Берже должен был командовать двумя вновь прибывшими французскими эскадрильями (23525).</w:t>
      </w:r>
    </w:p>
    <w:p w14:paraId="2DFE53DB" w14:textId="77777777" w:rsidR="00B57901" w:rsidRPr="00FB4F67" w:rsidRDefault="00B57901" w:rsidP="0083075A">
      <w:pPr>
        <w:spacing w:after="0" w:line="240" w:lineRule="auto"/>
        <w:jc w:val="both"/>
        <w:rPr>
          <w:rFonts w:ascii="Times New Roman" w:hAnsi="Times New Roman" w:cs="Times New Roman"/>
          <w:color w:val="0070C0"/>
          <w:sz w:val="16"/>
          <w:szCs w:val="16"/>
        </w:rPr>
      </w:pPr>
    </w:p>
    <w:p w14:paraId="10E3B52E" w14:textId="77777777" w:rsidR="00B57901" w:rsidRPr="00FB4F67" w:rsidRDefault="00B579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феврале 1917 г. австро-венгерский Flik 39 вместе с Hansa-Brandenburg C.Is был отправлен на румынский фронт (23525).</w:t>
      </w:r>
    </w:p>
    <w:p w14:paraId="09E26C3D" w14:textId="77777777" w:rsidR="00B57901" w:rsidRDefault="00B57901"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09B0ECF" w14:textId="153769CC"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793EF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4C1C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феврале 1917 г. был отменен запрет на владение недвижимым имуществом акционерными обществами. Например, в случае РОООМП, поскольку просто купить участок земли для строительства завода было невозможно, учредители нашли подходящий «двор» на Чу­гунной улице, который принадлежал мещанам Щербаковым. К.К. Ракуса - Сугдевский </w:t>
      </w:r>
      <w:r w:rsidRPr="002F2FDF">
        <w:rPr>
          <w:rFonts w:ascii="Times New Roman" w:hAnsi="Times New Roman" w:cs="Times New Roman"/>
          <w:iCs/>
          <w:color w:val="000000" w:themeColor="text1"/>
          <w:kern w:val="2"/>
          <w:sz w:val="16"/>
          <w:szCs w:val="16"/>
        </w:rPr>
        <w:t xml:space="preserve">«согласно уставу общества приобрел по купчей крепости... недвижимое имение... в коем мерою земли 2842 кв. сажен, за 54 тысячи рублей». </w:t>
      </w:r>
      <w:r w:rsidRPr="002F2FDF">
        <w:rPr>
          <w:rFonts w:ascii="Times New Roman" w:hAnsi="Times New Roman" w:cs="Times New Roman"/>
          <w:color w:val="000000" w:themeColor="text1"/>
          <w:kern w:val="2"/>
          <w:sz w:val="16"/>
          <w:szCs w:val="16"/>
        </w:rPr>
        <w:t xml:space="preserve">Это недвижимое имущество учредитель </w:t>
      </w:r>
      <w:r w:rsidRPr="002F2FDF">
        <w:rPr>
          <w:rFonts w:ascii="Times New Roman" w:hAnsi="Times New Roman" w:cs="Times New Roman"/>
          <w:iCs/>
          <w:color w:val="000000" w:themeColor="text1"/>
          <w:kern w:val="2"/>
          <w:sz w:val="16"/>
          <w:szCs w:val="16"/>
        </w:rPr>
        <w:t xml:space="preserve">«переуступил вновь образованному обществу по себестоимости». </w:t>
      </w:r>
      <w:r w:rsidRPr="002F2FDF">
        <w:rPr>
          <w:rFonts w:ascii="Times New Roman" w:hAnsi="Times New Roman" w:cs="Times New Roman"/>
          <w:color w:val="000000" w:themeColor="text1"/>
          <w:kern w:val="2"/>
          <w:sz w:val="16"/>
          <w:szCs w:val="16"/>
        </w:rPr>
        <w:t>Так возникла первая собственность акционерного общества (11869).</w:t>
      </w:r>
    </w:p>
    <w:p w14:paraId="5FEA10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7E64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рубль упал до 27 коп. (3908,249).</w:t>
      </w:r>
    </w:p>
    <w:p w14:paraId="58F4CE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A490C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E52D3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869C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года вступил в строй L-42 (LZ-91), представитель цеппелинов типа “s”. В задней гондоле этого корабля находилось уже 2 мотора, но они все еще вращали воздушные винты на рамах. В марте 1917 года во время испытаний L-42 поднялся на высоту 6000 м, причем груз, имитирующий бомбовую нагрузку, весил 2000 кг. Водяной балласт частично был заменен песком, а оставшаяся его часть смешана с глицерином, чтобы предотвратить замерзание воды на больших высотах. Переоборудование цеппелинов разных типов в высотные продолжалось до октября. L-44, построенный в апреле, первым получил уменьшенную двухмоторную заднюю гондолу с одним воздушным винтом. Примерно в это же время берлинская фирма “Люфтфарцойг-Геселлшафт” закончила строительство значительно усовершенствованных больших нежестких дирижаблей Парсеваля PL-26 и PL-27. Несмотря на негативное к ним отношение Штрассера, руководство флота настояло на постройке этих кораблей. Во время испытаний PL-26 сгорел в эллинге. Имея объем 31 150 куб. м, PL-27 стал самым большим нежестким дирижаблем в мировой практике. Оснащенный четырьмя моторами “Майбах” HSL, корабль развивал скорость 91 км/ч. Моряки, однако, к действительной службе этот дирижабль так и не привлекли. Доверяли только цеппелинам (11324).</w:t>
      </w:r>
    </w:p>
    <w:p w14:paraId="692502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EE9A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1917 в Германии выпустили Фоккер Dr.1 триплан c двигателем Оберурсель в 110 нр - сильно облегченный и именно на нем летал Рихтгоффен, пока не погиб в 82 бою в апреле 1918 (88,73).</w:t>
      </w:r>
    </w:p>
    <w:p w14:paraId="1B9D03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8C6E48" w14:textId="77777777" w:rsidR="003573C6" w:rsidRPr="002F2FDF" w:rsidRDefault="003573C6" w:rsidP="0083075A">
      <w:pPr>
        <w:pStyle w:val="ae"/>
        <w:spacing w:before="0" w:after="0"/>
        <w:jc w:val="both"/>
        <w:rPr>
          <w:color w:val="000000" w:themeColor="text1"/>
          <w:kern w:val="2"/>
          <w:sz w:val="16"/>
          <w:szCs w:val="16"/>
        </w:rPr>
      </w:pPr>
      <w:r w:rsidRPr="002F2FDF">
        <w:rPr>
          <w:color w:val="000000" w:themeColor="text1"/>
          <w:kern w:val="2"/>
          <w:sz w:val="16"/>
          <w:szCs w:val="16"/>
        </w:rPr>
        <w:t>В феврале 1917 года восставшие против Османской империи арабы западной части Аравийского полуострова — так называемого Хиджаза — провели по совету британского офицера Томаса Лоуренса серию рейдов на проложенные турками железнодорожные ветки, в ходе которых они разрушали пути и пускали под откос эшелоны с турецкими войсками и военными грузами. Во время одной из таких атак арабам удалось захватить 20 000 золотых монет, которые были отправлены султаном для подкупа колеблющихся бедуинов. Но самое главное, они сорвали переброску в Хиджаз крупной воинской группировки, которая должна была отбить занятую повстанцами Мекку и деблокировать осажденный гарнизон Медины (17045).</w:t>
      </w:r>
    </w:p>
    <w:p w14:paraId="336FB3B2" w14:textId="77777777" w:rsidR="003573C6" w:rsidRPr="002F2FDF" w:rsidRDefault="003573C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4D911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DC459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A3BE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феврале-мае 1917 по требованию Эскадры в Винницу были присланы 10 комплектов новых рулей направления по типу Г-3, подмоторных ферм для "Рено" — 20 штук, для "Аргус" — 8 и для "РБ3.6" — 12 штук (т.е. на ос­нащение 10 кораблей, которые были поставлены до января 1917 г. на базу) (11277).</w:t>
      </w:r>
    </w:p>
    <w:p w14:paraId="14DFD0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4821BD" w14:textId="77777777" w:rsidR="002B580E" w:rsidRPr="00FB4F67" w:rsidRDefault="002B58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феврале-мае 1917 г. для доработки имеющихся в действующей армии самолетов ИМ Г, поставленных до января 1917 г. РБВЗ было поставлено:</w:t>
      </w:r>
    </w:p>
    <w:p w14:paraId="2C431C03" w14:textId="77777777" w:rsidR="002B580E" w:rsidRPr="00FB4F67" w:rsidRDefault="002B58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- 20 подмоторных ферм под двигатели «Рено»;</w:t>
      </w:r>
    </w:p>
    <w:p w14:paraId="25967C74" w14:textId="77777777" w:rsidR="002B580E" w:rsidRPr="00FB4F67" w:rsidRDefault="002B58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- 12 подмоторных ферм под двигатели РБЗ-6;</w:t>
      </w:r>
    </w:p>
    <w:p w14:paraId="19312E0F" w14:textId="77777777" w:rsidR="002B580E" w:rsidRPr="00FB4F67" w:rsidRDefault="002B58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- 8 подмоторных ферм под двигатели «Аргус» (As II);</w:t>
      </w:r>
    </w:p>
    <w:p w14:paraId="0EC0A69B" w14:textId="77777777" w:rsidR="002B580E" w:rsidRPr="00FB4F67" w:rsidRDefault="002B58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- 10 комплектов новых рулей направления по типу самолета Г-3.</w:t>
      </w:r>
    </w:p>
    <w:p w14:paraId="0FC441C8" w14:textId="77777777" w:rsidR="002B580E" w:rsidRPr="00FB4F67" w:rsidRDefault="002B58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Новые агрегаты должны были быть установлены на строевые самолеты взамен существующих, но не известно, были ли израсходованы все.</w:t>
      </w:r>
    </w:p>
    <w:p w14:paraId="771C5558" w14:textId="77777777" w:rsidR="002B580E" w:rsidRPr="00FB4F67" w:rsidRDefault="002B58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Высотность самолета действительно удалось улучшить.</w:t>
      </w:r>
    </w:p>
    <w:p w14:paraId="1502F9F2" w14:textId="77777777" w:rsidR="002B580E" w:rsidRPr="00FB4F67" w:rsidRDefault="002B58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От самолетов серии Г-1 на Г-2 имелись следующие отличия:</w:t>
      </w:r>
    </w:p>
    <w:p w14:paraId="2E3B7ED3" w14:textId="77777777" w:rsidR="002B580E" w:rsidRPr="00FB4F67" w:rsidRDefault="002B58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конструкция усилена;</w:t>
      </w:r>
    </w:p>
    <w:p w14:paraId="3B7D2A30" w14:textId="77777777" w:rsidR="002B580E" w:rsidRPr="00FB4F67" w:rsidRDefault="002B58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увеличены хорды крыльев;</w:t>
      </w:r>
    </w:p>
    <w:p w14:paraId="4BC83C7E" w14:textId="77777777" w:rsidR="002B580E" w:rsidRPr="00FB4F67" w:rsidRDefault="002B58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установлена хвостовая стрелковая кабина со шкворневой установкой пулемета;</w:t>
      </w:r>
    </w:p>
    <w:p w14:paraId="5BC58B6F" w14:textId="77777777" w:rsidR="002B580E" w:rsidRPr="00FB4F67" w:rsidRDefault="002B58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в связи с появлением хвостовой стрелковой установки изменена конструкция оперения – оно стало 3-килевым;</w:t>
      </w:r>
    </w:p>
    <w:p w14:paraId="4482FD1D" w14:textId="77777777" w:rsidR="002B580E" w:rsidRPr="00FB4F67" w:rsidRDefault="002B58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 на 1-м самолете установлен «плоскодонный» бензобак из 3-х секций с проемом для выхода стрелка в верхнюю огневую точку (на всех последующих самолетах ИМ Г ставили два обычных круглых бака цилиндрической формы), за баком был установлен обтекатель с люком для пулеметной установки;</w:t>
      </w:r>
    </w:p>
    <w:p w14:paraId="70350891" w14:textId="77777777" w:rsidR="002B580E" w:rsidRPr="00FB4F67" w:rsidRDefault="002B58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введены эксплуатационные разъемы по типу самолета ДИМ.</w:t>
      </w:r>
    </w:p>
    <w:p w14:paraId="3D968402" w14:textId="77777777" w:rsidR="002B580E" w:rsidRPr="00FB4F67" w:rsidRDefault="002B58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Самолеты серии Г-2, которые комплектовались только моторами РБЗ-6, именовались «Руссобалт», а которые имели моторы РБЗ-6 и «Рено» – «Ренобалт» (были и др. варианты СУ).</w:t>
      </w:r>
    </w:p>
    <w:p w14:paraId="525318C4" w14:textId="77777777" w:rsidR="002B580E" w:rsidRPr="00FB4F67" w:rsidRDefault="002B58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 ходу выпуска конструкция самолета менялась, в т.ч. была удлинена кабина хвостового стрелка.</w:t>
      </w:r>
    </w:p>
    <w:p w14:paraId="58EA0173" w14:textId="77777777" w:rsidR="002B580E" w:rsidRPr="00FB4F67" w:rsidRDefault="002B58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Всего построили 8 самолетов варианта Г-2 в 1916 и 1917 гг., но все сведения об этом нуждаются в перепроверке, которая затруднена отсутствием прямых указаний на их заводские номера, а бортовые в эскадре повторялись (могли быть одинаковы на разных самолетах) и менялись по ходу их эксплуатации (23553).</w:t>
      </w:r>
    </w:p>
    <w:p w14:paraId="24468859" w14:textId="77777777" w:rsidR="002B580E" w:rsidRPr="00FB4F67" w:rsidRDefault="002B580E" w:rsidP="0083075A">
      <w:pPr>
        <w:spacing w:after="0" w:line="240" w:lineRule="auto"/>
        <w:jc w:val="both"/>
        <w:rPr>
          <w:rFonts w:ascii="Times New Roman" w:hAnsi="Times New Roman" w:cs="Times New Roman"/>
          <w:color w:val="0070C0"/>
          <w:sz w:val="16"/>
          <w:szCs w:val="16"/>
        </w:rPr>
      </w:pPr>
    </w:p>
    <w:p w14:paraId="695C1DB9" w14:textId="07F9519F" w:rsidR="003431D2" w:rsidRPr="002F2FDF" w:rsidRDefault="002B580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Pr>
          <w:rFonts w:ascii="Times New Roman" w:hAnsi="Times New Roman" w:cs="Times New Roman"/>
          <w:i/>
          <w:iCs/>
          <w:color w:val="000000" w:themeColor="text1"/>
          <w:kern w:val="2"/>
          <w:sz w:val="16"/>
          <w:szCs w:val="16"/>
        </w:rPr>
        <w:t>Жизнь и внутренняя политика</w:t>
      </w:r>
      <w:r w:rsidR="00CC1BE3" w:rsidRPr="002F2FDF">
        <w:rPr>
          <w:rFonts w:ascii="Times New Roman" w:hAnsi="Times New Roman" w:cs="Times New Roman"/>
          <w:i/>
          <w:iCs/>
          <w:color w:val="000000" w:themeColor="text1"/>
          <w:kern w:val="2"/>
          <w:sz w:val="16"/>
          <w:szCs w:val="16"/>
        </w:rPr>
        <w:t>:</w:t>
      </w:r>
    </w:p>
    <w:p w14:paraId="0DED3C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261718" w14:textId="77777777" w:rsidR="002B580E" w:rsidRPr="00FB4F67" w:rsidRDefault="002B58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течение февраля и марта 1917 г. в городах по всей России формировались Советы (Советы). Они также стали появляться в воинских частях на фронте и в тылу.</w:t>
      </w:r>
    </w:p>
    <w:p w14:paraId="7750E409" w14:textId="77777777" w:rsidR="002B580E" w:rsidRPr="00FB4F67" w:rsidRDefault="002B580E" w:rsidP="0083075A">
      <w:pPr>
        <w:spacing w:after="0" w:line="240" w:lineRule="auto"/>
        <w:jc w:val="both"/>
        <w:rPr>
          <w:rFonts w:ascii="Times New Roman" w:hAnsi="Times New Roman" w:cs="Times New Roman"/>
          <w:color w:val="0070C0"/>
          <w:sz w:val="16"/>
          <w:szCs w:val="16"/>
        </w:rPr>
      </w:pPr>
    </w:p>
    <w:p w14:paraId="2F79B0D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A825B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FC780B" w14:textId="77777777" w:rsidR="003431D2" w:rsidRPr="002F2FDF" w:rsidRDefault="003431D2" w:rsidP="0083075A">
      <w:pPr>
        <w:tabs>
          <w:tab w:val="left" w:pos="44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весне 1917 г. был построен второй экземпляр двухвостки Хиони, оснащенный двумя двига</w:t>
      </w:r>
      <w:r w:rsidRPr="002F2FDF">
        <w:rPr>
          <w:rFonts w:ascii="Times New Roman" w:hAnsi="Times New Roman" w:cs="Times New Roman"/>
          <w:color w:val="000000" w:themeColor="text1"/>
          <w:kern w:val="2"/>
          <w:sz w:val="16"/>
          <w:szCs w:val="16"/>
        </w:rPr>
        <w:softHyphen/>
        <w:t>телями «Сальмсон» мощностью 150 л.с. Фюзеляжи на этой машине взяли от«Анасаль», соответственно увеличили размах крыльев, изменили конструкцию шасси. Коробчатые радиаторы охлаждения двигателей размеща</w:t>
      </w:r>
      <w:r w:rsidRPr="002F2FDF">
        <w:rPr>
          <w:rFonts w:ascii="Times New Roman" w:hAnsi="Times New Roman" w:cs="Times New Roman"/>
          <w:color w:val="000000" w:themeColor="text1"/>
          <w:kern w:val="2"/>
          <w:sz w:val="16"/>
          <w:szCs w:val="16"/>
        </w:rPr>
        <w:softHyphen/>
        <w:t>лись по бортам фюзеляжей, с внутренней их стороны. Количество экипажа возросло до 5 человек с размещением одного из них в верх</w:t>
      </w:r>
      <w:r w:rsidRPr="002F2FDF">
        <w:rPr>
          <w:rFonts w:ascii="Times New Roman" w:hAnsi="Times New Roman" w:cs="Times New Roman"/>
          <w:color w:val="000000" w:themeColor="text1"/>
          <w:kern w:val="2"/>
          <w:sz w:val="16"/>
          <w:szCs w:val="16"/>
        </w:rPr>
        <w:softHyphen/>
        <w:t>ней, обтекаемой гондоле. После испытаний, проведенных в мае 1917 г. летчиком Д.М.Зубковым, признава</w:t>
      </w:r>
      <w:r w:rsidRPr="002F2FDF">
        <w:rPr>
          <w:rFonts w:ascii="Times New Roman" w:hAnsi="Times New Roman" w:cs="Times New Roman"/>
          <w:color w:val="000000" w:themeColor="text1"/>
          <w:kern w:val="2"/>
          <w:sz w:val="16"/>
          <w:szCs w:val="16"/>
        </w:rPr>
        <w:softHyphen/>
        <w:t>лось, что «Двухвостка» может быть использо</w:t>
      </w:r>
      <w:r w:rsidRPr="002F2FDF">
        <w:rPr>
          <w:rFonts w:ascii="Times New Roman" w:hAnsi="Times New Roman" w:cs="Times New Roman"/>
          <w:color w:val="000000" w:themeColor="text1"/>
          <w:kern w:val="2"/>
          <w:sz w:val="16"/>
          <w:szCs w:val="16"/>
        </w:rPr>
        <w:softHyphen/>
        <w:t>вана в качестве легкого бомбардировщика. В связи с недостатком самолетов «Илья Муромец», двухфюзеляжный аппарат Хиони предлагался для снабжения Эскадры воздуш</w:t>
      </w:r>
      <w:r w:rsidRPr="002F2FDF">
        <w:rPr>
          <w:rFonts w:ascii="Times New Roman" w:hAnsi="Times New Roman" w:cs="Times New Roman"/>
          <w:color w:val="000000" w:themeColor="text1"/>
          <w:kern w:val="2"/>
          <w:sz w:val="16"/>
          <w:szCs w:val="16"/>
        </w:rPr>
        <w:softHyphen/>
        <w:t>ных кораблей (ЭВК). 3 ноября 1917 г. последо</w:t>
      </w:r>
      <w:r w:rsidRPr="002F2FDF">
        <w:rPr>
          <w:rFonts w:ascii="Times New Roman" w:hAnsi="Times New Roman" w:cs="Times New Roman"/>
          <w:color w:val="000000" w:themeColor="text1"/>
          <w:kern w:val="2"/>
          <w:sz w:val="16"/>
          <w:szCs w:val="16"/>
        </w:rPr>
        <w:softHyphen/>
        <w:t>вал заказ на 50 экземпляров, который по при</w:t>
      </w:r>
      <w:r w:rsidRPr="002F2FDF">
        <w:rPr>
          <w:rFonts w:ascii="Times New Roman" w:hAnsi="Times New Roman" w:cs="Times New Roman"/>
          <w:color w:val="000000" w:themeColor="text1"/>
          <w:kern w:val="2"/>
          <w:sz w:val="16"/>
          <w:szCs w:val="16"/>
        </w:rPr>
        <w:softHyphen/>
        <w:t>чине осложнившейся политической обстанов</w:t>
      </w:r>
      <w:r w:rsidRPr="002F2FDF">
        <w:rPr>
          <w:rFonts w:ascii="Times New Roman" w:hAnsi="Times New Roman" w:cs="Times New Roman"/>
          <w:color w:val="000000" w:themeColor="text1"/>
          <w:kern w:val="2"/>
          <w:sz w:val="16"/>
          <w:szCs w:val="16"/>
        </w:rPr>
        <w:softHyphen/>
        <w:t>ки не был реализован. Одновременно с сухопутным назначением, Хиони надеялся использовать свой двухфюзе</w:t>
      </w:r>
      <w:r w:rsidRPr="002F2FDF">
        <w:rPr>
          <w:rFonts w:ascii="Times New Roman" w:hAnsi="Times New Roman" w:cs="Times New Roman"/>
          <w:color w:val="000000" w:themeColor="text1"/>
          <w:kern w:val="2"/>
          <w:sz w:val="16"/>
          <w:szCs w:val="16"/>
        </w:rPr>
        <w:softHyphen/>
        <w:t>ляжный самолет в морском варианте. Для этого в середине 1917 г. «Двухвостку» обору</w:t>
      </w:r>
      <w:r w:rsidRPr="002F2FDF">
        <w:rPr>
          <w:rFonts w:ascii="Times New Roman" w:hAnsi="Times New Roman" w:cs="Times New Roman"/>
          <w:color w:val="000000" w:themeColor="text1"/>
          <w:kern w:val="2"/>
          <w:sz w:val="16"/>
          <w:szCs w:val="16"/>
        </w:rPr>
        <w:softHyphen/>
        <w:t>довали поплавковым шасси и испытали на Черном море в районе Одессы. 11 августа 1917 г. самолет, управляемый конструктором, потерпел аварию при посадке на воду, при этом пассажир, находящийся в верхней каби</w:t>
      </w:r>
      <w:r w:rsidRPr="002F2FDF">
        <w:rPr>
          <w:rFonts w:ascii="Times New Roman" w:hAnsi="Times New Roman" w:cs="Times New Roman"/>
          <w:color w:val="000000" w:themeColor="text1"/>
          <w:kern w:val="2"/>
          <w:sz w:val="16"/>
          <w:szCs w:val="16"/>
        </w:rPr>
        <w:softHyphen/>
        <w:t>не, выпал из нее и утонул. Не смотря на значи</w:t>
      </w:r>
      <w:r w:rsidRPr="002F2FDF">
        <w:rPr>
          <w:rFonts w:ascii="Times New Roman" w:hAnsi="Times New Roman" w:cs="Times New Roman"/>
          <w:color w:val="000000" w:themeColor="text1"/>
          <w:kern w:val="2"/>
          <w:sz w:val="16"/>
          <w:szCs w:val="16"/>
        </w:rPr>
        <w:softHyphen/>
        <w:t>тельный интерес к «Двухвостке» в морском варианте, дальнейшего продолжения эти опыты не имели (11973).</w:t>
      </w:r>
    </w:p>
    <w:p w14:paraId="619609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ACF451" w14:textId="77777777" w:rsidR="00DB63D5" w:rsidRPr="002F2FDF" w:rsidRDefault="00DB63D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весне 1917-го построили второй экземпляр двухвостки Хиони с двумя двигателями "Сальмсон" мощностью по 150 л.с. Фюзеляжи на этой машине взяли от "Анасаля", соответственно увеличили размах крыльев, изменили конструкцию шасси. Коробчатые радиаторы охлаждения двигателей размещались по бортам фюзеляжей, с внутренней их стороны. Экипаж возрос до пяти человек с размещением одного из них в верхней, обтекаемой гондоле (9806).</w:t>
      </w:r>
    </w:p>
    <w:p w14:paraId="622571E9" w14:textId="77777777" w:rsidR="00DB63D5" w:rsidRPr="002F2FDF" w:rsidRDefault="00DB63D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8FD11C" w14:textId="77777777" w:rsidR="00DB63D5" w:rsidRPr="002F2FDF" w:rsidRDefault="00DB63D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весне 1917 г. двухвостка Хиони была подготовлена к заводским испытаниям. Их проводил летчик-испытатель Д. М. Зубков. Испытания дали положительные результаты. В Петроград на Садовую, 2, где находились ГВТУ и УВВФ, администрацией завода было послано несколько телеграмм с просьбой выслать комиссию для приемки аппарата. Но руководители военного ведомства даже не сочли нужным ответить на телеграммы. Комиссия для осмотра самолета не приехала (9705).</w:t>
      </w:r>
    </w:p>
    <w:p w14:paraId="1D8C81C8" w14:textId="77777777" w:rsidR="00DB63D5" w:rsidRDefault="00DB63D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8599DB" w14:textId="77777777" w:rsidR="00855416" w:rsidRPr="00FB4F67" w:rsidRDefault="0085541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весне 1917 г. построили второй экземпляр «Анадва» тип ВХ («Двухвостка Хиони», «Двухвостка», «Анатра-Хиони» № 4), оснащенный двумя двигателями «Сальмсон» мощностью 150 л.с. Фюзеляжи на этой машине взяли от разведчика «Анасаль», соответственно уве</w:t>
      </w:r>
      <w:r w:rsidRPr="00FB4F67">
        <w:rPr>
          <w:rFonts w:ascii="Times New Roman" w:hAnsi="Times New Roman" w:cs="Times New Roman"/>
          <w:color w:val="0070C0"/>
          <w:sz w:val="16"/>
          <w:szCs w:val="16"/>
        </w:rPr>
        <w:softHyphen/>
        <w:t>личили размах крыльев, изменили конструк</w:t>
      </w:r>
      <w:r w:rsidRPr="00FB4F67">
        <w:rPr>
          <w:rFonts w:ascii="Times New Roman" w:hAnsi="Times New Roman" w:cs="Times New Roman"/>
          <w:color w:val="0070C0"/>
          <w:sz w:val="16"/>
          <w:szCs w:val="16"/>
        </w:rPr>
        <w:softHyphen/>
        <w:t>цию шасси. Коробчатые радиаторы охлаж</w:t>
      </w:r>
      <w:r w:rsidRPr="00FB4F67">
        <w:rPr>
          <w:rFonts w:ascii="Times New Roman" w:hAnsi="Times New Roman" w:cs="Times New Roman"/>
          <w:color w:val="0070C0"/>
          <w:sz w:val="16"/>
          <w:szCs w:val="16"/>
        </w:rPr>
        <w:softHyphen/>
        <w:t>дения двигателей размещались по бортам фюзеляжей, с внутренней их стороны. Коли</w:t>
      </w:r>
      <w:r w:rsidRPr="00FB4F67">
        <w:rPr>
          <w:rFonts w:ascii="Times New Roman" w:hAnsi="Times New Roman" w:cs="Times New Roman"/>
          <w:color w:val="0070C0"/>
          <w:sz w:val="16"/>
          <w:szCs w:val="16"/>
        </w:rPr>
        <w:softHyphen/>
        <w:t>чество экипажа возросло до 5 человек с размещением одного из них в верхней, об</w:t>
      </w:r>
      <w:r w:rsidRPr="00FB4F67">
        <w:rPr>
          <w:rFonts w:ascii="Times New Roman" w:hAnsi="Times New Roman" w:cs="Times New Roman"/>
          <w:color w:val="0070C0"/>
          <w:sz w:val="16"/>
          <w:szCs w:val="16"/>
        </w:rPr>
        <w:softHyphen/>
        <w:t>текаемой гондоле.</w:t>
      </w:r>
    </w:p>
    <w:p w14:paraId="7C6C2C63" w14:textId="77777777" w:rsidR="00855416" w:rsidRPr="00FB4F67" w:rsidRDefault="0085541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После испытаний, проведенных в мае 1917 г. летчиком Д.М.Зубковым, признава</w:t>
      </w:r>
      <w:r w:rsidRPr="00FB4F67">
        <w:rPr>
          <w:rFonts w:ascii="Times New Roman" w:hAnsi="Times New Roman" w:cs="Times New Roman"/>
          <w:color w:val="0070C0"/>
          <w:sz w:val="16"/>
          <w:szCs w:val="16"/>
        </w:rPr>
        <w:softHyphen/>
        <w:t>лось, что «Двухвостка» может использо</w:t>
      </w:r>
      <w:r w:rsidRPr="00FB4F67">
        <w:rPr>
          <w:rFonts w:ascii="Times New Roman" w:hAnsi="Times New Roman" w:cs="Times New Roman"/>
          <w:color w:val="0070C0"/>
          <w:sz w:val="16"/>
          <w:szCs w:val="16"/>
        </w:rPr>
        <w:softHyphen/>
        <w:t>ваться в качестве легкого бомбардировщи</w:t>
      </w:r>
      <w:r w:rsidRPr="00FB4F67">
        <w:rPr>
          <w:rFonts w:ascii="Times New Roman" w:hAnsi="Times New Roman" w:cs="Times New Roman"/>
          <w:color w:val="0070C0"/>
          <w:sz w:val="16"/>
          <w:szCs w:val="16"/>
        </w:rPr>
        <w:softHyphen/>
        <w:t>ка. В связи с недостатком самолетов «Илья Муромец» самолет Хиони предполагался для снабжения Эскадры воздушных кораб</w:t>
      </w:r>
      <w:r w:rsidRPr="00FB4F67">
        <w:rPr>
          <w:rFonts w:ascii="Times New Roman" w:hAnsi="Times New Roman" w:cs="Times New Roman"/>
          <w:color w:val="0070C0"/>
          <w:sz w:val="16"/>
          <w:szCs w:val="16"/>
        </w:rPr>
        <w:softHyphen/>
        <w:t>лей (ЭВК). 3 ноября 1917 г. последовал за</w:t>
      </w:r>
      <w:r w:rsidRPr="00FB4F67">
        <w:rPr>
          <w:rFonts w:ascii="Times New Roman" w:hAnsi="Times New Roman" w:cs="Times New Roman"/>
          <w:color w:val="0070C0"/>
          <w:sz w:val="16"/>
          <w:szCs w:val="16"/>
        </w:rPr>
        <w:softHyphen/>
        <w:t>каз на 50 экземпляров, который по причи</w:t>
      </w:r>
      <w:r w:rsidRPr="00FB4F67">
        <w:rPr>
          <w:rFonts w:ascii="Times New Roman" w:hAnsi="Times New Roman" w:cs="Times New Roman"/>
          <w:color w:val="0070C0"/>
          <w:sz w:val="16"/>
          <w:szCs w:val="16"/>
        </w:rPr>
        <w:softHyphen/>
        <w:t>не осложнившейся политической обста</w:t>
      </w:r>
      <w:r w:rsidRPr="00FB4F67">
        <w:rPr>
          <w:rFonts w:ascii="Times New Roman" w:hAnsi="Times New Roman" w:cs="Times New Roman"/>
          <w:color w:val="0070C0"/>
          <w:sz w:val="16"/>
          <w:szCs w:val="16"/>
        </w:rPr>
        <w:softHyphen/>
        <w:t>новки не был реализован.</w:t>
      </w:r>
    </w:p>
    <w:p w14:paraId="5CEFDD41" w14:textId="77777777" w:rsidR="00855416" w:rsidRPr="00FB4F67" w:rsidRDefault="0085541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Одновременно с сухопутным назначени</w:t>
      </w:r>
      <w:r w:rsidRPr="00FB4F67">
        <w:rPr>
          <w:rFonts w:ascii="Times New Roman" w:hAnsi="Times New Roman" w:cs="Times New Roman"/>
          <w:color w:val="0070C0"/>
          <w:sz w:val="16"/>
          <w:szCs w:val="16"/>
        </w:rPr>
        <w:softHyphen/>
        <w:t>ем, В.Н.Хиони надеялся использовать свой двухфюзеляжный самолет в морском вари</w:t>
      </w:r>
      <w:r w:rsidRPr="00FB4F67">
        <w:rPr>
          <w:rFonts w:ascii="Times New Roman" w:hAnsi="Times New Roman" w:cs="Times New Roman"/>
          <w:color w:val="0070C0"/>
          <w:sz w:val="16"/>
          <w:szCs w:val="16"/>
        </w:rPr>
        <w:softHyphen/>
        <w:t>анте. Для этого в середине 1917 г. «Дву</w:t>
      </w:r>
      <w:r w:rsidRPr="00FB4F67">
        <w:rPr>
          <w:rFonts w:ascii="Times New Roman" w:hAnsi="Times New Roman" w:cs="Times New Roman"/>
          <w:color w:val="0070C0"/>
          <w:sz w:val="16"/>
          <w:szCs w:val="16"/>
        </w:rPr>
        <w:softHyphen/>
        <w:t>хвостку» оборудовали поплавковым шасси и испытали на Черном море в районе Одессы. 11 августа 1917 г. самолет, управ</w:t>
      </w:r>
      <w:r w:rsidRPr="00FB4F67">
        <w:rPr>
          <w:rFonts w:ascii="Times New Roman" w:hAnsi="Times New Roman" w:cs="Times New Roman"/>
          <w:color w:val="0070C0"/>
          <w:sz w:val="16"/>
          <w:szCs w:val="16"/>
        </w:rPr>
        <w:softHyphen/>
        <w:t>ляемый конструктором, потерпел аварию при посадке на воду, при этом пассажир, находящийся в верхней кабине, выпал из нее и утонул. Не смотря на значительный интерес к «Двухвостке» в морском вариан</w:t>
      </w:r>
      <w:r w:rsidRPr="00FB4F67">
        <w:rPr>
          <w:rFonts w:ascii="Times New Roman" w:hAnsi="Times New Roman" w:cs="Times New Roman"/>
          <w:color w:val="0070C0"/>
          <w:sz w:val="16"/>
          <w:szCs w:val="16"/>
        </w:rPr>
        <w:softHyphen/>
        <w:t>те, дальнейшего продолжения эти опыты не имели (23374).</w:t>
      </w:r>
    </w:p>
    <w:p w14:paraId="7907FA39" w14:textId="77777777" w:rsidR="00855416" w:rsidRPr="00FB4F67" w:rsidRDefault="00855416" w:rsidP="0083075A">
      <w:pPr>
        <w:spacing w:after="0" w:line="240" w:lineRule="auto"/>
        <w:jc w:val="both"/>
        <w:rPr>
          <w:rFonts w:ascii="Times New Roman" w:hAnsi="Times New Roman" w:cs="Times New Roman"/>
          <w:color w:val="0070C0"/>
          <w:sz w:val="16"/>
          <w:szCs w:val="16"/>
        </w:rPr>
      </w:pPr>
    </w:p>
    <w:p w14:paraId="53ECB7A2" w14:textId="325BA202" w:rsidR="009C6F3B" w:rsidRPr="002F2FDF" w:rsidRDefault="009C6F3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весне 1917 года самолет “Торпедо” был готов для полетов. Для испытаний моноплана «Торпедо» создали специальную комиссию под председательством капитана Николая Евграфовича Попова (1878-1929), в состав которой вошли известные в ту пору летчики Сергей Карлович Модрах, Александр Прокофьев-Северский, Слепцов, Альбрехт и другие. С 6 по 20 марта 1917 года комиссия провела всесторонние испытания нового истребителя. В период весенней распутицы полеты производились в Одессе на аэродроме заводчика Артура Антоновича Анатры. Члены комиссии поочередно летали на аппарате, пересаживаясь с переднего сиденья на заднее и наоборот.</w:t>
      </w:r>
    </w:p>
    <w:p w14:paraId="3B4D9938" w14:textId="77777777" w:rsidR="009C6F3B" w:rsidRPr="002F2FDF" w:rsidRDefault="009C6F3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Российскому военному ведомству был представлен подробный и обстоятельный акт.</w:t>
      </w:r>
    </w:p>
    <w:p w14:paraId="2AFBCB3E" w14:textId="77777777" w:rsidR="009C6F3B" w:rsidRPr="002F2FDF" w:rsidRDefault="009C6F3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Максимальная скорость «Торпедо» на высоте 1000 м составляла 168,5 км/ч, на высоте 50 м (т. е. у земли) - 166 км/ч. Высоту 2000 м машина набирала за 8 мин. 30 сек., а высоту 3000 м - за 17 мин. 5 сек. Разбег составлял 82 м, пробег - 58 м. Самолет легко достигал потолка 4300 м. Испытания проводились с нагрузкой 155 кг (пилот и бензин).</w:t>
      </w:r>
    </w:p>
    <w:p w14:paraId="18B0D175" w14:textId="77777777" w:rsidR="009C6F3B" w:rsidRPr="002F2FDF" w:rsidRDefault="009C6F3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Комиссия отмечала, что выбранная схема и конструкция самолета «дает пилоту большое поле зрения», а в целом, «конструкция, по-видимому, вполне солидная и выполнена тщательно». И далее: «Установка двигателя была надежной, охлаждение хорошим». Скорость самолета у земли комиссия нашла «вполне удовлетворительной». Работа пулеметной установки (с правой стороны корпуса вне кабины пилота) оценена удовлетворительно. Механическое приспособление для стрельбы через винт от мотора вполне оригинально, гибким валом» (придумал Ольховский).</w:t>
      </w:r>
    </w:p>
    <w:p w14:paraId="5260375D" w14:textId="77777777" w:rsidR="009C6F3B" w:rsidRPr="002F2FDF" w:rsidRDefault="009C6F3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Синхронизатор должен был «исключить возможность производства выстрела в известном секторе круга, описываемого винтом, причем лопасти винта находились как бы в «мертвом» пространстве. Приспособление работало во все время вращения мотора, оно очень простое, легкое и почти не требовало изменения в самом пулемете. На скорость стрельбы число оборотов мотора почти не влияло. При испытании выпущено две ленты по 250 патронов, причем произошло одно попадание в винт.</w:t>
      </w:r>
    </w:p>
    <w:p w14:paraId="5038DE06" w14:textId="77777777" w:rsidR="009C6F3B" w:rsidRPr="002F2FDF" w:rsidRDefault="009C6F3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всех положительных оценках комиссия, находя «слишком большим» вес машины и ее разбег при взлете, признала самолет Ольховского «в настоящем виде не пригодным для вооружения отрядов». Но «при дальнейшем усовершенствовании и допустимом облегчении самолет будет возможно удовлетворять требованиям самолета-истребителя».</w:t>
      </w:r>
    </w:p>
    <w:p w14:paraId="30AA73F5" w14:textId="77777777" w:rsidR="009C6F3B" w:rsidRPr="002F2FDF" w:rsidRDefault="009C6F3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Моноплан «Торпедо» так и не был принят для серийного производства. Между тем он явился весьма совершенной боевой машиной, в конструкции которой и осуществлены многие принципы, принятые для самолетов этого класса позднее как в России, так и за рубежом. Вес и разбег, напугавшие комиссию, оказались вполне естественными и, как показало дальнейшее развитие истребителей, возрастали непрерывно. Приходится сожалеть, что этот самолет остался в опытном исполнении.</w:t>
      </w:r>
    </w:p>
    <w:p w14:paraId="162F4770" w14:textId="77777777" w:rsidR="009C6F3B" w:rsidRPr="002F2FDF" w:rsidRDefault="009C6F3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заключение следует упомянуть, что Владимир Михайлович Ольховский вплоть до конца 20-х годов, пока следы его жизни и деятельности не исчезли с «легкой руки» ГПУ (еще бы: «царский офицер»), продолжал успешную и плодотворную деятельность авиаконструктора. В 1923-1929 гг. был первым помощником Николая Николаевича Поликарпова в ОПО-1 на заводах № 1 и № 25. Ему принадлежит разработка плоско-выпуклых профилей для крыльев самолетов 2ИН-1 (ДИ-1), У-2, П-2, И-3, ДИ-2, Р-5, И-6, И-7, ТБ-2. Ольховский является одним из первых создателей конструкции деревянного фюзеляжа - монокока в России. Известные самолеты 20-х, 30-х и 40-х гг. 2ИН-1, И-3, ДИ-2, И-6, И-16 и многие другие различных конструкторов имели такие же фюзеляжи, как у самолета «Торпедо» (11918).</w:t>
      </w:r>
    </w:p>
    <w:p w14:paraId="2ED44777" w14:textId="77777777" w:rsidR="009C6F3B" w:rsidRPr="002F2FDF" w:rsidRDefault="009C6F3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AFCF14" w14:textId="77777777" w:rsidR="00DB63D5" w:rsidRPr="002F2FDF" w:rsidRDefault="00DB63D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весне 1917 г. штабс-капитан В. Ольховский построил истребитель собственной конструкции, названный им “Торпедо”. Машина относилась к типу моноплана с двигателем “Рон” мощностью 110 л. с. и была снабжена воздушным винтом системы Ольховского. Это был полый металлический винт диаметром 2,6 м с шагом 2,72 м. Поперечная устойчивость самолета достигалась искривлением крыла. При небольшом размере крыла конструктор довел нагрузку на 1 м2 до 50 кг. Между фюзеляжем и задней кромкой крыла были установлены стеклянные стенки, защищавшие пилота от встречного ветра. “Торпедо” имел неподвижно укрепленную на самолете пулеметную установку для стрельбы через винт. Масса пустой машины с пулеметом и его установкой составляла 500 кг.</w:t>
      </w:r>
    </w:p>
    <w:p w14:paraId="36A7E897" w14:textId="77777777" w:rsidR="00DB63D5" w:rsidRPr="002F2FDF" w:rsidRDefault="00DB63D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испытания самолета была создана специальная комиссия под председательством капитана Попова, в состав которой вошли известные летчики Модрах, Северский, Слепцов, Альбрехт. В период с 6 по 20 марта комиссия провела всесторонние испытания нового истребителя. Военному ведомству был предоставлен весьма подробный и обстоятельный акт. Максимальная скорость полета на высоте 1000.м оказалась равной 168,5 км/ч, скороподъемность на высоту 2000 м составляла 8 мин 30 с, на 3000 м - 17 мин 5 с, разбег - 82 м, пробег - 58 м. Самолет легко достигал потолка 4300 м. Нагрузка при испытаниях 155 кг. Комиссия отметила, что основная схема конструкции дает пилоту “большое поле зрения”, а в целом “конструкция самолета, по-видимому, вполне солидная и выполнена тщательно”.</w:t>
      </w:r>
    </w:p>
    <w:p w14:paraId="6292B6C7" w14:textId="77777777" w:rsidR="00DB63D5" w:rsidRPr="002F2FDF" w:rsidRDefault="00DB63D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Установка двигателя была надежной, охлаждение хорошим, обслуживание самолета и двигателя удобными. Скорость полета у земли (166 км/ч) комиссия нашла “вполне удовлетворительной” 1. Пулеметная установка размещалась с правой стороны корпуса, вне кабины пилота, лента к пулемету подводилась из нижней части </w:t>
      </w:r>
      <w:r w:rsidRPr="002F2FDF">
        <w:rPr>
          <w:rFonts w:ascii="Times New Roman" w:hAnsi="Times New Roman" w:cs="Times New Roman"/>
          <w:color w:val="000000" w:themeColor="text1"/>
          <w:kern w:val="2"/>
          <w:sz w:val="16"/>
          <w:szCs w:val="16"/>
        </w:rPr>
        <w:lastRenderedPageBreak/>
        <w:t>корпуса. Комиссия записала в своем акте, что механическое приспособление для стрельбы через винт от мотора вполне оригинально. Передача гибким валом. Приспособление должно исключать возможность производства выстрела в известном секторе круга, описываемого винтом, причем лопасти винта находятся как бы в мертвом пространстве. Приспособление работает во все время вращения мотора.</w:t>
      </w:r>
    </w:p>
    <w:p w14:paraId="317AECE6" w14:textId="77777777" w:rsidR="00DB63D5" w:rsidRPr="002F2FDF" w:rsidRDefault="00DB63D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Приспособление очень простое, легкое и почти не требует изменений в самом пулемете. На скорость стрельбы число оборотов мотора почти не влияет. При испытании было выпущено две ленты по 250 патронов, причем произошло одно попадание в винт.</w:t>
      </w:r>
    </w:p>
    <w:p w14:paraId="53DF1004" w14:textId="77777777" w:rsidR="00DB63D5" w:rsidRPr="002F2FDF" w:rsidRDefault="00DB63D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Однако комиссия, находя “слишком большой” массу машины и ее разбег при взлете, признала самолет В. М. Ольховского “в настоящем его виде не пригодным для вооружения отрядов”. В то же время комиссия считала, что “при дальнейшем усовершенствовании и допустимом облегчении самолета будет возможно удовлетворять требования самолета-истребителя”. Самолет так и не был принят для серийного производства. Между тем он являлся весьма совершенной боевой машиной, в конструкции которой были осуществлены многие принципы, принятые позже дяя машин этого класса. Масса и разбег, так напугавшие комиссию, были естественными и, как показало дальнейшее развитие истребителей, непрерывно возрастали. Приходится пожалеть, что этот самолет не был принят на вооружение отечественной авиации и остался в опытном образце (9796).</w:t>
      </w:r>
    </w:p>
    <w:p w14:paraId="2F7648D7" w14:textId="77777777" w:rsidR="00DB63D5" w:rsidRPr="002F2FDF" w:rsidRDefault="00DB63D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5130FF" w14:textId="77777777" w:rsidR="001D314A" w:rsidRPr="002F2FDF" w:rsidRDefault="001D314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весне 1917 г. из 300 заказанных двигателей РБВЗ изготовил около 80. Одновременно с получением для нужд эскадры первых двух комплектов двигателей, РБВЗ удалось раздобыть и 10 двигателей французской фирмы «Рено». Это были 12-цилиндровые V-образные двигатели жидкостного охлаждения мощностью 225 л.с., массой около 420 кг каждый. Под них были построены удачные «Муромцы», получившие в серии обозначение Е. Авиационная комиссия Особого совещания по обороне государства признала, что «Илья Муромец» серии Е с четырьмя двигателями «Рено» может быть признан «очень хорошим». Он поднимал 2,5 т полной нагрузки, показал горизонтальную скорость полета 135 км/ч, скороподъемность на высоту 1000 м — 7 мин, на высоту 3000 м — 43 мин, имел запас бомб 750-800 кг и 7 пулеметов. Команда состояла из семи человек, в том числе четыре офицера (23009).</w:t>
      </w:r>
    </w:p>
    <w:p w14:paraId="63D17B01" w14:textId="77777777" w:rsidR="001D314A" w:rsidRPr="002F2FDF" w:rsidRDefault="001D314A" w:rsidP="0083075A">
      <w:pPr>
        <w:spacing w:after="0" w:line="240" w:lineRule="auto"/>
        <w:jc w:val="both"/>
        <w:rPr>
          <w:rFonts w:ascii="Times New Roman" w:hAnsi="Times New Roman" w:cs="Times New Roman"/>
          <w:color w:val="000000" w:themeColor="text1"/>
          <w:sz w:val="16"/>
          <w:szCs w:val="16"/>
        </w:rPr>
      </w:pPr>
    </w:p>
    <w:p w14:paraId="2091AADB" w14:textId="77777777" w:rsidR="00DB63D5" w:rsidRPr="002F2FDF" w:rsidRDefault="00DB63D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весне 1917 г. из 300 заказанных двигателей для Муромцев изготовил около 80. Одновременно с получением для нужд эскадры первых двух комплектов двигателей РБВЗ удалось раздобыть 10 двигателей французской фирмы “Рено”. Это 12-цилиндровые V-образные двигатели жидкостного охлаждения мощностью 225л. с., массой около 420 кг каждый. Под них и были построены весьма удачные корабли серии Е. Позже использовались также английские рядные 6-цилиндровые двигатели жидкостного охлаждения мощностью около 200 л. с. С ними “Муромцы” достигали потолка 4900 м.</w:t>
      </w:r>
    </w:p>
    <w:p w14:paraId="0F5454AD" w14:textId="77777777" w:rsidR="00DB63D5" w:rsidRPr="002F2FDF" w:rsidRDefault="00DB63D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протяжении всех лет двигатели оставались наиболее слабым местом воздушной эскадры. Моторы РБВЗ по существу находились в стадии освоения, что неизбежно было связано с рядом конструктивных изменений, целесообразность которых проверялась в боевых полетах (9705).</w:t>
      </w:r>
    </w:p>
    <w:p w14:paraId="31411E68" w14:textId="77777777" w:rsidR="00DB63D5" w:rsidRPr="002F2FDF" w:rsidRDefault="00DB63D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38400B" w14:textId="77777777" w:rsidR="00DB63D5" w:rsidRPr="002F2FDF" w:rsidRDefault="00DB63D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весне 1917 г. из трехсот заказанных двигателей завод Ильина изготовить около восьмидесяти. На протяжении всей войны двигатели оставались наиболее слабым местом при эксплуатации "Муромцев". Моторы РБЗ-6 по существу находились в стадии освоения, что неизбежно было связано с внесением конструктивных изменений, целесообразность которых проверялась в боевых полетах. </w:t>
      </w:r>
    </w:p>
    <w:p w14:paraId="4AFDABAE" w14:textId="77777777" w:rsidR="00DB63D5" w:rsidRPr="002F2FDF" w:rsidRDefault="00DB63D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C6676A" w14:textId="77777777" w:rsidR="001B6ED4" w:rsidRPr="002F2FDF" w:rsidRDefault="001B6ED4"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К весне 1917 проблемы снабжения все обострялись, отдельной телеграммой даже разослали «разъяснение по категориям: 1 — самолеты в хорошем состоянии, годны отправке на фронт. 2 — самолеты подлежат частичному ремонту в двухнедельный срок. 3 — самолеты подлежат капремонту.» 23 апреля Гортынскому из Увофлота телеграфировали уже по «новой форме»: «Прошу выслать три Фарсаля и девять Ньюпоров-17 в 6-й авиапарк. Ньюпорам добавить установки Льюиса и добавочные приспособления Виккерсу. Самолеты второй категории если ремонт потребует не более двух недель, ремонтировать авиаскладе весьма срочно.» (15464).</w:t>
      </w:r>
    </w:p>
    <w:p w14:paraId="767A1669" w14:textId="77777777" w:rsidR="001B6ED4" w:rsidRPr="002F2FDF" w:rsidRDefault="001B6ED4" w:rsidP="0083075A">
      <w:pPr>
        <w:pStyle w:val="2"/>
        <w:spacing w:before="0" w:beforeAutospacing="0" w:after="0" w:afterAutospacing="0"/>
        <w:jc w:val="both"/>
        <w:rPr>
          <w:b w:val="0"/>
          <w:color w:val="000000" w:themeColor="text1"/>
          <w:kern w:val="2"/>
          <w:sz w:val="16"/>
          <w:szCs w:val="16"/>
        </w:rPr>
      </w:pPr>
    </w:p>
    <w:p w14:paraId="44BAB03B" w14:textId="77777777" w:rsidR="00F02E79" w:rsidRPr="002F2FDF" w:rsidRDefault="00F02E7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4907AB76" w14:textId="77777777" w:rsidR="00F02E79" w:rsidRPr="002F2FDF" w:rsidRDefault="00F02E7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49BA83" w14:textId="77777777" w:rsidR="00634C94" w:rsidRPr="002F2FDF" w:rsidRDefault="00634C94"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К весне 1917 г. постройка металлургических печей и корпусов еще не началась, и было ясно, что казенный завод «не может дать стали к 1 января 1918 г.», тем более что на этом же основании (не пригодится для текущей войны) в апреле 1917 г. Англия отказала в кредите на оборудование для этого завода. В Металлургической секции Комиссии Покровского (по пересмотру плана создания военных заводов) на продолжении постройки Каменского металлургического завода настаивал один только представитель ГАУ. Прочие же организации, как общественные, так и предпринимательские, а также Министерства финансов, путей сообщения полагали, что «теперь же должны быть прекращены все работы, связанные с постройкой этого завода, и воспрещено дальнейшее производство заказов для него»; а когда «изменятся условия и настанет возможность воздвигать в России новые заводы», то и тогда еще пришлось бы вопрос о данном заводе пересмотреть «с точек зрения: целесообразности возобновления постройки, рациональности ее организации и возможного сокращения затрат государственного казначейства».</w:t>
      </w:r>
    </w:p>
    <w:p w14:paraId="15851BF8" w14:textId="77777777" w:rsidR="00634C94" w:rsidRPr="002F2FDF" w:rsidRDefault="00634C94" w:rsidP="0083075A">
      <w:pPr>
        <w:pStyle w:val="p1"/>
        <w:spacing w:before="0" w:beforeAutospacing="0" w:after="0" w:afterAutospacing="0"/>
        <w:jc w:val="both"/>
        <w:rPr>
          <w:color w:val="000000" w:themeColor="text1"/>
          <w:sz w:val="16"/>
          <w:szCs w:val="16"/>
        </w:rPr>
      </w:pPr>
      <w:r w:rsidRPr="002F2FDF">
        <w:rPr>
          <w:color w:val="000000" w:themeColor="text1"/>
          <w:sz w:val="16"/>
          <w:szCs w:val="16"/>
        </w:rPr>
        <w:t>Снарядный отдел завода, соответственно, также вычеркивался из программы, но Снарядная секция Комиссии была настроена менее решительно, «так как попутно возник вопрос о возможной эвакуации… заводов Петрограда; в зависимости от решения этого вопроса может быть внесено то или иное решение о снарядном отделе» (18409).</w:t>
      </w:r>
    </w:p>
    <w:p w14:paraId="2E8EAD8C" w14:textId="77777777" w:rsidR="00634C94" w:rsidRPr="002F2FDF" w:rsidRDefault="00634C94" w:rsidP="0083075A">
      <w:pPr>
        <w:pStyle w:val="p1"/>
        <w:spacing w:before="0" w:beforeAutospacing="0" w:after="0" w:afterAutospacing="0"/>
        <w:jc w:val="both"/>
        <w:rPr>
          <w:color w:val="000000" w:themeColor="text1"/>
          <w:sz w:val="16"/>
          <w:szCs w:val="16"/>
        </w:rPr>
      </w:pPr>
    </w:p>
    <w:p w14:paraId="1B9D39F5" w14:textId="77777777" w:rsidR="00855416" w:rsidRPr="00855416" w:rsidRDefault="00855416" w:rsidP="0083075A">
      <w:pPr>
        <w:spacing w:after="0" w:line="240" w:lineRule="auto"/>
        <w:jc w:val="both"/>
        <w:rPr>
          <w:rFonts w:ascii="Times New Roman" w:hAnsi="Times New Roman" w:cs="Times New Roman"/>
          <w:color w:val="0070C0"/>
          <w:sz w:val="16"/>
          <w:szCs w:val="16"/>
        </w:rPr>
      </w:pPr>
      <w:r w:rsidRPr="00855416">
        <w:rPr>
          <w:rFonts w:ascii="Times New Roman" w:hAnsi="Times New Roman" w:cs="Times New Roman"/>
          <w:color w:val="0070C0"/>
          <w:sz w:val="16"/>
          <w:szCs w:val="16"/>
        </w:rPr>
        <w:t>К весне 1917 г. постройка металлургических печей и корпусов нового Каменского казенного металлургического завода еще не началась, и было ясно, что завод «не мо</w:t>
      </w:r>
      <w:r w:rsidRPr="00855416">
        <w:rPr>
          <w:rFonts w:ascii="Times New Roman" w:hAnsi="Times New Roman" w:cs="Times New Roman"/>
          <w:color w:val="0070C0"/>
          <w:sz w:val="16"/>
          <w:szCs w:val="16"/>
        </w:rPr>
        <w:softHyphen/>
        <w:t>жет дать стали к 1 января 1918 г.», тем более что на этом же основании (не пригодится для текущей войны) в апреле 1917 г. Англия отказала в кредите на оборудование для это</w:t>
      </w:r>
      <w:r w:rsidRPr="00855416">
        <w:rPr>
          <w:rFonts w:ascii="Times New Roman" w:hAnsi="Times New Roman" w:cs="Times New Roman"/>
          <w:color w:val="0070C0"/>
          <w:sz w:val="16"/>
          <w:szCs w:val="16"/>
        </w:rPr>
        <w:softHyphen/>
        <w:t>го завода (Бабичев Д.С. Деятельность Русского правительственного комитета. С. 290). В Металлургической секции Комиссии Покров</w:t>
      </w:r>
      <w:r w:rsidRPr="00855416">
        <w:rPr>
          <w:rFonts w:ascii="Times New Roman" w:hAnsi="Times New Roman" w:cs="Times New Roman"/>
          <w:color w:val="0070C0"/>
          <w:sz w:val="16"/>
          <w:szCs w:val="16"/>
        </w:rPr>
        <w:softHyphen/>
        <w:t>ского (по пересмотру плана создания военных заводов) на продолжении постройки Каменского металлургического завода настаивал один только представитель ГАУ. Прочие же организации, как общественные, так и предпринима</w:t>
      </w:r>
      <w:r w:rsidRPr="00855416">
        <w:rPr>
          <w:rFonts w:ascii="Times New Roman" w:hAnsi="Times New Roman" w:cs="Times New Roman"/>
          <w:color w:val="0070C0"/>
          <w:sz w:val="16"/>
          <w:szCs w:val="16"/>
        </w:rPr>
        <w:softHyphen/>
        <w:t>тельские, а также Министерства финансов, путей сообще</w:t>
      </w:r>
      <w:r w:rsidRPr="00855416">
        <w:rPr>
          <w:rFonts w:ascii="Times New Roman" w:hAnsi="Times New Roman" w:cs="Times New Roman"/>
          <w:color w:val="0070C0"/>
          <w:sz w:val="16"/>
          <w:szCs w:val="16"/>
        </w:rPr>
        <w:softHyphen/>
        <w:t>ния полагали, что «теперь же должны быть прекращены все работы, связанные с постройкой этого завода, и воспреще</w:t>
      </w:r>
      <w:r w:rsidRPr="00855416">
        <w:rPr>
          <w:rFonts w:ascii="Times New Roman" w:hAnsi="Times New Roman" w:cs="Times New Roman"/>
          <w:color w:val="0070C0"/>
          <w:sz w:val="16"/>
          <w:szCs w:val="16"/>
        </w:rPr>
        <w:softHyphen/>
        <w:t>но дальнейшее производство заказов для него»; а когда «из</w:t>
      </w:r>
      <w:r w:rsidRPr="00855416">
        <w:rPr>
          <w:rFonts w:ascii="Times New Roman" w:hAnsi="Times New Roman" w:cs="Times New Roman"/>
          <w:color w:val="0070C0"/>
          <w:sz w:val="16"/>
          <w:szCs w:val="16"/>
        </w:rPr>
        <w:softHyphen/>
        <w:t>менятся условия и настанет возможность воздвигать в Рос</w:t>
      </w:r>
      <w:r w:rsidRPr="00855416">
        <w:rPr>
          <w:rFonts w:ascii="Times New Roman" w:hAnsi="Times New Roman" w:cs="Times New Roman"/>
          <w:color w:val="0070C0"/>
          <w:sz w:val="16"/>
          <w:szCs w:val="16"/>
        </w:rPr>
        <w:softHyphen/>
        <w:t>сии новые заводы», то и тогда еще пришлось бы вопрос о данном заводе пересмотреть «с точек зрения: целесообраз</w:t>
      </w:r>
      <w:r w:rsidRPr="00855416">
        <w:rPr>
          <w:rFonts w:ascii="Times New Roman" w:hAnsi="Times New Roman" w:cs="Times New Roman"/>
          <w:color w:val="0070C0"/>
          <w:sz w:val="16"/>
          <w:szCs w:val="16"/>
        </w:rPr>
        <w:softHyphen/>
        <w:t>ности возобновления постройки, рациональности ее орга</w:t>
      </w:r>
      <w:r w:rsidRPr="00855416">
        <w:rPr>
          <w:rFonts w:ascii="Times New Roman" w:hAnsi="Times New Roman" w:cs="Times New Roman"/>
          <w:color w:val="0070C0"/>
          <w:sz w:val="16"/>
          <w:szCs w:val="16"/>
        </w:rPr>
        <w:softHyphen/>
        <w:t>низации и возможного сокращения затрат государственно</w:t>
      </w:r>
      <w:r w:rsidRPr="00855416">
        <w:rPr>
          <w:rFonts w:ascii="Times New Roman" w:hAnsi="Times New Roman" w:cs="Times New Roman"/>
          <w:color w:val="0070C0"/>
          <w:sz w:val="16"/>
          <w:szCs w:val="16"/>
        </w:rPr>
        <w:softHyphen/>
        <w:t>го казначейства».</w:t>
      </w:r>
    </w:p>
    <w:p w14:paraId="79C5338F" w14:textId="77777777" w:rsidR="00855416" w:rsidRPr="00855416" w:rsidRDefault="00855416" w:rsidP="0083075A">
      <w:pPr>
        <w:spacing w:after="0" w:line="240" w:lineRule="auto"/>
        <w:jc w:val="both"/>
        <w:rPr>
          <w:rFonts w:ascii="Times New Roman" w:hAnsi="Times New Roman" w:cs="Times New Roman"/>
          <w:color w:val="0070C0"/>
          <w:sz w:val="16"/>
          <w:szCs w:val="16"/>
        </w:rPr>
      </w:pPr>
      <w:r w:rsidRPr="00855416">
        <w:rPr>
          <w:rFonts w:ascii="Times New Roman" w:hAnsi="Times New Roman" w:cs="Times New Roman"/>
          <w:color w:val="0070C0"/>
          <w:sz w:val="16"/>
          <w:szCs w:val="16"/>
        </w:rPr>
        <w:t>Снарядный отдел завода, соответственно, также вычер</w:t>
      </w:r>
      <w:r w:rsidRPr="00855416">
        <w:rPr>
          <w:rFonts w:ascii="Times New Roman" w:hAnsi="Times New Roman" w:cs="Times New Roman"/>
          <w:color w:val="0070C0"/>
          <w:sz w:val="16"/>
          <w:szCs w:val="16"/>
        </w:rPr>
        <w:softHyphen/>
        <w:t>кивался из программы, но Снарядная секция Комиссии была настроена менее решительно, «так как попутно воз</w:t>
      </w:r>
      <w:r w:rsidRPr="00855416">
        <w:rPr>
          <w:rFonts w:ascii="Times New Roman" w:hAnsi="Times New Roman" w:cs="Times New Roman"/>
          <w:color w:val="0070C0"/>
          <w:sz w:val="16"/>
          <w:szCs w:val="16"/>
        </w:rPr>
        <w:softHyphen/>
        <w:t>ник вопрос о возможной эвакуации... заводов Петрограда; в зависимости от решения этого вопроса может быть вне</w:t>
      </w:r>
      <w:r w:rsidRPr="00855416">
        <w:rPr>
          <w:rFonts w:ascii="Times New Roman" w:hAnsi="Times New Roman" w:cs="Times New Roman"/>
          <w:color w:val="0070C0"/>
          <w:sz w:val="16"/>
          <w:szCs w:val="16"/>
        </w:rPr>
        <w:softHyphen/>
        <w:t>сено то или иное решение о снарядном отделе».</w:t>
      </w:r>
    </w:p>
    <w:p w14:paraId="1D57E0B3" w14:textId="77777777" w:rsidR="00855416" w:rsidRPr="00855416" w:rsidRDefault="00855416" w:rsidP="0083075A">
      <w:pPr>
        <w:spacing w:after="0" w:line="240" w:lineRule="auto"/>
        <w:jc w:val="both"/>
        <w:rPr>
          <w:rFonts w:ascii="Times New Roman" w:hAnsi="Times New Roman" w:cs="Times New Roman"/>
          <w:color w:val="0070C0"/>
          <w:sz w:val="16"/>
          <w:szCs w:val="16"/>
        </w:rPr>
      </w:pPr>
      <w:r w:rsidRPr="00855416">
        <w:rPr>
          <w:rFonts w:ascii="Times New Roman" w:hAnsi="Times New Roman" w:cs="Times New Roman"/>
          <w:color w:val="0070C0"/>
          <w:sz w:val="16"/>
          <w:szCs w:val="16"/>
        </w:rPr>
        <w:t>Решение о предпочтении казенного производства снаря</w:t>
      </w:r>
      <w:r w:rsidRPr="00855416">
        <w:rPr>
          <w:rFonts w:ascii="Times New Roman" w:hAnsi="Times New Roman" w:cs="Times New Roman"/>
          <w:color w:val="0070C0"/>
          <w:sz w:val="16"/>
          <w:szCs w:val="16"/>
        </w:rPr>
        <w:softHyphen/>
        <w:t>дов — частному не имело характера изолированной, эпизо</w:t>
      </w:r>
      <w:r w:rsidRPr="00855416">
        <w:rPr>
          <w:rFonts w:ascii="Times New Roman" w:hAnsi="Times New Roman" w:cs="Times New Roman"/>
          <w:color w:val="0070C0"/>
          <w:sz w:val="16"/>
          <w:szCs w:val="16"/>
        </w:rPr>
        <w:softHyphen/>
        <w:t>дической меры. Не говоря уже о развертывании снарядного производства на заводах горного и морского ведомств, одно</w:t>
      </w:r>
      <w:r w:rsidRPr="00855416">
        <w:rPr>
          <w:rFonts w:ascii="Times New Roman" w:hAnsi="Times New Roman" w:cs="Times New Roman"/>
          <w:color w:val="0070C0"/>
          <w:sz w:val="16"/>
          <w:szCs w:val="16"/>
        </w:rPr>
        <w:softHyphen/>
        <w:t>временно из него вытеснялись частные предприниматели. К маю 1916 г. перестал существовать частный снарядный за</w:t>
      </w:r>
      <w:r w:rsidRPr="00855416">
        <w:rPr>
          <w:rFonts w:ascii="Times New Roman" w:hAnsi="Times New Roman" w:cs="Times New Roman"/>
          <w:color w:val="0070C0"/>
          <w:sz w:val="16"/>
          <w:szCs w:val="16"/>
        </w:rPr>
        <w:softHyphen/>
        <w:t>вод «Саламандра»: оборудование его было реквизировано для казенных нужд. То же случилось с токарными станками Люберецкого завода сельскохозяйственных машин, вывезен</w:t>
      </w:r>
      <w:r w:rsidRPr="00855416">
        <w:rPr>
          <w:rFonts w:ascii="Times New Roman" w:hAnsi="Times New Roman" w:cs="Times New Roman"/>
          <w:color w:val="0070C0"/>
          <w:sz w:val="16"/>
          <w:szCs w:val="16"/>
        </w:rPr>
        <w:softHyphen/>
        <w:t>ными из него на казенные снарядные заводы (РГВИА. Ф. 13251. Оп. 28. Д. 1. Л. 19 об.-20. Журнал 28.IV.1917; При этом, по заключению Н.Ф. Чарновского, понесло ущерб и само военное производство, так как в результате «другие, более значи</w:t>
      </w:r>
      <w:r w:rsidRPr="00855416">
        <w:rPr>
          <w:rFonts w:ascii="Times New Roman" w:hAnsi="Times New Roman" w:cs="Times New Roman"/>
          <w:color w:val="0070C0"/>
          <w:sz w:val="16"/>
          <w:szCs w:val="16"/>
        </w:rPr>
        <w:softHyphen/>
        <w:t>тельные части оборудования этого специального завода оставались на</w:t>
      </w:r>
      <w:r w:rsidRPr="00855416">
        <w:rPr>
          <w:rFonts w:ascii="Times New Roman" w:hAnsi="Times New Roman" w:cs="Times New Roman"/>
          <w:color w:val="0070C0"/>
          <w:sz w:val="16"/>
          <w:szCs w:val="16"/>
        </w:rPr>
        <w:softHyphen/>
        <w:t>долго почти без использования» (Народное хозяйство в 1916 г. Пг., 1921. Вып. 4. С. 53)). Стало, по су</w:t>
      </w:r>
      <w:r w:rsidRPr="00855416">
        <w:rPr>
          <w:rFonts w:ascii="Times New Roman" w:hAnsi="Times New Roman" w:cs="Times New Roman"/>
          <w:color w:val="0070C0"/>
          <w:sz w:val="16"/>
          <w:szCs w:val="16"/>
        </w:rPr>
        <w:softHyphen/>
        <w:t>ществу, казенным изготовление снарядов и на Путиловском заводе — одном из главных поставщиков снарядов (секвестр был наложен на него 27 февраля). 21 мая 1916 г. Шуваев ут</w:t>
      </w:r>
      <w:r w:rsidRPr="00855416">
        <w:rPr>
          <w:rFonts w:ascii="Times New Roman" w:hAnsi="Times New Roman" w:cs="Times New Roman"/>
          <w:color w:val="0070C0"/>
          <w:sz w:val="16"/>
          <w:szCs w:val="16"/>
        </w:rPr>
        <w:softHyphen/>
        <w:t>вердил решение о ликвидации так называемого Гранатного комитета, объединявшего группу предприятий во главе с Путиловским заводом, Русско-Азиатским банком и фран</w:t>
      </w:r>
      <w:r w:rsidRPr="00855416">
        <w:rPr>
          <w:rFonts w:ascii="Times New Roman" w:hAnsi="Times New Roman" w:cs="Times New Roman"/>
          <w:color w:val="0070C0"/>
          <w:sz w:val="16"/>
          <w:szCs w:val="16"/>
        </w:rPr>
        <w:softHyphen/>
        <w:t>цузской фирмой «Шнейдер» (Гранатный комитет при создании его в июле 1915 г. получил ка</w:t>
      </w:r>
      <w:r w:rsidRPr="00855416">
        <w:rPr>
          <w:rFonts w:ascii="Times New Roman" w:hAnsi="Times New Roman" w:cs="Times New Roman"/>
          <w:color w:val="0070C0"/>
          <w:sz w:val="16"/>
          <w:szCs w:val="16"/>
        </w:rPr>
        <w:softHyphen/>
        <w:t>зенный заказ на 113 млн руб. (Крупина Т.Д. Политический кризис 1915 г. и создание Особого совещания по обороне // Исторические записки. 1969. Т. 83. С. 66). Позднее с участниками этого объединения договоры были перезаключены — с понижением цен). Устроенные по «обществен</w:t>
      </w:r>
      <w:r w:rsidRPr="00855416">
        <w:rPr>
          <w:rFonts w:ascii="Times New Roman" w:hAnsi="Times New Roman" w:cs="Times New Roman"/>
          <w:color w:val="0070C0"/>
          <w:sz w:val="16"/>
          <w:szCs w:val="16"/>
        </w:rPr>
        <w:softHyphen/>
        <w:t>ной» инициативе снарядные заводы (Демиевский под Кие</w:t>
      </w:r>
      <w:r w:rsidRPr="00855416">
        <w:rPr>
          <w:rFonts w:ascii="Times New Roman" w:hAnsi="Times New Roman" w:cs="Times New Roman"/>
          <w:color w:val="0070C0"/>
          <w:sz w:val="16"/>
          <w:szCs w:val="16"/>
        </w:rPr>
        <w:softHyphen/>
        <w:t>вом, бакинский, завод Земского и Городского союзов в Подольске) с окончанием войны и ликвидацией предприя</w:t>
      </w:r>
      <w:r w:rsidRPr="00855416">
        <w:rPr>
          <w:rFonts w:ascii="Times New Roman" w:hAnsi="Times New Roman" w:cs="Times New Roman"/>
          <w:color w:val="0070C0"/>
          <w:sz w:val="16"/>
          <w:szCs w:val="16"/>
        </w:rPr>
        <w:softHyphen/>
        <w:t>тий Земгора тоже должны были отойти к казне (23452).</w:t>
      </w:r>
    </w:p>
    <w:p w14:paraId="4F53EE4C" w14:textId="77777777" w:rsidR="00855416" w:rsidRPr="00FB4F67" w:rsidRDefault="00855416" w:rsidP="0083075A">
      <w:pPr>
        <w:spacing w:after="0" w:line="240" w:lineRule="auto"/>
        <w:jc w:val="both"/>
        <w:rPr>
          <w:rFonts w:ascii="Times New Roman" w:hAnsi="Times New Roman" w:cs="Times New Roman"/>
          <w:color w:val="0070C0"/>
          <w:sz w:val="16"/>
          <w:szCs w:val="16"/>
        </w:rPr>
      </w:pPr>
    </w:p>
    <w:p w14:paraId="32A48D08" w14:textId="77777777" w:rsidR="009C6F3B"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DC33615" w14:textId="77777777" w:rsidR="009C6F3B" w:rsidRPr="002F2FDF" w:rsidRDefault="009C6F3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38F9B3" w14:textId="77777777" w:rsidR="000D7EED" w:rsidRPr="002F2FDF" w:rsidRDefault="000D7EED"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весне 1917 г. в “Наставлении боевых действий” — для Воздуш</w:t>
      </w:r>
      <w:r w:rsidRPr="002F2FDF">
        <w:rPr>
          <w:rFonts w:ascii="Times New Roman" w:hAnsi="Times New Roman" w:cs="Times New Roman"/>
          <w:color w:val="000000" w:themeColor="text1"/>
          <w:kern w:val="2"/>
          <w:sz w:val="16"/>
          <w:szCs w:val="16"/>
        </w:rPr>
        <w:softHyphen/>
        <w:t>ной дивизии Балтийского моря закрепили, что предназначение М-9 нести регулярную прибрежную разведку на дистанции до 30-40 миль, тогда как более дальние вылеты носили исключительный характер. Во время прибрежного патрулирования и атак наземных объектов “девятки” нуждались в истребительном прикрытии, а участие в воздушных боях принимали : только в целях самообороны. На Чер</w:t>
      </w:r>
      <w:r w:rsidRPr="002F2FDF">
        <w:rPr>
          <w:rFonts w:ascii="Times New Roman" w:hAnsi="Times New Roman" w:cs="Times New Roman"/>
          <w:color w:val="000000" w:themeColor="text1"/>
          <w:kern w:val="2"/>
          <w:sz w:val="16"/>
          <w:szCs w:val="16"/>
        </w:rPr>
        <w:softHyphen/>
        <w:t>ном море они нашли основное примене</w:t>
      </w:r>
      <w:r w:rsidRPr="002F2FDF">
        <w:rPr>
          <w:rFonts w:ascii="Times New Roman" w:hAnsi="Times New Roman" w:cs="Times New Roman"/>
          <w:color w:val="000000" w:themeColor="text1"/>
          <w:kern w:val="2"/>
          <w:sz w:val="16"/>
          <w:szCs w:val="16"/>
        </w:rPr>
        <w:softHyphen/>
        <w:t>ние в корабельной авиации (вначале, как мы помним, отвергнутые ею), а пре</w:t>
      </w:r>
      <w:r w:rsidRPr="002F2FDF">
        <w:rPr>
          <w:rFonts w:ascii="Times New Roman" w:hAnsi="Times New Roman" w:cs="Times New Roman"/>
          <w:color w:val="000000" w:themeColor="text1"/>
          <w:kern w:val="2"/>
          <w:sz w:val="16"/>
          <w:szCs w:val="16"/>
        </w:rPr>
        <w:softHyphen/>
        <w:t>тензии к ним тамошних авиаторов и ко</w:t>
      </w:r>
      <w:r w:rsidRPr="002F2FDF">
        <w:rPr>
          <w:rFonts w:ascii="Times New Roman" w:hAnsi="Times New Roman" w:cs="Times New Roman"/>
          <w:color w:val="000000" w:themeColor="text1"/>
          <w:kern w:val="2"/>
          <w:sz w:val="16"/>
          <w:szCs w:val="16"/>
        </w:rPr>
        <w:softHyphen/>
        <w:t>мандования уже излагались выше. Един</w:t>
      </w:r>
      <w:r w:rsidRPr="002F2FDF">
        <w:rPr>
          <w:rFonts w:ascii="Times New Roman" w:hAnsi="Times New Roman" w:cs="Times New Roman"/>
          <w:color w:val="000000" w:themeColor="text1"/>
          <w:kern w:val="2"/>
          <w:sz w:val="16"/>
          <w:szCs w:val="16"/>
        </w:rPr>
        <w:softHyphen/>
        <w:t>ственное действительно значительное преимущество М-9 перед легкими гид</w:t>
      </w:r>
      <w:r w:rsidRPr="002F2FDF">
        <w:rPr>
          <w:rFonts w:ascii="Times New Roman" w:hAnsi="Times New Roman" w:cs="Times New Roman"/>
          <w:color w:val="000000" w:themeColor="text1"/>
          <w:kern w:val="2"/>
          <w:sz w:val="16"/>
          <w:szCs w:val="16"/>
        </w:rPr>
        <w:softHyphen/>
        <w:t>роаэропланами —их относительно боль</w:t>
      </w:r>
      <w:r w:rsidRPr="002F2FDF">
        <w:rPr>
          <w:rFonts w:ascii="Times New Roman" w:hAnsi="Times New Roman" w:cs="Times New Roman"/>
          <w:color w:val="000000" w:themeColor="text1"/>
          <w:kern w:val="2"/>
          <w:sz w:val="16"/>
          <w:szCs w:val="16"/>
        </w:rPr>
        <w:softHyphen/>
        <w:t>шая грузоподъемность, постепенно те</w:t>
      </w:r>
      <w:r w:rsidRPr="002F2FDF">
        <w:rPr>
          <w:rFonts w:ascii="Times New Roman" w:hAnsi="Times New Roman" w:cs="Times New Roman"/>
          <w:color w:val="000000" w:themeColor="text1"/>
          <w:kern w:val="2"/>
          <w:sz w:val="16"/>
          <w:szCs w:val="16"/>
        </w:rPr>
        <w:softHyphen/>
        <w:t>рялось из-за ухудшения качества сбор</w:t>
      </w:r>
      <w:r w:rsidRPr="002F2FDF">
        <w:rPr>
          <w:rFonts w:ascii="Times New Roman" w:hAnsi="Times New Roman" w:cs="Times New Roman"/>
          <w:color w:val="000000" w:themeColor="text1"/>
          <w:kern w:val="2"/>
          <w:sz w:val="16"/>
          <w:szCs w:val="16"/>
        </w:rPr>
        <w:softHyphen/>
        <w:t>ки, и в результате модель становилась дорогостоящим, но малоэффективным и неясного предначертания средством ведения воздушной войны на море. По сути, тип оказался своеобразным памятником неразре</w:t>
      </w:r>
      <w:r w:rsidRPr="002F2FDF">
        <w:rPr>
          <w:rFonts w:ascii="Times New Roman" w:hAnsi="Times New Roman" w:cs="Times New Roman"/>
          <w:color w:val="000000" w:themeColor="text1"/>
          <w:kern w:val="2"/>
          <w:sz w:val="16"/>
          <w:szCs w:val="16"/>
        </w:rPr>
        <w:softHyphen/>
        <w:t>шенному вопросу о месте, роли и задачах флотского аэроплана, точкой в поисках универсальной маши</w:t>
      </w:r>
      <w:r w:rsidRPr="002F2FDF">
        <w:rPr>
          <w:rFonts w:ascii="Times New Roman" w:hAnsi="Times New Roman" w:cs="Times New Roman"/>
          <w:color w:val="000000" w:themeColor="text1"/>
          <w:kern w:val="2"/>
          <w:sz w:val="16"/>
          <w:szCs w:val="16"/>
        </w:rPr>
        <w:softHyphen/>
        <w:t>ны, одинаково хорошей во всех ипостасях. С апреля 1916 г. и по октябрь 1917 г. военно-морские силы приобрели по крайней мере 212 летающих лодок типа М-9, служивших на Черном море (не менее 102 аппаратов, плюс запасные), на Балтике (не менее 86, плюс запасные) и в школах (не менее 5). Таким образом, общий парк данной модели оказался самым многочисленным среди всех прочих (2807).</w:t>
      </w:r>
    </w:p>
    <w:p w14:paraId="7FCFFF19" w14:textId="77777777" w:rsidR="000D7EED" w:rsidRPr="002F2FDF" w:rsidRDefault="000D7EED"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5C1EB8" w14:textId="77777777" w:rsidR="00855416" w:rsidRPr="00FB4F67" w:rsidRDefault="00855416" w:rsidP="0083075A">
      <w:pPr>
        <w:spacing w:after="0" w:line="240" w:lineRule="auto"/>
        <w:jc w:val="both"/>
        <w:rPr>
          <w:rFonts w:ascii="Times New Roman" w:hAnsi="Times New Roman" w:cs="Times New Roman"/>
          <w:color w:val="0070C0"/>
          <w:sz w:val="16"/>
          <w:szCs w:val="16"/>
        </w:rPr>
      </w:pPr>
      <w:bookmarkStart w:id="54" w:name="bookmark790"/>
      <w:bookmarkStart w:id="55" w:name="bookmark791"/>
      <w:r w:rsidRPr="00FB4F67">
        <w:rPr>
          <w:rFonts w:ascii="Times New Roman" w:hAnsi="Times New Roman" w:cs="Times New Roman"/>
          <w:color w:val="0070C0"/>
          <w:sz w:val="16"/>
          <w:szCs w:val="16"/>
        </w:rPr>
        <w:lastRenderedPageBreak/>
        <w:t>К марту 1917 г. основу зенитной артиллерии 3-й армии, прикрывавшей Полоцкое направление на правом фланге Западного фронта, составляли 3, 5, 29, 30, 46 и 49-я позиционные противосамолетные батареи. К маю к ним были добавлены еще девять зенитных подразделений, сформированные на базе Сводного артиллерийского дивизиона, прикрывавшего г. Минск (23405).</w:t>
      </w:r>
      <w:bookmarkEnd w:id="54"/>
      <w:bookmarkEnd w:id="55"/>
    </w:p>
    <w:p w14:paraId="34134C51" w14:textId="77777777" w:rsidR="00855416" w:rsidRPr="00FB4F67" w:rsidRDefault="00855416" w:rsidP="0083075A">
      <w:pPr>
        <w:spacing w:after="0" w:line="240" w:lineRule="auto"/>
        <w:jc w:val="both"/>
        <w:rPr>
          <w:rFonts w:ascii="Times New Roman" w:hAnsi="Times New Roman" w:cs="Times New Roman"/>
          <w:color w:val="0070C0"/>
          <w:sz w:val="16"/>
          <w:szCs w:val="16"/>
        </w:rPr>
      </w:pPr>
    </w:p>
    <w:p w14:paraId="771FF9E9" w14:textId="32D53888" w:rsidR="006B0222" w:rsidRPr="002F2FDF" w:rsidRDefault="006B0222" w:rsidP="0083075A">
      <w:pPr>
        <w:spacing w:after="0" w:line="240" w:lineRule="auto"/>
        <w:jc w:val="both"/>
        <w:rPr>
          <w:rFonts w:ascii="Times New Roman" w:eastAsia="Times New Roman" w:hAnsi="Times New Roman" w:cs="Times New Roman"/>
          <w:i/>
          <w:iCs/>
          <w:color w:val="000000" w:themeColor="text1"/>
          <w:kern w:val="2"/>
          <w:sz w:val="16"/>
          <w:szCs w:val="16"/>
          <w:lang w:eastAsia="ru-RU"/>
        </w:rPr>
      </w:pPr>
      <w:r w:rsidRPr="002F2FDF">
        <w:rPr>
          <w:rFonts w:ascii="Times New Roman" w:eastAsia="Times New Roman" w:hAnsi="Times New Roman" w:cs="Times New Roman"/>
          <w:i/>
          <w:iCs/>
          <w:color w:val="000000" w:themeColor="text1"/>
          <w:kern w:val="2"/>
          <w:sz w:val="16"/>
          <w:szCs w:val="16"/>
          <w:lang w:eastAsia="ru-RU"/>
        </w:rPr>
        <w:t>За рубежом:</w:t>
      </w:r>
    </w:p>
    <w:p w14:paraId="536E98C7" w14:textId="77777777" w:rsidR="006B0222" w:rsidRPr="002F2FDF" w:rsidRDefault="006B0222" w:rsidP="0083075A">
      <w:pPr>
        <w:spacing w:after="0" w:line="240" w:lineRule="auto"/>
        <w:jc w:val="both"/>
        <w:rPr>
          <w:rFonts w:ascii="Times New Roman" w:eastAsia="Times New Roman" w:hAnsi="Times New Roman" w:cs="Times New Roman"/>
          <w:i/>
          <w:iCs/>
          <w:color w:val="000000" w:themeColor="text1"/>
          <w:kern w:val="2"/>
          <w:sz w:val="16"/>
          <w:szCs w:val="16"/>
          <w:lang w:eastAsia="ru-RU"/>
        </w:rPr>
      </w:pPr>
    </w:p>
    <w:p w14:paraId="155A5F42" w14:textId="77777777" w:rsidR="006B0222" w:rsidRPr="002F2FDF" w:rsidRDefault="006B022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весне 1917 г. на заводе «Сопвич» был начат серийный выпуск самолета «Кэмел», и первые машины были готовы уже в марте. Но заказчик потребовал отдать их на повторные испытания для проверки устранения дефектов, поставки в части пошли только с 7 мая, а на фронт первый «Кэмел» прибыл 4 июня — его получила 4-я эскадрилья Авиационной службы Королевского флота — RNAS (22789).</w:t>
      </w:r>
    </w:p>
    <w:p w14:paraId="7EC2E1B9" w14:textId="77777777" w:rsidR="006B0222" w:rsidRPr="002F2FDF" w:rsidRDefault="006B0222" w:rsidP="0083075A">
      <w:pPr>
        <w:spacing w:after="0" w:line="240" w:lineRule="auto"/>
        <w:jc w:val="both"/>
        <w:rPr>
          <w:rFonts w:ascii="Times New Roman" w:eastAsia="Times New Roman" w:hAnsi="Times New Roman" w:cs="Times New Roman"/>
          <w:color w:val="000000" w:themeColor="text1"/>
          <w:kern w:val="2"/>
          <w:sz w:val="16"/>
          <w:szCs w:val="16"/>
          <w:lang w:eastAsia="ru-RU"/>
        </w:rPr>
      </w:pPr>
    </w:p>
    <w:p w14:paraId="00718001" w14:textId="77777777" w:rsidR="00855416" w:rsidRPr="002F2FDF" w:rsidRDefault="00855416"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К весне 1917 года германское правительство приблизилось к исчерпанию мобилизационных ресурсов — весьма ограниченных, в отличие от Антанты с её огромными колониальными владениями. Практически вся германская промышленность к 1917 году была переведена на военные рельсы, причём правительство было вынуждено вернуть с фронта 125 тыс. рабочих. Распространились разнообразные суррогаты («</w:t>
      </w:r>
      <w:hyperlink r:id="rId49" w:tooltip="Эрзац" w:history="1">
        <w:r w:rsidRPr="002F2FDF">
          <w:rPr>
            <w:rFonts w:ascii="Times New Roman" w:eastAsia="Times New Roman" w:hAnsi="Times New Roman" w:cs="Times New Roman"/>
            <w:color w:val="000000" w:themeColor="text1"/>
            <w:kern w:val="2"/>
            <w:sz w:val="16"/>
            <w:szCs w:val="16"/>
            <w:lang w:eastAsia="ru-RU"/>
          </w:rPr>
          <w:t>эрзац</w:t>
        </w:r>
      </w:hyperlink>
      <w:r w:rsidRPr="002F2FDF">
        <w:rPr>
          <w:rFonts w:ascii="Times New Roman" w:eastAsia="Times New Roman" w:hAnsi="Times New Roman" w:cs="Times New Roman"/>
          <w:color w:val="000000" w:themeColor="text1"/>
          <w:kern w:val="2"/>
          <w:sz w:val="16"/>
          <w:szCs w:val="16"/>
          <w:lang w:eastAsia="ru-RU"/>
        </w:rPr>
        <w:t>»), а уже зима 1916/1917 годов вошла в германскую историю как «брюквенная зима», в ходе которой, по некоторым источникам, умерло от голода до 700 тыс. чел.</w:t>
      </w:r>
    </w:p>
    <w:p w14:paraId="1D484ED4" w14:textId="48EA4A39" w:rsidR="00855416" w:rsidRPr="002F2FDF" w:rsidRDefault="00855416"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К зиме 1917/1918 годов положение Центральных держав стало ещё хуже. Недельные нормы потребления по карточкам составляли: картофеля — 3,3 кг, хлеба — 1,8 кг, мяса — 240 граммов, жиров — 70-90 граммов. Затягивание мирных переговоров и ухудшение продовольственной ситуации в Германии и Австро-Венгрии привело к резкому росту забастовочного движения, которое в Австро-Венгрии переросло во всеобщую забастовку. В ряде районов начали появляться первые Советы по российскому образцу. Лишь 9</w:t>
      </w:r>
      <w:r w:rsidR="00E52569">
        <w:rPr>
          <w:rFonts w:ascii="Times New Roman" w:eastAsia="Times New Roman" w:hAnsi="Times New Roman" w:cs="Times New Roman"/>
          <w:color w:val="000000" w:themeColor="text1"/>
          <w:kern w:val="2"/>
          <w:sz w:val="16"/>
          <w:szCs w:val="16"/>
          <w:lang w:eastAsia="ru-RU"/>
        </w:rPr>
        <w:t xml:space="preserve"> </w:t>
      </w:r>
      <w:hyperlink r:id="rId50" w:tooltip="22 января" w:history="1">
        <w:r w:rsidRPr="002F2FDF">
          <w:rPr>
            <w:rFonts w:ascii="Times New Roman" w:eastAsia="Times New Roman" w:hAnsi="Times New Roman" w:cs="Times New Roman"/>
            <w:color w:val="000000" w:themeColor="text1"/>
            <w:kern w:val="2"/>
            <w:sz w:val="16"/>
            <w:szCs w:val="16"/>
            <w:lang w:eastAsia="ru-RU"/>
          </w:rPr>
          <w:t>(22)</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января</w:t>
        </w:r>
      </w:hyperlink>
      <w:r w:rsidRPr="002F2FDF">
        <w:rPr>
          <w:rFonts w:ascii="Times New Roman" w:eastAsia="Times New Roman" w:hAnsi="Times New Roman" w:cs="Times New Roman"/>
          <w:color w:val="000000" w:themeColor="text1"/>
          <w:kern w:val="2"/>
          <w:sz w:val="16"/>
          <w:szCs w:val="16"/>
          <w:lang w:eastAsia="ru-RU"/>
        </w:rPr>
        <w:t>, получив от правительства обещания подписать мир с Россией и улучшить продовольственную ситуацию, стачечники возобновили работу. 15</w:t>
      </w:r>
      <w:r w:rsidR="00E52569">
        <w:rPr>
          <w:rFonts w:ascii="Times New Roman" w:eastAsia="Times New Roman" w:hAnsi="Times New Roman" w:cs="Times New Roman"/>
          <w:color w:val="000000" w:themeColor="text1"/>
          <w:kern w:val="2"/>
          <w:sz w:val="16"/>
          <w:szCs w:val="16"/>
          <w:lang w:eastAsia="ru-RU"/>
        </w:rPr>
        <w:t xml:space="preserve"> </w:t>
      </w:r>
      <w:hyperlink r:id="rId51" w:tooltip="28 января" w:history="1">
        <w:r w:rsidRPr="002F2FDF">
          <w:rPr>
            <w:rFonts w:ascii="Times New Roman" w:eastAsia="Times New Roman" w:hAnsi="Times New Roman" w:cs="Times New Roman"/>
            <w:color w:val="000000" w:themeColor="text1"/>
            <w:kern w:val="2"/>
            <w:sz w:val="16"/>
            <w:szCs w:val="16"/>
            <w:lang w:eastAsia="ru-RU"/>
          </w:rPr>
          <w:t>(28)</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января</w:t>
        </w:r>
      </w:hyperlink>
      <w:r w:rsidRPr="002F2FDF">
        <w:rPr>
          <w:rFonts w:ascii="Times New Roman" w:eastAsia="Times New Roman" w:hAnsi="Times New Roman" w:cs="Times New Roman"/>
          <w:color w:val="000000" w:themeColor="text1"/>
          <w:kern w:val="2"/>
          <w:sz w:val="16"/>
          <w:szCs w:val="16"/>
          <w:lang w:eastAsia="ru-RU"/>
        </w:rPr>
        <w:t xml:space="preserve"> забастовки парализовали берлинскую оборонную промышленность, быстро охватили другие отрасли производства и распространились по всей стране. Центром стачечного движения был Берлин, где, согласно официальным сообщениям, бастовало около полумиллиона рабочих. Как и в Австро-Венгрии, в Германии были образованы Советы, требовавшие в первую очередь заключения мира и установления республики (17035).</w:t>
      </w:r>
    </w:p>
    <w:p w14:paraId="7A04D1C9" w14:textId="77777777" w:rsidR="00855416" w:rsidRPr="002F2FDF" w:rsidRDefault="00855416" w:rsidP="0083075A">
      <w:pPr>
        <w:spacing w:after="0" w:line="240" w:lineRule="auto"/>
        <w:jc w:val="both"/>
        <w:rPr>
          <w:rFonts w:ascii="Times New Roman" w:eastAsia="Times New Roman" w:hAnsi="Times New Roman" w:cs="Times New Roman"/>
          <w:color w:val="000000" w:themeColor="text1"/>
          <w:kern w:val="2"/>
          <w:sz w:val="16"/>
          <w:szCs w:val="16"/>
          <w:lang w:eastAsia="ru-RU"/>
        </w:rPr>
      </w:pPr>
    </w:p>
    <w:p w14:paraId="52298E5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F46C5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89839D" w14:textId="77777777" w:rsidR="003D072A" w:rsidRPr="002F2FDF" w:rsidRDefault="003D072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(14) марта 1917 года Начальник авиации фронтов, по сути дела Главнокомандующий ВВС России, Великий князь Александр Михайлович писал своему сыну: «Мой друг Дмитрий! Временное правительство находит, что Великие князья не могут при настоящих обстоятельствах оставаться на командных должностях, и я принуждён был, как и другие, подать в отставку. Как вы понимаете, мне невыразимо тяжело покидать пост, на котором состоял 31 месяц. Я так слился с авиационным делом, полюбил лётчиков как своих родных детей, и вот как раз теперь, во время полного брожения умов, когда именно моё руководительство делом столь необходимо, мне не позволяют служить. Оскорбительно и больно» (20112).</w:t>
      </w:r>
    </w:p>
    <w:p w14:paraId="658B2042" w14:textId="77777777" w:rsidR="003D072A" w:rsidRPr="002F2FDF" w:rsidRDefault="003D072A" w:rsidP="0083075A">
      <w:pPr>
        <w:spacing w:after="0" w:line="240" w:lineRule="auto"/>
        <w:jc w:val="both"/>
        <w:rPr>
          <w:rFonts w:ascii="Times New Roman" w:hAnsi="Times New Roman" w:cs="Times New Roman"/>
          <w:color w:val="000000" w:themeColor="text1"/>
          <w:sz w:val="16"/>
          <w:szCs w:val="16"/>
        </w:rPr>
      </w:pPr>
    </w:p>
    <w:p w14:paraId="790DB9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1 (14) марта 1917 по данным Отдела по устройству и службе войск, состояние воздушного флота к началу войны и на 1 марта 1917: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2B1C74" w:rsidRPr="002F2FDF" w14:paraId="6979AFB2" w14:textId="77777777">
        <w:tc>
          <w:tcPr>
            <w:tcW w:w="3757" w:type="dxa"/>
          </w:tcPr>
          <w:p w14:paraId="1E8214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Авиарот (в 1917 парков)</w:t>
            </w:r>
          </w:p>
        </w:tc>
        <w:tc>
          <w:tcPr>
            <w:tcW w:w="3757" w:type="dxa"/>
          </w:tcPr>
          <w:p w14:paraId="7F5E08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3757" w:type="dxa"/>
          </w:tcPr>
          <w:p w14:paraId="55744B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r>
      <w:tr w:rsidR="002B1C74" w:rsidRPr="002F2FDF" w14:paraId="63377DD9" w14:textId="77777777">
        <w:tc>
          <w:tcPr>
            <w:tcW w:w="3757" w:type="dxa"/>
          </w:tcPr>
          <w:p w14:paraId="7C5640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Авиаотрядов</w:t>
            </w:r>
          </w:p>
        </w:tc>
        <w:tc>
          <w:tcPr>
            <w:tcW w:w="3757" w:type="dxa"/>
          </w:tcPr>
          <w:p w14:paraId="140817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w:t>
            </w:r>
          </w:p>
        </w:tc>
        <w:tc>
          <w:tcPr>
            <w:tcW w:w="3757" w:type="dxa"/>
          </w:tcPr>
          <w:p w14:paraId="1575CC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w:t>
            </w:r>
          </w:p>
        </w:tc>
      </w:tr>
      <w:tr w:rsidR="002B1C74" w:rsidRPr="002F2FDF" w14:paraId="560A515E" w14:textId="77777777">
        <w:tc>
          <w:tcPr>
            <w:tcW w:w="3757" w:type="dxa"/>
          </w:tcPr>
          <w:p w14:paraId="62E3CD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Авиадивизионов</w:t>
            </w:r>
          </w:p>
        </w:tc>
        <w:tc>
          <w:tcPr>
            <w:tcW w:w="3757" w:type="dxa"/>
          </w:tcPr>
          <w:p w14:paraId="584A59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3757" w:type="dxa"/>
          </w:tcPr>
          <w:p w14:paraId="3751BE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r>
      <w:tr w:rsidR="002B1C74" w:rsidRPr="002F2FDF" w14:paraId="6BE4F8AB" w14:textId="77777777">
        <w:tc>
          <w:tcPr>
            <w:tcW w:w="3757" w:type="dxa"/>
          </w:tcPr>
          <w:p w14:paraId="64E076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Летчиков</w:t>
            </w:r>
          </w:p>
        </w:tc>
        <w:tc>
          <w:tcPr>
            <w:tcW w:w="3757" w:type="dxa"/>
          </w:tcPr>
          <w:p w14:paraId="1221FC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129</w:t>
            </w:r>
          </w:p>
        </w:tc>
        <w:tc>
          <w:tcPr>
            <w:tcW w:w="3757" w:type="dxa"/>
          </w:tcPr>
          <w:p w14:paraId="3CD253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701</w:t>
            </w:r>
          </w:p>
        </w:tc>
      </w:tr>
      <w:tr w:rsidR="002B1C74" w:rsidRPr="002F2FDF" w14:paraId="5363415D" w14:textId="77777777">
        <w:tc>
          <w:tcPr>
            <w:tcW w:w="3757" w:type="dxa"/>
          </w:tcPr>
          <w:p w14:paraId="4A24B0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Наблюдателей</w:t>
            </w:r>
          </w:p>
        </w:tc>
        <w:tc>
          <w:tcPr>
            <w:tcW w:w="3757" w:type="dxa"/>
          </w:tcPr>
          <w:p w14:paraId="7C89A7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3757" w:type="dxa"/>
          </w:tcPr>
          <w:p w14:paraId="47F9C0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294</w:t>
            </w:r>
          </w:p>
        </w:tc>
      </w:tr>
      <w:tr w:rsidR="002B1C74" w:rsidRPr="002F2FDF" w14:paraId="160E646A" w14:textId="77777777">
        <w:tc>
          <w:tcPr>
            <w:tcW w:w="3757" w:type="dxa"/>
          </w:tcPr>
          <w:p w14:paraId="21CF63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Самолетов</w:t>
            </w:r>
          </w:p>
        </w:tc>
        <w:tc>
          <w:tcPr>
            <w:tcW w:w="3757" w:type="dxa"/>
          </w:tcPr>
          <w:p w14:paraId="2C2AFF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263</w:t>
            </w:r>
          </w:p>
        </w:tc>
        <w:tc>
          <w:tcPr>
            <w:tcW w:w="3757" w:type="dxa"/>
          </w:tcPr>
          <w:p w14:paraId="08894A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1039</w:t>
            </w:r>
          </w:p>
        </w:tc>
      </w:tr>
      <w:tr w:rsidR="002B1C74" w:rsidRPr="002F2FDF" w14:paraId="0B1C46B0" w14:textId="77777777">
        <w:tc>
          <w:tcPr>
            <w:tcW w:w="3757" w:type="dxa"/>
          </w:tcPr>
          <w:p w14:paraId="412EF9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Убыль за время войны</w:t>
            </w:r>
          </w:p>
        </w:tc>
        <w:tc>
          <w:tcPr>
            <w:tcW w:w="3757" w:type="dxa"/>
          </w:tcPr>
          <w:p w14:paraId="421ABF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174347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275</w:t>
            </w:r>
          </w:p>
        </w:tc>
      </w:tr>
      <w:tr w:rsidR="002B1C74" w:rsidRPr="002F2FDF" w14:paraId="0C6C4279" w14:textId="77777777">
        <w:tc>
          <w:tcPr>
            <w:tcW w:w="3757" w:type="dxa"/>
          </w:tcPr>
          <w:p w14:paraId="56D081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Исправных самолетов на фронтах</w:t>
            </w:r>
          </w:p>
        </w:tc>
        <w:tc>
          <w:tcPr>
            <w:tcW w:w="3757" w:type="dxa"/>
          </w:tcPr>
          <w:p w14:paraId="17FEB1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20E501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545</w:t>
            </w:r>
          </w:p>
        </w:tc>
      </w:tr>
      <w:tr w:rsidR="002B1C74" w:rsidRPr="002F2FDF" w14:paraId="34EAD42E" w14:textId="77777777">
        <w:tc>
          <w:tcPr>
            <w:tcW w:w="3757" w:type="dxa"/>
          </w:tcPr>
          <w:p w14:paraId="303EC4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Ньюпоры всех типов</w:t>
            </w:r>
          </w:p>
        </w:tc>
        <w:tc>
          <w:tcPr>
            <w:tcW w:w="3757" w:type="dxa"/>
          </w:tcPr>
          <w:p w14:paraId="731359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48530B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139</w:t>
            </w:r>
          </w:p>
        </w:tc>
      </w:tr>
      <w:tr w:rsidR="002B1C74" w:rsidRPr="002F2FDF" w14:paraId="57F8345A" w14:textId="77777777">
        <w:tc>
          <w:tcPr>
            <w:tcW w:w="3757" w:type="dxa"/>
          </w:tcPr>
          <w:p w14:paraId="2FDAB2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Фарманы типа Ф-27,30, Морис-Ф</w:t>
            </w:r>
          </w:p>
        </w:tc>
        <w:tc>
          <w:tcPr>
            <w:tcW w:w="3757" w:type="dxa"/>
          </w:tcPr>
          <w:p w14:paraId="73F6A8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58BCA4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w:t>
            </w:r>
          </w:p>
        </w:tc>
      </w:tr>
      <w:tr w:rsidR="002B1C74" w:rsidRPr="002F2FDF" w14:paraId="042211AA" w14:textId="77777777">
        <w:tc>
          <w:tcPr>
            <w:tcW w:w="3757" w:type="dxa"/>
          </w:tcPr>
          <w:p w14:paraId="67FD4F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Вуазенов всех типов</w:t>
            </w:r>
          </w:p>
        </w:tc>
        <w:tc>
          <w:tcPr>
            <w:tcW w:w="3757" w:type="dxa"/>
          </w:tcPr>
          <w:p w14:paraId="7BE8E6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30ECB6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116</w:t>
            </w:r>
          </w:p>
        </w:tc>
      </w:tr>
      <w:tr w:rsidR="002B1C74" w:rsidRPr="002F2FDF" w14:paraId="369A6AE2" w14:textId="77777777">
        <w:tc>
          <w:tcPr>
            <w:tcW w:w="3757" w:type="dxa"/>
          </w:tcPr>
          <w:p w14:paraId="2A0C4C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Моранов парасолей</w:t>
            </w:r>
          </w:p>
        </w:tc>
        <w:tc>
          <w:tcPr>
            <w:tcW w:w="3757" w:type="dxa"/>
          </w:tcPr>
          <w:p w14:paraId="34F1B8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383A7B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w:t>
            </w:r>
          </w:p>
        </w:tc>
      </w:tr>
      <w:tr w:rsidR="002B1C74" w:rsidRPr="002F2FDF" w14:paraId="70F588F0" w14:textId="77777777">
        <w:tc>
          <w:tcPr>
            <w:tcW w:w="3757" w:type="dxa"/>
          </w:tcPr>
          <w:p w14:paraId="5D0335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Анаде</w:t>
            </w:r>
          </w:p>
        </w:tc>
        <w:tc>
          <w:tcPr>
            <w:tcW w:w="3757" w:type="dxa"/>
          </w:tcPr>
          <w:p w14:paraId="5F234C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682BBC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r>
      <w:tr w:rsidR="002B1C74" w:rsidRPr="002F2FDF" w14:paraId="0565ECA7" w14:textId="77777777">
        <w:tc>
          <w:tcPr>
            <w:tcW w:w="3757" w:type="dxa"/>
          </w:tcPr>
          <w:p w14:paraId="169341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Спадов</w:t>
            </w:r>
          </w:p>
        </w:tc>
        <w:tc>
          <w:tcPr>
            <w:tcW w:w="3757" w:type="dxa"/>
          </w:tcPr>
          <w:p w14:paraId="2A55A3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328077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w:t>
            </w:r>
          </w:p>
        </w:tc>
      </w:tr>
      <w:tr w:rsidR="002B1C74" w:rsidRPr="002F2FDF" w14:paraId="1F8FE624" w14:textId="77777777">
        <w:tc>
          <w:tcPr>
            <w:tcW w:w="3757" w:type="dxa"/>
          </w:tcPr>
          <w:p w14:paraId="32346B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Лебедей</w:t>
            </w:r>
          </w:p>
        </w:tc>
        <w:tc>
          <w:tcPr>
            <w:tcW w:w="3757" w:type="dxa"/>
          </w:tcPr>
          <w:p w14:paraId="2015AD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7A9E22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w:t>
            </w:r>
          </w:p>
        </w:tc>
      </w:tr>
      <w:tr w:rsidR="00474654" w:rsidRPr="002F2FDF" w14:paraId="69FCB555" w14:textId="77777777">
        <w:tc>
          <w:tcPr>
            <w:tcW w:w="3757" w:type="dxa"/>
          </w:tcPr>
          <w:p w14:paraId="6E7CB5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Прочих</w:t>
            </w:r>
          </w:p>
        </w:tc>
        <w:tc>
          <w:tcPr>
            <w:tcW w:w="3757" w:type="dxa"/>
          </w:tcPr>
          <w:p w14:paraId="41530D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2A2BB6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 (3624)</w:t>
            </w:r>
          </w:p>
        </w:tc>
      </w:tr>
    </w:tbl>
    <w:p w14:paraId="1EC55B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447399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1 (14) марта 1917 г. состояние воздушного флота к началу войны и к 1 марта 1917 по данным Отделе по устройству и службе войск, представлено вследующем виде: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880"/>
        <w:gridCol w:w="1880"/>
      </w:tblGrid>
      <w:tr w:rsidR="002B1C74" w:rsidRPr="002F2FDF" w14:paraId="1FE9500C" w14:textId="77777777">
        <w:tc>
          <w:tcPr>
            <w:tcW w:w="3369" w:type="dxa"/>
            <w:tcBorders>
              <w:top w:val="single" w:sz="12" w:space="0" w:color="auto"/>
            </w:tcBorders>
          </w:tcPr>
          <w:p w14:paraId="0B784B5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880" w:type="dxa"/>
            <w:tcBorders>
              <w:top w:val="single" w:sz="12" w:space="0" w:color="auto"/>
            </w:tcBorders>
          </w:tcPr>
          <w:p w14:paraId="20EE1B8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войны</w:t>
            </w:r>
          </w:p>
        </w:tc>
        <w:tc>
          <w:tcPr>
            <w:tcW w:w="1880" w:type="dxa"/>
            <w:tcBorders>
              <w:top w:val="single" w:sz="12" w:space="0" w:color="auto"/>
            </w:tcBorders>
          </w:tcPr>
          <w:p w14:paraId="69A2A6E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1 марта 1917</w:t>
            </w:r>
          </w:p>
        </w:tc>
      </w:tr>
      <w:tr w:rsidR="002B1C74" w:rsidRPr="002F2FDF" w14:paraId="58F62763" w14:textId="77777777">
        <w:tc>
          <w:tcPr>
            <w:tcW w:w="3369" w:type="dxa"/>
          </w:tcPr>
          <w:p w14:paraId="54B0A05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Авиационных рот, ныне парков</w:t>
            </w:r>
          </w:p>
        </w:tc>
        <w:tc>
          <w:tcPr>
            <w:tcW w:w="1880" w:type="dxa"/>
          </w:tcPr>
          <w:p w14:paraId="170339F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1880" w:type="dxa"/>
          </w:tcPr>
          <w:p w14:paraId="71D379D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r>
      <w:tr w:rsidR="002B1C74" w:rsidRPr="002F2FDF" w14:paraId="7B4D5EC8" w14:textId="77777777">
        <w:tc>
          <w:tcPr>
            <w:tcW w:w="3369" w:type="dxa"/>
          </w:tcPr>
          <w:p w14:paraId="7651EB9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Авиационных отрядов</w:t>
            </w:r>
          </w:p>
        </w:tc>
        <w:tc>
          <w:tcPr>
            <w:tcW w:w="1880" w:type="dxa"/>
          </w:tcPr>
          <w:p w14:paraId="3FC7C58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w:t>
            </w:r>
          </w:p>
        </w:tc>
        <w:tc>
          <w:tcPr>
            <w:tcW w:w="1880" w:type="dxa"/>
          </w:tcPr>
          <w:p w14:paraId="6DF2164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w:t>
            </w:r>
          </w:p>
        </w:tc>
      </w:tr>
      <w:tr w:rsidR="002B1C74" w:rsidRPr="002F2FDF" w14:paraId="698F9130" w14:textId="77777777">
        <w:tc>
          <w:tcPr>
            <w:tcW w:w="3369" w:type="dxa"/>
          </w:tcPr>
          <w:p w14:paraId="623A197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Ааиационных дивизионов</w:t>
            </w:r>
          </w:p>
        </w:tc>
        <w:tc>
          <w:tcPr>
            <w:tcW w:w="1880" w:type="dxa"/>
          </w:tcPr>
          <w:p w14:paraId="69EFB8F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880" w:type="dxa"/>
          </w:tcPr>
          <w:p w14:paraId="2C984B5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r>
      <w:tr w:rsidR="002B1C74" w:rsidRPr="002F2FDF" w14:paraId="60E6B74B" w14:textId="77777777">
        <w:tc>
          <w:tcPr>
            <w:tcW w:w="3369" w:type="dxa"/>
          </w:tcPr>
          <w:p w14:paraId="43C1C1F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Авиационных баз</w:t>
            </w:r>
          </w:p>
        </w:tc>
        <w:tc>
          <w:tcPr>
            <w:tcW w:w="1880" w:type="dxa"/>
          </w:tcPr>
          <w:p w14:paraId="7B3A1CC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880" w:type="dxa"/>
          </w:tcPr>
          <w:p w14:paraId="7F6F038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r>
      <w:tr w:rsidR="002B1C74" w:rsidRPr="002F2FDF" w14:paraId="16A65654" w14:textId="77777777">
        <w:tc>
          <w:tcPr>
            <w:tcW w:w="3369" w:type="dxa"/>
          </w:tcPr>
          <w:p w14:paraId="0E12981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Летчиков</w:t>
            </w:r>
          </w:p>
        </w:tc>
        <w:tc>
          <w:tcPr>
            <w:tcW w:w="1880" w:type="dxa"/>
          </w:tcPr>
          <w:p w14:paraId="7A611D5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129</w:t>
            </w:r>
          </w:p>
        </w:tc>
        <w:tc>
          <w:tcPr>
            <w:tcW w:w="1880" w:type="dxa"/>
          </w:tcPr>
          <w:p w14:paraId="7AAE956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791</w:t>
            </w:r>
          </w:p>
        </w:tc>
      </w:tr>
      <w:tr w:rsidR="002B1C74" w:rsidRPr="002F2FDF" w14:paraId="4C5E24B4" w14:textId="77777777">
        <w:tc>
          <w:tcPr>
            <w:tcW w:w="3369" w:type="dxa"/>
          </w:tcPr>
          <w:p w14:paraId="064A9A2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Наблюдателей</w:t>
            </w:r>
          </w:p>
        </w:tc>
        <w:tc>
          <w:tcPr>
            <w:tcW w:w="1880" w:type="dxa"/>
          </w:tcPr>
          <w:p w14:paraId="77078DA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1880" w:type="dxa"/>
          </w:tcPr>
          <w:p w14:paraId="77D1F2D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294</w:t>
            </w:r>
          </w:p>
        </w:tc>
      </w:tr>
      <w:tr w:rsidR="002B1C74" w:rsidRPr="002F2FDF" w14:paraId="09C35635" w14:textId="77777777">
        <w:tc>
          <w:tcPr>
            <w:tcW w:w="3369" w:type="dxa"/>
          </w:tcPr>
          <w:p w14:paraId="52B2FE4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Самолетов</w:t>
            </w:r>
          </w:p>
        </w:tc>
        <w:tc>
          <w:tcPr>
            <w:tcW w:w="1880" w:type="dxa"/>
          </w:tcPr>
          <w:p w14:paraId="37D2EC4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263</w:t>
            </w:r>
          </w:p>
        </w:tc>
        <w:tc>
          <w:tcPr>
            <w:tcW w:w="1880" w:type="dxa"/>
          </w:tcPr>
          <w:p w14:paraId="31BF0F8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1038</w:t>
            </w:r>
          </w:p>
        </w:tc>
      </w:tr>
      <w:tr w:rsidR="002B1C74" w:rsidRPr="002F2FDF" w14:paraId="37546690" w14:textId="77777777">
        <w:tc>
          <w:tcPr>
            <w:tcW w:w="3369" w:type="dxa"/>
          </w:tcPr>
          <w:p w14:paraId="25CEF08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Воздухоплавательных парков</w:t>
            </w:r>
          </w:p>
        </w:tc>
        <w:tc>
          <w:tcPr>
            <w:tcW w:w="1880" w:type="dxa"/>
          </w:tcPr>
          <w:p w14:paraId="0EEDD9D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880" w:type="dxa"/>
          </w:tcPr>
          <w:p w14:paraId="55C9BC9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r>
      <w:tr w:rsidR="002B1C74" w:rsidRPr="002F2FDF" w14:paraId="0FA4C5AD" w14:textId="77777777">
        <w:tc>
          <w:tcPr>
            <w:tcW w:w="3369" w:type="dxa"/>
          </w:tcPr>
          <w:p w14:paraId="3BEF724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Воздухоплавательных отрядов.</w:t>
            </w:r>
          </w:p>
        </w:tc>
        <w:tc>
          <w:tcPr>
            <w:tcW w:w="1880" w:type="dxa"/>
          </w:tcPr>
          <w:p w14:paraId="6BFF46E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880" w:type="dxa"/>
          </w:tcPr>
          <w:p w14:paraId="3B5038E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w:t>
            </w:r>
          </w:p>
        </w:tc>
      </w:tr>
      <w:tr w:rsidR="002B1C74" w:rsidRPr="002F2FDF" w14:paraId="50F11320" w14:textId="77777777">
        <w:tc>
          <w:tcPr>
            <w:tcW w:w="3369" w:type="dxa"/>
          </w:tcPr>
          <w:p w14:paraId="3F402EB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Воздухоплавательных рот</w:t>
            </w:r>
          </w:p>
        </w:tc>
        <w:tc>
          <w:tcPr>
            <w:tcW w:w="1880" w:type="dxa"/>
          </w:tcPr>
          <w:p w14:paraId="1C4C735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c>
          <w:tcPr>
            <w:tcW w:w="1880" w:type="dxa"/>
          </w:tcPr>
          <w:p w14:paraId="3BF213D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r>
      <w:tr w:rsidR="002B1C74" w:rsidRPr="002F2FDF" w14:paraId="0AC831E9" w14:textId="77777777">
        <w:tc>
          <w:tcPr>
            <w:tcW w:w="3369" w:type="dxa"/>
          </w:tcPr>
          <w:p w14:paraId="4B77868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Воздухоплавательных дивизионов</w:t>
            </w:r>
          </w:p>
        </w:tc>
        <w:tc>
          <w:tcPr>
            <w:tcW w:w="1880" w:type="dxa"/>
          </w:tcPr>
          <w:p w14:paraId="43716D1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880" w:type="dxa"/>
          </w:tcPr>
          <w:p w14:paraId="717403F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w:t>
            </w:r>
          </w:p>
        </w:tc>
      </w:tr>
      <w:tr w:rsidR="002B1C74" w:rsidRPr="002F2FDF" w14:paraId="130D5F73" w14:textId="77777777">
        <w:tc>
          <w:tcPr>
            <w:tcW w:w="3369" w:type="dxa"/>
          </w:tcPr>
          <w:p w14:paraId="3D2F66C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Поездов-мастерских</w:t>
            </w:r>
          </w:p>
        </w:tc>
        <w:tc>
          <w:tcPr>
            <w:tcW w:w="1880" w:type="dxa"/>
          </w:tcPr>
          <w:p w14:paraId="5E869D6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880" w:type="dxa"/>
          </w:tcPr>
          <w:p w14:paraId="6D528D8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r>
      <w:tr w:rsidR="002B1C74" w:rsidRPr="002F2FDF" w14:paraId="0C6E11D2" w14:textId="77777777">
        <w:tc>
          <w:tcPr>
            <w:tcW w:w="3369" w:type="dxa"/>
          </w:tcPr>
          <w:p w14:paraId="031370C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Военно метеорологических станций</w:t>
            </w:r>
          </w:p>
        </w:tc>
        <w:tc>
          <w:tcPr>
            <w:tcW w:w="1880" w:type="dxa"/>
          </w:tcPr>
          <w:p w14:paraId="1BD97BE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880" w:type="dxa"/>
          </w:tcPr>
          <w:p w14:paraId="0171F91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w:t>
            </w:r>
          </w:p>
        </w:tc>
      </w:tr>
      <w:tr w:rsidR="002B1C74" w:rsidRPr="002F2FDF" w14:paraId="59302D94" w14:textId="77777777">
        <w:tc>
          <w:tcPr>
            <w:tcW w:w="3369" w:type="dxa"/>
          </w:tcPr>
          <w:p w14:paraId="75AE61A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Аэронавигационных станций</w:t>
            </w:r>
          </w:p>
        </w:tc>
        <w:tc>
          <w:tcPr>
            <w:tcW w:w="1880" w:type="dxa"/>
          </w:tcPr>
          <w:p w14:paraId="3DE644F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880" w:type="dxa"/>
          </w:tcPr>
          <w:p w14:paraId="45F1680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w:t>
            </w:r>
          </w:p>
        </w:tc>
      </w:tr>
      <w:tr w:rsidR="002B1C74" w:rsidRPr="002F2FDF" w14:paraId="3275EF67" w14:textId="77777777">
        <w:tc>
          <w:tcPr>
            <w:tcW w:w="3369" w:type="dxa"/>
          </w:tcPr>
          <w:p w14:paraId="2851759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Аэрофотографических парков</w:t>
            </w:r>
          </w:p>
        </w:tc>
        <w:tc>
          <w:tcPr>
            <w:tcW w:w="1880" w:type="dxa"/>
          </w:tcPr>
          <w:p w14:paraId="5818C7C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880" w:type="dxa"/>
          </w:tcPr>
          <w:p w14:paraId="49B4A6F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r>
      <w:tr w:rsidR="002B1C74" w:rsidRPr="002F2FDF" w14:paraId="7F17D154" w14:textId="77777777">
        <w:tc>
          <w:tcPr>
            <w:tcW w:w="3369" w:type="dxa"/>
          </w:tcPr>
          <w:p w14:paraId="716E198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Авиационных школ</w:t>
            </w:r>
          </w:p>
        </w:tc>
        <w:tc>
          <w:tcPr>
            <w:tcW w:w="1880" w:type="dxa"/>
          </w:tcPr>
          <w:p w14:paraId="27D7664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1880" w:type="dxa"/>
          </w:tcPr>
          <w:p w14:paraId="0D7C92C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r>
      <w:tr w:rsidR="002B1C74" w:rsidRPr="002F2FDF" w14:paraId="468F7B4B" w14:textId="77777777">
        <w:tc>
          <w:tcPr>
            <w:tcW w:w="3369" w:type="dxa"/>
            <w:tcBorders>
              <w:bottom w:val="single" w:sz="12" w:space="0" w:color="auto"/>
            </w:tcBorders>
          </w:tcPr>
          <w:p w14:paraId="4FC6791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Школ летчиков-наблюдателей</w:t>
            </w:r>
          </w:p>
        </w:tc>
        <w:tc>
          <w:tcPr>
            <w:tcW w:w="1880" w:type="dxa"/>
            <w:tcBorders>
              <w:bottom w:val="single" w:sz="12" w:space="0" w:color="auto"/>
            </w:tcBorders>
          </w:tcPr>
          <w:p w14:paraId="0C1FCDF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880" w:type="dxa"/>
            <w:tcBorders>
              <w:bottom w:val="single" w:sz="12" w:space="0" w:color="auto"/>
            </w:tcBorders>
          </w:tcPr>
          <w:p w14:paraId="3B2CF3B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r>
    </w:tbl>
    <w:p w14:paraId="0979B9B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Кроме того, за период войны созданье Управление ВВФ, ввиэционно-приемочнэя комиссия, заграничная авиационная комис</w:t>
      </w:r>
      <w:r w:rsidRPr="002F2FDF">
        <w:rPr>
          <w:rFonts w:ascii="Times New Roman" w:hAnsi="Times New Roman" w:cs="Times New Roman"/>
          <w:color w:val="000000" w:themeColor="text1"/>
          <w:kern w:val="2"/>
          <w:sz w:val="16"/>
          <w:szCs w:val="16"/>
        </w:rPr>
        <w:softHyphen/>
        <w:t>сия, Главное метеорологическое управление, Центральная аэро</w:t>
      </w:r>
      <w:r w:rsidRPr="002F2FDF">
        <w:rPr>
          <w:rFonts w:ascii="Times New Roman" w:hAnsi="Times New Roman" w:cs="Times New Roman"/>
          <w:color w:val="000000" w:themeColor="text1"/>
          <w:kern w:val="2"/>
          <w:sz w:val="16"/>
          <w:szCs w:val="16"/>
        </w:rPr>
        <w:softHyphen/>
        <w:t>навигационная станция, управления инспекторов ВВФ, управления боевых авиационных групп при армиях фронта, фотограммет</w:t>
      </w:r>
      <w:r w:rsidRPr="002F2FDF">
        <w:rPr>
          <w:rFonts w:ascii="Times New Roman" w:hAnsi="Times New Roman" w:cs="Times New Roman"/>
          <w:color w:val="000000" w:themeColor="text1"/>
          <w:kern w:val="2"/>
          <w:sz w:val="16"/>
          <w:szCs w:val="16"/>
        </w:rPr>
        <w:softHyphen/>
        <w:t>рические курсы и школа подготовки роенных топографов при ээрофотогре' зеком парке.</w:t>
      </w:r>
    </w:p>
    <w:p w14:paraId="1DD6C10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Убыль за время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559"/>
        <w:gridCol w:w="1559"/>
        <w:gridCol w:w="1418"/>
      </w:tblGrid>
      <w:tr w:rsidR="002B1C74" w:rsidRPr="002F2FDF" w14:paraId="26B766FC" w14:textId="77777777">
        <w:tc>
          <w:tcPr>
            <w:tcW w:w="2802" w:type="dxa"/>
            <w:tcBorders>
              <w:top w:val="single" w:sz="12" w:space="0" w:color="auto"/>
            </w:tcBorders>
          </w:tcPr>
          <w:p w14:paraId="52B7123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559" w:type="dxa"/>
            <w:tcBorders>
              <w:top w:val="single" w:sz="12" w:space="0" w:color="auto"/>
            </w:tcBorders>
          </w:tcPr>
          <w:p w14:paraId="5441989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офицеров</w:t>
            </w:r>
          </w:p>
        </w:tc>
        <w:tc>
          <w:tcPr>
            <w:tcW w:w="1559" w:type="dxa"/>
            <w:tcBorders>
              <w:top w:val="single" w:sz="12" w:space="0" w:color="auto"/>
            </w:tcBorders>
          </w:tcPr>
          <w:p w14:paraId="738710C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солдат</w:t>
            </w:r>
          </w:p>
        </w:tc>
        <w:tc>
          <w:tcPr>
            <w:tcW w:w="1418" w:type="dxa"/>
            <w:tcBorders>
              <w:top w:val="single" w:sz="12" w:space="0" w:color="auto"/>
            </w:tcBorders>
          </w:tcPr>
          <w:p w14:paraId="1F9B5FD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наблюдателей</w:t>
            </w:r>
          </w:p>
        </w:tc>
      </w:tr>
      <w:tr w:rsidR="002B1C74" w:rsidRPr="002F2FDF" w14:paraId="384A502A" w14:textId="77777777">
        <w:tc>
          <w:tcPr>
            <w:tcW w:w="2802" w:type="dxa"/>
          </w:tcPr>
          <w:p w14:paraId="64F6A2C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Погибло в боевых полетах</w:t>
            </w:r>
          </w:p>
        </w:tc>
        <w:tc>
          <w:tcPr>
            <w:tcW w:w="1559" w:type="dxa"/>
          </w:tcPr>
          <w:p w14:paraId="64CF358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1559" w:type="dxa"/>
          </w:tcPr>
          <w:p w14:paraId="7C44A32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1418" w:type="dxa"/>
          </w:tcPr>
          <w:p w14:paraId="7034E53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w:t>
            </w:r>
          </w:p>
        </w:tc>
      </w:tr>
      <w:tr w:rsidR="002B1C74" w:rsidRPr="002F2FDF" w14:paraId="161E0B9F" w14:textId="77777777">
        <w:tc>
          <w:tcPr>
            <w:tcW w:w="2802" w:type="dxa"/>
          </w:tcPr>
          <w:p w14:paraId="15F2255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Погибло при авариях</w:t>
            </w:r>
          </w:p>
        </w:tc>
        <w:tc>
          <w:tcPr>
            <w:tcW w:w="1559" w:type="dxa"/>
          </w:tcPr>
          <w:p w14:paraId="05902CE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1559" w:type="dxa"/>
          </w:tcPr>
          <w:p w14:paraId="0717D57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w:t>
            </w:r>
          </w:p>
        </w:tc>
        <w:tc>
          <w:tcPr>
            <w:tcW w:w="1418" w:type="dxa"/>
          </w:tcPr>
          <w:p w14:paraId="3865028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w:t>
            </w:r>
          </w:p>
        </w:tc>
      </w:tr>
      <w:tr w:rsidR="002B1C74" w:rsidRPr="002F2FDF" w14:paraId="766E5E0B" w14:textId="77777777">
        <w:tc>
          <w:tcPr>
            <w:tcW w:w="2802" w:type="dxa"/>
          </w:tcPr>
          <w:p w14:paraId="19B096C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Попало в плен и пропало без всести:</w:t>
            </w:r>
          </w:p>
        </w:tc>
        <w:tc>
          <w:tcPr>
            <w:tcW w:w="1559" w:type="dxa"/>
          </w:tcPr>
          <w:p w14:paraId="2695E74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w:t>
            </w:r>
          </w:p>
        </w:tc>
        <w:tc>
          <w:tcPr>
            <w:tcW w:w="1559" w:type="dxa"/>
          </w:tcPr>
          <w:p w14:paraId="5FD5659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w:t>
            </w:r>
          </w:p>
        </w:tc>
        <w:tc>
          <w:tcPr>
            <w:tcW w:w="1418" w:type="dxa"/>
          </w:tcPr>
          <w:p w14:paraId="18A7BF9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w:t>
            </w:r>
          </w:p>
        </w:tc>
      </w:tr>
      <w:tr w:rsidR="002B1C74" w:rsidRPr="002F2FDF" w14:paraId="0BE16608" w14:textId="77777777">
        <w:tc>
          <w:tcPr>
            <w:tcW w:w="2802" w:type="dxa"/>
          </w:tcPr>
          <w:p w14:paraId="031AC9C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Погибло в авиашколах</w:t>
            </w:r>
          </w:p>
        </w:tc>
        <w:tc>
          <w:tcPr>
            <w:tcW w:w="1559" w:type="dxa"/>
          </w:tcPr>
          <w:p w14:paraId="35BC966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w:t>
            </w:r>
          </w:p>
        </w:tc>
        <w:tc>
          <w:tcPr>
            <w:tcW w:w="1559" w:type="dxa"/>
          </w:tcPr>
          <w:p w14:paraId="1EE32B4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c>
          <w:tcPr>
            <w:tcW w:w="1418" w:type="dxa"/>
          </w:tcPr>
          <w:p w14:paraId="0C008B0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19A91795" w14:textId="77777777">
        <w:tc>
          <w:tcPr>
            <w:tcW w:w="2802" w:type="dxa"/>
            <w:tcBorders>
              <w:bottom w:val="single" w:sz="12" w:space="0" w:color="auto"/>
            </w:tcBorders>
          </w:tcPr>
          <w:p w14:paraId="6113EB0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Погибло летавших пассажирами</w:t>
            </w:r>
          </w:p>
        </w:tc>
        <w:tc>
          <w:tcPr>
            <w:tcW w:w="1559" w:type="dxa"/>
            <w:tcBorders>
              <w:bottom w:val="single" w:sz="12" w:space="0" w:color="auto"/>
            </w:tcBorders>
          </w:tcPr>
          <w:p w14:paraId="542BD57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559" w:type="dxa"/>
            <w:tcBorders>
              <w:bottom w:val="single" w:sz="12" w:space="0" w:color="auto"/>
            </w:tcBorders>
          </w:tcPr>
          <w:p w14:paraId="30A8137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c>
          <w:tcPr>
            <w:tcW w:w="1418" w:type="dxa"/>
            <w:tcBorders>
              <w:bottom w:val="single" w:sz="12" w:space="0" w:color="auto"/>
            </w:tcBorders>
          </w:tcPr>
          <w:p w14:paraId="3B00682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bl>
    <w:p w14:paraId="06FA806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Попало в плен и пропало без вести летавших пассажирами 10 солдат. Всего из летно-технического состава погибло 275 человек.</w:t>
      </w:r>
    </w:p>
    <w:p w14:paraId="531DB28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всех авиашколах на 1 марта обучалось 294 офицера и 420 солдат и переучивалось 12 летчиков. Кроме того, 22 офицера и 100 солдат обучались в Англии.</w:t>
      </w:r>
    </w:p>
    <w:p w14:paraId="3556080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Исправных самолетов на всех фронтах было 545, из них на Северном - 105, Западном - 112, Юго-Западном - 222, Ру</w:t>
      </w:r>
      <w:r w:rsidRPr="002F2FDF">
        <w:rPr>
          <w:rFonts w:ascii="Times New Roman" w:hAnsi="Times New Roman" w:cs="Times New Roman"/>
          <w:color w:val="000000" w:themeColor="text1"/>
          <w:kern w:val="2"/>
          <w:sz w:val="16"/>
          <w:szCs w:val="16"/>
        </w:rPr>
        <w:softHyphen/>
        <w:t>мынском - 83, Кавказском - 23. Это были: "Нъюпоры" разных типов - 139, "Фармэны" типов Ф-27, Ф-30, "Морис Фэрмэн"-90, "Вуазены" разных типов - 116, "Моран-пэрэсолей" - 66, "Анэде" - 40, "Спады" - 37, "Лебеди" - 13, прочие сэмолеты-44. (ЦГВИА. ф.2003, оп.1, Д.1224, лл.215,225)*</w:t>
      </w:r>
    </w:p>
    <w:p w14:paraId="407FF15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5A011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 (14) марта 1917 г. Армия царской России имела на вооружении всего около 1200 исправных самолетов (318).</w:t>
      </w:r>
    </w:p>
    <w:p w14:paraId="22E917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CACBB5" w14:textId="77777777" w:rsidR="00481E1E" w:rsidRPr="00FB4F67" w:rsidRDefault="00481E1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1 (14) марта 1917 г. 51 российский летчик и наблюдатель был награжден орденом Святого Георгия 4-й степени; еще семьдесят шесть офицеров получили Георгиевские мечи. К 14 января 1917 г. 120 летчиков-солдат получили Георгиевский крест 4-й степени; девяносто один держал 3-й и 4-й Кресты; сорок восемь имели кресты 2-й, 3-й и 4-й степени; с двадцатью тремя держателями всех четырех классов (23525).</w:t>
      </w:r>
    </w:p>
    <w:p w14:paraId="1CF5ABA2" w14:textId="77777777" w:rsidR="00481E1E" w:rsidRPr="00FB4F67" w:rsidRDefault="00481E1E" w:rsidP="0083075A">
      <w:pPr>
        <w:spacing w:after="0" w:line="240" w:lineRule="auto"/>
        <w:jc w:val="both"/>
        <w:rPr>
          <w:rFonts w:ascii="Times New Roman" w:hAnsi="Times New Roman" w:cs="Times New Roman"/>
          <w:color w:val="0070C0"/>
          <w:sz w:val="16"/>
          <w:szCs w:val="16"/>
        </w:rPr>
      </w:pPr>
    </w:p>
    <w:p w14:paraId="35A5CA27" w14:textId="77777777" w:rsidR="00481E1E" w:rsidRPr="002F2FDF" w:rsidRDefault="00481E1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1 (14) марта 1917 обладателями ордена Святого Георгия 4-й степени стал 51 летчик и наблюдатель, еще 76 офицеров получили Георгиевское оружие. Летчики-солдаты награждались Георгиевскими крестами и медалями четырех степеней. На 1 января 120 из них были удостоены креста 4-й степени, 91 - крестов 3-й и 4-й степени, 48 - крестов 2-й, 3-й и 4-й степени, а 23 стали полными Георгиевскими кавалерами (11237).</w:t>
      </w:r>
    </w:p>
    <w:p w14:paraId="3449095E" w14:textId="77777777" w:rsidR="00481E1E" w:rsidRPr="002F2FDF" w:rsidRDefault="00481E1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2E56D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марта 1917 в Гатчине группа солдат Запасного авиационного батальона, узнав о свержении царя, подняло восстание, арес</w:t>
      </w:r>
      <w:r w:rsidRPr="002F2FDF">
        <w:rPr>
          <w:rFonts w:ascii="Times New Roman" w:hAnsi="Times New Roman" w:cs="Times New Roman"/>
          <w:color w:val="000000" w:themeColor="text1"/>
          <w:kern w:val="2"/>
          <w:sz w:val="16"/>
          <w:szCs w:val="16"/>
        </w:rPr>
        <w:softHyphen/>
        <w:t>товала реакционных офицеров, захватила склад оружия. За ней последовали строевая и техническая команды авиашколы, от ко</w:t>
      </w:r>
      <w:r w:rsidRPr="002F2FDF">
        <w:rPr>
          <w:rFonts w:ascii="Times New Roman" w:hAnsi="Times New Roman" w:cs="Times New Roman"/>
          <w:color w:val="000000" w:themeColor="text1"/>
          <w:kern w:val="2"/>
          <w:sz w:val="16"/>
          <w:szCs w:val="16"/>
        </w:rPr>
        <w:softHyphen/>
        <w:t>торых командование школы пыталось скрыть факт свержения царя. К восставшим присоединились остальные части гатчинского гарнизона, железнодорожные рабочие, служащие, учащиеся. Восстанием руководил солдат Запасного батальоне большевик Н.Я, Кузьмин. Это было пергое революционное выступление в военном воздушном флоте. (Л.В.Рузов, Ю.Н.Яблочкин. Гатчина. 1959,стр. 113-114).</w:t>
      </w:r>
    </w:p>
    <w:p w14:paraId="03C6F08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E8726C" w14:textId="77777777" w:rsidR="00481E1E" w:rsidRPr="00FB4F67" w:rsidRDefault="00481E1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 (14) марта 1917 г. Петроградский Совет издал приказ № 1, оглашенный во всех воинских частях, который уменьшал полномочия офицеров, что привело к постепенному нарушению дисциплины. В приказе объявлялось, что все части должны образовывать комитеты представителей, избранных из нижних чинов. Этот шаг привел к тому, что приказы Временного правительства выполнялись только в том случае, если они были разрешены Петроградским Советом. Между офицерами и солдатами возникали недопонимания, которые часто приводили к политическому разжиганию внутри частей.</w:t>
      </w:r>
    </w:p>
    <w:p w14:paraId="097A8FB3" w14:textId="77777777" w:rsidR="00481E1E" w:rsidRPr="00FB4F67" w:rsidRDefault="00481E1E" w:rsidP="0083075A">
      <w:pPr>
        <w:spacing w:after="0" w:line="240" w:lineRule="auto"/>
        <w:jc w:val="both"/>
        <w:rPr>
          <w:rFonts w:ascii="Times New Roman" w:hAnsi="Times New Roman" w:cs="Times New Roman"/>
          <w:color w:val="0070C0"/>
          <w:sz w:val="16"/>
          <w:szCs w:val="16"/>
        </w:rPr>
      </w:pPr>
    </w:p>
    <w:p w14:paraId="2FCB3DDC" w14:textId="4E207843"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 (14) марта 1917 </w:t>
      </w:r>
      <w:r w:rsidR="00E55A6A">
        <w:rPr>
          <w:rFonts w:ascii="Times New Roman" w:hAnsi="Times New Roman" w:cs="Times New Roman"/>
          <w:color w:val="000000" w:themeColor="text1"/>
          <w:kern w:val="2"/>
          <w:sz w:val="16"/>
          <w:szCs w:val="16"/>
        </w:rPr>
        <w:t>у</w:t>
      </w:r>
      <w:r w:rsidR="00E55A6A" w:rsidRPr="002F2FDF">
        <w:rPr>
          <w:rFonts w:ascii="Times New Roman" w:hAnsi="Times New Roman" w:cs="Times New Roman"/>
          <w:color w:val="000000" w:themeColor="text1"/>
          <w:kern w:val="2"/>
          <w:sz w:val="16"/>
          <w:szCs w:val="16"/>
        </w:rPr>
        <w:t xml:space="preserve">же поздно вечером </w:t>
      </w:r>
      <w:r w:rsidRPr="002F2FDF">
        <w:rPr>
          <w:rFonts w:ascii="Times New Roman" w:hAnsi="Times New Roman" w:cs="Times New Roman"/>
          <w:color w:val="000000" w:themeColor="text1"/>
          <w:kern w:val="2"/>
          <w:sz w:val="16"/>
          <w:szCs w:val="16"/>
        </w:rPr>
        <w:t>Советом был подготовлен Приказ № 1, опубликование которого 2 марта означало полнейшее переустройство внутреннего уклада вооруженных сил. С одной стороны, это соответствовало тенденциям демократизации общества, с другой — в конкретных условиях того времени — разлагало армию, делало ее более восприимчивой к радикальным революционным идеям. ТАКИМ образом, предпосылки социалистической революции в России были созданы наряду с другими обстоятельствами Первой мировой войной, приведшей страну к острейшему финансово-экономическому, прежде всего продовольственному, кризису. В день ареста Временного правительства на продовольственных складах Петрограда имелось всего 30 тыс. пудов хлеба, в то время как даже по голодной норме — полфунта (примерно 200 граммов) хлеба на человека в сутки — городу требовалось 48 тыс. пудов зерна (</w:t>
      </w:r>
      <w:r w:rsidRPr="002F2FDF">
        <w:rPr>
          <w:rFonts w:ascii="Times New Roman" w:hAnsi="Times New Roman" w:cs="Times New Roman"/>
          <w:iCs/>
          <w:color w:val="000000" w:themeColor="text1"/>
          <w:kern w:val="2"/>
          <w:sz w:val="16"/>
          <w:szCs w:val="16"/>
        </w:rPr>
        <w:t xml:space="preserve">Бабурин Д.С. </w:t>
      </w:r>
      <w:r w:rsidRPr="002F2FDF">
        <w:rPr>
          <w:rFonts w:ascii="Times New Roman" w:hAnsi="Times New Roman" w:cs="Times New Roman"/>
          <w:color w:val="000000" w:themeColor="text1"/>
          <w:kern w:val="2"/>
          <w:sz w:val="16"/>
          <w:szCs w:val="16"/>
        </w:rPr>
        <w:t>Наркомпрод в первые годы Советской власти // Исторические записки. Т. 61. М.: Изд-во АН СССР, 1957. С. 335.). В этих условиях, еще не овладев Государственным банком и эмиссионным аппаратом (Первые 5 млн. руб. на экстренные нужды по снабжению армии продовольствием и другие необходимые расходы Совнарком получил только 17 ноября), большевистское руководство было вынуждено спешно заняться решением продовольственной проблемы. 15 ноября 1917 года Совнарком поручил Петроградскому военно-революционному комитету (ВРК) “принять самые решительные меры к искоренению спекуляции и саботажа, скрывания запасов, злостной задержки грузов и пр.” (Собрание узаконений и распоряжений рабочего и крестьянского правительства (далее — СУ). 1917. № 3. Ст. 33.). Во исполнение этого указания ВРК уже в ноябре начал посылать в хлебные губернии специально сформированные отряды рабочих и матросов для конфискации продовольствия. Формально заготовки сельскохозяйственных продуктов осуществлялись на основе товарообмена, но поскольку промышленных товаров не хватало, основную часть стоимости продуктов крестьяне получали стремительно продолжавшими обесцениваться денежными знаками. Не удивительно, что уже в декабре неповиновение крестьян, отказывавшихся, по сути, безвозмездно отдавать хлеб, стало приобретать массовый характер. Надо отметить, что при всем этом государственная хлебная монополия и твердые закупочные цены на хлеб, поддержанные принявшими Наркомат земледелия левыми эсерами, продолжали сохраняться (11177).</w:t>
      </w:r>
    </w:p>
    <w:p w14:paraId="2310E80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A23CD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марта 1917 года в севастопольской газете “Крымский вестник” был опубликован объявленного Петроградским Со</w:t>
      </w:r>
      <w:r w:rsidRPr="002F2FDF">
        <w:rPr>
          <w:rFonts w:ascii="Times New Roman" w:hAnsi="Times New Roman" w:cs="Times New Roman"/>
          <w:color w:val="000000" w:themeColor="text1"/>
          <w:kern w:val="2"/>
          <w:sz w:val="16"/>
          <w:szCs w:val="16"/>
        </w:rPr>
        <w:softHyphen/>
        <w:t>ветом рабочих и солдатских депутатов приказ № 1 “О выборах комитетов и новом распорядке в воинских частях”, затем появился приказ № 2 о демократических преобразованиях и Севастопольский Совет принял соответству</w:t>
      </w:r>
      <w:r w:rsidRPr="002F2FDF">
        <w:rPr>
          <w:rFonts w:ascii="Times New Roman" w:hAnsi="Times New Roman" w:cs="Times New Roman"/>
          <w:color w:val="000000" w:themeColor="text1"/>
          <w:kern w:val="2"/>
          <w:sz w:val="16"/>
          <w:szCs w:val="16"/>
        </w:rPr>
        <w:softHyphen/>
        <w:t>ющее положение “О судовых, ротных и полковых комите</w:t>
      </w:r>
      <w:r w:rsidRPr="002F2FDF">
        <w:rPr>
          <w:rFonts w:ascii="Times New Roman" w:hAnsi="Times New Roman" w:cs="Times New Roman"/>
          <w:color w:val="000000" w:themeColor="text1"/>
          <w:kern w:val="2"/>
          <w:sz w:val="16"/>
          <w:szCs w:val="16"/>
        </w:rPr>
        <w:softHyphen/>
        <w:t>тах”. Официально его ввел в действие вице-адмирал А. Кол</w:t>
      </w:r>
      <w:r w:rsidRPr="002F2FDF">
        <w:rPr>
          <w:rFonts w:ascii="Times New Roman" w:hAnsi="Times New Roman" w:cs="Times New Roman"/>
          <w:color w:val="000000" w:themeColor="text1"/>
          <w:kern w:val="2"/>
          <w:sz w:val="16"/>
          <w:szCs w:val="16"/>
        </w:rPr>
        <w:softHyphen/>
        <w:t>чак, обязав комитет поддерживать боевую мощь флота. По требованию комитета, командующий издал приказ о пере</w:t>
      </w:r>
      <w:r w:rsidRPr="002F2FDF">
        <w:rPr>
          <w:rFonts w:ascii="Times New Roman" w:hAnsi="Times New Roman" w:cs="Times New Roman"/>
          <w:color w:val="000000" w:themeColor="text1"/>
          <w:kern w:val="2"/>
          <w:sz w:val="16"/>
          <w:szCs w:val="16"/>
        </w:rPr>
        <w:softHyphen/>
        <w:t>именовании ряда военных судов, носивших “царские” имена. Это коснулось не только линкоров, но и гидрокрейсеров. Во второй половине мая “Император Александр I” стал на</w:t>
      </w:r>
      <w:r w:rsidRPr="002F2FDF">
        <w:rPr>
          <w:rFonts w:ascii="Times New Roman" w:hAnsi="Times New Roman" w:cs="Times New Roman"/>
          <w:color w:val="000000" w:themeColor="text1"/>
          <w:kern w:val="2"/>
          <w:sz w:val="16"/>
          <w:szCs w:val="16"/>
        </w:rPr>
        <w:softHyphen/>
        <w:t>зываться “Республиканцем”, а “Император Николай I” -“Авиатором”, арендованная “Румыния” сохранила свое на</w:t>
      </w:r>
      <w:r w:rsidRPr="002F2FDF">
        <w:rPr>
          <w:rFonts w:ascii="Times New Roman" w:hAnsi="Times New Roman" w:cs="Times New Roman"/>
          <w:color w:val="000000" w:themeColor="text1"/>
          <w:kern w:val="2"/>
          <w:sz w:val="16"/>
          <w:szCs w:val="16"/>
        </w:rPr>
        <w:softHyphen/>
        <w:t>звание (11283).</w:t>
      </w:r>
    </w:p>
    <w:p w14:paraId="1D04FE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9D26B7" w14:textId="77777777" w:rsidR="00447212" w:rsidRPr="002F2FDF" w:rsidRDefault="0044721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 марта 1917 г. с 1 октября 1915 г. было построено около 320 километров новых шоссе, почти 3800 км грунтовых дорог магистрального значения с деревянными и каменными покрытиями; отремонтировано около 75000 км различных дорог, в основном грунтовых. МПС самостоятельно проводило закупки техники для дорожного строительства. К1 марта 1917 г. было заготовлено 418 катков (из них 276 паровых и моторных), 213 моторных камнедробилок и передвижных двигателей, 63 кирковщика, свыше 450 автомобилей (изних 251 грузовик) и 16 тракторов. Основным типом моторных катков в МПС являлись машины «Остин» производства американской компании «Остин-Вестерн» весом в 8,10 и 12 т. В 1916 г. закупили 146 таких катков. В это же время на военно-дорожных работах было занято более 100000 рабочих и свыше 18000 конных подвод. Подавляющее большинство работ выполнялось по-прежнему вручную (12137).</w:t>
      </w:r>
    </w:p>
    <w:p w14:paraId="1EE32AA7" w14:textId="77777777" w:rsidR="00447212" w:rsidRPr="002F2FDF" w:rsidRDefault="00447212" w:rsidP="0083075A">
      <w:pPr>
        <w:spacing w:after="0" w:line="240" w:lineRule="auto"/>
        <w:jc w:val="both"/>
        <w:rPr>
          <w:rFonts w:ascii="Times New Roman" w:hAnsi="Times New Roman" w:cs="Times New Roman"/>
          <w:color w:val="000000" w:themeColor="text1"/>
          <w:kern w:val="2"/>
          <w:sz w:val="16"/>
          <w:szCs w:val="16"/>
        </w:rPr>
      </w:pPr>
    </w:p>
    <w:p w14:paraId="0BE7F8E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D454E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E80DA0" w14:textId="77777777" w:rsidR="001126FC" w:rsidRPr="002F2FDF" w:rsidRDefault="001126FC" w:rsidP="0083075A">
      <w:pPr>
        <w:pStyle w:val="ae"/>
        <w:spacing w:before="0" w:after="0"/>
        <w:jc w:val="both"/>
        <w:rPr>
          <w:color w:val="000000" w:themeColor="text1"/>
          <w:kern w:val="2"/>
          <w:sz w:val="16"/>
          <w:szCs w:val="16"/>
        </w:rPr>
      </w:pPr>
      <w:r w:rsidRPr="002F2FDF">
        <w:rPr>
          <w:color w:val="000000" w:themeColor="text1"/>
          <w:kern w:val="2"/>
          <w:sz w:val="16"/>
          <w:szCs w:val="16"/>
        </w:rPr>
        <w:t>1 (14) марта 1917 оформилось Временное правительство. На расширенном заседании Временного комитета Думы с участием Центрального комитета партии кадетов, Бюро «прогрессивного блока» депутатов Госдумы, а также представителей Петроградского Совета был согласован состав кабинета министров, о формировании которого было объявлено на следующий день. Первым председателем Временного правительства стал князь Георгий Львов, ранее известный как кадет, а потом прогрессист, депутат Госдумы и видный деятель российского земства. Предполагалось, что Временное правительство должно будет обеспечивать управление Россией до выборов в Учредительное собрание, на котором избранные на демократических выборах делегаты решат, какой будет новая форма государственного устройства страны.</w:t>
      </w:r>
    </w:p>
    <w:p w14:paraId="4F5F979A" w14:textId="77777777" w:rsidR="001126FC" w:rsidRPr="002F2FDF" w:rsidRDefault="001126FC" w:rsidP="0083075A">
      <w:pPr>
        <w:pStyle w:val="ae"/>
        <w:spacing w:before="0" w:after="0"/>
        <w:jc w:val="both"/>
        <w:rPr>
          <w:color w:val="000000" w:themeColor="text1"/>
          <w:kern w:val="2"/>
          <w:sz w:val="16"/>
          <w:szCs w:val="16"/>
        </w:rPr>
      </w:pPr>
      <w:r w:rsidRPr="002F2FDF">
        <w:rPr>
          <w:color w:val="000000" w:themeColor="text1"/>
          <w:kern w:val="2"/>
          <w:sz w:val="16"/>
          <w:szCs w:val="16"/>
        </w:rPr>
        <w:t>Петроградский совет, «выросший» из освобожденной из тюрем «Рабочей группы Центрального военно-промышленного комитета», 15 марта формально признал власть Временного правительства (возражали только входившие в его состав большевики). Но фактически он сам издавал указы и распоряжения без согласования с Временным правительством, многие из которых привели к драматическим последствиям. Прежде всего, это изданный 14 марта так называемый «приказ №1» по Петроградскому гарнизону, который узаконивал солдатские комитеты и передавал в их распоряжение все оружие, а офицеры лишались дисциплинарной власти над солдатами. С принятием приказа был нарушен основополагающий для любой армии принцип единоначалия, в результате чего началось падение дисциплины и боеспособности, а потом и постепенный развал всей армии.</w:t>
      </w:r>
    </w:p>
    <w:p w14:paraId="2147DF0A" w14:textId="77777777" w:rsidR="001126FC" w:rsidRPr="002F2FDF" w:rsidRDefault="001126FC" w:rsidP="0083075A">
      <w:pPr>
        <w:pStyle w:val="ae"/>
        <w:spacing w:before="0" w:after="0"/>
        <w:jc w:val="both"/>
        <w:rPr>
          <w:color w:val="000000" w:themeColor="text1"/>
          <w:kern w:val="2"/>
          <w:sz w:val="16"/>
          <w:szCs w:val="16"/>
        </w:rPr>
      </w:pPr>
      <w:r w:rsidRPr="002F2FDF">
        <w:rPr>
          <w:color w:val="000000" w:themeColor="text1"/>
          <w:kern w:val="2"/>
          <w:sz w:val="16"/>
          <w:szCs w:val="16"/>
        </w:rPr>
        <w:t>Уже 14 марта начались солдатские и матросские самосуды над офицерами. Первой жертвой стал вахтенный лейтенант Бубнов, отказавшийся менять Андреевский флаг на революционный красный на линкоре «Андрей Первозванный» — его «подняли на штыки». Когда на трап линкора поднялся сам адмирал Аркадий Небольсин, командовавший бригадой линкоров в Гельсингфорсе (ныне Хельсинки), матросы застрелили и его, а потом еще пятерых офицеров.</w:t>
      </w:r>
    </w:p>
    <w:p w14:paraId="5D445248" w14:textId="77777777" w:rsidR="001126FC" w:rsidRPr="002F2FDF" w:rsidRDefault="001126FC" w:rsidP="0083075A">
      <w:pPr>
        <w:pStyle w:val="ae"/>
        <w:spacing w:before="0" w:after="0"/>
        <w:jc w:val="both"/>
        <w:rPr>
          <w:color w:val="000000" w:themeColor="text1"/>
          <w:kern w:val="2"/>
          <w:sz w:val="16"/>
          <w:szCs w:val="16"/>
        </w:rPr>
      </w:pPr>
      <w:r w:rsidRPr="002F2FDF">
        <w:rPr>
          <w:color w:val="000000" w:themeColor="text1"/>
          <w:kern w:val="2"/>
          <w:sz w:val="16"/>
          <w:szCs w:val="16"/>
        </w:rPr>
        <w:t>В Кронштадте также 14 марта на главной площади был заколот штыками адмирал Роберт Вирен и застрелен контр-адмирал Александр Бутаков (17045).</w:t>
      </w:r>
    </w:p>
    <w:p w14:paraId="21157138" w14:textId="77777777" w:rsidR="001126FC" w:rsidRPr="002F2FDF" w:rsidRDefault="001126F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A53B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марта 1917 в Гатчине группа солдат Запасного авиабатальона, узнав о свержении царя, подняла восстание, арестовала реакционных офицеров, захватила склад оружия. За ней последовала строевая и техкоманда авиашколы. Присоединились и остальные части Гатчинского гарнизона. руководил большевик Н.Я.Кузьмин. Первое в ВФ (438,350).</w:t>
      </w:r>
    </w:p>
    <w:p w14:paraId="33F1F6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8612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марта 1917 Петросовет издал приказ 1 с призывом создавать в воинских частях солдатские комитеты - попытка захвата контроля над армией (1348,84).</w:t>
      </w:r>
    </w:p>
    <w:p w14:paraId="0678E1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794B0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марта 1917 Петросовет издал приказ № 1, вводящий демократические порядки в русской армии (4962).</w:t>
      </w:r>
    </w:p>
    <w:p w14:paraId="56413CC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C5F005"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 (14) марта</w:t>
      </w:r>
      <w:r w:rsidRPr="002F2FDF">
        <w:rPr>
          <w:rFonts w:ascii="Times New Roman" w:hAnsi="Times New Roman" w:cs="Times New Roman"/>
          <w:color w:val="000000" w:themeColor="text1"/>
          <w:kern w:val="2"/>
          <w:sz w:val="16"/>
          <w:szCs w:val="16"/>
        </w:rPr>
        <w:t xml:space="preserve"> в 1917 году Петроградский Совет рабочих и солдатских депутатов принял приказ № 1 о революционных правах солдата. Приказ требовал создания в частях и подразделениях выборных комитетов из представителей солдат, полного подчинения каждой воинской части своему комитету и Совету рабочих и солдатских </w:t>
      </w:r>
      <w:r w:rsidRPr="002F2FDF">
        <w:rPr>
          <w:rFonts w:ascii="Times New Roman" w:hAnsi="Times New Roman" w:cs="Times New Roman"/>
          <w:color w:val="000000" w:themeColor="text1"/>
          <w:kern w:val="2"/>
          <w:sz w:val="16"/>
          <w:szCs w:val="16"/>
        </w:rPr>
        <w:lastRenderedPageBreak/>
        <w:t>депутатов, взятия под контроль всего имеющегося оружия, а также отмены титулования офицеров и всех ограничений солдат в гражданских правах, в то же время солдатам-евреям предоставлялся дополнительный выходной – в субботу и другие «компенсации за прежние угнетения». Приказом военного министра от 18. марта 1917 г. № 114 приказ № 1 подтвержден. Аналогичный приказ издан по военно-морскому министерству (15068).</w:t>
      </w:r>
    </w:p>
    <w:p w14:paraId="0795B31B"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p>
    <w:p w14:paraId="1504CAA2" w14:textId="77777777" w:rsidR="00D23E57" w:rsidRPr="002F2FDF" w:rsidRDefault="00D23E5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1 (14) марта Приказом №1 Петроградский совет призвал солдат избирать комитеты в частях и таким образом поставил армию под свой контроль. Совет выдвигает условия Думскому правительству (17025)</w:t>
      </w:r>
    </w:p>
    <w:p w14:paraId="73DE68B0" w14:textId="77777777" w:rsidR="00D23E57" w:rsidRPr="002F2FDF" w:rsidRDefault="00D23E5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631EDA"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 (14) марта</w:t>
      </w:r>
      <w:r w:rsidRPr="002F2FDF">
        <w:rPr>
          <w:rFonts w:ascii="Times New Roman" w:hAnsi="Times New Roman" w:cs="Times New Roman"/>
          <w:color w:val="000000" w:themeColor="text1"/>
          <w:kern w:val="2"/>
          <w:sz w:val="16"/>
          <w:szCs w:val="16"/>
        </w:rPr>
        <w:t xml:space="preserve"> в 1917 году русский император Николай II, не пущенный в Петроград, прибыл в штаб Северного фронта в Псков (15068).</w:t>
      </w:r>
    </w:p>
    <w:p w14:paraId="13A34EDD"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p>
    <w:p w14:paraId="7B153A9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марта 1917 русский император Николай II, не пущенный в Петроград, прибыл в штаб Северного фронта в Псков (4962).</w:t>
      </w:r>
    </w:p>
    <w:p w14:paraId="7874B50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528E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марта 1917 царский поезд прибыл в штаб Северного фронта в Пскове (3908,253).</w:t>
      </w:r>
    </w:p>
    <w:p w14:paraId="6A35DD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75AD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марта 1917 Временный комитет членов Государственной Думы приступил к формированию Временного правительства (10667).</w:t>
      </w:r>
    </w:p>
    <w:p w14:paraId="50854C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C6E8A2"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 (14) марта</w:t>
      </w:r>
      <w:r w:rsidRPr="002F2FDF">
        <w:rPr>
          <w:rFonts w:ascii="Times New Roman" w:hAnsi="Times New Roman" w:cs="Times New Roman"/>
          <w:color w:val="000000" w:themeColor="text1"/>
          <w:kern w:val="2"/>
          <w:sz w:val="16"/>
          <w:szCs w:val="16"/>
        </w:rPr>
        <w:t xml:space="preserve"> в 1917 году пролетарские массы Москвы открыли ворота тюрем, в том числе и Бутырки, где томился Фэликс Эдмундович Дзержинский (15068).</w:t>
      </w:r>
    </w:p>
    <w:p w14:paraId="7DD7435F"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p>
    <w:p w14:paraId="4640A06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8556F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9B8A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марта 1917 Китай разорвал дипломатические отношения с Германией (2100).</w:t>
      </w:r>
    </w:p>
    <w:p w14:paraId="2A0D08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09B576" w14:textId="77777777" w:rsidR="0044721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C83449C" w14:textId="77777777" w:rsidR="00447212" w:rsidRPr="002F2FDF" w:rsidRDefault="0044721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EBFF38" w14:textId="77777777" w:rsidR="00447212" w:rsidRPr="002F2FDF" w:rsidRDefault="0044721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 </w:t>
      </w:r>
      <w:r w:rsidR="001B6ED4" w:rsidRPr="002F2FDF">
        <w:rPr>
          <w:rFonts w:ascii="Times New Roman" w:hAnsi="Times New Roman" w:cs="Times New Roman"/>
          <w:color w:val="000000" w:themeColor="text1"/>
          <w:kern w:val="2"/>
          <w:sz w:val="16"/>
          <w:szCs w:val="16"/>
        </w:rPr>
        <w:t xml:space="preserve">(15) </w:t>
      </w:r>
      <w:r w:rsidRPr="002F2FDF">
        <w:rPr>
          <w:rFonts w:ascii="Times New Roman" w:hAnsi="Times New Roman" w:cs="Times New Roman"/>
          <w:color w:val="000000" w:themeColor="text1"/>
          <w:kern w:val="2"/>
          <w:sz w:val="16"/>
          <w:szCs w:val="16"/>
        </w:rPr>
        <w:t>марта 1917 г. в приказе начальника штаба Верховного Главнокомандующего №340 были объявлены Штат и табель машинно-дорожной роты. Предусматривалось наличие в роте следующих машин: один гусеничный трактор типа «Холт-Катерпиллер», «Твин Сити» (Twin City) или «Ломбард» (Lombard); три прицепные тракторные платформы грузоподъемностью 6 т; один колесный трактор типа «Твин Сити», «Кейс» (Case), «Румели Ойл Пулл» или «Могул» (Mogul), работающий на нефти, керосине или бензине; к нему два рабочих струга с отвалом и один запасной типа «Адамс» (Adams), «Рессель» (Russell) или «Остин», пять дорожных утюгов; один 5-тонный дорожный каток; один шестикорпусной плуг; пять конных плугов; десять конных лопат; две дисковые или зубчатые бороны и один полуторатонный грузовик. Для ремонта машин роте предоставлялся походный вагон-мастерская. Состав роты – три офицера и 76 нижних чинов. Формирование этих рот до конца войны закончено не было (12137).</w:t>
      </w:r>
    </w:p>
    <w:p w14:paraId="42AAEC92" w14:textId="77777777" w:rsidR="00447212" w:rsidRPr="002F2FDF" w:rsidRDefault="00447212" w:rsidP="0083075A">
      <w:pPr>
        <w:pStyle w:val="83"/>
        <w:shd w:val="clear" w:color="auto" w:fill="auto"/>
        <w:spacing w:after="0" w:line="240" w:lineRule="auto"/>
        <w:ind w:firstLine="0"/>
        <w:jc w:val="both"/>
        <w:rPr>
          <w:rFonts w:ascii="Times New Roman" w:hAnsi="Times New Roman"/>
          <w:color w:val="000000" w:themeColor="text1"/>
          <w:kern w:val="2"/>
          <w:sz w:val="16"/>
          <w:szCs w:val="16"/>
        </w:rPr>
      </w:pPr>
    </w:p>
    <w:p w14:paraId="620B56B5" w14:textId="152AFE4E" w:rsidR="00481E1E" w:rsidRPr="00FB4F67" w:rsidRDefault="00481E1E"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 (</w:t>
      </w:r>
      <w:r w:rsidRPr="00FB4F67">
        <w:rPr>
          <w:rFonts w:ascii="Times New Roman" w:hAnsi="Times New Roman" w:cs="Times New Roman"/>
          <w:color w:val="0070C0"/>
          <w:sz w:val="16"/>
          <w:szCs w:val="16"/>
        </w:rPr>
        <w:t>15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марта 1917 г. царь Николай II, проживающий в Ставке, был вынужден отречься от престола. Его брат Михаил отказался от престола, положив конец династии Романовых. Петроградский Совет призвал к прекращению войны и мировой революции. Великий князь Николай Николаевич стал Верховным главнокомандующим, занимая эту должность до 25 числа.</w:t>
      </w:r>
    </w:p>
    <w:p w14:paraId="680A5BDB" w14:textId="77777777" w:rsidR="00481E1E" w:rsidRPr="00FB4F67" w:rsidRDefault="00481E1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Вскоре после отречения царя были внесены изменения в значки летчиков. Погоны Военных авиационных школ в Гатчине и Севастополе продолжали носить только летчики этих школ. Все остальные летчики разных школ носили старый погонный знак, но Императорская корона была сорвана, а вензель Императора спилен. На нагрудном знаке выпускников всех школ летчиков и наблюдателей корона и монограмма были удалены (23525).</w:t>
      </w:r>
    </w:p>
    <w:p w14:paraId="7072D54B" w14:textId="77777777" w:rsidR="00481E1E" w:rsidRPr="00FB4F67" w:rsidRDefault="00481E1E" w:rsidP="0083075A">
      <w:pPr>
        <w:spacing w:after="0" w:line="240" w:lineRule="auto"/>
        <w:jc w:val="both"/>
        <w:rPr>
          <w:rFonts w:ascii="Times New Roman" w:hAnsi="Times New Roman" w:cs="Times New Roman"/>
          <w:color w:val="0070C0"/>
          <w:sz w:val="16"/>
          <w:szCs w:val="16"/>
        </w:rPr>
      </w:pPr>
    </w:p>
    <w:p w14:paraId="006D9E4E" w14:textId="7BA2EF9C" w:rsidR="00481E1E" w:rsidRPr="00FB4F67" w:rsidRDefault="00481E1E"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 (</w:t>
      </w:r>
      <w:r w:rsidRPr="00FB4F67">
        <w:rPr>
          <w:rFonts w:ascii="Times New Roman" w:hAnsi="Times New Roman" w:cs="Times New Roman"/>
          <w:color w:val="0070C0"/>
          <w:sz w:val="16"/>
          <w:szCs w:val="16"/>
        </w:rPr>
        <w:t>15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марта 1917 г. аэроплан, пилотируемый военным летчиком 1-го корпусного авиаотряда прапорщиком П.-Э.М. Томсоном и летчиком- наблюдателем прапорщиком А.А. Розенфельдом, «атаковав около стан. Залесье неприятельский самолет, вооруженный двумя пулеметами, вступил с ним в бой и сбил его пулеметным огнем, причем неприятельский самолет камнем упал на землю и разбился». За этот подвиг наш экипаж был удостоен высокой награды - ордена Святого Георгия IV степени (23405).</w:t>
      </w:r>
    </w:p>
    <w:p w14:paraId="085EB3C9" w14:textId="77777777" w:rsidR="00481E1E" w:rsidRPr="00FB4F67" w:rsidRDefault="00481E1E" w:rsidP="0083075A">
      <w:pPr>
        <w:spacing w:after="0" w:line="240" w:lineRule="auto"/>
        <w:jc w:val="both"/>
        <w:rPr>
          <w:rFonts w:ascii="Times New Roman" w:hAnsi="Times New Roman" w:cs="Times New Roman"/>
          <w:color w:val="0070C0"/>
          <w:sz w:val="16"/>
          <w:szCs w:val="16"/>
        </w:rPr>
      </w:pPr>
    </w:p>
    <w:p w14:paraId="3242861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D1EED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7CF8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марта 1917 вместо Временного комитета было образовано Временное правительство во главе с Г.Е.Львовым (1348,84). Великий князь Львов стал главой нового кабинета (1036), кадет П. Милюков - получает портфель МИД, октябрист А.Гучков становится военным и морским министром, трудовик А.Керенский - министром юстиции (3908,253).</w:t>
      </w:r>
    </w:p>
    <w:p w14:paraId="634FEF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96AB4C" w14:textId="77777777" w:rsidR="009E49F6" w:rsidRPr="002F2FDF" w:rsidRDefault="009E49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 (15) марта 1917 Временный комитет Государственной Думы образовал Временное правительство во главе с князем Львовым. Временное правительство первым делом объявило о продолжении войны "до победного конца" и выборах в Учредительное собрание. Все старые институты власти были упразднены. Параллельно функционировали солдатские советы, которые издали Приказ №1, фактически, переводивший армию под контроль солдатских Советов. Образовалось двоевластие. </w:t>
      </w:r>
    </w:p>
    <w:p w14:paraId="0B364D51" w14:textId="77777777" w:rsidR="009E49F6" w:rsidRPr="002F2FDF" w:rsidRDefault="009E49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Одним из первых офицеров высшего звена, присягнувших на верность Временному правительству, был адмирал Колчак. Но тут не все так просто. Военные решили навести порядок и установить диктатуру. Уже созданы Военная лига и Союз Георгиевских кавалеров (Петроград), Союз офицеров Армии и Флота (Ставка ВГК в Могилеве, теперь понятно, почему царь не смог доехать до Царского Села). Их поддерживают Общество экономического возрождения (Гучков, Путилов) и Республиканский центр, координирующий действия офицерских организаций. Главные кандидаты на пост военного диктатора - генералы Алексеев (понятно, почему телеграмма царя не была отправлена), Брусилов и адмирал Колчак (12629).</w:t>
      </w:r>
    </w:p>
    <w:p w14:paraId="3D40D393" w14:textId="77777777" w:rsidR="009E49F6" w:rsidRPr="002F2FDF" w:rsidRDefault="009E49F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017C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 </w:t>
      </w:r>
      <w:r w:rsidR="001B6ED4" w:rsidRPr="002F2FDF">
        <w:rPr>
          <w:rFonts w:ascii="Times New Roman" w:hAnsi="Times New Roman" w:cs="Times New Roman"/>
          <w:color w:val="000000" w:themeColor="text1"/>
          <w:kern w:val="2"/>
          <w:sz w:val="16"/>
          <w:szCs w:val="16"/>
        </w:rPr>
        <w:t xml:space="preserve">(15) </w:t>
      </w:r>
      <w:r w:rsidRPr="002F2FDF">
        <w:rPr>
          <w:rFonts w:ascii="Times New Roman" w:hAnsi="Times New Roman" w:cs="Times New Roman"/>
          <w:color w:val="000000" w:themeColor="text1"/>
          <w:kern w:val="2"/>
          <w:sz w:val="16"/>
          <w:szCs w:val="16"/>
        </w:rPr>
        <w:t>марта 1917 закончилась деятельность "Временного комитета Госдумы" и начало работать временное правительство (3481).</w:t>
      </w:r>
    </w:p>
    <w:p w14:paraId="030898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DE1D32" w14:textId="2ECA6C12"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 xml:space="preserve">March </w:t>
      </w:r>
      <w:r w:rsidR="00E55A6A" w:rsidRPr="00EE66CD">
        <w:rPr>
          <w:rFonts w:ascii="Times New Roman" w:hAnsi="Times New Roman" w:cs="Times New Roman"/>
          <w:color w:val="000000" w:themeColor="text1"/>
          <w:kern w:val="2"/>
          <w:sz w:val="16"/>
          <w:szCs w:val="16"/>
          <w:lang w:val="en-US"/>
        </w:rPr>
        <w:t>2 (</w:t>
      </w:r>
      <w:r w:rsidRPr="002F2FDF">
        <w:rPr>
          <w:rFonts w:ascii="Times New Roman" w:hAnsi="Times New Roman" w:cs="Times New Roman"/>
          <w:color w:val="000000" w:themeColor="text1"/>
          <w:kern w:val="2"/>
          <w:sz w:val="16"/>
          <w:szCs w:val="16"/>
          <w:lang w:val="en-US"/>
        </w:rPr>
        <w:t>15</w:t>
      </w:r>
      <w:r w:rsidR="00E55A6A" w:rsidRPr="00EE66CD">
        <w:rPr>
          <w:rFonts w:ascii="Times New Roman" w:hAnsi="Times New Roman" w:cs="Times New Roman"/>
          <w:color w:val="000000" w:themeColor="text1"/>
          <w:kern w:val="2"/>
          <w:sz w:val="16"/>
          <w:szCs w:val="16"/>
          <w:lang w:val="en-US"/>
        </w:rPr>
        <w:t>)</w:t>
      </w:r>
      <w:r w:rsidRPr="002F2FDF">
        <w:rPr>
          <w:rFonts w:ascii="Times New Roman" w:hAnsi="Times New Roman" w:cs="Times New Roman"/>
          <w:color w:val="000000" w:themeColor="text1"/>
          <w:kern w:val="2"/>
          <w:sz w:val="16"/>
          <w:szCs w:val="16"/>
          <w:lang w:val="en-US"/>
        </w:rPr>
        <w:t xml:space="preserve"> 1917 Czar Nicholas abdicates. Prince Lvoff heads new cabinet (1036).</w:t>
      </w:r>
    </w:p>
    <w:p w14:paraId="1312F4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592BCB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марта 1917 царь Николай II в Пскове подписал манифест об отречении (70,49) за себя и сына Алексея в пользу Михаила Александровича. Приняли А.И.Гучков и В.В.Шульгин (1348,18).</w:t>
      </w:r>
    </w:p>
    <w:p w14:paraId="001CC5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E2B2A6"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 (15) марта</w:t>
      </w:r>
      <w:r w:rsidRPr="002F2FDF">
        <w:rPr>
          <w:rFonts w:ascii="Times New Roman" w:hAnsi="Times New Roman" w:cs="Times New Roman"/>
          <w:color w:val="000000" w:themeColor="text1"/>
          <w:kern w:val="2"/>
          <w:sz w:val="16"/>
          <w:szCs w:val="16"/>
        </w:rPr>
        <w:t xml:space="preserve"> в 1917 году ночью в царском поезде, в тупике железнодорожного вокзала Пскова состоялся акт отречения от престола последнего русского императора Николая II. Вечером 15 марта в Псков явились посланные думским комитетом делегаты – Александр Гучков и Василий Шульгин. Они должны были получить акт об отречении. Пять командующих фронтами, опрошенные Верховным главнокомандующим русской армии генералом Михаилом Алексеевым, высказались в пользу отречения. Преданный всеми император подписал Манифест об отречении от престола в пользу брата, великого князя Михаила Александровича (законному наследнику, малолетнему и тяжелобольному сыну Алексею передавать престол он не решился). Фактически это означало крушение монархии, так как Михаил возглавить престол не пожелал, подписав в свою очередь Манифест об отказе от восприятия верховной власти: «Тяжкое бремя возложено на меня волею брата моего, передавшего мне императорский всероссийский престол в годину беспримерной войны и волнений народных... принял я твердое решение в том случае восприять верховную власть, если такова будет воля великого народа нашего, которому надлежит всенародным голосованием чрез представителей своих в Учредительном собрании установить образ правления и новые основные законы государства Российского. Посему, призывая благословение Божие, прошу всех граждан державы Российской подчиниться Временному правительству, по почину Государственной думы возникшему и облеченному всею полнотою власти...». До Манифеста об отречении царь подписал указ о создании нового правительства во главе с князем Георгием Львовым (Временное правительство просуществовало 221 день, свергнуто Октябрьской революцией 7 ноября 1917 года). По просьбе Гучкова и Шульгина царь придал тем самым видимость законности произошедшему революционному перевороту. Так завершилось 300-летнее правление династии Романовых.После отречения Николай поселился в Александровском дворце как частное лицо. Позже он запишет в дневник: "Во имя спасения России и удержания армии на фронте в спокойствии, нужно решиться на этот шаг. Я согласился. … В час ночи уехал из Пскова с тяжелым чувством пережитого". Последние слова дневника царя - "Кругом измена, трусость и обман".17 июля 2003 года на привокзальной площади Пскова открылась часовня, увековечившая память об отречении Николая II от престола (15069).</w:t>
      </w:r>
    </w:p>
    <w:p w14:paraId="15EC6D11"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p>
    <w:p w14:paraId="2A20D01D" w14:textId="77777777" w:rsidR="000B16CD" w:rsidRPr="002F2FDF" w:rsidRDefault="000B16CD"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2 (15) марта 1917 российский император Николай II отрекся от престола. За день до этого царский поезд, не сумев проехать в сторону уже контролируемого восставшими Петрограда, прибыл в Псков. Там находился штаб армий Северного фронта под командованием генерала Николая Рузского, и царь надеялся на его защиту. Однако и тут самодержца ожидал тяжкий удар — как оказалось, Рузский был тайным противником монархии и недолюбливал Николая II лично. При прибытии </w:t>
      </w:r>
      <w:r w:rsidRPr="002F2FDF">
        <w:rPr>
          <w:color w:val="000000" w:themeColor="text1"/>
          <w:kern w:val="2"/>
          <w:sz w:val="16"/>
          <w:szCs w:val="16"/>
        </w:rPr>
        <w:lastRenderedPageBreak/>
        <w:t>царского поезда генерал демонстративно не стал устраивать обычную церемонию встречи, явился на перрон с опозданием, посоветовав «сдаться на милость победителя». Одновременно поступили сообщения, что вслед за Петроградом воинские части восстали в других городах.</w:t>
      </w:r>
    </w:p>
    <w:p w14:paraId="47DC9F15" w14:textId="77777777" w:rsidR="000B16CD" w:rsidRPr="002F2FDF" w:rsidRDefault="000B16CD" w:rsidP="0083075A">
      <w:pPr>
        <w:pStyle w:val="ae"/>
        <w:spacing w:before="0" w:after="0"/>
        <w:jc w:val="both"/>
        <w:rPr>
          <w:color w:val="000000" w:themeColor="text1"/>
          <w:kern w:val="2"/>
          <w:sz w:val="16"/>
          <w:szCs w:val="16"/>
        </w:rPr>
      </w:pPr>
      <w:r w:rsidRPr="002F2FDF">
        <w:rPr>
          <w:color w:val="000000" w:themeColor="text1"/>
          <w:kern w:val="2"/>
          <w:sz w:val="16"/>
          <w:szCs w:val="16"/>
        </w:rPr>
        <w:t>На следующий день уже все командующие фронтами прислали царю телеграммы с просьбами сложить власть для спасения страны. После этого Николай II подписал Манифест об отречении от престола в пользу своего младшего брата, великого князя Михаила Александровича. Но на следующий день он также отказался от короны, заявив, что наденет ее, только если в пользу этого выскажется Учредительное собрание новой России.</w:t>
      </w:r>
    </w:p>
    <w:p w14:paraId="75CFCB75" w14:textId="77777777" w:rsidR="000B16CD" w:rsidRPr="002F2FDF" w:rsidRDefault="000B16CD" w:rsidP="0083075A">
      <w:pPr>
        <w:pStyle w:val="ae"/>
        <w:spacing w:before="0" w:after="0"/>
        <w:jc w:val="both"/>
        <w:rPr>
          <w:color w:val="000000" w:themeColor="text1"/>
          <w:kern w:val="2"/>
          <w:sz w:val="16"/>
          <w:szCs w:val="16"/>
        </w:rPr>
      </w:pPr>
      <w:r w:rsidRPr="002F2FDF">
        <w:rPr>
          <w:color w:val="000000" w:themeColor="text1"/>
          <w:kern w:val="2"/>
          <w:sz w:val="16"/>
          <w:szCs w:val="16"/>
        </w:rPr>
        <w:t>Придворный историограф царя, генерал Дмитрий Дубенский, постоянно сопровождавший его в поездках во время войны, так прокомментировал отречение: «Сдал, как сдают эскадрон… надо было ехать не в Псков, а в гвардию, в Особую армию».</w:t>
      </w:r>
    </w:p>
    <w:p w14:paraId="3FBD37BF" w14:textId="77777777" w:rsidR="000B16CD" w:rsidRPr="002F2FDF" w:rsidRDefault="000B16CD" w:rsidP="0083075A">
      <w:pPr>
        <w:pStyle w:val="ae"/>
        <w:spacing w:before="0" w:after="0"/>
        <w:jc w:val="both"/>
        <w:rPr>
          <w:color w:val="000000" w:themeColor="text1"/>
          <w:kern w:val="2"/>
          <w:sz w:val="16"/>
          <w:szCs w:val="16"/>
        </w:rPr>
      </w:pPr>
      <w:r w:rsidRPr="002F2FDF">
        <w:rPr>
          <w:color w:val="000000" w:themeColor="text1"/>
          <w:kern w:val="2"/>
          <w:sz w:val="16"/>
          <w:szCs w:val="16"/>
        </w:rPr>
        <w:t>Тем временем, в Петрограде установилось фактическое двоевластие: с одной стороны, — Временное правительство России, с другой, — Петроградский совет рабочих и солдатских депутатов (17045).</w:t>
      </w:r>
    </w:p>
    <w:p w14:paraId="5910781F" w14:textId="77777777" w:rsidR="000B16CD" w:rsidRPr="002F2FDF" w:rsidRDefault="000B16CD" w:rsidP="0083075A">
      <w:pPr>
        <w:spacing w:after="0" w:line="240" w:lineRule="auto"/>
        <w:jc w:val="both"/>
        <w:rPr>
          <w:rFonts w:ascii="Times New Roman" w:hAnsi="Times New Roman" w:cs="Times New Roman"/>
          <w:bCs/>
          <w:color w:val="000000" w:themeColor="text1"/>
          <w:kern w:val="2"/>
          <w:sz w:val="16"/>
          <w:szCs w:val="16"/>
        </w:rPr>
      </w:pPr>
    </w:p>
    <w:p w14:paraId="54D3147E" w14:textId="77777777" w:rsidR="003D072A" w:rsidRPr="002F2FDF" w:rsidRDefault="003D072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(15) марта 1917 Николай II отрёкся от престола, и вско</w:t>
      </w:r>
      <w:r w:rsidRPr="002F2FDF">
        <w:rPr>
          <w:rFonts w:ascii="Times New Roman" w:hAnsi="Times New Roman" w:cs="Times New Roman"/>
          <w:color w:val="000000" w:themeColor="text1"/>
          <w:sz w:val="16"/>
          <w:szCs w:val="16"/>
        </w:rPr>
        <w:softHyphen/>
        <w:t>ре воздухоплавательные отряды вместе со всеми другими частями русской армии принесли при</w:t>
      </w:r>
      <w:r w:rsidRPr="002F2FDF">
        <w:rPr>
          <w:rFonts w:ascii="Times New Roman" w:hAnsi="Times New Roman" w:cs="Times New Roman"/>
          <w:color w:val="000000" w:themeColor="text1"/>
          <w:sz w:val="16"/>
          <w:szCs w:val="16"/>
        </w:rPr>
        <w:softHyphen/>
        <w:t>сягу Временному правительству.</w:t>
      </w:r>
    </w:p>
    <w:p w14:paraId="40C6103F" w14:textId="77777777" w:rsidR="003D072A" w:rsidRPr="002F2FDF" w:rsidRDefault="003D072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Свержение самодержавия не привело к пре</w:t>
      </w:r>
      <w:r w:rsidRPr="002F2FDF">
        <w:rPr>
          <w:rFonts w:ascii="Times New Roman" w:hAnsi="Times New Roman" w:cs="Times New Roman"/>
          <w:color w:val="000000" w:themeColor="text1"/>
          <w:sz w:val="16"/>
          <w:szCs w:val="16"/>
        </w:rPr>
        <w:softHyphen/>
        <w:t>кращению войны, и фронт продолжал отчаянно нуждаться в специалистах-воздухоплавателях (20120).</w:t>
      </w:r>
    </w:p>
    <w:p w14:paraId="096A1F00" w14:textId="77777777" w:rsidR="003D072A" w:rsidRPr="002F2FDF" w:rsidRDefault="003D072A" w:rsidP="0083075A">
      <w:pPr>
        <w:spacing w:after="0" w:line="240" w:lineRule="auto"/>
        <w:jc w:val="both"/>
        <w:rPr>
          <w:rFonts w:ascii="Times New Roman" w:hAnsi="Times New Roman" w:cs="Times New Roman"/>
          <w:color w:val="000000" w:themeColor="text1"/>
          <w:sz w:val="16"/>
          <w:szCs w:val="16"/>
        </w:rPr>
      </w:pPr>
    </w:p>
    <w:p w14:paraId="67DD2004"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 (15) марта</w:t>
      </w:r>
      <w:r w:rsidRPr="002F2FDF">
        <w:rPr>
          <w:rFonts w:ascii="Times New Roman" w:hAnsi="Times New Roman" w:cs="Times New Roman"/>
          <w:color w:val="000000" w:themeColor="text1"/>
          <w:kern w:val="2"/>
          <w:sz w:val="16"/>
          <w:szCs w:val="16"/>
        </w:rPr>
        <w:t xml:space="preserve"> в 1917 году узнав о свержении монархии в России, застрелился полковник Сергей Васильевич Зубатов (родился 7 апреля 1864 г.), бывший начальник Московского охранного отделения. Известен созданием сети легальных рабочих организаций по всей Российской Империи с ключевыми их центрами в Москве, Санкт-Петербурге, Киеве, Харькове, Екатеринославле, Николаеве, Перми, Минске, Одессе, Вильнюсе, Гродно, Бобруйске. Зубатов стремился вырвать рабочих из—под влияния революционеров и организовать легальное экономическое рабочее движение, получившее название "политики полицейского социализма" или "зубатовщины". Осенью 1903 г по распоряжению министра внутренних дел В.К.Плеве уволен в отставку, формальная причина отставки — агенты Зубатова принимали участие в забастовочном движении, в том числе и всеобщей забастовке июня 1903 г.). Практически все рабочие организации были закрыты. В 1904 г. после убийства Плеве был прощен, получил пенсию за прошлые заслуги, но на службу не вернулся. Вошел в историю как автор определения эсеров — "сентиментальное зверьё", ему приписывается также и создание слова "сексот" — секретный сотрудник госбезопасности (15069).</w:t>
      </w:r>
    </w:p>
    <w:p w14:paraId="292222BB"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p>
    <w:p w14:paraId="1D9B1B47"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 (15) марта</w:t>
      </w:r>
      <w:r w:rsidRPr="002F2FDF">
        <w:rPr>
          <w:rFonts w:ascii="Times New Roman" w:hAnsi="Times New Roman" w:cs="Times New Roman"/>
          <w:color w:val="000000" w:themeColor="text1"/>
          <w:kern w:val="2"/>
          <w:sz w:val="16"/>
          <w:szCs w:val="16"/>
        </w:rPr>
        <w:t xml:space="preserve"> в 1917 году в Санкт-Петербурге Временный комитет Государственной думы сформировал Временное правительство, которое возглавил князь Г.Е.Львов (15069).</w:t>
      </w:r>
    </w:p>
    <w:p w14:paraId="6272473C"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p>
    <w:p w14:paraId="5523BDD5"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 (15) марта</w:t>
      </w:r>
      <w:r w:rsidRPr="002F2FDF">
        <w:rPr>
          <w:rFonts w:ascii="Times New Roman" w:hAnsi="Times New Roman" w:cs="Times New Roman"/>
          <w:color w:val="000000" w:themeColor="text1"/>
          <w:kern w:val="2"/>
          <w:sz w:val="16"/>
          <w:szCs w:val="16"/>
        </w:rPr>
        <w:t xml:space="preserve"> в 1917 году в ходе Февральской революции из Бутырской тюрьмы освобожден Нестор Махно, будущий лидер украинских анархистов (15069).</w:t>
      </w:r>
    </w:p>
    <w:p w14:paraId="573689F1"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p>
    <w:p w14:paraId="6256BC2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марта 1917 в ходе Февральской революции из Бутырской тюрьмы освобожден Нестор Махно, будущий лидер украинских анархистов (4962).</w:t>
      </w:r>
    </w:p>
    <w:p w14:paraId="347D7A6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CD0DB8"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 (15) марта</w:t>
      </w:r>
      <w:r w:rsidRPr="002F2FDF">
        <w:rPr>
          <w:rFonts w:ascii="Times New Roman" w:hAnsi="Times New Roman" w:cs="Times New Roman"/>
          <w:color w:val="000000" w:themeColor="text1"/>
          <w:kern w:val="2"/>
          <w:sz w:val="16"/>
          <w:szCs w:val="16"/>
        </w:rPr>
        <w:t xml:space="preserve"> в 1917 году Владимир Ильич Ленин, находившийся в швейцарском городе Цюрихе, отправил жившей близ Женевы Иннесе Арманд письмо, в котором поделился с ней потрясающей новостью о том, что в России произошла революция. «Мы, — писал Владимир Ильич о себе и своем окружении, — сегодня в Цюрихе в ажитации: от 15 марта есть телеграмма в «Zurcher Post» и в «Neue Zurcher Zeitung», что в России 14 марта победила революция в Питере... Коли не врут немцы, так правда» (15069).</w:t>
      </w:r>
    </w:p>
    <w:p w14:paraId="719418F1"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p>
    <w:p w14:paraId="598DD2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марта 1917 Продовольственная комиссия Временного Правительства принимает решение: “не останавливая обычных закупок и получения хлеба по разверстке, немедленно приступить к реквизиции хлеба у крупных земельных собственников и арендаторов всех сословий имеющих запашку не менее 50 десятин, а также у торговых предприятий и банков.” 25 марта 1917 года издается Закон о передаче хлеба в распоряжение государства (монополии на хлеб). Согласно ему, “все количество хлеба, продовольственного и кормового урожая прошлых лет, 1916 и будущего урожая 1917, за вычетом запаса, необходимого для продовольствия и хозяйственных нужд владельца, поступает со времени взятия хлеба на учет, в распоряжение государства по твердым ценам и может быть отчуждено лишь при посредстве государственных продовольственных органов”. То есть государственная монополия на весь хлеб, кроме собственного потребления и хозяйственных нужд, и государственная монополия на хлебную торговлю. Нормы собственного потребления и хозяйственных нужд устанавливались тем же законом, исходя из того, что: а) количество зерна для посева оставляется, исходя из посевной площади хозяйства и средней густоты высева по данными Центрального статистического комитета с возможной корректировкой по земской статистике. При использовании сеялки размер понижается на 20-40 % (в зависимости от типа сеялки); б) для продовольственных нужд — на иждивенцев по 1,25 пуда в месяц, для взрослых рабочих — 1,5 пуда. Кроме того крупы по 10 золотников на душу в день; в) для скота — для рабочих лошадей — 8 фунтов овса или ячменя или 10 фунтов кукурузы на каждый день. Для рогатого скота и свиней — не более 4-х фунтов в день на голову. Для молодняка норма понижалась вдвое. Нормы прокорма могли уменьшаться на местах; в) Дополнительно 10 % по каждому пункту (а, б, в)"на всякий случай" (16658).</w:t>
      </w:r>
    </w:p>
    <w:p w14:paraId="30C704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126D8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40176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25A773" w14:textId="77777777" w:rsidR="003D072A" w:rsidRPr="002F2FDF" w:rsidRDefault="003D072A" w:rsidP="0083075A">
      <w:pPr>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shd w:val="clear" w:color="auto" w:fill="FFFFFF"/>
        </w:rPr>
        <w:t>2 (15) марта 1917 года был введен в строй германский военно-морской цеппелин L.43. Это был первый военно-морской дирижабль, способный работать на высоте более 18 000 футов. Это было сделано для того, чтобы сделать его недоступным для истребителей и зенитных орудий противника, но погодные условия на такой высоте создавали серьезные проблемы для его экипажа. L43 совершил налет на Восточную Англию 23 мая 1917 года, но 14 июля был сбит британским гидросамолетом, который застал врасплох во время патрулирования у голландского побережья на высоте всего 1500 футов (22302).</w:t>
      </w:r>
    </w:p>
    <w:p w14:paraId="7095E4A7" w14:textId="77777777" w:rsidR="003D072A" w:rsidRPr="002F2FDF" w:rsidRDefault="003D072A" w:rsidP="0083075A">
      <w:pPr>
        <w:spacing w:after="0" w:line="240" w:lineRule="auto"/>
        <w:jc w:val="both"/>
        <w:rPr>
          <w:rFonts w:ascii="Times New Roman" w:hAnsi="Times New Roman" w:cs="Times New Roman"/>
          <w:color w:val="000000" w:themeColor="text1"/>
          <w:sz w:val="16"/>
          <w:szCs w:val="16"/>
        </w:rPr>
      </w:pPr>
    </w:p>
    <w:p w14:paraId="4738ED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марта 1917 - из письма военного министра Франции главнокомандующему Нивелю: "20 февраля Вы представили мне очень подробный план, согласно которому теперь должны выполняться воздушные бомбардировки на фронте северных и северо-восточных армий. Этот план был рассмотрен военным комитетом и привел к следующим общим положениям.</w:t>
      </w:r>
    </w:p>
    <w:p w14:paraId="6E0C4C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Наша воздушная деятельность окажется эффективной только в том случае, если будет сосредоточена на существенных объектах военной промышленности, на коммуникациях и на военных нуждах противника, и если бомбардировочные действия по данному индустриальному району будут выполняться в течение достаточно длительного времени для того, чтобы дезорганизовать работу.</w:t>
      </w:r>
    </w:p>
    <w:p w14:paraId="68CF70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Следует избегать бесполезных бомбардирований одиночными самолетами трудно уязвимых и несущественных для противника объектов, т.к. подобные бомбардирования могут только навлечь на нас репрессии.</w:t>
      </w:r>
    </w:p>
    <w:p w14:paraId="792886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Бомбардирование открытых городов воспрещается в принципе.</w:t>
      </w:r>
    </w:p>
    <w:p w14:paraId="22A99A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Необходимо выбирать объекты насколько возможно крупные, стараясь бомбардировать преимущественно военные и индустриальные объекты, наиболее удаленные от городов, однако, не делая из этого абсолютного правила. Поэтому ниже указываются категории объектов, на которые, по мнению военного комитета, надлежит сосредоточить в дальнейшем нашу воздушную активность.</w:t>
      </w:r>
    </w:p>
    <w:p w14:paraId="5F8795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Индустриальные объекты</w:t>
      </w:r>
    </w:p>
    <w:p w14:paraId="6F7F32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Министерство вооружений установило прилагаемый список индустриальных объектов противника, имеющих для него существенное значение.</w:t>
      </w:r>
    </w:p>
    <w:p w14:paraId="7DCECF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 заметите, что этот список содержит только металлургические предприятия с доменными печами, которые представляют собой объекты для бомбардирования днем и ночью, являясь в то же время объектами чрезвычайно уязвимыми.</w:t>
      </w:r>
    </w:p>
    <w:p w14:paraId="0208C5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Коммуникации</w:t>
      </w:r>
    </w:p>
    <w:p w14:paraId="2588AC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Тут нужно предусмотреть: сортировочные станции, на которых сосредоточивается большое количество подвижного состава; в нем противник начинает испытывать недостаток, а пополнять его он может лишь с большим трудом; станции, у которых расположены военные учреждения (склады различного назначения).</w:t>
      </w:r>
    </w:p>
    <w:p w14:paraId="073B31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Военные объекты</w:t>
      </w:r>
    </w:p>
    <w:p w14:paraId="04E120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Казармы, магазины, арсеналы являются объектами бомбардирования (они должны быть удалены от населенных пунктов, как об этом сказано выше).</w:t>
      </w:r>
    </w:p>
    <w:p w14:paraId="4BB2B5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Измените план, который Вы мне представили, на этих основаниях. Что же касается открытых городов, то их бомбардирование остается запрещенным. Однако, эти действия против германских городов могут иметь место в виде репрессий в особых случаях, которые будет определять правительство. Лиотэ.</w:t>
      </w:r>
    </w:p>
    <w:p w14:paraId="21DF4A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Приложение: Список индустриальных объектов:</w:t>
      </w:r>
    </w:p>
    <w:p w14:paraId="0E395D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Саар (29 домен) - 10 объектов;</w:t>
      </w:r>
    </w:p>
    <w:p w14:paraId="49CF4F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Занятая часть Лотарингии (66 домен) - 16 объектов;</w:t>
      </w:r>
    </w:p>
    <w:p w14:paraId="3138CB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Люксембург (43 домны) - 8 объектов;</w:t>
      </w:r>
    </w:p>
    <w:p w14:paraId="6ADC0A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Бриэ (43 домны) - 12 объектов;</w:t>
      </w:r>
    </w:p>
    <w:p w14:paraId="169B60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Люксембург бельгийский (7 домен) - 5 объектов" (11999).</w:t>
      </w:r>
    </w:p>
    <w:p w14:paraId="61D17F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316A30" w14:textId="2270C2F8" w:rsidR="00A37304" w:rsidRDefault="00A37304"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Другие оборонные отрасли:</w:t>
      </w:r>
    </w:p>
    <w:p w14:paraId="62F8587A" w14:textId="77777777" w:rsidR="00A37304" w:rsidRDefault="00A37304"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6C673608" w14:textId="77777777" w:rsidR="00A37304" w:rsidRPr="00FB4F67" w:rsidRDefault="00A37304" w:rsidP="0083075A">
      <w:pPr>
        <w:spacing w:after="0" w:line="240" w:lineRule="auto"/>
        <w:jc w:val="both"/>
        <w:rPr>
          <w:rFonts w:ascii="Times New Roman" w:hAnsi="Times New Roman" w:cs="Times New Roman"/>
          <w:color w:val="0070C0"/>
          <w:sz w:val="16"/>
          <w:szCs w:val="16"/>
        </w:rPr>
      </w:pPr>
      <w:bookmarkStart w:id="56" w:name="bookmark701"/>
      <w:bookmarkStart w:id="57" w:name="bookmark702"/>
      <w:r w:rsidRPr="00FB4F67">
        <w:rPr>
          <w:rFonts w:ascii="Times New Roman" w:hAnsi="Times New Roman" w:cs="Times New Roman"/>
          <w:color w:val="0070C0"/>
          <w:sz w:val="16"/>
          <w:szCs w:val="16"/>
        </w:rPr>
        <w:t>3 марта 1917 г. рабочие вывезли Бондарева на грязной тачке к ближайшей остановке трамвая. В 1915 году он занял пост директора строящегося завода АМО («Автомобильное Машиностроительное Общество», ныне - АМО ЗИЛ). Наладил сборку первого отечественного грузовика АМО-Ф-15 на базе полуторатонного FIAT-15 Тег (35 лошадиных сил, скорость - до 47 км/час). Бондареву был положен оклад в 40 000 рублей в год (в два раза выше генеральского), столько же подъемных и по 100 рублей за каждый выпущенный автомобиль. После этого события он вернулся на родину, служил у атамана Каледина. В советское время строил Ростсельмаш, работал главным инженером Главного автотракторного управления. В 1935 году, по приглашению директора ЗИС (бывшее АМО) Ивана Лихачева, вернулся на завод, в бюро реконструкции. В 1937 г. был арестован и расстрелян. Посмертно реабилитирован в 1955 г. (23485).</w:t>
      </w:r>
    </w:p>
    <w:p w14:paraId="4E90B875" w14:textId="77777777" w:rsidR="00A37304" w:rsidRPr="00FB4F67" w:rsidRDefault="00A37304" w:rsidP="0083075A">
      <w:pPr>
        <w:spacing w:after="0" w:line="240" w:lineRule="auto"/>
        <w:jc w:val="both"/>
        <w:rPr>
          <w:rFonts w:ascii="Times New Roman" w:hAnsi="Times New Roman" w:cs="Times New Roman"/>
          <w:color w:val="0070C0"/>
          <w:sz w:val="16"/>
          <w:szCs w:val="16"/>
        </w:rPr>
      </w:pPr>
    </w:p>
    <w:bookmarkEnd w:id="56"/>
    <w:bookmarkEnd w:id="57"/>
    <w:p w14:paraId="198D76F3" w14:textId="58C39A03" w:rsidR="00481E1E" w:rsidRDefault="00481E1E"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513F841F" w14:textId="77777777" w:rsidR="00481E1E" w:rsidRDefault="00481E1E"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CBC6B16" w14:textId="77777777" w:rsidR="00481E1E" w:rsidRPr="00FB4F67" w:rsidRDefault="00481E1E" w:rsidP="0083075A">
      <w:pPr>
        <w:spacing w:after="0" w:line="240" w:lineRule="auto"/>
        <w:jc w:val="both"/>
        <w:rPr>
          <w:rFonts w:ascii="Times New Roman" w:hAnsi="Times New Roman" w:cs="Times New Roman"/>
          <w:color w:val="0070C0"/>
          <w:sz w:val="16"/>
          <w:szCs w:val="16"/>
        </w:rPr>
      </w:pPr>
      <w:bookmarkStart w:id="58" w:name="bookmark714"/>
      <w:r w:rsidRPr="00FB4F67">
        <w:rPr>
          <w:rFonts w:ascii="Times New Roman" w:hAnsi="Times New Roman" w:cs="Times New Roman"/>
          <w:color w:val="0070C0"/>
          <w:sz w:val="16"/>
          <w:szCs w:val="16"/>
        </w:rPr>
        <w:t>16 марта 1917 г. на Владимир-Волынском направлении наш самолет, управляемый лейтенантом французской службы Пайетом, подвергся нападению со стороны двух неприятельских аппаратов. Французский пилот смело бросился на врагов. В результате короткого боя один из вражеских самолетов начал пикировать вниз, другой обратился в бегство (23405).</w:t>
      </w:r>
      <w:bookmarkEnd w:id="58"/>
    </w:p>
    <w:p w14:paraId="3364EBF5" w14:textId="77777777" w:rsidR="00481E1E" w:rsidRPr="00FB4F67" w:rsidRDefault="00481E1E" w:rsidP="0083075A">
      <w:pPr>
        <w:spacing w:after="0" w:line="240" w:lineRule="auto"/>
        <w:jc w:val="both"/>
        <w:rPr>
          <w:rFonts w:ascii="Times New Roman" w:hAnsi="Times New Roman" w:cs="Times New Roman"/>
          <w:color w:val="0070C0"/>
          <w:sz w:val="16"/>
          <w:szCs w:val="16"/>
        </w:rPr>
      </w:pPr>
    </w:p>
    <w:p w14:paraId="41BCDBFD" w14:textId="77777777" w:rsidR="00481E1E" w:rsidRPr="00FB4F67" w:rsidRDefault="00481E1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 (16) марта 1917 г. командующий Верховным штабом ЦИК приказал переформировать 2-ю БАГ, при этом 3-я КАО, 7-я КАО и 8-я КАО должны базироваться в районе Бродов на Юго-Западном фронте. 2 мая командование частью принял военный летчик Штабс Капитан Е.Н. Крутен (23525).</w:t>
      </w:r>
    </w:p>
    <w:p w14:paraId="0550456A" w14:textId="77777777" w:rsidR="00481E1E" w:rsidRPr="00FB4F67" w:rsidRDefault="00481E1E" w:rsidP="0083075A">
      <w:pPr>
        <w:spacing w:after="0" w:line="240" w:lineRule="auto"/>
        <w:jc w:val="both"/>
        <w:rPr>
          <w:rFonts w:ascii="Times New Roman" w:hAnsi="Times New Roman" w:cs="Times New Roman"/>
          <w:color w:val="0070C0"/>
          <w:sz w:val="16"/>
          <w:szCs w:val="16"/>
        </w:rPr>
      </w:pPr>
    </w:p>
    <w:p w14:paraId="7383B870" w14:textId="77777777" w:rsidR="00481E1E" w:rsidRPr="00FB4F67" w:rsidRDefault="00481E1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 (16) марта 1917 г. Ставка приказала сформировать 3-ю БАГ в составе 1-й КАО, 11-й КАО и 22-й КАО. Ее возглавил военный летчик Подполковник И.Я. Земитан и базировалась в районе Молодечно на участке Лида-Богданов на Западном фронте. Информацию о маркировке 3-й БАГ указывают: Command Wing (данные отсутствуют); 1-й КАО с одной вертикальной балкой вокруг фюзеляжа; 11-й КАО либо две черные вертикальные полосы, либо одна черная и одна красная полосы вокруг фюзеляжа;</w:t>
      </w:r>
    </w:p>
    <w:p w14:paraId="1F47A517" w14:textId="77777777" w:rsidR="00481E1E" w:rsidRPr="00FB4F67" w:rsidRDefault="00481E1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22-й КАО с разнообразными эмблемами, включая голову лошади, русалку и др.; начальники каждой части были украшены особыми эмблемами, в том числе треугольником, тузом пик и т. д. (23525).</w:t>
      </w:r>
    </w:p>
    <w:p w14:paraId="1A951556" w14:textId="77777777" w:rsidR="00481E1E" w:rsidRPr="00FB4F67" w:rsidRDefault="00481E1E" w:rsidP="0083075A">
      <w:pPr>
        <w:spacing w:after="0" w:line="240" w:lineRule="auto"/>
        <w:jc w:val="both"/>
        <w:rPr>
          <w:rFonts w:ascii="Times New Roman" w:hAnsi="Times New Roman" w:cs="Times New Roman"/>
          <w:color w:val="0070C0"/>
          <w:sz w:val="16"/>
          <w:szCs w:val="16"/>
        </w:rPr>
      </w:pPr>
    </w:p>
    <w:p w14:paraId="64603DA3" w14:textId="77777777" w:rsidR="00481E1E" w:rsidRPr="00FB4F67" w:rsidRDefault="00481E1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 (16) марта 1917 г. Ставка приказала сформировать 4-ю BAG в составе 13-й ФАО, 14-й ФАО и 15-й ФАО. Она была сформирована под Киевом под командованием военного летчика капитана А. И. Кульвинского. 4-я БАГ окончательно вступила в строй в середине июня и базировалась под Двинском. 13 июля к нему присоединилась 5-я ФАО. Сведения о маркировке 4-й БАГ указывают: Command Wing (данные отсутствуют); 13-й ФАО верхние законцовки крыла окрашены в черный цвет по ширине элеронов); 14-я ФАО (данные отсутствуют); 15-я ФАО с белым кругом на черном руле направления; 5-й ФАО с одной черной полосой на фюзеляже (23525).</w:t>
      </w:r>
    </w:p>
    <w:p w14:paraId="5B29754C" w14:textId="77777777" w:rsidR="00481E1E" w:rsidRPr="00FB4F67" w:rsidRDefault="00481E1E" w:rsidP="0083075A">
      <w:pPr>
        <w:spacing w:after="0" w:line="240" w:lineRule="auto"/>
        <w:jc w:val="both"/>
        <w:rPr>
          <w:rFonts w:ascii="Times New Roman" w:hAnsi="Times New Roman" w:cs="Times New Roman"/>
          <w:color w:val="0070C0"/>
          <w:sz w:val="16"/>
          <w:szCs w:val="16"/>
        </w:rPr>
      </w:pPr>
    </w:p>
    <w:p w14:paraId="3D0758DA" w14:textId="631900C5"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DE875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F7E09E" w14:textId="77777777" w:rsidR="000B16CD" w:rsidRPr="002F2FDF" w:rsidRDefault="000B16CD" w:rsidP="0083075A">
      <w:pPr>
        <w:pStyle w:val="ae"/>
        <w:spacing w:before="0" w:after="0"/>
        <w:jc w:val="both"/>
        <w:rPr>
          <w:color w:val="000000" w:themeColor="text1"/>
          <w:kern w:val="2"/>
          <w:sz w:val="16"/>
          <w:szCs w:val="16"/>
        </w:rPr>
      </w:pPr>
      <w:r w:rsidRPr="002F2FDF">
        <w:rPr>
          <w:color w:val="000000" w:themeColor="text1"/>
          <w:kern w:val="2"/>
          <w:sz w:val="16"/>
          <w:szCs w:val="16"/>
        </w:rPr>
        <w:t>3 (16) марта 1917 ведущие русские газеты вышли с передовицей, специально написанной к этому дню поэтом Валерием Брюсовым и начинавшейся так: «Освобожденная Россия, — Какие дивные слова! В них пробужденная стихия Народной гордости — жива!» Затем шли сообщения о крушении 300-летней монархии Романовых, об отречении Николая II, о составе нового Временного правительства и его лозунге — «Единение, порядок, работа». Союзников по Антанте, однако, эти новости не радовали: эйфория из Петрограда и Москвы быстро перекинулась на фронт, где начались «демократизация армии», солдатские самосуды над офицерами. Из-за событий в России им пришлось срочно менять планы относительно нового генерального наступления на Западном фронте (17045).</w:t>
      </w:r>
    </w:p>
    <w:p w14:paraId="7570D4A7" w14:textId="77777777" w:rsidR="000B16CD" w:rsidRPr="002F2FDF" w:rsidRDefault="000B16C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9B00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марта 1917 Михаил Александрович отказался принять престол и связал перспективы России с созывом Учредительного собрания (1348,84).</w:t>
      </w:r>
    </w:p>
    <w:p w14:paraId="497E90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68754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марта 1917 великий князь Михаил Александрович, брат Николая II, получивший известие, что он стал русским императором, отрекся от престола в пользу Учредительного собрания (4962).</w:t>
      </w:r>
    </w:p>
    <w:p w14:paraId="1D66D2C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B0A417"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 (16) марта</w:t>
      </w:r>
      <w:r w:rsidRPr="002F2FDF">
        <w:rPr>
          <w:rFonts w:ascii="Times New Roman" w:hAnsi="Times New Roman" w:cs="Times New Roman"/>
          <w:color w:val="000000" w:themeColor="text1"/>
          <w:kern w:val="2"/>
          <w:sz w:val="16"/>
          <w:szCs w:val="16"/>
        </w:rPr>
        <w:t xml:space="preserve"> в 1917 году великий князь Михаил, которому его брат Николай II передал престол, отказался принять власть, предоставив решение вопроса о форме правления будущему Учредительному собранию. Так закончилась история русской монархии (15070).</w:t>
      </w:r>
    </w:p>
    <w:p w14:paraId="6F93B5A2"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p w14:paraId="10ABF9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марта 1917 по требованию Петросовета Временное правительство объявило, что воинские части, принимавшие участие в революции, не м.б. разоружены или выведены из Петрограда. Командующим Петроградским военным округом назначается Л.Г.Корнилов (3908,254).</w:t>
      </w:r>
    </w:p>
    <w:p w14:paraId="30878C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21792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марта 1917 исполком Петросовета потребовал от Временного правительства немедленного ареста Николая II (4962).</w:t>
      </w:r>
    </w:p>
    <w:p w14:paraId="2E316FB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9768D7"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 (16) марта</w:t>
      </w:r>
      <w:r w:rsidRPr="002F2FDF">
        <w:rPr>
          <w:rFonts w:ascii="Times New Roman" w:hAnsi="Times New Roman" w:cs="Times New Roman"/>
          <w:color w:val="000000" w:themeColor="text1"/>
          <w:kern w:val="2"/>
          <w:sz w:val="16"/>
          <w:szCs w:val="16"/>
        </w:rPr>
        <w:t xml:space="preserve"> в 1917 году декларация Временного правательства "О преемственности власти права" бывшей Российской империи (15057).</w:t>
      </w:r>
    </w:p>
    <w:p w14:paraId="009DE424" w14:textId="77777777" w:rsidR="001B6ED4" w:rsidRPr="002F2FDF" w:rsidRDefault="001B6ED4" w:rsidP="0083075A">
      <w:pPr>
        <w:spacing w:after="0" w:line="240" w:lineRule="auto"/>
        <w:jc w:val="both"/>
        <w:rPr>
          <w:rFonts w:ascii="Times New Roman" w:hAnsi="Times New Roman" w:cs="Times New Roman"/>
          <w:color w:val="000000" w:themeColor="text1"/>
          <w:kern w:val="2"/>
          <w:sz w:val="16"/>
          <w:szCs w:val="16"/>
        </w:rPr>
      </w:pPr>
    </w:p>
    <w:p w14:paraId="4445D8FF"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 (16) марта</w:t>
      </w:r>
      <w:r w:rsidRPr="002F2FDF">
        <w:rPr>
          <w:rFonts w:ascii="Times New Roman" w:hAnsi="Times New Roman" w:cs="Times New Roman"/>
          <w:color w:val="000000" w:themeColor="text1"/>
          <w:kern w:val="2"/>
          <w:sz w:val="16"/>
          <w:szCs w:val="16"/>
        </w:rPr>
        <w:t xml:space="preserve"> в 1917 году исполком Петросовета потребовал от Временного правительства немедленного ареста Николая II (15070).</w:t>
      </w:r>
    </w:p>
    <w:p w14:paraId="46A29703"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p>
    <w:p w14:paraId="6688345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марта 1917 на Украине ликвидированы органы царской власти (4962).</w:t>
      </w:r>
    </w:p>
    <w:p w14:paraId="124DD1AB" w14:textId="77777777" w:rsidR="009E49F6" w:rsidRPr="002F2FDF" w:rsidRDefault="009E49F6" w:rsidP="0083075A">
      <w:pPr>
        <w:spacing w:after="0" w:line="240" w:lineRule="auto"/>
        <w:jc w:val="both"/>
        <w:rPr>
          <w:rFonts w:ascii="Times New Roman" w:hAnsi="Times New Roman" w:cs="Times New Roman"/>
          <w:color w:val="000000" w:themeColor="text1"/>
          <w:kern w:val="2"/>
          <w:sz w:val="16"/>
          <w:szCs w:val="16"/>
        </w:rPr>
      </w:pPr>
    </w:p>
    <w:p w14:paraId="4E714697" w14:textId="77777777" w:rsidR="009E49F6" w:rsidRPr="002F2FDF" w:rsidRDefault="009E49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 (16-17) марта 1917 в Киеве организована Украинская Центральная Рада (УЦР), объединившая представителей главных украинских политических партий. Эту Раду, кстати, назначили, потому что никаких выборов никто не проводил. Произошла 100-тысячная демонстрация под лозунгами: "Автономию Украине", "Свободная Украина в свободной России", "Да здравствует свободная Украина с гетманом во главе" (11629).</w:t>
      </w:r>
    </w:p>
    <w:p w14:paraId="6AADF4E8" w14:textId="77777777" w:rsidR="009E49F6" w:rsidRPr="002F2FDF" w:rsidRDefault="009E49F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995142" w14:textId="77777777" w:rsidR="000D147A"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4ACF16CF" w14:textId="77777777" w:rsidR="000D147A" w:rsidRPr="002F2FDF" w:rsidRDefault="000D147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AAE822"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 (16) марта</w:t>
      </w:r>
      <w:r w:rsidRPr="002F2FDF">
        <w:rPr>
          <w:rFonts w:ascii="Times New Roman" w:hAnsi="Times New Roman" w:cs="Times New Roman"/>
          <w:color w:val="000000" w:themeColor="text1"/>
          <w:kern w:val="2"/>
          <w:sz w:val="16"/>
          <w:szCs w:val="16"/>
        </w:rPr>
        <w:t xml:space="preserve"> в 1917 году согласно русско-японской финансовой конвенции 1916 г., во Владивостоке на японские крейсеры “Касима” и “Катори” грузится партия золота (Япония - союзник Антанты, морской перевозчик русского залогового золота для закупок оружия в США и Канаде). Однако корабли не нашли дорогу в Сан-Франциско и Ванкувер, и пришлось выгрузить золото в городе Осака. Небольшую часть Япония вернула в 1925-м, остальное пока нет (15070).</w:t>
      </w:r>
    </w:p>
    <w:p w14:paraId="0898072B"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p>
    <w:p w14:paraId="4B57B38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E8FBA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EE4AE4" w14:textId="77777777" w:rsidR="00A01CD9" w:rsidRPr="002F2FDF" w:rsidRDefault="00A01CD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3-4 (16-17) марта (ночь) 1717 были попытки германских военно - морских дирижаблей бомбить Англию в первый раз в 1917 году, первый раз используя новые дирижабли, предназначенных для высотного полета. Командир Питер Штрассер считает, что высота будет слишком большой для британской ПВО. Пять цеппелинов - по крайней мере три из которых достигают высоты от 17 100 до 19 000 футов (от 5212 до 5791 метра) - в основном бомбят открытую местность и наносят ущерб всего в 79 фунтов стерлингов и никого не убивают. Выведенный из строя из-за механической неисправности, L 39 дрейфует над Компьеном, Франция, и сбит французскими зенитными орудиями с потерей всего своего экипажа, а L 35 сильно поврежден при приземлении в Германии. Успех Zeppelins в достижении больших высот во время бомбардировки побуждает Штрассера, который сопровождает рейд на борту L 42, планировать новое наступление с бомбардировками в апреле. Известен как Кровавый апрель (20341).</w:t>
      </w:r>
    </w:p>
    <w:p w14:paraId="65BBC0FA" w14:textId="77777777" w:rsidR="00A01CD9" w:rsidRPr="002F2FDF" w:rsidRDefault="00A01CD9" w:rsidP="0083075A">
      <w:pPr>
        <w:spacing w:after="0" w:line="240" w:lineRule="auto"/>
        <w:jc w:val="both"/>
        <w:rPr>
          <w:rFonts w:ascii="Times New Roman" w:hAnsi="Times New Roman" w:cs="Times New Roman"/>
          <w:color w:val="000000" w:themeColor="text1"/>
          <w:sz w:val="16"/>
          <w:szCs w:val="16"/>
        </w:rPr>
      </w:pPr>
    </w:p>
    <w:p w14:paraId="1E7991ED" w14:textId="77777777" w:rsidR="00315738" w:rsidRPr="002F2FDF" w:rsidRDefault="00315738"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3 (16) марта 1917 года все высотные цеппелины, за исключением принятого лишь днём ранее L.43, ушли в первый рейд 1917 года. Целью налёта значились юг Англии и Лондон, бомбовая нагрузка составляла 1470–1840 кг — т.е., на 30–40% меньше прежнего. Возвращение кораблей предполагалось над Северным морем или Бельгией, если ветер окажется северным.</w:t>
      </w:r>
    </w:p>
    <w:p w14:paraId="38DFED0B" w14:textId="77777777" w:rsidR="00315738" w:rsidRPr="002F2FDF" w:rsidRDefault="00315738"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Над Южной Англией, Северной Францией и Германией стояла область высокого давления, поэтому синоптики прогнозировали хорошую погоду, но они не знали, что с северо-запада от Исландии идёт сильный циклон.</w:t>
      </w:r>
    </w:p>
    <w:p w14:paraId="01957E77" w14:textId="77777777" w:rsidR="00315738" w:rsidRPr="002F2FDF" w:rsidRDefault="00315738"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lastRenderedPageBreak/>
        <w:t>На маршруте корабли встретили постоянно усиливающийся северо-северо-западный ветер. L.42 отнесло далеко на юг к бельгийскому берегу, где капитан Дитрих сумел точно определить местоположение по свету маяка Остенде. Оттуда он повёл дирижабль на север, но быстро понял, что с одним отказавшим двигателем не в состоянии бороться с ветром, и взял курс на базу.</w:t>
      </w:r>
    </w:p>
    <w:p w14:paraId="5F2148EF" w14:textId="77777777" w:rsidR="00315738" w:rsidRPr="002F2FDF" w:rsidRDefault="00315738"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Остальные корабли благополучно добрались до Англии, и даже стоявшая над морем плотная облачность при приближении к берегу стала расходиться. Однако видимость всё равно оказалась плохой, и никаких надёжных ориентиров на земле воздухоплаватели не заметили. Радионавигация тоже оказалась абсолютно бесполезна — с одной стороны, с 20:30 по 02:00 (здесь и далее время германское) англичане почти непрерывно глушили помехами частоту связи дирижаблей, а с другой в 22:00 авария вывела из строя станцию пеленгации в Брюгге, критически важную для расчёта координат в Южной Англии. От других станций треугольник получался слишком остроугольным, что сильно увеличивало погрешность вычислений.</w:t>
      </w:r>
    </w:p>
    <w:p w14:paraId="1AF7F163" w14:textId="77777777" w:rsidR="00315738" w:rsidRPr="002F2FDF" w:rsidRDefault="00315738"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В итоге дирижабли прошли только над восточной частью Кента, сбросили бомбы фактически в чистом поле и повредили лишь два сельских дома с ущербом, оценённым в 163 фунта стерлингов. С британской стороны операция тоже оказалась провальной: лётчики совершили 17 боевых вылетов без единого контакта с противником, что стало холодным душем для командования ПВО, уверенного в действенности своих перехватчиков.</w:t>
      </w:r>
    </w:p>
    <w:p w14:paraId="34F42BDF" w14:textId="77777777" w:rsidR="00315738" w:rsidRPr="002F2FDF" w:rsidRDefault="00315738"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На обратном пути цеппелины продолжало относить на юг, и они вынуждены были идти над Бельгией и Францией. L.39, чьи бомбы и повредили те два дома, в 06:40 показался над Компьеном на высоте 3500 метров, дрейфуя по ветру с отказавшими двигателями. За 15 минут артиллерия выпустила по нему более сотни снарядов, один из которых попал в цель. Горящий цеппелин рухнул на землю, выживших не было.</w:t>
      </w:r>
    </w:p>
    <w:p w14:paraId="1643D9BD" w14:textId="77777777" w:rsidR="00315738" w:rsidRPr="002F2FDF" w:rsidRDefault="00315738"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Утром циклон дошёл до Германии, и полёт до своих баз превратился в гонку со временем при реальной угрозе потери всех кораблей в результате полной выработки топлива или посадки при сильном ветре. Приземлиться вполне удачно удалось всем, но на L.40 последний мотор захлебнулся буквально в ту же минуту, когда наземная команда взяла дирижабль на привязь. Когда заводили в эллинг L.35, налетевший порыв ветра дёрнул оперение сначала сильно вверх, а потом вниз, переломив корабль в кормовой части. Ремонт занял три месяца, в процессе чего кормовую гондолу заменили новой по типу L.44. В период с мая по октябрь 1917 года такую же модернизацию прошли L.41, L.42, L.45 и L.47.</w:t>
      </w:r>
    </w:p>
    <w:p w14:paraId="4404E554" w14:textId="77777777" w:rsidR="00315738" w:rsidRPr="002F2FDF" w:rsidRDefault="00315738"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Несмотря на все сложности и гибель одного цеппелина, Штрассер признал рейд удачным — в первую очередь, из-за того, что капитаны L.35 и L.40 отчитались о бомбёжке Лондона, а именно это было главной целью командующего (19156).</w:t>
      </w:r>
    </w:p>
    <w:p w14:paraId="0ADE8DCD" w14:textId="77777777" w:rsidR="00315738" w:rsidRPr="002F2FDF" w:rsidRDefault="00315738" w:rsidP="0083075A">
      <w:pPr>
        <w:spacing w:after="0" w:line="240" w:lineRule="auto"/>
        <w:jc w:val="both"/>
        <w:rPr>
          <w:rFonts w:ascii="Times New Roman" w:hAnsi="Times New Roman" w:cs="Times New Roman"/>
          <w:sz w:val="16"/>
          <w:szCs w:val="16"/>
        </w:rPr>
      </w:pPr>
    </w:p>
    <w:p w14:paraId="6AFE4C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марта 1917 на ЗФ германские войска отошли на линию Гинденбурга - специально подготовленный оборонительный рубеж между Аррасом и Суасоном (3907,89).</w:t>
      </w:r>
    </w:p>
    <w:p w14:paraId="38C89D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4EB508"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 (16) марта</w:t>
      </w:r>
      <w:r w:rsidRPr="002F2FDF">
        <w:rPr>
          <w:rFonts w:ascii="Times New Roman" w:hAnsi="Times New Roman" w:cs="Times New Roman"/>
          <w:color w:val="000000" w:themeColor="text1"/>
          <w:kern w:val="2"/>
          <w:sz w:val="16"/>
          <w:szCs w:val="16"/>
        </w:rPr>
        <w:t xml:space="preserve"> в 1917 году на Западном фронте германские войска отходят на линию Гинденбурга - специально подготовленный оборонительный рубеж между Аррасом и Суасоном (15070).</w:t>
      </w:r>
    </w:p>
    <w:p w14:paraId="7D83A79A"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p w14:paraId="3EC1CBE3" w14:textId="77777777" w:rsidR="001126FC" w:rsidRPr="002F2FDF" w:rsidRDefault="001126FC" w:rsidP="0083075A">
      <w:pPr>
        <w:pStyle w:val="ae"/>
        <w:spacing w:before="0" w:after="0"/>
        <w:jc w:val="both"/>
        <w:rPr>
          <w:color w:val="000000" w:themeColor="text1"/>
          <w:kern w:val="2"/>
          <w:sz w:val="16"/>
          <w:szCs w:val="16"/>
        </w:rPr>
      </w:pPr>
      <w:r w:rsidRPr="002F2FDF">
        <w:rPr>
          <w:color w:val="000000" w:themeColor="text1"/>
          <w:kern w:val="2"/>
          <w:sz w:val="16"/>
          <w:szCs w:val="16"/>
        </w:rPr>
        <w:t>3-4 (16-17) марта 1917 немцы благополучно отвели большую часть своих войск на заранее подготовленные позиции «Линии Гинденбурга» —мощного оборонительного рубежа протяженностью 160 км, построенного на севере Франции. «Этот отход был произведен как следствие решения германцев перейти к обороне с целью вывести занимавшие выступ у Нуайона войска из опасного положения, — писал военный историк, генерал Андрей Зайончковский. — Французы прозевали отход противника, и начатое 3-й армией преследование германцев ничего не дало и было остановлено перед их новой позицией».</w:t>
      </w:r>
    </w:p>
    <w:p w14:paraId="2BB7A77F" w14:textId="77777777" w:rsidR="001126FC" w:rsidRPr="002F2FDF" w:rsidRDefault="001126FC" w:rsidP="0083075A">
      <w:pPr>
        <w:pStyle w:val="ae"/>
        <w:spacing w:before="0" w:after="0"/>
        <w:jc w:val="both"/>
        <w:rPr>
          <w:color w:val="000000" w:themeColor="text1"/>
          <w:kern w:val="2"/>
          <w:sz w:val="16"/>
          <w:szCs w:val="16"/>
        </w:rPr>
      </w:pPr>
      <w:r w:rsidRPr="002F2FDF">
        <w:rPr>
          <w:color w:val="000000" w:themeColor="text1"/>
          <w:kern w:val="2"/>
          <w:sz w:val="16"/>
          <w:szCs w:val="16"/>
        </w:rPr>
        <w:t>Заместитель начальника германского генштаба генерал Эрих Людендорф вспоминал: «16 марта началось большое планомерное отступление, которое было дружно проведено несколькими крупными скачками. Верховное командование стремилось избегать всяких боев, чтобы дать войскам время устроиться на позиции Зигфрида (один из участков «Линии Гинденбурга»), прежде чем перед ней появится противник в превосходных силах. На некоторых участках находившиеся в резерве дивизии должны были сменить на новых позициях отступавшие части, другие участки занимались частями, находившимися и ранее на фронте».</w:t>
      </w:r>
    </w:p>
    <w:p w14:paraId="3FA1796B" w14:textId="77777777" w:rsidR="001126FC" w:rsidRPr="002F2FDF" w:rsidRDefault="001126FC" w:rsidP="0083075A">
      <w:pPr>
        <w:pStyle w:val="ae"/>
        <w:spacing w:before="0" w:after="0"/>
        <w:jc w:val="both"/>
        <w:rPr>
          <w:color w:val="000000" w:themeColor="text1"/>
          <w:kern w:val="2"/>
          <w:sz w:val="16"/>
          <w:szCs w:val="16"/>
        </w:rPr>
      </w:pPr>
      <w:r w:rsidRPr="002F2FDF">
        <w:rPr>
          <w:color w:val="000000" w:themeColor="text1"/>
          <w:kern w:val="2"/>
          <w:sz w:val="16"/>
          <w:szCs w:val="16"/>
        </w:rPr>
        <w:t>Отход немцев на более сильную и удобную для обороны позицию, а также революция в России заставили французское правительство отложить намечавшееся масштабное наступление и изменить его план. Теперь атаковать немцев было решено лишь в апреле, местом главного удара был выбран район Реймса к северо-востоку от Парижа, а вспомогательного — район Дуэ на севере Франции, неподалеку от Лилля (17045).</w:t>
      </w:r>
    </w:p>
    <w:p w14:paraId="30BBE63F" w14:textId="77777777" w:rsidR="001126FC" w:rsidRPr="002F2FDF" w:rsidRDefault="001126F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7CD9B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7B887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8C758E" w14:textId="77777777" w:rsidR="00481E1E" w:rsidRPr="00FB4F67" w:rsidRDefault="00481E1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4 (17) марта 1917 г. в Петрограде было официально сформировано Временное правительство. В нем преобладали либералы, умеренные социалисты, меньшевики и эсеры. В первые годы своего существования новое правительство склонялось к Петроградскому Совету рабочих и солдатских депутатов. Но к 20 апреля между Советом и правительством возник серьезный раскол по вопросу об условиях мира (23525).</w:t>
      </w:r>
    </w:p>
    <w:p w14:paraId="7986BF92" w14:textId="77777777" w:rsidR="00481E1E" w:rsidRPr="00FB4F67" w:rsidRDefault="00481E1E" w:rsidP="0083075A">
      <w:pPr>
        <w:spacing w:after="0" w:line="240" w:lineRule="auto"/>
        <w:jc w:val="both"/>
        <w:rPr>
          <w:rFonts w:ascii="Times New Roman" w:hAnsi="Times New Roman" w:cs="Times New Roman"/>
          <w:color w:val="0070C0"/>
          <w:sz w:val="16"/>
          <w:szCs w:val="16"/>
        </w:rPr>
      </w:pPr>
    </w:p>
    <w:p w14:paraId="63834E79" w14:textId="77777777" w:rsidR="00481E1E" w:rsidRPr="00FB4F67" w:rsidRDefault="00481E1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4/5 (17/18) марта 1917 г. русские военные летчики Крутен, Орлов, Хризосколео, Шебалин и другие вернулись в Россию из Франции , где прошли обучение в школах и приобрели боевой опыт с французскими частями на Западном фронте (23525).</w:t>
      </w:r>
    </w:p>
    <w:p w14:paraId="3F66711E" w14:textId="77777777" w:rsidR="00481E1E" w:rsidRPr="00FB4F67" w:rsidRDefault="00481E1E" w:rsidP="0083075A">
      <w:pPr>
        <w:spacing w:after="0" w:line="240" w:lineRule="auto"/>
        <w:jc w:val="both"/>
        <w:rPr>
          <w:rFonts w:ascii="Times New Roman" w:hAnsi="Times New Roman" w:cs="Times New Roman"/>
          <w:color w:val="0070C0"/>
          <w:sz w:val="16"/>
          <w:szCs w:val="16"/>
        </w:rPr>
      </w:pPr>
    </w:p>
    <w:p w14:paraId="1C478D5A" w14:textId="77777777" w:rsidR="00481E1E" w:rsidRPr="00FB4F67" w:rsidRDefault="00481E1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4 (17) марта 1917 г. командующий Балтийским флотом вице-адмирал А. И. Непенин и ряд других морских офицеров были убиты революционными матросами в Гельсингфорсе (23525).</w:t>
      </w:r>
    </w:p>
    <w:p w14:paraId="00068858" w14:textId="77777777" w:rsidR="00481E1E" w:rsidRPr="00FB4F67" w:rsidRDefault="00481E1E" w:rsidP="0083075A">
      <w:pPr>
        <w:spacing w:after="0" w:line="240" w:lineRule="auto"/>
        <w:jc w:val="both"/>
        <w:rPr>
          <w:rFonts w:ascii="Times New Roman" w:hAnsi="Times New Roman" w:cs="Times New Roman"/>
          <w:color w:val="0070C0"/>
          <w:sz w:val="16"/>
          <w:szCs w:val="16"/>
        </w:rPr>
      </w:pPr>
    </w:p>
    <w:p w14:paraId="5D35697D" w14:textId="0E0556DE"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 (17) марта 1917 </w:t>
      </w:r>
      <w:r w:rsidR="00E55A6A">
        <w:rPr>
          <w:rFonts w:ascii="Times New Roman" w:hAnsi="Times New Roman" w:cs="Times New Roman"/>
          <w:color w:val="000000" w:themeColor="text1"/>
          <w:kern w:val="2"/>
          <w:sz w:val="16"/>
          <w:szCs w:val="16"/>
        </w:rPr>
        <w:t>п</w:t>
      </w:r>
      <w:r w:rsidR="00E55A6A" w:rsidRPr="002F2FDF">
        <w:rPr>
          <w:rFonts w:ascii="Times New Roman" w:hAnsi="Times New Roman" w:cs="Times New Roman"/>
          <w:color w:val="000000" w:themeColor="text1"/>
          <w:kern w:val="2"/>
          <w:sz w:val="16"/>
          <w:szCs w:val="16"/>
        </w:rPr>
        <w:t xml:space="preserve">осле убийства </w:t>
      </w:r>
      <w:r w:rsidRPr="002F2FDF">
        <w:rPr>
          <w:rFonts w:ascii="Times New Roman" w:hAnsi="Times New Roman" w:cs="Times New Roman"/>
          <w:color w:val="000000" w:themeColor="text1"/>
          <w:kern w:val="2"/>
          <w:sz w:val="16"/>
          <w:szCs w:val="16"/>
        </w:rPr>
        <w:t>в Гельсингфорсе анархистами вице-адмирала А. Непенина, в командование Балтийским флотом вступил вице-адмирал А. Максимов, назначенный 10 июня на</w:t>
      </w:r>
      <w:r w:rsidRPr="002F2FDF">
        <w:rPr>
          <w:rFonts w:ascii="Times New Roman" w:hAnsi="Times New Roman" w:cs="Times New Roman"/>
          <w:color w:val="000000" w:themeColor="text1"/>
          <w:kern w:val="2"/>
          <w:sz w:val="16"/>
          <w:szCs w:val="16"/>
        </w:rPr>
        <w:softHyphen/>
        <w:t>чальником Морского штаба Ставки до упразднения этой долж</w:t>
      </w:r>
      <w:r w:rsidRPr="002F2FDF">
        <w:rPr>
          <w:rFonts w:ascii="Times New Roman" w:hAnsi="Times New Roman" w:cs="Times New Roman"/>
          <w:color w:val="000000" w:themeColor="text1"/>
          <w:kern w:val="2"/>
          <w:sz w:val="16"/>
          <w:szCs w:val="16"/>
        </w:rPr>
        <w:softHyphen/>
        <w:t>ности 6 сентября. По требованию революционных моряков Вре</w:t>
      </w:r>
      <w:r w:rsidRPr="002F2FDF">
        <w:rPr>
          <w:rFonts w:ascii="Times New Roman" w:hAnsi="Times New Roman" w:cs="Times New Roman"/>
          <w:color w:val="000000" w:themeColor="text1"/>
          <w:kern w:val="2"/>
          <w:sz w:val="16"/>
          <w:szCs w:val="16"/>
        </w:rPr>
        <w:softHyphen/>
        <w:t>менное правительство было вынуждено 18 июля отстранить от командования Черноморским флотом вице-адмирала А. Кол</w:t>
      </w:r>
      <w:r w:rsidRPr="002F2FDF">
        <w:rPr>
          <w:rFonts w:ascii="Times New Roman" w:hAnsi="Times New Roman" w:cs="Times New Roman"/>
          <w:color w:val="000000" w:themeColor="text1"/>
          <w:kern w:val="2"/>
          <w:sz w:val="16"/>
          <w:szCs w:val="16"/>
        </w:rPr>
        <w:softHyphen/>
        <w:t>чака и его начальника штаба контр-адмирала М. Смирнова, признанных реакционерами. Последними назначенцами на высшие морские посты стали контр-адмиралы Д. Вердеревский - морским министром; граф А. Капнист - начальником Морского генерального штаба; А. Развозов - командующим Балтийским флотом; А. Немитц -командующим Черноморским флотом (11283).</w:t>
      </w:r>
    </w:p>
    <w:p w14:paraId="651CD9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DF045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CB696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CB146B" w14:textId="77777777" w:rsidR="00756CD7" w:rsidRPr="002F2FDF" w:rsidRDefault="00756CD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bCs/>
          <w:color w:val="000000" w:themeColor="text1"/>
          <w:kern w:val="2"/>
          <w:sz w:val="16"/>
          <w:szCs w:val="16"/>
        </w:rPr>
        <w:t>4 (</w:t>
      </w:r>
      <w:r w:rsidRPr="002F2FDF">
        <w:rPr>
          <w:rFonts w:ascii="Times New Roman" w:hAnsi="Times New Roman" w:cs="Times New Roman"/>
          <w:color w:val="000000" w:themeColor="text1"/>
          <w:kern w:val="2"/>
          <w:sz w:val="16"/>
          <w:szCs w:val="16"/>
        </w:rPr>
        <w:t>17) марта 1917 года</w:t>
      </w:r>
      <w:r w:rsidRPr="002F2FDF">
        <w:rPr>
          <w:rFonts w:ascii="Times New Roman" w:hAnsi="Times New Roman" w:cs="Times New Roman"/>
          <w:bCs/>
          <w:color w:val="000000" w:themeColor="text1"/>
          <w:kern w:val="2"/>
          <w:sz w:val="16"/>
          <w:szCs w:val="16"/>
        </w:rPr>
        <w:t xml:space="preserve"> в субботу состоялось первое заседание Временного правительства. Таврический дворец в предыдущие дни подвергся настоящему разгрому, и заседать там не было никакой возможности. Поэтому министры собрались в здании Министерства внутренних дел (напомним, что во главе его стоял князь Г. Е. Львов, совмещавший этот пост с обязанностями премьера). Там же правительство собиралось в течение двух последующих дней (</w:t>
      </w:r>
      <w:r w:rsidRPr="002F2FDF">
        <w:rPr>
          <w:rFonts w:ascii="Times New Roman" w:hAnsi="Times New Roman" w:cs="Times New Roman"/>
          <w:color w:val="000000" w:themeColor="text1"/>
          <w:kern w:val="2"/>
          <w:sz w:val="16"/>
          <w:szCs w:val="16"/>
        </w:rPr>
        <w:t>18 – 19 марта 1917 г.н.с.</w:t>
      </w:r>
      <w:r w:rsidRPr="002F2FDF">
        <w:rPr>
          <w:rFonts w:ascii="Times New Roman" w:hAnsi="Times New Roman" w:cs="Times New Roman"/>
          <w:bCs/>
          <w:color w:val="000000" w:themeColor="text1"/>
          <w:kern w:val="2"/>
          <w:sz w:val="16"/>
          <w:szCs w:val="16"/>
        </w:rPr>
        <w:t>). Лишь с 7 марта заседания были перенесены в Мариинский дворец, который и стал до середины июля главной правительственной резиденцией (17326).</w:t>
      </w:r>
    </w:p>
    <w:p w14:paraId="10DB22D1" w14:textId="77777777" w:rsidR="00756CD7" w:rsidRPr="002F2FDF" w:rsidRDefault="00756CD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D36C84"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4 (17) марта</w:t>
      </w:r>
      <w:r w:rsidRPr="002F2FDF">
        <w:rPr>
          <w:rFonts w:ascii="Times New Roman" w:hAnsi="Times New Roman" w:cs="Times New Roman"/>
          <w:color w:val="000000" w:themeColor="text1"/>
          <w:kern w:val="2"/>
          <w:sz w:val="16"/>
          <w:szCs w:val="16"/>
        </w:rPr>
        <w:t xml:space="preserve"> в 1917 году в порту Свеаборга убивают выстрелом в спину командующего Балтфлотом адмирала А.Непенина (15071).</w:t>
      </w:r>
    </w:p>
    <w:p w14:paraId="66F6CD75"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p w14:paraId="2534E29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марта 1917 в порту Свеаборга убит выстрелом в спину командующий Балтфлотом адмирал А. Непенин (4962).</w:t>
      </w:r>
    </w:p>
    <w:p w14:paraId="78E6641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9ADC5D" w14:textId="77777777" w:rsidR="001126FC" w:rsidRPr="002F2FDF" w:rsidRDefault="001126FC" w:rsidP="0083075A">
      <w:pPr>
        <w:pStyle w:val="ae"/>
        <w:spacing w:before="0" w:after="0"/>
        <w:jc w:val="both"/>
        <w:rPr>
          <w:color w:val="000000" w:themeColor="text1"/>
          <w:kern w:val="2"/>
          <w:sz w:val="16"/>
          <w:szCs w:val="16"/>
        </w:rPr>
      </w:pPr>
      <w:r w:rsidRPr="002F2FDF">
        <w:rPr>
          <w:color w:val="000000" w:themeColor="text1"/>
          <w:kern w:val="2"/>
          <w:sz w:val="16"/>
          <w:szCs w:val="16"/>
        </w:rPr>
        <w:t>4 (17) марта 1917 в Гельсингфорсе был застрелен уже командующий Балтийским флотом адмирал Адриан Непенин, который лично поддержал Временное правительство, но вел переговоры с ним втайне от выборных комитетов матросов, чем возбудил их подозрения. Также Непенину припомнили его грубый нрав и невнимательность к просьбам матросов по улучшению быта.</w:t>
      </w:r>
    </w:p>
    <w:p w14:paraId="0504A824" w14:textId="77777777" w:rsidR="001126FC" w:rsidRPr="002F2FDF" w:rsidRDefault="001126FC" w:rsidP="0083075A">
      <w:pPr>
        <w:pStyle w:val="ae"/>
        <w:spacing w:before="0" w:after="0"/>
        <w:jc w:val="both"/>
        <w:rPr>
          <w:color w:val="000000" w:themeColor="text1"/>
          <w:kern w:val="2"/>
          <w:sz w:val="16"/>
          <w:szCs w:val="16"/>
        </w:rPr>
      </w:pPr>
      <w:r w:rsidRPr="002F2FDF">
        <w:rPr>
          <w:color w:val="000000" w:themeColor="text1"/>
          <w:kern w:val="2"/>
          <w:sz w:val="16"/>
          <w:szCs w:val="16"/>
        </w:rPr>
        <w:t>Временное правительство понимало пагубность «приказа №1», тем более, что оно уже заявило о верности союзникам по Антанте и готовности продолжать войну до победы. Однако прямо его отменить означало открытый конфликт с Петросоветом. Чтобы снивелировать последствия от приказа, новый военный министр Александр Гучков издал свой приказ с «разъяснениями», согласно которым единоначалие в армии сохранялось и говорилось об отмене лишь некоторых статей воинских уставов. Так, офицеры теперь должны были обращаться к солдатам на «Вы», было упразднено понятие «нижний чин», отменено отдание чести и, прочие, как тогда говорили, унизительные «старорежимные порядки» (17045).</w:t>
      </w:r>
    </w:p>
    <w:p w14:paraId="1EB32414" w14:textId="77777777" w:rsidR="001126FC" w:rsidRPr="002F2FDF" w:rsidRDefault="001126FC" w:rsidP="0083075A">
      <w:pPr>
        <w:spacing w:after="0" w:line="240" w:lineRule="auto"/>
        <w:jc w:val="both"/>
        <w:rPr>
          <w:rFonts w:ascii="Times New Roman" w:hAnsi="Times New Roman" w:cs="Times New Roman"/>
          <w:bCs/>
          <w:color w:val="000000" w:themeColor="text1"/>
          <w:kern w:val="2"/>
          <w:sz w:val="16"/>
          <w:szCs w:val="16"/>
        </w:rPr>
      </w:pPr>
    </w:p>
    <w:p w14:paraId="597BD32E" w14:textId="77777777" w:rsidR="00756CD7" w:rsidRPr="002F2FDF" w:rsidRDefault="00756CD7"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 xml:space="preserve">4 (17) марта 1917 г. Горький образовал «Комиссию по делам искусств». В Петрограде на квартире Максима Горького 17 марта 1917 г.н.с. прошло совещание писателей и деятелей искусства. В совещании участвовала и творческая молодежь, в частности Владимир Маяковский. Избрана «Комиссия по делам искусств». </w:t>
      </w:r>
      <w:r w:rsidRPr="002F2FDF">
        <w:rPr>
          <w:rFonts w:ascii="Times New Roman" w:hAnsi="Times New Roman" w:cs="Times New Roman"/>
          <w:bCs/>
          <w:color w:val="000000" w:themeColor="text1"/>
          <w:kern w:val="2"/>
          <w:sz w:val="16"/>
          <w:szCs w:val="16"/>
        </w:rPr>
        <w:t>На этом совещании обсуждался также вопрос об охране памятников и произведений искусства, которые находились в государственных и частных собраниях. Во время революции некоторые из них пострадали, находились под угрозой продажи за границу. Горький от имени группы писателей, художников, артистов обратился с воззванием, в котором писал, что огромное культурное наследство теперь принадлежит всему народу, он призывал беречь это наследство</w:t>
      </w:r>
      <w:r w:rsidRPr="002F2FDF">
        <w:rPr>
          <w:rFonts w:ascii="Times New Roman" w:eastAsia="Times New Roman" w:hAnsi="Times New Roman" w:cs="Times New Roman"/>
          <w:color w:val="000000" w:themeColor="text1"/>
          <w:kern w:val="2"/>
          <w:sz w:val="16"/>
          <w:szCs w:val="16"/>
          <w:lang w:eastAsia="ru-RU"/>
        </w:rPr>
        <w:t xml:space="preserve"> (17326).</w:t>
      </w:r>
    </w:p>
    <w:p w14:paraId="7E616339" w14:textId="77777777" w:rsidR="00756CD7" w:rsidRPr="002F2FDF" w:rsidRDefault="00756CD7" w:rsidP="0083075A">
      <w:pPr>
        <w:spacing w:after="0" w:line="240" w:lineRule="auto"/>
        <w:jc w:val="both"/>
        <w:rPr>
          <w:rFonts w:ascii="Times New Roman" w:hAnsi="Times New Roman" w:cs="Times New Roman"/>
          <w:bCs/>
          <w:color w:val="000000" w:themeColor="text1"/>
          <w:kern w:val="2"/>
          <w:sz w:val="16"/>
          <w:szCs w:val="16"/>
        </w:rPr>
      </w:pPr>
    </w:p>
    <w:p w14:paraId="792887E7" w14:textId="77777777" w:rsidR="00756CD7" w:rsidRPr="002F2FDF" w:rsidRDefault="00756CD7" w:rsidP="0083075A">
      <w:pPr>
        <w:spacing w:after="0" w:line="240" w:lineRule="auto"/>
        <w:jc w:val="both"/>
        <w:rPr>
          <w:rFonts w:ascii="Times New Roman" w:hAnsi="Times New Roman" w:cs="Times New Roman"/>
          <w:bCs/>
          <w:color w:val="000000" w:themeColor="text1"/>
          <w:kern w:val="2"/>
          <w:sz w:val="16"/>
          <w:szCs w:val="16"/>
        </w:rPr>
      </w:pPr>
      <w:r w:rsidRPr="002F2FDF">
        <w:rPr>
          <w:rFonts w:ascii="Times New Roman" w:eastAsia="Times New Roman" w:hAnsi="Times New Roman" w:cs="Times New Roman"/>
          <w:color w:val="000000" w:themeColor="text1"/>
          <w:kern w:val="2"/>
          <w:sz w:val="16"/>
          <w:szCs w:val="16"/>
          <w:lang w:eastAsia="ru-RU"/>
        </w:rPr>
        <w:lastRenderedPageBreak/>
        <w:t>4 (17) марта 1917 г. Молотов выпустил первый номер возобновленной «Правды». В</w:t>
      </w:r>
      <w:r w:rsidRPr="002F2FDF">
        <w:rPr>
          <w:rFonts w:ascii="Times New Roman" w:hAnsi="Times New Roman" w:cs="Times New Roman"/>
          <w:bCs/>
          <w:color w:val="000000" w:themeColor="text1"/>
          <w:kern w:val="2"/>
          <w:sz w:val="16"/>
          <w:szCs w:val="16"/>
        </w:rPr>
        <w:t>торой был напечатан и разошелся в количестве 100 тысяч экземпляров. Газета встала в оппозицию к Временному правительству, избранному почти из одних членов Прогрессивного блока, и призвала к избранию по-настоящему революционного правительства</w:t>
      </w:r>
      <w:r w:rsidRPr="002F2FDF">
        <w:rPr>
          <w:rFonts w:ascii="Times New Roman" w:eastAsia="Times New Roman" w:hAnsi="Times New Roman" w:cs="Times New Roman"/>
          <w:color w:val="000000" w:themeColor="text1"/>
          <w:kern w:val="2"/>
          <w:sz w:val="16"/>
          <w:szCs w:val="16"/>
          <w:lang w:eastAsia="ru-RU"/>
        </w:rPr>
        <w:t xml:space="preserve"> (17326).</w:t>
      </w:r>
    </w:p>
    <w:p w14:paraId="22F28F0C" w14:textId="77777777" w:rsidR="00756CD7" w:rsidRPr="002F2FDF" w:rsidRDefault="00756CD7" w:rsidP="0083075A">
      <w:pPr>
        <w:spacing w:after="0" w:line="240" w:lineRule="auto"/>
        <w:jc w:val="both"/>
        <w:rPr>
          <w:rFonts w:ascii="Times New Roman" w:hAnsi="Times New Roman" w:cs="Times New Roman"/>
          <w:bCs/>
          <w:color w:val="000000" w:themeColor="text1"/>
          <w:kern w:val="2"/>
          <w:sz w:val="16"/>
          <w:szCs w:val="16"/>
        </w:rPr>
      </w:pPr>
    </w:p>
    <w:p w14:paraId="4E668903"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4 (17) марта</w:t>
      </w:r>
      <w:r w:rsidRPr="002F2FDF">
        <w:rPr>
          <w:rFonts w:ascii="Times New Roman" w:hAnsi="Times New Roman" w:cs="Times New Roman"/>
          <w:color w:val="000000" w:themeColor="text1"/>
          <w:kern w:val="2"/>
          <w:sz w:val="16"/>
          <w:szCs w:val="16"/>
        </w:rPr>
        <w:t xml:space="preserve"> в 1917 году в Киеве образуется Рада (Центральный совет Украины) под председательством историка М.С.Грушевского (15071).</w:t>
      </w:r>
    </w:p>
    <w:p w14:paraId="4EA32722"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p w14:paraId="64212488" w14:textId="77777777" w:rsidR="001126FC" w:rsidRPr="002F2FDF" w:rsidRDefault="001126FC" w:rsidP="0083075A">
      <w:pPr>
        <w:pStyle w:val="ae"/>
        <w:spacing w:before="0" w:after="0"/>
        <w:jc w:val="both"/>
        <w:rPr>
          <w:color w:val="000000" w:themeColor="text1"/>
          <w:kern w:val="2"/>
          <w:sz w:val="16"/>
          <w:szCs w:val="16"/>
        </w:rPr>
      </w:pPr>
      <w:r w:rsidRPr="002F2FDF">
        <w:rPr>
          <w:color w:val="000000" w:themeColor="text1"/>
          <w:kern w:val="2"/>
          <w:sz w:val="16"/>
          <w:szCs w:val="16"/>
        </w:rPr>
        <w:t>4 (17) марта 1917 в Киеве было создана Украинская центральная рада, которая пока еще не ставила вопрос о «самостийности» Украины, но уже заговорила об автономии. На первых порах этот орган состоял из представителей украинских политических, общественных, культурных и профессиональных организаций (17045).</w:t>
      </w:r>
    </w:p>
    <w:p w14:paraId="668365CC" w14:textId="77777777" w:rsidR="001126FC" w:rsidRPr="002F2FDF" w:rsidRDefault="001126F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E52EA1" w14:textId="77777777" w:rsidR="00756CD7" w:rsidRPr="002F2FDF" w:rsidRDefault="00853407"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4 (</w:t>
      </w:r>
      <w:r w:rsidR="00756CD7" w:rsidRPr="002F2FDF">
        <w:rPr>
          <w:rFonts w:ascii="Times New Roman" w:eastAsia="Times New Roman" w:hAnsi="Times New Roman" w:cs="Times New Roman"/>
          <w:color w:val="000000" w:themeColor="text1"/>
          <w:kern w:val="2"/>
          <w:sz w:val="16"/>
          <w:szCs w:val="16"/>
          <w:lang w:eastAsia="ru-RU"/>
        </w:rPr>
        <w:t>17</w:t>
      </w:r>
      <w:r w:rsidRPr="002F2FDF">
        <w:rPr>
          <w:rFonts w:ascii="Times New Roman" w:eastAsia="Times New Roman" w:hAnsi="Times New Roman" w:cs="Times New Roman"/>
          <w:color w:val="000000" w:themeColor="text1"/>
          <w:kern w:val="2"/>
          <w:sz w:val="16"/>
          <w:szCs w:val="16"/>
          <w:lang w:eastAsia="ru-RU"/>
        </w:rPr>
        <w:t>)</w:t>
      </w:r>
      <w:r w:rsidR="00756CD7" w:rsidRPr="002F2FDF">
        <w:rPr>
          <w:rFonts w:ascii="Times New Roman" w:eastAsia="Times New Roman" w:hAnsi="Times New Roman" w:cs="Times New Roman"/>
          <w:color w:val="000000" w:themeColor="text1"/>
          <w:kern w:val="2"/>
          <w:sz w:val="16"/>
          <w:szCs w:val="16"/>
          <w:lang w:eastAsia="ru-RU"/>
        </w:rPr>
        <w:t xml:space="preserve"> марта 1917 г. в Киеве в Думе образован Исполнительный комитет. Затем образована Центральная Рада Украины под председательством 50-летнего историка Михаила Грушевского. Это конкуренты за верховную власть. С ними ведет борьбу Совет народных и солдатских депутатов. Таким образом в Петрограде после Февральской революции было «двоеввластие», но на Украине образовалось «троевластие»:</w:t>
      </w:r>
      <w:r w:rsidR="00756CD7" w:rsidRPr="002F2FDF">
        <w:rPr>
          <w:rFonts w:ascii="Times New Roman" w:eastAsia="Times New Roman" w:hAnsi="Times New Roman" w:cs="Times New Roman"/>
          <w:bCs/>
          <w:color w:val="000000" w:themeColor="text1"/>
          <w:kern w:val="2"/>
          <w:sz w:val="16"/>
          <w:szCs w:val="16"/>
          <w:lang w:eastAsia="ru-RU"/>
        </w:rPr>
        <w:t>Исполком – Рада – Совдеп (17326)</w:t>
      </w:r>
      <w:r w:rsidR="00756CD7" w:rsidRPr="002F2FDF">
        <w:rPr>
          <w:rFonts w:ascii="Times New Roman" w:eastAsia="Times New Roman" w:hAnsi="Times New Roman" w:cs="Times New Roman"/>
          <w:color w:val="000000" w:themeColor="text1"/>
          <w:kern w:val="2"/>
          <w:sz w:val="16"/>
          <w:szCs w:val="16"/>
          <w:lang w:eastAsia="ru-RU"/>
        </w:rPr>
        <w:t>.</w:t>
      </w:r>
    </w:p>
    <w:p w14:paraId="483AC96E" w14:textId="77777777" w:rsidR="00756CD7" w:rsidRPr="002F2FDF" w:rsidRDefault="00756CD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4E4CDE" w14:textId="77777777" w:rsidR="00853407" w:rsidRPr="002F2FDF" w:rsidRDefault="00DE1DC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4 (</w:t>
      </w:r>
      <w:r w:rsidR="00853407" w:rsidRPr="002F2FDF">
        <w:rPr>
          <w:rFonts w:ascii="Times New Roman" w:hAnsi="Times New Roman" w:cs="Times New Roman"/>
          <w:color w:val="000000" w:themeColor="text1"/>
          <w:kern w:val="2"/>
          <w:sz w:val="16"/>
          <w:szCs w:val="16"/>
        </w:rPr>
        <w:t>17-го</w:t>
      </w:r>
      <w:r w:rsidRPr="002F2FDF">
        <w:rPr>
          <w:rFonts w:ascii="Times New Roman" w:hAnsi="Times New Roman" w:cs="Times New Roman"/>
          <w:color w:val="000000" w:themeColor="text1"/>
          <w:kern w:val="2"/>
          <w:sz w:val="16"/>
          <w:szCs w:val="16"/>
        </w:rPr>
        <w:t>)</w:t>
      </w:r>
      <w:r w:rsidR="00853407" w:rsidRPr="002F2FDF">
        <w:rPr>
          <w:rFonts w:ascii="Times New Roman" w:hAnsi="Times New Roman" w:cs="Times New Roman"/>
          <w:color w:val="000000" w:themeColor="text1"/>
          <w:kern w:val="2"/>
          <w:sz w:val="16"/>
          <w:szCs w:val="16"/>
        </w:rPr>
        <w:t xml:space="preserve"> марта 1917</w:t>
      </w:r>
      <w:r w:rsidR="00853407" w:rsidRPr="002F2FDF">
        <w:rPr>
          <w:rFonts w:ascii="Times New Roman" w:hAnsi="Times New Roman" w:cs="Times New Roman"/>
          <w:bCs/>
          <w:color w:val="000000" w:themeColor="text1"/>
          <w:kern w:val="2"/>
          <w:sz w:val="16"/>
          <w:szCs w:val="16"/>
        </w:rPr>
        <w:t xml:space="preserve"> в Киевской городской думе собрались представители общественных организаций и партий и выбрали из себя Исполнительный Комитет из 12 членов. На этом собрании были, конечно, представители всех революционных партий и организаций, так как с падением царского правительства они получили возможность выступать легально и принимать участие в общественной и политической жизни. При рассмотрении списка представителей бросается в глаза, что на этом их многолюдном собрании в столице Украины была представлена только одна украинская организация — «Товариство Украiнських Поступовцiв (17326).</w:t>
      </w:r>
    </w:p>
    <w:p w14:paraId="60E79433" w14:textId="77777777" w:rsidR="00853407" w:rsidRPr="002F2FDF" w:rsidRDefault="0085340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2D412B" w14:textId="77777777" w:rsidR="006709A3"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7629E3E3" w14:textId="77777777" w:rsidR="006709A3" w:rsidRPr="002F2FDF" w:rsidRDefault="006709A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18706E" w14:textId="1927CA31" w:rsidR="006709A3" w:rsidRPr="002F2FDF" w:rsidRDefault="00E55A6A"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bCs/>
          <w:color w:val="000000" w:themeColor="text1"/>
          <w:kern w:val="2"/>
          <w:sz w:val="16"/>
          <w:szCs w:val="16"/>
        </w:rPr>
        <w:t>4 (</w:t>
      </w:r>
      <w:r w:rsidR="006709A3" w:rsidRPr="002F2FDF">
        <w:rPr>
          <w:rFonts w:ascii="Times New Roman" w:hAnsi="Times New Roman" w:cs="Times New Roman"/>
          <w:bCs/>
          <w:color w:val="000000" w:themeColor="text1"/>
          <w:kern w:val="2"/>
          <w:sz w:val="16"/>
          <w:szCs w:val="16"/>
        </w:rPr>
        <w:t>17</w:t>
      </w:r>
      <w:r>
        <w:rPr>
          <w:rFonts w:ascii="Times New Roman" w:hAnsi="Times New Roman" w:cs="Times New Roman"/>
          <w:bCs/>
          <w:color w:val="000000" w:themeColor="text1"/>
          <w:kern w:val="2"/>
          <w:sz w:val="16"/>
          <w:szCs w:val="16"/>
        </w:rPr>
        <w:t>)</w:t>
      </w:r>
      <w:r w:rsidR="006709A3" w:rsidRPr="002F2FDF">
        <w:rPr>
          <w:rFonts w:ascii="Times New Roman" w:hAnsi="Times New Roman" w:cs="Times New Roman"/>
          <w:bCs/>
          <w:color w:val="000000" w:themeColor="text1"/>
          <w:kern w:val="2"/>
          <w:sz w:val="16"/>
          <w:szCs w:val="16"/>
        </w:rPr>
        <w:t xml:space="preserve"> марта</w:t>
      </w:r>
      <w:r w:rsidR="006709A3" w:rsidRPr="002F2FDF">
        <w:rPr>
          <w:rFonts w:ascii="Times New Roman" w:hAnsi="Times New Roman" w:cs="Times New Roman"/>
          <w:color w:val="000000" w:themeColor="text1"/>
          <w:kern w:val="2"/>
          <w:sz w:val="16"/>
          <w:szCs w:val="16"/>
        </w:rPr>
        <w:t xml:space="preserve"> в 1917 году министр иностранных дел России П.Н.Милюков информировал российских послов о намерении новой власти сохранять верность взятым ранее обязательствам и продолжать войну (15071).</w:t>
      </w:r>
    </w:p>
    <w:p w14:paraId="049DF445"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p w14:paraId="3AB0B96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8C5A9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013128"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4 (17) марта</w:t>
      </w:r>
      <w:r w:rsidRPr="002F2FDF">
        <w:rPr>
          <w:rFonts w:ascii="Times New Roman" w:hAnsi="Times New Roman" w:cs="Times New Roman"/>
          <w:color w:val="000000" w:themeColor="text1"/>
          <w:kern w:val="2"/>
          <w:sz w:val="16"/>
          <w:szCs w:val="16"/>
        </w:rPr>
        <w:t xml:space="preserve"> в 1917 году в ночь на 17 марта эскадрилья «Handley Page» первую бомбардировку совершила во Франции по германскому железнодорожному узлу. Первый полёт бомбардировщик «Handley Page» «Type O» совершил 18 декабря 1915 г. Позднее название сменили на «0/100», где 100 - размах крыла в футах. В ходе испытаний были выявлены различные недостатки. Была разработана новая версия самолёта. Кабина пилотов стала открытой. Уменьшилось бронирование, были установлены новые радиаторы. Следующие испытания состоялись в апреле 1916 г. В мае 1916 «0/100» поднялся на высоту 7000 футов (2135 м) с 20 служащими компании «Handley Page» на борту. В августе 1916 г. была создана эскадрилья «Handley Page». Всего было произведено 46 экземпляров «0/100» (15071).</w:t>
      </w:r>
    </w:p>
    <w:p w14:paraId="42C7A9B7"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p w14:paraId="00C6B7B0"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4 (17) марта</w:t>
      </w:r>
      <w:r w:rsidRPr="002F2FDF">
        <w:rPr>
          <w:rFonts w:ascii="Times New Roman" w:hAnsi="Times New Roman" w:cs="Times New Roman"/>
          <w:color w:val="000000" w:themeColor="text1"/>
          <w:kern w:val="2"/>
          <w:sz w:val="16"/>
          <w:szCs w:val="16"/>
        </w:rPr>
        <w:t xml:space="preserve"> в 1917 году немецкий ас барон Манфред фон Рихтгофен на своём истребителе «Halberstadt» «D II» сбил английский самолёт «BE 2d», выполнявший артиллерийско-корректировочную миссию, одержав свою 28-ю победу. Пилот, 2-й лейтенант Джордж Макдональд Уотт и лётчик-наблюдатель сержант Эрнест Адам Хаулетт погибли (15071).</w:t>
      </w:r>
    </w:p>
    <w:p w14:paraId="6281851F"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p w14:paraId="1DDCDA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марта 1917 вышел приказ о том, что на всех фронтовых германских самолетах РН д.б. краситься в белый цвет (4541, 5).</w:t>
      </w:r>
    </w:p>
    <w:p w14:paraId="3CAC61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16C6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 (17-18) марта 1917 на ЗФ британские войска оккупировали Бапом и Перрон (3907,89).</w:t>
      </w:r>
    </w:p>
    <w:p w14:paraId="50D330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022BC3" w14:textId="77777777" w:rsidR="001126FC" w:rsidRPr="002F2FDF" w:rsidRDefault="001126FC" w:rsidP="0083075A">
      <w:pPr>
        <w:pStyle w:val="ae"/>
        <w:spacing w:before="0" w:after="0"/>
        <w:jc w:val="both"/>
        <w:rPr>
          <w:color w:val="000000" w:themeColor="text1"/>
          <w:kern w:val="2"/>
          <w:sz w:val="16"/>
          <w:szCs w:val="16"/>
        </w:rPr>
      </w:pPr>
      <w:r w:rsidRPr="002F2FDF">
        <w:rPr>
          <w:color w:val="000000" w:themeColor="text1"/>
          <w:kern w:val="2"/>
          <w:sz w:val="16"/>
          <w:szCs w:val="16"/>
        </w:rPr>
        <w:t>4 (17) марта 1917 в Ла-Манше под прикрытием темноты немецкие эсминцы атаковали британские мониторы (уже устаревшие на тот момент низкобортные броненосные суда) так называемого «Дуврского патруля» — специального подразделения британского флота, обеспечивавшего в проливе охрану транспортных судов, борьбу с немецкими подлодками, постановку мин и артиллерийскую поддержку пехоты в прибрежных районах Франции. В ходе боя один германский эсминец был затоплен, другой получил серьезные повреждения.</w:t>
      </w:r>
    </w:p>
    <w:p w14:paraId="5B55B4E6" w14:textId="77777777" w:rsidR="001126FC" w:rsidRPr="002F2FDF" w:rsidRDefault="001126FC" w:rsidP="0083075A">
      <w:pPr>
        <w:pStyle w:val="ae"/>
        <w:spacing w:before="0" w:after="0"/>
        <w:jc w:val="both"/>
        <w:rPr>
          <w:color w:val="000000" w:themeColor="text1"/>
          <w:kern w:val="2"/>
          <w:sz w:val="16"/>
          <w:szCs w:val="16"/>
        </w:rPr>
      </w:pPr>
      <w:r w:rsidRPr="002F2FDF">
        <w:rPr>
          <w:color w:val="000000" w:themeColor="text1"/>
          <w:kern w:val="2"/>
          <w:sz w:val="16"/>
          <w:szCs w:val="16"/>
        </w:rPr>
        <w:t>В рамках «неограниченной подводной войны» немецким подлодкам в период с 13 по 19 марта удалось затопить 111 кораблей как воюющих, так и нейтральных стран. В их числе 19 марта у берегов Сардинии в Средиземном море немецкой подводной лодкой U-64 был торпедирован французский эскадренный броненосец «Дантон»</w:t>
      </w:r>
      <w:r w:rsidR="00A37479" w:rsidRPr="002F2FDF">
        <w:rPr>
          <w:color w:val="000000" w:themeColor="text1"/>
          <w:kern w:val="2"/>
          <w:sz w:val="16"/>
          <w:szCs w:val="16"/>
        </w:rPr>
        <w:t xml:space="preserve"> (17045)</w:t>
      </w:r>
      <w:r w:rsidRPr="002F2FDF">
        <w:rPr>
          <w:color w:val="000000" w:themeColor="text1"/>
          <w:kern w:val="2"/>
          <w:sz w:val="16"/>
          <w:szCs w:val="16"/>
        </w:rPr>
        <w:t>.</w:t>
      </w:r>
    </w:p>
    <w:p w14:paraId="0209CC53" w14:textId="77777777" w:rsidR="001126FC" w:rsidRPr="002F2FDF" w:rsidRDefault="001126F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F04DCA" w14:textId="77777777" w:rsidR="006709A3"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9E51CB8" w14:textId="77777777" w:rsidR="006709A3" w:rsidRPr="002F2FDF" w:rsidRDefault="006709A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F78A56" w14:textId="77777777" w:rsidR="005931B2" w:rsidRPr="00FB4F67" w:rsidRDefault="005931B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5 (18) марта 1917 г. наш аэроплан (летчик старший унтер-офицер В.М. Каминский и наблюдатель поручик В.А. Лебедев, 2-й авиационный дивизион), проводивший фотографирование неприятельских позиций, был атакован немецким летательным аппаратом. Поручик Лебедев открыл из пулемета по противнику ответный огонь. Несмотря на его ранение и серьезные повреждения самолета, наши летчики продолжили бой с более сильным противником. Оценив по достоинству стойкость русского экипажа, германские летчики были вынуждены оставить в покое наш самолет. За этой бой позднее унтер- офицер Каминский удостоен солдатского Георгиевского креста IV степени, а поручик Лебедев представлен к правительственной награде (23405).</w:t>
      </w:r>
    </w:p>
    <w:p w14:paraId="288302C0" w14:textId="77777777" w:rsidR="005931B2" w:rsidRPr="00FB4F67" w:rsidRDefault="005931B2" w:rsidP="0083075A">
      <w:pPr>
        <w:spacing w:after="0" w:line="240" w:lineRule="auto"/>
        <w:jc w:val="both"/>
        <w:rPr>
          <w:rFonts w:ascii="Times New Roman" w:hAnsi="Times New Roman" w:cs="Times New Roman"/>
          <w:color w:val="0070C0"/>
          <w:sz w:val="16"/>
          <w:szCs w:val="16"/>
        </w:rPr>
      </w:pPr>
    </w:p>
    <w:p w14:paraId="258BA3A0"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5 (18) марта </w:t>
      </w:r>
      <w:r w:rsidRPr="002F2FDF">
        <w:rPr>
          <w:rFonts w:ascii="Times New Roman" w:hAnsi="Times New Roman" w:cs="Times New Roman"/>
          <w:color w:val="000000" w:themeColor="text1"/>
          <w:kern w:val="2"/>
          <w:sz w:val="16"/>
          <w:szCs w:val="16"/>
        </w:rPr>
        <w:t>в 1917 году приказом N 114 по военному ведомству понятие «нижний чин» было заменено на «солдат». Отныне офицеры были обязаны обращаться к солдатам на «вы». Было также отменено титулование офицеров и введено единое для всей армии обращение «господин» (15072).</w:t>
      </w:r>
    </w:p>
    <w:p w14:paraId="7910F05C"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p w14:paraId="19E2055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EF2AC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D812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марта 1917 возобновлен выход Правды (1348,84).</w:t>
      </w:r>
    </w:p>
    <w:p w14:paraId="124365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900817" w14:textId="6AB5B8F7" w:rsidR="006709A3" w:rsidRPr="002F2FDF" w:rsidRDefault="00E55A6A"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bCs/>
          <w:color w:val="000000" w:themeColor="text1"/>
          <w:kern w:val="2"/>
          <w:sz w:val="16"/>
          <w:szCs w:val="16"/>
        </w:rPr>
        <w:t>5</w:t>
      </w:r>
      <w:r w:rsidR="006709A3" w:rsidRPr="002F2FDF">
        <w:rPr>
          <w:rFonts w:ascii="Times New Roman" w:hAnsi="Times New Roman" w:cs="Times New Roman"/>
          <w:bCs/>
          <w:color w:val="000000" w:themeColor="text1"/>
          <w:kern w:val="2"/>
          <w:sz w:val="16"/>
          <w:szCs w:val="16"/>
        </w:rPr>
        <w:t xml:space="preserve"> (18) марта </w:t>
      </w:r>
      <w:r w:rsidR="006709A3" w:rsidRPr="002F2FDF">
        <w:rPr>
          <w:rFonts w:ascii="Times New Roman" w:hAnsi="Times New Roman" w:cs="Times New Roman"/>
          <w:color w:val="000000" w:themeColor="text1"/>
          <w:kern w:val="2"/>
          <w:sz w:val="16"/>
          <w:szCs w:val="16"/>
        </w:rPr>
        <w:t>в 1917 году восстанавливается выход запрещенной большевистской газеты "Правда" (15072).</w:t>
      </w:r>
    </w:p>
    <w:p w14:paraId="36932AE7"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p w14:paraId="46E1C3DF" w14:textId="77777777" w:rsidR="00853407" w:rsidRPr="002F2FDF" w:rsidRDefault="00853407"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bCs/>
          <w:color w:val="000000" w:themeColor="text1"/>
          <w:kern w:val="2"/>
          <w:sz w:val="16"/>
          <w:szCs w:val="16"/>
          <w:lang w:eastAsia="ru-RU"/>
        </w:rPr>
        <w:t xml:space="preserve">5 </w:t>
      </w:r>
      <w:r w:rsidRPr="002F2FDF">
        <w:rPr>
          <w:rFonts w:ascii="Times New Roman" w:eastAsia="Times New Roman" w:hAnsi="Times New Roman" w:cs="Times New Roman"/>
          <w:color w:val="000000" w:themeColor="text1"/>
          <w:kern w:val="2"/>
          <w:sz w:val="16"/>
          <w:szCs w:val="16"/>
          <w:lang w:eastAsia="ru-RU"/>
        </w:rPr>
        <w:t>(18) марта</w:t>
      </w:r>
      <w:r w:rsidRPr="002F2FDF">
        <w:rPr>
          <w:rFonts w:ascii="Times New Roman" w:eastAsia="Times New Roman" w:hAnsi="Times New Roman" w:cs="Times New Roman"/>
          <w:bCs/>
          <w:color w:val="000000" w:themeColor="text1"/>
          <w:kern w:val="2"/>
          <w:sz w:val="16"/>
          <w:szCs w:val="16"/>
          <w:lang w:eastAsia="ru-RU"/>
        </w:rPr>
        <w:t xml:space="preserve"> 1917 все газеты вышли со статьями, посвященными революционному перевороту. Вся пресса приветствовала совершившееся и призывала граждан, рабочих и солдат к объединению вокруг Врем. правительства. Каждая из газет, давая оценку пережитого момента, стремилась определить дальнейшие политические задачи. Вся буржуазная или же социалистическая печать, вроде «Дня» и т. п., призывала к дисциплине и поддержке войны.»</w:t>
      </w:r>
    </w:p>
    <w:p w14:paraId="5E2427B0" w14:textId="77777777" w:rsidR="00853407" w:rsidRPr="002F2FDF" w:rsidRDefault="00853407"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bCs/>
          <w:color w:val="000000" w:themeColor="text1"/>
          <w:kern w:val="2"/>
          <w:sz w:val="16"/>
          <w:szCs w:val="16"/>
          <w:lang w:eastAsia="ru-RU"/>
        </w:rPr>
        <w:t xml:space="preserve">Первый номер центрального органа «Правды» вышел 5 </w:t>
      </w:r>
      <w:r w:rsidRPr="002F2FDF">
        <w:rPr>
          <w:rFonts w:ascii="Times New Roman" w:eastAsia="Times New Roman" w:hAnsi="Times New Roman" w:cs="Times New Roman"/>
          <w:color w:val="000000" w:themeColor="text1"/>
          <w:kern w:val="2"/>
          <w:sz w:val="16"/>
          <w:szCs w:val="16"/>
          <w:lang w:eastAsia="ru-RU"/>
        </w:rPr>
        <w:t>(18) марта</w:t>
      </w:r>
      <w:r w:rsidRPr="002F2FDF">
        <w:rPr>
          <w:rFonts w:ascii="Times New Roman" w:eastAsia="Times New Roman" w:hAnsi="Times New Roman" w:cs="Times New Roman"/>
          <w:bCs/>
          <w:color w:val="000000" w:themeColor="text1"/>
          <w:kern w:val="2"/>
          <w:sz w:val="16"/>
          <w:szCs w:val="16"/>
          <w:lang w:eastAsia="ru-RU"/>
        </w:rPr>
        <w:t>, в воскресный день, в количестве 100000 экземпляров и раздавался бесплатно. Следующий номер был уже платный, и выпуск его — свыше 100000 экз. — дал нам сразу крупную сумму для пополнения оборотных средств. В передовице под названием «Старый порядок пал» были намечены конкретные задачи пролетариата в ближайшие дни революции (17326).</w:t>
      </w:r>
    </w:p>
    <w:p w14:paraId="2C13776F" w14:textId="77777777" w:rsidR="00853407" w:rsidRPr="002F2FDF" w:rsidRDefault="00853407" w:rsidP="0083075A">
      <w:pPr>
        <w:spacing w:after="0" w:line="240" w:lineRule="auto"/>
        <w:jc w:val="both"/>
        <w:rPr>
          <w:rFonts w:ascii="Times New Roman" w:hAnsi="Times New Roman" w:cs="Times New Roman"/>
          <w:color w:val="000000" w:themeColor="text1"/>
          <w:kern w:val="2"/>
          <w:sz w:val="16"/>
          <w:szCs w:val="16"/>
        </w:rPr>
      </w:pPr>
    </w:p>
    <w:p w14:paraId="01D9B7C4"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5 (18) марта </w:t>
      </w:r>
      <w:r w:rsidRPr="002F2FDF">
        <w:rPr>
          <w:rFonts w:ascii="Times New Roman" w:hAnsi="Times New Roman" w:cs="Times New Roman"/>
          <w:color w:val="000000" w:themeColor="text1"/>
          <w:kern w:val="2"/>
          <w:sz w:val="16"/>
          <w:szCs w:val="16"/>
        </w:rPr>
        <w:t>в 1917 году начало всероссийского совещания Советов рабочих и солдатских депутатов</w:t>
      </w:r>
      <w:r w:rsidR="00DE1DCB" w:rsidRPr="002F2FDF">
        <w:rPr>
          <w:rFonts w:ascii="Times New Roman" w:hAnsi="Times New Roman" w:cs="Times New Roman"/>
          <w:color w:val="000000" w:themeColor="text1"/>
          <w:kern w:val="2"/>
          <w:sz w:val="16"/>
          <w:szCs w:val="16"/>
        </w:rPr>
        <w:t xml:space="preserve"> (15072).</w:t>
      </w:r>
    </w:p>
    <w:p w14:paraId="186B96E6"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p w14:paraId="7288ADF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марта 1917 в Киеве открыта первая украинская гимназия (4962).</w:t>
      </w:r>
    </w:p>
    <w:p w14:paraId="0087380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7DF14F" w14:textId="77777777" w:rsidR="001126FC"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209F5272" w14:textId="77777777" w:rsidR="001126FC" w:rsidRPr="002F2FDF" w:rsidRDefault="001126F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2AB030" w14:textId="0ED38956" w:rsidR="001126FC" w:rsidRPr="002F2FDF" w:rsidRDefault="001126FC" w:rsidP="0083075A">
      <w:pPr>
        <w:pStyle w:val="ae"/>
        <w:spacing w:before="0" w:after="0"/>
        <w:jc w:val="both"/>
        <w:rPr>
          <w:color w:val="000000" w:themeColor="text1"/>
          <w:kern w:val="2"/>
          <w:sz w:val="16"/>
          <w:szCs w:val="16"/>
        </w:rPr>
      </w:pPr>
      <w:r w:rsidRPr="002F2FDF">
        <w:rPr>
          <w:color w:val="000000" w:themeColor="text1"/>
          <w:kern w:val="2"/>
          <w:sz w:val="16"/>
          <w:szCs w:val="16"/>
        </w:rPr>
        <w:t>5-6 (18 и 19) марта 1917 в Петроград прибыли ноты о признании Великобританией, Францией и</w:t>
      </w:r>
      <w:r w:rsidR="00E52569">
        <w:rPr>
          <w:color w:val="000000" w:themeColor="text1"/>
          <w:kern w:val="2"/>
          <w:sz w:val="16"/>
          <w:szCs w:val="16"/>
        </w:rPr>
        <w:t xml:space="preserve"> </w:t>
      </w:r>
      <w:r w:rsidRPr="002F2FDF">
        <w:rPr>
          <w:color w:val="000000" w:themeColor="text1"/>
          <w:kern w:val="2"/>
          <w:sz w:val="16"/>
          <w:szCs w:val="16"/>
        </w:rPr>
        <w:t xml:space="preserve"> Италией Временного правительства де факто. В столицах европейских держав вопрос о признании новой российской власти занял определенное время из-за беспокойства союзников относительно целей нового государства в войне, вызванного пацифистскими заявлениями Петроградского совета (17045).</w:t>
      </w:r>
    </w:p>
    <w:p w14:paraId="4FB5F3EF" w14:textId="77777777" w:rsidR="001126FC" w:rsidRPr="002F2FDF" w:rsidRDefault="001126F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5BF12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C3EB9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58E8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марта 1917 немцы потопили суда США City of Memphis, Vigilante, Illinois без предупреждения (2100).</w:t>
      </w:r>
    </w:p>
    <w:p w14:paraId="16CD92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7FDCA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lastRenderedPageBreak/>
        <w:t>Авиапромышленность:</w:t>
      </w:r>
    </w:p>
    <w:p w14:paraId="2F4086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8121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6 по 20 марта (19 марта по 3 апреля) 1917 испытывали самолет "Торпедо" конструкции В.М.Ольховского - командира 5 авиапарка в Брянске. Построили машину в мастерских авиапарке в Брянске в феврале 1917 (92,178) и там же В.А.Слепцов и испытывал. Признали непригодным из-за избыточного веса. Эксплуатировали в Одесской авиашколе (438,350).</w:t>
      </w:r>
    </w:p>
    <w:p w14:paraId="49E26A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В.Б.Ш. самолет испытывался в Одессе и был двухместным разведчиком и истребителем. Проблема была в разделенных крыльях, что нарушало аэродинамику. В 1917 В.М.Ольховский строил и двухбалочный биплан с толкающим винтом для замены Вуазена, но так и не завершил (92,178).</w:t>
      </w:r>
    </w:p>
    <w:p w14:paraId="0E216D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BAABF7" w14:textId="102B4A96" w:rsidR="002A5D58" w:rsidRPr="00FB4F67" w:rsidRDefault="002A5D5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В период 6—20 марта </w:t>
      </w:r>
      <w:r w:rsidRPr="002F2FDF">
        <w:rPr>
          <w:rFonts w:ascii="Times New Roman" w:hAnsi="Times New Roman" w:cs="Times New Roman"/>
          <w:color w:val="000000" w:themeColor="text1"/>
          <w:kern w:val="2"/>
          <w:sz w:val="16"/>
          <w:szCs w:val="16"/>
        </w:rPr>
        <w:t xml:space="preserve">(19 марта по 3 апреля) </w:t>
      </w:r>
      <w:r w:rsidRPr="00FB4F67">
        <w:rPr>
          <w:rFonts w:ascii="Times New Roman" w:hAnsi="Times New Roman" w:cs="Times New Roman"/>
          <w:color w:val="0070C0"/>
          <w:sz w:val="16"/>
          <w:szCs w:val="16"/>
        </w:rPr>
        <w:t>1917 г. в Одессе велись сдаточные испытания «Тор</w:t>
      </w:r>
      <w:r w:rsidRPr="00FB4F67">
        <w:rPr>
          <w:rFonts w:ascii="Times New Roman" w:hAnsi="Times New Roman" w:cs="Times New Roman"/>
          <w:color w:val="0070C0"/>
          <w:sz w:val="16"/>
          <w:szCs w:val="16"/>
        </w:rPr>
        <w:softHyphen/>
        <w:t>педо». Присутствовали и летали члены спе</w:t>
      </w:r>
      <w:r w:rsidRPr="00FB4F67">
        <w:rPr>
          <w:rFonts w:ascii="Times New Roman" w:hAnsi="Times New Roman" w:cs="Times New Roman"/>
          <w:color w:val="0070C0"/>
          <w:sz w:val="16"/>
          <w:szCs w:val="16"/>
        </w:rPr>
        <w:softHyphen/>
        <w:t>циальной приемной комиссии Модрах, Прокофьев-Северский, Слепцов, Альбрехт. Самолет показал скорость 169 км/ч на вы</w:t>
      </w:r>
      <w:r w:rsidRPr="00FB4F67">
        <w:rPr>
          <w:rFonts w:ascii="Times New Roman" w:hAnsi="Times New Roman" w:cs="Times New Roman"/>
          <w:color w:val="0070C0"/>
          <w:sz w:val="16"/>
          <w:szCs w:val="16"/>
        </w:rPr>
        <w:softHyphen/>
        <w:t>соте 1000 м, потолок 4300 м. Оценивая са</w:t>
      </w:r>
      <w:r w:rsidRPr="00FB4F67">
        <w:rPr>
          <w:rFonts w:ascii="Times New Roman" w:hAnsi="Times New Roman" w:cs="Times New Roman"/>
          <w:color w:val="0070C0"/>
          <w:sz w:val="16"/>
          <w:szCs w:val="16"/>
        </w:rPr>
        <w:softHyphen/>
        <w:t>молет вполне положительно, комиссия от</w:t>
      </w:r>
      <w:r w:rsidRPr="00FB4F67">
        <w:rPr>
          <w:rFonts w:ascii="Times New Roman" w:hAnsi="Times New Roman" w:cs="Times New Roman"/>
          <w:color w:val="0070C0"/>
          <w:sz w:val="16"/>
          <w:szCs w:val="16"/>
        </w:rPr>
        <w:softHyphen/>
        <w:t>мечала перетяжеление конструкции, при</w:t>
      </w:r>
      <w:r w:rsidRPr="00FB4F67">
        <w:rPr>
          <w:rFonts w:ascii="Times New Roman" w:hAnsi="Times New Roman" w:cs="Times New Roman"/>
          <w:color w:val="0070C0"/>
          <w:sz w:val="16"/>
          <w:szCs w:val="16"/>
        </w:rPr>
        <w:softHyphen/>
        <w:t>обретенное в результате переделок.</w:t>
      </w:r>
    </w:p>
    <w:p w14:paraId="1B63ECD6" w14:textId="77777777" w:rsidR="002A5D58" w:rsidRPr="00FB4F67" w:rsidRDefault="002A5D5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дальнейшем одноместный моноплан «Торпедо» эксплуатировался в отделении Гатчинской авиашколы в Одессе. (23374).</w:t>
      </w:r>
    </w:p>
    <w:p w14:paraId="638199DE" w14:textId="77777777" w:rsidR="002A5D58" w:rsidRPr="00FB4F67" w:rsidRDefault="002A5D58" w:rsidP="0083075A">
      <w:pPr>
        <w:spacing w:after="0" w:line="240" w:lineRule="auto"/>
        <w:jc w:val="both"/>
        <w:rPr>
          <w:rFonts w:ascii="Times New Roman" w:hAnsi="Times New Roman" w:cs="Times New Roman"/>
          <w:color w:val="0070C0"/>
          <w:sz w:val="16"/>
          <w:szCs w:val="16"/>
        </w:rPr>
      </w:pPr>
    </w:p>
    <w:p w14:paraId="33752DA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6 по 20 марта </w:t>
      </w:r>
      <w:r w:rsidR="001B6ED4" w:rsidRPr="002F2FDF">
        <w:rPr>
          <w:rFonts w:ascii="Times New Roman" w:hAnsi="Times New Roman" w:cs="Times New Roman"/>
          <w:color w:val="000000" w:themeColor="text1"/>
          <w:kern w:val="2"/>
          <w:sz w:val="16"/>
          <w:szCs w:val="16"/>
        </w:rPr>
        <w:t xml:space="preserve">(19 марта по 3 апреля) </w:t>
      </w:r>
      <w:r w:rsidRPr="002F2FDF">
        <w:rPr>
          <w:rFonts w:ascii="Times New Roman" w:hAnsi="Times New Roman" w:cs="Times New Roman"/>
          <w:color w:val="000000" w:themeColor="text1"/>
          <w:kern w:val="2"/>
          <w:sz w:val="16"/>
          <w:szCs w:val="16"/>
        </w:rPr>
        <w:t>1917 года прошли всесторонние испытания истребителя “Торпедо”. Комиссия нашла, что “Торпедо” имеет вполне совершенную конструкцию, дает пилоту большое поле зрения, установка двигателя надежна, охлаждение хорошее, обслуживание самолета и двигателя удоб</w:t>
      </w:r>
      <w:r w:rsidRPr="002F2FDF">
        <w:rPr>
          <w:rFonts w:ascii="Times New Roman" w:hAnsi="Times New Roman" w:cs="Times New Roman"/>
          <w:color w:val="000000" w:themeColor="text1"/>
          <w:kern w:val="2"/>
          <w:sz w:val="16"/>
          <w:szCs w:val="16"/>
        </w:rPr>
        <w:softHyphen/>
        <w:t>ное. Исправно действовала и пулеметная установка, очень простая, легкая и почти не требующая измене</w:t>
      </w:r>
      <w:r w:rsidRPr="002F2FDF">
        <w:rPr>
          <w:rFonts w:ascii="Times New Roman" w:hAnsi="Times New Roman" w:cs="Times New Roman"/>
          <w:color w:val="000000" w:themeColor="text1"/>
          <w:kern w:val="2"/>
          <w:sz w:val="16"/>
          <w:szCs w:val="16"/>
        </w:rPr>
        <w:softHyphen/>
        <w:t>ний в самом пулемете. Самолет оказался несколько тяжелее, чем пред</w:t>
      </w:r>
      <w:r w:rsidRPr="002F2FDF">
        <w:rPr>
          <w:rFonts w:ascii="Times New Roman" w:hAnsi="Times New Roman" w:cs="Times New Roman"/>
          <w:color w:val="000000" w:themeColor="text1"/>
          <w:kern w:val="2"/>
          <w:sz w:val="16"/>
          <w:szCs w:val="16"/>
        </w:rPr>
        <w:softHyphen/>
        <w:t>усматривал конструктор, и нуждался в небольших доделках. Военное ведомство не только не помогло талантливому конструктору, но и, придравшись к не</w:t>
      </w:r>
      <w:r w:rsidRPr="002F2FDF">
        <w:rPr>
          <w:rFonts w:ascii="Times New Roman" w:hAnsi="Times New Roman" w:cs="Times New Roman"/>
          <w:color w:val="000000" w:themeColor="text1"/>
          <w:kern w:val="2"/>
          <w:sz w:val="16"/>
          <w:szCs w:val="16"/>
        </w:rPr>
        <w:softHyphen/>
        <w:t>которым легко устранимым недостаткам, признало истребитель “Торпедо” вообще непригодным. Опыт</w:t>
      </w:r>
      <w:r w:rsidRPr="002F2FDF">
        <w:rPr>
          <w:rFonts w:ascii="Times New Roman" w:hAnsi="Times New Roman" w:cs="Times New Roman"/>
          <w:color w:val="000000" w:themeColor="text1"/>
          <w:kern w:val="2"/>
          <w:sz w:val="16"/>
          <w:szCs w:val="16"/>
        </w:rPr>
        <w:softHyphen/>
        <w:t>ный экземпляр самолета передали отделению Гатчин</w:t>
      </w:r>
      <w:r w:rsidRPr="002F2FDF">
        <w:rPr>
          <w:rFonts w:ascii="Times New Roman" w:hAnsi="Times New Roman" w:cs="Times New Roman"/>
          <w:color w:val="000000" w:themeColor="text1"/>
          <w:kern w:val="2"/>
          <w:sz w:val="16"/>
          <w:szCs w:val="16"/>
        </w:rPr>
        <w:softHyphen/>
        <w:t>ской авиашколы в Одессе, где он и эксплуатировал</w:t>
      </w:r>
      <w:r w:rsidRPr="002F2FDF">
        <w:rPr>
          <w:rFonts w:ascii="Times New Roman" w:hAnsi="Times New Roman" w:cs="Times New Roman"/>
          <w:color w:val="000000" w:themeColor="text1"/>
          <w:kern w:val="2"/>
          <w:sz w:val="16"/>
          <w:szCs w:val="16"/>
        </w:rPr>
        <w:softHyphen/>
        <w:t>ся (553).</w:t>
      </w:r>
    </w:p>
    <w:p w14:paraId="3165B25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78914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6-20 марта </w:t>
      </w:r>
      <w:r w:rsidR="001B6ED4" w:rsidRPr="002F2FDF">
        <w:rPr>
          <w:rFonts w:ascii="Times New Roman" w:hAnsi="Times New Roman" w:cs="Times New Roman"/>
          <w:color w:val="000000" w:themeColor="text1"/>
          <w:kern w:val="2"/>
          <w:sz w:val="16"/>
          <w:szCs w:val="16"/>
        </w:rPr>
        <w:t xml:space="preserve">(19 марта по 3 апреля) </w:t>
      </w:r>
      <w:r w:rsidRPr="002F2FDF">
        <w:rPr>
          <w:rFonts w:ascii="Times New Roman" w:hAnsi="Times New Roman" w:cs="Times New Roman"/>
          <w:color w:val="000000" w:themeColor="text1"/>
          <w:kern w:val="2"/>
          <w:sz w:val="16"/>
          <w:szCs w:val="16"/>
        </w:rPr>
        <w:t>1917 проводились испытания самолета ''Торпедо" конструкции военного летчика штабс-капитана Владимира Ми</w:t>
      </w:r>
      <w:r w:rsidRPr="002F2FDF">
        <w:rPr>
          <w:rFonts w:ascii="Times New Roman" w:hAnsi="Times New Roman" w:cs="Times New Roman"/>
          <w:color w:val="000000" w:themeColor="text1"/>
          <w:kern w:val="2"/>
          <w:sz w:val="16"/>
          <w:szCs w:val="16"/>
        </w:rPr>
        <w:softHyphen/>
        <w:t>хайловича Ольховского, "Торпедо" - рэсчэлочный высокоплан с фюзеляжем типа .Монокок, мотором "Рон" в НО л.с. и винтом системы Ольховского. Самолет был построен в мастерских ЭЕИЭПзркэ в Брянске и там же испытывался летчиком В.А. Слепцовым. Результаты испытаний: скорость - 166 км/час, скороподъемность на 1000 м - 3 минуты, потолок - 4200 м. Полетный вес самолета - 655 кг. На самолете был установлен синхронизатор для стрельбы через винт. Постройка велась из подручного материала, вследствие чего расчетный вес оказался превышенным почти на три пуда. Комиссия признала самолет в ого настоящем виде непригодным для вооружений от</w:t>
      </w:r>
      <w:r w:rsidRPr="002F2FDF">
        <w:rPr>
          <w:rFonts w:ascii="Times New Roman" w:hAnsi="Times New Roman" w:cs="Times New Roman"/>
          <w:color w:val="000000" w:themeColor="text1"/>
          <w:kern w:val="2"/>
          <w:sz w:val="16"/>
          <w:szCs w:val="16"/>
        </w:rPr>
        <w:softHyphen/>
        <w:t>рядов и вынесла пожелание облегчить его до состояния, отвечающего требованиям истребителя. В дальнейшем самолет эксплу</w:t>
      </w:r>
      <w:r w:rsidRPr="002F2FDF">
        <w:rPr>
          <w:rFonts w:ascii="Times New Roman" w:hAnsi="Times New Roman" w:cs="Times New Roman"/>
          <w:color w:val="000000" w:themeColor="text1"/>
          <w:kern w:val="2"/>
          <w:sz w:val="16"/>
          <w:szCs w:val="16"/>
        </w:rPr>
        <w:softHyphen/>
        <w:t>атировался в Одесской авиашколе. (ЦГВИА. ф.493, оп.Ю, Д.117, л.83).</w:t>
      </w:r>
    </w:p>
    <w:p w14:paraId="1D6ADF9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96C519" w14:textId="55FC9D3D" w:rsidR="00E047D9" w:rsidRPr="00815ED5" w:rsidRDefault="00E047D9"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6-20 марта</w:t>
      </w:r>
      <w:r>
        <w:rPr>
          <w:rFonts w:ascii="Times New Roman" w:hAnsi="Times New Roman" w:cs="Times New Roman"/>
          <w:color w:val="0070C0"/>
          <w:sz w:val="16"/>
          <w:szCs w:val="16"/>
        </w:rPr>
        <w:t xml:space="preserve"> (19 марта – 2 апреля)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815ED5">
        <w:rPr>
          <w:rFonts w:ascii="Times New Roman" w:hAnsi="Times New Roman" w:cs="Times New Roman"/>
          <w:color w:val="0070C0"/>
          <w:sz w:val="16"/>
          <w:szCs w:val="16"/>
        </w:rPr>
        <w:t>роводились испытания самолета "Торпедо" конструкции военного летчика шт.-капитана Владимира Михайловича Ольховского. «Торпедо</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ра</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чалочный высокоплан с фюзеляжем типа монокок,</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мотором</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Рон 110 л.с. и винто</w:t>
      </w:r>
      <w:r>
        <w:rPr>
          <w:rFonts w:ascii="Times New Roman" w:hAnsi="Times New Roman" w:cs="Times New Roman"/>
          <w:color w:val="0070C0"/>
          <w:sz w:val="16"/>
          <w:szCs w:val="16"/>
        </w:rPr>
        <w:t>м</w:t>
      </w:r>
      <w:r w:rsidRPr="00815ED5">
        <w:rPr>
          <w:rFonts w:ascii="Times New Roman" w:hAnsi="Times New Roman" w:cs="Times New Roman"/>
          <w:color w:val="0070C0"/>
          <w:sz w:val="16"/>
          <w:szCs w:val="16"/>
        </w:rPr>
        <w:t xml:space="preserve"> системы Ольховского.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Самолет был построен в мастерских авиапарка в Брянске и там же испытывался летчиком В.А</w:t>
      </w:r>
      <w:r>
        <w:rPr>
          <w:rFonts w:ascii="Times New Roman" w:hAnsi="Times New Roman" w:cs="Times New Roman"/>
          <w:color w:val="0070C0"/>
          <w:sz w:val="16"/>
          <w:szCs w:val="16"/>
        </w:rPr>
        <w:t>.Слепцовым. Р</w:t>
      </w:r>
      <w:r w:rsidRPr="00815ED5">
        <w:rPr>
          <w:rFonts w:ascii="Times New Roman" w:hAnsi="Times New Roman" w:cs="Times New Roman"/>
          <w:color w:val="0070C0"/>
          <w:sz w:val="16"/>
          <w:szCs w:val="16"/>
        </w:rPr>
        <w:t>езультаты испытаний: скорость - 166 км/час,</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скоропод"емность на 1000 м - 3 минуты,</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потолок - 4200 м.</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полетный вес самолета — I 655 кг.</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На самолете был установлен синхронизатор для стрельбы через и винт.</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Постройка велась из подручного материала,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ледвствие чего расчетный вес оказался превышенным почти на три пуда.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Комиссия признала самолет в его настоящем виде непригодным для вооружения отрядов 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вынесла пожелание облегчить его до состояния,</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отвечающего требованиям</w:t>
      </w:r>
      <w:r>
        <w:rPr>
          <w:rFonts w:ascii="Times New Roman" w:hAnsi="Times New Roman" w:cs="Times New Roman"/>
          <w:color w:val="0070C0"/>
          <w:sz w:val="16"/>
          <w:szCs w:val="16"/>
        </w:rPr>
        <w:t xml:space="preserve"> к </w:t>
      </w:r>
      <w:r w:rsidRPr="00815ED5">
        <w:rPr>
          <w:rFonts w:ascii="Times New Roman" w:hAnsi="Times New Roman" w:cs="Times New Roman"/>
          <w:color w:val="0070C0"/>
          <w:sz w:val="16"/>
          <w:szCs w:val="16"/>
        </w:rPr>
        <w:t>истребителя.</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 дальнейшем самолет эксплуатировался в Одесской авиа</w:t>
      </w:r>
      <w:r>
        <w:rPr>
          <w:rFonts w:ascii="Times New Roman" w:hAnsi="Times New Roman" w:cs="Times New Roman"/>
          <w:color w:val="0070C0"/>
          <w:sz w:val="16"/>
          <w:szCs w:val="16"/>
        </w:rPr>
        <w:t>ш</w:t>
      </w:r>
      <w:r w:rsidRPr="00815ED5">
        <w:rPr>
          <w:rFonts w:ascii="Times New Roman" w:hAnsi="Times New Roman" w:cs="Times New Roman"/>
          <w:color w:val="0070C0"/>
          <w:sz w:val="16"/>
          <w:szCs w:val="16"/>
        </w:rPr>
        <w:t>коле</w:t>
      </w:r>
      <w:r>
        <w:rPr>
          <w:rFonts w:ascii="Times New Roman" w:hAnsi="Times New Roman" w:cs="Times New Roman"/>
          <w:color w:val="0070C0"/>
          <w:sz w:val="16"/>
          <w:szCs w:val="16"/>
        </w:rPr>
        <w:t>.</w:t>
      </w:r>
    </w:p>
    <w:p w14:paraId="21143A68" w14:textId="77777777" w:rsidR="00E047D9" w:rsidRPr="00815ED5" w:rsidRDefault="00E047D9"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10,</w:t>
      </w:r>
      <w:r>
        <w:rPr>
          <w:rFonts w:ascii="Times New Roman" w:hAnsi="Times New Roman" w:cs="Times New Roman"/>
          <w:color w:val="0070C0"/>
          <w:sz w:val="16"/>
          <w:szCs w:val="16"/>
        </w:rPr>
        <w:t xml:space="preserve"> д</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117,</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83/</w:t>
      </w:r>
      <w:r>
        <w:rPr>
          <w:rFonts w:ascii="Times New Roman" w:hAnsi="Times New Roman" w:cs="Times New Roman"/>
          <w:color w:val="0070C0"/>
          <w:sz w:val="16"/>
          <w:szCs w:val="16"/>
        </w:rPr>
        <w:t xml:space="preserve"> (23320).</w:t>
      </w:r>
    </w:p>
    <w:p w14:paraId="201177F5" w14:textId="77777777" w:rsidR="00E047D9" w:rsidRDefault="00E047D9" w:rsidP="0083075A">
      <w:pPr>
        <w:spacing w:after="0" w:line="240" w:lineRule="auto"/>
        <w:jc w:val="both"/>
        <w:rPr>
          <w:rFonts w:ascii="Times New Roman" w:hAnsi="Times New Roman" w:cs="Times New Roman"/>
          <w:color w:val="0070C0"/>
          <w:sz w:val="16"/>
          <w:szCs w:val="16"/>
        </w:rPr>
      </w:pPr>
    </w:p>
    <w:p w14:paraId="281042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6 по 20 марта </w:t>
      </w:r>
      <w:r w:rsidR="001B6ED4" w:rsidRPr="002F2FDF">
        <w:rPr>
          <w:rFonts w:ascii="Times New Roman" w:hAnsi="Times New Roman" w:cs="Times New Roman"/>
          <w:color w:val="000000" w:themeColor="text1"/>
          <w:kern w:val="2"/>
          <w:sz w:val="16"/>
          <w:szCs w:val="16"/>
        </w:rPr>
        <w:t xml:space="preserve">(19 марта по 3 апреля) </w:t>
      </w:r>
      <w:r w:rsidRPr="002F2FDF">
        <w:rPr>
          <w:rFonts w:ascii="Times New Roman" w:hAnsi="Times New Roman" w:cs="Times New Roman"/>
          <w:color w:val="000000" w:themeColor="text1"/>
          <w:kern w:val="2"/>
          <w:sz w:val="16"/>
          <w:szCs w:val="16"/>
        </w:rPr>
        <w:t>1917 года комиссия под председательством капитана Николая Евграфовича Попова (1878-1929), в состав которой вошли известные в ту пору летчики Сергей Карлович Модрах, Александр Прокофьев-Северский, Слепцов, Альбрехт и другие провела всесторонние испытания нового истребителя “Торпедо”. В период весенней распутицы полеты производились в Одессе на аэродроме заводчика Артура Антоновича Анатры. Члены комиссии поочередно летали на аппарате, пересаживаясь с переднего сиденья на заднее и наоборот.</w:t>
      </w:r>
    </w:p>
    <w:p w14:paraId="12C88E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Российскому военному ведомству был представлен подробный и обстоятельный акт.</w:t>
      </w:r>
    </w:p>
    <w:p w14:paraId="32FD3A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Максимальная скорость «Торпедо» на высоте 1000 м составляла 168,5 км/ч, на высоте 50 м (т. е. у земли) - 166 км/ч. Высоту 2000 м машина набирала за 8 мин. 30 сек., а высоту 3000 м - за 17 мин. 5 сек. Разбег составлял 82 м, пробег - 58 м. Самолет легко достигал потолка 4300 м. Испытания проводились с нагрузкой 155 кг (пилот и бензин).</w:t>
      </w:r>
    </w:p>
    <w:p w14:paraId="37B7FF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Комиссия отмечала, что выбранная схема и конструкция самолета «дает пилоту большое поле зрения», а в целом, «конструкция, по-видимому, вполне солидная и выполнена тщательно». И далее: «Установка двигателя была надежной, охлаждение хорошим». Скорость самолета у земли комиссия нашла «вполне удовлетворительной». Работа пулеметной установки (с правой стороны корпуса вне кабины пилота) оценена удовлетворительно. Механическое приспособление для стрельбы через винт от мотора вполне оригинально, гибким валом» (придумал Ольховский).</w:t>
      </w:r>
    </w:p>
    <w:p w14:paraId="28C190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Синхронизатор должен был «исключить возможность производства выстрела в известном секторе круга, описываемого винтом, причем лопасти винта находились как бы в «мертвом» пространстве. Приспособление работало во все время вращения мотора, оно очень простое, легкое и почти не требовало изменения в самом пулемете. На скорость стрельбы число оборотов мотора почти не влияло. При испытании выпущено две ленты по 250 патронов, причем произошло одно попадание в винт.</w:t>
      </w:r>
    </w:p>
    <w:p w14:paraId="24BF87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всех положительных оценках комиссия, находя «слишком большим» вес машины и ее разбег при взлете, признала самолет Ольховского «в настоящем виде не пригодным для вооружения отрядов». Но «при дальнейшем усовершенствовании и допустимом облегчении самолет будет возможно удовлетворять требованиям самолета-истребителя».</w:t>
      </w:r>
    </w:p>
    <w:p w14:paraId="62ADF3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Моноплан «Торпедо» так и не был принят для серийного производства. Между тем он явился весьма совершенной боевой машиной, в конструкции которой и осуществлены многие принципы, принятые для самолетов этого класса позднее как в России, так и за рубежом. Вес и разбег, напугавшие комиссию, оказались вполне естественными и, как показало дальнейшее развитие истребителей, возрастали непрерывно. Приходится сожалеть, что этот самолет остался в опытном исполнении.</w:t>
      </w:r>
    </w:p>
    <w:p w14:paraId="467616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заключение следует упомянуть, что Владимир Михайлович Ольховский вплоть до конца 20-х годов, пока следы его жизни и деятельности не исчезли с «легкой руки» ГПУ (еще бы: «царский офицер»), продолжал успешную и плодотворную деятельность авиаконструктора. В 1923-1929 гг. был первым помощником Николая Николаевича Поликарпова в ОПО-1 на заводах № 1 и № 25. Ему принадлежит разработка плоско-выпуклых профилей для крыльев самолетов 2ИН-1 (ДИ-1), У-2, П-2, И-3, ДИ-2, Р-5, И-6, И-7, ТБ-2. Ольховский является одним из первых создателей конструкции деревянного фюзеляжа - монокока в России. Известные самолеты 20-х, 30-х и 40-х гг. 2ИН-1, И-3, ДИ-2, И-6, И-16 и многие другие различных конструкторов имели такие же фюзеляжи, как у самолета «Торпедо» (11918).</w:t>
      </w:r>
    </w:p>
    <w:p w14:paraId="3B3945E5" w14:textId="77777777" w:rsidR="001B6ED4" w:rsidRPr="002F2FDF" w:rsidRDefault="001B6ED4"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54C325" w14:textId="77777777" w:rsidR="00570D2F" w:rsidRPr="002F2FDF" w:rsidRDefault="00570D2F" w:rsidP="0083075A">
      <w:pPr>
        <w:spacing w:after="0" w:line="240" w:lineRule="auto"/>
        <w:jc w:val="both"/>
        <w:rPr>
          <w:rFonts w:ascii="Times New Roman" w:hAnsi="Times New Roman" w:cs="Times New Roman"/>
          <w:color w:val="000000" w:themeColor="text1"/>
          <w:sz w:val="16"/>
          <w:szCs w:val="16"/>
        </w:rPr>
      </w:pPr>
      <w:bookmarkStart w:id="59" w:name="_Hlk92717024"/>
      <w:r w:rsidRPr="002F2FDF">
        <w:rPr>
          <w:rFonts w:ascii="Times New Roman" w:hAnsi="Times New Roman" w:cs="Times New Roman"/>
          <w:color w:val="000000" w:themeColor="text1"/>
          <w:sz w:val="16"/>
          <w:szCs w:val="16"/>
        </w:rPr>
        <w:t>С 6 (19) марта по 20 марта (2 апреля) 1917 г. независимая комиссия, в которую вошли известные пилоты капитан Н. Е. Попов, начальник Гатчинской авиашколы капитан С. К. Модpах, летчик морской авиации Прокофьев-Северский и др. на заводе «Анатра» в Одессе провели испытания самолета «Торпедо» Ольховского, установив, что скорость и скороподъемность с одним летчиком и без вооружения достаточно высоки, но длины разбега и пробега велики из-за большой нагрузки на крыло. При отстреле двух лент по 250 патронов было получено одно попадание в лопасть. Хотя проем в крыле резко уменьшал подъемную силу, и этот недостаток схемы уже был известен, Ольховский пренебрег предупреждениями коллег. Он также и увеличивал индуктивное сопротивление, о чем тогда не знали, но это уравновешивалось хорошей аэродинамикой фюзеляжа и малым сопротивлением трения крыла, что подтверждает достигнутая скорость и скороподъемность. Но слабая маневренность делала «Торпедо» непригодным к использованию в качестве истребителя, что и зафиксировала комиссия, которая не рекомендовала принимать самолет на вооружение (22826).</w:t>
      </w:r>
    </w:p>
    <w:p w14:paraId="65CF0B6D" w14:textId="77777777" w:rsidR="00570D2F" w:rsidRPr="002F2FDF" w:rsidRDefault="00570D2F" w:rsidP="0083075A">
      <w:pPr>
        <w:spacing w:after="0" w:line="240" w:lineRule="auto"/>
        <w:jc w:val="both"/>
        <w:rPr>
          <w:rFonts w:ascii="Times New Roman" w:hAnsi="Times New Roman" w:cs="Times New Roman"/>
          <w:color w:val="000000" w:themeColor="text1"/>
          <w:sz w:val="16"/>
          <w:szCs w:val="16"/>
        </w:rPr>
      </w:pPr>
    </w:p>
    <w:bookmarkEnd w:id="59"/>
    <w:p w14:paraId="1F3B33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марта 1917 к1р И.Н.Дмитриев, возглавлявший Отдел воздухоплавания ГУК, доложил первому помощнику Морского министра о возникшей потребности в некотором количестве аэропланов типа Лебедь 12 для Школы воздушного боя. 6 марта последовало и согласие на закупку (2843,45).</w:t>
      </w:r>
    </w:p>
    <w:p w14:paraId="3D24BF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E55E2B" w14:textId="694F55D8"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 </w:t>
      </w:r>
      <w:r w:rsidR="00E55A6A">
        <w:rPr>
          <w:rFonts w:ascii="Times New Roman" w:hAnsi="Times New Roman" w:cs="Times New Roman"/>
          <w:color w:val="000000" w:themeColor="text1"/>
          <w:kern w:val="2"/>
          <w:sz w:val="16"/>
          <w:szCs w:val="16"/>
        </w:rPr>
        <w:t xml:space="preserve">(19) </w:t>
      </w:r>
      <w:r w:rsidRPr="002F2FDF">
        <w:rPr>
          <w:rFonts w:ascii="Times New Roman" w:hAnsi="Times New Roman" w:cs="Times New Roman"/>
          <w:color w:val="000000" w:themeColor="text1"/>
          <w:kern w:val="2"/>
          <w:sz w:val="16"/>
          <w:szCs w:val="16"/>
        </w:rPr>
        <w:t>марта 1917 г. капитан 1 р. И.Н. Дмитриев, возглавлявший Отдел воздухоплавания ГУК, доложил первому помощнику Морского министра о возникшей потребности в некото</w:t>
      </w:r>
      <w:r w:rsidRPr="002F2FDF">
        <w:rPr>
          <w:rFonts w:ascii="Times New Roman" w:hAnsi="Times New Roman" w:cs="Times New Roman"/>
          <w:color w:val="000000" w:themeColor="text1"/>
          <w:kern w:val="2"/>
          <w:sz w:val="16"/>
          <w:szCs w:val="16"/>
        </w:rPr>
        <w:softHyphen/>
        <w:t>ром количестве аэропланов модели "Лебедь 12", необходимых для так называемой Школы воздушного боя, которая создавалась по образу и подобию британских учебных заведений такого разряда и нуждалась в переходном типе самолета. Уже в феврале начальник Возду</w:t>
      </w:r>
      <w:r w:rsidRPr="002F2FDF">
        <w:rPr>
          <w:rFonts w:ascii="Times New Roman" w:hAnsi="Times New Roman" w:cs="Times New Roman"/>
          <w:color w:val="000000" w:themeColor="text1"/>
          <w:kern w:val="2"/>
          <w:sz w:val="16"/>
          <w:szCs w:val="16"/>
        </w:rPr>
        <w:softHyphen/>
        <w:t>хоплавательного отдела МГШ старший лейтенант А.А. Тучков планировал дать этой школе 50 "Альбатросов"; затем 15 февраля В.А. Лебедев предложил Морскому ведомству 50 аппа</w:t>
      </w:r>
      <w:r w:rsidRPr="002F2FDF">
        <w:rPr>
          <w:rFonts w:ascii="Times New Roman" w:hAnsi="Times New Roman" w:cs="Times New Roman"/>
          <w:color w:val="000000" w:themeColor="text1"/>
          <w:kern w:val="2"/>
          <w:sz w:val="16"/>
          <w:szCs w:val="16"/>
        </w:rPr>
        <w:softHyphen/>
        <w:t xml:space="preserve">ратов "Лебедь 12", "специально переделанных для учебных целей и особо прочных". Согласие на покупку последовало в тот же самый день 6 марта, а официальный контракт с фирмой был подписан 11 апреля. Некоторые машины предполагалось оборудовать двойным управлением, что, впрочем, не отражалось на цене каждого самолета в отдельности, которая равнялась 15.000 руб. Весь заказ предстояло выполнить в период с 19 мая по 4 сентября 1917 г., а по другим данным — с 26 апреля по 25 августа. Чтобы не создавать прецедента и по причине политических беспорядков компания не поспела к сроку и это при том, что этот аэроплан находился в производстве с июня 1916 г. Для улучшения ситуации и после необходимых переговоров флоту были переданы 33 аппарата из числа купленных армией, что вкупе с определенной </w:t>
      </w:r>
      <w:r w:rsidRPr="002F2FDF">
        <w:rPr>
          <w:rFonts w:ascii="Times New Roman" w:hAnsi="Times New Roman" w:cs="Times New Roman"/>
          <w:color w:val="000000" w:themeColor="text1"/>
          <w:kern w:val="2"/>
          <w:sz w:val="16"/>
          <w:szCs w:val="16"/>
        </w:rPr>
        <w:lastRenderedPageBreak/>
        <w:t>несогласованностью привело, по всей видимости, к тому, что об</w:t>
      </w:r>
      <w:r w:rsidRPr="002F2FDF">
        <w:rPr>
          <w:rFonts w:ascii="Times New Roman" w:hAnsi="Times New Roman" w:cs="Times New Roman"/>
          <w:color w:val="000000" w:themeColor="text1"/>
          <w:kern w:val="2"/>
          <w:sz w:val="16"/>
          <w:szCs w:val="16"/>
        </w:rPr>
        <w:softHyphen/>
        <w:t>щее количество аэропланов типа "Лебедь 12", направляемых в школу, к концу года достигло 57 единиц (2843).</w:t>
      </w:r>
    </w:p>
    <w:p w14:paraId="0B5A5F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136C5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 </w:t>
      </w:r>
      <w:r w:rsidR="001B6ED4" w:rsidRPr="002F2FDF">
        <w:rPr>
          <w:rFonts w:ascii="Times New Roman" w:hAnsi="Times New Roman" w:cs="Times New Roman"/>
          <w:color w:val="000000" w:themeColor="text1"/>
          <w:kern w:val="2"/>
          <w:sz w:val="16"/>
          <w:szCs w:val="16"/>
        </w:rPr>
        <w:t xml:space="preserve">(19) </w:t>
      </w:r>
      <w:r w:rsidRPr="002F2FDF">
        <w:rPr>
          <w:rFonts w:ascii="Times New Roman" w:hAnsi="Times New Roman" w:cs="Times New Roman"/>
          <w:color w:val="000000" w:themeColor="text1"/>
          <w:kern w:val="2"/>
          <w:sz w:val="16"/>
          <w:szCs w:val="16"/>
        </w:rPr>
        <w:t>марта 1917 г. в докладе Отдела воздухоплавания Главного управления кораблестроения говорилось:</w:t>
      </w:r>
    </w:p>
    <w:p w14:paraId="752F4E8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В настоящее время выяснилось, что г-н Мельцер, имеющий хорошо оборудованную дерево-обделочную фабрику, на которой и строился означенный аппарат (второй про</w:t>
      </w:r>
      <w:r w:rsidRPr="002F2FDF">
        <w:rPr>
          <w:rFonts w:ascii="Times New Roman" w:hAnsi="Times New Roman" w:cs="Times New Roman"/>
          <w:color w:val="000000" w:themeColor="text1"/>
          <w:kern w:val="2"/>
          <w:sz w:val="16"/>
          <w:szCs w:val="16"/>
        </w:rPr>
        <w:softHyphen/>
        <w:t>тотип лодки Энгельса), войдя в соглашение с женой покойного гвардии штабс-капитана Энгельса, передавшей ему право постройки аппаратов системы своего мужа, пригласил вместе с тем к себе на службу конструктора Виллиша, уже имеющего до</w:t>
      </w:r>
      <w:r w:rsidRPr="002F2FDF">
        <w:rPr>
          <w:rFonts w:ascii="Times New Roman" w:hAnsi="Times New Roman" w:cs="Times New Roman"/>
          <w:color w:val="000000" w:themeColor="text1"/>
          <w:kern w:val="2"/>
          <w:sz w:val="16"/>
          <w:szCs w:val="16"/>
        </w:rPr>
        <w:softHyphen/>
        <w:t>статочный опыт по постройке летающих лодок, и решил продолжать начатую работу Энгельса под руководством этого конструктора...".</w:t>
      </w:r>
    </w:p>
    <w:p w14:paraId="32E512A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Морское ведомство было очень заинтересовано в названном истребителе и, таким обра</w:t>
      </w:r>
      <w:r w:rsidRPr="002F2FDF">
        <w:rPr>
          <w:rFonts w:ascii="Times New Roman" w:hAnsi="Times New Roman" w:cs="Times New Roman"/>
          <w:color w:val="000000" w:themeColor="text1"/>
          <w:kern w:val="2"/>
          <w:sz w:val="16"/>
          <w:szCs w:val="16"/>
        </w:rPr>
        <w:softHyphen/>
        <w:t>зом, фирма .наконец, могла заняться созданием морских аппаратов, имея на то желаемое одобрение (2843).</w:t>
      </w:r>
    </w:p>
    <w:p w14:paraId="1909305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4</w:t>
      </w:r>
    </w:p>
    <w:p w14:paraId="1091334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Некоторые статистические данные о компании Ф. Мельцера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tblGrid>
      <w:tr w:rsidR="002B1C74" w:rsidRPr="002F2FDF" w14:paraId="0491BA7E" w14:textId="77777777">
        <w:tc>
          <w:tcPr>
            <w:tcW w:w="3192" w:type="dxa"/>
            <w:tcBorders>
              <w:top w:val="single" w:sz="12" w:space="0" w:color="auto"/>
            </w:tcBorders>
            <w:shd w:val="clear" w:color="auto" w:fill="FFFFFF"/>
          </w:tcPr>
          <w:p w14:paraId="2D682B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 основания</w:t>
            </w:r>
          </w:p>
        </w:tc>
        <w:tc>
          <w:tcPr>
            <w:tcW w:w="3192" w:type="dxa"/>
            <w:tcBorders>
              <w:top w:val="single" w:sz="12" w:space="0" w:color="auto"/>
            </w:tcBorders>
            <w:shd w:val="clear" w:color="auto" w:fill="FFFFFF"/>
          </w:tcPr>
          <w:p w14:paraId="1064C2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r>
      <w:tr w:rsidR="002B1C74" w:rsidRPr="002F2FDF" w14:paraId="5B0FDBBE" w14:textId="77777777">
        <w:tc>
          <w:tcPr>
            <w:tcW w:w="3192" w:type="dxa"/>
            <w:shd w:val="clear" w:color="auto" w:fill="FFFFFF"/>
          </w:tcPr>
          <w:p w14:paraId="65AC37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строений к 1918 г., кв.м</w:t>
            </w:r>
          </w:p>
        </w:tc>
        <w:tc>
          <w:tcPr>
            <w:tcW w:w="3192" w:type="dxa"/>
            <w:shd w:val="clear" w:color="auto" w:fill="FFFFFF"/>
          </w:tcPr>
          <w:p w14:paraId="1AEB97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3,751</w:t>
            </w:r>
          </w:p>
        </w:tc>
      </w:tr>
      <w:tr w:rsidR="002B1C74" w:rsidRPr="002F2FDF" w14:paraId="69239364" w14:textId="77777777">
        <w:tc>
          <w:tcPr>
            <w:tcW w:w="3192" w:type="dxa"/>
            <w:shd w:val="clear" w:color="auto" w:fill="FFFFFF"/>
          </w:tcPr>
          <w:p w14:paraId="0A6DDD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территории, кв.м</w:t>
            </w:r>
          </w:p>
        </w:tc>
        <w:tc>
          <w:tcPr>
            <w:tcW w:w="3192" w:type="dxa"/>
            <w:shd w:val="clear" w:color="auto" w:fill="FFFFFF"/>
          </w:tcPr>
          <w:p w14:paraId="33C6B5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6,104</w:t>
            </w:r>
          </w:p>
        </w:tc>
      </w:tr>
      <w:tr w:rsidR="002B1C74" w:rsidRPr="002F2FDF" w14:paraId="3E99A097" w14:textId="77777777">
        <w:tc>
          <w:tcPr>
            <w:tcW w:w="3192" w:type="dxa"/>
            <w:shd w:val="clear" w:color="auto" w:fill="FFFFFF"/>
          </w:tcPr>
          <w:p w14:paraId="14DA3F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Мощность энергетических установок, л.с.</w:t>
            </w:r>
          </w:p>
        </w:tc>
        <w:tc>
          <w:tcPr>
            <w:tcW w:w="3192" w:type="dxa"/>
            <w:shd w:val="clear" w:color="auto" w:fill="FFFFFF"/>
          </w:tcPr>
          <w:p w14:paraId="13D3C7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194</w:t>
            </w:r>
          </w:p>
        </w:tc>
      </w:tr>
      <w:tr w:rsidR="002B1C74" w:rsidRPr="002F2FDF" w14:paraId="6553D559" w14:textId="77777777">
        <w:tc>
          <w:tcPr>
            <w:tcW w:w="3192" w:type="dxa"/>
            <w:shd w:val="clear" w:color="auto" w:fill="FFFFFF"/>
          </w:tcPr>
          <w:p w14:paraId="26B29C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двигателей</w:t>
            </w:r>
          </w:p>
        </w:tc>
        <w:tc>
          <w:tcPr>
            <w:tcW w:w="3192" w:type="dxa"/>
            <w:shd w:val="clear" w:color="auto" w:fill="FFFFFF"/>
          </w:tcPr>
          <w:p w14:paraId="2D3BAC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w:t>
            </w:r>
          </w:p>
        </w:tc>
      </w:tr>
      <w:tr w:rsidR="002B1C74" w:rsidRPr="002F2FDF" w14:paraId="2D47BAFD" w14:textId="77777777">
        <w:tc>
          <w:tcPr>
            <w:tcW w:w="3192" w:type="dxa"/>
            <w:shd w:val="clear" w:color="auto" w:fill="FFFFFF"/>
          </w:tcPr>
          <w:p w14:paraId="5C2CB7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станков</w:t>
            </w:r>
          </w:p>
        </w:tc>
        <w:tc>
          <w:tcPr>
            <w:tcW w:w="3192" w:type="dxa"/>
            <w:shd w:val="clear" w:color="auto" w:fill="FFFFFF"/>
          </w:tcPr>
          <w:p w14:paraId="3A7B75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w:t>
            </w:r>
          </w:p>
        </w:tc>
      </w:tr>
      <w:tr w:rsidR="002B1C74" w:rsidRPr="002F2FDF" w14:paraId="27A92C4E" w14:textId="77777777">
        <w:tc>
          <w:tcPr>
            <w:tcW w:w="3192" w:type="dxa"/>
            <w:shd w:val="clear" w:color="auto" w:fill="FFFFFF"/>
          </w:tcPr>
          <w:p w14:paraId="33DD48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служащих в 1917 г.</w:t>
            </w:r>
          </w:p>
        </w:tc>
        <w:tc>
          <w:tcPr>
            <w:tcW w:w="3192" w:type="dxa"/>
            <w:shd w:val="clear" w:color="auto" w:fill="FFFFFF"/>
          </w:tcPr>
          <w:p w14:paraId="4B2A0F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w:t>
            </w:r>
          </w:p>
        </w:tc>
      </w:tr>
      <w:tr w:rsidR="002B1C74" w:rsidRPr="002F2FDF" w14:paraId="0CD64C99" w14:textId="77777777">
        <w:tc>
          <w:tcPr>
            <w:tcW w:w="3192" w:type="dxa"/>
            <w:shd w:val="clear" w:color="auto" w:fill="FFFFFF"/>
          </w:tcPr>
          <w:p w14:paraId="201583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рабочих в 1916 г</w:t>
            </w:r>
          </w:p>
        </w:tc>
        <w:tc>
          <w:tcPr>
            <w:tcW w:w="3192" w:type="dxa"/>
            <w:shd w:val="clear" w:color="auto" w:fill="FFFFFF"/>
          </w:tcPr>
          <w:p w14:paraId="747022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500</w:t>
            </w:r>
          </w:p>
        </w:tc>
      </w:tr>
      <w:tr w:rsidR="002B1C74" w:rsidRPr="002F2FDF" w14:paraId="1792F259" w14:textId="77777777">
        <w:tc>
          <w:tcPr>
            <w:tcW w:w="3192" w:type="dxa"/>
            <w:shd w:val="clear" w:color="auto" w:fill="FFFFFF"/>
          </w:tcPr>
          <w:p w14:paraId="14454C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3192" w:type="dxa"/>
            <w:shd w:val="clear" w:color="auto" w:fill="FFFFFF"/>
          </w:tcPr>
          <w:p w14:paraId="418E9F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255 (2843)</w:t>
            </w:r>
          </w:p>
        </w:tc>
      </w:tr>
      <w:tr w:rsidR="002B1C74" w:rsidRPr="002F2FDF" w14:paraId="7AFBD0E0" w14:textId="77777777">
        <w:tc>
          <w:tcPr>
            <w:tcW w:w="3192" w:type="dxa"/>
            <w:shd w:val="clear" w:color="auto" w:fill="FFFFFF"/>
          </w:tcPr>
          <w:p w14:paraId="7B680E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сданной продукции:</w:t>
            </w:r>
          </w:p>
        </w:tc>
        <w:tc>
          <w:tcPr>
            <w:tcW w:w="3192" w:type="dxa"/>
            <w:shd w:val="clear" w:color="auto" w:fill="FFFFFF"/>
          </w:tcPr>
          <w:p w14:paraId="61F7D0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11AB0190" w14:textId="77777777">
        <w:tc>
          <w:tcPr>
            <w:tcW w:w="3192" w:type="dxa"/>
            <w:shd w:val="clear" w:color="auto" w:fill="FFFFFF"/>
          </w:tcPr>
          <w:p w14:paraId="29892E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воздушные винты 1914-1917 гг.</w:t>
            </w:r>
          </w:p>
        </w:tc>
        <w:tc>
          <w:tcPr>
            <w:tcW w:w="3192" w:type="dxa"/>
            <w:shd w:val="clear" w:color="auto" w:fill="FFFFFF"/>
          </w:tcPr>
          <w:p w14:paraId="0EBA06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2663</w:t>
            </w:r>
          </w:p>
        </w:tc>
      </w:tr>
      <w:tr w:rsidR="002B1C74" w:rsidRPr="002F2FDF" w14:paraId="34880F23" w14:textId="77777777">
        <w:tc>
          <w:tcPr>
            <w:tcW w:w="3192" w:type="dxa"/>
            <w:tcBorders>
              <w:bottom w:val="single" w:sz="12" w:space="0" w:color="auto"/>
            </w:tcBorders>
            <w:shd w:val="clear" w:color="auto" w:fill="FFFFFF"/>
          </w:tcPr>
          <w:p w14:paraId="6867A9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гидроаэропланы 1917 г.</w:t>
            </w:r>
          </w:p>
        </w:tc>
        <w:tc>
          <w:tcPr>
            <w:tcW w:w="3192" w:type="dxa"/>
            <w:tcBorders>
              <w:bottom w:val="single" w:sz="12" w:space="0" w:color="auto"/>
            </w:tcBorders>
            <w:shd w:val="clear" w:color="auto" w:fill="FFFFFF"/>
          </w:tcPr>
          <w:p w14:paraId="6BD063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62B96F6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Будучи сравнительно мелким производителем на авиационном рынке, фирма Мельцера все же использовала некую систему, чтобы различать собственные машины, хотя, по всей вероятности, она формировалась спонтанно. Так, первый прототип истребителя Энгельса на</w:t>
      </w:r>
      <w:r w:rsidRPr="002F2FDF">
        <w:rPr>
          <w:rFonts w:ascii="Times New Roman" w:hAnsi="Times New Roman" w:cs="Times New Roman"/>
          <w:color w:val="000000" w:themeColor="text1"/>
          <w:kern w:val="2"/>
          <w:sz w:val="16"/>
          <w:szCs w:val="16"/>
        </w:rPr>
        <w:softHyphen/>
        <w:t>зывался "гидроаэропланом Энгельса", "летающей лодкой Энгельса" и т.д.; второй прототип получил и те же имена, и заводской номер 1, а следующий имел обозначение, состоящее из заглавной буквы "Э" (Энгельс) и римской цифры III: ЭЛИ. Эта третья, а с ней и чет</w:t>
      </w:r>
      <w:r w:rsidRPr="002F2FDF">
        <w:rPr>
          <w:rFonts w:ascii="Times New Roman" w:hAnsi="Times New Roman" w:cs="Times New Roman"/>
          <w:color w:val="000000" w:themeColor="text1"/>
          <w:kern w:val="2"/>
          <w:sz w:val="16"/>
          <w:szCs w:val="16"/>
        </w:rPr>
        <w:softHyphen/>
        <w:t>вертая машина были известны как аппараты ЭЛП №1 и ЭЛИ №2, причем "№1" и "№2" являлись ни чем иным, как заводскими номерами. Таким образом, сразу два самолета по</w:t>
      </w:r>
      <w:r w:rsidRPr="002F2FDF">
        <w:rPr>
          <w:rFonts w:ascii="Times New Roman" w:hAnsi="Times New Roman" w:cs="Times New Roman"/>
          <w:color w:val="000000" w:themeColor="text1"/>
          <w:kern w:val="2"/>
          <w:sz w:val="16"/>
          <w:szCs w:val="16"/>
        </w:rPr>
        <w:softHyphen/>
        <w:t>стройки фабрики Мельцера имели, хоть и в разные годы, один и тот же заводской номер.</w:t>
      </w:r>
    </w:p>
    <w:p w14:paraId="7EF2C8E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Преемственность нумерации аппаратов Виллиша была соблюдена и благодаря тому поя</w:t>
      </w:r>
      <w:r w:rsidRPr="002F2FDF">
        <w:rPr>
          <w:rFonts w:ascii="Times New Roman" w:hAnsi="Times New Roman" w:cs="Times New Roman"/>
          <w:color w:val="000000" w:themeColor="text1"/>
          <w:kern w:val="2"/>
          <w:sz w:val="16"/>
          <w:szCs w:val="16"/>
        </w:rPr>
        <w:softHyphen/>
        <w:t>вились обозначения ВМ-5 (иначе В.М.-У) и ВМ-6. При том прототипам модели ВМ-5 при</w:t>
      </w:r>
      <w:r w:rsidRPr="002F2FDF">
        <w:rPr>
          <w:rFonts w:ascii="Times New Roman" w:hAnsi="Times New Roman" w:cs="Times New Roman"/>
          <w:color w:val="000000" w:themeColor="text1"/>
          <w:kern w:val="2"/>
          <w:sz w:val="16"/>
          <w:szCs w:val="16"/>
        </w:rPr>
        <w:softHyphen/>
        <w:t>сваивались заводские номера, следовавшие за гидроаэропланами Энгельса ЭЛП — сущест</w:t>
      </w:r>
      <w:r w:rsidRPr="002F2FDF">
        <w:rPr>
          <w:rFonts w:ascii="Times New Roman" w:hAnsi="Times New Roman" w:cs="Times New Roman"/>
          <w:color w:val="000000" w:themeColor="text1"/>
          <w:kern w:val="2"/>
          <w:sz w:val="16"/>
          <w:szCs w:val="16"/>
        </w:rPr>
        <w:softHyphen/>
        <w:t>вовали ВМ-5 №3 и, вероятно, ВМ-5 №4.</w:t>
      </w:r>
    </w:p>
    <w:p w14:paraId="43116E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Компании Ф. Мельцера предстояло также производить самолеты, конструировавшиеся инженерами Авиационной испытательной станции Морского ведомства, учрежденной специ</w:t>
      </w:r>
      <w:r w:rsidRPr="002F2FDF">
        <w:rPr>
          <w:rFonts w:ascii="Times New Roman" w:hAnsi="Times New Roman" w:cs="Times New Roman"/>
          <w:color w:val="000000" w:themeColor="text1"/>
          <w:kern w:val="2"/>
          <w:sz w:val="16"/>
          <w:szCs w:val="16"/>
        </w:rPr>
        <w:softHyphen/>
        <w:t>ально для развития экспериментального строительства. Однако все проекты АИС были из</w:t>
      </w:r>
      <w:r w:rsidRPr="002F2FDF">
        <w:rPr>
          <w:rFonts w:ascii="Times New Roman" w:hAnsi="Times New Roman" w:cs="Times New Roman"/>
          <w:color w:val="000000" w:themeColor="text1"/>
          <w:kern w:val="2"/>
          <w:sz w:val="16"/>
          <w:szCs w:val="16"/>
        </w:rPr>
        <w:softHyphen/>
        <w:t>вестны под их оригинальными, а не заводскими именами, тем более, что ни один из них так и не воплотился в жизнь. Изготовленные Мельцером аппараты не успели попасть в боевые части морской авиации, а потому не имели флотских кодов и номеров.</w:t>
      </w:r>
    </w:p>
    <w:p w14:paraId="0EC8193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МЕЛЬЦЕР: Истребитель Энгельса (1-й прототип) (2843).</w:t>
      </w:r>
    </w:p>
    <w:p w14:paraId="2D7BECC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7E7885"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6 (19) марта 1917 года </w:t>
      </w:r>
    </w:p>
    <w:p w14:paraId="27E289E4"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Копия Совершенно секретно </w:t>
      </w:r>
    </w:p>
    <w:p w14:paraId="38D0C82B"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Журнал № 147 Особого Совещания для обсуждения и объединения мероприятий по обороне государства. </w:t>
      </w:r>
    </w:p>
    <w:p w14:paraId="3C9BF961"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6 марта 1917 года. </w:t>
      </w:r>
    </w:p>
    <w:p w14:paraId="46BADD52"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Председательствовал Военный министр А. И. Гучков. </w:t>
      </w:r>
    </w:p>
    <w:p w14:paraId="09C97FE3"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Присутствовали: Министр финансов . М. И. Терещенко</w:t>
      </w:r>
    </w:p>
    <w:p w14:paraId="123BECED"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Член Государственного Совета  С. И. Тимашев.</w:t>
      </w:r>
    </w:p>
    <w:p w14:paraId="1FFD0230"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в. И. Тимирязев.</w:t>
      </w:r>
    </w:p>
    <w:p w14:paraId="4849A6DB"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граф С. А. Толь.</w:t>
      </w:r>
    </w:p>
    <w:p w14:paraId="4C92FAF8"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в. И. Карпов.</w:t>
      </w:r>
    </w:p>
    <w:p w14:paraId="3DB2ED03"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в. И. Гурко.</w:t>
      </w:r>
    </w:p>
    <w:p w14:paraId="143B5BAB"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М. А. Стахович.</w:t>
      </w:r>
    </w:p>
    <w:p w14:paraId="44385EDA"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А. И. Мосолов.</w:t>
      </w:r>
    </w:p>
    <w:p w14:paraId="419B9FB8"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Ф. А. Иванов.</w:t>
      </w:r>
    </w:p>
    <w:p w14:paraId="0A4B3D79"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С. Ф. Ольденбург.</w:t>
      </w:r>
    </w:p>
    <w:p w14:paraId="03820674"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И. А. Шебеко.</w:t>
      </w:r>
    </w:p>
    <w:p w14:paraId="2E3E4C29"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князь А. Н. Лобанов-Ростовский.</w:t>
      </w:r>
    </w:p>
    <w:p w14:paraId="26FC8754"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 Государственной Думы . М. В. Родзянко. </w:t>
      </w:r>
    </w:p>
    <w:p w14:paraId="40E07177"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Член Государственной Думы . А. А. Добровольский.</w:t>
      </w:r>
    </w:p>
    <w:p w14:paraId="7D6DB4CC"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Н. В. Савич.</w:t>
      </w:r>
    </w:p>
    <w:p w14:paraId="74BDFCC1"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Д. Н. Сверчков.</w:t>
      </w:r>
    </w:p>
    <w:p w14:paraId="379661B0"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Д. Н. Чихачев.</w:t>
      </w:r>
    </w:p>
    <w:p w14:paraId="1F2E743B"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В. В. Шульгин.</w:t>
      </w:r>
    </w:p>
    <w:p w14:paraId="542DC65C"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Б. А. Энгельгардт.</w:t>
      </w:r>
    </w:p>
    <w:p w14:paraId="7B1FA9D6"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П. Н. Крупенский.</w:t>
      </w:r>
    </w:p>
    <w:p w14:paraId="08C35E99"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М. С. Аджемов.</w:t>
      </w:r>
    </w:p>
    <w:p w14:paraId="4A10BDC4"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Н. Н. Львов. </w:t>
      </w:r>
    </w:p>
    <w:p w14:paraId="7F4CEC27"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военного министерства:</w:t>
      </w:r>
    </w:p>
    <w:p w14:paraId="450CA035"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 от инфантерии . П. А. Фролов.</w:t>
      </w:r>
    </w:p>
    <w:p w14:paraId="106AFDD4"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Сенатор . Н. П. Гарин.</w:t>
      </w:r>
    </w:p>
    <w:p w14:paraId="7398690E"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 от артиллерии . А. А. Маниковский.</w:t>
      </w:r>
    </w:p>
    <w:p w14:paraId="39034362"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Генерал-лейтенант . Г. Г. Милеант.</w:t>
      </w:r>
    </w:p>
    <w:p w14:paraId="4D3CE5D6"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Н. А. Бабиков.</w:t>
      </w:r>
    </w:p>
    <w:p w14:paraId="344A176A"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Н. И. Богатко. </w:t>
      </w:r>
    </w:p>
    <w:p w14:paraId="1970FABA"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министерства финансов: Тайный советник .В. В. Кузьминский. </w:t>
      </w:r>
    </w:p>
    <w:p w14:paraId="1E4F7469"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Государственного контроля: Тайный советник . М. И. Скипетров. </w:t>
      </w:r>
    </w:p>
    <w:p w14:paraId="69319484"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министерства торговли и промышленности: Действительный статский советник . С. П. Веселаго.</w:t>
      </w:r>
    </w:p>
    <w:p w14:paraId="2E1B8AE2"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Статский советник . В. А. Рогожников. </w:t>
      </w:r>
    </w:p>
    <w:p w14:paraId="71ABCE66"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министерства путей сообщения: Тайный советник . Д. П. Козырев. </w:t>
      </w:r>
    </w:p>
    <w:p w14:paraId="671A1823"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Всероссийского земского союза: Член Государственного Совета барон в. в. Меллер-Закомельский.</w:t>
      </w:r>
    </w:p>
    <w:p w14:paraId="6F1CE4EF"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центрального военно-промышленного комитета: Действительный статский советник . Д. С. Зернов.</w:t>
      </w:r>
    </w:p>
    <w:p w14:paraId="42878615"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Горный инженер . П. П. Козакевич. </w:t>
      </w:r>
    </w:p>
    <w:p w14:paraId="642FA4C6"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Особо приглашенные в заседание: Член Государственного Совета . Н. Ф. фон Дитмар.</w:t>
      </w:r>
    </w:p>
    <w:p w14:paraId="12D13545"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 от инфантерии . А. А. Поливанов.</w:t>
      </w:r>
    </w:p>
    <w:p w14:paraId="7EF55CC6"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А. З. Мышлаевский.</w:t>
      </w:r>
    </w:p>
    <w:p w14:paraId="25F5076D"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Генерал-лейтенант . В. А. Лехович.</w:t>
      </w:r>
    </w:p>
    <w:p w14:paraId="442A9EDD"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А. А. Якимович.</w:t>
      </w:r>
    </w:p>
    <w:p w14:paraId="321D5BF4"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 » . Д. В. Филатьев.</w:t>
      </w:r>
    </w:p>
    <w:p w14:paraId="2B5D670D"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Н. И. Петровский.</w:t>
      </w:r>
    </w:p>
    <w:p w14:paraId="3947152C"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в. Н. Ипатьев. </w:t>
      </w:r>
    </w:p>
    <w:p w14:paraId="7703FC58"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Флота генерал-лейтенант . Н. М. Сергеев.</w:t>
      </w:r>
    </w:p>
    <w:p w14:paraId="6EF4A11F"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Генерал-майор . А. А. Саткевич.</w:t>
      </w:r>
    </w:p>
    <w:p w14:paraId="39D6047E"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А. А. Михельсон.</w:t>
      </w:r>
    </w:p>
    <w:p w14:paraId="627734B5"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Действительный статский советник . в. П. Литвинов-Фалинский.</w:t>
      </w:r>
    </w:p>
    <w:p w14:paraId="122DE2EA"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Отставной полковник . Н. Е. Понафидин.</w:t>
      </w:r>
    </w:p>
    <w:p w14:paraId="0566F8B6"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Полковник . Д. В. Яковлев.</w:t>
      </w:r>
    </w:p>
    <w:p w14:paraId="5A601F74"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Инженер путей сообщения барон . Г. Х. Майдель. </w:t>
      </w:r>
    </w:p>
    <w:p w14:paraId="34A38DF7"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Делопроизводитель Особого Совещания: Военный советник . А. А. Терне. </w:t>
      </w:r>
    </w:p>
    <w:p w14:paraId="018A1AFF"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 открытии заседания Председатель Совещания Военный министр А. И. Гучков обратился к членам Совещания с кратким приветственным словом. А. И. Гучков указал, что согласно имеющимся у него сведениям новый строй получил всенародное и всеармейское признание. Однако вызванное переворотом возбуждение еще не улеглось и в этом заключается некоторая государственная и стратегическая опасность. Очередной задачей является установление нормального хода жизни путем объединенной творческой работы всех живых сил страны. С призывом к этой работе А. И. Гучков и обращается к членам Особого Совещания по обороне государства. Отвечая А. И. Гучкову, член Государственного Совета В. И. Гурко высказал, что члены Совещания от всей души приветствуют тех лиц, которые вывели Россию на новый путь, и не сомневаются в их искренней и беззаветной преданности интересам родины. Со своей стороны члены Совещания приложат все усилия к тому, чтобы своей работой содействовать благосостоянию и процветанию России.</w:t>
      </w:r>
    </w:p>
    <w:p w14:paraId="2A3A4915"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Засим Совещание заслушало и одобрило доклады подготовительной комиссии по авиационным вопросам о постройке управлением военного воздушного флота казенных аэропланного и моторно-механического заводов в Херсоне и завода авиационных измерительных инструментов в Москве.</w:t>
      </w:r>
    </w:p>
    <w:p w14:paraId="1912770F"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Далее член Государственного Совета М. А. Стахович доложил Совещанию заключение наблюдательной комиссии по вопросу о порядке представления </w:t>
      </w:r>
      <w:r w:rsidRPr="002F2FDF">
        <w:rPr>
          <w:rFonts w:ascii="Times New Roman" w:hAnsi="Times New Roman" w:cs="Times New Roman"/>
          <w:color w:val="000000" w:themeColor="text1"/>
          <w:sz w:val="16"/>
          <w:szCs w:val="16"/>
          <w:highlight w:val="yellow"/>
        </w:rPr>
        <w:t>управлением военного воздушного флота</w:t>
      </w:r>
      <w:r w:rsidRPr="002F2FDF">
        <w:rPr>
          <w:rFonts w:ascii="Times New Roman" w:hAnsi="Times New Roman" w:cs="Times New Roman"/>
          <w:color w:val="000000" w:themeColor="text1"/>
          <w:sz w:val="16"/>
          <w:szCs w:val="16"/>
        </w:rPr>
        <w:t xml:space="preserve"> ежемесячных ведомостей о ходе выполнения заказов и о поступлении предметов авиационного имущества. Комиссия признала желательным, чтобы означенные ведомости представлялись управлением в подготовительную комиссию по авиационным вопросам, которая уже со своей стороны сообщала бы в случае надобности наблюдательной комиссии сведения о неудовлетворительном выполнении отдельными поставщиками тех или иных военных заказов, на предмет выяснения причин недопоставки, мер к их устранению и вопроса о необходимости привлечения виновных в неисполнении заказа лиц к уголовной ответственности. </w:t>
      </w:r>
    </w:p>
    <w:p w14:paraId="746E43EA"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Совещание одобрило заключение комиссии и вместе с тем присоединилось к пожеланию Члена Государственного Совета С. И. Тимашева о распространении того же порядка на представление ежемесячных ведомостей по главному артиллерийскому управлению. Что же касается ведомостей по заказам главных военно-технического и интендантского управлений, то Совещание просило генерал-майора А. А. Саткевича поставить вопрос об изменении порядка их представления на обсуждение состоящей под его председательством подготовительной комиссии. </w:t>
      </w:r>
    </w:p>
    <w:p w14:paraId="453058D0"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Далее Совещание заслушало доклады подготовительной комиссии по артиллерийским вопросам: </w:t>
      </w:r>
    </w:p>
    <w:p w14:paraId="6ACBFBE7"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об отпуске председателю химического комитета при главном артиллерийском управлении для осуществления в 1917 году водной перевозки серного колчедана из рудников Урала 2 500 000 рублей из военного фонда, </w:t>
      </w:r>
    </w:p>
    <w:p w14:paraId="2E8BACAD"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об увеличении цены по заказу обществу Путиловских заводов на изготовление 1 200 000 штук 6” стальных фугасных бомб до 64 руб лей за штуку и </w:t>
      </w:r>
    </w:p>
    <w:p w14:paraId="3F6C4815"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об утверждении заказа обществу Путиловских заводов на изготовление 200 штук 6” полевых гаубиц101 — с тем чтобы вопрос о цене по настоящему заказу и о дополнительном ассигновании обществу, в размере разницы между стоимостью 200 гаубиц крепостных и полевых, был разрешен по выяснении стоимости производства крепостных гаубиц. </w:t>
      </w:r>
    </w:p>
    <w:p w14:paraId="3816224C"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Доклады эти были Совещанием одобрены. Равным образом одобрило Совещание пожелание комиссии о том, чтобы все изготовляемые на Путиловских заводах гаубицы, часть коих поступает ныне в распоряжение морского ведомства, в дальнейшем направлялись полностью на удовлетворение потребности сухопутного фронта. </w:t>
      </w:r>
    </w:p>
    <w:p w14:paraId="442EA130"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При этом член Государственной Думы Н. В. Савич указал, что установление такого же порядка в отношении снарядов представлялось бы едва ли осуществимыми, так как значительная часть изготовляемых на Путиловских заводах снарядов является необходимым для удовлетворения неотложных нужд морского ведомства. Представитель министерства торговли и промышленности статский советник В. А. Рогожников высказал пожелание, чтобы порядок, намечаемый ныне для Путиловских заводов, был распространен также на Пермский пушечный завод. Совещание присоединилось к предложению помощника Военного министра сенатора Н. П. Гарина подвергнуть возбужденный В. А. Рогожниковым вопрос специальному предварительному обсуждению. </w:t>
      </w:r>
    </w:p>
    <w:p w14:paraId="4BEA97A3"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Подлинный [журнал] за надлежащими подписями. </w:t>
      </w:r>
    </w:p>
    <w:p w14:paraId="01C822F5"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 председателя Особого Совещания генерал от артиллерии Маниковский в отношении приведения в исполнение требующих того суждений Особого Совещания решил:</w:t>
      </w:r>
    </w:p>
    <w:p w14:paraId="75F1C334"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Утвердить доклады подготовительной комиссии по артиллерийским вопросам: </w:t>
      </w:r>
    </w:p>
    <w:p w14:paraId="56DA968E"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об отпуске председателю химического комитета при главном артиллерийском управлении для осуществления в 1917 году водной перевозки серного колчедана из рудников Урала двух миллионов пятисот тысяч (2 500 000) руб лей из военного фонда; </w:t>
      </w:r>
    </w:p>
    <w:p w14:paraId="1ACEAF50"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об увеличении цены по заказу обществу Путиловских заводов на изготовление 1 200 000 штук 6” стальных фугасных бомб до 64 руб лей за штуку; </w:t>
      </w:r>
    </w:p>
    <w:p w14:paraId="06284EDB"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об утверждении заказа обществу Путиловских заводов на изготовление 200 штук 6” гаубиц крепостного образца взамен данного тому же обществу 18 марта 1915 года заказа на 200 штук 6” полевых гаубиц, с тем чтобы вопрос о цене по настоящему заказу и о дополнительном ассигновании обществу в размере разницы между стоимостью 200 гаубиц крепостных и полевых был разрешен по выяснении стоимости производства крепостных гаубиц. </w:t>
      </w:r>
    </w:p>
    <w:p w14:paraId="5365E347"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Признать желательным, чтобы все изготовляемые на Путиловских заводах гаубицы, часть коих поступает ныне в распоряжение морского ведомства, в дальнейшем направлялись полностью на удовлетворение потребности сухопутного фронта. </w:t>
      </w:r>
    </w:p>
    <w:p w14:paraId="06CCEBB8"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3. Утвердить доклады подготовительной комиссии по авиационным вопросам: </w:t>
      </w:r>
    </w:p>
    <w:p w14:paraId="7E7BABE9"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 постройке управлением военного воздушного флота казенных аэропланного и моторно-механического заводов в г. Херсоне; </w:t>
      </w:r>
    </w:p>
    <w:p w14:paraId="697F0114"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б) о создании управлением военного воздушного флота казенного завода авиационных измерительных инструментов в г. Москве.</w:t>
      </w:r>
    </w:p>
    <w:p w14:paraId="48594AC9"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4. Признать желательным, чтобы в дальнейшем ежемесячные сведения о порядке выполнения заказов и о поступлении предметов снабжения армии представлялись: главным артиллерийским управлением — в подготовительную комиссию по артиллерийским вопросам и управлением военного воздушного флота — в подготовительную комиссию по авиационным вопросам, с тем чтобы означенные комиссии сообщали в случае надобности наблюдательной комиссии сведения о неудовлетворительном выполнении отдельными поставщиками тех или иных военных заказов, на предмет выяснения причин недопоставки, мер к их устранению и необходимости привлечения в подлежащих случаях лиц, виновных в неисполнении заказов к уголовной ответственности. </w:t>
      </w:r>
    </w:p>
    <w:p w14:paraId="2496D7CA"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Сверял: делопроизводитель подполковник С. Качалов. </w:t>
      </w:r>
    </w:p>
    <w:p w14:paraId="49E120E5"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Приложение к журналу № 147 </w:t>
      </w:r>
    </w:p>
    <w:p w14:paraId="5CB7DA17"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СПРАВКА </w:t>
      </w:r>
    </w:p>
    <w:p w14:paraId="14368996"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заседании 18 Февраля 1917 г. Наблюдательная Комиссия при Особом Совещании по Обороне государства, выслушав доклад члена Комиссии А. И. Шингарева по вопросу о ходе снабжения армии авиационного и воздухоплавательного имущества, постановила: Признать желательным возложение на подготовительную Комиссию по авиационным вопросам представление в Особое Совещание по обороне государства ежемесячных сведений о порядке выполнения заказов и о поступлении предметов военно-авиационного имущества с тем, чтобы означенная Комиссия сообщала в случае надобности Наблюдательной Комиссии сведения о неудовлетворительном выполнении отдельными поставщиками тех или иных военных заказов на предмет выяснения причин недопоставки, мер к их устранению и необходимости привлечения в подлежащих случаях лиц, виновных в неисполнении заказов, к уголовной ответственности (20424). </w:t>
      </w:r>
    </w:p>
    <w:p w14:paraId="0B49022F" w14:textId="77777777" w:rsidR="002F58C3" w:rsidRPr="002F2FDF" w:rsidRDefault="002F58C3" w:rsidP="0083075A">
      <w:pPr>
        <w:spacing w:after="0" w:line="240" w:lineRule="auto"/>
        <w:jc w:val="both"/>
        <w:rPr>
          <w:rFonts w:ascii="Times New Roman" w:hAnsi="Times New Roman" w:cs="Times New Roman"/>
          <w:color w:val="000000" w:themeColor="text1"/>
          <w:sz w:val="16"/>
          <w:szCs w:val="16"/>
        </w:rPr>
      </w:pPr>
    </w:p>
    <w:p w14:paraId="0636948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6ED1F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D44E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марта 1917 Временное правительство обнародовало программу первоочередных мероприятий "О преемственности власти и права" (3908,254): созыв Учредительного собрания, политическая амнистия, гарантии прав и свобод, продолжение войны до победы, соблюдение обязательств перед союзниками (1348,84).</w:t>
      </w:r>
    </w:p>
    <w:p w14:paraId="48CE17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711649"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6 (19) марта</w:t>
      </w:r>
      <w:r w:rsidRPr="002F2FDF">
        <w:rPr>
          <w:rFonts w:ascii="Times New Roman" w:hAnsi="Times New Roman" w:cs="Times New Roman"/>
          <w:color w:val="000000" w:themeColor="text1"/>
          <w:kern w:val="2"/>
          <w:sz w:val="16"/>
          <w:szCs w:val="16"/>
        </w:rPr>
        <w:t xml:space="preserve"> в 1917 году распоряжение Временного правительства об аресте бывшего императора Николая II и Александры Фёдоровны (15073).</w:t>
      </w:r>
    </w:p>
    <w:p w14:paraId="7E70C595"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p w14:paraId="4758E7E1"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6 (19) марта</w:t>
      </w:r>
      <w:r w:rsidRPr="002F2FDF">
        <w:rPr>
          <w:rFonts w:ascii="Times New Roman" w:hAnsi="Times New Roman" w:cs="Times New Roman"/>
          <w:color w:val="000000" w:themeColor="text1"/>
          <w:kern w:val="2"/>
          <w:sz w:val="16"/>
          <w:szCs w:val="16"/>
        </w:rPr>
        <w:t xml:space="preserve"> в 1917 году обнародована программа Временного правительства: амнистия, созыв Учредительного собрания, избираемого всеобщим голосованием, гарантии политических свобод и равенства граждан, продолжение войны до победного конца (15073).</w:t>
      </w:r>
    </w:p>
    <w:p w14:paraId="38C47B3B"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p w14:paraId="64B84DC3" w14:textId="77777777" w:rsidR="006709A3" w:rsidRPr="002F2FDF" w:rsidRDefault="006709A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Между 6 (19) и 12 (25) марта 1917. Из журнала заседаний Временного правительства №10, 1917 г.</w:t>
      </w:r>
    </w:p>
    <w:p w14:paraId="0D8C2F0C" w14:textId="77777777" w:rsidR="006709A3" w:rsidRPr="002F2FDF" w:rsidRDefault="006709A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Об издании указа об амнистии </w:t>
      </w:r>
    </w:p>
    <w:p w14:paraId="55F5A6D7" w14:textId="77777777" w:rsidR="006709A3" w:rsidRPr="002F2FDF" w:rsidRDefault="006709A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Препроводить в Правительствующий сенат для обнародования и исполнения составленные министром юстиции указы: 1) об амнистии и 2) о сокращении срока наказания в случае добровольной их явки лицам, осужденным за общеуголовные преступные деяния и освобожденным народом из мест заключения. </w:t>
      </w:r>
    </w:p>
    <w:p w14:paraId="4C0E6AE2" w14:textId="77777777" w:rsidR="006709A3" w:rsidRPr="002F2FDF" w:rsidRDefault="006709A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Из журнала заседаний Временного правительства №8, 1917 г. </w:t>
      </w:r>
    </w:p>
    <w:p w14:paraId="602745B4" w14:textId="77777777" w:rsidR="006709A3" w:rsidRPr="002F2FDF" w:rsidRDefault="006709A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 лишении свободы отрекшегося императора Николая II и его супруги </w:t>
      </w:r>
    </w:p>
    <w:p w14:paraId="5DA9EFEB" w14:textId="77777777" w:rsidR="006709A3" w:rsidRPr="002F2FDF" w:rsidRDefault="006709A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Признать отрекшегося императора Николая II и его супругу лишенными свободы и доставить отрекшегося императора в Царское Село... (11652).</w:t>
      </w:r>
    </w:p>
    <w:p w14:paraId="5B65E8EE" w14:textId="77777777" w:rsidR="006709A3" w:rsidRPr="002F2FDF" w:rsidRDefault="006709A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A5D524" w14:textId="77777777" w:rsidR="006709A3" w:rsidRPr="002F2FDF" w:rsidRDefault="006709A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Между 6 (19) и 12 (25) марта 1917. Из журнала заседаний Временного правительства №11, 1917 г.</w:t>
      </w:r>
    </w:p>
    <w:p w14:paraId="47EEA862" w14:textId="77777777" w:rsidR="006709A3" w:rsidRPr="002F2FDF" w:rsidRDefault="006709A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 предполагаемых мерах для ликвидации арестов, произведенных в дни революции </w:t>
      </w:r>
    </w:p>
    <w:p w14:paraId="29BE9D6E" w14:textId="77777777" w:rsidR="006709A3" w:rsidRPr="002F2FDF" w:rsidRDefault="006709A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Поручить министру юстиции: 1) немедленно освободить из-под стражи всех лиц, относительно которых нет данных для предъявления к ним судебного обвинения; 2) против тех из заключенных, на которых упадет обвинение в государственной измене, немедленно возбудить в законном порядке уголовное преследование; 3) тех из заключенных, коих правительство не признает возможным освободить по политическим причинам, считать содержащимися под стражей по особому распоряжению генерал-прокурора... Арест для таких лиц мог бы быть заменен ссылкою или высылкою за границу; 4) прекратить самовольные обыски и аресты, совершаемые не уполномоченными судебной властью лицами... (11652).</w:t>
      </w:r>
    </w:p>
    <w:p w14:paraId="10AA5909" w14:textId="77777777" w:rsidR="006709A3" w:rsidRPr="002F2FDF" w:rsidRDefault="006709A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265A1A" w14:textId="77777777" w:rsidR="006709A3" w:rsidRPr="002F2FDF" w:rsidRDefault="006709A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Между 6 (19) и 12 (25) марта 1917. Из журнала заседаний Временного правительства №13, 1917 г.</w:t>
      </w:r>
    </w:p>
    <w:p w14:paraId="445B7B40" w14:textId="77777777" w:rsidR="006709A3" w:rsidRPr="002F2FDF" w:rsidRDefault="006709A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Об отмене всех национальных и религиозных ограничений </w:t>
      </w:r>
    </w:p>
    <w:p w14:paraId="04941DFF" w14:textId="77777777" w:rsidR="006709A3" w:rsidRPr="002F2FDF" w:rsidRDefault="006709A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Уполномочить министра юстиции внести на уважение Временного правительства законопроект об отмене всех национальных и религиозных ограничений (11652).</w:t>
      </w:r>
    </w:p>
    <w:p w14:paraId="414F67A6" w14:textId="77777777" w:rsidR="006709A3" w:rsidRPr="002F2FDF" w:rsidRDefault="006709A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4824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марта 1917 был уничтожен институт земских начальников (3481).</w:t>
      </w:r>
    </w:p>
    <w:p w14:paraId="50C00E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F43424" w14:textId="77777777" w:rsidR="0026359A" w:rsidRPr="002F2FDF" w:rsidRDefault="0026359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6 </w:t>
      </w:r>
      <w:r w:rsidRPr="002F2FDF">
        <w:rPr>
          <w:rFonts w:ascii="Times New Roman" w:hAnsi="Times New Roman" w:cs="Times New Roman"/>
          <w:color w:val="000000" w:themeColor="text1"/>
          <w:kern w:val="2"/>
          <w:sz w:val="16"/>
          <w:szCs w:val="16"/>
        </w:rPr>
        <w:t>(19) марта 1917 года</w:t>
      </w:r>
      <w:r w:rsidRPr="002F2FDF">
        <w:rPr>
          <w:rFonts w:ascii="Times New Roman" w:hAnsi="Times New Roman" w:cs="Times New Roman"/>
          <w:bCs/>
          <w:color w:val="000000" w:themeColor="text1"/>
          <w:kern w:val="2"/>
          <w:sz w:val="16"/>
          <w:szCs w:val="16"/>
        </w:rPr>
        <w:t xml:space="preserve"> в Москве по призыву Совета рабочих депутатов возобновили работу фабрики и заводы, а главное — после недельного перерыва был пущен трамвай (17326).</w:t>
      </w:r>
    </w:p>
    <w:p w14:paraId="1D813CEB" w14:textId="77777777" w:rsidR="0026359A" w:rsidRPr="002F2FDF" w:rsidRDefault="0026359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0AD652" w14:textId="77777777" w:rsidR="00CD1F09" w:rsidRPr="002F2FDF" w:rsidRDefault="00CD1F09" w:rsidP="0083075A">
      <w:pPr>
        <w:pStyle w:val="a3"/>
        <w:rPr>
          <w:color w:val="000000" w:themeColor="text1"/>
          <w:lang w:val="ru-RU"/>
        </w:rPr>
      </w:pPr>
      <w:r w:rsidRPr="002F2FDF">
        <w:rPr>
          <w:color w:val="000000" w:themeColor="text1"/>
          <w:lang w:val="ru-RU"/>
        </w:rPr>
        <w:t>6 (19) марта 1917 г. карточная система была введена в Москве, хотя по стране это случилось еще летом 1916. В Петрограде накануне февральских событий хлеба выдавалось в день на человека полтора фунта (615 г.), рабочим - 2 фунта (820 г.) - в 3,6-4,8 раза больше, чем в Германии (18082).</w:t>
      </w:r>
    </w:p>
    <w:p w14:paraId="74CCBE2F" w14:textId="77777777" w:rsidR="00CD1F09" w:rsidRPr="002F2FDF" w:rsidRDefault="00CD1F09" w:rsidP="0083075A">
      <w:pPr>
        <w:pStyle w:val="a3"/>
        <w:rPr>
          <w:color w:val="000000" w:themeColor="text1"/>
          <w:lang w:val="ru-RU"/>
        </w:rPr>
      </w:pPr>
    </w:p>
    <w:p w14:paraId="6DA90C55"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6 (19) марта</w:t>
      </w:r>
      <w:r w:rsidRPr="002F2FDF">
        <w:rPr>
          <w:rFonts w:ascii="Times New Roman" w:hAnsi="Times New Roman" w:cs="Times New Roman"/>
          <w:color w:val="000000" w:themeColor="text1"/>
          <w:kern w:val="2"/>
          <w:sz w:val="16"/>
          <w:szCs w:val="16"/>
        </w:rPr>
        <w:t xml:space="preserve"> в 1917 году в Киеве проходит 100-тысячная демонстрация под лозунгами: «Автономию Украине», «Свободная Украина в свободной России», «Да здравствует свободная Украина с гетманом во главе». Во время первого украинского праздника Свободы демонстрантами разоружается полиция (15073).</w:t>
      </w:r>
    </w:p>
    <w:p w14:paraId="094B0202"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p w14:paraId="1D98B4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марта 1917 в Киеве прошла 100 тыс. демонстрация под лозунгами "Автономию Украине", "Свободная Украина в Свободной России", "Да здравствует свободная Украина с гетманом во главе" (3481).</w:t>
      </w:r>
    </w:p>
    <w:p w14:paraId="064638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020C7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марта 1917 в Киеве во время первого украинского праздника Свободы демонстрантами разоружена полиция (4962).</w:t>
      </w:r>
    </w:p>
    <w:p w14:paraId="1CA46E6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2BF1A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0FE19E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8F6B1E" w14:textId="77777777" w:rsidR="00FE2D53" w:rsidRPr="002F2FDF" w:rsidRDefault="00FE2D5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6 (19) марта</w:t>
      </w:r>
      <w:r w:rsidRPr="002F2FDF">
        <w:rPr>
          <w:rFonts w:ascii="Times New Roman" w:hAnsi="Times New Roman" w:cs="Times New Roman"/>
          <w:color w:val="000000" w:themeColor="text1"/>
          <w:kern w:val="2"/>
          <w:sz w:val="16"/>
          <w:szCs w:val="16"/>
        </w:rPr>
        <w:t xml:space="preserve"> в 1917 году Временное правительство одним из своих первых внешнеполитических актов признало независимость Финляндии (15073).</w:t>
      </w:r>
    </w:p>
    <w:p w14:paraId="620D3590" w14:textId="77777777" w:rsidR="00FE2D53" w:rsidRPr="002F2FDF" w:rsidRDefault="00FE2D53" w:rsidP="0083075A">
      <w:pPr>
        <w:spacing w:after="0" w:line="240" w:lineRule="auto"/>
        <w:jc w:val="both"/>
        <w:rPr>
          <w:rFonts w:ascii="Times New Roman" w:hAnsi="Times New Roman" w:cs="Times New Roman"/>
          <w:color w:val="000000" w:themeColor="text1"/>
          <w:kern w:val="2"/>
          <w:sz w:val="16"/>
          <w:szCs w:val="16"/>
        </w:rPr>
      </w:pPr>
    </w:p>
    <w:p w14:paraId="2FCCC31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марта 1917 правительства Англии и Франции отказались пропускать политэмигрантов, в том числе Ленина, в Россию (4962).</w:t>
      </w:r>
    </w:p>
    <w:p w14:paraId="5D64DA7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1CE46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C7375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67C6B2" w14:textId="77777777" w:rsidR="00FE2D53" w:rsidRPr="002F2FDF" w:rsidRDefault="00FE2D5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6 (19) марта</w:t>
      </w:r>
      <w:r w:rsidRPr="002F2FDF">
        <w:rPr>
          <w:rFonts w:ascii="Times New Roman" w:hAnsi="Times New Roman" w:cs="Times New Roman"/>
          <w:color w:val="000000" w:themeColor="text1"/>
          <w:kern w:val="2"/>
          <w:sz w:val="16"/>
          <w:szCs w:val="16"/>
        </w:rPr>
        <w:t xml:space="preserve"> в 1917 году поднялся в воздух первый прототип истребителя, получившего известность как «Ansaldo» «SVA» («SVA.1»). Самолет представлял собой полутораплан деревянной конструкции с фанерной обшивкой фюзеляжа и полотняной обтяжкой крыльев и рулевых поверхностей. Кабина - открытая, шасси - неубираемое с хвостовым костылем. Заметным внешним отличием стали оригинальные W-образные стойки бипланной коробки, фюзеляж - сравнительно узкий и длинный. В задней части его сечение имеет форму перевернутого треугольника. Это было сделано с целью улучшить летчику обзор вниз назад. В обозначении самолета фигурируют две первые буквы фамилий двух главных его конструкторов - Савойи и Вердуцио, "А" - Ансальдо, производитель.Ансальдо основал фирму "Societa Anonima Aeronautica Ansaldo". «SVA» показал хорошую скорость и управляемость, но имел недостаточную для воздушного боя маневренность. В то же время отличная устойчивость и значительная дальность полета делали самолет идеальным для выполнения разведки. В результате истребитель переклассифицировали в истребитель-разведчик. Первые серийные самолеты, получившие обозначение «SVA-2», поступили в войска осенью 1917 года. 65 таких машин применялись главным образом как учебно-тренировочные (15073).</w:t>
      </w:r>
    </w:p>
    <w:p w14:paraId="1C3E50B1" w14:textId="77777777" w:rsidR="00FE2D53" w:rsidRPr="002F2FDF" w:rsidRDefault="00FE2D53" w:rsidP="0083075A">
      <w:pPr>
        <w:spacing w:after="0" w:line="240" w:lineRule="auto"/>
        <w:jc w:val="both"/>
        <w:rPr>
          <w:rFonts w:ascii="Times New Roman" w:hAnsi="Times New Roman" w:cs="Times New Roman"/>
          <w:color w:val="000000" w:themeColor="text1"/>
          <w:kern w:val="2"/>
          <w:sz w:val="16"/>
          <w:szCs w:val="16"/>
        </w:rPr>
      </w:pPr>
    </w:p>
    <w:p w14:paraId="0D94B661" w14:textId="453BA74D" w:rsidR="00307841" w:rsidRPr="002F2FDF" w:rsidRDefault="0030784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6 (19) марта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Поднялся в воздух первый прототип истребителя, получившего известность как Ansaldo SVA (SVA.1). Самолет представлял собой полутораплан деревянной конструкции с фанерной обшивкой фюзеляжа и полотняной обтяжкой крыльев и рулевых поверхностей. Кабина - открытая, шасси - неубираемое с хвостовым костылем. Заметным внешним отличием стали оригинальные W-образные стойки бипланной коробки, фюзеляж - сравнительно узкий и длинный. В задней части его сечение имеет форму перевернутого треугольника. Это было сделано с целью улучшить летчику обзор вниз назад.</w:t>
      </w:r>
    </w:p>
    <w:p w14:paraId="1D255A44" w14:textId="77777777" w:rsidR="00307841" w:rsidRPr="002F2FDF" w:rsidRDefault="0030784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обозначении самолета фигурируют две первые буквы фамилий двух главных его конструкторов - Савойи и Вердуцио, "А" - Ансальдо, производитель.Ансальдо основал фирму "Societa Anonima Aeronautica Ansaldo".</w:t>
      </w:r>
    </w:p>
    <w:p w14:paraId="3D04B0EE" w14:textId="77777777" w:rsidR="00307841" w:rsidRPr="002F2FDF" w:rsidRDefault="0030784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SVA показал хорошую скорость и управляемость, но имел недостаточную для воздушного боя маневренность. В то же время отличная устойчивость и значительная дальность полета делали самолет идеальным для выполнения разведки. В результате истребитель переклассифицировали в истребитель-разведчик. Первые серийные самолеты, получившие обозначение SVA-2, поступили в войска осенью 1917 года. 65 таких машин применялись главным образом как учебно-тренировочные (22563).</w:t>
      </w:r>
    </w:p>
    <w:p w14:paraId="78046636" w14:textId="77777777" w:rsidR="00307841" w:rsidRPr="002F2FDF" w:rsidRDefault="00307841" w:rsidP="0083075A">
      <w:pPr>
        <w:pStyle w:val="ae"/>
        <w:spacing w:before="0" w:after="0"/>
        <w:jc w:val="both"/>
        <w:rPr>
          <w:color w:val="000000" w:themeColor="text1"/>
          <w:sz w:val="16"/>
          <w:szCs w:val="16"/>
        </w:rPr>
      </w:pPr>
    </w:p>
    <w:p w14:paraId="5BD217F5" w14:textId="77777777" w:rsidR="00307841" w:rsidRPr="002F2FDF" w:rsidRDefault="0030784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6 (19) марта 1917 первый полет Ансальдо СВА (20341).</w:t>
      </w:r>
    </w:p>
    <w:p w14:paraId="25EDF30A" w14:textId="77777777" w:rsidR="00307841" w:rsidRPr="002F2FDF" w:rsidRDefault="00307841" w:rsidP="0083075A">
      <w:pPr>
        <w:spacing w:after="0" w:line="240" w:lineRule="auto"/>
        <w:jc w:val="both"/>
        <w:rPr>
          <w:rFonts w:ascii="Times New Roman" w:hAnsi="Times New Roman" w:cs="Times New Roman"/>
          <w:color w:val="000000" w:themeColor="text1"/>
          <w:sz w:val="16"/>
          <w:szCs w:val="16"/>
        </w:rPr>
      </w:pPr>
    </w:p>
    <w:p w14:paraId="1DAA485B" w14:textId="77777777" w:rsidR="00FE2D53" w:rsidRPr="002F2FDF" w:rsidRDefault="00FE2D5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6 (19) марта</w:t>
      </w:r>
      <w:r w:rsidRPr="002F2FDF">
        <w:rPr>
          <w:rFonts w:ascii="Times New Roman" w:hAnsi="Times New Roman" w:cs="Times New Roman"/>
          <w:color w:val="000000" w:themeColor="text1"/>
          <w:kern w:val="2"/>
          <w:sz w:val="16"/>
          <w:szCs w:val="16"/>
        </w:rPr>
        <w:t xml:space="preserve"> в 1917 году броненосец «Дантон» потоплен немецкой подводной лодкой «U-64» (15073).</w:t>
      </w:r>
    </w:p>
    <w:p w14:paraId="28A68B6C" w14:textId="77777777" w:rsidR="00FE2D53" w:rsidRPr="002F2FDF" w:rsidRDefault="00FE2D53" w:rsidP="0083075A">
      <w:pPr>
        <w:spacing w:after="0" w:line="240" w:lineRule="auto"/>
        <w:jc w:val="both"/>
        <w:rPr>
          <w:rFonts w:ascii="Times New Roman" w:hAnsi="Times New Roman" w:cs="Times New Roman"/>
          <w:color w:val="000000" w:themeColor="text1"/>
          <w:kern w:val="2"/>
          <w:sz w:val="16"/>
          <w:szCs w:val="16"/>
        </w:rPr>
      </w:pPr>
    </w:p>
    <w:p w14:paraId="183F8933" w14:textId="77777777" w:rsidR="0026359A" w:rsidRPr="002F2FDF" w:rsidRDefault="0026359A"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hAnsi="Times New Roman" w:cs="Times New Roman"/>
          <w:color w:val="000000" w:themeColor="text1"/>
          <w:kern w:val="2"/>
          <w:sz w:val="16"/>
          <w:szCs w:val="16"/>
        </w:rPr>
        <w:t>6 (19) марта 1917 г. германской подлодкой U-64 капитана Роберта Вильгельма Мората был торпедирован и потоплен головной броненосец ВМС Франции «Дантон» (19.763 т).</w:t>
      </w:r>
      <w:r w:rsidRPr="002F2FDF">
        <w:rPr>
          <w:rFonts w:ascii="Times New Roman" w:eastAsia="Times New Roman" w:hAnsi="Times New Roman" w:cs="Times New Roman"/>
          <w:bCs/>
          <w:color w:val="000000" w:themeColor="text1"/>
          <w:kern w:val="2"/>
          <w:sz w:val="16"/>
          <w:szCs w:val="16"/>
          <w:lang w:eastAsia="ru-RU"/>
        </w:rPr>
        <w:t>Рассказ корветтен капитана Роберта Мората.</w:t>
      </w:r>
    </w:p>
    <w:p w14:paraId="587F30A2" w14:textId="77777777" w:rsidR="0026359A" w:rsidRPr="002F2FDF" w:rsidRDefault="0026359A" w:rsidP="0083075A">
      <w:pPr>
        <w:shd w:val="clear" w:color="auto" w:fill="FFFFFF"/>
        <w:spacing w:after="0" w:line="240" w:lineRule="auto"/>
        <w:jc w:val="both"/>
        <w:rPr>
          <w:rFonts w:ascii="Times New Roman" w:hAnsi="Times New Roman" w:cs="Times New Roman"/>
          <w:color w:val="000000" w:themeColor="text1"/>
          <w:kern w:val="2"/>
          <w:sz w:val="16"/>
          <w:szCs w:val="16"/>
        </w:rPr>
      </w:pPr>
      <w:r w:rsidRPr="002F2FDF">
        <w:rPr>
          <w:rFonts w:ascii="Times New Roman" w:eastAsia="Times New Roman" w:hAnsi="Times New Roman" w:cs="Times New Roman"/>
          <w:bCs/>
          <w:color w:val="000000" w:themeColor="text1"/>
          <w:kern w:val="2"/>
          <w:sz w:val="16"/>
          <w:szCs w:val="16"/>
          <w:lang w:eastAsia="ru-RU"/>
        </w:rPr>
        <w:t>«</w:t>
      </w:r>
      <w:r w:rsidRPr="002F2FDF">
        <w:rPr>
          <w:rFonts w:ascii="Times New Roman" w:eastAsia="Times New Roman" w:hAnsi="Times New Roman" w:cs="Times New Roman"/>
          <w:color w:val="000000" w:themeColor="text1"/>
          <w:kern w:val="2"/>
          <w:sz w:val="16"/>
          <w:szCs w:val="16"/>
          <w:lang w:eastAsia="ru-RU"/>
        </w:rPr>
        <w:t>19 марта 1917 года</w:t>
      </w:r>
      <w:r w:rsidRPr="002F2FDF">
        <w:rPr>
          <w:rFonts w:ascii="Times New Roman" w:eastAsia="Times New Roman" w:hAnsi="Times New Roman" w:cs="Times New Roman"/>
          <w:bCs/>
          <w:color w:val="000000" w:themeColor="text1"/>
          <w:kern w:val="2"/>
          <w:sz w:val="16"/>
          <w:szCs w:val="16"/>
          <w:lang w:eastAsia="ru-RU"/>
        </w:rPr>
        <w:t xml:space="preserve"> мы были у юго-западного побережья Сардинии. Находясь в своей каюте, я получил донесение с вахты: «Пароход на горизонте». Я сразу же бросился наверх. Приближающееся судно неясно выделялось во мгле, но по необычно высоко поставленной антенне я смог определить, что это военный корабль. Мы погрузились, а затем я увидел его борт с четырьмя трубами и большими орудийными башнями. Это был французский линейный корабль. Он шел зигзагом, имея в противолодочном охранении один эсминец. Все было совершенно ясно. Серый гигант, маневрируя, шел прямо на лодку. «Торпедные аппараты изготовить!». Мои приказания шли в быстрой последовательности одно за другим. «Первая носовая торпеда — пли, вторая носовая торпеда — пли!» «Пройдя под водой пару миль, я снова поднял перископ. Большой корабль стоял теперь совсем накренившись, а Эсминец был занят спасением уцелевших. Мы беспрепятственно наблюдали всю картину и рассматривали судовой справочник, чтобы установить название атакованного корабля. Я установил, что он принадлежал к типу «Дантон», больших линейных кораблей, водоизмещением в 18000 тонн с 40 орудиями и командой в 1100 человек. Мы подошли поближе, чтобы приготовиться к дополнительному торпедному выстрелу, если в нем явится необходимость. Но линейный корабль уже шел на дно. Его корма поднялась высоко в воздух, затем корабль нырнул и пошел носом вниз </w:t>
      </w:r>
      <w:r w:rsidRPr="002F2FDF">
        <w:rPr>
          <w:rFonts w:ascii="Times New Roman" w:hAnsi="Times New Roman" w:cs="Times New Roman"/>
          <w:color w:val="000000" w:themeColor="text1"/>
          <w:kern w:val="2"/>
          <w:sz w:val="16"/>
          <w:szCs w:val="16"/>
        </w:rPr>
        <w:t xml:space="preserve"> (17326).</w:t>
      </w:r>
    </w:p>
    <w:p w14:paraId="22799F27" w14:textId="77777777" w:rsidR="0026359A" w:rsidRPr="002F2FDF" w:rsidRDefault="0026359A" w:rsidP="0083075A">
      <w:pPr>
        <w:spacing w:after="0" w:line="240" w:lineRule="auto"/>
        <w:jc w:val="both"/>
        <w:rPr>
          <w:rFonts w:ascii="Times New Roman" w:hAnsi="Times New Roman" w:cs="Times New Roman"/>
          <w:color w:val="000000" w:themeColor="text1"/>
          <w:kern w:val="2"/>
          <w:sz w:val="16"/>
          <w:szCs w:val="16"/>
        </w:rPr>
      </w:pPr>
    </w:p>
    <w:p w14:paraId="2EDB6F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марта 1917 французский премьер Бриан ушел в отставку и правительство поручено сформировать А.Рибо (3907,89).</w:t>
      </w:r>
    </w:p>
    <w:p w14:paraId="333EA9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C0D2D2"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5649AB5"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8FD21D" w14:textId="77777777" w:rsidR="00E047D9" w:rsidRPr="002F2FDF" w:rsidRDefault="00E047D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7 (20) марта 1917 г. профессора Г. А. Ботезат и А. П. Фан-дер-Флит ознакомились с чертежа</w:t>
      </w:r>
      <w:r w:rsidRPr="002F2FDF">
        <w:rPr>
          <w:rFonts w:ascii="Times New Roman" w:hAnsi="Times New Roman" w:cs="Times New Roman"/>
          <w:color w:val="000000" w:themeColor="text1"/>
          <w:kern w:val="2"/>
          <w:sz w:val="16"/>
          <w:szCs w:val="16"/>
        </w:rPr>
        <w:softHyphen/>
        <w:t>ми скоростного катера — «аэролодки»и на заседании Комитета рекомендовали плоскодонный глис</w:t>
      </w:r>
      <w:r w:rsidRPr="002F2FDF">
        <w:rPr>
          <w:rFonts w:ascii="Times New Roman" w:hAnsi="Times New Roman" w:cs="Times New Roman"/>
          <w:color w:val="000000" w:themeColor="text1"/>
          <w:kern w:val="2"/>
          <w:sz w:val="16"/>
          <w:szCs w:val="16"/>
        </w:rPr>
        <w:softHyphen/>
        <w:t>сер к использованию «на мелководных путях». Для использования судна на море они признали, целесообразным разработать его вариант с килевидным днищем и подводными крыльями. Руководство УВВФ взяло программу со</w:t>
      </w:r>
      <w:r w:rsidRPr="002F2FDF">
        <w:rPr>
          <w:rFonts w:ascii="Times New Roman" w:hAnsi="Times New Roman" w:cs="Times New Roman"/>
          <w:color w:val="000000" w:themeColor="text1"/>
          <w:kern w:val="2"/>
          <w:sz w:val="16"/>
          <w:szCs w:val="16"/>
        </w:rPr>
        <w:softHyphen/>
        <w:t>здания скоростных судов под свой контроль и поручило профессорам возгла</w:t>
      </w:r>
      <w:r w:rsidRPr="002F2FDF">
        <w:rPr>
          <w:rFonts w:ascii="Times New Roman" w:hAnsi="Times New Roman" w:cs="Times New Roman"/>
          <w:color w:val="000000" w:themeColor="text1"/>
          <w:kern w:val="2"/>
          <w:sz w:val="16"/>
          <w:szCs w:val="16"/>
        </w:rPr>
        <w:softHyphen/>
        <w:t>вить проектирование новых аэроглиссеров. Плоскодонный вариант был по</w:t>
      </w:r>
      <w:r w:rsidRPr="002F2FDF">
        <w:rPr>
          <w:rFonts w:ascii="Times New Roman" w:hAnsi="Times New Roman" w:cs="Times New Roman"/>
          <w:color w:val="000000" w:themeColor="text1"/>
          <w:kern w:val="2"/>
          <w:sz w:val="16"/>
          <w:szCs w:val="16"/>
        </w:rPr>
        <w:softHyphen/>
        <w:t>строен и испытан 27 сентября 1917 г. в Хлебной гавани Одессы. Он имел дли</w:t>
      </w:r>
      <w:r w:rsidRPr="002F2FDF">
        <w:rPr>
          <w:rFonts w:ascii="Times New Roman" w:hAnsi="Times New Roman" w:cs="Times New Roman"/>
          <w:color w:val="000000" w:themeColor="text1"/>
          <w:kern w:val="2"/>
          <w:sz w:val="16"/>
          <w:szCs w:val="16"/>
        </w:rPr>
        <w:softHyphen/>
        <w:t>ну 5,025 м и ширину 2,5 м, продемонстрировал в безветренную погоду ско</w:t>
      </w:r>
      <w:r w:rsidRPr="002F2FDF">
        <w:rPr>
          <w:rFonts w:ascii="Times New Roman" w:hAnsi="Times New Roman" w:cs="Times New Roman"/>
          <w:color w:val="000000" w:themeColor="text1"/>
          <w:kern w:val="2"/>
          <w:sz w:val="16"/>
          <w:szCs w:val="16"/>
        </w:rPr>
        <w:softHyphen/>
        <w:t>рость 80 км/ч и хорошую маневренность. От ненадежной цепной передачи пришлось отказаться, двигатель Анзани непосредственно приводил воздуш</w:t>
      </w:r>
      <w:r w:rsidRPr="002F2FDF">
        <w:rPr>
          <w:rFonts w:ascii="Times New Roman" w:hAnsi="Times New Roman" w:cs="Times New Roman"/>
          <w:color w:val="000000" w:themeColor="text1"/>
          <w:kern w:val="2"/>
          <w:sz w:val="16"/>
          <w:szCs w:val="16"/>
        </w:rPr>
        <w:softHyphen/>
        <w:t>ный винт диаметром 2,5 м. Установленные в башенках пулеметы не только обеспечивали обстрел вперед и вбок, но и позволяли вести зенитный огонь</w:t>
      </w:r>
      <w:r w:rsidRPr="002F2FDF">
        <w:rPr>
          <w:rFonts w:ascii="Times New Roman" w:hAnsi="Times New Roman" w:cs="Times New Roman"/>
          <w:color w:val="000000" w:themeColor="text1"/>
          <w:kern w:val="2"/>
          <w:sz w:val="16"/>
          <w:szCs w:val="16"/>
          <w:vertAlign w:val="superscript"/>
        </w:rPr>
        <w:t>156</w:t>
      </w:r>
      <w:r w:rsidRPr="002F2FDF">
        <w:rPr>
          <w:rFonts w:ascii="Times New Roman" w:hAnsi="Times New Roman" w:cs="Times New Roman"/>
          <w:color w:val="000000" w:themeColor="text1"/>
          <w:kern w:val="2"/>
          <w:sz w:val="16"/>
          <w:szCs w:val="16"/>
        </w:rPr>
        <w:t>. Из-за последующих политических событий вариант глиссера с килевидным днищем закончен не был (15740).</w:t>
      </w:r>
    </w:p>
    <w:p w14:paraId="7B7CA3DC" w14:textId="77777777" w:rsidR="00E047D9" w:rsidRPr="002F2FDF" w:rsidRDefault="00E047D9" w:rsidP="0083075A">
      <w:pPr>
        <w:spacing w:after="0" w:line="240" w:lineRule="auto"/>
        <w:jc w:val="both"/>
        <w:rPr>
          <w:rFonts w:ascii="Times New Roman" w:hAnsi="Times New Roman" w:cs="Times New Roman"/>
          <w:color w:val="000000" w:themeColor="text1"/>
          <w:kern w:val="2"/>
          <w:sz w:val="16"/>
          <w:szCs w:val="16"/>
        </w:rPr>
      </w:pPr>
    </w:p>
    <w:p w14:paraId="77A71C8A"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0FED071"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8F7810" w14:textId="134AD72C"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7 </w:t>
      </w:r>
      <w:r w:rsidR="00E52569">
        <w:rPr>
          <w:rFonts w:ascii="Times New Roman" w:hAnsi="Times New Roman" w:cs="Times New Roman"/>
          <w:color w:val="000000" w:themeColor="text1"/>
          <w:kern w:val="2"/>
          <w:sz w:val="16"/>
          <w:szCs w:val="16"/>
        </w:rPr>
        <w:t xml:space="preserve">(20) </w:t>
      </w:r>
      <w:r w:rsidRPr="002F2FDF">
        <w:rPr>
          <w:rFonts w:ascii="Times New Roman" w:hAnsi="Times New Roman" w:cs="Times New Roman"/>
          <w:color w:val="000000" w:themeColor="text1"/>
          <w:kern w:val="2"/>
          <w:sz w:val="16"/>
          <w:szCs w:val="16"/>
        </w:rPr>
        <w:t>марта 1917 года по условиям договора с ГВТУ, «поставщик обязан был использовать при проектировании чертежи автомобиля "FIAT" и должно быть изготовлено не менее 10 процентов всей поставки (150 автомобилей)». Поэтому за основу берется итальянский</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w:t>
      </w:r>
      <w:hyperlink r:id="rId52" w:tgtFrame="_blank" w:history="1">
        <w:r w:rsidRPr="002F2FDF">
          <w:rPr>
            <w:rFonts w:ascii="Times New Roman" w:hAnsi="Times New Roman" w:cs="Times New Roman"/>
            <w:color w:val="000000" w:themeColor="text1"/>
            <w:kern w:val="2"/>
            <w:sz w:val="16"/>
            <w:szCs w:val="16"/>
          </w:rPr>
          <w:t>FIAT 15 Ter</w:t>
        </w:r>
      </w:hyperlink>
      <w:r w:rsidRPr="002F2FDF">
        <w:rPr>
          <w:rFonts w:ascii="Times New Roman" w:hAnsi="Times New Roman" w:cs="Times New Roman"/>
          <w:color w:val="000000" w:themeColor="text1"/>
          <w:kern w:val="2"/>
          <w:sz w:val="16"/>
          <w:szCs w:val="16"/>
        </w:rPr>
        <w:t>] образца 1912 года, который был спроектирован для итальянской армии, чтобы она использовала его в условиях бездорожья. Для российского подобия дорог - идеальный вариант. Заключив в Турине договор с фирмой "FIAT", на право производства в России грузовой полуторатонки и легкового автомобиля со всеми нужными техническими и рабочими чертежами, акционеры АМО занялись заказом оборудования.</w:t>
      </w:r>
    </w:p>
    <w:p w14:paraId="5CFDBEB3"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России создать нужное оборудование было невозможно. Поэтому представители АМО были отправлены в Англию, Америку и Швецию для размещения заказов на станки. Например, все металлообрабатывающие станки, приспособления и кондукторы к ним для механической и инструментальной мастерских были заказаны в Америке. Заказать это еще половина дела, нужно же еще их доставить.</w:t>
      </w:r>
    </w:p>
    <w:p w14:paraId="0D89BE69"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Чтобы погрузить на судно и отправить оборудование из Америки в Россию, требовалось особое разрешение Русского комитета по военным заказам в Нью-Йорке. Времени на получение разрешений уходило много и даже получив его, и погрузив станки на судно, не было никаких гарантий, что груз доберется до места назначения в целости и сохранности. В Российской Империи порты и железные дороги были перегружены ведь через них шли грузы для военных на фронт. И даже если каким то чудом оборудование попадало на поезд, то оно могло потеряться по дороге или прибыть частично разворованным. Иногда оборудование не доходило до адресата по более страшным причинам. 23 октября 1916 года в Архангельский порт Бакарица прибыл на разгрузку пароход "Барон Дризен" из Нью - Йорка с 3700 тонн груза, среди которого были станки для завода АМО и 1600 тонн взрывчатых веществ. 26 октября 1916 года, около часа дня, произошел подрыв, заложенной боцманом бомбы в трюме парохода. За первым взрывом, последовал второй - с детонировали ящики со взрывчатыми веществами, выгруженные ранее из парохода. В одно мгновение, пароход, станки АМО, соседние суда, портовые строения превратились в груду обломков. Здание и вещи не жалко, все можно восстановить, но погибших в этом аду 607 человек не вернуть. Боцмана Павла Полько за совершенную диверсию приговорили к смертной казни через повешение.</w:t>
      </w:r>
    </w:p>
    <w:p w14:paraId="785A6C67"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Учредителям пришлось обращаться в военный комитет с прошением о предоставлении военнопленных для строительных работ. Прошение было удовлетворенно и на строительство прибыло 250 военнопленных. Всего осенью 1916 года при сооружении завода было задействовано 2167 человек.</w:t>
      </w:r>
    </w:p>
    <w:p w14:paraId="3FFD9657" w14:textId="5FCF2243"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Возникшие трудности могли привести к невыполнению условий договора о поставке первых 150 автомобилей, а за это пришлось бы заплатить очень солидную неустойку Главному Военно-техническому управлению. Поэтому, чтобы успеть к сроку, акционеры АМО закупают в Италии комплекты деталей для автомобилей и налаживают</w:t>
      </w:r>
      <w:r w:rsidR="00E52569">
        <w:rPr>
          <w:rFonts w:ascii="Times New Roman" w:hAnsi="Times New Roman" w:cs="Times New Roman"/>
          <w:color w:val="000000" w:themeColor="text1"/>
          <w:kern w:val="2"/>
          <w:sz w:val="16"/>
          <w:szCs w:val="16"/>
        </w:rPr>
        <w:t xml:space="preserve"> </w:t>
      </w:r>
      <w:hyperlink r:id="rId53" w:tgtFrame="_blank" w:history="1">
        <w:r w:rsidRPr="002F2FDF">
          <w:rPr>
            <w:rFonts w:ascii="Times New Roman" w:hAnsi="Times New Roman" w:cs="Times New Roman"/>
            <w:color w:val="000000" w:themeColor="text1"/>
            <w:kern w:val="2"/>
            <w:sz w:val="16"/>
            <w:szCs w:val="16"/>
          </w:rPr>
          <w:t>"отверточную" сборку</w:t>
        </w:r>
      </w:hyperlink>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машин в Москве.</w:t>
      </w:r>
    </w:p>
    <w:p w14:paraId="7E7D693C"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1917 года рабочие завода АМО еще не сильно поддавались на пропаганду большевиков, так как боялись потерять рабочие места и отправится на фронт (завод считался оборонным и работа на нем заменяла отправку на фронт). Весной все начинает меняться. Рябушинские решают уволить ряд рабочих, занимавшихся строительством цехов, под предлогом того, что завод почти достроен и такое количество строителей уже не нужно. Естественно выбор пал, на революционно настроенных рабочих, которым это не понравилось и они запротестовали. Начальство справиться с протестом не смогло и оставило сотрудников на своих местах, правда уменьшив всем зарплаты. В мае исполком завода решает пожаловаться в Центральную конфликтную комиссию при Московском Совете рабочих депутатов на низкий уровень оплаты труда. Но к его великому удивлению, Московский Совет встает на сторону заводоуправления и рекомендует уволить ненужных рабочих, а их зарплаты использовать для увеличения оклада тех сотрудников, которые заняты в сборке автомобилей. Перспектива остаться без денег и попасть на фронт, снова не понравилась рабочим и 3 мая они захватывают завод. Бунтовщики насильно вывозят директора Д.Д. Бондарева на тачке к трамвайной остановке, затем вылавливают заведующего кузнечно-прессовым отделом - инженера Макаровского, повторяя ту же экзекуцию и с ним. Две недели завод АМО находился в руках рабочих, пока не был найден компромисс: никого не увольняют, зарплаты повышают, бунтовщики должны извиниться перед Бондаревом и Макаровским. Не смотря на это директор так и не вернулся на завод.</w:t>
      </w:r>
    </w:p>
    <w:p w14:paraId="2C3B16A3"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решилось 22 июля 1917 г., когда главное военно-техническое управление, по просьбе учредителей АМО отправляет на завод солдат, которые убрали с завода уволенных рабочих и заняли их места на сборке грузовиков "Фиат". В августе военным управлением принимается решение о незамедлительной переквалификации завода в большую мастерскую по ремонту автомобилей и сокращении рабочих до необходимого минимума. Как вы наверно понимаете, никто с завода уходить не собирался и закрытые цеха самовольно были открыты жаждущими продолжения работы. К осени влияние большевиков среди рабочего класса на заводе АМО стало подавляющим. Был создан заводской отряд, который обучался тактики ведения уличных боев, рытью окоп и т.д. В октябре, при помощи большевиков среди сотрудников АМО, Военно-Революционный Комитет создал автомобильный отряд, который должен был заниматься подвозом боеприпасов и эвакуацией раненых во время революции.</w:t>
      </w:r>
    </w:p>
    <w:p w14:paraId="71E03E28" w14:textId="6FD3B39A"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марте 1918 года, параллельно со сборкой автомобилей "фиат" (сборка осуществлялась из оставшихся комплектов деталей, закупленных Рябушкиными в Италии), завод начинает заниматься ремонтом и изготовлением кузовов на базе импортных шасси "Уайт" и "Фиат". Грузовики, грузоподъемностью в 1.5 и 3 тонны, американской марки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w:t>
      </w:r>
      <w:hyperlink r:id="rId54" w:tgtFrame="_blank" w:history="1">
        <w:r w:rsidRPr="002F2FDF">
          <w:rPr>
            <w:rFonts w:ascii="Times New Roman" w:hAnsi="Times New Roman" w:cs="Times New Roman"/>
            <w:color w:val="000000" w:themeColor="text1"/>
            <w:kern w:val="2"/>
            <w:sz w:val="16"/>
            <w:szCs w:val="16"/>
          </w:rPr>
          <w:t>WHITE</w:t>
        </w:r>
      </w:hyperlink>
      <w:r w:rsidRPr="002F2FDF">
        <w:rPr>
          <w:rFonts w:ascii="Times New Roman" w:hAnsi="Times New Roman" w:cs="Times New Roman"/>
          <w:color w:val="000000" w:themeColor="text1"/>
          <w:kern w:val="2"/>
          <w:sz w:val="16"/>
          <w:szCs w:val="16"/>
        </w:rPr>
        <w:t>]</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значительно пополнили автомобильный парк Российской Империи в годы Первой Мировой войны. Всего американская компания отправила союзникам около 18 000 грузовиков, часть из которых досталась России. Могу предположить, что после поражения РСФСР в Первой Мировой войне на заводы начали поступать фронтовые автомобили для ремонта (в то время, примерно из 8000 автомобилей в РСФСР, на ходу было около 35%, да и те что были на ходу находились в плачевном состоянии). Восстанавливая эти машины, работники завода АМО начинают самостоятельно изготавливать детали необходимые для починки.</w:t>
      </w:r>
    </w:p>
    <w:p w14:paraId="42BD87A8" w14:textId="7705D83D"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августа 1918 г. вышло постановление о национализации завода АМО: "Высший Совет Народного Хозяйства на основании декрета Совета Народных Комиссаров от 28 июня 1918 г. объявляет все имущество Автомобильного московского завода АМО, в чем бы оно ни состояло, собственностью Российской Федеративной Социалистической Республики". Таким образом построенный примерно на 75% и имеющий около 500 новейших американских станков, завод стал государственным.</w:t>
      </w:r>
      <w:r w:rsidR="00E52569">
        <w:rPr>
          <w:rFonts w:ascii="Times New Roman" w:hAnsi="Times New Roman" w:cs="Times New Roman"/>
          <w:color w:val="000000" w:themeColor="text1"/>
          <w:kern w:val="2"/>
          <w:sz w:val="16"/>
          <w:szCs w:val="16"/>
        </w:rPr>
        <w:t xml:space="preserve"> </w:t>
      </w:r>
    </w:p>
    <w:p w14:paraId="7C0A0D12" w14:textId="26F41477"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1920 года, заводу АМО поручили задачу, сделать двигатели для первых советских танков. Подключив опытных инженеров, работавших еще при Рябушкиных, завод АМО справился с поставленной задачей и немного изменив мотор грузовика "фиат" сделали 24 танковых двигателя. Сделанный в конечном итоге танк, получил очень своеобразное название - "Борец за свободу товарищ Ленин" и являлся точной копией французского танка Renault FT-17.</w:t>
      </w:r>
      <w:r w:rsidR="00E52569">
        <w:rPr>
          <w:rFonts w:ascii="Times New Roman" w:hAnsi="Times New Roman" w:cs="Times New Roman"/>
          <w:color w:val="000000" w:themeColor="text1"/>
          <w:kern w:val="2"/>
          <w:sz w:val="16"/>
          <w:szCs w:val="16"/>
        </w:rPr>
        <w:t xml:space="preserve"> </w:t>
      </w:r>
    </w:p>
    <w:p w14:paraId="28A471F6" w14:textId="5CD95594"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 xml:space="preserve">25 февраля 1921 года Совет Труда и Обороны, постановил: «Поручить Президиуму ВСНХ заключить соглашение с группой американских рабочих о сдаче им завода «Русский Рено» в Петрограде, а если это окажется невозможным, передать им более отвечающий техническим условиям завод АМО в Москве». 2 марта 1921 года заводоуправление АМО соглашается с целесообразностью передачи </w:t>
      </w:r>
      <w:r w:rsidR="00E52569">
        <w:rPr>
          <w:rFonts w:ascii="Times New Roman" w:hAnsi="Times New Roman" w:cs="Times New Roman"/>
          <w:color w:val="000000" w:themeColor="text1"/>
          <w:kern w:val="2"/>
          <w:sz w:val="16"/>
          <w:szCs w:val="16"/>
        </w:rPr>
        <w:t xml:space="preserve"> </w:t>
      </w:r>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завода</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американским механикам для организации на нем массового производства новых автомобилей. Возможно, это был единственный способ уйти от кустарного производства. В мае происходит смена </w:t>
      </w:r>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директора</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вместо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w:t>
      </w:r>
      <w:hyperlink r:id="rId55" w:tgtFrame="_blank" w:history="1">
        <w:r w:rsidRPr="002F2FDF">
          <w:rPr>
            <w:rFonts w:ascii="Times New Roman" w:hAnsi="Times New Roman" w:cs="Times New Roman"/>
            <w:color w:val="000000" w:themeColor="text1"/>
            <w:kern w:val="2"/>
            <w:sz w:val="16"/>
            <w:szCs w:val="16"/>
          </w:rPr>
          <w:t>Ципулина Владимира Ивановича (1882 -1940)</w:t>
        </w:r>
      </w:hyperlink>
      <w:r w:rsidRPr="002F2FDF">
        <w:rPr>
          <w:rFonts w:ascii="Times New Roman" w:hAnsi="Times New Roman" w:cs="Times New Roman"/>
          <w:color w:val="000000" w:themeColor="text1"/>
          <w:kern w:val="2"/>
          <w:sz w:val="16"/>
          <w:szCs w:val="16"/>
        </w:rPr>
        <w:t>]приступает к работе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w:t>
      </w:r>
      <w:hyperlink r:id="rId56" w:tgtFrame="_blank" w:history="1">
        <w:r w:rsidRPr="002F2FDF">
          <w:rPr>
            <w:rFonts w:ascii="Times New Roman" w:hAnsi="Times New Roman" w:cs="Times New Roman"/>
            <w:color w:val="000000" w:themeColor="text1"/>
            <w:kern w:val="2"/>
            <w:sz w:val="16"/>
            <w:szCs w:val="16"/>
          </w:rPr>
          <w:t>Артур Александрович Адамс (1885—1969)</w:t>
        </w:r>
      </w:hyperlink>
      <w:r w:rsidRPr="002F2FDF">
        <w:rPr>
          <w:rFonts w:ascii="Times New Roman" w:hAnsi="Times New Roman" w:cs="Times New Roman"/>
          <w:color w:val="000000" w:themeColor="text1"/>
          <w:kern w:val="2"/>
          <w:sz w:val="16"/>
          <w:szCs w:val="16"/>
        </w:rPr>
        <w:t>]</w:t>
      </w:r>
    </w:p>
    <w:p w14:paraId="47B4BF1C" w14:textId="1D4F8249"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18 </w:t>
      </w:r>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декабря</w:t>
      </w:r>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1922</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года в Турине был зверски убит фашистами итальянский коммунист Пьетро Ферреро работавший на </w:t>
      </w:r>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заводе</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"Фиат". Тело его было настолько изуродованное, что опознать его смогли лишь по документам. Это и не удивительно, ведь убили его привязав ногу к грузовику, который начал ездить по городу. Наверно не очень понятно, причем тут описание этого события, но я поясню. 30 апреля завод АМО переименовывают в честь погибшего в Турине. Решение рабочих мне кажется странным, назвать завод выпускающий грузовики в честь человека зверски убитым с помощью грузовика, тем более есть вероятность, что фашисты использовали грузовик марки "Фиат", а завод АМО как раз этими грузовиками и занимался.</w:t>
      </w:r>
      <w:r w:rsidR="00E52569">
        <w:rPr>
          <w:rFonts w:ascii="Times New Roman" w:hAnsi="Times New Roman" w:cs="Times New Roman"/>
          <w:color w:val="000000" w:themeColor="text1"/>
          <w:kern w:val="2"/>
          <w:sz w:val="16"/>
          <w:szCs w:val="16"/>
        </w:rPr>
        <w:t xml:space="preserve"> </w:t>
      </w:r>
    </w:p>
    <w:p w14:paraId="7C147FB7" w14:textId="7D2F0E86"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Летом 1923 года происходит очередная смена </w:t>
      </w:r>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директора</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теперь вместо А.А. Адамса заводом им. Ферерро управляет Г.Н. Королев. Так же ЦУГАЗом (Центральное управление государственных автомобильных заводов) утверждается производственный план на 1923-1927 год в котором дается добро на создание новых автомобилей, а не только ремонт старых. Завод получив указание начинает подготавливать производственную линию, начинается установка станков и оборудования, которое стояло не тронутым со времен Рябушинских. Документации к оборудованию не было, поэтому все делалось методом тыка. Несмотря на то, что производственный план был передан заводу еще 30 июня 1923 года, только в марте 1924 года, с заводом подписывается соглашение на выпуск новых 1,5 тонных грузовиков типа "Фиат". Директор завода им. Ферреро Г.Н. Королев подписал 15 марта 1924 года приказ о начале подготовительных работ по выпуску грузовиков. Завод резко оживился, ведь до 1 апреля необходимо было предоставить список не хватающего оборудования, для производства 1200 автомобилей в год, а к 1 маю проекты смет на все строительные и ремонтные работы по заводу. В идеале планировалось начать выпуск грузовика в августе 1924 года.</w:t>
      </w:r>
      <w:r w:rsidR="00E52569">
        <w:rPr>
          <w:rFonts w:ascii="Times New Roman" w:hAnsi="Times New Roman" w:cs="Times New Roman"/>
          <w:color w:val="000000" w:themeColor="text1"/>
          <w:kern w:val="2"/>
          <w:sz w:val="16"/>
          <w:szCs w:val="16"/>
        </w:rPr>
        <w:t xml:space="preserve"> </w:t>
      </w:r>
    </w:p>
    <w:p w14:paraId="39749AEC"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 xml:space="preserve">Первый советский грузовик получил название АМО - Ф15 и был почти точной копией FIAT 15 Ter, ради производства которого и строился завод. Главным конструктором нового автомобиля становится бывший директор В. И. Ципулин, ему помогает конструктор Е. И. Важинский (в конце 30-х годов, советская власть "отблагодарила" конструкторов расстреляв их). Не смотря на то, что на заводе было два эталонных грузовика и чертежи, многое пришлось додумывать самостоятельно. В итоге начать производство автомобилей к августу 1924 года не удалось и выпуск первых 10 автомобилей решили приурочить к годовщине Октябрьской революции. Ночью 1 ноября был готов первый автомобиль. Завести его удалось только со второго раза. Утром этого же дня В.И. Ципулин, со сборщиками, поехал на первом </w:t>
      </w:r>
      <w:r w:rsidRPr="002F2FDF">
        <w:rPr>
          <w:rFonts w:ascii="Times New Roman" w:hAnsi="Times New Roman" w:cs="Times New Roman"/>
          <w:color w:val="000000" w:themeColor="text1"/>
          <w:kern w:val="2"/>
          <w:sz w:val="16"/>
          <w:szCs w:val="16"/>
        </w:rPr>
        <w:lastRenderedPageBreak/>
        <w:t>советском грузовике в первый испытательные пробег по Москве и попал в первую аварию. На ходу лопнул шаровой палец рулевого управления, в результате чего Ципулин потерял управление машиной. К счастью, в аварии никто не пострадал и машину отбуксировали в цех, где выяснили, что причина поломки была в изготовлении пальцев из неправильных сортов стали. В течении суток, вся бракованная партия была заменена. 6 ноября была закончена сборка и покраска(в ярко красный цвет)десятого автомобиля. Седьмая годовщина Октябрьской революции, после успешной демонстрации грузовиков АМО-Ф15 на Красной площади,стала днем рождением советского автомобилестроения.</w:t>
      </w:r>
    </w:p>
    <w:p w14:paraId="49682AEC" w14:textId="62736829"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 xml:space="preserve">В 1925 году </w:t>
      </w:r>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завод</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им. Ферерро переименовывается в 1-й Государственный автомобильный </w:t>
      </w:r>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завод</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В этом же году регулярное невыполнение плана вынуждает ЦУГАЗ в очередной раз сменить </w:t>
      </w:r>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директора</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Теперь во главе </w:t>
      </w:r>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завода</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стоит Ф.И. Холодилин, но и ему долго усидеть на этой должности не удается, в </w:t>
      </w:r>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декабре</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1926 года было принято решение о назначении нового </w:t>
      </w:r>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директора</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И.А. Лихачева, который с 1-го января 1927 года приступил к работе.</w:t>
      </w:r>
    </w:p>
    <w:p w14:paraId="3C437BBF"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Период с 1925 по 1927 год, окончательно продемонстрировал руководству страны кризис в автомобилестроении. Приведу для наглядности немного цифр. В СССР В 1925 году было 24 218 автотранспортных средств из них на ходу 14 440. В Америке на 6 человек приходился 1 автомобиль, в Англии на 80 чел., во Франции на 72 чел., в Германии на 250 чел., в СССР же 1 автомобиль на 11 000 человек. 1-й Государственный автомобильный завод (быв. АМО) старался как мог, за 1924/25 год выпустил 100 автомобилей, за 1925/26 - 275, 1926/27 - 425, 1927/28 - 580 и это при условии что сталь с металлургических заводов шла с колоссальным браком, который порой доходил до 55%. Понятно, что для масштабов страны, выпуск такого количества автомобилей - капля в море. Эта капля еще и была очень дорогая, себестоимость первых 10 машин составляла 18 000 рублей за штуку (средняя зарплата в то время была 66 рублей), очевидно, что покупать за такие деньги никто не стал бы, ведь стоимость зарубежных автомобилей была значительна ниже (средняя цена на автомобили в Америке была 3000 рублей, форд Т же стоил в СССР 800 - 900 рублей). Поэтому государство установило цену на АМО Ф15 в размере 8850 рублей, а разницу выплачивало за свой счет. Завод всячески старался снизить себестоимость машин, уже вторая партия стоила 13 000, 3-я 11 700, а в 1926/27 году завод даже прибыль получил, но все равно аналогичные автомобили из Америки с учетом доставки стоили на 30-35% ниже.</w:t>
      </w:r>
    </w:p>
    <w:p w14:paraId="03EF2A54" w14:textId="18DE1AE4"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На ХV съезде в декабре 1927 года было озвучено решение о капитальном расширение и реконструкции 1-го ГАЗа. Обновленный завод должен выпускать не меньше 10 000 однотонных и 4000 полуторатонных автомобилей в год, работая в три смены. Проектом расширения завода занялся В.И. Ципулин, другие конструкторы и инженеры отправились в командировки по развитым странам для получения опыта, заказа станков и выбора машины на основе которой будет новое производство. В 1928 году приостанавливаются работы по проекту Ципулина из-за его не практичности и создается управление расширения и реконструкции завода АМО (УРРА). Во главе которого встает М.Л. Сорокин. Тогда же подписывается договор с американской компанией</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w:t>
      </w:r>
      <w:hyperlink r:id="rId57" w:tgtFrame="_blank" w:history="1">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Autocar</w:t>
        </w:r>
      </w:hyperlink>
      <w:r w:rsidRPr="002F2FDF">
        <w:rPr>
          <w:rFonts w:ascii="Times New Roman" w:hAnsi="Times New Roman" w:cs="Times New Roman"/>
          <w:color w:val="000000" w:themeColor="text1"/>
          <w:kern w:val="2"/>
          <w:sz w:val="16"/>
          <w:szCs w:val="16"/>
        </w:rPr>
        <w:t>]</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о предоставлении чертежей и помощи в организации производства, выбранной для завода модели автомобиля. Реконструкцию решают доверить американской компании "A.J. Brandt", причем при заключении договора 24 мая 1929 года, масштаб производства был уже иным, чем озвучивалось на ХV съезде. Теперь завод после реконструкции должен выпускать 25 000 автомобилей грузоподъемностью в 2,5 т. в одну смену и себестоимость машин должна снизиться до 4 000 рублей. Для осуществление реконструкции на завод прибывают американские инженеры. Спустя год договор с американцами расторгается и начальником УРРА становится директор завода И.А. Лихачев. 1 октября 1931 года торжественно состоялся пуск завода после реконструкции и его очередное переименовывание, теперь это завод имени Сталина (ЗИС). За два года реконструкции площадь завода выросла в 5,5 раз, как сказал И.А. Лихачев: "Мы фактически пришили пальто к пуговице".</w:t>
      </w:r>
    </w:p>
    <w:p w14:paraId="09378720"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Пока шла реконструкция, завод не стоял на месте и продолжал выпускать автомобили. Параллельно с выпуском АМО-Ф15, завод начал выпуск автомобиля АМО-2 (выпускался с 1930 по 1931 год, всего выпущено 1715 штук), являющимся копией Autocar Dispatch SA. Собирался он из иностранных агрегатов. 25 октября 1931 года с главного конвейера завода имени Сталина сходят первые, после реконструкции, автомобили в количестве 27 штук. Они являются практически точными копиями АМО-2, но уже собраны из отечественных агрегатов. Эти автомобили получают название АМО-3. Самый первый экземпляр подарили редакции газеты "Правда", а остальные машины были переданы Пролетарскому райкому ВКП(б) Москвы, ВСНХ, ВЦСПС, заводам "Динамо" и "Серп и молот".</w:t>
      </w:r>
    </w:p>
    <w:p w14:paraId="3247895A" w14:textId="56260C51"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Всего за три года производства (1931-1933) было изготовлено 34969 автомобилей АМО-3. За все время производства в машину неоднократно вносились поправки. Это было связано с тем, что хозяева машин могли напрямую писать на завод жалобы на качество, которые сразу же рассматривались, например в первой партии из 1000 машин было 333 дефекта, то во второй тысячи уже 118 и по уменьшающей.</w:t>
      </w:r>
      <w:r w:rsidR="00E52569">
        <w:rPr>
          <w:rFonts w:ascii="Times New Roman" w:hAnsi="Times New Roman" w:cs="Times New Roman"/>
          <w:color w:val="000000" w:themeColor="text1"/>
          <w:kern w:val="2"/>
          <w:sz w:val="16"/>
          <w:szCs w:val="16"/>
        </w:rPr>
        <w:t xml:space="preserve"> </w:t>
      </w:r>
    </w:p>
    <w:p w14:paraId="7D6D1A68"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Одновременно с выпуском АМО-3 началась работа над опытными автомобилями ЗИС-5, ЗИС-6 и автобусом ЗИС-8. Над автомобилем ЗИС-5 работал Е.И. Важинский, который проанализировал все недостатки АМО-3 выявленные за время эксплуатации, исправил их и внедрил изменения в новый автомобиль. Тем самым ЗИС-5 стал мощнее, надежнее и проще. Основные отличия от АМО-3 были в увеличении мощности, грузоподъемности, увеличение дорожного просвета, замена гидравлического привода тормозов на механический и более низкая стоимость. В итоге машина получилась хитом советского автопрома, пережившая своего конструктора Евгения Ивановича Важинского, которого расстреляли в 1938.</w:t>
      </w:r>
    </w:p>
    <w:p w14:paraId="5D9B0A61"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Первые десять экспериментальных образцов ЗИС-5 и ЗИС-6 были собраны 26 июля 1933 года и отправлены в автопробег длинною 2500 км, из которых 700 км по бездорожью. Пробег был пройден без аварий и нареканий и завод начал подготовку к выпуску этих моделей. Уже в следующем 1934 году в генеральном плане (выпуск 20500 автомобилей) приоритет отдается моделям ЗИС-5 (18370 шт.), ЗИС-6 (700 шт.), ЗИС-8 (350 шт.) и останавливается выпуск старых моделей.</w:t>
      </w:r>
    </w:p>
    <w:p w14:paraId="1FEA1C28"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В августе 1933 г. СНК (Союз Народных Комиссаров) СССР рассматривает вопрос о второй реконструкции, в которой планировалось расширить территорию с 90 гектаров до 500, увеличить в 4 раза количество оборудования и устроить в пять раз больше рабочих мест. Соответственно машин с конвейера должно сходить тоже больше - 80 000 шт. в год. В марте 1934 года был утвержден генеральный план расширения завода. Уже к концу месяца были подобраны и утверждены участки для строительства. Проектом так же были заранее предусмотрены меры о снабжении строительства материалами, транспортом и рабочими.</w:t>
      </w:r>
    </w:p>
    <w:p w14:paraId="7346FA1A" w14:textId="58F5860B"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Выбранные участки для расширения завода в Тюфелевой рощи были сложны для освоения: множество оврагов, болот, несколько озер, а так же жилые и промышленные постройки. К осени 1934 года уже были засыпаны озера Постылое и Черное, а так же все овраги. Землю для этих целей брали из котлованов под новые цеха, а так же на помощь пришел метрострой, который привез 300 метропоездов грунта со своих объектов в Москве.</w:t>
      </w:r>
      <w:r w:rsidR="00E52569">
        <w:rPr>
          <w:rFonts w:ascii="Times New Roman" w:hAnsi="Times New Roman" w:cs="Times New Roman"/>
          <w:color w:val="000000" w:themeColor="text1"/>
          <w:kern w:val="2"/>
          <w:sz w:val="16"/>
          <w:szCs w:val="16"/>
        </w:rPr>
        <w:t xml:space="preserve"> </w:t>
      </w:r>
    </w:p>
    <w:p w14:paraId="04F5B3E8"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Проектирование и продуманность организации строительных работ не помогли, за первые полгода удалось выполнить только 60% из намеченного плана на этот срок. Не смотря на все предпринимаемые усилия, подключение рабочих завода к строителям на субботниках и улучшение организации строительных работ, за два года выполнить вторую реконструкцию завода не удалось.</w:t>
      </w:r>
    </w:p>
    <w:p w14:paraId="61037384"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В 1935 году началась работа над первым легковым автомобилем - ЗИС 101. И. Е. Важинский став в этом году главным конструктором на заводе возглавил работу над машиной. За основу был взят "Бьюик" 33 года. Первые экспериментальные автомобили должны были быть готовы к 25 январю 1936 года, но к сроку не удалось их сделать, так что "вождь народа" смог посмотреть на две машины только 29 апреля 1936 г. В целом верхушка партии оказалась довольна автомобилем и после внесения небольших поправок, автомобиль был пущен в серийное производство. Хоть планом на этот год был предусмотрен выпуск 2000 шт. легковых автомобилей, заводу удалось сделать только 11 штук.</w:t>
      </w:r>
    </w:p>
    <w:p w14:paraId="5C737D8C" w14:textId="0D66FFAF"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В довоенный период помимо грузовых и легковых автомобилей, завод выпускал еще автобусы. Самый первый автобус был на базе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w:t>
      </w:r>
      <w:hyperlink r:id="rId58" w:tgtFrame="_blank" w:history="1">
        <w:r w:rsidRPr="002F2FDF">
          <w:rPr>
            <w:rFonts w:ascii="Times New Roman" w:hAnsi="Times New Roman" w:cs="Times New Roman"/>
            <w:color w:val="000000" w:themeColor="text1"/>
            <w:kern w:val="2"/>
            <w:sz w:val="16"/>
            <w:szCs w:val="16"/>
          </w:rPr>
          <w:t>АМО-Ф15</w:t>
        </w:r>
      </w:hyperlink>
      <w:r w:rsidRPr="002F2FDF">
        <w:rPr>
          <w:rFonts w:ascii="Times New Roman" w:hAnsi="Times New Roman" w:cs="Times New Roman"/>
          <w:color w:val="000000" w:themeColor="text1"/>
          <w:kern w:val="2"/>
          <w:sz w:val="16"/>
          <w:szCs w:val="16"/>
        </w:rPr>
        <w:t>], позже появился</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w:t>
      </w:r>
      <w:hyperlink r:id="rId59" w:tgtFrame="_blank" w:history="1">
        <w:r w:rsidRPr="002F2FDF">
          <w:rPr>
            <w:rFonts w:ascii="Times New Roman" w:hAnsi="Times New Roman" w:cs="Times New Roman"/>
            <w:color w:val="000000" w:themeColor="text1"/>
            <w:kern w:val="2"/>
            <w:sz w:val="16"/>
            <w:szCs w:val="16"/>
          </w:rPr>
          <w:t>АМО-4</w:t>
        </w:r>
      </w:hyperlink>
      <w:r w:rsidRPr="002F2FDF">
        <w:rPr>
          <w:rFonts w:ascii="Times New Roman" w:hAnsi="Times New Roman" w:cs="Times New Roman"/>
          <w:color w:val="000000" w:themeColor="text1"/>
          <w:kern w:val="2"/>
          <w:sz w:val="16"/>
          <w:szCs w:val="16"/>
        </w:rPr>
        <w:t>], на удлиненной базе АМО-3 и с 1934 года ЗИС-8.</w:t>
      </w:r>
      <w:r w:rsidR="00E52569">
        <w:rPr>
          <w:rFonts w:ascii="Times New Roman" w:hAnsi="Times New Roman" w:cs="Times New Roman"/>
          <w:color w:val="000000" w:themeColor="text1"/>
          <w:kern w:val="2"/>
          <w:sz w:val="16"/>
          <w:szCs w:val="16"/>
        </w:rPr>
        <w:t xml:space="preserve"> </w:t>
      </w:r>
    </w:p>
    <w:p w14:paraId="55A44198"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За две реконструкции произошло значительное расширение завода, появились дополнительные рабочие места. В 1928 году на заводе трудились 1798 человек, а к 1940 году 39747 человек (17127).</w:t>
      </w:r>
    </w:p>
    <w:p w14:paraId="197546FA"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30A7BB" w14:textId="77777777" w:rsidR="00E047D9" w:rsidRPr="002F2FDF" w:rsidRDefault="00E047D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7 (20) марта</w:t>
      </w:r>
      <w:r w:rsidRPr="002F2FDF">
        <w:rPr>
          <w:rFonts w:ascii="Times New Roman" w:hAnsi="Times New Roman" w:cs="Times New Roman"/>
          <w:color w:val="000000" w:themeColor="text1"/>
          <w:kern w:val="2"/>
          <w:sz w:val="16"/>
          <w:szCs w:val="16"/>
        </w:rPr>
        <w:t xml:space="preserve"> в 1917 году основан опытный завод Института прикладной химии (15074).</w:t>
      </w:r>
    </w:p>
    <w:p w14:paraId="3C9F92A4" w14:textId="77777777" w:rsidR="00E047D9" w:rsidRPr="002F2FDF" w:rsidRDefault="00E047D9" w:rsidP="0083075A">
      <w:pPr>
        <w:spacing w:after="0" w:line="240" w:lineRule="auto"/>
        <w:jc w:val="both"/>
        <w:rPr>
          <w:rFonts w:ascii="Times New Roman" w:hAnsi="Times New Roman" w:cs="Times New Roman"/>
          <w:color w:val="000000" w:themeColor="text1"/>
          <w:kern w:val="2"/>
          <w:sz w:val="16"/>
          <w:szCs w:val="16"/>
        </w:rPr>
      </w:pPr>
    </w:p>
    <w:p w14:paraId="50C97206"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B281EDA"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3486C2"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марта 1917 Временное правительство приняло постановление об аресте бывшего императора Николая II и его супруги Александры Федоровны и доставке их из Могилева в Царское Село. Выполнение постановления было поручено генералу Михаилу Алексееву, которому для этого выделили специальный наряд солдат. Помимо конвоя в последней поездке в Царское село императора сопровождали члены Государственной думы Александр Александрович Бубликов, Василий Михайлович Вершинин, Семен Федорович Горбунин и Савелий Андреевич Калинин (17045).</w:t>
      </w:r>
    </w:p>
    <w:p w14:paraId="53229A17"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7E477C"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7-12 (20-25) марта 1917 В.И.Л. в Швейцарии пишет Письма из далека - предложил Петросовету отказаться от поддержки Временного правительства и брать власть (1348,84).</w:t>
      </w:r>
    </w:p>
    <w:p w14:paraId="148945CD"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4796B9" w14:textId="77777777" w:rsidR="00E047D9" w:rsidRPr="002F2FDF" w:rsidRDefault="00E047D9"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марта 1917 Временное правительство выдало ордер на арест свергнутого русского императора Николая II и его семьи (4962). Сначала содержали в Царском Селе, а затем отправили в Тобольск (3481).</w:t>
      </w:r>
    </w:p>
    <w:p w14:paraId="626E1B76" w14:textId="77777777" w:rsidR="00E047D9" w:rsidRPr="002F2FDF" w:rsidRDefault="00E047D9"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205935" w14:textId="77777777" w:rsidR="00E047D9" w:rsidRPr="002F2FDF" w:rsidRDefault="00E047D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7 (20) марта</w:t>
      </w:r>
      <w:r w:rsidRPr="002F2FDF">
        <w:rPr>
          <w:rFonts w:ascii="Times New Roman" w:hAnsi="Times New Roman" w:cs="Times New Roman"/>
          <w:color w:val="000000" w:themeColor="text1"/>
          <w:kern w:val="2"/>
          <w:sz w:val="16"/>
          <w:szCs w:val="16"/>
        </w:rPr>
        <w:t xml:space="preserve"> в 1917 году Временное правительство выдает ордер на арест свергнутого русского императора Николая II и его семьи (15074).</w:t>
      </w:r>
    </w:p>
    <w:p w14:paraId="350B09D7" w14:textId="77777777" w:rsidR="00E047D9" w:rsidRPr="002F2FDF" w:rsidRDefault="00E047D9" w:rsidP="0083075A">
      <w:pPr>
        <w:spacing w:after="0" w:line="240" w:lineRule="auto"/>
        <w:jc w:val="both"/>
        <w:rPr>
          <w:rFonts w:ascii="Times New Roman" w:hAnsi="Times New Roman" w:cs="Times New Roman"/>
          <w:color w:val="000000" w:themeColor="text1"/>
          <w:kern w:val="2"/>
          <w:sz w:val="16"/>
          <w:szCs w:val="16"/>
        </w:rPr>
      </w:pPr>
    </w:p>
    <w:p w14:paraId="038550CE" w14:textId="77777777" w:rsidR="00E047D9" w:rsidRPr="002F2FDF" w:rsidRDefault="00E047D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20 марта</w:t>
      </w:r>
      <w:r w:rsidRPr="002F2FDF">
        <w:rPr>
          <w:rFonts w:ascii="Times New Roman" w:hAnsi="Times New Roman" w:cs="Times New Roman"/>
          <w:color w:val="000000" w:themeColor="text1"/>
          <w:kern w:val="2"/>
          <w:sz w:val="16"/>
          <w:szCs w:val="16"/>
        </w:rPr>
        <w:t xml:space="preserve"> в 1917 году в Америке шведский эмигрант Гидеон Сундбек (Gideon Sundback) запатентовал свое изобретение — застежку «молния» в ее современной форме - более ранние версии не имели успеха. Это чудо-изобретение состоит из двух текстильных лент, на которых закреплены идущие в шахматном порядке пластмассовые или металические звенья. Соединение или разъединение половинок выполняется при помощи замка (слайдера), скользящего по лентам (15074).</w:t>
      </w:r>
    </w:p>
    <w:p w14:paraId="2C799E31" w14:textId="77777777" w:rsidR="00E047D9" w:rsidRPr="002F2FDF" w:rsidRDefault="00E047D9" w:rsidP="0083075A">
      <w:pPr>
        <w:spacing w:after="0" w:line="240" w:lineRule="auto"/>
        <w:jc w:val="both"/>
        <w:rPr>
          <w:rFonts w:ascii="Times New Roman" w:hAnsi="Times New Roman" w:cs="Times New Roman"/>
          <w:color w:val="000000" w:themeColor="text1"/>
          <w:kern w:val="2"/>
          <w:sz w:val="16"/>
          <w:szCs w:val="16"/>
        </w:rPr>
      </w:pPr>
    </w:p>
    <w:p w14:paraId="50B68FD9"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марта 1917 все императорские театры переименовали в государственные и сняли портреты императора. Геральдические знаки империи - короны и орлы были сбиты (3481).</w:t>
      </w:r>
    </w:p>
    <w:p w14:paraId="06B94DB4"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E6AC04" w14:textId="77777777" w:rsidR="00E047D9" w:rsidRPr="002F2FDF" w:rsidRDefault="00E047D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7 (20) марта</w:t>
      </w:r>
      <w:r w:rsidRPr="002F2FDF">
        <w:rPr>
          <w:rFonts w:ascii="Times New Roman" w:hAnsi="Times New Roman" w:cs="Times New Roman"/>
          <w:color w:val="000000" w:themeColor="text1"/>
          <w:kern w:val="2"/>
          <w:sz w:val="16"/>
          <w:szCs w:val="16"/>
        </w:rPr>
        <w:t xml:space="preserve"> в 1917 году согласно приказу императорские театры стали именоваться «государственными». Все портреты отрекшегося государя были убраны. Все геральдические знаки империи – орлы и короны – были сбиты (15074).</w:t>
      </w:r>
    </w:p>
    <w:p w14:paraId="6561BCB7" w14:textId="77777777" w:rsidR="00E047D9" w:rsidRPr="002F2FDF" w:rsidRDefault="00E047D9" w:rsidP="0083075A">
      <w:pPr>
        <w:spacing w:after="0" w:line="240" w:lineRule="auto"/>
        <w:jc w:val="both"/>
        <w:rPr>
          <w:rFonts w:ascii="Times New Roman" w:hAnsi="Times New Roman" w:cs="Times New Roman"/>
          <w:color w:val="000000" w:themeColor="text1"/>
          <w:kern w:val="2"/>
          <w:sz w:val="16"/>
          <w:szCs w:val="16"/>
        </w:rPr>
      </w:pPr>
    </w:p>
    <w:p w14:paraId="71919936" w14:textId="77777777" w:rsidR="00E047D9" w:rsidRPr="002F2FDF" w:rsidRDefault="00E047D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7 (20) марта</w:t>
      </w:r>
      <w:r w:rsidRPr="002F2FDF">
        <w:rPr>
          <w:rFonts w:ascii="Times New Roman" w:hAnsi="Times New Roman" w:cs="Times New Roman"/>
          <w:color w:val="000000" w:themeColor="text1"/>
          <w:kern w:val="2"/>
          <w:sz w:val="16"/>
          <w:szCs w:val="16"/>
        </w:rPr>
        <w:t xml:space="preserve"> в 1917 году первый день февральской буржуазно-демократической революции. Забастовало 50 предприятий, около 128 тысяч человек (15061).</w:t>
      </w:r>
    </w:p>
    <w:p w14:paraId="79AF998F" w14:textId="77777777" w:rsidR="00E047D9" w:rsidRPr="002F2FDF" w:rsidRDefault="00E047D9" w:rsidP="0083075A">
      <w:pPr>
        <w:spacing w:after="0" w:line="240" w:lineRule="auto"/>
        <w:jc w:val="both"/>
        <w:rPr>
          <w:rFonts w:ascii="Times New Roman" w:hAnsi="Times New Roman" w:cs="Times New Roman"/>
          <w:color w:val="000000" w:themeColor="text1"/>
          <w:kern w:val="2"/>
          <w:sz w:val="16"/>
          <w:szCs w:val="16"/>
        </w:rPr>
      </w:pPr>
    </w:p>
    <w:p w14:paraId="60A30759" w14:textId="77777777" w:rsidR="00E047D9" w:rsidRPr="002F2FDF" w:rsidRDefault="00E047D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7 (20) марта</w:t>
      </w:r>
      <w:r w:rsidRPr="002F2FDF">
        <w:rPr>
          <w:rFonts w:ascii="Times New Roman" w:hAnsi="Times New Roman" w:cs="Times New Roman"/>
          <w:color w:val="000000" w:themeColor="text1"/>
          <w:kern w:val="2"/>
          <w:sz w:val="16"/>
          <w:szCs w:val="16"/>
        </w:rPr>
        <w:t xml:space="preserve"> в 1917 году локаут на Путиловском заводе в Петрограде (15061).</w:t>
      </w:r>
    </w:p>
    <w:p w14:paraId="695DB9AC" w14:textId="77777777" w:rsidR="00E047D9" w:rsidRPr="002F2FDF" w:rsidRDefault="00E047D9" w:rsidP="0083075A">
      <w:pPr>
        <w:spacing w:after="0" w:line="240" w:lineRule="auto"/>
        <w:jc w:val="both"/>
        <w:rPr>
          <w:rFonts w:ascii="Times New Roman" w:hAnsi="Times New Roman" w:cs="Times New Roman"/>
          <w:color w:val="000000" w:themeColor="text1"/>
          <w:kern w:val="2"/>
          <w:sz w:val="16"/>
          <w:szCs w:val="16"/>
        </w:rPr>
      </w:pPr>
    </w:p>
    <w:p w14:paraId="4BA8DB3E"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7 (20) марта 1917 в отрядах рабочей милиции Петрограда состояло 2600 чел. (5484,114)</w:t>
      </w:r>
    </w:p>
    <w:p w14:paraId="27EFB89C" w14:textId="77777777" w:rsidR="00E047D9" w:rsidRPr="002F2FDF" w:rsidRDefault="00E047D9"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89FF68"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марта 1917 было восстановлено действие конституции Финляндии (3908,254).</w:t>
      </w:r>
    </w:p>
    <w:p w14:paraId="7317FE3D"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81529B"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марта 1917 в Киеве председателем созданной неделей ранее Центральной Рады был избран известный украинский историк Михаил Грушевский, причем заочно — с 1915 года ученый находился в ссылке и в Киев вернулся только 27 марта (17045).</w:t>
      </w:r>
    </w:p>
    <w:p w14:paraId="4E4B0C9A"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2F595F" w14:textId="77777777" w:rsidR="00E047D9" w:rsidRPr="002F2FDF" w:rsidRDefault="00E047D9" w:rsidP="0083075A">
      <w:pPr>
        <w:pStyle w:val="ae"/>
        <w:spacing w:before="0" w:after="0"/>
        <w:jc w:val="both"/>
        <w:rPr>
          <w:color w:val="000000" w:themeColor="text1"/>
          <w:sz w:val="16"/>
          <w:szCs w:val="16"/>
        </w:rPr>
      </w:pPr>
      <w:r w:rsidRPr="002F2FDF">
        <w:rPr>
          <w:color w:val="000000" w:themeColor="text1"/>
          <w:sz w:val="16"/>
          <w:szCs w:val="16"/>
        </w:rPr>
        <w:t>7 (20) марта 1917 года Временное правительство России восстановило автономию Финляндии, но выступило против ее полной самостоятельности. По требованию Социал-демократической фракции финский сейм принял 5(18) июля 1917 года «Закон о власти», ограничивавший компетенцию Временного правительства вопросами военной и внешней политики. В ответ Временное правительство разогнало 18 (31) июля сейм. Тогда буржуазно-националистическая часть финского общества приступила к созданию вооруженных отрядов, получивших название шюцкор (от шведского слова Skyddskar – охранный корпус). Забавно, что в этом вопросе немцы отстали от финнов на 16 лет. У них Schutzstaffeln – охранные отряды (сокращенно – SS) появились только в 1934 году (18525).</w:t>
      </w:r>
    </w:p>
    <w:p w14:paraId="23845ACB" w14:textId="77777777" w:rsidR="00E047D9" w:rsidRPr="002F2FDF" w:rsidRDefault="00E047D9" w:rsidP="0083075A">
      <w:pPr>
        <w:pStyle w:val="ae"/>
        <w:spacing w:before="0" w:after="0"/>
        <w:jc w:val="both"/>
        <w:rPr>
          <w:color w:val="000000" w:themeColor="text1"/>
          <w:sz w:val="16"/>
          <w:szCs w:val="16"/>
        </w:rPr>
      </w:pPr>
    </w:p>
    <w:p w14:paraId="279BE9F3"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36ADEB4"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EE678C" w14:textId="77777777" w:rsidR="00E047D9" w:rsidRPr="002F2FDF" w:rsidRDefault="00E047D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7 (20) марта 1917 первый поет Стертевант Б (20341).</w:t>
      </w:r>
    </w:p>
    <w:p w14:paraId="36073CA1" w14:textId="77777777" w:rsidR="00E047D9" w:rsidRPr="002F2FDF" w:rsidRDefault="00E047D9" w:rsidP="0083075A">
      <w:pPr>
        <w:spacing w:after="0" w:line="240" w:lineRule="auto"/>
        <w:jc w:val="both"/>
        <w:rPr>
          <w:rFonts w:ascii="Times New Roman" w:hAnsi="Times New Roman" w:cs="Times New Roman"/>
          <w:color w:val="000000" w:themeColor="text1"/>
          <w:sz w:val="16"/>
          <w:szCs w:val="16"/>
        </w:rPr>
      </w:pPr>
    </w:p>
    <w:p w14:paraId="4EADAD00" w14:textId="10AA5296" w:rsidR="00E047D9" w:rsidRPr="002F2FDF" w:rsidRDefault="00E047D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7 (20) марта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Поднялся в воздух первый экземпляр американского истребителя Sturtevant B. В ходе первого же полета пилот потерял управления рулем высоты и практически неуправляемы самолет врезался в дерево. Этот несчастный случай заставил Army Air Service аннулировтаь контракт на производство оставшихся трех самолетов (22562).</w:t>
      </w:r>
    </w:p>
    <w:p w14:paraId="77D2C1E6" w14:textId="77777777" w:rsidR="00E047D9" w:rsidRPr="002F2FDF" w:rsidRDefault="00E047D9" w:rsidP="0083075A">
      <w:pPr>
        <w:spacing w:after="0" w:line="240" w:lineRule="auto"/>
        <w:jc w:val="both"/>
        <w:rPr>
          <w:rFonts w:ascii="Times New Roman" w:hAnsi="Times New Roman" w:cs="Times New Roman"/>
          <w:color w:val="000000" w:themeColor="text1"/>
          <w:sz w:val="16"/>
          <w:szCs w:val="16"/>
        </w:rPr>
      </w:pPr>
    </w:p>
    <w:p w14:paraId="6B6579C8"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марта 1917 впервые собрался Имперский кабинет военного времени вместе с главами администраций британских заморских территорий (3907,89).</w:t>
      </w:r>
    </w:p>
    <w:p w14:paraId="2EFDD6C8"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258A80"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марта 1917 кабинет В.Вилсона анонимно проголосовал за войну (2252).</w:t>
      </w:r>
    </w:p>
    <w:p w14:paraId="4A3F3428" w14:textId="77777777" w:rsidR="00E047D9" w:rsidRPr="002F2FDF" w:rsidRDefault="00E047D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02CE3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34AD04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8F55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марта 1917, согласно документа из архива ЛОМО: в предъявленном рабочими первоначальном требовании уплатить работницам Трубочного Отдела заработную плату с 8 марта с.г. в размере 7 рублей, Заводоуправлением было категорически отказано &lt;...&gt; Из двух сделанных заводоуправлением предложений: уплачивать б руб. 40 коп. в день с 8 марта с.г. или 7 рублей в день с 15 мая, рабочие заявили о желании получать 6 руб. 40 коп. в день, начиная с 8 марта с.г., что и было удовлетворено.</w:t>
      </w:r>
    </w:p>
    <w:p w14:paraId="51DBD7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сути дела, заводоуправление, как и Общество заводчиков и фабрикантов Санкт-Петербурга, пред­принимали титанические усилия к тому, чтобы революционные события не коснулись промышленных предприятий. Союзы работодателей занимались обеспечением взаимной поддержки и содействием чле­нам общества в их отношениях с рабочими, осуществляли меры предупреждения забастовок рабочих и решение взаимных споров путем учреждения примирительных камер, оказывали материальную, юриди­ческую и другую помощь членам общества, устанавливали единые расценки и условия найма рабочих.</w:t>
      </w:r>
    </w:p>
    <w:p w14:paraId="79E109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Правление и заводоуправление РАООМПа находилось в тесном контакте с Обществом заводчиков и фабрикантов Санкт-Петербурга, отчитывалось о том, как складываются отношения с рабочими. Вот что пишет представитель заводоуправления о прошедшей забастовке:</w:t>
      </w:r>
    </w:p>
    <w:p w14:paraId="492C1A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В плате за забастовочные дни рабочим было отказано? но Правление, идя навстречу нуждам рабочих и принимая во внимание условия переживаемого момента, заявило рабочим, что если они станут немедленно на работу и если к 31 июля выяснится, что таковая будет вестись с надлежащей интенсивностью, то оно, Заводоуправление, выдаст им дополнительно вознаграждение за время с 13 по 31 июляс.г..</w:t>
      </w:r>
    </w:p>
    <w:p w14:paraId="3C000E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1916 г. на заводе создается заводской комитет рабочих (завком). После Февральской революции 1917 г. организуется заводская партийная ячейка. Большевики укрепляют свое влияние среди рабочих завода.</w:t>
      </w:r>
    </w:p>
    <w:p w14:paraId="694420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...Накануне октябрьских событий 1917 г. производство на заводе практически остановлено. В октябре-ноябре 1917-го оптико-механический завод на Чугунной находится на грани закрытия...(11869).</w:t>
      </w:r>
    </w:p>
    <w:p w14:paraId="75A9E0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1D7F7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3B046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880580" w14:textId="77777777" w:rsidR="00CD1F09" w:rsidRPr="002F2FDF" w:rsidRDefault="00CD1F09"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февральской революции русская армия имела 85 авиационных отрядов, из них 52 корпусных, 12 армей</w:t>
      </w:r>
      <w:r w:rsidRPr="002F2FDF">
        <w:rPr>
          <w:rFonts w:ascii="Times New Roman" w:hAnsi="Times New Roman" w:cs="Times New Roman"/>
          <w:color w:val="000000" w:themeColor="text1"/>
          <w:kern w:val="2"/>
          <w:sz w:val="16"/>
          <w:szCs w:val="16"/>
        </w:rPr>
        <w:softHyphen/>
        <w:t>ских, 12 истребительных, 3 артиллерийских, 2 охранных и 4 тыло</w:t>
      </w:r>
      <w:r w:rsidRPr="002F2FDF">
        <w:rPr>
          <w:rFonts w:ascii="Times New Roman" w:hAnsi="Times New Roman" w:cs="Times New Roman"/>
          <w:color w:val="000000" w:themeColor="text1"/>
          <w:kern w:val="2"/>
          <w:sz w:val="16"/>
          <w:szCs w:val="16"/>
        </w:rPr>
        <w:softHyphen/>
        <w:t>вых. Еще несколько авиационных отрядов было сформировано весной 1917 г. Однако в боевых действиях эти отряды принять участия уже не успели. Под натиском революционной волны ста</w:t>
      </w:r>
      <w:r w:rsidRPr="002F2FDF">
        <w:rPr>
          <w:rFonts w:ascii="Times New Roman" w:hAnsi="Times New Roman" w:cs="Times New Roman"/>
          <w:color w:val="000000" w:themeColor="text1"/>
          <w:kern w:val="2"/>
          <w:sz w:val="16"/>
          <w:szCs w:val="16"/>
        </w:rPr>
        <w:softHyphen/>
        <w:t>рая армия разваливалась. Поступление новой материальной части почти полностью прекратилось. Количество самолетов в армии не</w:t>
      </w:r>
      <w:r w:rsidRPr="002F2FDF">
        <w:rPr>
          <w:rFonts w:ascii="Times New Roman" w:hAnsi="Times New Roman" w:cs="Times New Roman"/>
          <w:color w:val="000000" w:themeColor="text1"/>
          <w:kern w:val="2"/>
          <w:sz w:val="16"/>
          <w:szCs w:val="16"/>
        </w:rPr>
        <w:softHyphen/>
        <w:t>прерывно сокращалось, поскольку потери материальной части не восполнялись (278).</w:t>
      </w:r>
    </w:p>
    <w:p w14:paraId="5947BD51" w14:textId="77777777" w:rsidR="00CD1F09" w:rsidRPr="002F2FDF" w:rsidRDefault="00CD1F09"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36A0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марта 1916 группа действовала на ближних подходах к Босфору. На случай выхода в море ремонтирующегося линейного крейсера "Гебен", мористее находились линкор "Императрица Екатерина Великая" (под флагом командующего флотом), крейсер "Память "Меркурия" и два эсминца (11933).</w:t>
      </w:r>
    </w:p>
    <w:p w14:paraId="3ABDBA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15B30D" w14:textId="538F25DC" w:rsidR="00D37B8A" w:rsidRDefault="00D37B8A"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3CDDA03D" w14:textId="77777777" w:rsidR="00D37B8A" w:rsidRDefault="00D37B8A"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1D59171C" w14:textId="69C331F0" w:rsidR="00D37B8A" w:rsidRPr="00FB4F67" w:rsidRDefault="00D37B8A"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8 (</w:t>
      </w:r>
      <w:r w:rsidRPr="00FB4F67">
        <w:rPr>
          <w:rFonts w:ascii="Times New Roman" w:hAnsi="Times New Roman" w:cs="Times New Roman"/>
          <w:color w:val="0070C0"/>
          <w:sz w:val="16"/>
          <w:szCs w:val="16"/>
        </w:rPr>
        <w:t>21</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марта 1917 г. генерал-майору Барсову было приказано временно занять должность генерал-фельд-инспектора военно-воздушного флота, заменив на этом посту великого князя Александра Михайловича. Временное правительство отстранило всех членов семьи Романовых от государственных должностей (23525).</w:t>
      </w:r>
    </w:p>
    <w:p w14:paraId="7DD84391" w14:textId="77777777" w:rsidR="00D37B8A" w:rsidRPr="00FB4F67" w:rsidRDefault="00D37B8A" w:rsidP="0083075A">
      <w:pPr>
        <w:spacing w:after="0" w:line="240" w:lineRule="auto"/>
        <w:jc w:val="both"/>
        <w:rPr>
          <w:rFonts w:ascii="Times New Roman" w:hAnsi="Times New Roman" w:cs="Times New Roman"/>
          <w:color w:val="0070C0"/>
          <w:sz w:val="16"/>
          <w:szCs w:val="16"/>
        </w:rPr>
      </w:pPr>
    </w:p>
    <w:p w14:paraId="5B8274A3" w14:textId="5F82ED7C"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6C18A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E373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марта 1917 Николай II был арестован комиссарами Петросовета в Могилеве. Царская семья была помещена под домашний арест в Царскосельском дворце (3908,254).</w:t>
      </w:r>
    </w:p>
    <w:p w14:paraId="65DF6D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6FE76D" w14:textId="77777777" w:rsidR="00A37479" w:rsidRPr="002F2FDF" w:rsidRDefault="00A37479" w:rsidP="0083075A">
      <w:pPr>
        <w:pStyle w:val="ae"/>
        <w:spacing w:before="0" w:after="0"/>
        <w:jc w:val="both"/>
        <w:rPr>
          <w:color w:val="000000" w:themeColor="text1"/>
          <w:kern w:val="2"/>
          <w:sz w:val="16"/>
          <w:szCs w:val="16"/>
        </w:rPr>
      </w:pPr>
      <w:r w:rsidRPr="002F2FDF">
        <w:rPr>
          <w:color w:val="000000" w:themeColor="text1"/>
          <w:kern w:val="2"/>
          <w:sz w:val="16"/>
          <w:szCs w:val="16"/>
        </w:rPr>
        <w:t>8 (21) марта 1917 в Могилеве, где располагалась Ставка верховного главнокомандующего, перед отъездом в Царское село император выпустил свой последний приказ по войскам:</w:t>
      </w:r>
    </w:p>
    <w:p w14:paraId="2B0E2800" w14:textId="77777777" w:rsidR="00A37479" w:rsidRPr="002F2FDF" w:rsidRDefault="00A37479" w:rsidP="0083075A">
      <w:pPr>
        <w:pStyle w:val="ae"/>
        <w:spacing w:before="0" w:after="0"/>
        <w:jc w:val="both"/>
        <w:rPr>
          <w:color w:val="000000" w:themeColor="text1"/>
          <w:kern w:val="2"/>
          <w:sz w:val="16"/>
          <w:szCs w:val="16"/>
        </w:rPr>
      </w:pPr>
      <w:r w:rsidRPr="002F2FDF">
        <w:rPr>
          <w:color w:val="000000" w:themeColor="text1"/>
          <w:kern w:val="2"/>
          <w:sz w:val="16"/>
          <w:szCs w:val="16"/>
        </w:rPr>
        <w:t>«Я обращусь к вам в последний раз, столь дорогие моему сердцу солдаты. С тех пор, как я отказался от своего имени и от имени моего сына от русского трона, власть передана Временному правительству, образованному по инициативе Государственной думы.</w:t>
      </w:r>
    </w:p>
    <w:p w14:paraId="592154F3" w14:textId="77777777" w:rsidR="00A37479" w:rsidRPr="002F2FDF" w:rsidRDefault="00A37479" w:rsidP="0083075A">
      <w:pPr>
        <w:pStyle w:val="ae"/>
        <w:spacing w:before="0" w:after="0"/>
        <w:jc w:val="both"/>
        <w:rPr>
          <w:color w:val="000000" w:themeColor="text1"/>
          <w:kern w:val="2"/>
          <w:sz w:val="16"/>
          <w:szCs w:val="16"/>
        </w:rPr>
      </w:pPr>
      <w:r w:rsidRPr="002F2FDF">
        <w:rPr>
          <w:color w:val="000000" w:themeColor="text1"/>
          <w:kern w:val="2"/>
          <w:sz w:val="16"/>
          <w:szCs w:val="16"/>
        </w:rPr>
        <w:t>Да поможет Бог этому правительству повести Россию к славе и преуспеянию… Да поможет Бог и вам, доблестные солдаты, защитить вашу родину от жестокого врага. В течение двух с половиной лет вы ежечасно выносили испытания тяжелой службы; много было пролито крови, сделаны были огромные усилия, и уже близок час, когда Россия и ее славные союзники общими усилиями сломят последнее сопротивление врага.</w:t>
      </w:r>
    </w:p>
    <w:p w14:paraId="6EC4DD05" w14:textId="77777777" w:rsidR="00A37479" w:rsidRPr="002F2FDF" w:rsidRDefault="00A37479" w:rsidP="0083075A">
      <w:pPr>
        <w:pStyle w:val="ae"/>
        <w:spacing w:before="0" w:after="0"/>
        <w:jc w:val="both"/>
        <w:rPr>
          <w:color w:val="000000" w:themeColor="text1"/>
          <w:kern w:val="2"/>
          <w:sz w:val="16"/>
          <w:szCs w:val="16"/>
        </w:rPr>
      </w:pPr>
      <w:r w:rsidRPr="002F2FDF">
        <w:rPr>
          <w:color w:val="000000" w:themeColor="text1"/>
          <w:kern w:val="2"/>
          <w:sz w:val="16"/>
          <w:szCs w:val="16"/>
        </w:rPr>
        <w:t>Это беспримерная война должна быть доведена до окончательной победы. Кто думает в этот момент о мире — предатель России.</w:t>
      </w:r>
    </w:p>
    <w:p w14:paraId="115FF47E" w14:textId="77777777" w:rsidR="00A37479" w:rsidRPr="002F2FDF" w:rsidRDefault="00A37479" w:rsidP="0083075A">
      <w:pPr>
        <w:pStyle w:val="ae"/>
        <w:spacing w:before="0" w:after="0"/>
        <w:jc w:val="both"/>
        <w:rPr>
          <w:color w:val="000000" w:themeColor="text1"/>
          <w:kern w:val="2"/>
          <w:sz w:val="16"/>
          <w:szCs w:val="16"/>
        </w:rPr>
      </w:pPr>
      <w:r w:rsidRPr="002F2FDF">
        <w:rPr>
          <w:color w:val="000000" w:themeColor="text1"/>
          <w:kern w:val="2"/>
          <w:sz w:val="16"/>
          <w:szCs w:val="16"/>
        </w:rPr>
        <w:t>Я твердо убежден, что воодушевляющая вас безграничная любовь к нашей прекрасной родине не угасла в ваших сердцах.</w:t>
      </w:r>
    </w:p>
    <w:p w14:paraId="29333A00" w14:textId="77777777" w:rsidR="00A37479" w:rsidRPr="002F2FDF" w:rsidRDefault="00A37479" w:rsidP="0083075A">
      <w:pPr>
        <w:pStyle w:val="ae"/>
        <w:spacing w:before="0" w:after="0"/>
        <w:jc w:val="both"/>
        <w:rPr>
          <w:color w:val="000000" w:themeColor="text1"/>
          <w:kern w:val="2"/>
          <w:sz w:val="16"/>
          <w:szCs w:val="16"/>
        </w:rPr>
      </w:pPr>
      <w:r w:rsidRPr="002F2FDF">
        <w:rPr>
          <w:color w:val="000000" w:themeColor="text1"/>
          <w:kern w:val="2"/>
          <w:sz w:val="16"/>
          <w:szCs w:val="16"/>
        </w:rPr>
        <w:lastRenderedPageBreak/>
        <w:t>Да благословит вас Бог и да поведет вас к победе великомученик Георгий! Николай» (17045).</w:t>
      </w:r>
    </w:p>
    <w:p w14:paraId="2D44DCA1" w14:textId="77777777" w:rsidR="00A37479" w:rsidRPr="002F2FDF" w:rsidRDefault="00A37479"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D0E30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марта 1917 по распоряжению Временного правительства арестована семья Николая II (4962).</w:t>
      </w:r>
    </w:p>
    <w:p w14:paraId="79A27BE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7735A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марта 1917 свергнутый с престола русский император Николай II выступил с прощальным обращением к русской армии с призывом подчиняться Временному правительству (4962).</w:t>
      </w:r>
    </w:p>
    <w:p w14:paraId="1D51926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6A00E9" w14:textId="77777777" w:rsidR="00FE2D53" w:rsidRPr="002F2FDF" w:rsidRDefault="00FE2D5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8 (21) марта</w:t>
      </w:r>
      <w:r w:rsidRPr="002F2FDF">
        <w:rPr>
          <w:rFonts w:ascii="Times New Roman" w:hAnsi="Times New Roman" w:cs="Times New Roman"/>
          <w:color w:val="000000" w:themeColor="text1"/>
          <w:kern w:val="2"/>
          <w:sz w:val="16"/>
          <w:szCs w:val="16"/>
        </w:rPr>
        <w:t xml:space="preserve"> в 1917 году свергнутый с престола русский император Николай II выступает с прощальным обращением к русской армии с призывом подчиняться Временному правительству (15075).</w:t>
      </w:r>
    </w:p>
    <w:p w14:paraId="46B1CAC7" w14:textId="77777777" w:rsidR="00FE2D53" w:rsidRPr="002F2FDF" w:rsidRDefault="00FE2D53" w:rsidP="0083075A">
      <w:pPr>
        <w:spacing w:after="0" w:line="240" w:lineRule="auto"/>
        <w:jc w:val="both"/>
        <w:rPr>
          <w:rFonts w:ascii="Times New Roman" w:hAnsi="Times New Roman" w:cs="Times New Roman"/>
          <w:color w:val="000000" w:themeColor="text1"/>
          <w:kern w:val="2"/>
          <w:sz w:val="16"/>
          <w:szCs w:val="16"/>
        </w:rPr>
      </w:pPr>
    </w:p>
    <w:p w14:paraId="2DBD0FDB" w14:textId="77777777" w:rsidR="00FE2D53" w:rsidRPr="002F2FDF" w:rsidRDefault="00FE2D5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8 (21) марта</w:t>
      </w:r>
      <w:r w:rsidRPr="002F2FDF">
        <w:rPr>
          <w:rFonts w:ascii="Times New Roman" w:hAnsi="Times New Roman" w:cs="Times New Roman"/>
          <w:color w:val="000000" w:themeColor="text1"/>
          <w:kern w:val="2"/>
          <w:sz w:val="16"/>
          <w:szCs w:val="16"/>
        </w:rPr>
        <w:t xml:space="preserve"> в 1917 году арестованы бывший император Николай II и его семья. Первые пять месяцев они находились под охраной в Царском Селе, где жили в доме с садом, огороженным забором, выход за пределы сада был запрещен. Основным занятием семьи была учеба детей. Затем отправлены в Тобольск. В этот же день Игорь Северянин пишет знаменитые строки в связи со свободою слова:</w:t>
      </w:r>
    </w:p>
    <w:p w14:paraId="49161D0C" w14:textId="77777777" w:rsidR="00FE2D53" w:rsidRPr="002F2FDF" w:rsidRDefault="00FE2D5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Поверить трудно: вдруг – все можно?!</w:t>
      </w:r>
    </w:p>
    <w:p w14:paraId="7065430D" w14:textId="77777777" w:rsidR="00FE2D53" w:rsidRPr="002F2FDF" w:rsidRDefault="00FE2D5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Трепещет страстно мукой стих...</w:t>
      </w:r>
    </w:p>
    <w:p w14:paraId="77CA46ED" w14:textId="77777777" w:rsidR="00FE2D53" w:rsidRPr="002F2FDF" w:rsidRDefault="00FE2D5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 невозможное – возможно</w:t>
      </w:r>
    </w:p>
    <w:p w14:paraId="260FE005" w14:textId="77777777" w:rsidR="00FE2D53" w:rsidRPr="002F2FDF" w:rsidRDefault="00FE2D5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стране возможностей больших!. (15075).</w:t>
      </w:r>
    </w:p>
    <w:p w14:paraId="4A11E546" w14:textId="77777777" w:rsidR="00FE2D53" w:rsidRPr="002F2FDF" w:rsidRDefault="00FE2D53" w:rsidP="0083075A">
      <w:pPr>
        <w:spacing w:after="0" w:line="240" w:lineRule="auto"/>
        <w:jc w:val="both"/>
        <w:rPr>
          <w:rFonts w:ascii="Times New Roman" w:hAnsi="Times New Roman" w:cs="Times New Roman"/>
          <w:color w:val="000000" w:themeColor="text1"/>
          <w:kern w:val="2"/>
          <w:sz w:val="16"/>
          <w:szCs w:val="16"/>
        </w:rPr>
      </w:pPr>
    </w:p>
    <w:p w14:paraId="251765A9" w14:textId="77777777" w:rsidR="00516B82" w:rsidRPr="002F2FDF" w:rsidRDefault="00516B8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DA3D7A5" w14:textId="77777777" w:rsidR="00516B82" w:rsidRPr="002F2FDF" w:rsidRDefault="00516B8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3F25B5" w14:textId="77777777" w:rsidR="00516B82" w:rsidRPr="002F2FDF" w:rsidRDefault="00516B8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8 (21) марта 1917 г. Low продемонстрировал свои радиоуправляемые беспилотные устройства для борьбы с дирижаблями руководящей верхушке Великобритании. Первый аппарат разбился сразу. Второй поднялся в воздух, какое-то время совершал удовлетворительный полет, после чего потерял управление и упал в трех метрах от оператора (22759).</w:t>
      </w:r>
    </w:p>
    <w:p w14:paraId="5F96650C" w14:textId="77777777" w:rsidR="00516B82" w:rsidRPr="002F2FDF" w:rsidRDefault="00516B82" w:rsidP="0083075A">
      <w:pPr>
        <w:spacing w:after="0" w:line="240" w:lineRule="auto"/>
        <w:jc w:val="both"/>
        <w:rPr>
          <w:rFonts w:ascii="Times New Roman" w:hAnsi="Times New Roman" w:cs="Times New Roman"/>
          <w:color w:val="000000" w:themeColor="text1"/>
          <w:sz w:val="16"/>
          <w:szCs w:val="16"/>
        </w:rPr>
      </w:pPr>
    </w:p>
    <w:p w14:paraId="27AF6476" w14:textId="77777777" w:rsidR="00516B82" w:rsidRPr="002F2FDF" w:rsidRDefault="00516B8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8 (21) марта 1917 Жорж Гинемер сам облетал на военном аэродроме Бюк юго-западнее Парижа новый СПАД S.XIICa1, о чем свидетельствует найденная в архивах Ж. Россиньолем его личная запись. Эти испытания считались заводскими и не документировались, а официальные начались только 5 июля, когда первые серийные самолеты были уже в войсках. Тем не менее многие историки ухватились за более позднюю задокументированную дату и ошиблись.</w:t>
      </w:r>
    </w:p>
    <w:p w14:paraId="0EADDA50" w14:textId="77777777" w:rsidR="00516B82" w:rsidRPr="002F2FDF" w:rsidRDefault="00516B8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Уже в первом полете Гинемер увидел утечку масла из картера редуктора, из-за чего мотор трясло все больше, и он пошел на посадку. В то же время он отметил превосходство в скорости и тяговооруженности и вообще дал машине высокую оценку. Под его напором уже в апреле-мае заводу SPAD в Бетани был выдан заказ на 300 пушечных истребителей (22861).</w:t>
      </w:r>
    </w:p>
    <w:p w14:paraId="3E9CE191" w14:textId="77777777" w:rsidR="00516B82" w:rsidRPr="002F2FDF" w:rsidRDefault="00516B82" w:rsidP="0083075A">
      <w:pPr>
        <w:spacing w:after="0" w:line="240" w:lineRule="auto"/>
        <w:jc w:val="both"/>
        <w:rPr>
          <w:rFonts w:ascii="Times New Roman" w:hAnsi="Times New Roman" w:cs="Times New Roman"/>
          <w:color w:val="000000" w:themeColor="text1"/>
          <w:sz w:val="16"/>
          <w:szCs w:val="16"/>
        </w:rPr>
      </w:pPr>
    </w:p>
    <w:p w14:paraId="2B9596E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4CA17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F524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9 </w:t>
      </w:r>
      <w:r w:rsidR="001B6ED4" w:rsidRPr="002F2FDF">
        <w:rPr>
          <w:rFonts w:ascii="Times New Roman" w:hAnsi="Times New Roman" w:cs="Times New Roman"/>
          <w:color w:val="000000" w:themeColor="text1"/>
          <w:kern w:val="2"/>
          <w:sz w:val="16"/>
          <w:szCs w:val="16"/>
        </w:rPr>
        <w:t xml:space="preserve">(22) </w:t>
      </w:r>
      <w:r w:rsidRPr="002F2FDF">
        <w:rPr>
          <w:rFonts w:ascii="Times New Roman" w:hAnsi="Times New Roman" w:cs="Times New Roman"/>
          <w:color w:val="000000" w:themeColor="text1"/>
          <w:kern w:val="2"/>
          <w:sz w:val="16"/>
          <w:szCs w:val="16"/>
        </w:rPr>
        <w:t>марта 1917 г. был утвекржден штат Киевской школы летчиков-наблюдателей которой включал 18 офицерских должностей, 8 постов занятия военными чиновниками и 245 – для нижних чинов (11182).</w:t>
      </w:r>
    </w:p>
    <w:p w14:paraId="128EE4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00BD60" w14:textId="2DC612B4" w:rsidR="00D37B8A" w:rsidRPr="00FB4F67" w:rsidRDefault="00D37B8A"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8 (</w:t>
      </w:r>
      <w:r w:rsidRPr="00FB4F67">
        <w:rPr>
          <w:rFonts w:ascii="Times New Roman" w:hAnsi="Times New Roman" w:cs="Times New Roman"/>
          <w:color w:val="0070C0"/>
          <w:sz w:val="16"/>
          <w:szCs w:val="16"/>
        </w:rPr>
        <w:t>22</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марта 1917 г. германские самолеты подвергли бомбардировке г. Галац (Румыния). Через несколько дней в период атаки русских позиций на западном берегу р. Шарм (юго-восточнее Барановичей) при активной поддержке с воздуха немецкими летчиками были сожжены два наших аэростата (23405).</w:t>
      </w:r>
    </w:p>
    <w:p w14:paraId="456DF227" w14:textId="77777777" w:rsidR="00D37B8A" w:rsidRPr="00FB4F67" w:rsidRDefault="00D37B8A" w:rsidP="0083075A">
      <w:pPr>
        <w:spacing w:after="0" w:line="240" w:lineRule="auto"/>
        <w:jc w:val="both"/>
        <w:rPr>
          <w:rFonts w:ascii="Times New Roman" w:hAnsi="Times New Roman" w:cs="Times New Roman"/>
          <w:color w:val="0070C0"/>
          <w:sz w:val="16"/>
          <w:szCs w:val="16"/>
        </w:rPr>
      </w:pPr>
    </w:p>
    <w:p w14:paraId="0EE05F1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0AB9F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132EF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марта 1917 арестованного Николая II доставили в Царское Село (4962).</w:t>
      </w:r>
    </w:p>
    <w:p w14:paraId="71FEAE4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7091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марта 1917 Николай 2 предпринял попытку уехать из России (3481).</w:t>
      </w:r>
    </w:p>
    <w:p w14:paraId="4394DA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7E1A5C"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9 (22) марта</w:t>
      </w:r>
      <w:r w:rsidRPr="002F2FDF">
        <w:rPr>
          <w:rFonts w:ascii="Times New Roman" w:hAnsi="Times New Roman" w:cs="Times New Roman"/>
          <w:color w:val="000000" w:themeColor="text1"/>
          <w:kern w:val="2"/>
          <w:sz w:val="16"/>
          <w:szCs w:val="16"/>
        </w:rPr>
        <w:t xml:space="preserve"> в 1917 году роспуск Департамента полиции (15063).</w:t>
      </w:r>
    </w:p>
    <w:p w14:paraId="40C61C01"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p>
    <w:p w14:paraId="0B2D3160"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9 (22) марта</w:t>
      </w:r>
      <w:r w:rsidRPr="002F2FDF">
        <w:rPr>
          <w:rFonts w:ascii="Times New Roman" w:hAnsi="Times New Roman" w:cs="Times New Roman"/>
          <w:color w:val="000000" w:themeColor="text1"/>
          <w:kern w:val="2"/>
          <w:sz w:val="16"/>
          <w:szCs w:val="16"/>
        </w:rPr>
        <w:t xml:space="preserve"> в 1917 году начало всеобщей политической забастовки в Петрограде, бастовали около 305 тысяч человек на 421 предприятии (15063).</w:t>
      </w:r>
    </w:p>
    <w:p w14:paraId="5FCBEFA3"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p>
    <w:p w14:paraId="2DB53029"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9 (22) марта</w:t>
      </w:r>
      <w:r w:rsidRPr="002F2FDF">
        <w:rPr>
          <w:rFonts w:ascii="Times New Roman" w:hAnsi="Times New Roman" w:cs="Times New Roman"/>
          <w:color w:val="000000" w:themeColor="text1"/>
          <w:kern w:val="2"/>
          <w:sz w:val="16"/>
          <w:szCs w:val="16"/>
        </w:rPr>
        <w:t xml:space="preserve"> в 1917 году в России введен 8 часовой рабочий день (15076).</w:t>
      </w:r>
    </w:p>
    <w:p w14:paraId="1B05569C"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p>
    <w:p w14:paraId="36D85D9D" w14:textId="77777777" w:rsidR="009E49F6" w:rsidRPr="002F2FDF" w:rsidRDefault="009E49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марта 1917 Центральная Рада в Киеве обратилась к народу с призывом признать Временное правительство (12629).</w:t>
      </w:r>
    </w:p>
    <w:p w14:paraId="258C19B1" w14:textId="77777777" w:rsidR="009E49F6" w:rsidRPr="002F2FDF" w:rsidRDefault="009E49F6"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C263F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марта 1917 в Гомеле рабочими арестован министр двора Николая II граф В. Фредерикс (4962).</w:t>
      </w:r>
    </w:p>
    <w:p w14:paraId="5E82755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DD612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40E5E6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D6C59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марта 1917 США первыми в мире признали Временное правительство России (4962).</w:t>
      </w:r>
    </w:p>
    <w:p w14:paraId="2066FDC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21D564" w14:textId="77777777" w:rsidR="00FE2D53" w:rsidRPr="002F2FDF" w:rsidRDefault="00FE2D5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9 (22) марта</w:t>
      </w:r>
      <w:r w:rsidRPr="002F2FDF">
        <w:rPr>
          <w:rFonts w:ascii="Times New Roman" w:hAnsi="Times New Roman" w:cs="Times New Roman"/>
          <w:color w:val="000000" w:themeColor="text1"/>
          <w:kern w:val="2"/>
          <w:sz w:val="16"/>
          <w:szCs w:val="16"/>
        </w:rPr>
        <w:t xml:space="preserve"> в 1917 году признание Временного правительства Соединенными Штатами Америки (15076).</w:t>
      </w:r>
    </w:p>
    <w:p w14:paraId="6F0435F7" w14:textId="77777777" w:rsidR="00FE2D53" w:rsidRPr="002F2FDF" w:rsidRDefault="00FE2D53" w:rsidP="0083075A">
      <w:pPr>
        <w:spacing w:after="0" w:line="240" w:lineRule="auto"/>
        <w:jc w:val="both"/>
        <w:rPr>
          <w:rFonts w:ascii="Times New Roman" w:hAnsi="Times New Roman" w:cs="Times New Roman"/>
          <w:color w:val="000000" w:themeColor="text1"/>
          <w:kern w:val="2"/>
          <w:sz w:val="16"/>
          <w:szCs w:val="16"/>
        </w:rPr>
      </w:pPr>
    </w:p>
    <w:p w14:paraId="0F97405E"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9 (22) марта 1917 г. </w:t>
      </w:r>
      <w:r w:rsidRPr="002F2FDF">
        <w:rPr>
          <w:rFonts w:ascii="Times New Roman" w:hAnsi="Times New Roman" w:cs="Times New Roman"/>
          <w:color w:val="000000" w:themeColor="text1"/>
          <w:kern w:val="2"/>
          <w:sz w:val="16"/>
          <w:szCs w:val="16"/>
        </w:rPr>
        <w:t>Телеграмма председателя Русского правительственного комитета в Лондоне ген. Э. К. Гермониуса Главному управлению Генерального штаба о прекращении английским правительством размещения русских заказов на заводское оборудование.</w:t>
      </w:r>
    </w:p>
    <w:p w14:paraId="388CFE89" w14:textId="34B496B2"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473</w:t>
      </w:r>
    </w:p>
    <w:p w14:paraId="140DA3F1" w14:textId="712D4578"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ЦГВИА, ф. 2000, оп. 1, д. 6119, л. 240. Заверенная копия.</w:t>
      </w:r>
    </w:p>
    <w:p w14:paraId="6A5703AE" w14:textId="77777777" w:rsidR="00C43DB9" w:rsidRPr="002F2FDF" w:rsidRDefault="00C43DB9" w:rsidP="0083075A">
      <w:pPr>
        <w:pStyle w:val="rtejustify"/>
        <w:spacing w:before="0" w:after="0"/>
        <w:rPr>
          <w:color w:val="000000" w:themeColor="text1"/>
          <w:kern w:val="2"/>
          <w:sz w:val="16"/>
          <w:szCs w:val="16"/>
        </w:rPr>
      </w:pPr>
      <w:r w:rsidRPr="002F2FDF">
        <w:rPr>
          <w:color w:val="000000" w:themeColor="text1"/>
          <w:kern w:val="2"/>
          <w:sz w:val="16"/>
          <w:szCs w:val="16"/>
        </w:rPr>
        <w:t>АНПРА, ссылаясь на решение Петроградской конференции, прекратило дальнейшее размещение заказов на все предметы заводского оборудования,</w:t>
      </w:r>
      <w:hyperlink r:id="rId60" w:anchor="_ftn1" w:history="1">
        <w:r w:rsidRPr="002F2FDF">
          <w:rPr>
            <w:rStyle w:val="a5"/>
            <w:color w:val="000000" w:themeColor="text1"/>
            <w:kern w:val="2"/>
            <w:sz w:val="16"/>
            <w:szCs w:val="16"/>
          </w:rPr>
          <w:t>[1]</w:t>
        </w:r>
      </w:hyperlink>
      <w:r w:rsidRPr="002F2FDF">
        <w:rPr>
          <w:color w:val="000000" w:themeColor="text1"/>
          <w:kern w:val="2"/>
          <w:sz w:val="16"/>
          <w:szCs w:val="16"/>
        </w:rPr>
        <w:t xml:space="preserve"> вследствие чего остается незаказанным: 1) оборудование Промету точных цехов 2-го сталелитейного, Пермского, Царицынского, Верхне-Туринского заводов, Владивостокских вагонных и Севастопольских портовых мастерских по ведомости ГАУ и ГВТУ, и мастерских Увофлота — всего около 20 тыс. т на сумму около полутора миллионов фунтов стерлингов. Эта потребность крайне важна, так как получение ее даст возможность вполне использовать оборудования, уже существующие или изготовляемые в России; 2) значительная часть оборудования новых заводов: Парвиайнен, Брянского, 6 автомобильных, завода авиационных моторов, Павдинского, Днепровского вагоностроительного и мастерских крепости Петра I—всего около 25 тыс. тили около 2 млн ф. ст.;</w:t>
      </w:r>
    </w:p>
    <w:p w14:paraId="27350DB8" w14:textId="77777777" w:rsidR="00C43DB9" w:rsidRPr="002F2FDF" w:rsidRDefault="00C43DB9" w:rsidP="0083075A">
      <w:pPr>
        <w:pStyle w:val="rtejustify"/>
        <w:spacing w:before="0" w:after="0"/>
        <w:rPr>
          <w:color w:val="000000" w:themeColor="text1"/>
          <w:kern w:val="2"/>
          <w:sz w:val="16"/>
          <w:szCs w:val="16"/>
        </w:rPr>
      </w:pPr>
      <w:r w:rsidRPr="002F2FDF">
        <w:rPr>
          <w:color w:val="000000" w:themeColor="text1"/>
          <w:kern w:val="2"/>
          <w:sz w:val="16"/>
          <w:szCs w:val="16"/>
        </w:rPr>
        <w:t>3) потребности разных ведомств по документам, посланным из Петрограда, начиная с середины декабря, и только [в] последние дни полученных РУССКО. Крайне нуждаемся в основных указаниях по этим трем пунктам, так как, не имея руководящих распоряжений, не можем предпринимать никаких шагов перед АНПРА. 10407.</w:t>
      </w:r>
    </w:p>
    <w:p w14:paraId="395C07B6" w14:textId="77777777" w:rsidR="00C43DB9" w:rsidRPr="002F2FDF" w:rsidRDefault="00C43DB9"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Гермониус.</w:t>
      </w:r>
    </w:p>
    <w:p w14:paraId="1AA0AFFB" w14:textId="77777777" w:rsidR="00C43DB9" w:rsidRPr="002F2FDF" w:rsidRDefault="00000000" w:rsidP="0083075A">
      <w:pPr>
        <w:pStyle w:val="ae"/>
        <w:spacing w:before="0" w:after="0"/>
        <w:jc w:val="both"/>
        <w:rPr>
          <w:color w:val="000000" w:themeColor="text1"/>
          <w:kern w:val="2"/>
          <w:sz w:val="16"/>
          <w:szCs w:val="16"/>
        </w:rPr>
      </w:pPr>
      <w:hyperlink r:id="rId61" w:anchor="_ftnref1" w:history="1">
        <w:r w:rsidR="00C43DB9" w:rsidRPr="002F2FDF">
          <w:rPr>
            <w:rStyle w:val="a5"/>
            <w:color w:val="000000" w:themeColor="text1"/>
            <w:kern w:val="2"/>
            <w:sz w:val="16"/>
            <w:szCs w:val="16"/>
          </w:rPr>
          <w:t>[1]</w:t>
        </w:r>
      </w:hyperlink>
      <w:r w:rsidR="00C43DB9" w:rsidRPr="002F2FDF">
        <w:rPr>
          <w:color w:val="000000" w:themeColor="text1"/>
          <w:kern w:val="2"/>
          <w:sz w:val="16"/>
          <w:szCs w:val="16"/>
        </w:rPr>
        <w:t xml:space="preserve"> По заявлению Главного управления по заграничному снабжению, вопрос о ненужности заграничных станков для русских предприятий на Петроградской конференции не обсуждался (см. док. № 594) (15212).</w:t>
      </w:r>
    </w:p>
    <w:p w14:paraId="218BE203" w14:textId="77777777" w:rsidR="00C43DB9" w:rsidRPr="002F2FDF" w:rsidRDefault="00C43DB9"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0E6A5EEA" w14:textId="77777777" w:rsidR="00C43DB9"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1C7F7F9" w14:textId="77777777" w:rsidR="00C43DB9" w:rsidRPr="002F2FDF" w:rsidRDefault="00C43DB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80D171"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марта 1917 г. Телеграмма министра торговли и промышленности А. И. Коновалова председателю Особого совещания по обороне с просьбой об отпуске металла в распоряжение Совета съездов бакинских нефтепромышленников для предотвращения дальнейшего сокращения буровых работ на нефтяных промыслах.</w:t>
      </w:r>
    </w:p>
    <w:p w14:paraId="5BEFA88D"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47-48</w:t>
      </w:r>
    </w:p>
    <w:p w14:paraId="14221486"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369, оп. 15, д. 14, л. 10. Подлинник.</w:t>
      </w:r>
    </w:p>
    <w:p w14:paraId="7A7A1059"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Ощущаемый ныне острый недостаток металла и металлических изделий особенно пагубно влияет на нефтяную промышленность.</w:t>
      </w:r>
    </w:p>
    <w:p w14:paraId="37D224F6"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настоящее время наблюдается небывалое и угрожающее по своим размерам сокращение буровых работ (по сравнению с 1913 г. бурение сократилось на 60%).</w:t>
      </w:r>
    </w:p>
    <w:p w14:paraId="13E0CA4F"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Указанное явление вызвано главным образом тем, что отпуск металла для нужд нефтяной промышленности за последнее время едва достигает 50% действительной и минимальной потребности в металле, причем в отношении сортового железа, особенно необходимого для работ по добыче минерального топлива, степень фактического удовлетворения еще более резко понизилась.</w:t>
      </w:r>
    </w:p>
    <w:p w14:paraId="31BE037B"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Согласно сведениям Совета съездов бакинских нефтепромышленников, при минимальной потребности нефтяной промышленности в 600 тыс. пуд. металла ежемесячно было разрешено включить в программу прокатки в ноябре минувшего года 323 тыс. пуд. и декабре минувшего года 285 тыс. пуд. и фактически прокатано в ноябре 263 тыс. пуд., из коих сортового железа 35 тыс. пуд., и в декабре — 266 тыс. пуд., из коих сорто-вого железа 31 тыс. пуд.</w:t>
      </w:r>
    </w:p>
    <w:p w14:paraId="619843CC"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Дальнейшее промедление в снабжении нефтяной промышленности необходимым количеством металла угрожает в ближайшем будущем значительным сокращением добычи нефти, что неминуемо вызовет острый нефтяной голод.</w:t>
      </w:r>
    </w:p>
    <w:p w14:paraId="296DD934"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сего и во избежание неисчислимых для всей обороны страны бедствий имею честь просить Вас, милостивый государь, не отказать в распоряжении к тому, чтобы в возможно скорейшем времени было отпущено в распоряжение Совета съезда бакинских нефтепромышленников 600 тыс.пуд. металла для удовлетворения неотложных нужд нефтяной промышленности и на будущее время отпускалось ежемесячно такое же количество металла.</w:t>
      </w:r>
    </w:p>
    <w:p w14:paraId="76326F89"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 последующем по сему прошу меня уведомить.</w:t>
      </w:r>
    </w:p>
    <w:p w14:paraId="07EDDE33"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Министр торговли и промышленности</w:t>
      </w:r>
    </w:p>
    <w:p w14:paraId="4B71EEB8"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Коновалов.</w:t>
      </w:r>
    </w:p>
    <w:p w14:paraId="6CDFD86A" w14:textId="77777777" w:rsidR="00C43DB9"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62" w:anchor="_ftnref1" w:history="1">
        <w:r w:rsidR="00C43DB9" w:rsidRPr="002F2FDF">
          <w:rPr>
            <w:rFonts w:ascii="Times New Roman" w:hAnsi="Times New Roman" w:cs="Times New Roman"/>
            <w:color w:val="000000" w:themeColor="text1"/>
            <w:kern w:val="2"/>
            <w:sz w:val="16"/>
            <w:szCs w:val="16"/>
          </w:rPr>
          <w:t>[1]</w:t>
        </w:r>
      </w:hyperlink>
      <w:r w:rsidR="00C43DB9" w:rsidRPr="002F2FDF">
        <w:rPr>
          <w:rFonts w:ascii="Times New Roman" w:hAnsi="Times New Roman" w:cs="Times New Roman"/>
          <w:color w:val="000000" w:themeColor="text1"/>
          <w:kern w:val="2"/>
          <w:sz w:val="16"/>
          <w:szCs w:val="16"/>
        </w:rPr>
        <w:t xml:space="preserve"> См. док 1937 вышел приказ НКОП № 367 (15709).</w:t>
      </w:r>
    </w:p>
    <w:p w14:paraId="627E56F6"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p>
    <w:p w14:paraId="23DB105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60E55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E3F0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 (23) марта -1917 русский военный летчик Гусев из 17-го корпусного авиаотряда с наблюдателем Лозовским вылетели ранним утром на "Моран-Парасоле" фотографировать германские позиции. Примерно через час после вылета на аэродром сообщили, что их самолет вступил в воздушный бой с "Альбатросом", после чего штопором упал на немецкой территории. Наши летчики сбросили немцам записки с просьбой сообщить о судьбе своих товарищей. </w:t>
      </w:r>
    </w:p>
    <w:p w14:paraId="599DD7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четвертый день с "Альбатроса" на передовые окопы русских сбросили вымпел с пакетом, в котором на немецком языке было написано: "Аппарат "Моран-Парасоль" типа L № 301 был сбит в воздушном бою 23 (10) марта в районе деревни Космичевки. Летчик мертв и похоронен нами на поле чести, наблюдатель ранен, находится в госпитале на пути к выздоровлению".</w:t>
      </w:r>
    </w:p>
    <w:p w14:paraId="174F5D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Впоследствии наблюдатель Лозовский вернулся на Родину и получил Георгия IV степени, так как "Альбатрос", с которым они с Гусевым вели свой последний воздушный бой, также упал.</w:t>
      </w:r>
    </w:p>
    <w:p w14:paraId="5AC47F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Летчик Гусев A.M., окончивший в 1916 г. Севастопольскую школу авиаторов и погибший 23-х лет, также был удостоен Георгия IV степени. Незадолго до своей гибели, 12 марта (27 февраля), он, летая с наблюдателем Валлейко на своем "Моране", сбил одноместный германский истребитель.</w:t>
      </w:r>
    </w:p>
    <w:p w14:paraId="3F50C2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результате успешного действия союзных войск появилась возможность перебросить русские авиаотряды с Са- лоникского аэродрома в Южную Сербию, на аэродром под городом Монастырь, где, летая, в основном, на самолетах "Вуазен", они вели армейскую разведку, бомбометание, корректирование артогня.</w:t>
      </w:r>
    </w:p>
    <w:p w14:paraId="183C2B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Русскими авиаразведчиками было вскрыто обходное движение противника в стык между австрийским и болгарско-македонским фронтами (11999).</w:t>
      </w:r>
    </w:p>
    <w:p w14:paraId="576DA5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75AB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марта 1917 оперативная группа в составе трех гидрокрейсеров (имевших всего 10 летающих ло</w:t>
      </w:r>
      <w:r w:rsidRPr="002F2FDF">
        <w:rPr>
          <w:rFonts w:ascii="Times New Roman" w:hAnsi="Times New Roman" w:cs="Times New Roman"/>
          <w:color w:val="000000" w:themeColor="text1"/>
          <w:kern w:val="2"/>
          <w:sz w:val="16"/>
          <w:szCs w:val="16"/>
        </w:rPr>
        <w:softHyphen/>
        <w:t>док!) в сопровождении трех эсминцевдействовала на ближних подходах к Босфору. С целью оказания им эффек</w:t>
      </w:r>
      <w:r w:rsidRPr="002F2FDF">
        <w:rPr>
          <w:rFonts w:ascii="Times New Roman" w:hAnsi="Times New Roman" w:cs="Times New Roman"/>
          <w:color w:val="000000" w:themeColor="text1"/>
          <w:kern w:val="2"/>
          <w:sz w:val="16"/>
          <w:szCs w:val="16"/>
        </w:rPr>
        <w:softHyphen/>
        <w:t>тивной поддержки в случае выхода в море давно стоявшего в ремонте линейного крейсера “Гебен” (“Явуз султан Селим”) несколько дальше находилась маневренная группа в составе линейного корабля “Императрица Екатерина Великая” (под флагом командующего флотом), крейсер “Память “Меркурия” и пара эсминцев (11283).</w:t>
      </w:r>
    </w:p>
    <w:p w14:paraId="514708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295FD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74F6E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CCE72F"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10 (23) марта 1917 По инициативе А.И.Коновалова Временным правительством была проведена акционерная реформа.</w:t>
      </w:r>
    </w:p>
    <w:p w14:paraId="28CDB53E"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10 марта 1917 г. Временное правительство приняло постановление, которое отменяло все законоположения, действовавшие ранее и ограничивавшие деятельность акционерных компаний.</w:t>
      </w:r>
    </w:p>
    <w:p w14:paraId="76AEC3B7"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Право утверждать и изменять уставы акционерных обществ было предоставлено министру торговли и промышленности. Чуть позже, постановлением от 22 марта 1917 г., было разрешено увеличение основного капитала акционерных обществ в пределах удвоенной первоначальной суммы. Если сумма была больше, то вопрос решался особым совещанием из представителей Министерства финансов, Министерства торговли и промышленности, Совета съездов представителей промышленности и торговли и Совета съездов представителей биржевой торговли и сельского хозяйства.</w:t>
      </w:r>
    </w:p>
    <w:p w14:paraId="29974C87"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результате к осени 1917 г. были учреждены 734 акционерных общества с уставным капиталом 1960 млн руб., что во много раз превышало показатели 1913 г. Несмотря на сложные политические условия, реформа имела положительный результат, продемонстрировав возможность продуктивного сочетания государственного регулирования и корпоративного управления." (20218).</w:t>
      </w:r>
    </w:p>
    <w:p w14:paraId="2C5F9310"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p>
    <w:p w14:paraId="2D4AA249" w14:textId="77777777" w:rsidR="00A37479" w:rsidRPr="002F2FDF" w:rsidRDefault="00A37479" w:rsidP="0083075A">
      <w:pPr>
        <w:pStyle w:val="ae"/>
        <w:spacing w:before="0" w:after="0"/>
        <w:jc w:val="both"/>
        <w:rPr>
          <w:color w:val="000000" w:themeColor="text1"/>
          <w:kern w:val="2"/>
          <w:sz w:val="16"/>
          <w:szCs w:val="16"/>
        </w:rPr>
      </w:pPr>
      <w:r w:rsidRPr="002F2FDF">
        <w:rPr>
          <w:color w:val="000000" w:themeColor="text1"/>
          <w:kern w:val="2"/>
          <w:sz w:val="16"/>
          <w:szCs w:val="16"/>
        </w:rPr>
        <w:t>10 (23) марта 1917 Временным правительством был упразднен Департамент полиции. Вместо него был учреждено «Временное Управление по делам общественной полиции и по обеспечению личной и имущественной безопасности граждан». В этот же день Центральный комитет совета рабочих и солдатских депутатов принял постановление, в котором установил свои главные задачи на ближайшее время:</w:t>
      </w:r>
    </w:p>
    <w:p w14:paraId="23408797" w14:textId="77777777" w:rsidR="00A37479" w:rsidRPr="002F2FDF" w:rsidRDefault="00A3747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Немедленное открытие переговоров с рабочими враждебных государств</w:t>
      </w:r>
    </w:p>
    <w:p w14:paraId="7D9E60C0" w14:textId="77777777" w:rsidR="00A37479" w:rsidRPr="002F2FDF" w:rsidRDefault="00A3747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Систематическое братание русских и неприятельских солдат на фронте</w:t>
      </w:r>
    </w:p>
    <w:p w14:paraId="3FF2AF18" w14:textId="77777777" w:rsidR="00A37479" w:rsidRPr="002F2FDF" w:rsidRDefault="00A3747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Демократизация армии</w:t>
      </w:r>
    </w:p>
    <w:p w14:paraId="5C34039C" w14:textId="77777777" w:rsidR="00A37479" w:rsidRPr="002F2FDF" w:rsidRDefault="00A3747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Отказ от всяких завоевательных планов (17045).</w:t>
      </w:r>
    </w:p>
    <w:p w14:paraId="527B53FC" w14:textId="77777777" w:rsidR="00A37479" w:rsidRPr="002F2FDF" w:rsidRDefault="00A3747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51BB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марта 1917 в Петрограде ввели 8 часовой рабочий день (1348,112).</w:t>
      </w:r>
    </w:p>
    <w:p w14:paraId="3AA5EA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1381DB"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10 (23) марта</w:t>
      </w:r>
      <w:r w:rsidRPr="002F2FDF">
        <w:rPr>
          <w:rFonts w:ascii="Times New Roman" w:hAnsi="Times New Roman" w:cs="Times New Roman"/>
          <w:color w:val="000000" w:themeColor="text1"/>
          <w:kern w:val="2"/>
          <w:sz w:val="16"/>
          <w:szCs w:val="16"/>
        </w:rPr>
        <w:t xml:space="preserve"> в 1917 году под нажимом Совета в Петрограде вводится 8-часовой рабочий день (15077).</w:t>
      </w:r>
    </w:p>
    <w:p w14:paraId="296952D3"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p>
    <w:p w14:paraId="489B3F32"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10 (23) марта</w:t>
      </w:r>
      <w:r w:rsidRPr="002F2FDF">
        <w:rPr>
          <w:rFonts w:ascii="Times New Roman" w:hAnsi="Times New Roman" w:cs="Times New Roman"/>
          <w:color w:val="000000" w:themeColor="text1"/>
          <w:kern w:val="2"/>
          <w:sz w:val="16"/>
          <w:szCs w:val="16"/>
        </w:rPr>
        <w:t xml:space="preserve"> в 1917 году в Петрограде введен 8-часовой рабочий день (15077).</w:t>
      </w:r>
    </w:p>
    <w:p w14:paraId="06D43324"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p>
    <w:p w14:paraId="15BA949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марта 1917 Англия выразила готовность принять у себя бывшего русского царя Николая II и его семью при условии оплаты расходов Временным правительством России (4962).</w:t>
      </w:r>
    </w:p>
    <w:p w14:paraId="31E42F2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F14555"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10 (23) марта</w:t>
      </w:r>
      <w:r w:rsidRPr="002F2FDF">
        <w:rPr>
          <w:rFonts w:ascii="Times New Roman" w:hAnsi="Times New Roman" w:cs="Times New Roman"/>
          <w:color w:val="000000" w:themeColor="text1"/>
          <w:kern w:val="2"/>
          <w:sz w:val="16"/>
          <w:szCs w:val="16"/>
        </w:rPr>
        <w:t xml:space="preserve"> в 1917 году Англия выразила готовность принять у себя бывшего русского царя Николая II и его семью при условии оплаты расходов Временным правительством России (15077).</w:t>
      </w:r>
    </w:p>
    <w:p w14:paraId="57FD8BC5"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p>
    <w:p w14:paraId="34E7DFC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E7FCB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A066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марта 1917 австрийский император Charles 1 выступил с мирным предложением к французскому президенту Пуанкаре (2100).</w:t>
      </w:r>
    </w:p>
    <w:p w14:paraId="6F8B77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6BDE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марта 1917 немцы начали обстрел Парижа и из 210 мм пушки выпустили 367 снарядов. Погибло 356 и ранено 620 чел.</w:t>
      </w:r>
    </w:p>
    <w:p w14:paraId="4939EF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4F53B57" w14:textId="77777777" w:rsidR="00366FBB" w:rsidRPr="002F2FDF" w:rsidRDefault="00366FB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0EF25AC4" w14:textId="77777777" w:rsidR="00366FBB" w:rsidRPr="002F2FDF" w:rsidRDefault="00366FB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BC5F0B"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11 (24) марта 1917 года.</w:t>
      </w:r>
    </w:p>
    <w:p w14:paraId="5A96FB31"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Копия </w:t>
      </w:r>
    </w:p>
    <w:p w14:paraId="6D2F6A9A"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Совершенно секретно </w:t>
      </w:r>
    </w:p>
    <w:p w14:paraId="4F19940D"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Журнал №  148  </w:t>
      </w:r>
    </w:p>
    <w:p w14:paraId="2351852D"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Особого Совещания для обсуждения и объединения мероприятий по обороне государства. </w:t>
      </w:r>
    </w:p>
    <w:p w14:paraId="096EC9A5"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11 марта 1917 года. </w:t>
      </w:r>
    </w:p>
    <w:p w14:paraId="7A3A7E8D"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Председательствовал сенатор  Н. П. Гарин. </w:t>
      </w:r>
    </w:p>
    <w:p w14:paraId="3115EF98"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Присутствовали: </w:t>
      </w:r>
    </w:p>
    <w:p w14:paraId="3195642D"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Государственного Совета  С. И.  Тимашев. </w:t>
      </w:r>
    </w:p>
    <w:p w14:paraId="4B30D08A"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В. И.  Тимирязев. </w:t>
      </w:r>
    </w:p>
    <w:p w14:paraId="2ABD0ED5"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граф С. А.  Толь. </w:t>
      </w:r>
    </w:p>
    <w:p w14:paraId="31EECCE8"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Ф. А. Иванов. </w:t>
      </w:r>
    </w:p>
    <w:p w14:paraId="3137BDB8"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И. А. Шебеко. </w:t>
      </w:r>
    </w:p>
    <w:p w14:paraId="427602BA"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князь А. Н. Лобанов-Ростовский. </w:t>
      </w:r>
    </w:p>
    <w:p w14:paraId="44536CF7"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Государственной Думы  А. А. Добровольский. </w:t>
      </w:r>
    </w:p>
    <w:p w14:paraId="4F881FF0"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Н. В.  Савич. </w:t>
      </w:r>
    </w:p>
    <w:p w14:paraId="343E1CB8"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Д. Н.  Сверчков. </w:t>
      </w:r>
    </w:p>
    <w:p w14:paraId="4DE09336"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.Д. Н.  Чихачев. </w:t>
      </w:r>
    </w:p>
    <w:p w14:paraId="3B7C6CB0"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Б. А. Энгельгардт. </w:t>
      </w:r>
    </w:p>
    <w:p w14:paraId="2F626F42"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П. Н. Крупенский. </w:t>
      </w:r>
    </w:p>
    <w:p w14:paraId="6E531037"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военного министерства: </w:t>
      </w:r>
    </w:p>
    <w:p w14:paraId="03A1F4A3"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 от инфантерии  . Д.  С. Шуваев. </w:t>
      </w:r>
    </w:p>
    <w:p w14:paraId="7732BEFE"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П. А.  Фролов. </w:t>
      </w:r>
    </w:p>
    <w:p w14:paraId="70D615CC"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Сенатор  . Н. П. Гарин. </w:t>
      </w:r>
    </w:p>
    <w:p w14:paraId="600F394E"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 от артиллерии  . А. А. Маниковский. </w:t>
      </w:r>
    </w:p>
    <w:p w14:paraId="43164B77"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Генерал-лейтенант  Г. Г. Милеант. </w:t>
      </w:r>
    </w:p>
    <w:p w14:paraId="4959DDCF"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Н. А. Бабиков. </w:t>
      </w:r>
    </w:p>
    <w:p w14:paraId="179F3647"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Н. И. Богатко. </w:t>
      </w:r>
    </w:p>
    <w:p w14:paraId="51F200BB"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морского министерства: </w:t>
      </w:r>
    </w:p>
    <w:p w14:paraId="4C12F5F3"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Вице-адмирал  .В. К. Гирс. </w:t>
      </w:r>
    </w:p>
    <w:p w14:paraId="0E725A53"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министерства финансов: </w:t>
      </w:r>
    </w:p>
    <w:p w14:paraId="53FFDCF8"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Тайный советник  .В. В. Кузьминский. </w:t>
      </w:r>
    </w:p>
    <w:p w14:paraId="19CD067D"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Действительный статский советник .П. М. Гришкевич-Трохимовский. </w:t>
      </w:r>
    </w:p>
    <w:p w14:paraId="697EAE91"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Государственного контроля: </w:t>
      </w:r>
    </w:p>
    <w:p w14:paraId="3BFBE39E"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Тайный советник. . М. И.  Скипетров. </w:t>
      </w:r>
    </w:p>
    <w:p w14:paraId="4957F04D"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министерства торговли и промышленности: </w:t>
      </w:r>
    </w:p>
    <w:p w14:paraId="4DAA93E3"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Коллежский советник . Д.  С.  Старынкевич. </w:t>
      </w:r>
    </w:p>
    <w:p w14:paraId="23F8441B"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министерства путей сообщения: </w:t>
      </w:r>
    </w:p>
    <w:p w14:paraId="06599515"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Коллежский асессор . Л. А.  Устругов. </w:t>
      </w:r>
    </w:p>
    <w:p w14:paraId="35B8EEDE"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Всероссийского земского союза: </w:t>
      </w:r>
    </w:p>
    <w:p w14:paraId="12B082E2"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Государственного Совета  барон в. в. Меллер-Закомельский. </w:t>
      </w:r>
    </w:p>
    <w:p w14:paraId="1899CF7A"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Всероссийского городского союза: </w:t>
      </w:r>
    </w:p>
    <w:p w14:paraId="5FB937B6"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главного комитета по снабжению армии  А. Г. Хрущов. </w:t>
      </w:r>
    </w:p>
    <w:p w14:paraId="5F9B2A64"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Профессор . А. И. Астров. </w:t>
      </w:r>
    </w:p>
    <w:p w14:paraId="5EB62008"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центрального военно-промышленного комитета: </w:t>
      </w:r>
    </w:p>
    <w:p w14:paraId="0BF7CDB8"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Действительный статский советник  Д.  С. Зернов. </w:t>
      </w:r>
    </w:p>
    <w:p w14:paraId="3C9BB428"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Горный инженер . П. П. Козакевич. </w:t>
      </w:r>
    </w:p>
    <w:p w14:paraId="3C5B31BB"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Особо приглашенные в заседание: </w:t>
      </w:r>
    </w:p>
    <w:p w14:paraId="118FAC8D"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Государственного Совета  Н.  Ф. фон Дитмар. </w:t>
      </w:r>
    </w:p>
    <w:p w14:paraId="4FDB59FD"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Генерал-лейтенант  .В. А. Лехович </w:t>
      </w:r>
    </w:p>
    <w:p w14:paraId="2D1824AA"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А. А. Якимович. </w:t>
      </w:r>
    </w:p>
    <w:p w14:paraId="12435ADD"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Н. И. Петровский. </w:t>
      </w:r>
    </w:p>
    <w:p w14:paraId="3D01803D"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В. Н. Ипатьев. </w:t>
      </w:r>
    </w:p>
    <w:p w14:paraId="7DA18796"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Генерал-майор . . А. А.  Саткевич. </w:t>
      </w:r>
    </w:p>
    <w:p w14:paraId="38DB871E"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А. А. Михельсон. </w:t>
      </w:r>
    </w:p>
    <w:p w14:paraId="58DB6D07"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Действительный статский советник  В. П. Литвинов-Фалинский. </w:t>
      </w:r>
    </w:p>
    <w:p w14:paraId="74F28B4B"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Отставной полковник . Н. Е. Понафидин. </w:t>
      </w:r>
    </w:p>
    <w:p w14:paraId="17D6AFB7"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Полковник . Д. В. Яковлев. </w:t>
      </w:r>
    </w:p>
    <w:p w14:paraId="221FAF83"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Товарищ председателя центрального  военно-промышленного комитета . Н. Н. Изнар. </w:t>
      </w:r>
    </w:p>
    <w:p w14:paraId="349CF8A0"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Инженер путей сообщения барон  Г. Х. Майдель. </w:t>
      </w:r>
    </w:p>
    <w:p w14:paraId="04FAE945"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Делопроизводитель Особого Совещания: </w:t>
      </w:r>
    </w:p>
    <w:p w14:paraId="28D3B90F"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Подполковник . С. И. Качалов. </w:t>
      </w:r>
    </w:p>
    <w:p w14:paraId="5D6F48BE"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  открытии  заседания  Совещание  заслушало  и  одобрило  доклады  подготовительной  комиссии  по  артиллерийским  вопросам:</w:t>
      </w:r>
    </w:p>
    <w:p w14:paraId="11468821"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об  изменении условий постановки главным по снабжению армии комитетом  Всероссийских земского и городского союзов серной и азотной кислоты;  </w:t>
      </w:r>
    </w:p>
    <w:p w14:paraId="59E10B11"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 выдаче Франко-Русскому обществу химических продуктов и взрывчатых веществ по заказу на поставку тринитроксилола аванса без обеспечения в размере 320  000 руб.; </w:t>
      </w:r>
    </w:p>
    <w:p w14:paraId="2972640B"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о выдаче Южнорусскому обществу для  выделки и продажи соды и других химических продуктов 100 000 руб. в  счет аванса по заказу 60  000 пудов пикриновой кислоты и </w:t>
      </w:r>
    </w:p>
    <w:p w14:paraId="2474BDCF"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 об утверждении   дополнительного   наряда   Ижорскому   заводу   на   изготовление  35 штук 89-м/м минометов системы названного завода и 18  000 ящиков  для укупорки мин, с выдачей аванса без обеспечения в размере 67 375 руб.  и 75 000 руб. в виде безвозвратного пособия на дополнительное оборудование завода. </w:t>
      </w:r>
    </w:p>
    <w:p w14:paraId="2DA27070"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Совещанием  был  заслушан  осведомительный  доклад  той  же  комиссии о снабжении армии бездымным порохом и взрывчатыми веществами на 1917 год. </w:t>
      </w:r>
    </w:p>
    <w:p w14:paraId="4BC0420B"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Рассмотрев сообщенные представителями главного артиллерийского  управления  данные,  комиссия  пришла  к  нижеследующим  заключениям. </w:t>
      </w:r>
    </w:p>
    <w:p w14:paraId="29B2732B"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деле снабжения русской армии порохом преобладающее значение  остается  по-прежнему  за  заграничными  заказами.  Полное  использование  существующих  оборудований  отечественных  заводов,  а  тем  более  дальнейшее их развитие встречает постоянные препятствия в общих экономических условиях страны. Что же касается взрывчатых веществ, то  потребность в них на 1917 год может быть покрыта при условии: а) правильного снабжения отечественных заводов сырьем, топливом и рабочею  силою, б) некоторого дальнейшего развития этих заводов согласно выработанному  плану  и  в)  размещения  дополнительных  заграничных  заказов, с обеспечением доставки заказанных предметов. Дополнительно к  докладу комиссии о снабжении армии взрывчатыми веществами председатель химического комитета при главном артиллерийском управлении  генерал-лейтенант В.  Н.  Ипатьев осведомил Совещание о затруднениях  в  области  снабжения  коксовым  углем  бензольных  заводов,  имеющих  печи с рекуперацией. Принимая во внимание первостепенную важность,  с точки зрения интересов обороны, безостановочной и успешной работы  бензольных заводов, на производстве коих основано все дело изготовления взрывчатых веществ в России, генерал-лейтенант В.  Н.  Ипатьев полагал желательным безотлагательное принятие следующих мер: </w:t>
      </w:r>
    </w:p>
    <w:p w14:paraId="3DF903ED"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Необходимо  признать  все  потребное  для  нужд  бензольных  заводов количество коксового угля (ежемесячно до 23 миллионов пудов, из  коих  — 17 миллионов, потребляемых на местах, и 6 миллионов, нуждающихся  в  перевозке)  подлежащим  обязательной  поставке  на  коксовые  печи с рекуперацией, независимо от удовлетворения потребностей других потребителей, — подобно тому, как это установлено в отношении поставки угля для нужд морского ведомства. </w:t>
      </w:r>
    </w:p>
    <w:p w14:paraId="151863A2"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Необходимо установить, по соглашению с главноуполномоченным  по снабжению донецким топливом потребителей страны, твердый план  снабжения коксово-бензольных заводов коксовым углем. </w:t>
      </w:r>
    </w:p>
    <w:p w14:paraId="63B2EABB"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3)  По  установлении  плана  снабжения  коксово-бензольных  заводов  коксовым  углем  таковой  план  должен  быть  незамедлительно  сообщен  Совету Съездов горнопромышленников юга России на предмет согласования с ним деятельности металлургических заводов. </w:t>
      </w:r>
    </w:p>
    <w:p w14:paraId="61E40091"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обмене  мнениями  Совещание  высказало  пожелание  о  возможно  скорейшем осуществлении намеченных генерал-лейтенантом В. Н. Ипатьевым мероприятий. </w:t>
      </w:r>
    </w:p>
    <w:p w14:paraId="02F6A574"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Далее  Совещание  заслушало  и  одобрило  доклады  подготовительной  комиссии  по  общим  вопросам104  о  заготовлении  главным  военно-техническим  управлением,  по  срокам  с  1  января  1917  года  по  1  июля  1918  года: а) позиционного имущества, б) шанцевого и мастерского инженерного имущества, в) мостового и обозного инженерного имущества и г) дополнительного военно-технического имущества. </w:t>
      </w:r>
    </w:p>
    <w:p w14:paraId="4B360066"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По  заслушанному  засим  докладу  реквизиционной  комиссии  об  отмене постановления об аресте станков, не взятых в установленный срок  из  таможен,  Совещание  признало  более  правильным,  не  отменяя  этой  меры  окончательно,  приостановить  ее  применение  впредь  до  Особого  распоряжения. </w:t>
      </w:r>
    </w:p>
    <w:p w14:paraId="71BA17CE"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Согласно докладу той же комиссии105, Совещание признало необходимым  предоставить  председателям  заводских  совещаний  произвести  в пределах подведомственного каждому из них района реквизиции эвакуированных бесхозяйных железнодорожных грузов, необходимых для  нужд заводов, работающих на оборону,  — с тем чтобы при таковых реквизициях: </w:t>
      </w:r>
    </w:p>
    <w:p w14:paraId="0B302703"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были приняты во внимание потребности железных дорог,  б) эвакуированные земледельческие машины, находящиеся на станциях,  были переданы в распоряжение министерства земледелия, в) при передаче реквизированных предметов различным предприятиям и учреждениям требующиеся по закону формальности не задерживали скорейшего использования этих предметов. При этом Совещание одобрило предложение члена Государственной Думы А.  А.  Добровольского о поручении  председателям заводских совещаний озаботиться по мере возможности  ремонтом  тех  из  числа  реквизируемых  предметов,  которые  в  таковом  нуждаются. </w:t>
      </w:r>
    </w:p>
    <w:p w14:paraId="5155443A"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После сего член Государственной Думы П.  Н.  Крупенский выступил  с   внеочередным   заявлением   о   необходимости   безотлагательно   обеспечить  успешное  обсеменение  полей  в  настоящем  весеннем  периоде  посредством  выдачи  денежных  ссуд  землевладельцам  и  оказания  им  всемерного содействия со стороны правительства. Заслушав заявление  П. Н. Крупенского, Совещание выразило пожелание о том, чтобы членам  Совещания были сообщены сведения о мерах, принимаемых правительством к предупреждению крайне нежелательного сокращения посевной  площади. </w:t>
      </w:r>
    </w:p>
    <w:p w14:paraId="4F27505E"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заключение, по просьбе члена Государственной Думы А. А. Добровольского, товарищ министра путей сообщения Л. А. Устругов ознакомил  Совещание с данными о средней погрузке продовольственных грузов для  фронта, Петрограда и Москвы за первые десять дней марта месяца. </w:t>
      </w:r>
    </w:p>
    <w:p w14:paraId="3243042F"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Подлинный [журнал] за надлежащими подписями. </w:t>
      </w:r>
    </w:p>
    <w:p w14:paraId="50045757"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51977D65"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Утвердить  доклады  подготовительной  комиссии  по  артиллерийским вопросам: </w:t>
      </w:r>
    </w:p>
    <w:p w14:paraId="3BB26EE6"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об изменении условий поставки главным по снабжению армии комитетом Всероссийских земского и городского союзов серной и азотной  кислоты; </w:t>
      </w:r>
    </w:p>
    <w:p w14:paraId="475533EA"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  выдаче  Франко-Русскому  обществу  химических  продуктов  и  взрывчатых веществ, по заказу на поставку тринитроксилола, аванса без  обеспечения в размере трехсот двадцати тысяч (320 000) руб., в два срока,  —  с  тем  чтобы  временно,  впредь  до  пересмотра  цены,  считать  цену  продукта по 8 руб. за пуд, а по выяснении цены заключить контракт на  поставку  80  000  пудов  тринитроксилола  на  основаниях,  изложенных  в  ставлении главного артиллерийского управления от 7  февраля с. г. за № 25422; </w:t>
      </w:r>
    </w:p>
    <w:p w14:paraId="2AB560FD"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об  утверждении  дополнительного  наряда  Ижорскому  заводу  на  изготовление 35 штук 89 м/м минометов системы названного завода и  18  000  ящиков  для  укупорки  мин  на  основаниях,  изложенных  в  представлении главного артиллерийского управления от 18  февраля с. г. за  № 32155, с выдачей аванса без обеспечения в размере шестидесяти семи  тысяч трехсот семидесяти пяти (67  375 руб.), в два срока, и семидесяти  пяти тысяч (75  000 руб.)  — в виде безвозвратного пособия на дополнительное оборудование завода. </w:t>
      </w:r>
    </w:p>
    <w:p w14:paraId="0B56A09B"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Утвердить  доклады  подготовительной  комиссии  по  общим  вопросам  о  заготовлении  главным  военно-техническим  управлением  по  срокам с 1 января 1917 года по 1  июля 1918 года: а) позиционного имущества, </w:t>
      </w:r>
    </w:p>
    <w:p w14:paraId="155C13DB"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шанцевого и мастерского инженерного имущества, в) мостового и обозного инженерного имущества и г) дополнительного военно-технического имущества. </w:t>
      </w:r>
    </w:p>
    <w:p w14:paraId="08727F38"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3) Согласно докладу реквизиционной комиссии, предоставить председателям заводских совещаний произвести в пределах подведомственного каждому из них района реквизиции эвакуированных бесхозяйных  железнодорожных грузов, необходимых для нужд заводов, работающих  на оборону, — с тем чтобы при таковых реквизициях: а) были приняты во  внимание потребности железных дорог, б) эвакуированные земледельческие машины, находящиеся на станциях, были переданы в распоряжение  министерства земледелия, в) при передаче реквизированных предметов  различным предприятиям и учреждениям требующиеся по закону формальности не задерживали скорейшего использования этих предметов. </w:t>
      </w:r>
    </w:p>
    <w:p w14:paraId="2B8745D6"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Поручить председателям заводских совещаний озаботиться по мере  возможности ремонтом тех из числа реквизируемых предметов, которые  в тако[во]м нуждаются. </w:t>
      </w:r>
    </w:p>
    <w:p w14:paraId="7F8EE8F2"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4) Временно, впредь до Особого распоряжения, приостановить применение ареста станков, не взятых в установленный срок из таможен. </w:t>
      </w:r>
    </w:p>
    <w:p w14:paraId="288B93B0"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5) Сообщить Председателю Особого Совещания по топливу суждения  Совещания  о  необходимости  осуществления  ряда  мер,  направленных к обеспечению коксовым углем бензольных заводов. </w:t>
      </w:r>
    </w:p>
    <w:p w14:paraId="0DAD7F83"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6)  Просить  министра  земледелия  осведомить  Совещание  о  мерах,  принимаемых правительством к предупреждению сокращения посевной  площади. </w:t>
      </w:r>
    </w:p>
    <w:p w14:paraId="54017D62"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  председателя  Особого  Совещания  генерал  от  артиллерии  Маниковский </w:t>
      </w:r>
    </w:p>
    <w:p w14:paraId="58340CAA"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дополнительно к резолюции по журналу Особого Совещания от  11 марта 1917 года за №  148 решил: </w:t>
      </w:r>
    </w:p>
    <w:p w14:paraId="5FD6BD75"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7) Утвердить доклад подготовительной комиссии по артиллерийским  вопросам      о выдаче Южнорусскому обществу для выделки и продажи  соды и других химических продуктов, в распоряжение правительственного  директора  или  его  заместителя  на  заводе  названного  общества,  —  ста тысяч (100 000 руб.) в счет аванса по заказу 60 000 пудов пикриновой  кислоты. </w:t>
      </w:r>
    </w:p>
    <w:p w14:paraId="4C2F1A54"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Сверял: делопроизводитель, подполковник С. Качалов (20685). </w:t>
      </w:r>
    </w:p>
    <w:p w14:paraId="4611E6C6"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p>
    <w:p w14:paraId="4EACA30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FF816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81DC6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марта 1917 главнокомандующим русской армии назначен генерал Михаил Алексеев (4962).</w:t>
      </w:r>
    </w:p>
    <w:p w14:paraId="3FF0E56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9CC096"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11 (24) марта</w:t>
      </w:r>
      <w:r w:rsidRPr="002F2FDF">
        <w:rPr>
          <w:rFonts w:ascii="Times New Roman" w:hAnsi="Times New Roman" w:cs="Times New Roman"/>
          <w:color w:val="000000" w:themeColor="text1"/>
          <w:kern w:val="2"/>
          <w:sz w:val="16"/>
          <w:szCs w:val="16"/>
        </w:rPr>
        <w:t xml:space="preserve"> в 1917 году на должность Верховного Главнокомандующего русской армией выдвинут генерал М.А.Алексеев. Царь Николай II одновременно с отречением подписал указ о назначении Верховным великого князя Николая Николаевича, но с этим не согласилось Временное правительство. Кандидатуру Алексеева выдвинул военный министр Гучков, против чего возражала Государственная Дума. Пришлось прибегнуть к опросу старших генералов, и 1 апреля назначение состоялось, но вскоре Алексеев был заменен генералом Брусиловым (15078).</w:t>
      </w:r>
    </w:p>
    <w:p w14:paraId="7395081D"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p>
    <w:p w14:paraId="3A51BB6E" w14:textId="5A6B8094" w:rsidR="00D37B8A" w:rsidRPr="00FB4F67" w:rsidRDefault="00D37B8A"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11 (</w:t>
      </w:r>
      <w:r w:rsidRPr="00FB4F67">
        <w:rPr>
          <w:rFonts w:ascii="Times New Roman" w:hAnsi="Times New Roman" w:cs="Times New Roman"/>
          <w:color w:val="0070C0"/>
          <w:sz w:val="16"/>
          <w:szCs w:val="16"/>
        </w:rPr>
        <w:t>24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марта 1917 г. личный состав 37-го корпусного воздухоплавательного отряда пулеметным огнем подбил неприятельский аппарат, его экипаж при приземлении взят в плен (23405).</w:t>
      </w:r>
    </w:p>
    <w:p w14:paraId="6C904A31" w14:textId="77777777" w:rsidR="00D37B8A" w:rsidRPr="00FB4F67" w:rsidRDefault="00D37B8A" w:rsidP="0083075A">
      <w:pPr>
        <w:spacing w:after="0" w:line="240" w:lineRule="auto"/>
        <w:jc w:val="both"/>
        <w:rPr>
          <w:rFonts w:ascii="Times New Roman" w:hAnsi="Times New Roman" w:cs="Times New Roman"/>
          <w:color w:val="0070C0"/>
          <w:sz w:val="16"/>
          <w:szCs w:val="16"/>
        </w:rPr>
      </w:pPr>
    </w:p>
    <w:p w14:paraId="376547A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379D8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73D8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11 </w:t>
      </w:r>
      <w:r w:rsidR="001B6ED4" w:rsidRPr="002F2FDF">
        <w:rPr>
          <w:rFonts w:ascii="Times New Roman" w:hAnsi="Times New Roman" w:cs="Times New Roman"/>
          <w:color w:val="000000" w:themeColor="text1"/>
          <w:kern w:val="2"/>
          <w:sz w:val="16"/>
          <w:szCs w:val="16"/>
        </w:rPr>
        <w:t xml:space="preserve">(24) </w:t>
      </w:r>
      <w:r w:rsidRPr="002F2FDF">
        <w:rPr>
          <w:rFonts w:ascii="Times New Roman" w:hAnsi="Times New Roman" w:cs="Times New Roman"/>
          <w:color w:val="000000" w:themeColor="text1"/>
          <w:kern w:val="2"/>
          <w:sz w:val="16"/>
          <w:szCs w:val="16"/>
        </w:rPr>
        <w:t>марта 1917 Около Парголово сожжен гроб с останками Распутина (11145).</w:t>
      </w:r>
    </w:p>
    <w:p w14:paraId="5B3563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43EA2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0A7A92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5C3B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марта 1917 Англия, Франция, Италия признали Временное правительство России (1348,114).</w:t>
      </w:r>
    </w:p>
    <w:p w14:paraId="3C6FB4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7F359D"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11 (24) марта</w:t>
      </w:r>
      <w:r w:rsidRPr="002F2FDF">
        <w:rPr>
          <w:rFonts w:ascii="Times New Roman" w:hAnsi="Times New Roman" w:cs="Times New Roman"/>
          <w:color w:val="000000" w:themeColor="text1"/>
          <w:kern w:val="2"/>
          <w:sz w:val="16"/>
          <w:szCs w:val="16"/>
        </w:rPr>
        <w:t xml:space="preserve"> в 1917 году о признании Временного правительства заявляют Франция, Великобритания и Италия (15078).</w:t>
      </w:r>
    </w:p>
    <w:p w14:paraId="3F388A7F"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p>
    <w:p w14:paraId="77260865" w14:textId="77777777" w:rsidR="008E6FB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91CF7DE" w14:textId="77777777" w:rsidR="008E6FB1" w:rsidRPr="002F2FDF" w:rsidRDefault="008E6FB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5DA5CA"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11 (24) марта</w:t>
      </w:r>
      <w:r w:rsidRPr="002F2FDF">
        <w:rPr>
          <w:rFonts w:ascii="Times New Roman" w:hAnsi="Times New Roman" w:cs="Times New Roman"/>
          <w:color w:val="000000" w:themeColor="text1"/>
          <w:kern w:val="2"/>
          <w:sz w:val="16"/>
          <w:szCs w:val="16"/>
        </w:rPr>
        <w:t xml:space="preserve"> в 1917 году немецкий ас барон Манфред фон Рихтгофен на истребителе «Halberstadt D II» в воздушном бою сбил самолёт «Nieuport XVII», выполнявшего английскую экскортную миссию, одержав свою 31ю победу. Лётчик лейтенант Кристоф Гай Гилберт погиб (15078).</w:t>
      </w:r>
    </w:p>
    <w:p w14:paraId="1EADFB52"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p>
    <w:p w14:paraId="138F307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742F7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0FAC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марта 1917 состоялся первый полет учебного самолета Пороховщиков-4 (2668).</w:t>
      </w:r>
    </w:p>
    <w:p w14:paraId="774BC4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B8CAC0"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12 (25) марта</w:t>
      </w:r>
      <w:r w:rsidRPr="002F2FDF">
        <w:rPr>
          <w:rFonts w:ascii="Times New Roman" w:hAnsi="Times New Roman" w:cs="Times New Roman"/>
          <w:color w:val="000000" w:themeColor="text1"/>
          <w:kern w:val="2"/>
          <w:sz w:val="16"/>
          <w:szCs w:val="16"/>
        </w:rPr>
        <w:t xml:space="preserve"> в 1917 году первый полёт учебно-тренировочного самолёта </w:t>
      </w:r>
      <w:hyperlink r:id="rId63" w:tgtFrame="_blank" w:history="1">
        <w:r w:rsidRPr="002F2FDF">
          <w:rPr>
            <w:rFonts w:ascii="Times New Roman" w:hAnsi="Times New Roman" w:cs="Times New Roman"/>
            <w:color w:val="000000" w:themeColor="text1"/>
            <w:kern w:val="2"/>
            <w:sz w:val="16"/>
            <w:szCs w:val="16"/>
          </w:rPr>
          <w:t xml:space="preserve">«П-IV» </w:t>
        </w:r>
      </w:hyperlink>
      <w:r w:rsidRPr="002F2FDF">
        <w:rPr>
          <w:rFonts w:ascii="Times New Roman" w:hAnsi="Times New Roman" w:cs="Times New Roman"/>
          <w:color w:val="000000" w:themeColor="text1"/>
          <w:kern w:val="2"/>
          <w:sz w:val="16"/>
          <w:szCs w:val="16"/>
        </w:rPr>
        <w:t>конструкции Пороховщикова. Особенностью «П-IV» являлась простота его сборки-разборки и регулировки, возможность отключения второго управления, а также установки различных ротативных двигателей мощностью 50, 60, 70 и 80 л.с. Гондола экипажа, с размещением ученика и инструктора друг за другом, вынесена вперед, двигатель с толкающим винтом (15066).</w:t>
      </w:r>
    </w:p>
    <w:p w14:paraId="3C46EC9C"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p>
    <w:p w14:paraId="07EFF3B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марта 1917 подготовительная комиссия по авиационным вопросам одобрила предложение УВВФ о построй</w:t>
      </w:r>
      <w:r w:rsidRPr="002F2FDF">
        <w:rPr>
          <w:rFonts w:ascii="Times New Roman" w:hAnsi="Times New Roman" w:cs="Times New Roman"/>
          <w:color w:val="000000" w:themeColor="text1"/>
          <w:kern w:val="2"/>
          <w:sz w:val="16"/>
          <w:szCs w:val="16"/>
        </w:rPr>
        <w:softHyphen/>
        <w:t>ке в городе Херсоне сэмолетостроительного завода производи</w:t>
      </w:r>
      <w:r w:rsidRPr="002F2FDF">
        <w:rPr>
          <w:rFonts w:ascii="Times New Roman" w:hAnsi="Times New Roman" w:cs="Times New Roman"/>
          <w:color w:val="000000" w:themeColor="text1"/>
          <w:kern w:val="2"/>
          <w:sz w:val="16"/>
          <w:szCs w:val="16"/>
        </w:rPr>
        <w:softHyphen/>
        <w:t xml:space="preserve">тельностью 200 самолетов в год и моторно-механическвго завода производительностью 200 двигателей в год, а 31 марта оно было одобрено и </w:t>
      </w:r>
      <w:r w:rsidRPr="002F2FDF">
        <w:rPr>
          <w:rFonts w:ascii="Times New Roman" w:hAnsi="Times New Roman" w:cs="Times New Roman"/>
          <w:color w:val="000000" w:themeColor="text1"/>
          <w:kern w:val="2"/>
          <w:sz w:val="16"/>
          <w:szCs w:val="16"/>
        </w:rPr>
        <w:lastRenderedPageBreak/>
        <w:t>Исполнительной комиссией при военном министре. Туда же ре</w:t>
      </w:r>
      <w:r w:rsidRPr="002F2FDF">
        <w:rPr>
          <w:rFonts w:ascii="Times New Roman" w:hAnsi="Times New Roman" w:cs="Times New Roman"/>
          <w:color w:val="000000" w:themeColor="text1"/>
          <w:kern w:val="2"/>
          <w:sz w:val="16"/>
          <w:szCs w:val="16"/>
        </w:rPr>
        <w:softHyphen/>
        <w:t>шено было перевести и Главный аэродром. Заводы построены не были. (ЦГВИА. ф.493, оп.6, д. 11, л.127).</w:t>
      </w:r>
    </w:p>
    <w:p w14:paraId="1B66760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CB82C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E64CC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0C23F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марта 1917 при Всероссийском ээроклубс по инициативе военного летчика прапорщика Павла Алексеевича Новикова сформирован "Комитет летчиков-солдат и авиационных моторис</w:t>
      </w:r>
      <w:r w:rsidRPr="002F2FDF">
        <w:rPr>
          <w:rFonts w:ascii="Times New Roman" w:hAnsi="Times New Roman" w:cs="Times New Roman"/>
          <w:color w:val="000000" w:themeColor="text1"/>
          <w:kern w:val="2"/>
          <w:sz w:val="16"/>
          <w:szCs w:val="16"/>
        </w:rPr>
        <w:softHyphen/>
        <w:t>тов Обновленной России". Комитет ставил себе целью прове</w:t>
      </w:r>
      <w:r w:rsidRPr="002F2FDF">
        <w:rPr>
          <w:rFonts w:ascii="Times New Roman" w:hAnsi="Times New Roman" w:cs="Times New Roman"/>
          <w:color w:val="000000" w:themeColor="text1"/>
          <w:kern w:val="2"/>
          <w:sz w:val="16"/>
          <w:szCs w:val="16"/>
        </w:rPr>
        <w:softHyphen/>
        <w:t>дение реформ в воздушном флоте в интересах летчиков-соддат и авиационных мотористов, взял на себя инициативу созыва Всероссийского съезда летчиков-солдат и авиационных моторис</w:t>
      </w:r>
      <w:r w:rsidRPr="002F2FDF">
        <w:rPr>
          <w:rFonts w:ascii="Times New Roman" w:hAnsi="Times New Roman" w:cs="Times New Roman"/>
          <w:color w:val="000000" w:themeColor="text1"/>
          <w:kern w:val="2"/>
          <w:sz w:val="16"/>
          <w:szCs w:val="16"/>
        </w:rPr>
        <w:softHyphen/>
        <w:t xml:space="preserve">тов, но в то же время стоял за продолжение войны </w:t>
      </w:r>
      <w:r w:rsidRPr="002F2FDF">
        <w:rPr>
          <w:rFonts w:ascii="Times New Roman" w:hAnsi="Times New Roman" w:cs="Times New Roman"/>
          <w:color w:val="000000" w:themeColor="text1"/>
          <w:kern w:val="2"/>
          <w:sz w:val="16"/>
          <w:szCs w:val="16"/>
          <w:vertAlign w:val="superscript"/>
        </w:rPr>
        <w:t>п</w:t>
      </w:r>
      <w:r w:rsidRPr="002F2FDF">
        <w:rPr>
          <w:rFonts w:ascii="Times New Roman" w:hAnsi="Times New Roman" w:cs="Times New Roman"/>
          <w:color w:val="000000" w:themeColor="text1"/>
          <w:kern w:val="2"/>
          <w:sz w:val="16"/>
          <w:szCs w:val="16"/>
        </w:rPr>
        <w:t>до побед</w:t>
      </w:r>
      <w:r w:rsidRPr="002F2FDF">
        <w:rPr>
          <w:rFonts w:ascii="Times New Roman" w:hAnsi="Times New Roman" w:cs="Times New Roman"/>
          <w:color w:val="000000" w:themeColor="text1"/>
          <w:kern w:val="2"/>
          <w:sz w:val="16"/>
          <w:szCs w:val="16"/>
        </w:rPr>
        <w:softHyphen/>
        <w:t>ного конца". Комитет выпустил "Вестник л&amp;тчиков и авиацион</w:t>
      </w:r>
      <w:r w:rsidRPr="002F2FDF">
        <w:rPr>
          <w:rFonts w:ascii="Times New Roman" w:hAnsi="Times New Roman" w:cs="Times New Roman"/>
          <w:color w:val="000000" w:themeColor="text1"/>
          <w:kern w:val="2"/>
          <w:sz w:val="16"/>
          <w:szCs w:val="16"/>
        </w:rPr>
        <w:softHyphen/>
        <w:t>ных мотористов Обновленной России", где изложил свою про</w:t>
      </w:r>
      <w:r w:rsidRPr="002F2FDF">
        <w:rPr>
          <w:rFonts w:ascii="Times New Roman" w:hAnsi="Times New Roman" w:cs="Times New Roman"/>
          <w:color w:val="000000" w:themeColor="text1"/>
          <w:kern w:val="2"/>
          <w:sz w:val="16"/>
          <w:szCs w:val="16"/>
        </w:rPr>
        <w:softHyphen/>
        <w:t>грамму.</w:t>
      </w:r>
    </w:p>
    <w:p w14:paraId="48CDB4B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045FA2" w14:textId="77777777" w:rsidR="00E047D9" w:rsidRDefault="00E047D9"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12 </w:t>
      </w:r>
      <w:r>
        <w:rPr>
          <w:rFonts w:ascii="Times New Roman" w:hAnsi="Times New Roman" w:cs="Times New Roman"/>
          <w:color w:val="0070C0"/>
          <w:sz w:val="16"/>
          <w:szCs w:val="16"/>
        </w:rPr>
        <w:t xml:space="preserve">(25) </w:t>
      </w:r>
      <w:r w:rsidRPr="00815ED5">
        <w:rPr>
          <w:rFonts w:ascii="Times New Roman" w:hAnsi="Times New Roman" w:cs="Times New Roman"/>
          <w:color w:val="0070C0"/>
          <w:sz w:val="16"/>
          <w:szCs w:val="16"/>
        </w:rPr>
        <w:t>марта</w:t>
      </w:r>
      <w:r>
        <w:rPr>
          <w:rFonts w:ascii="Times New Roman" w:hAnsi="Times New Roman" w:cs="Times New Roman"/>
          <w:color w:val="0070C0"/>
          <w:sz w:val="16"/>
          <w:szCs w:val="16"/>
        </w:rPr>
        <w:t xml:space="preserve">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815ED5">
        <w:rPr>
          <w:rFonts w:ascii="Times New Roman" w:hAnsi="Times New Roman" w:cs="Times New Roman"/>
          <w:color w:val="0070C0"/>
          <w:sz w:val="16"/>
          <w:szCs w:val="16"/>
        </w:rPr>
        <w:t>ри Всероссийском аэроклубе по инициативе военного лет</w:t>
      </w:r>
      <w:r>
        <w:rPr>
          <w:rFonts w:ascii="Times New Roman" w:hAnsi="Times New Roman" w:cs="Times New Roman"/>
          <w:color w:val="0070C0"/>
          <w:sz w:val="16"/>
          <w:szCs w:val="16"/>
        </w:rPr>
        <w:t>ч</w:t>
      </w:r>
      <w:r w:rsidRPr="00815ED5">
        <w:rPr>
          <w:rFonts w:ascii="Times New Roman" w:hAnsi="Times New Roman" w:cs="Times New Roman"/>
          <w:color w:val="0070C0"/>
          <w:sz w:val="16"/>
          <w:szCs w:val="16"/>
        </w:rPr>
        <w:t>ика прапорщика Павла Алексеевича Новикова сформировался "Комитет 4 летчиков-солдат и авиационных мотористов Обновленной Росси</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К</w:t>
      </w:r>
      <w:r w:rsidRPr="00815ED5">
        <w:rPr>
          <w:rFonts w:ascii="Times New Roman" w:hAnsi="Times New Roman" w:cs="Times New Roman"/>
          <w:color w:val="0070C0"/>
          <w:sz w:val="16"/>
          <w:szCs w:val="16"/>
        </w:rPr>
        <w:t>омитет поставил себе целью проведение реформ в воздушном флоте в инте</w:t>
      </w:r>
      <w:r w:rsidRPr="00815ED5">
        <w:rPr>
          <w:rFonts w:ascii="Times New Roman" w:hAnsi="Times New Roman" w:cs="Times New Roman"/>
          <w:color w:val="0070C0"/>
          <w:sz w:val="16"/>
          <w:szCs w:val="16"/>
        </w:rPr>
        <w:softHyphen/>
        <w:t>ресах летчиков-солдат и авиационных мотористов, взял на себя иниц</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ативу созыва Всероссийского с"езда летчик</w:t>
      </w:r>
      <w:r>
        <w:rPr>
          <w:rFonts w:ascii="Times New Roman" w:hAnsi="Times New Roman" w:cs="Times New Roman"/>
          <w:color w:val="0070C0"/>
          <w:sz w:val="16"/>
          <w:szCs w:val="16"/>
        </w:rPr>
        <w:t>о</w:t>
      </w:r>
      <w:r w:rsidRPr="00815ED5">
        <w:rPr>
          <w:rFonts w:ascii="Times New Roman" w:hAnsi="Times New Roman" w:cs="Times New Roman"/>
          <w:color w:val="0070C0"/>
          <w:sz w:val="16"/>
          <w:szCs w:val="16"/>
        </w:rPr>
        <w:t>в-солдат и авиационных</w:t>
      </w:r>
      <w:r>
        <w:rPr>
          <w:rFonts w:ascii="Times New Roman" w:hAnsi="Times New Roman" w:cs="Times New Roman"/>
          <w:color w:val="0070C0"/>
          <w:sz w:val="16"/>
          <w:szCs w:val="16"/>
        </w:rPr>
        <w:t xml:space="preserve"> мотористов, но</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 то же</w:t>
      </w:r>
      <w:r w:rsidRPr="00815ED5">
        <w:rPr>
          <w:rFonts w:ascii="Times New Roman" w:hAnsi="Times New Roman" w:cs="Times New Roman"/>
          <w:color w:val="0070C0"/>
          <w:sz w:val="16"/>
          <w:szCs w:val="16"/>
        </w:rPr>
        <w:t xml:space="preserve"> время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тоял за продолжение войны "по победного конца".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Комитет выпустил «Вестник летчиков и авиационных мотористов обновленной России",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где изложил свою программу</w:t>
      </w:r>
      <w:r>
        <w:rPr>
          <w:rFonts w:ascii="Times New Roman" w:hAnsi="Times New Roman" w:cs="Times New Roman"/>
          <w:color w:val="0070C0"/>
          <w:sz w:val="16"/>
          <w:szCs w:val="16"/>
        </w:rPr>
        <w:t xml:space="preserve"> (23320)</w:t>
      </w:r>
      <w:r w:rsidRPr="00815ED5">
        <w:rPr>
          <w:rFonts w:ascii="Times New Roman" w:hAnsi="Times New Roman" w:cs="Times New Roman"/>
          <w:color w:val="0070C0"/>
          <w:sz w:val="16"/>
          <w:szCs w:val="16"/>
        </w:rPr>
        <w:t>.</w:t>
      </w:r>
    </w:p>
    <w:p w14:paraId="4DD5754F" w14:textId="77777777" w:rsidR="00E047D9" w:rsidRPr="00815ED5" w:rsidRDefault="00E047D9" w:rsidP="0083075A">
      <w:pPr>
        <w:spacing w:after="0" w:line="240" w:lineRule="auto"/>
        <w:jc w:val="both"/>
        <w:rPr>
          <w:rFonts w:ascii="Times New Roman" w:hAnsi="Times New Roman" w:cs="Times New Roman"/>
          <w:color w:val="0070C0"/>
          <w:sz w:val="16"/>
          <w:szCs w:val="16"/>
        </w:rPr>
      </w:pPr>
    </w:p>
    <w:p w14:paraId="169BC55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марта 1917, переждав сутки ненастную погоду и сильное волнение моря, гидрокрейсеры дважды выполняли поставленные за</w:t>
      </w:r>
      <w:r w:rsidRPr="002F2FDF">
        <w:rPr>
          <w:rFonts w:ascii="Times New Roman" w:hAnsi="Times New Roman" w:cs="Times New Roman"/>
          <w:color w:val="000000" w:themeColor="text1"/>
          <w:kern w:val="2"/>
          <w:sz w:val="16"/>
          <w:szCs w:val="16"/>
        </w:rPr>
        <w:softHyphen/>
        <w:t>дачи: в 11.00 и 13.30 в воздухе находились 12 и 11 летающих лодок. Две трети из них выполняли задачи фоторазведки воен</w:t>
      </w:r>
      <w:r w:rsidRPr="002F2FDF">
        <w:rPr>
          <w:rFonts w:ascii="Times New Roman" w:hAnsi="Times New Roman" w:cs="Times New Roman"/>
          <w:color w:val="000000" w:themeColor="text1"/>
          <w:kern w:val="2"/>
          <w:sz w:val="16"/>
          <w:szCs w:val="16"/>
        </w:rPr>
        <w:softHyphen/>
        <w:t>ных объектов, остальные барражировали над кораблями опе</w:t>
      </w:r>
      <w:r w:rsidRPr="002F2FDF">
        <w:rPr>
          <w:rFonts w:ascii="Times New Roman" w:hAnsi="Times New Roman" w:cs="Times New Roman"/>
          <w:color w:val="000000" w:themeColor="text1"/>
          <w:kern w:val="2"/>
          <w:sz w:val="16"/>
          <w:szCs w:val="16"/>
        </w:rPr>
        <w:softHyphen/>
        <w:t>ративной группы. По неизвестной причине из полета не возвра</w:t>
      </w:r>
      <w:r w:rsidRPr="002F2FDF">
        <w:rPr>
          <w:rFonts w:ascii="Times New Roman" w:hAnsi="Times New Roman" w:cs="Times New Roman"/>
          <w:color w:val="000000" w:themeColor="text1"/>
          <w:kern w:val="2"/>
          <w:sz w:val="16"/>
          <w:szCs w:val="16"/>
        </w:rPr>
        <w:softHyphen/>
        <w:t>тился экипаж лейтенанта Михаила Сергеева и унтер-офицера Семена Тура. Предпринятые другими экипажами поиски толку не дали. До 17.00 наши гидрокрейсеры и эсминцы отражали налеты 4 гидроаэропланов противника, безрезультатно сбросивших до полусотни малокалиберных бомб. Днем 14 марта та же опе</w:t>
      </w:r>
      <w:r w:rsidRPr="002F2FDF">
        <w:rPr>
          <w:rFonts w:ascii="Times New Roman" w:hAnsi="Times New Roman" w:cs="Times New Roman"/>
          <w:color w:val="000000" w:themeColor="text1"/>
          <w:kern w:val="2"/>
          <w:sz w:val="16"/>
          <w:szCs w:val="16"/>
        </w:rPr>
        <w:softHyphen/>
        <w:t>ративная группа возвратилась в Севастополь, а маневренная группа еще находилась вблизи пролива и обстреливала бере</w:t>
      </w:r>
      <w:r w:rsidRPr="002F2FDF">
        <w:rPr>
          <w:rFonts w:ascii="Times New Roman" w:hAnsi="Times New Roman" w:cs="Times New Roman"/>
          <w:color w:val="000000" w:themeColor="text1"/>
          <w:kern w:val="2"/>
          <w:sz w:val="16"/>
          <w:szCs w:val="16"/>
        </w:rPr>
        <w:softHyphen/>
        <w:t>говые укрепления. О приключениях пропавшего экипажа стало известно неде</w:t>
      </w:r>
      <w:r w:rsidRPr="002F2FDF">
        <w:rPr>
          <w:rFonts w:ascii="Times New Roman" w:hAnsi="Times New Roman" w:cs="Times New Roman"/>
          <w:color w:val="000000" w:themeColor="text1"/>
          <w:kern w:val="2"/>
          <w:sz w:val="16"/>
          <w:szCs w:val="16"/>
        </w:rPr>
        <w:softHyphen/>
        <w:t>лю спустя. Из-за пулевой пробоины в бензобаке летчики со</w:t>
      </w:r>
      <w:r w:rsidRPr="002F2FDF">
        <w:rPr>
          <w:rFonts w:ascii="Times New Roman" w:hAnsi="Times New Roman" w:cs="Times New Roman"/>
          <w:color w:val="000000" w:themeColor="text1"/>
          <w:kern w:val="2"/>
          <w:sz w:val="16"/>
          <w:szCs w:val="16"/>
        </w:rPr>
        <w:softHyphen/>
        <w:t>вершили вынужденную посадку у вражеского побережья, зах</w:t>
      </w:r>
      <w:r w:rsidRPr="002F2FDF">
        <w:rPr>
          <w:rFonts w:ascii="Times New Roman" w:hAnsi="Times New Roman" w:cs="Times New Roman"/>
          <w:color w:val="000000" w:themeColor="text1"/>
          <w:kern w:val="2"/>
          <w:sz w:val="16"/>
          <w:szCs w:val="16"/>
        </w:rPr>
        <w:softHyphen/>
        <w:t>ватили турецкую шхуну, установили на ней пулемет, снятый с аэроплана перед его затоплением. Затем новоявленные “море</w:t>
      </w:r>
      <w:r w:rsidRPr="002F2FDF">
        <w:rPr>
          <w:rFonts w:ascii="Times New Roman" w:hAnsi="Times New Roman" w:cs="Times New Roman"/>
          <w:color w:val="000000" w:themeColor="text1"/>
          <w:kern w:val="2"/>
          <w:sz w:val="16"/>
          <w:szCs w:val="16"/>
        </w:rPr>
        <w:softHyphen/>
        <w:t>ходы” под парусами пересекли Черное море и остановились у “родной” Джарылгачской косы, о чем в главную базу сооб</w:t>
      </w:r>
      <w:r w:rsidRPr="002F2FDF">
        <w:rPr>
          <w:rFonts w:ascii="Times New Roman" w:hAnsi="Times New Roman" w:cs="Times New Roman"/>
          <w:color w:val="000000" w:themeColor="text1"/>
          <w:kern w:val="2"/>
          <w:sz w:val="16"/>
          <w:szCs w:val="16"/>
        </w:rPr>
        <w:softHyphen/>
        <w:t>щил береговой пост (11283).</w:t>
      </w:r>
    </w:p>
    <w:p w14:paraId="70EDD4F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996FE3" w14:textId="734F3133" w:rsidR="00D37B8A" w:rsidRPr="00FB4F67" w:rsidRDefault="00D37B8A"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12 (</w:t>
      </w:r>
      <w:r w:rsidRPr="00FB4F67">
        <w:rPr>
          <w:rFonts w:ascii="Times New Roman" w:hAnsi="Times New Roman" w:cs="Times New Roman"/>
          <w:color w:val="0070C0"/>
          <w:sz w:val="16"/>
          <w:szCs w:val="16"/>
        </w:rPr>
        <w:t>25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марта 1917 г. в районе Сморгони русские зенитчики сбили германский самолет (23405).</w:t>
      </w:r>
    </w:p>
    <w:p w14:paraId="55665126" w14:textId="77777777" w:rsidR="00D37B8A" w:rsidRPr="00FB4F67" w:rsidRDefault="00D37B8A" w:rsidP="0083075A">
      <w:pPr>
        <w:spacing w:after="0" w:line="240" w:lineRule="auto"/>
        <w:jc w:val="both"/>
        <w:rPr>
          <w:rFonts w:ascii="Times New Roman" w:hAnsi="Times New Roman" w:cs="Times New Roman"/>
          <w:color w:val="0070C0"/>
          <w:sz w:val="16"/>
          <w:szCs w:val="16"/>
        </w:rPr>
      </w:pPr>
    </w:p>
    <w:p w14:paraId="3D6FA22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марта 1917 Черноморский флот приведен к присяге Временному правительству России (4962).</w:t>
      </w:r>
    </w:p>
    <w:p w14:paraId="7EACB04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F33BC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B4A27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E0E9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и 16 (25 и 29) марта 1917 собственность царской семьи была национализированы (1348,112) - перешли в собственность государства (3908,254).</w:t>
      </w:r>
    </w:p>
    <w:p w14:paraId="0D6B6C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3629FA"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12 (25) марта</w:t>
      </w:r>
      <w:r w:rsidRPr="002F2FDF">
        <w:rPr>
          <w:rFonts w:ascii="Times New Roman" w:hAnsi="Times New Roman" w:cs="Times New Roman"/>
          <w:color w:val="000000" w:themeColor="text1"/>
          <w:kern w:val="2"/>
          <w:sz w:val="16"/>
          <w:szCs w:val="16"/>
        </w:rPr>
        <w:t xml:space="preserve"> в 1917 году императорская собственность переходит в распоряжение государства (15079).</w:t>
      </w:r>
    </w:p>
    <w:p w14:paraId="51F54DEF"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p>
    <w:p w14:paraId="4ABBBC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марта 1917 в Петроград из ссылки прибыли И.В.С. и Л.Б.Каменев (1348,84).</w:t>
      </w:r>
    </w:p>
    <w:p w14:paraId="1F3158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0A3B7D"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12 (25) марта</w:t>
      </w:r>
      <w:r w:rsidRPr="002F2FDF">
        <w:rPr>
          <w:rFonts w:ascii="Times New Roman" w:hAnsi="Times New Roman" w:cs="Times New Roman"/>
          <w:color w:val="000000" w:themeColor="text1"/>
          <w:kern w:val="2"/>
          <w:sz w:val="16"/>
          <w:szCs w:val="16"/>
        </w:rPr>
        <w:t xml:space="preserve"> в 1917 году в революционный Петроград из ссылки вернулся И.В.Сталин, который стал членом редколлегии «Правды» и Л.Б.Каменев (15079).</w:t>
      </w:r>
    </w:p>
    <w:p w14:paraId="7A99006D"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p>
    <w:p w14:paraId="5AB243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марта 1917 отменена смертная казнь (1348,84).</w:t>
      </w:r>
    </w:p>
    <w:p w14:paraId="03D50A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0B3662"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12 (25) марта</w:t>
      </w:r>
      <w:r w:rsidRPr="002F2FDF">
        <w:rPr>
          <w:rFonts w:ascii="Times New Roman" w:hAnsi="Times New Roman" w:cs="Times New Roman"/>
          <w:color w:val="000000" w:themeColor="text1"/>
          <w:kern w:val="2"/>
          <w:sz w:val="16"/>
          <w:szCs w:val="16"/>
        </w:rPr>
        <w:t xml:space="preserve"> в 1917 году опубликовано постановление Временного правительства о повсеместной отмене смертной казни, которая, однако, уже к 12 июля 1917 года была восстановлена на фронте за ряд воинских преступлений. За время существования Советской России смертная казнь отменялась трижды: с ноября 1917 года до февраля 1918-го, с января 1920-го до 11 мая 1920-го, с 26 мая 1947-го до 12 января 1950-го. Со 2 августа 1996 года в стране действует мораторий на исполнение смертной казни (15079).</w:t>
      </w:r>
    </w:p>
    <w:p w14:paraId="0C320906"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p>
    <w:p w14:paraId="7690E03A" w14:textId="77777777" w:rsidR="00A37479" w:rsidRPr="002F2FDF" w:rsidRDefault="00A37479" w:rsidP="0083075A">
      <w:pPr>
        <w:pStyle w:val="ae"/>
        <w:spacing w:before="0" w:after="0"/>
        <w:jc w:val="both"/>
        <w:rPr>
          <w:color w:val="000000" w:themeColor="text1"/>
          <w:kern w:val="2"/>
          <w:sz w:val="16"/>
          <w:szCs w:val="16"/>
        </w:rPr>
      </w:pPr>
      <w:r w:rsidRPr="002F2FDF">
        <w:rPr>
          <w:color w:val="000000" w:themeColor="text1"/>
          <w:kern w:val="2"/>
          <w:sz w:val="16"/>
          <w:szCs w:val="16"/>
        </w:rPr>
        <w:t>12 (25) марта 1917 вышло постановление Временного правительства об отмене смертной казни и упразднении военно-полевых судов.</w:t>
      </w:r>
    </w:p>
    <w:p w14:paraId="2EF701FD" w14:textId="502B16E0" w:rsidR="00A37479" w:rsidRPr="002F2FDF" w:rsidRDefault="00A37479" w:rsidP="0083075A">
      <w:pPr>
        <w:pStyle w:val="ae"/>
        <w:spacing w:before="0" w:after="0"/>
        <w:jc w:val="both"/>
        <w:rPr>
          <w:color w:val="000000" w:themeColor="text1"/>
          <w:kern w:val="2"/>
          <w:sz w:val="16"/>
          <w:szCs w:val="16"/>
        </w:rPr>
      </w:pPr>
      <w:r w:rsidRPr="002F2FDF">
        <w:rPr>
          <w:color w:val="000000" w:themeColor="text1"/>
          <w:kern w:val="2"/>
          <w:sz w:val="16"/>
          <w:szCs w:val="16"/>
        </w:rPr>
        <w:t>В этот же день Временное правительство приняло закон о государственной монополии на хлеб, который готовился еще при царе. В соответствии с ним, свободный рынок зерна упразднялся, «излишки» (сверх установленных норм) подлежали изъятию у крестьян по твердым государственным ценам (а в случае обнаружения укрываемых запасов</w:t>
      </w:r>
      <w:r w:rsidR="00E52569">
        <w:rPr>
          <w:color w:val="000000" w:themeColor="text1"/>
          <w:kern w:val="2"/>
          <w:sz w:val="16"/>
          <w:szCs w:val="16"/>
        </w:rPr>
        <w:t xml:space="preserve"> </w:t>
      </w:r>
      <w:r w:rsidRPr="002F2FDF">
        <w:rPr>
          <w:color w:val="000000" w:themeColor="text1"/>
          <w:kern w:val="2"/>
          <w:sz w:val="16"/>
          <w:szCs w:val="16"/>
        </w:rPr>
        <w:t>— лишь по половине такой цены). Распределять хлеб предполагалось по карточкам. Однако попытка ввести хлебную монополию на практике столкнулась с ожесточенным сопротивлением крестьян. Хлебозаготовки составили менее половины от плана, в ожидании еще большей смуты крестьяне предпочитали прятать свои припасы (17045).</w:t>
      </w:r>
    </w:p>
    <w:p w14:paraId="5514168F" w14:textId="77777777" w:rsidR="00A37479" w:rsidRPr="002F2FDF" w:rsidRDefault="00A3747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B249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Между 12 (25) марта и 20 марта (2 апреля) 1917. Из журнала заседаний Временного правительства №22, 1917 г.</w:t>
      </w:r>
    </w:p>
    <w:p w14:paraId="18A7C2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Об облегчении участи лиц, совершивших уголовные преступления </w:t>
      </w:r>
    </w:p>
    <w:p w14:paraId="76DD43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Временное правительство, призывая в целях утверждения законности в новом строе к строгому и неуклонному соблюдению порядка и спокойствия и к решительному прекращению каких-либо посягательств на личную и имущественную неприкосновенность граждан, постановило облегчить на нижеследующих основаниях участь лиц, совершивших до настоящего времени преступные деяния. </w:t>
      </w:r>
    </w:p>
    <w:p w14:paraId="2180C1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 Всем присужденным по день воспоследования сего постановления к смертной казни, соединенной с лишением всех прав состояния, а равно подлежащих этому наказанию за учиненные до этого дня преступные деяния, заменить смертную казнь ссылкой в каторжные работы на пятнадцать лет. </w:t>
      </w:r>
    </w:p>
    <w:p w14:paraId="637E25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 Освободить от суда и наказания всех, совершивших до дня издания настоящего постановления преступные деяния, за которые определено в законе наказание не свыше заключения в крепости или тюрьме, а равно всех, которые приговорены или будут приговорены к таковым наказаниям за более тяжкие преступления... </w:t>
      </w:r>
    </w:p>
    <w:p w14:paraId="796C76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Всем лицам, которые приговорены или будут приговорены за преступные деяния, совершенные до дня воспоследования настоящего постановления, уменьшить срок назначенного судом наказания наполовину, бессрочную же каторгу заменить срочной на двенадцать лет... (11652).</w:t>
      </w:r>
    </w:p>
    <w:p w14:paraId="50FF16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218BA6" w14:textId="77777777" w:rsidR="00C43DB9"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2F751CB" w14:textId="77777777" w:rsidR="00C43DB9" w:rsidRPr="002F2FDF" w:rsidRDefault="00C43DB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09C790" w14:textId="77777777" w:rsidR="00C43DB9" w:rsidRPr="002F2FDF" w:rsidRDefault="00C43DB9" w:rsidP="0083075A">
      <w:pPr>
        <w:pStyle w:val="ae"/>
        <w:spacing w:before="0" w:after="0"/>
        <w:jc w:val="both"/>
        <w:rPr>
          <w:color w:val="000000" w:themeColor="text1"/>
          <w:kern w:val="2"/>
          <w:sz w:val="16"/>
          <w:szCs w:val="16"/>
        </w:rPr>
      </w:pPr>
      <w:r w:rsidRPr="002F2FDF">
        <w:rPr>
          <w:color w:val="000000" w:themeColor="text1"/>
          <w:kern w:val="2"/>
          <w:sz w:val="16"/>
          <w:szCs w:val="16"/>
        </w:rPr>
        <w:t>13 (26) марта 1917 г. работники завода Анатра в Симферополе начали общегородскую забастовку, к которой присоединились рабочие других предприятий. Основные требования бастующих: прекращение войны, восьмичасовый рабочий день, рабочий контроль над производством (Чупиков, Петровская 1984: 72) (15235).</w:t>
      </w:r>
    </w:p>
    <w:p w14:paraId="1339D1F5" w14:textId="77777777" w:rsidR="00C43DB9" w:rsidRPr="002F2FDF" w:rsidRDefault="00C43DB9" w:rsidP="0083075A">
      <w:pPr>
        <w:pStyle w:val="ae"/>
        <w:spacing w:before="0" w:after="0"/>
        <w:jc w:val="both"/>
        <w:rPr>
          <w:color w:val="000000" w:themeColor="text1"/>
          <w:kern w:val="2"/>
          <w:sz w:val="16"/>
          <w:szCs w:val="16"/>
        </w:rPr>
      </w:pPr>
    </w:p>
    <w:p w14:paraId="2C38542F" w14:textId="77777777" w:rsidR="00C43DB9"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0802610D" w14:textId="77777777" w:rsidR="00C43DB9" w:rsidRPr="002F2FDF" w:rsidRDefault="00C43DB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51D842"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марта 1917 г. Телеграмма зам. уполномоченного Особого совещания по обороне и зам. председателя заводского совещания Харьковского района ген. Ф. Я. Несмелова Особому совещанию по обороне о нехватке топлива, металлов и сырья на промышленных предприятиях района.</w:t>
      </w:r>
    </w:p>
    <w:p w14:paraId="04E24016"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32-33</w:t>
      </w:r>
    </w:p>
    <w:p w14:paraId="76C132E1"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369, оп. 21, д. 219, лл. 186—488. Телегр. бланк.</w:t>
      </w:r>
    </w:p>
    <w:p w14:paraId="6CC9C5FD"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Доношу: [за] истекшую неделю на всех заводах рабочие работали, [за] исключением Сумского машиностроительного, где перерыв десятого один день. Везде недостача топлива, [на] большинстве заводов недостача металла. Крупные заводы: Воронежский трубочный Столль, две тысячи двести рабочих, антрацит получен, возобновлены ночные смены, недостаток цинка, латуни; Чугуевский деревообделочный Борковского, тысяча пятьсот рабочих, недостаток угля, железа; Воронежский машиностроительный Столль, тысяча шестьсот рабочих, недостаток паровичного угля; Харьковский Шиманского, пятьсот восемьдесят рабочих, стоит мартеновская печь, недостаток топлива; Харьковский Гельферих Саде, три тысячи триста рабочих, остановлен литейный цех, недостаток угля, чугуна, остальным цехам угрожает остановка, недостаток топлива; Харьковский паровозостроительный, шесть тысяч сто пятьдесят рабочих, приостановлен кузнечный цех, недостаток топлива, задержка [в] доставке сортового железа; Харьковский Медьгозе, недостаток топлива, вагонов под дрова, чугуна. Особенно серьезно положение Краматорского металлургического завода: обе домны, прокатная, мартеновская и цеха остановились [за] недостатком топлива, сырья. Рабочие волнуются, не получая угля. Харьковский завод канатной и пеньковой промышленности, тысяча шестьсот шестьдесят рабочих, остановлены шпагатный и мешочный отделы [за] недостатком топлива, недостаток вагонов для перевозки сырья. Уполобороны Несмелов (15521).</w:t>
      </w:r>
    </w:p>
    <w:p w14:paraId="13BD7C9D" w14:textId="77777777" w:rsidR="00C43DB9" w:rsidRPr="002F2FDF" w:rsidRDefault="00C43DB9" w:rsidP="0083075A">
      <w:pPr>
        <w:spacing w:after="0" w:line="240" w:lineRule="auto"/>
        <w:jc w:val="both"/>
        <w:rPr>
          <w:rFonts w:ascii="Times New Roman" w:hAnsi="Times New Roman" w:cs="Times New Roman"/>
          <w:color w:val="000000" w:themeColor="text1"/>
          <w:kern w:val="2"/>
          <w:sz w:val="16"/>
          <w:szCs w:val="16"/>
        </w:rPr>
      </w:pPr>
    </w:p>
    <w:p w14:paraId="676256B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2A4C5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32F9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марта 1917 л ЧМФ л М.М.Сергеев на М-9 при разведке в районе Босфора был обстрелян с турецкого побережья. Повреждения были значительными и пришлось садиться в море. Снижаясь заметил шхуну, обстрелял, сел рядом, захватил в плен. Высадил команду в ложку6 а сам с механиком пришвартовал М-19 и поплыл на встречу эскадре. Она ушли и пришлось плыть домой. Шторм задержал поход на 6 дней и разбил машину. Добрался до Евпатории, где его подобрал эсминец (438,352).</w:t>
      </w:r>
    </w:p>
    <w:p w14:paraId="2C8B9F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844C5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марта 1917 летчик Черноморского флота лейтенант МихаилорвичСергеев на гидросамолете "М-9" при разведке района Босфора был обстрелян с турецкого побережья. Его са</w:t>
      </w:r>
      <w:r w:rsidRPr="002F2FDF">
        <w:rPr>
          <w:rFonts w:ascii="Times New Roman" w:hAnsi="Times New Roman" w:cs="Times New Roman"/>
          <w:color w:val="000000" w:themeColor="text1"/>
          <w:kern w:val="2"/>
          <w:sz w:val="16"/>
          <w:szCs w:val="16"/>
        </w:rPr>
        <w:softHyphen/>
        <w:t>молет был поврежден настолько, что пришлось садиться в море, Снижаясь, Сергеев заметил турецкую шхуну, подлетел к ней и обстрелял ее, а потом сел рядом. Турки сдались в плен. Сергеев приказал им опустить лодку и плыть на ней к своему берегу, а сам со своим механиком Туром пришвартовал к шхуне ивой "М-9" и взял курс на свою эскадру, но ее на месте уже не было. Экипажу оставалось только плыть к своим берегам. Поднявшийся шторм задержал летчиков на шесть суток и затопил самолет. Только на седьмые сутки экипаж припыл к Евпа</w:t>
      </w:r>
      <w:r w:rsidRPr="002F2FDF">
        <w:rPr>
          <w:rFonts w:ascii="Times New Roman" w:hAnsi="Times New Roman" w:cs="Times New Roman"/>
          <w:color w:val="000000" w:themeColor="text1"/>
          <w:kern w:val="2"/>
          <w:sz w:val="16"/>
          <w:szCs w:val="16"/>
        </w:rPr>
        <w:softHyphen/>
        <w:t>тории, где и был подобран миноносцем ("Русское слово”, 1917 г. 22 марта; ВВФ.1920 № 3-4 стр.13).</w:t>
      </w:r>
    </w:p>
    <w:p w14:paraId="0571E41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C78F88" w14:textId="5F204346" w:rsidR="00E047D9" w:rsidRPr="00815ED5" w:rsidRDefault="00E047D9"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13 </w:t>
      </w:r>
      <w:r>
        <w:rPr>
          <w:rFonts w:ascii="Times New Roman" w:hAnsi="Times New Roman" w:cs="Times New Roman"/>
          <w:color w:val="0070C0"/>
          <w:sz w:val="16"/>
          <w:szCs w:val="16"/>
        </w:rPr>
        <w:t xml:space="preserve">(26) </w:t>
      </w:r>
      <w:r w:rsidRPr="00815ED5">
        <w:rPr>
          <w:rFonts w:ascii="Times New Roman" w:hAnsi="Times New Roman" w:cs="Times New Roman"/>
          <w:color w:val="0070C0"/>
          <w:sz w:val="16"/>
          <w:szCs w:val="16"/>
        </w:rPr>
        <w:t xml:space="preserve">марта </w:t>
      </w:r>
      <w:r>
        <w:rPr>
          <w:rFonts w:ascii="Times New Roman" w:hAnsi="Times New Roman" w:cs="Times New Roman"/>
          <w:color w:val="0070C0"/>
          <w:sz w:val="16"/>
          <w:szCs w:val="16"/>
        </w:rPr>
        <w:t>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815ED5">
        <w:rPr>
          <w:rFonts w:ascii="Times New Roman" w:hAnsi="Times New Roman" w:cs="Times New Roman"/>
          <w:color w:val="0070C0"/>
          <w:sz w:val="16"/>
          <w:szCs w:val="16"/>
        </w:rPr>
        <w:t xml:space="preserve">етчик Черноморского флота, лейтенант Михаил </w:t>
      </w:r>
      <w:r>
        <w:rPr>
          <w:rFonts w:ascii="Times New Roman" w:hAnsi="Times New Roman" w:cs="Times New Roman"/>
          <w:color w:val="0070C0"/>
          <w:sz w:val="16"/>
          <w:szCs w:val="16"/>
        </w:rPr>
        <w:t xml:space="preserve">Михайлович </w:t>
      </w:r>
      <w:r w:rsidRPr="00815ED5">
        <w:rPr>
          <w:rFonts w:ascii="Times New Roman" w:hAnsi="Times New Roman" w:cs="Times New Roman"/>
          <w:color w:val="0070C0"/>
          <w:sz w:val="16"/>
          <w:szCs w:val="16"/>
        </w:rPr>
        <w:t xml:space="preserve">Сергеев на гидросамолете </w:t>
      </w:r>
      <w:r>
        <w:rPr>
          <w:rFonts w:ascii="Times New Roman" w:hAnsi="Times New Roman" w:cs="Times New Roman"/>
          <w:color w:val="0070C0"/>
          <w:sz w:val="16"/>
          <w:szCs w:val="16"/>
        </w:rPr>
        <w:t>М</w:t>
      </w:r>
      <w:r w:rsidRPr="00815ED5">
        <w:rPr>
          <w:rFonts w:ascii="Times New Roman" w:hAnsi="Times New Roman" w:cs="Times New Roman"/>
          <w:color w:val="0070C0"/>
          <w:sz w:val="16"/>
          <w:szCs w:val="16"/>
        </w:rPr>
        <w:t>-9 при разведке района Босфора был об</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трелян с турецкого побережья.</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Его самолет был поврежден настолько,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что при</w:t>
      </w:r>
      <w:r>
        <w:rPr>
          <w:rFonts w:ascii="Times New Roman" w:hAnsi="Times New Roman" w:cs="Times New Roman"/>
          <w:color w:val="0070C0"/>
          <w:sz w:val="16"/>
          <w:szCs w:val="16"/>
        </w:rPr>
        <w:t>ш</w:t>
      </w:r>
      <w:r w:rsidRPr="00815ED5">
        <w:rPr>
          <w:rFonts w:ascii="Times New Roman" w:hAnsi="Times New Roman" w:cs="Times New Roman"/>
          <w:color w:val="0070C0"/>
          <w:sz w:val="16"/>
          <w:szCs w:val="16"/>
        </w:rPr>
        <w:t>лось вынужденно садиться в море</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снижаясь</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Сергеев заметил турецкую шхуну,</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подлетел к ней и обстрелял ее,</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 потом сел рядом.</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турки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дались в плен.</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Сергеев приказал им спустить лодку и плыть на ней к своему берегу,</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 сам со своим механиком Туром пришвартовал к шхуне свой</w:t>
      </w:r>
      <w:r>
        <w:rPr>
          <w:rFonts w:ascii="Times New Roman" w:hAnsi="Times New Roman" w:cs="Times New Roman"/>
          <w:color w:val="0070C0"/>
          <w:sz w:val="16"/>
          <w:szCs w:val="16"/>
        </w:rPr>
        <w:t xml:space="preserve"> М</w:t>
      </w:r>
      <w:r w:rsidRPr="00815ED5">
        <w:rPr>
          <w:rFonts w:ascii="Times New Roman" w:hAnsi="Times New Roman" w:cs="Times New Roman"/>
          <w:color w:val="0070C0"/>
          <w:sz w:val="16"/>
          <w:szCs w:val="16"/>
        </w:rPr>
        <w:t>-9 и взял курс на свою эскадру,</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но ее на месте уже не было.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экипажу оставалось только плыть к своим берегам.</w:t>
      </w:r>
      <w:r>
        <w:rPr>
          <w:rFonts w:ascii="Times New Roman" w:hAnsi="Times New Roman" w:cs="Times New Roman"/>
          <w:color w:val="0070C0"/>
          <w:sz w:val="16"/>
          <w:szCs w:val="16"/>
        </w:rPr>
        <w:t xml:space="preserve"> П</w:t>
      </w:r>
      <w:r w:rsidRPr="00815ED5">
        <w:rPr>
          <w:rFonts w:ascii="Times New Roman" w:hAnsi="Times New Roman" w:cs="Times New Roman"/>
          <w:color w:val="0070C0"/>
          <w:sz w:val="16"/>
          <w:szCs w:val="16"/>
        </w:rPr>
        <w:t>однявшийся шторм задержал</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летчиков на шесть суток и затопил самолет.</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Только на седьмые сутки экипаж приплыл к Евпатории,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где и был подобран миноносцем.</w:t>
      </w:r>
    </w:p>
    <w:p w14:paraId="07DA427B" w14:textId="77777777" w:rsidR="00E047D9" w:rsidRDefault="00E047D9"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/«Русское слово</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за 22 марта 1917;</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ВВ</w:t>
      </w:r>
      <w:r>
        <w:rPr>
          <w:rFonts w:ascii="Times New Roman" w:hAnsi="Times New Roman" w:cs="Times New Roman"/>
          <w:color w:val="0070C0"/>
          <w:sz w:val="16"/>
          <w:szCs w:val="16"/>
        </w:rPr>
        <w:t>Ф</w:t>
      </w:r>
      <w:r w:rsidRPr="00815ED5">
        <w:rPr>
          <w:rFonts w:ascii="Times New Roman" w:hAnsi="Times New Roman" w:cs="Times New Roman"/>
          <w:color w:val="0070C0"/>
          <w:sz w:val="16"/>
          <w:szCs w:val="16"/>
        </w:rPr>
        <w:t xml:space="preserve"> 1920 </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3-4,</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стр.13/</w:t>
      </w:r>
      <w:r>
        <w:rPr>
          <w:rFonts w:ascii="Times New Roman" w:hAnsi="Times New Roman" w:cs="Times New Roman"/>
          <w:color w:val="0070C0"/>
          <w:sz w:val="16"/>
          <w:szCs w:val="16"/>
        </w:rPr>
        <w:t xml:space="preserve"> (23320).</w:t>
      </w:r>
    </w:p>
    <w:p w14:paraId="5B3515A4" w14:textId="77777777" w:rsidR="00E047D9" w:rsidRPr="00815ED5" w:rsidRDefault="00E047D9" w:rsidP="0083075A">
      <w:pPr>
        <w:spacing w:after="0" w:line="240" w:lineRule="auto"/>
        <w:jc w:val="both"/>
        <w:rPr>
          <w:rFonts w:ascii="Times New Roman" w:hAnsi="Times New Roman" w:cs="Times New Roman"/>
          <w:color w:val="0070C0"/>
          <w:sz w:val="16"/>
          <w:szCs w:val="16"/>
        </w:rPr>
      </w:pPr>
    </w:p>
    <w:p w14:paraId="7D477C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марта 1917 года на борту аэростата, находящегося на высоте 400 м, были командир 10-го корпусного воздухоплавательного отряда поручик Сипитый и подпоручик Метельский. Они фотографировали неприятельские позиции. В 17 часов наблюдатели заметили приближающийся вражеский самолет. По их команде аэростат начали выбирать к земле. Еще находясь на большом расстоянии, пилот вражеского самолета начал обстреливать аэростат. Воздухоплаватели отстреливались из карабина и револьвера. Когда самолет пролетел над аэростатом, казалось, что опасность миновала. Однако через несколько секунд наблюдатели услыхали легкий треск, который постепенно перешел во все усиливающийся шум. Они поняли, что аэростат горит. Но даже горя, аэростат опускался плавно до высоты около 60-75 м. После этого скорость падения аэростата начала сильно возрастать. Прыгать с парашютом было уже поздно - слишком мала высота и парашют не успевает наполниться воздухом. Парашюты подвешивались к кормовой части аэростата уже полностью вытянутыми, и наблюдателю надо было просто взять стропы парашюта в руки, сильно дернуть за них, чтобы оторвать привязывающий к оболочке аэростата шнур парашюта и бросаться вниз из корзины. Сипитому и Метельскому шансов выжить уже практически не оставалось. Очнулись они в госпитале. Как им потом рассказывали очевидцы, находившиеся на земле, с пролетевшего самолета было сброшено на аэростат что-то похожее "на золотистую ленту или ракету". Вслед за этим на верхней части оболочки показался черный дым и языки пламени. На высоте около 150 м вся верхняя половина аэростата была в пламени, а нижняя вогнулась внутрь и, образовав своеобразный парашют, способствовала плавному спуску горящего аэростата. Но на высоте 60-75 м прогорел нижний рулевой мешок и аэростат начал стремительно падать. Обгорелые остатки оболочки накрыли корзину с наблюдателями. Подбежавшие солдаты вытащили их из корзины, но один из наблюдателей, поручик Сипитый, от полученных ран через 10 дней скончался (11238).</w:t>
      </w:r>
    </w:p>
    <w:p w14:paraId="3A7C4A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19F4CC"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13 (26) марта 1917 в воздух поднялся командир 10-го корпусного воздухоплавательного отряда Сипитый и наблюдатель поручик Метельский. В 17.00 их атаковал неприятельский аэроплан. Аэростат, спешно выбиравшийся наземной командой, за</w:t>
      </w:r>
      <w:r w:rsidRPr="002F2FDF">
        <w:rPr>
          <w:rFonts w:ascii="Times New Roman" w:hAnsi="Times New Roman" w:cs="Times New Roman"/>
          <w:color w:val="000000" w:themeColor="text1"/>
          <w:sz w:val="16"/>
          <w:szCs w:val="16"/>
        </w:rPr>
        <w:softHyphen/>
        <w:t>горелся на высоте 200 м. Прыгать с парашютом было уже поздно, и наблюдатели остались в кор</w:t>
      </w:r>
      <w:r w:rsidRPr="002F2FDF">
        <w:rPr>
          <w:rFonts w:ascii="Times New Roman" w:hAnsi="Times New Roman" w:cs="Times New Roman"/>
          <w:color w:val="000000" w:themeColor="text1"/>
          <w:sz w:val="16"/>
          <w:szCs w:val="16"/>
        </w:rPr>
        <w:softHyphen/>
        <w:t>зине. Когда верхняя часть оболочки аэростата сгорела, нижняя вогнулась внутрь, и воздухопла</w:t>
      </w:r>
      <w:r w:rsidRPr="002F2FDF">
        <w:rPr>
          <w:rFonts w:ascii="Times New Roman" w:hAnsi="Times New Roman" w:cs="Times New Roman"/>
          <w:color w:val="000000" w:themeColor="text1"/>
          <w:sz w:val="16"/>
          <w:szCs w:val="16"/>
        </w:rPr>
        <w:softHyphen/>
        <w:t>ватели почти 100 м спускались на этом импрови</w:t>
      </w:r>
      <w:r w:rsidRPr="002F2FDF">
        <w:rPr>
          <w:rFonts w:ascii="Times New Roman" w:hAnsi="Times New Roman" w:cs="Times New Roman"/>
          <w:color w:val="000000" w:themeColor="text1"/>
          <w:sz w:val="16"/>
          <w:szCs w:val="16"/>
        </w:rPr>
        <w:softHyphen/>
        <w:t>зированном парашюте. Когда прогорел рулевой мешок, аэростат упал с высоты 60 м. Получив</w:t>
      </w:r>
      <w:r w:rsidRPr="002F2FDF">
        <w:rPr>
          <w:rFonts w:ascii="Times New Roman" w:hAnsi="Times New Roman" w:cs="Times New Roman"/>
          <w:color w:val="000000" w:themeColor="text1"/>
          <w:sz w:val="16"/>
          <w:szCs w:val="16"/>
        </w:rPr>
        <w:softHyphen/>
        <w:t>ших многочисленные ушибы наблюдателей на</w:t>
      </w:r>
      <w:r w:rsidRPr="002F2FDF">
        <w:rPr>
          <w:rFonts w:ascii="Times New Roman" w:hAnsi="Times New Roman" w:cs="Times New Roman"/>
          <w:color w:val="000000" w:themeColor="text1"/>
          <w:sz w:val="16"/>
          <w:szCs w:val="16"/>
        </w:rPr>
        <w:softHyphen/>
        <w:t>крыла горящая оболочка. Их срочно отправили в госпиталь, где поручик Сипитый через десять дней скончался (20120).</w:t>
      </w:r>
    </w:p>
    <w:p w14:paraId="00D1193E"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p>
    <w:p w14:paraId="70C21EE9"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13 (26) марта 1917 в воздух поднялся командир 10-го корпусного воздухоплавательного отряда Сипитый и наблюдатель поручик Метельский. В 17.00 их атаковал неприятельский аэроплан. Аэростат, спешно выбиравшийся наземной командой, за</w:t>
      </w:r>
      <w:r w:rsidRPr="002F2FDF">
        <w:rPr>
          <w:rFonts w:ascii="Times New Roman" w:hAnsi="Times New Roman" w:cs="Times New Roman"/>
          <w:color w:val="000000" w:themeColor="text1"/>
          <w:sz w:val="16"/>
          <w:szCs w:val="16"/>
        </w:rPr>
        <w:softHyphen/>
        <w:t>горелся на высоте 200 м. Прыгать с парашютом было уже поздно, и наблюдатели остались в кор</w:t>
      </w:r>
      <w:r w:rsidRPr="002F2FDF">
        <w:rPr>
          <w:rFonts w:ascii="Times New Roman" w:hAnsi="Times New Roman" w:cs="Times New Roman"/>
          <w:color w:val="000000" w:themeColor="text1"/>
          <w:sz w:val="16"/>
          <w:szCs w:val="16"/>
        </w:rPr>
        <w:softHyphen/>
        <w:t>зине. Когда верхняя часть оболочки аэростата сгорела, нижняя вогнулась внутрь, и воздухопла</w:t>
      </w:r>
      <w:r w:rsidRPr="002F2FDF">
        <w:rPr>
          <w:rFonts w:ascii="Times New Roman" w:hAnsi="Times New Roman" w:cs="Times New Roman"/>
          <w:color w:val="000000" w:themeColor="text1"/>
          <w:sz w:val="16"/>
          <w:szCs w:val="16"/>
        </w:rPr>
        <w:softHyphen/>
        <w:t>ватели почти 100 м спускались на этом импрови</w:t>
      </w:r>
      <w:r w:rsidRPr="002F2FDF">
        <w:rPr>
          <w:rFonts w:ascii="Times New Roman" w:hAnsi="Times New Roman" w:cs="Times New Roman"/>
          <w:color w:val="000000" w:themeColor="text1"/>
          <w:sz w:val="16"/>
          <w:szCs w:val="16"/>
        </w:rPr>
        <w:softHyphen/>
        <w:t>зированном парашюте. Когда прогорел рулевой мешок, аэростат упал с высоты 60 м. Получив</w:t>
      </w:r>
      <w:r w:rsidRPr="002F2FDF">
        <w:rPr>
          <w:rFonts w:ascii="Times New Roman" w:hAnsi="Times New Roman" w:cs="Times New Roman"/>
          <w:color w:val="000000" w:themeColor="text1"/>
          <w:sz w:val="16"/>
          <w:szCs w:val="16"/>
        </w:rPr>
        <w:softHyphen/>
        <w:t>ших многочисленные ушибы наблюдателей на</w:t>
      </w:r>
      <w:r w:rsidRPr="002F2FDF">
        <w:rPr>
          <w:rFonts w:ascii="Times New Roman" w:hAnsi="Times New Roman" w:cs="Times New Roman"/>
          <w:color w:val="000000" w:themeColor="text1"/>
          <w:sz w:val="16"/>
          <w:szCs w:val="16"/>
        </w:rPr>
        <w:softHyphen/>
        <w:t>крыла горящая оболочка. Их срочно отправили в госпиталь, где поручик Сипитый через десять дней скончался.</w:t>
      </w:r>
    </w:p>
    <w:p w14:paraId="6228C41C"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23 апреля после подъёма двух неприятельских аэростатов у д. Белополь и Рагин, противник от</w:t>
      </w:r>
      <w:r w:rsidRPr="002F2FDF">
        <w:rPr>
          <w:rFonts w:ascii="Times New Roman" w:hAnsi="Times New Roman" w:cs="Times New Roman"/>
          <w:color w:val="000000" w:themeColor="text1"/>
          <w:sz w:val="16"/>
          <w:szCs w:val="16"/>
        </w:rPr>
        <w:softHyphen/>
        <w:t>крыл сильный огонь из 105-мм и 120-мм орудий по биваку ремонтировавшегося после обстрела при предыдущем подъёме аэростата 1-го гвар</w:t>
      </w:r>
      <w:r w:rsidRPr="002F2FDF">
        <w:rPr>
          <w:rFonts w:ascii="Times New Roman" w:hAnsi="Times New Roman" w:cs="Times New Roman"/>
          <w:color w:val="000000" w:themeColor="text1"/>
          <w:sz w:val="16"/>
          <w:szCs w:val="16"/>
        </w:rPr>
        <w:softHyphen/>
        <w:t>дейского корпусного воздухоплавательного от</w:t>
      </w:r>
      <w:r w:rsidRPr="002F2FDF">
        <w:rPr>
          <w:rFonts w:ascii="Times New Roman" w:hAnsi="Times New Roman" w:cs="Times New Roman"/>
          <w:color w:val="000000" w:themeColor="text1"/>
          <w:sz w:val="16"/>
          <w:szCs w:val="16"/>
        </w:rPr>
        <w:softHyphen/>
        <w:t>ряда. Поскольку противник взял бивак в вилку, ремонтные работы срочно свернули, но мест</w:t>
      </w:r>
      <w:r w:rsidRPr="002F2FDF">
        <w:rPr>
          <w:rFonts w:ascii="Times New Roman" w:hAnsi="Times New Roman" w:cs="Times New Roman"/>
          <w:color w:val="000000" w:themeColor="text1"/>
          <w:sz w:val="16"/>
          <w:szCs w:val="16"/>
        </w:rPr>
        <w:softHyphen/>
        <w:t>ность не позволяла расчёту быстро рассредото</w:t>
      </w:r>
      <w:r w:rsidRPr="002F2FDF">
        <w:rPr>
          <w:rFonts w:ascii="Times New Roman" w:hAnsi="Times New Roman" w:cs="Times New Roman"/>
          <w:color w:val="000000" w:themeColor="text1"/>
          <w:sz w:val="16"/>
          <w:szCs w:val="16"/>
        </w:rPr>
        <w:softHyphen/>
        <w:t>читься. Тогда командир отряда поручик Ханыков приказал зажечь большие костры. Под прикры</w:t>
      </w:r>
      <w:r w:rsidRPr="002F2FDF">
        <w:rPr>
          <w:rFonts w:ascii="Times New Roman" w:hAnsi="Times New Roman" w:cs="Times New Roman"/>
          <w:color w:val="000000" w:themeColor="text1"/>
          <w:sz w:val="16"/>
          <w:szCs w:val="16"/>
        </w:rPr>
        <w:softHyphen/>
        <w:t>тием импровизированной дымовой завесы воз</w:t>
      </w:r>
      <w:r w:rsidRPr="002F2FDF">
        <w:rPr>
          <w:rFonts w:ascii="Times New Roman" w:hAnsi="Times New Roman" w:cs="Times New Roman"/>
          <w:color w:val="000000" w:themeColor="text1"/>
          <w:sz w:val="16"/>
          <w:szCs w:val="16"/>
        </w:rPr>
        <w:softHyphen/>
        <w:t>духоплаватели вывели аэростат в безопасное ме</w:t>
      </w:r>
      <w:r w:rsidRPr="002F2FDF">
        <w:rPr>
          <w:rFonts w:ascii="Times New Roman" w:hAnsi="Times New Roman" w:cs="Times New Roman"/>
          <w:color w:val="000000" w:themeColor="text1"/>
          <w:sz w:val="16"/>
          <w:szCs w:val="16"/>
        </w:rPr>
        <w:softHyphen/>
        <w:t>сто, где и закончили его ремонт. Вскоре Ханыков уже передавал с этого аэростата координаты вра</w:t>
      </w:r>
      <w:r w:rsidRPr="002F2FDF">
        <w:rPr>
          <w:rFonts w:ascii="Times New Roman" w:hAnsi="Times New Roman" w:cs="Times New Roman"/>
          <w:color w:val="000000" w:themeColor="text1"/>
          <w:sz w:val="16"/>
          <w:szCs w:val="16"/>
        </w:rPr>
        <w:softHyphen/>
        <w:t>жеских целей.</w:t>
      </w:r>
    </w:p>
    <w:p w14:paraId="50F8481A"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14 мая в 5.00 все аэростаты 4-й армии были подняты в воздух, что позволило командованию в кратчайшее время получить ценную разведы</w:t>
      </w:r>
      <w:r w:rsidRPr="002F2FDF">
        <w:rPr>
          <w:rFonts w:ascii="Times New Roman" w:hAnsi="Times New Roman" w:cs="Times New Roman"/>
          <w:color w:val="000000" w:themeColor="text1"/>
          <w:sz w:val="16"/>
          <w:szCs w:val="16"/>
        </w:rPr>
        <w:softHyphen/>
        <w:t>вательную информацию. Так, воздухоплаватели 7-й воздухоплавательной роты штабс-капитан Скрябин и подпоручик Данилов получили зада</w:t>
      </w:r>
      <w:r w:rsidRPr="002F2FDF">
        <w:rPr>
          <w:rFonts w:ascii="Times New Roman" w:hAnsi="Times New Roman" w:cs="Times New Roman"/>
          <w:color w:val="000000" w:themeColor="text1"/>
          <w:sz w:val="16"/>
          <w:szCs w:val="16"/>
        </w:rPr>
        <w:softHyphen/>
        <w:t>чу от штаба 34-й дивизии отыскать мосты через р. Путна. Аэростат подняли у ст. Серет, и на</w:t>
      </w:r>
      <w:r w:rsidRPr="002F2FDF">
        <w:rPr>
          <w:rFonts w:ascii="Times New Roman" w:hAnsi="Times New Roman" w:cs="Times New Roman"/>
          <w:color w:val="000000" w:themeColor="text1"/>
          <w:sz w:val="16"/>
          <w:szCs w:val="16"/>
        </w:rPr>
        <w:softHyphen/>
        <w:t>блюдатели не только быстро отыскали мосты, но и разведали деятельность противника в его тылах. Аэростат 24-го корпусного воздухоплава</w:t>
      </w:r>
      <w:r w:rsidRPr="002F2FDF">
        <w:rPr>
          <w:rFonts w:ascii="Times New Roman" w:hAnsi="Times New Roman" w:cs="Times New Roman"/>
          <w:color w:val="000000" w:themeColor="text1"/>
          <w:sz w:val="16"/>
          <w:szCs w:val="16"/>
        </w:rPr>
        <w:softHyphen/>
        <w:t>тельного отряда, поднятый у с. Панчи, к 5.00 уже успел обнаружить четыре батареи противника. В это же время командир 30-й воздухоплаватель</w:t>
      </w:r>
      <w:r w:rsidRPr="002F2FDF">
        <w:rPr>
          <w:rFonts w:ascii="Times New Roman" w:hAnsi="Times New Roman" w:cs="Times New Roman"/>
          <w:color w:val="000000" w:themeColor="text1"/>
          <w:sz w:val="16"/>
          <w:szCs w:val="16"/>
        </w:rPr>
        <w:softHyphen/>
        <w:t>ной роты подпоручик Матвеев, прапорщик Ки- силевич вели пристрелку 5-й батареи 71-й артил</w:t>
      </w:r>
      <w:r w:rsidRPr="002F2FDF">
        <w:rPr>
          <w:rFonts w:ascii="Times New Roman" w:hAnsi="Times New Roman" w:cs="Times New Roman"/>
          <w:color w:val="000000" w:themeColor="text1"/>
          <w:sz w:val="16"/>
          <w:szCs w:val="16"/>
        </w:rPr>
        <w:softHyphen/>
        <w:t>лерийской бригады. Об эффективности боевой работы воздухоплавателей свидетельствовала атака их неприятельским аэропланом, после ко</w:t>
      </w:r>
      <w:r w:rsidRPr="002F2FDF">
        <w:rPr>
          <w:rFonts w:ascii="Times New Roman" w:hAnsi="Times New Roman" w:cs="Times New Roman"/>
          <w:color w:val="000000" w:themeColor="text1"/>
          <w:sz w:val="16"/>
          <w:szCs w:val="16"/>
        </w:rPr>
        <w:softHyphen/>
        <w:t>торой в оболочке аэростата насчитали 56 пробо</w:t>
      </w:r>
      <w:r w:rsidRPr="002F2FDF">
        <w:rPr>
          <w:rFonts w:ascii="Times New Roman" w:hAnsi="Times New Roman" w:cs="Times New Roman"/>
          <w:color w:val="000000" w:themeColor="text1"/>
          <w:sz w:val="16"/>
          <w:szCs w:val="16"/>
        </w:rPr>
        <w:softHyphen/>
        <w:t>ин. Одновременно к аэростату 24-го корпусного воздухоплавательного отряда дважды пытался прорваться другой немецкий истребитель.</w:t>
      </w:r>
    </w:p>
    <w:p w14:paraId="5FF2F6CB"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18 мая в 9.15 на Юго-Западном фронте в воз</w:t>
      </w:r>
      <w:r w:rsidRPr="002F2FDF">
        <w:rPr>
          <w:rFonts w:ascii="Times New Roman" w:hAnsi="Times New Roman" w:cs="Times New Roman"/>
          <w:color w:val="000000" w:themeColor="text1"/>
          <w:sz w:val="16"/>
          <w:szCs w:val="16"/>
        </w:rPr>
        <w:softHyphen/>
        <w:t>дух поднялся аэростат 3-го Кавказского отряда с наблюдателем прапорщиком Абрамовым. Че</w:t>
      </w:r>
      <w:r w:rsidRPr="002F2FDF">
        <w:rPr>
          <w:rFonts w:ascii="Times New Roman" w:hAnsi="Times New Roman" w:cs="Times New Roman"/>
          <w:color w:val="000000" w:themeColor="text1"/>
          <w:sz w:val="16"/>
          <w:szCs w:val="16"/>
        </w:rPr>
        <w:softHyphen/>
        <w:t>рез полчаса его атаковал неприятельский само</w:t>
      </w:r>
      <w:r w:rsidRPr="002F2FDF">
        <w:rPr>
          <w:rFonts w:ascii="Times New Roman" w:hAnsi="Times New Roman" w:cs="Times New Roman"/>
          <w:color w:val="000000" w:themeColor="text1"/>
          <w:sz w:val="16"/>
          <w:szCs w:val="16"/>
        </w:rPr>
        <w:softHyphen/>
        <w:t>лёт, обстрелявший оболочку и корзину наблю</w:t>
      </w:r>
      <w:r w:rsidRPr="002F2FDF">
        <w:rPr>
          <w:rFonts w:ascii="Times New Roman" w:hAnsi="Times New Roman" w:cs="Times New Roman"/>
          <w:color w:val="000000" w:themeColor="text1"/>
          <w:sz w:val="16"/>
          <w:szCs w:val="16"/>
        </w:rPr>
        <w:softHyphen/>
        <w:t>дателя. Первую атаку отбили ружейным огнёмс земли, но при втором заходе лётчик прорвался через заслон и поджёг аэростат. Абрамов, всегда отказывавшийся брать с собой парашют, разбил</w:t>
      </w:r>
      <w:r w:rsidRPr="002F2FDF">
        <w:rPr>
          <w:rFonts w:ascii="Times New Roman" w:hAnsi="Times New Roman" w:cs="Times New Roman"/>
          <w:color w:val="000000" w:themeColor="text1"/>
          <w:sz w:val="16"/>
          <w:szCs w:val="16"/>
        </w:rPr>
        <w:softHyphen/>
        <w:t>ся насмерть (20120).</w:t>
      </w:r>
    </w:p>
    <w:p w14:paraId="06F2B26D" w14:textId="77777777" w:rsidR="00366FBB" w:rsidRPr="002F2FDF" w:rsidRDefault="00366FBB" w:rsidP="0083075A">
      <w:pPr>
        <w:spacing w:after="0" w:line="240" w:lineRule="auto"/>
        <w:jc w:val="both"/>
        <w:rPr>
          <w:rFonts w:ascii="Times New Roman" w:hAnsi="Times New Roman" w:cs="Times New Roman"/>
          <w:color w:val="000000" w:themeColor="text1"/>
          <w:sz w:val="16"/>
          <w:szCs w:val="16"/>
        </w:rPr>
      </w:pPr>
    </w:p>
    <w:p w14:paraId="759ABB1B" w14:textId="48D836DA" w:rsidR="00D37B8A" w:rsidRPr="00FB4F67" w:rsidRDefault="00D37B8A"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13 (</w:t>
      </w:r>
      <w:r w:rsidRPr="00FB4F67">
        <w:rPr>
          <w:rFonts w:ascii="Times New Roman" w:hAnsi="Times New Roman" w:cs="Times New Roman"/>
          <w:color w:val="0070C0"/>
          <w:sz w:val="16"/>
          <w:szCs w:val="16"/>
        </w:rPr>
        <w:t>26</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марта 1917 г. в полосе Западного и Юго-Западного фронтов (м. Своятичи и г. Кимполунг) огнем с земли уничтожено еще два неприятельских </w:t>
      </w:r>
      <w:bookmarkStart w:id="60" w:name="bookmark735"/>
      <w:bookmarkStart w:id="61" w:name="bookmark736"/>
      <w:r w:rsidRPr="00FB4F67">
        <w:rPr>
          <w:rFonts w:ascii="Times New Roman" w:hAnsi="Times New Roman" w:cs="Times New Roman"/>
          <w:color w:val="0070C0"/>
          <w:sz w:val="16"/>
          <w:szCs w:val="16"/>
        </w:rPr>
        <w:t>летательных аппарата, упавших в расположении наших войск (23405).</w:t>
      </w:r>
    </w:p>
    <w:p w14:paraId="4C09044E" w14:textId="77777777" w:rsidR="00D37B8A" w:rsidRPr="00FB4F67" w:rsidRDefault="00D37B8A" w:rsidP="0083075A">
      <w:pPr>
        <w:spacing w:after="0" w:line="240" w:lineRule="auto"/>
        <w:jc w:val="both"/>
        <w:rPr>
          <w:rFonts w:ascii="Times New Roman" w:hAnsi="Times New Roman" w:cs="Times New Roman"/>
          <w:color w:val="0070C0"/>
          <w:sz w:val="16"/>
          <w:szCs w:val="16"/>
        </w:rPr>
      </w:pPr>
    </w:p>
    <w:bookmarkEnd w:id="60"/>
    <w:bookmarkEnd w:id="61"/>
    <w:p w14:paraId="10F6FABB" w14:textId="424AE8C5" w:rsidR="00D37B8A" w:rsidRPr="00EB3E32" w:rsidRDefault="00D37B8A" w:rsidP="0083075A">
      <w:pPr>
        <w:spacing w:after="0" w:line="240" w:lineRule="auto"/>
        <w:jc w:val="both"/>
        <w:rPr>
          <w:rFonts w:ascii="Times New Roman" w:hAnsi="Times New Roman" w:cs="Times New Roman"/>
          <w:color w:val="0070C0"/>
          <w:sz w:val="16"/>
          <w:szCs w:val="16"/>
          <w:lang w:val="en-US"/>
        </w:rPr>
      </w:pPr>
      <w:r>
        <w:rPr>
          <w:rFonts w:ascii="Times New Roman" w:hAnsi="Times New Roman" w:cs="Times New Roman"/>
          <w:color w:val="0070C0"/>
          <w:sz w:val="16"/>
          <w:szCs w:val="16"/>
        </w:rPr>
        <w:t>13 (</w:t>
      </w:r>
      <w:r w:rsidRPr="00FB4F67">
        <w:rPr>
          <w:rFonts w:ascii="Times New Roman" w:hAnsi="Times New Roman" w:cs="Times New Roman"/>
          <w:color w:val="0070C0"/>
          <w:sz w:val="16"/>
          <w:szCs w:val="16"/>
        </w:rPr>
        <w:t>26</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марта 1917 г. в районе Кимполунга (Румынский фронт) боевые расчеты нашей противосамолетной батареи сбили немецкий самолет. Раненые</w:t>
      </w:r>
      <w:r w:rsidRPr="00EB3E32">
        <w:rPr>
          <w:rFonts w:ascii="Times New Roman" w:hAnsi="Times New Roman" w:cs="Times New Roman"/>
          <w:color w:val="0070C0"/>
          <w:sz w:val="16"/>
          <w:szCs w:val="16"/>
          <w:lang w:val="en-US"/>
        </w:rPr>
        <w:t xml:space="preserve"> </w:t>
      </w:r>
      <w:r w:rsidRPr="00FB4F67">
        <w:rPr>
          <w:rFonts w:ascii="Times New Roman" w:hAnsi="Times New Roman" w:cs="Times New Roman"/>
          <w:color w:val="0070C0"/>
          <w:sz w:val="16"/>
          <w:szCs w:val="16"/>
        </w:rPr>
        <w:t>летчики</w:t>
      </w:r>
      <w:r w:rsidRPr="00EB3E32">
        <w:rPr>
          <w:rFonts w:ascii="Times New Roman" w:hAnsi="Times New Roman" w:cs="Times New Roman"/>
          <w:color w:val="0070C0"/>
          <w:sz w:val="16"/>
          <w:szCs w:val="16"/>
          <w:lang w:val="en-US"/>
        </w:rPr>
        <w:t xml:space="preserve"> </w:t>
      </w:r>
      <w:r w:rsidRPr="00FB4F67">
        <w:rPr>
          <w:rFonts w:ascii="Times New Roman" w:hAnsi="Times New Roman" w:cs="Times New Roman"/>
          <w:color w:val="0070C0"/>
          <w:sz w:val="16"/>
          <w:szCs w:val="16"/>
        </w:rPr>
        <w:t>пленены</w:t>
      </w:r>
      <w:r w:rsidRPr="00EB3E32">
        <w:rPr>
          <w:rFonts w:ascii="Times New Roman" w:hAnsi="Times New Roman" w:cs="Times New Roman"/>
          <w:color w:val="0070C0"/>
          <w:sz w:val="16"/>
          <w:szCs w:val="16"/>
          <w:lang w:val="en-US"/>
        </w:rPr>
        <w:t xml:space="preserve"> (23405).</w:t>
      </w:r>
    </w:p>
    <w:p w14:paraId="6DFD9BF7" w14:textId="77777777" w:rsidR="00D37B8A" w:rsidRPr="00EB3E32" w:rsidRDefault="00D37B8A" w:rsidP="0083075A">
      <w:pPr>
        <w:spacing w:after="0" w:line="240" w:lineRule="auto"/>
        <w:jc w:val="both"/>
        <w:rPr>
          <w:rFonts w:ascii="Times New Roman" w:hAnsi="Times New Roman" w:cs="Times New Roman"/>
          <w:color w:val="0070C0"/>
          <w:sz w:val="16"/>
          <w:szCs w:val="16"/>
          <w:lang w:val="en-US"/>
        </w:rPr>
      </w:pPr>
    </w:p>
    <w:p w14:paraId="4D448924" w14:textId="77777777" w:rsidR="003431D2" w:rsidRPr="00EB3E32"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2F2FDF">
        <w:rPr>
          <w:rFonts w:ascii="Times New Roman" w:hAnsi="Times New Roman" w:cs="Times New Roman"/>
          <w:i/>
          <w:iCs/>
          <w:color w:val="000000" w:themeColor="text1"/>
          <w:kern w:val="2"/>
          <w:sz w:val="16"/>
          <w:szCs w:val="16"/>
        </w:rPr>
        <w:t>Жизнь</w:t>
      </w:r>
      <w:r w:rsidRPr="00EB3E32">
        <w:rPr>
          <w:rFonts w:ascii="Times New Roman" w:hAnsi="Times New Roman" w:cs="Times New Roman"/>
          <w:i/>
          <w:iCs/>
          <w:color w:val="000000" w:themeColor="text1"/>
          <w:kern w:val="2"/>
          <w:sz w:val="16"/>
          <w:szCs w:val="16"/>
          <w:lang w:val="en-US"/>
        </w:rPr>
        <w:t xml:space="preserve"> </w:t>
      </w:r>
      <w:r w:rsidRPr="002F2FDF">
        <w:rPr>
          <w:rFonts w:ascii="Times New Roman" w:hAnsi="Times New Roman" w:cs="Times New Roman"/>
          <w:i/>
          <w:iCs/>
          <w:color w:val="000000" w:themeColor="text1"/>
          <w:kern w:val="2"/>
          <w:sz w:val="16"/>
          <w:szCs w:val="16"/>
        </w:rPr>
        <w:t>и</w:t>
      </w:r>
      <w:r w:rsidRPr="00EB3E32">
        <w:rPr>
          <w:rFonts w:ascii="Times New Roman" w:hAnsi="Times New Roman" w:cs="Times New Roman"/>
          <w:i/>
          <w:iCs/>
          <w:color w:val="000000" w:themeColor="text1"/>
          <w:kern w:val="2"/>
          <w:sz w:val="16"/>
          <w:szCs w:val="16"/>
          <w:lang w:val="en-US"/>
        </w:rPr>
        <w:t xml:space="preserve"> </w:t>
      </w:r>
      <w:r w:rsidRPr="002F2FDF">
        <w:rPr>
          <w:rFonts w:ascii="Times New Roman" w:hAnsi="Times New Roman" w:cs="Times New Roman"/>
          <w:i/>
          <w:iCs/>
          <w:color w:val="000000" w:themeColor="text1"/>
          <w:kern w:val="2"/>
          <w:sz w:val="16"/>
          <w:szCs w:val="16"/>
        </w:rPr>
        <w:t>внутренняя</w:t>
      </w:r>
      <w:r w:rsidRPr="00EB3E32">
        <w:rPr>
          <w:rFonts w:ascii="Times New Roman" w:hAnsi="Times New Roman" w:cs="Times New Roman"/>
          <w:i/>
          <w:iCs/>
          <w:color w:val="000000" w:themeColor="text1"/>
          <w:kern w:val="2"/>
          <w:sz w:val="16"/>
          <w:szCs w:val="16"/>
          <w:lang w:val="en-US"/>
        </w:rPr>
        <w:t xml:space="preserve"> </w:t>
      </w:r>
      <w:r w:rsidRPr="002F2FDF">
        <w:rPr>
          <w:rFonts w:ascii="Times New Roman" w:hAnsi="Times New Roman" w:cs="Times New Roman"/>
          <w:i/>
          <w:iCs/>
          <w:color w:val="000000" w:themeColor="text1"/>
          <w:kern w:val="2"/>
          <w:sz w:val="16"/>
          <w:szCs w:val="16"/>
        </w:rPr>
        <w:t>политика</w:t>
      </w:r>
      <w:r w:rsidRPr="00EB3E32">
        <w:rPr>
          <w:rFonts w:ascii="Times New Roman" w:hAnsi="Times New Roman" w:cs="Times New Roman"/>
          <w:i/>
          <w:iCs/>
          <w:color w:val="000000" w:themeColor="text1"/>
          <w:kern w:val="2"/>
          <w:sz w:val="16"/>
          <w:szCs w:val="16"/>
          <w:lang w:val="en-US"/>
        </w:rPr>
        <w:t>:</w:t>
      </w:r>
    </w:p>
    <w:p w14:paraId="594E1154" w14:textId="77777777" w:rsidR="003431D2" w:rsidRPr="00EB3E32"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22FBA8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March 26, 1917 Stalin was named to the head of the Pravda board (which supervised the printing of the Bolshevik newspaper) on March 13, 1917.</w:t>
      </w:r>
    </w:p>
    <w:p w14:paraId="2B8B29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14CFFB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марта 1917 И.В.С. был назначен главным редактором Правды.</w:t>
      </w:r>
    </w:p>
    <w:p w14:paraId="09EFA59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B0F1D1" w14:textId="0B956142" w:rsidR="00A37479" w:rsidRPr="002F2FDF" w:rsidRDefault="00A37479" w:rsidP="0083075A">
      <w:pPr>
        <w:pStyle w:val="ae"/>
        <w:spacing w:before="0" w:after="0"/>
        <w:jc w:val="both"/>
        <w:rPr>
          <w:color w:val="000000" w:themeColor="text1"/>
          <w:kern w:val="2"/>
          <w:sz w:val="16"/>
          <w:szCs w:val="16"/>
        </w:rPr>
      </w:pPr>
      <w:r w:rsidRPr="002F2FDF">
        <w:rPr>
          <w:color w:val="000000" w:themeColor="text1"/>
          <w:kern w:val="2"/>
          <w:sz w:val="16"/>
          <w:szCs w:val="16"/>
        </w:rPr>
        <w:t>13 (26) марта 1917 была арестована известная фаворитка бывшей императорской семьи, балерина Матильда Кшесинская. Ее упрекали не столько за «амурные» похождения, сколько в банальной коррупции. В 1915 году, когда русские войска сильно страдали от нехватки снарядов, тогдашний Верховный главнокомандующий, великий князь Николай Николаевич утверждал, что «бессилен что-либо сделать с артиллерийским ведомством, так как Матильда Кшесинская влияет на артиллерийские дела и участвует в распределении заказов между различными фирмами». Впрочем, вскоре балерину освободили, но знаменитый особняк Матильды Кшесинской в Петрограде был конфискован, ей пришлось некоторое время «скитаться по чужим людям», а потом навсегда покинуть Россию.</w:t>
      </w:r>
      <w:r w:rsidR="00E52569">
        <w:rPr>
          <w:color w:val="000000" w:themeColor="text1"/>
          <w:kern w:val="2"/>
          <w:sz w:val="16"/>
          <w:szCs w:val="16"/>
        </w:rPr>
        <w:t xml:space="preserve"> </w:t>
      </w:r>
      <w:r w:rsidRPr="002F2FDF">
        <w:rPr>
          <w:color w:val="000000" w:themeColor="text1"/>
          <w:kern w:val="2"/>
          <w:sz w:val="16"/>
          <w:szCs w:val="16"/>
        </w:rPr>
        <w:t xml:space="preserve"> Кшесинская проживет почти 100 лет и умрет только в 1971 году в Париже (17045).</w:t>
      </w:r>
    </w:p>
    <w:p w14:paraId="2439B5D8" w14:textId="77777777" w:rsidR="00A37479" w:rsidRPr="002F2FDF" w:rsidRDefault="00A37479"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01EDE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марта 1917 из ссылки на Украину вернулся историк и политик М. Грушевский (4962).</w:t>
      </w:r>
    </w:p>
    <w:p w14:paraId="4611310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92BF8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4CA33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1FC1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13 (26) марта 1917 был выполнен первый рейд в 1917 году. В полет отправились L-35, L-39, L-40 и L-41, которые должны были отбомбиться по Кенту и Эссексу. Над целью стояла плотная облачность, поэтому цеппелины сыпанули свой боезапас кто куда. На обратном пути, пролетая над Францией, над районом боевых действий, воздушные корабли попали под сильнейший обстрел зенитных батарей. В течение 15 минут по L-39 было выпущено более ста снарядов — один из них стал для корабля роковым. L-35 получил несколько попаданий, но сумел дотянуть до своего эллинга в Дрездене. [217] (11324).</w:t>
      </w:r>
    </w:p>
    <w:p w14:paraId="09400D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4D79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марта 1917 А.Мюррей нанес поражение германским войскам в Газе в Палестине (3907,89).</w:t>
      </w:r>
    </w:p>
    <w:p w14:paraId="2C3A55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F1C5D6" w14:textId="77777777" w:rsidR="0027354C" w:rsidRPr="002F2FDF" w:rsidRDefault="0027354C" w:rsidP="0083075A">
      <w:pPr>
        <w:pStyle w:val="ae"/>
        <w:spacing w:before="0" w:after="0"/>
        <w:jc w:val="both"/>
        <w:rPr>
          <w:color w:val="000000" w:themeColor="text1"/>
          <w:kern w:val="2"/>
          <w:sz w:val="16"/>
          <w:szCs w:val="16"/>
        </w:rPr>
      </w:pPr>
      <w:r w:rsidRPr="002F2FDF">
        <w:rPr>
          <w:color w:val="000000" w:themeColor="text1"/>
          <w:kern w:val="2"/>
          <w:sz w:val="16"/>
          <w:szCs w:val="16"/>
        </w:rPr>
        <w:t>13 (26) марта 1917 британские войска, подошедшие к южной границы Палестины, атаковали позиции турок. Однако османские части, которыми командовал германский генерал Фридрих Кресс, успешно отбили штурм. Общие потери британцев у Газы составили 4000 солдат и офицеров убитыми, ранеными, пропавшими без вести и пленными. Турки потеряли около 2400 человек. Тем не менее, английская пресса сообщила об этой битве как о победе, делая акцент лишь на том, что их войска готовы к новому наступлению. В ответ турки сбрасывали с самолетов листовки на английские позиции со следующими словами: «Вы разбили нас в официальных сообщениях о битве, а мы разбили вас у Газы» (17045).</w:t>
      </w:r>
    </w:p>
    <w:p w14:paraId="5A3F8FFD" w14:textId="77777777" w:rsidR="0027354C" w:rsidRPr="002F2FDF" w:rsidRDefault="0027354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83B04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E0F80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C3370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марта 1917 летчики обнаружили, что в хвостовых поплав</w:t>
      </w:r>
      <w:r w:rsidRPr="002F2FDF">
        <w:rPr>
          <w:rFonts w:ascii="Times New Roman" w:hAnsi="Times New Roman" w:cs="Times New Roman"/>
          <w:color w:val="000000" w:themeColor="text1"/>
          <w:kern w:val="2"/>
          <w:sz w:val="16"/>
          <w:szCs w:val="16"/>
        </w:rPr>
        <w:softHyphen/>
        <w:t>ках гидроаэропланов М-16 для уравновешивания машин находились... мешки с песком. Так выясни</w:t>
      </w:r>
      <w:r w:rsidRPr="002F2FDF">
        <w:rPr>
          <w:rFonts w:ascii="Times New Roman" w:hAnsi="Times New Roman" w:cs="Times New Roman"/>
          <w:color w:val="000000" w:themeColor="text1"/>
          <w:kern w:val="2"/>
          <w:sz w:val="16"/>
          <w:szCs w:val="16"/>
        </w:rPr>
        <w:softHyphen/>
        <w:t>лась опасная в своей примитивности попытка персонала завода ПРТВ оптимизировать центровку аппа</w:t>
      </w:r>
      <w:r w:rsidRPr="002F2FDF">
        <w:rPr>
          <w:rFonts w:ascii="Times New Roman" w:hAnsi="Times New Roman" w:cs="Times New Roman"/>
          <w:color w:val="000000" w:themeColor="text1"/>
          <w:kern w:val="2"/>
          <w:sz w:val="16"/>
          <w:szCs w:val="16"/>
        </w:rPr>
        <w:softHyphen/>
        <w:t>ратов; никто из “рационализаторов”, похоже, не предполагал, что заложницей зыбкого текучего груза становилась чья-то жизнь. Между тем, в мае зимняя кампания на Балтике завершилась, механики замени</w:t>
      </w:r>
      <w:r w:rsidRPr="002F2FDF">
        <w:rPr>
          <w:rFonts w:ascii="Times New Roman" w:hAnsi="Times New Roman" w:cs="Times New Roman"/>
          <w:color w:val="000000" w:themeColor="text1"/>
          <w:kern w:val="2"/>
          <w:sz w:val="16"/>
          <w:szCs w:val="16"/>
        </w:rPr>
        <w:softHyphen/>
        <w:t>ли водно-спиртовую смесь в радиаторах обычной жидкостью, а 22-го числа наблюдающий офицер под</w:t>
      </w:r>
      <w:r w:rsidRPr="002F2FDF">
        <w:rPr>
          <w:rFonts w:ascii="Times New Roman" w:hAnsi="Times New Roman" w:cs="Times New Roman"/>
          <w:color w:val="000000" w:themeColor="text1"/>
          <w:kern w:val="2"/>
          <w:sz w:val="16"/>
          <w:szCs w:val="16"/>
        </w:rPr>
        <w:softHyphen/>
        <w:t>поручик Г. Я. Эрдели получил предписание установить 6 самолетов типа М-16 на колесное шасси. Нет никакого намека на то, что такой проект когда-либо воплотился в реальность, как нет оснований дове</w:t>
      </w:r>
      <w:r w:rsidRPr="002F2FDF">
        <w:rPr>
          <w:rFonts w:ascii="Times New Roman" w:hAnsi="Times New Roman" w:cs="Times New Roman"/>
          <w:color w:val="000000" w:themeColor="text1"/>
          <w:kern w:val="2"/>
          <w:sz w:val="16"/>
          <w:szCs w:val="16"/>
        </w:rPr>
        <w:softHyphen/>
        <w:t>рять информации В. Б. Шаврова о том, что зимой некоторые аппараты этой модели оснащались лыжами вместо поплавков. Однако летом 1917 г. начальник VI Воздушного дивизиона Воздушной дивизии Бал</w:t>
      </w:r>
      <w:r w:rsidRPr="002F2FDF">
        <w:rPr>
          <w:rFonts w:ascii="Times New Roman" w:hAnsi="Times New Roman" w:cs="Times New Roman"/>
          <w:color w:val="000000" w:themeColor="text1"/>
          <w:kern w:val="2"/>
          <w:sz w:val="16"/>
          <w:szCs w:val="16"/>
        </w:rPr>
        <w:softHyphen/>
        <w:t>тийского моря лейтенант А. И. Макаревич модифицировал один из гидро по собственному соображе</w:t>
      </w:r>
      <w:r w:rsidRPr="002F2FDF">
        <w:rPr>
          <w:rFonts w:ascii="Times New Roman" w:hAnsi="Times New Roman" w:cs="Times New Roman"/>
          <w:color w:val="000000" w:themeColor="text1"/>
          <w:kern w:val="2"/>
          <w:sz w:val="16"/>
          <w:szCs w:val="16"/>
        </w:rPr>
        <w:softHyphen/>
        <w:t>нию и дабы улучшить летные характеристики машины. Переделка происходила на базе 2-й Воздушной бригады дивизии в Або</w:t>
      </w:r>
      <w:r w:rsidRPr="002F2FDF">
        <w:rPr>
          <w:rFonts w:ascii="Times New Roman" w:hAnsi="Times New Roman" w:cs="Times New Roman"/>
          <w:color w:val="000000" w:themeColor="text1"/>
          <w:kern w:val="2"/>
          <w:sz w:val="16"/>
          <w:szCs w:val="16"/>
          <w:vertAlign w:val="superscript"/>
        </w:rPr>
        <w:t>1</w:t>
      </w:r>
      <w:r w:rsidRPr="002F2FDF">
        <w:rPr>
          <w:rFonts w:ascii="Times New Roman" w:hAnsi="Times New Roman" w:cs="Times New Roman"/>
          <w:color w:val="000000" w:themeColor="text1"/>
          <w:kern w:val="2"/>
          <w:sz w:val="16"/>
          <w:szCs w:val="16"/>
        </w:rPr>
        <w:t>, и, вероятно, в результате ее офицер ожидал получить аэроплан с “нормальным” колесным шасси. Увы, ему не довелось увидеть плоды работы. Находясь в плену высоких революцион</w:t>
      </w:r>
      <w:r w:rsidRPr="002F2FDF">
        <w:rPr>
          <w:rFonts w:ascii="Times New Roman" w:hAnsi="Times New Roman" w:cs="Times New Roman"/>
          <w:color w:val="000000" w:themeColor="text1"/>
          <w:kern w:val="2"/>
          <w:sz w:val="16"/>
          <w:szCs w:val="16"/>
        </w:rPr>
        <w:softHyphen/>
        <w:t>ных идей, команда морской авиастанции Або деградировала до такой степени, что уже 18 июля коман</w:t>
      </w:r>
      <w:r w:rsidRPr="002F2FDF">
        <w:rPr>
          <w:rFonts w:ascii="Times New Roman" w:hAnsi="Times New Roman" w:cs="Times New Roman"/>
          <w:color w:val="000000" w:themeColor="text1"/>
          <w:kern w:val="2"/>
          <w:sz w:val="16"/>
          <w:szCs w:val="16"/>
        </w:rPr>
        <w:softHyphen/>
        <w:t>дующий Балтийским флотом приказал расформировать ее; к сожалению, процесс затянулся, а 30 августа обозленные матросы, собравшись между станционными ангарами, убили Макаревича. В середине нояб</w:t>
      </w:r>
      <w:r w:rsidRPr="002F2FDF">
        <w:rPr>
          <w:rFonts w:ascii="Times New Roman" w:hAnsi="Times New Roman" w:cs="Times New Roman"/>
          <w:color w:val="000000" w:themeColor="text1"/>
          <w:kern w:val="2"/>
          <w:sz w:val="16"/>
          <w:szCs w:val="16"/>
        </w:rPr>
        <w:softHyphen/>
        <w:t>ря его аппарат все-таки почти закончили в местных авиамастерских и намеревались испытать; в начале декабря речь шла уже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самолет; в конце концов, это был единствен</w:t>
      </w:r>
      <w:r w:rsidRPr="002F2FDF">
        <w:rPr>
          <w:rFonts w:ascii="Times New Roman" w:hAnsi="Times New Roman" w:cs="Times New Roman"/>
          <w:color w:val="000000" w:themeColor="text1"/>
          <w:kern w:val="2"/>
          <w:sz w:val="16"/>
          <w:szCs w:val="16"/>
        </w:rPr>
        <w:softHyphen/>
        <w:t>ный способ существенно продлить карьеру модели, или даже вдохнуть в нее новую жизнь, после того, как 20 сентября 1917 г. в докладе Управления морской авиации и воздухоплавания (УМАиВ) говори</w:t>
      </w:r>
      <w:r w:rsidRPr="002F2FDF">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6322DBF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5E4796" w14:textId="77777777" w:rsidR="00B24245" w:rsidRPr="002F2FDF" w:rsidRDefault="00B2424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AED14B0" w14:textId="77777777" w:rsidR="00B24245" w:rsidRPr="002F2FDF" w:rsidRDefault="00B2424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3FA3EA" w14:textId="77777777" w:rsidR="00B24245" w:rsidRPr="002F2FDF" w:rsidRDefault="00B24245" w:rsidP="0083075A">
      <w:pPr>
        <w:pStyle w:val="p1"/>
        <w:spacing w:before="0" w:beforeAutospacing="0" w:after="0" w:afterAutospacing="0"/>
        <w:jc w:val="both"/>
        <w:rPr>
          <w:color w:val="000000" w:themeColor="text1"/>
          <w:sz w:val="16"/>
          <w:szCs w:val="16"/>
        </w:rPr>
      </w:pPr>
      <w:r w:rsidRPr="002F2FDF">
        <w:rPr>
          <w:color w:val="000000" w:themeColor="text1"/>
          <w:sz w:val="16"/>
          <w:szCs w:val="16"/>
        </w:rPr>
        <w:t>14 (27) марта 1917 начальник ГАУ Маниковский, согласно записи М.К. Лемке, «сидя утром за кофе в собрании», «довольно громко говорил с артиллеристами о рабочих казенных артиллерийских заводов и высказывал, что с ними нужна твердая власть», хотя при этом и «вникание в их материальные условия. Такой политики он и держится». Приподнятое состояние духа объяснялось тем, что Маниковский получил аудиенцию у царя и имел возможность доложить ему «о своих деловых», но «принципиальных расхождениях с Поливановым, особенно в области рабочего вопроса. Уехав отсюда, он стал еще тверже на своем посту», а Поливанов в этот же день получил оскорбительную отставку. Преимуществом казенных заводов перед частными Маниковский считал их недоступность для революционной заразы.</w:t>
      </w:r>
    </w:p>
    <w:p w14:paraId="48802B23" w14:textId="77777777" w:rsidR="00B24245" w:rsidRPr="002F2FDF" w:rsidRDefault="00B24245"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Накануне революции в письмах Барсукову в Ставку он постоянно возмущался и скорбел по поводу бездействия высшей власти перед лицом назреваюшего военного бунта. Он яростно клеймил окружение Николая II за то, что министры не принимают мер и никто даже не решается открыть Верховному главнокомандующему глаза. Он попытался сделать это сам, пробившись 4 ноября 1916 г. на аудиенцию к царю, был обласкан и тут же произведен в генералы от артиллерии. Бдительный генерал и от других не скрывал своей тревоги: в армии подготовляются «адовы планы». Мог ли он предположить, что век спустя именно из-за этого получит обвинение в национальном предательстве. Ныне Маниковский разоблачен как соучастник «целенаправленной подрывной акции с целью свержения существующего строя, организованной группой лиц», включавшей военное руководство заводов, в интересах американских банкиров и при содействии «немецких диверсантов» (18409).</w:t>
      </w:r>
    </w:p>
    <w:p w14:paraId="7803C38A" w14:textId="77777777" w:rsidR="00B24245" w:rsidRPr="002F2FDF" w:rsidRDefault="00B24245" w:rsidP="0083075A">
      <w:pPr>
        <w:pStyle w:val="p1"/>
        <w:spacing w:before="0" w:beforeAutospacing="0" w:after="0" w:afterAutospacing="0"/>
        <w:jc w:val="both"/>
        <w:rPr>
          <w:color w:val="000000" w:themeColor="text1"/>
          <w:sz w:val="16"/>
          <w:szCs w:val="16"/>
        </w:rPr>
      </w:pPr>
    </w:p>
    <w:p w14:paraId="43717F91" w14:textId="77777777" w:rsidR="003431D2" w:rsidRPr="002F2FDF" w:rsidRDefault="00CC1BE3"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437B00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68A18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Днем 14 (27) марта 1917 опе</w:t>
      </w:r>
      <w:r w:rsidRPr="002F2FDF">
        <w:rPr>
          <w:rFonts w:ascii="Times New Roman" w:hAnsi="Times New Roman" w:cs="Times New Roman"/>
          <w:color w:val="000000" w:themeColor="text1"/>
          <w:kern w:val="2"/>
          <w:sz w:val="16"/>
          <w:szCs w:val="16"/>
        </w:rPr>
        <w:softHyphen/>
        <w:t>ративная группа в составе трех гидрокрейсеров (имевших всего 10 летающих ло</w:t>
      </w:r>
      <w:r w:rsidRPr="002F2FDF">
        <w:rPr>
          <w:rFonts w:ascii="Times New Roman" w:hAnsi="Times New Roman" w:cs="Times New Roman"/>
          <w:color w:val="000000" w:themeColor="text1"/>
          <w:kern w:val="2"/>
          <w:sz w:val="16"/>
          <w:szCs w:val="16"/>
        </w:rPr>
        <w:softHyphen/>
        <w:t>док!) в сопровождении трех эсминцев, которая осуществляла разведку и фотосъемку объектов в Констанце, возвратилась в Севастополь, а маневренная группа еще находилась вблизи пролива и обстреливала бере</w:t>
      </w:r>
      <w:r w:rsidRPr="002F2FDF">
        <w:rPr>
          <w:rFonts w:ascii="Times New Roman" w:hAnsi="Times New Roman" w:cs="Times New Roman"/>
          <w:color w:val="000000" w:themeColor="text1"/>
          <w:kern w:val="2"/>
          <w:sz w:val="16"/>
          <w:szCs w:val="16"/>
        </w:rPr>
        <w:softHyphen/>
        <w:t>говые укрепления. О приключениях пропавшего экипажа стало известно неде</w:t>
      </w:r>
      <w:r w:rsidRPr="002F2FDF">
        <w:rPr>
          <w:rFonts w:ascii="Times New Roman" w:hAnsi="Times New Roman" w:cs="Times New Roman"/>
          <w:color w:val="000000" w:themeColor="text1"/>
          <w:kern w:val="2"/>
          <w:sz w:val="16"/>
          <w:szCs w:val="16"/>
        </w:rPr>
        <w:softHyphen/>
        <w:t>лю спустя. Из-за пулевой пробоины в бензобаке летчики со</w:t>
      </w:r>
      <w:r w:rsidRPr="002F2FDF">
        <w:rPr>
          <w:rFonts w:ascii="Times New Roman" w:hAnsi="Times New Roman" w:cs="Times New Roman"/>
          <w:color w:val="000000" w:themeColor="text1"/>
          <w:kern w:val="2"/>
          <w:sz w:val="16"/>
          <w:szCs w:val="16"/>
        </w:rPr>
        <w:softHyphen/>
        <w:t>вершили вынужденную посадку у вражеского побережья, зах</w:t>
      </w:r>
      <w:r w:rsidRPr="002F2FDF">
        <w:rPr>
          <w:rFonts w:ascii="Times New Roman" w:hAnsi="Times New Roman" w:cs="Times New Roman"/>
          <w:color w:val="000000" w:themeColor="text1"/>
          <w:kern w:val="2"/>
          <w:sz w:val="16"/>
          <w:szCs w:val="16"/>
        </w:rPr>
        <w:softHyphen/>
        <w:t>ватили турецкую шхуну, установили на ней пулемет, снятый с аэроплана перед его затоплением. Затем новоявленные “море</w:t>
      </w:r>
      <w:r w:rsidRPr="002F2FDF">
        <w:rPr>
          <w:rFonts w:ascii="Times New Roman" w:hAnsi="Times New Roman" w:cs="Times New Roman"/>
          <w:color w:val="000000" w:themeColor="text1"/>
          <w:kern w:val="2"/>
          <w:sz w:val="16"/>
          <w:szCs w:val="16"/>
        </w:rPr>
        <w:softHyphen/>
        <w:t>ходы” под парусами пересекли Черное море и остановились у “родной” Джарылгачской косы, о чем в главную базу сооб</w:t>
      </w:r>
      <w:r w:rsidRPr="002F2FDF">
        <w:rPr>
          <w:rFonts w:ascii="Times New Roman" w:hAnsi="Times New Roman" w:cs="Times New Roman"/>
          <w:color w:val="000000" w:themeColor="text1"/>
          <w:kern w:val="2"/>
          <w:sz w:val="16"/>
          <w:szCs w:val="16"/>
        </w:rPr>
        <w:softHyphen/>
        <w:t>щил береговой пост (11283).</w:t>
      </w:r>
    </w:p>
    <w:p w14:paraId="240ABA9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A55CA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14 (27) марта 1917 года, через две недели после опыбликования в севастопольской газете “Крымский вестник” объявленного Петроградским Со</w:t>
      </w:r>
      <w:r w:rsidRPr="002F2FDF">
        <w:rPr>
          <w:rFonts w:ascii="Times New Roman" w:hAnsi="Times New Roman" w:cs="Times New Roman"/>
          <w:color w:val="000000" w:themeColor="text1"/>
          <w:kern w:val="2"/>
          <w:sz w:val="16"/>
          <w:szCs w:val="16"/>
        </w:rPr>
        <w:softHyphen/>
        <w:t>ветом рабочих и солдатских депутатов приказа № 1 “О выборах комитетов и новом распорядке в воинских частях”, а затем и приказа № 2 о демократических преобразованиях Севастопольский Совет принял соответству</w:t>
      </w:r>
      <w:r w:rsidRPr="002F2FDF">
        <w:rPr>
          <w:rFonts w:ascii="Times New Roman" w:hAnsi="Times New Roman" w:cs="Times New Roman"/>
          <w:color w:val="000000" w:themeColor="text1"/>
          <w:kern w:val="2"/>
          <w:sz w:val="16"/>
          <w:szCs w:val="16"/>
        </w:rPr>
        <w:softHyphen/>
        <w:t>ющее положение “О судовых, ротных и полковых комите</w:t>
      </w:r>
      <w:r w:rsidRPr="002F2FDF">
        <w:rPr>
          <w:rFonts w:ascii="Times New Roman" w:hAnsi="Times New Roman" w:cs="Times New Roman"/>
          <w:color w:val="000000" w:themeColor="text1"/>
          <w:kern w:val="2"/>
          <w:sz w:val="16"/>
          <w:szCs w:val="16"/>
        </w:rPr>
        <w:softHyphen/>
        <w:t>тах”. Официально его ввел в действие вице-адмирал А. Кол</w:t>
      </w:r>
      <w:r w:rsidRPr="002F2FDF">
        <w:rPr>
          <w:rFonts w:ascii="Times New Roman" w:hAnsi="Times New Roman" w:cs="Times New Roman"/>
          <w:color w:val="000000" w:themeColor="text1"/>
          <w:kern w:val="2"/>
          <w:sz w:val="16"/>
          <w:szCs w:val="16"/>
        </w:rPr>
        <w:softHyphen/>
        <w:t>чак, обязав комитет поддерживать боевую мощь флота. По требованию комитета, командующий издал приказ о пере</w:t>
      </w:r>
      <w:r w:rsidRPr="002F2FDF">
        <w:rPr>
          <w:rFonts w:ascii="Times New Roman" w:hAnsi="Times New Roman" w:cs="Times New Roman"/>
          <w:color w:val="000000" w:themeColor="text1"/>
          <w:kern w:val="2"/>
          <w:sz w:val="16"/>
          <w:szCs w:val="16"/>
        </w:rPr>
        <w:softHyphen/>
        <w:t>именовании ряда военных судов, носивших “царские” имена. Это коснулось не только линкоров, но и гидрокрейсеров. Во второй половине мая “Император Александр I” стал на</w:t>
      </w:r>
      <w:r w:rsidRPr="002F2FDF">
        <w:rPr>
          <w:rFonts w:ascii="Times New Roman" w:hAnsi="Times New Roman" w:cs="Times New Roman"/>
          <w:color w:val="000000" w:themeColor="text1"/>
          <w:kern w:val="2"/>
          <w:sz w:val="16"/>
          <w:szCs w:val="16"/>
        </w:rPr>
        <w:softHyphen/>
        <w:t>зываться “Республиканцем”, а “Император Николай I” -“Авиатором”, арендованная “Румыния” сохранила свое на</w:t>
      </w:r>
      <w:r w:rsidRPr="002F2FDF">
        <w:rPr>
          <w:rFonts w:ascii="Times New Roman" w:hAnsi="Times New Roman" w:cs="Times New Roman"/>
          <w:color w:val="000000" w:themeColor="text1"/>
          <w:kern w:val="2"/>
          <w:sz w:val="16"/>
          <w:szCs w:val="16"/>
        </w:rPr>
        <w:softHyphen/>
        <w:t>звание (11283).</w:t>
      </w:r>
    </w:p>
    <w:p w14:paraId="44DFF0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1447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14 (27) марта 1917 года, спустя две недели после опубликования в севастопольской газете "Крымский вестник" объявленного Петроградским Советом рабочих и солдатских депутатов приказа № 1 "О выборах комитетов и новом распорядке в воинских частях", а затем приказа № 2 о демократических преобразованиях, был организован Севастопольский Совет, принявший соответствующее положение "О судовых, ротных и полковых комитетах". Большевиков в составе Советов почти не было, а преобладали меньшевики и эсеры. Пытаясь удержать матросские комитеты под контролем, командование флота направляло в них наиболее надёжных офицеров и кондукторов. До некоторой степени сдерживать революционное движение удавалось, и на Черноморском флоте в течение некоторого времени сохранялась дисциплина.</w:t>
      </w:r>
    </w:p>
    <w:p w14:paraId="4B19D3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Официально комитет ввел в действие вице-адмирал А. Колчак. По требованию комитета, командующий издал приказ о переименовании военных судов, носивших "царские" имена. Во второй половине мая "Император Александр I" стал называться "Республиканцем", а "Император Николай I" - "Авиатором", арендованная "Румыния" сохранила свое название (11933).</w:t>
      </w:r>
    </w:p>
    <w:p w14:paraId="38D0F0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41D717" w14:textId="1773F199" w:rsidR="00D37B8A" w:rsidRPr="00FB4F67" w:rsidRDefault="00D37B8A" w:rsidP="0083075A">
      <w:pPr>
        <w:spacing w:after="0" w:line="240" w:lineRule="auto"/>
        <w:jc w:val="both"/>
        <w:rPr>
          <w:rFonts w:ascii="Times New Roman" w:hAnsi="Times New Roman" w:cs="Times New Roman"/>
          <w:color w:val="0070C0"/>
          <w:sz w:val="16"/>
          <w:szCs w:val="16"/>
        </w:rPr>
      </w:pPr>
      <w:bookmarkStart w:id="62" w:name="bookmark729"/>
      <w:r>
        <w:rPr>
          <w:rFonts w:ascii="Times New Roman" w:hAnsi="Times New Roman" w:cs="Times New Roman"/>
          <w:color w:val="0070C0"/>
          <w:sz w:val="16"/>
          <w:szCs w:val="16"/>
        </w:rPr>
        <w:t>14 (</w:t>
      </w:r>
      <w:r w:rsidRPr="00FB4F67">
        <w:rPr>
          <w:rFonts w:ascii="Times New Roman" w:hAnsi="Times New Roman" w:cs="Times New Roman"/>
          <w:color w:val="0070C0"/>
          <w:sz w:val="16"/>
          <w:szCs w:val="16"/>
        </w:rPr>
        <w:t>27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марта 1917 г. летчики авиаотряда Гренадерского корпуса старший унтер- офицер Павленко с наблюдателем младшим унтер-офицером Веременко на самолете «Вуазен», подвергнувшись атаке неприятельского «Альбатроса» в районе оз. Колдычева, не только приняли бой, но в свою очередь сами атаковали немца. После 12</w:t>
      </w:r>
      <w:r w:rsidRPr="00FB4F67">
        <w:rPr>
          <w:rFonts w:ascii="Times New Roman" w:hAnsi="Times New Roman" w:cs="Times New Roman"/>
          <w:color w:val="0070C0"/>
          <w:sz w:val="16"/>
          <w:szCs w:val="16"/>
        </w:rPr>
        <w:softHyphen/>
        <w:t>минутного боя вынудили его спуститься в районе Колпеницы - Барановичи. В то же время на участке Румынского фронта в качестве трофея нам достался австрийский самолет «Бранденбург», совершивший вынужденную посадку в районе Кирлибаба (23405).</w:t>
      </w:r>
      <w:bookmarkEnd w:id="62"/>
    </w:p>
    <w:p w14:paraId="02E54747" w14:textId="77777777" w:rsidR="00D37B8A" w:rsidRPr="00FB4F67" w:rsidRDefault="00D37B8A" w:rsidP="0083075A">
      <w:pPr>
        <w:spacing w:after="0" w:line="240" w:lineRule="auto"/>
        <w:jc w:val="both"/>
        <w:rPr>
          <w:rFonts w:ascii="Times New Roman" w:hAnsi="Times New Roman" w:cs="Times New Roman"/>
          <w:color w:val="0070C0"/>
          <w:sz w:val="16"/>
          <w:szCs w:val="16"/>
        </w:rPr>
      </w:pPr>
    </w:p>
    <w:p w14:paraId="30EC31EE" w14:textId="5F06C198" w:rsidR="00D37B8A" w:rsidRPr="00FB4F67" w:rsidRDefault="00D37B8A"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14 (</w:t>
      </w:r>
      <w:r w:rsidRPr="00FB4F67">
        <w:rPr>
          <w:rFonts w:ascii="Times New Roman" w:hAnsi="Times New Roman" w:cs="Times New Roman"/>
          <w:color w:val="0070C0"/>
          <w:sz w:val="16"/>
          <w:szCs w:val="16"/>
        </w:rPr>
        <w:t>27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марта 1917 г. в Черном море шесть российских летающих лодок М-9 с авианосца «Николай I» нанесли удар по водяным насосам в Деркосе, в 48 км к юго-западу от Константинополя, повредив магистральный трубопровод, по которому вода поступала в столицу. Один М-9 был поврежден турецким наземным огнем и вынужден приземлиться в море. Морскому летчику М. М. Сергиеву и механику Т. Туру удалось подрулить к небольшой турецкой шхуне, команду которой они отправили на небольшой лодке, проведя на шхуне пять ночей в море, прежде чем причалить к западу от Перекопа в Крыму (23525).</w:t>
      </w:r>
    </w:p>
    <w:p w14:paraId="704447B5" w14:textId="77777777" w:rsidR="00D37B8A" w:rsidRPr="00FB4F67" w:rsidRDefault="00D37B8A" w:rsidP="0083075A">
      <w:pPr>
        <w:spacing w:after="0" w:line="240" w:lineRule="auto"/>
        <w:jc w:val="both"/>
        <w:rPr>
          <w:rFonts w:ascii="Times New Roman" w:hAnsi="Times New Roman" w:cs="Times New Roman"/>
          <w:color w:val="0070C0"/>
          <w:sz w:val="16"/>
          <w:szCs w:val="16"/>
        </w:rPr>
      </w:pPr>
    </w:p>
    <w:p w14:paraId="42B04AF7" w14:textId="77777777" w:rsidR="001C638F" w:rsidRPr="002F2FDF" w:rsidRDefault="001C638F"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14 (27) марта 1917 союзный транспорт был потоплен прямо на глазах у моряков дозорного русского тральщика (17007).</w:t>
      </w:r>
    </w:p>
    <w:p w14:paraId="0038CA70" w14:textId="77777777" w:rsidR="001C638F" w:rsidRPr="002F2FDF" w:rsidRDefault="001C638F"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p>
    <w:p w14:paraId="1DBAE2F6" w14:textId="77777777" w:rsidR="0027354C" w:rsidRPr="002F2FDF" w:rsidRDefault="0027354C" w:rsidP="0083075A">
      <w:pPr>
        <w:pStyle w:val="ae"/>
        <w:spacing w:before="0" w:after="0"/>
        <w:jc w:val="both"/>
        <w:rPr>
          <w:color w:val="000000" w:themeColor="text1"/>
          <w:kern w:val="2"/>
          <w:sz w:val="16"/>
          <w:szCs w:val="16"/>
        </w:rPr>
      </w:pPr>
      <w:r w:rsidRPr="002F2FDF">
        <w:rPr>
          <w:color w:val="000000" w:themeColor="text1"/>
          <w:kern w:val="2"/>
          <w:sz w:val="16"/>
          <w:szCs w:val="16"/>
        </w:rPr>
        <w:t>С 14 (27) марта по 2 апреля 1917 немецкие подлодки потопили в Средиземном море и у берегов Великобритании 100 судов, в основном грузовых транспортов (17045).</w:t>
      </w:r>
    </w:p>
    <w:p w14:paraId="25A1BAA8" w14:textId="77777777" w:rsidR="0027354C" w:rsidRPr="002F2FDF" w:rsidRDefault="0027354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82853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lastRenderedPageBreak/>
        <w:t>Жизнь и внутренняя политика:</w:t>
      </w:r>
    </w:p>
    <w:p w14:paraId="523E56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8BD79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марта 1917 в Киев из ссылки вернулся председатель Центральной Рады, украинский историк Михаил Грушевский (4962).</w:t>
      </w:r>
    </w:p>
    <w:p w14:paraId="5BDB5AD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386B1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5470C5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677D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марта 1917 Петроградский совет обратился к народам мира о заключении мира без аннексий (1348,114).</w:t>
      </w:r>
    </w:p>
    <w:p w14:paraId="6E488E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9CE1A3"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14 (27) марта</w:t>
      </w:r>
      <w:r w:rsidRPr="002F2FDF">
        <w:rPr>
          <w:rFonts w:ascii="Times New Roman" w:hAnsi="Times New Roman" w:cs="Times New Roman"/>
          <w:color w:val="000000" w:themeColor="text1"/>
          <w:kern w:val="2"/>
          <w:sz w:val="16"/>
          <w:szCs w:val="16"/>
        </w:rPr>
        <w:t xml:space="preserve"> в 1917 году призыв Петроградского совета к народам всего мира заключить мир без аннексий (15081).</w:t>
      </w:r>
    </w:p>
    <w:p w14:paraId="4D891D14"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p>
    <w:p w14:paraId="202D73A4" w14:textId="77777777" w:rsidR="0027354C" w:rsidRPr="002F2FDF" w:rsidRDefault="0027354C" w:rsidP="0083075A">
      <w:pPr>
        <w:pStyle w:val="ae"/>
        <w:spacing w:before="0" w:after="0"/>
        <w:jc w:val="both"/>
        <w:rPr>
          <w:color w:val="000000" w:themeColor="text1"/>
          <w:kern w:val="2"/>
          <w:sz w:val="16"/>
          <w:szCs w:val="16"/>
        </w:rPr>
      </w:pPr>
      <w:r w:rsidRPr="002F2FDF">
        <w:rPr>
          <w:color w:val="000000" w:themeColor="text1"/>
          <w:kern w:val="2"/>
          <w:sz w:val="16"/>
          <w:szCs w:val="16"/>
        </w:rPr>
        <w:t>14 (27) марта 1917 Петроградский совет рабочих и солдатских депутатов принял «Декларацию о мире без аннексий и контрибуций», в которой обратился с призывом о скорейшем заключении мира ко всем воюющим странам. Однако 30 марта германские социал-демократы в рейхстаге заявили, что «германский пролетариат не послушается советов из-за границы и не начнет революцию у себя». Французские социалисты перепечатали декларацию со значительными цензурными правками в газете «Юманите», но никакого ответа на нее не дали. Тем не менее, 30 марта в Париже и Лондоне прошли крупные митинги с выражением поддержки русской революции (17045).</w:t>
      </w:r>
    </w:p>
    <w:p w14:paraId="0ABA1939" w14:textId="77777777" w:rsidR="0027354C" w:rsidRPr="002F2FDF" w:rsidRDefault="0027354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109B68" w14:textId="1629CBF9" w:rsidR="00D37B8A" w:rsidRDefault="00D37B8A"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28DEFD48" w14:textId="77777777" w:rsidR="00D37B8A" w:rsidRDefault="00D37B8A"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DA785CE" w14:textId="240F5E02" w:rsidR="00D37B8A" w:rsidRPr="00FB4F67" w:rsidRDefault="00D37B8A"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На </w:t>
      </w:r>
      <w:r>
        <w:rPr>
          <w:rFonts w:ascii="Times New Roman" w:hAnsi="Times New Roman" w:cs="Times New Roman"/>
          <w:color w:val="0070C0"/>
          <w:sz w:val="16"/>
          <w:szCs w:val="16"/>
        </w:rPr>
        <w:t>15 (</w:t>
      </w:r>
      <w:r w:rsidRPr="00FB4F67">
        <w:rPr>
          <w:rFonts w:ascii="Times New Roman" w:hAnsi="Times New Roman" w:cs="Times New Roman"/>
          <w:color w:val="0070C0"/>
          <w:sz w:val="16"/>
          <w:szCs w:val="16"/>
        </w:rPr>
        <w:t>28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марта 1917 г. боевой порядок ВВС России (с севера на юг): 12-я армия с 10-й КАО, 23-й КАО, 33-й КАО, 12-й армией АО и 12-й ФАО; 5-я армия в составе 13-й КАО, 17-й КАО, 29-й КАО, 1-й армии АО и 5-й ФАО; 1-я армия с 15-й КАО, 5-й армией АО и 1-й ФАО; 10-я армия в составе 1-й КАО, 18-й КАО, 22-й КАО, 25-й КАО, 34-й КАО и 10-й армейской АО; 2-я армия в составе гренадерских КАО, 11-й КАО, 21-й КАО и 2-й армии АО; 3-я армия с 9-й КАО, 24-я КАО, 1-я Сибирская КАО и 3-я ФАО; Особая армия в составе 1-го гв. КАО, 2-го гв. КАО и 35-го КАО; 11-я армия с 7-й КАО, 8-й КАО, 6-й армейской АО, 11-й армейской АО, 13-й армейской АО и 2-й ФАО; 7-я армия в составе 3-й КАО, 32-й КАО, 4-й артиллерийской АО, 3-й армии АО, 9-й армии АО и 7-й ФАО; 8-я армия в составе 5-й КАО, 12-й КАО, 16-й КАО, 8-й армейской АО, 8-й ФАО и 1-й боевой авиагруппы в составе 2-й, 4-й и 19-й КАО; 9-я армия в составе 14-й КАО, 26-й КАО, 28-й КАО, 30-й КАО и 9-й ФАО; 4-я армия в составе 27-й КАО, 4-й армии АО и 4-й ФАО; 6-я армия в составе 6-й КАО, 20-й КАО, 36-й КАО и 10-й ФАО; Кавказская армия в составе 1-й, 2-й, 3-й и 4-й Кавказских КАО; В резерве или формировании: 3-й Сибирский КАО, 5-й Сибирский КАО, 6-й Сибирский КАО, 1-й Туркестанский КАО и 11-й ФАО (23525).</w:t>
      </w:r>
    </w:p>
    <w:p w14:paraId="6EC4F0B9" w14:textId="77777777" w:rsidR="00D37B8A" w:rsidRPr="00FB4F67" w:rsidRDefault="00D37B8A" w:rsidP="0083075A">
      <w:pPr>
        <w:spacing w:after="0" w:line="240" w:lineRule="auto"/>
        <w:jc w:val="both"/>
        <w:rPr>
          <w:rFonts w:ascii="Times New Roman" w:hAnsi="Times New Roman" w:cs="Times New Roman"/>
          <w:color w:val="0070C0"/>
          <w:sz w:val="16"/>
          <w:szCs w:val="16"/>
        </w:rPr>
      </w:pPr>
    </w:p>
    <w:p w14:paraId="20664D7E" w14:textId="3526B448"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FB78D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BF20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марта 1917 начался проезд В.И.Л. и других большевиков через Германию (3481).</w:t>
      </w:r>
    </w:p>
    <w:p w14:paraId="323EC4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F631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марта 1917 в Петрограде и Москве было создано Центральное бюро профсоюзов (1348,112).</w:t>
      </w:r>
    </w:p>
    <w:p w14:paraId="7BC39E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A94C1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марта 1917 началась первая конференция Советов Донбасса (4962).</w:t>
      </w:r>
    </w:p>
    <w:p w14:paraId="6BD92B2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5A643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7C390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86E9D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марта 1917 турецкие власти изгнали евреев из Тель-Авива (4962).</w:t>
      </w:r>
    </w:p>
    <w:p w14:paraId="66C6198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CF0964" w14:textId="77777777" w:rsidR="000D147A"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19A832FF" w14:textId="77777777" w:rsidR="000D147A" w:rsidRPr="002F2FDF" w:rsidRDefault="000D147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B9292A"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марта 1917 г. Донесение уполномоченного Особого совещания по обороне и главного начальника уральских горных заводов Н. И. Егорова Особому совещанию по обороне о тяжелом положении заводов Урала, выполняющих военные заказы, и о мерах по его устранению.</w:t>
      </w:r>
    </w:p>
    <w:p w14:paraId="2E6D29DE"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33-36</w:t>
      </w:r>
    </w:p>
    <w:p w14:paraId="2CEBFBEC"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37, оп. 58, д. 873, лл. 163—164 об. Копия. ЦГВИА, ф. 369, оп. 21, д. 137, лл. 219—221. Копия.</w:t>
      </w:r>
    </w:p>
    <w:p w14:paraId="742C5124"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основании телеграммы моих заместителей от 5, 12 и 15 марта с. г. положение на Урале рисуется в следующем виде. Помимо почтовых сношений при Уральском заводском совещании был созван съезд представителей 25 горнозаводских округов Урала для обсуждения программы прокатки и попутно выяснилось положение работы на заводах.</w:t>
      </w:r>
    </w:p>
    <w:p w14:paraId="6331CC0F"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Пермские пушечные завод ы. Остановлены два мартена из-за неподвоза дров со станции Пермской ж. д.</w:t>
      </w:r>
    </w:p>
    <w:p w14:paraId="086E5091"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Гороблагодатские заводы. Уменьшили прессовку и сдачу снарядов наполовину. Причина — не подвоз дров, нефти и снарядной стали.</w:t>
      </w:r>
    </w:p>
    <w:p w14:paraId="0B157A7C"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Златоустовские завод ы. Угрожают остановкой. Причина — неподвоз каменного угля, мазута, кокса, магнезита.</w:t>
      </w:r>
    </w:p>
    <w:p w14:paraId="5208962D"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Симские заводы. Накануне остановки домен в Ашо-Балашовской и прокатных в Миньяре. Причина — неподвоз руды бакальской и каменного угля.</w:t>
      </w:r>
    </w:p>
    <w:p w14:paraId="2E761FDB"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Лысьвенские заводы. Остановлены цеха шанцевый, ковочный, часть прокатных, под угрозой остановки находятся домны. Причина — неподвоз руды (за февраль дано 270 вагонов вместо 570), каменного угля.</w:t>
      </w:r>
    </w:p>
    <w:p w14:paraId="04B0D06E"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Белоредкие заводы. Остановлен Тирлянский завод, одна мартеновская печь, прокатка снарядной заготовки. Причина — неподвоз каменного угля.</w:t>
      </w:r>
    </w:p>
    <w:p w14:paraId="0E38C476"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Пашинский завод. Остановлена домна. Причина — недостаток древесного угля.</w:t>
      </w:r>
    </w:p>
    <w:p w14:paraId="32D594B2"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Тагильский завод. Остановлены две домны, два мартена, иод угрозой остановки — выплавка снарядной стали, гужевая возка горючего, работа Подольского завода Земгора, получающего снарядные стаканы из Тагила. Причина — неподвоз древесного угля по железной дороге, чугуна из Кизела, неподача вагонов под готовые стаканы для Подольского завода, неподвоз овса из Бугульмы.</w:t>
      </w:r>
    </w:p>
    <w:p w14:paraId="46B6427C"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Сергинско-Уфалейские заводы. Сокращена выплавка чугуна. Причина — не подвоз руды.</w:t>
      </w:r>
    </w:p>
    <w:p w14:paraId="5921765F"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Богославские заводы. Остановлены две домны. Под угрозой выплавка снарядной стали. Причина — не подвоз древесного топлива и руды, южного кокса, недостаток паровозов для своей узкоколейки.</w:t>
      </w:r>
    </w:p>
    <w:p w14:paraId="73C706DB"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Ревдинские заводы. Угроза остановки мартеновских печей, а летом Бисертской домны (имеющей древесный уголь на всю кампанию). Причина — н еподвоз 3 вагонов ферромарганца со ст. Горяиново на ст. Барановская, руды синарской, которая должна быть подвезена зимним путем, т. е. не позднее 25 сего марта.</w:t>
      </w:r>
    </w:p>
    <w:p w14:paraId="355EF26D"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Невьянский труболитейный завод. Остановлен. Причина — неподвоз южного кокса, овса (дрова остались в лесу).</w:t>
      </w:r>
    </w:p>
    <w:p w14:paraId="1687049C"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Невьянский цементный завод. Остановлен. Причина — неподвоз каменного угля.</w:t>
      </w:r>
    </w:p>
    <w:p w14:paraId="54C89350"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Катав-Ивановсний цементный завод. Остановлен. Причина — неподвоз каменного угля.</w:t>
      </w:r>
    </w:p>
    <w:p w14:paraId="2DC83835" w14:textId="2479B4A2"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Выйский медный завод. Остановлен. Причина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неподвоз южного кокса, антрацита.</w:t>
      </w:r>
    </w:p>
    <w:p w14:paraId="7521226A"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Богословский медный завод. Остановлен. Причина — неподвоз южного кокса, антрацита.</w:t>
      </w:r>
    </w:p>
    <w:p w14:paraId="1332428F"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Пыш минский медный завод. Под угрозой остановки. Причина — неподвоз южного кокса, антрацита.</w:t>
      </w:r>
    </w:p>
    <w:p w14:paraId="0A3019C8"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Никольский Злоказовых завод. Остановлена литейная, изготовляющая мины Дюмезиля, сокращен ход домны до одной трети под угрозой полной остановки. Причина — неподвоз местной руды, южного кокса и антрацита.</w:t>
      </w:r>
    </w:p>
    <w:p w14:paraId="7259B91D" w14:textId="3232B1A8"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Чусовской завод. Остановлены мартены. Причина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неподвоз каменного угля.</w:t>
      </w:r>
    </w:p>
    <w:p w14:paraId="771F74DC"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Каслинский завод. Сокращены работы. Причина— отказ от работы 300 военнопленных, требующих исключительно белый хлеб и неподчнняющихся милиции.</w:t>
      </w:r>
    </w:p>
    <w:p w14:paraId="0CD30859"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Верхне - Сергинский и другие заводы. Расстройство работ вообще. Причина •— общее принуждение рабочих сменять управителей и мастеров. Началось хищение дров из лесу.</w:t>
      </w:r>
    </w:p>
    <w:p w14:paraId="16F3EB84" w14:textId="4526AA1A"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22.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Каменский казенный завод.</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Расстройство работы. Причина — требование рабочих смены управителя.</w:t>
      </w:r>
    </w:p>
    <w:p w14:paraId="269EEEBC"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Баевский казенный вольфрамовый рудник. Расстройство работ. Причина — насилие над управителем рабочих.</w:t>
      </w:r>
    </w:p>
    <w:p w14:paraId="3A397C96"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Надеждинский завод. Общее расстройство работы и падение производительности. Причина — принуждение рабочих удалить директора, заведующих и других лиц администрации, требование повышения [заработной] платы.</w:t>
      </w:r>
    </w:p>
    <w:p w14:paraId="4A6D5B9C"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Нижне-Туринский [казенный] завод. Рабочие потребовали удаления управителя.</w:t>
      </w:r>
    </w:p>
    <w:p w14:paraId="606056B2"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Билимбаевский завод. Рабочие удаляют лесничих, не дают рубить лес, препятствуют постройке углевыжигателъных печей.</w:t>
      </w:r>
    </w:p>
    <w:p w14:paraId="6AEAE17F"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Сысертские заводы. То же, что и в Билимбаевском заводе.</w:t>
      </w:r>
    </w:p>
    <w:p w14:paraId="4FD9C87C"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Резюмируя приведенные сведения, можно сказать, что основная причина разрухи есть перевозки.</w:t>
      </w:r>
    </w:p>
    <w:p w14:paraId="70ED26EB"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отношении топлива минерального нужно сказать, что оно не везется прежде всего потому, что добыча его на копях недостаточна. Перевозки сами по себе настолько резко ухудшились за последнее время, что положение явилось для всех даже неожиданным. В телеграмме Упол-обороны, присланной в Расмеко от 26 февраля с. г., положение перевозок на Урале характеризуется такими словами: «Перевозки [в] резком ухудшении, вследствие недостатка вагонов и в особенности паровозов на Пермской ж. д. достигли степени, которой заводское совещание никогда не ожидало и о которой не было предупреждено ни управлением дороги, нп порайонным комитетом. Как следствие, уже остановлены цеха [в] Лысьве, мартены [в] Чусовском, домна [в] Пашне.</w:t>
      </w:r>
    </w:p>
    <w:p w14:paraId="54FAF876"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«Дальнейшие остановки домен, мартенов, прокатных [цехов] предвидятся пачками. Упадок производительности вызван [в] ряде мест острыми требованиями повышения</w:t>
      </w:r>
      <w:hyperlink r:id="rId64" w:anchor="_ftn1" w:history="1">
        <w:r w:rsidRPr="002F2FDF">
          <w:rPr>
            <w:rFonts w:ascii="Times New Roman" w:hAnsi="Times New Roman" w:cs="Times New Roman"/>
            <w:color w:val="000000" w:themeColor="text1"/>
            <w:kern w:val="2"/>
            <w:sz w:val="16"/>
            <w:szCs w:val="16"/>
          </w:rPr>
          <w:t>[1]</w:t>
        </w:r>
      </w:hyperlink>
      <w:r w:rsidRPr="002F2FDF">
        <w:rPr>
          <w:rFonts w:ascii="Times New Roman" w:hAnsi="Times New Roman" w:cs="Times New Roman"/>
          <w:color w:val="000000" w:themeColor="text1"/>
          <w:kern w:val="2"/>
          <w:sz w:val="16"/>
          <w:szCs w:val="16"/>
        </w:rPr>
        <w:t xml:space="preserve"> заработной платы. Также растет общее недовольство рабочих, опасающихся безработицы. Железные дороги по всему Уралу не везут угля, сырья, продовольствия, сена, овса. Это предвестие непосредственно близкой всеобщей катастрофы, перед которой затрудненна вывоза готовых металлургических продуктов совершенно отступают п в которых сами эти затруднения будут повинны лишь в меньшей степени» .</w:t>
      </w:r>
    </w:p>
    <w:p w14:paraId="3B1AA0B5"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Меры, могущие оказать пользу делу, разбиваются на две категории:</w:t>
      </w:r>
    </w:p>
    <w:p w14:paraId="0794116E"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меры общего порядка и 2) меры частные.</w:t>
      </w:r>
    </w:p>
    <w:p w14:paraId="566D5BFC"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Меры общие:</w:t>
      </w:r>
    </w:p>
    <w:p w14:paraId="3C6EC723"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Немедленное воздействие на рабочих из Петрограда посылкой на Урал от лица Временного правительства особого комиссара, снабженного полномочиями для разъяснения истинного смысла происшедших событий.</w:t>
      </w:r>
    </w:p>
    <w:p w14:paraId="00DA5579"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Немедленное командирование до 2000 чел. рабочих на Кизеловские копи. Должен быть просмотрен вопрос о солдатах, о которых давно хлопотало управление, правильно полагая в солдатах людей дисциплинированных и могущих дать большую производительность по сравнению с пленными и китайцами. Теперь следовало бы солдатам предложить добровольно пойти на работу в копи, обещая хорошее вознаграждение.</w:t>
      </w:r>
    </w:p>
    <w:p w14:paraId="530DA892"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III. Обследовать Пермскую ж. д. в отношении паровозного хозяйства, которое является угрожающим, и принять меры к увеличению числа паровозов и ремонту старых (вопрос был связан с низкими рабочими платами).</w:t>
      </w:r>
    </w:p>
    <w:p w14:paraId="4E08C9EC"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IV. Перенести границу Уральского порайонного комитета до Уфы.</w:t>
      </w:r>
    </w:p>
    <w:p w14:paraId="423742B8"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 Снабдить Уральский порайонный комитет большими полномочиями по выдаче нарядов, по соглашению с заводским совещанием, чтобы децентрализовать распорядительные действия по этому вопросу.</w:t>
      </w:r>
    </w:p>
    <w:p w14:paraId="5D075A78"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 Снабдить Уральский порайонный комитет необходимым штатом инспекторов по наблюдению (фактическому) за оборотом вагонов и т. п.</w:t>
      </w:r>
    </w:p>
    <w:p w14:paraId="7E268E53"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VII. Объединить действия различных уполномоченных на местах.</w:t>
      </w:r>
    </w:p>
    <w:p w14:paraId="282EF31A"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Меры частные:</w:t>
      </w:r>
    </w:p>
    <w:p w14:paraId="2C30E41E"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Неотлагательно двинуть овес из Бугульмы, где он имеется и не двигается за неподачей вагонов.</w:t>
      </w:r>
    </w:p>
    <w:p w14:paraId="6AAC2B29"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Отпустить с Юга 260 тыс. пуд. кокса, который должен передвигаться в порожнем направлении; следовательно затруднение транспорта не должно быть значительно. Самое количество не может обездолить Юг, потребляющий его в огромном количестве.</w:t>
      </w:r>
    </w:p>
    <w:p w14:paraId="6A00C30C"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III. Пересмотреть вопрос маршрутных поездов именно теперь, чтобы самые необходимые, связанные с зимними перевозками выделить и неотлагательно удовлетворить, ибо в противном случае перевозки эти будут потеряны безвозвратно.</w:t>
      </w:r>
    </w:p>
    <w:p w14:paraId="3A478691"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IV. Дать высшие категории по литере Аз для снарядных стаканов (для Подольского завода).</w:t>
      </w:r>
    </w:p>
    <w:p w14:paraId="65022F08"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 Перевезти ферромарганец 3 вагона во что бы [то] ни стало.</w:t>
      </w:r>
    </w:p>
    <w:p w14:paraId="1FD33541"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 Прекратить реквизицию угля железными дорогами, если уголь уже находится в пути в вагонах.</w:t>
      </w:r>
    </w:p>
    <w:p w14:paraId="04AEAEF2"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Главный начальник и уполномоченный председателя Особого совещания по обороне Н. Егоров.</w:t>
      </w:r>
    </w:p>
    <w:p w14:paraId="3C7A3376" w14:textId="77777777" w:rsidR="000D147A"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65" w:anchor="_ftnref1" w:history="1">
        <w:r w:rsidR="000D147A" w:rsidRPr="002F2FDF">
          <w:rPr>
            <w:rFonts w:ascii="Times New Roman" w:hAnsi="Times New Roman" w:cs="Times New Roman"/>
            <w:color w:val="000000" w:themeColor="text1"/>
            <w:kern w:val="2"/>
            <w:sz w:val="16"/>
            <w:szCs w:val="16"/>
          </w:rPr>
          <w:t>[1]</w:t>
        </w:r>
      </w:hyperlink>
      <w:r w:rsidR="000D147A" w:rsidRPr="002F2FDF">
        <w:rPr>
          <w:rFonts w:ascii="Times New Roman" w:hAnsi="Times New Roman" w:cs="Times New Roman"/>
          <w:color w:val="000000" w:themeColor="text1"/>
          <w:kern w:val="2"/>
          <w:sz w:val="16"/>
          <w:szCs w:val="16"/>
        </w:rPr>
        <w:t xml:space="preserve"> В тексте возвышения (15520).</w:t>
      </w:r>
    </w:p>
    <w:p w14:paraId="3714FC87"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p>
    <w:p w14:paraId="3B28858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C979E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BABE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и 16 (25 и 29) марта 1917 собственность царской семьи была национализированы (1348,112).</w:t>
      </w:r>
    </w:p>
    <w:p w14:paraId="3A2096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27839A"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16 (29) марта</w:t>
      </w:r>
      <w:r w:rsidRPr="002F2FDF">
        <w:rPr>
          <w:rFonts w:ascii="Times New Roman" w:hAnsi="Times New Roman" w:cs="Times New Roman"/>
          <w:color w:val="000000" w:themeColor="text1"/>
          <w:kern w:val="2"/>
          <w:sz w:val="16"/>
          <w:szCs w:val="16"/>
        </w:rPr>
        <w:t xml:space="preserve"> в 1917 году в Петрограде открылось Всероссийское Совещание Советов рабочих и солдатских депутатов. Основной состав меньшевики и эсеры. Приняло ряд согласительных решений (ввело 8 часовой рабочий день, приняло обращение передать землю трудовому народу), избрало представителей в Петроградский Совет, сделав его центральным органом Советов (15083).</w:t>
      </w:r>
    </w:p>
    <w:p w14:paraId="79F0593F"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p>
    <w:p w14:paraId="149CCFD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марта 1917 в ходе празднования “Дня революции” в Киеве снесен памятник Столыпину (4962).</w:t>
      </w:r>
    </w:p>
    <w:p w14:paraId="5EDDE14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18B59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2BFB36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5EF6A6" w14:textId="77777777"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16 (29) марта 1917 г. </w:t>
      </w:r>
      <w:r w:rsidRPr="002F2FDF">
        <w:rPr>
          <w:rFonts w:ascii="Times New Roman" w:hAnsi="Times New Roman" w:cs="Times New Roman"/>
          <w:color w:val="000000" w:themeColor="text1"/>
          <w:kern w:val="2"/>
          <w:sz w:val="16"/>
          <w:szCs w:val="16"/>
        </w:rPr>
        <w:t>Письмо министра иностранных дел П. И. Милюкова министру торговли и промышленности А. И. Коновалову о посылке в США особой финансово-экономической миссии для расширения экономических связей между Россией и Америкой.</w:t>
      </w:r>
    </w:p>
    <w:p w14:paraId="59291901" w14:textId="1808CED8"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453-454</w:t>
      </w:r>
    </w:p>
    <w:p w14:paraId="18B123AB" w14:textId="3C04C15D" w:rsidR="000D147A" w:rsidRPr="002F2FDF" w:rsidRDefault="000D14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ЦГИАЛ, ф. 23, оп. 1, д. 447. л. 7—7 об. Подлинник.</w:t>
      </w:r>
    </w:p>
    <w:p w14:paraId="5EB2049A" w14:textId="77777777" w:rsidR="000D147A" w:rsidRPr="002F2FDF" w:rsidRDefault="000D147A" w:rsidP="0083075A">
      <w:pPr>
        <w:pStyle w:val="rtejustify"/>
        <w:spacing w:before="0" w:after="0"/>
        <w:rPr>
          <w:color w:val="000000" w:themeColor="text1"/>
          <w:kern w:val="2"/>
          <w:sz w:val="16"/>
          <w:szCs w:val="16"/>
        </w:rPr>
      </w:pPr>
      <w:r w:rsidRPr="002F2FDF">
        <w:rPr>
          <w:color w:val="000000" w:themeColor="text1"/>
          <w:kern w:val="2"/>
          <w:sz w:val="16"/>
          <w:szCs w:val="16"/>
        </w:rPr>
        <w:t>Милостивый государь, Александр Иванович</w:t>
      </w:r>
      <w:hyperlink r:id="rId66" w:anchor="_ftn1" w:history="1">
        <w:r w:rsidRPr="002F2FDF">
          <w:rPr>
            <w:rStyle w:val="a5"/>
            <w:color w:val="000000" w:themeColor="text1"/>
            <w:kern w:val="2"/>
            <w:sz w:val="16"/>
            <w:szCs w:val="16"/>
          </w:rPr>
          <w:t>[1]</w:t>
        </w:r>
      </w:hyperlink>
    </w:p>
    <w:p w14:paraId="6E676B99" w14:textId="0CD1F21D" w:rsidR="000D147A" w:rsidRPr="002F2FDF" w:rsidRDefault="000D147A" w:rsidP="0083075A">
      <w:pPr>
        <w:pStyle w:val="rtejustify"/>
        <w:spacing w:before="0" w:after="0"/>
        <w:rPr>
          <w:color w:val="000000" w:themeColor="text1"/>
          <w:kern w:val="2"/>
          <w:sz w:val="16"/>
          <w:szCs w:val="16"/>
        </w:rPr>
      </w:pPr>
      <w:r w:rsidRPr="002F2FDF">
        <w:rPr>
          <w:color w:val="000000" w:themeColor="text1"/>
          <w:kern w:val="2"/>
          <w:sz w:val="16"/>
          <w:szCs w:val="16"/>
        </w:rPr>
        <w:t>Вследствие письма от 10 марта с. г. за № 6130</w:t>
      </w:r>
      <w:hyperlink r:id="rId67" w:anchor="_ftn2" w:history="1">
        <w:r w:rsidRPr="002F2FDF">
          <w:rPr>
            <w:rStyle w:val="a5"/>
            <w:color w:val="000000" w:themeColor="text1"/>
            <w:kern w:val="2"/>
            <w:sz w:val="16"/>
            <w:szCs w:val="16"/>
          </w:rPr>
          <w:t>[2]</w:t>
        </w:r>
      </w:hyperlink>
      <w:r w:rsidR="00E52569">
        <w:rPr>
          <w:color w:val="000000" w:themeColor="text1"/>
          <w:kern w:val="2"/>
          <w:sz w:val="16"/>
          <w:szCs w:val="16"/>
        </w:rPr>
        <w:t xml:space="preserve"> </w:t>
      </w:r>
      <w:r w:rsidRPr="002F2FDF">
        <w:rPr>
          <w:color w:val="000000" w:themeColor="text1"/>
          <w:kern w:val="2"/>
          <w:sz w:val="16"/>
          <w:szCs w:val="16"/>
        </w:rPr>
        <w:t>уведомляю Вас, что, полностью разделяя соображения Ваши о необходимости особо внимательного отношения ко всем мероприятиям, направленным к развитию русско-американского сближения на экономической почве, я, предварительно принятия по Министерству иностранных дел каких-либо мер, касающихся установления взаимоотношений между Россией и Америкой и затрагиваю щих интересы экономического характера, буду вступать в соглашение с Министерством торговли и промышленности.</w:t>
      </w:r>
    </w:p>
    <w:p w14:paraId="1097BCC1" w14:textId="77777777" w:rsidR="000D147A" w:rsidRPr="002F2FDF" w:rsidRDefault="000D147A" w:rsidP="0083075A">
      <w:pPr>
        <w:pStyle w:val="rtejustify"/>
        <w:spacing w:before="0" w:after="0"/>
        <w:rPr>
          <w:color w:val="000000" w:themeColor="text1"/>
          <w:kern w:val="2"/>
          <w:sz w:val="16"/>
          <w:szCs w:val="16"/>
        </w:rPr>
      </w:pPr>
      <w:r w:rsidRPr="002F2FDF">
        <w:rPr>
          <w:color w:val="000000" w:themeColor="text1"/>
          <w:kern w:val="2"/>
          <w:sz w:val="16"/>
          <w:szCs w:val="16"/>
        </w:rPr>
        <w:t>Политическое, экономическое и финансовое сближение с Соединенными Штатами Америки является одной из важнейших ближайших задач наших.</w:t>
      </w:r>
    </w:p>
    <w:p w14:paraId="2830E872" w14:textId="77777777" w:rsidR="000D147A" w:rsidRPr="002F2FDF" w:rsidRDefault="000D147A" w:rsidP="0083075A">
      <w:pPr>
        <w:pStyle w:val="rtejustify"/>
        <w:spacing w:before="0" w:after="0"/>
        <w:rPr>
          <w:color w:val="000000" w:themeColor="text1"/>
          <w:kern w:val="2"/>
          <w:sz w:val="16"/>
          <w:szCs w:val="16"/>
        </w:rPr>
      </w:pPr>
      <w:r w:rsidRPr="002F2FDF">
        <w:rPr>
          <w:color w:val="000000" w:themeColor="text1"/>
          <w:kern w:val="2"/>
          <w:sz w:val="16"/>
          <w:szCs w:val="16"/>
        </w:rPr>
        <w:t>В этих именно целях Н.Н. Покровский в январе т. г. возбудил, по сношению с Министерством финансов, вопрос о командировании в Америку особой финансово-экономической миссии, во главе которой должно было стать особо авторитетное лицо и в состав которой должны были войти представители правительства, всесторонне осведомленные о наших потребностях в области финансовой и экономической.</w:t>
      </w:r>
    </w:p>
    <w:p w14:paraId="775216F5" w14:textId="77777777" w:rsidR="000D147A" w:rsidRPr="002F2FDF" w:rsidRDefault="000D147A" w:rsidP="0083075A">
      <w:pPr>
        <w:pStyle w:val="rtejustify"/>
        <w:spacing w:before="0" w:after="0"/>
        <w:rPr>
          <w:color w:val="000000" w:themeColor="text1"/>
          <w:kern w:val="2"/>
          <w:sz w:val="16"/>
          <w:szCs w:val="16"/>
        </w:rPr>
      </w:pPr>
      <w:r w:rsidRPr="002F2FDF">
        <w:rPr>
          <w:color w:val="000000" w:themeColor="text1"/>
          <w:kern w:val="2"/>
          <w:sz w:val="16"/>
          <w:szCs w:val="16"/>
        </w:rPr>
        <w:t>С. А. Шателен в ответ на этот запрос Министерства иностранных дел тогда же уведомил министерство, что Министерство финансов признает командирование в Америку особой финансово-экономической миссии весьма желательным, так как оно должно содействовать сближению с американским рынком, имеющим для нас весьма важное значение.</w:t>
      </w:r>
    </w:p>
    <w:p w14:paraId="2347A207" w14:textId="77777777" w:rsidR="000D147A" w:rsidRPr="002F2FDF" w:rsidRDefault="000D147A" w:rsidP="0083075A">
      <w:pPr>
        <w:pStyle w:val="rtejustify"/>
        <w:spacing w:before="0" w:after="0"/>
        <w:rPr>
          <w:color w:val="000000" w:themeColor="text1"/>
          <w:kern w:val="2"/>
          <w:sz w:val="16"/>
          <w:szCs w:val="16"/>
        </w:rPr>
      </w:pPr>
      <w:r w:rsidRPr="002F2FDF">
        <w:rPr>
          <w:color w:val="000000" w:themeColor="text1"/>
          <w:kern w:val="2"/>
          <w:sz w:val="16"/>
          <w:szCs w:val="16"/>
        </w:rPr>
        <w:t>Полагая, что вопрос о посылке в Америку подобной миссии являлся бы одним из наиболее реальных факторов на пути к достижению намеченного</w:t>
      </w:r>
    </w:p>
    <w:p w14:paraId="0E1FA51D" w14:textId="77777777" w:rsidR="000D147A" w:rsidRPr="002F2FDF" w:rsidRDefault="000D147A" w:rsidP="0083075A">
      <w:pPr>
        <w:pStyle w:val="rtejustify"/>
        <w:spacing w:before="0" w:after="0"/>
        <w:rPr>
          <w:color w:val="000000" w:themeColor="text1"/>
          <w:kern w:val="2"/>
          <w:sz w:val="16"/>
          <w:szCs w:val="16"/>
        </w:rPr>
      </w:pPr>
      <w:r w:rsidRPr="002F2FDF">
        <w:rPr>
          <w:color w:val="000000" w:themeColor="text1"/>
          <w:kern w:val="2"/>
          <w:sz w:val="16"/>
          <w:szCs w:val="16"/>
        </w:rPr>
        <w:t>Вами тесного экономического сближения между обеими странами, считаю долгом мысль о посылке миссии сообщить на Ваше благовоззрение</w:t>
      </w:r>
      <w:hyperlink r:id="rId68" w:anchor="_ftn3" w:history="1">
        <w:r w:rsidRPr="002F2FDF">
          <w:rPr>
            <w:rStyle w:val="a5"/>
            <w:color w:val="000000" w:themeColor="text1"/>
            <w:kern w:val="2"/>
            <w:sz w:val="16"/>
            <w:szCs w:val="16"/>
          </w:rPr>
          <w:t>[3]</w:t>
        </w:r>
      </w:hyperlink>
      <w:r w:rsidRPr="002F2FDF">
        <w:rPr>
          <w:color w:val="000000" w:themeColor="text1"/>
          <w:kern w:val="2"/>
          <w:sz w:val="16"/>
          <w:szCs w:val="16"/>
        </w:rPr>
        <w:t>.</w:t>
      </w:r>
    </w:p>
    <w:p w14:paraId="6F0DF058" w14:textId="77777777" w:rsidR="000D147A" w:rsidRPr="002F2FDF" w:rsidRDefault="000D147A" w:rsidP="0083075A">
      <w:pPr>
        <w:pStyle w:val="rtejustify"/>
        <w:spacing w:before="0" w:after="0"/>
        <w:rPr>
          <w:color w:val="000000" w:themeColor="text1"/>
          <w:kern w:val="2"/>
          <w:sz w:val="16"/>
          <w:szCs w:val="16"/>
        </w:rPr>
      </w:pPr>
      <w:r w:rsidRPr="002F2FDF">
        <w:rPr>
          <w:color w:val="000000" w:themeColor="text1"/>
          <w:kern w:val="2"/>
          <w:sz w:val="16"/>
          <w:szCs w:val="16"/>
        </w:rPr>
        <w:t>Примите, милостивый государь, уверение в отличном моем почтении и совершенной преданности.</w:t>
      </w:r>
    </w:p>
    <w:p w14:paraId="04CA639F" w14:textId="77777777" w:rsidR="000D147A" w:rsidRPr="002F2FDF" w:rsidRDefault="000D147A"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П. Милюков.</w:t>
      </w:r>
    </w:p>
    <w:p w14:paraId="635C83C8" w14:textId="77777777" w:rsidR="000D147A" w:rsidRPr="002F2FDF" w:rsidRDefault="000D147A" w:rsidP="0083075A">
      <w:pPr>
        <w:pStyle w:val="ae"/>
        <w:spacing w:before="0" w:after="0"/>
        <w:jc w:val="both"/>
        <w:rPr>
          <w:color w:val="000000" w:themeColor="text1"/>
          <w:kern w:val="2"/>
          <w:sz w:val="16"/>
          <w:szCs w:val="16"/>
        </w:rPr>
      </w:pPr>
      <w:r w:rsidRPr="002F2FDF">
        <w:rPr>
          <w:rStyle w:val="af0"/>
          <w:i w:val="0"/>
          <w:color w:val="000000" w:themeColor="text1"/>
          <w:kern w:val="2"/>
          <w:sz w:val="16"/>
          <w:szCs w:val="16"/>
        </w:rPr>
        <w:t>На док. резолюции.</w:t>
      </w:r>
    </w:p>
    <w:p w14:paraId="6F387242" w14:textId="77777777" w:rsidR="000D147A" w:rsidRPr="002F2FDF" w:rsidRDefault="000D147A" w:rsidP="0083075A">
      <w:pPr>
        <w:pStyle w:val="ae"/>
        <w:spacing w:before="0" w:after="0"/>
        <w:jc w:val="both"/>
        <w:rPr>
          <w:color w:val="000000" w:themeColor="text1"/>
          <w:kern w:val="2"/>
          <w:sz w:val="16"/>
          <w:szCs w:val="16"/>
        </w:rPr>
      </w:pPr>
      <w:r w:rsidRPr="002F2FDF">
        <w:rPr>
          <w:color w:val="000000" w:themeColor="text1"/>
          <w:kern w:val="2"/>
          <w:sz w:val="16"/>
          <w:szCs w:val="16"/>
        </w:rPr>
        <w:t>1. Бахметьеву. Желательно посещение 11. Н. Милюкова и ознакомление его с нашими планами.</w:t>
      </w:r>
    </w:p>
    <w:p w14:paraId="63844FAD" w14:textId="77777777" w:rsidR="000D147A" w:rsidRPr="002F2FDF" w:rsidRDefault="000D147A" w:rsidP="0083075A">
      <w:pPr>
        <w:pStyle w:val="ae"/>
        <w:spacing w:before="0" w:after="0"/>
        <w:jc w:val="both"/>
        <w:rPr>
          <w:color w:val="000000" w:themeColor="text1"/>
          <w:kern w:val="2"/>
          <w:sz w:val="16"/>
          <w:szCs w:val="16"/>
        </w:rPr>
      </w:pPr>
      <w:r w:rsidRPr="002F2FDF">
        <w:rPr>
          <w:color w:val="000000" w:themeColor="text1"/>
          <w:kern w:val="2"/>
          <w:sz w:val="16"/>
          <w:szCs w:val="16"/>
        </w:rPr>
        <w:t>17 III 1917 А. Коновалов.</w:t>
      </w:r>
    </w:p>
    <w:p w14:paraId="65F189DF" w14:textId="77777777" w:rsidR="000D147A" w:rsidRPr="002F2FDF" w:rsidRDefault="000D147A" w:rsidP="0083075A">
      <w:pPr>
        <w:pStyle w:val="ae"/>
        <w:spacing w:before="0" w:after="0"/>
        <w:jc w:val="both"/>
        <w:rPr>
          <w:color w:val="000000" w:themeColor="text1"/>
          <w:kern w:val="2"/>
          <w:sz w:val="16"/>
          <w:szCs w:val="16"/>
        </w:rPr>
      </w:pPr>
      <w:r w:rsidRPr="002F2FDF">
        <w:rPr>
          <w:color w:val="000000" w:themeColor="text1"/>
          <w:kern w:val="2"/>
          <w:sz w:val="16"/>
          <w:szCs w:val="16"/>
        </w:rPr>
        <w:t>2. По возвращении П. Н, Милюкова из Ставки просить [неразборчиво] для переговоров.</w:t>
      </w:r>
    </w:p>
    <w:p w14:paraId="7E430AAC" w14:textId="77777777" w:rsidR="000D147A" w:rsidRPr="002F2FDF" w:rsidRDefault="000D147A"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Бахметьев.</w:t>
      </w:r>
    </w:p>
    <w:p w14:paraId="6CFD6071" w14:textId="77777777" w:rsidR="000D147A" w:rsidRPr="002F2FDF" w:rsidRDefault="00000000" w:rsidP="0083075A">
      <w:pPr>
        <w:pStyle w:val="ae"/>
        <w:spacing w:before="0" w:after="0"/>
        <w:jc w:val="both"/>
        <w:rPr>
          <w:color w:val="000000" w:themeColor="text1"/>
          <w:kern w:val="2"/>
          <w:sz w:val="16"/>
          <w:szCs w:val="16"/>
        </w:rPr>
      </w:pPr>
      <w:hyperlink r:id="rId69" w:anchor="_ftnref1" w:history="1">
        <w:r w:rsidR="000D147A" w:rsidRPr="002F2FDF">
          <w:rPr>
            <w:rStyle w:val="a5"/>
            <w:color w:val="000000" w:themeColor="text1"/>
            <w:kern w:val="2"/>
            <w:sz w:val="16"/>
            <w:szCs w:val="16"/>
          </w:rPr>
          <w:t>[1]</w:t>
        </w:r>
      </w:hyperlink>
      <w:r w:rsidR="000D147A" w:rsidRPr="002F2FDF">
        <w:rPr>
          <w:color w:val="000000" w:themeColor="text1"/>
          <w:kern w:val="2"/>
          <w:sz w:val="16"/>
          <w:szCs w:val="16"/>
        </w:rPr>
        <w:t xml:space="preserve"> В документе ошибочно Александр Александрович</w:t>
      </w:r>
    </w:p>
    <w:p w14:paraId="4F69C7E9" w14:textId="77777777" w:rsidR="000D147A" w:rsidRPr="002F2FDF" w:rsidRDefault="00000000" w:rsidP="0083075A">
      <w:pPr>
        <w:pStyle w:val="ae"/>
        <w:spacing w:before="0" w:after="0"/>
        <w:jc w:val="both"/>
        <w:rPr>
          <w:color w:val="000000" w:themeColor="text1"/>
          <w:kern w:val="2"/>
          <w:sz w:val="16"/>
          <w:szCs w:val="16"/>
        </w:rPr>
      </w:pPr>
      <w:hyperlink r:id="rId70" w:anchor="_ftnref2" w:history="1">
        <w:r w:rsidR="000D147A" w:rsidRPr="002F2FDF">
          <w:rPr>
            <w:rStyle w:val="a5"/>
            <w:color w:val="000000" w:themeColor="text1"/>
            <w:kern w:val="2"/>
            <w:sz w:val="16"/>
            <w:szCs w:val="16"/>
          </w:rPr>
          <w:t>[2]</w:t>
        </w:r>
      </w:hyperlink>
      <w:r w:rsidR="000D147A" w:rsidRPr="002F2FDF">
        <w:rPr>
          <w:color w:val="000000" w:themeColor="text1"/>
          <w:kern w:val="2"/>
          <w:sz w:val="16"/>
          <w:szCs w:val="16"/>
        </w:rPr>
        <w:t xml:space="preserve"> В том же деле, л. 6.</w:t>
      </w:r>
    </w:p>
    <w:p w14:paraId="28270F09" w14:textId="77777777" w:rsidR="000D147A" w:rsidRPr="002F2FDF" w:rsidRDefault="00000000" w:rsidP="0083075A">
      <w:pPr>
        <w:pStyle w:val="ae"/>
        <w:spacing w:before="0" w:after="0"/>
        <w:jc w:val="both"/>
        <w:rPr>
          <w:color w:val="000000" w:themeColor="text1"/>
          <w:kern w:val="2"/>
          <w:sz w:val="16"/>
          <w:szCs w:val="16"/>
        </w:rPr>
      </w:pPr>
      <w:hyperlink r:id="rId71" w:anchor="_ftnref3" w:history="1">
        <w:r w:rsidR="000D147A" w:rsidRPr="002F2FDF">
          <w:rPr>
            <w:rStyle w:val="a5"/>
            <w:color w:val="000000" w:themeColor="text1"/>
            <w:kern w:val="2"/>
            <w:sz w:val="16"/>
            <w:szCs w:val="16"/>
          </w:rPr>
          <w:t>[3]</w:t>
        </w:r>
      </w:hyperlink>
      <w:r w:rsidR="000D147A" w:rsidRPr="002F2FDF">
        <w:rPr>
          <w:color w:val="000000" w:themeColor="text1"/>
          <w:kern w:val="2"/>
          <w:sz w:val="16"/>
          <w:szCs w:val="16"/>
        </w:rPr>
        <w:t xml:space="preserve"> 25 апреля 1917 г. Временное правительство утвердило состав отправляемой в Соединенные Штаты чрезвычайной миссии, в которую вошли: товарищ министра торговли и промышленности Б. А. Бахметьев (глава миссии), генералы Рун и Оранов-ский от Военного министерства, профессора Ломоносов от Министерства путей сообщения и Бородин от Министерства земледелия, Новицкий от Министерства финансов и Средневский как представитель прессы (15210).</w:t>
      </w:r>
    </w:p>
    <w:p w14:paraId="7D789A7E" w14:textId="77777777" w:rsidR="000D147A" w:rsidRPr="002F2FDF" w:rsidRDefault="000D147A"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16CBC5E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марта 1917 Временное правительство России провозгласило независимость Польши (4962).</w:t>
      </w:r>
    </w:p>
    <w:p w14:paraId="227387E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30AA9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2F2FDF">
        <w:rPr>
          <w:rFonts w:ascii="Times New Roman" w:hAnsi="Times New Roman" w:cs="Times New Roman"/>
          <w:i/>
          <w:iCs/>
          <w:color w:val="000000" w:themeColor="text1"/>
          <w:kern w:val="2"/>
          <w:sz w:val="16"/>
          <w:szCs w:val="16"/>
        </w:rPr>
        <w:t>За</w:t>
      </w:r>
      <w:r w:rsidRPr="002F2FDF">
        <w:rPr>
          <w:rFonts w:ascii="Times New Roman" w:hAnsi="Times New Roman" w:cs="Times New Roman"/>
          <w:i/>
          <w:iCs/>
          <w:color w:val="000000" w:themeColor="text1"/>
          <w:kern w:val="2"/>
          <w:sz w:val="16"/>
          <w:szCs w:val="16"/>
          <w:lang w:val="en-US"/>
        </w:rPr>
        <w:t xml:space="preserve"> </w:t>
      </w:r>
      <w:r w:rsidRPr="002F2FDF">
        <w:rPr>
          <w:rFonts w:ascii="Times New Roman" w:hAnsi="Times New Roman" w:cs="Times New Roman"/>
          <w:i/>
          <w:iCs/>
          <w:color w:val="000000" w:themeColor="text1"/>
          <w:kern w:val="2"/>
          <w:sz w:val="16"/>
          <w:szCs w:val="16"/>
        </w:rPr>
        <w:t>рубежом</w:t>
      </w:r>
      <w:r w:rsidRPr="002F2FDF">
        <w:rPr>
          <w:rFonts w:ascii="Times New Roman" w:hAnsi="Times New Roman" w:cs="Times New Roman"/>
          <w:i/>
          <w:iCs/>
          <w:color w:val="000000" w:themeColor="text1"/>
          <w:kern w:val="2"/>
          <w:sz w:val="16"/>
          <w:szCs w:val="16"/>
          <w:lang w:val="en-US"/>
        </w:rPr>
        <w:t>:</w:t>
      </w:r>
    </w:p>
    <w:p w14:paraId="770D33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50741AA1" w14:textId="7E2E564D"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 xml:space="preserve">March </w:t>
      </w:r>
      <w:r w:rsidR="00834DFB" w:rsidRPr="00834DFB">
        <w:rPr>
          <w:rFonts w:ascii="Times New Roman" w:hAnsi="Times New Roman" w:cs="Times New Roman"/>
          <w:color w:val="000000" w:themeColor="text1"/>
          <w:kern w:val="2"/>
          <w:sz w:val="16"/>
          <w:szCs w:val="16"/>
          <w:lang w:val="en-US"/>
        </w:rPr>
        <w:t>16 (</w:t>
      </w:r>
      <w:r w:rsidRPr="002F2FDF">
        <w:rPr>
          <w:rFonts w:ascii="Times New Roman" w:hAnsi="Times New Roman" w:cs="Times New Roman"/>
          <w:color w:val="000000" w:themeColor="text1"/>
          <w:kern w:val="2"/>
          <w:sz w:val="16"/>
          <w:szCs w:val="16"/>
          <w:lang w:val="en-US"/>
        </w:rPr>
        <w:t>29</w:t>
      </w:r>
      <w:r w:rsidR="00834DFB" w:rsidRPr="00834DFB">
        <w:rPr>
          <w:rFonts w:ascii="Times New Roman" w:hAnsi="Times New Roman" w:cs="Times New Roman"/>
          <w:color w:val="000000" w:themeColor="text1"/>
          <w:kern w:val="2"/>
          <w:sz w:val="16"/>
          <w:szCs w:val="16"/>
          <w:lang w:val="en-US"/>
        </w:rPr>
        <w:t>)</w:t>
      </w:r>
      <w:r w:rsidRPr="002F2FDF">
        <w:rPr>
          <w:rFonts w:ascii="Times New Roman" w:hAnsi="Times New Roman" w:cs="Times New Roman"/>
          <w:color w:val="000000" w:themeColor="text1"/>
          <w:kern w:val="2"/>
          <w:sz w:val="16"/>
          <w:szCs w:val="16"/>
          <w:lang w:val="en-US"/>
        </w:rPr>
        <w:t xml:space="preserve"> 1917 The NACA recommended preparation of 3-year programs for aircraft production to the Secretaries of War and the Navy (1038).</w:t>
      </w:r>
    </w:p>
    <w:p w14:paraId="112E80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400101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16 (29) марта 1917 НАСА выступил с рекомендацией к секретариатам по делам войны и флота по подготовке трехлетней программы производства самолетов (1038).</w:t>
      </w:r>
    </w:p>
    <w:p w14:paraId="01A479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0740DA" w14:textId="2D17DBC1" w:rsidR="00B40943" w:rsidRDefault="00B40943"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536323A1" w14:textId="77777777" w:rsidR="00B40943" w:rsidRDefault="00B40943"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1D5AA963" w14:textId="77777777" w:rsidR="00B40943" w:rsidRPr="00FB4F67" w:rsidRDefault="00B4094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30 марта 1917 в районе южнее Подгайцы экипаж нашего самолета «Ньюпор-10» (прапорщики В.Ф. Вишняков и В.А. Архангельский, 32</w:t>
      </w:r>
      <w:r w:rsidRPr="00FB4F67">
        <w:rPr>
          <w:rFonts w:ascii="Times New Roman" w:hAnsi="Times New Roman" w:cs="Times New Roman"/>
          <w:color w:val="0070C0"/>
          <w:sz w:val="16"/>
          <w:szCs w:val="16"/>
        </w:rPr>
        <w:softHyphen/>
        <w:t>й КАО) в коротком воздушном бою подбил немецкий самолет «Альбатрос». Он упал «в нашем расположении и сгорел. Два германских офицеры захвачены в плен». Немецкий экипаж принадлежал 220-му артиллерийскому авиационному отряду (н/п Конюшки, южнее г. Рогатин). Позднее другой экипаж (летчик подпоручик А.Ф. Третьяков и летнаб штабс-капитан М.И. Евсюков, 2-й ААО) при отражении атаки вражеского истребителя сумел принудить его к вынужденной посадке и пленить немецкого летчика. В качестве трофея нам достался самолет «самой новейшей конструкции» (23405).</w:t>
      </w:r>
    </w:p>
    <w:p w14:paraId="3A2102E6" w14:textId="77777777" w:rsidR="00B40943" w:rsidRPr="00FB4F67" w:rsidRDefault="00B40943" w:rsidP="0083075A">
      <w:pPr>
        <w:spacing w:after="0" w:line="240" w:lineRule="auto"/>
        <w:jc w:val="both"/>
        <w:rPr>
          <w:rFonts w:ascii="Times New Roman" w:hAnsi="Times New Roman" w:cs="Times New Roman"/>
          <w:color w:val="0070C0"/>
          <w:sz w:val="16"/>
          <w:szCs w:val="16"/>
        </w:rPr>
      </w:pPr>
    </w:p>
    <w:p w14:paraId="1F78F36B" w14:textId="77777777" w:rsidR="00B40943" w:rsidRPr="00FB4F67" w:rsidRDefault="00B4094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30 марта 1917 г. на Западном фронте побывавший в Минске французский офицер Жюль Легра сообщил, что «возле штаба находится французская зенитная батарея с 75-мм пушкой с французским отрядом. Авиация представлена в штабе армейского фронта только инспектором, задача которого - поддерживать связь с офицером, командующим авиацией, координировать работу и сотрудничество между ними и АВИАДАРМом в Киеве по всем специальным поставкам. Инспектор — это маленький человек в большом штабе с небольшим штатом» (23525).</w:t>
      </w:r>
    </w:p>
    <w:p w14:paraId="7E1F1CBE" w14:textId="77777777" w:rsidR="00B40943" w:rsidRPr="00FB4F67" w:rsidRDefault="00B40943" w:rsidP="0083075A">
      <w:pPr>
        <w:spacing w:after="0" w:line="240" w:lineRule="auto"/>
        <w:jc w:val="both"/>
        <w:rPr>
          <w:rFonts w:ascii="Times New Roman" w:hAnsi="Times New Roman" w:cs="Times New Roman"/>
          <w:color w:val="0070C0"/>
          <w:sz w:val="16"/>
          <w:szCs w:val="16"/>
        </w:rPr>
      </w:pPr>
    </w:p>
    <w:p w14:paraId="1DD6EF96" w14:textId="2A4FD31F"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9B202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0A0533" w14:textId="77777777" w:rsidR="007D74B2" w:rsidRPr="002F2FDF" w:rsidRDefault="007D74B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 xml:space="preserve">17 </w:t>
      </w:r>
      <w:r w:rsidR="00DE1DCB" w:rsidRPr="002F2FDF">
        <w:rPr>
          <w:rFonts w:ascii="Times New Roman" w:hAnsi="Times New Roman" w:cs="Times New Roman"/>
          <w:color w:val="000000" w:themeColor="text1"/>
          <w:kern w:val="2"/>
          <w:sz w:val="16"/>
          <w:szCs w:val="16"/>
        </w:rPr>
        <w:t xml:space="preserve">(30) </w:t>
      </w:r>
      <w:r w:rsidRPr="002F2FDF">
        <w:rPr>
          <w:rFonts w:ascii="Times New Roman" w:hAnsi="Times New Roman" w:cs="Times New Roman"/>
          <w:color w:val="000000" w:themeColor="text1"/>
          <w:kern w:val="2"/>
          <w:sz w:val="16"/>
          <w:szCs w:val="16"/>
        </w:rPr>
        <w:t>марта 1917 г. Ленин в Швейцарии пишет работу «Набросок тезисов 17 марта 1917 г.», в которой формулирует основные положения тактики большевистской партии в новых условиях. Скоро он в «пломбированном вагоне» со своими соратниками будет перевезен через Германию, далее уплывет на пароходе в Стокгольм – туда прибудет 13 апреля, 16 апреля 1917 г.н.с. Ленин прибыл в Петроград на Финляндский вокзал, его встречали тысячи рабочих и солдат (частично нанятых на митинг за деньги), он произнёс краткую речь, закончив её словами: «Да здравствует социалистическая революция!» (17326).</w:t>
      </w:r>
    </w:p>
    <w:p w14:paraId="247641F5" w14:textId="77777777" w:rsidR="007D74B2" w:rsidRPr="002F2FDF" w:rsidRDefault="007D74B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CD11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марта 1917 в Киеве была создана Центральная Рада (70,55) под руководством М.С.Грушевского (1348,84) историка (3908,254).</w:t>
      </w:r>
    </w:p>
    <w:p w14:paraId="413739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9C242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472355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8FAEC7"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Не позднее 17 (30) марта 1917 г. </w:t>
      </w:r>
      <w:r w:rsidRPr="002F2FDF">
        <w:rPr>
          <w:rFonts w:ascii="Times New Roman" w:hAnsi="Times New Roman" w:cs="Times New Roman"/>
          <w:color w:val="000000" w:themeColor="text1"/>
          <w:kern w:val="2"/>
          <w:sz w:val="16"/>
          <w:szCs w:val="16"/>
        </w:rPr>
        <w:t>Письмо Американо-Русской торговой палаты в адрес Русско-Американской торговой палаты по вопросу о помещении американких капиталов в России.</w:t>
      </w:r>
    </w:p>
    <w:p w14:paraId="7030CCC6" w14:textId="1795D69C"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454-455</w:t>
      </w:r>
    </w:p>
    <w:p w14:paraId="1B2CC8E2" w14:textId="1F27D4B9"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Экономического деп-та, д. 11, л. 7—7 об. Копия.</w:t>
      </w:r>
    </w:p>
    <w:p w14:paraId="202350CF" w14:textId="77777777" w:rsidR="006709A3" w:rsidRPr="002F2FDF" w:rsidRDefault="006709A3" w:rsidP="0083075A">
      <w:pPr>
        <w:pStyle w:val="rtejustify"/>
        <w:spacing w:before="0" w:after="0"/>
        <w:rPr>
          <w:color w:val="000000" w:themeColor="text1"/>
          <w:kern w:val="2"/>
          <w:sz w:val="16"/>
          <w:szCs w:val="16"/>
        </w:rPr>
      </w:pPr>
      <w:r w:rsidRPr="002F2FDF">
        <w:rPr>
          <w:color w:val="000000" w:themeColor="text1"/>
          <w:kern w:val="2"/>
          <w:sz w:val="16"/>
          <w:szCs w:val="16"/>
        </w:rPr>
        <w:t>Мы получили ваше письмо от 8 сентября,</w:t>
      </w:r>
      <w:hyperlink r:id="rId72" w:anchor="_ftn4" w:history="1">
        <w:r w:rsidRPr="002F2FDF">
          <w:rPr>
            <w:rStyle w:val="a5"/>
            <w:color w:val="000000" w:themeColor="text1"/>
            <w:kern w:val="2"/>
            <w:sz w:val="16"/>
            <w:szCs w:val="16"/>
          </w:rPr>
          <w:t>[4]</w:t>
        </w:r>
      </w:hyperlink>
      <w:r w:rsidRPr="002F2FDF">
        <w:rPr>
          <w:color w:val="000000" w:themeColor="text1"/>
          <w:kern w:val="2"/>
          <w:sz w:val="16"/>
          <w:szCs w:val="16"/>
        </w:rPr>
        <w:t xml:space="preserve"> затрагивающее вопрос о возможности помещения американских капиталов в русских предприятиях. Пользуемся случаем снова привлечь ваше внимание к поднятом}' вами вопросу, мы уверены, что помещение американских капиталов в русские предприятия в связи с развитием торговых отношений между обеими странами является делом очень важным и полагаем, что обе палаты могут оказать серьезную услугу интересам обеих стран, стремясь привести в соприкосновение американский капитал с выгодными русскими предприятиями, требующими добавочного финансирования.</w:t>
      </w:r>
    </w:p>
    <w:p w14:paraId="05DFCC5A" w14:textId="77777777" w:rsidR="006709A3" w:rsidRPr="002F2FDF" w:rsidRDefault="006709A3" w:rsidP="0083075A">
      <w:pPr>
        <w:pStyle w:val="rtejustify"/>
        <w:spacing w:before="0" w:after="0"/>
        <w:rPr>
          <w:color w:val="000000" w:themeColor="text1"/>
          <w:kern w:val="2"/>
          <w:sz w:val="16"/>
          <w:szCs w:val="16"/>
        </w:rPr>
      </w:pPr>
      <w:r w:rsidRPr="002F2FDF">
        <w:rPr>
          <w:color w:val="000000" w:themeColor="text1"/>
          <w:kern w:val="2"/>
          <w:sz w:val="16"/>
          <w:szCs w:val="16"/>
        </w:rPr>
        <w:t>Мы предлагаем вам распространить циркулярное письмо среди ваших членов, обращая их внимание, что Американо-Русская торговая палата в Нью-Йорке в тесном единении с вами ожидает заслуживающих внимания предложений, и подчеркнуть в этих циркулярах, что мы будем очень рады представить эти предложения заинтересованным группам американских финансистов.</w:t>
      </w:r>
    </w:p>
    <w:p w14:paraId="75AF402E" w14:textId="77777777" w:rsidR="006709A3" w:rsidRPr="002F2FDF" w:rsidRDefault="006709A3" w:rsidP="0083075A">
      <w:pPr>
        <w:pStyle w:val="rtejustify"/>
        <w:spacing w:before="0" w:after="0"/>
        <w:rPr>
          <w:color w:val="000000" w:themeColor="text1"/>
          <w:kern w:val="2"/>
          <w:sz w:val="16"/>
          <w:szCs w:val="16"/>
        </w:rPr>
      </w:pPr>
      <w:r w:rsidRPr="002F2FDF">
        <w:rPr>
          <w:color w:val="000000" w:themeColor="text1"/>
          <w:kern w:val="2"/>
          <w:sz w:val="16"/>
          <w:szCs w:val="16"/>
        </w:rPr>
        <w:t>Присылая эти предложения, необходимо иметь в виду, что американские капиталисты недостаточно знакомы с делом помещения капиталов в иностранные предприятия.</w:t>
      </w:r>
    </w:p>
    <w:p w14:paraId="5F3E1A59" w14:textId="77777777" w:rsidR="006709A3" w:rsidRPr="002F2FDF" w:rsidRDefault="006709A3" w:rsidP="0083075A">
      <w:pPr>
        <w:pStyle w:val="rtejustify"/>
        <w:spacing w:before="0" w:after="0"/>
        <w:rPr>
          <w:color w:val="000000" w:themeColor="text1"/>
          <w:kern w:val="2"/>
          <w:sz w:val="16"/>
          <w:szCs w:val="16"/>
        </w:rPr>
      </w:pPr>
      <w:r w:rsidRPr="002F2FDF">
        <w:rPr>
          <w:color w:val="000000" w:themeColor="text1"/>
          <w:kern w:val="2"/>
          <w:sz w:val="16"/>
          <w:szCs w:val="16"/>
        </w:rPr>
        <w:t>Чтобы поднять интерес американских капиталистов, необходимо все такие предложения представлять с самыми подробными данными. Сообщая такие предложения только в общих чертах, нельзя ожидать успешных результатов, и поэтому необходим тщательный анализ каждого предложения в отдельности. Мы предлагаем вашему вниманию меморандум,</w:t>
      </w:r>
      <w:hyperlink r:id="rId73" w:anchor="_ftn5" w:history="1">
        <w:r w:rsidRPr="002F2FDF">
          <w:rPr>
            <w:rStyle w:val="a5"/>
            <w:color w:val="000000" w:themeColor="text1"/>
            <w:kern w:val="2"/>
            <w:sz w:val="16"/>
            <w:szCs w:val="16"/>
          </w:rPr>
          <w:t>[5]</w:t>
        </w:r>
      </w:hyperlink>
      <w:r w:rsidRPr="002F2FDF">
        <w:rPr>
          <w:color w:val="000000" w:themeColor="text1"/>
          <w:kern w:val="2"/>
          <w:sz w:val="16"/>
          <w:szCs w:val="16"/>
        </w:rPr>
        <w:t xml:space="preserve"> указывающий главные пункты, на которые необходимо ответить, чтобы мы имели возможность представить такие предложения на рассмотрение американских капиталистов.</w:t>
      </w:r>
    </w:p>
    <w:p w14:paraId="6C85A910" w14:textId="77777777" w:rsidR="006709A3" w:rsidRPr="002F2FDF" w:rsidRDefault="006709A3" w:rsidP="0083075A">
      <w:pPr>
        <w:pStyle w:val="rtejustify"/>
        <w:spacing w:before="0" w:after="0"/>
        <w:rPr>
          <w:color w:val="000000" w:themeColor="text1"/>
          <w:kern w:val="2"/>
          <w:sz w:val="16"/>
          <w:szCs w:val="16"/>
        </w:rPr>
      </w:pPr>
      <w:r w:rsidRPr="002F2FDF">
        <w:rPr>
          <w:color w:val="000000" w:themeColor="text1"/>
          <w:kern w:val="2"/>
          <w:sz w:val="16"/>
          <w:szCs w:val="16"/>
        </w:rPr>
        <w:t>Составляя этот меморандум, мы исходили из факта существования двух главных групп, заинтересованных в помещении американских капиталов в иностранных предприятиях:</w:t>
      </w:r>
    </w:p>
    <w:p w14:paraId="5EB3B7C2" w14:textId="77777777" w:rsidR="006709A3" w:rsidRPr="002F2FDF" w:rsidRDefault="006709A3" w:rsidP="0083075A">
      <w:pPr>
        <w:pStyle w:val="rtejustify"/>
        <w:spacing w:before="0" w:after="0"/>
        <w:rPr>
          <w:color w:val="000000" w:themeColor="text1"/>
          <w:kern w:val="2"/>
          <w:sz w:val="16"/>
          <w:szCs w:val="16"/>
        </w:rPr>
      </w:pPr>
      <w:r w:rsidRPr="002F2FDF">
        <w:rPr>
          <w:color w:val="000000" w:themeColor="text1"/>
          <w:kern w:val="2"/>
          <w:sz w:val="16"/>
          <w:szCs w:val="16"/>
        </w:rPr>
        <w:t>1) Возможность помещения капитала в уже существующие русские предприятия, как например промышленные, которые в течение известного периода заняты уже производством продуктов для внутреннего рынка России, дающие прибыль, но требующие добавочного капитала для достижения более высокой производительности.</w:t>
      </w:r>
    </w:p>
    <w:p w14:paraId="2F9D6B83" w14:textId="77777777" w:rsidR="006709A3" w:rsidRPr="002F2FDF" w:rsidRDefault="006709A3" w:rsidP="0083075A">
      <w:pPr>
        <w:pStyle w:val="rtejustify"/>
        <w:spacing w:before="0" w:after="0"/>
        <w:rPr>
          <w:color w:val="000000" w:themeColor="text1"/>
          <w:kern w:val="2"/>
          <w:sz w:val="16"/>
          <w:szCs w:val="16"/>
        </w:rPr>
      </w:pPr>
      <w:r w:rsidRPr="002F2FDF">
        <w:rPr>
          <w:color w:val="000000" w:themeColor="text1"/>
          <w:kern w:val="2"/>
          <w:sz w:val="16"/>
          <w:szCs w:val="16"/>
        </w:rPr>
        <w:t>2) Предложения поместить капитал в горнопромышленные предприятия, лесные разработки и другие аналогичные предприятия, которые еще не действовали, но имеют возможность развиться с приливом нового капитала.</w:t>
      </w:r>
    </w:p>
    <w:p w14:paraId="453258DB" w14:textId="77777777" w:rsidR="006709A3" w:rsidRPr="002F2FDF" w:rsidRDefault="006709A3" w:rsidP="0083075A">
      <w:pPr>
        <w:pStyle w:val="rtejustify"/>
        <w:spacing w:before="0" w:after="0"/>
        <w:rPr>
          <w:color w:val="000000" w:themeColor="text1"/>
          <w:kern w:val="2"/>
          <w:sz w:val="16"/>
          <w:szCs w:val="16"/>
        </w:rPr>
      </w:pPr>
      <w:r w:rsidRPr="002F2FDF">
        <w:rPr>
          <w:color w:val="000000" w:themeColor="text1"/>
          <w:kern w:val="2"/>
          <w:sz w:val="16"/>
          <w:szCs w:val="16"/>
        </w:rPr>
        <w:t>Если наши предложения будут вами одобрены, мы уверены, что в ближайшем будущем получим от вас многочисленные предложения, которые мы сможем передать для ознакомления американскому капиталу, заинтересованному в помещении своего капитала в русских предприятиях.</w:t>
      </w:r>
    </w:p>
    <w:p w14:paraId="3787A259" w14:textId="77777777" w:rsidR="006709A3" w:rsidRPr="002F2FDF" w:rsidRDefault="006709A3" w:rsidP="0083075A">
      <w:pPr>
        <w:pStyle w:val="rtejustify"/>
        <w:spacing w:before="0" w:after="0"/>
        <w:rPr>
          <w:color w:val="000000" w:themeColor="text1"/>
          <w:kern w:val="2"/>
          <w:sz w:val="16"/>
          <w:szCs w:val="16"/>
        </w:rPr>
      </w:pPr>
      <w:r w:rsidRPr="002F2FDF">
        <w:rPr>
          <w:color w:val="000000" w:themeColor="text1"/>
          <w:kern w:val="2"/>
          <w:sz w:val="16"/>
          <w:szCs w:val="16"/>
        </w:rPr>
        <w:t>Выражая уверенность в успешном выполнении этой работы ко взаимной пользе обеих стран, остаемся с совершенным почтением</w:t>
      </w:r>
    </w:p>
    <w:p w14:paraId="696C1389" w14:textId="77777777" w:rsidR="006709A3" w:rsidRPr="002F2FDF" w:rsidRDefault="006709A3" w:rsidP="0083075A">
      <w:pPr>
        <w:pStyle w:val="rtejustify"/>
        <w:spacing w:before="0" w:after="0"/>
        <w:rPr>
          <w:color w:val="000000" w:themeColor="text1"/>
          <w:kern w:val="2"/>
          <w:sz w:val="16"/>
          <w:szCs w:val="16"/>
        </w:rPr>
      </w:pPr>
      <w:r w:rsidRPr="002F2FDF">
        <w:rPr>
          <w:color w:val="000000" w:themeColor="text1"/>
          <w:kern w:val="2"/>
          <w:sz w:val="16"/>
          <w:szCs w:val="16"/>
        </w:rPr>
        <w:t>Американо-Русская торговая палата.</w:t>
      </w:r>
    </w:p>
    <w:p w14:paraId="72365B7D" w14:textId="77777777" w:rsidR="006709A3" w:rsidRPr="002F2FDF" w:rsidRDefault="00000000" w:rsidP="0083075A">
      <w:pPr>
        <w:pStyle w:val="ae"/>
        <w:spacing w:before="0" w:after="0"/>
        <w:jc w:val="both"/>
        <w:rPr>
          <w:color w:val="000000" w:themeColor="text1"/>
          <w:kern w:val="2"/>
          <w:sz w:val="16"/>
          <w:szCs w:val="16"/>
        </w:rPr>
      </w:pPr>
      <w:hyperlink r:id="rId74" w:anchor="_ftnref1" w:history="1">
        <w:r w:rsidR="006709A3" w:rsidRPr="002F2FDF">
          <w:rPr>
            <w:rStyle w:val="a5"/>
            <w:color w:val="000000" w:themeColor="text1"/>
            <w:kern w:val="2"/>
            <w:sz w:val="16"/>
            <w:szCs w:val="16"/>
          </w:rPr>
          <w:t>[1]</w:t>
        </w:r>
      </w:hyperlink>
      <w:r w:rsidR="006709A3" w:rsidRPr="002F2FDF">
        <w:rPr>
          <w:color w:val="000000" w:themeColor="text1"/>
          <w:kern w:val="2"/>
          <w:sz w:val="16"/>
          <w:szCs w:val="16"/>
        </w:rPr>
        <w:t xml:space="preserve"> Американо-Русская торговая палата создана в январе 1916 г. в Нью-Йорке. В нее вошли представители крупных американских монополий, заинтересованных в эксплуатации России.</w:t>
      </w:r>
    </w:p>
    <w:p w14:paraId="2A60B9C1" w14:textId="77777777" w:rsidR="006709A3" w:rsidRPr="002F2FDF" w:rsidRDefault="00000000" w:rsidP="0083075A">
      <w:pPr>
        <w:pStyle w:val="ae"/>
        <w:spacing w:before="0" w:after="0"/>
        <w:jc w:val="both"/>
        <w:rPr>
          <w:color w:val="000000" w:themeColor="text1"/>
          <w:kern w:val="2"/>
          <w:sz w:val="16"/>
          <w:szCs w:val="16"/>
        </w:rPr>
      </w:pPr>
      <w:hyperlink r:id="rId75" w:anchor="_ftnref2" w:history="1">
        <w:r w:rsidR="006709A3" w:rsidRPr="002F2FDF">
          <w:rPr>
            <w:rStyle w:val="a5"/>
            <w:color w:val="000000" w:themeColor="text1"/>
            <w:kern w:val="2"/>
            <w:sz w:val="16"/>
            <w:szCs w:val="16"/>
          </w:rPr>
          <w:t>[2]</w:t>
        </w:r>
      </w:hyperlink>
      <w:r w:rsidR="006709A3" w:rsidRPr="002F2FDF">
        <w:rPr>
          <w:color w:val="000000" w:themeColor="text1"/>
          <w:kern w:val="2"/>
          <w:sz w:val="16"/>
          <w:szCs w:val="16"/>
        </w:rPr>
        <w:t xml:space="preserve"> Русско-Американская торговая палата основана в мае 1913 г. в Москве с целью содействия притоку американских капиталов в Россию и развития русско-американской торговли.</w:t>
      </w:r>
    </w:p>
    <w:p w14:paraId="5BC2F7F4" w14:textId="77777777" w:rsidR="006709A3" w:rsidRPr="002F2FDF" w:rsidRDefault="00000000" w:rsidP="0083075A">
      <w:pPr>
        <w:pStyle w:val="ae"/>
        <w:spacing w:before="0" w:after="0"/>
        <w:jc w:val="both"/>
        <w:rPr>
          <w:color w:val="000000" w:themeColor="text1"/>
          <w:kern w:val="2"/>
          <w:sz w:val="16"/>
          <w:szCs w:val="16"/>
        </w:rPr>
      </w:pPr>
      <w:hyperlink r:id="rId76" w:anchor="_ftnref3" w:history="1">
        <w:r w:rsidR="006709A3" w:rsidRPr="002F2FDF">
          <w:rPr>
            <w:rStyle w:val="a5"/>
            <w:color w:val="000000" w:themeColor="text1"/>
            <w:kern w:val="2"/>
            <w:sz w:val="16"/>
            <w:szCs w:val="16"/>
          </w:rPr>
          <w:t>[3]</w:t>
        </w:r>
      </w:hyperlink>
      <w:r w:rsidR="006709A3" w:rsidRPr="002F2FDF">
        <w:rPr>
          <w:color w:val="000000" w:themeColor="text1"/>
          <w:kern w:val="2"/>
          <w:sz w:val="16"/>
          <w:szCs w:val="16"/>
        </w:rPr>
        <w:t xml:space="preserve"> Датируется по упоминанию в предыдущем док. дела.</w:t>
      </w:r>
    </w:p>
    <w:p w14:paraId="61AF397C" w14:textId="77777777" w:rsidR="006709A3" w:rsidRPr="002F2FDF" w:rsidRDefault="00000000" w:rsidP="0083075A">
      <w:pPr>
        <w:pStyle w:val="ae"/>
        <w:spacing w:before="0" w:after="0"/>
        <w:jc w:val="both"/>
        <w:rPr>
          <w:color w:val="000000" w:themeColor="text1"/>
          <w:kern w:val="2"/>
          <w:sz w:val="16"/>
          <w:szCs w:val="16"/>
        </w:rPr>
      </w:pPr>
      <w:hyperlink r:id="rId77" w:anchor="_ftnref4" w:history="1">
        <w:r w:rsidR="006709A3" w:rsidRPr="002F2FDF">
          <w:rPr>
            <w:rStyle w:val="a5"/>
            <w:color w:val="000000" w:themeColor="text1"/>
            <w:kern w:val="2"/>
            <w:sz w:val="16"/>
            <w:szCs w:val="16"/>
          </w:rPr>
          <w:t>[4]</w:t>
        </w:r>
      </w:hyperlink>
      <w:r w:rsidR="006709A3" w:rsidRPr="002F2FDF">
        <w:rPr>
          <w:color w:val="000000" w:themeColor="text1"/>
          <w:kern w:val="2"/>
          <w:sz w:val="16"/>
          <w:szCs w:val="16"/>
        </w:rPr>
        <w:t xml:space="preserve"> В деле не имеется.</w:t>
      </w:r>
    </w:p>
    <w:p w14:paraId="1A3D2ED4" w14:textId="77777777" w:rsidR="006709A3" w:rsidRPr="002F2FDF" w:rsidRDefault="00000000" w:rsidP="0083075A">
      <w:pPr>
        <w:pStyle w:val="ae"/>
        <w:spacing w:before="0" w:after="0"/>
        <w:jc w:val="both"/>
        <w:rPr>
          <w:color w:val="000000" w:themeColor="text1"/>
          <w:kern w:val="2"/>
          <w:sz w:val="16"/>
          <w:szCs w:val="16"/>
        </w:rPr>
      </w:pPr>
      <w:hyperlink r:id="rId78" w:anchor="_ftnref5" w:history="1">
        <w:r w:rsidR="006709A3" w:rsidRPr="002F2FDF">
          <w:rPr>
            <w:rStyle w:val="a5"/>
            <w:color w:val="000000" w:themeColor="text1"/>
            <w:kern w:val="2"/>
            <w:sz w:val="16"/>
            <w:szCs w:val="16"/>
          </w:rPr>
          <w:t>[5]</w:t>
        </w:r>
      </w:hyperlink>
      <w:r w:rsidR="006709A3" w:rsidRPr="002F2FDF">
        <w:rPr>
          <w:color w:val="000000" w:themeColor="text1"/>
          <w:kern w:val="2"/>
          <w:sz w:val="16"/>
          <w:szCs w:val="16"/>
        </w:rPr>
        <w:t xml:space="preserve"> В том же деле, лл. 7об.—5 (15209).</w:t>
      </w:r>
    </w:p>
    <w:p w14:paraId="383A3A42" w14:textId="77777777" w:rsidR="006709A3" w:rsidRPr="002F2FDF" w:rsidRDefault="006709A3"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2CD9B5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марта 1917 Временное правительство признало право Польши на независимость (1348,84).</w:t>
      </w:r>
    </w:p>
    <w:p w14:paraId="370704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49C3E6" w14:textId="77777777" w:rsidR="0027354C" w:rsidRPr="002F2FDF" w:rsidRDefault="0027354C" w:rsidP="0083075A">
      <w:pPr>
        <w:pStyle w:val="ae"/>
        <w:spacing w:before="0" w:after="0"/>
        <w:jc w:val="both"/>
        <w:rPr>
          <w:color w:val="000000" w:themeColor="text1"/>
          <w:kern w:val="2"/>
          <w:sz w:val="16"/>
          <w:szCs w:val="16"/>
        </w:rPr>
      </w:pPr>
      <w:r w:rsidRPr="002F2FDF">
        <w:rPr>
          <w:color w:val="000000" w:themeColor="text1"/>
          <w:kern w:val="2"/>
          <w:sz w:val="16"/>
          <w:szCs w:val="16"/>
        </w:rPr>
        <w:t>17 (30) марта 1917 Временное правительство признало право Польши на воссоединение всех ее частей (австро-венгерской, германской и российской) и на независимость. В связи с этим 31 марта члены законодательных палат от бывшего Царства Польского в составе Российской империи выразили благодарность новой свободной России и сложили свои полномочия в органах российской власти. В конце марта к Временному правительству обратилась группа делегатов с просьбой о признании в будущем независимости и Литвы, но ее пока только «приняли к сведению» (17045).</w:t>
      </w:r>
    </w:p>
    <w:p w14:paraId="5FED0A7F" w14:textId="77777777" w:rsidR="0027354C" w:rsidRPr="002F2FDF" w:rsidRDefault="0027354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B88FF7" w14:textId="77777777" w:rsidR="007D74B2" w:rsidRPr="002F2FDF" w:rsidRDefault="007D74B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17 (30) марта 1917 г. специальным воззванием Временное правительство признало право на отделение у Польши. Де-факто Польша уже от России отделилась – ее давно оккупировали германские войска (17326).</w:t>
      </w:r>
    </w:p>
    <w:p w14:paraId="7A77CACC" w14:textId="77777777" w:rsidR="007D74B2" w:rsidRPr="002F2FDF" w:rsidRDefault="007D74B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ABECA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EA340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DB1E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марта 1917 г. военный совет положил отпустить сумму в 8 тыс. руб. в распоряжение начальника управления “на постройку опытной модели летательного аппарата”. Работа должна была производиться из материалов и на средства военного ведомства “под личным наблюдением изобретателя”. -Двигатель представлялся военным ведомством. В случае благоприятных результатов военное ведомство оговорило преимущественное право на постройку аппаратов системы Михайлова с уплатой ему 50 % с фабричной стоимости каждого созданного аппарата. Устанавливался десятимесячный срок постройки модели. А. Г. Михайлов согласился на поставленные условия и приступил к постройке аппарата своей системы, который строился на главном аэродроме УВВФ. Из документов видно, что к концу октября 1917 г. изобретателю удалось изготовить только отдельные детали аппарата. Большие трудности возникли при создании цилиндров и поршня компрессора. Специально назначенная комиссия нашла, что в “мастерских аэродрома выполняются лишь работы, имеющие характер подготовительных, заказанные же на заводе цилиндры и поршень относятся к работам исполнительным”. В конце 1917 г. начальник главного аэродрома военный летчик полковник А. Н. Вегенер писал управляющему делами технического комитета УВВФ, что изобретатель не работает в мастерских аэродрома. Модель аппарата так и не была закончена (9705).</w:t>
      </w:r>
    </w:p>
    <w:p w14:paraId="4C35F6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CEEBF3" w14:textId="77777777" w:rsidR="003D09FB" w:rsidRPr="002F2FDF" w:rsidRDefault="003D09F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083EB674" w14:textId="77777777" w:rsidR="003D09FB" w:rsidRPr="002F2FDF" w:rsidRDefault="003D09F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E8D9D3" w14:textId="02AD7AFE" w:rsidR="003D09FB" w:rsidRPr="002F2FDF" w:rsidRDefault="003D09FB" w:rsidP="0083075A">
      <w:pPr>
        <w:pStyle w:val="ae"/>
        <w:spacing w:before="0" w:after="0"/>
        <w:jc w:val="both"/>
        <w:rPr>
          <w:color w:val="000000" w:themeColor="text1"/>
          <w:sz w:val="16"/>
          <w:szCs w:val="16"/>
        </w:rPr>
      </w:pPr>
      <w:r w:rsidRPr="002F2FDF">
        <w:rPr>
          <w:color w:val="000000" w:themeColor="text1"/>
          <w:sz w:val="16"/>
          <w:szCs w:val="16"/>
        </w:rPr>
        <w:lastRenderedPageBreak/>
        <w:t>18 (31) марта 1917 г. Н. Д. Зелинскому в Петроград были посланы на испытание т</w:t>
      </w:r>
      <w:r w:rsidRPr="002F2FDF">
        <w:rPr>
          <w:rStyle w:val="af0"/>
          <w:rFonts w:eastAsiaTheme="majorEastAsia"/>
          <w:color w:val="000000" w:themeColor="text1"/>
          <w:sz w:val="16"/>
          <w:szCs w:val="16"/>
        </w:rPr>
        <w:t>ри образца химических поглотителей</w:t>
      </w:r>
      <w:r w:rsidR="00E52569">
        <w:rPr>
          <w:color w:val="000000" w:themeColor="text1"/>
          <w:sz w:val="16"/>
          <w:szCs w:val="16"/>
        </w:rPr>
        <w:t xml:space="preserve"> </w:t>
      </w:r>
      <w:r w:rsidRPr="002F2FDF">
        <w:rPr>
          <w:color w:val="000000" w:themeColor="text1"/>
          <w:sz w:val="16"/>
          <w:szCs w:val="16"/>
        </w:rPr>
        <w:t>следующего состава:</w:t>
      </w:r>
    </w:p>
    <w:p w14:paraId="68F97593" w14:textId="3785C76D" w:rsidR="003D09FB" w:rsidRPr="002F2FDF" w:rsidRDefault="003D09FB" w:rsidP="0083075A">
      <w:pPr>
        <w:pStyle w:val="ae"/>
        <w:spacing w:before="0" w:after="0"/>
        <w:jc w:val="both"/>
        <w:rPr>
          <w:color w:val="000000" w:themeColor="text1"/>
          <w:sz w:val="16"/>
          <w:szCs w:val="16"/>
        </w:rPr>
      </w:pPr>
      <w:r w:rsidRPr="002F2FDF">
        <w:rPr>
          <w:color w:val="000000" w:themeColor="text1"/>
          <w:sz w:val="16"/>
          <w:szCs w:val="16"/>
        </w:rPr>
        <w:t>I.</w:t>
      </w:r>
      <w:r w:rsidR="00E52569">
        <w:rPr>
          <w:color w:val="000000" w:themeColor="text1"/>
          <w:sz w:val="16"/>
          <w:szCs w:val="16"/>
        </w:rPr>
        <w:t xml:space="preserve"> </w:t>
      </w:r>
      <w:r w:rsidRPr="002F2FDF">
        <w:rPr>
          <w:rStyle w:val="af0"/>
          <w:rFonts w:eastAsiaTheme="majorEastAsia"/>
          <w:color w:val="000000" w:themeColor="text1"/>
          <w:sz w:val="16"/>
          <w:szCs w:val="16"/>
        </w:rPr>
        <w:t>Английский рецепт</w:t>
      </w:r>
    </w:p>
    <w:p w14:paraId="45208768" w14:textId="77777777" w:rsidR="003D09FB" w:rsidRPr="002F2FDF" w:rsidRDefault="003D09FB" w:rsidP="0083075A">
      <w:pPr>
        <w:pStyle w:val="ae"/>
        <w:spacing w:before="0" w:after="0"/>
        <w:jc w:val="both"/>
        <w:rPr>
          <w:color w:val="000000" w:themeColor="text1"/>
          <w:sz w:val="16"/>
          <w:szCs w:val="16"/>
        </w:rPr>
      </w:pPr>
      <w:r w:rsidRPr="002F2FDF">
        <w:rPr>
          <w:color w:val="000000" w:themeColor="text1"/>
          <w:sz w:val="16"/>
          <w:szCs w:val="16"/>
        </w:rPr>
        <w:t>марганцево-кислый натр 80 вес. ч.</w:t>
      </w:r>
    </w:p>
    <w:p w14:paraId="0BF7760E" w14:textId="77777777" w:rsidR="003D09FB" w:rsidRPr="002F2FDF" w:rsidRDefault="003D09FB" w:rsidP="0083075A">
      <w:pPr>
        <w:pStyle w:val="ae"/>
        <w:spacing w:before="0" w:after="0"/>
        <w:jc w:val="both"/>
        <w:rPr>
          <w:color w:val="000000" w:themeColor="text1"/>
          <w:sz w:val="16"/>
          <w:szCs w:val="16"/>
        </w:rPr>
      </w:pPr>
      <w:r w:rsidRPr="002F2FDF">
        <w:rPr>
          <w:color w:val="000000" w:themeColor="text1"/>
          <w:sz w:val="16"/>
          <w:szCs w:val="16"/>
        </w:rPr>
        <w:t>белильная известь 192 вес. ч.</w:t>
      </w:r>
    </w:p>
    <w:p w14:paraId="2F789F53" w14:textId="77777777" w:rsidR="003D09FB" w:rsidRPr="002F2FDF" w:rsidRDefault="003D09FB" w:rsidP="0083075A">
      <w:pPr>
        <w:pStyle w:val="ae"/>
        <w:spacing w:before="0" w:after="0"/>
        <w:jc w:val="both"/>
        <w:rPr>
          <w:color w:val="000000" w:themeColor="text1"/>
          <w:sz w:val="16"/>
          <w:szCs w:val="16"/>
        </w:rPr>
      </w:pPr>
      <w:r w:rsidRPr="002F2FDF">
        <w:rPr>
          <w:color w:val="000000" w:themeColor="text1"/>
          <w:sz w:val="16"/>
          <w:szCs w:val="16"/>
        </w:rPr>
        <w:t>кизельгур 45 вес. ч.</w:t>
      </w:r>
    </w:p>
    <w:p w14:paraId="4184FB62" w14:textId="77777777" w:rsidR="003D09FB" w:rsidRPr="002F2FDF" w:rsidRDefault="003D09FB" w:rsidP="0083075A">
      <w:pPr>
        <w:pStyle w:val="ae"/>
        <w:spacing w:before="0" w:after="0"/>
        <w:jc w:val="both"/>
        <w:rPr>
          <w:color w:val="000000" w:themeColor="text1"/>
          <w:sz w:val="16"/>
          <w:szCs w:val="16"/>
        </w:rPr>
      </w:pPr>
      <w:r w:rsidRPr="002F2FDF">
        <w:rPr>
          <w:color w:val="000000" w:themeColor="text1"/>
          <w:sz w:val="16"/>
          <w:szCs w:val="16"/>
        </w:rPr>
        <w:t>гашеная известь в виде пасты в воде 144 вес. ч.</w:t>
      </w:r>
    </w:p>
    <w:p w14:paraId="25ACBC57" w14:textId="77777777" w:rsidR="003D09FB" w:rsidRPr="002F2FDF" w:rsidRDefault="003D09FB" w:rsidP="0083075A">
      <w:pPr>
        <w:pStyle w:val="ae"/>
        <w:spacing w:before="0" w:after="0"/>
        <w:jc w:val="both"/>
        <w:rPr>
          <w:color w:val="000000" w:themeColor="text1"/>
          <w:sz w:val="16"/>
          <w:szCs w:val="16"/>
        </w:rPr>
      </w:pPr>
      <w:r w:rsidRPr="002F2FDF">
        <w:rPr>
          <w:color w:val="000000" w:themeColor="text1"/>
          <w:sz w:val="16"/>
          <w:szCs w:val="16"/>
        </w:rPr>
        <w:t>едкий натр 14 вес. ч.</w:t>
      </w:r>
    </w:p>
    <w:p w14:paraId="6EC211FF" w14:textId="77777777" w:rsidR="003D09FB" w:rsidRPr="002F2FDF" w:rsidRDefault="003D09FB" w:rsidP="0083075A">
      <w:pPr>
        <w:pStyle w:val="ae"/>
        <w:spacing w:before="0" w:after="0"/>
        <w:jc w:val="both"/>
        <w:rPr>
          <w:color w:val="000000" w:themeColor="text1"/>
          <w:sz w:val="16"/>
          <w:szCs w:val="16"/>
        </w:rPr>
      </w:pPr>
      <w:r w:rsidRPr="002F2FDF">
        <w:rPr>
          <w:color w:val="000000" w:themeColor="text1"/>
          <w:sz w:val="16"/>
          <w:szCs w:val="16"/>
        </w:rPr>
        <w:t>температура сушки 53—56 П</w:t>
      </w:r>
    </w:p>
    <w:p w14:paraId="26394CEA" w14:textId="1EEDC921" w:rsidR="003D09FB" w:rsidRPr="002F2FDF" w:rsidRDefault="003D09FB" w:rsidP="0083075A">
      <w:pPr>
        <w:pStyle w:val="ae"/>
        <w:spacing w:before="0" w:after="0"/>
        <w:jc w:val="both"/>
        <w:rPr>
          <w:color w:val="000000" w:themeColor="text1"/>
          <w:sz w:val="16"/>
          <w:szCs w:val="16"/>
        </w:rPr>
      </w:pPr>
      <w:r w:rsidRPr="002F2FDF">
        <w:rPr>
          <w:color w:val="000000" w:themeColor="text1"/>
          <w:sz w:val="16"/>
          <w:szCs w:val="16"/>
        </w:rPr>
        <w:t>II.</w:t>
      </w:r>
      <w:r w:rsidR="00E52569">
        <w:rPr>
          <w:rStyle w:val="af0"/>
          <w:rFonts w:eastAsiaTheme="majorEastAsia"/>
          <w:color w:val="000000" w:themeColor="text1"/>
          <w:sz w:val="16"/>
          <w:szCs w:val="16"/>
        </w:rPr>
        <w:t xml:space="preserve"> </w:t>
      </w:r>
      <w:r w:rsidRPr="002F2FDF">
        <w:rPr>
          <w:rStyle w:val="af0"/>
          <w:rFonts w:eastAsiaTheme="majorEastAsia"/>
          <w:color w:val="000000" w:themeColor="text1"/>
          <w:sz w:val="16"/>
          <w:szCs w:val="16"/>
        </w:rPr>
        <w:t>Рецепт без названия</w:t>
      </w:r>
    </w:p>
    <w:p w14:paraId="7F48686C" w14:textId="77777777" w:rsidR="003D09FB" w:rsidRPr="002F2FDF" w:rsidRDefault="003D09FB" w:rsidP="0083075A">
      <w:pPr>
        <w:pStyle w:val="ae"/>
        <w:spacing w:before="0" w:after="0"/>
        <w:jc w:val="both"/>
        <w:rPr>
          <w:color w:val="000000" w:themeColor="text1"/>
          <w:sz w:val="16"/>
          <w:szCs w:val="16"/>
        </w:rPr>
      </w:pPr>
      <w:r w:rsidRPr="002F2FDF">
        <w:rPr>
          <w:color w:val="000000" w:themeColor="text1"/>
          <w:sz w:val="16"/>
          <w:szCs w:val="16"/>
        </w:rPr>
        <w:t>гашеной извести 75 вес. ч. в виде пасты</w:t>
      </w:r>
    </w:p>
    <w:p w14:paraId="17DAF903" w14:textId="77777777" w:rsidR="003D09FB" w:rsidRPr="002F2FDF" w:rsidRDefault="003D09FB" w:rsidP="0083075A">
      <w:pPr>
        <w:pStyle w:val="ae"/>
        <w:spacing w:before="0" w:after="0"/>
        <w:jc w:val="both"/>
        <w:rPr>
          <w:color w:val="000000" w:themeColor="text1"/>
          <w:sz w:val="16"/>
          <w:szCs w:val="16"/>
        </w:rPr>
      </w:pPr>
      <w:r w:rsidRPr="002F2FDF">
        <w:rPr>
          <w:color w:val="000000" w:themeColor="text1"/>
          <w:sz w:val="16"/>
          <w:szCs w:val="16"/>
        </w:rPr>
        <w:t>кизельгура 12 вес. ч.</w:t>
      </w:r>
    </w:p>
    <w:p w14:paraId="468FB2A5" w14:textId="77777777" w:rsidR="003D09FB" w:rsidRPr="002F2FDF" w:rsidRDefault="003D09FB" w:rsidP="0083075A">
      <w:pPr>
        <w:pStyle w:val="ae"/>
        <w:spacing w:before="0" w:after="0"/>
        <w:jc w:val="both"/>
        <w:rPr>
          <w:color w:val="000000" w:themeColor="text1"/>
          <w:sz w:val="16"/>
          <w:szCs w:val="16"/>
        </w:rPr>
      </w:pPr>
      <w:r w:rsidRPr="002F2FDF">
        <w:rPr>
          <w:color w:val="000000" w:themeColor="text1"/>
          <w:sz w:val="16"/>
          <w:szCs w:val="16"/>
        </w:rPr>
        <w:t>портланд-цемента 45 вес. ч.</w:t>
      </w:r>
    </w:p>
    <w:p w14:paraId="11C53385" w14:textId="77777777" w:rsidR="003D09FB" w:rsidRPr="002F2FDF" w:rsidRDefault="003D09FB" w:rsidP="0083075A">
      <w:pPr>
        <w:pStyle w:val="ae"/>
        <w:spacing w:before="0" w:after="0"/>
        <w:jc w:val="both"/>
        <w:rPr>
          <w:color w:val="000000" w:themeColor="text1"/>
          <w:sz w:val="16"/>
          <w:szCs w:val="16"/>
        </w:rPr>
      </w:pPr>
      <w:r w:rsidRPr="002F2FDF">
        <w:rPr>
          <w:color w:val="000000" w:themeColor="text1"/>
          <w:sz w:val="16"/>
          <w:szCs w:val="16"/>
        </w:rPr>
        <w:t>марганцево-кислый натр 20 %, растворенный в воде 54 вес. ч.</w:t>
      </w:r>
    </w:p>
    <w:p w14:paraId="5556250B" w14:textId="77777777" w:rsidR="003D09FB" w:rsidRPr="002F2FDF" w:rsidRDefault="003D09FB" w:rsidP="0083075A">
      <w:pPr>
        <w:pStyle w:val="ae"/>
        <w:spacing w:before="0" w:after="0"/>
        <w:jc w:val="both"/>
        <w:rPr>
          <w:color w:val="000000" w:themeColor="text1"/>
          <w:sz w:val="16"/>
          <w:szCs w:val="16"/>
        </w:rPr>
      </w:pPr>
      <w:r w:rsidRPr="002F2FDF">
        <w:rPr>
          <w:color w:val="000000" w:themeColor="text1"/>
          <w:sz w:val="16"/>
          <w:szCs w:val="16"/>
        </w:rPr>
        <w:t>немного соды для щелочной реакции</w:t>
      </w:r>
    </w:p>
    <w:p w14:paraId="64D80BE2" w14:textId="5DDAF4DB" w:rsidR="003D09FB" w:rsidRPr="002F2FDF" w:rsidRDefault="003D09FB" w:rsidP="0083075A">
      <w:pPr>
        <w:pStyle w:val="ae"/>
        <w:spacing w:before="0" w:after="0"/>
        <w:jc w:val="both"/>
        <w:rPr>
          <w:color w:val="000000" w:themeColor="text1"/>
          <w:sz w:val="16"/>
          <w:szCs w:val="16"/>
        </w:rPr>
      </w:pPr>
      <w:r w:rsidRPr="002F2FDF">
        <w:rPr>
          <w:color w:val="000000" w:themeColor="text1"/>
          <w:sz w:val="16"/>
          <w:szCs w:val="16"/>
        </w:rPr>
        <w:t>III.</w:t>
      </w:r>
      <w:r w:rsidR="00E52569">
        <w:rPr>
          <w:color w:val="000000" w:themeColor="text1"/>
          <w:sz w:val="16"/>
          <w:szCs w:val="16"/>
        </w:rPr>
        <w:t xml:space="preserve"> </w:t>
      </w:r>
      <w:r w:rsidRPr="002F2FDF">
        <w:rPr>
          <w:rStyle w:val="af0"/>
          <w:rFonts w:eastAsiaTheme="majorEastAsia"/>
          <w:color w:val="000000" w:themeColor="text1"/>
          <w:sz w:val="16"/>
          <w:szCs w:val="16"/>
        </w:rPr>
        <w:t>Французский рецепт</w:t>
      </w:r>
    </w:p>
    <w:p w14:paraId="4F4CC4BA" w14:textId="77777777" w:rsidR="003D09FB" w:rsidRPr="002F2FDF" w:rsidRDefault="003D09FB" w:rsidP="0083075A">
      <w:pPr>
        <w:pStyle w:val="ae"/>
        <w:spacing w:before="0" w:after="0"/>
        <w:jc w:val="both"/>
        <w:rPr>
          <w:color w:val="000000" w:themeColor="text1"/>
          <w:sz w:val="16"/>
          <w:szCs w:val="16"/>
        </w:rPr>
      </w:pPr>
      <w:r w:rsidRPr="002F2FDF">
        <w:rPr>
          <w:color w:val="000000" w:themeColor="text1"/>
          <w:sz w:val="16"/>
          <w:szCs w:val="16"/>
        </w:rPr>
        <w:t>окись цинка 20 вес. ч.</w:t>
      </w:r>
    </w:p>
    <w:p w14:paraId="4F23F56D" w14:textId="77777777" w:rsidR="003D09FB" w:rsidRPr="002F2FDF" w:rsidRDefault="003D09FB" w:rsidP="0083075A">
      <w:pPr>
        <w:pStyle w:val="ae"/>
        <w:spacing w:before="0" w:after="0"/>
        <w:jc w:val="both"/>
        <w:rPr>
          <w:color w:val="000000" w:themeColor="text1"/>
          <w:sz w:val="16"/>
          <w:szCs w:val="16"/>
        </w:rPr>
      </w:pPr>
      <w:r w:rsidRPr="002F2FDF">
        <w:rPr>
          <w:color w:val="000000" w:themeColor="text1"/>
          <w:sz w:val="16"/>
          <w:szCs w:val="16"/>
        </w:rPr>
        <w:t>соды 15 вес. ч.</w:t>
      </w:r>
    </w:p>
    <w:p w14:paraId="318B38FB" w14:textId="77777777" w:rsidR="003D09FB" w:rsidRPr="002F2FDF" w:rsidRDefault="003D09FB" w:rsidP="0083075A">
      <w:pPr>
        <w:pStyle w:val="ae"/>
        <w:spacing w:before="0" w:after="0"/>
        <w:jc w:val="both"/>
        <w:rPr>
          <w:color w:val="000000" w:themeColor="text1"/>
          <w:sz w:val="16"/>
          <w:szCs w:val="16"/>
        </w:rPr>
      </w:pPr>
      <w:r w:rsidRPr="002F2FDF">
        <w:rPr>
          <w:color w:val="000000" w:themeColor="text1"/>
          <w:sz w:val="16"/>
          <w:szCs w:val="16"/>
        </w:rPr>
        <w:t>угольной пыли 10 вес. ч.</w:t>
      </w:r>
    </w:p>
    <w:p w14:paraId="4515BB9E" w14:textId="77777777" w:rsidR="003D09FB" w:rsidRPr="002F2FDF" w:rsidRDefault="003D09FB" w:rsidP="0083075A">
      <w:pPr>
        <w:pStyle w:val="ae"/>
        <w:spacing w:before="0" w:after="0"/>
        <w:jc w:val="both"/>
        <w:rPr>
          <w:color w:val="000000" w:themeColor="text1"/>
          <w:sz w:val="16"/>
          <w:szCs w:val="16"/>
        </w:rPr>
      </w:pPr>
      <w:r w:rsidRPr="002F2FDF">
        <w:rPr>
          <w:color w:val="000000" w:themeColor="text1"/>
          <w:sz w:val="16"/>
          <w:szCs w:val="16"/>
        </w:rPr>
        <w:t>глицерина 5 вес. ч.</w:t>
      </w:r>
    </w:p>
    <w:p w14:paraId="6DCB6C58" w14:textId="77777777" w:rsidR="003D09FB" w:rsidRPr="002F2FDF" w:rsidRDefault="003D09FB" w:rsidP="0083075A">
      <w:pPr>
        <w:pStyle w:val="ae"/>
        <w:spacing w:before="0" w:after="0"/>
        <w:jc w:val="both"/>
        <w:rPr>
          <w:color w:val="000000" w:themeColor="text1"/>
          <w:sz w:val="16"/>
          <w:szCs w:val="16"/>
        </w:rPr>
      </w:pPr>
      <w:r w:rsidRPr="002F2FDF">
        <w:rPr>
          <w:color w:val="000000" w:themeColor="text1"/>
          <w:sz w:val="16"/>
          <w:szCs w:val="16"/>
        </w:rPr>
        <w:t>воды 10 вес. ч.</w:t>
      </w:r>
    </w:p>
    <w:p w14:paraId="300864E8" w14:textId="77777777" w:rsidR="003D09FB" w:rsidRPr="002F2FDF" w:rsidRDefault="003D09FB" w:rsidP="0083075A">
      <w:pPr>
        <w:pStyle w:val="ae"/>
        <w:spacing w:before="0" w:after="0"/>
        <w:jc w:val="both"/>
        <w:rPr>
          <w:color w:val="000000" w:themeColor="text1"/>
          <w:sz w:val="16"/>
          <w:szCs w:val="16"/>
        </w:rPr>
      </w:pPr>
      <w:r w:rsidRPr="002F2FDF">
        <w:rPr>
          <w:color w:val="000000" w:themeColor="text1"/>
          <w:sz w:val="16"/>
          <w:szCs w:val="16"/>
        </w:rPr>
        <w:t>Из смеси, составленной по этим рецептам, приготовлялись гранулы, которые и помещались в коробке противогаза между двумя слоями угля (20246).</w:t>
      </w:r>
    </w:p>
    <w:p w14:paraId="4D13D25A" w14:textId="77777777" w:rsidR="003D09FB" w:rsidRPr="002F2FDF" w:rsidRDefault="003D09FB" w:rsidP="0083075A">
      <w:pPr>
        <w:pStyle w:val="ae"/>
        <w:spacing w:before="0" w:after="0"/>
        <w:jc w:val="both"/>
        <w:rPr>
          <w:color w:val="000000" w:themeColor="text1"/>
          <w:sz w:val="16"/>
          <w:szCs w:val="16"/>
        </w:rPr>
      </w:pPr>
    </w:p>
    <w:p w14:paraId="4D39749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03A11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D097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марта 1917 сводная группа в составе 22 русских, французских и румынских офицеров под командованием ротмистра В.И.Бржозовского совершила удачный налет на пристань и доки в Браилове. Налет продолжался 25:15 и сбросили 215 бомб (438,352).</w:t>
      </w:r>
    </w:p>
    <w:p w14:paraId="6345C1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2F084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18 </w:t>
      </w:r>
      <w:r w:rsidR="001B6ED4" w:rsidRPr="002F2FDF">
        <w:rPr>
          <w:rFonts w:ascii="Times New Roman" w:hAnsi="Times New Roman" w:cs="Times New Roman"/>
          <w:color w:val="000000" w:themeColor="text1"/>
          <w:kern w:val="2"/>
          <w:sz w:val="16"/>
          <w:szCs w:val="16"/>
        </w:rPr>
        <w:t xml:space="preserve">(31) </w:t>
      </w:r>
      <w:r w:rsidRPr="002F2FDF">
        <w:rPr>
          <w:rFonts w:ascii="Times New Roman" w:hAnsi="Times New Roman" w:cs="Times New Roman"/>
          <w:color w:val="000000" w:themeColor="text1"/>
          <w:kern w:val="2"/>
          <w:sz w:val="16"/>
          <w:szCs w:val="16"/>
        </w:rPr>
        <w:t>марта 1917 сводная группа в составе 22 русских, французских и румынских самолетов под командованием ротмистра Владимира 'Ивановича Бржозовского совершила удачный налет нэ пристань и доки в Браилове, где по агентурным сведениям имелись боль</w:t>
      </w:r>
      <w:r w:rsidRPr="002F2FDF">
        <w:rPr>
          <w:rFonts w:ascii="Times New Roman" w:hAnsi="Times New Roman" w:cs="Times New Roman"/>
          <w:color w:val="000000" w:themeColor="text1"/>
          <w:kern w:val="2"/>
          <w:sz w:val="16"/>
          <w:szCs w:val="16"/>
        </w:rPr>
        <w:softHyphen/>
        <w:t>шие склады боевых припасов и три монитора. Налет продолжался 2 часа 15 минут, было сброшено 215 бомб, которые причинили большие разрушения. (Фронтовая газета "Дунайский Вестник”, 1917 г.-23 марта).</w:t>
      </w:r>
    </w:p>
    <w:p w14:paraId="555D8D0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E02638" w14:textId="1B2BDC03" w:rsidR="00B40943" w:rsidRPr="00FB4F67" w:rsidRDefault="00B40943"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18 (</w:t>
      </w:r>
      <w:r w:rsidRPr="00FB4F67">
        <w:rPr>
          <w:rFonts w:ascii="Times New Roman" w:hAnsi="Times New Roman" w:cs="Times New Roman"/>
          <w:color w:val="0070C0"/>
          <w:sz w:val="16"/>
          <w:szCs w:val="16"/>
        </w:rPr>
        <w:t>31</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марта 1917 г. на Румынском фронте 22 самолета русских и франко-румынских частей под прикрытием истребителей нанесли бомбовый удар по докам и причалам противника в Браилове на реке Дунай, сбросив 215 бомб, причинивших тяжелые повреждения (23525).</w:t>
      </w:r>
    </w:p>
    <w:p w14:paraId="10273911" w14:textId="77777777" w:rsidR="00B40943" w:rsidRPr="00FB4F67" w:rsidRDefault="00B40943" w:rsidP="0083075A">
      <w:pPr>
        <w:spacing w:after="0" w:line="240" w:lineRule="auto"/>
        <w:jc w:val="both"/>
        <w:rPr>
          <w:rFonts w:ascii="Times New Roman" w:hAnsi="Times New Roman" w:cs="Times New Roman"/>
          <w:color w:val="0070C0"/>
          <w:sz w:val="16"/>
          <w:szCs w:val="16"/>
        </w:rPr>
      </w:pPr>
    </w:p>
    <w:p w14:paraId="52B1C195" w14:textId="66854F70" w:rsidR="00834DFB" w:rsidRPr="00815ED5" w:rsidRDefault="00834DFB"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18 </w:t>
      </w:r>
      <w:r>
        <w:rPr>
          <w:rFonts w:ascii="Times New Roman" w:hAnsi="Times New Roman" w:cs="Times New Roman"/>
          <w:color w:val="0070C0"/>
          <w:sz w:val="16"/>
          <w:szCs w:val="16"/>
        </w:rPr>
        <w:t xml:space="preserve">(31) </w:t>
      </w:r>
      <w:r w:rsidRPr="00815ED5">
        <w:rPr>
          <w:rFonts w:ascii="Times New Roman" w:hAnsi="Times New Roman" w:cs="Times New Roman"/>
          <w:color w:val="0070C0"/>
          <w:sz w:val="16"/>
          <w:szCs w:val="16"/>
        </w:rPr>
        <w:t xml:space="preserve">марта </w:t>
      </w:r>
      <w:r>
        <w:rPr>
          <w:rFonts w:ascii="Times New Roman" w:hAnsi="Times New Roman" w:cs="Times New Roman"/>
          <w:color w:val="0070C0"/>
          <w:sz w:val="16"/>
          <w:szCs w:val="16"/>
        </w:rPr>
        <w:t>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сводная группа в составе 22 русских,</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французских и румы</w:t>
      </w:r>
      <w:r>
        <w:rPr>
          <w:rFonts w:ascii="Times New Roman" w:hAnsi="Times New Roman" w:cs="Times New Roman"/>
          <w:color w:val="0070C0"/>
          <w:sz w:val="16"/>
          <w:szCs w:val="16"/>
        </w:rPr>
        <w:t>н</w:t>
      </w:r>
      <w:r w:rsidRPr="00815ED5">
        <w:rPr>
          <w:rFonts w:ascii="Times New Roman" w:hAnsi="Times New Roman" w:cs="Times New Roman"/>
          <w:color w:val="0070C0"/>
          <w:sz w:val="16"/>
          <w:szCs w:val="16"/>
        </w:rPr>
        <w:t>ских самолетов под командованием ротмистра Владимира Ивановича Бржозовского совершила удачный налет на пристань и доки в Браилове, где</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по агентурным сведениям</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имелись большие оклады боевых припасов и три монитора.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Налет продолжался 2 часа 15 минут,</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было сброшено 215 бомб,</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которые причинили большое разрушение.</w:t>
      </w:r>
    </w:p>
    <w:p w14:paraId="085C437B" w14:textId="77777777" w:rsidR="00834DFB" w:rsidRDefault="00834DFB"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/фронтовая газета "Дунайский вестник" за 23 марта 1917/</w:t>
      </w:r>
      <w:r>
        <w:rPr>
          <w:rFonts w:ascii="Times New Roman" w:hAnsi="Times New Roman" w:cs="Times New Roman"/>
          <w:color w:val="0070C0"/>
          <w:sz w:val="16"/>
          <w:szCs w:val="16"/>
        </w:rPr>
        <w:t xml:space="preserve"> (23320).</w:t>
      </w:r>
    </w:p>
    <w:p w14:paraId="56956AB2" w14:textId="77777777" w:rsidR="00834DFB" w:rsidRPr="00815ED5" w:rsidRDefault="00834DFB" w:rsidP="0083075A">
      <w:pPr>
        <w:spacing w:after="0" w:line="240" w:lineRule="auto"/>
        <w:jc w:val="both"/>
        <w:rPr>
          <w:rFonts w:ascii="Times New Roman" w:hAnsi="Times New Roman" w:cs="Times New Roman"/>
          <w:color w:val="0070C0"/>
          <w:sz w:val="16"/>
          <w:szCs w:val="16"/>
        </w:rPr>
      </w:pPr>
    </w:p>
    <w:p w14:paraId="00F8C581" w14:textId="77777777" w:rsidR="0027354C" w:rsidRPr="002F2FDF" w:rsidRDefault="0027354C" w:rsidP="0083075A">
      <w:pPr>
        <w:pStyle w:val="ae"/>
        <w:spacing w:before="0" w:after="0"/>
        <w:jc w:val="both"/>
        <w:rPr>
          <w:color w:val="000000" w:themeColor="text1"/>
          <w:kern w:val="2"/>
          <w:sz w:val="16"/>
          <w:szCs w:val="16"/>
        </w:rPr>
      </w:pPr>
      <w:r w:rsidRPr="002F2FDF">
        <w:rPr>
          <w:color w:val="000000" w:themeColor="text1"/>
          <w:kern w:val="2"/>
          <w:sz w:val="16"/>
          <w:szCs w:val="16"/>
        </w:rPr>
        <w:t>18 (31) марта 1917 в Россию прибыл 122-й по счету поезд с военнопленными-инвалидами, обмен которыми между воюющими странами проводился по специальному заключенному по инициативе Красного Креста соглашению. Газета «Русское слово» сообщала: «Возвратились 3 офицера и 223 солдата. Из них 137 туберкулезных и 10 носилочных, 17 умалишенных и 3 слепых, остальные калеки. Вид у инвалидов изнуренный» (17045).</w:t>
      </w:r>
    </w:p>
    <w:p w14:paraId="62BD858E" w14:textId="77777777" w:rsidR="0027354C" w:rsidRPr="002F2FDF" w:rsidRDefault="0027354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B9926C" w14:textId="77777777" w:rsidR="006709A3"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39330583" w14:textId="77777777" w:rsidR="006709A3" w:rsidRPr="002F2FDF" w:rsidRDefault="006709A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6748FB"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18 (</w:t>
      </w:r>
      <w:r w:rsidR="0027354C" w:rsidRPr="002F2FDF">
        <w:rPr>
          <w:rStyle w:val="af0"/>
          <w:rFonts w:ascii="Times New Roman" w:hAnsi="Times New Roman" w:cs="Times New Roman"/>
          <w:i w:val="0"/>
          <w:color w:val="000000" w:themeColor="text1"/>
          <w:kern w:val="2"/>
          <w:sz w:val="16"/>
          <w:szCs w:val="16"/>
        </w:rPr>
        <w:t>3</w:t>
      </w:r>
      <w:r w:rsidRPr="002F2FDF">
        <w:rPr>
          <w:rStyle w:val="af0"/>
          <w:rFonts w:ascii="Times New Roman" w:hAnsi="Times New Roman" w:cs="Times New Roman"/>
          <w:i w:val="0"/>
          <w:color w:val="000000" w:themeColor="text1"/>
          <w:kern w:val="2"/>
          <w:sz w:val="16"/>
          <w:szCs w:val="16"/>
        </w:rPr>
        <w:t xml:space="preserve">1) марта 1917 г. </w:t>
      </w:r>
      <w:r w:rsidRPr="002F2FDF">
        <w:rPr>
          <w:rFonts w:ascii="Times New Roman" w:hAnsi="Times New Roman" w:cs="Times New Roman"/>
          <w:color w:val="000000" w:themeColor="text1"/>
          <w:kern w:val="2"/>
          <w:sz w:val="16"/>
          <w:szCs w:val="16"/>
        </w:rPr>
        <w:t>Программа деятельности русской экономической миссии в США, представленная Русско-Американской торговой палатой на имя министра торговли и промышленности</w:t>
      </w:r>
    </w:p>
    <w:p w14:paraId="1667AF96" w14:textId="2714175B"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455-457</w:t>
      </w:r>
    </w:p>
    <w:p w14:paraId="22C7BE46" w14:textId="0B8AABAD"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ЦГИАЛ, ф. 23, оп. I, д. 447, лл. 16—17. Копия</w:t>
      </w:r>
    </w:p>
    <w:tbl>
      <w:tblPr>
        <w:tblW w:w="0" w:type="auto"/>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17"/>
        <w:gridCol w:w="1211"/>
        <w:gridCol w:w="1112"/>
        <w:gridCol w:w="405"/>
        <w:gridCol w:w="5583"/>
      </w:tblGrid>
      <w:tr w:rsidR="002B1C74" w:rsidRPr="002F2FDF" w14:paraId="48827925" w14:textId="77777777" w:rsidTr="00FE2D53">
        <w:trPr>
          <w:tblCellSpacing w:w="0" w:type="dxa"/>
          <w:jc w:val="center"/>
        </w:trPr>
        <w:tc>
          <w:tcPr>
            <w:tcW w:w="0" w:type="auto"/>
            <w:vAlign w:val="center"/>
            <w:hideMark/>
          </w:tcPr>
          <w:p w14:paraId="63DB406B"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Цель делегации</w:t>
            </w:r>
          </w:p>
        </w:tc>
        <w:tc>
          <w:tcPr>
            <w:tcW w:w="0" w:type="auto"/>
            <w:gridSpan w:val="4"/>
            <w:vAlign w:val="center"/>
            <w:hideMark/>
          </w:tcPr>
          <w:p w14:paraId="6D434387"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Сближение с Соединенными Штатами на почве взаимных экономических интересов.</w:t>
            </w:r>
          </w:p>
        </w:tc>
      </w:tr>
      <w:tr w:rsidR="002B1C74" w:rsidRPr="002F2FDF" w14:paraId="700B5AE7" w14:textId="77777777" w:rsidTr="00FE2D53">
        <w:trPr>
          <w:tblCellSpacing w:w="0" w:type="dxa"/>
          <w:jc w:val="center"/>
        </w:trPr>
        <w:tc>
          <w:tcPr>
            <w:tcW w:w="0" w:type="auto"/>
            <w:vMerge w:val="restart"/>
            <w:vAlign w:val="center"/>
            <w:hideMark/>
          </w:tcPr>
          <w:p w14:paraId="506E57E2"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Наиболее верный путь — к этому сближению (мнение также и нашей американской организации)</w:t>
            </w:r>
          </w:p>
        </w:tc>
        <w:tc>
          <w:tcPr>
            <w:tcW w:w="0" w:type="auto"/>
            <w:gridSpan w:val="4"/>
            <w:vAlign w:val="center"/>
            <w:hideMark/>
          </w:tcPr>
          <w:p w14:paraId="342E51F8"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Личное общение, переговоры, собеседования, непосредственные ознакомления с экономическими силами, возможностями, перспективами и нуждами Соединенных Штатов, а также выполнение определенных поручений и дел финансово-экономического свойства:</w:t>
            </w:r>
          </w:p>
        </w:tc>
      </w:tr>
      <w:tr w:rsidR="002B1C74" w:rsidRPr="002F2FDF" w14:paraId="14C73435" w14:textId="77777777" w:rsidTr="00FE2D53">
        <w:trPr>
          <w:tblCellSpacing w:w="0" w:type="dxa"/>
          <w:jc w:val="center"/>
        </w:trPr>
        <w:tc>
          <w:tcPr>
            <w:tcW w:w="0" w:type="auto"/>
            <w:vMerge/>
            <w:vAlign w:val="center"/>
            <w:hideMark/>
          </w:tcPr>
          <w:p w14:paraId="7EAB3884"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3"/>
            <w:vAlign w:val="center"/>
            <w:hideMark/>
          </w:tcPr>
          <w:p w14:paraId="09A40FAD"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а) облегчение ввоза в Россию</w:t>
            </w:r>
          </w:p>
        </w:tc>
        <w:tc>
          <w:tcPr>
            <w:tcW w:w="0" w:type="auto"/>
            <w:vMerge w:val="restart"/>
            <w:vAlign w:val="center"/>
            <w:hideMark/>
          </w:tcPr>
          <w:p w14:paraId="75FA0CBA"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товаров.</w:t>
            </w:r>
          </w:p>
        </w:tc>
      </w:tr>
      <w:tr w:rsidR="002B1C74" w:rsidRPr="002F2FDF" w14:paraId="14EC6D7C" w14:textId="77777777" w:rsidTr="00FE2D53">
        <w:trPr>
          <w:tblCellSpacing w:w="0" w:type="dxa"/>
          <w:jc w:val="center"/>
        </w:trPr>
        <w:tc>
          <w:tcPr>
            <w:tcW w:w="0" w:type="auto"/>
            <w:vMerge/>
            <w:vAlign w:val="center"/>
            <w:hideMark/>
          </w:tcPr>
          <w:p w14:paraId="392A99D0"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3"/>
            <w:vAlign w:val="center"/>
            <w:hideMark/>
          </w:tcPr>
          <w:p w14:paraId="325BA21F"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b) » вывоза из России   </w:t>
            </w:r>
          </w:p>
        </w:tc>
        <w:tc>
          <w:tcPr>
            <w:tcW w:w="0" w:type="auto"/>
            <w:vMerge/>
            <w:vAlign w:val="center"/>
            <w:hideMark/>
          </w:tcPr>
          <w:p w14:paraId="006745C6"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6E53A4DD" w14:textId="77777777" w:rsidTr="00FE2D53">
        <w:trPr>
          <w:tblCellSpacing w:w="0" w:type="dxa"/>
          <w:jc w:val="center"/>
        </w:trPr>
        <w:tc>
          <w:tcPr>
            <w:tcW w:w="0" w:type="auto"/>
            <w:vMerge/>
            <w:vAlign w:val="center"/>
            <w:hideMark/>
          </w:tcPr>
          <w:p w14:paraId="4D30FC7F"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3"/>
            <w:vAlign w:val="center"/>
            <w:hideMark/>
          </w:tcPr>
          <w:p w14:paraId="6B538329"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с) привлечение капитала</w:t>
            </w:r>
          </w:p>
        </w:tc>
        <w:tc>
          <w:tcPr>
            <w:tcW w:w="0" w:type="auto"/>
            <w:vMerge w:val="restart"/>
            <w:vAlign w:val="center"/>
            <w:hideMark/>
          </w:tcPr>
          <w:p w14:paraId="7DDBA4F1"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для расширения существ [ у ющих] и создания новых предприятий.</w:t>
            </w:r>
          </w:p>
        </w:tc>
      </w:tr>
      <w:tr w:rsidR="002B1C74" w:rsidRPr="002F2FDF" w14:paraId="0D4F1AE5" w14:textId="77777777" w:rsidTr="00FE2D53">
        <w:trPr>
          <w:tblCellSpacing w:w="0" w:type="dxa"/>
          <w:jc w:val="center"/>
        </w:trPr>
        <w:tc>
          <w:tcPr>
            <w:tcW w:w="0" w:type="auto"/>
            <w:vMerge/>
            <w:vAlign w:val="center"/>
            <w:hideMark/>
          </w:tcPr>
          <w:p w14:paraId="19E8A11B"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3"/>
            <w:vAlign w:val="center"/>
            <w:hideMark/>
          </w:tcPr>
          <w:p w14:paraId="0C79552A"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d) » техническ[их] деятелей</w:t>
            </w:r>
          </w:p>
        </w:tc>
        <w:tc>
          <w:tcPr>
            <w:tcW w:w="0" w:type="auto"/>
            <w:vMerge/>
            <w:vAlign w:val="center"/>
            <w:hideMark/>
          </w:tcPr>
          <w:p w14:paraId="25C4E342"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591B2586" w14:textId="77777777" w:rsidTr="00FE2D53">
        <w:trPr>
          <w:tblCellSpacing w:w="0" w:type="dxa"/>
          <w:jc w:val="center"/>
        </w:trPr>
        <w:tc>
          <w:tcPr>
            <w:tcW w:w="0" w:type="auto"/>
            <w:vAlign w:val="center"/>
            <w:hideMark/>
          </w:tcPr>
          <w:p w14:paraId="2EC77459"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Состав делегации</w:t>
            </w:r>
          </w:p>
        </w:tc>
        <w:tc>
          <w:tcPr>
            <w:tcW w:w="0" w:type="auto"/>
            <w:gridSpan w:val="4"/>
            <w:vAlign w:val="center"/>
            <w:hideMark/>
          </w:tcPr>
          <w:p w14:paraId="34C733CE"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Специально подготовленные и сведущие деятели в различных отраслях хозяйственной жизни России, представители крупнейших общественных организаций и заинтересованных правительственных ведомств.</w:t>
            </w:r>
          </w:p>
        </w:tc>
      </w:tr>
      <w:tr w:rsidR="002B1C74" w:rsidRPr="002F2FDF" w14:paraId="76024B36" w14:textId="77777777" w:rsidTr="00FE2D53">
        <w:trPr>
          <w:tblCellSpacing w:w="0" w:type="dxa"/>
          <w:jc w:val="center"/>
        </w:trPr>
        <w:tc>
          <w:tcPr>
            <w:tcW w:w="0" w:type="auto"/>
            <w:vAlign w:val="center"/>
            <w:hideMark/>
          </w:tcPr>
          <w:p w14:paraId="017B6EA9"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Подготовка общественного мнения соответствующих организаций Соед[иненных] Штатов к приему русской делегации</w:t>
            </w:r>
          </w:p>
        </w:tc>
        <w:tc>
          <w:tcPr>
            <w:tcW w:w="0" w:type="auto"/>
            <w:gridSpan w:val="4"/>
            <w:vAlign w:val="center"/>
            <w:hideMark/>
          </w:tcPr>
          <w:p w14:paraId="7750E8DD"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Командирование двух-трех делегатов [в] Соединенные] Штаты для этой цели за 2—3 месяца до прибытия русской делегации. Подробная разработка программы на месте в связи с планом, выработанным в Петрограде.</w:t>
            </w:r>
          </w:p>
        </w:tc>
      </w:tr>
      <w:tr w:rsidR="002B1C74" w:rsidRPr="002F2FDF" w14:paraId="366F04C1" w14:textId="77777777" w:rsidTr="00FE2D53">
        <w:trPr>
          <w:tblCellSpacing w:w="0" w:type="dxa"/>
          <w:jc w:val="center"/>
        </w:trPr>
        <w:tc>
          <w:tcPr>
            <w:tcW w:w="0" w:type="auto"/>
            <w:vAlign w:val="center"/>
            <w:hideMark/>
          </w:tcPr>
          <w:p w14:paraId="510C55C5"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Вывоз из России</w:t>
            </w:r>
          </w:p>
        </w:tc>
        <w:tc>
          <w:tcPr>
            <w:tcW w:w="0" w:type="auto"/>
            <w:gridSpan w:val="2"/>
            <w:vAlign w:val="center"/>
            <w:hideMark/>
          </w:tcPr>
          <w:p w14:paraId="614349D8"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Ввоз в Россию</w:t>
            </w:r>
          </w:p>
        </w:tc>
        <w:tc>
          <w:tcPr>
            <w:tcW w:w="0" w:type="auto"/>
            <w:gridSpan w:val="2"/>
            <w:vAlign w:val="center"/>
            <w:hideMark/>
          </w:tcPr>
          <w:p w14:paraId="6D74D728"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Капитал</w:t>
            </w:r>
          </w:p>
        </w:tc>
      </w:tr>
      <w:tr w:rsidR="002B1C74" w:rsidRPr="002F2FDF" w14:paraId="5B529BF8" w14:textId="77777777" w:rsidTr="00FE2D53">
        <w:trPr>
          <w:tblCellSpacing w:w="0" w:type="dxa"/>
          <w:jc w:val="center"/>
        </w:trPr>
        <w:tc>
          <w:tcPr>
            <w:tcW w:w="0" w:type="auto"/>
            <w:gridSpan w:val="5"/>
            <w:vAlign w:val="center"/>
            <w:hideMark/>
          </w:tcPr>
          <w:p w14:paraId="5C163741"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Сельское хозяйство</w:t>
            </w:r>
          </w:p>
        </w:tc>
      </w:tr>
      <w:tr w:rsidR="002B1C74" w:rsidRPr="002F2FDF" w14:paraId="19F56344" w14:textId="77777777" w:rsidTr="00FE2D53">
        <w:trPr>
          <w:tblCellSpacing w:w="0" w:type="dxa"/>
          <w:jc w:val="center"/>
        </w:trPr>
        <w:tc>
          <w:tcPr>
            <w:tcW w:w="0" w:type="auto"/>
            <w:vAlign w:val="center"/>
            <w:hideMark/>
          </w:tcPr>
          <w:p w14:paraId="0B364D64"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Семена</w:t>
            </w:r>
          </w:p>
        </w:tc>
        <w:tc>
          <w:tcPr>
            <w:tcW w:w="0" w:type="auto"/>
            <w:gridSpan w:val="2"/>
            <w:vAlign w:val="center"/>
            <w:hideMark/>
          </w:tcPr>
          <w:p w14:paraId="3D43B611"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Хлопок</w:t>
            </w:r>
          </w:p>
        </w:tc>
        <w:tc>
          <w:tcPr>
            <w:tcW w:w="0" w:type="auto"/>
            <w:gridSpan w:val="2"/>
            <w:vMerge w:val="restart"/>
            <w:vAlign w:val="center"/>
            <w:hideMark/>
          </w:tcPr>
          <w:p w14:paraId="69AC819D"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Оросит[ельные] работы . холодильное дело, лесообрабатывающая промышленность и т. д.</w:t>
            </w:r>
          </w:p>
        </w:tc>
      </w:tr>
      <w:tr w:rsidR="002B1C74" w:rsidRPr="002F2FDF" w14:paraId="14F4BFB4" w14:textId="77777777" w:rsidTr="00FE2D53">
        <w:trPr>
          <w:tblCellSpacing w:w="0" w:type="dxa"/>
          <w:jc w:val="center"/>
        </w:trPr>
        <w:tc>
          <w:tcPr>
            <w:tcW w:w="0" w:type="auto"/>
            <w:vAlign w:val="center"/>
            <w:hideMark/>
          </w:tcPr>
          <w:p w14:paraId="75EDEB83"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Шерсть</w:t>
            </w:r>
          </w:p>
        </w:tc>
        <w:tc>
          <w:tcPr>
            <w:tcW w:w="0" w:type="auto"/>
            <w:gridSpan w:val="2"/>
            <w:vAlign w:val="center"/>
            <w:hideMark/>
          </w:tcPr>
          <w:p w14:paraId="4370E931"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Шпагат</w:t>
            </w:r>
          </w:p>
        </w:tc>
        <w:tc>
          <w:tcPr>
            <w:tcW w:w="0" w:type="auto"/>
            <w:gridSpan w:val="2"/>
            <w:vMerge/>
            <w:vAlign w:val="center"/>
            <w:hideMark/>
          </w:tcPr>
          <w:p w14:paraId="5DAEC627"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4D6F9B6A" w14:textId="77777777" w:rsidTr="00FE2D53">
        <w:trPr>
          <w:tblCellSpacing w:w="0" w:type="dxa"/>
          <w:jc w:val="center"/>
        </w:trPr>
        <w:tc>
          <w:tcPr>
            <w:tcW w:w="0" w:type="auto"/>
            <w:vAlign w:val="center"/>
            <w:hideMark/>
          </w:tcPr>
          <w:p w14:paraId="0C6B27B2"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Меха</w:t>
            </w:r>
          </w:p>
        </w:tc>
        <w:tc>
          <w:tcPr>
            <w:tcW w:w="0" w:type="auto"/>
            <w:gridSpan w:val="2"/>
            <w:vAlign w:val="center"/>
            <w:hideMark/>
          </w:tcPr>
          <w:p w14:paraId="05DEA033"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С.-х. машины</w:t>
            </w:r>
          </w:p>
        </w:tc>
        <w:tc>
          <w:tcPr>
            <w:tcW w:w="0" w:type="auto"/>
            <w:gridSpan w:val="2"/>
            <w:vMerge/>
            <w:vAlign w:val="center"/>
            <w:hideMark/>
          </w:tcPr>
          <w:p w14:paraId="48B47169"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2316CA2A" w14:textId="77777777" w:rsidTr="00FE2D53">
        <w:trPr>
          <w:tblCellSpacing w:w="0" w:type="dxa"/>
          <w:jc w:val="center"/>
        </w:trPr>
        <w:tc>
          <w:tcPr>
            <w:tcW w:w="0" w:type="auto"/>
            <w:vAlign w:val="center"/>
            <w:hideMark/>
          </w:tcPr>
          <w:p w14:paraId="4DAA1C48"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Лекарственное сырье</w:t>
            </w:r>
          </w:p>
        </w:tc>
        <w:tc>
          <w:tcPr>
            <w:tcW w:w="0" w:type="auto"/>
            <w:gridSpan w:val="2"/>
            <w:vMerge w:val="restart"/>
            <w:vAlign w:val="center"/>
            <w:hideMark/>
          </w:tcPr>
          <w:p w14:paraId="120BC9C8"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Приемы обработки почвы, новые культуры (плодоводство), «сухое земледелие» и т. п.</w:t>
            </w:r>
          </w:p>
        </w:tc>
        <w:tc>
          <w:tcPr>
            <w:tcW w:w="0" w:type="auto"/>
            <w:gridSpan w:val="2"/>
            <w:vMerge/>
            <w:vAlign w:val="center"/>
            <w:hideMark/>
          </w:tcPr>
          <w:p w14:paraId="6948A60A"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63BA3B53" w14:textId="77777777" w:rsidTr="00FE2D53">
        <w:trPr>
          <w:tblCellSpacing w:w="0" w:type="dxa"/>
          <w:jc w:val="center"/>
        </w:trPr>
        <w:tc>
          <w:tcPr>
            <w:tcW w:w="0" w:type="auto"/>
            <w:vAlign w:val="center"/>
            <w:hideMark/>
          </w:tcPr>
          <w:p w14:paraId="3C5682C0"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Кожи</w:t>
            </w:r>
          </w:p>
        </w:tc>
        <w:tc>
          <w:tcPr>
            <w:tcW w:w="0" w:type="auto"/>
            <w:gridSpan w:val="2"/>
            <w:vMerge/>
            <w:vAlign w:val="center"/>
            <w:hideMark/>
          </w:tcPr>
          <w:p w14:paraId="5DE2E341"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2"/>
            <w:vMerge w:val="restart"/>
            <w:vAlign w:val="center"/>
            <w:hideMark/>
          </w:tcPr>
          <w:p w14:paraId="643516D8"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Распространение с.-х. знаний (подв[ижные] школы, с.-х. ж.-д. поезда).</w:t>
            </w:r>
          </w:p>
        </w:tc>
      </w:tr>
      <w:tr w:rsidR="002B1C74" w:rsidRPr="002F2FDF" w14:paraId="0CACCBEC" w14:textId="77777777" w:rsidTr="00FE2D53">
        <w:trPr>
          <w:tblCellSpacing w:w="0" w:type="dxa"/>
          <w:jc w:val="center"/>
        </w:trPr>
        <w:tc>
          <w:tcPr>
            <w:tcW w:w="0" w:type="auto"/>
            <w:vAlign w:val="center"/>
            <w:hideMark/>
          </w:tcPr>
          <w:p w14:paraId="7A82DDB4"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Лен</w:t>
            </w:r>
          </w:p>
        </w:tc>
        <w:tc>
          <w:tcPr>
            <w:tcW w:w="0" w:type="auto"/>
            <w:gridSpan w:val="2"/>
            <w:vMerge/>
            <w:vAlign w:val="center"/>
            <w:hideMark/>
          </w:tcPr>
          <w:p w14:paraId="09803A94"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2"/>
            <w:vMerge/>
            <w:vAlign w:val="center"/>
            <w:hideMark/>
          </w:tcPr>
          <w:p w14:paraId="175400BB"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16C0B891" w14:textId="77777777" w:rsidTr="00FE2D53">
        <w:trPr>
          <w:tblCellSpacing w:w="0" w:type="dxa"/>
          <w:jc w:val="center"/>
        </w:trPr>
        <w:tc>
          <w:tcPr>
            <w:tcW w:w="0" w:type="auto"/>
            <w:vAlign w:val="center"/>
            <w:hideMark/>
          </w:tcPr>
          <w:p w14:paraId="5C17C2DF"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Волос</w:t>
            </w:r>
          </w:p>
        </w:tc>
        <w:tc>
          <w:tcPr>
            <w:tcW w:w="0" w:type="auto"/>
            <w:gridSpan w:val="2"/>
            <w:vMerge/>
            <w:vAlign w:val="center"/>
            <w:hideMark/>
          </w:tcPr>
          <w:p w14:paraId="169BD050"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2"/>
            <w:vMerge/>
            <w:vAlign w:val="center"/>
            <w:hideMark/>
          </w:tcPr>
          <w:p w14:paraId="729344BB"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57DD0FBE" w14:textId="77777777" w:rsidTr="00FE2D53">
        <w:trPr>
          <w:tblCellSpacing w:w="0" w:type="dxa"/>
          <w:jc w:val="center"/>
        </w:trPr>
        <w:tc>
          <w:tcPr>
            <w:tcW w:w="0" w:type="auto"/>
            <w:vAlign w:val="center"/>
            <w:hideMark/>
          </w:tcPr>
          <w:p w14:paraId="7A754540"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Щетина и т. и.</w:t>
            </w:r>
          </w:p>
        </w:tc>
        <w:tc>
          <w:tcPr>
            <w:tcW w:w="0" w:type="auto"/>
            <w:gridSpan w:val="2"/>
            <w:vMerge/>
            <w:vAlign w:val="center"/>
            <w:hideMark/>
          </w:tcPr>
          <w:p w14:paraId="7FEE9963" w14:textId="77777777" w:rsidR="006709A3" w:rsidRPr="002F2FDF" w:rsidRDefault="006709A3"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2"/>
            <w:vAlign w:val="center"/>
            <w:hideMark/>
          </w:tcPr>
          <w:p w14:paraId="7F7F75F4"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С.-х. опытные станции. Организационная] де ятельность Министерства земледелия</w:t>
            </w:r>
          </w:p>
        </w:tc>
      </w:tr>
      <w:tr w:rsidR="002B1C74" w:rsidRPr="002F2FDF" w14:paraId="010B5267" w14:textId="77777777" w:rsidTr="00FE2D53">
        <w:trPr>
          <w:tblCellSpacing w:w="0" w:type="dxa"/>
          <w:jc w:val="center"/>
        </w:trPr>
        <w:tc>
          <w:tcPr>
            <w:tcW w:w="0" w:type="auto"/>
            <w:gridSpan w:val="5"/>
            <w:vAlign w:val="center"/>
            <w:hideMark/>
          </w:tcPr>
          <w:p w14:paraId="56B1E0D6"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Промышленность добывающая (горное дело)</w:t>
            </w:r>
          </w:p>
        </w:tc>
      </w:tr>
      <w:tr w:rsidR="002B1C74" w:rsidRPr="002F2FDF" w14:paraId="17FBC12F" w14:textId="77777777" w:rsidTr="00FE2D53">
        <w:trPr>
          <w:tblCellSpacing w:w="0" w:type="dxa"/>
          <w:jc w:val="center"/>
        </w:trPr>
        <w:tc>
          <w:tcPr>
            <w:tcW w:w="0" w:type="auto"/>
            <w:vAlign w:val="center"/>
            <w:hideMark/>
          </w:tcPr>
          <w:p w14:paraId="2A64F909"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Марганцевая и другие руды</w:t>
            </w:r>
          </w:p>
        </w:tc>
        <w:tc>
          <w:tcPr>
            <w:tcW w:w="0" w:type="auto"/>
            <w:gridSpan w:val="2"/>
            <w:vAlign w:val="center"/>
            <w:hideMark/>
          </w:tcPr>
          <w:p w14:paraId="7EB289E9"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Машины, станки и инструменты</w:t>
            </w:r>
          </w:p>
        </w:tc>
        <w:tc>
          <w:tcPr>
            <w:tcW w:w="0" w:type="auto"/>
            <w:gridSpan w:val="2"/>
            <w:vAlign w:val="center"/>
            <w:hideMark/>
          </w:tcPr>
          <w:p w14:paraId="2261AB77"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Расширение старых и организация новых предприятий</w:t>
            </w:r>
          </w:p>
        </w:tc>
      </w:tr>
      <w:tr w:rsidR="002B1C74" w:rsidRPr="002F2FDF" w14:paraId="0C0015EE" w14:textId="77777777" w:rsidTr="00FE2D53">
        <w:trPr>
          <w:tblCellSpacing w:w="0" w:type="dxa"/>
          <w:jc w:val="center"/>
        </w:trPr>
        <w:tc>
          <w:tcPr>
            <w:tcW w:w="0" w:type="auto"/>
            <w:vAlign w:val="center"/>
            <w:hideMark/>
          </w:tcPr>
          <w:p w14:paraId="302EF075"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Асбест</w:t>
            </w:r>
          </w:p>
        </w:tc>
        <w:tc>
          <w:tcPr>
            <w:tcW w:w="0" w:type="auto"/>
            <w:gridSpan w:val="2"/>
            <w:vAlign w:val="center"/>
            <w:hideMark/>
          </w:tcPr>
          <w:p w14:paraId="13CB7DD1" w14:textId="37939540" w:rsidR="006709A3"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c>
          <w:tcPr>
            <w:tcW w:w="0" w:type="auto"/>
            <w:gridSpan w:val="2"/>
            <w:vAlign w:val="center"/>
            <w:hideMark/>
          </w:tcPr>
          <w:p w14:paraId="00A66F14" w14:textId="07BF0679" w:rsidR="006709A3"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r w:rsidR="002B1C74" w:rsidRPr="002F2FDF" w14:paraId="0C5AF68B" w14:textId="77777777" w:rsidTr="00FE2D53">
        <w:trPr>
          <w:tblCellSpacing w:w="0" w:type="dxa"/>
          <w:jc w:val="center"/>
        </w:trPr>
        <w:tc>
          <w:tcPr>
            <w:tcW w:w="0" w:type="auto"/>
            <w:vAlign w:val="center"/>
            <w:hideMark/>
          </w:tcPr>
          <w:p w14:paraId="7A55FFC2"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Платина</w:t>
            </w:r>
          </w:p>
        </w:tc>
        <w:tc>
          <w:tcPr>
            <w:tcW w:w="0" w:type="auto"/>
            <w:gridSpan w:val="2"/>
            <w:vAlign w:val="center"/>
            <w:hideMark/>
          </w:tcPr>
          <w:p w14:paraId="5041B8F0" w14:textId="2104D7BB" w:rsidR="006709A3"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c>
          <w:tcPr>
            <w:tcW w:w="0" w:type="auto"/>
            <w:gridSpan w:val="2"/>
            <w:vAlign w:val="center"/>
            <w:hideMark/>
          </w:tcPr>
          <w:p w14:paraId="0460B060" w14:textId="6CCBB2FA" w:rsidR="006709A3"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r w:rsidR="002B1C74" w:rsidRPr="002F2FDF" w14:paraId="5819B49B" w14:textId="77777777" w:rsidTr="00FE2D53">
        <w:trPr>
          <w:tblCellSpacing w:w="0" w:type="dxa"/>
          <w:jc w:val="center"/>
        </w:trPr>
        <w:tc>
          <w:tcPr>
            <w:tcW w:w="0" w:type="auto"/>
            <w:gridSpan w:val="5"/>
            <w:vAlign w:val="center"/>
            <w:hideMark/>
          </w:tcPr>
          <w:p w14:paraId="18B0F7A8"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Промышленность обрабатывающая</w:t>
            </w:r>
          </w:p>
        </w:tc>
      </w:tr>
      <w:tr w:rsidR="002B1C74" w:rsidRPr="002F2FDF" w14:paraId="252DC911" w14:textId="77777777" w:rsidTr="00FE2D53">
        <w:trPr>
          <w:tblCellSpacing w:w="0" w:type="dxa"/>
          <w:jc w:val="center"/>
        </w:trPr>
        <w:tc>
          <w:tcPr>
            <w:tcW w:w="0" w:type="auto"/>
            <w:gridSpan w:val="2"/>
            <w:vAlign w:val="center"/>
            <w:hideMark/>
          </w:tcPr>
          <w:p w14:paraId="6D329092"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Машины, станки и инструменты всякого рода</w:t>
            </w:r>
          </w:p>
        </w:tc>
        <w:tc>
          <w:tcPr>
            <w:tcW w:w="0" w:type="auto"/>
            <w:gridSpan w:val="3"/>
            <w:vAlign w:val="center"/>
            <w:hideMark/>
          </w:tcPr>
          <w:p w14:paraId="47E13151"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Расширение старых и организация новых предприятий как частных, так и общественных (городские, земские, областные) и государственных</w:t>
            </w:r>
          </w:p>
        </w:tc>
      </w:tr>
      <w:tr w:rsidR="002B1C74" w:rsidRPr="002F2FDF" w14:paraId="2D71F204" w14:textId="77777777" w:rsidTr="00FE2D53">
        <w:trPr>
          <w:tblCellSpacing w:w="0" w:type="dxa"/>
          <w:jc w:val="center"/>
        </w:trPr>
        <w:tc>
          <w:tcPr>
            <w:tcW w:w="0" w:type="auto"/>
            <w:gridSpan w:val="5"/>
            <w:vAlign w:val="center"/>
            <w:hideMark/>
          </w:tcPr>
          <w:p w14:paraId="68876671"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Торговля внутренняя</w:t>
            </w:r>
          </w:p>
        </w:tc>
      </w:tr>
      <w:tr w:rsidR="002B1C74" w:rsidRPr="002F2FDF" w14:paraId="211DF775" w14:textId="77777777" w:rsidTr="00FE2D53">
        <w:trPr>
          <w:tblCellSpacing w:w="0" w:type="dxa"/>
          <w:jc w:val="center"/>
        </w:trPr>
        <w:tc>
          <w:tcPr>
            <w:tcW w:w="0" w:type="auto"/>
            <w:gridSpan w:val="2"/>
            <w:vAlign w:val="center"/>
            <w:hideMark/>
          </w:tcPr>
          <w:p w14:paraId="075E4BB0"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Организация ее в Соединенных Штатах</w:t>
            </w:r>
          </w:p>
        </w:tc>
        <w:tc>
          <w:tcPr>
            <w:tcW w:w="0" w:type="auto"/>
            <w:gridSpan w:val="3"/>
            <w:vAlign w:val="center"/>
            <w:hideMark/>
          </w:tcPr>
          <w:p w14:paraId="478A564F" w14:textId="162397D4" w:rsidR="006709A3"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r w:rsidR="002B1C74" w:rsidRPr="002F2FDF" w14:paraId="7A55FC6C" w14:textId="77777777" w:rsidTr="00FE2D53">
        <w:trPr>
          <w:tblCellSpacing w:w="0" w:type="dxa"/>
          <w:jc w:val="center"/>
        </w:trPr>
        <w:tc>
          <w:tcPr>
            <w:tcW w:w="0" w:type="auto"/>
            <w:gridSpan w:val="2"/>
            <w:vAlign w:val="center"/>
            <w:hideMark/>
          </w:tcPr>
          <w:p w14:paraId="15AB066B"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lastRenderedPageBreak/>
              <w:t>Торговые палаты</w:t>
            </w:r>
          </w:p>
        </w:tc>
        <w:tc>
          <w:tcPr>
            <w:tcW w:w="0" w:type="auto"/>
            <w:gridSpan w:val="3"/>
            <w:vAlign w:val="center"/>
            <w:hideMark/>
          </w:tcPr>
          <w:p w14:paraId="5D21F236" w14:textId="68275C0D" w:rsidR="006709A3"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r w:rsidR="002B1C74" w:rsidRPr="002F2FDF" w14:paraId="55EC85D8" w14:textId="77777777" w:rsidTr="00FE2D53">
        <w:trPr>
          <w:tblCellSpacing w:w="0" w:type="dxa"/>
          <w:jc w:val="center"/>
        </w:trPr>
        <w:tc>
          <w:tcPr>
            <w:tcW w:w="0" w:type="auto"/>
            <w:gridSpan w:val="2"/>
            <w:vAlign w:val="center"/>
            <w:hideMark/>
          </w:tcPr>
          <w:p w14:paraId="4FC1B046"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Биржи</w:t>
            </w:r>
          </w:p>
        </w:tc>
        <w:tc>
          <w:tcPr>
            <w:tcW w:w="0" w:type="auto"/>
            <w:gridSpan w:val="3"/>
            <w:vAlign w:val="center"/>
            <w:hideMark/>
          </w:tcPr>
          <w:p w14:paraId="54943CC7" w14:textId="1FE7CC96" w:rsidR="006709A3"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r w:rsidR="002B1C74" w:rsidRPr="002F2FDF" w14:paraId="00E3AB91" w14:textId="77777777" w:rsidTr="00FE2D53">
        <w:trPr>
          <w:tblCellSpacing w:w="0" w:type="dxa"/>
          <w:jc w:val="center"/>
        </w:trPr>
        <w:tc>
          <w:tcPr>
            <w:tcW w:w="0" w:type="auto"/>
            <w:gridSpan w:val="5"/>
            <w:vAlign w:val="center"/>
            <w:hideMark/>
          </w:tcPr>
          <w:p w14:paraId="6DD78A5B"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Торговля внешняя</w:t>
            </w:r>
          </w:p>
        </w:tc>
      </w:tr>
      <w:tr w:rsidR="002B1C74" w:rsidRPr="002F2FDF" w14:paraId="1BB603D4" w14:textId="77777777" w:rsidTr="00FE2D53">
        <w:trPr>
          <w:tblCellSpacing w:w="0" w:type="dxa"/>
          <w:jc w:val="center"/>
        </w:trPr>
        <w:tc>
          <w:tcPr>
            <w:tcW w:w="0" w:type="auto"/>
            <w:gridSpan w:val="2"/>
            <w:vAlign w:val="center"/>
            <w:hideMark/>
          </w:tcPr>
          <w:p w14:paraId="3939795F"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Пересмотр всех ограничений и препятствия в области вывоза из России</w:t>
            </w:r>
          </w:p>
        </w:tc>
        <w:tc>
          <w:tcPr>
            <w:tcW w:w="0" w:type="auto"/>
            <w:gridSpan w:val="3"/>
            <w:vAlign w:val="center"/>
            <w:hideMark/>
          </w:tcPr>
          <w:p w14:paraId="6CF204FB"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Пересмотр всех ограничений и препятствий в области ввоза в Россию</w:t>
            </w:r>
          </w:p>
        </w:tc>
      </w:tr>
      <w:tr w:rsidR="002B1C74" w:rsidRPr="002F2FDF" w14:paraId="1E82099E" w14:textId="77777777" w:rsidTr="00FE2D53">
        <w:trPr>
          <w:tblCellSpacing w:w="0" w:type="dxa"/>
          <w:jc w:val="center"/>
        </w:trPr>
        <w:tc>
          <w:tcPr>
            <w:tcW w:w="0" w:type="auto"/>
            <w:gridSpan w:val="2"/>
            <w:vAlign w:val="center"/>
            <w:hideMark/>
          </w:tcPr>
          <w:p w14:paraId="30BD8C32"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Таможенные пошлины Соединенных] Штатов</w:t>
            </w:r>
          </w:p>
        </w:tc>
        <w:tc>
          <w:tcPr>
            <w:tcW w:w="0" w:type="auto"/>
            <w:gridSpan w:val="3"/>
            <w:vAlign w:val="center"/>
            <w:hideMark/>
          </w:tcPr>
          <w:p w14:paraId="72B82C22"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Русские таможенные пошлины</w:t>
            </w:r>
          </w:p>
        </w:tc>
      </w:tr>
      <w:tr w:rsidR="002B1C74" w:rsidRPr="002F2FDF" w14:paraId="34913EA9" w14:textId="77777777" w:rsidTr="00FE2D53">
        <w:trPr>
          <w:tblCellSpacing w:w="0" w:type="dxa"/>
          <w:jc w:val="center"/>
        </w:trPr>
        <w:tc>
          <w:tcPr>
            <w:tcW w:w="0" w:type="auto"/>
            <w:gridSpan w:val="5"/>
            <w:vAlign w:val="center"/>
            <w:hideMark/>
          </w:tcPr>
          <w:p w14:paraId="7DB7B036"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Торговый договор</w:t>
            </w:r>
          </w:p>
          <w:p w14:paraId="0AF00234"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Пути сообщения</w:t>
            </w:r>
          </w:p>
        </w:tc>
      </w:tr>
      <w:tr w:rsidR="002B1C74" w:rsidRPr="002F2FDF" w14:paraId="43911678" w14:textId="77777777" w:rsidTr="00FE2D53">
        <w:trPr>
          <w:tblCellSpacing w:w="0" w:type="dxa"/>
          <w:jc w:val="center"/>
        </w:trPr>
        <w:tc>
          <w:tcPr>
            <w:tcW w:w="0" w:type="auto"/>
            <w:gridSpan w:val="2"/>
            <w:vAlign w:val="center"/>
            <w:hideMark/>
          </w:tcPr>
          <w:p w14:paraId="431DB4F5"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а) Грунтовые и шоссейные дороги</w:t>
            </w:r>
          </w:p>
        </w:tc>
        <w:tc>
          <w:tcPr>
            <w:tcW w:w="0" w:type="auto"/>
            <w:gridSpan w:val="3"/>
            <w:vAlign w:val="center"/>
            <w:hideMark/>
          </w:tcPr>
          <w:p w14:paraId="65B3F37E"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Автомобильное движение</w:t>
            </w:r>
          </w:p>
        </w:tc>
      </w:tr>
      <w:tr w:rsidR="002B1C74" w:rsidRPr="002F2FDF" w14:paraId="5F72F666" w14:textId="77777777" w:rsidTr="00FE2D53">
        <w:trPr>
          <w:tblCellSpacing w:w="0" w:type="dxa"/>
          <w:jc w:val="center"/>
        </w:trPr>
        <w:tc>
          <w:tcPr>
            <w:tcW w:w="0" w:type="auto"/>
            <w:gridSpan w:val="2"/>
            <w:vAlign w:val="center"/>
            <w:hideMark/>
          </w:tcPr>
          <w:p w14:paraId="3017D070"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b) Железные дороги</w:t>
            </w:r>
          </w:p>
        </w:tc>
        <w:tc>
          <w:tcPr>
            <w:tcW w:w="0" w:type="auto"/>
            <w:gridSpan w:val="3"/>
            <w:vAlign w:val="center"/>
            <w:hideMark/>
          </w:tcPr>
          <w:p w14:paraId="1CA4202C" w14:textId="11FD83DF" w:rsidR="006709A3"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r w:rsidR="002B1C74" w:rsidRPr="002F2FDF" w14:paraId="7727C281" w14:textId="77777777" w:rsidTr="00FE2D53">
        <w:trPr>
          <w:tblCellSpacing w:w="0" w:type="dxa"/>
          <w:jc w:val="center"/>
        </w:trPr>
        <w:tc>
          <w:tcPr>
            <w:tcW w:w="0" w:type="auto"/>
            <w:gridSpan w:val="2"/>
            <w:vAlign w:val="center"/>
            <w:hideMark/>
          </w:tcPr>
          <w:p w14:paraId="58638CA8"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с) Водные пути</w:t>
            </w:r>
          </w:p>
        </w:tc>
        <w:tc>
          <w:tcPr>
            <w:tcW w:w="0" w:type="auto"/>
            <w:gridSpan w:val="3"/>
            <w:vAlign w:val="center"/>
            <w:hideMark/>
          </w:tcPr>
          <w:p w14:paraId="7E17EE8E" w14:textId="5D58E893" w:rsidR="006709A3"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r w:rsidR="002B1C74" w:rsidRPr="002F2FDF" w14:paraId="480F30F9" w14:textId="77777777" w:rsidTr="00FE2D53">
        <w:trPr>
          <w:tblCellSpacing w:w="0" w:type="dxa"/>
          <w:jc w:val="center"/>
        </w:trPr>
        <w:tc>
          <w:tcPr>
            <w:tcW w:w="0" w:type="auto"/>
            <w:gridSpan w:val="2"/>
            <w:vAlign w:val="center"/>
            <w:hideMark/>
          </w:tcPr>
          <w:p w14:paraId="4B5DD80E"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d) Торговый флот (речной и морской)</w:t>
            </w:r>
          </w:p>
        </w:tc>
        <w:tc>
          <w:tcPr>
            <w:tcW w:w="0" w:type="auto"/>
            <w:gridSpan w:val="3"/>
            <w:vAlign w:val="center"/>
            <w:hideMark/>
          </w:tcPr>
          <w:p w14:paraId="6A368167"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Организация прямых пароходных сообщений между Россией и Америкой</w:t>
            </w:r>
          </w:p>
        </w:tc>
      </w:tr>
      <w:tr w:rsidR="002B1C74" w:rsidRPr="002F2FDF" w14:paraId="0C6357E3" w14:textId="77777777" w:rsidTr="00FE2D53">
        <w:trPr>
          <w:tblCellSpacing w:w="0" w:type="dxa"/>
          <w:jc w:val="center"/>
        </w:trPr>
        <w:tc>
          <w:tcPr>
            <w:tcW w:w="0" w:type="auto"/>
            <w:gridSpan w:val="2"/>
            <w:vAlign w:val="center"/>
            <w:hideMark/>
          </w:tcPr>
          <w:p w14:paraId="09D69129"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е) Торговые порты.Финансы и банковое дело.</w:t>
            </w:r>
          </w:p>
        </w:tc>
        <w:tc>
          <w:tcPr>
            <w:tcW w:w="0" w:type="auto"/>
            <w:gridSpan w:val="3"/>
            <w:vAlign w:val="center"/>
            <w:hideMark/>
          </w:tcPr>
          <w:p w14:paraId="078B7710"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Заключение займов. Отделения американских банков в России » русских » в Америке</w:t>
            </w:r>
          </w:p>
        </w:tc>
      </w:tr>
    </w:tbl>
    <w:p w14:paraId="5A2F6659" w14:textId="77777777" w:rsidR="006709A3" w:rsidRPr="002F2FDF" w:rsidRDefault="006709A3" w:rsidP="0083075A">
      <w:pPr>
        <w:pStyle w:val="ae"/>
        <w:spacing w:before="0" w:after="0"/>
        <w:jc w:val="both"/>
        <w:rPr>
          <w:color w:val="000000" w:themeColor="text1"/>
          <w:kern w:val="2"/>
          <w:sz w:val="16"/>
          <w:szCs w:val="16"/>
        </w:rPr>
      </w:pPr>
      <w:r w:rsidRPr="002F2FDF">
        <w:rPr>
          <w:color w:val="000000" w:themeColor="text1"/>
          <w:kern w:val="2"/>
          <w:sz w:val="16"/>
          <w:szCs w:val="16"/>
        </w:rPr>
        <w:t>Организация расчета по товарообмену.</w:t>
      </w:r>
    </w:p>
    <w:p w14:paraId="677637BA" w14:textId="77777777" w:rsidR="006709A3" w:rsidRPr="002F2FDF" w:rsidRDefault="00000000" w:rsidP="0083075A">
      <w:pPr>
        <w:pStyle w:val="rtejustify"/>
        <w:spacing w:before="0" w:after="0"/>
        <w:rPr>
          <w:color w:val="000000" w:themeColor="text1"/>
          <w:kern w:val="2"/>
          <w:sz w:val="16"/>
          <w:szCs w:val="16"/>
        </w:rPr>
      </w:pPr>
      <w:hyperlink r:id="rId79" w:anchor="_ftnref1" w:history="1">
        <w:r w:rsidR="006709A3" w:rsidRPr="002F2FDF">
          <w:rPr>
            <w:rStyle w:val="a5"/>
            <w:color w:val="000000" w:themeColor="text1"/>
            <w:kern w:val="2"/>
            <w:sz w:val="16"/>
            <w:szCs w:val="16"/>
          </w:rPr>
          <w:t>[1]</w:t>
        </w:r>
      </w:hyperlink>
      <w:r w:rsidR="006709A3" w:rsidRPr="002F2FDF">
        <w:rPr>
          <w:color w:val="000000" w:themeColor="text1"/>
          <w:kern w:val="2"/>
          <w:sz w:val="16"/>
          <w:szCs w:val="16"/>
        </w:rPr>
        <w:t xml:space="preserve"> См. док. №№ 568, 573 и прим. № 568. Публикуемая программа является приложением к докладной записке Русско-Американской торговой палаты, поданной на имя министра торговли и промышленности за подписью председателя палаты Н. И. Гучкова. В записке указывалось, что экономическое сближение России с Соединенными Штатами в переживаемый момент является задачей первостепенной государственной важности (см. в том же деле, лл. 14—15).</w:t>
      </w:r>
    </w:p>
    <w:p w14:paraId="3D44BAC7" w14:textId="77777777" w:rsidR="006709A3" w:rsidRPr="002F2FDF" w:rsidRDefault="00000000" w:rsidP="0083075A">
      <w:pPr>
        <w:pStyle w:val="rtejustify"/>
        <w:spacing w:before="0" w:after="0"/>
        <w:rPr>
          <w:color w:val="000000" w:themeColor="text1"/>
          <w:kern w:val="2"/>
          <w:sz w:val="16"/>
          <w:szCs w:val="16"/>
        </w:rPr>
      </w:pPr>
      <w:hyperlink r:id="rId80" w:anchor="_ftnref2" w:history="1">
        <w:r w:rsidR="006709A3" w:rsidRPr="002F2FDF">
          <w:rPr>
            <w:rStyle w:val="a5"/>
            <w:color w:val="000000" w:themeColor="text1"/>
            <w:kern w:val="2"/>
            <w:sz w:val="16"/>
            <w:szCs w:val="16"/>
          </w:rPr>
          <w:t>[2]</w:t>
        </w:r>
      </w:hyperlink>
      <w:r w:rsidR="006709A3" w:rsidRPr="002F2FDF">
        <w:rPr>
          <w:color w:val="000000" w:themeColor="text1"/>
          <w:kern w:val="2"/>
          <w:sz w:val="16"/>
          <w:szCs w:val="16"/>
        </w:rPr>
        <w:t xml:space="preserve"> Датируется по препроводительной (15208).</w:t>
      </w:r>
    </w:p>
    <w:p w14:paraId="10BE46D4" w14:textId="77777777" w:rsidR="006709A3" w:rsidRPr="002F2FDF" w:rsidRDefault="006709A3"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6EAFE10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C586A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D4773F" w14:textId="77777777" w:rsidR="00787FF0" w:rsidRPr="002F2FDF" w:rsidRDefault="00787FF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18 (31) марта 1917 г. французы располагали 208 танками «Шнейдер» и 48 «Сен-Шамон», хотя боеготовыми были всего 160 из них (22820).</w:t>
      </w:r>
    </w:p>
    <w:p w14:paraId="45EFA499" w14:textId="77777777" w:rsidR="00787FF0" w:rsidRPr="002F2FDF" w:rsidRDefault="00787FF0" w:rsidP="0083075A">
      <w:pPr>
        <w:spacing w:after="0" w:line="240" w:lineRule="auto"/>
        <w:jc w:val="both"/>
        <w:rPr>
          <w:rFonts w:ascii="Times New Roman" w:hAnsi="Times New Roman" w:cs="Times New Roman"/>
          <w:color w:val="000000" w:themeColor="text1"/>
          <w:sz w:val="16"/>
          <w:szCs w:val="16"/>
        </w:rPr>
      </w:pPr>
    </w:p>
    <w:p w14:paraId="170959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марта 1917 США приобрели Вирджинские острова у Дании за 25 мил. долл. (2100). США окончательно договариваются с Данией по поводу приобретения Виргинских островов в Вест-Индии, чтобы предотвратить приход Германии в этот район и защитить зону Панамского канала (3907,89).</w:t>
      </w:r>
    </w:p>
    <w:p w14:paraId="5CC92D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D80D64" w14:textId="77777777" w:rsidR="00924B0E"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7868593" w14:textId="77777777" w:rsidR="00924B0E" w:rsidRPr="002F2FDF" w:rsidRDefault="00924B0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BF46D8" w14:textId="2F0C49D8" w:rsidR="00924B0E" w:rsidRPr="002F2FDF" w:rsidRDefault="00924B0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 марта </w:t>
      </w:r>
      <w:r w:rsidR="001B6ED4" w:rsidRPr="002F2FDF">
        <w:rPr>
          <w:rFonts w:ascii="Times New Roman" w:hAnsi="Times New Roman" w:cs="Times New Roman"/>
          <w:color w:val="000000" w:themeColor="text1"/>
          <w:kern w:val="2"/>
          <w:sz w:val="16"/>
          <w:szCs w:val="16"/>
        </w:rPr>
        <w:t xml:space="preserve">(1 апреля) </w:t>
      </w:r>
      <w:r w:rsidRPr="002F2FDF">
        <w:rPr>
          <w:rFonts w:ascii="Times New Roman" w:hAnsi="Times New Roman" w:cs="Times New Roman"/>
          <w:color w:val="000000" w:themeColor="text1"/>
          <w:kern w:val="2"/>
          <w:sz w:val="16"/>
          <w:szCs w:val="16"/>
        </w:rPr>
        <w:t>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Первым Всероссийским торгово-промышленным съездом Павел Рябушинский был избран руководителем Союза промышленников.</w:t>
      </w:r>
    </w:p>
    <w:p w14:paraId="0B0DC2C9" w14:textId="6F36236C" w:rsidR="00924B0E" w:rsidRPr="002F2FDF" w:rsidRDefault="00924B0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открывшемся 3 августа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Втором Всероссийском торгово-промышленном съезде П.</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Рябушинский в своем выступлении указал на слабость Временного правительства и, раскритиковав его экономическую политику, обратил внимание на несостоятельность хлебной монополии. «Она не в состоянии дать тех результатов, которых от нее ожидают. Она разрушила лишь торговый аппарат»,</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констатировал Павел Павлович. Далее он сказал: «Мы чувствуем, что то, о чем я говорю, является неизбежным. Но, к сожалению, нужна костлявая рука голода и народной нищеты, чтобы она схватила за горло лжедрузей народа, членов разных комитетов и советов, чтобы они опомнились».[49]</w:t>
      </w:r>
    </w:p>
    <w:p w14:paraId="29F6454E" w14:textId="05494B3E" w:rsidR="00924B0E" w:rsidRPr="002F2FDF" w:rsidRDefault="00924B0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Будучи опытным пропагандистом,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Ленин выхватил фразу Рябушинского из контекста и объявил, что-де Рябушинские хотят задавить русский народ «костлявой рукой голода». При советской власти полный текст речи П.</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Рябушинского можно было получить лишь в спецхране, да и то при наличии специального отношения. А вот цитата Ленина, явно «передергивающего карты», кочевала из книги в книгу и попала даже в школьные учебники. В результате до 1991</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Рябушинские представлялись нам жадными негодяями, мечтавшими уморить народ голодом.</w:t>
      </w:r>
    </w:p>
    <w:p w14:paraId="67CD8239" w14:textId="172F8424" w:rsidR="00924B0E" w:rsidRPr="002F2FDF" w:rsidRDefault="00924B0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Павлу Рябушинскому оставалось лишь бежать в Крым, а в ноябре 1920</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вместе с врангелевской армией отплыть из Севастополя в Константинополь. Скончался он в 1924</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на Лазурном берегу.</w:t>
      </w:r>
    </w:p>
    <w:p w14:paraId="5209AA16" w14:textId="77777777" w:rsidR="00924B0E" w:rsidRPr="002F2FDF" w:rsidRDefault="00924B0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Любопытно, что в особняке Павла Рябушинского в Москве на Малой Никитской Сталин велел поселить вернувшегося из Капри (Италия) «великого пролетарского писателя Максима Горького» (12705).</w:t>
      </w:r>
    </w:p>
    <w:p w14:paraId="57CEDE9D" w14:textId="77777777" w:rsidR="00924B0E" w:rsidRPr="002F2FDF" w:rsidRDefault="00924B0E" w:rsidP="0083075A">
      <w:pPr>
        <w:spacing w:after="0" w:line="240" w:lineRule="auto"/>
        <w:jc w:val="both"/>
        <w:rPr>
          <w:rFonts w:ascii="Times New Roman" w:hAnsi="Times New Roman" w:cs="Times New Roman"/>
          <w:color w:val="000000" w:themeColor="text1"/>
          <w:kern w:val="2"/>
          <w:sz w:val="16"/>
          <w:szCs w:val="16"/>
        </w:rPr>
      </w:pPr>
    </w:p>
    <w:p w14:paraId="363F17F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D86F3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3AA1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марта (1 апреля) 1917 Приказом по фронту от Казаков был назначен исполняющим обязанности командира авиагруппы (б. ЮЗФ, теперь первой) (3954).</w:t>
      </w:r>
    </w:p>
    <w:p w14:paraId="3D5ECC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CCDBB3" w14:textId="77777777" w:rsidR="0027354C" w:rsidRPr="002F2FDF" w:rsidRDefault="0027354C" w:rsidP="0083075A">
      <w:pPr>
        <w:pStyle w:val="ae"/>
        <w:spacing w:before="0" w:after="0"/>
        <w:jc w:val="both"/>
        <w:rPr>
          <w:color w:val="000000" w:themeColor="text1"/>
          <w:kern w:val="2"/>
          <w:sz w:val="16"/>
          <w:szCs w:val="16"/>
        </w:rPr>
      </w:pPr>
      <w:r w:rsidRPr="002F2FDF">
        <w:rPr>
          <w:color w:val="000000" w:themeColor="text1"/>
          <w:kern w:val="2"/>
          <w:sz w:val="16"/>
          <w:szCs w:val="16"/>
        </w:rPr>
        <w:t>19 марта (1 апреля) 1917 германские войска провели серию атак к юго-западу от Риги, но были отбиты. В этот же день русские самолеты совершили бомбардировку вокзала и железнодорожных путей в оккупированном немцами Вильно (ныне столица Литвы — Вильнюс) (17045).</w:t>
      </w:r>
    </w:p>
    <w:p w14:paraId="6615690C" w14:textId="77777777" w:rsidR="0027354C" w:rsidRPr="002F2FDF" w:rsidRDefault="0027354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6BD77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A369F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A494FC" w14:textId="77777777" w:rsidR="00106883" w:rsidRPr="002F2FDF" w:rsidRDefault="0010688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марта</w:t>
      </w:r>
      <w:r w:rsidRPr="002F2FDF">
        <w:rPr>
          <w:rFonts w:ascii="Times New Roman" w:hAnsi="Times New Roman" w:cs="Times New Roman"/>
          <w:bCs/>
          <w:color w:val="000000" w:themeColor="text1"/>
          <w:kern w:val="2"/>
          <w:sz w:val="16"/>
          <w:szCs w:val="16"/>
        </w:rPr>
        <w:t xml:space="preserve"> (1 апреля) 1917 Александра Коллонтай принесла в редакцию «Правды» ленинскую статью «Письма издалека». Ленин выступает резко против Временного правительства, отказывая ему в любом сотрудничестве и поддержке. Он называет правительство «помещичье-капиталистическим», продолжающим «империалистическую бойню», не способным дать «ни мира, ни хлеба, ни свободы (17326).</w:t>
      </w:r>
    </w:p>
    <w:p w14:paraId="60F46CD9" w14:textId="77777777" w:rsidR="00106883" w:rsidRPr="002F2FDF" w:rsidRDefault="0010688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00B0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марта (1 апреля) 1917 Временное правительство приняло постановление об уничтожении института земских начальников и передаче их обязанностей уездным комиссарам, провозглашение создания волостных комитетов (3908,255).</w:t>
      </w:r>
    </w:p>
    <w:p w14:paraId="618D63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3D6990" w14:textId="77777777" w:rsidR="00DE1DCB" w:rsidRPr="002F2FDF" w:rsidRDefault="00DE1DCB" w:rsidP="0083075A">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r w:rsidRPr="002F2FDF">
        <w:rPr>
          <w:rFonts w:ascii="Times New Roman" w:hAnsi="Times New Roman" w:cs="Times New Roman"/>
          <w:color w:val="000000" w:themeColor="text1"/>
          <w:kern w:val="2"/>
          <w:sz w:val="16"/>
          <w:szCs w:val="16"/>
        </w:rPr>
        <w:t>19 марта (1 апреля) 1917 г. специальным воззванием Временное правительство России признало необходимость земельной реформы, но объявило любые самочинные захваты земли противозаконными (17326).</w:t>
      </w:r>
    </w:p>
    <w:p w14:paraId="37075CFB" w14:textId="77777777" w:rsidR="00DE1DCB" w:rsidRPr="002F2FDF" w:rsidRDefault="00DE1DCB" w:rsidP="0083075A">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p>
    <w:p w14:paraId="3086CE5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марта (1 апреля) 1917 в Петрограде создана Украинская Национальная Рада (4962).</w:t>
      </w:r>
    </w:p>
    <w:p w14:paraId="3EA6D28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E810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марта (1 апреля) 1917 в Киеве прошла 100 тыс. демонстрация под лозунгами Автономию Украине, Свободная Украина и Свободная Россия, Да здравствует свободная Украине с гетманом во главе (3263,137).</w:t>
      </w:r>
    </w:p>
    <w:p w14:paraId="01D7E2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22DEC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марта (1 апреля) 1917 в Петроград из ссылки вернулся митрополит униатской церкви А. Шептицкий (4962).</w:t>
      </w:r>
    </w:p>
    <w:p w14:paraId="1EC8676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330035" w14:textId="77777777" w:rsidR="00F27038"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049BB06C" w14:textId="77777777" w:rsidR="00F27038" w:rsidRPr="002F2FDF" w:rsidRDefault="00F2703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CBD76E" w14:textId="77777777" w:rsidR="00F27038" w:rsidRPr="002F2FDF" w:rsidRDefault="00F2703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19 марта (1 апреля) 1917 в Россию из союзных стран отправляются миссии представителей социалистических партий с целью добиться от России согласия на продолжение ее участия в войне (миссии Томаса - Шендерсона и миссия Кашена - Муте - Сандерса) (17025).</w:t>
      </w:r>
    </w:p>
    <w:p w14:paraId="1E1479A5" w14:textId="77777777" w:rsidR="00F27038" w:rsidRPr="002F2FDF" w:rsidRDefault="00F2703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8B6AE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99045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D78F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19 марта (1 апреля) 1917 года разработанная командующим германскими воздушными силами зимняя программа была выполнена, и можно сказать, что к этому времени германская авиация в отношении целесообразности организации, обучения и снабжения была на высоте. 37 истребительных эскадрилий, включая одну морскую, стояли на западном фронте готовыми для боя с неприятельскими воздушными силами. Тыл снабдил их самолетами, летные качества и вооружение которых в то время не были превзойдены ни одним из неприятельских летательных аппаратов. Чтобы сохранить боеспособность истребительных эскадрилий даже при сильных потерях, им был предоставлен резерв (по 4 самолета “D”). Число предусмотренных штатами эскадрильи самолетов, таким образом, возросло до 18-ти, для каковых имелось в наличии 14 летчиков. Однако не все новые истребительные эскадрильи имели комплект личного состава: 12 из них имели только от 7-ми до 10-ти летчиков. Они были приданы фронтам, где вражеская авиация не проявляла особой активности, и должны были там мало-помалу пополняться. Особые трудности составляло назначение командиров эскадрилий. От них зависели успехи ее деятельности. Звание и возраст не принимались во внимание, лишь наиболее отличившихся летчиков-</w:t>
      </w:r>
      <w:r w:rsidRPr="002F2FDF">
        <w:rPr>
          <w:rFonts w:ascii="Times New Roman" w:hAnsi="Times New Roman" w:cs="Times New Roman"/>
          <w:color w:val="000000" w:themeColor="text1"/>
          <w:kern w:val="2"/>
          <w:sz w:val="16"/>
          <w:szCs w:val="16"/>
        </w:rPr>
        <w:lastRenderedPageBreak/>
        <w:t>истребителей ставили во главе истребительных эскадрилий. При этом приходилось забирать отдельных летчиков из состава удачно действовавших эскадрилий, успехи которых достигались совместными вылетами “сыгравшегося” персонала. Командиры этих эскадрилий, естественно, противились таким изъятиям, которые ставили под удар продуктивность работы всей эскадрильи. Тем не менее выбора не было: приобретенный на фронте опыт должен был использоваться и новыми эскадрильями (11204).</w:t>
      </w:r>
    </w:p>
    <w:p w14:paraId="2EAA26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CD4015" w14:textId="77777777" w:rsidR="00F75330" w:rsidRPr="002F2FDF" w:rsidRDefault="00F75330"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1</w:t>
      </w:r>
      <w:r>
        <w:rPr>
          <w:rFonts w:ascii="Times New Roman" w:hAnsi="Times New Roman" w:cs="Times New Roman"/>
          <w:sz w:val="16"/>
          <w:szCs w:val="16"/>
        </w:rPr>
        <w:t>9</w:t>
      </w:r>
      <w:r w:rsidRPr="002F2FDF">
        <w:rPr>
          <w:rFonts w:ascii="Times New Roman" w:hAnsi="Times New Roman" w:cs="Times New Roman"/>
          <w:sz w:val="16"/>
          <w:szCs w:val="16"/>
        </w:rPr>
        <w:t xml:space="preserve"> марта (1 апреля) 1917 года на L.44, впервые поднявшемся в воздух — первом из двух цеппелинов типа T, — объём газа увеличили ещё на 300 м³ и наконец-то поставили одновинтовую кормовую гондолу. Это дало дополнительное облегчение на 1450 кг, рост статического потолка на 200 метров и скорости у земли на 3,4 км/час.</w:t>
      </w:r>
    </w:p>
    <w:p w14:paraId="282044A4" w14:textId="77777777" w:rsidR="00F75330" w:rsidRPr="002F2FDF" w:rsidRDefault="00F75330"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Его близнец L.46, взлетевший 24 апреля, также получил более обтекаемые боковые гондолы, а новую носовую ввели начиная с L.48 — головного корабля тип U, полетевшего 22 мая. Последнее нововведение дало экономию ещё в 1100 кг и довело статический потолок до 5500 метров, а скорость — до 107,6 км/час.</w:t>
      </w:r>
    </w:p>
    <w:p w14:paraId="78F60757" w14:textId="77777777" w:rsidR="00F75330" w:rsidRPr="002F2FDF" w:rsidRDefault="00F75330"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На заводе в Штаакене исправно внедряли новые гондолы, но, в отличие от головного предприятия во Фридрихсхафене и филиале в Лёвентале, корпуса вплоть до лета 1917 года продолжали делать по прежнему стандарту, поэтому их «хайт-клаймеры» L.45, L.47 и L.50 относятся к типу R (19156).</w:t>
      </w:r>
    </w:p>
    <w:p w14:paraId="1184848D" w14:textId="77777777" w:rsidR="00F75330" w:rsidRPr="002F2FDF" w:rsidRDefault="00F75330" w:rsidP="0083075A">
      <w:pPr>
        <w:spacing w:after="0" w:line="240" w:lineRule="auto"/>
        <w:jc w:val="both"/>
        <w:rPr>
          <w:rFonts w:ascii="Times New Roman" w:hAnsi="Times New Roman" w:cs="Times New Roman"/>
          <w:sz w:val="16"/>
          <w:szCs w:val="16"/>
        </w:rPr>
      </w:pPr>
    </w:p>
    <w:p w14:paraId="5097C5D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98D0E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6CD0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марта (2 апреля) 1917 закончились всесторонние испытания истребителя Торпедо В.М.Ольховского (553,81), которые велись с 6 марта 1917 (438,350).</w:t>
      </w:r>
    </w:p>
    <w:p w14:paraId="6075E9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9338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марта (2 апреля) 1917 года комиссия под председательством капитана Николая Евграфовича Попова (1878-1929), в состав которой вошли известные в ту пору летчики Сергей Карлович Модрах, Александр Прокофьев-Северский, Слепцов, Альбрехт и другие провела всесторонние испытания нового истребителя “Торпедо”, которые шли с 6 (19) марта. В период весенней распутицы полеты производились в Одессе на аэродроме заводчика Артура Антоновича Анатры. Члены комиссии поочередно летали на аппарате, пересаживаясь с переднего сиденья на заднее и наоборот.</w:t>
      </w:r>
    </w:p>
    <w:p w14:paraId="78E16F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Российскому военному ведомству был представлен подробный и обстоятельный акт.</w:t>
      </w:r>
    </w:p>
    <w:p w14:paraId="7B8143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Максимальная скорость «Торпедо» на высоте 1000 м составляла 168,5 км/ч, на высоте 50 м (т. е. у земли) - 166 км/ч. Высоту 2000 м машина набирала за 8 мин. 30 сек., а высоту 3000 м - за 17 мин. 5 сек. Разбег составлял 82 м, пробег - 58 м. Самолет легко достигал потолка 4300 м. Испытания проводились с нагрузкой 155 кг (пилот и бензин).</w:t>
      </w:r>
    </w:p>
    <w:p w14:paraId="290A1F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Комиссия отмечала, что выбранная схема и конструкция самолета «дает пилоту большое поле зрения», а в целом, «конструкция, по-видимому, вполне солидная и выполнена тщательно». И далее: «Установка двигателя была надежной, охлаждение хорошим». Скорость самолета у земли комиссия нашла «вполне удовлетворительной». Работа пулеметной установки (с правой стороны корпуса вне кабины пилота) оценена удовлетворительно. Механическое приспособление для стрельбы через винт от мотора вполне оригинально, гибким валом» (придумал Ольховский).</w:t>
      </w:r>
    </w:p>
    <w:p w14:paraId="046D9E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Синхронизатор должен был «исключить возможность производства выстрела в известном секторе круга, описываемого винтом, причем лопасти винта находились как бы в «мертвом» пространстве. Приспособление работало во все время вращения мотора, оно очень простое, легкое и почти не требовало изменения в самом пулемете. На скорость стрельбы число оборотов мотора почти не влияло. При испытании выпущено две ленты по 250 патронов, причем произошло одно попадание в винт.</w:t>
      </w:r>
    </w:p>
    <w:p w14:paraId="7C6DAF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всех положительных оценках комиссия, находя «слишком большим» вес машины и ее разбег при взлете, признала самолет Ольховского «в настоящем виде не пригодным для вооружения отрядов». Но «при дальнейшем усовершенствовании и допустимом облегчении самолет будет возможно удовлетворять требованиям самолета-истребителя».</w:t>
      </w:r>
    </w:p>
    <w:p w14:paraId="16EA6C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Моноплан «Торпедо» так и не был принят для серийного производства. Между тем он явился весьма совершенной боевой машиной, в конструкции которой и осуществлены многие принципы, принятые для самолетов этого класса позднее как в России, так и за рубежом. Вес и разбег, напугавшие комиссию, оказались вполне естественными и, как показало дальнейшее развитие истребителей, возрастали непрерывно. Приходится сожалеть, что этот самолет остался в опытном исполнении.</w:t>
      </w:r>
    </w:p>
    <w:p w14:paraId="3A458A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заключение следует упомянуть, что Владимир Михайлович Ольховский вплоть до конца 20-х годов, пока следы его жизни и деятельности не исчезли с «легкой руки» ГПУ (еще бы: «царский офицер»), продолжал успешную и плодотворную деятельность авиаконструктора. В 1923-1929 гг. был первым помощником Николая Николаевича Поликарпова в ОПО-1 на заводах № 1 и № 25. Ему принадлежит разработка плоско-выпуклых профилей для крыльев самолетов 2ИН-1 (ДИ-1), У-2, П-2, И-3, ДИ-2, Р-5, И-6, И-7, ТБ-2. Ольховский является одним из первых создателей конструкции деревянного фюзеляжа - монокока в России. Известные самолеты 20-х, 30-х и 40-х гг. 2ИН-1, И-3, ДИ-2, И-6, И-16 и многие другие различных конструкторов имели такие же фюзеляжи, как у самолета «Торпедо» (11918).</w:t>
      </w:r>
    </w:p>
    <w:p w14:paraId="18E18C55" w14:textId="77777777" w:rsidR="001B6ED4" w:rsidRPr="002F2FDF" w:rsidRDefault="001B6ED4"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D16070" w14:textId="77777777" w:rsidR="00FE2D53" w:rsidRPr="002F2FDF" w:rsidRDefault="00FE2D5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20 марта</w:t>
      </w:r>
      <w:r w:rsidRPr="002F2FDF">
        <w:rPr>
          <w:rFonts w:ascii="Times New Roman" w:hAnsi="Times New Roman" w:cs="Times New Roman"/>
          <w:color w:val="000000" w:themeColor="text1"/>
          <w:kern w:val="2"/>
          <w:sz w:val="16"/>
          <w:szCs w:val="16"/>
        </w:rPr>
        <w:t xml:space="preserve"> (2 апреля) в 1917 году (начались 6 марта) в Одессе завершились сдаточные испытания российского легкого многоцелевого самолета </w:t>
      </w:r>
      <w:hyperlink r:id="rId81" w:tgtFrame="_blank" w:history="1">
        <w:r w:rsidRPr="002F2FDF">
          <w:rPr>
            <w:rFonts w:ascii="Times New Roman" w:hAnsi="Times New Roman" w:cs="Times New Roman"/>
            <w:color w:val="000000" w:themeColor="text1"/>
            <w:kern w:val="2"/>
            <w:sz w:val="16"/>
            <w:szCs w:val="16"/>
          </w:rPr>
          <w:t xml:space="preserve">"Торпедо". </w:t>
        </w:r>
      </w:hyperlink>
      <w:r w:rsidRPr="002F2FDF">
        <w:rPr>
          <w:rFonts w:ascii="Times New Roman" w:hAnsi="Times New Roman" w:cs="Times New Roman"/>
          <w:color w:val="000000" w:themeColor="text1"/>
          <w:kern w:val="2"/>
          <w:sz w:val="16"/>
          <w:szCs w:val="16"/>
        </w:rPr>
        <w:t>Присутствовали и летали члены специальной приемной комиссии Модрах, Прокофьев-Северский, Слепцов, Альбрехт. Самолет показал скорость 169 км/час на высоте 1000 м, потолок 4300 м. Оценивая самолет вполне положительно, комиссия отмечала перетяжеление конструкции, приобретенное в результате переделок. В дальнейшем "Торпедо" эксплуатировался в отделении Гатчинской авиашколы в Одессе (15074).</w:t>
      </w:r>
    </w:p>
    <w:p w14:paraId="3E6D6E12" w14:textId="77777777" w:rsidR="00FE2D53" w:rsidRPr="002F2FDF" w:rsidRDefault="00FE2D53" w:rsidP="0083075A">
      <w:pPr>
        <w:spacing w:after="0" w:line="240" w:lineRule="auto"/>
        <w:jc w:val="both"/>
        <w:rPr>
          <w:rFonts w:ascii="Times New Roman" w:hAnsi="Times New Roman" w:cs="Times New Roman"/>
          <w:color w:val="000000" w:themeColor="text1"/>
          <w:kern w:val="2"/>
          <w:sz w:val="16"/>
          <w:szCs w:val="16"/>
        </w:rPr>
      </w:pPr>
    </w:p>
    <w:p w14:paraId="07248A0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20 марта по 3 апреля (2 - 16 апреля) 1912 г. под ру</w:t>
      </w:r>
      <w:r w:rsidRPr="002F2FDF">
        <w:rPr>
          <w:rFonts w:ascii="Times New Roman" w:hAnsi="Times New Roman" w:cs="Times New Roman"/>
          <w:color w:val="000000" w:themeColor="text1"/>
          <w:kern w:val="2"/>
          <w:sz w:val="16"/>
          <w:szCs w:val="16"/>
        </w:rPr>
        <w:softHyphen/>
        <w:t>ководством опытного офицера воздухоплавателя А.И.Шабского в Офицерской воздухоплавательной школе прошли сравнительного испытания аэростатов змейкового типа Парсеваля, немецкой фирмы "Редингер" и изготовленного на заводе “Треугольник”. Испы</w:t>
      </w:r>
      <w:r w:rsidRPr="002F2FDF">
        <w:rPr>
          <w:rFonts w:ascii="Times New Roman" w:hAnsi="Times New Roman" w:cs="Times New Roman"/>
          <w:color w:val="000000" w:themeColor="text1"/>
          <w:kern w:val="2"/>
          <w:sz w:val="16"/>
          <w:szCs w:val="16"/>
        </w:rPr>
        <w:softHyphen/>
        <w:t>тания показали, что аэростат, сделанный на "Треугольнике" по проекту Кузнецова, лучше, чем аэростат фирмы "Редингер", так как он лучше сохранял воздух и был устойчивее при сильном ветре ("Воздухоплаватель", 1914, № 10, стр. 581-593.). В России в армии, в основном применялись привязные аэростаты иностранного производства, глав</w:t>
      </w:r>
      <w:r w:rsidRPr="002F2FDF">
        <w:rPr>
          <w:rFonts w:ascii="Times New Roman" w:hAnsi="Times New Roman" w:cs="Times New Roman"/>
          <w:color w:val="000000" w:themeColor="text1"/>
          <w:kern w:val="2"/>
          <w:sz w:val="16"/>
          <w:szCs w:val="16"/>
        </w:rPr>
        <w:softHyphen/>
        <w:t>ным образом, "змейковые аэростаты" Парсеваля, немецкой фирмы "Редингер". В.В.Кузнецов видел недостатки этих аэростатов и требовал их устранения, но на это фирма не шла. Тогда он предложил разра</w:t>
      </w:r>
      <w:r w:rsidRPr="002F2FDF">
        <w:rPr>
          <w:rFonts w:ascii="Times New Roman" w:hAnsi="Times New Roman" w:cs="Times New Roman"/>
          <w:color w:val="000000" w:themeColor="text1"/>
          <w:kern w:val="2"/>
          <w:sz w:val="16"/>
          <w:szCs w:val="16"/>
        </w:rPr>
        <w:softHyphen/>
        <w:t>ботанный им проект нового оригинального отечественного привязного аэростата. По его предложению и указаниям на заводе "Треугольник" в Петербурге был построен первый в мире обтекаемый аэростат пере</w:t>
      </w:r>
      <w:r w:rsidRPr="002F2FDF">
        <w:rPr>
          <w:rFonts w:ascii="Times New Roman" w:hAnsi="Times New Roman" w:cs="Times New Roman"/>
          <w:color w:val="000000" w:themeColor="text1"/>
          <w:kern w:val="2"/>
          <w:sz w:val="16"/>
          <w:szCs w:val="16"/>
        </w:rPr>
        <w:softHyphen/>
        <w:t>менного объема с эластичными тяжами и с рулевым мешком оригиналь</w:t>
      </w:r>
      <w:r w:rsidRPr="002F2FDF">
        <w:rPr>
          <w:rFonts w:ascii="Times New Roman" w:hAnsi="Times New Roman" w:cs="Times New Roman"/>
          <w:color w:val="000000" w:themeColor="text1"/>
          <w:kern w:val="2"/>
          <w:sz w:val="16"/>
          <w:szCs w:val="16"/>
        </w:rPr>
        <w:softHyphen/>
        <w:t>ной формы.</w:t>
      </w:r>
    </w:p>
    <w:p w14:paraId="1FCFC7B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2DB8E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21A84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4D968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20-25 марта </w:t>
      </w:r>
      <w:r w:rsidR="001B6ED4" w:rsidRPr="002F2FDF">
        <w:rPr>
          <w:rFonts w:ascii="Times New Roman" w:hAnsi="Times New Roman" w:cs="Times New Roman"/>
          <w:color w:val="000000" w:themeColor="text1"/>
          <w:kern w:val="2"/>
          <w:sz w:val="16"/>
          <w:szCs w:val="16"/>
        </w:rPr>
        <w:t xml:space="preserve">(2-7 апреля) </w:t>
      </w:r>
      <w:r w:rsidRPr="002F2FDF">
        <w:rPr>
          <w:rFonts w:ascii="Times New Roman" w:hAnsi="Times New Roman" w:cs="Times New Roman"/>
          <w:color w:val="000000" w:themeColor="text1"/>
          <w:kern w:val="2"/>
          <w:sz w:val="16"/>
          <w:szCs w:val="16"/>
        </w:rPr>
        <w:t>1917 в Киеве состоялся съезд заведующих опорными и парковыми аэронавигационными станциями для обсуждения насущ</w:t>
      </w:r>
      <w:r w:rsidRPr="002F2FDF">
        <w:rPr>
          <w:rFonts w:ascii="Times New Roman" w:hAnsi="Times New Roman" w:cs="Times New Roman"/>
          <w:color w:val="000000" w:themeColor="text1"/>
          <w:kern w:val="2"/>
          <w:sz w:val="16"/>
          <w:szCs w:val="16"/>
        </w:rPr>
        <w:softHyphen/>
        <w:t>ных нужд аэронавигации и дальнейших работ в этой области. Съезд отметил исключительную важность правильной постановки как теоретического, так и практического преподавания аэронавига</w:t>
      </w:r>
      <w:r w:rsidRPr="002F2FDF">
        <w:rPr>
          <w:rFonts w:ascii="Times New Roman" w:hAnsi="Times New Roman" w:cs="Times New Roman"/>
          <w:color w:val="000000" w:themeColor="text1"/>
          <w:kern w:val="2"/>
          <w:sz w:val="16"/>
          <w:szCs w:val="16"/>
        </w:rPr>
        <w:softHyphen/>
        <w:t>ции в авиашколах. Признано необходимым немедленное составле</w:t>
      </w:r>
      <w:r w:rsidRPr="002F2FDF">
        <w:rPr>
          <w:rFonts w:ascii="Times New Roman" w:hAnsi="Times New Roman" w:cs="Times New Roman"/>
          <w:color w:val="000000" w:themeColor="text1"/>
          <w:kern w:val="2"/>
          <w:sz w:val="16"/>
          <w:szCs w:val="16"/>
        </w:rPr>
        <w:softHyphen/>
        <w:t>ние программы курса аэронавигации для авиашкол мирного вре</w:t>
      </w:r>
      <w:r w:rsidRPr="002F2FDF">
        <w:rPr>
          <w:rFonts w:ascii="Times New Roman" w:hAnsi="Times New Roman" w:cs="Times New Roman"/>
          <w:color w:val="000000" w:themeColor="text1"/>
          <w:kern w:val="2"/>
          <w:sz w:val="16"/>
          <w:szCs w:val="16"/>
        </w:rPr>
        <w:softHyphen/>
        <w:t>мени, основываясь нэ практике войны. Ряд докладов сделал прапорщик Александр Александрович Фридман - инициатор созыва этого съезда, впоследствии видный ученый. (ЦГАСА. ф.24715, оп.2, Д.18, л.28 и сл.).</w:t>
      </w:r>
    </w:p>
    <w:p w14:paraId="619498B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6E64C2" w14:textId="77777777" w:rsidR="00F75330" w:rsidRDefault="00F75330"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20-</w:t>
      </w:r>
      <w:r>
        <w:rPr>
          <w:rFonts w:ascii="Times New Roman" w:hAnsi="Times New Roman" w:cs="Times New Roman"/>
          <w:color w:val="0070C0"/>
          <w:sz w:val="16"/>
          <w:szCs w:val="16"/>
        </w:rPr>
        <w:t>2</w:t>
      </w:r>
      <w:r w:rsidRPr="00815ED5">
        <w:rPr>
          <w:rFonts w:ascii="Times New Roman" w:hAnsi="Times New Roman" w:cs="Times New Roman"/>
          <w:color w:val="0070C0"/>
          <w:sz w:val="16"/>
          <w:szCs w:val="16"/>
        </w:rPr>
        <w:t>5 марта</w:t>
      </w:r>
      <w:r>
        <w:rPr>
          <w:rFonts w:ascii="Times New Roman" w:hAnsi="Times New Roman" w:cs="Times New Roman"/>
          <w:color w:val="0070C0"/>
          <w:sz w:val="16"/>
          <w:szCs w:val="16"/>
        </w:rPr>
        <w:t xml:space="preserve"> (2-7 апреля)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 Киеве состоялся с</w:t>
      </w:r>
      <w:r>
        <w:rPr>
          <w:rFonts w:ascii="Times New Roman" w:hAnsi="Times New Roman" w:cs="Times New Roman"/>
          <w:color w:val="0070C0"/>
          <w:sz w:val="16"/>
          <w:szCs w:val="16"/>
        </w:rPr>
        <w:t>ъ</w:t>
      </w:r>
      <w:r w:rsidRPr="00815ED5">
        <w:rPr>
          <w:rFonts w:ascii="Times New Roman" w:hAnsi="Times New Roman" w:cs="Times New Roman"/>
          <w:color w:val="0070C0"/>
          <w:sz w:val="16"/>
          <w:szCs w:val="16"/>
        </w:rPr>
        <w:t>езд заведующих опорными и парко</w:t>
      </w:r>
      <w:r w:rsidRPr="00815ED5">
        <w:rPr>
          <w:rFonts w:ascii="Times New Roman" w:hAnsi="Times New Roman" w:cs="Times New Roman"/>
          <w:color w:val="0070C0"/>
          <w:sz w:val="16"/>
          <w:szCs w:val="16"/>
        </w:rPr>
        <w:softHyphen/>
        <w:t>выми аэронавигационными станциями для обсуждения насу</w:t>
      </w:r>
      <w:r>
        <w:rPr>
          <w:rFonts w:ascii="Times New Roman" w:hAnsi="Times New Roman" w:cs="Times New Roman"/>
          <w:color w:val="0070C0"/>
          <w:sz w:val="16"/>
          <w:szCs w:val="16"/>
        </w:rPr>
        <w:t>щны</w:t>
      </w:r>
      <w:r w:rsidRPr="00815ED5">
        <w:rPr>
          <w:rFonts w:ascii="Times New Roman" w:hAnsi="Times New Roman" w:cs="Times New Roman"/>
          <w:color w:val="0070C0"/>
          <w:sz w:val="16"/>
          <w:szCs w:val="16"/>
        </w:rPr>
        <w:t>х нужд аэ</w:t>
      </w:r>
      <w:r w:rsidRPr="00815ED5">
        <w:rPr>
          <w:rFonts w:ascii="Times New Roman" w:hAnsi="Times New Roman" w:cs="Times New Roman"/>
          <w:color w:val="0070C0"/>
          <w:sz w:val="16"/>
          <w:szCs w:val="16"/>
        </w:rPr>
        <w:softHyphen/>
        <w:t>ронавигации и дальнейших работ в этой области.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С</w:t>
      </w:r>
      <w:r>
        <w:rPr>
          <w:rFonts w:ascii="Times New Roman" w:hAnsi="Times New Roman" w:cs="Times New Roman"/>
          <w:color w:val="0070C0"/>
          <w:sz w:val="16"/>
          <w:szCs w:val="16"/>
        </w:rPr>
        <w:t>ъ</w:t>
      </w:r>
      <w:r w:rsidRPr="00815ED5">
        <w:rPr>
          <w:rFonts w:ascii="Times New Roman" w:hAnsi="Times New Roman" w:cs="Times New Roman"/>
          <w:color w:val="0070C0"/>
          <w:sz w:val="16"/>
          <w:szCs w:val="16"/>
        </w:rPr>
        <w:t>езд отметил исключитальную важность правильность постановки как теоретического, так и практического преподавания аэронавигации в авиашколах.</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Признано необходимый немедленное составление программы курса аэронавигации для авиашкол мирного времени,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основываясь на практике войны.</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Ряд до</w:t>
      </w:r>
      <w:r>
        <w:rPr>
          <w:rFonts w:ascii="Times New Roman" w:hAnsi="Times New Roman" w:cs="Times New Roman"/>
          <w:color w:val="0070C0"/>
          <w:sz w:val="16"/>
          <w:szCs w:val="16"/>
        </w:rPr>
        <w:t>кладов сделал прапорщик Александр Александрович Фридман – инициатор созыва съезда.</w:t>
      </w:r>
    </w:p>
    <w:p w14:paraId="181C2F62" w14:textId="77777777" w:rsidR="00F75330" w:rsidRPr="00815ED5" w:rsidRDefault="00F7533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/ЦГАСА, ф. 24715, оп. 3, д. 18, л. 30/ (23320)</w:t>
      </w:r>
      <w:r w:rsidRPr="00815ED5">
        <w:rPr>
          <w:rFonts w:ascii="Times New Roman" w:hAnsi="Times New Roman" w:cs="Times New Roman"/>
          <w:color w:val="0070C0"/>
          <w:sz w:val="16"/>
          <w:szCs w:val="16"/>
        </w:rPr>
        <w:t>,</w:t>
      </w:r>
    </w:p>
    <w:p w14:paraId="0C529254" w14:textId="77777777" w:rsidR="00F75330" w:rsidRDefault="00F75330" w:rsidP="0083075A">
      <w:pPr>
        <w:spacing w:after="0" w:line="240" w:lineRule="auto"/>
        <w:jc w:val="both"/>
        <w:rPr>
          <w:rFonts w:ascii="Times New Roman" w:hAnsi="Times New Roman" w:cs="Times New Roman"/>
          <w:color w:val="0070C0"/>
          <w:sz w:val="16"/>
          <w:szCs w:val="16"/>
        </w:rPr>
      </w:pPr>
    </w:p>
    <w:p w14:paraId="1CB3EF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20 марта </w:t>
      </w:r>
      <w:r w:rsidR="001B6ED4" w:rsidRPr="002F2FDF">
        <w:rPr>
          <w:rFonts w:ascii="Times New Roman" w:hAnsi="Times New Roman" w:cs="Times New Roman"/>
          <w:color w:val="000000" w:themeColor="text1"/>
          <w:kern w:val="2"/>
          <w:sz w:val="16"/>
          <w:szCs w:val="16"/>
        </w:rPr>
        <w:t xml:space="preserve">(2 апреля) </w:t>
      </w:r>
      <w:r w:rsidRPr="002F2FDF">
        <w:rPr>
          <w:rFonts w:ascii="Times New Roman" w:hAnsi="Times New Roman" w:cs="Times New Roman"/>
          <w:color w:val="000000" w:themeColor="text1"/>
          <w:kern w:val="2"/>
          <w:sz w:val="16"/>
          <w:szCs w:val="16"/>
        </w:rPr>
        <w:t>1917 года приказом Начальника штаба Верховного Главнокомандующего № 370 определено создание воздухообороны в границах Одесского военного округа. Воздушную оборону округа возглавил генерал-майор Федоров И.А. (по октябрь 1917 года).</w:t>
      </w:r>
    </w:p>
    <w:p w14:paraId="3DFEFD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Этим приказом (№ 370) введен штат и Положение о Штабе воздушной обороны Одесского военного округа. Начальником штаба воздушной обороны назначен капитан Покровский (командир батальона обороны). Начальнику воздушной обороны подчинены: ...части артиллерии, пулеметные и авиационные для обороны от воздушного нападения... Наблюдательные посты формировались двумя ротами наблюдателей. Для ночных действий имелось 4 прожекторных команды. Телеграфно-телефонная команда обеспечивала связь частей воздушной обороны и Штаба воздушной обороны округа.</w:t>
      </w:r>
    </w:p>
    <w:p w14:paraId="7A5B19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сентябрю 1917 года сформированы службы воздушной обороны в Петрограде и Одесском военном округе, объединившие все имевшиеся силы и средства воздушной обороны, в том числе организационно сформировавшуюся службу наблюдения за воздухом.</w:t>
      </w:r>
    </w:p>
    <w:p w14:paraId="13FAC5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Руководство службой воздушной обороны осуществляли командующие войсками военных округов через начальников воздушной обороны, которым подчинялись все части истребительной авиации, противосамолетной артиллерии, воздушного наблюдения.</w:t>
      </w:r>
    </w:p>
    <w:p w14:paraId="168A4B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Общее руководство службами воздушной обороны осуществляла Ставка Верховного Главнокомандующего (через службы генерал-квартирмейстера и дежурного генерала).</w:t>
      </w:r>
    </w:p>
    <w:p w14:paraId="526C6C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Начальники штабов воздушной обороны г. Петрограда и Одесского военного округа одновременно являлись командирами батальонов воздушных наблюдателей. Постоянная боевая готовность частей воздухообороны поддерживалась ежедневным назначением во всех истребительных авиаотрядах и противосамолетных батареях дежурных частей и постоянной деятельностью наблюдательных постов (11405).</w:t>
      </w:r>
    </w:p>
    <w:p w14:paraId="248111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9628F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9AF61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3B70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20 марта по 3 апреля (</w:t>
      </w:r>
      <w:r w:rsidR="001B6ED4" w:rsidRPr="002F2FDF">
        <w:rPr>
          <w:rFonts w:ascii="Times New Roman" w:hAnsi="Times New Roman" w:cs="Times New Roman"/>
          <w:color w:val="000000" w:themeColor="text1"/>
          <w:kern w:val="2"/>
          <w:sz w:val="16"/>
          <w:szCs w:val="16"/>
        </w:rPr>
        <w:t>2</w:t>
      </w:r>
      <w:r w:rsidRPr="002F2FDF">
        <w:rPr>
          <w:rFonts w:ascii="Times New Roman" w:hAnsi="Times New Roman" w:cs="Times New Roman"/>
          <w:color w:val="000000" w:themeColor="text1"/>
          <w:kern w:val="2"/>
          <w:sz w:val="16"/>
          <w:szCs w:val="16"/>
        </w:rPr>
        <w:t>-16 апреля) 1917 состоялась 1 Всероссийская конференция Советов рабочих и солдатских депутатов. Избрали меньшевистско-эсеровский ВЦИК (1348,84).</w:t>
      </w:r>
    </w:p>
    <w:p w14:paraId="4B67BA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7A912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марта (2 апреля) 1917 в России отменены все ограничения по национальному и религиозному признакам, в том числе ликвидирована черта оседлости для евреев (4962).</w:t>
      </w:r>
    </w:p>
    <w:p w14:paraId="2A1F5F7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9DE0A0" w14:textId="77777777" w:rsidR="00C41520" w:rsidRPr="002F2FDF" w:rsidRDefault="00C4152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Между 20 и 26 марта (2 и 8 апреля) 1917. Из журнала заседаний Временного правительства № 26, 1917 г.</w:t>
      </w:r>
    </w:p>
    <w:p w14:paraId="13BF1ACB" w14:textId="77777777" w:rsidR="00C41520" w:rsidRPr="002F2FDF" w:rsidRDefault="00C4152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Об отмене религиозных и национальных ограничений </w:t>
      </w:r>
    </w:p>
    <w:p w14:paraId="257387DC" w14:textId="77777777" w:rsidR="00C41520" w:rsidRPr="002F2FDF" w:rsidRDefault="00C4152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Издать нижеследующее постановление: </w:t>
      </w:r>
    </w:p>
    <w:p w14:paraId="5C2FB98B" w14:textId="77777777" w:rsidR="00C41520" w:rsidRPr="002F2FDF" w:rsidRDefault="00C4152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"Исходя из незыблемого убеждения, что в свободной стране все граждане должны быть равны перед законом и что совесть народа не может мириться с ограничениями прав отдельных граждан в зависимости от их веры и происхождения, Временное правительство постановило: </w:t>
      </w:r>
    </w:p>
    <w:p w14:paraId="2DEDF34C" w14:textId="77777777" w:rsidR="00C41520" w:rsidRPr="002F2FDF" w:rsidRDefault="00C4152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установленные действующими узаконениями ограничения в правах российских граждан, обусловленные принадлежностью к тому или иному вероисповеданию, вероучению или национальности, отменяются..." (11652).</w:t>
      </w:r>
    </w:p>
    <w:p w14:paraId="1C9B705F" w14:textId="77777777" w:rsidR="00C41520" w:rsidRPr="002F2FDF" w:rsidRDefault="00C4152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32A41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марта (2 апреля) 1917 украинский историк Михаил Грушевский избран председателем Центральной Рады (4962).</w:t>
      </w:r>
    </w:p>
    <w:p w14:paraId="3BCE977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95B380" w14:textId="77777777" w:rsidR="00FE2D53"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2D143EB2" w14:textId="77777777" w:rsidR="00FE2D53" w:rsidRPr="002F2FDF" w:rsidRDefault="00FE2D5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B5FC9D" w14:textId="77777777" w:rsidR="00FE2D53" w:rsidRPr="002F2FDF" w:rsidRDefault="00FE2D53"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20 марта (2 апреля) 1917 г.</w:t>
      </w:r>
      <w:r w:rsidRPr="002F2FDF">
        <w:rPr>
          <w:rFonts w:ascii="Times New Roman" w:hAnsi="Times New Roman" w:cs="Times New Roman"/>
          <w:color w:val="000000" w:themeColor="text1"/>
          <w:kern w:val="2"/>
          <w:sz w:val="16"/>
          <w:szCs w:val="16"/>
        </w:rPr>
        <w:t xml:space="preserve"> Телеграмма П. Н. Милюкова послу Временного правительства в Париже о предстоящем приезде в Россию французской миссии во главе с А. Тома.</w:t>
      </w:r>
    </w:p>
    <w:p w14:paraId="6CA91DF3" w14:textId="693D64C2" w:rsidR="00FE2D53" w:rsidRPr="002F2FDF" w:rsidRDefault="00FE2D5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473-474</w:t>
      </w:r>
    </w:p>
    <w:p w14:paraId="2EEEEA7D" w14:textId="4670E669" w:rsidR="00FE2D53" w:rsidRPr="002F2FDF" w:rsidRDefault="00FE2D5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Канцелярии, д. 97, т. 1, л. 201. Копия.</w:t>
      </w:r>
    </w:p>
    <w:p w14:paraId="1EA696F4" w14:textId="77777777" w:rsidR="00FE2D53" w:rsidRPr="002F2FDF" w:rsidRDefault="00FE2D53" w:rsidP="0083075A">
      <w:pPr>
        <w:pStyle w:val="ae"/>
        <w:spacing w:before="0" w:after="0"/>
        <w:jc w:val="both"/>
        <w:rPr>
          <w:color w:val="000000" w:themeColor="text1"/>
          <w:kern w:val="2"/>
          <w:sz w:val="16"/>
          <w:szCs w:val="16"/>
        </w:rPr>
      </w:pPr>
      <w:r w:rsidRPr="002F2FDF">
        <w:rPr>
          <w:color w:val="000000" w:themeColor="text1"/>
          <w:kern w:val="2"/>
          <w:sz w:val="16"/>
          <w:szCs w:val="16"/>
        </w:rPr>
        <w:t>Палеолог сообщил мне сегодня о решении французского правительства отправить в Россию Альбера Тома для приветствования установившегося у нас нового строя и для воздействия на здешнее общественное мнение в смысле необходимости довести войну до конца.</w:t>
      </w:r>
    </w:p>
    <w:p w14:paraId="77F9C470" w14:textId="77777777" w:rsidR="00FE2D53" w:rsidRPr="002F2FDF" w:rsidRDefault="00FE2D53" w:rsidP="0083075A">
      <w:pPr>
        <w:pStyle w:val="ae"/>
        <w:spacing w:before="0" w:after="0"/>
        <w:jc w:val="both"/>
        <w:rPr>
          <w:color w:val="000000" w:themeColor="text1"/>
          <w:kern w:val="2"/>
          <w:sz w:val="16"/>
          <w:szCs w:val="16"/>
        </w:rPr>
      </w:pPr>
      <w:r w:rsidRPr="002F2FDF">
        <w:rPr>
          <w:color w:val="000000" w:themeColor="text1"/>
          <w:kern w:val="2"/>
          <w:sz w:val="16"/>
          <w:szCs w:val="16"/>
        </w:rPr>
        <w:t>Благоволите передать Рибо горячую признательность Временного правительства за этот знак внимания и за выбор г. Тома, миссия которого встречает с нашей стороны живейшее сочувствие</w:t>
      </w:r>
      <w:hyperlink r:id="rId82" w:anchor="_ftn1" w:history="1">
        <w:r w:rsidRPr="002F2FDF">
          <w:rPr>
            <w:rStyle w:val="a5"/>
            <w:color w:val="000000" w:themeColor="text1"/>
            <w:kern w:val="2"/>
            <w:sz w:val="16"/>
            <w:szCs w:val="16"/>
          </w:rPr>
          <w:t>[1]</w:t>
        </w:r>
      </w:hyperlink>
      <w:r w:rsidRPr="002F2FDF">
        <w:rPr>
          <w:color w:val="000000" w:themeColor="text1"/>
          <w:kern w:val="2"/>
          <w:sz w:val="16"/>
          <w:szCs w:val="16"/>
        </w:rPr>
        <w:t>.</w:t>
      </w:r>
    </w:p>
    <w:p w14:paraId="43F1E690" w14:textId="77777777" w:rsidR="00FE2D53" w:rsidRPr="002F2FDF" w:rsidRDefault="00FE2D53" w:rsidP="0083075A">
      <w:pPr>
        <w:pStyle w:val="ae"/>
        <w:spacing w:before="0" w:after="0"/>
        <w:jc w:val="both"/>
        <w:rPr>
          <w:color w:val="000000" w:themeColor="text1"/>
          <w:kern w:val="2"/>
          <w:sz w:val="16"/>
          <w:szCs w:val="16"/>
        </w:rPr>
      </w:pPr>
      <w:r w:rsidRPr="002F2FDF">
        <w:rPr>
          <w:color w:val="000000" w:themeColor="text1"/>
          <w:kern w:val="2"/>
          <w:sz w:val="16"/>
          <w:szCs w:val="16"/>
        </w:rPr>
        <w:t>Милюков.</w:t>
      </w:r>
    </w:p>
    <w:p w14:paraId="3226EF1D" w14:textId="77777777" w:rsidR="00FE2D53" w:rsidRPr="002F2FDF" w:rsidRDefault="00000000" w:rsidP="0083075A">
      <w:pPr>
        <w:pStyle w:val="ae"/>
        <w:spacing w:before="0" w:after="0"/>
        <w:jc w:val="both"/>
        <w:rPr>
          <w:color w:val="000000" w:themeColor="text1"/>
          <w:kern w:val="2"/>
          <w:sz w:val="16"/>
          <w:szCs w:val="16"/>
        </w:rPr>
      </w:pPr>
      <w:hyperlink r:id="rId83" w:anchor="_ftnref1" w:history="1">
        <w:r w:rsidR="00FE2D53" w:rsidRPr="002F2FDF">
          <w:rPr>
            <w:rStyle w:val="a5"/>
            <w:color w:val="000000" w:themeColor="text1"/>
            <w:kern w:val="2"/>
            <w:sz w:val="16"/>
            <w:szCs w:val="16"/>
          </w:rPr>
          <w:t>[1]</w:t>
        </w:r>
      </w:hyperlink>
      <w:r w:rsidR="00FE2D53" w:rsidRPr="002F2FDF">
        <w:rPr>
          <w:color w:val="000000" w:themeColor="text1"/>
          <w:kern w:val="2"/>
          <w:sz w:val="16"/>
          <w:szCs w:val="16"/>
        </w:rPr>
        <w:t xml:space="preserve"> В состав миссии А. Тома вошли: ген. Вальш, полк. Ланглуа, Тессье, Гюбер, Коммер, Кокель и др. Миссия прибыла в Россию в начале апреля 1917 г. (15213).</w:t>
      </w:r>
    </w:p>
    <w:p w14:paraId="1AB00C58" w14:textId="77777777" w:rsidR="00FE2D53" w:rsidRPr="002F2FDF" w:rsidRDefault="00FE2D53"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6ED6598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0351D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A979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марта (2 апреля) 1917 президент Вудро Вильсон представил Конгрессу декларацию об объявлении войны Германии (2100). Была созвана специальная серия (3907,89).</w:t>
      </w:r>
    </w:p>
    <w:p w14:paraId="00A64F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3690F7" w14:textId="77777777"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марта (2 апреля) в 1917 году американцы перехватили шифрограмму, в которой Германия призывала Мексику вторгнуться на территорию США (15087).</w:t>
      </w:r>
    </w:p>
    <w:p w14:paraId="536408E4" w14:textId="77777777"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p>
    <w:p w14:paraId="3FB5E406" w14:textId="77777777"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марта (2 апреля) в 1917 году США вступили в Первую Мировую Войну (15087).</w:t>
      </w:r>
    </w:p>
    <w:p w14:paraId="3FF988B4" w14:textId="77777777"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p>
    <w:p w14:paraId="62FE490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04400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CCB9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марта (3 апреля) 1917 г. приказом Вер</w:t>
      </w:r>
      <w:r w:rsidRPr="002F2FDF">
        <w:rPr>
          <w:rFonts w:ascii="Times New Roman" w:hAnsi="Times New Roman" w:cs="Times New Roman"/>
          <w:color w:val="000000" w:themeColor="text1"/>
          <w:kern w:val="2"/>
          <w:sz w:val="16"/>
          <w:szCs w:val="16"/>
        </w:rPr>
        <w:softHyphen/>
        <w:t>ховного Главнокомандующего от боевым авиагруппам присвоены названия “первая” (коман</w:t>
      </w:r>
      <w:r w:rsidRPr="002F2FDF">
        <w:rPr>
          <w:rFonts w:ascii="Times New Roman" w:hAnsi="Times New Roman" w:cs="Times New Roman"/>
          <w:color w:val="000000" w:themeColor="text1"/>
          <w:kern w:val="2"/>
          <w:sz w:val="16"/>
          <w:szCs w:val="16"/>
        </w:rPr>
        <w:softHyphen/>
        <w:t>дир Казаков) и “вторая” (командир Евграф Крутень) (3954).</w:t>
      </w:r>
    </w:p>
    <w:p w14:paraId="57E521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3232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21 марта </w:t>
      </w:r>
      <w:r w:rsidR="001B6ED4" w:rsidRPr="002F2FDF">
        <w:rPr>
          <w:rFonts w:ascii="Times New Roman" w:hAnsi="Times New Roman" w:cs="Times New Roman"/>
          <w:color w:val="000000" w:themeColor="text1"/>
          <w:kern w:val="2"/>
          <w:sz w:val="16"/>
          <w:szCs w:val="16"/>
        </w:rPr>
        <w:t xml:space="preserve">(3 апреля) </w:t>
      </w:r>
      <w:r w:rsidRPr="002F2FDF">
        <w:rPr>
          <w:rFonts w:ascii="Times New Roman" w:hAnsi="Times New Roman" w:cs="Times New Roman"/>
          <w:color w:val="000000" w:themeColor="text1"/>
          <w:kern w:val="2"/>
          <w:sz w:val="16"/>
          <w:szCs w:val="16"/>
        </w:rPr>
        <w:t>1917 г. был уволен со своей должностиь Александр Михайлович, а уже 3 апреля его Управление было преобразовано в Полевое управление авиации и воздухоплавания при Ставке ВГК, на которое были возложены все авиационные и воздухоплавательные вопросы на фронте. (Новым Полевым управлением руководили полковник С.А. Немченко с 9 апреля по 19 июня, и полковник В.М. Ткачёв - с 21 июня.)</w:t>
      </w:r>
    </w:p>
    <w:p w14:paraId="7CD235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28C2F4" w14:textId="77777777" w:rsidR="00787FF0" w:rsidRPr="002F2FDF" w:rsidRDefault="00787FF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5CBF232" w14:textId="77777777" w:rsidR="00787FF0" w:rsidRPr="002F2FDF" w:rsidRDefault="00787FF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733BC7" w14:textId="77777777" w:rsidR="00787FF0" w:rsidRPr="002F2FDF" w:rsidRDefault="00787FF0" w:rsidP="0083075A">
      <w:pPr>
        <w:pStyle w:val="ae"/>
        <w:spacing w:before="0" w:after="0"/>
        <w:jc w:val="both"/>
        <w:rPr>
          <w:color w:val="000000" w:themeColor="text1"/>
          <w:sz w:val="16"/>
          <w:szCs w:val="16"/>
        </w:rPr>
      </w:pPr>
      <w:r w:rsidRPr="002F2FDF">
        <w:rPr>
          <w:color w:val="000000" w:themeColor="text1"/>
          <w:sz w:val="16"/>
          <w:szCs w:val="16"/>
        </w:rPr>
        <w:t>21 марта (3 апреля) 1917 в 5 ч опустошительным артиллерийским налетом на позиции ослабленной 5-й английской армии генерала Гоу. В 9 ч 40 мин. немецкая пехота поднялась в атаку, используя новую штурмовую тактику. Генерал Хейг полагал, что направление главного удара немцев в этом году придется на Фландрию, этот же участок фронта он считал спокойным. Гоу не только не подготовился к обороне, но и немецкая тактика оказалась для него неожиданностью. К ночи немцы продвинулись на 10 км, однако им не удалось захватить важный транспортный узел Амьен. Тогда Людендорф перенес направление главного удара на юг, где к 6 апреля немцам удалось продвинуться на 65 км, после чего их наступление выдохлось, сформировав уязвимые «вклинения» в оборону союзников. Общие потери немцев достигли 200 тыс. человек (20246).</w:t>
      </w:r>
    </w:p>
    <w:p w14:paraId="46C8ED93" w14:textId="77777777" w:rsidR="00787FF0" w:rsidRPr="002F2FDF" w:rsidRDefault="00787FF0" w:rsidP="0083075A">
      <w:pPr>
        <w:pStyle w:val="ae"/>
        <w:spacing w:before="0" w:after="0"/>
        <w:jc w:val="both"/>
        <w:rPr>
          <w:color w:val="000000" w:themeColor="text1"/>
          <w:sz w:val="16"/>
          <w:szCs w:val="16"/>
        </w:rPr>
      </w:pPr>
    </w:p>
    <w:p w14:paraId="2757DD6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0D688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32D7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марта (4 апреля) 1917 представитель на заводе С.С.Щетинина получил приказ и выпустил предписание об установке М-16 Д.П.Г. колесного шасси (2807,72).</w:t>
      </w:r>
    </w:p>
    <w:p w14:paraId="4676A9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5EE0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марта (4 апреля) 1917 на вооружение был принят коллиматорный прицел отечественной конструкции (271,71).</w:t>
      </w:r>
    </w:p>
    <w:p w14:paraId="3FD53D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A500EF" w14:textId="77777777" w:rsidR="0033751B" w:rsidRPr="002F2FDF" w:rsidRDefault="0033751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22 марта (4 апреля) 1917 года Н.Е.Жуковский писал: "Окончивший нашу школу летчик прапорщик Рубинский и лаборанты Расчетно-испытательного Бюро Ушаков и Раковский построили коллиматорный прицел для стрельбы с аэропланов, преимущественно истребителей по аэропланам.</w:t>
      </w:r>
    </w:p>
    <w:p w14:paraId="3F21BBD2" w14:textId="77777777" w:rsidR="0033751B" w:rsidRPr="002F2FDF" w:rsidRDefault="0033751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Отдел изобретений при Московском Военно-Промышленном комитете, рассмотрев этот прибор, нашел его вполне удовлетворительным и выдал на него одобрительный отзыв. Я, со своей стороны, считаю тоже прибор очень хорошим и думаю, что было бы весьма полезно воспользоваться им для нашего воздушного флота".</w:t>
      </w:r>
    </w:p>
    <w:p w14:paraId="0C2F4FD1" w14:textId="77777777" w:rsidR="0033751B" w:rsidRPr="002F2FDF" w:rsidRDefault="0033751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Это прицел, который получил название РУР, (начальные буквы фамилии авторов), был значительным шагом вперед в деле повышения точности воздушной стрельбы, но в войне ему не пришлось обеспечивать воздушную стрельбу (19621).</w:t>
      </w:r>
    </w:p>
    <w:p w14:paraId="0E15C751" w14:textId="77777777" w:rsidR="0033751B" w:rsidRPr="002F2FDF" w:rsidRDefault="0033751B" w:rsidP="0083075A">
      <w:pPr>
        <w:spacing w:after="0" w:line="240" w:lineRule="auto"/>
        <w:jc w:val="both"/>
        <w:rPr>
          <w:rFonts w:ascii="Times New Roman" w:hAnsi="Times New Roman" w:cs="Times New Roman"/>
          <w:color w:val="000000" w:themeColor="text1"/>
          <w:sz w:val="16"/>
          <w:szCs w:val="16"/>
        </w:rPr>
      </w:pPr>
    </w:p>
    <w:p w14:paraId="29E7889B" w14:textId="109133DF"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22 марта (</w:t>
      </w:r>
      <w:r w:rsidR="00F75330">
        <w:rPr>
          <w:rFonts w:ascii="Times New Roman" w:hAnsi="Times New Roman" w:cs="Times New Roman"/>
          <w:color w:val="000000" w:themeColor="text1"/>
          <w:sz w:val="16"/>
          <w:szCs w:val="16"/>
        </w:rPr>
        <w:t>4</w:t>
      </w:r>
      <w:r w:rsidRPr="002F2FDF">
        <w:rPr>
          <w:rFonts w:ascii="Times New Roman" w:hAnsi="Times New Roman" w:cs="Times New Roman"/>
          <w:color w:val="000000" w:themeColor="text1"/>
          <w:sz w:val="16"/>
          <w:szCs w:val="16"/>
        </w:rPr>
        <w:t xml:space="preserve"> апреля) 1917 года. </w:t>
      </w:r>
    </w:p>
    <w:p w14:paraId="32705AA8"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[Копия]. </w:t>
      </w:r>
    </w:p>
    <w:p w14:paraId="1B52A94A"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Совершенно секретно. </w:t>
      </w:r>
    </w:p>
    <w:p w14:paraId="4D352F95"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Журнал №  150  </w:t>
      </w:r>
    </w:p>
    <w:p w14:paraId="0C6F4DB6"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Особого Совещания для обсуждения и объединения  мероприятий по обороне государства. </w:t>
      </w:r>
    </w:p>
    <w:p w14:paraId="2504E5C8"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22 марта 1917 года. </w:t>
      </w:r>
    </w:p>
    <w:p w14:paraId="47EFF901"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Председательствовал сенатор  . . . . . . . . . . . . . . . . . . . . . . . . . .  Н. П. Гарин. </w:t>
      </w:r>
    </w:p>
    <w:p w14:paraId="5C3082EA"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Присутствовали: </w:t>
      </w:r>
    </w:p>
    <w:p w14:paraId="4C1B25E5"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Член Государственного Совета   . . . . . . . . . . . . . . . . . . . . .   С. И.  Тимашев. </w:t>
      </w:r>
    </w:p>
    <w:p w14:paraId="4889A8B1"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     » » » . . . . . . . . . . . . . . . . . . . . . . . . . . . . . . . . . . . . . . . . . . . . . . . в. И.  Тимирязев. </w:t>
      </w:r>
    </w:p>
    <w:p w14:paraId="64197AB8"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граф С. А.  Толь. </w:t>
      </w:r>
    </w:p>
    <w:p w14:paraId="4085DEAD"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 .  в. И. Карпов. </w:t>
      </w:r>
    </w:p>
    <w:p w14:paraId="6ABC7A06"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 . .  в. И. Гурко. </w:t>
      </w:r>
    </w:p>
    <w:p w14:paraId="5BA21697"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   Ф. А. Иванов. </w:t>
      </w:r>
    </w:p>
    <w:p w14:paraId="74497399"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князь А. Н. Лобанов-Ростовский. </w:t>
      </w:r>
    </w:p>
    <w:p w14:paraId="40E49F21"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Члены Государственной Думы . . . . . . . . . . . . . . . . . . . . . . . . .  Н. в.  Савич. </w:t>
      </w:r>
    </w:p>
    <w:p w14:paraId="1DB99A38"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Д. Н.  Сверчков. </w:t>
      </w:r>
    </w:p>
    <w:p w14:paraId="745E1907"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  Д. Н.  Чихачев. </w:t>
      </w:r>
    </w:p>
    <w:p w14:paraId="58F314B5"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М.  С. Аджемов. </w:t>
      </w:r>
    </w:p>
    <w:p w14:paraId="006E44A4"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От военного министерства: </w:t>
      </w:r>
    </w:p>
    <w:p w14:paraId="214BF5BC"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Генерал от артиллерии  . . . . . . . . . . . . . . . . . . . . . . . . .  А. А. Маниковский. </w:t>
      </w:r>
    </w:p>
    <w:p w14:paraId="7A1F02F0"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Генерал-лейтенант  . . . . . . . . . . . . . . . . . . . . . . . . . . . . . . . .  Д. в.  Филатьев. </w:t>
      </w:r>
    </w:p>
    <w:p w14:paraId="12C0AE22"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Генерал от инфантерии  . . . . . . . . . . . . . . . . . . . . . . . . . . . . . .   П. А.  Фролов. </w:t>
      </w:r>
    </w:p>
    <w:p w14:paraId="04E510AB"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Генерал-лейтенант  . . . . . . . . . . . . . . . . . . . . . . . . . . . . . .   А. К. овчинников. </w:t>
      </w:r>
    </w:p>
    <w:p w14:paraId="62BD1A14"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  Н. А. Бабиков. </w:t>
      </w:r>
    </w:p>
    <w:p w14:paraId="0B9E66AF"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Н. И. Богатко. </w:t>
      </w:r>
    </w:p>
    <w:p w14:paraId="56D5ECE3"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От морского министерства: </w:t>
      </w:r>
    </w:p>
    <w:p w14:paraId="67EDABD6"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Вице-адмирал  . . . . . . . . . . . . . . . . . . . . . . . . . . . . . . . . . . . . . . . . . . . в. К. Гирс. </w:t>
      </w:r>
    </w:p>
    <w:p w14:paraId="23E615BF"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От министерства финансов: </w:t>
      </w:r>
    </w:p>
    <w:p w14:paraId="4CDD1488"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Действительный статский советник  . . . . . . . . . . . . . . . .  А. И. Ефимович. </w:t>
      </w:r>
    </w:p>
    <w:p w14:paraId="58697E92"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От Государственного контроля: </w:t>
      </w:r>
    </w:p>
    <w:p w14:paraId="622986B9"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Действительный статский советник  . . . . . . . . . . . . . . . .  А. Д. Приселков. </w:t>
      </w:r>
    </w:p>
    <w:p w14:paraId="6E223F52"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От Всероссийского городского союза: </w:t>
      </w:r>
    </w:p>
    <w:p w14:paraId="32E41E02"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Член главного комитета по снабжению армии  . . . . . . . .   А. И. Астров. </w:t>
      </w:r>
    </w:p>
    <w:p w14:paraId="745FF7E2"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центрального военно-промышленного комитета: </w:t>
      </w:r>
    </w:p>
    <w:p w14:paraId="20B58C0B"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Действительный статский советник  . . . . . . . . . . . . . . . . . . .   Д.  С. Зернов. </w:t>
      </w:r>
    </w:p>
    <w:p w14:paraId="6FCA4E0C"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Особо приглашенные в заседание: </w:t>
      </w:r>
    </w:p>
    <w:p w14:paraId="3F210A36"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Генерал-лейтенант . . . . . . . . . . . . . . . . . . . . . . . . . . . . . . . . . . .  в. А. Лехович. </w:t>
      </w:r>
    </w:p>
    <w:p w14:paraId="71918A2A"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 А. А. Якимович. </w:t>
      </w:r>
    </w:p>
    <w:p w14:paraId="776E5136"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Н. И. Петровский. </w:t>
      </w:r>
    </w:p>
    <w:p w14:paraId="5E2E6A71"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Флота генерал-лейтенант  . . . . . . . . . . . . . . . . . . . . . . . . . . . .  Н. М.  Сергеев. </w:t>
      </w:r>
    </w:p>
    <w:p w14:paraId="35B66B8F"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Генерал-майор  . . . . . . . . . . . . . . . . . . . . . . . . . . . . . . . . . . . .   А. А.  Саткевич. </w:t>
      </w:r>
    </w:p>
    <w:p w14:paraId="3249261D"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 . . . . . . . . . . . . . . . . . . . . . . . . . . . . . . . . . . . . . . . . . . . . А. А. Михельсон. </w:t>
      </w:r>
    </w:p>
    <w:p w14:paraId="3B480638"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Генерал-лейтенант  . . . . . . . . . . . . . . . . . . . . . . . . . . . . . . . . .  в. Н. Ипатьев. </w:t>
      </w:r>
    </w:p>
    <w:p w14:paraId="55236A75"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Действительный статский советник  . . . . . в. П. Литвинов-Фалинский. </w:t>
      </w:r>
    </w:p>
    <w:p w14:paraId="4AB7FBB8"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Отставной полковник  . . . . . . . . . . . . . . . . . . . . . . . . . . . .  Н. Е. Понафидин. </w:t>
      </w:r>
    </w:p>
    <w:p w14:paraId="0F40AD4B"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Полковник  . . . . . . . . . . . . . . . . . . . . . . . . . . . . . . . . . . . . . . . . . .   Д. в. Яковлев. </w:t>
      </w:r>
    </w:p>
    <w:p w14:paraId="3F44DBDB"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Делопроизводитель Особого Совещания: </w:t>
      </w:r>
    </w:p>
    <w:p w14:paraId="4FB33095"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Подполковник  . . . . . . . . . . . . . . . . . . . . . . . . . . . . . . . . . . . . . .  С. И. Качалов. </w:t>
      </w:r>
    </w:p>
    <w:p w14:paraId="285B9DAC"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По  открытии  заседания  Совещание  заслушало  и  одобрило  доклады  подготовительной комиссии по общим вопросам: </w:t>
      </w:r>
    </w:p>
    <w:p w14:paraId="5DBC8548"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об отпуске главному комитету Всероссийского земского союза 20 000 рублей в возмещение расхода по постройке складочных помещений у станции «Городские  бойни» Московской окружной железной дороги и </w:t>
      </w:r>
    </w:p>
    <w:p w14:paraId="24520508"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об отпуске главному по снабжению армии комитету Всероссийских земского и городского  союзов дополнительного до 75 % аванса, по заказу на предметы интендантского снабжения армии, в счет плана на период по 1 июня 1916 года,  в размере 6 313 604 руб лей 80 коп. </w:t>
      </w:r>
    </w:p>
    <w:p w14:paraId="7997D0A1"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Засим Совещанием был заслушан осведомительный доклад подготовительной комиссии по артиллерийским вопросам112 о снабжении армии  снарядами малых, средних и крупных калибров на 1917 год. Рассмотрев  представленные главным артиллерийским управлением данные, комиссия  пришла  к  нижеследующим  заключениям:  потребность  в  крупных  снарядах представляется далеко не обеспеченной; потребность же в снарядах  малых  и  средних  калибров  может  почитаться  обеспеченною  при  условии получения надлежащего количества металла. </w:t>
      </w:r>
    </w:p>
    <w:p w14:paraId="502BB0B1"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Дополнительно  к  докладу  комиссии  помощник  Военного  министра  генерал от артиллерии А.  А.  Маниковский осведомил Совещание о современном  положении  дела  изготовления  предметов  артиллерийского  снабжения армии на заводах Петроградского района. Все возрастающие  затруднения в области обеспечения этих заводов металлом и топливом  ставят на очередь вопрос о планомерном сокращении их производства и  передаче возможно большой части заказов на заводы южных промышленных районов, производительность коих остается ныне использованной далеко не в полной мере. Соответствующие конкретные предположения разрабатываются в настоящее время в военном ведомстве. </w:t>
      </w:r>
    </w:p>
    <w:p w14:paraId="3726480C"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При последовавшем обмене мнениями член Государственной Думы  Н. В. Савич и товарищ министра торговли и промышленности П. И. Пальчинский  высказались  за  возможно  скорейшее  осуществление  намеченного военным ведомством мероприятия, указав при этом, что в данном  случае речь идет не столько об эвакуации промышленных предприятий,  сколько о новом, более рациональном распределении металла и топлива  между заводами различных промышленных районов: при этом из Петрограда придется вывезти лишь незначительную часть оборудования, ибо  на заводах южного и Уральского районов имеется большое количество  бездействующих станков. </w:t>
      </w:r>
    </w:p>
    <w:p w14:paraId="52A6D4B7"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Член Государственного Совета В. И. Гурко, равным образом разделяя  мысль  о  необходимости  передачи  значительного  числа  заказов,  предоставленных  Петроградским  заводам,  на  заводы  других  районов,  указал  вместе с тем, что в связи с этим вопросом должен быть разрешен вопрос  об эвакуации из Петрограда соответствующего количества рабочих, занятых ныне выполнением заказов, подлежащих эвакуации. Необходимо  получить  добровольное  согласие  рабочих  на  переезд  в  другие  районы,  обеспечив им выгодные условия работы. С другой стороны, должна быть  заблаговременно  подготовлена  техническая  сторона  эвакуации,  представляющая  значительные  трудности  при  современном  состоянии  железнодорожного транспорта. </w:t>
      </w:r>
    </w:p>
    <w:p w14:paraId="653B60F2"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Попутно  с  обсуждением  возбужденного  генералом  от  артиллерии  А. А.  Маниковским вопроса член Государственного Совета В.  И.  Карпов  указал  на  желательность  постепенного  вывоза  из  Петрограда  артиллерийских запасов, с планомерным распределением их по тыловым складам,  приуроченным  к  тому  или  иному  фронту.  Со  своей  стороны  член  Государственной  Думы  Н.  В.  Савич  выразил  пожелание  о  том,  чтобы  впредь артиллерийские формирования производились не в Петрограде,  а в других крупных центрах, как, например, в Киеве и в Москве. </w:t>
      </w:r>
    </w:p>
    <w:p w14:paraId="32031668"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Далее  Совещанием  были  заслушаны  и  одобрены  доклады  реквизиционной комиссии: </w:t>
      </w:r>
    </w:p>
    <w:p w14:paraId="3B7F5C3D"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по вопросу об установлении взаимоотношений  между реквизиционной комиссией при Особом Совещании по обороне  государства и главным комитетом по делам о расчетах за реквизированное или уничтоженное по распоряжению властей имущество и </w:t>
      </w:r>
    </w:p>
    <w:p w14:paraId="20025C70"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 временном принудительном занятии дома № 3 по Аптекарскому переулку в  Петрограде для вышеназванного главного комитета и для нужд Великобританской военной миссии. </w:t>
      </w:r>
    </w:p>
    <w:p w14:paraId="15A10B15"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Равным  образом  были  одобрены  Совещанием  доклады  подготовительной  комиссии  по  авиационным  вопросам:  </w:t>
      </w:r>
    </w:p>
    <w:p w14:paraId="5E32E8AA"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  заказе  акционерному обществу «Вдова Матиас и С-ья» 600 аэропланов, </w:t>
      </w:r>
    </w:p>
    <w:p w14:paraId="621498E6"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 программе  комплектования авиационных частей летчиками и в) о предоставлении  начальнику  военного  воздушного  флота  права  производить  по  своему  усмотрению выдачу авансов по всем заключенным контрактам в размере  65 % контрактных сумм. </w:t>
      </w:r>
    </w:p>
    <w:p w14:paraId="4B3A92E9"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Доклад  той  же  комиссии  о  поступлении  военно-авиационного  и  воздухоплавательного имущества за декабрь 1916 года и январь 1917 года  был Совещанием принят к сведению. </w:t>
      </w:r>
    </w:p>
    <w:p w14:paraId="2122C8F1"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 заключение председательствующий сенатор Н.  П.  Гарин доложил  Совещанию о встретившихся на практике затруднениях по исполнению  принятого Совещанием и утвержденного Председателем Совещания постановления о непременном включении в договоры по заграничным заказам условия, согласно коему все споры, могущие возникнуть по этим  договорам, должны разрешаться русскими судебными местами и на основании русских законов. По заявлению руководителей наших заграничных  заготовительных  организаций,  получить  согласие  поставщиков  на  включение в договоры вышеозначенного, стеснительного для них, условия представляется в настоящее время, при существующей на заграничном рынке конкуренции между заказчиками, совершенно невозможным.  </w:t>
      </w:r>
    </w:p>
    <w:p w14:paraId="4E83864A"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Ввиду этого соответствующее постановление Председателя Совещания  подлежало бы отмене. </w:t>
      </w:r>
    </w:p>
    <w:p w14:paraId="26C39C53"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    Равным  образом  представлялось  бы  целесообразным  не  приводить  в  исполнение  утвержденное  Председателем  Совещания  постановление  Совещания о командировании в состав Русского заготовительного комитета в Америке опытного цивилиста для заведывания юрисконсультской  частью  комитета  ввиду  того,  что,  согласно  полученным  сведениям,  названный комитет достаточно обеспечен юридическими силами. </w:t>
      </w:r>
    </w:p>
    <w:p w14:paraId="3950F505"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Заслушав сообщение сенатора Н. П. Гарина, Совещание не встретило  препятствий к отмене вышеуказанных своих постановлений. </w:t>
      </w:r>
    </w:p>
    <w:p w14:paraId="71D484A0"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Подписи. </w:t>
      </w:r>
    </w:p>
    <w:p w14:paraId="00F0D6BB"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За председателя Особого Совещания генерал-лейтенант Филатьев в  отношении приведения в исполнение требующих того суждений Особого Совещания решил: </w:t>
      </w:r>
    </w:p>
    <w:p w14:paraId="326A66ED"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  Утвердить  доклады  подготовительной  комиссии  по  общим  вопросам: </w:t>
      </w:r>
    </w:p>
    <w:p w14:paraId="36FB6545"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а)  об  отпуске  главному  интендантскому  управлению  из  военного  фонда двухсот тысяч (200 000) руб лей для выдачи этой суммы главному  комитету Всероссийского земского союза в возмещение расхода названного союза на постройку складочных помещений у станции «Городские  бойни» Московской окружной железной дороги, на изложенных в докладе основаниях; </w:t>
      </w:r>
    </w:p>
    <w:p w14:paraId="6568DEDE"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б) об отпуске главному по снабжению армии комитету Всероссийских  земского и городского союзов аванса, дополнительно до 75 % стоимости  заготовления предметов интендантского снабжения армии, порученных  названному комитету к заготовлению в счет плана на период по 1  июня  1916 года, всего в размере шести миллионов трехсот тринадцати тысяч  шестисот четырех (6 313 604) руб лей 89 коп. </w:t>
      </w:r>
    </w:p>
    <w:p w14:paraId="033AE83B"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Утвердить доклады подготовительной комиссии по </w:t>
      </w:r>
      <w:r w:rsidRPr="002F2FDF">
        <w:rPr>
          <w:rFonts w:ascii="Times New Roman" w:hAnsi="Times New Roman" w:cs="Times New Roman"/>
          <w:color w:val="000000" w:themeColor="text1"/>
          <w:sz w:val="16"/>
          <w:szCs w:val="16"/>
          <w:highlight w:val="yellow"/>
        </w:rPr>
        <w:t>авиационным  вопросам</w:t>
      </w:r>
      <w:r w:rsidRPr="002F2FDF">
        <w:rPr>
          <w:rFonts w:ascii="Times New Roman" w:hAnsi="Times New Roman" w:cs="Times New Roman"/>
          <w:color w:val="000000" w:themeColor="text1"/>
          <w:sz w:val="16"/>
          <w:szCs w:val="16"/>
        </w:rPr>
        <w:t xml:space="preserve">: </w:t>
      </w:r>
    </w:p>
    <w:p w14:paraId="05EBE366"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а) о заказе акционерному обществу «Вдова Матиас и С-ья» 600 аэропланов; </w:t>
      </w:r>
    </w:p>
    <w:p w14:paraId="457F69DE"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б) о программе комплектования авиационных частей летчиками; </w:t>
      </w:r>
    </w:p>
    <w:p w14:paraId="440D41C1"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  о  предоставлении  начальнику  управления  военного  воздушного  флота права производить по своему усмотрению выдачу авансов по всем  заключенным контрактам в размере 65 % контрактных сумм. </w:t>
      </w:r>
    </w:p>
    <w:p w14:paraId="4BA06B0B"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3) Утвердить доклад реквизиционной комиссии о временном принудительном  занятии  дома  №  3  по  Аптекарскому  переулку  в  Петрограде  для главного комитета по делам о расчетах за реквизированное или уничтоженное имущество и для нужд Великобританской военной миссии. </w:t>
      </w:r>
    </w:p>
    <w:p w14:paraId="64376E58"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4)   Ввиду   встретившихся   на   практике   затруднений       —   отменить  утвержденное  пунктом  5  резолюции  по  журналу  Особого  Совещания  №  139 постановление Совещания о непременном включении в договоры  по  заграничным  заказам  условия,  согласно  коему  могущие  возникнуть  по исполнению сих договоров споры должны разрешаться русскими судебными 22 марта 1917 года.</w:t>
      </w:r>
    </w:p>
    <w:p w14:paraId="3D910EA5"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местами на основании русских законов. </w:t>
      </w:r>
    </w:p>
    <w:p w14:paraId="00EBA045"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5)  Ввиду  полученных  сведений  о  достаточной  обеспеченности  Русского заготовительного комитета в Америке юридическими силами отменить  утвержденное  пунктом  6  резолюции  по  журналу  Особого  Совещания №  139 постановление Совещания о командировании в состав  названного  комитета  опытного  цивилиста  для  заведывания  юрисконсультской частью комитета. </w:t>
      </w:r>
    </w:p>
    <w:p w14:paraId="6A701FC0"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Верно: управляющий делами генерал-лейтенант Бабиков (20628).</w:t>
      </w:r>
    </w:p>
    <w:p w14:paraId="6A7EFACA"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p>
    <w:p w14:paraId="42A2BDC5" w14:textId="695A8CD2" w:rsidR="00342516" w:rsidRPr="00FB4F67" w:rsidRDefault="0034251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22 марта (</w:t>
      </w:r>
      <w:r w:rsidRPr="00FB4F67">
        <w:rPr>
          <w:rFonts w:ascii="Times New Roman" w:hAnsi="Times New Roman" w:cs="Times New Roman"/>
          <w:color w:val="0070C0"/>
          <w:sz w:val="16"/>
          <w:szCs w:val="16"/>
        </w:rPr>
        <w:t>4 апреля</w:t>
      </w:r>
      <w:r>
        <w:rPr>
          <w:rFonts w:ascii="Times New Roman" w:hAnsi="Times New Roman" w:cs="Times New Roman"/>
          <w:color w:val="0070C0"/>
          <w:sz w:val="16"/>
          <w:szCs w:val="16"/>
        </w:rPr>
        <w:t xml:space="preserve">) </w:t>
      </w:r>
      <w:r w:rsidRPr="00FB4F67">
        <w:rPr>
          <w:rFonts w:ascii="Times New Roman" w:hAnsi="Times New Roman" w:cs="Times New Roman"/>
          <w:color w:val="0070C0"/>
          <w:sz w:val="16"/>
          <w:szCs w:val="16"/>
        </w:rPr>
        <w:t>1917 г. мастерская Стеглау получила заказ военных на пять Farman 4 и тридцать Farman 20. Неизвестно, были ли они завершены (23525).</w:t>
      </w:r>
    </w:p>
    <w:p w14:paraId="7857045B" w14:textId="77777777" w:rsidR="00342516" w:rsidRPr="00FB4F67" w:rsidRDefault="00342516" w:rsidP="0083075A">
      <w:pPr>
        <w:spacing w:after="0" w:line="240" w:lineRule="auto"/>
        <w:jc w:val="both"/>
        <w:rPr>
          <w:rFonts w:ascii="Times New Roman" w:hAnsi="Times New Roman" w:cs="Times New Roman"/>
          <w:color w:val="0070C0"/>
          <w:sz w:val="16"/>
          <w:szCs w:val="16"/>
        </w:rPr>
      </w:pPr>
    </w:p>
    <w:p w14:paraId="748C1F5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E9BB0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E1A5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марта (4 апреля) 1917 эсминцы Живой и Жаркий уничтожили 2 больших парусных судна (3123).</w:t>
      </w:r>
    </w:p>
    <w:p w14:paraId="6CA8B6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FD3E3C" w14:textId="04277CED" w:rsidR="00342516" w:rsidRPr="00FB4F67" w:rsidRDefault="0034251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С </w:t>
      </w:r>
      <w:r w:rsidRPr="002F2FDF">
        <w:rPr>
          <w:rFonts w:ascii="Times New Roman" w:hAnsi="Times New Roman" w:cs="Times New Roman"/>
          <w:color w:val="000000" w:themeColor="text1"/>
          <w:kern w:val="2"/>
          <w:sz w:val="16"/>
          <w:szCs w:val="16"/>
        </w:rPr>
        <w:t xml:space="preserve">22 марта </w:t>
      </w:r>
      <w:r>
        <w:rPr>
          <w:rFonts w:ascii="Times New Roman" w:hAnsi="Times New Roman" w:cs="Times New Roman"/>
          <w:color w:val="000000" w:themeColor="text1"/>
          <w:kern w:val="2"/>
          <w:sz w:val="16"/>
          <w:szCs w:val="16"/>
        </w:rPr>
        <w:t>(</w:t>
      </w:r>
      <w:r w:rsidRPr="00FB4F67">
        <w:rPr>
          <w:rFonts w:ascii="Times New Roman" w:hAnsi="Times New Roman" w:cs="Times New Roman"/>
          <w:color w:val="0070C0"/>
          <w:sz w:val="16"/>
          <w:szCs w:val="16"/>
        </w:rPr>
        <w:t xml:space="preserve">4 </w:t>
      </w:r>
      <w:r>
        <w:rPr>
          <w:rFonts w:ascii="Times New Roman" w:hAnsi="Times New Roman" w:cs="Times New Roman"/>
          <w:color w:val="0070C0"/>
          <w:sz w:val="16"/>
          <w:szCs w:val="16"/>
        </w:rPr>
        <w:t xml:space="preserve">апреля) </w:t>
      </w:r>
      <w:r w:rsidRPr="00FB4F67">
        <w:rPr>
          <w:rFonts w:ascii="Times New Roman" w:hAnsi="Times New Roman" w:cs="Times New Roman"/>
          <w:color w:val="0070C0"/>
          <w:sz w:val="16"/>
          <w:szCs w:val="16"/>
        </w:rPr>
        <w:t xml:space="preserve">по 22 апреля </w:t>
      </w:r>
      <w:r>
        <w:rPr>
          <w:rFonts w:ascii="Times New Roman" w:hAnsi="Times New Roman" w:cs="Times New Roman"/>
          <w:color w:val="0070C0"/>
          <w:sz w:val="16"/>
          <w:szCs w:val="16"/>
        </w:rPr>
        <w:t xml:space="preserve">(5 мая) </w:t>
      </w:r>
      <w:r w:rsidRPr="00FB4F67">
        <w:rPr>
          <w:rFonts w:ascii="Times New Roman" w:hAnsi="Times New Roman" w:cs="Times New Roman"/>
          <w:color w:val="0070C0"/>
          <w:sz w:val="16"/>
          <w:szCs w:val="16"/>
        </w:rPr>
        <w:t>1917 г. временными начальниками Полевого управления авиации и воздухоплавания были генерал-майор Барсов; и Полковник С.И. Немченко с 23 апреля по 21 июня. Наконец, 22 июня 1917 года подполковник (впоследствии Полковник) Вячеслав Матвеевич Ткачев был назначен генеральным инспектором Военно-Воздушного Флота, подчиненного командующему Верховным штабом ЦИК. Он занимал эту должность до 2 декабря 1917 г., когда ушел в отставку. Полевая коллегия авиации и воздухоплавания вместе с УВОФЛОТ была упразднена красными в марте 1918 года (23525).</w:t>
      </w:r>
    </w:p>
    <w:p w14:paraId="304938C6" w14:textId="77777777" w:rsidR="00342516" w:rsidRPr="00FB4F67" w:rsidRDefault="00342516" w:rsidP="0083075A">
      <w:pPr>
        <w:spacing w:after="0" w:line="240" w:lineRule="auto"/>
        <w:jc w:val="both"/>
        <w:rPr>
          <w:rFonts w:ascii="Times New Roman" w:hAnsi="Times New Roman" w:cs="Times New Roman"/>
          <w:color w:val="0070C0"/>
          <w:sz w:val="16"/>
          <w:szCs w:val="16"/>
        </w:rPr>
      </w:pPr>
    </w:p>
    <w:p w14:paraId="0413C785" w14:textId="18A3045E" w:rsidR="00342516" w:rsidRPr="00FB4F67" w:rsidRDefault="0034251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22 марта (</w:t>
      </w:r>
      <w:r w:rsidRPr="00FB4F67">
        <w:rPr>
          <w:rFonts w:ascii="Times New Roman" w:hAnsi="Times New Roman" w:cs="Times New Roman"/>
          <w:color w:val="0070C0"/>
          <w:sz w:val="16"/>
          <w:szCs w:val="16"/>
        </w:rPr>
        <w:t>4 апреля</w:t>
      </w:r>
      <w:r>
        <w:rPr>
          <w:rFonts w:ascii="Times New Roman" w:hAnsi="Times New Roman" w:cs="Times New Roman"/>
          <w:color w:val="0070C0"/>
          <w:sz w:val="16"/>
          <w:szCs w:val="16"/>
        </w:rPr>
        <w:t>) 1917 г.</w:t>
      </w:r>
      <w:r w:rsidRPr="00FB4F67">
        <w:rPr>
          <w:rFonts w:ascii="Times New Roman" w:hAnsi="Times New Roman" w:cs="Times New Roman"/>
          <w:color w:val="0070C0"/>
          <w:sz w:val="16"/>
          <w:szCs w:val="16"/>
        </w:rPr>
        <w:t xml:space="preserve"> в Черном море русские летающие лодки с трех гидроавианосцев провели разведку входа в Босфор и сбросили бомбы на турецкие береговые батареи у Килиоса (23525).</w:t>
      </w:r>
    </w:p>
    <w:p w14:paraId="05D9E6A7" w14:textId="77777777" w:rsidR="00342516" w:rsidRPr="00FB4F67" w:rsidRDefault="00342516" w:rsidP="0083075A">
      <w:pPr>
        <w:spacing w:after="0" w:line="240" w:lineRule="auto"/>
        <w:jc w:val="both"/>
        <w:rPr>
          <w:rFonts w:ascii="Times New Roman" w:hAnsi="Times New Roman" w:cs="Times New Roman"/>
          <w:color w:val="0070C0"/>
          <w:sz w:val="16"/>
          <w:szCs w:val="16"/>
        </w:rPr>
      </w:pPr>
    </w:p>
    <w:p w14:paraId="13724407" w14:textId="43E9F7E9" w:rsidR="00342516" w:rsidRPr="00FB4F67" w:rsidRDefault="0034251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22 марта (</w:t>
      </w:r>
      <w:r w:rsidRPr="00FB4F67">
        <w:rPr>
          <w:rFonts w:ascii="Times New Roman" w:hAnsi="Times New Roman" w:cs="Times New Roman"/>
          <w:color w:val="0070C0"/>
          <w:sz w:val="16"/>
          <w:szCs w:val="16"/>
        </w:rPr>
        <w:t>4 апреля</w:t>
      </w:r>
      <w:r>
        <w:rPr>
          <w:rFonts w:ascii="Times New Roman" w:hAnsi="Times New Roman" w:cs="Times New Roman"/>
          <w:color w:val="0070C0"/>
          <w:sz w:val="16"/>
          <w:szCs w:val="16"/>
        </w:rPr>
        <w:t xml:space="preserve">) </w:t>
      </w:r>
      <w:r w:rsidRPr="00FB4F67">
        <w:rPr>
          <w:rFonts w:ascii="Times New Roman" w:hAnsi="Times New Roman" w:cs="Times New Roman"/>
          <w:color w:val="0070C0"/>
          <w:sz w:val="16"/>
          <w:szCs w:val="16"/>
        </w:rPr>
        <w:t>1917 г. вечером неприятельская эскадрилья (10 самолетов) совершила налет на станцию и г. Текучиу (Румыния), нанеся ее объектам незначительный ущерб. 2 мая налет вновь повторился, на город было сброшено около 20 бомб (23405).</w:t>
      </w:r>
    </w:p>
    <w:p w14:paraId="21A86C3A" w14:textId="77777777" w:rsidR="00342516" w:rsidRPr="00FB4F67" w:rsidRDefault="00342516" w:rsidP="0083075A">
      <w:pPr>
        <w:spacing w:after="0" w:line="240" w:lineRule="auto"/>
        <w:jc w:val="both"/>
        <w:rPr>
          <w:rFonts w:ascii="Times New Roman" w:hAnsi="Times New Roman" w:cs="Times New Roman"/>
          <w:color w:val="0070C0"/>
          <w:sz w:val="16"/>
          <w:szCs w:val="16"/>
        </w:rPr>
      </w:pPr>
    </w:p>
    <w:p w14:paraId="2F523757" w14:textId="77777777" w:rsidR="0079390B" w:rsidRPr="002F2FDF" w:rsidRDefault="0079390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021D2E9" w14:textId="77777777" w:rsidR="0079390B" w:rsidRPr="002F2FDF" w:rsidRDefault="0079390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01B82F"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22 марта (4 апреля) 1917 г., было разрешено увеличение основного капитала акционерных обществ в пределах удвоенной первоначальной суммы. Если сумма была больше, то вопрос решался особым совещанием из представителей Министерства финансов, Министерства торговли и промышленности, Совета съездов представителей промышленности и торговли и Совета съездов представителей биржевой торговли и сельского хозяйства.</w:t>
      </w:r>
    </w:p>
    <w:p w14:paraId="4C03C11C"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результате к осени 1917 г. были учреждены 734 акционерных общества с уставным капиталом 1960 млн руб., что во много раз превышало показатели 1913 г. Несмотря на сложные политические условия, реформа имела положительный результат, продемонстрировав возможность продуктивного сочетания государственного регулирования и корпоративного управления." (20218).</w:t>
      </w:r>
    </w:p>
    <w:p w14:paraId="47142770" w14:textId="77777777" w:rsidR="0079390B" w:rsidRPr="002F2FDF" w:rsidRDefault="0079390B" w:rsidP="0083075A">
      <w:pPr>
        <w:spacing w:after="0" w:line="240" w:lineRule="auto"/>
        <w:jc w:val="both"/>
        <w:rPr>
          <w:rFonts w:ascii="Times New Roman" w:hAnsi="Times New Roman" w:cs="Times New Roman"/>
          <w:color w:val="000000" w:themeColor="text1"/>
          <w:sz w:val="16"/>
          <w:szCs w:val="16"/>
        </w:rPr>
      </w:pPr>
    </w:p>
    <w:p w14:paraId="1F6352E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406FD8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DF363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марта (4 апреля) 1917 министр иностранных дел Временного правительства П. Милюков объявил о внешних целях России в ходе войны: создание Чехословакии, Югославии, воссоединение украинских земель Австро-Венгрии с Россией и обладание Константинополем и Босфорским проливом (4962).</w:t>
      </w:r>
    </w:p>
    <w:p w14:paraId="172F514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4D788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марта (4 апреля) 1917 немецкий посол в Швейцарии получил план проезда через территорию Германии лидеров русской политической эмиграции, в том числе Ленина (4962).</w:t>
      </w:r>
    </w:p>
    <w:p w14:paraId="70153F7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316896" w14:textId="77777777"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22 марта (4 апреля)</w:t>
      </w:r>
      <w:r w:rsidRPr="002F2FDF">
        <w:rPr>
          <w:rFonts w:ascii="Times New Roman" w:hAnsi="Times New Roman" w:cs="Times New Roman"/>
          <w:color w:val="000000" w:themeColor="text1"/>
          <w:kern w:val="2"/>
          <w:sz w:val="16"/>
          <w:szCs w:val="16"/>
        </w:rPr>
        <w:t xml:space="preserve"> в 1917 году немецкий посол в Швейцарии получает план проезда через территорию Германии лидеров русской политической эмиграции, в том числе Ленина (15089).</w:t>
      </w:r>
    </w:p>
    <w:p w14:paraId="54863C1A" w14:textId="77777777"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p>
    <w:p w14:paraId="3CBC83C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718CE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A8711F" w14:textId="77777777"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22 марта (4 апреля)</w:t>
      </w:r>
      <w:r w:rsidRPr="002F2FDF">
        <w:rPr>
          <w:rFonts w:ascii="Times New Roman" w:hAnsi="Times New Roman" w:cs="Times New Roman"/>
          <w:color w:val="000000" w:themeColor="text1"/>
          <w:kern w:val="2"/>
          <w:sz w:val="16"/>
          <w:szCs w:val="16"/>
        </w:rPr>
        <w:t xml:space="preserve"> в 1917 году совершил первый полет опытный самолет </w:t>
      </w:r>
      <w:hyperlink r:id="rId84" w:tgtFrame="_blank" w:history="1">
        <w:r w:rsidRPr="002F2FDF">
          <w:rPr>
            <w:rFonts w:ascii="Times New Roman" w:hAnsi="Times New Roman" w:cs="Times New Roman"/>
            <w:color w:val="000000" w:themeColor="text1"/>
            <w:kern w:val="2"/>
            <w:sz w:val="16"/>
            <w:szCs w:val="16"/>
          </w:rPr>
          <w:t xml:space="preserve">«SPAD» «S.XIII» </w:t>
        </w:r>
      </w:hyperlink>
      <w:r w:rsidRPr="002F2FDF">
        <w:rPr>
          <w:rFonts w:ascii="Times New Roman" w:hAnsi="Times New Roman" w:cs="Times New Roman"/>
          <w:color w:val="000000" w:themeColor="text1"/>
          <w:kern w:val="2"/>
          <w:sz w:val="16"/>
          <w:szCs w:val="16"/>
        </w:rPr>
        <w:t>и его значительно улучшенные летные характеристики обеспечили скорое начало службы. Он отличался от модели «S.VII» тем, что имел немного увеличенный размах крыла, измененные элероны и другие аэродинамические усовершенствования плюс увеличенную тягу, которую вырабатывал двигатель «Hispano-Suiza» «8В» (15089).</w:t>
      </w:r>
    </w:p>
    <w:p w14:paraId="4208A7C0" w14:textId="77777777"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p>
    <w:p w14:paraId="52AD0710" w14:textId="77777777" w:rsidR="00AD1920" w:rsidRPr="002F2FDF" w:rsidRDefault="00AD192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22 марта (4 апреля) 1917 первый полет SPAD S.XIII (20341).</w:t>
      </w:r>
    </w:p>
    <w:p w14:paraId="52F4CC39" w14:textId="77777777" w:rsidR="00AD1920" w:rsidRPr="002F2FDF" w:rsidRDefault="00AD1920" w:rsidP="0083075A">
      <w:pPr>
        <w:spacing w:after="0" w:line="240" w:lineRule="auto"/>
        <w:jc w:val="both"/>
        <w:rPr>
          <w:rFonts w:ascii="Times New Roman" w:hAnsi="Times New Roman" w:cs="Times New Roman"/>
          <w:color w:val="000000" w:themeColor="text1"/>
          <w:sz w:val="16"/>
          <w:szCs w:val="16"/>
        </w:rPr>
      </w:pPr>
    </w:p>
    <w:p w14:paraId="144B97A1" w14:textId="06AC35F5" w:rsidR="00AD1920" w:rsidRPr="002F2FDF" w:rsidRDefault="00AD192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22 марта (4 апреля) 1917 г. первый полет на опытном SPAD XIII выполнил приглашенный для этого строевой летчик-ас Рене Дорм, отозвавшись о нем положительно. По сравнению с серийной «семеркой» с двигателем в 180</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л.</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с. был получен прирост скорости на 18</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и потолка на 19</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После коротких испытаний, которые шли уже без уволенного «мэтром Блерио» Луи Бешеро, под началом новоиспеченного главного конструктора Андре Эрбемо самолет приняли на вооружение, и началась спешная раздача заказов.</w:t>
      </w:r>
    </w:p>
    <w:p w14:paraId="3304A4B3" w14:textId="07EE0685" w:rsidR="00AD1920" w:rsidRPr="002F2FDF" w:rsidRDefault="00AD192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Завод SPAD в Бетани удовлетворить аппетиты Военного министерства сам оказался не в состоянии. До конца 1918 г. он построил 1</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941 самолет этого типа, а по У. Ламбертону</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вообще лишь 1</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141, еще 2</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300 сдали остальные предприятия концерна «Блерио», 361 построила фирма ACM, 1</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750</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«Бернар», 300</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«Борел», 1</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280</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«Келине и сыновья», 340</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«Левассёр», 700</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«Ньюпор» и еще 300</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SCAP (по другим данным она именовалась SAFCA). Многие из них уже делали SPAD VII и быстро освоили новое изделие, тем не менее план постоянно недовыполнялся. Причиной тому были и переоценка производительности французских заводов, и дефицит сырья, которое часто приходилось везти из-за моря, и политика Луи Блерио, который откровенно завидовал успеху Бешеро и переживал собственные неудачи в создании новых самолетов (22874).</w:t>
      </w:r>
    </w:p>
    <w:p w14:paraId="542F3D1E" w14:textId="77777777" w:rsidR="00AD1920" w:rsidRPr="002F2FDF" w:rsidRDefault="00AD1920" w:rsidP="0083075A">
      <w:pPr>
        <w:spacing w:after="0" w:line="240" w:lineRule="auto"/>
        <w:jc w:val="both"/>
        <w:rPr>
          <w:rFonts w:ascii="Times New Roman" w:hAnsi="Times New Roman" w:cs="Times New Roman"/>
          <w:color w:val="000000" w:themeColor="text1"/>
          <w:sz w:val="16"/>
          <w:szCs w:val="16"/>
        </w:rPr>
      </w:pPr>
    </w:p>
    <w:p w14:paraId="611843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22 марта (4 апреля) 1917 Конгресс США 90 голосами против 6 выступил за вступление в войну на стороне союзников (2100).</w:t>
      </w:r>
    </w:p>
    <w:p w14:paraId="7ADE60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39E2E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7C395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3E11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марта (5 апреля) 1917 а А.В.Колчак как командующий ЧФ в своем докладе суммировал, что лл М-5 и М-9 поступают с завода С.С.Щетинина с многочисленными недостатками. Требовал также более мощных моторов (2809,9).</w:t>
      </w:r>
    </w:p>
    <w:p w14:paraId="692F39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C4427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марта (5 апреля) 1917 в своем докладе, посвященном флотской авиации, командующий вице-адмирал А. В. Колчак зафиксировал мнение авиаторов о том, что “из-за совершенно неудовлетворительных качеств” и одно</w:t>
      </w:r>
      <w:r w:rsidRPr="002F2FDF">
        <w:rPr>
          <w:rFonts w:ascii="Times New Roman" w:hAnsi="Times New Roman" w:cs="Times New Roman"/>
          <w:color w:val="000000" w:themeColor="text1"/>
          <w:kern w:val="2"/>
          <w:sz w:val="16"/>
          <w:szCs w:val="16"/>
        </w:rPr>
        <w:softHyphen/>
        <w:t>местные, и двухместные аппараты могли взлетать только в тихих бухтах, а “неправильное расположе</w:t>
      </w:r>
      <w:r w:rsidRPr="002F2FDF">
        <w:rPr>
          <w:rFonts w:ascii="Times New Roman" w:hAnsi="Times New Roman" w:cs="Times New Roman"/>
          <w:color w:val="000000" w:themeColor="text1"/>
          <w:kern w:val="2"/>
          <w:sz w:val="16"/>
          <w:szCs w:val="16"/>
        </w:rPr>
        <w:softHyphen/>
        <w:t>ние центра тяжести, мотора и плохо развитая несущая поверхность” делали самолеты опасно неустойчи</w:t>
      </w:r>
      <w:r w:rsidRPr="002F2FDF">
        <w:rPr>
          <w:rFonts w:ascii="Times New Roman" w:hAnsi="Times New Roman" w:cs="Times New Roman"/>
          <w:color w:val="000000" w:themeColor="text1"/>
          <w:kern w:val="2"/>
          <w:sz w:val="16"/>
          <w:szCs w:val="16"/>
        </w:rPr>
        <w:softHyphen/>
        <w:t>выми в воздухе. Скорость в 130-140 км/ч и скороподъемность 2000 м за 15-20 минут признавались недостаточными. Как бы споря с А. В. Колчаком и всеми предшествовавшими замечаниями, примерно в то же самое время “Наставление для боевых действий” Воздушной дивизии Балтийского моря сообщало об М-11:</w:t>
      </w:r>
    </w:p>
    <w:p w14:paraId="2B35C36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“&lt;...&gt; Истребитель поставлен на лыжи для использования его в зимний период года, данные полета те же. В гондоле должны находиться: ручной компас, авиационные приборы и освещение. Полет ночью требует большого навыка и очень труден. Этот аппарат благодаря своей вертикальной и горизонтальной скорости и хорошей управляемости предназначен для атак неприятельских аппаратов в районе своих баз и для воздушного боя. В исключительных случаях в зависимости от обстоятельств места боя может преследовать противника до 25 миль. Для боя над территорией противника аппарат может быть употреблен в исключительных слу</w:t>
      </w:r>
      <w:r w:rsidRPr="002F2FDF">
        <w:rPr>
          <w:rFonts w:ascii="Times New Roman" w:hAnsi="Times New Roman" w:cs="Times New Roman"/>
          <w:color w:val="000000" w:themeColor="text1"/>
          <w:kern w:val="2"/>
          <w:sz w:val="16"/>
          <w:szCs w:val="16"/>
        </w:rPr>
        <w:softHyphen/>
        <w:t xml:space="preserve">чаях, так как запас горючего очень мал (вспомним просьбу от 27 июня! — </w:t>
      </w:r>
      <w:r w:rsidRPr="002F2FDF">
        <w:rPr>
          <w:rFonts w:ascii="Times New Roman" w:hAnsi="Times New Roman" w:cs="Times New Roman"/>
          <w:iCs/>
          <w:color w:val="000000" w:themeColor="text1"/>
          <w:kern w:val="2"/>
          <w:sz w:val="16"/>
          <w:szCs w:val="16"/>
        </w:rPr>
        <w:t xml:space="preserve">А. А.). </w:t>
      </w:r>
      <w:r w:rsidRPr="002F2FDF">
        <w:rPr>
          <w:rFonts w:ascii="Times New Roman" w:hAnsi="Times New Roman" w:cs="Times New Roman"/>
          <w:color w:val="000000" w:themeColor="text1"/>
          <w:kern w:val="2"/>
          <w:sz w:val="16"/>
          <w:szCs w:val="16"/>
        </w:rPr>
        <w:t>Пулемет укреплен неподвижно и линия наводки совмещена с осью полета и слегка приподнята. В срав нении с сухопутными истребителями аппарат типа М-11 не в полной мере отвечает своему назначению, а потому для боя с сухопутными истребителями может быть употреблен только в исключительных случаях. На этот аппарат при наличии зажигательных пуль для пулемета и стрел (реактивных) должна быть возложена атака цеппелина”.</w:t>
      </w:r>
    </w:p>
    <w:p w14:paraId="4896959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Очевидно разноречивая, эта информация преследовала целью укрепление боевого духа морских летчиков, вынужденных воевать на несовершенной технике, уступавшей неприятельской. Что они и делали, хотя каких-то значительных, весомых эпизодов, связанных с аппаратами модели М-11/М-12, не приключилось, что дает основание говорить о сравнительно ограниченном применении этих летающих лодок. Судьба, однако, распорядилась, чтобы одна из них — возможно, с флотским номером 4, принесла единственную, скорее всего, воздушную победу русской черноморской авиации. Третьего декабря 1916 г., отражая налет на Сулин вражеских гидроаэроплана и истребителя, лейтенант Н. А. Рагозин подбил последний, и тот упал или вынужденно сел в море. Успех дался нелегко и стоил 8 пулевых пробоин в нашем самолете (2807).</w:t>
      </w:r>
    </w:p>
    <w:p w14:paraId="53F5CB2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7E5B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23 марта </w:t>
      </w:r>
      <w:r w:rsidR="001B6ED4" w:rsidRPr="002F2FDF">
        <w:rPr>
          <w:rFonts w:ascii="Times New Roman" w:hAnsi="Times New Roman" w:cs="Times New Roman"/>
          <w:color w:val="000000" w:themeColor="text1"/>
          <w:kern w:val="2"/>
          <w:sz w:val="16"/>
          <w:szCs w:val="16"/>
        </w:rPr>
        <w:t xml:space="preserve">(5 апреля) </w:t>
      </w:r>
      <w:r w:rsidRPr="002F2FDF">
        <w:rPr>
          <w:rFonts w:ascii="Times New Roman" w:hAnsi="Times New Roman" w:cs="Times New Roman"/>
          <w:color w:val="000000" w:themeColor="text1"/>
          <w:kern w:val="2"/>
          <w:sz w:val="16"/>
          <w:szCs w:val="16"/>
        </w:rPr>
        <w:t>1917 г. появились жалобы на летно-тактические характе</w:t>
      </w:r>
      <w:r w:rsidRPr="002F2FDF">
        <w:rPr>
          <w:rFonts w:ascii="Times New Roman" w:hAnsi="Times New Roman" w:cs="Times New Roman"/>
          <w:color w:val="000000" w:themeColor="text1"/>
          <w:kern w:val="2"/>
          <w:sz w:val="16"/>
          <w:szCs w:val="16"/>
        </w:rPr>
        <w:softHyphen/>
        <w:t>ристики аппарата М-5. Они содержались в докладе командующего флотом вице-адмирала А. В. Колчака, констатировавшего плохую управляемость летающей лодки — по причине неправильно расположенно</w:t>
      </w:r>
      <w:r w:rsidRPr="002F2FDF">
        <w:rPr>
          <w:rFonts w:ascii="Times New Roman" w:hAnsi="Times New Roman" w:cs="Times New Roman"/>
          <w:color w:val="000000" w:themeColor="text1"/>
          <w:kern w:val="2"/>
          <w:sz w:val="16"/>
          <w:szCs w:val="16"/>
        </w:rPr>
        <w:softHyphen/>
        <w:t>го центра тяжести, трудный взлет с волны — из-за плохих мореходных качеств, неспособность догнать воздушного противника — так как самолеты врага летали со скоростью не менее 110-120 км/ч. Недо</w:t>
      </w:r>
      <w:r w:rsidRPr="002F2FDF">
        <w:rPr>
          <w:rFonts w:ascii="Times New Roman" w:hAnsi="Times New Roman" w:cs="Times New Roman"/>
          <w:color w:val="000000" w:themeColor="text1"/>
          <w:kern w:val="2"/>
          <w:sz w:val="16"/>
          <w:szCs w:val="16"/>
        </w:rPr>
        <w:softHyphen/>
        <w:t>статочная вертикальная скорость — 2 тыс. м за 35-45 минут, и слишком малый рабочий ресурс моторов “Гном-Моносупап” — всего 40-50 часов, усугубляли ситуацию. Без сомнения, А. В. Колчак — человек, в общем-то далекий от авиации, пользовался подготовленными для него данными и отчасти намеренно сгущал краски, так как добивался получения более современной техники. В одном его слова были, безусловно, верны — для 1917 г. тип М-5 сего невысокой горизонтальной и вертикальной скоростью уже устарел или, по крайней мере, устаревал. Конечно, и сам Д. П. Григорович, и другие специалисты сознавали это не хуже флотских авиаторов, а потому попытка оснастить самолет более мощным и надеж</w:t>
      </w:r>
      <w:r w:rsidRPr="002F2FDF">
        <w:rPr>
          <w:rFonts w:ascii="Times New Roman" w:hAnsi="Times New Roman" w:cs="Times New Roman"/>
          <w:color w:val="000000" w:themeColor="text1"/>
          <w:kern w:val="2"/>
          <w:sz w:val="16"/>
          <w:szCs w:val="16"/>
        </w:rPr>
        <w:softHyphen/>
        <w:t>ным двигателем не заставила себя ждать слишком долго. Она привела к созданию модели М-20 (см. часть 2) (2807).</w:t>
      </w:r>
    </w:p>
    <w:p w14:paraId="65880A6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04A66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23 марта </w:t>
      </w:r>
      <w:r w:rsidR="001B6ED4" w:rsidRPr="002F2FDF">
        <w:rPr>
          <w:rFonts w:ascii="Times New Roman" w:hAnsi="Times New Roman" w:cs="Times New Roman"/>
          <w:color w:val="000000" w:themeColor="text1"/>
          <w:kern w:val="2"/>
          <w:sz w:val="16"/>
          <w:szCs w:val="16"/>
        </w:rPr>
        <w:t xml:space="preserve">(5 апреля) </w:t>
      </w:r>
      <w:r w:rsidRPr="002F2FDF">
        <w:rPr>
          <w:rFonts w:ascii="Times New Roman" w:hAnsi="Times New Roman" w:cs="Times New Roman"/>
          <w:color w:val="000000" w:themeColor="text1"/>
          <w:kern w:val="2"/>
          <w:sz w:val="16"/>
          <w:szCs w:val="16"/>
        </w:rPr>
        <w:t>1917 командующий Черноморским флотом вице-адми</w:t>
      </w:r>
      <w:r w:rsidRPr="002F2FDF">
        <w:rPr>
          <w:rFonts w:ascii="Times New Roman" w:hAnsi="Times New Roman" w:cs="Times New Roman"/>
          <w:color w:val="000000" w:themeColor="text1"/>
          <w:kern w:val="2"/>
          <w:sz w:val="16"/>
          <w:szCs w:val="16"/>
        </w:rPr>
        <w:softHyphen/>
        <w:t>рал А. В. Колчак суммировал в своем докладе, что поступавшие с завода летающие лодки обладали многочисленными недостатками, включавшими аккуратно замаскированные пробоины корпусов (!), течи бензопроводов и баков, расклеивавшиеся через 3-4 часа работы пропеллеры и пр. По его словам, гидроаэропланы типа М-9 при скорости до 110 км/ч и скороподъемности 2000 м за 50-70 минут могли — из-за общей перегрузки—достигнуть названной боевой высоты только при исключительно хорошей работе мотора и, таким образом, являли неспособность подняться выше самолетов противника, всегда державшихся на 2-2,5 тыс. м. Это сковывало инициативу наших пилотов, вынужденных летать на 1,6-1,7 тыс. м и потому подвергавшихся сильному воздействию зенитного огня. Дабы остановить поток брака, Колчак, выражая интересы морских летчиков, предлагал утвердить следующие сдаточные усло</w:t>
      </w:r>
      <w:r w:rsidRPr="002F2FDF">
        <w:rPr>
          <w:rFonts w:ascii="Times New Roman" w:hAnsi="Times New Roman" w:cs="Times New Roman"/>
          <w:color w:val="000000" w:themeColor="text1"/>
          <w:kern w:val="2"/>
          <w:sz w:val="16"/>
          <w:szCs w:val="16"/>
        </w:rPr>
        <w:softHyphen/>
        <w:t>вия для строившихся М-9: полет на 3 тыс. м в течение 3 часов на скорости до 120 км/ч плюс способность оперировать на море при волнении высотой до 1,5 м. Без сомнения, аппараты данной модели не выдержа</w:t>
      </w:r>
      <w:r w:rsidRPr="002F2FDF">
        <w:rPr>
          <w:rFonts w:ascii="Times New Roman" w:hAnsi="Times New Roman" w:cs="Times New Roman"/>
          <w:color w:val="000000" w:themeColor="text1"/>
          <w:kern w:val="2"/>
          <w:sz w:val="16"/>
          <w:szCs w:val="16"/>
        </w:rPr>
        <w:softHyphen/>
        <w:t>ли бы таких нагрузок и заявленный план следовало рассматривать лишь как попытку добиться поставок более современной техники взамен устаревшей (2807).</w:t>
      </w:r>
    </w:p>
    <w:p w14:paraId="6071919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8AB19C" w14:textId="77777777" w:rsidR="0040389F" w:rsidRPr="00FB4F67" w:rsidRDefault="0040389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23 марта (5 апреля) 1917 г. в России в Севастополе командующий Черноморским Флотом России адмирал А.В. Колчак направил в Петербург доклад о состоянии дел в морской авиации, в котором отмечал, что летающие лодки М-5 и М-9 поступают с завода «Гамаюн» с многочисленными недостатками по размещению вооружения и качеству изготовления, а их моторы не обеспечивают достаточных летных данных. Но никаких мер во исправление создавшегося положения ни владелец завода С.С. Щетинин, ни Морское ведомство не предприняли, хотя конструкторы Григорович и Седельников их предлагали (23594).</w:t>
      </w:r>
    </w:p>
    <w:p w14:paraId="79CC5515" w14:textId="77777777" w:rsidR="0040389F" w:rsidRPr="00FB4F67" w:rsidRDefault="0040389F" w:rsidP="0083075A">
      <w:pPr>
        <w:spacing w:after="0" w:line="240" w:lineRule="auto"/>
        <w:jc w:val="both"/>
        <w:rPr>
          <w:rFonts w:ascii="Times New Roman" w:hAnsi="Times New Roman" w:cs="Times New Roman"/>
          <w:color w:val="0070C0"/>
          <w:sz w:val="16"/>
          <w:szCs w:val="16"/>
        </w:rPr>
      </w:pPr>
    </w:p>
    <w:p w14:paraId="7FEB40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23 марта </w:t>
      </w:r>
      <w:r w:rsidR="001B6ED4" w:rsidRPr="002F2FDF">
        <w:rPr>
          <w:rFonts w:ascii="Times New Roman" w:hAnsi="Times New Roman" w:cs="Times New Roman"/>
          <w:color w:val="000000" w:themeColor="text1"/>
          <w:kern w:val="2"/>
          <w:sz w:val="16"/>
          <w:szCs w:val="16"/>
        </w:rPr>
        <w:t xml:space="preserve">(5 апреля) </w:t>
      </w:r>
      <w:r w:rsidRPr="002F2FDF">
        <w:rPr>
          <w:rFonts w:ascii="Times New Roman" w:hAnsi="Times New Roman" w:cs="Times New Roman"/>
          <w:color w:val="000000" w:themeColor="text1"/>
          <w:kern w:val="2"/>
          <w:sz w:val="16"/>
          <w:szCs w:val="16"/>
        </w:rPr>
        <w:t>1917 в докладе А.В. Колчака с критикой самолётов М-5 не оставили без внимания и М-9. И опять высказы</w:t>
      </w:r>
      <w:r w:rsidRPr="002F2FDF">
        <w:rPr>
          <w:rFonts w:ascii="Times New Roman" w:hAnsi="Times New Roman" w:cs="Times New Roman"/>
          <w:color w:val="000000" w:themeColor="text1"/>
          <w:kern w:val="2"/>
          <w:sz w:val="16"/>
          <w:szCs w:val="16"/>
        </w:rPr>
        <w:softHyphen/>
        <w:t>вались претензии к малой скоро</w:t>
      </w:r>
      <w:r w:rsidRPr="002F2FDF">
        <w:rPr>
          <w:rFonts w:ascii="Times New Roman" w:hAnsi="Times New Roman" w:cs="Times New Roman"/>
          <w:color w:val="000000" w:themeColor="text1"/>
          <w:kern w:val="2"/>
          <w:sz w:val="16"/>
          <w:szCs w:val="16"/>
        </w:rPr>
        <w:softHyphen/>
        <w:t>подъёмности, горизонтальной скорости, возрастанию производствен</w:t>
      </w:r>
      <w:r w:rsidRPr="002F2FDF">
        <w:rPr>
          <w:rFonts w:ascii="Times New Roman" w:hAnsi="Times New Roman" w:cs="Times New Roman"/>
          <w:color w:val="000000" w:themeColor="text1"/>
          <w:kern w:val="2"/>
          <w:sz w:val="16"/>
          <w:szCs w:val="16"/>
        </w:rPr>
        <w:softHyphen/>
        <w:t>ного брака (аккуратно маскирова</w:t>
      </w:r>
      <w:r w:rsidRPr="002F2FDF">
        <w:rPr>
          <w:rFonts w:ascii="Times New Roman" w:hAnsi="Times New Roman" w:cs="Times New Roman"/>
          <w:color w:val="000000" w:themeColor="text1"/>
          <w:kern w:val="2"/>
          <w:sz w:val="16"/>
          <w:szCs w:val="16"/>
        </w:rPr>
        <w:softHyphen/>
        <w:t>лись пробоины корпуса лодки, воз</w:t>
      </w:r>
      <w:r w:rsidRPr="002F2FDF">
        <w:rPr>
          <w:rFonts w:ascii="Times New Roman" w:hAnsi="Times New Roman" w:cs="Times New Roman"/>
          <w:color w:val="000000" w:themeColor="text1"/>
          <w:kern w:val="2"/>
          <w:sz w:val="16"/>
          <w:szCs w:val="16"/>
        </w:rPr>
        <w:softHyphen/>
        <w:t>душные винты расклеивались через несколько часов работы, трубопро</w:t>
      </w:r>
      <w:r w:rsidRPr="002F2FDF">
        <w:rPr>
          <w:rFonts w:ascii="Times New Roman" w:hAnsi="Times New Roman" w:cs="Times New Roman"/>
          <w:color w:val="000000" w:themeColor="text1"/>
          <w:kern w:val="2"/>
          <w:sz w:val="16"/>
          <w:szCs w:val="16"/>
        </w:rPr>
        <w:softHyphen/>
        <w:t>воды бензоситемы разного диамет</w:t>
      </w:r>
      <w:r w:rsidRPr="002F2FDF">
        <w:rPr>
          <w:rFonts w:ascii="Times New Roman" w:hAnsi="Times New Roman" w:cs="Times New Roman"/>
          <w:color w:val="000000" w:themeColor="text1"/>
          <w:kern w:val="2"/>
          <w:sz w:val="16"/>
          <w:szCs w:val="16"/>
        </w:rPr>
        <w:softHyphen/>
        <w:t>ра соединялись резиновыми дюри- тами и др.). На этот раз диапазон претензий не только расширился, но и появились новые и в частно</w:t>
      </w:r>
      <w:r w:rsidRPr="002F2FDF">
        <w:rPr>
          <w:rFonts w:ascii="Times New Roman" w:hAnsi="Times New Roman" w:cs="Times New Roman"/>
          <w:color w:val="000000" w:themeColor="text1"/>
          <w:kern w:val="2"/>
          <w:sz w:val="16"/>
          <w:szCs w:val="16"/>
        </w:rPr>
        <w:softHyphen/>
        <w:t>сти требование ужесточить усло</w:t>
      </w:r>
      <w:r w:rsidRPr="002F2FDF">
        <w:rPr>
          <w:rFonts w:ascii="Times New Roman" w:hAnsi="Times New Roman" w:cs="Times New Roman"/>
          <w:color w:val="000000" w:themeColor="text1"/>
          <w:kern w:val="2"/>
          <w:sz w:val="16"/>
          <w:szCs w:val="16"/>
        </w:rPr>
        <w:softHyphen/>
        <w:t>вия сдаточных испытаний для М-9 (предусмотреть полёт на высоте 3000 м. в течении 3 ч. взлёт и по</w:t>
      </w:r>
      <w:r w:rsidRPr="002F2FDF">
        <w:rPr>
          <w:rFonts w:ascii="Times New Roman" w:hAnsi="Times New Roman" w:cs="Times New Roman"/>
          <w:color w:val="000000" w:themeColor="text1"/>
          <w:kern w:val="2"/>
          <w:sz w:val="16"/>
          <w:szCs w:val="16"/>
        </w:rPr>
        <w:softHyphen/>
        <w:t>садка при высоте волн до 1,5 м). Одно из пожеланий - установка двигателя мощностью 160 л.с. Та</w:t>
      </w:r>
      <w:r w:rsidRPr="002F2FDF">
        <w:rPr>
          <w:rFonts w:ascii="Times New Roman" w:hAnsi="Times New Roman" w:cs="Times New Roman"/>
          <w:color w:val="000000" w:themeColor="text1"/>
          <w:kern w:val="2"/>
          <w:sz w:val="16"/>
          <w:szCs w:val="16"/>
        </w:rPr>
        <w:softHyphen/>
        <w:t>кая доработка производилась, но ничего не дала. Недостаточно вы</w:t>
      </w:r>
      <w:r w:rsidRPr="002F2FDF">
        <w:rPr>
          <w:rFonts w:ascii="Times New Roman" w:hAnsi="Times New Roman" w:cs="Times New Roman"/>
          <w:color w:val="000000" w:themeColor="text1"/>
          <w:kern w:val="2"/>
          <w:sz w:val="16"/>
          <w:szCs w:val="16"/>
        </w:rPr>
        <w:softHyphen/>
        <w:t>сокие характеристики самолёта объяснялись значительным лобовым сопротивлением, которое создава</w:t>
      </w:r>
      <w:r w:rsidRPr="002F2FDF">
        <w:rPr>
          <w:rFonts w:ascii="Times New Roman" w:hAnsi="Times New Roman" w:cs="Times New Roman"/>
          <w:color w:val="000000" w:themeColor="text1"/>
          <w:kern w:val="2"/>
          <w:sz w:val="16"/>
          <w:szCs w:val="16"/>
        </w:rPr>
        <w:softHyphen/>
        <w:t>ли девятицилиндровый звездообраз</w:t>
      </w:r>
      <w:r w:rsidRPr="002F2FDF">
        <w:rPr>
          <w:rFonts w:ascii="Times New Roman" w:hAnsi="Times New Roman" w:cs="Times New Roman"/>
          <w:color w:val="000000" w:themeColor="text1"/>
          <w:kern w:val="2"/>
          <w:sz w:val="16"/>
          <w:szCs w:val="16"/>
        </w:rPr>
        <w:softHyphen/>
        <w:t>ный двигатель, радиаторы, возду- хоприёмники, и множество стоек, тросов, расчалок и т.п. Наиболее серьёзные претензии поступали из авиации флотов, а позиция Морс</w:t>
      </w:r>
      <w:r w:rsidRPr="002F2FDF">
        <w:rPr>
          <w:rFonts w:ascii="Times New Roman" w:hAnsi="Times New Roman" w:cs="Times New Roman"/>
          <w:color w:val="000000" w:themeColor="text1"/>
          <w:kern w:val="2"/>
          <w:sz w:val="16"/>
          <w:szCs w:val="16"/>
        </w:rPr>
        <w:softHyphen/>
        <w:t>кого генерального штаба по неко</w:t>
      </w:r>
      <w:r w:rsidRPr="002F2FDF">
        <w:rPr>
          <w:rFonts w:ascii="Times New Roman" w:hAnsi="Times New Roman" w:cs="Times New Roman"/>
          <w:color w:val="000000" w:themeColor="text1"/>
          <w:kern w:val="2"/>
          <w:sz w:val="16"/>
          <w:szCs w:val="16"/>
        </w:rPr>
        <w:softHyphen/>
        <w:t>торым вопросам качества техники и организации её испытаний вызы</w:t>
      </w:r>
      <w:r w:rsidRPr="002F2FDF">
        <w:rPr>
          <w:rFonts w:ascii="Times New Roman" w:hAnsi="Times New Roman" w:cs="Times New Roman"/>
          <w:color w:val="000000" w:themeColor="text1"/>
          <w:kern w:val="2"/>
          <w:sz w:val="16"/>
          <w:szCs w:val="16"/>
        </w:rPr>
        <w:softHyphen/>
        <w:t>вала недоумение. В то время (18 апреля 1917 г.), когда черноморцы излагали свои претензии и предло</w:t>
      </w:r>
      <w:r w:rsidRPr="002F2FDF">
        <w:rPr>
          <w:rFonts w:ascii="Times New Roman" w:hAnsi="Times New Roman" w:cs="Times New Roman"/>
          <w:color w:val="000000" w:themeColor="text1"/>
          <w:kern w:val="2"/>
          <w:sz w:val="16"/>
          <w:szCs w:val="16"/>
        </w:rPr>
        <w:softHyphen/>
        <w:t>жения, наблюдающий за выпуском самолётов подпоручик Эрдели пред</w:t>
      </w:r>
      <w:r w:rsidRPr="002F2FDF">
        <w:rPr>
          <w:rFonts w:ascii="Times New Roman" w:hAnsi="Times New Roman" w:cs="Times New Roman"/>
          <w:color w:val="000000" w:themeColor="text1"/>
          <w:kern w:val="2"/>
          <w:sz w:val="16"/>
          <w:szCs w:val="16"/>
        </w:rPr>
        <w:softHyphen/>
        <w:t>ложил отправлять самолёты в час</w:t>
      </w:r>
      <w:r w:rsidRPr="002F2FDF">
        <w:rPr>
          <w:rFonts w:ascii="Times New Roman" w:hAnsi="Times New Roman" w:cs="Times New Roman"/>
          <w:color w:val="000000" w:themeColor="text1"/>
          <w:kern w:val="2"/>
          <w:sz w:val="16"/>
          <w:szCs w:val="16"/>
        </w:rPr>
        <w:softHyphen/>
        <w:t>ти без испытаний, опробуя лишь моторы. Он аргументировал свой план следующим: «все части лета</w:t>
      </w:r>
      <w:r w:rsidRPr="002F2FDF">
        <w:rPr>
          <w:rFonts w:ascii="Times New Roman" w:hAnsi="Times New Roman" w:cs="Times New Roman"/>
          <w:color w:val="000000" w:themeColor="text1"/>
          <w:kern w:val="2"/>
          <w:sz w:val="16"/>
          <w:szCs w:val="16"/>
        </w:rPr>
        <w:softHyphen/>
        <w:t>ющих лодок производились по шаб</w:t>
      </w:r>
      <w:r w:rsidRPr="002F2FDF">
        <w:rPr>
          <w:rFonts w:ascii="Times New Roman" w:hAnsi="Times New Roman" w:cs="Times New Roman"/>
          <w:color w:val="000000" w:themeColor="text1"/>
          <w:kern w:val="2"/>
          <w:sz w:val="16"/>
          <w:szCs w:val="16"/>
        </w:rPr>
        <w:softHyphen/>
        <w:t>лонам, многие штамповались, а потому гидроаэропланы выходили со стапелей почти идентичными, отличаясь только характеристика</w:t>
      </w:r>
      <w:r w:rsidRPr="002F2FDF">
        <w:rPr>
          <w:rFonts w:ascii="Times New Roman" w:hAnsi="Times New Roman" w:cs="Times New Roman"/>
          <w:color w:val="000000" w:themeColor="text1"/>
          <w:kern w:val="2"/>
          <w:sz w:val="16"/>
          <w:szCs w:val="16"/>
        </w:rPr>
        <w:softHyphen/>
        <w:t>ми своих силовых установок. Вслед</w:t>
      </w:r>
      <w:r w:rsidRPr="002F2FDF">
        <w:rPr>
          <w:rFonts w:ascii="Times New Roman" w:hAnsi="Times New Roman" w:cs="Times New Roman"/>
          <w:color w:val="000000" w:themeColor="text1"/>
          <w:kern w:val="2"/>
          <w:sz w:val="16"/>
          <w:szCs w:val="16"/>
        </w:rPr>
        <w:softHyphen/>
        <w:t>ствие этого было достаточно про</w:t>
      </w:r>
      <w:r w:rsidRPr="002F2FDF">
        <w:rPr>
          <w:rFonts w:ascii="Times New Roman" w:hAnsi="Times New Roman" w:cs="Times New Roman"/>
          <w:color w:val="000000" w:themeColor="text1"/>
          <w:kern w:val="2"/>
          <w:sz w:val="16"/>
          <w:szCs w:val="16"/>
        </w:rPr>
        <w:softHyphen/>
        <w:t>верять по полной программе лишь двигатели и один аппарат из каж</w:t>
      </w:r>
      <w:r w:rsidRPr="002F2FDF">
        <w:rPr>
          <w:rFonts w:ascii="Times New Roman" w:hAnsi="Times New Roman" w:cs="Times New Roman"/>
          <w:color w:val="000000" w:themeColor="text1"/>
          <w:kern w:val="2"/>
          <w:sz w:val="16"/>
          <w:szCs w:val="16"/>
        </w:rPr>
        <w:softHyphen/>
        <w:t>дых 10 построенных». Безусловно, это справедливо, если имеется вы</w:t>
      </w:r>
      <w:r w:rsidRPr="002F2FDF">
        <w:rPr>
          <w:rFonts w:ascii="Times New Roman" w:hAnsi="Times New Roman" w:cs="Times New Roman"/>
          <w:color w:val="000000" w:themeColor="text1"/>
          <w:kern w:val="2"/>
          <w:sz w:val="16"/>
          <w:szCs w:val="16"/>
        </w:rPr>
        <w:softHyphen/>
        <w:t>сокая культура производства, но как раз этого и не было! Тем не менее, командование воздушных дивизий, заинтересованное в быстрейшем прибытии новой техники, поддержа</w:t>
      </w:r>
      <w:r w:rsidRPr="002F2FDF">
        <w:rPr>
          <w:rFonts w:ascii="Times New Roman" w:hAnsi="Times New Roman" w:cs="Times New Roman"/>
          <w:color w:val="000000" w:themeColor="text1"/>
          <w:kern w:val="2"/>
          <w:sz w:val="16"/>
          <w:szCs w:val="16"/>
        </w:rPr>
        <w:softHyphen/>
        <w:t>ло идею Эрдели, но приказало оп- робывать всякий самолет по дос</w:t>
      </w:r>
      <w:r w:rsidRPr="002F2FDF">
        <w:rPr>
          <w:rFonts w:ascii="Times New Roman" w:hAnsi="Times New Roman" w:cs="Times New Roman"/>
          <w:color w:val="000000" w:themeColor="text1"/>
          <w:kern w:val="2"/>
          <w:sz w:val="16"/>
          <w:szCs w:val="16"/>
        </w:rPr>
        <w:softHyphen/>
        <w:t>тавлении его в часть, а в случае каких-либо неполадок, недора</w:t>
      </w:r>
      <w:r w:rsidRPr="002F2FDF">
        <w:rPr>
          <w:rFonts w:ascii="Times New Roman" w:hAnsi="Times New Roman" w:cs="Times New Roman"/>
          <w:color w:val="000000" w:themeColor="text1"/>
          <w:kern w:val="2"/>
          <w:sz w:val="16"/>
          <w:szCs w:val="16"/>
        </w:rPr>
        <w:softHyphen/>
        <w:t>зумений или сомнений, требовать от завода официальной сдачи де</w:t>
      </w:r>
      <w:r w:rsidRPr="002F2FDF">
        <w:rPr>
          <w:rFonts w:ascii="Times New Roman" w:hAnsi="Times New Roman" w:cs="Times New Roman"/>
          <w:color w:val="000000" w:themeColor="text1"/>
          <w:kern w:val="2"/>
          <w:sz w:val="16"/>
          <w:szCs w:val="16"/>
        </w:rPr>
        <w:softHyphen/>
        <w:t>фектной машины на месте, то есть в Ревеле, Або или Севастополе. 2 мая 1917 г. Морской генеральный штаб сообщил об этом в Главное управление кораблестроения. Как можно заметить, вопросам качества изготовления достаточного внима</w:t>
      </w:r>
      <w:r w:rsidRPr="002F2FDF">
        <w:rPr>
          <w:rFonts w:ascii="Times New Roman" w:hAnsi="Times New Roman" w:cs="Times New Roman"/>
          <w:color w:val="000000" w:themeColor="text1"/>
          <w:kern w:val="2"/>
          <w:sz w:val="16"/>
          <w:szCs w:val="16"/>
        </w:rPr>
        <w:softHyphen/>
        <w:t>ния не уделялось (11872).</w:t>
      </w:r>
    </w:p>
    <w:p w14:paraId="7F18FE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E4757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37BD5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1C82D4" w14:textId="256248D0" w:rsidR="00342516" w:rsidRPr="00FB4F67" w:rsidRDefault="00342516" w:rsidP="0083075A">
      <w:pPr>
        <w:spacing w:after="0" w:line="240" w:lineRule="auto"/>
        <w:jc w:val="both"/>
        <w:rPr>
          <w:rFonts w:ascii="Times New Roman" w:hAnsi="Times New Roman" w:cs="Times New Roman"/>
          <w:color w:val="0070C0"/>
          <w:sz w:val="16"/>
          <w:szCs w:val="16"/>
        </w:rPr>
      </w:pPr>
      <w:bookmarkStart w:id="63" w:name="bookmark715"/>
      <w:r>
        <w:rPr>
          <w:rFonts w:ascii="Times New Roman" w:hAnsi="Times New Roman" w:cs="Times New Roman"/>
          <w:color w:val="0070C0"/>
          <w:sz w:val="16"/>
          <w:szCs w:val="16"/>
        </w:rPr>
        <w:t>23 марта (</w:t>
      </w:r>
      <w:r w:rsidRPr="00FB4F67">
        <w:rPr>
          <w:rFonts w:ascii="Times New Roman" w:hAnsi="Times New Roman" w:cs="Times New Roman"/>
          <w:color w:val="0070C0"/>
          <w:sz w:val="16"/>
          <w:szCs w:val="16"/>
        </w:rPr>
        <w:t>3 апреля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Великий Князь Александр Михайлович официально ушел с поста Генерального инспектора Военно-Воздушного Флота. Затем «АВИАКАНЦ» был включен в состав Полевого управления авиации и воздухоплавания (АВИАДАРМ) со штаб-квартирой в Ставке. Поскольку он был Романовым, Временное правительство сослало его в свое имение в Крыму. Все еще живя там в ноябре 1917 года, он был помещен под домашний арест большевиками, но позже был освобожден, когда немцы вошли в Крым в марте 1918 года. крейсер. Великий князь присутствовал на мирных переговорах по Версальскому договору от имени белых, но его в основном игнорировали. Он умер на юге Франции 26 февраля 1933 года (23525).</w:t>
      </w:r>
    </w:p>
    <w:p w14:paraId="62D3F720" w14:textId="77777777" w:rsidR="00342516" w:rsidRPr="00FB4F67" w:rsidRDefault="00342516" w:rsidP="0083075A">
      <w:pPr>
        <w:spacing w:after="0" w:line="240" w:lineRule="auto"/>
        <w:jc w:val="both"/>
        <w:rPr>
          <w:rFonts w:ascii="Times New Roman" w:hAnsi="Times New Roman" w:cs="Times New Roman"/>
          <w:color w:val="0070C0"/>
          <w:sz w:val="16"/>
          <w:szCs w:val="16"/>
        </w:rPr>
      </w:pPr>
    </w:p>
    <w:p w14:paraId="78BC66FB" w14:textId="2B18BB6F" w:rsidR="00342516" w:rsidRPr="00FB4F67" w:rsidRDefault="0034251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23 марта (</w:t>
      </w:r>
      <w:r w:rsidRPr="00FB4F67">
        <w:rPr>
          <w:rFonts w:ascii="Times New Roman" w:hAnsi="Times New Roman" w:cs="Times New Roman"/>
          <w:color w:val="0070C0"/>
          <w:sz w:val="16"/>
          <w:szCs w:val="16"/>
        </w:rPr>
        <w:t>3 апреля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Московской авиационной школе британский майор Джеймс Валентайн начал формирование звена с российскими пилотами, пятью BE2c и пятью Vickers FB19. Из-за неразберихи в командовании ВВС России британские самолеты задержались с отправкой на фронт. Некоторые русские летчики, прошедшие подготовку на британских самолетах, были вынуждены летать на других типах, а часть британских самолетов, отправленных на фронт, поступала в не обученные на них части. Во избежание дальнейшей путаницы было решено создать в Тарнополе учебную эскадрилью RFC, куда они прибыли 10 июня в составе двенадцати самолетов (23525).</w:t>
      </w:r>
    </w:p>
    <w:p w14:paraId="6EC79BA6" w14:textId="77777777" w:rsidR="00342516" w:rsidRPr="00FB4F67" w:rsidRDefault="00342516" w:rsidP="0083075A">
      <w:pPr>
        <w:spacing w:after="0" w:line="240" w:lineRule="auto"/>
        <w:jc w:val="both"/>
        <w:rPr>
          <w:rFonts w:ascii="Times New Roman" w:hAnsi="Times New Roman" w:cs="Times New Roman"/>
          <w:color w:val="0070C0"/>
          <w:sz w:val="16"/>
          <w:szCs w:val="16"/>
        </w:rPr>
      </w:pPr>
    </w:p>
    <w:p w14:paraId="3C3744DF" w14:textId="0E834B3E" w:rsidR="0040389F" w:rsidRPr="00FB4F67" w:rsidRDefault="0040389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23 марта </w:t>
      </w:r>
      <w:r>
        <w:rPr>
          <w:rFonts w:ascii="Times New Roman" w:hAnsi="Times New Roman" w:cs="Times New Roman"/>
          <w:color w:val="0070C0"/>
          <w:sz w:val="16"/>
          <w:szCs w:val="16"/>
        </w:rPr>
        <w:t xml:space="preserve">(3 апреля) </w:t>
      </w:r>
      <w:r w:rsidRPr="00FB4F67">
        <w:rPr>
          <w:rFonts w:ascii="Times New Roman" w:hAnsi="Times New Roman" w:cs="Times New Roman"/>
          <w:color w:val="0070C0"/>
          <w:sz w:val="16"/>
          <w:szCs w:val="16"/>
        </w:rPr>
        <w:t>1917 г. в следующем бою в районе д. Космичевки самолет Гусева был сбит (летчик погиб, летнаб штабс-капитан Ф.Ф. Лазовский попал в плен). Наши летчики были награждены орденом Святого Георгия IV степени. Этот бой стоил противнику также сбитого летательного аппарата.</w:t>
      </w:r>
    </w:p>
    <w:p w14:paraId="2F59FA47" w14:textId="77777777" w:rsidR="0040389F" w:rsidRPr="00FB4F67" w:rsidRDefault="0040389F" w:rsidP="0083075A">
      <w:pPr>
        <w:spacing w:after="0" w:line="240" w:lineRule="auto"/>
        <w:jc w:val="both"/>
        <w:rPr>
          <w:rFonts w:ascii="Times New Roman" w:hAnsi="Times New Roman" w:cs="Times New Roman"/>
          <w:color w:val="0070C0"/>
          <w:sz w:val="16"/>
          <w:szCs w:val="16"/>
        </w:rPr>
      </w:pPr>
    </w:p>
    <w:bookmarkEnd w:id="63"/>
    <w:p w14:paraId="20AF574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23 марта (5 апреля) 1917 начался очередной поход к Босфору трех гидро</w:t>
      </w:r>
      <w:r w:rsidRPr="002F2FDF">
        <w:rPr>
          <w:rFonts w:ascii="Times New Roman" w:hAnsi="Times New Roman" w:cs="Times New Roman"/>
          <w:color w:val="000000" w:themeColor="text1"/>
          <w:kern w:val="2"/>
          <w:sz w:val="16"/>
          <w:szCs w:val="16"/>
        </w:rPr>
        <w:softHyphen/>
        <w:t>крейсеров в охранении четырех эсминцев под командованием начальника Воздушной дивизии с целью разведки обороны вхо</w:t>
      </w:r>
      <w:r w:rsidRPr="002F2FDF">
        <w:rPr>
          <w:rFonts w:ascii="Times New Roman" w:hAnsi="Times New Roman" w:cs="Times New Roman"/>
          <w:color w:val="000000" w:themeColor="text1"/>
          <w:kern w:val="2"/>
          <w:sz w:val="16"/>
          <w:szCs w:val="16"/>
        </w:rPr>
        <w:softHyphen/>
        <w:t>да в пролив. Тщательная подготовка и благоприятная погода способствовали успешному выполнению задачи, несмотря на плотный заградительный огонь. Экипажи 8 летающих лодок сделали много удачных фотоснимков и сбросили на артбата-реи семь пудовых бомб. В следующий день 3 вражеских аэроплана - один за другим - несколько раз атаковали наши корабли, совершавшие ма</w:t>
      </w:r>
      <w:r w:rsidRPr="002F2FDF">
        <w:rPr>
          <w:rFonts w:ascii="Times New Roman" w:hAnsi="Times New Roman" w:cs="Times New Roman"/>
          <w:color w:val="000000" w:themeColor="text1"/>
          <w:kern w:val="2"/>
          <w:sz w:val="16"/>
          <w:szCs w:val="16"/>
        </w:rPr>
        <w:softHyphen/>
        <w:t>невры и открывавшие огонь. Гидрокрейсер “Император Ни</w:t>
      </w:r>
      <w:r w:rsidRPr="002F2FDF">
        <w:rPr>
          <w:rFonts w:ascii="Times New Roman" w:hAnsi="Times New Roman" w:cs="Times New Roman"/>
          <w:color w:val="000000" w:themeColor="text1"/>
          <w:kern w:val="2"/>
          <w:sz w:val="16"/>
          <w:szCs w:val="16"/>
        </w:rPr>
        <w:softHyphen/>
        <w:t>колай I” уклонился от попадания 9 бомб. Обнаружив при</w:t>
      </w:r>
      <w:r w:rsidRPr="002F2FDF">
        <w:rPr>
          <w:rFonts w:ascii="Times New Roman" w:hAnsi="Times New Roman" w:cs="Times New Roman"/>
          <w:color w:val="000000" w:themeColor="text1"/>
          <w:kern w:val="2"/>
          <w:sz w:val="16"/>
          <w:szCs w:val="16"/>
        </w:rPr>
        <w:softHyphen/>
        <w:t>ближение второго аэроплана, наши воины - летчик прапорщик Михаил Кулевич и стрелок поручик Василий Остроградский - на истребителе “М-11” шесть раз вступали в схватки с “Альбатросом” и прогнали его прочь. Заметим, что в середине боя истребитель получил 18 пулевых пробоин, его мотор стал работать с перебоями, но храбрецы продолжали выполнять боевую задачу. Третий аэроплан противника напал на эсми</w:t>
      </w:r>
      <w:r w:rsidRPr="002F2FDF">
        <w:rPr>
          <w:rFonts w:ascii="Times New Roman" w:hAnsi="Times New Roman" w:cs="Times New Roman"/>
          <w:color w:val="000000" w:themeColor="text1"/>
          <w:kern w:val="2"/>
          <w:sz w:val="16"/>
          <w:szCs w:val="16"/>
        </w:rPr>
        <w:softHyphen/>
        <w:t>нец “Поспешный” и сбросил 4 бомбы, не причинившие кораб</w:t>
      </w:r>
      <w:r w:rsidRPr="002F2FDF">
        <w:rPr>
          <w:rFonts w:ascii="Times New Roman" w:hAnsi="Times New Roman" w:cs="Times New Roman"/>
          <w:color w:val="000000" w:themeColor="text1"/>
          <w:kern w:val="2"/>
          <w:sz w:val="16"/>
          <w:szCs w:val="16"/>
        </w:rPr>
        <w:softHyphen/>
        <w:t>лю даже мелких повреждений [16].</w:t>
      </w:r>
    </w:p>
    <w:p w14:paraId="01B31B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F4224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23 марта </w:t>
      </w:r>
      <w:r w:rsidR="001B6ED4" w:rsidRPr="002F2FDF">
        <w:rPr>
          <w:rFonts w:ascii="Times New Roman" w:hAnsi="Times New Roman" w:cs="Times New Roman"/>
          <w:color w:val="000000" w:themeColor="text1"/>
          <w:kern w:val="2"/>
          <w:sz w:val="16"/>
          <w:szCs w:val="16"/>
        </w:rPr>
        <w:t xml:space="preserve">(5 апреля) </w:t>
      </w:r>
      <w:r w:rsidRPr="002F2FDF">
        <w:rPr>
          <w:rFonts w:ascii="Times New Roman" w:hAnsi="Times New Roman" w:cs="Times New Roman"/>
          <w:color w:val="000000" w:themeColor="text1"/>
          <w:kern w:val="2"/>
          <w:sz w:val="16"/>
          <w:szCs w:val="16"/>
        </w:rPr>
        <w:t>1917 состоялся очередной поход к Босфору трех гидротранспортов в охранении четырех эсминцев, чтобы выявить состояние оборонительных сооружений на входе в пролив. Восемь экипажей с заданием справились, получили много удачных аэрофотоснимков и сбросили на артиллерийские батареи семь пудовых бомб. При повторении похода на следующий день три вражеских самолёта несколько раз атаковали наши корабли. Авиатранспорт "Император Николай I" уклонился от попадания 9 бомб. Обнаружив приближение второго аэроплана, летчик прапорщик Михаил Кулевич и стрелок поручик Василий Остроградский на истребителе "М-11" отогнали "Альбатрос". Несмотря на то, что из-за повреждений мотор стал работать с перебоями, экипаж продолжал полёт. Третий самолёт противника сбросил четыре бомбы на эсминец "Поспешный" не причинившие ему вреда (11933).</w:t>
      </w:r>
    </w:p>
    <w:p w14:paraId="37884C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F9A1D7" w14:textId="77777777" w:rsidR="00F94E09"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DC269A1" w14:textId="77777777" w:rsidR="00F94E09" w:rsidRPr="002F2FDF" w:rsidRDefault="00F94E0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5B2BFE" w14:textId="77777777" w:rsidR="00F94E09" w:rsidRPr="002F2FDF" w:rsidRDefault="00F94E09" w:rsidP="0083075A">
      <w:pPr>
        <w:pStyle w:val="ae"/>
        <w:spacing w:before="0" w:after="0"/>
        <w:jc w:val="both"/>
        <w:rPr>
          <w:color w:val="000000" w:themeColor="text1"/>
          <w:kern w:val="2"/>
          <w:sz w:val="16"/>
          <w:szCs w:val="16"/>
        </w:rPr>
      </w:pPr>
      <w:r w:rsidRPr="002F2FDF">
        <w:rPr>
          <w:color w:val="000000" w:themeColor="text1"/>
          <w:kern w:val="2"/>
          <w:sz w:val="16"/>
          <w:szCs w:val="16"/>
        </w:rPr>
        <w:t>23 марта (5 апреля) 1917 в Петрограде на Марсовом поле прошли похороны 250 участников демонстраций и столкновений с войсками и полицией, погибших в первые дни Февральской революции. Похороны вылились в грандиозный митинг, который собрал до миллиона человек. На церемонии не было ни одного священника, ни одной иконы, а вместо привычных молитв звучала «Рабочая Марсельеза» (17045).</w:t>
      </w:r>
    </w:p>
    <w:p w14:paraId="52B38C55" w14:textId="77777777" w:rsidR="00F94E09" w:rsidRPr="002F2FDF" w:rsidRDefault="00F94E0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1B89A5" w14:textId="77777777" w:rsidR="008E6FB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347C66F1" w14:textId="77777777" w:rsidR="008E6FB1" w:rsidRPr="002F2FDF" w:rsidRDefault="008E6FB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8609E3"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23 марта (5 апреля) 1917 г. </w:t>
      </w:r>
      <w:r w:rsidRPr="002F2FDF">
        <w:rPr>
          <w:rFonts w:ascii="Times New Roman" w:hAnsi="Times New Roman" w:cs="Times New Roman"/>
          <w:color w:val="000000" w:themeColor="text1"/>
          <w:kern w:val="2"/>
          <w:sz w:val="16"/>
          <w:szCs w:val="16"/>
        </w:rPr>
        <w:t>Письмо министра финансов М. И. Терещенко П. Н. Милюкову о сокращении английским казначейством кредитов и о необходимости заключения нового финансового соглашения с Англией.</w:t>
      </w:r>
    </w:p>
    <w:p w14:paraId="6836173D" w14:textId="3C6A6E59"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533</w:t>
      </w:r>
    </w:p>
    <w:p w14:paraId="7E266DD3" w14:textId="6D09E5CF"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Второго деп-та 1-5 "Война" д. 192 лл. 390-397 Подлинник</w:t>
      </w:r>
    </w:p>
    <w:p w14:paraId="235042B9" w14:textId="77777777" w:rsidR="008E6FB1" w:rsidRPr="002F2FDF" w:rsidRDefault="008E6FB1" w:rsidP="0083075A">
      <w:pPr>
        <w:pStyle w:val="ae"/>
        <w:spacing w:before="0" w:after="0"/>
        <w:jc w:val="both"/>
        <w:rPr>
          <w:color w:val="000000" w:themeColor="text1"/>
          <w:kern w:val="2"/>
          <w:sz w:val="16"/>
          <w:szCs w:val="16"/>
        </w:rPr>
      </w:pPr>
      <w:r w:rsidRPr="002F2FDF">
        <w:rPr>
          <w:color w:val="000000" w:themeColor="text1"/>
          <w:kern w:val="2"/>
          <w:sz w:val="16"/>
          <w:szCs w:val="16"/>
        </w:rPr>
        <w:t>Милостивый государь, Павел Николаевич.</w:t>
      </w:r>
    </w:p>
    <w:p w14:paraId="591C6B7A"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На заседавшей в январе и феврале с. г. в Петрограде конференции союзных государств в секции снабжения была рассмотрена программа дальнейшего снабжения нашей армии предметами военного снаряжения с определением количества имеющих быть поставленными предметов, сроков сдачи заказов и размера необходимого тоннажа. Одновременно с этим Министерством финансов велись переговоры с английскими делегатами о порядке предоставления нам Англией предметов военного снаряжения натурой, открытия нам новых кредитов для платежей по военным заказам, займам, на нужды частной торговли и промышленности, для поддержания курса рубля и на приобретение серебра для нашего персидского экспедиционного корпуса. Упомянутые вопросы были оформлены в особом протоколе, подписанном 6 февраля с. г.,</w:t>
      </w:r>
      <w:hyperlink r:id="rId85" w:anchor="_ftn1" w:history="1">
        <w:r w:rsidRPr="002F2FDF">
          <w:rPr>
            <w:rStyle w:val="a5"/>
            <w:color w:val="000000" w:themeColor="text1"/>
            <w:kern w:val="2"/>
            <w:sz w:val="16"/>
            <w:szCs w:val="16"/>
          </w:rPr>
          <w:t>[1]</w:t>
        </w:r>
      </w:hyperlink>
      <w:r w:rsidRPr="002F2FDF">
        <w:rPr>
          <w:color w:val="000000" w:themeColor="text1"/>
          <w:kern w:val="2"/>
          <w:sz w:val="16"/>
          <w:szCs w:val="16"/>
        </w:rPr>
        <w:t xml:space="preserve"> и английские представители обязались доложить о результатах переговоров великобританскому правительству, с тем. чтобы заключение окончательного соглашения было произведено на основании последующих дипломатических переговоров.</w:t>
      </w:r>
    </w:p>
    <w:p w14:paraId="325410F8"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В настоящее время, согласно сведениям, полученным от представителя Министерства финансов в Русском правительственном комитете в Лондоне, английское казначейство изъявило согласие на предоставление нам временно, до подписания соглашения, кредитов на помещение срочных заказов на основаниях, установленных на Петроградской конференции, также кредита на апрель месяц для нужд торговли и промышленности и поддержки курса в размере, определенном предыдущим финансовым соглашением, т. е. значительно меньшем, чем было установлено последней конференцией в Петрограде.</w:t>
      </w:r>
    </w:p>
    <w:p w14:paraId="5E1BD847"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Хотя такое положение временно предоставляет Министерству финансов минимум необходимых средств на производство самых неотложных расходов, однако я считаю долгом указать, что отсутствие формального обязательства со стороны Англии и замечаемая ныне сдержанность в открытии новых кредитов, установленных на последней конференции, віе может не заставить опасаться в будущем осложнений в деле наших заграничных платежей, что несомненно отразится на своевременной поставке необходимых армии предметов и может оказать неблагоприятное влияние на нашу хозяйственную жизнь. Ввиду сего имею честь покорнейше просить Вас поручить новеренному в делах в Лондоне войти в сношения с великобританским правительством для подписания, но возможности в ближайшем времени, окончательного финансового соглашения с Англией на условиях, установленных на последней конференции.</w:t>
      </w:r>
    </w:p>
    <w:p w14:paraId="6D4501FE" w14:textId="77777777" w:rsidR="008E6FB1" w:rsidRPr="002F2FDF" w:rsidRDefault="008E6FB1" w:rsidP="0083075A">
      <w:pPr>
        <w:pStyle w:val="ae"/>
        <w:spacing w:before="0" w:after="0"/>
        <w:jc w:val="both"/>
        <w:rPr>
          <w:color w:val="000000" w:themeColor="text1"/>
          <w:kern w:val="2"/>
          <w:sz w:val="16"/>
          <w:szCs w:val="16"/>
        </w:rPr>
      </w:pPr>
      <w:r w:rsidRPr="002F2FDF">
        <w:rPr>
          <w:color w:val="000000" w:themeColor="text1"/>
          <w:kern w:val="2"/>
          <w:sz w:val="16"/>
          <w:szCs w:val="16"/>
        </w:rPr>
        <w:t>Прошу Вас принять уверение в совершенном почтении и искренней преданности.</w:t>
      </w:r>
    </w:p>
    <w:p w14:paraId="0B6A6430" w14:textId="77777777" w:rsidR="008E6FB1" w:rsidRPr="002F2FDF" w:rsidRDefault="008E6FB1"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М. Терещенко.</w:t>
      </w:r>
    </w:p>
    <w:p w14:paraId="0B92431B" w14:textId="77777777" w:rsidR="008E6FB1" w:rsidRPr="002F2FDF" w:rsidRDefault="00000000" w:rsidP="0083075A">
      <w:pPr>
        <w:pStyle w:val="ae"/>
        <w:spacing w:before="0" w:after="0"/>
        <w:jc w:val="both"/>
        <w:rPr>
          <w:color w:val="000000" w:themeColor="text1"/>
          <w:kern w:val="2"/>
          <w:sz w:val="16"/>
          <w:szCs w:val="16"/>
        </w:rPr>
      </w:pPr>
      <w:hyperlink r:id="rId86" w:anchor="_ftnref1" w:history="1">
        <w:r w:rsidR="008E6FB1" w:rsidRPr="002F2FDF">
          <w:rPr>
            <w:rStyle w:val="a5"/>
            <w:color w:val="000000" w:themeColor="text1"/>
            <w:kern w:val="2"/>
            <w:sz w:val="16"/>
            <w:szCs w:val="16"/>
          </w:rPr>
          <w:t>[1]</w:t>
        </w:r>
      </w:hyperlink>
      <w:r w:rsidR="008E6FB1" w:rsidRPr="002F2FDF">
        <w:rPr>
          <w:color w:val="000000" w:themeColor="text1"/>
          <w:kern w:val="2"/>
          <w:sz w:val="16"/>
          <w:szCs w:val="16"/>
        </w:rPr>
        <w:t xml:space="preserve"> См. док № 566 "</w:t>
      </w:r>
      <w:hyperlink r:id="rId87" w:history="1">
        <w:r w:rsidR="008E6FB1" w:rsidRPr="002F2FDF">
          <w:rPr>
            <w:rStyle w:val="a5"/>
            <w:color w:val="000000" w:themeColor="text1"/>
            <w:kern w:val="2"/>
            <w:sz w:val="16"/>
            <w:szCs w:val="16"/>
            <w:u w:val="none"/>
          </w:rPr>
          <w:t>Меморандум об англо-русских финансовых переговорах на Петроградской конференции</w:t>
        </w:r>
      </w:hyperlink>
      <w:r w:rsidR="008E6FB1" w:rsidRPr="002F2FDF">
        <w:rPr>
          <w:color w:val="000000" w:themeColor="text1"/>
          <w:kern w:val="2"/>
          <w:sz w:val="16"/>
          <w:szCs w:val="16"/>
        </w:rPr>
        <w:t>" (15191).</w:t>
      </w:r>
    </w:p>
    <w:p w14:paraId="05252918" w14:textId="77777777" w:rsidR="008E6FB1" w:rsidRPr="002F2FDF" w:rsidRDefault="008E6FB1"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7DA63FBA" w14:textId="77777777" w:rsidR="00FD27EC"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DE7C3BF" w14:textId="77777777" w:rsidR="00FD27EC" w:rsidRPr="002F2FDF" w:rsidRDefault="00FD27E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4D55EB" w14:textId="77777777"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23 марта (5 апреля)</w:t>
      </w:r>
      <w:r w:rsidRPr="002F2FDF">
        <w:rPr>
          <w:rFonts w:ascii="Times New Roman" w:hAnsi="Times New Roman" w:cs="Times New Roman"/>
          <w:color w:val="000000" w:themeColor="text1"/>
          <w:kern w:val="2"/>
          <w:sz w:val="16"/>
          <w:szCs w:val="16"/>
        </w:rPr>
        <w:t xml:space="preserve"> в 1917 году английский истребитель </w:t>
      </w:r>
      <w:hyperlink r:id="rId88" w:tgtFrame="_blank" w:history="1">
        <w:r w:rsidRPr="002F2FDF">
          <w:rPr>
            <w:rFonts w:ascii="Times New Roman" w:hAnsi="Times New Roman" w:cs="Times New Roman"/>
            <w:color w:val="000000" w:themeColor="text1"/>
            <w:kern w:val="2"/>
            <w:sz w:val="16"/>
            <w:szCs w:val="16"/>
          </w:rPr>
          <w:t xml:space="preserve">«Bristol» «Type 14 F.2B» «Fighter» </w:t>
        </w:r>
      </w:hyperlink>
      <w:r w:rsidRPr="002F2FDF">
        <w:rPr>
          <w:rFonts w:ascii="Times New Roman" w:hAnsi="Times New Roman" w:cs="Times New Roman"/>
          <w:color w:val="000000" w:themeColor="text1"/>
          <w:kern w:val="2"/>
          <w:sz w:val="16"/>
          <w:szCs w:val="16"/>
        </w:rPr>
        <w:t>начал поступать на вооружение Королевских ВВС (15090).</w:t>
      </w:r>
    </w:p>
    <w:p w14:paraId="04E608FE" w14:textId="77777777"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p>
    <w:p w14:paraId="1FD945CD" w14:textId="77777777" w:rsidR="00AD1920" w:rsidRPr="002F2FDF" w:rsidRDefault="00AD1920" w:rsidP="0083075A">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rPr>
        <w:t>23 марта (5 апреля) 1917 г. был окончен первый прототип германского танка, пока еще с деревянным макетом бронекорпуса и получил обозначение A7V (т. е. просто по названию подразделения Военного министерства, курировавшего программу). 14 мая машину продемонстрировали руководству Ставки Главного командования, после чего было принято решение организовать два танковых подразделения (пока еще без танков) (22831).</w:t>
      </w:r>
    </w:p>
    <w:p w14:paraId="6D57857D" w14:textId="77777777" w:rsidR="00AD1920" w:rsidRPr="002F2FDF" w:rsidRDefault="00AD1920" w:rsidP="0083075A">
      <w:pPr>
        <w:spacing w:after="0" w:line="240" w:lineRule="auto"/>
        <w:jc w:val="both"/>
        <w:rPr>
          <w:rFonts w:ascii="Times New Roman" w:hAnsi="Times New Roman" w:cs="Times New Roman"/>
          <w:color w:val="000000" w:themeColor="text1"/>
          <w:sz w:val="16"/>
          <w:szCs w:val="16"/>
        </w:rPr>
      </w:pPr>
    </w:p>
    <w:p w14:paraId="613771A4" w14:textId="77777777" w:rsidR="00C46B86" w:rsidRPr="002F2FDF" w:rsidRDefault="00C46B8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70F77DF" w14:textId="77777777" w:rsidR="00C46B86" w:rsidRPr="002F2FDF" w:rsidRDefault="00C46B8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276B93" w14:textId="77777777" w:rsidR="00C46B86" w:rsidRPr="002F2FDF" w:rsidRDefault="00C46B8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24 марта (6 апреля) 1917 г. с опозданием почти на пять месяцев «Гамаюн» сдал только 26 самолетов первого заказа, в том числе и одиннадцать М-11 одноместных и двухместных, из них семь с мотором Рон 9J в 110 сил и броней, остальные — с «Моносупапом-В», еще семь были М-12 с Рон 9J и «Моносупап В», а также восемь — неустановленного типа и комплектации (22932).</w:t>
      </w:r>
    </w:p>
    <w:p w14:paraId="3A56B634" w14:textId="77777777" w:rsidR="00C46B86" w:rsidRPr="002F2FDF" w:rsidRDefault="00C46B86" w:rsidP="0083075A">
      <w:pPr>
        <w:spacing w:after="0" w:line="240" w:lineRule="auto"/>
        <w:jc w:val="both"/>
        <w:rPr>
          <w:rFonts w:ascii="Times New Roman" w:hAnsi="Times New Roman" w:cs="Times New Roman"/>
          <w:color w:val="000000" w:themeColor="text1"/>
          <w:sz w:val="16"/>
          <w:szCs w:val="16"/>
        </w:rPr>
      </w:pPr>
    </w:p>
    <w:p w14:paraId="07F3AC0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A1C35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4CCE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марта (</w:t>
      </w:r>
      <w:r w:rsidR="001B6ED4" w:rsidRPr="002F2FDF">
        <w:rPr>
          <w:rFonts w:ascii="Times New Roman" w:hAnsi="Times New Roman" w:cs="Times New Roman"/>
          <w:color w:val="000000" w:themeColor="text1"/>
          <w:kern w:val="2"/>
          <w:sz w:val="16"/>
          <w:szCs w:val="16"/>
        </w:rPr>
        <w:t>6</w:t>
      </w:r>
      <w:r w:rsidRPr="002F2FDF">
        <w:rPr>
          <w:rFonts w:ascii="Times New Roman" w:hAnsi="Times New Roman" w:cs="Times New Roman"/>
          <w:color w:val="000000" w:themeColor="text1"/>
          <w:kern w:val="2"/>
          <w:sz w:val="16"/>
          <w:szCs w:val="16"/>
        </w:rPr>
        <w:t xml:space="preserve"> апреля) 1917 года с утра задул сильный ветер. Одним из его порывов сорвало брезент, прикрывавший вход в эллинг. Сильная воздушная струя стала трепать дирижабль. По обстановке приняли решение: “Черномор-3” разоружить. Довольно быстро команда воздухоплавателей и нижние чины, приданные ей в помощь, отцепили гондолу. Как только оболочка дирижабля прижалась к потолку эллинга, стали тянуть разрывное полотнище. Когда натянулась разрывная вожжа, внезапно раздался взрыв. Пламя моментально охватило дирижабль, эллинг, газгольдеры и бензобаки на гондоле. Люди с трудом прорвались через бушующее пламя. После катастрофы “Черномора-3” приказом командующего флотом была назначена специальная следственная комиссия, которая так и не смогла выяснить причины гибели дирижабля. Командующий флотом распорядился “Черномором-4” не заниматься и сдать имущество в порт. Так закончилась единственная попытка русского флота обзавестись дирижаблями (10731).</w:t>
      </w:r>
    </w:p>
    <w:p w14:paraId="788ED7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E123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24 марта </w:t>
      </w:r>
      <w:r w:rsidR="001B6ED4" w:rsidRPr="002F2FDF">
        <w:rPr>
          <w:rFonts w:ascii="Times New Roman" w:hAnsi="Times New Roman" w:cs="Times New Roman"/>
          <w:color w:val="000000" w:themeColor="text1"/>
          <w:kern w:val="2"/>
          <w:sz w:val="16"/>
          <w:szCs w:val="16"/>
        </w:rPr>
        <w:t xml:space="preserve">(6 апреля) </w:t>
      </w:r>
      <w:r w:rsidRPr="002F2FDF">
        <w:rPr>
          <w:rFonts w:ascii="Times New Roman" w:hAnsi="Times New Roman" w:cs="Times New Roman"/>
          <w:color w:val="000000" w:themeColor="text1"/>
          <w:kern w:val="2"/>
          <w:sz w:val="16"/>
          <w:szCs w:val="16"/>
        </w:rPr>
        <w:t xml:space="preserve">1917 года с утра задул сильный ветер. Одним из его порывов сорвало брезент, прикрывавший вход в эллинг. Сильная воздушная струя стала трепать дирижабль. По обстановке приняли решение: “Черномор-3” разоружить. </w:t>
      </w:r>
    </w:p>
    <w:p w14:paraId="4A2C01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Довольно быстро команда воздухоплавателей и нижние чины, приданные ей в помощь, отцепили гондолу. Как только оболочка дирижабля прижалась к потолку эллинга, стали тянуть разрывное полотнище. Когда натянулась разрывная вожжа, внезапно раздался взрыв. Пламя моментально охватило дирижабль, эллинг, газгольдеры и бензобаки на гондоле. Люди с трудом прорвались через бушующее пламя. </w:t>
      </w:r>
    </w:p>
    <w:p w14:paraId="1540AE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После катастрофы “Черномора-3” приказом командующего флотом была назначена специальная следственная комиссия, которая так и не смогла выяснить причины гибели дирижабля. Командующий флотом распорядился “Черномором-4” не заниматься и сдать [391] имущество в порт. Так закончилась единственная попытка русского флота обзавестись дирижаблями. </w:t>
      </w:r>
    </w:p>
    <w:p w14:paraId="6D72A1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Командующий флотом принял правильное решение. Дело в том, что в это время против германских подводных лодок успешно действовали гидросамолеты. Можно привести немало примеров, когда летающие лодки срывали действия подводных (11324).</w:t>
      </w:r>
    </w:p>
    <w:p w14:paraId="61B3AF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633A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24 марта (6 апреля) 1917 из-за сильного ветра решили разобрать закупленный в Англии дирижабль Черномор-3, т.к. ветер повредил эллинг, но во время разборки случайно сожгли. Черномор-1 также был разобран прямо по середине дороги к эллингу. Черномор-2 совершил вынужденную посадку на аэродроме Качинской школы и также был разоружен. Черномор-4 решили даже не собирать (99,95).</w:t>
      </w:r>
    </w:p>
    <w:p w14:paraId="0ACFA3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C0EB8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марта (6 апреля) 1917 3 вражеских аэроплана - один за другим - несколько раз атаковали наши корабли, совершавшие ма</w:t>
      </w:r>
      <w:r w:rsidRPr="002F2FDF">
        <w:rPr>
          <w:rFonts w:ascii="Times New Roman" w:hAnsi="Times New Roman" w:cs="Times New Roman"/>
          <w:color w:val="000000" w:themeColor="text1"/>
          <w:kern w:val="2"/>
          <w:sz w:val="16"/>
          <w:szCs w:val="16"/>
        </w:rPr>
        <w:softHyphen/>
        <w:t>невры и открывавшие огонь. Гидрокрейсер “Император Ни</w:t>
      </w:r>
      <w:r w:rsidRPr="002F2FDF">
        <w:rPr>
          <w:rFonts w:ascii="Times New Roman" w:hAnsi="Times New Roman" w:cs="Times New Roman"/>
          <w:color w:val="000000" w:themeColor="text1"/>
          <w:kern w:val="2"/>
          <w:sz w:val="16"/>
          <w:szCs w:val="16"/>
        </w:rPr>
        <w:softHyphen/>
        <w:t>колай I” уклонился от попадания 9 бомб. Обнаружив при</w:t>
      </w:r>
      <w:r w:rsidRPr="002F2FDF">
        <w:rPr>
          <w:rFonts w:ascii="Times New Roman" w:hAnsi="Times New Roman" w:cs="Times New Roman"/>
          <w:color w:val="000000" w:themeColor="text1"/>
          <w:kern w:val="2"/>
          <w:sz w:val="16"/>
          <w:szCs w:val="16"/>
        </w:rPr>
        <w:softHyphen/>
        <w:t>ближение второго аэроплана, наши воины - летчик прапорщик Михаил Кулевич и стрелок поручик Василий Остроградский - на истребителе “М-11” шесть раз вступали в схватки с “Альбатросом” и прогнали его прочь. Заметим, что в середине боя истребитель получил 18 пулевых пробоин, его мотор стал работать с перебоями, но храбрецы продолжали выполнять боевую задачу. Третий аэроплан противника напал на эсми</w:t>
      </w:r>
      <w:r w:rsidRPr="002F2FDF">
        <w:rPr>
          <w:rFonts w:ascii="Times New Roman" w:hAnsi="Times New Roman" w:cs="Times New Roman"/>
          <w:color w:val="000000" w:themeColor="text1"/>
          <w:kern w:val="2"/>
          <w:sz w:val="16"/>
          <w:szCs w:val="16"/>
        </w:rPr>
        <w:softHyphen/>
        <w:t>нец “Поспешный” и сбросил 4 бомбы, не причинившие кораб</w:t>
      </w:r>
      <w:r w:rsidRPr="002F2FDF">
        <w:rPr>
          <w:rFonts w:ascii="Times New Roman" w:hAnsi="Times New Roman" w:cs="Times New Roman"/>
          <w:color w:val="000000" w:themeColor="text1"/>
          <w:kern w:val="2"/>
          <w:sz w:val="16"/>
          <w:szCs w:val="16"/>
        </w:rPr>
        <w:softHyphen/>
        <w:t>лю даже мелких повреждений [16].</w:t>
      </w:r>
    </w:p>
    <w:p w14:paraId="361855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850BED" w14:textId="77777777" w:rsidR="006F3A1F" w:rsidRPr="002F2FDF" w:rsidRDefault="006F3A1F" w:rsidP="0083075A">
      <w:pPr>
        <w:pStyle w:val="ae"/>
        <w:spacing w:before="0" w:after="0"/>
        <w:jc w:val="both"/>
        <w:rPr>
          <w:color w:val="000000" w:themeColor="text1"/>
          <w:kern w:val="2"/>
          <w:sz w:val="16"/>
          <w:szCs w:val="16"/>
        </w:rPr>
      </w:pPr>
      <w:r w:rsidRPr="002F2FDF">
        <w:rPr>
          <w:color w:val="000000" w:themeColor="text1"/>
          <w:kern w:val="2"/>
          <w:sz w:val="16"/>
          <w:szCs w:val="16"/>
        </w:rPr>
        <w:t>24 марта (6 апреля) 1917 действующий на севере Персии русский кавалерийский корпус генерала Николая Баратова встретился с англичанами к северо-востоку от Багдада. Во время своего последнего похода корпус занял города Керманшах и Ханекин (запад современного Ирана) (17045).</w:t>
      </w:r>
    </w:p>
    <w:p w14:paraId="31276242" w14:textId="77777777" w:rsidR="006F3A1F" w:rsidRPr="002F2FDF" w:rsidRDefault="006F3A1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F14BA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9F113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87CA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марта (6 апреля) 1917 была торжественная церемония похорон жертв революции в Петрограде (3908,255).</w:t>
      </w:r>
    </w:p>
    <w:p w14:paraId="047779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89CD8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марта (6 апреля) 1917 после семи лет в тюрьме в Гуляйполе вернулся Нестор Махно (4962).</w:t>
      </w:r>
    </w:p>
    <w:p w14:paraId="1F9F66A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31D2A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2F2FDF">
        <w:rPr>
          <w:rFonts w:ascii="Times New Roman" w:hAnsi="Times New Roman" w:cs="Times New Roman"/>
          <w:i/>
          <w:iCs/>
          <w:color w:val="000000" w:themeColor="text1"/>
          <w:kern w:val="2"/>
          <w:sz w:val="16"/>
          <w:szCs w:val="16"/>
        </w:rPr>
        <w:t>Зарубежом</w:t>
      </w:r>
      <w:r w:rsidRPr="002F2FDF">
        <w:rPr>
          <w:rFonts w:ascii="Times New Roman" w:hAnsi="Times New Roman" w:cs="Times New Roman"/>
          <w:i/>
          <w:iCs/>
          <w:color w:val="000000" w:themeColor="text1"/>
          <w:kern w:val="2"/>
          <w:sz w:val="16"/>
          <w:szCs w:val="16"/>
          <w:lang w:val="en-US"/>
        </w:rPr>
        <w:t>:</w:t>
      </w:r>
    </w:p>
    <w:p w14:paraId="2F6A73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21CAEB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April 6 1917 In reaction to German sinking of American merchant marine ships, USA declares war on Germany, thus entering WWI. General Pershing, appointed head of the American Expeditionary Force, refuses to allow American soldiers to be used as replacements for French and British soldiers, instead maintaining them as a separate force under his command (1769).</w:t>
      </w:r>
    </w:p>
    <w:p w14:paraId="00BDE8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10955F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April 6 1917 United States declares war on Germany (1036). The Aviation Section of the Signal Corps consisted of 35 pilots, 1,987 enlisted men, and 55 training airplanes. Navy Aviation and Marine Corps combined had 48 officer-pilots, 239 men, 54 airplanes, 1 airship, 3 balloons, and 1 air station (1038).</w:t>
      </w:r>
    </w:p>
    <w:p w14:paraId="4D8002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42DFC4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марта (6 апреля) 1917 США объявили войну Германии (1036). Авиация включала 35 пилотов, 1987 военнослужащих и 55 тренировочных самолетов в составе The Aviation Section of the Signal Corps. Авиация флота и Морской пехоты включала 48 офицеров-пилотов, 239 военнослужащих, 54 самолета, 1 дирижабль, 3 аэростата и 1 аэростанцию (1038).</w:t>
      </w:r>
    </w:p>
    <w:p w14:paraId="1D94D0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1D758A" w14:textId="77777777" w:rsidR="00F94E09" w:rsidRPr="002F2FDF" w:rsidRDefault="00F94E09" w:rsidP="0083075A">
      <w:pPr>
        <w:pStyle w:val="ae"/>
        <w:spacing w:before="0" w:after="0"/>
        <w:jc w:val="both"/>
        <w:rPr>
          <w:color w:val="000000" w:themeColor="text1"/>
          <w:kern w:val="2"/>
          <w:sz w:val="16"/>
          <w:szCs w:val="16"/>
        </w:rPr>
      </w:pPr>
      <w:r w:rsidRPr="002F2FDF">
        <w:rPr>
          <w:color w:val="000000" w:themeColor="text1"/>
          <w:kern w:val="2"/>
          <w:sz w:val="16"/>
          <w:szCs w:val="16"/>
        </w:rPr>
        <w:t>24 марта (6 апреля) 1917 США объявили войну Германии, вступив в мировую войну на стороне Антанты. Непосредственным поводом для этого решения стала перехваченная разведкой союзников телеграмма германского министра иностранных дел Артура Циммермана, в которой он предлагал Мексике антиамериканский союз. Свою роль сыграло и объявление германцами в феврале 1916 года неограниченной подводной войны, в результате чего американские торговые суда стали объектом атак германских подводных лодок. В феврале 1917 года было потоплено 2 американских судна: «Хьюзатоник» (Housatonic) в Бискайском заливе и «Калифорния» (California) у побережья Ирландии.</w:t>
      </w:r>
    </w:p>
    <w:p w14:paraId="1233255F" w14:textId="77777777" w:rsidR="00F94E09" w:rsidRPr="002F2FDF" w:rsidRDefault="00F94E09" w:rsidP="0083075A">
      <w:pPr>
        <w:pStyle w:val="ae"/>
        <w:spacing w:before="0" w:after="0"/>
        <w:jc w:val="both"/>
        <w:rPr>
          <w:color w:val="000000" w:themeColor="text1"/>
          <w:kern w:val="2"/>
          <w:sz w:val="16"/>
          <w:szCs w:val="16"/>
        </w:rPr>
      </w:pPr>
      <w:r w:rsidRPr="002F2FDF">
        <w:rPr>
          <w:color w:val="000000" w:themeColor="text1"/>
          <w:kern w:val="2"/>
          <w:sz w:val="16"/>
          <w:szCs w:val="16"/>
        </w:rPr>
        <w:t>Президент США Вудро Вильсон поставил перед Конгрессом вопрос об объявлении войны Германии 2 апреля и уже 6 апреля получил согласие. Свое обращение к Конгрессу Вильсон завершил такими словами: «Оставаться нейтральным дальше невозможно, когда поставлены на карту мир всего мира и свобода мира. Итак, мы вынуждены принять бой с естественным врагом мира и свободы. Мы пожертвуем для этого нашей жизнью, нашим состоянием, всем, что мы имеем, в гордом сознании, что настал, наконец, день, когда Америка может пролить свою кровь за благородные принципы, из которых она возникла». Вслед за США 7 апреля войну Германии объявила Куба (17045).</w:t>
      </w:r>
    </w:p>
    <w:p w14:paraId="4F2D7943" w14:textId="77777777" w:rsidR="00F94E09" w:rsidRPr="002F2FDF" w:rsidRDefault="00F94E0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91F1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марта (6 апреля) 1917 - В военные действия на стороне Антанты вступили Соединенные Штаты Америки.</w:t>
      </w:r>
    </w:p>
    <w:p w14:paraId="5FF181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"Вестник Европы", март 1917 г.: "В заседании конгресса прочитано послание президента: "...Германия топит всякого рода суда не только враждебных, но и нейтральных дружественных держав, даже госпитальные суда, снабженные пропусками, выданными германским же правительством...</w:t>
      </w:r>
    </w:p>
    <w:p w14:paraId="4EF24A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своем образе действий Соединенные Штаты должны руководствоваться исключительно желанием отстоять принципы человеколюбия...</w:t>
      </w:r>
    </w:p>
    <w:p w14:paraId="4016DB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Президент Соединенных штатов Америки Вильсон"".</w:t>
      </w:r>
    </w:p>
    <w:p w14:paraId="47FB38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США быстро создали самый мощный по тому времени 12-цилиндровый V-образный двигатель водяного охлаждения "Либерти". Цилиндры были расположены под углом 45° и имели размеры 127x178 мм. Мощность двигателя 400 л. с. при 1700 об/мин. Расход топлива 225 г/лсч, масса 375 кг. Английские самолеты "Де Хевиленд" с двигателем "Либерти" развивали скорость свыше 200 км/час (11999).</w:t>
      </w:r>
    </w:p>
    <w:p w14:paraId="0BC343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EE103E" w14:textId="77777777"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24 марта (6 апреля)</w:t>
      </w:r>
      <w:r w:rsidRPr="002F2FDF">
        <w:rPr>
          <w:rFonts w:ascii="Times New Roman" w:hAnsi="Times New Roman" w:cs="Times New Roman"/>
          <w:color w:val="000000" w:themeColor="text1"/>
          <w:kern w:val="2"/>
          <w:sz w:val="16"/>
          <w:szCs w:val="16"/>
        </w:rPr>
        <w:t xml:space="preserve"> в 1917 году Соединенные Штаты Америки официально объявили войну Германии (15091).</w:t>
      </w:r>
    </w:p>
    <w:p w14:paraId="33F21209" w14:textId="77777777"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p>
    <w:p w14:paraId="2D70B537" w14:textId="77777777" w:rsidR="00095E32" w:rsidRPr="002F2FDF" w:rsidRDefault="00095E3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24 марта (6 апреля) 1917 США вступает в Первую мировую войну, объявив войну Германии. Авиация Корпуса морской пехоты США насчитывает семь офицеров и 43 рядовых (20341).</w:t>
      </w:r>
    </w:p>
    <w:p w14:paraId="57E4BCA5" w14:textId="77777777" w:rsidR="00095E32" w:rsidRPr="002F2FDF" w:rsidRDefault="00095E32" w:rsidP="0083075A">
      <w:pPr>
        <w:spacing w:after="0" w:line="240" w:lineRule="auto"/>
        <w:jc w:val="both"/>
        <w:rPr>
          <w:rFonts w:ascii="Times New Roman" w:hAnsi="Times New Roman" w:cs="Times New Roman"/>
          <w:color w:val="000000" w:themeColor="text1"/>
          <w:sz w:val="16"/>
          <w:szCs w:val="16"/>
        </w:rPr>
      </w:pPr>
    </w:p>
    <w:p w14:paraId="68AAB23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784DF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82B9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марта (7 апреля) 1917 Казаков докладывает командиру 7-го авиадивизиона: “... сего числа прибыла вверенная мне группа в составе 2, 4 и 19 корпусных авиаотрядов и расположилась: 2-й као - в деревне Езержаны, 4-й као -на фольварке Вучулки, 19-й као - в деревне Ковалювка”. В тот же день началась установка палаток, сборка самолетов, проведение телефонной связи. Таким образом, благодаря не</w:t>
      </w:r>
      <w:r w:rsidRPr="002F2FDF">
        <w:rPr>
          <w:rFonts w:ascii="Times New Roman" w:hAnsi="Times New Roman" w:cs="Times New Roman"/>
          <w:color w:val="000000" w:themeColor="text1"/>
          <w:kern w:val="2"/>
          <w:sz w:val="16"/>
          <w:szCs w:val="16"/>
        </w:rPr>
        <w:softHyphen/>
        <w:t>разумному распоряжению одних и ха</w:t>
      </w:r>
      <w:r w:rsidRPr="002F2FDF">
        <w:rPr>
          <w:rFonts w:ascii="Times New Roman" w:hAnsi="Times New Roman" w:cs="Times New Roman"/>
          <w:color w:val="000000" w:themeColor="text1"/>
          <w:kern w:val="2"/>
          <w:sz w:val="16"/>
          <w:szCs w:val="16"/>
        </w:rPr>
        <w:softHyphen/>
        <w:t>латному отношению других лучшее боевое подразделение русского ВВФ было выведено из строя на 3 месяца. Лучшего подарка австрийским и немецким летчикам нельзя было придумать (3954).</w:t>
      </w:r>
    </w:p>
    <w:p w14:paraId="151B5F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Первый боевой опыт авиагруппы дал хорошие результаты, однако он же выявил ряд организационных недос</w:t>
      </w:r>
      <w:r w:rsidRPr="002F2FDF">
        <w:rPr>
          <w:rFonts w:ascii="Times New Roman" w:hAnsi="Times New Roman" w:cs="Times New Roman"/>
          <w:color w:val="000000" w:themeColor="text1"/>
          <w:kern w:val="2"/>
          <w:sz w:val="16"/>
          <w:szCs w:val="16"/>
        </w:rPr>
        <w:softHyphen/>
        <w:t>татков. Оказалось, что управление от</w:t>
      </w:r>
      <w:r w:rsidRPr="002F2FDF">
        <w:rPr>
          <w:rFonts w:ascii="Times New Roman" w:hAnsi="Times New Roman" w:cs="Times New Roman"/>
          <w:color w:val="000000" w:themeColor="text1"/>
          <w:kern w:val="2"/>
          <w:sz w:val="16"/>
          <w:szCs w:val="16"/>
        </w:rPr>
        <w:softHyphen/>
        <w:t>рядами и особенно группой в целом оказалось слишком сложным и мало</w:t>
      </w:r>
      <w:r w:rsidRPr="002F2FDF">
        <w:rPr>
          <w:rFonts w:ascii="Times New Roman" w:hAnsi="Times New Roman" w:cs="Times New Roman"/>
          <w:color w:val="000000" w:themeColor="text1"/>
          <w:kern w:val="2"/>
          <w:sz w:val="16"/>
          <w:szCs w:val="16"/>
        </w:rPr>
        <w:softHyphen/>
        <w:t>эффективным. Начальник группы был обременен работой по управлению своим отрядом и не мог справиться с выпавшими на его долю дополнитель</w:t>
      </w:r>
      <w:r w:rsidRPr="002F2FDF">
        <w:rPr>
          <w:rFonts w:ascii="Times New Roman" w:hAnsi="Times New Roman" w:cs="Times New Roman"/>
          <w:color w:val="000000" w:themeColor="text1"/>
          <w:kern w:val="2"/>
          <w:sz w:val="16"/>
          <w:szCs w:val="16"/>
        </w:rPr>
        <w:softHyphen/>
        <w:t>ными обязанностями. В этой связи было предложено на</w:t>
      </w:r>
      <w:r w:rsidRPr="002F2FDF">
        <w:rPr>
          <w:rFonts w:ascii="Times New Roman" w:hAnsi="Times New Roman" w:cs="Times New Roman"/>
          <w:color w:val="000000" w:themeColor="text1"/>
          <w:kern w:val="2"/>
          <w:sz w:val="16"/>
          <w:szCs w:val="16"/>
        </w:rPr>
        <w:softHyphen/>
        <w:t>делить командира группы правами командира дивизиона, а также соз</w:t>
      </w:r>
      <w:r w:rsidRPr="002F2FDF">
        <w:rPr>
          <w:rFonts w:ascii="Times New Roman" w:hAnsi="Times New Roman" w:cs="Times New Roman"/>
          <w:color w:val="000000" w:themeColor="text1"/>
          <w:kern w:val="2"/>
          <w:sz w:val="16"/>
          <w:szCs w:val="16"/>
        </w:rPr>
        <w:softHyphen/>
        <w:t>дать минимальный штат управления группы из четырех человек (коман</w:t>
      </w:r>
      <w:r w:rsidRPr="002F2FDF">
        <w:rPr>
          <w:rFonts w:ascii="Times New Roman" w:hAnsi="Times New Roman" w:cs="Times New Roman"/>
          <w:color w:val="000000" w:themeColor="text1"/>
          <w:kern w:val="2"/>
          <w:sz w:val="16"/>
          <w:szCs w:val="16"/>
        </w:rPr>
        <w:softHyphen/>
        <w:t>дир, офицер-наблюдатель, старший механик и врач). Хотя это предложе</w:t>
      </w:r>
      <w:r w:rsidRPr="002F2FDF">
        <w:rPr>
          <w:rFonts w:ascii="Times New Roman" w:hAnsi="Times New Roman" w:cs="Times New Roman"/>
          <w:color w:val="000000" w:themeColor="text1"/>
          <w:kern w:val="2"/>
          <w:sz w:val="16"/>
          <w:szCs w:val="16"/>
        </w:rPr>
        <w:softHyphen/>
        <w:t>ние было внесено Великим Князем еще 28 февраля, оно не было реали</w:t>
      </w:r>
      <w:r w:rsidRPr="002F2FDF">
        <w:rPr>
          <w:rFonts w:ascii="Times New Roman" w:hAnsi="Times New Roman" w:cs="Times New Roman"/>
          <w:color w:val="000000" w:themeColor="text1"/>
          <w:kern w:val="2"/>
          <w:sz w:val="16"/>
          <w:szCs w:val="16"/>
        </w:rPr>
        <w:softHyphen/>
        <w:t>зовано сразу ввиду начавшейся ре</w:t>
      </w:r>
      <w:r w:rsidRPr="002F2FDF">
        <w:rPr>
          <w:rFonts w:ascii="Times New Roman" w:hAnsi="Times New Roman" w:cs="Times New Roman"/>
          <w:color w:val="000000" w:themeColor="text1"/>
          <w:kern w:val="2"/>
          <w:sz w:val="16"/>
          <w:szCs w:val="16"/>
        </w:rPr>
        <w:softHyphen/>
        <w:t>волюции и смены командного соста</w:t>
      </w:r>
      <w:r w:rsidRPr="002F2FDF">
        <w:rPr>
          <w:rFonts w:ascii="Times New Roman" w:hAnsi="Times New Roman" w:cs="Times New Roman"/>
          <w:color w:val="000000" w:themeColor="text1"/>
          <w:kern w:val="2"/>
          <w:sz w:val="16"/>
          <w:szCs w:val="16"/>
        </w:rPr>
        <w:softHyphen/>
        <w:t>ва русской авиации. В марте при 1-й БАГ было создано управление (штаб) группы. Оно состояло всего из трех человек - командира группы штабс-ротмистра А.А.Казакова, его заместителя подъесаула И. А. Шангина и адъютанта поручика В.М. Корженко (3954).</w:t>
      </w:r>
    </w:p>
    <w:p w14:paraId="5634FA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69B27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6F169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6C62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марта (7 апреля) 1917 была введена гос. монополия на хлебную торговлю, контроль за ценами, хлебные карточки в Петрограде (1348,112).</w:t>
      </w:r>
    </w:p>
    <w:p w14:paraId="27192A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7D5A4A" w14:textId="77777777"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25 марта (7 апреля)</w:t>
      </w:r>
      <w:r w:rsidRPr="002F2FDF">
        <w:rPr>
          <w:rFonts w:ascii="Times New Roman" w:hAnsi="Times New Roman" w:cs="Times New Roman"/>
          <w:color w:val="000000" w:themeColor="text1"/>
          <w:kern w:val="2"/>
          <w:sz w:val="16"/>
          <w:szCs w:val="16"/>
        </w:rPr>
        <w:t xml:space="preserve"> в 1917 году Временное правительство издает закон о хлебной монополии, по которому весь хлеб по твердым ценам передается в распоряжение государства. В случае обнаружения укрытых хлебных запасов они отчуждаются по половинной цене. Для заведования хлебным делом учреждаются государственные комитеты (15092).</w:t>
      </w:r>
    </w:p>
    <w:p w14:paraId="62FD6F52" w14:textId="77777777"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p>
    <w:p w14:paraId="2FA47D99" w14:textId="77777777" w:rsidR="00CD1F09" w:rsidRPr="002F2FDF" w:rsidRDefault="00CD1F09" w:rsidP="0083075A">
      <w:pPr>
        <w:pStyle w:val="a3"/>
        <w:rPr>
          <w:color w:val="000000" w:themeColor="text1"/>
          <w:lang w:val="ru-RU"/>
        </w:rPr>
      </w:pPr>
      <w:r w:rsidRPr="002F2FDF">
        <w:rPr>
          <w:color w:val="000000" w:themeColor="text1"/>
          <w:lang w:val="ru-RU"/>
        </w:rPr>
        <w:t>25 марта (7 апреля) 1917 продовольственная проблема заставила Временное правительство принять закон "О передаче хлеба в распоряжение государства" (закон о хлебной монополии). Вводилось нормированное снабжение городского населения, строгий учет зерна региональными и Всероссийским продовольственными комитетами, на 70% увеличивались закупочные цены по сравнению с ценами предыдущего года.</w:t>
      </w:r>
    </w:p>
    <w:p w14:paraId="54732422" w14:textId="77777777" w:rsidR="00CD1F09" w:rsidRPr="002F2FDF" w:rsidRDefault="00CD1F09" w:rsidP="0083075A">
      <w:pPr>
        <w:pStyle w:val="a3"/>
        <w:rPr>
          <w:color w:val="000000" w:themeColor="text1"/>
          <w:lang w:val="ru-RU"/>
        </w:rPr>
      </w:pPr>
      <w:r w:rsidRPr="002F2FDF">
        <w:rPr>
          <w:color w:val="000000" w:themeColor="text1"/>
          <w:lang w:val="ru-RU"/>
        </w:rPr>
        <w:t xml:space="preserve">Но задуманные мероприятия реализованы были лишь частично. Иначе и не могло быть, потому что наиболее непримиримую позицию к провозглашенной хлебной монополии заняли не крестьяне, а торгово-промышленные и банковские круги, увидевшие в ней опасную для себя попытку государства ограничить предпринимательскую свободу. Вдобавок к этому безудержная эмиссия "керенок" привела к тому, что правительство не сумело выдержать заданный размер </w:t>
      </w:r>
      <w:r w:rsidRPr="002F2FDF">
        <w:rPr>
          <w:color w:val="000000" w:themeColor="text1"/>
          <w:lang w:val="ru-RU"/>
        </w:rPr>
        <w:lastRenderedPageBreak/>
        <w:t>повышения закупочных цен: в 15 губерниях европейской части России осенью 1917 г. цены на рожь повысились в среднем на 184%.</w:t>
      </w:r>
    </w:p>
    <w:p w14:paraId="603E061D" w14:textId="77777777" w:rsidR="00CD1F09" w:rsidRPr="002F2FDF" w:rsidRDefault="00CD1F09" w:rsidP="0083075A">
      <w:pPr>
        <w:pStyle w:val="a3"/>
        <w:rPr>
          <w:color w:val="000000" w:themeColor="text1"/>
          <w:lang w:val="ru-RU"/>
        </w:rPr>
      </w:pPr>
      <w:r w:rsidRPr="002F2FDF">
        <w:rPr>
          <w:color w:val="000000" w:themeColor="text1"/>
          <w:lang w:val="ru-RU"/>
        </w:rPr>
        <w:t>Стремясь увеличить объемы заготовок сельхозпродукции и предчувствуя, что заготовки хлеба будут сорваны, Временное правительство пошло на неординарные меры: в хлебопроизводящих губерниях была организована встречная продажа промышленных товаров, пользующихся спросом у крестьян (ткани, обувь, мыло, спички, керосин, нитки и т. д.). Однако результат получился отрицательный. В частности, в армию поступило на 40% меньше необходимой мануфактуры, а зерна было заготовлено чуть более 500 млн пудов – недостаточно даже для удовлетворения потребностей действующей армии. При карточной системе, введенной в крупных городах, стал процветать теневой рынок со своей системой закупки и реализации продукции по спекулятивным ценам (18078).</w:t>
      </w:r>
    </w:p>
    <w:p w14:paraId="467D779A" w14:textId="77777777" w:rsidR="00CD1F09" w:rsidRPr="002F2FDF" w:rsidRDefault="00CD1F09" w:rsidP="0083075A">
      <w:pPr>
        <w:pStyle w:val="a3"/>
        <w:rPr>
          <w:color w:val="000000" w:themeColor="text1"/>
          <w:lang w:val="ru-RU"/>
        </w:rPr>
      </w:pPr>
    </w:p>
    <w:p w14:paraId="56622C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марта (7 апреля) 1917 года “Постановление Временного правительства о передаче хлеба в распоряжение государства и о местных продовольственных органах” гласило: “Все количество хлеба, продовольственного и кормового, урожая прошлых лет, 1916 года и будущего урожая 1917 года, за вычетом запаса… необходимого для продовольствия и хозяйственных нужд владельца, поступает со времени взятия хлеба на учет… в распоряжение государства и может быть отчуждаемо лишь при посредстве государственных продовольственных органов” (Собрание узаконений и распоряжений Временного правительства. 1917. № 85. Ст. 487.). Однако повышение при введении хлебной монополии твердых цен на хлеб и попытка наладить прямой товарообмен с деревней не содействовали росту объема продовольственных заготовок. Усиление инфляции и дезорганизация хозяйственной жизни еще больше подрывали доверие крестьянства к государственному регулированию и деньгам, создавая в то же время благоприятную почву для большевистской агитации в казармах, на заводах и фабриках под лозунгами свержения Временного правительства и передачи власти Советам. Этому способствовали и изменения в армии, ставшие одним из важнейших процессов в эволюции общества от Февраля к Октябрю. Солдатский вопрос оказался одним из основных в деятельности Петроградского Совета в дни свержения самодержавия. Уже поздно вечером 1 марта Советом был подготовлен Приказ № 1, опубликование которого 2 марта означало полнейшее переустройство внутреннего уклада вооруженных сил. С одной стороны, это соответствовало тенденциям демократизации общества, с другой — в конкретных условиях того времени — разлагало армию, делало ее более восприимчивой к радикальным революционным идеям. ТАКИМ образом, предпосылки социалистической революции в России были созданы наряду с другими обстоятельствами Первой мировой войной, приведшей страну к острейшему финансово-экономическому, прежде всего продовольственному, кризису. В день ареста Временного правительства на продовольственных складах Петрограда имелось всего 30 тыс. пудов хлеба, в то время как даже по голодной норме — полфунта (примерно 200 граммов) хлеба на человека в сутки — городу требовалось 48 тыс. пудов зерна (</w:t>
      </w:r>
      <w:r w:rsidRPr="002F2FDF">
        <w:rPr>
          <w:rFonts w:ascii="Times New Roman" w:hAnsi="Times New Roman" w:cs="Times New Roman"/>
          <w:iCs/>
          <w:color w:val="000000" w:themeColor="text1"/>
          <w:kern w:val="2"/>
          <w:sz w:val="16"/>
          <w:szCs w:val="16"/>
        </w:rPr>
        <w:t xml:space="preserve">Бабурин Д.С. </w:t>
      </w:r>
      <w:r w:rsidRPr="002F2FDF">
        <w:rPr>
          <w:rFonts w:ascii="Times New Roman" w:hAnsi="Times New Roman" w:cs="Times New Roman"/>
          <w:color w:val="000000" w:themeColor="text1"/>
          <w:kern w:val="2"/>
          <w:sz w:val="16"/>
          <w:szCs w:val="16"/>
        </w:rPr>
        <w:t>Наркомпрод в первые годы Советской власти // Исторические записки. Т. 61. М.: Изд-во АН СССР, 1957. С. 335.). В этих условиях, еще не овладев Государственным банком и эмиссионным аппаратом (Первые 5 млн. руб. на экстренные нужды по снабжению армии продовольствием и другие необходимые расходы Совнарком получил только 17 ноября), большевистское руководство было вынуждено спешно заняться решением продовольственной проблемы. 15 ноября 1917 года Совнарком поручил Петроградскому военно-революционному комитету (ВРК) “принять самые решительные меры к искоренению спекуляции и саботажа, скрывания запасов, злостной задержки грузов и пр.” (Собрание узаконений и распоряжений рабочего и крестьянского правительства (далее — СУ). 1917. № 3. Ст. 33.). Во исполнение этого указания ВРК уже в ноябре начал посылать в хлебные губернии специально сформированные отряды рабочих и матросов для конфискации продовольствия. Формально заготовки сельскохозяйственных продуктов осуществлялись на основе товарообмена, но поскольку промышленных товаров не хватало, основную часть стоимости продуктов крестьяне получали стремительно продолжавшими обесцениваться денежными знаками. Не удивительно, что уже в декабре неповиновение крестьян, отказывавшихся, по сути, безвозмездно отдавать хлеб, стало приобретать массовый характер. Надо отметить, что при всем этом государственная хлебная монополия и твердые закупочные цены на хлеб, поддержанные принявшими Наркомат земледелия левыми эсерами, продолжали сохраняться (11177).</w:t>
      </w:r>
    </w:p>
    <w:p w14:paraId="0F50525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743C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марта (7 апреля) 1917 года издается Закон о передаче хлеба в распоряжение государства (монополии на хлеб). Согласно ему, “все количество хлеба, продовольственного и кормового урожая прошлых лет, 1916 и будущего урожая 1917, за вычетом запаса, необходимого для продовольствия и хозяйственных нужд владельца, поступает со времени взятия хлеба на учет, в распоряжение государства по твердым ценам и может быть отчуждено лишь при посредстве государственных продовольственных органов”. То есть государственная монополия на весь хлеб, кроме собственного потребления и хозяйственных нужд, и государственная монополия на хлебную торговлю. Нормы собственного потребления и хозяйственных нужд устанавливались тем же законом, исходя из того, что: а) количество зерна для посева оставляется, исходя из посевной площади хозяйства и средней густоты высева по данными Центрального статистического комитета с возможной корректировкой по земской статистике. При использовании сеялки размер понижается на 20-40 % (в зависимости от типа сеялки); б) для продовольственных нужд — на иждивенцев по 1,25 пуда в месяц, для взрослых рабочих — 1,5 пуда. Кроме того крупы по 10 золотников на душу в день; в) для скота — для рабочих лошадей — 8 фунтов овса или ячменя или 10 фунтов кукурузы на каждый день. Для рогатого скота и свиней — не более 4-х фунтов в день на голову. Для молодняка норма понижалась вдвое. Нормы прокорма могли уменьшаться на местах; в) Дополнительно 10 % по каждому пункту (а, б, в)"на всякий случай" (16658).</w:t>
      </w:r>
    </w:p>
    <w:p w14:paraId="613B69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49B2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марта (7 апреля) 1917 г. официально, в виде общегосударственной меры, карточная система появилась с введением хлебной монополии. Обсуждались в России и проекты введения трудовой повинности, но идея оказалась непопулярной. Власть, опасаясь волнений рабочих и обострения социального вопроса, не пошла на принятие этого законопроекта. Огромные жертвы, затяжной и кровопролитный характер войны, рост дороговизны в тылу воюющих государств привели в политической сфере к смещению акцентов — от грандиозной вспышки национализма и шовинизма, идей гражданского мира во имя победы над внешним врагом к созданию в широких народных массах совершенно новой психологии военного коммунизма с присущими ей настроениями максимализма, нетерпения, всеобщего уравнительства, с ориентацией на насилие и прямое революционное действие (11270).</w:t>
      </w:r>
    </w:p>
    <w:p w14:paraId="096021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F21B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марта (7 апреля) 1917 были созданы местные комитеты по снабжению продовольствием (3908,255).</w:t>
      </w:r>
    </w:p>
    <w:p w14:paraId="2E13A6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D8FEE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марта (7 апреля) 1917 в Симферополе состоялся I съезд крымских татар (4962).</w:t>
      </w:r>
    </w:p>
    <w:p w14:paraId="19B8BA1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C8D99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A4FE3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E8AB4E" w14:textId="77777777" w:rsidR="006F3A1F" w:rsidRPr="002F2FDF" w:rsidRDefault="006F3A1F" w:rsidP="0083075A">
      <w:pPr>
        <w:pStyle w:val="ae"/>
        <w:spacing w:before="0" w:after="0"/>
        <w:jc w:val="both"/>
        <w:rPr>
          <w:color w:val="000000" w:themeColor="text1"/>
          <w:kern w:val="2"/>
          <w:sz w:val="16"/>
          <w:szCs w:val="16"/>
        </w:rPr>
      </w:pPr>
      <w:r w:rsidRPr="002F2FDF">
        <w:rPr>
          <w:color w:val="000000" w:themeColor="text1"/>
          <w:kern w:val="2"/>
          <w:sz w:val="16"/>
          <w:szCs w:val="16"/>
        </w:rPr>
        <w:t>25 марта (7 апреля) 1917 боевые действия неожиданно развернулись на далеком от основных театров Первой мировой американском острове Гуам в Тихом океане. Дело в том, что еще в декабре 1914 года там запросил убежище германский вспомогательный крейсер «Корморан» (переделанный из захваченного в августе 1914 года русского парохода «Рязань»). Американцы интернировали немцев до конца войны и довольно спокойно прожили с ними на Гуаме более 2 лет. Но после объявления США войны Германии неожиданно оказалось, что посреди американской военной базы стоит вражеский корабль.</w:t>
      </w:r>
    </w:p>
    <w:p w14:paraId="0A00BADD" w14:textId="77777777" w:rsidR="006F3A1F" w:rsidRPr="002F2FDF" w:rsidRDefault="006F3A1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Американцы предложили немцам мирно сменить статус интернированных на военнопленных, но переговоры затянулись, в их ходе у кого-то не выдержали нервы и началась перестрелка, в том числе и с применением артиллерии. Понимая, что шансов у «мобилизованного» торгового парохода против береговых и флотских батарей нет, немцы сами взорвали корабль, при этом погибло 9 матросов. Это столкновение считается первым боем с участием американцев в Первой мировой войне, а сам корабль до сих пор находится на дне гавани Гуама (17045).</w:t>
      </w:r>
    </w:p>
    <w:p w14:paraId="590D567F" w14:textId="77777777" w:rsidR="006F3A1F" w:rsidRPr="002F2FDF" w:rsidRDefault="006F3A1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BC38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25 марта (7 </w:t>
      </w:r>
      <w:r w:rsidR="006F3A1F" w:rsidRPr="002F2FDF">
        <w:rPr>
          <w:rFonts w:ascii="Times New Roman" w:hAnsi="Times New Roman" w:cs="Times New Roman"/>
          <w:color w:val="000000" w:themeColor="text1"/>
          <w:kern w:val="2"/>
          <w:sz w:val="16"/>
          <w:szCs w:val="16"/>
        </w:rPr>
        <w:t>апреля</w:t>
      </w:r>
      <w:r w:rsidRPr="002F2FDF">
        <w:rPr>
          <w:rFonts w:ascii="Times New Roman" w:hAnsi="Times New Roman" w:cs="Times New Roman"/>
          <w:color w:val="000000" w:themeColor="text1"/>
          <w:kern w:val="2"/>
          <w:sz w:val="16"/>
          <w:szCs w:val="16"/>
        </w:rPr>
        <w:t>) 1917 кайзер Вильгельм II пообещал предоставить равное избирательное право всем гражданам Пруссии (3907,89).</w:t>
      </w:r>
    </w:p>
    <w:p w14:paraId="22CCA1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8BC17B" w14:textId="723A8043" w:rsidR="00342516" w:rsidRPr="00FB4F67" w:rsidRDefault="0034251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25 марта (</w:t>
      </w:r>
      <w:r w:rsidRPr="00FB4F67">
        <w:rPr>
          <w:rFonts w:ascii="Times New Roman" w:hAnsi="Times New Roman" w:cs="Times New Roman"/>
          <w:color w:val="0070C0"/>
          <w:sz w:val="16"/>
          <w:szCs w:val="16"/>
        </w:rPr>
        <w:t xml:space="preserve">7 апреля </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1917 г. Америка объявила войну Германии, но подождала до 7 декабря 1917 года, чтобы объявить войну Австро-Венгрии. США никогда не объявляли войну Болгарии или Турции (23525).</w:t>
      </w:r>
    </w:p>
    <w:p w14:paraId="378A65F9" w14:textId="77777777" w:rsidR="00342516" w:rsidRPr="00FB4F67" w:rsidRDefault="00342516" w:rsidP="0083075A">
      <w:pPr>
        <w:spacing w:after="0" w:line="240" w:lineRule="auto"/>
        <w:jc w:val="both"/>
        <w:rPr>
          <w:rFonts w:ascii="Times New Roman" w:hAnsi="Times New Roman" w:cs="Times New Roman"/>
          <w:color w:val="0070C0"/>
          <w:sz w:val="16"/>
          <w:szCs w:val="16"/>
        </w:rPr>
      </w:pPr>
    </w:p>
    <w:p w14:paraId="1F5612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марта (7 апреля) 1917 Куба объявила войну Германии (3907,89).</w:t>
      </w:r>
    </w:p>
    <w:p w14:paraId="44114D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DA421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E265A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7BFA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26 марта </w:t>
      </w:r>
      <w:r w:rsidR="001B6ED4" w:rsidRPr="002F2FDF">
        <w:rPr>
          <w:rFonts w:ascii="Times New Roman" w:hAnsi="Times New Roman" w:cs="Times New Roman"/>
          <w:color w:val="000000" w:themeColor="text1"/>
          <w:kern w:val="2"/>
          <w:sz w:val="16"/>
          <w:szCs w:val="16"/>
        </w:rPr>
        <w:t xml:space="preserve">(8 апреля) </w:t>
      </w:r>
      <w:r w:rsidRPr="002F2FDF">
        <w:rPr>
          <w:rFonts w:ascii="Times New Roman" w:hAnsi="Times New Roman" w:cs="Times New Roman"/>
          <w:color w:val="000000" w:themeColor="text1"/>
          <w:kern w:val="2"/>
          <w:sz w:val="16"/>
          <w:szCs w:val="16"/>
        </w:rPr>
        <w:t>1917 г. экипаж летчика М.М.Серге</w:t>
      </w:r>
      <w:r w:rsidRPr="002F2FDF">
        <w:rPr>
          <w:rFonts w:ascii="Times New Roman" w:hAnsi="Times New Roman" w:cs="Times New Roman"/>
          <w:color w:val="000000" w:themeColor="text1"/>
          <w:kern w:val="2"/>
          <w:sz w:val="16"/>
          <w:szCs w:val="16"/>
        </w:rPr>
        <w:softHyphen/>
        <w:t>ева на лодке М-9 впервые в исто</w:t>
      </w:r>
      <w:r w:rsidRPr="002F2FDF">
        <w:rPr>
          <w:rFonts w:ascii="Times New Roman" w:hAnsi="Times New Roman" w:cs="Times New Roman"/>
          <w:color w:val="000000" w:themeColor="text1"/>
          <w:kern w:val="2"/>
          <w:sz w:val="16"/>
          <w:szCs w:val="16"/>
        </w:rPr>
        <w:softHyphen/>
        <w:t>рии флота осуществил абордаж турецкой шхуны (12088).</w:t>
      </w:r>
    </w:p>
    <w:p w14:paraId="2F3327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09BB8A" w14:textId="77777777" w:rsidR="00095E32" w:rsidRPr="002F2FDF" w:rsidRDefault="00095E3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26 марта (8 апреля) 1917 года приказом Главнокому русской армии фотометрические части были переименованы в фотограмметрические и переданы в подчинение авиационному руководству. Был создан издание «Известия по аэрофотографии и фотограмметрии» (19993).</w:t>
      </w:r>
    </w:p>
    <w:p w14:paraId="6C6C5D45" w14:textId="77777777" w:rsidR="00095E32" w:rsidRPr="002F2FDF" w:rsidRDefault="00095E32" w:rsidP="0083075A">
      <w:pPr>
        <w:spacing w:after="0" w:line="240" w:lineRule="auto"/>
        <w:jc w:val="both"/>
        <w:rPr>
          <w:rFonts w:ascii="Times New Roman" w:hAnsi="Times New Roman" w:cs="Times New Roman"/>
          <w:color w:val="000000" w:themeColor="text1"/>
          <w:sz w:val="16"/>
          <w:szCs w:val="16"/>
        </w:rPr>
      </w:pPr>
    </w:p>
    <w:p w14:paraId="588C72B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F1AD0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B34A7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марта (8 апреля) 1917 Временное правительство России выпустило “Заем свободы” (4962).</w:t>
      </w:r>
    </w:p>
    <w:p w14:paraId="133D7C3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D25B63" w14:textId="77777777" w:rsidR="008E6FB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7908BAE8" w14:textId="77777777" w:rsidR="008E6FB1" w:rsidRPr="002F2FDF" w:rsidRDefault="008E6FB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F73D3B"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26 марта (8 апреля) 1917 г. </w:t>
      </w:r>
      <w:r w:rsidRPr="002F2FDF">
        <w:rPr>
          <w:rFonts w:ascii="Times New Roman" w:hAnsi="Times New Roman" w:cs="Times New Roman"/>
          <w:color w:val="000000" w:themeColor="text1"/>
          <w:kern w:val="2"/>
          <w:sz w:val="16"/>
          <w:szCs w:val="16"/>
        </w:rPr>
        <w:t>Протокол совещания министров, посвященного обсуждению вопроса о предстоящих финансовых операциях Временного правительства в США.</w:t>
      </w:r>
    </w:p>
    <w:p w14:paraId="4DF4F073" w14:textId="43DF9684"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534-535</w:t>
      </w:r>
    </w:p>
    <w:p w14:paraId="48B95AD2" w14:textId="150E16B9"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Второго деп-та, 1—5, «Война», д. 214, лл.151—152. Копия.</w:t>
      </w:r>
    </w:p>
    <w:p w14:paraId="09DE0B7A"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Под председательством министра финансов состоялось 26 марта 1917 г.' совещание, посвященное вопросу выпуска займа в Америке, с участием военного министра, государственного ^контролера, товарища министра торговли и промышленности проф. Б. А. Бахметьева, и. о. товарища министра иностранных дел бар. Б. Э. Нольде, товарища министра финансов С. А. Шателена и директора Кредитной канцелярии.</w:t>
      </w:r>
      <w:hyperlink r:id="rId89" w:anchor="_ftn1" w:history="1">
        <w:r w:rsidRPr="002F2FDF">
          <w:rPr>
            <w:rStyle w:val="a5"/>
            <w:color w:val="000000" w:themeColor="text1"/>
            <w:kern w:val="2"/>
            <w:sz w:val="16"/>
            <w:szCs w:val="16"/>
          </w:rPr>
          <w:t>[1]</w:t>
        </w:r>
      </w:hyperlink>
    </w:p>
    <w:p w14:paraId="266AEAFD"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Министром финансов было поставлено на обсуждение 3 вопроса:</w:t>
      </w:r>
    </w:p>
    <w:p w14:paraId="6EC5B111"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1) В какой сумме исчисляется наша потребность в американской валюте для заказов, уже произведенных и предположенных в будущем.</w:t>
      </w:r>
    </w:p>
    <w:p w14:paraId="3126CC1E"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2) Как отразится предполагаемая кредитная операция в Америке на нашем финансовом соглашении с Англией.</w:t>
      </w:r>
    </w:p>
    <w:p w14:paraId="387166F4"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3) Являются ли предполагаемые американским правительством условия займа приемлемыми с точки зрения наших интересов.</w:t>
      </w:r>
      <w:hyperlink r:id="rId90" w:anchor="_ftn2" w:history="1">
        <w:r w:rsidRPr="002F2FDF">
          <w:rPr>
            <w:rStyle w:val="a5"/>
            <w:color w:val="000000" w:themeColor="text1"/>
            <w:kern w:val="2"/>
            <w:sz w:val="16"/>
            <w:szCs w:val="16"/>
          </w:rPr>
          <w:t>[2]</w:t>
        </w:r>
      </w:hyperlink>
    </w:p>
    <w:p w14:paraId="71876020"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I. По первому вопросу совещание признало невозможным выяснить в настоящее время действительную потребность русского правительства в долларах, так как до сих пор еще не имеется точных сведений о программе заказов в связи с находящимся в нашем распоряжении тоннажем и провозоспособностью наших железных дорог. Ввиду сего совещание просило проф. Бахметьева образовать под его председательством междуведомственную комиссию для выяснения нашей потребности в долларах.</w:t>
      </w:r>
    </w:p>
    <w:p w14:paraId="717FA262"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Вместе с тем совещание отметило, что из общей массы заказов надлежит выделить в особую группу заказы вагонов, так как доставка их не только не зависит от провозоспособности дорог, но, наоборот, служит к ее увеличению. Поэтому в связи с имеющимися сведениями об изготовлении американскими заводами до 150 тыс. вагонов по заказам американского и английского правительства совещание признало желательным возбудить перед названными [правительствами вопрос об уступке нам части указанного количества вагонов ввиду того, что это является единственным способом получения [подвижного состава в сравнительно близкие сроки. В случае же, если Америка и Англия откажут в уступке нам своей очереди в получении от заводов вагонов, поставка новых вагонов для Министерства путей сообщения может начаться не ранее 1 декабря 1917 г.</w:t>
      </w:r>
    </w:p>
    <w:p w14:paraId="4885860F"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II. В отношении второго вопроса, в какой степени производство нами самостоятельной кредитной операции отразится на нашем соглашении с Англией, совещанием [было признано, что для выпускаемого займа в Америке нам не требуется испрашивать согласия великобританского правительства, так как никаких формальных обязательств в этом направлении мы Англии не давали. С целью использования нами всех ресурсов в Америке представляется наиболее правильным не отказываться от предусмотренного последними переговорами получения нами долларов, а лишь пользоваться открываемым нам Англией кредитом в Америке с известным ограничением, требуя взамен долларов от великобританского правительства увеличения наших кредитов в иных валютах — кронах, иенах, а равно сумм для [удовлетворения нужд частной промышленности и интервенции.</w:t>
      </w:r>
    </w:p>
    <w:p w14:paraId="4574BC0D"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III. Согласно сообщению министра финансов, условия выпуска займа в Америке представляются в нижеследующем виде.</w:t>
      </w:r>
    </w:p>
    <w:p w14:paraId="2A5F06F5"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Американское правительство разрешит выпуск на рынке русского займа на 500 млн дол., действительного сроком на 15 лет, на условиях, не худших, чем имеющие быть выпущенными в Соединенных Штатах английские и французские займы. В счет займа американское правительство немедленно и по мере надобности открывает нам кредит из того процента, из которого оно само получит деньги на рынке (3%—2), причем общая сумма кредита не должна превышать 97% размера предполагаемого займа. Кредит этот должен быть погашен не позднее одного года после ратификации мирного договора.</w:t>
      </w:r>
    </w:p>
    <w:p w14:paraId="1A9A9C61"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Ознакомившись с указанными условиями, совещание признало их приемлемыми. Вместе с тем совещание выразило нижеследующие пожелания:</w:t>
      </w:r>
    </w:p>
    <w:p w14:paraId="386DF1A2"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1) чтобы правительство Соединенных Штатов не только содействовало бы выпуску займа, но и гарантировало бы нам его размещение;</w:t>
      </w:r>
    </w:p>
    <w:p w14:paraId="6CDB96C3"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2) чтобы открываемые нам кредиты могли быть использованы по возможности в течение продолжительного срока (не менее 2 лет);</w:t>
      </w:r>
    </w:p>
    <w:p w14:paraId="3F33988C"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3) чтобы те суммы в долларах, которые мы не сможем использовать на закупки в Америке некоторых предметов, за неимением таковых на рынке, могли быть обращаемы по нашему желанию в иные валюты — в иены и кроны.</w:t>
      </w:r>
    </w:p>
    <w:p w14:paraId="3970074E" w14:textId="77777777" w:rsidR="008E6FB1" w:rsidRPr="002F2FDF" w:rsidRDefault="008E6FB1" w:rsidP="0083075A">
      <w:pPr>
        <w:pStyle w:val="ae"/>
        <w:spacing w:before="0" w:after="0"/>
        <w:jc w:val="both"/>
        <w:rPr>
          <w:color w:val="000000" w:themeColor="text1"/>
          <w:kern w:val="2"/>
          <w:sz w:val="16"/>
          <w:szCs w:val="16"/>
        </w:rPr>
      </w:pPr>
      <w:r w:rsidRPr="002F2FDF">
        <w:rPr>
          <w:color w:val="000000" w:themeColor="text1"/>
          <w:kern w:val="2"/>
          <w:sz w:val="16"/>
          <w:szCs w:val="16"/>
        </w:rPr>
        <w:t>Подписали:</w:t>
      </w:r>
    </w:p>
    <w:p w14:paraId="19D50A03" w14:textId="77777777" w:rsidR="008E6FB1" w:rsidRPr="002F2FDF" w:rsidRDefault="008E6FB1"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Министр финансов М. И. Терещенко,</w:t>
      </w:r>
    </w:p>
    <w:p w14:paraId="1CEDE44B" w14:textId="77777777" w:rsidR="008E6FB1" w:rsidRPr="002F2FDF" w:rsidRDefault="008E6FB1"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государственный контролер И. В. Годнев,</w:t>
      </w:r>
    </w:p>
    <w:p w14:paraId="6D5BC47F" w14:textId="77777777" w:rsidR="008E6FB1" w:rsidRPr="002F2FDF" w:rsidRDefault="008E6FB1"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товарищ министра торговли Б. Бахметьев,</w:t>
      </w:r>
    </w:p>
    <w:p w14:paraId="748E1F44" w14:textId="77777777" w:rsidR="008E6FB1" w:rsidRPr="002F2FDF" w:rsidRDefault="008E6FB1"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товарищ министра финансов С. Шателен,</w:t>
      </w:r>
    </w:p>
    <w:p w14:paraId="0B525989" w14:textId="77777777" w:rsidR="008E6FB1" w:rsidRPr="002F2FDF" w:rsidRDefault="008E6FB1"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и. о. товарища министра иностранных дел бар. Б. Нольде,</w:t>
      </w:r>
    </w:p>
    <w:p w14:paraId="71418A8C" w14:textId="77777777" w:rsidR="008E6FB1" w:rsidRPr="002F2FDF" w:rsidRDefault="008E6FB1"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военный и морской министр А. Гучков.</w:t>
      </w:r>
    </w:p>
    <w:p w14:paraId="7A6D1C62" w14:textId="77777777" w:rsidR="008E6FB1" w:rsidRPr="002F2FDF" w:rsidRDefault="008E6FB1" w:rsidP="0083075A">
      <w:pPr>
        <w:pStyle w:val="rteindent2"/>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Директор Кредитной канцелярии К. Замен.</w:t>
      </w:r>
    </w:p>
    <w:p w14:paraId="46E6E1CC" w14:textId="77777777" w:rsidR="008E6FB1" w:rsidRPr="002F2FDF" w:rsidRDefault="00000000" w:rsidP="0083075A">
      <w:pPr>
        <w:pStyle w:val="ae"/>
        <w:spacing w:before="0" w:after="0"/>
        <w:jc w:val="both"/>
        <w:rPr>
          <w:color w:val="000000" w:themeColor="text1"/>
          <w:kern w:val="2"/>
          <w:sz w:val="16"/>
          <w:szCs w:val="16"/>
        </w:rPr>
      </w:pPr>
      <w:hyperlink r:id="rId91" w:anchor="_ftnref1" w:history="1">
        <w:r w:rsidR="008E6FB1" w:rsidRPr="002F2FDF">
          <w:rPr>
            <w:rStyle w:val="a5"/>
            <w:color w:val="000000" w:themeColor="text1"/>
            <w:kern w:val="2"/>
            <w:sz w:val="16"/>
            <w:szCs w:val="16"/>
          </w:rPr>
          <w:t>[1]</w:t>
        </w:r>
      </w:hyperlink>
      <w:r w:rsidR="008E6FB1" w:rsidRPr="002F2FDF">
        <w:rPr>
          <w:color w:val="000000" w:themeColor="text1"/>
          <w:kern w:val="2"/>
          <w:sz w:val="16"/>
          <w:szCs w:val="16"/>
        </w:rPr>
        <w:t xml:space="preserve"> Совещание было созвано по получении от русского посла в США Б. А. Бахметьева телеграммы с изложением речи президента Вильсона в конгрессе 20 марта 1917 г., посвященной сотрудничеству между союзниками, в которой были затронуты финансовые вопросы. Как указывал в этой связи Б. А. Бахметьев, «теперь возникает вопрос, не наступило ли время для ознакомления федерального правительства с нашими пожеланиями относительно формы, в которую могло бы вылиться таковое содействие Америки специально нам» (АВГ1Р, ф. Второго деп-та, 1—5, «Воина», д. 214, л. 123).</w:t>
      </w:r>
    </w:p>
    <w:p w14:paraId="2271353D" w14:textId="77777777" w:rsidR="008E6FB1" w:rsidRPr="002F2FDF" w:rsidRDefault="00000000" w:rsidP="0083075A">
      <w:pPr>
        <w:pStyle w:val="ae"/>
        <w:spacing w:before="0" w:after="0"/>
        <w:jc w:val="both"/>
        <w:rPr>
          <w:color w:val="000000" w:themeColor="text1"/>
          <w:kern w:val="2"/>
          <w:sz w:val="16"/>
          <w:szCs w:val="16"/>
        </w:rPr>
      </w:pPr>
      <w:hyperlink r:id="rId92" w:anchor="_ftnref2" w:history="1">
        <w:r w:rsidR="008E6FB1" w:rsidRPr="002F2FDF">
          <w:rPr>
            <w:rStyle w:val="a5"/>
            <w:color w:val="000000" w:themeColor="text1"/>
            <w:kern w:val="2"/>
            <w:sz w:val="16"/>
            <w:szCs w:val="16"/>
          </w:rPr>
          <w:t>[2]</w:t>
        </w:r>
      </w:hyperlink>
      <w:r w:rsidR="008E6FB1" w:rsidRPr="002F2FDF">
        <w:rPr>
          <w:color w:val="000000" w:themeColor="text1"/>
          <w:kern w:val="2"/>
          <w:sz w:val="16"/>
          <w:szCs w:val="16"/>
        </w:rPr>
        <w:t xml:space="preserve"> Согласно телеграммы директора Кредитной канцелярии К. Замена финансовому агенту в США Угету от 25 марта 1917 г. американское правительство предложило предоставить России кредит в 500 млн руб. под обеспечение облигаций «Займа свободы» по курсу рубля в Нью-Йорке. По мере реализации на рынке облигаций погашалась соответствующая доля кредита. (АВІІР, ф. Канцелярии, д. 97, т. I, л. 257). Министерство финансов отвергло это предложение и выдвинуло свои условия, излагаемые в публикуемом документе и одобренные совещанием (15190).</w:t>
      </w:r>
    </w:p>
    <w:p w14:paraId="6C142EBD" w14:textId="77777777" w:rsidR="008E6FB1" w:rsidRPr="002F2FDF" w:rsidRDefault="008E6FB1"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5D51F0B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B8D41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1D5A7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марта (8 апреля) 1917 Панама официально объявила войну Германии (4963 ).</w:t>
      </w:r>
    </w:p>
    <w:p w14:paraId="3224988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FBE18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A0725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27070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марта (9 апреля) 1917 г. Адаменко, который не смог выдержать сроки поставок новых “Фарма</w:t>
      </w:r>
      <w:r w:rsidRPr="002F2FDF">
        <w:rPr>
          <w:rFonts w:ascii="Times New Roman" w:hAnsi="Times New Roman" w:cs="Times New Roman"/>
          <w:color w:val="000000" w:themeColor="text1"/>
          <w:kern w:val="2"/>
          <w:sz w:val="16"/>
          <w:szCs w:val="16"/>
        </w:rPr>
        <w:softHyphen/>
        <w:t>нов” — к техническим проблемам и трудностям со снабжением добавились “прелести” Февральской революции - направил в УВВФ письмо с прошением предоставить отсрочку на один месяц, мотивируя это тем, что, во-первых, не получены около десяти наименований комплектующих; во-вторых, ввиду ус</w:t>
      </w:r>
      <w:r w:rsidRPr="002F2FDF">
        <w:rPr>
          <w:rFonts w:ascii="Times New Roman" w:hAnsi="Times New Roman" w:cs="Times New Roman"/>
          <w:color w:val="000000" w:themeColor="text1"/>
          <w:kern w:val="2"/>
          <w:sz w:val="16"/>
          <w:szCs w:val="16"/>
        </w:rPr>
        <w:softHyphen/>
        <w:t xml:space="preserve">талости рабочих невозможно организовать сверхурочные работы; и, наконец, в-третьих, на предприятии наблюдалось </w:t>
      </w:r>
      <w:r w:rsidRPr="002F2FDF">
        <w:rPr>
          <w:rFonts w:ascii="Times New Roman" w:hAnsi="Times New Roman" w:cs="Times New Roman"/>
          <w:iCs/>
          <w:color w:val="000000" w:themeColor="text1"/>
          <w:kern w:val="2"/>
          <w:sz w:val="16"/>
          <w:szCs w:val="16"/>
        </w:rPr>
        <w:t>“некоторое на рушение нормальности в работе ввиду пережива</w:t>
      </w:r>
      <w:r w:rsidRPr="002F2FDF">
        <w:rPr>
          <w:rFonts w:ascii="Times New Roman" w:hAnsi="Times New Roman" w:cs="Times New Roman"/>
          <w:iCs/>
          <w:color w:val="000000" w:themeColor="text1"/>
          <w:kern w:val="2"/>
          <w:sz w:val="16"/>
          <w:szCs w:val="16"/>
        </w:rPr>
        <w:softHyphen/>
        <w:t>емых, самих по себе столь радостных, столь мно</w:t>
      </w:r>
      <w:r w:rsidRPr="002F2FDF">
        <w:rPr>
          <w:rFonts w:ascii="Times New Roman" w:hAnsi="Times New Roman" w:cs="Times New Roman"/>
          <w:iCs/>
          <w:color w:val="000000" w:themeColor="text1"/>
          <w:kern w:val="2"/>
          <w:sz w:val="16"/>
          <w:szCs w:val="16"/>
        </w:rPr>
        <w:softHyphen/>
        <w:t>го светлого сулящих России, событий, в реагиро</w:t>
      </w:r>
      <w:r w:rsidRPr="002F2FDF">
        <w:rPr>
          <w:rFonts w:ascii="Times New Roman" w:hAnsi="Times New Roman" w:cs="Times New Roman"/>
          <w:iCs/>
          <w:color w:val="000000" w:themeColor="text1"/>
          <w:kern w:val="2"/>
          <w:sz w:val="16"/>
          <w:szCs w:val="16"/>
        </w:rPr>
        <w:softHyphen/>
        <w:t>вании на которые рабочие, как единственная ор</w:t>
      </w:r>
      <w:r w:rsidRPr="002F2FDF">
        <w:rPr>
          <w:rFonts w:ascii="Times New Roman" w:hAnsi="Times New Roman" w:cs="Times New Roman"/>
          <w:iCs/>
          <w:color w:val="000000" w:themeColor="text1"/>
          <w:kern w:val="2"/>
          <w:sz w:val="16"/>
          <w:szCs w:val="16"/>
        </w:rPr>
        <w:softHyphen/>
        <w:t xml:space="preserve">ганизованная группа в городе, не могли не принять самого активного участия” (11124). </w:t>
      </w:r>
      <w:r w:rsidRPr="002F2FDF">
        <w:rPr>
          <w:rFonts w:ascii="Times New Roman" w:hAnsi="Times New Roman" w:cs="Times New Roman"/>
          <w:color w:val="000000" w:themeColor="text1"/>
          <w:kern w:val="2"/>
          <w:sz w:val="16"/>
          <w:szCs w:val="16"/>
        </w:rPr>
        <w:t>Адаменко получил отсрочку. Она истекла 25 апреля, но предоставить военной приемке хоть один “Фарман XVI” не удалось. В ход снова пошли ссылки на отсутствие мелких комплектующих. В то же время Адаменко выступил с ходатайством о пе</w:t>
      </w:r>
      <w:r w:rsidRPr="002F2FDF">
        <w:rPr>
          <w:rFonts w:ascii="Times New Roman" w:hAnsi="Times New Roman" w:cs="Times New Roman"/>
          <w:color w:val="000000" w:themeColor="text1"/>
          <w:kern w:val="2"/>
          <w:sz w:val="16"/>
          <w:szCs w:val="16"/>
        </w:rPr>
        <w:softHyphen/>
        <w:t>ресмотре стоимости контракта в сторону увеличе</w:t>
      </w:r>
      <w:r w:rsidRPr="002F2FDF">
        <w:rPr>
          <w:rFonts w:ascii="Times New Roman" w:hAnsi="Times New Roman" w:cs="Times New Roman"/>
          <w:color w:val="000000" w:themeColor="text1"/>
          <w:kern w:val="2"/>
          <w:sz w:val="16"/>
          <w:szCs w:val="16"/>
        </w:rPr>
        <w:softHyphen/>
        <w:t>ния, мотивируя это раскручивавшимся маховиком инфляции. Удовлетворение этой просьбы было от</w:t>
      </w:r>
      <w:r w:rsidRPr="002F2FDF">
        <w:rPr>
          <w:rFonts w:ascii="Times New Roman" w:hAnsi="Times New Roman" w:cs="Times New Roman"/>
          <w:color w:val="000000" w:themeColor="text1"/>
          <w:kern w:val="2"/>
          <w:sz w:val="16"/>
          <w:szCs w:val="16"/>
        </w:rPr>
        <w:softHyphen/>
        <w:t>ложено до создания специальной комиссии, ко</w:t>
      </w:r>
      <w:r w:rsidRPr="002F2FDF">
        <w:rPr>
          <w:rFonts w:ascii="Times New Roman" w:hAnsi="Times New Roman" w:cs="Times New Roman"/>
          <w:color w:val="000000" w:themeColor="text1"/>
          <w:kern w:val="2"/>
          <w:sz w:val="16"/>
          <w:szCs w:val="16"/>
        </w:rPr>
        <w:softHyphen/>
        <w:t>торая бы пересмотрела условия военных контрак</w:t>
      </w:r>
      <w:r w:rsidRPr="002F2FDF">
        <w:rPr>
          <w:rFonts w:ascii="Times New Roman" w:hAnsi="Times New Roman" w:cs="Times New Roman"/>
          <w:color w:val="000000" w:themeColor="text1"/>
          <w:kern w:val="2"/>
          <w:sz w:val="16"/>
          <w:szCs w:val="16"/>
        </w:rPr>
        <w:softHyphen/>
        <w:t>тов. Заказчик отклонил и просьбу о предостав</w:t>
      </w:r>
      <w:r w:rsidRPr="002F2FDF">
        <w:rPr>
          <w:rFonts w:ascii="Times New Roman" w:hAnsi="Times New Roman" w:cs="Times New Roman"/>
          <w:color w:val="000000" w:themeColor="text1"/>
          <w:kern w:val="2"/>
          <w:sz w:val="16"/>
          <w:szCs w:val="16"/>
        </w:rPr>
        <w:softHyphen/>
        <w:t>лении дополнительного 30% аванса, поскольку ревизия, проведенная в начале июля 1917 г., вы</w:t>
      </w:r>
      <w:r w:rsidRPr="002F2FDF">
        <w:rPr>
          <w:rFonts w:ascii="Times New Roman" w:hAnsi="Times New Roman" w:cs="Times New Roman"/>
          <w:color w:val="000000" w:themeColor="text1"/>
          <w:kern w:val="2"/>
          <w:sz w:val="16"/>
          <w:szCs w:val="16"/>
        </w:rPr>
        <w:softHyphen/>
        <w:t>явила неудовлетворительное ведение отчетности по расходованию суммы первого аванса (в со</w:t>
      </w:r>
      <w:r w:rsidRPr="002F2FDF">
        <w:rPr>
          <w:rFonts w:ascii="Times New Roman" w:hAnsi="Times New Roman" w:cs="Times New Roman"/>
          <w:color w:val="000000" w:themeColor="text1"/>
          <w:kern w:val="2"/>
          <w:sz w:val="16"/>
          <w:szCs w:val="16"/>
        </w:rPr>
        <w:softHyphen/>
        <w:t>ответствии с существовавшей практикой, при заключении контракта российские поставщики получали от военного ведомства 30% предоплаты, остальная сумма выплачивалась по мере осущест</w:t>
      </w:r>
      <w:r w:rsidRPr="002F2FDF">
        <w:rPr>
          <w:rFonts w:ascii="Times New Roman" w:hAnsi="Times New Roman" w:cs="Times New Roman"/>
          <w:color w:val="000000" w:themeColor="text1"/>
          <w:kern w:val="2"/>
          <w:sz w:val="16"/>
          <w:szCs w:val="16"/>
        </w:rPr>
        <w:softHyphen/>
        <w:t>вления поставок). Также без положительного отве</w:t>
      </w:r>
      <w:r w:rsidRPr="002F2FDF">
        <w:rPr>
          <w:rFonts w:ascii="Times New Roman" w:hAnsi="Times New Roman" w:cs="Times New Roman"/>
          <w:color w:val="000000" w:themeColor="text1"/>
          <w:kern w:val="2"/>
          <w:sz w:val="16"/>
          <w:szCs w:val="16"/>
        </w:rPr>
        <w:softHyphen/>
        <w:t>та осталось прошение о субсидии в 140000 руб. на расширение предприятия (11124).</w:t>
      </w:r>
    </w:p>
    <w:p w14:paraId="3744597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28716F" w14:textId="77777777" w:rsidR="00B24245" w:rsidRPr="002F2FDF" w:rsidRDefault="00B2424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E94954E" w14:textId="77777777" w:rsidR="00B24245" w:rsidRPr="002F2FDF" w:rsidRDefault="00B2424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308CFB" w14:textId="77777777" w:rsidR="00B24245" w:rsidRPr="002F2FDF" w:rsidRDefault="00B24245" w:rsidP="0083075A">
      <w:pPr>
        <w:autoSpaceDE w:val="0"/>
        <w:autoSpaceDN w:val="0"/>
        <w:adjustRightInd w:val="0"/>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27 марта (9 апреля) 1917 г. Особое совещание в целях поддержки сложного финансового положения фирмы принимает решение «о разрешении ГВТУ и заведениям Морского ведомства выдать особому правлению АО Сименс и Гальске и Сименс-Шуккерт дополнительные авансы без обеспечения до общего размера непогашенных авансов в 50% от неисполненных данными обществами части заказов». Общая же сумма заказов фирмы к этому времени превысила 18 млн. руб., из которых более 8 млн. руб. составляла стоимость заказов на средства связи для ГВТУ (18297).</w:t>
      </w:r>
    </w:p>
    <w:p w14:paraId="029D4324" w14:textId="77777777" w:rsidR="00B24245" w:rsidRPr="002F2FDF" w:rsidRDefault="00B24245" w:rsidP="0083075A">
      <w:pPr>
        <w:spacing w:after="0" w:line="240" w:lineRule="auto"/>
        <w:jc w:val="both"/>
        <w:rPr>
          <w:rFonts w:ascii="Times New Roman" w:hAnsi="Times New Roman" w:cs="Times New Roman"/>
          <w:color w:val="000000" w:themeColor="text1"/>
          <w:sz w:val="16"/>
          <w:szCs w:val="16"/>
        </w:rPr>
      </w:pPr>
    </w:p>
    <w:p w14:paraId="66257A4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6D079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DC36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xml:space="preserve">27 марта (9 апреля) </w:t>
      </w:r>
      <w:r w:rsidR="00F94E09" w:rsidRPr="002F2FDF">
        <w:rPr>
          <w:rFonts w:ascii="Times New Roman" w:hAnsi="Times New Roman" w:cs="Times New Roman"/>
          <w:color w:val="000000" w:themeColor="text1"/>
          <w:kern w:val="2"/>
          <w:sz w:val="16"/>
          <w:szCs w:val="16"/>
        </w:rPr>
        <w:t xml:space="preserve">1917 </w:t>
      </w:r>
      <w:r w:rsidRPr="002F2FDF">
        <w:rPr>
          <w:rFonts w:ascii="Times New Roman" w:hAnsi="Times New Roman" w:cs="Times New Roman"/>
          <w:color w:val="000000" w:themeColor="text1"/>
          <w:kern w:val="2"/>
          <w:sz w:val="16"/>
          <w:szCs w:val="16"/>
        </w:rPr>
        <w:t>1-я БАГ возобновила бое</w:t>
      </w:r>
      <w:r w:rsidRPr="002F2FDF">
        <w:rPr>
          <w:rFonts w:ascii="Times New Roman" w:hAnsi="Times New Roman" w:cs="Times New Roman"/>
          <w:color w:val="000000" w:themeColor="text1"/>
          <w:kern w:val="2"/>
          <w:sz w:val="16"/>
          <w:szCs w:val="16"/>
        </w:rPr>
        <w:softHyphen/>
        <w:t>вую работу на Юго-западном фронте. К тому времени в ее отряды поступили относительно новые французские ис</w:t>
      </w:r>
      <w:r w:rsidRPr="002F2FDF">
        <w:rPr>
          <w:rFonts w:ascii="Times New Roman" w:hAnsi="Times New Roman" w:cs="Times New Roman"/>
          <w:color w:val="000000" w:themeColor="text1"/>
          <w:kern w:val="2"/>
          <w:sz w:val="16"/>
          <w:szCs w:val="16"/>
        </w:rPr>
        <w:softHyphen/>
        <w:t>требители “Ньюпор-21”. Эти манев</w:t>
      </w:r>
      <w:r w:rsidRPr="002F2FDF">
        <w:rPr>
          <w:rFonts w:ascii="Times New Roman" w:hAnsi="Times New Roman" w:cs="Times New Roman"/>
          <w:color w:val="000000" w:themeColor="text1"/>
          <w:kern w:val="2"/>
          <w:sz w:val="16"/>
          <w:szCs w:val="16"/>
        </w:rPr>
        <w:softHyphen/>
        <w:t>ренные одноместные машины, вооруженные курсовыми пулеметами, позво</w:t>
      </w:r>
      <w:r w:rsidRPr="002F2FDF">
        <w:rPr>
          <w:rFonts w:ascii="Times New Roman" w:hAnsi="Times New Roman" w:cs="Times New Roman"/>
          <w:color w:val="000000" w:themeColor="text1"/>
          <w:kern w:val="2"/>
          <w:sz w:val="16"/>
          <w:szCs w:val="16"/>
        </w:rPr>
        <w:softHyphen/>
        <w:t>ляли вести воздушные бои с большей эффективностью (3954).</w:t>
      </w:r>
    </w:p>
    <w:p w14:paraId="092C9E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CFCDD5" w14:textId="77777777" w:rsidR="00F94E09" w:rsidRPr="002F2FDF" w:rsidRDefault="00F94E09" w:rsidP="0083075A">
      <w:pPr>
        <w:pStyle w:val="ae"/>
        <w:spacing w:before="0" w:after="0"/>
        <w:jc w:val="both"/>
        <w:rPr>
          <w:color w:val="000000" w:themeColor="text1"/>
          <w:kern w:val="2"/>
          <w:sz w:val="16"/>
          <w:szCs w:val="16"/>
        </w:rPr>
      </w:pPr>
      <w:r w:rsidRPr="002F2FDF">
        <w:rPr>
          <w:color w:val="000000" w:themeColor="text1"/>
          <w:kern w:val="2"/>
          <w:sz w:val="16"/>
          <w:szCs w:val="16"/>
        </w:rPr>
        <w:t>27 марта (9 апреля) 1917 Временное правительство опубликовало декларацию о задачах войны, цель которой была двоякой. С одной стороны, необходимо было успокоить солдатские массы в Петрограде, которые не хотели воевать. С другой, необходимо было убедить союзников по Антанте, что демократическая Россия не заключит сепаратного мира с германцами. В частности, в декларации говорилось:</w:t>
      </w:r>
    </w:p>
    <w:p w14:paraId="32181156" w14:textId="77777777" w:rsidR="00F94E09" w:rsidRPr="002F2FDF" w:rsidRDefault="00F94E09" w:rsidP="0083075A">
      <w:pPr>
        <w:pStyle w:val="ae"/>
        <w:spacing w:before="0" w:after="0"/>
        <w:jc w:val="both"/>
        <w:rPr>
          <w:color w:val="000000" w:themeColor="text1"/>
          <w:kern w:val="2"/>
          <w:sz w:val="16"/>
          <w:szCs w:val="16"/>
        </w:rPr>
      </w:pPr>
      <w:r w:rsidRPr="002F2FDF">
        <w:rPr>
          <w:color w:val="000000" w:themeColor="text1"/>
          <w:kern w:val="2"/>
          <w:sz w:val="16"/>
          <w:szCs w:val="16"/>
        </w:rPr>
        <w:t>«27 марта (9 апреля по новому стилю) 1917 г.</w:t>
      </w:r>
    </w:p>
    <w:p w14:paraId="605DE97B" w14:textId="77777777" w:rsidR="00F94E09" w:rsidRPr="002F2FDF" w:rsidRDefault="00F94E09" w:rsidP="0083075A">
      <w:pPr>
        <w:pStyle w:val="ae"/>
        <w:spacing w:before="0" w:after="0"/>
        <w:jc w:val="both"/>
        <w:rPr>
          <w:color w:val="000000" w:themeColor="text1"/>
          <w:kern w:val="2"/>
          <w:sz w:val="16"/>
          <w:szCs w:val="16"/>
        </w:rPr>
      </w:pPr>
      <w:r w:rsidRPr="002F2FDF">
        <w:rPr>
          <w:color w:val="000000" w:themeColor="text1"/>
          <w:kern w:val="2"/>
          <w:sz w:val="16"/>
          <w:szCs w:val="16"/>
        </w:rPr>
        <w:t>Граждане!</w:t>
      </w:r>
    </w:p>
    <w:p w14:paraId="0DD2FA57" w14:textId="77777777" w:rsidR="00F94E09" w:rsidRPr="002F2FDF" w:rsidRDefault="00F94E09" w:rsidP="0083075A">
      <w:pPr>
        <w:pStyle w:val="ae"/>
        <w:spacing w:before="0" w:after="0"/>
        <w:jc w:val="both"/>
        <w:rPr>
          <w:color w:val="000000" w:themeColor="text1"/>
          <w:kern w:val="2"/>
          <w:sz w:val="16"/>
          <w:szCs w:val="16"/>
        </w:rPr>
      </w:pPr>
      <w:r w:rsidRPr="002F2FDF">
        <w:rPr>
          <w:color w:val="000000" w:themeColor="text1"/>
          <w:kern w:val="2"/>
          <w:sz w:val="16"/>
          <w:szCs w:val="16"/>
        </w:rPr>
        <w:t>Временное правительство, обсудив военное положение русского государства, во имя долга перед страной решило прямо и открыто сказать народу всю правду. &lt;…&gt;</w:t>
      </w:r>
    </w:p>
    <w:p w14:paraId="71DA893C" w14:textId="77777777" w:rsidR="00F94E09" w:rsidRPr="002F2FDF" w:rsidRDefault="00F94E09" w:rsidP="0083075A">
      <w:pPr>
        <w:pStyle w:val="ae"/>
        <w:spacing w:before="0" w:after="0"/>
        <w:jc w:val="both"/>
        <w:rPr>
          <w:color w:val="000000" w:themeColor="text1"/>
          <w:kern w:val="2"/>
          <w:sz w:val="16"/>
          <w:szCs w:val="16"/>
        </w:rPr>
      </w:pPr>
      <w:r w:rsidRPr="002F2FDF">
        <w:rPr>
          <w:color w:val="000000" w:themeColor="text1"/>
          <w:kern w:val="2"/>
          <w:sz w:val="16"/>
          <w:szCs w:val="16"/>
        </w:rPr>
        <w:t>Оборона во что бы то ни стало нашего собственного родного достояния и избавление страны от вторгнувшегося в наши пределы врага — первая насущная и жизненная задача наших воинов, защищающих свободу народа.</w:t>
      </w:r>
    </w:p>
    <w:p w14:paraId="67CFB463" w14:textId="77777777" w:rsidR="00F94E09" w:rsidRPr="002F2FDF" w:rsidRDefault="00F94E09" w:rsidP="0083075A">
      <w:pPr>
        <w:pStyle w:val="ae"/>
        <w:spacing w:before="0" w:after="0"/>
        <w:jc w:val="both"/>
        <w:rPr>
          <w:color w:val="000000" w:themeColor="text1"/>
          <w:kern w:val="2"/>
          <w:sz w:val="16"/>
          <w:szCs w:val="16"/>
        </w:rPr>
      </w:pPr>
      <w:r w:rsidRPr="002F2FDF">
        <w:rPr>
          <w:color w:val="000000" w:themeColor="text1"/>
          <w:kern w:val="2"/>
          <w:sz w:val="16"/>
          <w:szCs w:val="16"/>
        </w:rPr>
        <w:t>Предоставляя воле народа в тесном единении с нашими союзниками окончательно разрешить все вопросы, связанные с мировою войной и ее окончанием, Временное правительство считает своим правом и долгом ныне же заявить, что цель свободной России не господство над другими народами, не отнятие у них национального их достояния, не насильственный захват чужих территорий, но утверждение прочного мира на основе самоопределения народов. Русский народ не добивается усиления внешней мощи своей за счет других народов, он не ставит своей целью ничьего порабощения и унижения. Во имя высших начал справедливости им сняты оковы, лежавшие на польском народе. Но русский народ не допустит, чтобы родина его вышла из великой борьбы униженной и подорванной в жизненных своих силах. Эти начала будут положены в основу внешней политики Временного правительства, неуклонно проводящей волю народную и ограждающей права нашей родины при полном соблюдении обязательств, принятых в отношении наших союзников. &lt;…&gt;</w:t>
      </w:r>
    </w:p>
    <w:p w14:paraId="264821E4" w14:textId="77777777" w:rsidR="00F94E09" w:rsidRPr="002F2FDF" w:rsidRDefault="00F94E09" w:rsidP="0083075A">
      <w:pPr>
        <w:pStyle w:val="ae"/>
        <w:spacing w:before="0" w:after="0"/>
        <w:jc w:val="both"/>
        <w:rPr>
          <w:color w:val="000000" w:themeColor="text1"/>
          <w:kern w:val="2"/>
          <w:sz w:val="16"/>
          <w:szCs w:val="16"/>
        </w:rPr>
      </w:pPr>
      <w:r w:rsidRPr="002F2FDF">
        <w:rPr>
          <w:color w:val="000000" w:themeColor="text1"/>
          <w:kern w:val="2"/>
          <w:sz w:val="16"/>
          <w:szCs w:val="16"/>
        </w:rPr>
        <w:t>В час сурового испытания пусть вся страна найдет в себе силы закрепить завоеванную свободу и отдаться неустанной работе на благо свободной России. Временное правительство, давшее торжественную клятву служить народу, твердо верит, что, при общей и единодушной поддержке всех и каждого, и само оно будет в состоянии выполнить свой долг перед страной до конца.</w:t>
      </w:r>
    </w:p>
    <w:p w14:paraId="3848FF32" w14:textId="77777777" w:rsidR="00F94E09" w:rsidRPr="002F2FDF" w:rsidRDefault="00F94E09" w:rsidP="0083075A">
      <w:pPr>
        <w:pStyle w:val="ae"/>
        <w:spacing w:before="0" w:after="0"/>
        <w:jc w:val="both"/>
        <w:rPr>
          <w:color w:val="000000" w:themeColor="text1"/>
          <w:kern w:val="2"/>
          <w:sz w:val="16"/>
          <w:szCs w:val="16"/>
        </w:rPr>
      </w:pPr>
      <w:r w:rsidRPr="002F2FDF">
        <w:rPr>
          <w:color w:val="000000" w:themeColor="text1"/>
          <w:kern w:val="2"/>
          <w:sz w:val="16"/>
          <w:szCs w:val="16"/>
        </w:rPr>
        <w:t>Министр-председатель князь Г.Е. Львов» (17045).</w:t>
      </w:r>
    </w:p>
    <w:p w14:paraId="6372F30F" w14:textId="77777777" w:rsidR="00F94E09" w:rsidRPr="002F2FDF" w:rsidRDefault="00F94E0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E374B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00285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BEB52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марта (9 апреля) 1917 вагон с лидерами русской политической эмиграции, в том числе с Лениным, выехали из Швейцарии в Россию (4962).</w:t>
      </w:r>
    </w:p>
    <w:p w14:paraId="4E37748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7F1C97" w14:textId="77777777" w:rsidR="00883CAF" w:rsidRPr="002F2FDF" w:rsidRDefault="00883CA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марта (9 апреля) в 1917 году вагон с лидерами русской политической эмиграции, в том числе с Лениным, выезжает из Швейцарии в Россию (15094).</w:t>
      </w:r>
    </w:p>
    <w:p w14:paraId="67789EC0" w14:textId="77777777" w:rsidR="00883CAF" w:rsidRPr="002F2FDF" w:rsidRDefault="00883CAF" w:rsidP="0083075A">
      <w:pPr>
        <w:spacing w:after="0" w:line="240" w:lineRule="auto"/>
        <w:jc w:val="both"/>
        <w:rPr>
          <w:rFonts w:ascii="Times New Roman" w:hAnsi="Times New Roman" w:cs="Times New Roman"/>
          <w:color w:val="000000" w:themeColor="text1"/>
          <w:kern w:val="2"/>
          <w:sz w:val="16"/>
          <w:szCs w:val="16"/>
        </w:rPr>
      </w:pPr>
    </w:p>
    <w:p w14:paraId="196F1A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марта (9 апреля) 1917 было опубликовано воззвание К народам России (3481). МИД П.Н.Милюков согласился с необходимостью заключения справедливого и прочного мира без аннексий (1348,114).</w:t>
      </w:r>
    </w:p>
    <w:p w14:paraId="564700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E057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Между 27 марта и 2 апреля (9 и 15 апреля) 1917. Из журнала заседаний Временного правительства № 31, 1917 г.</w:t>
      </w:r>
    </w:p>
    <w:p w14:paraId="458CD6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Об изготовлении и продаже крепких напитков </w:t>
      </w:r>
    </w:p>
    <w:p w14:paraId="471D4B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I. Воспрещается повсеместно в России продажа для питьевого потребления крепких напитков и не относящихся к напиткам спиртосодержащих веществ... II. Напитки признаются крепкими, если содержание в них винного спирта превышает полтора процента (градуса). Напитки с меньшим содержанием винного спирта, а также кумыс и кефир не считаются крепкими, допускаются при отсутствии в них одуряющих или вредных для здоровья примесей к свободной продаже и не подлежат оплате акцизом; применение хмеля при изготовлении некрепких напитков не воспрещается. Не относящимися к напиткам спиртосодержащими веществами признаются: древесный, сивушный и прочие спирты и всякой крепости их растворы, кроме винного спирта и его растворов... </w:t>
      </w:r>
    </w:p>
    <w:p w14:paraId="49F13F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III. Продажа крепких напитков и не относящихся к напиткам спиртосодержащих веществ для технических, врачебных, фармацевтических, химических, учебных и тому подобных надобностей производится исключительно из выделывающих эти напитки заведений, из аптек, казенных лавок и складов... </w:t>
      </w:r>
    </w:p>
    <w:p w14:paraId="470F98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V. В изъятие из постановлений отделов I и III в винодельческих местностях разрешается повсеместно производить с соблюдением действующих узаконений и правил продажу натуральных виноградных вин, выделываемых из произрастающего в России винограда, крепостью не свыше двенадцати процентов (градусов); продажа означенных вин вне винодельческих местностей допускается только в городских поселениях... </w:t>
      </w:r>
    </w:p>
    <w:p w14:paraId="3C48F4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 За продажу крепких напитков и не относящихся к напиткам спиртосодержащих веществ без установленного разрешения виновные подвергаются: в первый раз — заключению в тюрьме на время от 2 до 4 месяцев; во второй раз — заключению в тюрьме на время от 4 до 8 месяцев; в третий раз — заключению в тюрьме на время от 8 месяцев до 1 года и 4 месяцев. Если нарушение производилось в виде промысла или обнаружено в торговом заведении, на заводе, то виновные сверх означенных выше наказаний подвергаются денежному взысканию в размере от пятисот до двух тысяч рублей (11652).</w:t>
      </w:r>
    </w:p>
    <w:p w14:paraId="55C596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2E08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Между 27 марта и 2 апреля (9 и 15 апреля) 1917. Из журнала заседаний Временного правительства № 31, 1917 г.</w:t>
      </w:r>
    </w:p>
    <w:p w14:paraId="38F995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 восстановлении автокефалии древней православной Грузинской церкви </w:t>
      </w:r>
    </w:p>
    <w:p w14:paraId="59ED0B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Временное правительство, не касаясь канонической стороны восстановления автокефалии древней православной Грузинской церкви с Мцхетским католикосом во главе, провозглашенной Освященным собором Иверской апостольской церкви 12 марта сего года, признает необходимым установить правовые последствия, связанные с таковым восстановлением. Посему Временное правительство признает за автокефальной Грузинской церковью характер национально-грузинский, не ограничивая ее определенной территорией. Все православные приходы русские и другие не грузинские остаются в ведении православной русской церкви... </w:t>
      </w:r>
    </w:p>
    <w:p w14:paraId="75E72B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Временное правительство выражает твердую уверенность, что закрепление церковно-канонических основ великого акта самоопределения Грузинской церкви совершится в духе церковного мира и любви, по сношении церкви Грузинской с Православной русской церковью (11652).</w:t>
      </w:r>
    </w:p>
    <w:p w14:paraId="408F98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CDB536" w14:textId="77777777" w:rsidR="008E6FB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71ADC1AA" w14:textId="77777777" w:rsidR="008E6FB1" w:rsidRPr="002F2FDF" w:rsidRDefault="008E6FB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EB89EC" w14:textId="50C9D1A4" w:rsidR="00F94E09" w:rsidRPr="002F2FDF" w:rsidRDefault="00F94E09" w:rsidP="0083075A">
      <w:pPr>
        <w:pStyle w:val="ae"/>
        <w:spacing w:before="0" w:after="0"/>
        <w:jc w:val="both"/>
        <w:rPr>
          <w:color w:val="000000" w:themeColor="text1"/>
          <w:kern w:val="2"/>
          <w:sz w:val="16"/>
          <w:szCs w:val="16"/>
        </w:rPr>
      </w:pPr>
      <w:r w:rsidRPr="002F2FDF">
        <w:rPr>
          <w:iCs/>
          <w:color w:val="000000" w:themeColor="text1"/>
          <w:kern w:val="2"/>
          <w:sz w:val="16"/>
          <w:szCs w:val="16"/>
        </w:rPr>
        <w:t xml:space="preserve">27 марта (9 апреля) 1917 г. </w:t>
      </w:r>
      <w:r w:rsidRPr="002F2FDF">
        <w:rPr>
          <w:color w:val="000000" w:themeColor="text1"/>
          <w:kern w:val="2"/>
          <w:sz w:val="16"/>
          <w:szCs w:val="16"/>
        </w:rPr>
        <w:t xml:space="preserve">в Петрограде состоялась беседа </w:t>
      </w:r>
      <w:r w:rsidR="00E52569">
        <w:rPr>
          <w:color w:val="000000" w:themeColor="text1"/>
          <w:kern w:val="2"/>
          <w:sz w:val="16"/>
          <w:szCs w:val="16"/>
        </w:rPr>
        <w:t xml:space="preserve"> </w:t>
      </w:r>
      <w:r w:rsidRPr="002F2FDF">
        <w:rPr>
          <w:color w:val="000000" w:themeColor="text1"/>
          <w:kern w:val="2"/>
          <w:sz w:val="16"/>
          <w:szCs w:val="16"/>
        </w:rPr>
        <w:t>французского посла в России Мориса Палеолога и министра иностранных дел Временного правительства Павла Милюкова. Главной темой был вопрос о разногласиях относительно «целей войны» между Милюковым и министром юстиции Александром Керенским, который одновременно был лидером партии социалистов-революционеров, доминировавшей в Петроградском совете рабочих и солдатских депутатов. До этого на совещании во Временном правительстве 6 апреля Керенский передал Милюкову требование Совета о начале немедленных переговоров с союзниками о прекращении войны на жестких условиях: «Ни аннексии, ни контрибуции, свободное самоопределение народов».</w:t>
      </w:r>
    </w:p>
    <w:p w14:paraId="3417039E" w14:textId="77777777" w:rsidR="00F94E09" w:rsidRPr="002F2FDF" w:rsidRDefault="00F94E09" w:rsidP="0083075A">
      <w:pPr>
        <w:pStyle w:val="ae"/>
        <w:spacing w:before="0" w:after="0"/>
        <w:jc w:val="both"/>
        <w:rPr>
          <w:color w:val="000000" w:themeColor="text1"/>
          <w:kern w:val="2"/>
          <w:sz w:val="16"/>
          <w:szCs w:val="16"/>
        </w:rPr>
      </w:pPr>
      <w:r w:rsidRPr="002F2FDF">
        <w:rPr>
          <w:color w:val="000000" w:themeColor="text1"/>
          <w:kern w:val="2"/>
          <w:sz w:val="16"/>
          <w:szCs w:val="16"/>
        </w:rPr>
        <w:t>Палеолог так прокомментировал демарш Совета: «Требования Совета равносильны отпадению России [из войны], &lt;…&gt; у вас есть более 10 миллионов человек под ружьем; вы пользуетесь поддержкой восьми союзников, из которых большинство пострадало гораздо больше, чем вы, но более, чем когда-либо, полны решимости бороться до полной победы. К вам прибывает девятый союзник, и какой — Америка! Эта ужасная война была начата за славянское дело. Франция полетела вам на помощь, ни на миг не торгуясь из-за своей поддержки… И вы первые оставите борьбу?!»</w:t>
      </w:r>
    </w:p>
    <w:p w14:paraId="71F298EA" w14:textId="77777777" w:rsidR="00F94E09" w:rsidRPr="002F2FDF" w:rsidRDefault="00F94E09" w:rsidP="0083075A">
      <w:pPr>
        <w:pStyle w:val="ae"/>
        <w:spacing w:before="0" w:after="0"/>
        <w:jc w:val="both"/>
        <w:rPr>
          <w:color w:val="000000" w:themeColor="text1"/>
          <w:kern w:val="2"/>
          <w:sz w:val="16"/>
          <w:szCs w:val="16"/>
        </w:rPr>
      </w:pPr>
      <w:r w:rsidRPr="002F2FDF">
        <w:rPr>
          <w:color w:val="000000" w:themeColor="text1"/>
          <w:kern w:val="2"/>
          <w:sz w:val="16"/>
          <w:szCs w:val="16"/>
        </w:rPr>
        <w:t>Милюков в ответ заявил: «Я настолько согласен с вами, что если бы требования Совета восторжествовали, я тотчас ушел бы в отставку» (17045).</w:t>
      </w:r>
    </w:p>
    <w:p w14:paraId="02E14505" w14:textId="77777777" w:rsidR="00F94E09" w:rsidRPr="002F2FDF" w:rsidRDefault="00F94E09" w:rsidP="0083075A">
      <w:pPr>
        <w:spacing w:after="0" w:line="240" w:lineRule="auto"/>
        <w:jc w:val="both"/>
        <w:rPr>
          <w:rFonts w:ascii="Times New Roman" w:hAnsi="Times New Roman" w:cs="Times New Roman"/>
          <w:iCs/>
          <w:color w:val="000000" w:themeColor="text1"/>
          <w:kern w:val="2"/>
          <w:sz w:val="16"/>
          <w:szCs w:val="16"/>
        </w:rPr>
      </w:pPr>
    </w:p>
    <w:p w14:paraId="1721759C"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 xml:space="preserve">27 марта (9 апреля) 1917 г. </w:t>
      </w:r>
      <w:r w:rsidRPr="002F2FDF">
        <w:rPr>
          <w:rFonts w:ascii="Times New Roman" w:hAnsi="Times New Roman" w:cs="Times New Roman"/>
          <w:color w:val="000000" w:themeColor="text1"/>
          <w:kern w:val="2"/>
          <w:sz w:val="16"/>
          <w:szCs w:val="16"/>
        </w:rPr>
        <w:t>Письмо ген. А. А. Михельсона М. И. Терещенко о размерах предполагаемого американского кредита.</w:t>
      </w:r>
    </w:p>
    <w:p w14:paraId="79A99C44" w14:textId="6654621F"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535-536</w:t>
      </w:r>
    </w:p>
    <w:p w14:paraId="7ADCCF31" w14:textId="50365A32"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ЦГИАЛ. ф. 1525, оп. 1, д. 681. лл. 106—107. Копия.</w:t>
      </w:r>
    </w:p>
    <w:p w14:paraId="040579A0"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Товарищ министра торговли и промышленности проф. Б. А. Бахметьев передал мне, что Вы ожидали меня вчера в заседании, где обсуждался вопрос об американском займе. К моему глубокому сожалению, я никакого ни устного, ни письменного приглашения в заседание не получал. По просьбе Б. А. Бахметьева представляю при сем две ведомости: 1) о состоянии наших платежей в валюте по английскому кредиту вообще к 1 апреля н. ст., т. е. когда истек срок наших финансовых соглашений с Англией, 2) справку о том. какая часть из этой валюты приходится на Америку в долларах.</w:t>
      </w:r>
    </w:p>
    <w:p w14:paraId="6117951D"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Из этих обеих справок, казалось, вытекают следующие положения, если действительно наши новые союзники американцы готовы прийти нам на помощь кредитом для наших заказов в Америке:</w:t>
      </w:r>
    </w:p>
    <w:p w14:paraId="60C056E5"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1) По английскому кредиту у нас в отношении обязательств имеется дефицит в 850 млн руб. в валюте. Англия имеет для нас еще незаплачен-ной валюты около 1632 млн руб., из этой суммы мы должны были бы заплатить в долларах около 1270 млн руб.</w:t>
      </w:r>
    </w:p>
    <w:p w14:paraId="4DD27578"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lastRenderedPageBreak/>
        <w:t>2) Если американцы дали бы нам для начала 1 % млрд дол. (или около 3 млрд руб.), что им сделать очень легко, то этим самым из английского кредита немедленно освободилась бы сумма в 1270 млн. Наш дефицит был бы сразу покрыт с остатком в 400 млн с лишком но английскому кредиту и [остатку], переходящему из 1-го и 2-го займов на период 3-го предстоящего займа.</w:t>
      </w:r>
    </w:p>
    <w:p w14:paraId="1DF1541D"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Из нового американского займа за покрытием принятых уже обязательств у нас оставалось бы для новых заказов свободных 1730 млн руб. Этих кредитов, судя по ходу поставок на ближайшее время, т. е. текущую навигацию 1917 г., хватило бы впредь до 1 января 1918 г.</w:t>
      </w:r>
    </w:p>
    <w:p w14:paraId="4E349601"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Должен оговорить, что я не принимаю во внимание интересов частной, не работающей на оборону промышленности, ибо этот отдел промышленности из компетенции моего суждения выходит, тем не менее позволяю себе сделать предположение, что и эта промышленность ввиду ограниченности мирового тоннажа тоже в этих кредитах поместится.</w:t>
      </w:r>
    </w:p>
    <w:p w14:paraId="526B8A6A"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Таким образом, казалось бы, что для ближайшего периода войны нам надо просить у американцев кредит в 1% млрд. дол., выговоря себе право перенести на него все платежи по когда бьт то ни было заключенным обязательствам в Америке.</w:t>
      </w:r>
    </w:p>
    <w:p w14:paraId="02A9ED7D"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Прошу Вас, милостивый государь, принять уверение в глубоком моем уважении и искренней преданности.</w:t>
      </w:r>
    </w:p>
    <w:p w14:paraId="4C0873E1" w14:textId="77777777" w:rsidR="008E6FB1" w:rsidRPr="002F2FDF" w:rsidRDefault="008E6FB1" w:rsidP="0083075A">
      <w:pPr>
        <w:pStyle w:val="ae"/>
        <w:spacing w:before="0" w:after="0"/>
        <w:jc w:val="both"/>
        <w:rPr>
          <w:color w:val="000000" w:themeColor="text1"/>
          <w:kern w:val="2"/>
          <w:sz w:val="16"/>
          <w:szCs w:val="16"/>
        </w:rPr>
      </w:pPr>
      <w:r w:rsidRPr="002F2FDF">
        <w:rPr>
          <w:color w:val="000000" w:themeColor="text1"/>
          <w:kern w:val="2"/>
          <w:sz w:val="16"/>
          <w:szCs w:val="16"/>
        </w:rPr>
        <w:t>А. Михельсон (15189).</w:t>
      </w:r>
    </w:p>
    <w:p w14:paraId="7B5263AA" w14:textId="77777777" w:rsidR="008E6FB1" w:rsidRPr="002F2FDF" w:rsidRDefault="008E6FB1"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22C67B4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3750D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8AD0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марта (9 апреля) 1917 началась битва у Арраса (2100). Это была операция Р.Нивеля, которая длилась до 5 мая 1917. Успеха не получилось несмотря на двойной перевес и ход войны не переломили. Немцы отвели войска за линию Зигфрида. Погибло 500 тыс. с обоих сторон (2438,446).</w:t>
      </w:r>
    </w:p>
    <w:p w14:paraId="647946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89EAA9" w14:textId="77777777"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марта (9 апреля) в 1917 году в районе Арраса началась наступательная операция англо-французских войск под руководством генерала Р.Ж.Нивеля. В ней также приняли участие две русские бригады. Позднее из-за больших потерь (свыше 200 тыс. чел.) наступление получит название "Бойня Нивеля" (15094).</w:t>
      </w:r>
    </w:p>
    <w:p w14:paraId="14FC1935" w14:textId="77777777"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p>
    <w:p w14:paraId="265FC8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начавшемся 27 марта (9 апреля) 1917 под Аррасом сражении союзники сильно потрепали немецкие войска. Солдаты и командиры жаловались на недостаточную поддержку летчиков во время боя. Если в неудачах германской обороны и нельзя обвинить летчиков, то все же обсуждения на фронте показали, что на самом деле совместная работа частей и летчиков оставляла желать лучшего. Авиаотряды, которые только что прибыли с востока, а также отряды, занимавшиеся главным образом фоторазведкой, не смогли оказать достаточно действенной помощи наземным войскам, когда оказались в горниле крупного сражения. Основная причина лежала в недостаточном понимании артиллерией возможностей авиации. Часто летчики хотели и могли помочь артиллерии, но оставались неиспользованными, так как не было выделено особых батарей. Требования, за которые упорно держалась артиллерия, — чтобы летчик поначалу наблюдал за пристрелкой, а вслед за этим и за огнем на поражение — не могли быть исполнены в крупном сражении вследствие недостатка времени. В ходе сражения возможности летчиковнаблюдателей расширялись, так как батареи, следуя за наступающими войсками, выдвигались на новые, хуже замаскированные позиции. Как всегда, противник в первый день наступления обеспечил себе временный перевес в воздухе сосредоточением своих авигсил над районом боевых действий: наши части жаловались на досаждавших им неприятельских летчиков. Истребительная авиация 6-й армии была усилена. Главным образом появление 11-й истребительной эскадрильи, приданной ранее соединению, располагавшемуся несколько южнее, способствовало тому, что понемногу пыл у англичан угас (11282).</w:t>
      </w:r>
    </w:p>
    <w:p w14:paraId="439B53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D0EC29" w14:textId="77777777" w:rsidR="006F3A1F" w:rsidRPr="002F2FDF" w:rsidRDefault="006F3A1F" w:rsidP="0083075A">
      <w:pPr>
        <w:pStyle w:val="ae"/>
        <w:spacing w:before="0" w:after="0"/>
        <w:jc w:val="both"/>
        <w:rPr>
          <w:color w:val="000000" w:themeColor="text1"/>
          <w:kern w:val="2"/>
          <w:sz w:val="16"/>
          <w:szCs w:val="16"/>
        </w:rPr>
      </w:pPr>
      <w:r w:rsidRPr="002F2FDF">
        <w:rPr>
          <w:color w:val="000000" w:themeColor="text1"/>
          <w:kern w:val="2"/>
          <w:sz w:val="16"/>
          <w:szCs w:val="16"/>
        </w:rPr>
        <w:t>27 марта (9 апреля) в 1917 году на севере Франции союзники начали первую в 1917 году крупную наступательную операцию. Участвовали в ней только английские части, которые атаковали позиции германцев в районе города Аррас (в 160 км к северу от Парижа). Изначально это наступление должно было проводиться одновременно с французским на другом участке фронта как часть масштабной операции, разработанной французским главнокомандующим генералом Нивелем (в историю она вошла как «наступление Нивеля»). Однако по разным причинам выдвижение французских войск было отложено, и англичане пошли вперед одни. Помимо собственно англичан, в битве приняли активное участие части из доминионов — канадские, новозеландские и австралийские.</w:t>
      </w:r>
    </w:p>
    <w:p w14:paraId="4200AC33" w14:textId="3AA1F760" w:rsidR="006F3A1F" w:rsidRPr="002F2FDF" w:rsidRDefault="006F3A1F" w:rsidP="0083075A">
      <w:pPr>
        <w:pStyle w:val="ae"/>
        <w:spacing w:before="0" w:after="0"/>
        <w:jc w:val="both"/>
        <w:rPr>
          <w:color w:val="000000" w:themeColor="text1"/>
          <w:kern w:val="2"/>
          <w:sz w:val="16"/>
          <w:szCs w:val="16"/>
        </w:rPr>
      </w:pPr>
      <w:r w:rsidRPr="002F2FDF">
        <w:rPr>
          <w:color w:val="000000" w:themeColor="text1"/>
          <w:kern w:val="2"/>
          <w:sz w:val="16"/>
          <w:szCs w:val="16"/>
        </w:rPr>
        <w:t>Британские инженеры прорыли до передовых позиций тоннели общей длиной более 20 километров, в которых были проложены железные дороги для доставки боеприпасов и закладки мин. Только в этих тоннелях могли разместиться 24</w:t>
      </w:r>
      <w:r w:rsidR="00E52569">
        <w:rPr>
          <w:color w:val="000000" w:themeColor="text1"/>
          <w:kern w:val="2"/>
          <w:sz w:val="16"/>
          <w:szCs w:val="16"/>
        </w:rPr>
        <w:t xml:space="preserve"> </w:t>
      </w:r>
      <w:r w:rsidRPr="002F2FDF">
        <w:rPr>
          <w:color w:val="000000" w:themeColor="text1"/>
          <w:kern w:val="2"/>
          <w:sz w:val="16"/>
          <w:szCs w:val="16"/>
        </w:rPr>
        <w:t>тысячи человек. Один из сохранившихся тоннелей сегодня функционирует как музей.</w:t>
      </w:r>
    </w:p>
    <w:p w14:paraId="2EDAE90F" w14:textId="77777777" w:rsidR="006F3A1F" w:rsidRPr="002F2FDF" w:rsidRDefault="006F3A1F" w:rsidP="0083075A">
      <w:pPr>
        <w:pStyle w:val="ae"/>
        <w:spacing w:before="0" w:after="0"/>
        <w:jc w:val="both"/>
        <w:rPr>
          <w:color w:val="000000" w:themeColor="text1"/>
          <w:kern w:val="2"/>
          <w:sz w:val="16"/>
          <w:szCs w:val="16"/>
        </w:rPr>
      </w:pPr>
      <w:r w:rsidRPr="002F2FDF">
        <w:rPr>
          <w:color w:val="000000" w:themeColor="text1"/>
          <w:kern w:val="2"/>
          <w:sz w:val="16"/>
          <w:szCs w:val="16"/>
        </w:rPr>
        <w:t>С тактической точки зрения, британцы учли опыт битвы на Сомме, выбрав для наступления один небольшой участок фронта, на котором предполагалось достичь максимальной плотности артиллерийского огня. Артиллерийская подготовка началась 7 апреля и продолжалась 2 дня, за которые было израсходовано более 2 500 000 снарядов. Особого эффекта, однако, англичанам добиться не удалось, за исключением того, что был сорван подвоз продовольствия на позиции противника и германские солдаты на некоторых участках оставались без пищи более трех дней. Также британцам не повезло и в небе, поскольку под Аррасом не удалось сконцентрировать достаточного количества опытных пилотов, чтобы добиться господства в воздухе. Немцы же из-за бездействия русской армии, в которой началось революционное «брожение», смогли собрать на Западном фронте самых опытных асов.</w:t>
      </w:r>
    </w:p>
    <w:p w14:paraId="1F2BB7B2" w14:textId="77777777" w:rsidR="006F3A1F" w:rsidRPr="002F2FDF" w:rsidRDefault="006F3A1F" w:rsidP="0083075A">
      <w:pPr>
        <w:pStyle w:val="ae"/>
        <w:spacing w:before="0" w:after="0"/>
        <w:jc w:val="both"/>
        <w:rPr>
          <w:color w:val="000000" w:themeColor="text1"/>
          <w:kern w:val="2"/>
          <w:sz w:val="16"/>
          <w:szCs w:val="16"/>
        </w:rPr>
      </w:pPr>
      <w:r w:rsidRPr="002F2FDF">
        <w:rPr>
          <w:color w:val="000000" w:themeColor="text1"/>
          <w:kern w:val="2"/>
          <w:sz w:val="16"/>
          <w:szCs w:val="16"/>
        </w:rPr>
        <w:t>9 апреля в атаку поднялась пехота. Наибольшего успеха в первый день достигли канадские части, которые уже к вечеру захватили позиции германцев на 20-километровом участке в районе деревни Вими. На другом участке прорыва в районе реки Скарпа британцы смогли захватить первую линию германских окопов (17045).</w:t>
      </w:r>
    </w:p>
    <w:p w14:paraId="6B32F9EF" w14:textId="77777777" w:rsidR="006F3A1F" w:rsidRPr="002F2FDF" w:rsidRDefault="006F3A1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AB30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марта (9 апреля) 1917 на ЗФ началось сражение под Вими Рижем, которое продолжалось до 1 (14) апреля (3907,89).</w:t>
      </w:r>
    </w:p>
    <w:p w14:paraId="4B743147" w14:textId="658A3747" w:rsidR="003431D2"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779A82" w14:textId="35109E05" w:rsidR="00F75330" w:rsidRPr="00F75330" w:rsidRDefault="00F75330"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F75330">
        <w:rPr>
          <w:rFonts w:ascii="Times New Roman" w:hAnsi="Times New Roman" w:cs="Times New Roman"/>
          <w:i/>
          <w:iCs/>
          <w:color w:val="000000" w:themeColor="text1"/>
          <w:kern w:val="2"/>
          <w:sz w:val="16"/>
          <w:szCs w:val="16"/>
        </w:rPr>
        <w:t>Авиапромышленность:</w:t>
      </w:r>
    </w:p>
    <w:p w14:paraId="5C554CF2" w14:textId="77777777" w:rsidR="00F75330" w:rsidRPr="00F75330" w:rsidRDefault="00F75330"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5C9EB46D" w14:textId="77777777" w:rsidR="00F75330" w:rsidRPr="00815ED5" w:rsidRDefault="00F7533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28 марта (10 апреля) 1917 г. прапорщик в</w:t>
      </w:r>
      <w:r w:rsidRPr="00815ED5">
        <w:rPr>
          <w:rFonts w:ascii="Times New Roman" w:hAnsi="Times New Roman" w:cs="Times New Roman"/>
          <w:color w:val="0070C0"/>
          <w:sz w:val="16"/>
          <w:szCs w:val="16"/>
        </w:rPr>
        <w:t>о</w:t>
      </w:r>
      <w:r>
        <w:rPr>
          <w:rFonts w:ascii="Times New Roman" w:hAnsi="Times New Roman" w:cs="Times New Roman"/>
          <w:color w:val="0070C0"/>
          <w:sz w:val="16"/>
          <w:szCs w:val="16"/>
        </w:rPr>
        <w:t>з</w:t>
      </w:r>
      <w:r w:rsidRPr="00815ED5">
        <w:rPr>
          <w:rFonts w:ascii="Times New Roman" w:hAnsi="Times New Roman" w:cs="Times New Roman"/>
          <w:color w:val="0070C0"/>
          <w:sz w:val="16"/>
          <w:szCs w:val="16"/>
        </w:rPr>
        <w:t>духопл</w:t>
      </w:r>
      <w:r>
        <w:rPr>
          <w:rFonts w:ascii="Times New Roman" w:hAnsi="Times New Roman" w:cs="Times New Roman"/>
          <w:color w:val="0070C0"/>
          <w:sz w:val="16"/>
          <w:szCs w:val="16"/>
        </w:rPr>
        <w:t>ава</w:t>
      </w:r>
      <w:r w:rsidRPr="00815ED5">
        <w:rPr>
          <w:rFonts w:ascii="Times New Roman" w:hAnsi="Times New Roman" w:cs="Times New Roman"/>
          <w:color w:val="0070C0"/>
          <w:sz w:val="16"/>
          <w:szCs w:val="16"/>
        </w:rPr>
        <w:t xml:space="preserve">тельной школы </w:t>
      </w:r>
      <w:r>
        <w:rPr>
          <w:rFonts w:ascii="Times New Roman" w:hAnsi="Times New Roman" w:cs="Times New Roman"/>
          <w:color w:val="0070C0"/>
          <w:sz w:val="16"/>
          <w:szCs w:val="16"/>
        </w:rPr>
        <w:t>Ш</w:t>
      </w:r>
      <w:r w:rsidRPr="00815ED5">
        <w:rPr>
          <w:rFonts w:ascii="Times New Roman" w:hAnsi="Times New Roman" w:cs="Times New Roman"/>
          <w:color w:val="0070C0"/>
          <w:sz w:val="16"/>
          <w:szCs w:val="16"/>
        </w:rPr>
        <w:t>т</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 xml:space="preserve">рн предложил </w:t>
      </w:r>
      <w:r>
        <w:rPr>
          <w:rFonts w:ascii="Times New Roman" w:hAnsi="Times New Roman" w:cs="Times New Roman"/>
          <w:color w:val="0070C0"/>
          <w:sz w:val="16"/>
          <w:szCs w:val="16"/>
        </w:rPr>
        <w:t>проект</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ав</w:t>
      </w:r>
      <w:r w:rsidRPr="00815ED5">
        <w:rPr>
          <w:rFonts w:ascii="Times New Roman" w:hAnsi="Times New Roman" w:cs="Times New Roman"/>
          <w:color w:val="0070C0"/>
          <w:sz w:val="16"/>
          <w:szCs w:val="16"/>
        </w:rPr>
        <w:t>томатического парашюта для самолета на случай ранения лет</w:t>
      </w:r>
      <w:r>
        <w:rPr>
          <w:rFonts w:ascii="Times New Roman" w:hAnsi="Times New Roman" w:cs="Times New Roman"/>
          <w:color w:val="0070C0"/>
          <w:sz w:val="16"/>
          <w:szCs w:val="16"/>
        </w:rPr>
        <w:t xml:space="preserve">чика или повреждения </w:t>
      </w:r>
      <w:r w:rsidRPr="00815ED5">
        <w:rPr>
          <w:rFonts w:ascii="Times New Roman" w:hAnsi="Times New Roman" w:cs="Times New Roman"/>
          <w:color w:val="0070C0"/>
          <w:sz w:val="16"/>
          <w:szCs w:val="16"/>
        </w:rPr>
        <w:t xml:space="preserve">самолета </w:t>
      </w: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 xml:space="preserve"> во</w:t>
      </w:r>
      <w:r>
        <w:rPr>
          <w:rFonts w:ascii="Times New Roman" w:hAnsi="Times New Roman" w:cs="Times New Roman"/>
          <w:color w:val="0070C0"/>
          <w:sz w:val="16"/>
          <w:szCs w:val="16"/>
        </w:rPr>
        <w:t>з</w:t>
      </w:r>
      <w:r w:rsidRPr="00815ED5">
        <w:rPr>
          <w:rFonts w:ascii="Times New Roman" w:hAnsi="Times New Roman" w:cs="Times New Roman"/>
          <w:color w:val="0070C0"/>
          <w:sz w:val="16"/>
          <w:szCs w:val="16"/>
        </w:rPr>
        <w:t>духе.</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Технический комитет </w:t>
      </w:r>
      <w:r>
        <w:rPr>
          <w:rFonts w:ascii="Times New Roman" w:hAnsi="Times New Roman" w:cs="Times New Roman"/>
          <w:color w:val="0070C0"/>
          <w:sz w:val="16"/>
          <w:szCs w:val="16"/>
        </w:rPr>
        <w:t>УВВФ отклонил предлржение,</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так </w:t>
      </w:r>
      <w:r w:rsidRPr="00815ED5">
        <w:rPr>
          <w:rFonts w:ascii="Times New Roman" w:hAnsi="Times New Roman" w:cs="Times New Roman"/>
          <w:color w:val="0070C0"/>
          <w:sz w:val="16"/>
          <w:szCs w:val="16"/>
        </w:rPr>
        <w:t>как "применение предлагаемого парашюта</w:t>
      </w:r>
      <w:r>
        <w:rPr>
          <w:rFonts w:ascii="Times New Roman" w:hAnsi="Times New Roman" w:cs="Times New Roman"/>
          <w:color w:val="0070C0"/>
          <w:sz w:val="16"/>
          <w:szCs w:val="16"/>
        </w:rPr>
        <w:t xml:space="preserve"> на существующих </w:t>
      </w:r>
      <w:r w:rsidRPr="00815ED5">
        <w:rPr>
          <w:rFonts w:ascii="Times New Roman" w:hAnsi="Times New Roman" w:cs="Times New Roman"/>
          <w:color w:val="0070C0"/>
          <w:sz w:val="16"/>
          <w:szCs w:val="16"/>
        </w:rPr>
        <w:t>тинах аэропланов невозможно”,</w:t>
      </w:r>
    </w:p>
    <w:p w14:paraId="4F7C8FFD" w14:textId="77777777" w:rsidR="00F75330" w:rsidRDefault="00F7533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/ЦГВИА, ф. 493, оп. 10, д. 144, л. 4</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78ACC74E" w14:textId="77777777" w:rsidR="00F75330" w:rsidRPr="00815ED5" w:rsidRDefault="00F75330" w:rsidP="0083075A">
      <w:pPr>
        <w:spacing w:after="0" w:line="240" w:lineRule="auto"/>
        <w:jc w:val="both"/>
        <w:rPr>
          <w:rFonts w:ascii="Times New Roman" w:hAnsi="Times New Roman" w:cs="Times New Roman"/>
          <w:color w:val="0070C0"/>
          <w:sz w:val="16"/>
          <w:szCs w:val="16"/>
        </w:rPr>
      </w:pPr>
    </w:p>
    <w:p w14:paraId="4393468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404E1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5100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марта - 3 апреля (10-16 апреля) 1917 В.И.Л. с товарищами проехали в опломбированном вагоне со статусом экстерриториальности из Цюриха через Германию в Швецию (3908,255).</w:t>
      </w:r>
    </w:p>
    <w:p w14:paraId="207D05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4D25A8" w14:textId="77777777" w:rsidR="004F758B" w:rsidRPr="002F2FDF" w:rsidRDefault="004F758B" w:rsidP="0083075A">
      <w:pPr>
        <w:pStyle w:val="ae"/>
        <w:spacing w:before="0" w:after="0"/>
        <w:jc w:val="both"/>
        <w:rPr>
          <w:color w:val="000000" w:themeColor="text1"/>
          <w:kern w:val="2"/>
          <w:sz w:val="16"/>
          <w:szCs w:val="16"/>
        </w:rPr>
      </w:pPr>
      <w:r w:rsidRPr="002F2FDF">
        <w:rPr>
          <w:color w:val="000000" w:themeColor="text1"/>
          <w:kern w:val="2"/>
          <w:sz w:val="16"/>
          <w:szCs w:val="16"/>
        </w:rPr>
        <w:t>28 марта - 3 апреля (10-16 апреля) 1917 в Россию из швейцарской эмиграции через Германию, Балтийское море и Швецию возвращались члены группы радикальных революционеров во главе с Владимиром Ульяновым (Лениным). Немцы охотно содействовали их переезду на родину. Впоследствии начальник штаба Восточного фронта, германский генерал и дипломат Макс Гофман вспоминал: «Разложение, внесенное в русскую армию революцией, мы, естественно, стремились усилить средствами пропаганды. В тылу кому-то, поддерживавшему отношения с жившими в Швейцарии в ссылке русскими, пришла в голову мысль использовать некоторых из них, чтобы еще скорее уничтожить дух русской армии и отравить ее ядом». Будущий премьер-министр Великобритании Уинстон Черчилль позже сравнил «пломбированный вагон», в котором через Германию проследовали большевики, с занесенной в Россию бациллой чумы (17045).</w:t>
      </w:r>
    </w:p>
    <w:p w14:paraId="65AAA520" w14:textId="77777777" w:rsidR="004F758B" w:rsidRPr="002F2FDF" w:rsidRDefault="004F758B"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8DA9A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марта (10 апреля) 1917 на совещании рабочих и промышленников Донбасса одобрено решение ввести 8-часовой рабочий день (4962).</w:t>
      </w:r>
    </w:p>
    <w:p w14:paraId="7BB203C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486F5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марта (10 апреля) 1917 впервые заседанием Центральной Рады руководил М. Грушевский (4962).</w:t>
      </w:r>
    </w:p>
    <w:p w14:paraId="30E357E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B04543" w14:textId="77777777" w:rsidR="004F758B"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15DD6FC" w14:textId="77777777" w:rsidR="004F758B" w:rsidRPr="002F2FDF" w:rsidRDefault="004F758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0D4B7F" w14:textId="77777777" w:rsidR="004F758B" w:rsidRPr="002F2FDF" w:rsidRDefault="004F758B" w:rsidP="0083075A">
      <w:pPr>
        <w:pStyle w:val="ae"/>
        <w:spacing w:before="0" w:after="0"/>
        <w:jc w:val="both"/>
        <w:rPr>
          <w:color w:val="000000" w:themeColor="text1"/>
          <w:kern w:val="2"/>
          <w:sz w:val="16"/>
          <w:szCs w:val="16"/>
        </w:rPr>
      </w:pPr>
      <w:r w:rsidRPr="002F2FDF">
        <w:rPr>
          <w:color w:val="000000" w:themeColor="text1"/>
          <w:kern w:val="2"/>
          <w:sz w:val="16"/>
          <w:szCs w:val="16"/>
        </w:rPr>
        <w:t>28 марта (10 апреля) 1917 в оккупированной немцами Варшаве было объявлено о создании вооруженных сил Королевства польского, что стало очередным шагом Центральных держав по созданию марионеточного польского государства. Его армия создавалась на основе Польских легионов — подразделений австро-венгерской армии, укомплектованных этническими поляками и сражавшихся против Российской империи. Независимости польская армия при этом не получила — управление ей было передано германскому командованию (17045).</w:t>
      </w:r>
    </w:p>
    <w:p w14:paraId="3116520E" w14:textId="77777777" w:rsidR="004F758B" w:rsidRPr="002F2FDF" w:rsidRDefault="004F758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56B3EF" w14:textId="77777777" w:rsidR="004F758B" w:rsidRPr="002F2FDF" w:rsidRDefault="004F758B" w:rsidP="0083075A">
      <w:pPr>
        <w:pStyle w:val="ae"/>
        <w:spacing w:before="0" w:after="0"/>
        <w:jc w:val="both"/>
        <w:rPr>
          <w:color w:val="000000" w:themeColor="text1"/>
          <w:kern w:val="2"/>
          <w:sz w:val="16"/>
          <w:szCs w:val="16"/>
        </w:rPr>
      </w:pPr>
      <w:r w:rsidRPr="002F2FDF">
        <w:rPr>
          <w:color w:val="000000" w:themeColor="text1"/>
          <w:kern w:val="2"/>
          <w:sz w:val="16"/>
          <w:szCs w:val="16"/>
        </w:rPr>
        <w:t>28-31 марта (10-12 апреля) 1917 продолжались ожесточенные бои в районе города Аррас на севере Франции, где несколькими днями ранее английские части начали штурм германских позиций «Линии Гинденбурга» — специально возведенного немцами укрепрайона протяженностью почти 160 километров. Несмотря на мощнейшую артподготовку, в целом наступление провалилось. Лишь на северных окраинах Арраса, в районе возвышенности Вими прорвать оборону противника на небольшом участке смогли канадские подразделения. При поддержке танков им удалось продвинуться на несколько километров в глубину.</w:t>
      </w:r>
    </w:p>
    <w:p w14:paraId="5941B14A" w14:textId="77777777" w:rsidR="004F758B" w:rsidRPr="002F2FDF" w:rsidRDefault="004F758B" w:rsidP="0083075A">
      <w:pPr>
        <w:pStyle w:val="ae"/>
        <w:spacing w:before="0" w:after="0"/>
        <w:jc w:val="both"/>
        <w:rPr>
          <w:color w:val="000000" w:themeColor="text1"/>
          <w:kern w:val="2"/>
          <w:sz w:val="16"/>
          <w:szCs w:val="16"/>
        </w:rPr>
      </w:pPr>
      <w:r w:rsidRPr="002F2FDF">
        <w:rPr>
          <w:color w:val="000000" w:themeColor="text1"/>
          <w:kern w:val="2"/>
          <w:sz w:val="16"/>
          <w:szCs w:val="16"/>
        </w:rPr>
        <w:lastRenderedPageBreak/>
        <w:t>Основная инфраструктура считавшейся неприступной «Линии Гинденбурга» в том районе была почти полностью разрушена, при этом немцы не успевали подтягивать по раскисшим и разбитым дорогам резервы. Но и британские танки, в свою очередь, увязли в грязи, и не удалось вовремя перебросить вслед наступающей пехоте артиллерию. В результате немцы к 13 апреля успели заделать «брешь», отведя уцелевшие части на вторую линию обороны (17045).</w:t>
      </w:r>
    </w:p>
    <w:p w14:paraId="483B3913" w14:textId="77777777" w:rsidR="004F758B" w:rsidRPr="002F2FDF" w:rsidRDefault="004F758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097BE6" w14:textId="77777777" w:rsidR="004F758B" w:rsidRPr="002F2FDF" w:rsidRDefault="004F758B"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С </w:t>
      </w:r>
      <w:r w:rsidR="000C5E7E" w:rsidRPr="002F2FDF">
        <w:rPr>
          <w:color w:val="000000" w:themeColor="text1"/>
          <w:kern w:val="2"/>
          <w:sz w:val="16"/>
          <w:szCs w:val="16"/>
        </w:rPr>
        <w:t>28 марта по 3 апреля (</w:t>
      </w:r>
      <w:r w:rsidRPr="002F2FDF">
        <w:rPr>
          <w:color w:val="000000" w:themeColor="text1"/>
          <w:kern w:val="2"/>
          <w:sz w:val="16"/>
          <w:szCs w:val="16"/>
        </w:rPr>
        <w:t>10 по 16 апреля</w:t>
      </w:r>
      <w:r w:rsidR="000C5E7E" w:rsidRPr="002F2FDF">
        <w:rPr>
          <w:color w:val="000000" w:themeColor="text1"/>
          <w:kern w:val="2"/>
          <w:sz w:val="16"/>
          <w:szCs w:val="16"/>
        </w:rPr>
        <w:t xml:space="preserve">) 1917 </w:t>
      </w:r>
      <w:r w:rsidRPr="002F2FDF">
        <w:rPr>
          <w:color w:val="000000" w:themeColor="text1"/>
          <w:kern w:val="2"/>
          <w:sz w:val="16"/>
          <w:szCs w:val="16"/>
        </w:rPr>
        <w:t>в рамках «неограниченной подводной войны» немецкие подводные лодки потопили 110 судов. В частности, 15 апреля неподалеку от Мальты был торпедирован крупный британский транспорт «Камерония», перевозивший войска. На его борту находились более 2650 солдат, 210 из которых погибли</w:t>
      </w:r>
      <w:r w:rsidR="000C5E7E" w:rsidRPr="002F2FDF">
        <w:rPr>
          <w:color w:val="000000" w:themeColor="text1"/>
          <w:kern w:val="2"/>
          <w:sz w:val="16"/>
          <w:szCs w:val="16"/>
        </w:rPr>
        <w:t xml:space="preserve"> (17045)</w:t>
      </w:r>
      <w:r w:rsidRPr="002F2FDF">
        <w:rPr>
          <w:color w:val="000000" w:themeColor="text1"/>
          <w:kern w:val="2"/>
          <w:sz w:val="16"/>
          <w:szCs w:val="16"/>
        </w:rPr>
        <w:t>.</w:t>
      </w:r>
    </w:p>
    <w:p w14:paraId="3DE2F2E8" w14:textId="77777777" w:rsidR="004F758B" w:rsidRPr="002F2FDF" w:rsidRDefault="004F758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8D8BA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3F32F8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81C11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марта (11 апреля) 1917 г. была подготовлена Докладная записка Военно-технического комитета Ижевских заводов члену Государственной думы С. А. Калинину о программе подъема производительности труда</w:t>
      </w:r>
    </w:p>
    <w:p w14:paraId="09D8D5B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обстоятельств военного времени Ижевские оружейный и сталеделательный заводы занимают среди других заводов, работающих на оборону, положение особенной важности. Помимо непосредственной связи его с фронтом как поставщика целого ряда предметов вооружения для подвижных починочных мастерских (пружины, щиты и т. п.), помимо самостоятельной роли его как оружейного завода, изготовляющего ежедневно до 2 тыс. винтовок, — значение Ижевских заводов удесятеряется вследствие той нераз</w:t>
      </w:r>
      <w:r w:rsidRPr="002F2FDF">
        <w:rPr>
          <w:rFonts w:ascii="Times New Roman" w:hAnsi="Times New Roman" w:cs="Times New Roman"/>
          <w:color w:val="000000" w:themeColor="text1"/>
          <w:kern w:val="2"/>
          <w:sz w:val="16"/>
          <w:szCs w:val="16"/>
        </w:rPr>
        <w:softHyphen/>
        <w:t>рывной, кровной связи их, какая существует между ними и целым рядом других учрежде</w:t>
      </w:r>
      <w:r w:rsidRPr="002F2FDF">
        <w:rPr>
          <w:rFonts w:ascii="Times New Roman" w:hAnsi="Times New Roman" w:cs="Times New Roman"/>
          <w:color w:val="000000" w:themeColor="text1"/>
          <w:kern w:val="2"/>
          <w:sz w:val="16"/>
          <w:szCs w:val="16"/>
        </w:rPr>
        <w:softHyphen/>
        <w:t>ний артиллерийского ведомства. Оружейные заводы - Тульский и Сестрорецкий, пат</w:t>
      </w:r>
      <w:r w:rsidRPr="002F2FDF">
        <w:rPr>
          <w:rFonts w:ascii="Times New Roman" w:hAnsi="Times New Roman" w:cs="Times New Roman"/>
          <w:color w:val="000000" w:themeColor="text1"/>
          <w:kern w:val="2"/>
          <w:sz w:val="16"/>
          <w:szCs w:val="16"/>
        </w:rPr>
        <w:softHyphen/>
        <w:t>ронные — Петроградский и Луганский, трубочные - Петроградский и Самарский, Пет</w:t>
      </w:r>
      <w:r w:rsidRPr="002F2FDF">
        <w:rPr>
          <w:rFonts w:ascii="Times New Roman" w:hAnsi="Times New Roman" w:cs="Times New Roman"/>
          <w:color w:val="000000" w:themeColor="text1"/>
          <w:kern w:val="2"/>
          <w:sz w:val="16"/>
          <w:szCs w:val="16"/>
        </w:rPr>
        <w:softHyphen/>
        <w:t>роградский орудийный завод, арсеналы — Киевский, Брянский, Тифлисский и т. п. уч</w:t>
      </w:r>
      <w:r w:rsidRPr="002F2FDF">
        <w:rPr>
          <w:rFonts w:ascii="Times New Roman" w:hAnsi="Times New Roman" w:cs="Times New Roman"/>
          <w:color w:val="000000" w:themeColor="text1"/>
          <w:kern w:val="2"/>
          <w:sz w:val="16"/>
          <w:szCs w:val="16"/>
        </w:rPr>
        <w:softHyphen/>
        <w:t>реждения - все это клиенты и заказчики Ижевских заводов, и притом зачастую заказчи</w:t>
      </w:r>
      <w:r w:rsidRPr="002F2FDF">
        <w:rPr>
          <w:rFonts w:ascii="Times New Roman" w:hAnsi="Times New Roman" w:cs="Times New Roman"/>
          <w:color w:val="000000" w:themeColor="text1"/>
          <w:kern w:val="2"/>
          <w:sz w:val="16"/>
          <w:szCs w:val="16"/>
        </w:rPr>
        <w:softHyphen/>
        <w:t>ки, для которых они являются единственными в своем роде и притом никем в России не заменимыми поставщиками. Черновые сверленые стволы винтовочные, пулеметные и револьверные, черновые сверленые коробки и готовые штыки, пружины и щиты, запаль</w:t>
      </w:r>
      <w:r w:rsidRPr="002F2FDF">
        <w:rPr>
          <w:rFonts w:ascii="Times New Roman" w:hAnsi="Times New Roman" w:cs="Times New Roman"/>
          <w:color w:val="000000" w:themeColor="text1"/>
          <w:kern w:val="2"/>
          <w:sz w:val="16"/>
          <w:szCs w:val="16"/>
        </w:rPr>
        <w:softHyphen/>
        <w:t>ные стаканы, готовая обойма и ступица, черновые оси и, наконец, десятки тыс. пуд. инструментальной и поделочной стали — все это поставляется Ижевскими заводами сво</w:t>
      </w:r>
      <w:r w:rsidRPr="002F2FDF">
        <w:rPr>
          <w:rFonts w:ascii="Times New Roman" w:hAnsi="Times New Roman" w:cs="Times New Roman"/>
          <w:color w:val="000000" w:themeColor="text1"/>
          <w:kern w:val="2"/>
          <w:sz w:val="16"/>
          <w:szCs w:val="16"/>
        </w:rPr>
        <w:softHyphen/>
        <w:t>им клиентам или в качестве полуфабриката для дальнейшей обработки, или как готовый материал для окончательной сборки. Если Тульский и Сестрорецкий заводы выпускают ежемесячно десятки тыс. винтовок и сотни пулеметов, а патронные заводы изготовляют миллионы патронов, то лишь только потому, что Ижевский завод поставляет им свои стволы, коробки, штыки и обойму; заменить этого поставщика другим или восполнить его неаккуратную поставку услугами других контрагентов не представляется возможным, так как в России таковых не имеется. Только лишь с прошлого 1916 г. изготавление черновых сверленых стволов налаживается на Брянском заводе.</w:t>
      </w:r>
    </w:p>
    <w:p w14:paraId="5E8C735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той исключительной роли, какую играют Ижевские заводы в деле обороны, они заслуживают столь же исключительного внимания к себе и сугубой заботливости об их насущных потребностях. Основываясь на этом, местный Военно-технический коми</w:t>
      </w:r>
      <w:r w:rsidRPr="002F2FDF">
        <w:rPr>
          <w:rFonts w:ascii="Times New Roman" w:hAnsi="Times New Roman" w:cs="Times New Roman"/>
          <w:color w:val="000000" w:themeColor="text1"/>
          <w:kern w:val="2"/>
          <w:sz w:val="16"/>
          <w:szCs w:val="16"/>
        </w:rPr>
        <w:softHyphen/>
        <w:t>тет и позволяет себе кратко остановиться на тех главнейших нуждах завода, которые, на его взгляд, требуют неотложного разрешения.</w:t>
      </w:r>
    </w:p>
    <w:p w14:paraId="4D32064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Снабжение Ижевских заводов сырыми материалами</w:t>
      </w:r>
    </w:p>
    <w:p w14:paraId="1328CA8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Заготовление и доставка сырых материалов, необходимых заводам для безостановоч</w:t>
      </w:r>
      <w:r w:rsidRPr="002F2FDF">
        <w:rPr>
          <w:rFonts w:ascii="Times New Roman" w:hAnsi="Times New Roman" w:cs="Times New Roman"/>
          <w:color w:val="000000" w:themeColor="text1"/>
          <w:kern w:val="2"/>
          <w:sz w:val="16"/>
          <w:szCs w:val="16"/>
        </w:rPr>
        <w:softHyphen/>
        <w:t>ной деятельности их, являются одним из самых больных вопросов заводской жизни. К невыгодам географического положения заводов и вытекающей из него удаленности от торгово-промышленных центров, а также отсутствию до конца 1915 г. железнодорожной связи с путями общей железнодорожной сети надо добавить еще другие обстоятельства, тормозящие дело правильного и непрерывного питания заводов материалами.</w:t>
      </w:r>
    </w:p>
    <w:p w14:paraId="1EEEA85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Военно-технический комитет, возникнув как исполнительный орган объединившейся заводской администрации всего лишь 22 числа сего месяца, не может не остановить своего внимания на этом вопросе, и, насколько представилось возможным при спеш</w:t>
      </w:r>
      <w:r w:rsidRPr="002F2FDF">
        <w:rPr>
          <w:rFonts w:ascii="Times New Roman" w:hAnsi="Times New Roman" w:cs="Times New Roman"/>
          <w:color w:val="000000" w:themeColor="text1"/>
          <w:kern w:val="2"/>
          <w:sz w:val="16"/>
          <w:szCs w:val="16"/>
        </w:rPr>
        <w:softHyphen/>
        <w:t>ной, вернее, лихорадочной работе, в которую оказался вовлеченным силой обстоятельств данного времени с первого же дня своего возникновения, Комитет пытается ниже осве</w:t>
      </w:r>
      <w:r w:rsidRPr="002F2FDF">
        <w:rPr>
          <w:rFonts w:ascii="Times New Roman" w:hAnsi="Times New Roman" w:cs="Times New Roman"/>
          <w:color w:val="000000" w:themeColor="text1"/>
          <w:kern w:val="2"/>
          <w:sz w:val="16"/>
          <w:szCs w:val="16"/>
        </w:rPr>
        <w:softHyphen/>
        <w:t>тить рядом положений отрицательные стороны дела снабжения заводов сырыми мате</w:t>
      </w:r>
      <w:r w:rsidRPr="002F2FDF">
        <w:rPr>
          <w:rFonts w:ascii="Times New Roman" w:hAnsi="Times New Roman" w:cs="Times New Roman"/>
          <w:color w:val="000000" w:themeColor="text1"/>
          <w:kern w:val="2"/>
          <w:sz w:val="16"/>
          <w:szCs w:val="16"/>
        </w:rPr>
        <w:softHyphen/>
        <w:t>риалами и наметить те изменения в нем, кои, по мнению Комитета, могли бы суще</w:t>
      </w:r>
      <w:r w:rsidRPr="002F2FDF">
        <w:rPr>
          <w:rFonts w:ascii="Times New Roman" w:hAnsi="Times New Roman" w:cs="Times New Roman"/>
          <w:color w:val="000000" w:themeColor="text1"/>
          <w:kern w:val="2"/>
          <w:sz w:val="16"/>
          <w:szCs w:val="16"/>
        </w:rPr>
        <w:softHyphen/>
        <w:t>ственно улучшить это дело.</w:t>
      </w:r>
    </w:p>
    <w:p w14:paraId="44BCB86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Большая часть материалов, приобретаемых на русском рынке, заготовляется хозяй</w:t>
      </w:r>
      <w:r w:rsidRPr="002F2FDF">
        <w:rPr>
          <w:rFonts w:ascii="Times New Roman" w:hAnsi="Times New Roman" w:cs="Times New Roman"/>
          <w:color w:val="000000" w:themeColor="text1"/>
          <w:kern w:val="2"/>
          <w:sz w:val="16"/>
          <w:szCs w:val="16"/>
        </w:rPr>
        <w:softHyphen/>
        <w:t>ственным комитетом заводов в пределах прав, предусмотренных кн. XIII Св. В. П. 1869 г., с торгов или путем наличной покупки. Обстоятельства военного времени, вызвавшие бес</w:t>
      </w:r>
      <w:r w:rsidRPr="002F2FDF">
        <w:rPr>
          <w:rFonts w:ascii="Times New Roman" w:hAnsi="Times New Roman" w:cs="Times New Roman"/>
          <w:color w:val="000000" w:themeColor="text1"/>
          <w:kern w:val="2"/>
          <w:sz w:val="16"/>
          <w:szCs w:val="16"/>
        </w:rPr>
        <w:softHyphen/>
        <w:t>прерывный рост цен на все материалы, исключают возможность устройства поставок мате</w:t>
      </w:r>
      <w:r w:rsidRPr="002F2FDF">
        <w:rPr>
          <w:rFonts w:ascii="Times New Roman" w:hAnsi="Times New Roman" w:cs="Times New Roman"/>
          <w:color w:val="000000" w:themeColor="text1"/>
          <w:kern w:val="2"/>
          <w:sz w:val="16"/>
          <w:szCs w:val="16"/>
        </w:rPr>
        <w:softHyphen/>
        <w:t>риалов путем сдачи их с торгов. Поэтому приходится обращаться к способу наличной покупки. Но на пути к широкому использованию этого последнего лежат ограничения, заключающиеся в п. 7 ст. 65 кн. XIII Св. В. П. 1869 года. Правда, надо полагать, под давле</w:t>
      </w:r>
      <w:r w:rsidRPr="002F2FDF">
        <w:rPr>
          <w:rFonts w:ascii="Times New Roman" w:hAnsi="Times New Roman" w:cs="Times New Roman"/>
          <w:color w:val="000000" w:themeColor="text1"/>
          <w:kern w:val="2"/>
          <w:sz w:val="16"/>
          <w:szCs w:val="16"/>
        </w:rPr>
        <w:softHyphen/>
        <w:t>нием обстоятельств военного времени, разновременно были делаемы попытки к расшире</w:t>
      </w:r>
      <w:r w:rsidRPr="002F2FDF">
        <w:rPr>
          <w:rFonts w:ascii="Times New Roman" w:hAnsi="Times New Roman" w:cs="Times New Roman"/>
          <w:color w:val="000000" w:themeColor="text1"/>
          <w:kern w:val="2"/>
          <w:sz w:val="16"/>
          <w:szCs w:val="16"/>
        </w:rPr>
        <w:softHyphen/>
        <w:t>нию прав хозяйственного комитета, изложенные в приказах начальника Главного артил</w:t>
      </w:r>
      <w:r w:rsidRPr="002F2FDF">
        <w:rPr>
          <w:rFonts w:ascii="Times New Roman" w:hAnsi="Times New Roman" w:cs="Times New Roman"/>
          <w:color w:val="000000" w:themeColor="text1"/>
          <w:kern w:val="2"/>
          <w:sz w:val="16"/>
          <w:szCs w:val="16"/>
        </w:rPr>
        <w:softHyphen/>
        <w:t>лерийского управления от 29 марта 1915 г. за № 235 и по военному ведомству от 23 июля 1915 г. за № 382 и положении Военного совета от 13 октября 1916 г., но эти распоряжения сопровождались такого рода оговорками, которые в корне подрывали положительную часть этих распоряжений. Так, последнее из них, отменяющее предыдущие, предоставляя хо</w:t>
      </w:r>
      <w:r w:rsidRPr="002F2FDF">
        <w:rPr>
          <w:rFonts w:ascii="Times New Roman" w:hAnsi="Times New Roman" w:cs="Times New Roman"/>
          <w:color w:val="000000" w:themeColor="text1"/>
          <w:kern w:val="2"/>
          <w:sz w:val="16"/>
          <w:szCs w:val="16"/>
        </w:rPr>
        <w:softHyphen/>
        <w:t>зяйственным комитетам артиллерийских заведений производить и утверждать заготови</w:t>
      </w:r>
      <w:r w:rsidRPr="002F2FDF">
        <w:rPr>
          <w:rFonts w:ascii="Times New Roman" w:hAnsi="Times New Roman" w:cs="Times New Roman"/>
          <w:color w:val="000000" w:themeColor="text1"/>
          <w:kern w:val="2"/>
          <w:sz w:val="16"/>
          <w:szCs w:val="16"/>
        </w:rPr>
        <w:softHyphen/>
        <w:t>тельные операции на всякую сумму, оговаривает, чтобы общий итог отдельных операций не превышал более как 20 % общей суммы, исчисленной по данному наряду. Другими, более понятными словами, разрешается заготовка материалов по ценам в общем не выше 20 % против цен сметных, в то время как цены неудержимо растут и очень часто повыша</w:t>
      </w:r>
      <w:r w:rsidRPr="002F2FDF">
        <w:rPr>
          <w:rFonts w:ascii="Times New Roman" w:hAnsi="Times New Roman" w:cs="Times New Roman"/>
          <w:color w:val="000000" w:themeColor="text1"/>
          <w:kern w:val="2"/>
          <w:sz w:val="16"/>
          <w:szCs w:val="16"/>
        </w:rPr>
        <w:softHyphen/>
        <w:t>ются со времени составления сметных соображений на 100 и более процентов.</w:t>
      </w:r>
    </w:p>
    <w:p w14:paraId="16FBBE2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это расширение прав хозяйственного комитета отнюдь не может быть признано за таковое и оставляет его при тех же суженных правах — производить опера</w:t>
      </w:r>
      <w:r w:rsidRPr="002F2FDF">
        <w:rPr>
          <w:rFonts w:ascii="Times New Roman" w:hAnsi="Times New Roman" w:cs="Times New Roman"/>
          <w:color w:val="000000" w:themeColor="text1"/>
          <w:kern w:val="2"/>
          <w:sz w:val="16"/>
          <w:szCs w:val="16"/>
        </w:rPr>
        <w:softHyphen/>
        <w:t>ции на сумму 25 тыс. руб. за один раз, которые остаются без изменения в п. 7 ст. 65 кн. XIII Св. В. П. 1869 года.</w:t>
      </w:r>
    </w:p>
    <w:p w14:paraId="52BAE3D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Вследствие этого хозяйственный комитет, подыскав необходимый материал, усло</w:t>
      </w:r>
      <w:r w:rsidRPr="002F2FDF">
        <w:rPr>
          <w:rFonts w:ascii="Times New Roman" w:hAnsi="Times New Roman" w:cs="Times New Roman"/>
          <w:color w:val="000000" w:themeColor="text1"/>
          <w:kern w:val="2"/>
          <w:sz w:val="16"/>
          <w:szCs w:val="16"/>
        </w:rPr>
        <w:softHyphen/>
        <w:t>вившись с поставщиком относительно цены его и видя, что утверждение данной опера</w:t>
      </w:r>
      <w:r w:rsidRPr="002F2FDF">
        <w:rPr>
          <w:rFonts w:ascii="Times New Roman" w:hAnsi="Times New Roman" w:cs="Times New Roman"/>
          <w:color w:val="000000" w:themeColor="text1"/>
          <w:kern w:val="2"/>
          <w:sz w:val="16"/>
          <w:szCs w:val="16"/>
        </w:rPr>
        <w:softHyphen/>
        <w:t>ции выходит из пределов предоставленных ему прав, вынужден входить с представлением об утверждении высшим начальством данной операции. И очень часто утверждение получается слишком поздно: поставщик или отказывается от поставки, или повышает цену. Но если поставщик не отказался, то по получении утверждения операции возни</w:t>
      </w:r>
      <w:r w:rsidRPr="002F2FDF">
        <w:rPr>
          <w:rFonts w:ascii="Times New Roman" w:hAnsi="Times New Roman" w:cs="Times New Roman"/>
          <w:color w:val="000000" w:themeColor="text1"/>
          <w:kern w:val="2"/>
          <w:sz w:val="16"/>
          <w:szCs w:val="16"/>
        </w:rPr>
        <w:softHyphen/>
        <w:t>кает переписка по вопросу о перевозке груза: с ГАУ, Отделом военных сообщений, ГУГШ, заведующим передвижением войск, комендантами станций, порайонными комитетами и т. д. И поставщик, имевший терпение ожидать утверждения поставки высшим началь</w:t>
      </w:r>
      <w:r w:rsidRPr="002F2FDF">
        <w:rPr>
          <w:rFonts w:ascii="Times New Roman" w:hAnsi="Times New Roman" w:cs="Times New Roman"/>
          <w:color w:val="000000" w:themeColor="text1"/>
          <w:kern w:val="2"/>
          <w:sz w:val="16"/>
          <w:szCs w:val="16"/>
        </w:rPr>
        <w:softHyphen/>
        <w:t>ством, не выдерживает длительности хлопот для получения наряда на ж. д. перевозку и от сделки отказывается.</w:t>
      </w:r>
    </w:p>
    <w:p w14:paraId="66C38AB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Мало отрадного представляет и картина заготовления материалов, продажа коих нор</w:t>
      </w:r>
      <w:r w:rsidRPr="002F2FDF">
        <w:rPr>
          <w:rFonts w:ascii="Times New Roman" w:hAnsi="Times New Roman" w:cs="Times New Roman"/>
          <w:color w:val="000000" w:themeColor="text1"/>
          <w:kern w:val="2"/>
          <w:sz w:val="16"/>
          <w:szCs w:val="16"/>
        </w:rPr>
        <w:softHyphen/>
        <w:t>мируется уполномоченными бывших председателей Особых совещаний, как-то: твердо</w:t>
      </w:r>
      <w:r w:rsidRPr="002F2FDF">
        <w:rPr>
          <w:rFonts w:ascii="Times New Roman" w:hAnsi="Times New Roman" w:cs="Times New Roman"/>
          <w:color w:val="000000" w:themeColor="text1"/>
          <w:kern w:val="2"/>
          <w:sz w:val="16"/>
          <w:szCs w:val="16"/>
        </w:rPr>
        <w:softHyphen/>
        <w:t>го и жидкого минерального топлива, кожевенного товара — кож сыромятных, юфтевых, подошвенных, железа и пр.</w:t>
      </w:r>
    </w:p>
    <w:p w14:paraId="76AE7A7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этому пункту достаточно будет отметить факт, что, начав в прошлом году с 13 июня по указанию уральского уполномоченного по топливу письменные сношения с инженером Башкатовым, уполномоченным по закупкам минерального топлива Донец</w:t>
      </w:r>
      <w:r w:rsidRPr="002F2FDF">
        <w:rPr>
          <w:rFonts w:ascii="Times New Roman" w:hAnsi="Times New Roman" w:cs="Times New Roman"/>
          <w:color w:val="000000" w:themeColor="text1"/>
          <w:kern w:val="2"/>
          <w:sz w:val="16"/>
          <w:szCs w:val="16"/>
        </w:rPr>
        <w:softHyphen/>
        <w:t>кого бассейна (Водотоп) в Харькове, относительно закупки и отправки в заводы ПО тыс. пуд. антрацита, хозяйственный комитет, несмотря на неоднократные напоминания, иногда в выражениях самых энергичных, получил 4 января с. г. вместо антрацита изве</w:t>
      </w:r>
      <w:r w:rsidRPr="002F2FDF">
        <w:rPr>
          <w:rFonts w:ascii="Times New Roman" w:hAnsi="Times New Roman" w:cs="Times New Roman"/>
          <w:color w:val="000000" w:themeColor="text1"/>
          <w:kern w:val="2"/>
          <w:sz w:val="16"/>
          <w:szCs w:val="16"/>
        </w:rPr>
        <w:softHyphen/>
        <w:t>щение, что в задачу “Водотопа” не входит поставка топлива железнодорожным путем.</w:t>
      </w:r>
    </w:p>
    <w:p w14:paraId="1E9DAA4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Если к этому добавить, что одновременно с запросами г. Башкатова хозяйственный комитет о сделанном с ним сношении каждый раз поставлял в известность также и Ураль</w:t>
      </w:r>
      <w:r w:rsidRPr="002F2FDF">
        <w:rPr>
          <w:rFonts w:ascii="Times New Roman" w:hAnsi="Times New Roman" w:cs="Times New Roman"/>
          <w:color w:val="000000" w:themeColor="text1"/>
          <w:kern w:val="2"/>
          <w:sz w:val="16"/>
          <w:szCs w:val="16"/>
        </w:rPr>
        <w:softHyphen/>
        <w:t>ского уполномоченного, то возникает вопрос: кто из них является более виновным за то, что заводами был пропущен навигационный период, в течение которого антрацит очень легко мог быть доставлен по железной дороге из Донецкого бассейна в Царицын, а отсю</w:t>
      </w:r>
      <w:r w:rsidRPr="002F2FDF">
        <w:rPr>
          <w:rFonts w:ascii="Times New Roman" w:hAnsi="Times New Roman" w:cs="Times New Roman"/>
          <w:color w:val="000000" w:themeColor="text1"/>
          <w:kern w:val="2"/>
          <w:sz w:val="16"/>
          <w:szCs w:val="16"/>
        </w:rPr>
        <w:softHyphen/>
        <w:t>да водой до пристани Гольяны на р. Каме.</w:t>
      </w:r>
    </w:p>
    <w:p w14:paraId="21997D4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дождавшись результатов переписки с “Водотопом”, хозяйственный комитет по</w:t>
      </w:r>
      <w:r w:rsidRPr="002F2FDF">
        <w:rPr>
          <w:rFonts w:ascii="Times New Roman" w:hAnsi="Times New Roman" w:cs="Times New Roman"/>
          <w:color w:val="000000" w:themeColor="text1"/>
          <w:kern w:val="2"/>
          <w:sz w:val="16"/>
          <w:szCs w:val="16"/>
        </w:rPr>
        <w:softHyphen/>
        <w:t>чел себя вынужденным произвести закупку ПО тыс. пуд. антрацита и 90 тыс. пуд. кокса через своего представителя. Сделки были заключены в ноябре прошлого года и тогда же были предприняты надлежащие меры к исходатайствованию нарядов на подачу вагонов для погрузки упомянутого топлива. Подача должна была производиться, начиная с де</w:t>
      </w:r>
      <w:r w:rsidRPr="002F2FDF">
        <w:rPr>
          <w:rFonts w:ascii="Times New Roman" w:hAnsi="Times New Roman" w:cs="Times New Roman"/>
          <w:color w:val="000000" w:themeColor="text1"/>
          <w:kern w:val="2"/>
          <w:sz w:val="16"/>
          <w:szCs w:val="16"/>
        </w:rPr>
        <w:softHyphen/>
        <w:t>кабря, по 25 вагонов для антрацита и 15 вагонов кокса ежемесячно. Таким образом, при аккуратной подаче вагонов заводы в настоящее время должны были бы получить 100 вагонов антрацита и 60 вагонов кокса, в действительности же получено антрацита только 3 вагона, а кокса 23 вагона. Так как сделки по купле этого топлива срочные, а именно, цены действительны: для кокса до мая, а антрацита - до апреля, то в настоящее время хозяйственный комитет поставлен перед необходимостью начать в третий раз ра</w:t>
      </w:r>
      <w:r w:rsidRPr="002F2FDF">
        <w:rPr>
          <w:rFonts w:ascii="Times New Roman" w:hAnsi="Times New Roman" w:cs="Times New Roman"/>
          <w:color w:val="000000" w:themeColor="text1"/>
          <w:kern w:val="2"/>
          <w:sz w:val="16"/>
          <w:szCs w:val="16"/>
        </w:rPr>
        <w:softHyphen/>
        <w:t>боту по устройству заготовления минерального топлива и, быть может, вести ее с таким же неуспехом, как первые два раза.</w:t>
      </w:r>
    </w:p>
    <w:p w14:paraId="18678AF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Помимо заготовительных операций хозяйственного комитета, некоторые заготовле</w:t>
      </w:r>
      <w:r w:rsidRPr="002F2FDF">
        <w:rPr>
          <w:rFonts w:ascii="Times New Roman" w:hAnsi="Times New Roman" w:cs="Times New Roman"/>
          <w:color w:val="000000" w:themeColor="text1"/>
          <w:kern w:val="2"/>
          <w:sz w:val="16"/>
          <w:szCs w:val="16"/>
        </w:rPr>
        <w:softHyphen/>
        <w:t>ния производятся непосредственным распоряжением ГАУ: поставки ферросплавов и др. материалов заграничного происхождения, станков, лома металлического: меди жел</w:t>
      </w:r>
      <w:r w:rsidRPr="002F2FDF">
        <w:rPr>
          <w:rFonts w:ascii="Times New Roman" w:hAnsi="Times New Roman" w:cs="Times New Roman"/>
          <w:color w:val="000000" w:themeColor="text1"/>
          <w:kern w:val="2"/>
          <w:sz w:val="16"/>
          <w:szCs w:val="16"/>
        </w:rPr>
        <w:softHyphen/>
        <w:t>той и красной, чугуна, железа, цинка и пр. Из всех этих материалов,в особенно больших количествах поступает в заводы лом черных металлов, и это было бы очень хорошо, если бы в нем имелась нужда. Но, к сожалению, надо отметить, что в этого рода снабжении заводы менее всего нуждаются и, наоборот, неоднократно возбуждали ходатайства о со</w:t>
      </w:r>
      <w:r w:rsidRPr="002F2FDF">
        <w:rPr>
          <w:rFonts w:ascii="Times New Roman" w:hAnsi="Times New Roman" w:cs="Times New Roman"/>
          <w:color w:val="000000" w:themeColor="text1"/>
          <w:kern w:val="2"/>
          <w:sz w:val="16"/>
          <w:szCs w:val="16"/>
        </w:rPr>
        <w:softHyphen/>
        <w:t>вершенном прекращении высылки лома черных металлов. Что касается доставки ферро</w:t>
      </w:r>
      <w:r w:rsidRPr="002F2FDF">
        <w:rPr>
          <w:rFonts w:ascii="Times New Roman" w:hAnsi="Times New Roman" w:cs="Times New Roman"/>
          <w:color w:val="000000" w:themeColor="text1"/>
          <w:kern w:val="2"/>
          <w:sz w:val="16"/>
          <w:szCs w:val="16"/>
        </w:rPr>
        <w:softHyphen/>
        <w:t>сплавов, имеющих столь важное значение в деле изготовления различных сортов стали, то в этой области приходится констатировать целый ряд недоразумений, едва не стоив</w:t>
      </w:r>
      <w:r w:rsidRPr="002F2FDF">
        <w:rPr>
          <w:rFonts w:ascii="Times New Roman" w:hAnsi="Times New Roman" w:cs="Times New Roman"/>
          <w:color w:val="000000" w:themeColor="text1"/>
          <w:kern w:val="2"/>
          <w:sz w:val="16"/>
          <w:szCs w:val="16"/>
        </w:rPr>
        <w:softHyphen/>
        <w:t>ших заводам полной остановки работ.</w:t>
      </w:r>
    </w:p>
    <w:p w14:paraId="574C24B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 из записки поверочной части ГАУ, приложенной к предписанию его от 17 янва</w:t>
      </w:r>
      <w:r w:rsidRPr="002F2FDF">
        <w:rPr>
          <w:rFonts w:ascii="Times New Roman" w:hAnsi="Times New Roman" w:cs="Times New Roman"/>
          <w:color w:val="000000" w:themeColor="text1"/>
          <w:kern w:val="2"/>
          <w:sz w:val="16"/>
          <w:szCs w:val="16"/>
        </w:rPr>
        <w:softHyphen/>
        <w:t>ря 1916 г. за № 7104, видно, что испрашиваемые заводами суммы на заготовление загра</w:t>
      </w:r>
      <w:r w:rsidRPr="002F2FDF">
        <w:rPr>
          <w:rFonts w:ascii="Times New Roman" w:hAnsi="Times New Roman" w:cs="Times New Roman"/>
          <w:color w:val="000000" w:themeColor="text1"/>
          <w:kern w:val="2"/>
          <w:sz w:val="16"/>
          <w:szCs w:val="16"/>
        </w:rPr>
        <w:softHyphen/>
        <w:t>ничных металлов по наряду на 30 млн. обойм, исключены из соображения, т. к. призна</w:t>
      </w:r>
      <w:r w:rsidRPr="002F2FDF">
        <w:rPr>
          <w:rFonts w:ascii="Times New Roman" w:hAnsi="Times New Roman" w:cs="Times New Roman"/>
          <w:color w:val="000000" w:themeColor="text1"/>
          <w:kern w:val="2"/>
          <w:sz w:val="16"/>
          <w:szCs w:val="16"/>
        </w:rPr>
        <w:softHyphen/>
        <w:t>но заготовление этих металлов произвести распоряжением ГАУ. Еще до получения указанного предписания хозяйственный комитет рапортами от 9 октября, 10 ноября и 12 декаб</w:t>
      </w:r>
      <w:r w:rsidRPr="002F2FDF">
        <w:rPr>
          <w:rFonts w:ascii="Times New Roman" w:hAnsi="Times New Roman" w:cs="Times New Roman"/>
          <w:color w:val="000000" w:themeColor="text1"/>
          <w:kern w:val="2"/>
          <w:sz w:val="16"/>
          <w:szCs w:val="16"/>
        </w:rPr>
        <w:softHyphen/>
        <w:t>ря 1915 г. за №№ 34380, 38988 и 43119 ходатайствовал, ввиду незначительности запасов металлов заграничного происхождения: никеля и ферросплавов, о заготовлении их рас</w:t>
      </w:r>
      <w:r w:rsidRPr="002F2FDF">
        <w:rPr>
          <w:rFonts w:ascii="Times New Roman" w:hAnsi="Times New Roman" w:cs="Times New Roman"/>
          <w:color w:val="000000" w:themeColor="text1"/>
          <w:kern w:val="2"/>
          <w:sz w:val="16"/>
          <w:szCs w:val="16"/>
        </w:rPr>
        <w:softHyphen/>
        <w:t>поряжением ГАУ, или о разрешении хозяйственному комитету произвести заготовку своим распоряжением. В то же время хозяйственный комитет успел выяснить цены на эти сплавы и возбудил ходатайство об утверждении поставок по этим ценам, на что от Главного артиллерийского управления был получен от 22 января 1916 г. за № 1873 етвет о признании цен неприемлемыми и что потребность в этих металлах заявлена Генералу Гермониусу. Прождав еще некоторое время, хозяйственный комитет рапортом от 4 мар</w:t>
      </w:r>
      <w:r w:rsidRPr="002F2FDF">
        <w:rPr>
          <w:rFonts w:ascii="Times New Roman" w:hAnsi="Times New Roman" w:cs="Times New Roman"/>
          <w:color w:val="000000" w:themeColor="text1"/>
          <w:kern w:val="2"/>
          <w:sz w:val="16"/>
          <w:szCs w:val="16"/>
        </w:rPr>
        <w:softHyphen/>
        <w:t xml:space="preserve">та 1916 </w:t>
      </w:r>
      <w:r w:rsidRPr="002F2FDF">
        <w:rPr>
          <w:rFonts w:ascii="Times New Roman" w:hAnsi="Times New Roman" w:cs="Times New Roman"/>
          <w:color w:val="000000" w:themeColor="text1"/>
          <w:kern w:val="2"/>
          <w:sz w:val="16"/>
          <w:szCs w:val="16"/>
        </w:rPr>
        <w:lastRenderedPageBreak/>
        <w:t>г. за № 9083 просил или о скорейшей доставке ГАУ металлов, или о производстве займа их у других ведомств. В результате этой переписки, наконец, последовала теле</w:t>
      </w:r>
      <w:r w:rsidRPr="002F2FDF">
        <w:rPr>
          <w:rFonts w:ascii="Times New Roman" w:hAnsi="Times New Roman" w:cs="Times New Roman"/>
          <w:color w:val="000000" w:themeColor="text1"/>
          <w:kern w:val="2"/>
          <w:sz w:val="16"/>
          <w:szCs w:val="16"/>
        </w:rPr>
        <w:softHyphen/>
        <w:t>грамма ГАУ от 21 мая 1916 г. за № 73305 следующего содержания:</w:t>
      </w:r>
    </w:p>
    <w:p w14:paraId="1F285BC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выяснившихся затруднений по заготовке за границей ферросплавов, особен</w:t>
      </w:r>
      <w:r w:rsidRPr="002F2FDF">
        <w:rPr>
          <w:rFonts w:ascii="Times New Roman" w:hAnsi="Times New Roman" w:cs="Times New Roman"/>
          <w:color w:val="000000" w:themeColor="text1"/>
          <w:kern w:val="2"/>
          <w:sz w:val="16"/>
          <w:szCs w:val="16"/>
        </w:rPr>
        <w:softHyphen/>
        <w:t>но ферромарганца, таковые надлежит заготовлять попечением заводов установленным в законе порядком”.</w:t>
      </w:r>
    </w:p>
    <w:p w14:paraId="6A5624C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ГАУ, не исполнив вовремя обещанного заготовления, в самый ост</w:t>
      </w:r>
      <w:r w:rsidRPr="002F2FDF">
        <w:rPr>
          <w:rFonts w:ascii="Times New Roman" w:hAnsi="Times New Roman" w:cs="Times New Roman"/>
          <w:color w:val="000000" w:themeColor="text1"/>
          <w:kern w:val="2"/>
          <w:sz w:val="16"/>
          <w:szCs w:val="16"/>
        </w:rPr>
        <w:softHyphen/>
        <w:t>рый момент, когда из-за истощения запасов откладывать решение было нельзя, перело</w:t>
      </w:r>
      <w:r w:rsidRPr="002F2FDF">
        <w:rPr>
          <w:rFonts w:ascii="Times New Roman" w:hAnsi="Times New Roman" w:cs="Times New Roman"/>
          <w:color w:val="000000" w:themeColor="text1"/>
          <w:kern w:val="2"/>
          <w:sz w:val="16"/>
          <w:szCs w:val="16"/>
        </w:rPr>
        <w:softHyphen/>
        <w:t>жило бремя заготовления (а тем самым и ответственность) на заводы. Впоследствии, когда Главному артиллерийскому управлению было представлено на утверждение сде</w:t>
      </w:r>
      <w:r w:rsidRPr="002F2FDF">
        <w:rPr>
          <w:rFonts w:ascii="Times New Roman" w:hAnsi="Times New Roman" w:cs="Times New Roman"/>
          <w:color w:val="000000" w:themeColor="text1"/>
          <w:kern w:val="2"/>
          <w:sz w:val="16"/>
          <w:szCs w:val="16"/>
        </w:rPr>
        <w:softHyphen/>
        <w:t>ланное хозяйственным комитетом распоряжение о выдаче заказа на поставку 5 тыс. пуд. феррохрома, оно пыталось отклонить представление по двум мотивам: дороговизны цены, по которой был заказан сплав, и потому, что еще до поступления представления заводов оно уже сделало распоряжение о заготовлении ферросплавов в количестве годовой по</w:t>
      </w:r>
      <w:r w:rsidRPr="002F2FDF">
        <w:rPr>
          <w:rFonts w:ascii="Times New Roman" w:hAnsi="Times New Roman" w:cs="Times New Roman"/>
          <w:color w:val="000000" w:themeColor="text1"/>
          <w:kern w:val="2"/>
          <w:sz w:val="16"/>
          <w:szCs w:val="16"/>
        </w:rPr>
        <w:softHyphen/>
        <w:t>требности в них. И после целого ряда дополнительных запросов утверждение этой по</w:t>
      </w:r>
      <w:r w:rsidRPr="002F2FDF">
        <w:rPr>
          <w:rFonts w:ascii="Times New Roman" w:hAnsi="Times New Roman" w:cs="Times New Roman"/>
          <w:color w:val="000000" w:themeColor="text1"/>
          <w:kern w:val="2"/>
          <w:sz w:val="16"/>
          <w:szCs w:val="16"/>
        </w:rPr>
        <w:softHyphen/>
        <w:t>ставки последовало, наконец, 8 декабря 1916 г. за № 198216.</w:t>
      </w:r>
    </w:p>
    <w:p w14:paraId="05CDE2A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Кроме указанных способов снабжения заводов сырыми материалами, необходимо сказать несколько слов об условиях, в которых протекает дело снабжения заводов чугу</w:t>
      </w:r>
      <w:r w:rsidRPr="002F2FDF">
        <w:rPr>
          <w:rFonts w:ascii="Times New Roman" w:hAnsi="Times New Roman" w:cs="Times New Roman"/>
          <w:color w:val="000000" w:themeColor="text1"/>
          <w:kern w:val="2"/>
          <w:sz w:val="16"/>
          <w:szCs w:val="16"/>
        </w:rPr>
        <w:softHyphen/>
        <w:t>ном уральских заводов: литейным, обыкновенным передельным и специальным пере</w:t>
      </w:r>
      <w:r w:rsidRPr="002F2FDF">
        <w:rPr>
          <w:rFonts w:ascii="Times New Roman" w:hAnsi="Times New Roman" w:cs="Times New Roman"/>
          <w:color w:val="000000" w:themeColor="text1"/>
          <w:kern w:val="2"/>
          <w:sz w:val="16"/>
          <w:szCs w:val="16"/>
        </w:rPr>
        <w:softHyphen/>
        <w:t>дельным. Почти за год вперед в ГАУ сообщаются сведения о потребных заводам количе</w:t>
      </w:r>
      <w:r w:rsidRPr="002F2FDF">
        <w:rPr>
          <w:rFonts w:ascii="Times New Roman" w:hAnsi="Times New Roman" w:cs="Times New Roman"/>
          <w:color w:val="000000" w:themeColor="text1"/>
          <w:kern w:val="2"/>
          <w:sz w:val="16"/>
          <w:szCs w:val="16"/>
        </w:rPr>
        <w:softHyphen/>
        <w:t>ствах чугуна каждого сорта на весь будущий год. Требование заводов рассматривается Междуведомственной комиссией по распределению заказов на выплавку чугуна на ураль</w:t>
      </w:r>
      <w:r w:rsidRPr="002F2FDF">
        <w:rPr>
          <w:rFonts w:ascii="Times New Roman" w:hAnsi="Times New Roman" w:cs="Times New Roman"/>
          <w:color w:val="000000" w:themeColor="text1"/>
          <w:kern w:val="2"/>
          <w:sz w:val="16"/>
          <w:szCs w:val="16"/>
        </w:rPr>
        <w:softHyphen/>
        <w:t>ских заводах горного ведомства. В последние два года замечено, что названная комиссия сильно сокращает заявленные Ижевскими заводами количества чугуна; из приведенной ниже таблицы видно, в какой мере Междуведомственная комиссия “урезывает” заявки Ижевских заводов [в пудах]:</w:t>
      </w:r>
    </w:p>
    <w:tbl>
      <w:tblPr>
        <w:tblW w:w="0" w:type="auto"/>
        <w:tblInd w:w="4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80"/>
        <w:gridCol w:w="1997"/>
        <w:gridCol w:w="2285"/>
        <w:gridCol w:w="2016"/>
      </w:tblGrid>
      <w:tr w:rsidR="002B1C74" w:rsidRPr="002F2FDF" w14:paraId="6F324859" w14:textId="77777777">
        <w:tc>
          <w:tcPr>
            <w:tcW w:w="1680" w:type="dxa"/>
            <w:tcBorders>
              <w:top w:val="single" w:sz="12" w:space="0" w:color="auto"/>
            </w:tcBorders>
          </w:tcPr>
          <w:p w14:paraId="467DCE6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97" w:type="dxa"/>
            <w:tcBorders>
              <w:top w:val="single" w:sz="12" w:space="0" w:color="auto"/>
            </w:tcBorders>
          </w:tcPr>
          <w:p w14:paraId="6364312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Испрашивалось к отпуску</w:t>
            </w:r>
          </w:p>
        </w:tc>
        <w:tc>
          <w:tcPr>
            <w:tcW w:w="2285" w:type="dxa"/>
            <w:tcBorders>
              <w:top w:val="single" w:sz="12" w:space="0" w:color="auto"/>
            </w:tcBorders>
          </w:tcPr>
          <w:p w14:paraId="15BEF9B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Дано в наряд</w:t>
            </w:r>
          </w:p>
        </w:tc>
        <w:tc>
          <w:tcPr>
            <w:tcW w:w="2016" w:type="dxa"/>
            <w:tcBorders>
              <w:top w:val="single" w:sz="12" w:space="0" w:color="auto"/>
            </w:tcBorders>
          </w:tcPr>
          <w:p w14:paraId="5A7FAD9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Недодано</w:t>
            </w:r>
          </w:p>
        </w:tc>
      </w:tr>
      <w:tr w:rsidR="002B1C74" w:rsidRPr="002F2FDF" w14:paraId="79EDBF4B" w14:textId="77777777">
        <w:tc>
          <w:tcPr>
            <w:tcW w:w="1680" w:type="dxa"/>
          </w:tcPr>
          <w:p w14:paraId="770E72C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1916 г.</w:t>
            </w:r>
          </w:p>
        </w:tc>
        <w:tc>
          <w:tcPr>
            <w:tcW w:w="1997" w:type="dxa"/>
          </w:tcPr>
          <w:p w14:paraId="0055D3E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285" w:type="dxa"/>
          </w:tcPr>
          <w:p w14:paraId="77AEDA6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16" w:type="dxa"/>
          </w:tcPr>
          <w:p w14:paraId="09FE401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0DA5B591" w14:textId="77777777">
        <w:tc>
          <w:tcPr>
            <w:tcW w:w="1680" w:type="dxa"/>
          </w:tcPr>
          <w:p w14:paraId="30D093A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Передельного:</w:t>
            </w:r>
          </w:p>
        </w:tc>
        <w:tc>
          <w:tcPr>
            <w:tcW w:w="1997" w:type="dxa"/>
          </w:tcPr>
          <w:p w14:paraId="4CBCA39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285" w:type="dxa"/>
          </w:tcPr>
          <w:p w14:paraId="7BDBB2D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16" w:type="dxa"/>
          </w:tcPr>
          <w:p w14:paraId="3669A32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0E06A271" w14:textId="77777777">
        <w:tc>
          <w:tcPr>
            <w:tcW w:w="1680" w:type="dxa"/>
          </w:tcPr>
          <w:p w14:paraId="29332257" w14:textId="77777777" w:rsidR="003431D2" w:rsidRPr="002F2FDF" w:rsidRDefault="001B6ED4"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w:t>
            </w:r>
            <w:r w:rsidR="003431D2" w:rsidRPr="002F2FDF">
              <w:rPr>
                <w:rFonts w:ascii="Times New Roman" w:hAnsi="Times New Roman" w:cs="Times New Roman"/>
                <w:color w:val="000000" w:themeColor="text1"/>
                <w:kern w:val="2"/>
                <w:sz w:val="16"/>
                <w:szCs w:val="16"/>
              </w:rPr>
              <w:t>быкновеного</w:t>
            </w:r>
          </w:p>
        </w:tc>
        <w:tc>
          <w:tcPr>
            <w:tcW w:w="1997" w:type="dxa"/>
          </w:tcPr>
          <w:p w14:paraId="29B932F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2 000 000</w:t>
            </w:r>
          </w:p>
        </w:tc>
        <w:tc>
          <w:tcPr>
            <w:tcW w:w="2285" w:type="dxa"/>
          </w:tcPr>
          <w:p w14:paraId="40E4A23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740 000</w:t>
            </w:r>
          </w:p>
        </w:tc>
        <w:tc>
          <w:tcPr>
            <w:tcW w:w="2016" w:type="dxa"/>
          </w:tcPr>
          <w:p w14:paraId="1E2F0CB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1 260 000</w:t>
            </w:r>
          </w:p>
        </w:tc>
      </w:tr>
      <w:tr w:rsidR="002B1C74" w:rsidRPr="002F2FDF" w14:paraId="4F36ED6C" w14:textId="77777777">
        <w:tc>
          <w:tcPr>
            <w:tcW w:w="1680" w:type="dxa"/>
          </w:tcPr>
          <w:p w14:paraId="2F928F1C" w14:textId="77777777" w:rsidR="003431D2" w:rsidRPr="002F2FDF" w:rsidRDefault="001B6ED4"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w:t>
            </w:r>
            <w:r w:rsidR="003431D2" w:rsidRPr="002F2FDF">
              <w:rPr>
                <w:rFonts w:ascii="Times New Roman" w:hAnsi="Times New Roman" w:cs="Times New Roman"/>
                <w:color w:val="000000" w:themeColor="text1"/>
                <w:kern w:val="2"/>
                <w:sz w:val="16"/>
                <w:szCs w:val="16"/>
              </w:rPr>
              <w:t>пециального</w:t>
            </w:r>
          </w:p>
        </w:tc>
        <w:tc>
          <w:tcPr>
            <w:tcW w:w="1997" w:type="dxa"/>
          </w:tcPr>
          <w:p w14:paraId="2488F8A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400 000</w:t>
            </w:r>
          </w:p>
        </w:tc>
        <w:tc>
          <w:tcPr>
            <w:tcW w:w="2285" w:type="dxa"/>
          </w:tcPr>
          <w:p w14:paraId="35B792C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360 000</w:t>
            </w:r>
          </w:p>
        </w:tc>
        <w:tc>
          <w:tcPr>
            <w:tcW w:w="2016" w:type="dxa"/>
          </w:tcPr>
          <w:p w14:paraId="5E85D48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40 000</w:t>
            </w:r>
          </w:p>
        </w:tc>
      </w:tr>
      <w:tr w:rsidR="002B1C74" w:rsidRPr="002F2FDF" w14:paraId="6D90607E" w14:textId="77777777">
        <w:tc>
          <w:tcPr>
            <w:tcW w:w="1680" w:type="dxa"/>
          </w:tcPr>
          <w:p w14:paraId="093F32C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Литейного</w:t>
            </w:r>
          </w:p>
        </w:tc>
        <w:tc>
          <w:tcPr>
            <w:tcW w:w="1997" w:type="dxa"/>
          </w:tcPr>
          <w:p w14:paraId="588C07B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175 000</w:t>
            </w:r>
          </w:p>
        </w:tc>
        <w:tc>
          <w:tcPr>
            <w:tcW w:w="2285" w:type="dxa"/>
          </w:tcPr>
          <w:p w14:paraId="0F11926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20 000</w:t>
            </w:r>
          </w:p>
        </w:tc>
        <w:tc>
          <w:tcPr>
            <w:tcW w:w="2016" w:type="dxa"/>
          </w:tcPr>
          <w:p w14:paraId="302A9B3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155 000</w:t>
            </w:r>
          </w:p>
        </w:tc>
      </w:tr>
      <w:tr w:rsidR="002B1C74" w:rsidRPr="002F2FDF" w14:paraId="2E01AE2D" w14:textId="77777777">
        <w:tc>
          <w:tcPr>
            <w:tcW w:w="1680" w:type="dxa"/>
          </w:tcPr>
          <w:p w14:paraId="56D2BCB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1917 г.</w:t>
            </w:r>
          </w:p>
        </w:tc>
        <w:tc>
          <w:tcPr>
            <w:tcW w:w="1997" w:type="dxa"/>
          </w:tcPr>
          <w:p w14:paraId="6D9F2E9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285" w:type="dxa"/>
          </w:tcPr>
          <w:p w14:paraId="0ECC57B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16" w:type="dxa"/>
          </w:tcPr>
          <w:p w14:paraId="504CD12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7BB47869" w14:textId="77777777">
        <w:tc>
          <w:tcPr>
            <w:tcW w:w="1680" w:type="dxa"/>
          </w:tcPr>
          <w:p w14:paraId="1183AD5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Передельного:</w:t>
            </w:r>
          </w:p>
        </w:tc>
        <w:tc>
          <w:tcPr>
            <w:tcW w:w="1997" w:type="dxa"/>
          </w:tcPr>
          <w:p w14:paraId="039ED1C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285" w:type="dxa"/>
          </w:tcPr>
          <w:p w14:paraId="7EE1B47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16" w:type="dxa"/>
          </w:tcPr>
          <w:p w14:paraId="33D489B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6B4BD01A" w14:textId="77777777">
        <w:tc>
          <w:tcPr>
            <w:tcW w:w="1680" w:type="dxa"/>
          </w:tcPr>
          <w:p w14:paraId="557C5E29" w14:textId="77777777" w:rsidR="003431D2" w:rsidRPr="002F2FDF" w:rsidRDefault="001B6ED4"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w:t>
            </w:r>
            <w:r w:rsidR="003431D2" w:rsidRPr="002F2FDF">
              <w:rPr>
                <w:rFonts w:ascii="Times New Roman" w:hAnsi="Times New Roman" w:cs="Times New Roman"/>
                <w:color w:val="000000" w:themeColor="text1"/>
                <w:kern w:val="2"/>
                <w:sz w:val="16"/>
                <w:szCs w:val="16"/>
              </w:rPr>
              <w:t>быкновеного</w:t>
            </w:r>
          </w:p>
        </w:tc>
        <w:tc>
          <w:tcPr>
            <w:tcW w:w="1997" w:type="dxa"/>
          </w:tcPr>
          <w:p w14:paraId="1F353B3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2 750 000</w:t>
            </w:r>
          </w:p>
        </w:tc>
        <w:tc>
          <w:tcPr>
            <w:tcW w:w="2285" w:type="dxa"/>
          </w:tcPr>
          <w:p w14:paraId="582D6B2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1250 000</w:t>
            </w:r>
          </w:p>
        </w:tc>
        <w:tc>
          <w:tcPr>
            <w:tcW w:w="2016" w:type="dxa"/>
          </w:tcPr>
          <w:p w14:paraId="617547A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1 850 000</w:t>
            </w:r>
          </w:p>
        </w:tc>
      </w:tr>
      <w:tr w:rsidR="002B1C74" w:rsidRPr="002F2FDF" w14:paraId="7EFB1A35" w14:textId="77777777">
        <w:tc>
          <w:tcPr>
            <w:tcW w:w="1680" w:type="dxa"/>
          </w:tcPr>
          <w:p w14:paraId="567B52E1" w14:textId="77777777" w:rsidR="003431D2" w:rsidRPr="002F2FDF" w:rsidRDefault="001B6ED4"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w:t>
            </w:r>
            <w:r w:rsidR="003431D2" w:rsidRPr="002F2FDF">
              <w:rPr>
                <w:rFonts w:ascii="Times New Roman" w:hAnsi="Times New Roman" w:cs="Times New Roman"/>
                <w:color w:val="000000" w:themeColor="text1"/>
                <w:kern w:val="2"/>
                <w:sz w:val="16"/>
                <w:szCs w:val="16"/>
              </w:rPr>
              <w:t>пециального</w:t>
            </w:r>
          </w:p>
        </w:tc>
        <w:tc>
          <w:tcPr>
            <w:tcW w:w="1997" w:type="dxa"/>
          </w:tcPr>
          <w:p w14:paraId="54276F0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350 000</w:t>
            </w:r>
          </w:p>
        </w:tc>
        <w:tc>
          <w:tcPr>
            <w:tcW w:w="2285" w:type="dxa"/>
          </w:tcPr>
          <w:p w14:paraId="07DC6CD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16" w:type="dxa"/>
          </w:tcPr>
          <w:p w14:paraId="2E4743A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179C0C6E" w14:textId="77777777">
        <w:tc>
          <w:tcPr>
            <w:tcW w:w="1680" w:type="dxa"/>
            <w:tcBorders>
              <w:bottom w:val="single" w:sz="12" w:space="0" w:color="auto"/>
            </w:tcBorders>
          </w:tcPr>
          <w:p w14:paraId="02295A7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Литейного</w:t>
            </w:r>
          </w:p>
        </w:tc>
        <w:tc>
          <w:tcPr>
            <w:tcW w:w="1997" w:type="dxa"/>
            <w:tcBorders>
              <w:bottom w:val="single" w:sz="12" w:space="0" w:color="auto"/>
            </w:tcBorders>
          </w:tcPr>
          <w:p w14:paraId="078060C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300 000</w:t>
            </w:r>
          </w:p>
        </w:tc>
        <w:tc>
          <w:tcPr>
            <w:tcW w:w="2285" w:type="dxa"/>
            <w:tcBorders>
              <w:bottom w:val="single" w:sz="12" w:space="0" w:color="auto"/>
            </w:tcBorders>
          </w:tcPr>
          <w:p w14:paraId="630D41B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016" w:type="dxa"/>
            <w:tcBorders>
              <w:bottom w:val="single" w:sz="12" w:space="0" w:color="auto"/>
            </w:tcBorders>
          </w:tcPr>
          <w:p w14:paraId="0E9F7D7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300 000</w:t>
            </w:r>
          </w:p>
        </w:tc>
      </w:tr>
    </w:tbl>
    <w:p w14:paraId="58958A2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Остальные недостающие количества чугуна согласно распределению уполномочен</w:t>
      </w:r>
      <w:r w:rsidRPr="002F2FDF">
        <w:rPr>
          <w:rFonts w:ascii="Times New Roman" w:hAnsi="Times New Roman" w:cs="Times New Roman"/>
          <w:color w:val="000000" w:themeColor="text1"/>
          <w:kern w:val="2"/>
          <w:sz w:val="16"/>
          <w:szCs w:val="16"/>
        </w:rPr>
        <w:softHyphen/>
        <w:t>ного по Уральскому району председателя Особого совещания (Уполоборона) распреде</w:t>
      </w:r>
      <w:r w:rsidRPr="002F2FDF">
        <w:rPr>
          <w:rFonts w:ascii="Times New Roman" w:hAnsi="Times New Roman" w:cs="Times New Roman"/>
          <w:color w:val="000000" w:themeColor="text1"/>
          <w:kern w:val="2"/>
          <w:sz w:val="16"/>
          <w:szCs w:val="16"/>
        </w:rPr>
        <w:softHyphen/>
        <w:t>лены между частными заводами.</w:t>
      </w:r>
    </w:p>
    <w:p w14:paraId="7BE23B8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Хотя чугун и распределен между заводами и как бы получается впечатление, что по</w:t>
      </w:r>
      <w:r w:rsidRPr="002F2FDF">
        <w:rPr>
          <w:rFonts w:ascii="Times New Roman" w:hAnsi="Times New Roman" w:cs="Times New Roman"/>
          <w:color w:val="000000" w:themeColor="text1"/>
          <w:kern w:val="2"/>
          <w:sz w:val="16"/>
          <w:szCs w:val="16"/>
        </w:rPr>
        <w:softHyphen/>
        <w:t>требность в чугуне согласно этим распределениям будет удовлетворена, но хозяйствен</w:t>
      </w:r>
      <w:r w:rsidRPr="002F2FDF">
        <w:rPr>
          <w:rFonts w:ascii="Times New Roman" w:hAnsi="Times New Roman" w:cs="Times New Roman"/>
          <w:color w:val="000000" w:themeColor="text1"/>
          <w:kern w:val="2"/>
          <w:sz w:val="16"/>
          <w:szCs w:val="16"/>
        </w:rPr>
        <w:softHyphen/>
        <w:t>ный комитет не может поручиться, что весь чугун, распределенный между частными и казенными заводами, будет доставлен, т. к. в настоящее время поступили сообщения об отказе в поставке чугуна от 3 заводов, всего в количестве 260 тыс. пудов.</w:t>
      </w:r>
    </w:p>
    <w:p w14:paraId="3113AFA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отрицательным сторонам снабжения заводов материалами приходится добавить также несколько слов об отношении Государственного контроля, ревизующего заводс</w:t>
      </w:r>
      <w:r w:rsidRPr="002F2FDF">
        <w:rPr>
          <w:rFonts w:ascii="Times New Roman" w:hAnsi="Times New Roman" w:cs="Times New Roman"/>
          <w:color w:val="000000" w:themeColor="text1"/>
          <w:kern w:val="2"/>
          <w:sz w:val="16"/>
          <w:szCs w:val="16"/>
        </w:rPr>
        <w:softHyphen/>
        <w:t>кую отчетность и перегружающего заводоуправление, чаще всего хозяйственный коми</w:t>
      </w:r>
      <w:r w:rsidRPr="002F2FDF">
        <w:rPr>
          <w:rFonts w:ascii="Times New Roman" w:hAnsi="Times New Roman" w:cs="Times New Roman"/>
          <w:color w:val="000000" w:themeColor="text1"/>
          <w:kern w:val="2"/>
          <w:sz w:val="16"/>
          <w:szCs w:val="16"/>
        </w:rPr>
        <w:softHyphen/>
        <w:t>тет, невероятно большим числом запросов, требующих детального пересмотра дела, зат</w:t>
      </w:r>
      <w:r w:rsidRPr="002F2FDF">
        <w:rPr>
          <w:rFonts w:ascii="Times New Roman" w:hAnsi="Times New Roman" w:cs="Times New Roman"/>
          <w:color w:val="000000" w:themeColor="text1"/>
          <w:kern w:val="2"/>
          <w:sz w:val="16"/>
          <w:szCs w:val="16"/>
        </w:rPr>
        <w:softHyphen/>
        <w:t>ронутого запросом. Боязнь запросов и возможных начетов порождает медлительность в течении дел, желание уклониться от личной ответственности путем перенесения дел на разрешение высшей инстанции.</w:t>
      </w:r>
    </w:p>
    <w:p w14:paraId="5B47215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находя возможным перегружать своего доклада ссылками на другие, быть может, не менее характерные примеры для иллюстрации наболевших вопросов, порождаемых делом снабжения заводов сырыми материалами, Военно-технический комитет Ижевс</w:t>
      </w:r>
      <w:r w:rsidRPr="002F2FDF">
        <w:rPr>
          <w:rFonts w:ascii="Times New Roman" w:hAnsi="Times New Roman" w:cs="Times New Roman"/>
          <w:color w:val="000000" w:themeColor="text1"/>
          <w:kern w:val="2"/>
          <w:sz w:val="16"/>
          <w:szCs w:val="16"/>
        </w:rPr>
        <w:softHyphen/>
        <w:t>ких заводов полагает возможным ограничиться приведенными данными для надлежа</w:t>
      </w:r>
      <w:r w:rsidRPr="002F2FDF">
        <w:rPr>
          <w:rFonts w:ascii="Times New Roman" w:hAnsi="Times New Roman" w:cs="Times New Roman"/>
          <w:color w:val="000000" w:themeColor="text1"/>
          <w:kern w:val="2"/>
          <w:sz w:val="16"/>
          <w:szCs w:val="16"/>
        </w:rPr>
        <w:softHyphen/>
        <w:t>щих выводов из них.</w:t>
      </w:r>
    </w:p>
    <w:p w14:paraId="52D6E7D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основании изложенного, считаясь с грандиозным потреблением заводами сырых материалов, трудностями транспорта их с мест изготовления и принимая во внимание важность для переживаемого момента работ, исполняемых заводами, в результате коих снабжается оружием и снарядами действующая армия, а все другие технические заведе</w:t>
      </w:r>
      <w:r w:rsidRPr="002F2FDF">
        <w:rPr>
          <w:rFonts w:ascii="Times New Roman" w:hAnsi="Times New Roman" w:cs="Times New Roman"/>
          <w:color w:val="000000" w:themeColor="text1"/>
          <w:kern w:val="2"/>
          <w:sz w:val="16"/>
          <w:szCs w:val="16"/>
        </w:rPr>
        <w:softHyphen/>
        <w:t>ния артиллерийского ведомства — изделиями вчерне и сталью для работ на оборону, Военно-технический комитет полагает:</w:t>
      </w:r>
    </w:p>
    <w:p w14:paraId="1989DA4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по вопросу о заготовлениях распоряжением хозяйственного комитета— признать необходимым на время настоящей войны расширение прав последнего для производ</w:t>
      </w:r>
      <w:r w:rsidRPr="002F2FDF">
        <w:rPr>
          <w:rFonts w:ascii="Times New Roman" w:hAnsi="Times New Roman" w:cs="Times New Roman"/>
          <w:color w:val="000000" w:themeColor="text1"/>
          <w:kern w:val="2"/>
          <w:sz w:val="16"/>
          <w:szCs w:val="16"/>
        </w:rPr>
        <w:softHyphen/>
        <w:t>ства заготовительных операций на всякую сумму, без каких-либо ограничений, с предо</w:t>
      </w:r>
      <w:r w:rsidRPr="002F2FDF">
        <w:rPr>
          <w:rFonts w:ascii="Times New Roman" w:hAnsi="Times New Roman" w:cs="Times New Roman"/>
          <w:color w:val="000000" w:themeColor="text1"/>
          <w:kern w:val="2"/>
          <w:sz w:val="16"/>
          <w:szCs w:val="16"/>
        </w:rPr>
        <w:softHyphen/>
        <w:t>ставлением ему права в своих журналах доказывать правильность принятого решения по целесообразности;</w:t>
      </w:r>
    </w:p>
    <w:p w14:paraId="5887E38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по вопросу о железнодорожных перевозках грузов с материалами для надобностей заводов — разрешить начальнику заводов пользоваться литерными предложениями во всех тех случаях, когда по ходу обстоятельств в этом будет встречаться надобность; кроме того, Военно-технический комитет находит настоятельно необходимым ходатайство</w:t>
      </w:r>
      <w:r w:rsidRPr="002F2FDF">
        <w:rPr>
          <w:rFonts w:ascii="Times New Roman" w:hAnsi="Times New Roman" w:cs="Times New Roman"/>
          <w:color w:val="000000" w:themeColor="text1"/>
          <w:kern w:val="2"/>
          <w:sz w:val="16"/>
          <w:szCs w:val="16"/>
        </w:rPr>
        <w:softHyphen/>
        <w:t>вать о воздействии на О-во Московско-Казанской железной дороги, в целях понуждения его к скорейшему открытию новой линии Красная Горка - Агрыз - Ижевск - Боткине-кий завод для правильного товаро-пассажирского движения, а также считает неотлож</w:t>
      </w:r>
      <w:r w:rsidRPr="002F2FDF">
        <w:rPr>
          <w:rFonts w:ascii="Times New Roman" w:hAnsi="Times New Roman" w:cs="Times New Roman"/>
          <w:color w:val="000000" w:themeColor="text1"/>
          <w:kern w:val="2"/>
          <w:sz w:val="16"/>
          <w:szCs w:val="16"/>
        </w:rPr>
        <w:softHyphen/>
        <w:t>ным не только в интересах Ижевских заводов, но и всего Камско-Уральского края осуще</w:t>
      </w:r>
      <w:r w:rsidRPr="002F2FDF">
        <w:rPr>
          <w:rFonts w:ascii="Times New Roman" w:hAnsi="Times New Roman" w:cs="Times New Roman"/>
          <w:color w:val="000000" w:themeColor="text1"/>
          <w:kern w:val="2"/>
          <w:sz w:val="16"/>
          <w:szCs w:val="16"/>
        </w:rPr>
        <w:softHyphen/>
        <w:t>ствление проекта, разработанного совещанием при Пермском областном военно-про</w:t>
      </w:r>
      <w:r w:rsidRPr="002F2FDF">
        <w:rPr>
          <w:rFonts w:ascii="Times New Roman" w:hAnsi="Times New Roman" w:cs="Times New Roman"/>
          <w:color w:val="000000" w:themeColor="text1"/>
          <w:kern w:val="2"/>
          <w:sz w:val="16"/>
          <w:szCs w:val="16"/>
        </w:rPr>
        <w:softHyphen/>
        <w:t>мышленном комитете, плана железнодорожного строительства, и в первую очередь про</w:t>
      </w:r>
      <w:r w:rsidRPr="002F2FDF">
        <w:rPr>
          <w:rFonts w:ascii="Times New Roman" w:hAnsi="Times New Roman" w:cs="Times New Roman"/>
          <w:color w:val="000000" w:themeColor="text1"/>
          <w:kern w:val="2"/>
          <w:sz w:val="16"/>
          <w:szCs w:val="16"/>
        </w:rPr>
        <w:softHyphen/>
        <w:t>ведение железнодорожной линии, соединяющей Ижевские заводы с Пермской желез</w:t>
      </w:r>
      <w:r w:rsidRPr="002F2FDF">
        <w:rPr>
          <w:rFonts w:ascii="Times New Roman" w:hAnsi="Times New Roman" w:cs="Times New Roman"/>
          <w:color w:val="000000" w:themeColor="text1"/>
          <w:kern w:val="2"/>
          <w:sz w:val="16"/>
          <w:szCs w:val="16"/>
        </w:rPr>
        <w:softHyphen/>
        <w:t>ной дорогой у ст. Верещагине, изыскание и проекты которой представлены еще старому правительству известным местным деятелем Н. В. Мешковым.</w:t>
      </w:r>
    </w:p>
    <w:p w14:paraId="7031B1E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 касается переписки с Государственным контролем, то Военно-технический коми</w:t>
      </w:r>
      <w:r w:rsidRPr="002F2FDF">
        <w:rPr>
          <w:rFonts w:ascii="Times New Roman" w:hAnsi="Times New Roman" w:cs="Times New Roman"/>
          <w:color w:val="000000" w:themeColor="text1"/>
          <w:kern w:val="2"/>
          <w:sz w:val="16"/>
          <w:szCs w:val="16"/>
        </w:rPr>
        <w:softHyphen/>
        <w:t>тет, ознакомившись с характером переписки, возникающей из ревизионных задач Госу</w:t>
      </w:r>
      <w:r w:rsidRPr="002F2FDF">
        <w:rPr>
          <w:rFonts w:ascii="Times New Roman" w:hAnsi="Times New Roman" w:cs="Times New Roman"/>
          <w:color w:val="000000" w:themeColor="text1"/>
          <w:kern w:val="2"/>
          <w:sz w:val="16"/>
          <w:szCs w:val="16"/>
        </w:rPr>
        <w:softHyphen/>
        <w:t>дарственного контроля, полагает, что ревизующие чиновники вообще ревизуют отчет</w:t>
      </w:r>
      <w:r w:rsidRPr="002F2FDF">
        <w:rPr>
          <w:rFonts w:ascii="Times New Roman" w:hAnsi="Times New Roman" w:cs="Times New Roman"/>
          <w:color w:val="000000" w:themeColor="text1"/>
          <w:kern w:val="2"/>
          <w:sz w:val="16"/>
          <w:szCs w:val="16"/>
        </w:rPr>
        <w:softHyphen/>
        <w:t>ность по тому делу, которого они не знают; в частности — вследствие нежелания искать справки в своих делах и документах и плохой осведомленности в законоположениях.</w:t>
      </w:r>
    </w:p>
    <w:p w14:paraId="3D82B34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заключение Военно-технический комитет считает необходимым добавить, что по обстоятельствам военного времени от хозяйственного комитета заводов требуется пре</w:t>
      </w:r>
      <w:r w:rsidRPr="002F2FDF">
        <w:rPr>
          <w:rFonts w:ascii="Times New Roman" w:hAnsi="Times New Roman" w:cs="Times New Roman"/>
          <w:color w:val="000000" w:themeColor="text1"/>
          <w:kern w:val="2"/>
          <w:sz w:val="16"/>
          <w:szCs w:val="16"/>
        </w:rPr>
        <w:softHyphen/>
        <w:t>дельная работоспособность — формализм и бумажное отношение к делу в нем необходи</w:t>
      </w:r>
      <w:r w:rsidRPr="002F2FDF">
        <w:rPr>
          <w:rFonts w:ascii="Times New Roman" w:hAnsi="Times New Roman" w:cs="Times New Roman"/>
          <w:color w:val="000000" w:themeColor="text1"/>
          <w:kern w:val="2"/>
          <w:sz w:val="16"/>
          <w:szCs w:val="16"/>
        </w:rPr>
        <w:softHyphen/>
        <w:t>мо свести до такого минимума, какой практически достижим, необходимо разгрузить его от формализма и всю энергию сосредоточить на текущем живом деле питания необ</w:t>
      </w:r>
      <w:r w:rsidRPr="002F2FDF">
        <w:rPr>
          <w:rFonts w:ascii="Times New Roman" w:hAnsi="Times New Roman" w:cs="Times New Roman"/>
          <w:color w:val="000000" w:themeColor="text1"/>
          <w:kern w:val="2"/>
          <w:sz w:val="16"/>
          <w:szCs w:val="16"/>
        </w:rPr>
        <w:softHyphen/>
        <w:t>ходимыми для деятельности заводов материалами, с какою целью в первую очередь над</w:t>
      </w:r>
      <w:r w:rsidRPr="002F2FDF">
        <w:rPr>
          <w:rFonts w:ascii="Times New Roman" w:hAnsi="Times New Roman" w:cs="Times New Roman"/>
          <w:color w:val="000000" w:themeColor="text1"/>
          <w:kern w:val="2"/>
          <w:sz w:val="16"/>
          <w:szCs w:val="16"/>
        </w:rPr>
        <w:softHyphen/>
        <w:t>лежит ввести в*Ижевских заводах фактический контроль.</w:t>
      </w:r>
    </w:p>
    <w:p w14:paraId="5A25566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Обеспечение заводов техническим персоналом</w:t>
      </w:r>
    </w:p>
    <w:p w14:paraId="6571A26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характеристики современного положения Военно-технический комитет позво</w:t>
      </w:r>
      <w:r w:rsidRPr="002F2FDF">
        <w:rPr>
          <w:rFonts w:ascii="Times New Roman" w:hAnsi="Times New Roman" w:cs="Times New Roman"/>
          <w:color w:val="000000" w:themeColor="text1"/>
          <w:kern w:val="2"/>
          <w:sz w:val="16"/>
          <w:szCs w:val="16"/>
        </w:rPr>
        <w:softHyphen/>
        <w:t>ляет себе остановиться на нескольких примерах, взяв в одном случае для сравнения бога</w:t>
      </w:r>
      <w:r w:rsidRPr="002F2FDF">
        <w:rPr>
          <w:rFonts w:ascii="Times New Roman" w:hAnsi="Times New Roman" w:cs="Times New Roman"/>
          <w:color w:val="000000" w:themeColor="text1"/>
          <w:kern w:val="2"/>
          <w:sz w:val="16"/>
          <w:szCs w:val="16"/>
        </w:rPr>
        <w:softHyphen/>
        <w:t>тый техническими силами и хорошо поставленный Путиловский завод. Там в отдельных мастерских и лабораториях, поименованных ниже, имеются:</w:t>
      </w:r>
    </w:p>
    <w:p w14:paraId="537077E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мартеновская мастерская — начальник, его помощник и 3 сменных инженера,</w:t>
      </w:r>
    </w:p>
    <w:p w14:paraId="1CB59A8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отливка тигельной стали - начальник и его помощник,</w:t>
      </w:r>
    </w:p>
    <w:p w14:paraId="7DF55E2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механическая лаборатория — начальник,</w:t>
      </w:r>
    </w:p>
    <w:p w14:paraId="4929810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 металлографическая лаборатория — начальник и два помощника.</w:t>
      </w:r>
    </w:p>
    <w:p w14:paraId="58474CB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Ижевском заводе для всех этих отделов имеется один только заведующий и времен</w:t>
      </w:r>
      <w:r w:rsidRPr="002F2FDF">
        <w:rPr>
          <w:rFonts w:ascii="Times New Roman" w:hAnsi="Times New Roman" w:cs="Times New Roman"/>
          <w:color w:val="000000" w:themeColor="text1"/>
          <w:kern w:val="2"/>
          <w:sz w:val="16"/>
          <w:szCs w:val="16"/>
        </w:rPr>
        <w:softHyphen/>
        <w:t>но (по сталелитейной мает.) один помощник, против 11 в Путиловском заводе. Есте</w:t>
      </w:r>
      <w:r w:rsidRPr="002F2FDF">
        <w:rPr>
          <w:rFonts w:ascii="Times New Roman" w:hAnsi="Times New Roman" w:cs="Times New Roman"/>
          <w:color w:val="000000" w:themeColor="text1"/>
          <w:kern w:val="2"/>
          <w:sz w:val="16"/>
          <w:szCs w:val="16"/>
        </w:rPr>
        <w:softHyphen/>
        <w:t>ственно, что при таком положении дела этот универсальный заведующий должен одно</w:t>
      </w:r>
      <w:r w:rsidRPr="002F2FDF">
        <w:rPr>
          <w:rFonts w:ascii="Times New Roman" w:hAnsi="Times New Roman" w:cs="Times New Roman"/>
          <w:color w:val="000000" w:themeColor="text1"/>
          <w:kern w:val="2"/>
          <w:sz w:val="16"/>
          <w:szCs w:val="16"/>
        </w:rPr>
        <w:softHyphen/>
        <w:t>временно быть высшим административным органом мастерской и собственным стар</w:t>
      </w:r>
      <w:r w:rsidRPr="002F2FDF">
        <w:rPr>
          <w:rFonts w:ascii="Times New Roman" w:hAnsi="Times New Roman" w:cs="Times New Roman"/>
          <w:color w:val="000000" w:themeColor="text1"/>
          <w:kern w:val="2"/>
          <w:sz w:val="16"/>
          <w:szCs w:val="16"/>
        </w:rPr>
        <w:softHyphen/>
        <w:t>шим мастером, техником повседневного производства и конструктором в спешных ра</w:t>
      </w:r>
      <w:r w:rsidRPr="002F2FDF">
        <w:rPr>
          <w:rFonts w:ascii="Times New Roman" w:hAnsi="Times New Roman" w:cs="Times New Roman"/>
          <w:color w:val="000000" w:themeColor="text1"/>
          <w:kern w:val="2"/>
          <w:sz w:val="16"/>
          <w:szCs w:val="16"/>
        </w:rPr>
        <w:softHyphen/>
        <w:t>ботах по переустройству и расширению мастерской, контролером изделий по мастерс</w:t>
      </w:r>
      <w:r w:rsidRPr="002F2FDF">
        <w:rPr>
          <w:rFonts w:ascii="Times New Roman" w:hAnsi="Times New Roman" w:cs="Times New Roman"/>
          <w:color w:val="000000" w:themeColor="text1"/>
          <w:kern w:val="2"/>
          <w:sz w:val="16"/>
          <w:szCs w:val="16"/>
        </w:rPr>
        <w:softHyphen/>
        <w:t>ким и лабораторным исследователем. В том же приблизительно положении находится целый ряд других мастерских. Например: старший механик заводов объединяет в своем лице наблюдающего за всеми механизмами Оружейного завода, начальника механичес</w:t>
      </w:r>
      <w:r w:rsidRPr="002F2FDF">
        <w:rPr>
          <w:rFonts w:ascii="Times New Roman" w:hAnsi="Times New Roman" w:cs="Times New Roman"/>
          <w:color w:val="000000" w:themeColor="text1"/>
          <w:kern w:val="2"/>
          <w:sz w:val="16"/>
          <w:szCs w:val="16"/>
        </w:rPr>
        <w:softHyphen/>
        <w:t>кой мастерской (1330 рабочих), архитектора, гидротехника и заведующего конструктор</w:t>
      </w:r>
      <w:r w:rsidRPr="002F2FDF">
        <w:rPr>
          <w:rFonts w:ascii="Times New Roman" w:hAnsi="Times New Roman" w:cs="Times New Roman"/>
          <w:color w:val="000000" w:themeColor="text1"/>
          <w:kern w:val="2"/>
          <w:sz w:val="16"/>
          <w:szCs w:val="16"/>
        </w:rPr>
        <w:softHyphen/>
        <w:t>ским бюро. Начальник сверлильно-токарной мастерской с временным помощником сво</w:t>
      </w:r>
      <w:r w:rsidRPr="002F2FDF">
        <w:rPr>
          <w:rFonts w:ascii="Times New Roman" w:hAnsi="Times New Roman" w:cs="Times New Roman"/>
          <w:color w:val="000000" w:themeColor="text1"/>
          <w:kern w:val="2"/>
          <w:sz w:val="16"/>
          <w:szCs w:val="16"/>
        </w:rPr>
        <w:softHyphen/>
        <w:t>им ведает мастерскими: ствольно-сверлильной, снарядной со ступичным отделением, закалочной и пилозубной, при общем числе рабочих в 3501 человек и одних только мастерах-практиках, не получивших никакой технической подготовки.</w:t>
      </w:r>
    </w:p>
    <w:p w14:paraId="4256252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Приводя ниже поименный список мастерских Оружейного и Сталеделательного заво</w:t>
      </w:r>
      <w:r w:rsidRPr="002F2FDF">
        <w:rPr>
          <w:rFonts w:ascii="Times New Roman" w:hAnsi="Times New Roman" w:cs="Times New Roman"/>
          <w:color w:val="000000" w:themeColor="text1"/>
          <w:kern w:val="2"/>
          <w:sz w:val="16"/>
          <w:szCs w:val="16"/>
        </w:rPr>
        <w:softHyphen/>
        <w:t>дов с указанием числа рабочих в них и принимая, кроме того, во внимание обширные работы по переустройству заводов и нужды учреждений хозяйственной части (железные дороги, леса и проч.), Военно-технический комитет находил бы необходимым пополнить наличный технический персонал следующим числом техников с высшим образованием:</w:t>
      </w:r>
    </w:p>
    <w:p w14:paraId="7DDB1C0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для мастерских металлургического характера 5</w:t>
      </w:r>
    </w:p>
    <w:p w14:paraId="59CE5B5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для мастерских по холодной обработке металла 13</w:t>
      </w:r>
    </w:p>
    <w:p w14:paraId="5C92A73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по обслуживанию механизмов и двигателей 2</w:t>
      </w:r>
    </w:p>
    <w:p w14:paraId="0125D2E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для конструкторских работ 2</w:t>
      </w:r>
    </w:p>
    <w:p w14:paraId="2319C82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для строительных работ • 3</w:t>
      </w:r>
    </w:p>
    <w:p w14:paraId="2F207C4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для проектирования электрических установок и эксплуатации 2</w:t>
      </w:r>
    </w:p>
    <w:p w14:paraId="0C4B80C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для эксплуатации заводских железных дорог 2</w:t>
      </w:r>
    </w:p>
    <w:p w14:paraId="4798F6A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для лесного хозяйства 1</w:t>
      </w:r>
    </w:p>
    <w:p w14:paraId="523A388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Всего 30 человек</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987"/>
        <w:gridCol w:w="1997"/>
        <w:gridCol w:w="2035"/>
        <w:gridCol w:w="1939"/>
      </w:tblGrid>
      <w:tr w:rsidR="002B1C74" w:rsidRPr="002F2FDF" w14:paraId="2913E4AC" w14:textId="77777777">
        <w:trPr>
          <w:trHeight w:val="317"/>
        </w:trPr>
        <w:tc>
          <w:tcPr>
            <w:tcW w:w="3984" w:type="dxa"/>
            <w:gridSpan w:val="2"/>
            <w:tcBorders>
              <w:top w:val="single" w:sz="12" w:space="0" w:color="auto"/>
            </w:tcBorders>
          </w:tcPr>
          <w:p w14:paraId="1E97272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Сталеделательный завод</w:t>
            </w:r>
          </w:p>
          <w:p w14:paraId="27C4C42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974" w:type="dxa"/>
            <w:gridSpan w:val="2"/>
            <w:tcBorders>
              <w:top w:val="single" w:sz="12" w:space="0" w:color="auto"/>
            </w:tcBorders>
          </w:tcPr>
          <w:p w14:paraId="42A6CC1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Оружейный завод</w:t>
            </w:r>
          </w:p>
          <w:p w14:paraId="13F13F3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48A6D548" w14:textId="77777777">
        <w:trPr>
          <w:trHeight w:val="250"/>
        </w:trPr>
        <w:tc>
          <w:tcPr>
            <w:tcW w:w="1987" w:type="dxa"/>
          </w:tcPr>
          <w:p w14:paraId="7B38685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Мастерские</w:t>
            </w:r>
          </w:p>
          <w:p w14:paraId="3E077A8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97" w:type="dxa"/>
          </w:tcPr>
          <w:p w14:paraId="3FF3FAB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раб.</w:t>
            </w:r>
          </w:p>
          <w:p w14:paraId="0DE4F88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35" w:type="dxa"/>
          </w:tcPr>
          <w:p w14:paraId="241EE43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Мастерские</w:t>
            </w:r>
          </w:p>
          <w:p w14:paraId="5025693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39" w:type="dxa"/>
          </w:tcPr>
          <w:p w14:paraId="46426A6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раб.</w:t>
            </w:r>
          </w:p>
          <w:p w14:paraId="7CF7C75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0A5E1A8D" w14:textId="77777777">
        <w:trPr>
          <w:trHeight w:val="211"/>
        </w:trPr>
        <w:tc>
          <w:tcPr>
            <w:tcW w:w="1987" w:type="dxa"/>
          </w:tcPr>
          <w:p w14:paraId="4350F70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Сталелитейная</w:t>
            </w:r>
          </w:p>
          <w:p w14:paraId="1422D45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97" w:type="dxa"/>
          </w:tcPr>
          <w:p w14:paraId="1739CC6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966</w:t>
            </w:r>
          </w:p>
          <w:p w14:paraId="1F6446D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35" w:type="dxa"/>
          </w:tcPr>
          <w:p w14:paraId="64FF813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Кузнечная</w:t>
            </w:r>
          </w:p>
          <w:p w14:paraId="390E3C7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39" w:type="dxa"/>
          </w:tcPr>
          <w:p w14:paraId="7233186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1136</w:t>
            </w:r>
          </w:p>
          <w:p w14:paraId="2D3CA3A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5AE1C099" w14:textId="77777777">
        <w:trPr>
          <w:trHeight w:val="163"/>
        </w:trPr>
        <w:tc>
          <w:tcPr>
            <w:tcW w:w="1987" w:type="dxa"/>
          </w:tcPr>
          <w:p w14:paraId="572D5C8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Прокатная</w:t>
            </w:r>
          </w:p>
          <w:p w14:paraId="02428D1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97" w:type="dxa"/>
          </w:tcPr>
          <w:p w14:paraId="4E2A949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93A01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35" w:type="dxa"/>
          </w:tcPr>
          <w:p w14:paraId="0471F33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2066</w:t>
            </w:r>
          </w:p>
          <w:p w14:paraId="228C62C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39" w:type="dxa"/>
          </w:tcPr>
          <w:p w14:paraId="7EB6C91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Ствольная 950</w:t>
            </w:r>
          </w:p>
          <w:p w14:paraId="454DF5F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195DAF98" w14:textId="77777777">
        <w:trPr>
          <w:trHeight w:val="163"/>
        </w:trPr>
        <w:tc>
          <w:tcPr>
            <w:tcW w:w="1987" w:type="dxa"/>
          </w:tcPr>
          <w:p w14:paraId="21A68C7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Молотовая</w:t>
            </w:r>
          </w:p>
        </w:tc>
        <w:tc>
          <w:tcPr>
            <w:tcW w:w="1997" w:type="dxa"/>
          </w:tcPr>
          <w:p w14:paraId="0D66A33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35" w:type="dxa"/>
          </w:tcPr>
          <w:p w14:paraId="3591535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1124</w:t>
            </w:r>
          </w:p>
        </w:tc>
        <w:tc>
          <w:tcPr>
            <w:tcW w:w="1939" w:type="dxa"/>
          </w:tcPr>
          <w:p w14:paraId="23373E4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Замочная 1822</w:t>
            </w:r>
          </w:p>
        </w:tc>
      </w:tr>
      <w:tr w:rsidR="002B1C74" w:rsidRPr="002F2FDF" w14:paraId="4E011843" w14:textId="77777777">
        <w:trPr>
          <w:trHeight w:val="173"/>
        </w:trPr>
        <w:tc>
          <w:tcPr>
            <w:tcW w:w="1987" w:type="dxa"/>
          </w:tcPr>
          <w:p w14:paraId="3A2626B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Сверл ил ьно-токарная</w:t>
            </w:r>
          </w:p>
        </w:tc>
        <w:tc>
          <w:tcPr>
            <w:tcW w:w="1997" w:type="dxa"/>
          </w:tcPr>
          <w:p w14:paraId="64A84C2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3575</w:t>
            </w:r>
          </w:p>
        </w:tc>
        <w:tc>
          <w:tcPr>
            <w:tcW w:w="2035" w:type="dxa"/>
          </w:tcPr>
          <w:p w14:paraId="277DDF1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Ствол ьно-коробочная</w:t>
            </w:r>
          </w:p>
        </w:tc>
        <w:tc>
          <w:tcPr>
            <w:tcW w:w="1939" w:type="dxa"/>
          </w:tcPr>
          <w:p w14:paraId="22E533C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765</w:t>
            </w:r>
          </w:p>
        </w:tc>
      </w:tr>
      <w:tr w:rsidR="002B1C74" w:rsidRPr="002F2FDF" w14:paraId="71BF7B60" w14:textId="77777777">
        <w:trPr>
          <w:trHeight w:val="173"/>
        </w:trPr>
        <w:tc>
          <w:tcPr>
            <w:tcW w:w="1987" w:type="dxa"/>
          </w:tcPr>
          <w:p w14:paraId="1B0CA58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Проволочная</w:t>
            </w:r>
          </w:p>
        </w:tc>
        <w:tc>
          <w:tcPr>
            <w:tcW w:w="1997" w:type="dxa"/>
          </w:tcPr>
          <w:p w14:paraId="4F37B23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189</w:t>
            </w:r>
          </w:p>
        </w:tc>
        <w:tc>
          <w:tcPr>
            <w:tcW w:w="2035" w:type="dxa"/>
          </w:tcPr>
          <w:p w14:paraId="26BCD75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Штыковая</w:t>
            </w:r>
          </w:p>
        </w:tc>
        <w:tc>
          <w:tcPr>
            <w:tcW w:w="1939" w:type="dxa"/>
          </w:tcPr>
          <w:p w14:paraId="359D61D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997</w:t>
            </w:r>
          </w:p>
        </w:tc>
      </w:tr>
      <w:tr w:rsidR="002B1C74" w:rsidRPr="002F2FDF" w14:paraId="7C20CE81" w14:textId="77777777">
        <w:trPr>
          <w:trHeight w:val="154"/>
        </w:trPr>
        <w:tc>
          <w:tcPr>
            <w:tcW w:w="1987" w:type="dxa"/>
          </w:tcPr>
          <w:p w14:paraId="59ECFEE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Ремонтная</w:t>
            </w:r>
          </w:p>
        </w:tc>
        <w:tc>
          <w:tcPr>
            <w:tcW w:w="1997" w:type="dxa"/>
          </w:tcPr>
          <w:p w14:paraId="73FB7C1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35" w:type="dxa"/>
          </w:tcPr>
          <w:p w14:paraId="11D57E7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1869</w:t>
            </w:r>
          </w:p>
        </w:tc>
        <w:tc>
          <w:tcPr>
            <w:tcW w:w="1939" w:type="dxa"/>
          </w:tcPr>
          <w:p w14:paraId="46606C1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Ложевая 1150</w:t>
            </w:r>
          </w:p>
        </w:tc>
      </w:tr>
      <w:tr w:rsidR="002B1C74" w:rsidRPr="002F2FDF" w14:paraId="597E450B" w14:textId="77777777">
        <w:trPr>
          <w:trHeight w:val="182"/>
        </w:trPr>
        <w:tc>
          <w:tcPr>
            <w:tcW w:w="1987" w:type="dxa"/>
          </w:tcPr>
          <w:p w14:paraId="119F24A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Очистка стали</w:t>
            </w:r>
          </w:p>
        </w:tc>
        <w:tc>
          <w:tcPr>
            <w:tcW w:w="1997" w:type="dxa"/>
          </w:tcPr>
          <w:p w14:paraId="214CC80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368</w:t>
            </w:r>
          </w:p>
        </w:tc>
        <w:tc>
          <w:tcPr>
            <w:tcW w:w="2035" w:type="dxa"/>
          </w:tcPr>
          <w:p w14:paraId="19A3377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Приборная</w:t>
            </w:r>
          </w:p>
        </w:tc>
        <w:tc>
          <w:tcPr>
            <w:tcW w:w="1939" w:type="dxa"/>
          </w:tcPr>
          <w:p w14:paraId="2594D36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978</w:t>
            </w:r>
          </w:p>
        </w:tc>
      </w:tr>
      <w:tr w:rsidR="002B1C74" w:rsidRPr="002F2FDF" w14:paraId="4669A90A" w14:textId="77777777">
        <w:trPr>
          <w:trHeight w:val="173"/>
        </w:trPr>
        <w:tc>
          <w:tcPr>
            <w:tcW w:w="1987" w:type="dxa"/>
          </w:tcPr>
          <w:p w14:paraId="5C2BAD2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Чугунолитейная</w:t>
            </w:r>
          </w:p>
        </w:tc>
        <w:tc>
          <w:tcPr>
            <w:tcW w:w="1997" w:type="dxa"/>
          </w:tcPr>
          <w:p w14:paraId="129EC28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277</w:t>
            </w:r>
          </w:p>
        </w:tc>
        <w:tc>
          <w:tcPr>
            <w:tcW w:w="2035" w:type="dxa"/>
          </w:tcPr>
          <w:p w14:paraId="6F999D9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Поверочная</w:t>
            </w:r>
          </w:p>
        </w:tc>
        <w:tc>
          <w:tcPr>
            <w:tcW w:w="1939" w:type="dxa"/>
          </w:tcPr>
          <w:p w14:paraId="733EAC6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743</w:t>
            </w:r>
          </w:p>
        </w:tc>
      </w:tr>
      <w:tr w:rsidR="002B1C74" w:rsidRPr="002F2FDF" w14:paraId="171145EE" w14:textId="77777777">
        <w:trPr>
          <w:trHeight w:val="173"/>
        </w:trPr>
        <w:tc>
          <w:tcPr>
            <w:tcW w:w="1987" w:type="dxa"/>
          </w:tcPr>
          <w:p w14:paraId="5E86BD9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Кирпичная</w:t>
            </w:r>
          </w:p>
        </w:tc>
        <w:tc>
          <w:tcPr>
            <w:tcW w:w="1997" w:type="dxa"/>
          </w:tcPr>
          <w:p w14:paraId="72237B2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167</w:t>
            </w:r>
          </w:p>
        </w:tc>
        <w:tc>
          <w:tcPr>
            <w:tcW w:w="2035" w:type="dxa"/>
          </w:tcPr>
          <w:p w14:paraId="5639783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Магазино-коробочная</w:t>
            </w:r>
          </w:p>
        </w:tc>
        <w:tc>
          <w:tcPr>
            <w:tcW w:w="1939" w:type="dxa"/>
          </w:tcPr>
          <w:p w14:paraId="75C4B99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2118</w:t>
            </w:r>
          </w:p>
        </w:tc>
      </w:tr>
      <w:tr w:rsidR="002B1C74" w:rsidRPr="002F2FDF" w14:paraId="1EBB63AC" w14:textId="77777777">
        <w:trPr>
          <w:trHeight w:val="154"/>
        </w:trPr>
        <w:tc>
          <w:tcPr>
            <w:tcW w:w="1987" w:type="dxa"/>
          </w:tcPr>
          <w:p w14:paraId="0CB46E0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Тигельная</w:t>
            </w:r>
          </w:p>
        </w:tc>
        <w:tc>
          <w:tcPr>
            <w:tcW w:w="1997" w:type="dxa"/>
          </w:tcPr>
          <w:p w14:paraId="00EE406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84</w:t>
            </w:r>
          </w:p>
        </w:tc>
        <w:tc>
          <w:tcPr>
            <w:tcW w:w="2035" w:type="dxa"/>
          </w:tcPr>
          <w:p w14:paraId="4F29E09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Механическая</w:t>
            </w:r>
          </w:p>
        </w:tc>
        <w:tc>
          <w:tcPr>
            <w:tcW w:w="1939" w:type="dxa"/>
          </w:tcPr>
          <w:p w14:paraId="149B23D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1337</w:t>
            </w:r>
          </w:p>
        </w:tc>
      </w:tr>
      <w:tr w:rsidR="002B1C74" w:rsidRPr="002F2FDF" w14:paraId="033766D9" w14:textId="77777777">
        <w:trPr>
          <w:trHeight w:val="182"/>
        </w:trPr>
        <w:tc>
          <w:tcPr>
            <w:tcW w:w="1987" w:type="dxa"/>
          </w:tcPr>
          <w:p w14:paraId="15EB928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Пилозубная</w:t>
            </w:r>
          </w:p>
        </w:tc>
        <w:tc>
          <w:tcPr>
            <w:tcW w:w="1997" w:type="dxa"/>
          </w:tcPr>
          <w:p w14:paraId="0961251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121</w:t>
            </w:r>
          </w:p>
        </w:tc>
        <w:tc>
          <w:tcPr>
            <w:tcW w:w="2035" w:type="dxa"/>
          </w:tcPr>
          <w:p w14:paraId="6ED92B0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Электрическая</w:t>
            </w:r>
          </w:p>
        </w:tc>
        <w:tc>
          <w:tcPr>
            <w:tcW w:w="1939" w:type="dxa"/>
          </w:tcPr>
          <w:p w14:paraId="1C54FB3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216</w:t>
            </w:r>
          </w:p>
        </w:tc>
      </w:tr>
      <w:tr w:rsidR="002B1C74" w:rsidRPr="002F2FDF" w14:paraId="054F5E37" w14:textId="77777777">
        <w:trPr>
          <w:trHeight w:val="163"/>
        </w:trPr>
        <w:tc>
          <w:tcPr>
            <w:tcW w:w="1987" w:type="dxa"/>
          </w:tcPr>
          <w:p w14:paraId="7F7146D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Фотографический</w:t>
            </w:r>
          </w:p>
        </w:tc>
        <w:tc>
          <w:tcPr>
            <w:tcW w:w="1997" w:type="dxa"/>
          </w:tcPr>
          <w:p w14:paraId="37B7357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35" w:type="dxa"/>
          </w:tcPr>
          <w:p w14:paraId="0A8B102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39" w:type="dxa"/>
          </w:tcPr>
          <w:p w14:paraId="13F6FCD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00A647CB" w14:textId="77777777">
        <w:trPr>
          <w:trHeight w:val="173"/>
        </w:trPr>
        <w:tc>
          <w:tcPr>
            <w:tcW w:w="1987" w:type="dxa"/>
          </w:tcPr>
          <w:p w14:paraId="50DE12BC" w14:textId="77777777" w:rsidR="003431D2" w:rsidRPr="002F2FDF" w:rsidRDefault="001B6ED4"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w:t>
            </w:r>
            <w:r w:rsidR="003431D2" w:rsidRPr="002F2FDF">
              <w:rPr>
                <w:rFonts w:ascii="Times New Roman" w:hAnsi="Times New Roman" w:cs="Times New Roman"/>
                <w:color w:val="000000" w:themeColor="text1"/>
                <w:kern w:val="2"/>
                <w:sz w:val="16"/>
                <w:szCs w:val="16"/>
              </w:rPr>
              <w:t>авильон</w:t>
            </w:r>
          </w:p>
        </w:tc>
        <w:tc>
          <w:tcPr>
            <w:tcW w:w="1997" w:type="dxa"/>
          </w:tcPr>
          <w:p w14:paraId="72819D5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2035" w:type="dxa"/>
          </w:tcPr>
          <w:p w14:paraId="717D499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Инструментальная</w:t>
            </w:r>
          </w:p>
        </w:tc>
        <w:tc>
          <w:tcPr>
            <w:tcW w:w="1939" w:type="dxa"/>
          </w:tcPr>
          <w:p w14:paraId="6E7E5C4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3043</w:t>
            </w:r>
          </w:p>
        </w:tc>
      </w:tr>
      <w:tr w:rsidR="002B1C74" w:rsidRPr="002F2FDF" w14:paraId="39B11710" w14:textId="77777777">
        <w:trPr>
          <w:trHeight w:val="173"/>
        </w:trPr>
        <w:tc>
          <w:tcPr>
            <w:tcW w:w="1987" w:type="dxa"/>
          </w:tcPr>
          <w:p w14:paraId="061CD4F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Производители работ</w:t>
            </w:r>
          </w:p>
        </w:tc>
        <w:tc>
          <w:tcPr>
            <w:tcW w:w="1997" w:type="dxa"/>
          </w:tcPr>
          <w:p w14:paraId="1B22031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111</w:t>
            </w:r>
          </w:p>
        </w:tc>
        <w:tc>
          <w:tcPr>
            <w:tcW w:w="2035" w:type="dxa"/>
          </w:tcPr>
          <w:p w14:paraId="02DE1B2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Обоймочное отделение</w:t>
            </w:r>
          </w:p>
        </w:tc>
        <w:tc>
          <w:tcPr>
            <w:tcW w:w="1939" w:type="dxa"/>
          </w:tcPr>
          <w:p w14:paraId="1DC56B4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307</w:t>
            </w:r>
          </w:p>
        </w:tc>
      </w:tr>
      <w:tr w:rsidR="002B1C74" w:rsidRPr="002F2FDF" w14:paraId="3C5472BC" w14:textId="77777777">
        <w:trPr>
          <w:trHeight w:val="163"/>
        </w:trPr>
        <w:tc>
          <w:tcPr>
            <w:tcW w:w="1987" w:type="dxa"/>
          </w:tcPr>
          <w:p w14:paraId="59CEA39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Контора завода</w:t>
            </w:r>
          </w:p>
        </w:tc>
        <w:tc>
          <w:tcPr>
            <w:tcW w:w="1997" w:type="dxa"/>
          </w:tcPr>
          <w:p w14:paraId="67674AE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35" w:type="dxa"/>
          </w:tcPr>
          <w:p w14:paraId="00B222D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39" w:type="dxa"/>
          </w:tcPr>
          <w:p w14:paraId="4CF05E0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04A91D8A" w14:textId="77777777">
        <w:trPr>
          <w:trHeight w:val="173"/>
        </w:trPr>
        <w:tc>
          <w:tcPr>
            <w:tcW w:w="1987" w:type="dxa"/>
          </w:tcPr>
          <w:p w14:paraId="0EC2781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 лаборатория</w:t>
            </w:r>
          </w:p>
        </w:tc>
        <w:tc>
          <w:tcPr>
            <w:tcW w:w="1997" w:type="dxa"/>
          </w:tcPr>
          <w:p w14:paraId="558572A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82</w:t>
            </w:r>
          </w:p>
        </w:tc>
        <w:tc>
          <w:tcPr>
            <w:tcW w:w="2035" w:type="dxa"/>
          </w:tcPr>
          <w:p w14:paraId="7B8D47C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Контора завода</w:t>
            </w:r>
          </w:p>
        </w:tc>
        <w:tc>
          <w:tcPr>
            <w:tcW w:w="1939" w:type="dxa"/>
          </w:tcPr>
          <w:p w14:paraId="7606F9C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w:t>
            </w:r>
          </w:p>
        </w:tc>
      </w:tr>
      <w:tr w:rsidR="002B1C74" w:rsidRPr="002F2FDF" w14:paraId="7CD4E556" w14:textId="77777777">
        <w:trPr>
          <w:trHeight w:val="259"/>
        </w:trPr>
        <w:tc>
          <w:tcPr>
            <w:tcW w:w="1987" w:type="dxa"/>
            <w:tcBorders>
              <w:bottom w:val="single" w:sz="12" w:space="0" w:color="auto"/>
            </w:tcBorders>
          </w:tcPr>
          <w:p w14:paraId="66DEED4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1997" w:type="dxa"/>
            <w:tcBorders>
              <w:bottom w:val="single" w:sz="12" w:space="0" w:color="auto"/>
            </w:tcBorders>
          </w:tcPr>
          <w:p w14:paraId="1142AFB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11 010</w:t>
            </w:r>
          </w:p>
        </w:tc>
        <w:tc>
          <w:tcPr>
            <w:tcW w:w="2035" w:type="dxa"/>
            <w:tcBorders>
              <w:bottom w:val="single" w:sz="12" w:space="0" w:color="auto"/>
            </w:tcBorders>
          </w:tcPr>
          <w:p w14:paraId="465AD16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1939" w:type="dxa"/>
            <w:tcBorders>
              <w:bottom w:val="single" w:sz="12" w:space="0" w:color="auto"/>
            </w:tcBorders>
          </w:tcPr>
          <w:p w14:paraId="2520F7F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15 598</w:t>
            </w:r>
          </w:p>
        </w:tc>
      </w:tr>
    </w:tbl>
    <w:p w14:paraId="0E6F201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исключая учреждения хозяйственной части, 26 608 человек. Наличное число техников ко дню составления данной докладной записки, опять-таки исключая хозяй</w:t>
      </w:r>
      <w:r w:rsidRPr="002F2FDF">
        <w:rPr>
          <w:rFonts w:ascii="Times New Roman" w:hAnsi="Times New Roman" w:cs="Times New Roman"/>
          <w:color w:val="000000" w:themeColor="text1"/>
          <w:kern w:val="2"/>
          <w:sz w:val="16"/>
          <w:szCs w:val="16"/>
        </w:rPr>
        <w:softHyphen/>
        <w:t>ственную часть, 27 человек.</w:t>
      </w:r>
    </w:p>
    <w:p w14:paraId="582DB73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III. О расценочной комиссии</w:t>
      </w:r>
    </w:p>
    <w:p w14:paraId="6CD9A12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избежание недоверия рабочих заводов к деятельности расценочной комиссии, составленной исключительно из местных сил, по мнению Военно-технического коми</w:t>
      </w:r>
      <w:r w:rsidRPr="002F2FDF">
        <w:rPr>
          <w:rFonts w:ascii="Times New Roman" w:hAnsi="Times New Roman" w:cs="Times New Roman"/>
          <w:color w:val="000000" w:themeColor="text1"/>
          <w:kern w:val="2"/>
          <w:sz w:val="16"/>
          <w:szCs w:val="16"/>
        </w:rPr>
        <w:softHyphen/>
        <w:t>тета, в целях придания большего авторитета в глазах рабочих, является настоятельно необходимой присылка из Петрограда комиссии для установления норм плат.</w:t>
      </w:r>
    </w:p>
    <w:p w14:paraId="7409150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IV. О кредитах</w:t>
      </w:r>
    </w:p>
    <w:p w14:paraId="1B78E47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мнению Военно-технического комитета, необходимо немедленное утверждение Главным артиллерийским управлением сделанных до сего времени перерасходов против сметных назначений по всем нарядам, по которым донесения заводоуправления уже сделаны в ГАУ.</w:t>
      </w:r>
    </w:p>
    <w:p w14:paraId="07E0ABB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Утверждать впредь без замедления представления о перерасходах в связи с ожидае</w:t>
      </w:r>
      <w:r w:rsidRPr="002F2FDF">
        <w:rPr>
          <w:rFonts w:ascii="Times New Roman" w:hAnsi="Times New Roman" w:cs="Times New Roman"/>
          <w:color w:val="000000" w:themeColor="text1"/>
          <w:kern w:val="2"/>
          <w:sz w:val="16"/>
          <w:szCs w:val="16"/>
        </w:rPr>
        <w:softHyphen/>
        <w:t>мым общим повышением расценок.</w:t>
      </w:r>
    </w:p>
    <w:p w14:paraId="5128CEE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Обязать ГАУ открывать кредиты на следующий операционный месяц по телеграфу от</w:t>
      </w:r>
      <w:r w:rsidRPr="002F2FDF">
        <w:rPr>
          <w:rFonts w:ascii="Times New Roman" w:hAnsi="Times New Roman" w:cs="Times New Roman"/>
          <w:color w:val="000000" w:themeColor="text1"/>
          <w:kern w:val="2"/>
          <w:sz w:val="16"/>
          <w:szCs w:val="16"/>
        </w:rPr>
        <w:softHyphen/>
        <w:t>нюдь не позже последних чисел предшествующего месяца и следить за тем, чтобы испраши</w:t>
      </w:r>
      <w:r w:rsidRPr="002F2FDF">
        <w:rPr>
          <w:rFonts w:ascii="Times New Roman" w:hAnsi="Times New Roman" w:cs="Times New Roman"/>
          <w:color w:val="000000" w:themeColor="text1"/>
          <w:kern w:val="2"/>
          <w:sz w:val="16"/>
          <w:szCs w:val="16"/>
        </w:rPr>
        <w:softHyphen/>
        <w:t>ваемые кредиты действительно переводились Главным казначейством своевременно.</w:t>
      </w:r>
    </w:p>
    <w:p w14:paraId="2595F63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СПРАВКА: Согласно распоряжения ГАУ кредиты из военного фонда на исполнение нарядов должны испрашиваться заблаговременно вперед на каждый месяц, с тем чтобы к концу каждого месяца были использованы.</w:t>
      </w:r>
    </w:p>
    <w:p w14:paraId="0514743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Рапортами начальника заводов были испрошены к открытию кредиты для израсхо-дования в 1917 г.:</w:t>
      </w:r>
    </w:p>
    <w:p w14:paraId="7CBAB3E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от 19 декабря 1916 г. за № 48318 — на изготовление 3-дм шрапнелей, на январь и февраль по 750 тыс. руб., на март, апрель, май и июнь по 300 тыс. руб. на каждый месяц.</w:t>
      </w:r>
    </w:p>
    <w:p w14:paraId="2194638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от 20 декабря 1916 г. за № 48560 — на изготовление 3-лин. винтовок — на январь, февраль, март, апрель, май и июнь по 3 млн. 200 тыс. руб. на каждый месяц.</w:t>
      </w:r>
    </w:p>
    <w:p w14:paraId="54BC391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Означенные кредиты испрашивались с расчетом получения их в Ижевском казначей</w:t>
      </w:r>
      <w:r w:rsidRPr="002F2FDF">
        <w:rPr>
          <w:rFonts w:ascii="Times New Roman" w:hAnsi="Times New Roman" w:cs="Times New Roman"/>
          <w:color w:val="000000" w:themeColor="text1"/>
          <w:kern w:val="2"/>
          <w:sz w:val="16"/>
          <w:szCs w:val="16"/>
        </w:rPr>
        <w:softHyphen/>
        <w:t>стве к первому числу каждого месяца, так как остатка от предыдущего месяца почти не бывает. Но кредиты ГАУ своевременно не открывает. Например: об открытии кредитов на март, кроме рапортов, прошено телеграммами 1 и 7 марта за №№ 9722 и 10502. Полу</w:t>
      </w:r>
      <w:r w:rsidRPr="002F2FDF">
        <w:rPr>
          <w:rFonts w:ascii="Times New Roman" w:hAnsi="Times New Roman" w:cs="Times New Roman"/>
          <w:color w:val="000000" w:themeColor="text1"/>
          <w:kern w:val="2"/>
          <w:sz w:val="16"/>
          <w:szCs w:val="16"/>
        </w:rPr>
        <w:softHyphen/>
        <w:t>чены от ГАУ телеграфные ответы: 11 марта за №№ 42851 и 42189: “переводятся телегра</w:t>
      </w:r>
      <w:r w:rsidRPr="002F2FDF">
        <w:rPr>
          <w:rFonts w:ascii="Times New Roman" w:hAnsi="Times New Roman" w:cs="Times New Roman"/>
          <w:color w:val="000000" w:themeColor="text1"/>
          <w:kern w:val="2"/>
          <w:sz w:val="16"/>
          <w:szCs w:val="16"/>
        </w:rPr>
        <w:softHyphen/>
        <w:t>фу”, 13 марта за № 43696: “переведены 3 млн. 200 тыс. руб.”. В Ижевском же казначей</w:t>
      </w:r>
      <w:r w:rsidRPr="002F2FDF">
        <w:rPr>
          <w:rFonts w:ascii="Times New Roman" w:hAnsi="Times New Roman" w:cs="Times New Roman"/>
          <w:color w:val="000000" w:themeColor="text1"/>
          <w:kern w:val="2"/>
          <w:sz w:val="16"/>
          <w:szCs w:val="16"/>
        </w:rPr>
        <w:softHyphen/>
        <w:t>стве получено только 16 и 19 марта, переводные же требования ГАУ от 10 марта за №№42183 и 421897.</w:t>
      </w:r>
    </w:p>
    <w:p w14:paraId="53E726E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 По рабочему вопросу</w:t>
      </w:r>
    </w:p>
    <w:p w14:paraId="65CB8BC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Военно-технический комитет высказывается за установление минимальных по</w:t>
      </w:r>
      <w:r w:rsidRPr="002F2FDF">
        <w:rPr>
          <w:rFonts w:ascii="Times New Roman" w:hAnsi="Times New Roman" w:cs="Times New Roman"/>
          <w:color w:val="000000" w:themeColor="text1"/>
          <w:kern w:val="2"/>
          <w:sz w:val="16"/>
          <w:szCs w:val="16"/>
        </w:rPr>
        <w:softHyphen/>
        <w:t>денных плат от 3 руб. до 5 руб.</w:t>
      </w:r>
    </w:p>
    <w:p w14:paraId="4CBE762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Ижевские оружейный и сталеделательный заводы находятся в настоящее время в стадии переустройства и расширения. Хотя план переустройства заводов и был решен еще до начала войны, но к энергичному осуществлению его было приступлено уже во время войны. Расширение же заводов, особенно сталеделательного, было вызвано ис</w:t>
      </w:r>
      <w:r w:rsidRPr="002F2FDF">
        <w:rPr>
          <w:rFonts w:ascii="Times New Roman" w:hAnsi="Times New Roman" w:cs="Times New Roman"/>
          <w:color w:val="000000" w:themeColor="text1"/>
          <w:kern w:val="2"/>
          <w:sz w:val="16"/>
          <w:szCs w:val="16"/>
        </w:rPr>
        <w:softHyphen/>
        <w:t>ключительно военным временем, когда Ижевским заводам в связи с этим обстоятель</w:t>
      </w:r>
      <w:r w:rsidRPr="002F2FDF">
        <w:rPr>
          <w:rFonts w:ascii="Times New Roman" w:hAnsi="Times New Roman" w:cs="Times New Roman"/>
          <w:color w:val="000000" w:themeColor="text1"/>
          <w:kern w:val="2"/>
          <w:sz w:val="16"/>
          <w:szCs w:val="16"/>
        </w:rPr>
        <w:softHyphen/>
        <w:t>ством были предъявлены новые, повышенные требования. На большую часть работ по переустройству были своевременно составлены сметы, получившие надлежащее утверж</w:t>
      </w:r>
      <w:r w:rsidRPr="002F2FDF">
        <w:rPr>
          <w:rFonts w:ascii="Times New Roman" w:hAnsi="Times New Roman" w:cs="Times New Roman"/>
          <w:color w:val="000000" w:themeColor="text1"/>
          <w:kern w:val="2"/>
          <w:sz w:val="16"/>
          <w:szCs w:val="16"/>
        </w:rPr>
        <w:softHyphen/>
        <w:t>дение, на работы же по расширению подробных смет не составлялось ввиду неотложной необходимости спешно произвести все признанные необходимыми постройки и обору</w:t>
      </w:r>
      <w:r w:rsidRPr="002F2FDF">
        <w:rPr>
          <w:rFonts w:ascii="Times New Roman" w:hAnsi="Times New Roman" w:cs="Times New Roman"/>
          <w:color w:val="000000" w:themeColor="text1"/>
          <w:kern w:val="2"/>
          <w:sz w:val="16"/>
          <w:szCs w:val="16"/>
        </w:rPr>
        <w:softHyphen/>
        <w:t>дования, сберегая время на составление смет и канцелярскую волокиту, сопряженную с утверждением хмет высшими инстанциями.</w:t>
      </w:r>
    </w:p>
    <w:p w14:paraId="41C6E79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Кредиты на эти работы были отпущены Военным советом на основании представлен</w:t>
      </w:r>
      <w:r w:rsidRPr="002F2FDF">
        <w:rPr>
          <w:rFonts w:ascii="Times New Roman" w:hAnsi="Times New Roman" w:cs="Times New Roman"/>
          <w:color w:val="000000" w:themeColor="text1"/>
          <w:kern w:val="2"/>
          <w:sz w:val="16"/>
          <w:szCs w:val="16"/>
        </w:rPr>
        <w:softHyphen/>
        <w:t>ных заводоуправлением приблизительных и предварительных соображений о стоимос</w:t>
      </w:r>
      <w:r w:rsidRPr="002F2FDF">
        <w:rPr>
          <w:rFonts w:ascii="Times New Roman" w:hAnsi="Times New Roman" w:cs="Times New Roman"/>
          <w:color w:val="000000" w:themeColor="text1"/>
          <w:kern w:val="2"/>
          <w:sz w:val="16"/>
          <w:szCs w:val="16"/>
        </w:rPr>
        <w:softHyphen/>
        <w:t>ти того или иного сооружения, того или иного оборудования, самые же работы должны быть выполнены на основании “отчетов в виде смет”.</w:t>
      </w:r>
    </w:p>
    <w:p w14:paraId="06AE912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порядком в настоящее время на заводах в постройке находятся следующие сооружения и мастерские: 1) мартеновские печи с генераторами и газопроводами, 2) здание новой мартено-прокатной мастерской с ее оборудованием, 3) чугунолитейная мастерская, 4) здание “Пороховой пробы”, 5) закалочная мастерская,,6) маслокачка, 7) ремонтная мастерская, 8) силовая станция, 9) инструментальная мастерская, 10) ле</w:t>
      </w:r>
      <w:r w:rsidRPr="002F2FDF">
        <w:rPr>
          <w:rFonts w:ascii="Times New Roman" w:hAnsi="Times New Roman" w:cs="Times New Roman"/>
          <w:color w:val="000000" w:themeColor="text1"/>
          <w:kern w:val="2"/>
          <w:sz w:val="16"/>
          <w:szCs w:val="16"/>
        </w:rPr>
        <w:softHyphen/>
        <w:t>сопилка, 11) целый ряд построек, находящихся в ведении архитектора заводов (квартиры и хозяйственные постройки), 12) Узгинская железная дорога.</w:t>
      </w:r>
    </w:p>
    <w:p w14:paraId="72023E3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Предварительные сметные соображения определили стоимость перечисленных пост</w:t>
      </w:r>
      <w:r w:rsidRPr="002F2FDF">
        <w:rPr>
          <w:rFonts w:ascii="Times New Roman" w:hAnsi="Times New Roman" w:cs="Times New Roman"/>
          <w:color w:val="000000" w:themeColor="text1"/>
          <w:kern w:val="2"/>
          <w:sz w:val="16"/>
          <w:szCs w:val="16"/>
        </w:rPr>
        <w:softHyphen/>
        <w:t>роек свыше 10 млн. рублей. “Отчет в виде сметы” по всякой постройке, производящейся каким-либо казенным учреждением (а в том числе и ГАУ), основывается на Урочном по</w:t>
      </w:r>
      <w:r w:rsidRPr="002F2FDF">
        <w:rPr>
          <w:rFonts w:ascii="Times New Roman" w:hAnsi="Times New Roman" w:cs="Times New Roman"/>
          <w:color w:val="000000" w:themeColor="text1"/>
          <w:kern w:val="2"/>
          <w:sz w:val="16"/>
          <w:szCs w:val="16"/>
        </w:rPr>
        <w:softHyphen/>
        <w:t>ложении, составленном в 1860 г. В Урочном положении предусмотрены всевозможные работы, и для каждой из них соответствующим параграфом определяется необходимое количество материалов, а также и рабочей силы, потребных для выполнения этой работы.</w:t>
      </w:r>
    </w:p>
    <w:p w14:paraId="5B1A53D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отношению к рабочей силе У.П.* предусматривает продолжительность рабочего дня в 12 часов, не допуская ни праздничных, ни сверхурочных работ, оплачиваемых обыч</w:t>
      </w:r>
      <w:r w:rsidRPr="002F2FDF">
        <w:rPr>
          <w:rFonts w:ascii="Times New Roman" w:hAnsi="Times New Roman" w:cs="Times New Roman"/>
          <w:color w:val="000000" w:themeColor="text1"/>
          <w:kern w:val="2"/>
          <w:sz w:val="16"/>
          <w:szCs w:val="16"/>
        </w:rPr>
        <w:softHyphen/>
        <w:t>но в полуторном размере; что касается плат, то при назначении их существующие зако</w:t>
      </w:r>
      <w:r w:rsidRPr="002F2FDF">
        <w:rPr>
          <w:rFonts w:ascii="Times New Roman" w:hAnsi="Times New Roman" w:cs="Times New Roman"/>
          <w:color w:val="000000" w:themeColor="text1"/>
          <w:kern w:val="2"/>
          <w:sz w:val="16"/>
          <w:szCs w:val="16"/>
        </w:rPr>
        <w:softHyphen/>
        <w:t>ноположения предоставляют производителям работ руководствоваться местными спра</w:t>
      </w:r>
      <w:r w:rsidRPr="002F2FDF">
        <w:rPr>
          <w:rFonts w:ascii="Times New Roman" w:hAnsi="Times New Roman" w:cs="Times New Roman"/>
          <w:color w:val="000000" w:themeColor="text1"/>
          <w:kern w:val="2"/>
          <w:sz w:val="16"/>
          <w:szCs w:val="16"/>
        </w:rPr>
        <w:softHyphen/>
        <w:t>вочными ценами, утверждаемыми губернским строительным отделением, отнюдь не превышая их. Принимая во внимание то обстоятельство, что большинство вышеупомя</w:t>
      </w:r>
      <w:r w:rsidRPr="002F2FDF">
        <w:rPr>
          <w:rFonts w:ascii="Times New Roman" w:hAnsi="Times New Roman" w:cs="Times New Roman"/>
          <w:color w:val="000000" w:themeColor="text1"/>
          <w:kern w:val="2"/>
          <w:sz w:val="16"/>
          <w:szCs w:val="16"/>
        </w:rPr>
        <w:softHyphen/>
        <w:t>нутых построек воздвигается на заводской территории в ближайшем соседстве с мастер</w:t>
      </w:r>
      <w:r w:rsidRPr="002F2FDF">
        <w:rPr>
          <w:rFonts w:ascii="Times New Roman" w:hAnsi="Times New Roman" w:cs="Times New Roman"/>
          <w:color w:val="000000" w:themeColor="text1"/>
          <w:kern w:val="2"/>
          <w:sz w:val="16"/>
          <w:szCs w:val="16"/>
        </w:rPr>
        <w:softHyphen/>
        <w:t>скими, имеющими постоянный кадр рабочих тех же категорий, что и на постройках (например, чернорабочих, печников, плотников, столяров, кузнецов, слесарей и т. п.), а также что состав рабочих на постройках отчасти образовался из этих постоянных кадров путем временного откомандирования определенной части их из мастерской на построй</w:t>
      </w:r>
      <w:r w:rsidRPr="002F2FDF">
        <w:rPr>
          <w:rFonts w:ascii="Times New Roman" w:hAnsi="Times New Roman" w:cs="Times New Roman"/>
          <w:color w:val="000000" w:themeColor="text1"/>
          <w:kern w:val="2"/>
          <w:sz w:val="16"/>
          <w:szCs w:val="16"/>
        </w:rPr>
        <w:softHyphen/>
        <w:t>ку, а главное, что платы, устанавливаемые для людей, работающих в мастерских, всегда выше местных справочных для той же категории рабочих, а продолжительность рабочего дня в мастерской меньше, нежели на постройках (9 часов против 12), причем рабочие в мастерской за праздничную и сверхурочную работы вознаграждаются в полуторном раз</w:t>
      </w:r>
      <w:r w:rsidRPr="002F2FDF">
        <w:rPr>
          <w:rFonts w:ascii="Times New Roman" w:hAnsi="Times New Roman" w:cs="Times New Roman"/>
          <w:color w:val="000000" w:themeColor="text1"/>
          <w:kern w:val="2"/>
          <w:sz w:val="16"/>
          <w:szCs w:val="16"/>
        </w:rPr>
        <w:softHyphen/>
        <w:t>мере, — ясно, что такое положение создает целый ряд нежелательных трений между про</w:t>
      </w:r>
      <w:r w:rsidRPr="002F2FDF">
        <w:rPr>
          <w:rFonts w:ascii="Times New Roman" w:hAnsi="Times New Roman" w:cs="Times New Roman"/>
          <w:color w:val="000000" w:themeColor="text1"/>
          <w:kern w:val="2"/>
          <w:sz w:val="16"/>
          <w:szCs w:val="16"/>
        </w:rPr>
        <w:softHyphen/>
        <w:t>изводителем работ, связанным Урочным положением и справочными ценами, с одной стороны, и рабочими на постройках, поставленными в исключительные условия против всех своих товарищей, работающих в мастерских, — с другой.</w:t>
      </w:r>
    </w:p>
    <w:p w14:paraId="1C0E78D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Нежелательные трения между администрацией постройки и ее рабочими начинают</w:t>
      </w:r>
      <w:r w:rsidRPr="002F2FDF">
        <w:rPr>
          <w:rFonts w:ascii="Times New Roman" w:hAnsi="Times New Roman" w:cs="Times New Roman"/>
          <w:color w:val="000000" w:themeColor="text1"/>
          <w:kern w:val="2"/>
          <w:sz w:val="16"/>
          <w:szCs w:val="16"/>
        </w:rPr>
        <w:softHyphen/>
        <w:t>ся с предъявления со стороны последних справедливых требований уравнять оплату их труда с таковой же в мастерских, на что от производителя работ — лица, лично несущего свою ответственность за произведенные перерасходы, не оправдываемые ни Урочным положением, ни справочными ценами, - следует отказ, с объяснением причин его, что, конечно, не удовлетворяет рабочих, видящих в этом одну лишь несправедливость. В дальнейшем рабочие стараются так или иначе покинуть постройку и поступить в мастер</w:t>
      </w:r>
      <w:r w:rsidRPr="002F2FDF">
        <w:rPr>
          <w:rFonts w:ascii="Times New Roman" w:hAnsi="Times New Roman" w:cs="Times New Roman"/>
          <w:color w:val="000000" w:themeColor="text1"/>
          <w:kern w:val="2"/>
          <w:sz w:val="16"/>
          <w:szCs w:val="16"/>
        </w:rPr>
        <w:softHyphen/>
        <w:t>скую; если до сих пор и удавалось удерживать их, то это обстоятельство объясняется тем, что большинство рабочих являются военнообязанными, которые под угрозой снятия с учета мирились с пониженным против своих товарищей заработком.</w:t>
      </w:r>
    </w:p>
    <w:p w14:paraId="723E392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данное время, с наступлением новой жизни и новых порядков, когда рабочий класс почувствовал весьма твердую почву под ногами, требования об уравнении плат приняли сугубо настойчивый характер; дело усложняется еще одним новым обстоятельством -введением в заводскую жизнь 8-часового рабочего дня наряду с повсеместным по мастер</w:t>
      </w:r>
      <w:r w:rsidRPr="002F2FDF">
        <w:rPr>
          <w:rFonts w:ascii="Times New Roman" w:hAnsi="Times New Roman" w:cs="Times New Roman"/>
          <w:color w:val="000000" w:themeColor="text1"/>
          <w:kern w:val="2"/>
          <w:sz w:val="16"/>
          <w:szCs w:val="16"/>
        </w:rPr>
        <w:softHyphen/>
        <w:t>ским повышением расценок и поденной зарабочей платы. Производители работ лише</w:t>
      </w:r>
      <w:r w:rsidRPr="002F2FDF">
        <w:rPr>
          <w:rFonts w:ascii="Times New Roman" w:hAnsi="Times New Roman" w:cs="Times New Roman"/>
          <w:color w:val="000000" w:themeColor="text1"/>
          <w:kern w:val="2"/>
          <w:sz w:val="16"/>
          <w:szCs w:val="16"/>
        </w:rPr>
        <w:softHyphen/>
        <w:t xml:space="preserve">ны возможности повышать зарабочую плату на </w:t>
      </w:r>
      <w:r w:rsidRPr="002F2FDF">
        <w:rPr>
          <w:rFonts w:ascii="Times New Roman" w:hAnsi="Times New Roman" w:cs="Times New Roman"/>
          <w:color w:val="000000" w:themeColor="text1"/>
          <w:kern w:val="2"/>
          <w:sz w:val="16"/>
          <w:szCs w:val="16"/>
        </w:rPr>
        <w:lastRenderedPageBreak/>
        <w:t>постройках уже потому, что справочные цены, быть может и повышенные, присылаются на завод губернским строительным от</w:t>
      </w:r>
      <w:r w:rsidRPr="002F2FDF">
        <w:rPr>
          <w:rFonts w:ascii="Times New Roman" w:hAnsi="Times New Roman" w:cs="Times New Roman"/>
          <w:color w:val="000000" w:themeColor="text1"/>
          <w:kern w:val="2"/>
          <w:sz w:val="16"/>
          <w:szCs w:val="16"/>
        </w:rPr>
        <w:softHyphen/>
        <w:t>делением с большим опозданием. Так, например, в марте с. г. приходится пользоваться ценами за декабрь 1916 года. Что касается до 8-часового рабочего дня, введенного в ар</w:t>
      </w:r>
      <w:r w:rsidRPr="002F2FDF">
        <w:rPr>
          <w:rFonts w:ascii="Times New Roman" w:hAnsi="Times New Roman" w:cs="Times New Roman"/>
          <w:color w:val="000000" w:themeColor="text1"/>
          <w:kern w:val="2"/>
          <w:sz w:val="16"/>
          <w:szCs w:val="16"/>
        </w:rPr>
        <w:softHyphen/>
        <w:t>тиллерийском ведомстве приказом г-на военного министра, то в этом приказе не упоми</w:t>
      </w:r>
      <w:r w:rsidRPr="002F2FDF">
        <w:rPr>
          <w:rFonts w:ascii="Times New Roman" w:hAnsi="Times New Roman" w:cs="Times New Roman"/>
          <w:color w:val="000000" w:themeColor="text1"/>
          <w:kern w:val="2"/>
          <w:sz w:val="16"/>
          <w:szCs w:val="16"/>
        </w:rPr>
        <w:softHyphen/>
        <w:t>нается вовсе о распространении его и на строительные работы этого ведомства. Между тем неудовлетворение требований рабочих грозит полной остановкой на заводах всех строительных работ, ибо тактика всех рабочих, как военнообязанных, так и свободных, в настоящее время одинакова: добиться своего, не останавливаясь даже и перед прекраще</w:t>
      </w:r>
      <w:r w:rsidRPr="002F2FDF">
        <w:rPr>
          <w:rFonts w:ascii="Times New Roman" w:hAnsi="Times New Roman" w:cs="Times New Roman"/>
          <w:color w:val="000000" w:themeColor="text1"/>
          <w:kern w:val="2"/>
          <w:sz w:val="16"/>
          <w:szCs w:val="16"/>
        </w:rPr>
        <w:softHyphen/>
        <w:t>нием работ.</w:t>
      </w:r>
    </w:p>
    <w:p w14:paraId="58245D3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Обсудив в своем заседании положение дел на постройках, Военно-технический ко</w:t>
      </w:r>
      <w:r w:rsidRPr="002F2FDF">
        <w:rPr>
          <w:rFonts w:ascii="Times New Roman" w:hAnsi="Times New Roman" w:cs="Times New Roman"/>
          <w:color w:val="000000" w:themeColor="text1"/>
          <w:kern w:val="2"/>
          <w:sz w:val="16"/>
          <w:szCs w:val="16"/>
        </w:rPr>
        <w:softHyphen/>
        <w:t>митет Ижевских заводов постановил:</w:t>
      </w:r>
    </w:p>
    <w:p w14:paraId="0619208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чрезвычайной важности не только для Ижевских заводов, но и для всей страны наискорейшего и успешного завершения всех начатых на заводах построек, вызванных крайне тяжелыми условиями настоящей войны и имеющих своею конечною целью уве</w:t>
      </w:r>
      <w:r w:rsidRPr="002F2FDF">
        <w:rPr>
          <w:rFonts w:ascii="Times New Roman" w:hAnsi="Times New Roman" w:cs="Times New Roman"/>
          <w:color w:val="000000" w:themeColor="text1"/>
          <w:kern w:val="2"/>
          <w:sz w:val="16"/>
          <w:szCs w:val="16"/>
        </w:rPr>
        <w:softHyphen/>
        <w:t>личение производительности Ижевских заводов, воспользоваться присутствием члена Государственной думы С. А. Калинина, указать ему на создавшееся положение, просить довести до сведения центральной власти об изложенном и поддержать своим ходатай</w:t>
      </w:r>
      <w:r w:rsidRPr="002F2FDF">
        <w:rPr>
          <w:rFonts w:ascii="Times New Roman" w:hAnsi="Times New Roman" w:cs="Times New Roman"/>
          <w:color w:val="000000" w:themeColor="text1"/>
          <w:kern w:val="2"/>
          <w:sz w:val="16"/>
          <w:szCs w:val="16"/>
        </w:rPr>
        <w:softHyphen/>
        <w:t>ством перед центральной властью хотя бы о временном введении, в целях успокоения рабочих масс и предотвращения остановок в ходе построек, имеющих прямое отноше</w:t>
      </w:r>
      <w:r w:rsidRPr="002F2FDF">
        <w:rPr>
          <w:rFonts w:ascii="Times New Roman" w:hAnsi="Times New Roman" w:cs="Times New Roman"/>
          <w:color w:val="000000" w:themeColor="text1"/>
          <w:kern w:val="2"/>
          <w:sz w:val="16"/>
          <w:szCs w:val="16"/>
        </w:rPr>
        <w:softHyphen/>
        <w:t>ние к нуждам обороны страны, следующие три положения:</w:t>
      </w:r>
    </w:p>
    <w:p w14:paraId="0D00FC0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На всех постройках Ижевских заводов ввести 8-часовой рабочий день.</w:t>
      </w:r>
    </w:p>
    <w:p w14:paraId="79D1B2D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Справочные цены, утверждаемые губернским строительным отделением, на рабо</w:t>
      </w:r>
      <w:r w:rsidRPr="002F2FDF">
        <w:rPr>
          <w:rFonts w:ascii="Times New Roman" w:hAnsi="Times New Roman" w:cs="Times New Roman"/>
          <w:color w:val="000000" w:themeColor="text1"/>
          <w:kern w:val="2"/>
          <w:sz w:val="16"/>
          <w:szCs w:val="16"/>
        </w:rPr>
        <w:softHyphen/>
        <w:t>чие руки заменить ценами местными общезаводскими.</w:t>
      </w:r>
    </w:p>
    <w:p w14:paraId="7CC5FC0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На постройках Ижевских заводов допустить как сверхурочные, так и праздничные работы, оплачиваемые в полуторном размере.</w:t>
      </w:r>
    </w:p>
    <w:p w14:paraId="52636FF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Подлинная за надлежащими подписями. РГВИА. Ф. 366. Оп. 2. Д. 112. Л. 117 и об. Копия (10707,655).</w:t>
      </w:r>
    </w:p>
    <w:p w14:paraId="4BCA35B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24E034" w14:textId="20493111" w:rsidR="0040389F" w:rsidRDefault="0040389F"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7F096374" w14:textId="77777777" w:rsidR="0040389F" w:rsidRDefault="0040389F"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63961D0" w14:textId="1E070BD7" w:rsidR="0040389F" w:rsidRPr="00FB4F67" w:rsidRDefault="0040389F" w:rsidP="0083075A">
      <w:pPr>
        <w:spacing w:after="0" w:line="240" w:lineRule="auto"/>
        <w:jc w:val="both"/>
        <w:rPr>
          <w:rFonts w:ascii="Times New Roman" w:hAnsi="Times New Roman" w:cs="Times New Roman"/>
          <w:color w:val="0070C0"/>
          <w:sz w:val="16"/>
          <w:szCs w:val="16"/>
        </w:rPr>
      </w:pPr>
      <w:bookmarkStart w:id="64" w:name="bookmark730"/>
      <w:bookmarkStart w:id="65" w:name="bookmark731"/>
      <w:bookmarkStart w:id="66" w:name="bookmark732"/>
      <w:r w:rsidRPr="00FB4F67">
        <w:rPr>
          <w:rFonts w:ascii="Times New Roman" w:hAnsi="Times New Roman" w:cs="Times New Roman"/>
          <w:color w:val="0070C0"/>
          <w:sz w:val="16"/>
          <w:szCs w:val="16"/>
        </w:rPr>
        <w:t xml:space="preserve">29 марта </w:t>
      </w:r>
      <w:r>
        <w:rPr>
          <w:rFonts w:ascii="Times New Roman" w:hAnsi="Times New Roman" w:cs="Times New Roman"/>
          <w:color w:val="0070C0"/>
          <w:sz w:val="16"/>
          <w:szCs w:val="16"/>
        </w:rPr>
        <w:t xml:space="preserve">(11 апреля) </w:t>
      </w:r>
      <w:r w:rsidRPr="00FB4F67">
        <w:rPr>
          <w:rFonts w:ascii="Times New Roman" w:hAnsi="Times New Roman" w:cs="Times New Roman"/>
          <w:color w:val="0070C0"/>
          <w:sz w:val="16"/>
          <w:szCs w:val="16"/>
        </w:rPr>
        <w:t>1917 г. в районе д. Бурка (35 км севернее Фокшаны) при обстреле зенитной артиллерии был сбит еще один немецкий аэроплан (23495).</w:t>
      </w:r>
    </w:p>
    <w:p w14:paraId="026A2808" w14:textId="77777777" w:rsidR="0040389F" w:rsidRPr="00FB4F67" w:rsidRDefault="0040389F" w:rsidP="0083075A">
      <w:pPr>
        <w:spacing w:after="0" w:line="240" w:lineRule="auto"/>
        <w:jc w:val="both"/>
        <w:rPr>
          <w:rFonts w:ascii="Times New Roman" w:hAnsi="Times New Roman" w:cs="Times New Roman"/>
          <w:color w:val="0070C0"/>
          <w:sz w:val="16"/>
          <w:szCs w:val="16"/>
        </w:rPr>
      </w:pPr>
    </w:p>
    <w:bookmarkEnd w:id="64"/>
    <w:bookmarkEnd w:id="65"/>
    <w:bookmarkEnd w:id="66"/>
    <w:p w14:paraId="277B53B2" w14:textId="5FBA0973"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1469F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64579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марта (11 апреля) 1917 началась I Всероссийская конференция Советов, которая избрала эсеровский ВЦИК (4962).</w:t>
      </w:r>
    </w:p>
    <w:p w14:paraId="1D81148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FC21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марта - 3 апреля (1</w:t>
      </w:r>
      <w:r w:rsidR="001B6ED4" w:rsidRPr="002F2FDF">
        <w:rPr>
          <w:rFonts w:ascii="Times New Roman" w:hAnsi="Times New Roman" w:cs="Times New Roman"/>
          <w:color w:val="000000" w:themeColor="text1"/>
          <w:kern w:val="2"/>
          <w:sz w:val="16"/>
          <w:szCs w:val="16"/>
        </w:rPr>
        <w:t>1</w:t>
      </w:r>
      <w:r w:rsidRPr="002F2FDF">
        <w:rPr>
          <w:rFonts w:ascii="Times New Roman" w:hAnsi="Times New Roman" w:cs="Times New Roman"/>
          <w:color w:val="000000" w:themeColor="text1"/>
          <w:kern w:val="2"/>
          <w:sz w:val="16"/>
          <w:szCs w:val="16"/>
        </w:rPr>
        <w:t>-16 апреля) 1917 прошла Первая конференция Советов рабочих и крестьянских депутатов. Избрали ВЦИК, контролируемый меньшевиками и эсерами. Поддержали войну и Временное правительство (3908,255).</w:t>
      </w:r>
    </w:p>
    <w:p w14:paraId="129A61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96B4E8" w14:textId="77777777" w:rsidR="009C2037" w:rsidRPr="002F2FDF" w:rsidRDefault="009C20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марта (11 апреля) в 1917 году всероссийское совещание Советов рабочих и солдатских депутатов в Петрограде. Выскажется за условную поддержку Временному правительству, поручив ему "разрешить две неотложные задачи: 1) планомерно регулировать всю хозяйственную жизнь страны, организовав все производство, обмен, передвижение и потребление под непосредственным контролем государства"; 2) произвести отчуждение всей сверхприбыли "в пользу наций и ограничить все виды капиталистического дохода строго определенными нормами". Призвав все народы воюющих стран "оказать давление на свои правительства для отказа от завоевательных программ", совещание заявит, что "пока продолжается война, крушение армии ослабление ее устойчивости, крепости и способности к активным операциям было бы величайшим ударом для дела свободы и жизненных интересов страны" (15096).</w:t>
      </w:r>
    </w:p>
    <w:p w14:paraId="7BA70CFB" w14:textId="77777777" w:rsidR="009C2037" w:rsidRPr="002F2FDF" w:rsidRDefault="009C2037" w:rsidP="0083075A">
      <w:pPr>
        <w:spacing w:after="0" w:line="240" w:lineRule="auto"/>
        <w:jc w:val="both"/>
        <w:rPr>
          <w:rFonts w:ascii="Times New Roman" w:hAnsi="Times New Roman" w:cs="Times New Roman"/>
          <w:color w:val="000000" w:themeColor="text1"/>
          <w:kern w:val="2"/>
          <w:sz w:val="16"/>
          <w:szCs w:val="16"/>
        </w:rPr>
      </w:pPr>
    </w:p>
    <w:p w14:paraId="52A9FE2E" w14:textId="77777777" w:rsidR="009C2037" w:rsidRPr="002F2FDF" w:rsidRDefault="009C20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марта (11 апреля) в 1917 году создается Красная гвардия (15096).</w:t>
      </w:r>
    </w:p>
    <w:p w14:paraId="5E89146F" w14:textId="77777777" w:rsidR="009C2037" w:rsidRPr="002F2FDF" w:rsidRDefault="009C2037" w:rsidP="0083075A">
      <w:pPr>
        <w:spacing w:after="0" w:line="240" w:lineRule="auto"/>
        <w:jc w:val="both"/>
        <w:rPr>
          <w:rFonts w:ascii="Times New Roman" w:hAnsi="Times New Roman" w:cs="Times New Roman"/>
          <w:color w:val="000000" w:themeColor="text1"/>
          <w:kern w:val="2"/>
          <w:sz w:val="16"/>
          <w:szCs w:val="16"/>
        </w:rPr>
      </w:pPr>
    </w:p>
    <w:p w14:paraId="4BE1CB7A" w14:textId="77777777" w:rsidR="000655F6"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3047E967" w14:textId="77777777" w:rsidR="000655F6" w:rsidRPr="002F2FDF" w:rsidRDefault="000655F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D1E557" w14:textId="77777777"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 xml:space="preserve">29 марта </w:t>
      </w:r>
      <w:r w:rsidR="000655F6" w:rsidRPr="002F2FDF">
        <w:rPr>
          <w:rFonts w:ascii="Times New Roman" w:hAnsi="Times New Roman" w:cs="Times New Roman"/>
          <w:iCs/>
          <w:color w:val="000000" w:themeColor="text1"/>
          <w:kern w:val="2"/>
          <w:sz w:val="16"/>
          <w:szCs w:val="16"/>
        </w:rPr>
        <w:t xml:space="preserve">(11 апреля) </w:t>
      </w:r>
      <w:r w:rsidRPr="002F2FDF">
        <w:rPr>
          <w:rFonts w:ascii="Times New Roman" w:hAnsi="Times New Roman" w:cs="Times New Roman"/>
          <w:iCs/>
          <w:color w:val="000000" w:themeColor="text1"/>
          <w:kern w:val="2"/>
          <w:sz w:val="16"/>
          <w:szCs w:val="16"/>
        </w:rPr>
        <w:t xml:space="preserve">1917 г. </w:t>
      </w:r>
      <w:r w:rsidRPr="002F2FDF">
        <w:rPr>
          <w:rFonts w:ascii="Times New Roman" w:hAnsi="Times New Roman" w:cs="Times New Roman"/>
          <w:color w:val="000000" w:themeColor="text1"/>
          <w:kern w:val="2"/>
          <w:sz w:val="16"/>
          <w:szCs w:val="16"/>
        </w:rPr>
        <w:t>Телеграмма пом. начальника Главного артиллерийского управления ген. В. М. Леховича председателю Русского заготовительного комитета в Америке ген. А. П. Залюбовскому о систематической недопоставке из США винтовочных патронов.</w:t>
      </w:r>
    </w:p>
    <w:p w14:paraId="7C581B09" w14:textId="65A02BF6"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474</w:t>
      </w:r>
    </w:p>
    <w:p w14:paraId="5B121FB4" w14:textId="7CFCFEDA" w:rsidR="008E6FB1" w:rsidRPr="002F2FDF" w:rsidRDefault="008E6FB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ЦГВИА, ф. 2000, оп. 1, д. 6194, л. 218. Заверенная копия.</w:t>
      </w:r>
    </w:p>
    <w:p w14:paraId="61572AE8" w14:textId="77777777" w:rsidR="008E6FB1" w:rsidRPr="002F2FDF" w:rsidRDefault="008E6FB1" w:rsidP="0083075A">
      <w:pPr>
        <w:pStyle w:val="rtejustify"/>
        <w:spacing w:before="0" w:after="0"/>
        <w:rPr>
          <w:color w:val="000000" w:themeColor="text1"/>
          <w:kern w:val="2"/>
          <w:sz w:val="16"/>
          <w:szCs w:val="16"/>
        </w:rPr>
      </w:pPr>
      <w:r w:rsidRPr="002F2FDF">
        <w:rPr>
          <w:color w:val="000000" w:themeColor="text1"/>
          <w:kern w:val="2"/>
          <w:sz w:val="16"/>
          <w:szCs w:val="16"/>
        </w:rPr>
        <w:t>За январь месяц от трех заводов принято патронов 46 565 тыс., прибыло [в] Россию 56 тыс., [в| феврале принято 61451 тыс., прибыло 35 млн, по 20 марта принято 49 109 тыс., между тем заводами должно быть поставлено [за] те же месяцы 276 млн. Таким образом, получается систематическая недопоставка патронов, что недопустимо при настоящем положении. Сообщите немедленно перераспределение нарядов по заводам и точный расчет поступления патронов, начиная [с] апреля. Ежемесячная недопоставка путает все расчеты. 3033 (15217).</w:t>
      </w:r>
    </w:p>
    <w:p w14:paraId="68160369" w14:textId="77777777" w:rsidR="008E6FB1" w:rsidRPr="002F2FDF" w:rsidRDefault="008E6FB1"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2F8DBA0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B263A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A763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марта (11 апреля) 1917 Английский военный летчик С.Т. Фолл на новом самолете "Сопвич-Пап" сбил 2 "Альбатроса" и 1 "Гальберштадт" в одном воздушном бою (11999).</w:t>
      </w:r>
    </w:p>
    <w:p w14:paraId="14A8FF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D52F8A" w14:textId="4B3FC214" w:rsidR="00342516" w:rsidRDefault="00342516"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Авиапррмышленность:</w:t>
      </w:r>
    </w:p>
    <w:p w14:paraId="110379B1" w14:textId="77777777" w:rsidR="00342516" w:rsidRDefault="00342516"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4D604614" w14:textId="52322B7A" w:rsidR="00342516" w:rsidRPr="00FB4F67" w:rsidRDefault="0034251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30 марта (</w:t>
      </w:r>
      <w:r w:rsidRPr="00FB4F67">
        <w:rPr>
          <w:rFonts w:ascii="Times New Roman" w:hAnsi="Times New Roman" w:cs="Times New Roman"/>
          <w:color w:val="0070C0"/>
          <w:sz w:val="16"/>
          <w:szCs w:val="16"/>
        </w:rPr>
        <w:t>12 апреля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заводом Рено в Рыбинске были получены заказы на 600 двигателей Renault 180 л.с. и 400 двигателей Renault мощностью 270 л.с. Фактические данные о производстве неизвестны (23525).</w:t>
      </w:r>
    </w:p>
    <w:p w14:paraId="016D51C0" w14:textId="77777777" w:rsidR="00342516" w:rsidRPr="00FB4F67" w:rsidRDefault="00342516" w:rsidP="0083075A">
      <w:pPr>
        <w:spacing w:after="0" w:line="240" w:lineRule="auto"/>
        <w:jc w:val="both"/>
        <w:rPr>
          <w:rFonts w:ascii="Times New Roman" w:hAnsi="Times New Roman" w:cs="Times New Roman"/>
          <w:color w:val="0070C0"/>
          <w:sz w:val="16"/>
          <w:szCs w:val="16"/>
        </w:rPr>
      </w:pPr>
    </w:p>
    <w:p w14:paraId="326D2E82" w14:textId="568D97C0"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19E0D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E6CE29" w14:textId="3175F9A5" w:rsidR="00F75330" w:rsidRPr="00815ED5" w:rsidRDefault="00F7533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30 марта (12 апреля) 191</w:t>
      </w:r>
      <w:r w:rsidR="00FF2B08">
        <w:rPr>
          <w:rFonts w:ascii="Times New Roman" w:hAnsi="Times New Roman" w:cs="Times New Roman"/>
          <w:color w:val="0070C0"/>
          <w:sz w:val="16"/>
          <w:szCs w:val="16"/>
        </w:rPr>
        <w:t>7</w:t>
      </w:r>
      <w:r>
        <w:rPr>
          <w:rFonts w:ascii="Times New Roman" w:hAnsi="Times New Roman" w:cs="Times New Roman"/>
          <w:color w:val="0070C0"/>
          <w:sz w:val="16"/>
          <w:szCs w:val="16"/>
        </w:rPr>
        <w:t xml:space="preserve"> г. в </w:t>
      </w:r>
      <w:r w:rsidRPr="00815ED5">
        <w:rPr>
          <w:rFonts w:ascii="Times New Roman" w:hAnsi="Times New Roman" w:cs="Times New Roman"/>
          <w:color w:val="0070C0"/>
          <w:sz w:val="16"/>
          <w:szCs w:val="16"/>
        </w:rPr>
        <w:t xml:space="preserve">Петрограде группой авиаработников учреждена «военная </w:t>
      </w:r>
      <w:r>
        <w:rPr>
          <w:rFonts w:ascii="Times New Roman" w:hAnsi="Times New Roman" w:cs="Times New Roman"/>
          <w:color w:val="0070C0"/>
          <w:sz w:val="16"/>
          <w:szCs w:val="16"/>
        </w:rPr>
        <w:t>лига»</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для</w:t>
      </w:r>
      <w:r w:rsidRPr="00815ED5">
        <w:rPr>
          <w:rFonts w:ascii="Times New Roman" w:hAnsi="Times New Roman" w:cs="Times New Roman"/>
          <w:color w:val="0070C0"/>
          <w:sz w:val="16"/>
          <w:szCs w:val="16"/>
        </w:rPr>
        <w:t xml:space="preserve"> ок</w:t>
      </w:r>
      <w:r>
        <w:rPr>
          <w:rFonts w:ascii="Times New Roman" w:hAnsi="Times New Roman" w:cs="Times New Roman"/>
          <w:color w:val="0070C0"/>
          <w:sz w:val="16"/>
          <w:szCs w:val="16"/>
        </w:rPr>
        <w:t>аза</w:t>
      </w:r>
      <w:r w:rsidRPr="00815ED5">
        <w:rPr>
          <w:rFonts w:ascii="Times New Roman" w:hAnsi="Times New Roman" w:cs="Times New Roman"/>
          <w:color w:val="0070C0"/>
          <w:sz w:val="16"/>
          <w:szCs w:val="16"/>
        </w:rPr>
        <w:t>ни</w:t>
      </w:r>
      <w:r>
        <w:rPr>
          <w:rFonts w:ascii="Times New Roman" w:hAnsi="Times New Roman" w:cs="Times New Roman"/>
          <w:color w:val="0070C0"/>
          <w:sz w:val="16"/>
          <w:szCs w:val="16"/>
        </w:rPr>
        <w:t>я</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вс</w:t>
      </w:r>
      <w:r w:rsidRPr="00815ED5">
        <w:rPr>
          <w:rFonts w:ascii="Times New Roman" w:hAnsi="Times New Roman" w:cs="Times New Roman"/>
          <w:color w:val="0070C0"/>
          <w:sz w:val="16"/>
          <w:szCs w:val="16"/>
        </w:rPr>
        <w:t>ем</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риого содействия к хранению,</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закреплению </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 xml:space="preserve"> у</w:t>
      </w:r>
      <w:r>
        <w:rPr>
          <w:rFonts w:ascii="Times New Roman" w:hAnsi="Times New Roman" w:cs="Times New Roman"/>
          <w:color w:val="0070C0"/>
          <w:sz w:val="16"/>
          <w:szCs w:val="16"/>
        </w:rPr>
        <w:t>креп</w:t>
      </w:r>
      <w:r w:rsidRPr="00815ED5">
        <w:rPr>
          <w:rFonts w:ascii="Times New Roman" w:hAnsi="Times New Roman" w:cs="Times New Roman"/>
          <w:color w:val="0070C0"/>
          <w:sz w:val="16"/>
          <w:szCs w:val="16"/>
        </w:rPr>
        <w:t>леи</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ю боеспособности Российской армии и флота,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как оплота </w:t>
      </w:r>
      <w:r>
        <w:rPr>
          <w:rFonts w:ascii="Times New Roman" w:hAnsi="Times New Roman" w:cs="Times New Roman"/>
          <w:color w:val="0070C0"/>
          <w:sz w:val="16"/>
          <w:szCs w:val="16"/>
        </w:rPr>
        <w:t>Р</w:t>
      </w:r>
      <w:r w:rsidRPr="00815ED5">
        <w:rPr>
          <w:rFonts w:ascii="Times New Roman" w:hAnsi="Times New Roman" w:cs="Times New Roman"/>
          <w:color w:val="0070C0"/>
          <w:sz w:val="16"/>
          <w:szCs w:val="16"/>
        </w:rPr>
        <w:t>оссии и ее нового го</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ударствен</w:t>
      </w:r>
      <w:r>
        <w:rPr>
          <w:rFonts w:ascii="Times New Roman" w:hAnsi="Times New Roman" w:cs="Times New Roman"/>
          <w:color w:val="0070C0"/>
          <w:sz w:val="16"/>
          <w:szCs w:val="16"/>
        </w:rPr>
        <w:t>н</w:t>
      </w:r>
      <w:r w:rsidRPr="00815ED5">
        <w:rPr>
          <w:rFonts w:ascii="Times New Roman" w:hAnsi="Times New Roman" w:cs="Times New Roman"/>
          <w:color w:val="0070C0"/>
          <w:sz w:val="16"/>
          <w:szCs w:val="16"/>
        </w:rPr>
        <w:t>ого строя от угро</w:t>
      </w:r>
      <w:r>
        <w:rPr>
          <w:rFonts w:ascii="Times New Roman" w:hAnsi="Times New Roman" w:cs="Times New Roman"/>
          <w:color w:val="0070C0"/>
          <w:sz w:val="16"/>
          <w:szCs w:val="16"/>
        </w:rPr>
        <w:t>ж</w:t>
      </w:r>
      <w:r w:rsidRPr="00815ED5">
        <w:rPr>
          <w:rFonts w:ascii="Times New Roman" w:hAnsi="Times New Roman" w:cs="Times New Roman"/>
          <w:color w:val="0070C0"/>
          <w:sz w:val="16"/>
          <w:szCs w:val="16"/>
        </w:rPr>
        <w:t xml:space="preserve">ающих им внешних </w:t>
      </w:r>
      <w:r>
        <w:rPr>
          <w:rFonts w:ascii="Times New Roman" w:hAnsi="Times New Roman" w:cs="Times New Roman"/>
          <w:color w:val="0070C0"/>
          <w:sz w:val="16"/>
          <w:szCs w:val="16"/>
        </w:rPr>
        <w:t xml:space="preserve">врагов». </w:t>
      </w:r>
      <w:r w:rsidRPr="00815ED5">
        <w:rPr>
          <w:rFonts w:ascii="Times New Roman" w:hAnsi="Times New Roman" w:cs="Times New Roman"/>
          <w:color w:val="0070C0"/>
          <w:sz w:val="16"/>
          <w:szCs w:val="16"/>
        </w:rPr>
        <w:t>Лига носила аполитический характер и ничем себя не прояви</w:t>
      </w:r>
      <w:r>
        <w:rPr>
          <w:rFonts w:ascii="Times New Roman" w:hAnsi="Times New Roman" w:cs="Times New Roman"/>
          <w:color w:val="0070C0"/>
          <w:sz w:val="16"/>
          <w:szCs w:val="16"/>
        </w:rPr>
        <w:t xml:space="preserve">ла, ограничившись только </w:t>
      </w:r>
      <w:r w:rsidRPr="00815ED5">
        <w:rPr>
          <w:rFonts w:ascii="Times New Roman" w:hAnsi="Times New Roman" w:cs="Times New Roman"/>
          <w:color w:val="0070C0"/>
          <w:sz w:val="16"/>
          <w:szCs w:val="16"/>
        </w:rPr>
        <w:t>выпуском «военного листка</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с призыв</w:t>
      </w:r>
      <w:r>
        <w:rPr>
          <w:rFonts w:ascii="Times New Roman" w:hAnsi="Times New Roman" w:cs="Times New Roman"/>
          <w:color w:val="0070C0"/>
          <w:sz w:val="16"/>
          <w:szCs w:val="16"/>
        </w:rPr>
        <w:t>о</w:t>
      </w:r>
      <w:r w:rsidRPr="00815ED5">
        <w:rPr>
          <w:rFonts w:ascii="Times New Roman" w:hAnsi="Times New Roman" w:cs="Times New Roman"/>
          <w:color w:val="0070C0"/>
          <w:sz w:val="16"/>
          <w:szCs w:val="16"/>
        </w:rPr>
        <w:t>м всту</w:t>
      </w:r>
      <w:r w:rsidRPr="00815ED5">
        <w:rPr>
          <w:rFonts w:ascii="Times New Roman" w:hAnsi="Times New Roman" w:cs="Times New Roman"/>
          <w:color w:val="0070C0"/>
          <w:sz w:val="16"/>
          <w:szCs w:val="16"/>
        </w:rPr>
        <w:softHyphen/>
        <w:t>пить в ее ряд</w:t>
      </w:r>
      <w:r>
        <w:rPr>
          <w:rFonts w:ascii="Times New Roman" w:hAnsi="Times New Roman" w:cs="Times New Roman"/>
          <w:color w:val="0070C0"/>
          <w:sz w:val="16"/>
          <w:szCs w:val="16"/>
        </w:rPr>
        <w:t xml:space="preserve">ы. </w:t>
      </w:r>
      <w:r w:rsidRPr="00815ED5">
        <w:rPr>
          <w:rFonts w:ascii="Times New Roman" w:hAnsi="Times New Roman" w:cs="Times New Roman"/>
          <w:color w:val="0070C0"/>
          <w:sz w:val="16"/>
          <w:szCs w:val="16"/>
        </w:rPr>
        <w:t>Одним ив инициаторов создания лиги был штабс-капитан</w:t>
      </w:r>
      <w:r>
        <w:rPr>
          <w:rFonts w:ascii="Times New Roman" w:hAnsi="Times New Roman" w:cs="Times New Roman"/>
          <w:color w:val="0070C0"/>
          <w:sz w:val="16"/>
          <w:szCs w:val="16"/>
        </w:rPr>
        <w:t xml:space="preserve"> К.К.Вейге</w:t>
      </w:r>
      <w:r w:rsidRPr="00815ED5">
        <w:rPr>
          <w:rFonts w:ascii="Times New Roman" w:hAnsi="Times New Roman" w:cs="Times New Roman"/>
          <w:color w:val="0070C0"/>
          <w:sz w:val="16"/>
          <w:szCs w:val="16"/>
        </w:rPr>
        <w:t>ли</w:t>
      </w:r>
      <w:r>
        <w:rPr>
          <w:rFonts w:ascii="Times New Roman" w:hAnsi="Times New Roman" w:cs="Times New Roman"/>
          <w:color w:val="0070C0"/>
          <w:sz w:val="16"/>
          <w:szCs w:val="16"/>
        </w:rPr>
        <w:t>н</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извес</w:t>
      </w:r>
      <w:r w:rsidRPr="00815ED5">
        <w:rPr>
          <w:rFonts w:ascii="Times New Roman" w:hAnsi="Times New Roman" w:cs="Times New Roman"/>
          <w:color w:val="0070C0"/>
          <w:sz w:val="16"/>
          <w:szCs w:val="16"/>
        </w:rPr>
        <w:t>тный в авиационных кругах как журналист и историк.</w:t>
      </w:r>
    </w:p>
    <w:p w14:paraId="477FBFC1" w14:textId="77777777" w:rsidR="00F75330" w:rsidRPr="00815ED5" w:rsidRDefault="00F7533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оенный листок</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,1</w:t>
      </w:r>
      <w:r>
        <w:rPr>
          <w:rFonts w:ascii="Times New Roman" w:hAnsi="Times New Roman" w:cs="Times New Roman"/>
          <w:color w:val="0070C0"/>
          <w:sz w:val="16"/>
          <w:szCs w:val="16"/>
        </w:rPr>
        <w:t>9</w:t>
      </w:r>
      <w:r w:rsidRPr="00815ED5">
        <w:rPr>
          <w:rFonts w:ascii="Times New Roman" w:hAnsi="Times New Roman" w:cs="Times New Roman"/>
          <w:color w:val="0070C0"/>
          <w:sz w:val="16"/>
          <w:szCs w:val="16"/>
        </w:rPr>
        <w:t>17</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 1/</w:t>
      </w:r>
      <w:r>
        <w:rPr>
          <w:rFonts w:ascii="Times New Roman" w:hAnsi="Times New Roman" w:cs="Times New Roman"/>
          <w:color w:val="0070C0"/>
          <w:sz w:val="16"/>
          <w:szCs w:val="16"/>
        </w:rPr>
        <w:t xml:space="preserve"> (23320).</w:t>
      </w:r>
    </w:p>
    <w:p w14:paraId="0AEC262F" w14:textId="77777777" w:rsidR="00F75330" w:rsidRDefault="00F75330" w:rsidP="0083075A">
      <w:pPr>
        <w:spacing w:after="0" w:line="240" w:lineRule="auto"/>
        <w:jc w:val="both"/>
        <w:rPr>
          <w:rFonts w:ascii="Times New Roman" w:hAnsi="Times New Roman" w:cs="Times New Roman"/>
          <w:color w:val="0070C0"/>
          <w:sz w:val="16"/>
          <w:szCs w:val="16"/>
        </w:rPr>
      </w:pPr>
    </w:p>
    <w:p w14:paraId="22C19701" w14:textId="6D09F823" w:rsidR="00342516" w:rsidRPr="00FB4F67" w:rsidRDefault="00342516" w:rsidP="0083075A">
      <w:pPr>
        <w:spacing w:after="0" w:line="240" w:lineRule="auto"/>
        <w:jc w:val="both"/>
        <w:rPr>
          <w:rFonts w:ascii="Times New Roman" w:hAnsi="Times New Roman" w:cs="Times New Roman"/>
          <w:color w:val="0070C0"/>
          <w:sz w:val="16"/>
          <w:szCs w:val="16"/>
        </w:rPr>
      </w:pPr>
      <w:bookmarkStart w:id="67" w:name="bookmark740"/>
      <w:bookmarkStart w:id="68" w:name="bookmark741"/>
      <w:bookmarkStart w:id="69" w:name="bookmark742"/>
      <w:r>
        <w:rPr>
          <w:rFonts w:ascii="Times New Roman" w:hAnsi="Times New Roman" w:cs="Times New Roman"/>
          <w:color w:val="0070C0"/>
          <w:sz w:val="16"/>
          <w:szCs w:val="16"/>
        </w:rPr>
        <w:t>30 марта (</w:t>
      </w:r>
      <w:r w:rsidRPr="00FB4F67">
        <w:rPr>
          <w:rFonts w:ascii="Times New Roman" w:hAnsi="Times New Roman" w:cs="Times New Roman"/>
          <w:color w:val="0070C0"/>
          <w:sz w:val="16"/>
          <w:szCs w:val="16"/>
        </w:rPr>
        <w:t>12 апреля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противник (16 самолетов) осуществил воздушную бомбардировку наших тыловых частей в районе севернее м. Монастержиска (Восточная Галиция), позднее - м. Турец (Гродненская губ.) (23405).</w:t>
      </w:r>
    </w:p>
    <w:p w14:paraId="77CAC219" w14:textId="77777777" w:rsidR="00342516" w:rsidRPr="00FB4F67" w:rsidRDefault="00342516" w:rsidP="0083075A">
      <w:pPr>
        <w:spacing w:after="0" w:line="240" w:lineRule="auto"/>
        <w:jc w:val="both"/>
        <w:rPr>
          <w:rFonts w:ascii="Times New Roman" w:hAnsi="Times New Roman" w:cs="Times New Roman"/>
          <w:color w:val="0070C0"/>
          <w:sz w:val="16"/>
          <w:szCs w:val="16"/>
        </w:rPr>
      </w:pPr>
    </w:p>
    <w:bookmarkEnd w:id="67"/>
    <w:bookmarkEnd w:id="68"/>
    <w:bookmarkEnd w:id="69"/>
    <w:p w14:paraId="478897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марта (12 апреля) 1917 была создана Красная гвардия (3481).</w:t>
      </w:r>
    </w:p>
    <w:p w14:paraId="5E3982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3FA2A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марта (12 апреля) 1917 в России принято Временное положение об организации чинов действующей армии и флота (4962).</w:t>
      </w:r>
    </w:p>
    <w:p w14:paraId="274F269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889E3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E2972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24FFE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марта (12 апреля) 1917 Временное правительство России позволило эстонцам создать национальную автономию (4962).</w:t>
      </w:r>
    </w:p>
    <w:p w14:paraId="71792E9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FCEDC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23B01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D76278" w14:textId="77777777" w:rsidR="00025472" w:rsidRPr="002F2FDF" w:rsidRDefault="0002547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30 марта (11 апреля) 1917 первый полет Marinens Flyvebaatfabrikk MF3 (20341).</w:t>
      </w:r>
    </w:p>
    <w:p w14:paraId="1BE93657" w14:textId="77777777" w:rsidR="00025472" w:rsidRPr="002F2FDF" w:rsidRDefault="00025472" w:rsidP="0083075A">
      <w:pPr>
        <w:spacing w:after="0" w:line="240" w:lineRule="auto"/>
        <w:jc w:val="both"/>
        <w:rPr>
          <w:rFonts w:ascii="Times New Roman" w:hAnsi="Times New Roman" w:cs="Times New Roman"/>
          <w:color w:val="000000" w:themeColor="text1"/>
          <w:sz w:val="16"/>
          <w:szCs w:val="16"/>
        </w:rPr>
      </w:pPr>
    </w:p>
    <w:p w14:paraId="7CC7920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марта (12 апреля) 1917 вышел приказ, который заменил в трехцветном немецком камуфляже коричнеыую краску на фиолетовую - вернее фиолетовую и сиреневую (4541, 3).</w:t>
      </w:r>
    </w:p>
    <w:p w14:paraId="0F394DC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6A09FD" w14:textId="77777777" w:rsidR="004F758B" w:rsidRPr="002F2FDF" w:rsidRDefault="004F758B"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30 марта (12 апреля) 1917 в Германии хлебный паек для гражданского населения был сокращен с 200 до 100 граммов в день. В берлинских кафе была запрещена продажа бутербродов. В России в этот день было издано распоряжение военного министра Александра Гучкова об отпуске с фронта всех солдат старше 40 лет на </w:t>
      </w:r>
      <w:r w:rsidRPr="002F2FDF">
        <w:rPr>
          <w:color w:val="000000" w:themeColor="text1"/>
          <w:kern w:val="2"/>
          <w:sz w:val="16"/>
          <w:szCs w:val="16"/>
        </w:rPr>
        <w:lastRenderedPageBreak/>
        <w:t>период сельскохозяйственных работ (17045).</w:t>
      </w:r>
    </w:p>
    <w:p w14:paraId="130DECF4" w14:textId="77777777" w:rsidR="004F758B" w:rsidRPr="002F2FDF" w:rsidRDefault="004F758B"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480F6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марта (12 апреля) 1917 Гаити объявила о своем нейтралитете к войне в Европе (4963).</w:t>
      </w:r>
    </w:p>
    <w:p w14:paraId="1F83B63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F12C2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13695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1418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марта (13 апреля) 1917 Исполнительной комиссией при военном министре было одобрено предложение УВВФ от 16 февраля 1917 по постройке в Херсоне авиационного завода производительностью 200 машин в год и моторно-механического завода той же мощности. Поэтому туда и решили перенести главный аэродром (438,346).</w:t>
      </w:r>
    </w:p>
    <w:p w14:paraId="1BFB69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128AB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марта (13 апреля) 1917 предложение о построй</w:t>
      </w:r>
      <w:r w:rsidRPr="002F2FDF">
        <w:rPr>
          <w:rFonts w:ascii="Times New Roman" w:hAnsi="Times New Roman" w:cs="Times New Roman"/>
          <w:color w:val="000000" w:themeColor="text1"/>
          <w:kern w:val="2"/>
          <w:sz w:val="16"/>
          <w:szCs w:val="16"/>
        </w:rPr>
        <w:softHyphen/>
        <w:t>ке в городе Херсоне сэмолетостроительного завода производи</w:t>
      </w:r>
      <w:r w:rsidRPr="002F2FDF">
        <w:rPr>
          <w:rFonts w:ascii="Times New Roman" w:hAnsi="Times New Roman" w:cs="Times New Roman"/>
          <w:color w:val="000000" w:themeColor="text1"/>
          <w:kern w:val="2"/>
          <w:sz w:val="16"/>
          <w:szCs w:val="16"/>
        </w:rPr>
        <w:softHyphen/>
        <w:t>тельностью 200 самолетов в год и моторно-механическвго завода производительностью 200 двигателей в год было одобрено и Исполнительной комиссией при военном министре. Туда же ре</w:t>
      </w:r>
      <w:r w:rsidRPr="002F2FDF">
        <w:rPr>
          <w:rFonts w:ascii="Times New Roman" w:hAnsi="Times New Roman" w:cs="Times New Roman"/>
          <w:color w:val="000000" w:themeColor="text1"/>
          <w:kern w:val="2"/>
          <w:sz w:val="16"/>
          <w:szCs w:val="16"/>
        </w:rPr>
        <w:softHyphen/>
        <w:t>шено было перевести и Главный аэродром. Заводы построены не были. (ЦГВИА. ф.493, оп.6, д. 11, л.127).</w:t>
      </w:r>
    </w:p>
    <w:p w14:paraId="3D5F3E2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A0566E" w14:textId="3CE1AAE8" w:rsidR="00342516" w:rsidRPr="00FB4F67" w:rsidRDefault="0034251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На </w:t>
      </w:r>
      <w:r>
        <w:rPr>
          <w:rFonts w:ascii="Times New Roman" w:hAnsi="Times New Roman" w:cs="Times New Roman"/>
          <w:color w:val="0070C0"/>
          <w:sz w:val="16"/>
          <w:szCs w:val="16"/>
        </w:rPr>
        <w:t>31 марта (</w:t>
      </w:r>
      <w:r w:rsidRPr="00FB4F67">
        <w:rPr>
          <w:rFonts w:ascii="Times New Roman" w:hAnsi="Times New Roman" w:cs="Times New Roman"/>
          <w:color w:val="0070C0"/>
          <w:sz w:val="16"/>
          <w:szCs w:val="16"/>
        </w:rPr>
        <w:t>13 апреля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года на передовой находилось 76 Анатра Д. В октябре 1916 года Военное министерство разместило заказ на 400 Анатра Д, 250 из которых должны были быть построены в Одессе, а остальные 150 - в недавно открытом филиале в Симферополе в Крыму. Считается, что только 200 из них были фактически завершены. Поставки начались только в середине 1917 года, и, наконец, с конвейера сошло 15-20 штук в месяц.</w:t>
      </w:r>
    </w:p>
    <w:p w14:paraId="79208F3A" w14:textId="77777777" w:rsidR="00342516" w:rsidRPr="00FB4F67" w:rsidRDefault="0034251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июне 1917 г. на 4-м артиллерийском АО шесть вновь поставленных Anatra D разбились при посадке или взлете из-за плохой остойчивости. Этот тип также страдал от плохого охлаждения двигателя. Около двадцати четырех самолетов Anatra D (Anakler или Anakle, что указывает на двигатели Clerget) были построены с двигателями Clerget мощностью 110 и 130 л.с.</w:t>
      </w:r>
    </w:p>
    <w:p w14:paraId="71239908" w14:textId="77777777" w:rsidR="00342516" w:rsidRPr="00FB4F67" w:rsidRDefault="0034251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Известно, что Анатра Анадес служила во 2-м гвардейском КАО; 1, 3, 9, 12, 16, 17. 20-й, 28-й и 36-й КАО; 1-й Туркестанский КАО; 1-й, 2-й, 3-й, 6-й и 7-й Сибирские КАО; и АО 6-й армии и, возможно, другие части (23525)</w:t>
      </w:r>
    </w:p>
    <w:p w14:paraId="7DB2B692" w14:textId="77777777" w:rsidR="00342516" w:rsidRPr="00FB4F67" w:rsidRDefault="00342516" w:rsidP="0083075A">
      <w:pPr>
        <w:spacing w:after="0" w:line="240" w:lineRule="auto"/>
        <w:jc w:val="both"/>
        <w:rPr>
          <w:rFonts w:ascii="Times New Roman" w:hAnsi="Times New Roman" w:cs="Times New Roman"/>
          <w:color w:val="0070C0"/>
          <w:sz w:val="16"/>
          <w:szCs w:val="16"/>
        </w:rPr>
      </w:pPr>
    </w:p>
    <w:p w14:paraId="3E750C06" w14:textId="5B1605AF" w:rsidR="00342516" w:rsidRDefault="00342516"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6217F46F" w14:textId="77777777" w:rsidR="00342516" w:rsidRDefault="00342516"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4C093225" w14:textId="5414A882" w:rsidR="00342516" w:rsidRPr="00FB4F67" w:rsidRDefault="0034251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31 марта (</w:t>
      </w:r>
      <w:r w:rsidRPr="00FB4F67">
        <w:rPr>
          <w:rFonts w:ascii="Times New Roman" w:hAnsi="Times New Roman" w:cs="Times New Roman"/>
          <w:color w:val="0070C0"/>
          <w:sz w:val="16"/>
          <w:szCs w:val="16"/>
        </w:rPr>
        <w:t>13 апреля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три русских самолета (7-й АО истребителей, Юго-Западный фронт) атаковали в воздухе два австрийских разведчика типа «Бранденбург Ц.1». Вскоре один из них был сбит, а второй - с большим трудом дотянул до своих позиций (23405).</w:t>
      </w:r>
    </w:p>
    <w:p w14:paraId="17D59DE5" w14:textId="77777777" w:rsidR="00342516" w:rsidRPr="00FB4F67" w:rsidRDefault="00342516" w:rsidP="0083075A">
      <w:pPr>
        <w:spacing w:after="0" w:line="240" w:lineRule="auto"/>
        <w:jc w:val="both"/>
        <w:rPr>
          <w:rFonts w:ascii="Times New Roman" w:hAnsi="Times New Roman" w:cs="Times New Roman"/>
          <w:color w:val="0070C0"/>
          <w:sz w:val="16"/>
          <w:szCs w:val="16"/>
        </w:rPr>
      </w:pPr>
    </w:p>
    <w:p w14:paraId="7917159B" w14:textId="62CB1762" w:rsidR="00342516" w:rsidRPr="00FB4F67" w:rsidRDefault="0034251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31 марта (</w:t>
      </w:r>
      <w:r w:rsidRPr="00FB4F67">
        <w:rPr>
          <w:rFonts w:ascii="Times New Roman" w:hAnsi="Times New Roman" w:cs="Times New Roman"/>
          <w:color w:val="0070C0"/>
          <w:sz w:val="16"/>
          <w:szCs w:val="16"/>
        </w:rPr>
        <w:t>13 апреля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вблизи с. Богородчан (Галиция) нашими летчиками поручиком Д.А. Макеенко (Д.А. Макиёнок), корнетом Г.В. Гильшером и прапорщиком В.И. Янченко сбито два неприятельских летательных аппарата, упавших в расположении противника, причем «сбитый поручиком Макеенко самолет при падении загорелся». В тот же день в Румынии французский пилот Револьтиссо записал на свой счет очередной сбитый самолет противника. Отметился в небе Западного фронта и прапорщик Н.К. Кокорин, в паре с младшим унтер-офицером Зомблевичем, вступивший в воздушный бой с двумя немецкими летательными аппаратами. Одного из них Кокорин подбил пулеметным огнем. Раненый пилот и невредимый наблюдатель попали в плен, трофейный германский «Альбатрос Ц.Ш» впоследствии удалось отремонтировать (23405).</w:t>
      </w:r>
    </w:p>
    <w:p w14:paraId="05A4DD17" w14:textId="77777777" w:rsidR="00342516" w:rsidRPr="00FB4F67" w:rsidRDefault="00342516" w:rsidP="0083075A">
      <w:pPr>
        <w:spacing w:after="0" w:line="240" w:lineRule="auto"/>
        <w:jc w:val="both"/>
        <w:rPr>
          <w:rFonts w:ascii="Times New Roman" w:hAnsi="Times New Roman" w:cs="Times New Roman"/>
          <w:color w:val="0070C0"/>
          <w:sz w:val="16"/>
          <w:szCs w:val="16"/>
        </w:rPr>
      </w:pPr>
    </w:p>
    <w:p w14:paraId="20C25F8C" w14:textId="38234F59" w:rsidR="00342516" w:rsidRPr="00FB4F67" w:rsidRDefault="0034251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31 марта (</w:t>
      </w:r>
      <w:r w:rsidRPr="00FB4F67">
        <w:rPr>
          <w:rFonts w:ascii="Times New Roman" w:hAnsi="Times New Roman" w:cs="Times New Roman"/>
          <w:color w:val="0070C0"/>
          <w:sz w:val="16"/>
          <w:szCs w:val="16"/>
        </w:rPr>
        <w:t>13 апреля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Балтийском море немецкий гидроавианосец «Санта Елена» с двумя-шестью гидросамолётами прибыл на свою базу в Либаве и вёл боевые действия до 27 апреля (23525).</w:t>
      </w:r>
    </w:p>
    <w:p w14:paraId="5BD84D6F" w14:textId="77777777" w:rsidR="00342516" w:rsidRPr="00FB4F67" w:rsidRDefault="00342516" w:rsidP="0083075A">
      <w:pPr>
        <w:spacing w:after="0" w:line="240" w:lineRule="auto"/>
        <w:jc w:val="both"/>
        <w:rPr>
          <w:rFonts w:ascii="Times New Roman" w:hAnsi="Times New Roman" w:cs="Times New Roman"/>
          <w:color w:val="0070C0"/>
          <w:sz w:val="16"/>
          <w:szCs w:val="16"/>
        </w:rPr>
      </w:pPr>
    </w:p>
    <w:p w14:paraId="09E1460D" w14:textId="2B5B2144"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24924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02BE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марта (13 апреля) 1917 в Россию после 37 лет эмиграции вернулся Г.Плеханов (3481).</w:t>
      </w:r>
    </w:p>
    <w:p w14:paraId="634EFE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82D430" w14:textId="77777777" w:rsidR="000655F6"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7E1331AA" w14:textId="77777777" w:rsidR="000655F6" w:rsidRPr="002F2FDF" w:rsidRDefault="000655F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654D1B"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31 марта (13 апреля) 1917 г. </w:t>
      </w:r>
      <w:r w:rsidRPr="002F2FDF">
        <w:rPr>
          <w:rFonts w:ascii="Times New Roman" w:hAnsi="Times New Roman" w:cs="Times New Roman"/>
          <w:color w:val="000000" w:themeColor="text1"/>
          <w:kern w:val="2"/>
          <w:sz w:val="16"/>
          <w:szCs w:val="16"/>
        </w:rPr>
        <w:t>Письмо верховного главнокомандующего ген. М. В. Алексеева военному министру А. И. Гучкову об отрицательных последствиях отказа английского правительства от размещения заказов на заводское оборудование для России.</w:t>
      </w:r>
    </w:p>
    <w:p w14:paraId="664BD282" w14:textId="2FCB55F5"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474-475</w:t>
      </w:r>
    </w:p>
    <w:p w14:paraId="05D7ACEE" w14:textId="633248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Второго деп-та, 1-5, «Война», д. 192, л. 410—410 об. Копия.</w:t>
      </w:r>
    </w:p>
    <w:p w14:paraId="3E11E8EC" w14:textId="77777777" w:rsidR="000655F6" w:rsidRPr="002F2FDF" w:rsidRDefault="000655F6" w:rsidP="0083075A">
      <w:pPr>
        <w:pStyle w:val="ae"/>
        <w:spacing w:before="0" w:after="0"/>
        <w:jc w:val="both"/>
        <w:rPr>
          <w:color w:val="000000" w:themeColor="text1"/>
          <w:kern w:val="2"/>
          <w:sz w:val="16"/>
          <w:szCs w:val="16"/>
        </w:rPr>
      </w:pPr>
      <w:r w:rsidRPr="002F2FDF">
        <w:rPr>
          <w:color w:val="000000" w:themeColor="text1"/>
          <w:kern w:val="2"/>
          <w:sz w:val="16"/>
          <w:szCs w:val="16"/>
        </w:rPr>
        <w:t>Милостивый государь, Александр Иванович.</w:t>
      </w:r>
    </w:p>
    <w:p w14:paraId="502183FE" w14:textId="77777777" w:rsidR="000655F6" w:rsidRPr="002F2FDF" w:rsidRDefault="000655F6" w:rsidP="0083075A">
      <w:pPr>
        <w:pStyle w:val="rtejustify"/>
        <w:spacing w:before="0" w:after="0"/>
        <w:rPr>
          <w:color w:val="000000" w:themeColor="text1"/>
          <w:kern w:val="2"/>
          <w:sz w:val="16"/>
          <w:szCs w:val="16"/>
        </w:rPr>
      </w:pPr>
      <w:r w:rsidRPr="002F2FDF">
        <w:rPr>
          <w:color w:val="000000" w:themeColor="text1"/>
          <w:kern w:val="2"/>
          <w:sz w:val="16"/>
          <w:szCs w:val="16"/>
        </w:rPr>
        <w:t>По имеющимся сведениям, журналы решения Петроградской конференции с участием представителей союзных держав по вопросу о различных заказах за границей на все предметы заводского оборудования в Петрограде сожжены</w:t>
      </w:r>
      <w:hyperlink r:id="rId93" w:anchor="_ftn1" w:history="1">
        <w:r w:rsidRPr="002F2FDF">
          <w:rPr>
            <w:rStyle w:val="a5"/>
            <w:color w:val="000000" w:themeColor="text1"/>
            <w:kern w:val="2"/>
            <w:sz w:val="16"/>
            <w:szCs w:val="16"/>
          </w:rPr>
          <w:t>[1]</w:t>
        </w:r>
      </w:hyperlink>
      <w:r w:rsidRPr="002F2FDF">
        <w:rPr>
          <w:color w:val="000000" w:themeColor="text1"/>
          <w:kern w:val="2"/>
          <w:sz w:val="16"/>
          <w:szCs w:val="16"/>
        </w:rPr>
        <w:t>. Одновременно английское правительство, ссылаясь на эти журналы, отказывается разместить дальнейшие заказы на необходимые для нас предметы оборудования, и поэтому до сих нор значительное количество их до настоящего времени остается незаказанным. Вследствие такого положения не представляется возможным приступить к намеченному уже оборудованию шести автомобильных заводов.</w:t>
      </w:r>
    </w:p>
    <w:p w14:paraId="30D19472" w14:textId="77777777" w:rsidR="000655F6" w:rsidRPr="002F2FDF" w:rsidRDefault="000655F6" w:rsidP="0083075A">
      <w:pPr>
        <w:pStyle w:val="rtejustify"/>
        <w:spacing w:before="0" w:after="0"/>
        <w:rPr>
          <w:color w:val="000000" w:themeColor="text1"/>
          <w:kern w:val="2"/>
          <w:sz w:val="16"/>
          <w:szCs w:val="16"/>
        </w:rPr>
      </w:pPr>
      <w:r w:rsidRPr="002F2FDF">
        <w:rPr>
          <w:color w:val="000000" w:themeColor="text1"/>
          <w:kern w:val="2"/>
          <w:sz w:val="16"/>
          <w:szCs w:val="16"/>
        </w:rPr>
        <w:t>В настоящее время дело автомобильного снабжения армии стоит особенно остро. На получение из-за границы автомобилей в ближайшем времени рассчитывать нельзя, между тем требования на них возрастают, почему на фронтах образовался большой их некомплект. Единственным выходом из создавшегося положения, с целью хотя бы несколько облегчить фронты в деле автомобильного снабжения, явилась необходимость создать у нас во внутренних округах империи свои собственные автомобильные заводы, которые могли бы выпускать определенный тип машин и запасные к ним части, а также производить ремонт их.</w:t>
      </w:r>
    </w:p>
    <w:p w14:paraId="7338A5D7" w14:textId="77777777" w:rsidR="000655F6" w:rsidRPr="002F2FDF" w:rsidRDefault="000655F6" w:rsidP="0083075A">
      <w:pPr>
        <w:pStyle w:val="rtejustify"/>
        <w:spacing w:before="0" w:after="0"/>
        <w:rPr>
          <w:color w:val="000000" w:themeColor="text1"/>
          <w:kern w:val="2"/>
          <w:sz w:val="16"/>
          <w:szCs w:val="16"/>
        </w:rPr>
      </w:pPr>
      <w:r w:rsidRPr="002F2FDF">
        <w:rPr>
          <w:color w:val="000000" w:themeColor="text1"/>
          <w:kern w:val="2"/>
          <w:sz w:val="16"/>
          <w:szCs w:val="16"/>
        </w:rPr>
        <w:t>Однако указанное выше решение английского правительства прекратить дальнейшее размещение заказов на все предметы заводского оборудования значительно осложняет этот вопрос и разрешает его в крайне неблагоприятном для нас смысле.</w:t>
      </w:r>
    </w:p>
    <w:p w14:paraId="5F3F0D6F" w14:textId="77777777" w:rsidR="000655F6" w:rsidRPr="002F2FDF" w:rsidRDefault="000655F6" w:rsidP="0083075A">
      <w:pPr>
        <w:pStyle w:val="rtejustify"/>
        <w:spacing w:before="0" w:after="0"/>
        <w:rPr>
          <w:color w:val="000000" w:themeColor="text1"/>
          <w:kern w:val="2"/>
          <w:sz w:val="16"/>
          <w:szCs w:val="16"/>
        </w:rPr>
      </w:pPr>
      <w:r w:rsidRPr="002F2FDF">
        <w:rPr>
          <w:color w:val="000000" w:themeColor="text1"/>
          <w:kern w:val="2"/>
          <w:sz w:val="16"/>
          <w:szCs w:val="16"/>
        </w:rPr>
        <w:t>Крайне было бы желательно настоять перед английским правительством об изменении принятого по сему решения и дать тем самым возможность более широко развить нашу отечественную заводскую промышленность, столь необходимую теперь для нужд действующей армии, хотя бы в вопросе автомобильного снабжения ее.</w:t>
      </w:r>
    </w:p>
    <w:p w14:paraId="10F33D8F" w14:textId="77777777" w:rsidR="000655F6" w:rsidRPr="002F2FDF" w:rsidRDefault="000655F6" w:rsidP="0083075A">
      <w:pPr>
        <w:pStyle w:val="rtejustify"/>
        <w:spacing w:before="0" w:after="0"/>
        <w:rPr>
          <w:color w:val="000000" w:themeColor="text1"/>
          <w:kern w:val="2"/>
          <w:sz w:val="16"/>
          <w:szCs w:val="16"/>
        </w:rPr>
      </w:pPr>
      <w:r w:rsidRPr="002F2FDF">
        <w:rPr>
          <w:color w:val="000000" w:themeColor="text1"/>
          <w:kern w:val="2"/>
          <w:sz w:val="16"/>
          <w:szCs w:val="16"/>
        </w:rPr>
        <w:t>Прошу не отказать в зависящих по сему соответствующих распоряжениях и о последующем не отказать меня уведомить.</w:t>
      </w:r>
    </w:p>
    <w:p w14:paraId="5E8D4F72" w14:textId="77777777" w:rsidR="000655F6" w:rsidRPr="002F2FDF" w:rsidRDefault="000655F6" w:rsidP="0083075A">
      <w:pPr>
        <w:pStyle w:val="rtejustify"/>
        <w:spacing w:before="0" w:after="0"/>
        <w:rPr>
          <w:color w:val="000000" w:themeColor="text1"/>
          <w:kern w:val="2"/>
          <w:sz w:val="16"/>
          <w:szCs w:val="16"/>
        </w:rPr>
      </w:pPr>
      <w:r w:rsidRPr="002F2FDF">
        <w:rPr>
          <w:color w:val="000000" w:themeColor="text1"/>
          <w:kern w:val="2"/>
          <w:sz w:val="16"/>
          <w:szCs w:val="16"/>
        </w:rPr>
        <w:t>Прошу принять уверение в совершенном моем уважении и преданности.</w:t>
      </w:r>
    </w:p>
    <w:p w14:paraId="6E2DA09A" w14:textId="77777777" w:rsidR="000655F6" w:rsidRPr="002F2FDF" w:rsidRDefault="000655F6"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Мих. Алексеев.</w:t>
      </w:r>
    </w:p>
    <w:p w14:paraId="67772C21" w14:textId="77777777" w:rsidR="000655F6" w:rsidRPr="002F2FDF" w:rsidRDefault="00000000" w:rsidP="0083075A">
      <w:pPr>
        <w:pStyle w:val="rtejustify"/>
        <w:spacing w:before="0" w:after="0"/>
        <w:rPr>
          <w:color w:val="000000" w:themeColor="text1"/>
          <w:kern w:val="2"/>
          <w:sz w:val="16"/>
          <w:szCs w:val="16"/>
        </w:rPr>
      </w:pPr>
      <w:hyperlink r:id="rId94" w:anchor="_ftnref1" w:history="1">
        <w:r w:rsidR="000655F6" w:rsidRPr="002F2FDF">
          <w:rPr>
            <w:rStyle w:val="a5"/>
            <w:color w:val="000000" w:themeColor="text1"/>
            <w:kern w:val="2"/>
            <w:sz w:val="16"/>
            <w:szCs w:val="16"/>
          </w:rPr>
          <w:t>[1]</w:t>
        </w:r>
      </w:hyperlink>
      <w:r w:rsidR="000655F6" w:rsidRPr="002F2FDF">
        <w:rPr>
          <w:color w:val="000000" w:themeColor="text1"/>
          <w:kern w:val="2"/>
          <w:sz w:val="16"/>
          <w:szCs w:val="16"/>
        </w:rPr>
        <w:t xml:space="preserve"> В ЦГВИА в фонде Главного управления Генерального штаба сохранились черновые экземпляры и копии протоколов конференции на русском языке, а в АВПР — полный французский текст указанных протоколов (15216).</w:t>
      </w:r>
    </w:p>
    <w:p w14:paraId="61E4D550" w14:textId="77777777" w:rsidR="000655F6" w:rsidRPr="002F2FDF" w:rsidRDefault="000655F6"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22D84A69" w14:textId="469D40A7" w:rsidR="009C2037" w:rsidRPr="002F2FDF" w:rsidRDefault="00AE5284"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31 марта (</w:t>
      </w:r>
      <w:r w:rsidR="009C2037" w:rsidRPr="002F2FDF">
        <w:rPr>
          <w:rFonts w:ascii="Times New Roman" w:hAnsi="Times New Roman" w:cs="Times New Roman"/>
          <w:color w:val="000000" w:themeColor="text1"/>
          <w:kern w:val="2"/>
          <w:sz w:val="16"/>
          <w:szCs w:val="16"/>
        </w:rPr>
        <w:t>13 апреля</w:t>
      </w:r>
      <w:r>
        <w:rPr>
          <w:rFonts w:ascii="Times New Roman" w:hAnsi="Times New Roman" w:cs="Times New Roman"/>
          <w:color w:val="000000" w:themeColor="text1"/>
          <w:kern w:val="2"/>
          <w:sz w:val="16"/>
          <w:szCs w:val="16"/>
        </w:rPr>
        <w:t>)</w:t>
      </w:r>
      <w:r w:rsidR="009C2037" w:rsidRPr="002F2FDF">
        <w:rPr>
          <w:rFonts w:ascii="Times New Roman" w:hAnsi="Times New Roman" w:cs="Times New Roman"/>
          <w:color w:val="000000" w:themeColor="text1"/>
          <w:kern w:val="2"/>
          <w:sz w:val="16"/>
          <w:szCs w:val="16"/>
        </w:rPr>
        <w:t xml:space="preserve"> в 1917 году чёрный день самолётов-разведчиков «R.E.8». В этот день шесть самолётов производили фотографирование позиций немецких войск Внезапно они были атакованы шестеркой "альбатросов" под руководством Манфреда фон Рихтгофена. В скоротечном бою были сбиты все британские машины. Немцы потерь не имели (15098).</w:t>
      </w:r>
    </w:p>
    <w:p w14:paraId="5EAB6AA5" w14:textId="77777777" w:rsidR="009C2037" w:rsidRPr="002F2FDF" w:rsidRDefault="009C2037" w:rsidP="0083075A">
      <w:pPr>
        <w:spacing w:after="0" w:line="240" w:lineRule="auto"/>
        <w:jc w:val="both"/>
        <w:rPr>
          <w:rFonts w:ascii="Times New Roman" w:hAnsi="Times New Roman" w:cs="Times New Roman"/>
          <w:color w:val="000000" w:themeColor="text1"/>
          <w:kern w:val="2"/>
          <w:sz w:val="16"/>
          <w:szCs w:val="16"/>
        </w:rPr>
      </w:pPr>
    </w:p>
    <w:p w14:paraId="7127273C" w14:textId="77777777" w:rsidR="009C2037" w:rsidRPr="002F2FDF" w:rsidRDefault="009C20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марта (13 апреля) в 1917 году чёрный день самолётов-разведчиков «R.E.8». В этот день шесть самолётов производили фотографирование позиций немецких войск Внезапно они были атакованы шестеркой "альбатросов" под руководством Манфреда фон Рихтгофена. В скоротечном бою были сбиты все британские машины. Немцы потерь не имели (15098).</w:t>
      </w:r>
    </w:p>
    <w:p w14:paraId="06192D33" w14:textId="77777777" w:rsidR="009C2037" w:rsidRPr="002F2FDF" w:rsidRDefault="009C2037" w:rsidP="0083075A">
      <w:pPr>
        <w:spacing w:after="0" w:line="240" w:lineRule="auto"/>
        <w:jc w:val="both"/>
        <w:rPr>
          <w:rFonts w:ascii="Times New Roman" w:hAnsi="Times New Roman" w:cs="Times New Roman"/>
          <w:color w:val="000000" w:themeColor="text1"/>
          <w:kern w:val="2"/>
          <w:sz w:val="16"/>
          <w:szCs w:val="16"/>
        </w:rPr>
      </w:pPr>
    </w:p>
    <w:p w14:paraId="11F31764" w14:textId="77777777" w:rsidR="00025472" w:rsidRPr="002F2FDF" w:rsidRDefault="0002547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5D505B6" w14:textId="77777777" w:rsidR="00025472" w:rsidRPr="002F2FDF" w:rsidRDefault="0002547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93DE8E" w14:textId="77777777" w:rsidR="00025472" w:rsidRPr="002F2FDF" w:rsidRDefault="0002547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31 марта (13 апреля) 1917 летающие лодки Royal Naval Air Service начинают патрулирование Северного моря совместно с лёгким кораблем North Hinder «Паутина» для обнаружения немецких подводных лодок в этом районе. Новая схема патрулирования, напоминающая паутину, позволяет четырем самолетам обыскивать территорию площадью 4000 квадратных миль (10000 квадратных километров) примерно за пять часов, что составляет лишь половину времени, которое требуется подводной лодке в надводном положении, чтобы пересечь этот район. В течение следующих 18 дней летающие лодки совершат 27 патрулей, обнаружат восемь немецких подводных лодок и нанесут бомбовые удары по трем из них (20341).</w:t>
      </w:r>
    </w:p>
    <w:p w14:paraId="66CDDE93" w14:textId="77777777" w:rsidR="00025472" w:rsidRPr="002F2FDF" w:rsidRDefault="00025472" w:rsidP="0083075A">
      <w:pPr>
        <w:spacing w:after="0" w:line="240" w:lineRule="auto"/>
        <w:jc w:val="both"/>
        <w:rPr>
          <w:rFonts w:ascii="Times New Roman" w:hAnsi="Times New Roman" w:cs="Times New Roman"/>
          <w:color w:val="000000" w:themeColor="text1"/>
          <w:sz w:val="16"/>
          <w:szCs w:val="16"/>
        </w:rPr>
      </w:pPr>
    </w:p>
    <w:p w14:paraId="0EE7AF8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944C7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AAFD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К концу марта 1917 г. появились ещё более серьёзные претензии к самолёту М-5, свидетельствующие как о недостатках конструкции, так и ка</w:t>
      </w:r>
      <w:r w:rsidRPr="002F2FDF">
        <w:rPr>
          <w:rFonts w:ascii="Times New Roman" w:hAnsi="Times New Roman" w:cs="Times New Roman"/>
          <w:color w:val="000000" w:themeColor="text1"/>
          <w:kern w:val="2"/>
          <w:sz w:val="16"/>
          <w:szCs w:val="16"/>
        </w:rPr>
        <w:softHyphen/>
        <w:t>честве постройки. Их сущность изложена в докла</w:t>
      </w:r>
      <w:r w:rsidRPr="002F2FDF">
        <w:rPr>
          <w:rFonts w:ascii="Times New Roman" w:hAnsi="Times New Roman" w:cs="Times New Roman"/>
          <w:color w:val="000000" w:themeColor="text1"/>
          <w:kern w:val="2"/>
          <w:sz w:val="16"/>
          <w:szCs w:val="16"/>
        </w:rPr>
        <w:softHyphen/>
        <w:t>де командующего Черноморским флотом вице-адмирала А.В.Колча</w:t>
      </w:r>
      <w:r w:rsidRPr="002F2FDF">
        <w:rPr>
          <w:rFonts w:ascii="Times New Roman" w:hAnsi="Times New Roman" w:cs="Times New Roman"/>
          <w:color w:val="000000" w:themeColor="text1"/>
          <w:kern w:val="2"/>
          <w:sz w:val="16"/>
          <w:szCs w:val="16"/>
        </w:rPr>
        <w:softHyphen/>
        <w:t>ка: плохая управляемость, сложность взлёта из-за плохих мореходных качеств, мала скорость полёта, крайне низкая скороподъёмность (набор высоты 2000 м за 35 - 45 минут), ограниченный ресурс дви</w:t>
      </w:r>
      <w:r w:rsidRPr="002F2FDF">
        <w:rPr>
          <w:rFonts w:ascii="Times New Roman" w:hAnsi="Times New Roman" w:cs="Times New Roman"/>
          <w:color w:val="000000" w:themeColor="text1"/>
          <w:kern w:val="2"/>
          <w:sz w:val="16"/>
          <w:szCs w:val="16"/>
        </w:rPr>
        <w:softHyphen/>
        <w:t>гателя (40 - 50 ч.). Попытка конст</w:t>
      </w:r>
      <w:r w:rsidRPr="002F2FDF">
        <w:rPr>
          <w:rFonts w:ascii="Times New Roman" w:hAnsi="Times New Roman" w:cs="Times New Roman"/>
          <w:color w:val="000000" w:themeColor="text1"/>
          <w:kern w:val="2"/>
          <w:sz w:val="16"/>
          <w:szCs w:val="16"/>
        </w:rPr>
        <w:softHyphen/>
        <w:t>руктора улучшить лётные характе</w:t>
      </w:r>
      <w:r w:rsidRPr="002F2FDF">
        <w:rPr>
          <w:rFonts w:ascii="Times New Roman" w:hAnsi="Times New Roman" w:cs="Times New Roman"/>
          <w:color w:val="000000" w:themeColor="text1"/>
          <w:kern w:val="2"/>
          <w:sz w:val="16"/>
          <w:szCs w:val="16"/>
        </w:rPr>
        <w:softHyphen/>
        <w:t>ристики М-5, в частности за счёт увеличения тяги установкой более мощного двигателя (110, 120 и даже 130 л.е.), ничего не дала, так как увеличивался вес конструкции, со</w:t>
      </w:r>
      <w:r w:rsidRPr="002F2FDF">
        <w:rPr>
          <w:rFonts w:ascii="Times New Roman" w:hAnsi="Times New Roman" w:cs="Times New Roman"/>
          <w:color w:val="000000" w:themeColor="text1"/>
          <w:kern w:val="2"/>
          <w:sz w:val="16"/>
          <w:szCs w:val="16"/>
        </w:rPr>
        <w:softHyphen/>
        <w:t>ответственно возрастал угол ата</w:t>
      </w:r>
      <w:r w:rsidRPr="002F2FDF">
        <w:rPr>
          <w:rFonts w:ascii="Times New Roman" w:hAnsi="Times New Roman" w:cs="Times New Roman"/>
          <w:color w:val="000000" w:themeColor="text1"/>
          <w:kern w:val="2"/>
          <w:sz w:val="16"/>
          <w:szCs w:val="16"/>
        </w:rPr>
        <w:softHyphen/>
        <w:t>ки крыла, что приводило к повыше</w:t>
      </w:r>
      <w:r w:rsidRPr="002F2FDF">
        <w:rPr>
          <w:rFonts w:ascii="Times New Roman" w:hAnsi="Times New Roman" w:cs="Times New Roman"/>
          <w:color w:val="000000" w:themeColor="text1"/>
          <w:kern w:val="2"/>
          <w:sz w:val="16"/>
          <w:szCs w:val="16"/>
        </w:rPr>
        <w:softHyphen/>
        <w:t>нию лобового сопротивления, ухуд</w:t>
      </w:r>
      <w:r w:rsidRPr="002F2FDF">
        <w:rPr>
          <w:rFonts w:ascii="Times New Roman" w:hAnsi="Times New Roman" w:cs="Times New Roman"/>
          <w:color w:val="000000" w:themeColor="text1"/>
          <w:kern w:val="2"/>
          <w:sz w:val="16"/>
          <w:szCs w:val="16"/>
        </w:rPr>
        <w:softHyphen/>
        <w:t>шалась управляемость, появлялись и другие нежелательные послед</w:t>
      </w:r>
      <w:r w:rsidRPr="002F2FDF">
        <w:rPr>
          <w:rFonts w:ascii="Times New Roman" w:hAnsi="Times New Roman" w:cs="Times New Roman"/>
          <w:color w:val="000000" w:themeColor="text1"/>
          <w:kern w:val="2"/>
          <w:sz w:val="16"/>
          <w:szCs w:val="16"/>
        </w:rPr>
        <w:softHyphen/>
        <w:t>ствия. В период с 10 июля 1915 г. по 20 июня 1917 г. на Черноморский флот поступила 71 летающая лодка М-5 и около 60 в учебные заведения, а всего морское ведомство приобрё- ло 183 самолёта (11872).</w:t>
      </w:r>
    </w:p>
    <w:p w14:paraId="50D934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15E6FC" w14:textId="77777777" w:rsidR="0040389F" w:rsidRPr="00FB4F67" w:rsidRDefault="0040389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концу марта 1917 года Salmson построил 500 радиальных двигателей Salmson мощностью 150 л.с. Общий объем производства неизвестен (23525).</w:t>
      </w:r>
    </w:p>
    <w:p w14:paraId="114B14E9" w14:textId="77777777" w:rsidR="0040389F" w:rsidRPr="00FB4F67" w:rsidRDefault="0040389F" w:rsidP="0083075A">
      <w:pPr>
        <w:spacing w:after="0" w:line="240" w:lineRule="auto"/>
        <w:jc w:val="both"/>
        <w:rPr>
          <w:rFonts w:ascii="Times New Roman" w:hAnsi="Times New Roman" w:cs="Times New Roman"/>
          <w:color w:val="0070C0"/>
          <w:sz w:val="16"/>
          <w:szCs w:val="16"/>
        </w:rPr>
      </w:pPr>
    </w:p>
    <w:p w14:paraId="086DED70" w14:textId="77777777" w:rsidR="0040389F" w:rsidRPr="00FB4F67" w:rsidRDefault="0040389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концу марта 1917 г. к отправке на фронт был готов первый отряд английских самолетов в составе трех звеньев, одного разведывательного с пятью «Сопвичами», одного артиллерийско-наблюдательного с пятью БЕ и одного истребительного с пятью «Виккерсами» (23525)</w:t>
      </w:r>
    </w:p>
    <w:p w14:paraId="7C3A9D67" w14:textId="77777777" w:rsidR="0040389F" w:rsidRPr="00FB4F67" w:rsidRDefault="0040389F" w:rsidP="0083075A">
      <w:pPr>
        <w:spacing w:after="0" w:line="240" w:lineRule="auto"/>
        <w:jc w:val="both"/>
        <w:rPr>
          <w:rFonts w:ascii="Times New Roman" w:hAnsi="Times New Roman" w:cs="Times New Roman"/>
          <w:color w:val="0070C0"/>
          <w:sz w:val="16"/>
          <w:szCs w:val="16"/>
        </w:rPr>
      </w:pPr>
    </w:p>
    <w:p w14:paraId="37C2642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378854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2A1E42" w14:textId="1481B44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марта 1917 года в Главное управление кораблестроения был представлен эскизный проект лидера. Согласно проекту, корабль представлял собой значительно удлиненный эскадренный миноносец типа «Гавриил» с чрезвычайно мощным для того времени артиллерийским вооруже­нием и имел следующие основные проектные элементы: длина по ГВЛ 130м, ширина 11,24 м, средняя осадка при нормальном водоизмещении 3,45 м, высота борта в носу 5,65 м, в корме — 3,45м, скорость хода 33—34 уз, мощность прямодействующих турбин 35 200 л.с. при сжигании не более 5,5 кг нефти на 1 м2 поверхности нагрева котлов. Для усиления наружной обшивки по всей длине грузовой ватерлинии предусматри­вался ледовый пояс толщиной 1 0 мм и ши­риной 1,5 м. Для улучшения мореходности предусматривался значительный развал носовых шпангоутов. Котлотурбинная уста­новка предусматривалась как у «Гавриила», но с «некоторыми улучшениями на основе предыдущего опыта». Район плавания при нормальном запасе топлива 360 т (полный 615т) и скорости 25 уз составлял 1000 миль. Запас котельной воды в носовой и двух бор­товых цистернах (во втором котельном от­делении) — 55 т, для питания электропотребителей — два турбогенератора мощно­стью по 50 кВт в машинных отделениях, а в надстройке для аварийных случаев — керосино-динамо (1 5 кВт). Основные устройства и системы принимались по типу «Гавриила». Артиллерийское вооружение предпола­галось следующим: восемь 130-мм орудий в диаметральной плоскости, на главных поперечных переборках две 76,2-мм «аэро­пушки» системы Ф.Ф.Лендера и столько же 7,62-мм пулеметов. Боезапас главного ка­либра размещался в носовом и двух кор­мовых погребах (по 250 выстрелов). Торпедное вооружение составляли три трех­трубных 450-мм аппарата. На верхней палубе предусматривались четыре рельсо­вых пути для размещения 300 мин заграж­дения образца 1912 года. Экипаж должен был состоять из 14 офицеров, 8—10 кондук­торов, 220 унтер-офицеров и матросов. Понятно, что воплотить этот перспективный проект на практике в то время в России не представлялось возможным. Однако тех­нические решения, составлявшие суть этого проекта, непременно учитывались во всех последующих разработках (11866).</w:t>
      </w:r>
    </w:p>
    <w:p w14:paraId="5ED77F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4BD976" w14:textId="77777777" w:rsidR="004C18A1" w:rsidRPr="002F2FDF" w:rsidRDefault="004C18A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2E273D0" w14:textId="77777777" w:rsidR="004C18A1" w:rsidRPr="002F2FDF" w:rsidRDefault="004C18A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082BD4" w14:textId="77777777" w:rsidR="004C18A1" w:rsidRPr="002F2FDF" w:rsidRDefault="004C18A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конце марта — начале апреля 1917 состоялся выпуск офицеров девятого ускоренного курса ОВШ — 39 человек (20120).</w:t>
      </w:r>
    </w:p>
    <w:p w14:paraId="0386522A" w14:textId="77777777" w:rsidR="004C18A1" w:rsidRPr="002F2FDF" w:rsidRDefault="004C18A1" w:rsidP="0083075A">
      <w:pPr>
        <w:spacing w:after="0" w:line="240" w:lineRule="auto"/>
        <w:jc w:val="both"/>
        <w:rPr>
          <w:rFonts w:ascii="Times New Roman" w:hAnsi="Times New Roman" w:cs="Times New Roman"/>
          <w:color w:val="000000" w:themeColor="text1"/>
          <w:sz w:val="16"/>
          <w:szCs w:val="16"/>
        </w:rPr>
      </w:pPr>
    </w:p>
    <w:p w14:paraId="0C30FA1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DF760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43E3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марта 1917 года при обстреле Парижа немцы применили супер-пушку. Вот как описывают этот обстрел очевидец – генерал-лейтенант Игнатьев, военный атташе России:</w:t>
      </w:r>
    </w:p>
    <w:p w14:paraId="156D1127"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7 часов утра я услышал сильнейший, как мне показалось, разрыв бомбы, потрясший окна нашей квартиры на Кэ Бурбон. Сирены молчали, и мы еще более были удивлены, когда ровно в 7 часов 15 минут раздался такой же удар, а в 7 часов 30 минут – третий, несколько более отдаленный. В это солнечное утро Париж замер от продолжавшихся и никому не понятных сильных разрывов каких-то неведомых бомб”.</w:t>
      </w:r>
    </w:p>
    <w:p w14:paraId="1437C6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по столице Франции немцы выпустили 367 снарядов, при этом треть из них прошла мимо такой огромной цели. Погибло 256 парижан, 620 человек были ранены. Целью этой варварской акции было продемонстрировать свою военную мощь и морально воздействовать на противника.</w:t>
      </w:r>
    </w:p>
    <w:p w14:paraId="3AC44B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подписания перемирия с Антантой пушку демонтировали, а все документы, связанные с ее разработкой, уничтожили (11688).</w:t>
      </w:r>
    </w:p>
    <w:p w14:paraId="179D73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5D642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FD73C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3128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марте 1917 получил одобрение проект И.И.Голенищева-Кутузова по оборудованию ИМ специальным съемным торпедным аппаратом. Сразу же было решено заказать 20 для защиты Рижского залива. Началось строительство специального аэродромов для их базирования в т.ч. на о. Эзель близ Аренсбурга (2871,39).</w:t>
      </w:r>
    </w:p>
    <w:p w14:paraId="4BED3C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Кстати, в 1941 именно с этого аэродрома потом бомбили Берлин</w:t>
      </w:r>
    </w:p>
    <w:p w14:paraId="674187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0626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марте 1917-го Голенищев-Кутузов спроектировал специальный съемный торпедный аппарат, что позволяло использовать самолеты и по прямому назначению. Свои предложения он изложил в докладных записках, направленных в вышестоящие инстанции. Проект получил одобрение (11240).</w:t>
      </w:r>
    </w:p>
    <w:p w14:paraId="7F0DD6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24DF49" w14:textId="77777777" w:rsidR="0040389F" w:rsidRPr="00FB4F67" w:rsidRDefault="0040389F" w:rsidP="0083075A">
      <w:pPr>
        <w:spacing w:after="0" w:line="240" w:lineRule="auto"/>
        <w:jc w:val="both"/>
        <w:rPr>
          <w:rFonts w:ascii="Times New Roman" w:hAnsi="Times New Roman" w:cs="Times New Roman"/>
          <w:color w:val="0070C0"/>
          <w:sz w:val="16"/>
          <w:szCs w:val="16"/>
        </w:rPr>
      </w:pPr>
      <w:bookmarkStart w:id="70" w:name="_Hlk92717052"/>
      <w:r w:rsidRPr="00FB4F67">
        <w:rPr>
          <w:rFonts w:ascii="Times New Roman" w:hAnsi="Times New Roman" w:cs="Times New Roman"/>
          <w:color w:val="0070C0"/>
          <w:sz w:val="16"/>
          <w:szCs w:val="16"/>
        </w:rPr>
        <w:t>В марте 1917 г. было одобрено предложение И.И. Голенищева-Кутузова оборудовать корабли ИМ держателем для торпеды и поплавковым шасси, были заказаны 20 таких самолетов для защиты Рижского залива и началось строительство гидроаэродрома на о. Эзель у н.п. Аренсбург. Однако РБВЗ к проектированию поплавковой модификации самолета ИМ-Г не приступил, а взамен предложил установить такое вооружение на серийный ИМ-Г с колесным шасси.</w:t>
      </w:r>
    </w:p>
    <w:p w14:paraId="5B96AA5E" w14:textId="77777777" w:rsidR="0040389F" w:rsidRPr="00FB4F67" w:rsidRDefault="0040389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июле 1917 г. держатель системы Голенищева-Кутузова для торпеды на самолет ИМ-Г установили, но ни один сброс ни болванок, ни боевых торпед произведен не был.</w:t>
      </w:r>
    </w:p>
    <w:p w14:paraId="3E12B07E" w14:textId="77777777" w:rsidR="0040389F" w:rsidRPr="00FB4F67" w:rsidRDefault="0040389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06.09.17 г. (19.09.17 г. по н.ст.) на совещании в Центральном авиакомитете было предложено вооружить торпедными держателями системы Голенищева-Кутузова один отряд самолетов ИМ и передать его флоту, но этот вопрос решен и тогда не был далее к нему, видимо, не возвращались (23553).</w:t>
      </w:r>
    </w:p>
    <w:p w14:paraId="6E09A22B" w14:textId="77777777" w:rsidR="0040389F" w:rsidRPr="00FB4F67" w:rsidRDefault="0040389F" w:rsidP="0083075A">
      <w:pPr>
        <w:spacing w:after="0" w:line="240" w:lineRule="auto"/>
        <w:jc w:val="both"/>
        <w:rPr>
          <w:rFonts w:ascii="Times New Roman" w:hAnsi="Times New Roman" w:cs="Times New Roman"/>
          <w:color w:val="0070C0"/>
          <w:sz w:val="16"/>
          <w:szCs w:val="16"/>
        </w:rPr>
      </w:pPr>
    </w:p>
    <w:p w14:paraId="4B4ED052" w14:textId="77777777" w:rsidR="004C18A1" w:rsidRPr="002F2FDF" w:rsidRDefault="004C18A1" w:rsidP="0083075A">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rPr>
        <w:t>С марта 1917 после Февральской революции 1917 г. деловые отношения администрации РБВЗ и нового Военного министерства во Временном правительстве Керенского так и не были установлены, а связи с Управлением Воздушного флота стали теряться. Весной обнаружилось, что никто не знает, где находится Председатель правления АО РБВЗ М. В. Шидловский, который перестал слать телеграммы с базы ЭВК. В апреле у Сикорского истек контракт, он попытался его продлить или получить расчет и дивиденды по акциям, которые хотел продать, нуждаясь в деньгах, но ему в выплате причитающегося отказали, а акции уже ни копейки не стоили. Когда он спросил, что дальше ему делать по работе, ответ был прост — делай что хочешь! (22826).</w:t>
      </w:r>
    </w:p>
    <w:p w14:paraId="299ABAF9" w14:textId="77777777" w:rsidR="004C18A1" w:rsidRPr="002F2FDF" w:rsidRDefault="004C18A1" w:rsidP="0083075A">
      <w:pPr>
        <w:spacing w:after="0" w:line="240" w:lineRule="auto"/>
        <w:jc w:val="both"/>
        <w:rPr>
          <w:rFonts w:ascii="Times New Roman" w:hAnsi="Times New Roman" w:cs="Times New Roman"/>
          <w:color w:val="000000" w:themeColor="text1"/>
          <w:sz w:val="16"/>
          <w:szCs w:val="16"/>
        </w:rPr>
      </w:pPr>
    </w:p>
    <w:bookmarkEnd w:id="70"/>
    <w:p w14:paraId="50EEEED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марте 1917 г. завершилась постройка само</w:t>
      </w:r>
      <w:r w:rsidRPr="002F2FDF">
        <w:rPr>
          <w:rFonts w:ascii="Times New Roman" w:hAnsi="Times New Roman" w:cs="Times New Roman"/>
          <w:color w:val="000000" w:themeColor="text1"/>
          <w:kern w:val="2"/>
          <w:sz w:val="16"/>
          <w:szCs w:val="16"/>
        </w:rPr>
        <w:softHyphen/>
        <w:t>лета истребителя Сикорского С-ХХ (С-20). Так как продувки в аэ</w:t>
      </w:r>
      <w:r w:rsidRPr="002F2FDF">
        <w:rPr>
          <w:rFonts w:ascii="Times New Roman" w:hAnsi="Times New Roman" w:cs="Times New Roman"/>
          <w:color w:val="000000" w:themeColor="text1"/>
          <w:kern w:val="2"/>
          <w:sz w:val="16"/>
          <w:szCs w:val="16"/>
        </w:rPr>
        <w:softHyphen/>
        <w:t>родинамических трубах не позволили однозначно определить, какой из рассматриваемых профилей (И.И.Сикорского или Эйфеля № 32) лучше подходит для самолета, то было принято решение строить сразу два комплекта крыльев с одним и другим профилем, а окончательный выбор сделать по результатам летных испытаний. Первый экземпляр истребителя имел заводской но</w:t>
      </w:r>
      <w:r w:rsidRPr="002F2FDF">
        <w:rPr>
          <w:rFonts w:ascii="Times New Roman" w:hAnsi="Times New Roman" w:cs="Times New Roman"/>
          <w:color w:val="000000" w:themeColor="text1"/>
          <w:kern w:val="2"/>
          <w:sz w:val="16"/>
          <w:szCs w:val="16"/>
        </w:rPr>
        <w:softHyphen/>
        <w:t>мер 267. Площадь его крыла составляла 16,7 м</w:t>
      </w:r>
      <w:r w:rsidRPr="002F2FDF">
        <w:rPr>
          <w:rFonts w:ascii="Times New Roman" w:hAnsi="Times New Roman" w:cs="Times New Roman"/>
          <w:color w:val="000000" w:themeColor="text1"/>
          <w:kern w:val="2"/>
          <w:sz w:val="16"/>
          <w:szCs w:val="16"/>
          <w:vertAlign w:val="superscript"/>
        </w:rPr>
        <w:t>2</w:t>
      </w:r>
      <w:r w:rsidRPr="002F2FDF">
        <w:rPr>
          <w:rFonts w:ascii="Times New Roman" w:hAnsi="Times New Roman" w:cs="Times New Roman"/>
          <w:color w:val="000000" w:themeColor="text1"/>
          <w:kern w:val="2"/>
          <w:sz w:val="16"/>
          <w:szCs w:val="16"/>
        </w:rPr>
        <w:t>, длина -6,4 м, размах - 7,4 м. Двигатель “Рои” мощностью ПО л.с. согласно расчетам должен был обеспечить макси</w:t>
      </w:r>
      <w:r w:rsidRPr="002F2FDF">
        <w:rPr>
          <w:rFonts w:ascii="Times New Roman" w:hAnsi="Times New Roman" w:cs="Times New Roman"/>
          <w:color w:val="000000" w:themeColor="text1"/>
          <w:kern w:val="2"/>
          <w:sz w:val="16"/>
          <w:szCs w:val="16"/>
        </w:rPr>
        <w:softHyphen/>
        <w:t>мальную скорость 170-175 км/ч. После первого этапа летных испытаний самолет ра</w:t>
      </w:r>
      <w:r w:rsidRPr="002F2FDF">
        <w:rPr>
          <w:rFonts w:ascii="Times New Roman" w:hAnsi="Times New Roman" w:cs="Times New Roman"/>
          <w:color w:val="000000" w:themeColor="text1"/>
          <w:kern w:val="2"/>
          <w:sz w:val="16"/>
          <w:szCs w:val="16"/>
        </w:rPr>
        <w:softHyphen/>
        <w:t>зобрали и по железной дороге отправили на фронт. Тех</w:t>
      </w:r>
      <w:r w:rsidRPr="002F2FDF">
        <w:rPr>
          <w:rFonts w:ascii="Times New Roman" w:hAnsi="Times New Roman" w:cs="Times New Roman"/>
          <w:color w:val="000000" w:themeColor="text1"/>
          <w:kern w:val="2"/>
          <w:sz w:val="16"/>
          <w:szCs w:val="16"/>
        </w:rPr>
        <w:softHyphen/>
        <w:t>ническое описание “для упаковки и отправки” истребителя С-ХХ составили и подписали Савицкий и Поликарпов. Дефицит двигателей “Рон” указанной мощности затянул внедрение истребителя в серийное производство (10667).</w:t>
      </w:r>
    </w:p>
    <w:p w14:paraId="794DBC1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35C693" w14:textId="41BF3A5F"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марте 1917 г.</w:t>
      </w:r>
      <w:r w:rsidR="00AE5284">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rPr>
        <w:t xml:space="preserve"> к</w:t>
      </w:r>
      <w:r w:rsidR="00AE5284">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величайшему</w:t>
      </w:r>
      <w:r w:rsidR="00AE5284">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удивлению</w:t>
      </w:r>
      <w:r w:rsidR="00AE5284">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rPr>
        <w:t xml:space="preserve"> в хвостовых поплавках гидроаэропланов М-16 обнаружили дополнительный груз в виде мешков с песком, пред</w:t>
      </w:r>
      <w:r w:rsidRPr="002F2FDF">
        <w:rPr>
          <w:rFonts w:ascii="Times New Roman" w:hAnsi="Times New Roman" w:cs="Times New Roman"/>
          <w:color w:val="000000" w:themeColor="text1"/>
          <w:kern w:val="2"/>
          <w:sz w:val="16"/>
          <w:szCs w:val="16"/>
        </w:rPr>
        <w:softHyphen/>
        <w:t>назначенных для поддержания цен</w:t>
      </w:r>
      <w:r w:rsidRPr="002F2FDF">
        <w:rPr>
          <w:rFonts w:ascii="Times New Roman" w:hAnsi="Times New Roman" w:cs="Times New Roman"/>
          <w:color w:val="000000" w:themeColor="text1"/>
          <w:kern w:val="2"/>
          <w:sz w:val="16"/>
          <w:szCs w:val="16"/>
        </w:rPr>
        <w:softHyphen/>
        <w:t>тровки в эксплуатационном диапа</w:t>
      </w:r>
      <w:r w:rsidRPr="002F2FDF">
        <w:rPr>
          <w:rFonts w:ascii="Times New Roman" w:hAnsi="Times New Roman" w:cs="Times New Roman"/>
          <w:color w:val="000000" w:themeColor="text1"/>
          <w:kern w:val="2"/>
          <w:sz w:val="16"/>
          <w:szCs w:val="16"/>
        </w:rPr>
        <w:softHyphen/>
        <w:t>зоне, что могло привести к катаст</w:t>
      </w:r>
      <w:r w:rsidRPr="002F2FDF">
        <w:rPr>
          <w:rFonts w:ascii="Times New Roman" w:hAnsi="Times New Roman" w:cs="Times New Roman"/>
          <w:color w:val="000000" w:themeColor="text1"/>
          <w:kern w:val="2"/>
          <w:sz w:val="16"/>
          <w:szCs w:val="16"/>
        </w:rPr>
        <w:softHyphen/>
        <w:t>рофе при изменении центровки из- за намокания песка. Летом 1917 г. начальник VI Воздушного дивизио</w:t>
      </w:r>
      <w:r w:rsidRPr="002F2FDF">
        <w:rPr>
          <w:rFonts w:ascii="Times New Roman" w:hAnsi="Times New Roman" w:cs="Times New Roman"/>
          <w:color w:val="000000" w:themeColor="text1"/>
          <w:kern w:val="2"/>
          <w:sz w:val="16"/>
          <w:szCs w:val="16"/>
        </w:rPr>
        <w:softHyphen/>
        <w:t>на воздушной дивизии Балтийского моря лейтенант А. И. Макаревич, предпринял попытку улучшить лёт</w:t>
      </w:r>
      <w:r w:rsidRPr="002F2FDF">
        <w:rPr>
          <w:rFonts w:ascii="Times New Roman" w:hAnsi="Times New Roman" w:cs="Times New Roman"/>
          <w:color w:val="000000" w:themeColor="text1"/>
          <w:kern w:val="2"/>
          <w:sz w:val="16"/>
          <w:szCs w:val="16"/>
        </w:rPr>
        <w:softHyphen/>
        <w:t>ные характеристики, оборудовав самолёт М-16 колёсным шасси. Переделка происходила на базе 2-й Воздушной бригады дивизии в Або и осталась незавершённой по трагическим обстоятельствам, так как 30 августа 1917 г. взбунтовав</w:t>
      </w:r>
      <w:r w:rsidRPr="002F2FDF">
        <w:rPr>
          <w:rFonts w:ascii="Times New Roman" w:hAnsi="Times New Roman" w:cs="Times New Roman"/>
          <w:color w:val="000000" w:themeColor="text1"/>
          <w:kern w:val="2"/>
          <w:sz w:val="16"/>
          <w:szCs w:val="16"/>
        </w:rPr>
        <w:softHyphen/>
        <w:t>шиеся матросы убили своего зас</w:t>
      </w:r>
      <w:r w:rsidRPr="002F2FDF">
        <w:rPr>
          <w:rFonts w:ascii="Times New Roman" w:hAnsi="Times New Roman" w:cs="Times New Roman"/>
          <w:color w:val="000000" w:themeColor="text1"/>
          <w:kern w:val="2"/>
          <w:sz w:val="16"/>
          <w:szCs w:val="16"/>
        </w:rPr>
        <w:softHyphen/>
        <w:t>луженного командира, награждён</w:t>
      </w:r>
      <w:r w:rsidRPr="002F2FDF">
        <w:rPr>
          <w:rFonts w:ascii="Times New Roman" w:hAnsi="Times New Roman" w:cs="Times New Roman"/>
          <w:color w:val="000000" w:themeColor="text1"/>
          <w:kern w:val="2"/>
          <w:sz w:val="16"/>
          <w:szCs w:val="16"/>
        </w:rPr>
        <w:softHyphen/>
        <w:t>ного орденами: св. Станислава 3-й степени; св. Анны 4-й степени с надписью «За храбрость»; св. Ан</w:t>
      </w:r>
      <w:r w:rsidRPr="002F2FDF">
        <w:rPr>
          <w:rFonts w:ascii="Times New Roman" w:hAnsi="Times New Roman" w:cs="Times New Roman"/>
          <w:color w:val="000000" w:themeColor="text1"/>
          <w:kern w:val="2"/>
          <w:sz w:val="16"/>
          <w:szCs w:val="16"/>
        </w:rPr>
        <w:softHyphen/>
        <w:t>ны - 3 -йстепени с мечами и бан</w:t>
      </w:r>
      <w:r w:rsidRPr="002F2FDF">
        <w:rPr>
          <w:rFonts w:ascii="Times New Roman" w:hAnsi="Times New Roman" w:cs="Times New Roman"/>
          <w:color w:val="000000" w:themeColor="text1"/>
          <w:kern w:val="2"/>
          <w:sz w:val="16"/>
          <w:szCs w:val="16"/>
        </w:rPr>
        <w:softHyphen/>
        <w:t>тами (11872).</w:t>
      </w:r>
    </w:p>
    <w:p w14:paraId="480FD7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DBC032" w14:textId="77777777" w:rsidR="000655F6" w:rsidRPr="002F2FDF" w:rsidRDefault="000655F6"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lastRenderedPageBreak/>
        <w:t>В марте 1917 г. «Дукс» заключил с УВВФ новый контракт с учетом увеличения производства на 100%. С июня 1917 г. по июль 1918 г. завод должен был изготовить от 750 до 840 боевых самолетов различных типов. Среди них значительную часть составляли аэропланы, строившиеся для Морского ведомства  (15464).</w:t>
      </w:r>
    </w:p>
    <w:p w14:paraId="636905DE" w14:textId="77777777" w:rsidR="000655F6" w:rsidRPr="002F2FDF" w:rsidRDefault="000655F6" w:rsidP="0083075A">
      <w:pPr>
        <w:pStyle w:val="2"/>
        <w:spacing w:before="0" w:beforeAutospacing="0" w:after="0" w:afterAutospacing="0"/>
        <w:jc w:val="both"/>
        <w:rPr>
          <w:b w:val="0"/>
          <w:color w:val="000000" w:themeColor="text1"/>
          <w:kern w:val="2"/>
          <w:sz w:val="16"/>
          <w:szCs w:val="16"/>
        </w:rPr>
      </w:pPr>
    </w:p>
    <w:p w14:paraId="4F130F55" w14:textId="77777777" w:rsidR="000655F6" w:rsidRPr="002F2FDF" w:rsidRDefault="000655F6" w:rsidP="0083075A">
      <w:pPr>
        <w:pStyle w:val="2"/>
        <w:spacing w:before="0" w:beforeAutospacing="0" w:after="0" w:afterAutospacing="0"/>
        <w:jc w:val="both"/>
        <w:rPr>
          <w:b w:val="0"/>
          <w:color w:val="000000" w:themeColor="text1"/>
          <w:kern w:val="2"/>
          <w:sz w:val="16"/>
          <w:szCs w:val="16"/>
        </w:rPr>
      </w:pPr>
      <w:r w:rsidRPr="002F2FDF">
        <w:rPr>
          <w:b w:val="0"/>
          <w:iCs/>
          <w:color w:val="000000" w:themeColor="text1"/>
          <w:kern w:val="2"/>
          <w:sz w:val="16"/>
          <w:szCs w:val="16"/>
        </w:rPr>
        <w:t>В марте 1917 г. первый самолет Попова, “М. П. (5)”, взлетел все с того же поля ново-николаевского ипподрома (15466).</w:t>
      </w:r>
    </w:p>
    <w:p w14:paraId="2940091F"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p>
    <w:p w14:paraId="18AAAA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марте 1917 г. в 26-м корпусном авиаотряде были проведены испытания модернизированного ВИ, на котором под давлением военного ведомства В. Иванов попытался исправить недостатки своего самолета, несколько увеличив размер элеронов и усилив добавочными растяжками шасси. Комиссия под председательством командира отряда капитана Антонова после полетов, продемонстрированных самим конструктором, и двух полетов членов комиссии отметила в акте, что машина достигла потолка 2900 м за 38,5 мин; разбег при взлете составил 140 м, при посадке - 170 м. Число оборотов двигателя в полете равнялось 1350 - 1370. Подтвердив, что самолет по-прежнему слабо слушается элеронов, комиссия в то же время пришла к выводу, что он “к работе на фронте годен, но требует большой осторожности, внимания и опытности со стороны летчика”.</w:t>
      </w:r>
    </w:p>
    <w:p w14:paraId="665DB7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Однако предубеждение против машины было столь сильно, что комиссия не могла не подчеркнуть, что “несколько случаев однотипных поломок, имевших место в отрядах дивизиона, и преждевременная гибель двух летчиков служат ярким и лучшим доказательством несовершенства самолетов этого типа, на что комиссия обращает особое внимание, считая, что производственные испытания не опровергли того, что выяснено путем печального опыта”. Заводу так и не удалось справиться с дефектами машины, продолжавшей к тому же строиться крайне небрежно (9738).</w:t>
      </w:r>
    </w:p>
    <w:p w14:paraId="344AAA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7E8AF7" w14:textId="77777777" w:rsidR="000655F6" w:rsidRPr="002F2FDF" w:rsidRDefault="000655F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марте 1917 года для испытаний аэроплана “Торпедо” военное ведомство на</w:t>
      </w:r>
      <w:r w:rsidRPr="002F2FDF">
        <w:rPr>
          <w:rFonts w:ascii="Times New Roman" w:hAnsi="Times New Roman" w:cs="Times New Roman"/>
          <w:color w:val="000000" w:themeColor="text1"/>
          <w:kern w:val="2"/>
          <w:sz w:val="16"/>
          <w:szCs w:val="16"/>
        </w:rPr>
        <w:softHyphen/>
        <w:t>значило специальную комиссию во главе с капитаном М.И. Поповым. В комиссию вхо</w:t>
      </w:r>
      <w:r w:rsidRPr="002F2FDF">
        <w:rPr>
          <w:rFonts w:ascii="Times New Roman" w:hAnsi="Times New Roman" w:cs="Times New Roman"/>
          <w:color w:val="000000" w:themeColor="text1"/>
          <w:kern w:val="2"/>
          <w:sz w:val="16"/>
          <w:szCs w:val="16"/>
        </w:rPr>
        <w:softHyphen/>
        <w:t>дили известные русские летчики Альбрехт, С. Модрах, А.Н. Северский (Прокофьев) и Слепцов (553).</w:t>
      </w:r>
    </w:p>
    <w:p w14:paraId="24A5FD19" w14:textId="77777777" w:rsidR="000655F6" w:rsidRPr="002F2FDF" w:rsidRDefault="000655F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EB79FB" w14:textId="77777777" w:rsidR="000655F6" w:rsidRPr="002F2FDF" w:rsidRDefault="000655F6"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марте 1917 г. первые два воздушных винта Григорашвили для «Анатра-ДСС» были сда</w:t>
      </w:r>
      <w:r w:rsidRPr="002F2FDF">
        <w:rPr>
          <w:rFonts w:ascii="Times New Roman" w:hAnsi="Times New Roman" w:cs="Times New Roman"/>
          <w:color w:val="000000" w:themeColor="text1"/>
          <w:kern w:val="2"/>
          <w:sz w:val="16"/>
          <w:szCs w:val="16"/>
        </w:rPr>
        <w:softHyphen/>
        <w:t>ны фабрикой Мельцер. Оснащенный таким винтом самолет по</w:t>
      </w:r>
      <w:r w:rsidRPr="002F2FDF">
        <w:rPr>
          <w:rFonts w:ascii="Times New Roman" w:hAnsi="Times New Roman" w:cs="Times New Roman"/>
          <w:color w:val="000000" w:themeColor="text1"/>
          <w:kern w:val="2"/>
          <w:sz w:val="16"/>
          <w:szCs w:val="16"/>
        </w:rPr>
        <w:softHyphen/>
        <w:t>казал прекрасные летно-технические характеристики, в том числе скорость 155 км/ч. Пропеллеры этого типа Мельцер поставил на поток, а Григорашви</w:t>
      </w:r>
      <w:r w:rsidRPr="002F2FDF">
        <w:rPr>
          <w:rFonts w:ascii="Times New Roman" w:hAnsi="Times New Roman" w:cs="Times New Roman"/>
          <w:color w:val="000000" w:themeColor="text1"/>
          <w:kern w:val="2"/>
          <w:sz w:val="16"/>
          <w:szCs w:val="16"/>
        </w:rPr>
        <w:softHyphen/>
        <w:t>ли разработал новый воздушный винт под перспективный двигатель «Сальмсон Х-9» мощностью 170 л. с. Оснащенная им новая модификация самолета «Анасаль» должна была достичь по расчетам скорости 165 км/ч (15740).</w:t>
      </w:r>
    </w:p>
    <w:p w14:paraId="7AB35A1D" w14:textId="77777777" w:rsidR="000655F6" w:rsidRPr="002F2FDF" w:rsidRDefault="000655F6"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4D94F2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марта 1917 после Февральской революции иностранные капиталисты приостановили доставку в Россию оборудования для авиационных предприятий в Москве, Симферополе, Таганроге, Рыбинске н других городах страны. Уровень производства на ряде авиационных заводов упал на 50 %. Заказы на самолеты и двигатели к сроку не были выполнены. УВВФ вынуждено было пересмотреть принятый план снабжения действующей армии самолетами.</w:t>
      </w:r>
    </w:p>
    <w:p w14:paraId="6631EF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Было решено в следующем году поставить армии 6866 самолетов, в том числе 616 армейских, 3048 корпусных, 3202 истребителя (9756). Такое число самолетов, по мнению военного ведомства, должно было обеспечить действующие и подлежащие формированию авиаотряды. Кроме того, предполагалось заказать 9390 авиационных двигателей. Подсчет реальных возможностей выполнения этой программы силами отечественных заводов привел руководителей УВВФ к неутешительным выводам. Оказалось, что из 3202 самолетов типа истребителей русские заводы могли построить только 1480. Таким образом, 1722 истребителя следовало заказать за границей. Из 3048 самолетов корпусного типа заграничные заводы должны были поставить 848 машин. 616 армейских машин также рассчитывали приобрести за границей.</w:t>
      </w:r>
    </w:p>
    <w:p w14:paraId="24C907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Еще хуже обстояло дело со снабжением авиадвигателями. Двигателей автомобильного типа необходимо было дать 5400, из них только 75 рассчитывали построить в России. Стационарных звездообразных двигателей требовалось 1330, в России можно было построить только 120. Ротативных двигателей требовалось 2660, отечественные заводы могли произвести лишь 160. Всего из 9390 авиадвигателей, подлежавших поставке в армию, только 355 можно было построить в России (9756). Никаких запасов двигателей в распоряжении военного ведомства не было.</w:t>
      </w:r>
    </w:p>
    <w:p w14:paraId="4F2342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новый план снабжения действующей армии самолетами и двигателями (9758) также не имел под собой реальной основы. Все надежды возлагались на их импорт из союзных стран (9758).</w:t>
      </w:r>
    </w:p>
    <w:p w14:paraId="16B338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в авиационных отрядах, действовавших на фронте, насчитывался 461 самолет вместо 840 положенных по табели. Следовательно, армия имела только 43% потребных самолетов. В парках к этому времени числилось 106 самолетов различных систем (9705).</w:t>
      </w:r>
    </w:p>
    <w:p w14:paraId="747CE7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39B365" w14:textId="77777777" w:rsidR="00B42572" w:rsidRPr="002F2FDF" w:rsidRDefault="00B4257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марте 1917 г. собрали «Кондор» (такое название получил «Черно</w:t>
      </w:r>
      <w:r w:rsidRPr="002F2FDF">
        <w:rPr>
          <w:rFonts w:ascii="Times New Roman" w:hAnsi="Times New Roman" w:cs="Times New Roman"/>
          <w:color w:val="000000" w:themeColor="text1"/>
          <w:sz w:val="16"/>
          <w:szCs w:val="16"/>
        </w:rPr>
        <w:softHyphen/>
        <w:t>мор» № 3), но он, не совер</w:t>
      </w:r>
      <w:r w:rsidRPr="002F2FDF">
        <w:rPr>
          <w:rFonts w:ascii="Times New Roman" w:hAnsi="Times New Roman" w:cs="Times New Roman"/>
          <w:color w:val="000000" w:themeColor="text1"/>
          <w:sz w:val="16"/>
          <w:szCs w:val="16"/>
        </w:rPr>
        <w:softHyphen/>
        <w:t>шив ни одного полёта, 14 марта сгорел в эллинге.</w:t>
      </w:r>
    </w:p>
    <w:p w14:paraId="6EA3CE2E" w14:textId="77777777" w:rsidR="00B42572" w:rsidRPr="002F2FDF" w:rsidRDefault="00B4257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Обстоятельства гибели дирижабля стали пред</w:t>
      </w:r>
      <w:r w:rsidRPr="002F2FDF">
        <w:rPr>
          <w:rFonts w:ascii="Times New Roman" w:hAnsi="Times New Roman" w:cs="Times New Roman"/>
          <w:color w:val="000000" w:themeColor="text1"/>
          <w:sz w:val="16"/>
          <w:szCs w:val="16"/>
        </w:rPr>
        <w:softHyphen/>
        <w:t>метом официального расследования комиссии, возглавлявшийся капитаном 1 ранга И.С. Кузне</w:t>
      </w:r>
      <w:r w:rsidRPr="002F2FDF">
        <w:rPr>
          <w:rFonts w:ascii="Times New Roman" w:hAnsi="Times New Roman" w:cs="Times New Roman"/>
          <w:color w:val="000000" w:themeColor="text1"/>
          <w:sz w:val="16"/>
          <w:szCs w:val="16"/>
        </w:rPr>
        <w:softHyphen/>
        <w:t>цовым, командиром трагически погибшего ли</w:t>
      </w:r>
      <w:r w:rsidRPr="002F2FDF">
        <w:rPr>
          <w:rFonts w:ascii="Times New Roman" w:hAnsi="Times New Roman" w:cs="Times New Roman"/>
          <w:color w:val="000000" w:themeColor="text1"/>
          <w:sz w:val="16"/>
          <w:szCs w:val="16"/>
        </w:rPr>
        <w:softHyphen/>
        <w:t>нейного корабля «Императрица Мария». В состав комиссии входили также капитан 1 ранга П.П. Осте- лецкий, старший лейтенант Б.Г. Юрьев, лейтенан</w:t>
      </w:r>
      <w:r w:rsidRPr="002F2FDF">
        <w:rPr>
          <w:rFonts w:ascii="Times New Roman" w:hAnsi="Times New Roman" w:cs="Times New Roman"/>
          <w:color w:val="000000" w:themeColor="text1"/>
          <w:sz w:val="16"/>
          <w:szCs w:val="16"/>
        </w:rPr>
        <w:softHyphen/>
        <w:t>ты Г.А. Фриде, В.Н. Сахаров и военно-морской сле</w:t>
      </w:r>
      <w:r w:rsidRPr="002F2FDF">
        <w:rPr>
          <w:rFonts w:ascii="Times New Roman" w:hAnsi="Times New Roman" w:cs="Times New Roman"/>
          <w:color w:val="000000" w:themeColor="text1"/>
          <w:sz w:val="16"/>
          <w:szCs w:val="16"/>
        </w:rPr>
        <w:softHyphen/>
        <w:t>дователь подполковник И.Р. Паллизен.</w:t>
      </w:r>
    </w:p>
    <w:p w14:paraId="1D29A629" w14:textId="77777777" w:rsidR="00B42572" w:rsidRPr="002F2FDF" w:rsidRDefault="00B4257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Согласно заключению комиссии обстоятель</w:t>
      </w:r>
      <w:r w:rsidRPr="002F2FDF">
        <w:rPr>
          <w:rFonts w:ascii="Times New Roman" w:hAnsi="Times New Roman" w:cs="Times New Roman"/>
          <w:color w:val="000000" w:themeColor="text1"/>
          <w:sz w:val="16"/>
          <w:szCs w:val="16"/>
        </w:rPr>
        <w:softHyphen/>
        <w:t>ства гибели дирижабля были следующие:</w:t>
      </w:r>
    </w:p>
    <w:p w14:paraId="61D838A7" w14:textId="77777777" w:rsidR="00B42572" w:rsidRPr="002F2FDF" w:rsidRDefault="00B42572" w:rsidP="0083075A">
      <w:pPr>
        <w:pStyle w:val="67"/>
        <w:shd w:val="clear" w:color="auto" w:fill="auto"/>
        <w:spacing w:before="0" w:line="240" w:lineRule="auto"/>
        <w:jc w:val="both"/>
        <w:rPr>
          <w:b w:val="0"/>
          <w:bCs w:val="0"/>
          <w:color w:val="000000" w:themeColor="text1"/>
          <w:sz w:val="16"/>
          <w:szCs w:val="16"/>
        </w:rPr>
      </w:pPr>
      <w:r w:rsidRPr="002F2FDF">
        <w:rPr>
          <w:b w:val="0"/>
          <w:bCs w:val="0"/>
          <w:color w:val="000000" w:themeColor="text1"/>
          <w:sz w:val="16"/>
          <w:szCs w:val="16"/>
        </w:rPr>
        <w:t>Утром 14-го марта 1917 года дирижабль «Кондор» находился в эллинге переносного типа, в состоянии почти полной готовности и оставались лишь мелкие работы, дня на три по отакелаживанию его. В этот день с утра дул свежий зюйд, к 10 часам усилившийся до 8 баллов; парусиновую покрышку эллинга сильно тре</w:t>
      </w:r>
      <w:r w:rsidRPr="002F2FDF">
        <w:rPr>
          <w:b w:val="0"/>
          <w:bCs w:val="0"/>
          <w:color w:val="000000" w:themeColor="text1"/>
          <w:sz w:val="16"/>
          <w:szCs w:val="16"/>
        </w:rPr>
        <w:softHyphen/>
        <w:t>пало, а в начале одиннадцатого часа лопнула шнуров</w:t>
      </w:r>
      <w:r w:rsidRPr="002F2FDF">
        <w:rPr>
          <w:b w:val="0"/>
          <w:bCs w:val="0"/>
          <w:color w:val="000000" w:themeColor="text1"/>
          <w:sz w:val="16"/>
          <w:szCs w:val="16"/>
        </w:rPr>
        <w:softHyphen/>
        <w:t>ка ворот, и ветер, получивший доступ внутрь эллинга, начал сильно раскачивать дирижабль; явилось опасе</w:t>
      </w:r>
      <w:r w:rsidRPr="002F2FDF">
        <w:rPr>
          <w:b w:val="0"/>
          <w:bCs w:val="0"/>
          <w:color w:val="000000" w:themeColor="text1"/>
          <w:sz w:val="16"/>
          <w:szCs w:val="16"/>
        </w:rPr>
        <w:softHyphen/>
        <w:t>ние, что его оболочка, гондолы и стабилизаторы могут быть повреждены, а так как вскоре напором ветра стало расшатывать арки эллинга и парусиновая покрышка в разных местах начала лопаться, то не было сомнения, что парусина на боках эллинга будет сорвана и ничем не защищенный от ветра дирижабль будет разорван о железные арки и приведён в полную негодность. На</w:t>
      </w:r>
      <w:r w:rsidRPr="002F2FDF">
        <w:rPr>
          <w:b w:val="0"/>
          <w:bCs w:val="0"/>
          <w:color w:val="000000" w:themeColor="text1"/>
          <w:sz w:val="16"/>
          <w:szCs w:val="16"/>
        </w:rPr>
        <w:softHyphen/>
        <w:t>чальник дивизиона, посоветовавшись с офицерами, решил разоружить дирижабль и выпустить из него газ, о чём и доложил начальнику Воздушной дивизии.</w:t>
      </w:r>
    </w:p>
    <w:p w14:paraId="3F023CA1" w14:textId="77777777" w:rsidR="00B42572" w:rsidRPr="002F2FDF" w:rsidRDefault="00B42572" w:rsidP="0083075A">
      <w:pPr>
        <w:pStyle w:val="67"/>
        <w:shd w:val="clear" w:color="auto" w:fill="auto"/>
        <w:spacing w:before="0" w:line="240" w:lineRule="auto"/>
        <w:jc w:val="both"/>
        <w:rPr>
          <w:b w:val="0"/>
          <w:bCs w:val="0"/>
          <w:color w:val="000000" w:themeColor="text1"/>
          <w:sz w:val="16"/>
          <w:szCs w:val="16"/>
        </w:rPr>
      </w:pPr>
      <w:r w:rsidRPr="002F2FDF">
        <w:rPr>
          <w:b w:val="0"/>
          <w:bCs w:val="0"/>
          <w:color w:val="000000" w:themeColor="text1"/>
          <w:sz w:val="16"/>
          <w:szCs w:val="16"/>
        </w:rPr>
        <w:t>Дирижабль перевели вглубь эллинга, насколько было возможно, чтобы вывести его из непосредствен</w:t>
      </w:r>
      <w:r w:rsidRPr="002F2FDF">
        <w:rPr>
          <w:b w:val="0"/>
          <w:bCs w:val="0"/>
          <w:color w:val="000000" w:themeColor="text1"/>
          <w:sz w:val="16"/>
          <w:szCs w:val="16"/>
        </w:rPr>
        <w:softHyphen/>
        <w:t>ного влияния ветра и приступили к быстрому разору</w:t>
      </w:r>
      <w:r w:rsidRPr="002F2FDF">
        <w:rPr>
          <w:b w:val="0"/>
          <w:bCs w:val="0"/>
          <w:color w:val="000000" w:themeColor="text1"/>
          <w:sz w:val="16"/>
          <w:szCs w:val="16"/>
        </w:rPr>
        <w:softHyphen/>
        <w:t>жению: отняли и отнесли в сторону гондолу, заменив её вес грузами, сняли киль и стали снимать горизон</w:t>
      </w:r>
      <w:r w:rsidRPr="002F2FDF">
        <w:rPr>
          <w:b w:val="0"/>
          <w:bCs w:val="0"/>
          <w:color w:val="000000" w:themeColor="text1"/>
          <w:sz w:val="16"/>
          <w:szCs w:val="16"/>
        </w:rPr>
        <w:softHyphen/>
        <w:t>тальные стабилизаторы. Вместе с тем приступили к медленному выпуску газа через среднее разрывное приспособление. Быстрый выпуск газа одновременно через все три разрывные приспособления был при</w:t>
      </w:r>
      <w:r w:rsidRPr="002F2FDF">
        <w:rPr>
          <w:b w:val="0"/>
          <w:bCs w:val="0"/>
          <w:color w:val="000000" w:themeColor="text1"/>
          <w:sz w:val="16"/>
          <w:szCs w:val="16"/>
        </w:rPr>
        <w:softHyphen/>
        <w:t>знан невозможным, ввиду опасения отравления ра</w:t>
      </w:r>
      <w:r w:rsidRPr="002F2FDF">
        <w:rPr>
          <w:b w:val="0"/>
          <w:bCs w:val="0"/>
          <w:color w:val="000000" w:themeColor="text1"/>
          <w:sz w:val="16"/>
          <w:szCs w:val="16"/>
        </w:rPr>
        <w:softHyphen/>
        <w:t>ботающих кругом людей, находившихся в закрытом помещении. Способ медленного выпуска наиболее надёжным образом обеспечивал как целость самой оболочки, так и самых нежных частей — стабилизато</w:t>
      </w:r>
      <w:r w:rsidRPr="002F2FDF">
        <w:rPr>
          <w:b w:val="0"/>
          <w:bCs w:val="0"/>
          <w:color w:val="000000" w:themeColor="text1"/>
          <w:sz w:val="16"/>
          <w:szCs w:val="16"/>
        </w:rPr>
        <w:softHyphen/>
        <w:t>ров. При этой работе в эллинге было оставлено толь</w:t>
      </w:r>
      <w:r w:rsidRPr="002F2FDF">
        <w:rPr>
          <w:b w:val="0"/>
          <w:bCs w:val="0"/>
          <w:color w:val="000000" w:themeColor="text1"/>
          <w:sz w:val="16"/>
          <w:szCs w:val="16"/>
        </w:rPr>
        <w:softHyphen/>
        <w:t>ко самое ограниченное и необходимое число людей, остальные высланы наружу, все офицеры с начальни</w:t>
      </w:r>
      <w:r w:rsidRPr="002F2FDF">
        <w:rPr>
          <w:b w:val="0"/>
          <w:bCs w:val="0"/>
          <w:color w:val="000000" w:themeColor="text1"/>
          <w:sz w:val="16"/>
          <w:szCs w:val="16"/>
        </w:rPr>
        <w:softHyphen/>
        <w:t>ком дивизиона оставались в эллинге, руководя, и соб</w:t>
      </w:r>
      <w:r w:rsidRPr="002F2FDF">
        <w:rPr>
          <w:b w:val="0"/>
          <w:bCs w:val="0"/>
          <w:color w:val="000000" w:themeColor="text1"/>
          <w:sz w:val="16"/>
          <w:szCs w:val="16"/>
        </w:rPr>
        <w:softHyphen/>
        <w:t>ственноручно работали. Между тем покрышка эл</w:t>
      </w:r>
      <w:r w:rsidRPr="002F2FDF">
        <w:rPr>
          <w:b w:val="0"/>
          <w:bCs w:val="0"/>
          <w:color w:val="000000" w:themeColor="text1"/>
          <w:sz w:val="16"/>
          <w:szCs w:val="16"/>
        </w:rPr>
        <w:softHyphen/>
        <w:t>линга продолжала лопаться, лопались между арками горизонтальные тросы, весь эллинг ходил, а оставша</w:t>
      </w:r>
      <w:r w:rsidRPr="002F2FDF">
        <w:rPr>
          <w:b w:val="0"/>
          <w:bCs w:val="0"/>
          <w:color w:val="000000" w:themeColor="text1"/>
          <w:sz w:val="16"/>
          <w:szCs w:val="16"/>
        </w:rPr>
        <w:softHyphen/>
        <w:t>яся половина ворот сильно полоскала и раскачивала первую арку. Становилось ясным, что необходимо для спасения оболочки дирижабля поскорее выпустить газ; тогда было приказано сорвать носовой разрывной лоскут, что и было выполнено. Вскоре, минуты через полторы, вверху послышался короткий, глухой звук, как от взрыва, и бывшие в эллинге увидели, что всё пространство между крышей и носовой частью дири</w:t>
      </w:r>
      <w:r w:rsidRPr="002F2FDF">
        <w:rPr>
          <w:b w:val="0"/>
          <w:bCs w:val="0"/>
          <w:color w:val="000000" w:themeColor="text1"/>
          <w:sz w:val="16"/>
          <w:szCs w:val="16"/>
        </w:rPr>
        <w:softHyphen/>
        <w:t>жабля охвачено пламенем. Очевидность взрыва газа заставила всех немедленно покинуть эллинг, причём распространение пожара было настолько быстрым, что некоторые были настигнуты пламенем и получи</w:t>
      </w:r>
      <w:r w:rsidRPr="002F2FDF">
        <w:rPr>
          <w:b w:val="0"/>
          <w:bCs w:val="0"/>
          <w:color w:val="000000" w:themeColor="text1"/>
          <w:sz w:val="16"/>
          <w:szCs w:val="16"/>
        </w:rPr>
        <w:softHyphen/>
        <w:t>ли ожоги, при этом больше всех пострадал начальник дивизиона, получивший серьёзные ожоги кистей рук и менее сильные головы, шеи и лица. Через несколь</w:t>
      </w:r>
      <w:r w:rsidRPr="002F2FDF">
        <w:rPr>
          <w:b w:val="0"/>
          <w:bCs w:val="0"/>
          <w:color w:val="000000" w:themeColor="text1"/>
          <w:sz w:val="16"/>
          <w:szCs w:val="16"/>
        </w:rPr>
        <w:softHyphen/>
        <w:t>ко секунд после первого взрыва последовал второй, и весь эллинг был охвачен пламенем. Развитию по</w:t>
      </w:r>
      <w:r w:rsidRPr="002F2FDF">
        <w:rPr>
          <w:b w:val="0"/>
          <w:bCs w:val="0"/>
          <w:color w:val="000000" w:themeColor="text1"/>
          <w:sz w:val="16"/>
          <w:szCs w:val="16"/>
        </w:rPr>
        <w:softHyphen/>
        <w:t>жара значительно способствовало и то, что воспла</w:t>
      </w:r>
      <w:r w:rsidRPr="002F2FDF">
        <w:rPr>
          <w:b w:val="0"/>
          <w:bCs w:val="0"/>
          <w:color w:val="000000" w:themeColor="text1"/>
          <w:sz w:val="16"/>
          <w:szCs w:val="16"/>
        </w:rPr>
        <w:softHyphen/>
        <w:t>менился бензин из лопнувших баков гондолы. Кроме двух главных взрывов было слышно ещё два меньшей силы — это взорвались два газгольдера.</w:t>
      </w:r>
    </w:p>
    <w:p w14:paraId="53DCBDC9" w14:textId="77777777" w:rsidR="00B42572" w:rsidRPr="002F2FDF" w:rsidRDefault="00B42572" w:rsidP="0083075A">
      <w:pPr>
        <w:pStyle w:val="67"/>
        <w:shd w:val="clear" w:color="auto" w:fill="auto"/>
        <w:spacing w:before="0" w:line="240" w:lineRule="auto"/>
        <w:jc w:val="both"/>
        <w:rPr>
          <w:b w:val="0"/>
          <w:bCs w:val="0"/>
          <w:color w:val="000000" w:themeColor="text1"/>
          <w:sz w:val="16"/>
          <w:szCs w:val="16"/>
        </w:rPr>
      </w:pPr>
      <w:r w:rsidRPr="002F2FDF">
        <w:rPr>
          <w:b w:val="0"/>
          <w:bCs w:val="0"/>
          <w:color w:val="000000" w:themeColor="text1"/>
          <w:sz w:val="16"/>
          <w:szCs w:val="16"/>
        </w:rPr>
        <w:t>Приблизительно через полчаса от эллинга и дири</w:t>
      </w:r>
      <w:r w:rsidRPr="002F2FDF">
        <w:rPr>
          <w:b w:val="0"/>
          <w:bCs w:val="0"/>
          <w:color w:val="000000" w:themeColor="text1"/>
          <w:sz w:val="16"/>
          <w:szCs w:val="16"/>
        </w:rPr>
        <w:softHyphen/>
        <w:t>жабля остались только железные арки эллинга и мото</w:t>
      </w:r>
      <w:r w:rsidRPr="002F2FDF">
        <w:rPr>
          <w:b w:val="0"/>
          <w:bCs w:val="0"/>
          <w:color w:val="000000" w:themeColor="text1"/>
          <w:sz w:val="16"/>
          <w:szCs w:val="16"/>
        </w:rPr>
        <w:softHyphen/>
        <w:t>ры дирижабля.</w:t>
      </w:r>
    </w:p>
    <w:p w14:paraId="5669A4EE" w14:textId="77777777" w:rsidR="00B42572" w:rsidRPr="002F2FDF" w:rsidRDefault="00B42572" w:rsidP="0083075A">
      <w:pPr>
        <w:pStyle w:val="67"/>
        <w:shd w:val="clear" w:color="auto" w:fill="auto"/>
        <w:spacing w:before="0" w:line="240" w:lineRule="auto"/>
        <w:jc w:val="both"/>
        <w:rPr>
          <w:b w:val="0"/>
          <w:bCs w:val="0"/>
          <w:color w:val="000000" w:themeColor="text1"/>
          <w:sz w:val="16"/>
          <w:szCs w:val="16"/>
        </w:rPr>
      </w:pPr>
      <w:r w:rsidRPr="002F2FDF">
        <w:rPr>
          <w:b w:val="0"/>
          <w:bCs w:val="0"/>
          <w:color w:val="000000" w:themeColor="text1"/>
          <w:sz w:val="16"/>
          <w:szCs w:val="16"/>
        </w:rPr>
        <w:t>Во время пожара предпринимались рискованные попытки к спасению имущества, — так был выброшен сундук с инструментами, но сделать что-либо более не представлялось возможным80.</w:t>
      </w:r>
    </w:p>
    <w:p w14:paraId="2DE9214B" w14:textId="77777777" w:rsidR="00B42572" w:rsidRPr="002F2FDF" w:rsidRDefault="00B4257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Относительно причин катастрофы комиссия пришла к заключению, что «в данном случае, несомненно, произошёл взрыв горючей смеси, образовавшейся при выпуске водорода из обо</w:t>
      </w:r>
      <w:r w:rsidRPr="002F2FDF">
        <w:rPr>
          <w:rFonts w:ascii="Times New Roman" w:hAnsi="Times New Roman" w:cs="Times New Roman"/>
          <w:color w:val="000000" w:themeColor="text1"/>
          <w:sz w:val="16"/>
          <w:szCs w:val="16"/>
        </w:rPr>
        <w:softHyphen/>
        <w:t>лочки дирижабля». Сложнее было определить, почему произошло воспламенение гремучей смеси. Рассматривались три варианта, каждый из которых был связан с нарушением жёсткости конструкции каркаса эллинга под ударами по</w:t>
      </w:r>
      <w:r w:rsidRPr="002F2FDF">
        <w:rPr>
          <w:rFonts w:ascii="Times New Roman" w:hAnsi="Times New Roman" w:cs="Times New Roman"/>
          <w:color w:val="000000" w:themeColor="text1"/>
          <w:sz w:val="16"/>
          <w:szCs w:val="16"/>
        </w:rPr>
        <w:softHyphen/>
        <w:t>рывов ветра: нагрев от трения соприкасающихся рёбер железных арок; нагревание до обугливания линя, соединявшего в виде шнуровки полотнище парусиновой покрышки эллинга, при трении его о люверсы; и, наконец, искра, вызванная ударом конца лопнувшего горизонтального троса о же</w:t>
      </w:r>
      <w:r w:rsidRPr="002F2FDF">
        <w:rPr>
          <w:rFonts w:ascii="Times New Roman" w:hAnsi="Times New Roman" w:cs="Times New Roman"/>
          <w:color w:val="000000" w:themeColor="text1"/>
          <w:sz w:val="16"/>
          <w:szCs w:val="16"/>
        </w:rPr>
        <w:softHyphen/>
        <w:t>лезо арок, или нагревание троса или вплетённо</w:t>
      </w:r>
      <w:r w:rsidRPr="002F2FDF">
        <w:rPr>
          <w:rFonts w:ascii="Times New Roman" w:hAnsi="Times New Roman" w:cs="Times New Roman"/>
          <w:color w:val="000000" w:themeColor="text1"/>
          <w:sz w:val="16"/>
          <w:szCs w:val="16"/>
        </w:rPr>
        <w:softHyphen/>
        <w:t>го в него болта в месте разрыва. Воспламенению способствовала сухая погода и, возможно, пыль в эллинге, которая значительно понижала темпе</w:t>
      </w:r>
      <w:r w:rsidRPr="002F2FDF">
        <w:rPr>
          <w:rFonts w:ascii="Times New Roman" w:hAnsi="Times New Roman" w:cs="Times New Roman"/>
          <w:color w:val="000000" w:themeColor="text1"/>
          <w:sz w:val="16"/>
          <w:szCs w:val="16"/>
        </w:rPr>
        <w:softHyphen/>
        <w:t>ратуру вспышки чистого водорода.</w:t>
      </w:r>
    </w:p>
    <w:p w14:paraId="63AF0420" w14:textId="77777777" w:rsidR="00B42572" w:rsidRPr="002F2FDF" w:rsidRDefault="00B4257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Комиссия не нашла признаков злого умысла или небрежности личного состава дивизиона, но указала на устарелость конструкции эллинга, «не обеспечивающей в должной мере долговре</w:t>
      </w:r>
      <w:r w:rsidRPr="002F2FDF">
        <w:rPr>
          <w:rFonts w:ascii="Times New Roman" w:hAnsi="Times New Roman" w:cs="Times New Roman"/>
          <w:color w:val="000000" w:themeColor="text1"/>
          <w:sz w:val="16"/>
          <w:szCs w:val="16"/>
        </w:rPr>
        <w:softHyphen/>
        <w:t>менное хранение дирижабля в собранном виде, что, в свою очередь, вызывалось военными тре</w:t>
      </w:r>
      <w:r w:rsidRPr="002F2FDF">
        <w:rPr>
          <w:rFonts w:ascii="Times New Roman" w:hAnsi="Times New Roman" w:cs="Times New Roman"/>
          <w:color w:val="000000" w:themeColor="text1"/>
          <w:sz w:val="16"/>
          <w:szCs w:val="16"/>
        </w:rPr>
        <w:softHyphen/>
        <w:t>бованиями». Она признавалась слишком лёгкой, части эллинга были изношены, отсутствовали приспособления для вентиляции. К моменту катастрофы эллинг в собранном виде простоял около шести месяцев.</w:t>
      </w:r>
    </w:p>
    <w:p w14:paraId="4C3E1D36" w14:textId="77777777" w:rsidR="00B42572" w:rsidRPr="002F2FDF" w:rsidRDefault="00B4257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Комиссия отметила «распорядительность, за</w:t>
      </w:r>
      <w:r w:rsidRPr="002F2FDF">
        <w:rPr>
          <w:rFonts w:ascii="Times New Roman" w:hAnsi="Times New Roman" w:cs="Times New Roman"/>
          <w:color w:val="000000" w:themeColor="text1"/>
          <w:sz w:val="16"/>
          <w:szCs w:val="16"/>
        </w:rPr>
        <w:softHyphen/>
        <w:t>боту и целесообразность действий начальствую</w:t>
      </w:r>
      <w:r w:rsidRPr="002F2FDF">
        <w:rPr>
          <w:rFonts w:ascii="Times New Roman" w:hAnsi="Times New Roman" w:cs="Times New Roman"/>
          <w:color w:val="000000" w:themeColor="text1"/>
          <w:sz w:val="16"/>
          <w:szCs w:val="16"/>
        </w:rPr>
        <w:softHyphen/>
        <w:t>щего состава», своевременно выведших лишних людей из эллинга и сумевших избежать жертв, а также самоотверженную работу младших чинов (20120).</w:t>
      </w:r>
    </w:p>
    <w:p w14:paraId="05F37571" w14:textId="77777777" w:rsidR="00B42572" w:rsidRPr="002F2FDF" w:rsidRDefault="00B4257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Эмигрировавший в 1906 г. в США начальник Владивостокского воздухоплавательного пар</w:t>
      </w:r>
      <w:r w:rsidRPr="002F2FDF">
        <w:rPr>
          <w:rFonts w:ascii="Times New Roman" w:hAnsi="Times New Roman" w:cs="Times New Roman"/>
          <w:color w:val="000000" w:themeColor="text1"/>
          <w:sz w:val="16"/>
          <w:szCs w:val="16"/>
        </w:rPr>
        <w:softHyphen/>
        <w:t>ка подполковник-инженер Ф.А. Постников был скорее свидетелем, чем участником революции 1905 г., но клеймо неблагонадёжного препят</w:t>
      </w:r>
      <w:r w:rsidRPr="002F2FDF">
        <w:rPr>
          <w:rFonts w:ascii="Times New Roman" w:hAnsi="Times New Roman" w:cs="Times New Roman"/>
          <w:color w:val="000000" w:themeColor="text1"/>
          <w:sz w:val="16"/>
          <w:szCs w:val="16"/>
        </w:rPr>
        <w:softHyphen/>
        <w:t>ствовало его возвращению на родину. Поэтому 21 марта 1917 г. он поступил старшим лейтенан</w:t>
      </w:r>
      <w:r w:rsidRPr="002F2FDF">
        <w:rPr>
          <w:rFonts w:ascii="Times New Roman" w:hAnsi="Times New Roman" w:cs="Times New Roman"/>
          <w:color w:val="000000" w:themeColor="text1"/>
          <w:sz w:val="16"/>
          <w:szCs w:val="16"/>
        </w:rPr>
        <w:softHyphen/>
        <w:t>том в Авиационную секцию Корпуса связи Ар</w:t>
      </w:r>
      <w:r w:rsidRPr="002F2FDF">
        <w:rPr>
          <w:rFonts w:ascii="Times New Roman" w:hAnsi="Times New Roman" w:cs="Times New Roman"/>
          <w:color w:val="000000" w:themeColor="text1"/>
          <w:sz w:val="16"/>
          <w:szCs w:val="16"/>
        </w:rPr>
        <w:softHyphen/>
        <w:t xml:space="preserve">мии США. Имея опыт применения змейковых аэростатов в годы русско-японской войны, он, получив 21 июля 1917 г. звание </w:t>
      </w:r>
      <w:r w:rsidRPr="002F2FDF">
        <w:rPr>
          <w:rFonts w:ascii="Times New Roman" w:hAnsi="Times New Roman" w:cs="Times New Roman"/>
          <w:color w:val="000000" w:themeColor="text1"/>
          <w:sz w:val="16"/>
          <w:szCs w:val="16"/>
        </w:rPr>
        <w:lastRenderedPageBreak/>
        <w:t>капитана, в долж</w:t>
      </w:r>
      <w:r w:rsidRPr="002F2FDF">
        <w:rPr>
          <w:rFonts w:ascii="Times New Roman" w:hAnsi="Times New Roman" w:cs="Times New Roman"/>
          <w:color w:val="000000" w:themeColor="text1"/>
          <w:sz w:val="16"/>
          <w:szCs w:val="16"/>
        </w:rPr>
        <w:softHyphen/>
        <w:t>ности младшего военного лётчика обучал аме</w:t>
      </w:r>
      <w:r w:rsidRPr="002F2FDF">
        <w:rPr>
          <w:rFonts w:ascii="Times New Roman" w:hAnsi="Times New Roman" w:cs="Times New Roman"/>
          <w:color w:val="000000" w:themeColor="text1"/>
          <w:sz w:val="16"/>
          <w:szCs w:val="16"/>
        </w:rPr>
        <w:softHyphen/>
        <w:t>риканских воздухоплавателей в Форте Омаха (шт. Небраска). В январе-мае 1918 г. в качестве приглашённого авиационного инженера он уча</w:t>
      </w:r>
      <w:r w:rsidRPr="002F2FDF">
        <w:rPr>
          <w:rFonts w:ascii="Times New Roman" w:hAnsi="Times New Roman" w:cs="Times New Roman"/>
          <w:color w:val="000000" w:themeColor="text1"/>
          <w:sz w:val="16"/>
          <w:szCs w:val="16"/>
        </w:rPr>
        <w:softHyphen/>
        <w:t>ствовал в экспериментальных работах и разра</w:t>
      </w:r>
      <w:r w:rsidRPr="002F2FDF">
        <w:rPr>
          <w:rFonts w:ascii="Times New Roman" w:hAnsi="Times New Roman" w:cs="Times New Roman"/>
          <w:color w:val="000000" w:themeColor="text1"/>
          <w:sz w:val="16"/>
          <w:szCs w:val="16"/>
        </w:rPr>
        <w:softHyphen/>
        <w:t>ботке дирижаблей на фирме «Гудиер» (20120).</w:t>
      </w:r>
    </w:p>
    <w:p w14:paraId="67ED14D7" w14:textId="77777777" w:rsidR="00B42572" w:rsidRPr="002F2FDF" w:rsidRDefault="00B42572" w:rsidP="0083075A">
      <w:pPr>
        <w:pStyle w:val="281"/>
        <w:shd w:val="clear" w:color="auto" w:fill="auto"/>
        <w:spacing w:after="0" w:line="240" w:lineRule="auto"/>
        <w:jc w:val="both"/>
        <w:rPr>
          <w:rFonts w:ascii="Times New Roman" w:hAnsi="Times New Roman" w:cs="Times New Roman"/>
          <w:color w:val="000000" w:themeColor="text1"/>
          <w:sz w:val="16"/>
          <w:szCs w:val="16"/>
        </w:rPr>
      </w:pPr>
    </w:p>
    <w:p w14:paraId="03DF058A" w14:textId="77777777" w:rsidR="00D44956" w:rsidRPr="002F2FDF" w:rsidRDefault="00D4495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марте 1917 г. собрали «Кондор» (такое название получил «Черно</w:t>
      </w:r>
      <w:r w:rsidRPr="002F2FDF">
        <w:rPr>
          <w:rFonts w:ascii="Times New Roman" w:hAnsi="Times New Roman" w:cs="Times New Roman"/>
          <w:color w:val="000000" w:themeColor="text1"/>
          <w:sz w:val="16"/>
          <w:szCs w:val="16"/>
        </w:rPr>
        <w:softHyphen/>
        <w:t>мор» № 3), но он, не совер</w:t>
      </w:r>
      <w:r w:rsidRPr="002F2FDF">
        <w:rPr>
          <w:rFonts w:ascii="Times New Roman" w:hAnsi="Times New Roman" w:cs="Times New Roman"/>
          <w:color w:val="000000" w:themeColor="text1"/>
          <w:sz w:val="16"/>
          <w:szCs w:val="16"/>
        </w:rPr>
        <w:softHyphen/>
        <w:t>шив ни одного полёта, 14 марта сгорел в эллинге (20120).</w:t>
      </w:r>
    </w:p>
    <w:p w14:paraId="1DE43921" w14:textId="77777777" w:rsidR="00D44956" w:rsidRPr="002F2FDF" w:rsidRDefault="00D44956" w:rsidP="0083075A">
      <w:pPr>
        <w:spacing w:after="0" w:line="240" w:lineRule="auto"/>
        <w:jc w:val="both"/>
        <w:rPr>
          <w:rFonts w:ascii="Times New Roman" w:hAnsi="Times New Roman" w:cs="Times New Roman"/>
          <w:color w:val="000000" w:themeColor="text1"/>
          <w:sz w:val="16"/>
          <w:szCs w:val="16"/>
        </w:rPr>
      </w:pPr>
    </w:p>
    <w:p w14:paraId="57707117" w14:textId="77777777" w:rsidR="00D44956" w:rsidRPr="002F2FDF" w:rsidRDefault="00D44956"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марте 1917 г. инспектор воздухоплавания Се</w:t>
      </w:r>
      <w:r w:rsidRPr="002F2FDF">
        <w:rPr>
          <w:rFonts w:ascii="Times New Roman" w:hAnsi="Times New Roman" w:cs="Times New Roman"/>
          <w:color w:val="000000" w:themeColor="text1"/>
          <w:sz w:val="16"/>
          <w:szCs w:val="16"/>
        </w:rPr>
        <w:softHyphen/>
        <w:t>верного фронта приложил к своему докладу та</w:t>
      </w:r>
      <w:r w:rsidRPr="002F2FDF">
        <w:rPr>
          <w:rFonts w:ascii="Times New Roman" w:hAnsi="Times New Roman" w:cs="Times New Roman"/>
          <w:color w:val="000000" w:themeColor="text1"/>
          <w:sz w:val="16"/>
          <w:szCs w:val="16"/>
        </w:rPr>
        <w:softHyphen/>
        <w:t>блицу о способах получения водорода воздухо</w:t>
      </w:r>
      <w:r w:rsidRPr="002F2FDF">
        <w:rPr>
          <w:rFonts w:ascii="Times New Roman" w:hAnsi="Times New Roman" w:cs="Times New Roman"/>
          <w:color w:val="000000" w:themeColor="text1"/>
          <w:sz w:val="16"/>
          <w:szCs w:val="16"/>
        </w:rPr>
        <w:softHyphen/>
        <w:t>плавательными отрядами</w:t>
      </w:r>
    </w:p>
    <w:p w14:paraId="0FAF71D9" w14:textId="77777777" w:rsidR="00D44956" w:rsidRPr="002F2FDF" w:rsidRDefault="00D44956" w:rsidP="0083075A">
      <w:pPr>
        <w:shd w:val="clear" w:color="auto" w:fill="FFFFFF"/>
        <w:spacing w:after="0" w:line="240" w:lineRule="auto"/>
        <w:jc w:val="both"/>
        <w:rPr>
          <w:rFonts w:ascii="Times New Roman" w:hAnsi="Times New Roman" w:cs="Times New Roman"/>
          <w:color w:val="000000" w:themeColor="text1"/>
          <w:sz w:val="16"/>
          <w:szCs w:val="16"/>
        </w:rPr>
      </w:pPr>
      <w:bookmarkStart w:id="71" w:name="bookmark33"/>
      <w:r w:rsidRPr="002F2FDF">
        <w:rPr>
          <w:rFonts w:ascii="Times New Roman" w:hAnsi="Times New Roman" w:cs="Times New Roman"/>
          <w:color w:val="000000" w:themeColor="text1"/>
          <w:sz w:val="16"/>
          <w:szCs w:val="16"/>
        </w:rPr>
        <w:t>Способы добычи водорода воздухоплавательными отр ядами Северного фронта за март 1917 г.</w:t>
      </w:r>
      <w:bookmarkEnd w:id="71"/>
    </w:p>
    <w:tbl>
      <w:tblPr>
        <w:tblW w:w="0" w:type="auto"/>
        <w:jc w:val="center"/>
        <w:tblLayout w:type="fixed"/>
        <w:tblCellMar>
          <w:left w:w="10" w:type="dxa"/>
          <w:right w:w="10" w:type="dxa"/>
        </w:tblCellMar>
        <w:tblLook w:val="04A0" w:firstRow="1" w:lastRow="0" w:firstColumn="1" w:lastColumn="0" w:noHBand="0" w:noVBand="1"/>
      </w:tblPr>
      <w:tblGrid>
        <w:gridCol w:w="2002"/>
        <w:gridCol w:w="1291"/>
        <w:gridCol w:w="1632"/>
        <w:gridCol w:w="1843"/>
        <w:gridCol w:w="1397"/>
        <w:gridCol w:w="1646"/>
      </w:tblGrid>
      <w:tr w:rsidR="002B1C74" w:rsidRPr="002F2FDF" w14:paraId="52010814" w14:textId="77777777" w:rsidTr="00920A70">
        <w:trPr>
          <w:trHeight w:val="480"/>
          <w:jc w:val="center"/>
        </w:trPr>
        <w:tc>
          <w:tcPr>
            <w:tcW w:w="2002" w:type="dxa"/>
            <w:tcBorders>
              <w:top w:val="single" w:sz="4" w:space="0" w:color="auto"/>
              <w:left w:val="single" w:sz="4" w:space="0" w:color="auto"/>
              <w:bottom w:val="single" w:sz="4" w:space="0" w:color="auto"/>
              <w:right w:val="single" w:sz="4" w:space="0" w:color="auto"/>
            </w:tcBorders>
            <w:shd w:val="clear" w:color="auto" w:fill="FFFFFF"/>
          </w:tcPr>
          <w:p w14:paraId="58AF5A49" w14:textId="77777777" w:rsidR="00D44956" w:rsidRPr="002F2FDF" w:rsidRDefault="00D44956" w:rsidP="0083075A">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Количество отрядов на фронте</w:t>
            </w:r>
          </w:p>
        </w:tc>
        <w:tc>
          <w:tcPr>
            <w:tcW w:w="1291" w:type="dxa"/>
            <w:tcBorders>
              <w:top w:val="single" w:sz="4" w:space="0" w:color="auto"/>
              <w:left w:val="single" w:sz="4" w:space="0" w:color="auto"/>
              <w:bottom w:val="single" w:sz="4" w:space="0" w:color="auto"/>
              <w:right w:val="single" w:sz="4" w:space="0" w:color="auto"/>
            </w:tcBorders>
            <w:shd w:val="clear" w:color="auto" w:fill="FFFFFF"/>
          </w:tcPr>
          <w:p w14:paraId="5A279529" w14:textId="77777777" w:rsidR="00D44956" w:rsidRPr="002F2FDF" w:rsidRDefault="00D44956" w:rsidP="0083075A">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Щёлочной способ</w:t>
            </w:r>
          </w:p>
        </w:tc>
        <w:tc>
          <w:tcPr>
            <w:tcW w:w="1632" w:type="dxa"/>
            <w:tcBorders>
              <w:top w:val="single" w:sz="4" w:space="0" w:color="auto"/>
              <w:left w:val="single" w:sz="4" w:space="0" w:color="auto"/>
              <w:bottom w:val="single" w:sz="4" w:space="0" w:color="auto"/>
              <w:right w:val="single" w:sz="4" w:space="0" w:color="auto"/>
            </w:tcBorders>
            <w:shd w:val="clear" w:color="auto" w:fill="FFFFFF"/>
          </w:tcPr>
          <w:p w14:paraId="3B921C4A" w14:textId="77777777" w:rsidR="00D44956" w:rsidRPr="002F2FDF" w:rsidRDefault="00D44956" w:rsidP="0083075A">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Силиколевый способ</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6F5406EA" w14:textId="77777777" w:rsidR="00D44956" w:rsidRPr="002F2FDF" w:rsidRDefault="00D44956" w:rsidP="0083075A">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Баллоны высокого давления</w:t>
            </w:r>
          </w:p>
        </w:tc>
        <w:tc>
          <w:tcPr>
            <w:tcW w:w="1397" w:type="dxa"/>
            <w:tcBorders>
              <w:top w:val="single" w:sz="4" w:space="0" w:color="auto"/>
              <w:left w:val="single" w:sz="4" w:space="0" w:color="auto"/>
              <w:bottom w:val="single" w:sz="4" w:space="0" w:color="auto"/>
              <w:right w:val="single" w:sz="4" w:space="0" w:color="auto"/>
            </w:tcBorders>
            <w:shd w:val="clear" w:color="auto" w:fill="FFFFFF"/>
          </w:tcPr>
          <w:p w14:paraId="059A3C84" w14:textId="77777777" w:rsidR="00D44956" w:rsidRPr="002F2FDF" w:rsidRDefault="00D44956" w:rsidP="0083075A">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Смешанный способ</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09105106" w14:textId="77777777" w:rsidR="00D44956" w:rsidRPr="002F2FDF" w:rsidRDefault="00D44956" w:rsidP="0083075A">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Примечания</w:t>
            </w:r>
          </w:p>
        </w:tc>
      </w:tr>
      <w:tr w:rsidR="002B1C74" w:rsidRPr="002F2FDF" w14:paraId="333D66BA" w14:textId="77777777" w:rsidTr="00920A70">
        <w:trPr>
          <w:trHeight w:val="480"/>
          <w:jc w:val="center"/>
        </w:trPr>
        <w:tc>
          <w:tcPr>
            <w:tcW w:w="2002" w:type="dxa"/>
            <w:tcBorders>
              <w:top w:val="single" w:sz="4" w:space="0" w:color="auto"/>
              <w:left w:val="single" w:sz="4" w:space="0" w:color="auto"/>
              <w:bottom w:val="single" w:sz="4" w:space="0" w:color="auto"/>
              <w:right w:val="single" w:sz="4" w:space="0" w:color="auto"/>
            </w:tcBorders>
            <w:shd w:val="clear" w:color="auto" w:fill="FFFFFF"/>
          </w:tcPr>
          <w:p w14:paraId="0C9FCA40" w14:textId="77777777" w:rsidR="00D44956" w:rsidRPr="002F2FDF" w:rsidRDefault="00D44956" w:rsidP="0083075A">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20</w:t>
            </w:r>
          </w:p>
        </w:tc>
        <w:tc>
          <w:tcPr>
            <w:tcW w:w="1291" w:type="dxa"/>
            <w:tcBorders>
              <w:top w:val="single" w:sz="4" w:space="0" w:color="auto"/>
              <w:left w:val="single" w:sz="4" w:space="0" w:color="auto"/>
              <w:bottom w:val="single" w:sz="4" w:space="0" w:color="auto"/>
              <w:right w:val="single" w:sz="4" w:space="0" w:color="auto"/>
            </w:tcBorders>
            <w:shd w:val="clear" w:color="auto" w:fill="FFFFFF"/>
          </w:tcPr>
          <w:p w14:paraId="691EAAB3" w14:textId="77777777" w:rsidR="00D44956" w:rsidRPr="002F2FDF" w:rsidRDefault="00D44956" w:rsidP="0083075A">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w:t>
            </w:r>
          </w:p>
        </w:tc>
        <w:tc>
          <w:tcPr>
            <w:tcW w:w="1632" w:type="dxa"/>
            <w:tcBorders>
              <w:top w:val="single" w:sz="4" w:space="0" w:color="auto"/>
              <w:left w:val="single" w:sz="4" w:space="0" w:color="auto"/>
              <w:bottom w:val="single" w:sz="4" w:space="0" w:color="auto"/>
              <w:right w:val="single" w:sz="4" w:space="0" w:color="auto"/>
            </w:tcBorders>
            <w:shd w:val="clear" w:color="auto" w:fill="FFFFFF"/>
          </w:tcPr>
          <w:p w14:paraId="588790BC" w14:textId="77777777" w:rsidR="00D44956" w:rsidRPr="002F2FDF" w:rsidRDefault="00D44956" w:rsidP="0083075A">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63C851DD" w14:textId="77777777" w:rsidR="00D44956" w:rsidRPr="002F2FDF" w:rsidRDefault="00D44956" w:rsidP="0083075A">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7</w:t>
            </w:r>
          </w:p>
        </w:tc>
        <w:tc>
          <w:tcPr>
            <w:tcW w:w="1397" w:type="dxa"/>
            <w:tcBorders>
              <w:top w:val="single" w:sz="4" w:space="0" w:color="auto"/>
              <w:left w:val="single" w:sz="4" w:space="0" w:color="auto"/>
              <w:bottom w:val="single" w:sz="4" w:space="0" w:color="auto"/>
              <w:right w:val="single" w:sz="4" w:space="0" w:color="auto"/>
            </w:tcBorders>
            <w:shd w:val="clear" w:color="auto" w:fill="FFFFFF"/>
          </w:tcPr>
          <w:p w14:paraId="16F975C3" w14:textId="77777777" w:rsidR="00D44956" w:rsidRPr="002F2FDF" w:rsidRDefault="00D44956" w:rsidP="0083075A">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B277195" w14:textId="77777777" w:rsidR="00D44956" w:rsidRPr="002F2FDF" w:rsidRDefault="00D44956" w:rsidP="0083075A">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отряда газ не добывали</w:t>
            </w:r>
          </w:p>
        </w:tc>
      </w:tr>
    </w:tbl>
    <w:p w14:paraId="559AC250" w14:textId="77777777" w:rsidR="00D44956" w:rsidRPr="002F2FDF" w:rsidRDefault="00D44956" w:rsidP="0083075A">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2F2FDF">
        <w:rPr>
          <w:rStyle w:val="3f"/>
          <w:rFonts w:eastAsia="Franklin Gothic Book"/>
          <w:color w:val="000000" w:themeColor="text1"/>
          <w:sz w:val="16"/>
          <w:szCs w:val="16"/>
        </w:rPr>
        <w:t>(РГВИА. Ф. 2008. Оп. 1. Д. 670. Л. 93.)</w:t>
      </w:r>
    </w:p>
    <w:p w14:paraId="2D1D619D" w14:textId="77777777" w:rsidR="00D44956" w:rsidRPr="002F2FDF" w:rsidRDefault="00D44956"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Наиболее распространённым оставался щёлочно-алюминиевый способ получения водорода, по которому работали аппараты системы А.Е. Гарута, состоявшие из четырёх генераторов, двух холо</w:t>
      </w:r>
      <w:r w:rsidRPr="002F2FDF">
        <w:rPr>
          <w:rFonts w:ascii="Times New Roman" w:hAnsi="Times New Roman" w:cs="Times New Roman"/>
          <w:color w:val="000000" w:themeColor="text1"/>
          <w:sz w:val="16"/>
          <w:szCs w:val="16"/>
        </w:rPr>
        <w:softHyphen/>
        <w:t>дильников для охлаждения газа и двух насосов для подачи воды в холодильники и перевозившиеся на восьми двуколках. Для получения 1000 м3 водорода требовалось 2,4 т едкого натра и 0,96 т алюминия. Производительность аппарата достигала 100 м3 во</w:t>
      </w:r>
      <w:r w:rsidRPr="002F2FDF">
        <w:rPr>
          <w:rFonts w:ascii="Times New Roman" w:hAnsi="Times New Roman" w:cs="Times New Roman"/>
          <w:color w:val="000000" w:themeColor="text1"/>
          <w:sz w:val="16"/>
          <w:szCs w:val="16"/>
        </w:rPr>
        <w:softHyphen/>
        <w:t>дорода в час. Расчёт состоял из 26-30 человек.</w:t>
      </w:r>
    </w:p>
    <w:p w14:paraId="5B3682C0" w14:textId="77777777" w:rsidR="00D44956" w:rsidRPr="002F2FDF" w:rsidRDefault="00D4495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ОВШ увеличили площадь контакта алюми</w:t>
      </w:r>
      <w:r w:rsidRPr="002F2FDF">
        <w:rPr>
          <w:rFonts w:ascii="Times New Roman" w:hAnsi="Times New Roman" w:cs="Times New Roman"/>
          <w:color w:val="000000" w:themeColor="text1"/>
          <w:sz w:val="16"/>
          <w:szCs w:val="16"/>
        </w:rPr>
        <w:softHyphen/>
        <w:t>ния с водой, придавая алюминию форму перфо</w:t>
      </w:r>
      <w:r w:rsidRPr="002F2FDF">
        <w:rPr>
          <w:rFonts w:ascii="Times New Roman" w:hAnsi="Times New Roman" w:cs="Times New Roman"/>
          <w:color w:val="000000" w:themeColor="text1"/>
          <w:sz w:val="16"/>
          <w:szCs w:val="16"/>
        </w:rPr>
        <w:softHyphen/>
        <w:t>рированных или гофрированных литых пластин размерами 25х 14 см и толщиной 4-5 мм, что уве</w:t>
      </w:r>
      <w:r w:rsidRPr="002F2FDF">
        <w:rPr>
          <w:rFonts w:ascii="Times New Roman" w:hAnsi="Times New Roman" w:cs="Times New Roman"/>
          <w:color w:val="000000" w:themeColor="text1"/>
          <w:sz w:val="16"/>
          <w:szCs w:val="16"/>
        </w:rPr>
        <w:softHyphen/>
        <w:t>личило часовой выход водорода с 100 м3 до 115 м3. Начальник УВВФ 7 апреля 1917 г. рекомендовал это усовершенствование для введения в войсках.</w:t>
      </w:r>
    </w:p>
    <w:p w14:paraId="5542DADD" w14:textId="77777777" w:rsidR="00D44956" w:rsidRPr="002F2FDF" w:rsidRDefault="00D4495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1915 г. Военное ведомство приобрело у про</w:t>
      </w:r>
      <w:r w:rsidRPr="002F2FDF">
        <w:rPr>
          <w:rFonts w:ascii="Times New Roman" w:hAnsi="Times New Roman" w:cs="Times New Roman"/>
          <w:color w:val="000000" w:themeColor="text1"/>
          <w:sz w:val="16"/>
          <w:szCs w:val="16"/>
        </w:rPr>
        <w:softHyphen/>
        <w:t>фессора Уэно (Япония) способ активного алюми</w:t>
      </w:r>
      <w:r w:rsidRPr="002F2FDF">
        <w:rPr>
          <w:rFonts w:ascii="Times New Roman" w:hAnsi="Times New Roman" w:cs="Times New Roman"/>
          <w:color w:val="000000" w:themeColor="text1"/>
          <w:sz w:val="16"/>
          <w:szCs w:val="16"/>
        </w:rPr>
        <w:softHyphen/>
        <w:t>ния (без оксидной плёнки), для которого в ОВШ построили небольшой опытный завод. В этом способе пластины размером 240х4 мм, выпол</w:t>
      </w:r>
      <w:r w:rsidRPr="002F2FDF">
        <w:rPr>
          <w:rFonts w:ascii="Times New Roman" w:hAnsi="Times New Roman" w:cs="Times New Roman"/>
          <w:color w:val="000000" w:themeColor="text1"/>
          <w:sz w:val="16"/>
          <w:szCs w:val="16"/>
        </w:rPr>
        <w:softHyphen/>
        <w:t>ненные из сплава алюминия (88,8-97,5%) и олова (11,5-2,5%) и покрытые амальгамой (одна часть цинка на три части ртути), взаимодействовали с водой. Похожий метод разрабатывал в ОВШ штабс-капитан Яблонский, но он обрабатывал ртутью порошкообразный алюминий. (Ртуть препятствовала образованию на поверхности алюминия оксидной плёнки, и необходимость в щёлочи отпадала). Несмотря на высокий теоре</w:t>
      </w:r>
      <w:r w:rsidRPr="002F2FDF">
        <w:rPr>
          <w:rFonts w:ascii="Times New Roman" w:hAnsi="Times New Roman" w:cs="Times New Roman"/>
          <w:color w:val="000000" w:themeColor="text1"/>
          <w:sz w:val="16"/>
          <w:szCs w:val="16"/>
        </w:rPr>
        <w:softHyphen/>
        <w:t>тический выход водорода, компактность и деше</w:t>
      </w:r>
      <w:r w:rsidRPr="002F2FDF">
        <w:rPr>
          <w:rFonts w:ascii="Times New Roman" w:hAnsi="Times New Roman" w:cs="Times New Roman"/>
          <w:color w:val="000000" w:themeColor="text1"/>
          <w:sz w:val="16"/>
          <w:szCs w:val="16"/>
        </w:rPr>
        <w:softHyphen/>
        <w:t>визну метод не нашёл применения из-за ядови</w:t>
      </w:r>
      <w:r w:rsidRPr="002F2FDF">
        <w:rPr>
          <w:rFonts w:ascii="Times New Roman" w:hAnsi="Times New Roman" w:cs="Times New Roman"/>
          <w:color w:val="000000" w:themeColor="text1"/>
          <w:sz w:val="16"/>
          <w:szCs w:val="16"/>
        </w:rPr>
        <w:softHyphen/>
        <w:t>тости ртути.</w:t>
      </w:r>
    </w:p>
    <w:p w14:paraId="00D32555" w14:textId="77777777" w:rsidR="00D44956" w:rsidRPr="002F2FDF" w:rsidRDefault="00D4495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Самым современным типом подвижных га- зодобывательных установок, использовавшихся русскими воздухоплавателями, были силико- левые газодобывательные аппараты на автомо</w:t>
      </w:r>
      <w:r w:rsidRPr="002F2FDF">
        <w:rPr>
          <w:rFonts w:ascii="Times New Roman" w:hAnsi="Times New Roman" w:cs="Times New Roman"/>
          <w:color w:val="000000" w:themeColor="text1"/>
          <w:sz w:val="16"/>
          <w:szCs w:val="16"/>
        </w:rPr>
        <w:softHyphen/>
        <w:t>бильном ходу фирмы «Оксилит» (Франция). Заказ на десять таких установок выдали фирме в мае 1915 г. на кабальных для русской стороны условиях (изготовление в течение четырёх меся</w:t>
      </w:r>
      <w:r w:rsidRPr="002F2FDF">
        <w:rPr>
          <w:rFonts w:ascii="Times New Roman" w:hAnsi="Times New Roman" w:cs="Times New Roman"/>
          <w:color w:val="000000" w:themeColor="text1"/>
          <w:sz w:val="16"/>
          <w:szCs w:val="16"/>
        </w:rPr>
        <w:softHyphen/>
        <w:t>цев, по 120 тыс. франков за аппарат без доставки в Россию и с уплатой денег в Париже).</w:t>
      </w:r>
    </w:p>
    <w:p w14:paraId="3F4BE793" w14:textId="77777777" w:rsidR="00D44956" w:rsidRPr="002F2FDF" w:rsidRDefault="00D4495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Силиколевый газодобывательный аппарат на автомобильном ходу монтировался на шасси грузового автомобиля, в кузове которого нахо</w:t>
      </w:r>
      <w:r w:rsidRPr="002F2FDF">
        <w:rPr>
          <w:rFonts w:ascii="Times New Roman" w:hAnsi="Times New Roman" w:cs="Times New Roman"/>
          <w:color w:val="000000" w:themeColor="text1"/>
          <w:sz w:val="16"/>
          <w:szCs w:val="16"/>
        </w:rPr>
        <w:softHyphen/>
        <w:t>дился генератор газа, и четырехколёсном прице</w:t>
      </w:r>
      <w:r w:rsidRPr="002F2FDF">
        <w:rPr>
          <w:rFonts w:ascii="Times New Roman" w:hAnsi="Times New Roman" w:cs="Times New Roman"/>
          <w:color w:val="000000" w:themeColor="text1"/>
          <w:sz w:val="16"/>
          <w:szCs w:val="16"/>
        </w:rPr>
        <w:softHyphen/>
        <w:t>пе, где помещались холодильники-промыватели. Механизмы аппарата приводились в действие электромоторами, ток в которые поступал от ди</w:t>
      </w:r>
      <w:r w:rsidRPr="002F2FDF">
        <w:rPr>
          <w:rFonts w:ascii="Times New Roman" w:hAnsi="Times New Roman" w:cs="Times New Roman"/>
          <w:color w:val="000000" w:themeColor="text1"/>
          <w:sz w:val="16"/>
          <w:szCs w:val="16"/>
        </w:rPr>
        <w:softHyphen/>
        <w:t>намо-машины, работавшей от автомобильного мотора, что позволило значительно сократить обслуживающий установку персонал. Аппара</w:t>
      </w:r>
      <w:r w:rsidRPr="002F2FDF">
        <w:rPr>
          <w:rFonts w:ascii="Times New Roman" w:hAnsi="Times New Roman" w:cs="Times New Roman"/>
          <w:color w:val="000000" w:themeColor="text1"/>
          <w:sz w:val="16"/>
          <w:szCs w:val="16"/>
        </w:rPr>
        <w:softHyphen/>
        <w:t>ты данного типа были удобными в эксплуата</w:t>
      </w:r>
      <w:r w:rsidRPr="002F2FDF">
        <w:rPr>
          <w:rFonts w:ascii="Times New Roman" w:hAnsi="Times New Roman" w:cs="Times New Roman"/>
          <w:color w:val="000000" w:themeColor="text1"/>
          <w:sz w:val="16"/>
          <w:szCs w:val="16"/>
        </w:rPr>
        <w:softHyphen/>
        <w:t>ции, быстро начинали генерацию газа, требовали меньшего, чём в других методах, количества хи</w:t>
      </w:r>
      <w:r w:rsidRPr="002F2FDF">
        <w:rPr>
          <w:rFonts w:ascii="Times New Roman" w:hAnsi="Times New Roman" w:cs="Times New Roman"/>
          <w:color w:val="000000" w:themeColor="text1"/>
          <w:sz w:val="16"/>
          <w:szCs w:val="16"/>
        </w:rPr>
        <w:softHyphen/>
        <w:t>мических материалов.</w:t>
      </w:r>
    </w:p>
    <w:p w14:paraId="5DFFC6FF" w14:textId="77777777" w:rsidR="00D44956" w:rsidRPr="002F2FDF" w:rsidRDefault="00D4495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Некоторое неудобство на фронтовой дороге представляла значительная масса самого аппара</w:t>
      </w:r>
      <w:r w:rsidRPr="002F2FDF">
        <w:rPr>
          <w:rFonts w:ascii="Times New Roman" w:hAnsi="Times New Roman" w:cs="Times New Roman"/>
          <w:color w:val="000000" w:themeColor="text1"/>
          <w:sz w:val="16"/>
          <w:szCs w:val="16"/>
        </w:rPr>
        <w:softHyphen/>
        <w:t>та (масса грузового автомобиля с генератором — 5,5 т, масса прицепа с холодильниками — 3,4 т), из-за чего он не мог везде проходить по россий</w:t>
      </w:r>
      <w:r w:rsidRPr="002F2FDF">
        <w:rPr>
          <w:rFonts w:ascii="Times New Roman" w:hAnsi="Times New Roman" w:cs="Times New Roman"/>
          <w:color w:val="000000" w:themeColor="text1"/>
          <w:sz w:val="16"/>
          <w:szCs w:val="16"/>
        </w:rPr>
        <w:softHyphen/>
        <w:t>ским дорогам и мостам. В этом случае аппарат оставляли в тылу вблизи шоссейной или желез</w:t>
      </w:r>
      <w:r w:rsidRPr="002F2FDF">
        <w:rPr>
          <w:rFonts w:ascii="Times New Roman" w:hAnsi="Times New Roman" w:cs="Times New Roman"/>
          <w:color w:val="000000" w:themeColor="text1"/>
          <w:sz w:val="16"/>
          <w:szCs w:val="16"/>
        </w:rPr>
        <w:softHyphen/>
        <w:t>ной дороги, откуда добываемый водород достав</w:t>
      </w:r>
      <w:r w:rsidRPr="002F2FDF">
        <w:rPr>
          <w:rFonts w:ascii="Times New Roman" w:hAnsi="Times New Roman" w:cs="Times New Roman"/>
          <w:color w:val="000000" w:themeColor="text1"/>
          <w:sz w:val="16"/>
          <w:szCs w:val="16"/>
        </w:rPr>
        <w:softHyphen/>
        <w:t>ляли к местам потребления в газгольдерах. Он давал большие преимущества при организации централизованного снабжения газом до 10 воз</w:t>
      </w:r>
      <w:r w:rsidRPr="002F2FDF">
        <w:rPr>
          <w:rFonts w:ascii="Times New Roman" w:hAnsi="Times New Roman" w:cs="Times New Roman"/>
          <w:color w:val="000000" w:themeColor="text1"/>
          <w:sz w:val="16"/>
          <w:szCs w:val="16"/>
        </w:rPr>
        <w:softHyphen/>
        <w:t>духоплавательных отрядов из одного пункта, так как команда в 15-20 человек успевала добывать до 10 000 м3 газа в сутки.</w:t>
      </w:r>
    </w:p>
    <w:p w14:paraId="38820CB7" w14:textId="77777777" w:rsidR="00D44956" w:rsidRPr="002F2FDF" w:rsidRDefault="00D4495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снабжении воздухоплавательных частей водородом сказались просчёты предвоенного планирования, главный из которых состоял в не</w:t>
      </w:r>
      <w:r w:rsidRPr="002F2FDF">
        <w:rPr>
          <w:rFonts w:ascii="Times New Roman" w:hAnsi="Times New Roman" w:cs="Times New Roman"/>
          <w:color w:val="000000" w:themeColor="text1"/>
          <w:sz w:val="16"/>
          <w:szCs w:val="16"/>
        </w:rPr>
        <w:softHyphen/>
        <w:t>верной оценке расхода химических материалов, в большинстве своём (за исключением едкого натра) поступавших из-за границы. Это каса</w:t>
      </w:r>
      <w:r w:rsidRPr="002F2FDF">
        <w:rPr>
          <w:rFonts w:ascii="Times New Roman" w:hAnsi="Times New Roman" w:cs="Times New Roman"/>
          <w:color w:val="000000" w:themeColor="text1"/>
          <w:sz w:val="16"/>
          <w:szCs w:val="16"/>
        </w:rPr>
        <w:softHyphen/>
        <w:t>ется, прежде всего, алюминия, годовой расход которого оценивался в 150 т (исходя из годовой потребности мирного времени в 110 т), тогда как уже за 1914-1915 гг. пришлось израсходовать 13 625 т этого металла (вместе с 3500 т силиколя и 70 000 т едкого натра). Хотя Россия располага</w:t>
      </w:r>
      <w:r w:rsidRPr="002F2FDF">
        <w:rPr>
          <w:rFonts w:ascii="Times New Roman" w:hAnsi="Times New Roman" w:cs="Times New Roman"/>
          <w:color w:val="000000" w:themeColor="text1"/>
          <w:sz w:val="16"/>
          <w:szCs w:val="16"/>
        </w:rPr>
        <w:softHyphen/>
        <w:t>ла технологией получения алюминия (П.П. Фе- дотьев, Н.А. Пушин и В.А. Басков) и разведан</w:t>
      </w:r>
      <w:r w:rsidRPr="002F2FDF">
        <w:rPr>
          <w:rFonts w:ascii="Times New Roman" w:hAnsi="Times New Roman" w:cs="Times New Roman"/>
          <w:color w:val="000000" w:themeColor="text1"/>
          <w:sz w:val="16"/>
          <w:szCs w:val="16"/>
        </w:rPr>
        <w:softHyphen/>
        <w:t>ными запасами его руд (Тихвинское бокситовое месторождение, открытое П.Н. Тимофеевым в 1916 г.), в стране он не производился.</w:t>
      </w:r>
    </w:p>
    <w:p w14:paraId="702E876B" w14:textId="77777777" w:rsidR="00D44956" w:rsidRPr="002F2FDF" w:rsidRDefault="00D4495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Водород поставлялся в воздухоплавательные части и в баллонах высокого давления (в баллоне массой 64 кг хранилось 6 м3 газа) с электролиз</w:t>
      </w:r>
      <w:r w:rsidRPr="002F2FDF">
        <w:rPr>
          <w:rFonts w:ascii="Times New Roman" w:hAnsi="Times New Roman" w:cs="Times New Roman"/>
          <w:color w:val="000000" w:themeColor="text1"/>
          <w:sz w:val="16"/>
          <w:szCs w:val="16"/>
        </w:rPr>
        <w:softHyphen/>
        <w:t>ных установок, а также как побочный продукт ряда химических производств. Однако самих баллонов («труб») не хватало (20120).</w:t>
      </w:r>
    </w:p>
    <w:p w14:paraId="440E03E4" w14:textId="77777777" w:rsidR="00D44956" w:rsidRPr="002F2FDF" w:rsidRDefault="00D44956" w:rsidP="0083075A">
      <w:pPr>
        <w:spacing w:after="0" w:line="240" w:lineRule="auto"/>
        <w:jc w:val="both"/>
        <w:rPr>
          <w:rFonts w:ascii="Times New Roman" w:hAnsi="Times New Roman" w:cs="Times New Roman"/>
          <w:color w:val="000000" w:themeColor="text1"/>
          <w:sz w:val="16"/>
          <w:szCs w:val="16"/>
        </w:rPr>
      </w:pPr>
    </w:p>
    <w:p w14:paraId="26411749" w14:textId="77777777" w:rsidR="0028450E" w:rsidRPr="00FB4F67" w:rsidRDefault="002845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марте 1917 года уровень производства самолетов на российских заводах упал на 50%, в основном из-за забастовки рабочих и нехватки материалов, что еще более осложнялось замедлением приема заказов и поставок из-за границы (23525).</w:t>
      </w:r>
    </w:p>
    <w:p w14:paraId="2A271434" w14:textId="77777777" w:rsidR="0028450E" w:rsidRPr="00FB4F67" w:rsidRDefault="0028450E" w:rsidP="0083075A">
      <w:pPr>
        <w:spacing w:after="0" w:line="240" w:lineRule="auto"/>
        <w:jc w:val="both"/>
        <w:rPr>
          <w:rFonts w:ascii="Times New Roman" w:hAnsi="Times New Roman" w:cs="Times New Roman"/>
          <w:color w:val="0070C0"/>
          <w:sz w:val="16"/>
          <w:szCs w:val="16"/>
        </w:rPr>
      </w:pPr>
    </w:p>
    <w:p w14:paraId="76C1B62E" w14:textId="77777777" w:rsidR="003431D2" w:rsidRPr="002F2FDF" w:rsidRDefault="00CC1BE3"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0076FAD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812AB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март 1917 г. сиюня 1915 г. генерал С. Н. Банков получил 23 заказа, всего на 14 млн 540 тыс. гранат и к ним на 17 млн 90 тыс. запальных стаканов и 17 млн 540 тыс. детонаторных трубок. Из этого числа 1 млн корпусов был приспособлен для снаряжения отравляющими веществами. Кроме 76-мм гранат организации С. Н. Ванкова в разное время было поручено изготовить 2 млн 400 тыс. снарядов среднего и круп</w:t>
      </w:r>
      <w:r w:rsidRPr="002F2FDF">
        <w:rPr>
          <w:rFonts w:ascii="Times New Roman" w:hAnsi="Times New Roman" w:cs="Times New Roman"/>
          <w:color w:val="000000" w:themeColor="text1"/>
          <w:kern w:val="2"/>
          <w:sz w:val="16"/>
          <w:szCs w:val="16"/>
        </w:rPr>
        <w:softHyphen/>
        <w:t>ного калибров (от 105 до 305 мм).</w:t>
      </w:r>
    </w:p>
    <w:p w14:paraId="4950CC4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рамках организации С. Н. Ванкова кооперировалось до 500 предприятий, распределенных по семи районам (Южный, Одесский, Киевский, Тамбовский, Петроградский, Ярославский и Москов</w:t>
      </w:r>
      <w:r w:rsidRPr="002F2FDF">
        <w:rPr>
          <w:rFonts w:ascii="Times New Roman" w:hAnsi="Times New Roman" w:cs="Times New Roman"/>
          <w:color w:val="000000" w:themeColor="text1"/>
          <w:kern w:val="2"/>
          <w:sz w:val="16"/>
          <w:szCs w:val="16"/>
        </w:rPr>
        <w:softHyphen/>
        <w:t>ский). В одном Московском районе были объединены около 1000 за</w:t>
      </w:r>
      <w:r w:rsidRPr="002F2FDF">
        <w:rPr>
          <w:rFonts w:ascii="Times New Roman" w:hAnsi="Times New Roman" w:cs="Times New Roman"/>
          <w:color w:val="000000" w:themeColor="text1"/>
          <w:kern w:val="2"/>
          <w:sz w:val="16"/>
          <w:szCs w:val="16"/>
        </w:rPr>
        <w:softHyphen/>
        <w:t>водов, мастерских и комитетов.</w:t>
      </w:r>
    </w:p>
    <w:p w14:paraId="3BB9B9B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лучшей организации производства заводы были подразделе</w:t>
      </w:r>
      <w:r w:rsidRPr="002F2FDF">
        <w:rPr>
          <w:rFonts w:ascii="Times New Roman" w:hAnsi="Times New Roman" w:cs="Times New Roman"/>
          <w:color w:val="000000" w:themeColor="text1"/>
          <w:kern w:val="2"/>
          <w:sz w:val="16"/>
          <w:szCs w:val="16"/>
        </w:rPr>
        <w:softHyphen/>
        <w:t>ны на группы по характеру изготовляемых изделий (подготовка ста</w:t>
      </w:r>
      <w:r w:rsidRPr="002F2FDF">
        <w:rPr>
          <w:rFonts w:ascii="Times New Roman" w:hAnsi="Times New Roman" w:cs="Times New Roman"/>
          <w:color w:val="000000" w:themeColor="text1"/>
          <w:kern w:val="2"/>
          <w:sz w:val="16"/>
          <w:szCs w:val="16"/>
        </w:rPr>
        <w:softHyphen/>
        <w:t>ли, изготовление корпусов гранат, изготовление запальных стаканов, изготовление детонаторных трубок, снаряжение боеприпасов и пр.). Во главе каждой группы стоял головной завод со штатом техниче</w:t>
      </w:r>
      <w:r w:rsidRPr="002F2FDF">
        <w:rPr>
          <w:rFonts w:ascii="Times New Roman" w:hAnsi="Times New Roman" w:cs="Times New Roman"/>
          <w:color w:val="000000" w:themeColor="text1"/>
          <w:kern w:val="2"/>
          <w:sz w:val="16"/>
          <w:szCs w:val="16"/>
        </w:rPr>
        <w:softHyphen/>
        <w:t>ских специалистов для оказания технической и организационной по</w:t>
      </w:r>
      <w:r w:rsidRPr="002F2FDF">
        <w:rPr>
          <w:rFonts w:ascii="Times New Roman" w:hAnsi="Times New Roman" w:cs="Times New Roman"/>
          <w:color w:val="000000" w:themeColor="text1"/>
          <w:kern w:val="2"/>
          <w:sz w:val="16"/>
          <w:szCs w:val="16"/>
        </w:rPr>
        <w:softHyphen/>
        <w:t>мощи скооперированным предприятиям.</w:t>
      </w:r>
    </w:p>
    <w:p w14:paraId="5F15F62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снарядов создавалось заново. Многие заводы с первых же месяцев войны растеряли значительную часть квалифи</w:t>
      </w:r>
      <w:r w:rsidRPr="002F2FDF">
        <w:rPr>
          <w:rFonts w:ascii="Times New Roman" w:hAnsi="Times New Roman" w:cs="Times New Roman"/>
          <w:color w:val="000000" w:themeColor="text1"/>
          <w:kern w:val="2"/>
          <w:sz w:val="16"/>
          <w:szCs w:val="16"/>
        </w:rPr>
        <w:softHyphen/>
        <w:t>цированных рабочих и инженерно-технического персонала, призван</w:t>
      </w:r>
      <w:r w:rsidRPr="002F2FDF">
        <w:rPr>
          <w:rFonts w:ascii="Times New Roman" w:hAnsi="Times New Roman" w:cs="Times New Roman"/>
          <w:color w:val="000000" w:themeColor="text1"/>
          <w:kern w:val="2"/>
          <w:sz w:val="16"/>
          <w:szCs w:val="16"/>
        </w:rPr>
        <w:softHyphen/>
        <w:t>ных на фронт.</w:t>
      </w:r>
    </w:p>
    <w:p w14:paraId="6891D04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Заводы, ранее не имевшие дела с военной продукцией, оказались совершенно неподготовленными к быстрому налаживанию произ</w:t>
      </w:r>
      <w:r w:rsidRPr="002F2FDF">
        <w:rPr>
          <w:rFonts w:ascii="Times New Roman" w:hAnsi="Times New Roman" w:cs="Times New Roman"/>
          <w:color w:val="000000" w:themeColor="text1"/>
          <w:kern w:val="2"/>
          <w:sz w:val="16"/>
          <w:szCs w:val="16"/>
        </w:rPr>
        <w:softHyphen/>
        <w:t>водства корпусов снарядов. В большинстве случаев не было соответ</w:t>
      </w:r>
      <w:r w:rsidRPr="002F2FDF">
        <w:rPr>
          <w:rFonts w:ascii="Times New Roman" w:hAnsi="Times New Roman" w:cs="Times New Roman"/>
          <w:color w:val="000000" w:themeColor="text1"/>
          <w:kern w:val="2"/>
          <w:sz w:val="16"/>
          <w:szCs w:val="16"/>
        </w:rPr>
        <w:softHyphen/>
        <w:t>ствующего оборудования, навыков и приемов массового производст</w:t>
      </w:r>
      <w:r w:rsidRPr="002F2FDF">
        <w:rPr>
          <w:rFonts w:ascii="Times New Roman" w:hAnsi="Times New Roman" w:cs="Times New Roman"/>
          <w:color w:val="000000" w:themeColor="text1"/>
          <w:kern w:val="2"/>
          <w:sz w:val="16"/>
          <w:szCs w:val="16"/>
        </w:rPr>
        <w:softHyphen/>
        <w:t>ва, привычки к точным работам со строгими допусками.</w:t>
      </w:r>
    </w:p>
    <w:p w14:paraId="3CEFE28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снаряжения взрывчатыми веществами снарядов и детонато</w:t>
      </w:r>
      <w:r w:rsidRPr="002F2FDF">
        <w:rPr>
          <w:rFonts w:ascii="Times New Roman" w:hAnsi="Times New Roman" w:cs="Times New Roman"/>
          <w:color w:val="000000" w:themeColor="text1"/>
          <w:kern w:val="2"/>
          <w:sz w:val="16"/>
          <w:szCs w:val="16"/>
        </w:rPr>
        <w:softHyphen/>
        <w:t>рных трубок московский промышленник Н. А. Второе оборудовал на бывшей фабрике красителей Байера в Москве завод, рассчитанный на снаряжение 750 тыс. трехдюймовых гранат в месяц. Работы по снаряжению начались в сентябре 1915 г.</w:t>
      </w:r>
    </w:p>
    <w:p w14:paraId="59D2FBE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Затем по договору с ГАУ Н. А. Второе начал строительство в Богородском уезде Московской губернии второго снаряжательного завода.</w:t>
      </w:r>
    </w:p>
    <w:p w14:paraId="0E1603F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производстве корпусов снарядов (тыс. шт.) на Путиловском заводе в период 1914—1917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66"/>
        <w:gridCol w:w="979"/>
        <w:gridCol w:w="979"/>
        <w:gridCol w:w="1085"/>
        <w:gridCol w:w="960"/>
        <w:gridCol w:w="1037"/>
      </w:tblGrid>
      <w:tr w:rsidR="002B1C74" w:rsidRPr="002F2FDF" w14:paraId="6F72200E" w14:textId="77777777">
        <w:trPr>
          <w:trHeight w:val="374"/>
        </w:trPr>
        <w:tc>
          <w:tcPr>
            <w:tcW w:w="2266" w:type="dxa"/>
            <w:tcBorders>
              <w:top w:val="single" w:sz="12" w:space="0" w:color="auto"/>
            </w:tcBorders>
          </w:tcPr>
          <w:p w14:paraId="7DA1EB2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Корпуса снарядов </w:t>
            </w:r>
          </w:p>
          <w:p w14:paraId="47C7E0C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Borders>
              <w:top w:val="single" w:sz="12" w:space="0" w:color="auto"/>
            </w:tcBorders>
          </w:tcPr>
          <w:p w14:paraId="5A0744C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tc>
        <w:tc>
          <w:tcPr>
            <w:tcW w:w="979" w:type="dxa"/>
            <w:tcBorders>
              <w:top w:val="single" w:sz="12" w:space="0" w:color="auto"/>
            </w:tcBorders>
          </w:tcPr>
          <w:p w14:paraId="63E6644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p w14:paraId="18A0E2E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Borders>
              <w:top w:val="single" w:sz="12" w:space="0" w:color="auto"/>
            </w:tcBorders>
          </w:tcPr>
          <w:p w14:paraId="6F2DE18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p w14:paraId="4E32E76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Borders>
              <w:top w:val="single" w:sz="12" w:space="0" w:color="auto"/>
            </w:tcBorders>
          </w:tcPr>
          <w:p w14:paraId="11E4BDD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w:t>
            </w:r>
          </w:p>
          <w:p w14:paraId="0F532C3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Borders>
              <w:top w:val="single" w:sz="12" w:space="0" w:color="auto"/>
            </w:tcBorders>
          </w:tcPr>
          <w:p w14:paraId="04D3BDF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p w14:paraId="4A2B052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5BC3E97E" w14:textId="77777777">
        <w:trPr>
          <w:trHeight w:val="307"/>
        </w:trPr>
        <w:tc>
          <w:tcPr>
            <w:tcW w:w="2266" w:type="dxa"/>
          </w:tcPr>
          <w:p w14:paraId="0844A65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76-мм шрапнелей </w:t>
            </w:r>
          </w:p>
          <w:p w14:paraId="4CADDE6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453AC36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75,0</w:t>
            </w:r>
          </w:p>
        </w:tc>
        <w:tc>
          <w:tcPr>
            <w:tcW w:w="979" w:type="dxa"/>
          </w:tcPr>
          <w:p w14:paraId="7A663A8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2659,0</w:t>
            </w:r>
          </w:p>
          <w:p w14:paraId="3EE0222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378B65E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3124,5</w:t>
            </w:r>
          </w:p>
          <w:p w14:paraId="79D1DF3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036CD13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2580,4</w:t>
            </w:r>
          </w:p>
          <w:p w14:paraId="00A3FB0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2DE254F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8438,9</w:t>
            </w:r>
          </w:p>
          <w:p w14:paraId="5EE394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47EDEA01" w14:textId="77777777">
        <w:trPr>
          <w:trHeight w:val="154"/>
        </w:trPr>
        <w:tc>
          <w:tcPr>
            <w:tcW w:w="2266" w:type="dxa"/>
          </w:tcPr>
          <w:p w14:paraId="05E16EC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76-мм гранат</w:t>
            </w:r>
          </w:p>
          <w:p w14:paraId="3463804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683C7E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79" w:type="dxa"/>
          </w:tcPr>
          <w:p w14:paraId="73CCFCF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218,6</w:t>
            </w:r>
          </w:p>
          <w:p w14:paraId="1A125A9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4D2B17A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1996,4</w:t>
            </w:r>
          </w:p>
          <w:p w14:paraId="0937E4C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405037C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798,5</w:t>
            </w:r>
          </w:p>
          <w:p w14:paraId="6077A6F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694CAF3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3013,5</w:t>
            </w:r>
          </w:p>
          <w:p w14:paraId="3DE9A86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246B6925" w14:textId="77777777">
        <w:trPr>
          <w:trHeight w:val="173"/>
        </w:trPr>
        <w:tc>
          <w:tcPr>
            <w:tcW w:w="2266" w:type="dxa"/>
          </w:tcPr>
          <w:p w14:paraId="0D3714D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107-мм шрапнелей</w:t>
            </w:r>
          </w:p>
          <w:p w14:paraId="1528165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3DEEAA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79" w:type="dxa"/>
          </w:tcPr>
          <w:p w14:paraId="080EE91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49,43</w:t>
            </w:r>
          </w:p>
          <w:p w14:paraId="3F11820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1DB642D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107,48</w:t>
            </w:r>
          </w:p>
          <w:p w14:paraId="742F65C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5960998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62,41</w:t>
            </w:r>
          </w:p>
          <w:p w14:paraId="69EE8AD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7F520A5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218,32</w:t>
            </w:r>
          </w:p>
          <w:p w14:paraId="09628A9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73EA5DB5" w14:textId="77777777">
        <w:trPr>
          <w:trHeight w:val="163"/>
        </w:trPr>
        <w:tc>
          <w:tcPr>
            <w:tcW w:w="2266" w:type="dxa"/>
          </w:tcPr>
          <w:p w14:paraId="47AD835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107-мм бомб</w:t>
            </w:r>
          </w:p>
          <w:p w14:paraId="669369D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4050CF9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79" w:type="dxa"/>
          </w:tcPr>
          <w:p w14:paraId="77380C2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63,25</w:t>
            </w:r>
          </w:p>
          <w:p w14:paraId="3C36EE2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225B8B8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148,1</w:t>
            </w:r>
          </w:p>
          <w:p w14:paraId="2D03FAA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0CB3BF4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301,38</w:t>
            </w:r>
          </w:p>
          <w:p w14:paraId="66BCA0E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6D76005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512,73</w:t>
            </w:r>
          </w:p>
          <w:p w14:paraId="62F88A9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2A1C94DB" w14:textId="77777777">
        <w:trPr>
          <w:trHeight w:val="192"/>
        </w:trPr>
        <w:tc>
          <w:tcPr>
            <w:tcW w:w="2266" w:type="dxa"/>
          </w:tcPr>
          <w:p w14:paraId="0119DD3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122-мм шрапнелей</w:t>
            </w:r>
          </w:p>
          <w:p w14:paraId="5847852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4ACB252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79" w:type="dxa"/>
          </w:tcPr>
          <w:p w14:paraId="6E5CDFC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16,5</w:t>
            </w:r>
          </w:p>
          <w:p w14:paraId="7C02696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03927B9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w:t>
            </w:r>
          </w:p>
          <w:p w14:paraId="259C54B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796A591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7FE920D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2D9EF08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21,2</w:t>
            </w:r>
          </w:p>
          <w:p w14:paraId="457EBCC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6A58690D" w14:textId="77777777">
        <w:trPr>
          <w:trHeight w:val="154"/>
        </w:trPr>
        <w:tc>
          <w:tcPr>
            <w:tcW w:w="2266" w:type="dxa"/>
          </w:tcPr>
          <w:p w14:paraId="25874D6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122-мм бомб</w:t>
            </w:r>
          </w:p>
          <w:p w14:paraId="52B0687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54A3879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79" w:type="dxa"/>
          </w:tcPr>
          <w:p w14:paraId="2095DC8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1,07</w:t>
            </w:r>
          </w:p>
          <w:p w14:paraId="303A597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498656E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274,38</w:t>
            </w:r>
          </w:p>
          <w:p w14:paraId="41C1031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24A01FB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324,77</w:t>
            </w:r>
          </w:p>
          <w:p w14:paraId="2DEC5B5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5F79A9A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600,22</w:t>
            </w:r>
          </w:p>
          <w:p w14:paraId="596DF4E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2D115071" w14:textId="77777777">
        <w:trPr>
          <w:trHeight w:val="173"/>
        </w:trPr>
        <w:tc>
          <w:tcPr>
            <w:tcW w:w="2266" w:type="dxa"/>
          </w:tcPr>
          <w:p w14:paraId="5CC3079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152-мм бомб</w:t>
            </w:r>
          </w:p>
          <w:p w14:paraId="41070CF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468922C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79" w:type="dxa"/>
          </w:tcPr>
          <w:p w14:paraId="16088F0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6,13</w:t>
            </w:r>
          </w:p>
          <w:p w14:paraId="6163CBB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4C8C2DC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369,69</w:t>
            </w:r>
          </w:p>
          <w:p w14:paraId="38C64CB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2A7A059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619,6</w:t>
            </w:r>
          </w:p>
          <w:p w14:paraId="2636188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04589BC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995,5</w:t>
            </w:r>
          </w:p>
          <w:p w14:paraId="565C46B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68D21628" w14:textId="77777777">
        <w:trPr>
          <w:trHeight w:val="173"/>
        </w:trPr>
        <w:tc>
          <w:tcPr>
            <w:tcW w:w="2266" w:type="dxa"/>
          </w:tcPr>
          <w:p w14:paraId="0C47CBD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280-мм бомб</w:t>
            </w:r>
          </w:p>
          <w:p w14:paraId="39644B0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579E32E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79" w:type="dxa"/>
          </w:tcPr>
          <w:p w14:paraId="6B1414C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0,818</w:t>
            </w:r>
          </w:p>
          <w:p w14:paraId="7C6DBAA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189DB67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2,252</w:t>
            </w:r>
          </w:p>
          <w:p w14:paraId="756CBB9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6765154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3.074</w:t>
            </w:r>
          </w:p>
          <w:p w14:paraId="2BED151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414EC8D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6,144</w:t>
            </w:r>
          </w:p>
          <w:p w14:paraId="067C479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21B3915C" w14:textId="77777777">
        <w:trPr>
          <w:trHeight w:val="365"/>
        </w:trPr>
        <w:tc>
          <w:tcPr>
            <w:tcW w:w="2266" w:type="dxa"/>
            <w:tcBorders>
              <w:bottom w:val="single" w:sz="12" w:space="0" w:color="auto"/>
            </w:tcBorders>
          </w:tcPr>
          <w:p w14:paraId="5EA8FB3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305-мм бомб</w:t>
            </w:r>
          </w:p>
          <w:p w14:paraId="13BB0C8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Borders>
              <w:bottom w:val="single" w:sz="12" w:space="0" w:color="auto"/>
            </w:tcBorders>
          </w:tcPr>
          <w:p w14:paraId="09DD82A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79" w:type="dxa"/>
            <w:tcBorders>
              <w:bottom w:val="single" w:sz="12" w:space="0" w:color="auto"/>
            </w:tcBorders>
          </w:tcPr>
          <w:p w14:paraId="11EAC73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76E974C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Borders>
              <w:bottom w:val="single" w:sz="12" w:space="0" w:color="auto"/>
            </w:tcBorders>
          </w:tcPr>
          <w:p w14:paraId="7532C4E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0,506</w:t>
            </w:r>
          </w:p>
          <w:p w14:paraId="37B973A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Borders>
              <w:bottom w:val="single" w:sz="12" w:space="0" w:color="auto"/>
            </w:tcBorders>
          </w:tcPr>
          <w:p w14:paraId="60972A2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0,298</w:t>
            </w:r>
          </w:p>
          <w:p w14:paraId="223A165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Borders>
              <w:bottom w:val="single" w:sz="12" w:space="0" w:color="auto"/>
            </w:tcBorders>
          </w:tcPr>
          <w:p w14:paraId="29786D4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0,804</w:t>
            </w:r>
          </w:p>
          <w:p w14:paraId="0C0472C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00DC4D3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на Московском снаряжательном заводе с января 1916 г. по декабрь 1917 г. было изготовлено 4971 тыс. снарядов разных калиб</w:t>
      </w:r>
      <w:r w:rsidRPr="002F2FDF">
        <w:rPr>
          <w:rFonts w:ascii="Times New Roman" w:hAnsi="Times New Roman" w:cs="Times New Roman"/>
          <w:color w:val="000000" w:themeColor="text1"/>
          <w:kern w:val="2"/>
          <w:sz w:val="16"/>
          <w:szCs w:val="16"/>
        </w:rPr>
        <w:softHyphen/>
        <w:t>ров.</w:t>
      </w:r>
    </w:p>
    <w:p w14:paraId="1E8A115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мая 1915 г. по январь 1918 г. генерал С. Н. Банков заключил 442 договора с различными предприятиями, включенными в его ор</w:t>
      </w:r>
      <w:r w:rsidRPr="002F2FDF">
        <w:rPr>
          <w:rFonts w:ascii="Times New Roman" w:hAnsi="Times New Roman" w:cs="Times New Roman"/>
          <w:color w:val="000000" w:themeColor="text1"/>
          <w:kern w:val="2"/>
          <w:sz w:val="16"/>
          <w:szCs w:val="16"/>
        </w:rPr>
        <w:softHyphen/>
        <w:t>ганизацию. До конца 1917 г. организация С. Н. Ванкова поставила в армию более 14 млн корпусов снарядов, в том числе 13 млн 683 тыс. 76-мм гранат — почти половину всех 76-мм гранат, изготовленных в России за годы войны. Организация С. Н. Ванкова изготовила также около полумиллиона корпусов 152-мм бомб. На фронт было отправ</w:t>
      </w:r>
      <w:r w:rsidRPr="002F2FDF">
        <w:rPr>
          <w:rFonts w:ascii="Times New Roman" w:hAnsi="Times New Roman" w:cs="Times New Roman"/>
          <w:color w:val="000000" w:themeColor="text1"/>
          <w:kern w:val="2"/>
          <w:sz w:val="16"/>
          <w:szCs w:val="16"/>
        </w:rPr>
        <w:softHyphen/>
        <w:t>лено 8399236 шт. окончательно снаряженных 76-мм гранат и 225911 шт. 152-мм бомб (табл. 1.9) [5, с. 197].</w:t>
      </w:r>
    </w:p>
    <w:p w14:paraId="31C712F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снарядов организацией уполномоченного ГАУ С. Н. Ванкова с сентября 1915 г. по декабрь 1917 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014"/>
        <w:gridCol w:w="1277"/>
        <w:gridCol w:w="998"/>
        <w:gridCol w:w="1114"/>
      </w:tblGrid>
      <w:tr w:rsidR="002B1C74" w:rsidRPr="002F2FDF" w14:paraId="04E759EE" w14:textId="77777777">
        <w:trPr>
          <w:trHeight w:val="355"/>
        </w:trPr>
        <w:tc>
          <w:tcPr>
            <w:tcW w:w="3014" w:type="dxa"/>
            <w:tcBorders>
              <w:top w:val="single" w:sz="12" w:space="0" w:color="auto"/>
            </w:tcBorders>
          </w:tcPr>
          <w:p w14:paraId="3D2F581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Название изделий</w:t>
            </w:r>
          </w:p>
          <w:p w14:paraId="5C53886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Borders>
              <w:top w:val="single" w:sz="12" w:space="0" w:color="auto"/>
            </w:tcBorders>
          </w:tcPr>
          <w:p w14:paraId="0BA53E0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принято</w:t>
            </w:r>
          </w:p>
          <w:p w14:paraId="5D4A2FA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112" w:type="dxa"/>
            <w:gridSpan w:val="2"/>
            <w:tcBorders>
              <w:top w:val="single" w:sz="12" w:space="0" w:color="auto"/>
            </w:tcBorders>
          </w:tcPr>
          <w:p w14:paraId="0212AC4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этого числа</w:t>
            </w:r>
          </w:p>
          <w:p w14:paraId="2166EEE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524E5878" w14:textId="77777777">
        <w:trPr>
          <w:trHeight w:val="269"/>
        </w:trPr>
        <w:tc>
          <w:tcPr>
            <w:tcW w:w="3014" w:type="dxa"/>
          </w:tcPr>
          <w:p w14:paraId="3A71B35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F8D23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02A54CC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заводов до 1 января 1918 г.</w:t>
            </w:r>
          </w:p>
          <w:p w14:paraId="1A7ECB4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0D4A297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сдано окон-</w:t>
            </w:r>
          </w:p>
          <w:p w14:paraId="712642B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63DABAC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выдано для</w:t>
            </w:r>
          </w:p>
          <w:p w14:paraId="593B483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473AD67F" w14:textId="77777777">
        <w:trPr>
          <w:trHeight w:val="154"/>
        </w:trPr>
        <w:tc>
          <w:tcPr>
            <w:tcW w:w="3014" w:type="dxa"/>
          </w:tcPr>
          <w:p w14:paraId="22A4E26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8EC8C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42B99D6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D8AF8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44D33EA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чательно</w:t>
            </w:r>
          </w:p>
          <w:p w14:paraId="7716D69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4232735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снаряжения</w:t>
            </w:r>
          </w:p>
          <w:p w14:paraId="247F6B0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2D16969A" w14:textId="77777777">
        <w:trPr>
          <w:trHeight w:val="202"/>
        </w:trPr>
        <w:tc>
          <w:tcPr>
            <w:tcW w:w="3014" w:type="dxa"/>
          </w:tcPr>
          <w:p w14:paraId="37439AE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99944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19DA999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435DB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1D6E4AB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снаряжен-</w:t>
            </w:r>
          </w:p>
          <w:p w14:paraId="2B34E1E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26CA9D0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ОВ</w:t>
            </w:r>
          </w:p>
          <w:p w14:paraId="45F6EE0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544BF804" w14:textId="77777777">
        <w:trPr>
          <w:trHeight w:val="240"/>
        </w:trPr>
        <w:tc>
          <w:tcPr>
            <w:tcW w:w="3014" w:type="dxa"/>
          </w:tcPr>
          <w:p w14:paraId="569C68C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6CD4D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6F2F071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2ED66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71E4860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ных</w:t>
            </w:r>
          </w:p>
          <w:p w14:paraId="66F6E5E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28DEB8A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5E50B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5321D156" w14:textId="77777777">
        <w:trPr>
          <w:trHeight w:val="259"/>
        </w:trPr>
        <w:tc>
          <w:tcPr>
            <w:tcW w:w="3014" w:type="dxa"/>
          </w:tcPr>
          <w:p w14:paraId="0176826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Корпуса 76-мм гранат</w:t>
            </w:r>
          </w:p>
          <w:p w14:paraId="3A747D4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21F810C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13 683,334</w:t>
            </w:r>
          </w:p>
          <w:p w14:paraId="44A84F6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07FAE33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8 399,236</w:t>
            </w:r>
          </w:p>
          <w:p w14:paraId="3EEC2CD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05812F3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2291,969</w:t>
            </w:r>
          </w:p>
          <w:p w14:paraId="47FD152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0DA43C03" w14:textId="77777777">
        <w:trPr>
          <w:trHeight w:val="163"/>
        </w:trPr>
        <w:tc>
          <w:tcPr>
            <w:tcW w:w="3014" w:type="dxa"/>
          </w:tcPr>
          <w:p w14:paraId="5368AB5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Корпуса 122-мм бомб</w:t>
            </w:r>
          </w:p>
          <w:p w14:paraId="7182971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39EBA08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104,956</w:t>
            </w:r>
          </w:p>
          <w:p w14:paraId="1F79499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0B09A9D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0CC61BA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271F175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6ECEC68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3F911FAC" w14:textId="77777777">
        <w:trPr>
          <w:trHeight w:val="182"/>
        </w:trPr>
        <w:tc>
          <w:tcPr>
            <w:tcW w:w="3014" w:type="dxa"/>
          </w:tcPr>
          <w:p w14:paraId="709EED7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Корпуса 152-мм бомб</w:t>
            </w:r>
          </w:p>
          <w:p w14:paraId="1C08FF2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2030ED4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488,487</w:t>
            </w:r>
          </w:p>
          <w:p w14:paraId="100CB26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52244CC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225,911</w:t>
            </w:r>
          </w:p>
          <w:p w14:paraId="55A1DC0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3D822CA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134,692</w:t>
            </w:r>
          </w:p>
          <w:p w14:paraId="45F7695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55887F75" w14:textId="77777777">
        <w:trPr>
          <w:trHeight w:val="173"/>
        </w:trPr>
        <w:tc>
          <w:tcPr>
            <w:tcW w:w="3014" w:type="dxa"/>
          </w:tcPr>
          <w:p w14:paraId="3D78E6F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Запальные стаканы 76-мм</w:t>
            </w:r>
          </w:p>
          <w:p w14:paraId="6242927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2EFA94B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12 250,863</w:t>
            </w:r>
          </w:p>
          <w:p w14:paraId="5E26DE2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1425838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7E342B4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326C72E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0581899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2F45D72A" w14:textId="77777777">
        <w:trPr>
          <w:trHeight w:val="154"/>
        </w:trPr>
        <w:tc>
          <w:tcPr>
            <w:tcW w:w="3014" w:type="dxa"/>
          </w:tcPr>
          <w:p w14:paraId="708E934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Запальные стаканы 152-мм</w:t>
            </w:r>
          </w:p>
          <w:p w14:paraId="28B4FA9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41FE26A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730,294</w:t>
            </w:r>
          </w:p>
          <w:p w14:paraId="4E1CDC0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44320E2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4F56A41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49E12A9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5E2AE95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3DD34169" w14:textId="77777777">
        <w:trPr>
          <w:trHeight w:val="173"/>
        </w:trPr>
        <w:tc>
          <w:tcPr>
            <w:tcW w:w="3014" w:type="dxa"/>
          </w:tcPr>
          <w:p w14:paraId="255C411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Запальные стаканы к ОВ</w:t>
            </w:r>
          </w:p>
          <w:p w14:paraId="5F392F1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2FCFB61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646,572</w:t>
            </w:r>
          </w:p>
          <w:p w14:paraId="4E8916B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7C39A1E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4A050DE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3EF45CC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3F97CE5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008318CE" w14:textId="77777777">
        <w:trPr>
          <w:trHeight w:val="173"/>
        </w:trPr>
        <w:tc>
          <w:tcPr>
            <w:tcW w:w="3014" w:type="dxa"/>
          </w:tcPr>
          <w:p w14:paraId="6C812B4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Детонаторные трубки снаряженные</w:t>
            </w:r>
          </w:p>
          <w:p w14:paraId="3265AC8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0199061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3 521,260</w:t>
            </w:r>
          </w:p>
          <w:p w14:paraId="668AB58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7262155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37D8A89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0DC9169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7674F90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4D4A7CAF" w14:textId="77777777">
        <w:trPr>
          <w:trHeight w:val="365"/>
        </w:trPr>
        <w:tc>
          <w:tcPr>
            <w:tcW w:w="3014" w:type="dxa"/>
            <w:tcBorders>
              <w:bottom w:val="single" w:sz="12" w:space="0" w:color="auto"/>
            </w:tcBorders>
          </w:tcPr>
          <w:p w14:paraId="405B496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Детонаторные трубки неснаряженные</w:t>
            </w:r>
          </w:p>
          <w:p w14:paraId="091C324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Borders>
              <w:bottom w:val="single" w:sz="12" w:space="0" w:color="auto"/>
            </w:tcBorders>
          </w:tcPr>
          <w:p w14:paraId="19C20A7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4 906,975</w:t>
            </w:r>
          </w:p>
          <w:p w14:paraId="441838F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Borders>
              <w:bottom w:val="single" w:sz="12" w:space="0" w:color="auto"/>
            </w:tcBorders>
          </w:tcPr>
          <w:p w14:paraId="704D5AD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62A34D3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Borders>
              <w:bottom w:val="single" w:sz="12" w:space="0" w:color="auto"/>
            </w:tcBorders>
          </w:tcPr>
          <w:p w14:paraId="2DD5FFB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05C0B77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3D9E317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Важной заслугой организации С. Н. Ванкова явилось создание производства корпусов 152-мм и 122-мм снарядов из сталистого чугуна [4, с. 310; 9]. Организация разработала и внедрила на 14 заво</w:t>
      </w:r>
      <w:r w:rsidRPr="002F2FDF">
        <w:rPr>
          <w:rFonts w:ascii="Times New Roman" w:hAnsi="Times New Roman" w:cs="Times New Roman"/>
          <w:color w:val="000000" w:themeColor="text1"/>
          <w:kern w:val="2"/>
          <w:sz w:val="16"/>
          <w:szCs w:val="16"/>
        </w:rPr>
        <w:softHyphen/>
        <w:t>дах, главным образом южных, новые методы приемки снарядов из сталистого чугуна, отличные от французских.</w:t>
      </w:r>
    </w:p>
    <w:p w14:paraId="78DCB80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Главным в работе организации С. Н. Ванкова, впоследствии вид</w:t>
      </w:r>
      <w:r w:rsidRPr="002F2FDF">
        <w:rPr>
          <w:rFonts w:ascii="Times New Roman" w:hAnsi="Times New Roman" w:cs="Times New Roman"/>
          <w:color w:val="000000" w:themeColor="text1"/>
          <w:kern w:val="2"/>
          <w:sz w:val="16"/>
          <w:szCs w:val="16"/>
        </w:rPr>
        <w:softHyphen/>
        <w:t>ного ученого, профессора, начальника Отдела металлов ВСНХ РСФСР</w:t>
      </w:r>
      <w:r w:rsidRPr="002F2FDF">
        <w:rPr>
          <w:rFonts w:ascii="Times New Roman" w:hAnsi="Times New Roman" w:cs="Times New Roman"/>
          <w:bCs/>
          <w:color w:val="000000" w:themeColor="text1"/>
          <w:kern w:val="2"/>
          <w:sz w:val="16"/>
          <w:szCs w:val="16"/>
        </w:rPr>
        <w:t xml:space="preserve">, </w:t>
      </w:r>
      <w:r w:rsidRPr="002F2FDF">
        <w:rPr>
          <w:rFonts w:ascii="Times New Roman" w:hAnsi="Times New Roman" w:cs="Times New Roman"/>
          <w:color w:val="000000" w:themeColor="text1"/>
          <w:kern w:val="2"/>
          <w:sz w:val="16"/>
          <w:szCs w:val="16"/>
        </w:rPr>
        <w:t>было то, что при всех сложностях военного времени удалось без всякой предварительной подготовки в короткие сроки организо</w:t>
      </w:r>
      <w:r w:rsidRPr="002F2FDF">
        <w:rPr>
          <w:rFonts w:ascii="Times New Roman" w:hAnsi="Times New Roman" w:cs="Times New Roman"/>
          <w:color w:val="000000" w:themeColor="text1"/>
          <w:kern w:val="2"/>
          <w:sz w:val="16"/>
          <w:szCs w:val="16"/>
        </w:rPr>
        <w:softHyphen/>
        <w:t>вать согласованную и целенаправленную работу многих сотен пред</w:t>
      </w:r>
      <w:r w:rsidRPr="002F2FDF">
        <w:rPr>
          <w:rFonts w:ascii="Times New Roman" w:hAnsi="Times New Roman" w:cs="Times New Roman"/>
          <w:color w:val="000000" w:themeColor="text1"/>
          <w:kern w:val="2"/>
          <w:sz w:val="16"/>
          <w:szCs w:val="16"/>
        </w:rPr>
        <w:softHyphen/>
        <w:t>приятий. Дело было начато в феврале 1915 г. В апреле организации С. Н. Ванкова были даны первые заказы. Производство корпусов на</w:t>
      </w:r>
      <w:r w:rsidRPr="002F2FDF">
        <w:rPr>
          <w:rFonts w:ascii="Times New Roman" w:hAnsi="Times New Roman" w:cs="Times New Roman"/>
          <w:color w:val="000000" w:themeColor="text1"/>
          <w:kern w:val="2"/>
          <w:sz w:val="16"/>
          <w:szCs w:val="16"/>
        </w:rPr>
        <w:softHyphen/>
        <w:t>чали через 9 месяцев — в октябре 1915 г. Снаряжение началось в ян варе 1916 г., т. е. через 11 месяцев. Максимальной интенсивности производство достигло в декабре 1916 г.</w:t>
      </w:r>
    </w:p>
    <w:p w14:paraId="468C28C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Итоги работы русских заводов по изготовлению снарядов во время первой мировой войны [5, с. 198]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8"/>
        <w:gridCol w:w="720"/>
        <w:gridCol w:w="960"/>
        <w:gridCol w:w="1066"/>
        <w:gridCol w:w="1018"/>
        <w:gridCol w:w="1142"/>
      </w:tblGrid>
      <w:tr w:rsidR="002B1C74" w:rsidRPr="002F2FDF" w14:paraId="20476925" w14:textId="77777777">
        <w:trPr>
          <w:trHeight w:val="355"/>
        </w:trPr>
        <w:tc>
          <w:tcPr>
            <w:tcW w:w="1498" w:type="dxa"/>
            <w:tcBorders>
              <w:top w:val="single" w:sz="12" w:space="0" w:color="auto"/>
            </w:tcBorders>
          </w:tcPr>
          <w:p w14:paraId="0A0429B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Название снарядов</w:t>
            </w:r>
          </w:p>
          <w:p w14:paraId="5CC019E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Borders>
              <w:top w:val="single" w:sz="12" w:space="0" w:color="auto"/>
            </w:tcBorders>
          </w:tcPr>
          <w:p w14:paraId="50AEB25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p w14:paraId="58FDBF3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Borders>
              <w:top w:val="single" w:sz="12" w:space="0" w:color="auto"/>
            </w:tcBorders>
          </w:tcPr>
          <w:p w14:paraId="199DF04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p w14:paraId="5B18D12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66" w:type="dxa"/>
            <w:tcBorders>
              <w:top w:val="single" w:sz="12" w:space="0" w:color="auto"/>
            </w:tcBorders>
          </w:tcPr>
          <w:p w14:paraId="621D9A5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p w14:paraId="24B5EFA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18" w:type="dxa"/>
            <w:tcBorders>
              <w:top w:val="single" w:sz="12" w:space="0" w:color="auto"/>
            </w:tcBorders>
          </w:tcPr>
          <w:p w14:paraId="72B734B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w:t>
            </w:r>
          </w:p>
          <w:p w14:paraId="796EAEB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42" w:type="dxa"/>
            <w:tcBorders>
              <w:top w:val="single" w:sz="12" w:space="0" w:color="auto"/>
            </w:tcBorders>
          </w:tcPr>
          <w:p w14:paraId="2631991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p w14:paraId="57CAF5E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44CF1235" w14:textId="77777777">
        <w:trPr>
          <w:trHeight w:val="605"/>
        </w:trPr>
        <w:tc>
          <w:tcPr>
            <w:tcW w:w="1498" w:type="dxa"/>
          </w:tcPr>
          <w:p w14:paraId="6E9970F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76-мм шрапнели</w:t>
            </w:r>
          </w:p>
          <w:p w14:paraId="0F8F298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76-мм гранаты Всего 76-мм</w:t>
            </w:r>
          </w:p>
          <w:p w14:paraId="0239785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Pr>
          <w:p w14:paraId="71CB4A7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78800</w:t>
            </w:r>
          </w:p>
          <w:p w14:paraId="1EF4D0C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30F99A4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78800</w:t>
            </w:r>
          </w:p>
          <w:p w14:paraId="72A0CD5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1DF369B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6807300 2018500</w:t>
            </w:r>
          </w:p>
          <w:p w14:paraId="1E2C425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8825800</w:t>
            </w:r>
          </w:p>
          <w:p w14:paraId="22FAC74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66" w:type="dxa"/>
          </w:tcPr>
          <w:p w14:paraId="09BC7C7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11377200 15521800</w:t>
            </w:r>
          </w:p>
          <w:p w14:paraId="1EFF8A2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26899000</w:t>
            </w:r>
          </w:p>
          <w:p w14:paraId="4C6367A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18" w:type="dxa"/>
          </w:tcPr>
          <w:p w14:paraId="1C8C9D6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7217500</w:t>
            </w:r>
          </w:p>
          <w:p w14:paraId="597F5E8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10504300</w:t>
            </w:r>
          </w:p>
          <w:p w14:paraId="065AEA7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17721800</w:t>
            </w:r>
          </w:p>
          <w:p w14:paraId="68E0B2C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42" w:type="dxa"/>
          </w:tcPr>
          <w:p w14:paraId="0F36C82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25480800</w:t>
            </w:r>
          </w:p>
          <w:p w14:paraId="43A8FD1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28044600</w:t>
            </w:r>
          </w:p>
          <w:p w14:paraId="450270C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53525400</w:t>
            </w:r>
          </w:p>
          <w:p w14:paraId="09ACCA0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582FA71B" w14:textId="77777777">
        <w:trPr>
          <w:trHeight w:val="355"/>
        </w:trPr>
        <w:tc>
          <w:tcPr>
            <w:tcW w:w="1498" w:type="dxa"/>
          </w:tcPr>
          <w:p w14:paraId="56FA66C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снарядов 122-мм гранаты и шрапнели</w:t>
            </w:r>
          </w:p>
          <w:p w14:paraId="5F45ACD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Pr>
          <w:p w14:paraId="0F05B2E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24000</w:t>
            </w:r>
          </w:p>
          <w:p w14:paraId="68AD94E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6636FA5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358938</w:t>
            </w:r>
          </w:p>
          <w:p w14:paraId="66300A2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66" w:type="dxa"/>
          </w:tcPr>
          <w:p w14:paraId="5C01FC0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2212512</w:t>
            </w:r>
          </w:p>
          <w:p w14:paraId="532EFA3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18" w:type="dxa"/>
          </w:tcPr>
          <w:p w14:paraId="4C4260C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3238404</w:t>
            </w:r>
          </w:p>
          <w:p w14:paraId="2988A19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42" w:type="dxa"/>
          </w:tcPr>
          <w:p w14:paraId="79AC072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5833854</w:t>
            </w:r>
          </w:p>
          <w:p w14:paraId="579A5EB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4C28D00C" w14:textId="77777777">
        <w:trPr>
          <w:trHeight w:val="346"/>
        </w:trPr>
        <w:tc>
          <w:tcPr>
            <w:tcW w:w="1498" w:type="dxa"/>
          </w:tcPr>
          <w:p w14:paraId="372AABD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107-мм гранаты и шрапнели</w:t>
            </w:r>
          </w:p>
          <w:p w14:paraId="7B0F730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Pr>
          <w:p w14:paraId="1ABCD38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_</w:t>
            </w:r>
          </w:p>
          <w:p w14:paraId="590B787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2818932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243589</w:t>
            </w:r>
          </w:p>
          <w:p w14:paraId="51D2A5B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66" w:type="dxa"/>
          </w:tcPr>
          <w:p w14:paraId="192C808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720812</w:t>
            </w:r>
          </w:p>
          <w:p w14:paraId="5B4B781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18" w:type="dxa"/>
          </w:tcPr>
          <w:p w14:paraId="794BA56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759487</w:t>
            </w:r>
          </w:p>
          <w:p w14:paraId="6616764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42" w:type="dxa"/>
          </w:tcPr>
          <w:p w14:paraId="06C5663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1723888</w:t>
            </w:r>
          </w:p>
          <w:p w14:paraId="5DEF9B6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18AC67A9" w14:textId="77777777">
        <w:trPr>
          <w:trHeight w:val="1190"/>
        </w:trPr>
        <w:tc>
          <w:tcPr>
            <w:tcW w:w="1498" w:type="dxa"/>
          </w:tcPr>
          <w:p w14:paraId="54C2473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152-мм гранаты 203-мм гранаты 254-мм гранаты 280-мм гранаты 305-мм гранаты</w:t>
            </w:r>
          </w:p>
          <w:p w14:paraId="3C3296D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Pr>
          <w:p w14:paraId="7BD1A71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350440A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7F300C2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714FC9D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2100</w:t>
            </w:r>
          </w:p>
          <w:p w14:paraId="1CFF905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60" w:type="dxa"/>
          </w:tcPr>
          <w:p w14:paraId="1350C22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131724</w:t>
            </w:r>
          </w:p>
          <w:p w14:paraId="1C3531A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3FBDB0B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6B309A3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6237</w:t>
            </w:r>
          </w:p>
          <w:p w14:paraId="429A26D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1600</w:t>
            </w:r>
          </w:p>
          <w:p w14:paraId="2ED1231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66" w:type="dxa"/>
          </w:tcPr>
          <w:p w14:paraId="283BA4B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1130433</w:t>
            </w:r>
          </w:p>
          <w:p w14:paraId="132AA9E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66C5610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3D274BE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8590</w:t>
            </w:r>
          </w:p>
          <w:p w14:paraId="27972C3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3331</w:t>
            </w:r>
          </w:p>
          <w:p w14:paraId="6D88114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18" w:type="dxa"/>
          </w:tcPr>
          <w:p w14:paraId="180B755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2676164</w:t>
            </w:r>
          </w:p>
          <w:p w14:paraId="0AA216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3535</w:t>
            </w:r>
          </w:p>
          <w:p w14:paraId="074507D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270</w:t>
            </w:r>
          </w:p>
          <w:p w14:paraId="7E49609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6520</w:t>
            </w:r>
          </w:p>
          <w:p w14:paraId="600BA39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7372</w:t>
            </w:r>
          </w:p>
          <w:p w14:paraId="3990128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42" w:type="dxa"/>
          </w:tcPr>
          <w:p w14:paraId="6722A43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3938321</w:t>
            </w:r>
          </w:p>
          <w:p w14:paraId="3703E65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3535</w:t>
            </w:r>
          </w:p>
          <w:p w14:paraId="2BA98A0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270</w:t>
            </w:r>
          </w:p>
          <w:p w14:paraId="2221EFC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23447</w:t>
            </w:r>
          </w:p>
          <w:p w14:paraId="0AF7D9E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12303</w:t>
            </w:r>
          </w:p>
          <w:p w14:paraId="616FCA2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0774AE5F" w14:textId="77777777">
        <w:trPr>
          <w:trHeight w:val="442"/>
        </w:trPr>
        <w:tc>
          <w:tcPr>
            <w:tcW w:w="1498" w:type="dxa"/>
            <w:tcBorders>
              <w:bottom w:val="single" w:sz="12" w:space="0" w:color="auto"/>
            </w:tcBorders>
          </w:tcPr>
          <w:p w14:paraId="2911782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p w14:paraId="1E3BBED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Borders>
              <w:bottom w:val="single" w:sz="12" w:space="0" w:color="auto"/>
            </w:tcBorders>
          </w:tcPr>
          <w:p w14:paraId="751456C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104 900</w:t>
            </w:r>
          </w:p>
          <w:p w14:paraId="2851FDF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Borders>
              <w:bottom w:val="single" w:sz="12" w:space="0" w:color="auto"/>
            </w:tcBorders>
          </w:tcPr>
          <w:p w14:paraId="6C89A9C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9567888</w:t>
            </w:r>
          </w:p>
          <w:p w14:paraId="7842189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66" w:type="dxa"/>
            <w:tcBorders>
              <w:bottom w:val="single" w:sz="12" w:space="0" w:color="auto"/>
            </w:tcBorders>
          </w:tcPr>
          <w:p w14:paraId="1AB6642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30974678</w:t>
            </w:r>
          </w:p>
          <w:p w14:paraId="622CD30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18" w:type="dxa"/>
            <w:tcBorders>
              <w:bottom w:val="single" w:sz="12" w:space="0" w:color="auto"/>
            </w:tcBorders>
          </w:tcPr>
          <w:p w14:paraId="6CA9A45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24413552</w:t>
            </w:r>
          </w:p>
          <w:p w14:paraId="431278C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42" w:type="dxa"/>
            <w:tcBorders>
              <w:bottom w:val="single" w:sz="12" w:space="0" w:color="auto"/>
            </w:tcBorders>
          </w:tcPr>
          <w:p w14:paraId="36B0DFD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65061018</w:t>
            </w:r>
          </w:p>
          <w:p w14:paraId="3A87D14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2252259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Организация генерала С. Н. Ванкова сыграла огромную роль в снабжении русской армии боеприпасами в первую мировую войну [5, с. 130, 198].</w:t>
      </w:r>
    </w:p>
    <w:p w14:paraId="4479CD3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казенные и частные заводы изготовили для нужд армии 65061018 снарядов, из них 76-мм — 53 525 400 (табл. 1.10) [5, с. 198] (5484).</w:t>
      </w:r>
    </w:p>
    <w:p w14:paraId="0FC318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7F10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 1917. Намеченная дата пуска завода АМО (11201).</w:t>
      </w:r>
    </w:p>
    <w:p w14:paraId="07A9E8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459D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марте 1917 - официальная дата ввода в строй автомобилестроительного завода AMO (ныне ЗИЛ) в Москве (11275).</w:t>
      </w:r>
    </w:p>
    <w:p w14:paraId="35BF8D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97FD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марте 1917 года на о. Эзель вступила в строй батарея №41 с четырьмя 130/55-мм пушками (3861).</w:t>
      </w:r>
    </w:p>
    <w:p w14:paraId="31E6A3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1D1A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марта 1917 г., когда английский союзник в связи со сменой власти в России приостановил поставки «до прояснения картины», комплектование Царицынского завода оборудованием фирмы “Викерс” практически прекратилось В подобном же положении оказался еще ряд спешно оснащаемых в России оборонных производств (Ижорский и Ревдинский заводы, Ревельский порт, плавмастерская «Анадырь» и др.) (РГАВМФ, ф.401, оп.6, д. 1251, л.151.). Настоятельные требования русской стороны о возобновлении поставок оборудования позволили летом 1917 г. несколько сдвинуть дело, однако полностью укомплектовать завод оборудованием в связи со вскоре развернувшимися в России бурными событиями так и не удалось.</w:t>
      </w:r>
    </w:p>
    <w:p w14:paraId="0F9B49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Однако сооружаемому в дни первой мировой войны в Царицыне артиллерийскому заводу все же довелось принять участие в изготовлении главного калибра для отечественных линкоров, правда, уже в советское время. В 30-е гг. завод (он получил название «Баррикады») все же был пущен в ход, и в 1939–1940 гг. на нем изготовили одно опытное и двенадцать серийных 1б"/50 орудий для строившихся линкоров класса «Советский Союз».</w:t>
      </w:r>
    </w:p>
    <w:p w14:paraId="536271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Полностью программа развертывания производства самых современных тяжелых орудий в России предусматривала изготовление их до пятидесяти единиц в год для нужд как флота, так и армии. Подобный уровень производства соответствовал первоклассным мировым стандартам, однако программа эта, в связи с драматическими событиями, вскоре постигшими Россию, осуществлена полностью не была (12109).</w:t>
      </w:r>
    </w:p>
    <w:p w14:paraId="02A297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89D15F"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ранее марта 1917 г. Доклад Центрального военно-промышленного комитета о работе металлургической промышленности в первые месяцы 1917 г. и о мерах к усилению производства черного металла в России.</w:t>
      </w:r>
    </w:p>
    <w:p w14:paraId="6C3208D2"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94-102</w:t>
      </w:r>
    </w:p>
    <w:p w14:paraId="568952EE"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13251, оп. 20, д. 15, лл. 20—26. Гектогр.</w:t>
      </w:r>
    </w:p>
    <w:p w14:paraId="6D3F4B00"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Доклад Центрального военно-промышленного комитета о работе металлургической промышленности в первые месяцы 1917 г. и о мерах к усилению производства черного металла в России.</w:t>
      </w:r>
    </w:p>
    <w:p w14:paraId="302D3756"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Положение с черным металлом продолжает быть неблагоприятным. Правда, выплавка чугуна в империи в 1916 г. увеличилась на 7.54 млн пуд. по сравнению с выплавкой 1915 г., но все же оказалась ниже на 24.23 млн пуд. выплавки довоенного 1913 г. Выплавка на Урале к тому же отстала от выплавки прошлого года на 3.88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18"/>
        <w:gridCol w:w="660"/>
        <w:gridCol w:w="740"/>
        <w:gridCol w:w="820"/>
        <w:gridCol w:w="915"/>
      </w:tblGrid>
      <w:tr w:rsidR="002B1C74" w:rsidRPr="002F2FDF" w14:paraId="2A8C061C" w14:textId="77777777" w:rsidTr="000655F6">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1B0AD4A"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Районы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1F4E1EE"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Выплавка чугуна (в млн пуд.)</w:t>
            </w:r>
          </w:p>
        </w:tc>
      </w:tr>
      <w:tr w:rsidR="002B1C74" w:rsidRPr="002F2FDF" w14:paraId="326E5C08" w14:textId="77777777" w:rsidTr="000655F6">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8D31ED0"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51FCB6"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8A238"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3F87E"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0AB74"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r>
      <w:tr w:rsidR="002B1C74" w:rsidRPr="002F2FDF" w14:paraId="46123CDE"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CD5F0B"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4156B"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67D57"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359C7"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167.54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82C25"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175.64</w:t>
            </w:r>
          </w:p>
        </w:tc>
      </w:tr>
      <w:tr w:rsidR="002B1C74" w:rsidRPr="002F2FDF" w14:paraId="33AC3D36"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B5D7AE"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00F8C"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11F76"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0D526"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DE022"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46.41</w:t>
            </w:r>
          </w:p>
        </w:tc>
      </w:tr>
      <w:tr w:rsidR="002B1C74" w:rsidRPr="002F2FDF" w14:paraId="5E7E03FC"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B517AE"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Подмосковный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A70F6"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C65DB"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C7041"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B4474"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10.55</w:t>
            </w:r>
          </w:p>
        </w:tc>
      </w:tr>
      <w:tr w:rsidR="002B1C74" w:rsidRPr="002F2FDF" w14:paraId="376D3AE4"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6BBF54"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в империи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7B8C1"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256.84**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7A9A5"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249.97***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3D736"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41C44"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232 61*****</w:t>
            </w:r>
          </w:p>
        </w:tc>
      </w:tr>
      <w:tr w:rsidR="002B1C74" w:rsidRPr="002F2FDF" w14:paraId="14711A4E" w14:textId="77777777" w:rsidTr="000655F6">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478FCAA"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Так в док.; следует: 253.75</w:t>
            </w:r>
          </w:p>
          <w:p w14:paraId="6081FCAB"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Так в док.; следует: 249.16</w:t>
            </w:r>
          </w:p>
          <w:p w14:paraId="75C71026"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 в док.; следует: 224.89</w:t>
            </w:r>
          </w:p>
          <w:p w14:paraId="70C36E73"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 в док.; следует: 232.60</w:t>
            </w:r>
          </w:p>
        </w:tc>
      </w:tr>
    </w:tbl>
    <w:p w14:paraId="520AE4CC"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текущем году положение ухудшилось. В связи с транспортными затруднениями и главным образом с реквизицией донецкого топлива, идущего на нужды металлургических заводов, для железных дорог,</w:t>
      </w:r>
      <w:hyperlink r:id="rId95" w:anchor="_ftn2" w:history="1">
        <w:r w:rsidRPr="002F2FDF">
          <w:rPr>
            <w:rFonts w:ascii="Times New Roman" w:hAnsi="Times New Roman" w:cs="Times New Roman"/>
            <w:color w:val="000000" w:themeColor="text1"/>
            <w:kern w:val="2"/>
            <w:sz w:val="16"/>
            <w:szCs w:val="16"/>
          </w:rPr>
          <w:t>[2]</w:t>
        </w:r>
      </w:hyperlink>
      <w:r w:rsidRPr="002F2FDF">
        <w:rPr>
          <w:rFonts w:ascii="Times New Roman" w:hAnsi="Times New Roman" w:cs="Times New Roman"/>
          <w:color w:val="000000" w:themeColor="text1"/>
          <w:kern w:val="2"/>
          <w:sz w:val="16"/>
          <w:szCs w:val="16"/>
        </w:rPr>
        <w:t xml:space="preserve"> выплавка чугуна на Юге России резко понизилась и с максимальной цифры в октябре 1916 г. в 16 415 тыс. пуд. опустилась в феврале т. г. до 9.761 тыс. пуд., т. е. сократилась на 40.5%. По приблизительным данным, выплавка чугуна в империи за первую четверть 1917 г. составила только 48.20 млн пуд. против 58.52 млн пуд. в 1916 г., т. е. уменьшилась на 10.32 млн пуд., или на 17.6%</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18"/>
        <w:gridCol w:w="1588"/>
        <w:gridCol w:w="1588"/>
        <w:gridCol w:w="3366"/>
      </w:tblGrid>
      <w:tr w:rsidR="002B1C74" w:rsidRPr="002F2FDF" w14:paraId="46DBCF4F" w14:textId="77777777" w:rsidTr="00871D7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6F8445F"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Районы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D63B751"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Выплавка чугуна (в млн пуд.) за 1-ю четверть</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57C9137"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плюс (+) или минус (—) против 1916 г.</w:t>
            </w:r>
          </w:p>
        </w:tc>
      </w:tr>
      <w:tr w:rsidR="002B1C74" w:rsidRPr="002F2FDF" w14:paraId="6F348557" w14:textId="77777777" w:rsidTr="00871D7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9ACEBED"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E3E851"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46A21"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C7853D2"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2BBB3E96"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EC4394"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9710A"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2522A"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704AC"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9.71</w:t>
            </w:r>
          </w:p>
        </w:tc>
      </w:tr>
      <w:tr w:rsidR="002B1C74" w:rsidRPr="002F2FDF" w14:paraId="27D0F873"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5CBCF6"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9F340"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59579"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417C7"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47ED4DD2"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D80E60"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Подмосковный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C2DFF"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D8785"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4EB22"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0.61</w:t>
            </w:r>
          </w:p>
        </w:tc>
      </w:tr>
      <w:tr w:rsidR="002B1C74" w:rsidRPr="002F2FDF" w14:paraId="22045895"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CF3C4A"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в империи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8DC45"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7006F"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8731A"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—10.32</w:t>
            </w:r>
          </w:p>
        </w:tc>
      </w:tr>
    </w:tbl>
    <w:p w14:paraId="1BC6FF15"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сравнению же с максимальной выплавкой в первой четверти 1914 г. (66.30 млн пуд.) выплавка текущего года сократилась на 18.10млн пуд., или на 26.3/0.</w:t>
      </w:r>
    </w:p>
    <w:p w14:paraId="3C349B63"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происходивших осенью прошлого года совещаниях при Центральном военно-промышленном комитете было установлено, что ежемесячная потребность в черном металле только на одни нужды обороны выражается в сумме не менее 18.5 млн пуд. готового железа и стали, тогда как месячная производительность заводов определилась всего в 15.5 млн пуд. готового железа и стали. Потребность в железе «частного рынка», т. е. населения, не учтенная в цифре 18.5 млн пуд., в 1913 г. равнялась примерно 10 млн пуд. в месяц, а для военного времени принималась в размере не менее 5 млн пуд. ежемесячно.</w:t>
      </w:r>
    </w:p>
    <w:p w14:paraId="493A037D"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Обращая внимание на резкое несоответствие между спросом и предложением металла, Центральный военно-промышленный комитет в докладной записке,</w:t>
      </w:r>
      <w:hyperlink r:id="rId96" w:anchor="_ftn3" w:history="1">
        <w:r w:rsidRPr="002F2FDF">
          <w:rPr>
            <w:rFonts w:ascii="Times New Roman" w:hAnsi="Times New Roman" w:cs="Times New Roman"/>
            <w:color w:val="000000" w:themeColor="text1"/>
            <w:kern w:val="2"/>
            <w:sz w:val="16"/>
            <w:szCs w:val="16"/>
          </w:rPr>
          <w:t>[3]</w:t>
        </w:r>
      </w:hyperlink>
      <w:r w:rsidRPr="002F2FDF">
        <w:rPr>
          <w:rFonts w:ascii="Times New Roman" w:hAnsi="Times New Roman" w:cs="Times New Roman"/>
          <w:color w:val="000000" w:themeColor="text1"/>
          <w:kern w:val="2"/>
          <w:sz w:val="16"/>
          <w:szCs w:val="16"/>
        </w:rPr>
        <w:t xml:space="preserve"> представленной в Особое совещание по обороне государства, предлагал ряд мер к устранению этого несоответствия и, между прочим, намечал меры к тому, чтобы довести производство отечественного металла до уже достигнутой максимальной нормы: для выплавки чугуна 21.86 млн пуд. в месяц и для готового железа и стали 19.28 млп пуд.</w:t>
      </w:r>
    </w:p>
    <w:p w14:paraId="51A49E63"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Как видно из вышеприведенной таблички, средняя месячная выплавка чугуна в текущем году составляет 16.06 млн пуд. и, таким образом, отстает от намеченной Центральным комитетом нормы на 5.80 млн пуд., или на 26.5% .Еще значительнее разница между современной фактической производительностью металлургических заводов и возможной по их техническим средствам и оборудованию производительностью, установленной специально командированными на Юг и Урал правительственными комиссиями, обследовавшими металлургические заводы в конце 1916 г. и начале текущего года в целях поднятия их производительности. Комиссии эти пришли к заключению, что заводы по своим техническим средствам и оборудованию могли бы выпускать металлы в количестве, значительно превышающем их фактическую производительность, а именно: ежемесячная возможная производительность южных заводов была ими определена но отношению к чугуну в 18 730 тыс. пуд., литой болванке в 16 910 тыс. пуд., готовому продукту в 13 319 тыс. пуд. Между тем средняя месячная за первую четверть текущего года выплавка чугуна (10.87) отстает от возможной на 7.86 млн пуд., или на 42%.</w:t>
      </w:r>
    </w:p>
    <w:p w14:paraId="335D1CD9"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Возможная производительность уральских заводов была определена в 62 млн пуд. чугуна в год и литого металла в 61 млн пуд. В настоящее время фактическая выплавка (4.48 млн. пуд. в месяц) отстает от возможной (5.17 млн пуд.) на 0.69 млн пуд., или на 13.3%.</w:t>
      </w:r>
    </w:p>
    <w:p w14:paraId="1628855B"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 мнению комиссии, обследовавшей южные заводы, указанная возможная производительность этих заводов является далеко не использованной исключительно вследствие необеспеченности заводов минеральным топливом надлежащего качества и количества.</w:t>
      </w:r>
    </w:p>
    <w:p w14:paraId="2B90A357"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Комиссия, обследовавшая уральские заводы,</w:t>
      </w:r>
      <w:hyperlink r:id="rId97" w:anchor="_ftn4" w:history="1">
        <w:r w:rsidRPr="002F2FDF">
          <w:rPr>
            <w:rFonts w:ascii="Times New Roman" w:hAnsi="Times New Roman" w:cs="Times New Roman"/>
            <w:color w:val="000000" w:themeColor="text1"/>
            <w:kern w:val="2"/>
            <w:sz w:val="16"/>
            <w:szCs w:val="16"/>
          </w:rPr>
          <w:t>[4]</w:t>
        </w:r>
      </w:hyperlink>
      <w:r w:rsidRPr="002F2FDF">
        <w:rPr>
          <w:rFonts w:ascii="Times New Roman" w:hAnsi="Times New Roman" w:cs="Times New Roman"/>
          <w:color w:val="000000" w:themeColor="text1"/>
          <w:kern w:val="2"/>
          <w:sz w:val="16"/>
          <w:szCs w:val="16"/>
        </w:rPr>
        <w:t xml:space="preserve"> пришла к выводу, что выпуск чугуна в 1917 г. понизился по сравнению с выплавкой 1916 г. вследствие недостаточного снабжения заводов горючими материалами: древесным углем для доменных печей и каменным углем для передельных производств. Недостаточная выработка и подвозка горючего объясняется в свою очередь недостатком рабочих для рубки леса и в шахтах и возчиков для вывоза дров и угля из мест добычи, недостатком фуража и продовольственных средств и неудовлетворительным состоянием перевозок вследствие необеспеченности железных дорог Уральского горнозаводского района паровозами, а также и топливом.</w:t>
      </w:r>
    </w:p>
    <w:p w14:paraId="66D70BAE"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Снабжение металлургических заводов необходимыми для производства материалами продолжает быть и по настоящее время в тех же неблагоприятных условиях, какие были отмечены в работах комиссии.</w:t>
      </w:r>
    </w:p>
    <w:p w14:paraId="62E81290"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Снабжение южных металлургических заводов топливом значительно ухудшилось в конце 1916 г. и начале '1917 г. в связи с расстройством транспорта и реквизицией топлива для железных дорог. Расход донецкого топлива на железных дорогах увеличился с 40 до 63 млн пуд. в декабре 1916 г. В 1917 г. дороги стали требовать для своих нужд 70 млн пуд. в месяц, тогда как при среднем ежемесячном вывозе донецкого топлива в 106 млн пуд. дорогам может быть уделено только 40 млн пуд., не расстраивая работы металлургических заводов и промышленных предприятий, работающих на оборону. Нерациональная политика железных дорог в отношении их топливного хозяйства, непринятие ими заблаговременно мер по обеспечению себя другими видами топлива, главным образом дровами, привели к тому, что они вынуждены были в целях избежания перерывов в движении реквизировать топливо, идущее для промышленных предприятий, в том числе и для металлургических заводов. Вследствие этого остановилось много домен и мартеновских печей. В феврале 1917 г. из 62 доменных нечей работали только 35 против 57 действующих домен в августе '1916 г.</w:t>
      </w:r>
    </w:p>
    <w:p w14:paraId="7C1CFDEB"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первые три месяца т. г. добыча каменного угля в Донецком бассейне упала по сравнению с прошлогоднею на 19 млн пуд., составив 347 млн пуд. против 366 млн нуд. в 1916 г., причем в марте достигла наименьшего уровня. Добыто за месяц (млн н}гд.):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2"/>
        <w:gridCol w:w="616"/>
        <w:gridCol w:w="394"/>
      </w:tblGrid>
      <w:tr w:rsidR="002B1C74" w:rsidRPr="002F2FDF" w14:paraId="3F0F0827" w14:textId="77777777" w:rsidTr="000655F6">
        <w:trPr>
          <w:tblCellSpacing w:w="15"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F4617E1"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r>
      <w:tr w:rsidR="002B1C74" w:rsidRPr="002F2FDF" w14:paraId="63B4E784"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B88BEC"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CA8B6"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12F00"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r>
      <w:tr w:rsidR="002B1C74" w:rsidRPr="002F2FDF" w14:paraId="2A187007"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22AEF6"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EDE73"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89568"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w:t>
            </w:r>
          </w:p>
        </w:tc>
      </w:tr>
    </w:tbl>
    <w:p w14:paraId="068E8DB2"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Выжиг кокса на Юге России за первую четверть года составил 58.7 млн пуд. против 67.4 млн пуд. в 1916 г., т. е. сократился на 8.7 млн пуд. В феврале было произведено кокса 17.8 млн пуд., тогда как производительная способность имеющихся коксовых печей равнялась 28.5 млн пуд.</w:t>
      </w:r>
    </w:p>
    <w:p w14:paraId="25DE99C7"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Вывоз донецкого топлива за то же время уменьшился на 37.4 млн пуд., составив 301.2 против 338.6 млн пуд. в 1916 г. Особенно значительно сокра-тылся вывоз каменного угля и кокса. За первые три месяца было вывезено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7"/>
        <w:gridCol w:w="508"/>
        <w:gridCol w:w="508"/>
        <w:gridCol w:w="2046"/>
      </w:tblGrid>
      <w:tr w:rsidR="002B1C74" w:rsidRPr="002F2FDF" w14:paraId="4FA02F17"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BE3AA6" w14:textId="3CAC40E5" w:rsidR="000655F6"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CE237"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F02FD"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287CA"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менее, чем в 1916 г.</w:t>
            </w:r>
          </w:p>
        </w:tc>
      </w:tr>
      <w:tr w:rsidR="002B1C74" w:rsidRPr="002F2FDF" w14:paraId="4159E4B1"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3B75F9"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9AB86"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5F3E4"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A6537"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—36.8</w:t>
            </w:r>
          </w:p>
        </w:tc>
      </w:tr>
      <w:tr w:rsidR="002B1C74" w:rsidRPr="002F2FDF" w14:paraId="58EB27FC"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A741EE"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902F5"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32D05"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3059C"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8.8</w:t>
            </w:r>
          </w:p>
        </w:tc>
      </w:tr>
    </w:tbl>
    <w:p w14:paraId="5069C131"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Главной причиной недовывоза были неподачи. Так, в январе т. г. недогруз по отказам отправителей составил 31.7 млн пуд. против 61 млн пуд. недогруза вследствие неподач, в том числе 47.4 млн пуд. вследствие недостатка вагонов.</w:t>
      </w:r>
    </w:p>
    <w:p w14:paraId="04255C0E"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сокращении общей суммы вывоза отпуск для железных дорог возрос за счет сокращения вывоза для других потребителей, в том числе и для металлургических заводов. Вывезено за первую четверть года донецкого топлива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76"/>
        <w:gridCol w:w="508"/>
        <w:gridCol w:w="508"/>
        <w:gridCol w:w="3347"/>
      </w:tblGrid>
      <w:tr w:rsidR="002B1C74" w:rsidRPr="002F2FDF" w14:paraId="509EFB16"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49441A" w14:textId="06876C52" w:rsidR="000655F6"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66A12"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FF919"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415A4"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Более (+) или менее (—) в 1917 г. против 1916 г.</w:t>
            </w:r>
          </w:p>
        </w:tc>
      </w:tr>
      <w:tr w:rsidR="002B1C74" w:rsidRPr="002F2FDF" w14:paraId="3E23DE18"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1351E8"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Железные дороги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A2618"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44774"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5F3B9"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+10.9</w:t>
            </w:r>
          </w:p>
        </w:tc>
      </w:tr>
      <w:tr w:rsidR="002B1C74" w:rsidRPr="002F2FDF" w14:paraId="401F8B46"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0C090D"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Металлургические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3F264"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6C8CA"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19FE3"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r>
    </w:tbl>
    <w:p w14:paraId="152EE508"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Транспортные затруднения имели место и в отношении других горнозаводских грузов, потребляемых металлургическими заводами.</w:t>
      </w:r>
    </w:p>
    <w:p w14:paraId="43152D43"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Вывоз руды за первые два месяца составил 26.90 млн пуд. против 51.61 млн пуд. в 1916 г. и вывоз флюсов — 13.40 млн нуд. против 15.29 млн пуд. в 1916 г. Ухудшение в снабжении металлургических заводов необходимым им сырьем обусловило уже отмеченное нами выше сокращение выплавки чугуна.</w:t>
      </w:r>
    </w:p>
    <w:p w14:paraId="1E763683"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т. г. 14 печей стояло на парах. Большинство мартеновских печей и прокатных устройств бездействовали. Производство полупродукта и готового продукта на Юге России значительно сократилось, составив за первые два месяца [млн нуд.]: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36"/>
        <w:gridCol w:w="508"/>
        <w:gridCol w:w="523"/>
      </w:tblGrid>
      <w:tr w:rsidR="002B1C74" w:rsidRPr="002F2FDF" w14:paraId="504EE369"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160AE5" w14:textId="56C8E2E2" w:rsidR="000655F6"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0ACBBB9"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A7B74"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r>
      <w:tr w:rsidR="002B1C74" w:rsidRPr="002F2FDF" w14:paraId="38B82A59"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771DEA"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Полупродукты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393FD"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14606"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27.05</w:t>
            </w:r>
          </w:p>
        </w:tc>
      </w:tr>
      <w:tr w:rsidR="002B1C74" w:rsidRPr="002F2FDF" w14:paraId="7F8CAAB2"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3D6DD4"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Готовый продукт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B1B29"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DAFC3"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21.74</w:t>
            </w:r>
          </w:p>
        </w:tc>
      </w:tr>
    </w:tbl>
    <w:p w14:paraId="527D6D38"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рабочих на заводах и копях было значительно больше, чем в 1916 г., но в составе их преобладали военнопленные, женщины и подростки, что обусловило понижение производительности рабочего.</w:t>
      </w:r>
    </w:p>
    <w:p w14:paraId="30D3CF3E"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Положение рабочего крайне тяжелое вследствие недостаточного снабжения горных и горнозаводских предприятий продовольствием.</w:t>
      </w:r>
    </w:p>
    <w:p w14:paraId="48C24574"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Запасы топлива на заводах уменьшились по сравнению с прошлым годом: на 1 марта 1917 г. было каменного угля 2.49 млн. пуд. против 5.60 млн. пуд. в 1916 г. и кокса 3.95 против 5.69 на 1 марта 1916 г.</w:t>
      </w:r>
    </w:p>
    <w:p w14:paraId="5FEF5B5D"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последнее время произошли новые обстоятельства, угрожающие еще больше ухудшить положение русской металлургической промышленности. В связи с государственным переворотом начались брожения и волнения среди горных и горнозаводских рабочих как Юга России, так и Урала. Предъявлены были требования относительно увеличения заработной платы, установления восьмичасового рабочего дня, а самое последнее время отношения между рабочими и горнопромышленниками настолько обострились и нормальная жизнь в горных и горнозаводских предприятиях настолько расстроилась, что можно Ъпасаться падения добычи донецкого топлива в мае и июне даже по сравнению с существующим минимальным уровнем ее; выплавка чугуна на Юге России едва ли будет выше 8 млн пуд. в месяц. К горнопромышленным предприятиям предъявляются столь чрезмерные требования, что удовлетворение их может повести к полному финансовому краху горных и горнозаводских предприятий, и владельцы последних вынуждены будут вследствие недостатка денежных средств закрыть заводы, копи и рудники.</w:t>
      </w:r>
    </w:p>
    <w:p w14:paraId="7C90F206"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Очерченное выше положение отечественной металлургии настоятельно требует принятия решительных мероприятий к восстановлению нормальной деятельности металлургических заводов и доведения производительности последних до уже достигнутой ими в первом полугодии 1917 г. максимальной нормы. Для этого прежде всего необходимо:</w:t>
      </w:r>
    </w:p>
    <w:p w14:paraId="5FA1B7F4"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своевременное и планомерное получение топлива в надлежащих для полного действия заводов количествах и надлежащих качеств, а также-получение флюсов и огнеупорных материалов для печей;</w:t>
      </w:r>
    </w:p>
    <w:p w14:paraId="5A1AFB82"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обеспечение металлургических заводов и подсобных им горных промыслов необходимым для рабочих и служащих продовольствием и продуктами первой необходимости, а также другими необходимыми для производства и добычи предметами.</w:t>
      </w:r>
    </w:p>
    <w:p w14:paraId="582F8B55"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упорядочение рабочего вопроса.</w:t>
      </w:r>
    </w:p>
    <w:p w14:paraId="3301254E"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В целях своевременного получения заводами топлива и сырья необходимы мероприятия по упорядочению транспорта вообще и в особенности по усилению перевозок горнозаводских грузов как на Юге России, так и на Урале.</w:t>
      </w:r>
    </w:p>
    <w:p w14:paraId="4E00EA9E"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Для усиления работы железных дорог Юга России и в особенности прилегающей к Донецкому каменноугольному бассейну Екатерининской ж. д. последнюю необходимо прочно и навсегда обеспечить надлежащим парком в количестве не менее 44 тыс. вагонов и соответственным числом паровозов. Для усиления работы железных дорог, обслуживающих Уральский горнозаводский район, необходимо также снабдить их (в особенности Западно-Уральскую и Омскую железные дороги) достаточным количеством вагонов и паровозов.</w:t>
      </w:r>
    </w:p>
    <w:p w14:paraId="14357B9A"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Вследствие недостаточного ремонта в течение войны подвижного состава вагонное и в особенности паровозное хозяйство железных дорог пришли в крайнее расстройство. Для устранения недостатка подвижного-состава необходимо прежде всего произвести капитальный ремонт. Все железнодорожные мастерские должны принять самые энергичные меры к интенсивной работе по ремонту, освободить эти мастерские от работ, не имеющих отношения к железнодорожному хозяйству.</w:t>
      </w:r>
    </w:p>
    <w:p w14:paraId="62D3925E"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наискорейшего приведения в порядок подвижного состава, в особенности паровозов, незамедлительно должен быть составлен план для передачи большого ремонта подвижного состава как казенных, так и частных железных дорог паровозо- и вагоностроительным заводам, а также другим крупным заводам, как например металлургическим, которые легче могут технически оборудовать соответствующий отдел.</w:t>
      </w:r>
    </w:p>
    <w:p w14:paraId="69A30EAA"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осуществления этого срочного большого ремонта должно быть предоставлено все потребное количество металла.</w:t>
      </w:r>
    </w:p>
    <w:p w14:paraId="2F768CE4"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Помимо ремонта подвижного состава, необходимо ввиду недостаточной производительности русских вагоностроительных и паровозостроительных заводов сделать заказы в Америке на вагоны и паровозы и принять меры к скорейшему получению в счет этого заказа части существующего американского подвижного состава.</w:t>
      </w:r>
    </w:p>
    <w:p w14:paraId="7207C757"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 Необходимо установить общественный контроль над деятельностью железных дорог, создав органы надзора на местах (в управлении дорог и на станциях) при участии представителей общественности и служебного и рабочего персонала дорог.</w:t>
      </w:r>
    </w:p>
    <w:p w14:paraId="2F773D82"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 Необходимо увеличить контингент квалифицированных рабочих железнодорожных мастерских отчасти путем возврата из армии квалифицированных рабочих, отчасти путем перечисления рабочих промышленных предприятий, остановившихся из-за недостатка топлива и сырья, в железнодорожные мастерские.</w:t>
      </w:r>
    </w:p>
    <w:p w14:paraId="0C7F6318"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 Необходимо принять меры к ускорению времени пробега вагонов, груженных углем, и к устранению их простоя на станциях. По данным об-ва «Русский Провиданс», за декабрь 1916 г. и за январь т. г. наибольшая скорость пробега на весьма кратком 105-верстном расстоянии (от ст. Рут-ченково, где грузился уголь, до ст. Сартана, где расположен завод) составляла от 48 до 72 часов, тогда как значительная часть вагонов достигала назначения лишь на 9-е, 10-е и даже 11-е сутки.</w:t>
      </w:r>
    </w:p>
    <w:p w14:paraId="0E095269"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усиления коммерческой скорости движения товарных поездов необходимо предоставить Екатерининской дороге угля лучших качеств, чем доселе получаемые ею, и командировать ей до 2000 работоспособных людей (но не пленных) для образования из них кадра хороших рабочих-слесарей и помощников машинистов.</w:t>
      </w:r>
    </w:p>
    <w:p w14:paraId="16AB2C96"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частности, в целях облегчения железных дорог в деле перевозки минерального топлива и других горнозаводских грузов и упорядочения этих перевозок необходимы нижеследующие мероприятия.</w:t>
      </w:r>
    </w:p>
    <w:p w14:paraId="3FDA30F0"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Юге России</w:t>
      </w:r>
    </w:p>
    <w:p w14:paraId="309434BD"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Восстановить право начальника Екатерининской ж. д. использовать по мере действительной надобности дополнительные вагоны для перевозки минерального топлива всех сортов.</w:t>
      </w:r>
    </w:p>
    <w:p w14:paraId="40B8106D"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Обязать железные дороги не допускать произвольное и вообще длительное задержание подвижного состава на заводских и рудничных подъездных путях.</w:t>
      </w:r>
    </w:p>
    <w:p w14:paraId="705AF04C"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Установить, насколько это позволяют обстоятельства, унификацию адресов в том смысле, чтобы уголь с рудников направлялся по возможности в одни руки, как например в адрес города или особого уполномоченного по распределению топлива.</w:t>
      </w:r>
    </w:p>
    <w:p w14:paraId="6BC1977B"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Постепенно заменить на Екатерининской ж. д. американские вагоны, как не приспособленные к нагрузке и выгрузке угля, русскими, более подходящими для этой цели вагонами или соответственно переделать американские вагоны.</w:t>
      </w:r>
    </w:p>
    <w:p w14:paraId="7CDD3DE5" w14:textId="7E0E97E1"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Придать факту подачи вагонов на копи</w:t>
      </w:r>
      <w:hyperlink r:id="rId98" w:anchor="_ftn5" w:history="1">
        <w:r w:rsidRPr="002F2FDF">
          <w:rPr>
            <w:rFonts w:ascii="Times New Roman" w:hAnsi="Times New Roman" w:cs="Times New Roman"/>
            <w:color w:val="000000" w:themeColor="text1"/>
            <w:kern w:val="2"/>
            <w:sz w:val="16"/>
            <w:szCs w:val="16"/>
          </w:rPr>
          <w:t>[5]</w:t>
        </w:r>
      </w:hyperlink>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 распределению главноуполномоченного по топливу характер обязательного наряда, карая за неиспользование сих вагонов не только штрафами, фактически не уплачиваемыми, как теперь, но и мерами административных взысканий.</w:t>
      </w:r>
    </w:p>
    <w:p w14:paraId="4E9C6FE7"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Чтобы железные дороги обеспечили себя контрактами с углепромышленниками на поставку топлива, и тем была бы устранена действовавшая доселе система приобретения для железных дорог топлива, носящая случайный характер, или в крайнем случае ввести известную планомерность в реквизицию топлива для железных дорог путем установления принудительной заготовки его на заранее намеченных рудниках.</w:t>
      </w:r>
    </w:p>
    <w:p w14:paraId="627DD88B"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Устранить действующее ныне подразделение перевозимого железными дорогами минерального топлива на три группы (Аз, Буки, Веди), как затрудняющее использование случайно образовавшегося порожняка вагонов на станциях погрузки.</w:t>
      </w:r>
    </w:p>
    <w:p w14:paraId="10E92E5B"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Урале</w:t>
      </w:r>
    </w:p>
    <w:p w14:paraId="5CA41513"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Предоставить Уральскому порайонному комитету совместно с заводским совещанием право давать внеочередность горнозаводским грузам до группы Аз включительно, чем будут устранены проволочки, наблюдающиеся в настоящее время при даче нарядов из Петрограда.</w:t>
      </w:r>
    </w:p>
    <w:p w14:paraId="1DC966B3"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Включить в район Уральского порайонного комитета по перевозкам участок Самаро-Златоустовской ж. д. от ст. Полетаово до Уфы.</w:t>
      </w:r>
    </w:p>
    <w:p w14:paraId="5275B0FA"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Ввести в состав порайонного комитета по перевозкам особых контролеров-ревнзоров для фактической проверки движения грузов по железным дорогам.</w:t>
      </w:r>
    </w:p>
    <w:p w14:paraId="08133965"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Вместе с тем должны быть приняты меры к сокращению потребления железными дорогами донецкого минерального топлива путем перехода с него на другие роды топлива — древесное и торфяное. Потребление железными дорогами донецкого топлива не должно превышать 40—45 млн пуд. в месяц.</w:t>
      </w:r>
    </w:p>
    <w:p w14:paraId="648D919C"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Реквизиции топлива, идущего для нужд металлургических заводов, в пользу железных дорог не должны иметь места, за исключением случаев крайней необходимости; реквизиции в последнем случае должны производиться с разрешения уполномоченных председателя Особого совещания но топливу, и о них немедленно должен быть уведомляем потребитель, у которого топливо реквизируется.</w:t>
      </w:r>
    </w:p>
    <w:p w14:paraId="2617F72C"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Необходимо также сократить потребление коксующихся углей железными дорогами в целях освобождения их для нужд металлургии, для чего:</w:t>
      </w:r>
    </w:p>
    <w:p w14:paraId="0072233D"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Министерство путей сообщения должно показать насколько возможно установленную в настоящее время норму (70%) подмеси в топках паровозов коксующихся до минимума</w:t>
      </w:r>
      <w:hyperlink r:id="rId99" w:anchor="_ftn6" w:history="1">
        <w:r w:rsidRPr="002F2FDF">
          <w:rPr>
            <w:rFonts w:ascii="Times New Roman" w:hAnsi="Times New Roman" w:cs="Times New Roman"/>
            <w:color w:val="000000" w:themeColor="text1"/>
            <w:kern w:val="2"/>
            <w:sz w:val="16"/>
            <w:szCs w:val="16"/>
          </w:rPr>
          <w:t>[6]</w:t>
        </w:r>
      </w:hyperlink>
      <w:r w:rsidRPr="002F2FDF">
        <w:rPr>
          <w:rFonts w:ascii="Times New Roman" w:hAnsi="Times New Roman" w:cs="Times New Roman"/>
          <w:color w:val="000000" w:themeColor="text1"/>
          <w:kern w:val="2"/>
          <w:sz w:val="16"/>
          <w:szCs w:val="16"/>
        </w:rPr>
        <w:t>.</w:t>
      </w:r>
    </w:p>
    <w:p w14:paraId="35BE7CE1"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Принять меры к улучшению качества антрацита и тощих углей, потребляемых железными дорогами для топки, в целях получения процента подмеси коксующихся углей.</w:t>
      </w:r>
    </w:p>
    <w:p w14:paraId="67C99389"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Топки вновь строящихся, а также ремонтирующихся паровозов нужно приспособлять по возможности для сжигания антрацита.</w:t>
      </w:r>
    </w:p>
    <w:p w14:paraId="3B2DE53B"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Урале необходимо усилить добычу каменного угля на сибирских и в особенности на уральских копях.</w:t>
      </w:r>
    </w:p>
    <w:p w14:paraId="6ABFE8F0"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Затем необходимы меры по снабжению металлургических заводов и подсобных им горных промыслов необходимым для рабочих и служащих продовольствием и продуктами первой необходимости, а также другими предметами, необходимыми для нормальной деятельности заводов, копей и рудников.</w:t>
      </w:r>
    </w:p>
    <w:p w14:paraId="5F583D97"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частности: а) необходимо в целях обеспечения уральских заводов</w:t>
      </w:r>
    </w:p>
    <w:p w14:paraId="573FB41A"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фуражом и продовольствием освободить Пермскую губ. от поставки фуража фронту, предоставив весь этот фураж заводам, облегчить условия заготовки хлеба в Тобольской губ. и обеспечить зерном Исетский мукомольный район, б) установить правильную организацию снабжения горнозаводского Урала фуражом и продовольствием путем объединения всего этого дела в руках одного уполномоченного с подчинением ему всех других уполномоченных.</w:t>
      </w:r>
    </w:p>
    <w:p w14:paraId="41ED3904"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Необходимо также обеспечить снабжение горных и горнозаводских предприятий: а) железнодорожными материалами для расширения устройства путей, б) железом для построек печей на заводах и для рудников,</w:t>
      </w:r>
    </w:p>
    <w:p w14:paraId="44B113B0"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лесными материалами для рудников, г) кожею, керосином и смазочными: материалами.</w:t>
      </w:r>
    </w:p>
    <w:p w14:paraId="584D1A7B"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Урале население, занятое гужевыми перевозками для заводов, должно быть освобождено от реквизиции лошадей.</w:t>
      </w:r>
    </w:p>
    <w:p w14:paraId="20FDCED5"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III. Меры по рабочему вопросу. Для усиления производительности заводов и рудников необходимы: а) массовый возврат с фронта квалифицированных рабочих, взятых в армию с горнопромышленных предприятий, преимущественно на те заводы и промыслы, где они раньше работали, и</w:t>
      </w:r>
    </w:p>
    <w:p w14:paraId="43F4754E"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безусловно освобождение всех рабочих металлургических заводов и подсобных металлургии горных промыслов от призывов в будущих мобилизациях, если таковые будут иметь место.</w:t>
      </w:r>
    </w:p>
    <w:p w14:paraId="14450675"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Военнопленные, занятые уже на заводах, ни в коем случае не должны отвлекаться для производства полевых работ.</w:t>
      </w:r>
    </w:p>
    <w:p w14:paraId="3715772B"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весны текущего года особенно остро ощущался недостаток рабочей силы в южной горной промышленности в связи со строительным сезоном; по данным Совета съезда горнопромышленников Юга России нужда в рабочих выражается цифрою 100 тыс. чел. Для устранения недостатка в рабочих необходимо откомандировать для нужд горной промышленности некоторое количество войсковых частей глубокого тыла и тыловые войсковые формирования из бывших чинов полиции.</w:t>
      </w:r>
    </w:p>
    <w:p w14:paraId="4D897D18"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 всему изложенному необходимо добавить, что отечественного металла, если принятыми мероприятиями удастся даже достигнуть максимальной нормы производительности, имевшей уже место в нервом полугодии 1914 г., все же будет недостаточно для покрытия всей потребности страны в черном металле как на нужды, связанные с обороной, так и на нужды населения, удовлетворение которых в целях сохранения производительных сил страны не менее важно, чем удовлетворение потребностей фронта.</w:t>
      </w:r>
    </w:p>
    <w:p w14:paraId="2E90DEB5"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этого Центральный военно-промышленный комитет еще в 1916 г. указывал правительству на необходимость немедленного заказа за границей -— преимущественно в Сев. Америке — не менее 6—7 млн пуд. черного металла ежемесячно в течение по крайней мере полугодия. При этом указывалось на необходимость получения около 114 млн. пуд. чугуна из Швеции для передельных заводов Петрограда и Москвы, остальное количество предполагалось выписать частью в виде болванок и заготовки, а частью в виде наиболее простых профилей готового железа и стали: рельсов, катаной проволоки, балок и швеллеров, а также рельсовых скреплений в части, которая не может быть получена на отечественных заводах. Меры эти сохраняют свое значение для настоящего времени.</w:t>
      </w:r>
    </w:p>
    <w:p w14:paraId="06BC8931"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заключение необходимо заметить, что в настоящее время самое важное — это упорядочение рабочего вопроса в южном и уральском горнозаводских районах.</w:t>
      </w:r>
    </w:p>
    <w:p w14:paraId="09E7E290"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перечисленные выше меры не будут иметь значения, если сейчас же не будут урегулированы взаимоотношения между рабочими и горнопромышленниками.</w:t>
      </w:r>
    </w:p>
    <w:p w14:paraId="1FEB65E9"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Если немедленно не будут приняты самые решительные меры к установлению нормального хода работ на заводах, копях и рудниках Урала и Юга России, страна останется без топлива и металла и делу обороны будет нанесен непоправимый ущерб.</w:t>
      </w:r>
    </w:p>
    <w:p w14:paraId="24B16CF2" w14:textId="77777777" w:rsidR="000655F6"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100" w:anchor="_ftnref1" w:history="1">
        <w:r w:rsidR="000655F6" w:rsidRPr="002F2FDF">
          <w:rPr>
            <w:rFonts w:ascii="Times New Roman" w:hAnsi="Times New Roman" w:cs="Times New Roman"/>
            <w:color w:val="000000" w:themeColor="text1"/>
            <w:kern w:val="2"/>
            <w:sz w:val="16"/>
            <w:szCs w:val="16"/>
          </w:rPr>
          <w:t>[1]</w:t>
        </w:r>
      </w:hyperlink>
      <w:r w:rsidR="000655F6" w:rsidRPr="002F2FDF">
        <w:rPr>
          <w:rFonts w:ascii="Times New Roman" w:hAnsi="Times New Roman" w:cs="Times New Roman"/>
          <w:color w:val="000000" w:themeColor="text1"/>
          <w:kern w:val="2"/>
          <w:sz w:val="16"/>
          <w:szCs w:val="16"/>
        </w:rPr>
        <w:t xml:space="preserve"> Датируется по содержанию док.</w:t>
      </w:r>
    </w:p>
    <w:p w14:paraId="45AD3676" w14:textId="77777777" w:rsidR="000655F6"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101" w:anchor="_ftnref2" w:history="1">
        <w:r w:rsidR="000655F6" w:rsidRPr="002F2FDF">
          <w:rPr>
            <w:rFonts w:ascii="Times New Roman" w:hAnsi="Times New Roman" w:cs="Times New Roman"/>
            <w:color w:val="000000" w:themeColor="text1"/>
            <w:kern w:val="2"/>
            <w:sz w:val="16"/>
            <w:szCs w:val="16"/>
          </w:rPr>
          <w:t>[2]</w:t>
        </w:r>
      </w:hyperlink>
      <w:r w:rsidR="000655F6" w:rsidRPr="002F2FDF">
        <w:rPr>
          <w:rFonts w:ascii="Times New Roman" w:hAnsi="Times New Roman" w:cs="Times New Roman"/>
          <w:color w:val="000000" w:themeColor="text1"/>
          <w:kern w:val="2"/>
          <w:sz w:val="16"/>
          <w:szCs w:val="16"/>
        </w:rPr>
        <w:t xml:space="preserve"> К весне 1917 г. реквизиции донецкого угля для нужд железных дорог достигли 35—42 млн пуд. в месяц при общем месячном вывозе из Донбасса около 115— 120 млн пуд. (Известия Особого совещания по топливу, 1917, № 1, стр. 48—49).</w:t>
      </w:r>
    </w:p>
    <w:p w14:paraId="210F2FB3" w14:textId="77777777" w:rsidR="000655F6"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102" w:anchor="_ftnref3" w:history="1">
        <w:r w:rsidR="000655F6" w:rsidRPr="002F2FDF">
          <w:rPr>
            <w:rFonts w:ascii="Times New Roman" w:hAnsi="Times New Roman" w:cs="Times New Roman"/>
            <w:color w:val="000000" w:themeColor="text1"/>
            <w:kern w:val="2"/>
            <w:sz w:val="16"/>
            <w:szCs w:val="16"/>
          </w:rPr>
          <w:t>[3]</w:t>
        </w:r>
      </w:hyperlink>
      <w:r w:rsidR="000655F6" w:rsidRPr="002F2FDF">
        <w:rPr>
          <w:rFonts w:ascii="Times New Roman" w:hAnsi="Times New Roman" w:cs="Times New Roman"/>
          <w:color w:val="000000" w:themeColor="text1"/>
          <w:kern w:val="2"/>
          <w:sz w:val="16"/>
          <w:szCs w:val="16"/>
        </w:rPr>
        <w:t xml:space="preserve"> Записку Центрального военно-промышленного комитета об обеспечении империи чугуном, железом и сталью от 23 ноября 1916 г. см.: ЦГВИА, ф. 13251, оп. 20, д. 15, лл. 45—55.</w:t>
      </w:r>
    </w:p>
    <w:p w14:paraId="5EA5AFE8" w14:textId="77777777" w:rsidR="000655F6"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103" w:anchor="_ftnref4" w:history="1">
        <w:r w:rsidR="000655F6" w:rsidRPr="002F2FDF">
          <w:rPr>
            <w:rFonts w:ascii="Times New Roman" w:hAnsi="Times New Roman" w:cs="Times New Roman"/>
            <w:color w:val="000000" w:themeColor="text1"/>
            <w:kern w:val="2"/>
            <w:sz w:val="16"/>
            <w:szCs w:val="16"/>
          </w:rPr>
          <w:t>[4]</w:t>
        </w:r>
      </w:hyperlink>
      <w:r w:rsidR="000655F6" w:rsidRPr="002F2FDF">
        <w:rPr>
          <w:rFonts w:ascii="Times New Roman" w:hAnsi="Times New Roman" w:cs="Times New Roman"/>
          <w:color w:val="000000" w:themeColor="text1"/>
          <w:kern w:val="2"/>
          <w:sz w:val="16"/>
          <w:szCs w:val="16"/>
        </w:rPr>
        <w:t xml:space="preserve"> Речь идет о комиссии под председательством ген.-лейтенанта Н. Ф. Дроздова. Доклад комиссии ген. Дроздова о производительности металлургических заводов Ураль ского горнопромышленного района за 1916 г. и перспективах на 1917 г. см: ЦГАОР, ф. 683, оп. 1, д. 20, лл. 127—131.</w:t>
      </w:r>
    </w:p>
    <w:p w14:paraId="155A34DF" w14:textId="77777777" w:rsidR="000655F6"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104" w:anchor="_ftnref5" w:history="1">
        <w:r w:rsidR="000655F6" w:rsidRPr="002F2FDF">
          <w:rPr>
            <w:rFonts w:ascii="Times New Roman" w:hAnsi="Times New Roman" w:cs="Times New Roman"/>
            <w:color w:val="000000" w:themeColor="text1"/>
            <w:kern w:val="2"/>
            <w:sz w:val="16"/>
            <w:szCs w:val="16"/>
          </w:rPr>
          <w:t>[5]</w:t>
        </w:r>
      </w:hyperlink>
      <w:r w:rsidR="000655F6" w:rsidRPr="002F2FDF">
        <w:rPr>
          <w:rFonts w:ascii="Times New Roman" w:hAnsi="Times New Roman" w:cs="Times New Roman"/>
          <w:color w:val="000000" w:themeColor="text1"/>
          <w:kern w:val="2"/>
          <w:sz w:val="16"/>
          <w:szCs w:val="16"/>
        </w:rPr>
        <w:t xml:space="preserve"> Так в док.</w:t>
      </w:r>
    </w:p>
    <w:p w14:paraId="40AAFD78" w14:textId="77777777" w:rsidR="000655F6"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105" w:anchor="_ftnref6" w:history="1">
        <w:r w:rsidR="000655F6" w:rsidRPr="002F2FDF">
          <w:rPr>
            <w:rFonts w:ascii="Times New Roman" w:hAnsi="Times New Roman" w:cs="Times New Roman"/>
            <w:color w:val="000000" w:themeColor="text1"/>
            <w:kern w:val="2"/>
            <w:sz w:val="16"/>
            <w:szCs w:val="16"/>
          </w:rPr>
          <w:t>[6]</w:t>
        </w:r>
      </w:hyperlink>
      <w:r w:rsidR="000655F6" w:rsidRPr="002F2FDF">
        <w:rPr>
          <w:rFonts w:ascii="Times New Roman" w:hAnsi="Times New Roman" w:cs="Times New Roman"/>
          <w:color w:val="000000" w:themeColor="text1"/>
          <w:kern w:val="2"/>
          <w:sz w:val="16"/>
          <w:szCs w:val="16"/>
        </w:rPr>
        <w:t xml:space="preserve"> Так. в док. (15690)</w:t>
      </w:r>
    </w:p>
    <w:p w14:paraId="7ACAAFBE"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p>
    <w:p w14:paraId="4CC51358" w14:textId="77777777" w:rsidR="00047607" w:rsidRPr="002F2FDF" w:rsidRDefault="00047607" w:rsidP="0083075A">
      <w:pPr>
        <w:autoSpaceDE w:val="0"/>
        <w:autoSpaceDN w:val="0"/>
        <w:adjustRightInd w:val="0"/>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марте 1917 г. на заводе «Н.К. Гейслера»по требованию рабочих было уволено шесть мастеров. В их числе был и заведующий мастерской измерительных приборов А.И.Волков, являвшийся уникальным специалистом в своей области. Попытки администрации примирить стороны конфликта к успеху не привели. А в результате производительность мастерских измерительных приборов резко упала, что поставило под угрозу срыва все заказы на данную продукцию.</w:t>
      </w:r>
    </w:p>
    <w:p w14:paraId="3F83F29B" w14:textId="77777777" w:rsidR="00047607" w:rsidRPr="002F2FDF" w:rsidRDefault="00047607" w:rsidP="0083075A">
      <w:pPr>
        <w:autoSpaceDE w:val="0"/>
        <w:autoSpaceDN w:val="0"/>
        <w:adjustRightInd w:val="0"/>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Весьма неблагоприятно на финансовом положении заводов отразилось резкое повышение расходов на рабочую силу (в среднем на 37%) в результате введения 8-часового рабочего дня. Это вынудило предпринимателей прибегать к сверхурочным работам для поддержания прежней производительности предприятий, что и вызывало дополнительные издержки (18297).</w:t>
      </w:r>
    </w:p>
    <w:p w14:paraId="43FF03C4" w14:textId="77777777" w:rsidR="00047607" w:rsidRPr="002F2FDF" w:rsidRDefault="00047607" w:rsidP="0083075A">
      <w:pPr>
        <w:spacing w:after="0" w:line="240" w:lineRule="auto"/>
        <w:jc w:val="both"/>
        <w:rPr>
          <w:rFonts w:ascii="Times New Roman" w:hAnsi="Times New Roman" w:cs="Times New Roman"/>
          <w:color w:val="000000" w:themeColor="text1"/>
          <w:sz w:val="16"/>
          <w:szCs w:val="16"/>
        </w:rPr>
      </w:pPr>
    </w:p>
    <w:p w14:paraId="29405FC7" w14:textId="77777777" w:rsidR="00047607" w:rsidRPr="002F2FDF" w:rsidRDefault="00047607" w:rsidP="0083075A">
      <w:pPr>
        <w:autoSpaceDE w:val="0"/>
        <w:autoSpaceDN w:val="0"/>
        <w:adjustRightInd w:val="0"/>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марте 1917 г. на основе мастерских ОЭШ был создан Петроградский электротехнический завод Военно-инженерного ведомства, что стало реализацией усилившегося во время войны стремления Военного ведомства получить собственную базу электрослаботочного производства, создать сильного конкурента частным фирмам и своего рода «локомотив» экономической мобилизации на случай будущей войны. Новое предприятие уже в июне 1917 г. становится ведущим участником заготовительной компании ГВТУ, получив заказ на телеграфно-телефонное имущество на сумму более 4,4 млн. руб. (18297).</w:t>
      </w:r>
    </w:p>
    <w:p w14:paraId="25A72C83" w14:textId="77777777" w:rsidR="00047607" w:rsidRPr="002F2FDF" w:rsidRDefault="00047607" w:rsidP="0083075A">
      <w:pPr>
        <w:spacing w:after="0" w:line="240" w:lineRule="auto"/>
        <w:jc w:val="both"/>
        <w:rPr>
          <w:rFonts w:ascii="Times New Roman" w:hAnsi="Times New Roman" w:cs="Times New Roman"/>
          <w:color w:val="000000" w:themeColor="text1"/>
          <w:sz w:val="16"/>
          <w:szCs w:val="16"/>
        </w:rPr>
      </w:pPr>
    </w:p>
    <w:p w14:paraId="1963618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4A22E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DAC02B" w14:textId="77777777" w:rsidR="004F0CD1" w:rsidRPr="002F2FDF" w:rsidRDefault="004F0CD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марте 1917 г. С.А. Немченко, к которому после Февральской революции перешло руководство действующей авиацией от Александра Михайловича, предложил НШ ВГК реорганизовать Авиаканц. НШ ВГК одобрил проект реорганизации. Вскоре приказом ВГК от 3 апреля 1917 г. № 70 Управление Полевого генерал-инспектора ВВФ при ВГК преобразовалось в Полевое управление авиации и воздухоплавания (ПУАВ) при штабе Верховного Главнокомандующего, вводились штат и положение об этом управлении (19566).</w:t>
      </w:r>
    </w:p>
    <w:p w14:paraId="5F0B058A" w14:textId="77777777" w:rsidR="004F0CD1" w:rsidRPr="002F2FDF" w:rsidRDefault="004F0CD1" w:rsidP="0083075A">
      <w:pPr>
        <w:spacing w:after="0" w:line="240" w:lineRule="auto"/>
        <w:jc w:val="both"/>
        <w:rPr>
          <w:rFonts w:ascii="Times New Roman" w:hAnsi="Times New Roman" w:cs="Times New Roman"/>
          <w:color w:val="000000" w:themeColor="text1"/>
          <w:sz w:val="16"/>
          <w:szCs w:val="16"/>
        </w:rPr>
      </w:pPr>
    </w:p>
    <w:p w14:paraId="3DFCBB9F" w14:textId="77777777" w:rsidR="00315738" w:rsidRPr="002F2FDF" w:rsidRDefault="00315738" w:rsidP="0083075A">
      <w:pPr>
        <w:spacing w:after="0" w:line="240" w:lineRule="auto"/>
        <w:jc w:val="both"/>
        <w:rPr>
          <w:rFonts w:ascii="Times New Roman" w:hAnsi="Times New Roman" w:cs="Times New Roman"/>
          <w:sz w:val="16"/>
          <w:szCs w:val="16"/>
        </w:rPr>
      </w:pPr>
      <w:r w:rsidRPr="002F2FDF">
        <w:rPr>
          <w:rFonts w:ascii="Times New Roman" w:hAnsi="Times New Roman" w:cs="Times New Roman"/>
          <w:sz w:val="16"/>
          <w:szCs w:val="16"/>
        </w:rPr>
        <w:t>В марте 1917 в отряд в Колодзиевке, где находилось три боевых корабля: II, "Киевский" и XIII, прибыла новая машина типа Г-I (№ 187), предназначавшаяся для штабс-капитана Башко. На ней стояли старые "Аргусы", снятые с разбившегося III корабля штабс-капитана Озерского. Старый аппарат (№ 169) Башко передали штабс-ка- питану В.А. Соловьёву, назначенного командиром XIII корабля. 8 апреля новый "Киевский", ведомый Башко, отправился в свой первый и последний полёт. Сразу после взлёта корабль стал круто заворачивать налево, создавшийся развороте креном пилоту исправить не удалось, и 187-й, идя спиралью, ударился о землю левой половиной коробки крыльев с переходом на нос. Пилот получил сильные ушибы грудной клетки и ноги, а "Киевский" (третий по счёту у экипажа Башко) уже не подлежал ремонту. Башко был командирован в Псков за новой машиной. На старом же "узкокрылом" XIII корабле Соловьёв воеват весьма успешно. Он провёл в небе Галиции 50 полётных часов, совершив 15 вылетов, добывая ценные сведения о расположении противника, которые использовались при наступлении 7-й русской армии летом 1916 года. Во время этих полётов корабль выдержал пять воздушных боёв с неприятельскими аэропланами. Причём, в воздушном бою 19 мая 1916 года был сбит вражеский "Альбатрос", за что Соловьёв был награжден орденом Св. Анны 2-й степени с мечами (12041).</w:t>
      </w:r>
    </w:p>
    <w:p w14:paraId="23B688D2" w14:textId="77777777" w:rsidR="00315738" w:rsidRPr="002F2FDF" w:rsidRDefault="00315738" w:rsidP="0083075A">
      <w:pPr>
        <w:spacing w:after="0" w:line="240" w:lineRule="auto"/>
        <w:jc w:val="both"/>
        <w:rPr>
          <w:rFonts w:ascii="Times New Roman" w:hAnsi="Times New Roman" w:cs="Times New Roman"/>
          <w:sz w:val="16"/>
          <w:szCs w:val="16"/>
        </w:rPr>
      </w:pPr>
    </w:p>
    <w:p w14:paraId="44E069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марте 1917 года после того как морские цеппелины не смогли осуществить задачу бомбардировки Петрограда, LZ-120 (LZ-90 — по нумерации завода), цеппелин серии “r”, перебазировался в Ковно. Планировалось, что он сможет выполнить эту задачу, сбросив на столицу России 7 тонн бомб. Налет, однако, опять из-за плохой погоды не удался — Бог хранил Петроград.</w:t>
      </w:r>
    </w:p>
    <w:p w14:paraId="7045FD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Базируясь в Зеераппене, LZ-120 часто отправлялся на патрулирование и в разведку в акваторию Балтийского моря. Обычно полет продолжался сутки, затем команда отдыхала и, через 24 часа, — опять в путь. В каждом полете, независимо от его назначения, командир корабля (известный аэронавт Леман) много экспериментировал в маневрах и испытывал новое оборудование, поэтому команда, состоявшая из 28 человек, работала без смены все 24 часа и по праву считалась лучшей в дивизионе. </w:t>
      </w:r>
    </w:p>
    <w:p w14:paraId="480DE4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Огромный практический опыт и желание выжать из воздушного корабля все его возможности, подвигнули Лемана на проведение очередного масштабного эксперимента. Теретически, исходя из максимально возможной загрузки горюче-смазочными материалами (20 000 кг), взяв на борт штатный экипаж (2250 кг), балласт (3500 кг) и стандартный комплект вооружения (4500 кг), LZ-120 мог продержаться в воздухе около 100 часов. И Леман решил на практике проверить теорию (11324).</w:t>
      </w:r>
    </w:p>
    <w:p w14:paraId="5812AD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8FCB13" w14:textId="77777777" w:rsidR="00713C18" w:rsidRPr="002F2FDF" w:rsidRDefault="00713C18"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марте 1917 г., по инициативе штаба 7-й армии Юго-Западного фронта, отдельной брошюрой были выпущены «Указания по борьбе с танками». Против танков предлагалось использовать «кинжальные взводы», выделенные от батарей 76-мм («трехдюймовых») полевых пушек, траншейные 57-, 47- и 40- мм («Виккерс») скорострельные пушки (имевшие в боекомплекте бронебойные снаряды), 37-мм пушки обр. 1915г. системы Розенберга и Мак- Клена. Их дополняли располагаемые в две линии в шахматном порядке фугасы (заряд фугасов «увеличился» до 40 фунтов), ручные гранаты, легкие мины, противотанковые рвы. Отметим предложение использовать подвижные мины, подтягиваемые на пути движения танков из передовых окопов. Начальник инженеров фронта в своих дополнениях к приказу № 0234 добавил к этому «малые фугасы», плоские «самовзрывные» мины Ровенского, а также предложил минировать противотанковые рвы. Полевой Генерал-инспектор артиллерии великий князь Сергей Михайлович заметил, что применение против танков легких горных пушек затрудняется преимущественным сосредоточением этих орудий на Кавказском фронте, а траншейных орудий – их незначительным количеством. Таким образом, главная роль в планируемой ПТО отводилась трехдюймовой полевой пушке (ситуация, схожая с противотанковыми возможностями германской артиллерии) (20250).</w:t>
      </w:r>
    </w:p>
    <w:p w14:paraId="656E8CDD" w14:textId="77777777" w:rsidR="00713C18" w:rsidRPr="002F2FDF" w:rsidRDefault="00713C18" w:rsidP="0083075A">
      <w:pPr>
        <w:shd w:val="clear" w:color="auto" w:fill="FFFFFF"/>
        <w:spacing w:after="0" w:line="240" w:lineRule="auto"/>
        <w:jc w:val="both"/>
        <w:rPr>
          <w:rFonts w:ascii="Times New Roman" w:hAnsi="Times New Roman" w:cs="Times New Roman"/>
          <w:color w:val="000000" w:themeColor="text1"/>
          <w:sz w:val="16"/>
          <w:szCs w:val="16"/>
        </w:rPr>
      </w:pPr>
    </w:p>
    <w:p w14:paraId="5ED957E5" w14:textId="268B9E85" w:rsidR="00FE04A7" w:rsidRPr="002F2FDF" w:rsidRDefault="00FE04A7"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марте 1917 г. Начальник Штаба Верховного Главнокомандующего генерал-адъютант В.М. Алексеев утвердил проект «Наставления для борьбы с неприятельскими сухопутными броненосцами». К уже перечисленным средствам здесь были добавлены огнеметы и применение стрелками и пулеметами бронебойных пуль. Рекомендовалось заблаговременно перегруппировывать на танкоопасные направления подвижные части – конницу с артиллерией, бронечасти, самокатчиков – т.е. создавать мобильный противотанковый резерв. Бронеавтомобили уже считались в русской армии одним из средств борьбы с бронесилами противника.</w:t>
      </w:r>
    </w:p>
    <w:p w14:paraId="530DCBF3" w14:textId="77777777" w:rsidR="00FE04A7" w:rsidRPr="002F2FDF" w:rsidRDefault="00FE04A7"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Таким образом, специалисты русской армии, опираясь преимущественно на чужой опыт и некоторые общие положения, выработали верную и действенную «противотанковую тактику», соответствующую как условиям войны, так и наличным возможностям армии. Причем сделали это за год до того, как крайне немногочисленные германские танки привели в замешательство английские и французские части на Западном фронте. Здесь командование и специалисты русской армии оказались предусмотрительнее союзников. И эта работа пригодилась. Положения, выработанные специалистами русской армии вошли в первое наставление Красной Армии по борьбе с танками, изданное РВС РСФСР в 1918 г., были использованы 14 октября 1920 г. в бою на Каховском плацдарме (20250).</w:t>
      </w:r>
    </w:p>
    <w:p w14:paraId="5356085C" w14:textId="77777777" w:rsidR="00FE04A7" w:rsidRPr="002F2FDF" w:rsidRDefault="00FE04A7" w:rsidP="0083075A">
      <w:pPr>
        <w:spacing w:after="0" w:line="240" w:lineRule="auto"/>
        <w:jc w:val="both"/>
        <w:rPr>
          <w:rFonts w:ascii="Times New Roman" w:hAnsi="Times New Roman" w:cs="Times New Roman"/>
          <w:color w:val="000000" w:themeColor="text1"/>
          <w:sz w:val="16"/>
          <w:szCs w:val="16"/>
        </w:rPr>
      </w:pPr>
    </w:p>
    <w:p w14:paraId="5FA873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марте 1917 А.В.Колчак сказал "...Подлодки и аэропланы портят всю позицию войны...Теперь стреляют во что-то невидимое, а такая невидимая подлодка при первой возможности взорвет корабль...Летает какая-то гадость, в которую почти невозможно попасть. От авиации одно беспокойство, а толку никакого." (1082,4).</w:t>
      </w:r>
    </w:p>
    <w:p w14:paraId="5C6424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FBA218" w14:textId="77777777" w:rsidR="0028450E" w:rsidRPr="00FB4F67" w:rsidRDefault="002845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 марта 1917 г. после Февральской революции (1917 г.) активность немецких дирижаблей на Восточноевропейском театре войны резко упала, и в дальнейшем попыток бомбить с воздуха г. Петроград больше не предпринималось. Прибывшие осенью 1916 г. на русско-германский фронт дирижабли были переданы морскому ведомству. В то же время революционные события оказали негативные последствия на моральное состояние личного состава ВВФ и подразделений воздушной обороны действующей русской армии (23405).</w:t>
      </w:r>
    </w:p>
    <w:p w14:paraId="1786625D" w14:textId="77777777" w:rsidR="0028450E" w:rsidRPr="00FB4F67" w:rsidRDefault="0028450E" w:rsidP="0083075A">
      <w:pPr>
        <w:spacing w:after="0" w:line="240" w:lineRule="auto"/>
        <w:jc w:val="both"/>
        <w:rPr>
          <w:rFonts w:ascii="Times New Roman" w:hAnsi="Times New Roman" w:cs="Times New Roman"/>
          <w:color w:val="0070C0"/>
          <w:sz w:val="16"/>
          <w:szCs w:val="16"/>
        </w:rPr>
      </w:pPr>
    </w:p>
    <w:p w14:paraId="19785624" w14:textId="77777777" w:rsidR="0028450E" w:rsidRPr="00FB4F67" w:rsidRDefault="002845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марте 1917 г. на Юго-Западном фронте в печати начали появляться отчеты российской разведки об авиации противника, в которых указывались части и количество самолетов, а также карты с указанием их аэродромов. Также в течение марта стали появляться регулярные отчеты офицеров штаба авиации о деятельности российской авиации. Хотя поначалу они были несколько отрывочны, со временем они улучшились, поскольку научились собирать детали и сообщать о них более последовательным образом (23525).</w:t>
      </w:r>
    </w:p>
    <w:p w14:paraId="388D5A14" w14:textId="77777777" w:rsidR="0028450E" w:rsidRPr="00FB4F67" w:rsidRDefault="0028450E" w:rsidP="0083075A">
      <w:pPr>
        <w:spacing w:after="0" w:line="240" w:lineRule="auto"/>
        <w:jc w:val="both"/>
        <w:rPr>
          <w:rFonts w:ascii="Times New Roman" w:hAnsi="Times New Roman" w:cs="Times New Roman"/>
          <w:color w:val="0070C0"/>
          <w:sz w:val="16"/>
          <w:szCs w:val="16"/>
        </w:rPr>
      </w:pPr>
    </w:p>
    <w:p w14:paraId="310FA738" w14:textId="77777777" w:rsidR="0028450E" w:rsidRPr="00FB4F67" w:rsidRDefault="002845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марте 1917 г. штаб УВОФЛОТА во главе с генерал-майором Н.В. Пневским подготовил заказ Р-БВЗ на пятнадцать ИМ-Э2 и двадцать пять ИМ-Г-3, но Временное правительство его отменило (23525).</w:t>
      </w:r>
    </w:p>
    <w:p w14:paraId="408EE31D" w14:textId="77777777" w:rsidR="0028450E" w:rsidRPr="00FB4F67" w:rsidRDefault="0028450E" w:rsidP="0083075A">
      <w:pPr>
        <w:spacing w:after="0" w:line="240" w:lineRule="auto"/>
        <w:jc w:val="both"/>
        <w:rPr>
          <w:rFonts w:ascii="Times New Roman" w:hAnsi="Times New Roman" w:cs="Times New Roman"/>
          <w:color w:val="0070C0"/>
          <w:sz w:val="16"/>
          <w:szCs w:val="16"/>
        </w:rPr>
      </w:pPr>
    </w:p>
    <w:p w14:paraId="44ABAC39" w14:textId="77777777" w:rsidR="0028450E" w:rsidRPr="00FB4F67" w:rsidRDefault="002845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течение марта 1917 г. дирижабль немецкой армии LZ.101, базирующийся в Джамболи, выполнил ряд разведывательных вылетов над Одессой и Яссами в Молдавии (23525).</w:t>
      </w:r>
    </w:p>
    <w:p w14:paraId="08FAD4A3" w14:textId="77777777" w:rsidR="0028450E" w:rsidRPr="00FB4F67" w:rsidRDefault="0028450E" w:rsidP="0083075A">
      <w:pPr>
        <w:spacing w:after="0" w:line="240" w:lineRule="auto"/>
        <w:jc w:val="both"/>
        <w:rPr>
          <w:rFonts w:ascii="Times New Roman" w:hAnsi="Times New Roman" w:cs="Times New Roman"/>
          <w:color w:val="0070C0"/>
          <w:sz w:val="16"/>
          <w:szCs w:val="16"/>
        </w:rPr>
      </w:pPr>
    </w:p>
    <w:p w14:paraId="08D77B5E" w14:textId="0314C94A" w:rsidR="00ED35CD" w:rsidRPr="002F2FDF" w:rsidRDefault="00ED35C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марте 1917 года должна была начаться грандиозная операция по захвату Босфора, с воздуха её должны были поддерживать свыше 150 гидросамолетов, но гибель империи, разрушила замыслы этой операции. После Февральской революции «Александр» был переименован в «Республиканца», а «Николай» в «Авиатора». 24-27 мая «Авиатор» совершил свой последний поход на аэрофотосъёмку и бомбардировку Синопа. Дальнейшая деятельность морской </w:t>
      </w:r>
      <w:r w:rsidRPr="002F2FDF">
        <w:rPr>
          <w:rStyle w:val="highlight"/>
          <w:rFonts w:ascii="Times New Roman" w:hAnsi="Times New Roman" w:cs="Times New Roman"/>
          <w:color w:val="000000" w:themeColor="text1"/>
          <w:kern w:val="2"/>
          <w:sz w:val="16"/>
          <w:szCs w:val="16"/>
        </w:rPr>
        <w:t>авиации</w:t>
      </w:r>
      <w:r w:rsidRPr="002F2FDF">
        <w:rPr>
          <w:rFonts w:ascii="Times New Roman" w:hAnsi="Times New Roman" w:cs="Times New Roman"/>
          <w:color w:val="000000" w:themeColor="text1"/>
          <w:kern w:val="2"/>
          <w:sz w:val="16"/>
          <w:szCs w:val="16"/>
        </w:rPr>
        <w:t xml:space="preserve"> Черноморского </w:t>
      </w:r>
      <w:r w:rsidRPr="002F2FDF">
        <w:rPr>
          <w:rStyle w:val="highlight"/>
          <w:rFonts w:ascii="Times New Roman" w:hAnsi="Times New Roman" w:cs="Times New Roman"/>
          <w:color w:val="000000" w:themeColor="text1"/>
          <w:kern w:val="2"/>
          <w:sz w:val="16"/>
          <w:szCs w:val="16"/>
        </w:rPr>
        <w:t>флота</w:t>
      </w:r>
      <w:r w:rsidRPr="002F2FDF">
        <w:rPr>
          <w:rFonts w:ascii="Times New Roman" w:hAnsi="Times New Roman" w:cs="Times New Roman"/>
          <w:color w:val="000000" w:themeColor="text1"/>
          <w:kern w:val="2"/>
          <w:sz w:val="16"/>
          <w:szCs w:val="16"/>
        </w:rPr>
        <w:t xml:space="preserve"> закончилась в связи с началом Гражданской войны, летчики были разбросаны судьбой по разные стороны фронта (17043).</w:t>
      </w:r>
    </w:p>
    <w:p w14:paraId="4DA476FA" w14:textId="77777777" w:rsidR="00ED35CD" w:rsidRPr="002F2FDF" w:rsidRDefault="00ED35C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7526A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возвращении в марте 1917 года на Родину Крутеня назначили командиром 2-й истребительной авиагруппы, действующей на Юго-Западном фронте. Опытный летчик-новатор, прекрасный организатор, Е.Н. Крутень являлся основоположником теории так</w:t>
      </w:r>
      <w:r w:rsidRPr="002F2FDF">
        <w:rPr>
          <w:rFonts w:ascii="Times New Roman" w:hAnsi="Times New Roman" w:cs="Times New Roman"/>
          <w:color w:val="000000" w:themeColor="text1"/>
          <w:kern w:val="2"/>
          <w:sz w:val="16"/>
          <w:szCs w:val="16"/>
        </w:rPr>
        <w:softHyphen/>
        <w:t>тического применения истребительной авиации. В своих работах “Создание истребительных групп”, “Тип аппарата истребителя”, “Воздушный бой”, “Нашест</w:t>
      </w:r>
      <w:r w:rsidRPr="002F2FDF">
        <w:rPr>
          <w:rFonts w:ascii="Times New Roman" w:hAnsi="Times New Roman" w:cs="Times New Roman"/>
          <w:color w:val="000000" w:themeColor="text1"/>
          <w:kern w:val="2"/>
          <w:sz w:val="16"/>
          <w:szCs w:val="16"/>
        </w:rPr>
        <w:softHyphen/>
        <w:t>вие иноплеменников”, “Кричащие нужды русской авиации”, “Что думалось в Лондоне” он излагает свои приемы нападения на самолеты противника, реко</w:t>
      </w:r>
      <w:r w:rsidRPr="002F2FDF">
        <w:rPr>
          <w:rFonts w:ascii="Times New Roman" w:hAnsi="Times New Roman" w:cs="Times New Roman"/>
          <w:color w:val="000000" w:themeColor="text1"/>
          <w:kern w:val="2"/>
          <w:sz w:val="16"/>
          <w:szCs w:val="16"/>
        </w:rPr>
        <w:softHyphen/>
        <w:t>мендует летчикам-истребителям действовать парами, широко применять в воздушном бою вертикальный маневр. Крутень разработал более двадцати различ</w:t>
      </w:r>
      <w:r w:rsidRPr="002F2FDF">
        <w:rPr>
          <w:rFonts w:ascii="Times New Roman" w:hAnsi="Times New Roman" w:cs="Times New Roman"/>
          <w:color w:val="000000" w:themeColor="text1"/>
          <w:kern w:val="2"/>
          <w:sz w:val="16"/>
          <w:szCs w:val="16"/>
        </w:rPr>
        <w:softHyphen/>
        <w:t>ных атакующих маневров.</w:t>
      </w:r>
    </w:p>
    <w:p w14:paraId="5E5848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F1B243" w14:textId="77777777" w:rsidR="00CD1F09" w:rsidRPr="002F2FDF" w:rsidRDefault="00CD1F0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250A736" w14:textId="77777777" w:rsidR="00CD1F09" w:rsidRPr="002F2FDF" w:rsidRDefault="00CD1F0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2B6143" w14:textId="77777777" w:rsidR="00CD1F09" w:rsidRPr="002F2FDF" w:rsidRDefault="00CD1F09" w:rsidP="0083075A">
      <w:pPr>
        <w:pStyle w:val="a3"/>
        <w:rPr>
          <w:color w:val="000000" w:themeColor="text1"/>
          <w:lang w:val="ru-RU"/>
        </w:rPr>
      </w:pPr>
      <w:r w:rsidRPr="002F2FDF">
        <w:rPr>
          <w:color w:val="000000" w:themeColor="text1"/>
        </w:rPr>
        <w:t>C</w:t>
      </w:r>
      <w:r w:rsidRPr="002F2FDF">
        <w:rPr>
          <w:color w:val="000000" w:themeColor="text1"/>
          <w:lang w:val="ru-RU"/>
        </w:rPr>
        <w:t xml:space="preserve"> марта 1917 сформированное Временное правительство в течение восьми месяцев оно так и не решило ни одного жизненно важного для России вопроса, поскольку в условиях дефицита госбюджета и неспособно было его решить. По различным источникам, дефицит госбюджета в 1917 г. составил 22,6 млрд руб. при годовом доходе 16 млрд руб. (18078).</w:t>
      </w:r>
    </w:p>
    <w:p w14:paraId="7A3F2C58" w14:textId="77777777" w:rsidR="00CD1F09" w:rsidRPr="002F2FDF" w:rsidRDefault="00CD1F09" w:rsidP="0083075A">
      <w:pPr>
        <w:pStyle w:val="a3"/>
        <w:rPr>
          <w:color w:val="000000" w:themeColor="text1"/>
          <w:lang w:val="ru-RU"/>
        </w:rPr>
      </w:pPr>
    </w:p>
    <w:p w14:paraId="64951730" w14:textId="77777777" w:rsidR="004F0CD1" w:rsidRPr="002F2FDF" w:rsidRDefault="004F0CD1" w:rsidP="0083075A">
      <w:pPr>
        <w:pStyle w:val="ae"/>
        <w:spacing w:before="0" w:after="0"/>
        <w:jc w:val="both"/>
        <w:rPr>
          <w:color w:val="000000" w:themeColor="text1"/>
          <w:sz w:val="16"/>
          <w:szCs w:val="16"/>
        </w:rPr>
      </w:pPr>
      <w:r w:rsidRPr="002F2FDF">
        <w:rPr>
          <w:color w:val="000000" w:themeColor="text1"/>
          <w:sz w:val="16"/>
          <w:szCs w:val="16"/>
        </w:rPr>
        <w:t>В марте 1917 после победы Февральской революции в России в промышленных центрах Финляндии начали создаваться рабочие сеймы, Рабочая гвардия порядка и Красная Гвардия. Руководящими революционными органами были Гельсингфорсский сейм рабочих организаций (созданный в марте 1917 года) и левое крыло СДПФ, которые сотрудничали с русскими советами солдатских депутатов, матросскими комитетами Балтийского флота и советами рабочих депутатов во главе с Областным комитетом армии, флота и рабочих Финляндии, с Гельсингфорсским комитетом РСДРП (б), с финским национальным районом Петроградской организации РСДРП (б) (18525).</w:t>
      </w:r>
    </w:p>
    <w:p w14:paraId="46A789F1" w14:textId="77777777" w:rsidR="004F0CD1" w:rsidRPr="002F2FDF" w:rsidRDefault="004F0CD1" w:rsidP="0083075A">
      <w:pPr>
        <w:pStyle w:val="ae"/>
        <w:spacing w:before="0" w:after="0"/>
        <w:jc w:val="both"/>
        <w:rPr>
          <w:color w:val="000000" w:themeColor="text1"/>
          <w:sz w:val="16"/>
          <w:szCs w:val="16"/>
        </w:rPr>
      </w:pPr>
    </w:p>
    <w:p w14:paraId="2463C5E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2AC29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C3D3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марта месяца 1917 начались дневные налеты британских двухмоторных бомбовозов "Хендли-Пейдж 0/400" (11999).</w:t>
      </w:r>
    </w:p>
    <w:p w14:paraId="1095D3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8A140C" w14:textId="77777777" w:rsidR="00B42572" w:rsidRPr="002F2FDF" w:rsidRDefault="00B4257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марте 1917 бомбардировщики Royal Naval Air Service Handley Page O / 100 начинают ночные атаки на немецкие военно-морские базы, вокзалы и железнодорожные узлы , а также промышленные цели (20341).</w:t>
      </w:r>
    </w:p>
    <w:p w14:paraId="6C2FDFEE" w14:textId="77777777" w:rsidR="00B42572" w:rsidRPr="002F2FDF" w:rsidRDefault="00B42572" w:rsidP="0083075A">
      <w:pPr>
        <w:spacing w:after="0" w:line="240" w:lineRule="auto"/>
        <w:jc w:val="both"/>
        <w:rPr>
          <w:rFonts w:ascii="Times New Roman" w:hAnsi="Times New Roman" w:cs="Times New Roman"/>
          <w:color w:val="000000" w:themeColor="text1"/>
          <w:sz w:val="16"/>
          <w:szCs w:val="16"/>
        </w:rPr>
      </w:pPr>
    </w:p>
    <w:p w14:paraId="5ED830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марте 1917 года во время испытаний L-42 поднялся на высоту 6000 м, причем груз, имитирующий бомбовую нагрузку, весил 2000 кг. Водяной балласт частично был заменен песком, а оставшаяся его часть смешана с глицерином, чтобы предотвратить замерзание воды на больших высотах. Переоборудование цеппелинов разных типов в высотные продолжалось до октября. L-44, построенный в апреле, первым получил уменьшенную двухмоторную заднюю гондолу с одним воздушным винтом. Примерно в это же время берлинская фирма “Люфтфарцойг-Геселлшафт” закончила строительство значительно усовершенствованных больших нежестких дирижаблей Парсеваля PL-26 и PL-27. Несмотря на негативное к ним отношение Штрассера, руководство флота настояло на постройке этих кораблей. Во время испытаний PL-26 сгорел в эллинге. Имея объем 31 150 куб. м, PL-27 стал самым большим нежестким дирижаблем в мировой практике. Оснащенный четырьмя </w:t>
      </w:r>
      <w:r w:rsidRPr="002F2FDF">
        <w:rPr>
          <w:rFonts w:ascii="Times New Roman" w:hAnsi="Times New Roman" w:cs="Times New Roman"/>
          <w:color w:val="000000" w:themeColor="text1"/>
          <w:kern w:val="2"/>
          <w:sz w:val="16"/>
          <w:szCs w:val="16"/>
        </w:rPr>
        <w:lastRenderedPageBreak/>
        <w:t>моторами “Майбах” HSL, корабль развивал скорость 91 км/ч. Моряки, однако, к действительной службе этот дирижабль так и не привлекли. Доверяли только цеппелинам (11324).</w:t>
      </w:r>
    </w:p>
    <w:p w14:paraId="26BDFE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E101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марте 1917 года был произведен налет пятью воздушными кораблями, два из них достигли Лондона. Из-за сильно засвежевшего ветра обратный путь оказался очень тяжелым. L-42 вынужден был опуститься в Ютербоге, а L-35 — в Дрездене. L-40 и L-41 возвратились в свои ангары у Альхорна. L-39 был отнесен штормом на юго-запад, пролетел над линией фронта во Франции и, согласно французскому радио, был сбит огнем у города Компьень. Его экипаж погиб. </w:t>
      </w:r>
    </w:p>
    <w:p w14:paraId="100846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Налет, предпринятый в апреле, пришлось прервать сразу после вылета кораблей, так как погода на трассе была абсолютно нелетной. В мае представился случай произвести успешный налет, осуществленный в ночь с 23-го на 24-го при участии L-40, L-42, L-43, L-44 и L-45. На L-44 находился командир Дивизиона воздушных кораблей, капитан 2 ранга Штрассер. Приводим его донесение. </w:t>
      </w:r>
    </w:p>
    <w:p w14:paraId="28929F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“Около 1.45 прошли над берегом у Гарвича, где встретили разорванные облака. Многочисленные прожекторы безуспешно пытались нащупать наш корабль. С земли велся слабый обстрел, в воздухе не было никаких самолетов. Из-за [205] одновременной остановки трех моторов продолжать полет к Лондону стало невозможно, так как корабль начал терять высоту. Сбросили 2000 кг бомб над Гарвичем. Вскоре после атаки остановились все моторы. Корабль в течение 45 минут висел над территорией противника наподобие аэростата и снизился с высоты 5700 м до 3900 м. До 10.00 шли с одним мотором, а после 10.00 — иногда с двумя, а временами и с тремя моторами. Благополучно приземлились в Нордхольце. В 19.20 на обратном пути L-43 попал под очень сильный град. Молния ударила в переднюю часть корабля и пробежала поверху, не причинив вреда”. В этом высотном полете часть экипажа L-44 потеряла сознание от нехватки кислорода. Высотность явилась также причиной остановки двигателей. </w:t>
      </w:r>
    </w:p>
    <w:p w14:paraId="1C0321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Крайне неблагоприятными для воздушных кораблей оказались метеорологические условия на больших высотах. Там почти постоянно дул очень сильный западный ветер, переходивший иногда в северный, и побороть его из-за потери мощности двигателей было очень трудно. По этой причине цеппелины часто не могли выполнить задания, несмотря на то что в низких слоях стояла прекрасная погода. Эти проблемы были частично сняты после того, как в 1918 году пошли в серию высотные двигатели. </w:t>
      </w:r>
    </w:p>
    <w:p w14:paraId="3F37A3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Следующий налет состоялся 17 июня. В нем приняли участие L-42, L-43, L-44 и L-45. Несколько раз пришлось уклоняться от шквалов, поэтому достигнуть Лондона за остававшееся короткое ночное время не представлялось возможным. L-42 сбросил в 3.00 все свои бомбы над Дувром. Во время бомбардировки корабль подвергся сильному обстрелу, но прожекторы из-за густого тумана смогли поймать его лишь на короткое время. Бомбы точно легли в цель. Минут через 10 после атаки были замечены сильные взрывы. Казалось, что на [206] воздух взлетали целые кварталы домов, долгое время наблюдались пожары. Вскоре после атаки корабль подвергся преследованию мелких кораблей, по всей вероятности — миноносцев или легких крейсеров, которые открыли по нему беглый огонь. Пришлось уходить на высоту 5000 м. </w:t>
      </w:r>
    </w:p>
    <w:p w14:paraId="548D51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L-42 наблюдали, как один из наших воздушных кораблей подвергся атаке самолета. Цеппелин находился в это время на высоте 4500-5000 м, а самолет — на 300-500 м выше. L-43 из этого полета не вернулся, очевидно, он был сбит самолетом. Впоследствии это предположение подтвердилось английскими сообщениями (11324).</w:t>
      </w:r>
    </w:p>
    <w:p w14:paraId="4C6CFE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66AD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марте 1917 итальянцам удалось вновь применить дирижабли М.11, М.14, М.15, М.16 и Е.5 в групповых налетах на цели в Порденноне, Касарсе и Конельяно. 17 июня было осуществлено самое массированное применение итальянцами дирижаблей. Восемнадцать дирижаблей сбросили 12 т бомб на воинские цели в Пуле. Налеты продолжались в 1918 году, когда в июне и октябре дирижабли способствовали своими активными действиями наступлению итальянской армии. За время войны воздушные корабли совершили 235 боевых вылетов, сбросив 250 т бомб и 50 т листовок. Самым активным среди них стал М.11, который 53 раза поднимался навстречу смерти. Судьба была к нему благосклонна — корабль так и не был сбит (11324).</w:t>
      </w:r>
    </w:p>
    <w:p w14:paraId="5A19A8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5714B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марта 1917 г. DH.4 с успехом применялся союзниками на всех фронтах войны (5999).</w:t>
      </w:r>
    </w:p>
    <w:p w14:paraId="18C3201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B35A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марте 1917 года нападки в парламенте на бюрократизм при приеме заказов на изготовление самолетов вызвали уход в отставку Военного министра. Неудача апрельскогонаступления 1917 года, на которое возлагались большие надежды, также была приписана слабости французской авиации. Начальнику военно-воздушного флота пришлось уйти в отставку; в целях лучшего использования имеющихся средств и быстрейшего усиления авиационных войск решено было приступить к их полной реорганизации. Прежде всего, однако, в обеих странах возлагали особые надежды на помощь вступивших в войну СевероАмериканских Соединенных Штатов, гигантские ресурсы которых должны были обеспечить союзникам громадный перевес в воздухе. Страницы неприятельских газет были полны самыми фантастическими домыслами. Ожидалось, что в самое ближайшее время тысячи американских самолетов наводнят Германию и поставят ее на колени (11282).</w:t>
      </w:r>
    </w:p>
    <w:p w14:paraId="4BB48C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864488" w14:textId="77777777" w:rsidR="002B526B" w:rsidRPr="002F2FDF" w:rsidRDefault="002B526B"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В марте 1917 года во Франции Ренье сменил Д. Винсен (D. Vinsent), он — бывший воздухоплаватель и неплохо разбирается в авиации. Винсен более четко разделяет обязанности между СТАе и СФА, ликвидирует Генеральную инспекцию по авиастроению — вместо нее за каждым производителем авиатехники закрепляется контролирующий офицер. С приходом в сентябре 1917 года нового премьерминистра, Винсена снимают с должности, на его места назначается бывший авиатор Ж-Л. Дюмесниль (J-L Dumesnil) (19791).</w:t>
      </w:r>
    </w:p>
    <w:p w14:paraId="01FFF445" w14:textId="77777777" w:rsidR="002B526B" w:rsidRPr="002F2FDF" w:rsidRDefault="002B526B" w:rsidP="0083075A">
      <w:pPr>
        <w:pStyle w:val="ae"/>
        <w:shd w:val="clear" w:color="auto" w:fill="FFFFFF"/>
        <w:spacing w:before="0" w:after="0"/>
        <w:jc w:val="both"/>
        <w:textAlignment w:val="baseline"/>
        <w:rPr>
          <w:color w:val="000000" w:themeColor="text1"/>
          <w:sz w:val="16"/>
          <w:szCs w:val="16"/>
        </w:rPr>
      </w:pPr>
    </w:p>
    <w:p w14:paraId="534AAC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марте 1917 в США создана известная в мире фирма "Боинг" по производству самолетов (274).</w:t>
      </w:r>
    </w:p>
    <w:p w14:paraId="72D79F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другим данным первая фирма была создана в июле 1916, а название Боинг получила в апреле 1917.</w:t>
      </w:r>
    </w:p>
    <w:p w14:paraId="54FC346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1F7907" w14:textId="77777777" w:rsidR="002C67BA" w:rsidRPr="002F2FDF" w:rsidRDefault="002C67B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марте 1917 г. головной борт А4845 S.E.5 был сдан на официальные испытания на базу Мартлешам Хит и неожиданно показал большой недобор скорости, резко ухудшилась управляемость по крену. </w:t>
      </w:r>
    </w:p>
    <w:p w14:paraId="5872E5B9" w14:textId="77777777" w:rsidR="002C67BA" w:rsidRPr="002F2FDF" w:rsidRDefault="002C67B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Первые самолеты должны были изготавливаться в полном соответствии с проектом за единственным согласованным исключением: фирма «Испано-Сюиза» оказалась не готова начать поставки штатных двухсотсильных моторов H.S.8B, и их разрешили заменить на безредукторные H.S.8Ab мощностью 180 л. с. Осмотр и обмер самолета показал, что в производстве были допущены отклонения от чертежей — в частности, размах крыльев рабочими был самовольно уменьшен примерно на 380 мм. Все списали на это и обошлись более строгими мерами по контролю качества. Первые самолеты были направлены в 56-ю эскадрилью RFC в марте 1917 г. Для их освоения в ней были собраны лучшие пилоты RFC, в том числе и ас Альберт Балл — невзирая на его непатриотичные симпатии к французским «Ньюпорам».</w:t>
      </w:r>
    </w:p>
    <w:p w14:paraId="4AE3BE6D" w14:textId="77777777" w:rsidR="002C67BA" w:rsidRPr="002F2FDF" w:rsidRDefault="002C67B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Всего в 1917 г. заводом RAF было построено 74 самолета S.E.5 двумя заказами. С одной стороны, впечатление от нового истребителя было хорошим — он был быстрым и маневренным, резво набирал высоту, но с другой — оставались проблемы в устойчивости и управляемости, в том числе по крену. Хотя методик численной оценки таких характеристик еще не существовало, заказчик настаивал на переделке машины.  (22792).</w:t>
      </w:r>
    </w:p>
    <w:p w14:paraId="1E0D3BBC" w14:textId="77777777" w:rsidR="002C67BA" w:rsidRPr="002F2FDF" w:rsidRDefault="002C67BA" w:rsidP="0083075A">
      <w:pPr>
        <w:spacing w:after="0" w:line="240" w:lineRule="auto"/>
        <w:jc w:val="both"/>
        <w:rPr>
          <w:rFonts w:ascii="Times New Roman" w:hAnsi="Times New Roman" w:cs="Times New Roman"/>
          <w:color w:val="000000" w:themeColor="text1"/>
          <w:sz w:val="16"/>
          <w:szCs w:val="16"/>
        </w:rPr>
      </w:pPr>
    </w:p>
    <w:p w14:paraId="7CB9507E" w14:textId="77777777" w:rsidR="002C67BA" w:rsidRPr="002F2FDF" w:rsidRDefault="002C67B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марте 1917 г. в производство пошла следующая модификация английских танков — Mk IV, ставшая самым массовым британским танком в 1916–1918 гг. Таких машин было построено 1 015 шт. (420 «самцов» и 595 «самок»). На Mk IV было улучшено бронирование — к этому времени германская пехота уже активно применяла новые бронебойные пули. Толщину брони в лобовой части довели до 16 мм, бортов — до 12, а крыши — до 8 мм. Переконструировали спонсоны, теперь они могли вдвигаться внутрь корпуса по особым салазкам (это упрощало транспортировку по железной дороге), а их нижнюю часть еще больше скосили, чтобы уменьшить «зарывание». Стволы орудий укоротили с 40 до 23 калибров. На «самках» пулеметные спонсоны вообще уменьшили, и под ними сделали прямоугольные люки-лазы с двустворчатыми крышками. Наконец, установили систему принудительной подачи горючего к карбюратору и увеличили объем топливных баков — танк жрал около 10 литров бензина на километр (22787).</w:t>
      </w:r>
    </w:p>
    <w:p w14:paraId="6C51F0A0" w14:textId="77777777" w:rsidR="002C67BA" w:rsidRPr="002F2FDF" w:rsidRDefault="002C67BA" w:rsidP="0083075A">
      <w:pPr>
        <w:spacing w:after="0" w:line="240" w:lineRule="auto"/>
        <w:jc w:val="both"/>
        <w:rPr>
          <w:rFonts w:ascii="Times New Roman" w:hAnsi="Times New Roman" w:cs="Times New Roman"/>
          <w:color w:val="000000" w:themeColor="text1"/>
          <w:sz w:val="16"/>
          <w:szCs w:val="16"/>
        </w:rPr>
      </w:pPr>
    </w:p>
    <w:p w14:paraId="6A73D04C"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марте 1917 г. американец Ф. Сэмпл зарегистрировал заявку, а в июле 1918 г. получил патент на «Костюм для авиа</w:t>
      </w:r>
      <w:r w:rsidRPr="002F2FDF">
        <w:rPr>
          <w:rFonts w:ascii="Times New Roman" w:hAnsi="Times New Roman" w:cs="Times New Roman"/>
          <w:color w:val="000000" w:themeColor="text1"/>
          <w:kern w:val="2"/>
          <w:sz w:val="16"/>
          <w:szCs w:val="16"/>
        </w:rPr>
        <w:softHyphen/>
        <w:t>торов», предназначавшийся для исполь</w:t>
      </w:r>
      <w:r w:rsidRPr="002F2FDF">
        <w:rPr>
          <w:rFonts w:ascii="Times New Roman" w:hAnsi="Times New Roman" w:cs="Times New Roman"/>
          <w:color w:val="000000" w:themeColor="text1"/>
          <w:kern w:val="2"/>
          <w:sz w:val="16"/>
          <w:szCs w:val="16"/>
        </w:rPr>
        <w:softHyphen/>
        <w:t>зования при полётах на большой высо</w:t>
      </w:r>
      <w:r w:rsidRPr="002F2FDF">
        <w:rPr>
          <w:rFonts w:ascii="Times New Roman" w:hAnsi="Times New Roman" w:cs="Times New Roman"/>
          <w:color w:val="000000" w:themeColor="text1"/>
          <w:kern w:val="2"/>
          <w:sz w:val="16"/>
          <w:szCs w:val="16"/>
        </w:rPr>
        <w:softHyphen/>
        <w:t>те, а также иных работах в условиях разреженной атмосферы. Именно Сэмпл считается автором первого па</w:t>
      </w:r>
      <w:r w:rsidRPr="002F2FDF">
        <w:rPr>
          <w:rFonts w:ascii="Times New Roman" w:hAnsi="Times New Roman" w:cs="Times New Roman"/>
          <w:color w:val="000000" w:themeColor="text1"/>
          <w:kern w:val="2"/>
          <w:sz w:val="16"/>
          <w:szCs w:val="16"/>
        </w:rPr>
        <w:softHyphen/>
        <w:t>тента на высотный скафандр.</w:t>
      </w:r>
    </w:p>
    <w:p w14:paraId="780AF53B"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Предлагавшийся Сэмплом скафандр представлял собой практически полно</w:t>
      </w:r>
      <w:r w:rsidRPr="002F2FDF">
        <w:rPr>
          <w:rFonts w:ascii="Times New Roman" w:hAnsi="Times New Roman" w:cs="Times New Roman"/>
          <w:color w:val="000000" w:themeColor="text1"/>
          <w:kern w:val="2"/>
          <w:sz w:val="16"/>
          <w:szCs w:val="16"/>
        </w:rPr>
        <w:softHyphen/>
        <w:t>стью, за исключением кистей рук, зак</w:t>
      </w:r>
      <w:r w:rsidRPr="002F2FDF">
        <w:rPr>
          <w:rFonts w:ascii="Times New Roman" w:hAnsi="Times New Roman" w:cs="Times New Roman"/>
          <w:color w:val="000000" w:themeColor="text1"/>
          <w:kern w:val="2"/>
          <w:sz w:val="16"/>
          <w:szCs w:val="16"/>
        </w:rPr>
        <w:softHyphen/>
        <w:t>рывающий тело воздухонепроницаемый комбинезон, соединявшийся с герметич</w:t>
      </w:r>
      <w:r w:rsidRPr="002F2FDF">
        <w:rPr>
          <w:rFonts w:ascii="Times New Roman" w:hAnsi="Times New Roman" w:cs="Times New Roman"/>
          <w:color w:val="000000" w:themeColor="text1"/>
          <w:kern w:val="2"/>
          <w:sz w:val="16"/>
          <w:szCs w:val="16"/>
        </w:rPr>
        <w:softHyphen/>
        <w:t>ным шлемом, который можно было лег</w:t>
      </w:r>
      <w:r w:rsidRPr="002F2FDF">
        <w:rPr>
          <w:rFonts w:ascii="Times New Roman" w:hAnsi="Times New Roman" w:cs="Times New Roman"/>
          <w:color w:val="000000" w:themeColor="text1"/>
          <w:kern w:val="2"/>
          <w:sz w:val="16"/>
          <w:szCs w:val="16"/>
        </w:rPr>
        <w:softHyphen/>
        <w:t>ко открыть или закрыть. Основное вни</w:t>
      </w:r>
      <w:r w:rsidRPr="002F2FDF">
        <w:rPr>
          <w:rFonts w:ascii="Times New Roman" w:hAnsi="Times New Roman" w:cs="Times New Roman"/>
          <w:color w:val="000000" w:themeColor="text1"/>
          <w:kern w:val="2"/>
          <w:sz w:val="16"/>
          <w:szCs w:val="16"/>
        </w:rPr>
        <w:softHyphen/>
        <w:t>мание изобретатель уделил именно раз</w:t>
      </w:r>
      <w:r w:rsidRPr="002F2FDF">
        <w:rPr>
          <w:rFonts w:ascii="Times New Roman" w:hAnsi="Times New Roman" w:cs="Times New Roman"/>
          <w:color w:val="000000" w:themeColor="text1"/>
          <w:kern w:val="2"/>
          <w:sz w:val="16"/>
          <w:szCs w:val="16"/>
        </w:rPr>
        <w:softHyphen/>
        <w:t>работке конструкции шлема. Для пода</w:t>
      </w:r>
      <w:r w:rsidRPr="002F2FDF">
        <w:rPr>
          <w:rFonts w:ascii="Times New Roman" w:hAnsi="Times New Roman" w:cs="Times New Roman"/>
          <w:color w:val="000000" w:themeColor="text1"/>
          <w:kern w:val="2"/>
          <w:sz w:val="16"/>
          <w:szCs w:val="16"/>
        </w:rPr>
        <w:softHyphen/>
        <w:t>чи воздуха под давлением шлем был соединен шлангом с источником сжатого воздуха, например, с насосом, расположенным на самолёте. В верхней части шлема располагался выпускной клапан, обеспечивавший непрерывное прохождение воздуха и поддержание необходимого давления (15833).</w:t>
      </w:r>
    </w:p>
    <w:p w14:paraId="576EE1C7" w14:textId="77777777" w:rsidR="000655F6" w:rsidRPr="002F2FDF" w:rsidRDefault="000655F6" w:rsidP="0083075A">
      <w:pPr>
        <w:spacing w:after="0" w:line="240" w:lineRule="auto"/>
        <w:jc w:val="both"/>
        <w:rPr>
          <w:rFonts w:ascii="Times New Roman" w:hAnsi="Times New Roman" w:cs="Times New Roman"/>
          <w:color w:val="000000" w:themeColor="text1"/>
          <w:kern w:val="2"/>
          <w:sz w:val="16"/>
          <w:szCs w:val="16"/>
        </w:rPr>
      </w:pPr>
    </w:p>
    <w:p w14:paraId="53D867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марте 1917 года немецкие железнодорожные артустановки “ Kollosal ” (“Колоссаль”), находившиеся на расстоянии 125 километров от Парижа, подвергли бомбардировке французскую столицу. Было сделано 367 выстрелов (снаряд пролетал расстояние до цели за 176 секунд). Германцы провели обстрел Парижа тремя железнодорожными транспортерами, установленными на постоянных основаниях с поворотными кругами. На боевую позицию артустановка “Колоссаль” доставлялась на жеезнодорожной патформе с 18 парами колес, имевшей вес 256 тонн (11454).</w:t>
      </w:r>
    </w:p>
    <w:p w14:paraId="2FFB52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947169" w14:textId="77777777" w:rsidR="001C638F" w:rsidRPr="002F2FDF" w:rsidRDefault="001C638F"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 xml:space="preserve">В марте 1917 года германские подлодки потопили вражеских судов общим водоизмещением в 885 тысяч тонн, в апреле — в 1 091 тысяч тонн, в мае — 839 тысяч тонн, а в июне —1016 тысяч тонн, то есть за четыре месяца почти вдвое больше, чем они потопили за весь 1916 год. При этом кайзеровский флот потерял всего лишь 20 </w:t>
      </w:r>
      <w:r w:rsidRPr="002F2FDF">
        <w:rPr>
          <w:rFonts w:ascii="Times New Roman" w:eastAsia="Times New Roman" w:hAnsi="Times New Roman" w:cs="Times New Roman"/>
          <w:color w:val="000000" w:themeColor="text1"/>
          <w:kern w:val="2"/>
          <w:sz w:val="16"/>
          <w:szCs w:val="16"/>
          <w:lang w:eastAsia="ru-RU"/>
        </w:rPr>
        <w:lastRenderedPageBreak/>
        <w:t>подлодок. Чтобы снизить собственные потери и повысить результативность кайзерфлота, германский Адмиралштаб все свои усилия направил на районы Северной Атлантики и на Русский Север. Причем и силами ведения тайной войны (17007).</w:t>
      </w:r>
    </w:p>
    <w:p w14:paraId="74CFB3FD" w14:textId="77777777" w:rsidR="001C638F" w:rsidRPr="002F2FDF" w:rsidRDefault="001C638F"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p>
    <w:p w14:paraId="754C9F92" w14:textId="77777777" w:rsidR="008836A0" w:rsidRPr="002F2FDF" w:rsidRDefault="008836A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марте 1917 г. компания «Шнейдер» начала разработку проекта среднего танка следующего поколения. 1 мая 1917 г. в Военном министерстве было представлено несколько его вариантов — боевая масса варьировалась от 13,2 до 15,4 т, также различалось вооружение и схема его размещения. В первом варианте танк имел 47-мм пушку, размещенную в башне кругового вращения, во втором 75-мм пушка обр. 1897 г. находилась в лобовом листе корпуса. Наиболее подходящим военными был признан вариант без башни, с короткоствольной пушкой в центре передней части корпуса. Прототип испытали 24 октября 1917 г., и «Шнейдер» получил заказ на изготовление 400 танков Schneider CA-3, однако в феврале 1918 г. программа была заморожена, а позже ее и вовсе отменили (22820).</w:t>
      </w:r>
    </w:p>
    <w:p w14:paraId="179290D6" w14:textId="77777777" w:rsidR="008836A0" w:rsidRPr="002F2FDF" w:rsidRDefault="008836A0" w:rsidP="0083075A">
      <w:pPr>
        <w:spacing w:after="0" w:line="240" w:lineRule="auto"/>
        <w:jc w:val="both"/>
        <w:rPr>
          <w:rFonts w:ascii="Times New Roman" w:hAnsi="Times New Roman" w:cs="Times New Roman"/>
          <w:color w:val="000000" w:themeColor="text1"/>
          <w:sz w:val="16"/>
          <w:szCs w:val="16"/>
        </w:rPr>
      </w:pPr>
    </w:p>
    <w:p w14:paraId="6CCB31B0" w14:textId="77777777" w:rsidR="008836A0" w:rsidRPr="002F2FDF" w:rsidRDefault="008836A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марте 1917 лейтенант ВМС США Кеннет Уайтинг предлагает министру ВМФ Джозефусу Дэниелсу, чтобы ВМС приобрели корабль с авиационной катапультой и полетной палубой. Хотя он был отклонен 20 июня, это первая серьезная попытка ВМС США приобрести авиационный корабль после Гражданской войны в США (1861–1865) (20341).</w:t>
      </w:r>
    </w:p>
    <w:p w14:paraId="4A3E25DF" w14:textId="77777777" w:rsidR="008836A0" w:rsidRPr="002F2FDF" w:rsidRDefault="008836A0" w:rsidP="0083075A">
      <w:pPr>
        <w:spacing w:after="0" w:line="240" w:lineRule="auto"/>
        <w:jc w:val="both"/>
        <w:rPr>
          <w:rFonts w:ascii="Times New Roman" w:hAnsi="Times New Roman" w:cs="Times New Roman"/>
          <w:color w:val="000000" w:themeColor="text1"/>
          <w:sz w:val="16"/>
          <w:szCs w:val="16"/>
        </w:rPr>
      </w:pPr>
    </w:p>
    <w:p w14:paraId="4D3FBC72" w14:textId="77777777" w:rsidR="008836A0" w:rsidRPr="002F2FDF" w:rsidRDefault="008836A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марте 1917 г. владелец фирмы «Пембертон-Биллинг» Н. Пембертон-Биллинг (Noel Pemberton-Billing) обратился к заместителю военного министра с требованием прекратить выпуск самолета Сопвич Триплан в пользу самолета «Кэмел». Хотя в этом прослеживался его личный интерес, оно возымело определенное действие, т.к. Пембертон-Биллинг был известным общественным деятелем со скандальной репутацией. Далее свою роль в досрочном прекращении выпуска самолета сыграла история с неудачей его запуска в серию на заводе «Окли», что позволило вновь поднять вопрос сложности регулировки трипланной коробки крыльев (23176).</w:t>
      </w:r>
    </w:p>
    <w:p w14:paraId="212D327D" w14:textId="77777777" w:rsidR="008836A0" w:rsidRPr="002F2FDF" w:rsidRDefault="008836A0" w:rsidP="0083075A">
      <w:pPr>
        <w:spacing w:after="0" w:line="240" w:lineRule="auto"/>
        <w:jc w:val="both"/>
        <w:rPr>
          <w:rFonts w:ascii="Times New Roman" w:hAnsi="Times New Roman" w:cs="Times New Roman"/>
          <w:color w:val="000000" w:themeColor="text1"/>
          <w:sz w:val="16"/>
          <w:szCs w:val="16"/>
        </w:rPr>
      </w:pPr>
    </w:p>
    <w:p w14:paraId="1EBD8459" w14:textId="77777777" w:rsidR="0028450E" w:rsidRPr="00FB4F67" w:rsidRDefault="002845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марте 1917 г. румынский авиационный корпус был переименован в Aeronautica Regala Romana (ARR) (Royal Romanian Aeronautics). 4 апреля он состоял из четырех групп по десять эскадрилий (23525).</w:t>
      </w:r>
    </w:p>
    <w:p w14:paraId="678B0706" w14:textId="77777777" w:rsidR="0028450E" w:rsidRPr="00FB4F67" w:rsidRDefault="0028450E" w:rsidP="0083075A">
      <w:pPr>
        <w:spacing w:after="0" w:line="240" w:lineRule="auto"/>
        <w:jc w:val="both"/>
        <w:rPr>
          <w:rFonts w:ascii="Times New Roman" w:hAnsi="Times New Roman" w:cs="Times New Roman"/>
          <w:color w:val="0070C0"/>
          <w:sz w:val="16"/>
          <w:szCs w:val="16"/>
        </w:rPr>
      </w:pPr>
    </w:p>
    <w:p w14:paraId="5F38F1D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6A375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F248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марта-апреля 1917 г, как и в случае с другими российскими предприятиями, у участников "Группы Царицынского завода" наметилась устойчивая тенденция падения уровня производства пушек, пока с мая не последовал настоящий обвал. Важным этапом в деятельности "группы Виккерс " и Русского акционерного общества артиллерийских заводов стала организация поставок вооружений фирмы &lt;Виккерс&gt; в Россию во время первой мировой войны. Кроме заказов Морского министерства, фирме &lt;Виккерс&gt; в период войны последовали и крупные заказы Военного министерства. При этом Общество получало оговоренное с &lt;Виккерс&gt; вознаграждение. Общее число, заказанных британской фирме орудий - от 40-миллиметровых до самого крупного 16-дюймового, было невелико и составило 237 штук. Кроме этого, заводам Виккерса через РАОАЗ и "группу &lt;Виккерс&gt; было заказано 172 тыс. патронов для зенитных орудий (11448).</w:t>
      </w:r>
    </w:p>
    <w:p w14:paraId="54D125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94F1BA" w14:textId="62F23628" w:rsidR="00B16EFB" w:rsidRDefault="00B16EF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6A0A28E3" w14:textId="77777777" w:rsidR="00B16EFB" w:rsidRPr="00FB4F67" w:rsidRDefault="00B16EFB" w:rsidP="0083075A">
      <w:pPr>
        <w:spacing w:after="0" w:line="240" w:lineRule="auto"/>
        <w:jc w:val="both"/>
        <w:rPr>
          <w:rFonts w:ascii="Times New Roman" w:hAnsi="Times New Roman" w:cs="Times New Roman"/>
          <w:color w:val="0070C0"/>
          <w:sz w:val="16"/>
          <w:szCs w:val="16"/>
        </w:rPr>
      </w:pPr>
    </w:p>
    <w:p w14:paraId="22CF6EC6" w14:textId="77777777" w:rsidR="00B16EFB" w:rsidRPr="00FB4F67" w:rsidRDefault="00B16EF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течение марта-апреля 1917 г. на Балтике русский морской летчик унтер-офицер С.Е. Столярский создал в Гапсале, на берегу Мунзунда, небольшую школу летающих лодок, учениками которой были бывшие механики. Он был неофициальным и действовал без надлежащих приказов и правил (23525).</w:t>
      </w:r>
    </w:p>
    <w:p w14:paraId="0AD96166" w14:textId="77777777" w:rsidR="00B16EFB" w:rsidRPr="00FB4F67" w:rsidRDefault="00B16EFB" w:rsidP="0083075A">
      <w:pPr>
        <w:spacing w:after="0" w:line="240" w:lineRule="auto"/>
        <w:jc w:val="both"/>
        <w:rPr>
          <w:rFonts w:ascii="Times New Roman" w:hAnsi="Times New Roman" w:cs="Times New Roman"/>
          <w:color w:val="0070C0"/>
          <w:sz w:val="16"/>
          <w:szCs w:val="16"/>
        </w:rPr>
      </w:pPr>
    </w:p>
    <w:p w14:paraId="507A33C3" w14:textId="77777777" w:rsidR="00B16EFB" w:rsidRPr="00FB4F67" w:rsidRDefault="00B16EF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марте-апреле 1917 г. турки сформировали See.Fl.Abt.2 (отряд морской авиации) в Сан-Стефано для обороны Босфора. Позже он проводил операции из Эрегли. Турецкий Fl.Abt.8 (наземный авиаотряд) также был сформирован в Сан-Стефано. Он служил разведывательным подразделением 3-й армии на Северном Кавказе, действуя с аэродромов в Сушехире и Кайсери (23525).</w:t>
      </w:r>
    </w:p>
    <w:p w14:paraId="7B209208" w14:textId="77777777" w:rsidR="00B16EFB" w:rsidRPr="00FB4F67" w:rsidRDefault="00B16EFB" w:rsidP="0083075A">
      <w:pPr>
        <w:spacing w:after="0" w:line="240" w:lineRule="auto"/>
        <w:jc w:val="both"/>
        <w:rPr>
          <w:rFonts w:ascii="Times New Roman" w:hAnsi="Times New Roman" w:cs="Times New Roman"/>
          <w:color w:val="0070C0"/>
          <w:sz w:val="16"/>
          <w:szCs w:val="16"/>
        </w:rPr>
      </w:pPr>
    </w:p>
    <w:p w14:paraId="08910A89" w14:textId="2EAF9932" w:rsidR="00147B32" w:rsidRPr="002F2FDF" w:rsidRDefault="00147B3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F4DEF27" w14:textId="77777777" w:rsidR="00147B32" w:rsidRPr="002F2FDF" w:rsidRDefault="00147B3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A68620" w14:textId="77777777" w:rsidR="00147B32" w:rsidRPr="002F2FDF" w:rsidRDefault="00147B3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 марта-апреля 1917 г. на SPAD VII пошли 180-сильные H.S.8Ab (180 л. с.), которые с воздушными винтами увеличенного на 100 мм диаметра Интеграл 2119 и др. дали прирост скорости до 208…212 км / ч. Скороподъемность при переходе в набор высоты из горизонтального полета даже несколько ухудшилась, но летчики стали использовать разгон в пике, и тогда обгоняли в наборе высоты любой другой истребитель.</w:t>
      </w:r>
    </w:p>
    <w:p w14:paraId="77742A8D" w14:textId="77777777" w:rsidR="00147B32" w:rsidRPr="002F2FDF" w:rsidRDefault="00147B3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Наиболее существенным дефектом осталось недостаточное охлаждение мотора. В эскадрильях пытались снимать панели с жалюзи на бортах мотоотсеков, но от этого только росло аэродинамическое сопротивление самолета, и падала скорость. В производстве ввели перфорацию на лобовой плоской части обечайки входного отверстия мотоотсека перед радиатором, затем ее вообще стали срезать, увеличивая проходное сечение. Но в полете на обычных углах атаки на нижней кромке входного отверстия возникал срыв пограничного слоя, который «затенял» нижнюю часть радиатора. В попытке устранить его, внизу на оставшейся обечайке входного отверстия мотоотсека снизу стали делать одно овальное дополнительное отверстие, закрытое дефлектором.</w:t>
      </w:r>
    </w:p>
    <w:p w14:paraId="3E915484" w14:textId="77777777" w:rsidR="00147B32" w:rsidRPr="002F2FDF" w:rsidRDefault="00147B3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 наступлением холодов остывшие моторы стали «туго» запускаться. Попытка прикрыть нижнюю часть радиатора перфорированной пластиной ни к чему не привела, и на входе в мотоотсек пришлось установить управляемые из кабины жалюзи. Их закрывали, прогревая мотор и чтобы не дать ему остыть и заглохнуть в пикировании, и открывали, когда температура воды в системе охлаждения росла. А последним шагом стала замена одного отверстия под дефлектором в нижней «губе» капота несколькими открытыми, с которыми обдув радиатора на больших углах атаки выровнялся.</w:t>
      </w:r>
    </w:p>
    <w:p w14:paraId="68641801" w14:textId="77777777" w:rsidR="00147B32" w:rsidRPr="002F2FDF" w:rsidRDefault="00147B32" w:rsidP="0083075A">
      <w:pPr>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rPr>
        <w:t>Много пришлось повозиться с неудобным и быстро терявшим прозрачность козырьком кабины. От охватывающих ее боковин из целлулоида пришлось отказаться, сделав простой козырек из двух листов целлулоида под углом друг к другу. Их разделили несимметрично, чтобы стык не попадал на линию прицеливания. Но так на таких косых «стеклах» ложился блик, и козырек ста ли делать из одного листа оргстекла в форме прямоугольника, трапеции или сегмента окружности. Плексиглас не «играл» под напором встречного потока и не мутнел. Главной доработкой в вооружении была замена системы подачи ленты к пулемету и наматывания ее отстрелянной части на барабан пружиной на механизм «Придо». Он извлекал стреляные гильзы из звеньев металлической ленты, после чего они сами рассыпались и падали в специальную емкость — потом так станут делать все. Хотя синхронизатор Биркигта и так обеспечивал преимущество самолету SPAD VII с одним пулеметом перед немецкими двухпулеметными истребителями, необходимость в усилении огневой мощи все же была. Фирмы SPAD и «Испано-Сюиза» совместно сделали модификации самолета с одной пушкой калибра 37 мм или с двумя синхронными пулеметами (22775).</w:t>
      </w:r>
    </w:p>
    <w:p w14:paraId="62F9C636" w14:textId="77777777" w:rsidR="00147B32" w:rsidRPr="002F2FDF" w:rsidRDefault="00147B32" w:rsidP="0083075A">
      <w:pPr>
        <w:spacing w:after="0" w:line="240" w:lineRule="auto"/>
        <w:jc w:val="both"/>
        <w:rPr>
          <w:rFonts w:ascii="Times New Roman" w:hAnsi="Times New Roman" w:cs="Times New Roman"/>
          <w:color w:val="000000" w:themeColor="text1"/>
          <w:sz w:val="16"/>
          <w:szCs w:val="16"/>
          <w:shd w:val="clear" w:color="auto" w:fill="FFFFFF"/>
        </w:rPr>
      </w:pPr>
    </w:p>
    <w:p w14:paraId="76888C43" w14:textId="77777777" w:rsidR="003431D2" w:rsidRPr="00EE66CD"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F79ED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90E8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весенних операций 1917 года на всех четырех русских фронтах было собрано 389 батарей тяжелой полевой и осадной артиллерии с 1434 орудиями разных систем и калибром от 107-мм до 305-мм (включая и части ТАОН, переданные фронтам) (3861).</w:t>
      </w:r>
    </w:p>
    <w:p w14:paraId="593849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E52EFB" w14:textId="7F3DD9F3" w:rsidR="00342516" w:rsidRDefault="00342516"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Авиапромышленность:</w:t>
      </w:r>
    </w:p>
    <w:p w14:paraId="3D36B068" w14:textId="77777777" w:rsidR="00342516" w:rsidRDefault="00342516"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61A6743" w14:textId="77777777" w:rsidR="00342516" w:rsidRPr="00FB4F67" w:rsidRDefault="0034251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апрелю 1917 г. количество рабочих на заводе Моска уменьшилось до 190—180 человек. До на</w:t>
      </w:r>
      <w:r w:rsidRPr="00FB4F67">
        <w:rPr>
          <w:rFonts w:ascii="Times New Roman" w:hAnsi="Times New Roman" w:cs="Times New Roman"/>
          <w:color w:val="0070C0"/>
          <w:sz w:val="16"/>
          <w:szCs w:val="16"/>
        </w:rPr>
        <w:softHyphen/>
        <w:t>ступления летних событий заводу Моска удалось закончить еще 10 МБ бис из боль</w:t>
      </w:r>
      <w:r w:rsidRPr="00FB4F67">
        <w:rPr>
          <w:rFonts w:ascii="Times New Roman" w:hAnsi="Times New Roman" w:cs="Times New Roman"/>
          <w:color w:val="0070C0"/>
          <w:sz w:val="16"/>
          <w:szCs w:val="16"/>
        </w:rPr>
        <w:softHyphen/>
        <w:t>шого заказа (125 экз.) (23374).</w:t>
      </w:r>
    </w:p>
    <w:p w14:paraId="6DF85B3D" w14:textId="77777777" w:rsidR="00342516" w:rsidRPr="00FB4F67" w:rsidRDefault="00342516" w:rsidP="0083075A">
      <w:pPr>
        <w:spacing w:after="0" w:line="240" w:lineRule="auto"/>
        <w:jc w:val="both"/>
        <w:rPr>
          <w:rFonts w:ascii="Times New Roman" w:hAnsi="Times New Roman" w:cs="Times New Roman"/>
          <w:color w:val="0070C0"/>
          <w:sz w:val="16"/>
          <w:szCs w:val="16"/>
        </w:rPr>
      </w:pPr>
    </w:p>
    <w:p w14:paraId="5F59D053" w14:textId="64481ABD"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1399E4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DF24D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апрелю 1917 года переведенные в Севастополь в октябре 1916 румынские пароходы “Ко</w:t>
      </w:r>
      <w:r w:rsidRPr="002F2FDF">
        <w:rPr>
          <w:rFonts w:ascii="Times New Roman" w:hAnsi="Times New Roman" w:cs="Times New Roman"/>
          <w:color w:val="000000" w:themeColor="text1"/>
          <w:kern w:val="2"/>
          <w:sz w:val="16"/>
          <w:szCs w:val="16"/>
        </w:rPr>
        <w:softHyphen/>
        <w:t>роль Карл”, “Дакия”, “Император Троян” (стандартное водо</w:t>
      </w:r>
      <w:r w:rsidRPr="002F2FDF">
        <w:rPr>
          <w:rFonts w:ascii="Times New Roman" w:hAnsi="Times New Roman" w:cs="Times New Roman"/>
          <w:color w:val="000000" w:themeColor="text1"/>
          <w:kern w:val="2"/>
          <w:sz w:val="16"/>
          <w:szCs w:val="16"/>
        </w:rPr>
        <w:softHyphen/>
        <w:t>измещение около 4500 тонн, скорость хода свыше 17 узлов) были переоборудованы и включены в под</w:t>
      </w:r>
      <w:r w:rsidRPr="002F2FDF">
        <w:rPr>
          <w:rFonts w:ascii="Times New Roman" w:hAnsi="Times New Roman" w:cs="Times New Roman"/>
          <w:color w:val="000000" w:themeColor="text1"/>
          <w:kern w:val="2"/>
          <w:sz w:val="16"/>
          <w:szCs w:val="16"/>
        </w:rPr>
        <w:softHyphen/>
        <w:t>класс вспомогательных крейсеров. Вначале предполагалось вооружить каждый четырьмя 152-и одним 7 5 -мм орудиями и четырьмя летающими лодками. Но такие артустановки получила лишь “Дакия”, а “Импера</w:t>
      </w:r>
      <w:r w:rsidRPr="002F2FDF">
        <w:rPr>
          <w:rFonts w:ascii="Times New Roman" w:hAnsi="Times New Roman" w:cs="Times New Roman"/>
          <w:color w:val="000000" w:themeColor="text1"/>
          <w:kern w:val="2"/>
          <w:sz w:val="16"/>
          <w:szCs w:val="16"/>
        </w:rPr>
        <w:softHyphen/>
        <w:t>тор Троян” и “Король Карл” - соответственно по четыре 130-и 102-мм орудия. Из-за нехватки гидроаэропланов, они имели не более двух. Судовой экипаж состоял из 8 обер-офицеров, одного кондуктора, 143 унтер-офицеров и матросов (11283).</w:t>
      </w:r>
    </w:p>
    <w:p w14:paraId="389523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92C9F3"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апрелю 1917 г. румынские пароходы: «Король Карл», «Дакия», «Император Троян» (водоизмеще</w:t>
      </w:r>
      <w:r w:rsidRPr="002F2FDF">
        <w:rPr>
          <w:rFonts w:ascii="Times New Roman" w:hAnsi="Times New Roman" w:cs="Times New Roman"/>
          <w:color w:val="000000" w:themeColor="text1"/>
          <w:kern w:val="2"/>
          <w:sz w:val="16"/>
          <w:szCs w:val="16"/>
        </w:rPr>
        <w:softHyphen/>
        <w:t>ние 4500 т, скорость свыше 17 уз</w:t>
      </w:r>
      <w:r w:rsidRPr="002F2FDF">
        <w:rPr>
          <w:rFonts w:ascii="Times New Roman" w:hAnsi="Times New Roman" w:cs="Times New Roman"/>
          <w:color w:val="000000" w:themeColor="text1"/>
          <w:kern w:val="2"/>
          <w:sz w:val="16"/>
          <w:szCs w:val="16"/>
        </w:rPr>
        <w:softHyphen/>
        <w:t>лов) переобо</w:t>
      </w:r>
      <w:r w:rsidRPr="002F2FDF">
        <w:rPr>
          <w:rFonts w:ascii="Times New Roman" w:hAnsi="Times New Roman" w:cs="Times New Roman"/>
          <w:color w:val="000000" w:themeColor="text1"/>
          <w:kern w:val="2"/>
          <w:sz w:val="16"/>
          <w:szCs w:val="16"/>
        </w:rPr>
        <w:softHyphen/>
        <w:t>рудовали для базирования четырёх самолётов, включив в подкласс вспо</w:t>
      </w:r>
      <w:r w:rsidRPr="002F2FDF">
        <w:rPr>
          <w:rFonts w:ascii="Times New Roman" w:hAnsi="Times New Roman" w:cs="Times New Roman"/>
          <w:color w:val="000000" w:themeColor="text1"/>
          <w:kern w:val="2"/>
          <w:sz w:val="16"/>
          <w:szCs w:val="16"/>
        </w:rPr>
        <w:softHyphen/>
        <w:t>могательных крейсеров, вооружив каждый 130-мм и 102-мм орудиями. Из-за нехватки самолётов на каж</w:t>
      </w:r>
      <w:r w:rsidRPr="002F2FDF">
        <w:rPr>
          <w:rFonts w:ascii="Times New Roman" w:hAnsi="Times New Roman" w:cs="Times New Roman"/>
          <w:color w:val="000000" w:themeColor="text1"/>
          <w:kern w:val="2"/>
          <w:sz w:val="16"/>
          <w:szCs w:val="16"/>
        </w:rPr>
        <w:softHyphen/>
        <w:t>дом корабле базировалось лишь по два самолёта. Во второй половине мая 1917 г. корабли переименова</w:t>
      </w:r>
      <w:r w:rsidRPr="002F2FDF">
        <w:rPr>
          <w:rFonts w:ascii="Times New Roman" w:hAnsi="Times New Roman" w:cs="Times New Roman"/>
          <w:color w:val="000000" w:themeColor="text1"/>
          <w:kern w:val="2"/>
          <w:sz w:val="16"/>
          <w:szCs w:val="16"/>
        </w:rPr>
        <w:softHyphen/>
        <w:t xml:space="preserve">ли: «Император Александр </w:t>
      </w:r>
      <w:r w:rsidRPr="002F2FDF">
        <w:rPr>
          <w:rFonts w:ascii="Times New Roman" w:hAnsi="Times New Roman" w:cs="Times New Roman"/>
          <w:color w:val="000000" w:themeColor="text1"/>
          <w:kern w:val="2"/>
          <w:sz w:val="16"/>
          <w:szCs w:val="16"/>
          <w:lang w:val="en-US"/>
        </w:rPr>
        <w:t>I</w:t>
      </w:r>
      <w:r w:rsidRPr="002F2FDF">
        <w:rPr>
          <w:rFonts w:ascii="Times New Roman" w:hAnsi="Times New Roman" w:cs="Times New Roman"/>
          <w:color w:val="000000" w:themeColor="text1"/>
          <w:kern w:val="2"/>
          <w:sz w:val="16"/>
          <w:szCs w:val="16"/>
        </w:rPr>
        <w:t>» стал называться «Республиканцем», «Им</w:t>
      </w:r>
      <w:r w:rsidRPr="002F2FDF">
        <w:rPr>
          <w:rFonts w:ascii="Times New Roman" w:hAnsi="Times New Roman" w:cs="Times New Roman"/>
          <w:color w:val="000000" w:themeColor="text1"/>
          <w:kern w:val="2"/>
          <w:sz w:val="16"/>
          <w:szCs w:val="16"/>
        </w:rPr>
        <w:softHyphen/>
        <w:t xml:space="preserve">ператор Николай </w:t>
      </w:r>
      <w:r w:rsidRPr="002F2FDF">
        <w:rPr>
          <w:rFonts w:ascii="Times New Roman" w:hAnsi="Times New Roman" w:cs="Times New Roman"/>
          <w:color w:val="000000" w:themeColor="text1"/>
          <w:kern w:val="2"/>
          <w:sz w:val="16"/>
          <w:szCs w:val="16"/>
          <w:lang w:val="en-US"/>
        </w:rPr>
        <w:t>I</w:t>
      </w:r>
      <w:r w:rsidRPr="002F2FDF">
        <w:rPr>
          <w:rFonts w:ascii="Times New Roman" w:hAnsi="Times New Roman" w:cs="Times New Roman"/>
          <w:color w:val="000000" w:themeColor="text1"/>
          <w:kern w:val="2"/>
          <w:sz w:val="16"/>
          <w:szCs w:val="16"/>
        </w:rPr>
        <w:t>» - «Авиатором», «Румыния» сохранила своё назва</w:t>
      </w:r>
      <w:r w:rsidRPr="002F2FDF">
        <w:rPr>
          <w:rFonts w:ascii="Times New Roman" w:hAnsi="Times New Roman" w:cs="Times New Roman"/>
          <w:color w:val="000000" w:themeColor="text1"/>
          <w:kern w:val="2"/>
          <w:sz w:val="16"/>
          <w:szCs w:val="16"/>
        </w:rPr>
        <w:softHyphen/>
        <w:t>ние. Причём с последним кораблём, который почти не принимал учас</w:t>
      </w:r>
      <w:r w:rsidRPr="002F2FDF">
        <w:rPr>
          <w:rFonts w:ascii="Times New Roman" w:hAnsi="Times New Roman" w:cs="Times New Roman"/>
          <w:color w:val="000000" w:themeColor="text1"/>
          <w:kern w:val="2"/>
          <w:sz w:val="16"/>
          <w:szCs w:val="16"/>
        </w:rPr>
        <w:softHyphen/>
        <w:t>тия в войне, связаны и трагические события - он использовался рево</w:t>
      </w:r>
      <w:r w:rsidRPr="002F2FDF">
        <w:rPr>
          <w:rFonts w:ascii="Times New Roman" w:hAnsi="Times New Roman" w:cs="Times New Roman"/>
          <w:color w:val="000000" w:themeColor="text1"/>
          <w:kern w:val="2"/>
          <w:sz w:val="16"/>
          <w:szCs w:val="16"/>
        </w:rPr>
        <w:softHyphen/>
        <w:t>люционными матросами в качестве плавучей тюрьмы (11925).</w:t>
      </w:r>
    </w:p>
    <w:p w14:paraId="365A40BA"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71E40E" w14:textId="77777777" w:rsidR="004F0CD1" w:rsidRPr="002F2FDF" w:rsidRDefault="004F0CD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апрелю 1917 г. наибольшей была готовность линейного крейсера «Измаил», остальные корабли «значительно отставали. Хуже всего обстояло дело с бронированием из-за нехватки металла в стране, идущего прежде всего на снаряды и полевую артиллерию… В сентябре Адмиралтейский завод получил разрешение разместить механизмы и котлы, поступающие для крейсеров „Бородино“ и „Наварин“, на Мясной улице близ территории завода. Обсуждался даже вопрос о продаже их части и переделке крейсеров… в коммерческие суда». Ни один из четырех дредноутов не был достроен [Цветков 1995, т. 3: 375, 377]. Металла не хватало и на сухопутные вооружения (18408).</w:t>
      </w:r>
    </w:p>
    <w:p w14:paraId="0F46C7AD" w14:textId="77777777" w:rsidR="004F0CD1" w:rsidRPr="002F2FDF" w:rsidRDefault="004F0CD1" w:rsidP="0083075A">
      <w:pPr>
        <w:spacing w:after="0" w:line="240" w:lineRule="auto"/>
        <w:jc w:val="both"/>
        <w:rPr>
          <w:rFonts w:ascii="Times New Roman" w:hAnsi="Times New Roman" w:cs="Times New Roman"/>
          <w:color w:val="000000" w:themeColor="text1"/>
          <w:sz w:val="16"/>
          <w:szCs w:val="16"/>
        </w:rPr>
      </w:pPr>
    </w:p>
    <w:p w14:paraId="2967027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FD6D8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4A6842" w14:textId="5D2239C2" w:rsidR="00D155A9" w:rsidRPr="002F2FDF" w:rsidRDefault="00D155A9" w:rsidP="0083075A">
      <w:pPr>
        <w:spacing w:after="0" w:line="240" w:lineRule="auto"/>
        <w:jc w:val="both"/>
        <w:rPr>
          <w:rFonts w:ascii="Times New Roman" w:hAnsi="Times New Roman" w:cs="Times New Roman"/>
          <w:bCs/>
          <w:iCs/>
          <w:color w:val="000000" w:themeColor="text1"/>
          <w:kern w:val="2"/>
          <w:sz w:val="16"/>
          <w:szCs w:val="16"/>
        </w:rPr>
      </w:pPr>
      <w:r w:rsidRPr="002F2FDF">
        <w:rPr>
          <w:rFonts w:ascii="Times New Roman" w:hAnsi="Times New Roman" w:cs="Times New Roman"/>
          <w:bCs/>
          <w:iCs/>
          <w:color w:val="000000" w:themeColor="text1"/>
          <w:kern w:val="2"/>
          <w:sz w:val="16"/>
          <w:szCs w:val="16"/>
        </w:rPr>
        <w:t>На 1 (14) апреля 1917 г. на «Авиа-Балте» работало 860 чсловек (15127).</w:t>
      </w:r>
    </w:p>
    <w:p w14:paraId="618E7B06" w14:textId="77777777" w:rsidR="00D155A9" w:rsidRPr="002F2FDF" w:rsidRDefault="00D155A9" w:rsidP="0083075A">
      <w:pPr>
        <w:spacing w:after="0" w:line="240" w:lineRule="auto"/>
        <w:jc w:val="both"/>
        <w:rPr>
          <w:rFonts w:ascii="Times New Roman" w:hAnsi="Times New Roman" w:cs="Times New Roman"/>
          <w:bCs/>
          <w:iCs/>
          <w:color w:val="000000" w:themeColor="text1"/>
          <w:kern w:val="2"/>
          <w:sz w:val="16"/>
          <w:szCs w:val="16"/>
        </w:rPr>
      </w:pPr>
    </w:p>
    <w:p w14:paraId="30EB52E6" w14:textId="329D554A" w:rsidR="00342516" w:rsidRPr="00FB4F67" w:rsidRDefault="0034251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На 1 </w:t>
      </w:r>
      <w:r>
        <w:rPr>
          <w:rFonts w:ascii="Times New Roman" w:hAnsi="Times New Roman" w:cs="Times New Roman"/>
          <w:color w:val="0070C0"/>
          <w:sz w:val="16"/>
          <w:szCs w:val="16"/>
        </w:rPr>
        <w:t xml:space="preserve">(14) </w:t>
      </w:r>
      <w:r w:rsidRPr="00FB4F67">
        <w:rPr>
          <w:rFonts w:ascii="Times New Roman" w:hAnsi="Times New Roman" w:cs="Times New Roman"/>
          <w:color w:val="0070C0"/>
          <w:sz w:val="16"/>
          <w:szCs w:val="16"/>
        </w:rPr>
        <w:t>апреля 1917 г. на «Авиа-Балте» работало 869 человек (24177).</w:t>
      </w:r>
    </w:p>
    <w:p w14:paraId="4ED81F11" w14:textId="77777777" w:rsidR="00342516" w:rsidRPr="00FB4F67" w:rsidRDefault="00342516" w:rsidP="0083075A">
      <w:pPr>
        <w:spacing w:after="0" w:line="240" w:lineRule="auto"/>
        <w:jc w:val="both"/>
        <w:rPr>
          <w:rFonts w:ascii="Times New Roman" w:hAnsi="Times New Roman" w:cs="Times New Roman"/>
          <w:color w:val="0070C0"/>
          <w:sz w:val="16"/>
          <w:szCs w:val="16"/>
        </w:rPr>
      </w:pPr>
    </w:p>
    <w:p w14:paraId="321287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состоянию на 1 (14) апреля 1917 г. только 11 отечественных истребителей и небольшое число одноместных импортных самолетов “Спад” и “Сопвич”, находившихся в распоряжении корпусных авиаотрядов, были оснащены синхронизаторами для стрельбы через винт. Все остальные самолеты-истребители имели пулеметы для стрельбы поверх винта (9705).</w:t>
      </w:r>
    </w:p>
    <w:p w14:paraId="0BDA5A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D703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1 (14) апреля 1917 г. в авиации числилось 1069 пулеметов, в том числе “Люис” - 479, “Кольт” - 352, “Виккерс” - 186, “Гочкис” - 52. В это число входили все запасные пулеметы, находившиеся в авиапарках, на центральном складе. Число пулеметов на самолетах было значительно меньше. Лучшими считались английские пулеметы “Внккерс”. Они имели водяное охлаждение, которое, однако, при воздушной стрельбе не применялось. В кожухе были сделаны щели, через которые встречный поток воздуха охлаждал ствол пулемета. Питание осуществлялось не с помощью магазина, как у пулемета “Люис”, а при помощи ленты из 1000 патронов, что повышало эффективность стрельбы. Пулемет “Виккерс” имел массу 12 кг, делал 350 выстрелов в минуту (9705).</w:t>
      </w:r>
    </w:p>
    <w:p w14:paraId="1DAD80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1BB0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1 (14) апреля 1917 г. русские авиаотряды насчитывали 198 аппаратов системы “Потте”, 77 аппаратов Ульянина и 114 аппаратов других систем. Все корпусные и армейские-самолеты были снабжены аэрофотоаппаратами. Применение аэрофотоаппаратов давало столь ценные сведения о противнике, что данные авиаразведки стали непременным условием подготовки любой наземной операции. В “Руководстве воздушной фотографией по программе для испытаний на звание военного летчика”, изданном в 1916 г., говорилось: “Разведка, произведенная с летательного аппарата, только тогда является ценной, когда в виде иллюстрации к донесению летчика приложена фотография всего того, что запечатлено всевидящим оком объектива” (9705).</w:t>
      </w:r>
    </w:p>
    <w:p w14:paraId="5560D3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9B619F" w14:textId="77777777" w:rsidR="00D155A9"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9FD01FB" w14:textId="77777777" w:rsidR="00D155A9" w:rsidRPr="002F2FDF" w:rsidRDefault="00D155A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41BF57" w14:textId="77777777" w:rsidR="00D155A9" w:rsidRPr="002F2FDF" w:rsidRDefault="00D155A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апреля 1917 Телеграмма уполномоченного Особого совещания по обороне и председателя заводского совещания Екатеринославского района полк. А. В. Панкина Особому совещанию по обороне о положении на металлургических заводах района.</w:t>
      </w:r>
    </w:p>
    <w:p w14:paraId="77565F8B" w14:textId="77777777" w:rsidR="00D155A9" w:rsidRPr="002F2FDF" w:rsidRDefault="00D155A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102</w:t>
      </w:r>
    </w:p>
    <w:p w14:paraId="479C49C3" w14:textId="77777777" w:rsidR="00D155A9" w:rsidRPr="002F2FDF" w:rsidRDefault="00D155A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369, оп. 21, д. 219, лл. 556—557. Телегр. бланк.</w:t>
      </w:r>
    </w:p>
    <w:p w14:paraId="51C697D4" w14:textId="77777777" w:rsidR="00D155A9" w:rsidRPr="002F2FDF" w:rsidRDefault="00D155A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Сообщаю [о] положении [на] металлургических заводах Екатеринославского района на 13 марта. Из существующих 48 домен работают 28 с производительностью 60% нормы, из 72 мартенов работает 41. Прокатные за незначительными исключениями работают [с] производительностью около 65% нормы, которая по отдельным заводам колеблется от 10 до 75%. В общем с 5 марта количество работающих домен увеличилось на 4 печи, мартенов на 4 печи, производство прокатных увеличилось от 50 до 65%. Начали работу Дружковский, Константиновский заводы после месячного перерыва. Снабжение углем несколько улучшилось. Среди рабочих замечается лишь некоторый упадок дисциплины при отсутствии каких-либо резких выступлений, на трех заводах введен восьмичасовой рабочий день. Везде предъявлялись требования экономического характера, по которым соглашение достигнуто. Продовольствие рабочих удовлетворительно.</w:t>
      </w:r>
    </w:p>
    <w:p w14:paraId="4ABB7FA0" w14:textId="77777777" w:rsidR="00D155A9" w:rsidRPr="002F2FDF" w:rsidRDefault="00D155A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Уполоборона полковник Панкин (15689).</w:t>
      </w:r>
    </w:p>
    <w:p w14:paraId="161BEE46" w14:textId="77777777" w:rsidR="00D155A9" w:rsidRPr="002F2FDF" w:rsidRDefault="00D155A9" w:rsidP="0083075A">
      <w:pPr>
        <w:spacing w:after="0" w:line="240" w:lineRule="auto"/>
        <w:jc w:val="both"/>
        <w:rPr>
          <w:rFonts w:ascii="Times New Roman" w:hAnsi="Times New Roman" w:cs="Times New Roman"/>
          <w:color w:val="000000" w:themeColor="text1"/>
          <w:kern w:val="2"/>
          <w:sz w:val="16"/>
          <w:szCs w:val="16"/>
        </w:rPr>
      </w:pPr>
    </w:p>
    <w:p w14:paraId="4890C26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47ED4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AAAE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апреля 1917 г. на боевое задание вылетели летчики 4-го као 1БАГ: прапор</w:t>
      </w:r>
      <w:r w:rsidRPr="002F2FDF">
        <w:rPr>
          <w:rFonts w:ascii="Times New Roman" w:hAnsi="Times New Roman" w:cs="Times New Roman"/>
          <w:color w:val="000000" w:themeColor="text1"/>
          <w:kern w:val="2"/>
          <w:sz w:val="16"/>
          <w:szCs w:val="16"/>
        </w:rPr>
        <w:softHyphen/>
        <w:t>щик Кокорин на “Моране-монококе” и младший унтер-офицер Земблевич на “Ньюпоре-21”. Восточнее Брзежан ими был сбит германский самолет, опустившийся в нашем расположе</w:t>
      </w:r>
      <w:r w:rsidRPr="002F2FDF">
        <w:rPr>
          <w:rFonts w:ascii="Times New Roman" w:hAnsi="Times New Roman" w:cs="Times New Roman"/>
          <w:color w:val="000000" w:themeColor="text1"/>
          <w:kern w:val="2"/>
          <w:sz w:val="16"/>
          <w:szCs w:val="16"/>
        </w:rPr>
        <w:softHyphen/>
        <w:t>нии. Кокорин, у которого это был вто</w:t>
      </w:r>
      <w:r w:rsidRPr="002F2FDF">
        <w:rPr>
          <w:rFonts w:ascii="Times New Roman" w:hAnsi="Times New Roman" w:cs="Times New Roman"/>
          <w:color w:val="000000" w:themeColor="text1"/>
          <w:kern w:val="2"/>
          <w:sz w:val="16"/>
          <w:szCs w:val="16"/>
        </w:rPr>
        <w:softHyphen/>
        <w:t>рой вылет за день, позже докладывал: “в районе Козова на высоте 3500 м встретил два самолета противника. Один из них (...) сделал поворот и по</w:t>
      </w:r>
      <w:r w:rsidRPr="002F2FDF">
        <w:rPr>
          <w:rFonts w:ascii="Times New Roman" w:hAnsi="Times New Roman" w:cs="Times New Roman"/>
          <w:color w:val="000000" w:themeColor="text1"/>
          <w:kern w:val="2"/>
          <w:sz w:val="16"/>
          <w:szCs w:val="16"/>
        </w:rPr>
        <w:softHyphen/>
        <w:t>шел встречно мне на закат. Я, нахо</w:t>
      </w:r>
      <w:r w:rsidRPr="002F2FDF">
        <w:rPr>
          <w:rFonts w:ascii="Times New Roman" w:hAnsi="Times New Roman" w:cs="Times New Roman"/>
          <w:color w:val="000000" w:themeColor="text1"/>
          <w:kern w:val="2"/>
          <w:sz w:val="16"/>
          <w:szCs w:val="16"/>
        </w:rPr>
        <w:softHyphen/>
        <w:t>дясь выше, пошел с большим сниже</w:t>
      </w:r>
      <w:r w:rsidRPr="002F2FDF">
        <w:rPr>
          <w:rFonts w:ascii="Times New Roman" w:hAnsi="Times New Roman" w:cs="Times New Roman"/>
          <w:color w:val="000000" w:themeColor="text1"/>
          <w:kern w:val="2"/>
          <w:sz w:val="16"/>
          <w:szCs w:val="16"/>
        </w:rPr>
        <w:softHyphen/>
        <w:t>нием на него. Он сделал поворот на 90 градусов, снижаясь, стал обстре</w:t>
      </w:r>
      <w:r w:rsidRPr="002F2FDF">
        <w:rPr>
          <w:rFonts w:ascii="Times New Roman" w:hAnsi="Times New Roman" w:cs="Times New Roman"/>
          <w:color w:val="000000" w:themeColor="text1"/>
          <w:kern w:val="2"/>
          <w:sz w:val="16"/>
          <w:szCs w:val="16"/>
        </w:rPr>
        <w:softHyphen/>
        <w:t>ливать меня с борта, но я всё время нападал на него сверху, чем заставил его спуститься под моим обстрелом до самой земли. Самолет опустился в двух верстах западнее дер. Увсе, при посадке скапотировал. Я спустился рядом с ним. При осмотре оказалось следующее: в аппарате противника много пулевых пробоин и ранен тремя пулями летчик”. Раненый немецкий летчик и невре</w:t>
      </w:r>
      <w:r w:rsidRPr="002F2FDF">
        <w:rPr>
          <w:rFonts w:ascii="Times New Roman" w:hAnsi="Times New Roman" w:cs="Times New Roman"/>
          <w:color w:val="000000" w:themeColor="text1"/>
          <w:kern w:val="2"/>
          <w:sz w:val="16"/>
          <w:szCs w:val="16"/>
        </w:rPr>
        <w:softHyphen/>
        <w:t>димый летнаб-офицер попали в плен. “Альбатрос” с мотором “Мерседес” в 168 л.с. (вероятно, это был разведчик “Альбатрос” С.Ill) был поломан и от</w:t>
      </w:r>
      <w:r w:rsidRPr="002F2FDF">
        <w:rPr>
          <w:rFonts w:ascii="Times New Roman" w:hAnsi="Times New Roman" w:cs="Times New Roman"/>
          <w:color w:val="000000" w:themeColor="text1"/>
          <w:kern w:val="2"/>
          <w:sz w:val="16"/>
          <w:szCs w:val="16"/>
        </w:rPr>
        <w:softHyphen/>
        <w:t>правлен в ремонт (3954).</w:t>
      </w:r>
    </w:p>
    <w:p w14:paraId="6F04B8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28AA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 </w:t>
      </w:r>
      <w:r w:rsidR="003355CF" w:rsidRPr="002F2FDF">
        <w:rPr>
          <w:rFonts w:ascii="Times New Roman" w:hAnsi="Times New Roman" w:cs="Times New Roman"/>
          <w:color w:val="000000" w:themeColor="text1"/>
          <w:kern w:val="2"/>
          <w:sz w:val="16"/>
          <w:szCs w:val="16"/>
        </w:rPr>
        <w:t xml:space="preserve">(14) </w:t>
      </w:r>
      <w:r w:rsidRPr="002F2FDF">
        <w:rPr>
          <w:rFonts w:ascii="Times New Roman" w:hAnsi="Times New Roman" w:cs="Times New Roman"/>
          <w:color w:val="000000" w:themeColor="text1"/>
          <w:kern w:val="2"/>
          <w:sz w:val="16"/>
          <w:szCs w:val="16"/>
        </w:rPr>
        <w:t>апреля 1917 года начальник Морского штаба Ставки доложил верховному главнокомандующему, что "происшедшие события до настоящего времени на боеготовности Черноморского флота не отразились; авторитет старших начальников и офицеров мало поколеблен, почему полагаем,, что при настоящих условиях общественной жизни Черноморский флот может считаться боеспособным". Стремясь занять личный состав, командование усиливало деятельность кораблей флота, стараясь держать их в море, хотя это далеко не всегда вызывалось необходимостью и состоянием техники. Подобная неспособность разобраться в обстановке в марте 1917 г. является характерным для офицеров армии и флота, которые были отстранены от политики и наивно полагались на сомнительную порядочность руководителей. Но даже по скудной информации из газет было очевидно, что грядут фундаментальные перемены. Тем не менее, в отрыве от реальной обстановки и в перспективе победы над Германией готовилась Босфорская операция (11933).</w:t>
      </w:r>
    </w:p>
    <w:p w14:paraId="6A22C4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DD0D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состоянию на 1 (14) апреля 1917 г. только 11 истребителей и небольшое число одноместных импортных самолетов "СПАД" и "Сопвич", находившихся в распоряжении корпусных авиаотрядов, были оснащены синхронизаторами для стрельбы через винт. Все остальные самолеты-истребители имели пулеметы для стрельбы поверх винта (11999).</w:t>
      </w:r>
    </w:p>
    <w:p w14:paraId="055531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8DF595" w14:textId="2579685F" w:rsidR="00342516" w:rsidRPr="00FB4F67" w:rsidRDefault="0034251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 (</w:t>
      </w:r>
      <w:r w:rsidRPr="00FB4F67">
        <w:rPr>
          <w:rFonts w:ascii="Times New Roman" w:hAnsi="Times New Roman" w:cs="Times New Roman"/>
          <w:color w:val="0070C0"/>
          <w:sz w:val="16"/>
          <w:szCs w:val="16"/>
        </w:rPr>
        <w:t>14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апреля 1917 г. командир 1-го авиаотряда истребителей поручик К.К. Вакуловский в районе ст. Будслав (северо-восточнее Вилейки), действуя на «Моране-монококе», вступил в схватку с новым германским самолетом-разведчиком «Эльфауге» и вышел из него победителем. Рухнувший на нашу территорию вражеский аппарат сгорел, экипаж погиб (23405).</w:t>
      </w:r>
    </w:p>
    <w:p w14:paraId="5E1313EB" w14:textId="77777777" w:rsidR="00342516" w:rsidRPr="00FB4F67" w:rsidRDefault="00342516" w:rsidP="0083075A">
      <w:pPr>
        <w:spacing w:after="0" w:line="240" w:lineRule="auto"/>
        <w:jc w:val="both"/>
        <w:rPr>
          <w:rFonts w:ascii="Times New Roman" w:hAnsi="Times New Roman" w:cs="Times New Roman"/>
          <w:color w:val="0070C0"/>
          <w:sz w:val="16"/>
          <w:szCs w:val="16"/>
        </w:rPr>
      </w:pPr>
    </w:p>
    <w:p w14:paraId="30458C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1 (14) апреля 1917 г. в русской авиации числилось 1069 пулеметов, в том числе "Льюис" - 479, "Кольт" - 352, "Виккерс" - 186, "Гочкинс" - 52. В это число входили также все запасные пулеметы, находившиеся на центральном складе (11999).</w:t>
      </w:r>
    </w:p>
    <w:p w14:paraId="772D65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8F171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3747E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307A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апреля 1917 г. по инициативе ВМС США специалисты на базе самолетных конструкций стали разрабатывать американский БКЛА. В 1917 г. в Первую мировую войну вступили Северо-Американские Соединенные Штаты, как тогда назывались США. Американское командование мечтало об “оружии возмездия”, которого не имела бы ни одна ведущая страна Европы. Таким оружием могли стать БКЛА.</w:t>
      </w:r>
    </w:p>
    <w:p w14:paraId="49D665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Поистине, не только в российском отечестве нет своего пророка. Р. Годдард с 1916 г. предлагал американским военным использовать ракеты в военных целях. К тому времени у него для этой цели уже был наработан научно-технический задел.</w:t>
      </w:r>
    </w:p>
    <w:p w14:paraId="41072D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Но в то время ракетная техника еще не получила такого развития, как авиационная. Более того, к моменту вступления США </w:t>
      </w:r>
    </w:p>
    <w:p w14:paraId="4B66CC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войну уже на достаточно высоком уровне были усовершенствованы автопилоты.</w:t>
      </w:r>
    </w:p>
    <w:p w14:paraId="41CA8C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Словом, специалисты фирмы “Кертисс аэроплейн” в содружестве с фирмой “Сперри гироскоп” сконцентрировали свои усилия на подтверждении возможности выполнения автоматически управляемого полета. В качестве объекта исследования был выбран гидросамолет Г. Кертисса N9. В конце 1917 г. самолет N9 совершил удачный автоматический полет по заданному курсу.</w:t>
      </w:r>
    </w:p>
    <w:p w14:paraId="127999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втором испытательном полете в тот же день он отклонился от заданного курса на 12,5%.</w:t>
      </w:r>
    </w:p>
    <w:p w14:paraId="5DF31E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Тем не менее такая точность явилась основанием для того, чтобы руководство ВМС США выдало фирмам “Кертисс аэроплейн” и “Сперри гироскоп” техническое задание на разработку БКЛА, имеющего взлетный вес 675 кг, вес боевой части 450 кг, дальность полета 80 км и скорость полета 145 км/ч.</w:t>
      </w:r>
    </w:p>
    <w:p w14:paraId="52EE02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свою очередь армейские авиаконструкторы США также приступили к созданию БКЛА. Они сотрудничали со специалистами фирмы “Daiton-Wright Airplane” (“Дейтон-Райт аэроплейн”) и фирмы “Сперри гироскоп”. Среди разработчиков этого ударного беспилотного самолета был и младший из пионеров авиации братьев Райт – Уилбер. От фирмы “Сперри гироскоп” работами руководил Ч. Кеттерринг.</w:t>
      </w:r>
    </w:p>
    <w:p w14:paraId="0FE8DF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техническому заданию армейский БКЛА должен был иметь взлетный вес 280 кг, вес боевой части 40–80 кг, дальность полета более 60 км, скорость полета 90 км/ч. Вскоре была спроектирована летающая бомба Баг (Bug). Она была рассчитана на одноразовое применение.</w:t>
      </w:r>
    </w:p>
    <w:p w14:paraId="73CDE8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Беспилотный самолет Баг был построен на фирме “DaitonWright Airplane”. Точность его полета к объекту поражения обеспечивалась автопилотом с радиокомандным управлением. В середине 1918 г. фирма подготовила БКЛА Баг для производства.</w:t>
      </w:r>
    </w:p>
    <w:p w14:paraId="3D4BF8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Испытания БКЛА Г. Кертисса, построенного по заказу ВМС США, дали отрицательные результаты. Аппарат оказался перетяжеленным и плохо отрывался от земли. В конце 1918 г. все работы по этому БКЛА были прекращены. Американцы сконцентрировались на доработке и испытании БКЛА Баг. Образно говоря, дело стоило свеч: так, если стоимость самолета в годы Первой мировой войны составляла около 5000 долл., то стоимость БКЛА Баг составила только 575 долл. </w:t>
      </w:r>
      <w:r w:rsidRPr="002F2FDF">
        <w:rPr>
          <w:rFonts w:ascii="Times New Roman" w:hAnsi="Times New Roman" w:cs="Times New Roman"/>
          <w:color w:val="000000" w:themeColor="text1"/>
          <w:kern w:val="2"/>
          <w:sz w:val="16"/>
          <w:szCs w:val="16"/>
          <w:lang w:val="en-US"/>
        </w:rPr>
        <w:t xml:space="preserve">(Bowman N.J. The Handbook of Rockets and Guided Missiles. Second Edition. Pennsylvania: Newtown Square, 1963.). </w:t>
      </w:r>
      <w:r w:rsidRPr="002F2FDF">
        <w:rPr>
          <w:rFonts w:ascii="Times New Roman" w:hAnsi="Times New Roman" w:cs="Times New Roman"/>
          <w:color w:val="000000" w:themeColor="text1"/>
          <w:kern w:val="2"/>
          <w:sz w:val="16"/>
          <w:szCs w:val="16"/>
        </w:rPr>
        <w:t>Этобыллетательныйаппарат</w:t>
      </w:r>
      <w:r w:rsidRPr="002F2FDF">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rPr>
        <w:t>выполненныйпосхемебиплана</w:t>
      </w:r>
      <w:r w:rsidRPr="002F2FDF">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rPr>
        <w:t>Фюзеляж</w:t>
      </w:r>
      <w:r w:rsidRPr="002F2FDF">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rPr>
        <w:t>изготавливался</w:t>
      </w:r>
      <w:r w:rsidRPr="002F2FDF">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rPr>
        <w:t>из</w:t>
      </w:r>
      <w:r w:rsidRPr="002F2FDF">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rPr>
        <w:t>папье</w:t>
      </w:r>
      <w:r w:rsidRPr="002F2FDF">
        <w:rPr>
          <w:rFonts w:ascii="Times New Roman" w:hAnsi="Times New Roman" w:cs="Times New Roman"/>
          <w:color w:val="000000" w:themeColor="text1"/>
          <w:kern w:val="2"/>
          <w:sz w:val="16"/>
          <w:szCs w:val="16"/>
          <w:lang w:val="en-US"/>
        </w:rPr>
        <w:t>-</w:t>
      </w:r>
      <w:r w:rsidRPr="002F2FDF">
        <w:rPr>
          <w:rFonts w:ascii="Times New Roman" w:hAnsi="Times New Roman" w:cs="Times New Roman"/>
          <w:color w:val="000000" w:themeColor="text1"/>
          <w:kern w:val="2"/>
          <w:sz w:val="16"/>
          <w:szCs w:val="16"/>
        </w:rPr>
        <w:t>маше</w:t>
      </w:r>
      <w:r w:rsidRPr="002F2FDF">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rPr>
        <w:t>и</w:t>
      </w:r>
      <w:r w:rsidRPr="002F2FDF">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rPr>
        <w:t>усиливался</w:t>
      </w:r>
      <w:r w:rsidRPr="002F2FDF">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rPr>
        <w:t>деревянными</w:t>
      </w:r>
      <w:r w:rsidRPr="002F2FDF">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rPr>
        <w:t>элементами</w:t>
      </w:r>
      <w:r w:rsidRPr="002F2FDF">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rPr>
        <w:t>Крыло представляло собой модифицированный вариант крыла биплана DH4. Его размах составлял 4,5 м. В носовой части фюзеляжа, который весил 136 кг, устанавливался четырехцилиндровый двухтактный бензиновый двигатель внутреннего сгорания. Мощность двигателя составляла 40 л.с., он был разработан и изготовлен на фирме Г. Форда. Пропеллер был двухлопастным. Боевая часть размещалась в центре фюзеляжа.</w:t>
      </w:r>
    </w:p>
    <w:p w14:paraId="2687BA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1918 г. летающая бомба Баг была испытана в Белпорте (штат Нью-Йорк). Она стартовала с малоразмерной четырехколесной тележки, которая двигалась по рельсовым направляющим. При этом был осуществлен устойчивый полет с транспортировкой боевого заряда на заданное расстояние. До взлета БКЛА рассчитывалась дальность до цели, определялось возможное отклонение от курса в зависимости от направления и силы ветра, устанавливалась ориентация БКЛА в требуемом направлении и запускался двигатель.</w:t>
      </w:r>
    </w:p>
    <w:p w14:paraId="4009E4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Управление в полете по курсу осуществлялось автопилотом Э. Сперри с помощью приводов и руля направления. Высота полета контролировалась высотомером с анероидным барометром.</w:t>
      </w:r>
    </w:p>
    <w:p w14:paraId="56A0A6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необходимости с помощью приводов высота корректировалась рулем высоты. Приводы рулей приводились в действие пневматическими рулевыми машинками, связанными с блоком пневмоклапанов.</w:t>
      </w:r>
    </w:p>
    <w:p w14:paraId="6C1B8C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стойке крыла устанавливался аэролаг. Требуемая дальность полета регулировалась через число оборотов аэролага. Когда количество оборотов аэролага совпадало с расчетной цифрой, специальный кулачковый механизм втягивал крепежные болты и отстыковывал крыло от фюзеляжа. После этого аппарат пикировал на цель полубаллистической траектории (Arnold H.H. Global Mission. New York, 1972.).</w:t>
      </w:r>
    </w:p>
    <w:p w14:paraId="77F8BC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rPr>
        <w:t>Американские историки утверждали, что в ходе испытаний БКЛА Баг была достигнута высокая точность попадания самолета-бомбы Баг в цель. По расчетам Н.Н. Новичкова, эти утверждения оказались неправомерными и сомнительными (Новичков Н.Н. Развитие крылатых ракет самолетных схем. Диссертация кандидата технических наук. М.: Институт истории естествознания и техники, 1982.). Работы по совершенствованию этого самолета-снаряда продолжались и были прекращены по финансовым соображениям только в 1925 г. Самолет-снаряд Баг был снабжен двигателем внутреннего сгорания и винтом (Алимов И. Американские беспилотные самолеты-разведчики. ВоенныйЗарубежник</w:t>
      </w:r>
      <w:r w:rsidRPr="002F2FDF">
        <w:rPr>
          <w:rFonts w:ascii="Times New Roman" w:hAnsi="Times New Roman" w:cs="Times New Roman"/>
          <w:color w:val="000000" w:themeColor="text1"/>
          <w:kern w:val="2"/>
          <w:sz w:val="16"/>
          <w:szCs w:val="16"/>
          <w:lang w:val="en-US"/>
        </w:rPr>
        <w:t xml:space="preserve">. 1959, № 12. </w:t>
      </w:r>
      <w:r w:rsidRPr="002F2FDF">
        <w:rPr>
          <w:rFonts w:ascii="Times New Roman" w:hAnsi="Times New Roman" w:cs="Times New Roman"/>
          <w:color w:val="000000" w:themeColor="text1"/>
          <w:kern w:val="2"/>
          <w:sz w:val="16"/>
          <w:szCs w:val="16"/>
        </w:rPr>
        <w:t>С</w:t>
      </w:r>
      <w:r w:rsidRPr="002F2FDF">
        <w:rPr>
          <w:rFonts w:ascii="Times New Roman" w:hAnsi="Times New Roman" w:cs="Times New Roman"/>
          <w:color w:val="000000" w:themeColor="text1"/>
          <w:kern w:val="2"/>
          <w:sz w:val="16"/>
          <w:szCs w:val="16"/>
          <w:lang w:val="en-US"/>
        </w:rPr>
        <w:t>. 70–72; Arnold H.H. Global Mission. New York: Harper, 1949.).</w:t>
      </w:r>
    </w:p>
    <w:p w14:paraId="1C6090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годы Первой мировой войны созданием воздушных торпед занимались также русские изобретатели Лодыгин Александр Николаевич и Костович Огнеслав Стефанович. Управляемую по проводам воздушную мину (“геликоптер-торпедо”) в сентябре 1916 г. на заводе “Сименс–Шуккерт” (Петроград) начал разрабатывать штабс-капитан Яблонский. Из-за революции разработка “геликоптер-торпедо” была прекращена.</w:t>
      </w:r>
    </w:p>
    <w:p w14:paraId="3F92DF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Немецкое военное министерство в конце 1917 г. также получило подробно проработанный и подкрепленный математическими выкладками проект снаряда большой дальности с ракетным двигателем, работающим на смеси жидкого кислорода и этанола с водой. Автором проекта был выдающийся пионер ракетостроения Герман Оберт (11686).</w:t>
      </w:r>
    </w:p>
    <w:p w14:paraId="0081DE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4412C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B9230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4EC3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 </w:t>
      </w:r>
      <w:r w:rsidR="003355CF" w:rsidRPr="002F2FDF">
        <w:rPr>
          <w:rFonts w:ascii="Times New Roman" w:hAnsi="Times New Roman" w:cs="Times New Roman"/>
          <w:color w:val="000000" w:themeColor="text1"/>
          <w:kern w:val="2"/>
          <w:sz w:val="16"/>
          <w:szCs w:val="16"/>
        </w:rPr>
        <w:t xml:space="preserve">(15) </w:t>
      </w:r>
      <w:r w:rsidRPr="002F2FDF">
        <w:rPr>
          <w:rFonts w:ascii="Times New Roman" w:hAnsi="Times New Roman" w:cs="Times New Roman"/>
          <w:color w:val="000000" w:themeColor="text1"/>
          <w:kern w:val="2"/>
          <w:sz w:val="16"/>
          <w:szCs w:val="16"/>
        </w:rPr>
        <w:t>апреля 1917 г. летчик старший унтер-офицер Василий Смирнов и наблюдатель прапорщик Афанасьев вылетели на "Фармане-30" при крайне неблагоприятных атмосферных условиях для фотографирования позиций противника. На высоте 1800 м наш самолет был неожиданно атакован истребителем "Фоккер" и, не смотря на неравенство сил, вступил с ним в бой. Крайне рискованными маневрами летчик ставил аэроплан в такое положение, чтобы дать возможность наблюдателю открыть огонь по противнику. После взаимной перестрелки немецкий самолет улетел, а летчики, хотя "Фарман" и получил около 50 пробоин, продолжили фотографирование. 27 мая 1917 г. летчик Смирнов был награжден Георгиевским Крестом 2-й степени № 26645 приказом по войскам 1-й армии за №2859 (11237).</w:t>
      </w:r>
    </w:p>
    <w:p w14:paraId="12C0B0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D3C527" w14:textId="0E67B422" w:rsidR="00342516" w:rsidRPr="00FB4F67" w:rsidRDefault="0034251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 (</w:t>
      </w:r>
      <w:r w:rsidRPr="00FB4F67">
        <w:rPr>
          <w:rFonts w:ascii="Times New Roman" w:hAnsi="Times New Roman" w:cs="Times New Roman"/>
          <w:color w:val="0070C0"/>
          <w:sz w:val="16"/>
          <w:szCs w:val="16"/>
        </w:rPr>
        <w:t>15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апреля 1917 г. в полосе Румынского фронта летчик подпрапорщик Пащенко сбил германский самолет, который загорелся и упал в районе Фокшаны.</w:t>
      </w:r>
    </w:p>
    <w:p w14:paraId="743F44BA" w14:textId="77777777" w:rsidR="00342516" w:rsidRPr="00FB4F67" w:rsidRDefault="0034251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15 апреля 42-й германский авиаотряд недосчитался одного своего самолета, сбитого у местечка Мерешети (район пос. Браилов, Украина).</w:t>
      </w:r>
    </w:p>
    <w:p w14:paraId="3A3C926D" w14:textId="77777777" w:rsidR="00342516" w:rsidRPr="00FB4F67" w:rsidRDefault="00342516" w:rsidP="0083075A">
      <w:pPr>
        <w:spacing w:after="0" w:line="240" w:lineRule="auto"/>
        <w:jc w:val="both"/>
        <w:rPr>
          <w:rFonts w:ascii="Times New Roman" w:hAnsi="Times New Roman" w:cs="Times New Roman"/>
          <w:color w:val="0070C0"/>
          <w:sz w:val="16"/>
          <w:szCs w:val="16"/>
        </w:rPr>
      </w:pPr>
      <w:bookmarkStart w:id="72" w:name="bookmark757"/>
      <w:r w:rsidRPr="00FB4F67">
        <w:rPr>
          <w:rFonts w:ascii="Times New Roman" w:hAnsi="Times New Roman" w:cs="Times New Roman"/>
          <w:color w:val="0070C0"/>
          <w:sz w:val="16"/>
          <w:szCs w:val="16"/>
        </w:rPr>
        <w:t>В полосе Северного фронта в воздухе «произошли два боевых столкновения наших самолетов с германскими истребителями. Из обоих воздушных боев наши самолеты благополучно возвратились обратно» (23405).</w:t>
      </w:r>
      <w:bookmarkEnd w:id="72"/>
    </w:p>
    <w:p w14:paraId="40CA2701" w14:textId="77777777" w:rsidR="00342516" w:rsidRPr="00FB4F67" w:rsidRDefault="00342516" w:rsidP="0083075A">
      <w:pPr>
        <w:spacing w:after="0" w:line="240" w:lineRule="auto"/>
        <w:jc w:val="both"/>
        <w:rPr>
          <w:rFonts w:ascii="Times New Roman" w:hAnsi="Times New Roman" w:cs="Times New Roman"/>
          <w:color w:val="0070C0"/>
          <w:sz w:val="16"/>
          <w:szCs w:val="16"/>
        </w:rPr>
      </w:pPr>
    </w:p>
    <w:p w14:paraId="05521CEC" w14:textId="77777777" w:rsidR="004F758B" w:rsidRPr="002F2FDF" w:rsidRDefault="004F758B" w:rsidP="0083075A">
      <w:pPr>
        <w:pStyle w:val="ae"/>
        <w:spacing w:before="0" w:after="0"/>
        <w:jc w:val="both"/>
        <w:rPr>
          <w:color w:val="000000" w:themeColor="text1"/>
          <w:kern w:val="2"/>
          <w:sz w:val="16"/>
          <w:szCs w:val="16"/>
        </w:rPr>
      </w:pPr>
      <w:r w:rsidRPr="002F2FDF">
        <w:rPr>
          <w:color w:val="000000" w:themeColor="text1"/>
          <w:kern w:val="2"/>
          <w:sz w:val="16"/>
          <w:szCs w:val="16"/>
        </w:rPr>
        <w:t>2 (15) апреля 1917 германские части атаковали русские и румынские позиции в районе Ботошани (на северо-востоке Румынии), но были отбиты артиллерийским и ружейным огнем (17045).</w:t>
      </w:r>
    </w:p>
    <w:p w14:paraId="3A2C42C1" w14:textId="77777777" w:rsidR="004F758B" w:rsidRPr="002F2FDF" w:rsidRDefault="004F758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09C8B8" w14:textId="77777777" w:rsidR="00C41520"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4566162E" w14:textId="77777777" w:rsidR="00C41520" w:rsidRPr="002F2FDF" w:rsidRDefault="00C4152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6DCCA8" w14:textId="77777777"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апреля 1917 была Записка представителей союзников на Петроградской конференции о колияестве военных и других материалов, предоставляемых России союзниками в 1917 г., и необходимом для их доставки тоннаже.</w:t>
      </w:r>
    </w:p>
    <w:p w14:paraId="27514317" w14:textId="5123863B"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441-448</w:t>
      </w:r>
    </w:p>
    <w:p w14:paraId="73879F25" w14:textId="128F77ED"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Pr="002F2FDF">
        <w:rPr>
          <w:rFonts w:ascii="Times New Roman" w:hAnsi="Times New Roman" w:cs="Times New Roman"/>
          <w:color w:val="000000" w:themeColor="text1"/>
          <w:kern w:val="2"/>
          <w:sz w:val="16"/>
          <w:szCs w:val="16"/>
          <w:lang w:val="en-US"/>
        </w:rPr>
        <w:t>:</w:t>
      </w:r>
      <w:r w:rsidR="00E52569">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lang w:val="en-US"/>
        </w:rPr>
        <w:t xml:space="preserve">Conference des Alles a Petrograd. Commision de Ravitaillement. Proces-verbaux des Seances, v. II, Annexe №31, Petrograd 1917. </w:t>
      </w:r>
      <w:r w:rsidRPr="002F2FDF">
        <w:rPr>
          <w:rFonts w:ascii="Times New Roman" w:hAnsi="Times New Roman" w:cs="Times New Roman"/>
          <w:color w:val="000000" w:themeColor="text1"/>
          <w:kern w:val="2"/>
          <w:sz w:val="16"/>
          <w:szCs w:val="16"/>
        </w:rPr>
        <w:t>Типогр. экз. ваписки хранится е Государственной библиотеке им. В. И. Ленина</w:t>
      </w:r>
    </w:p>
    <w:p w14:paraId="34F14DD2" w14:textId="77777777" w:rsidR="00C41520" w:rsidRPr="002F2FDF" w:rsidRDefault="00C41520" w:rsidP="0083075A">
      <w:pPr>
        <w:pStyle w:val="ae"/>
        <w:spacing w:before="0" w:after="0"/>
        <w:jc w:val="both"/>
        <w:rPr>
          <w:color w:val="000000" w:themeColor="text1"/>
          <w:kern w:val="2"/>
          <w:sz w:val="16"/>
          <w:szCs w:val="16"/>
        </w:rPr>
      </w:pPr>
      <w:r w:rsidRPr="002F2FDF">
        <w:rPr>
          <w:rStyle w:val="af0"/>
          <w:i w:val="0"/>
          <w:color w:val="000000" w:themeColor="text1"/>
          <w:kern w:val="2"/>
          <w:sz w:val="16"/>
          <w:szCs w:val="16"/>
        </w:rPr>
        <w:t>Перевод</w:t>
      </w:r>
    </w:p>
    <w:p w14:paraId="2843430A" w14:textId="77777777" w:rsidR="00C41520" w:rsidRPr="002F2FDF" w:rsidRDefault="00C41520" w:rsidP="0083075A">
      <w:pPr>
        <w:pStyle w:val="rtecenter"/>
        <w:spacing w:before="0" w:after="0"/>
        <w:jc w:val="both"/>
        <w:rPr>
          <w:color w:val="000000" w:themeColor="text1"/>
          <w:kern w:val="2"/>
          <w:sz w:val="16"/>
          <w:szCs w:val="16"/>
        </w:rPr>
      </w:pPr>
      <w:r w:rsidRPr="002F2FDF">
        <w:rPr>
          <w:color w:val="000000" w:themeColor="text1"/>
          <w:kern w:val="2"/>
          <w:sz w:val="16"/>
          <w:szCs w:val="16"/>
        </w:rPr>
        <w:t>Статья 1</w:t>
      </w:r>
    </w:p>
    <w:p w14:paraId="376F90A1"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Представители союзников в Комиссии по снабжению рассмотрели самым внимательным образом требования русского правительства. Они считают эти требования вполне обоснованными.</w:t>
      </w:r>
    </w:p>
    <w:p w14:paraId="4E0C3A98" w14:textId="77777777" w:rsidR="00C41520" w:rsidRPr="002F2FDF" w:rsidRDefault="00C41520" w:rsidP="0083075A">
      <w:pPr>
        <w:pStyle w:val="rtecenter"/>
        <w:spacing w:before="0" w:after="0"/>
        <w:jc w:val="both"/>
        <w:rPr>
          <w:color w:val="000000" w:themeColor="text1"/>
          <w:kern w:val="2"/>
          <w:sz w:val="16"/>
          <w:szCs w:val="16"/>
        </w:rPr>
      </w:pPr>
      <w:r w:rsidRPr="002F2FDF">
        <w:rPr>
          <w:color w:val="000000" w:themeColor="text1"/>
          <w:kern w:val="2"/>
          <w:sz w:val="16"/>
          <w:szCs w:val="16"/>
        </w:rPr>
        <w:t>Статья 2</w:t>
      </w:r>
    </w:p>
    <w:p w14:paraId="4630A559"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 xml:space="preserve">Однако при этом приходится учитывать не только ограниченную пропускную способность малого числа портов, чере.з которые должны идти все поставки, и недостаточность транспортных средств от этих удаленных баз во внутренние районы страны, но также и нехватку судов, на что указывали представители Великобритании. Поэтому кажется весьма маловероятным, чтобы в течение года можно было бы импортировать больше 3400 тыс. т. </w:t>
      </w:r>
      <w:hyperlink r:id="rId106" w:anchor="_ftn1" w:history="1">
        <w:r w:rsidRPr="002F2FDF">
          <w:rPr>
            <w:rStyle w:val="a5"/>
            <w:color w:val="000000" w:themeColor="text1"/>
            <w:kern w:val="2"/>
            <w:sz w:val="16"/>
            <w:szCs w:val="16"/>
          </w:rPr>
          <w:t>[</w:t>
        </w:r>
        <w:r w:rsidRPr="002F2FDF">
          <w:rPr>
            <w:color w:val="000000" w:themeColor="text1"/>
            <w:kern w:val="2"/>
            <w:sz w:val="16"/>
            <w:szCs w:val="16"/>
          </w:rPr>
          <w:t>Не считая дополнительных поставок, которые можно надеяться получить из Японии. См. ниже, ст. 14. (Прим. док.).</w:t>
        </w:r>
      </w:hyperlink>
      <w:r w:rsidRPr="002F2FDF">
        <w:rPr>
          <w:rStyle w:val="a5"/>
          <w:color w:val="000000" w:themeColor="text1"/>
          <w:kern w:val="2"/>
          <w:sz w:val="16"/>
          <w:szCs w:val="16"/>
        </w:rPr>
        <w:t>]</w:t>
      </w:r>
      <w:r w:rsidRPr="002F2FDF">
        <w:rPr>
          <w:color w:val="000000" w:themeColor="text1"/>
          <w:kern w:val="2"/>
          <w:sz w:val="16"/>
          <w:szCs w:val="16"/>
        </w:rPr>
        <w:t xml:space="preserve"> какие бы усилия ни были приложены для превышения этой цифры. Даже приходится считаться с возможностью сокращения ее вследствие опасности навигации.</w:t>
      </w:r>
    </w:p>
    <w:p w14:paraId="53440FC9"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Кроме того, как ранее было условлено, из этого количества 120 тыс. т должны быть выделены для Румынии.</w:t>
      </w:r>
    </w:p>
    <w:p w14:paraId="751E84A8" w14:textId="77777777" w:rsidR="00C41520" w:rsidRPr="002F2FDF" w:rsidRDefault="00C41520" w:rsidP="0083075A">
      <w:pPr>
        <w:pStyle w:val="rtecenter"/>
        <w:spacing w:before="0" w:after="0"/>
        <w:jc w:val="both"/>
        <w:rPr>
          <w:color w:val="000000" w:themeColor="text1"/>
          <w:kern w:val="2"/>
          <w:sz w:val="16"/>
          <w:szCs w:val="16"/>
        </w:rPr>
      </w:pPr>
      <w:r w:rsidRPr="002F2FDF">
        <w:rPr>
          <w:color w:val="000000" w:themeColor="text1"/>
          <w:kern w:val="2"/>
          <w:sz w:val="16"/>
          <w:szCs w:val="16"/>
        </w:rPr>
        <w:t>Статья 3</w:t>
      </w:r>
    </w:p>
    <w:p w14:paraId="2ED41DCA"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Тем не менее следует исходить из наиболее оптимистических предположений и принять необходимые меры для наилучшего снабжения России. Следовало бы даже учесть возможность увеличения поставок, чтобы восполнить потери и возместить задержки поставок в пути.</w:t>
      </w:r>
    </w:p>
    <w:p w14:paraId="1A87927F" w14:textId="77777777" w:rsidR="00C41520" w:rsidRPr="002F2FDF" w:rsidRDefault="00C41520" w:rsidP="0083075A">
      <w:pPr>
        <w:pStyle w:val="rtecenter"/>
        <w:spacing w:before="0" w:after="0"/>
        <w:jc w:val="both"/>
        <w:rPr>
          <w:color w:val="000000" w:themeColor="text1"/>
          <w:kern w:val="2"/>
          <w:sz w:val="16"/>
          <w:szCs w:val="16"/>
        </w:rPr>
      </w:pPr>
      <w:r w:rsidRPr="002F2FDF">
        <w:rPr>
          <w:color w:val="000000" w:themeColor="text1"/>
          <w:kern w:val="2"/>
          <w:sz w:val="16"/>
          <w:szCs w:val="16"/>
        </w:rPr>
        <w:t>Статья 4</w:t>
      </w:r>
    </w:p>
    <w:p w14:paraId="5E0BC9E2"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Ввиду указанных условий предлагается необходимым предложить русскому правительству — как наиболее выгодное решение вопроса — распределение, по его усмотрению, между различными ведомствами тоннажа предположительно в 4250 тыс. т, включая надбавку в 25% по сравнению с количеством грузов, могущих быть принятыми портами и вывезенными вглубь страны: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28"/>
        <w:gridCol w:w="1020"/>
      </w:tblGrid>
      <w:tr w:rsidR="002B1C74" w:rsidRPr="002F2FDF" w14:paraId="572F9B39"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4CC257"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Орудия и снаряды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831E9"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1200 тыс. т</w:t>
            </w:r>
          </w:p>
        </w:tc>
      </w:tr>
      <w:tr w:rsidR="002B1C74" w:rsidRPr="002F2FDF" w14:paraId="07FF1747"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62C2FB"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Железнодорожное оборудование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EF8E3"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620 » »</w:t>
            </w:r>
          </w:p>
        </w:tc>
      </w:tr>
      <w:tr w:rsidR="002B1C74" w:rsidRPr="002F2FDF" w14:paraId="0408D458"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2CA71A"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Сталь для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38602"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100 » »</w:t>
            </w:r>
          </w:p>
        </w:tc>
      </w:tr>
      <w:tr w:rsidR="002B1C74" w:rsidRPr="002F2FDF" w14:paraId="4608B9D3"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C6F0BC"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lastRenderedPageBreak/>
              <w:t>Другие металлы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E420D"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180 » »</w:t>
            </w:r>
          </w:p>
        </w:tc>
      </w:tr>
      <w:tr w:rsidR="002B1C74" w:rsidRPr="002F2FDF" w14:paraId="477C59F1"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CDA9F8"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Железная проволока (для переработки ее в России в колючую проволоку)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E7287"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110 » »</w:t>
            </w:r>
          </w:p>
        </w:tc>
      </w:tr>
      <w:tr w:rsidR="002B1C74" w:rsidRPr="002F2FDF" w14:paraId="510BD20D"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935589"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Предметы снабжения армии для Румынии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51A3A"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120 » »</w:t>
            </w:r>
          </w:p>
        </w:tc>
      </w:tr>
      <w:tr w:rsidR="002B1C74" w:rsidRPr="002F2FDF" w14:paraId="4A87002B"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86124A"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88B5C"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1500 » »</w:t>
            </w:r>
          </w:p>
        </w:tc>
      </w:tr>
      <w:tr w:rsidR="002B1C74" w:rsidRPr="002F2FDF" w14:paraId="622BB2A6"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1E50DB"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Различные поставки для Военного и Морского министерств и частной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0B639"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420 » »</w:t>
            </w:r>
          </w:p>
        </w:tc>
      </w:tr>
      <w:tr w:rsidR="002B1C74" w:rsidRPr="002F2FDF" w14:paraId="1C0FB467"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717394"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BD679"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4250 тыс. т</w:t>
            </w:r>
            <w:hyperlink r:id="rId107" w:anchor="_ftn2" w:history="1">
              <w:r w:rsidRPr="002F2FDF">
                <w:rPr>
                  <w:rStyle w:val="a5"/>
                  <w:color w:val="000000" w:themeColor="text1"/>
                  <w:kern w:val="2"/>
                  <w:sz w:val="16"/>
                  <w:szCs w:val="16"/>
                </w:rPr>
                <w:t>[2]</w:t>
              </w:r>
            </w:hyperlink>
          </w:p>
        </w:tc>
      </w:tr>
    </w:tbl>
    <w:p w14:paraId="2188A218"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N. В. Более подробно разработанные списки будут представлены позже.</w:t>
      </w:r>
    </w:p>
    <w:p w14:paraId="11BF41EC" w14:textId="77777777" w:rsidR="00C41520" w:rsidRPr="002F2FDF" w:rsidRDefault="00000000" w:rsidP="0083075A">
      <w:pPr>
        <w:pStyle w:val="rtejustify"/>
        <w:spacing w:before="0" w:after="0"/>
        <w:rPr>
          <w:color w:val="000000" w:themeColor="text1"/>
          <w:kern w:val="2"/>
          <w:sz w:val="16"/>
          <w:szCs w:val="16"/>
        </w:rPr>
      </w:pPr>
      <w:hyperlink r:id="rId108" w:anchor="_ftnref2" w:history="1">
        <w:r w:rsidR="00C41520" w:rsidRPr="002F2FDF">
          <w:rPr>
            <w:rStyle w:val="a5"/>
            <w:color w:val="000000" w:themeColor="text1"/>
            <w:kern w:val="2"/>
            <w:sz w:val="16"/>
            <w:szCs w:val="16"/>
          </w:rPr>
          <w:t>[2]</w:t>
        </w:r>
      </w:hyperlink>
      <w:r w:rsidR="00C41520" w:rsidRPr="002F2FDF">
        <w:rPr>
          <w:color w:val="000000" w:themeColor="text1"/>
          <w:kern w:val="2"/>
          <w:sz w:val="16"/>
          <w:szCs w:val="16"/>
        </w:rPr>
        <w:t xml:space="preserve"> Приведенные в заключении представителей союзников в комиссии по снабжению данные о распределении тоннажа на 1917 г. были изменены в письме лорда А. Мильнера министру иностранных дел Н. Н. Покровскому от 12 февраля 1917 г. Как следует из приведенной лордохм А. Мильнером таблицы о распределении тоннажа, изменения касались количества тоннажа на железнодорожное оборудование и на различные хматериалы для казенной и частной промышленности: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62"/>
        <w:gridCol w:w="834"/>
      </w:tblGrid>
      <w:tr w:rsidR="002B1C74" w:rsidRPr="002F2FDF" w14:paraId="1C41F5AD"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50ADFC"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Орудия и боеприпасы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F7FAD"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1200 тыс. т</w:t>
            </w:r>
          </w:p>
        </w:tc>
      </w:tr>
      <w:tr w:rsidR="002B1C74" w:rsidRPr="002F2FDF" w14:paraId="4DCA6C7B"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7AC1EB"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Железнодорожное оборудование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E2691"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700 » »</w:t>
            </w:r>
          </w:p>
        </w:tc>
      </w:tr>
      <w:tr w:rsidR="002B1C74" w:rsidRPr="002F2FDF" w14:paraId="1189F326"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B0826C"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Сталь для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85DF9"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100 » »</w:t>
            </w:r>
          </w:p>
        </w:tc>
      </w:tr>
      <w:tr w:rsidR="002B1C74" w:rsidRPr="002F2FDF" w14:paraId="04FDBBC2"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41BC89"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Другие металлы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ADBC4"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180 » »</w:t>
            </w:r>
          </w:p>
        </w:tc>
      </w:tr>
      <w:tr w:rsidR="002B1C74" w:rsidRPr="002F2FDF" w14:paraId="7B985A8F"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18B4E1"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Железная проволока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FE670"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110 » »</w:t>
            </w:r>
          </w:p>
        </w:tc>
      </w:tr>
      <w:tr w:rsidR="002B1C74" w:rsidRPr="002F2FDF" w14:paraId="339347DC"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D7142A"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Орудия и прочие военные материалы для Румынии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D5E9C"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120 » »</w:t>
            </w:r>
          </w:p>
        </w:tc>
      </w:tr>
      <w:tr w:rsidR="002B1C74" w:rsidRPr="002F2FDF" w14:paraId="6E5A6372"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389DD0"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AF4B3"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1500 » »</w:t>
            </w:r>
          </w:p>
        </w:tc>
      </w:tr>
      <w:tr w:rsidR="002B1C74" w:rsidRPr="002F2FDF" w14:paraId="3C4F3BFC"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A60653"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Различные материалы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D6603"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340 » о</w:t>
            </w:r>
          </w:p>
        </w:tc>
      </w:tr>
      <w:tr w:rsidR="002B1C74" w:rsidRPr="002F2FDF" w14:paraId="4AD08E81"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BD038B"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DD2E5"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4250 тыс. т</w:t>
            </w:r>
          </w:p>
        </w:tc>
      </w:tr>
    </w:tbl>
    <w:p w14:paraId="3DF7D99C"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Это распределение составлено в расчете на то, что возможно будет обеспечить получение всех предусматриваемых поставок. В него не включены различные материалы, производимые в Швеции, ни те, которые дополнительно могла бы поставить Япония на условиях, указанных в ст. 14, ни суда, ни баржи, ни пароходы для обслуживания портов, которые сами могут прибыть в Россию.</w:t>
      </w:r>
    </w:p>
    <w:p w14:paraId="6863FAFA" w14:textId="77777777" w:rsidR="00C41520" w:rsidRPr="002F2FDF" w:rsidRDefault="00C41520" w:rsidP="0083075A">
      <w:pPr>
        <w:pStyle w:val="rtecenter"/>
        <w:spacing w:before="0" w:after="0"/>
        <w:jc w:val="both"/>
        <w:rPr>
          <w:color w:val="000000" w:themeColor="text1"/>
          <w:kern w:val="2"/>
          <w:sz w:val="16"/>
          <w:szCs w:val="16"/>
        </w:rPr>
      </w:pPr>
      <w:r w:rsidRPr="002F2FDF">
        <w:rPr>
          <w:color w:val="000000" w:themeColor="text1"/>
          <w:kern w:val="2"/>
          <w:sz w:val="16"/>
          <w:szCs w:val="16"/>
        </w:rPr>
        <w:t>Статья 5</w:t>
      </w:r>
    </w:p>
    <w:p w14:paraId="5EA049B2"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Под рубрикой «орудия и снаряды» подразумеваются следующие поставки, которые представители союзников рекомендуют своим правительствам сделать сверх ранее обещанных.</w:t>
      </w:r>
    </w:p>
    <w:p w14:paraId="46381BB0"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а) Тяжелая артиллерия:</w:t>
      </w:r>
    </w:p>
    <w:p w14:paraId="718B0999"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50 орудий 150 мм длинных, старого образца, уступка которых была отложена.</w:t>
      </w:r>
    </w:p>
    <w:p w14:paraId="7DFC2A8A"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б) Траншейные мортиры:</w:t>
      </w:r>
    </w:p>
    <w:p w14:paraId="4DF8E8FE"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360 орудий 58 мм № 2 с единовременной поставкой в 500 выстрелов на каждую. 160 мортир 240 Ь. Т. с единовременной поставкой в 500 выстрелов на каждую, с передачей последовательно партиями до конца 1917 г.</w:t>
      </w:r>
    </w:p>
    <w:p w14:paraId="610F31A9"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в) Снаряды: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35"/>
        <w:gridCol w:w="2243"/>
      </w:tblGrid>
      <w:tr w:rsidR="002B1C74" w:rsidRPr="002F2FDF" w14:paraId="30BCFCF4"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F114FC"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450 тыс. выстрелов для орудий 120 мм длинных (включая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BED34D"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 в месяц, начиная | с февраля 1</w:t>
            </w:r>
          </w:p>
        </w:tc>
      </w:tr>
      <w:tr w:rsidR="002B1C74" w:rsidRPr="002F2FDF" w14:paraId="419AFC27"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40D728"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15 тыс. уже ранее обещанных)</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B8B146B" w14:textId="77777777"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73233A0E"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C82F3E"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15 тыс. выстрелов для орудий 155 мм длинных</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7C95DE1" w14:textId="77777777"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353DA87E"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772991"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3000 выстрелов к 11" мортирам с незаряженными снарядами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B826A87" w14:textId="77777777"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79955DA9"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75AF62"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 млн. взрывателей 24/31, до июля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D612A0" w14:textId="694AAED7" w:rsidR="00C4152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0EA886E" w14:textId="77777777" w:rsidTr="00C41520">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2371EEB"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3 млн патронов для автоматических пистолетов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A0765"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 млн. в апреле</w:t>
            </w:r>
          </w:p>
        </w:tc>
      </w:tr>
      <w:tr w:rsidR="002B1C74" w:rsidRPr="002F2FDF" w14:paraId="314FE3B1" w14:textId="77777777" w:rsidTr="00C4152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080BC87" w14:textId="77777777"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CD5559"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 » в июле</w:t>
            </w:r>
          </w:p>
        </w:tc>
      </w:tr>
      <w:tr w:rsidR="002B1C74" w:rsidRPr="002F2FDF" w14:paraId="3F79C661" w14:textId="77777777" w:rsidTr="00C4152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0DEC528" w14:textId="77777777"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3E70C9"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 в октябре</w:t>
            </w:r>
          </w:p>
        </w:tc>
      </w:tr>
    </w:tbl>
    <w:p w14:paraId="3DBC5EA4"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Другие заявки еще находятся на рассмотрении французского правительства.</w:t>
      </w:r>
    </w:p>
    <w:p w14:paraId="7E878687"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Великобритания</w:t>
      </w:r>
    </w:p>
    <w:p w14:paraId="3040D7CA"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а) Тяжелая артиллерия: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41"/>
        <w:gridCol w:w="3431"/>
      </w:tblGrid>
      <w:tr w:rsidR="002B1C74" w:rsidRPr="002F2FDF" w14:paraId="0CAFD65F"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A325D7"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4 гаубичные батареи 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7EF918F"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в месяц с начала открытия Архангельского порта</w:t>
            </w:r>
          </w:p>
        </w:tc>
      </w:tr>
      <w:tr w:rsidR="002B1C74" w:rsidRPr="002F2FDF" w14:paraId="0C51A13A"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BFAF8F"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2 » » 8''</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4BEF1DD" w14:textId="77777777"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51EF5143"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A2DDCD"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 гаубичная батарея 9.2"</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D23D000" w14:textId="77777777"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p>
        </w:tc>
      </w:tr>
    </w:tbl>
    <w:p w14:paraId="650D5932"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Сверх этого единовременно 50 гаубиц 4.5", предназначающихся для пополнения потерь в орудиях этого калибра. Кроме того, в течение зимы 1917/18 г. великобританское правительство произведет замену ранее уступленных им орудий и выведенных затем из строя.</w:t>
      </w:r>
    </w:p>
    <w:p w14:paraId="4C23B58B"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б) Траншейные орудия: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80"/>
        <w:gridCol w:w="886"/>
      </w:tblGrid>
      <w:tr w:rsidR="002B1C74" w:rsidRPr="002F2FDF" w14:paraId="4DD71BBC"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F8824C"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50 мортир 2"</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AB4732"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немедленно</w:t>
            </w:r>
          </w:p>
        </w:tc>
      </w:tr>
      <w:tr w:rsidR="002B1C74" w:rsidRPr="002F2FDF" w14:paraId="14A24EF4"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4FDB94"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50 мортир Стокса</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2A7A644" w14:textId="77777777"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p>
        </w:tc>
      </w:tr>
    </w:tbl>
    <w:p w14:paraId="31BBAEB9"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330 орудий 9.45" — по возможности быстрее по мере их изготовления</w:t>
      </w:r>
    </w:p>
    <w:p w14:paraId="082ABF02"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в) Снаряды:</w:t>
      </w:r>
    </w:p>
    <w:p w14:paraId="6AEE745C"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Для тяжелой артиллерии одновременно с обещанными орудиями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5"/>
        <w:gridCol w:w="2869"/>
      </w:tblGrid>
      <w:tr w:rsidR="002B1C74" w:rsidRPr="002F2FDF" w14:paraId="517869EB"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F2D5F2"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68DBC"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выстрелов в неделю на каждое 6" орудие</w:t>
            </w:r>
          </w:p>
        </w:tc>
      </w:tr>
      <w:tr w:rsidR="002B1C74" w:rsidRPr="002F2FDF" w14:paraId="447686D8"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8449B2"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BE5AA"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8" »</w:t>
            </w:r>
          </w:p>
        </w:tc>
      </w:tr>
      <w:tr w:rsidR="002B1C74" w:rsidRPr="002F2FDF" w14:paraId="1D21C0AD"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1FEF61"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F06B8"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9.2" »</w:t>
            </w:r>
          </w:p>
        </w:tc>
      </w:tr>
    </w:tbl>
    <w:p w14:paraId="32E95BD4"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Для траншейных мортир</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5"/>
        <w:gridCol w:w="2485"/>
      </w:tblGrid>
      <w:tr w:rsidR="002B1C74" w:rsidRPr="002F2FDF" w14:paraId="2A83290F"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74A996"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AA39A"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выстрелов на орудие для 2" мортир</w:t>
            </w:r>
          </w:p>
        </w:tc>
      </w:tr>
      <w:tr w:rsidR="002B1C74" w:rsidRPr="002F2FDF" w14:paraId="1922D716"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CADD53"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96775"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мортир Стокса</w:t>
            </w:r>
          </w:p>
        </w:tc>
      </w:tr>
      <w:tr w:rsidR="002B1C74" w:rsidRPr="002F2FDF" w14:paraId="7ED72291"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A229E7"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E64A0"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9,45" мортир</w:t>
            </w:r>
          </w:p>
        </w:tc>
      </w:tr>
    </w:tbl>
    <w:p w14:paraId="1E5609B7"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Кроме того, с июля 1917 г. великобританское правительство будет поставлять ежедневную норму снарядов для всех этих мортир.</w:t>
      </w:r>
    </w:p>
    <w:p w14:paraId="65BF80D4" w14:textId="77777777" w:rsidR="00C41520" w:rsidRPr="002F2FDF" w:rsidRDefault="00C41520" w:rsidP="0083075A">
      <w:pPr>
        <w:pStyle w:val="rtecenter"/>
        <w:spacing w:before="0" w:after="0"/>
        <w:jc w:val="both"/>
        <w:rPr>
          <w:color w:val="000000" w:themeColor="text1"/>
          <w:kern w:val="2"/>
          <w:sz w:val="16"/>
          <w:szCs w:val="16"/>
        </w:rPr>
      </w:pPr>
      <w:r w:rsidRPr="002F2FDF">
        <w:rPr>
          <w:color w:val="000000" w:themeColor="text1"/>
          <w:kern w:val="2"/>
          <w:sz w:val="16"/>
          <w:szCs w:val="16"/>
        </w:rPr>
        <w:t>Италия</w:t>
      </w:r>
    </w:p>
    <w:p w14:paraId="7EBE2C90"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Начиная с марта 1917 г. начнутся поставки 200 орудий 105 мм, 40 зенитных орудий для флота. Уступка еще таких 60 орудий, а также трубок и взрывателей находится на рассмотрении итальянского правительства. Остальные заявки также рассматриваются еще итальянским правительством.</w:t>
      </w:r>
    </w:p>
    <w:p w14:paraId="60C09190" w14:textId="77777777" w:rsidR="00C41520" w:rsidRPr="002F2FDF" w:rsidRDefault="00C41520" w:rsidP="0083075A">
      <w:pPr>
        <w:pStyle w:val="rtecenter"/>
        <w:spacing w:before="0" w:after="0"/>
        <w:jc w:val="both"/>
        <w:rPr>
          <w:color w:val="000000" w:themeColor="text1"/>
          <w:kern w:val="2"/>
          <w:sz w:val="16"/>
          <w:szCs w:val="16"/>
        </w:rPr>
      </w:pPr>
      <w:r w:rsidRPr="002F2FDF">
        <w:rPr>
          <w:color w:val="000000" w:themeColor="text1"/>
          <w:kern w:val="2"/>
          <w:sz w:val="16"/>
          <w:szCs w:val="16"/>
        </w:rPr>
        <w:t>Статья 6</w:t>
      </w:r>
    </w:p>
    <w:p w14:paraId="569D27E3"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Тоннаж, указанный в рубрике «железнодорожное оборудование», включает и то количество, которое должно быть поставлено согласно ранее сделанных заказов — всего 370 тыс. т рельсов. Кроме того, ввиду неотложной необходимости увеличения транспортных средств представители Великобритании предложат своему правительству разместить, если возможно, новые заказы в размере не свыше 100 тыс. т подвижного состава и 200 тыс. т рельсов, с поставкой их в последней четверти 1917 г. п перевозкой их в Россию в начале 1918 г.</w:t>
      </w:r>
    </w:p>
    <w:p w14:paraId="661022DA" w14:textId="77777777" w:rsidR="00C41520" w:rsidRPr="002F2FDF" w:rsidRDefault="00C41520" w:rsidP="0083075A">
      <w:pPr>
        <w:pStyle w:val="rtecenter"/>
        <w:spacing w:before="0" w:after="0"/>
        <w:jc w:val="both"/>
        <w:rPr>
          <w:color w:val="000000" w:themeColor="text1"/>
          <w:kern w:val="2"/>
          <w:sz w:val="16"/>
          <w:szCs w:val="16"/>
        </w:rPr>
      </w:pPr>
      <w:r w:rsidRPr="002F2FDF">
        <w:rPr>
          <w:color w:val="000000" w:themeColor="text1"/>
          <w:kern w:val="2"/>
          <w:sz w:val="16"/>
          <w:szCs w:val="16"/>
        </w:rPr>
        <w:t>Статья 7</w:t>
      </w:r>
    </w:p>
    <w:p w14:paraId="1415FAE9"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Представители Великобритании предложат также своему правительству изъять из своих собственных ресурсов и предоставить России еженедельно 4000 т стали для изготовления снарядов в течение 6 месяцев с открытием Архангельского порта.</w:t>
      </w:r>
    </w:p>
    <w:p w14:paraId="2A477DD5"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lastRenderedPageBreak/>
        <w:t>После удовлетворения неотложных нужд русского фронта они предложат заказать в Америке 110 тыс. т железной проволоки для переработки ее в России в колючую проволоку.</w:t>
      </w:r>
    </w:p>
    <w:p w14:paraId="13B32F45" w14:textId="77777777" w:rsidR="00C41520" w:rsidRPr="002F2FDF" w:rsidRDefault="00C41520" w:rsidP="0083075A">
      <w:pPr>
        <w:pStyle w:val="rtecenter"/>
        <w:spacing w:before="0" w:after="0"/>
        <w:jc w:val="both"/>
        <w:rPr>
          <w:color w:val="000000" w:themeColor="text1"/>
          <w:kern w:val="2"/>
          <w:sz w:val="16"/>
          <w:szCs w:val="16"/>
        </w:rPr>
      </w:pPr>
      <w:r w:rsidRPr="002F2FDF">
        <w:rPr>
          <w:color w:val="000000" w:themeColor="text1"/>
          <w:kern w:val="2"/>
          <w:sz w:val="16"/>
          <w:szCs w:val="16"/>
        </w:rPr>
        <w:t>Статья 8</w:t>
      </w:r>
    </w:p>
    <w:p w14:paraId="5C292A34"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Русскому правительству предоставляется право указать наиболее желательные способы использования остающегося еще в ее распоряжении тоннажа.</w:t>
      </w:r>
    </w:p>
    <w:p w14:paraId="3244F950"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Однако признано возможным выделить 200 тыс. т для перевозки автомобилей различного назначения. В таком случае следовало бы распределить эти 200 тыс. т между тремя странами: Францией, Великобританией и Италией в соответствии с долями, определенными для каждой из стран на 1917 г.</w:t>
      </w:r>
    </w:p>
    <w:p w14:paraId="1B1D4589"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Остаются еще 220 тыс. т, которые можно будет использовать для других потребностей. Общая цифра тоннажа ниже цифры тоннажа, необходимого для перевозки уже выполняемых заказов. Он будет, вероятно, недостаточен для вывоза того количества товаров, которые будут ждать погрузки в портах и на складах ко времени возобновления навигации. Следовательно, нет смысла делать новые заказы со сроком доставки в текущем году.</w:t>
      </w:r>
    </w:p>
    <w:p w14:paraId="4D015995"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Однако ввиду особой заинтересованности в облегчении перевозок в глубь страны и на фронт, представители Великобритании представят своему правительству предложения об обеспечении заказов на немедленную доставку кранов и другого оборудования для Архангельского порта, а также конского снаряжения.</w:t>
      </w:r>
    </w:p>
    <w:p w14:paraId="47D6878A"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Представители союзных держав считают своим долгом обратить внимание русского правительства на опасность скопления грузов, которое произойдет в портах отправления, если не будет проведен отбор грузов и в эти порты будут засылаться предметы, не являющиеся предметами первой необходимости.</w:t>
      </w:r>
    </w:p>
    <w:p w14:paraId="0C1A8DE1" w14:textId="77777777" w:rsidR="00C41520" w:rsidRPr="002F2FDF" w:rsidRDefault="00C41520" w:rsidP="0083075A">
      <w:pPr>
        <w:pStyle w:val="rtecenter"/>
        <w:spacing w:before="0" w:after="0"/>
        <w:jc w:val="both"/>
        <w:rPr>
          <w:color w:val="000000" w:themeColor="text1"/>
          <w:kern w:val="2"/>
          <w:sz w:val="16"/>
          <w:szCs w:val="16"/>
        </w:rPr>
      </w:pPr>
      <w:r w:rsidRPr="002F2FDF">
        <w:rPr>
          <w:color w:val="000000" w:themeColor="text1"/>
          <w:kern w:val="2"/>
          <w:sz w:val="16"/>
          <w:szCs w:val="16"/>
        </w:rPr>
        <w:t>Статья 9</w:t>
      </w:r>
    </w:p>
    <w:p w14:paraId="71C1B4EC"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В целях передачи уступленного материала в распоряжение русской армии в наикратчайший срок признано необходимым до возобновления навигации в Архангельском порту предназначить Мурманскую ж. д. для перевозки орудий, траншейных мортир, снарядов, Дорохов и предметов авиации.</w:t>
      </w:r>
    </w:p>
    <w:p w14:paraId="2F46A6D0" w14:textId="77777777" w:rsidR="00C41520" w:rsidRPr="002F2FDF" w:rsidRDefault="00C41520" w:rsidP="0083075A">
      <w:pPr>
        <w:pStyle w:val="rtecenter"/>
        <w:spacing w:before="0" w:after="0"/>
        <w:jc w:val="both"/>
        <w:rPr>
          <w:color w:val="000000" w:themeColor="text1"/>
          <w:kern w:val="2"/>
          <w:sz w:val="16"/>
          <w:szCs w:val="16"/>
        </w:rPr>
      </w:pPr>
      <w:r w:rsidRPr="002F2FDF">
        <w:rPr>
          <w:color w:val="000000" w:themeColor="text1"/>
          <w:kern w:val="2"/>
          <w:sz w:val="16"/>
          <w:szCs w:val="16"/>
        </w:rPr>
        <w:t>Статья 10</w:t>
      </w:r>
    </w:p>
    <w:p w14:paraId="447A54C0"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Следует отметить, что предлагаемая программа не сможет быть выполнена, если не будут безотлагательно приняты энергичные меры для обеспечения наилучших условий для работы Архангельского порта, который в настоящее время является главным портом поступления грузов России.</w:t>
      </w:r>
    </w:p>
    <w:p w14:paraId="241225C4"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В связи с этим считается совершенно необходимым провести до открытия навигации милитаризацию обслуживающего портового персонала, на который возложена обязанность хранения грузов в порту и погрузка их в поезда.</w:t>
      </w:r>
    </w:p>
    <w:p w14:paraId="673F85C6" w14:textId="77777777" w:rsidR="00C41520" w:rsidRPr="002F2FDF" w:rsidRDefault="00C41520" w:rsidP="0083075A">
      <w:pPr>
        <w:pStyle w:val="rtecenter"/>
        <w:spacing w:before="0" w:after="0"/>
        <w:jc w:val="both"/>
        <w:rPr>
          <w:color w:val="000000" w:themeColor="text1"/>
          <w:kern w:val="2"/>
          <w:sz w:val="16"/>
          <w:szCs w:val="16"/>
        </w:rPr>
      </w:pPr>
      <w:r w:rsidRPr="002F2FDF">
        <w:rPr>
          <w:color w:val="000000" w:themeColor="text1"/>
          <w:kern w:val="2"/>
          <w:sz w:val="16"/>
          <w:szCs w:val="16"/>
        </w:rPr>
        <w:t>Статья 11</w:t>
      </w:r>
    </w:p>
    <w:p w14:paraId="0AFBF844"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 xml:space="preserve">Предусмотренный максимальный тоннаж может быть использован только в случае, если задержки судов в портах будут наикратчайшими. С этой точки зрения, новые трудности могут возникнуть в Архангельске в 1917 г. из-за необходимости экспортировать через этот порт по крайней мере 500 тыс. т зерна. Следовательно, чрезвычайно важно без запоздания энергично подготовить эту последнюю операцию, начав уже сейчас строительство причалов, складов и </w:t>
      </w:r>
      <w:r w:rsidRPr="002F2FDF">
        <w:rPr>
          <w:color w:val="000000" w:themeColor="text1"/>
          <w:kern w:val="2"/>
          <w:sz w:val="16"/>
          <w:szCs w:val="16"/>
          <w:vertAlign w:val="subscript"/>
        </w:rPr>
        <w:t>(</w:t>
      </w:r>
      <w:r w:rsidRPr="002F2FDF">
        <w:rPr>
          <w:color w:val="000000" w:themeColor="text1"/>
          <w:kern w:val="2"/>
          <w:sz w:val="16"/>
          <w:szCs w:val="16"/>
        </w:rPr>
        <w:t>пр.</w:t>
      </w:r>
    </w:p>
    <w:p w14:paraId="7F6FFB6D" w14:textId="77777777" w:rsidR="00C41520" w:rsidRPr="002F2FDF" w:rsidRDefault="00C41520" w:rsidP="0083075A">
      <w:pPr>
        <w:pStyle w:val="rtecenter"/>
        <w:spacing w:before="0" w:after="0"/>
        <w:jc w:val="both"/>
        <w:rPr>
          <w:color w:val="000000" w:themeColor="text1"/>
          <w:kern w:val="2"/>
          <w:sz w:val="16"/>
          <w:szCs w:val="16"/>
        </w:rPr>
      </w:pPr>
      <w:r w:rsidRPr="002F2FDF">
        <w:rPr>
          <w:color w:val="000000" w:themeColor="text1"/>
          <w:kern w:val="2"/>
          <w:sz w:val="16"/>
          <w:szCs w:val="16"/>
        </w:rPr>
        <w:t>Статья 12</w:t>
      </w:r>
    </w:p>
    <w:p w14:paraId="060D83AE"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Ввиду невозможности ввоза всего угля и стали, в которых ощущается недостаток в России, важно, чтобы выпуск ее собственной продукции был бы в 1917 г. увеличен всеми возможными средствами. Согласно полученной информации, существует мнение, что крупные шахты могли бы давать больше угля, если бы в них работали квалифицированные специалисты, которых следовало бы для этой цели отозвать с фронта.</w:t>
      </w:r>
    </w:p>
    <w:p w14:paraId="4F816015"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Можно было бы также добиться немедленного улучшения положения, сосредоточив в руках одного энергичного и активного руководителя распределение угля на Юге и его перевозку.</w:t>
      </w:r>
    </w:p>
    <w:p w14:paraId="314FF679" w14:textId="77777777" w:rsidR="00C41520" w:rsidRPr="002F2FDF" w:rsidRDefault="00C41520" w:rsidP="0083075A">
      <w:pPr>
        <w:pStyle w:val="rtecenter"/>
        <w:spacing w:before="0" w:after="0"/>
        <w:jc w:val="both"/>
        <w:rPr>
          <w:color w:val="000000" w:themeColor="text1"/>
          <w:kern w:val="2"/>
          <w:sz w:val="16"/>
          <w:szCs w:val="16"/>
        </w:rPr>
      </w:pPr>
      <w:r w:rsidRPr="002F2FDF">
        <w:rPr>
          <w:color w:val="000000" w:themeColor="text1"/>
          <w:kern w:val="2"/>
          <w:sz w:val="16"/>
          <w:szCs w:val="16"/>
        </w:rPr>
        <w:t>Статья 13</w:t>
      </w:r>
    </w:p>
    <w:p w14:paraId="63AF4890"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Крайний недостаток металлов заставляет также отказаться от их использования в отраслях промышленности, не имеющих никакого отношения к войне. Также и в производстве военного снаряжения и снарядов необходимо использовать все методы работы, способствующие экономии металла.</w:t>
      </w:r>
    </w:p>
    <w:p w14:paraId="567F9686" w14:textId="77777777" w:rsidR="00C41520" w:rsidRPr="002F2FDF" w:rsidRDefault="00C41520" w:rsidP="0083075A">
      <w:pPr>
        <w:pStyle w:val="rtecenter"/>
        <w:spacing w:before="0" w:after="0"/>
        <w:jc w:val="both"/>
        <w:rPr>
          <w:color w:val="000000" w:themeColor="text1"/>
          <w:kern w:val="2"/>
          <w:sz w:val="16"/>
          <w:szCs w:val="16"/>
        </w:rPr>
      </w:pPr>
      <w:r w:rsidRPr="002F2FDF">
        <w:rPr>
          <w:color w:val="000000" w:themeColor="text1"/>
          <w:kern w:val="2"/>
          <w:sz w:val="16"/>
          <w:szCs w:val="16"/>
        </w:rPr>
        <w:t>Статья 14</w:t>
      </w:r>
    </w:p>
    <w:p w14:paraId="77BE8731"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Как представляется комиссии, ресурсы Японии в боеприпасах, по-видимому, не были настолько широко использованы, как это было возможно. Представленные на конференции союзные правительства могли бы предложить японскому правительству организовать свои ресурсы с целью снабжения России порохом, сталью, медью, железнодорожным оборудованием и различными готовыми снарядами. Если бы японское правительство взяло на себя организацию морских перевозок и поставку вагонов и паровозов, то результатом этого явилось бы значительное увеличение снабжения.</w:t>
      </w:r>
    </w:p>
    <w:p w14:paraId="63554DF2" w14:textId="77777777" w:rsidR="00C41520" w:rsidRPr="002F2FDF" w:rsidRDefault="00C41520" w:rsidP="0083075A">
      <w:pPr>
        <w:pStyle w:val="rtecenter"/>
        <w:spacing w:before="0" w:after="0"/>
        <w:jc w:val="both"/>
        <w:rPr>
          <w:color w:val="000000" w:themeColor="text1"/>
          <w:kern w:val="2"/>
          <w:sz w:val="16"/>
          <w:szCs w:val="16"/>
        </w:rPr>
      </w:pPr>
      <w:r w:rsidRPr="002F2FDF">
        <w:rPr>
          <w:color w:val="000000" w:themeColor="text1"/>
          <w:kern w:val="2"/>
          <w:sz w:val="16"/>
          <w:szCs w:val="16"/>
        </w:rPr>
        <w:t>Статья 15</w:t>
      </w:r>
    </w:p>
    <w:p w14:paraId="5A9C3386"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Если русское правительство считает нужным, что предоставление в его распоряжение инженеров и других специалистов может способствовать развитию его промышленности, западные союзники будут счастливы удовлетворить его запросы в этом отношении.</w:t>
      </w:r>
    </w:p>
    <w:p w14:paraId="35718A20" w14:textId="77777777" w:rsidR="00C41520" w:rsidRPr="002F2FDF" w:rsidRDefault="00C41520" w:rsidP="0083075A">
      <w:pPr>
        <w:pStyle w:val="rtecenter"/>
        <w:spacing w:before="0" w:after="0"/>
        <w:jc w:val="both"/>
        <w:rPr>
          <w:color w:val="000000" w:themeColor="text1"/>
          <w:kern w:val="2"/>
          <w:sz w:val="16"/>
          <w:szCs w:val="16"/>
        </w:rPr>
      </w:pPr>
      <w:r w:rsidRPr="002F2FDF">
        <w:rPr>
          <w:color w:val="000000" w:themeColor="text1"/>
          <w:kern w:val="2"/>
          <w:sz w:val="16"/>
          <w:szCs w:val="16"/>
        </w:rPr>
        <w:t>Статья 16</w:t>
      </w:r>
    </w:p>
    <w:p w14:paraId="5FCCBD6C"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Представители союзных держав считают долгом выразить русскому правительств; признательность за ту полную готовность, с которой оно снабдило их всеми нужными сведениями.</w:t>
      </w:r>
    </w:p>
    <w:p w14:paraId="4C8BC33B"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Подробное распределение тоннажа, предназначенного для перевозки артиллерийских орудий и снарядов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96"/>
        <w:gridCol w:w="5615"/>
        <w:gridCol w:w="1257"/>
        <w:gridCol w:w="1080"/>
        <w:gridCol w:w="574"/>
      </w:tblGrid>
      <w:tr w:rsidR="002B1C74" w:rsidRPr="002F2FDF" w14:paraId="55DC295D"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CD96F6" w14:textId="4F92CE05" w:rsidR="00C4152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51DC0"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34C68"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6FCC9"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Америка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C7E0A"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Италия</w:t>
            </w:r>
          </w:p>
        </w:tc>
      </w:tr>
      <w:tr w:rsidR="002B1C74" w:rsidRPr="002F2FDF" w14:paraId="61B9CCA7"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2BA5A1"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Снаряды для пушек и гаубиц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E1150"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170000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B25C5"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152400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4CC36"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180000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AFEB2" w14:textId="0215127C" w:rsidR="00C4152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E4F5127"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ED0247"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Пушки и гаубицы (включая тракторы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D2EF1"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EA287"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7200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DD9C1"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(включены в «Англию»)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78A3F"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00B98D93"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E91CD6"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Мортиры и снаряды для них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40527"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29000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6609D"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550C2"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807A2"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0A6FCD8A"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78EAF6"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Авиационные грузы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ABFCD"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70000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CF803"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34B14"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41CC0"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23036E36"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2CEE29"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9A298"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F52E6"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C0571"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30000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98942"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3CBF342E"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A7E129"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Взрывчатые вещества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5D00B"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30000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AE9EC"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CD7DA"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120000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1AD3A"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6D1BF79C"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41A5B3"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Винтовки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E8777"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FA5FE"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FB8E0"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41450"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27707B35"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F6FE80"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E64D1"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E8A7A"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36188"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177DF" w14:textId="77777777" w:rsidR="00C41520" w:rsidRPr="002F2FDF" w:rsidRDefault="00C41520" w:rsidP="0083075A">
            <w:pPr>
              <w:pStyle w:val="ae"/>
              <w:spacing w:before="0" w:after="0"/>
              <w:jc w:val="both"/>
              <w:rPr>
                <w:color w:val="000000" w:themeColor="text1"/>
                <w:kern w:val="2"/>
                <w:sz w:val="16"/>
                <w:szCs w:val="16"/>
              </w:rPr>
            </w:pPr>
            <w:r w:rsidRPr="002F2FDF">
              <w:rPr>
                <w:rStyle w:val="af0"/>
                <w:i w:val="0"/>
                <w:color w:val="000000" w:themeColor="text1"/>
                <w:kern w:val="2"/>
                <w:sz w:val="16"/>
                <w:szCs w:val="16"/>
              </w:rPr>
              <w:t>—</w:t>
            </w:r>
          </w:p>
        </w:tc>
      </w:tr>
      <w:tr w:rsidR="002B1C74" w:rsidRPr="002F2FDF" w14:paraId="42EC1AF5"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3367E3"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Ружья-пулеметы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53BD1"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49E49"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93CCC"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E35A0"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380520ED"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D30F0E"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57510"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83000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8ACB8"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6FABE"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20000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E1414"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742217D5"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CCFFE3"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Другие предметы, в том число сигнальные ракеты, оптические приборы, за исключением автомобилей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16E7F"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8DF78"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1D68E"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10F3C"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118AD972"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F93891" w14:textId="36E6C8AB" w:rsidR="00C4152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C0BFD"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544000</w:t>
            </w:r>
            <w:hyperlink r:id="rId109" w:anchor="_ftn3" w:history="1">
              <w:r w:rsidRPr="002F2FDF">
                <w:rPr>
                  <w:rStyle w:val="a5"/>
                  <w:color w:val="000000" w:themeColor="text1"/>
                  <w:kern w:val="2"/>
                  <w:sz w:val="16"/>
                  <w:szCs w:val="16"/>
                </w:rPr>
                <w:t>[</w:t>
              </w:r>
              <w:r w:rsidRPr="002F2FDF">
                <w:rPr>
                  <w:color w:val="000000" w:themeColor="text1"/>
                  <w:kern w:val="2"/>
                  <w:sz w:val="16"/>
                  <w:szCs w:val="16"/>
                </w:rPr>
                <w:t xml:space="preserve"> В текст вкралась опечатка. В ЦГВИА хранится типографский экземпляр комментируемого документа, где цифра 544 тыс. переправлена на 394 тыс. В этом случае итоговые данные сходятся (ЦГВИА, ф. 369, оп. 1, д. 425, л. 71).</w:t>
              </w:r>
              <w:r w:rsidRPr="002F2FDF">
                <w:rPr>
                  <w:rStyle w:val="a5"/>
                  <w:color w:val="000000" w:themeColor="text1"/>
                  <w:kern w:val="2"/>
                  <w:sz w:val="16"/>
                  <w:szCs w:val="16"/>
                </w:rPr>
                <w:t>]</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51649F4F"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328000+ Взрывчатые вещества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06E98"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360000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F8F56"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bl>
    <w:p w14:paraId="16C49FFE"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Всего 1082 тыс. т плюс орудия, получаемые из Италии, и взрывчатые веществ; из Франции — всего 1200 тыс. т.</w:t>
      </w:r>
    </w:p>
    <w:p w14:paraId="103A81E2" w14:textId="77777777" w:rsidR="00C41520" w:rsidRPr="002F2FDF" w:rsidRDefault="00C41520"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Петроград 4/17 февраля 1917 г.</w:t>
      </w:r>
    </w:p>
    <w:p w14:paraId="2F956DD4" w14:textId="77777777" w:rsidR="00C41520" w:rsidRPr="002F2FDF" w:rsidRDefault="00000000"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pict w14:anchorId="5F7D166F">
          <v:rect id="_x0000_i1025" style="width:154.35pt;height:0" o:hrpct="330" o:hrstd="t" o:hr="t" fillcolor="#a0a0a0" stroked="f"/>
        </w:pict>
      </w:r>
    </w:p>
    <w:p w14:paraId="12A336BC"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(15144).</w:t>
      </w:r>
    </w:p>
    <w:p w14:paraId="1A77802C" w14:textId="77777777" w:rsidR="00C41520" w:rsidRPr="002F2FDF" w:rsidRDefault="00C41520" w:rsidP="0083075A">
      <w:pPr>
        <w:pStyle w:val="ae"/>
        <w:spacing w:before="0" w:after="0"/>
        <w:jc w:val="both"/>
        <w:rPr>
          <w:color w:val="000000" w:themeColor="text1"/>
          <w:kern w:val="2"/>
          <w:sz w:val="16"/>
          <w:szCs w:val="16"/>
        </w:rPr>
      </w:pPr>
    </w:p>
    <w:p w14:paraId="757CE27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308B7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B6075D" w14:textId="77777777" w:rsidR="00CB2E19" w:rsidRPr="002F2FDF" w:rsidRDefault="00CB2E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(15) апреля 1917 опытный Альбатрос D V, законченный заводом в Йоханништале к середине весны 1917 г.  совершил первый полет. Быстро пройдя заводские испытания, к концу месяца он был передан в IdFlieg на испытания официальные типовые. На облет пригласили строевых летчиков, но неожиданно лучший немецкий ас — командир эскадры JG I Манфред фон Рихтгофен дал новинке полностью отрицательную оценку. Последнюю проигнорировали, сочтя следствием симпатий «Красного барона» к легким и маневренным машинам и лично к главному конкуренту «Альбатроса» Антону Фоккеру. По сравнению с серийным Альбатросом D III максимальная и крейсерская скорости «пятерки» на высоте 1 000 м увеличились примерно на 10 км/ч без роста расхода топлива за счет лучшей полноты его сгорания, и дальность выросла на 50 км при той же продолжительности полета. Потолок увеличился на 450 м, но высоту 1 000 м самолет набирал медленнее на полминуты, 3 000 м — на 5 минут, 4 000 м — на 3,5 минуты, 5 000 м — на 5 минут. Наконец, маневренность и разгонные данные ухудшились. Снятие зализов на стыке нижнего крыла и фюзеляжа, выклеивать и подгонять которые было сложно и долго, ухудшило обтекание этого места и не позволило извлечь выгоды из новой формы фюзеляжа, а вот на оперении без них можно было бы и обойтись. Само оно оказалось тяжелее прежнего, как и капот, шасси и крылья, что «съело» экономию на фюзеляже, и </w:t>
      </w:r>
      <w:r w:rsidRPr="002F2FDF">
        <w:rPr>
          <w:rFonts w:ascii="Times New Roman" w:hAnsi="Times New Roman" w:cs="Times New Roman"/>
          <w:color w:val="000000" w:themeColor="text1"/>
          <w:sz w:val="16"/>
          <w:szCs w:val="16"/>
        </w:rPr>
        <w:lastRenderedPageBreak/>
        <w:t>самолет потяжелел примерно на 10 кг — немного, но все же. Типовые испытания предусматривали и статические прочностные испытания — до разрушения, но были назначены испытания только фюзеляжа — как единственного нового агрегата, хотя нагрузки на крылья очевидно выросли. Из-за этого Альбатрос D V был принят на вооружение со скрытыми дефектами (22792).</w:t>
      </w:r>
    </w:p>
    <w:p w14:paraId="2745275F" w14:textId="77777777" w:rsidR="00CB2E19" w:rsidRPr="002F2FDF" w:rsidRDefault="00CB2E19" w:rsidP="0083075A">
      <w:pPr>
        <w:spacing w:after="0" w:line="240" w:lineRule="auto"/>
        <w:jc w:val="both"/>
        <w:rPr>
          <w:rFonts w:ascii="Times New Roman" w:hAnsi="Times New Roman" w:cs="Times New Roman"/>
          <w:color w:val="000000" w:themeColor="text1"/>
          <w:sz w:val="16"/>
          <w:szCs w:val="16"/>
        </w:rPr>
      </w:pPr>
    </w:p>
    <w:p w14:paraId="108167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апреля 1917 для поддержки наступления французских войск 12-я истребительная группа "Аистов" переведена из Лотарингии на р. Эна.</w:t>
      </w:r>
    </w:p>
    <w:p w14:paraId="4F5A73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 главнокомандующего воздушного флота действующей армии командирам ле-Реверену, Брокару и Мор- ранкуру гласил: "Начиная с полудня 15 апреля группа воздушного боя возобновляет без всяких ограничений свою наступательную тактику, задача которой - уничтожение германской авиации.</w:t>
      </w:r>
    </w:p>
    <w:p w14:paraId="5BFB94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Ни один самолет группы воздушного боя не должен более встречаться в пределах фронтовых линий... патрули должны состоять из 10 машин в среднем; они никогда не должны состоять меньше, чем из пяти... кроме летчиков, которым Реверен даст отдельные поручения, запрещается вылетать в одиночку.</w:t>
      </w:r>
    </w:p>
    <w:p w14:paraId="5D7185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Наступил момент дать наш максимум усилий, не взирая ни на усталость, ни на потери".</w:t>
      </w:r>
    </w:p>
    <w:p w14:paraId="67240D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 Реверен потребовал от своих пилотов самой суровой дисциплины и абсолютной хронометрической точности в смысле времени вылета на задание и времени возвращения на аэродром.</w:t>
      </w:r>
    </w:p>
    <w:p w14:paraId="6D28EA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Вечером, едва успев разместиться на новом месте, все летчики были высланы атаковать привязные аэростаты. Немцы быстро снизили свои аэростаты, а германские авиаторы ответили незамедлительно контратакой.</w:t>
      </w:r>
    </w:p>
    <w:p w14:paraId="55B49D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результате французы потеряли 12 привязных аэростатов и несколько самолетов (11999).</w:t>
      </w:r>
    </w:p>
    <w:p w14:paraId="0D13A0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F742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апреля 1917 Англия выиграла битву у Арраса (2100).</w:t>
      </w:r>
    </w:p>
    <w:p w14:paraId="5CCA18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0E3330" w14:textId="77777777" w:rsidR="000C5E7E" w:rsidRPr="002F2FDF" w:rsidRDefault="000C5E7E" w:rsidP="0083075A">
      <w:pPr>
        <w:pStyle w:val="ae"/>
        <w:spacing w:before="0" w:after="0"/>
        <w:jc w:val="both"/>
        <w:rPr>
          <w:color w:val="000000" w:themeColor="text1"/>
          <w:kern w:val="2"/>
          <w:sz w:val="16"/>
          <w:szCs w:val="16"/>
        </w:rPr>
      </w:pPr>
      <w:r w:rsidRPr="002F2FDF">
        <w:rPr>
          <w:color w:val="000000" w:themeColor="text1"/>
          <w:kern w:val="2"/>
          <w:sz w:val="16"/>
          <w:szCs w:val="16"/>
        </w:rPr>
        <w:t>2 (15) апреля 1917 неподалеку от Мальты был торпедирован крупный британский транспорт «Камерония», перевозивший войска. На его борту находились более 2650 солдат, 210 из которых погибли (17045).</w:t>
      </w:r>
    </w:p>
    <w:p w14:paraId="4BCEA528" w14:textId="77777777" w:rsidR="000C5E7E" w:rsidRPr="002F2FDF" w:rsidRDefault="000C5E7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A2DEE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04D0E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21821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апреля (2 - 16 апреля) 1912 г. закончились проводимые с 20 марта (3 апреля) под ру</w:t>
      </w:r>
      <w:r w:rsidRPr="002F2FDF">
        <w:rPr>
          <w:rFonts w:ascii="Times New Roman" w:hAnsi="Times New Roman" w:cs="Times New Roman"/>
          <w:color w:val="000000" w:themeColor="text1"/>
          <w:kern w:val="2"/>
          <w:sz w:val="16"/>
          <w:szCs w:val="16"/>
        </w:rPr>
        <w:softHyphen/>
        <w:t>ководством опытного офицера воздухоплавателя А.И.Шабского в Офицерской воздухоплавательной школе сравнительного испытания аэростатов змейкового типа Парсеваля, немецкой фирмы "Редингер" и изготовленного на заводе “Треугольник”. Испы</w:t>
      </w:r>
      <w:r w:rsidRPr="002F2FDF">
        <w:rPr>
          <w:rFonts w:ascii="Times New Roman" w:hAnsi="Times New Roman" w:cs="Times New Roman"/>
          <w:color w:val="000000" w:themeColor="text1"/>
          <w:kern w:val="2"/>
          <w:sz w:val="16"/>
          <w:szCs w:val="16"/>
        </w:rPr>
        <w:softHyphen/>
        <w:t>тания показали, что аэростат, сделанный на "Треугольнике" по проекту Кузнецова, лучше, чем аэростат фирмы "Редингер", так как он лучше сохранял воздух и был устойчивее при сильном ветре ("Воздухоплаватель", 1914, № 10, стр. 581-593.). В России в армии, в основном применялись привязные аэростаты иностранного производства, глав</w:t>
      </w:r>
      <w:r w:rsidRPr="002F2FDF">
        <w:rPr>
          <w:rFonts w:ascii="Times New Roman" w:hAnsi="Times New Roman" w:cs="Times New Roman"/>
          <w:color w:val="000000" w:themeColor="text1"/>
          <w:kern w:val="2"/>
          <w:sz w:val="16"/>
          <w:szCs w:val="16"/>
        </w:rPr>
        <w:softHyphen/>
        <w:t>ным образом, "змейковые аэростаты" Парсеваля, немецкой фирмы "Редингер". В.В.Кузнецов видел недостатки этих аэростатов и требовал их устранения, но на это фирма не шла. Тогда он предложил разра</w:t>
      </w:r>
      <w:r w:rsidRPr="002F2FDF">
        <w:rPr>
          <w:rFonts w:ascii="Times New Roman" w:hAnsi="Times New Roman" w:cs="Times New Roman"/>
          <w:color w:val="000000" w:themeColor="text1"/>
          <w:kern w:val="2"/>
          <w:sz w:val="16"/>
          <w:szCs w:val="16"/>
        </w:rPr>
        <w:softHyphen/>
        <w:t>ботанный им проект нового оригинального отечественного привязного аэростата. По его предложению и указаниям на заводе "Треугольник" в Петербурге был построен первый в мире обтекаемый аэростат пере</w:t>
      </w:r>
      <w:r w:rsidRPr="002F2FDF">
        <w:rPr>
          <w:rFonts w:ascii="Times New Roman" w:hAnsi="Times New Roman" w:cs="Times New Roman"/>
          <w:color w:val="000000" w:themeColor="text1"/>
          <w:kern w:val="2"/>
          <w:sz w:val="16"/>
          <w:szCs w:val="16"/>
        </w:rPr>
        <w:softHyphen/>
        <w:t>менного объема с эластичными тяжами и с рулевым мешком оригиналь</w:t>
      </w:r>
      <w:r w:rsidRPr="002F2FDF">
        <w:rPr>
          <w:rFonts w:ascii="Times New Roman" w:hAnsi="Times New Roman" w:cs="Times New Roman"/>
          <w:color w:val="000000" w:themeColor="text1"/>
          <w:kern w:val="2"/>
          <w:sz w:val="16"/>
          <w:szCs w:val="16"/>
        </w:rPr>
        <w:softHyphen/>
        <w:t>ной формы.</w:t>
      </w:r>
    </w:p>
    <w:p w14:paraId="3B884CA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F1612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52928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4A236B" w14:textId="77777777" w:rsidR="00E57831" w:rsidRPr="002F2FDF" w:rsidRDefault="00E5783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 (16) апреля 1917 г. приказом Верховного главкома генерала от инфантерии М.В. Алексеева № 70 Управление Полевого Генерал-инспектора ВВФ было переформировано в Полевое управление (ПУ) авиации и воздухоплавания при Штабе Верховного главкома, а его назначение и функции фактически оставались аналогичными предшествующему органу управления: наблюдение за формированием авиа- и воздухоплавательных частей, их боевой подготовкой, снабжением техническими средствами, правильным использованием в бою авиационных и воздухоплавательных средств и пр. (19962)</w:t>
      </w:r>
    </w:p>
    <w:p w14:paraId="623D803C" w14:textId="77777777" w:rsidR="00E57831" w:rsidRPr="002F2FDF" w:rsidRDefault="00E57831" w:rsidP="0083075A">
      <w:pPr>
        <w:spacing w:after="0" w:line="240" w:lineRule="auto"/>
        <w:jc w:val="both"/>
        <w:rPr>
          <w:rFonts w:ascii="Times New Roman" w:hAnsi="Times New Roman" w:cs="Times New Roman"/>
          <w:color w:val="000000" w:themeColor="text1"/>
          <w:sz w:val="16"/>
          <w:szCs w:val="16"/>
        </w:rPr>
      </w:pPr>
    </w:p>
    <w:p w14:paraId="36F44EEE" w14:textId="77777777" w:rsidR="004F0CD1" w:rsidRPr="002F2FDF" w:rsidRDefault="004F0CD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 (16) апреля 1917 г. приказом ВГК № 70 Управление Полевого генерал-инспектора ВВФ при ВГК преобразовалось в Полевое управление авиации и воздухоплавания (ПУАВ) при штабе Верховного Главнокомандующего, вводились штат и положение об этом управлении.</w:t>
      </w:r>
    </w:p>
    <w:p w14:paraId="5584C000" w14:textId="77777777" w:rsidR="004F0CD1" w:rsidRPr="002F2FDF" w:rsidRDefault="004F0CD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проведенной реорганизации имел место и субъективизм. Например, в ПУАВ число должностей для замещения воздухоплавателями несколько превышало число авиаторов. В этом сказался тенденциозный подход к формированию ПУАВ со стороны полковника С.А. Немченко – бывшего воздухоплавателя (19566).</w:t>
      </w:r>
    </w:p>
    <w:p w14:paraId="60C69B09" w14:textId="77777777" w:rsidR="004F0CD1" w:rsidRPr="002F2FDF" w:rsidRDefault="004F0CD1" w:rsidP="0083075A">
      <w:pPr>
        <w:spacing w:after="0" w:line="240" w:lineRule="auto"/>
        <w:jc w:val="both"/>
        <w:rPr>
          <w:rFonts w:ascii="Times New Roman" w:hAnsi="Times New Roman" w:cs="Times New Roman"/>
          <w:color w:val="000000" w:themeColor="text1"/>
          <w:sz w:val="16"/>
          <w:szCs w:val="16"/>
        </w:rPr>
      </w:pPr>
    </w:p>
    <w:p w14:paraId="3E369C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апреля 1917 года приказом Верховного Главнокомандующего № 70 было создано Полевое управление авиации и воздухоплавания при Штабе верховного командования - ПУАВ. Приказом Армии и Флота С.А. Ульянин был назначен первым начальником ПУАВ. По штату генерал-майор, может быть генерал-лейтенант, а это уже 3-й класс по Табели о рангах. Его вызвали из-за границы. 31 мая он был зачислен в списки чинов ПУАВ со словами: "впредь до прибытия полагать в ожидании". 2 июня вступил в должность. 6 июня 1916 послал телеграмму С.А. в штаб Авиагруппы, командиром которой был ученик Ульянина Е.Н.Крутень: " 6 июня с.г. на фронте погиб доблестный командир 2-й боевой группы капитан Евграф Николаевич Крутень, который своей неутомимой боевой работой стяжал себе неувядаемую славу и бесспорно может считаться гордостью нашей родной авиации: " и подал по команде рапорт о предоставлении ему другой должности. 9 июня он был назначен помощником начальника УВВФ и 21 июня исключен из списков ПУАВ. Тем же приказом подполковник В.М.Ткачев был назначен начальником ПУАВ, в должность он вступил 30.6.1917. После октябрьского переворота С.А. стал первым начальником УВВФ /23/. В марте 1918 года его командировали за границу, где он стал эмигрантом. Умер 13.10 1921 года в Лондоне. Похоронен на кладбище Лэдуэл (11036).</w:t>
      </w:r>
    </w:p>
    <w:p w14:paraId="5026AFE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3838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 </w:t>
      </w:r>
      <w:r w:rsidR="003355CF" w:rsidRPr="002F2FDF">
        <w:rPr>
          <w:rFonts w:ascii="Times New Roman" w:hAnsi="Times New Roman" w:cs="Times New Roman"/>
          <w:color w:val="000000" w:themeColor="text1"/>
          <w:kern w:val="2"/>
          <w:sz w:val="16"/>
          <w:szCs w:val="16"/>
        </w:rPr>
        <w:t xml:space="preserve">(16) </w:t>
      </w:r>
      <w:r w:rsidRPr="002F2FDF">
        <w:rPr>
          <w:rFonts w:ascii="Times New Roman" w:hAnsi="Times New Roman" w:cs="Times New Roman"/>
          <w:color w:val="000000" w:themeColor="text1"/>
          <w:kern w:val="2"/>
          <w:sz w:val="16"/>
          <w:szCs w:val="16"/>
        </w:rPr>
        <w:t>апреля 1917 г. было создано Полевое Управление авиации и воздухоплавания при Штабе Верховного Главнокомандующего. Приказом Армии и Флоту по согласованию с Верховным Главнокомандующим 19 апреля полковник С.А.Ульянин был назначен начальником этого Управления. По штату должность была генерал-лейтенантской. И его вызвали из-за границы, чтобы стать руководителем ВВС России. 2 июня Ульянин вступил в должность. Приведем одну из телеграмм, подписанных им: “6 июня с.г. на фронте погиб доблестный командир 2-й боевой группы капитан Евграф Николаевич Крутень, который своей неутомимой боевой работой стяжал себе неувядаемую славу и бесспорно может считаться гордостью нашей родной авиации” (11221).</w:t>
      </w:r>
    </w:p>
    <w:p w14:paraId="42CADE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49F3FA" w14:textId="77777777" w:rsidR="007B334A" w:rsidRDefault="007B334A"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 (16) апреля 1917 г. приказом ВГК №</w:t>
      </w:r>
      <w:r w:rsidRPr="00815ED5">
        <w:rPr>
          <w:rFonts w:ascii="Times New Roman" w:hAnsi="Times New Roman" w:cs="Times New Roman"/>
          <w:color w:val="0070C0"/>
          <w:sz w:val="16"/>
          <w:szCs w:val="16"/>
        </w:rPr>
        <w:t xml:space="preserve"> 70 </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Управление полевого генерал-инспек</w:t>
      </w:r>
      <w:r>
        <w:rPr>
          <w:rFonts w:ascii="Times New Roman" w:hAnsi="Times New Roman" w:cs="Times New Roman"/>
          <w:color w:val="0070C0"/>
          <w:sz w:val="16"/>
          <w:szCs w:val="16"/>
        </w:rPr>
        <w:t>тора</w:t>
      </w:r>
      <w:r w:rsidRPr="00815ED5">
        <w:rPr>
          <w:rFonts w:ascii="Times New Roman" w:hAnsi="Times New Roman" w:cs="Times New Roman"/>
          <w:color w:val="0070C0"/>
          <w:sz w:val="16"/>
          <w:szCs w:val="16"/>
        </w:rPr>
        <w:t xml:space="preserve"> Воздушно</w:t>
      </w:r>
      <w:r>
        <w:rPr>
          <w:rFonts w:ascii="Times New Roman" w:hAnsi="Times New Roman" w:cs="Times New Roman"/>
          <w:color w:val="0070C0"/>
          <w:sz w:val="16"/>
          <w:szCs w:val="16"/>
        </w:rPr>
        <w:t>го</w:t>
      </w:r>
      <w:r w:rsidRPr="00815ED5">
        <w:rPr>
          <w:rFonts w:ascii="Times New Roman" w:hAnsi="Times New Roman" w:cs="Times New Roman"/>
          <w:color w:val="0070C0"/>
          <w:sz w:val="16"/>
          <w:szCs w:val="16"/>
        </w:rPr>
        <w:t xml:space="preserve"> флота реорганизовано в полевое управление а</w:t>
      </w:r>
      <w:r>
        <w:rPr>
          <w:rFonts w:ascii="Times New Roman" w:hAnsi="Times New Roman" w:cs="Times New Roman"/>
          <w:color w:val="0070C0"/>
          <w:sz w:val="16"/>
          <w:szCs w:val="16"/>
        </w:rPr>
        <w:t>ви</w:t>
      </w:r>
      <w:r w:rsidRPr="00815ED5">
        <w:rPr>
          <w:rFonts w:ascii="Times New Roman" w:hAnsi="Times New Roman" w:cs="Times New Roman"/>
          <w:color w:val="0070C0"/>
          <w:sz w:val="16"/>
          <w:szCs w:val="16"/>
        </w:rPr>
        <w:t>ац</w:t>
      </w:r>
      <w:r>
        <w:rPr>
          <w:rFonts w:ascii="Times New Roman" w:hAnsi="Times New Roman" w:cs="Times New Roman"/>
          <w:color w:val="0070C0"/>
          <w:sz w:val="16"/>
          <w:szCs w:val="16"/>
        </w:rPr>
        <w:t>ии</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 xml:space="preserve"> воздухоплавания при штабе Верховного главнокомандующего»</w:t>
      </w:r>
      <w:r>
        <w:rPr>
          <w:rFonts w:ascii="Times New Roman" w:hAnsi="Times New Roman" w:cs="Times New Roman"/>
          <w:color w:val="0070C0"/>
          <w:sz w:val="16"/>
          <w:szCs w:val="16"/>
        </w:rPr>
        <w:t xml:space="preserve"> (23320).</w:t>
      </w:r>
    </w:p>
    <w:p w14:paraId="4F218F7E" w14:textId="77777777" w:rsidR="007B334A" w:rsidRPr="00815ED5" w:rsidRDefault="007B334A" w:rsidP="0083075A">
      <w:pPr>
        <w:spacing w:after="0" w:line="240" w:lineRule="auto"/>
        <w:jc w:val="both"/>
        <w:rPr>
          <w:rFonts w:ascii="Times New Roman" w:hAnsi="Times New Roman" w:cs="Times New Roman"/>
          <w:color w:val="0070C0"/>
          <w:sz w:val="16"/>
          <w:szCs w:val="16"/>
        </w:rPr>
      </w:pPr>
    </w:p>
    <w:p w14:paraId="01CAE34D" w14:textId="27E9FCDF" w:rsidR="00342516" w:rsidRPr="00FB4F67" w:rsidRDefault="0034251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 (</w:t>
      </w:r>
      <w:r w:rsidRPr="00FB4F67">
        <w:rPr>
          <w:rFonts w:ascii="Times New Roman" w:hAnsi="Times New Roman" w:cs="Times New Roman"/>
          <w:color w:val="0070C0"/>
          <w:sz w:val="16"/>
          <w:szCs w:val="16"/>
        </w:rPr>
        <w:t>16</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апреля 1917 г. В.И. Ленин вернулся в Петроград из-за границы с призывом к хлебу, миру и земле. Большевики организовали демонстрации 4 мая в Петрограде и Москве (23525).</w:t>
      </w:r>
    </w:p>
    <w:p w14:paraId="5F7EBE0A" w14:textId="77777777" w:rsidR="00342516" w:rsidRPr="00FB4F67" w:rsidRDefault="00342516" w:rsidP="0083075A">
      <w:pPr>
        <w:spacing w:after="0" w:line="240" w:lineRule="auto"/>
        <w:jc w:val="both"/>
        <w:rPr>
          <w:rFonts w:ascii="Times New Roman" w:hAnsi="Times New Roman" w:cs="Times New Roman"/>
          <w:color w:val="0070C0"/>
          <w:sz w:val="16"/>
          <w:szCs w:val="16"/>
        </w:rPr>
      </w:pPr>
    </w:p>
    <w:p w14:paraId="1C4D60E6" w14:textId="199E7F57" w:rsidR="00342516" w:rsidRPr="00FB4F67" w:rsidRDefault="0034251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 (</w:t>
      </w:r>
      <w:r w:rsidRPr="00FB4F67">
        <w:rPr>
          <w:rFonts w:ascii="Times New Roman" w:hAnsi="Times New Roman" w:cs="Times New Roman"/>
          <w:color w:val="0070C0"/>
          <w:sz w:val="16"/>
          <w:szCs w:val="16"/>
        </w:rPr>
        <w:t>16</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апреля 1917 г. в Ставке генерал М. В. Алексеев по болезни и нервным расстройствам был смещен с поста Верховного главнокомандующего, а его преемником был назначен генерал А. А. Брусилов. Брусилов быстро отстранил от командования генералов А. М. Каледина и Н. Н. Юденича (23525).</w:t>
      </w:r>
    </w:p>
    <w:p w14:paraId="5F8B2B2C" w14:textId="77777777" w:rsidR="00342516" w:rsidRPr="00FB4F67" w:rsidRDefault="00342516" w:rsidP="0083075A">
      <w:pPr>
        <w:spacing w:after="0" w:line="240" w:lineRule="auto"/>
        <w:jc w:val="both"/>
        <w:rPr>
          <w:rFonts w:ascii="Times New Roman" w:hAnsi="Times New Roman" w:cs="Times New Roman"/>
          <w:color w:val="0070C0"/>
          <w:sz w:val="16"/>
          <w:szCs w:val="16"/>
        </w:rPr>
      </w:pPr>
    </w:p>
    <w:p w14:paraId="79042C18" w14:textId="1AAF2EE2" w:rsidR="00342516" w:rsidRPr="00FB4F67" w:rsidRDefault="0034251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 (16)</w:t>
      </w:r>
      <w:r w:rsidRPr="00FB4F67">
        <w:rPr>
          <w:rFonts w:ascii="Times New Roman" w:hAnsi="Times New Roman" w:cs="Times New Roman"/>
          <w:color w:val="0070C0"/>
          <w:sz w:val="16"/>
          <w:szCs w:val="16"/>
        </w:rPr>
        <w:t xml:space="preserve"> апреля 1917 г. в районе Фокшаны противник </w:t>
      </w:r>
      <w:bookmarkStart w:id="73" w:name="bookmark755"/>
      <w:bookmarkStart w:id="74" w:name="bookmark756"/>
      <w:r w:rsidRPr="00FB4F67">
        <w:rPr>
          <w:rFonts w:ascii="Times New Roman" w:hAnsi="Times New Roman" w:cs="Times New Roman"/>
          <w:color w:val="0070C0"/>
          <w:sz w:val="16"/>
          <w:szCs w:val="16"/>
        </w:rPr>
        <w:t>потерял еще два своих самолета, уничтоженных нашими истребителям (23405).</w:t>
      </w:r>
    </w:p>
    <w:bookmarkEnd w:id="73"/>
    <w:bookmarkEnd w:id="74"/>
    <w:p w14:paraId="301C9140" w14:textId="77777777" w:rsidR="00342516" w:rsidRPr="00FB4F67" w:rsidRDefault="00342516" w:rsidP="0083075A">
      <w:pPr>
        <w:spacing w:after="0" w:line="240" w:lineRule="auto"/>
        <w:jc w:val="both"/>
        <w:rPr>
          <w:rFonts w:ascii="Times New Roman" w:hAnsi="Times New Roman" w:cs="Times New Roman"/>
          <w:color w:val="0070C0"/>
          <w:sz w:val="16"/>
          <w:szCs w:val="16"/>
        </w:rPr>
      </w:pPr>
    </w:p>
    <w:p w14:paraId="7BB8739F" w14:textId="77777777" w:rsidR="000C5E7E" w:rsidRPr="002F2FDF" w:rsidRDefault="000C5E7E" w:rsidP="0083075A">
      <w:pPr>
        <w:pStyle w:val="ae"/>
        <w:spacing w:before="0" w:after="0"/>
        <w:jc w:val="both"/>
        <w:rPr>
          <w:color w:val="000000" w:themeColor="text1"/>
          <w:kern w:val="2"/>
          <w:sz w:val="16"/>
          <w:szCs w:val="16"/>
        </w:rPr>
      </w:pPr>
      <w:r w:rsidRPr="002F2FDF">
        <w:rPr>
          <w:color w:val="000000" w:themeColor="text1"/>
          <w:kern w:val="2"/>
          <w:sz w:val="16"/>
          <w:szCs w:val="16"/>
        </w:rPr>
        <w:t>3 (16) апреля 1917 русская подводная лодка в районе пролива Босфор затопила две турецкие шхуны, перевозившие продовольствие в Константинополь (17045).</w:t>
      </w:r>
    </w:p>
    <w:p w14:paraId="6E38A095" w14:textId="77777777" w:rsidR="000C5E7E" w:rsidRPr="002F2FDF" w:rsidRDefault="000C5E7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755DD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A9E59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D96D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апреля 1917 в Петроград из эмиграции вернулся В.И.Л. и утром 4 апреля выступил с апрельскими тезисами с броневичка на Финляндском вокзале (66,12).</w:t>
      </w:r>
    </w:p>
    <w:p w14:paraId="4B4256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вечером и не сразу после приезда, как принято считать</w:t>
      </w:r>
    </w:p>
    <w:p w14:paraId="4AF668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178321" w14:textId="3A007E3B"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 xml:space="preserve">April </w:t>
      </w:r>
      <w:r w:rsidR="00FD5EDA" w:rsidRPr="00FD5EDA">
        <w:rPr>
          <w:rFonts w:ascii="Times New Roman" w:hAnsi="Times New Roman" w:cs="Times New Roman"/>
          <w:color w:val="000000" w:themeColor="text1"/>
          <w:kern w:val="2"/>
          <w:sz w:val="16"/>
          <w:szCs w:val="16"/>
          <w:lang w:val="en-US"/>
        </w:rPr>
        <w:t>3 (</w:t>
      </w:r>
      <w:r w:rsidRPr="002F2FDF">
        <w:rPr>
          <w:rFonts w:ascii="Times New Roman" w:hAnsi="Times New Roman" w:cs="Times New Roman"/>
          <w:color w:val="000000" w:themeColor="text1"/>
          <w:kern w:val="2"/>
          <w:sz w:val="16"/>
          <w:szCs w:val="16"/>
          <w:lang w:val="en-US"/>
        </w:rPr>
        <w:t>16</w:t>
      </w:r>
      <w:r w:rsidR="00FD5EDA" w:rsidRPr="00FD5EDA">
        <w:rPr>
          <w:rFonts w:ascii="Times New Roman" w:hAnsi="Times New Roman" w:cs="Times New Roman"/>
          <w:color w:val="000000" w:themeColor="text1"/>
          <w:kern w:val="2"/>
          <w:sz w:val="16"/>
          <w:szCs w:val="16"/>
          <w:lang w:val="en-US"/>
        </w:rPr>
        <w:t>)</w:t>
      </w:r>
      <w:r w:rsidRPr="002F2FDF">
        <w:rPr>
          <w:rFonts w:ascii="Times New Roman" w:hAnsi="Times New Roman" w:cs="Times New Roman"/>
          <w:color w:val="000000" w:themeColor="text1"/>
          <w:kern w:val="2"/>
          <w:sz w:val="16"/>
          <w:szCs w:val="16"/>
          <w:lang w:val="en-US"/>
        </w:rPr>
        <w:t>, 1917 Lenin arrives in Russia (1067).</w:t>
      </w:r>
    </w:p>
    <w:p w14:paraId="230E89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7FAF0E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апреля 1917 В.И.Л. прибыл в Россию (1067).</w:t>
      </w:r>
    </w:p>
    <w:p w14:paraId="79D007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BAE15B" w14:textId="77777777" w:rsidR="009E49F6" w:rsidRPr="002F2FDF" w:rsidRDefault="009E49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 (16) апреля 1917 Ленин прибывает в Петроград, совершив с помощью германских властей переезд из Швейцарии в Россию через Германию, Швецию и Финляндию. С ним верная команда в 35 человек (Крупская Н. К., Зиновьев Г. Е., Лилина З. И., Арманд И. Ф., Сокольников Г. Я., Радек К. Б. и другие). Всех усадили в опломбированный вагон и вперед! Появилась публикация в "Правде" ленинских "Апрельских тезисов", с которыми он выступил перед большевиками 17 апреля в </w:t>
      </w:r>
      <w:r w:rsidRPr="002F2FDF">
        <w:rPr>
          <w:rFonts w:ascii="Times New Roman" w:hAnsi="Times New Roman" w:cs="Times New Roman"/>
          <w:color w:val="000000" w:themeColor="text1"/>
          <w:kern w:val="2"/>
          <w:sz w:val="16"/>
          <w:szCs w:val="16"/>
        </w:rPr>
        <w:lastRenderedPageBreak/>
        <w:t>Таврическом дворце. Главные пункты - объявить бойкот Временному правительству и захватить власть. Строго говоря, Ленин был удивлен Февральской революцией. Еще в январе он заявлял, что не надеется дожить до революции в России. Когда же она состоялась, Ленин назвал ее "заговором англо-французских империалистов". Странная оценка, неужели Антанта своими руками выбила одного из самых мощных своих участников с поля боя? Французский министр-социалист А. Тома примерно в это же время передал Временному правительству информацию о связях большевиков с немцами. Сама история с опломбированным вагоном ничего не доказывает - через 2 месяца в таких же вагонах и по тому же маршруту проехали эсеры и меньшевики.</w:t>
      </w:r>
    </w:p>
    <w:p w14:paraId="68642F68" w14:textId="77777777" w:rsidR="009E49F6" w:rsidRPr="002F2FDF" w:rsidRDefault="009E49F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7B9055" w14:textId="77777777" w:rsidR="009C2037" w:rsidRPr="002F2FDF" w:rsidRDefault="009C20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 </w:t>
      </w:r>
      <w:r w:rsidR="00093696"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rPr>
        <w:t>16</w:t>
      </w:r>
      <w:r w:rsidR="00093696"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rPr>
        <w:t xml:space="preserve"> апреля в 1917 году в Россию из Швейцарии через Германию, Швецию и Финляндию вернулся Ленин. Он заранее дал телеграмму в Петроград, чтобы о его приезде было объявлено в "Правде". Приезд В.И.Ленина в Петроград и его знаменитое выступление с броневика у Финляндского вокзала, в ходе которого он провозгласил курс на социалистическую революцию. Ровно через 7 лет в 1924 году у Финляндского вокзала в Ленинграде был заложен памятник - знаменитый "Ленин на броневике" скульптора Евсеева и архитектора Щуко. Он был открыт в 9-ю годовщину Октябрьской революции (15101).</w:t>
      </w:r>
    </w:p>
    <w:p w14:paraId="2D5CE7C5" w14:textId="77777777" w:rsidR="009C2037" w:rsidRPr="002F2FDF" w:rsidRDefault="009C2037" w:rsidP="0083075A">
      <w:pPr>
        <w:spacing w:after="0" w:line="240" w:lineRule="auto"/>
        <w:jc w:val="both"/>
        <w:rPr>
          <w:rFonts w:ascii="Times New Roman" w:hAnsi="Times New Roman" w:cs="Times New Roman"/>
          <w:color w:val="000000" w:themeColor="text1"/>
          <w:kern w:val="2"/>
          <w:sz w:val="16"/>
          <w:szCs w:val="16"/>
        </w:rPr>
      </w:pPr>
    </w:p>
    <w:p w14:paraId="603430B4" w14:textId="77777777"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 (16) апреля</w:t>
      </w:r>
      <w:r w:rsidRPr="002F2FDF">
        <w:rPr>
          <w:rFonts w:ascii="Times New Roman" w:hAnsi="Times New Roman" w:cs="Times New Roman"/>
          <w:color w:val="000000" w:themeColor="text1"/>
          <w:kern w:val="2"/>
          <w:sz w:val="16"/>
          <w:szCs w:val="16"/>
        </w:rPr>
        <w:t xml:space="preserve"> в 1917 году завершение всероссийского совещания Советов рабочих и солдатских депутатов. На нем были принятые предложенные меньшевиками и эсерами резолюции по вопросам отношения к войне и Временному правительству (15088).</w:t>
      </w:r>
    </w:p>
    <w:p w14:paraId="4D3D55D0" w14:textId="77777777"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p>
    <w:p w14:paraId="4511E00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9CC7A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47456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апреля 1917 на ЗФ началось наступление под командованием Нивеля - вторая битва на Эме, которая продолжалась до 9 мая. Французские войска немного продвинулись вперед (3907,90).</w:t>
      </w:r>
    </w:p>
    <w:p w14:paraId="4E1592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9D576D" w14:textId="61C07A43" w:rsidR="004F0CD1" w:rsidRPr="002F2FDF" w:rsidRDefault="004F0CD1" w:rsidP="0083075A">
      <w:pPr>
        <w:pStyle w:val="ae"/>
        <w:spacing w:before="0" w:after="0"/>
        <w:jc w:val="both"/>
        <w:rPr>
          <w:color w:val="000000" w:themeColor="text1"/>
          <w:sz w:val="16"/>
          <w:szCs w:val="16"/>
        </w:rPr>
      </w:pPr>
      <w:r w:rsidRPr="002F2FDF">
        <w:rPr>
          <w:color w:val="000000" w:themeColor="text1"/>
          <w:sz w:val="16"/>
          <w:szCs w:val="16"/>
        </w:rPr>
        <w:t>3 (16) апреля 1917 наступление началось. Французская пехота без труда захватила разбитую артиллерией первую линию обороны. А вот со второй уже начались сложности. Немецкая армия отчаянно сопротивлялась, продвижение шло крайне медленно. Несколько танков были подбиты, часть попросту застряла. Одним из подбитых оказался танк командира первой ударной группы майора Луи Боссу (Louis Bossut)</w:t>
      </w:r>
      <w:r w:rsidR="00E52569">
        <w:rPr>
          <w:color w:val="000000" w:themeColor="text1"/>
          <w:sz w:val="16"/>
          <w:szCs w:val="16"/>
        </w:rPr>
        <w:t xml:space="preserve"> </w:t>
      </w:r>
      <w:r w:rsidRPr="002F2FDF">
        <w:rPr>
          <w:color w:val="000000" w:themeColor="text1"/>
          <w:sz w:val="16"/>
          <w:szCs w:val="16"/>
        </w:rPr>
        <w:t>— весь экипаж сгорел заживо, а остальные танки в первом же бою оказались без командования. Взаимодействие с пехотой отработано не было, что существенно снижало и без того медленную скорость продвижения. А когда атака «увязла», по наступающим с закрытых позиций открыла огонь немецкая артиллерия: полевые и минометные батареи, а также батареи тяжелых гаубиц. Французы тоже дрались храбро. Экипажи подбитых танков снимали пулеметы с машин и шли в атаку наравне с пехотой. Но тем не менее наступление под Берри-о-Баком завершилось полным провалом.</w:t>
      </w:r>
    </w:p>
    <w:p w14:paraId="2B2FAF50" w14:textId="77777777" w:rsidR="004F0CD1" w:rsidRPr="002F2FDF" w:rsidRDefault="004F0CD1" w:rsidP="0083075A">
      <w:pPr>
        <w:pStyle w:val="ae"/>
        <w:spacing w:before="0" w:after="0"/>
        <w:jc w:val="both"/>
        <w:rPr>
          <w:color w:val="000000" w:themeColor="text1"/>
          <w:sz w:val="16"/>
          <w:szCs w:val="16"/>
        </w:rPr>
      </w:pPr>
      <w:r w:rsidRPr="002F2FDF">
        <w:rPr>
          <w:color w:val="000000" w:themeColor="text1"/>
          <w:sz w:val="16"/>
          <w:szCs w:val="16"/>
        </w:rPr>
        <w:t>Французы потеряли 76 из 132 танков, 180 танкистов (из 720) погибли.</w:t>
      </w:r>
    </w:p>
    <w:p w14:paraId="5F656B2C" w14:textId="77777777" w:rsidR="004F0CD1" w:rsidRPr="002F2FDF" w:rsidRDefault="004F0CD1" w:rsidP="0083075A">
      <w:pPr>
        <w:pStyle w:val="ae"/>
        <w:spacing w:before="0" w:after="0"/>
        <w:jc w:val="both"/>
        <w:rPr>
          <w:color w:val="000000" w:themeColor="text1"/>
          <w:sz w:val="16"/>
          <w:szCs w:val="16"/>
        </w:rPr>
      </w:pPr>
      <w:r w:rsidRPr="002F2FDF">
        <w:rPr>
          <w:color w:val="000000" w:themeColor="text1"/>
          <w:sz w:val="16"/>
          <w:szCs w:val="16"/>
        </w:rPr>
        <w:t>Эта неудача чуть было не сказалась на всей дальнейшей судьбе французских бронетанковых сил. От расформирования их спасло только непосредственное вмешательство маршала Анри Филиппа Петена (он стал национальным героем после сражения под Верденом, был командующим 2-й армией) (18519).</w:t>
      </w:r>
    </w:p>
    <w:p w14:paraId="50CD7264" w14:textId="77777777" w:rsidR="004F0CD1" w:rsidRPr="002F2FDF" w:rsidRDefault="004F0CD1" w:rsidP="0083075A">
      <w:pPr>
        <w:pStyle w:val="ae"/>
        <w:spacing w:before="0" w:after="0"/>
        <w:jc w:val="both"/>
        <w:rPr>
          <w:color w:val="000000" w:themeColor="text1"/>
          <w:sz w:val="16"/>
          <w:szCs w:val="16"/>
        </w:rPr>
      </w:pPr>
    </w:p>
    <w:p w14:paraId="74AA4662" w14:textId="77777777" w:rsidR="004F758B" w:rsidRPr="002F2FDF" w:rsidRDefault="004F758B" w:rsidP="0083075A">
      <w:pPr>
        <w:pStyle w:val="ae"/>
        <w:spacing w:before="0" w:after="0"/>
        <w:jc w:val="both"/>
        <w:rPr>
          <w:color w:val="000000" w:themeColor="text1"/>
          <w:kern w:val="2"/>
          <w:sz w:val="16"/>
          <w:szCs w:val="16"/>
        </w:rPr>
      </w:pPr>
      <w:r w:rsidRPr="002F2FDF">
        <w:rPr>
          <w:color w:val="000000" w:themeColor="text1"/>
          <w:kern w:val="2"/>
          <w:sz w:val="16"/>
          <w:szCs w:val="16"/>
        </w:rPr>
        <w:t>3 (16) апреля 1917 в Шампани, в районе Суассона (в 100 километрах к северо-востоку от Парижа) перешли в наступление и французские части. Изначально они должны были выступить одновременно с англичанами — 9 апреля, однако из-за неудачной артподготовки и несогласованности между разными подразделениями штурм был отложен на неделю.</w:t>
      </w:r>
    </w:p>
    <w:p w14:paraId="435B188F" w14:textId="77777777" w:rsidR="004F758B" w:rsidRPr="002F2FDF" w:rsidRDefault="004F758B" w:rsidP="0083075A">
      <w:pPr>
        <w:pStyle w:val="ae"/>
        <w:spacing w:before="0" w:after="0"/>
        <w:jc w:val="both"/>
        <w:rPr>
          <w:color w:val="000000" w:themeColor="text1"/>
          <w:kern w:val="2"/>
          <w:sz w:val="16"/>
          <w:szCs w:val="16"/>
        </w:rPr>
      </w:pPr>
      <w:r w:rsidRPr="002F2FDF">
        <w:rPr>
          <w:color w:val="000000" w:themeColor="text1"/>
          <w:kern w:val="2"/>
          <w:sz w:val="16"/>
          <w:szCs w:val="16"/>
        </w:rPr>
        <w:t>План операции, предполагавший одновременное наступление английских и французских армий на двух участках фронта, был разработан французским главнокомандующим генералом Робером Нивелем. Изначально операцию и именовали по его имени – «Наступление Нивеля», но позже из-за огромных неоправданных потерь за ней закрепилось другое название — «Мясорубка Нивеля».</w:t>
      </w:r>
    </w:p>
    <w:p w14:paraId="18CA02A3" w14:textId="77777777" w:rsidR="004F758B" w:rsidRPr="002F2FDF" w:rsidRDefault="004F758B" w:rsidP="0083075A">
      <w:pPr>
        <w:pStyle w:val="ae"/>
        <w:spacing w:before="0" w:after="0"/>
        <w:jc w:val="both"/>
        <w:rPr>
          <w:color w:val="000000" w:themeColor="text1"/>
          <w:kern w:val="2"/>
          <w:sz w:val="16"/>
          <w:szCs w:val="16"/>
        </w:rPr>
      </w:pPr>
      <w:r w:rsidRPr="002F2FDF">
        <w:rPr>
          <w:color w:val="000000" w:themeColor="text1"/>
          <w:kern w:val="2"/>
          <w:sz w:val="16"/>
          <w:szCs w:val="16"/>
        </w:rPr>
        <w:t>Генерал обещал совершить решительный прорыв немецкой обороны в противовес утомительной и дорогостоящей стратегии своего предшественника Жозефа Жоффра, рассчитанной на истощение противника. Для этого Нивель скопил колоссальные силы — более 100 пехотных дивизий и 11 тысяч артиллерийских орудий, что обеспечивало подавляющее превосходство над немцами. Однако противник вовремя получил упреждающую информацию и смог подготовиться. Во-первых, сам Нивель не скрывал в целом, что готовит крупное наступление, рассказывая об этом даже журналистам. Кроме того, за две недели до начала операции немцы взяли в плен французского унтер-офицера, который на свою беду имел при себе копию основного плана операции. В нем упоминалось также и то, что удар британцев под Аррасом будет отвлекающим.</w:t>
      </w:r>
    </w:p>
    <w:p w14:paraId="18D3F525" w14:textId="77777777" w:rsidR="004F758B" w:rsidRPr="002F2FDF" w:rsidRDefault="004F758B" w:rsidP="0083075A">
      <w:pPr>
        <w:pStyle w:val="ae"/>
        <w:spacing w:before="0" w:after="0"/>
        <w:jc w:val="both"/>
        <w:rPr>
          <w:color w:val="000000" w:themeColor="text1"/>
          <w:kern w:val="2"/>
          <w:sz w:val="16"/>
          <w:szCs w:val="16"/>
        </w:rPr>
      </w:pPr>
      <w:r w:rsidRPr="002F2FDF">
        <w:rPr>
          <w:color w:val="000000" w:themeColor="text1"/>
          <w:kern w:val="2"/>
          <w:sz w:val="16"/>
          <w:szCs w:val="16"/>
        </w:rPr>
        <w:t>Военный историк, генерал Андрей Зайончковский так писал о «наступлении Нивеля»: «По количеству собранных здесь войск, артиллерии, снарядов, авиационных средств и танков атака французов между Суассоном и Реймсом представляла собой наиболее грандиозное предприятие за всю войну. Естественно, что французы могли ожидать полного успеха от прорыва и быть уверенными в развитии его в большую стратегическую победу. Но надежды французов не оправдались. Длительные приготовления и политические обсуждения, вызванные этим наступлением, совместно с 10-дневной артиллерийской подготовкой, отняли все выгоды неожиданности, а дурная погода лишила французские войска участия сильной авиации».</w:t>
      </w:r>
    </w:p>
    <w:p w14:paraId="16703C53" w14:textId="77777777" w:rsidR="004F758B" w:rsidRPr="002F2FDF" w:rsidRDefault="004F758B" w:rsidP="0083075A">
      <w:pPr>
        <w:pStyle w:val="ae"/>
        <w:spacing w:before="0" w:after="0"/>
        <w:jc w:val="both"/>
        <w:rPr>
          <w:color w:val="000000" w:themeColor="text1"/>
          <w:kern w:val="2"/>
          <w:sz w:val="16"/>
          <w:szCs w:val="16"/>
        </w:rPr>
      </w:pPr>
      <w:r w:rsidRPr="002F2FDF">
        <w:rPr>
          <w:color w:val="000000" w:themeColor="text1"/>
          <w:kern w:val="2"/>
          <w:sz w:val="16"/>
          <w:szCs w:val="16"/>
        </w:rPr>
        <w:t>16 апреля под Суассоном в атаку были брошены две французских армии, которые тут же попали под убийственный пулеметный и артиллерийский огонь и понесли огромные потери, лишь местами сумев захватить передовые окопы противника. Не помогли французам и их первые танки «Шнейдер», которые показали себя как конструкционно менее удачные, чем британские. Из 128 машин первого брошенного на врага отряда немцы подбили 39. Во втором отряде «Шнейдеров», который «проутюжила» немецкая авиация, потери были вовсе фатальными — 118 машин из 128. Слабыми местами этих танков оказались крайне ненадежное тракторное шасси и низкая скорость, из-за чего они становились легкой добычей артиллерии. Кроме того, во время атаки под Суассоном, чтобы увеличит запах хода, к танкам снаружи прикрепили дополнительные баки с горючим, из-за чего «Шнейдеры» вспыхивали как спички (17045).</w:t>
      </w:r>
    </w:p>
    <w:p w14:paraId="6AC6F240" w14:textId="77777777" w:rsidR="004F758B" w:rsidRPr="002F2FDF" w:rsidRDefault="004F758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4860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апреля 1917, когда сражение у Арраса достигло апогея и связало значительную часть германских авиасил, началось и ожидавшееся французское наступление. Из трофейных наставлений немцы знали о применяемых французами методах, согласно которым они за день до наступления или же в этот самый день должны были нанести сокрушительный удар по аэростатам и самолетам на аэродромах. Немцы подготовили меры противодействия, но удар так и не был нанесен. В ожидании неприятельского наступления командующий армией приказал корпусам высылать с рассветом летчиков для выяснения оперативной обстановки с целью обнаружения танков, скопления частей или заполнения окопов. Эти летчики оказали командованию и войскам неоценимую помощь. 16 апреля они предупредили штаб армии о том, что неприятельская пехота вот-вот перейдет в наступление. Они и позже, в ходе дальнейших боев, доносили о местах, где неприятель проник в первую и вторую линии окопов, где наши контратаки возвращали наши части на старые позиции. Кроме этого они могли принять эффективное участие в бою, обстреливая из пулеметов неприятельские танки, батареи и скопления пехоты (11282).</w:t>
      </w:r>
    </w:p>
    <w:p w14:paraId="0CB009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6A88C9" w14:textId="77777777" w:rsidR="009C2037" w:rsidRPr="002F2FDF" w:rsidRDefault="009C20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апреля в 1917 году под Шмэн-де-Дам состоялся дебют первых французских танков марки "Шнейдер"и "Сен-Шамон" (15101).</w:t>
      </w:r>
    </w:p>
    <w:p w14:paraId="0A0E73D2" w14:textId="77777777" w:rsidR="009C2037" w:rsidRPr="002F2FDF" w:rsidRDefault="009C2037" w:rsidP="0083075A">
      <w:pPr>
        <w:spacing w:after="0" w:line="240" w:lineRule="auto"/>
        <w:jc w:val="both"/>
        <w:rPr>
          <w:rFonts w:ascii="Times New Roman" w:hAnsi="Times New Roman" w:cs="Times New Roman"/>
          <w:color w:val="000000" w:themeColor="text1"/>
          <w:kern w:val="2"/>
          <w:sz w:val="16"/>
          <w:szCs w:val="16"/>
        </w:rPr>
      </w:pPr>
    </w:p>
    <w:p w14:paraId="677DE8D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45BAB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E043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апреля 1917 г. л Гильшер, который после гибели И. А. Орлова начальником 7-го истребительного отряда, сбил в бою немецкий аэроплан. У него был перелом костей правого предплечья, после аварии (штопор) на самолете ему ампутировали левую ступню (9705).</w:t>
      </w:r>
    </w:p>
    <w:p w14:paraId="557EBE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6550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 </w:t>
      </w:r>
      <w:r w:rsidR="003355CF" w:rsidRPr="002F2FDF">
        <w:rPr>
          <w:rFonts w:ascii="Times New Roman" w:hAnsi="Times New Roman" w:cs="Times New Roman"/>
          <w:color w:val="000000" w:themeColor="text1"/>
          <w:kern w:val="2"/>
          <w:sz w:val="16"/>
          <w:szCs w:val="16"/>
        </w:rPr>
        <w:t xml:space="preserve">(17) </w:t>
      </w:r>
      <w:r w:rsidRPr="002F2FDF">
        <w:rPr>
          <w:rFonts w:ascii="Times New Roman" w:hAnsi="Times New Roman" w:cs="Times New Roman"/>
          <w:color w:val="000000" w:themeColor="text1"/>
          <w:kern w:val="2"/>
          <w:sz w:val="16"/>
          <w:szCs w:val="16"/>
        </w:rPr>
        <w:t>апреля 1917 самолёты с авиатранспортов "Александр I", "Николай I" и "Румыния" производили разведку пролива Босфора. В период 21-24 апреля авиатранспорт "Александр I" и эсминец "Лейтенант Зацаренный" прибыли в юго-восточный район моря в район Тиреболу. По просьбе командования Кавказской армии моряки и летчики произвели разведку и аэрофотосъемку турецких позиций (11933).</w:t>
      </w:r>
    </w:p>
    <w:p w14:paraId="1BBB24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7FE9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апреля 1917 решением Московского комитета РСДРП(б) создали Красную гвардию (3398,162).</w:t>
      </w:r>
    </w:p>
    <w:p w14:paraId="472029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E0284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D772F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7086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апреля 1917 состоялось выступление В.И.Л. перед большевиками с Апрельскими тезисами, в которых ставилась задача подготовки условий для соцреволюции (1348,84).</w:t>
      </w:r>
    </w:p>
    <w:p w14:paraId="07F56E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8A7E92" w14:textId="77777777" w:rsidR="00C65B05" w:rsidRPr="002F2FDF" w:rsidRDefault="00C65B05"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апреля в 1917 году В.И.Ленин выступил с докладом "О задачах пролетариата в данной революции" (более известном как "Апрельские тезисы"), в котором определил цели большевиков по захвату власти. Спустя шесть с небольшим месяцев власть была захвачена. А день рождения вдохновителя и организатора революции (отмечаемый на следующей неделе) на долгие десятилетия стал одним из главных праздников страны. Пятьдесят один год спустя Ленин спланировал перемену государственного строя без убийства императора</w:t>
      </w:r>
    </w:p>
    <w:p w14:paraId="75268F30" w14:textId="77777777" w:rsidR="00C65B05" w:rsidRPr="002F2FDF" w:rsidRDefault="00C65B05" w:rsidP="0083075A">
      <w:pPr>
        <w:spacing w:after="0" w:line="240" w:lineRule="auto"/>
        <w:jc w:val="both"/>
        <w:rPr>
          <w:rFonts w:ascii="Times New Roman" w:hAnsi="Times New Roman" w:cs="Times New Roman"/>
          <w:color w:val="000000" w:themeColor="text1"/>
          <w:kern w:val="2"/>
          <w:sz w:val="16"/>
          <w:szCs w:val="16"/>
        </w:rPr>
      </w:pPr>
    </w:p>
    <w:p w14:paraId="635010DB" w14:textId="77777777" w:rsidR="000C5E7E" w:rsidRPr="002F2FDF" w:rsidRDefault="000C5E7E" w:rsidP="0083075A">
      <w:pPr>
        <w:pStyle w:val="ae"/>
        <w:spacing w:before="0" w:after="0"/>
        <w:jc w:val="both"/>
        <w:rPr>
          <w:color w:val="000000" w:themeColor="text1"/>
          <w:kern w:val="2"/>
          <w:sz w:val="16"/>
          <w:szCs w:val="16"/>
        </w:rPr>
      </w:pPr>
      <w:r w:rsidRPr="002F2FDF">
        <w:rPr>
          <w:color w:val="000000" w:themeColor="text1"/>
          <w:kern w:val="2"/>
          <w:sz w:val="16"/>
          <w:szCs w:val="16"/>
        </w:rPr>
        <w:t>В ночь на 4 (17) апреля 1917 в Петрограде на собрании членов РСДРП(б) — «партии большевиков» — в конфискованном у балерины Матильды Кшесинской особняке на Большой Дворянской улице (в те дни в нем размещался ЦК РСДРП (б), его военная организация и редакции большевистских газет) Владимир Ленин обнародовал так называемые Апрельские тезисы — программу действий большевиков на ближайшее время:</w:t>
      </w:r>
    </w:p>
    <w:p w14:paraId="11A39B78" w14:textId="77777777" w:rsidR="000C5E7E" w:rsidRPr="002F2FDF" w:rsidRDefault="000C5E7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Резкая критика войны — «кончить войну истинно демократическим, не насильническим миром нельзя без свержения капитала»</w:t>
      </w:r>
    </w:p>
    <w:p w14:paraId="4C901260" w14:textId="77777777" w:rsidR="000C5E7E" w:rsidRPr="002F2FDF" w:rsidRDefault="000C5E7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«Буржуазная» Февральская революция — лишь «первый этап», за которым должна последовать «пролетарская»</w:t>
      </w:r>
    </w:p>
    <w:p w14:paraId="4E1DC72A" w14:textId="77777777" w:rsidR="000C5E7E" w:rsidRPr="002F2FDF" w:rsidRDefault="000C5E7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«Никакой поддержки Временному правительству»</w:t>
      </w:r>
    </w:p>
    <w:p w14:paraId="676E6B60" w14:textId="77777777" w:rsidR="000C5E7E" w:rsidRPr="002F2FDF" w:rsidRDefault="000C5E7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Партия большевиков «пока в меньшинстве», необходимо вести пропаганду среди рабочих и солдат</w:t>
      </w:r>
    </w:p>
    <w:p w14:paraId="121A28E8" w14:textId="77777777" w:rsidR="000C5E7E" w:rsidRPr="002F2FDF" w:rsidRDefault="000C5E7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Передача всей власти Советам рабочих и солдатских депутатов</w:t>
      </w:r>
    </w:p>
    <w:p w14:paraId="109FF665" w14:textId="77777777" w:rsidR="000C5E7E" w:rsidRPr="002F2FDF" w:rsidRDefault="000C5E7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Закон о земле — «национализация всех земель в стране»</w:t>
      </w:r>
    </w:p>
    <w:p w14:paraId="63BC3750" w14:textId="77777777" w:rsidR="000C5E7E" w:rsidRPr="002F2FDF" w:rsidRDefault="000C5E7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Банковская реформа — «национализация всех банков»</w:t>
      </w:r>
    </w:p>
    <w:p w14:paraId="46A2E1DC" w14:textId="77777777" w:rsidR="000C5E7E" w:rsidRPr="002F2FDF" w:rsidRDefault="000C5E7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Контроль Советов рабочих и солдатских депутатов за распределением и производством</w:t>
      </w:r>
    </w:p>
    <w:p w14:paraId="71BFA10A" w14:textId="77777777" w:rsidR="000C5E7E" w:rsidRPr="002F2FDF" w:rsidRDefault="000C5E7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Грядущее переименование большевистской партии в коммунистическую</w:t>
      </w:r>
    </w:p>
    <w:p w14:paraId="5F9200F4" w14:textId="77777777" w:rsidR="000C5E7E" w:rsidRPr="002F2FDF" w:rsidRDefault="000C5E7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Создание нового Интернационала из коммунистических партий разных стран</w:t>
      </w:r>
    </w:p>
    <w:p w14:paraId="7F3B8873" w14:textId="77777777" w:rsidR="000C5E7E" w:rsidRPr="002F2FDF" w:rsidRDefault="000C5E7E" w:rsidP="0083075A">
      <w:pPr>
        <w:pStyle w:val="ae"/>
        <w:spacing w:before="0" w:after="0"/>
        <w:jc w:val="both"/>
        <w:rPr>
          <w:color w:val="000000" w:themeColor="text1"/>
          <w:kern w:val="2"/>
          <w:sz w:val="16"/>
          <w:szCs w:val="16"/>
        </w:rPr>
      </w:pPr>
      <w:r w:rsidRPr="002F2FDF">
        <w:rPr>
          <w:color w:val="000000" w:themeColor="text1"/>
          <w:kern w:val="2"/>
          <w:sz w:val="16"/>
          <w:szCs w:val="16"/>
        </w:rPr>
        <w:t>Фактически, устами Ленина большевики, которые не составляли к апрелю 1917 года большинства даже в Советах, открыто заявили о намерении захватить власть в России. В тот же день, 17 апреля около полудня Ленин вновь огласил эти тезисы уже в Таврическом дворце — на собрании большевиков-участников Всероссийского совещания Советов рабочих и солдатских депутатов. Поддержки речь Ленина не получила никакой — даже член ЦК РСДРП(б) А.А. Богданов прервал его, крикнув: «Ведь это бред, это бред сумасшедшего!».</w:t>
      </w:r>
    </w:p>
    <w:p w14:paraId="29EE8EA0" w14:textId="77777777" w:rsidR="000C5E7E" w:rsidRPr="002F2FDF" w:rsidRDefault="000C5E7E" w:rsidP="0083075A">
      <w:pPr>
        <w:pStyle w:val="ae"/>
        <w:spacing w:before="0" w:after="0"/>
        <w:jc w:val="both"/>
        <w:rPr>
          <w:color w:val="000000" w:themeColor="text1"/>
          <w:kern w:val="2"/>
          <w:sz w:val="16"/>
          <w:szCs w:val="16"/>
        </w:rPr>
      </w:pPr>
      <w:r w:rsidRPr="002F2FDF">
        <w:rPr>
          <w:color w:val="000000" w:themeColor="text1"/>
          <w:kern w:val="2"/>
          <w:sz w:val="16"/>
          <w:szCs w:val="16"/>
        </w:rPr>
        <w:t>20 апреля «Апрельские тезисы» были опубликованы в газете «Правда». На следующий день с критикой ленинских тезисов в «Правде» выступил другой член ЦК РСДРП(б) Л.Б. Каменев. В статье «Наши разногласия» он отстаивал тезис, что буржуазно-демократическая революция в России еще не завершилась, и, соответственно, время для социалистической революции не пришло (17045).</w:t>
      </w:r>
    </w:p>
    <w:p w14:paraId="3FE26ADD" w14:textId="77777777" w:rsidR="000C5E7E" w:rsidRPr="002F2FDF" w:rsidRDefault="000C5E7E"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2A78D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апреля 1917 председателем Украинской социал-демократической рабочей партии избран писатель В. Винниченко (4962).</w:t>
      </w:r>
    </w:p>
    <w:p w14:paraId="346B117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8B07F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12BC2A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BCFF70" w14:textId="77777777" w:rsidR="00106883" w:rsidRPr="002F2FDF" w:rsidRDefault="0010688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апреля 1917 г. Ленин в Таврическом дворце читает «Апрельские тезисы»</w:t>
      </w:r>
      <w:r w:rsidR="00362E42" w:rsidRPr="002F2FDF">
        <w:rPr>
          <w:rFonts w:ascii="Times New Roman" w:hAnsi="Times New Roman" w:cs="Times New Roman"/>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на другой день после возвращения в Россию, на собрании большевиков, а затем на совместном заседании большевиков и меньшевиков — делегатов Всеросс. совещания Советов рабочих и солдатских депутатов</w:t>
      </w:r>
      <w:r w:rsidRPr="002F2FDF">
        <w:rPr>
          <w:rFonts w:ascii="Times New Roman" w:hAnsi="Times New Roman" w:cs="Times New Roman"/>
          <w:color w:val="000000" w:themeColor="text1"/>
          <w:kern w:val="2"/>
          <w:sz w:val="16"/>
          <w:szCs w:val="16"/>
        </w:rPr>
        <w:t xml:space="preserve"> (17326).</w:t>
      </w:r>
    </w:p>
    <w:p w14:paraId="08A0636D" w14:textId="77777777" w:rsidR="00106883" w:rsidRPr="002F2FDF" w:rsidRDefault="0010688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130A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апреля 1917 вышла нота Милюкова правительствам Антанты о верности России союзническим обязательствам и продолжении войны (3481).</w:t>
      </w:r>
    </w:p>
    <w:p w14:paraId="5177D9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D61023" w14:textId="77777777"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4 (17) апреля</w:t>
      </w:r>
      <w:r w:rsidRPr="002F2FDF">
        <w:rPr>
          <w:rFonts w:ascii="Times New Roman" w:hAnsi="Times New Roman" w:cs="Times New Roman"/>
          <w:color w:val="000000" w:themeColor="text1"/>
          <w:kern w:val="2"/>
          <w:sz w:val="16"/>
          <w:szCs w:val="16"/>
        </w:rPr>
        <w:t xml:space="preserve"> в 1917 году министр иностранных дел Временного правительства П.Милюков объявляет о внешних целях России в ходе войны: создание Чехословакии, Югославии, воссоединение украинских земель Австро-Венгрии с Россией и обладание Константинополем и Босфорским проливом (15089).</w:t>
      </w:r>
    </w:p>
    <w:p w14:paraId="18360F25" w14:textId="77777777"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p>
    <w:p w14:paraId="6CEFBECD" w14:textId="77777777"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4 (17) апреля 1917</w:t>
      </w:r>
      <w:r w:rsidRPr="002F2FDF">
        <w:rPr>
          <w:rFonts w:ascii="Times New Roman" w:hAnsi="Times New Roman" w:cs="Times New Roman"/>
          <w:color w:val="000000" w:themeColor="text1"/>
          <w:kern w:val="2"/>
          <w:sz w:val="16"/>
          <w:szCs w:val="16"/>
        </w:rPr>
        <w:t xml:space="preserve"> г. Телеграмма поверенного в делах России в Англии К.Д. Набокова П.Н. Милюкову о причинах задержки английским правительством кредитов и военных поставок для русской армии.</w:t>
      </w:r>
    </w:p>
    <w:p w14:paraId="4477BFCD" w14:textId="3D0E9F1A"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475</w:t>
      </w:r>
    </w:p>
    <w:p w14:paraId="4105E2BB" w14:textId="47D84E0A" w:rsidR="00C41520" w:rsidRPr="002F2FDF" w:rsidRDefault="00C4152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Канцелярии, д. 3, т. 1, л. 217. Копия.</w:t>
      </w:r>
    </w:p>
    <w:p w14:paraId="19D7EFCF"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Ссылаюсь на вашу телеграмму № 1447.</w:t>
      </w:r>
      <w:hyperlink r:id="rId110" w:anchor="_ftn1" w:history="1">
        <w:r w:rsidRPr="002F2FDF">
          <w:rPr>
            <w:rStyle w:val="a5"/>
            <w:color w:val="000000" w:themeColor="text1"/>
            <w:kern w:val="2"/>
            <w:sz w:val="16"/>
            <w:szCs w:val="16"/>
          </w:rPr>
          <w:t>[1]</w:t>
        </w:r>
      </w:hyperlink>
    </w:p>
    <w:p w14:paraId="0C17A3CE" w14:textId="77777777" w:rsidR="00C41520" w:rsidRPr="002F2FDF" w:rsidRDefault="00C41520" w:rsidP="0083075A">
      <w:pPr>
        <w:pStyle w:val="rtejustify"/>
        <w:spacing w:before="0" w:after="0"/>
        <w:rPr>
          <w:color w:val="000000" w:themeColor="text1"/>
          <w:kern w:val="2"/>
          <w:sz w:val="16"/>
          <w:szCs w:val="16"/>
        </w:rPr>
      </w:pPr>
      <w:r w:rsidRPr="002F2FDF">
        <w:rPr>
          <w:color w:val="000000" w:themeColor="text1"/>
          <w:kern w:val="2"/>
          <w:sz w:val="16"/>
          <w:szCs w:val="16"/>
        </w:rPr>
        <w:t>В связи с телеграммой ген. Гермониуса военному министру о причинах колебаний здешнего правительства и задержек в разрешении нам кредитов и поставок считаю долгом высказать нижеследующие соображения. Последняя декларация Временного правительства</w:t>
      </w:r>
      <w:hyperlink r:id="rId111" w:anchor="_ftn2" w:history="1">
        <w:r w:rsidRPr="002F2FDF">
          <w:rPr>
            <w:rStyle w:val="a5"/>
            <w:color w:val="000000" w:themeColor="text1"/>
            <w:kern w:val="2"/>
            <w:sz w:val="16"/>
            <w:szCs w:val="16"/>
          </w:rPr>
          <w:t>[2]</w:t>
        </w:r>
      </w:hyperlink>
      <w:r w:rsidRPr="002F2FDF">
        <w:rPr>
          <w:color w:val="000000" w:themeColor="text1"/>
          <w:kern w:val="2"/>
          <w:sz w:val="16"/>
          <w:szCs w:val="16"/>
        </w:rPr>
        <w:t xml:space="preserve"> не вполне рассеяла опасения здешнего правительства и печати в том, что совершившийся в России переворот, идейно сблизивший ее с союзниками, в то же время вызвал различие во взглядах на практические последствия победы, которая будет одержана общими силами. Наряду с заявлением о «полном соблюдении обязательств» декларация содержит указание на то, что Россия «не лишит народы их национального достояния и не займет силою иностранной территории». В этом заявлении правительство и почать усматривают отказ от прав на Константинополь и иные территориальные приобретения, выговоренные соглашением, и указание на готовность России заключить «мир без аннексий». Между тем представляется несомненным, что ни Англия, ни Франция, ни Италия не могут принять этого принципа и отказаться от сохранения за собою земель, уже завоеванных, или тех, которые они хотят оставить за собой по мирному договору. Я воздерживаюсь от официальных заявлений; в объяснениях же моих со здешними представителями прессы и общественного мнения буду руководствоваться вашими указаниями; весьма желательно было бы иметь подлинный русский текст декларации. То, что русские левые партии называют вашим «империализмом», толкуется здесь как подлинно государственная точка зрения на истинные жизненные интересы России. Но я не могу не высказать убеждения, что только вполне определенное заявление правительства о том, что Россия твердо намерена в согласии с союзниками обеспечить безопасность Черного моря и свободный выход через проливы, сможет вселить уверенность, что принцип «мира без аннексий» принимается нами не безусловно, поскольку не противоречит нашим жизненным интересам.</w:t>
      </w:r>
    </w:p>
    <w:p w14:paraId="01F3D3E1" w14:textId="77777777" w:rsidR="00C41520" w:rsidRPr="002F2FDF" w:rsidRDefault="00C41520" w:rsidP="0083075A">
      <w:pPr>
        <w:pStyle w:val="ae"/>
        <w:spacing w:before="0" w:after="0"/>
        <w:jc w:val="both"/>
        <w:rPr>
          <w:color w:val="000000" w:themeColor="text1"/>
          <w:kern w:val="2"/>
          <w:sz w:val="16"/>
          <w:szCs w:val="16"/>
        </w:rPr>
      </w:pPr>
      <w:r w:rsidRPr="002F2FDF">
        <w:rPr>
          <w:color w:val="000000" w:themeColor="text1"/>
          <w:kern w:val="2"/>
          <w:sz w:val="16"/>
          <w:szCs w:val="16"/>
        </w:rPr>
        <w:t>Набоков.</w:t>
      </w:r>
    </w:p>
    <w:p w14:paraId="02142181" w14:textId="77777777" w:rsidR="00C41520" w:rsidRPr="002F2FDF" w:rsidRDefault="00000000" w:rsidP="0083075A">
      <w:pPr>
        <w:pStyle w:val="ae"/>
        <w:spacing w:before="0" w:after="0"/>
        <w:jc w:val="both"/>
        <w:rPr>
          <w:color w:val="000000" w:themeColor="text1"/>
          <w:kern w:val="2"/>
          <w:sz w:val="16"/>
          <w:szCs w:val="16"/>
        </w:rPr>
      </w:pPr>
      <w:hyperlink r:id="rId112" w:anchor="_ftnref1" w:history="1">
        <w:r w:rsidR="00C41520" w:rsidRPr="002F2FDF">
          <w:rPr>
            <w:rStyle w:val="a5"/>
            <w:color w:val="000000" w:themeColor="text1"/>
            <w:kern w:val="2"/>
            <w:sz w:val="16"/>
            <w:szCs w:val="16"/>
          </w:rPr>
          <w:t>[1]</w:t>
        </w:r>
      </w:hyperlink>
      <w:r w:rsidR="00C41520" w:rsidRPr="002F2FDF">
        <w:rPr>
          <w:color w:val="000000" w:themeColor="text1"/>
          <w:kern w:val="2"/>
          <w:sz w:val="16"/>
          <w:szCs w:val="16"/>
        </w:rPr>
        <w:t xml:space="preserve"> Телеграмма не найдена</w:t>
      </w:r>
    </w:p>
    <w:p w14:paraId="5955FF45" w14:textId="77777777" w:rsidR="00C41520" w:rsidRPr="002F2FDF" w:rsidRDefault="00000000" w:rsidP="0083075A">
      <w:pPr>
        <w:pStyle w:val="ae"/>
        <w:spacing w:before="0" w:after="0"/>
        <w:jc w:val="both"/>
        <w:rPr>
          <w:color w:val="000000" w:themeColor="text1"/>
          <w:kern w:val="2"/>
          <w:sz w:val="16"/>
          <w:szCs w:val="16"/>
        </w:rPr>
      </w:pPr>
      <w:hyperlink r:id="rId113" w:anchor="_ftnref2" w:history="1">
        <w:r w:rsidR="00C41520" w:rsidRPr="002F2FDF">
          <w:rPr>
            <w:rStyle w:val="a5"/>
            <w:color w:val="000000" w:themeColor="text1"/>
            <w:kern w:val="2"/>
            <w:sz w:val="16"/>
            <w:szCs w:val="16"/>
          </w:rPr>
          <w:t>[2]</w:t>
        </w:r>
      </w:hyperlink>
      <w:r w:rsidR="00C41520" w:rsidRPr="002F2FDF">
        <w:rPr>
          <w:color w:val="000000" w:themeColor="text1"/>
          <w:kern w:val="2"/>
          <w:sz w:val="16"/>
          <w:szCs w:val="16"/>
        </w:rPr>
        <w:t xml:space="preserve"> Имеется в виду декларация Временного правительства от 27 марта (15215).</w:t>
      </w:r>
    </w:p>
    <w:p w14:paraId="532EEDC0" w14:textId="77777777" w:rsidR="00C41520" w:rsidRPr="002F2FDF" w:rsidRDefault="00C41520"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4A63C25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022F9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3CEE11" w14:textId="5BE2930B" w:rsidR="00C76C8C" w:rsidRPr="002F2FDF" w:rsidRDefault="00C76C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4 </w:t>
      </w:r>
      <w:r w:rsidR="00FD5EDA">
        <w:rPr>
          <w:rFonts w:ascii="Times New Roman" w:hAnsi="Times New Roman" w:cs="Times New Roman"/>
          <w:color w:val="000000" w:themeColor="text1"/>
          <w:sz w:val="16"/>
          <w:szCs w:val="16"/>
        </w:rPr>
        <w:t xml:space="preserve">(17) </w:t>
      </w:r>
      <w:r w:rsidRPr="002F2FDF">
        <w:rPr>
          <w:rFonts w:ascii="Times New Roman" w:hAnsi="Times New Roman" w:cs="Times New Roman"/>
          <w:color w:val="000000" w:themeColor="text1"/>
          <w:sz w:val="16"/>
          <w:szCs w:val="16"/>
        </w:rPr>
        <w:t>апреля 1917 года — первый полёт истребителя</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SPAD S.XIII.</w:t>
      </w:r>
    </w:p>
    <w:p w14:paraId="7F85CC93" w14:textId="207C1C75" w:rsidR="00C76C8C" w:rsidRPr="002F2FDF" w:rsidRDefault="00C76C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Создан инженером</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Луи Бешеро</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как дальнейшее развитие</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S.VII. Именно седьмая модель стала родоначальником серии успешных истребителей-бипланов, выпускавшихся компанией</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Société Pour L'Aviation et ses Dérivés</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(SPAD) во время Первой мировой войны.</w:t>
      </w:r>
    </w:p>
    <w:p w14:paraId="4B0631C4" w14:textId="353F7B57" w:rsidR="00C76C8C" w:rsidRPr="002F2FDF" w:rsidRDefault="00C76C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своего предшественника S.XIII отличался прежде всего большими размерами, формой руля направления и более мощным двигателем. В остальном это был всё тот же типичный для тех лет биплан. Вооружение состояло из</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2 × 7,7-мм пулемётов Vickers</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(или Marlin M1917 для ВВС США).</w:t>
      </w:r>
    </w:p>
    <w:p w14:paraId="47B00A8A" w14:textId="306903FD" w:rsidR="00C76C8C" w:rsidRPr="002F2FDF" w:rsidRDefault="00C76C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SPAD S.XIII был выпущен внушительной серией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8472</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самолёта. Кроме французских, стоял на вооружении ВВС</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Великобритании,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Бельгии,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Италии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США. Именно на S.XIII летал</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Эдди Рикенбакер</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самый результативный американский ас Первой мировой, одержавший</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26</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воздушных побед. В Национальном музее Военно-воздушных сил США можно увидеть сохранившийся SPAD S.XIII, окрашенный в цвета самолёта Рикенбакера (22300).</w:t>
      </w:r>
    </w:p>
    <w:p w14:paraId="47911DE9" w14:textId="77777777" w:rsidR="00C76C8C" w:rsidRPr="002F2FDF" w:rsidRDefault="00C76C8C" w:rsidP="0083075A">
      <w:pPr>
        <w:spacing w:after="0" w:line="240" w:lineRule="auto"/>
        <w:jc w:val="both"/>
        <w:rPr>
          <w:rFonts w:ascii="Times New Roman" w:hAnsi="Times New Roman" w:cs="Times New Roman"/>
          <w:color w:val="000000" w:themeColor="text1"/>
          <w:sz w:val="16"/>
          <w:szCs w:val="16"/>
        </w:rPr>
      </w:pPr>
    </w:p>
    <w:p w14:paraId="08D2BC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апреля 1917 Английское бюро авиации доложило, что "увеличение выпуска аэропланов улучшенного типа обеспечено. Ежемесячный выпуск авиамоторов почти в два с половиной раза превысит цифры 1916 г., а за четыре месяца (июль-октябрь) мы получим в три с половиной раза больше машин, чем за весь 1916 г." (11999).</w:t>
      </w:r>
    </w:p>
    <w:p w14:paraId="178B88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1300D0" w14:textId="77777777" w:rsidR="00C65B05" w:rsidRPr="002F2FDF" w:rsidRDefault="00C65B05"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апреля в 1917 году немецкий истребитель «Friedrichshafen» «FF.43» пустила на слом, как не прошедший испытания в «Seeflugzeug Versuchs Kommando» (15102).</w:t>
      </w:r>
    </w:p>
    <w:p w14:paraId="77132086" w14:textId="77777777" w:rsidR="00C65B05" w:rsidRPr="002F2FDF" w:rsidRDefault="00C65B05" w:rsidP="0083075A">
      <w:pPr>
        <w:spacing w:after="0" w:line="240" w:lineRule="auto"/>
        <w:jc w:val="both"/>
        <w:rPr>
          <w:rFonts w:ascii="Times New Roman" w:hAnsi="Times New Roman" w:cs="Times New Roman"/>
          <w:color w:val="000000" w:themeColor="text1"/>
          <w:kern w:val="2"/>
          <w:sz w:val="16"/>
          <w:szCs w:val="16"/>
        </w:rPr>
      </w:pPr>
    </w:p>
    <w:p w14:paraId="33D3A346" w14:textId="4A903C6F" w:rsidR="000C5E7E" w:rsidRPr="002F2FDF" w:rsidRDefault="000C5E7E" w:rsidP="0083075A">
      <w:pPr>
        <w:pStyle w:val="ae"/>
        <w:spacing w:before="0" w:after="0"/>
        <w:jc w:val="both"/>
        <w:rPr>
          <w:color w:val="000000" w:themeColor="text1"/>
          <w:kern w:val="2"/>
          <w:sz w:val="16"/>
          <w:szCs w:val="16"/>
        </w:rPr>
      </w:pPr>
      <w:r w:rsidRPr="002F2FDF">
        <w:rPr>
          <w:color w:val="000000" w:themeColor="text1"/>
          <w:kern w:val="2"/>
          <w:sz w:val="16"/>
          <w:szCs w:val="16"/>
        </w:rPr>
        <w:t>4 (17) апреля 1917 4-я французская армия под командованием генерала Антона атаковала германские позиции на 11-километровом фронте. В первый день французы продвинулись всего на 2,5 километра вглубь вражеской территории, к 23 апреля — до 5-6 километров, и то лишь на некоторых участках. Наступавшие взяли в плен более 6 тысяч немцев, захватили 52 орудия, 42 мортиры и 103 пулемета. Потери французской армии всего за 5 дней боев составили более 21</w:t>
      </w:r>
      <w:r w:rsidR="00E52569">
        <w:rPr>
          <w:color w:val="000000" w:themeColor="text1"/>
          <w:kern w:val="2"/>
          <w:sz w:val="16"/>
          <w:szCs w:val="16"/>
        </w:rPr>
        <w:t xml:space="preserve"> </w:t>
      </w:r>
      <w:r w:rsidRPr="002F2FDF">
        <w:rPr>
          <w:color w:val="000000" w:themeColor="text1"/>
          <w:kern w:val="2"/>
          <w:sz w:val="16"/>
          <w:szCs w:val="16"/>
        </w:rPr>
        <w:t>тысячи убитыми и ранеными. Решительного успеха наступление не принесло, немецкие части организованно отступили на следующий рубеж Линии Зигфрида — мощного укрепрайона протяженностью 160 километров, возведенной немцами на севере Франции (17045).</w:t>
      </w:r>
    </w:p>
    <w:p w14:paraId="592B922A" w14:textId="77777777" w:rsidR="000C5E7E" w:rsidRPr="002F2FDF" w:rsidRDefault="000C5E7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9338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апреля 1917 на ЗФ начались волнения во французской армии, которые достигли кульминации 29 апреля и продолжались до августа (3907,90).</w:t>
      </w:r>
    </w:p>
    <w:p w14:paraId="65D8B4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8C3591" w14:textId="77777777" w:rsidR="000C5E7E" w:rsidRPr="002F2FDF" w:rsidRDefault="000C5E7E" w:rsidP="0083075A">
      <w:pPr>
        <w:pStyle w:val="ae"/>
        <w:spacing w:before="0" w:after="0"/>
        <w:jc w:val="both"/>
        <w:rPr>
          <w:color w:val="000000" w:themeColor="text1"/>
          <w:kern w:val="2"/>
          <w:sz w:val="16"/>
          <w:szCs w:val="16"/>
        </w:rPr>
      </w:pPr>
      <w:r w:rsidRPr="002F2FDF">
        <w:rPr>
          <w:color w:val="000000" w:themeColor="text1"/>
          <w:kern w:val="2"/>
          <w:sz w:val="16"/>
          <w:szCs w:val="16"/>
        </w:rPr>
        <w:t>4 (17) апреля 1917 британские части вновь попытались взять штурмом турецкие позиции в окрестностях города Газа, что открыло бы им дорогу в Палестину. Однако за два дня ожесточенных боев им так и не удалось продвинуться, все атаки были отбиты. Общие потери британцев при этом составили более 6 тысяч солдат и офицеров, турки же потеряли не более 2 тысяч человек. Английское командование долгое время потом скрывало от публики истинные масштабы этого поражения. После него британцы до сентября 1917 года не предпринимали наступательных действий на Палестинском фронте (17045).</w:t>
      </w:r>
    </w:p>
    <w:p w14:paraId="2EEFD717" w14:textId="77777777" w:rsidR="000C5E7E" w:rsidRPr="002F2FDF" w:rsidRDefault="000C5E7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1B57E9" w14:textId="77777777" w:rsidR="005D5D55" w:rsidRPr="002F2FDF" w:rsidRDefault="005D5D5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lastRenderedPageBreak/>
        <w:t>4 (17) апреля 1917 г. в проливе Отранто пропала без вести австрийская подлодка U-30 (17326).</w:t>
      </w:r>
    </w:p>
    <w:p w14:paraId="2E085538" w14:textId="77777777" w:rsidR="005D5D55" w:rsidRPr="002F2FDF" w:rsidRDefault="005D5D5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BA1B7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EBB66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4D0D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5 </w:t>
      </w:r>
      <w:r w:rsidR="003355CF" w:rsidRPr="002F2FDF">
        <w:rPr>
          <w:rFonts w:ascii="Times New Roman" w:hAnsi="Times New Roman" w:cs="Times New Roman"/>
          <w:color w:val="000000" w:themeColor="text1"/>
          <w:kern w:val="2"/>
          <w:sz w:val="16"/>
          <w:szCs w:val="16"/>
        </w:rPr>
        <w:t xml:space="preserve">(18) </w:t>
      </w:r>
      <w:r w:rsidRPr="002F2FDF">
        <w:rPr>
          <w:rFonts w:ascii="Times New Roman" w:hAnsi="Times New Roman" w:cs="Times New Roman"/>
          <w:color w:val="000000" w:themeColor="text1"/>
          <w:kern w:val="2"/>
          <w:sz w:val="16"/>
          <w:szCs w:val="16"/>
        </w:rPr>
        <w:t>апреля 1917 г., сдав командование эскадрой полковнику Горшкову, Михаил Владимирович собрал личный состав эскадры и тепло попрощался с людьми, с которыми столько было сделано для славы России. Вместе с опальным генералом в столицу отбыл и И. И. Сикорский. Усилиями М. В. Шидловского и его помощников бывший семенной завод на окраине Винницы превратился в надежную и хорошо организованную базу обеспечения стратегической авиации. Мастерские Винницкой базы эскадры могли не только осуществлять необходимый ремонт и вносить изменения в конструкцию самолетов, но даже собирать новые из поступавших с завода деталей. Предполагалось, что по окончании войны Винницкая база эскадры превратится в крупное авиаремонтное предприятие военно-воздушного флота России. Однако этим планам также не суждено было сбыться. После февральской революции 1917 г. положение в стране постепенно стало меняться. Усилился накал политической борьбы, отголоски которой ощущались и в армии. Военным министром Временного правительства стал московский миллионер Гучков — личный враг генерала Шидловского. Если при “царском режиме” недоброжелателем властного, энергичного и талантливого Шидловского был августейший генерал-инспектор, который соблюдал необходимые приличия, то при новой власти им стал один из лидеров “российских демократов”. Этот не церемонился. Вскоре М. В. Шидловский был обвинен во всех смертных грехах, смещен с поста командира эскадры и отозван в Петроград. Приняв командование эскадрой. Горшков назначил своим заместителем А. В. Панкратьева, а командиром третьего боевого отряда — гвардии капитана С. Н. Никольского. Вскоре после отъезда Шидловского при загадочных обстоятельствах погиб экипаж боевого командира, прекрасного летчика старшего лейтенанта Лаврова. Во главе отряда был поставлен ротмистр А. В. Середницкий. Командиром же “Муромца” № 1 стал поручик Плешаков. Боевые действия с перерывами, но все же продолжались (11196).</w:t>
      </w:r>
    </w:p>
    <w:p w14:paraId="5501E5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B6DCEF" w14:textId="246E0D4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5 </w:t>
      </w:r>
      <w:r>
        <w:rPr>
          <w:rFonts w:ascii="Times New Roman" w:hAnsi="Times New Roman" w:cs="Times New Roman"/>
          <w:color w:val="0070C0"/>
          <w:sz w:val="16"/>
          <w:szCs w:val="16"/>
        </w:rPr>
        <w:t xml:space="preserve">(18) </w:t>
      </w:r>
      <w:r w:rsidRPr="00FB4F67">
        <w:rPr>
          <w:rFonts w:ascii="Times New Roman" w:hAnsi="Times New Roman" w:cs="Times New Roman"/>
          <w:color w:val="0070C0"/>
          <w:sz w:val="16"/>
          <w:szCs w:val="16"/>
        </w:rPr>
        <w:t>ап</w:t>
      </w:r>
      <w:r w:rsidRPr="00FB4F67">
        <w:rPr>
          <w:rFonts w:ascii="Times New Roman" w:hAnsi="Times New Roman" w:cs="Times New Roman"/>
          <w:color w:val="0070C0"/>
          <w:sz w:val="16"/>
          <w:szCs w:val="16"/>
        </w:rPr>
        <w:softHyphen/>
        <w:t>реля 1917 г. М. В. Шидловский, обвиненный во всех смертных грехах, смещенный с поста командира эскадры и отозванный в Петроград, сдал командование эскадрой полковнику Горшкову. Михаил Владимирович собрал личный состав эскадры и тепло попрощался с людьми, с которыми столько было сделано для славы России. Вместе с опальным генералом в столицу отбыл и И. И. Сикорский.</w:t>
      </w:r>
    </w:p>
    <w:p w14:paraId="37469038"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Приняв командование эскадрой, Горшков назначил своим заместителем А. В. Панкратьева, а командиром третьего боевого отряда — гвардии капитана С. Н. Ни</w:t>
      </w:r>
      <w:r w:rsidRPr="00FB4F67">
        <w:rPr>
          <w:rFonts w:ascii="Times New Roman" w:hAnsi="Times New Roman" w:cs="Times New Roman"/>
          <w:color w:val="0070C0"/>
          <w:sz w:val="16"/>
          <w:szCs w:val="16"/>
        </w:rPr>
        <w:softHyphen/>
        <w:t>кольского. Вскоре после отъезда Шидловского при за</w:t>
      </w:r>
      <w:r w:rsidRPr="00FB4F67">
        <w:rPr>
          <w:rFonts w:ascii="Times New Roman" w:hAnsi="Times New Roman" w:cs="Times New Roman"/>
          <w:color w:val="0070C0"/>
          <w:sz w:val="16"/>
          <w:szCs w:val="16"/>
        </w:rPr>
        <w:softHyphen/>
        <w:t>гадочных обстоятельствах погиб экипаж боевого ко</w:t>
      </w:r>
      <w:r w:rsidRPr="00FB4F67">
        <w:rPr>
          <w:rFonts w:ascii="Times New Roman" w:hAnsi="Times New Roman" w:cs="Times New Roman"/>
          <w:color w:val="0070C0"/>
          <w:sz w:val="16"/>
          <w:szCs w:val="16"/>
        </w:rPr>
        <w:softHyphen/>
        <w:t>мандира, прекрасного летчика старшего лейтенанта Лаврова. Во главе отряда был поставлен ротмистр А. В. Середницкий. Командиром же «Муромца» № 1 стал поручик Плешаков. Боевые действия с перерыва</w:t>
      </w:r>
      <w:r w:rsidRPr="00FB4F67">
        <w:rPr>
          <w:rFonts w:ascii="Times New Roman" w:hAnsi="Times New Roman" w:cs="Times New Roman"/>
          <w:color w:val="0070C0"/>
          <w:sz w:val="16"/>
          <w:szCs w:val="16"/>
        </w:rPr>
        <w:softHyphen/>
        <w:t>ми, но все же продолжались (24177).</w:t>
      </w:r>
    </w:p>
    <w:p w14:paraId="2917948E" w14:textId="77777777" w:rsidR="00CE28D1" w:rsidRPr="00FB4F67" w:rsidRDefault="00CE28D1" w:rsidP="0083075A">
      <w:pPr>
        <w:spacing w:after="0" w:line="240" w:lineRule="auto"/>
        <w:jc w:val="both"/>
        <w:rPr>
          <w:rFonts w:ascii="Times New Roman" w:hAnsi="Times New Roman" w:cs="Times New Roman"/>
          <w:color w:val="0070C0"/>
          <w:sz w:val="16"/>
          <w:szCs w:val="16"/>
        </w:rPr>
      </w:pPr>
    </w:p>
    <w:p w14:paraId="08AAC7C2" w14:textId="39494F28"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5 </w:t>
      </w:r>
      <w:r>
        <w:rPr>
          <w:rFonts w:ascii="Times New Roman" w:hAnsi="Times New Roman" w:cs="Times New Roman"/>
          <w:color w:val="0070C0"/>
          <w:sz w:val="16"/>
          <w:szCs w:val="16"/>
        </w:rPr>
        <w:t xml:space="preserve">(18) </w:t>
      </w:r>
      <w:r w:rsidRPr="00FB4F67">
        <w:rPr>
          <w:rFonts w:ascii="Times New Roman" w:hAnsi="Times New Roman" w:cs="Times New Roman"/>
          <w:color w:val="0070C0"/>
          <w:sz w:val="16"/>
          <w:szCs w:val="16"/>
        </w:rPr>
        <w:t>апреля 1917 г. при отражении налета германо-турецкой авиации на наши военные корабли в южной части Черного моря (район Босфора) силами летающих лодок была создана их надежная воздушная защита.</w:t>
      </w:r>
    </w:p>
    <w:p w14:paraId="1ABE0B7C" w14:textId="77777777" w:rsidR="00CE28D1" w:rsidRPr="00FB4F67" w:rsidRDefault="00CE28D1" w:rsidP="0083075A">
      <w:pPr>
        <w:spacing w:after="0" w:line="240" w:lineRule="auto"/>
        <w:jc w:val="both"/>
        <w:rPr>
          <w:rFonts w:ascii="Times New Roman" w:hAnsi="Times New Roman" w:cs="Times New Roman"/>
          <w:color w:val="0070C0"/>
          <w:sz w:val="16"/>
          <w:szCs w:val="16"/>
        </w:rPr>
      </w:pPr>
      <w:bookmarkStart w:id="75" w:name="bookmark737"/>
      <w:r w:rsidRPr="00FB4F67">
        <w:rPr>
          <w:rFonts w:ascii="Times New Roman" w:hAnsi="Times New Roman" w:cs="Times New Roman"/>
          <w:color w:val="0070C0"/>
          <w:sz w:val="16"/>
          <w:szCs w:val="16"/>
        </w:rPr>
        <w:t>Один из наших летательных аппаратов «под управлением морского прапорщика [И.И.]Кулевича, имея наблюдателем поручика [Н.]Остроградского, выдержал шесть воздушных боев; несмотря на полученные после третьей стычки повреждения мотора неприятельскими пулями, аппарат продолжал оставаться в воздухе и еще три раза отогнал неприятельский аэроплан, пытавшийся приблизиться к нашим судам; всего этот аппарат получил 28 пулевых пробоин». Позднее за свой подвиг летчики были удостоены ордена Святого Георгия IV степени (23406).</w:t>
      </w:r>
      <w:bookmarkEnd w:id="75"/>
    </w:p>
    <w:p w14:paraId="07CB5BC2" w14:textId="77777777" w:rsidR="00CE28D1" w:rsidRPr="00FB4F67" w:rsidRDefault="00CE28D1" w:rsidP="0083075A">
      <w:pPr>
        <w:spacing w:after="0" w:line="240" w:lineRule="auto"/>
        <w:jc w:val="both"/>
        <w:rPr>
          <w:rFonts w:ascii="Times New Roman" w:hAnsi="Times New Roman" w:cs="Times New Roman"/>
          <w:color w:val="0070C0"/>
          <w:sz w:val="16"/>
          <w:szCs w:val="16"/>
        </w:rPr>
      </w:pPr>
    </w:p>
    <w:p w14:paraId="44C99C9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58A46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B3BC1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апреля 1917 вернувшийся из эмиграции Ленин вошел в редакцию газеты “Правда” (4962).</w:t>
      </w:r>
    </w:p>
    <w:p w14:paraId="1E44771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9A2717" w14:textId="01043A3E" w:rsidR="004F0CD1" w:rsidRPr="002F2FDF" w:rsidRDefault="004F0CD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w:t>
      </w:r>
      <w:r w:rsidR="00FD5EDA">
        <w:rPr>
          <w:rFonts w:ascii="Times New Roman" w:hAnsi="Times New Roman" w:cs="Times New Roman"/>
          <w:color w:val="000000" w:themeColor="text1"/>
          <w:sz w:val="16"/>
          <w:szCs w:val="16"/>
        </w:rPr>
        <w:t>1</w:t>
      </w:r>
      <w:r w:rsidRPr="002F2FDF">
        <w:rPr>
          <w:rFonts w:ascii="Times New Roman" w:hAnsi="Times New Roman" w:cs="Times New Roman"/>
          <w:color w:val="000000" w:themeColor="text1"/>
          <w:sz w:val="16"/>
          <w:szCs w:val="16"/>
        </w:rPr>
        <w:t>8) апреля 1917 г. был подписан и нотариально заверен договор, по которому Е.</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Д.</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Стасова, А.</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Е.</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Бадаев, 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А.</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Теодорович,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Ульянов, 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Джугашвили, Е.</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А.</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Радомысльский, П.</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Стучка, К.</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М.</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Шведчиков учреждали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Петрограде товарищество «Рабочая печать» для выпуска периодической 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непериодической печати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России. Уставной капитал товарищества составлял 200 тыс. руб. Это свидетельствует о</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попытке большевиков решить проблемы, связанные с</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выпуском периодических изданий, легальными средствами (19544).</w:t>
      </w:r>
    </w:p>
    <w:p w14:paraId="0BDA86DC" w14:textId="77777777" w:rsidR="004F0CD1" w:rsidRPr="002F2FDF" w:rsidRDefault="004F0CD1" w:rsidP="0083075A">
      <w:pPr>
        <w:spacing w:after="0" w:line="240" w:lineRule="auto"/>
        <w:jc w:val="both"/>
        <w:rPr>
          <w:rFonts w:ascii="Times New Roman" w:hAnsi="Times New Roman" w:cs="Times New Roman"/>
          <w:color w:val="000000" w:themeColor="text1"/>
          <w:sz w:val="16"/>
          <w:szCs w:val="16"/>
        </w:rPr>
      </w:pPr>
    </w:p>
    <w:p w14:paraId="59744FCE" w14:textId="77777777" w:rsidR="005D5D55" w:rsidRPr="002F2FDF" w:rsidRDefault="005D5D55"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 xml:space="preserve">5 (18) апреля 1917 г. караульный делает замечание полковнику Романову. </w:t>
      </w:r>
      <w:r w:rsidRPr="002F2FDF">
        <w:rPr>
          <w:rFonts w:ascii="Times New Roman" w:eastAsia="Times New Roman" w:hAnsi="Times New Roman" w:cs="Times New Roman"/>
          <w:bCs/>
          <w:iCs/>
          <w:color w:val="000000" w:themeColor="text1"/>
          <w:kern w:val="2"/>
          <w:sz w:val="16"/>
          <w:szCs w:val="16"/>
          <w:lang w:eastAsia="ru-RU"/>
        </w:rPr>
        <w:t>П.Жильяр «Император Николай II и его семья», Вена, 1921, М., «МАДА», 1991:</w:t>
      </w:r>
    </w:p>
    <w:p w14:paraId="5E268047" w14:textId="77777777" w:rsidR="005D5D55" w:rsidRPr="002F2FDF" w:rsidRDefault="005D5D55"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bCs/>
          <w:color w:val="000000" w:themeColor="text1"/>
          <w:kern w:val="2"/>
          <w:sz w:val="16"/>
          <w:szCs w:val="16"/>
          <w:lang w:eastAsia="ru-RU"/>
        </w:rPr>
        <w:t xml:space="preserve">«|Среда </w:t>
      </w:r>
      <w:r w:rsidRPr="002F2FDF">
        <w:rPr>
          <w:rFonts w:ascii="Times New Roman" w:eastAsia="Times New Roman" w:hAnsi="Times New Roman" w:cs="Times New Roman"/>
          <w:color w:val="000000" w:themeColor="text1"/>
          <w:kern w:val="2"/>
          <w:sz w:val="16"/>
          <w:szCs w:val="16"/>
          <w:lang w:eastAsia="ru-RU"/>
        </w:rPr>
        <w:t>18 апреля</w:t>
      </w:r>
      <w:r w:rsidRPr="002F2FDF">
        <w:rPr>
          <w:rFonts w:ascii="Times New Roman" w:eastAsia="Times New Roman" w:hAnsi="Times New Roman" w:cs="Times New Roman"/>
          <w:bCs/>
          <w:color w:val="000000" w:themeColor="text1"/>
          <w:kern w:val="2"/>
          <w:sz w:val="16"/>
          <w:szCs w:val="16"/>
          <w:lang w:eastAsia="ru-RU"/>
        </w:rPr>
        <w:t xml:space="preserve">.| — Каждый раз, что мы выходим, нас окружают несколько солдат с винтовками с примкнутыми штыками под командой офицера и следуют за нами по пятам. Мы — точно каторжане среди караульных. Распоряжения меняются ежедневно, — или, может быть, офицеры понимают их каждый на свой лад! Когда мы возвращались сегодня днем во дворец после нашей прогулки, часовой перед дверью остановил Государя словами: — </w:t>
      </w:r>
      <w:r w:rsidRPr="002F2FDF">
        <w:rPr>
          <w:rFonts w:ascii="Times New Roman" w:eastAsia="Times New Roman" w:hAnsi="Times New Roman" w:cs="Times New Roman"/>
          <w:bCs/>
          <w:iCs/>
          <w:color w:val="000000" w:themeColor="text1"/>
          <w:kern w:val="2"/>
          <w:sz w:val="16"/>
          <w:szCs w:val="16"/>
          <w:lang w:eastAsia="ru-RU"/>
        </w:rPr>
        <w:t>Господин полковник, здесь проходить нельзя</w:t>
      </w:r>
      <w:r w:rsidRPr="002F2FDF">
        <w:rPr>
          <w:rFonts w:ascii="Times New Roman" w:eastAsia="Times New Roman" w:hAnsi="Times New Roman" w:cs="Times New Roman"/>
          <w:bCs/>
          <w:color w:val="000000" w:themeColor="text1"/>
          <w:kern w:val="2"/>
          <w:sz w:val="16"/>
          <w:szCs w:val="16"/>
          <w:lang w:eastAsia="ru-RU"/>
        </w:rPr>
        <w:t>. Потребовалось вмешательство сопровождавшего нас офицера. Алексей Николаевич густо покраснел, увидев, как солдат остановил его отца.» (17326).</w:t>
      </w:r>
    </w:p>
    <w:p w14:paraId="061419F5" w14:textId="77777777" w:rsidR="005D5D55" w:rsidRPr="002F2FDF" w:rsidRDefault="005D5D55"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3490A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179DA5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EC2C6A" w14:textId="77777777"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апреля 1917 г. Письмо американского посла в России Д. Р. Фрэнсиса П. Н. Милюкову о решении американских промышленников предоставить русским, заказам на подвижной состав преимущество перед внутренними заказами.</w:t>
      </w:r>
    </w:p>
    <w:p w14:paraId="20708F70" w14:textId="682952EE"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476</w:t>
      </w:r>
    </w:p>
    <w:p w14:paraId="193B869E" w14:textId="27897EE7"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Экономического деп-та, 1 дел-во, д. 160, л. 18. Подлинник на английском языке.</w:t>
      </w:r>
    </w:p>
    <w:p w14:paraId="1BA82774" w14:textId="77777777" w:rsidR="00FD27EC" w:rsidRPr="002F2FDF" w:rsidRDefault="00FD27EC" w:rsidP="0083075A">
      <w:pPr>
        <w:pStyle w:val="rtejustify"/>
        <w:spacing w:before="0" w:after="0"/>
        <w:rPr>
          <w:color w:val="000000" w:themeColor="text1"/>
          <w:kern w:val="2"/>
          <w:sz w:val="16"/>
          <w:szCs w:val="16"/>
        </w:rPr>
      </w:pPr>
      <w:r w:rsidRPr="002F2FDF">
        <w:rPr>
          <w:color w:val="000000" w:themeColor="text1"/>
          <w:kern w:val="2"/>
          <w:sz w:val="16"/>
          <w:szCs w:val="16"/>
        </w:rPr>
        <w:t>Перевод с англ.</w:t>
      </w:r>
    </w:p>
    <w:p w14:paraId="1CFE4EA1" w14:textId="77777777" w:rsidR="00FD27EC" w:rsidRPr="002F2FDF" w:rsidRDefault="00FD27EC" w:rsidP="0083075A">
      <w:pPr>
        <w:pStyle w:val="rtejustify"/>
        <w:spacing w:before="0" w:after="0"/>
        <w:rPr>
          <w:color w:val="000000" w:themeColor="text1"/>
          <w:kern w:val="2"/>
          <w:sz w:val="16"/>
          <w:szCs w:val="16"/>
        </w:rPr>
      </w:pPr>
      <w:r w:rsidRPr="002F2FDF">
        <w:rPr>
          <w:color w:val="000000" w:themeColor="text1"/>
          <w:kern w:val="2"/>
          <w:sz w:val="16"/>
          <w:szCs w:val="16"/>
        </w:rPr>
        <w:t>Ваше превосходительство.</w:t>
      </w:r>
    </w:p>
    <w:p w14:paraId="631B46E2" w14:textId="77777777" w:rsidR="00FD27EC" w:rsidRPr="002F2FDF" w:rsidRDefault="00FD27EC" w:rsidP="0083075A">
      <w:pPr>
        <w:pStyle w:val="rtejustify"/>
        <w:spacing w:before="0" w:after="0"/>
        <w:rPr>
          <w:color w:val="000000" w:themeColor="text1"/>
          <w:kern w:val="2"/>
          <w:sz w:val="16"/>
          <w:szCs w:val="16"/>
        </w:rPr>
      </w:pPr>
      <w:r w:rsidRPr="002F2FDF">
        <w:rPr>
          <w:color w:val="000000" w:themeColor="text1"/>
          <w:kern w:val="2"/>
          <w:sz w:val="16"/>
          <w:szCs w:val="16"/>
        </w:rPr>
        <w:t>Имею честь сообщить Вам о получении только что по телеграфу следующего сообщения от моего правительства от 3/16 апреля. Оно является ответом на сделанное мной предложение после совещания с вашим, превосходительством и с другими представителями русского правительства.</w:t>
      </w:r>
    </w:p>
    <w:p w14:paraId="287B487C" w14:textId="77777777" w:rsidR="00FD27EC" w:rsidRPr="002F2FDF" w:rsidRDefault="00FD27EC" w:rsidP="0083075A">
      <w:pPr>
        <w:pStyle w:val="rtejustify"/>
        <w:spacing w:before="0" w:after="0"/>
        <w:rPr>
          <w:color w:val="000000" w:themeColor="text1"/>
          <w:kern w:val="2"/>
          <w:sz w:val="16"/>
          <w:szCs w:val="16"/>
        </w:rPr>
      </w:pPr>
      <w:r w:rsidRPr="002F2FDF">
        <w:rPr>
          <w:color w:val="000000" w:themeColor="text1"/>
          <w:kern w:val="2"/>
          <w:sz w:val="16"/>
          <w:szCs w:val="16"/>
        </w:rPr>
        <w:t>«Представители паровозостроительных и вагоностроительных заводчиков, имеющие заказы русского правительства, устроили сегодня совещание, на котором решила предоставить этим заказам преимущество перед любыми внутренними заказами. Боле» того, представители железных дорог выразили согласие сотрудничать с той же целы и следить за безотлагательной транспортировкой требуемых для этих заказов матч риалов, а также за отправкой изготовленных заказов с наименьшей задержкой. Полагают, что эти заказы будут выполняться с большой оперативностью».</w:t>
      </w:r>
    </w:p>
    <w:p w14:paraId="1C98849B" w14:textId="77777777" w:rsidR="00FD27EC" w:rsidRPr="002F2FDF" w:rsidRDefault="00FD27EC" w:rsidP="0083075A">
      <w:pPr>
        <w:pStyle w:val="rtejustify"/>
        <w:spacing w:before="0" w:after="0"/>
        <w:rPr>
          <w:color w:val="000000" w:themeColor="text1"/>
          <w:kern w:val="2"/>
          <w:sz w:val="16"/>
          <w:szCs w:val="16"/>
        </w:rPr>
      </w:pPr>
      <w:r w:rsidRPr="002F2FDF">
        <w:rPr>
          <w:color w:val="000000" w:themeColor="text1"/>
          <w:kern w:val="2"/>
          <w:sz w:val="16"/>
          <w:szCs w:val="16"/>
        </w:rPr>
        <w:t>Я пользуюсь этой возможностью, чтобы вновь выразить мое высокое уважение и возобновить уверения в личном к Вам почтении (15214).</w:t>
      </w:r>
    </w:p>
    <w:p w14:paraId="2223F3B2" w14:textId="77777777" w:rsidR="00FD27EC" w:rsidRPr="002F2FDF" w:rsidRDefault="00FD27EC"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5848AEC8" w14:textId="77777777"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5 (18) апреля 1917 </w:t>
      </w:r>
      <w:r w:rsidRPr="002F2FDF">
        <w:rPr>
          <w:rFonts w:ascii="Times New Roman" w:hAnsi="Times New Roman" w:cs="Times New Roman"/>
          <w:color w:val="000000" w:themeColor="text1"/>
          <w:kern w:val="2"/>
          <w:sz w:val="16"/>
          <w:szCs w:val="16"/>
        </w:rPr>
        <w:t>Из журнала № 152 заседания Особого совещания по обороне о заказе подвижного состава в США и грузовых автомобилей во Франции.</w:t>
      </w:r>
    </w:p>
    <w:p w14:paraId="7766148E" w14:textId="14B8DC69"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476-478</w:t>
      </w:r>
    </w:p>
    <w:p w14:paraId="222F8CFD" w14:textId="14550877"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ЦГВИА, ф. 369, оп. 1, д. 377, лл. 11—16. Подлинник.</w:t>
      </w:r>
    </w:p>
    <w:p w14:paraId="15409410" w14:textId="77777777" w:rsidR="00FD27EC" w:rsidRPr="002F2FDF" w:rsidRDefault="00FD27EC" w:rsidP="0083075A">
      <w:pPr>
        <w:pStyle w:val="rtejustify"/>
        <w:spacing w:before="0" w:after="0"/>
        <w:rPr>
          <w:color w:val="000000" w:themeColor="text1"/>
          <w:kern w:val="2"/>
          <w:sz w:val="16"/>
          <w:szCs w:val="16"/>
        </w:rPr>
      </w:pPr>
      <w:r w:rsidRPr="002F2FDF">
        <w:rPr>
          <w:color w:val="000000" w:themeColor="text1"/>
          <w:kern w:val="2"/>
          <w:sz w:val="16"/>
          <w:szCs w:val="16"/>
        </w:rPr>
        <w:t>...</w:t>
      </w:r>
      <w:hyperlink r:id="rId114" w:anchor="_ftn1" w:history="1">
        <w:r w:rsidRPr="002F2FDF">
          <w:rPr>
            <w:rStyle w:val="a5"/>
            <w:color w:val="000000" w:themeColor="text1"/>
            <w:kern w:val="2"/>
            <w:sz w:val="16"/>
            <w:szCs w:val="16"/>
          </w:rPr>
          <w:t>[1]</w:t>
        </w:r>
      </w:hyperlink>
      <w:r w:rsidRPr="002F2FDF">
        <w:rPr>
          <w:color w:val="000000" w:themeColor="text1"/>
          <w:kern w:val="2"/>
          <w:sz w:val="16"/>
          <w:szCs w:val="16"/>
        </w:rPr>
        <w:t xml:space="preserve"> Член Государственной думы Д. Н. Чихачев просил осведомить совещание, в каком положении находится вопрос о заказе подвижнее состава в Америке; прибытие этого подвижного состава во Владивосток оказало бы значительное содействие разгрузке Владивостокского порта. Отвечая на поставленный Д. Н. Чихачевым вопрос, товарищ министра путей сообщения Л. А. У стругов указал, что ранее заказанные в Америке паровозы и вагоны начнут прибывать с мая месяца т. г. В настоящее время ведутся переговоры о дополнительном заказе в Америке около 3000 паровозов и 30 тыс. вагонов. До прибытия достаточного подвижного состава из Америки усилить вывоз из Владивостока в размере, соответствующем привозу, представляется совершенно невозможным и приходится довольствоваться паллиативными мерами по расширению площади, оборудованной для хранения грузов. Член Государственной думы Д. Н. Сверчков обратился к товарищу министра путей сообщения Л. А, Устругову с вопросом, не представляется ли возможным приобретать в Америке готовые паровозы, а не только части паровозов, подлежащие засим сборке в наших мастерских. Л. А. Устругов сообщил, что до сего времени американцы предлагали нам к приобретению готовые паровозы со сроком службы не менее 6—8 лет; приобретать эти, в достаточной мере язносившиеся, паровозы ведомство считает нецелесообразным. В настоящее время предположено отправить в Америку особую комиссию,</w:t>
      </w:r>
      <w:hyperlink r:id="rId115" w:anchor="_ftn2" w:history="1">
        <w:r w:rsidRPr="002F2FDF">
          <w:rPr>
            <w:rStyle w:val="a5"/>
            <w:color w:val="000000" w:themeColor="text1"/>
            <w:kern w:val="2"/>
            <w:sz w:val="16"/>
            <w:szCs w:val="16"/>
          </w:rPr>
          <w:t>[2]</w:t>
        </w:r>
      </w:hyperlink>
      <w:r w:rsidRPr="002F2FDF">
        <w:rPr>
          <w:color w:val="000000" w:themeColor="text1"/>
          <w:kern w:val="2"/>
          <w:sz w:val="16"/>
          <w:szCs w:val="16"/>
        </w:rPr>
        <w:t xml:space="preserve"> одной из задач которой явится выяснение вопроса о возможности приобретения готовых паровозов с более продолжительным сроком службы. Товарищ председателя Центрального военно-промышленного комитета барон Г. X. Майдель выразил пожелание, чтобы Министерство путей сообщения не ограничивалось заказом в Америке 3000 паровозов и 30 тыс. вагонов и приняло моры к приобретению всего того количества подвижного состава, какое оказалось бы возможным получить по условиям американского рынка.</w:t>
      </w:r>
    </w:p>
    <w:p w14:paraId="697CEE98" w14:textId="77777777" w:rsidR="00FD27EC" w:rsidRPr="002F2FDF" w:rsidRDefault="00FD27EC" w:rsidP="0083075A">
      <w:pPr>
        <w:pStyle w:val="rtejustify"/>
        <w:spacing w:before="0" w:after="0"/>
        <w:rPr>
          <w:color w:val="000000" w:themeColor="text1"/>
          <w:kern w:val="2"/>
          <w:sz w:val="16"/>
          <w:szCs w:val="16"/>
        </w:rPr>
      </w:pPr>
      <w:r w:rsidRPr="002F2FDF">
        <w:rPr>
          <w:color w:val="000000" w:themeColor="text1"/>
          <w:kern w:val="2"/>
          <w:sz w:val="16"/>
          <w:szCs w:val="16"/>
        </w:rPr>
        <w:t xml:space="preserve">Управляющий делами Центрального военно-промышленного комитета К.” Н. Клопотов высказал, что в целях разгрузки Владивостокского порта необходимо принять, между прочим, нижеследующие меры: 1) установить очередь вывоза грузов из Владивостока, 2) озаботиться рациональным распределением и возможно более быстрым оборотом подвижного состава; 3) использовать водные перевозки по сибирским речным системам. Все эти меры должны быть согласованы друг с другом и осуществляться планомерно. До настоящего времени вопросами разгрузки Владивостока занималось несколько учреждений, не всегда согласовавших свою деятельность. Представляется необходимым образовать особую комиссию для рассмотрения вопроса об организации дела хранения находящихся во Владивостоке </w:t>
      </w:r>
      <w:r w:rsidRPr="002F2FDF">
        <w:rPr>
          <w:color w:val="000000" w:themeColor="text1"/>
          <w:kern w:val="2"/>
          <w:sz w:val="16"/>
          <w:szCs w:val="16"/>
        </w:rPr>
        <w:lastRenderedPageBreak/>
        <w:t>грузов и вывоза их из Владивостока во внутренние области России по образцу комиссии, рассматривавшей под председательством ген.-майора А. В. Сапожникова вопросы организации разгрузки пароходов и переотправки военных грузов в портах Севера. Помимо того, ввиду имеющихся сведений о продолжающемся прибытии во Владивосток пароходов из Америки надлежало бы подтвердить делавшиеся ранее указания о необходимости воздержаться от направления американских грузов на Владивосток. Оба предложения К. Н. Кло-потова были совещанием одобрены.</w:t>
      </w:r>
    </w:p>
    <w:p w14:paraId="78DA33AD" w14:textId="77777777" w:rsidR="00FD27EC" w:rsidRPr="002F2FDF" w:rsidRDefault="00FD27EC" w:rsidP="0083075A">
      <w:pPr>
        <w:pStyle w:val="rtejustify"/>
        <w:spacing w:before="0" w:after="0"/>
        <w:rPr>
          <w:color w:val="000000" w:themeColor="text1"/>
          <w:kern w:val="2"/>
          <w:sz w:val="16"/>
          <w:szCs w:val="16"/>
        </w:rPr>
      </w:pPr>
      <w:r w:rsidRPr="002F2FDF">
        <w:rPr>
          <w:color w:val="000000" w:themeColor="text1"/>
          <w:kern w:val="2"/>
          <w:sz w:val="16"/>
          <w:szCs w:val="16"/>
        </w:rPr>
        <w:t>Засим министр земледелия А. И. Шингарев выступил с внеочередным заявлением следующего содержания. В настоящее время Министерство земледелия озабочено заготовкой хлеба в Акмолинской обл. как для удовлетворения нужд армии, так и для наших союзников. В недалеком расстоянии от железнодорожной линии хлеба в Акмолинской обл. не имеется, и для доставки его на станцию необходимы грузовые автомобили. Достаточное количество грузовых автомобилей может быть приобретено во Франции, но для этого необходима соответствующая валюта. Вопрос о предоставлении валюты для вышеуказанной цели и подлежит рассмотрению Особого совещания.</w:t>
      </w:r>
    </w:p>
    <w:p w14:paraId="65FD7AB7" w14:textId="77777777" w:rsidR="00FD27EC" w:rsidRPr="002F2FDF" w:rsidRDefault="00FD27EC" w:rsidP="0083075A">
      <w:pPr>
        <w:pStyle w:val="rtejustify"/>
        <w:spacing w:before="0" w:after="0"/>
        <w:rPr>
          <w:color w:val="000000" w:themeColor="text1"/>
          <w:kern w:val="2"/>
          <w:sz w:val="16"/>
          <w:szCs w:val="16"/>
        </w:rPr>
      </w:pPr>
      <w:r w:rsidRPr="002F2FDF">
        <w:rPr>
          <w:color w:val="000000" w:themeColor="text1"/>
          <w:kern w:val="2"/>
          <w:sz w:val="16"/>
          <w:szCs w:val="16"/>
        </w:rPr>
        <w:t>Председатель комиссии по учету и распределению иностранной валюты ген.-майор А. А. Михельсон указал, что весь кредит, имеющийся в нашем распоряжении по финансовому соглашению с французским правительством на срок по 1 января 1918 г., в настоящее время является уже занятым для оплаты наших заказов на нужды обороны, и потому валюта, необходимая для приобретения грузовых автомобилей, могла бы быть отпущена лишь в том случае, если бы валютной комиссии было разрешено принять это обязательство по предоставляемым России французским правительством месячным кредитам на сроки после 1 января 1918 г.</w:t>
      </w:r>
    </w:p>
    <w:p w14:paraId="4859BCE2" w14:textId="77777777" w:rsidR="00FD27EC" w:rsidRPr="002F2FDF" w:rsidRDefault="00FD27EC" w:rsidP="0083075A">
      <w:pPr>
        <w:pStyle w:val="rtejustify"/>
        <w:spacing w:before="0" w:after="0"/>
        <w:rPr>
          <w:color w:val="000000" w:themeColor="text1"/>
          <w:kern w:val="2"/>
          <w:sz w:val="16"/>
          <w:szCs w:val="16"/>
        </w:rPr>
      </w:pPr>
      <w:r w:rsidRPr="002F2FDF">
        <w:rPr>
          <w:color w:val="000000" w:themeColor="text1"/>
          <w:kern w:val="2"/>
          <w:sz w:val="16"/>
          <w:szCs w:val="16"/>
        </w:rPr>
        <w:t>По обмене мнений совещание признало желательным предоставить Министерству земледелия для приобретения во Франции ста грузовых автомобилей фирмы Рено 3 млн фр. из общей суммы валюты, имеющейся в распоряжении русского правительства по финансовому соглашению с французским правительством, на указанных ген.-майором А. А. Михелъсоном условиях</w:t>
      </w:r>
      <w:hyperlink r:id="rId116" w:anchor="_ftn3" w:history="1">
        <w:r w:rsidRPr="002F2FDF">
          <w:rPr>
            <w:rStyle w:val="a5"/>
            <w:color w:val="000000" w:themeColor="text1"/>
            <w:kern w:val="2"/>
            <w:sz w:val="16"/>
            <w:szCs w:val="16"/>
          </w:rPr>
          <w:t>[3]</w:t>
        </w:r>
      </w:hyperlink>
      <w:r w:rsidRPr="002F2FDF">
        <w:rPr>
          <w:color w:val="000000" w:themeColor="text1"/>
          <w:kern w:val="2"/>
          <w:sz w:val="16"/>
          <w:szCs w:val="16"/>
        </w:rPr>
        <w:t>...</w:t>
      </w:r>
      <w:hyperlink r:id="rId117" w:anchor="_ftn4" w:history="1">
        <w:r w:rsidRPr="002F2FDF">
          <w:rPr>
            <w:rStyle w:val="a5"/>
            <w:color w:val="000000" w:themeColor="text1"/>
            <w:kern w:val="2"/>
            <w:sz w:val="16"/>
            <w:szCs w:val="16"/>
          </w:rPr>
          <w:t>[4]</w:t>
        </w:r>
      </w:hyperlink>
    </w:p>
    <w:p w14:paraId="35B0145A" w14:textId="77777777" w:rsidR="00FD27EC" w:rsidRPr="002F2FDF" w:rsidRDefault="00000000" w:rsidP="0083075A">
      <w:pPr>
        <w:pStyle w:val="rtejustify"/>
        <w:spacing w:before="0" w:after="0"/>
        <w:rPr>
          <w:color w:val="000000" w:themeColor="text1"/>
          <w:kern w:val="2"/>
          <w:sz w:val="16"/>
          <w:szCs w:val="16"/>
        </w:rPr>
      </w:pPr>
      <w:hyperlink r:id="rId118" w:anchor="_ftnref1" w:history="1">
        <w:r w:rsidR="00FD27EC" w:rsidRPr="002F2FDF">
          <w:rPr>
            <w:rStyle w:val="a5"/>
            <w:color w:val="000000" w:themeColor="text1"/>
            <w:kern w:val="2"/>
            <w:sz w:val="16"/>
            <w:szCs w:val="16"/>
          </w:rPr>
          <w:t>[1]</w:t>
        </w:r>
      </w:hyperlink>
      <w:r w:rsidR="00FD27EC" w:rsidRPr="002F2FDF">
        <w:rPr>
          <w:color w:val="000000" w:themeColor="text1"/>
          <w:kern w:val="2"/>
          <w:sz w:val="16"/>
          <w:szCs w:val="16"/>
        </w:rPr>
        <w:t xml:space="preserve"> Опущено обсуждение других вопросов повестки дня.</w:t>
      </w:r>
    </w:p>
    <w:p w14:paraId="3F0989E7" w14:textId="77777777" w:rsidR="00FD27EC" w:rsidRPr="002F2FDF" w:rsidRDefault="00000000" w:rsidP="0083075A">
      <w:pPr>
        <w:pStyle w:val="rtejustify"/>
        <w:spacing w:before="0" w:after="0"/>
        <w:rPr>
          <w:color w:val="000000" w:themeColor="text1"/>
          <w:kern w:val="2"/>
          <w:sz w:val="16"/>
          <w:szCs w:val="16"/>
        </w:rPr>
      </w:pPr>
      <w:hyperlink r:id="rId119" w:anchor="_ftnref2" w:history="1">
        <w:r w:rsidR="00FD27EC" w:rsidRPr="002F2FDF">
          <w:rPr>
            <w:rStyle w:val="a5"/>
            <w:color w:val="000000" w:themeColor="text1"/>
            <w:kern w:val="2"/>
            <w:sz w:val="16"/>
            <w:szCs w:val="16"/>
          </w:rPr>
          <w:t>[2]</w:t>
        </w:r>
      </w:hyperlink>
      <w:r w:rsidR="00FD27EC" w:rsidRPr="002F2FDF">
        <w:rPr>
          <w:color w:val="000000" w:themeColor="text1"/>
          <w:kern w:val="2"/>
          <w:sz w:val="16"/>
          <w:szCs w:val="16"/>
        </w:rPr>
        <w:t xml:space="preserve"> Специальной железнодорожной миссии Временного правительства в Соединенные Штаты послано не было. Ряд лиц от Министерства путей сообщения во главе с проф. Ломоносовым были включены в состав чрезвычайной миссии Временного правительства под председательством Б. А. Бахметьева.</w:t>
      </w:r>
    </w:p>
    <w:p w14:paraId="6BFC2826" w14:textId="77777777" w:rsidR="00FD27EC" w:rsidRPr="002F2FDF" w:rsidRDefault="00000000" w:rsidP="0083075A">
      <w:pPr>
        <w:pStyle w:val="rtejustify"/>
        <w:spacing w:before="0" w:after="0"/>
        <w:rPr>
          <w:color w:val="000000" w:themeColor="text1"/>
          <w:kern w:val="2"/>
          <w:sz w:val="16"/>
          <w:szCs w:val="16"/>
        </w:rPr>
      </w:pPr>
      <w:hyperlink r:id="rId120" w:anchor="_ftnref3" w:history="1">
        <w:r w:rsidR="00FD27EC" w:rsidRPr="002F2FDF">
          <w:rPr>
            <w:rStyle w:val="a5"/>
            <w:color w:val="000000" w:themeColor="text1"/>
            <w:kern w:val="2"/>
            <w:sz w:val="16"/>
            <w:szCs w:val="16"/>
          </w:rPr>
          <w:t>[3]</w:t>
        </w:r>
      </w:hyperlink>
      <w:r w:rsidR="00FD27EC" w:rsidRPr="002F2FDF">
        <w:rPr>
          <w:color w:val="000000" w:themeColor="text1"/>
          <w:kern w:val="2"/>
          <w:sz w:val="16"/>
          <w:szCs w:val="16"/>
        </w:rPr>
        <w:t xml:space="preserve"> Согласно телеграммы Главзаграна полк. А. А. Игнатьеву от 13 июня 1917 г. за № 575, Валютная комиссия выделила на покупку автомобилей 3 млн фр., и заказ был зачислен в общую очередь отправки грузовых автомобилей. Независимо от времени прибытия в Россию заказанных во Франции автомобилей, ГВТУ был дан наряд на выполнение перевозок хлеба для союзников из Акмолинской области (ЦГВИА, ф. 2000 он. 1, д. 6241, л. 333).</w:t>
      </w:r>
    </w:p>
    <w:p w14:paraId="439D33B7" w14:textId="77777777" w:rsidR="00FD27EC" w:rsidRPr="002F2FDF" w:rsidRDefault="00000000" w:rsidP="0083075A">
      <w:pPr>
        <w:pStyle w:val="rtejustify"/>
        <w:spacing w:before="0" w:after="0"/>
        <w:rPr>
          <w:color w:val="000000" w:themeColor="text1"/>
          <w:kern w:val="2"/>
          <w:sz w:val="16"/>
          <w:szCs w:val="16"/>
        </w:rPr>
      </w:pPr>
      <w:hyperlink r:id="rId121" w:anchor="_ftnref4" w:history="1">
        <w:r w:rsidR="00FD27EC" w:rsidRPr="002F2FDF">
          <w:rPr>
            <w:rStyle w:val="a5"/>
            <w:color w:val="000000" w:themeColor="text1"/>
            <w:kern w:val="2"/>
            <w:sz w:val="16"/>
            <w:szCs w:val="16"/>
          </w:rPr>
          <w:t>[4]</w:t>
        </w:r>
      </w:hyperlink>
      <w:r w:rsidR="00FD27EC" w:rsidRPr="002F2FDF">
        <w:rPr>
          <w:color w:val="000000" w:themeColor="text1"/>
          <w:kern w:val="2"/>
          <w:sz w:val="16"/>
          <w:szCs w:val="16"/>
        </w:rPr>
        <w:t xml:space="preserve"> Опущено обсуждение других вопросов повестки дня (15213).</w:t>
      </w:r>
    </w:p>
    <w:p w14:paraId="00D5BB57" w14:textId="77777777" w:rsidR="00FD27EC" w:rsidRPr="002F2FDF" w:rsidRDefault="00FD27EC"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2280B380" w14:textId="77777777"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5 (18) апреля 1917 г. </w:t>
      </w:r>
      <w:r w:rsidRPr="002F2FDF">
        <w:rPr>
          <w:rFonts w:ascii="Times New Roman" w:hAnsi="Times New Roman" w:cs="Times New Roman"/>
          <w:color w:val="000000" w:themeColor="text1"/>
          <w:kern w:val="2"/>
          <w:sz w:val="16"/>
          <w:szCs w:val="16"/>
        </w:rPr>
        <w:t>Телеграмма ген. Э. К. Гермониуса А. И. Гучкову о необходимости получения в Соединенных Штатах кредита и тоннажа в связи с присоединением их к Антанте.</w:t>
      </w:r>
    </w:p>
    <w:p w14:paraId="3E730680" w14:textId="35C6C2A6"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478-479</w:t>
      </w:r>
    </w:p>
    <w:p w14:paraId="5DCD290A" w14:textId="77777777"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p>
    <w:p w14:paraId="22AC4033" w14:textId="77777777"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ЦГИАЛ, ф. 1525, оп. 1, д. 607, л. 169—169 об. Заверенная копия.</w:t>
      </w:r>
    </w:p>
    <w:p w14:paraId="452796A8" w14:textId="77777777" w:rsidR="00FD27EC" w:rsidRPr="002F2FDF" w:rsidRDefault="00FD27EC" w:rsidP="0083075A">
      <w:pPr>
        <w:pStyle w:val="rtejustify"/>
        <w:spacing w:before="0" w:after="0"/>
        <w:rPr>
          <w:color w:val="000000" w:themeColor="text1"/>
          <w:kern w:val="2"/>
          <w:sz w:val="16"/>
          <w:szCs w:val="16"/>
        </w:rPr>
      </w:pPr>
      <w:r w:rsidRPr="002F2FDF">
        <w:rPr>
          <w:color w:val="000000" w:themeColor="text1"/>
          <w:kern w:val="2"/>
          <w:sz w:val="16"/>
          <w:szCs w:val="16"/>
        </w:rPr>
        <w:t>Доношу о нашем положении в Америке в связи с присоединением Соединенных Штатов к войне.</w:t>
      </w:r>
    </w:p>
    <w:p w14:paraId="1ACB725E" w14:textId="77777777" w:rsidR="00FD27EC" w:rsidRPr="002F2FDF" w:rsidRDefault="00FD27EC" w:rsidP="0083075A">
      <w:pPr>
        <w:pStyle w:val="rtejustify"/>
        <w:spacing w:before="0" w:after="0"/>
        <w:rPr>
          <w:color w:val="000000" w:themeColor="text1"/>
          <w:kern w:val="2"/>
          <w:sz w:val="16"/>
          <w:szCs w:val="16"/>
        </w:rPr>
      </w:pPr>
      <w:r w:rsidRPr="002F2FDF">
        <w:rPr>
          <w:color w:val="000000" w:themeColor="text1"/>
          <w:kern w:val="2"/>
          <w:sz w:val="16"/>
          <w:szCs w:val="16"/>
        </w:rPr>
        <w:t>В настоящий момент необходимо:</w:t>
      </w:r>
    </w:p>
    <w:p w14:paraId="09EF30A1" w14:textId="77777777" w:rsidR="00FD27EC" w:rsidRPr="002F2FDF" w:rsidRDefault="00FD27EC" w:rsidP="0083075A">
      <w:pPr>
        <w:pStyle w:val="rtejustify"/>
        <w:spacing w:before="0" w:after="0"/>
        <w:rPr>
          <w:color w:val="000000" w:themeColor="text1"/>
          <w:kern w:val="2"/>
          <w:sz w:val="16"/>
          <w:szCs w:val="16"/>
        </w:rPr>
      </w:pPr>
      <w:r w:rsidRPr="002F2FDF">
        <w:rPr>
          <w:color w:val="000000" w:themeColor="text1"/>
          <w:kern w:val="2"/>
          <w:sz w:val="16"/>
          <w:szCs w:val="16"/>
        </w:rPr>
        <w:t>1) Добиться кредита в Америке, независимого от Англии.</w:t>
      </w:r>
    </w:p>
    <w:p w14:paraId="382957F8" w14:textId="77777777" w:rsidR="00FD27EC" w:rsidRPr="002F2FDF" w:rsidRDefault="00FD27EC" w:rsidP="0083075A">
      <w:pPr>
        <w:pStyle w:val="rtejustify"/>
        <w:spacing w:before="0" w:after="0"/>
        <w:rPr>
          <w:color w:val="000000" w:themeColor="text1"/>
          <w:kern w:val="2"/>
          <w:sz w:val="16"/>
          <w:szCs w:val="16"/>
        </w:rPr>
      </w:pPr>
      <w:r w:rsidRPr="002F2FDF">
        <w:rPr>
          <w:color w:val="000000" w:themeColor="text1"/>
          <w:kern w:val="2"/>
          <w:sz w:val="16"/>
          <w:szCs w:val="16"/>
        </w:rPr>
        <w:t>2) Добиться тоннажа для американских заказов независимо от английского.</w:t>
      </w:r>
    </w:p>
    <w:p w14:paraId="2520A9E0" w14:textId="77777777" w:rsidR="00FD27EC" w:rsidRPr="002F2FDF" w:rsidRDefault="00FD27EC" w:rsidP="0083075A">
      <w:pPr>
        <w:pStyle w:val="rtejustify"/>
        <w:spacing w:before="0" w:after="0"/>
        <w:rPr>
          <w:color w:val="000000" w:themeColor="text1"/>
          <w:kern w:val="2"/>
          <w:sz w:val="16"/>
          <w:szCs w:val="16"/>
        </w:rPr>
      </w:pPr>
      <w:r w:rsidRPr="002F2FDF">
        <w:rPr>
          <w:color w:val="000000" w:themeColor="text1"/>
          <w:kern w:val="2"/>
          <w:sz w:val="16"/>
          <w:szCs w:val="16"/>
        </w:rPr>
        <w:t>3) Быть в курсе военных и морских планов войны Соединенных Штатов.</w:t>
      </w:r>
    </w:p>
    <w:p w14:paraId="7121B59D" w14:textId="77777777" w:rsidR="00FD27EC" w:rsidRPr="002F2FDF" w:rsidRDefault="00FD27EC" w:rsidP="0083075A">
      <w:pPr>
        <w:pStyle w:val="rtejustify"/>
        <w:spacing w:before="0" w:after="0"/>
        <w:rPr>
          <w:color w:val="000000" w:themeColor="text1"/>
          <w:kern w:val="2"/>
          <w:sz w:val="16"/>
          <w:szCs w:val="16"/>
        </w:rPr>
      </w:pPr>
      <w:r w:rsidRPr="002F2FDF">
        <w:rPr>
          <w:color w:val="000000" w:themeColor="text1"/>
          <w:kern w:val="2"/>
          <w:sz w:val="16"/>
          <w:szCs w:val="16"/>
        </w:rPr>
        <w:t>Для достижения означенных целей мы имеем посольство, военного, морского и финансового агентов. В тот момент, когда я уезжал из Америки, военный, морской и финансовый агенты были всецело поглощены текущей работой по Заготовительному комитету</w:t>
      </w:r>
      <w:hyperlink r:id="rId122" w:anchor="_ftn1" w:history="1">
        <w:r w:rsidRPr="002F2FDF">
          <w:rPr>
            <w:rStyle w:val="a5"/>
            <w:color w:val="000000" w:themeColor="text1"/>
            <w:kern w:val="2"/>
            <w:sz w:val="16"/>
            <w:szCs w:val="16"/>
          </w:rPr>
          <w:t>[1]</w:t>
        </w:r>
      </w:hyperlink>
      <w:r w:rsidRPr="002F2FDF">
        <w:rPr>
          <w:color w:val="000000" w:themeColor="text1"/>
          <w:kern w:val="2"/>
          <w:sz w:val="16"/>
          <w:szCs w:val="16"/>
        </w:rPr>
        <w:t>. Финансовый агент Угет. несмотря на то, что он сумел себя поставить хорошо в финансовых сферах Нью-Йорка, не мог ничего предпринять в отношении нашего кредита, не имея на то полномочий Кредитной канцелярии. Военный агент, связанный обязательством подписывать приказы о платежах по Заготовительному комитету и заказам по интендантству, не мог ни на один день выехать в Вашингтон, где, казалось, должно было бы быть его место, о чем я ему неоднократно говорил в Нью-Йорке. То же относится п к морскому агенту. Между тем английское правительство, для которого союз с Америкой представляет не больше интереса, нежели для нас, кроме обычных своих агентов, посольства военного, морского и финансового, не занятых никаким делом, кроме прямых обязанностей по службе, командировало в Америку товарища министра финансов Ливера, который живет там уже больше двух месяцев, одного из видных чиновников Министерства снабжения Буса, одного из главных членов комиссии Мильнера — Ледшаина. В последние дни выехал министр иностранных дел Бальфур. Такое соотношение наших представителей и английских не преминет отозваться неблагоприятно на наших делах в Америке. 9978.</w:t>
      </w:r>
    </w:p>
    <w:p w14:paraId="35412D90" w14:textId="77777777" w:rsidR="00FD27EC" w:rsidRPr="002F2FDF" w:rsidRDefault="00FD27EC"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Гермониус.</w:t>
      </w:r>
    </w:p>
    <w:p w14:paraId="207DCBF3" w14:textId="77777777" w:rsidR="00FD27EC" w:rsidRPr="002F2FDF" w:rsidRDefault="00000000" w:rsidP="0083075A">
      <w:pPr>
        <w:pStyle w:val="rtejustify"/>
        <w:spacing w:before="0" w:after="0"/>
        <w:rPr>
          <w:color w:val="000000" w:themeColor="text1"/>
          <w:kern w:val="2"/>
          <w:sz w:val="16"/>
          <w:szCs w:val="16"/>
        </w:rPr>
      </w:pPr>
      <w:hyperlink r:id="rId123" w:anchor="_ftnref1" w:history="1">
        <w:r w:rsidR="00FD27EC" w:rsidRPr="002F2FDF">
          <w:rPr>
            <w:rStyle w:val="a5"/>
            <w:color w:val="000000" w:themeColor="text1"/>
            <w:kern w:val="2"/>
            <w:sz w:val="16"/>
            <w:szCs w:val="16"/>
          </w:rPr>
          <w:t>[1]</w:t>
        </w:r>
      </w:hyperlink>
      <w:r w:rsidR="00FD27EC" w:rsidRPr="002F2FDF">
        <w:rPr>
          <w:color w:val="000000" w:themeColor="text1"/>
          <w:kern w:val="2"/>
          <w:sz w:val="16"/>
          <w:szCs w:val="16"/>
        </w:rPr>
        <w:t xml:space="preserve"> Русский заготовительный комитет в Америке был образован в августе 1915 г. из представителей министерств: Военного, Морского, Торговли и промышленности, ЦВПК и Московского военно-промышленного комитета. Главные задачи комитета состояли в размещении заказов, организации наблюдения за выполнением заказов, в приеме готовой продукции и ее перевозке. В результате англо-русского финансового соглашения от сентября 1915 г. все расчеты по размещенным комитетом заказам должны были передаваться на предварительное рассмотрение Русского правительственного комитета в Лондоне, что ставило комитет в зависимость от Англии. С весны 1917 г. Русский заготовительный комитет в связи с предоставлением Соединенными Штатами России кредитов освободился от опеки Русского правительственного комитета в Лондоне, стал самостоятельно производить заказы и расчеты по ним в Америке.</w:t>
      </w:r>
    </w:p>
    <w:p w14:paraId="1505EC91" w14:textId="77777777" w:rsidR="00FD27EC" w:rsidRPr="002F2FDF" w:rsidRDefault="00FD27EC"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1F512E8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871A4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1EE74A" w14:textId="42586765" w:rsidR="00E57831" w:rsidRPr="002F2FDF" w:rsidRDefault="00E5783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 (18) апреля 1917</w:t>
      </w:r>
      <w:r w:rsidR="00E52569" w:rsidRPr="00EB3E32">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Уильям Боинг переименовывает </w:t>
      </w:r>
      <w:r w:rsidRPr="002F2FDF">
        <w:rPr>
          <w:rFonts w:ascii="Times New Roman" w:hAnsi="Times New Roman" w:cs="Times New Roman"/>
          <w:color w:val="000000" w:themeColor="text1"/>
          <w:sz w:val="16"/>
          <w:szCs w:val="16"/>
          <w:lang w:val="en-US"/>
        </w:rPr>
        <w:t>Pacific</w:t>
      </w:r>
      <w:r w:rsidRPr="002F2FDF">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lang w:val="en-US"/>
        </w:rPr>
        <w:t>Aero</w:t>
      </w:r>
      <w:r w:rsidRPr="002F2FDF">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lang w:val="en-US"/>
        </w:rPr>
        <w:t>Products</w:t>
      </w:r>
      <w:r w:rsidRPr="002F2FDF">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lang w:val="en-US"/>
        </w:rPr>
        <w:t>Company</w:t>
      </w:r>
      <w:r w:rsidRPr="002F2FDF">
        <w:rPr>
          <w:rFonts w:ascii="Times New Roman" w:hAnsi="Times New Roman" w:cs="Times New Roman"/>
          <w:color w:val="000000" w:themeColor="text1"/>
          <w:sz w:val="16"/>
          <w:szCs w:val="16"/>
        </w:rPr>
        <w:t xml:space="preserve"> в </w:t>
      </w:r>
      <w:r w:rsidRPr="002F2FDF">
        <w:rPr>
          <w:rFonts w:ascii="Times New Roman" w:hAnsi="Times New Roman" w:cs="Times New Roman"/>
          <w:color w:val="000000" w:themeColor="text1"/>
          <w:sz w:val="16"/>
          <w:szCs w:val="16"/>
          <w:lang w:val="en-US"/>
        </w:rPr>
        <w:t>Boeing</w:t>
      </w:r>
      <w:r w:rsidRPr="002F2FDF">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lang w:val="en-US"/>
        </w:rPr>
        <w:t>Airplane</w:t>
      </w:r>
      <w:r w:rsidRPr="002F2FDF">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lang w:val="en-US"/>
        </w:rPr>
        <w:t>Company</w:t>
      </w:r>
      <w:r w:rsidRPr="002F2FDF">
        <w:rPr>
          <w:rFonts w:ascii="Times New Roman" w:hAnsi="Times New Roman" w:cs="Times New Roman"/>
          <w:color w:val="000000" w:themeColor="text1"/>
          <w:sz w:val="16"/>
          <w:szCs w:val="16"/>
        </w:rPr>
        <w:t xml:space="preserve"> (22531).</w:t>
      </w:r>
    </w:p>
    <w:p w14:paraId="719BDCB1" w14:textId="77777777" w:rsidR="00E57831" w:rsidRPr="002F2FDF" w:rsidRDefault="00E57831" w:rsidP="0083075A">
      <w:pPr>
        <w:spacing w:after="0" w:line="240" w:lineRule="auto"/>
        <w:jc w:val="both"/>
        <w:rPr>
          <w:rFonts w:ascii="Times New Roman" w:hAnsi="Times New Roman" w:cs="Times New Roman"/>
          <w:color w:val="000000" w:themeColor="text1"/>
          <w:sz w:val="16"/>
          <w:szCs w:val="16"/>
        </w:rPr>
      </w:pPr>
    </w:p>
    <w:p w14:paraId="0ABA6E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апреля 1917 в Палестине было второе сражение под Газой, которое продолжалось до 6 (19) апреля. Турецкие войска при поддержке немцев заставили англичан отступить (3907,90).</w:t>
      </w:r>
    </w:p>
    <w:p w14:paraId="2D20B2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5E34F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B21C7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F65F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апреля 1917 началась серийная постройка лл М-11 Д.П.Г. и до 16 августа 1917 сдали 25, но ожидания не оправдались из-за недостаточной дальности, низкой мореходности и трудности пилотирования. Всего их сделали около 60. Морской истребитель оказался не нужным (92,224).</w:t>
      </w:r>
    </w:p>
    <w:p w14:paraId="4BA7D9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451F1A" w14:textId="77777777"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6 (19) апреля</w:t>
      </w:r>
      <w:r w:rsidRPr="002F2FDF">
        <w:rPr>
          <w:rFonts w:ascii="Times New Roman" w:hAnsi="Times New Roman" w:cs="Times New Roman"/>
          <w:color w:val="000000" w:themeColor="text1"/>
          <w:kern w:val="2"/>
          <w:sz w:val="16"/>
          <w:szCs w:val="16"/>
        </w:rPr>
        <w:t xml:space="preserve"> в 1917 году начата серийная постройка гидросамолета </w:t>
      </w:r>
      <w:hyperlink r:id="rId124" w:tgtFrame="_blank" w:history="1">
        <w:r w:rsidRPr="002F2FDF">
          <w:rPr>
            <w:rFonts w:ascii="Times New Roman" w:hAnsi="Times New Roman" w:cs="Times New Roman"/>
            <w:color w:val="000000" w:themeColor="text1"/>
            <w:kern w:val="2"/>
            <w:sz w:val="16"/>
            <w:szCs w:val="16"/>
          </w:rPr>
          <w:t xml:space="preserve">«М-11» </w:t>
        </w:r>
      </w:hyperlink>
      <w:r w:rsidRPr="002F2FDF">
        <w:rPr>
          <w:rFonts w:ascii="Times New Roman" w:hAnsi="Times New Roman" w:cs="Times New Roman"/>
          <w:color w:val="000000" w:themeColor="text1"/>
          <w:kern w:val="2"/>
          <w:sz w:val="16"/>
          <w:szCs w:val="16"/>
        </w:rPr>
        <w:t>и до 16 августа 1917 года было сдано 25 экземпляров из заказанных 100. В начале 1917 года истребитель-летающая лодка «М-11» была весьма положительно оценена морскими летчиками. Особенно понравилась броня. Самолеты эти выполняли главным образом задания по разведке. В общей сложности в морской авиации самолеты «М-11» находились в количестве не более 60 экземпляров (15091).</w:t>
      </w:r>
    </w:p>
    <w:p w14:paraId="53C6CF2F" w14:textId="77777777"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p>
    <w:p w14:paraId="66D78441" w14:textId="77777777" w:rsidR="00B70273" w:rsidRPr="002F2FDF" w:rsidRDefault="00B7027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6 (19) апреля 1917 г. Морское министерство дало четвертый заказ сразу на сто М-11 и М-12 Из них 60 должны были поставляться с мотором Рон 9 мощностью 125 л. с., но по документам фирмы Gnome-Rhone такого мотора нет, а есть Рон 9Jb мощностью 120 сил или Рон 9Jby — 130 л. с. Этот заказ был самым большим, хотя к тому времени самолет был забракован и морскими летчиками, и их командирами, включая высшее флотское командование. Еще одна трудность заключалась в том, что после Февральской буржуазной революции управление экономикой России оказалось дезорганизовано, и пришедшее к власти Временное правительство ничего не делало для исправления создавшегося тяжелого положения (22832).</w:t>
      </w:r>
    </w:p>
    <w:p w14:paraId="74F99411" w14:textId="77777777" w:rsidR="00B70273" w:rsidRPr="002F2FDF" w:rsidRDefault="00B70273" w:rsidP="0083075A">
      <w:pPr>
        <w:spacing w:after="0" w:line="240" w:lineRule="auto"/>
        <w:jc w:val="both"/>
        <w:rPr>
          <w:rFonts w:ascii="Times New Roman" w:hAnsi="Times New Roman" w:cs="Times New Roman"/>
          <w:color w:val="000000" w:themeColor="text1"/>
          <w:sz w:val="16"/>
          <w:szCs w:val="16"/>
        </w:rPr>
      </w:pPr>
    </w:p>
    <w:p w14:paraId="0D0714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апреля 1917 к Башко выполнил на ИМ перелет Станьково - Винница, покрыв 650 верст за 6.5 час. (2269,41).</w:t>
      </w:r>
    </w:p>
    <w:p w14:paraId="63A62F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6E70F3" w14:textId="77777777" w:rsidR="00FD27EC" w:rsidRPr="002F2FDF" w:rsidRDefault="00FD27EC"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6 (19) апреля 1917 г. на общем собрании рабочих «Дукса» по предложению большевиков М.С.Николаева, С.П.Морозова, Н.М.Ганчукова и С.П.Исаева избрали заводской комитет. Большевики расширяли влияние и завоевывали авторитет у рабочих. Деятельность партячейки «Дукса» стала широко известна в Бутырско-Всехсвятском районном совете рабочих и солдатских депутатов, созванном большевиками летом 1917 г. Из него вскоре выделили Всехсвятский подрайон. Большевики закончили воздушный праздник на Ходынке в Ильин день 18 июля солдатским митингом, вылившимся в огромную 3-тысячную демонстрацию по Тверской улице к Скобелевской площади, где митинговали до вечера (15464).</w:t>
      </w:r>
    </w:p>
    <w:p w14:paraId="1CF012EA" w14:textId="54994EAF" w:rsidR="00FD27EC" w:rsidRPr="002F2FDF" w:rsidRDefault="00FD27EC" w:rsidP="0083075A">
      <w:pPr>
        <w:pStyle w:val="2"/>
        <w:spacing w:before="0" w:beforeAutospacing="0" w:after="0" w:afterAutospacing="0"/>
        <w:jc w:val="both"/>
        <w:rPr>
          <w:b w:val="0"/>
          <w:color w:val="000000" w:themeColor="text1"/>
          <w:kern w:val="2"/>
          <w:sz w:val="16"/>
          <w:szCs w:val="16"/>
        </w:rPr>
      </w:pPr>
    </w:p>
    <w:p w14:paraId="186C74CE" w14:textId="4836CA09" w:rsidR="001267E4" w:rsidRPr="002F2FDF" w:rsidRDefault="001267E4" w:rsidP="0083075A">
      <w:pPr>
        <w:pStyle w:val="2"/>
        <w:spacing w:before="0" w:beforeAutospacing="0" w:after="0" w:afterAutospacing="0"/>
        <w:jc w:val="both"/>
        <w:rPr>
          <w:b w:val="0"/>
          <w:i/>
          <w:iCs/>
          <w:color w:val="000000" w:themeColor="text1"/>
          <w:kern w:val="2"/>
          <w:sz w:val="16"/>
          <w:szCs w:val="16"/>
        </w:rPr>
      </w:pPr>
      <w:r w:rsidRPr="002F2FDF">
        <w:rPr>
          <w:b w:val="0"/>
          <w:i/>
          <w:iCs/>
          <w:color w:val="000000" w:themeColor="text1"/>
          <w:kern w:val="2"/>
          <w:sz w:val="16"/>
          <w:szCs w:val="16"/>
        </w:rPr>
        <w:t>Другие оборонные отрасли:</w:t>
      </w:r>
    </w:p>
    <w:p w14:paraId="3EAB727B" w14:textId="77777777" w:rsidR="001267E4" w:rsidRPr="002F2FDF" w:rsidRDefault="001267E4" w:rsidP="0083075A">
      <w:pPr>
        <w:pStyle w:val="2"/>
        <w:spacing w:before="0" w:beforeAutospacing="0" w:after="0" w:afterAutospacing="0"/>
        <w:jc w:val="both"/>
        <w:rPr>
          <w:b w:val="0"/>
          <w:i/>
          <w:iCs/>
          <w:color w:val="000000" w:themeColor="text1"/>
          <w:kern w:val="2"/>
          <w:sz w:val="16"/>
          <w:szCs w:val="16"/>
        </w:rPr>
      </w:pPr>
    </w:p>
    <w:p w14:paraId="423F00B8" w14:textId="77777777" w:rsidR="00E57831" w:rsidRPr="002F2FDF" w:rsidRDefault="00E57831"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lastRenderedPageBreak/>
        <w:t>6 (19) апреля 1917 г. Особое совещание по обороне одобрило заказ еще 16 таких приборов Нагорскому и одного стационарного комплекта на общую сумму 42 тыс. руб. [Журнал № 134 ПКОВ. Заседание 6 апреля 1917 г. / Архив ВИМАИВиВС. Ф. 13. Оп. 87/1. Д. 62. Л. 3.] (20236).</w:t>
      </w:r>
    </w:p>
    <w:p w14:paraId="060B796D" w14:textId="77777777" w:rsidR="00E57831" w:rsidRPr="002F2FDF" w:rsidRDefault="00E57831"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1125F9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8E91F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6007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апреля 1917 капитан Башко осуществил на ИМ "Киевский" № 182 перелет Станьково-Винница, покрыв расстояние 650 верст за 6,5 часов. На базе "Муромец" был модернизирован: был полностью остеклен нос, вместо "Аргусов" поставлены 4 новеньких английских мотора "Бердмор" по 160 л.с.. Это были самые лучшие моторы, когда либо применявшиеся на кораблях (11277).</w:t>
      </w:r>
    </w:p>
    <w:p w14:paraId="590512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9CF5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апреля 1917 капитан Башко осуществил перелет Станьково-Винница, покрыв расстояние 650 верст за 6,5 часов. На базе "Муромец" был модернизирован: был полностью остеклен нос, вместо "Аргусов" поставлены 4 новеньких английских мотора "Бердмор" по 160 л.с.. Это были самые лучшие моторы, когда либо применявшиеся на кораблях (12038).</w:t>
      </w:r>
    </w:p>
    <w:p w14:paraId="4A93AE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94E5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 </w:t>
      </w:r>
      <w:r w:rsidR="003355CF" w:rsidRPr="002F2FDF">
        <w:rPr>
          <w:rFonts w:ascii="Times New Roman" w:hAnsi="Times New Roman" w:cs="Times New Roman"/>
          <w:color w:val="000000" w:themeColor="text1"/>
          <w:kern w:val="2"/>
          <w:sz w:val="16"/>
          <w:szCs w:val="16"/>
        </w:rPr>
        <w:t xml:space="preserve">(19) </w:t>
      </w:r>
      <w:r w:rsidRPr="002F2FDF">
        <w:rPr>
          <w:rFonts w:ascii="Times New Roman" w:hAnsi="Times New Roman" w:cs="Times New Roman"/>
          <w:color w:val="000000" w:themeColor="text1"/>
          <w:kern w:val="2"/>
          <w:sz w:val="16"/>
          <w:szCs w:val="16"/>
        </w:rPr>
        <w:t>апреля I917 года капитан Башко осуществил перелёт Станьково-Винница, покрыв расстояние 650 вёрст (690 км) за 6,5 часов. На базе "Муромец" был модернизирован: ему полностью остеклили переднюю часть кабины, вместо старых "Аргусов" установили четыре новых английских мотора "Бердмор" по 160 л.с. Это были самые лучшие моторы, когда-либо применявшиеся на кораблях (12041).</w:t>
      </w:r>
    </w:p>
    <w:p w14:paraId="513FBB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E4FA06"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6 (19) апреля 1917 г. экипаж И.С. Башко совершил на машине «Илья Муромец» Г-36 (ИМ Г-36, ИМ-Г36 № 182 «Корабль Киевский 5-й») экз. № 36 переоборудованный, стратегический разведчик, тяжелый бомбардировщик перелет из Станьково на базовый а/д Винница, пройдя без посадки 650 км за 6,5 ч для выполнения доработки – самолет был переоборудован в тип Г (предположительно, в вариант Г-2) – см. Г-36. К тому времени самолет уже совершил 21 боевой вылет самолет.</w:t>
      </w:r>
    </w:p>
    <w:p w14:paraId="53586091"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ходе доработки его четыре 4 двигателя водяного охлаждения «Аргус» 140 л.с. (As II) заменены на новые рядные 6-цилиндровые двигатели водяного охлаждения «Бердмор» мощностью 160 л.с. (производитель – английская фирма William Beardmore and Company, Ltd., ее моторы маркировались названием фирмы и значением мощности – в данном случае Beardmore 160 hp). По мнению М. Хайрулина, это были лучшие двигатели из всех, устанавливаемых на самолеты ИМ.</w:t>
      </w:r>
    </w:p>
    <w:p w14:paraId="007D70D9"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мае 1917 г. переоборудование было завершено и самолет был отправлен на аэродром Винница. Командиром корабля был оставлен И.С. Башко. (23553).</w:t>
      </w:r>
    </w:p>
    <w:p w14:paraId="675EE3F6" w14:textId="77777777" w:rsidR="00CE28D1" w:rsidRPr="00FB4F67" w:rsidRDefault="00CE28D1" w:rsidP="0083075A">
      <w:pPr>
        <w:spacing w:after="0" w:line="240" w:lineRule="auto"/>
        <w:jc w:val="both"/>
        <w:rPr>
          <w:rFonts w:ascii="Times New Roman" w:hAnsi="Times New Roman" w:cs="Times New Roman"/>
          <w:color w:val="0070C0"/>
          <w:sz w:val="16"/>
          <w:szCs w:val="16"/>
        </w:rPr>
      </w:pPr>
    </w:p>
    <w:p w14:paraId="1505AD3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5D323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10220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апреля 1917 ЦК РСДРП (б) отверг Апрельские тезисы Ленина (среди резких критиков этой программы был и Сталин) (4962).</w:t>
      </w:r>
    </w:p>
    <w:p w14:paraId="65F5F16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3B0996" w14:textId="77777777"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6 (19) апреля</w:t>
      </w:r>
      <w:r w:rsidRPr="002F2FDF">
        <w:rPr>
          <w:rFonts w:ascii="Times New Roman" w:hAnsi="Times New Roman" w:cs="Times New Roman"/>
          <w:color w:val="000000" w:themeColor="text1"/>
          <w:kern w:val="2"/>
          <w:sz w:val="16"/>
          <w:szCs w:val="16"/>
        </w:rPr>
        <w:t xml:space="preserve"> в 1917 году после семи лет в тюрьме в Гуляйполе возвращается Нестор Махно (15091).</w:t>
      </w:r>
    </w:p>
    <w:p w14:paraId="1EEB7B10" w14:textId="77777777"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p>
    <w:p w14:paraId="4ADCD7CC" w14:textId="77777777" w:rsidR="0017182D" w:rsidRPr="002F2FDF" w:rsidRDefault="0017182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6-8 (</w:t>
      </w:r>
      <w:r w:rsidRPr="002F2FDF">
        <w:rPr>
          <w:rFonts w:ascii="Times New Roman" w:hAnsi="Times New Roman" w:cs="Times New Roman"/>
          <w:color w:val="000000" w:themeColor="text1"/>
          <w:kern w:val="2"/>
          <w:sz w:val="16"/>
          <w:szCs w:val="16"/>
        </w:rPr>
        <w:t>19-21)</w:t>
      </w:r>
      <w:r w:rsidRPr="002F2FDF">
        <w:rPr>
          <w:rFonts w:ascii="Times New Roman" w:hAnsi="Times New Roman" w:cs="Times New Roman"/>
          <w:bCs/>
          <w:color w:val="000000" w:themeColor="text1"/>
          <w:kern w:val="2"/>
          <w:sz w:val="16"/>
          <w:szCs w:val="16"/>
        </w:rPr>
        <w:t xml:space="preserve"> апреля 1917 на т.н. Всеукр. нац. конгрессе представителей укр. бурж. и мелкобурж. партий и обществ, орг-ций в Киеве состав Ц. р. пополнился до 150 чел. Для работы между пленумами Ц. р. в июне выделила исполнительный орган — т. н. Малую раду из 30 чел. (пред.- М. С. Грушевский, зам. пред.-В. К. Винниченко, С. А. Ефремов; члены — А. В. Никовский, Н. В. Порш и др.). Печатный орган Ц. р.- «Bicтi Украiнськоï Центральноï ради». Лидеры Ц. р., стремясь направить укр. нац. движение в бурж.-националистич. русло, пытались создать «единый укр. нац. фронт». На местах были созданы губ., уездные и гор. рады. В апр.- июле 1917 Ц. р. пополнилась представителями крестьян, солдат, рабочих, студентов, учителей, буржуазии и помещиков, избранными на различных съездах и конференциях, а также представителями бурж. и мелкобурж. партий и орг-ций нац. меньшинств, проживающих на Украине. Всего в мае -июле в Ц. р. было избрано 643 члена (номинально числилось 815 членов, но участвовало в работе менее половины). В это же время началось формирование укр. воинских частей (17326).</w:t>
      </w:r>
    </w:p>
    <w:p w14:paraId="154F95CA" w14:textId="77777777" w:rsidR="0017182D" w:rsidRPr="002F2FDF" w:rsidRDefault="0017182D" w:rsidP="0083075A">
      <w:pPr>
        <w:spacing w:after="0" w:line="240" w:lineRule="auto"/>
        <w:jc w:val="both"/>
        <w:rPr>
          <w:rFonts w:ascii="Times New Roman" w:hAnsi="Times New Roman" w:cs="Times New Roman"/>
          <w:color w:val="000000" w:themeColor="text1"/>
          <w:kern w:val="2"/>
          <w:sz w:val="16"/>
          <w:szCs w:val="16"/>
        </w:rPr>
      </w:pPr>
    </w:p>
    <w:p w14:paraId="29321058" w14:textId="77777777" w:rsidR="0017182D"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0A9CF06" w14:textId="77777777" w:rsidR="0017182D" w:rsidRPr="002F2FDF" w:rsidRDefault="0017182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77BE7F" w14:textId="77777777" w:rsidR="0017182D" w:rsidRPr="002F2FDF" w:rsidRDefault="0017182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6 (19) апреля 1917 г.</w:t>
      </w:r>
      <w:r w:rsidRPr="002F2FDF">
        <w:rPr>
          <w:rFonts w:ascii="Times New Roman" w:hAnsi="Times New Roman" w:cs="Times New Roman"/>
          <w:bCs/>
          <w:color w:val="000000" w:themeColor="text1"/>
          <w:kern w:val="2"/>
          <w:sz w:val="16"/>
          <w:szCs w:val="16"/>
        </w:rPr>
        <w:t xml:space="preserve"> генерал Людендорф пришел к выводу, что ослабление России позволяет уже не опасаться наступления с ее стороны. Его штаб выпустил брошюру «Будущее Германии», в которой помещалась красочная карта России с обозначениями мест проживания «нерусского населения», объяснялись возможности колонизации России. Уголь, железная руда и нефть России сделают Германию самодостаточной экономической величиной (17326).</w:t>
      </w:r>
    </w:p>
    <w:p w14:paraId="45D3D326" w14:textId="77777777" w:rsidR="0017182D" w:rsidRPr="002F2FDF" w:rsidRDefault="0017182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2EF78F" w14:textId="77777777" w:rsidR="00FD5EDA" w:rsidRPr="002F2FDF" w:rsidRDefault="00FD5ED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0DC00C4" w14:textId="77777777" w:rsidR="00FD5EDA" w:rsidRPr="002F2FDF" w:rsidRDefault="00FD5ED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16348C" w14:textId="77777777" w:rsidR="00FD5EDA" w:rsidRPr="002F2FDF" w:rsidRDefault="00FD5ED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апреля 1917 л Гильшнер совершил свой последний полет. В паре с летчиком В. Н. Янченко на истребителе “Ньюпор” Гильшер смело вступил в бой с восемью немецкими самолетами. На помощь к врагу прилетели еще 10 самолетов. Русские храбрецы вдвоем рванулись в атаку на 18 самолетов противника. Самолет Гильшера был подбит и камнем упал на землю. Летчик Янченко сумел приземлиться рядом с погибшим героем, взял его тело и доставил на свой аэродром в Тарнополь (9705).</w:t>
      </w:r>
    </w:p>
    <w:p w14:paraId="75EAB46D" w14:textId="77777777" w:rsidR="00FD5EDA" w:rsidRPr="002F2FDF" w:rsidRDefault="00FD5ED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18A412" w14:textId="77777777" w:rsidR="00FD5EDA" w:rsidRPr="002F2FDF" w:rsidRDefault="00FD5ED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апреля 1917 русский военный летчик Гилыиер на истребителе "Ньюпор" в паре со своим ведомым военным летчиком В.Н. Янченко смело вступил в бой с восемью германскими самолетами. Вскоре после начала этого боя появилось еще десять германских истребителей. Самолет Гильшера был сбит и камнем упал на землю. Янченко приземлился рядом с местом падения сбитого "Ньюпора", забрал тело погибшего товарища и доставил его на свой аэродром в Тарнополь (11999).</w:t>
      </w:r>
    </w:p>
    <w:p w14:paraId="745B24B9" w14:textId="77777777" w:rsidR="00FD5EDA" w:rsidRPr="002F2FDF" w:rsidRDefault="00FD5ED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9CB368" w14:textId="77777777" w:rsidR="00FD5EDA" w:rsidRPr="002F2FDF" w:rsidRDefault="00FD5ED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19B93B2" w14:textId="77777777" w:rsidR="00FD5EDA" w:rsidRPr="002F2FDF" w:rsidRDefault="00FD5ED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7DD141" w14:textId="77777777" w:rsidR="00FD5EDA" w:rsidRPr="002F2FDF" w:rsidRDefault="00FD5ED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апреля 1917 Апрельские тезисы были опубликованы в Правде (1348,84).</w:t>
      </w:r>
    </w:p>
    <w:p w14:paraId="1DD1904B" w14:textId="77777777" w:rsidR="00FD5EDA" w:rsidRPr="002F2FDF" w:rsidRDefault="00FD5ED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995ED9" w14:textId="77777777" w:rsidR="00FD5EDA" w:rsidRPr="002F2FDF" w:rsidRDefault="00FD5ED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апреля в 1917 году публикация в «Правде» ленинских «Апрельских тезисов», с которыми он выступил перед большевиками 17 апреля в Таврическом дворце. В тезисах были провозглашены борьба за выход из войны (15105).</w:t>
      </w:r>
    </w:p>
    <w:p w14:paraId="15D856E5" w14:textId="77777777" w:rsidR="00FD5EDA" w:rsidRPr="002F2FDF" w:rsidRDefault="00FD5EDA" w:rsidP="0083075A">
      <w:pPr>
        <w:spacing w:after="0" w:line="240" w:lineRule="auto"/>
        <w:jc w:val="both"/>
        <w:rPr>
          <w:rFonts w:ascii="Times New Roman" w:hAnsi="Times New Roman" w:cs="Times New Roman"/>
          <w:color w:val="000000" w:themeColor="text1"/>
          <w:kern w:val="2"/>
          <w:sz w:val="16"/>
          <w:szCs w:val="16"/>
        </w:rPr>
      </w:pPr>
    </w:p>
    <w:p w14:paraId="278A3B2D" w14:textId="77777777" w:rsidR="00FD5EDA" w:rsidRPr="002F2FDF" w:rsidRDefault="00FD5EDA" w:rsidP="0083075A">
      <w:pPr>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rPr>
        <w:t>7 (20) апреля в 1917 году политическая демонстрация в Петрограде. АпрельскийкризисВременногоправительства</w:t>
      </w:r>
      <w:r w:rsidRPr="002F2FDF">
        <w:rPr>
          <w:rFonts w:ascii="Times New Roman" w:hAnsi="Times New Roman" w:cs="Times New Roman"/>
          <w:color w:val="000000" w:themeColor="text1"/>
          <w:kern w:val="2"/>
          <w:sz w:val="16"/>
          <w:szCs w:val="16"/>
          <w:lang w:val="en-US"/>
        </w:rPr>
        <w:t xml:space="preserve"> (15105).</w:t>
      </w:r>
    </w:p>
    <w:p w14:paraId="7D0CF8B9" w14:textId="77777777" w:rsidR="00FD5EDA" w:rsidRPr="002F2FDF" w:rsidRDefault="00FD5EDA" w:rsidP="0083075A">
      <w:pPr>
        <w:spacing w:after="0" w:line="240" w:lineRule="auto"/>
        <w:jc w:val="both"/>
        <w:rPr>
          <w:rFonts w:ascii="Times New Roman" w:hAnsi="Times New Roman" w:cs="Times New Roman"/>
          <w:color w:val="000000" w:themeColor="text1"/>
          <w:kern w:val="2"/>
          <w:sz w:val="16"/>
          <w:szCs w:val="16"/>
          <w:lang w:val="en-US"/>
        </w:rPr>
      </w:pPr>
    </w:p>
    <w:p w14:paraId="75AEC711" w14:textId="77777777" w:rsidR="00FD5EDA" w:rsidRPr="002F2FDF" w:rsidRDefault="00FD5ED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2F2FDF">
        <w:rPr>
          <w:rFonts w:ascii="Times New Roman" w:hAnsi="Times New Roman" w:cs="Times New Roman"/>
          <w:i/>
          <w:iCs/>
          <w:color w:val="000000" w:themeColor="text1"/>
          <w:kern w:val="2"/>
          <w:sz w:val="16"/>
          <w:szCs w:val="16"/>
        </w:rPr>
        <w:t>За</w:t>
      </w:r>
      <w:r w:rsidRPr="002F2FDF">
        <w:rPr>
          <w:rFonts w:ascii="Times New Roman" w:hAnsi="Times New Roman" w:cs="Times New Roman"/>
          <w:i/>
          <w:iCs/>
          <w:color w:val="000000" w:themeColor="text1"/>
          <w:kern w:val="2"/>
          <w:sz w:val="16"/>
          <w:szCs w:val="16"/>
          <w:lang w:val="en-US"/>
        </w:rPr>
        <w:t xml:space="preserve"> </w:t>
      </w:r>
      <w:r w:rsidRPr="002F2FDF">
        <w:rPr>
          <w:rFonts w:ascii="Times New Roman" w:hAnsi="Times New Roman" w:cs="Times New Roman"/>
          <w:i/>
          <w:iCs/>
          <w:color w:val="000000" w:themeColor="text1"/>
          <w:kern w:val="2"/>
          <w:sz w:val="16"/>
          <w:szCs w:val="16"/>
        </w:rPr>
        <w:t>рубежом</w:t>
      </w:r>
      <w:r w:rsidRPr="002F2FDF">
        <w:rPr>
          <w:rFonts w:ascii="Times New Roman" w:hAnsi="Times New Roman" w:cs="Times New Roman"/>
          <w:i/>
          <w:iCs/>
          <w:color w:val="000000" w:themeColor="text1"/>
          <w:kern w:val="2"/>
          <w:sz w:val="16"/>
          <w:szCs w:val="16"/>
          <w:lang w:val="en-US"/>
        </w:rPr>
        <w:t>:</w:t>
      </w:r>
    </w:p>
    <w:p w14:paraId="4D17CCBD" w14:textId="77777777" w:rsidR="00FD5EDA" w:rsidRPr="002F2FDF" w:rsidRDefault="00FD5ED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2516485A" w14:textId="77777777" w:rsidR="00FD5EDA" w:rsidRPr="002F2FDF" w:rsidRDefault="00FD5ED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April 20, 1917 The Navy's first airship, DN-1, made its first flight at Pensacola. Its performance was unsatisfactory on several counts and, after only two more flights in this month, it was grounded and never flown again (1090).</w:t>
      </w:r>
    </w:p>
    <w:p w14:paraId="62E2686E" w14:textId="77777777" w:rsidR="00FD5EDA" w:rsidRPr="002F2FDF" w:rsidRDefault="00FD5ED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2CD2598" w14:textId="77777777" w:rsidR="00FD5EDA" w:rsidRPr="002F2FDF" w:rsidRDefault="00FD5ED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апреля 1917 первый флотский дирижабль США DN-1 выполнил первый полет в Pensacola. Характеристики были неудовлетворительными и после еще двух полетов в том же месяце он больше не использовался (1090).</w:t>
      </w:r>
    </w:p>
    <w:p w14:paraId="332805B2" w14:textId="77777777" w:rsidR="00FD5EDA" w:rsidRPr="002F2FDF" w:rsidRDefault="00FD5ED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6F5076" w14:textId="77777777" w:rsidR="00FD5EDA" w:rsidRPr="002F2FDF" w:rsidRDefault="00FD5ED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апреля в 1917 году первый полет (из трех состоявшихся) первого дирижабля ВМС США «DN-1» (или «А-1»), построенного фирмой «Коннектикут Эркрафт Компани». Его объем составлял 4247,5 м3, длина - 53,34 метра. Скорость до 56 км/ч дирижабль развивал с помощью одного двигателя «Стэртевант» мощностью 145 л.с. Первоначально DN-1 имел два двигателя, но, оказавшись чересчур тяжелым, подвергся модификации (15105).</w:t>
      </w:r>
    </w:p>
    <w:p w14:paraId="466E8DB1" w14:textId="77777777" w:rsidR="00FD5EDA" w:rsidRPr="002F2FDF" w:rsidRDefault="00FD5EDA" w:rsidP="0083075A">
      <w:pPr>
        <w:spacing w:after="0" w:line="240" w:lineRule="auto"/>
        <w:jc w:val="both"/>
        <w:rPr>
          <w:rFonts w:ascii="Times New Roman" w:hAnsi="Times New Roman" w:cs="Times New Roman"/>
          <w:color w:val="000000" w:themeColor="text1"/>
          <w:kern w:val="2"/>
          <w:sz w:val="16"/>
          <w:szCs w:val="16"/>
        </w:rPr>
      </w:pPr>
    </w:p>
    <w:p w14:paraId="1A3E9C70" w14:textId="77777777" w:rsidR="00FD5EDA" w:rsidRPr="002F2FDF" w:rsidRDefault="00FD5ED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7 (20) апреля 1917 первый дирижабль ВМС США DN-1 летит в первый раз в Пенсаколе , штат Флорида . Испытания прошли крайне неудачно и заканчиваются спустя девять дней (20341).</w:t>
      </w:r>
    </w:p>
    <w:p w14:paraId="6F04460F" w14:textId="77777777" w:rsidR="00FD5EDA" w:rsidRPr="002F2FDF" w:rsidRDefault="00FD5EDA" w:rsidP="0083075A">
      <w:pPr>
        <w:spacing w:after="0" w:line="240" w:lineRule="auto"/>
        <w:jc w:val="both"/>
        <w:rPr>
          <w:rFonts w:ascii="Times New Roman" w:hAnsi="Times New Roman" w:cs="Times New Roman"/>
          <w:color w:val="000000" w:themeColor="text1"/>
          <w:sz w:val="16"/>
          <w:szCs w:val="16"/>
        </w:rPr>
      </w:pPr>
    </w:p>
    <w:p w14:paraId="12009155" w14:textId="77777777" w:rsidR="00FD5EDA" w:rsidRPr="002F2FDF" w:rsidRDefault="00FD5ED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7 (20) апреля 1917 первый полет дирижабля ВМС США DN-1 (20341).</w:t>
      </w:r>
    </w:p>
    <w:p w14:paraId="3AD4224D" w14:textId="77777777" w:rsidR="00FD5EDA" w:rsidRPr="002F2FDF" w:rsidRDefault="00FD5EDA" w:rsidP="0083075A">
      <w:pPr>
        <w:spacing w:after="0" w:line="240" w:lineRule="auto"/>
        <w:jc w:val="both"/>
        <w:rPr>
          <w:rFonts w:ascii="Times New Roman" w:hAnsi="Times New Roman" w:cs="Times New Roman"/>
          <w:color w:val="000000" w:themeColor="text1"/>
          <w:sz w:val="16"/>
          <w:szCs w:val="16"/>
        </w:rPr>
      </w:pPr>
    </w:p>
    <w:p w14:paraId="7734B531" w14:textId="4EEB6C4E" w:rsidR="00FD5EDA" w:rsidRPr="002F2FDF" w:rsidRDefault="00FD5ED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7 (20) апреля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Первый полет первого дирижабля ВМС США DN-1 (или А-1), построенного фирмой «Коннектикут Эркрафт Компани» и совершившее первый полет (из трех состоявшихся) 20 апреля 1917 года. Его объем составлял 4247,5 м3, длина - 53,34 метра. Скорость до 56 км/ч дирижабль развивал с помощью одного двигателя Стэртевант мощностью 145 л.с. Первоначально DN-1 имел два двигателя, но, оказавшись чересчур тяжелым, подвергся модификации (22529).</w:t>
      </w:r>
    </w:p>
    <w:p w14:paraId="3C18151B" w14:textId="77777777" w:rsidR="00FD5EDA" w:rsidRPr="002F2FDF" w:rsidRDefault="00FD5EDA" w:rsidP="0083075A">
      <w:pPr>
        <w:spacing w:after="0" w:line="240" w:lineRule="auto"/>
        <w:jc w:val="both"/>
        <w:rPr>
          <w:rFonts w:ascii="Times New Roman" w:hAnsi="Times New Roman" w:cs="Times New Roman"/>
          <w:color w:val="000000" w:themeColor="text1"/>
          <w:sz w:val="16"/>
          <w:szCs w:val="16"/>
        </w:rPr>
      </w:pPr>
    </w:p>
    <w:p w14:paraId="02EE93D7" w14:textId="77777777" w:rsidR="00FD5EDA" w:rsidRPr="002F2FDF" w:rsidRDefault="00FD5EDA" w:rsidP="0083075A">
      <w:pPr>
        <w:spacing w:after="0" w:line="240" w:lineRule="auto"/>
        <w:jc w:val="both"/>
        <w:rPr>
          <w:rFonts w:ascii="Times New Roman" w:hAnsi="Times New Roman" w:cs="Times New Roman"/>
          <w:color w:val="000000" w:themeColor="text1"/>
          <w:sz w:val="16"/>
          <w:szCs w:val="16"/>
          <w:shd w:val="clear" w:color="auto" w:fill="FBFCFC"/>
        </w:rPr>
      </w:pPr>
      <w:r w:rsidRPr="002F2FDF">
        <w:rPr>
          <w:rFonts w:ascii="Times New Roman" w:hAnsi="Times New Roman" w:cs="Times New Roman"/>
          <w:color w:val="000000" w:themeColor="text1"/>
          <w:sz w:val="16"/>
          <w:szCs w:val="16"/>
          <w:shd w:val="clear" w:color="auto" w:fill="FBFCFC"/>
        </w:rPr>
        <w:lastRenderedPageBreak/>
        <w:t>7 (20) апреля 1917 года состоялось первое успешное применение английских торпедных катеров, когда при атаке нескольких немецких эсминцев английскими торпедными катерами, один из эсминцев (G-88) был потоплен (21496).</w:t>
      </w:r>
    </w:p>
    <w:p w14:paraId="15AA4938" w14:textId="77777777" w:rsidR="00FD5EDA" w:rsidRPr="002F2FDF" w:rsidRDefault="00FD5EDA" w:rsidP="0083075A">
      <w:pPr>
        <w:pStyle w:val="ae"/>
        <w:shd w:val="clear" w:color="auto" w:fill="FFFFFF"/>
        <w:spacing w:before="0" w:after="0"/>
        <w:jc w:val="both"/>
        <w:rPr>
          <w:color w:val="000000" w:themeColor="text1"/>
          <w:sz w:val="16"/>
          <w:szCs w:val="16"/>
        </w:rPr>
      </w:pPr>
      <w:r w:rsidRPr="002F2FDF">
        <w:rPr>
          <w:color w:val="000000" w:themeColor="text1"/>
          <w:sz w:val="16"/>
          <w:szCs w:val="16"/>
        </w:rPr>
        <w:t>Накануне порт Дюнкерк — главная база англо-французской флотилии в проливе Ла-Манш — подвергся сильнейшему обстрелу германских эсминцев. В результате разрушений выход из него для эсминцев и сторожевиков на некоторое время оказался закрыт, возможность действовать осталась только у торпедных катеров. Прорыв катеров в открытое море и успешная атака ими вражеских миноносцев, пришедших повторить бомбардировку, заметно подняли престиж нового класса кораблей. Четыре 40-футовых катера под командованием лейтенанта Беккета потопили немецкий миноносец “Г-88” и вывели из строя еще два.</w:t>
      </w:r>
    </w:p>
    <w:p w14:paraId="40C79FF8" w14:textId="77777777" w:rsidR="00FD5EDA" w:rsidRPr="002F2FDF" w:rsidRDefault="00FD5EDA" w:rsidP="0083075A">
      <w:pPr>
        <w:pStyle w:val="ae"/>
        <w:shd w:val="clear" w:color="auto" w:fill="FFFFFF"/>
        <w:spacing w:before="0" w:after="0"/>
        <w:jc w:val="both"/>
        <w:rPr>
          <w:color w:val="000000" w:themeColor="text1"/>
          <w:sz w:val="16"/>
          <w:szCs w:val="16"/>
        </w:rPr>
      </w:pPr>
      <w:r w:rsidRPr="002F2FDF">
        <w:rPr>
          <w:color w:val="000000" w:themeColor="text1"/>
          <w:sz w:val="16"/>
          <w:szCs w:val="16"/>
        </w:rPr>
        <w:t>Однако успех торпедных катеров под Остенде оказался во многом неожиданным. Дело в том, что первые же месяцы боевого использования 40-футовых катеров выявили их серьезные недостатки. Эти глиссеры были так малы, что с трудом выдерживали даже небольшое волнение. На ходу катер отрывался от водной поверхности, а затем, падая, испытывал огромные ударные нагрузки на корпус. Тряска оказалась настолько сильной, что морякам иногда казалось, будто глиссер мчится не по волнам, а прямо по каменистому дну. Кроме того, катер окружала сплошная пелена брызг, сквозь которую с трудом удавалось что-либо рассмотреть. Потоки воды заливали механизмы; возле них суетились промокшие до нитки матросы.</w:t>
      </w:r>
    </w:p>
    <w:p w14:paraId="4550C788" w14:textId="6589EE46" w:rsidR="00FD5EDA" w:rsidRPr="002F2FDF" w:rsidRDefault="00FD5EDA" w:rsidP="0083075A">
      <w:pPr>
        <w:pStyle w:val="ae"/>
        <w:shd w:val="clear" w:color="auto" w:fill="FFFFFF"/>
        <w:spacing w:before="0" w:after="0"/>
        <w:jc w:val="both"/>
        <w:rPr>
          <w:color w:val="000000" w:themeColor="text1"/>
          <w:sz w:val="16"/>
          <w:szCs w:val="16"/>
        </w:rPr>
      </w:pPr>
      <w:r w:rsidRPr="002F2FDF">
        <w:rPr>
          <w:color w:val="000000" w:themeColor="text1"/>
          <w:sz w:val="16"/>
          <w:szCs w:val="16"/>
        </w:rPr>
        <w:t>Нужно было немедленно что-то изменить в конструкции катера, чтобы повысить его мореходность, — например, удлинить корпус. Однако неизбежный в таком случае рост водоизмещения поднимал выше планку</w:t>
      </w:r>
      <w:r w:rsidR="00E52569">
        <w:rPr>
          <w:color w:val="000000" w:themeColor="text1"/>
          <w:sz w:val="16"/>
          <w:szCs w:val="16"/>
        </w:rPr>
        <w:t xml:space="preserve"> </w:t>
      </w:r>
      <w:r w:rsidRPr="002F2FDF">
        <w:rPr>
          <w:rStyle w:val="p"/>
          <w:color w:val="000000" w:themeColor="text1"/>
          <w:sz w:val="16"/>
          <w:szCs w:val="16"/>
        </w:rPr>
        <w:t>[128]</w:t>
      </w:r>
      <w:r w:rsidR="00E52569">
        <w:rPr>
          <w:color w:val="000000" w:themeColor="text1"/>
          <w:sz w:val="16"/>
          <w:szCs w:val="16"/>
        </w:rPr>
        <w:t xml:space="preserve"> </w:t>
      </w:r>
      <w:r w:rsidRPr="002F2FDF">
        <w:rPr>
          <w:color w:val="000000" w:themeColor="text1"/>
          <w:sz w:val="16"/>
          <w:szCs w:val="16"/>
        </w:rPr>
        <w:t>скорости, с которой начиналось глиссирование. Это, в свою очередь, требовало установки более мощных моторов. Наконец, увеличение тоннажа убивало саму идею малого торпедного катера, транспортируемого на борту корабля-базы. Грузовые стрелы крейсера не смогли бы поднять на его борт “москита”, большего, чем 40-футовый СМБ (21499).</w:t>
      </w:r>
    </w:p>
    <w:p w14:paraId="47038F76" w14:textId="77777777" w:rsidR="00FD5EDA" w:rsidRPr="002F2FDF" w:rsidRDefault="00FD5EDA" w:rsidP="0083075A">
      <w:pPr>
        <w:spacing w:after="0" w:line="240" w:lineRule="auto"/>
        <w:jc w:val="both"/>
        <w:rPr>
          <w:rFonts w:ascii="Times New Roman" w:hAnsi="Times New Roman" w:cs="Times New Roman"/>
          <w:color w:val="000000" w:themeColor="text1"/>
          <w:sz w:val="16"/>
          <w:szCs w:val="16"/>
          <w:shd w:val="clear" w:color="auto" w:fill="FBFCFC"/>
        </w:rPr>
      </w:pPr>
    </w:p>
    <w:p w14:paraId="6EA380A6" w14:textId="77777777" w:rsidR="00FD5EDA" w:rsidRPr="002F2FDF" w:rsidRDefault="00FD5ED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апреля 1917 возникла напряженность в отношениях Турции и США (3907,90).</w:t>
      </w:r>
    </w:p>
    <w:p w14:paraId="118B57E5" w14:textId="77777777" w:rsidR="00FD5EDA" w:rsidRPr="002F2FDF" w:rsidRDefault="00FD5ED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5822F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24180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CB2562"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(в середине по н.ст.) апреля 1917 г. самолет «Илья Муромец» Г-32 (ИМ Г-32 № 178, борт I) экз. № 32, стратегический разведчик, тяжелый бомбардировщик в составе своего отряда прибыл на полевой а/д Микулинцы (Галиция, ныне Тернопольская обл. Западной Украины).</w:t>
      </w:r>
    </w:p>
    <w:p w14:paraId="3D65FEB6"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Переделан в тип Г-1 из самолета ИМ В-32.</w:t>
      </w:r>
    </w:p>
    <w:p w14:paraId="0CE96B5B"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Отправлен с завода на аэродром Псков 29.08.16 г. (11.09.16 г. по н.ст.), а далее – в Винницу, где был доработан:</w:t>
      </w:r>
    </w:p>
    <w:p w14:paraId="71C8305D"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установлены новые моторы Рено 8Gd по 220 л.с. и РБЗ-6 по 150 л.с.;</w:t>
      </w:r>
    </w:p>
    <w:p w14:paraId="27F4435E"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переделана хвостовая часть фюзеляжа – в ней установлена еще одна пулеметная точка по типу самолетов Г-3.</w:t>
      </w:r>
    </w:p>
    <w:p w14:paraId="60C9300F"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установлено новое трехкилевое оперение по типу самолетов Г-3, что делалось и на остальных самолетах с хвостовой пулеметной точкой.</w:t>
      </w:r>
    </w:p>
    <w:p w14:paraId="21459128"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После доработки самолет поступил в базировавшийся в Виннице 2-й боевой отряд ЭВК, см., где его принял командир части старший лейтенант Г.И. Лавров.</w:t>
      </w:r>
    </w:p>
    <w:p w14:paraId="04DE7FFB"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Рано утром 29.04.17 г. (12.05.17 г.) корабль поднялся в боевой вылет, в котором его должны были сопровождать истребители II КАО (I БАГ). Около 06:00, пролетая над их аэродромом на высоте 3000 м, корабль начал давать условленный сигнал (очереди из пулемета) для подъема истребителей, но начал разрушаться, перешел в пологий штопор и упал у дер. Доброводы (Галиция, ныне Тернопольская обл. Западной Украины). На борту корабля погибли командир старший лейтенант Г.И. Лавров, поручик С.К. Витковский, лейтенант А.Ю. Шокальский, прапорщик Ф.П. Балашев, старший унтер-офицер Ф. Сафронов, подъесаул А.И. Отрежко.</w:t>
      </w:r>
    </w:p>
    <w:p w14:paraId="66E0687E"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После этой катастрофы 2-й отряд ЭВК был расформирован (23553).</w:t>
      </w:r>
    </w:p>
    <w:p w14:paraId="4A159F56" w14:textId="77777777" w:rsidR="00CE28D1" w:rsidRPr="00FB4F67" w:rsidRDefault="00CE28D1" w:rsidP="0083075A">
      <w:pPr>
        <w:spacing w:after="0" w:line="240" w:lineRule="auto"/>
        <w:jc w:val="both"/>
        <w:rPr>
          <w:rFonts w:ascii="Times New Roman" w:hAnsi="Times New Roman" w:cs="Times New Roman"/>
          <w:color w:val="0070C0"/>
          <w:sz w:val="16"/>
          <w:szCs w:val="16"/>
        </w:rPr>
      </w:pPr>
    </w:p>
    <w:p w14:paraId="35F2096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апреля 1917корпуса аппаратов М-15 с заводскими номерами 1108,1110 и 1111 также были изменены.</w:t>
      </w:r>
    </w:p>
    <w:p w14:paraId="215F496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Несмотря на все недостатки, М-15 демонстрировал ценные качества, и один из летавших на нем морских авиаторов поручик М. П. Телепнев писал впоследствии:</w:t>
      </w:r>
    </w:p>
    <w:p w14:paraId="5F8FA27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“Летающая лодка типа М-15. &lt;...&gt; Вооружена пулеметом "Максим" или "Льюис", бомб около 4 пудов. &lt;...&gt; Предположена установка радиотелеграфа. Для бомбометания имеется при</w:t>
      </w:r>
      <w:r w:rsidRPr="002F2FDF">
        <w:rPr>
          <w:rFonts w:ascii="Times New Roman" w:hAnsi="Times New Roman" w:cs="Times New Roman"/>
          <w:color w:val="000000" w:themeColor="text1"/>
          <w:kern w:val="2"/>
          <w:sz w:val="16"/>
          <w:szCs w:val="16"/>
        </w:rPr>
        <w:softHyphen/>
        <w:t>цел старшего лейтенанта Лишина (С. А. Лишин. —А. А.). В гондоле должны находиться: компас, авиационные приборы и освещет ше. Аппарат более строгий, чем М-9, а потому полет ночью требу</w:t>
      </w:r>
      <w:r w:rsidRPr="002F2FDF">
        <w:rPr>
          <w:rFonts w:ascii="Times New Roman" w:hAnsi="Times New Roman" w:cs="Times New Roman"/>
          <w:color w:val="000000" w:themeColor="text1"/>
          <w:kern w:val="2"/>
          <w:sz w:val="16"/>
          <w:szCs w:val="16"/>
        </w:rPr>
        <w:softHyphen/>
        <w:t>ет большой осторожности.</w:t>
      </w:r>
    </w:p>
    <w:p w14:paraId="2459D72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Аппарат предназначается для разведки, которую может периодически вести до 40-50 миль. В исключительно благоприятных случаях при благоприятной погоде может выполнять разведку за участком моря по прямой на 90 миль от своей базы. В разведку может идти даже при возможно</w:t>
      </w:r>
      <w:r w:rsidRPr="002F2FDF">
        <w:rPr>
          <w:rFonts w:ascii="Times New Roman" w:hAnsi="Times New Roman" w:cs="Times New Roman"/>
          <w:color w:val="000000" w:themeColor="text1"/>
          <w:kern w:val="2"/>
          <w:sz w:val="16"/>
          <w:szCs w:val="16"/>
        </w:rPr>
        <w:softHyphen/>
        <w:t>сти контратаки противника, так как по своей скорости представляет тип аппарата средний между разведчиком и истребителем. Вблизи берегов противника принимает бой лишь в случае необходи</w:t>
      </w:r>
      <w:r w:rsidRPr="002F2FDF">
        <w:rPr>
          <w:rFonts w:ascii="Times New Roman" w:hAnsi="Times New Roman" w:cs="Times New Roman"/>
          <w:color w:val="000000" w:themeColor="text1"/>
          <w:kern w:val="2"/>
          <w:sz w:val="16"/>
          <w:szCs w:val="16"/>
        </w:rPr>
        <w:softHyphen/>
        <w:t>мости, тогда как вблизи своих баз может быть применен для охраны и дежурства. Пригоден для разведки на предмет обнаружения подлодок и борьбы с ними, а также для корректировки стрель</w:t>
      </w:r>
      <w:r w:rsidRPr="002F2FDF">
        <w:rPr>
          <w:rFonts w:ascii="Times New Roman" w:hAnsi="Times New Roman" w:cs="Times New Roman"/>
          <w:color w:val="000000" w:themeColor="text1"/>
          <w:kern w:val="2"/>
          <w:sz w:val="16"/>
          <w:szCs w:val="16"/>
        </w:rPr>
        <w:softHyphen/>
        <w:t>бы. При наличии зажигательных пуль или ракет может атаковать цеппелин у наших берегов. При современных условиях войны тип М-15 наиболее отвечает требованиям, предъявляемым аппара</w:t>
      </w:r>
      <w:r w:rsidRPr="002F2FDF">
        <w:rPr>
          <w:rFonts w:ascii="Times New Roman" w:hAnsi="Times New Roman" w:cs="Times New Roman"/>
          <w:color w:val="000000" w:themeColor="text1"/>
          <w:kern w:val="2"/>
          <w:sz w:val="16"/>
          <w:szCs w:val="16"/>
        </w:rPr>
        <w:softHyphen/>
        <w:t>там-разведчикам. Поставленный на лыжи, М-15 может быть использован зимой”.</w:t>
      </w:r>
    </w:p>
    <w:p w14:paraId="25A0A88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этот раз вряд ли стоит комментировать оценки современников, разумнее просто согласиться с тем, что тип М-15 явился главной удачей на пути развития многофункционального лодочного аэропла</w:t>
      </w:r>
      <w:r w:rsidRPr="002F2FDF">
        <w:rPr>
          <w:rFonts w:ascii="Times New Roman" w:hAnsi="Times New Roman" w:cs="Times New Roman"/>
          <w:color w:val="000000" w:themeColor="text1"/>
          <w:kern w:val="2"/>
          <w:sz w:val="16"/>
          <w:szCs w:val="16"/>
        </w:rPr>
        <w:softHyphen/>
        <w:t>на, но и она была практически сведена на “нет” фатальной нехваткой моторов (2807).</w:t>
      </w:r>
    </w:p>
    <w:p w14:paraId="1F6EDC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0CF11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A89BE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6772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апреля 1917 г. на аэродром у д.. Микулинцы на юго-западном фронте прибыл 2-й боевой отряд в составе корабля 1-го №178 под командованием ст.лейтенанта Г.И.Лаврова. В Виннице машину переооборудовали: поставили 2 мотора "Рено" 225 л.с. и 2 РБ3.6 150 л.с., сзади добавили пулеметную точку, для этого пришлось переделать хвостовую часть — она стала двухкилевой. С августа 1917 г. 2-й и 3-й боевые отряды ЭВК стали совершать групповые полеты (3-4 корабля). Иногда "Муромцев" прикрывали истребители 1-й боевой авиагруппы (2-й, 4-й и 19-й корпусные отряды) ротмистра А.А.Козакова, которые совершили на охрану 17 самолето-вылетов. За весь 1917 год Эскадра совершила около 70 боевых полетов, сбросив на противника до 650 пудов бомб. За всю германскую кампанию из 51 боевого корабля, поступивших на фронт, воевало около 40 машин. Они совершили до 300 вылетов, сбросив около 3000 пудов бомб (11277).</w:t>
      </w:r>
    </w:p>
    <w:p w14:paraId="08A5BB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15C5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апреля 1917 г. на аэродром у д.Микулинцы на Юго-Западном фронте прибыл 2-й боевой отряд в составе корабля 1-го №178 под командованием ст.лейтенанта Г.И.Лаврова. В Виннице машину пере- ооборудовали: поставили 2 мотора "Рено" 225 л.с. и 2 РБ3.6 150 л.с., сзади добавили пулеметную точку, для этого пришлось переделать хвостовую часть - она стала двухкилевой. 29 апреля произошла трагедия. Около 6 часов утра корабль пролетал на высоте 3000 м над расположением 2-го корпусного авиаотряда, давая сигналы очередями из пулемета. Истребители отряда должны были вылететь на сопровождение "Муромца". Далее, по свидетельству очевидцев, с корабля начали падать различные средние и мелкие части, т.е он начал рассыпаться в воздухе. "Илья Муромец", не выходя из пологого штопора, упал на окраине д.Доброво- ды. Погибли все члены экипажа: ст.лейтенант Г.И.Лавров, поручик С.К.Витковский, лейтенант А.Ю.Шокальский, прапорщик Ф.П.Балашев, ст.унтер-офицер Ф.Сафронов, подъесаул А.И.Отрежко. Потеря для Эскадры была тяжелейшей: погиб один из лучших летчиков, да и 2-й боевой отряд прекратил свое существование (12038).</w:t>
      </w:r>
    </w:p>
    <w:p w14:paraId="335165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B62D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апреля 1917 года на аэродром у деревни Микулинцы прибыл 2-й боевой отряд в составе "Муромца I" (№ 178) под командованием старшего лейтенанта Лаврова. В Виннице машину переоборудовали: поставили два мотора "Рено" по 225 л.с. и два РБ3.6 по 150 л.е., хвостовую часть сделали двухкилевой, добавив пулемётную точку. 29 апреля произошла трагедия. Около 6 часов утра корабль пролетал на высоте 3000 метров над расположением 2-го корпусного авиаотряда, давая сигналы очередями из пулемёта. Истребители отряда должны были вылететь на сопровождение "Муромца". Далее, по свидетельству очевидцев, с корабля начали падать различные средние и мелкие части, т.е он начал рассыпаться в воздухе. "Илья Муромец I", перешёл в пологий штопор, затем на высоте около 300-400 метров выровнялся и вновь перешёл в пологий штопор и, пролетев над крышами домов деревни Доброводы, упал плашмя на её окраине. Погибли все члены экипажа: старший лейтенант Г.И.Лавров, поручик С. К. Витковский, лейтенант А.Ю. Шокальский, прапорщик Ф.П. Балашев, подъесаул А.И. Отрежко и старший унтер-офицер Ф. Сафронов.</w:t>
      </w:r>
    </w:p>
    <w:p w14:paraId="6BEB6D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К.Н. Финне (начальник медицинской службы ЭВК, автор книги "Русские воздушные богатыри И.И. Сикорского") полагал, что гибель корабля произошла из-за умышленной порчи стойки или тросов её поддерживающих. Комиссия, расследовавшая обстоятельства катастрофы, всё же пришла к заключению, что причиной гибели корабля явилась недостаточная опытность, или даже растерянность поручика Витковского, труп которого был найден у штурвала. Очевидно, поручик вёл корабль и на вираже допустил скольжение, растерялся, не выключил моторов и корабль вошёл в штопор. Скорость быстро возросла и конструкция корабля не выдержала. Первой вылетела подкосная стойка, потом машина постепенно стала ломаться. Кто-то всё-таки сумел выключить моторы, но это уже не помогло. Благодаря выключенным моторам дело обошлось без пожара, бомбы тоже оказались целы.</w:t>
      </w:r>
    </w:p>
    <w:p w14:paraId="41D17A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Потеря для Эскадры была тяжелейшей: погиб один из лучших лётчиков, да и 2-й боевой отряд прекратил свое существование (12041).</w:t>
      </w:r>
    </w:p>
    <w:p w14:paraId="1C6708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0146CE"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первых числах (в середине по н.ст.) апреля 1917 г. экипаж Е-56 (ИМ Е-56, ИМ Е-1 боевой № 265, борт № IX) получил приказ вылететь в составе отряда на Румынский фронт на аэродром Болгарийка (у г. Болград, в то время – Bolhrad, Южная Бессарабия, Румыния, ныне – Одесская обл. Украины).</w:t>
      </w:r>
    </w:p>
    <w:p w14:paraId="3506459F"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08.04.17 г. (21.04.17 г. по н.ст.), а по др. данным 15.04.17 г. (28.04.17 г. по н.ст.) корабль прибыл на место назначения и к тот же день совершил первый боевой вылет на бомбардировку речного порта Тульча (ныне Тулча – Tulcea, юго-восток Румынии) с попутной разведкой и фотографированием. Экипаж был 7 человек, топлива 768 кг, масла 128 кг, вооружение – 10 бомб калибра 16 кг, по 2 пулемета «Виккерс» и «Мадсен», 3 пулемета «Льюис» (всего 7). Задание выполнено, продолжительность полета 3 ч 18 мин. – это был первый боевой вылет самолетов ИМ типа Е.</w:t>
      </w:r>
    </w:p>
    <w:p w14:paraId="4CA9B71C"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20.04.17 г. (02.05.17 г. по н.ст.) экипаж Нижевского совершил вылет на разведку войск противника в городах Болград, Измаил (Бесарабская губ., в то время – граница с Румынией), Тульча и Исакча (Isaccea, тот же р-н с румынской стороны). По обнаруженному противнику сброшено 3 бомбы. Во время возвращения на аэродром над линией фронта загорелся один двигатель, моторист старший унтер-офицер Иванов и стрелок вольноопределяющийся Капон вышли на крыло, потушили пожар и перекрыли подачу топлива в этот двигатель. Самолет продолжил полет на трех моторах и совершил экстренную посадку на своей территории, в которой были повреждены шасси, винты и крылья, но самолет отремонтирован.</w:t>
      </w:r>
    </w:p>
    <w:p w14:paraId="25E2788D"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31.05.17 г. (13.06.17 г. по н.ст.) самолет в паре с кораблем ИМ Е-57 совершил бомбардировку складов и казарм в г. Тулча – оба корабля сбросили 288 кг бомб.</w:t>
      </w:r>
    </w:p>
    <w:p w14:paraId="7C3788B8"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21.09.17 г. (14.10.17 г. по н.ст.) корабль совершил последний боевой вылет. На железнодорожной станции Траян (Traian, Западная Молдавия, восток Румынии) экипаж удачным бомбометанием уничтожил три состава с артиллерийскими снарядами, но на возвращении корабль был атакован двумя истребителями противника. Был убит стрелок старший унтер-офицер Янкевич, второй стрелок прапорщик Талако тяжело ранен в колено (раздроблен сустав), повреждены один из лонжеронов верхнего крыла и радиаторы моторов № 2 и 3, которые остановились. Обстрелять успели только второй самолет, но результата не наблюдали. Корабль на аэродром вернулся и мог быть отремонтирован, но на боевые вылеты больше не летал.</w:t>
      </w:r>
    </w:p>
    <w:p w14:paraId="7984F054"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Всего самолет сделал 13 боевых вылетов и сбросил до 2080 кг (130 пудов) бомб.</w:t>
      </w:r>
    </w:p>
    <w:p w14:paraId="7C04BF85"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 день 25.10.17 г. (07.11.17 г.), когда состоялась Октябрьская революция, корабль оставался на а/д Болгарийка в поврежденном состоянии и так и не был отремонтирован (24094).</w:t>
      </w:r>
    </w:p>
    <w:p w14:paraId="5D345F01" w14:textId="77777777" w:rsidR="00CE28D1" w:rsidRPr="00FB4F67" w:rsidRDefault="00CE28D1" w:rsidP="0083075A">
      <w:pPr>
        <w:spacing w:after="0" w:line="240" w:lineRule="auto"/>
        <w:jc w:val="both"/>
        <w:rPr>
          <w:rFonts w:ascii="Times New Roman" w:hAnsi="Times New Roman" w:cs="Times New Roman"/>
          <w:color w:val="0070C0"/>
          <w:sz w:val="16"/>
          <w:szCs w:val="16"/>
        </w:rPr>
      </w:pPr>
    </w:p>
    <w:p w14:paraId="37B0C9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апреля 1917 экипажи 4-й боевого отряда под командованием капитана P.JI. Нижевского, в составе которого находились корабли: V (№ 266, тип Е) штабс-капитана Алехновича и IX (№ 265, тип Е) начальника отряда, IV поручика Шарова и III капитана Жигайлова, получили задание вылететь на фронт. Восьмого апреля до места назначения (село Болгарийка под Болградом) добрались лишь IV и IX корабли. У 111 корабля из-за сильного ветра сломалась правая консоль крыла и его пришлось доставлять для ремонта в Винницу. "Муромец V" сел в Кишинёве и лишь в мае присоединился к отряду. Первый боевой полёт 4-го отряда (и первый боевой полёт корабля типа Е) состоялся вдень прилёта на новое место, 8 апреля I917 года. Экипаж IX корабля получил задание произвести бомбометание по портовым сооружениям и складам города Тульча, попутно осуществляя разведку и фотографирование. Полезную нагрузку "Муромца" типа Е в 116 пудов (1890 кг) составляли: семь членов экипажа (командир, артиллерийский офицер, механик, моторист и гри пулемётчика), бензина 48 пудов (782,5 кг), масла 8 пудов (130,5 кг), два пулемёта "Виккерс", три "Льюиса", два "Мадсена" и 10 пудовых бомб (163 кг). Полёт длился 3 часа 18 минут.</w:t>
      </w:r>
    </w:p>
    <w:p w14:paraId="14381E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апреля в полёт отправилось уже две машины: IV и IX корабли. Но у поручика Шарова на высоте 700 метров остановился мотор и при вынужденной посадке было сломано шасси, винты и передняя коробка крыльев. Так и не повоевав, "Муромец IV" отправился на базу в Винницу для ремонта (12041).</w:t>
      </w:r>
    </w:p>
    <w:p w14:paraId="47E46E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10860A"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первых числах (в середине по н.ст.) апреля 1917 г. экипаж Е-57 (ИМ Е-57 № 266, борт № V) экз. № 61, стратегический разведчик и тяжелый бомбардировщик получил приказ вылететь в составе отряда на Румынский фронт на аэродром Болгарийка, но до места назначения не дошел, совершив посадку в Кишиневе.</w:t>
      </w:r>
    </w:p>
    <w:p w14:paraId="36F2D738"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мае 1917 г. корабль перелетел на аэродром 4-го отряда ЭВК Болгарийка.</w:t>
      </w:r>
    </w:p>
    <w:p w14:paraId="1D3751EB"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31.05.17 г. (13.06.17 г. по н.ст.) самолет в паре с ИМ Е-56 совершил бомбардировку складов и казарм в г. Тулча – оба корабля сбросили 288 кг бомб.</w:t>
      </w:r>
    </w:p>
    <w:p w14:paraId="6E4E5E4A"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17.06.17 г. (29.06.17 г. по н.ст.) стрелки корабля отбили атаку двухмоторного биплана противника.</w:t>
      </w:r>
    </w:p>
    <w:p w14:paraId="4F842662"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21.09.17 г. (04.10.17 г. по н.ст.) состоялся последний вылет этого корабля.</w:t>
      </w:r>
    </w:p>
    <w:p w14:paraId="1BC14DDA"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15.11.17 г. (28.11.17 г.) разбит.</w:t>
      </w:r>
    </w:p>
    <w:p w14:paraId="61D46C46"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Всего самолет выполнил не менее трех боевых вылетов.</w:t>
      </w:r>
    </w:p>
    <w:p w14:paraId="2D4AAF98" w14:textId="77777777" w:rsidR="00CE28D1" w:rsidRPr="00FB4F67" w:rsidRDefault="00CE28D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Всего достроено и облетано 2 самолета ИМ-Е. Модификация по отношению к ИМ-Г определенные преимущества имела, однако ее запуск в серию не состоялся по организационным причинам – еще летом 1917 г. производство на РБВЗ было дезорганизовано, а после Октябрьской революции наладить выпуск новой модификации самолета оказалось невозможно (24094).</w:t>
      </w:r>
    </w:p>
    <w:p w14:paraId="253F1EDB" w14:textId="77777777" w:rsidR="00CE28D1" w:rsidRPr="00FB4F67" w:rsidRDefault="00CE28D1" w:rsidP="0083075A">
      <w:pPr>
        <w:spacing w:after="0" w:line="240" w:lineRule="auto"/>
        <w:jc w:val="both"/>
        <w:rPr>
          <w:rFonts w:ascii="Times New Roman" w:hAnsi="Times New Roman" w:cs="Times New Roman"/>
          <w:color w:val="0070C0"/>
          <w:sz w:val="16"/>
          <w:szCs w:val="16"/>
        </w:rPr>
      </w:pPr>
    </w:p>
    <w:p w14:paraId="225DB912" w14:textId="77777777" w:rsidR="008233F1" w:rsidRPr="002F2FDF" w:rsidRDefault="008233F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091A728" w14:textId="77777777" w:rsidR="008233F1" w:rsidRPr="002F2FDF" w:rsidRDefault="008233F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778173"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8 (21) апреля 1917 г.</w:t>
      </w:r>
    </w:p>
    <w:p w14:paraId="22ADD326"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Резолюция по Журналу № 153.  </w:t>
      </w:r>
    </w:p>
    <w:p w14:paraId="018A1F64"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8 апреля 1917 г. </w:t>
      </w:r>
    </w:p>
    <w:p w14:paraId="2AE2F6DA"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13  апреля.  — Резолюция Председателя Особого Совещания для обсуждения и объединения мероприятий по обороне государства по журналу Особого Совещания от 8 апреля 1917 года за №  153. </w:t>
      </w:r>
    </w:p>
    <w:p w14:paraId="6024D386"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Рассмотрев настоящий журнал, я в отношении приведения в исполнение требующих того суждений Особого Совещания решил: </w:t>
      </w:r>
    </w:p>
    <w:p w14:paraId="7FD3A836"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  Утвердить    доклады    подготовительной     комиссии     по  общим  вопросам: </w:t>
      </w:r>
    </w:p>
    <w:p w14:paraId="75E910C2"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а) об отпуске денежных средств фирме «Британское инженерное акционерное  общество  Сибири»,  строящей  казенный  автомобильный  завод, на спешное оборудование и пуск в ход мастерских для усиленного  ремонта автомобилей, на изложенных в докладе основаниях;    </w:t>
      </w:r>
    </w:p>
    <w:p w14:paraId="0934C71C"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 выдаче центральному военно-промышленному комитету, по заказам на предметы интендантского снабжения армии в счет нового плана  заготовления по 1 июля 1917 года, 75 % аванса в размере двадцати шести  миллионов трехсот пятидесяти трех тысяч трехсот сорока (26  353  340)  руб лей 75 коп.; </w:t>
      </w:r>
    </w:p>
    <w:p w14:paraId="48C72E8D"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 об изменении статьи 9 правил 16 ноября 1915 года о заготовлениях  при  посредстве  общественных  организаций  в  редакции,  утвержденной  Председателем  Особого  Совещания  по  обороне  государства  14  июня  1916 года. </w:t>
      </w:r>
    </w:p>
    <w:p w14:paraId="1C51A59A"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2. Утвердить доклады подготовительной комиссии </w:t>
      </w:r>
      <w:r w:rsidRPr="002F2FDF">
        <w:rPr>
          <w:rFonts w:ascii="Times New Roman" w:hAnsi="Times New Roman" w:cs="Times New Roman"/>
          <w:color w:val="000000" w:themeColor="text1"/>
          <w:sz w:val="16"/>
          <w:szCs w:val="16"/>
          <w:highlight w:val="yellow"/>
        </w:rPr>
        <w:t>по авиационным  вопросам</w:t>
      </w:r>
      <w:r w:rsidRPr="002F2FDF">
        <w:rPr>
          <w:rFonts w:ascii="Times New Roman" w:hAnsi="Times New Roman" w:cs="Times New Roman"/>
          <w:color w:val="000000" w:themeColor="text1"/>
          <w:sz w:val="16"/>
          <w:szCs w:val="16"/>
        </w:rPr>
        <w:t xml:space="preserve">: </w:t>
      </w:r>
    </w:p>
    <w:p w14:paraId="034AB846"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а) о заказе фабрике А. А. Пороховщикова 10 учебных аэропланов Моран Ж., поверхностью 14 квадратных метров, с усиленными кабанами, на  основаниях, изложенных в представлении управления военного воздушного флота от 21 марта 1917 года за № 3681/1144; </w:t>
      </w:r>
    </w:p>
    <w:p w14:paraId="648C192A"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б) о приобретении наличной покупкой 11  500 пудов американского  масла «Гаргойль Мобиль Ойль» на основаниях, изложенных в представлении управления военного воздушного флота от 25  марта 1917 года за  № 3716/1192; </w:t>
      </w:r>
    </w:p>
    <w:p w14:paraId="6DAE41E4"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 о заказе акционерному обществу воздухоплавания «В. А. Лебедев»  460 аэропланов без моторов и винтов на основаниях, изложенных в представлении управления военного воздушного флота от 27 марта 1917 года  за № 3720/1196. </w:t>
      </w:r>
    </w:p>
    <w:p w14:paraId="5122AC4E"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3. Утвердить доклад реквизиционной комиссии о временном принудительном занятии главным военно-техническим управлением участков  земли,  необходимых  для  постройки  подъездной  ветки  от  платформы  Фили Александровской железной дороги к автомобильному заводу акционерного общества Русско-Балтийского вагонного завода. </w:t>
      </w:r>
    </w:p>
    <w:p w14:paraId="3A391C81"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4. Отклонить доклад реквизиционной комиссии о секвестре и передаче в распоряжение города трамвайного предприятия Бельгийского акционерного общества в Казани. </w:t>
      </w:r>
    </w:p>
    <w:p w14:paraId="3C07577B"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Ввиду  важного  значения  Казанского  трамвая  для  нужд  обороны  признать необходимым назначить на основании пункта 4 статьи 10 положения об Особом Совещании по обороне государства в правление названного  общества,  сверх  наличного  его  состава,  представителя  правительственной власти. </w:t>
      </w:r>
    </w:p>
    <w:p w14:paraId="00B3E2A1"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5.  По  докладу  реквизиционной  комиссии  об  использовании  реквизированного  заводского  имущества  Русской  замочной  фабрики  «Гермингауз и Фоорман», эвакуированной в Нижний Новгород,  — признать  необходимым передать этот вопрос в отдел промышленности министерства  торговли  и  промышленности,  сообщив  отделу  суждения  Особого  Совещания о желательности использования означенного оборудования  полностью, а не по частям, и по возможности в Павловском районе. </w:t>
      </w:r>
    </w:p>
    <w:p w14:paraId="1009DEE8"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6. Просить главнокомандующего Кавказской армией сообщить данные о настоящем положении работ по сооружению Батум-Трапезондской  железной дороги и заключение о степени срочности ее постройки при современных условиях. </w:t>
      </w:r>
    </w:p>
    <w:p w14:paraId="65B92865"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7. Внести на рассмотрение Временного Правительства вопрос о принятии общих мер по борьбе с происходящей ныне во многих местах торговлей предметами вещевого довольствия армии. </w:t>
      </w:r>
    </w:p>
    <w:p w14:paraId="0B4FA64A"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За председателя Особого Совещания генерал-лейтенант Филатьев. </w:t>
      </w:r>
    </w:p>
    <w:p w14:paraId="09AB1CC8"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Управляющий      делами    Особого    Совещания      генерал-лейтенант  Бабиков. </w:t>
      </w:r>
    </w:p>
    <w:p w14:paraId="047BEB78"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8 апреля. — Дополнительная резолюция Председателя Особого Совещания для обсуждения и объединения мероприятий по обороне государства по журналу Особого Совещания от 8 апреля 1917 года за №  153. </w:t>
      </w:r>
    </w:p>
    <w:p w14:paraId="210500A9"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Дополнительно к резолюции по журналу Особого Совещания по обороне государства от 8 апреля 1917 г. за №  153 я решил: </w:t>
      </w:r>
    </w:p>
    <w:p w14:paraId="57F7115C"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8) Утвердить доклад подготовительной комиссии по артиллерийским  вопросам об отпуске правительственному правлению общества Путиловских заводов десяти миллионов (10 000 000) рублей в счет дополнительного аванса по заказу на 6” фугасные бомбы. </w:t>
      </w:r>
    </w:p>
    <w:p w14:paraId="3C61D894"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За  председателя  Особого  Совещания  генерал-адъютант  Маниковский. </w:t>
      </w:r>
    </w:p>
    <w:p w14:paraId="10BE7DA9"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8 апреля. — Дополнительная резолюция Председателя Особого Совещания для обсуждения и объединения мероприятий по обороне государства по журналу Особого Совещания от 8 апреля 1917 года за №  153. </w:t>
      </w:r>
    </w:p>
    <w:p w14:paraId="76E77257"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Дополнительно к резолюции по журналу Особого Совещания по обороне государства от 8 апреля 1917 года за №  153 я решил: </w:t>
      </w:r>
    </w:p>
    <w:p w14:paraId="281A6B6B"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9) Утвердить доклад подготовительной комиссии по общим вопросам  о разрешении главному военно-техническому управлению выдать опекуну над имуществом фирмы «Русский автомобильный завод И.  П.  Пузырева» г-ну Ключевскому дополнительный аванс без обеспечения в сумме  тридцати пяти тысяч (35  000) рублей по исполняемому фирмою заказу  забортных двигателей на общую сумму 2 371 750 рублей для немедленного внесения этих вновь отпускаемых фирме средств Петроградскому нотариусу Комарницкому как причитающуюся государственную пошлину  за купчую крепость на приобретение опекою нового Симбирского завода, принадлежавшего ранее г-ну Андрееву, с условием погашения настоящего дополнительного аванса из первых причитающихся контрагенту  платежей по исполнению контракта от 5 марта 1916 года за № 23390. </w:t>
      </w:r>
    </w:p>
    <w:p w14:paraId="1897AC6F"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За  председателя  Особого  Совещания  генерал-адъютант  Маниковский. </w:t>
      </w:r>
    </w:p>
    <w:p w14:paraId="0DBED985"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Управляющий делами Особого Совещания генерал-лейтенант Бабиков (20645). </w:t>
      </w:r>
    </w:p>
    <w:p w14:paraId="6DAB89D2" w14:textId="77777777" w:rsidR="008233F1" w:rsidRPr="002F2FDF" w:rsidRDefault="008233F1" w:rsidP="0083075A">
      <w:pPr>
        <w:spacing w:after="0" w:line="240" w:lineRule="auto"/>
        <w:jc w:val="both"/>
        <w:rPr>
          <w:rFonts w:ascii="Times New Roman" w:hAnsi="Times New Roman" w:cs="Times New Roman"/>
          <w:color w:val="000000" w:themeColor="text1"/>
          <w:sz w:val="16"/>
          <w:szCs w:val="16"/>
        </w:rPr>
      </w:pPr>
    </w:p>
    <w:p w14:paraId="3705E2E7" w14:textId="03FC0E67" w:rsidR="00AE4E0E" w:rsidRDefault="00AE4E0E"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Другие оборонные отрасли:</w:t>
      </w:r>
    </w:p>
    <w:p w14:paraId="2EDB648C" w14:textId="77777777" w:rsidR="00AE4E0E" w:rsidRDefault="00AE4E0E"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1AD2C99" w14:textId="77777777" w:rsidR="00AE4E0E" w:rsidRPr="00FB4F67" w:rsidRDefault="00AE4E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8 апреля 1917 г. Вре</w:t>
      </w:r>
      <w:r w:rsidRPr="00FB4F67">
        <w:rPr>
          <w:rFonts w:ascii="Times New Roman" w:hAnsi="Times New Roman" w:cs="Times New Roman"/>
          <w:color w:val="0070C0"/>
          <w:sz w:val="16"/>
          <w:szCs w:val="16"/>
        </w:rPr>
        <w:softHyphen/>
        <w:t>менное правительство высказало «сомнения, следует ли во</w:t>
      </w:r>
      <w:r w:rsidRPr="00FB4F67">
        <w:rPr>
          <w:rFonts w:ascii="Times New Roman" w:hAnsi="Times New Roman" w:cs="Times New Roman"/>
          <w:color w:val="0070C0"/>
          <w:sz w:val="16"/>
          <w:szCs w:val="16"/>
        </w:rPr>
        <w:softHyphen/>
        <w:t>обще ныне продолжать постройку» азотного завода на Сунже, и поручило изучить этот вопрос комиссии Покровского, занимавшейся пересмотром программы сооружения казенных военных заводов. При об</w:t>
      </w:r>
      <w:r w:rsidRPr="00FB4F67">
        <w:rPr>
          <w:rFonts w:ascii="Times New Roman" w:hAnsi="Times New Roman" w:cs="Times New Roman"/>
          <w:color w:val="0070C0"/>
          <w:sz w:val="16"/>
          <w:szCs w:val="16"/>
        </w:rPr>
        <w:softHyphen/>
        <w:t>суждении проекта специалисты признали, что в нем наме</w:t>
      </w:r>
      <w:r w:rsidRPr="00FB4F67">
        <w:rPr>
          <w:rFonts w:ascii="Times New Roman" w:hAnsi="Times New Roman" w:cs="Times New Roman"/>
          <w:color w:val="0070C0"/>
          <w:sz w:val="16"/>
          <w:szCs w:val="16"/>
        </w:rPr>
        <w:softHyphen/>
        <w:t>чено использовать схему производства с «небольшими от</w:t>
      </w:r>
      <w:r w:rsidRPr="00FB4F67">
        <w:rPr>
          <w:rFonts w:ascii="Times New Roman" w:hAnsi="Times New Roman" w:cs="Times New Roman"/>
          <w:color w:val="0070C0"/>
          <w:sz w:val="16"/>
          <w:szCs w:val="16"/>
        </w:rPr>
        <w:softHyphen/>
        <w:t>ступлениями от способа, принятого в Норвегии». Горбов и Миткевич дали подробные объяснения предложенной ими конструкции печи. Она была к тому времени испытана в малом и среднем варианте, и, по мнению участников обсуж</w:t>
      </w:r>
      <w:r w:rsidRPr="00FB4F67">
        <w:rPr>
          <w:rFonts w:ascii="Times New Roman" w:hAnsi="Times New Roman" w:cs="Times New Roman"/>
          <w:color w:val="0070C0"/>
          <w:sz w:val="16"/>
          <w:szCs w:val="16"/>
        </w:rPr>
        <w:softHyphen/>
        <w:t>дения, промышленное применение ее, во избежание потерь, должно было быть установлено все-таки в опытном масшта</w:t>
      </w:r>
      <w:r w:rsidRPr="00FB4F67">
        <w:rPr>
          <w:rFonts w:ascii="Times New Roman" w:hAnsi="Times New Roman" w:cs="Times New Roman"/>
          <w:color w:val="0070C0"/>
          <w:sz w:val="16"/>
          <w:szCs w:val="16"/>
        </w:rPr>
        <w:softHyphen/>
        <w:t>бе — «полузавод, чтобы было больше уверенности». Норвеж</w:t>
      </w:r>
      <w:r w:rsidRPr="00FB4F67">
        <w:rPr>
          <w:rFonts w:ascii="Times New Roman" w:hAnsi="Times New Roman" w:cs="Times New Roman"/>
          <w:color w:val="0070C0"/>
          <w:sz w:val="16"/>
          <w:szCs w:val="16"/>
        </w:rPr>
        <w:softHyphen/>
        <w:t>ские фирмы не взялись изготовить такую печь, и заказ был передан заводу «Атлас» сроком до 15 ноября 1917 г. Химиче</w:t>
      </w:r>
      <w:r w:rsidRPr="00FB4F67">
        <w:rPr>
          <w:rFonts w:ascii="Times New Roman" w:hAnsi="Times New Roman" w:cs="Times New Roman"/>
          <w:color w:val="0070C0"/>
          <w:sz w:val="16"/>
          <w:szCs w:val="16"/>
        </w:rPr>
        <w:softHyphen/>
        <w:t>ская секция постановила «продолжить обследование Онеж</w:t>
      </w:r>
      <w:r w:rsidRPr="00FB4F67">
        <w:rPr>
          <w:rFonts w:ascii="Times New Roman" w:hAnsi="Times New Roman" w:cs="Times New Roman"/>
          <w:color w:val="0070C0"/>
          <w:sz w:val="16"/>
          <w:szCs w:val="16"/>
        </w:rPr>
        <w:softHyphen/>
        <w:t>ского завода» (23452).</w:t>
      </w:r>
    </w:p>
    <w:p w14:paraId="5B94A5F9" w14:textId="77777777" w:rsidR="00AE4E0E" w:rsidRPr="00FB4F67" w:rsidRDefault="00AE4E0E" w:rsidP="0083075A">
      <w:pPr>
        <w:spacing w:after="0" w:line="240" w:lineRule="auto"/>
        <w:jc w:val="both"/>
        <w:rPr>
          <w:rFonts w:ascii="Times New Roman" w:hAnsi="Times New Roman" w:cs="Times New Roman"/>
          <w:color w:val="0070C0"/>
          <w:sz w:val="16"/>
          <w:szCs w:val="16"/>
        </w:rPr>
      </w:pPr>
    </w:p>
    <w:p w14:paraId="72CAB098" w14:textId="77DE8684"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4E5B6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97FD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апреля 1917 до места назначения (с.Болгарийка под Белградом) на Румынском фронте добрались лишь ИМ IV-й и IX-й кораб­ли. У 111-го корабля из-за сильного ветра было сломано правое крыло и его пришлось доставлять для ремонта в Винницу. Корабль V-й сел в Кишиневе и лишь в мае присоединился к отряду. Первый боевой полет 4-го боевого отряда (и первый боевой полет "Муромца" типа Е) состоялся 8 апреля 1917 г. Экипаж 1Х-го корабля получил задание произвести бомбометание по портовым сооружениям и складам г.Тульча, попутно осуществляя разведку и фотографирование. 116-пудовую нагрузку "муромца" составляли: 7 членов экипажа (командир, артофицер, механик, моторист и 3 пулеметчика), бензина 48 пудов, масла 8 пудов, 2 пулемета "Виккерса", 3 — "Льюиса". 2 — "Мадсена" и 10 пудовых бомб. Полет длился 3 часа 18 минут. 20 апреля в полет отправилось уже 2 машины: IV-й и IX-й корабли. Но у поручика Шарова на высоте 700 м остановился мотор и при вынужденной посадке было сломано шасси, вин­ты и передняя коробка крыльев. Его пришлось отправить в ремонт в Винницу. В мае 1917 г. из Кишинева в 4-й отряд прибыл второй "Муромец"типа Е — "V-й корабль" №266 штабс-капитана Алехновича. 31 мая оба аппарата типа Е совершили совместный налет на Тульчу, сбросив по складам и казармам неприятеля 18 пудов бомб. 17 июня V-й корабль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70E635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ACD8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апреля 1917 до места назначения (село Болгарийка под Болградом) добрались лишь IV и IX корабли 4-го боевого отряда под командованием капитана P.JI. Нижевского, в составе которого находились корабли: V (№ 266, тип Е) штабс-капитана Алехновича и IX (№ 265, тип Е) начальника отряда, IV поручика Шарова и III капитана Жигайлова. У 111 корабля из-за сильного ветра сломалась правая консоль крыла и его пришлось доставлять для ремонта в Винницу. "Муромец V" сел в Кишинёве и лишь в мае присоединился к отряду. Первый боевой полёт 4-го отряда (и первый боевой полёт корабля типа Е) состоялся вдень прилёта на новое место, 8 (21) апреля I917 года. Экипаж IX корабля получил задание произвести бомбометание по портовым сооружениям и складам города Тульча, попутно осуществляя разведку и фотографирование. Полезную нагрузку "Муромца" типа Е в 116 пудов (1890 кг) составляли: семь членов экипажа (командир, артиллерийский офицер, механик, моторист и гри пулемётчика), бензина 48 пудов (782,5 кг), масла 8 пудов (130,5 кг), два пулемёта "Виккерс", три "Льюиса", два "Мадсена" и 10 пудовых бомб (163 кг). Полёт длился 3 часа 18 минут (12041).</w:t>
      </w:r>
    </w:p>
    <w:p w14:paraId="63EDB9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FAA8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8 (21) апреля 1917 г. состоялся первый боевой полет 4-го боевого отряда (и первый боевой полет "Муромца" типа Е). </w:t>
      </w:r>
    </w:p>
    <w:p w14:paraId="78195C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Всю каманию 1917 г. "Муромцы" воевали в основном на двух фронтах: Юго-Западном и Румынском.</w:t>
      </w:r>
    </w:p>
    <w:p w14:paraId="000782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Итак, на румынский фронт был назначен 4-й боевой отряд под командованием капитана РЛ.Нижевского в составе которого находились корабли: V-й №266 тип Е - штабс-капитана Г.В.Алехновича, IX-й №265 тип Е - Начальника отряда, IV-й - поручика Я.Н.Шарова и III- й - капитана Е.И.Жигайлова. В апреле экипажи получили задание вылететь на фронт. </w:t>
      </w:r>
    </w:p>
    <w:p w14:paraId="3B27FE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Экипаж IX-го корабля получил задание произвести бомбометание по портовым сооружениям и складам г.Тульча, попутно осуществляя разведку и фотографирование. 116-пудовую нагрузку "муромца" составляли: 7 членов экипажа (командир, арто- фицер, механик, моторист и 3 пулеметчика), бензина 48 пудов, масла 8 пудов, 2 пулемета "Виккерса", 3 - "Льюиса". 2 - "Мадсена" и 10 пудовых бомб. Полет длился 3 часа 18 минут. 20 апреля в полет отправилось уже 2 машины: IV-й и IX-й корабли. Но у поручика Шарова на высоте 700 м остановился мотор и при вынужденной посадке было сломано шасси, винты и передняя коробка крыльев. Его пришлось отправить в ремонт в Винницу (12038).</w:t>
      </w:r>
    </w:p>
    <w:p w14:paraId="085057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D85DCC" w14:textId="77777777" w:rsidR="00CE28D1" w:rsidRPr="002F2FDF" w:rsidRDefault="00CE28D1" w:rsidP="0083075A">
      <w:pPr>
        <w:pStyle w:val="ae"/>
        <w:spacing w:before="0" w:after="0"/>
        <w:jc w:val="both"/>
        <w:rPr>
          <w:color w:val="000000" w:themeColor="text1"/>
          <w:sz w:val="16"/>
          <w:szCs w:val="16"/>
        </w:rPr>
      </w:pPr>
      <w:r w:rsidRPr="002F2FDF">
        <w:rPr>
          <w:color w:val="000000" w:themeColor="text1"/>
          <w:sz w:val="16"/>
          <w:szCs w:val="16"/>
        </w:rPr>
        <w:t>8 (21) апреля 1917 после провала операции «Михаэль» Людендорф начал новую операцию. Ее первоначальный успех был вызван тем, что главный удар немцев пришелся на участке фронта, где дислоцировались две измотанные, малопригодные к боевым действиям португальские дивизии. Как и операция «Михаэль», «Лисское наступление» выдохлось к 29 апреля и не дало германцам стратегических приобретений, а лишь ценою в 100 тыс. человек потерь создало уязвимые вклинения в оборону союзников.</w:t>
      </w:r>
    </w:p>
    <w:p w14:paraId="08935399" w14:textId="0F34BFEA" w:rsidR="00CE28D1" w:rsidRPr="002F2FDF" w:rsidRDefault="00CE28D1" w:rsidP="0083075A">
      <w:pPr>
        <w:pStyle w:val="ae"/>
        <w:spacing w:before="0" w:after="0"/>
        <w:jc w:val="both"/>
        <w:rPr>
          <w:color w:val="000000" w:themeColor="text1"/>
          <w:sz w:val="16"/>
          <w:szCs w:val="16"/>
        </w:rPr>
      </w:pPr>
      <w:bookmarkStart w:id="76" w:name="k57"/>
      <w:bookmarkEnd w:id="76"/>
      <w:r w:rsidRPr="002F2FDF">
        <w:rPr>
          <w:color w:val="000000" w:themeColor="text1"/>
          <w:sz w:val="16"/>
          <w:szCs w:val="16"/>
        </w:rPr>
        <w:t>После неудач операций «Михаэль» и «Лисского наступления» Людендорф спланировал два координированных наступления. Он решил атаковать французские войска</w:t>
      </w:r>
      <w:r w:rsidR="00E52569">
        <w:rPr>
          <w:color w:val="000000" w:themeColor="text1"/>
          <w:sz w:val="16"/>
          <w:szCs w:val="16"/>
        </w:rPr>
        <w:t xml:space="preserve"> </w:t>
      </w:r>
      <w:r w:rsidRPr="002F2FDF">
        <w:rPr>
          <w:rStyle w:val="af0"/>
          <w:rFonts w:eastAsia="Calibri"/>
          <w:color w:val="000000" w:themeColor="text1"/>
          <w:sz w:val="16"/>
          <w:szCs w:val="16"/>
        </w:rPr>
        <w:t>около гребня Шмен-де-Дам</w:t>
      </w:r>
      <w:r w:rsidRPr="002F2FDF">
        <w:rPr>
          <w:color w:val="000000" w:themeColor="text1"/>
          <w:sz w:val="16"/>
          <w:szCs w:val="16"/>
        </w:rPr>
        <w:t>, заперев их в этом районе, после чего вновь ударить по британцам во Фландрии. 27 мая он неожиданно для французов силами 40 дивизий нанес удар по их неподготовленным к обороне позициям на хребте и к концу первого дня наступления продвинулся на 20 км в глубь обороны союзников, пробив «брешь» около 40 км шириной. Столь значительные достижения убедили Людендорфа отказаться от наступления во Фландрии, и он сконцентрировал все ресурсы для броска к Парижу. В следующие три дня немцы в первый раз после 1914 г. вышли к р. Марне в 88 км от Парижа. Но потом наступление застопорилось, союзники стали наносить удары в уязвимые немецкие фланги. Людендорфу так и не удалось достигнуть решительной победы на Западном фронте. Немецкие потери достигли 700 тыс. человек. В мае — июне на берегах Франции высадилось до 500 тыс. американских солдат. Теперь уже союзники имели численное превосходство для достижения победы (20246).</w:t>
      </w:r>
    </w:p>
    <w:p w14:paraId="16FACB0F" w14:textId="76CA7D06" w:rsidR="00CE28D1" w:rsidRPr="002F2FDF" w:rsidRDefault="00CE28D1" w:rsidP="0083075A">
      <w:pPr>
        <w:pStyle w:val="ae"/>
        <w:spacing w:before="0" w:after="0"/>
        <w:jc w:val="both"/>
        <w:rPr>
          <w:color w:val="000000" w:themeColor="text1"/>
          <w:sz w:val="16"/>
          <w:szCs w:val="16"/>
        </w:rPr>
      </w:pPr>
      <w:r w:rsidRPr="002F2FDF">
        <w:rPr>
          <w:color w:val="000000" w:themeColor="text1"/>
          <w:sz w:val="16"/>
          <w:szCs w:val="16"/>
        </w:rPr>
        <w:t>В июне — июле 1917 г. англичане под командованием генерала Хейга проводили самостоятельное наступление в районе между побережьем Северного моря и р. Лис, широко используя</w:t>
      </w:r>
      <w:r w:rsidR="00E52569">
        <w:rPr>
          <w:color w:val="000000" w:themeColor="text1"/>
          <w:sz w:val="16"/>
          <w:szCs w:val="16"/>
        </w:rPr>
        <w:t xml:space="preserve"> </w:t>
      </w:r>
      <w:r w:rsidRPr="002F2FDF">
        <w:rPr>
          <w:rStyle w:val="af0"/>
          <w:rFonts w:eastAsia="Calibri"/>
          <w:color w:val="000000" w:themeColor="text1"/>
          <w:sz w:val="16"/>
          <w:szCs w:val="16"/>
        </w:rPr>
        <w:t>химическое оружие</w:t>
      </w:r>
      <w:r w:rsidRPr="002F2FDF">
        <w:rPr>
          <w:color w:val="000000" w:themeColor="text1"/>
          <w:sz w:val="16"/>
          <w:szCs w:val="16"/>
        </w:rPr>
        <w:t>. В ходе боев с помощью подведенных фугасов им удалось взорвать германские позиции (7 июля), расположенные на Мессинском хребте, а затем его захватить (20246).</w:t>
      </w:r>
    </w:p>
    <w:p w14:paraId="2E4CB3F3" w14:textId="77777777" w:rsidR="00CE28D1" w:rsidRPr="002F2FDF" w:rsidRDefault="00CE28D1" w:rsidP="0083075A">
      <w:pPr>
        <w:pStyle w:val="ae"/>
        <w:spacing w:before="0" w:after="0"/>
        <w:jc w:val="both"/>
        <w:rPr>
          <w:color w:val="000000" w:themeColor="text1"/>
          <w:sz w:val="16"/>
          <w:szCs w:val="16"/>
        </w:rPr>
      </w:pPr>
    </w:p>
    <w:p w14:paraId="050D16B4" w14:textId="515ABAB1" w:rsidR="00342516" w:rsidRPr="00FB4F67" w:rsidRDefault="0034251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8 (</w:t>
      </w:r>
      <w:r w:rsidRPr="00FB4F67">
        <w:rPr>
          <w:rFonts w:ascii="Times New Roman" w:hAnsi="Times New Roman" w:cs="Times New Roman"/>
          <w:color w:val="0070C0"/>
          <w:sz w:val="16"/>
          <w:szCs w:val="16"/>
        </w:rPr>
        <w:t>21</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апреля 1917 г. французский военный атташе в Лондоне сообщил о прибытии в Саутгемптон российского отряда в составе 28 офицеров, 156 унтер-офицеров и солдат для прохождения авиационной подготовки в школах RFC (23525).</w:t>
      </w:r>
    </w:p>
    <w:p w14:paraId="622CBCB3" w14:textId="77777777" w:rsidR="00342516" w:rsidRPr="00FB4F67" w:rsidRDefault="00342516" w:rsidP="0083075A">
      <w:pPr>
        <w:spacing w:after="0" w:line="240" w:lineRule="auto"/>
        <w:jc w:val="both"/>
        <w:rPr>
          <w:rFonts w:ascii="Times New Roman" w:hAnsi="Times New Roman" w:cs="Times New Roman"/>
          <w:color w:val="0070C0"/>
          <w:sz w:val="16"/>
          <w:szCs w:val="16"/>
        </w:rPr>
      </w:pPr>
    </w:p>
    <w:p w14:paraId="0D2C4C1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77098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A886C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апреля 1917 Петроградский комитет РСДРП (б) 13 голосами против 2 отверг Апрельские тезисы Ленина (4962).</w:t>
      </w:r>
    </w:p>
    <w:p w14:paraId="1D468A4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33C2C6" w14:textId="77777777" w:rsidR="000C5E7E" w:rsidRPr="002F2FDF" w:rsidRDefault="000C5E7E" w:rsidP="0083075A">
      <w:pPr>
        <w:pStyle w:val="ae"/>
        <w:spacing w:before="0" w:after="0"/>
        <w:jc w:val="both"/>
        <w:rPr>
          <w:color w:val="000000" w:themeColor="text1"/>
          <w:kern w:val="2"/>
          <w:sz w:val="16"/>
          <w:szCs w:val="16"/>
        </w:rPr>
      </w:pPr>
      <w:r w:rsidRPr="002F2FDF">
        <w:rPr>
          <w:color w:val="000000" w:themeColor="text1"/>
          <w:kern w:val="2"/>
          <w:sz w:val="16"/>
          <w:szCs w:val="16"/>
        </w:rPr>
        <w:t>8 (21) апреля 1917 с критикой ленинских тезисов в «Правде» выступил другой член ЦК РСДРП(б) Л.Б. Каменев. В статье «Наши разногласия» он отстаивал тезис, что буржуазно-демократическая революция в России еще не завершилась, и, соответственно, время для социалистической революции не пришло (17045).</w:t>
      </w:r>
    </w:p>
    <w:p w14:paraId="7AC3FEDE" w14:textId="77777777" w:rsidR="000C5E7E" w:rsidRPr="002F2FDF" w:rsidRDefault="000C5E7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157B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апреля 1917 в Петроград вернулся теоретик и организатор партии эсеров В.М.Чернов и на следующий день стал членом Петросовета (3908,111).</w:t>
      </w:r>
    </w:p>
    <w:p w14:paraId="6F3AD9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A41FC2" w14:textId="77777777" w:rsidR="0071649C" w:rsidRPr="002F2FDF" w:rsidRDefault="0071649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(21) апреля в 1917 году в Петрограде состоялась апрельская демонстрация рабочих и крестьян против антинародной политики буржуазного Временного Правительства. Основные требования: мира и передача власти Советам (15106).</w:t>
      </w:r>
    </w:p>
    <w:p w14:paraId="16631D09" w14:textId="77777777" w:rsidR="0071649C" w:rsidRPr="002F2FDF" w:rsidRDefault="0071649C" w:rsidP="0083075A">
      <w:pPr>
        <w:spacing w:after="0" w:line="240" w:lineRule="auto"/>
        <w:jc w:val="both"/>
        <w:rPr>
          <w:rFonts w:ascii="Times New Roman" w:hAnsi="Times New Roman" w:cs="Times New Roman"/>
          <w:color w:val="000000" w:themeColor="text1"/>
          <w:kern w:val="2"/>
          <w:sz w:val="16"/>
          <w:szCs w:val="16"/>
        </w:rPr>
      </w:pPr>
    </w:p>
    <w:p w14:paraId="735DA7A6" w14:textId="77777777" w:rsidR="00FD27EC"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6AF59326" w14:textId="77777777" w:rsidR="00FD27EC" w:rsidRPr="002F2FDF" w:rsidRDefault="00FD27E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1AFEC8" w14:textId="77777777"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 xml:space="preserve">8 (21) апреля 1917 г. </w:t>
      </w:r>
      <w:r w:rsidRPr="002F2FDF">
        <w:rPr>
          <w:rFonts w:ascii="Times New Roman" w:hAnsi="Times New Roman" w:cs="Times New Roman"/>
          <w:color w:val="000000" w:themeColor="text1"/>
          <w:kern w:val="2"/>
          <w:sz w:val="16"/>
          <w:szCs w:val="16"/>
        </w:rPr>
        <w:t>Телеграмма поверенного в делах России в США К.М. Ону П.И. Милюкову с изложением заявления министра финансов США Мак-Аду об условиях использования Россией американских кредитов.</w:t>
      </w:r>
    </w:p>
    <w:p w14:paraId="28AD20BD" w14:textId="0471C149"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536-537</w:t>
      </w:r>
    </w:p>
    <w:p w14:paraId="14CDC396" w14:textId="6C476E20" w:rsidR="00FD27EC" w:rsidRPr="002F2FDF" w:rsidRDefault="00FD27E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Канцелярии, д. 61, лл. 113—114. Копия.</w:t>
      </w:r>
    </w:p>
    <w:p w14:paraId="34D50B90" w14:textId="77777777" w:rsidR="00FD27EC" w:rsidRPr="002F2FDF" w:rsidRDefault="00FD27EC" w:rsidP="0083075A">
      <w:pPr>
        <w:pStyle w:val="rtejustify"/>
        <w:spacing w:before="0" w:after="0"/>
        <w:rPr>
          <w:color w:val="000000" w:themeColor="text1"/>
          <w:kern w:val="2"/>
          <w:sz w:val="16"/>
          <w:szCs w:val="16"/>
        </w:rPr>
      </w:pPr>
      <w:r w:rsidRPr="002F2FDF">
        <w:rPr>
          <w:color w:val="000000" w:themeColor="text1"/>
          <w:kern w:val="2"/>
          <w:sz w:val="16"/>
          <w:szCs w:val="16"/>
        </w:rPr>
        <w:t>Передаю ниже содержание доверительной беседы министра финансов Мак-Аду со вторым секретарем посольства Мореншильдом: «Мак-Аду сообщил мне, что закон о 7 млрд вступает в силу и что наступает момент распределения займа в 3 млрд между союзниками, установления гарантий и выяснения всех подробностей. Вопрос этот будет обсуждаться по приезде сюда английской и французской делегаций, и Мак-Аду даны самые широкие полномочия действовать по личному усмотрению. Америка, предоставляя свою финансовую помощь, хочет быть уверенной, что деньги, имеющие быть авансированными, будут употреблены действительным образом; в случае неимения этой уверенности трудно будет убедить общественное мнение и лиц, могущих сказать слово, в необходимости предоставить кредит России.</w:t>
      </w:r>
    </w:p>
    <w:p w14:paraId="6C296462" w14:textId="77777777" w:rsidR="00FD27EC" w:rsidRPr="002F2FDF" w:rsidRDefault="00FD27EC" w:rsidP="0083075A">
      <w:pPr>
        <w:pStyle w:val="rtejustify"/>
        <w:spacing w:before="0" w:after="0"/>
        <w:rPr>
          <w:color w:val="000000" w:themeColor="text1"/>
          <w:kern w:val="2"/>
          <w:sz w:val="16"/>
          <w:szCs w:val="16"/>
        </w:rPr>
      </w:pPr>
      <w:r w:rsidRPr="002F2FDF">
        <w:rPr>
          <w:color w:val="000000" w:themeColor="text1"/>
          <w:kern w:val="2"/>
          <w:sz w:val="16"/>
          <w:szCs w:val="16"/>
        </w:rPr>
        <w:t>В связи с этим возникают два вопроса: 1) преобразование Русского заготовительного комитета и 2) организация или реорганизация способа доставления в Россию заказанных здесь предметов снабжения. Таким образом, с одной стороны, следовало бы иметь в виду образование нечто вроде общесоюзнического комитета, которому гарантировалось бы самое широкое содействие американского правительства для устранения конкуренции между союзниками и для предотвращения повышения цен заводами. В состав этого комитета вошли бы не только представители от американского правительства для участия в совещаниях и для решения общих вопросов, но и инспектора и т. д., могущие иметь наблюдение за исполнением заказов.</w:t>
      </w:r>
    </w:p>
    <w:p w14:paraId="0AFCF1F9" w14:textId="77777777" w:rsidR="00FD27EC" w:rsidRPr="002F2FDF" w:rsidRDefault="00FD27EC" w:rsidP="0083075A">
      <w:pPr>
        <w:pStyle w:val="rtejustify"/>
        <w:spacing w:before="0" w:after="0"/>
        <w:rPr>
          <w:color w:val="000000" w:themeColor="text1"/>
          <w:kern w:val="2"/>
          <w:sz w:val="16"/>
          <w:szCs w:val="16"/>
        </w:rPr>
      </w:pPr>
      <w:r w:rsidRPr="002F2FDF">
        <w:rPr>
          <w:color w:val="000000" w:themeColor="text1"/>
          <w:kern w:val="2"/>
          <w:sz w:val="16"/>
          <w:szCs w:val="16"/>
        </w:rPr>
        <w:t>Необходима, с другой стороны, реорганизация путей сообщения в России; особенное внимание обращается министром финансов на Сибирскую ж. д., как наиболее верный путь сообщения между Америкой и Россией; реорганизация эта необходима, чтобы иметь уверенность, что предметы снабжения действительно будут доставлены по назначению и не пролежат в дороге — здесь или во Владивостоке. Идея посылки технической комиссии серьезно имеется в виду». Конец заявления Мак-Аду.</w:t>
      </w:r>
    </w:p>
    <w:p w14:paraId="24DBA65D" w14:textId="77777777" w:rsidR="00FD27EC" w:rsidRPr="002F2FDF" w:rsidRDefault="00FD27EC" w:rsidP="0083075A">
      <w:pPr>
        <w:pStyle w:val="rtejustify"/>
        <w:spacing w:before="0" w:after="0"/>
        <w:rPr>
          <w:color w:val="000000" w:themeColor="text1"/>
          <w:kern w:val="2"/>
          <w:sz w:val="16"/>
          <w:szCs w:val="16"/>
        </w:rPr>
      </w:pPr>
      <w:r w:rsidRPr="002F2FDF">
        <w:rPr>
          <w:color w:val="000000" w:themeColor="text1"/>
          <w:kern w:val="2"/>
          <w:sz w:val="16"/>
          <w:szCs w:val="16"/>
        </w:rPr>
        <w:t>Я сообщаю Вам об этой беседе лишь в качестве материала и исключительно для Вашего осведомления с просьбою не упоминать источника.</w:t>
      </w:r>
    </w:p>
    <w:p w14:paraId="198A0D83" w14:textId="77777777" w:rsidR="00FD27EC" w:rsidRPr="002F2FDF" w:rsidRDefault="00FD27EC" w:rsidP="0083075A">
      <w:pPr>
        <w:pStyle w:val="ae"/>
        <w:spacing w:before="0" w:after="0"/>
        <w:jc w:val="both"/>
        <w:rPr>
          <w:color w:val="000000" w:themeColor="text1"/>
          <w:kern w:val="2"/>
          <w:sz w:val="16"/>
          <w:szCs w:val="16"/>
        </w:rPr>
      </w:pPr>
      <w:r w:rsidRPr="002F2FDF">
        <w:rPr>
          <w:color w:val="000000" w:themeColor="text1"/>
          <w:kern w:val="2"/>
          <w:sz w:val="16"/>
          <w:szCs w:val="16"/>
        </w:rPr>
        <w:t>Ону (15188).</w:t>
      </w:r>
    </w:p>
    <w:p w14:paraId="60351841" w14:textId="77777777" w:rsidR="00FD27EC" w:rsidRPr="002F2FDF" w:rsidRDefault="00FD27EC"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6FF0624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3F666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C165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апреля 1917 Казаков, который был назначен и.о. командира авиагруппы ЮЗФ, получив возможность реализовать свои тактические приемы управления отрядами издал времен</w:t>
      </w:r>
      <w:r w:rsidRPr="002F2FDF">
        <w:rPr>
          <w:rFonts w:ascii="Times New Roman" w:hAnsi="Times New Roman" w:cs="Times New Roman"/>
          <w:color w:val="000000" w:themeColor="text1"/>
          <w:kern w:val="2"/>
          <w:sz w:val="16"/>
          <w:szCs w:val="16"/>
        </w:rPr>
        <w:softHyphen/>
        <w:t>ную инструкцию боевой работы авиа</w:t>
      </w:r>
      <w:r w:rsidRPr="002F2FDF">
        <w:rPr>
          <w:rFonts w:ascii="Times New Roman" w:hAnsi="Times New Roman" w:cs="Times New Roman"/>
          <w:color w:val="000000" w:themeColor="text1"/>
          <w:kern w:val="2"/>
          <w:sz w:val="16"/>
          <w:szCs w:val="16"/>
        </w:rPr>
        <w:softHyphen/>
        <w:t>группы (3954).</w:t>
      </w:r>
    </w:p>
    <w:p w14:paraId="6C62EB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F94B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апреля 1917 ВК Александра Михайловича в качестве генерал-инспектора ВВС сменил полковник С.А.Немченко, которого, в свою очередь, 21 июня 1917 сменил подполковник В.М.Ткачев (66,11).</w:t>
      </w:r>
    </w:p>
    <w:p w14:paraId="5BDD07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910034" w14:textId="348F8EDF" w:rsidR="00CE28D1" w:rsidRPr="00FB4F67" w:rsidRDefault="00CE28D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9 (</w:t>
      </w:r>
      <w:r w:rsidRPr="00FB4F67">
        <w:rPr>
          <w:rFonts w:ascii="Times New Roman" w:hAnsi="Times New Roman" w:cs="Times New Roman"/>
          <w:color w:val="0070C0"/>
          <w:sz w:val="16"/>
          <w:szCs w:val="16"/>
        </w:rPr>
        <w:t>22</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апреля 1917 г. в районе оз. Мядзиола артиллерийским огнем был сбит германский летательный аппарат, упавший на своей территории (23405).</w:t>
      </w:r>
    </w:p>
    <w:p w14:paraId="5BC1978A" w14:textId="77777777" w:rsidR="00CE28D1" w:rsidRPr="00FB4F67" w:rsidRDefault="00CE28D1" w:rsidP="0083075A">
      <w:pPr>
        <w:spacing w:after="0" w:line="240" w:lineRule="auto"/>
        <w:jc w:val="both"/>
        <w:rPr>
          <w:rFonts w:ascii="Times New Roman" w:hAnsi="Times New Roman" w:cs="Times New Roman"/>
          <w:color w:val="0070C0"/>
          <w:sz w:val="16"/>
          <w:szCs w:val="16"/>
        </w:rPr>
      </w:pPr>
    </w:p>
    <w:p w14:paraId="496298EA" w14:textId="77777777" w:rsidR="0071649C"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69123E5" w14:textId="77777777" w:rsidR="0071649C" w:rsidRPr="002F2FDF" w:rsidRDefault="0071649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1AEEB1" w14:textId="77777777" w:rsidR="0071649C" w:rsidRPr="002F2FDF" w:rsidRDefault="0071649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апреля в 1917 году боевое крещение на Западном фронте Первой мировой войны получили истребители «S.E.5» («Scout Experimental»). Разработчик: «RAF», Великобритания. Первыми их получила 56-я эскадрилья RFC (Royal Flying Corps – Королевский Лётный Корпус) во Франции. Как оказалось, самолет немного уступает в маневренности "Ньюпору", по скороподъемности примерно равен другим самолетам, зато имеет более высокую горизонтальную скорость, а также обладает прочной конструкцией, позволяющей разгонять самолет в пикировании. Вооружение состояло из одного 7,7-мм синхронизированного пулемета "Виккерс" с боезапасом 400 патронов, располагавшегося с левой стороны фюзеляжа, и одного 7,7-мм пулемета "Льюис" на лафете Фостера, установленного на верхнем крыле (15107).</w:t>
      </w:r>
    </w:p>
    <w:p w14:paraId="4943E8B9" w14:textId="77777777" w:rsidR="0071649C" w:rsidRPr="002F2FDF" w:rsidRDefault="0071649C" w:rsidP="0083075A">
      <w:pPr>
        <w:spacing w:after="0" w:line="240" w:lineRule="auto"/>
        <w:jc w:val="both"/>
        <w:rPr>
          <w:rFonts w:ascii="Times New Roman" w:hAnsi="Times New Roman" w:cs="Times New Roman"/>
          <w:color w:val="000000" w:themeColor="text1"/>
          <w:kern w:val="2"/>
          <w:sz w:val="16"/>
          <w:szCs w:val="16"/>
        </w:rPr>
      </w:pPr>
    </w:p>
    <w:p w14:paraId="40B28B47" w14:textId="4D5D9A1E" w:rsidR="00E52569" w:rsidRPr="00E52569" w:rsidRDefault="00E52569" w:rsidP="0083075A">
      <w:pPr>
        <w:spacing w:after="0" w:line="240" w:lineRule="auto"/>
        <w:jc w:val="both"/>
        <w:rPr>
          <w:rFonts w:ascii="Times New Roman" w:hAnsi="Times New Roman" w:cs="Times New Roman"/>
          <w:i/>
          <w:iCs/>
          <w:color w:val="0070C0"/>
          <w:sz w:val="16"/>
          <w:szCs w:val="16"/>
        </w:rPr>
      </w:pPr>
      <w:r w:rsidRPr="00E52569">
        <w:rPr>
          <w:rFonts w:ascii="Times New Roman" w:hAnsi="Times New Roman" w:cs="Times New Roman"/>
          <w:i/>
          <w:iCs/>
          <w:color w:val="0070C0"/>
          <w:sz w:val="16"/>
          <w:szCs w:val="16"/>
        </w:rPr>
        <w:t>Другие оборонные отрасли:</w:t>
      </w:r>
    </w:p>
    <w:p w14:paraId="426E147D" w14:textId="77777777" w:rsidR="00E52569" w:rsidRPr="00E52569" w:rsidRDefault="00E52569" w:rsidP="0083075A">
      <w:pPr>
        <w:spacing w:after="0" w:line="240" w:lineRule="auto"/>
        <w:jc w:val="both"/>
        <w:rPr>
          <w:rFonts w:ascii="Times New Roman" w:hAnsi="Times New Roman" w:cs="Times New Roman"/>
          <w:i/>
          <w:iCs/>
          <w:color w:val="0070C0"/>
          <w:sz w:val="16"/>
          <w:szCs w:val="16"/>
        </w:rPr>
      </w:pPr>
    </w:p>
    <w:p w14:paraId="1414CC84" w14:textId="5B33FB2B" w:rsidR="00E52569" w:rsidRPr="00E52569" w:rsidRDefault="00E52569" w:rsidP="0083075A">
      <w:pPr>
        <w:spacing w:after="0" w:line="240" w:lineRule="auto"/>
        <w:jc w:val="both"/>
        <w:rPr>
          <w:rFonts w:ascii="Times New Roman" w:hAnsi="Times New Roman" w:cs="Times New Roman"/>
          <w:color w:val="0070C0"/>
          <w:sz w:val="16"/>
          <w:szCs w:val="16"/>
        </w:rPr>
      </w:pPr>
      <w:r w:rsidRPr="00E52569">
        <w:rPr>
          <w:rFonts w:ascii="Times New Roman" w:hAnsi="Times New Roman" w:cs="Times New Roman"/>
          <w:color w:val="0070C0"/>
          <w:sz w:val="16"/>
          <w:szCs w:val="16"/>
        </w:rPr>
        <w:t>10 апреля 1917 г. — Ходатайство Московского военно-промышленного комитета перед Особым совещанием по обороне об ассигновании средств на конструкторское бюро № 2737 .</w:t>
      </w:r>
    </w:p>
    <w:p w14:paraId="7CF693E7" w14:textId="77777777" w:rsidR="00E52569" w:rsidRPr="00E52569" w:rsidRDefault="00E52569" w:rsidP="0083075A">
      <w:pPr>
        <w:spacing w:after="0" w:line="240" w:lineRule="auto"/>
        <w:jc w:val="both"/>
        <w:rPr>
          <w:rFonts w:ascii="Times New Roman" w:hAnsi="Times New Roman" w:cs="Times New Roman"/>
          <w:color w:val="0070C0"/>
          <w:sz w:val="16"/>
          <w:szCs w:val="16"/>
        </w:rPr>
      </w:pPr>
      <w:r w:rsidRPr="00E52569">
        <w:rPr>
          <w:rFonts w:ascii="Times New Roman" w:hAnsi="Times New Roman" w:cs="Times New Roman"/>
          <w:color w:val="0070C0"/>
          <w:sz w:val="16"/>
          <w:szCs w:val="16"/>
        </w:rPr>
        <w:t>1-й Всероссийский съезд по вопросам изобретений, происходивший в Москве 1 —3 октября прошлого года, принял резолюцию, в которой признавал необходимым сохранить на прежних основаниях деятельность общественных организаций, успешно обслуживающих во время войны дело военных изобретений, расширив эту деятельность путем устройства при существующих отделах изобретений военно-промышленных комитетов — мастерских и лабораторий и обеспечив эти учреждения необходимыми средствами.</w:t>
      </w:r>
    </w:p>
    <w:p w14:paraId="1A950EB7"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Ввиду такого постановления съезда Отдел изобретений Московского военно-промышленного комитета наметил ряд мероприятий для расширения своей деятельности.</w:t>
      </w:r>
    </w:p>
    <w:p w14:paraId="63623774"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Из этих мероприятий учреждение конструкторского бюро для разработки изобретений, одобренных экспертной комиссией, а также учреждение собственной мастерской для изготовления образцов изобретений являются, по мнению Отдела изобретений, совершенно неотложными и требуют немедленного осуществления в интересах обороны государства.</w:t>
      </w:r>
    </w:p>
    <w:p w14:paraId="49F64717"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Исходя из этого положения, Московский военно-промышленный комитет ходатайствует перед Особым совещанием об ассигновании на конструкторское бюро и мастерскую изобретений 52 020 руб. согласно прилагаемой смете.</w:t>
      </w:r>
    </w:p>
    <w:p w14:paraId="0812110E"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Заместитель председателя Военно-промышленного комитета Сергей Смирнов</w:t>
      </w:r>
    </w:p>
    <w:p w14:paraId="3824F571"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Управляющий делами комитета А. Синелобов</w:t>
      </w:r>
    </w:p>
    <w:p w14:paraId="7CE8C218"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Приложение: Смета на организацию конструкторского бюро и мастерскую.</w:t>
      </w:r>
    </w:p>
    <w:p w14:paraId="086B0EF4"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[Итого]</w:t>
      </w:r>
      <w:r w:rsidRPr="00FB4F67">
        <w:rPr>
          <w:rFonts w:ascii="Times New Roman" w:hAnsi="Times New Roman" w:cs="Times New Roman"/>
          <w:color w:val="0070C0"/>
          <w:sz w:val="16"/>
          <w:szCs w:val="16"/>
        </w:rPr>
        <w:tab/>
        <w:t>Смета на назначенные изобретения</w:t>
      </w:r>
      <w:r w:rsidRPr="00FB4F67">
        <w:rPr>
          <w:rFonts w:ascii="Times New Roman" w:hAnsi="Times New Roman" w:cs="Times New Roman"/>
          <w:color w:val="0070C0"/>
          <w:sz w:val="16"/>
          <w:szCs w:val="16"/>
        </w:rPr>
        <w:tab/>
        <w:t>12 600 руб</w:t>
      </w:r>
    </w:p>
    <w:p w14:paraId="0E29606A"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Станок для пулемета 3 шт.</w:t>
      </w:r>
      <w:r w:rsidRPr="00FB4F67">
        <w:rPr>
          <w:rFonts w:ascii="Times New Roman" w:hAnsi="Times New Roman" w:cs="Times New Roman"/>
          <w:color w:val="0070C0"/>
          <w:sz w:val="16"/>
          <w:szCs w:val="16"/>
        </w:rPr>
        <w:tab/>
      </w:r>
      <w:r w:rsidRPr="00FB4F67">
        <w:rPr>
          <w:rFonts w:ascii="Times New Roman" w:hAnsi="Times New Roman" w:cs="Times New Roman"/>
          <w:color w:val="0070C0"/>
          <w:sz w:val="16"/>
          <w:szCs w:val="16"/>
        </w:rPr>
        <w:tab/>
        <w:t>1000 руб</w:t>
      </w:r>
    </w:p>
    <w:p w14:paraId="646477B4"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Угломер Успенского 10 шт. По 100 руб.</w:t>
      </w:r>
      <w:r w:rsidRPr="00FB4F67">
        <w:rPr>
          <w:rFonts w:ascii="Times New Roman" w:hAnsi="Times New Roman" w:cs="Times New Roman"/>
          <w:color w:val="0070C0"/>
          <w:sz w:val="16"/>
          <w:szCs w:val="16"/>
        </w:rPr>
        <w:tab/>
      </w:r>
      <w:r w:rsidRPr="00FB4F67">
        <w:rPr>
          <w:rFonts w:ascii="Times New Roman" w:hAnsi="Times New Roman" w:cs="Times New Roman"/>
          <w:color w:val="0070C0"/>
          <w:sz w:val="16"/>
          <w:szCs w:val="16"/>
        </w:rPr>
        <w:tab/>
        <w:t>1000 руб</w:t>
      </w:r>
    </w:p>
    <w:p w14:paraId="7D51333E"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Дальнослух 5 шт.</w:t>
      </w:r>
      <w:r w:rsidRPr="00FB4F67">
        <w:rPr>
          <w:rFonts w:ascii="Times New Roman" w:hAnsi="Times New Roman" w:cs="Times New Roman"/>
          <w:color w:val="0070C0"/>
          <w:sz w:val="16"/>
          <w:szCs w:val="16"/>
        </w:rPr>
        <w:tab/>
      </w:r>
      <w:r w:rsidRPr="00FB4F67">
        <w:rPr>
          <w:rFonts w:ascii="Times New Roman" w:hAnsi="Times New Roman" w:cs="Times New Roman"/>
          <w:color w:val="0070C0"/>
          <w:sz w:val="16"/>
          <w:szCs w:val="16"/>
        </w:rPr>
        <w:tab/>
        <w:t>300 руб</w:t>
      </w:r>
    </w:p>
    <w:p w14:paraId="2F27BF38"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Моторные сани 1 шт.</w:t>
      </w:r>
      <w:r w:rsidRPr="00FB4F67">
        <w:rPr>
          <w:rFonts w:ascii="Times New Roman" w:hAnsi="Times New Roman" w:cs="Times New Roman"/>
          <w:color w:val="0070C0"/>
          <w:sz w:val="16"/>
          <w:szCs w:val="16"/>
        </w:rPr>
        <w:tab/>
      </w:r>
      <w:r w:rsidRPr="00FB4F67">
        <w:rPr>
          <w:rFonts w:ascii="Times New Roman" w:hAnsi="Times New Roman" w:cs="Times New Roman"/>
          <w:color w:val="0070C0"/>
          <w:sz w:val="16"/>
          <w:szCs w:val="16"/>
        </w:rPr>
        <w:tab/>
        <w:t>3000 руб</w:t>
      </w:r>
    </w:p>
    <w:p w14:paraId="22DF9E30"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Бомбы и стрелы 50 шт. .</w:t>
      </w:r>
      <w:r w:rsidRPr="00FB4F67">
        <w:rPr>
          <w:rFonts w:ascii="Times New Roman" w:hAnsi="Times New Roman" w:cs="Times New Roman"/>
          <w:color w:val="0070C0"/>
          <w:sz w:val="16"/>
          <w:szCs w:val="16"/>
        </w:rPr>
        <w:tab/>
      </w:r>
      <w:r w:rsidRPr="00FB4F67">
        <w:rPr>
          <w:rFonts w:ascii="Times New Roman" w:hAnsi="Times New Roman" w:cs="Times New Roman"/>
          <w:color w:val="0070C0"/>
          <w:sz w:val="16"/>
          <w:szCs w:val="16"/>
        </w:rPr>
        <w:tab/>
        <w:t>500 руб</w:t>
      </w:r>
    </w:p>
    <w:p w14:paraId="77C45EEA"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Реле для телефонов 5 шт.</w:t>
      </w:r>
      <w:r w:rsidRPr="00FB4F67">
        <w:rPr>
          <w:rFonts w:ascii="Times New Roman" w:hAnsi="Times New Roman" w:cs="Times New Roman"/>
          <w:color w:val="0070C0"/>
          <w:sz w:val="16"/>
          <w:szCs w:val="16"/>
        </w:rPr>
        <w:tab/>
      </w:r>
      <w:r w:rsidRPr="00FB4F67">
        <w:rPr>
          <w:rFonts w:ascii="Times New Roman" w:hAnsi="Times New Roman" w:cs="Times New Roman"/>
          <w:color w:val="0070C0"/>
          <w:sz w:val="16"/>
          <w:szCs w:val="16"/>
        </w:rPr>
        <w:tab/>
        <w:t>200 руб</w:t>
      </w:r>
    </w:p>
    <w:p w14:paraId="437A4226"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Непредвиденные расходы</w:t>
      </w:r>
      <w:r w:rsidRPr="00FB4F67">
        <w:rPr>
          <w:rFonts w:ascii="Times New Roman" w:hAnsi="Times New Roman" w:cs="Times New Roman"/>
          <w:color w:val="0070C0"/>
          <w:sz w:val="16"/>
          <w:szCs w:val="16"/>
        </w:rPr>
        <w:tab/>
      </w:r>
      <w:r w:rsidRPr="00FB4F67">
        <w:rPr>
          <w:rFonts w:ascii="Times New Roman" w:hAnsi="Times New Roman" w:cs="Times New Roman"/>
          <w:color w:val="0070C0"/>
          <w:sz w:val="16"/>
          <w:szCs w:val="16"/>
        </w:rPr>
        <w:tab/>
        <w:t>3000' руб</w:t>
      </w:r>
    </w:p>
    <w:p w14:paraId="4448917C"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ab/>
        <w:t>[Итого]</w:t>
      </w:r>
      <w:r w:rsidRPr="00FB4F67">
        <w:rPr>
          <w:rFonts w:ascii="Times New Roman" w:hAnsi="Times New Roman" w:cs="Times New Roman"/>
          <w:color w:val="0070C0"/>
          <w:sz w:val="16"/>
          <w:szCs w:val="16"/>
        </w:rPr>
        <w:tab/>
        <w:t>—9000 руб</w:t>
      </w:r>
    </w:p>
    <w:p w14:paraId="2F02082E"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ab/>
        <w:t>Единовременно</w:t>
      </w:r>
      <w:r w:rsidRPr="00FB4F67">
        <w:rPr>
          <w:rFonts w:ascii="Times New Roman" w:hAnsi="Times New Roman" w:cs="Times New Roman"/>
          <w:color w:val="0070C0"/>
          <w:sz w:val="16"/>
          <w:szCs w:val="16"/>
        </w:rPr>
        <w:tab/>
        <w:t>27 000 руб</w:t>
      </w:r>
    </w:p>
    <w:p w14:paraId="7C00A725"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ab/>
        <w:t>В течение года</w:t>
      </w:r>
      <w:r w:rsidRPr="00FB4F67">
        <w:rPr>
          <w:rFonts w:ascii="Times New Roman" w:hAnsi="Times New Roman" w:cs="Times New Roman"/>
          <w:color w:val="0070C0"/>
          <w:sz w:val="16"/>
          <w:szCs w:val="16"/>
        </w:rPr>
        <w:tab/>
        <w:t>25 020 руб</w:t>
      </w:r>
    </w:p>
    <w:p w14:paraId="40193FDC"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ab/>
        <w:t>ВСЕГО</w:t>
      </w:r>
      <w:r w:rsidRPr="00FB4F67">
        <w:rPr>
          <w:rFonts w:ascii="Times New Roman" w:hAnsi="Times New Roman" w:cs="Times New Roman"/>
          <w:color w:val="0070C0"/>
          <w:sz w:val="16"/>
          <w:szCs w:val="16"/>
        </w:rPr>
        <w:tab/>
        <w:t>. 52 020 руб</w:t>
      </w:r>
    </w:p>
    <w:p w14:paraId="23B3B9DC"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Работа:</w:t>
      </w:r>
      <w:r w:rsidRPr="00FB4F67">
        <w:rPr>
          <w:rFonts w:ascii="Times New Roman" w:hAnsi="Times New Roman" w:cs="Times New Roman"/>
          <w:color w:val="0070C0"/>
          <w:sz w:val="16"/>
          <w:szCs w:val="16"/>
        </w:rPr>
        <w:tab/>
        <w:t>Каждое изобретение исполняется по исполнительным чертежам, выработанным конструкторским бюро, вырабатывается план производства, калькуляция, сроки готовности, покупаются материалы, заказываются части на стороне, производятся испытания совместно с конструкторским бюро.</w:t>
      </w:r>
    </w:p>
    <w:p w14:paraId="40EDE5B8"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Обязанности:</w:t>
      </w:r>
      <w:r w:rsidRPr="00FB4F67">
        <w:rPr>
          <w:rFonts w:ascii="Times New Roman" w:hAnsi="Times New Roman" w:cs="Times New Roman"/>
          <w:color w:val="0070C0"/>
          <w:sz w:val="16"/>
          <w:szCs w:val="16"/>
        </w:rPr>
        <w:tab/>
        <w:t>Заведующий несет административные обязанности над персоналом и работой и ответственность за расход по мастерским, принимает чертежи из конструкторского бюро, составляет сметы и калькуляции, планы и методы производства, ведет заказы частей на стороне и присутствует на испытаниях.</w:t>
      </w:r>
    </w:p>
    <w:p w14:paraId="0192918C"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Помещение:</w:t>
      </w:r>
      <w:r w:rsidRPr="00FB4F67">
        <w:rPr>
          <w:rFonts w:ascii="Times New Roman" w:hAnsi="Times New Roman" w:cs="Times New Roman"/>
          <w:color w:val="0070C0"/>
          <w:sz w:val="16"/>
          <w:szCs w:val="16"/>
        </w:rPr>
        <w:tab/>
        <w:t>В мастерских Технического училища, а затем в особом помещении.</w:t>
      </w:r>
    </w:p>
    <w:p w14:paraId="6EE66932"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Председатель отдела изобретений, заслуженный профессор Н. Жуковский</w:t>
      </w:r>
    </w:p>
    <w:p w14:paraId="185E8BFE"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Заведующий делами отдела, инженер Л. Дормидонтов</w:t>
      </w:r>
    </w:p>
    <w:p w14:paraId="7E2D52C8"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РГВИА</w:t>
      </w:r>
      <w:r w:rsidRPr="00E52569">
        <w:rPr>
          <w:rFonts w:ascii="Times New Roman" w:hAnsi="Times New Roman" w:cs="Times New Roman"/>
          <w:color w:val="0070C0"/>
          <w:sz w:val="16"/>
          <w:szCs w:val="16"/>
          <w:lang w:val="en-US"/>
        </w:rPr>
        <w:t xml:space="preserve">. </w:t>
      </w:r>
      <w:r w:rsidRPr="00FB4F67">
        <w:rPr>
          <w:rFonts w:ascii="Times New Roman" w:hAnsi="Times New Roman" w:cs="Times New Roman"/>
          <w:color w:val="0070C0"/>
          <w:sz w:val="16"/>
          <w:szCs w:val="16"/>
        </w:rPr>
        <w:t>Ф</w:t>
      </w:r>
      <w:r w:rsidRPr="00E52569">
        <w:rPr>
          <w:rFonts w:ascii="Times New Roman" w:hAnsi="Times New Roman" w:cs="Times New Roman"/>
          <w:color w:val="0070C0"/>
          <w:sz w:val="16"/>
          <w:szCs w:val="16"/>
          <w:lang w:val="en-US"/>
        </w:rPr>
        <w:t xml:space="preserve">. 369. On. L </w:t>
      </w:r>
      <w:r w:rsidRPr="00FB4F67">
        <w:rPr>
          <w:rFonts w:ascii="Times New Roman" w:hAnsi="Times New Roman" w:cs="Times New Roman"/>
          <w:color w:val="0070C0"/>
          <w:sz w:val="16"/>
          <w:szCs w:val="16"/>
        </w:rPr>
        <w:t>Д</w:t>
      </w:r>
      <w:r w:rsidRPr="00E52569">
        <w:rPr>
          <w:rFonts w:ascii="Times New Roman" w:hAnsi="Times New Roman" w:cs="Times New Roman"/>
          <w:color w:val="0070C0"/>
          <w:sz w:val="16"/>
          <w:szCs w:val="16"/>
          <w:lang w:val="en-US"/>
        </w:rPr>
        <w:t xml:space="preserve">, 402. </w:t>
      </w:r>
      <w:r w:rsidRPr="00FB4F67">
        <w:rPr>
          <w:rFonts w:ascii="Times New Roman" w:hAnsi="Times New Roman" w:cs="Times New Roman"/>
          <w:color w:val="0070C0"/>
          <w:sz w:val="16"/>
          <w:szCs w:val="16"/>
        </w:rPr>
        <w:t>Л. 14-13. Подлинник (23744).</w:t>
      </w:r>
    </w:p>
    <w:p w14:paraId="2BCDB5BF" w14:textId="77777777" w:rsidR="00E52569" w:rsidRPr="00FB4F67" w:rsidRDefault="00E52569" w:rsidP="0083075A">
      <w:pPr>
        <w:spacing w:after="0" w:line="240" w:lineRule="auto"/>
        <w:jc w:val="both"/>
        <w:rPr>
          <w:rFonts w:ascii="Times New Roman" w:hAnsi="Times New Roman" w:cs="Times New Roman"/>
          <w:color w:val="0070C0"/>
          <w:sz w:val="16"/>
          <w:szCs w:val="16"/>
        </w:rPr>
      </w:pPr>
    </w:p>
    <w:p w14:paraId="679EA326" w14:textId="1C9605ED" w:rsidR="00CE28D1" w:rsidRDefault="00CE28D1"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49323C8F" w14:textId="77777777" w:rsidR="00CE28D1" w:rsidRDefault="00CE28D1"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74A25C6" w14:textId="1CFE8D26" w:rsidR="00CE28D1" w:rsidRPr="00FB4F67" w:rsidRDefault="00E52569"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10 (</w:t>
      </w:r>
      <w:r w:rsidR="00CE28D1" w:rsidRPr="00FB4F67">
        <w:rPr>
          <w:rFonts w:ascii="Times New Roman" w:hAnsi="Times New Roman" w:cs="Times New Roman"/>
          <w:color w:val="0070C0"/>
          <w:sz w:val="16"/>
          <w:szCs w:val="16"/>
        </w:rPr>
        <w:t>23</w:t>
      </w:r>
      <w:r>
        <w:rPr>
          <w:rFonts w:ascii="Times New Roman" w:hAnsi="Times New Roman" w:cs="Times New Roman"/>
          <w:color w:val="0070C0"/>
          <w:sz w:val="16"/>
          <w:szCs w:val="16"/>
        </w:rPr>
        <w:t>)</w:t>
      </w:r>
      <w:r w:rsidR="00CE28D1" w:rsidRPr="00FB4F67">
        <w:rPr>
          <w:rFonts w:ascii="Times New Roman" w:hAnsi="Times New Roman" w:cs="Times New Roman"/>
          <w:color w:val="0070C0"/>
          <w:sz w:val="16"/>
          <w:szCs w:val="16"/>
        </w:rPr>
        <w:t xml:space="preserve"> апреля 1917 г. в Ставке был отдан приказ об освобождении генерала В. В. Сахарова от должности командующего русскими войсками в Румынии. Его сменил генерал Д. Г. Щербачев (23525).</w:t>
      </w:r>
    </w:p>
    <w:p w14:paraId="6297DF04" w14:textId="77777777" w:rsidR="00CE28D1" w:rsidRPr="00FB4F67" w:rsidRDefault="00CE28D1" w:rsidP="0083075A">
      <w:pPr>
        <w:spacing w:after="0" w:line="240" w:lineRule="auto"/>
        <w:jc w:val="both"/>
        <w:rPr>
          <w:rFonts w:ascii="Times New Roman" w:hAnsi="Times New Roman" w:cs="Times New Roman"/>
          <w:color w:val="0070C0"/>
          <w:sz w:val="16"/>
          <w:szCs w:val="16"/>
        </w:rPr>
      </w:pPr>
    </w:p>
    <w:p w14:paraId="1D305369" w14:textId="63EB8F61"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10 </w:t>
      </w:r>
      <w:r>
        <w:rPr>
          <w:rFonts w:ascii="Times New Roman" w:hAnsi="Times New Roman" w:cs="Times New Roman"/>
          <w:color w:val="0070C0"/>
          <w:sz w:val="16"/>
          <w:szCs w:val="16"/>
        </w:rPr>
        <w:t xml:space="preserve">(23) </w:t>
      </w:r>
      <w:r w:rsidRPr="00FB4F67">
        <w:rPr>
          <w:rFonts w:ascii="Times New Roman" w:hAnsi="Times New Roman" w:cs="Times New Roman"/>
          <w:color w:val="0070C0"/>
          <w:sz w:val="16"/>
          <w:szCs w:val="16"/>
        </w:rPr>
        <w:t xml:space="preserve">апреля 1917 г. в районе Галаца союзным (французским) летчиком был сбит германский самолет, который упал объятый пламенем (23405). </w:t>
      </w:r>
    </w:p>
    <w:p w14:paraId="61FC9FC3" w14:textId="77777777" w:rsidR="00E52569" w:rsidRPr="00FB4F67" w:rsidRDefault="00E52569" w:rsidP="0083075A">
      <w:pPr>
        <w:spacing w:after="0" w:line="240" w:lineRule="auto"/>
        <w:jc w:val="both"/>
        <w:rPr>
          <w:rFonts w:ascii="Times New Roman" w:hAnsi="Times New Roman" w:cs="Times New Roman"/>
          <w:color w:val="0070C0"/>
          <w:sz w:val="16"/>
          <w:szCs w:val="16"/>
        </w:rPr>
      </w:pPr>
    </w:p>
    <w:p w14:paraId="4D43D4AD" w14:textId="4BE5C7E3" w:rsidR="00883CAF"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3E42D806" w14:textId="77777777" w:rsidR="00883CAF" w:rsidRPr="002F2FDF" w:rsidRDefault="00883CA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663C97" w14:textId="77777777" w:rsidR="00883CAF" w:rsidRPr="002F2FDF" w:rsidRDefault="00883CAF"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10 (23) апреля 1917 г. </w:t>
      </w:r>
      <w:r w:rsidRPr="002F2FDF">
        <w:rPr>
          <w:rFonts w:ascii="Times New Roman" w:hAnsi="Times New Roman" w:cs="Times New Roman"/>
          <w:color w:val="000000" w:themeColor="text1"/>
          <w:kern w:val="2"/>
          <w:sz w:val="16"/>
          <w:szCs w:val="16"/>
        </w:rPr>
        <w:t>Представление Министерства торговли и промышленности Временному правительству о допущении иностранных подданных М. Буоль и В. Гаскэйн к занятию горным и золотым промыслами в России.</w:t>
      </w:r>
    </w:p>
    <w:p w14:paraId="5E2F4199" w14:textId="660B1F74" w:rsidR="00883CAF" w:rsidRPr="002F2FDF" w:rsidRDefault="00883CA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457</w:t>
      </w:r>
    </w:p>
    <w:p w14:paraId="55F47521" w14:textId="6BF22249" w:rsidR="00883CAF" w:rsidRPr="002F2FDF" w:rsidRDefault="00883CA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ЦГАОР, ф. 6, оп. 1, д. 1179, л. 1. Типогр. экз.</w:t>
      </w:r>
    </w:p>
    <w:p w14:paraId="1E3E5812" w14:textId="77777777" w:rsidR="00883CAF" w:rsidRPr="002F2FDF" w:rsidRDefault="00883CAF" w:rsidP="0083075A">
      <w:pPr>
        <w:pStyle w:val="rtejustify"/>
        <w:spacing w:before="0" w:after="0"/>
        <w:rPr>
          <w:color w:val="000000" w:themeColor="text1"/>
          <w:kern w:val="2"/>
          <w:sz w:val="16"/>
          <w:szCs w:val="16"/>
        </w:rPr>
      </w:pPr>
      <w:r w:rsidRPr="002F2FDF">
        <w:rPr>
          <w:color w:val="000000" w:themeColor="text1"/>
          <w:kern w:val="2"/>
          <w:sz w:val="16"/>
          <w:szCs w:val="16"/>
        </w:rPr>
        <w:t>Согласно п. 6 ст. 315 Устава горного (Св. зак., изд. 1912 г., т. VII) и н. 4 ст. 318 того же устава, лицам, не состоящим в русском подданстве, воспрещается производство горного промысла и участие в ном в обл. Приморской и в южной части Забайкальской, а также в южной части Иркутской губ.</w:t>
      </w:r>
    </w:p>
    <w:p w14:paraId="58C55F4A" w14:textId="77777777" w:rsidR="00883CAF" w:rsidRPr="002F2FDF" w:rsidRDefault="00883CAF" w:rsidP="0083075A">
      <w:pPr>
        <w:pStyle w:val="rtejustify"/>
        <w:spacing w:before="0" w:after="0"/>
        <w:rPr>
          <w:color w:val="000000" w:themeColor="text1"/>
          <w:kern w:val="2"/>
          <w:sz w:val="16"/>
          <w:szCs w:val="16"/>
        </w:rPr>
      </w:pPr>
      <w:r w:rsidRPr="002F2FDF">
        <w:rPr>
          <w:color w:val="000000" w:themeColor="text1"/>
          <w:kern w:val="2"/>
          <w:sz w:val="16"/>
          <w:szCs w:val="16"/>
        </w:rPr>
        <w:t>Вместе с тем статьями 316 и 319 того же Устава горного, министру торговли и промышленности предоставлено допускать иностранных подданных к занятию золотым и горным промыслами в вышеперечисленных местностях, но не иначе, как по особым, на каждый случай, разрешениям, попрашиваемым через Совет министров министром торговли и промышленности по предварительному соглашению с министром иностранных и внутренних дел и финансов и подлежащими генерал-губернаторами.</w:t>
      </w:r>
    </w:p>
    <w:p w14:paraId="26E56EEE" w14:textId="77777777" w:rsidR="00883CAF" w:rsidRPr="002F2FDF" w:rsidRDefault="00883CAF" w:rsidP="0083075A">
      <w:pPr>
        <w:pStyle w:val="rtejustify"/>
        <w:spacing w:before="0" w:after="0"/>
        <w:rPr>
          <w:color w:val="000000" w:themeColor="text1"/>
          <w:kern w:val="2"/>
          <w:sz w:val="16"/>
          <w:szCs w:val="16"/>
        </w:rPr>
      </w:pPr>
      <w:r w:rsidRPr="002F2FDF">
        <w:rPr>
          <w:color w:val="000000" w:themeColor="text1"/>
          <w:kern w:val="2"/>
          <w:sz w:val="16"/>
          <w:szCs w:val="16"/>
        </w:rPr>
        <w:t>В настоящее время в Министерство торговли и промышленности обратилась жена швейцарского гражданина Мария Буоль и великобританский подданный Вальтер Гаскэйн с ходатайствами</w:t>
      </w:r>
      <w:hyperlink r:id="rId125" w:anchor="_ftn1" w:history="1">
        <w:r w:rsidRPr="002F2FDF">
          <w:rPr>
            <w:rStyle w:val="a5"/>
            <w:color w:val="000000" w:themeColor="text1"/>
            <w:kern w:val="2"/>
            <w:sz w:val="16"/>
            <w:szCs w:val="16"/>
          </w:rPr>
          <w:t>[1]</w:t>
        </w:r>
      </w:hyperlink>
      <w:r w:rsidRPr="002F2FDF">
        <w:rPr>
          <w:color w:val="000000" w:themeColor="text1"/>
          <w:kern w:val="2"/>
          <w:sz w:val="16"/>
          <w:szCs w:val="16"/>
        </w:rPr>
        <w:t xml:space="preserve"> о разрешении им заниматься золотым и горным промыслами: первая — в южной части Забайкальской обл., а второй — в южной части Иркутской губ., а также в Приморской обл. и в южной части Забайкальской обл., причем вследствие произведенных по сему делу Министерством торговли и промышленности сношений бывш. министры иностранных и внутренних дел и финансов, а также бывш. Приамурский и бывш. Иркутский генерал-губернаторы изъявили свое согласие на таковое допущение.</w:t>
      </w:r>
    </w:p>
    <w:p w14:paraId="4ADD5A28" w14:textId="77777777" w:rsidR="00883CAF" w:rsidRPr="002F2FDF" w:rsidRDefault="00883CAF" w:rsidP="0083075A">
      <w:pPr>
        <w:pStyle w:val="rtejustify"/>
        <w:spacing w:before="0" w:after="0"/>
        <w:rPr>
          <w:color w:val="000000" w:themeColor="text1"/>
          <w:kern w:val="2"/>
          <w:sz w:val="16"/>
          <w:szCs w:val="16"/>
        </w:rPr>
      </w:pPr>
      <w:r w:rsidRPr="002F2FDF">
        <w:rPr>
          <w:color w:val="000000" w:themeColor="text1"/>
          <w:kern w:val="2"/>
          <w:sz w:val="16"/>
          <w:szCs w:val="16"/>
        </w:rPr>
        <w:t>Ввиду изложенного министр торговли и промышленности полагал бы: декретом Временного правительства допустить жену швейцарского гражданина Марию Буоль и великобританского подданного Вальтера Гаскэйна к занятию золотым и горным промыслами — первую в южной части Забайкальской обл., а второго — в южной части Иркутской губ.</w:t>
      </w:r>
      <w:r w:rsidR="009C2037" w:rsidRPr="002F2FDF">
        <w:rPr>
          <w:color w:val="000000" w:themeColor="text1"/>
          <w:kern w:val="2"/>
          <w:sz w:val="16"/>
          <w:szCs w:val="16"/>
        </w:rPr>
        <w:t>,</w:t>
      </w:r>
      <w:r w:rsidRPr="002F2FDF">
        <w:rPr>
          <w:color w:val="000000" w:themeColor="text1"/>
          <w:kern w:val="2"/>
          <w:sz w:val="16"/>
          <w:szCs w:val="16"/>
        </w:rPr>
        <w:t xml:space="preserve"> а также в обл. Приморской и в южной части Забайкальской обл.</w:t>
      </w:r>
      <w:hyperlink r:id="rId126" w:anchor="_ftn2" w:history="1">
        <w:r w:rsidRPr="002F2FDF">
          <w:rPr>
            <w:rStyle w:val="a5"/>
            <w:color w:val="000000" w:themeColor="text1"/>
            <w:kern w:val="2"/>
            <w:sz w:val="16"/>
            <w:szCs w:val="16"/>
          </w:rPr>
          <w:t>[2]</w:t>
        </w:r>
      </w:hyperlink>
    </w:p>
    <w:p w14:paraId="28D88521" w14:textId="77777777" w:rsidR="00883CAF" w:rsidRPr="002F2FDF" w:rsidRDefault="00883CAF" w:rsidP="0083075A">
      <w:pPr>
        <w:pStyle w:val="rtejustify"/>
        <w:spacing w:before="0" w:after="0"/>
        <w:rPr>
          <w:color w:val="000000" w:themeColor="text1"/>
          <w:kern w:val="2"/>
          <w:sz w:val="16"/>
          <w:szCs w:val="16"/>
        </w:rPr>
      </w:pPr>
      <w:r w:rsidRPr="002F2FDF">
        <w:rPr>
          <w:color w:val="000000" w:themeColor="text1"/>
          <w:kern w:val="2"/>
          <w:sz w:val="16"/>
          <w:szCs w:val="16"/>
        </w:rPr>
        <w:t>Подписал за министра торговли и промышленности постоянный комиссар с правами товарища министра, член Государственной думы В. Степанов (15207).</w:t>
      </w:r>
    </w:p>
    <w:p w14:paraId="1577F93D" w14:textId="77777777" w:rsidR="00883CAF" w:rsidRPr="002F2FDF" w:rsidRDefault="00000000" w:rsidP="0083075A">
      <w:pPr>
        <w:pStyle w:val="ae"/>
        <w:spacing w:before="0" w:after="0"/>
        <w:jc w:val="both"/>
        <w:rPr>
          <w:color w:val="000000" w:themeColor="text1"/>
          <w:kern w:val="2"/>
          <w:sz w:val="16"/>
          <w:szCs w:val="16"/>
        </w:rPr>
      </w:pPr>
      <w:hyperlink r:id="rId127" w:anchor="_ftnref1" w:history="1">
        <w:r w:rsidR="00883CAF" w:rsidRPr="002F2FDF">
          <w:rPr>
            <w:rStyle w:val="a5"/>
            <w:color w:val="000000" w:themeColor="text1"/>
            <w:kern w:val="2"/>
            <w:sz w:val="16"/>
            <w:szCs w:val="16"/>
          </w:rPr>
          <w:t>[1]</w:t>
        </w:r>
      </w:hyperlink>
      <w:r w:rsidR="00883CAF" w:rsidRPr="002F2FDF">
        <w:rPr>
          <w:color w:val="000000" w:themeColor="text1"/>
          <w:kern w:val="2"/>
          <w:sz w:val="16"/>
          <w:szCs w:val="16"/>
        </w:rPr>
        <w:t xml:space="preserve"> В деле не имеется</w:t>
      </w:r>
    </w:p>
    <w:p w14:paraId="36A1601E" w14:textId="77777777" w:rsidR="00883CAF" w:rsidRPr="002F2FDF" w:rsidRDefault="00000000" w:rsidP="0083075A">
      <w:pPr>
        <w:pStyle w:val="ae"/>
        <w:spacing w:before="0" w:after="0"/>
        <w:jc w:val="both"/>
        <w:rPr>
          <w:color w:val="000000" w:themeColor="text1"/>
          <w:kern w:val="2"/>
          <w:sz w:val="16"/>
          <w:szCs w:val="16"/>
        </w:rPr>
      </w:pPr>
      <w:hyperlink r:id="rId128" w:anchor="_ftnref2" w:history="1">
        <w:r w:rsidR="00883CAF" w:rsidRPr="002F2FDF">
          <w:rPr>
            <w:rStyle w:val="a5"/>
            <w:color w:val="000000" w:themeColor="text1"/>
            <w:kern w:val="2"/>
            <w:sz w:val="16"/>
            <w:szCs w:val="16"/>
          </w:rPr>
          <w:t>[2]</w:t>
        </w:r>
      </w:hyperlink>
      <w:r w:rsidR="00883CAF" w:rsidRPr="002F2FDF">
        <w:rPr>
          <w:color w:val="000000" w:themeColor="text1"/>
          <w:kern w:val="2"/>
          <w:sz w:val="16"/>
          <w:szCs w:val="16"/>
        </w:rPr>
        <w:t xml:space="preserve"> Указанное представление Министерства торговли и промышленности было утверждено на заседании Временного правительства 30 апреля 1917 г. (ЦГАОР, ф, 7, оп. 2, д. 6, л. 86 об.) (15207).</w:t>
      </w:r>
    </w:p>
    <w:p w14:paraId="67F13943" w14:textId="77777777" w:rsidR="00883CAF" w:rsidRPr="002F2FDF" w:rsidRDefault="00883CAF"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2C2E9B6E" w14:textId="77777777" w:rsidR="000C5E7E"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30D8782" w14:textId="77777777" w:rsidR="000C5E7E" w:rsidRPr="002F2FDF" w:rsidRDefault="000C5E7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46F984" w14:textId="77777777" w:rsidR="00B62298" w:rsidRPr="002F2FDF" w:rsidRDefault="00B6229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10 (23) мая 1917 первый полет Sopwith Dolphin (20341).</w:t>
      </w:r>
    </w:p>
    <w:p w14:paraId="62DF1EBC" w14:textId="77777777" w:rsidR="00B62298" w:rsidRPr="002F2FDF" w:rsidRDefault="00B62298" w:rsidP="0083075A">
      <w:pPr>
        <w:spacing w:after="0" w:line="240" w:lineRule="auto"/>
        <w:jc w:val="both"/>
        <w:rPr>
          <w:rFonts w:ascii="Times New Roman" w:hAnsi="Times New Roman" w:cs="Times New Roman"/>
          <w:color w:val="000000" w:themeColor="text1"/>
          <w:sz w:val="16"/>
          <w:szCs w:val="16"/>
        </w:rPr>
      </w:pPr>
    </w:p>
    <w:p w14:paraId="091430B7" w14:textId="77777777" w:rsidR="000C5E7E" w:rsidRPr="002F2FDF" w:rsidRDefault="000C5E7E" w:rsidP="0083075A">
      <w:pPr>
        <w:pStyle w:val="ae"/>
        <w:spacing w:before="0" w:after="0"/>
        <w:jc w:val="both"/>
        <w:rPr>
          <w:color w:val="000000" w:themeColor="text1"/>
          <w:kern w:val="2"/>
          <w:sz w:val="16"/>
          <w:szCs w:val="16"/>
        </w:rPr>
      </w:pPr>
      <w:r w:rsidRPr="002F2FDF">
        <w:rPr>
          <w:color w:val="000000" w:themeColor="text1"/>
          <w:kern w:val="2"/>
          <w:sz w:val="16"/>
          <w:szCs w:val="16"/>
        </w:rPr>
        <w:t>10 (23) апреля 1917 британские войска атаковали немцев в долине реки Скарпа (протекает через Аррас и далее на запад). На первом этапе им удалось захватить передовые траншеи противника, но затем уже германцы нанесли серию контрударов. Отчаянными усилиями бойцам канадского Королевского Ньюфаундледского полка удалось отстоять взятую деревню Монше-ле-Про, что стало последним успехом союзников. После этого, учитывая тяжелые потери, генерал генерал Хейг остановил наступление (1045).</w:t>
      </w:r>
    </w:p>
    <w:p w14:paraId="669D8F94" w14:textId="77777777" w:rsidR="000C5E7E" w:rsidRPr="002F2FDF" w:rsidRDefault="000C5E7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9A1C5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43D63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29E2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апреля 1917 завод Лебедева получил официальный контракт на 60 Лебедь 12 для создаваемой Школы воздушного боя. Потом передали 33 из 57 строящихся (2843,45).</w:t>
      </w:r>
    </w:p>
    <w:p w14:paraId="1BDE33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78D84B" w14:textId="162F34C5"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апреля 1917</w:t>
      </w:r>
      <w:r w:rsidR="00B51D7D" w:rsidRPr="002F2FDF">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был подписан официальный контракт с фирмой Лебедева на 50 лл Альбатрос. Некоторые машины предполагалось оборудовать двойным управлением, что, впрочем, не отражалось на цене каждого самолета в отдельности, которая равнялась 15.000 руб. Весь заказ предстояло выполнить в период с 19 мая по 4 сентября 1917 г., а по другим данным — с 26 апреля по 25 августа. Чтобы не создавать прецедента и по причине политических беспорядков компания не поспела к сроку и это при том, что этот аэроплан находился в производстве с июня 1916 г. Для улучшения ситуации и после необходимых переговоров флоту были переданы 33 аппарата из числа купленных армией, что вкупе с определенной несогласованностью привело, по всей видимости, к тому, что об</w:t>
      </w:r>
      <w:r w:rsidRPr="002F2FDF">
        <w:rPr>
          <w:rFonts w:ascii="Times New Roman" w:hAnsi="Times New Roman" w:cs="Times New Roman"/>
          <w:color w:val="000000" w:themeColor="text1"/>
          <w:kern w:val="2"/>
          <w:sz w:val="16"/>
          <w:szCs w:val="16"/>
        </w:rPr>
        <w:softHyphen/>
        <w:t>щее количество аэропланов типа "Лебедь 12", направляемых в школу, к концу года достигло 57 единиц (2843).</w:t>
      </w:r>
    </w:p>
    <w:p w14:paraId="550E7D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EDAF3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46684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07472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апреля 1917, по настоянию военного министра А.И.Гучкова, генерал Шидловский был смещен с занимаемой должности. -Новым командиром Эскадры “Муромцев” назначили опытного военного летчика, служившего в части с мо</w:t>
      </w:r>
      <w:r w:rsidRPr="002F2FDF">
        <w:rPr>
          <w:rFonts w:ascii="Times New Roman" w:hAnsi="Times New Roman" w:cs="Times New Roman"/>
          <w:color w:val="000000" w:themeColor="text1"/>
          <w:kern w:val="2"/>
          <w:sz w:val="16"/>
          <w:szCs w:val="16"/>
        </w:rPr>
        <w:softHyphen/>
        <w:t>мента ее образования, — полковника Г. Г. Горшкова. Эскадра по-прежнему представляла из себя бое</w:t>
      </w:r>
      <w:r w:rsidRPr="002F2FDF">
        <w:rPr>
          <w:rFonts w:ascii="Times New Roman" w:hAnsi="Times New Roman" w:cs="Times New Roman"/>
          <w:color w:val="000000" w:themeColor="text1"/>
          <w:kern w:val="2"/>
          <w:sz w:val="16"/>
          <w:szCs w:val="16"/>
        </w:rPr>
        <w:softHyphen/>
        <w:t xml:space="preserve">способную единицу. Ее личный состав насчитывал 111 офицеров и 1441 нижних чинов, в том числе на главной базе </w:t>
      </w:r>
      <w:r w:rsidRPr="002F2FDF">
        <w:rPr>
          <w:rFonts w:ascii="Times New Roman" w:hAnsi="Times New Roman" w:cs="Times New Roman"/>
          <w:iCs/>
          <w:color w:val="000000" w:themeColor="text1"/>
          <w:kern w:val="2"/>
          <w:sz w:val="16"/>
          <w:szCs w:val="16"/>
        </w:rPr>
        <w:t xml:space="preserve">— </w:t>
      </w:r>
      <w:r w:rsidRPr="002F2FDF">
        <w:rPr>
          <w:rFonts w:ascii="Times New Roman" w:hAnsi="Times New Roman" w:cs="Times New Roman"/>
          <w:color w:val="000000" w:themeColor="text1"/>
          <w:kern w:val="2"/>
          <w:sz w:val="16"/>
          <w:szCs w:val="16"/>
        </w:rPr>
        <w:t>75 офицеров и 910 солдат. Материальная часть включала в себя ремонтную базу, большое количество авиационного иму</w:t>
      </w:r>
      <w:r w:rsidRPr="002F2FDF">
        <w:rPr>
          <w:rFonts w:ascii="Times New Roman" w:hAnsi="Times New Roman" w:cs="Times New Roman"/>
          <w:color w:val="000000" w:themeColor="text1"/>
          <w:kern w:val="2"/>
          <w:sz w:val="16"/>
          <w:szCs w:val="16"/>
        </w:rPr>
        <w:softHyphen/>
        <w:t>щества, грузовые и легковые автомоби</w:t>
      </w:r>
      <w:r w:rsidRPr="002F2FDF">
        <w:rPr>
          <w:rFonts w:ascii="Times New Roman" w:hAnsi="Times New Roman" w:cs="Times New Roman"/>
          <w:color w:val="000000" w:themeColor="text1"/>
          <w:kern w:val="2"/>
          <w:sz w:val="16"/>
          <w:szCs w:val="16"/>
        </w:rPr>
        <w:softHyphen/>
        <w:t>ли, трехорудийную зенитную батарею, более 30 легких аэро</w:t>
      </w:r>
      <w:r w:rsidRPr="002F2FDF">
        <w:rPr>
          <w:rFonts w:ascii="Times New Roman" w:hAnsi="Times New Roman" w:cs="Times New Roman"/>
          <w:color w:val="000000" w:themeColor="text1"/>
          <w:kern w:val="2"/>
          <w:sz w:val="16"/>
          <w:szCs w:val="16"/>
        </w:rPr>
        <w:softHyphen/>
        <w:t>планов (истребители и разведчики). Но из имевшихся 18 “Му</w:t>
      </w:r>
      <w:r w:rsidRPr="002F2FDF">
        <w:rPr>
          <w:rFonts w:ascii="Times New Roman" w:hAnsi="Times New Roman" w:cs="Times New Roman"/>
          <w:color w:val="000000" w:themeColor="text1"/>
          <w:kern w:val="2"/>
          <w:sz w:val="16"/>
          <w:szCs w:val="16"/>
        </w:rPr>
        <w:softHyphen/>
        <w:t>ромцев” к ведению боевой работы были готовы только шесть. Поставки новых машин, к тому же крайне нере</w:t>
      </w:r>
      <w:r w:rsidRPr="002F2FDF">
        <w:rPr>
          <w:rFonts w:ascii="Times New Roman" w:hAnsi="Times New Roman" w:cs="Times New Roman"/>
          <w:color w:val="000000" w:themeColor="text1"/>
          <w:kern w:val="2"/>
          <w:sz w:val="16"/>
          <w:szCs w:val="16"/>
        </w:rPr>
        <w:softHyphen/>
        <w:t>гулярные, не могли исправить положения, так как к этому времени развитие конструкции “Муромца” до</w:t>
      </w:r>
      <w:r w:rsidRPr="002F2FDF">
        <w:rPr>
          <w:rFonts w:ascii="Times New Roman" w:hAnsi="Times New Roman" w:cs="Times New Roman"/>
          <w:color w:val="000000" w:themeColor="text1"/>
          <w:kern w:val="2"/>
          <w:sz w:val="16"/>
          <w:szCs w:val="16"/>
        </w:rPr>
        <w:softHyphen/>
        <w:t>стигло своего предела и перестало удовлетворять воз</w:t>
      </w:r>
      <w:r w:rsidRPr="002F2FDF">
        <w:rPr>
          <w:rFonts w:ascii="Times New Roman" w:hAnsi="Times New Roman" w:cs="Times New Roman"/>
          <w:color w:val="000000" w:themeColor="text1"/>
          <w:kern w:val="2"/>
          <w:sz w:val="16"/>
          <w:szCs w:val="16"/>
        </w:rPr>
        <w:softHyphen/>
        <w:t>росшим требованиям военных. Сказывалось несоответствие заводских летно -тех</w:t>
      </w:r>
      <w:r w:rsidRPr="002F2FDF">
        <w:rPr>
          <w:rFonts w:ascii="Times New Roman" w:hAnsi="Times New Roman" w:cs="Times New Roman"/>
          <w:color w:val="000000" w:themeColor="text1"/>
          <w:kern w:val="2"/>
          <w:sz w:val="16"/>
          <w:szCs w:val="16"/>
        </w:rPr>
        <w:softHyphen/>
        <w:t>нических данных “Муромцев” реальным. Так, соглас</w:t>
      </w:r>
      <w:r w:rsidRPr="002F2FDF">
        <w:rPr>
          <w:rFonts w:ascii="Times New Roman" w:hAnsi="Times New Roman" w:cs="Times New Roman"/>
          <w:color w:val="000000" w:themeColor="text1"/>
          <w:kern w:val="2"/>
          <w:sz w:val="16"/>
          <w:szCs w:val="16"/>
        </w:rPr>
        <w:softHyphen/>
        <w:t>но данным промышленности самолет с четырехчасо</w:t>
      </w:r>
      <w:r w:rsidRPr="002F2FDF">
        <w:rPr>
          <w:rFonts w:ascii="Times New Roman" w:hAnsi="Times New Roman" w:cs="Times New Roman"/>
          <w:color w:val="000000" w:themeColor="text1"/>
          <w:kern w:val="2"/>
          <w:sz w:val="16"/>
          <w:szCs w:val="16"/>
        </w:rPr>
        <w:softHyphen/>
        <w:t>вым запасом горючего мог брать на борт 800 кг бомб. Но в связи с тем, что на “Муромцах” устанавлива</w:t>
      </w:r>
      <w:r w:rsidRPr="002F2FDF">
        <w:rPr>
          <w:rFonts w:ascii="Times New Roman" w:hAnsi="Times New Roman" w:cs="Times New Roman"/>
          <w:color w:val="000000" w:themeColor="text1"/>
          <w:kern w:val="2"/>
          <w:sz w:val="16"/>
          <w:szCs w:val="16"/>
        </w:rPr>
        <w:softHyphen/>
        <w:t>лись маломощные двигатели, реально в боевых вы</w:t>
      </w:r>
      <w:r w:rsidRPr="002F2FDF">
        <w:rPr>
          <w:rFonts w:ascii="Times New Roman" w:hAnsi="Times New Roman" w:cs="Times New Roman"/>
          <w:color w:val="000000" w:themeColor="text1"/>
          <w:kern w:val="2"/>
          <w:sz w:val="16"/>
          <w:szCs w:val="16"/>
        </w:rPr>
        <w:softHyphen/>
        <w:t>летах самолеты несли всею 150-200 кг бомбовой на</w:t>
      </w:r>
      <w:r w:rsidRPr="002F2FDF">
        <w:rPr>
          <w:rFonts w:ascii="Times New Roman" w:hAnsi="Times New Roman" w:cs="Times New Roman"/>
          <w:color w:val="000000" w:themeColor="text1"/>
          <w:kern w:val="2"/>
          <w:sz w:val="16"/>
          <w:szCs w:val="16"/>
        </w:rPr>
        <w:softHyphen/>
        <w:t>грузки (553).</w:t>
      </w:r>
    </w:p>
    <w:p w14:paraId="4E426E9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31ED0C" w14:textId="3F856E02" w:rsidR="00E52569" w:rsidRPr="00FB4F67" w:rsidRDefault="00E52569" w:rsidP="0083075A">
      <w:pPr>
        <w:spacing w:after="0" w:line="240" w:lineRule="auto"/>
        <w:jc w:val="both"/>
        <w:rPr>
          <w:rFonts w:ascii="Times New Roman" w:hAnsi="Times New Roman" w:cs="Times New Roman"/>
          <w:color w:val="0070C0"/>
          <w:sz w:val="16"/>
          <w:szCs w:val="16"/>
        </w:rPr>
      </w:pPr>
      <w:bookmarkStart w:id="77" w:name="bookmark749"/>
      <w:bookmarkStart w:id="78" w:name="bookmark750"/>
      <w:bookmarkStart w:id="79" w:name="bookmark751"/>
      <w:bookmarkStart w:id="80" w:name="bookmark752"/>
      <w:r w:rsidRPr="00FB4F67">
        <w:rPr>
          <w:rFonts w:ascii="Times New Roman" w:hAnsi="Times New Roman" w:cs="Times New Roman"/>
          <w:color w:val="0070C0"/>
          <w:sz w:val="16"/>
          <w:szCs w:val="16"/>
        </w:rPr>
        <w:t xml:space="preserve">11 </w:t>
      </w:r>
      <w:r>
        <w:rPr>
          <w:rFonts w:ascii="Times New Roman" w:hAnsi="Times New Roman" w:cs="Times New Roman"/>
          <w:color w:val="0070C0"/>
          <w:sz w:val="16"/>
          <w:szCs w:val="16"/>
        </w:rPr>
        <w:t xml:space="preserve">(24) </w:t>
      </w:r>
      <w:r w:rsidRPr="00FB4F67">
        <w:rPr>
          <w:rFonts w:ascii="Times New Roman" w:hAnsi="Times New Roman" w:cs="Times New Roman"/>
          <w:color w:val="0070C0"/>
          <w:sz w:val="16"/>
          <w:szCs w:val="16"/>
        </w:rPr>
        <w:t>апреля 1917 г. Шидловский сдал командование Эскадрой капитану Панкратьеву, поскольку для начальника Гатчинской авиаци</w:t>
      </w:r>
      <w:r w:rsidRPr="00FB4F67">
        <w:rPr>
          <w:rFonts w:ascii="Times New Roman" w:hAnsi="Times New Roman" w:cs="Times New Roman"/>
          <w:color w:val="0070C0"/>
          <w:sz w:val="16"/>
          <w:szCs w:val="16"/>
        </w:rPr>
        <w:softHyphen/>
        <w:t>онной школы Горшкова назначе</w:t>
      </w:r>
      <w:r w:rsidRPr="00FB4F67">
        <w:rPr>
          <w:rFonts w:ascii="Times New Roman" w:hAnsi="Times New Roman" w:cs="Times New Roman"/>
          <w:color w:val="0070C0"/>
          <w:sz w:val="16"/>
          <w:szCs w:val="16"/>
        </w:rPr>
        <w:softHyphen/>
        <w:t>ние в Эскадру тоже было неожидан</w:t>
      </w:r>
      <w:r w:rsidRPr="00FB4F67">
        <w:rPr>
          <w:rFonts w:ascii="Times New Roman" w:hAnsi="Times New Roman" w:cs="Times New Roman"/>
          <w:color w:val="0070C0"/>
          <w:sz w:val="16"/>
          <w:szCs w:val="16"/>
        </w:rPr>
        <w:softHyphen/>
        <w:t>ным. Только в мае Георгий Георгие</w:t>
      </w:r>
      <w:r w:rsidRPr="00FB4F67">
        <w:rPr>
          <w:rFonts w:ascii="Times New Roman" w:hAnsi="Times New Roman" w:cs="Times New Roman"/>
          <w:color w:val="0070C0"/>
          <w:sz w:val="16"/>
          <w:szCs w:val="16"/>
        </w:rPr>
        <w:softHyphen/>
        <w:t>вич Горшков смог вступить в ко</w:t>
      </w:r>
      <w:r w:rsidRPr="00FB4F67">
        <w:rPr>
          <w:rFonts w:ascii="Times New Roman" w:hAnsi="Times New Roman" w:cs="Times New Roman"/>
          <w:color w:val="0070C0"/>
          <w:sz w:val="16"/>
          <w:szCs w:val="16"/>
        </w:rPr>
        <w:softHyphen/>
        <w:t>мандование Эскадрой. Вместе с Шидловским ЭВК навсегда поки</w:t>
      </w:r>
      <w:r w:rsidRPr="00FB4F67">
        <w:rPr>
          <w:rFonts w:ascii="Times New Roman" w:hAnsi="Times New Roman" w:cs="Times New Roman"/>
          <w:color w:val="0070C0"/>
          <w:sz w:val="16"/>
          <w:szCs w:val="16"/>
        </w:rPr>
        <w:softHyphen/>
        <w:t>нул и Сикорский.</w:t>
      </w:r>
    </w:p>
    <w:p w14:paraId="255FCBF0"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Военный и Морской министр Временного правительства А.И. Гучков заявил о нежелательности дальнейшего пребывания на своем посту «мо</w:t>
      </w:r>
      <w:r w:rsidRPr="00FB4F67">
        <w:rPr>
          <w:rFonts w:ascii="Times New Roman" w:hAnsi="Times New Roman" w:cs="Times New Roman"/>
          <w:color w:val="0070C0"/>
          <w:sz w:val="16"/>
          <w:szCs w:val="16"/>
        </w:rPr>
        <w:softHyphen/>
        <w:t>нархиста» генерала Шидловского и целесообразности его замены мо</w:t>
      </w:r>
      <w:r w:rsidRPr="00FB4F67">
        <w:rPr>
          <w:rFonts w:ascii="Times New Roman" w:hAnsi="Times New Roman" w:cs="Times New Roman"/>
          <w:color w:val="0070C0"/>
          <w:sz w:val="16"/>
          <w:szCs w:val="16"/>
        </w:rPr>
        <w:softHyphen/>
        <w:t>лодым подполковником Г.Г. Горш</w:t>
      </w:r>
      <w:r w:rsidRPr="00FB4F67">
        <w:rPr>
          <w:rFonts w:ascii="Times New Roman" w:hAnsi="Times New Roman" w:cs="Times New Roman"/>
          <w:color w:val="0070C0"/>
          <w:sz w:val="16"/>
          <w:szCs w:val="16"/>
        </w:rPr>
        <w:softHyphen/>
        <w:t>ковым.</w:t>
      </w:r>
    </w:p>
    <w:p w14:paraId="671F8336"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Прощаясь с демобилизованным Шидловским, Верховный Главноко</w:t>
      </w:r>
      <w:r w:rsidRPr="00FB4F67">
        <w:rPr>
          <w:rFonts w:ascii="Times New Roman" w:hAnsi="Times New Roman" w:cs="Times New Roman"/>
          <w:color w:val="0070C0"/>
          <w:sz w:val="16"/>
          <w:szCs w:val="16"/>
        </w:rPr>
        <w:softHyphen/>
        <w:t>мандующий генерал Алексеев на</w:t>
      </w:r>
      <w:r w:rsidRPr="00FB4F67">
        <w:rPr>
          <w:rFonts w:ascii="Times New Roman" w:hAnsi="Times New Roman" w:cs="Times New Roman"/>
          <w:color w:val="0070C0"/>
          <w:sz w:val="16"/>
          <w:szCs w:val="16"/>
        </w:rPr>
        <w:softHyphen/>
        <w:t>правил телеграмму: «Расставаясь ныне с Вами, прошу Вас, Михаил Владимирович, принять мою са</w:t>
      </w:r>
      <w:r w:rsidRPr="00FB4F67">
        <w:rPr>
          <w:rFonts w:ascii="Times New Roman" w:hAnsi="Times New Roman" w:cs="Times New Roman"/>
          <w:color w:val="0070C0"/>
          <w:sz w:val="16"/>
          <w:szCs w:val="16"/>
        </w:rPr>
        <w:softHyphen/>
        <w:t>мую искреннюю душевную благо</w:t>
      </w:r>
      <w:r w:rsidRPr="00FB4F67">
        <w:rPr>
          <w:rFonts w:ascii="Times New Roman" w:hAnsi="Times New Roman" w:cs="Times New Roman"/>
          <w:color w:val="0070C0"/>
          <w:sz w:val="16"/>
          <w:szCs w:val="16"/>
        </w:rPr>
        <w:softHyphen/>
        <w:t>дарность и признательность за все ваши полезные труды по созда</w:t>
      </w:r>
      <w:r w:rsidRPr="00FB4F67">
        <w:rPr>
          <w:rFonts w:ascii="Times New Roman" w:hAnsi="Times New Roman" w:cs="Times New Roman"/>
          <w:color w:val="0070C0"/>
          <w:sz w:val="16"/>
          <w:szCs w:val="16"/>
        </w:rPr>
        <w:softHyphen/>
        <w:t>нию Эскадры и техническому со</w:t>
      </w:r>
      <w:r w:rsidRPr="00FB4F67">
        <w:rPr>
          <w:rFonts w:ascii="Times New Roman" w:hAnsi="Times New Roman" w:cs="Times New Roman"/>
          <w:color w:val="0070C0"/>
          <w:sz w:val="16"/>
          <w:szCs w:val="16"/>
        </w:rPr>
        <w:softHyphen/>
        <w:t>вершенствованию типа воздушно</w:t>
      </w:r>
      <w:r w:rsidRPr="00FB4F67">
        <w:rPr>
          <w:rFonts w:ascii="Times New Roman" w:hAnsi="Times New Roman" w:cs="Times New Roman"/>
          <w:color w:val="0070C0"/>
          <w:sz w:val="16"/>
          <w:szCs w:val="16"/>
        </w:rPr>
        <w:softHyphen/>
        <w:t>го корабля, так как всегда считал, что этому сложному и большому новому делу Вы отдавали всегда всю свою энергию, силу и всю свою душу».</w:t>
      </w:r>
    </w:p>
    <w:p w14:paraId="3EF9A454"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Изгнание Шидловского из Эска</w:t>
      </w:r>
      <w:r w:rsidRPr="00FB4F67">
        <w:rPr>
          <w:rFonts w:ascii="Times New Roman" w:hAnsi="Times New Roman" w:cs="Times New Roman"/>
          <w:color w:val="0070C0"/>
          <w:sz w:val="16"/>
          <w:szCs w:val="16"/>
        </w:rPr>
        <w:softHyphen/>
        <w:t>дры стало началом деградации это</w:t>
      </w:r>
      <w:r w:rsidRPr="00FB4F67">
        <w:rPr>
          <w:rFonts w:ascii="Times New Roman" w:hAnsi="Times New Roman" w:cs="Times New Roman"/>
          <w:color w:val="0070C0"/>
          <w:sz w:val="16"/>
          <w:szCs w:val="16"/>
        </w:rPr>
        <w:softHyphen/>
        <w:t>го уникального соединения. Под</w:t>
      </w:r>
      <w:r w:rsidRPr="00FB4F67">
        <w:rPr>
          <w:rFonts w:ascii="Times New Roman" w:hAnsi="Times New Roman" w:cs="Times New Roman"/>
          <w:color w:val="0070C0"/>
          <w:sz w:val="16"/>
          <w:szCs w:val="16"/>
        </w:rPr>
        <w:softHyphen/>
        <w:t>полковник Горшков при всех его достоинствах как лётчика и коман</w:t>
      </w:r>
      <w:r w:rsidRPr="00FB4F67">
        <w:rPr>
          <w:rFonts w:ascii="Times New Roman" w:hAnsi="Times New Roman" w:cs="Times New Roman"/>
          <w:color w:val="0070C0"/>
          <w:sz w:val="16"/>
          <w:szCs w:val="16"/>
        </w:rPr>
        <w:softHyphen/>
        <w:t>дира не обладал авторитетом, опы</w:t>
      </w:r>
      <w:r w:rsidRPr="00FB4F67">
        <w:rPr>
          <w:rFonts w:ascii="Times New Roman" w:hAnsi="Times New Roman" w:cs="Times New Roman"/>
          <w:color w:val="0070C0"/>
          <w:sz w:val="16"/>
          <w:szCs w:val="16"/>
        </w:rPr>
        <w:softHyphen/>
        <w:t>том и связями первого начальника Эскадры и не мог достойно отстаи</w:t>
      </w:r>
      <w:r w:rsidRPr="00FB4F67">
        <w:rPr>
          <w:rFonts w:ascii="Times New Roman" w:hAnsi="Times New Roman" w:cs="Times New Roman"/>
          <w:color w:val="0070C0"/>
          <w:sz w:val="16"/>
          <w:szCs w:val="16"/>
        </w:rPr>
        <w:softHyphen/>
        <w:t>вать её право на жизнь. Теперь Эс</w:t>
      </w:r>
      <w:r w:rsidRPr="00FB4F67">
        <w:rPr>
          <w:rFonts w:ascii="Times New Roman" w:hAnsi="Times New Roman" w:cs="Times New Roman"/>
          <w:color w:val="0070C0"/>
          <w:sz w:val="16"/>
          <w:szCs w:val="16"/>
        </w:rPr>
        <w:softHyphen/>
        <w:t>кадра подчинялась уже не непо</w:t>
      </w:r>
      <w:r w:rsidRPr="00FB4F67">
        <w:rPr>
          <w:rFonts w:ascii="Times New Roman" w:hAnsi="Times New Roman" w:cs="Times New Roman"/>
          <w:color w:val="0070C0"/>
          <w:sz w:val="16"/>
          <w:szCs w:val="16"/>
        </w:rPr>
        <w:softHyphen/>
        <w:t>средственно Ставке Верховного Главнокомандующего, а была пере</w:t>
      </w:r>
      <w:r w:rsidRPr="00FB4F67">
        <w:rPr>
          <w:rFonts w:ascii="Times New Roman" w:hAnsi="Times New Roman" w:cs="Times New Roman"/>
          <w:color w:val="0070C0"/>
          <w:sz w:val="16"/>
          <w:szCs w:val="16"/>
        </w:rPr>
        <w:softHyphen/>
        <w:t>подчинена Управлению авиации действующей армии и стала одной из многих частей фронтовой авиа</w:t>
      </w:r>
      <w:r w:rsidRPr="00FB4F67">
        <w:rPr>
          <w:rFonts w:ascii="Times New Roman" w:hAnsi="Times New Roman" w:cs="Times New Roman"/>
          <w:color w:val="0070C0"/>
          <w:sz w:val="16"/>
          <w:szCs w:val="16"/>
        </w:rPr>
        <w:softHyphen/>
        <w:t>ции, потеряла своё исключительно важное значение в решении страте</w:t>
      </w:r>
      <w:r w:rsidRPr="00FB4F67">
        <w:rPr>
          <w:rFonts w:ascii="Times New Roman" w:hAnsi="Times New Roman" w:cs="Times New Roman"/>
          <w:color w:val="0070C0"/>
          <w:sz w:val="16"/>
          <w:szCs w:val="16"/>
        </w:rPr>
        <w:softHyphen/>
        <w:t>гических задач. «Преобразователи» России даже предлагали расформи</w:t>
      </w:r>
      <w:r w:rsidRPr="00FB4F67">
        <w:rPr>
          <w:rFonts w:ascii="Times New Roman" w:hAnsi="Times New Roman" w:cs="Times New Roman"/>
          <w:color w:val="0070C0"/>
          <w:sz w:val="16"/>
          <w:szCs w:val="16"/>
        </w:rPr>
        <w:softHyphen/>
        <w:t>ровать ЭВК, распределив её боевые корабли по армейским авиадивизи</w:t>
      </w:r>
      <w:r w:rsidRPr="00FB4F67">
        <w:rPr>
          <w:rFonts w:ascii="Times New Roman" w:hAnsi="Times New Roman" w:cs="Times New Roman"/>
          <w:color w:val="0070C0"/>
          <w:sz w:val="16"/>
          <w:szCs w:val="16"/>
        </w:rPr>
        <w:softHyphen/>
        <w:t>онам (23469).</w:t>
      </w:r>
    </w:p>
    <w:p w14:paraId="0A221212" w14:textId="77777777" w:rsidR="00E52569" w:rsidRPr="00FB4F67" w:rsidRDefault="00E52569" w:rsidP="0083075A">
      <w:pPr>
        <w:spacing w:after="0" w:line="240" w:lineRule="auto"/>
        <w:jc w:val="both"/>
        <w:rPr>
          <w:rFonts w:ascii="Times New Roman" w:hAnsi="Times New Roman" w:cs="Times New Roman"/>
          <w:color w:val="0070C0"/>
          <w:sz w:val="16"/>
          <w:szCs w:val="16"/>
        </w:rPr>
      </w:pPr>
    </w:p>
    <w:bookmarkEnd w:id="77"/>
    <w:bookmarkEnd w:id="78"/>
    <w:bookmarkEnd w:id="79"/>
    <w:bookmarkEnd w:id="80"/>
    <w:p w14:paraId="6598E67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lastRenderedPageBreak/>
        <w:t>За рубежом:</w:t>
      </w:r>
    </w:p>
    <w:p w14:paraId="35CDBC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AA228A" w14:textId="77777777" w:rsidR="00B62298" w:rsidRPr="002F2FDF" w:rsidRDefault="00B6229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11 (24) апреля 1917 управляя Halberstadt CL.II , гауптман Эдуард В. Зорер, командир Schutzstaffel 7 - немецкой эскадрильи сопровождения, которой поручено использование двухместных самолетов для сопровождения двухместных разведывательных самолетов, спускается на высоту 60 футов (18,3 метра), чтобы использовать пулеметный огонь для поддержки немецких войск, контратакующих британские окопы вдоль дороги Гаврель - Рё возле Арраса во время битвы при Аррасе . Под обстрелом сотен британских винтовок и пулеметов он и его пилот обстреливают британские траншеи 500 патронами, прежде чем попадание в двигатель вынуждает их отступить. Инцидент представляет собой рождение непосредственной авиационной поддержки – штурмовки как миссии ВВС (20341).</w:t>
      </w:r>
    </w:p>
    <w:p w14:paraId="4BFBE1F9" w14:textId="77777777" w:rsidR="00B62298" w:rsidRPr="002F2FDF" w:rsidRDefault="00B62298" w:rsidP="0083075A">
      <w:pPr>
        <w:spacing w:after="0" w:line="240" w:lineRule="auto"/>
        <w:jc w:val="both"/>
        <w:rPr>
          <w:rFonts w:ascii="Times New Roman" w:hAnsi="Times New Roman" w:cs="Times New Roman"/>
          <w:color w:val="000000" w:themeColor="text1"/>
          <w:sz w:val="16"/>
          <w:szCs w:val="16"/>
        </w:rPr>
      </w:pPr>
    </w:p>
    <w:p w14:paraId="06DE2D78" w14:textId="77777777" w:rsidR="00B62298" w:rsidRPr="002F2FDF" w:rsidRDefault="00B6229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11 (24) мая 1917 первый полет B-1 - первого дирижабля класса B ВМС США (20341).</w:t>
      </w:r>
    </w:p>
    <w:p w14:paraId="1482F9FC" w14:textId="77777777" w:rsidR="00B62298" w:rsidRPr="002F2FDF" w:rsidRDefault="00B62298" w:rsidP="0083075A">
      <w:pPr>
        <w:spacing w:after="0" w:line="240" w:lineRule="auto"/>
        <w:jc w:val="both"/>
        <w:rPr>
          <w:rFonts w:ascii="Times New Roman" w:hAnsi="Times New Roman" w:cs="Times New Roman"/>
          <w:color w:val="000000" w:themeColor="text1"/>
          <w:sz w:val="16"/>
          <w:szCs w:val="16"/>
        </w:rPr>
      </w:pPr>
    </w:p>
    <w:p w14:paraId="30D64A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апреля 1917 в США был утвержден закон о Займе свободы, в соответствии с которым начался выпуск облигаций военного займа (3907,92).</w:t>
      </w:r>
    </w:p>
    <w:p w14:paraId="27EF78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00C23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D27CF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4CCC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апреля 1917 был принят закон о свободе собраний и объединений (1348,84).</w:t>
      </w:r>
    </w:p>
    <w:p w14:paraId="6C5416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FEAB60" w14:textId="77777777" w:rsidR="009C2037"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7501629B" w14:textId="77777777" w:rsidR="009C2037" w:rsidRPr="002F2FDF" w:rsidRDefault="009C203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30C154" w14:textId="77777777" w:rsidR="009C2037" w:rsidRPr="002F2FDF" w:rsidRDefault="009C2037"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12 (25) апреля 1917</w:t>
      </w:r>
      <w:r w:rsidRPr="002F2FDF">
        <w:rPr>
          <w:rFonts w:ascii="Times New Roman" w:hAnsi="Times New Roman" w:cs="Times New Roman"/>
          <w:color w:val="000000" w:themeColor="text1"/>
          <w:kern w:val="2"/>
          <w:sz w:val="16"/>
          <w:szCs w:val="16"/>
        </w:rPr>
        <w:t xml:space="preserve"> г. Отношение Министерства иностранных дел военному министру о необходимости удовлетворения ходатайства бельгийских предприятий о предоставлении топлива.</w:t>
      </w:r>
    </w:p>
    <w:p w14:paraId="56759871" w14:textId="5586E3DB" w:rsidR="009C2037" w:rsidRPr="002F2FDF" w:rsidRDefault="009C20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458-459</w:t>
      </w:r>
    </w:p>
    <w:p w14:paraId="78661A96" w14:textId="338FF0C6" w:rsidR="009C2037" w:rsidRPr="002F2FDF" w:rsidRDefault="009C20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ЦГВИА, ф. 369, оп. 14, д. 14, лл. 152—153. Подлинник.</w:t>
      </w:r>
    </w:p>
    <w:p w14:paraId="0016F025" w14:textId="77777777" w:rsidR="009C2037" w:rsidRPr="002F2FDF" w:rsidRDefault="009C2037" w:rsidP="0083075A">
      <w:pPr>
        <w:pStyle w:val="rtejustify"/>
        <w:spacing w:before="0" w:after="0"/>
        <w:rPr>
          <w:color w:val="000000" w:themeColor="text1"/>
          <w:kern w:val="2"/>
          <w:sz w:val="16"/>
          <w:szCs w:val="16"/>
        </w:rPr>
      </w:pPr>
      <w:r w:rsidRPr="002F2FDF">
        <w:rPr>
          <w:color w:val="000000" w:themeColor="text1"/>
          <w:kern w:val="2"/>
          <w:sz w:val="16"/>
          <w:szCs w:val="16"/>
        </w:rPr>
        <w:t>Бельгийская миссия в Петрограде обратилась в Министерство иностранных дел со следующим представлением.</w:t>
      </w:r>
    </w:p>
    <w:p w14:paraId="0B077477" w14:textId="77777777" w:rsidR="009C2037" w:rsidRPr="002F2FDF" w:rsidRDefault="009C2037" w:rsidP="0083075A">
      <w:pPr>
        <w:pStyle w:val="rtejustify"/>
        <w:spacing w:before="0" w:after="0"/>
        <w:rPr>
          <w:color w:val="000000" w:themeColor="text1"/>
          <w:kern w:val="2"/>
          <w:sz w:val="16"/>
          <w:szCs w:val="16"/>
        </w:rPr>
      </w:pPr>
      <w:r w:rsidRPr="002F2FDF">
        <w:rPr>
          <w:color w:val="000000" w:themeColor="text1"/>
          <w:kern w:val="2"/>
          <w:sz w:val="16"/>
          <w:szCs w:val="16"/>
        </w:rPr>
        <w:t>Бельгийские предприятия: Об-во Торецкого сталелитейного завода в Дружковке, Южно-Русское стекольное об-во в Константиновне — указывают на свое трудное положение. Недостаток топлива вызвал уже более двух месяцев тому назад прекращение работ в этих предприятиях. Рабочие поэтому бездействуют, причем по требованию военных властей все три общества до сего времени выдавали рабочим значительные воспособления, что вызывает крупные убытки, достигшие для одного лишь железопрокатного завода 250 000 руб.</w:t>
      </w:r>
    </w:p>
    <w:p w14:paraId="380BB57A" w14:textId="77777777" w:rsidR="009C2037" w:rsidRPr="002F2FDF" w:rsidRDefault="009C2037" w:rsidP="0083075A">
      <w:pPr>
        <w:pStyle w:val="rtejustify"/>
        <w:spacing w:before="0" w:after="0"/>
        <w:rPr>
          <w:color w:val="000000" w:themeColor="text1"/>
          <w:kern w:val="2"/>
          <w:sz w:val="16"/>
          <w:szCs w:val="16"/>
        </w:rPr>
      </w:pPr>
      <w:r w:rsidRPr="002F2FDF">
        <w:rPr>
          <w:color w:val="000000" w:themeColor="text1"/>
          <w:kern w:val="2"/>
          <w:sz w:val="16"/>
          <w:szCs w:val="16"/>
        </w:rPr>
        <w:t>Все три предприятия, в которые вложены исключительно бельгийские капиталы, лишены с объявления войны всех сношений со своими правлениями: со стороны же русских властей они, по их заявлению, но всегда встречают ту поддержку, коей пользуются подобные же предприятия, имеющие правления в Петрограде.</w:t>
      </w:r>
    </w:p>
    <w:p w14:paraId="343DCBF4" w14:textId="77777777" w:rsidR="009C2037" w:rsidRPr="002F2FDF" w:rsidRDefault="009C2037" w:rsidP="0083075A">
      <w:pPr>
        <w:pStyle w:val="rtejustify"/>
        <w:spacing w:before="0" w:after="0"/>
        <w:rPr>
          <w:color w:val="000000" w:themeColor="text1"/>
          <w:kern w:val="2"/>
          <w:sz w:val="16"/>
          <w:szCs w:val="16"/>
        </w:rPr>
      </w:pPr>
      <w:r w:rsidRPr="002F2FDF">
        <w:rPr>
          <w:color w:val="000000" w:themeColor="text1"/>
          <w:kern w:val="2"/>
          <w:sz w:val="16"/>
          <w:szCs w:val="16"/>
        </w:rPr>
        <w:t>В настоящее время названные заводы просят</w:t>
      </w:r>
    </w:p>
    <w:p w14:paraId="41C60D9B" w14:textId="77777777" w:rsidR="009C2037" w:rsidRPr="002F2FDF" w:rsidRDefault="009C2037" w:rsidP="0083075A">
      <w:pPr>
        <w:pStyle w:val="rtejustify"/>
        <w:spacing w:before="0" w:after="0"/>
        <w:rPr>
          <w:color w:val="000000" w:themeColor="text1"/>
          <w:kern w:val="2"/>
          <w:sz w:val="16"/>
          <w:szCs w:val="16"/>
        </w:rPr>
      </w:pPr>
      <w:r w:rsidRPr="002F2FDF">
        <w:rPr>
          <w:color w:val="000000" w:themeColor="text1"/>
          <w:kern w:val="2"/>
          <w:sz w:val="16"/>
          <w:szCs w:val="16"/>
        </w:rPr>
        <w:t>1) особого внимания к просьбам о топливе, обращенным ими в Харьковский комитет по распределению угля;</w:t>
      </w:r>
      <w:hyperlink r:id="rId129" w:anchor="_ftn1" w:history="1">
        <w:r w:rsidRPr="002F2FDF">
          <w:rPr>
            <w:rStyle w:val="a5"/>
            <w:color w:val="000000" w:themeColor="text1"/>
            <w:kern w:val="2"/>
            <w:sz w:val="16"/>
            <w:szCs w:val="16"/>
          </w:rPr>
          <w:t>[1]</w:t>
        </w:r>
      </w:hyperlink>
    </w:p>
    <w:p w14:paraId="6604D576" w14:textId="77777777" w:rsidR="009C2037" w:rsidRPr="002F2FDF" w:rsidRDefault="009C2037" w:rsidP="0083075A">
      <w:pPr>
        <w:pStyle w:val="rtejustify"/>
        <w:spacing w:before="0" w:after="0"/>
        <w:rPr>
          <w:color w:val="000000" w:themeColor="text1"/>
          <w:kern w:val="2"/>
          <w:sz w:val="16"/>
          <w:szCs w:val="16"/>
        </w:rPr>
      </w:pPr>
      <w:r w:rsidRPr="002F2FDF">
        <w:rPr>
          <w:color w:val="000000" w:themeColor="text1"/>
          <w:kern w:val="2"/>
          <w:sz w:val="16"/>
          <w:szCs w:val="16"/>
        </w:rPr>
        <w:t>2) чтобы предоставленное названным комитетом топливо не реквизировалось для железных дорог и, в частности,</w:t>
      </w:r>
    </w:p>
    <w:p w14:paraId="627E0E1F" w14:textId="77777777" w:rsidR="009C2037" w:rsidRPr="002F2FDF" w:rsidRDefault="009C2037" w:rsidP="0083075A">
      <w:pPr>
        <w:pStyle w:val="rtejustify"/>
        <w:spacing w:before="0" w:after="0"/>
        <w:rPr>
          <w:color w:val="000000" w:themeColor="text1"/>
          <w:kern w:val="2"/>
          <w:sz w:val="16"/>
          <w:szCs w:val="16"/>
        </w:rPr>
      </w:pPr>
      <w:r w:rsidRPr="002F2FDF">
        <w:rPr>
          <w:color w:val="000000" w:themeColor="text1"/>
          <w:kern w:val="2"/>
          <w:sz w:val="16"/>
          <w:szCs w:val="16"/>
        </w:rPr>
        <w:t>3) для Константішовского железопрокатного завода, чтобы Комитет по распределению угля не реквизировал более уголь, принадлежащий Бельгийскому об-ву в так называемом Государевом Байраке. По особом}’ соглашению обоих этих предприятий топливо, добываемое Бельгийским об-вом в Государевом Байраке, поступает для Константиновского об-ва.</w:t>
      </w:r>
    </w:p>
    <w:p w14:paraId="18F09793" w14:textId="77777777" w:rsidR="009C2037" w:rsidRPr="002F2FDF" w:rsidRDefault="009C2037" w:rsidP="0083075A">
      <w:pPr>
        <w:pStyle w:val="rtejustify"/>
        <w:spacing w:before="0" w:after="0"/>
        <w:rPr>
          <w:color w:val="000000" w:themeColor="text1"/>
          <w:kern w:val="2"/>
          <w:sz w:val="16"/>
          <w:szCs w:val="16"/>
        </w:rPr>
      </w:pPr>
      <w:r w:rsidRPr="002F2FDF">
        <w:rPr>
          <w:color w:val="000000" w:themeColor="text1"/>
          <w:kern w:val="2"/>
          <w:sz w:val="16"/>
          <w:szCs w:val="16"/>
        </w:rPr>
        <w:t>Далее миссия сообщила следующие сведения о трех названных предприятиях.</w:t>
      </w:r>
    </w:p>
    <w:p w14:paraId="60F3B3D9" w14:textId="77777777" w:rsidR="009C2037" w:rsidRPr="002F2FDF" w:rsidRDefault="009C2037" w:rsidP="0083075A">
      <w:pPr>
        <w:pStyle w:val="rtejustify"/>
        <w:spacing w:before="0" w:after="0"/>
        <w:rPr>
          <w:color w:val="000000" w:themeColor="text1"/>
          <w:kern w:val="2"/>
          <w:sz w:val="16"/>
          <w:szCs w:val="16"/>
        </w:rPr>
      </w:pPr>
      <w:r w:rsidRPr="002F2FDF">
        <w:rPr>
          <w:color w:val="000000" w:themeColor="text1"/>
          <w:kern w:val="2"/>
          <w:sz w:val="16"/>
          <w:szCs w:val="16"/>
        </w:rPr>
        <w:t>1. Об-во железопрокатного завода в Константиновке. Производство чугун, сталь для снарядов, специальные стали для артиллерии, железнодорожные принадлежности, железо в брусьях и бензол. Месячная потребность в топливе 1 050 000 иуд. угля. Число рабочих 2500 чел. Директор Понсен.</w:t>
      </w:r>
    </w:p>
    <w:p w14:paraId="004776AF" w14:textId="77777777" w:rsidR="009C2037" w:rsidRPr="002F2FDF" w:rsidRDefault="009C2037" w:rsidP="0083075A">
      <w:pPr>
        <w:pStyle w:val="rtejustify"/>
        <w:spacing w:before="0" w:after="0"/>
        <w:rPr>
          <w:color w:val="000000" w:themeColor="text1"/>
          <w:kern w:val="2"/>
          <w:sz w:val="16"/>
          <w:szCs w:val="16"/>
        </w:rPr>
      </w:pPr>
      <w:r w:rsidRPr="002F2FDF">
        <w:rPr>
          <w:color w:val="000000" w:themeColor="text1"/>
          <w:kern w:val="2"/>
          <w:sz w:val="16"/>
          <w:szCs w:val="16"/>
        </w:rPr>
        <w:t>2. Торец кое об-во в Дружковке. Производство: железнодорожные части (стрелки и скрепления), скобы, вагонные и паровозные части, снаряды, детонаторы и иные артиллерийские припасы, части узкоколейных дорог для фронта, походные печи для интендантства. Месячная потребность в топливе 125 000 пуд. угля, 35 000 пуд. кокса и 20 000 пуд. мазута. Число рабочих 2500 чел. Директор Балтазар.</w:t>
      </w:r>
    </w:p>
    <w:p w14:paraId="50A0CBCC" w14:textId="77777777" w:rsidR="009C2037" w:rsidRPr="002F2FDF" w:rsidRDefault="009C2037" w:rsidP="0083075A">
      <w:pPr>
        <w:pStyle w:val="rtejustify"/>
        <w:spacing w:before="0" w:after="0"/>
        <w:rPr>
          <w:color w:val="000000" w:themeColor="text1"/>
          <w:kern w:val="2"/>
          <w:sz w:val="16"/>
          <w:szCs w:val="16"/>
        </w:rPr>
      </w:pPr>
      <w:r w:rsidRPr="002F2FDF">
        <w:rPr>
          <w:color w:val="000000" w:themeColor="text1"/>
          <w:kern w:val="2"/>
          <w:sz w:val="16"/>
          <w:szCs w:val="16"/>
        </w:rPr>
        <w:t>3. Об-во Южно-Русского стекольного завода в Константиновне. Производство: части тяжелых снарядов, прожекторы, перископы, специальные плиты и стекла для флота, огнеупорные материалы для новой доменной печи, сооружаемой на железопрокатном заводе. Месячная потребность в топливе 100 000 пуд. угля. Число рабочих 700 чел. Директор Эне.</w:t>
      </w:r>
    </w:p>
    <w:p w14:paraId="43B7421A" w14:textId="77777777" w:rsidR="009C2037" w:rsidRPr="002F2FDF" w:rsidRDefault="009C2037" w:rsidP="0083075A">
      <w:pPr>
        <w:pStyle w:val="rtejustify"/>
        <w:spacing w:before="0" w:after="0"/>
        <w:rPr>
          <w:color w:val="000000" w:themeColor="text1"/>
          <w:kern w:val="2"/>
          <w:sz w:val="16"/>
          <w:szCs w:val="16"/>
        </w:rPr>
      </w:pPr>
      <w:r w:rsidRPr="002F2FDF">
        <w:rPr>
          <w:color w:val="000000" w:themeColor="text1"/>
          <w:kern w:val="2"/>
          <w:sz w:val="16"/>
          <w:szCs w:val="16"/>
        </w:rPr>
        <w:t>Сообщая изложенное, считаю долгом отметить, что, помимо вопроса о целесообразности поддержки названных заводов в целях успеха ведения войны, благоприятное отношение к названному ходатайству вполне соответствовало бы отношению к бельгийским интересам ео стороны России как союзного государства.</w:t>
      </w:r>
      <w:hyperlink r:id="rId130" w:anchor="_ftn2" w:history="1">
        <w:r w:rsidRPr="002F2FDF">
          <w:rPr>
            <w:rStyle w:val="a5"/>
            <w:color w:val="000000" w:themeColor="text1"/>
            <w:kern w:val="2"/>
            <w:sz w:val="16"/>
            <w:szCs w:val="16"/>
          </w:rPr>
          <w:t>[2]</w:t>
        </w:r>
      </w:hyperlink>
    </w:p>
    <w:p w14:paraId="686FC45F" w14:textId="77777777" w:rsidR="009C2037" w:rsidRPr="002F2FDF" w:rsidRDefault="009C2037" w:rsidP="0083075A">
      <w:pPr>
        <w:pStyle w:val="rtejustify"/>
        <w:spacing w:before="0" w:after="0"/>
        <w:rPr>
          <w:color w:val="000000" w:themeColor="text1"/>
          <w:kern w:val="2"/>
          <w:sz w:val="16"/>
          <w:szCs w:val="16"/>
        </w:rPr>
      </w:pPr>
      <w:r w:rsidRPr="002F2FDF">
        <w:rPr>
          <w:color w:val="000000" w:themeColor="text1"/>
          <w:kern w:val="2"/>
          <w:sz w:val="16"/>
          <w:szCs w:val="16"/>
        </w:rPr>
        <w:t>Копия настоящего отношения препровождается министру торговли и промышленности.</w:t>
      </w:r>
    </w:p>
    <w:p w14:paraId="22CD640E" w14:textId="77777777" w:rsidR="009C2037" w:rsidRPr="002F2FDF" w:rsidRDefault="009C2037"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Товарищ министра Нольде.</w:t>
      </w:r>
    </w:p>
    <w:p w14:paraId="3C842402" w14:textId="77777777" w:rsidR="009C2037" w:rsidRPr="002F2FDF" w:rsidRDefault="009C2037"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За директора кн. Урусов.</w:t>
      </w:r>
    </w:p>
    <w:p w14:paraId="34664009" w14:textId="77777777" w:rsidR="009C2037" w:rsidRPr="002F2FDF" w:rsidRDefault="00000000" w:rsidP="0083075A">
      <w:pPr>
        <w:pStyle w:val="ae"/>
        <w:spacing w:before="0" w:after="0"/>
        <w:jc w:val="both"/>
        <w:rPr>
          <w:color w:val="000000" w:themeColor="text1"/>
          <w:kern w:val="2"/>
          <w:sz w:val="16"/>
          <w:szCs w:val="16"/>
        </w:rPr>
      </w:pPr>
      <w:hyperlink r:id="rId131" w:anchor="_ftnref1" w:history="1">
        <w:r w:rsidR="009C2037" w:rsidRPr="002F2FDF">
          <w:rPr>
            <w:rStyle w:val="a5"/>
            <w:color w:val="000000" w:themeColor="text1"/>
            <w:kern w:val="2"/>
            <w:sz w:val="16"/>
            <w:szCs w:val="16"/>
          </w:rPr>
          <w:t>[1]</w:t>
        </w:r>
      </w:hyperlink>
      <w:r w:rsidR="009C2037" w:rsidRPr="002F2FDF">
        <w:rPr>
          <w:color w:val="000000" w:themeColor="text1"/>
          <w:kern w:val="2"/>
          <w:sz w:val="16"/>
          <w:szCs w:val="16"/>
        </w:rPr>
        <w:t xml:space="preserve"> По-видимому, имеется в виду Управление главноуполномоченного по снабжению донецким топливом.</w:t>
      </w:r>
    </w:p>
    <w:p w14:paraId="51B374E8" w14:textId="77777777" w:rsidR="009C2037" w:rsidRPr="002F2FDF" w:rsidRDefault="00000000" w:rsidP="0083075A">
      <w:pPr>
        <w:pStyle w:val="ae"/>
        <w:spacing w:before="0" w:after="0"/>
        <w:jc w:val="both"/>
        <w:rPr>
          <w:color w:val="000000" w:themeColor="text1"/>
          <w:kern w:val="2"/>
          <w:sz w:val="16"/>
          <w:szCs w:val="16"/>
        </w:rPr>
      </w:pPr>
      <w:hyperlink r:id="rId132" w:anchor="_ftnref2" w:history="1">
        <w:r w:rsidR="009C2037" w:rsidRPr="002F2FDF">
          <w:rPr>
            <w:rStyle w:val="a5"/>
            <w:color w:val="000000" w:themeColor="text1"/>
            <w:kern w:val="2"/>
            <w:sz w:val="16"/>
            <w:szCs w:val="16"/>
          </w:rPr>
          <w:t>[2]</w:t>
        </w:r>
      </w:hyperlink>
      <w:r w:rsidR="009C2037" w:rsidRPr="002F2FDF">
        <w:rPr>
          <w:color w:val="000000" w:themeColor="text1"/>
          <w:kern w:val="2"/>
          <w:sz w:val="16"/>
          <w:szCs w:val="16"/>
        </w:rPr>
        <w:t xml:space="preserve"> Главноуполномоченный по топливу предложил принять срочные меры к предоставлению бельгийским предприятиям донецкого топлива в потребном количестве и обеспечению их топливом в последующее время (см. в том же деле, л. 157) (15206).</w:t>
      </w:r>
    </w:p>
    <w:p w14:paraId="6C98C7BD" w14:textId="77777777" w:rsidR="009C2037" w:rsidRPr="002F2FDF" w:rsidRDefault="009C2037"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3C33873C" w14:textId="77777777" w:rsidR="009C2037" w:rsidRPr="002F2FDF" w:rsidRDefault="009C20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 xml:space="preserve">12 (25) апреля 1917 г. </w:t>
      </w:r>
      <w:r w:rsidRPr="002F2FDF">
        <w:rPr>
          <w:rFonts w:ascii="Times New Roman" w:hAnsi="Times New Roman" w:cs="Times New Roman"/>
          <w:color w:val="000000" w:themeColor="text1"/>
          <w:kern w:val="2"/>
          <w:sz w:val="16"/>
          <w:szCs w:val="16"/>
        </w:rPr>
        <w:t>Телеграмма ген. А. П. Залюбовского пом. военного министра ген. А. А. Маниковскому о необходимости присылки в США специального уполномоченного Временного правительства и о невыгодности сношений России с США через Англию.</w:t>
      </w:r>
    </w:p>
    <w:p w14:paraId="1FD7E017" w14:textId="1818690E" w:rsidR="009C2037" w:rsidRPr="002F2FDF" w:rsidRDefault="009C20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479</w:t>
      </w:r>
    </w:p>
    <w:p w14:paraId="37BC9D49" w14:textId="6934F616" w:rsidR="009C2037" w:rsidRPr="002F2FDF" w:rsidRDefault="009C20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ЦГВИА, ф. 2000, оп. 1, д. 6203, л. 98-98об. Подлинник.</w:t>
      </w:r>
    </w:p>
    <w:p w14:paraId="59EAC592" w14:textId="77777777" w:rsidR="009C2037" w:rsidRPr="002F2FDF" w:rsidRDefault="009C2037" w:rsidP="0083075A">
      <w:pPr>
        <w:pStyle w:val="rtejustify"/>
        <w:spacing w:before="0" w:after="0"/>
        <w:rPr>
          <w:color w:val="000000" w:themeColor="text1"/>
          <w:kern w:val="2"/>
          <w:sz w:val="16"/>
          <w:szCs w:val="16"/>
        </w:rPr>
      </w:pPr>
      <w:r w:rsidRPr="002F2FDF">
        <w:rPr>
          <w:color w:val="000000" w:themeColor="text1"/>
          <w:kern w:val="2"/>
          <w:sz w:val="16"/>
          <w:szCs w:val="16"/>
        </w:rPr>
        <w:t>Отсутствие здесь специального уполномоченного говорить и заботиться о нуждах России от имени русского правительства ставит все наше дело в безвыходное и унизительное положение. По газетам Бальфур говорит за всех союзников, но при нем состоит лишь один член комиссия Мильнера и никого из русских. Председатель нашего АМСКО не знает даже, что нам сейчас нужно, что предположено заказывать в Америке, в каком положении наше финансовое взаимоотношение с Америкой и пр. Сношения между нами и американцами через англичан во всех решительно вопросах связывают по-прежнему нас по рукам, тем более, что нас никто ни о чем не спрашивает, а по всем нашим вопросам посольство находит невозможным вступать в сношения с СОПРА до получения инструкций из Петрограда. Положение вынудило АМСКО все же сноситься с отделами СОПРА через морского и военного агентов и других своих представителей, но все это частные сношения, не могущие дать требующихся результатов; необходимо немедленно признать комитет правительствен ним и указать или прислать лиц, аккредитованных Временным правительством. Шпионаж теперь для нас не так страшен, потому что им специально занялось СОПРА, а надо все силы употребить на то, чтобы СОПРА обеспечило надлежащее выполнение наших заказов на заводах и оплату за них. Мы должны быть равноправными на американском рынке, а не исполнять лишь требования англичан, часто идущие совсем вразрез с нашими интересами. Мы должны получить свой свободный кредит, а вопросы о распределении рынка между союзниками пропорционально потребности каждого должны решаться специальной американской между-союзной конференцией или бюро при непременном участии, а может быть, и под председательством представителя СОПРА. Убедительнейше прошу оказать влияние на скорейшее разрешение этого вопроса. № 4298</w:t>
      </w:r>
    </w:p>
    <w:p w14:paraId="1EAA59E4" w14:textId="77777777" w:rsidR="009C2037" w:rsidRPr="002F2FDF" w:rsidRDefault="009C2037"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Залюбовский (15167).</w:t>
      </w:r>
    </w:p>
    <w:p w14:paraId="0847503B" w14:textId="77777777" w:rsidR="009C2037" w:rsidRPr="002F2FDF" w:rsidRDefault="009C2037"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32DD971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9FA14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011A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апреля 1917 из Бельгии поднялись 23 "Гота", несущие по 13 бомб каждый, и направились на Лондон. Из-за сильной облачности до цели добрались лишь два бомбардировщика и сбросили на город всего пять бомб. Однако разрушения при этом были больше, чем после налетов цепелли- нов. Погибло 16 солдат, 16 гражданских, 30 женщин, 25 детей. Всего было убито 95 и ранено 192 (11999).</w:t>
      </w:r>
    </w:p>
    <w:p w14:paraId="675E4F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2E5DD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5D2FA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D7D18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апреля 1917 г. начальник Воздушной дивизии Балтийского моря капитан 1 р. Б. П. Дудоров получил из штаба 1-й воздушной бригады (Ревель) депешу, гласившую:</w:t>
      </w:r>
    </w:p>
    <w:p w14:paraId="478E052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“Практика показала аппараты О.Р. (код М-11</w:t>
      </w:r>
      <w:r w:rsidRPr="002F2FDF">
        <w:rPr>
          <w:rFonts w:ascii="Times New Roman" w:hAnsi="Times New Roman" w:cs="Times New Roman"/>
          <w:iCs/>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не пригодны для отражения неприятеля далее аэродрома по причинам:</w:t>
      </w:r>
    </w:p>
    <w:p w14:paraId="2E69871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ненадежность мотора из-за бензопровода под давлением</w:t>
      </w:r>
    </w:p>
    <w:p w14:paraId="2170148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невозможность посадки и подъема на волне</w:t>
      </w:r>
    </w:p>
    <w:p w14:paraId="63CF9DE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совершенно невозможно запустить мотор одному человеку. Для аэродромного же истребителя О.Р. плохо берет высоту&lt;...&gt;”.</w:t>
      </w:r>
    </w:p>
    <w:p w14:paraId="2EEACA7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Казалось, карьере М-11 должен был наступить конец, но у начальства имелись свои доводы продлить службу модели, и летчикам указали, что бензопровод недостаточно надежен почти у всех аппаратов, что садиться в море придется только подбитому аппарату, и что двигатель свободно запускается одним авиатором, знающим, как это делать. Что касается малой скороподъемности, то этот существенный недостаток надеялись устранить установкой 125-сильных моторов. Похоже, что существовала мысль об оснащении М-11 и двигателями “Испано-Суиза” 150 л. с., но в тот момент их просто не было (2807).</w:t>
      </w:r>
    </w:p>
    <w:p w14:paraId="00652B1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33DE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апреля 1917 начала свою деятельность Комиссия по переотправке из портов северных морей авиационно-воздухоплавательного имущества, приобретенного за границей, которая имела постоянное местонахождение на ст. Бакарица СЖД. Подчинялась непосредственно Нач. УВВФ (438,353).</w:t>
      </w:r>
    </w:p>
    <w:p w14:paraId="14DCCB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7A310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апреля 1917 начала свою деятельность "Комиссия по пере</w:t>
      </w:r>
      <w:r w:rsidRPr="002F2FDF">
        <w:rPr>
          <w:rFonts w:ascii="Times New Roman" w:hAnsi="Times New Roman" w:cs="Times New Roman"/>
          <w:color w:val="000000" w:themeColor="text1"/>
          <w:kern w:val="2"/>
          <w:sz w:val="16"/>
          <w:szCs w:val="16"/>
        </w:rPr>
        <w:softHyphen/>
        <w:t>отправке из портов северных морей эвиэционно-Еоздухоплзвэ-тольного имущества, приобретенного заграницей". Нэ эту комиссию, имевшую постоянное местопребывание не станции Бэкз-рице Северной железной дороги, возлагалось-, прием имущества по выгрузке его с пароходов и без, хранение его на линии разгрузки и отпрзвйэ в месте по назначению УВВФ, начальнику которого комиссия подчинялась непосредственно.</w:t>
      </w:r>
    </w:p>
    <w:p w14:paraId="6BB87C1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апреля 1917 в Киев прибыла из Франции авиационная группа под командованием подполковника Борже в составе двух отрядов - истребительного и армейского с 30-ю самолетами, 45 офице</w:t>
      </w:r>
      <w:r w:rsidRPr="002F2FDF">
        <w:rPr>
          <w:rFonts w:ascii="Times New Roman" w:hAnsi="Times New Roman" w:cs="Times New Roman"/>
          <w:color w:val="000000" w:themeColor="text1"/>
          <w:kern w:val="2"/>
          <w:sz w:val="16"/>
          <w:szCs w:val="16"/>
        </w:rPr>
        <w:softHyphen/>
        <w:t>рами и 260 солдатами. Летчики были направлены на алицийский и Румынский фронты. (ЦГВИА. ф.2003, оп.1, д. 1224, л. 92).</w:t>
      </w:r>
    </w:p>
    <w:p w14:paraId="1F7E4DF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29A6D2" w14:textId="7A884A73" w:rsidR="00FD5EDA" w:rsidRDefault="00FD5EDA"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1</w:t>
      </w:r>
      <w:r>
        <w:rPr>
          <w:rFonts w:ascii="Times New Roman" w:hAnsi="Times New Roman" w:cs="Times New Roman"/>
          <w:color w:val="0070C0"/>
          <w:sz w:val="16"/>
          <w:szCs w:val="16"/>
        </w:rPr>
        <w:t>3 (29) апреля 1917 г. н</w:t>
      </w:r>
      <w:r w:rsidRPr="00815ED5">
        <w:rPr>
          <w:rFonts w:ascii="Times New Roman" w:hAnsi="Times New Roman" w:cs="Times New Roman"/>
          <w:color w:val="0070C0"/>
          <w:sz w:val="16"/>
          <w:szCs w:val="16"/>
        </w:rPr>
        <w:t xml:space="preserve">ачала </w:t>
      </w:r>
      <w:r>
        <w:rPr>
          <w:rFonts w:ascii="Times New Roman" w:hAnsi="Times New Roman" w:cs="Times New Roman"/>
          <w:color w:val="0070C0"/>
          <w:sz w:val="16"/>
          <w:szCs w:val="16"/>
        </w:rPr>
        <w:t>св</w:t>
      </w:r>
      <w:r w:rsidRPr="00815ED5">
        <w:rPr>
          <w:rFonts w:ascii="Times New Roman" w:hAnsi="Times New Roman" w:cs="Times New Roman"/>
          <w:color w:val="0070C0"/>
          <w:sz w:val="16"/>
          <w:szCs w:val="16"/>
        </w:rPr>
        <w:t xml:space="preserve">ою деятельность «Комиссия по переотправке из </w:t>
      </w:r>
      <w:r>
        <w:rPr>
          <w:rFonts w:ascii="Times New Roman" w:hAnsi="Times New Roman" w:cs="Times New Roman"/>
          <w:color w:val="0070C0"/>
          <w:sz w:val="16"/>
          <w:szCs w:val="16"/>
        </w:rPr>
        <w:t>п</w:t>
      </w:r>
      <w:r w:rsidRPr="00815ED5">
        <w:rPr>
          <w:rFonts w:ascii="Times New Roman" w:hAnsi="Times New Roman" w:cs="Times New Roman"/>
          <w:color w:val="0070C0"/>
          <w:sz w:val="16"/>
          <w:szCs w:val="16"/>
        </w:rPr>
        <w:t>орто</w:t>
      </w: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 xml:space="preserve"> С</w:t>
      </w:r>
      <w:r>
        <w:rPr>
          <w:rFonts w:ascii="Times New Roman" w:hAnsi="Times New Roman" w:cs="Times New Roman"/>
          <w:color w:val="0070C0"/>
          <w:sz w:val="16"/>
          <w:szCs w:val="16"/>
        </w:rPr>
        <w:t>ев</w:t>
      </w:r>
      <w:r w:rsidRPr="00815ED5">
        <w:rPr>
          <w:rFonts w:ascii="Times New Roman" w:hAnsi="Times New Roman" w:cs="Times New Roman"/>
          <w:color w:val="0070C0"/>
          <w:sz w:val="16"/>
          <w:szCs w:val="16"/>
        </w:rPr>
        <w:t>ерн</w:t>
      </w:r>
      <w:r>
        <w:rPr>
          <w:rFonts w:ascii="Times New Roman" w:hAnsi="Times New Roman" w:cs="Times New Roman"/>
          <w:color w:val="0070C0"/>
          <w:sz w:val="16"/>
          <w:szCs w:val="16"/>
        </w:rPr>
        <w:t>ого</w:t>
      </w:r>
      <w:r w:rsidRPr="00815ED5">
        <w:rPr>
          <w:rFonts w:ascii="Times New Roman" w:hAnsi="Times New Roman" w:cs="Times New Roman"/>
          <w:color w:val="0070C0"/>
          <w:sz w:val="16"/>
          <w:szCs w:val="16"/>
        </w:rPr>
        <w:t xml:space="preserve"> моря</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авиационно-воздухоплавательного имущества, </w:t>
      </w:r>
      <w:r>
        <w:rPr>
          <w:rFonts w:ascii="Times New Roman" w:hAnsi="Times New Roman" w:cs="Times New Roman"/>
          <w:color w:val="0070C0"/>
          <w:sz w:val="16"/>
          <w:szCs w:val="16"/>
        </w:rPr>
        <w:t>приобретенного</w:t>
      </w:r>
      <w:r w:rsidRPr="00815ED5">
        <w:rPr>
          <w:rFonts w:ascii="Times New Roman" w:hAnsi="Times New Roman" w:cs="Times New Roman"/>
          <w:color w:val="0070C0"/>
          <w:sz w:val="16"/>
          <w:szCs w:val="16"/>
        </w:rPr>
        <w:t xml:space="preserve"> заграницей”.</w:t>
      </w:r>
      <w:r>
        <w:rPr>
          <w:rFonts w:ascii="Times New Roman" w:hAnsi="Times New Roman" w:cs="Times New Roman"/>
          <w:color w:val="0070C0"/>
          <w:sz w:val="16"/>
          <w:szCs w:val="16"/>
        </w:rPr>
        <w:t xml:space="preserve"> Н</w:t>
      </w:r>
      <w:r w:rsidRPr="00815ED5">
        <w:rPr>
          <w:rFonts w:ascii="Times New Roman" w:hAnsi="Times New Roman" w:cs="Times New Roman"/>
          <w:color w:val="0070C0"/>
          <w:sz w:val="16"/>
          <w:szCs w:val="16"/>
        </w:rPr>
        <w:t>а эту комиссию,</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имевшую постоянное место</w:t>
      </w:r>
      <w:r>
        <w:rPr>
          <w:rFonts w:ascii="Times New Roman" w:hAnsi="Times New Roman" w:cs="Times New Roman"/>
          <w:color w:val="0070C0"/>
          <w:sz w:val="16"/>
          <w:szCs w:val="16"/>
        </w:rPr>
        <w:t xml:space="preserve"> пребывания</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на</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т.</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Бакарица С</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верн</w:t>
      </w:r>
      <w:r>
        <w:rPr>
          <w:rFonts w:ascii="Times New Roman" w:hAnsi="Times New Roman" w:cs="Times New Roman"/>
          <w:color w:val="0070C0"/>
          <w:sz w:val="16"/>
          <w:szCs w:val="16"/>
        </w:rPr>
        <w:t xml:space="preserve">ой ж.д., </w:t>
      </w:r>
      <w:r w:rsidRPr="00815ED5">
        <w:rPr>
          <w:rFonts w:ascii="Times New Roman" w:hAnsi="Times New Roman" w:cs="Times New Roman"/>
          <w:color w:val="0070C0"/>
          <w:sz w:val="16"/>
          <w:szCs w:val="16"/>
        </w:rPr>
        <w:t>возлагалось:</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прием имущества </w:t>
      </w:r>
      <w:r>
        <w:rPr>
          <w:rFonts w:ascii="Times New Roman" w:hAnsi="Times New Roman" w:cs="Times New Roman"/>
          <w:color w:val="0070C0"/>
          <w:sz w:val="16"/>
          <w:szCs w:val="16"/>
        </w:rPr>
        <w:t xml:space="preserve">по погрузке его с </w:t>
      </w:r>
      <w:r w:rsidRPr="00815ED5">
        <w:rPr>
          <w:rFonts w:ascii="Times New Roman" w:hAnsi="Times New Roman" w:cs="Times New Roman"/>
          <w:color w:val="0070C0"/>
          <w:sz w:val="16"/>
          <w:szCs w:val="16"/>
        </w:rPr>
        <w:t>пароходов и баз</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хранение его на линии разгрузки </w:t>
      </w:r>
      <w:r>
        <w:rPr>
          <w:rFonts w:ascii="Times New Roman" w:hAnsi="Times New Roman" w:cs="Times New Roman"/>
          <w:color w:val="0070C0"/>
          <w:sz w:val="16"/>
          <w:szCs w:val="16"/>
        </w:rPr>
        <w:t xml:space="preserve">и отправка </w:t>
      </w:r>
      <w:r w:rsidRPr="00815ED5">
        <w:rPr>
          <w:rFonts w:ascii="Times New Roman" w:hAnsi="Times New Roman" w:cs="Times New Roman"/>
          <w:color w:val="0070C0"/>
          <w:sz w:val="16"/>
          <w:szCs w:val="16"/>
        </w:rPr>
        <w:t>в м</w:t>
      </w:r>
      <w:r>
        <w:rPr>
          <w:rFonts w:ascii="Times New Roman" w:hAnsi="Times New Roman" w:cs="Times New Roman"/>
          <w:color w:val="0070C0"/>
          <w:sz w:val="16"/>
          <w:szCs w:val="16"/>
        </w:rPr>
        <w:t>ес</w:t>
      </w:r>
      <w:r w:rsidRPr="00815ED5">
        <w:rPr>
          <w:rFonts w:ascii="Times New Roman" w:hAnsi="Times New Roman" w:cs="Times New Roman"/>
          <w:color w:val="0070C0"/>
          <w:sz w:val="16"/>
          <w:szCs w:val="16"/>
        </w:rPr>
        <w:t>та по назначению</w:t>
      </w:r>
      <w:r>
        <w:rPr>
          <w:rFonts w:ascii="Times New Roman" w:hAnsi="Times New Roman" w:cs="Times New Roman"/>
          <w:color w:val="0070C0"/>
          <w:sz w:val="16"/>
          <w:szCs w:val="16"/>
        </w:rPr>
        <w:t xml:space="preserve"> УВВФ, </w:t>
      </w:r>
      <w:r w:rsidRPr="00815ED5">
        <w:rPr>
          <w:rFonts w:ascii="Times New Roman" w:hAnsi="Times New Roman" w:cs="Times New Roman"/>
          <w:color w:val="0070C0"/>
          <w:sz w:val="16"/>
          <w:szCs w:val="16"/>
        </w:rPr>
        <w:t xml:space="preserve">начальнику которого комиссия </w:t>
      </w:r>
      <w:r>
        <w:rPr>
          <w:rFonts w:ascii="Times New Roman" w:hAnsi="Times New Roman" w:cs="Times New Roman"/>
          <w:color w:val="0070C0"/>
          <w:sz w:val="16"/>
          <w:szCs w:val="16"/>
        </w:rPr>
        <w:t>п</w:t>
      </w:r>
      <w:r w:rsidRPr="00815ED5">
        <w:rPr>
          <w:rFonts w:ascii="Times New Roman" w:hAnsi="Times New Roman" w:cs="Times New Roman"/>
          <w:color w:val="0070C0"/>
          <w:sz w:val="16"/>
          <w:szCs w:val="16"/>
        </w:rPr>
        <w:t>одчинилась н</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по</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р</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д</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тв</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нно</w:t>
      </w:r>
      <w:r>
        <w:rPr>
          <w:rFonts w:ascii="Times New Roman" w:hAnsi="Times New Roman" w:cs="Times New Roman"/>
          <w:color w:val="0070C0"/>
          <w:sz w:val="16"/>
          <w:szCs w:val="16"/>
        </w:rPr>
        <w:t xml:space="preserve"> (23320).</w:t>
      </w:r>
    </w:p>
    <w:p w14:paraId="0DF1A766" w14:textId="77777777" w:rsidR="00FD5EDA" w:rsidRDefault="00FD5EDA" w:rsidP="0083075A">
      <w:pPr>
        <w:spacing w:after="0" w:line="240" w:lineRule="auto"/>
        <w:jc w:val="both"/>
        <w:rPr>
          <w:rFonts w:ascii="Times New Roman" w:hAnsi="Times New Roman" w:cs="Times New Roman"/>
          <w:color w:val="0070C0"/>
          <w:sz w:val="16"/>
          <w:szCs w:val="16"/>
        </w:rPr>
      </w:pPr>
    </w:p>
    <w:p w14:paraId="4B819FB9" w14:textId="77777777" w:rsidR="009C2037"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46D94F61" w14:textId="77777777" w:rsidR="009C2037" w:rsidRPr="002F2FDF" w:rsidRDefault="009C203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C7078B" w14:textId="77777777" w:rsidR="009C2037" w:rsidRPr="002F2FDF" w:rsidRDefault="009C2037" w:rsidP="0083075A">
      <w:pPr>
        <w:pStyle w:val="ae"/>
        <w:spacing w:before="0" w:after="0"/>
        <w:jc w:val="both"/>
        <w:rPr>
          <w:color w:val="000000" w:themeColor="text1"/>
          <w:kern w:val="2"/>
          <w:sz w:val="16"/>
          <w:szCs w:val="16"/>
        </w:rPr>
      </w:pPr>
      <w:r w:rsidRPr="002F2FDF">
        <w:rPr>
          <w:rStyle w:val="af0"/>
          <w:i w:val="0"/>
          <w:color w:val="000000" w:themeColor="text1"/>
          <w:kern w:val="2"/>
          <w:sz w:val="16"/>
          <w:szCs w:val="16"/>
        </w:rPr>
        <w:t>13 (26) апреля 1917 г. Телеграмма ген. Э. К. Гермониуса ген. А. А. Маниковскому с текстом ответа русского финансового агента в СШАС. А. Угета относительно получения американских кредитов и о необходимости ослабления, в этой связи контроля английского правительства над заготовительной деятельностью русскихорганизаций.</w:t>
      </w:r>
    </w:p>
    <w:p w14:paraId="03792808" w14:textId="1702AE4A" w:rsidR="009C2037" w:rsidRPr="002F2FDF" w:rsidRDefault="009C20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537</w:t>
      </w:r>
    </w:p>
    <w:p w14:paraId="5A0167C9" w14:textId="5BDDB1F7" w:rsidR="009C2037" w:rsidRPr="002F2FDF" w:rsidRDefault="009C20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ЦГИАЛ, ф. 1525, оп. 1, д. 607, л. 199—199 об. Заверенная копия.</w:t>
      </w:r>
    </w:p>
    <w:p w14:paraId="02F782A8" w14:textId="77777777" w:rsidR="009C2037" w:rsidRPr="002F2FDF" w:rsidRDefault="009C2037" w:rsidP="0083075A">
      <w:pPr>
        <w:pStyle w:val="rtejustify"/>
        <w:spacing w:before="0" w:after="0"/>
        <w:rPr>
          <w:color w:val="000000" w:themeColor="text1"/>
          <w:kern w:val="2"/>
          <w:sz w:val="16"/>
          <w:szCs w:val="16"/>
        </w:rPr>
      </w:pPr>
      <w:r w:rsidRPr="002F2FDF">
        <w:rPr>
          <w:color w:val="000000" w:themeColor="text1"/>
          <w:kern w:val="2"/>
          <w:sz w:val="16"/>
          <w:szCs w:val="16"/>
        </w:rPr>
        <w:t>Представляю ответ на мой № 34328</w:t>
      </w:r>
      <w:hyperlink r:id="rId133" w:anchor="_ftn1" w:history="1">
        <w:r w:rsidRPr="002F2FDF">
          <w:rPr>
            <w:rStyle w:val="a5"/>
            <w:color w:val="000000" w:themeColor="text1"/>
            <w:kern w:val="2"/>
            <w:sz w:val="16"/>
            <w:szCs w:val="16"/>
          </w:rPr>
          <w:t>[1]</w:t>
        </w:r>
      </w:hyperlink>
      <w:r w:rsidRPr="002F2FDF">
        <w:rPr>
          <w:color w:val="000000" w:themeColor="text1"/>
          <w:kern w:val="2"/>
          <w:sz w:val="16"/>
          <w:szCs w:val="16"/>
        </w:rPr>
        <w:t xml:space="preserve"> финансовому агенту в Америке: «В переговорах об американском займе до настоящего времени вопрос шел исключительно о чисто финансовой операции, независимо от формы помещения заказов или контроля над ними. Согласно принятому Конгрессом законопроекту о кредитах для союзников, трудно предположить, чтобы в порядке административном СОПРА могло добиться контроля над союзниками, подобного АНПРА. Кроме того, по политическим и экономическим условиям Америки СОПРА едва ли использует соответствующие указания АНПРА, если бы таковые имели место; как и вы, очень опасаюсь, что благодаря отсутствию нашего уполномоченного для вступления в переговоры о кооперации с СОПРА мы останемся в подобно теперешнему зависимом положении, тогда как мы должны получить свой специальный кредит и стать равноправными потребителями на американском рынке. Для распределения же американских продуктов пропорционально потребности каждого из союзников считаю необходимым образовать Американское междусоюзное бюро при непременном участии или под председательством представителя СОПРА. По получении нами американского кредита АНПРА, очевидно, должно будет ослабить контроль, так как с его кредита будут ]снятьт] не только все американские заказы, но и многие другие, помещаемые в Англии исключительно по настоянию АНПРА в силу валютных соображений. Скорее затруднения с заказами произойдут на почве тоннажа, в каковом вопросе, по-видимому, АНПРА будет играть по-прежнему решающую роль. Во всяком случае ваши соображения приму к неуклонному руководству. 19. Угет. № 10061.</w:t>
      </w:r>
    </w:p>
    <w:p w14:paraId="6C5C2B70" w14:textId="77777777" w:rsidR="009C2037" w:rsidRPr="002F2FDF" w:rsidRDefault="009C2037"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Гермониус (15187).</w:t>
      </w:r>
    </w:p>
    <w:p w14:paraId="26FB61AD" w14:textId="77777777" w:rsidR="009C2037" w:rsidRPr="002F2FDF" w:rsidRDefault="009C2037"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14DEE95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6A976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25C8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апреля 1917 в США была основана фирма Боинг (2668).</w:t>
      </w:r>
    </w:p>
    <w:p w14:paraId="3A8B86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B9FF80" w14:textId="77777777" w:rsidR="003F2A09" w:rsidRPr="002F2FDF" w:rsidRDefault="003F2A0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апреля в 1917 году в США в Сиэтле инженер Уильям Боинг основал фирму "Боинг" - крупнейшую авиастроительную корпорацию США. На сегодня - один из двух крупнейших (второй - Эирбас) авиакосмических корпораций мира (15111).</w:t>
      </w:r>
    </w:p>
    <w:p w14:paraId="1B8B9FE1" w14:textId="77777777" w:rsidR="003F2A09" w:rsidRPr="002F2FDF" w:rsidRDefault="003F2A09" w:rsidP="0083075A">
      <w:pPr>
        <w:spacing w:after="0" w:line="240" w:lineRule="auto"/>
        <w:jc w:val="both"/>
        <w:rPr>
          <w:rFonts w:ascii="Times New Roman" w:hAnsi="Times New Roman" w:cs="Times New Roman"/>
          <w:color w:val="000000" w:themeColor="text1"/>
          <w:kern w:val="2"/>
          <w:sz w:val="16"/>
          <w:szCs w:val="16"/>
        </w:rPr>
      </w:pPr>
    </w:p>
    <w:p w14:paraId="4A4E1E94" w14:textId="77777777" w:rsidR="00D574B0" w:rsidRPr="00EE66CD" w:rsidRDefault="00D574B0" w:rsidP="0083075A">
      <w:pPr>
        <w:spacing w:after="0" w:line="240" w:lineRule="auto"/>
        <w:jc w:val="both"/>
        <w:rPr>
          <w:rFonts w:ascii="Times New Roman" w:hAnsi="Times New Roman" w:cs="Times New Roman"/>
          <w:color w:val="000000" w:themeColor="text1"/>
          <w:sz w:val="16"/>
          <w:szCs w:val="16"/>
          <w:lang w:val="en-US"/>
        </w:rPr>
      </w:pPr>
      <w:r w:rsidRPr="00EE66CD">
        <w:rPr>
          <w:rFonts w:ascii="Times New Roman" w:hAnsi="Times New Roman" w:cs="Times New Roman"/>
          <w:color w:val="000000" w:themeColor="text1"/>
          <w:sz w:val="16"/>
          <w:szCs w:val="16"/>
          <w:lang w:val="en-US"/>
        </w:rPr>
        <w:t xml:space="preserve">13 (26) </w:t>
      </w:r>
      <w:r w:rsidRPr="002F2FDF">
        <w:rPr>
          <w:rFonts w:ascii="Times New Roman" w:hAnsi="Times New Roman" w:cs="Times New Roman"/>
          <w:color w:val="000000" w:themeColor="text1"/>
          <w:sz w:val="16"/>
          <w:szCs w:val="16"/>
        </w:rPr>
        <w:t>апреля</w:t>
      </w:r>
      <w:r w:rsidRPr="00EE66CD">
        <w:rPr>
          <w:rFonts w:ascii="Times New Roman" w:hAnsi="Times New Roman" w:cs="Times New Roman"/>
          <w:color w:val="000000" w:themeColor="text1"/>
          <w:sz w:val="16"/>
          <w:szCs w:val="16"/>
          <w:lang w:val="en-US"/>
        </w:rPr>
        <w:t xml:space="preserve"> 1917 </w:t>
      </w:r>
      <w:r w:rsidRPr="002F2FDF">
        <w:rPr>
          <w:rFonts w:ascii="Times New Roman" w:hAnsi="Times New Roman" w:cs="Times New Roman"/>
          <w:color w:val="000000" w:themeColor="text1"/>
          <w:sz w:val="16"/>
          <w:szCs w:val="16"/>
        </w:rPr>
        <w:t>компания</w:t>
      </w:r>
      <w:r w:rsidRPr="00EE66CD">
        <w:rPr>
          <w:rFonts w:ascii="Times New Roman" w:hAnsi="Times New Roman" w:cs="Times New Roman"/>
          <w:color w:val="000000" w:themeColor="text1"/>
          <w:sz w:val="16"/>
          <w:szCs w:val="16"/>
          <w:lang w:val="en-US"/>
        </w:rPr>
        <w:t xml:space="preserve"> </w:t>
      </w:r>
      <w:r w:rsidRPr="002F2FDF">
        <w:rPr>
          <w:rFonts w:ascii="Times New Roman" w:hAnsi="Times New Roman" w:cs="Times New Roman"/>
          <w:color w:val="000000" w:themeColor="text1"/>
          <w:sz w:val="16"/>
          <w:szCs w:val="16"/>
          <w:lang w:val="en-US"/>
        </w:rPr>
        <w:t>Pacific</w:t>
      </w:r>
      <w:r w:rsidRPr="00EE66CD">
        <w:rPr>
          <w:rFonts w:ascii="Times New Roman" w:hAnsi="Times New Roman" w:cs="Times New Roman"/>
          <w:color w:val="000000" w:themeColor="text1"/>
          <w:sz w:val="16"/>
          <w:szCs w:val="16"/>
          <w:lang w:val="en-US"/>
        </w:rPr>
        <w:t xml:space="preserve"> </w:t>
      </w:r>
      <w:r w:rsidRPr="002F2FDF">
        <w:rPr>
          <w:rFonts w:ascii="Times New Roman" w:hAnsi="Times New Roman" w:cs="Times New Roman"/>
          <w:color w:val="000000" w:themeColor="text1"/>
          <w:sz w:val="16"/>
          <w:szCs w:val="16"/>
          <w:lang w:val="en-US"/>
        </w:rPr>
        <w:t>Aero</w:t>
      </w:r>
      <w:r w:rsidRPr="00EE66CD">
        <w:rPr>
          <w:rFonts w:ascii="Times New Roman" w:hAnsi="Times New Roman" w:cs="Times New Roman"/>
          <w:color w:val="000000" w:themeColor="text1"/>
          <w:sz w:val="16"/>
          <w:szCs w:val="16"/>
          <w:lang w:val="en-US"/>
        </w:rPr>
        <w:t xml:space="preserve"> </w:t>
      </w:r>
      <w:r w:rsidRPr="002F2FDF">
        <w:rPr>
          <w:rFonts w:ascii="Times New Roman" w:hAnsi="Times New Roman" w:cs="Times New Roman"/>
          <w:color w:val="000000" w:themeColor="text1"/>
          <w:sz w:val="16"/>
          <w:szCs w:val="16"/>
          <w:lang w:val="en-US"/>
        </w:rPr>
        <w:t>Products</w:t>
      </w:r>
      <w:r w:rsidRPr="00EE66CD">
        <w:rPr>
          <w:rFonts w:ascii="Times New Roman" w:hAnsi="Times New Roman" w:cs="Times New Roman"/>
          <w:color w:val="000000" w:themeColor="text1"/>
          <w:sz w:val="16"/>
          <w:szCs w:val="16"/>
          <w:lang w:val="en-US"/>
        </w:rPr>
        <w:t xml:space="preserve"> </w:t>
      </w:r>
      <w:r w:rsidRPr="002F2FDF">
        <w:rPr>
          <w:rFonts w:ascii="Times New Roman" w:hAnsi="Times New Roman" w:cs="Times New Roman"/>
          <w:color w:val="000000" w:themeColor="text1"/>
          <w:sz w:val="16"/>
          <w:szCs w:val="16"/>
        </w:rPr>
        <w:t>переименована</w:t>
      </w:r>
      <w:r w:rsidRPr="00EE66CD">
        <w:rPr>
          <w:rFonts w:ascii="Times New Roman" w:hAnsi="Times New Roman" w:cs="Times New Roman"/>
          <w:color w:val="000000" w:themeColor="text1"/>
          <w:sz w:val="16"/>
          <w:szCs w:val="16"/>
          <w:lang w:val="en-US"/>
        </w:rPr>
        <w:t xml:space="preserve"> </w:t>
      </w:r>
      <w:r w:rsidRPr="002F2FDF">
        <w:rPr>
          <w:rFonts w:ascii="Times New Roman" w:hAnsi="Times New Roman" w:cs="Times New Roman"/>
          <w:color w:val="000000" w:themeColor="text1"/>
          <w:sz w:val="16"/>
          <w:szCs w:val="16"/>
        </w:rPr>
        <w:t>в</w:t>
      </w:r>
      <w:r w:rsidRPr="00EE66CD">
        <w:rPr>
          <w:rFonts w:ascii="Times New Roman" w:hAnsi="Times New Roman" w:cs="Times New Roman"/>
          <w:color w:val="000000" w:themeColor="text1"/>
          <w:sz w:val="16"/>
          <w:szCs w:val="16"/>
          <w:lang w:val="en-US"/>
        </w:rPr>
        <w:t xml:space="preserve"> </w:t>
      </w:r>
      <w:r w:rsidRPr="002F2FDF">
        <w:rPr>
          <w:rFonts w:ascii="Times New Roman" w:hAnsi="Times New Roman" w:cs="Times New Roman"/>
          <w:color w:val="000000" w:themeColor="text1"/>
          <w:sz w:val="16"/>
          <w:szCs w:val="16"/>
          <w:lang w:val="en-US"/>
        </w:rPr>
        <w:t>Boeing</w:t>
      </w:r>
      <w:r w:rsidRPr="00EE66CD">
        <w:rPr>
          <w:rFonts w:ascii="Times New Roman" w:hAnsi="Times New Roman" w:cs="Times New Roman"/>
          <w:color w:val="000000" w:themeColor="text1"/>
          <w:sz w:val="16"/>
          <w:szCs w:val="16"/>
          <w:lang w:val="en-US"/>
        </w:rPr>
        <w:t xml:space="preserve"> </w:t>
      </w:r>
      <w:r w:rsidRPr="002F2FDF">
        <w:rPr>
          <w:rFonts w:ascii="Times New Roman" w:hAnsi="Times New Roman" w:cs="Times New Roman"/>
          <w:color w:val="000000" w:themeColor="text1"/>
          <w:sz w:val="16"/>
          <w:szCs w:val="16"/>
          <w:lang w:val="en-US"/>
        </w:rPr>
        <w:t>Airplane</w:t>
      </w:r>
      <w:r w:rsidRPr="00EE66CD">
        <w:rPr>
          <w:rFonts w:ascii="Times New Roman" w:hAnsi="Times New Roman" w:cs="Times New Roman"/>
          <w:color w:val="000000" w:themeColor="text1"/>
          <w:sz w:val="16"/>
          <w:szCs w:val="16"/>
          <w:lang w:val="en-US"/>
        </w:rPr>
        <w:t xml:space="preserve"> </w:t>
      </w:r>
      <w:r w:rsidRPr="002F2FDF">
        <w:rPr>
          <w:rFonts w:ascii="Times New Roman" w:hAnsi="Times New Roman" w:cs="Times New Roman"/>
          <w:color w:val="000000" w:themeColor="text1"/>
          <w:sz w:val="16"/>
          <w:szCs w:val="16"/>
          <w:lang w:val="en-US"/>
        </w:rPr>
        <w:t>Company</w:t>
      </w:r>
      <w:r w:rsidRPr="00EE66CD">
        <w:rPr>
          <w:rFonts w:ascii="Times New Roman" w:hAnsi="Times New Roman" w:cs="Times New Roman"/>
          <w:color w:val="000000" w:themeColor="text1"/>
          <w:sz w:val="16"/>
          <w:szCs w:val="16"/>
          <w:lang w:val="en-US"/>
        </w:rPr>
        <w:t xml:space="preserve"> (20341).</w:t>
      </w:r>
    </w:p>
    <w:p w14:paraId="31F7F28D" w14:textId="77777777" w:rsidR="00D574B0" w:rsidRPr="00EE66CD" w:rsidRDefault="00D574B0" w:rsidP="0083075A">
      <w:pPr>
        <w:spacing w:after="0" w:line="240" w:lineRule="auto"/>
        <w:jc w:val="both"/>
        <w:rPr>
          <w:rFonts w:ascii="Times New Roman" w:hAnsi="Times New Roman" w:cs="Times New Roman"/>
          <w:color w:val="000000" w:themeColor="text1"/>
          <w:sz w:val="16"/>
          <w:szCs w:val="16"/>
          <w:lang w:val="en-US"/>
        </w:rPr>
      </w:pPr>
    </w:p>
    <w:p w14:paraId="56812E1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4D105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DC9D46" w14:textId="458BC288"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и 25 апреля 1917 единственный в 1-й боевом отряде на юго-западном фронте старый корабль XV-й типа Г-1 с "Санбимами" капитана Г.В.Клембовского он совершил два боевых вылета, причем в последнем выдержал бой с 3 неприятельскими истребителями. В воздушном бою было сбито 2 немецких "Фоккера". Кораблю тоже досталось, но он дотянул до своего аэродрома. В начале апреля 1917 г. на аэродром у д.Микулинцы прибыл 2-й боевой отряд в составе корабля 1-го №178 под командованием ст.</w:t>
      </w:r>
      <w:r w:rsidR="00A2630F">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лейтенанта Г.И.Лаврова. В Виннице машину переооборудовали: поставили 2 мотора "Рено" 225 л.с. и 2 РБ3.6 150 л.с., сзади добавили пулеметную точку, для этого пришлось переделать хвостовую часть — она стала двухкилевой. С августа 1917 г. 2-й и 3-й боевые отряды ЭВК стали совершать групповые полеты (3-4 корабля). Иногда "Муромцев" прикрывали истребители 1-й боевой авиагруппы (2-й, 4-й и 19-й корпусные отряды) ротмистра А.А.Козакова, которые совершили на охрану 17 самолето-вылетов. За весь 1917 год Эскадра совершила около 70 боевых полетов, сбросив на противника до 650 пудов бомб. За всю германскую кампанию из 51 боевого корабля, поступивших на фронт, воевало около 40 машин. Они совершили до 300 вылетов, сбросив около 3000 пудов бомб (11277).</w:t>
      </w:r>
    </w:p>
    <w:p w14:paraId="178A7A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817B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14 и 25 </w:t>
      </w:r>
      <w:r w:rsidR="001E32B6" w:rsidRPr="002F2FDF">
        <w:rPr>
          <w:rFonts w:ascii="Times New Roman" w:hAnsi="Times New Roman" w:cs="Times New Roman"/>
          <w:color w:val="000000" w:themeColor="text1"/>
          <w:kern w:val="2"/>
          <w:sz w:val="16"/>
          <w:szCs w:val="16"/>
        </w:rPr>
        <w:t xml:space="preserve">(27 и 7 мая) </w:t>
      </w:r>
      <w:r w:rsidRPr="002F2FDF">
        <w:rPr>
          <w:rFonts w:ascii="Times New Roman" w:hAnsi="Times New Roman" w:cs="Times New Roman"/>
          <w:color w:val="000000" w:themeColor="text1"/>
          <w:kern w:val="2"/>
          <w:sz w:val="16"/>
          <w:szCs w:val="16"/>
        </w:rPr>
        <w:t>апреля 1917 старый корабль ИМ XV-й типа Г-1 с "Санбимами" капитана Г.В.Клембовского совершил два боевых вылета, причем в последнем выдержал бой с 3 неприятельскими истребителями. В воздушном бою было сбито 2 немецких "Фоккера". Кораблю тоже досталось, но он дотянул до своего аэродрома (12038).</w:t>
      </w:r>
    </w:p>
    <w:p w14:paraId="20799C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66BB4E" w14:textId="0B909AB5"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14 и 25 </w:t>
      </w:r>
      <w:r w:rsidR="001E32B6" w:rsidRPr="002F2FDF">
        <w:rPr>
          <w:rFonts w:ascii="Times New Roman" w:hAnsi="Times New Roman" w:cs="Times New Roman"/>
          <w:color w:val="000000" w:themeColor="text1"/>
          <w:kern w:val="2"/>
          <w:sz w:val="16"/>
          <w:szCs w:val="16"/>
        </w:rPr>
        <w:t xml:space="preserve">(27 и 7 мая) </w:t>
      </w:r>
      <w:r w:rsidRPr="002F2FDF">
        <w:rPr>
          <w:rFonts w:ascii="Times New Roman" w:hAnsi="Times New Roman" w:cs="Times New Roman"/>
          <w:color w:val="000000" w:themeColor="text1"/>
          <w:kern w:val="2"/>
          <w:sz w:val="16"/>
          <w:szCs w:val="16"/>
        </w:rPr>
        <w:t>апреля 1917 корабль XV типа Г-1 с моторами "Санбим" капитана Клембовского, единственный, оставшийся на Юго-Западном фронте в 1-й боевом отряде, совершил два боевых вылета, причём в последнем выдержал бой с тремя неприятельскими аэропланами. Возвращаясь после разведки, фотографирования неприятельских укрепленных пунктов и позиций, а также бомбометания по складам и зданиям станции Хуцыско, на обратном пути севернее Мечишчув корабль подвергся нападению трёх "Альбатросов". После 15 минут боя огнём с корабля был сбит один из нападавших, который перевернулся через правое крыло и упал в Оренчовский лес. Остальные, видимо повреждённые огнём с корабля, снижаясь, ушли в западном направлении. По некоторым данным, один из них опустился за лесом. Во время боя был легко ранен пулей в голову старший моторист Голубец. Все радиаторы были пробиты, что привело к остановке двух моторов. Помощник командира поручик И.Г. Демичев-Иванов, бывший всё это время за штурвалом, сел благополучно на вынужденную у деревни Шубинцы. В корабле насчитали более двадцати пробоин. На следующий день после спешного ремонта "Муромец XV" вернулся в Ягельницу. За этот подвиг Демичев-Иванов был награждён орденом Св. Георгия 4-й степени, а артиллерийский офицер штабс-капитан П.В. Ивановский, отражавший атаки "Альбатросов" и сбивший один из них - Георгиевским оружием (12041).</w:t>
      </w:r>
    </w:p>
    <w:p w14:paraId="242C97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AC71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апреля 1917 в Киев прибыла из Франции авиагруппа под командованием полк. Борже в составе двух отрядов - истребительного и армейского с 30 самолетами, 45 офицерами, 260 солдатами. Отправили на Галицийский и Румынский фронты (3628).</w:t>
      </w:r>
    </w:p>
    <w:p w14:paraId="3B8DB4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0BCE31" w14:textId="7536A54F" w:rsidR="00A2630F" w:rsidRPr="00815ED5" w:rsidRDefault="00A2630F"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14</w:t>
      </w:r>
      <w:r>
        <w:rPr>
          <w:rFonts w:ascii="Times New Roman" w:hAnsi="Times New Roman" w:cs="Times New Roman"/>
          <w:color w:val="0070C0"/>
          <w:sz w:val="16"/>
          <w:szCs w:val="16"/>
        </w:rPr>
        <w:t xml:space="preserve"> (27) апреля 1917 г. в Киев прибыла</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 xml:space="preserve">з Франции авиационная группа под </w:t>
      </w:r>
      <w:r>
        <w:rPr>
          <w:rFonts w:ascii="Times New Roman" w:hAnsi="Times New Roman" w:cs="Times New Roman"/>
          <w:color w:val="0070C0"/>
          <w:sz w:val="16"/>
          <w:szCs w:val="16"/>
        </w:rPr>
        <w:t>к</w:t>
      </w:r>
      <w:r w:rsidRPr="00815ED5">
        <w:rPr>
          <w:rFonts w:ascii="Times New Roman" w:hAnsi="Times New Roman" w:cs="Times New Roman"/>
          <w:color w:val="0070C0"/>
          <w:sz w:val="16"/>
          <w:szCs w:val="16"/>
        </w:rPr>
        <w:t>о</w:t>
      </w:r>
      <w:r>
        <w:rPr>
          <w:rFonts w:ascii="Times New Roman" w:hAnsi="Times New Roman" w:cs="Times New Roman"/>
          <w:color w:val="0070C0"/>
          <w:sz w:val="16"/>
          <w:szCs w:val="16"/>
        </w:rPr>
        <w:t xml:space="preserve">мандованием подполковника </w:t>
      </w:r>
      <w:r w:rsidRPr="00815ED5">
        <w:rPr>
          <w:rFonts w:ascii="Times New Roman" w:hAnsi="Times New Roman" w:cs="Times New Roman"/>
          <w:color w:val="0070C0"/>
          <w:sz w:val="16"/>
          <w:szCs w:val="16"/>
        </w:rPr>
        <w:t>Бер</w:t>
      </w:r>
      <w:r>
        <w:rPr>
          <w:rFonts w:ascii="Times New Roman" w:hAnsi="Times New Roman" w:cs="Times New Roman"/>
          <w:color w:val="0070C0"/>
          <w:sz w:val="16"/>
          <w:szCs w:val="16"/>
        </w:rPr>
        <w:t>ж</w:t>
      </w:r>
      <w:r w:rsidRPr="00815ED5">
        <w:rPr>
          <w:rFonts w:ascii="Times New Roman" w:hAnsi="Times New Roman" w:cs="Times New Roman"/>
          <w:color w:val="0070C0"/>
          <w:sz w:val="16"/>
          <w:szCs w:val="16"/>
        </w:rPr>
        <w:t>е в составе двух отрядов — потребите</w:t>
      </w:r>
      <w:r>
        <w:rPr>
          <w:rFonts w:ascii="Times New Roman" w:hAnsi="Times New Roman" w:cs="Times New Roman"/>
          <w:color w:val="0070C0"/>
          <w:sz w:val="16"/>
          <w:szCs w:val="16"/>
        </w:rPr>
        <w:t>льного и армейского с 30</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самолетами, </w:t>
      </w:r>
      <w:r w:rsidRPr="00815ED5">
        <w:rPr>
          <w:rFonts w:ascii="Times New Roman" w:hAnsi="Times New Roman" w:cs="Times New Roman"/>
          <w:color w:val="0070C0"/>
          <w:sz w:val="16"/>
          <w:szCs w:val="16"/>
        </w:rPr>
        <w:t>45 офицерами и 2</w:t>
      </w:r>
      <w:r>
        <w:rPr>
          <w:rFonts w:ascii="Times New Roman" w:hAnsi="Times New Roman" w:cs="Times New Roman"/>
          <w:color w:val="0070C0"/>
          <w:sz w:val="16"/>
          <w:szCs w:val="16"/>
        </w:rPr>
        <w:t>0</w:t>
      </w:r>
      <w:r w:rsidRPr="00815ED5">
        <w:rPr>
          <w:rFonts w:ascii="Times New Roman" w:hAnsi="Times New Roman" w:cs="Times New Roman"/>
          <w:color w:val="0070C0"/>
          <w:sz w:val="16"/>
          <w:szCs w:val="16"/>
        </w:rPr>
        <w:t>0 солдатами</w:t>
      </w:r>
      <w:r>
        <w:rPr>
          <w:rFonts w:ascii="Times New Roman" w:hAnsi="Times New Roman" w:cs="Times New Roman"/>
          <w:color w:val="0070C0"/>
          <w:sz w:val="16"/>
          <w:szCs w:val="16"/>
        </w:rPr>
        <w:t xml:space="preserve">. Для оказания товарищесткой помощи </w:t>
      </w:r>
      <w:r w:rsidRPr="00815ED5">
        <w:rPr>
          <w:rFonts w:ascii="Times New Roman" w:hAnsi="Times New Roman" w:cs="Times New Roman"/>
          <w:color w:val="0070C0"/>
          <w:sz w:val="16"/>
          <w:szCs w:val="16"/>
        </w:rPr>
        <w:t>союзным летчикам городская дума</w:t>
      </w:r>
      <w:r>
        <w:rPr>
          <w:rFonts w:ascii="Times New Roman" w:hAnsi="Times New Roman" w:cs="Times New Roman"/>
          <w:color w:val="0070C0"/>
          <w:sz w:val="16"/>
          <w:szCs w:val="16"/>
        </w:rPr>
        <w:t xml:space="preserve"> выделила 10000</w:t>
      </w:r>
      <w:r w:rsidRPr="00815ED5">
        <w:rPr>
          <w:rFonts w:ascii="Times New Roman" w:hAnsi="Times New Roman" w:cs="Times New Roman"/>
          <w:color w:val="0070C0"/>
          <w:sz w:val="16"/>
          <w:szCs w:val="16"/>
        </w:rPr>
        <w:t xml:space="preserve"> рублей.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Летчики были направлены на Галиций</w:t>
      </w:r>
      <w:r>
        <w:rPr>
          <w:rFonts w:ascii="Times New Roman" w:hAnsi="Times New Roman" w:cs="Times New Roman"/>
          <w:color w:val="0070C0"/>
          <w:sz w:val="16"/>
          <w:szCs w:val="16"/>
        </w:rPr>
        <w:t>ский</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 Румынские ф</w:t>
      </w:r>
      <w:r w:rsidRPr="00815ED5">
        <w:rPr>
          <w:rFonts w:ascii="Times New Roman" w:hAnsi="Times New Roman" w:cs="Times New Roman"/>
          <w:color w:val="0070C0"/>
          <w:sz w:val="16"/>
          <w:szCs w:val="16"/>
        </w:rPr>
        <w:t>ронт</w:t>
      </w:r>
      <w:r>
        <w:rPr>
          <w:rFonts w:ascii="Times New Roman" w:hAnsi="Times New Roman" w:cs="Times New Roman"/>
          <w:color w:val="0070C0"/>
          <w:sz w:val="16"/>
          <w:szCs w:val="16"/>
        </w:rPr>
        <w:t>ы</w:t>
      </w:r>
      <w:r w:rsidRPr="00815ED5">
        <w:rPr>
          <w:rFonts w:ascii="Times New Roman" w:hAnsi="Times New Roman" w:cs="Times New Roman"/>
          <w:color w:val="0070C0"/>
          <w:sz w:val="16"/>
          <w:szCs w:val="16"/>
        </w:rPr>
        <w:t>.</w:t>
      </w:r>
    </w:p>
    <w:p w14:paraId="1EF1FB47" w14:textId="6C985845" w:rsidR="00A2630F" w:rsidRDefault="00A2630F"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ЦГВИА, </w:t>
      </w:r>
      <w:r w:rsidRPr="00815ED5">
        <w:rPr>
          <w:rFonts w:ascii="Times New Roman" w:hAnsi="Times New Roman" w:cs="Times New Roman"/>
          <w:color w:val="0070C0"/>
          <w:sz w:val="16"/>
          <w:szCs w:val="16"/>
        </w:rPr>
        <w:t xml:space="preserve">ф. </w:t>
      </w:r>
      <w:r>
        <w:rPr>
          <w:rFonts w:ascii="Times New Roman" w:hAnsi="Times New Roman" w:cs="Times New Roman"/>
          <w:color w:val="0070C0"/>
          <w:sz w:val="16"/>
          <w:szCs w:val="16"/>
        </w:rPr>
        <w:t>200</w:t>
      </w:r>
      <w:r w:rsidRPr="00815ED5">
        <w:rPr>
          <w:rFonts w:ascii="Times New Roman" w:hAnsi="Times New Roman" w:cs="Times New Roman"/>
          <w:color w:val="0070C0"/>
          <w:sz w:val="16"/>
          <w:szCs w:val="16"/>
        </w:rPr>
        <w:t>3, о</w:t>
      </w:r>
      <w:r>
        <w:rPr>
          <w:rFonts w:ascii="Times New Roman" w:hAnsi="Times New Roman" w:cs="Times New Roman"/>
          <w:color w:val="0070C0"/>
          <w:sz w:val="16"/>
          <w:szCs w:val="16"/>
        </w:rPr>
        <w:t>п</w:t>
      </w:r>
      <w:r w:rsidRPr="00815ED5">
        <w:rPr>
          <w:rFonts w:ascii="Times New Roman" w:hAnsi="Times New Roman" w:cs="Times New Roman"/>
          <w:color w:val="0070C0"/>
          <w:sz w:val="16"/>
          <w:szCs w:val="16"/>
        </w:rPr>
        <w:t xml:space="preserve">. 1, </w:t>
      </w:r>
      <w:r>
        <w:rPr>
          <w:rFonts w:ascii="Times New Roman" w:hAnsi="Times New Roman" w:cs="Times New Roman"/>
          <w:color w:val="0070C0"/>
          <w:sz w:val="16"/>
          <w:szCs w:val="16"/>
        </w:rPr>
        <w:t>д</w:t>
      </w:r>
      <w:r w:rsidRPr="00815ED5">
        <w:rPr>
          <w:rFonts w:ascii="Times New Roman" w:hAnsi="Times New Roman" w:cs="Times New Roman"/>
          <w:color w:val="0070C0"/>
          <w:sz w:val="16"/>
          <w:szCs w:val="16"/>
        </w:rPr>
        <w:t xml:space="preserve">. 1224, </w:t>
      </w:r>
      <w:r>
        <w:rPr>
          <w:rFonts w:ascii="Times New Roman" w:hAnsi="Times New Roman" w:cs="Times New Roman"/>
          <w:color w:val="0070C0"/>
          <w:sz w:val="16"/>
          <w:szCs w:val="16"/>
        </w:rPr>
        <w:t>л</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92/</w:t>
      </w:r>
      <w:r>
        <w:rPr>
          <w:rFonts w:ascii="Times New Roman" w:hAnsi="Times New Roman" w:cs="Times New Roman"/>
          <w:color w:val="0070C0"/>
          <w:sz w:val="16"/>
          <w:szCs w:val="16"/>
        </w:rPr>
        <w:t xml:space="preserve"> (23320).</w:t>
      </w:r>
    </w:p>
    <w:p w14:paraId="2B7F2DC7" w14:textId="77777777" w:rsidR="00A2630F" w:rsidRPr="00815ED5" w:rsidRDefault="00A2630F" w:rsidP="0083075A">
      <w:pPr>
        <w:spacing w:after="0" w:line="240" w:lineRule="auto"/>
        <w:jc w:val="both"/>
        <w:rPr>
          <w:rFonts w:ascii="Times New Roman" w:hAnsi="Times New Roman" w:cs="Times New Roman"/>
          <w:color w:val="0070C0"/>
          <w:sz w:val="16"/>
          <w:szCs w:val="16"/>
        </w:rPr>
      </w:pPr>
    </w:p>
    <w:p w14:paraId="1B312415" w14:textId="527658AB" w:rsidR="00CE28D1" w:rsidRPr="00FB4F67" w:rsidRDefault="00CE28D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14 (</w:t>
      </w:r>
      <w:r w:rsidRPr="00FB4F67">
        <w:rPr>
          <w:rFonts w:ascii="Times New Roman" w:hAnsi="Times New Roman" w:cs="Times New Roman"/>
          <w:color w:val="0070C0"/>
          <w:sz w:val="16"/>
          <w:szCs w:val="16"/>
        </w:rPr>
        <w:t>27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апреля 1917 г. зенитчики пополнили свой боевой счет, сбив возле г. Станислав очередной неприятельский самолет. При падении он сгорел, летчик пленен (23405).</w:t>
      </w:r>
    </w:p>
    <w:p w14:paraId="4741F220" w14:textId="77777777" w:rsidR="00CE28D1" w:rsidRPr="00FB4F67" w:rsidRDefault="00CE28D1" w:rsidP="0083075A">
      <w:pPr>
        <w:spacing w:after="0" w:line="240" w:lineRule="auto"/>
        <w:jc w:val="both"/>
        <w:rPr>
          <w:rFonts w:ascii="Times New Roman" w:hAnsi="Times New Roman" w:cs="Times New Roman"/>
          <w:color w:val="0070C0"/>
          <w:sz w:val="16"/>
          <w:szCs w:val="16"/>
        </w:rPr>
      </w:pPr>
    </w:p>
    <w:p w14:paraId="464B962A" w14:textId="77777777" w:rsidR="003431D2" w:rsidRPr="00CE28D1"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w:t>
      </w:r>
      <w:r w:rsidRPr="00CE28D1">
        <w:rPr>
          <w:rFonts w:ascii="Times New Roman" w:hAnsi="Times New Roman" w:cs="Times New Roman"/>
          <w:i/>
          <w:iCs/>
          <w:color w:val="000000" w:themeColor="text1"/>
          <w:kern w:val="2"/>
          <w:sz w:val="16"/>
          <w:szCs w:val="16"/>
        </w:rPr>
        <w:t xml:space="preserve"> </w:t>
      </w:r>
      <w:r w:rsidRPr="002F2FDF">
        <w:rPr>
          <w:rFonts w:ascii="Times New Roman" w:hAnsi="Times New Roman" w:cs="Times New Roman"/>
          <w:i/>
          <w:iCs/>
          <w:color w:val="000000" w:themeColor="text1"/>
          <w:kern w:val="2"/>
          <w:sz w:val="16"/>
          <w:szCs w:val="16"/>
        </w:rPr>
        <w:t>и</w:t>
      </w:r>
      <w:r w:rsidRPr="00CE28D1">
        <w:rPr>
          <w:rFonts w:ascii="Times New Roman" w:hAnsi="Times New Roman" w:cs="Times New Roman"/>
          <w:i/>
          <w:iCs/>
          <w:color w:val="000000" w:themeColor="text1"/>
          <w:kern w:val="2"/>
          <w:sz w:val="16"/>
          <w:szCs w:val="16"/>
        </w:rPr>
        <w:t xml:space="preserve"> </w:t>
      </w:r>
      <w:r w:rsidRPr="002F2FDF">
        <w:rPr>
          <w:rFonts w:ascii="Times New Roman" w:hAnsi="Times New Roman" w:cs="Times New Roman"/>
          <w:i/>
          <w:iCs/>
          <w:color w:val="000000" w:themeColor="text1"/>
          <w:kern w:val="2"/>
          <w:sz w:val="16"/>
          <w:szCs w:val="16"/>
        </w:rPr>
        <w:t>внутренняя</w:t>
      </w:r>
      <w:r w:rsidRPr="00CE28D1">
        <w:rPr>
          <w:rFonts w:ascii="Times New Roman" w:hAnsi="Times New Roman" w:cs="Times New Roman"/>
          <w:i/>
          <w:iCs/>
          <w:color w:val="000000" w:themeColor="text1"/>
          <w:kern w:val="2"/>
          <w:sz w:val="16"/>
          <w:szCs w:val="16"/>
        </w:rPr>
        <w:t xml:space="preserve"> </w:t>
      </w:r>
      <w:r w:rsidRPr="002F2FDF">
        <w:rPr>
          <w:rFonts w:ascii="Times New Roman" w:hAnsi="Times New Roman" w:cs="Times New Roman"/>
          <w:i/>
          <w:iCs/>
          <w:color w:val="000000" w:themeColor="text1"/>
          <w:kern w:val="2"/>
          <w:sz w:val="16"/>
          <w:szCs w:val="16"/>
        </w:rPr>
        <w:t>политика</w:t>
      </w:r>
      <w:r w:rsidRPr="00CE28D1">
        <w:rPr>
          <w:rFonts w:ascii="Times New Roman" w:hAnsi="Times New Roman" w:cs="Times New Roman"/>
          <w:i/>
          <w:iCs/>
          <w:color w:val="000000" w:themeColor="text1"/>
          <w:kern w:val="2"/>
          <w:sz w:val="16"/>
          <w:szCs w:val="16"/>
        </w:rPr>
        <w:t>:</w:t>
      </w:r>
    </w:p>
    <w:p w14:paraId="5CCCA412" w14:textId="77777777" w:rsidR="003431D2" w:rsidRPr="00CE28D1"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BF26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April 27, 1917 Stalin was re-elected to the Central Committee of the Bolshevik Party.</w:t>
      </w:r>
    </w:p>
    <w:p w14:paraId="0D2471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4A1305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апреля 1917 И.В.С. был переизбран в ЦК.</w:t>
      </w:r>
    </w:p>
    <w:p w14:paraId="56CF74E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C4B4EE" w14:textId="77777777" w:rsidR="003F2A09"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85E07B1" w14:textId="77777777" w:rsidR="003F2A09" w:rsidRPr="002F2FDF" w:rsidRDefault="003F2A0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5A0D9B" w14:textId="77777777" w:rsidR="003F2A09" w:rsidRPr="002F2FDF" w:rsidRDefault="003F2A0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апреля в 1917 году первый Морской Лорд Великобритании Джеллико подаёт премьер-министру меморандум, из которого следует, что Королевский Флот не в состоянии выполнить свои обязанности, и не не может обеспечить безопасность морских коммуникаций Англии (впервые за сотню лет). Флот Открытого Моря Тирпица, Шеера и Хольцендорфа пока выигрывает (15112).</w:t>
      </w:r>
    </w:p>
    <w:p w14:paraId="6BC8DA42" w14:textId="77777777" w:rsidR="003F2A09" w:rsidRPr="002F2FDF" w:rsidRDefault="003F2A09" w:rsidP="0083075A">
      <w:pPr>
        <w:spacing w:after="0" w:line="240" w:lineRule="auto"/>
        <w:jc w:val="both"/>
        <w:rPr>
          <w:rFonts w:ascii="Times New Roman" w:hAnsi="Times New Roman" w:cs="Times New Roman"/>
          <w:color w:val="000000" w:themeColor="text1"/>
          <w:kern w:val="2"/>
          <w:sz w:val="16"/>
          <w:szCs w:val="16"/>
        </w:rPr>
      </w:pPr>
    </w:p>
    <w:p w14:paraId="136A05F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574D0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6B747A" w14:textId="77777777" w:rsidR="003F2A09" w:rsidRPr="002F2FDF" w:rsidRDefault="003F2A0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апреля в 1917 году военные по результатам испытаний «Idflieg» отказались от серийного производства истребителя «FF.46». Третий прототип так и не был построен. В сентябре 1916 года фирма «Flugzeugbau Friedrichshafen» представила военным предложение о создании на базе самолета «FF.43» колесного истребителя «FF.46» и получила заказ на постройку трех прототипов. «FF 46» (получивший обозначение «Friedrichshafen D.I») представлял собой одноместный биплан, как и у его предшественника на нем стоял 160-сильный двигатель «Mercedes» «D.III» и вооружение так же состояло из двух синхронных 7.92-мм пулеметов» LMG 08/15» «Spandau». Первый прототип имел обычную кабину пилота, а второй - модернизированную, с улучшенным обзором (15113).</w:t>
      </w:r>
    </w:p>
    <w:p w14:paraId="2E605898" w14:textId="77777777" w:rsidR="003F2A09" w:rsidRPr="002F2FDF" w:rsidRDefault="003F2A09" w:rsidP="0083075A">
      <w:pPr>
        <w:spacing w:after="0" w:line="240" w:lineRule="auto"/>
        <w:jc w:val="both"/>
        <w:rPr>
          <w:rFonts w:ascii="Times New Roman" w:hAnsi="Times New Roman" w:cs="Times New Roman"/>
          <w:color w:val="000000" w:themeColor="text1"/>
          <w:kern w:val="2"/>
          <w:sz w:val="16"/>
          <w:szCs w:val="16"/>
        </w:rPr>
      </w:pPr>
    </w:p>
    <w:p w14:paraId="413384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апреля 1917 А.Петен, герой Вердена, становится Начальником Генштаба (3907,90).</w:t>
      </w:r>
    </w:p>
    <w:p w14:paraId="7078A9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FEB44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9570A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2B0F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середине апреля 1917 г. Завод Лебедева только справился с задачей разработки синхронизатора для мотора Сальмсон. УВВФ заказало 200 комплектов синхронизаторов обществу двигателей “Гном и Рои”. Фирма согласилась выполнить заказ в течение семи месяцев, но на деле он не был реализован. В результате самолеты “Лебедь-12” и “Анаде” имели только турельные пулеметные установки (9768).</w:t>
      </w:r>
    </w:p>
    <w:p w14:paraId="2E05AC07" w14:textId="3718016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7607CB" w14:textId="252A3EA4" w:rsidR="00E52569" w:rsidRDefault="00E52569"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138529EF" w14:textId="77777777" w:rsidR="00E52569" w:rsidRDefault="00E52569"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6A6633A" w14:textId="77777777" w:rsidR="00E52569" w:rsidRPr="00FB4F67" w:rsidRDefault="00E52569" w:rsidP="0083075A">
      <w:pPr>
        <w:spacing w:after="0" w:line="240" w:lineRule="auto"/>
        <w:jc w:val="both"/>
        <w:rPr>
          <w:rFonts w:ascii="Times New Roman" w:hAnsi="Times New Roman" w:cs="Times New Roman"/>
          <w:color w:val="0070C0"/>
          <w:sz w:val="16"/>
          <w:szCs w:val="16"/>
        </w:rPr>
      </w:pPr>
      <w:bookmarkStart w:id="81" w:name="bookmark753"/>
      <w:bookmarkStart w:id="82" w:name="bookmark754"/>
      <w:r w:rsidRPr="00FB4F67">
        <w:rPr>
          <w:rFonts w:ascii="Times New Roman" w:hAnsi="Times New Roman" w:cs="Times New Roman"/>
          <w:color w:val="0070C0"/>
          <w:sz w:val="16"/>
          <w:szCs w:val="16"/>
        </w:rPr>
        <w:t>В середине апреля 1917 г. в Микулинц на Юго-Западном фронте прибыл 2-й боевой отряд ЭВК. Трагедия случилась с его головным кораблем 11 мая, когда у IM-I оторвалась ткань, покрывающая его левое крыло, в воздухе на высоте 3200 метров. Корабль начал разваливаться в воздухе и потерпел крушение к северу от Монастержиски, под Тарнополем. Экипаж из шести человек погиб. В результате 2-й боевой отряд прекратил свое существование. В августе месяце 1-й боевой отряд был переименован в новый 2-й боевой отряд (23525).</w:t>
      </w:r>
    </w:p>
    <w:p w14:paraId="6839AB1E" w14:textId="77777777" w:rsidR="00E52569" w:rsidRPr="00FB4F67" w:rsidRDefault="00E52569" w:rsidP="0083075A">
      <w:pPr>
        <w:spacing w:after="0" w:line="240" w:lineRule="auto"/>
        <w:jc w:val="both"/>
        <w:rPr>
          <w:rFonts w:ascii="Times New Roman" w:hAnsi="Times New Roman" w:cs="Times New Roman"/>
          <w:color w:val="0070C0"/>
          <w:sz w:val="16"/>
          <w:szCs w:val="16"/>
        </w:rPr>
      </w:pPr>
    </w:p>
    <w:bookmarkEnd w:id="81"/>
    <w:bookmarkEnd w:id="82"/>
    <w:p w14:paraId="2EFA9673" w14:textId="5A15DB26" w:rsidR="00D574B0" w:rsidRPr="002F2FDF" w:rsidRDefault="00D574B0"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369489C4" w14:textId="77777777" w:rsidR="00D574B0" w:rsidRPr="002F2FDF" w:rsidRDefault="00D574B0"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613A502" w14:textId="77777777" w:rsidR="00D574B0" w:rsidRPr="002F2FDF" w:rsidRDefault="00D574B0"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16 (29) апреля 1917г. Г.А. Безсонов подал предложение «прибора для борьбы с тэнками» в виде самоходной колесной мины (разработанной, кстати, просто малограмотно), Инженерный Комитет ГВТУ заметил в надписи от 1 мая: «У нас имеется уже несколько управляемых самодвижущихся мин, которые выдержали испытания»(20250).</w:t>
      </w:r>
    </w:p>
    <w:p w14:paraId="6AAE2D98" w14:textId="77777777" w:rsidR="00D574B0" w:rsidRPr="002F2FDF" w:rsidRDefault="00D574B0" w:rsidP="0083075A">
      <w:pPr>
        <w:shd w:val="clear" w:color="auto" w:fill="FFFFFF"/>
        <w:spacing w:after="0" w:line="240" w:lineRule="auto"/>
        <w:jc w:val="both"/>
        <w:rPr>
          <w:rFonts w:ascii="Times New Roman" w:hAnsi="Times New Roman" w:cs="Times New Roman"/>
          <w:color w:val="000000" w:themeColor="text1"/>
          <w:sz w:val="16"/>
          <w:szCs w:val="16"/>
        </w:rPr>
      </w:pPr>
    </w:p>
    <w:p w14:paraId="2AA5614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590FD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4EF1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16-23 апреля (29 апреля - 6 мая) 1917 в Ташкенте прошел первый Конгресс Мусульман Средней Азии, потребовавший прекращение российской колонизации и возврата земель (2955).</w:t>
      </w:r>
    </w:p>
    <w:p w14:paraId="5D9204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C2702C" w14:textId="77777777" w:rsidR="009C2037"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4F561622" w14:textId="77777777" w:rsidR="009C2037" w:rsidRPr="002F2FDF" w:rsidRDefault="009C203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9C0180" w14:textId="77777777" w:rsidR="009C2037" w:rsidRPr="002F2FDF" w:rsidRDefault="009C2037"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16 (29) апреля 1917 г. </w:t>
      </w:r>
      <w:r w:rsidRPr="002F2FDF">
        <w:rPr>
          <w:rFonts w:ascii="Times New Roman" w:hAnsi="Times New Roman" w:cs="Times New Roman"/>
          <w:color w:val="000000" w:themeColor="text1"/>
          <w:kern w:val="2"/>
          <w:sz w:val="16"/>
          <w:szCs w:val="16"/>
        </w:rPr>
        <w:t>Телеграмма К.Д. Набокова П.Н. Милюкову о желании английского правительства отложить рассмотрение финансового соглашения с Россией до выяснения отношения США к вопросу о финансировании союзных заказов.</w:t>
      </w:r>
    </w:p>
    <w:p w14:paraId="5FF25B99" w14:textId="438DBDE0" w:rsidR="009C2037" w:rsidRPr="002F2FDF" w:rsidRDefault="009C20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538</w:t>
      </w:r>
    </w:p>
    <w:p w14:paraId="6FB0DD16" w14:textId="132FF66D" w:rsidR="009C2037" w:rsidRPr="002F2FDF" w:rsidRDefault="009C20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Канцелярии, д. 3,Ут. I, л. 242. Копия.</w:t>
      </w:r>
    </w:p>
    <w:p w14:paraId="6F1E9365" w14:textId="77777777" w:rsidR="009C2037" w:rsidRPr="002F2FDF" w:rsidRDefault="009C2037" w:rsidP="0083075A">
      <w:pPr>
        <w:pStyle w:val="rtejustify"/>
        <w:spacing w:before="0" w:after="0"/>
        <w:rPr>
          <w:color w:val="000000" w:themeColor="text1"/>
          <w:kern w:val="2"/>
          <w:sz w:val="16"/>
          <w:szCs w:val="16"/>
        </w:rPr>
      </w:pPr>
      <w:r w:rsidRPr="002F2FDF">
        <w:rPr>
          <w:color w:val="000000" w:themeColor="text1"/>
          <w:kern w:val="2"/>
          <w:sz w:val="16"/>
          <w:szCs w:val="16"/>
        </w:rPr>
        <w:t>Ссылаюсь на Вашу телеграмму № 1328.</w:t>
      </w:r>
      <w:hyperlink r:id="rId134" w:anchor="_ftn1" w:history="1">
        <w:r w:rsidRPr="002F2FDF">
          <w:rPr>
            <w:rStyle w:val="a5"/>
            <w:color w:val="000000" w:themeColor="text1"/>
            <w:kern w:val="2"/>
            <w:sz w:val="16"/>
            <w:szCs w:val="16"/>
          </w:rPr>
          <w:t>[1]</w:t>
        </w:r>
      </w:hyperlink>
    </w:p>
    <w:p w14:paraId="03097405" w14:textId="77777777" w:rsidR="009C2037" w:rsidRPr="002F2FDF" w:rsidRDefault="009C2037" w:rsidP="0083075A">
      <w:pPr>
        <w:pStyle w:val="rtejustify"/>
        <w:spacing w:before="0" w:after="0"/>
        <w:rPr>
          <w:color w:val="000000" w:themeColor="text1"/>
          <w:kern w:val="2"/>
          <w:sz w:val="16"/>
          <w:szCs w:val="16"/>
        </w:rPr>
      </w:pPr>
      <w:r w:rsidRPr="002F2FDF">
        <w:rPr>
          <w:color w:val="000000" w:themeColor="text1"/>
          <w:kern w:val="2"/>
          <w:sz w:val="16"/>
          <w:szCs w:val="16"/>
        </w:rPr>
        <w:t>Великобританское правительство считает желательным отложить рассмотрение подробностей окончательного финансового соглашения с Россией до выяснения отношения С. А. С. Штатов к вопросу о финансировании союзнических заказов. Вместе с тем английское правительство добавляет, что вследствие ожидаемого со стороны С. А. С. Штатов широкого финансового содействия российскому правительству не придется встретиться с какими-либо финансовыми затруднениями в вопросе о снабжениях в том виде, в каком он был решен на февральской Петроградской конференции.</w:t>
      </w:r>
    </w:p>
    <w:p w14:paraId="1CB48DB4" w14:textId="77777777" w:rsidR="009C2037" w:rsidRPr="002F2FDF" w:rsidRDefault="009C2037"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Набоков.</w:t>
      </w:r>
    </w:p>
    <w:p w14:paraId="55ACFA79" w14:textId="77777777" w:rsidR="009C2037" w:rsidRPr="002F2FDF" w:rsidRDefault="00000000" w:rsidP="0083075A">
      <w:pPr>
        <w:pStyle w:val="ae"/>
        <w:spacing w:before="0" w:after="0"/>
        <w:jc w:val="both"/>
        <w:rPr>
          <w:color w:val="000000" w:themeColor="text1"/>
          <w:kern w:val="2"/>
          <w:sz w:val="16"/>
          <w:szCs w:val="16"/>
        </w:rPr>
      </w:pPr>
      <w:hyperlink r:id="rId135" w:anchor="_ftnref1" w:history="1">
        <w:r w:rsidR="009C2037" w:rsidRPr="002F2FDF">
          <w:rPr>
            <w:rStyle w:val="a5"/>
            <w:color w:val="000000" w:themeColor="text1"/>
            <w:kern w:val="2"/>
            <w:sz w:val="16"/>
            <w:szCs w:val="16"/>
          </w:rPr>
          <w:t>[1]</w:t>
        </w:r>
      </w:hyperlink>
      <w:r w:rsidR="009C2037" w:rsidRPr="002F2FDF">
        <w:rPr>
          <w:color w:val="000000" w:themeColor="text1"/>
          <w:kern w:val="2"/>
          <w:sz w:val="16"/>
          <w:szCs w:val="16"/>
        </w:rPr>
        <w:t xml:space="preserve"> Телеграмма не обнаружена (15186).</w:t>
      </w:r>
    </w:p>
    <w:p w14:paraId="6811DAC2" w14:textId="77777777" w:rsidR="009C2037" w:rsidRPr="002F2FDF" w:rsidRDefault="009C2037"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1002266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D884D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03D3A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контрактах на аппараты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2B1C74" w:rsidRPr="002F2FDF" w14:paraId="2D82BEB6" w14:textId="77777777">
        <w:tc>
          <w:tcPr>
            <w:tcW w:w="3192" w:type="dxa"/>
            <w:tcBorders>
              <w:top w:val="single" w:sz="12" w:space="0" w:color="auto"/>
            </w:tcBorders>
            <w:shd w:val="clear" w:color="auto" w:fill="FFFFFF"/>
          </w:tcPr>
          <w:p w14:paraId="7ADBF1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Дата контракта</w:t>
            </w:r>
          </w:p>
        </w:tc>
        <w:tc>
          <w:tcPr>
            <w:tcW w:w="3192" w:type="dxa"/>
            <w:tcBorders>
              <w:top w:val="single" w:sz="12" w:space="0" w:color="auto"/>
            </w:tcBorders>
            <w:shd w:val="clear" w:color="auto" w:fill="FFFFFF"/>
          </w:tcPr>
          <w:p w14:paraId="62BC81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заказанных аэропланов</w:t>
            </w:r>
          </w:p>
        </w:tc>
        <w:tc>
          <w:tcPr>
            <w:tcW w:w="3192" w:type="dxa"/>
            <w:tcBorders>
              <w:top w:val="single" w:sz="12" w:space="0" w:color="auto"/>
            </w:tcBorders>
            <w:shd w:val="clear" w:color="auto" w:fill="FFFFFF"/>
          </w:tcPr>
          <w:p w14:paraId="74C7BB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Условия</w:t>
            </w:r>
          </w:p>
        </w:tc>
      </w:tr>
      <w:tr w:rsidR="002B1C74" w:rsidRPr="002F2FDF" w14:paraId="30090D1C" w14:textId="77777777">
        <w:tc>
          <w:tcPr>
            <w:tcW w:w="3192" w:type="dxa"/>
            <w:shd w:val="clear" w:color="auto" w:fill="FFFFFF"/>
          </w:tcPr>
          <w:p w14:paraId="0BDB06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 17 1917</w:t>
            </w:r>
          </w:p>
        </w:tc>
        <w:tc>
          <w:tcPr>
            <w:tcW w:w="3192" w:type="dxa"/>
            <w:shd w:val="clear" w:color="auto" w:fill="FFFFFF"/>
          </w:tcPr>
          <w:p w14:paraId="6CA02F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20+5</w:t>
            </w:r>
          </w:p>
        </w:tc>
        <w:tc>
          <w:tcPr>
            <w:tcW w:w="3192" w:type="dxa"/>
            <w:shd w:val="clear" w:color="auto" w:fill="FFFFFF"/>
          </w:tcPr>
          <w:p w14:paraId="584A28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боевых и 5 запасных аппаратов; заказ выполнен к 17 сентября 1917 г.</w:t>
            </w:r>
          </w:p>
        </w:tc>
      </w:tr>
      <w:tr w:rsidR="002B1C74" w:rsidRPr="002F2FDF" w14:paraId="59823284" w14:textId="77777777">
        <w:tc>
          <w:tcPr>
            <w:tcW w:w="3192" w:type="dxa"/>
            <w:shd w:val="clear" w:color="auto" w:fill="FFFFFF"/>
          </w:tcPr>
          <w:p w14:paraId="6648C5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 27 1917</w:t>
            </w:r>
          </w:p>
        </w:tc>
        <w:tc>
          <w:tcPr>
            <w:tcW w:w="3192" w:type="dxa"/>
            <w:shd w:val="clear" w:color="auto" w:fill="FFFFFF"/>
          </w:tcPr>
          <w:p w14:paraId="10BDB5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w:t>
            </w:r>
          </w:p>
        </w:tc>
        <w:tc>
          <w:tcPr>
            <w:tcW w:w="3192" w:type="dxa"/>
            <w:shd w:val="clear" w:color="auto" w:fill="FFFFFF"/>
          </w:tcPr>
          <w:p w14:paraId="58EDDD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тыс. руб. за аппарат под мотор “Сальмсон” или “Санбим” 150 л. с., срок исполнения с 1 декабря 1917 г. по 1 марта 1918 г. (расторг</w:t>
            </w:r>
            <w:r w:rsidRPr="002F2FDF">
              <w:rPr>
                <w:rFonts w:ascii="Times New Roman" w:hAnsi="Times New Roman" w:cs="Times New Roman"/>
                <w:color w:val="000000" w:themeColor="text1"/>
                <w:kern w:val="2"/>
                <w:sz w:val="16"/>
                <w:szCs w:val="16"/>
              </w:rPr>
              <w:softHyphen/>
              <w:t>нут 2 ноября 1917 г.)</w:t>
            </w:r>
          </w:p>
          <w:p w14:paraId="3848BC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условный заказ, данный компании Ф. Мельцера в Петрограде</w:t>
            </w:r>
          </w:p>
        </w:tc>
      </w:tr>
      <w:tr w:rsidR="002B1C74" w:rsidRPr="002F2FDF" w14:paraId="1B76D8DB" w14:textId="77777777">
        <w:tc>
          <w:tcPr>
            <w:tcW w:w="3192" w:type="dxa"/>
            <w:shd w:val="clear" w:color="auto" w:fill="FFFFFF"/>
          </w:tcPr>
          <w:p w14:paraId="72D8CF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 29 1917</w:t>
            </w:r>
          </w:p>
        </w:tc>
        <w:tc>
          <w:tcPr>
            <w:tcW w:w="3192" w:type="dxa"/>
            <w:shd w:val="clear" w:color="auto" w:fill="FFFFFF"/>
          </w:tcPr>
          <w:p w14:paraId="02A475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3192" w:type="dxa"/>
            <w:shd w:val="clear" w:color="auto" w:fill="FFFFFF"/>
          </w:tcPr>
          <w:p w14:paraId="7A43F0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запасных аппаратов; возможно, тот же контракт от 17 апреля 1917 г.</w:t>
            </w:r>
          </w:p>
        </w:tc>
      </w:tr>
      <w:tr w:rsidR="002B1C74" w:rsidRPr="002F2FDF" w14:paraId="5CE8AE53" w14:textId="77777777">
        <w:tc>
          <w:tcPr>
            <w:tcW w:w="3192" w:type="dxa"/>
            <w:shd w:val="clear" w:color="auto" w:fill="FFFFFF"/>
          </w:tcPr>
          <w:p w14:paraId="396A06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 26 1917</w:t>
            </w:r>
          </w:p>
        </w:tc>
        <w:tc>
          <w:tcPr>
            <w:tcW w:w="3192" w:type="dxa"/>
            <w:shd w:val="clear" w:color="auto" w:fill="FFFFFF"/>
          </w:tcPr>
          <w:p w14:paraId="338743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w:t>
            </w:r>
          </w:p>
        </w:tc>
        <w:tc>
          <w:tcPr>
            <w:tcW w:w="3192" w:type="dxa"/>
            <w:shd w:val="clear" w:color="auto" w:fill="FFFFFF"/>
          </w:tcPr>
          <w:p w14:paraId="673AFC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тыс. руб. за аппарат без мотора (цена могла меняться из-за инфляции), срок исполнения 20 июня 1917 г. (вероятно, частично выполнен до 1918 г.) ПРИМЕЧАНИЯ: по другим данным, контракт заключен 14 июня 1917 г.</w:t>
            </w:r>
          </w:p>
        </w:tc>
      </w:tr>
      <w:tr w:rsidR="002B1C74" w:rsidRPr="002F2FDF" w14:paraId="2BEED275" w14:textId="77777777">
        <w:tc>
          <w:tcPr>
            <w:tcW w:w="3192" w:type="dxa"/>
            <w:tcBorders>
              <w:bottom w:val="single" w:sz="12" w:space="0" w:color="auto"/>
            </w:tcBorders>
            <w:shd w:val="clear" w:color="auto" w:fill="FFFFFF"/>
          </w:tcPr>
          <w:p w14:paraId="657482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 5 1917</w:t>
            </w:r>
          </w:p>
        </w:tc>
        <w:tc>
          <w:tcPr>
            <w:tcW w:w="3192" w:type="dxa"/>
            <w:tcBorders>
              <w:bottom w:val="single" w:sz="12" w:space="0" w:color="auto"/>
            </w:tcBorders>
            <w:shd w:val="clear" w:color="auto" w:fill="FFFFFF"/>
          </w:tcPr>
          <w:p w14:paraId="41C0C0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w:t>
            </w:r>
          </w:p>
        </w:tc>
        <w:tc>
          <w:tcPr>
            <w:tcW w:w="3192" w:type="dxa"/>
            <w:tcBorders>
              <w:bottom w:val="single" w:sz="12" w:space="0" w:color="auto"/>
            </w:tcBorders>
            <w:shd w:val="clear" w:color="auto" w:fill="FFFFFF"/>
          </w:tcPr>
          <w:p w14:paraId="1AA7A1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25 тыс. 500 руб. за аппарат без мотора ПРИМЕЧАНИЯ: серия аппаратов с заводскими номерами 1502-1576 заложена на ПРТВ в сентябре 1917 г., а сам наряд дан, вероятно, от полной безнадежности </w:t>
            </w:r>
            <w:r w:rsidRPr="002F2FDF">
              <w:rPr>
                <w:rFonts w:ascii="Times New Roman" w:hAnsi="Times New Roman" w:cs="Times New Roman"/>
                <w:color w:val="000000" w:themeColor="text1"/>
                <w:kern w:val="2"/>
                <w:sz w:val="16"/>
                <w:szCs w:val="16"/>
              </w:rPr>
              <w:lastRenderedPageBreak/>
              <w:t>получить более современные машины (2807)</w:t>
            </w:r>
          </w:p>
        </w:tc>
      </w:tr>
    </w:tbl>
    <w:p w14:paraId="040C999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6DDDF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BE96D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2E91F0" w14:textId="77777777" w:rsidR="00A2630F" w:rsidRDefault="00A2630F"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17 (30) апреля 1917 г. Президиум</w:t>
      </w:r>
      <w:r w:rsidRPr="00815ED5">
        <w:rPr>
          <w:rFonts w:ascii="Times New Roman" w:hAnsi="Times New Roman" w:cs="Times New Roman"/>
          <w:color w:val="0070C0"/>
          <w:sz w:val="16"/>
          <w:szCs w:val="16"/>
        </w:rPr>
        <w:t xml:space="preserve"> солдатского комитета 3-го авиационного парка /К</w:t>
      </w:r>
      <w:r>
        <w:rPr>
          <w:rFonts w:ascii="Times New Roman" w:hAnsi="Times New Roman" w:cs="Times New Roman"/>
          <w:color w:val="0070C0"/>
          <w:sz w:val="16"/>
          <w:szCs w:val="16"/>
        </w:rPr>
        <w:t>иев</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w:t>
      </w:r>
      <w:r w:rsidRPr="00815ED5">
        <w:rPr>
          <w:rFonts w:ascii="Times New Roman" w:hAnsi="Times New Roman" w:cs="Times New Roman"/>
          <w:color w:val="0070C0"/>
          <w:sz w:val="16"/>
          <w:szCs w:val="16"/>
        </w:rPr>
        <w:t>р</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г</w:t>
      </w:r>
      <w:r>
        <w:rPr>
          <w:rFonts w:ascii="Times New Roman" w:hAnsi="Times New Roman" w:cs="Times New Roman"/>
          <w:color w:val="0070C0"/>
          <w:sz w:val="16"/>
          <w:szCs w:val="16"/>
        </w:rPr>
        <w:t>ласил</w:t>
      </w:r>
      <w:r w:rsidRPr="00815ED5">
        <w:rPr>
          <w:rFonts w:ascii="Times New Roman" w:hAnsi="Times New Roman" w:cs="Times New Roman"/>
          <w:color w:val="0070C0"/>
          <w:sz w:val="16"/>
          <w:szCs w:val="16"/>
        </w:rPr>
        <w:t xml:space="preserve"> всех товарищей французов солдат и офицеров принять</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участие в </w:t>
      </w:r>
      <w:r>
        <w:rPr>
          <w:rFonts w:ascii="Times New Roman" w:hAnsi="Times New Roman" w:cs="Times New Roman"/>
          <w:color w:val="0070C0"/>
          <w:sz w:val="16"/>
          <w:szCs w:val="16"/>
        </w:rPr>
        <w:t>праздновании</w:t>
      </w:r>
      <w:r w:rsidRPr="00815ED5">
        <w:rPr>
          <w:rFonts w:ascii="Times New Roman" w:hAnsi="Times New Roman" w:cs="Times New Roman"/>
          <w:color w:val="0070C0"/>
          <w:sz w:val="16"/>
          <w:szCs w:val="16"/>
        </w:rPr>
        <w:t xml:space="preserve"> 1-го </w:t>
      </w:r>
      <w:r>
        <w:rPr>
          <w:rFonts w:ascii="Times New Roman" w:hAnsi="Times New Roman" w:cs="Times New Roman"/>
          <w:color w:val="0070C0"/>
          <w:sz w:val="16"/>
          <w:szCs w:val="16"/>
        </w:rPr>
        <w:t>М</w:t>
      </w:r>
      <w:r w:rsidRPr="00815ED5">
        <w:rPr>
          <w:rFonts w:ascii="Times New Roman" w:hAnsi="Times New Roman" w:cs="Times New Roman"/>
          <w:color w:val="0070C0"/>
          <w:sz w:val="16"/>
          <w:szCs w:val="16"/>
        </w:rPr>
        <w:t>ая "великого рабочего праздника всего м</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р</w:t>
      </w:r>
      <w:r>
        <w:rPr>
          <w:rFonts w:ascii="Times New Roman" w:hAnsi="Times New Roman" w:cs="Times New Roman"/>
          <w:color w:val="0070C0"/>
          <w:sz w:val="16"/>
          <w:szCs w:val="16"/>
        </w:rPr>
        <w:t>а</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Пре</w:t>
      </w:r>
      <w:r>
        <w:rPr>
          <w:rFonts w:ascii="Times New Roman" w:hAnsi="Times New Roman" w:cs="Times New Roman"/>
          <w:color w:val="0070C0"/>
          <w:sz w:val="16"/>
          <w:szCs w:val="16"/>
        </w:rPr>
        <w:t>зи</w:t>
      </w:r>
      <w:r w:rsidRPr="00815ED5">
        <w:rPr>
          <w:rFonts w:ascii="Times New Roman" w:hAnsi="Times New Roman" w:cs="Times New Roman"/>
          <w:color w:val="0070C0"/>
          <w:sz w:val="16"/>
          <w:szCs w:val="16"/>
        </w:rPr>
        <w:t>д</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у</w:t>
      </w:r>
      <w:r>
        <w:rPr>
          <w:rFonts w:ascii="Times New Roman" w:hAnsi="Times New Roman" w:cs="Times New Roman"/>
          <w:color w:val="0070C0"/>
          <w:sz w:val="16"/>
          <w:szCs w:val="16"/>
        </w:rPr>
        <w:t>м</w:t>
      </w:r>
      <w:r w:rsidRPr="00815ED5">
        <w:rPr>
          <w:rFonts w:ascii="Times New Roman" w:hAnsi="Times New Roman" w:cs="Times New Roman"/>
          <w:color w:val="0070C0"/>
          <w:sz w:val="16"/>
          <w:szCs w:val="16"/>
        </w:rPr>
        <w:t xml:space="preserve"> прос</w:t>
      </w:r>
      <w:r>
        <w:rPr>
          <w:rFonts w:ascii="Times New Roman" w:hAnsi="Times New Roman" w:cs="Times New Roman"/>
          <w:color w:val="0070C0"/>
          <w:sz w:val="16"/>
          <w:szCs w:val="16"/>
        </w:rPr>
        <w:t>ил</w:t>
      </w:r>
      <w:r w:rsidRPr="00815ED5">
        <w:rPr>
          <w:rFonts w:ascii="Times New Roman" w:hAnsi="Times New Roman" w:cs="Times New Roman"/>
          <w:color w:val="0070C0"/>
          <w:sz w:val="16"/>
          <w:szCs w:val="16"/>
        </w:rPr>
        <w:t xml:space="preserve"> также освободить всех арестованных солдат, ч</w:t>
      </w:r>
      <w:r>
        <w:rPr>
          <w:rFonts w:ascii="Times New Roman" w:hAnsi="Times New Roman" w:cs="Times New Roman"/>
          <w:color w:val="0070C0"/>
          <w:sz w:val="16"/>
          <w:szCs w:val="16"/>
        </w:rPr>
        <w:t>тобы</w:t>
      </w:r>
      <w:r w:rsidRPr="00815ED5">
        <w:rPr>
          <w:rFonts w:ascii="Times New Roman" w:hAnsi="Times New Roman" w:cs="Times New Roman"/>
          <w:color w:val="0070C0"/>
          <w:sz w:val="16"/>
          <w:szCs w:val="16"/>
        </w:rPr>
        <w:t xml:space="preserve"> о</w:t>
      </w:r>
      <w:r>
        <w:rPr>
          <w:rFonts w:ascii="Times New Roman" w:hAnsi="Times New Roman" w:cs="Times New Roman"/>
          <w:color w:val="0070C0"/>
          <w:sz w:val="16"/>
          <w:szCs w:val="16"/>
        </w:rPr>
        <w:t>ни</w:t>
      </w:r>
      <w:r w:rsidRPr="00815ED5">
        <w:rPr>
          <w:rFonts w:ascii="Times New Roman" w:hAnsi="Times New Roman" w:cs="Times New Roman"/>
          <w:color w:val="0070C0"/>
          <w:sz w:val="16"/>
          <w:szCs w:val="16"/>
        </w:rPr>
        <w:t xml:space="preserve"> имели возможность принять участие в "первом для совет</w:t>
      </w:r>
      <w:r>
        <w:rPr>
          <w:rFonts w:ascii="Times New Roman" w:hAnsi="Times New Roman" w:cs="Times New Roman"/>
          <w:color w:val="0070C0"/>
          <w:sz w:val="16"/>
          <w:szCs w:val="16"/>
        </w:rPr>
        <w:t>ской России празднике</w:t>
      </w:r>
      <w:r w:rsidRPr="00815ED5">
        <w:rPr>
          <w:rFonts w:ascii="Times New Roman" w:hAnsi="Times New Roman" w:cs="Times New Roman"/>
          <w:color w:val="0070C0"/>
          <w:sz w:val="16"/>
          <w:szCs w:val="16"/>
        </w:rPr>
        <w:t xml:space="preserve"> ме</w:t>
      </w:r>
      <w:r>
        <w:rPr>
          <w:rFonts w:ascii="Times New Roman" w:hAnsi="Times New Roman" w:cs="Times New Roman"/>
          <w:color w:val="0070C0"/>
          <w:sz w:val="16"/>
          <w:szCs w:val="16"/>
        </w:rPr>
        <w:t>ж</w:t>
      </w:r>
      <w:r w:rsidRPr="00815ED5">
        <w:rPr>
          <w:rFonts w:ascii="Times New Roman" w:hAnsi="Times New Roman" w:cs="Times New Roman"/>
          <w:color w:val="0070C0"/>
          <w:sz w:val="16"/>
          <w:szCs w:val="16"/>
        </w:rPr>
        <w:t>дународного пролетариата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К приглашению</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была </w:t>
      </w:r>
      <w:r>
        <w:rPr>
          <w:rFonts w:ascii="Times New Roman" w:hAnsi="Times New Roman" w:cs="Times New Roman"/>
          <w:color w:val="0070C0"/>
          <w:sz w:val="16"/>
          <w:szCs w:val="16"/>
        </w:rPr>
        <w:t>п</w:t>
      </w:r>
      <w:r w:rsidRPr="00815ED5">
        <w:rPr>
          <w:rFonts w:ascii="Times New Roman" w:hAnsi="Times New Roman" w:cs="Times New Roman"/>
          <w:color w:val="0070C0"/>
          <w:sz w:val="16"/>
          <w:szCs w:val="16"/>
        </w:rPr>
        <w:t>ри</w:t>
      </w:r>
      <w:r>
        <w:rPr>
          <w:rFonts w:ascii="Times New Roman" w:hAnsi="Times New Roman" w:cs="Times New Roman"/>
          <w:color w:val="0070C0"/>
          <w:sz w:val="16"/>
          <w:szCs w:val="16"/>
        </w:rPr>
        <w:t>л</w:t>
      </w:r>
      <w:r w:rsidRPr="00815ED5">
        <w:rPr>
          <w:rFonts w:ascii="Times New Roman" w:hAnsi="Times New Roman" w:cs="Times New Roman"/>
          <w:color w:val="0070C0"/>
          <w:sz w:val="16"/>
          <w:szCs w:val="16"/>
        </w:rPr>
        <w:t>ож</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иа программа праздника.</w:t>
      </w:r>
    </w:p>
    <w:p w14:paraId="3EA17470" w14:textId="77777777" w:rsidR="00A2630F" w:rsidRPr="00815ED5" w:rsidRDefault="00A2630F"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/ЦГВИА, ф. 2003, д. 650, л. 58/ (23320).</w:t>
      </w:r>
    </w:p>
    <w:p w14:paraId="52FCB4C5" w14:textId="77777777" w:rsidR="00A2630F" w:rsidRDefault="00A2630F" w:rsidP="0083075A">
      <w:pPr>
        <w:spacing w:after="0" w:line="240" w:lineRule="auto"/>
        <w:jc w:val="both"/>
        <w:rPr>
          <w:rFonts w:ascii="Times New Roman" w:hAnsi="Times New Roman" w:cs="Times New Roman"/>
          <w:color w:val="0070C0"/>
          <w:sz w:val="16"/>
          <w:szCs w:val="16"/>
        </w:rPr>
      </w:pPr>
    </w:p>
    <w:p w14:paraId="451306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апреля 1917 г. приказом Ге</w:t>
      </w:r>
      <w:r w:rsidRPr="002F2FDF">
        <w:rPr>
          <w:rFonts w:ascii="Times New Roman" w:hAnsi="Times New Roman" w:cs="Times New Roman"/>
          <w:color w:val="000000" w:themeColor="text1"/>
          <w:kern w:val="2"/>
          <w:sz w:val="16"/>
          <w:szCs w:val="16"/>
        </w:rPr>
        <w:softHyphen/>
        <w:t>нерал-квартирмейстера ЮЗФ Казакова утвердили в должности коман</w:t>
      </w:r>
      <w:r w:rsidRPr="002F2FDF">
        <w:rPr>
          <w:rFonts w:ascii="Times New Roman" w:hAnsi="Times New Roman" w:cs="Times New Roman"/>
          <w:color w:val="000000" w:themeColor="text1"/>
          <w:kern w:val="2"/>
          <w:sz w:val="16"/>
          <w:szCs w:val="16"/>
        </w:rPr>
        <w:softHyphen/>
        <w:t>дира 1 -и БАГ. В тот же день стало из</w:t>
      </w:r>
      <w:r w:rsidRPr="002F2FDF">
        <w:rPr>
          <w:rFonts w:ascii="Times New Roman" w:hAnsi="Times New Roman" w:cs="Times New Roman"/>
          <w:color w:val="000000" w:themeColor="text1"/>
          <w:kern w:val="2"/>
          <w:sz w:val="16"/>
          <w:szCs w:val="16"/>
        </w:rPr>
        <w:softHyphen/>
        <w:t>вестно, что авиагруппа будет усиле</w:t>
      </w:r>
      <w:r w:rsidRPr="002F2FDF">
        <w:rPr>
          <w:rFonts w:ascii="Times New Roman" w:hAnsi="Times New Roman" w:cs="Times New Roman"/>
          <w:color w:val="000000" w:themeColor="text1"/>
          <w:kern w:val="2"/>
          <w:sz w:val="16"/>
          <w:szCs w:val="16"/>
        </w:rPr>
        <w:softHyphen/>
        <w:t>на 8-м авиаотрядом истребителей. Отряд пробыл в составе группы до конца мая, однако ничем особенным не отличился: потерял в бою одного летчика и не одержал ни одной победы (3954).</w:t>
      </w:r>
    </w:p>
    <w:p w14:paraId="05F4F8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E415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апреля 1917 было принято Временное положение о создании милиции (Красной гвардии) при местных органах власти (3908,256).</w:t>
      </w:r>
    </w:p>
    <w:p w14:paraId="461E70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E16886" w14:textId="5830502E" w:rsidR="00CE28D1" w:rsidRPr="00FB4F67" w:rsidRDefault="00CE28D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17 (</w:t>
      </w:r>
      <w:r w:rsidRPr="00FB4F67">
        <w:rPr>
          <w:rFonts w:ascii="Times New Roman" w:hAnsi="Times New Roman" w:cs="Times New Roman"/>
          <w:color w:val="0070C0"/>
          <w:sz w:val="16"/>
          <w:szCs w:val="16"/>
        </w:rPr>
        <w:t>30</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апреля 1917 г. в Петрограде депутат Временного правительства Павел Милюков заявил о намерении правительства продолжать войну, стремясь получить дополнительную финансовую и военную помощь от Франции и Великобритании (23525).</w:t>
      </w:r>
    </w:p>
    <w:p w14:paraId="01739EFF" w14:textId="77777777" w:rsidR="00CE28D1" w:rsidRPr="00FB4F67" w:rsidRDefault="00CE28D1" w:rsidP="0083075A">
      <w:pPr>
        <w:spacing w:after="0" w:line="240" w:lineRule="auto"/>
        <w:jc w:val="both"/>
        <w:rPr>
          <w:rFonts w:ascii="Times New Roman" w:hAnsi="Times New Roman" w:cs="Times New Roman"/>
          <w:color w:val="0070C0"/>
          <w:sz w:val="16"/>
          <w:szCs w:val="16"/>
        </w:rPr>
      </w:pPr>
    </w:p>
    <w:p w14:paraId="18C7C16C" w14:textId="77777777" w:rsidR="00093696"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42541896" w14:textId="77777777" w:rsidR="00093696" w:rsidRPr="002F2FDF" w:rsidRDefault="0009369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400FDB" w14:textId="77777777" w:rsidR="00093696" w:rsidRPr="002F2FDF" w:rsidRDefault="00093696"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17 (30) апреля 1917 г. </w:t>
      </w:r>
      <w:r w:rsidRPr="002F2FDF">
        <w:rPr>
          <w:rFonts w:ascii="Times New Roman" w:hAnsi="Times New Roman" w:cs="Times New Roman"/>
          <w:color w:val="000000" w:themeColor="text1"/>
          <w:kern w:val="2"/>
          <w:sz w:val="16"/>
          <w:szCs w:val="16"/>
        </w:rPr>
        <w:t>Телеграмма ген. Э.К. Гермониуса ген. А.А. Маниковскому о нарушении английским правительством условий финансовых соглашений с Россией.</w:t>
      </w:r>
    </w:p>
    <w:p w14:paraId="47AD0479" w14:textId="4B4E6680" w:rsidR="00093696" w:rsidRPr="002F2FDF" w:rsidRDefault="0009369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538-539</w:t>
      </w:r>
    </w:p>
    <w:p w14:paraId="53916D79" w14:textId="522220C7" w:rsidR="00093696" w:rsidRPr="002F2FDF" w:rsidRDefault="0009369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ЦГВИА, ф. 2000, оп. 1, д. 6120, лл. 249—250. Заверенная копия.</w:t>
      </w:r>
    </w:p>
    <w:p w14:paraId="0D219ACB" w14:textId="77777777" w:rsidR="00093696" w:rsidRPr="002F2FDF" w:rsidRDefault="00093696" w:rsidP="0083075A">
      <w:pPr>
        <w:pStyle w:val="rtejustify"/>
        <w:spacing w:before="0" w:after="0"/>
        <w:rPr>
          <w:color w:val="000000" w:themeColor="text1"/>
          <w:kern w:val="2"/>
          <w:sz w:val="16"/>
          <w:szCs w:val="16"/>
        </w:rPr>
      </w:pPr>
      <w:r w:rsidRPr="002F2FDF">
        <w:rPr>
          <w:color w:val="000000" w:themeColor="text1"/>
          <w:kern w:val="2"/>
          <w:sz w:val="16"/>
          <w:szCs w:val="16"/>
        </w:rPr>
        <w:t>Сейчас вместе с полк. Беляевым были у лорда Мильнера по следующим четырем вопросам.</w:t>
      </w:r>
    </w:p>
    <w:p w14:paraId="5D3C1D6F" w14:textId="77777777" w:rsidR="00093696" w:rsidRPr="002F2FDF" w:rsidRDefault="00093696" w:rsidP="0083075A">
      <w:pPr>
        <w:pStyle w:val="rtejustify"/>
        <w:spacing w:before="0" w:after="0"/>
        <w:rPr>
          <w:color w:val="000000" w:themeColor="text1"/>
          <w:kern w:val="2"/>
          <w:sz w:val="16"/>
          <w:szCs w:val="16"/>
        </w:rPr>
      </w:pPr>
      <w:r w:rsidRPr="002F2FDF">
        <w:rPr>
          <w:color w:val="000000" w:themeColor="text1"/>
          <w:kern w:val="2"/>
          <w:sz w:val="16"/>
          <w:szCs w:val="16"/>
        </w:rPr>
        <w:t>1. По телеграмме 69832</w:t>
      </w:r>
      <w:hyperlink r:id="rId136" w:anchor="_ftn2" w:history="1">
        <w:r w:rsidRPr="002F2FDF">
          <w:rPr>
            <w:rStyle w:val="a5"/>
            <w:color w:val="000000" w:themeColor="text1"/>
            <w:kern w:val="2"/>
            <w:sz w:val="16"/>
            <w:szCs w:val="16"/>
          </w:rPr>
          <w:t>[2]</w:t>
        </w:r>
      </w:hyperlink>
      <w:r w:rsidRPr="002F2FDF">
        <w:rPr>
          <w:color w:val="000000" w:themeColor="text1"/>
          <w:kern w:val="2"/>
          <w:sz w:val="16"/>
          <w:szCs w:val="16"/>
        </w:rPr>
        <w:t xml:space="preserve"> о заказе в Америке не 1100 тыс. ружей, а 3 млн. ружей; лорд Мильнер обещал немедленно телеграфировать в Америку о согласии английского правительства на заказ 3 млн. ружей.</w:t>
      </w:r>
    </w:p>
    <w:p w14:paraId="6642144C" w14:textId="77777777" w:rsidR="00093696" w:rsidRPr="002F2FDF" w:rsidRDefault="00093696" w:rsidP="0083075A">
      <w:pPr>
        <w:pStyle w:val="rtejustify"/>
        <w:spacing w:before="0" w:after="0"/>
        <w:rPr>
          <w:color w:val="000000" w:themeColor="text1"/>
          <w:kern w:val="2"/>
          <w:sz w:val="16"/>
          <w:szCs w:val="16"/>
        </w:rPr>
      </w:pPr>
      <w:r w:rsidRPr="002F2FDF">
        <w:rPr>
          <w:color w:val="000000" w:themeColor="text1"/>
          <w:kern w:val="2"/>
          <w:sz w:val="16"/>
          <w:szCs w:val="16"/>
        </w:rPr>
        <w:t>2. По вопросу о тоннаже я сообщил о различии толкования тоннажного вопроса комиссией Мильнера и РУССКО и, считая необходимым столковаться, просил дать возможность Остроградскому сделать доклад членам комиссии Мильнера о нашей точки зрения; согласие последовало. После доклада результаты телеграфирую.</w:t>
      </w:r>
    </w:p>
    <w:p w14:paraId="101193CF" w14:textId="77777777" w:rsidR="00093696" w:rsidRPr="002F2FDF" w:rsidRDefault="00093696" w:rsidP="0083075A">
      <w:pPr>
        <w:pStyle w:val="rtejustify"/>
        <w:spacing w:before="0" w:after="0"/>
        <w:rPr>
          <w:color w:val="000000" w:themeColor="text1"/>
          <w:kern w:val="2"/>
          <w:sz w:val="16"/>
          <w:szCs w:val="16"/>
        </w:rPr>
      </w:pPr>
      <w:r w:rsidRPr="002F2FDF">
        <w:rPr>
          <w:color w:val="000000" w:themeColor="text1"/>
          <w:kern w:val="2"/>
          <w:sz w:val="16"/>
          <w:szCs w:val="16"/>
        </w:rPr>
        <w:t>3) Вследствие такого же коренного различия в толковании вопроса о заказе станков я просил дать возможность нашему инженеру Гаврилову сделать доклад о станках и до того времени прекратить приостановку исполнения наших заказов и конфискацию уже изготовленных станков. Согласие последовало.</w:t>
      </w:r>
    </w:p>
    <w:p w14:paraId="0D602AC5" w14:textId="77777777" w:rsidR="00093696" w:rsidRPr="002F2FDF" w:rsidRDefault="00093696" w:rsidP="0083075A">
      <w:pPr>
        <w:pStyle w:val="rtejustify"/>
        <w:spacing w:before="0" w:after="0"/>
        <w:rPr>
          <w:color w:val="000000" w:themeColor="text1"/>
          <w:kern w:val="2"/>
          <w:sz w:val="16"/>
          <w:szCs w:val="16"/>
        </w:rPr>
      </w:pPr>
      <w:r w:rsidRPr="002F2FDF">
        <w:rPr>
          <w:color w:val="000000" w:themeColor="text1"/>
          <w:kern w:val="2"/>
          <w:sz w:val="16"/>
          <w:szCs w:val="16"/>
        </w:rPr>
        <w:t>4) Мною сообщено, что за последние несколько месяцев английское казначейство при решении частных вопросов о кредитах на наши заказы входило в обсуждение существа заказов и брало на себя решение вопросов о том, что нам нужнее из числа требуемых заказов, когда сумма стоимости заказов или тоннаж превышали предоставляемый, нам кредит или тоннаж. То же продолжается и в настоящее время, между тем но смыслу финансовых соглашений английское правительство должно лишь ограничиваться сообщением, имеется ли кредит или нет. Далее я сказал, что, будучи уполномоченным русского правительства, я желал бы знать, имеет ли английское правительство полномочие на решение подобных дел и не даны ли лорду Мильнеру такие полномочия на Петроградской конференции. Хотя я и не сомневаюсь в ответе, но вопрос я все же поставил, чтобы подчеркнуть нелояльность английского правительства в этом деле. Мильнер ответил, что никаких полномочий он не имеет и спросил у присутствовавших при беседе сэра Вальбора Симса и ген. Кальвеля, имеют ли они какие сведения на этот счет, на что оба ответили отрицательно. Тогда лорд Мильнер сказал, что трудно не дать возможности английскому казначейству входить в рассмотрение существа заказов при нынешнем безденежье, но что комитет лорда Мильнера для того и основан, чтоб казначейство не решало этих вопросов единолично. Затем Мильнер прибавил, что при всяких разногласиях о том или ином заказе, когда есть деньги и есть тоннаж, решающее, последнее слово принадлежит русскому правительству. Я ответил, что только на этом я и настаиваю. На этом деловая беседа закончилась. Доношу, что, по имеющимся у меня сведениям, на конференции в Петрограде в комиссии Мильнера постановлено, что ген. Пуль должен взять на себя решение некоторых важных вопросов по нашим заказам, по транспорту и прочее, считая, что мы не сможем сами справиться с этими делами. Очень важно не дать осуществиться этому предположению. № 10078.</w:t>
      </w:r>
    </w:p>
    <w:p w14:paraId="3D556E61" w14:textId="77777777" w:rsidR="00093696" w:rsidRPr="002F2FDF" w:rsidRDefault="00093696" w:rsidP="0083075A">
      <w:pPr>
        <w:pStyle w:val="ae"/>
        <w:spacing w:before="0" w:after="0"/>
        <w:jc w:val="both"/>
        <w:rPr>
          <w:color w:val="000000" w:themeColor="text1"/>
          <w:kern w:val="2"/>
          <w:sz w:val="16"/>
          <w:szCs w:val="16"/>
        </w:rPr>
      </w:pPr>
      <w:r w:rsidRPr="002F2FDF">
        <w:rPr>
          <w:color w:val="000000" w:themeColor="text1"/>
          <w:kern w:val="2"/>
          <w:sz w:val="16"/>
          <w:szCs w:val="16"/>
        </w:rPr>
        <w:t>Гермониус.</w:t>
      </w:r>
    </w:p>
    <w:p w14:paraId="11785C87" w14:textId="77777777" w:rsidR="00093696" w:rsidRPr="002F2FDF" w:rsidRDefault="00000000" w:rsidP="0083075A">
      <w:pPr>
        <w:pStyle w:val="ae"/>
        <w:spacing w:before="0" w:after="0"/>
        <w:jc w:val="both"/>
        <w:rPr>
          <w:color w:val="000000" w:themeColor="text1"/>
          <w:kern w:val="2"/>
          <w:sz w:val="16"/>
          <w:szCs w:val="16"/>
        </w:rPr>
      </w:pPr>
      <w:hyperlink r:id="rId137" w:anchor="_ftnref1" w:history="1">
        <w:r w:rsidR="00093696" w:rsidRPr="002F2FDF">
          <w:rPr>
            <w:rStyle w:val="a5"/>
            <w:color w:val="000000" w:themeColor="text1"/>
            <w:kern w:val="2"/>
            <w:sz w:val="16"/>
            <w:szCs w:val="16"/>
          </w:rPr>
          <w:t>[1]</w:t>
        </w:r>
      </w:hyperlink>
      <w:r w:rsidR="00093696" w:rsidRPr="002F2FDF">
        <w:rPr>
          <w:color w:val="000000" w:themeColor="text1"/>
          <w:kern w:val="2"/>
          <w:sz w:val="16"/>
          <w:szCs w:val="16"/>
        </w:rPr>
        <w:t xml:space="preserve"> Датируется по дате получения.</w:t>
      </w:r>
    </w:p>
    <w:p w14:paraId="51825FFD" w14:textId="77777777" w:rsidR="00093696" w:rsidRPr="002F2FDF" w:rsidRDefault="00000000" w:rsidP="0083075A">
      <w:pPr>
        <w:pStyle w:val="ae"/>
        <w:spacing w:before="0" w:after="0"/>
        <w:jc w:val="both"/>
        <w:rPr>
          <w:color w:val="000000" w:themeColor="text1"/>
          <w:kern w:val="2"/>
          <w:sz w:val="16"/>
          <w:szCs w:val="16"/>
        </w:rPr>
      </w:pPr>
      <w:hyperlink r:id="rId138" w:anchor="_ftnref2" w:history="1">
        <w:r w:rsidR="00093696" w:rsidRPr="002F2FDF">
          <w:rPr>
            <w:rStyle w:val="a5"/>
            <w:color w:val="000000" w:themeColor="text1"/>
            <w:kern w:val="2"/>
            <w:sz w:val="16"/>
            <w:szCs w:val="16"/>
          </w:rPr>
          <w:t>[2]</w:t>
        </w:r>
      </w:hyperlink>
      <w:r w:rsidR="00093696" w:rsidRPr="002F2FDF">
        <w:rPr>
          <w:color w:val="000000" w:themeColor="text1"/>
          <w:kern w:val="2"/>
          <w:sz w:val="16"/>
          <w:szCs w:val="16"/>
        </w:rPr>
        <w:t xml:space="preserve"> См. в том же деле, л. 250 (15185).</w:t>
      </w:r>
    </w:p>
    <w:p w14:paraId="11A9488D" w14:textId="77777777" w:rsidR="00093696" w:rsidRPr="002F2FDF" w:rsidRDefault="00093696"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2651025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CD2C7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0EA577" w14:textId="77777777" w:rsidR="00D574B0" w:rsidRPr="002F2FDF" w:rsidRDefault="00D574B0"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17 (30) апреля 1917 г. тяжелый бомбардировщик DFW R I после завершения официальных испытаний завершил перелет из Доберица (западнее Берлина) через Кенигсберг на аэродром отряда тяжелых самолетов Rfa 500 Альт-Ауц в Восточной Пруссии. Фирма гарантировала, что самолет DFW R I после выработки части топлива и сброса бомб может лететь на крейсерской скорости на двух двигателях, что экономило ресурс силовой установки и бензин. Но при остановке моторов, работавших на тянущие винты, самолет задирал нос и проявлял стремление сорваться в штопор, а на трех моторах приходилось держать отклоненными рули направления, что было физически тяжело. В одном из тренировочных полетов «гигант» потерпел аварию, и его поставили в ремонт, который к чести фирмы ее бригада сделала сравнительно быстро и уже в мае машина была снова в строю (23077).</w:t>
      </w:r>
    </w:p>
    <w:p w14:paraId="16EEAD2F" w14:textId="77777777" w:rsidR="00D574B0" w:rsidRPr="002F2FDF" w:rsidRDefault="00D574B0" w:rsidP="0083075A">
      <w:pPr>
        <w:shd w:val="clear" w:color="auto" w:fill="FFFFFF"/>
        <w:spacing w:after="0" w:line="240" w:lineRule="auto"/>
        <w:jc w:val="both"/>
        <w:rPr>
          <w:rFonts w:ascii="Times New Roman" w:hAnsi="Times New Roman" w:cs="Times New Roman"/>
          <w:color w:val="000000" w:themeColor="text1"/>
          <w:sz w:val="16"/>
          <w:szCs w:val="16"/>
        </w:rPr>
      </w:pPr>
    </w:p>
    <w:p w14:paraId="0D292238" w14:textId="77777777" w:rsidR="000834C9" w:rsidRPr="002F2FDF" w:rsidRDefault="000834C9" w:rsidP="0083075A">
      <w:pPr>
        <w:pStyle w:val="ae"/>
        <w:spacing w:before="0" w:after="0"/>
        <w:jc w:val="both"/>
        <w:rPr>
          <w:color w:val="000000" w:themeColor="text1"/>
          <w:kern w:val="2"/>
          <w:sz w:val="16"/>
          <w:szCs w:val="16"/>
        </w:rPr>
      </w:pPr>
      <w:r w:rsidRPr="002F2FDF">
        <w:rPr>
          <w:color w:val="000000" w:themeColor="text1"/>
          <w:kern w:val="2"/>
          <w:sz w:val="16"/>
          <w:szCs w:val="16"/>
        </w:rPr>
        <w:t>17 (30) апреля 1917 на совещании командующих армиями союзников генерал Хейг сообщил, что у него мало надежд на успех наступления французов, но заявил о решимости продолжить наступление британских частей, «чтобы методично продвигаться вперед» до достижения хорошего оборонительного рубежа. В итоге бои на отдельных участках наступления продолжались до 9 мая. Но полный провал планов генерала Нивеля был уже очевиден. «Французское наступление [начавшееся] 16 апреля на реке Эн, введением к которому послужила атака [англичан] у Арраса, оказалось еще более тяжелой катастрофой [по сравнению с английскими атаками], уничтожившей легкомысленные надежды и предсказания Нивеля и в своих развалинах похоронившей его карьеру», — отметил историк Гарт.</w:t>
      </w:r>
    </w:p>
    <w:p w14:paraId="7E12824D" w14:textId="77777777" w:rsidR="000834C9" w:rsidRPr="002F2FDF" w:rsidRDefault="000834C9" w:rsidP="0083075A">
      <w:pPr>
        <w:pStyle w:val="ae"/>
        <w:spacing w:before="0" w:after="0"/>
        <w:jc w:val="both"/>
        <w:rPr>
          <w:color w:val="000000" w:themeColor="text1"/>
          <w:kern w:val="2"/>
          <w:sz w:val="16"/>
          <w:szCs w:val="16"/>
        </w:rPr>
      </w:pPr>
      <w:r w:rsidRPr="002F2FDF">
        <w:rPr>
          <w:color w:val="000000" w:themeColor="text1"/>
          <w:kern w:val="2"/>
          <w:sz w:val="16"/>
          <w:szCs w:val="16"/>
        </w:rPr>
        <w:t>Тяжелые потери в эти дни также понесли на западном фронте и английские летчики — в историю Королевских ВВС те события вошли как «кровавый апрель». В течение месяца англичане потеряли более 300 самолетов, 211 пилотов и других членов летного состава погибли или пропало без вести, 108 попали в плен. Только германская эскадрилья «Jasta 11» под командованием Манфреда Рихтгофена, самого именитого немецкого аса Первой мировой, сообщила о 89 победах (около 20 из них были на счету самого Рихтгофена). Германская авиация за этот же период потеряла только 66 самолетов (17045).</w:t>
      </w:r>
    </w:p>
    <w:p w14:paraId="271DBA83" w14:textId="77777777" w:rsidR="000834C9" w:rsidRPr="002F2FDF" w:rsidRDefault="000834C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88F4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апреля 1917 Ллойд-Джордж отдал распоряжение военно-морскому министерству организовать полное боевое охранение торговых судов (3907,90).</w:t>
      </w:r>
    </w:p>
    <w:p w14:paraId="332631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34A2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апреля 1917 м William (Billy) Mitchell стал первым, американцем, совершающим полеты над германскими окопами (2253).</w:t>
      </w:r>
    </w:p>
    <w:p w14:paraId="0D3BAC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4B9679" w14:textId="77777777" w:rsidR="005505D2" w:rsidRPr="002F2FDF" w:rsidRDefault="005505D2" w:rsidP="0083075A">
      <w:pPr>
        <w:spacing w:after="0" w:line="240" w:lineRule="auto"/>
        <w:jc w:val="both"/>
        <w:rPr>
          <w:rFonts w:ascii="Times New Roman" w:hAnsi="Times New Roman" w:cs="Times New Roman"/>
          <w:color w:val="000000" w:themeColor="text1"/>
          <w:kern w:val="2"/>
          <w:sz w:val="16"/>
          <w:szCs w:val="16"/>
          <w:u w:color="002060"/>
        </w:rPr>
      </w:pPr>
      <w:r w:rsidRPr="002F2FDF">
        <w:rPr>
          <w:rFonts w:ascii="Times New Roman" w:hAnsi="Times New Roman" w:cs="Times New Roman"/>
          <w:color w:val="000000" w:themeColor="text1"/>
          <w:kern w:val="2"/>
          <w:sz w:val="16"/>
          <w:szCs w:val="16"/>
          <w:u w:color="002060"/>
        </w:rPr>
        <w:t>17 (30) апреля 1917 г. первое шасси немецкого танка подготовили для демонстрации Возникшие в ходе показа поломки ходовой части породили сомнения в пригодности предлагаемой конструкции в качестве основы для танка. Тем не менее 17 мая 1917 г. шасси с устраненными неисправностями и смонтированным на нем деревянным макетом броневого корпуса было представлено на испытания. Положительные результаты испытаний позволили комиссии подтвердить выданный ранее заказ на 100 машин и рекомендовать срочно сформировать два отделения по десять танков в каждом (12148).</w:t>
      </w:r>
    </w:p>
    <w:p w14:paraId="7FD87286" w14:textId="77777777" w:rsidR="005505D2" w:rsidRPr="002F2FDF" w:rsidRDefault="005505D2" w:rsidP="0083075A">
      <w:pPr>
        <w:spacing w:after="0" w:line="240" w:lineRule="auto"/>
        <w:jc w:val="both"/>
        <w:rPr>
          <w:rFonts w:ascii="Times New Roman" w:hAnsi="Times New Roman" w:cs="Times New Roman"/>
          <w:color w:val="000000" w:themeColor="text1"/>
          <w:kern w:val="2"/>
          <w:sz w:val="16"/>
          <w:szCs w:val="16"/>
          <w:u w:color="002060"/>
        </w:rPr>
      </w:pPr>
    </w:p>
    <w:p w14:paraId="2DAE855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B3DAA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CB78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апреля (1 мая) 1917 подпоручик Эрдели докладывал о том, что в предыдущем году изготовленные на Петроградской стороне на Гребецкой улице аэропланы достаточно быстро собирались и испытывались на Крестовском острове. Теперь же рабочие сначала демонтирова</w:t>
      </w:r>
      <w:r w:rsidRPr="002F2FDF">
        <w:rPr>
          <w:rFonts w:ascii="Times New Roman" w:hAnsi="Times New Roman" w:cs="Times New Roman"/>
          <w:color w:val="000000" w:themeColor="text1"/>
          <w:kern w:val="2"/>
          <w:sz w:val="16"/>
          <w:szCs w:val="16"/>
        </w:rPr>
        <w:softHyphen/>
        <w:t>ли летающие лодки на Комендантском аэродроме, затем доставляли их на Крестовский, там снова соби</w:t>
      </w:r>
      <w:r w:rsidRPr="002F2FDF">
        <w:rPr>
          <w:rFonts w:ascii="Times New Roman" w:hAnsi="Times New Roman" w:cs="Times New Roman"/>
          <w:color w:val="000000" w:themeColor="text1"/>
          <w:kern w:val="2"/>
          <w:sz w:val="16"/>
          <w:szCs w:val="16"/>
        </w:rPr>
        <w:softHyphen/>
        <w:t>рали, готовили к полетам, сдавали заказчику в ходе испытаний в воздухе, снова разбирали и везли обратно на Комендантский. Там принятые флотом машины упаковывались в ящики, грузились на плат</w:t>
      </w:r>
      <w:r w:rsidRPr="002F2FDF">
        <w:rPr>
          <w:rFonts w:ascii="Times New Roman" w:hAnsi="Times New Roman" w:cs="Times New Roman"/>
          <w:color w:val="000000" w:themeColor="text1"/>
          <w:kern w:val="2"/>
          <w:sz w:val="16"/>
          <w:szCs w:val="16"/>
        </w:rPr>
        <w:softHyphen/>
        <w:t xml:space="preserve">формы и отправлялись по окружной дороге на вокзал, где начинался их путь к морю. Все вместе, в зависимости от погоды, занимало от 10 до 12 дней, и дабы ускорить процесс, наблюдающий офицер предложил посылать аппараты в авиаотряды без предварительных сдаточных опытов, опробуя лишь моторы. Он аргументировал свой план тем, что все части летающих лодок производились по шаблонам, многие штамповались, а потому гидроаэропланы выходили со стапелей почти идентичными, отличаясь только характеристиками своих силовых установок. </w:t>
      </w:r>
      <w:r w:rsidRPr="002F2FDF">
        <w:rPr>
          <w:rFonts w:ascii="Times New Roman" w:hAnsi="Times New Roman" w:cs="Times New Roman"/>
          <w:color w:val="000000" w:themeColor="text1"/>
          <w:kern w:val="2"/>
          <w:sz w:val="16"/>
          <w:szCs w:val="16"/>
        </w:rPr>
        <w:lastRenderedPageBreak/>
        <w:t>Вследствие этого было достаточно проверять по полной программе лишь двигатели и 1 аппарат из каждых 10 построенных. Командование воздушных дивизий, заинтересованное в быстрейшем прибытии новой техники, поддержало идею Эрдели, но прика</w:t>
      </w:r>
      <w:r w:rsidRPr="002F2FDF">
        <w:rPr>
          <w:rFonts w:ascii="Times New Roman" w:hAnsi="Times New Roman" w:cs="Times New Roman"/>
          <w:color w:val="000000" w:themeColor="text1"/>
          <w:kern w:val="2"/>
          <w:sz w:val="16"/>
          <w:szCs w:val="16"/>
        </w:rPr>
        <w:softHyphen/>
        <w:t>зало опробовать всякий самолет по доставлении его в часть и, в случае каких-либо неполадок, недора</w:t>
      </w:r>
      <w:r w:rsidRPr="002F2FDF">
        <w:rPr>
          <w:rFonts w:ascii="Times New Roman" w:hAnsi="Times New Roman" w:cs="Times New Roman"/>
          <w:color w:val="000000" w:themeColor="text1"/>
          <w:kern w:val="2"/>
          <w:sz w:val="16"/>
          <w:szCs w:val="16"/>
        </w:rPr>
        <w:softHyphen/>
        <w:t>зумений или сомнений, требовать от завода официальной сдачи дефектной машины на месте, то есть в Ревеле, Або или Севастополе. Второго мая 1917 г. МГШ сообщил об этом в Главное управление кораб</w:t>
      </w:r>
      <w:r w:rsidRPr="002F2FDF">
        <w:rPr>
          <w:rFonts w:ascii="Times New Roman" w:hAnsi="Times New Roman" w:cs="Times New Roman"/>
          <w:color w:val="000000" w:themeColor="text1"/>
          <w:kern w:val="2"/>
          <w:sz w:val="16"/>
          <w:szCs w:val="16"/>
        </w:rPr>
        <w:softHyphen/>
        <w:t>лестроения (ГУК) (2807).</w:t>
      </w:r>
    </w:p>
    <w:p w14:paraId="43E5A1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6B7D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апреля (1 мая) 1917 г., когда черноморцы излагали свои претензии и предло</w:t>
      </w:r>
      <w:r w:rsidRPr="002F2FDF">
        <w:rPr>
          <w:rFonts w:ascii="Times New Roman" w:hAnsi="Times New Roman" w:cs="Times New Roman"/>
          <w:color w:val="000000" w:themeColor="text1"/>
          <w:kern w:val="2"/>
          <w:sz w:val="16"/>
          <w:szCs w:val="16"/>
        </w:rPr>
        <w:softHyphen/>
        <w:t>жения, наблюдающий за выпуском самолётов подпоручик Эрдели пред</w:t>
      </w:r>
      <w:r w:rsidRPr="002F2FDF">
        <w:rPr>
          <w:rFonts w:ascii="Times New Roman" w:hAnsi="Times New Roman" w:cs="Times New Roman"/>
          <w:color w:val="000000" w:themeColor="text1"/>
          <w:kern w:val="2"/>
          <w:sz w:val="16"/>
          <w:szCs w:val="16"/>
        </w:rPr>
        <w:softHyphen/>
        <w:t>ложил отправлять самолёты в час</w:t>
      </w:r>
      <w:r w:rsidRPr="002F2FDF">
        <w:rPr>
          <w:rFonts w:ascii="Times New Roman" w:hAnsi="Times New Roman" w:cs="Times New Roman"/>
          <w:color w:val="000000" w:themeColor="text1"/>
          <w:kern w:val="2"/>
          <w:sz w:val="16"/>
          <w:szCs w:val="16"/>
        </w:rPr>
        <w:softHyphen/>
        <w:t>ти без испытаний, опробуя лишь моторы. Он аргументировал свой план следующим: «все части лета</w:t>
      </w:r>
      <w:r w:rsidRPr="002F2FDF">
        <w:rPr>
          <w:rFonts w:ascii="Times New Roman" w:hAnsi="Times New Roman" w:cs="Times New Roman"/>
          <w:color w:val="000000" w:themeColor="text1"/>
          <w:kern w:val="2"/>
          <w:sz w:val="16"/>
          <w:szCs w:val="16"/>
        </w:rPr>
        <w:softHyphen/>
        <w:t>ющих лодок производились по шаб</w:t>
      </w:r>
      <w:r w:rsidRPr="002F2FDF">
        <w:rPr>
          <w:rFonts w:ascii="Times New Roman" w:hAnsi="Times New Roman" w:cs="Times New Roman"/>
          <w:color w:val="000000" w:themeColor="text1"/>
          <w:kern w:val="2"/>
          <w:sz w:val="16"/>
          <w:szCs w:val="16"/>
        </w:rPr>
        <w:softHyphen/>
        <w:t>лонам, многие штамповались, а потому гидроаэропланы выходили со стапелей почти идентичными, отличаясь только характеристика</w:t>
      </w:r>
      <w:r w:rsidRPr="002F2FDF">
        <w:rPr>
          <w:rFonts w:ascii="Times New Roman" w:hAnsi="Times New Roman" w:cs="Times New Roman"/>
          <w:color w:val="000000" w:themeColor="text1"/>
          <w:kern w:val="2"/>
          <w:sz w:val="16"/>
          <w:szCs w:val="16"/>
        </w:rPr>
        <w:softHyphen/>
        <w:t>ми своих силовых установок. Вслед</w:t>
      </w:r>
      <w:r w:rsidRPr="002F2FDF">
        <w:rPr>
          <w:rFonts w:ascii="Times New Roman" w:hAnsi="Times New Roman" w:cs="Times New Roman"/>
          <w:color w:val="000000" w:themeColor="text1"/>
          <w:kern w:val="2"/>
          <w:sz w:val="16"/>
          <w:szCs w:val="16"/>
        </w:rPr>
        <w:softHyphen/>
        <w:t>ствие этого было достаточно про</w:t>
      </w:r>
      <w:r w:rsidRPr="002F2FDF">
        <w:rPr>
          <w:rFonts w:ascii="Times New Roman" w:hAnsi="Times New Roman" w:cs="Times New Roman"/>
          <w:color w:val="000000" w:themeColor="text1"/>
          <w:kern w:val="2"/>
          <w:sz w:val="16"/>
          <w:szCs w:val="16"/>
        </w:rPr>
        <w:softHyphen/>
        <w:t>верять по полной программе лишь двигатели и один аппарат из каж</w:t>
      </w:r>
      <w:r w:rsidRPr="002F2FDF">
        <w:rPr>
          <w:rFonts w:ascii="Times New Roman" w:hAnsi="Times New Roman" w:cs="Times New Roman"/>
          <w:color w:val="000000" w:themeColor="text1"/>
          <w:kern w:val="2"/>
          <w:sz w:val="16"/>
          <w:szCs w:val="16"/>
        </w:rPr>
        <w:softHyphen/>
        <w:t>дых 10 построенных». Безусловно, это справедливо, если имеется вы</w:t>
      </w:r>
      <w:r w:rsidRPr="002F2FDF">
        <w:rPr>
          <w:rFonts w:ascii="Times New Roman" w:hAnsi="Times New Roman" w:cs="Times New Roman"/>
          <w:color w:val="000000" w:themeColor="text1"/>
          <w:kern w:val="2"/>
          <w:sz w:val="16"/>
          <w:szCs w:val="16"/>
        </w:rPr>
        <w:softHyphen/>
        <w:t>сокая культура производства, но как раз этого и не было! Тем не менее, командование воздушных дивизий, заинтересованное в быстрейшем прибытии новой техники, поддержа</w:t>
      </w:r>
      <w:r w:rsidRPr="002F2FDF">
        <w:rPr>
          <w:rFonts w:ascii="Times New Roman" w:hAnsi="Times New Roman" w:cs="Times New Roman"/>
          <w:color w:val="000000" w:themeColor="text1"/>
          <w:kern w:val="2"/>
          <w:sz w:val="16"/>
          <w:szCs w:val="16"/>
        </w:rPr>
        <w:softHyphen/>
        <w:t>ло идею Эрдели, но приказало опробывать всякий самолет по дос</w:t>
      </w:r>
      <w:r w:rsidRPr="002F2FDF">
        <w:rPr>
          <w:rFonts w:ascii="Times New Roman" w:hAnsi="Times New Roman" w:cs="Times New Roman"/>
          <w:color w:val="000000" w:themeColor="text1"/>
          <w:kern w:val="2"/>
          <w:sz w:val="16"/>
          <w:szCs w:val="16"/>
        </w:rPr>
        <w:softHyphen/>
        <w:t>тавлении его в часть, а в случае каких-либо неполадок, недора</w:t>
      </w:r>
      <w:r w:rsidRPr="002F2FDF">
        <w:rPr>
          <w:rFonts w:ascii="Times New Roman" w:hAnsi="Times New Roman" w:cs="Times New Roman"/>
          <w:color w:val="000000" w:themeColor="text1"/>
          <w:kern w:val="2"/>
          <w:sz w:val="16"/>
          <w:szCs w:val="16"/>
        </w:rPr>
        <w:softHyphen/>
        <w:t>зумений или сомнений, требовать от завода официальной сдачи де</w:t>
      </w:r>
      <w:r w:rsidRPr="002F2FDF">
        <w:rPr>
          <w:rFonts w:ascii="Times New Roman" w:hAnsi="Times New Roman" w:cs="Times New Roman"/>
          <w:color w:val="000000" w:themeColor="text1"/>
          <w:kern w:val="2"/>
          <w:sz w:val="16"/>
          <w:szCs w:val="16"/>
        </w:rPr>
        <w:softHyphen/>
        <w:t>фектной машины на месте, то есть в Ревеле, Або или Севастополе. 2 мая 1917 г. Морской генеральный штаб сообщил об этом в Главное управление кораблестроения. Как можно заметить, вопросам качества изготовления достаточного внима</w:t>
      </w:r>
      <w:r w:rsidRPr="002F2FDF">
        <w:rPr>
          <w:rFonts w:ascii="Times New Roman" w:hAnsi="Times New Roman" w:cs="Times New Roman"/>
          <w:color w:val="000000" w:themeColor="text1"/>
          <w:kern w:val="2"/>
          <w:sz w:val="16"/>
          <w:szCs w:val="16"/>
        </w:rPr>
        <w:softHyphen/>
        <w:t>ния не уделялось (11872).</w:t>
      </w:r>
    </w:p>
    <w:p w14:paraId="45ACB5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BDDC82" w14:textId="77777777" w:rsidR="003D6BB9" w:rsidRPr="002F2FDF" w:rsidRDefault="003D6BB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47C12B7C" w14:textId="77777777" w:rsidR="003D6BB9" w:rsidRPr="002F2FDF" w:rsidRDefault="003D6BB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AE2018" w14:textId="77777777" w:rsidR="004F0CD1" w:rsidRPr="002F2FDF" w:rsidRDefault="004F0CD1" w:rsidP="0083075A">
      <w:pPr>
        <w:pStyle w:val="p1"/>
        <w:spacing w:before="0" w:beforeAutospacing="0" w:after="0" w:afterAutospacing="0"/>
        <w:jc w:val="both"/>
        <w:rPr>
          <w:color w:val="000000" w:themeColor="text1"/>
          <w:sz w:val="16"/>
          <w:szCs w:val="16"/>
        </w:rPr>
      </w:pPr>
      <w:r w:rsidRPr="002F2FDF">
        <w:rPr>
          <w:color w:val="000000" w:themeColor="text1"/>
          <w:sz w:val="16"/>
          <w:szCs w:val="16"/>
        </w:rPr>
        <w:t>18 апреля (1 мая) 1917 Временное правительство высказало «сомнения, следует ли вообще ныне продолжать постройку» на Суне, и поручило изучить этот вопрос комиссии Покровского, занимавшейся пересмотром программы сооружения казенных военных заводов. При обсуждении проекта специалисты признали, что в нем намечено использовать схему производства с «небольшими отступлениями от способа, принятого в Норвегии». Горбов и Миткевич дали подробные объяснения предложенной ими конструкции печи. Она была к тому времени испытана в малом и среднем варианте, и, по мнению участников обсуждения, промышленное применение ее, во избежание потерь, должно было быть установлено все-таки в опытном масштабе — «полузавод, чтобы было больше уверенности». Норвежские фирмы не взялись изготовить такую печь, и заказ был передан заводу «Атлас» сроком до 15 ноября 1917 г. Химическая секция постановила «продолжить обследование Онежского завода» (18409).</w:t>
      </w:r>
    </w:p>
    <w:p w14:paraId="2B120FB6" w14:textId="77777777" w:rsidR="004F0CD1" w:rsidRPr="002F2FDF" w:rsidRDefault="004F0CD1" w:rsidP="0083075A">
      <w:pPr>
        <w:pStyle w:val="p1"/>
        <w:spacing w:before="0" w:beforeAutospacing="0" w:after="0" w:afterAutospacing="0"/>
        <w:jc w:val="both"/>
        <w:rPr>
          <w:color w:val="000000" w:themeColor="text1"/>
          <w:sz w:val="16"/>
          <w:szCs w:val="16"/>
        </w:rPr>
      </w:pPr>
    </w:p>
    <w:p w14:paraId="6EF18E8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3F5FA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9068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апреля (1 мая) 1917 Казаков приказом по группе от установил аванпост для на</w:t>
      </w:r>
      <w:r w:rsidRPr="002F2FDF">
        <w:rPr>
          <w:rFonts w:ascii="Times New Roman" w:hAnsi="Times New Roman" w:cs="Times New Roman"/>
          <w:color w:val="000000" w:themeColor="text1"/>
          <w:kern w:val="2"/>
          <w:sz w:val="16"/>
          <w:szCs w:val="16"/>
        </w:rPr>
        <w:softHyphen/>
        <w:t>блюдения за полетами неприятель</w:t>
      </w:r>
      <w:r w:rsidRPr="002F2FDF">
        <w:rPr>
          <w:rFonts w:ascii="Times New Roman" w:hAnsi="Times New Roman" w:cs="Times New Roman"/>
          <w:color w:val="000000" w:themeColor="text1"/>
          <w:kern w:val="2"/>
          <w:sz w:val="16"/>
          <w:szCs w:val="16"/>
        </w:rPr>
        <w:softHyphen/>
        <w:t>ских самолетов. В специальном жур</w:t>
      </w:r>
      <w:r w:rsidRPr="002F2FDF">
        <w:rPr>
          <w:rFonts w:ascii="Times New Roman" w:hAnsi="Times New Roman" w:cs="Times New Roman"/>
          <w:color w:val="000000" w:themeColor="text1"/>
          <w:kern w:val="2"/>
          <w:sz w:val="16"/>
          <w:szCs w:val="16"/>
        </w:rPr>
        <w:softHyphen/>
        <w:t>нале необходимо было указывать вре</w:t>
      </w:r>
      <w:r w:rsidRPr="002F2FDF">
        <w:rPr>
          <w:rFonts w:ascii="Times New Roman" w:hAnsi="Times New Roman" w:cs="Times New Roman"/>
          <w:color w:val="000000" w:themeColor="text1"/>
          <w:kern w:val="2"/>
          <w:sz w:val="16"/>
          <w:szCs w:val="16"/>
        </w:rPr>
        <w:softHyphen/>
        <w:t>мя и направление полетов самолетов противника. Сведения по телефону поступали в управление группы и способствовали своевременному приня</w:t>
      </w:r>
      <w:r w:rsidRPr="002F2FDF">
        <w:rPr>
          <w:rFonts w:ascii="Times New Roman" w:hAnsi="Times New Roman" w:cs="Times New Roman"/>
          <w:color w:val="000000" w:themeColor="text1"/>
          <w:kern w:val="2"/>
          <w:sz w:val="16"/>
          <w:szCs w:val="16"/>
        </w:rPr>
        <w:softHyphen/>
        <w:t>тию мер (3954).</w:t>
      </w:r>
    </w:p>
    <w:p w14:paraId="150FE6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A15505" w14:textId="691C18AB" w:rsidR="00D93438" w:rsidRPr="00FB4F67" w:rsidRDefault="00D93438"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18 апреля (</w:t>
      </w:r>
      <w:r w:rsidRPr="00FB4F67">
        <w:rPr>
          <w:rFonts w:ascii="Times New Roman" w:hAnsi="Times New Roman" w:cs="Times New Roman"/>
          <w:color w:val="0070C0"/>
          <w:sz w:val="16"/>
          <w:szCs w:val="16"/>
        </w:rPr>
        <w:t>1 мая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неприятельская эскадрилья произвела налет на г. Текучиу, сбросив на город около 20 бомб (23405).</w:t>
      </w:r>
    </w:p>
    <w:p w14:paraId="21477257" w14:textId="77777777" w:rsidR="00D93438" w:rsidRPr="00FB4F67" w:rsidRDefault="00D93438" w:rsidP="0083075A">
      <w:pPr>
        <w:spacing w:after="0" w:line="240" w:lineRule="auto"/>
        <w:jc w:val="both"/>
        <w:rPr>
          <w:rFonts w:ascii="Times New Roman" w:hAnsi="Times New Roman" w:cs="Times New Roman"/>
          <w:color w:val="0070C0"/>
          <w:sz w:val="16"/>
          <w:szCs w:val="16"/>
        </w:rPr>
      </w:pPr>
    </w:p>
    <w:p w14:paraId="1E02A2D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62DD2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F300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апреля (1 мая) 1917 была проведена антивоенная демонстрация в Петрограде (1348,84).</w:t>
      </w:r>
    </w:p>
    <w:p w14:paraId="33643E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CFB297" w14:textId="77777777" w:rsidR="009E49F6" w:rsidRPr="002F2FDF" w:rsidRDefault="009E49F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апреля (1 мая) 1917 была нота Милюкова правительствам Англии и Франции с заявлением о том, что Временное правительство будет вести войну до победного конца. Это вызвало массовые беспорядки в столице, в которых участвовали некоторые петроградские полки. Командующий гарнизоном генерал Корнилов вызвал артиллерию для защиты Временного правительства, но его приказ был отменен Петроградским Советом. Генерал плюнул, сложил с себя полномочия и убыл на передовую (12629).</w:t>
      </w:r>
    </w:p>
    <w:p w14:paraId="66031B2D" w14:textId="77777777" w:rsidR="009E49F6" w:rsidRPr="002F2FDF" w:rsidRDefault="009E49F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3682C3" w14:textId="77777777" w:rsidR="0025540B" w:rsidRPr="002F2FDF" w:rsidRDefault="0025540B" w:rsidP="0083075A">
      <w:pPr>
        <w:pStyle w:val="ae"/>
        <w:spacing w:before="0" w:after="0"/>
        <w:jc w:val="both"/>
        <w:rPr>
          <w:color w:val="000000" w:themeColor="text1"/>
          <w:kern w:val="2"/>
          <w:sz w:val="16"/>
          <w:szCs w:val="16"/>
        </w:rPr>
      </w:pPr>
      <w:r w:rsidRPr="002F2FDF">
        <w:rPr>
          <w:color w:val="000000" w:themeColor="text1"/>
          <w:kern w:val="2"/>
          <w:sz w:val="16"/>
          <w:szCs w:val="16"/>
        </w:rPr>
        <w:t>18 апреля (1 мая) 1917 декларация Временного Правительства о намерениях России в войне, опубликованная еще 9 апреля, вместе с нотой, составленной министром иностранных дел Павлом Милюковым, была отправлена в представительства России в союзных державах. Ключевым моментом ноты был следующий абзац:</w:t>
      </w:r>
    </w:p>
    <w:p w14:paraId="66433E84" w14:textId="77777777" w:rsidR="0025540B" w:rsidRPr="002F2FDF" w:rsidRDefault="0025540B" w:rsidP="0083075A">
      <w:pPr>
        <w:pStyle w:val="ae"/>
        <w:spacing w:before="0" w:after="0"/>
        <w:jc w:val="both"/>
        <w:rPr>
          <w:color w:val="000000" w:themeColor="text1"/>
          <w:kern w:val="2"/>
          <w:sz w:val="16"/>
          <w:szCs w:val="16"/>
        </w:rPr>
      </w:pPr>
      <w:r w:rsidRPr="002F2FDF">
        <w:rPr>
          <w:color w:val="000000" w:themeColor="text1"/>
          <w:kern w:val="2"/>
          <w:sz w:val="16"/>
          <w:szCs w:val="16"/>
        </w:rPr>
        <w:t>«Заявления Временного правительства, разумеется, не могут подать ни малейшего повода думать, что совершившийся переворот повлек за собой ослабление роли России в общей союзной борьбе. Совершенно напротив, всенародное стремление довести мировую войну до решительной победы лишь усилилось, благодаря сознанию общей ответственности всех и каждого. Это стремление стало более действительным, будучи сосредоточено на близкой для всех и очередной задаче отразить врага, вторгнувшегося в самые пределы нашей родины. Само собой разумеется, как это и сказано в сообщаемом документе, Временное правительство, ограждая права нашей родины, будет вполне соблюдать обязательства, принятые в отношении наших союзников».</w:t>
      </w:r>
    </w:p>
    <w:p w14:paraId="3CC23953" w14:textId="77777777" w:rsidR="0025540B" w:rsidRPr="002F2FDF" w:rsidRDefault="0025540B" w:rsidP="0083075A">
      <w:pPr>
        <w:pStyle w:val="ae"/>
        <w:spacing w:before="0" w:after="0"/>
        <w:jc w:val="both"/>
        <w:rPr>
          <w:color w:val="000000" w:themeColor="text1"/>
          <w:kern w:val="2"/>
          <w:sz w:val="16"/>
          <w:szCs w:val="16"/>
        </w:rPr>
      </w:pPr>
      <w:r w:rsidRPr="002F2FDF">
        <w:rPr>
          <w:color w:val="000000" w:themeColor="text1"/>
          <w:kern w:val="2"/>
          <w:sz w:val="16"/>
          <w:szCs w:val="16"/>
        </w:rPr>
        <w:t>2 мая текст ноты был опубликован в русских газетах. После этого социалистические партии выразили возмущение неясностью ее формулировок, в которых не содержалось четкого требования «о мире без аннексий и контрибуций», которое еще в марте провозгласил Петросовет. Исполком Петроградского совета издал постановление, в котором сообщалось, что «революционная демократия не допустит лить кровь ради завоевательных целей». «На совместном совещании правительства и Исполкома конфликт этот мог быть легко разрешен, поскольку правительство, по всей вероятности, сдало бы свои позиции, — писал историк Ричард Пайпс. — Но компромисс еще не был найден, когда возмущение охватило бараки и рабочие кварталы» (17045).</w:t>
      </w:r>
    </w:p>
    <w:p w14:paraId="021E0A29" w14:textId="77777777" w:rsidR="0025540B" w:rsidRPr="002F2FDF" w:rsidRDefault="0025540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7874AD" w14:textId="77777777" w:rsidR="00C65B05"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0920EA05" w14:textId="77777777" w:rsidR="00C65B05" w:rsidRPr="002F2FDF" w:rsidRDefault="00C65B0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BE6BC7" w14:textId="77777777" w:rsidR="00C65B05" w:rsidRPr="002F2FDF" w:rsidRDefault="00C65B05"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18 апреля (1 мая) 1917 г.</w:t>
      </w:r>
      <w:r w:rsidRPr="002F2FDF">
        <w:rPr>
          <w:rFonts w:ascii="Times New Roman" w:hAnsi="Times New Roman" w:cs="Times New Roman"/>
          <w:color w:val="000000" w:themeColor="text1"/>
          <w:kern w:val="2"/>
          <w:sz w:val="16"/>
          <w:szCs w:val="16"/>
        </w:rPr>
        <w:t xml:space="preserve"> Телеграмма начальника Главного управления по заграничному снабжению ген. А. А. Михельсона ген. Э. К. Гермониусу о необходимости отправки всех готовых заграничных станков в Россию.</w:t>
      </w:r>
    </w:p>
    <w:p w14:paraId="7A398057" w14:textId="5EC7778A" w:rsidR="00C65B05" w:rsidRPr="002F2FDF" w:rsidRDefault="00C65B05"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480; Исторический архив, 1955, № 3, стр. 153.</w:t>
      </w:r>
    </w:p>
    <w:p w14:paraId="0AFD7BA6" w14:textId="66A275FA" w:rsidR="00C65B05" w:rsidRPr="002F2FDF" w:rsidRDefault="00C65B05"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ЦГВИА, ф. 2000, оп. 1, д. 6130, л. 530. Копия.</w:t>
      </w:r>
    </w:p>
    <w:p w14:paraId="397D5477" w14:textId="77777777" w:rsidR="00C65B05" w:rsidRPr="002F2FDF" w:rsidRDefault="00C65B05" w:rsidP="0083075A">
      <w:pPr>
        <w:pStyle w:val="rtejustify"/>
        <w:spacing w:before="0" w:after="0"/>
        <w:rPr>
          <w:color w:val="000000" w:themeColor="text1"/>
          <w:kern w:val="2"/>
          <w:sz w:val="16"/>
          <w:szCs w:val="16"/>
        </w:rPr>
      </w:pPr>
      <w:r w:rsidRPr="002F2FDF">
        <w:rPr>
          <w:color w:val="000000" w:themeColor="text1"/>
          <w:kern w:val="2"/>
          <w:sz w:val="16"/>
          <w:szCs w:val="16"/>
        </w:rPr>
        <w:t>Вопрос [о] станках [на] Петроградской конференции вообще не рассматривался. Постановления о ненужности станков не было. Отчислени-для них тоннажа предрешено. Комитет заграничного снабжения пору чает вам передать АНІІРА, что все заграничные готовые станки подлежа: отправке [в] Россию, и русское правительство на их реквизицию в пользу союзников своего согласия пе дает. Ускорьте высылку станков [для Днепровского вагонного завода. № 502.</w:t>
      </w:r>
    </w:p>
    <w:p w14:paraId="181E25CF" w14:textId="77777777" w:rsidR="00C65B05" w:rsidRPr="002F2FDF" w:rsidRDefault="00C65B05"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Михельсон.</w:t>
      </w:r>
    </w:p>
    <w:p w14:paraId="579D421A" w14:textId="77777777" w:rsidR="00C65B05" w:rsidRPr="002F2FDF" w:rsidRDefault="00000000" w:rsidP="0083075A">
      <w:pPr>
        <w:pStyle w:val="ae"/>
        <w:spacing w:before="0" w:after="0"/>
        <w:jc w:val="both"/>
        <w:rPr>
          <w:color w:val="000000" w:themeColor="text1"/>
          <w:kern w:val="2"/>
          <w:sz w:val="16"/>
          <w:szCs w:val="16"/>
        </w:rPr>
      </w:pPr>
      <w:hyperlink r:id="rId139" w:anchor="_ftnref1" w:history="1">
        <w:r w:rsidR="00C65B05" w:rsidRPr="002F2FDF">
          <w:rPr>
            <w:rStyle w:val="a5"/>
            <w:color w:val="000000" w:themeColor="text1"/>
            <w:kern w:val="2"/>
            <w:sz w:val="16"/>
            <w:szCs w:val="16"/>
          </w:rPr>
          <w:t>[1]</w:t>
        </w:r>
      </w:hyperlink>
      <w:r w:rsidR="00C65B05" w:rsidRPr="002F2FDF">
        <w:rPr>
          <w:color w:val="000000" w:themeColor="text1"/>
          <w:kern w:val="2"/>
          <w:sz w:val="16"/>
          <w:szCs w:val="16"/>
        </w:rPr>
        <w:t xml:space="preserve"> Датируется по времени отправления в шифровальное и распределительное отделение Генерального штаба. Опубликованная в «Историческом архиве» телеграмма неточно датируется составителем «не ранее 11 марта 1917 г.» (15166).</w:t>
      </w:r>
    </w:p>
    <w:p w14:paraId="46FDB95C" w14:textId="77777777" w:rsidR="00C65B05" w:rsidRPr="002F2FDF" w:rsidRDefault="00C65B05"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0EBCD71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D9356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F71A4C" w14:textId="77777777" w:rsidR="00D574B0" w:rsidRPr="002F2FDF" w:rsidRDefault="00D574B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18 апреля (1 мая) 1917 цеппелины L 43 и L 45 ВМС Германии проводят разведывательное патрулирование над Северным морем у побережья Шотландии, патрулируя, соответственно, у Ферт-оф-Форт и Абердина (20341).</w:t>
      </w:r>
    </w:p>
    <w:p w14:paraId="6FB8A508" w14:textId="77777777" w:rsidR="00D574B0" w:rsidRPr="002F2FDF" w:rsidRDefault="00D574B0" w:rsidP="0083075A">
      <w:pPr>
        <w:spacing w:after="0" w:line="240" w:lineRule="auto"/>
        <w:jc w:val="both"/>
        <w:rPr>
          <w:rFonts w:ascii="Times New Roman" w:hAnsi="Times New Roman" w:cs="Times New Roman"/>
          <w:color w:val="000000" w:themeColor="text1"/>
          <w:sz w:val="16"/>
          <w:szCs w:val="16"/>
        </w:rPr>
      </w:pPr>
    </w:p>
    <w:p w14:paraId="19A0126E" w14:textId="77777777" w:rsidR="00D574B0" w:rsidRPr="002F2FDF" w:rsidRDefault="00D574B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18 апреля (1 мая) 1917 г. в Военном министерстве было представлено несколько вариантов проекта среднего танка следующего поколения — боевая масса варьировалась от 13,2 до 15,4 т, также различалось вооружение и схема его размещения. В первом варианте танк имел 47-мм пушку, размещенную в башне кругового вращения, во втором 75-мм пушка обр. 1897 г. находилась в лобовом листе корпуса. Наиболее подходящим военными был признан вариант без башни, с короткоствольной пушкой в центре передней части корпуса. Прототип испытали 24 октября 1917 г., и «Шнейдер» получил заказ на изготовление 400 танков Schneider CA-3, однако в феврале 1918 г. программа была заморожена, а позже ее и вовсе отменили (22820).</w:t>
      </w:r>
    </w:p>
    <w:p w14:paraId="2CEFB671" w14:textId="77777777" w:rsidR="00D574B0" w:rsidRPr="002F2FDF" w:rsidRDefault="00D574B0" w:rsidP="0083075A">
      <w:pPr>
        <w:spacing w:after="0" w:line="240" w:lineRule="auto"/>
        <w:jc w:val="both"/>
        <w:rPr>
          <w:rFonts w:ascii="Times New Roman" w:hAnsi="Times New Roman" w:cs="Times New Roman"/>
          <w:color w:val="000000" w:themeColor="text1"/>
          <w:sz w:val="16"/>
          <w:szCs w:val="16"/>
        </w:rPr>
      </w:pPr>
    </w:p>
    <w:p w14:paraId="185A32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April 3</w:t>
      </w:r>
      <w:r w:rsidR="00FE48DD" w:rsidRPr="002F2FDF">
        <w:rPr>
          <w:rFonts w:ascii="Times New Roman" w:hAnsi="Times New Roman" w:cs="Times New Roman"/>
          <w:color w:val="000000" w:themeColor="text1"/>
          <w:kern w:val="2"/>
          <w:sz w:val="16"/>
          <w:szCs w:val="16"/>
          <w:lang w:val="en-US"/>
        </w:rPr>
        <w:t>0</w:t>
      </w:r>
      <w:r w:rsidRPr="002F2FDF">
        <w:rPr>
          <w:rFonts w:ascii="Times New Roman" w:hAnsi="Times New Roman" w:cs="Times New Roman"/>
          <w:color w:val="000000" w:themeColor="text1"/>
          <w:kern w:val="2"/>
          <w:sz w:val="16"/>
          <w:szCs w:val="16"/>
          <w:lang w:val="en-US"/>
        </w:rPr>
        <w:t xml:space="preserve"> 1917 Germany announces intention of sinking all vessels in war zone (1036).</w:t>
      </w:r>
    </w:p>
    <w:p w14:paraId="5745C9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B593C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18 апреля </w:t>
      </w:r>
      <w:r w:rsidR="001E32B6" w:rsidRPr="002F2FDF">
        <w:rPr>
          <w:rFonts w:ascii="Times New Roman" w:hAnsi="Times New Roman" w:cs="Times New Roman"/>
          <w:color w:val="000000" w:themeColor="text1"/>
          <w:kern w:val="2"/>
          <w:sz w:val="16"/>
          <w:szCs w:val="16"/>
        </w:rPr>
        <w:t xml:space="preserve">(1 мая) </w:t>
      </w:r>
      <w:r w:rsidRPr="002F2FDF">
        <w:rPr>
          <w:rFonts w:ascii="Times New Roman" w:hAnsi="Times New Roman" w:cs="Times New Roman"/>
          <w:color w:val="000000" w:themeColor="text1"/>
          <w:kern w:val="2"/>
          <w:sz w:val="16"/>
          <w:szCs w:val="16"/>
        </w:rPr>
        <w:t>1917 Германия объявила о том, что будет топить все корабли и суда в зоне военных действий (1036).</w:t>
      </w:r>
    </w:p>
    <w:p w14:paraId="196D9A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C9E486" w14:textId="77777777" w:rsidR="008D16F6" w:rsidRPr="002F2FDF" w:rsidRDefault="008D16F6" w:rsidP="0083075A">
      <w:pPr>
        <w:pStyle w:val="ae"/>
        <w:spacing w:before="0" w:after="0"/>
        <w:jc w:val="both"/>
        <w:rPr>
          <w:color w:val="000000" w:themeColor="text1"/>
          <w:kern w:val="2"/>
          <w:sz w:val="16"/>
          <w:szCs w:val="16"/>
        </w:rPr>
      </w:pPr>
      <w:r w:rsidRPr="002F2FDF">
        <w:rPr>
          <w:color w:val="000000" w:themeColor="text1"/>
          <w:kern w:val="2"/>
          <w:sz w:val="16"/>
          <w:szCs w:val="16"/>
        </w:rPr>
        <w:t>В течение 18-25 апреля (1-7 мая) 1917 германскими подводными лодками было потоплено и повреждено 138 кораблей стран Антанты и их союзников, включая 1 британский миноносец и 1 эсминец (17045).</w:t>
      </w:r>
    </w:p>
    <w:p w14:paraId="0850A081" w14:textId="77777777" w:rsidR="008D16F6" w:rsidRPr="002F2FDF" w:rsidRDefault="008D16F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7D43E9" w14:textId="77777777" w:rsidR="001E2084" w:rsidRPr="002F2FDF" w:rsidRDefault="001E208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FA30933" w14:textId="77777777" w:rsidR="001E2084" w:rsidRPr="002F2FDF" w:rsidRDefault="001E208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93DC00"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19 апреля (2 мая) 1917 г.</w:t>
      </w:r>
    </w:p>
    <w:p w14:paraId="276BC790"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Резолюция по Журналу №  156.  </w:t>
      </w:r>
    </w:p>
    <w:p w14:paraId="6CD3B7CD"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19 апреля 1917 г. </w:t>
      </w:r>
    </w:p>
    <w:p w14:paraId="113F212C"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22  апреля.  — Резолюция Председателя Особого Совещания для обсуждения и объединения мероприятий по обороне государства по журналу Особого Совещания от 19 апреля 1917 года за №  156. </w:t>
      </w:r>
    </w:p>
    <w:p w14:paraId="3DE84577"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12BDADB7"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Утвердить     доклады    подготовительной      комиссии     по   общим  вопросам: </w:t>
      </w:r>
    </w:p>
    <w:p w14:paraId="11BE03E6"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 выдаче центральному военно-промышленному комитету, по заказу главным интендантским управлением 1 700 000 касок французского  образца из лопаточной стали, 75 % аванса в размере пяти миллионов четырехсот восьмидесяти двух тысяч пятисот (5 482 500) рублей; </w:t>
      </w:r>
    </w:p>
    <w:p w14:paraId="41A84DCB"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об отпуске Московскому военно-промышленному комитету из военного фонда безвозвратно денежных средств в сумме пятьдесят две тысячи  двадцать  (52  020)  рублей  на  незамедлительную  организацию  при  отделе  изобретений  названного  комитета  конструкторского  бюро  для  разработки полезных для обороны страны изобретений и на учреждение  мастерской для изготовления образцов этих изобретений, при условии  немедленного отпуска комитету из указанной суммы 27 000 рублей и отпуска остальных 25  020 руб лей в течение года, в сроки, которые будут  указаны комитетом; </w:t>
      </w:r>
    </w:p>
    <w:p w14:paraId="70BD4A45"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об отклонении ходатайства чугунолитейного и механических заводов Ф. Сан-Галли о предоставлении Азовско-Донскому коммерческому  банку правительственной гарантии по открываемому банком названной  фирме  кредиту  на  случай  убытков  от  пожара  или  расхищения  при  народных волнениях. </w:t>
      </w:r>
    </w:p>
    <w:p w14:paraId="28D73DFE"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Утвердить доклады подготовительной комиссии по авиационным  вопросам: </w:t>
      </w:r>
    </w:p>
    <w:p w14:paraId="6471F5BD"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 заказе товариществу «Мотор» 300 моторов </w:t>
      </w:r>
      <w:r w:rsidRPr="002F2FDF">
        <w:rPr>
          <w:rFonts w:ascii="Times New Roman" w:hAnsi="Times New Roman" w:cs="Times New Roman"/>
          <w:color w:val="000000" w:themeColor="text1"/>
          <w:sz w:val="16"/>
          <w:szCs w:val="16"/>
          <w:highlight w:val="yellow"/>
        </w:rPr>
        <w:t>Рон 110 Н Р</w:t>
      </w:r>
      <w:r w:rsidRPr="002F2FDF">
        <w:rPr>
          <w:rFonts w:ascii="Times New Roman" w:hAnsi="Times New Roman" w:cs="Times New Roman"/>
          <w:color w:val="000000" w:themeColor="text1"/>
          <w:sz w:val="16"/>
          <w:szCs w:val="16"/>
        </w:rPr>
        <w:t xml:space="preserve"> с запасными частями на условиях, изложенных в представлении управления военного воздушного флота от 4 апреля 1917 года за № 3790/1259, и с тем,  чтобы выдаваемый товариществу «Мотор» по данному заказу аванс был  выдан по зачету авансов, выданных по контрактам от 27 июля 1916 года  за № 33. 081 и от 23 декабря 1916 года за № 91. 836; </w:t>
      </w:r>
    </w:p>
    <w:p w14:paraId="02ED43E8"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 повышении цен на воздушные винты на основаниях, изложенных  в  представлении  управления  военного  воздушного  флота  от  29  марта  1917 года за № 3757/1226; </w:t>
      </w:r>
    </w:p>
    <w:p w14:paraId="6352D280"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о заказе 300 прицельных приборов системы профессора Ботезата  на основаниях, изложенных в представлении управления военного воздушного флота от 14 апреля 1917 года за № 3843/1354. </w:t>
      </w:r>
    </w:p>
    <w:p w14:paraId="7B6273AE"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3) По докладу той же комиссии по вопросу об изменении условий о  заказе касторового масла обществу «Астра»  — предложить начальнику  управления военного воздушного флота войти с соответствующим представлением в Военный Совет. </w:t>
      </w:r>
    </w:p>
    <w:p w14:paraId="0AFCE2BC"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4) Просить помощника Военного министра генерала от артиллерии  Маниковского о пересмотре в состоящем под его председательством совещании товарищей министров по снабжению вопроса о приостановлении постройки и оборудования частных автомобильных заводов в связи  с вопросом о возможности приспособления этих заводов к производству  авиационных моторов. </w:t>
      </w:r>
    </w:p>
    <w:p w14:paraId="2292F7FA"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Предложить  управлению  военного  воздушного  флота  представить  названному  совещанию  соображения  о  способах  использования  означенных заводов в целях развития авиационного моторостроения с наименьшим ущербом для казны. </w:t>
      </w:r>
    </w:p>
    <w:p w14:paraId="7B3FF5B4"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5) По докладам реквизиционной комиссии: </w:t>
      </w:r>
    </w:p>
    <w:p w14:paraId="5FC1E9F5"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признать необходимым временное принудительное занятие гостиницы «Лондон» в городе Екатеринославе для управления уполномоченного Председателя Особого Совещания по обороне государства по Екатеринославскому району; </w:t>
      </w:r>
    </w:p>
    <w:p w14:paraId="2D3947AD"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отклонить  ходатайство  председателя  заводского  совещания  Нижегородского  района  о  реквизиции  для  комитета  по  постройке  храма  в  деревне  Настино  Нижегородской  губернии  пяти  колоколов  из  числа  эвакуированного бесхозного имущества, хранящегося в складах Нижегородского уездного воинского начальника. </w:t>
      </w:r>
    </w:p>
    <w:p w14:paraId="097F925D"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6) Образовать особую ревизионную комиссию для обследования на  месте Ревдинских заводов Солодовникова под председательством Члена  Особого  Совещания  по  обороне  государства  из  числа  членов  Государственной Думы и в составе представителей военного ведомства, министерства  торговли  и  промышленности,  министерства  финансов,  министерства юстиции,  главного  по  снабжению  армии  комитета  Всероссийских  земского  и  городского  союзов,  центрального  военно-промышленного  комитета, Временного Уральского комитета и местных общественных и  рабочих организаций. </w:t>
      </w:r>
    </w:p>
    <w:p w14:paraId="7E1EBD71"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7)  Образовать  особую  комиссию  для  разработки  проекта  создания  центрального органа для объединения всех учреждений, ведающих живой  рабочей  силой  страны,  под  председательством  товарища  министра  торговли и промышленности П.  И.  Пальчинского и в составе членов комиссии по вопросу об учете живой рабочей силы страны и комиссии по  обеспечению  рабочей  силой  обслуживающих  оборону  предприятий,  а  равно представителей заинтересованных ведомств и организаций, с тем  чтобы выработанный этой комиссией проект был представлен засим на  рассмотрение Особого Совещания по обороне государства. </w:t>
      </w:r>
    </w:p>
    <w:p w14:paraId="7C569913"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8) Сообщить Временному Правительству суждения Особого Совещания  о  желательности  скорейшей  организации  нашего  дипломатического представительства в Лондоне и в Вашингтоне ввиду необходимости  обеспечить  надлежащую  защиту  наших  интересов  в  деле  заготовления  предметов снабжения армии в Англии и Америке. </w:t>
      </w:r>
    </w:p>
    <w:p w14:paraId="213B6604"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 председателя Особого Совещания генерал-лейтенант Филатьев (20619).</w:t>
      </w:r>
    </w:p>
    <w:p w14:paraId="7EC56185" w14:textId="77777777" w:rsidR="001E2084" w:rsidRPr="002F2FDF" w:rsidRDefault="001E2084" w:rsidP="0083075A">
      <w:pPr>
        <w:spacing w:after="0" w:line="240" w:lineRule="auto"/>
        <w:jc w:val="both"/>
        <w:rPr>
          <w:rFonts w:ascii="Times New Roman" w:hAnsi="Times New Roman" w:cs="Times New Roman"/>
          <w:color w:val="000000" w:themeColor="text1"/>
          <w:sz w:val="16"/>
          <w:szCs w:val="16"/>
        </w:rPr>
      </w:pPr>
    </w:p>
    <w:p w14:paraId="182A34B4" w14:textId="77777777" w:rsidR="0044721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634ADF1" w14:textId="77777777" w:rsidR="00447212" w:rsidRPr="002F2FDF" w:rsidRDefault="0044721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01B424" w14:textId="77777777" w:rsidR="00447212" w:rsidRPr="002F2FDF" w:rsidRDefault="00447212"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19 апреля </w:t>
      </w:r>
      <w:r w:rsidR="001E32B6" w:rsidRPr="002F2FDF">
        <w:rPr>
          <w:color w:val="000000" w:themeColor="text1"/>
          <w:kern w:val="2"/>
          <w:sz w:val="16"/>
          <w:szCs w:val="16"/>
        </w:rPr>
        <w:t xml:space="preserve">(2 мая) </w:t>
      </w:r>
      <w:r w:rsidRPr="002F2FDF">
        <w:rPr>
          <w:color w:val="000000" w:themeColor="text1"/>
          <w:kern w:val="2"/>
          <w:sz w:val="16"/>
          <w:szCs w:val="16"/>
        </w:rPr>
        <w:t>1917 на Ковровском заводе состоялся прием 3 линейных ружей-пулемётов, заказанных по контракту, возложен на старшего техника Тульского оружейного завода штабс-капитана Апарина. С 1 мая в управление заводом вступил С.Брандт (12221).</w:t>
      </w:r>
    </w:p>
    <w:p w14:paraId="3268AEC2" w14:textId="77777777" w:rsidR="00447212" w:rsidRPr="002F2FDF" w:rsidRDefault="00447212" w:rsidP="0083075A">
      <w:pPr>
        <w:spacing w:after="0" w:line="240" w:lineRule="auto"/>
        <w:jc w:val="both"/>
        <w:rPr>
          <w:rFonts w:ascii="Times New Roman" w:hAnsi="Times New Roman" w:cs="Times New Roman"/>
          <w:color w:val="000000" w:themeColor="text1"/>
          <w:kern w:val="2"/>
          <w:sz w:val="16"/>
          <w:szCs w:val="16"/>
          <w:u w:color="002060"/>
        </w:rPr>
      </w:pPr>
    </w:p>
    <w:p w14:paraId="75050E9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E0E51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4A82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апреля (2 мая) 1917 лет</w:t>
      </w:r>
      <w:r w:rsidRPr="002F2FDF">
        <w:rPr>
          <w:rFonts w:ascii="Times New Roman" w:hAnsi="Times New Roman" w:cs="Times New Roman"/>
          <w:color w:val="000000" w:themeColor="text1"/>
          <w:kern w:val="2"/>
          <w:sz w:val="16"/>
          <w:szCs w:val="16"/>
        </w:rPr>
        <w:softHyphen/>
        <w:t>чик 19-го као 1БАГ старший унтер-офицер Иван Смирнов вылетел на “Моноко</w:t>
      </w:r>
      <w:r w:rsidRPr="002F2FDF">
        <w:rPr>
          <w:rFonts w:ascii="Times New Roman" w:hAnsi="Times New Roman" w:cs="Times New Roman"/>
          <w:color w:val="000000" w:themeColor="text1"/>
          <w:kern w:val="2"/>
          <w:sz w:val="16"/>
          <w:szCs w:val="16"/>
        </w:rPr>
        <w:softHyphen/>
        <w:t>ке” по маршруту Ковалювка-Завалув-Пановица-Ковалювка. Согласно донесению летчика “...в районе дер. Коржова настиг и атаковал про</w:t>
      </w:r>
      <w:r w:rsidRPr="002F2FDF">
        <w:rPr>
          <w:rFonts w:ascii="Times New Roman" w:hAnsi="Times New Roman" w:cs="Times New Roman"/>
          <w:color w:val="000000" w:themeColor="text1"/>
          <w:kern w:val="2"/>
          <w:sz w:val="16"/>
          <w:szCs w:val="16"/>
        </w:rPr>
        <w:softHyphen/>
        <w:t>тивника на высоте 1200 м, выпустив 100 патронов. Отошел на исправле</w:t>
      </w:r>
      <w:r w:rsidRPr="002F2FDF">
        <w:rPr>
          <w:rFonts w:ascii="Times New Roman" w:hAnsi="Times New Roman" w:cs="Times New Roman"/>
          <w:color w:val="000000" w:themeColor="text1"/>
          <w:kern w:val="2"/>
          <w:sz w:val="16"/>
          <w:szCs w:val="16"/>
        </w:rPr>
        <w:softHyphen/>
        <w:t>ние задержки пулемета и снова ата</w:t>
      </w:r>
      <w:r w:rsidRPr="002F2FDF">
        <w:rPr>
          <w:rFonts w:ascii="Times New Roman" w:hAnsi="Times New Roman" w:cs="Times New Roman"/>
          <w:color w:val="000000" w:themeColor="text1"/>
          <w:kern w:val="2"/>
          <w:sz w:val="16"/>
          <w:szCs w:val="16"/>
        </w:rPr>
        <w:softHyphen/>
        <w:t>ковал его. После второй атаки не</w:t>
      </w:r>
      <w:r w:rsidRPr="002F2FDF">
        <w:rPr>
          <w:rFonts w:ascii="Times New Roman" w:hAnsi="Times New Roman" w:cs="Times New Roman"/>
          <w:color w:val="000000" w:themeColor="text1"/>
          <w:kern w:val="2"/>
          <w:sz w:val="16"/>
          <w:szCs w:val="16"/>
        </w:rPr>
        <w:softHyphen/>
        <w:t>приятельский самолет спустился в районе западнее дёр. Горожанки, что восточнее Галича. Летчик-солдат и наблюдатель-офицер, раненый в но</w:t>
      </w:r>
      <w:r w:rsidRPr="002F2FDF">
        <w:rPr>
          <w:rFonts w:ascii="Times New Roman" w:hAnsi="Times New Roman" w:cs="Times New Roman"/>
          <w:color w:val="000000" w:themeColor="text1"/>
          <w:kern w:val="2"/>
          <w:sz w:val="16"/>
          <w:szCs w:val="16"/>
        </w:rPr>
        <w:softHyphen/>
        <w:t>гу, взяты в плен”. Другой участник то</w:t>
      </w:r>
      <w:r w:rsidRPr="002F2FDF">
        <w:rPr>
          <w:rFonts w:ascii="Times New Roman" w:hAnsi="Times New Roman" w:cs="Times New Roman"/>
          <w:color w:val="000000" w:themeColor="text1"/>
          <w:kern w:val="2"/>
          <w:sz w:val="16"/>
          <w:szCs w:val="16"/>
        </w:rPr>
        <w:softHyphen/>
        <w:t>го же боя, прапорщик 4-го као Малы</w:t>
      </w:r>
      <w:r w:rsidRPr="002F2FDF">
        <w:rPr>
          <w:rFonts w:ascii="Times New Roman" w:hAnsi="Times New Roman" w:cs="Times New Roman"/>
          <w:color w:val="000000" w:themeColor="text1"/>
          <w:kern w:val="2"/>
          <w:sz w:val="16"/>
          <w:szCs w:val="16"/>
        </w:rPr>
        <w:softHyphen/>
        <w:t>шев, также летел на “Монококе”. На его истребителе ненадежно работал пулемет, и летчик стрелял короткими очередями. Позже Малышев сооб</w:t>
      </w:r>
      <w:r w:rsidRPr="002F2FDF">
        <w:rPr>
          <w:rFonts w:ascii="Times New Roman" w:hAnsi="Times New Roman" w:cs="Times New Roman"/>
          <w:color w:val="000000" w:themeColor="text1"/>
          <w:kern w:val="2"/>
          <w:sz w:val="16"/>
          <w:szCs w:val="16"/>
        </w:rPr>
        <w:softHyphen/>
        <w:t>щил: “...другой Монокок (Смирнова) атаковал противника справа, после чего появилась белая струйка дыма и самолет противника сел в лощину на дороге. Аппарат при посадке завернуло, но он не скапо</w:t>
      </w:r>
      <w:r w:rsidRPr="002F2FDF">
        <w:rPr>
          <w:rFonts w:ascii="Times New Roman" w:hAnsi="Times New Roman" w:cs="Times New Roman"/>
          <w:color w:val="000000" w:themeColor="text1"/>
          <w:kern w:val="2"/>
          <w:sz w:val="16"/>
          <w:szCs w:val="16"/>
        </w:rPr>
        <w:softHyphen/>
        <w:t>тировал. Выскочивший немец под</w:t>
      </w:r>
      <w:r w:rsidRPr="002F2FDF">
        <w:rPr>
          <w:rFonts w:ascii="Times New Roman" w:hAnsi="Times New Roman" w:cs="Times New Roman"/>
          <w:color w:val="000000" w:themeColor="text1"/>
          <w:kern w:val="2"/>
          <w:sz w:val="16"/>
          <w:szCs w:val="16"/>
        </w:rPr>
        <w:softHyphen/>
        <w:t>жег правое крыло”. Немецким авиа</w:t>
      </w:r>
      <w:r w:rsidRPr="002F2FDF">
        <w:rPr>
          <w:rFonts w:ascii="Times New Roman" w:hAnsi="Times New Roman" w:cs="Times New Roman"/>
          <w:color w:val="000000" w:themeColor="text1"/>
          <w:kern w:val="2"/>
          <w:sz w:val="16"/>
          <w:szCs w:val="16"/>
        </w:rPr>
        <w:softHyphen/>
        <w:t>торам удалось сжечь самолет; уце</w:t>
      </w:r>
      <w:r w:rsidRPr="002F2FDF">
        <w:rPr>
          <w:rFonts w:ascii="Times New Roman" w:hAnsi="Times New Roman" w:cs="Times New Roman"/>
          <w:color w:val="000000" w:themeColor="text1"/>
          <w:kern w:val="2"/>
          <w:sz w:val="16"/>
          <w:szCs w:val="16"/>
        </w:rPr>
        <w:softHyphen/>
        <w:t>лел только 6-цилиндровый мотор “Опель” мощностью 200 л.с. На допросе пленных летчиков в шта</w:t>
      </w:r>
      <w:r w:rsidRPr="002F2FDF">
        <w:rPr>
          <w:rFonts w:ascii="Times New Roman" w:hAnsi="Times New Roman" w:cs="Times New Roman"/>
          <w:color w:val="000000" w:themeColor="text1"/>
          <w:kern w:val="2"/>
          <w:sz w:val="16"/>
          <w:szCs w:val="16"/>
        </w:rPr>
        <w:softHyphen/>
        <w:t>бе 3-го Кавказского корпуса выясни</w:t>
      </w:r>
      <w:r w:rsidRPr="002F2FDF">
        <w:rPr>
          <w:rFonts w:ascii="Times New Roman" w:hAnsi="Times New Roman" w:cs="Times New Roman"/>
          <w:color w:val="000000" w:themeColor="text1"/>
          <w:kern w:val="2"/>
          <w:sz w:val="16"/>
          <w:szCs w:val="16"/>
        </w:rPr>
        <w:softHyphen/>
        <w:t>лось, что они принадлежат 220 гер</w:t>
      </w:r>
      <w:r w:rsidRPr="002F2FDF">
        <w:rPr>
          <w:rFonts w:ascii="Times New Roman" w:hAnsi="Times New Roman" w:cs="Times New Roman"/>
          <w:color w:val="000000" w:themeColor="text1"/>
          <w:kern w:val="2"/>
          <w:sz w:val="16"/>
          <w:szCs w:val="16"/>
        </w:rPr>
        <w:softHyphen/>
        <w:t>манскому авиаотряду (220 Flieger Abteilung/A). Немцы сообщили также, что в районе Рогатина находятся еще 4 германских авиаотряда. За очеред</w:t>
      </w:r>
      <w:r w:rsidRPr="002F2FDF">
        <w:rPr>
          <w:rFonts w:ascii="Times New Roman" w:hAnsi="Times New Roman" w:cs="Times New Roman"/>
          <w:color w:val="000000" w:themeColor="text1"/>
          <w:kern w:val="2"/>
          <w:sz w:val="16"/>
          <w:szCs w:val="16"/>
        </w:rPr>
        <w:softHyphen/>
        <w:t>ную победу старший унтер-офицер Смирнов был награжден Георгиев</w:t>
      </w:r>
      <w:r w:rsidRPr="002F2FDF">
        <w:rPr>
          <w:rFonts w:ascii="Times New Roman" w:hAnsi="Times New Roman" w:cs="Times New Roman"/>
          <w:color w:val="000000" w:themeColor="text1"/>
          <w:kern w:val="2"/>
          <w:sz w:val="16"/>
          <w:szCs w:val="16"/>
        </w:rPr>
        <w:softHyphen/>
        <w:t>ским крестом 2-й степени (3954).</w:t>
      </w:r>
    </w:p>
    <w:p w14:paraId="5375A9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FD11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 апреля </w:t>
      </w:r>
      <w:r w:rsidR="001E32B6" w:rsidRPr="002F2FDF">
        <w:rPr>
          <w:rFonts w:ascii="Times New Roman" w:hAnsi="Times New Roman" w:cs="Times New Roman"/>
          <w:color w:val="000000" w:themeColor="text1"/>
          <w:kern w:val="2"/>
          <w:sz w:val="16"/>
          <w:szCs w:val="16"/>
        </w:rPr>
        <w:t xml:space="preserve">(2 мая) </w:t>
      </w:r>
      <w:r w:rsidRPr="002F2FDF">
        <w:rPr>
          <w:rFonts w:ascii="Times New Roman" w:hAnsi="Times New Roman" w:cs="Times New Roman"/>
          <w:color w:val="000000" w:themeColor="text1"/>
          <w:kern w:val="2"/>
          <w:sz w:val="16"/>
          <w:szCs w:val="16"/>
        </w:rPr>
        <w:t>1917 Приказом Армии и Флоту по согласованию с Верховным Главнокомандующим полковник С.А.Ульянин был назначен начальником этого Управления. По штату должность была генерал-лейтенантской. И его вызвали из-за границы, чтобы стать руководителем ВВС России. 2 июня Ульянин вступил в должность. Приведем одну из телеграмм, подписанных им: “6 июня с.г. на фронте погиб доблестный командир 2-й боевой группы капитан Евграф Николаевич Крутень, который своей неутомимой боевой работой стяжал себе неувядаемую славу и бесспорно может считаться гордостью нашей родной авиации” (11221).</w:t>
      </w:r>
    </w:p>
    <w:p w14:paraId="7E9BC9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0DA012" w14:textId="24701F01" w:rsidR="00EB3E32" w:rsidRPr="00FB4F67" w:rsidRDefault="00EB3E3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19 апреля (</w:t>
      </w:r>
      <w:r w:rsidRPr="00FB4F67">
        <w:rPr>
          <w:rFonts w:ascii="Times New Roman" w:hAnsi="Times New Roman" w:cs="Times New Roman"/>
          <w:color w:val="0070C0"/>
          <w:sz w:val="16"/>
          <w:szCs w:val="16"/>
        </w:rPr>
        <w:t>2 мая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наши истребители атаковали и сбили в воздушном бою очередной вражеский аэроплан, упавший в районе Горожанки (восточнее Галича). Аппарат сгорел, летчики взяты в плен (23405).</w:t>
      </w:r>
    </w:p>
    <w:p w14:paraId="10C2C688" w14:textId="77777777" w:rsidR="00EB3E32" w:rsidRPr="00FB4F67" w:rsidRDefault="00EB3E32" w:rsidP="0083075A">
      <w:pPr>
        <w:spacing w:after="0" w:line="240" w:lineRule="auto"/>
        <w:jc w:val="both"/>
        <w:rPr>
          <w:rFonts w:ascii="Times New Roman" w:hAnsi="Times New Roman" w:cs="Times New Roman"/>
          <w:color w:val="0070C0"/>
          <w:sz w:val="16"/>
          <w:szCs w:val="16"/>
        </w:rPr>
      </w:pPr>
    </w:p>
    <w:p w14:paraId="1B4709C7" w14:textId="77943603" w:rsidR="00EB3E32" w:rsidRPr="00FB4F67" w:rsidRDefault="00EB3E3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19 апреля (</w:t>
      </w:r>
      <w:r w:rsidRPr="00FB4F67">
        <w:rPr>
          <w:rFonts w:ascii="Times New Roman" w:hAnsi="Times New Roman" w:cs="Times New Roman"/>
          <w:color w:val="0070C0"/>
          <w:sz w:val="16"/>
          <w:szCs w:val="16"/>
        </w:rPr>
        <w:t>2 мая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на Северном фронте в Зеераппен прибыл дирижабль ВМС Германии L.30 (LZ.62). Она была отозвана на Запад 17 ноября. Подробности ее службы в Прибалтике неизвестны (23525).</w:t>
      </w:r>
    </w:p>
    <w:p w14:paraId="0F4EDDE1" w14:textId="77777777" w:rsidR="00EB3E32" w:rsidRPr="00FB4F67" w:rsidRDefault="00EB3E32" w:rsidP="0083075A">
      <w:pPr>
        <w:spacing w:after="0" w:line="240" w:lineRule="auto"/>
        <w:jc w:val="both"/>
        <w:rPr>
          <w:rFonts w:ascii="Times New Roman" w:hAnsi="Times New Roman" w:cs="Times New Roman"/>
          <w:color w:val="0070C0"/>
          <w:sz w:val="16"/>
          <w:szCs w:val="16"/>
        </w:rPr>
      </w:pPr>
    </w:p>
    <w:p w14:paraId="3999A0E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5BE99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0A3C91" w14:textId="77777777" w:rsidR="0025540B" w:rsidRPr="002F2FDF" w:rsidRDefault="0025540B"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19 апреля (2 мая) 1917 текст ноты Милюкова был опубликован в русских газетах. После этого социалистические партии выразили возмущение неясностью ее формулировок, в которых не содержалось четкого требования «о мире без аннексий и контрибуций», которое еще в марте провозгласил Петросовет. Исполком Петроградского совета издал постановление, в котором сообщалось, что «революционная демократия не допустит лить кровь ради завоевательных целей». «На </w:t>
      </w:r>
      <w:r w:rsidRPr="002F2FDF">
        <w:rPr>
          <w:color w:val="000000" w:themeColor="text1"/>
          <w:kern w:val="2"/>
          <w:sz w:val="16"/>
          <w:szCs w:val="16"/>
        </w:rPr>
        <w:lastRenderedPageBreak/>
        <w:t>совместном совещании правительства и Исполкома конфликт этот мог быть легко разрешен, поскольку правительство, по всей вероятности, сдало бы свои позиции, — писал историк Ричард Пайпс. — Но компромисс еще не был найден, когда возмущение охватило бараки и рабочие кварталы» (17045).</w:t>
      </w:r>
    </w:p>
    <w:p w14:paraId="7FC23401" w14:textId="77777777" w:rsidR="0025540B" w:rsidRPr="002F2FDF" w:rsidRDefault="0025540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520672" w14:textId="77777777" w:rsidR="0025540B" w:rsidRPr="002F2FDF" w:rsidRDefault="00FE48DD"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19 апреля (2 мая) 1917 </w:t>
      </w:r>
      <w:r w:rsidR="0025540B" w:rsidRPr="002F2FDF">
        <w:rPr>
          <w:color w:val="000000" w:themeColor="text1"/>
          <w:kern w:val="2"/>
          <w:sz w:val="16"/>
          <w:szCs w:val="16"/>
        </w:rPr>
        <w:t>в Петрограде начались беспорядки. Первой искрой стало выступление Финлядского полка, солдат которого на демонстрацию против Милюкова призвал молодой лейтенант Теодор Линде, придерживавшийся социалистических взглядов. Он считал, что новая Россия должна продолжить войну, но за справедливые демократические идеалы. В 3 часа дня 2 мая к Мариинскому дворцу, где обычно заседало правительство, подошло несколько вооруженных отрядов, потребовавших отставки Милюкова. На заседании правительства, которое проходило в тот день в другом здании — в канцелярии военного министерства, явился командующий Петроградским военным округом генерал Лавр Корнилов и попросил разрешения разогнать мятежников, но получил отказ. Александр Керенский, занимавший в то время пост министра юстиции, позже вспоминал: «Мы все были убеждены в мудрости нашего курса и чувствовали уверенность, что население не допустит никаких актов насилия по отношению ко Временному правительства».</w:t>
      </w:r>
    </w:p>
    <w:p w14:paraId="5DCE1576" w14:textId="77777777" w:rsidR="0025540B" w:rsidRPr="002F2FDF" w:rsidRDefault="0025540B" w:rsidP="0083075A">
      <w:pPr>
        <w:pStyle w:val="ae"/>
        <w:spacing w:before="0" w:after="0"/>
        <w:jc w:val="both"/>
        <w:rPr>
          <w:color w:val="000000" w:themeColor="text1"/>
          <w:kern w:val="2"/>
          <w:sz w:val="16"/>
          <w:szCs w:val="16"/>
        </w:rPr>
      </w:pPr>
      <w:r w:rsidRPr="002F2FDF">
        <w:rPr>
          <w:color w:val="000000" w:themeColor="text1"/>
          <w:kern w:val="2"/>
          <w:sz w:val="16"/>
          <w:szCs w:val="16"/>
        </w:rPr>
        <w:t>Однако возникшей ситуацией тут же решили воспользоваться большевики. Во второй половине дня 2 мая ЦК РСДРП (б) собрался на чрезвычайное совещание, на котором Ленин составил специальную резолюцию относительно текущего момента. В ней Временное правительство обличалось как «насквозь империалистическое», находящееся под влиянием внутреннего и англо-французского капитала, а Совет подвергался критике за поддержку Временного правительства с призывом взять власть в свои руки.</w:t>
      </w:r>
    </w:p>
    <w:p w14:paraId="461A25BC" w14:textId="77777777" w:rsidR="0025540B" w:rsidRPr="002F2FDF" w:rsidRDefault="0025540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Вечером 2 мая на улицах Петрограда появились толпы рабочих с транспарантами: «Долой Временное правительство!», «Вся власть Советам!». 3 мая ЦК большевиков принял постановление направить агитаторов в казармы и на фабрики, а начальник Военной организации партии Николай Подвойский потребовал доставить в город «надежных» матросов из Кронштадта. Усилия большевиков, однако, оказались тщетными. Не удалось сагитировать ни рабочих — большевистские резолюции поддержало не более 1000 человек (0,5% от всех трудящихся Петрограда), ни кронштадтских матросов (17045).</w:t>
      </w:r>
    </w:p>
    <w:p w14:paraId="74267D47" w14:textId="77777777" w:rsidR="0025540B" w:rsidRPr="002F2FDF" w:rsidRDefault="0025540B"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A100C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апреля (</w:t>
      </w:r>
      <w:r w:rsidR="0025540B" w:rsidRPr="002F2FDF">
        <w:rPr>
          <w:rFonts w:ascii="Times New Roman" w:hAnsi="Times New Roman" w:cs="Times New Roman"/>
          <w:color w:val="000000" w:themeColor="text1"/>
          <w:kern w:val="2"/>
          <w:sz w:val="16"/>
          <w:szCs w:val="16"/>
        </w:rPr>
        <w:t>2</w:t>
      </w:r>
      <w:r w:rsidRPr="002F2FDF">
        <w:rPr>
          <w:rFonts w:ascii="Times New Roman" w:hAnsi="Times New Roman" w:cs="Times New Roman"/>
          <w:color w:val="000000" w:themeColor="text1"/>
          <w:kern w:val="2"/>
          <w:sz w:val="16"/>
          <w:szCs w:val="16"/>
        </w:rPr>
        <w:t xml:space="preserve"> мая) 1917 в России вышел первый номер газеты Максима Горького "Новая жизнь" (4962).</w:t>
      </w:r>
    </w:p>
    <w:p w14:paraId="52A7D96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4B97E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4B0FA3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0162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(18 - 1348,114) апреля (</w:t>
      </w:r>
      <w:r w:rsidR="0025540B" w:rsidRPr="002F2FDF">
        <w:rPr>
          <w:rFonts w:ascii="Times New Roman" w:hAnsi="Times New Roman" w:cs="Times New Roman"/>
          <w:color w:val="000000" w:themeColor="text1"/>
          <w:kern w:val="2"/>
          <w:sz w:val="16"/>
          <w:szCs w:val="16"/>
        </w:rPr>
        <w:t>2</w:t>
      </w:r>
      <w:r w:rsidRPr="002F2FDF">
        <w:rPr>
          <w:rFonts w:ascii="Times New Roman" w:hAnsi="Times New Roman" w:cs="Times New Roman"/>
          <w:color w:val="000000" w:themeColor="text1"/>
          <w:kern w:val="2"/>
          <w:sz w:val="16"/>
          <w:szCs w:val="16"/>
        </w:rPr>
        <w:t xml:space="preserve"> мая) 1917 вышла нота Милюкова о том, что цели войны не изменились (2565), однако, в ней говорилось о "всенародном стремлении довести мировую войну до решающей победы" (3186), что вызвало кризис во Временном правительстве (4962).</w:t>
      </w:r>
    </w:p>
    <w:p w14:paraId="7A35A7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6123F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4ADD5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D187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20 апреля </w:t>
      </w:r>
      <w:r w:rsidR="001E32B6" w:rsidRPr="002F2FDF">
        <w:rPr>
          <w:rFonts w:ascii="Times New Roman" w:hAnsi="Times New Roman" w:cs="Times New Roman"/>
          <w:color w:val="000000" w:themeColor="text1"/>
          <w:kern w:val="2"/>
          <w:sz w:val="16"/>
          <w:szCs w:val="16"/>
        </w:rPr>
        <w:t>(</w:t>
      </w:r>
      <w:r w:rsidR="0025540B" w:rsidRPr="002F2FDF">
        <w:rPr>
          <w:rFonts w:ascii="Times New Roman" w:hAnsi="Times New Roman" w:cs="Times New Roman"/>
          <w:color w:val="000000" w:themeColor="text1"/>
          <w:kern w:val="2"/>
          <w:sz w:val="16"/>
          <w:szCs w:val="16"/>
        </w:rPr>
        <w:t>3</w:t>
      </w:r>
      <w:r w:rsidR="001E32B6" w:rsidRPr="002F2FDF">
        <w:rPr>
          <w:rFonts w:ascii="Times New Roman" w:hAnsi="Times New Roman" w:cs="Times New Roman"/>
          <w:color w:val="000000" w:themeColor="text1"/>
          <w:kern w:val="2"/>
          <w:sz w:val="16"/>
          <w:szCs w:val="16"/>
        </w:rPr>
        <w:t xml:space="preserve"> мая) </w:t>
      </w:r>
      <w:r w:rsidRPr="002F2FDF">
        <w:rPr>
          <w:rFonts w:ascii="Times New Roman" w:hAnsi="Times New Roman" w:cs="Times New Roman"/>
          <w:color w:val="000000" w:themeColor="text1"/>
          <w:kern w:val="2"/>
          <w:sz w:val="16"/>
          <w:szCs w:val="16"/>
        </w:rPr>
        <w:t>1917 года начальник ЭВК в своём рапорте Начальнику Полевого управления авиации и воздухоплавания при штабе Верховного Главнокомандующего сообщал, что: "В Эскадре на вооружении состоят два типа воздушных кораблей Е и Г. Корабль типа Е дал хорошие результаты сравнительно с типом Г с моторами "Санбим". Он имеет большую:</w:t>
      </w:r>
    </w:p>
    <w:p w14:paraId="304A97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грузоподъёмность,</w:t>
      </w:r>
    </w:p>
    <w:p w14:paraId="389D0A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собственную скорость,</w:t>
      </w:r>
    </w:p>
    <w:p w14:paraId="7BB6E9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скорость восхождения,</w:t>
      </w:r>
    </w:p>
    <w:p w14:paraId="331C26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 пулемётный обстрел,</w:t>
      </w:r>
    </w:p>
    <w:p w14:paraId="5A0B92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 удобство наблюдения.</w:t>
      </w:r>
    </w:p>
    <w:p w14:paraId="0908A4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сравнении с типом Г с моторами РБВ3.6. тип Е имеет такие же преимущества, кроме пункта в), имея при аналогичной нагрузке почти одинаковые данные. Тип Е в сравнении с типом Г с 2хРБВЗ и 2хРено имеет те же преимущества. Но уже заметно уступает по пункту в). Корабль типа Г "Рено балт" поднимает 1600 кг. Вес конструкции с моторами и водой порядка 3800 кг. Корабль типа Е поднимает 2400 кг. Вес конструкции с моторами и водой порядка 5000 кг" (12041).</w:t>
      </w:r>
    </w:p>
    <w:p w14:paraId="2B88FB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122F2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1A6CF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7A96D0" w14:textId="77777777" w:rsidR="003D6BB9" w:rsidRPr="002F2FDF" w:rsidRDefault="003D6BB9"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На 20 апреля (3 мая) 1917 г. «Ремингтон», дававший в августе 1916 г. менее 300 винтовок в день приблизился к 1800, всего же за годы войны от «Ремингтона» было получено в России 2 млн. винтовок (18409).</w:t>
      </w:r>
    </w:p>
    <w:p w14:paraId="24F8776A" w14:textId="77777777" w:rsidR="003D6BB9" w:rsidRPr="002F2FDF" w:rsidRDefault="003D6BB9" w:rsidP="0083075A">
      <w:pPr>
        <w:pStyle w:val="p1"/>
        <w:spacing w:before="0" w:beforeAutospacing="0" w:after="0" w:afterAutospacing="0"/>
        <w:jc w:val="both"/>
        <w:rPr>
          <w:color w:val="000000" w:themeColor="text1"/>
          <w:sz w:val="16"/>
          <w:szCs w:val="16"/>
        </w:rPr>
      </w:pPr>
    </w:p>
    <w:p w14:paraId="19ACAFA0" w14:textId="5373FFD1"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На 20 апреля </w:t>
      </w:r>
      <w:r>
        <w:rPr>
          <w:rFonts w:ascii="Times New Roman" w:hAnsi="Times New Roman" w:cs="Times New Roman"/>
          <w:color w:val="0070C0"/>
          <w:sz w:val="16"/>
          <w:szCs w:val="16"/>
        </w:rPr>
        <w:t xml:space="preserve">(3 мая) </w:t>
      </w:r>
      <w:r w:rsidRPr="00FB4F67">
        <w:rPr>
          <w:rFonts w:ascii="Times New Roman" w:hAnsi="Times New Roman" w:cs="Times New Roman"/>
          <w:color w:val="0070C0"/>
          <w:sz w:val="16"/>
          <w:szCs w:val="16"/>
        </w:rPr>
        <w:t>1917 г. «Ремингтон», дававший в авгу</w:t>
      </w:r>
      <w:r w:rsidRPr="00FB4F67">
        <w:rPr>
          <w:rFonts w:ascii="Times New Roman" w:hAnsi="Times New Roman" w:cs="Times New Roman"/>
          <w:color w:val="0070C0"/>
          <w:sz w:val="16"/>
          <w:szCs w:val="16"/>
        </w:rPr>
        <w:softHyphen/>
        <w:t>сте 1916 г. менее 300 винтовок в день, приблизился к 1800 (РГВИА. Ф. 2000. On. 1. Д. 6209. Л. 26. По сообщению приемщика (по пороху и взрывчатке) Н.И. Жуковского, в декабре «Ремингтон» да</w:t>
      </w:r>
      <w:r w:rsidRPr="00FB4F67">
        <w:rPr>
          <w:rFonts w:ascii="Times New Roman" w:hAnsi="Times New Roman" w:cs="Times New Roman"/>
          <w:color w:val="0070C0"/>
          <w:sz w:val="16"/>
          <w:szCs w:val="16"/>
        </w:rPr>
        <w:softHyphen/>
        <w:t>вал 500, в марте 1917 г. — 1200, в мае — 1800 винтовок в день, осенью — 4000 шт. (Жуковский Н. Предисловие редактора // Радфорд ГС. Контроль качества в производстве. М., 1926. С. 9).), всего же за годы войны от «Реминг</w:t>
      </w:r>
      <w:r w:rsidRPr="00FB4F67">
        <w:rPr>
          <w:rFonts w:ascii="Times New Roman" w:hAnsi="Times New Roman" w:cs="Times New Roman"/>
          <w:color w:val="0070C0"/>
          <w:sz w:val="16"/>
          <w:szCs w:val="16"/>
        </w:rPr>
        <w:softHyphen/>
        <w:t>тона» было получено в России 2 млн винтовок Ш) (СВП. С. 294, 296.) (23452).</w:t>
      </w:r>
    </w:p>
    <w:p w14:paraId="10DA5090" w14:textId="77777777" w:rsidR="00E52569" w:rsidRPr="00FB4F67" w:rsidRDefault="00E52569" w:rsidP="0083075A">
      <w:pPr>
        <w:spacing w:after="0" w:line="240" w:lineRule="auto"/>
        <w:jc w:val="both"/>
        <w:rPr>
          <w:rFonts w:ascii="Times New Roman" w:hAnsi="Times New Roman" w:cs="Times New Roman"/>
          <w:color w:val="0070C0"/>
          <w:sz w:val="16"/>
          <w:szCs w:val="16"/>
        </w:rPr>
      </w:pPr>
    </w:p>
    <w:p w14:paraId="6B09ECC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и 26 апреля (</w:t>
      </w:r>
      <w:r w:rsidR="0025540B" w:rsidRPr="002F2FDF">
        <w:rPr>
          <w:rFonts w:ascii="Times New Roman" w:hAnsi="Times New Roman" w:cs="Times New Roman"/>
          <w:color w:val="000000" w:themeColor="text1"/>
          <w:kern w:val="2"/>
          <w:sz w:val="16"/>
          <w:szCs w:val="16"/>
        </w:rPr>
        <w:t>3</w:t>
      </w:r>
      <w:r w:rsidRPr="002F2FDF">
        <w:rPr>
          <w:rFonts w:ascii="Times New Roman" w:hAnsi="Times New Roman" w:cs="Times New Roman"/>
          <w:color w:val="000000" w:themeColor="text1"/>
          <w:kern w:val="2"/>
          <w:sz w:val="16"/>
          <w:szCs w:val="16"/>
        </w:rPr>
        <w:t xml:space="preserve"> и 8 мая) 1917 г. на совещании начальников петроградских артиллерийских заводов о новых формах управления предприятиями был подвергнут рассмотрению вопрос о реформе управления артиллерийскими заводами. После всестороннего обсуждения дела совеща</w:t>
      </w:r>
      <w:r w:rsidRPr="002F2FDF">
        <w:rPr>
          <w:rFonts w:ascii="Times New Roman" w:hAnsi="Times New Roman" w:cs="Times New Roman"/>
          <w:color w:val="000000" w:themeColor="text1"/>
          <w:kern w:val="2"/>
          <w:sz w:val="16"/>
          <w:szCs w:val="16"/>
        </w:rPr>
        <w:softHyphen/>
        <w:t>ние пришло к следующим заключениям.</w:t>
      </w:r>
    </w:p>
    <w:p w14:paraId="76CD953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Ранее чем приступить к подробной разработке проекта заводоуправления необходи</w:t>
      </w:r>
      <w:r w:rsidRPr="002F2FDF">
        <w:rPr>
          <w:rFonts w:ascii="Times New Roman" w:hAnsi="Times New Roman" w:cs="Times New Roman"/>
          <w:color w:val="000000" w:themeColor="text1"/>
          <w:kern w:val="2"/>
          <w:sz w:val="16"/>
          <w:szCs w:val="16"/>
        </w:rPr>
        <w:softHyphen/>
        <w:t>мо твердо и ясно установить те основные принципы, на коих заводоуправление должно быть построено.</w:t>
      </w:r>
    </w:p>
    <w:p w14:paraId="47E3243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Исходной точкой должно служить соображение, что артиллерийский завод есть уч</w:t>
      </w:r>
      <w:r w:rsidRPr="002F2FDF">
        <w:rPr>
          <w:rFonts w:ascii="Times New Roman" w:hAnsi="Times New Roman" w:cs="Times New Roman"/>
          <w:color w:val="000000" w:themeColor="text1"/>
          <w:kern w:val="2"/>
          <w:sz w:val="16"/>
          <w:szCs w:val="16"/>
        </w:rPr>
        <w:softHyphen/>
        <w:t>реждение государственное. Отсюда неизбежно вытекает, что управлять им должна власть, перед государством ответственная и им поставленная.</w:t>
      </w:r>
    </w:p>
    <w:p w14:paraId="6FF24BB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РГВИА. Ф. 366. Оп. 2. Д. 50. Л. 100-104. Завер. Копия (10707,667).</w:t>
      </w:r>
    </w:p>
    <w:p w14:paraId="3D4EB81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F92E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апреля (</w:t>
      </w:r>
      <w:r w:rsidR="0025540B" w:rsidRPr="002F2FDF">
        <w:rPr>
          <w:rFonts w:ascii="Times New Roman" w:hAnsi="Times New Roman" w:cs="Times New Roman"/>
          <w:color w:val="000000" w:themeColor="text1"/>
          <w:kern w:val="2"/>
          <w:sz w:val="16"/>
          <w:szCs w:val="16"/>
        </w:rPr>
        <w:t>3</w:t>
      </w:r>
      <w:r w:rsidRPr="002F2FDF">
        <w:rPr>
          <w:rFonts w:ascii="Times New Roman" w:hAnsi="Times New Roman" w:cs="Times New Roman"/>
          <w:color w:val="000000" w:themeColor="text1"/>
          <w:kern w:val="2"/>
          <w:sz w:val="16"/>
          <w:szCs w:val="16"/>
        </w:rPr>
        <w:t xml:space="preserve"> мая) 1917 Инженерный комитет ГВТУ рассмотрел проект боевой машины, разработанный и-м С.П.Навроцким - подвижную бронированную батарею (9527,289).</w:t>
      </w:r>
    </w:p>
    <w:p w14:paraId="6580D1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30D269" w14:textId="77777777" w:rsidR="006E0C58" w:rsidRPr="002F2FDF" w:rsidRDefault="006E0C58"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20 апреля (3 мая) 1917г. Технический Комитет ГВТУ рассмотрел проект «подвижной батареи Улучшенная черепаха» инженера-механика С.П. Навроцкого, заведывавшего заводом «Рихард Ноле» в Воронеже. Проект предполагал машину весом 192 т, высотой 8,52 м, с передним приводным катком сферической формы диаметром 6,5 м и двумя задними полусферическими диаметром 2,5 м. Внутри переднего катка и на задней площадке размещались две 203-мм гаубицы, два 152-мм орудия, четыре 102-мм и восемь 76,2-мм пушек, 10 пулеметов. Внутри переднего катка монтировались и двигатели. «Черепаха» имела 30-20-мм броню, экипаж от 60 до 100 человек. Нам здесь наиболее интересно следующее замечание Технического Комитета: «в сравнении с …танками, батарея совершенно мало подвижна» (20250).</w:t>
      </w:r>
    </w:p>
    <w:p w14:paraId="4904C263" w14:textId="77777777" w:rsidR="006E0C58" w:rsidRPr="002F2FDF" w:rsidRDefault="006E0C58" w:rsidP="0083075A">
      <w:pPr>
        <w:shd w:val="clear" w:color="auto" w:fill="FFFFFF"/>
        <w:spacing w:after="0" w:line="240" w:lineRule="auto"/>
        <w:jc w:val="both"/>
        <w:rPr>
          <w:rFonts w:ascii="Times New Roman" w:hAnsi="Times New Roman" w:cs="Times New Roman"/>
          <w:color w:val="000000" w:themeColor="text1"/>
          <w:sz w:val="16"/>
          <w:szCs w:val="16"/>
        </w:rPr>
      </w:pPr>
    </w:p>
    <w:p w14:paraId="19FACAD4" w14:textId="77777777" w:rsidR="0071649C" w:rsidRPr="002F2FDF" w:rsidRDefault="0071649C" w:rsidP="0083075A">
      <w:pPr>
        <w:pStyle w:val="rtecenter"/>
        <w:spacing w:before="0" w:after="0"/>
        <w:jc w:val="both"/>
        <w:rPr>
          <w:color w:val="000000" w:themeColor="text1"/>
          <w:kern w:val="2"/>
          <w:sz w:val="16"/>
          <w:szCs w:val="16"/>
        </w:rPr>
      </w:pPr>
      <w:r w:rsidRPr="002F2FDF">
        <w:rPr>
          <w:rStyle w:val="af0"/>
          <w:i w:val="0"/>
          <w:color w:val="000000" w:themeColor="text1"/>
          <w:kern w:val="2"/>
          <w:sz w:val="16"/>
          <w:szCs w:val="16"/>
        </w:rPr>
        <w:t>20 апреля (3 мая) 1917 Доклад члена Русского правительственного комитета в Лондоне С. И. Гаврилова на заседании комиссии лорда А. Мильнера</w:t>
      </w:r>
      <w:hyperlink r:id="rId140" w:anchor="_ftn1" w:history="1">
        <w:r w:rsidRPr="002F2FDF">
          <w:rPr>
            <w:rStyle w:val="a7"/>
            <w:rFonts w:eastAsiaTheme="majorEastAsia"/>
            <w:b w:val="0"/>
            <w:iCs/>
            <w:color w:val="000000" w:themeColor="text1"/>
            <w:kern w:val="2"/>
            <w:sz w:val="16"/>
            <w:szCs w:val="16"/>
          </w:rPr>
          <w:t>[1]</w:t>
        </w:r>
      </w:hyperlink>
      <w:r w:rsidRPr="002F2FDF">
        <w:rPr>
          <w:rStyle w:val="af0"/>
          <w:i w:val="0"/>
          <w:color w:val="000000" w:themeColor="text1"/>
          <w:kern w:val="2"/>
          <w:sz w:val="16"/>
          <w:szCs w:val="16"/>
        </w:rPr>
        <w:t>о положении со снабжением русских предприятий заграничным заводским оборудованием.</w:t>
      </w:r>
    </w:p>
    <w:p w14:paraId="4543DCF7"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Милостивые государи.</w:t>
      </w:r>
    </w:p>
    <w:p w14:paraId="5780C12D"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Настоящий доклад относительно снабжения русских казенных и частных работающих на оборону предприятий необходимыми для них ставками, машинами, запасными частями, инструментами и прочими предметами механического оборудования разбивается на 3 части.</w:t>
      </w:r>
    </w:p>
    <w:p w14:paraId="017FC633"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В первой части я хотел бы дать вам сведения относительно общего количества заказов на предметы механического оборудования, помешенных в Англии и Соединенных Штатах. Во второй части я хочу доказать вам, что если бы даже все заказы были выполнены, была бы полная возможность отправки их в Россию, согласно программе лорда Мильнера. В третьей части я считаю уместным сказать несколько слов относительно настоящего положения этих заказов.</w:t>
      </w:r>
    </w:p>
    <w:p w14:paraId="1DE346C1"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Заказы, помещенные различными русскими министерствами и частным предприятиями, проходят через отделы здешнего правительственного комитета. Я желал бы дать вам сведения относительно этих заказов, придерживаясь не классификации товаров, а распределения их по отделам комитета. Наибольшее количество заказов было помещаемо или проходило через следующие отделы: артиллерийский, Главного военно-технхнического управления, горнозаводский, Министерства торговли и промышленности, морской, железнодорожный Министерства путей сообщения Союза земств и городов и торгово-машинную часть от торгового отдела.</w:t>
      </w:r>
    </w:p>
    <w:p w14:paraId="331E24BF"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Детальное перечисление заказов не может представлять для вас интерес, поэтому я его выпускаю.</w:t>
      </w:r>
    </w:p>
    <w:p w14:paraId="26746F12"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Торгово-машинная секция. Очень трудно дать сколько-нибудь точную цифру тоннажа, который требуется для заказов, проходящих через эту секцию. Заказы большей частью очень малы и помещаются через торговцев и посредников, главным образом в Англии. Эти заказы, с другой стороны, включают в себя практически все необходимые предметы механического оборудования, запасные части к ним и инструменты для всей массы частных промышленных предприятий России, которые не включены в предыдущие параграфы.</w:t>
      </w:r>
    </w:p>
    <w:p w14:paraId="5BD5BFCB"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lastRenderedPageBreak/>
        <w:t>Так как заказы помещаются частным образом и проходят через Русский правительственный комитет только тогда, когда требуется получить разрешение от британских властей на производство и вывоз, я могу дать только приблизительную цифру всего тоннажа для перевозки в текущем сезоне. По моему мнению, он не может превысить 7000 т, и заказы могут быть распределены по группам приблизительно так:</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48"/>
        <w:gridCol w:w="1627"/>
      </w:tblGrid>
      <w:tr w:rsidR="002B1C74" w:rsidRPr="002F2FDF" w14:paraId="32ACC2F7"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2BC46C"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Станки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B3428"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3</w:t>
            </w:r>
            <w:r w:rsidRPr="002F2FDF">
              <w:rPr>
                <w:color w:val="000000" w:themeColor="text1"/>
                <w:kern w:val="2"/>
                <w:sz w:val="16"/>
                <w:szCs w:val="16"/>
                <w:vertAlign w:val="superscript"/>
              </w:rPr>
              <w:t>1</w:t>
            </w:r>
            <w:r w:rsidRPr="002F2FDF">
              <w:rPr>
                <w:color w:val="000000" w:themeColor="text1"/>
                <w:kern w:val="2"/>
                <w:sz w:val="16"/>
                <w:szCs w:val="16"/>
              </w:rPr>
              <w:t>/</w:t>
            </w:r>
            <w:r w:rsidRPr="002F2FDF">
              <w:rPr>
                <w:color w:val="000000" w:themeColor="text1"/>
                <w:kern w:val="2"/>
                <w:sz w:val="16"/>
                <w:szCs w:val="16"/>
                <w:vertAlign w:val="subscript"/>
              </w:rPr>
              <w:t>2</w:t>
            </w:r>
            <w:r w:rsidRPr="002F2FDF">
              <w:rPr>
                <w:color w:val="000000" w:themeColor="text1"/>
                <w:kern w:val="2"/>
                <w:sz w:val="16"/>
                <w:szCs w:val="16"/>
              </w:rPr>
              <w:t>% всего количества</w:t>
            </w:r>
          </w:p>
        </w:tc>
      </w:tr>
      <w:tr w:rsidR="002B1C74" w:rsidRPr="002F2FDF" w14:paraId="1F3FB34D"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C04ECE"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Пневматические, паровые и падающие молота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49BFCD7"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2</w:t>
            </w:r>
            <w:r w:rsidRPr="002F2FDF">
              <w:rPr>
                <w:color w:val="000000" w:themeColor="text1"/>
                <w:kern w:val="2"/>
                <w:sz w:val="16"/>
                <w:szCs w:val="16"/>
                <w:vertAlign w:val="superscript"/>
              </w:rPr>
              <w:t>1</w:t>
            </w:r>
            <w:r w:rsidRPr="002F2FDF">
              <w:rPr>
                <w:color w:val="000000" w:themeColor="text1"/>
                <w:kern w:val="2"/>
                <w:sz w:val="16"/>
                <w:szCs w:val="16"/>
              </w:rPr>
              <w:t>/</w:t>
            </w:r>
            <w:r w:rsidRPr="002F2FDF">
              <w:rPr>
                <w:color w:val="000000" w:themeColor="text1"/>
                <w:kern w:val="2"/>
                <w:sz w:val="16"/>
                <w:szCs w:val="16"/>
                <w:vertAlign w:val="subscript"/>
              </w:rPr>
              <w:t>2</w:t>
            </w:r>
            <w:r w:rsidRPr="002F2FDF">
              <w:rPr>
                <w:color w:val="000000" w:themeColor="text1"/>
                <w:kern w:val="2"/>
                <w:sz w:val="16"/>
                <w:szCs w:val="16"/>
              </w:rPr>
              <w:t xml:space="preserve"> % » »</w:t>
            </w:r>
          </w:p>
        </w:tc>
      </w:tr>
      <w:tr w:rsidR="002B1C74" w:rsidRPr="002F2FDF" w14:paraId="583BAB1D"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CE59BA"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Компрессоры и вентиляторы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51CB9"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1 % » »</w:t>
            </w:r>
          </w:p>
        </w:tc>
      </w:tr>
      <w:tr w:rsidR="002B1C74" w:rsidRPr="002F2FDF" w14:paraId="563200E6"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206370"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Насосы различного назначения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36261"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1</w:t>
            </w:r>
            <w:r w:rsidRPr="002F2FDF">
              <w:rPr>
                <w:color w:val="000000" w:themeColor="text1"/>
                <w:kern w:val="2"/>
                <w:sz w:val="16"/>
                <w:szCs w:val="16"/>
                <w:vertAlign w:val="superscript"/>
              </w:rPr>
              <w:t>1</w:t>
            </w:r>
            <w:r w:rsidRPr="002F2FDF">
              <w:rPr>
                <w:color w:val="000000" w:themeColor="text1"/>
                <w:kern w:val="2"/>
                <w:sz w:val="16"/>
                <w:szCs w:val="16"/>
              </w:rPr>
              <w:t>/</w:t>
            </w:r>
            <w:r w:rsidRPr="002F2FDF">
              <w:rPr>
                <w:color w:val="000000" w:themeColor="text1"/>
                <w:kern w:val="2"/>
                <w:sz w:val="16"/>
                <w:szCs w:val="16"/>
                <w:vertAlign w:val="subscript"/>
              </w:rPr>
              <w:t>2</w:t>
            </w:r>
            <w:r w:rsidRPr="002F2FDF">
              <w:rPr>
                <w:color w:val="000000" w:themeColor="text1"/>
                <w:kern w:val="2"/>
                <w:sz w:val="16"/>
                <w:szCs w:val="16"/>
              </w:rPr>
              <w:t>% » »</w:t>
            </w:r>
          </w:p>
        </w:tc>
      </w:tr>
      <w:tr w:rsidR="002B1C74" w:rsidRPr="002F2FDF" w14:paraId="428EC755"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595357"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Паровые машины и нефтяные двигатели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F1E01"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9% » »</w:t>
            </w:r>
          </w:p>
        </w:tc>
      </w:tr>
      <w:tr w:rsidR="002B1C74" w:rsidRPr="002F2FDF" w14:paraId="24DB4727"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81DFD7"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Паровые котлы и запасные части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544BF"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6% » »</w:t>
            </w:r>
          </w:p>
        </w:tc>
      </w:tr>
      <w:tr w:rsidR="002B1C74" w:rsidRPr="002F2FDF" w14:paraId="3DBCD3E4"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456F00"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Силовые устройства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FFF96"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17% » »</w:t>
            </w:r>
          </w:p>
        </w:tc>
      </w:tr>
      <w:tr w:rsidR="002B1C74" w:rsidRPr="002F2FDF" w14:paraId="6E99C0A5"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19A6BA"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Краны и подъемные приспособления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DF055"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5% » »</w:t>
            </w:r>
          </w:p>
        </w:tc>
      </w:tr>
      <w:tr w:rsidR="002B1C74" w:rsidRPr="002F2FDF" w14:paraId="00F35CA5"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807CFE"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Ремни кожаные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7EA46"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vertAlign w:val="superscript"/>
              </w:rPr>
              <w:t>1</w:t>
            </w:r>
            <w:r w:rsidRPr="002F2FDF">
              <w:rPr>
                <w:color w:val="000000" w:themeColor="text1"/>
                <w:kern w:val="2"/>
                <w:sz w:val="16"/>
                <w:szCs w:val="16"/>
              </w:rPr>
              <w:t>/</w:t>
            </w:r>
            <w:r w:rsidRPr="002F2FDF">
              <w:rPr>
                <w:color w:val="000000" w:themeColor="text1"/>
                <w:kern w:val="2"/>
                <w:sz w:val="16"/>
                <w:szCs w:val="16"/>
                <w:vertAlign w:val="subscript"/>
              </w:rPr>
              <w:t>2</w:t>
            </w:r>
            <w:r w:rsidRPr="002F2FDF">
              <w:rPr>
                <w:color w:val="000000" w:themeColor="text1"/>
                <w:kern w:val="2"/>
                <w:sz w:val="16"/>
                <w:szCs w:val="16"/>
              </w:rPr>
              <w:t>% » »</w:t>
            </w:r>
          </w:p>
        </w:tc>
      </w:tr>
      <w:tr w:rsidR="002B1C74" w:rsidRPr="002F2FDF" w14:paraId="5CF50693"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35D7EC"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Инструменты разного рода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93222"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 xml:space="preserve">3 </w:t>
            </w:r>
            <w:r w:rsidRPr="002F2FDF">
              <w:rPr>
                <w:color w:val="000000" w:themeColor="text1"/>
                <w:kern w:val="2"/>
                <w:sz w:val="16"/>
                <w:szCs w:val="16"/>
                <w:vertAlign w:val="superscript"/>
              </w:rPr>
              <w:t>1</w:t>
            </w:r>
            <w:r w:rsidRPr="002F2FDF">
              <w:rPr>
                <w:color w:val="000000" w:themeColor="text1"/>
                <w:kern w:val="2"/>
                <w:sz w:val="16"/>
                <w:szCs w:val="16"/>
              </w:rPr>
              <w:t>/</w:t>
            </w:r>
            <w:r w:rsidRPr="002F2FDF">
              <w:rPr>
                <w:color w:val="000000" w:themeColor="text1"/>
                <w:kern w:val="2"/>
                <w:sz w:val="16"/>
                <w:szCs w:val="16"/>
                <w:vertAlign w:val="subscript"/>
              </w:rPr>
              <w:t>2</w:t>
            </w:r>
            <w:r w:rsidRPr="002F2FDF">
              <w:rPr>
                <w:color w:val="000000" w:themeColor="text1"/>
                <w:kern w:val="2"/>
                <w:sz w:val="16"/>
                <w:szCs w:val="16"/>
              </w:rPr>
              <w:t xml:space="preserve"> % » »</w:t>
            </w:r>
          </w:p>
        </w:tc>
      </w:tr>
      <w:tr w:rsidR="002B1C74" w:rsidRPr="002F2FDF" w14:paraId="35DE3E20"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0A0AC9"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Электрические принадлежности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C86D9"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3 % » »</w:t>
            </w:r>
          </w:p>
        </w:tc>
      </w:tr>
      <w:tr w:rsidR="002B1C74" w:rsidRPr="002F2FDF" w14:paraId="4E330AAD"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021EE1"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Текстильные станки и запасные части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75BA1"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34% » »</w:t>
            </w:r>
          </w:p>
        </w:tc>
      </w:tr>
      <w:tr w:rsidR="002B1C74" w:rsidRPr="002F2FDF" w14:paraId="180FADE5"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2D6ADD"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Специальные устройства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955DC"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13% % » »</w:t>
            </w:r>
          </w:p>
        </w:tc>
      </w:tr>
    </w:tbl>
    <w:p w14:paraId="2C8EDCEB"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Количество станков для текстильной промышленности и запасных частей к ним кажется сравнительно большим, но, с другой стороны, наша текстильная промышленность привыкла приобретать эти машины почти исключительно в Англии. Огромное количество сукна для армии и также для населения России требует большого увеличения количества машин и в особенности запасных частей, так как вследствие применяемых теперь грубых материалов для изготовления сукна машины изнашиваются очень быстро. Поэтому как не велик тоннаж, я думаю, что очень немногое может быть из него исключено.</w:t>
      </w:r>
    </w:p>
    <w:p w14:paraId="7FBDFC15"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Резюмируя вышесказанное, можно утвердительно сказать, что огромная часть предметов механического оборудования требуется для существующих и работающих на оборону устройств, для замены пришедших в негодность и для пополнения оборудования для поднятия производительности заводов. Настоящее условие работы, когда все русские предприятия занимаются массовым производством, требует строгой пропорциональности в количестве станков различных групп. Поэтому недостаток одного пли двух станков отражается часто на продуктивности всего предприятия. Вследствие непрерывной работы в две или три смены, а также вследствие необходимости пополнения числа рабочих малоопытными и часто совершенно неподготовленными новичками, износ и поломки существующего устройства достигают очень высоких цифр. Все эти соображения настолько известны техникам, что я не считаю нужным останавливаться на них долее.</w:t>
      </w:r>
    </w:p>
    <w:p w14:paraId="367CB43B"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Переходя ко второй части своего доклада, я хотел бы дать вам общую цифру тоннажа всех тех машин и станков, которые, по нашему мнению, могли бы быть отправлены в текущем сезоне. Эта цифра слагается из</w:t>
      </w:r>
    </w:p>
    <w:p w14:paraId="691B05FC"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следующих цифр тоннажа, требующегося для различных отделов Русского комитета, а именно: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17"/>
        <w:gridCol w:w="595"/>
      </w:tblGrid>
      <w:tr w:rsidR="002B1C74" w:rsidRPr="002F2FDF" w14:paraId="3C356C9B"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C18A7C"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Артиллерийскии отдел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A8D24"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15000 т</w:t>
            </w:r>
          </w:p>
        </w:tc>
      </w:tr>
      <w:tr w:rsidR="002B1C74" w:rsidRPr="002F2FDF" w14:paraId="3195DC93"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943792"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Главный военно-технический отдел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4BDE6"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17500 »</w:t>
            </w:r>
          </w:p>
        </w:tc>
      </w:tr>
      <w:tr w:rsidR="002B1C74" w:rsidRPr="002F2FDF" w14:paraId="765456DE"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3BB9D5"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Горнозаводской отдел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516B1"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3000 »</w:t>
            </w:r>
          </w:p>
        </w:tc>
      </w:tr>
      <w:tr w:rsidR="002B1C74" w:rsidRPr="002F2FDF" w14:paraId="1723AE82"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95894C"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Морской отдел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0EBD2"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5000 »</w:t>
            </w:r>
          </w:p>
        </w:tc>
      </w:tr>
      <w:tr w:rsidR="002B1C74" w:rsidRPr="002F2FDF" w14:paraId="43058226"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EA7530"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Железнодорожный отдел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E829D"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2650 »</w:t>
            </w:r>
          </w:p>
        </w:tc>
      </w:tr>
      <w:tr w:rsidR="002B1C74" w:rsidRPr="002F2FDF" w14:paraId="6C88DF0F"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5EBFB9"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Союз земств и городов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E06D4"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300 »</w:t>
            </w:r>
          </w:p>
        </w:tc>
      </w:tr>
      <w:tr w:rsidR="002B1C74" w:rsidRPr="002F2FDF" w14:paraId="12D85506"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E23FCE"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Торгово-машинная секция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69754"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7000 »</w:t>
            </w:r>
          </w:p>
        </w:tc>
      </w:tr>
    </w:tbl>
    <w:p w14:paraId="1042830D"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Все вышеуказанные грузы для артиллерийского, главного военно-технического, морского, железнодорожного и земского отделов должны быть включены в тоннаж, специально резервированный для этих отделов. Таким образом, весь тоннаж, который относится к торговому отделу, совсем мал и, вероятно, не превысит 7000 т. Очень возможно, что по указанным ниже причинам общая цифра тоннажа для перевозки предметов механического оборудования будет значительно ниже, но даже если бы мы приняли максимальную цифру 8000 т, то не может быть никаких затруднений в перевозке этого, сравнительно небольшого количества товаров в Россию. Очевидно, что важность станков, запасных частей к ним и инструментов настолько велика, что места на кораблях могут быть и должны быть найдены, и всякого рода жертвы должны быть сделаны для того. чтобы ввезти в Россию столь много предметов механического оборудования, сколько это практически возможно. Я думаю, что из предыдущего без дальнейшего ясно, что никакого ограничения в количестве заказов на предметы механического оборудования не может быть допускаемо. если только рассматривать дело с точки зрения транспорта. Если бы нам и пришлось уничтожить некоторые заказы, то во всяком случае не потому, что заказанные предметы не могут быть готовы для отправки вследствие недостатка тоннажа, а потому, что они не могут быть готовы для отправки в текущую навигацию.</w:t>
      </w:r>
    </w:p>
    <w:p w14:paraId="62AA4238"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Всем хорошо известен всемирный недостаток в сыром материале н рабочих руках. Поэтому, настаивая на необходимости доставки в Россию всех помещенных заказов, мы не ожидаем от наших союзников, что они сделают невозможное, а указываем только, что ввиду крайней нужды русских предприятий в механическом оборудовании были приняты всевозможные и практически осуществимые меры к скорейшему изготовлению и отправке заказов.</w:t>
      </w:r>
    </w:p>
    <w:p w14:paraId="38BB3689" w14:textId="77777777" w:rsidR="0071649C" w:rsidRPr="002F2FDF" w:rsidRDefault="0071649C" w:rsidP="0083075A">
      <w:pPr>
        <w:pStyle w:val="rtejustify"/>
        <w:spacing w:before="0" w:after="0"/>
        <w:rPr>
          <w:color w:val="000000" w:themeColor="text1"/>
          <w:kern w:val="2"/>
          <w:sz w:val="16"/>
          <w:szCs w:val="16"/>
        </w:rPr>
      </w:pPr>
      <w:r w:rsidRPr="002F2FDF">
        <w:rPr>
          <w:color w:val="000000" w:themeColor="text1"/>
          <w:kern w:val="2"/>
          <w:sz w:val="16"/>
          <w:szCs w:val="16"/>
        </w:rPr>
        <w:t>Переходя к третьей и последней части моего доклада, я, к сожалению, должен упомянуть, что положение заказов на предметы механического оборудования плохо. Позвольте мне напомнить тот факт, который имел место за последнее время. Приблизительно до середины марта наша работа шла если не вполне быстро, то во всяком случае более или менее сносно; начиная со второй половины марта поданные нами аппликации были возвращены нам обратно, и было сделано предупреждение о том, что как эти, так и подаваемые вновь аппликации рассматриваться не будут. В машинном отделе скопилось несколько сотен аппликаций, многие из которых относятся к жизненно необходимым заказам и даже уже готовым предметам. До начала мая обстоятельства не прояснились, и положение оставалось столь же плохим. Практически вся наша работа остановилась. задержалось исполнение уже помещенных заказов, а многие из тех предметов, которые были готовы к вывозу, лежат на заводах либо изъяты для английских заводов. Я не могу не остановиться на последнем, именно на реквизиции. Нам известно много случаев, когда британские власти забирали для английских заводов те станки, которые были заказаны руссними заводами, иногда полностью оплаченные и готовые к отправке. Эти известия достигали нас, к сожалению, неофициально, а частным путем от заводов-поставіциков и посредников, через которых заказы были помещены. Вследствие реквизиции станков ру'сские заводы, без сомнения, попадут в очень трудные условия, так как они рассчитывали получить необходимое для них оборудование, сделали большие затраты и дали определенное обещание русскому правительству. Факт реквизиции даже нескольких станков уже вносит элемент неопределенности и беспорядка, который должен в'лиять на продуктивность работы русских предприятий. Для того чтобы реквизировать станки, нужно знать обстоятельства и положение заводов. Я не думаю, чтобы те лица, которые производили реквизицию, имели в своем распоряжении достаточно фактов, оправдывающих это и указывающих, что русское дело снабжения армии боевыми припасами от реквизиции не пострадает. Я не могу достаточно подчеркнуть важность и серьезность настоящего положения, которое может сделаться в близком будущем критическим. В первой части своего доклада я указал, насколько нужны предметы механического оборудования и на то, что русская промышленность не может быть лишена их без огромного ущерба для. обороны. Между тем по не известным нам причинам есть возможность опасаться, что эти предметы либо совсем не попадут в Россию, либо попадут с огромным опозданием, может быть, даже слишком поздно. Это тяжелое положение неопределенности, естественно, отражается на продуктивности работы как комитета, так и в особенности русских предприятий, которые в настоящее время сильно встревожены приходящими к ним известиями и случаями. Есть много частных случаев, которые по непонятным причинам остаются в положении неопределенности в течение многих месяцев. Чтобы не быть голословным, позволю себе привести следующие факты. Как я указал выше, для Ревельского порта требуется порядочное количество станков для мастерских для расширения существующего дока и для ремонта миноносцев. Далее, значительное количество станков требуется для плавучей мастерской «Анадырь». Оба эти заказа находятся в странном положении: уже четвертый месяц мы не можем получить ни положительного, ни отрицательного ответа, могут ли быть нам предоставлены средства для покупки этих станков и могут ли быть вообще эти заказы исполнены в текущем сезоне. Конечно, относительно этих заказов, как и других, можно быть различных мнений; можно оспаривать степень важности их, но во всяком случае нельзя оставлять вопроса нерешенным в течение столь долгого времени, так как это состояние неопределенности лишает возможности каких бы то ни было действий. В том же положении находится заказ для Ревдинских заводов, которые, как я упоминал, являются единственными заводами для изготовления самых больших снарядов для нашего флота. В таком же положении находится очень большое количество заказов и других отделов. Проходят недели и месяцы, но никакого ответа мы совершенно но имеем. Эти обстоятельства, именно задержка поданных нами ранее аппликаций, медленность в решении вопросов, касающихся кредитов и возможности изготовления станков, обусловливают крайне тягостное положение, из которого надо выйти как можно скорей для того, чтобы не пострадало основное дело войны.</w:t>
      </w:r>
    </w:p>
    <w:p w14:paraId="0127F798" w14:textId="77777777" w:rsidR="0071649C" w:rsidRPr="002F2FDF" w:rsidRDefault="0071649C"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Подписал: С. Гаврилов</w:t>
      </w:r>
    </w:p>
    <w:p w14:paraId="7552432E" w14:textId="77777777" w:rsidR="0071649C" w:rsidRPr="002F2FDF" w:rsidRDefault="0071649C"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lastRenderedPageBreak/>
        <w:t>Товарищ председателя С. И. Михин</w:t>
      </w:r>
    </w:p>
    <w:p w14:paraId="6FE8280E" w14:textId="77777777" w:rsidR="0071649C" w:rsidRPr="002F2FDF" w:rsidRDefault="0071649C"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За секретаря С. И. Кучинский</w:t>
      </w:r>
    </w:p>
    <w:p w14:paraId="38559F7E" w14:textId="77777777" w:rsidR="0071649C" w:rsidRPr="002F2FDF" w:rsidRDefault="00000000" w:rsidP="0083075A">
      <w:pPr>
        <w:pStyle w:val="ae"/>
        <w:spacing w:before="0" w:after="0"/>
        <w:jc w:val="both"/>
        <w:rPr>
          <w:color w:val="000000" w:themeColor="text1"/>
          <w:kern w:val="2"/>
          <w:sz w:val="16"/>
          <w:szCs w:val="16"/>
        </w:rPr>
      </w:pPr>
      <w:hyperlink r:id="rId141" w:anchor="_ftnref1" w:history="1">
        <w:r w:rsidR="0071649C" w:rsidRPr="002F2FDF">
          <w:rPr>
            <w:rStyle w:val="a5"/>
            <w:color w:val="000000" w:themeColor="text1"/>
            <w:kern w:val="2"/>
            <w:sz w:val="16"/>
            <w:szCs w:val="16"/>
          </w:rPr>
          <w:t>[1]</w:t>
        </w:r>
      </w:hyperlink>
      <w:r w:rsidR="0071649C" w:rsidRPr="002F2FDF">
        <w:rPr>
          <w:color w:val="000000" w:themeColor="text1"/>
          <w:kern w:val="2"/>
          <w:sz w:val="16"/>
          <w:szCs w:val="16"/>
        </w:rPr>
        <w:t xml:space="preserve"> Комиссия под председательством лорда А. Мильнера была образована по возвращении Мильнера с Петроградской конференции и ведала размещением русских заказов в Англии, передачей военных материалов, уступленных русской армии. В ведении комиссии находились кредиты английского казначейства (15165).</w:t>
      </w:r>
    </w:p>
    <w:p w14:paraId="47D468BC" w14:textId="77777777" w:rsidR="0071649C" w:rsidRPr="002F2FDF" w:rsidRDefault="0071649C"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3AC2C47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CF817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99E1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апреля (</w:t>
      </w:r>
      <w:r w:rsidR="00FE48DD" w:rsidRPr="002F2FDF">
        <w:rPr>
          <w:rFonts w:ascii="Times New Roman" w:hAnsi="Times New Roman" w:cs="Times New Roman"/>
          <w:color w:val="000000" w:themeColor="text1"/>
          <w:kern w:val="2"/>
          <w:sz w:val="16"/>
          <w:szCs w:val="16"/>
        </w:rPr>
        <w:t>3</w:t>
      </w:r>
      <w:r w:rsidRPr="002F2FDF">
        <w:rPr>
          <w:rFonts w:ascii="Times New Roman" w:hAnsi="Times New Roman" w:cs="Times New Roman"/>
          <w:color w:val="000000" w:themeColor="text1"/>
          <w:kern w:val="2"/>
          <w:sz w:val="16"/>
          <w:szCs w:val="16"/>
        </w:rPr>
        <w:t xml:space="preserve"> мая) 1917 ИМ под управлением Р.Л.Нижевского совершил налет на румынские города Волград, Измаил, Тульча, Исакча и сбросил три бомбы. Над линией фронта загорелся оди</w:t>
      </w:r>
      <w:r w:rsidR="001E32B6" w:rsidRPr="002F2FDF">
        <w:rPr>
          <w:rFonts w:ascii="Times New Roman" w:hAnsi="Times New Roman" w:cs="Times New Roman"/>
          <w:color w:val="000000" w:themeColor="text1"/>
          <w:kern w:val="2"/>
          <w:sz w:val="16"/>
          <w:szCs w:val="16"/>
        </w:rPr>
        <w:t xml:space="preserve">(27 и 7 мая) </w:t>
      </w:r>
      <w:r w:rsidRPr="002F2FDF">
        <w:rPr>
          <w:rFonts w:ascii="Times New Roman" w:hAnsi="Times New Roman" w:cs="Times New Roman"/>
          <w:color w:val="000000" w:themeColor="text1"/>
          <w:kern w:val="2"/>
          <w:sz w:val="16"/>
          <w:szCs w:val="16"/>
        </w:rPr>
        <w:t>н из моторов. Моторист ст. у-оифер Иванов и вольноопределяющийся Капон вылезли на крыло и потушили пожар. Вернулись на трех моторах (3929).</w:t>
      </w:r>
    </w:p>
    <w:p w14:paraId="0E6B30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2227A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апреля (</w:t>
      </w:r>
      <w:r w:rsidR="00FE48DD" w:rsidRPr="002F2FDF">
        <w:rPr>
          <w:rFonts w:ascii="Times New Roman" w:hAnsi="Times New Roman" w:cs="Times New Roman"/>
          <w:color w:val="000000" w:themeColor="text1"/>
          <w:kern w:val="2"/>
          <w:sz w:val="16"/>
          <w:szCs w:val="16"/>
        </w:rPr>
        <w:t>3</w:t>
      </w:r>
      <w:r w:rsidRPr="002F2FDF">
        <w:rPr>
          <w:rFonts w:ascii="Times New Roman" w:hAnsi="Times New Roman" w:cs="Times New Roman"/>
          <w:color w:val="000000" w:themeColor="text1"/>
          <w:kern w:val="2"/>
          <w:sz w:val="16"/>
          <w:szCs w:val="16"/>
        </w:rPr>
        <w:t xml:space="preserve"> мая) 1917 воздушный корабль "Илья Муромец" под управле</w:t>
      </w:r>
      <w:r w:rsidRPr="002F2FDF">
        <w:rPr>
          <w:rFonts w:ascii="Times New Roman" w:hAnsi="Times New Roman" w:cs="Times New Roman"/>
          <w:color w:val="000000" w:themeColor="text1"/>
          <w:kern w:val="2"/>
          <w:sz w:val="16"/>
          <w:szCs w:val="16"/>
        </w:rPr>
        <w:softHyphen/>
        <w:t>нием Роберта Львовича Нижовского совершил налет на румынские города Волград, Измаил, Тульчэ, Исакча и сбросил там бомбы. Над линией фронта у него загорелся один из средних моторов. Моторист старший унтер-офицер Иванов и вольноопределяющийся Кэпон вылезли на крыло и под сильным артиллерийским обстерлам потушили пожар, распространившийся уже на нижнюю плоскость. После этого корабль продолжал полет на трех моторах, и^вы</w:t>
      </w:r>
      <w:r w:rsidRPr="002F2FDF">
        <w:rPr>
          <w:rFonts w:ascii="Times New Roman" w:hAnsi="Times New Roman" w:cs="Times New Roman"/>
          <w:color w:val="000000" w:themeColor="text1"/>
          <w:kern w:val="2"/>
          <w:sz w:val="16"/>
          <w:szCs w:val="16"/>
        </w:rPr>
        <w:softHyphen/>
        <w:t>полнив задание, благополучно вернулся на свой аэродром (ЦГВИА, ф.2003, оп.1, д.731; К.Н.Финне. Русские воздуш</w:t>
      </w:r>
      <w:r w:rsidRPr="002F2FDF">
        <w:rPr>
          <w:rFonts w:ascii="Times New Roman" w:hAnsi="Times New Roman" w:cs="Times New Roman"/>
          <w:color w:val="000000" w:themeColor="text1"/>
          <w:kern w:val="2"/>
          <w:sz w:val="16"/>
          <w:szCs w:val="16"/>
        </w:rPr>
        <w:softHyphen/>
        <w:t>ные богатыри И.И.Сикорского. 1930, стр.127).</w:t>
      </w:r>
    </w:p>
    <w:p w14:paraId="5658C8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E3765C" w14:textId="77777777" w:rsidR="00715076" w:rsidRPr="00815ED5" w:rsidRDefault="00715076"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20 апреля</w:t>
      </w:r>
      <w:r>
        <w:rPr>
          <w:rFonts w:ascii="Times New Roman" w:hAnsi="Times New Roman" w:cs="Times New Roman"/>
          <w:color w:val="0070C0"/>
          <w:sz w:val="16"/>
          <w:szCs w:val="16"/>
        </w:rPr>
        <w:t xml:space="preserve"> (3 мая)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815ED5">
        <w:rPr>
          <w:rFonts w:ascii="Times New Roman" w:hAnsi="Times New Roman" w:cs="Times New Roman"/>
          <w:color w:val="0070C0"/>
          <w:sz w:val="16"/>
          <w:szCs w:val="16"/>
        </w:rPr>
        <w:t xml:space="preserve">оздушный корабль "Илья Муромец»» под управлением </w:t>
      </w:r>
      <w:r>
        <w:rPr>
          <w:rFonts w:ascii="Times New Roman" w:hAnsi="Times New Roman" w:cs="Times New Roman"/>
          <w:color w:val="0070C0"/>
          <w:sz w:val="16"/>
          <w:szCs w:val="16"/>
        </w:rPr>
        <w:t>Р</w:t>
      </w:r>
      <w:r w:rsidRPr="00815ED5">
        <w:rPr>
          <w:rFonts w:ascii="Times New Roman" w:hAnsi="Times New Roman" w:cs="Times New Roman"/>
          <w:color w:val="0070C0"/>
          <w:sz w:val="16"/>
          <w:szCs w:val="16"/>
        </w:rPr>
        <w:t>об</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рта Львовича Пижонского совершил налет на рум</w:t>
      </w:r>
      <w:r>
        <w:rPr>
          <w:rFonts w:ascii="Times New Roman" w:hAnsi="Times New Roman" w:cs="Times New Roman"/>
          <w:color w:val="0070C0"/>
          <w:sz w:val="16"/>
          <w:szCs w:val="16"/>
        </w:rPr>
        <w:t>ы</w:t>
      </w:r>
      <w:r w:rsidRPr="00815ED5">
        <w:rPr>
          <w:rFonts w:ascii="Times New Roman" w:hAnsi="Times New Roman" w:cs="Times New Roman"/>
          <w:color w:val="0070C0"/>
          <w:sz w:val="16"/>
          <w:szCs w:val="16"/>
        </w:rPr>
        <w:t xml:space="preserve">нские города </w:t>
      </w:r>
      <w:r>
        <w:rPr>
          <w:rFonts w:ascii="Times New Roman" w:hAnsi="Times New Roman" w:cs="Times New Roman"/>
          <w:color w:val="0070C0"/>
          <w:sz w:val="16"/>
          <w:szCs w:val="16"/>
        </w:rPr>
        <w:t>Б</w:t>
      </w:r>
      <w:r w:rsidRPr="00815ED5">
        <w:rPr>
          <w:rFonts w:ascii="Times New Roman" w:hAnsi="Times New Roman" w:cs="Times New Roman"/>
          <w:color w:val="0070C0"/>
          <w:sz w:val="16"/>
          <w:szCs w:val="16"/>
        </w:rPr>
        <w:t>олгра</w:t>
      </w:r>
      <w:r>
        <w:rPr>
          <w:rFonts w:ascii="Times New Roman" w:hAnsi="Times New Roman" w:cs="Times New Roman"/>
          <w:color w:val="0070C0"/>
          <w:sz w:val="16"/>
          <w:szCs w:val="16"/>
        </w:rPr>
        <w:t>д</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Измаил,</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Тульча,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Исакча и сбросил там бомбы.</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Над линией фронта загорелся один из средних моторов.</w:t>
      </w:r>
      <w:r>
        <w:rPr>
          <w:rFonts w:ascii="Times New Roman" w:hAnsi="Times New Roman" w:cs="Times New Roman"/>
          <w:color w:val="0070C0"/>
          <w:sz w:val="16"/>
          <w:szCs w:val="16"/>
        </w:rPr>
        <w:t xml:space="preserve"> М</w:t>
      </w:r>
      <w:r w:rsidRPr="00815ED5">
        <w:rPr>
          <w:rFonts w:ascii="Times New Roman" w:hAnsi="Times New Roman" w:cs="Times New Roman"/>
          <w:color w:val="0070C0"/>
          <w:sz w:val="16"/>
          <w:szCs w:val="16"/>
        </w:rPr>
        <w:t xml:space="preserve">оторист ст. унтер-офицер Иванов </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вольно</w:t>
      </w:r>
      <w:r w:rsidRPr="00815ED5">
        <w:rPr>
          <w:rFonts w:ascii="Times New Roman" w:hAnsi="Times New Roman" w:cs="Times New Roman"/>
          <w:color w:val="0070C0"/>
          <w:sz w:val="16"/>
          <w:szCs w:val="16"/>
        </w:rPr>
        <w:t>определяющийся Капон вылезли на крыло и под сильным артиллерийским обстрелом потушили пожар,</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распространившийся уже на нижнюю плоскость.</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л</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 xml:space="preserve"> этого корабль продолжал полет на трех моторах 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вunoлнив задание,</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благополучно вернулся на свой аэродром.</w:t>
      </w:r>
    </w:p>
    <w:p w14:paraId="4F4083BC" w14:textId="77777777" w:rsidR="00715076" w:rsidRDefault="00715076"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 2003,</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1,</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731;</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К.Н.Финне.</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Русские воздушные богатыри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И.И.Сикорского,1930,</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127/</w:t>
      </w:r>
      <w:r>
        <w:rPr>
          <w:rFonts w:ascii="Times New Roman" w:hAnsi="Times New Roman" w:cs="Times New Roman"/>
          <w:color w:val="0070C0"/>
          <w:sz w:val="16"/>
          <w:szCs w:val="16"/>
        </w:rPr>
        <w:t xml:space="preserve"> (23320).</w:t>
      </w:r>
    </w:p>
    <w:p w14:paraId="790A94BE" w14:textId="77777777" w:rsidR="00715076" w:rsidRPr="00815ED5" w:rsidRDefault="00715076" w:rsidP="0083075A">
      <w:pPr>
        <w:spacing w:after="0" w:line="240" w:lineRule="auto"/>
        <w:jc w:val="both"/>
        <w:rPr>
          <w:rFonts w:ascii="Times New Roman" w:hAnsi="Times New Roman" w:cs="Times New Roman"/>
          <w:color w:val="0070C0"/>
          <w:sz w:val="16"/>
          <w:szCs w:val="16"/>
        </w:rPr>
      </w:pPr>
    </w:p>
    <w:p w14:paraId="5D83E964" w14:textId="06537095"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20 апреля (</w:t>
      </w:r>
      <w:r>
        <w:rPr>
          <w:rFonts w:ascii="Times New Roman" w:hAnsi="Times New Roman" w:cs="Times New Roman"/>
          <w:color w:val="0070C0"/>
          <w:sz w:val="16"/>
          <w:szCs w:val="16"/>
        </w:rPr>
        <w:t>3</w:t>
      </w:r>
      <w:r w:rsidRPr="00FB4F67">
        <w:rPr>
          <w:rFonts w:ascii="Times New Roman" w:hAnsi="Times New Roman" w:cs="Times New Roman"/>
          <w:color w:val="0070C0"/>
          <w:sz w:val="16"/>
          <w:szCs w:val="16"/>
        </w:rPr>
        <w:t xml:space="preserve"> мая) 1917 г. экипаж Нижевского на ИМ Е-56 (ИМ Е-56, ИМ Е-1 боевой № 265, борт № IX) совершил вылет на разведку войск противника в городах Болград, Измаил (Бесарабская губ., в то время – граница с Румынией), Тульча и Исакча (Isaccea, тот же р-н с румынской стороны). По обнаруженному противнику сброшено 3 бомбы. Во время возвращения на аэродром над линией фронта загорелся один двигатель, моторист старший унтер-офицер Иванов и стрелок вольноопределяющийся Капон вышли на крыло, потушили пожар и перекрыли подачу топлива в этот двигатель. Самолет продолжил полет на трех моторах и совершил экстренную посадку на своей территории, в которой были повреждены шасси, винты и крылья, но самолет отремонтирован.</w:t>
      </w:r>
    </w:p>
    <w:p w14:paraId="289D8775"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31.05.17 г. (13.06.17 г. по н.ст.) самолет в паре с кораблем ИМ Е-57 совершил бомбардировку складов и казарм в г. Тулча – оба корабля сбросили 288 кг бомб.</w:t>
      </w:r>
    </w:p>
    <w:p w14:paraId="3E625D15"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21.09.17 г. (14.10.17 г. по н.ст.) корабль совершил последний боевой вылет. На железнодорожной станции Траян (Traian, Западная Молдавия, восток Румынии) экипаж удачным бомбометанием уничтожил три состава с артиллерийскими снарядами, но на возвращении корабль был атакован двумя истребителями противника. Был убит стрелок старший унтер-офицер Янкевич, второй стрелок прапорщик Талако тяжело ранен в колено (раздроблен сустав), повреждены один из лонжеронов верхнего крыла и радиаторы моторов № 2 и 3, которые остановились. Обстрелять успели только второй самолет, но результата не наблюдали. Корабль на аэродром вернулся и мог быть отремонтирован, но на боевые вылеты больше не летал.</w:t>
      </w:r>
    </w:p>
    <w:p w14:paraId="5E99D6B4"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Всего самолет сделал 13 боевых вылетов и сбросил до 2080 кг (130 пудов) бомб.</w:t>
      </w:r>
    </w:p>
    <w:p w14:paraId="4ECE9CB1"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 день 25.10.17 г. (07.11.17 г.), когда состоялась Октябрьская революция, корабль оставался на а/д Болгарийка в поврежденном состоянии и так и не был отремонтирован (24094).</w:t>
      </w:r>
    </w:p>
    <w:p w14:paraId="675E2251" w14:textId="77777777" w:rsidR="00E52569" w:rsidRPr="00FB4F67" w:rsidRDefault="00E52569" w:rsidP="0083075A">
      <w:pPr>
        <w:spacing w:after="0" w:line="240" w:lineRule="auto"/>
        <w:jc w:val="both"/>
        <w:rPr>
          <w:rFonts w:ascii="Times New Roman" w:hAnsi="Times New Roman" w:cs="Times New Roman"/>
          <w:color w:val="0070C0"/>
          <w:sz w:val="16"/>
          <w:szCs w:val="16"/>
        </w:rPr>
      </w:pPr>
    </w:p>
    <w:p w14:paraId="270FC5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апреля (</w:t>
      </w:r>
      <w:r w:rsidR="00FE48DD" w:rsidRPr="002F2FDF">
        <w:rPr>
          <w:rFonts w:ascii="Times New Roman" w:hAnsi="Times New Roman" w:cs="Times New Roman"/>
          <w:color w:val="000000" w:themeColor="text1"/>
          <w:kern w:val="2"/>
          <w:sz w:val="16"/>
          <w:szCs w:val="16"/>
        </w:rPr>
        <w:t>3</w:t>
      </w:r>
      <w:r w:rsidRPr="002F2FDF">
        <w:rPr>
          <w:rFonts w:ascii="Times New Roman" w:hAnsi="Times New Roman" w:cs="Times New Roman"/>
          <w:color w:val="000000" w:themeColor="text1"/>
          <w:kern w:val="2"/>
          <w:sz w:val="16"/>
          <w:szCs w:val="16"/>
        </w:rPr>
        <w:t xml:space="preserve"> мая) 1917 в полет на Румынском фронте отправилось уже 2 машины ИМ: IV-й и IX-й корабли. Но у поручика Шарова на высоте 700 м остановился мотор и при вынужденной посадке было сломано шасси, винты и передняя коробка крыльев. Его пришлось отправить в ремонт в Винницу. В мае 1917 г. из Кишинева в 4-й отряд прибыл второй "Муромец"типа Е — "V-й корабль" №266 штабс-капитана Алехновича. 31 мая оба аппарата типа Е совершили совместный налет на Тульчу, сбросив по складам и казармам неприятеля 18 пудов бомб. 17 июня V-й корабль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2321C0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F9D68B" w14:textId="290E2B2A" w:rsidR="00EB3E32" w:rsidRPr="00FB4F67" w:rsidRDefault="00EB3E32" w:rsidP="0083075A">
      <w:pPr>
        <w:spacing w:after="0" w:line="240" w:lineRule="auto"/>
        <w:jc w:val="both"/>
        <w:rPr>
          <w:rFonts w:ascii="Times New Roman" w:hAnsi="Times New Roman" w:cs="Times New Roman"/>
          <w:color w:val="0070C0"/>
          <w:sz w:val="16"/>
          <w:szCs w:val="16"/>
        </w:rPr>
      </w:pPr>
      <w:bookmarkStart w:id="83" w:name="bookmark760"/>
      <w:bookmarkStart w:id="84" w:name="bookmark761"/>
      <w:r>
        <w:rPr>
          <w:rFonts w:ascii="Times New Roman" w:hAnsi="Times New Roman" w:cs="Times New Roman"/>
          <w:color w:val="0070C0"/>
          <w:sz w:val="16"/>
          <w:szCs w:val="16"/>
        </w:rPr>
        <w:t>20 апреля (</w:t>
      </w:r>
      <w:r w:rsidRPr="00FB4F67">
        <w:rPr>
          <w:rFonts w:ascii="Times New Roman" w:hAnsi="Times New Roman" w:cs="Times New Roman"/>
          <w:color w:val="0070C0"/>
          <w:sz w:val="16"/>
          <w:szCs w:val="16"/>
        </w:rPr>
        <w:t>3 мая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противник потерял еще два своих летательных аппарата в полосе Румынского фронта в результате меткой артиллерийской и ружейной стрельбы (23405).</w:t>
      </w:r>
      <w:bookmarkEnd w:id="83"/>
      <w:bookmarkEnd w:id="84"/>
    </w:p>
    <w:p w14:paraId="03A8800C" w14:textId="77777777" w:rsidR="00EB3E32" w:rsidRPr="00FB4F67" w:rsidRDefault="00EB3E32" w:rsidP="0083075A">
      <w:pPr>
        <w:spacing w:after="0" w:line="240" w:lineRule="auto"/>
        <w:jc w:val="both"/>
        <w:rPr>
          <w:rFonts w:ascii="Times New Roman" w:hAnsi="Times New Roman" w:cs="Times New Roman"/>
          <w:color w:val="0070C0"/>
          <w:sz w:val="16"/>
          <w:szCs w:val="16"/>
        </w:rPr>
      </w:pPr>
    </w:p>
    <w:p w14:paraId="55C6C4C3" w14:textId="51AFB890" w:rsidR="00EB3E32" w:rsidRPr="00FB4F67" w:rsidRDefault="00EB3E3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20 апреля (</w:t>
      </w:r>
      <w:r w:rsidRPr="00FB4F67">
        <w:rPr>
          <w:rFonts w:ascii="Times New Roman" w:hAnsi="Times New Roman" w:cs="Times New Roman"/>
          <w:color w:val="0070C0"/>
          <w:sz w:val="16"/>
          <w:szCs w:val="16"/>
        </w:rPr>
        <w:t>3 мая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Великобритании пилоты-инструкторы RFC начали обучение группы из не менее 83 российских офицеров, курсантов и рядовых на аэродромах Тетфорд, Хаунслоу и других британских. Полет «А» начал ранние тренировки на Морисе Фармансе. 22 июня российские пилоты тренировались на самолетах Avro 504 и BE 2c в Нортхолте. В августе звено «C» тренировалось на RE8, а в сентябре звено «B» тренировалось на Bristol F2B. Обучение закончилось 21 сентября 1917 года. На тренировках погибли как минимум два русских летчика. Большинство обученных мужчин, вероятно, вернулись в Россию до ноябрьской революции (23525).</w:t>
      </w:r>
    </w:p>
    <w:p w14:paraId="45775DFB" w14:textId="77777777" w:rsidR="00EB3E32" w:rsidRPr="00FB4F67" w:rsidRDefault="00EB3E32" w:rsidP="0083075A">
      <w:pPr>
        <w:spacing w:after="0" w:line="240" w:lineRule="auto"/>
        <w:jc w:val="both"/>
        <w:rPr>
          <w:rFonts w:ascii="Times New Roman" w:hAnsi="Times New Roman" w:cs="Times New Roman"/>
          <w:color w:val="0070C0"/>
          <w:sz w:val="16"/>
          <w:szCs w:val="16"/>
        </w:rPr>
      </w:pPr>
    </w:p>
    <w:p w14:paraId="60D724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апреля (</w:t>
      </w:r>
      <w:r w:rsidR="00FE48DD" w:rsidRPr="002F2FDF">
        <w:rPr>
          <w:rFonts w:ascii="Times New Roman" w:hAnsi="Times New Roman" w:cs="Times New Roman"/>
          <w:color w:val="000000" w:themeColor="text1"/>
          <w:kern w:val="2"/>
          <w:sz w:val="16"/>
          <w:szCs w:val="16"/>
        </w:rPr>
        <w:t>3</w:t>
      </w:r>
      <w:r w:rsidRPr="002F2FDF">
        <w:rPr>
          <w:rFonts w:ascii="Times New Roman" w:hAnsi="Times New Roman" w:cs="Times New Roman"/>
          <w:color w:val="000000" w:themeColor="text1"/>
          <w:kern w:val="2"/>
          <w:sz w:val="16"/>
          <w:szCs w:val="16"/>
        </w:rPr>
        <w:t xml:space="preserve"> мая) 1917 в полёт отправилось уже две машины: IV и IX корабли. Но у поручика Шарова на высоте 700 метров остановился мотор и при вынужденной посадке было сломано шасси, винты и передняя коробка крыльев. Так и не повоевав, "Муромец IV" отправился на базу в Винницу для ремонта (12041).</w:t>
      </w:r>
    </w:p>
    <w:p w14:paraId="38A0BA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1D366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20 апреля </w:t>
      </w:r>
      <w:r w:rsidR="00FE48DD" w:rsidRPr="002F2FDF">
        <w:rPr>
          <w:rFonts w:ascii="Times New Roman" w:hAnsi="Times New Roman" w:cs="Times New Roman"/>
          <w:color w:val="000000" w:themeColor="text1"/>
          <w:kern w:val="2"/>
          <w:sz w:val="16"/>
          <w:szCs w:val="16"/>
        </w:rPr>
        <w:t xml:space="preserve">(3 мая) </w:t>
      </w:r>
      <w:r w:rsidRPr="002F2FDF">
        <w:rPr>
          <w:rFonts w:ascii="Times New Roman" w:hAnsi="Times New Roman" w:cs="Times New Roman"/>
          <w:color w:val="000000" w:themeColor="text1"/>
          <w:kern w:val="2"/>
          <w:sz w:val="16"/>
          <w:szCs w:val="16"/>
        </w:rPr>
        <w:t>1917 в Петрограде открылся Всероссийский съезд летчиков-солдат и авиационных мотористов, созванный "Коми</w:t>
      </w:r>
      <w:r w:rsidRPr="002F2FDF">
        <w:rPr>
          <w:rFonts w:ascii="Times New Roman" w:hAnsi="Times New Roman" w:cs="Times New Roman"/>
          <w:color w:val="000000" w:themeColor="text1"/>
          <w:kern w:val="2"/>
          <w:sz w:val="16"/>
          <w:szCs w:val="16"/>
        </w:rPr>
        <w:softHyphen/>
        <w:t>тетом летчиков-солдат и авиационных мотористов России" (см. 12 марта 1917 г.)“ На съезде присутствовали представители 46 крупных эвиационных частей фронта и тыла. Съезд вынес постановление об уравнении солдат-летчиков с офицерами-летчиками в почасовой оплате за полеты, а также и в других правах, о разделении мотористов на три категории в зависимости от стажа и специальности, о введении звания старшого моториста или механика. Бюро съезда взяло на оебл инициативу созыва Всероссийского съезда всех деятелей авиации и воздухоплавания для обсуждения наболевших нужд и проведения неотложных реформ в воздушном флоте. ("Вестник летчиков и авиационных мотористов Обновленной России", 1917, № 2).</w:t>
      </w:r>
    </w:p>
    <w:p w14:paraId="40BCCD7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B07B99" w14:textId="77777777" w:rsidR="00EC3673" w:rsidRDefault="00EC3673"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20 апреля</w:t>
      </w:r>
      <w:r>
        <w:rPr>
          <w:rFonts w:ascii="Times New Roman" w:hAnsi="Times New Roman" w:cs="Times New Roman"/>
          <w:color w:val="0070C0"/>
          <w:sz w:val="16"/>
          <w:szCs w:val="16"/>
        </w:rPr>
        <w:t xml:space="preserve"> (3 мая)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 Петрограде открылся Всероссийский с</w:t>
      </w:r>
      <w:r>
        <w:rPr>
          <w:rFonts w:ascii="Times New Roman" w:hAnsi="Times New Roman" w:cs="Times New Roman"/>
          <w:color w:val="0070C0"/>
          <w:sz w:val="16"/>
          <w:szCs w:val="16"/>
        </w:rPr>
        <w:t>ъ</w:t>
      </w:r>
      <w:r w:rsidRPr="00815ED5">
        <w:rPr>
          <w:rFonts w:ascii="Times New Roman" w:hAnsi="Times New Roman" w:cs="Times New Roman"/>
          <w:color w:val="0070C0"/>
          <w:sz w:val="16"/>
          <w:szCs w:val="16"/>
        </w:rPr>
        <w:t xml:space="preserve">езд летчиков-солдат </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авиационных</w:t>
      </w:r>
      <w:r w:rsidRPr="00815ED5">
        <w:rPr>
          <w:rFonts w:ascii="Times New Roman" w:hAnsi="Times New Roman" w:cs="Times New Roman"/>
          <w:color w:val="0070C0"/>
          <w:sz w:val="16"/>
          <w:szCs w:val="16"/>
        </w:rPr>
        <w:t xml:space="preserve"> мотористов,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созванный Комитетом летчиков-сол</w:t>
      </w:r>
      <w:r>
        <w:rPr>
          <w:rFonts w:ascii="Times New Roman" w:hAnsi="Times New Roman" w:cs="Times New Roman"/>
          <w:color w:val="0070C0"/>
          <w:sz w:val="16"/>
          <w:szCs w:val="16"/>
        </w:rPr>
        <w:t xml:space="preserve">дат и </w:t>
      </w:r>
      <w:r w:rsidRPr="00815ED5">
        <w:rPr>
          <w:rFonts w:ascii="Times New Roman" w:hAnsi="Times New Roman" w:cs="Times New Roman"/>
          <w:color w:val="0070C0"/>
          <w:sz w:val="16"/>
          <w:szCs w:val="16"/>
        </w:rPr>
        <w:t>ав</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а</w:t>
      </w:r>
      <w:r>
        <w:rPr>
          <w:rFonts w:ascii="Times New Roman" w:hAnsi="Times New Roman" w:cs="Times New Roman"/>
          <w:color w:val="0070C0"/>
          <w:sz w:val="16"/>
          <w:szCs w:val="16"/>
        </w:rPr>
        <w:t>ци</w:t>
      </w:r>
      <w:r w:rsidRPr="00815ED5">
        <w:rPr>
          <w:rFonts w:ascii="Times New Roman" w:hAnsi="Times New Roman" w:cs="Times New Roman"/>
          <w:color w:val="0070C0"/>
          <w:sz w:val="16"/>
          <w:szCs w:val="16"/>
        </w:rPr>
        <w:t>о</w:t>
      </w:r>
      <w:r>
        <w:rPr>
          <w:rFonts w:ascii="Times New Roman" w:hAnsi="Times New Roman" w:cs="Times New Roman"/>
          <w:color w:val="0070C0"/>
          <w:sz w:val="16"/>
          <w:szCs w:val="16"/>
        </w:rPr>
        <w:t>нн</w:t>
      </w:r>
      <w:r w:rsidRPr="00815ED5">
        <w:rPr>
          <w:rFonts w:ascii="Times New Roman" w:hAnsi="Times New Roman" w:cs="Times New Roman"/>
          <w:color w:val="0070C0"/>
          <w:sz w:val="16"/>
          <w:szCs w:val="16"/>
        </w:rPr>
        <w:t>ых мотористов Обновленной России.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На </w:t>
      </w:r>
      <w:r>
        <w:rPr>
          <w:rFonts w:ascii="Times New Roman" w:hAnsi="Times New Roman" w:cs="Times New Roman"/>
          <w:color w:val="0070C0"/>
          <w:sz w:val="16"/>
          <w:szCs w:val="16"/>
        </w:rPr>
        <w:t>съ</w:t>
      </w:r>
      <w:r w:rsidRPr="00815ED5">
        <w:rPr>
          <w:rFonts w:ascii="Times New Roman" w:hAnsi="Times New Roman" w:cs="Times New Roman"/>
          <w:color w:val="0070C0"/>
          <w:sz w:val="16"/>
          <w:szCs w:val="16"/>
        </w:rPr>
        <w:t xml:space="preserve">езде </w:t>
      </w:r>
      <w:r>
        <w:rPr>
          <w:rFonts w:ascii="Times New Roman" w:hAnsi="Times New Roman" w:cs="Times New Roman"/>
          <w:color w:val="0070C0"/>
          <w:sz w:val="16"/>
          <w:szCs w:val="16"/>
        </w:rPr>
        <w:t>п</w:t>
      </w:r>
      <w:r w:rsidRPr="00815ED5">
        <w:rPr>
          <w:rFonts w:ascii="Times New Roman" w:hAnsi="Times New Roman" w:cs="Times New Roman"/>
          <w:color w:val="0070C0"/>
          <w:sz w:val="16"/>
          <w:szCs w:val="16"/>
        </w:rPr>
        <w:t>р</w:t>
      </w:r>
      <w:r>
        <w:rPr>
          <w:rFonts w:ascii="Times New Roman" w:hAnsi="Times New Roman" w:cs="Times New Roman"/>
          <w:color w:val="0070C0"/>
          <w:sz w:val="16"/>
          <w:szCs w:val="16"/>
        </w:rPr>
        <w:t>исутствовали</w:t>
      </w:r>
      <w:r w:rsidRPr="00815ED5">
        <w:rPr>
          <w:rFonts w:ascii="Times New Roman" w:hAnsi="Times New Roman" w:cs="Times New Roman"/>
          <w:color w:val="0070C0"/>
          <w:sz w:val="16"/>
          <w:szCs w:val="16"/>
        </w:rPr>
        <w:t xml:space="preserve"> представителя 46 крупных авиачастей фронта </w:t>
      </w:r>
      <w:r>
        <w:rPr>
          <w:rFonts w:ascii="Times New Roman" w:hAnsi="Times New Roman" w:cs="Times New Roman"/>
          <w:color w:val="0070C0"/>
          <w:sz w:val="16"/>
          <w:szCs w:val="16"/>
        </w:rPr>
        <w:t>и тыл</w:t>
      </w:r>
      <w:r w:rsidRPr="00815ED5">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Съ</w:t>
      </w:r>
      <w:r w:rsidRPr="00815ED5">
        <w:rPr>
          <w:rFonts w:ascii="Times New Roman" w:hAnsi="Times New Roman" w:cs="Times New Roman"/>
          <w:color w:val="0070C0"/>
          <w:sz w:val="16"/>
          <w:szCs w:val="16"/>
        </w:rPr>
        <w:t xml:space="preserve">езд вынес постановление об уравнении солдат-летчиков с </w:t>
      </w:r>
      <w:r>
        <w:rPr>
          <w:rFonts w:ascii="Times New Roman" w:hAnsi="Times New Roman" w:cs="Times New Roman"/>
          <w:color w:val="0070C0"/>
          <w:sz w:val="16"/>
          <w:szCs w:val="16"/>
        </w:rPr>
        <w:t>офицерами</w:t>
      </w:r>
      <w:r w:rsidRPr="00815ED5">
        <w:rPr>
          <w:rFonts w:ascii="Times New Roman" w:hAnsi="Times New Roman" w:cs="Times New Roman"/>
          <w:color w:val="0070C0"/>
          <w:sz w:val="16"/>
          <w:szCs w:val="16"/>
        </w:rPr>
        <w:t>—летчикам</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 xml:space="preserve"> в почасовой оплате за полеты,</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а таксе и в других </w:t>
      </w:r>
      <w:r>
        <w:rPr>
          <w:rFonts w:ascii="Times New Roman" w:hAnsi="Times New Roman" w:cs="Times New Roman"/>
          <w:color w:val="0070C0"/>
          <w:sz w:val="16"/>
          <w:szCs w:val="16"/>
        </w:rPr>
        <w:t>праваъ</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о разделении мотористов на три категории в зависимости от стажа </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 xml:space="preserve"> с</w:t>
      </w:r>
      <w:r>
        <w:rPr>
          <w:rFonts w:ascii="Times New Roman" w:hAnsi="Times New Roman" w:cs="Times New Roman"/>
          <w:color w:val="0070C0"/>
          <w:sz w:val="16"/>
          <w:szCs w:val="16"/>
        </w:rPr>
        <w:t>пециальности</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 введении звания стар</w:t>
      </w:r>
      <w:r>
        <w:rPr>
          <w:rFonts w:ascii="Times New Roman" w:hAnsi="Times New Roman" w:cs="Times New Roman"/>
          <w:color w:val="0070C0"/>
          <w:sz w:val="16"/>
          <w:szCs w:val="16"/>
        </w:rPr>
        <w:t>ш</w:t>
      </w:r>
      <w:r w:rsidRPr="00815ED5">
        <w:rPr>
          <w:rFonts w:ascii="Times New Roman" w:hAnsi="Times New Roman" w:cs="Times New Roman"/>
          <w:color w:val="0070C0"/>
          <w:sz w:val="16"/>
          <w:szCs w:val="16"/>
        </w:rPr>
        <w:t>его моториста или ме</w:t>
      </w:r>
      <w:r>
        <w:rPr>
          <w:rFonts w:ascii="Times New Roman" w:hAnsi="Times New Roman" w:cs="Times New Roman"/>
          <w:color w:val="0070C0"/>
          <w:sz w:val="16"/>
          <w:szCs w:val="16"/>
        </w:rPr>
        <w:t>ханика. Бюро</w:t>
      </w:r>
      <w:r w:rsidRPr="00815ED5">
        <w:rPr>
          <w:rFonts w:ascii="Times New Roman" w:hAnsi="Times New Roman" w:cs="Times New Roman"/>
          <w:color w:val="0070C0"/>
          <w:sz w:val="16"/>
          <w:szCs w:val="16"/>
        </w:rPr>
        <w:t xml:space="preserve"> съезда взяло на себя инициативу созыва Всероссийского Съезда всех деятелей авиации и воздухоплавания для обсуждения наболев</w:t>
      </w:r>
      <w:r>
        <w:rPr>
          <w:rFonts w:ascii="Times New Roman" w:hAnsi="Times New Roman" w:cs="Times New Roman"/>
          <w:color w:val="0070C0"/>
          <w:sz w:val="16"/>
          <w:szCs w:val="16"/>
        </w:rPr>
        <w:t>ших нужд</w:t>
      </w:r>
      <w:r w:rsidRPr="00815ED5">
        <w:rPr>
          <w:rFonts w:ascii="Times New Roman" w:hAnsi="Times New Roman" w:cs="Times New Roman"/>
          <w:color w:val="0070C0"/>
          <w:sz w:val="16"/>
          <w:szCs w:val="16"/>
        </w:rPr>
        <w:t xml:space="preserve"> и </w:t>
      </w:r>
      <w:r>
        <w:rPr>
          <w:rFonts w:ascii="Times New Roman" w:hAnsi="Times New Roman" w:cs="Times New Roman"/>
          <w:color w:val="0070C0"/>
          <w:sz w:val="16"/>
          <w:szCs w:val="16"/>
        </w:rPr>
        <w:t>п</w:t>
      </w:r>
      <w:r w:rsidRPr="00815ED5">
        <w:rPr>
          <w:rFonts w:ascii="Times New Roman" w:hAnsi="Times New Roman" w:cs="Times New Roman"/>
          <w:color w:val="0070C0"/>
          <w:sz w:val="16"/>
          <w:szCs w:val="16"/>
        </w:rPr>
        <w:t>роведе</w:t>
      </w:r>
      <w:r>
        <w:rPr>
          <w:rFonts w:ascii="Times New Roman" w:hAnsi="Times New Roman" w:cs="Times New Roman"/>
          <w:color w:val="0070C0"/>
          <w:sz w:val="16"/>
          <w:szCs w:val="16"/>
        </w:rPr>
        <w:t>ни</w:t>
      </w:r>
      <w:r w:rsidRPr="00815ED5">
        <w:rPr>
          <w:rFonts w:ascii="Times New Roman" w:hAnsi="Times New Roman" w:cs="Times New Roman"/>
          <w:color w:val="0070C0"/>
          <w:sz w:val="16"/>
          <w:szCs w:val="16"/>
        </w:rPr>
        <w:t>я неотло</w:t>
      </w:r>
      <w:r>
        <w:rPr>
          <w:rFonts w:ascii="Times New Roman" w:hAnsi="Times New Roman" w:cs="Times New Roman"/>
          <w:color w:val="0070C0"/>
          <w:sz w:val="16"/>
          <w:szCs w:val="16"/>
        </w:rPr>
        <w:t>ж</w:t>
      </w:r>
      <w:r w:rsidRPr="00815ED5">
        <w:rPr>
          <w:rFonts w:ascii="Times New Roman" w:hAnsi="Times New Roman" w:cs="Times New Roman"/>
          <w:color w:val="0070C0"/>
          <w:sz w:val="16"/>
          <w:szCs w:val="16"/>
        </w:rPr>
        <w:t>ных ре</w:t>
      </w:r>
      <w:r>
        <w:rPr>
          <w:rFonts w:ascii="Times New Roman" w:hAnsi="Times New Roman" w:cs="Times New Roman"/>
          <w:color w:val="0070C0"/>
          <w:sz w:val="16"/>
          <w:szCs w:val="16"/>
        </w:rPr>
        <w:t>ф</w:t>
      </w:r>
      <w:r w:rsidRPr="00815ED5">
        <w:rPr>
          <w:rFonts w:ascii="Times New Roman" w:hAnsi="Times New Roman" w:cs="Times New Roman"/>
          <w:color w:val="0070C0"/>
          <w:sz w:val="16"/>
          <w:szCs w:val="16"/>
        </w:rPr>
        <w:t>орм в воэду</w:t>
      </w:r>
      <w:r>
        <w:rPr>
          <w:rFonts w:ascii="Times New Roman" w:hAnsi="Times New Roman" w:cs="Times New Roman"/>
          <w:color w:val="0070C0"/>
          <w:sz w:val="16"/>
          <w:szCs w:val="16"/>
        </w:rPr>
        <w:t>ш</w:t>
      </w:r>
      <w:r w:rsidRPr="00815ED5">
        <w:rPr>
          <w:rFonts w:ascii="Times New Roman" w:hAnsi="Times New Roman" w:cs="Times New Roman"/>
          <w:color w:val="0070C0"/>
          <w:sz w:val="16"/>
          <w:szCs w:val="16"/>
        </w:rPr>
        <w:t>ном флоте,</w:t>
      </w:r>
    </w:p>
    <w:p w14:paraId="45824A4A" w14:textId="77777777" w:rsidR="00EC3673" w:rsidRDefault="00EC3673"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»Вестник</w:t>
      </w:r>
      <w:r w:rsidRPr="00815ED5">
        <w:rPr>
          <w:rFonts w:ascii="Times New Roman" w:hAnsi="Times New Roman" w:cs="Times New Roman"/>
          <w:color w:val="0070C0"/>
          <w:sz w:val="16"/>
          <w:szCs w:val="16"/>
        </w:rPr>
        <w:t xml:space="preserve"> летчиков и аяиац. мотористов Обнов</w:t>
      </w:r>
      <w:r>
        <w:rPr>
          <w:rFonts w:ascii="Times New Roman" w:hAnsi="Times New Roman" w:cs="Times New Roman"/>
          <w:color w:val="0070C0"/>
          <w:sz w:val="16"/>
          <w:szCs w:val="16"/>
        </w:rPr>
        <w:t>л</w:t>
      </w:r>
      <w:r w:rsidRPr="00815ED5">
        <w:rPr>
          <w:rFonts w:ascii="Times New Roman" w:hAnsi="Times New Roman" w:cs="Times New Roman"/>
          <w:color w:val="0070C0"/>
          <w:sz w:val="16"/>
          <w:szCs w:val="16"/>
        </w:rPr>
        <w:t>енной России</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1917 </w:t>
      </w:r>
      <w:r>
        <w:rPr>
          <w:rFonts w:ascii="Times New Roman" w:hAnsi="Times New Roman" w:cs="Times New Roman"/>
          <w:color w:val="0070C0"/>
          <w:sz w:val="16"/>
          <w:szCs w:val="16"/>
        </w:rPr>
        <w:t>« 2</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3268CB15" w14:textId="77777777" w:rsidR="00EC3673" w:rsidRDefault="00EC3673" w:rsidP="0083075A">
      <w:pPr>
        <w:spacing w:after="0" w:line="240" w:lineRule="auto"/>
        <w:jc w:val="both"/>
        <w:rPr>
          <w:rFonts w:ascii="Times New Roman" w:hAnsi="Times New Roman" w:cs="Times New Roman"/>
          <w:color w:val="0070C0"/>
          <w:sz w:val="16"/>
          <w:szCs w:val="16"/>
        </w:rPr>
      </w:pPr>
    </w:p>
    <w:p w14:paraId="2623CD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апреля (</w:t>
      </w:r>
      <w:r w:rsidR="00FE48DD" w:rsidRPr="002F2FDF">
        <w:rPr>
          <w:rFonts w:ascii="Times New Roman" w:hAnsi="Times New Roman" w:cs="Times New Roman"/>
          <w:color w:val="000000" w:themeColor="text1"/>
          <w:kern w:val="2"/>
          <w:sz w:val="16"/>
          <w:szCs w:val="16"/>
        </w:rPr>
        <w:t>3</w:t>
      </w:r>
      <w:r w:rsidRPr="002F2FDF">
        <w:rPr>
          <w:rFonts w:ascii="Times New Roman" w:hAnsi="Times New Roman" w:cs="Times New Roman"/>
          <w:color w:val="000000" w:themeColor="text1"/>
          <w:kern w:val="2"/>
          <w:sz w:val="16"/>
          <w:szCs w:val="16"/>
        </w:rPr>
        <w:t xml:space="preserve"> мая) 1917 в Петрограде открылся Всероссийский съезд летчиков-солдат и авиационных мотористов Обновленной России. Присутствовали представители 46 крупных авиачастей фронта и тыла. Солдат-л уровняли с л-о в почасовой оплате за полеты и в других правах, мотористов разделили на три категории в зависимости от стажа и специальности, ввели звание старшего моториста или механика. Решили созвать Всероссийский съезд всех деятелей авиации и воздухоплавания (438,353).</w:t>
      </w:r>
    </w:p>
    <w:p w14:paraId="46818F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638A2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CB742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849D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20-21 апреля (3-4 мая) 1917 был кризис Временного правительства, вызванный нотой П.Н.Милюкова с подтверждением обязательств России вести войну до победы. Большевики приняли решение о формировании отрядов Красной гвардии (1348,85).</w:t>
      </w:r>
    </w:p>
    <w:p w14:paraId="5395E8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02902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апреля (3 мая) 1917 начался первый крупный кризис Временного правительства России (Апрельский кризис) (4962).</w:t>
      </w:r>
    </w:p>
    <w:p w14:paraId="32616AA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4683BB" w14:textId="77777777" w:rsidR="00FE48DD" w:rsidRPr="002F2FDF" w:rsidRDefault="00FE48DD" w:rsidP="0083075A">
      <w:pPr>
        <w:pStyle w:val="ae"/>
        <w:spacing w:before="0" w:after="0"/>
        <w:jc w:val="both"/>
        <w:rPr>
          <w:color w:val="000000" w:themeColor="text1"/>
          <w:kern w:val="2"/>
          <w:sz w:val="16"/>
          <w:szCs w:val="16"/>
        </w:rPr>
      </w:pPr>
      <w:r w:rsidRPr="002F2FDF">
        <w:rPr>
          <w:color w:val="000000" w:themeColor="text1"/>
          <w:kern w:val="2"/>
          <w:sz w:val="16"/>
          <w:szCs w:val="16"/>
        </w:rPr>
        <w:t>Днем 20 апреля (3 мая) 1917 в Петрограде произошли столкновение пробольшевистких демонстрантов с вышедшими на улицы сторонниками Временного Правительства, при этом погибли несколько людей. В этих условиях Исполком Петросовета объявил о запрете всех демонстраций в городе на 48 часов. Любого, кто попытается вывести вооруженных людей на улицы, Исполком объявил «изменником делу революции». Эта резолюция покончила с первой попыткой большевистского путча (17045).</w:t>
      </w:r>
    </w:p>
    <w:p w14:paraId="523873B3" w14:textId="77777777" w:rsidR="00FE48DD" w:rsidRPr="002F2FDF" w:rsidRDefault="00FE48D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BB80E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64D06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0B65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апреля (2 мая) 1917 плохо подготовленное наступление в Шампани привело к бунту в Французской армии и его подавил г Анри Филипп Петен, новый французский ГК (3186).</w:t>
      </w:r>
    </w:p>
    <w:p w14:paraId="343472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0E9B2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A62BB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B653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апреля (4 мая) 1917 л 7 авиаотряда Д.А.Макеенок на Ньюпоре 11 встретил в районе Драгомирчан с двумя самолетами и вступил в бой. Один после атаки вышел из боя, второй - через 10 минут. В районе Ямница встретил еще двух и вновь один не принял бой, а второй - после нескольких неудачных атак вышел из боя (3630).</w:t>
      </w:r>
    </w:p>
    <w:p w14:paraId="25B9B9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0423DD" w14:textId="0FB99865"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21 апреля </w:t>
      </w:r>
      <w:r w:rsidR="00EB3E32">
        <w:rPr>
          <w:rFonts w:ascii="Times New Roman" w:hAnsi="Times New Roman" w:cs="Times New Roman"/>
          <w:color w:val="000000" w:themeColor="text1"/>
          <w:kern w:val="2"/>
          <w:sz w:val="16"/>
          <w:szCs w:val="16"/>
        </w:rPr>
        <w:t xml:space="preserve">(4 мая) </w:t>
      </w:r>
      <w:r w:rsidRPr="002F2FDF">
        <w:rPr>
          <w:rFonts w:ascii="Times New Roman" w:hAnsi="Times New Roman" w:cs="Times New Roman"/>
          <w:color w:val="000000" w:themeColor="text1"/>
          <w:kern w:val="2"/>
          <w:sz w:val="16"/>
          <w:szCs w:val="16"/>
        </w:rPr>
        <w:t>1917 летчик 7 авиаотряда Донат Адамович Макеенок на самолете "Ньюпор-Х1" встретился в районе Драгомирчан с двумя неприятельскими самолетами и вступил с ними в бой. Один неприятель после первой атаки вышел из боя, второй пос</w:t>
      </w:r>
      <w:r w:rsidRPr="002F2FDF">
        <w:rPr>
          <w:rFonts w:ascii="Times New Roman" w:hAnsi="Times New Roman" w:cs="Times New Roman"/>
          <w:color w:val="000000" w:themeColor="text1"/>
          <w:kern w:val="2"/>
          <w:sz w:val="16"/>
          <w:szCs w:val="16"/>
        </w:rPr>
        <w:softHyphen/>
        <w:t>ле 10 — минутного бояс большим снижением ушел в свой тыл, В районе Ямницэ Мекрсенок встретился еще с двумя непри</w:t>
      </w:r>
      <w:r w:rsidRPr="002F2FDF">
        <w:rPr>
          <w:rFonts w:ascii="Times New Roman" w:hAnsi="Times New Roman" w:cs="Times New Roman"/>
          <w:color w:val="000000" w:themeColor="text1"/>
          <w:kern w:val="2"/>
          <w:sz w:val="16"/>
          <w:szCs w:val="16"/>
        </w:rPr>
        <w:softHyphen/>
        <w:t>ятельскими самолетами, из которых один, не принял боя, повернул назад, а другой посли нескольких неудачных атак вынужден был выйти из боя (ЦГВИА, ф. 6053, оп. 1, д. 44, л. 109).</w:t>
      </w:r>
    </w:p>
    <w:p w14:paraId="76E0B2C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4626BF" w14:textId="2050F74F" w:rsidR="00EB3E32" w:rsidRPr="00FB4F67" w:rsidRDefault="00EB3E3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21 апреля (</w:t>
      </w:r>
      <w:r w:rsidRPr="00FB4F67">
        <w:rPr>
          <w:rFonts w:ascii="Times New Roman" w:hAnsi="Times New Roman" w:cs="Times New Roman"/>
          <w:color w:val="0070C0"/>
          <w:sz w:val="16"/>
          <w:szCs w:val="16"/>
        </w:rPr>
        <w:t>4 мая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неприятельская авиация подвергла бомбардировке г. Станислав (Ивано-Франковск), 7 мая - Селетино, Молдаву, Кимполунга. Серия воздушных налетов продолжилась в конце весны (23405).</w:t>
      </w:r>
    </w:p>
    <w:p w14:paraId="50496340" w14:textId="77777777" w:rsidR="00EB3E32" w:rsidRPr="00FB4F67" w:rsidRDefault="00EB3E32" w:rsidP="0083075A">
      <w:pPr>
        <w:spacing w:after="0" w:line="240" w:lineRule="auto"/>
        <w:jc w:val="both"/>
        <w:rPr>
          <w:rFonts w:ascii="Times New Roman" w:hAnsi="Times New Roman" w:cs="Times New Roman"/>
          <w:color w:val="0070C0"/>
          <w:sz w:val="16"/>
          <w:szCs w:val="16"/>
        </w:rPr>
      </w:pPr>
    </w:p>
    <w:p w14:paraId="253809F6" w14:textId="0502B912"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период 21-24 апреля </w:t>
      </w:r>
      <w:r w:rsidR="00EB3E32">
        <w:rPr>
          <w:rFonts w:ascii="Times New Roman" w:hAnsi="Times New Roman" w:cs="Times New Roman"/>
          <w:color w:val="000000" w:themeColor="text1"/>
          <w:kern w:val="2"/>
          <w:sz w:val="16"/>
          <w:szCs w:val="16"/>
        </w:rPr>
        <w:t xml:space="preserve">(4-7 мая) </w:t>
      </w:r>
      <w:r w:rsidRPr="002F2FDF">
        <w:rPr>
          <w:rFonts w:ascii="Times New Roman" w:hAnsi="Times New Roman" w:cs="Times New Roman"/>
          <w:color w:val="000000" w:themeColor="text1"/>
          <w:kern w:val="2"/>
          <w:sz w:val="16"/>
          <w:szCs w:val="16"/>
        </w:rPr>
        <w:t>1917 гидрокрейсер “Император Алек</w:t>
      </w:r>
      <w:r w:rsidRPr="002F2FDF">
        <w:rPr>
          <w:rFonts w:ascii="Times New Roman" w:hAnsi="Times New Roman" w:cs="Times New Roman"/>
          <w:color w:val="000000" w:themeColor="text1"/>
          <w:kern w:val="2"/>
          <w:sz w:val="16"/>
          <w:szCs w:val="16"/>
        </w:rPr>
        <w:softHyphen/>
        <w:t>сандр I” с эсминцем “Лейтенант Зацаренный” совершили поход в юго-восточный район моря в район Тиреболу. По просьбе командования Кавказской армии моряки и летчики произвели разведку и фотосъемку турецких позиций. При вы</w:t>
      </w:r>
      <w:r w:rsidRPr="002F2FDF">
        <w:rPr>
          <w:rFonts w:ascii="Times New Roman" w:hAnsi="Times New Roman" w:cs="Times New Roman"/>
          <w:color w:val="000000" w:themeColor="text1"/>
          <w:kern w:val="2"/>
          <w:sz w:val="16"/>
          <w:szCs w:val="16"/>
        </w:rPr>
        <w:softHyphen/>
        <w:t>полнении задачи наши летающие лодки подвергались обстре</w:t>
      </w:r>
      <w:r w:rsidRPr="002F2FDF">
        <w:rPr>
          <w:rFonts w:ascii="Times New Roman" w:hAnsi="Times New Roman" w:cs="Times New Roman"/>
          <w:color w:val="000000" w:themeColor="text1"/>
          <w:kern w:val="2"/>
          <w:sz w:val="16"/>
          <w:szCs w:val="16"/>
        </w:rPr>
        <w:softHyphen/>
        <w:t>лам шрапнелью (11283).</w:t>
      </w:r>
    </w:p>
    <w:p w14:paraId="71E2F1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5FE108" w14:textId="0082E4FE"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период 21-24 апреля </w:t>
      </w:r>
      <w:r w:rsidR="00EB3E32">
        <w:rPr>
          <w:rFonts w:ascii="Times New Roman" w:hAnsi="Times New Roman" w:cs="Times New Roman"/>
          <w:color w:val="000000" w:themeColor="text1"/>
          <w:kern w:val="2"/>
          <w:sz w:val="16"/>
          <w:szCs w:val="16"/>
        </w:rPr>
        <w:t xml:space="preserve">(4-7 мая) 1917 г. </w:t>
      </w:r>
      <w:r w:rsidRPr="002F2FDF">
        <w:rPr>
          <w:rFonts w:ascii="Times New Roman" w:hAnsi="Times New Roman" w:cs="Times New Roman"/>
          <w:color w:val="000000" w:themeColor="text1"/>
          <w:kern w:val="2"/>
          <w:sz w:val="16"/>
          <w:szCs w:val="16"/>
        </w:rPr>
        <w:t>авиатранспорт "Александр I" и эсминец "Лейтенант Зацаренный" прибыли в юго-восточный район моря в район Тиреболу. По просьбе командования Кавказской армии моряки и летчики произвели разведку и аэрофотосъемку турецких позиций (11933).</w:t>
      </w:r>
    </w:p>
    <w:p w14:paraId="3B48CA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9E73F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3D495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6867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апреля (4 мая) 1917 было принято положение о Земельных комитетах по подготовке аграрной реформы, которая должна была быть проведена Учредительным собранием (1348,112) - пытались предотвратить самозахваты (3908,256).</w:t>
      </w:r>
    </w:p>
    <w:p w14:paraId="395D32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6397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(4 мая) апреля 1917 в Петрограде была крупная политическая демонстрация (66,13).</w:t>
      </w:r>
    </w:p>
    <w:p w14:paraId="52AD3E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465136" w14:textId="77777777" w:rsidR="008D16F6" w:rsidRPr="002F2FDF" w:rsidRDefault="008D16F6" w:rsidP="0083075A">
      <w:pPr>
        <w:pStyle w:val="ae"/>
        <w:spacing w:before="0" w:after="0"/>
        <w:jc w:val="both"/>
        <w:rPr>
          <w:color w:val="000000" w:themeColor="text1"/>
          <w:kern w:val="2"/>
          <w:sz w:val="16"/>
          <w:szCs w:val="16"/>
        </w:rPr>
      </w:pPr>
      <w:r w:rsidRPr="002F2FDF">
        <w:rPr>
          <w:color w:val="000000" w:themeColor="text1"/>
          <w:kern w:val="2"/>
          <w:sz w:val="16"/>
          <w:szCs w:val="16"/>
        </w:rPr>
        <w:t>21 апреля (4 мая) 1917 ЦК РСДРП(б) принял резолюцию, в которой признавалось, что «мелкобуржуазные силы» выступили на стороне «капиталистов», а, следовательно, требуется дополнительная работа среди рабочих. Лозунги, предложенные Лениным, были сочтены преждевременными, а член ЦК РСДРП(б) Лев Каменев назвал его «авантюристом». Сам Ленин так описал события начала мая: «Это была попытка прибегнуть к насильственным мерам. Мы не знали, сильно ли масса в этот тревожный момент колебнулась в нашу сторону» (17045).</w:t>
      </w:r>
    </w:p>
    <w:p w14:paraId="33A66D38" w14:textId="77777777" w:rsidR="008D16F6" w:rsidRPr="002F2FDF" w:rsidRDefault="008D16F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1DC3AB" w14:textId="77777777" w:rsidR="00ED7ED5" w:rsidRPr="002F2FDF" w:rsidRDefault="00ED7ED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CE86305" w14:textId="77777777" w:rsidR="00ED7ED5" w:rsidRPr="002F2FDF" w:rsidRDefault="00ED7ED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637D24" w14:textId="77777777" w:rsidR="00ED7ED5" w:rsidRPr="002F2FDF" w:rsidRDefault="00ED7ED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21 апреля (4 мая) 1917 немецкий флотский Zeppelin L 43 атакует группу британских легких крейсеров и эсминцев в Северном море возле Доггер-Бэнк тремя 50-килограммовыми (110 фунтами) бомбами, поражая легкий крейсер HMS Dublin осколками бомб. Это один из немногих случаев атаки дирижаблей на военные корабли (20341).</w:t>
      </w:r>
    </w:p>
    <w:p w14:paraId="51C4878C" w14:textId="77777777" w:rsidR="00ED7ED5" w:rsidRPr="002F2FDF" w:rsidRDefault="00ED7ED5" w:rsidP="0083075A">
      <w:pPr>
        <w:spacing w:after="0" w:line="240" w:lineRule="auto"/>
        <w:jc w:val="both"/>
        <w:rPr>
          <w:rFonts w:ascii="Times New Roman" w:hAnsi="Times New Roman" w:cs="Times New Roman"/>
          <w:color w:val="000000" w:themeColor="text1"/>
          <w:sz w:val="16"/>
          <w:szCs w:val="16"/>
        </w:rPr>
      </w:pPr>
    </w:p>
    <w:p w14:paraId="12B8C6B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5AB94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6133D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апреля (5 мая) 1917 г. согласно решению Исполнительной комиссии при военном ми</w:t>
      </w:r>
      <w:r w:rsidRPr="002F2FDF">
        <w:rPr>
          <w:rFonts w:ascii="Times New Roman" w:hAnsi="Times New Roman" w:cs="Times New Roman"/>
          <w:color w:val="000000" w:themeColor="text1"/>
          <w:kern w:val="2"/>
          <w:sz w:val="16"/>
          <w:szCs w:val="16"/>
        </w:rPr>
        <w:softHyphen/>
        <w:t>нистре заводу “Матиас” предполагали заказать 600 самолетов т.н. “корпусного типа” — то есть, двухместных развед</w:t>
      </w:r>
      <w:r w:rsidRPr="002F2FDF">
        <w:rPr>
          <w:rFonts w:ascii="Times New Roman" w:hAnsi="Times New Roman" w:cs="Times New Roman"/>
          <w:color w:val="000000" w:themeColor="text1"/>
          <w:kern w:val="2"/>
          <w:sz w:val="16"/>
          <w:szCs w:val="16"/>
        </w:rPr>
        <w:softHyphen/>
        <w:t>чиков для корпусных авиаотрядов. Сроки поставок рассчитывались на 12 месяцев — с июля 1917 по июнь 1918 гг. включительно с посте</w:t>
      </w:r>
      <w:r w:rsidRPr="002F2FDF">
        <w:rPr>
          <w:rFonts w:ascii="Times New Roman" w:hAnsi="Times New Roman" w:cs="Times New Roman"/>
          <w:color w:val="000000" w:themeColor="text1"/>
          <w:kern w:val="2"/>
          <w:sz w:val="16"/>
          <w:szCs w:val="16"/>
        </w:rPr>
        <w:softHyphen/>
        <w:t>пенным возрастанием месячной производительности с 30 до 70 са</w:t>
      </w:r>
      <w:r w:rsidRPr="002F2FDF">
        <w:rPr>
          <w:rFonts w:ascii="Times New Roman" w:hAnsi="Times New Roman" w:cs="Times New Roman"/>
          <w:color w:val="000000" w:themeColor="text1"/>
          <w:kern w:val="2"/>
          <w:sz w:val="16"/>
          <w:szCs w:val="16"/>
        </w:rPr>
        <w:softHyphen/>
        <w:t>молетов. Цена одного аппарата определялась в 13500 руб. — стан</w:t>
      </w:r>
      <w:r w:rsidRPr="002F2FDF">
        <w:rPr>
          <w:rFonts w:ascii="Times New Roman" w:hAnsi="Times New Roman" w:cs="Times New Roman"/>
          <w:color w:val="000000" w:themeColor="text1"/>
          <w:kern w:val="2"/>
          <w:sz w:val="16"/>
          <w:szCs w:val="16"/>
        </w:rPr>
        <w:softHyphen/>
        <w:t>дартная стоимость двухместных самолетов, приобретаемых в казну вне зависимости от типа (такие же стандартные цены существовали и для других классов самолетов — например, одноместный истреби</w:t>
      </w:r>
      <w:r w:rsidRPr="002F2FDF">
        <w:rPr>
          <w:rFonts w:ascii="Times New Roman" w:hAnsi="Times New Roman" w:cs="Times New Roman"/>
          <w:color w:val="000000" w:themeColor="text1"/>
          <w:kern w:val="2"/>
          <w:sz w:val="16"/>
          <w:szCs w:val="16"/>
        </w:rPr>
        <w:softHyphen/>
        <w:t>тель оценивался в 11000 руб.). В эту сумму не входила стоимость двигателя и винта, приобретаемых военным ведомством по отдель</w:t>
      </w:r>
      <w:r w:rsidRPr="002F2FDF">
        <w:rPr>
          <w:rFonts w:ascii="Times New Roman" w:hAnsi="Times New Roman" w:cs="Times New Roman"/>
          <w:color w:val="000000" w:themeColor="text1"/>
          <w:kern w:val="2"/>
          <w:sz w:val="16"/>
          <w:szCs w:val="16"/>
        </w:rPr>
        <w:softHyphen/>
        <w:t>ным контрактам (Для справки. Стоимость двигателей также рассчитывалась по стандар</w:t>
      </w:r>
      <w:r w:rsidRPr="002F2FDF">
        <w:rPr>
          <w:rFonts w:ascii="Times New Roman" w:hAnsi="Times New Roman" w:cs="Times New Roman"/>
          <w:color w:val="000000" w:themeColor="text1"/>
          <w:kern w:val="2"/>
          <w:sz w:val="16"/>
          <w:szCs w:val="16"/>
        </w:rPr>
        <w:softHyphen/>
        <w:t>тной формуле — 120 руб. за одну лошадиную силу мощности. То есть, один из наиболее распространенных в российском Воздушном флоте двигателей“Сальмсон”в 150л.с. стоил 18000руб. '" “Фарман” XXX). Кроме того, предусматривался и заказ комплектов запасных частей на сумму до 40 % от стоимости самолетов. Предполагаемая производственная программа для “Матиаса” была разбита на две части. Первая предусматривала выпуск сотни развед</w:t>
      </w:r>
      <w:r w:rsidRPr="002F2FDF">
        <w:rPr>
          <w:rFonts w:ascii="Times New Roman" w:hAnsi="Times New Roman" w:cs="Times New Roman"/>
          <w:color w:val="000000" w:themeColor="text1"/>
          <w:kern w:val="2"/>
          <w:sz w:val="16"/>
          <w:szCs w:val="16"/>
        </w:rPr>
        <w:softHyphen/>
        <w:t>чиков “Фарман XXX”. Этот самолет отнюдь не представлял собой суперсовременную конструкцию, но будучи относительно простым впол</w:t>
      </w:r>
      <w:r w:rsidRPr="002F2FDF">
        <w:rPr>
          <w:rFonts w:ascii="Times New Roman" w:hAnsi="Times New Roman" w:cs="Times New Roman"/>
          <w:color w:val="000000" w:themeColor="text1"/>
          <w:kern w:val="2"/>
          <w:sz w:val="16"/>
          <w:szCs w:val="16"/>
        </w:rPr>
        <w:softHyphen/>
        <w:t>не подходил на роль своеобразной “разминки”, позволявшей пред</w:t>
      </w:r>
      <w:r w:rsidRPr="002F2FDF">
        <w:rPr>
          <w:rFonts w:ascii="Times New Roman" w:hAnsi="Times New Roman" w:cs="Times New Roman"/>
          <w:color w:val="000000" w:themeColor="text1"/>
          <w:kern w:val="2"/>
          <w:sz w:val="16"/>
          <w:szCs w:val="16"/>
        </w:rPr>
        <w:softHyphen/>
        <w:t>приятию отработать технологию авиационного производства. Относительно второй части производственной программы неко</w:t>
      </w:r>
      <w:r w:rsidRPr="002F2FDF">
        <w:rPr>
          <w:rFonts w:ascii="Times New Roman" w:hAnsi="Times New Roman" w:cs="Times New Roman"/>
          <w:color w:val="000000" w:themeColor="text1"/>
          <w:kern w:val="2"/>
          <w:sz w:val="16"/>
          <w:szCs w:val="16"/>
        </w:rPr>
        <w:softHyphen/>
        <w:t>торое время царила неопределенность. Поначалу предполагалось пойти путем, проторенным заводом Лебедева — то есть, скопировать один из германских самолетов, приспособив его под применяемый в России двигатель. В указанном постановлении от 22 апреля так и го</w:t>
      </w:r>
      <w:r w:rsidRPr="002F2FDF">
        <w:rPr>
          <w:rFonts w:ascii="Times New Roman" w:hAnsi="Times New Roman" w:cs="Times New Roman"/>
          <w:color w:val="000000" w:themeColor="text1"/>
          <w:kern w:val="2"/>
          <w:sz w:val="16"/>
          <w:szCs w:val="16"/>
        </w:rPr>
        <w:softHyphen/>
        <w:t>ворилось: “Заказать Матиасу 100 “Фарсалей” и 500 “Альбатросов”. На рассмотрение Технического комитета Управления военного воз</w:t>
      </w:r>
      <w:r w:rsidRPr="002F2FDF">
        <w:rPr>
          <w:rFonts w:ascii="Times New Roman" w:hAnsi="Times New Roman" w:cs="Times New Roman"/>
          <w:color w:val="000000" w:themeColor="text1"/>
          <w:kern w:val="2"/>
          <w:sz w:val="16"/>
          <w:szCs w:val="16"/>
        </w:rPr>
        <w:softHyphen/>
        <w:t>душного флота (УВВФ) завод направил описание подобного аппа</w:t>
      </w:r>
      <w:r w:rsidRPr="002F2FDF">
        <w:rPr>
          <w:rFonts w:ascii="Times New Roman" w:hAnsi="Times New Roman" w:cs="Times New Roman"/>
          <w:color w:val="000000" w:themeColor="text1"/>
          <w:kern w:val="2"/>
          <w:sz w:val="16"/>
          <w:szCs w:val="16"/>
        </w:rPr>
        <w:softHyphen/>
        <w:t>рата (по сути, эскизный проект) под двигатель “Испано-Сюиза” в 200 л.с. — подобные моторы собирались выпускать на строящемся заводе “Анатра” в Симферополе. Однако заявленные характеристи</w:t>
      </w:r>
      <w:r w:rsidRPr="002F2FDF">
        <w:rPr>
          <w:rFonts w:ascii="Times New Roman" w:hAnsi="Times New Roman" w:cs="Times New Roman"/>
          <w:color w:val="000000" w:themeColor="text1"/>
          <w:kern w:val="2"/>
          <w:sz w:val="16"/>
          <w:szCs w:val="16"/>
        </w:rPr>
        <w:softHyphen/>
        <w:t>ки самолета отнюдь не вдохновили представителей Технического ко</w:t>
      </w:r>
      <w:r w:rsidRPr="002F2FDF">
        <w:rPr>
          <w:rFonts w:ascii="Times New Roman" w:hAnsi="Times New Roman" w:cs="Times New Roman"/>
          <w:color w:val="000000" w:themeColor="text1"/>
          <w:kern w:val="2"/>
          <w:sz w:val="16"/>
          <w:szCs w:val="16"/>
        </w:rPr>
        <w:softHyphen/>
        <w:t>митета, отметивших 5 мая в своем заключении, что, судя по описа</w:t>
      </w:r>
      <w:r w:rsidRPr="002F2FDF">
        <w:rPr>
          <w:rFonts w:ascii="Times New Roman" w:hAnsi="Times New Roman" w:cs="Times New Roman"/>
          <w:color w:val="000000" w:themeColor="text1"/>
          <w:kern w:val="2"/>
          <w:sz w:val="16"/>
          <w:szCs w:val="16"/>
        </w:rPr>
        <w:softHyphen/>
        <w:t>нию, новый самолет не превосходит “Фарман XXX” по своим летным данным, которые являются недостаточными для корпусных аппара</w:t>
      </w:r>
      <w:r w:rsidRPr="002F2FDF">
        <w:rPr>
          <w:rFonts w:ascii="Times New Roman" w:hAnsi="Times New Roman" w:cs="Times New Roman"/>
          <w:color w:val="000000" w:themeColor="text1"/>
          <w:kern w:val="2"/>
          <w:sz w:val="16"/>
          <w:szCs w:val="16"/>
        </w:rPr>
        <w:softHyphen/>
        <w:t>тов. “Матиас” предлагал улучшить характеристики самолета, но за</w:t>
      </w:r>
      <w:r w:rsidRPr="002F2FDF">
        <w:rPr>
          <w:rFonts w:ascii="Times New Roman" w:hAnsi="Times New Roman" w:cs="Times New Roman"/>
          <w:color w:val="000000" w:themeColor="text1"/>
          <w:kern w:val="2"/>
          <w:sz w:val="16"/>
          <w:szCs w:val="16"/>
        </w:rPr>
        <w:softHyphen/>
        <w:t>казчик выразил сомнение в способности трудившихся на фирме конструкторов быстро справиться с такой задачей. Вместо этого тех</w:t>
      </w:r>
      <w:r w:rsidRPr="002F2FDF">
        <w:rPr>
          <w:rFonts w:ascii="Times New Roman" w:hAnsi="Times New Roman" w:cs="Times New Roman"/>
          <w:color w:val="000000" w:themeColor="text1"/>
          <w:kern w:val="2"/>
          <w:sz w:val="16"/>
          <w:szCs w:val="16"/>
        </w:rPr>
        <w:softHyphen/>
        <w:t>нический комитет рекомендовал строить в Бердянске один из “фран</w:t>
      </w:r>
      <w:r w:rsidRPr="002F2FDF">
        <w:rPr>
          <w:rFonts w:ascii="Times New Roman" w:hAnsi="Times New Roman" w:cs="Times New Roman"/>
          <w:color w:val="000000" w:themeColor="text1"/>
          <w:kern w:val="2"/>
          <w:sz w:val="16"/>
          <w:szCs w:val="16"/>
        </w:rPr>
        <w:softHyphen/>
        <w:t>цузских образцов” под тот же мотор “Испано-Сюиза”. Выбор пал на разведчик “Спад XIV”, характеристики которого вполне соответство</w:t>
      </w:r>
      <w:r w:rsidRPr="002F2FDF">
        <w:rPr>
          <w:rFonts w:ascii="Times New Roman" w:hAnsi="Times New Roman" w:cs="Times New Roman"/>
          <w:color w:val="000000" w:themeColor="text1"/>
          <w:kern w:val="2"/>
          <w:sz w:val="16"/>
          <w:szCs w:val="16"/>
        </w:rPr>
        <w:softHyphen/>
        <w:t>вали требованиям. 13 июня подписали контракт № 38231/17853 на общую сумму 3411780 руб., по которому в течение сентября-декабря 1917 г. следовало поставить 200 таких самолетов с запчастями. Таким образом, объем твердых заказов для “Матиаса” составил 300 самоле</w:t>
      </w:r>
      <w:r w:rsidRPr="002F2FDF">
        <w:rPr>
          <w:rFonts w:ascii="Times New Roman" w:hAnsi="Times New Roman" w:cs="Times New Roman"/>
          <w:color w:val="000000" w:themeColor="text1"/>
          <w:kern w:val="2"/>
          <w:sz w:val="16"/>
          <w:szCs w:val="16"/>
        </w:rPr>
        <w:softHyphen/>
        <w:t>тов — вдвое меньше против изначально планируемого (11154).</w:t>
      </w:r>
    </w:p>
    <w:p w14:paraId="560E3AE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F6CFE3" w14:textId="6E2213B5"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22 апреля </w:t>
      </w:r>
      <w:r w:rsidR="00715076">
        <w:rPr>
          <w:rFonts w:ascii="Times New Roman" w:hAnsi="Times New Roman" w:cs="Times New Roman"/>
          <w:color w:val="000000" w:themeColor="text1"/>
          <w:kern w:val="2"/>
          <w:sz w:val="16"/>
          <w:szCs w:val="16"/>
        </w:rPr>
        <w:t xml:space="preserve">(5 мая) </w:t>
      </w:r>
      <w:r w:rsidRPr="002F2FDF">
        <w:rPr>
          <w:rFonts w:ascii="Times New Roman" w:hAnsi="Times New Roman" w:cs="Times New Roman"/>
          <w:color w:val="000000" w:themeColor="text1"/>
          <w:kern w:val="2"/>
          <w:sz w:val="16"/>
          <w:szCs w:val="16"/>
        </w:rPr>
        <w:t>1917 г. Телеграфно-телефоностроителышй завод Лоренца был преобразован в Петроградский электротехнический завод Военно-инженерного ведомства.</w:t>
      </w:r>
    </w:p>
    <w:p w14:paraId="699230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17.02.1918 г. завод (или его часть) эвакуирован в Москву на площадку неработающего Московского телеграфного завода.</w:t>
      </w:r>
      <w:r w:rsidRPr="002F2FDF">
        <w:rPr>
          <w:rFonts w:ascii="Times New Roman" w:hAnsi="Times New Roman" w:cs="Times New Roman"/>
          <w:color w:val="000000" w:themeColor="text1"/>
          <w:kern w:val="2"/>
          <w:sz w:val="16"/>
          <w:szCs w:val="16"/>
          <w:vertAlign w:val="superscript"/>
        </w:rPr>
        <w:t>108</w:t>
      </w:r>
      <w:r w:rsidRPr="002F2FDF">
        <w:rPr>
          <w:rFonts w:ascii="Times New Roman" w:hAnsi="Times New Roman" w:cs="Times New Roman"/>
          <w:color w:val="000000" w:themeColor="text1"/>
          <w:kern w:val="2"/>
          <w:sz w:val="16"/>
          <w:szCs w:val="16"/>
        </w:rPr>
        <w:t xml:space="preserve"> В 06.1918 г. завод национализирован и вскоре законсервирован. 3-е отделение завода в 1922-24 г. сдавалось в аренду, в 1925 г. на его базе образован Государственный гидротехнический завод, арендованный научно-мелиорационным институтом Наркомзема. В 1927 г. завод передан в ведение треста «Тремасс», которым в 1930-31 г. на базе предприятия был образован Учебно-производственный комбинат. В 1931 г. комбинат реорганизован в завод электроизмерительных приборов «Термоэлектроприбор» в ведении Всесоюзного треста государственного лабораторного снаряжения ВСНХ. В 1932 г. завод передан в ведение ВОТИ НКТП и переименован в Ленинградский государственный завод электроизмерительных приборов электротехнического контроля «Пирометр», в том же году переведен на новую территорию в Петроградском районе по ул. Скороходова. В 1934 г. переименован в Ленинградский государственный завод измерительных приборов «Пирометр». В 12.1936 г. завод передан из ВОТИ НКТП в ведение НКОП. По пр. № 024 от 4.02.1937 г. завод «Пирометр» получил наименование завод № 218, в соответствии с пост. СНК № 2139-425сс от 21.12.1936 г. и пр. № </w:t>
      </w:r>
      <w:r w:rsidRPr="002F2FDF">
        <w:rPr>
          <w:rFonts w:ascii="Times New Roman" w:hAnsi="Times New Roman" w:cs="Times New Roman"/>
          <w:color w:val="000000" w:themeColor="text1"/>
          <w:kern w:val="2"/>
          <w:sz w:val="16"/>
          <w:szCs w:val="16"/>
        </w:rPr>
        <w:lastRenderedPageBreak/>
        <w:t>59 от 14.02.1937 г. передан в ведение ЮГУ НКОП, приказом № 90 от 13.03.1937 г. утвержден Устав завода. В 01.1939 г. передан из ЮГУ НКОП в НКАП. Полностью введен в строй в 1940 г.</w:t>
      </w:r>
    </w:p>
    <w:p w14:paraId="284C1A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 0092 от 27.04.1937 г. предписано ввести в эксплуатацию в 3-м квартале главный корпус, закончить реконструкцию в 1937 г.; пр. № 74с от 8.03.1938 г. - закончить к 15.05.1938 г. строительство 2-й очереди завода; пр. № 164сс от 14.05.1938 г. - к 1.06.1938 г. закончить строительство нового корпуса, переработать техпроект завода (ГПИ-10) в связи с новой специализацией; производство электрических аэротермометров свернуть после налаживания его на заводе № 230.</w:t>
      </w:r>
    </w:p>
    <w:p w14:paraId="0A8E79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 066 от 29.03.1937 г. заводу поручено изготовить опытные образцы электрического бензиномера БЭ07 собственной разработки для самолетов: ДБ-3 к 15.05.1937 г., ХАИ-5 к 15.05.1937 г., ДБ-А к 1.07.1937 г., И-16 к 15.05.1937 г., СВБ к 1.06.1937 г., «Иванов» (3 типа) к 1.06.1937 г.; изготовить 5 комплектов бензиномера для самолета СБ-36 для войсковых испытаний к 15.04.1937 г.; организовать производство БЭ07 для данных самолетов со 2-го квартала 1937 г., для этого заводу выделено 93 ед. оборудования. Приказом № 284 от 11.08.1937 г. «за развал работы» были сняты директор и гл. инженер завода. По пр. № 74с вновь требовалось приступить к организации производства бензиномеров БЭ07 с выпуском в 1938 г. 440 комплектов для самолета «Вулти», 30 - дом ДБ-А.</w:t>
      </w:r>
    </w:p>
    <w:p w14:paraId="16E819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 121с от 3.04.1938 г. заводу требовалось к 15.04.1938 г. сдать аппаратуру температурной сигнализации артиллерийских погребов крейсера «Киров». По пр. № 164сс от 14.05.1938 г. сюда с завода № 212 переведено производство электроизмерительных приборов.</w:t>
      </w:r>
    </w:p>
    <w:p w14:paraId="611D36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Крупный электротехнический завод по производству точных электроизмерительных приборов. Перед и во время войны производство авиационных и морских тахометров, гальванометров, пирометрических приборов, реле, бензиномеров.</w:t>
      </w:r>
    </w:p>
    <w:p w14:paraId="38BE5B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приказу № 422с от 13.08.1940 г. на заводе был образован Опытный отдел в составе КБ, экспериментальной лаборатории, цеха и испытательной станции для опытных работ по автоматам управления винтомоторными группами (ВМГ) самолетов, приборам контроля ВМГ и штурманским приборам.</w:t>
      </w:r>
    </w:p>
    <w:p w14:paraId="79C91E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войны на заводе производились магнитные мины. С началом войны по приказу № 729сс от 22.07.1941 г. завод был подготовлен к эвакуации. В соответствии с пост. ГКО № 537сс от 21.08.1941 г. и приказом № 894сс от 22.08.1941 г. основная часть завода № 218 5ГУ эвакуирована из Ленинграда в  г. Казань на площадку фабрики «Кинопленка». Здесь образован Казанский филиал завода № 218, который в начале 1942 г. преобразован в самостоятельный завод № 448 НКАП.</w:t>
      </w:r>
    </w:p>
    <w:p w14:paraId="3396CA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Оставшаяся часть завода № 218 продолжала действовать в Ленинграде под своим номером (в 07.1942 г.- производство авиационных и танковых приборов).</w:t>
      </w:r>
      <w:r w:rsidRPr="002F2FDF">
        <w:rPr>
          <w:rFonts w:ascii="Times New Roman" w:hAnsi="Times New Roman" w:cs="Times New Roman"/>
          <w:color w:val="000000" w:themeColor="text1"/>
          <w:kern w:val="2"/>
          <w:sz w:val="16"/>
          <w:szCs w:val="16"/>
          <w:vertAlign w:val="superscript"/>
        </w:rPr>
        <w:t>65</w:t>
      </w:r>
    </w:p>
    <w:p w14:paraId="3AE3BF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07.1942 г. другая часть завода эвакуирована на территорию завода № 279 НКАП ( г. Раменское), который в 1941 г. уже был эвакуирован в Ижевск. В Раменском завод влит в состав вновь образованного завода № 149 НКАП.</w:t>
      </w:r>
    </w:p>
    <w:p w14:paraId="4E2F0A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Территория завода в Ленинграде была законсервирована и во время блокады подверглась значительным разрушениям. Завод начал восстанавливаться по решению ГКО № 3919 от 13.08.1943 г. для выпуска электроприборов.</w:t>
      </w:r>
    </w:p>
    <w:p w14:paraId="7DB756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1946 г. заводу выделен 751 трофейный станок, в т.ч. 43 гидропресса для производства пластмасс. Начато освоение производства приборов теплового контроля. Организован цех пластмасс.</w:t>
      </w:r>
    </w:p>
    <w:p w14:paraId="7D728D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войны завод № 218 действовал в Ленинграде, с 1946 г.- в ведении МАП. В соответствии с пост. СМ СССР № 713-342 от 26.06.1957 г. передан в ведение Управления авиационной промышленности ЛенСНХ, с 1958 г. - Управления агрегатостроения и приборостроения ЛенСНХ. В 11.1965 г. завод передан в ведение 5ГУ МАП. В 01.1966 г. Государственный завод № 218 вошел в состав НПО «Электроавтоматика», в том же году переименован в завод «Пирометр».</w:t>
      </w:r>
    </w:p>
    <w:p w14:paraId="2EA125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29.12.1992 г. завод преобразован в АОЗТ, а в 1993 г.- ОАО «Пирометр». Имел филиал (2002 г.)- «Пирометр- Сервис» / г. Москва Лубянский пр., 21/.</w:t>
      </w:r>
    </w:p>
    <w:p w14:paraId="77216B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Входил в МФПГ «Оборонительные системы», в 2002 г. вошел в Концерн «Алмаз-Антей». По решению правительства № 22-р от 9.01,2004 г. вошло в перечень стратегических предприятий.</w:t>
      </w:r>
    </w:p>
    <w:p w14:paraId="581CFD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(2002 г.): авиационные навигационные приборы, автопилоты, САУ и ПНК, бортовые системы контроля.</w:t>
      </w:r>
    </w:p>
    <w:p w14:paraId="6B37C8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2005 г. планировалось перевести основное производство из центра города в Кировский район.</w:t>
      </w:r>
    </w:p>
    <w:p w14:paraId="561EBA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(2002 г.)-1041 чел.</w:t>
      </w:r>
    </w:p>
    <w:p w14:paraId="73E7DD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Директор (-03-11.08.1937 г.)- Чеботарев (снят), (20.08.1937-04.1938-; -19.07.1938 г.)- С.Т. Валуев, (14.05.1938-; 09.1940-41 г.-)- А.Н. Соколовский, (-1940 г.)- Балакирев, (1942 г.)- И.М. Цветков, (05.1944 г.)- К.Д. Карасев. Гендиректор (1990-е  г.)- А. Г. Пшеничников, (1994-96 г.)- С.Д. Бодрунов (затем- гендиректор ОАО </w:t>
      </w:r>
      <w:r w:rsidRPr="002F2FDF">
        <w:rPr>
          <w:rFonts w:ascii="Times New Roman" w:hAnsi="Times New Roman" w:cs="Times New Roman"/>
          <w:color w:val="000000" w:themeColor="text1"/>
          <w:kern w:val="2"/>
          <w:sz w:val="16"/>
          <w:szCs w:val="16"/>
          <w:lang w:val="en-US"/>
        </w:rPr>
        <w:t>OAK</w:t>
      </w:r>
      <w:r w:rsidRPr="002F2FDF">
        <w:rPr>
          <w:rFonts w:ascii="Times New Roman" w:hAnsi="Times New Roman" w:cs="Times New Roman"/>
          <w:color w:val="000000" w:themeColor="text1"/>
          <w:kern w:val="2"/>
          <w:sz w:val="16"/>
          <w:szCs w:val="16"/>
        </w:rPr>
        <w:t>), (1996- 10.2003 г.)- А.Л. Захаров, (2003 г.)- В.В. Голубев.</w:t>
      </w:r>
    </w:p>
    <w:p w14:paraId="2124E5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Технический директор - </w:t>
      </w:r>
      <w:r w:rsidRPr="002F2FDF">
        <w:rPr>
          <w:rFonts w:ascii="Times New Roman" w:hAnsi="Times New Roman" w:cs="Times New Roman"/>
          <w:color w:val="000000" w:themeColor="text1"/>
          <w:kern w:val="2"/>
          <w:sz w:val="16"/>
          <w:szCs w:val="16"/>
          <w:lang w:val="en-US"/>
        </w:rPr>
        <w:t>A</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JI</w:t>
      </w:r>
      <w:r w:rsidRPr="002F2FDF">
        <w:rPr>
          <w:rFonts w:ascii="Times New Roman" w:hAnsi="Times New Roman" w:cs="Times New Roman"/>
          <w:color w:val="000000" w:themeColor="text1"/>
          <w:kern w:val="2"/>
          <w:sz w:val="16"/>
          <w:szCs w:val="16"/>
        </w:rPr>
        <w:t>. Захаров. Директор по ВЭД (-1994 г.)- С.Д. Бодрунов, (2002 г.)- С.Н. Лебедев.</w:t>
      </w:r>
      <w:r w:rsidRPr="002F2FDF">
        <w:rPr>
          <w:rFonts w:ascii="Times New Roman" w:hAnsi="Times New Roman" w:cs="Times New Roman"/>
          <w:color w:val="000000" w:themeColor="text1"/>
          <w:kern w:val="2"/>
          <w:sz w:val="16"/>
          <w:szCs w:val="16"/>
          <w:vertAlign w:val="superscript"/>
        </w:rPr>
        <w:t>69</w:t>
      </w:r>
    </w:p>
    <w:p w14:paraId="1F9289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инженер (-11.08.1937 г.)- Вальтер (снят), (29.11.1937-20.04.1938; 11.08.1938 г.-)- И.М. Цветков (снят, затем восстановлен).</w:t>
      </w:r>
    </w:p>
    <w:p w14:paraId="53AD16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конструктор (1941 г.)- А.А. Андреев, (1980-е-2002 г.-)- А.Л. Захаров.</w:t>
      </w:r>
    </w:p>
    <w:p w14:paraId="323298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цехов: (20.04.1938 г.-)- И.М. Цветков.</w:t>
      </w:r>
    </w:p>
    <w:p w14:paraId="5A0218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отделов: ОКС (1938 г.)- Н.М. Силантьев.</w:t>
      </w:r>
    </w:p>
    <w:p w14:paraId="1D8323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КБ (1981 г.-)- А.Л. Захаров.</w:t>
      </w:r>
    </w:p>
    <w:p w14:paraId="4AE753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Производство:</w:t>
      </w:r>
      <w:r w:rsidRPr="002F2FDF">
        <w:rPr>
          <w:rFonts w:ascii="Times New Roman" w:hAnsi="Times New Roman" w:cs="Times New Roman"/>
          <w:color w:val="000000" w:themeColor="text1"/>
          <w:kern w:val="2"/>
          <w:sz w:val="16"/>
          <w:szCs w:val="16"/>
        </w:rPr>
        <w:t xml:space="preserve"> пирометры, термометры: дистанционный воздушный ВЗАТ, электрический водный МЗАТ, карбюраторный КЗАТ, электрический кабинный РТБ (1936); бензиномеры: электрический (1936), БЭ07 (1937-38- ); приборы ТЦТ-5, ТКВЭАТ, ТВБ, ТХ, ТЖК, ТХК, ТП, ТБ, ЭТ, ТМЭ, ТВЭ, ЭП, 2МП, МН-325, -326, МИК-374, - 813, ТП-ТС, 8310-а, 11066, ТП-</w:t>
      </w:r>
      <w:r w:rsidRPr="002F2FDF">
        <w:rPr>
          <w:rFonts w:ascii="Times New Roman" w:hAnsi="Times New Roman" w:cs="Times New Roman"/>
          <w:color w:val="000000" w:themeColor="text1"/>
          <w:kern w:val="2"/>
          <w:sz w:val="16"/>
          <w:szCs w:val="16"/>
          <w:lang w:val="en-US"/>
        </w:rPr>
        <w:t>VI</w:t>
      </w:r>
      <w:r w:rsidRPr="002F2FDF">
        <w:rPr>
          <w:rFonts w:ascii="Times New Roman" w:hAnsi="Times New Roman" w:cs="Times New Roman"/>
          <w:color w:val="000000" w:themeColor="text1"/>
          <w:kern w:val="2"/>
          <w:sz w:val="16"/>
          <w:szCs w:val="16"/>
        </w:rPr>
        <w:t>, ТХ-ЭТ (1938); указатели ПГУ, ГПЛП, ГНЛП, ГНЗС (1938); термопары И-158, - 278, -287, -179, -282 (1938); гальванометры указывающие и самопишущие (1938);</w:t>
      </w:r>
      <w:r w:rsidRPr="002F2FDF">
        <w:rPr>
          <w:rFonts w:ascii="Times New Roman" w:hAnsi="Times New Roman" w:cs="Times New Roman"/>
          <w:iCs/>
          <w:color w:val="000000" w:themeColor="text1"/>
          <w:kern w:val="2"/>
          <w:sz w:val="16"/>
          <w:szCs w:val="16"/>
        </w:rPr>
        <w:t xml:space="preserve"> автопилоты:</w:t>
      </w:r>
      <w:r w:rsidRPr="002F2FDF">
        <w:rPr>
          <w:rFonts w:ascii="Times New Roman" w:hAnsi="Times New Roman" w:cs="Times New Roman"/>
          <w:color w:val="000000" w:themeColor="text1"/>
          <w:kern w:val="2"/>
          <w:sz w:val="16"/>
          <w:szCs w:val="16"/>
        </w:rPr>
        <w:t xml:space="preserve"> АП-15, АП-28, АП-40 для Як-26, АП-31 для Як-24; осциллографы (1959);</w:t>
      </w:r>
      <w:r w:rsidRPr="002F2FDF">
        <w:rPr>
          <w:rFonts w:ascii="Times New Roman" w:hAnsi="Times New Roman" w:cs="Times New Roman"/>
          <w:iCs/>
          <w:color w:val="000000" w:themeColor="text1"/>
          <w:kern w:val="2"/>
          <w:sz w:val="16"/>
          <w:szCs w:val="16"/>
        </w:rPr>
        <w:t xml:space="preserve"> магнитофоны:</w:t>
      </w:r>
      <w:r w:rsidRPr="002F2FDF">
        <w:rPr>
          <w:rFonts w:ascii="Times New Roman" w:hAnsi="Times New Roman" w:cs="Times New Roman"/>
          <w:color w:val="000000" w:themeColor="text1"/>
          <w:kern w:val="2"/>
          <w:sz w:val="16"/>
          <w:szCs w:val="16"/>
        </w:rPr>
        <w:t xml:space="preserve"> «Орбита», «Орбита-2, -303, -204С, -205, -106С, МК-106С, МПК-107С, МПК-Ю8С».</w:t>
      </w:r>
      <w:r w:rsidRPr="002F2FDF">
        <w:rPr>
          <w:rFonts w:ascii="Times New Roman" w:hAnsi="Times New Roman" w:cs="Times New Roman"/>
          <w:color w:val="000000" w:themeColor="text1"/>
          <w:kern w:val="2"/>
          <w:sz w:val="16"/>
          <w:szCs w:val="16"/>
          <w:vertAlign w:val="superscript"/>
        </w:rPr>
        <w:t>106</w:t>
      </w:r>
    </w:p>
    <w:p w14:paraId="276BC3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ОКБ-218 НКАП, ОКБ-5 завода № 218 МАП</w:t>
      </w:r>
    </w:p>
    <w:p w14:paraId="6C274C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г. Ленинград/</w:t>
      </w:r>
    </w:p>
    <w:p w14:paraId="3AC0D8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Действовало в 1941 г. в 5ГУ. В 12.1941 г. ОКБ пытались эвакуировать по льду Ладожского озера, но это не было осуществлено. В 1946 г. называлось ОКБ-5. Работы по теплоприборам, автоматическим и измерительным приборам (расходомеры) реактивных двигателей (1949 г.).</w:t>
      </w:r>
    </w:p>
    <w:p w14:paraId="134183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конструктор (-1941-06.1948 г.-)- А.А. Андреев.</w:t>
      </w:r>
    </w:p>
    <w:p w14:paraId="536A27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НПО «Электроавтоматика»</w:t>
      </w:r>
    </w:p>
    <w:p w14:paraId="2A8356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г. Ленинград/</w:t>
      </w:r>
    </w:p>
    <w:p w14:paraId="0B985C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01.1966 г. в состав НПО вошел завод «Пирометр».</w:t>
      </w:r>
    </w:p>
    <w:p w14:paraId="6F33F5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Производство:</w:t>
      </w:r>
      <w:r w:rsidRPr="002F2FDF">
        <w:rPr>
          <w:rFonts w:ascii="Times New Roman" w:hAnsi="Times New Roman" w:cs="Times New Roman"/>
          <w:color w:val="000000" w:themeColor="text1"/>
          <w:kern w:val="2"/>
          <w:sz w:val="16"/>
          <w:szCs w:val="16"/>
        </w:rPr>
        <w:t xml:space="preserve"> ТДС-4.</w:t>
      </w:r>
    </w:p>
    <w:p w14:paraId="376D8E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ОАО «Корпорация «Аэрокосмическое оборудование» (КАО) РАСУ /197101  г. Санкт-Петербург ул. Б. Монетная, 16 тел. 498-16-40/ /Московское представительство: ул. Б. Молчановка, 30/7 стр. 2; 101000 Архангельский пер., 6 (2004 г.) тел. 924-44-71/</w:t>
      </w:r>
    </w:p>
    <w:p w14:paraId="00F777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Создание Корпорации «Аэрокосмическое оборудование» (КАО) было предусмотрено в 05.1998 г. проектом Федеральной программы реструктуризации ВПК., а 14.11.1998 г. принято постановление Правительства № 1347 «О создании ОАО КАО». ОАО КАО в ведении РАСУ было зарегистрировано 18.04.2000 г., в него вошли 35 предприятий авиаприборостроения: в т.ч. ОАО «Объединенный авиаприборостроительный консорциум» (управляющая компания), ОАО «Уральский завод электрических соединителей «Исеть», ОАО «Радиоприбор», ОАО «Арзамасское опытно-конструкторское бюро «Импульс», НИИП им. Тихомирова, ОАО «Электроприбор» ( г. Воронеж), ОАО «Альметьевский завод «Радиоприбор», ОАО «Московский радиозавод «ТЕМП», ОА° «Мичуринский завод «Прогресс», ОАО «Тамбовский завод «Электроприбор», ОАО «Пирометр», ОАО «Измеритель», ФГУП «СП ОКБ «ЭЛЕКТРОАВТОМАТИКА», ОАО «Ростовский часовой завод», ОАО «ПМЗ «Восход», ОАО «У-УППО», ФГУП «ГРПЗ», ОАО «Санкт-Петербургский завод точных электромеханических приборов», ФГУП ЦКБА, ОАО «Гидроагрегат», ЗАО «НИЦ экономики авиаприборостроения», ОАО «ПНПП «ЭРА», ОАО ПКБМ, ОАО 2-й МПЗ, ОАО «НИИ «Микрон», ОАО «Утес», ЗАО «Авиаоборудование», ОАО «Научно-конструкторское бюро вычислительных систем», ОАО «Российский центр авиационного тренажеростроения», ЗАО «Центр печатных плат»; НПО «Экран» (2002 г.); (на 11.2004 г. в КАО входило 36 предприятий). 2.04.2001 г. было подписано межправительственное соглашение о создании МФПГ «Аэрокосмическое оборудование», 1.08.2001 г. МФПГ была зарегистрирована. Входила в МФПГ «Оборонительные системы», в 2002 г. вошла в Концерн «Алмаз-Антей». По Указу Президента РФ № 1009 от 4.08.2004 г. вошло в число стратегических оборонных предприятий. В 03.2009 г. КАО вошла в состав созданной Российской авиаприборостроительной корпорации (РАК).</w:t>
      </w:r>
    </w:p>
    <w:p w14:paraId="30A40D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(2002 г.)- 100 чел.,</w:t>
      </w:r>
      <w:r w:rsidRPr="002F2FDF">
        <w:rPr>
          <w:rFonts w:ascii="Times New Roman" w:hAnsi="Times New Roman" w:cs="Times New Roman"/>
          <w:color w:val="000000" w:themeColor="text1"/>
          <w:kern w:val="2"/>
          <w:sz w:val="16"/>
          <w:szCs w:val="16"/>
          <w:vertAlign w:val="superscript"/>
        </w:rPr>
        <w:t>69</w:t>
      </w:r>
      <w:r w:rsidRPr="002F2FDF">
        <w:rPr>
          <w:rFonts w:ascii="Times New Roman" w:hAnsi="Times New Roman" w:cs="Times New Roman"/>
          <w:color w:val="000000" w:themeColor="text1"/>
          <w:kern w:val="2"/>
          <w:sz w:val="16"/>
          <w:szCs w:val="16"/>
        </w:rPr>
        <w:t xml:space="preserve"> (1.04.2003 г.)-148 чел.</w:t>
      </w:r>
    </w:p>
    <w:p w14:paraId="20A8E5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Гендиректор (2002-08 г.-)- С.Д. Бодрунов.</w:t>
      </w:r>
    </w:p>
    <w:p w14:paraId="0A7411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1-й зам. гендиректора (2002 г.)- А. Г. Ященко; технический директор (2001-05 г.-)- А.П. Захаревич; исполнительный директор (11.2003-05 г.-)- АЛ. Захаров. Зам. гендиректора: директор департамента по ВЭД и маркетингу (2004 г.)- Л.А. Мальков.</w:t>
      </w:r>
    </w:p>
    <w:p w14:paraId="21DF25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директора НТЦ (2004 г.)- И.И. Кутырин. Советник гендиректора по экономическим вопросам (2004 г.)- И.А. Соломатин. Начальник информационно-рекламного управления (2006 г.)- Н.О. Валуев.</w:t>
      </w:r>
    </w:p>
    <w:p w14:paraId="08B3E3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ЗАО «НИЦ экономики авиаприборостроения» /197101  г. Санкт-Петербург ул. Б. Монетная, 16 тел. 238-72-62/ Создан в 1999 г. В 2000 г. вошел в КАО.</w:t>
      </w:r>
    </w:p>
    <w:p w14:paraId="782D67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Работы (2003 г.): разработка, совершенствование и ведение информационно-статистической и бухгалтерской базы отчетности предприятий Корпорации; разработка предложений и рекомендаций для руководителей предприятий по повышению эффективности производства, совершенствованию кооперационных связей; разработка аналитических, информационных и научно-исследовательских материалов для предприятий Корпорации.</w:t>
      </w:r>
    </w:p>
    <w:p w14:paraId="00EF83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Гендиректор (2003 г.)- Ю.Н. Вялкин (11982).</w:t>
      </w:r>
    </w:p>
    <w:p w14:paraId="7F90A1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AAE395" w14:textId="36A7D6CE" w:rsidR="00EB3E32" w:rsidRDefault="00EB3E32"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lastRenderedPageBreak/>
        <w:t>Армия:</w:t>
      </w:r>
    </w:p>
    <w:p w14:paraId="67458877" w14:textId="77777777" w:rsidR="00EB3E32" w:rsidRDefault="00EB3E32"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1912A79" w14:textId="31150690" w:rsidR="00EB3E32" w:rsidRPr="00FB4F67" w:rsidRDefault="00EB3E32" w:rsidP="0083075A">
      <w:pPr>
        <w:spacing w:after="0" w:line="240" w:lineRule="auto"/>
        <w:jc w:val="both"/>
        <w:rPr>
          <w:rFonts w:ascii="Times New Roman" w:hAnsi="Times New Roman" w:cs="Times New Roman"/>
          <w:color w:val="0070C0"/>
          <w:sz w:val="16"/>
          <w:szCs w:val="16"/>
        </w:rPr>
      </w:pPr>
      <w:bookmarkStart w:id="85" w:name="bookmark762"/>
      <w:bookmarkStart w:id="86" w:name="bookmark763"/>
      <w:bookmarkStart w:id="87" w:name="bookmark743"/>
      <w:bookmarkStart w:id="88" w:name="bookmark744"/>
      <w:bookmarkStart w:id="89" w:name="bookmark745"/>
      <w:bookmarkStart w:id="90" w:name="bookmark746"/>
      <w:r>
        <w:rPr>
          <w:rFonts w:ascii="Times New Roman" w:hAnsi="Times New Roman" w:cs="Times New Roman"/>
          <w:color w:val="0070C0"/>
          <w:sz w:val="16"/>
          <w:szCs w:val="16"/>
        </w:rPr>
        <w:t>22 апреля (</w:t>
      </w:r>
      <w:r w:rsidRPr="00FB4F67">
        <w:rPr>
          <w:rFonts w:ascii="Times New Roman" w:hAnsi="Times New Roman" w:cs="Times New Roman"/>
          <w:color w:val="0070C0"/>
          <w:sz w:val="16"/>
          <w:szCs w:val="16"/>
        </w:rPr>
        <w:t>5 мая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огнем нашей артиллерии был сбит неприятельский самолет (1</w:t>
      </w:r>
      <w:r w:rsidRPr="00FB4F67">
        <w:rPr>
          <w:rFonts w:ascii="Times New Roman" w:hAnsi="Times New Roman" w:cs="Times New Roman"/>
          <w:color w:val="0070C0"/>
          <w:sz w:val="16"/>
          <w:szCs w:val="16"/>
        </w:rPr>
        <w:softHyphen/>
        <w:t>я австрийская авиационная рота), упавший в районе Гура-Гумора (Румыния). Два офицера-летчика взяты в плен. В тот же день командир 19-го корпусного авиаотряда штабс-капитан П.В. Аргеев «атаковал пулеметным огнем неприятельский самолет. После боя самолет противника, окутанный дымом, снизился за Лысонским лесом в расположении противника».  Позднее, утром 17 мая, у м. Подгайцы командир 19-го корпусного авиаотряда штабс-капитан П.В. Аргеев на истребителе «совместно с другим самолетом, атаковал и сбил самолет противника, который опустился и был захвачен нашими войсками у д. Божинув» (23405).</w:t>
      </w:r>
      <w:bookmarkEnd w:id="85"/>
      <w:bookmarkEnd w:id="86"/>
    </w:p>
    <w:p w14:paraId="69175DB7" w14:textId="77777777" w:rsidR="00EB3E32" w:rsidRPr="00FB4F67" w:rsidRDefault="00EB3E32" w:rsidP="0083075A">
      <w:pPr>
        <w:spacing w:after="0" w:line="240" w:lineRule="auto"/>
        <w:jc w:val="both"/>
        <w:rPr>
          <w:rFonts w:ascii="Times New Roman" w:hAnsi="Times New Roman" w:cs="Times New Roman"/>
          <w:color w:val="0070C0"/>
          <w:sz w:val="16"/>
          <w:szCs w:val="16"/>
        </w:rPr>
      </w:pPr>
    </w:p>
    <w:bookmarkEnd w:id="87"/>
    <w:bookmarkEnd w:id="88"/>
    <w:bookmarkEnd w:id="89"/>
    <w:bookmarkEnd w:id="90"/>
    <w:p w14:paraId="6A9501C4" w14:textId="47E996A8"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17199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1FEF7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апреля (5 мая) 1917 ЦК РСДРП (б) принял ленинскую резолюцию с лозунгом “Долой Временное правительство ” (4962).</w:t>
      </w:r>
    </w:p>
    <w:p w14:paraId="1A32556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038B4B" w14:textId="77777777" w:rsidR="00871D7D"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B03702C" w14:textId="77777777" w:rsidR="00871D7D" w:rsidRPr="002F2FDF" w:rsidRDefault="00871D7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1D4C72" w14:textId="1FD2ACAB" w:rsidR="00715076" w:rsidRPr="002F2FDF" w:rsidRDefault="0071507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w:t>
      </w:r>
      <w:r w:rsidRPr="00715076">
        <w:rPr>
          <w:rFonts w:ascii="Times New Roman" w:hAnsi="Times New Roman" w:cs="Times New Roman"/>
          <w:color w:val="000000" w:themeColor="text1"/>
          <w:sz w:val="16"/>
          <w:szCs w:val="16"/>
        </w:rPr>
        <w:t>2</w:t>
      </w:r>
      <w:r w:rsidRPr="002F2FDF">
        <w:rPr>
          <w:rFonts w:ascii="Times New Roman" w:hAnsi="Times New Roman" w:cs="Times New Roman"/>
          <w:color w:val="000000" w:themeColor="text1"/>
          <w:sz w:val="16"/>
          <w:szCs w:val="16"/>
        </w:rPr>
        <w:t xml:space="preserve"> апреля (5 мая) 1917 французы применили танки в рамках «Наступления Нивеля» еще раз. В бой у фермы Маннежан и мельницы в Лафо были отправлены 19 «Шнейдеров» и 12 «Сен Шамонов». Им удалось прорвать оборону и продвинуться на полкилометра, захватив мельницу Лафо. После возвращения оставшихся французских машин из боя было обнаружено, что в результате атаки никаких повреждений не получил всего лишь один танк СА-1. В этом бою отчетливо проявилось превосходство танков «Шнейдер» над «Сен Шамон», которые практически не могли передвигаться в условиях пересеченной местности. «Сен Шамоны» не смогли преодолеть окопы, остановившись перед ними, в результате часть была подбита вражескими артиллеристами, а другие вышли из строя из-за поломок (22820).</w:t>
      </w:r>
    </w:p>
    <w:p w14:paraId="0E0A9872" w14:textId="77777777" w:rsidR="00715076" w:rsidRPr="002F2FDF" w:rsidRDefault="00715076" w:rsidP="0083075A">
      <w:pPr>
        <w:spacing w:after="0" w:line="240" w:lineRule="auto"/>
        <w:jc w:val="both"/>
        <w:rPr>
          <w:rFonts w:ascii="Times New Roman" w:hAnsi="Times New Roman" w:cs="Times New Roman"/>
          <w:color w:val="000000" w:themeColor="text1"/>
          <w:sz w:val="16"/>
          <w:szCs w:val="16"/>
        </w:rPr>
      </w:pPr>
    </w:p>
    <w:p w14:paraId="2DF31D1B" w14:textId="45E5AA70" w:rsidR="008D16F6" w:rsidRPr="002F2FDF" w:rsidRDefault="008D16F6" w:rsidP="0083075A">
      <w:pPr>
        <w:pStyle w:val="ae"/>
        <w:spacing w:before="0" w:after="0"/>
        <w:jc w:val="both"/>
        <w:rPr>
          <w:color w:val="000000" w:themeColor="text1"/>
          <w:kern w:val="2"/>
          <w:sz w:val="16"/>
          <w:szCs w:val="16"/>
        </w:rPr>
      </w:pPr>
      <w:r w:rsidRPr="002F2FDF">
        <w:rPr>
          <w:color w:val="000000" w:themeColor="text1"/>
          <w:kern w:val="2"/>
          <w:sz w:val="16"/>
          <w:szCs w:val="16"/>
        </w:rPr>
        <w:t>22 апреля (5 мая) 1917 британские, французские, итальянские и сербские части начали подготовку к наступлению на болгарские позиции в районе реки Черна (сейчас — Црна, протекает на юге нынешней Македонии). В течение трех дней (5-7 мая) десятки артиллерийских батарей союзников бомбардировали болгарские укрепления, но обстрел привел к непредвиденным последствиям — из-за сухой безветренной погоды весь фронт «утонул» в облаках поднявшейся пыли и было невозможно понять, есть ли от него какой-то эффект. Только за 7 мая по болгарским позициям союзниками было выпущено более 15</w:t>
      </w:r>
      <w:r w:rsidR="00E52569">
        <w:rPr>
          <w:color w:val="000000" w:themeColor="text1"/>
          <w:kern w:val="2"/>
          <w:sz w:val="16"/>
          <w:szCs w:val="16"/>
        </w:rPr>
        <w:t xml:space="preserve"> </w:t>
      </w:r>
      <w:r w:rsidRPr="002F2FDF">
        <w:rPr>
          <w:color w:val="000000" w:themeColor="text1"/>
          <w:kern w:val="2"/>
          <w:sz w:val="16"/>
          <w:szCs w:val="16"/>
        </w:rPr>
        <w:t>000 снарядов. Потери болгар от огня союзников составили 1000 человек убитыми и ранеными (17045).</w:t>
      </w:r>
    </w:p>
    <w:p w14:paraId="62B05578" w14:textId="77777777" w:rsidR="008D16F6" w:rsidRPr="002F2FDF" w:rsidRDefault="008D16F6" w:rsidP="0083075A">
      <w:pPr>
        <w:spacing w:after="0" w:line="240" w:lineRule="auto"/>
        <w:jc w:val="both"/>
        <w:rPr>
          <w:rFonts w:ascii="Times New Roman" w:hAnsi="Times New Roman" w:cs="Times New Roman"/>
          <w:color w:val="000000" w:themeColor="text1"/>
          <w:kern w:val="2"/>
          <w:sz w:val="16"/>
          <w:szCs w:val="16"/>
        </w:rPr>
      </w:pPr>
    </w:p>
    <w:p w14:paraId="21CBD36F" w14:textId="77777777"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апреля (5 мая) в 1917 году капитан-лейтенант Вальтер Швигер на подводной лодке «U-20» прибывает в район мыса Олд-Хедоф-Кинсейл и топит шхуну «Эрл оф Латам» (14882).</w:t>
      </w:r>
    </w:p>
    <w:p w14:paraId="237AFFF3" w14:textId="77777777"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p>
    <w:p w14:paraId="40B9D0B7" w14:textId="77777777"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апреля (5 мая) в 1917 году британский министр иностранных дел А.Д.Бальфур становится первым неамериканцем, выступившим на заседании палаты представителей США. В своей речи он превозносит демократические принципы государственного устройства (14882).</w:t>
      </w:r>
    </w:p>
    <w:p w14:paraId="3388C23D" w14:textId="77777777"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p>
    <w:p w14:paraId="20907C1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1F682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597ACC" w14:textId="385DD6D3" w:rsidR="0047418C" w:rsidRPr="002F2FDF" w:rsidRDefault="004741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23 апре</w:t>
      </w:r>
      <w:r w:rsidRPr="002F2FDF">
        <w:rPr>
          <w:rFonts w:ascii="Times New Roman" w:hAnsi="Times New Roman" w:cs="Times New Roman"/>
          <w:color w:val="000000" w:themeColor="text1"/>
          <w:sz w:val="16"/>
          <w:szCs w:val="16"/>
        </w:rPr>
        <w:softHyphen/>
        <w:t>ля (</w:t>
      </w:r>
      <w:r w:rsidR="00715076">
        <w:rPr>
          <w:rFonts w:ascii="Times New Roman" w:hAnsi="Times New Roman" w:cs="Times New Roman"/>
          <w:color w:val="000000" w:themeColor="text1"/>
          <w:sz w:val="16"/>
          <w:szCs w:val="16"/>
        </w:rPr>
        <w:t>6</w:t>
      </w:r>
      <w:r w:rsidRPr="002F2FDF">
        <w:rPr>
          <w:rFonts w:ascii="Times New Roman" w:hAnsi="Times New Roman" w:cs="Times New Roman"/>
          <w:color w:val="000000" w:themeColor="text1"/>
          <w:sz w:val="16"/>
          <w:szCs w:val="16"/>
        </w:rPr>
        <w:t xml:space="preserve"> мая) 1917 в Двинске открылся первый инженерно-тех</w:t>
      </w:r>
      <w:r w:rsidRPr="002F2FDF">
        <w:rPr>
          <w:rFonts w:ascii="Times New Roman" w:hAnsi="Times New Roman" w:cs="Times New Roman"/>
          <w:color w:val="000000" w:themeColor="text1"/>
          <w:sz w:val="16"/>
          <w:szCs w:val="16"/>
        </w:rPr>
        <w:softHyphen/>
        <w:t>нический съезд 5-й армии, на котором возду</w:t>
      </w:r>
      <w:r w:rsidRPr="002F2FDF">
        <w:rPr>
          <w:rFonts w:ascii="Times New Roman" w:hAnsi="Times New Roman" w:cs="Times New Roman"/>
          <w:color w:val="000000" w:themeColor="text1"/>
          <w:sz w:val="16"/>
          <w:szCs w:val="16"/>
        </w:rPr>
        <w:softHyphen/>
        <w:t>хоплаватели организовали отдельную секцию. Во время её работы обсуждались организацион</w:t>
      </w:r>
      <w:r w:rsidRPr="002F2FDF">
        <w:rPr>
          <w:rFonts w:ascii="Times New Roman" w:hAnsi="Times New Roman" w:cs="Times New Roman"/>
          <w:color w:val="000000" w:themeColor="text1"/>
          <w:sz w:val="16"/>
          <w:szCs w:val="16"/>
        </w:rPr>
        <w:softHyphen/>
        <w:t>но-технические вопросы. Высказывалось тре</w:t>
      </w:r>
      <w:r w:rsidRPr="002F2FDF">
        <w:rPr>
          <w:rFonts w:ascii="Times New Roman" w:hAnsi="Times New Roman" w:cs="Times New Roman"/>
          <w:color w:val="000000" w:themeColor="text1"/>
          <w:sz w:val="16"/>
          <w:szCs w:val="16"/>
        </w:rPr>
        <w:softHyphen/>
        <w:t>бование о приближении к фронтовым частям руководства — инспекторов воздухоплавания (инспектор воздухоплавания Северного фрон</w:t>
      </w:r>
      <w:r w:rsidRPr="002F2FDF">
        <w:rPr>
          <w:rFonts w:ascii="Times New Roman" w:hAnsi="Times New Roman" w:cs="Times New Roman"/>
          <w:color w:val="000000" w:themeColor="text1"/>
          <w:sz w:val="16"/>
          <w:szCs w:val="16"/>
        </w:rPr>
        <w:softHyphen/>
        <w:t>та находился в Пскове). Представители фрон</w:t>
      </w:r>
      <w:r w:rsidRPr="002F2FDF">
        <w:rPr>
          <w:rFonts w:ascii="Times New Roman" w:hAnsi="Times New Roman" w:cs="Times New Roman"/>
          <w:color w:val="000000" w:themeColor="text1"/>
          <w:sz w:val="16"/>
          <w:szCs w:val="16"/>
        </w:rPr>
        <w:softHyphen/>
        <w:t>тового воздухоплавания — офицеры и впервые принимавшие участие в обсуждении подобных вопросов солдаты — нашли оправдавшие себя решения по основным вопросам организации и боевого использования привязных аэростатов. Они выработали единый взгляд на их использо</w:t>
      </w:r>
      <w:r w:rsidRPr="002F2FDF">
        <w:rPr>
          <w:rFonts w:ascii="Times New Roman" w:hAnsi="Times New Roman" w:cs="Times New Roman"/>
          <w:color w:val="000000" w:themeColor="text1"/>
          <w:sz w:val="16"/>
          <w:szCs w:val="16"/>
        </w:rPr>
        <w:softHyphen/>
        <w:t>вание, отметив ряд недостатков в организации воздухоплавания, требующих устранения.</w:t>
      </w:r>
    </w:p>
    <w:p w14:paraId="11C8DF4B" w14:textId="77777777" w:rsidR="0047418C" w:rsidRPr="002F2FDF" w:rsidRDefault="004741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Съезд в Двинске, как и открывшийся 5 мая съезд армий Юго-Западного фронта, прошёл в духе «революционного оборончества». Пик последнего пришёлся на май 1917 г., когда на Юго-Западном фронте зародилось движение во</w:t>
      </w:r>
      <w:r w:rsidRPr="002F2FDF">
        <w:rPr>
          <w:rFonts w:ascii="Times New Roman" w:hAnsi="Times New Roman" w:cs="Times New Roman"/>
          <w:color w:val="000000" w:themeColor="text1"/>
          <w:sz w:val="16"/>
          <w:szCs w:val="16"/>
        </w:rPr>
        <w:softHyphen/>
        <w:t>енного «ударничества» на добровольческой ос</w:t>
      </w:r>
      <w:r w:rsidRPr="002F2FDF">
        <w:rPr>
          <w:rFonts w:ascii="Times New Roman" w:hAnsi="Times New Roman" w:cs="Times New Roman"/>
          <w:color w:val="000000" w:themeColor="text1"/>
          <w:sz w:val="16"/>
          <w:szCs w:val="16"/>
        </w:rPr>
        <w:softHyphen/>
        <w:t>нове, сопровождавшееся созданием «ударных» частей и «отрядов смерти» (20120).</w:t>
      </w:r>
    </w:p>
    <w:p w14:paraId="622B0B66" w14:textId="77777777" w:rsidR="0047418C" w:rsidRPr="002F2FDF" w:rsidRDefault="0047418C" w:rsidP="0083075A">
      <w:pPr>
        <w:spacing w:after="0" w:line="240" w:lineRule="auto"/>
        <w:jc w:val="both"/>
        <w:rPr>
          <w:rFonts w:ascii="Times New Roman" w:hAnsi="Times New Roman" w:cs="Times New Roman"/>
          <w:color w:val="000000" w:themeColor="text1"/>
          <w:sz w:val="16"/>
          <w:szCs w:val="16"/>
        </w:rPr>
      </w:pPr>
    </w:p>
    <w:p w14:paraId="28612903" w14:textId="45AB7DFD" w:rsidR="0047418C" w:rsidRPr="002F2FDF" w:rsidRDefault="004741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23 апреля (</w:t>
      </w:r>
      <w:r w:rsidR="00715076">
        <w:rPr>
          <w:rFonts w:ascii="Times New Roman" w:hAnsi="Times New Roman" w:cs="Times New Roman"/>
          <w:color w:val="000000" w:themeColor="text1"/>
          <w:sz w:val="16"/>
          <w:szCs w:val="16"/>
        </w:rPr>
        <w:t>6</w:t>
      </w:r>
      <w:r w:rsidRPr="002F2FDF">
        <w:rPr>
          <w:rFonts w:ascii="Times New Roman" w:hAnsi="Times New Roman" w:cs="Times New Roman"/>
          <w:color w:val="000000" w:themeColor="text1"/>
          <w:sz w:val="16"/>
          <w:szCs w:val="16"/>
        </w:rPr>
        <w:t xml:space="preserve"> мая) 1917 после подъёма двух неприятельских аэростатов у д. Белополь и Рагин, противник от</w:t>
      </w:r>
      <w:r w:rsidRPr="002F2FDF">
        <w:rPr>
          <w:rFonts w:ascii="Times New Roman" w:hAnsi="Times New Roman" w:cs="Times New Roman"/>
          <w:color w:val="000000" w:themeColor="text1"/>
          <w:sz w:val="16"/>
          <w:szCs w:val="16"/>
        </w:rPr>
        <w:softHyphen/>
        <w:t>крыл сильный огонь из 105-мм и 120-мм орудий по биваку ремонтировавшегося после обстрела при предыдущем подъёме аэростата 1-го гвар</w:t>
      </w:r>
      <w:r w:rsidRPr="002F2FDF">
        <w:rPr>
          <w:rFonts w:ascii="Times New Roman" w:hAnsi="Times New Roman" w:cs="Times New Roman"/>
          <w:color w:val="000000" w:themeColor="text1"/>
          <w:sz w:val="16"/>
          <w:szCs w:val="16"/>
        </w:rPr>
        <w:softHyphen/>
        <w:t>дейского корпусного воздухоплавательного от</w:t>
      </w:r>
      <w:r w:rsidRPr="002F2FDF">
        <w:rPr>
          <w:rFonts w:ascii="Times New Roman" w:hAnsi="Times New Roman" w:cs="Times New Roman"/>
          <w:color w:val="000000" w:themeColor="text1"/>
          <w:sz w:val="16"/>
          <w:szCs w:val="16"/>
        </w:rPr>
        <w:softHyphen/>
        <w:t>ряда. Поскольку противник взял бивак в вилку, ремонтные работы срочно свернули, но мест</w:t>
      </w:r>
      <w:r w:rsidRPr="002F2FDF">
        <w:rPr>
          <w:rFonts w:ascii="Times New Roman" w:hAnsi="Times New Roman" w:cs="Times New Roman"/>
          <w:color w:val="000000" w:themeColor="text1"/>
          <w:sz w:val="16"/>
          <w:szCs w:val="16"/>
        </w:rPr>
        <w:softHyphen/>
        <w:t>ность не позволяла расчёту быстро рассредото</w:t>
      </w:r>
      <w:r w:rsidRPr="002F2FDF">
        <w:rPr>
          <w:rFonts w:ascii="Times New Roman" w:hAnsi="Times New Roman" w:cs="Times New Roman"/>
          <w:color w:val="000000" w:themeColor="text1"/>
          <w:sz w:val="16"/>
          <w:szCs w:val="16"/>
        </w:rPr>
        <w:softHyphen/>
        <w:t>читься. Тогда командир отряда поручик Ханыков приказал зажечь большие костры. Под прикры</w:t>
      </w:r>
      <w:r w:rsidRPr="002F2FDF">
        <w:rPr>
          <w:rFonts w:ascii="Times New Roman" w:hAnsi="Times New Roman" w:cs="Times New Roman"/>
          <w:color w:val="000000" w:themeColor="text1"/>
          <w:sz w:val="16"/>
          <w:szCs w:val="16"/>
        </w:rPr>
        <w:softHyphen/>
        <w:t>тием импровизированной дымовой завесы воз</w:t>
      </w:r>
      <w:r w:rsidRPr="002F2FDF">
        <w:rPr>
          <w:rFonts w:ascii="Times New Roman" w:hAnsi="Times New Roman" w:cs="Times New Roman"/>
          <w:color w:val="000000" w:themeColor="text1"/>
          <w:sz w:val="16"/>
          <w:szCs w:val="16"/>
        </w:rPr>
        <w:softHyphen/>
        <w:t>духоплаватели вывели аэростат в безопасное ме</w:t>
      </w:r>
      <w:r w:rsidRPr="002F2FDF">
        <w:rPr>
          <w:rFonts w:ascii="Times New Roman" w:hAnsi="Times New Roman" w:cs="Times New Roman"/>
          <w:color w:val="000000" w:themeColor="text1"/>
          <w:sz w:val="16"/>
          <w:szCs w:val="16"/>
        </w:rPr>
        <w:softHyphen/>
        <w:t>сто, где и закончили его ремонт. Вскоре Ханыков уже передавал с этого аэростата координаты вра</w:t>
      </w:r>
      <w:r w:rsidRPr="002F2FDF">
        <w:rPr>
          <w:rFonts w:ascii="Times New Roman" w:hAnsi="Times New Roman" w:cs="Times New Roman"/>
          <w:color w:val="000000" w:themeColor="text1"/>
          <w:sz w:val="16"/>
          <w:szCs w:val="16"/>
        </w:rPr>
        <w:softHyphen/>
        <w:t>жеских целей (20120).</w:t>
      </w:r>
    </w:p>
    <w:p w14:paraId="326F3394" w14:textId="77777777" w:rsidR="0047418C" w:rsidRPr="002F2FDF" w:rsidRDefault="0047418C" w:rsidP="0083075A">
      <w:pPr>
        <w:spacing w:after="0" w:line="240" w:lineRule="auto"/>
        <w:jc w:val="both"/>
        <w:rPr>
          <w:rFonts w:ascii="Times New Roman" w:hAnsi="Times New Roman" w:cs="Times New Roman"/>
          <w:color w:val="000000" w:themeColor="text1"/>
          <w:sz w:val="16"/>
          <w:szCs w:val="16"/>
        </w:rPr>
      </w:pPr>
    </w:p>
    <w:p w14:paraId="48FB84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апреля (6 мая) 1917 командир 19-го као 1БАГ Аргеев и подпоручик Жабров совместно с Казаковым атаковали два вражеских самолета. Один из них, по-видимому подбитый, круто пошел вниз, пресле</w:t>
      </w:r>
      <w:r w:rsidRPr="002F2FDF">
        <w:rPr>
          <w:rFonts w:ascii="Times New Roman" w:hAnsi="Times New Roman" w:cs="Times New Roman"/>
          <w:color w:val="000000" w:themeColor="text1"/>
          <w:kern w:val="2"/>
          <w:sz w:val="16"/>
          <w:szCs w:val="16"/>
        </w:rPr>
        <w:softHyphen/>
        <w:t>дуемый Аргеевым. Вот как об этом до</w:t>
      </w:r>
      <w:r w:rsidRPr="002F2FDF">
        <w:rPr>
          <w:rFonts w:ascii="Times New Roman" w:hAnsi="Times New Roman" w:cs="Times New Roman"/>
          <w:color w:val="000000" w:themeColor="text1"/>
          <w:kern w:val="2"/>
          <w:sz w:val="16"/>
          <w:szCs w:val="16"/>
        </w:rPr>
        <w:softHyphen/>
        <w:t>кладывал позже сам штабс-капитан Аргеев: “...в 9 час 40 мин встреченные в районе Шибалин-Баранувка на вы</w:t>
      </w:r>
      <w:r w:rsidRPr="002F2FDF">
        <w:rPr>
          <w:rFonts w:ascii="Times New Roman" w:hAnsi="Times New Roman" w:cs="Times New Roman"/>
          <w:color w:val="000000" w:themeColor="text1"/>
          <w:kern w:val="2"/>
          <w:sz w:val="16"/>
          <w:szCs w:val="16"/>
        </w:rPr>
        <w:softHyphen/>
        <w:t>соте 3200 м два Альбатроса, шедшие с востока, были атакованы всеми лет</w:t>
      </w:r>
      <w:r w:rsidRPr="002F2FDF">
        <w:rPr>
          <w:rFonts w:ascii="Times New Roman" w:hAnsi="Times New Roman" w:cs="Times New Roman"/>
          <w:color w:val="000000" w:themeColor="text1"/>
          <w:kern w:val="2"/>
          <w:sz w:val="16"/>
          <w:szCs w:val="16"/>
        </w:rPr>
        <w:softHyphen/>
        <w:t>чиками отделения. Один Альбатрос завязал со мной бой и, повиляв не</w:t>
      </w:r>
      <w:r w:rsidRPr="002F2FDF">
        <w:rPr>
          <w:rFonts w:ascii="Times New Roman" w:hAnsi="Times New Roman" w:cs="Times New Roman"/>
          <w:color w:val="000000" w:themeColor="text1"/>
          <w:kern w:val="2"/>
          <w:sz w:val="16"/>
          <w:szCs w:val="16"/>
        </w:rPr>
        <w:softHyphen/>
        <w:t>сколько раз, стал снижаться почти вертикально к себе. Ввиду сильного обстрела артиллерией, прекратил преследование и перешел линию око</w:t>
      </w:r>
      <w:r w:rsidRPr="002F2FDF">
        <w:rPr>
          <w:rFonts w:ascii="Times New Roman" w:hAnsi="Times New Roman" w:cs="Times New Roman"/>
          <w:color w:val="000000" w:themeColor="text1"/>
          <w:kern w:val="2"/>
          <w:sz w:val="16"/>
          <w:szCs w:val="16"/>
        </w:rPr>
        <w:softHyphen/>
        <w:t>пов на высоте 1400 м. Выпустил 430 патронов”. Согласно дневнику группы: “Около 10 час самолет противника, атакованный на высоте 1200 м нашим летчиком в районе Шибалин упал в Лысонский лес и по наблюдениям наших войск сгорел”. При этом “...окутанный дымом Альбатрос стре</w:t>
      </w:r>
      <w:r w:rsidRPr="002F2FDF">
        <w:rPr>
          <w:rFonts w:ascii="Times New Roman" w:hAnsi="Times New Roman" w:cs="Times New Roman"/>
          <w:color w:val="000000" w:themeColor="text1"/>
          <w:kern w:val="2"/>
          <w:sz w:val="16"/>
          <w:szCs w:val="16"/>
        </w:rPr>
        <w:softHyphen/>
        <w:t>мительно спустился в расположении противника в лесу севернее Брзежан, где тотчас же появился дым. Этот дым мешал рассмотреть среди деревьев более подробно положение аппарата” (3954).</w:t>
      </w:r>
    </w:p>
    <w:p w14:paraId="7424CE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1C8B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апреля (6 мая) 1917 л 6 Сибирского а/о Трутнев с наблюдателем Лелюховым на Анадэ были атакованы Фоккером сзади и сбиты у дер. Ценюв (5151, 10).</w:t>
      </w:r>
    </w:p>
    <w:p w14:paraId="39336D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E9C87C" w14:textId="77777777" w:rsidR="0071649C" w:rsidRPr="002F2FDF" w:rsidRDefault="0071649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апреля в (6 мая) 1917 году [« военный летчик 6-го армейского а/о подпоручик Трутнев с наблюдателем подпоручиком Лелюхиным вылетели на "Анаде" для охраны своего корректировщика. Подпоручика Трутнева атаковал "Фоккер" сзади, наш самолет загорелся, спикировал у деревни Ценюв. Оба погибли, выскочив из горящего самолета в воздухе»](С) Комавиадив XI подполковник Степанов (15108).</w:t>
      </w:r>
    </w:p>
    <w:p w14:paraId="17BCFFF6" w14:textId="77777777" w:rsidR="0071649C" w:rsidRPr="002F2FDF" w:rsidRDefault="0071649C" w:rsidP="0083075A">
      <w:pPr>
        <w:spacing w:after="0" w:line="240" w:lineRule="auto"/>
        <w:jc w:val="both"/>
        <w:rPr>
          <w:rFonts w:ascii="Times New Roman" w:hAnsi="Times New Roman" w:cs="Times New Roman"/>
          <w:color w:val="000000" w:themeColor="text1"/>
          <w:kern w:val="2"/>
          <w:sz w:val="16"/>
          <w:szCs w:val="16"/>
        </w:rPr>
      </w:pPr>
    </w:p>
    <w:p w14:paraId="48B43BB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56389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A127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апреля (6 мая) 1917 был принят закон об образовании завкомов, ведающих контролем за увольнением и приемом на работу (1348,112).</w:t>
      </w:r>
    </w:p>
    <w:p w14:paraId="3F87E4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46DFC9" w14:textId="77777777" w:rsidR="00871D7D"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9040526" w14:textId="77777777" w:rsidR="00871D7D" w:rsidRPr="002F2FDF" w:rsidRDefault="00871D7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46688F" w14:textId="77777777"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апреля (6 мая) в 1917 году Швигер на подводной лодке «U-20» топит два корабля компании «Хэррисон Лайн» – «Кандидат» и «Центурион» (14883).</w:t>
      </w:r>
    </w:p>
    <w:p w14:paraId="3A26030D" w14:textId="77777777"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p>
    <w:p w14:paraId="5F4FE00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652C3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1218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апреля (7 мая) 1917 немецкий поплавковый гидроплан Фридрихсхафен, захваченный 20 сентября 1916 в Рижском заливе, был направлен в разобранном виде в Петроград, а потом в Таганрог. Завод В.А.Лебедева взялся построить 175 машин этого типа до 20 июня 1918 (2843,53).</w:t>
      </w:r>
    </w:p>
    <w:p w14:paraId="513273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947CE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апреля (7 мая) 1917 "Фридрихсхафен" в разобранном виде доставили из Ревеля в Петроград, а два дня спустя он находился на Комендантском аэродроме перед отправкой в Таганрог. Согла</w:t>
      </w:r>
      <w:r w:rsidRPr="002F2FDF">
        <w:rPr>
          <w:rFonts w:ascii="Times New Roman" w:hAnsi="Times New Roman" w:cs="Times New Roman"/>
          <w:color w:val="000000" w:themeColor="text1"/>
          <w:kern w:val="2"/>
          <w:sz w:val="16"/>
          <w:szCs w:val="16"/>
        </w:rPr>
        <w:softHyphen/>
        <w:t>шение между флотом и фирмой было подписано несколько позже, 14 июня, и по его усло</w:t>
      </w:r>
      <w:r w:rsidRPr="002F2FDF">
        <w:rPr>
          <w:rFonts w:ascii="Times New Roman" w:hAnsi="Times New Roman" w:cs="Times New Roman"/>
          <w:color w:val="000000" w:themeColor="text1"/>
          <w:kern w:val="2"/>
          <w:sz w:val="16"/>
          <w:szCs w:val="16"/>
        </w:rPr>
        <w:softHyphen/>
        <w:t>виям Лебедеву предстояло построить 175 поплавковых аэропланов по 20.000 руб. за каждый и в период с 31 июля по 31 декабря 1917 г. Уже очень скоро стало ясно, что заказчик поступил верно, не спеша давать поручений и брать обязательств на год 1918. Пока же спе</w:t>
      </w:r>
      <w:r w:rsidRPr="002F2FDF">
        <w:rPr>
          <w:rFonts w:ascii="Times New Roman" w:hAnsi="Times New Roman" w:cs="Times New Roman"/>
          <w:color w:val="000000" w:themeColor="text1"/>
          <w:kern w:val="2"/>
          <w:sz w:val="16"/>
          <w:szCs w:val="16"/>
        </w:rPr>
        <w:softHyphen/>
        <w:t>циалисты компании должны были организовать производство аппаратов, способных удовлет</w:t>
      </w:r>
      <w:r w:rsidRPr="002F2FDF">
        <w:rPr>
          <w:rFonts w:ascii="Times New Roman" w:hAnsi="Times New Roman" w:cs="Times New Roman"/>
          <w:color w:val="000000" w:themeColor="text1"/>
          <w:kern w:val="2"/>
          <w:sz w:val="16"/>
          <w:szCs w:val="16"/>
        </w:rPr>
        <w:softHyphen/>
        <w:t>ворить следующим требованиям: полезная нагрузка 470 кг, скорость около воды 150 км/ч, скороподъемность 3000 м за 30 минут, потолок 4000 м, легкий разбег и посадка при волнении высотой 1—2 м. Работа началась, но к 15 сентябрю морские авиаторы сочли как германский образец, так и его отечественное воспроизведение устаревшими и высказали потребность в более совершенной конструкции. 25 они сообщили фирме о том, что, хотя контракт и не подлежал расторжению, предварительные сравнительные испытания пленного "Фридрихсха</w:t>
      </w:r>
      <w:r w:rsidRPr="002F2FDF">
        <w:rPr>
          <w:rFonts w:ascii="Times New Roman" w:hAnsi="Times New Roman" w:cs="Times New Roman"/>
          <w:color w:val="000000" w:themeColor="text1"/>
          <w:kern w:val="2"/>
          <w:sz w:val="16"/>
          <w:szCs w:val="16"/>
        </w:rPr>
        <w:softHyphen/>
        <w:t>фена" и его копии с мотором "Испано-Суиза" были бы все же необходимы (2843).</w:t>
      </w:r>
    </w:p>
    <w:p w14:paraId="3689265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91228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lastRenderedPageBreak/>
        <w:t>Армия:</w:t>
      </w:r>
    </w:p>
    <w:p w14:paraId="48E5D0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8D36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апреля (7 мая) 1917 Казаков, командир 1БАГ, просил началь</w:t>
      </w:r>
      <w:r w:rsidRPr="002F2FDF">
        <w:rPr>
          <w:rFonts w:ascii="Times New Roman" w:hAnsi="Times New Roman" w:cs="Times New Roman"/>
          <w:color w:val="000000" w:themeColor="text1"/>
          <w:kern w:val="2"/>
          <w:sz w:val="16"/>
          <w:szCs w:val="16"/>
        </w:rPr>
        <w:softHyphen/>
        <w:t>ника штаба 41-го армейского корпуса дать свидетельские показания тех ча</w:t>
      </w:r>
      <w:r w:rsidRPr="002F2FDF">
        <w:rPr>
          <w:rFonts w:ascii="Times New Roman" w:hAnsi="Times New Roman" w:cs="Times New Roman"/>
          <w:color w:val="000000" w:themeColor="text1"/>
          <w:kern w:val="2"/>
          <w:sz w:val="16"/>
          <w:szCs w:val="16"/>
        </w:rPr>
        <w:softHyphen/>
        <w:t>стей, которые видели бой в районе Лысона и падение горящего самолета противника. Такое подтверждение бы</w:t>
      </w:r>
      <w:r w:rsidRPr="002F2FDF">
        <w:rPr>
          <w:rFonts w:ascii="Times New Roman" w:hAnsi="Times New Roman" w:cs="Times New Roman"/>
          <w:color w:val="000000" w:themeColor="text1"/>
          <w:kern w:val="2"/>
          <w:sz w:val="16"/>
          <w:szCs w:val="16"/>
        </w:rPr>
        <w:softHyphen/>
        <w:t>ло получено на следующий день. Хотя в бою принимал участие сам Казаков, он не стал претендовать на эту победу (3954).</w:t>
      </w:r>
    </w:p>
    <w:p w14:paraId="4B6C84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385321" w14:textId="7D77AD19"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24 апреля </w:t>
      </w:r>
      <w:r>
        <w:rPr>
          <w:rFonts w:ascii="Times New Roman" w:hAnsi="Times New Roman" w:cs="Times New Roman"/>
          <w:color w:val="0070C0"/>
          <w:sz w:val="16"/>
          <w:szCs w:val="16"/>
        </w:rPr>
        <w:t xml:space="preserve">(7 мая) </w:t>
      </w:r>
      <w:r w:rsidRPr="00FB4F67">
        <w:rPr>
          <w:rFonts w:ascii="Times New Roman" w:hAnsi="Times New Roman" w:cs="Times New Roman"/>
          <w:color w:val="0070C0"/>
          <w:sz w:val="16"/>
          <w:szCs w:val="16"/>
        </w:rPr>
        <w:t>1917</w:t>
      </w:r>
      <w:r>
        <w:rPr>
          <w:rFonts w:ascii="Times New Roman" w:hAnsi="Times New Roman" w:cs="Times New Roman"/>
          <w:color w:val="0070C0"/>
          <w:sz w:val="16"/>
          <w:szCs w:val="16"/>
        </w:rPr>
        <w:t xml:space="preserve"> </w:t>
      </w:r>
      <w:r w:rsidRPr="00FB4F67">
        <w:rPr>
          <w:rFonts w:ascii="Times New Roman" w:hAnsi="Times New Roman" w:cs="Times New Roman"/>
          <w:color w:val="0070C0"/>
          <w:sz w:val="16"/>
          <w:szCs w:val="16"/>
        </w:rPr>
        <w:t>г. вто</w:t>
      </w:r>
      <w:r w:rsidRPr="00FB4F67">
        <w:rPr>
          <w:rFonts w:ascii="Times New Roman" w:hAnsi="Times New Roman" w:cs="Times New Roman"/>
          <w:color w:val="0070C0"/>
          <w:sz w:val="16"/>
          <w:szCs w:val="16"/>
        </w:rPr>
        <w:softHyphen/>
        <w:t>рым отрядом Муромцев было получено сообщение, что, по данным разведки, на фольварке Хуциска разместился штаб 22- й турецкой дивизии. Предлагалось его уничтожить. Для этой операции Башко выделил «Муромец-15» с ко</w:t>
      </w:r>
      <w:r w:rsidRPr="00FB4F67">
        <w:rPr>
          <w:rFonts w:ascii="Times New Roman" w:hAnsi="Times New Roman" w:cs="Times New Roman"/>
          <w:color w:val="0070C0"/>
          <w:sz w:val="16"/>
          <w:szCs w:val="16"/>
        </w:rPr>
        <w:softHyphen/>
        <w:t>мандиром экипажа Г. В. Клембовским. На следующий  день рано утром, имея на борту запас топлива на четыре часа полета, шесть пудовых фугасных бомб и четыре пулемета, машина стартовала на задание. Прошло бо</w:t>
      </w:r>
      <w:r w:rsidRPr="00FB4F67">
        <w:rPr>
          <w:rFonts w:ascii="Times New Roman" w:hAnsi="Times New Roman" w:cs="Times New Roman"/>
          <w:color w:val="0070C0"/>
          <w:sz w:val="16"/>
          <w:szCs w:val="16"/>
        </w:rPr>
        <w:softHyphen/>
        <w:t>лее трех часов, на аэродроме уже забеспокоились. На</w:t>
      </w:r>
      <w:r w:rsidRPr="00FB4F67">
        <w:rPr>
          <w:rFonts w:ascii="Times New Roman" w:hAnsi="Times New Roman" w:cs="Times New Roman"/>
          <w:color w:val="0070C0"/>
          <w:sz w:val="16"/>
          <w:szCs w:val="16"/>
        </w:rPr>
        <w:softHyphen/>
        <w:t>конец на исходе расчетного времени показался ко</w:t>
      </w:r>
      <w:r w:rsidRPr="00FB4F67">
        <w:rPr>
          <w:rFonts w:ascii="Times New Roman" w:hAnsi="Times New Roman" w:cs="Times New Roman"/>
          <w:color w:val="0070C0"/>
          <w:sz w:val="16"/>
          <w:szCs w:val="16"/>
        </w:rPr>
        <w:softHyphen/>
        <w:t>рабль. Он шел неуверенно и как-то боком. При виде его сжималось сердце в предчувствии беды. Однако после благополучной посадки весь экипаж целым и невреди</w:t>
      </w:r>
      <w:r w:rsidRPr="00FB4F67">
        <w:rPr>
          <w:rFonts w:ascii="Times New Roman" w:hAnsi="Times New Roman" w:cs="Times New Roman"/>
          <w:color w:val="0070C0"/>
          <w:sz w:val="16"/>
          <w:szCs w:val="16"/>
        </w:rPr>
        <w:softHyphen/>
        <w:t>мым вышел из машины, только на голове у моториста белела повязка. Оказалось, что экипаж полностью вы</w:t>
      </w:r>
      <w:r w:rsidRPr="00FB4F67">
        <w:rPr>
          <w:rFonts w:ascii="Times New Roman" w:hAnsi="Times New Roman" w:cs="Times New Roman"/>
          <w:color w:val="0070C0"/>
          <w:sz w:val="16"/>
          <w:szCs w:val="16"/>
        </w:rPr>
        <w:softHyphen/>
        <w:t>полнил задание и на обратном пути, отбиваясь от атак, «завалил» три истребителя противника. «Муромцу», правда, тоже досталось. Были перебиты в нескольких местах лонжероны правого крыла, лонжероны фюзеля</w:t>
      </w:r>
      <w:r w:rsidRPr="00FB4F67">
        <w:rPr>
          <w:rFonts w:ascii="Times New Roman" w:hAnsi="Times New Roman" w:cs="Times New Roman"/>
          <w:color w:val="0070C0"/>
          <w:sz w:val="16"/>
          <w:szCs w:val="16"/>
        </w:rPr>
        <w:softHyphen/>
        <w:t>жа, прострелены винты, пробиты картеры моторов, ра</w:t>
      </w:r>
      <w:r w:rsidRPr="00FB4F67">
        <w:rPr>
          <w:rFonts w:ascii="Times New Roman" w:hAnsi="Times New Roman" w:cs="Times New Roman"/>
          <w:color w:val="0070C0"/>
          <w:sz w:val="16"/>
          <w:szCs w:val="16"/>
        </w:rPr>
        <w:softHyphen/>
        <w:t>диаторы. Клембовский тянул домой на двух моторах, последнюю сотню метров на одном и совершил блестя</w:t>
      </w:r>
      <w:r w:rsidRPr="00FB4F67">
        <w:rPr>
          <w:rFonts w:ascii="Times New Roman" w:hAnsi="Times New Roman" w:cs="Times New Roman"/>
          <w:color w:val="0070C0"/>
          <w:sz w:val="16"/>
          <w:szCs w:val="16"/>
        </w:rPr>
        <w:softHyphen/>
        <w:t>щую посадку. Корабль подлежал капитальному ремон</w:t>
      </w:r>
      <w:r w:rsidRPr="00FB4F67">
        <w:rPr>
          <w:rFonts w:ascii="Times New Roman" w:hAnsi="Times New Roman" w:cs="Times New Roman"/>
          <w:color w:val="0070C0"/>
          <w:sz w:val="16"/>
          <w:szCs w:val="16"/>
        </w:rPr>
        <w:softHyphen/>
        <w:t>ту, был разобран и отправлен в Винницу (24177).</w:t>
      </w:r>
    </w:p>
    <w:p w14:paraId="3ADA1D76" w14:textId="77777777" w:rsidR="00E52569" w:rsidRPr="00FB4F67" w:rsidRDefault="00E52569" w:rsidP="0083075A">
      <w:pPr>
        <w:spacing w:after="0" w:line="240" w:lineRule="auto"/>
        <w:jc w:val="both"/>
        <w:rPr>
          <w:rFonts w:ascii="Times New Roman" w:hAnsi="Times New Roman" w:cs="Times New Roman"/>
          <w:color w:val="0070C0"/>
          <w:sz w:val="16"/>
          <w:szCs w:val="16"/>
        </w:rPr>
      </w:pPr>
    </w:p>
    <w:p w14:paraId="1D2F8A96" w14:textId="3882B581"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24 апреля </w:t>
      </w:r>
      <w:r w:rsidR="00715076">
        <w:rPr>
          <w:rFonts w:ascii="Times New Roman" w:hAnsi="Times New Roman" w:cs="Times New Roman"/>
          <w:color w:val="000000" w:themeColor="text1"/>
          <w:kern w:val="2"/>
          <w:sz w:val="16"/>
          <w:szCs w:val="16"/>
        </w:rPr>
        <w:t xml:space="preserve">(7 мая) </w:t>
      </w:r>
      <w:r w:rsidRPr="002F2FDF">
        <w:rPr>
          <w:rFonts w:ascii="Times New Roman" w:hAnsi="Times New Roman" w:cs="Times New Roman"/>
          <w:color w:val="000000" w:themeColor="text1"/>
          <w:kern w:val="2"/>
          <w:sz w:val="16"/>
          <w:szCs w:val="16"/>
        </w:rPr>
        <w:t>1917 г. вторым отрядом было получено сообщение, что, по данным разведки, на фольварке Хуциска разместился штаб 22-й турецкой дивизии. Предлагалось его уничтожить. Для этой операции Башко выделил “Муромец-15” с командиром экипажа Г. В. Клембовским. На следующий день рано утром, имея на борту запас топлива на четыре часа полета, шесть пудовых фугасных бомб и четыре пулемета, машина стартовала на задание. Прошло более трех часов, на аэродроме уже забеспокоились. Наконец на исходе расчетного времени показался корабль. Он шел неуверенно и как-то боком. При виде его сжималось сердце в предчувствии беды. Однако после благополучной посадки весь экипаж целым и невредимым вышел из машины, только на голове у моториста белела повязка. Оказалось, что экипаж полностью выполнил задание и на обратном пути, отбиваясь от атак, “завалил” три истребителя противника. “Муромцу”, правда, тоже досталось. Были перебиты в нескольких местах лонжероны правого крыла, лонжероны фюзеляжа, прострелены винты, пробиты картеры моторов, радиаторы. Клембовский тянул домой на двух моторах, последнюю сотню метров на одном и совершил блестящую посадку. Корабль подлежал капитальному ремонту, был разобран и отправлен в Винницу. Последние значительные операции — групповые вылеты оставшихся “Муромцев” в сопровождении истребителей знаменитого Казакова. Иногда в воздухе находилось до 33 аппаратов. Это была впечатляющая картина. Вражеские истребители не появлялись (11196).</w:t>
      </w:r>
    </w:p>
    <w:p w14:paraId="43E455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B34779" w14:textId="260E6F4D" w:rsidR="00EB3E32" w:rsidRPr="00FB4F67" w:rsidRDefault="00EB3E3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24 апреля (</w:t>
      </w:r>
      <w:r w:rsidRPr="00FB4F67">
        <w:rPr>
          <w:rFonts w:ascii="Times New Roman" w:hAnsi="Times New Roman" w:cs="Times New Roman"/>
          <w:color w:val="0070C0"/>
          <w:sz w:val="16"/>
          <w:szCs w:val="16"/>
        </w:rPr>
        <w:t>7 мая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стал черным днем для неприятельской авиации. В районе д. Бортники (северо-восточнее Барановичей) опустился германский самолет. Аппарат сгорел, его экипаж взят в плен. Северо-западнее ст. Вилейки и в районе восточнее Киселина (Владимиро-Волынское направление) нашими противосамолетными батареями было сбито два немецких аэроплана. При падении они сгорели, летчики пленены. Позднее вылетевший на перехват воздушного противника летчик 19-го </w:t>
      </w:r>
      <w:bookmarkStart w:id="91" w:name="bookmark765"/>
      <w:r w:rsidRPr="00FB4F67">
        <w:rPr>
          <w:rFonts w:ascii="Times New Roman" w:hAnsi="Times New Roman" w:cs="Times New Roman"/>
          <w:color w:val="0070C0"/>
          <w:sz w:val="16"/>
          <w:szCs w:val="16"/>
        </w:rPr>
        <w:t>корпусного авиаотряда прапорщик Н.В. Навроцкий в районе Козова (восточнее Брзежаны) атаковал австрийский аэроплан. Поврежденный летательный аппарат опустился в нашем расположении, а два раненых летчика-офицера взяты в плен (23405).</w:t>
      </w:r>
      <w:bookmarkEnd w:id="91"/>
    </w:p>
    <w:p w14:paraId="65C9D495" w14:textId="77777777" w:rsidR="00EB3E32" w:rsidRPr="00FB4F67" w:rsidRDefault="00EB3E32" w:rsidP="0083075A">
      <w:pPr>
        <w:spacing w:after="0" w:line="240" w:lineRule="auto"/>
        <w:jc w:val="both"/>
        <w:rPr>
          <w:rFonts w:ascii="Times New Roman" w:hAnsi="Times New Roman" w:cs="Times New Roman"/>
          <w:color w:val="0070C0"/>
          <w:sz w:val="16"/>
          <w:szCs w:val="16"/>
        </w:rPr>
      </w:pPr>
    </w:p>
    <w:p w14:paraId="29ABA57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8F736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FB1A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24-29 апреля (7-12 мая) 1917 была 7 Всероссийская конференция РСДРП(б). Поддержали курс В.И.Л. на подготовку соц. революции (1348,85).</w:t>
      </w:r>
    </w:p>
    <w:p w14:paraId="0222F2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C6EEF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апреля (7 мая) 1917 Временное правительство предоставило католической церкви право религиозной пропаганды в России (4962).</w:t>
      </w:r>
    </w:p>
    <w:p w14:paraId="17C9427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07681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A31B9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9FF6CD" w14:textId="77777777" w:rsidR="00CA6C19" w:rsidRPr="002F2FDF" w:rsidRDefault="00CA6C1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24 апреля (7 мая) в 1917 году закончен в постройке первый серийный экземпляр истребителя </w:t>
      </w:r>
      <w:hyperlink r:id="rId142" w:tgtFrame="_blank" w:history="1">
        <w:r w:rsidRPr="002F2FDF">
          <w:rPr>
            <w:rFonts w:ascii="Times New Roman" w:hAnsi="Times New Roman" w:cs="Times New Roman"/>
            <w:color w:val="000000" w:themeColor="text1"/>
            <w:kern w:val="2"/>
            <w:sz w:val="16"/>
            <w:szCs w:val="16"/>
          </w:rPr>
          <w:t xml:space="preserve">«Кэмел» </w:t>
        </w:r>
      </w:hyperlink>
      <w:r w:rsidRPr="002F2FDF">
        <w:rPr>
          <w:rFonts w:ascii="Times New Roman" w:hAnsi="Times New Roman" w:cs="Times New Roman"/>
          <w:color w:val="000000" w:themeColor="text1"/>
          <w:kern w:val="2"/>
          <w:sz w:val="16"/>
          <w:szCs w:val="16"/>
        </w:rPr>
        <w:t>фирмы «Сопвич». Как и предыдущие истребители фирмы "Сопвич", самолет разработан инженером Гербертом Смитом по заказу Адмиралтейства для оснащения истребительных дивизионов английской морской авиации. Первый полет прототипа состоялся в декабре 1916 года. После успешного завершения испытаний в мае 1917-го "Кэмел" запустили в крупносерийное производство. "Кэмел" отличался строгим управлением, поэтому неопытному летчику было трудно с ним справляться. Из-за гироскопического момента ротационного двигателя маневренные характеристики самолета были асимметричны, то есть левая "бочка" и развороты влево выполнялись быстрее, чем правые. Некоторые летчики делали левый разворот на 270 быстрее, чем правый на 90 . По этой же причине особенно опасным был этап взлета, во время которого самолет пытался уйти влево и летчик с трудом удерживал его на прямой, отклоняя руль поворота до упора вправо. На малых скоростях полета "Кэмел" имел тенденцию входить в штопор. Насколько опасным для молодых летчиков был этот самолет, говорит тот факт, что во время войны в различных летных происшествиях, не связанных с боевыми действиями, погибли 385 пилотов, а в боях - 415 (14884).</w:t>
      </w:r>
    </w:p>
    <w:p w14:paraId="73CBF94D" w14:textId="77777777" w:rsidR="00CA6C19" w:rsidRPr="002F2FDF" w:rsidRDefault="00CA6C19" w:rsidP="0083075A">
      <w:pPr>
        <w:spacing w:after="0" w:line="240" w:lineRule="auto"/>
        <w:jc w:val="both"/>
        <w:rPr>
          <w:rFonts w:ascii="Times New Roman" w:hAnsi="Times New Roman" w:cs="Times New Roman"/>
          <w:color w:val="000000" w:themeColor="text1"/>
          <w:kern w:val="2"/>
          <w:sz w:val="16"/>
          <w:szCs w:val="16"/>
        </w:rPr>
      </w:pPr>
    </w:p>
    <w:p w14:paraId="7327EF36" w14:textId="36919EE2" w:rsidR="003431D2" w:rsidRPr="002F2FDF" w:rsidRDefault="0071507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Pr>
          <w:rFonts w:ascii="Times New Roman" w:hAnsi="Times New Roman" w:cs="Times New Roman"/>
          <w:color w:val="000000" w:themeColor="text1"/>
          <w:kern w:val="2"/>
          <w:sz w:val="16"/>
          <w:szCs w:val="16"/>
          <w:lang w:val="en-US"/>
        </w:rPr>
        <w:t>April 24 (</w:t>
      </w:r>
      <w:r w:rsidR="003431D2" w:rsidRPr="002F2FDF">
        <w:rPr>
          <w:rFonts w:ascii="Times New Roman" w:hAnsi="Times New Roman" w:cs="Times New Roman"/>
          <w:color w:val="000000" w:themeColor="text1"/>
          <w:kern w:val="2"/>
          <w:sz w:val="16"/>
          <w:szCs w:val="16"/>
          <w:lang w:val="en-US"/>
        </w:rPr>
        <w:t>May 7</w:t>
      </w:r>
      <w:r>
        <w:rPr>
          <w:rFonts w:ascii="Times New Roman" w:hAnsi="Times New Roman" w:cs="Times New Roman"/>
          <w:color w:val="000000" w:themeColor="text1"/>
          <w:kern w:val="2"/>
          <w:sz w:val="16"/>
          <w:szCs w:val="16"/>
          <w:lang w:val="en-US"/>
        </w:rPr>
        <w:t>(</w:t>
      </w:r>
      <w:r w:rsidR="003431D2" w:rsidRPr="002F2FDF">
        <w:rPr>
          <w:rFonts w:ascii="Times New Roman" w:hAnsi="Times New Roman" w:cs="Times New Roman"/>
          <w:color w:val="000000" w:themeColor="text1"/>
          <w:kern w:val="2"/>
          <w:sz w:val="16"/>
          <w:szCs w:val="16"/>
          <w:lang w:val="en-US"/>
        </w:rPr>
        <w:t xml:space="preserve"> 1917 First aerial bombing of London by German bombers at night (1038).</w:t>
      </w:r>
    </w:p>
    <w:p w14:paraId="5E10EE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4AA2C5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апреля (7 мая) 1917 состоялась первая ночная бомбардировка Лондона немецкой авиацией (1038).</w:t>
      </w:r>
    </w:p>
    <w:p w14:paraId="617857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629BF9" w14:textId="70CF0A68" w:rsidR="0047418C" w:rsidRPr="002F2FDF" w:rsidRDefault="004741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24 апреля (7 мая) 1917 британский ас майор Эдвард Маннок заявляет о своей первой победе. Британский ас капитан Альберт Болл (44 победы) погиб в результате авиакатастрофы после воздушного боя с Лотаром фон Рихтгофеном, который также разбился, но выжил (20341).</w:t>
      </w:r>
    </w:p>
    <w:p w14:paraId="3B0664C4" w14:textId="77777777" w:rsidR="0047418C" w:rsidRPr="002F2FDF" w:rsidRDefault="0047418C" w:rsidP="0083075A">
      <w:pPr>
        <w:spacing w:after="0" w:line="240" w:lineRule="auto"/>
        <w:jc w:val="both"/>
        <w:rPr>
          <w:rFonts w:ascii="Times New Roman" w:hAnsi="Times New Roman" w:cs="Times New Roman"/>
          <w:color w:val="000000" w:themeColor="text1"/>
          <w:sz w:val="16"/>
          <w:szCs w:val="16"/>
        </w:rPr>
      </w:pPr>
    </w:p>
    <w:p w14:paraId="60D29622" w14:textId="77777777" w:rsidR="005505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9D6918A" w14:textId="77777777" w:rsidR="005505D2" w:rsidRPr="002F2FDF" w:rsidRDefault="005505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99FFED" w14:textId="77777777" w:rsidR="005505D2" w:rsidRPr="002F2FDF" w:rsidRDefault="005505D2" w:rsidP="0083075A">
      <w:pPr>
        <w:pStyle w:val="1c"/>
        <w:spacing w:before="0" w:after="0"/>
        <w:jc w:val="both"/>
        <w:rPr>
          <w:color w:val="000000" w:themeColor="text1"/>
          <w:kern w:val="2"/>
          <w:sz w:val="16"/>
          <w:szCs w:val="16"/>
        </w:rPr>
      </w:pPr>
      <w:r w:rsidRPr="002F2FDF">
        <w:rPr>
          <w:color w:val="000000" w:themeColor="text1"/>
          <w:kern w:val="2"/>
          <w:sz w:val="16"/>
          <w:szCs w:val="16"/>
        </w:rPr>
        <w:t xml:space="preserve">25 апреля </w:t>
      </w:r>
      <w:r w:rsidR="0071649C" w:rsidRPr="002F2FDF">
        <w:rPr>
          <w:color w:val="000000" w:themeColor="text1"/>
          <w:kern w:val="2"/>
          <w:sz w:val="16"/>
          <w:szCs w:val="16"/>
        </w:rPr>
        <w:t xml:space="preserve">(8 мая) </w:t>
      </w:r>
      <w:r w:rsidRPr="002F2FDF">
        <w:rPr>
          <w:color w:val="000000" w:themeColor="text1"/>
          <w:kern w:val="2"/>
          <w:sz w:val="16"/>
          <w:szCs w:val="16"/>
        </w:rPr>
        <w:t>1917 истекла отсрочка, полученная Адаменко, но предоставить военной приемке хоть один «Фарман XVI» не удалось. В ход снова пошли ссылки на отсутствие мелких комплектующих. В то же время Адаменко выступил с ходатайством о пересмотре стоимости контракта в сторону увеличения, мотивируя это раскручивавшимся маховиком инфляции. Удовлетворение этой просьбы было отложено до создания специальном комиссии, которая бы пересмотрела условия военных контрактов. Заказчик отклонил и просьбу о предоставлении дополнительного 30% аванса, поскольку ревизия, проведенная в начале июля 1917 г.. выявила неудовлетворительное ведение отчетности по расходованию суммы первого аванса (в соответствии с существовавшей практикой, при заключении контракта российские поставщики получали от военного ведомства 30% предоплаты, остальная сумма выплачивалась по мере осуществления поставок). Также без положительного ответа осталось прошение о субсидии в 140000 руб. на расширение предприятия (12252).</w:t>
      </w:r>
    </w:p>
    <w:p w14:paraId="39FBE1B1" w14:textId="77777777" w:rsidR="005505D2" w:rsidRPr="002F2FDF" w:rsidRDefault="005505D2" w:rsidP="0083075A">
      <w:pPr>
        <w:pStyle w:val="1c"/>
        <w:spacing w:before="0" w:after="0"/>
        <w:jc w:val="both"/>
        <w:rPr>
          <w:color w:val="000000" w:themeColor="text1"/>
          <w:kern w:val="2"/>
          <w:sz w:val="16"/>
          <w:szCs w:val="16"/>
        </w:rPr>
      </w:pPr>
    </w:p>
    <w:p w14:paraId="333D5EBD" w14:textId="5B4477A1" w:rsidR="00715076" w:rsidRPr="00815ED5" w:rsidRDefault="00715076"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25 апреля </w:t>
      </w:r>
      <w:r>
        <w:rPr>
          <w:rFonts w:ascii="Times New Roman" w:hAnsi="Times New Roman" w:cs="Times New Roman"/>
          <w:color w:val="0070C0"/>
          <w:sz w:val="16"/>
          <w:szCs w:val="16"/>
        </w:rPr>
        <w:t xml:space="preserve">(8 мая) 1917 г. </w:t>
      </w:r>
      <w:r w:rsidRPr="00815ED5">
        <w:rPr>
          <w:rFonts w:ascii="Times New Roman" w:hAnsi="Times New Roman" w:cs="Times New Roman"/>
          <w:color w:val="0070C0"/>
          <w:sz w:val="16"/>
          <w:szCs w:val="16"/>
        </w:rPr>
        <w:t>технический комитет УВВ</w:t>
      </w:r>
      <w:r>
        <w:rPr>
          <w:rFonts w:ascii="Times New Roman" w:hAnsi="Times New Roman" w:cs="Times New Roman"/>
          <w:color w:val="0070C0"/>
          <w:sz w:val="16"/>
          <w:szCs w:val="16"/>
        </w:rPr>
        <w:t>Ф</w:t>
      </w:r>
      <w:r w:rsidRPr="00815ED5">
        <w:rPr>
          <w:rFonts w:ascii="Times New Roman" w:hAnsi="Times New Roman" w:cs="Times New Roman"/>
          <w:color w:val="0070C0"/>
          <w:sz w:val="16"/>
          <w:szCs w:val="16"/>
        </w:rPr>
        <w:t xml:space="preserve"> рассмотрел проект оригиналь</w:t>
      </w:r>
      <w:r>
        <w:rPr>
          <w:rFonts w:ascii="Times New Roman" w:hAnsi="Times New Roman" w:cs="Times New Roman"/>
          <w:color w:val="0070C0"/>
          <w:sz w:val="16"/>
          <w:szCs w:val="16"/>
        </w:rPr>
        <w:t>н</w:t>
      </w:r>
      <w:r w:rsidRPr="00815ED5">
        <w:rPr>
          <w:rFonts w:ascii="Times New Roman" w:hAnsi="Times New Roman" w:cs="Times New Roman"/>
          <w:color w:val="0070C0"/>
          <w:sz w:val="16"/>
          <w:szCs w:val="16"/>
        </w:rPr>
        <w:t>ого двухмоторного самолета-амфибии, представленный бакинским конструктором Николаем Гавриловичем Зелинским.</w:t>
      </w:r>
      <w:r>
        <w:rPr>
          <w:rFonts w:ascii="Times New Roman" w:hAnsi="Times New Roman" w:cs="Times New Roman"/>
          <w:color w:val="0070C0"/>
          <w:sz w:val="16"/>
          <w:szCs w:val="16"/>
        </w:rPr>
        <w:t xml:space="preserve"> С</w:t>
      </w:r>
      <w:r w:rsidRPr="00815ED5">
        <w:rPr>
          <w:rFonts w:ascii="Times New Roman" w:hAnsi="Times New Roman" w:cs="Times New Roman"/>
          <w:color w:val="0070C0"/>
          <w:sz w:val="16"/>
          <w:szCs w:val="16"/>
        </w:rPr>
        <w:t>амолет - моноплан с вращающимися плоскостями вокруг поперечной и вертикальной осей. Плоскости заменяли собой рули управления и органы устойчивости.</w:t>
      </w:r>
      <w:r w:rsidR="003B02B1" w:rsidRPr="00A56BA5">
        <w:rPr>
          <w:rFonts w:ascii="Times New Roman" w:hAnsi="Times New Roman" w:cs="Times New Roman"/>
          <w:color w:val="0070C0"/>
          <w:sz w:val="16"/>
          <w:szCs w:val="16"/>
        </w:rPr>
        <w:t xml:space="preserve"> </w:t>
      </w:r>
      <w:r>
        <w:rPr>
          <w:rFonts w:ascii="Times New Roman" w:hAnsi="Times New Roman" w:cs="Times New Roman"/>
          <w:color w:val="0070C0"/>
          <w:sz w:val="16"/>
          <w:szCs w:val="16"/>
        </w:rPr>
        <w:t>Ш</w:t>
      </w:r>
      <w:r w:rsidRPr="00815ED5">
        <w:rPr>
          <w:rFonts w:ascii="Times New Roman" w:hAnsi="Times New Roman" w:cs="Times New Roman"/>
          <w:color w:val="0070C0"/>
          <w:sz w:val="16"/>
          <w:szCs w:val="16"/>
        </w:rPr>
        <w:t>асси убираются /подгибаются/ в полете.</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 заключению проф.</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Ботезата технический комитет,</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не разобравшись как следует в проекте,</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отклонил его как «не имеющий ни теоретического,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ни практического интереса».</w:t>
      </w:r>
    </w:p>
    <w:p w14:paraId="54685892" w14:textId="77777777" w:rsidR="00715076" w:rsidRDefault="00715076"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/ЦГВИА, </w:t>
      </w:r>
      <w:r>
        <w:rPr>
          <w:rFonts w:ascii="Times New Roman" w:hAnsi="Times New Roman" w:cs="Times New Roman"/>
          <w:color w:val="0070C0"/>
          <w:sz w:val="16"/>
          <w:szCs w:val="16"/>
        </w:rPr>
        <w:t>ф.</w:t>
      </w:r>
      <w:r w:rsidRPr="00815ED5">
        <w:rPr>
          <w:rFonts w:ascii="Times New Roman" w:hAnsi="Times New Roman" w:cs="Times New Roman"/>
          <w:color w:val="0070C0"/>
          <w:sz w:val="16"/>
          <w:szCs w:val="16"/>
        </w:rPr>
        <w:t xml:space="preserve"> 493, </w:t>
      </w:r>
      <w:r>
        <w:rPr>
          <w:rFonts w:ascii="Times New Roman" w:hAnsi="Times New Roman" w:cs="Times New Roman"/>
          <w:color w:val="0070C0"/>
          <w:sz w:val="16"/>
          <w:szCs w:val="16"/>
        </w:rPr>
        <w:t>оп.</w:t>
      </w:r>
      <w:r w:rsidRPr="00815ED5">
        <w:rPr>
          <w:rFonts w:ascii="Times New Roman" w:hAnsi="Times New Roman" w:cs="Times New Roman"/>
          <w:color w:val="0070C0"/>
          <w:sz w:val="16"/>
          <w:szCs w:val="16"/>
        </w:rPr>
        <w:t xml:space="preserve"> 10, </w:t>
      </w:r>
      <w:r>
        <w:rPr>
          <w:rFonts w:ascii="Times New Roman" w:hAnsi="Times New Roman" w:cs="Times New Roman"/>
          <w:color w:val="0070C0"/>
          <w:sz w:val="16"/>
          <w:szCs w:val="16"/>
        </w:rPr>
        <w:t>д</w:t>
      </w:r>
      <w:r w:rsidRPr="00815ED5">
        <w:rPr>
          <w:rFonts w:ascii="Times New Roman" w:hAnsi="Times New Roman" w:cs="Times New Roman"/>
          <w:color w:val="0070C0"/>
          <w:sz w:val="16"/>
          <w:szCs w:val="16"/>
        </w:rPr>
        <w:t>. 1</w:t>
      </w:r>
      <w:r>
        <w:rPr>
          <w:rFonts w:ascii="Times New Roman" w:hAnsi="Times New Roman" w:cs="Times New Roman"/>
          <w:color w:val="0070C0"/>
          <w:sz w:val="16"/>
          <w:szCs w:val="16"/>
        </w:rPr>
        <w:t>24</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л</w:t>
      </w:r>
      <w:r w:rsidRPr="00815ED5">
        <w:rPr>
          <w:rFonts w:ascii="Times New Roman" w:hAnsi="Times New Roman" w:cs="Times New Roman"/>
          <w:color w:val="0070C0"/>
          <w:sz w:val="16"/>
          <w:szCs w:val="16"/>
        </w:rPr>
        <w:t>. 26/</w:t>
      </w:r>
      <w:r>
        <w:rPr>
          <w:rFonts w:ascii="Times New Roman" w:hAnsi="Times New Roman" w:cs="Times New Roman"/>
          <w:color w:val="0070C0"/>
          <w:sz w:val="16"/>
          <w:szCs w:val="16"/>
        </w:rPr>
        <w:t xml:space="preserve"> (23320).</w:t>
      </w:r>
    </w:p>
    <w:p w14:paraId="421AB6B3" w14:textId="77777777" w:rsidR="00715076" w:rsidRPr="00815ED5" w:rsidRDefault="00715076" w:rsidP="0083075A">
      <w:pPr>
        <w:spacing w:after="0" w:line="240" w:lineRule="auto"/>
        <w:jc w:val="both"/>
        <w:rPr>
          <w:rFonts w:ascii="Times New Roman" w:hAnsi="Times New Roman" w:cs="Times New Roman"/>
          <w:color w:val="0070C0"/>
          <w:sz w:val="16"/>
          <w:szCs w:val="16"/>
        </w:rPr>
      </w:pPr>
    </w:p>
    <w:p w14:paraId="0F0E1ECB" w14:textId="77777777" w:rsidR="003F2A09"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BBFFCE8" w14:textId="77777777" w:rsidR="003F2A09" w:rsidRPr="002F2FDF" w:rsidRDefault="003F2A0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561BBB" w14:textId="1F9EDF37" w:rsidR="0071649C" w:rsidRPr="002F2FDF" w:rsidRDefault="0071649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апреля (8 мая) 1917 г. начальник ОСЗ генерал-майор</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В.В. Чорбо подал в Морское министерство записку,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которой сообщал, что приобретение ЦОЗ в собственность государства не осуществилось. Попытка приобрести ЦОЗ в казну не удалась, поскольку стороны не сошлись в реальной стоимости завода (15132).</w:t>
      </w:r>
    </w:p>
    <w:p w14:paraId="2572D1C4" w14:textId="77777777" w:rsidR="0071649C" w:rsidRPr="002F2FDF" w:rsidRDefault="0071649C" w:rsidP="0083075A">
      <w:pPr>
        <w:spacing w:after="0" w:line="240" w:lineRule="auto"/>
        <w:jc w:val="both"/>
        <w:rPr>
          <w:rFonts w:ascii="Times New Roman" w:hAnsi="Times New Roman" w:cs="Times New Roman"/>
          <w:color w:val="000000" w:themeColor="text1"/>
          <w:kern w:val="2"/>
          <w:sz w:val="16"/>
          <w:szCs w:val="16"/>
        </w:rPr>
      </w:pPr>
    </w:p>
    <w:p w14:paraId="40E617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апреля (8 мая) 1917 года был заключен контракт с Санкт-Петербургским Металлическим заводом (МЗ) на создание двух ж. д. установок, в которых были использованы две 254/45-мм береговые пушки без цапф с откатом по оси канала, изготовленные в середине 90-х годов для броненосца "Ростислав", но снятые с корабля из-за неудачной конструкции транспортера. Первая установка была готова к 14 июля, вторая к 16 августа 1917 года (3861).</w:t>
      </w:r>
    </w:p>
    <w:p w14:paraId="561ADF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C05714" w14:textId="042B36B6" w:rsidR="000742C6" w:rsidRPr="002F2FDF" w:rsidRDefault="000742C6"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25 апреля (</w:t>
      </w:r>
      <w:r w:rsidR="00715076" w:rsidRPr="00715076">
        <w:rPr>
          <w:rFonts w:ascii="Times New Roman" w:eastAsia="Times New Roman" w:hAnsi="Times New Roman" w:cs="Times New Roman"/>
          <w:color w:val="000000" w:themeColor="text1"/>
          <w:sz w:val="16"/>
          <w:szCs w:val="16"/>
          <w:lang w:eastAsia="ru-RU"/>
        </w:rPr>
        <w:t>8</w:t>
      </w:r>
      <w:r w:rsidRPr="002F2FDF">
        <w:rPr>
          <w:rFonts w:ascii="Times New Roman" w:eastAsia="Times New Roman" w:hAnsi="Times New Roman" w:cs="Times New Roman"/>
          <w:color w:val="000000" w:themeColor="text1"/>
          <w:sz w:val="16"/>
          <w:szCs w:val="16"/>
          <w:lang w:eastAsia="ru-RU"/>
        </w:rPr>
        <w:t xml:space="preserve"> мая) 1917 Особым совещанием был одобрен новый план заготовления потивогазов, представленный Химическим комитетом ГАУ. Предусматривался заказ противогазов различных типов: системы Зелинского-Кумманта (5 млн. шт.), системы князя Авалова (1 млн. шт.), влажных образца Химического комитета (1 </w:t>
      </w:r>
      <w:r w:rsidRPr="002F2FDF">
        <w:rPr>
          <w:rFonts w:ascii="Times New Roman" w:eastAsia="Times New Roman" w:hAnsi="Times New Roman" w:cs="Times New Roman"/>
          <w:color w:val="000000" w:themeColor="text1"/>
          <w:sz w:val="16"/>
          <w:szCs w:val="16"/>
          <w:lang w:eastAsia="ru-RU"/>
        </w:rPr>
        <w:lastRenderedPageBreak/>
        <w:t>млн. шт.), для защиты лошадей (50 тыс. шт.), а также двух типов шлемофонов для телефонистов – системы князя Нижерадзе и Магарама и системы поручика Бодаревского (по 10 тыс. обоих типов). Общий расход средств по этому плану составил 42 млн. руб. [Журнал № 129 ПКАВ. Заседание 25 апреля 1917 г. / Архив ВИМАИВиВС. Ф. 13. Оп. 87/2. Д. 65. Л. 60–61.] (20236).</w:t>
      </w:r>
    </w:p>
    <w:p w14:paraId="17D97B86" w14:textId="77777777" w:rsidR="000742C6" w:rsidRPr="002F2FDF" w:rsidRDefault="000742C6" w:rsidP="0083075A">
      <w:pPr>
        <w:spacing w:after="0" w:line="240" w:lineRule="auto"/>
        <w:jc w:val="both"/>
        <w:rPr>
          <w:rFonts w:ascii="Times New Roman" w:hAnsi="Times New Roman" w:cs="Times New Roman"/>
          <w:color w:val="000000" w:themeColor="text1"/>
          <w:sz w:val="16"/>
          <w:szCs w:val="16"/>
          <w:shd w:val="clear" w:color="auto" w:fill="FFFFFF"/>
        </w:rPr>
      </w:pPr>
    </w:p>
    <w:p w14:paraId="5FEA77F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1082A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42E6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апреля (8 мая) 1917 прапорщик Навроцкий 1БАГ на “Ньюпоре-21” внезапно атаковал са</w:t>
      </w:r>
      <w:r w:rsidRPr="002F2FDF">
        <w:rPr>
          <w:rFonts w:ascii="Times New Roman" w:hAnsi="Times New Roman" w:cs="Times New Roman"/>
          <w:color w:val="000000" w:themeColor="text1"/>
          <w:kern w:val="2"/>
          <w:sz w:val="16"/>
          <w:szCs w:val="16"/>
        </w:rPr>
        <w:softHyphen/>
        <w:t>молет противника, открыв огонь с ди</w:t>
      </w:r>
      <w:r w:rsidRPr="002F2FDF">
        <w:rPr>
          <w:rFonts w:ascii="Times New Roman" w:hAnsi="Times New Roman" w:cs="Times New Roman"/>
          <w:color w:val="000000" w:themeColor="text1"/>
          <w:kern w:val="2"/>
          <w:sz w:val="16"/>
          <w:szCs w:val="16"/>
        </w:rPr>
        <w:softHyphen/>
        <w:t>станции 15 м. Первой же очередью экипаж был ранен и приземлился на нашей территории в районе деревни Олесино. Захваченный австрийский “Бранденбург” C.I достался почти не</w:t>
      </w:r>
      <w:r w:rsidRPr="002F2FDF">
        <w:rPr>
          <w:rFonts w:ascii="Times New Roman" w:hAnsi="Times New Roman" w:cs="Times New Roman"/>
          <w:color w:val="000000" w:themeColor="text1"/>
          <w:kern w:val="2"/>
          <w:sz w:val="16"/>
          <w:szCs w:val="16"/>
        </w:rPr>
        <w:softHyphen/>
        <w:t>поврежденным и позже был передан в 4-й армейский авиаотряд. Летчик кап</w:t>
      </w:r>
      <w:r w:rsidRPr="002F2FDF">
        <w:rPr>
          <w:rFonts w:ascii="Times New Roman" w:hAnsi="Times New Roman" w:cs="Times New Roman"/>
          <w:color w:val="000000" w:themeColor="text1"/>
          <w:kern w:val="2"/>
          <w:sz w:val="16"/>
          <w:szCs w:val="16"/>
        </w:rPr>
        <w:softHyphen/>
        <w:t>рал Хорачек и летнаб лейтенант фон Халупка из австрийской авиароты Flik 25 были легко ранены и взяты в плен. За этот бой Николай Навроцкий полу</w:t>
      </w:r>
      <w:r w:rsidRPr="002F2FDF">
        <w:rPr>
          <w:rFonts w:ascii="Times New Roman" w:hAnsi="Times New Roman" w:cs="Times New Roman"/>
          <w:color w:val="000000" w:themeColor="text1"/>
          <w:kern w:val="2"/>
          <w:sz w:val="16"/>
          <w:szCs w:val="16"/>
        </w:rPr>
        <w:softHyphen/>
        <w:t>чил орден Св.Георгия 4-й степени (3954).</w:t>
      </w:r>
    </w:p>
    <w:p w14:paraId="2E8C07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099132" w14:textId="77777777" w:rsidR="00CA6C19" w:rsidRPr="002F2FDF" w:rsidRDefault="00CA6C1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25 апреля (8 мая) в 1917 году близ Олесина, что севернее Козова, прапорщик, военный летчик 19-го корпусного авиаотряда Николай Васильевич Навроцкий очередью из 30 патронов, сбил неприятельский самолет, за что он и был представлен к высшему офицерскому ордену - Святого Великомученика и Победоносца Георгия 4-й степени. Слегка поврежденный «Брандербург» «С-1» передали в 4-й армейский авиаотряд, где после небольшого ремонта он был использован русскими летчиками. О незавидной судьбе австрийских пилотов сообщили противнику "воздушной почтой" - запиской, сброшенной с русского аэроплана (французский и немецкий текст которой приводится в современной книге Е.Петера по истории ВВС австро-венгерской монархии). Навроцкий летал на истребителе </w:t>
      </w:r>
      <w:hyperlink r:id="rId143" w:tgtFrame="_blank" w:history="1">
        <w:r w:rsidRPr="002F2FDF">
          <w:rPr>
            <w:rFonts w:ascii="Times New Roman" w:hAnsi="Times New Roman" w:cs="Times New Roman"/>
            <w:color w:val="000000" w:themeColor="text1"/>
            <w:kern w:val="2"/>
            <w:sz w:val="16"/>
            <w:szCs w:val="16"/>
          </w:rPr>
          <w:t xml:space="preserve">«Ньюпор XXI» («Бебе-21») </w:t>
        </w:r>
      </w:hyperlink>
      <w:r w:rsidRPr="002F2FDF">
        <w:rPr>
          <w:rFonts w:ascii="Times New Roman" w:hAnsi="Times New Roman" w:cs="Times New Roman"/>
          <w:color w:val="000000" w:themeColor="text1"/>
          <w:kern w:val="2"/>
          <w:sz w:val="16"/>
          <w:szCs w:val="16"/>
        </w:rPr>
        <w:t>- одном из распространенных типов самолетов (14885).</w:t>
      </w:r>
    </w:p>
    <w:p w14:paraId="03140C20" w14:textId="77777777" w:rsidR="00CA6C19" w:rsidRPr="002F2FDF" w:rsidRDefault="00CA6C19" w:rsidP="0083075A">
      <w:pPr>
        <w:spacing w:after="0" w:line="240" w:lineRule="auto"/>
        <w:jc w:val="both"/>
        <w:rPr>
          <w:rFonts w:ascii="Times New Roman" w:hAnsi="Times New Roman" w:cs="Times New Roman"/>
          <w:color w:val="000000" w:themeColor="text1"/>
          <w:kern w:val="2"/>
          <w:sz w:val="16"/>
          <w:szCs w:val="16"/>
        </w:rPr>
      </w:pPr>
    </w:p>
    <w:p w14:paraId="3321DCC0" w14:textId="08DE9BCB"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апреля (8 мая) и 14 (27) апреля 1917 единственный в 1-й боевом отряде на юго-западном фронте старый корабль XV-й типа Г-1 с "Санбимами" капитана Г.В.Клембовского он совершил два боевых вылета, причем в последнем выдержал бой с 3 неприятельскими истребителями. В воздушном бою было сбито 2 немецких "Фоккера". Кораблю тоже досталось, но он дотянул до своего аэродрома. В начале апреля 1917 г. на аэродром у д.Микулинцы прибыл 2-й боевой отряд в составе корабля 1-го №178 под командованием ст.</w:t>
      </w:r>
      <w:r w:rsidR="00715076" w:rsidRPr="00715076">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лейтенанта Г.И.Лаврова. В Виннице машину переооборудовали: поставили 2 мотора "Рено" 225 л.с. и 2 РБ3.6 150 л.с., сзади добавили пулеметную точку, для этого пришлось переделать хвостовую часть — она стала двухкилевой. С августа 1917 г. 2-й и 3-й боевые отряды ЭВК стали совершать групповые полеты (3-4 корабля). Иногда "Муромцев" прикрывали истребители 1-й боевой авиагруппы (2-й, 4-й и 19-й корпусные отряды) ротмистра А.А.Козакова, которые совершили на охрану 17 самолето-вылетов. За весь 1917 год Эскадра совершила около 70 боевых полетов, сбросив на противника до 650 пудов бомб. За всю германскую кампанию из 51 боевого корабля, поступивших на фронт, воевало около 40 машин. Они совершили до 300 вылетов, сбросив около 3000 пудов бомб (11277).</w:t>
      </w:r>
    </w:p>
    <w:p w14:paraId="351E83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8B65AE" w14:textId="1E432FB4" w:rsidR="00EB3E32" w:rsidRPr="00FB4F67" w:rsidRDefault="00EB3E32" w:rsidP="0083075A">
      <w:pPr>
        <w:spacing w:after="0" w:line="240" w:lineRule="auto"/>
        <w:jc w:val="both"/>
        <w:rPr>
          <w:rFonts w:ascii="Times New Roman" w:hAnsi="Times New Roman" w:cs="Times New Roman"/>
          <w:color w:val="0070C0"/>
          <w:sz w:val="16"/>
          <w:szCs w:val="16"/>
        </w:rPr>
      </w:pPr>
      <w:bookmarkStart w:id="92" w:name="bookmark766"/>
      <w:r>
        <w:rPr>
          <w:rFonts w:ascii="Times New Roman" w:hAnsi="Times New Roman" w:cs="Times New Roman"/>
          <w:color w:val="0070C0"/>
          <w:sz w:val="16"/>
          <w:szCs w:val="16"/>
        </w:rPr>
        <w:t>25 апреля (</w:t>
      </w:r>
      <w:r w:rsidRPr="00FB4F67">
        <w:rPr>
          <w:rFonts w:ascii="Times New Roman" w:hAnsi="Times New Roman" w:cs="Times New Roman"/>
          <w:color w:val="0070C0"/>
          <w:sz w:val="16"/>
          <w:szCs w:val="16"/>
        </w:rPr>
        <w:t>8 мая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вблизи Короличи (Кореличи, Гродненская губ.) под огонь русской артиллерии попал неприятельский самолет, спустившийся за проволочные заграждения противника. В тот же день севернее Козова с земли сбили «Бранденбург» (25-я австрийская авиарота).</w:t>
      </w:r>
      <w:bookmarkEnd w:id="92"/>
    </w:p>
    <w:p w14:paraId="0FC8936A" w14:textId="77777777" w:rsidR="00EB3E32" w:rsidRPr="00FB4F67" w:rsidRDefault="00EB3E32" w:rsidP="0083075A">
      <w:pPr>
        <w:spacing w:after="0" w:line="240" w:lineRule="auto"/>
        <w:jc w:val="both"/>
        <w:rPr>
          <w:rFonts w:ascii="Times New Roman" w:hAnsi="Times New Roman" w:cs="Times New Roman"/>
          <w:color w:val="0070C0"/>
          <w:sz w:val="16"/>
          <w:szCs w:val="16"/>
        </w:rPr>
      </w:pPr>
      <w:bookmarkStart w:id="93" w:name="bookmark767"/>
      <w:bookmarkStart w:id="94" w:name="bookmark768"/>
      <w:r w:rsidRPr="00FB4F67">
        <w:rPr>
          <w:rFonts w:ascii="Times New Roman" w:hAnsi="Times New Roman" w:cs="Times New Roman"/>
          <w:color w:val="0070C0"/>
          <w:sz w:val="16"/>
          <w:szCs w:val="16"/>
        </w:rPr>
        <w:t>В полосе Юго-Западного фронта при налете на штаб 22-й турецкой пехотной дивизии (н/п Хутиско) в районе д. Мечищув воздушный корабль «Илья Муромец-XV» (Г.В. Клембовский) был атакован вражескими истребителями из фронтового охранения. Ответным огнем «Муромца» и самолетами прикрытия оказались сбитыми два летательных аппарата типа «Фоккер». По воспоминаниям второго пилота экипажа корабля штабс-капитана С.В. Федорова: «Первый [самолет] упал в лес километров за 10 до передовых позиций, второй упал в районе окопов, а третий, самый злой, причинивший нам много вреда, упал в нашем расположении - летчик был убит». Это был первый в истории Эскадры воздушных кораблей случай высокой результативности русских летчиков в одном воздушном бою.</w:t>
      </w:r>
      <w:bookmarkEnd w:id="93"/>
      <w:bookmarkEnd w:id="94"/>
    </w:p>
    <w:p w14:paraId="1CCBFCC3" w14:textId="77777777" w:rsidR="00EB3E32" w:rsidRPr="00FB4F67" w:rsidRDefault="00EB3E3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Информация об уничтожении вражеских самолетов была передана в штаб 9-й армии частями 41-го армейского корпуса. Очевидцы указывали, что воздушный бой проходил на высотах 1,8-2,4 км.</w:t>
      </w:r>
    </w:p>
    <w:p w14:paraId="58AC819B" w14:textId="77777777" w:rsidR="00EB3E32" w:rsidRPr="00FB4F67" w:rsidRDefault="00EB3E32" w:rsidP="0083075A">
      <w:pPr>
        <w:spacing w:after="0" w:line="240" w:lineRule="auto"/>
        <w:jc w:val="both"/>
        <w:rPr>
          <w:rFonts w:ascii="Times New Roman" w:hAnsi="Times New Roman" w:cs="Times New Roman"/>
          <w:color w:val="0070C0"/>
          <w:sz w:val="16"/>
          <w:szCs w:val="16"/>
        </w:rPr>
      </w:pPr>
      <w:bookmarkStart w:id="95" w:name="bookmark769"/>
      <w:r w:rsidRPr="00FB4F67">
        <w:rPr>
          <w:rFonts w:ascii="Times New Roman" w:hAnsi="Times New Roman" w:cs="Times New Roman"/>
          <w:color w:val="0070C0"/>
          <w:sz w:val="16"/>
          <w:szCs w:val="16"/>
        </w:rPr>
        <w:t>За проявленные мужество и героизм помощник командира «Илья Муромец-XV» поручик И.Г. Демичев-Иванов был награжден орденом Святого Георгия IV степени, капитан П.В. Ивановский и штабс- капитан С.В. Федоров награждены Георгиевским оружием, старший унтер-офицер С. Голубец - Георгиевским крестом. На командира корабля капитана Г.В. Клембовского отправлено представление в штаб Юго-Западного фронта на орден Святого Георгия IV степени. Однако в результате смены главнокомандующего армии фронта (на место генерала от кавалерии А.А. Брусилова назначен генерал-лейтенант А.Е. Гутор) документы оказались нереализованным (23405).</w:t>
      </w:r>
      <w:bookmarkEnd w:id="95"/>
    </w:p>
    <w:p w14:paraId="6CF4FD0F" w14:textId="77777777" w:rsidR="00EB3E32" w:rsidRPr="00FB4F67" w:rsidRDefault="00EB3E32" w:rsidP="0083075A">
      <w:pPr>
        <w:spacing w:after="0" w:line="240" w:lineRule="auto"/>
        <w:jc w:val="both"/>
        <w:rPr>
          <w:rFonts w:ascii="Times New Roman" w:hAnsi="Times New Roman" w:cs="Times New Roman"/>
          <w:color w:val="0070C0"/>
          <w:sz w:val="16"/>
          <w:szCs w:val="16"/>
        </w:rPr>
      </w:pPr>
    </w:p>
    <w:p w14:paraId="3FA63F46" w14:textId="77777777" w:rsidR="000742C6" w:rsidRPr="002F2FDF" w:rsidRDefault="000742C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25 апреля (7 мая) 1917 г. А.В. Колчак телегра</w:t>
      </w:r>
      <w:r w:rsidRPr="002F2FDF">
        <w:rPr>
          <w:rFonts w:ascii="Times New Roman" w:hAnsi="Times New Roman" w:cs="Times New Roman"/>
          <w:color w:val="000000" w:themeColor="text1"/>
          <w:sz w:val="16"/>
          <w:szCs w:val="16"/>
        </w:rPr>
        <w:softHyphen/>
        <w:t>фировал начальнику морского походного штаба ВГК адмиралу А.И. Русину: «При настоящем по</w:t>
      </w:r>
      <w:r w:rsidRPr="002F2FDF">
        <w:rPr>
          <w:rFonts w:ascii="Times New Roman" w:hAnsi="Times New Roman" w:cs="Times New Roman"/>
          <w:color w:val="000000" w:themeColor="text1"/>
          <w:sz w:val="16"/>
          <w:szCs w:val="16"/>
        </w:rPr>
        <w:softHyphen/>
        <w:t>ложении дела змейковые станции совершенно не нужны в Черноморском флоте, так же как офи</w:t>
      </w:r>
      <w:r w:rsidRPr="002F2FDF">
        <w:rPr>
          <w:rFonts w:ascii="Times New Roman" w:hAnsi="Times New Roman" w:cs="Times New Roman"/>
          <w:color w:val="000000" w:themeColor="text1"/>
          <w:sz w:val="16"/>
          <w:szCs w:val="16"/>
        </w:rPr>
        <w:softHyphen/>
        <w:t>церы и команда сгоревшего дирижабля, поэто</w:t>
      </w:r>
      <w:r w:rsidRPr="002F2FDF">
        <w:rPr>
          <w:rFonts w:ascii="Times New Roman" w:hAnsi="Times New Roman" w:cs="Times New Roman"/>
          <w:color w:val="000000" w:themeColor="text1"/>
          <w:sz w:val="16"/>
          <w:szCs w:val="16"/>
        </w:rPr>
        <w:softHyphen/>
        <w:t>му прошу срочно перевести их в действующую армию»37. На следующий день А.И. Русин издал такой приказ. Приказ верховного главнокоман</w:t>
      </w:r>
      <w:r w:rsidRPr="002F2FDF">
        <w:rPr>
          <w:rFonts w:ascii="Times New Roman" w:hAnsi="Times New Roman" w:cs="Times New Roman"/>
          <w:color w:val="000000" w:themeColor="text1"/>
          <w:sz w:val="16"/>
          <w:szCs w:val="16"/>
        </w:rPr>
        <w:softHyphen/>
        <w:t>дующего от 18 мая 1917 г. превратил воздухо</w:t>
      </w:r>
      <w:r w:rsidRPr="002F2FDF">
        <w:rPr>
          <w:rFonts w:ascii="Times New Roman" w:hAnsi="Times New Roman" w:cs="Times New Roman"/>
          <w:color w:val="000000" w:themeColor="text1"/>
          <w:sz w:val="16"/>
          <w:szCs w:val="16"/>
        </w:rPr>
        <w:softHyphen/>
        <w:t>плавательную станцию, существовавшую при Воздушной дивизии, в 36-й корпусной воздухо</w:t>
      </w:r>
      <w:r w:rsidRPr="002F2FDF">
        <w:rPr>
          <w:rFonts w:ascii="Times New Roman" w:hAnsi="Times New Roman" w:cs="Times New Roman"/>
          <w:color w:val="000000" w:themeColor="text1"/>
          <w:sz w:val="16"/>
          <w:szCs w:val="16"/>
        </w:rPr>
        <w:softHyphen/>
        <w:t>плавательный отряд.</w:t>
      </w:r>
    </w:p>
    <w:p w14:paraId="67D625E3" w14:textId="77777777" w:rsidR="000742C6" w:rsidRPr="002F2FDF" w:rsidRDefault="000742C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После отставки А.В. Колчака 6 июня 1917 г. моряки ходатайствовали о прикомандировании к Черноморскому флоту хотя бы одного возду</w:t>
      </w:r>
      <w:r w:rsidRPr="002F2FDF">
        <w:rPr>
          <w:rFonts w:ascii="Times New Roman" w:hAnsi="Times New Roman" w:cs="Times New Roman"/>
          <w:color w:val="000000" w:themeColor="text1"/>
          <w:sz w:val="16"/>
          <w:szCs w:val="16"/>
        </w:rPr>
        <w:softHyphen/>
        <w:t>хоплавательного отряда для обслуживания мор</w:t>
      </w:r>
      <w:r w:rsidRPr="002F2FDF">
        <w:rPr>
          <w:rFonts w:ascii="Times New Roman" w:hAnsi="Times New Roman" w:cs="Times New Roman"/>
          <w:color w:val="000000" w:themeColor="text1"/>
          <w:sz w:val="16"/>
          <w:szCs w:val="16"/>
        </w:rPr>
        <w:softHyphen/>
        <w:t>ских сил, действовавших в устье Дуная. В резуль</w:t>
      </w:r>
      <w:r w:rsidRPr="002F2FDF">
        <w:rPr>
          <w:rFonts w:ascii="Times New Roman" w:hAnsi="Times New Roman" w:cs="Times New Roman"/>
          <w:color w:val="000000" w:themeColor="text1"/>
          <w:sz w:val="16"/>
          <w:szCs w:val="16"/>
        </w:rPr>
        <w:softHyphen/>
        <w:t>тате в сентябре-ноябре 1917 г. на Дунае воевали 26-й и 36-й корпусные отряды (20120).</w:t>
      </w:r>
    </w:p>
    <w:p w14:paraId="1D785DEB" w14:textId="77777777" w:rsidR="000742C6" w:rsidRPr="002F2FDF" w:rsidRDefault="000742C6" w:rsidP="0083075A">
      <w:pPr>
        <w:spacing w:after="0" w:line="240" w:lineRule="auto"/>
        <w:jc w:val="both"/>
        <w:rPr>
          <w:rFonts w:ascii="Times New Roman" w:hAnsi="Times New Roman" w:cs="Times New Roman"/>
          <w:color w:val="000000" w:themeColor="text1"/>
          <w:sz w:val="16"/>
          <w:szCs w:val="16"/>
        </w:rPr>
      </w:pPr>
    </w:p>
    <w:p w14:paraId="6E9EF6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апреля (8 мая) 1917 военный министр А.Гучков подал в отставку из-за того, что армия ему практически не подчиняется (3908,257).</w:t>
      </w:r>
    </w:p>
    <w:p w14:paraId="63722F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A3238D" w14:textId="77777777" w:rsidR="00C76B33"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397B223" w14:textId="77777777" w:rsidR="00C76B33" w:rsidRPr="002F2FDF" w:rsidRDefault="00C76B3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4B5B31" w14:textId="77777777" w:rsidR="000742C6" w:rsidRPr="002F2FDF" w:rsidRDefault="000742C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25 апреля (7 мая) 1917 г. на базе IdFlieg в Йоханништале под Берлином были начаты типовые испытания головного самолета Хальберштадт CL II, который совершил первый полет весной 1917 г.</w:t>
      </w:r>
    </w:p>
    <w:p w14:paraId="45F663A2" w14:textId="77777777" w:rsidR="000742C6" w:rsidRPr="002F2FDF" w:rsidRDefault="000742C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Инспекция ВВС выдала технические требования на легкий вооруженный самолет класса CL c мотором в 160 … 180 сил, весом полной нагрузки не более 360 кг, который бы нес синхронный и турельный пулеметы, бомбы, сигнальные ракеты, фотоаппарат и рацию.</w:t>
      </w:r>
    </w:p>
    <w:p w14:paraId="185908DC" w14:textId="77777777" w:rsidR="000742C6" w:rsidRPr="002F2FDF" w:rsidRDefault="000742C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Самолет требованиям соответствовал, имел хорошую устойчивость и управляемость, а по скорости и маневренности был опасным противником даже для одноместных истребителей. Сам командующий ВВС фон Геппнер выбрал Хальберштадт CL II в качестве личного самолета. В мае 1917 г. пошли заказы, а общий их объем составил 700 самолетов фирме «Хальберштадт» и 200 — «Бауерише Флюгцойгверке». Первый производитель справился с задачей полностью и летом 1918 г. перешел на новый тип CLIV, а второй при своих довольно больших мощностях сделал только 79 таких самолетов (22943).</w:t>
      </w:r>
    </w:p>
    <w:p w14:paraId="2AB58C95" w14:textId="77777777" w:rsidR="000742C6" w:rsidRPr="002F2FDF" w:rsidRDefault="000742C6" w:rsidP="0083075A">
      <w:pPr>
        <w:spacing w:after="0" w:line="240" w:lineRule="auto"/>
        <w:jc w:val="both"/>
        <w:rPr>
          <w:rFonts w:ascii="Times New Roman" w:hAnsi="Times New Roman" w:cs="Times New Roman"/>
          <w:color w:val="000000" w:themeColor="text1"/>
          <w:sz w:val="16"/>
          <w:szCs w:val="16"/>
        </w:rPr>
      </w:pPr>
    </w:p>
    <w:p w14:paraId="11DEED80" w14:textId="0C89F091" w:rsidR="000742C6" w:rsidRPr="002F2FDF" w:rsidRDefault="000742C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25 апреля (7 мая) 1917 г. первый серийный истребитель «Кэмел» F.1 был сдан Адмиралтейству для поставки в строевую часть. Вероятно, на первых серийных самолетах стояли моторы Bentley B.R.1 (A.R.1) – 150 л.с.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Первые серийные самолеты поставлялись с синхронизаторами Kauper (они производились фирмой Sopwith, которая платила изобретателю роялти – 1 фунт с комплекта).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На фирме выпущено 500 серийных самолетов – их рег. № табл. Цена самолета фирмы «Сопвич» без мотора, вооружения и приборов была 874 фунта 10 шиллингов. Стоимости моторов – см. табл.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Стандартный вариант самолета комплектовался ротативным мотором «Клерже» 9В (130 л.с., этот мотор был самый дорогой из стандартныхю</w:t>
      </w:r>
    </w:p>
    <w:p w14:paraId="3049F1E9" w14:textId="1FE669DA" w:rsidR="000742C6" w:rsidRPr="002F2FDF" w:rsidRDefault="000742C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Всего</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были выданы и приняты в работу заказы на</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5838</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самолетов Сопвич «Кэмел», заказы еще на 99 самолетов были отменены. Из неотмененных заказов было сдано около</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5745</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самолетов всех модификаций, включая опытные. (23155).</w:t>
      </w:r>
    </w:p>
    <w:p w14:paraId="1FD24A25" w14:textId="77777777" w:rsidR="000742C6" w:rsidRPr="002F2FDF" w:rsidRDefault="000742C6" w:rsidP="0083075A">
      <w:pPr>
        <w:spacing w:after="0" w:line="240" w:lineRule="auto"/>
        <w:jc w:val="both"/>
        <w:rPr>
          <w:rFonts w:ascii="Times New Roman" w:hAnsi="Times New Roman" w:cs="Times New Roman"/>
          <w:color w:val="000000" w:themeColor="text1"/>
          <w:sz w:val="16"/>
          <w:szCs w:val="16"/>
        </w:rPr>
      </w:pPr>
    </w:p>
    <w:p w14:paraId="2D99C15B" w14:textId="3867481A" w:rsidR="00C76B33" w:rsidRPr="002F2FDF" w:rsidRDefault="00C76B33" w:rsidP="0083075A">
      <w:pPr>
        <w:pStyle w:val="ae"/>
        <w:spacing w:before="0" w:after="0"/>
        <w:jc w:val="both"/>
        <w:rPr>
          <w:color w:val="000000" w:themeColor="text1"/>
          <w:kern w:val="2"/>
          <w:sz w:val="16"/>
          <w:szCs w:val="16"/>
        </w:rPr>
      </w:pPr>
      <w:r w:rsidRPr="002F2FDF">
        <w:rPr>
          <w:color w:val="000000" w:themeColor="text1"/>
          <w:kern w:val="2"/>
          <w:sz w:val="16"/>
          <w:szCs w:val="16"/>
        </w:rPr>
        <w:t>25 апреля (8 мая) 1917 британские части провели последнюю атаку на болгарские позиции в рамках наступательной операции у озера Дойран (на юго-востоке современной Македонии). За две недели боев болгарской армии удалось отбить несколько штурмов и отстоять свои позиции, причем их потери (2000 человек) оказались в 6 раз меньше английских (12</w:t>
      </w:r>
      <w:r w:rsidR="00E52569">
        <w:rPr>
          <w:color w:val="000000" w:themeColor="text1"/>
          <w:kern w:val="2"/>
          <w:sz w:val="16"/>
          <w:szCs w:val="16"/>
        </w:rPr>
        <w:t xml:space="preserve"> </w:t>
      </w:r>
      <w:r w:rsidRPr="002F2FDF">
        <w:rPr>
          <w:color w:val="000000" w:themeColor="text1"/>
          <w:kern w:val="2"/>
          <w:sz w:val="16"/>
          <w:szCs w:val="16"/>
        </w:rPr>
        <w:t>000). Самые тяжелые потери британцы понесли как раз 8 мая, после чего были вынуждены перейти к позиционной войне.</w:t>
      </w:r>
    </w:p>
    <w:p w14:paraId="7E9B9553" w14:textId="77777777" w:rsidR="00C76B33" w:rsidRPr="002F2FDF" w:rsidRDefault="00C76B33" w:rsidP="0083075A">
      <w:pPr>
        <w:pStyle w:val="ae"/>
        <w:spacing w:before="0" w:after="0"/>
        <w:jc w:val="both"/>
        <w:rPr>
          <w:color w:val="000000" w:themeColor="text1"/>
          <w:kern w:val="2"/>
          <w:sz w:val="16"/>
          <w:szCs w:val="16"/>
        </w:rPr>
      </w:pPr>
      <w:r w:rsidRPr="002F2FDF">
        <w:rPr>
          <w:color w:val="000000" w:themeColor="text1"/>
          <w:kern w:val="2"/>
          <w:sz w:val="16"/>
          <w:szCs w:val="16"/>
        </w:rPr>
        <w:t>Безуспешными оказались атаки союзников и в районе реки Черна (она же Црна на юге нынешней Македонии). 8-9 мая им удалось ценой нескольких тысяч жизней лишь ненадолго захватить первую линию болгарских траншей, но вскоре и оттуда они были выбиты. Дольше других захваченные позиции удерживали солдаты Русского экспедиционного корпуса, однако и им, несмотря на мужество и тяжелые потери, пришлось отойти (17045).</w:t>
      </w:r>
    </w:p>
    <w:p w14:paraId="31BC861E" w14:textId="77777777" w:rsidR="00C76B33" w:rsidRPr="002F2FDF" w:rsidRDefault="00C76B3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71F535" w14:textId="77777777" w:rsidR="00C76B33" w:rsidRPr="002F2FDF" w:rsidRDefault="00C76B33" w:rsidP="0083075A">
      <w:pPr>
        <w:pStyle w:val="ae"/>
        <w:spacing w:before="0" w:after="0"/>
        <w:jc w:val="both"/>
        <w:rPr>
          <w:color w:val="000000" w:themeColor="text1"/>
          <w:kern w:val="2"/>
          <w:sz w:val="16"/>
          <w:szCs w:val="16"/>
        </w:rPr>
      </w:pPr>
      <w:r w:rsidRPr="002F2FDF">
        <w:rPr>
          <w:color w:val="000000" w:themeColor="text1"/>
          <w:kern w:val="2"/>
          <w:sz w:val="16"/>
          <w:szCs w:val="16"/>
        </w:rPr>
        <w:t>С 25 апреля по 1 мая (8 по 14 мая) 1917 немецкие подводные лодки смогли потопить уже только 65 судов (против 100-150 еженедельно ранее). В числе жертв «неограниченной подводной войны», объявленной Германией, оказался и русский пароход «Гермес», перевозивший уголь, который 11 мая был торпедирован в Баренцевом море (17045).</w:t>
      </w:r>
    </w:p>
    <w:p w14:paraId="36D8B098" w14:textId="77777777" w:rsidR="00C76B33" w:rsidRPr="002F2FDF" w:rsidRDefault="00C76B3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FB95D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BB0B5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3CFD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26 апреля (9 мая) 1917 завод Д.П.Г. - Гидроавиационная испытательная лаборатория и Опытный завод Д.П.Г. - получил наряд на создание 8 экспериментальных машин четырех типов: одномоторного истребителя под Клерже 135 нр (М-17 и М-17бис), разведчика под ИС 100 нр (М-18 и М-18 бис), истребителя под ИС 200 нр (М-19 и М-19бис), двухмоторного разведчика под ИС 200 нр (2807,88).</w:t>
      </w:r>
    </w:p>
    <w:p w14:paraId="6FDBD5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A89C8F" w14:textId="4CC733A8" w:rsidR="005505D2" w:rsidRPr="002F2FDF" w:rsidRDefault="005505D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26 апреля </w:t>
      </w:r>
      <w:r w:rsidR="00A56BA5">
        <w:rPr>
          <w:rFonts w:ascii="Times New Roman" w:hAnsi="Times New Roman" w:cs="Times New Roman"/>
          <w:color w:val="000000" w:themeColor="text1"/>
          <w:kern w:val="2"/>
          <w:sz w:val="16"/>
          <w:szCs w:val="16"/>
        </w:rPr>
        <w:t xml:space="preserve">(9 мая) </w:t>
      </w:r>
      <w:r w:rsidRPr="002F2FDF">
        <w:rPr>
          <w:rFonts w:ascii="Times New Roman" w:hAnsi="Times New Roman" w:cs="Times New Roman"/>
          <w:color w:val="000000" w:themeColor="text1"/>
          <w:kern w:val="2"/>
          <w:sz w:val="16"/>
          <w:szCs w:val="16"/>
        </w:rPr>
        <w:t>1917 г., как докладывал уполномоченный по строительству авиазаводов в Приазовском районе п-к Мезенцев,  на авиамоторное предприятие не поступила ни одна единица оборудования, хотя готовы стены и земляной пол первой и второй очередей корпусов, корпус первой очереди перекрыт, и завершения постройки можно ожидать к июлю месяцу. В мае заказанные во Франции станки были наконец переданы представителю фирмы в Париже. Однако встревоженный политической ситуацией на родине А. Анатра попытался задержать часть ценного оборудования во Франции до стабилизации положения в России. Под предлогом возможной потери станков при доставке морским путем ввиду возросшей активности германских подводных лодок, он предложил организовать в Париже «параллельную мастерскую». Изготовленные в ней детали поступали бы в Симферополь на окончательную сборку. Военные отнеслись к предложению со скептицизмом, заявив, что доставка деталей будет не менее рискованной, чем станков.</w:t>
      </w:r>
    </w:p>
    <w:p w14:paraId="628AFDFA" w14:textId="77777777" w:rsidR="005505D2" w:rsidRPr="002F2FDF" w:rsidRDefault="005505D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итоге представители А. Анатры стали попросту саботировать отправку оборудования. По состоянию на 13 февраля 1918 г. ни один станок на завод не прибыл. 19 единиц оборудования находились на станции в Симферополе, 54 — в Архангельске, а еще около 300 не покинули пределы Франции. Всю вторую половину 1917 и первые месяцы 1918 гг. между администрацией «Анатры» и УВВФ велась бесконечная переписка по поводу различных отсрочек с выполнением контрактов, последняя из них — на 6 месяцев — была предоставлена 10 апреля 1918 г. Но это уже не имело ровно никакого значения — авиамоторный завод в Симферополе скончался, так и не родившись (12252).</w:t>
      </w:r>
    </w:p>
    <w:p w14:paraId="093E4C78" w14:textId="77777777" w:rsidR="005505D2" w:rsidRPr="002F2FDF" w:rsidRDefault="005505D2" w:rsidP="0083075A">
      <w:pPr>
        <w:spacing w:after="0" w:line="240" w:lineRule="auto"/>
        <w:jc w:val="both"/>
        <w:rPr>
          <w:rFonts w:ascii="Times New Roman" w:hAnsi="Times New Roman" w:cs="Times New Roman"/>
          <w:color w:val="000000" w:themeColor="text1"/>
          <w:kern w:val="2"/>
          <w:sz w:val="16"/>
          <w:szCs w:val="16"/>
        </w:rPr>
      </w:pPr>
    </w:p>
    <w:p w14:paraId="3608599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9626A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F8E06C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апреля (9 мая) 1917 г. вышло Постановление совещания начальников петроградских артиллерийских заводов о новых формах управления предприятиями</w:t>
      </w:r>
    </w:p>
    <w:p w14:paraId="16A78A5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заседаниях 20 и 26 апреля 1917 г. был подвергнут рассмотрению вопрос о реформе управления артиллерийскими заводами. После всестороннего обсуждения дела совеща</w:t>
      </w:r>
      <w:r w:rsidRPr="002F2FDF">
        <w:rPr>
          <w:rFonts w:ascii="Times New Roman" w:hAnsi="Times New Roman" w:cs="Times New Roman"/>
          <w:color w:val="000000" w:themeColor="text1"/>
          <w:kern w:val="2"/>
          <w:sz w:val="16"/>
          <w:szCs w:val="16"/>
        </w:rPr>
        <w:softHyphen/>
        <w:t>ние пришло к следующим заключениям.</w:t>
      </w:r>
    </w:p>
    <w:p w14:paraId="3473EBD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Ранее чем приступить к подробной разработке проекта заводоуправления необходи</w:t>
      </w:r>
      <w:r w:rsidRPr="002F2FDF">
        <w:rPr>
          <w:rFonts w:ascii="Times New Roman" w:hAnsi="Times New Roman" w:cs="Times New Roman"/>
          <w:color w:val="000000" w:themeColor="text1"/>
          <w:kern w:val="2"/>
          <w:sz w:val="16"/>
          <w:szCs w:val="16"/>
        </w:rPr>
        <w:softHyphen/>
        <w:t>мо твердо и ясно установить те основные принципы, на коих заводоуправление должно быть построено.</w:t>
      </w:r>
    </w:p>
    <w:p w14:paraId="5E2BCA6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Исходной точкой должно служить соображение, что артиллерийский завод есть уч</w:t>
      </w:r>
      <w:r w:rsidRPr="002F2FDF">
        <w:rPr>
          <w:rFonts w:ascii="Times New Roman" w:hAnsi="Times New Roman" w:cs="Times New Roman"/>
          <w:color w:val="000000" w:themeColor="text1"/>
          <w:kern w:val="2"/>
          <w:sz w:val="16"/>
          <w:szCs w:val="16"/>
        </w:rPr>
        <w:softHyphen/>
        <w:t>реждение государственное. Отсюда неизбежно вытекает, что управлять им должна власть, перед государством ответственная и им поставленная.</w:t>
      </w:r>
    </w:p>
    <w:p w14:paraId="5100EB2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Закон предоставил рабочим артиллерийских заводов широкое право организоваться и передал в ведение выборных от рабочих органов ряд вопросов, касающихся быта и личных интересов рабочих (приказ по в. в. от 15 марта 1917 г. № 145-1917)</w:t>
      </w:r>
      <w:r w:rsidRPr="002F2FDF">
        <w:rPr>
          <w:rFonts w:ascii="Times New Roman" w:hAnsi="Times New Roman" w:cs="Times New Roman"/>
          <w:color w:val="000000" w:themeColor="text1"/>
          <w:kern w:val="2"/>
          <w:sz w:val="16"/>
          <w:szCs w:val="16"/>
          <w:vertAlign w:val="superscript"/>
        </w:rPr>
        <w:t>248</w:t>
      </w:r>
      <w:r w:rsidRPr="002F2FDF">
        <w:rPr>
          <w:rFonts w:ascii="Times New Roman" w:hAnsi="Times New Roman" w:cs="Times New Roman"/>
          <w:color w:val="000000" w:themeColor="text1"/>
          <w:kern w:val="2"/>
          <w:sz w:val="16"/>
          <w:szCs w:val="16"/>
        </w:rPr>
        <w:t>.</w:t>
      </w:r>
    </w:p>
    <w:p w14:paraId="2B4AC65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Независимо от этого, совещание признает необходимым привлечь организованных рабочих к известному участию в технической и хозяйственной деятельности завода. Уча</w:t>
      </w:r>
      <w:r w:rsidRPr="002F2FDF">
        <w:rPr>
          <w:rFonts w:ascii="Times New Roman" w:hAnsi="Times New Roman" w:cs="Times New Roman"/>
          <w:color w:val="000000" w:themeColor="text1"/>
          <w:kern w:val="2"/>
          <w:sz w:val="16"/>
          <w:szCs w:val="16"/>
        </w:rPr>
        <w:softHyphen/>
        <w:t>стие это должно быть осуществлено в форме организованного и лояльного контроля над работой завода в указанных отраслях. Контроль этот отнюдь не должен носить характера вмешательства в распоряжения администрации и должен проявляться в условленных формах.</w:t>
      </w:r>
    </w:p>
    <w:p w14:paraId="6EA7926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Исходя из указанных положений, совещание наметило в кратких чертах следующую схему заводоуправления.</w:t>
      </w:r>
    </w:p>
    <w:p w14:paraId="2DA960D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главе завода должно стоять одно лицо — начальник завода. Управление заводом через какой-либо коллегиальный орган недопустимо. Такой орган безличен, не обладает единой волей и достаточной подвижностью в работе, а также не является в необходимой мере ответственным.</w:t>
      </w:r>
    </w:p>
    <w:p w14:paraId="55F54B6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Технической частью завода руководит помощник начальника завода. Для решения крупных и ответственных вопросов по технической части при помощнике учреждается техническое совещание. Членами совещания являются техники, заведующие отдельны</w:t>
      </w:r>
      <w:r w:rsidRPr="002F2FDF">
        <w:rPr>
          <w:rFonts w:ascii="Times New Roman" w:hAnsi="Times New Roman" w:cs="Times New Roman"/>
          <w:color w:val="000000" w:themeColor="text1"/>
          <w:kern w:val="2"/>
          <w:sz w:val="16"/>
          <w:szCs w:val="16"/>
        </w:rPr>
        <w:softHyphen/>
        <w:t>ми производствами (мастерскими), механик, химик, архитектор, один представитель от мастеров и два — от рабочих завода. Совещание собирается по мере надобности и в том составе лиц технической администрации, как это требуется по свойству разбираемого вопроса. Представители мастеров и рабочих имеют право участвовать во всех заседаниях совещания. В случае надобности в совещание могут быть приглашаемы распоряжением помощника начальника завода и другие чины завода, равно и представители рабочих от различных цехов.</w:t>
      </w:r>
    </w:p>
    <w:p w14:paraId="3E5AC82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Круг деятельности помощника начальника завода будет точно определен при деталь</w:t>
      </w:r>
      <w:r w:rsidRPr="002F2FDF">
        <w:rPr>
          <w:rFonts w:ascii="Times New Roman" w:hAnsi="Times New Roman" w:cs="Times New Roman"/>
          <w:color w:val="000000" w:themeColor="text1"/>
          <w:kern w:val="2"/>
          <w:sz w:val="16"/>
          <w:szCs w:val="16"/>
        </w:rPr>
        <w:softHyphen/>
        <w:t>ной разработке проекта заводоуправления. Пока совещание намечает помощнику началь</w:t>
      </w:r>
      <w:r w:rsidRPr="002F2FDF">
        <w:rPr>
          <w:rFonts w:ascii="Times New Roman" w:hAnsi="Times New Roman" w:cs="Times New Roman"/>
          <w:color w:val="000000" w:themeColor="text1"/>
          <w:kern w:val="2"/>
          <w:sz w:val="16"/>
          <w:szCs w:val="16"/>
        </w:rPr>
        <w:softHyphen/>
        <w:t>ника завода обязанности в том виде, как они изложены в кн. XIII Св. В. П., п. 20. Перечень вопросов, подлежащих обсуждению в техническом совещании, впоследствии также будет разработан подробно. Сюда следует отнести: установку новых производств и оборудова</w:t>
      </w:r>
      <w:r w:rsidRPr="002F2FDF">
        <w:rPr>
          <w:rFonts w:ascii="Times New Roman" w:hAnsi="Times New Roman" w:cs="Times New Roman"/>
          <w:color w:val="000000" w:themeColor="text1"/>
          <w:kern w:val="2"/>
          <w:sz w:val="16"/>
          <w:szCs w:val="16"/>
        </w:rPr>
        <w:softHyphen/>
        <w:t>нии, крупные изменения в существующих установках и производствах, установление вы</w:t>
      </w:r>
      <w:r w:rsidRPr="002F2FDF">
        <w:rPr>
          <w:rFonts w:ascii="Times New Roman" w:hAnsi="Times New Roman" w:cs="Times New Roman"/>
          <w:color w:val="000000" w:themeColor="text1"/>
          <w:kern w:val="2"/>
          <w:sz w:val="16"/>
          <w:szCs w:val="16"/>
        </w:rPr>
        <w:softHyphen/>
        <w:t>хода изделий, технические изобретения и усовершенствования по заводу и т. д.</w:t>
      </w:r>
    </w:p>
    <w:p w14:paraId="3BBE0F5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Постановления технического совещания не являются обязательными для начальника завода и имеют лишь характер компетентных суждений по вопросом заводской техники.</w:t>
      </w:r>
    </w:p>
    <w:p w14:paraId="055F176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Хозяйственную часть завода ведет хозяйственный комитет. Он состоит из председа</w:t>
      </w:r>
      <w:r w:rsidRPr="002F2FDF">
        <w:rPr>
          <w:rFonts w:ascii="Times New Roman" w:hAnsi="Times New Roman" w:cs="Times New Roman"/>
          <w:color w:val="000000" w:themeColor="text1"/>
          <w:kern w:val="2"/>
          <w:sz w:val="16"/>
          <w:szCs w:val="16"/>
        </w:rPr>
        <w:softHyphen/>
        <w:t>теля и членов. В число последних входят два представителя от рабочих с правом совеща</w:t>
      </w:r>
      <w:r w:rsidRPr="002F2FDF">
        <w:rPr>
          <w:rFonts w:ascii="Times New Roman" w:hAnsi="Times New Roman" w:cs="Times New Roman"/>
          <w:color w:val="000000" w:themeColor="text1"/>
          <w:kern w:val="2"/>
          <w:sz w:val="16"/>
          <w:szCs w:val="16"/>
        </w:rPr>
        <w:softHyphen/>
        <w:t>тельного голоса. Круг деятельности хозяйственного комитета в общих чертах определя</w:t>
      </w:r>
      <w:r w:rsidRPr="002F2FDF">
        <w:rPr>
          <w:rFonts w:ascii="Times New Roman" w:hAnsi="Times New Roman" w:cs="Times New Roman"/>
          <w:color w:val="000000" w:themeColor="text1"/>
          <w:kern w:val="2"/>
          <w:sz w:val="16"/>
          <w:szCs w:val="16"/>
        </w:rPr>
        <w:softHyphen/>
        <w:t>ется примерно так, как очерчен в п. 51 кн. XIII Св. В. П.</w:t>
      </w:r>
    </w:p>
    <w:p w14:paraId="2C12B1D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Представители рабочих и мастеров, входящие в состав технического совещания и хозяйственного комитета, по всем вопросам, их интересующим, имеют право информа</w:t>
      </w:r>
      <w:r w:rsidRPr="002F2FDF">
        <w:rPr>
          <w:rFonts w:ascii="Times New Roman" w:hAnsi="Times New Roman" w:cs="Times New Roman"/>
          <w:color w:val="000000" w:themeColor="text1"/>
          <w:kern w:val="2"/>
          <w:sz w:val="16"/>
          <w:szCs w:val="16"/>
        </w:rPr>
        <w:softHyphen/>
        <w:t>ции через начальника завода и других чинов. Однако секретная переписка по заводу, относящаяся до вопросов обороны государства, может быть даваема для прочтения как чинам, так и представителям рабочих лишь в тех случаях, когда это будет признано нуж</w:t>
      </w:r>
      <w:r w:rsidRPr="002F2FDF">
        <w:rPr>
          <w:rFonts w:ascii="Times New Roman" w:hAnsi="Times New Roman" w:cs="Times New Roman"/>
          <w:color w:val="000000" w:themeColor="text1"/>
          <w:kern w:val="2"/>
          <w:sz w:val="16"/>
          <w:szCs w:val="16"/>
        </w:rPr>
        <w:softHyphen/>
        <w:t>ным начальником завода. Эта переписка содержит важные и секретные сведения, кото</w:t>
      </w:r>
      <w:r w:rsidRPr="002F2FDF">
        <w:rPr>
          <w:rFonts w:ascii="Times New Roman" w:hAnsi="Times New Roman" w:cs="Times New Roman"/>
          <w:color w:val="000000" w:themeColor="text1"/>
          <w:kern w:val="2"/>
          <w:sz w:val="16"/>
          <w:szCs w:val="16"/>
        </w:rPr>
        <w:softHyphen/>
        <w:t>рые по оплошности кого-либо из осведомленных лиц могут попасть в руки врага.</w:t>
      </w:r>
    </w:p>
    <w:p w14:paraId="643DB85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Отдельными производствами заведуют техники соответствующей специальности, лабораторией — химик и механической частью — механик. Если по характеру и объему работ потребуется, то этим лицам назначаются помощники. Все перечисленные лица несут обязанности применительно к пп. 31 и 36 кн. XIII Св. В. П. В отношении прочих чинов хозяйственной части и канцелярии завода существующее положение, с некоторы</w:t>
      </w:r>
      <w:r w:rsidRPr="002F2FDF">
        <w:rPr>
          <w:rFonts w:ascii="Times New Roman" w:hAnsi="Times New Roman" w:cs="Times New Roman"/>
          <w:color w:val="000000" w:themeColor="text1"/>
          <w:kern w:val="2"/>
          <w:sz w:val="16"/>
          <w:szCs w:val="16"/>
        </w:rPr>
        <w:softHyphen/>
        <w:t>ми несущественными изменениями, может быть сохранено.</w:t>
      </w:r>
    </w:p>
    <w:p w14:paraId="2ED5814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Порядок определения лиц на штатные должности завода будет разработан комисси</w:t>
      </w:r>
      <w:r w:rsidRPr="002F2FDF">
        <w:rPr>
          <w:rFonts w:ascii="Times New Roman" w:hAnsi="Times New Roman" w:cs="Times New Roman"/>
          <w:color w:val="000000" w:themeColor="text1"/>
          <w:kern w:val="2"/>
          <w:sz w:val="16"/>
          <w:szCs w:val="16"/>
        </w:rPr>
        <w:softHyphen/>
        <w:t>ей военных реформ. Совещание считает совершенно необходимым высказать, что заме</w:t>
      </w:r>
      <w:r w:rsidRPr="002F2FDF">
        <w:rPr>
          <w:rFonts w:ascii="Times New Roman" w:hAnsi="Times New Roman" w:cs="Times New Roman"/>
          <w:color w:val="000000" w:themeColor="text1"/>
          <w:kern w:val="2"/>
          <w:sz w:val="16"/>
          <w:szCs w:val="16"/>
        </w:rPr>
        <w:softHyphen/>
        <w:t>щение этих должностей должно производиться путем назначения, но не выборов от той или иной заводской коллегии.</w:t>
      </w:r>
    </w:p>
    <w:p w14:paraId="4FCE3A7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Рабочие не должны привлекаться к обсуждению вопроса о приеме в завод лиц заводс</w:t>
      </w:r>
      <w:r w:rsidRPr="002F2FDF">
        <w:rPr>
          <w:rFonts w:ascii="Times New Roman" w:hAnsi="Times New Roman" w:cs="Times New Roman"/>
          <w:color w:val="000000" w:themeColor="text1"/>
          <w:kern w:val="2"/>
          <w:sz w:val="16"/>
          <w:szCs w:val="16"/>
        </w:rPr>
        <w:softHyphen/>
        <w:t>кой администрации. Служебные и технические познания и опытность этих лиц могут оцениваться только людьми, которые сами прошли соответствующий служебный стаж и обладают необходимым научным цензом. При иных условиях правильная оценка служеб</w:t>
      </w:r>
      <w:r w:rsidRPr="002F2FDF">
        <w:rPr>
          <w:rFonts w:ascii="Times New Roman" w:hAnsi="Times New Roman" w:cs="Times New Roman"/>
          <w:color w:val="000000" w:themeColor="text1"/>
          <w:kern w:val="2"/>
          <w:sz w:val="16"/>
          <w:szCs w:val="16"/>
        </w:rPr>
        <w:softHyphen/>
        <w:t>ной пригодности названных лиц невозможна. Если принятое в состав заводской админи</w:t>
      </w:r>
      <w:r w:rsidRPr="002F2FDF">
        <w:rPr>
          <w:rFonts w:ascii="Times New Roman" w:hAnsi="Times New Roman" w:cs="Times New Roman"/>
          <w:color w:val="000000" w:themeColor="text1"/>
          <w:kern w:val="2"/>
          <w:sz w:val="16"/>
          <w:szCs w:val="16"/>
        </w:rPr>
        <w:softHyphen/>
        <w:t>страции лицо не обнаружит на службе должного такта и умения установить добрые отно</w:t>
      </w:r>
      <w:r w:rsidRPr="002F2FDF">
        <w:rPr>
          <w:rFonts w:ascii="Times New Roman" w:hAnsi="Times New Roman" w:cs="Times New Roman"/>
          <w:color w:val="000000" w:themeColor="text1"/>
          <w:kern w:val="2"/>
          <w:sz w:val="16"/>
          <w:szCs w:val="16"/>
        </w:rPr>
        <w:softHyphen/>
        <w:t>шения с рабочими, то здесь на страже интересов рабочих стоит примирительная камера.</w:t>
      </w:r>
    </w:p>
    <w:p w14:paraId="35A4E83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Выбор и прием в завод мастеров производится администрацией завода. Заводской совет может опротестовать прием мастера лишь с точки зрения его отрицательных нрав</w:t>
      </w:r>
      <w:r w:rsidRPr="002F2FDF">
        <w:rPr>
          <w:rFonts w:ascii="Times New Roman" w:hAnsi="Times New Roman" w:cs="Times New Roman"/>
          <w:color w:val="000000" w:themeColor="text1"/>
          <w:kern w:val="2"/>
          <w:sz w:val="16"/>
          <w:szCs w:val="16"/>
        </w:rPr>
        <w:softHyphen/>
        <w:t>ственных качеств. В случае несогласия администрации с решением совета вопрос пере</w:t>
      </w:r>
      <w:r w:rsidRPr="002F2FDF">
        <w:rPr>
          <w:rFonts w:ascii="Times New Roman" w:hAnsi="Times New Roman" w:cs="Times New Roman"/>
          <w:color w:val="000000" w:themeColor="text1"/>
          <w:kern w:val="2"/>
          <w:sz w:val="16"/>
          <w:szCs w:val="16"/>
        </w:rPr>
        <w:softHyphen/>
        <w:t>ходит в примирительную камеру. Оценка же мастера в отношении его познаний и слу</w:t>
      </w:r>
      <w:r w:rsidRPr="002F2FDF">
        <w:rPr>
          <w:rFonts w:ascii="Times New Roman" w:hAnsi="Times New Roman" w:cs="Times New Roman"/>
          <w:color w:val="000000" w:themeColor="text1"/>
          <w:kern w:val="2"/>
          <w:sz w:val="16"/>
          <w:szCs w:val="16"/>
        </w:rPr>
        <w:softHyphen/>
        <w:t>жебной пригодности остается всецело за администрацией, как ответственной за успех работ завода.</w:t>
      </w:r>
    </w:p>
    <w:p w14:paraId="126DD77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Прием рабочих производится администрацией по соглашению с заводским советом. Заводской совет принимает участие в оценке нанимаемых рабочих как в нравственном отношении, так и в отношении их мастерства. В случае несогласия администрации с советом в нравственной оценке рабочего вопрос решается в примирительной камере. При несогласии в оценке мастерства - решающий голос принадлежит администрации. На тех же основаниях производится и расчет рабочих из завода.</w:t>
      </w:r>
    </w:p>
    <w:p w14:paraId="1AF05E6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Наложение взысканий на рабочих за проступки лежит на заводском совете.</w:t>
      </w:r>
    </w:p>
    <w:p w14:paraId="1263662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Намеченные основы заводоуправления отвечают тем принципам, которые были выс</w:t>
      </w:r>
      <w:r w:rsidRPr="002F2FDF">
        <w:rPr>
          <w:rFonts w:ascii="Times New Roman" w:hAnsi="Times New Roman" w:cs="Times New Roman"/>
          <w:color w:val="000000" w:themeColor="text1"/>
          <w:kern w:val="2"/>
          <w:sz w:val="16"/>
          <w:szCs w:val="16"/>
        </w:rPr>
        <w:softHyphen/>
        <w:t>тавлены конференцией рабочих петроградских артиллерийских заводов в заседании ко</w:t>
      </w:r>
      <w:r w:rsidRPr="002F2FDF">
        <w:rPr>
          <w:rFonts w:ascii="Times New Roman" w:hAnsi="Times New Roman" w:cs="Times New Roman"/>
          <w:color w:val="000000" w:themeColor="text1"/>
          <w:kern w:val="2"/>
          <w:sz w:val="16"/>
          <w:szCs w:val="16"/>
        </w:rPr>
        <w:softHyphen/>
        <w:t>миссии профессора Зернова ...марта с. г.</w:t>
      </w:r>
    </w:p>
    <w:p w14:paraId="0A527E8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Совещание признает, что существующая ныне система заводского хозяйства должна быть признана вполне устарелой и весьма убыточной для казны.</w:t>
      </w:r>
    </w:p>
    <w:p w14:paraId="19CC8F6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Заводское хозяйство должно быть перестроено на началах широкой автономии, с од</w:t>
      </w:r>
      <w:r w:rsidRPr="002F2FDF">
        <w:rPr>
          <w:rFonts w:ascii="Times New Roman" w:hAnsi="Times New Roman" w:cs="Times New Roman"/>
          <w:color w:val="000000" w:themeColor="text1"/>
          <w:kern w:val="2"/>
          <w:sz w:val="16"/>
          <w:szCs w:val="16"/>
        </w:rPr>
        <w:softHyphen/>
        <w:t>ной стороны, и ответственности за экономичность работы завода — с другой.</w:t>
      </w:r>
    </w:p>
    <w:p w14:paraId="57A7440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Генерал-майор Михайлов. Подлинный подписан начальниками всех петроградских артиллерийских заводов.</w:t>
      </w:r>
    </w:p>
    <w:p w14:paraId="46E8BA6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РГВИА. Ф. 366. Оп. 2. Д. 50. Л. 100-104. Завер. Копия (10707,667).</w:t>
      </w:r>
    </w:p>
    <w:p w14:paraId="694495D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5EF4FC" w14:textId="37094B37" w:rsidR="00EB3E32" w:rsidRDefault="00EB3E32"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46AFD07A" w14:textId="77777777" w:rsidR="00EB3E32" w:rsidRDefault="00EB3E32"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61DDC1BE" w14:textId="1A839938" w:rsidR="00EB3E32" w:rsidRPr="00FB4F67" w:rsidRDefault="00EB3E3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26 апреля (</w:t>
      </w:r>
      <w:r w:rsidRPr="00FB4F67">
        <w:rPr>
          <w:rFonts w:ascii="Times New Roman" w:hAnsi="Times New Roman" w:cs="Times New Roman"/>
          <w:color w:val="0070C0"/>
          <w:sz w:val="16"/>
          <w:szCs w:val="16"/>
        </w:rPr>
        <w:t>9 мая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Париже французский министр получил донесение от заместителя министра авиации, в котором сообщалось, что французские школы только что приняли 130 русских солдат и офицеров для обучения в школе «Аворс». Еще семьдесят прибыли в Шартр позже в том же месяце (23525).</w:t>
      </w:r>
    </w:p>
    <w:p w14:paraId="135E85AB" w14:textId="77777777" w:rsidR="00EB3E32" w:rsidRPr="00FB4F67" w:rsidRDefault="00EB3E32" w:rsidP="0083075A">
      <w:pPr>
        <w:spacing w:after="0" w:line="240" w:lineRule="auto"/>
        <w:jc w:val="both"/>
        <w:rPr>
          <w:rFonts w:ascii="Times New Roman" w:hAnsi="Times New Roman" w:cs="Times New Roman"/>
          <w:color w:val="0070C0"/>
          <w:sz w:val="16"/>
          <w:szCs w:val="16"/>
        </w:rPr>
      </w:pPr>
    </w:p>
    <w:p w14:paraId="0734C2A1" w14:textId="77E927FB"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E1B61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762CC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апреля (9 мая) 1917 Временное правительство России объявило о полной ликвидации цензуры за печатью (4962).</w:t>
      </w:r>
    </w:p>
    <w:p w14:paraId="0FA0AA6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B52E25" w14:textId="77777777" w:rsidR="008D16F6" w:rsidRPr="002F2FDF" w:rsidRDefault="008D16F6"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26 апреля (9 мая) 1917 Временное правительство России объявило о полной ликвидации цензуры печати, хотя на самом деле это была лишь констатация факта, </w:t>
      </w:r>
      <w:r w:rsidRPr="002F2FDF">
        <w:rPr>
          <w:color w:val="000000" w:themeColor="text1"/>
          <w:kern w:val="2"/>
          <w:sz w:val="16"/>
          <w:szCs w:val="16"/>
        </w:rPr>
        <w:lastRenderedPageBreak/>
        <w:t>свершившегося уже в первые дни революции (17045).</w:t>
      </w:r>
    </w:p>
    <w:p w14:paraId="3EB8124A" w14:textId="77777777" w:rsidR="008D16F6" w:rsidRPr="002F2FDF" w:rsidRDefault="008D16F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A27A59" w14:textId="77777777" w:rsidR="003F2A09"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123C7D87" w14:textId="77777777" w:rsidR="003F2A09" w:rsidRPr="002F2FDF" w:rsidRDefault="003F2A0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A86BAD" w14:textId="77777777" w:rsidR="003F2A09" w:rsidRPr="002F2FDF" w:rsidRDefault="003F2A09"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26 апреля </w:t>
      </w:r>
      <w:r w:rsidR="00C76B33" w:rsidRPr="002F2FDF">
        <w:rPr>
          <w:rStyle w:val="af0"/>
          <w:rFonts w:ascii="Times New Roman" w:hAnsi="Times New Roman" w:cs="Times New Roman"/>
          <w:i w:val="0"/>
          <w:color w:val="000000" w:themeColor="text1"/>
          <w:kern w:val="2"/>
          <w:sz w:val="16"/>
          <w:szCs w:val="16"/>
        </w:rPr>
        <w:t xml:space="preserve">(9 мая) </w:t>
      </w:r>
      <w:r w:rsidRPr="002F2FDF">
        <w:rPr>
          <w:rStyle w:val="af0"/>
          <w:rFonts w:ascii="Times New Roman" w:hAnsi="Times New Roman" w:cs="Times New Roman"/>
          <w:i w:val="0"/>
          <w:color w:val="000000" w:themeColor="text1"/>
          <w:kern w:val="2"/>
          <w:sz w:val="16"/>
          <w:szCs w:val="16"/>
        </w:rPr>
        <w:t xml:space="preserve">1917 г. </w:t>
      </w:r>
      <w:r w:rsidRPr="002F2FDF">
        <w:rPr>
          <w:rFonts w:ascii="Times New Roman" w:hAnsi="Times New Roman" w:cs="Times New Roman"/>
          <w:color w:val="000000" w:themeColor="text1"/>
          <w:kern w:val="2"/>
          <w:sz w:val="16"/>
          <w:szCs w:val="16"/>
        </w:rPr>
        <w:t>Телеграмма ген. Э. К. Гермониуса ген. А. А. Михельсону о заявленном им протесте английскому правительству по поводу срыва поставок в Россию станков.</w:t>
      </w:r>
    </w:p>
    <w:p w14:paraId="19379834" w14:textId="2B2BCB32" w:rsidR="003F2A09" w:rsidRPr="002F2FDF" w:rsidRDefault="003F2A0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484-485</w:t>
      </w:r>
    </w:p>
    <w:p w14:paraId="04D6B9E4" w14:textId="2543D8BA" w:rsidR="003F2A09" w:rsidRPr="002F2FDF" w:rsidRDefault="003F2A0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ЦГИАЛ, ф. 1525, оп. 1, д. 607, л. 249. Заверенная копия.</w:t>
      </w:r>
    </w:p>
    <w:p w14:paraId="3CA61FBE" w14:textId="77777777" w:rsidR="003F2A09" w:rsidRPr="002F2FDF" w:rsidRDefault="003F2A09" w:rsidP="0083075A">
      <w:pPr>
        <w:pStyle w:val="rtejustify"/>
        <w:spacing w:before="0" w:after="0"/>
        <w:rPr>
          <w:color w:val="000000" w:themeColor="text1"/>
          <w:kern w:val="2"/>
          <w:sz w:val="16"/>
          <w:szCs w:val="16"/>
        </w:rPr>
      </w:pPr>
      <w:r w:rsidRPr="002F2FDF">
        <w:rPr>
          <w:color w:val="000000" w:themeColor="text1"/>
          <w:kern w:val="2"/>
          <w:sz w:val="16"/>
          <w:szCs w:val="16"/>
        </w:rPr>
        <w:t>Ген. Михельсону. 68987. Заявляю формально протест, основываясь на том, что русские заводы, работающие на оборону, еще более нуждаются в станках, нежели другие союзники, и поэтому нельзя отнимать станки, установка которых в ближайший срок уже учитывалась русским правительством. Положение со станками затруднено тем, что в постановлениях Петроградской конференции ничего о станках не сказано, между тем для заказов уже помещенных надо тоннажа до 28 тыс. т, да около 20 тыс. г необходимо для заказов, уже полученных из Петрограда, но еще не принятых АНГІРА. В январском третьем выпуске материалов к программ, снабжений указано лишь тысяча тонн на станки для ГАУ, для других ж. управлений ничего не указано, между тем для одного лишь ГАУ уже помещено заказов свыше 12 тыс. т. Кроме того, АНПРА указывает, что станки, изготовленные в Англии срочным порядком Путиловскому заводу для изготовления 6 и 8 дм. орудий, остались Россией неиспользованными. В заключение сообщаю о необходимости легализировать мое положение при сформировании нового комитета в России, так как иначе</w:t>
      </w:r>
    </w:p>
    <w:p w14:paraId="4C1C938A" w14:textId="77777777" w:rsidR="003F2A09" w:rsidRPr="002F2FDF" w:rsidRDefault="003F2A09" w:rsidP="0083075A">
      <w:pPr>
        <w:pStyle w:val="rtejustify"/>
        <w:spacing w:before="0" w:after="0"/>
        <w:rPr>
          <w:color w:val="000000" w:themeColor="text1"/>
          <w:kern w:val="2"/>
          <w:sz w:val="16"/>
          <w:szCs w:val="16"/>
        </w:rPr>
      </w:pPr>
      <w:r w:rsidRPr="002F2FDF">
        <w:rPr>
          <w:color w:val="000000" w:themeColor="text1"/>
          <w:kern w:val="2"/>
          <w:sz w:val="16"/>
          <w:szCs w:val="16"/>
        </w:rPr>
        <w:t>АНПРА, ссылаясь на возможность непосредственных сношений АНПРА с британскими членами комиссии заграничного снабжения, будет игнорировать мои сообщения. 10141.</w:t>
      </w:r>
    </w:p>
    <w:p w14:paraId="7F54F4F6" w14:textId="77777777" w:rsidR="003F2A09" w:rsidRPr="002F2FDF" w:rsidRDefault="003F2A09"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Гермониус (15164).</w:t>
      </w:r>
    </w:p>
    <w:p w14:paraId="79468DC8" w14:textId="77777777" w:rsidR="003F2A09" w:rsidRPr="002F2FDF" w:rsidRDefault="003F2A09"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22BA1AC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8A23E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449827" w14:textId="77777777" w:rsidR="00C76B33" w:rsidRPr="002F2FDF" w:rsidRDefault="00C76B33" w:rsidP="0083075A">
      <w:pPr>
        <w:pStyle w:val="ae"/>
        <w:spacing w:before="0" w:after="0"/>
        <w:jc w:val="both"/>
        <w:rPr>
          <w:color w:val="000000" w:themeColor="text1"/>
          <w:kern w:val="2"/>
          <w:sz w:val="16"/>
          <w:szCs w:val="16"/>
        </w:rPr>
      </w:pPr>
      <w:r w:rsidRPr="002F2FDF">
        <w:rPr>
          <w:color w:val="000000" w:themeColor="text1"/>
          <w:kern w:val="2"/>
          <w:sz w:val="16"/>
          <w:szCs w:val="16"/>
        </w:rPr>
        <w:t>26 апреля (9 мая) 1917 по настоянию французского правительства военное командование остановило наступательную операцию в районе города Суассон, в департаменте Эна, вошедшую в историю как «Наступление Нивеля», а также «Мясорубка Нивеля». Ее план был разработан французским главнокомандующим Робером Нивелем, который пообещал решительно прорвать германскую оборону, но в итоге все закончилось полным провалом и гигантскими потерями.</w:t>
      </w:r>
    </w:p>
    <w:p w14:paraId="598E0056" w14:textId="77777777" w:rsidR="00C76B33" w:rsidRPr="002F2FDF" w:rsidRDefault="00C76B33" w:rsidP="0083075A">
      <w:pPr>
        <w:pStyle w:val="ae"/>
        <w:spacing w:before="0" w:after="0"/>
        <w:jc w:val="both"/>
        <w:rPr>
          <w:color w:val="000000" w:themeColor="text1"/>
          <w:kern w:val="2"/>
          <w:sz w:val="16"/>
          <w:szCs w:val="16"/>
        </w:rPr>
      </w:pPr>
      <w:r w:rsidRPr="002F2FDF">
        <w:rPr>
          <w:color w:val="000000" w:themeColor="text1"/>
          <w:kern w:val="2"/>
          <w:sz w:val="16"/>
          <w:szCs w:val="16"/>
        </w:rPr>
        <w:t>Активные бои продолжались до середины мая только на западном участке фронта, под Белькуром (в 10 км юго-западнее Арраса на севере Франции), где действовали британские части. Они должны были наступать одновременно с французской армией, но также не смогли добиться успеха.</w:t>
      </w:r>
    </w:p>
    <w:p w14:paraId="37AFB9DC" w14:textId="77777777" w:rsidR="00C76B33" w:rsidRPr="002F2FDF" w:rsidRDefault="00C76B33" w:rsidP="0083075A">
      <w:pPr>
        <w:pStyle w:val="ae"/>
        <w:spacing w:before="0" w:after="0"/>
        <w:jc w:val="both"/>
        <w:rPr>
          <w:color w:val="000000" w:themeColor="text1"/>
          <w:kern w:val="2"/>
          <w:sz w:val="16"/>
          <w:szCs w:val="16"/>
        </w:rPr>
      </w:pPr>
      <w:r w:rsidRPr="002F2FDF">
        <w:rPr>
          <w:color w:val="000000" w:themeColor="text1"/>
          <w:kern w:val="2"/>
          <w:sz w:val="16"/>
          <w:szCs w:val="16"/>
        </w:rPr>
        <w:t>За почти месяц ожесточенных боев под Аррасом и Суассоном французы потеряли убитыми и ранеными 180 000 человек, британцы — 160 000 человек. В числе погибших были и 5183 солдат и офицеров Русского экспедиционного корпуса (более четверти личного состава), отправленного на Западный фронт в помощь союзникам в 1916 году. Потери германской армии составили 163 000 человек, в том числе 29 000 пленными.</w:t>
      </w:r>
    </w:p>
    <w:p w14:paraId="6B7A05DC" w14:textId="77777777" w:rsidR="00C76B33" w:rsidRPr="002F2FDF" w:rsidRDefault="00C76B33" w:rsidP="0083075A">
      <w:pPr>
        <w:pStyle w:val="ae"/>
        <w:spacing w:before="0" w:after="0"/>
        <w:jc w:val="both"/>
        <w:rPr>
          <w:color w:val="000000" w:themeColor="text1"/>
          <w:kern w:val="2"/>
          <w:sz w:val="16"/>
          <w:szCs w:val="16"/>
        </w:rPr>
      </w:pPr>
      <w:r w:rsidRPr="002F2FDF">
        <w:rPr>
          <w:color w:val="000000" w:themeColor="text1"/>
          <w:kern w:val="2"/>
          <w:sz w:val="16"/>
          <w:szCs w:val="16"/>
        </w:rPr>
        <w:t>Под впечатлением от бессмысленных кровавых атак и событий в России во французской армии начали нарастать протестные настроения. Солдаты отказывались повиноваться офицерам, покидали окопы, захватывали грузовики и поезда, чтобы уехать домой или в Париж. Позже, уже в 1932 году, когда был снят запрет на «упаднические выступления», газета «L’Humanite» опубликовала воспоминания одного из очевидцев солдатского бунта во время «Наступления Нивеля»: «Атаки 9 мая 1917 года превратились в ужаснейшую бойню. В 59-м полку солдаты стреляли в своих офицеров. Полк, от которого уцелели только жалкие остатки, теперь на отдыхе в подвалах Арраса. Восстание ширится. Солдаты заявляют офицерам: «Мы не пойдем в атаку. Долой войну!» 59-й и 88-й полки заняли окопы в Рокленкуре. После непродолжительной артиллерийской подготовки, которая не уничтожила проволочных заграждений, отдается приказ идти в атаку. Никто не двигается. В окопах передают из уст в уста лозунг: «59-й полк не пойдет в атаку! 88-й полк не пойдет в атаку!» Лейтенант моей роты угрожает револьвером молодым рекрутам призыва 1917 года. Тогда один старый солдат приставляет свой штык к груди офицера. Несколько напуганных рекрутов вышли из окопов. Почти все они были убиты наповал. Штурм не состоялся. Через некоторое время 88-й полк был расформирован» (17045).</w:t>
      </w:r>
    </w:p>
    <w:p w14:paraId="433FBA10" w14:textId="77777777" w:rsidR="00C76B33" w:rsidRPr="002F2FDF" w:rsidRDefault="00C76B3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D1DC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апреля (9 мая) 1917 была основана фирма Боинг (1137,365).</w:t>
      </w:r>
    </w:p>
    <w:p w14:paraId="5402B2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8F046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7A8A8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60A1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апреля (10 мая) 1917 Ф.Мельцеру было заказано 60 лл - морской истребитель Е.Р.Энгельса. Работой руководил А.Ю.Виллиш, так как Е.Р.Энгельс разбился на этой машине 5 декабря 1916 (92,233). Весь заказ был на 200 машин, но в случае неудачи с машинами Энгельса предполагалось строительство 140 М-5 или М-9 Д.П.Г. (2843,64). Это стало результатом созданной в феврале 1917 специальной комиссии, которой было поручено разобраться в целесообразности дальнейшей постройки лл ш-к Энгельса. Решили, что постройка самолета со скоростью полета 170 км/час - желательна (99,100).</w:t>
      </w:r>
    </w:p>
    <w:p w14:paraId="0231F3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4998A5" w14:textId="151AADEB" w:rsidR="00504A20" w:rsidRPr="00FB4F67" w:rsidRDefault="00504A2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27 апреля </w:t>
      </w:r>
      <w:r>
        <w:rPr>
          <w:rFonts w:ascii="Times New Roman" w:hAnsi="Times New Roman" w:cs="Times New Roman"/>
          <w:color w:val="0070C0"/>
          <w:sz w:val="16"/>
          <w:szCs w:val="16"/>
        </w:rPr>
        <w:t xml:space="preserve">(10 мая) </w:t>
      </w:r>
      <w:r w:rsidRPr="00FB4F67">
        <w:rPr>
          <w:rFonts w:ascii="Times New Roman" w:hAnsi="Times New Roman" w:cs="Times New Roman"/>
          <w:color w:val="0070C0"/>
          <w:sz w:val="16"/>
          <w:szCs w:val="16"/>
        </w:rPr>
        <w:t>1917 г., было заказано 60 экземпляров л/л Энгельса, при испытании которой он погиб 5 декабря 1916.</w:t>
      </w:r>
    </w:p>
    <w:p w14:paraId="6A71D00D" w14:textId="77777777" w:rsidR="00504A20" w:rsidRPr="00FB4F67" w:rsidRDefault="00504A2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 практике изготовили два опытных об</w:t>
      </w:r>
      <w:r w:rsidRPr="00FB4F67">
        <w:rPr>
          <w:rFonts w:ascii="Times New Roman" w:hAnsi="Times New Roman" w:cs="Times New Roman"/>
          <w:color w:val="0070C0"/>
          <w:sz w:val="16"/>
          <w:szCs w:val="16"/>
        </w:rPr>
        <w:softHyphen/>
        <w:t>разца с двигателем «Рон» в отношении ко</w:t>
      </w:r>
      <w:r w:rsidRPr="00FB4F67">
        <w:rPr>
          <w:rFonts w:ascii="Times New Roman" w:hAnsi="Times New Roman" w:cs="Times New Roman"/>
          <w:color w:val="0070C0"/>
          <w:sz w:val="16"/>
          <w:szCs w:val="16"/>
        </w:rPr>
        <w:softHyphen/>
        <w:t>торых использовалось обозначение «Эн</w:t>
      </w:r>
      <w:r w:rsidRPr="00FB4F67">
        <w:rPr>
          <w:rFonts w:ascii="Times New Roman" w:hAnsi="Times New Roman" w:cs="Times New Roman"/>
          <w:color w:val="0070C0"/>
          <w:sz w:val="16"/>
          <w:szCs w:val="16"/>
        </w:rPr>
        <w:softHyphen/>
        <w:t>гельс-lll».</w:t>
      </w:r>
    </w:p>
    <w:p w14:paraId="2B4761F5" w14:textId="77777777" w:rsidR="00504A20" w:rsidRPr="00FB4F67" w:rsidRDefault="00504A2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Первый экземпляр испытывал инструк</w:t>
      </w:r>
      <w:r w:rsidRPr="00FB4F67">
        <w:rPr>
          <w:rFonts w:ascii="Times New Roman" w:hAnsi="Times New Roman" w:cs="Times New Roman"/>
          <w:color w:val="0070C0"/>
          <w:sz w:val="16"/>
          <w:szCs w:val="16"/>
        </w:rPr>
        <w:softHyphen/>
        <w:t>тор Петроградской школы авиации лейте</w:t>
      </w:r>
      <w:r w:rsidRPr="00FB4F67">
        <w:rPr>
          <w:rFonts w:ascii="Times New Roman" w:hAnsi="Times New Roman" w:cs="Times New Roman"/>
          <w:color w:val="0070C0"/>
          <w:sz w:val="16"/>
          <w:szCs w:val="16"/>
        </w:rPr>
        <w:softHyphen/>
        <w:t>нант Н.А. Яковицкий во второй половине августа 1917 г. Поначалу лодка, в связи со значительным разворачивающим момен</w:t>
      </w:r>
      <w:r w:rsidRPr="00FB4F67">
        <w:rPr>
          <w:rFonts w:ascii="Times New Roman" w:hAnsi="Times New Roman" w:cs="Times New Roman"/>
          <w:color w:val="0070C0"/>
          <w:sz w:val="16"/>
          <w:szCs w:val="16"/>
        </w:rPr>
        <w:softHyphen/>
        <w:t>том воздушного винта, на разбеге зарыва</w:t>
      </w:r>
      <w:r w:rsidRPr="00FB4F67">
        <w:rPr>
          <w:rFonts w:ascii="Times New Roman" w:hAnsi="Times New Roman" w:cs="Times New Roman"/>
          <w:color w:val="0070C0"/>
          <w:sz w:val="16"/>
          <w:szCs w:val="16"/>
        </w:rPr>
        <w:softHyphen/>
        <w:t>лась правым крылом в воду. После уста</w:t>
      </w:r>
      <w:r w:rsidRPr="00FB4F67">
        <w:rPr>
          <w:rFonts w:ascii="Times New Roman" w:hAnsi="Times New Roman" w:cs="Times New Roman"/>
          <w:color w:val="0070C0"/>
          <w:sz w:val="16"/>
          <w:szCs w:val="16"/>
        </w:rPr>
        <w:softHyphen/>
        <w:t>новки свинцового противовеса в левом крыле самолет удалось испытать и 10 октя</w:t>
      </w:r>
      <w:r w:rsidRPr="00FB4F67">
        <w:rPr>
          <w:rFonts w:ascii="Times New Roman" w:hAnsi="Times New Roman" w:cs="Times New Roman"/>
          <w:color w:val="0070C0"/>
          <w:sz w:val="16"/>
          <w:szCs w:val="16"/>
        </w:rPr>
        <w:softHyphen/>
        <w:t>бря 1917 г. первый экземпляр «Энгельс-lll» сдали морскому ведомству. Дальнейшая судьба этого экземпляра не ясна.</w:t>
      </w:r>
    </w:p>
    <w:p w14:paraId="6C85C8AC" w14:textId="77777777" w:rsidR="00504A20" w:rsidRPr="00FB4F67" w:rsidRDefault="00504A2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Второй экземпляр «Энгельс-lll» в конце 1918 г. отправили в Петроградскую школу морской авиации, эвакуированную в Ниж</w:t>
      </w:r>
      <w:r w:rsidRPr="00FB4F67">
        <w:rPr>
          <w:rFonts w:ascii="Times New Roman" w:hAnsi="Times New Roman" w:cs="Times New Roman"/>
          <w:color w:val="0070C0"/>
          <w:sz w:val="16"/>
          <w:szCs w:val="16"/>
        </w:rPr>
        <w:softHyphen/>
        <w:t>ний Новгород. Интерес к самолету про</w:t>
      </w:r>
      <w:r w:rsidRPr="00FB4F67">
        <w:rPr>
          <w:rFonts w:ascii="Times New Roman" w:hAnsi="Times New Roman" w:cs="Times New Roman"/>
          <w:color w:val="0070C0"/>
          <w:sz w:val="16"/>
          <w:szCs w:val="16"/>
        </w:rPr>
        <w:softHyphen/>
        <w:t>явился лишь в 1920 г., когда школа вновь поменяла место дислокации и перебралась в Самару. Здесь, в 1921 г. состоялась бе</w:t>
      </w:r>
      <w:r w:rsidRPr="00FB4F67">
        <w:rPr>
          <w:rFonts w:ascii="Times New Roman" w:hAnsi="Times New Roman" w:cs="Times New Roman"/>
          <w:color w:val="0070C0"/>
          <w:sz w:val="16"/>
          <w:szCs w:val="16"/>
        </w:rPr>
        <w:softHyphen/>
        <w:t>зуспешная попытка взлета с воды, закон</w:t>
      </w:r>
      <w:r w:rsidRPr="00FB4F67">
        <w:rPr>
          <w:rFonts w:ascii="Times New Roman" w:hAnsi="Times New Roman" w:cs="Times New Roman"/>
          <w:color w:val="0070C0"/>
          <w:sz w:val="16"/>
          <w:szCs w:val="16"/>
        </w:rPr>
        <w:softHyphen/>
        <w:t>чившаяся повреждением законцовок кры</w:t>
      </w:r>
      <w:r w:rsidRPr="00FB4F67">
        <w:rPr>
          <w:rFonts w:ascii="Times New Roman" w:hAnsi="Times New Roman" w:cs="Times New Roman"/>
          <w:color w:val="0070C0"/>
          <w:sz w:val="16"/>
          <w:szCs w:val="16"/>
        </w:rPr>
        <w:softHyphen/>
        <w:t>ла. После ремонта на крыле установили боковые поплавки с самолета М-5 и вновь приступили к испытаниям. На взлете лета</w:t>
      </w:r>
      <w:r w:rsidRPr="00FB4F67">
        <w:rPr>
          <w:rFonts w:ascii="Times New Roman" w:hAnsi="Times New Roman" w:cs="Times New Roman"/>
          <w:color w:val="0070C0"/>
          <w:sz w:val="16"/>
          <w:szCs w:val="16"/>
        </w:rPr>
        <w:softHyphen/>
        <w:t>ющая лодка перевернулась и более не вос</w:t>
      </w:r>
      <w:r w:rsidRPr="00FB4F67">
        <w:rPr>
          <w:rFonts w:ascii="Times New Roman" w:hAnsi="Times New Roman" w:cs="Times New Roman"/>
          <w:color w:val="0070C0"/>
          <w:sz w:val="16"/>
          <w:szCs w:val="16"/>
        </w:rPr>
        <w:softHyphen/>
        <w:t>станавливалась (23374).</w:t>
      </w:r>
    </w:p>
    <w:p w14:paraId="63705210" w14:textId="77777777" w:rsidR="00504A20" w:rsidRPr="00FB4F67" w:rsidRDefault="00504A20" w:rsidP="0083075A">
      <w:pPr>
        <w:spacing w:after="0" w:line="240" w:lineRule="auto"/>
        <w:jc w:val="both"/>
        <w:rPr>
          <w:rFonts w:ascii="Times New Roman" w:hAnsi="Times New Roman" w:cs="Times New Roman"/>
          <w:color w:val="0070C0"/>
          <w:sz w:val="16"/>
          <w:szCs w:val="16"/>
        </w:rPr>
      </w:pPr>
    </w:p>
    <w:p w14:paraId="5158F6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апреля (10 мая) 1917 г. фирме Мельцера был дан условный контракт на 200 самолетов, включая 60 гидроаэропланов Энгельса, был дан фирме Он гласил, что первым делом обязанностью фирмы ста- новилось изготовление и испытание двух опытных истребителей со 135-сильными дви- гателями "Клерже" и еще двух — со 110-сильными "Ронами". По достижении успеха на этой стадии Морское ведомство могло инициировать сборку еще 56 аппаратов любой из двух названных моделей или же 56 машин любой другой конструкции. Как экспе- риментальные, так и серийные аэропланы стоили 13.000 руб. за каждый (без мотора) при следующем графике готовности: 2 истребителя к 15 июня, 2 — к 15 июля, серия — в период с 1 августа по 1 ноября. Требования сдаточных испытаний предполагали достижение скорости в 160 км/ч у поверхности воды, причем премия в 500 руб. вы- плачивалась бы за каждые 10 км/ч сверх этого показателя, а скороподъемность состав- ляла бы 1000 м за 5,5 минуты и 2000 м за 13 минут при полезной нагрузке 250 кг. Каждая машина имела бы 126-литровый топливный и 20-литровый масляный баки, ус- тановку для пулемета, компас, альтиметр и часы. Что до прочих 140 самолетов из этого условного заказа, то ими могли стать 70 М-5 с двигателями "Рон" 110 л. с. или "Гном-Моносупап" 100--110 л. с. и 70 М-9 с моторами "Сальмсон" или "Санбим" по 150 л. с. каждый. Цены на эти аппараты равнялись 11.000 и 18.000 руб. соответственно и включали лицензионную стоимость (10%), выплачиваемую компании С. С. Щетинина (2843).</w:t>
      </w:r>
    </w:p>
    <w:p w14:paraId="5CF6B3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49DE4F" w14:textId="24A2E6F4"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27 апреля </w:t>
      </w:r>
      <w:r>
        <w:rPr>
          <w:rFonts w:ascii="Times New Roman" w:hAnsi="Times New Roman" w:cs="Times New Roman"/>
          <w:color w:val="0070C0"/>
          <w:sz w:val="16"/>
          <w:szCs w:val="16"/>
        </w:rPr>
        <w:t xml:space="preserve">(10 мая) </w:t>
      </w:r>
      <w:r w:rsidRPr="00FB4F67">
        <w:rPr>
          <w:rFonts w:ascii="Times New Roman" w:hAnsi="Times New Roman" w:cs="Times New Roman"/>
          <w:color w:val="0070C0"/>
          <w:sz w:val="16"/>
          <w:szCs w:val="16"/>
        </w:rPr>
        <w:t>1917 года Мельцер получил контракт на 200 самолетов, но из них только 60 гидроистребителей Энгельса, а остальные 140 - гидропланы М-5 и М-9 по лицензии Щетинина, который получал 10% от стоимости каждого самолета. Предполагалось, в первую очередь, по</w:t>
      </w:r>
      <w:r w:rsidRPr="00FB4F67">
        <w:rPr>
          <w:rFonts w:ascii="Times New Roman" w:hAnsi="Times New Roman" w:cs="Times New Roman"/>
          <w:color w:val="0070C0"/>
          <w:sz w:val="16"/>
          <w:szCs w:val="16"/>
        </w:rPr>
        <w:softHyphen/>
        <w:t>строить четыре опытных моноплана системы Энгельса, из которых два с моторами «Рон» мощностью 110 л.с. и два с моторами «Клерже» мощностью 135 л.с. Только в случае успешных их испытаний, поставлялись остальные 56 аппаратов Энгельса. Конструкторское сопровождение этих машин поручили А.Ю. Виллишу, перешедшему с завода Лебедева на фабрику Мельцера.</w:t>
      </w:r>
    </w:p>
    <w:p w14:paraId="6EE25231" w14:textId="77777777" w:rsidR="00E52569" w:rsidRPr="00FB4F67" w:rsidRDefault="00E5256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Из всего этого заказа до конца лета 1917 года собрали только два само</w:t>
      </w:r>
      <w:r w:rsidRPr="00FB4F67">
        <w:rPr>
          <w:rFonts w:ascii="Times New Roman" w:hAnsi="Times New Roman" w:cs="Times New Roman"/>
          <w:color w:val="0070C0"/>
          <w:sz w:val="16"/>
          <w:szCs w:val="16"/>
        </w:rPr>
        <w:softHyphen/>
        <w:t>лета с двигателями «Рон» мощностью 120 л.с., получившие обозначение Э.Ш № 1 и Э.Ш № 2. Эти аппараты были тяжелее Э.И на 35 кг, по всей видимо</w:t>
      </w:r>
      <w:r w:rsidRPr="00FB4F67">
        <w:rPr>
          <w:rFonts w:ascii="Times New Roman" w:hAnsi="Times New Roman" w:cs="Times New Roman"/>
          <w:color w:val="0070C0"/>
          <w:sz w:val="16"/>
          <w:szCs w:val="16"/>
        </w:rPr>
        <w:softHyphen/>
        <w:t>сти, конструкция была действительно усилена. Первый из них был принят флотом осенью 1917 года, но реально не эксплуатировался. Образец № 2 осенью следующего года отправили в Нижний Новгород, куда эвакуировали Школу морской авиации. В начале 1920 года его испытали на лыжном шасси, и вместе со школой перевезли в Саратов. В 1921 году машину, уже сомнительной сохранности, испытали на воде. Ис</w:t>
      </w:r>
      <w:r w:rsidRPr="00FB4F67">
        <w:rPr>
          <w:rFonts w:ascii="Times New Roman" w:hAnsi="Times New Roman" w:cs="Times New Roman"/>
          <w:color w:val="0070C0"/>
          <w:sz w:val="16"/>
          <w:szCs w:val="16"/>
        </w:rPr>
        <w:softHyphen/>
        <w:t>пытания проводил летчик С.А. Кочеригин, в будущем известный советский авиаконструктор. При попытке взлета были повреждены законцовки крыла. Их заменили поплавками от М-5. При следующей попытке взлета гидроплан зарылся носом в воду и перевернулся. Кочеригин не пострадал, но самолет больше не восстанавливался. Так закончилась история гидроистре</w:t>
      </w:r>
      <w:r w:rsidRPr="00FB4F67">
        <w:rPr>
          <w:rFonts w:ascii="Times New Roman" w:hAnsi="Times New Roman" w:cs="Times New Roman"/>
          <w:color w:val="0070C0"/>
          <w:sz w:val="16"/>
          <w:szCs w:val="16"/>
        </w:rPr>
        <w:softHyphen/>
        <w:t>бителя Энгельса (23764).</w:t>
      </w:r>
    </w:p>
    <w:p w14:paraId="7B78054D" w14:textId="77777777" w:rsidR="00E52569" w:rsidRPr="00FB4F67" w:rsidRDefault="00E52569" w:rsidP="0083075A">
      <w:pPr>
        <w:spacing w:after="0" w:line="240" w:lineRule="auto"/>
        <w:jc w:val="both"/>
        <w:rPr>
          <w:rFonts w:ascii="Times New Roman" w:hAnsi="Times New Roman" w:cs="Times New Roman"/>
          <w:color w:val="0070C0"/>
          <w:sz w:val="16"/>
          <w:szCs w:val="16"/>
        </w:rPr>
      </w:pPr>
    </w:p>
    <w:p w14:paraId="7F5E60A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апреля (10 мая) 1917 года завод Мельцера получил заказ на поставку 60 машин Энгелься улучшенного образца. Но испытания опытного экземпляра поздней осенью не были доведены до конца (11283).</w:t>
      </w:r>
    </w:p>
    <w:p w14:paraId="62AEB1D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E8A652" w14:textId="1115899A"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xml:space="preserve">27 апреля </w:t>
      </w:r>
      <w:r w:rsidR="003F2A09" w:rsidRPr="002F2FDF">
        <w:rPr>
          <w:rFonts w:ascii="Times New Roman" w:hAnsi="Times New Roman" w:cs="Times New Roman"/>
          <w:color w:val="000000" w:themeColor="text1"/>
          <w:kern w:val="2"/>
          <w:sz w:val="16"/>
          <w:szCs w:val="16"/>
        </w:rPr>
        <w:t xml:space="preserve">(10 мая) </w:t>
      </w:r>
      <w:r w:rsidRPr="002F2FDF">
        <w:rPr>
          <w:rFonts w:ascii="Times New Roman" w:hAnsi="Times New Roman" w:cs="Times New Roman"/>
          <w:color w:val="000000" w:themeColor="text1"/>
          <w:kern w:val="2"/>
          <w:sz w:val="16"/>
          <w:szCs w:val="16"/>
        </w:rPr>
        <w:t>1917 г. Заводу Мель цера заказали 60 самолетов Эн</w:t>
      </w:r>
      <w:r w:rsidRPr="002F2FDF">
        <w:rPr>
          <w:rFonts w:ascii="Times New Roman" w:hAnsi="Times New Roman" w:cs="Times New Roman"/>
          <w:color w:val="000000" w:themeColor="text1"/>
          <w:kern w:val="2"/>
          <w:sz w:val="16"/>
          <w:szCs w:val="16"/>
        </w:rPr>
        <w:softHyphen/>
        <w:t>гельса. Руководить работой пригла</w:t>
      </w:r>
      <w:r w:rsidRPr="002F2FDF">
        <w:rPr>
          <w:rFonts w:ascii="Times New Roman" w:hAnsi="Times New Roman" w:cs="Times New Roman"/>
          <w:color w:val="000000" w:themeColor="text1"/>
          <w:kern w:val="2"/>
          <w:sz w:val="16"/>
          <w:szCs w:val="16"/>
        </w:rPr>
        <w:softHyphen/>
        <w:t>сили А.Ю. Виллиша. Установили бо</w:t>
      </w:r>
      <w:r w:rsidRPr="002F2FDF">
        <w:rPr>
          <w:rFonts w:ascii="Times New Roman" w:hAnsi="Times New Roman" w:cs="Times New Roman"/>
          <w:color w:val="000000" w:themeColor="text1"/>
          <w:kern w:val="2"/>
          <w:sz w:val="16"/>
          <w:szCs w:val="16"/>
        </w:rPr>
        <w:softHyphen/>
        <w:t>лее мощный двигатель "Рон" в 120 л. с. Постройка первого самолета этой серии закончилась 24 авгус</w:t>
      </w:r>
      <w:r w:rsidRPr="002F2FDF">
        <w:rPr>
          <w:rFonts w:ascii="Times New Roman" w:hAnsi="Times New Roman" w:cs="Times New Roman"/>
          <w:color w:val="000000" w:themeColor="text1"/>
          <w:kern w:val="2"/>
          <w:sz w:val="16"/>
          <w:szCs w:val="16"/>
        </w:rPr>
        <w:softHyphen/>
        <w:t>та, второго - 9 сентября. Первое испытание самолета "Энгельс-ПГ (как его стали называть), которое проводил лейтенант Яковицкий, по</w:t>
      </w:r>
      <w:r w:rsidRPr="002F2FDF">
        <w:rPr>
          <w:rFonts w:ascii="Times New Roman" w:hAnsi="Times New Roman" w:cs="Times New Roman"/>
          <w:color w:val="000000" w:themeColor="text1"/>
          <w:kern w:val="2"/>
          <w:sz w:val="16"/>
          <w:szCs w:val="16"/>
        </w:rPr>
        <w:softHyphen/>
        <w:t>казало, что самолет зарывается на рулении правым крылом из-за ре</w:t>
      </w:r>
      <w:r w:rsidRPr="002F2FDF">
        <w:rPr>
          <w:rFonts w:ascii="Times New Roman" w:hAnsi="Times New Roman" w:cs="Times New Roman"/>
          <w:color w:val="000000" w:themeColor="text1"/>
          <w:kern w:val="2"/>
          <w:sz w:val="16"/>
          <w:szCs w:val="16"/>
        </w:rPr>
        <w:softHyphen/>
        <w:t>акции винта и не отрывается. В законцовку левого крыла помести</w:t>
      </w:r>
      <w:r w:rsidRPr="002F2FDF">
        <w:rPr>
          <w:rFonts w:ascii="Times New Roman" w:hAnsi="Times New Roman" w:cs="Times New Roman"/>
          <w:color w:val="000000" w:themeColor="text1"/>
          <w:kern w:val="2"/>
          <w:sz w:val="16"/>
          <w:szCs w:val="16"/>
        </w:rPr>
        <w:softHyphen/>
        <w:t>ли груз в 5 кг. Это помогло. 10 ок</w:t>
      </w:r>
      <w:r w:rsidRPr="002F2FDF">
        <w:rPr>
          <w:rFonts w:ascii="Times New Roman" w:hAnsi="Times New Roman" w:cs="Times New Roman"/>
          <w:color w:val="000000" w:themeColor="text1"/>
          <w:kern w:val="2"/>
          <w:sz w:val="16"/>
          <w:szCs w:val="16"/>
        </w:rPr>
        <w:softHyphen/>
        <w:t>тября 1917 г. первый самолет был сдан морскому ведомству. Второй передан не вполне законченным и лишь в марте 1920 г. Военно-морс</w:t>
      </w:r>
      <w:r w:rsidRPr="002F2FDF">
        <w:rPr>
          <w:rFonts w:ascii="Times New Roman" w:hAnsi="Times New Roman" w:cs="Times New Roman"/>
          <w:color w:val="000000" w:themeColor="text1"/>
          <w:kern w:val="2"/>
          <w:sz w:val="16"/>
          <w:szCs w:val="16"/>
        </w:rPr>
        <w:softHyphen/>
        <w:t>кой школе авиации, эвакуирован</w:t>
      </w:r>
      <w:r w:rsidRPr="002F2FDF">
        <w:rPr>
          <w:rFonts w:ascii="Times New Roman" w:hAnsi="Times New Roman" w:cs="Times New Roman"/>
          <w:color w:val="000000" w:themeColor="text1"/>
          <w:kern w:val="2"/>
          <w:sz w:val="16"/>
          <w:szCs w:val="16"/>
        </w:rPr>
        <w:softHyphen/>
        <w:t>ной в Нижний Новгород; самолет был окончательно завершен и ис</w:t>
      </w:r>
      <w:r w:rsidRPr="002F2FDF">
        <w:rPr>
          <w:rFonts w:ascii="Times New Roman" w:hAnsi="Times New Roman" w:cs="Times New Roman"/>
          <w:color w:val="000000" w:themeColor="text1"/>
          <w:kern w:val="2"/>
          <w:sz w:val="16"/>
          <w:szCs w:val="16"/>
        </w:rPr>
        <w:softHyphen/>
        <w:t>пытан на лыжах. Осенью школа перебазировалась в другой город, где через год самолет, уже сомни</w:t>
      </w:r>
      <w:r w:rsidRPr="002F2FDF">
        <w:rPr>
          <w:rFonts w:ascii="Times New Roman" w:hAnsi="Times New Roman" w:cs="Times New Roman"/>
          <w:color w:val="000000" w:themeColor="text1"/>
          <w:kern w:val="2"/>
          <w:sz w:val="16"/>
          <w:szCs w:val="16"/>
        </w:rPr>
        <w:softHyphen/>
        <w:t>тельной сохранности испытан С. А. Кочеригиным. При попытке разбе</w:t>
      </w:r>
      <w:r w:rsidRPr="002F2FDF">
        <w:rPr>
          <w:rFonts w:ascii="Times New Roman" w:hAnsi="Times New Roman" w:cs="Times New Roman"/>
          <w:color w:val="000000" w:themeColor="text1"/>
          <w:kern w:val="2"/>
          <w:sz w:val="16"/>
          <w:szCs w:val="16"/>
        </w:rPr>
        <w:softHyphen/>
        <w:t>га отломались поплавки вместе с опущенными концами крыльев, са</w:t>
      </w:r>
      <w:r w:rsidRPr="002F2FDF">
        <w:rPr>
          <w:rFonts w:ascii="Times New Roman" w:hAnsi="Times New Roman" w:cs="Times New Roman"/>
          <w:color w:val="000000" w:themeColor="text1"/>
          <w:kern w:val="2"/>
          <w:sz w:val="16"/>
          <w:szCs w:val="16"/>
        </w:rPr>
        <w:softHyphen/>
        <w:t>молёт реконструировали, поставив поплавки от М-5 на стойках. При второй попытке произошел капот на разбеге, после чего самолет уже не восстанавливали (11872).</w:t>
      </w:r>
    </w:p>
    <w:p w14:paraId="12417A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FB9049" w14:textId="77777777" w:rsidR="003F2A09" w:rsidRPr="002F2FDF" w:rsidRDefault="003F2A09"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апреля (10 мая) 1917 г. Военно-Морское ведомство выдало Мельцеру заказ на 200 летающих лодок разного типа конструкций Е. Р. Энгельса и А. Ю. Вилли- ша, а также Д. П. Григоровича и П. А. Шишкова. В 1917 г. должно было на</w:t>
      </w:r>
      <w:r w:rsidRPr="002F2FDF">
        <w:rPr>
          <w:rFonts w:ascii="Times New Roman" w:hAnsi="Times New Roman" w:cs="Times New Roman"/>
          <w:color w:val="000000" w:themeColor="text1"/>
          <w:kern w:val="2"/>
          <w:sz w:val="16"/>
          <w:szCs w:val="16"/>
        </w:rPr>
        <w:softHyphen/>
        <w:t>чаться их серийное строительство на заводах Мельцера в Петрограде и Бердян</w:t>
      </w:r>
      <w:r w:rsidRPr="002F2FDF">
        <w:rPr>
          <w:rFonts w:ascii="Times New Roman" w:hAnsi="Times New Roman" w:cs="Times New Roman"/>
          <w:color w:val="000000" w:themeColor="text1"/>
          <w:kern w:val="2"/>
          <w:sz w:val="16"/>
          <w:szCs w:val="16"/>
        </w:rPr>
        <w:softHyphen/>
        <w:t>ске. Для сборки и сдачи самолетов в Петрограде фирмой возводились ангары и мастерские у Комендантского аэродрома и на Крестовском острове (15740).</w:t>
      </w:r>
    </w:p>
    <w:p w14:paraId="71DB32B5" w14:textId="77777777" w:rsidR="003F2A09" w:rsidRPr="002F2FDF" w:rsidRDefault="003F2A09"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01354311" w14:textId="77777777" w:rsidR="003F2A09" w:rsidRPr="002F2FDF" w:rsidRDefault="003F2A09"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апреля (10 мая) 1917 г. Морское ве</w:t>
      </w:r>
      <w:r w:rsidRPr="002F2FDF">
        <w:rPr>
          <w:rFonts w:ascii="Times New Roman" w:hAnsi="Times New Roman" w:cs="Times New Roman"/>
          <w:color w:val="000000" w:themeColor="text1"/>
          <w:kern w:val="2"/>
          <w:sz w:val="16"/>
          <w:szCs w:val="16"/>
        </w:rPr>
        <w:softHyphen/>
        <w:t>домство, ориентировавшееся ранее только на заводы Лебедева, решило рас</w:t>
      </w:r>
      <w:r w:rsidRPr="002F2FDF">
        <w:rPr>
          <w:rFonts w:ascii="Times New Roman" w:hAnsi="Times New Roman" w:cs="Times New Roman"/>
          <w:color w:val="000000" w:themeColor="text1"/>
          <w:kern w:val="2"/>
          <w:sz w:val="16"/>
          <w:szCs w:val="16"/>
        </w:rPr>
        <w:softHyphen/>
        <w:t>ширить географию заказов и заключило с Р. Ф. Мельцером «условный» заказ на производство 1000 воздушных винтов для Военно-Воздушных Сил флота. Понятие «условный» означало, что в зака</w:t>
      </w:r>
      <w:r w:rsidRPr="002F2FDF">
        <w:rPr>
          <w:rFonts w:ascii="Times New Roman" w:hAnsi="Times New Roman" w:cs="Times New Roman"/>
          <w:color w:val="000000" w:themeColor="text1"/>
          <w:kern w:val="2"/>
          <w:sz w:val="16"/>
          <w:szCs w:val="16"/>
        </w:rPr>
        <w:softHyphen/>
        <w:t>зе заранее не оговаривались все типы самолетов, для которых изготовлялись упомянутые винты. Они должны были определиться в течение года ходом раз</w:t>
      </w:r>
      <w:r w:rsidRPr="002F2FDF">
        <w:rPr>
          <w:rFonts w:ascii="Times New Roman" w:hAnsi="Times New Roman" w:cs="Times New Roman"/>
          <w:color w:val="000000" w:themeColor="text1"/>
          <w:kern w:val="2"/>
          <w:sz w:val="16"/>
          <w:szCs w:val="16"/>
        </w:rPr>
        <w:softHyphen/>
        <w:t>вития морского самолетостроения. Для начала морское командование вклю</w:t>
      </w:r>
      <w:r w:rsidRPr="002F2FDF">
        <w:rPr>
          <w:rFonts w:ascii="Times New Roman" w:hAnsi="Times New Roman" w:cs="Times New Roman"/>
          <w:color w:val="000000" w:themeColor="text1"/>
          <w:kern w:val="2"/>
          <w:sz w:val="16"/>
          <w:szCs w:val="16"/>
        </w:rPr>
        <w:softHyphen/>
        <w:t>чило в «условный» заказ только 300 винтов для серийных летающих лодок Григоровича М-5, М-9, М-11 и М-15 и опытных аппаратов Энгельса и Виллиша. Серии винтов для этих самолетов были уже разработаны Григорашвили (15740).</w:t>
      </w:r>
    </w:p>
    <w:p w14:paraId="735A99A5" w14:textId="77777777" w:rsidR="003F2A09" w:rsidRPr="002F2FDF" w:rsidRDefault="003F2A09"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75C5512A" w14:textId="77777777" w:rsidR="003F2A09" w:rsidRPr="002F2FDF" w:rsidRDefault="003F2A0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апреля (10 мая) в 1917 году было заказано 60 экземпляров самолетов «Энгельс-II». Руководить работой был приглашен А.Ю.Виллиш. Был принят двигатель "Рон" в 120 л.с. Первый самолет из этой серии был закончен 24 августа, второй - 9 сентября (15112).</w:t>
      </w:r>
    </w:p>
    <w:p w14:paraId="2DC7B829" w14:textId="77777777" w:rsidR="003F2A09" w:rsidRPr="002F2FDF" w:rsidRDefault="003F2A09" w:rsidP="0083075A">
      <w:pPr>
        <w:spacing w:after="0" w:line="240" w:lineRule="auto"/>
        <w:jc w:val="both"/>
        <w:rPr>
          <w:rFonts w:ascii="Times New Roman" w:hAnsi="Times New Roman" w:cs="Times New Roman"/>
          <w:color w:val="000000" w:themeColor="text1"/>
          <w:kern w:val="2"/>
          <w:sz w:val="16"/>
          <w:szCs w:val="16"/>
        </w:rPr>
      </w:pPr>
    </w:p>
    <w:p w14:paraId="61F0D92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2B1C74" w:rsidRPr="002F2FDF" w14:paraId="25F70DDD" w14:textId="77777777">
        <w:tc>
          <w:tcPr>
            <w:tcW w:w="1548" w:type="dxa"/>
            <w:tcBorders>
              <w:top w:val="single" w:sz="12" w:space="0" w:color="auto"/>
            </w:tcBorders>
            <w:shd w:val="clear" w:color="auto" w:fill="FFFFFF"/>
          </w:tcPr>
          <w:p w14:paraId="6FC6B7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Дата контракта</w:t>
            </w:r>
          </w:p>
        </w:tc>
        <w:tc>
          <w:tcPr>
            <w:tcW w:w="1170" w:type="dxa"/>
            <w:tcBorders>
              <w:top w:val="single" w:sz="12" w:space="0" w:color="auto"/>
            </w:tcBorders>
            <w:shd w:val="clear" w:color="auto" w:fill="FFFFFF"/>
          </w:tcPr>
          <w:p w14:paraId="35872E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заказанных аэропланов</w:t>
            </w:r>
          </w:p>
        </w:tc>
        <w:tc>
          <w:tcPr>
            <w:tcW w:w="6858" w:type="dxa"/>
            <w:tcBorders>
              <w:top w:val="single" w:sz="12" w:space="0" w:color="auto"/>
            </w:tcBorders>
            <w:shd w:val="clear" w:color="auto" w:fill="FFFFFF"/>
          </w:tcPr>
          <w:p w14:paraId="1E2253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Условия</w:t>
            </w:r>
          </w:p>
        </w:tc>
      </w:tr>
      <w:tr w:rsidR="002B1C74" w:rsidRPr="002F2FDF" w14:paraId="19D91DD8" w14:textId="77777777">
        <w:tc>
          <w:tcPr>
            <w:tcW w:w="1548" w:type="dxa"/>
            <w:shd w:val="clear" w:color="auto" w:fill="FFFFFF"/>
          </w:tcPr>
          <w:p w14:paraId="11DB97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Апрель 27 </w:t>
            </w:r>
            <w:r w:rsidR="003F2A09" w:rsidRPr="002F2FDF">
              <w:rPr>
                <w:rFonts w:ascii="Times New Roman" w:hAnsi="Times New Roman" w:cs="Times New Roman"/>
                <w:color w:val="000000" w:themeColor="text1"/>
                <w:kern w:val="2"/>
                <w:sz w:val="16"/>
                <w:szCs w:val="16"/>
              </w:rPr>
              <w:t xml:space="preserve">(10 мая) </w:t>
            </w:r>
            <w:r w:rsidRPr="002F2FDF">
              <w:rPr>
                <w:rFonts w:ascii="Times New Roman" w:hAnsi="Times New Roman" w:cs="Times New Roman"/>
                <w:color w:val="000000" w:themeColor="text1"/>
                <w:kern w:val="2"/>
                <w:sz w:val="16"/>
                <w:szCs w:val="16"/>
              </w:rPr>
              <w:t>1917</w:t>
            </w:r>
          </w:p>
        </w:tc>
        <w:tc>
          <w:tcPr>
            <w:tcW w:w="1170" w:type="dxa"/>
            <w:shd w:val="clear" w:color="auto" w:fill="FFFFFF"/>
          </w:tcPr>
          <w:p w14:paraId="306115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w:t>
            </w:r>
          </w:p>
        </w:tc>
        <w:tc>
          <w:tcPr>
            <w:tcW w:w="6858" w:type="dxa"/>
            <w:shd w:val="clear" w:color="auto" w:fill="FFFFFF"/>
          </w:tcPr>
          <w:p w14:paraId="178C43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тыс. руб. за аппарат без мотора, с уплатой 10% лицензион</w:t>
            </w:r>
            <w:r w:rsidRPr="002F2FDF">
              <w:rPr>
                <w:rFonts w:ascii="Times New Roman" w:hAnsi="Times New Roman" w:cs="Times New Roman"/>
                <w:color w:val="000000" w:themeColor="text1"/>
                <w:kern w:val="2"/>
                <w:sz w:val="16"/>
                <w:szCs w:val="16"/>
              </w:rPr>
              <w:softHyphen/>
              <w:t>ной стоимости ПРТВ; аппараты под мотор “Рон” 110 л. с. или “Гном-Моносупап”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7B0F6D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ПРИМЕЧАНИЯ: условный контракт, данный компании Ф. Мельцера в Петрограде</w:t>
            </w:r>
          </w:p>
        </w:tc>
      </w:tr>
      <w:tr w:rsidR="002B1C74" w:rsidRPr="002F2FDF" w14:paraId="0426DDB0" w14:textId="77777777">
        <w:tc>
          <w:tcPr>
            <w:tcW w:w="1548" w:type="dxa"/>
            <w:shd w:val="clear" w:color="auto" w:fill="FFFFFF"/>
          </w:tcPr>
          <w:p w14:paraId="395A9F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 29 1917</w:t>
            </w:r>
          </w:p>
        </w:tc>
        <w:tc>
          <w:tcPr>
            <w:tcW w:w="1170" w:type="dxa"/>
            <w:shd w:val="clear" w:color="auto" w:fill="FFFFFF"/>
          </w:tcPr>
          <w:p w14:paraId="649800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6858" w:type="dxa"/>
            <w:shd w:val="clear" w:color="auto" w:fill="FFFFFF"/>
          </w:tcPr>
          <w:p w14:paraId="365208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ПРИМЕЧАНИЯ: 10 запасных корпусов; выполнен к 25 мая 1917 г.; возможно, помимо корпусов поставлено и 20 запасных нижних крыльев</w:t>
            </w:r>
          </w:p>
        </w:tc>
      </w:tr>
      <w:tr w:rsidR="002B1C74" w:rsidRPr="002F2FDF" w14:paraId="2A9D64F4" w14:textId="77777777">
        <w:tc>
          <w:tcPr>
            <w:tcW w:w="1548" w:type="dxa"/>
            <w:shd w:val="clear" w:color="auto" w:fill="FFFFFF"/>
          </w:tcPr>
          <w:p w14:paraId="621348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 26 1917</w:t>
            </w:r>
          </w:p>
        </w:tc>
        <w:tc>
          <w:tcPr>
            <w:tcW w:w="1170" w:type="dxa"/>
            <w:shd w:val="clear" w:color="auto" w:fill="FFFFFF"/>
          </w:tcPr>
          <w:p w14:paraId="18E1C1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6858" w:type="dxa"/>
            <w:shd w:val="clear" w:color="auto" w:fill="FFFFFF"/>
          </w:tcPr>
          <w:p w14:paraId="27D4D2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2B1C74" w:rsidRPr="002F2FDF" w14:paraId="073EC396" w14:textId="77777777">
        <w:tc>
          <w:tcPr>
            <w:tcW w:w="1548" w:type="dxa"/>
            <w:shd w:val="clear" w:color="auto" w:fill="FFFFFF"/>
          </w:tcPr>
          <w:p w14:paraId="7336AB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 28 1917</w:t>
            </w:r>
          </w:p>
        </w:tc>
        <w:tc>
          <w:tcPr>
            <w:tcW w:w="1170" w:type="dxa"/>
            <w:shd w:val="clear" w:color="auto" w:fill="FFFFFF"/>
          </w:tcPr>
          <w:p w14:paraId="135667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c>
          <w:tcPr>
            <w:tcW w:w="6858" w:type="dxa"/>
            <w:shd w:val="clear" w:color="auto" w:fill="FFFFFF"/>
          </w:tcPr>
          <w:p w14:paraId="74CC06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тыс. руб. за аппарат под мотор “Рон” 125 л.с., срок исполнения с 1 сентября 1917 г. по 1 января 1918 г. (не выполнен)</w:t>
            </w:r>
          </w:p>
          <w:p w14:paraId="522597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ПРИМЕЧАНИЯ: заказ дан Опытному заводу Д. П. Григоровича (см. главу 2 и раздел М-20)</w:t>
            </w:r>
          </w:p>
        </w:tc>
      </w:tr>
      <w:tr w:rsidR="002B1C74" w:rsidRPr="002F2FDF" w14:paraId="5878BA95" w14:textId="77777777">
        <w:tc>
          <w:tcPr>
            <w:tcW w:w="1548" w:type="dxa"/>
            <w:tcBorders>
              <w:bottom w:val="single" w:sz="12" w:space="0" w:color="auto"/>
            </w:tcBorders>
            <w:shd w:val="clear" w:color="auto" w:fill="FFFFFF"/>
          </w:tcPr>
          <w:p w14:paraId="0DE218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 31 1917</w:t>
            </w:r>
          </w:p>
        </w:tc>
        <w:tc>
          <w:tcPr>
            <w:tcW w:w="1170" w:type="dxa"/>
            <w:tcBorders>
              <w:bottom w:val="single" w:sz="12" w:space="0" w:color="auto"/>
            </w:tcBorders>
            <w:shd w:val="clear" w:color="auto" w:fill="FFFFFF"/>
          </w:tcPr>
          <w:p w14:paraId="35E4ED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6858" w:type="dxa"/>
            <w:tcBorders>
              <w:bottom w:val="single" w:sz="12" w:space="0" w:color="auto"/>
            </w:tcBorders>
            <w:shd w:val="clear" w:color="auto" w:fill="FFFFFF"/>
          </w:tcPr>
          <w:p w14:paraId="2A6DFC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контракт на ранее приобретенные аппараты (2807)</w:t>
            </w:r>
          </w:p>
        </w:tc>
      </w:tr>
    </w:tbl>
    <w:p w14:paraId="2A9AC4B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78769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контрактах на аппараты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2B1C74" w:rsidRPr="002F2FDF" w14:paraId="375444B4" w14:textId="77777777">
        <w:tc>
          <w:tcPr>
            <w:tcW w:w="3192" w:type="dxa"/>
            <w:tcBorders>
              <w:top w:val="single" w:sz="12" w:space="0" w:color="auto"/>
            </w:tcBorders>
            <w:shd w:val="clear" w:color="auto" w:fill="FFFFFF"/>
          </w:tcPr>
          <w:p w14:paraId="3E6B6D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Дата контракта</w:t>
            </w:r>
          </w:p>
        </w:tc>
        <w:tc>
          <w:tcPr>
            <w:tcW w:w="3192" w:type="dxa"/>
            <w:tcBorders>
              <w:top w:val="single" w:sz="12" w:space="0" w:color="auto"/>
            </w:tcBorders>
            <w:shd w:val="clear" w:color="auto" w:fill="FFFFFF"/>
          </w:tcPr>
          <w:p w14:paraId="3A5C78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заказанных аэропланов</w:t>
            </w:r>
          </w:p>
        </w:tc>
        <w:tc>
          <w:tcPr>
            <w:tcW w:w="3192" w:type="dxa"/>
            <w:tcBorders>
              <w:top w:val="single" w:sz="12" w:space="0" w:color="auto"/>
            </w:tcBorders>
            <w:shd w:val="clear" w:color="auto" w:fill="FFFFFF"/>
          </w:tcPr>
          <w:p w14:paraId="087CD0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Условия</w:t>
            </w:r>
          </w:p>
        </w:tc>
      </w:tr>
      <w:tr w:rsidR="002B1C74" w:rsidRPr="002F2FDF" w14:paraId="233756F2" w14:textId="77777777">
        <w:tc>
          <w:tcPr>
            <w:tcW w:w="3192" w:type="dxa"/>
            <w:shd w:val="clear" w:color="auto" w:fill="FFFFFF"/>
          </w:tcPr>
          <w:p w14:paraId="36DC91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Апрель 27 </w:t>
            </w:r>
            <w:r w:rsidR="003F2A09" w:rsidRPr="002F2FDF">
              <w:rPr>
                <w:rFonts w:ascii="Times New Roman" w:hAnsi="Times New Roman" w:cs="Times New Roman"/>
                <w:color w:val="000000" w:themeColor="text1"/>
                <w:kern w:val="2"/>
                <w:sz w:val="16"/>
                <w:szCs w:val="16"/>
              </w:rPr>
              <w:t xml:space="preserve">(10 мая) </w:t>
            </w:r>
            <w:r w:rsidRPr="002F2FDF">
              <w:rPr>
                <w:rFonts w:ascii="Times New Roman" w:hAnsi="Times New Roman" w:cs="Times New Roman"/>
                <w:color w:val="000000" w:themeColor="text1"/>
                <w:kern w:val="2"/>
                <w:sz w:val="16"/>
                <w:szCs w:val="16"/>
              </w:rPr>
              <w:t>1917</w:t>
            </w:r>
          </w:p>
        </w:tc>
        <w:tc>
          <w:tcPr>
            <w:tcW w:w="3192" w:type="dxa"/>
            <w:shd w:val="clear" w:color="auto" w:fill="FFFFFF"/>
          </w:tcPr>
          <w:p w14:paraId="46BB02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w:t>
            </w:r>
          </w:p>
        </w:tc>
        <w:tc>
          <w:tcPr>
            <w:tcW w:w="3192" w:type="dxa"/>
            <w:shd w:val="clear" w:color="auto" w:fill="FFFFFF"/>
          </w:tcPr>
          <w:p w14:paraId="0F6B4C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тыс. руб. за аппарат под мотор “Сальмсон” или “Санбим” 150 л. с., срок исполнения с 1 декабря 1917 г. по 1 марта 1918 г. (расторг</w:t>
            </w:r>
            <w:r w:rsidRPr="002F2FDF">
              <w:rPr>
                <w:rFonts w:ascii="Times New Roman" w:hAnsi="Times New Roman" w:cs="Times New Roman"/>
                <w:color w:val="000000" w:themeColor="text1"/>
                <w:kern w:val="2"/>
                <w:sz w:val="16"/>
                <w:szCs w:val="16"/>
              </w:rPr>
              <w:softHyphen/>
              <w:t>нут 2 ноября 1917 г.)</w:t>
            </w:r>
          </w:p>
          <w:p w14:paraId="2268A2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условный заказ, данный компании Ф. Мельцера в Петрограде</w:t>
            </w:r>
          </w:p>
        </w:tc>
      </w:tr>
      <w:tr w:rsidR="002B1C74" w:rsidRPr="002F2FDF" w14:paraId="519BFBB7" w14:textId="77777777">
        <w:tc>
          <w:tcPr>
            <w:tcW w:w="3192" w:type="dxa"/>
            <w:shd w:val="clear" w:color="auto" w:fill="FFFFFF"/>
          </w:tcPr>
          <w:p w14:paraId="1D0F3D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 29 1917</w:t>
            </w:r>
          </w:p>
        </w:tc>
        <w:tc>
          <w:tcPr>
            <w:tcW w:w="3192" w:type="dxa"/>
            <w:shd w:val="clear" w:color="auto" w:fill="FFFFFF"/>
          </w:tcPr>
          <w:p w14:paraId="6CAB01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3192" w:type="dxa"/>
            <w:shd w:val="clear" w:color="auto" w:fill="FFFFFF"/>
          </w:tcPr>
          <w:p w14:paraId="776751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запасных аппаратов; возможно, тот же контракт от 17 апреля 1917 г.</w:t>
            </w:r>
          </w:p>
        </w:tc>
      </w:tr>
      <w:tr w:rsidR="002B1C74" w:rsidRPr="002F2FDF" w14:paraId="2BF4D243" w14:textId="77777777">
        <w:tc>
          <w:tcPr>
            <w:tcW w:w="3192" w:type="dxa"/>
            <w:shd w:val="clear" w:color="auto" w:fill="FFFFFF"/>
          </w:tcPr>
          <w:p w14:paraId="68147F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 26 1917</w:t>
            </w:r>
          </w:p>
        </w:tc>
        <w:tc>
          <w:tcPr>
            <w:tcW w:w="3192" w:type="dxa"/>
            <w:shd w:val="clear" w:color="auto" w:fill="FFFFFF"/>
          </w:tcPr>
          <w:p w14:paraId="75724A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w:t>
            </w:r>
          </w:p>
        </w:tc>
        <w:tc>
          <w:tcPr>
            <w:tcW w:w="3192" w:type="dxa"/>
            <w:shd w:val="clear" w:color="auto" w:fill="FFFFFF"/>
          </w:tcPr>
          <w:p w14:paraId="3CA549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тыс. руб. за аппарат без мотора (цена могла меняться из-за инфляции), срок исполнения 20 июня 1917 г. (вероятно, частично выполнен до 1918 г.) ПРИМЕЧАНИЯ: по другим данным, контракт заключен 14 июня 1917 г.</w:t>
            </w:r>
          </w:p>
        </w:tc>
      </w:tr>
      <w:tr w:rsidR="002B1C74" w:rsidRPr="002F2FDF" w14:paraId="7BE629E3" w14:textId="77777777">
        <w:tc>
          <w:tcPr>
            <w:tcW w:w="3192" w:type="dxa"/>
            <w:tcBorders>
              <w:bottom w:val="single" w:sz="12" w:space="0" w:color="auto"/>
            </w:tcBorders>
            <w:shd w:val="clear" w:color="auto" w:fill="FFFFFF"/>
          </w:tcPr>
          <w:p w14:paraId="6A330D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 5 1917</w:t>
            </w:r>
          </w:p>
        </w:tc>
        <w:tc>
          <w:tcPr>
            <w:tcW w:w="3192" w:type="dxa"/>
            <w:tcBorders>
              <w:bottom w:val="single" w:sz="12" w:space="0" w:color="auto"/>
            </w:tcBorders>
            <w:shd w:val="clear" w:color="auto" w:fill="FFFFFF"/>
          </w:tcPr>
          <w:p w14:paraId="439744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w:t>
            </w:r>
          </w:p>
        </w:tc>
        <w:tc>
          <w:tcPr>
            <w:tcW w:w="3192" w:type="dxa"/>
            <w:tcBorders>
              <w:bottom w:val="single" w:sz="12" w:space="0" w:color="auto"/>
            </w:tcBorders>
            <w:shd w:val="clear" w:color="auto" w:fill="FFFFFF"/>
          </w:tcPr>
          <w:p w14:paraId="1D3B02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тыс. 500 руб. за аппарат без мотора ПРИМЕЧАНИЯ: серия аппаратов с заводскими номерами 1502-1576 заложена на ПРТВ в сентябре 1917 г., а сам наряд дан, вероятно, от полной безнадежности получить более современные машины (2807)</w:t>
            </w:r>
          </w:p>
        </w:tc>
      </w:tr>
    </w:tbl>
    <w:p w14:paraId="47E1E00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5B47A0" w14:textId="77777777" w:rsidR="00CA6C19"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r w:rsidR="00CA6C19" w:rsidRPr="002F2FDF">
        <w:rPr>
          <w:rFonts w:ascii="Times New Roman" w:hAnsi="Times New Roman" w:cs="Times New Roman"/>
          <w:iCs/>
          <w:color w:val="000000" w:themeColor="text1"/>
          <w:kern w:val="2"/>
          <w:sz w:val="16"/>
          <w:szCs w:val="16"/>
        </w:rPr>
        <w:t>:</w:t>
      </w:r>
    </w:p>
    <w:p w14:paraId="2BD7A6FC" w14:textId="77777777" w:rsidR="00CA6C19" w:rsidRPr="002F2FDF" w:rsidRDefault="00CA6C1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2DCD91" w14:textId="77777777" w:rsidR="00CA6C19" w:rsidRPr="002F2FDF" w:rsidRDefault="00CA6C1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апреля (10 мая) в 1917 году основана Российская книжная палата (образована в Петрограде постановлением Временного правительства как Книжная палата, в 1920 году переведена в Москву и реорганизована в Российскую центральную книжную палату, с 1936 года - Всесоюзная книжная палата, с 1992 года - Российская книжная палата) (14887).</w:t>
      </w:r>
    </w:p>
    <w:p w14:paraId="7733FA1B" w14:textId="77777777" w:rsidR="00CA6C19" w:rsidRPr="002F2FDF" w:rsidRDefault="00CA6C19" w:rsidP="0083075A">
      <w:pPr>
        <w:spacing w:after="0" w:line="240" w:lineRule="auto"/>
        <w:jc w:val="both"/>
        <w:rPr>
          <w:rFonts w:ascii="Times New Roman" w:hAnsi="Times New Roman" w:cs="Times New Roman"/>
          <w:color w:val="000000" w:themeColor="text1"/>
          <w:kern w:val="2"/>
          <w:sz w:val="16"/>
          <w:szCs w:val="16"/>
        </w:rPr>
      </w:pPr>
    </w:p>
    <w:p w14:paraId="200ED41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3EC7B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5A5A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27 апреля (10 мая) 1917 американские атлантические конвои получают эскорт эсминцев (2100).</w:t>
      </w:r>
    </w:p>
    <w:p w14:paraId="6F4FF8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0DC762" w14:textId="77777777" w:rsidR="00C76B33" w:rsidRPr="002F2FDF" w:rsidRDefault="00C76B33" w:rsidP="0083075A">
      <w:pPr>
        <w:pStyle w:val="ae"/>
        <w:spacing w:before="0" w:after="0"/>
        <w:jc w:val="both"/>
        <w:rPr>
          <w:color w:val="000000" w:themeColor="text1"/>
          <w:kern w:val="2"/>
          <w:sz w:val="16"/>
          <w:szCs w:val="16"/>
        </w:rPr>
      </w:pPr>
      <w:r w:rsidRPr="002F2FDF">
        <w:rPr>
          <w:color w:val="000000" w:themeColor="text1"/>
          <w:kern w:val="2"/>
          <w:sz w:val="16"/>
          <w:szCs w:val="16"/>
        </w:rPr>
        <w:t>27 апреля (10 мая) 1917 от английских берегов вышел первый конвой к берегам острова Мальта и далее в Египет. Первые морские конвои (когда транспортные суда объединялись в крупные соединения, находящиеся под охраной специальных конвойных боевых кораблей) были сформированы британцами в конце апреля для проводки судов в Ла-Манше и через Северное море, что тут же дало эффект — после катастрофических потерь в апреле, когда германские подлодки смогли потопить почти 500 судов союзников по Антанте, безопасность на основных морских путях вокруг Великобритании выросла в несколько раз (17045).</w:t>
      </w:r>
    </w:p>
    <w:p w14:paraId="2DA6DD6F" w14:textId="77777777" w:rsidR="00C76B33" w:rsidRPr="002F2FDF" w:rsidRDefault="00C76B3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89B53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EF969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50423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28 апреля (11 мая) 1917 г. произошла авария “Муромца”. УВВФ поставило вопрос о проверке прочности “Муромцев” и оценке их реальных аэродина</w:t>
      </w:r>
      <w:r w:rsidRPr="002F2FDF">
        <w:rPr>
          <w:rFonts w:ascii="Times New Roman" w:hAnsi="Times New Roman" w:cs="Times New Roman"/>
          <w:color w:val="000000" w:themeColor="text1"/>
          <w:kern w:val="2"/>
          <w:sz w:val="16"/>
          <w:szCs w:val="16"/>
        </w:rPr>
        <w:softHyphen/>
        <w:t>мических характеристик. При Техническом комитете УВВФ была создана специальная комиссия. В нее вошли лучшие научные силы Петрогра</w:t>
      </w:r>
      <w:r w:rsidRPr="002F2FDF">
        <w:rPr>
          <w:rFonts w:ascii="Times New Roman" w:hAnsi="Times New Roman" w:cs="Times New Roman"/>
          <w:color w:val="000000" w:themeColor="text1"/>
          <w:kern w:val="2"/>
          <w:sz w:val="16"/>
          <w:szCs w:val="16"/>
        </w:rPr>
        <w:softHyphen/>
        <w:t>да - профессора Политехнического института А.П.Фан-дер-Флит (председатель), Г.А.Ботезат, С.П.Тимошенко. Комиссия начала свою деятельность с изучения черте</w:t>
      </w:r>
      <w:r w:rsidRPr="002F2FDF">
        <w:rPr>
          <w:rFonts w:ascii="Times New Roman" w:hAnsi="Times New Roman" w:cs="Times New Roman"/>
          <w:color w:val="000000" w:themeColor="text1"/>
          <w:kern w:val="2"/>
          <w:sz w:val="16"/>
          <w:szCs w:val="16"/>
        </w:rPr>
        <w:softHyphen/>
        <w:t>жей и расчетов. Выяснилось, что полного аэродинамиче</w:t>
      </w:r>
      <w:r w:rsidRPr="002F2FDF">
        <w:rPr>
          <w:rFonts w:ascii="Times New Roman" w:hAnsi="Times New Roman" w:cs="Times New Roman"/>
          <w:color w:val="000000" w:themeColor="text1"/>
          <w:kern w:val="2"/>
          <w:sz w:val="16"/>
          <w:szCs w:val="16"/>
        </w:rPr>
        <w:softHyphen/>
        <w:t>ского расчета и полного прочностного расчета самолета завод вообще не делал, многие элементы конструкции производились с учетом опыта постройки предыдущих самолетов. Комиссия сделала вывод о том, что “запас прочности “Муромцев” в два раза меньше, чем у самых слабых малых аппаратов”. Были даны рекомендации по усилению стоек и растяжек коробок крыльев. Однако не все в выводах комиссии было бесспорным (10667).</w:t>
      </w:r>
    </w:p>
    <w:p w14:paraId="7F090A1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4C9D0F" w14:textId="3DAE21A2" w:rsidR="00A56BA5" w:rsidRPr="00815ED5" w:rsidRDefault="00A56BA5"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28 </w:t>
      </w:r>
      <w:r w:rsidRPr="00815ED5">
        <w:rPr>
          <w:rFonts w:ascii="Times New Roman" w:hAnsi="Times New Roman" w:cs="Times New Roman"/>
          <w:color w:val="0070C0"/>
          <w:sz w:val="16"/>
          <w:szCs w:val="16"/>
        </w:rPr>
        <w:t>апреля</w:t>
      </w:r>
      <w:r>
        <w:rPr>
          <w:rFonts w:ascii="Times New Roman" w:hAnsi="Times New Roman" w:cs="Times New Roman"/>
          <w:color w:val="0070C0"/>
          <w:sz w:val="16"/>
          <w:szCs w:val="16"/>
        </w:rPr>
        <w:t xml:space="preserve"> (11 сая) 1917 г.</w:t>
      </w:r>
      <w:r w:rsidRPr="00815ED5">
        <w:rPr>
          <w:rFonts w:ascii="Times New Roman" w:hAnsi="Times New Roman" w:cs="Times New Roman"/>
          <w:color w:val="0070C0"/>
          <w:sz w:val="16"/>
          <w:szCs w:val="16"/>
        </w:rPr>
        <w:t xml:space="preserve"> в Двинске открылся фронтовой "Первый инженерно-технический с</w:t>
      </w:r>
      <w:r>
        <w:rPr>
          <w:rFonts w:ascii="Times New Roman" w:hAnsi="Times New Roman" w:cs="Times New Roman"/>
          <w:color w:val="0070C0"/>
          <w:sz w:val="16"/>
          <w:szCs w:val="16"/>
        </w:rPr>
        <w:t>ъ</w:t>
      </w:r>
      <w:r w:rsidRPr="00815ED5">
        <w:rPr>
          <w:rFonts w:ascii="Times New Roman" w:hAnsi="Times New Roman" w:cs="Times New Roman"/>
          <w:color w:val="0070C0"/>
          <w:sz w:val="16"/>
          <w:szCs w:val="16"/>
        </w:rPr>
        <w:t>езд 5-й армии с авиационной и воздухоплавательной секция</w:t>
      </w:r>
      <w:r w:rsidRPr="00815ED5">
        <w:rPr>
          <w:rFonts w:ascii="Times New Roman" w:hAnsi="Times New Roman" w:cs="Times New Roman"/>
          <w:color w:val="0070C0"/>
          <w:sz w:val="16"/>
          <w:szCs w:val="16"/>
        </w:rPr>
        <w:softHyphen/>
        <w:t>ми.</w:t>
      </w:r>
      <w:r>
        <w:rPr>
          <w:rFonts w:ascii="Times New Roman" w:hAnsi="Times New Roman" w:cs="Times New Roman"/>
          <w:color w:val="0070C0"/>
          <w:sz w:val="16"/>
          <w:szCs w:val="16"/>
        </w:rPr>
        <w:t xml:space="preserve"> Н</w:t>
      </w:r>
      <w:r w:rsidRPr="00815ED5">
        <w:rPr>
          <w:rFonts w:ascii="Times New Roman" w:hAnsi="Times New Roman" w:cs="Times New Roman"/>
          <w:color w:val="0070C0"/>
          <w:sz w:val="16"/>
          <w:szCs w:val="16"/>
        </w:rPr>
        <w:t>а с</w:t>
      </w:r>
      <w:r>
        <w:rPr>
          <w:rFonts w:ascii="Times New Roman" w:hAnsi="Times New Roman" w:cs="Times New Roman"/>
          <w:color w:val="0070C0"/>
          <w:sz w:val="16"/>
          <w:szCs w:val="16"/>
        </w:rPr>
        <w:t>ъ</w:t>
      </w:r>
      <w:r w:rsidRPr="00815ED5">
        <w:rPr>
          <w:rFonts w:ascii="Times New Roman" w:hAnsi="Times New Roman" w:cs="Times New Roman"/>
          <w:color w:val="0070C0"/>
          <w:sz w:val="16"/>
          <w:szCs w:val="16"/>
        </w:rPr>
        <w:t>е</w:t>
      </w:r>
      <w:r>
        <w:rPr>
          <w:rFonts w:ascii="Times New Roman" w:hAnsi="Times New Roman" w:cs="Times New Roman"/>
          <w:color w:val="0070C0"/>
          <w:sz w:val="16"/>
          <w:szCs w:val="16"/>
        </w:rPr>
        <w:t>з</w:t>
      </w:r>
      <w:r w:rsidRPr="00815ED5">
        <w:rPr>
          <w:rFonts w:ascii="Times New Roman" w:hAnsi="Times New Roman" w:cs="Times New Roman"/>
          <w:color w:val="0070C0"/>
          <w:sz w:val="16"/>
          <w:szCs w:val="16"/>
        </w:rPr>
        <w:t>де решались вопросы о реорганизации, воздухоплавательных дивизионов,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 совместной работе с авиацией и артиллерией,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 допущении солдат к исполнению обязанностей летчиков-наблюдателей и др.</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вопросы.</w:t>
      </w:r>
    </w:p>
    <w:p w14:paraId="50320032" w14:textId="33EC79B4" w:rsidR="00A56BA5" w:rsidRDefault="00A56BA5"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/Юбилейный сборник "Красный воздушный флот" 1918-1923/</w:t>
      </w:r>
      <w:r>
        <w:rPr>
          <w:rFonts w:ascii="Times New Roman" w:hAnsi="Times New Roman" w:cs="Times New Roman"/>
          <w:color w:val="0070C0"/>
          <w:sz w:val="16"/>
          <w:szCs w:val="16"/>
        </w:rPr>
        <w:t xml:space="preserve"> (23320)</w:t>
      </w:r>
      <w:r w:rsidR="00396E71">
        <w:rPr>
          <w:rFonts w:ascii="Times New Roman" w:hAnsi="Times New Roman" w:cs="Times New Roman"/>
          <w:color w:val="0070C0"/>
          <w:sz w:val="16"/>
          <w:szCs w:val="16"/>
        </w:rPr>
        <w:t>.</w:t>
      </w:r>
    </w:p>
    <w:p w14:paraId="293E5D67" w14:textId="77777777" w:rsidR="00A56BA5" w:rsidRPr="00815ED5" w:rsidRDefault="00A56BA5" w:rsidP="0083075A">
      <w:pPr>
        <w:spacing w:after="0" w:line="240" w:lineRule="auto"/>
        <w:jc w:val="both"/>
        <w:rPr>
          <w:rFonts w:ascii="Times New Roman" w:hAnsi="Times New Roman" w:cs="Times New Roman"/>
          <w:color w:val="0070C0"/>
          <w:sz w:val="16"/>
          <w:szCs w:val="16"/>
        </w:rPr>
      </w:pPr>
    </w:p>
    <w:p w14:paraId="18D56449" w14:textId="77777777" w:rsidR="003D6BB9" w:rsidRPr="002F2FDF" w:rsidRDefault="003D6BB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4D7505A2" w14:textId="77777777" w:rsidR="003D6BB9" w:rsidRPr="002F2FDF" w:rsidRDefault="003D6BB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65EBC6" w14:textId="253BE42C" w:rsidR="003D6BB9" w:rsidRPr="002F2FDF" w:rsidRDefault="003D6BB9" w:rsidP="0083075A">
      <w:pPr>
        <w:pStyle w:val="p1"/>
        <w:spacing w:before="0" w:beforeAutospacing="0" w:after="0" w:afterAutospacing="0"/>
        <w:jc w:val="both"/>
        <w:rPr>
          <w:color w:val="000000" w:themeColor="text1"/>
          <w:sz w:val="16"/>
          <w:szCs w:val="16"/>
        </w:rPr>
      </w:pPr>
      <w:r w:rsidRPr="002F2FDF">
        <w:rPr>
          <w:color w:val="000000" w:themeColor="text1"/>
          <w:sz w:val="16"/>
          <w:szCs w:val="16"/>
        </w:rPr>
        <w:t>28 апреля (</w:t>
      </w:r>
      <w:r w:rsidR="00EB3E32">
        <w:rPr>
          <w:color w:val="000000" w:themeColor="text1"/>
          <w:sz w:val="16"/>
          <w:szCs w:val="16"/>
        </w:rPr>
        <w:t>11</w:t>
      </w:r>
      <w:r w:rsidRPr="002F2FDF">
        <w:rPr>
          <w:color w:val="000000" w:themeColor="text1"/>
          <w:sz w:val="16"/>
          <w:szCs w:val="16"/>
        </w:rPr>
        <w:t xml:space="preserve"> мая) 1917 г. при пересмотре Комиссией Покровского программы строительства новых заводов, создание Пензенского трубочного завода решено было продолжить. Для Пензенского завода предназначался готовый комплект станков, инструментов и лекал, предложенный за 1,5 млн. долларов заводом Recording and Computing Со в Дейтоне (США) (18409).</w:t>
      </w:r>
    </w:p>
    <w:p w14:paraId="6A12CF30" w14:textId="77777777" w:rsidR="003D6BB9" w:rsidRPr="002F2FDF" w:rsidRDefault="003D6BB9" w:rsidP="0083075A">
      <w:pPr>
        <w:pStyle w:val="p1"/>
        <w:spacing w:before="0" w:beforeAutospacing="0" w:after="0" w:afterAutospacing="0"/>
        <w:jc w:val="both"/>
        <w:rPr>
          <w:color w:val="000000" w:themeColor="text1"/>
          <w:sz w:val="16"/>
          <w:szCs w:val="16"/>
        </w:rPr>
      </w:pPr>
    </w:p>
    <w:p w14:paraId="6EA3507B" w14:textId="7B3C67C7" w:rsidR="003D6BB9" w:rsidRPr="002F2FDF" w:rsidRDefault="003D6BB9" w:rsidP="0083075A">
      <w:pPr>
        <w:pStyle w:val="p1"/>
        <w:spacing w:before="0" w:beforeAutospacing="0" w:after="0" w:afterAutospacing="0"/>
        <w:jc w:val="both"/>
        <w:rPr>
          <w:color w:val="000000" w:themeColor="text1"/>
          <w:sz w:val="16"/>
          <w:szCs w:val="16"/>
        </w:rPr>
      </w:pPr>
      <w:r w:rsidRPr="002F2FDF">
        <w:rPr>
          <w:color w:val="000000" w:themeColor="text1"/>
          <w:sz w:val="16"/>
          <w:szCs w:val="16"/>
        </w:rPr>
        <w:t>28 апреля (</w:t>
      </w:r>
      <w:r w:rsidR="00EB3E32">
        <w:rPr>
          <w:color w:val="000000" w:themeColor="text1"/>
          <w:sz w:val="16"/>
          <w:szCs w:val="16"/>
        </w:rPr>
        <w:t>11</w:t>
      </w:r>
      <w:r w:rsidRPr="002F2FDF">
        <w:rPr>
          <w:color w:val="000000" w:themeColor="text1"/>
          <w:sz w:val="16"/>
          <w:szCs w:val="16"/>
        </w:rPr>
        <w:t xml:space="preserve"> мая) 1917 г. Комиссии Покровского обсуждался вопрос строительства Воронежского завода взрывателей. К тому времени городское хозяйство оказалось в тяжелейшем положении. Оно лишилось многих рабочих рук, привычной доставки строительных материалов по железной дороге; транспорт пришел в расстройство; казармы для военнопленных, расположенные в центре, распространяли зловоние. Обслуживая объект, городские власти «значительно отвлеклись» от своих обычных проблем, в жертву были принесены и развитие хозяйства, и вопросы стабилизации бюджета. На месте имелся только кирпич, а для подвоза прочих материалов потребовалось бы в мае — июне 2200 вагонов, но на это не приходилось рассчитывать. Еще не были спроектированы водопровод, канализация, система отопления. Никто не знал, когда поступят из Англии котлы и турбины. Дата 15 декабря как срок, когда здания будут построены и пригодны для размещения станков, была признана нереальной. Поскольку валовое производство на заводе ранее июля 1918 г. наладиться никак не могло, Снарядная секция Комиссии Покровского предложила считать постройку нерациональной и приостановить, проект завода «переработать и осуществить при нормальных условиях», когда-то в будущем; «завод Дейтона оставить пока в Америке, получая прямо оттуда готовые изделия». За предложенную резолюцию высказались представители финансового ведомства и всех общественных организаций, кроме Союза инженеров. Против выступили представители ГАУ, ГВТУ и МПС. Но и английское правительство воспрепятствовало приобретению американского оборудования, отказав в кредите; оно ссылалось на то, что сооружаемый завод не поспеет до окончания войны.</w:t>
      </w:r>
    </w:p>
    <w:p w14:paraId="0A537C0B" w14:textId="77777777" w:rsidR="003D6BB9" w:rsidRPr="002F2FDF" w:rsidRDefault="003D6BB9"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 апреле на стройку привезли румын, а из Тоцкого лагеря под Самарой 98 военнопленных чехов, было назначено и еще 200 военнопленных (18409).</w:t>
      </w:r>
    </w:p>
    <w:p w14:paraId="3FCA6120" w14:textId="77777777" w:rsidR="003D6BB9" w:rsidRPr="002F2FDF" w:rsidRDefault="003D6BB9" w:rsidP="0083075A">
      <w:pPr>
        <w:pStyle w:val="p1"/>
        <w:spacing w:before="0" w:beforeAutospacing="0" w:after="0" w:afterAutospacing="0"/>
        <w:jc w:val="both"/>
        <w:rPr>
          <w:color w:val="000000" w:themeColor="text1"/>
          <w:sz w:val="16"/>
          <w:szCs w:val="16"/>
        </w:rPr>
      </w:pPr>
    </w:p>
    <w:p w14:paraId="5A412817" w14:textId="3FA60B60" w:rsidR="00504A20" w:rsidRPr="00FB4F67" w:rsidRDefault="00504A20" w:rsidP="0083075A">
      <w:pPr>
        <w:spacing w:after="0" w:line="240" w:lineRule="auto"/>
        <w:jc w:val="both"/>
        <w:rPr>
          <w:rFonts w:ascii="Times New Roman" w:hAnsi="Times New Roman" w:cs="Times New Roman"/>
          <w:color w:val="0070C0"/>
          <w:sz w:val="16"/>
          <w:szCs w:val="16"/>
        </w:rPr>
      </w:pPr>
      <w:bookmarkStart w:id="96" w:name="bookmark758"/>
      <w:bookmarkStart w:id="97" w:name="bookmark759"/>
      <w:r w:rsidRPr="00FB4F67">
        <w:rPr>
          <w:rFonts w:ascii="Times New Roman" w:hAnsi="Times New Roman" w:cs="Times New Roman"/>
          <w:color w:val="0070C0"/>
          <w:sz w:val="16"/>
          <w:szCs w:val="16"/>
        </w:rPr>
        <w:t xml:space="preserve">28 апреля </w:t>
      </w:r>
      <w:r>
        <w:rPr>
          <w:rFonts w:ascii="Times New Roman" w:hAnsi="Times New Roman" w:cs="Times New Roman"/>
          <w:color w:val="0070C0"/>
          <w:sz w:val="16"/>
          <w:szCs w:val="16"/>
        </w:rPr>
        <w:t xml:space="preserve">(11 мая) </w:t>
      </w:r>
      <w:r w:rsidRPr="00FB4F67">
        <w:rPr>
          <w:rFonts w:ascii="Times New Roman" w:hAnsi="Times New Roman" w:cs="Times New Roman"/>
          <w:color w:val="0070C0"/>
          <w:sz w:val="16"/>
          <w:szCs w:val="16"/>
        </w:rPr>
        <w:t>1917 г. проект строительства Воронежского трубочного завода обсуждался в Комиссии По</w:t>
      </w:r>
      <w:r w:rsidRPr="00FB4F67">
        <w:rPr>
          <w:rFonts w:ascii="Times New Roman" w:hAnsi="Times New Roman" w:cs="Times New Roman"/>
          <w:color w:val="0070C0"/>
          <w:sz w:val="16"/>
          <w:szCs w:val="16"/>
        </w:rPr>
        <w:softHyphen/>
        <w:t>кровского. К тому времени городское хо</w:t>
      </w:r>
      <w:r w:rsidRPr="00FB4F67">
        <w:rPr>
          <w:rFonts w:ascii="Times New Roman" w:hAnsi="Times New Roman" w:cs="Times New Roman"/>
          <w:color w:val="0070C0"/>
          <w:sz w:val="16"/>
          <w:szCs w:val="16"/>
        </w:rPr>
        <w:softHyphen/>
        <w:t>зяйство оказалось в тяжелейшем положении. Оно лишилось многих рабочих рук, привычной доставки строительных материалов по железной дороге; транспорт пришел в рас</w:t>
      </w:r>
      <w:r w:rsidRPr="00FB4F67">
        <w:rPr>
          <w:rFonts w:ascii="Times New Roman" w:hAnsi="Times New Roman" w:cs="Times New Roman"/>
          <w:color w:val="0070C0"/>
          <w:sz w:val="16"/>
          <w:szCs w:val="16"/>
        </w:rPr>
        <w:softHyphen/>
        <w:t>стройство; казармы для военнопленных, расположенные в центре, распространяли зловоние. Обслуживая объект, го</w:t>
      </w:r>
      <w:r w:rsidRPr="00FB4F67">
        <w:rPr>
          <w:rFonts w:ascii="Times New Roman" w:hAnsi="Times New Roman" w:cs="Times New Roman"/>
          <w:color w:val="0070C0"/>
          <w:sz w:val="16"/>
          <w:szCs w:val="16"/>
        </w:rPr>
        <w:softHyphen/>
        <w:t>родские власти «значительно отвлеклись» от своих обычных проблем, в жертву были принесены и развитие хозяйства, и вопросы стабилизации бюджета (РГВИА. Ф. 505. On. 1. Д. 87. Л. 170; Попов П.А. Указ. соч. С. 328, 315—316.). На месте имелся только кирпич, а для подвоза прочих материалов потребовалось бы в мае—июне 2200 вагонов, но на это не приходилось рас</w:t>
      </w:r>
      <w:r w:rsidRPr="00FB4F67">
        <w:rPr>
          <w:rFonts w:ascii="Times New Roman" w:hAnsi="Times New Roman" w:cs="Times New Roman"/>
          <w:color w:val="0070C0"/>
          <w:sz w:val="16"/>
          <w:szCs w:val="16"/>
        </w:rPr>
        <w:softHyphen/>
        <w:t>считывать. Еще не были спроектированы водопровод, ка</w:t>
      </w:r>
      <w:r w:rsidRPr="00FB4F67">
        <w:rPr>
          <w:rFonts w:ascii="Times New Roman" w:hAnsi="Times New Roman" w:cs="Times New Roman"/>
          <w:color w:val="0070C0"/>
          <w:sz w:val="16"/>
          <w:szCs w:val="16"/>
        </w:rPr>
        <w:softHyphen/>
        <w:t>нализация, система отопления. Никто не знал, когда по</w:t>
      </w:r>
      <w:r w:rsidRPr="00FB4F67">
        <w:rPr>
          <w:rFonts w:ascii="Times New Roman" w:hAnsi="Times New Roman" w:cs="Times New Roman"/>
          <w:color w:val="0070C0"/>
          <w:sz w:val="16"/>
          <w:szCs w:val="16"/>
        </w:rPr>
        <w:softHyphen/>
        <w:t>ступят из Англии котлы и турбины. Дата 15 декабря как срок, когда здания будут построены и пригодны для раз</w:t>
      </w:r>
      <w:r w:rsidRPr="00FB4F67">
        <w:rPr>
          <w:rFonts w:ascii="Times New Roman" w:hAnsi="Times New Roman" w:cs="Times New Roman"/>
          <w:color w:val="0070C0"/>
          <w:sz w:val="16"/>
          <w:szCs w:val="16"/>
        </w:rPr>
        <w:softHyphen/>
        <w:t>мещения станков, была признана нереальной. Поскольку валовое производство на заводе ранее июля 1918 г. нала</w:t>
      </w:r>
      <w:r w:rsidRPr="00FB4F67">
        <w:rPr>
          <w:rFonts w:ascii="Times New Roman" w:hAnsi="Times New Roman" w:cs="Times New Roman"/>
          <w:color w:val="0070C0"/>
          <w:sz w:val="16"/>
          <w:szCs w:val="16"/>
        </w:rPr>
        <w:softHyphen/>
        <w:t>диться никак не могло, Снарядная секция Комиссии По</w:t>
      </w:r>
      <w:r w:rsidRPr="00FB4F67">
        <w:rPr>
          <w:rFonts w:ascii="Times New Roman" w:hAnsi="Times New Roman" w:cs="Times New Roman"/>
          <w:color w:val="0070C0"/>
          <w:sz w:val="16"/>
          <w:szCs w:val="16"/>
        </w:rPr>
        <w:softHyphen/>
        <w:t>кровского предложила считать постройку нерациональной и приостановить, проект завода «переработать и осущест</w:t>
      </w:r>
      <w:r w:rsidRPr="00FB4F67">
        <w:rPr>
          <w:rFonts w:ascii="Times New Roman" w:hAnsi="Times New Roman" w:cs="Times New Roman"/>
          <w:color w:val="0070C0"/>
          <w:sz w:val="16"/>
          <w:szCs w:val="16"/>
        </w:rPr>
        <w:softHyphen/>
        <w:t>вить при нормальных условиях», когда-то в будущем; «завод Дейтона оставить пока в Америке, получая прямо оттуда готовые изделия». За предложенную резолюцию высказа</w:t>
      </w:r>
      <w:r w:rsidRPr="00FB4F67">
        <w:rPr>
          <w:rFonts w:ascii="Times New Roman" w:hAnsi="Times New Roman" w:cs="Times New Roman"/>
          <w:color w:val="0070C0"/>
          <w:sz w:val="16"/>
          <w:szCs w:val="16"/>
        </w:rPr>
        <w:softHyphen/>
        <w:t>лись представители финансового ведомства и всех обще</w:t>
      </w:r>
      <w:r w:rsidRPr="00FB4F67">
        <w:rPr>
          <w:rFonts w:ascii="Times New Roman" w:hAnsi="Times New Roman" w:cs="Times New Roman"/>
          <w:color w:val="0070C0"/>
          <w:sz w:val="16"/>
          <w:szCs w:val="16"/>
        </w:rPr>
        <w:softHyphen/>
        <w:t>ственных организаций, кроме Союза инженеров. Против выступили представители ГАУ, ГВТУ и МПС (РГВИА. Ф. 13251. Оп. 28. Д. 1. Л. 19). Но и ан</w:t>
      </w:r>
      <w:r w:rsidRPr="00FB4F67">
        <w:rPr>
          <w:rFonts w:ascii="Times New Roman" w:hAnsi="Times New Roman" w:cs="Times New Roman"/>
          <w:color w:val="0070C0"/>
          <w:sz w:val="16"/>
          <w:szCs w:val="16"/>
        </w:rPr>
        <w:softHyphen/>
        <w:t>глийское правительство воспрепятствовало приобретению американского оборудования, отказав в кредите; оно ссы</w:t>
      </w:r>
      <w:r w:rsidRPr="00FB4F67">
        <w:rPr>
          <w:rFonts w:ascii="Times New Roman" w:hAnsi="Times New Roman" w:cs="Times New Roman"/>
          <w:color w:val="0070C0"/>
          <w:sz w:val="16"/>
          <w:szCs w:val="16"/>
        </w:rPr>
        <w:softHyphen/>
        <w:t>лалось на то, что сооружаемый завод не поспеет до окон</w:t>
      </w:r>
      <w:r w:rsidRPr="00FB4F67">
        <w:rPr>
          <w:rFonts w:ascii="Times New Roman" w:hAnsi="Times New Roman" w:cs="Times New Roman"/>
          <w:color w:val="0070C0"/>
          <w:sz w:val="16"/>
          <w:szCs w:val="16"/>
        </w:rPr>
        <w:softHyphen/>
        <w:t>чания войны (Бабичев Д.С. Деятельность Русского правительственного комитета. С. 282-283).</w:t>
      </w:r>
    </w:p>
    <w:p w14:paraId="10ABE43B" w14:textId="77777777" w:rsidR="00504A20" w:rsidRPr="00FB4F67" w:rsidRDefault="00504A2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24 июня 1917 г. ГАУ предписало остановить исполнение проекта, закончив лишь главное здание, и представить план ликвидации (в этот же момент ГАУ распорядилось закрыть в Воронеже трубочный завод товарищества «Столль»), но 4 августа Маниковский, в то время помощник военного министра, утвердил журнал Ликвидационной комиссии (общей) Покровского (заседание 31 июля), которая поста</w:t>
      </w:r>
      <w:r w:rsidRPr="00FB4F67">
        <w:rPr>
          <w:rFonts w:ascii="Times New Roman" w:hAnsi="Times New Roman" w:cs="Times New Roman"/>
          <w:color w:val="0070C0"/>
          <w:sz w:val="16"/>
          <w:szCs w:val="16"/>
        </w:rPr>
        <w:softHyphen/>
        <w:t>новила продолжить постройку. 16 августа воронежская ко</w:t>
      </w:r>
      <w:r w:rsidRPr="00FB4F67">
        <w:rPr>
          <w:rFonts w:ascii="Times New Roman" w:hAnsi="Times New Roman" w:cs="Times New Roman"/>
          <w:color w:val="0070C0"/>
          <w:sz w:val="16"/>
          <w:szCs w:val="16"/>
        </w:rPr>
        <w:softHyphen/>
        <w:t>миссия просила прикомандировать для железобетонных работ военнопленных, по мере их высвобождения, со строй</w:t>
      </w:r>
      <w:r w:rsidRPr="00FB4F67">
        <w:rPr>
          <w:rFonts w:ascii="Times New Roman" w:hAnsi="Times New Roman" w:cs="Times New Roman"/>
          <w:color w:val="0070C0"/>
          <w:sz w:val="16"/>
          <w:szCs w:val="16"/>
        </w:rPr>
        <w:softHyphen/>
        <w:t>ки Пензенского трубочного завода, где они занимались та</w:t>
      </w:r>
      <w:r w:rsidRPr="00FB4F67">
        <w:rPr>
          <w:rFonts w:ascii="Times New Roman" w:hAnsi="Times New Roman" w:cs="Times New Roman"/>
          <w:color w:val="0070C0"/>
          <w:sz w:val="16"/>
          <w:szCs w:val="16"/>
        </w:rPr>
        <w:softHyphen/>
        <w:t>кими же работами более года, и доставка их оттуда про</w:t>
      </w:r>
      <w:r w:rsidRPr="00FB4F67">
        <w:rPr>
          <w:rFonts w:ascii="Times New Roman" w:hAnsi="Times New Roman" w:cs="Times New Roman"/>
          <w:color w:val="0070C0"/>
          <w:sz w:val="16"/>
          <w:szCs w:val="16"/>
        </w:rPr>
        <w:softHyphen/>
        <w:t>должалась до ноября.</w:t>
      </w:r>
    </w:p>
    <w:p w14:paraId="2D5F7829" w14:textId="77777777" w:rsidR="00504A20" w:rsidRPr="00504A20" w:rsidRDefault="00504A20" w:rsidP="0083075A">
      <w:pPr>
        <w:spacing w:after="0" w:line="240" w:lineRule="auto"/>
        <w:jc w:val="both"/>
        <w:rPr>
          <w:rFonts w:ascii="Times New Roman" w:hAnsi="Times New Roman" w:cs="Times New Roman"/>
          <w:color w:val="0070C0"/>
          <w:sz w:val="16"/>
          <w:szCs w:val="16"/>
          <w:lang w:val="en-US"/>
        </w:rPr>
      </w:pPr>
      <w:r w:rsidRPr="00FB4F67">
        <w:rPr>
          <w:rFonts w:ascii="Times New Roman" w:hAnsi="Times New Roman" w:cs="Times New Roman"/>
          <w:color w:val="0070C0"/>
          <w:sz w:val="16"/>
          <w:szCs w:val="16"/>
        </w:rPr>
        <w:t>22 сентября 1917 г. Орлов уведомил председателя комис</w:t>
      </w:r>
      <w:r w:rsidRPr="00FB4F67">
        <w:rPr>
          <w:rFonts w:ascii="Times New Roman" w:hAnsi="Times New Roman" w:cs="Times New Roman"/>
          <w:color w:val="0070C0"/>
          <w:sz w:val="16"/>
          <w:szCs w:val="16"/>
        </w:rPr>
        <w:softHyphen/>
        <w:t>сии, что получено «согласие военного министра на возмож</w:t>
      </w:r>
      <w:r w:rsidRPr="00FB4F67">
        <w:rPr>
          <w:rFonts w:ascii="Times New Roman" w:hAnsi="Times New Roman" w:cs="Times New Roman"/>
          <w:color w:val="0070C0"/>
          <w:sz w:val="16"/>
          <w:szCs w:val="16"/>
        </w:rPr>
        <w:softHyphen/>
        <w:t>ное продолжение» работ, и распорядился срочно привести новый завод «в такое состояние, чтобы он был вполне при</w:t>
      </w:r>
      <w:r w:rsidRPr="00FB4F67">
        <w:rPr>
          <w:rFonts w:ascii="Times New Roman" w:hAnsi="Times New Roman" w:cs="Times New Roman"/>
          <w:color w:val="0070C0"/>
          <w:sz w:val="16"/>
          <w:szCs w:val="16"/>
        </w:rPr>
        <w:softHyphen/>
        <w:t>годен к размещению и пуску в ход завода, переносимого из Петрограда». 21 октября Орлов приказал «ускорить построй</w:t>
      </w:r>
      <w:r w:rsidRPr="00FB4F67">
        <w:rPr>
          <w:rFonts w:ascii="Times New Roman" w:hAnsi="Times New Roman" w:cs="Times New Roman"/>
          <w:color w:val="0070C0"/>
          <w:sz w:val="16"/>
          <w:szCs w:val="16"/>
        </w:rPr>
        <w:softHyphen/>
        <w:t>ку и оборудование силовой станции, минуя все препят</w:t>
      </w:r>
      <w:r w:rsidRPr="00FB4F67">
        <w:rPr>
          <w:rFonts w:ascii="Times New Roman" w:hAnsi="Times New Roman" w:cs="Times New Roman"/>
          <w:color w:val="0070C0"/>
          <w:sz w:val="16"/>
          <w:szCs w:val="16"/>
        </w:rPr>
        <w:softHyphen/>
        <w:t>ствия». 27 октября Маниковский предписал немедленно подготовиться к «приему Сестрорецкого и Петроградского трубочного заводов, эвакуируемых спешно в г. Воронеж», и комиссия начала хлопотать о прокладке кабеля от городской электростанции и искать материал «в громадном количестве» для железнодорожной ветки и внутренних рельсовых путей. К концу ноября из 3,4 млн руб., предназначенных на обо</w:t>
      </w:r>
      <w:r w:rsidRPr="00FB4F67">
        <w:rPr>
          <w:rFonts w:ascii="Times New Roman" w:hAnsi="Times New Roman" w:cs="Times New Roman"/>
          <w:color w:val="0070C0"/>
          <w:sz w:val="16"/>
          <w:szCs w:val="16"/>
        </w:rPr>
        <w:softHyphen/>
        <w:t>рудование силовой станции, было израсходовано 2,6 млн. 13 января 1918 г. архитектор рапортовал, «что работы на си</w:t>
      </w:r>
      <w:r w:rsidRPr="00FB4F67">
        <w:rPr>
          <w:rFonts w:ascii="Times New Roman" w:hAnsi="Times New Roman" w:cs="Times New Roman"/>
          <w:color w:val="0070C0"/>
          <w:sz w:val="16"/>
          <w:szCs w:val="16"/>
        </w:rPr>
        <w:softHyphen/>
        <w:t>ловой станции производятся днем и ночью непрерывно» (РГВИА. Ф</w:t>
      </w:r>
      <w:r w:rsidRPr="00504A20">
        <w:rPr>
          <w:rFonts w:ascii="Times New Roman" w:hAnsi="Times New Roman" w:cs="Times New Roman"/>
          <w:color w:val="0070C0"/>
          <w:sz w:val="16"/>
          <w:szCs w:val="16"/>
          <w:lang w:val="en-US"/>
        </w:rPr>
        <w:t xml:space="preserve">. 505. On. 1. </w:t>
      </w:r>
      <w:r w:rsidRPr="00FB4F67">
        <w:rPr>
          <w:rFonts w:ascii="Times New Roman" w:hAnsi="Times New Roman" w:cs="Times New Roman"/>
          <w:color w:val="0070C0"/>
          <w:sz w:val="16"/>
          <w:szCs w:val="16"/>
        </w:rPr>
        <w:t>Д</w:t>
      </w:r>
      <w:r w:rsidRPr="00504A20">
        <w:rPr>
          <w:rFonts w:ascii="Times New Roman" w:hAnsi="Times New Roman" w:cs="Times New Roman"/>
          <w:color w:val="0070C0"/>
          <w:sz w:val="16"/>
          <w:szCs w:val="16"/>
          <w:lang w:val="en-US"/>
        </w:rPr>
        <w:t xml:space="preserve">. 89. </w:t>
      </w:r>
      <w:r w:rsidRPr="00FB4F67">
        <w:rPr>
          <w:rFonts w:ascii="Times New Roman" w:hAnsi="Times New Roman" w:cs="Times New Roman"/>
          <w:color w:val="0070C0"/>
          <w:sz w:val="16"/>
          <w:szCs w:val="16"/>
        </w:rPr>
        <w:t>Л</w:t>
      </w:r>
      <w:r w:rsidRPr="00504A20">
        <w:rPr>
          <w:rFonts w:ascii="Times New Roman" w:hAnsi="Times New Roman" w:cs="Times New Roman"/>
          <w:color w:val="0070C0"/>
          <w:sz w:val="16"/>
          <w:szCs w:val="16"/>
          <w:lang w:val="en-US"/>
        </w:rPr>
        <w:t xml:space="preserve">. 84, 32; </w:t>
      </w:r>
      <w:r w:rsidRPr="00FB4F67">
        <w:rPr>
          <w:rFonts w:ascii="Times New Roman" w:hAnsi="Times New Roman" w:cs="Times New Roman"/>
          <w:color w:val="0070C0"/>
          <w:sz w:val="16"/>
          <w:szCs w:val="16"/>
        </w:rPr>
        <w:t>Д</w:t>
      </w:r>
      <w:r w:rsidRPr="00504A20">
        <w:rPr>
          <w:rFonts w:ascii="Times New Roman" w:hAnsi="Times New Roman" w:cs="Times New Roman"/>
          <w:color w:val="0070C0"/>
          <w:sz w:val="16"/>
          <w:szCs w:val="16"/>
          <w:lang w:val="en-US"/>
        </w:rPr>
        <w:t xml:space="preserve">. 86. </w:t>
      </w:r>
      <w:r w:rsidRPr="00FB4F67">
        <w:rPr>
          <w:rFonts w:ascii="Times New Roman" w:hAnsi="Times New Roman" w:cs="Times New Roman"/>
          <w:color w:val="0070C0"/>
          <w:sz w:val="16"/>
          <w:szCs w:val="16"/>
        </w:rPr>
        <w:t>Л</w:t>
      </w:r>
      <w:r w:rsidRPr="00504A20">
        <w:rPr>
          <w:rFonts w:ascii="Times New Roman" w:hAnsi="Times New Roman" w:cs="Times New Roman"/>
          <w:color w:val="0070C0"/>
          <w:sz w:val="16"/>
          <w:szCs w:val="16"/>
          <w:lang w:val="en-US"/>
        </w:rPr>
        <w:t xml:space="preserve">. 133; </w:t>
      </w:r>
      <w:r w:rsidRPr="00FB4F67">
        <w:rPr>
          <w:rFonts w:ascii="Times New Roman" w:hAnsi="Times New Roman" w:cs="Times New Roman"/>
          <w:color w:val="0070C0"/>
          <w:sz w:val="16"/>
          <w:szCs w:val="16"/>
        </w:rPr>
        <w:t>Д</w:t>
      </w:r>
      <w:r w:rsidRPr="00504A20">
        <w:rPr>
          <w:rFonts w:ascii="Times New Roman" w:hAnsi="Times New Roman" w:cs="Times New Roman"/>
          <w:color w:val="0070C0"/>
          <w:sz w:val="16"/>
          <w:szCs w:val="16"/>
          <w:lang w:val="en-US"/>
        </w:rPr>
        <w:t xml:space="preserve">. 87. </w:t>
      </w:r>
      <w:r w:rsidRPr="00FB4F67">
        <w:rPr>
          <w:rFonts w:ascii="Times New Roman" w:hAnsi="Times New Roman" w:cs="Times New Roman"/>
          <w:color w:val="0070C0"/>
          <w:sz w:val="16"/>
          <w:szCs w:val="16"/>
        </w:rPr>
        <w:t>Л</w:t>
      </w:r>
      <w:r w:rsidRPr="00504A20">
        <w:rPr>
          <w:rFonts w:ascii="Times New Roman" w:hAnsi="Times New Roman" w:cs="Times New Roman"/>
          <w:color w:val="0070C0"/>
          <w:sz w:val="16"/>
          <w:szCs w:val="16"/>
          <w:lang w:val="en-US"/>
        </w:rPr>
        <w:t xml:space="preserve">. 348, 356; </w:t>
      </w:r>
      <w:r w:rsidRPr="00FB4F67">
        <w:rPr>
          <w:rFonts w:ascii="Times New Roman" w:hAnsi="Times New Roman" w:cs="Times New Roman"/>
          <w:color w:val="0070C0"/>
          <w:sz w:val="16"/>
          <w:szCs w:val="16"/>
        </w:rPr>
        <w:t>Ф</w:t>
      </w:r>
      <w:r w:rsidRPr="00504A20">
        <w:rPr>
          <w:rFonts w:ascii="Times New Roman" w:hAnsi="Times New Roman" w:cs="Times New Roman"/>
          <w:color w:val="0070C0"/>
          <w:sz w:val="16"/>
          <w:szCs w:val="16"/>
          <w:lang w:val="en-US"/>
        </w:rPr>
        <w:t xml:space="preserve">. 531. On. 1. </w:t>
      </w:r>
      <w:r w:rsidRPr="00FB4F67">
        <w:rPr>
          <w:rFonts w:ascii="Times New Roman" w:hAnsi="Times New Roman" w:cs="Times New Roman"/>
          <w:color w:val="0070C0"/>
          <w:sz w:val="16"/>
          <w:szCs w:val="16"/>
        </w:rPr>
        <w:t>Д</w:t>
      </w:r>
      <w:r w:rsidRPr="00504A20">
        <w:rPr>
          <w:rFonts w:ascii="Times New Roman" w:hAnsi="Times New Roman" w:cs="Times New Roman"/>
          <w:color w:val="0070C0"/>
          <w:sz w:val="16"/>
          <w:szCs w:val="16"/>
          <w:lang w:val="en-US"/>
        </w:rPr>
        <w:t xml:space="preserve">. 25. </w:t>
      </w:r>
      <w:r w:rsidRPr="00FB4F67">
        <w:rPr>
          <w:rFonts w:ascii="Times New Roman" w:hAnsi="Times New Roman" w:cs="Times New Roman"/>
          <w:color w:val="0070C0"/>
          <w:sz w:val="16"/>
          <w:szCs w:val="16"/>
        </w:rPr>
        <w:t>Л</w:t>
      </w:r>
      <w:r w:rsidRPr="00504A20">
        <w:rPr>
          <w:rFonts w:ascii="Times New Roman" w:hAnsi="Times New Roman" w:cs="Times New Roman"/>
          <w:color w:val="0070C0"/>
          <w:sz w:val="16"/>
          <w:szCs w:val="16"/>
          <w:lang w:val="en-US"/>
        </w:rPr>
        <w:t xml:space="preserve">. 111 </w:t>
      </w:r>
      <w:r w:rsidRPr="00FB4F67">
        <w:rPr>
          <w:rFonts w:ascii="Times New Roman" w:hAnsi="Times New Roman" w:cs="Times New Roman"/>
          <w:color w:val="0070C0"/>
          <w:sz w:val="16"/>
          <w:szCs w:val="16"/>
        </w:rPr>
        <w:t>об</w:t>
      </w:r>
      <w:r w:rsidRPr="00504A20">
        <w:rPr>
          <w:rFonts w:ascii="Times New Roman" w:hAnsi="Times New Roman" w:cs="Times New Roman"/>
          <w:color w:val="0070C0"/>
          <w:sz w:val="16"/>
          <w:szCs w:val="16"/>
          <w:lang w:val="en-US"/>
        </w:rPr>
        <w:t>.) (23452).</w:t>
      </w:r>
    </w:p>
    <w:p w14:paraId="429196BC" w14:textId="77777777" w:rsidR="00504A20" w:rsidRPr="00504A20" w:rsidRDefault="00504A20" w:rsidP="0083075A">
      <w:pPr>
        <w:spacing w:after="0" w:line="240" w:lineRule="auto"/>
        <w:jc w:val="both"/>
        <w:rPr>
          <w:rFonts w:ascii="Times New Roman" w:hAnsi="Times New Roman" w:cs="Times New Roman"/>
          <w:color w:val="0070C0"/>
          <w:sz w:val="16"/>
          <w:szCs w:val="16"/>
          <w:lang w:val="en-US"/>
        </w:rPr>
      </w:pPr>
    </w:p>
    <w:bookmarkEnd w:id="96"/>
    <w:bookmarkEnd w:id="97"/>
    <w:p w14:paraId="51FCEC21" w14:textId="77777777" w:rsidR="003431D2" w:rsidRPr="00504A20"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2F2FDF">
        <w:rPr>
          <w:rFonts w:ascii="Times New Roman" w:hAnsi="Times New Roman" w:cs="Times New Roman"/>
          <w:i/>
          <w:iCs/>
          <w:color w:val="000000" w:themeColor="text1"/>
          <w:kern w:val="2"/>
          <w:sz w:val="16"/>
          <w:szCs w:val="16"/>
        </w:rPr>
        <w:t>Армия</w:t>
      </w:r>
      <w:r w:rsidRPr="00504A20">
        <w:rPr>
          <w:rFonts w:ascii="Times New Roman" w:hAnsi="Times New Roman" w:cs="Times New Roman"/>
          <w:i/>
          <w:iCs/>
          <w:color w:val="000000" w:themeColor="text1"/>
          <w:kern w:val="2"/>
          <w:sz w:val="16"/>
          <w:szCs w:val="16"/>
          <w:lang w:val="en-US"/>
        </w:rPr>
        <w:t>:</w:t>
      </w:r>
    </w:p>
    <w:p w14:paraId="6EFB9037" w14:textId="77777777" w:rsidR="003431D2" w:rsidRPr="00504A20"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43D893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апреля (11 мая) 1917 группа 1БАГ совершила 9 бое</w:t>
      </w:r>
      <w:r w:rsidRPr="002F2FDF">
        <w:rPr>
          <w:rFonts w:ascii="Times New Roman" w:hAnsi="Times New Roman" w:cs="Times New Roman"/>
          <w:color w:val="000000" w:themeColor="text1"/>
          <w:kern w:val="2"/>
          <w:sz w:val="16"/>
          <w:szCs w:val="16"/>
        </w:rPr>
        <w:softHyphen/>
        <w:t>вых вылетов, произошло два воздуш</w:t>
      </w:r>
      <w:r w:rsidRPr="002F2FDF">
        <w:rPr>
          <w:rFonts w:ascii="Times New Roman" w:hAnsi="Times New Roman" w:cs="Times New Roman"/>
          <w:color w:val="000000" w:themeColor="text1"/>
          <w:kern w:val="2"/>
          <w:sz w:val="16"/>
          <w:szCs w:val="16"/>
        </w:rPr>
        <w:softHyphen/>
        <w:t>ных боя. Один из них закончился для наших трагично: был сбит и погиб лет</w:t>
      </w:r>
      <w:r w:rsidRPr="002F2FDF">
        <w:rPr>
          <w:rFonts w:ascii="Times New Roman" w:hAnsi="Times New Roman" w:cs="Times New Roman"/>
          <w:color w:val="000000" w:themeColor="text1"/>
          <w:kern w:val="2"/>
          <w:sz w:val="16"/>
          <w:szCs w:val="16"/>
        </w:rPr>
        <w:softHyphen/>
        <w:t>чик 8-го истротряда Сарафов. Но в другом поединке пилоты авиагруппы вновь добились успеха. В 16 ч. 45 мин. Казаков “...летал для патрульной службы с летчиками 19-го као. В рай</w:t>
      </w:r>
      <w:r w:rsidRPr="002F2FDF">
        <w:rPr>
          <w:rFonts w:ascii="Times New Roman" w:hAnsi="Times New Roman" w:cs="Times New Roman"/>
          <w:color w:val="000000" w:themeColor="text1"/>
          <w:kern w:val="2"/>
          <w:sz w:val="16"/>
          <w:szCs w:val="16"/>
        </w:rPr>
        <w:softHyphen/>
        <w:t>оне Куропатники, встретив три непри</w:t>
      </w:r>
      <w:r w:rsidRPr="002F2FDF">
        <w:rPr>
          <w:rFonts w:ascii="Times New Roman" w:hAnsi="Times New Roman" w:cs="Times New Roman"/>
          <w:color w:val="000000" w:themeColor="text1"/>
          <w:kern w:val="2"/>
          <w:sz w:val="16"/>
          <w:szCs w:val="16"/>
        </w:rPr>
        <w:softHyphen/>
        <w:t>ятельских самолета, атаковал одного из них, оказавшийся Фоккером одно</w:t>
      </w:r>
      <w:r w:rsidRPr="002F2FDF">
        <w:rPr>
          <w:rFonts w:ascii="Times New Roman" w:hAnsi="Times New Roman" w:cs="Times New Roman"/>
          <w:color w:val="000000" w:themeColor="text1"/>
          <w:kern w:val="2"/>
          <w:sz w:val="16"/>
          <w:szCs w:val="16"/>
        </w:rPr>
        <w:softHyphen/>
        <w:t>местным. После боя с Казаковым и летчиком прапорщиком Леманом с наблюдателем капитаном Поляковым Фоккер снизился в районе западнее дер. Сарнки”. Как было установлено позже, этот самолет “...по показаниям наших войск опустился на военном плацу севернее Брзежан в располо</w:t>
      </w:r>
      <w:r w:rsidRPr="002F2FDF">
        <w:rPr>
          <w:rFonts w:ascii="Times New Roman" w:hAnsi="Times New Roman" w:cs="Times New Roman"/>
          <w:color w:val="000000" w:themeColor="text1"/>
          <w:kern w:val="2"/>
          <w:sz w:val="16"/>
          <w:szCs w:val="16"/>
        </w:rPr>
        <w:softHyphen/>
        <w:t>жении противника”. Из документов группы следует, что победу записали Леману и Полякову, Казаков же опять не включил себя в число победителей (3954).</w:t>
      </w:r>
    </w:p>
    <w:p w14:paraId="66940A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5959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апреля (11 мая) 1917 года № 137 Приказом Верховного Главнокомандующего определено формирование отдельной группы приемных радиостанций воздушной обороны Одесского военного округа, введено ее положение и штат. Из-за нехватки средств этот приказ выполнен не был, и в декабре 1917 года радиостанции воздушной обороны были переориентированы на выполнение задач радиосвязи.</w:t>
      </w:r>
    </w:p>
    <w:p w14:paraId="76BF8B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вокруг Петрограда и Одессы уже было выставлено по 60 наблюдательных постов, сведенных в роты наблюдателей и укомплектованных кадровыми офицерами и солдатами. В дальнейшем вокруг Петрограда количество таких постов увеличилось до 83. Для приема донесений от постов также было создано вокруг российской столицы 15 телефонных и телеграфных станций.</w:t>
      </w:r>
    </w:p>
    <w:p w14:paraId="2D664A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Чтобы заблаговременно предупредить о начале налета воздушного противника, в Петрограде в январе 1917 года была сделана первая попытка создать систему радиоразведки, получившую название “радиотелеграфная оборона Петрограда”.</w:t>
      </w:r>
    </w:p>
    <w:p w14:paraId="48394B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этой целью в Выборге, Нарве, Луге и Старой Руссе были развернуты четыре радиокомпасные станции, которые позволяли путем радиоперехвата и пеленгации обнаруживать воздухоплавательные средства противника на расстоянии в несколько сотен километров и определять направление их движения.</w:t>
      </w:r>
    </w:p>
    <w:p w14:paraId="5924EA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Также весной 1917 года по инициативе Ставки Верховного Главнокомандующего организована радиотелеграфная воздушная оборона в районе г. Одессы, чтобы сообщать о появлении неприятельских воздушных кораблей и определять местонахождение кораблей воздушного флота противника (11405).</w:t>
      </w:r>
    </w:p>
    <w:p w14:paraId="78581A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FA56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28–30 апреля (11-13 мая) 1917 по инициативе матросов-большевиков был создан Центральный комитет БФ — высший выборный революционно-демократический орган флота. Его председателем был избран большевик П. Е. Дыбенко.</w:t>
      </w:r>
    </w:p>
    <w:p w14:paraId="2CCCF9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1-й съезд БФ, проходивший в Гельсингфорсе (Хельсинки) с 25 мая по 15 июня, принял устав Центробалта. Центробалту поручалось контролировать «все приказания, постановления и распоряжения, касающиеся общественной, политической и внутренней жизни флота, откуда бы они ни исходили». Вокруг него объединялись революционные силы флота, боровшиеся за передачу власти Советам. </w:t>
      </w:r>
    </w:p>
    <w:p w14:paraId="4E7C1D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июле 1917 революционные матросы по призыву Центробалта участвовали в демонстрации и сорвали попытку Временного правительства использовать часть сил БФ для борьбы с революцией. По приказу Временного правительства делегация Центробалта, прибывшая в Петроград, чтобы потребовать от ВЦИК передачи власти </w:t>
      </w:r>
      <w:r w:rsidRPr="002F2FDF">
        <w:rPr>
          <w:rFonts w:ascii="Times New Roman" w:hAnsi="Times New Roman" w:cs="Times New Roman"/>
          <w:color w:val="000000" w:themeColor="text1"/>
          <w:kern w:val="2"/>
          <w:sz w:val="16"/>
          <w:szCs w:val="16"/>
        </w:rPr>
        <w:lastRenderedPageBreak/>
        <w:t xml:space="preserve">в руки Советов, во главе с Дыбенко была арестована, а Центробалт 1-го созыва (29 апреля – 10 июля) распущен. 11 июля Центробалт 2-го созыва также был распущен, так как потребовал освобождения арестованных членов Центробалта. </w:t>
      </w:r>
    </w:p>
    <w:p w14:paraId="0A83A7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Центробалт 3-го созыва (25 июля – 16 октября) оказал большую помощь революционным силам в разгроме корниловщины, а в сентябре 1917 формировал отряды из моряков-балтийцев и направлял их на оборону Моонзундских о-вов. 19 сентября на пленарном заседании Центробалта было решено не признавать власти Временного правительства и не выполнять его распоряжений (11712).</w:t>
      </w:r>
    </w:p>
    <w:p w14:paraId="77BA5C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663314" w14:textId="2DFFA557" w:rsidR="00EB3E32" w:rsidRPr="00FB4F67" w:rsidRDefault="00EB3E3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28 апреля (</w:t>
      </w:r>
      <w:r w:rsidRPr="00FB4F67">
        <w:rPr>
          <w:rFonts w:ascii="Times New Roman" w:hAnsi="Times New Roman" w:cs="Times New Roman"/>
          <w:color w:val="0070C0"/>
          <w:sz w:val="16"/>
          <w:szCs w:val="16"/>
        </w:rPr>
        <w:t>11 мая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на Северном фронте дирижабль ВМС Германии SL. 14 (E.7) разломился на две части при приземлении на своей базе в Вайнодене (23525).</w:t>
      </w:r>
    </w:p>
    <w:p w14:paraId="06C274CA" w14:textId="77777777" w:rsidR="00EB3E32" w:rsidRPr="00FB4F67" w:rsidRDefault="00EB3E32" w:rsidP="0083075A">
      <w:pPr>
        <w:spacing w:after="0" w:line="240" w:lineRule="auto"/>
        <w:jc w:val="both"/>
        <w:rPr>
          <w:rFonts w:ascii="Times New Roman" w:hAnsi="Times New Roman" w:cs="Times New Roman"/>
          <w:color w:val="0070C0"/>
          <w:sz w:val="16"/>
          <w:szCs w:val="16"/>
        </w:rPr>
      </w:pPr>
    </w:p>
    <w:p w14:paraId="6D0719C9" w14:textId="551C1431" w:rsidR="00EB3E32" w:rsidRPr="00FB4F67" w:rsidRDefault="00EB3E3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28 апреля (</w:t>
      </w:r>
      <w:r w:rsidRPr="00FB4F67">
        <w:rPr>
          <w:rFonts w:ascii="Times New Roman" w:hAnsi="Times New Roman" w:cs="Times New Roman"/>
          <w:color w:val="0070C0"/>
          <w:sz w:val="16"/>
          <w:szCs w:val="16"/>
        </w:rPr>
        <w:t>11 мая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Черном море российские авианосцы «Император Николай I» и «Император Александр I» были переименованы в «Авиатор» и «Республиканец». Другие русские военные корабли также были переименованы, отказавшись от имперских имен (23525).</w:t>
      </w:r>
    </w:p>
    <w:p w14:paraId="44751AE5" w14:textId="77777777" w:rsidR="00EB3E32" w:rsidRPr="00FB4F67" w:rsidRDefault="00EB3E32" w:rsidP="0083075A">
      <w:pPr>
        <w:spacing w:after="0" w:line="240" w:lineRule="auto"/>
        <w:jc w:val="both"/>
        <w:rPr>
          <w:rFonts w:ascii="Times New Roman" w:hAnsi="Times New Roman" w:cs="Times New Roman"/>
          <w:color w:val="0070C0"/>
          <w:sz w:val="16"/>
          <w:szCs w:val="16"/>
        </w:rPr>
      </w:pPr>
    </w:p>
    <w:p w14:paraId="43698688" w14:textId="77777777" w:rsidR="00CA6C19" w:rsidRPr="002F2FDF" w:rsidRDefault="00CA6C1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апреля (11 мая) в 1917 году начало организации Красной Гвардии в Петрограде (14888).</w:t>
      </w:r>
    </w:p>
    <w:p w14:paraId="425AF156" w14:textId="77777777" w:rsidR="00CA6C19" w:rsidRPr="002F2FDF" w:rsidRDefault="00CA6C19" w:rsidP="0083075A">
      <w:pPr>
        <w:spacing w:after="0" w:line="240" w:lineRule="auto"/>
        <w:jc w:val="both"/>
        <w:rPr>
          <w:rFonts w:ascii="Times New Roman" w:hAnsi="Times New Roman" w:cs="Times New Roman"/>
          <w:color w:val="000000" w:themeColor="text1"/>
          <w:kern w:val="2"/>
          <w:sz w:val="16"/>
          <w:szCs w:val="16"/>
        </w:rPr>
      </w:pPr>
    </w:p>
    <w:p w14:paraId="35E9599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2F2FDF">
        <w:rPr>
          <w:rFonts w:ascii="Times New Roman" w:hAnsi="Times New Roman" w:cs="Times New Roman"/>
          <w:i/>
          <w:iCs/>
          <w:color w:val="000000" w:themeColor="text1"/>
          <w:kern w:val="2"/>
          <w:sz w:val="16"/>
          <w:szCs w:val="16"/>
        </w:rPr>
        <w:t>Внешняя</w:t>
      </w:r>
      <w:r w:rsidRPr="002F2FDF">
        <w:rPr>
          <w:rFonts w:ascii="Times New Roman" w:hAnsi="Times New Roman" w:cs="Times New Roman"/>
          <w:i/>
          <w:iCs/>
          <w:color w:val="000000" w:themeColor="text1"/>
          <w:kern w:val="2"/>
          <w:sz w:val="16"/>
          <w:szCs w:val="16"/>
          <w:lang w:val="en-US"/>
        </w:rPr>
        <w:t xml:space="preserve"> </w:t>
      </w:r>
      <w:r w:rsidRPr="002F2FDF">
        <w:rPr>
          <w:rFonts w:ascii="Times New Roman" w:hAnsi="Times New Roman" w:cs="Times New Roman"/>
          <w:i/>
          <w:iCs/>
          <w:color w:val="000000" w:themeColor="text1"/>
          <w:kern w:val="2"/>
          <w:sz w:val="16"/>
          <w:szCs w:val="16"/>
        </w:rPr>
        <w:t>политика</w:t>
      </w:r>
      <w:r w:rsidRPr="002F2FDF">
        <w:rPr>
          <w:rFonts w:ascii="Times New Roman" w:hAnsi="Times New Roman" w:cs="Times New Roman"/>
          <w:i/>
          <w:iCs/>
          <w:color w:val="000000" w:themeColor="text1"/>
          <w:kern w:val="2"/>
          <w:sz w:val="16"/>
          <w:szCs w:val="16"/>
          <w:lang w:val="en-US"/>
        </w:rPr>
        <w:t>:</w:t>
      </w:r>
    </w:p>
    <w:p w14:paraId="541EDE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3F4BD7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May 11 1917 Russian Council of Workmen's and Soldiers' Delegates demands peace conference (1036).</w:t>
      </w:r>
    </w:p>
    <w:p w14:paraId="5B9FEF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1C662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апреля (11 мая) 1917 Российский Совет рабочих и солдатских депутатов потребовал созыва мирной конференции (1036).</w:t>
      </w:r>
    </w:p>
    <w:p w14:paraId="52B310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7CB44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D1C8F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FD68DB5" w14:textId="77777777" w:rsidR="00744DA6" w:rsidRPr="002F2FDF" w:rsidRDefault="00744D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28 апреля (11 мая) 1917 немецкий ас Эдмунд Натанаэль (15 побед) на Albatros DV прусского Jagdstaffel 5 подбит и погиб в результате 9-й из 21 побед шотландского аса капитана Уильяма Кеннеди-Кокрана-Патрика из 23-й эскадрильи RFC в Бурлоне. Дерево в Бельгии (20341).</w:t>
      </w:r>
    </w:p>
    <w:p w14:paraId="7507275A" w14:textId="77777777" w:rsidR="00744DA6" w:rsidRPr="002F2FDF" w:rsidRDefault="00744DA6" w:rsidP="0083075A">
      <w:pPr>
        <w:spacing w:after="0" w:line="240" w:lineRule="auto"/>
        <w:jc w:val="both"/>
        <w:rPr>
          <w:rFonts w:ascii="Times New Roman" w:hAnsi="Times New Roman" w:cs="Times New Roman"/>
          <w:color w:val="000000" w:themeColor="text1"/>
          <w:sz w:val="16"/>
          <w:szCs w:val="16"/>
        </w:rPr>
      </w:pPr>
    </w:p>
    <w:p w14:paraId="2BAEE3C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апреля (11 мая) 1917 у села Фатима (Португалия) трем малолетним детям было явление Богородицы (4962).</w:t>
      </w:r>
    </w:p>
    <w:p w14:paraId="6F654F5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A194B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DD348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8052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апреля (12 мая) 1917 г. у местечка Доброводы вблизи города Винницы произошла катастрофа корабля "Илья Муромец", который пилотировал экипаж во главе с поручиком Витковским. "Муромец" появился над аэродромом, где базировались истребители сопровождения, на высоте 3000 метров, и, подав условный сигнал в виде очереди из пулемета, стал разворачиваться с нормальным креном. В этот момент с него послышался сильный треск, и вслед за этим с самолета упали наклонный подкос к верхней плоскости, конец части левой плоскости, две совершенно целые межкрыльевые стойки, мелкие части нервюр и лонжеронов. После чего корабль перешел в пологий "штопор". На высоте 300-400 м экипажу удалось несколько выровнять машину, но затем самолет опять перешел в плоский "штопор" и упал на землю почти плашмя.</w:t>
      </w:r>
    </w:p>
    <w:p w14:paraId="2EF907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связи с эти случаем Технический комитет Управления Военного Воздушного Флота образовал комиссию, в состав которой вошли такие известные в то время ученые, как профессора А.П.Фан дер Флит (председатель), С.П.Тимошенко, Г.А.Ботезат. В докладе комиссии 16 мая 1917 отмечалось: "... производящиеся расчеты аэродинамических свойств аппаратов "Илья Муромец" и их прочности еще не закончены. Причиной этого служит почти полное отсутствие на Русско-Балтийском воздухоплавательном заводе (РБВЗ) не только вышеупомянутых расчетов, но даже и многих данных для производства таковых. Такое положение дела заставляет предположить, что по всей вероятности ни аэродинамического расчета аэроплана, ни расчета его прочности завод вообще не производил... На заводе не оказалось даже аэродинамических характеристик крыльев, не нашлось регулировочных чертежей и данных о регулировочном растяжении растяжек... Никаких данных о запасе прочности в аэроплане директор завода дать не мог, конструктор же Сикорский указал, что по его подсчетам запас прочности в аэроплане... составляет 4,5. Однако подсчеты, произведенные проф. Тимошенко с такими же допущениями, что и в расчетах Сикорского, показывают, что в этом случае некоторые части аппарата оказываются весьма слабыми, а иные несут даже напряжения, превышающие временное сопротивление их материала". В своих выводах комиссия высказала мнение, что "...постройка больших самолетов целыми сериями без подробного изучения их свойств, без лабораторных испытаний моделей и без производства аэродинамических расчетов на заводе представляется совершенно ненормальным явлением". В заключении комиссия отметила, что "...самолет "Илья Муромец" с точки зрения прочности в полете опасен, дальнейших заказов аппаратов этого типа делать не следует, лучше выработать новый тип, чем заниматься "Ильей Муромцем". Это заключение было оглашено на заседании комиссии 26 мая 1917 г., на котором присутствовали член Государственного Совета, председатель Комиссии по авиационным вопросам при Особом совещании В.И.Гурко, депутат Государственной Думы А.Ф.Половцев, конструктор самолета И.И.Сикорский и директор РБВЗ В.И.Ярковский. Со стороны представителей завода возражений по существу вышеизложенного сделано не было (3407).</w:t>
      </w:r>
    </w:p>
    <w:p w14:paraId="229A66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другим данным - в районе Тернополя и машина упала с 3000 м. Погиб весь экипаж во главе с ст. л Г.И.Лавровым (3631).</w:t>
      </w:r>
    </w:p>
    <w:p w14:paraId="1848C5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CCB6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апреля (12 мая) 1917 был запланирован полет истребителей группы 1БАГ на сопровожде</w:t>
      </w:r>
      <w:r w:rsidRPr="002F2FDF">
        <w:rPr>
          <w:rFonts w:ascii="Times New Roman" w:hAnsi="Times New Roman" w:cs="Times New Roman"/>
          <w:color w:val="000000" w:themeColor="text1"/>
          <w:kern w:val="2"/>
          <w:sz w:val="16"/>
          <w:szCs w:val="16"/>
        </w:rPr>
        <w:softHyphen/>
        <w:t>ние бомбардировщика “Илья Муромец”, но вместо этого произошла ка</w:t>
      </w:r>
      <w:r w:rsidRPr="002F2FDF">
        <w:rPr>
          <w:rFonts w:ascii="Times New Roman" w:hAnsi="Times New Roman" w:cs="Times New Roman"/>
          <w:color w:val="000000" w:themeColor="text1"/>
          <w:kern w:val="2"/>
          <w:sz w:val="16"/>
          <w:szCs w:val="16"/>
        </w:rPr>
        <w:softHyphen/>
        <w:t>тастрофа... “Сегодня в 5 час 40 мин “Илья Муромец”, делая круг над Ковалювкой на высоте 3200 м, сломался в воздухе и упал. Все летчики убиты. Бомбы не взорвались. Прошу сооб</w:t>
      </w:r>
      <w:r w:rsidRPr="002F2FDF">
        <w:rPr>
          <w:rFonts w:ascii="Times New Roman" w:hAnsi="Times New Roman" w:cs="Times New Roman"/>
          <w:color w:val="000000" w:themeColor="text1"/>
          <w:kern w:val="2"/>
          <w:sz w:val="16"/>
          <w:szCs w:val="16"/>
        </w:rPr>
        <w:softHyphen/>
        <w:t>щить в эскадру воздушных кораблей, шт-ротм. Казаков”. Позднее выясни</w:t>
      </w:r>
      <w:r w:rsidRPr="002F2FDF">
        <w:rPr>
          <w:rFonts w:ascii="Times New Roman" w:hAnsi="Times New Roman" w:cs="Times New Roman"/>
          <w:color w:val="000000" w:themeColor="text1"/>
          <w:kern w:val="2"/>
          <w:sz w:val="16"/>
          <w:szCs w:val="16"/>
        </w:rPr>
        <w:softHyphen/>
        <w:t>лось, что причиной трагедии стал не</w:t>
      </w:r>
      <w:r w:rsidRPr="002F2FDF">
        <w:rPr>
          <w:rFonts w:ascii="Times New Roman" w:hAnsi="Times New Roman" w:cs="Times New Roman"/>
          <w:color w:val="000000" w:themeColor="text1"/>
          <w:kern w:val="2"/>
          <w:sz w:val="16"/>
          <w:szCs w:val="16"/>
        </w:rPr>
        <w:softHyphen/>
        <w:t>достаточный запас прочности конст</w:t>
      </w:r>
      <w:r w:rsidRPr="002F2FDF">
        <w:rPr>
          <w:rFonts w:ascii="Times New Roman" w:hAnsi="Times New Roman" w:cs="Times New Roman"/>
          <w:color w:val="000000" w:themeColor="text1"/>
          <w:kern w:val="2"/>
          <w:sz w:val="16"/>
          <w:szCs w:val="16"/>
        </w:rPr>
        <w:softHyphen/>
        <w:t>рукции “Ильи Муромца”, у которого от перегрузки на вираже отломилось ле</w:t>
      </w:r>
      <w:r w:rsidRPr="002F2FDF">
        <w:rPr>
          <w:rFonts w:ascii="Times New Roman" w:hAnsi="Times New Roman" w:cs="Times New Roman"/>
          <w:color w:val="000000" w:themeColor="text1"/>
          <w:kern w:val="2"/>
          <w:sz w:val="16"/>
          <w:szCs w:val="16"/>
        </w:rPr>
        <w:softHyphen/>
        <w:t>вое крыло... В тот день летчики груп</w:t>
      </w:r>
      <w:r w:rsidRPr="002F2FDF">
        <w:rPr>
          <w:rFonts w:ascii="Times New Roman" w:hAnsi="Times New Roman" w:cs="Times New Roman"/>
          <w:color w:val="000000" w:themeColor="text1"/>
          <w:kern w:val="2"/>
          <w:sz w:val="16"/>
          <w:szCs w:val="16"/>
        </w:rPr>
        <w:softHyphen/>
        <w:t>пы, несмотря на гибель боевых това</w:t>
      </w:r>
      <w:r w:rsidRPr="002F2FDF">
        <w:rPr>
          <w:rFonts w:ascii="Times New Roman" w:hAnsi="Times New Roman" w:cs="Times New Roman"/>
          <w:color w:val="000000" w:themeColor="text1"/>
          <w:kern w:val="2"/>
          <w:sz w:val="16"/>
          <w:szCs w:val="16"/>
        </w:rPr>
        <w:softHyphen/>
        <w:t>рищей, совершили 16 боевых полетов и провели один воздушный бой (3954).</w:t>
      </w:r>
    </w:p>
    <w:p w14:paraId="5A77D8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B07295" w14:textId="12A6ACAE"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апреля 1917 в районе Тернополя произошла катастрофа воз</w:t>
      </w:r>
      <w:r w:rsidRPr="002F2FDF">
        <w:rPr>
          <w:rFonts w:ascii="Times New Roman" w:hAnsi="Times New Roman" w:cs="Times New Roman"/>
          <w:color w:val="000000" w:themeColor="text1"/>
          <w:kern w:val="2"/>
          <w:sz w:val="16"/>
          <w:szCs w:val="16"/>
        </w:rPr>
        <w:softHyphen/>
        <w:t xml:space="preserve">душного корабля "Илья Муромец". Из-за поломки левого крыле корабль упал с высоты 3200 ми похоронил весь экипаж. Погибли командир корабля стерший лейтенант Г.И.Лавров, его помощник поручик Сергей Константинович </w:t>
      </w:r>
      <w:r w:rsidRPr="002F2FDF">
        <w:rPr>
          <w:rFonts w:ascii="Times New Roman" w:hAnsi="Times New Roman" w:cs="Times New Roman"/>
          <w:smallCaps/>
          <w:color w:val="000000" w:themeColor="text1"/>
          <w:kern w:val="2"/>
          <w:sz w:val="16"/>
          <w:szCs w:val="16"/>
        </w:rPr>
        <w:t xml:space="preserve">витковский, </w:t>
      </w:r>
      <w:r w:rsidRPr="002F2FDF">
        <w:rPr>
          <w:rFonts w:ascii="Times New Roman" w:hAnsi="Times New Roman" w:cs="Times New Roman"/>
          <w:color w:val="000000" w:themeColor="text1"/>
          <w:kern w:val="2"/>
          <w:sz w:val="16"/>
          <w:szCs w:val="16"/>
        </w:rPr>
        <w:t xml:space="preserve">артиллерийский офицер подъесаул Алексой Иванович Отрешко, пропорщик Федор ИгнатовичБалашов, лейтенант Шокольский и солдат Сафронор, Погибших похоронили </w:t>
      </w:r>
      <w:r w:rsidRPr="002F2FDF">
        <w:rPr>
          <w:rFonts w:ascii="Times New Roman" w:hAnsi="Times New Roman" w:cs="Times New Roman"/>
          <w:smallCaps/>
          <w:color w:val="000000" w:themeColor="text1"/>
          <w:kern w:val="2"/>
          <w:sz w:val="16"/>
          <w:szCs w:val="16"/>
        </w:rPr>
        <w:t xml:space="preserve">р. </w:t>
      </w:r>
      <w:r w:rsidRPr="002F2FDF">
        <w:rPr>
          <w:rFonts w:ascii="Times New Roman" w:hAnsi="Times New Roman" w:cs="Times New Roman"/>
          <w:color w:val="000000" w:themeColor="text1"/>
          <w:kern w:val="2"/>
          <w:sz w:val="16"/>
          <w:szCs w:val="16"/>
        </w:rPr>
        <w:t>Виннице. Георгий Иванович Лавров (родился г 1889) - военно-мор</w:t>
      </w:r>
      <w:r w:rsidRPr="002F2FDF">
        <w:rPr>
          <w:rFonts w:ascii="Times New Roman" w:hAnsi="Times New Roman" w:cs="Times New Roman"/>
          <w:color w:val="000000" w:themeColor="text1"/>
          <w:kern w:val="2"/>
          <w:sz w:val="16"/>
          <w:szCs w:val="16"/>
        </w:rPr>
        <w:softHyphen/>
        <w:t xml:space="preserve">ской летчик, один из выдающихся летчиков старой России. В 1913 году он окончил Севастопольскую авиашколу, а в 1914 году участвовал в ряде рекордных полетов но "Илье Муромце". Он же был первым испытателем поплавкового гидросамолета "Илья Муромец". С начала войны стал командиром корабля, а затем командиром отряда в эскадре воздушных кораблей. За отличия в боевых полетах был представлен в капитаны. Лавров предложил синхронизатор своей системы для стрельбы через винт, разработал проект трехмоторного самолета и проект организации дивизиона истребителей. ("Новое время". 1917 г.,6 мая; ЦГВЙА. </w:t>
      </w:r>
      <w:r w:rsidR="00BB5EE6" w:rsidRPr="002F2FDF">
        <w:rPr>
          <w:rFonts w:ascii="Times New Roman" w:hAnsi="Times New Roman" w:cs="Times New Roman"/>
          <w:color w:val="000000" w:themeColor="text1"/>
          <w:kern w:val="2"/>
          <w:sz w:val="16"/>
          <w:szCs w:val="16"/>
        </w:rPr>
        <w:t>Ф</w:t>
      </w:r>
      <w:r w:rsidR="00BB5EE6">
        <w:rPr>
          <w:rFonts w:ascii="Times New Roman" w:hAnsi="Times New Roman" w:cs="Times New Roman"/>
          <w:color w:val="000000" w:themeColor="text1"/>
          <w:kern w:val="2"/>
          <w:sz w:val="16"/>
          <w:szCs w:val="16"/>
        </w:rPr>
        <w:t>. 4</w:t>
      </w:r>
      <w:r w:rsidRPr="002F2FDF">
        <w:rPr>
          <w:rFonts w:ascii="Times New Roman" w:hAnsi="Times New Roman" w:cs="Times New Roman"/>
          <w:color w:val="000000" w:themeColor="text1"/>
          <w:kern w:val="2"/>
          <w:sz w:val="16"/>
          <w:szCs w:val="16"/>
        </w:rPr>
        <w:t>93, оп.</w:t>
      </w:r>
      <w:r w:rsidR="00BB5EE6">
        <w:rPr>
          <w:rFonts w:ascii="Times New Roman" w:hAnsi="Times New Roman" w:cs="Times New Roman"/>
          <w:color w:val="000000" w:themeColor="text1"/>
          <w:kern w:val="2"/>
          <w:sz w:val="16"/>
          <w:szCs w:val="16"/>
        </w:rPr>
        <w:t xml:space="preserve"> 3</w:t>
      </w:r>
      <w:r w:rsidRPr="002F2FDF">
        <w:rPr>
          <w:rFonts w:ascii="Times New Roman" w:hAnsi="Times New Roman" w:cs="Times New Roman"/>
          <w:color w:val="000000" w:themeColor="text1"/>
          <w:kern w:val="2"/>
          <w:sz w:val="16"/>
          <w:szCs w:val="16"/>
        </w:rPr>
        <w:t>, д.</w:t>
      </w:r>
      <w:r w:rsidR="00BB5EE6">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142, л.35).</w:t>
      </w:r>
    </w:p>
    <w:p w14:paraId="06289BB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3CA1BB" w14:textId="23055203" w:rsidR="005A1661" w:rsidRPr="00815ED5" w:rsidRDefault="005A166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29</w:t>
      </w:r>
      <w:r w:rsidRPr="00815ED5">
        <w:rPr>
          <w:rFonts w:ascii="Times New Roman" w:hAnsi="Times New Roman" w:cs="Times New Roman"/>
          <w:color w:val="0070C0"/>
          <w:sz w:val="16"/>
          <w:szCs w:val="16"/>
        </w:rPr>
        <w:t xml:space="preserve"> апреля </w:t>
      </w:r>
      <w:r>
        <w:rPr>
          <w:rFonts w:ascii="Times New Roman" w:hAnsi="Times New Roman" w:cs="Times New Roman"/>
          <w:color w:val="0070C0"/>
          <w:sz w:val="16"/>
          <w:szCs w:val="16"/>
        </w:rPr>
        <w:t>(12 мая)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815ED5">
        <w:rPr>
          <w:rFonts w:ascii="Times New Roman" w:hAnsi="Times New Roman" w:cs="Times New Roman"/>
          <w:color w:val="0070C0"/>
          <w:sz w:val="16"/>
          <w:szCs w:val="16"/>
        </w:rPr>
        <w:t xml:space="preserve"> -районе </w:t>
      </w:r>
      <w:r>
        <w:rPr>
          <w:rFonts w:ascii="Times New Roman" w:hAnsi="Times New Roman" w:cs="Times New Roman"/>
          <w:color w:val="0070C0"/>
          <w:sz w:val="16"/>
          <w:szCs w:val="16"/>
        </w:rPr>
        <w:t>Т</w:t>
      </w:r>
      <w:r w:rsidRPr="00815ED5">
        <w:rPr>
          <w:rFonts w:ascii="Times New Roman" w:hAnsi="Times New Roman" w:cs="Times New Roman"/>
          <w:color w:val="0070C0"/>
          <w:sz w:val="16"/>
          <w:szCs w:val="16"/>
        </w:rPr>
        <w:t>арнополя произошла катастрофа воздушного корабля "Илья Муромец".</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От поломки левого крыла корабль упад о высо</w:t>
      </w:r>
      <w:r w:rsidRPr="00815ED5">
        <w:rPr>
          <w:rFonts w:ascii="Times New Roman" w:hAnsi="Times New Roman" w:cs="Times New Roman"/>
          <w:color w:val="0070C0"/>
          <w:sz w:val="16"/>
          <w:szCs w:val="16"/>
        </w:rPr>
        <w:softHyphen/>
        <w:t>ты 3200 м и похоронил весь экипаж.</w:t>
      </w:r>
      <w:r>
        <w:rPr>
          <w:rFonts w:ascii="Times New Roman" w:hAnsi="Times New Roman" w:cs="Times New Roman"/>
          <w:color w:val="0070C0"/>
          <w:sz w:val="16"/>
          <w:szCs w:val="16"/>
        </w:rPr>
        <w:t xml:space="preserve"> П</w:t>
      </w:r>
      <w:r w:rsidRPr="00815ED5">
        <w:rPr>
          <w:rFonts w:ascii="Times New Roman" w:hAnsi="Times New Roman" w:cs="Times New Roman"/>
          <w:color w:val="0070C0"/>
          <w:sz w:val="16"/>
          <w:szCs w:val="16"/>
        </w:rPr>
        <w:t>огибли командир корабля ст.</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лей</w:t>
      </w:r>
      <w:r w:rsidRPr="00815ED5">
        <w:rPr>
          <w:rFonts w:ascii="Times New Roman" w:hAnsi="Times New Roman" w:cs="Times New Roman"/>
          <w:color w:val="0070C0"/>
          <w:sz w:val="16"/>
          <w:szCs w:val="16"/>
        </w:rPr>
        <w:softHyphen/>
        <w:t>тенант Г.И.Лавров, его помощник поручик Сергей Константинович Вит</w:t>
      </w:r>
      <w:r w:rsidRPr="00815ED5">
        <w:rPr>
          <w:rFonts w:ascii="Times New Roman" w:hAnsi="Times New Roman" w:cs="Times New Roman"/>
          <w:color w:val="0070C0"/>
          <w:sz w:val="16"/>
          <w:szCs w:val="16"/>
        </w:rPr>
        <w:softHyphen/>
        <w:t>ков</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кий, артиллерийский офицер под"есаул Алексей Иванович Отрешко, прапорщик Федор Иванович Балашов,</w:t>
      </w:r>
      <w:r w:rsidR="00BB5EE6">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лейтенант </w:t>
      </w:r>
      <w:r w:rsidR="00BB5EE6">
        <w:rPr>
          <w:rFonts w:ascii="Times New Roman" w:hAnsi="Times New Roman" w:cs="Times New Roman"/>
          <w:color w:val="0070C0"/>
          <w:sz w:val="16"/>
          <w:szCs w:val="16"/>
        </w:rPr>
        <w:t>С</w:t>
      </w:r>
      <w:r w:rsidRPr="00815ED5">
        <w:rPr>
          <w:rFonts w:ascii="Times New Roman" w:hAnsi="Times New Roman" w:cs="Times New Roman"/>
          <w:color w:val="0070C0"/>
          <w:sz w:val="16"/>
          <w:szCs w:val="16"/>
        </w:rPr>
        <w:t xml:space="preserve">окальский и солдат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афро</w:t>
      </w:r>
      <w:r>
        <w:rPr>
          <w:rFonts w:ascii="Times New Roman" w:hAnsi="Times New Roman" w:cs="Times New Roman"/>
          <w:color w:val="0070C0"/>
          <w:sz w:val="16"/>
          <w:szCs w:val="16"/>
        </w:rPr>
        <w:t>н</w:t>
      </w:r>
      <w:r w:rsidRPr="00815ED5">
        <w:rPr>
          <w:rFonts w:ascii="Times New Roman" w:hAnsi="Times New Roman" w:cs="Times New Roman"/>
          <w:color w:val="0070C0"/>
          <w:sz w:val="16"/>
          <w:szCs w:val="16"/>
        </w:rPr>
        <w:t>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Погибших похоронили в Виннице.</w:t>
      </w:r>
    </w:p>
    <w:p w14:paraId="3D158CF4" w14:textId="77777777" w:rsidR="005A1661" w:rsidRPr="00815ED5" w:rsidRDefault="005A1661"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Георгий Иванович Лавров /род. 1889/ - военно-морской летчик,</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один из выдающихся летчиков старой России.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 1913 году он окончил севастопольскую авиашколу,</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 в 1914 году участвовал в ряде рекордных полетов на «Илье Муромце</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w:t>
      </w:r>
      <w:r w:rsidRPr="00815ED5">
        <w:rPr>
          <w:rFonts w:ascii="Times New Roman" w:hAnsi="Times New Roman" w:cs="Times New Roman"/>
          <w:color w:val="0070C0"/>
          <w:sz w:val="16"/>
          <w:szCs w:val="16"/>
        </w:rPr>
        <w:t xml:space="preserve">н </w:t>
      </w:r>
      <w:r>
        <w:rPr>
          <w:rFonts w:ascii="Times New Roman" w:hAnsi="Times New Roman" w:cs="Times New Roman"/>
          <w:color w:val="0070C0"/>
          <w:sz w:val="16"/>
          <w:szCs w:val="16"/>
        </w:rPr>
        <w:t>ж</w:t>
      </w:r>
      <w:r w:rsidRPr="00815ED5">
        <w:rPr>
          <w:rFonts w:ascii="Times New Roman" w:hAnsi="Times New Roman" w:cs="Times New Roman"/>
          <w:color w:val="0070C0"/>
          <w:sz w:val="16"/>
          <w:szCs w:val="16"/>
        </w:rPr>
        <w:t>е был первым испытателем поплавкового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гидросамолета «Илья Муромец</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815ED5">
        <w:rPr>
          <w:rFonts w:ascii="Times New Roman" w:hAnsi="Times New Roman" w:cs="Times New Roman"/>
          <w:color w:val="0070C0"/>
          <w:sz w:val="16"/>
          <w:szCs w:val="16"/>
        </w:rPr>
        <w:t xml:space="preserve"> начала войны стал командиро</w:t>
      </w:r>
      <w:r>
        <w:rPr>
          <w:rFonts w:ascii="Times New Roman" w:hAnsi="Times New Roman" w:cs="Times New Roman"/>
          <w:color w:val="0070C0"/>
          <w:sz w:val="16"/>
          <w:szCs w:val="16"/>
        </w:rPr>
        <w:t>м</w:t>
      </w:r>
      <w:r w:rsidRPr="00815ED5">
        <w:rPr>
          <w:rFonts w:ascii="Times New Roman" w:hAnsi="Times New Roman" w:cs="Times New Roman"/>
          <w:color w:val="0070C0"/>
          <w:sz w:val="16"/>
          <w:szCs w:val="16"/>
        </w:rPr>
        <w:t xml:space="preserve"> корабля</w:t>
      </w:r>
      <w:r>
        <w:rPr>
          <w:rFonts w:ascii="Times New Roman" w:hAnsi="Times New Roman" w:cs="Times New Roman"/>
          <w:color w:val="0070C0"/>
          <w:sz w:val="16"/>
          <w:szCs w:val="16"/>
        </w:rPr>
        <w:t>, а</w:t>
      </w:r>
      <w:r w:rsidRPr="00815ED5">
        <w:rPr>
          <w:rFonts w:ascii="Times New Roman" w:hAnsi="Times New Roman" w:cs="Times New Roman"/>
          <w:color w:val="0070C0"/>
          <w:sz w:val="16"/>
          <w:szCs w:val="16"/>
        </w:rPr>
        <w:t xml:space="preserve"> затем командиром отряда в эскадре воздушных кораблей.</w:t>
      </w:r>
      <w:r>
        <w:rPr>
          <w:rFonts w:ascii="Times New Roman" w:hAnsi="Times New Roman" w:cs="Times New Roman"/>
          <w:color w:val="0070C0"/>
          <w:sz w:val="16"/>
          <w:szCs w:val="16"/>
        </w:rPr>
        <w:t xml:space="preserve"> З</w:t>
      </w:r>
      <w:r w:rsidRPr="00815ED5">
        <w:rPr>
          <w:rFonts w:ascii="Times New Roman" w:hAnsi="Times New Roman" w:cs="Times New Roman"/>
          <w:color w:val="0070C0"/>
          <w:sz w:val="16"/>
          <w:szCs w:val="16"/>
        </w:rPr>
        <w:t>а отличия</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 боевых полетах был представлен в капитаны</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Лавров предложил синхронизатор своей системы для стрельбы через винт,</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разработал проект трехмоторного самолета и проект организации дивизиона истребителей.</w:t>
      </w:r>
    </w:p>
    <w:p w14:paraId="7ECD3697" w14:textId="77777777" w:rsidR="005A1661" w:rsidRDefault="005A1661"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/"Новое время" за </w:t>
      </w:r>
      <w:r>
        <w:rPr>
          <w:rFonts w:ascii="Times New Roman" w:hAnsi="Times New Roman" w:cs="Times New Roman"/>
          <w:color w:val="0070C0"/>
          <w:sz w:val="16"/>
          <w:szCs w:val="16"/>
        </w:rPr>
        <w:t>6</w:t>
      </w:r>
      <w:r w:rsidRPr="00815ED5">
        <w:rPr>
          <w:rFonts w:ascii="Times New Roman" w:hAnsi="Times New Roman" w:cs="Times New Roman"/>
          <w:color w:val="0070C0"/>
          <w:sz w:val="16"/>
          <w:szCs w:val="16"/>
        </w:rPr>
        <w:t xml:space="preserve"> мая 1917; ЦГВИА,</w:t>
      </w:r>
      <w:r>
        <w:rPr>
          <w:rFonts w:ascii="Times New Roman" w:hAnsi="Times New Roman" w:cs="Times New Roman"/>
          <w:color w:val="0070C0"/>
          <w:sz w:val="16"/>
          <w:szCs w:val="16"/>
        </w:rPr>
        <w:t xml:space="preserve"> ф</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3</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815ED5">
        <w:rPr>
          <w:rFonts w:ascii="Times New Roman" w:hAnsi="Times New Roman" w:cs="Times New Roman"/>
          <w:color w:val="0070C0"/>
          <w:sz w:val="16"/>
          <w:szCs w:val="16"/>
        </w:rPr>
        <w:t>. 154</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 142,</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л.35/ </w:t>
      </w:r>
      <w:r>
        <w:rPr>
          <w:rFonts w:ascii="Times New Roman" w:hAnsi="Times New Roman" w:cs="Times New Roman"/>
          <w:color w:val="0070C0"/>
          <w:sz w:val="16"/>
          <w:szCs w:val="16"/>
        </w:rPr>
        <w:t>(23320).</w:t>
      </w:r>
    </w:p>
    <w:p w14:paraId="21B449C6" w14:textId="77777777" w:rsidR="005A1661" w:rsidRDefault="005A1661" w:rsidP="0083075A">
      <w:pPr>
        <w:spacing w:after="0" w:line="240" w:lineRule="auto"/>
        <w:jc w:val="both"/>
        <w:rPr>
          <w:rFonts w:ascii="Times New Roman" w:hAnsi="Times New Roman" w:cs="Times New Roman"/>
          <w:color w:val="0070C0"/>
          <w:sz w:val="16"/>
          <w:szCs w:val="16"/>
        </w:rPr>
      </w:pPr>
    </w:p>
    <w:p w14:paraId="02D6BA1B" w14:textId="77777777" w:rsidR="00504A20" w:rsidRPr="00FB4F67" w:rsidRDefault="00504A2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29 апреля (12 мая) 1917 г. рано утром корабль «Илья Муромец» Г-32 (ИМ Г-32 № 178, борт I) экз. № 32 поднялся в боевой вылет, в котором его должны были сопровождать истребители II КАО (I БАГ). Около 06:00, пролетая над их аэродромом на высоте 3000 м, корабль начал давать условленный сигнал (очереди из пулемета) для подъема истребителей, но начал разрушаться, перешел в пологий штопор и упал у дер. Доброводы (Галиция, ныне Тернопольская обл. Западной Украины). На борту корабля погибли командир старший лейтенант Г.И. Лавров, поручик С.К. Витковский, лейтенант А.Ю. Шокальский, прапорщик Ф.П. Балашев, старший унтер-офицер Ф. Сафронов, подъесаул А.И. Отрежко.</w:t>
      </w:r>
    </w:p>
    <w:p w14:paraId="02AE4C0B" w14:textId="77777777" w:rsidR="00504A20" w:rsidRPr="00FB4F67" w:rsidRDefault="00504A2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После этой катастрофы 2-й отряд ЭВК был расформирован (23553).</w:t>
      </w:r>
    </w:p>
    <w:p w14:paraId="73A7F83E" w14:textId="77777777" w:rsidR="00504A20" w:rsidRPr="00FB4F67" w:rsidRDefault="00504A20" w:rsidP="0083075A">
      <w:pPr>
        <w:spacing w:after="0" w:line="240" w:lineRule="auto"/>
        <w:jc w:val="both"/>
        <w:rPr>
          <w:rFonts w:ascii="Times New Roman" w:hAnsi="Times New Roman" w:cs="Times New Roman"/>
          <w:color w:val="0070C0"/>
          <w:sz w:val="16"/>
          <w:szCs w:val="16"/>
        </w:rPr>
      </w:pPr>
    </w:p>
    <w:p w14:paraId="0DEB66D8" w14:textId="6C1B2C28" w:rsidR="00504A20" w:rsidRPr="00FB4F67" w:rsidRDefault="00504A2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29 апреля </w:t>
      </w:r>
      <w:r w:rsidR="00EB3E32">
        <w:rPr>
          <w:rFonts w:ascii="Times New Roman" w:hAnsi="Times New Roman" w:cs="Times New Roman"/>
          <w:color w:val="0070C0"/>
          <w:sz w:val="16"/>
          <w:szCs w:val="16"/>
        </w:rPr>
        <w:t xml:space="preserve">(12 мая) </w:t>
      </w:r>
      <w:r w:rsidRPr="00FB4F67">
        <w:rPr>
          <w:rFonts w:ascii="Times New Roman" w:hAnsi="Times New Roman" w:cs="Times New Roman"/>
          <w:color w:val="0070C0"/>
          <w:sz w:val="16"/>
          <w:szCs w:val="16"/>
        </w:rPr>
        <w:t>1917 г. при взлёте на боевое задание на крутом вираже у ВК-1 вылетела подкосная стойка левой консоли крыла, а потом отло</w:t>
      </w:r>
      <w:r w:rsidRPr="00FB4F67">
        <w:rPr>
          <w:rFonts w:ascii="Times New Roman" w:hAnsi="Times New Roman" w:cs="Times New Roman"/>
          <w:color w:val="0070C0"/>
          <w:sz w:val="16"/>
          <w:szCs w:val="16"/>
        </w:rPr>
        <w:softHyphen/>
        <w:t>милась консоль. Экипаж Лаврова погиб. При исследовании обломков самолёта была найдена первая вы</w:t>
      </w:r>
      <w:r w:rsidRPr="00FB4F67">
        <w:rPr>
          <w:rFonts w:ascii="Times New Roman" w:hAnsi="Times New Roman" w:cs="Times New Roman"/>
          <w:color w:val="0070C0"/>
          <w:sz w:val="16"/>
          <w:szCs w:val="16"/>
        </w:rPr>
        <w:softHyphen/>
        <w:t>летевшая стойка, до половины под</w:t>
      </w:r>
      <w:r w:rsidRPr="00FB4F67">
        <w:rPr>
          <w:rFonts w:ascii="Times New Roman" w:hAnsi="Times New Roman" w:cs="Times New Roman"/>
          <w:color w:val="0070C0"/>
          <w:sz w:val="16"/>
          <w:szCs w:val="16"/>
        </w:rPr>
        <w:softHyphen/>
        <w:t>пиленная. Налицо был антивоен</w:t>
      </w:r>
      <w:r w:rsidRPr="00FB4F67">
        <w:rPr>
          <w:rFonts w:ascii="Times New Roman" w:hAnsi="Times New Roman" w:cs="Times New Roman"/>
          <w:color w:val="0070C0"/>
          <w:sz w:val="16"/>
          <w:szCs w:val="16"/>
        </w:rPr>
        <w:softHyphen/>
        <w:t>ный саботаж. Тем не менее, гибель экипажа была использована для со</w:t>
      </w:r>
      <w:r w:rsidRPr="00FB4F67">
        <w:rPr>
          <w:rFonts w:ascii="Times New Roman" w:hAnsi="Times New Roman" w:cs="Times New Roman"/>
          <w:color w:val="0070C0"/>
          <w:sz w:val="16"/>
          <w:szCs w:val="16"/>
        </w:rPr>
        <w:softHyphen/>
        <w:t>здания летом 1917 г. комиссии для проверки расчётов прочности и аэ</w:t>
      </w:r>
      <w:r w:rsidRPr="00FB4F67">
        <w:rPr>
          <w:rFonts w:ascii="Times New Roman" w:hAnsi="Times New Roman" w:cs="Times New Roman"/>
          <w:color w:val="0070C0"/>
          <w:sz w:val="16"/>
          <w:szCs w:val="16"/>
        </w:rPr>
        <w:softHyphen/>
        <w:t xml:space="preserve">родинамических качеств «Муромца». К </w:t>
      </w:r>
      <w:r w:rsidRPr="00FB4F67">
        <w:rPr>
          <w:rFonts w:ascii="Times New Roman" w:hAnsi="Times New Roman" w:cs="Times New Roman"/>
          <w:color w:val="0070C0"/>
          <w:sz w:val="16"/>
          <w:szCs w:val="16"/>
        </w:rPr>
        <w:lastRenderedPageBreak/>
        <w:t>сожалению, в условиях разнуз</w:t>
      </w:r>
      <w:r w:rsidRPr="00FB4F67">
        <w:rPr>
          <w:rFonts w:ascii="Times New Roman" w:hAnsi="Times New Roman" w:cs="Times New Roman"/>
          <w:color w:val="0070C0"/>
          <w:sz w:val="16"/>
          <w:szCs w:val="16"/>
        </w:rPr>
        <w:softHyphen/>
        <w:t>данной травли даже крупные учёные поддались давлению и не все</w:t>
      </w:r>
      <w:r w:rsidRPr="00FB4F67">
        <w:rPr>
          <w:rFonts w:ascii="Times New Roman" w:hAnsi="Times New Roman" w:cs="Times New Roman"/>
          <w:color w:val="0070C0"/>
          <w:sz w:val="16"/>
          <w:szCs w:val="16"/>
        </w:rPr>
        <w:softHyphen/>
        <w:t>гда были объективны. По их расчё</w:t>
      </w:r>
      <w:r w:rsidRPr="00FB4F67">
        <w:rPr>
          <w:rFonts w:ascii="Times New Roman" w:hAnsi="Times New Roman" w:cs="Times New Roman"/>
          <w:color w:val="0070C0"/>
          <w:sz w:val="16"/>
          <w:szCs w:val="16"/>
        </w:rPr>
        <w:softHyphen/>
        <w:t>там получалось, что полёт на «Му</w:t>
      </w:r>
      <w:r w:rsidRPr="00FB4F67">
        <w:rPr>
          <w:rFonts w:ascii="Times New Roman" w:hAnsi="Times New Roman" w:cs="Times New Roman"/>
          <w:color w:val="0070C0"/>
          <w:sz w:val="16"/>
          <w:szCs w:val="16"/>
        </w:rPr>
        <w:softHyphen/>
        <w:t>ромце» исключительно опасен, и непонятно, как он вообще летает и не рассыпается в воздухе. Некото</w:t>
      </w:r>
      <w:r w:rsidRPr="00FB4F67">
        <w:rPr>
          <w:rFonts w:ascii="Times New Roman" w:hAnsi="Times New Roman" w:cs="Times New Roman"/>
          <w:color w:val="0070C0"/>
          <w:sz w:val="16"/>
          <w:szCs w:val="16"/>
        </w:rPr>
        <w:softHyphen/>
        <w:t>рые чиновники вообще требовали прекратить производство «Муром</w:t>
      </w:r>
      <w:r w:rsidRPr="00FB4F67">
        <w:rPr>
          <w:rFonts w:ascii="Times New Roman" w:hAnsi="Times New Roman" w:cs="Times New Roman"/>
          <w:color w:val="0070C0"/>
          <w:sz w:val="16"/>
          <w:szCs w:val="16"/>
        </w:rPr>
        <w:softHyphen/>
        <w:t>цев» и предлагали запустить на РБВЗ лицензионный «Хендли- Пейдж» или закупать итальянский «Капрони».</w:t>
      </w:r>
    </w:p>
    <w:p w14:paraId="1AD53647" w14:textId="77777777" w:rsidR="00504A20" w:rsidRPr="00FB4F67" w:rsidRDefault="00504A2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Неутешительные выводы комис</w:t>
      </w:r>
      <w:r w:rsidRPr="00FB4F67">
        <w:rPr>
          <w:rFonts w:ascii="Times New Roman" w:hAnsi="Times New Roman" w:cs="Times New Roman"/>
          <w:color w:val="0070C0"/>
          <w:sz w:val="16"/>
          <w:szCs w:val="16"/>
        </w:rPr>
        <w:softHyphen/>
        <w:t>сии о недостаточной прочности бомбардировщиков «Илья Муро</w:t>
      </w:r>
      <w:r w:rsidRPr="00FB4F67">
        <w:rPr>
          <w:rFonts w:ascii="Times New Roman" w:hAnsi="Times New Roman" w:cs="Times New Roman"/>
          <w:color w:val="0070C0"/>
          <w:sz w:val="16"/>
          <w:szCs w:val="16"/>
        </w:rPr>
        <w:softHyphen/>
        <w:t>мец» были переданы в Эскадру и послужили поводом проведения 12 июня 1917 г. специального офи</w:t>
      </w:r>
      <w:r w:rsidRPr="00FB4F67">
        <w:rPr>
          <w:rFonts w:ascii="Times New Roman" w:hAnsi="Times New Roman" w:cs="Times New Roman"/>
          <w:color w:val="0070C0"/>
          <w:sz w:val="16"/>
          <w:szCs w:val="16"/>
        </w:rPr>
        <w:softHyphen/>
        <w:t>церского собрания. Решение со</w:t>
      </w:r>
      <w:r w:rsidRPr="00FB4F67">
        <w:rPr>
          <w:rFonts w:ascii="Times New Roman" w:hAnsi="Times New Roman" w:cs="Times New Roman"/>
          <w:color w:val="0070C0"/>
          <w:sz w:val="16"/>
          <w:szCs w:val="16"/>
        </w:rPr>
        <w:softHyphen/>
        <w:t>брания было неожиданным для за</w:t>
      </w:r>
      <w:r w:rsidRPr="00FB4F67">
        <w:rPr>
          <w:rFonts w:ascii="Times New Roman" w:hAnsi="Times New Roman" w:cs="Times New Roman"/>
          <w:color w:val="0070C0"/>
          <w:sz w:val="16"/>
          <w:szCs w:val="16"/>
        </w:rPr>
        <w:softHyphen/>
        <w:t>теявших возню вокруг «Муромцев». Лётчики Эскадры не выразили не</w:t>
      </w:r>
      <w:r w:rsidRPr="00FB4F67">
        <w:rPr>
          <w:rFonts w:ascii="Times New Roman" w:hAnsi="Times New Roman" w:cs="Times New Roman"/>
          <w:color w:val="0070C0"/>
          <w:sz w:val="16"/>
          <w:szCs w:val="16"/>
        </w:rPr>
        <w:softHyphen/>
        <w:t>доверия длинным формулам и рас</w:t>
      </w:r>
      <w:r w:rsidRPr="00FB4F67">
        <w:rPr>
          <w:rFonts w:ascii="Times New Roman" w:hAnsi="Times New Roman" w:cs="Times New Roman"/>
          <w:color w:val="0070C0"/>
          <w:sz w:val="16"/>
          <w:szCs w:val="16"/>
        </w:rPr>
        <w:softHyphen/>
        <w:t>суждениям, а просто уведомили пе</w:t>
      </w:r>
      <w:r w:rsidRPr="00FB4F67">
        <w:rPr>
          <w:rFonts w:ascii="Times New Roman" w:hAnsi="Times New Roman" w:cs="Times New Roman"/>
          <w:color w:val="0070C0"/>
          <w:sz w:val="16"/>
          <w:szCs w:val="16"/>
        </w:rPr>
        <w:softHyphen/>
        <w:t>троградских чиновников: «...учи</w:t>
      </w:r>
      <w:r w:rsidRPr="00FB4F67">
        <w:rPr>
          <w:rFonts w:ascii="Times New Roman" w:hAnsi="Times New Roman" w:cs="Times New Roman"/>
          <w:color w:val="0070C0"/>
          <w:sz w:val="16"/>
          <w:szCs w:val="16"/>
        </w:rPr>
        <w:softHyphen/>
        <w:t>тывая могущество и силу Муром</w:t>
      </w:r>
      <w:r w:rsidRPr="00FB4F67">
        <w:rPr>
          <w:rFonts w:ascii="Times New Roman" w:hAnsi="Times New Roman" w:cs="Times New Roman"/>
          <w:color w:val="0070C0"/>
          <w:sz w:val="16"/>
          <w:szCs w:val="16"/>
        </w:rPr>
        <w:softHyphen/>
        <w:t>цев в решении специальных задач и ту пользу, которую они могут принести, а равно и то обстоя</w:t>
      </w:r>
      <w:r w:rsidRPr="00FB4F67">
        <w:rPr>
          <w:rFonts w:ascii="Times New Roman" w:hAnsi="Times New Roman" w:cs="Times New Roman"/>
          <w:color w:val="0070C0"/>
          <w:sz w:val="16"/>
          <w:szCs w:val="16"/>
        </w:rPr>
        <w:softHyphen/>
        <w:t>тельство, что их ничем в настоя</w:t>
      </w:r>
      <w:r w:rsidRPr="00FB4F67">
        <w:rPr>
          <w:rFonts w:ascii="Times New Roman" w:hAnsi="Times New Roman" w:cs="Times New Roman"/>
          <w:color w:val="0070C0"/>
          <w:sz w:val="16"/>
          <w:szCs w:val="16"/>
        </w:rPr>
        <w:softHyphen/>
        <w:t>щее время заменить нельзя, при</w:t>
      </w:r>
      <w:r w:rsidRPr="00FB4F67">
        <w:rPr>
          <w:rFonts w:ascii="Times New Roman" w:hAnsi="Times New Roman" w:cs="Times New Roman"/>
          <w:color w:val="0070C0"/>
          <w:sz w:val="16"/>
          <w:szCs w:val="16"/>
        </w:rPr>
        <w:softHyphen/>
        <w:t>шли к заключению о необходимос</w:t>
      </w:r>
      <w:r w:rsidRPr="00FB4F67">
        <w:rPr>
          <w:rFonts w:ascii="Times New Roman" w:hAnsi="Times New Roman" w:cs="Times New Roman"/>
          <w:color w:val="0070C0"/>
          <w:sz w:val="16"/>
          <w:szCs w:val="16"/>
        </w:rPr>
        <w:softHyphen/>
        <w:t>ти работы Муромцев на фронте. Ввиду чего, и отдавая себе ясный отчет в рискованности полётов, командиры и офицеры всех имею</w:t>
      </w:r>
      <w:r w:rsidRPr="00FB4F67">
        <w:rPr>
          <w:rFonts w:ascii="Times New Roman" w:hAnsi="Times New Roman" w:cs="Times New Roman"/>
          <w:color w:val="0070C0"/>
          <w:sz w:val="16"/>
          <w:szCs w:val="16"/>
        </w:rPr>
        <w:softHyphen/>
        <w:t>щихся в настоящее время в Эскад</w:t>
      </w:r>
      <w:r w:rsidRPr="00FB4F67">
        <w:rPr>
          <w:rFonts w:ascii="Times New Roman" w:hAnsi="Times New Roman" w:cs="Times New Roman"/>
          <w:color w:val="0070C0"/>
          <w:sz w:val="16"/>
          <w:szCs w:val="16"/>
        </w:rPr>
        <w:softHyphen/>
        <w:t>ре Воздушных Кораблей боевых ко</w:t>
      </w:r>
      <w:r w:rsidRPr="00FB4F67">
        <w:rPr>
          <w:rFonts w:ascii="Times New Roman" w:hAnsi="Times New Roman" w:cs="Times New Roman"/>
          <w:color w:val="0070C0"/>
          <w:sz w:val="16"/>
          <w:szCs w:val="16"/>
        </w:rPr>
        <w:softHyphen/>
        <w:t>раблей в сознании и своего долга перед Родиной, признали необходи</w:t>
      </w:r>
      <w:r w:rsidRPr="00FB4F67">
        <w:rPr>
          <w:rFonts w:ascii="Times New Roman" w:hAnsi="Times New Roman" w:cs="Times New Roman"/>
          <w:color w:val="0070C0"/>
          <w:sz w:val="16"/>
          <w:szCs w:val="16"/>
        </w:rPr>
        <w:softHyphen/>
        <w:t>мым не прерывать боевой работы существующих кораблей и вырази</w:t>
      </w:r>
      <w:r w:rsidRPr="00FB4F67">
        <w:rPr>
          <w:rFonts w:ascii="Times New Roman" w:hAnsi="Times New Roman" w:cs="Times New Roman"/>
          <w:color w:val="0070C0"/>
          <w:sz w:val="16"/>
          <w:szCs w:val="16"/>
        </w:rPr>
        <w:softHyphen/>
        <w:t>ли лишь настойчивое желание в соответствующих улучшениях последующих кораблей» (23469).</w:t>
      </w:r>
    </w:p>
    <w:p w14:paraId="008FF20D" w14:textId="77777777" w:rsidR="00504A20" w:rsidRPr="00FB4F67" w:rsidRDefault="00504A20" w:rsidP="0083075A">
      <w:pPr>
        <w:spacing w:after="0" w:line="240" w:lineRule="auto"/>
        <w:jc w:val="both"/>
        <w:rPr>
          <w:rFonts w:ascii="Times New Roman" w:hAnsi="Times New Roman" w:cs="Times New Roman"/>
          <w:color w:val="0070C0"/>
          <w:sz w:val="16"/>
          <w:szCs w:val="16"/>
        </w:rPr>
      </w:pPr>
    </w:p>
    <w:p w14:paraId="05593533" w14:textId="77777777" w:rsidR="00212E98" w:rsidRPr="002F2FDF" w:rsidRDefault="00212E9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29 апреля </w:t>
      </w:r>
      <w:r>
        <w:rPr>
          <w:rFonts w:ascii="Times New Roman" w:hAnsi="Times New Roman" w:cs="Times New Roman"/>
          <w:color w:val="000000" w:themeColor="text1"/>
          <w:kern w:val="2"/>
          <w:sz w:val="16"/>
          <w:szCs w:val="16"/>
        </w:rPr>
        <w:t xml:space="preserve">(12 мая) </w:t>
      </w:r>
      <w:r w:rsidRPr="002F2FDF">
        <w:rPr>
          <w:rFonts w:ascii="Times New Roman" w:hAnsi="Times New Roman" w:cs="Times New Roman"/>
          <w:color w:val="000000" w:themeColor="text1"/>
          <w:kern w:val="2"/>
          <w:sz w:val="16"/>
          <w:szCs w:val="16"/>
        </w:rPr>
        <w:t>1917 на аэродроме у деревни Микулинцы, где базировался 2-й боевой отряд, произошла трагедия. Около 6 часов утра корабль пролетал на высоте 3000 метров над расположением 2-го корпусного авиаотряда, давая сигналы очередями из пулемёта. Истребители отряда должны были вылететь на сопровождение "Муромца". Далее, по свидетельству очевидцев, с корабля начали падать различные средние и мелкие части, т.е он начал рассыпаться в воздухе. "Илья Муромец I", перешёл в пологий штопор, затем на высоте около 300-400 метров выровнялся и вновь перешёл в пологий штопор и, пролетев над крышами домов деревни Доброводы, упал плашмя на её окраине. Погибли все члены экипажа: старший лейтенант Г.И.Лавров, поручик С. К. Витковский, лейтенант А.Ю. Шокальский, прапорщик Ф.П. Балашев, подъесаул А.И. Отрежко и старший унтер-офицер Ф. Сафронов.</w:t>
      </w:r>
    </w:p>
    <w:p w14:paraId="4A5A884B" w14:textId="77777777" w:rsidR="00212E98" w:rsidRPr="002F2FDF" w:rsidRDefault="00212E9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К.Н. Финне (начальник медицинской службы ЭВК, автор книги "Русские воздушные богатыри И.И. Сикорского") полагал, что гибель корабля произошла из-за умышленной порчи стойки или тросов её поддерживающих. Комиссия, расследовавшая обстоятельства катастрофы, всё же пришла к заключению, что причиной гибели корабля явилась недостаточная опытность, или даже растерянность поручика Витковского, труп которого был найден у штурвала. Очевидно, поручик вёл корабль и на вираже допустил скольжение, растерялся, не выключил моторов и корабль вошёл в штопор. Скорость быстро возросла и конструкция корабля не выдержала. Первой вылетела подкосная стойка, потом машина постепенно стала ломаться. Кто-то всё-таки сумел выключить моторы, но это уже не помогло. Благодаря выключенным моторам дело обошлось без пожара, бомбы тоже оказались целы.</w:t>
      </w:r>
    </w:p>
    <w:p w14:paraId="0E2B89E1" w14:textId="77777777" w:rsidR="00212E98" w:rsidRPr="002F2FDF" w:rsidRDefault="00212E9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Потеря для Эскадры была тяжелейшей: погиб один из лучших лётчиков, да и 2-й боевой отряд прекратил свое существование (12041).</w:t>
      </w:r>
    </w:p>
    <w:p w14:paraId="37552E0B" w14:textId="77777777" w:rsidR="00212E98" w:rsidRPr="002F2FDF" w:rsidRDefault="00212E9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D42367" w14:textId="77777777" w:rsidR="00212E98" w:rsidRPr="00815ED5" w:rsidRDefault="00212E98" w:rsidP="0083075A">
      <w:pPr>
        <w:spacing w:after="0" w:line="240" w:lineRule="auto"/>
        <w:jc w:val="both"/>
        <w:rPr>
          <w:rFonts w:ascii="Times New Roman" w:hAnsi="Times New Roman" w:cs="Times New Roman"/>
          <w:color w:val="0070C0"/>
          <w:sz w:val="16"/>
          <w:szCs w:val="16"/>
        </w:rPr>
      </w:pPr>
      <w:bookmarkStart w:id="98" w:name="_Hlk118558486"/>
      <w:r>
        <w:rPr>
          <w:rFonts w:ascii="Times New Roman" w:hAnsi="Times New Roman" w:cs="Times New Roman"/>
          <w:color w:val="0070C0"/>
          <w:sz w:val="16"/>
          <w:szCs w:val="16"/>
        </w:rPr>
        <w:t>29</w:t>
      </w:r>
      <w:r w:rsidRPr="00815ED5">
        <w:rPr>
          <w:rFonts w:ascii="Times New Roman" w:hAnsi="Times New Roman" w:cs="Times New Roman"/>
          <w:color w:val="0070C0"/>
          <w:sz w:val="16"/>
          <w:szCs w:val="16"/>
        </w:rPr>
        <w:t xml:space="preserve"> апреля </w:t>
      </w:r>
      <w:r>
        <w:rPr>
          <w:rFonts w:ascii="Times New Roman" w:hAnsi="Times New Roman" w:cs="Times New Roman"/>
          <w:color w:val="0070C0"/>
          <w:sz w:val="16"/>
          <w:szCs w:val="16"/>
        </w:rPr>
        <w:t>(12 мая)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815ED5">
        <w:rPr>
          <w:rFonts w:ascii="Times New Roman" w:hAnsi="Times New Roman" w:cs="Times New Roman"/>
          <w:color w:val="0070C0"/>
          <w:sz w:val="16"/>
          <w:szCs w:val="16"/>
        </w:rPr>
        <w:t xml:space="preserve"> -районе </w:t>
      </w:r>
      <w:r>
        <w:rPr>
          <w:rFonts w:ascii="Times New Roman" w:hAnsi="Times New Roman" w:cs="Times New Roman"/>
          <w:color w:val="0070C0"/>
          <w:sz w:val="16"/>
          <w:szCs w:val="16"/>
        </w:rPr>
        <w:t>Т</w:t>
      </w:r>
      <w:r w:rsidRPr="00815ED5">
        <w:rPr>
          <w:rFonts w:ascii="Times New Roman" w:hAnsi="Times New Roman" w:cs="Times New Roman"/>
          <w:color w:val="0070C0"/>
          <w:sz w:val="16"/>
          <w:szCs w:val="16"/>
        </w:rPr>
        <w:t>арнополя произошла катастрофа воздушного корабля "Илья Муромец".</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От поломки левого крыла корабль упад о высо</w:t>
      </w:r>
      <w:r w:rsidRPr="00815ED5">
        <w:rPr>
          <w:rFonts w:ascii="Times New Roman" w:hAnsi="Times New Roman" w:cs="Times New Roman"/>
          <w:color w:val="0070C0"/>
          <w:sz w:val="16"/>
          <w:szCs w:val="16"/>
        </w:rPr>
        <w:softHyphen/>
        <w:t>ты 3200 м и похоронил весь экипаж.</w:t>
      </w:r>
      <w:r>
        <w:rPr>
          <w:rFonts w:ascii="Times New Roman" w:hAnsi="Times New Roman" w:cs="Times New Roman"/>
          <w:color w:val="0070C0"/>
          <w:sz w:val="16"/>
          <w:szCs w:val="16"/>
        </w:rPr>
        <w:t xml:space="preserve"> П</w:t>
      </w:r>
      <w:r w:rsidRPr="00815ED5">
        <w:rPr>
          <w:rFonts w:ascii="Times New Roman" w:hAnsi="Times New Roman" w:cs="Times New Roman"/>
          <w:color w:val="0070C0"/>
          <w:sz w:val="16"/>
          <w:szCs w:val="16"/>
        </w:rPr>
        <w:t>огибли командир корабля ст.</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лей</w:t>
      </w:r>
      <w:r w:rsidRPr="00815ED5">
        <w:rPr>
          <w:rFonts w:ascii="Times New Roman" w:hAnsi="Times New Roman" w:cs="Times New Roman"/>
          <w:color w:val="0070C0"/>
          <w:sz w:val="16"/>
          <w:szCs w:val="16"/>
        </w:rPr>
        <w:softHyphen/>
        <w:t>тенант Г.И.Лавров, его помощник поручик Сергей Константинович Вит</w:t>
      </w:r>
      <w:r w:rsidRPr="00815ED5">
        <w:rPr>
          <w:rFonts w:ascii="Times New Roman" w:hAnsi="Times New Roman" w:cs="Times New Roman"/>
          <w:color w:val="0070C0"/>
          <w:sz w:val="16"/>
          <w:szCs w:val="16"/>
        </w:rPr>
        <w:softHyphen/>
        <w:t>ков</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кий, артиллерийский офицер под"есаул Алексей Иванович Отрешко, прапорщик Федор Иванович Балашов,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лейтенант сокальский и солдат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афро</w:t>
      </w:r>
      <w:r>
        <w:rPr>
          <w:rFonts w:ascii="Times New Roman" w:hAnsi="Times New Roman" w:cs="Times New Roman"/>
          <w:color w:val="0070C0"/>
          <w:sz w:val="16"/>
          <w:szCs w:val="16"/>
        </w:rPr>
        <w:t>н</w:t>
      </w:r>
      <w:r w:rsidRPr="00815ED5">
        <w:rPr>
          <w:rFonts w:ascii="Times New Roman" w:hAnsi="Times New Roman" w:cs="Times New Roman"/>
          <w:color w:val="0070C0"/>
          <w:sz w:val="16"/>
          <w:szCs w:val="16"/>
        </w:rPr>
        <w:t>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Погибших похоронили в Виннице.</w:t>
      </w:r>
    </w:p>
    <w:p w14:paraId="3A5F043B" w14:textId="77777777" w:rsidR="00212E98" w:rsidRPr="00815ED5" w:rsidRDefault="00212E98"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Георгий Иванович Лавров /род. 1889/ - военно-морской летчик,</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один из выдающихся летчиков старой России.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 1913 году он окончил севастопольскую авиашколу,</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 в 1914 году участвовал в ряде рекордных полетов на «Илье Муромце</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w:t>
      </w:r>
      <w:r w:rsidRPr="00815ED5">
        <w:rPr>
          <w:rFonts w:ascii="Times New Roman" w:hAnsi="Times New Roman" w:cs="Times New Roman"/>
          <w:color w:val="0070C0"/>
          <w:sz w:val="16"/>
          <w:szCs w:val="16"/>
        </w:rPr>
        <w:t xml:space="preserve">н </w:t>
      </w:r>
      <w:r>
        <w:rPr>
          <w:rFonts w:ascii="Times New Roman" w:hAnsi="Times New Roman" w:cs="Times New Roman"/>
          <w:color w:val="0070C0"/>
          <w:sz w:val="16"/>
          <w:szCs w:val="16"/>
        </w:rPr>
        <w:t>ж</w:t>
      </w:r>
      <w:r w:rsidRPr="00815ED5">
        <w:rPr>
          <w:rFonts w:ascii="Times New Roman" w:hAnsi="Times New Roman" w:cs="Times New Roman"/>
          <w:color w:val="0070C0"/>
          <w:sz w:val="16"/>
          <w:szCs w:val="16"/>
        </w:rPr>
        <w:t>е был первым испытателем поплавкового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гидросамолета «Илья Муромец</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815ED5">
        <w:rPr>
          <w:rFonts w:ascii="Times New Roman" w:hAnsi="Times New Roman" w:cs="Times New Roman"/>
          <w:color w:val="0070C0"/>
          <w:sz w:val="16"/>
          <w:szCs w:val="16"/>
        </w:rPr>
        <w:t xml:space="preserve"> начала войны стал командиро</w:t>
      </w:r>
      <w:r>
        <w:rPr>
          <w:rFonts w:ascii="Times New Roman" w:hAnsi="Times New Roman" w:cs="Times New Roman"/>
          <w:color w:val="0070C0"/>
          <w:sz w:val="16"/>
          <w:szCs w:val="16"/>
        </w:rPr>
        <w:t>м</w:t>
      </w:r>
      <w:r w:rsidRPr="00815ED5">
        <w:rPr>
          <w:rFonts w:ascii="Times New Roman" w:hAnsi="Times New Roman" w:cs="Times New Roman"/>
          <w:color w:val="0070C0"/>
          <w:sz w:val="16"/>
          <w:szCs w:val="16"/>
        </w:rPr>
        <w:t xml:space="preserve"> корабля</w:t>
      </w:r>
      <w:r>
        <w:rPr>
          <w:rFonts w:ascii="Times New Roman" w:hAnsi="Times New Roman" w:cs="Times New Roman"/>
          <w:color w:val="0070C0"/>
          <w:sz w:val="16"/>
          <w:szCs w:val="16"/>
        </w:rPr>
        <w:t>, а</w:t>
      </w:r>
      <w:r w:rsidRPr="00815ED5">
        <w:rPr>
          <w:rFonts w:ascii="Times New Roman" w:hAnsi="Times New Roman" w:cs="Times New Roman"/>
          <w:color w:val="0070C0"/>
          <w:sz w:val="16"/>
          <w:szCs w:val="16"/>
        </w:rPr>
        <w:t xml:space="preserve"> затем командиром отряда в эскадре воздушных кораблей.</w:t>
      </w:r>
      <w:r>
        <w:rPr>
          <w:rFonts w:ascii="Times New Roman" w:hAnsi="Times New Roman" w:cs="Times New Roman"/>
          <w:color w:val="0070C0"/>
          <w:sz w:val="16"/>
          <w:szCs w:val="16"/>
        </w:rPr>
        <w:t xml:space="preserve"> З</w:t>
      </w:r>
      <w:r w:rsidRPr="00815ED5">
        <w:rPr>
          <w:rFonts w:ascii="Times New Roman" w:hAnsi="Times New Roman" w:cs="Times New Roman"/>
          <w:color w:val="0070C0"/>
          <w:sz w:val="16"/>
          <w:szCs w:val="16"/>
        </w:rPr>
        <w:t>а отличия</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 боевых полетах был представлен в капитаны</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Лавров предложил синхронизатор своей системы для стрельбы через винт,</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разработал проект трехмоторного самолета и проект организации дивизиона истребителей.</w:t>
      </w:r>
    </w:p>
    <w:p w14:paraId="6A320ECB" w14:textId="77777777" w:rsidR="00212E98" w:rsidRDefault="00212E98"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/"Новое время" за </w:t>
      </w:r>
      <w:r>
        <w:rPr>
          <w:rFonts w:ascii="Times New Roman" w:hAnsi="Times New Roman" w:cs="Times New Roman"/>
          <w:color w:val="0070C0"/>
          <w:sz w:val="16"/>
          <w:szCs w:val="16"/>
        </w:rPr>
        <w:t>6</w:t>
      </w:r>
      <w:r w:rsidRPr="00815ED5">
        <w:rPr>
          <w:rFonts w:ascii="Times New Roman" w:hAnsi="Times New Roman" w:cs="Times New Roman"/>
          <w:color w:val="0070C0"/>
          <w:sz w:val="16"/>
          <w:szCs w:val="16"/>
        </w:rPr>
        <w:t xml:space="preserve"> мая 1917; ЦГВИА,</w:t>
      </w:r>
      <w:r>
        <w:rPr>
          <w:rFonts w:ascii="Times New Roman" w:hAnsi="Times New Roman" w:cs="Times New Roman"/>
          <w:color w:val="0070C0"/>
          <w:sz w:val="16"/>
          <w:szCs w:val="16"/>
        </w:rPr>
        <w:t xml:space="preserve"> ф</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3</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815ED5">
        <w:rPr>
          <w:rFonts w:ascii="Times New Roman" w:hAnsi="Times New Roman" w:cs="Times New Roman"/>
          <w:color w:val="0070C0"/>
          <w:sz w:val="16"/>
          <w:szCs w:val="16"/>
        </w:rPr>
        <w:t>. 154</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 142,</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л.35/ </w:t>
      </w:r>
      <w:r>
        <w:rPr>
          <w:rFonts w:ascii="Times New Roman" w:hAnsi="Times New Roman" w:cs="Times New Roman"/>
          <w:color w:val="0070C0"/>
          <w:sz w:val="16"/>
          <w:szCs w:val="16"/>
        </w:rPr>
        <w:t>(23320).</w:t>
      </w:r>
    </w:p>
    <w:p w14:paraId="1D6E66E7" w14:textId="77777777" w:rsidR="00212E98" w:rsidRDefault="00212E98" w:rsidP="0083075A">
      <w:pPr>
        <w:spacing w:after="0" w:line="240" w:lineRule="auto"/>
        <w:jc w:val="both"/>
        <w:rPr>
          <w:rFonts w:ascii="Times New Roman" w:hAnsi="Times New Roman" w:cs="Times New Roman"/>
          <w:color w:val="0070C0"/>
          <w:sz w:val="16"/>
          <w:szCs w:val="16"/>
        </w:rPr>
      </w:pPr>
    </w:p>
    <w:bookmarkEnd w:id="98"/>
    <w:p w14:paraId="5EEA904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2B1C74" w:rsidRPr="002F2FDF" w14:paraId="4713D6EC" w14:textId="77777777">
        <w:tc>
          <w:tcPr>
            <w:tcW w:w="1548" w:type="dxa"/>
            <w:tcBorders>
              <w:top w:val="single" w:sz="12" w:space="0" w:color="auto"/>
            </w:tcBorders>
            <w:shd w:val="clear" w:color="auto" w:fill="FFFFFF"/>
          </w:tcPr>
          <w:p w14:paraId="67AEA5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Дата контракта</w:t>
            </w:r>
          </w:p>
        </w:tc>
        <w:tc>
          <w:tcPr>
            <w:tcW w:w="1170" w:type="dxa"/>
            <w:tcBorders>
              <w:top w:val="single" w:sz="12" w:space="0" w:color="auto"/>
            </w:tcBorders>
            <w:shd w:val="clear" w:color="auto" w:fill="FFFFFF"/>
          </w:tcPr>
          <w:p w14:paraId="32019D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заказанных аэропланов</w:t>
            </w:r>
          </w:p>
        </w:tc>
        <w:tc>
          <w:tcPr>
            <w:tcW w:w="6858" w:type="dxa"/>
            <w:tcBorders>
              <w:top w:val="single" w:sz="12" w:space="0" w:color="auto"/>
            </w:tcBorders>
            <w:shd w:val="clear" w:color="auto" w:fill="FFFFFF"/>
          </w:tcPr>
          <w:p w14:paraId="030738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Условия</w:t>
            </w:r>
          </w:p>
        </w:tc>
      </w:tr>
      <w:tr w:rsidR="002B1C74" w:rsidRPr="002F2FDF" w14:paraId="4332B4F9" w14:textId="77777777">
        <w:tc>
          <w:tcPr>
            <w:tcW w:w="1548" w:type="dxa"/>
            <w:shd w:val="clear" w:color="auto" w:fill="FFFFFF"/>
          </w:tcPr>
          <w:p w14:paraId="5F28E7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 29 1917</w:t>
            </w:r>
          </w:p>
        </w:tc>
        <w:tc>
          <w:tcPr>
            <w:tcW w:w="1170" w:type="dxa"/>
            <w:shd w:val="clear" w:color="auto" w:fill="FFFFFF"/>
          </w:tcPr>
          <w:p w14:paraId="3F3A09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6858" w:type="dxa"/>
            <w:shd w:val="clear" w:color="auto" w:fill="FFFFFF"/>
          </w:tcPr>
          <w:p w14:paraId="309AF1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ПРИМЕЧАНИЯ: 10 запасных корпусов; выполнен к 25 мая 1917 г.; возможно, помимо корпусов поставлено и 20 запасных нижних крыльев</w:t>
            </w:r>
          </w:p>
        </w:tc>
      </w:tr>
      <w:tr w:rsidR="002B1C74" w:rsidRPr="002F2FDF" w14:paraId="6EB56DA5" w14:textId="77777777">
        <w:tc>
          <w:tcPr>
            <w:tcW w:w="1548" w:type="dxa"/>
            <w:shd w:val="clear" w:color="auto" w:fill="FFFFFF"/>
          </w:tcPr>
          <w:p w14:paraId="0B5598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 26 1917</w:t>
            </w:r>
          </w:p>
        </w:tc>
        <w:tc>
          <w:tcPr>
            <w:tcW w:w="1170" w:type="dxa"/>
            <w:shd w:val="clear" w:color="auto" w:fill="FFFFFF"/>
          </w:tcPr>
          <w:p w14:paraId="6DB95A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6858" w:type="dxa"/>
            <w:shd w:val="clear" w:color="auto" w:fill="FFFFFF"/>
          </w:tcPr>
          <w:p w14:paraId="7ACB92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2B1C74" w:rsidRPr="002F2FDF" w14:paraId="6CCC214E" w14:textId="77777777">
        <w:tc>
          <w:tcPr>
            <w:tcW w:w="1548" w:type="dxa"/>
            <w:shd w:val="clear" w:color="auto" w:fill="FFFFFF"/>
          </w:tcPr>
          <w:p w14:paraId="413C44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 28 1917</w:t>
            </w:r>
          </w:p>
        </w:tc>
        <w:tc>
          <w:tcPr>
            <w:tcW w:w="1170" w:type="dxa"/>
            <w:shd w:val="clear" w:color="auto" w:fill="FFFFFF"/>
          </w:tcPr>
          <w:p w14:paraId="400F9E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c>
          <w:tcPr>
            <w:tcW w:w="6858" w:type="dxa"/>
            <w:shd w:val="clear" w:color="auto" w:fill="FFFFFF"/>
          </w:tcPr>
          <w:p w14:paraId="322F4B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тыс. руб. за аппарат под мотор “Рон” 125 л.с., срок исполнения с 1 сентября 1917 г. по 1 января 1918 г. (не выполнен)</w:t>
            </w:r>
          </w:p>
          <w:p w14:paraId="5B7684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ПРИМЕЧАНИЯ: заказ дан Опытному заводу Д. П. Григоровича (см. главу 2 и раздел М-20)</w:t>
            </w:r>
          </w:p>
        </w:tc>
      </w:tr>
      <w:tr w:rsidR="002B1C74" w:rsidRPr="002F2FDF" w14:paraId="6EC4B5CF" w14:textId="77777777">
        <w:tc>
          <w:tcPr>
            <w:tcW w:w="1548" w:type="dxa"/>
            <w:tcBorders>
              <w:bottom w:val="single" w:sz="12" w:space="0" w:color="auto"/>
            </w:tcBorders>
            <w:shd w:val="clear" w:color="auto" w:fill="FFFFFF"/>
          </w:tcPr>
          <w:p w14:paraId="6E26AC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 31 1917</w:t>
            </w:r>
          </w:p>
        </w:tc>
        <w:tc>
          <w:tcPr>
            <w:tcW w:w="1170" w:type="dxa"/>
            <w:tcBorders>
              <w:bottom w:val="single" w:sz="12" w:space="0" w:color="auto"/>
            </w:tcBorders>
            <w:shd w:val="clear" w:color="auto" w:fill="FFFFFF"/>
          </w:tcPr>
          <w:p w14:paraId="5CAE5A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6858" w:type="dxa"/>
            <w:tcBorders>
              <w:bottom w:val="single" w:sz="12" w:space="0" w:color="auto"/>
            </w:tcBorders>
            <w:shd w:val="clear" w:color="auto" w:fill="FFFFFF"/>
          </w:tcPr>
          <w:p w14:paraId="27E3F1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контракт на ранее приобретенные аппараты (2807)</w:t>
            </w:r>
          </w:p>
        </w:tc>
      </w:tr>
    </w:tbl>
    <w:p w14:paraId="0B7FC68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F0EEE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90A12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5956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апреля (12 мая) 1917 была отставка военного министра А.И.Гучкова (1348,85).</w:t>
      </w:r>
    </w:p>
    <w:p w14:paraId="6765EB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10F2CC" w14:textId="77777777" w:rsidR="008D16F6" w:rsidRPr="002F2FDF" w:rsidRDefault="008D16F6" w:rsidP="0083075A">
      <w:pPr>
        <w:pStyle w:val="ae"/>
        <w:spacing w:before="0" w:after="0"/>
        <w:jc w:val="both"/>
        <w:rPr>
          <w:color w:val="000000" w:themeColor="text1"/>
          <w:kern w:val="2"/>
          <w:sz w:val="16"/>
          <w:szCs w:val="16"/>
        </w:rPr>
      </w:pPr>
      <w:r w:rsidRPr="002F2FDF">
        <w:rPr>
          <w:color w:val="000000" w:themeColor="text1"/>
          <w:kern w:val="2"/>
          <w:sz w:val="16"/>
          <w:szCs w:val="16"/>
        </w:rPr>
        <w:t>29 апреля (12 мая) 1917 сложил с себя полномочия Александр Гучков, занимавший во Временном правительстве пост военного и морского министра. Он обратился к главе правительства князю Георгию Львову с письмом, фактически признав невозможность противостоять анархии и разложению армии: «В виду тех условий, в которые поставлена правительственная власть в стране, в частности, власть военного и морского министра в отношении армии и флота, — условий, которых я не в силах изменить, и которые грозят роковыми последствиями обороне, свободе и самому бытию России, — я по совести не могу далее нести обязанностей военного и морского министра, и разделять ответственность за тот тяжкий грех, который творится в отношении родины» (17045).</w:t>
      </w:r>
    </w:p>
    <w:p w14:paraId="413F46BD" w14:textId="77777777" w:rsidR="008D16F6" w:rsidRPr="002F2FDF" w:rsidRDefault="008D16F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89973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апреля (12 мая) 1917 300 матросов Черноморского флота выехали в Петроград с целью убедить матросов Балтфлота отказаться от революционных идей (4962).</w:t>
      </w:r>
    </w:p>
    <w:p w14:paraId="407A77D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5528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апреля (12 мая) 1917 г. в Петроград отправилась делегация из 300 матросов Черноморского флота, чтобы убедить балтийцев отказаться от революционных идей. Развал приобретал всё больший размах: матросы начали массами проситься в отпуск и косо поглядывать вначале на офицеров с немецкими фамилиями, а затем на всех офицеров вообще (11933).</w:t>
      </w:r>
    </w:p>
    <w:p w14:paraId="1EF377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2FECF5" w14:textId="124DCC3C"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апреля (12 мая) 1917 г. Линкор “Император Александр III” переименован в линкор “Воля” (11454).</w:t>
      </w:r>
    </w:p>
    <w:p w14:paraId="32A27D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BA181A" w14:textId="77777777" w:rsidR="003F2A09"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643B6107" w14:textId="77777777" w:rsidR="003F2A09" w:rsidRPr="002F2FDF" w:rsidRDefault="003F2A0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06439A" w14:textId="77777777" w:rsidR="003F2A09" w:rsidRPr="002F2FDF" w:rsidRDefault="003F2A09"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Не ранее 29 апреля (12 мая) 1917 г. </w:t>
      </w:r>
      <w:r w:rsidRPr="002F2FDF">
        <w:rPr>
          <w:rFonts w:ascii="Times New Roman" w:hAnsi="Times New Roman" w:cs="Times New Roman"/>
          <w:color w:val="000000" w:themeColor="text1"/>
          <w:kern w:val="2"/>
          <w:sz w:val="16"/>
          <w:szCs w:val="16"/>
        </w:rPr>
        <w:t>Справка начальника Отдела заготовлений Министерства путей сообщения А. Н. Митинского о размещенных и намеченных к размещению на 1917 г. железнодорожных заказах в США и необходимой для их оплаты валюте.</w:t>
      </w:r>
    </w:p>
    <w:p w14:paraId="6C5C40A9" w14:textId="0376ADB4" w:rsidR="003F2A09" w:rsidRPr="002F2FDF" w:rsidRDefault="003F2A0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485</w:t>
      </w:r>
    </w:p>
    <w:p w14:paraId="2A298BCE" w14:textId="43237D0C" w:rsidR="003F2A09" w:rsidRPr="002F2FDF" w:rsidRDefault="003F2A0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Экономического деп та, 1-е дел-во, д. 160, л. 88—88 об. Подлинник.</w:t>
      </w:r>
    </w:p>
    <w:p w14:paraId="16E533C8" w14:textId="77777777" w:rsidR="003F2A09" w:rsidRPr="002F2FDF" w:rsidRDefault="003F2A09" w:rsidP="0083075A">
      <w:pPr>
        <w:pStyle w:val="rtejustify"/>
        <w:spacing w:before="0" w:after="0"/>
        <w:rPr>
          <w:color w:val="000000" w:themeColor="text1"/>
          <w:kern w:val="2"/>
          <w:sz w:val="16"/>
          <w:szCs w:val="16"/>
        </w:rPr>
      </w:pPr>
      <w:r w:rsidRPr="002F2FDF">
        <w:rPr>
          <w:color w:val="000000" w:themeColor="text1"/>
          <w:kern w:val="2"/>
          <w:sz w:val="16"/>
          <w:szCs w:val="16"/>
        </w:rPr>
        <w:t>а) Заказано через английское правительство и обеспечено 375 паровозов, 3500 угольных большегрузных полувагонов, 5000 крытых вагонов русского типа.</w:t>
      </w:r>
    </w:p>
    <w:p w14:paraId="7200403E" w14:textId="77777777" w:rsidR="003F2A09" w:rsidRPr="002F2FDF" w:rsidRDefault="003F2A09" w:rsidP="0083075A">
      <w:pPr>
        <w:pStyle w:val="rtejustify"/>
        <w:spacing w:before="0" w:after="0"/>
        <w:rPr>
          <w:color w:val="000000" w:themeColor="text1"/>
          <w:kern w:val="2"/>
          <w:sz w:val="16"/>
          <w:szCs w:val="16"/>
        </w:rPr>
      </w:pPr>
      <w:r w:rsidRPr="002F2FDF">
        <w:rPr>
          <w:color w:val="000000" w:themeColor="text1"/>
          <w:kern w:val="2"/>
          <w:sz w:val="16"/>
          <w:szCs w:val="16"/>
        </w:rPr>
        <w:t>б) Заказаны без посредства английского правительства рельсы (заказ лета 1916 г.) и 4000стрелочных переводов. Из этого числа обеспечение валютой рельсов взяло на себя Министерство финансов; 2000 стрелочных переводов уже оплачены, а остальные 2000 подлежат оплате в долларах из нового кредита.</w:t>
      </w:r>
    </w:p>
    <w:p w14:paraId="0EAD7A65" w14:textId="77777777" w:rsidR="003F2A09" w:rsidRPr="002F2FDF" w:rsidRDefault="003F2A09" w:rsidP="0083075A">
      <w:pPr>
        <w:pStyle w:val="rtejustify"/>
        <w:spacing w:before="0" w:after="0"/>
        <w:rPr>
          <w:color w:val="000000" w:themeColor="text1"/>
          <w:kern w:val="2"/>
          <w:sz w:val="16"/>
          <w:szCs w:val="16"/>
        </w:rPr>
      </w:pPr>
      <w:r w:rsidRPr="002F2FDF">
        <w:rPr>
          <w:color w:val="000000" w:themeColor="text1"/>
          <w:kern w:val="2"/>
          <w:sz w:val="16"/>
          <w:szCs w:val="16"/>
        </w:rPr>
        <w:t>Все эти заказы известны представителю Министерства путей сообщения в Америке, согласно телеграмме от 16 апреля, собравшего все данные относительно выданных уже заказов в Америке, Англии и Франции представителя Министерства путей сообщения в Лондоне. Всех заказов до сих пор министерства, подлежащих перевозке, имеется 649 тыс. т. Согласно данным лорда Мильнера, на Петроградской конференции союзников Министерству путей сообщения предоставлено твердо 700 тыс. т мирового тоннажа (остальной тоннаж, кроме артиллерийского, условный — по мере возможности). На остаток в 51 тыс. т представитель Министерства путей сообщения в Лондоне исхлопатывает теперь валюту и производство самого заказа на Америку, согласно данным ему ранее указаниям по покупке паровозов и рельсов. Величина этого тоннажа столь незначительна, что даст возможность приобрести не более 160 паровозов или 2500 крытых малогрузных вагонов. Заказу этому, казалось бы, надлежало предоставить естественное течение.</w:t>
      </w:r>
    </w:p>
    <w:p w14:paraId="303D2F83" w14:textId="77777777" w:rsidR="003F2A09" w:rsidRPr="002F2FDF" w:rsidRDefault="003F2A09" w:rsidP="0083075A">
      <w:pPr>
        <w:pStyle w:val="rtejustify"/>
        <w:spacing w:before="0" w:after="0"/>
        <w:rPr>
          <w:color w:val="000000" w:themeColor="text1"/>
          <w:kern w:val="2"/>
          <w:sz w:val="16"/>
          <w:szCs w:val="16"/>
        </w:rPr>
      </w:pPr>
      <w:r w:rsidRPr="002F2FDF">
        <w:rPr>
          <w:color w:val="000000" w:themeColor="text1"/>
          <w:kern w:val="2"/>
          <w:sz w:val="16"/>
          <w:szCs w:val="16"/>
        </w:rPr>
        <w:t>Кроме сего, согласно данным лорда Мильнера, предвидится возможность заказа, при условии поставки в 1917 г., а перевозки в начале 1918 г., еще 200 тыс. т рельсов и 100 тыс. т подвижного состава.</w:t>
      </w:r>
    </w:p>
    <w:p w14:paraId="36547E9F" w14:textId="77777777" w:rsidR="003F2A09" w:rsidRPr="002F2FDF" w:rsidRDefault="003F2A09" w:rsidP="0083075A">
      <w:pPr>
        <w:pStyle w:val="rtejustify"/>
        <w:spacing w:before="0" w:after="0"/>
        <w:rPr>
          <w:color w:val="000000" w:themeColor="text1"/>
          <w:kern w:val="2"/>
          <w:sz w:val="16"/>
          <w:szCs w:val="16"/>
        </w:rPr>
      </w:pPr>
      <w:r w:rsidRPr="002F2FDF">
        <w:rPr>
          <w:color w:val="000000" w:themeColor="text1"/>
          <w:kern w:val="2"/>
          <w:sz w:val="16"/>
          <w:szCs w:val="16"/>
        </w:rPr>
        <w:lastRenderedPageBreak/>
        <w:t>Потребности Министерства путей сообщения сверх вышеприведенных заказов, заполняющих предоставленный Англией тоннаж на 1917 г., представляются в следующем виде: рельсов со скреплениями 350 тыс. т (из них заказ на 150 тыс. т поставки 1917 г. уже выдан здесь), 2000 паровозов (подлежат заказу специально командированным лицом в Америку), 40 тыс. вагонов. Этот подвижной состав с запасными частями потребует тоннажа: паровозы 570 тыс. т, вагоны 600 тыс. т, запасные части 80 тыс. т; станки для нужд мастерских железных дорог и заводов-контрагентов ведомства потребуют тоннажа 25 тыс. т. Перевозка рельсов со скреплениями Джульфа-Бакинской ж. д. потребуют 43 тыс. т. Всего с разными мелкими нуждами ведомства потребуется добавочного тоннажа 1350 тыс. т.</w:t>
      </w:r>
    </w:p>
    <w:p w14:paraId="628A5EEB" w14:textId="77777777" w:rsidR="003F2A09" w:rsidRPr="002F2FDF" w:rsidRDefault="003F2A09" w:rsidP="0083075A">
      <w:pPr>
        <w:pStyle w:val="rtejustify"/>
        <w:spacing w:before="0" w:after="0"/>
        <w:rPr>
          <w:color w:val="000000" w:themeColor="text1"/>
          <w:kern w:val="2"/>
          <w:sz w:val="16"/>
          <w:szCs w:val="16"/>
        </w:rPr>
      </w:pPr>
      <w:r w:rsidRPr="002F2FDF">
        <w:rPr>
          <w:color w:val="000000" w:themeColor="text1"/>
          <w:kern w:val="2"/>
          <w:sz w:val="16"/>
          <w:szCs w:val="16"/>
        </w:rPr>
        <w:t>Долю из них на 1917 г. представляется в настоящее время определить затруднительно, ибо невыяснено, сколько возможно будет в кратчайшие сроки получить подвижного состава в Америке, подлежащего перевозке на Владивосток в первую очередь.</w:t>
      </w:r>
    </w:p>
    <w:p w14:paraId="7168504F" w14:textId="77777777" w:rsidR="003F2A09" w:rsidRPr="002F2FDF" w:rsidRDefault="003F2A09" w:rsidP="0083075A">
      <w:pPr>
        <w:pStyle w:val="rtejustify"/>
        <w:spacing w:before="0" w:after="0"/>
        <w:rPr>
          <w:color w:val="000000" w:themeColor="text1"/>
          <w:kern w:val="2"/>
          <w:sz w:val="16"/>
          <w:szCs w:val="16"/>
        </w:rPr>
      </w:pPr>
      <w:r w:rsidRPr="002F2FDF">
        <w:rPr>
          <w:color w:val="000000" w:themeColor="text1"/>
          <w:kern w:val="2"/>
          <w:sz w:val="16"/>
          <w:szCs w:val="16"/>
        </w:rPr>
        <w:t>Кредитов необходимо испросить от американского правительства: 200 млн дол. на подвижной состав, 35 млн дол. на рельсы и скрепления (350 тыс. т с перевозкой) и 15 млн дол. на стрелки и тому подобные мелкие нужды ведомства, а всего — 250 млн дол.</w:t>
      </w:r>
    </w:p>
    <w:p w14:paraId="49DDD8F7" w14:textId="77777777" w:rsidR="003F2A09" w:rsidRPr="002F2FDF" w:rsidRDefault="003F2A09" w:rsidP="0083075A">
      <w:pPr>
        <w:pStyle w:val="rtejustify"/>
        <w:spacing w:before="0" w:after="0"/>
        <w:rPr>
          <w:color w:val="000000" w:themeColor="text1"/>
          <w:kern w:val="2"/>
          <w:sz w:val="16"/>
          <w:szCs w:val="16"/>
        </w:rPr>
      </w:pPr>
      <w:r w:rsidRPr="002F2FDF">
        <w:rPr>
          <w:color w:val="000000" w:themeColor="text1"/>
          <w:kern w:val="2"/>
          <w:sz w:val="16"/>
          <w:szCs w:val="16"/>
        </w:rPr>
        <w:t>Необходимо немедленное соглашение с американским правительством об обращении им вновь сооружаемого флота и ремонтированных немецких судов в первую очередь на снабжение Владивостока подвижным составом в размерах возможной производительности Америкой такового.</w:t>
      </w:r>
    </w:p>
    <w:p w14:paraId="5ED955B8" w14:textId="77777777" w:rsidR="003F2A09" w:rsidRPr="002F2FDF" w:rsidRDefault="003F2A09"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А. Митинский (15163).</w:t>
      </w:r>
    </w:p>
    <w:p w14:paraId="52BA5374" w14:textId="77777777" w:rsidR="003F2A09" w:rsidRPr="002F2FDF" w:rsidRDefault="003F2A09"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51205A4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13497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B297A2" w14:textId="77777777" w:rsidR="00CA6C19" w:rsidRPr="002F2FDF" w:rsidRDefault="00CA6C1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29 апреля (12 мая) в 1917 году семь истребителей </w:t>
      </w:r>
      <w:hyperlink r:id="rId144" w:tgtFrame="_blank" w:history="1">
        <w:r w:rsidRPr="002F2FDF">
          <w:rPr>
            <w:rFonts w:ascii="Times New Roman" w:hAnsi="Times New Roman" w:cs="Times New Roman"/>
            <w:color w:val="000000" w:themeColor="text1"/>
            <w:kern w:val="2"/>
            <w:sz w:val="16"/>
            <w:szCs w:val="16"/>
          </w:rPr>
          <w:t xml:space="preserve">«Pup» </w:t>
        </w:r>
      </w:hyperlink>
      <w:r w:rsidRPr="002F2FDF">
        <w:rPr>
          <w:rFonts w:ascii="Times New Roman" w:hAnsi="Times New Roman" w:cs="Times New Roman"/>
          <w:color w:val="000000" w:themeColor="text1"/>
          <w:kern w:val="2"/>
          <w:sz w:val="16"/>
          <w:szCs w:val="16"/>
        </w:rPr>
        <w:t>из 4-й эскадрильи морской авиации сбили пять "Альбатросов" без потерь со своей стороны. Истребитель «Pup» (щенок) созданный на фирме «Сопвич Авиейшн Ко, лтд» оказался исключительно удачным самолетом. Он отличался необычайной маневренностью, не терял высоту на крутых виражах, несмотря на слабый двигатель развивал максимальную скорость до 179 км/ч, при том что посадочная скорость, напротив, была минимальной - всего 45 км/ч. Вскоре во Франции на "Папах" летало уже семь эскадрилий морской и три эскадрильи армейской авиации. В апреле 1917 года 32% английских истребительных эскадрилий было оснащено самолетами фирмы "Сопвич", в том числе три (3, 54 и 66) самолетами "Пап", по 18 машин в эскадрилье. Наибольшим успех истребителя был отмечен 11 апреля 1917 года, когда лейтенант Дж.С.Т.Фолл в ходе одного боевого вылета сбил два германских "Альбатроса" и один "Гальберштадт".</w:t>
      </w:r>
    </w:p>
    <w:p w14:paraId="136FEAFC" w14:textId="77777777" w:rsidR="00CA6C19" w:rsidRPr="002F2FDF" w:rsidRDefault="00CA6C1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июля 1917 года "Папы" также служили в эскадрильях ПВО на территории Англии, где успешно перехватывали германские бомбардировщики и цеппелины (14889).</w:t>
      </w:r>
    </w:p>
    <w:p w14:paraId="479683D0" w14:textId="77777777" w:rsidR="00CA6C19" w:rsidRPr="002F2FDF" w:rsidRDefault="00CA6C19" w:rsidP="0083075A">
      <w:pPr>
        <w:spacing w:after="0" w:line="240" w:lineRule="auto"/>
        <w:jc w:val="both"/>
        <w:rPr>
          <w:rFonts w:ascii="Times New Roman" w:hAnsi="Times New Roman" w:cs="Times New Roman"/>
          <w:color w:val="000000" w:themeColor="text1"/>
          <w:kern w:val="2"/>
          <w:sz w:val="16"/>
          <w:szCs w:val="16"/>
        </w:rPr>
      </w:pPr>
    </w:p>
    <w:p w14:paraId="744B9A3A" w14:textId="77777777" w:rsidR="00CA6C19"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апреля (</w:t>
      </w:r>
      <w:r w:rsidR="00CA6C19" w:rsidRPr="002F2FDF">
        <w:rPr>
          <w:rFonts w:ascii="Times New Roman" w:hAnsi="Times New Roman" w:cs="Times New Roman"/>
          <w:color w:val="000000" w:themeColor="text1"/>
          <w:kern w:val="2"/>
          <w:sz w:val="16"/>
          <w:szCs w:val="16"/>
        </w:rPr>
        <w:t>12 мая</w:t>
      </w:r>
      <w:r w:rsidRPr="002F2FDF">
        <w:rPr>
          <w:rFonts w:ascii="Times New Roman" w:hAnsi="Times New Roman" w:cs="Times New Roman"/>
          <w:color w:val="000000" w:themeColor="text1"/>
          <w:kern w:val="2"/>
          <w:sz w:val="16"/>
          <w:szCs w:val="16"/>
        </w:rPr>
        <w:t>)</w:t>
      </w:r>
      <w:r w:rsidR="00CA6C19" w:rsidRPr="002F2FDF">
        <w:rPr>
          <w:rFonts w:ascii="Times New Roman" w:hAnsi="Times New Roman" w:cs="Times New Roman"/>
          <w:color w:val="000000" w:themeColor="text1"/>
          <w:kern w:val="2"/>
          <w:sz w:val="16"/>
          <w:szCs w:val="16"/>
        </w:rPr>
        <w:t xml:space="preserve"> в 1917 году вместе с трагической гибелью пилота Роуланда Динга закончилась история самолета </w:t>
      </w:r>
      <w:hyperlink r:id="rId145" w:tgtFrame="_blank" w:history="1">
        <w:r w:rsidR="00CA6C19" w:rsidRPr="002F2FDF">
          <w:rPr>
            <w:rFonts w:ascii="Times New Roman" w:hAnsi="Times New Roman" w:cs="Times New Roman"/>
            <w:color w:val="000000" w:themeColor="text1"/>
            <w:kern w:val="2"/>
            <w:sz w:val="16"/>
            <w:szCs w:val="16"/>
          </w:rPr>
          <w:t xml:space="preserve">«White Falcon» </w:t>
        </w:r>
      </w:hyperlink>
      <w:r w:rsidR="00CA6C19" w:rsidRPr="002F2FDF">
        <w:rPr>
          <w:rFonts w:ascii="Times New Roman" w:hAnsi="Times New Roman" w:cs="Times New Roman"/>
          <w:color w:val="000000" w:themeColor="text1"/>
          <w:kern w:val="2"/>
          <w:sz w:val="16"/>
          <w:szCs w:val="16"/>
        </w:rPr>
        <w:t>(разработчик: «Blackburn», Великобритания). Самолет «White Falcon» - единственный двухместный моноплан компании с двигателем «Anzani» мощностью 100 л.с. Первоначально на самолет установили шасси от «BE.2c», которые в последствии заменили модернизированные (без полозьев). Эта машина была построена для летчика-испытателя компании "Blackburn" У.Роуланда Динга (W.Rowland Dring) в 1915 году. В 1915 году Роуланд Динг совершал на "White Falcon" полеты на базу RNAS с инспекцией поставки самолетов «BE.2c» построенных на заводе «Blackburn». Зимой 1916-1917 года самолет использовался в интересах RAF, хотя и не получил военной регистрации (14889).</w:t>
      </w:r>
    </w:p>
    <w:p w14:paraId="136890D8" w14:textId="77777777" w:rsidR="00CA6C19" w:rsidRPr="002F2FDF" w:rsidRDefault="00CA6C19" w:rsidP="0083075A">
      <w:pPr>
        <w:spacing w:after="0" w:line="240" w:lineRule="auto"/>
        <w:jc w:val="both"/>
        <w:rPr>
          <w:rFonts w:ascii="Times New Roman" w:hAnsi="Times New Roman" w:cs="Times New Roman"/>
          <w:color w:val="000000" w:themeColor="text1"/>
          <w:kern w:val="2"/>
          <w:sz w:val="16"/>
          <w:szCs w:val="16"/>
        </w:rPr>
      </w:pPr>
    </w:p>
    <w:p w14:paraId="2D8965FE" w14:textId="77777777" w:rsidR="00CA6C19" w:rsidRPr="002F2FDF" w:rsidRDefault="00CA6C1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апреля (12 мая) 1917 было десятое сражение под Изонцо, которое продолжалось до 8 июня 1917. Итальянцы немного продвинулись вперед (3907,90).</w:t>
      </w:r>
    </w:p>
    <w:p w14:paraId="0B1A8B9B" w14:textId="77777777" w:rsidR="00CA6C19" w:rsidRPr="002F2FDF" w:rsidRDefault="00CA6C1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6A73F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2F020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1311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апреля (13 мая) 1917 Нач. Воздушной дивизии БМ к1р Б.П.Дудоров получил из штаба 1-ц воздушной бригады из Ревеля о том, что М-11 (ОР) не годятся для отражения неприятеля далее аэродрома (2807,55).</w:t>
      </w:r>
    </w:p>
    <w:p w14:paraId="338776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ECC137" w14:textId="77777777" w:rsidR="003F2A09" w:rsidRPr="002F2FDF" w:rsidRDefault="003F2A0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апреля (13 мая) в 1917 году.</w:t>
      </w:r>
    </w:p>
    <w:p w14:paraId="0BBD5E1C" w14:textId="77777777" w:rsidR="003F2A09" w:rsidRPr="002F2FDF" w:rsidRDefault="003F2A0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w:t>
      </w:r>
    </w:p>
    <w:p w14:paraId="7AD006D9" w14:textId="77777777" w:rsidR="003F2A09" w:rsidRPr="002F2FDF" w:rsidRDefault="003F2A0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Петроградскому военному округу, за № 170-а, от 30 апреля 1917 года:</w:t>
      </w:r>
    </w:p>
    <w:p w14:paraId="19A3B942" w14:textId="77777777" w:rsidR="003F2A09" w:rsidRPr="002F2FDF" w:rsidRDefault="003F2A0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Завтра 1 мая по случаю всемирного рабочего праздника в войсках вверенного мне округа занятий не производить. Войсковым частям с оркестрами музыки участвовать в народных процессиях, войдя в соглашение с районными комитетами.</w:t>
      </w:r>
    </w:p>
    <w:p w14:paraId="3906C75C" w14:textId="77777777" w:rsidR="003F2A09" w:rsidRPr="002F2FDF" w:rsidRDefault="003F2A0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Подписал: Главнокомандующий войсками округа, генерал-лейтенант Корнилов (15115).</w:t>
      </w:r>
    </w:p>
    <w:p w14:paraId="541AD89B" w14:textId="77777777" w:rsidR="003F2A09" w:rsidRPr="002F2FDF" w:rsidRDefault="003F2A09" w:rsidP="0083075A">
      <w:pPr>
        <w:spacing w:after="0" w:line="240" w:lineRule="auto"/>
        <w:jc w:val="both"/>
        <w:rPr>
          <w:rFonts w:ascii="Times New Roman" w:hAnsi="Times New Roman" w:cs="Times New Roman"/>
          <w:color w:val="000000" w:themeColor="text1"/>
          <w:kern w:val="2"/>
          <w:sz w:val="16"/>
          <w:szCs w:val="16"/>
        </w:rPr>
      </w:pPr>
    </w:p>
    <w:p w14:paraId="6979EBF8" w14:textId="4CB0B56D" w:rsidR="00EB3E32" w:rsidRPr="00FB4F67" w:rsidRDefault="00EB3E3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30 апреля (</w:t>
      </w:r>
      <w:r w:rsidRPr="00FB4F67">
        <w:rPr>
          <w:rFonts w:ascii="Times New Roman" w:hAnsi="Times New Roman" w:cs="Times New Roman"/>
          <w:color w:val="0070C0"/>
          <w:sz w:val="16"/>
          <w:szCs w:val="16"/>
        </w:rPr>
        <w:t>13 мая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районе м. Налибок (Новогрудское направление) был захвачен немецкий аэроплан, совершивший </w:t>
      </w:r>
      <w:bookmarkStart w:id="99" w:name="bookmark770"/>
      <w:bookmarkStart w:id="100" w:name="bookmark771"/>
      <w:r w:rsidRPr="00FB4F67">
        <w:rPr>
          <w:rFonts w:ascii="Times New Roman" w:hAnsi="Times New Roman" w:cs="Times New Roman"/>
          <w:color w:val="0070C0"/>
          <w:sz w:val="16"/>
          <w:szCs w:val="16"/>
        </w:rPr>
        <w:t>вынужденную посадку на подконтрольную русскими войсками территорию. Летчики взяты в плен (23405).</w:t>
      </w:r>
      <w:bookmarkEnd w:id="99"/>
      <w:bookmarkEnd w:id="100"/>
    </w:p>
    <w:p w14:paraId="055E899A" w14:textId="77777777" w:rsidR="00EB3E32" w:rsidRPr="00FB4F67" w:rsidRDefault="00EB3E32" w:rsidP="0083075A">
      <w:pPr>
        <w:spacing w:after="0" w:line="240" w:lineRule="auto"/>
        <w:jc w:val="both"/>
        <w:rPr>
          <w:rFonts w:ascii="Times New Roman" w:hAnsi="Times New Roman" w:cs="Times New Roman"/>
          <w:color w:val="0070C0"/>
          <w:sz w:val="16"/>
          <w:szCs w:val="16"/>
        </w:rPr>
      </w:pPr>
    </w:p>
    <w:p w14:paraId="24F4976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6608C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EAB0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апреля (13 мая) 1917 вышел приказ, который изменил пропорции крестов на немецких самолетах. Вертикальный размер стал на 20% больше горизонтального, а ширина луча уменьшилась до одной восьмой высоты. Окантовка не должна была огибать концы и окантовка должна была составлять четверть от ширины луча (4541, 5).</w:t>
      </w:r>
    </w:p>
    <w:p w14:paraId="567AA6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5C35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апреля (13 мая) 1917 в португальской деревне Фатима в 80 милях от Лиссабона трое ребят, пасших овец, увидели парящий над землей прозрачный шар, и которого вышла фигура и сказала, что будет прилетать на это место по 13 числам и разговаривать с ними. Действительно, прилетала в июне, июле и августе, но никто ничего не видел. Видели 13 сентября 30 тыс. чел. и 13 октября 1917 70 тыс. чел., когда прилетал сверкающий диск (3710).</w:t>
      </w:r>
    </w:p>
    <w:p w14:paraId="7E6CD0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7A2F20"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30 апреля (13 мая) в 1917 году после воскресной мессы трое маленьких пастушков Жасинта, Франсишко и Лусия из местечка Кова да Ирия, что близ маленького португальского городка Фатима, пасли своих овец неподалеку от дома. Вдруг сверкнула молния, и они решили, что начинается гроза. В этот момент им явился </w:t>
      </w:r>
      <w:hyperlink r:id="rId146" w:tgtFrame="_blank" w:history="1">
        <w:r w:rsidRPr="002F2FDF">
          <w:rPr>
            <w:rFonts w:ascii="Times New Roman" w:hAnsi="Times New Roman" w:cs="Times New Roman"/>
            <w:color w:val="000000" w:themeColor="text1"/>
            <w:kern w:val="2"/>
            <w:sz w:val="16"/>
            <w:szCs w:val="16"/>
          </w:rPr>
          <w:t xml:space="preserve">образ Пресвятой Богородицы, </w:t>
        </w:r>
      </w:hyperlink>
      <w:r w:rsidRPr="002F2FDF">
        <w:rPr>
          <w:rFonts w:ascii="Times New Roman" w:hAnsi="Times New Roman" w:cs="Times New Roman"/>
          <w:color w:val="000000" w:themeColor="text1"/>
          <w:kern w:val="2"/>
          <w:sz w:val="16"/>
          <w:szCs w:val="16"/>
        </w:rPr>
        <w:t>который, по их словам, сверкал ярче солнца. А 13 октября 1917 года явление наблюдали уже 70 тысяч. А назавтра по всей Португалии разнеслась весть, что несколько калек из тех, кто лицезрел Богоматерь, чудесным образом исцелились. Покушение на жизнь папы римского Иоанна Павла II произошло в годовщину первого явления Божьей Матери Фатимской, совпали даже час и минуты, а чудесное исцеление папы стало очередным подтверждением предсказаний 1917 года. 9-миллиметровая пуля пронзила тело папы, неправдоподобным образом минуя все жизненно важные органы, словно невидимая рука руководила ею: пуля прошла в нескольких миллиметрах от главной аорты, повреждение которой влечет за собой мгновенную смерть. «Это было настоящее чудо, и я знаю, кому быть благодарным за него. Одна рука направляла пистолет, а другая - изменила направление пули», - так прокомментировал этот факт сам Иоанн Павел II (14890).</w:t>
      </w:r>
    </w:p>
    <w:p w14:paraId="7D6EB90F"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p>
    <w:p w14:paraId="1B848011" w14:textId="3CFA2A87" w:rsidR="00F80126" w:rsidRDefault="00F80126"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209DBAD3" w14:textId="77777777" w:rsidR="00F80126" w:rsidRDefault="00F80126"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5E14F98E" w14:textId="77777777" w:rsidR="00F80126" w:rsidRPr="00FB4F67" w:rsidRDefault="00F8012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концу апреля 1917 г. русские столкнулись с серьезным кризисом снабжения на Кавказском фронте, что вынудило их прекратить свою деятельность. В мае русские начали вывод войск из Анатолии (23525).</w:t>
      </w:r>
    </w:p>
    <w:p w14:paraId="65B6B2AC" w14:textId="77777777" w:rsidR="00F80126" w:rsidRPr="00FB4F67" w:rsidRDefault="00F80126" w:rsidP="0083075A">
      <w:pPr>
        <w:spacing w:after="0" w:line="240" w:lineRule="auto"/>
        <w:jc w:val="both"/>
        <w:rPr>
          <w:rFonts w:ascii="Times New Roman" w:hAnsi="Times New Roman" w:cs="Times New Roman"/>
          <w:color w:val="0070C0"/>
          <w:sz w:val="16"/>
          <w:szCs w:val="16"/>
        </w:rPr>
      </w:pPr>
    </w:p>
    <w:p w14:paraId="1BBE7DDF" w14:textId="4531BFF4" w:rsidR="005505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5EF8C94" w14:textId="77777777" w:rsidR="005505D2" w:rsidRPr="002F2FDF" w:rsidRDefault="005505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F10F4B" w14:textId="77777777" w:rsidR="005505D2" w:rsidRPr="002F2FDF" w:rsidRDefault="005505D2" w:rsidP="0083075A">
      <w:pPr>
        <w:spacing w:after="0" w:line="240" w:lineRule="auto"/>
        <w:jc w:val="both"/>
        <w:rPr>
          <w:rFonts w:ascii="Times New Roman" w:hAnsi="Times New Roman" w:cs="Times New Roman"/>
          <w:color w:val="000000" w:themeColor="text1"/>
          <w:kern w:val="2"/>
          <w:sz w:val="16"/>
          <w:szCs w:val="16"/>
          <w:u w:color="002060"/>
        </w:rPr>
      </w:pPr>
      <w:r w:rsidRPr="002F2FDF">
        <w:rPr>
          <w:rFonts w:ascii="Times New Roman" w:hAnsi="Times New Roman" w:cs="Times New Roman"/>
          <w:color w:val="000000" w:themeColor="text1"/>
          <w:kern w:val="2"/>
          <w:sz w:val="16"/>
          <w:szCs w:val="16"/>
          <w:u w:color="002060"/>
        </w:rPr>
        <w:t>В конце апреля 1917 г. был закончен первый образец танка A7V.</w:t>
      </w:r>
    </w:p>
    <w:p w14:paraId="17E457BC" w14:textId="77777777" w:rsidR="005505D2" w:rsidRPr="002F2FDF" w:rsidRDefault="005505D2" w:rsidP="0083075A">
      <w:pPr>
        <w:spacing w:after="0" w:line="240" w:lineRule="auto"/>
        <w:jc w:val="both"/>
        <w:rPr>
          <w:rFonts w:ascii="Times New Roman" w:hAnsi="Times New Roman" w:cs="Times New Roman"/>
          <w:color w:val="000000" w:themeColor="text1"/>
          <w:kern w:val="2"/>
          <w:sz w:val="16"/>
          <w:szCs w:val="16"/>
          <w:u w:color="002060"/>
        </w:rPr>
      </w:pPr>
      <w:r w:rsidRPr="002F2FDF">
        <w:rPr>
          <w:rFonts w:ascii="Times New Roman" w:hAnsi="Times New Roman" w:cs="Times New Roman"/>
          <w:color w:val="000000" w:themeColor="text1"/>
          <w:kern w:val="2"/>
          <w:sz w:val="16"/>
          <w:szCs w:val="16"/>
          <w:u w:color="002060"/>
        </w:rPr>
        <w:t>Боевая масса – 30 т; экипаж – 18 чел.; оружие: пушка – 57 мм, пять пулеметов – 7,92 мм; броня: лоб – 30 мм, борт и корма – 20 мм; мощность двигателя – 2x100 л.с. (2x74 кВт); максимальная скорость -10 км/ч.</w:t>
      </w:r>
    </w:p>
    <w:p w14:paraId="2E069693" w14:textId="77777777" w:rsidR="005505D2" w:rsidRPr="002F2FDF" w:rsidRDefault="005505D2" w:rsidP="0083075A">
      <w:pPr>
        <w:spacing w:after="0" w:line="240" w:lineRule="auto"/>
        <w:jc w:val="both"/>
        <w:rPr>
          <w:rFonts w:ascii="Times New Roman" w:hAnsi="Times New Roman" w:cs="Times New Roman"/>
          <w:color w:val="000000" w:themeColor="text1"/>
          <w:kern w:val="2"/>
          <w:sz w:val="16"/>
          <w:szCs w:val="16"/>
          <w:u w:color="002060"/>
        </w:rPr>
      </w:pPr>
      <w:r w:rsidRPr="002F2FDF">
        <w:rPr>
          <w:rFonts w:ascii="Times New Roman" w:hAnsi="Times New Roman" w:cs="Times New Roman"/>
          <w:color w:val="000000" w:themeColor="text1"/>
          <w:kern w:val="2"/>
          <w:sz w:val="16"/>
          <w:szCs w:val="16"/>
          <w:u w:color="002060"/>
        </w:rPr>
        <w:t>Рассматривая его конструкцию, можно обратить внимание на удачные решения, облегчавшие работу водителя и улучшавшие управляемость машины. Танк имел подрессоренную ходовую часть и надежную броневую защиту. Вертикальные броневые листы не пробивались бронебойными пулями. Моторная установка состояла из двух двигателей «Даймлер» мощностью по 100 л.с. (74 кВт), каждый из которых приводил в движение свою гусеницу. Но наряду с этим у танка имелись и конструктивные недостатки. Например, желание разместить элементы ходовой части за броневой защитой снизило проходимость по пересеченной местности. В этом A7V существенно уступал британским танкам, но все же оказался значительно лучше французских «Шнейдер» (Schneider М.16С.А) и «Сен-Шамон» (St.Chamond М.16), созданных на аналогичной базе. Высокая огневая мощь танка, обеспеченная 57-мм пушкой и пятью пулеметами, повлекла за собой большую численность экипажа. Из-за ограниченного угла наведения орудия и пулеметов переднего боевого отделения в секторе обстрела по ходу машины возникали две большие зоны мертвого пространства (12148).</w:t>
      </w:r>
    </w:p>
    <w:p w14:paraId="4DCB56A0" w14:textId="77777777" w:rsidR="005505D2" w:rsidRPr="002F2FDF" w:rsidRDefault="005505D2" w:rsidP="0083075A">
      <w:pPr>
        <w:spacing w:after="0" w:line="240" w:lineRule="auto"/>
        <w:jc w:val="both"/>
        <w:rPr>
          <w:rFonts w:ascii="Times New Roman" w:hAnsi="Times New Roman" w:cs="Times New Roman"/>
          <w:color w:val="000000" w:themeColor="text1"/>
          <w:kern w:val="2"/>
          <w:sz w:val="16"/>
          <w:szCs w:val="16"/>
          <w:u w:color="002060"/>
        </w:rPr>
      </w:pPr>
    </w:p>
    <w:p w14:paraId="0CC70E12" w14:textId="77777777" w:rsidR="0025540B" w:rsidRPr="002F2FDF" w:rsidRDefault="000834C9" w:rsidP="0083075A">
      <w:pPr>
        <w:pStyle w:val="ae"/>
        <w:spacing w:before="0" w:after="0"/>
        <w:jc w:val="both"/>
        <w:rPr>
          <w:color w:val="000000" w:themeColor="text1"/>
          <w:kern w:val="2"/>
          <w:sz w:val="16"/>
          <w:szCs w:val="16"/>
        </w:rPr>
      </w:pPr>
      <w:r w:rsidRPr="002F2FDF">
        <w:rPr>
          <w:color w:val="000000" w:themeColor="text1"/>
          <w:kern w:val="2"/>
          <w:sz w:val="16"/>
          <w:szCs w:val="16"/>
        </w:rPr>
        <w:lastRenderedPageBreak/>
        <w:t>К исходу апреля 1917 правительство Великобритании всерьез обеспокоилось безопасностью на море. С начала 1917 года Германия объявила о начале «неограниченной подводной войны», дав своим субмаринам разрешение без предупреждения атаковать любые показавшиеся подозрительными суда, не учитывая требования международных конвенций. С тех пор потери на море неуклонно росли, а в апреле они достигли уже катастрофических величин — за месяц немецкими подлодками были потоплены 474 корабля союзников по Антанте и еще 41 был серьезно поврежден</w:t>
      </w:r>
      <w:r w:rsidR="0025540B" w:rsidRPr="002F2FDF">
        <w:rPr>
          <w:color w:val="000000" w:themeColor="text1"/>
          <w:kern w:val="2"/>
          <w:sz w:val="16"/>
          <w:szCs w:val="16"/>
        </w:rPr>
        <w:t>.</w:t>
      </w:r>
    </w:p>
    <w:p w14:paraId="4B738920" w14:textId="77777777" w:rsidR="0025540B" w:rsidRPr="002F2FDF" w:rsidRDefault="0025540B" w:rsidP="0083075A">
      <w:pPr>
        <w:pStyle w:val="ae"/>
        <w:spacing w:before="0" w:after="0"/>
        <w:jc w:val="both"/>
        <w:rPr>
          <w:color w:val="000000" w:themeColor="text1"/>
          <w:kern w:val="2"/>
          <w:sz w:val="16"/>
          <w:szCs w:val="16"/>
        </w:rPr>
      </w:pPr>
      <w:r w:rsidRPr="002F2FDF">
        <w:rPr>
          <w:color w:val="000000" w:themeColor="text1"/>
          <w:kern w:val="2"/>
          <w:sz w:val="16"/>
          <w:szCs w:val="16"/>
        </w:rPr>
        <w:t>Главным объектом атак были не военные корабли, которые были более-менее защищены от действий подлодок, а прежде всего торговые суда, осуществлявшие снабжение Британских островов. Весной 1917 года экипажи морских транспортов союзников были уже на грани паники — примерно четверть судов, выходивших из английских портов, не возвращались домой. На этом фоне уже не казались особо фантастическими планы германского морского командования, заявившего ранее, что с помощью «неограниченной подводной войны» поставит Великобританию на колени. Снабжение страны действительно было нарушено — к исходу апреля продовольствия на Британских островах оставалось только на 6 недель. При этом традиционные меры — строительство большего числа кораблей, усиленное патрулирование и минирование морских путей — уже не спасали.</w:t>
      </w:r>
    </w:p>
    <w:p w14:paraId="2A60807F" w14:textId="77777777" w:rsidR="0025540B" w:rsidRPr="002F2FDF" w:rsidRDefault="0025540B" w:rsidP="0083075A">
      <w:pPr>
        <w:pStyle w:val="ae"/>
        <w:spacing w:before="0" w:after="0"/>
        <w:jc w:val="both"/>
        <w:rPr>
          <w:color w:val="000000" w:themeColor="text1"/>
          <w:kern w:val="2"/>
          <w:sz w:val="16"/>
          <w:szCs w:val="16"/>
        </w:rPr>
      </w:pPr>
      <w:r w:rsidRPr="002F2FDF">
        <w:rPr>
          <w:color w:val="000000" w:themeColor="text1"/>
          <w:kern w:val="2"/>
          <w:sz w:val="16"/>
          <w:szCs w:val="16"/>
        </w:rPr>
        <w:t>Решение проблемы в эти же дни нашло Адмиралтейство, которое просто решило возобновить систему морских конвоев, когда торговые суда следуют основную часть маршрута не сами по себе и разрозненно, а большими группами под охраной боевых кораблей. При этом использовались, в первую очередь, не традиционные, самые мощные суда — линкоры или крейсеры, а специальные конвойные миноносцы или эсминцы, оснащенные противолодочным вооружением, в первую очередь, глубинными бомбами. Хотя методы борьбы с подводными лодками тогда еще были весьма примитивными, тем не менее, это сразу же дало результат, и потери торгового флота сократились в разы.</w:t>
      </w:r>
    </w:p>
    <w:p w14:paraId="532E42E1" w14:textId="77777777" w:rsidR="000834C9" w:rsidRPr="002F2FDF" w:rsidRDefault="0025540B" w:rsidP="0083075A">
      <w:pPr>
        <w:pStyle w:val="ae"/>
        <w:spacing w:before="0" w:after="0"/>
        <w:jc w:val="both"/>
        <w:rPr>
          <w:color w:val="000000" w:themeColor="text1"/>
          <w:kern w:val="2"/>
          <w:sz w:val="16"/>
          <w:szCs w:val="16"/>
        </w:rPr>
      </w:pPr>
      <w:r w:rsidRPr="002F2FDF">
        <w:rPr>
          <w:color w:val="000000" w:themeColor="text1"/>
          <w:kern w:val="2"/>
          <w:sz w:val="16"/>
          <w:szCs w:val="16"/>
        </w:rPr>
        <w:t>Примечательно, что практика морских конвоев была известна многие века, но использовалась она только для противодействия пиратам или надводному флоту противника. Организовывать же конвои для спасения от подводных лодок британское морское командование поначалу считало бессмысленным. Согласно теории морского боя тех лет, главное спасение от подводных лодок заключалось в рассредоточении кораблей на большие расстояния, что должно было затруднить их поиск</w:t>
      </w:r>
      <w:r w:rsidR="000834C9" w:rsidRPr="002F2FDF">
        <w:rPr>
          <w:color w:val="000000" w:themeColor="text1"/>
          <w:kern w:val="2"/>
          <w:sz w:val="16"/>
          <w:szCs w:val="16"/>
        </w:rPr>
        <w:t xml:space="preserve"> (17045).</w:t>
      </w:r>
    </w:p>
    <w:p w14:paraId="30C89B2A" w14:textId="77777777" w:rsidR="000834C9" w:rsidRPr="002F2FDF" w:rsidRDefault="000834C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F5638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2F871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20BF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ДУКС, который не имел готовых моделей морских машин, согласился производить лицензионную французскую лл Телье тип Т.3. Производство - в Москве, сборка - и опробование - в Севастополе (2843,17).</w:t>
      </w:r>
    </w:p>
    <w:p w14:paraId="2365CB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343990" w14:textId="076F4BB6" w:rsidR="00B027CF" w:rsidRPr="002F2FDF" w:rsidRDefault="00B027CF" w:rsidP="0083075A">
      <w:pPr>
        <w:shd w:val="clear" w:color="auto" w:fill="FFFFFF"/>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апреле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Дуксе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согласились приступить 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лицензионному выпуску французских летающих лодок «Теллье» Т.3. Чертежи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один экземпляр этого самолета Россия купила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конце 1916</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для замены М-9. Постройка предусматривалась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Москве, 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сборка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сдаточные испытания</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Севастополе. Похоже, что заказ морского ведомства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Дуксу</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был частью общего плана, имевшего целью рассредоточить работы по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морской авиации, сконцентрированные только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Петрограде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активизировать «морскую» деятельность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Дуксе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заводе В. А.Лебедева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Таганроге. Вероятно, мощностей лишь одного завода С. С.Щетинина для постройки гидросамолетов для авиации ВМФ не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хватало. Так или иначе, но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5</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июня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Меллер получил наряд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160 летающих лодок «Теллье» Т.3. 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реальном его выполнении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политической обстановке, наступившей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России 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лету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речи быть не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могло. Заказ сначала значительно сократили, но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таком урезанном виде он</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мог быть выполнен. 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тому</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же моторы «Испано-Сюиза»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200 л. с.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нужном количестве от</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союзников так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поступили.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итоге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w:t>
      </w:r>
      <w:bookmarkStart w:id="101" w:name="YANDEX_57"/>
      <w:bookmarkEnd w:id="101"/>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Дуксе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ограничились производством 20 корпусов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наборов крыльев. Любопытно, что весь этот задел пролежал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заводе все годы гражданской войны и, счастливо избежав участи попасть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«растопку»,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1920</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был передан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Петроград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завод «Красный летчик» (бывший РБВЗ). Там собрали около 10 лодок, но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уже первую из</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них разбили во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время испытаний весной 1921</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 Ораниенбауме. Часть собранных лодок передали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авиашколы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качестве натурных экспонатов, некоторые использовали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качестве мишеней для испытаний шрапнельных снарядов противосамолетных артиллерийских установок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Ржевском артиллерийском полигоне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начале 20-х годов.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авиаотрядах самолет не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применялся (15219).</w:t>
      </w:r>
    </w:p>
    <w:p w14:paraId="559109D3" w14:textId="77777777" w:rsidR="00B027CF" w:rsidRPr="002F2FDF" w:rsidRDefault="00B027CF"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3832CC8E" w14:textId="77777777" w:rsidR="00B027CF" w:rsidRPr="002F2FDF" w:rsidRDefault="00B027CF"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В апреле 1917 г. на «Дуксе» согласились приступить к лицензионному выпуску французских летающих лодок «Теллье» Т.З. Чертежи и один экземпляр этого самолета Россия купила в конце 1916 г. для замены М-9. Постройка предусматривалась в Москве, а сборка и сдаточные испытания — в Севастополе. Похоже, что заказ морского ведомства «Дуксу» был частью общего плана, имевшего целью рассредоточить работы по морской авиации, сконцентрированные только в Петрограде и активизировать «морскую» деятельность на «Дуксе» и заводе В-А-Лебедева в Таганроге. Вероятно, мощностей лишь одного завода С.С.Ще- тмиина для постройки гидросамолетов для авиации ВМФ не хватало. Так или иначе, но 5 июня 1917 г. Меллер получил наряд на 160 летающих лодок «Теллье» Т.З. О реальном его выполнении в политической обстановке, наступившей В Рос- сми к лету 1917 г.. и речи быть не могло. Заказ сначала значительно сократили, но и й таком урезанном виде он не мог быть выполнен. К тому же моторы «Испано- Скжаа* в 200 ах. в нужном количестве от союзников так и не поступили (15464).</w:t>
      </w:r>
    </w:p>
    <w:p w14:paraId="0FDE2274" w14:textId="77777777" w:rsidR="00B027CF" w:rsidRPr="002F2FDF" w:rsidRDefault="00B027CF" w:rsidP="0083075A">
      <w:pPr>
        <w:pStyle w:val="2"/>
        <w:spacing w:before="0" w:beforeAutospacing="0" w:after="0" w:afterAutospacing="0"/>
        <w:jc w:val="both"/>
        <w:rPr>
          <w:b w:val="0"/>
          <w:color w:val="000000" w:themeColor="text1"/>
          <w:kern w:val="2"/>
          <w:sz w:val="16"/>
          <w:szCs w:val="16"/>
        </w:rPr>
      </w:pPr>
    </w:p>
    <w:p w14:paraId="57DC7ED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г. начались предварительные переговоры о заказе Лебедеву на копирование "Фридрихсхафена", по старой традиции названного "Альбатросом" и в тот же период было заявлено, что любой вновь сконструированный гидроаэроплан "германского типа" должен проектироваться с расчетом на шестимесячный срок службы. Его двигатель марки "Испано-Суиза" мощностью 200 л.с. дол</w:t>
      </w:r>
      <w:r w:rsidRPr="002F2FDF">
        <w:rPr>
          <w:rFonts w:ascii="Times New Roman" w:hAnsi="Times New Roman" w:cs="Times New Roman"/>
          <w:color w:val="000000" w:themeColor="text1"/>
          <w:kern w:val="2"/>
          <w:sz w:val="16"/>
          <w:szCs w:val="16"/>
        </w:rPr>
        <w:softHyphen/>
        <w:t>жен иметь 200-часовой рабочий ресурс, т.е. такой же, как у 165-сильного "Бенца" с трофей</w:t>
      </w:r>
      <w:r w:rsidRPr="002F2FDF">
        <w:rPr>
          <w:rFonts w:ascii="Times New Roman" w:hAnsi="Times New Roman" w:cs="Times New Roman"/>
          <w:color w:val="000000" w:themeColor="text1"/>
          <w:kern w:val="2"/>
          <w:sz w:val="16"/>
          <w:szCs w:val="16"/>
        </w:rPr>
        <w:softHyphen/>
        <w:t>ного аппарата. Как обычно, представители компании Лебедева без промедления и смело за</w:t>
      </w:r>
      <w:r w:rsidRPr="002F2FDF">
        <w:rPr>
          <w:rFonts w:ascii="Times New Roman" w:hAnsi="Times New Roman" w:cs="Times New Roman"/>
          <w:color w:val="000000" w:themeColor="text1"/>
          <w:kern w:val="2"/>
          <w:sz w:val="16"/>
          <w:szCs w:val="16"/>
        </w:rPr>
        <w:softHyphen/>
        <w:t>верили заказчика в своей готовности принять контракт на постройку 275 машин типа "Аль</w:t>
      </w:r>
      <w:r w:rsidRPr="002F2FDF">
        <w:rPr>
          <w:rFonts w:ascii="Times New Roman" w:hAnsi="Times New Roman" w:cs="Times New Roman"/>
          <w:color w:val="000000" w:themeColor="text1"/>
          <w:kern w:val="2"/>
          <w:sz w:val="16"/>
          <w:szCs w:val="16"/>
        </w:rPr>
        <w:softHyphen/>
        <w:t>батрос" ("Фридрихсхафен" на деле), каждая из которых стоила бы 16.000 руб. без мотора. Предполагаемый срок исполнения лежал между 20 августом 1917 г. и 20 июня 1918 г. Каж</w:t>
      </w:r>
      <w:r w:rsidRPr="002F2FDF">
        <w:rPr>
          <w:rFonts w:ascii="Times New Roman" w:hAnsi="Times New Roman" w:cs="Times New Roman"/>
          <w:color w:val="000000" w:themeColor="text1"/>
          <w:kern w:val="2"/>
          <w:sz w:val="16"/>
          <w:szCs w:val="16"/>
        </w:rPr>
        <w:softHyphen/>
        <w:t>дый самолет серии планировалось вооружить двумя пулеметами: неподвижным системы "Вик-керс" спереди и подвижным системы "Льюис" сзади (2843).</w:t>
      </w:r>
    </w:p>
    <w:p w14:paraId="40FA57D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07CD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А.Ю.Виллиш, спроектировавший и построивший две лл ВМ-1 и ВМ-2 в 1915 и 1916, поступил на фабрику художественной мебели Мельцера, которая делала винты и хотела начать делать самолеты (92,229).</w:t>
      </w:r>
    </w:p>
    <w:p w14:paraId="496C72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A6075F" w14:textId="77777777" w:rsidR="006775F3" w:rsidRPr="00FB4F67" w:rsidRDefault="006775F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апреле 1917 г. конструк</w:t>
      </w:r>
      <w:r w:rsidRPr="00FB4F67">
        <w:rPr>
          <w:rFonts w:ascii="Times New Roman" w:hAnsi="Times New Roman" w:cs="Times New Roman"/>
          <w:color w:val="0070C0"/>
          <w:sz w:val="16"/>
          <w:szCs w:val="16"/>
        </w:rPr>
        <w:softHyphen/>
        <w:t>тор Виллиш, который разработал проект летающей лодки-истребителя ВМ-5 с двигателем «Клерже», перешел на фабрику Ф. Мельцера, по</w:t>
      </w:r>
      <w:r w:rsidRPr="00FB4F67">
        <w:rPr>
          <w:rFonts w:ascii="Times New Roman" w:hAnsi="Times New Roman" w:cs="Times New Roman"/>
          <w:color w:val="0070C0"/>
          <w:sz w:val="16"/>
          <w:szCs w:val="16"/>
        </w:rPr>
        <w:softHyphen/>
        <w:t>этому изготовление началось уже на новом месте.</w:t>
      </w:r>
    </w:p>
    <w:p w14:paraId="4A75986F" w14:textId="77777777" w:rsidR="006775F3" w:rsidRPr="00FB4F67" w:rsidRDefault="006775F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ВМ-5 представлял собой одноместный лодочный биплан, оснащенный двигателем «Клерже» с толкающим воздушным винтом. Двигатель в пространстве между крылья</w:t>
      </w:r>
      <w:r w:rsidRPr="00FB4F67">
        <w:rPr>
          <w:rFonts w:ascii="Times New Roman" w:hAnsi="Times New Roman" w:cs="Times New Roman"/>
          <w:color w:val="0070C0"/>
          <w:sz w:val="16"/>
          <w:szCs w:val="16"/>
        </w:rPr>
        <w:softHyphen/>
        <w:t>ми, его картер прикрыт яйцевидным капо</w:t>
      </w:r>
      <w:r w:rsidRPr="00FB4F67">
        <w:rPr>
          <w:rFonts w:ascii="Times New Roman" w:hAnsi="Times New Roman" w:cs="Times New Roman"/>
          <w:color w:val="0070C0"/>
          <w:sz w:val="16"/>
          <w:szCs w:val="16"/>
        </w:rPr>
        <w:softHyphen/>
        <w:t>том, охватывающем топливный бак и эле</w:t>
      </w:r>
      <w:r w:rsidRPr="00FB4F67">
        <w:rPr>
          <w:rFonts w:ascii="Times New Roman" w:hAnsi="Times New Roman" w:cs="Times New Roman"/>
          <w:color w:val="0070C0"/>
          <w:sz w:val="16"/>
          <w:szCs w:val="16"/>
        </w:rPr>
        <w:softHyphen/>
        <w:t>менты конструкции. Корпус лодки имел совершенные, изящные формы, предпола</w:t>
      </w:r>
      <w:r w:rsidRPr="00FB4F67">
        <w:rPr>
          <w:rFonts w:ascii="Times New Roman" w:hAnsi="Times New Roman" w:cs="Times New Roman"/>
          <w:color w:val="0070C0"/>
          <w:sz w:val="16"/>
          <w:szCs w:val="16"/>
        </w:rPr>
        <w:softHyphen/>
        <w:t>гающие высокую продуманность конструк</w:t>
      </w:r>
      <w:r w:rsidRPr="00FB4F67">
        <w:rPr>
          <w:rFonts w:ascii="Times New Roman" w:hAnsi="Times New Roman" w:cs="Times New Roman"/>
          <w:color w:val="0070C0"/>
          <w:sz w:val="16"/>
          <w:szCs w:val="16"/>
        </w:rPr>
        <w:softHyphen/>
        <w:t>ции с точки зрения прочности и мореход</w:t>
      </w:r>
      <w:r w:rsidRPr="00FB4F67">
        <w:rPr>
          <w:rFonts w:ascii="Times New Roman" w:hAnsi="Times New Roman" w:cs="Times New Roman"/>
          <w:color w:val="0070C0"/>
          <w:sz w:val="16"/>
          <w:szCs w:val="16"/>
        </w:rPr>
        <w:softHyphen/>
        <w:t>ности. Каркас лодки ясеневый, обшивка фанерная, с использованием распростра</w:t>
      </w:r>
      <w:r w:rsidRPr="00FB4F67">
        <w:rPr>
          <w:rFonts w:ascii="Times New Roman" w:hAnsi="Times New Roman" w:cs="Times New Roman"/>
          <w:color w:val="0070C0"/>
          <w:sz w:val="16"/>
          <w:szCs w:val="16"/>
        </w:rPr>
        <w:softHyphen/>
        <w:t>ненных приемов ее крепления и предохра</w:t>
      </w:r>
      <w:r w:rsidRPr="00FB4F67">
        <w:rPr>
          <w:rFonts w:ascii="Times New Roman" w:hAnsi="Times New Roman" w:cs="Times New Roman"/>
          <w:color w:val="0070C0"/>
          <w:sz w:val="16"/>
          <w:szCs w:val="16"/>
        </w:rPr>
        <w:softHyphen/>
        <w:t>нения от воды.</w:t>
      </w:r>
    </w:p>
    <w:p w14:paraId="1C65BAC2" w14:textId="77777777" w:rsidR="006775F3" w:rsidRPr="00FB4F67" w:rsidRDefault="006775F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Крылья с небольшой стреловидностью крепились между собой «I» — образными стойками. Элероны только на верхнем крыле, нижнее крыло имело поплавки боковой остойчивости, закрепленные без зазора на его нижней поверхности.</w:t>
      </w:r>
    </w:p>
    <w:p w14:paraId="05BA758E" w14:textId="77777777" w:rsidR="006775F3" w:rsidRPr="00FB4F67" w:rsidRDefault="006775F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Предполагаемый по проекту курсовой пулемет размещался в обтекателе перед пилотом — на практике его установка не осуществлялась.</w:t>
      </w:r>
    </w:p>
    <w:p w14:paraId="5D3C6A3A" w14:textId="77777777" w:rsidR="006775F3" w:rsidRPr="00FB4F67" w:rsidRDefault="006775F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Контракт на изготовление двух аппара</w:t>
      </w:r>
      <w:r w:rsidRPr="00FB4F67">
        <w:rPr>
          <w:rFonts w:ascii="Times New Roman" w:hAnsi="Times New Roman" w:cs="Times New Roman"/>
          <w:color w:val="0070C0"/>
          <w:sz w:val="16"/>
          <w:szCs w:val="16"/>
        </w:rPr>
        <w:softHyphen/>
        <w:t>тов типа ВМ-5 был получен Ф. Мельцером 15 июля 1917 г., первый экземпляр изгото</w:t>
      </w:r>
      <w:r w:rsidRPr="00FB4F67">
        <w:rPr>
          <w:rFonts w:ascii="Times New Roman" w:hAnsi="Times New Roman" w:cs="Times New Roman"/>
          <w:color w:val="0070C0"/>
          <w:sz w:val="16"/>
          <w:szCs w:val="16"/>
        </w:rPr>
        <w:softHyphen/>
        <w:t>вили в октябре того же года, второй эк</w:t>
      </w:r>
      <w:r w:rsidRPr="00FB4F67">
        <w:rPr>
          <w:rFonts w:ascii="Times New Roman" w:hAnsi="Times New Roman" w:cs="Times New Roman"/>
          <w:color w:val="0070C0"/>
          <w:sz w:val="16"/>
          <w:szCs w:val="16"/>
        </w:rPr>
        <w:softHyphen/>
        <w:t>земпляр — месяц спустя.</w:t>
      </w:r>
    </w:p>
    <w:p w14:paraId="71C42243" w14:textId="77777777" w:rsidR="006775F3" w:rsidRPr="00FB4F67" w:rsidRDefault="006775F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Наступившая зима не позволила испы</w:t>
      </w:r>
      <w:r w:rsidRPr="00FB4F67">
        <w:rPr>
          <w:rFonts w:ascii="Times New Roman" w:hAnsi="Times New Roman" w:cs="Times New Roman"/>
          <w:color w:val="0070C0"/>
          <w:sz w:val="16"/>
          <w:szCs w:val="16"/>
        </w:rPr>
        <w:softHyphen/>
        <w:t>тать сразу ни один из этих двух самолетов, последующая неопределенность 1918-го года еще более затянула решение судьбы ВМ-5. Известно, что испытания самолета на лыжном шасси со снятыми боковыми поплавками и реданом состоялись в пери</w:t>
      </w:r>
      <w:r w:rsidRPr="00FB4F67">
        <w:rPr>
          <w:rFonts w:ascii="Times New Roman" w:hAnsi="Times New Roman" w:cs="Times New Roman"/>
          <w:color w:val="0070C0"/>
          <w:sz w:val="16"/>
          <w:szCs w:val="16"/>
        </w:rPr>
        <w:softHyphen/>
        <w:t>од 25—29 марта 1919 г. Каких-либо по</w:t>
      </w:r>
      <w:r w:rsidRPr="00FB4F67">
        <w:rPr>
          <w:rFonts w:ascii="Times New Roman" w:hAnsi="Times New Roman" w:cs="Times New Roman"/>
          <w:color w:val="0070C0"/>
          <w:sz w:val="16"/>
          <w:szCs w:val="16"/>
        </w:rPr>
        <w:softHyphen/>
        <w:t>следствий это событие не имело, дальней</w:t>
      </w:r>
      <w:r w:rsidRPr="00FB4F67">
        <w:rPr>
          <w:rFonts w:ascii="Times New Roman" w:hAnsi="Times New Roman" w:cs="Times New Roman"/>
          <w:color w:val="0070C0"/>
          <w:sz w:val="16"/>
          <w:szCs w:val="16"/>
        </w:rPr>
        <w:softHyphen/>
        <w:t>шая судьба ВМ-5 осталась неясной (23374).</w:t>
      </w:r>
    </w:p>
    <w:p w14:paraId="0C635376" w14:textId="77777777" w:rsidR="006775F3" w:rsidRPr="00FB4F67" w:rsidRDefault="006775F3" w:rsidP="0083075A">
      <w:pPr>
        <w:spacing w:after="0" w:line="240" w:lineRule="auto"/>
        <w:jc w:val="both"/>
        <w:rPr>
          <w:rFonts w:ascii="Times New Roman" w:hAnsi="Times New Roman" w:cs="Times New Roman"/>
          <w:color w:val="0070C0"/>
          <w:sz w:val="16"/>
          <w:szCs w:val="16"/>
        </w:rPr>
      </w:pPr>
    </w:p>
    <w:p w14:paraId="607EC8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Главный аэродром с испытательной станцией и мастерскими, созданный в Петрограде на Комендантском аэродроме 21 июня 1916, приказом N 222 по военному ведомству при ГУВВФ был переведен в Херсон (438,314) и в Херсоне состоялось его торжественное открытие (553,70).</w:t>
      </w:r>
    </w:p>
    <w:p w14:paraId="7AE260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Перевод был связан с намерением постройки в Херсоне казенных самолето- и моторостроительных заводов.</w:t>
      </w:r>
    </w:p>
    <w:p w14:paraId="5994AE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апреля на фронт начали поступать SE.5, имевший уже тормоза на колесах и двигатель в 200 нр. Весной появился и Сопвич Дельфин с ИС в 300 нр (88,71).</w:t>
      </w:r>
    </w:p>
    <w:p w14:paraId="37E536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727FC0" w14:textId="77777777" w:rsidR="00B027CF" w:rsidRPr="002F2FDF" w:rsidRDefault="00B027C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г. Главный аэродром был переведен в Херсон. Ботезат на</w:t>
      </w:r>
      <w:r w:rsidRPr="002F2FDF">
        <w:rPr>
          <w:rFonts w:ascii="Times New Roman" w:hAnsi="Times New Roman" w:cs="Times New Roman"/>
          <w:color w:val="000000" w:themeColor="text1"/>
          <w:kern w:val="2"/>
          <w:sz w:val="16"/>
          <w:szCs w:val="16"/>
        </w:rPr>
        <w:softHyphen/>
        <w:t>правил военному министру докладную записку о своем несогласии с перево</w:t>
      </w:r>
      <w:r w:rsidRPr="002F2FDF">
        <w:rPr>
          <w:rFonts w:ascii="Times New Roman" w:hAnsi="Times New Roman" w:cs="Times New Roman"/>
          <w:color w:val="000000" w:themeColor="text1"/>
          <w:kern w:val="2"/>
          <w:sz w:val="16"/>
          <w:szCs w:val="16"/>
        </w:rPr>
        <w:softHyphen/>
        <w:t>дом Главного аэродрома в Херсон. «Как только Пневский покинул свой пост, УВВФ начало предпринимать энергичные шаги для выселения этого учреждения из Петрограда, что было дей</w:t>
      </w:r>
      <w:r w:rsidRPr="002F2FDF">
        <w:rPr>
          <w:rFonts w:ascii="Times New Roman" w:hAnsi="Times New Roman" w:cs="Times New Roman"/>
          <w:color w:val="000000" w:themeColor="text1"/>
          <w:kern w:val="2"/>
          <w:sz w:val="16"/>
          <w:szCs w:val="16"/>
        </w:rPr>
        <w:softHyphen/>
        <w:t>ствительно его полному уничтожению, ибо такое учреждение должно, понят</w:t>
      </w:r>
      <w:r w:rsidRPr="002F2FDF">
        <w:rPr>
          <w:rFonts w:ascii="Times New Roman" w:hAnsi="Times New Roman" w:cs="Times New Roman"/>
          <w:color w:val="000000" w:themeColor="text1"/>
          <w:kern w:val="2"/>
          <w:sz w:val="16"/>
          <w:szCs w:val="16"/>
        </w:rPr>
        <w:softHyphen/>
        <w:t>но, находиться непосредственно при УВВФ, — писал в своей докладной Г. А. Ботезат. — Между тем Главный аэродром только и мог выполнять свои функции в крупном центре, где имеется наличие научно-технических сил... УВВФ приказало полковнику Вегенеру в трехдневный срок эвакуировать Главный аэродром в Херсон…» (15740).</w:t>
      </w:r>
    </w:p>
    <w:p w14:paraId="169BC956" w14:textId="77777777" w:rsidR="00B027CF" w:rsidRPr="002F2FDF" w:rsidRDefault="00B027CF" w:rsidP="0083075A">
      <w:pPr>
        <w:spacing w:after="0" w:line="240" w:lineRule="auto"/>
        <w:jc w:val="both"/>
        <w:rPr>
          <w:rFonts w:ascii="Times New Roman" w:hAnsi="Times New Roman" w:cs="Times New Roman"/>
          <w:color w:val="000000" w:themeColor="text1"/>
          <w:kern w:val="2"/>
          <w:sz w:val="16"/>
          <w:szCs w:val="16"/>
        </w:rPr>
      </w:pPr>
    </w:p>
    <w:p w14:paraId="7187A0F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апреле 1917 года к моменту торжественного открытия в системе Главного аэродрома уже действовали лаборатории, отделы, аэродромная служба, велись исследовательские работы и началось строительство аэродинамической трубы. Одной из первых работ, проводимых на Главном аэродроме, стало исследование </w:t>
      </w:r>
      <w:r w:rsidRPr="002F2FDF">
        <w:rPr>
          <w:rFonts w:ascii="Times New Roman" w:hAnsi="Times New Roman" w:cs="Times New Roman"/>
          <w:color w:val="000000" w:themeColor="text1"/>
          <w:kern w:val="2"/>
          <w:sz w:val="16"/>
          <w:szCs w:val="16"/>
        </w:rPr>
        <w:lastRenderedPageBreak/>
        <w:t>влияния натяжения расчалок на усилия в других элементах конструкции самолета. Для проведения опытов по определению натяжений в расчалках профессор Г.А.Ботезат, при</w:t>
      </w:r>
      <w:r w:rsidRPr="002F2FDF">
        <w:rPr>
          <w:rFonts w:ascii="Times New Roman" w:hAnsi="Times New Roman" w:cs="Times New Roman"/>
          <w:color w:val="000000" w:themeColor="text1"/>
          <w:kern w:val="2"/>
          <w:sz w:val="16"/>
          <w:szCs w:val="16"/>
        </w:rPr>
        <w:softHyphen/>
        <w:t>глашенный научным руководителем Аэродрома, скон</w:t>
      </w:r>
      <w:r w:rsidRPr="002F2FDF">
        <w:rPr>
          <w:rFonts w:ascii="Times New Roman" w:hAnsi="Times New Roman" w:cs="Times New Roman"/>
          <w:color w:val="000000" w:themeColor="text1"/>
          <w:kern w:val="2"/>
          <w:sz w:val="16"/>
          <w:szCs w:val="16"/>
        </w:rPr>
        <w:softHyphen/>
        <w:t>струировал специальные тензометры, изготовленные механиком Преображенским в лаборатории точных приборов Аэродрома. [141] (553).</w:t>
      </w:r>
    </w:p>
    <w:p w14:paraId="7B36EA7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CD9C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Д.П.Г. покинул ПРТВ (завод С.С.Щетинина) и основал предприятие под названием Гидроавиационная испытательная лаборатория и Опытный завод Д.П.Г. (2808,23).</w:t>
      </w:r>
    </w:p>
    <w:p w14:paraId="5F00F4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AF3B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по заказу Морского ведомства на заводе Щетинина заложили серию из 100 М-11 Д.П.Г. и до 16 августа изготовили 25. Несколько двухместных использовали как переходные (1085,44).</w:t>
      </w:r>
    </w:p>
    <w:p w14:paraId="578EF3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426230" w14:textId="77777777" w:rsidR="006775F3" w:rsidRPr="00FB4F67" w:rsidRDefault="006775F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апреле 1917 года авиаконструктор Дмитрий Павлович Григорович ушел из фирмы ПРТВ, принадлежавшей С. С. Щетинину, и создал в Петрограде свою маленькую фирму. Вскоре он получил заказы от Морского министерства и изготовил опытные самолеты, но ни один из них не пошел в серийное производство. В 1918 году большевики закрыли завод. Григорович умер в России в 1938 году (23525).</w:t>
      </w:r>
    </w:p>
    <w:p w14:paraId="69BD776B" w14:textId="77777777" w:rsidR="006775F3" w:rsidRPr="00FB4F67" w:rsidRDefault="006775F3" w:rsidP="0083075A">
      <w:pPr>
        <w:spacing w:after="0" w:line="240" w:lineRule="auto"/>
        <w:jc w:val="both"/>
        <w:rPr>
          <w:rFonts w:ascii="Times New Roman" w:hAnsi="Times New Roman" w:cs="Times New Roman"/>
          <w:color w:val="0070C0"/>
          <w:sz w:val="16"/>
          <w:szCs w:val="16"/>
        </w:rPr>
      </w:pPr>
    </w:p>
    <w:p w14:paraId="249B359D" w14:textId="77777777" w:rsidR="006775F3" w:rsidRPr="00FB4F67" w:rsidRDefault="006775F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апреле 1917 г. Григорович прекратил свою деятельность на ПРТВ С.С.Щетинина и организовал свой Опытный завод в Пе</w:t>
      </w:r>
      <w:r w:rsidRPr="00FB4F67">
        <w:rPr>
          <w:rFonts w:ascii="Times New Roman" w:hAnsi="Times New Roman" w:cs="Times New Roman"/>
          <w:color w:val="0070C0"/>
          <w:sz w:val="16"/>
          <w:szCs w:val="16"/>
        </w:rPr>
        <w:softHyphen/>
        <w:t>тербурге. Наиболее вероятными причина</w:t>
      </w:r>
      <w:r w:rsidRPr="00FB4F67">
        <w:rPr>
          <w:rFonts w:ascii="Times New Roman" w:hAnsi="Times New Roman" w:cs="Times New Roman"/>
          <w:color w:val="0070C0"/>
          <w:sz w:val="16"/>
          <w:szCs w:val="16"/>
        </w:rPr>
        <w:softHyphen/>
        <w:t>ми стали планы Морского ведомства про</w:t>
      </w:r>
      <w:r w:rsidRPr="00FB4F67">
        <w:rPr>
          <w:rFonts w:ascii="Times New Roman" w:hAnsi="Times New Roman" w:cs="Times New Roman"/>
          <w:color w:val="0070C0"/>
          <w:sz w:val="16"/>
          <w:szCs w:val="16"/>
        </w:rPr>
        <w:softHyphen/>
        <w:t>ектировать и строить опытные гидросамо</w:t>
      </w:r>
      <w:r w:rsidRPr="00FB4F67">
        <w:rPr>
          <w:rFonts w:ascii="Times New Roman" w:hAnsi="Times New Roman" w:cs="Times New Roman"/>
          <w:color w:val="0070C0"/>
          <w:sz w:val="16"/>
          <w:szCs w:val="16"/>
        </w:rPr>
        <w:softHyphen/>
        <w:t>леты на специализированном предприятии.</w:t>
      </w:r>
    </w:p>
    <w:p w14:paraId="71649788" w14:textId="77777777" w:rsidR="006775F3" w:rsidRPr="00FB4F67" w:rsidRDefault="006775F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Среди разработок нового предприятия значился самолет М-17 (позднее М-17 бис) являющийся модификацией более раннего М-11. Этот одноместный морской истреби</w:t>
      </w:r>
      <w:r w:rsidRPr="00FB4F67">
        <w:rPr>
          <w:rFonts w:ascii="Times New Roman" w:hAnsi="Times New Roman" w:cs="Times New Roman"/>
          <w:color w:val="0070C0"/>
          <w:sz w:val="16"/>
          <w:szCs w:val="16"/>
        </w:rPr>
        <w:softHyphen/>
        <w:t>тель с двигателем «Клерже» 130 л.с. испы</w:t>
      </w:r>
      <w:r w:rsidRPr="00FB4F67">
        <w:rPr>
          <w:rFonts w:ascii="Times New Roman" w:hAnsi="Times New Roman" w:cs="Times New Roman"/>
          <w:color w:val="0070C0"/>
          <w:sz w:val="16"/>
          <w:szCs w:val="16"/>
        </w:rPr>
        <w:softHyphen/>
        <w:t>тывался летом 1918 г. Обладал идентичны</w:t>
      </w:r>
      <w:r w:rsidRPr="00FB4F67">
        <w:rPr>
          <w:rFonts w:ascii="Times New Roman" w:hAnsi="Times New Roman" w:cs="Times New Roman"/>
          <w:color w:val="0070C0"/>
          <w:sz w:val="16"/>
          <w:szCs w:val="16"/>
        </w:rPr>
        <w:softHyphen/>
        <w:t>ми с М-11 особенностями и недостатками: влиянием вращающегося двигателя на ус</w:t>
      </w:r>
      <w:r w:rsidRPr="00FB4F67">
        <w:rPr>
          <w:rFonts w:ascii="Times New Roman" w:hAnsi="Times New Roman" w:cs="Times New Roman"/>
          <w:color w:val="0070C0"/>
          <w:sz w:val="16"/>
          <w:szCs w:val="16"/>
        </w:rPr>
        <w:softHyphen/>
        <w:t>тойчивость и управляемость и малой мореходностью. Как истребитель признавался неудовлетворительным.</w:t>
      </w:r>
    </w:p>
    <w:p w14:paraId="3B1631E5" w14:textId="77777777" w:rsidR="006775F3" w:rsidRPr="00FB4F67" w:rsidRDefault="006775F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 данным В.Б. Шаврова летающая лод</w:t>
      </w:r>
      <w:r w:rsidRPr="00FB4F67">
        <w:rPr>
          <w:rFonts w:ascii="Times New Roman" w:hAnsi="Times New Roman" w:cs="Times New Roman"/>
          <w:color w:val="0070C0"/>
          <w:sz w:val="16"/>
          <w:szCs w:val="16"/>
        </w:rPr>
        <w:softHyphen/>
        <w:t>ка М-17 являлась вариантом М-15с двига</w:t>
      </w:r>
      <w:r w:rsidRPr="00FB4F67">
        <w:rPr>
          <w:rFonts w:ascii="Times New Roman" w:hAnsi="Times New Roman" w:cs="Times New Roman"/>
          <w:color w:val="0070C0"/>
          <w:sz w:val="16"/>
          <w:szCs w:val="16"/>
        </w:rPr>
        <w:softHyphen/>
        <w:t>телем «Испано-Сюиза» 150л.с.</w:t>
      </w:r>
    </w:p>
    <w:p w14:paraId="5D84F0D6" w14:textId="77777777" w:rsidR="006775F3" w:rsidRPr="00FB4F67" w:rsidRDefault="006775F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М-18 и М-19, ориентированные под дви</w:t>
      </w:r>
      <w:r w:rsidRPr="00FB4F67">
        <w:rPr>
          <w:rFonts w:ascii="Times New Roman" w:hAnsi="Times New Roman" w:cs="Times New Roman"/>
          <w:color w:val="0070C0"/>
          <w:sz w:val="16"/>
          <w:szCs w:val="16"/>
        </w:rPr>
        <w:softHyphen/>
        <w:t>гатель «Испано-Сюиза» 200 л.с., являлись развитием М-15. Работы велись в 1918—19 гг., когда интереса к опытному авиастрои</w:t>
      </w:r>
      <w:r w:rsidRPr="00FB4F67">
        <w:rPr>
          <w:rFonts w:ascii="Times New Roman" w:hAnsi="Times New Roman" w:cs="Times New Roman"/>
          <w:color w:val="0070C0"/>
          <w:sz w:val="16"/>
          <w:szCs w:val="16"/>
        </w:rPr>
        <w:softHyphen/>
        <w:t>тельству не проявлялось, поэтому все по</w:t>
      </w:r>
      <w:r w:rsidRPr="00FB4F67">
        <w:rPr>
          <w:rFonts w:ascii="Times New Roman" w:hAnsi="Times New Roman" w:cs="Times New Roman"/>
          <w:color w:val="0070C0"/>
          <w:sz w:val="16"/>
          <w:szCs w:val="16"/>
        </w:rPr>
        <w:softHyphen/>
        <w:t>степенно прекратилось (23374).</w:t>
      </w:r>
    </w:p>
    <w:p w14:paraId="501828FE" w14:textId="77777777" w:rsidR="006775F3" w:rsidRPr="00FB4F67" w:rsidRDefault="006775F3" w:rsidP="0083075A">
      <w:pPr>
        <w:spacing w:after="0" w:line="240" w:lineRule="auto"/>
        <w:jc w:val="both"/>
        <w:rPr>
          <w:rFonts w:ascii="Times New Roman" w:hAnsi="Times New Roman" w:cs="Times New Roman"/>
          <w:color w:val="0070C0"/>
          <w:sz w:val="16"/>
          <w:szCs w:val="16"/>
        </w:rPr>
      </w:pPr>
    </w:p>
    <w:p w14:paraId="0FCFAA96" w14:textId="77777777" w:rsidR="006775F3" w:rsidRPr="00FB4F67" w:rsidRDefault="006775F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апреле 1917 г. было прошение от десятка солдат к графу Безобразову с ходатайством при</w:t>
      </w:r>
      <w:r w:rsidRPr="00FB4F67">
        <w:rPr>
          <w:rFonts w:ascii="Times New Roman" w:hAnsi="Times New Roman" w:cs="Times New Roman"/>
          <w:color w:val="0070C0"/>
          <w:sz w:val="16"/>
          <w:szCs w:val="16"/>
        </w:rPr>
        <w:softHyphen/>
        <w:t>командировать их к его заводу в Всехсвятском: «...просим Вас установить жалованье по Вашему усмотре</w:t>
      </w:r>
      <w:r w:rsidRPr="00FB4F67">
        <w:rPr>
          <w:rFonts w:ascii="Times New Roman" w:hAnsi="Times New Roman" w:cs="Times New Roman"/>
          <w:color w:val="0070C0"/>
          <w:sz w:val="16"/>
          <w:szCs w:val="16"/>
        </w:rPr>
        <w:softHyphen/>
        <w:t>нию. Порядок состоящих солдат на учете при заводе, остается прежний, все солдаты решили исполнять дисциплину так же, как и раньше, а также работу будем испол</w:t>
      </w:r>
      <w:r w:rsidRPr="00FB4F67">
        <w:rPr>
          <w:rFonts w:ascii="Times New Roman" w:hAnsi="Times New Roman" w:cs="Times New Roman"/>
          <w:color w:val="0070C0"/>
          <w:sz w:val="16"/>
          <w:szCs w:val="16"/>
        </w:rPr>
        <w:softHyphen/>
        <w:t>нять аккуратно и добросовестно на пользу Вам и нашей дорогой Родине и всеми си</w:t>
      </w:r>
      <w:r w:rsidRPr="00FB4F67">
        <w:rPr>
          <w:rFonts w:ascii="Times New Roman" w:hAnsi="Times New Roman" w:cs="Times New Roman"/>
          <w:color w:val="0070C0"/>
          <w:sz w:val="16"/>
          <w:szCs w:val="16"/>
        </w:rPr>
        <w:softHyphen/>
        <w:t>лами постараемся заслужить Ваше дове</w:t>
      </w:r>
      <w:r w:rsidRPr="00FB4F67">
        <w:rPr>
          <w:rFonts w:ascii="Times New Roman" w:hAnsi="Times New Roman" w:cs="Times New Roman"/>
          <w:color w:val="0070C0"/>
          <w:sz w:val="16"/>
          <w:szCs w:val="16"/>
        </w:rPr>
        <w:softHyphen/>
        <w:t>рие...» (23378).</w:t>
      </w:r>
    </w:p>
    <w:p w14:paraId="2CCFEB19" w14:textId="77777777" w:rsidR="006775F3" w:rsidRPr="00FB4F67" w:rsidRDefault="006775F3" w:rsidP="0083075A">
      <w:pPr>
        <w:spacing w:after="0" w:line="240" w:lineRule="auto"/>
        <w:jc w:val="both"/>
        <w:rPr>
          <w:rFonts w:ascii="Times New Roman" w:hAnsi="Times New Roman" w:cs="Times New Roman"/>
          <w:color w:val="0070C0"/>
          <w:sz w:val="16"/>
          <w:szCs w:val="16"/>
        </w:rPr>
      </w:pPr>
    </w:p>
    <w:p w14:paraId="222798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г. в 5-м Сибирском корпусном авиаотряде было составлено около 10 актов о дефектах и поломках самолетов “ВИ”. В конце концов специально созданная комиссия, разобрав все случаи аварий машины В. Иванова, признала:</w:t>
      </w:r>
    </w:p>
    <w:p w14:paraId="6407DB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Самолеты и моторы собраны на заводе крайне небрежно.</w:t>
      </w:r>
    </w:p>
    <w:p w14:paraId="1C7C0B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Ответственные части изготовлены из весьма недоброкачественного материала, что подтверждалось в отряде неоднократно.</w:t>
      </w:r>
    </w:p>
    <w:p w14:paraId="5DE146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Некоторые детали конструкции самолета, в особенности шасси, совершенно неправильно рассчитаны.</w:t>
      </w:r>
    </w:p>
    <w:p w14:paraId="266BD4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Самолеты “ВИ” завода Анатра для боевой работы совершенно не пригодны”. 2</w:t>
      </w:r>
    </w:p>
    <w:p w14:paraId="11CA1E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дело заключалось не только в конструктивных недостатках, но и в безответственном отношении к производству техники.</w:t>
      </w:r>
    </w:p>
    <w:p w14:paraId="12123C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Только крайняя нужда в боевых самолетах для корректирования стрельбы артиллерии заставляла командование сохранять “ВИ” на вооружении авиационных отрядов (9738,215).</w:t>
      </w:r>
    </w:p>
    <w:p w14:paraId="609593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4EA0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г. все дальнейшее развитие плана морских ИМ разбилось о неспособность Р-БВЗ поставить новые аппараты и нежелание руководства ЭВК и морской авиации найти компромисс относительно подчиненности подразделения в случае выделения некоторого числа летчиков и машин от ЭВК. Несмотря на все комплименты, ничего нельзя было сделать, т.к. Р-БВЗ не успевал вы</w:t>
      </w:r>
      <w:r w:rsidRPr="002F2FDF">
        <w:rPr>
          <w:rFonts w:ascii="Times New Roman" w:hAnsi="Times New Roman" w:cs="Times New Roman"/>
          <w:color w:val="000000" w:themeColor="text1"/>
          <w:kern w:val="2"/>
          <w:sz w:val="16"/>
          <w:szCs w:val="16"/>
        </w:rPr>
        <w:softHyphen/>
        <w:t>полнять даже запросы ЭВК, и снова весь план отложили в сторону. Еще один проект морского использования аппаратов "Илья Муромец" исходил от старшего лейтенанта флота И.И. Голенищева-Кутузова и был им пущен в ход после того, как строительство торпедоносцев ГАСН, одним из вдохновителей которого он являлся, затормозилось из-за февральского, 1917 г., "переворота и нервного состояния умов". При этом уже в январе Голенищев-Кутузов с тремя спутниками посетил И.И. Сикорского и обсудил проблему переделки сухопутных гигантов в носителей торпед</w:t>
      </w:r>
      <w:r w:rsidRPr="002F2FDF">
        <w:rPr>
          <w:rFonts w:ascii="Times New Roman" w:hAnsi="Times New Roman" w:cs="Times New Roman"/>
          <w:color w:val="000000" w:themeColor="text1"/>
          <w:kern w:val="2"/>
          <w:sz w:val="16"/>
          <w:szCs w:val="16"/>
        </w:rPr>
        <w:softHyphen/>
        <w:t>ного оружия. Как конструктор, так и командование ЭВК выразили готовность принять уча</w:t>
      </w:r>
      <w:r w:rsidRPr="002F2FDF">
        <w:rPr>
          <w:rFonts w:ascii="Times New Roman" w:hAnsi="Times New Roman" w:cs="Times New Roman"/>
          <w:color w:val="000000" w:themeColor="text1"/>
          <w:kern w:val="2"/>
          <w:sz w:val="16"/>
          <w:szCs w:val="16"/>
        </w:rPr>
        <w:softHyphen/>
        <w:t>стие в подобной работе, но неожиданно руководство морской авиации на Балтике в лице капитана 1 ранга Б.П. Дудорова и Воздухоплавательного отдела МГШ в лице капитана 2 ранга А.А. Тучкова решило, что у Морского ведомства недостает ни сил, ни средств для занятий этим вопросом. Однако, нужда в торпедоносных летательных аппаратах оказалась весьма острой и благодаря тому переговоры продолжались. Ранней весной стало известно, что по мысли И.И. Сикорского к переделке наиболее подходили самолеты типа Г-2 с из</w:t>
      </w:r>
      <w:r w:rsidRPr="002F2FDF">
        <w:rPr>
          <w:rFonts w:ascii="Times New Roman" w:hAnsi="Times New Roman" w:cs="Times New Roman"/>
          <w:color w:val="000000" w:themeColor="text1"/>
          <w:kern w:val="2"/>
          <w:sz w:val="16"/>
          <w:szCs w:val="16"/>
        </w:rPr>
        <w:softHyphen/>
        <w:t>мененным шасси или типа Г-3. Модель Е также могла быть использована, но имелась толь</w:t>
      </w:r>
      <w:r w:rsidRPr="002F2FDF">
        <w:rPr>
          <w:rFonts w:ascii="Times New Roman" w:hAnsi="Times New Roman" w:cs="Times New Roman"/>
          <w:color w:val="000000" w:themeColor="text1"/>
          <w:kern w:val="2"/>
          <w:sz w:val="16"/>
          <w:szCs w:val="16"/>
        </w:rPr>
        <w:softHyphen/>
        <w:t>ко в двух экземплярах. По твердому убеждению создателя "Ильи Муромца", его машины нельзя было устанавливать на поплавки, т.к. они потеряли бы свои аэродинамические ка</w:t>
      </w:r>
      <w:r w:rsidRPr="002F2FDF">
        <w:rPr>
          <w:rFonts w:ascii="Times New Roman" w:hAnsi="Times New Roman" w:cs="Times New Roman"/>
          <w:color w:val="000000" w:themeColor="text1"/>
          <w:kern w:val="2"/>
          <w:sz w:val="16"/>
          <w:szCs w:val="16"/>
        </w:rPr>
        <w:softHyphen/>
        <w:t>чества, да и времени на подобные эксперименты просто не имелось. Итак, вывод был прост: самолеты "Илья Муромец" некоторых модификаций могли оснащаться разработан</w:t>
      </w:r>
      <w:r w:rsidRPr="002F2FDF">
        <w:rPr>
          <w:rFonts w:ascii="Times New Roman" w:hAnsi="Times New Roman" w:cs="Times New Roman"/>
          <w:color w:val="000000" w:themeColor="text1"/>
          <w:kern w:val="2"/>
          <w:sz w:val="16"/>
          <w:szCs w:val="16"/>
        </w:rPr>
        <w:softHyphen/>
        <w:t>ным для программы ГАСН минным аппаратом завода Г.А. Лссснера под самодвижущуюся мину образца 1910-1915 гг. с ходом в 40 узлов и использоваться для торпедных атак про</w:t>
      </w:r>
      <w:r w:rsidRPr="002F2FDF">
        <w:rPr>
          <w:rFonts w:ascii="Times New Roman" w:hAnsi="Times New Roman" w:cs="Times New Roman"/>
          <w:color w:val="000000" w:themeColor="text1"/>
          <w:kern w:val="2"/>
          <w:sz w:val="16"/>
          <w:szCs w:val="16"/>
        </w:rPr>
        <w:softHyphen/>
        <w:t>тив надводных кораблей врага. Т.к. устройство для торпедомстания было бы съемным, то аэропланы могли одновременно применяться и в роли бомбардировщиков, базируясь на специально устроенных сухопутных аэродромах на островах Эзель и Даго. Пять машин составили бы первый отряд. В результате "Илья Муромец" так и не стал торпедоносцем (2943).</w:t>
      </w:r>
    </w:p>
    <w:p w14:paraId="14685EA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контракте на гидроплан "Илья Муромец"</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2F2FDF" w14:paraId="63C6EA17" w14:textId="77777777">
        <w:tc>
          <w:tcPr>
            <w:tcW w:w="4788" w:type="dxa"/>
            <w:tcBorders>
              <w:top w:val="single" w:sz="12" w:space="0" w:color="auto"/>
            </w:tcBorders>
            <w:shd w:val="clear" w:color="auto" w:fill="FFFFFF"/>
          </w:tcPr>
          <w:p w14:paraId="0303D4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44F771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 11 1914</w:t>
            </w:r>
          </w:p>
        </w:tc>
      </w:tr>
      <w:tr w:rsidR="002B1C74" w:rsidRPr="002F2FDF" w14:paraId="166D9762" w14:textId="77777777">
        <w:tc>
          <w:tcPr>
            <w:tcW w:w="4788" w:type="dxa"/>
            <w:shd w:val="clear" w:color="auto" w:fill="FFFFFF"/>
          </w:tcPr>
          <w:p w14:paraId="610F6B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заказанных аэропланов</w:t>
            </w:r>
          </w:p>
        </w:tc>
        <w:tc>
          <w:tcPr>
            <w:tcW w:w="4788" w:type="dxa"/>
            <w:shd w:val="clear" w:color="auto" w:fill="FFFFFF"/>
          </w:tcPr>
          <w:p w14:paraId="279B93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r>
      <w:tr w:rsidR="002B1C74" w:rsidRPr="002F2FDF" w14:paraId="622041B6" w14:textId="77777777">
        <w:tc>
          <w:tcPr>
            <w:tcW w:w="4788" w:type="dxa"/>
            <w:shd w:val="clear" w:color="auto" w:fill="FFFFFF"/>
          </w:tcPr>
          <w:p w14:paraId="055551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Заводские номера сданных аэропланов</w:t>
            </w:r>
          </w:p>
        </w:tc>
        <w:tc>
          <w:tcPr>
            <w:tcW w:w="4788" w:type="dxa"/>
            <w:shd w:val="clear" w:color="auto" w:fill="FFFFFF"/>
          </w:tcPr>
          <w:p w14:paraId="353234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107</w:t>
            </w:r>
          </w:p>
        </w:tc>
      </w:tr>
      <w:tr w:rsidR="002B1C74" w:rsidRPr="002F2FDF" w14:paraId="55EA1CD2" w14:textId="77777777">
        <w:tc>
          <w:tcPr>
            <w:tcW w:w="4788" w:type="dxa"/>
            <w:tcBorders>
              <w:bottom w:val="single" w:sz="12" w:space="0" w:color="auto"/>
            </w:tcBorders>
            <w:shd w:val="clear" w:color="auto" w:fill="FFFFFF"/>
          </w:tcPr>
          <w:p w14:paraId="0A85C7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494422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25.000 руб. за каждые 100 л.с. мощности моторов, срок переделки и доставки в Либаву 25 февраля 1914 г. (выполнен к маю 1914 г., задержка не по вине фирмы). Примечания: моторы от Р-БВЗ (2843).</w:t>
            </w:r>
          </w:p>
        </w:tc>
      </w:tr>
    </w:tbl>
    <w:p w14:paraId="116080F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40C4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года Пятилетний срок действия контракта, заключенного Сикорским с акционерным обществом "РБВЗ" истек еще, а к концу года завод вообще встал. Часть рабочих ушла в Красную гвардию. В неразберихе первых месяцев правления новой власти далеко не все комиссары и руководители высших рангов проявили должную компетентность в технике. Многим из них вообще было наплевать на понятие "авиация". Так, один из больших руководителей ВСНХ (Всероссийский Совет народного хозяйства), некто Ю.М. Ларин, к которому Сикорский сумел пробиться в Смольном институте и которому предложил свои руки и голову, изрек: "У нас - революция!, гражданин хороший, и нам не до самолетов и парфюмерии...". Сикорский направился в заводской комитет (или как его еще называли "коллективный директор"), там на свой вопрос о дальнейшей занятости получил безысходное: "Делай, что хочешь...". Не имея особых средств, т.к. все заработанные деньги были вложены в акции завода (а хозяина предприятия М.В. Шидловского и след простыл), Сикорский в феврале 1918 года получил заграничный паспорт и с несколькими сотнями английских фунтов в кармане выехал на Мурман (Мурманск). В марте 1918 года Игорь Иванович покинул Россию и при этом навсегда. Во Франции он взялся было за разработку нового бомбардировщика по заказу союзников по Антанте, но дело пришлось бросить в связи с окончанием мировой войны. 30 марта 1919 года Сикорский ступил на берег Северной Америки, где начался новый этап его жизни и деятельности. К нему пришла всемирная известность в тридцатые годы, когда его многомоторные пассажирские гидросамолеты связали перевозками Америку и Европу. Он получил не меньшую известность, создавая до последних дней жизни лучшие вертолеты мира (11918).</w:t>
      </w:r>
    </w:p>
    <w:p w14:paraId="55C8A9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2061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г. на Ижорском заводе начался монтаж оборудования для производства двигателей «Испано-Сюиза», а к концу года удалось наладить производство и выйти на проектную мощь. Согласно расчетам, он должен был удовлет</w:t>
      </w:r>
      <w:r w:rsidRPr="002F2FDF">
        <w:rPr>
          <w:rFonts w:ascii="Times New Roman" w:hAnsi="Times New Roman" w:cs="Times New Roman"/>
          <w:color w:val="000000" w:themeColor="text1"/>
          <w:kern w:val="2"/>
          <w:sz w:val="16"/>
          <w:szCs w:val="16"/>
        </w:rPr>
        <w:softHyphen/>
        <w:t>ворить до 20% потребностей мор</w:t>
      </w:r>
      <w:r w:rsidRPr="002F2FDF">
        <w:rPr>
          <w:rFonts w:ascii="Times New Roman" w:hAnsi="Times New Roman" w:cs="Times New Roman"/>
          <w:color w:val="000000" w:themeColor="text1"/>
          <w:kern w:val="2"/>
          <w:sz w:val="16"/>
          <w:szCs w:val="16"/>
        </w:rPr>
        <w:softHyphen/>
        <w:t>ской авиации в двигателях. Тем не менее, объективно оценивая воз</w:t>
      </w:r>
      <w:r w:rsidRPr="002F2FDF">
        <w:rPr>
          <w:rFonts w:ascii="Times New Roman" w:hAnsi="Times New Roman" w:cs="Times New Roman"/>
          <w:color w:val="000000" w:themeColor="text1"/>
          <w:kern w:val="2"/>
          <w:sz w:val="16"/>
          <w:szCs w:val="16"/>
        </w:rPr>
        <w:softHyphen/>
        <w:t>можности отечественных моторос</w:t>
      </w:r>
      <w:r w:rsidRPr="002F2FDF">
        <w:rPr>
          <w:rFonts w:ascii="Times New Roman" w:hAnsi="Times New Roman" w:cs="Times New Roman"/>
          <w:color w:val="000000" w:themeColor="text1"/>
          <w:kern w:val="2"/>
          <w:sz w:val="16"/>
          <w:szCs w:val="16"/>
        </w:rPr>
        <w:softHyphen/>
        <w:t>троителей, морское министерство в 1916 г. заказало в Англии 523 и во Франции 1926 двигателей раз</w:t>
      </w:r>
      <w:r w:rsidRPr="002F2FDF">
        <w:rPr>
          <w:rFonts w:ascii="Times New Roman" w:hAnsi="Times New Roman" w:cs="Times New Roman"/>
          <w:color w:val="000000" w:themeColor="text1"/>
          <w:kern w:val="2"/>
          <w:sz w:val="16"/>
          <w:szCs w:val="16"/>
        </w:rPr>
        <w:softHyphen/>
        <w:t>личного типа. Несмотря на принимаемые меры, в России производилось не более 1300 - 1400 двигателей в год, что в свою очередь тормозило раз</w:t>
      </w:r>
      <w:r w:rsidRPr="002F2FDF">
        <w:rPr>
          <w:rFonts w:ascii="Times New Roman" w:hAnsi="Times New Roman" w:cs="Times New Roman"/>
          <w:color w:val="000000" w:themeColor="text1"/>
          <w:kern w:val="2"/>
          <w:sz w:val="16"/>
          <w:szCs w:val="16"/>
        </w:rPr>
        <w:softHyphen/>
        <w:t>витие авиации. С заграничными поставками постоянно возникали затруднения по самым различным причинам и поводам. И это вызыва</w:t>
      </w:r>
      <w:r w:rsidRPr="002F2FDF">
        <w:rPr>
          <w:rFonts w:ascii="Times New Roman" w:hAnsi="Times New Roman" w:cs="Times New Roman"/>
          <w:color w:val="000000" w:themeColor="text1"/>
          <w:kern w:val="2"/>
          <w:sz w:val="16"/>
          <w:szCs w:val="16"/>
        </w:rPr>
        <w:softHyphen/>
        <w:t>ло определенное беспокойство (11872).</w:t>
      </w:r>
    </w:p>
    <w:p w14:paraId="0B5A86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ECE4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апреле 1917 г. Колпаков предложил более совершенную турель. Она давала возможность поворачивать пулемет на 360° и вести стрельбу под большими углами возвышения. Монтировалась турель в круглой башне и опиралась на ее борт и дно с помощью штанги. Штанга имела сиденье для пулеметчика и крепилась нижним концом в центре дна башни. Была предложена также турель, которая укреплялась и двигалась на роликах по борту круглой башни независимо от пулеметчика. Однако </w:t>
      </w:r>
      <w:r w:rsidRPr="002F2FDF">
        <w:rPr>
          <w:rFonts w:ascii="Times New Roman" w:hAnsi="Times New Roman" w:cs="Times New Roman"/>
          <w:color w:val="000000" w:themeColor="text1"/>
          <w:kern w:val="2"/>
          <w:sz w:val="16"/>
          <w:szCs w:val="16"/>
        </w:rPr>
        <w:lastRenderedPageBreak/>
        <w:t>установка со штангой являлась более прочной, удобоподвижной и благодаря хорошему упору мало утомляла стрелка. Поэтому технический комитет УВВФ в составе П. А. Ботезата, А. П. Фан дёр Флита, А. А. Лебедева и других признал 11 апреля 1917 г.: “Предложенные г-ном Колпаковым пулеметные установки его системы могут быть рекомендованы (предпочтительно тип со штангой) для оборудования на аппаратах типа “Лебедь-12”, “Сопвич”, “Спад” и т. д., т. е. на бимонопланах со стрелком сзади” (9769).</w:t>
      </w:r>
    </w:p>
    <w:p w14:paraId="5CF3AF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9A603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г. Колпаков предложил более совершенную турель, которая давала возможность поворачивать пулемет на 360° и вести стрельбу под большими углами возвышения. Новая турель была рекомен</w:t>
      </w:r>
      <w:r w:rsidRPr="002F2FDF">
        <w:rPr>
          <w:rFonts w:ascii="Times New Roman" w:hAnsi="Times New Roman" w:cs="Times New Roman"/>
          <w:color w:val="000000" w:themeColor="text1"/>
          <w:kern w:val="2"/>
          <w:sz w:val="16"/>
          <w:szCs w:val="16"/>
        </w:rPr>
        <w:softHyphen/>
        <w:t>дована Техническим комитетом для установки на самолетах Лебедь-12, Анаде и Сопвич (11425).</w:t>
      </w:r>
    </w:p>
    <w:p w14:paraId="3C690B7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EADCD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1278F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BD03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рядовой 301 бобруйского полка Л.Г.Пржевальский представит в ТК модель броне-резательной машины - ба (9527,289).</w:t>
      </w:r>
    </w:p>
    <w:p w14:paraId="7F2FB5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4C4B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апреля 1917 завод Дукс выпустил 682 велосипеда Дукс-боевой, а затем производство передали фабрике А.Лейтнера, которая до ноября 1917 выпустила 3600 (9651,12).</w:t>
      </w:r>
    </w:p>
    <w:p w14:paraId="5DF974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FAD8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г. ГС завод № 197 ИМ. В.И. Ленина НКОП, НКАП, НКЭП, Радиотелефонный завод им. В.И. Ленина НКТП, Горьковский радиотелефонный завод, Горьковский телевизионный завод (ГТЗ) им. Ленина МРП, п/я 455, ПО «Радий», АООТ, ОАО «Нижегородский телевизионный завод им. В.И. Ленина» (НИТЕЛ) /603009  г. Горький,  г. Нижний Новгород пр. Гагарина, 37 тел. 65-51-19/, который вступил в строй 9 января 1917 г., выпустил первую партию форпостных телефонных аппаратов. Выпускал телефонные, телеграфные и другие электротехнические аппараты.</w:t>
      </w:r>
    </w:p>
    <w:p w14:paraId="4343A1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революции завод практически остановился. После Гражданской войны начал изготавливать семафоры, стрелочные указатели, компостеры билетов, форсунки сжигания мазута для котлов речных судов, электроды конструкции Бонч-Бруевича и Вологдина для первой радиостанции; производил ремонт телефонных аппаратов. С 1924 г. начата подготовка к выпуску детекторных приемников. С 1929 г. начат выпуск связных радиостанций.</w:t>
      </w:r>
    </w:p>
    <w:p w14:paraId="1489D2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1928-29 г. велось расширение завода, постройка новых корпусов, радиополигона; в 1932 г. реконструкция завершена.</w:t>
      </w:r>
    </w:p>
    <w:p w14:paraId="0667B0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1931 г. завод стал именоваться радиотелефонным, с конца 1933 г. Горьковский завод им. Ленина - в ведении «Главэспрома» НКТП. По пр. НКОП № Обсс от 30.12.1936 г. Радиотелефонный завод им. Ленина переименован в завод № 197 им. Ленина 5ГУ НКОП, приказом № 116 от 31.03.1937 г. утвержден Устав ГС завода № 197. С образованием НКАП завод № 197 5ГУ НКОП передан в ведение его 7ГУ, Устав завода утвержден в 01.1939 г. Имел наименование «п/я 455». По Указу Президиума ВС от 17.04.1940 г. и приказу НКАП/НКЭП № 105/5 от 23.04.1940 г. передан в ведение вновь образованного НКЭП.</w:t>
      </w:r>
    </w:p>
    <w:p w14:paraId="52EEC0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 0020 от 3.02.1937 г. заводу предписано создать к 1.01.1938 г. мощности по производству радиостанций: самолетных - 7700 шт. в год; аэродромных - 250 шт.; войсковых - 3255 шт. Приказом № 00116 от 28.05.1937 г. заводу поручен выпуск раций РСБ для самолета Вулти.</w:t>
      </w:r>
    </w:p>
    <w:p w14:paraId="2C4A0D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11.1937 г. на заводе организован отдел специальной телефонии. Производство авиационных раций. По пр. № 156с от 7/10.05.1938 г. требовалось в 1938 г. построить и оборудовать цех изоляционно-керамических материалов, заводу выделено 11 станков. Во исполнение решения правительства № 152сс приказом № 319сс от 10.08.1938 г. было предписано расширить акустическую лабораторию завода № 197, перевести в нее 7 специалистов с завода «Красная заря». В конце 1930-х  г. завод начал самостоятельно модернизировать и разрабатывать новые радиостанции. После начала войны был организован цех по выпуску сопротивлений и конденсаторов, организован участок по переделке стрелочных измерительных приборов.</w:t>
      </w:r>
    </w:p>
    <w:p w14:paraId="2FE2DE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радиооборудования (1942 г.). 12.04.1944 г. вышло распоряжение ГКО № 5603 о мерах по обеспечению производства автомобильных радиостанций специальными автокузовами.</w:t>
      </w:r>
    </w:p>
    <w:p w14:paraId="2D6F38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годы войны завод выпустил более 70 наименований изделий: 50.422 радиостанции, 112 тыс. переговорных устройств, 234 тыс. полевых телефонов.</w:t>
      </w:r>
    </w:p>
    <w:p w14:paraId="1EC541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1946 г. заводу поручена разработка и выпуск </w:t>
      </w:r>
      <w:r w:rsidRPr="002F2FDF">
        <w:rPr>
          <w:rFonts w:ascii="Times New Roman" w:hAnsi="Times New Roman" w:cs="Times New Roman"/>
          <w:color w:val="000000" w:themeColor="text1"/>
          <w:kern w:val="2"/>
          <w:sz w:val="16"/>
          <w:szCs w:val="16"/>
          <w:lang w:val="en-US"/>
        </w:rPr>
        <w:t>PJIC</w:t>
      </w:r>
      <w:r w:rsidRPr="002F2FDF">
        <w:rPr>
          <w:rFonts w:ascii="Times New Roman" w:hAnsi="Times New Roman" w:cs="Times New Roman"/>
          <w:color w:val="000000" w:themeColor="text1"/>
          <w:kern w:val="2"/>
          <w:sz w:val="16"/>
          <w:szCs w:val="16"/>
        </w:rPr>
        <w:t xml:space="preserve"> метрового диапазона для войск ПВО. В 1947 г. на заводе создано СКБ.</w:t>
      </w:r>
    </w:p>
    <w:p w14:paraId="106722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1949 г. прекращен выпуск изделий телефонии, в 1951 г.- выпуск радиосвязной техники. Производство средств радиосвязи передано на другие заводы. Завод полностью перешел на выпуск </w:t>
      </w:r>
      <w:r w:rsidRPr="002F2FDF">
        <w:rPr>
          <w:rFonts w:ascii="Times New Roman" w:hAnsi="Times New Roman" w:cs="Times New Roman"/>
          <w:color w:val="000000" w:themeColor="text1"/>
          <w:kern w:val="2"/>
          <w:sz w:val="16"/>
          <w:szCs w:val="16"/>
          <w:lang w:val="en-US"/>
        </w:rPr>
        <w:t>PJIC</w:t>
      </w:r>
      <w:r w:rsidRPr="002F2FDF">
        <w:rPr>
          <w:rFonts w:ascii="Times New Roman" w:hAnsi="Times New Roman" w:cs="Times New Roman"/>
          <w:color w:val="000000" w:themeColor="text1"/>
          <w:kern w:val="2"/>
          <w:sz w:val="16"/>
          <w:szCs w:val="16"/>
        </w:rPr>
        <w:t>.</w:t>
      </w:r>
    </w:p>
    <w:p w14:paraId="5F9903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1953 г. создана лаборатория изделий бытовой аппаратуры. С 1960 г. начат выпуск телевизоров. В 1974-75 г. проведена реконструкция телевизионного цеха (проект- начальник КБ КТО  Г.В. Лахвицкий). В 1986-87г,- вторая реконструкция телевизионного производства с установкой модульных линий.</w:t>
      </w:r>
    </w:p>
    <w:p w14:paraId="0C2A3B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1966 г. ГС завод № 197 переименован в ГТЗ им. В.И. Ленина. Входил в состав ПО «Радий».</w:t>
      </w:r>
    </w:p>
    <w:p w14:paraId="4B367A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1998 г. выпущено более 20 типов РЛС.</w:t>
      </w:r>
    </w:p>
    <w:p w14:paraId="03F6DF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(2002 г.): дежурные средства РЛ метрового диапазона, аппаратура: сопряжения РЛС со стрельбовыми комплексами, для обучения и тренировки расчетов РЛС; модернизация РЛС.</w:t>
      </w:r>
    </w:p>
    <w:p w14:paraId="30D905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10.1992 г. завод акционирован и преобразован в АООТ «НИТЕЛ», затем- ОАО. По решению правительства № 22-р от 9.01.2004 г. ОАО вошло в перечень стратегических предприятий.</w:t>
      </w:r>
    </w:p>
    <w:p w14:paraId="10C1E1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Директор (-16.05.1937 г.)- А.А. Соколенко; и.о. (16.05-10.1937 г.-)- Н.В. Добров; (-05-12.1938 г.-)- Н.В. Добров, (-1941 г.)- А.А. Форштер, (1960-е)- В.К. Мошков, (1986 г.)- </w:t>
      </w:r>
      <w:r w:rsidRPr="002F2FDF">
        <w:rPr>
          <w:rFonts w:ascii="Times New Roman" w:hAnsi="Times New Roman" w:cs="Times New Roman"/>
          <w:color w:val="000000" w:themeColor="text1"/>
          <w:kern w:val="2"/>
          <w:sz w:val="16"/>
          <w:szCs w:val="16"/>
          <w:lang w:val="en-US"/>
        </w:rPr>
        <w:t>B</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C</w:t>
      </w:r>
      <w:r w:rsidRPr="002F2FDF">
        <w:rPr>
          <w:rFonts w:ascii="Times New Roman" w:hAnsi="Times New Roman" w:cs="Times New Roman"/>
          <w:color w:val="000000" w:themeColor="text1"/>
          <w:kern w:val="2"/>
          <w:sz w:val="16"/>
          <w:szCs w:val="16"/>
        </w:rPr>
        <w:t>. Копылов. Гендиректор (2002 г.)- В.Ф. Казаков, (2003 г.-)- С. Б. Самойлов.</w:t>
      </w:r>
    </w:p>
    <w:p w14:paraId="78F2B2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директора (17.12.1938 г.-)- А.И. Васильев. Зам. гендиректора по кадровым вопросам и социальной сфере-  Г.А. Котлярова.</w:t>
      </w:r>
    </w:p>
    <w:p w14:paraId="11AA21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Технический директор (2002 г.)- Э.Л. Воловский, А.В. Воробьев. Финансовый директор (2002 г.)- С.А. Бушуев.</w:t>
      </w:r>
    </w:p>
    <w:p w14:paraId="46C376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Гл. инженер (17.12.1938 г.-)- А.И. Васильев, (1986 г.)- </w:t>
      </w:r>
      <w:r w:rsidRPr="002F2FDF">
        <w:rPr>
          <w:rFonts w:ascii="Times New Roman" w:hAnsi="Times New Roman" w:cs="Times New Roman"/>
          <w:color w:val="000000" w:themeColor="text1"/>
          <w:kern w:val="2"/>
          <w:sz w:val="16"/>
          <w:szCs w:val="16"/>
          <w:lang w:val="en-US"/>
        </w:rPr>
        <w:t>A</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M</w:t>
      </w:r>
      <w:r w:rsidRPr="002F2FDF">
        <w:rPr>
          <w:rFonts w:ascii="Times New Roman" w:hAnsi="Times New Roman" w:cs="Times New Roman"/>
          <w:color w:val="000000" w:themeColor="text1"/>
          <w:kern w:val="2"/>
          <w:sz w:val="16"/>
          <w:szCs w:val="16"/>
        </w:rPr>
        <w:t>. Александров, (2002 г.)- С.Х. Тибилов.</w:t>
      </w:r>
    </w:p>
    <w:p w14:paraId="53A000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гл. инженера (1986 г.)- О.В. Татарчук.</w:t>
      </w:r>
    </w:p>
    <w:p w14:paraId="3C49F6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конструктор (1930-е)- И.А. Щербаковский, В.Н. Марков.</w:t>
      </w:r>
    </w:p>
    <w:p w14:paraId="7C8E1E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гл. технолога (-1951 г.)- А.П. Щепин, Н.П. Калягин.</w:t>
      </w:r>
    </w:p>
    <w:p w14:paraId="7347CE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отделов: специальной телефонии (1937 г.-)- Б.С. Тамаркин; (1936 г.-)- А.А. Форштер; лабораторий: изделий бытовой аппаратуры (1953 г.-)- Б.И. Аникин.</w:t>
      </w:r>
    </w:p>
    <w:p w14:paraId="24BCFD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конструкторы: (1944 г.)- М.М. Савинов (РСБ-5), (1947 г.)- Н.Д. Елкин (РСБ-70), (1985 г.)- А.А. Местер (ЗУСЦТ 51/61), (1992 г.)- В.М. Сафронов (УСЦТ1-51/61), (1993 г.)- С.И. Ярошук (НСП-001), (1990-е)- А.В. Филиппов (видеотехника).</w:t>
      </w:r>
    </w:p>
    <w:p w14:paraId="015B7B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телефонные аппараты: типа «Гейслер», системы Ботяновского, ЦБ, МБ, унифицированные военно-полевые УНА-Ф-28, -Ф-31, -И-28, -И-31, Т-2, Т-4 (1941-42), Т (1947); коммутаторы: КОФ, РЭ-112, К-7, К-3 (1933-39); переговорные устройства: ТАГ, ТТС, К-2, БПУ (1935-47), самолетные СПУбис, СПУ-2, СПУ-3 (- 1938-41-), танковые ТПУбис, ТПУ-2, ТПУ-3 (ВОВ); головные гарнитуры (1941-49); радиостанции: артполка 31- ДП, артдивизиона 32-ДП, пехотного полка 5-ДП, кавалерийского полка 24-ТВ (1929-)- всего около 200, дивизионная 23-ТВ (1929-30)- 20, 5-АК (1931-), 6-ПК (1931-), 11-А, 34-ДП (1931-), самолетные 15-СК, 5-СУ, РСВС, РСВС-1 (Луч-1), РТБ, РТБ-К, РСБ «Двина» (1938), РСБ-М, РСД, РСД-М (1933-37), наземные ЗА, П-АК (1933-37), РАФ, РАФ-КВ (1940), РАФ-КВбис, -КВ-3, -КВ-4, -КВ-5, «Дельфин» (1940-45), РК-05, РК-005 (1945), РСБ-Ф, РСВС-2 (1938), танковая РТУ-3 (1938), радиоприводная АПР-3, пеленгационная 54ДП, РТУ, РСУ «Терек» (1941-), ПАР-3, МПАР-2, командный радиоузел РУК, СРКС-00, РСБ-Збис, РД-5, ПАРКС-008, РАС-УКВ «Чернослив» (1950-), ПАР-7 (1946-51); радиоприемники: «УС» (ВОВ), ПР-4, УС-М (1946-51); радиопередатчики: РСБ-70 «Беркут», «Дунай» (1947-), РСБ-5 «Днепр», «Ока» (1948-), РСД-Д, РЗБ-5 (1946-51), «Кама», «Висла»; радиомаркерный пункт ПРМ-49; РЛС: П-ЗА (1948-), П-8, П-10, П-12, П-14 «Лена» (1959-), П-18-2,1РЛ113, 44Ж6, 55Ж6-1, 5Н84, 1Л13-3 (2002);</w:t>
      </w:r>
      <w:r w:rsidRPr="002F2FDF">
        <w:rPr>
          <w:rFonts w:ascii="Times New Roman" w:hAnsi="Times New Roman" w:cs="Times New Roman"/>
          <w:color w:val="000000" w:themeColor="text1"/>
          <w:kern w:val="2"/>
          <w:sz w:val="16"/>
          <w:szCs w:val="16"/>
          <w:vertAlign w:val="superscript"/>
        </w:rPr>
        <w:t>69</w:t>
      </w:r>
      <w:r w:rsidRPr="002F2FDF">
        <w:rPr>
          <w:rFonts w:ascii="Times New Roman" w:hAnsi="Times New Roman" w:cs="Times New Roman"/>
          <w:color w:val="000000" w:themeColor="text1"/>
          <w:kern w:val="2"/>
          <w:sz w:val="16"/>
          <w:szCs w:val="16"/>
        </w:rPr>
        <w:t xml:space="preserve"> АРЛСК 1РЛ116, 5Н85, 36Ж6; головные телефоны, микрофоны, микротелефоны, ларингофоны, джеки, динамики (1938); радиотеодолит для слежения за радиозондом; антенны АНВ, АНД для передачи телеметрических данных первых ИСЗ (1956-57); радиоприемники бытовые: ЛДВ-7-1, П-5, П-8 (1920-е), АРЗ, «Мелодия»; громкоговоритель «А» (1924-25); репродукторы: «Рекорд», «Рекорд-2, -3, -4 (1933), -5», «Зорька», «Пролетарий»; радиолы: «Балтика», «Соната», «Мелодия», «Октава» (1958-); телерадиола «Призма» (1961-); телевизоры: «Радий» (I960-), «Радий-А (1962-), -Б (1965-), -И (1966-)»- всего 765.500, «Чайка», «Чайка-2 (1967-), -4 (1970-), -5, -20, -201, -202, -205, -206, -207 (-1990)- всего 4.234.900, 34ТБ-424, 24ТБ-507, -701 (УЛПЦТ 59/61, 1974-), -711, -714 (1978-), -718, -722, -738, -739- всего 1.059.780, Ц-202, -275, -280 (ЗУСЦТ 51/61, 1985-), - 310, -380, 51ТЦ-310, 61ТЦ-330, 51ТЦ-423, 61ТЦ-437(-1992&gt; всего 1.823.750, 51ТЦ-441 (1992-), 61ТЦ-469», «Нител» 31ТБ-414, 31ТБ-424, 54ТЦ-480, 54ТЦ-4214, 51ТЦ-5187, 61ТЦ-5188, 61ТЦ-5190, 54ТЦ-5191,37ТЦ-5213 (- 1997)- всего 342.220; видеоплееры «Нител» </w:t>
      </w:r>
      <w:r w:rsidRPr="002F2FDF">
        <w:rPr>
          <w:rFonts w:ascii="Times New Roman" w:hAnsi="Times New Roman" w:cs="Times New Roman"/>
          <w:color w:val="000000" w:themeColor="text1"/>
          <w:kern w:val="2"/>
          <w:sz w:val="16"/>
          <w:szCs w:val="16"/>
          <w:lang w:val="en-US"/>
        </w:rPr>
        <w:t>VC</w:t>
      </w:r>
      <w:r w:rsidRPr="002F2FDF">
        <w:rPr>
          <w:rFonts w:ascii="Times New Roman" w:hAnsi="Times New Roman" w:cs="Times New Roman"/>
          <w:color w:val="000000" w:themeColor="text1"/>
          <w:kern w:val="2"/>
          <w:sz w:val="16"/>
          <w:szCs w:val="16"/>
        </w:rPr>
        <w:t xml:space="preserve">-50 (1994-), </w:t>
      </w:r>
      <w:r w:rsidRPr="002F2FDF">
        <w:rPr>
          <w:rFonts w:ascii="Times New Roman" w:hAnsi="Times New Roman" w:cs="Times New Roman"/>
          <w:color w:val="000000" w:themeColor="text1"/>
          <w:kern w:val="2"/>
          <w:sz w:val="16"/>
          <w:szCs w:val="16"/>
          <w:lang w:val="en-US"/>
        </w:rPr>
        <w:t>VC</w:t>
      </w:r>
      <w:r w:rsidRPr="002F2FDF">
        <w:rPr>
          <w:rFonts w:ascii="Times New Roman" w:hAnsi="Times New Roman" w:cs="Times New Roman"/>
          <w:color w:val="000000" w:themeColor="text1"/>
          <w:kern w:val="2"/>
          <w:sz w:val="16"/>
          <w:szCs w:val="16"/>
        </w:rPr>
        <w:t xml:space="preserve">-55, видеодвойка «Нител» 55-ТЦ (-1997)- всего 7830; наземная станция приема спутникового телевидения «Чайка НСП-001» (1993-).' </w:t>
      </w:r>
      <w:r w:rsidRPr="002F2FDF">
        <w:rPr>
          <w:rFonts w:ascii="Times New Roman" w:hAnsi="Times New Roman" w:cs="Times New Roman"/>
          <w:color w:val="000000" w:themeColor="text1"/>
          <w:kern w:val="2"/>
          <w:sz w:val="16"/>
          <w:szCs w:val="16"/>
          <w:vertAlign w:val="superscript"/>
          <w:lang w:val="en-US"/>
        </w:rPr>
        <w:t>aa</w:t>
      </w:r>
      <w:r w:rsidRPr="002F2FDF">
        <w:rPr>
          <w:rFonts w:ascii="Times New Roman" w:hAnsi="Times New Roman" w:cs="Times New Roman"/>
          <w:strike/>
          <w:color w:val="000000" w:themeColor="text1"/>
          <w:kern w:val="2"/>
          <w:sz w:val="16"/>
          <w:szCs w:val="16"/>
          <w:vertAlign w:val="superscript"/>
        </w:rPr>
        <w:t>?</w:t>
      </w:r>
      <w:r w:rsidRPr="002F2FDF">
        <w:rPr>
          <w:rFonts w:ascii="Times New Roman" w:hAnsi="Times New Roman" w:cs="Times New Roman"/>
          <w:strike/>
          <w:color w:val="000000" w:themeColor="text1"/>
          <w:kern w:val="2"/>
          <w:sz w:val="16"/>
          <w:szCs w:val="16"/>
          <w:vertAlign w:val="superscript"/>
          <w:lang w:val="en-US"/>
        </w:rPr>
        <w:t>wn</w:t>
      </w:r>
      <w:r w:rsidRPr="002F2FDF">
        <w:rPr>
          <w:rFonts w:ascii="Times New Roman" w:hAnsi="Times New Roman" w:cs="Times New Roman"/>
          <w:strike/>
          <w:color w:val="000000" w:themeColor="text1"/>
          <w:kern w:val="2"/>
          <w:sz w:val="16"/>
          <w:szCs w:val="16"/>
        </w:rPr>
        <w:t>"'</w:t>
      </w:r>
      <w:r w:rsidRPr="002F2FDF">
        <w:rPr>
          <w:rFonts w:ascii="Times New Roman" w:hAnsi="Times New Roman" w:cs="Times New Roman"/>
          <w:strike/>
          <w:color w:val="000000" w:themeColor="text1"/>
          <w:kern w:val="2"/>
          <w:sz w:val="16"/>
          <w:szCs w:val="16"/>
          <w:vertAlign w:val="superscript"/>
          <w:lang w:val="en-US"/>
        </w:rPr>
        <w:t>semnJu</w:t>
      </w:r>
      <w:r w:rsidRPr="002F2FDF">
        <w:rPr>
          <w:rFonts w:ascii="Times New Roman" w:hAnsi="Times New Roman" w:cs="Times New Roman"/>
          <w:strike/>
          <w:color w:val="000000" w:themeColor="text1"/>
          <w:kern w:val="2"/>
          <w:sz w:val="16"/>
          <w:szCs w:val="16"/>
          <w:vertAlign w:val="superscript"/>
        </w:rPr>
        <w:t>/</w:t>
      </w:r>
      <w:r w:rsidRPr="002F2FDF">
        <w:rPr>
          <w:rFonts w:ascii="Times New Roman" w:hAnsi="Times New Roman" w:cs="Times New Roman"/>
          <w:strike/>
          <w:color w:val="000000" w:themeColor="text1"/>
          <w:kern w:val="2"/>
          <w:sz w:val="16"/>
          <w:szCs w:val="16"/>
          <w:vertAlign w:val="superscript"/>
          <w:lang w:val="en-US"/>
        </w:rPr>
        <w:t>M</w:t>
      </w:r>
      <w:r w:rsidRPr="002F2FDF">
        <w:rPr>
          <w:rFonts w:ascii="Times New Roman" w:hAnsi="Times New Roman" w:cs="Times New Roman"/>
          <w:strike/>
          <w:color w:val="000000" w:themeColor="text1"/>
          <w:kern w:val="2"/>
          <w:sz w:val="16"/>
          <w:szCs w:val="16"/>
          <w:vertAlign w:val="superscript"/>
        </w:rPr>
        <w:t>185</w:t>
      </w:r>
      <w:r w:rsidRPr="002F2FDF">
        <w:rPr>
          <w:rFonts w:ascii="Times New Roman" w:hAnsi="Times New Roman" w:cs="Times New Roman"/>
          <w:color w:val="000000" w:themeColor="text1"/>
          <w:kern w:val="2"/>
          <w:sz w:val="16"/>
          <w:szCs w:val="16"/>
          <w:vertAlign w:val="superscript"/>
        </w:rPr>
        <w:t>1</w:t>
      </w:r>
    </w:p>
    <w:p w14:paraId="2D9B18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СКБ завода № 197, СКБ-197, КБ ГТЗ им. Ленина, Горысовский НИИРТ (ГНИИРТ), ФГУП ФНПЦ «Нижегородский НИИ радиотехники» (ННИИРТ)</w:t>
      </w:r>
    </w:p>
    <w:p w14:paraId="320DBB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/603600 (603950)  г. Нижний Новгород ул. Шапошникова, 5(7) тел. 65-00-69,64-02-83/</w:t>
      </w:r>
    </w:p>
    <w:p w14:paraId="53ED53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СКБ завода № 197 образовано 30.09.1947 г. для разработки связных самолетных и аэродромных радиостанций и модернизации </w:t>
      </w:r>
      <w:r w:rsidRPr="002F2FDF">
        <w:rPr>
          <w:rFonts w:ascii="Times New Roman" w:hAnsi="Times New Roman" w:cs="Times New Roman"/>
          <w:color w:val="000000" w:themeColor="text1"/>
          <w:kern w:val="2"/>
          <w:sz w:val="16"/>
          <w:szCs w:val="16"/>
          <w:lang w:val="en-US"/>
        </w:rPr>
        <w:t>PJIC</w:t>
      </w:r>
      <w:r w:rsidRPr="002F2FDF">
        <w:rPr>
          <w:rFonts w:ascii="Times New Roman" w:hAnsi="Times New Roman" w:cs="Times New Roman"/>
          <w:color w:val="000000" w:themeColor="text1"/>
          <w:kern w:val="2"/>
          <w:sz w:val="16"/>
          <w:szCs w:val="16"/>
        </w:rPr>
        <w:t xml:space="preserve"> П-3. По 1952 г. создано 10 типов и модификаций радиостанций.</w:t>
      </w:r>
    </w:p>
    <w:p w14:paraId="52A3BD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распоряжению правительства № 5050-рс от 20.08.1956 г. научно-исследовательский радиофизический институт размещен в помещениях Горьковского суворовского училища.</w:t>
      </w:r>
    </w:p>
    <w:p w14:paraId="6EA924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1953 г. начата разработка </w:t>
      </w:r>
      <w:r w:rsidRPr="002F2FDF">
        <w:rPr>
          <w:rFonts w:ascii="Times New Roman" w:hAnsi="Times New Roman" w:cs="Times New Roman"/>
          <w:color w:val="000000" w:themeColor="text1"/>
          <w:kern w:val="2"/>
          <w:sz w:val="16"/>
          <w:szCs w:val="16"/>
          <w:lang w:val="en-US"/>
        </w:rPr>
        <w:t>PJIC</w:t>
      </w:r>
      <w:r w:rsidRPr="002F2FDF">
        <w:rPr>
          <w:rFonts w:ascii="Times New Roman" w:hAnsi="Times New Roman" w:cs="Times New Roman"/>
          <w:color w:val="000000" w:themeColor="text1"/>
          <w:kern w:val="2"/>
          <w:sz w:val="16"/>
          <w:szCs w:val="16"/>
        </w:rPr>
        <w:t xml:space="preserve"> для войск ПВО: первые отечественные </w:t>
      </w:r>
      <w:r w:rsidRPr="002F2FDF">
        <w:rPr>
          <w:rFonts w:ascii="Times New Roman" w:hAnsi="Times New Roman" w:cs="Times New Roman"/>
          <w:color w:val="000000" w:themeColor="text1"/>
          <w:kern w:val="2"/>
          <w:sz w:val="16"/>
          <w:szCs w:val="16"/>
          <w:lang w:val="en-US"/>
        </w:rPr>
        <w:t>PJIC</w:t>
      </w:r>
      <w:r w:rsidRPr="002F2FDF">
        <w:rPr>
          <w:rFonts w:ascii="Times New Roman" w:hAnsi="Times New Roman" w:cs="Times New Roman"/>
          <w:color w:val="000000" w:themeColor="text1"/>
          <w:kern w:val="2"/>
          <w:sz w:val="16"/>
          <w:szCs w:val="16"/>
        </w:rPr>
        <w:t xml:space="preserve">: с индикатором кругового обзора П-8; с перестройкой частоты П-10; П-12 с когерентно-компенсационной аппаратурой СДЦ; высокопотенциальная П-14 (пнв пост. СМ СССР № 640-288 от 16.06.1959 г.); метрового диапазона с </w:t>
      </w:r>
      <w:r w:rsidRPr="002F2FDF">
        <w:rPr>
          <w:rFonts w:ascii="Times New Roman" w:hAnsi="Times New Roman" w:cs="Times New Roman"/>
          <w:color w:val="000000" w:themeColor="text1"/>
          <w:kern w:val="2"/>
          <w:sz w:val="16"/>
          <w:szCs w:val="16"/>
          <w:lang w:val="en-US"/>
        </w:rPr>
        <w:t>JI</w:t>
      </w:r>
      <w:r w:rsidRPr="002F2FDF">
        <w:rPr>
          <w:rFonts w:ascii="Times New Roman" w:hAnsi="Times New Roman" w:cs="Times New Roman"/>
          <w:color w:val="000000" w:themeColor="text1"/>
          <w:kern w:val="2"/>
          <w:sz w:val="16"/>
          <w:szCs w:val="16"/>
        </w:rPr>
        <w:t>4</w:t>
      </w:r>
      <w:r w:rsidRPr="002F2FDF">
        <w:rPr>
          <w:rFonts w:ascii="Times New Roman" w:hAnsi="Times New Roman" w:cs="Times New Roman"/>
          <w:color w:val="000000" w:themeColor="text1"/>
          <w:kern w:val="2"/>
          <w:sz w:val="16"/>
          <w:szCs w:val="16"/>
          <w:lang w:val="en-US"/>
        </w:rPr>
        <w:t>M</w:t>
      </w:r>
      <w:r w:rsidRPr="002F2FDF">
        <w:rPr>
          <w:rFonts w:ascii="Times New Roman" w:hAnsi="Times New Roman" w:cs="Times New Roman"/>
          <w:color w:val="000000" w:themeColor="text1"/>
          <w:kern w:val="2"/>
          <w:sz w:val="16"/>
          <w:szCs w:val="16"/>
        </w:rPr>
        <w:t xml:space="preserve"> зондирующим сигналом </w:t>
      </w:r>
      <w:r w:rsidRPr="002F2FDF">
        <w:rPr>
          <w:rFonts w:ascii="Times New Roman" w:hAnsi="Times New Roman" w:cs="Times New Roman"/>
          <w:color w:val="000000" w:themeColor="text1"/>
          <w:kern w:val="2"/>
          <w:sz w:val="16"/>
          <w:szCs w:val="16"/>
        </w:rPr>
        <w:lastRenderedPageBreak/>
        <w:t xml:space="preserve">П-70; трехкоординатная </w:t>
      </w:r>
      <w:r w:rsidRPr="002F2FDF">
        <w:rPr>
          <w:rFonts w:ascii="Times New Roman" w:hAnsi="Times New Roman" w:cs="Times New Roman"/>
          <w:color w:val="000000" w:themeColor="text1"/>
          <w:kern w:val="2"/>
          <w:sz w:val="16"/>
          <w:szCs w:val="16"/>
          <w:lang w:val="en-US"/>
        </w:rPr>
        <w:t>L</w:t>
      </w:r>
      <w:r w:rsidRPr="002F2FDF">
        <w:rPr>
          <w:rFonts w:ascii="Times New Roman" w:hAnsi="Times New Roman" w:cs="Times New Roman"/>
          <w:color w:val="000000" w:themeColor="text1"/>
          <w:kern w:val="2"/>
          <w:sz w:val="16"/>
          <w:szCs w:val="16"/>
        </w:rPr>
        <w:t xml:space="preserve">-диапазона (длинноволновая) 5Н69; первые в мире: подвижная трехкоординатная метровая 55Ж6; высокомобильная метровая </w:t>
      </w:r>
      <w:r w:rsidRPr="002F2FDF">
        <w:rPr>
          <w:rFonts w:ascii="Times New Roman" w:hAnsi="Times New Roman" w:cs="Times New Roman"/>
          <w:color w:val="000000" w:themeColor="text1"/>
          <w:kern w:val="2"/>
          <w:sz w:val="16"/>
          <w:szCs w:val="16"/>
          <w:lang w:val="en-US"/>
        </w:rPr>
        <w:t>PJTC</w:t>
      </w:r>
      <w:r w:rsidRPr="002F2FDF">
        <w:rPr>
          <w:rFonts w:ascii="Times New Roman" w:hAnsi="Times New Roman" w:cs="Times New Roman"/>
          <w:color w:val="000000" w:themeColor="text1"/>
          <w:kern w:val="2"/>
          <w:sz w:val="16"/>
          <w:szCs w:val="16"/>
        </w:rPr>
        <w:t xml:space="preserve"> с активной ФАР 1</w:t>
      </w:r>
      <w:r w:rsidRPr="002F2FDF">
        <w:rPr>
          <w:rFonts w:ascii="Times New Roman" w:hAnsi="Times New Roman" w:cs="Times New Roman"/>
          <w:color w:val="000000" w:themeColor="text1"/>
          <w:kern w:val="2"/>
          <w:sz w:val="16"/>
          <w:szCs w:val="16"/>
          <w:lang w:val="en-US"/>
        </w:rPr>
        <w:t>JI</w:t>
      </w:r>
      <w:r w:rsidRPr="002F2FDF">
        <w:rPr>
          <w:rFonts w:ascii="Times New Roman" w:hAnsi="Times New Roman" w:cs="Times New Roman"/>
          <w:color w:val="000000" w:themeColor="text1"/>
          <w:kern w:val="2"/>
          <w:sz w:val="16"/>
          <w:szCs w:val="16"/>
        </w:rPr>
        <w:t>119.</w:t>
      </w:r>
    </w:p>
    <w:p w14:paraId="69DABC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1966 г. предприятие переименовано в КБ ГТЗ им. Ленина и становится самостоятельным. В 1981 г. КБ преобразовано в ГНИИРТ. С 1990 г.- ННИИРТ. Входило в состав ПО «Радий».</w:t>
      </w:r>
    </w:p>
    <w:p w14:paraId="076D51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Выполнена НИР «Ока» по разработке принципов построения </w:t>
      </w:r>
      <w:r w:rsidRPr="002F2FDF">
        <w:rPr>
          <w:rFonts w:ascii="Times New Roman" w:hAnsi="Times New Roman" w:cs="Times New Roman"/>
          <w:color w:val="000000" w:themeColor="text1"/>
          <w:kern w:val="2"/>
          <w:sz w:val="16"/>
          <w:szCs w:val="16"/>
          <w:lang w:val="en-US"/>
        </w:rPr>
        <w:t>PJIC</w:t>
      </w:r>
      <w:r w:rsidRPr="002F2FDF">
        <w:rPr>
          <w:rFonts w:ascii="Times New Roman" w:hAnsi="Times New Roman" w:cs="Times New Roman"/>
          <w:color w:val="000000" w:themeColor="text1"/>
          <w:kern w:val="2"/>
          <w:sz w:val="16"/>
          <w:szCs w:val="16"/>
        </w:rPr>
        <w:t xml:space="preserve"> с частотным качанием луча, создана </w:t>
      </w:r>
      <w:r w:rsidRPr="002F2FDF">
        <w:rPr>
          <w:rFonts w:ascii="Times New Roman" w:hAnsi="Times New Roman" w:cs="Times New Roman"/>
          <w:color w:val="000000" w:themeColor="text1"/>
          <w:kern w:val="2"/>
          <w:sz w:val="16"/>
          <w:szCs w:val="16"/>
          <w:lang w:val="en-US"/>
        </w:rPr>
        <w:t>PJIC</w:t>
      </w:r>
      <w:r w:rsidRPr="002F2FDF">
        <w:rPr>
          <w:rFonts w:ascii="Times New Roman" w:hAnsi="Times New Roman" w:cs="Times New Roman"/>
          <w:color w:val="000000" w:themeColor="text1"/>
          <w:kern w:val="2"/>
          <w:sz w:val="16"/>
          <w:szCs w:val="16"/>
        </w:rPr>
        <w:t xml:space="preserve"> 5Н69.</w:t>
      </w:r>
    </w:p>
    <w:p w14:paraId="07D6FB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начала 1980-х  г.- разработка вертолетных </w:t>
      </w:r>
      <w:r w:rsidRPr="002F2FDF">
        <w:rPr>
          <w:rFonts w:ascii="Times New Roman" w:hAnsi="Times New Roman" w:cs="Times New Roman"/>
          <w:color w:val="000000" w:themeColor="text1"/>
          <w:kern w:val="2"/>
          <w:sz w:val="16"/>
          <w:szCs w:val="16"/>
          <w:lang w:val="en-US"/>
        </w:rPr>
        <w:t>PJIC</w:t>
      </w:r>
      <w:r w:rsidRPr="002F2FDF">
        <w:rPr>
          <w:rFonts w:ascii="Times New Roman" w:hAnsi="Times New Roman" w:cs="Times New Roman"/>
          <w:color w:val="000000" w:themeColor="text1"/>
          <w:kern w:val="2"/>
          <w:sz w:val="16"/>
          <w:szCs w:val="16"/>
        </w:rPr>
        <w:t xml:space="preserve"> обнаружения малоразмерных воздушных целей на малой высоте над водной и земной поверхностью («на просвет»). Велись работы по </w:t>
      </w:r>
      <w:r w:rsidRPr="002F2FDF">
        <w:rPr>
          <w:rFonts w:ascii="Times New Roman" w:hAnsi="Times New Roman" w:cs="Times New Roman"/>
          <w:color w:val="000000" w:themeColor="text1"/>
          <w:kern w:val="2"/>
          <w:sz w:val="16"/>
          <w:szCs w:val="16"/>
          <w:lang w:val="en-US"/>
        </w:rPr>
        <w:t>PJI</w:t>
      </w:r>
      <w:r w:rsidRPr="002F2FDF">
        <w:rPr>
          <w:rFonts w:ascii="Times New Roman" w:hAnsi="Times New Roman" w:cs="Times New Roman"/>
          <w:color w:val="000000" w:themeColor="text1"/>
          <w:kern w:val="2"/>
          <w:sz w:val="16"/>
          <w:szCs w:val="16"/>
        </w:rPr>
        <w:t xml:space="preserve"> обнаружению наземных целей.</w:t>
      </w:r>
    </w:p>
    <w:p w14:paraId="5D8CAF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1995 г. предприятие освоило серийное производство своих разработок.</w:t>
      </w:r>
    </w:p>
    <w:p w14:paraId="7924B0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Разработка (2002 г.): наземная и бортовая аппаратура радионавигации </w:t>
      </w:r>
      <w:r w:rsidRPr="002F2FDF">
        <w:rPr>
          <w:rFonts w:ascii="Times New Roman" w:hAnsi="Times New Roman" w:cs="Times New Roman"/>
          <w:color w:val="000000" w:themeColor="text1"/>
          <w:kern w:val="2"/>
          <w:sz w:val="16"/>
          <w:szCs w:val="16"/>
          <w:lang w:val="en-US"/>
        </w:rPr>
        <w:t>JIA</w:t>
      </w:r>
      <w:r w:rsidRPr="002F2FDF">
        <w:rPr>
          <w:rFonts w:ascii="Times New Roman" w:hAnsi="Times New Roman" w:cs="Times New Roman"/>
          <w:color w:val="000000" w:themeColor="text1"/>
          <w:kern w:val="2"/>
          <w:sz w:val="16"/>
          <w:szCs w:val="16"/>
        </w:rPr>
        <w:t xml:space="preserve">; системы дальнего обнаружения; </w:t>
      </w:r>
      <w:r w:rsidRPr="002F2FDF">
        <w:rPr>
          <w:rFonts w:ascii="Times New Roman" w:hAnsi="Times New Roman" w:cs="Times New Roman"/>
          <w:color w:val="000000" w:themeColor="text1"/>
          <w:kern w:val="2"/>
          <w:sz w:val="16"/>
          <w:szCs w:val="16"/>
          <w:lang w:val="en-US"/>
        </w:rPr>
        <w:t>PJIC</w:t>
      </w:r>
      <w:r w:rsidRPr="002F2FDF">
        <w:rPr>
          <w:rFonts w:ascii="Times New Roman" w:hAnsi="Times New Roman" w:cs="Times New Roman"/>
          <w:color w:val="000000" w:themeColor="text1"/>
          <w:kern w:val="2"/>
          <w:sz w:val="16"/>
          <w:szCs w:val="16"/>
        </w:rPr>
        <w:t xml:space="preserve"> ветрового зондирования атмосферы; многоканальные системы передачи информации; комплексы автоматизированного управления насосными агрегатами.</w:t>
      </w:r>
      <w:r w:rsidRPr="002F2FDF">
        <w:rPr>
          <w:rFonts w:ascii="Times New Roman" w:hAnsi="Times New Roman" w:cs="Times New Roman"/>
          <w:color w:val="000000" w:themeColor="text1"/>
          <w:kern w:val="2"/>
          <w:sz w:val="16"/>
          <w:szCs w:val="16"/>
          <w:vertAlign w:val="superscript"/>
        </w:rPr>
        <w:t>69</w:t>
      </w:r>
    </w:p>
    <w:p w14:paraId="0F84FD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2004 г. создано более 35 типов </w:t>
      </w:r>
      <w:r w:rsidRPr="002F2FDF">
        <w:rPr>
          <w:rFonts w:ascii="Times New Roman" w:hAnsi="Times New Roman" w:cs="Times New Roman"/>
          <w:color w:val="000000" w:themeColor="text1"/>
          <w:kern w:val="2"/>
          <w:sz w:val="16"/>
          <w:szCs w:val="16"/>
          <w:lang w:val="en-US"/>
        </w:rPr>
        <w:t>PJIC</w:t>
      </w:r>
      <w:r w:rsidRPr="002F2FDF">
        <w:rPr>
          <w:rFonts w:ascii="Times New Roman" w:hAnsi="Times New Roman" w:cs="Times New Roman"/>
          <w:color w:val="000000" w:themeColor="text1"/>
          <w:kern w:val="2"/>
          <w:sz w:val="16"/>
          <w:szCs w:val="16"/>
        </w:rPr>
        <w:t>, из них 26 строились серийно.</w:t>
      </w:r>
    </w:p>
    <w:p w14:paraId="7C0F8D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Указу Президента РФ № 1009 от 4.08.2004 г. вошел в число стратегических оборонных предприятий. Имел статус ФНПЦ (2005 г.). По Указу Президента РФ в 02.2007 г. исключен из перечня стратегических предприятий. По Указу Президента РФ в 03.2007 г. включен в состав Концерна ПВО «Алмаз-Антей».</w:t>
      </w:r>
    </w:p>
    <w:p w14:paraId="7BB343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(2004 г.)- 2500 чел.</w:t>
      </w:r>
    </w:p>
    <w:p w14:paraId="27280E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И.О. начальника (1947 г.-)- В.А. Авдентов. Начальник (1947 г.-)- В.А. Авдентов; и.о. (1948 г.)- Е.А. Меркин; (-1949 г.)- Е.А. Меркин, (1956; 1966 г.-)- Л.И. Панкратов, (1957-; -1981 г.)-  Г.К. Киселев. Директор (1981-94 г.)- В.А. Проскурин, (-2002-06 г.)- В.В. Москаленко, (2006-07 г.-&gt; А.А. Таныгин.</w:t>
      </w:r>
      <w:r w:rsidRPr="002F2FDF">
        <w:rPr>
          <w:rFonts w:ascii="Times New Roman" w:hAnsi="Times New Roman" w:cs="Times New Roman"/>
          <w:color w:val="000000" w:themeColor="text1"/>
          <w:kern w:val="2"/>
          <w:sz w:val="16"/>
          <w:szCs w:val="16"/>
          <w:vertAlign w:val="superscript"/>
        </w:rPr>
        <w:t>130</w:t>
      </w:r>
    </w:p>
    <w:p w14:paraId="46CD72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1-й зам. директора (2007 г.)- А.Б. Бляхман. Зам. начальника по производству (-1971 г.)- В.А. Авдентов. Зам. директора: по научной работе (-1994 г.)- В.А. Антонов, по науке (-2005 г.)- А.А. Зачепицкий; по производству- В.В. Москаленко.</w:t>
      </w:r>
    </w:p>
    <w:p w14:paraId="529BFA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конструктор- М. Лейких («Противник»), А.А. Зачепицкий.</w:t>
      </w:r>
      <w:r w:rsidRPr="002F2FDF">
        <w:rPr>
          <w:rFonts w:ascii="Times New Roman" w:hAnsi="Times New Roman" w:cs="Times New Roman"/>
          <w:color w:val="000000" w:themeColor="text1"/>
          <w:kern w:val="2"/>
          <w:sz w:val="16"/>
          <w:szCs w:val="16"/>
          <w:vertAlign w:val="superscript"/>
        </w:rPr>
        <w:t>63</w:t>
      </w:r>
      <w:r w:rsidRPr="002F2FDF">
        <w:rPr>
          <w:rFonts w:ascii="Times New Roman" w:hAnsi="Times New Roman" w:cs="Times New Roman"/>
          <w:color w:val="000000" w:themeColor="text1"/>
          <w:kern w:val="2"/>
          <w:sz w:val="16"/>
          <w:szCs w:val="16"/>
        </w:rPr>
        <w:t xml:space="preserve"> Ген. конструктор- А.Б. Бляхман, (-2005 г.)- А.А. Зачепицкий.</w:t>
      </w:r>
    </w:p>
    <w:p w14:paraId="44E945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инженер (-1950 г.)- Н.И. Угланов, (1952-81 г.)- Е.В. Бухвалов, (-1994 г.)- В.А. Антонов, (-2001 г.)- В.М. Марескин.</w:t>
      </w:r>
    </w:p>
    <w:p w14:paraId="441667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гл. инженера- А.Б. Бляхман, Н.С. Ерофеев, А.И. Калинцев, В.В. Москаленко.</w:t>
      </w:r>
    </w:p>
    <w:p w14:paraId="2A7AA5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производства (1972-79 г.)- Ю.П. Минаев; производства шефмонтажных и регулировочных работ, гарантийного и послегарантийного обслуживания эксплуатируемых изделий (2007 г.)- А.И. Калинцев.</w:t>
      </w:r>
    </w:p>
    <w:p w14:paraId="3E2617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конструкторы: В.А. Антонов (Э-801), Е.В. Бухвалов (П-ЗА, -8, -10, -12, -12М, -95), И. Г. Крылов (1Л13, 1Л119); направления (2007 г.)- А.Д. Бомштейн.</w:t>
      </w:r>
    </w:p>
    <w:p w14:paraId="565517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Зам. гл. конструкторов: В.А. Антонов (5Н84А, 55Ж6, 1Л13), А.Д. Бомштейн (55Ж6У), Н.М. Вагин (1Л13), </w:t>
      </w:r>
      <w:r w:rsidRPr="002F2FDF">
        <w:rPr>
          <w:rFonts w:ascii="Times New Roman" w:hAnsi="Times New Roman" w:cs="Times New Roman"/>
          <w:color w:val="000000" w:themeColor="text1"/>
          <w:kern w:val="2"/>
          <w:sz w:val="16"/>
          <w:szCs w:val="16"/>
          <w:lang w:val="en-US"/>
        </w:rPr>
        <w:t>P</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M</w:t>
      </w:r>
      <w:r w:rsidRPr="002F2FDF">
        <w:rPr>
          <w:rFonts w:ascii="Times New Roman" w:hAnsi="Times New Roman" w:cs="Times New Roman"/>
          <w:color w:val="000000" w:themeColor="text1"/>
          <w:kern w:val="2"/>
          <w:sz w:val="16"/>
          <w:szCs w:val="16"/>
        </w:rPr>
        <w:t xml:space="preserve">. Глухих (П-14, -14Ф, -70, 5Н69), А.И. Калинцев (55Ж6, 55Ж6У), </w:t>
      </w:r>
      <w:r w:rsidRPr="002F2FDF">
        <w:rPr>
          <w:rFonts w:ascii="Times New Roman" w:hAnsi="Times New Roman" w:cs="Times New Roman"/>
          <w:color w:val="000000" w:themeColor="text1"/>
          <w:kern w:val="2"/>
          <w:sz w:val="16"/>
          <w:szCs w:val="16"/>
          <w:lang w:val="en-US"/>
        </w:rPr>
        <w:t>B</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C</w:t>
      </w:r>
      <w:r w:rsidRPr="002F2FDF">
        <w:rPr>
          <w:rFonts w:ascii="Times New Roman" w:hAnsi="Times New Roman" w:cs="Times New Roman"/>
          <w:color w:val="000000" w:themeColor="text1"/>
          <w:kern w:val="2"/>
          <w:sz w:val="16"/>
          <w:szCs w:val="16"/>
        </w:rPr>
        <w:t xml:space="preserve">. Каненгисер (55Ж6У), А.В. Карпов (П- 14), </w:t>
      </w:r>
      <w:r w:rsidRPr="002F2FDF">
        <w:rPr>
          <w:rFonts w:ascii="Times New Roman" w:hAnsi="Times New Roman" w:cs="Times New Roman"/>
          <w:color w:val="000000" w:themeColor="text1"/>
          <w:kern w:val="2"/>
          <w:sz w:val="16"/>
          <w:szCs w:val="16"/>
          <w:lang w:val="en-US"/>
        </w:rPr>
        <w:t>A</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M</w:t>
      </w:r>
      <w:r w:rsidRPr="002F2FDF">
        <w:rPr>
          <w:rFonts w:ascii="Times New Roman" w:hAnsi="Times New Roman" w:cs="Times New Roman"/>
          <w:color w:val="000000" w:themeColor="text1"/>
          <w:kern w:val="2"/>
          <w:sz w:val="16"/>
          <w:szCs w:val="16"/>
        </w:rPr>
        <w:t xml:space="preserve">. Клячев (5Н69), А. Г. Крылов (5Н69), И. Г. Крылов (5Н84-А), В.М. Марескин (55Ж6, Э-801), В.В. Масленников (55Ж6, 55Ж6У, 1Л13, 1Л119), Н.С. Митрофанов (РАС-УКВ «Чернослив»), В.В. Москаленко (55Ж6), В.И. Овсянников (П-10, -12), Н.И. Полежаев (П-10, -12, -14), А.И. Резчиков (55Ж6, 55Ж6У), Ю.Н. Соколов (П-12, -12М, -14), (2000-е)- </w:t>
      </w:r>
      <w:r w:rsidRPr="002F2FDF">
        <w:rPr>
          <w:rFonts w:ascii="Times New Roman" w:hAnsi="Times New Roman" w:cs="Times New Roman"/>
          <w:color w:val="000000" w:themeColor="text1"/>
          <w:kern w:val="2"/>
          <w:sz w:val="16"/>
          <w:szCs w:val="16"/>
          <w:lang w:val="en-US"/>
        </w:rPr>
        <w:t>A</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M</w:t>
      </w:r>
      <w:r w:rsidRPr="002F2FDF">
        <w:rPr>
          <w:rFonts w:ascii="Times New Roman" w:hAnsi="Times New Roman" w:cs="Times New Roman"/>
          <w:color w:val="000000" w:themeColor="text1"/>
          <w:kern w:val="2"/>
          <w:sz w:val="16"/>
          <w:szCs w:val="16"/>
        </w:rPr>
        <w:t>. Флаум (55Ж6, 55Ж6У), В.А. Целибеев (5Н69, Э-801).</w:t>
      </w:r>
    </w:p>
    <w:p w14:paraId="198110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отделений: Н.С. Ерофеев, А.И. Калинцев, В.М. Марескин, В.В. Москаленко, В.А. Целибеев.</w:t>
      </w:r>
    </w:p>
    <w:p w14:paraId="077496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начальника отделения: (2007 г.)- А.Д. Бомштейн, (-1990 г.)- В.А. Целибеев.</w:t>
      </w:r>
    </w:p>
    <w:p w14:paraId="1EBE33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Начальники отделов: А.Б. Бляхман, (2007 г.)- А.Д. Бомштейн, Н.М. Вагин, </w:t>
      </w:r>
      <w:r w:rsidRPr="002F2FDF">
        <w:rPr>
          <w:rFonts w:ascii="Times New Roman" w:hAnsi="Times New Roman" w:cs="Times New Roman"/>
          <w:color w:val="000000" w:themeColor="text1"/>
          <w:kern w:val="2"/>
          <w:sz w:val="16"/>
          <w:szCs w:val="16"/>
          <w:lang w:val="en-US"/>
        </w:rPr>
        <w:t>P</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M</w:t>
      </w:r>
      <w:r w:rsidRPr="002F2FDF">
        <w:rPr>
          <w:rFonts w:ascii="Times New Roman" w:hAnsi="Times New Roman" w:cs="Times New Roman"/>
          <w:color w:val="000000" w:themeColor="text1"/>
          <w:kern w:val="2"/>
          <w:sz w:val="16"/>
          <w:szCs w:val="16"/>
        </w:rPr>
        <w:t xml:space="preserve">. Глухих, А.А. Зачепицкий, А.И. Калинцев, </w:t>
      </w:r>
      <w:r w:rsidRPr="002F2FDF">
        <w:rPr>
          <w:rFonts w:ascii="Times New Roman" w:hAnsi="Times New Roman" w:cs="Times New Roman"/>
          <w:color w:val="000000" w:themeColor="text1"/>
          <w:kern w:val="2"/>
          <w:sz w:val="16"/>
          <w:szCs w:val="16"/>
          <w:lang w:val="en-US"/>
        </w:rPr>
        <w:t>A</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M</w:t>
      </w:r>
      <w:r w:rsidRPr="002F2FDF">
        <w:rPr>
          <w:rFonts w:ascii="Times New Roman" w:hAnsi="Times New Roman" w:cs="Times New Roman"/>
          <w:color w:val="000000" w:themeColor="text1"/>
          <w:kern w:val="2"/>
          <w:sz w:val="16"/>
          <w:szCs w:val="16"/>
        </w:rPr>
        <w:t xml:space="preserve">. Клячев, В.М. Марескин, В.В. Москаленко, В.И. Овсянников, (-1958 г.)- Н.И. Полежаев, (2000-е)- А.И. Резчиков, (-1987 г.)- Ю.Н. Соколов, </w:t>
      </w:r>
      <w:r w:rsidRPr="002F2FDF">
        <w:rPr>
          <w:rFonts w:ascii="Times New Roman" w:hAnsi="Times New Roman" w:cs="Times New Roman"/>
          <w:color w:val="000000" w:themeColor="text1"/>
          <w:kern w:val="2"/>
          <w:sz w:val="16"/>
          <w:szCs w:val="16"/>
          <w:lang w:val="en-US"/>
        </w:rPr>
        <w:t>A</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M</w:t>
      </w:r>
      <w:r w:rsidRPr="002F2FDF">
        <w:rPr>
          <w:rFonts w:ascii="Times New Roman" w:hAnsi="Times New Roman" w:cs="Times New Roman"/>
          <w:color w:val="000000" w:themeColor="text1"/>
          <w:kern w:val="2"/>
          <w:sz w:val="16"/>
          <w:szCs w:val="16"/>
        </w:rPr>
        <w:t>. Флаум, (-1990 г.)- В.А. Целибеев.</w:t>
      </w:r>
    </w:p>
    <w:p w14:paraId="01CC38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Зам. начальника отдела: (2007 г.)- </w:t>
      </w:r>
      <w:r w:rsidRPr="002F2FDF">
        <w:rPr>
          <w:rFonts w:ascii="Times New Roman" w:hAnsi="Times New Roman" w:cs="Times New Roman"/>
          <w:color w:val="000000" w:themeColor="text1"/>
          <w:kern w:val="2"/>
          <w:sz w:val="16"/>
          <w:szCs w:val="16"/>
          <w:lang w:val="en-US"/>
        </w:rPr>
        <w:t>B</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C</w:t>
      </w:r>
      <w:r w:rsidRPr="002F2FDF">
        <w:rPr>
          <w:rFonts w:ascii="Times New Roman" w:hAnsi="Times New Roman" w:cs="Times New Roman"/>
          <w:color w:val="000000" w:themeColor="text1"/>
          <w:kern w:val="2"/>
          <w:sz w:val="16"/>
          <w:szCs w:val="16"/>
        </w:rPr>
        <w:t>. Каненгисер, (-1979 г.)- Ю.И. Пахомов.</w:t>
      </w:r>
    </w:p>
    <w:p w14:paraId="129431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секторов: В.А. Антонов, А.Д. Бомштейн, Н.С. Ерофеев, (-2000 г.)- А. Г. Крылов, И. Г. Крылов, (2007 г.)- В.В. Масленников, Ю.И. Пахомов.</w:t>
      </w:r>
    </w:p>
    <w:p w14:paraId="5A28A3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начальника сектора: А.Б. Бляхман, В.В. Масленников.</w:t>
      </w:r>
    </w:p>
    <w:p w14:paraId="640B74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лабораторий: (-1998 г.)- И.Ц. Гросман, Н.С. Ерофеев, А.В. Карпов, (1982 г.-)-  Г.К. Киселев, (-1991 г.)- Н.С. Митрофанов, В.И. Овсянников, Н.И. Полежаев, Ю.Н. Соколов, А.М. Флаум.</w:t>
      </w:r>
    </w:p>
    <w:p w14:paraId="2693E4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начальника лаборатории: В.А. Антонов.</w:t>
      </w:r>
    </w:p>
    <w:p w14:paraId="12A768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Научные руководители НИР: Ю.Н. Соколов («Ока»),</w:t>
      </w:r>
    </w:p>
    <w:p w14:paraId="3B60D1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научного руководителя НИР: И. Г. Крылов.</w:t>
      </w:r>
      <w:r w:rsidRPr="002F2FDF">
        <w:rPr>
          <w:rFonts w:ascii="Times New Roman" w:hAnsi="Times New Roman" w:cs="Times New Roman"/>
          <w:color w:val="000000" w:themeColor="text1"/>
          <w:kern w:val="2"/>
          <w:sz w:val="16"/>
          <w:szCs w:val="16"/>
          <w:vertAlign w:val="superscript"/>
        </w:rPr>
        <w:t>130</w:t>
      </w:r>
    </w:p>
    <w:p w14:paraId="0C5C08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Создано: радиостанции: «Орлан», связная РАС-УКВ «Чернослив», «Дыня», «Урюк», «Груша», «Альбатрос», «Витраж», «Привод», «Резерв», «Байкал» (1947-52); РЛС: П-ЗА (1948), П-8 (1950), П-10 (1953), П-12 (1955), П- 12М (1956), П-12МП (1959), П-12МА (1960), П-12НП (1965), П-14 «Лена» (пнв 16.06.1959 г.), П-14Ф (1966), П-18 (1970), П-70, 5Н84А (1974), 5Н69 (1975), 44Ж6 (1979), 55Ж6, 55Ж6У (1992), 1Л13 (1982), «Противник-ГЕ», трехкоординатная «Небо-У» (1995), мобильная 3-кординатная 59Н6 (1997), высокомобильная с активной ФАР 1Л119 «Небо-СВУ» (пнв в 2003 г.), 52Э6 (пнв в 2005 г.), 1Л13, 52Э6, 52Э6-МУ; автоматические РЖ: П-95 (1963), АРЛСК П-96 (1РЛ116, 1968), 5Н85, 36Ж6; бортовой комплекс контроля обстановки Э-801Е (1995) вертолета Ка- 31; система контроля за воздушной обстановкой «Барьер»;</w:t>
      </w:r>
      <w:r w:rsidRPr="002F2FDF">
        <w:rPr>
          <w:rFonts w:ascii="Times New Roman" w:hAnsi="Times New Roman" w:cs="Times New Roman"/>
          <w:color w:val="000000" w:themeColor="text1"/>
          <w:kern w:val="2"/>
          <w:sz w:val="16"/>
          <w:szCs w:val="16"/>
          <w:vertAlign w:val="superscript"/>
        </w:rPr>
        <w:t>63</w:t>
      </w:r>
      <w:r w:rsidRPr="002F2FDF">
        <w:rPr>
          <w:rFonts w:ascii="Times New Roman" w:hAnsi="Times New Roman" w:cs="Times New Roman"/>
          <w:color w:val="000000" w:themeColor="text1"/>
          <w:kern w:val="2"/>
          <w:sz w:val="16"/>
          <w:szCs w:val="16"/>
        </w:rPr>
        <w:t xml:space="preserve"> центр диагностики и ремонта РЛС «Момент-1М» (1989-).</w:t>
      </w:r>
    </w:p>
    <w:p w14:paraId="41CB38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«Радий»</w:t>
      </w:r>
    </w:p>
    <w:p w14:paraId="2C3439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составе ПО: ГТЗ, ГНИИРТ.</w:t>
      </w:r>
    </w:p>
    <w:p w14:paraId="6A8162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ген. директора по научной работе (1981-94 г.)- В.А. Проскурин (11982).</w:t>
      </w:r>
    </w:p>
    <w:p w14:paraId="00B5B0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68FA28" w14:textId="77777777" w:rsidR="00744DA6" w:rsidRPr="002F2FDF" w:rsidRDefault="00744D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shd w:val="clear" w:color="auto" w:fill="FFFFFF"/>
        </w:rPr>
        <w:t>В апреле 1917 полугусеничный бронеавтомобиль Гулькечвича, названный “Ахтырец” (очевидно, в честь Ахтырского полка), который успешно прошел испытания, был зачислен в Запасной бронедивизон в Петрограде. Этот дивизион принял активное участие в революционных событиях, а “Ахтырец” (переименованный со временем в “Красный Петербург”) в ноябре появился в Москве во время боев за установление Советской власти, затем в составе 3- го автобронеотряда воевал на Восточном фронте. В 1923г. он пошел на слом (грубый макет бронеавтомобиля можно увидеть в Центральном музее Вооруженных Сил в Москве) (20250).</w:t>
      </w:r>
    </w:p>
    <w:p w14:paraId="0D519372" w14:textId="77777777" w:rsidR="00744DA6" w:rsidRPr="002F2FDF" w:rsidRDefault="00744DA6" w:rsidP="0083075A">
      <w:pPr>
        <w:spacing w:after="0" w:line="240" w:lineRule="auto"/>
        <w:jc w:val="both"/>
        <w:rPr>
          <w:rFonts w:ascii="Times New Roman" w:hAnsi="Times New Roman" w:cs="Times New Roman"/>
          <w:color w:val="000000" w:themeColor="text1"/>
          <w:sz w:val="16"/>
          <w:szCs w:val="16"/>
        </w:rPr>
      </w:pPr>
    </w:p>
    <w:p w14:paraId="554B53AD" w14:textId="77777777" w:rsidR="00B027CF" w:rsidRPr="002F2FDF" w:rsidRDefault="00B027C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года ледокол «князь Пожарский» (будущий ледокол Макаров), построенный в Англии, в Нью-Касле, был мобилизован, вооружен и как вспомогательный крейсер включен в Беломорскую флотилию. 7 мая 1920 года ледокол «Князь Пожарский» получил название «Лейтенант Шмидт». В июне 1921 года ледокол был разоружен и возвращен ведомству Мортана. Моряки переименовали его с 12 июля 1921 года в «С. Макаров». Три года спустя его перевели на юг, а в 1926-м передали Мариупольскому морскому торговому порту (15732).</w:t>
      </w:r>
    </w:p>
    <w:p w14:paraId="45D5F315" w14:textId="77777777" w:rsidR="00B027CF" w:rsidRPr="002F2FDF" w:rsidRDefault="00B027CF" w:rsidP="0083075A">
      <w:pPr>
        <w:spacing w:after="0" w:line="240" w:lineRule="auto"/>
        <w:jc w:val="both"/>
        <w:rPr>
          <w:rFonts w:ascii="Times New Roman" w:hAnsi="Times New Roman" w:cs="Times New Roman"/>
          <w:color w:val="000000" w:themeColor="text1"/>
          <w:kern w:val="2"/>
          <w:sz w:val="16"/>
          <w:szCs w:val="16"/>
        </w:rPr>
      </w:pPr>
    </w:p>
    <w:p w14:paraId="3BDB4CC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71CB0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79C9AA" w14:textId="77777777" w:rsidR="003D6BB9" w:rsidRPr="002F2FDF" w:rsidRDefault="003D6BB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До апреля 1917 г. авиация сухопутных войск, согласно решению ВГК от 10 декабря 1914 г., продолжала подразделяться на легкую, находящуюся в ведении Александра Михайловича, и тяжелую (Эскадра воздушных кораблей), подчиненную НШ ВГК. Из 80 «Муромцев», выпущенных на РБВЗ за период 1914 – 1917 гг., в бою был потерян только один самолет (19566).</w:t>
      </w:r>
    </w:p>
    <w:p w14:paraId="6E3A463D" w14:textId="77777777" w:rsidR="003D6BB9" w:rsidRPr="002F2FDF" w:rsidRDefault="003D6BB9" w:rsidP="0083075A">
      <w:pPr>
        <w:spacing w:after="0" w:line="240" w:lineRule="auto"/>
        <w:jc w:val="both"/>
        <w:rPr>
          <w:rFonts w:ascii="Times New Roman" w:hAnsi="Times New Roman" w:cs="Times New Roman"/>
          <w:color w:val="000000" w:themeColor="text1"/>
          <w:sz w:val="16"/>
          <w:szCs w:val="16"/>
        </w:rPr>
      </w:pPr>
    </w:p>
    <w:p w14:paraId="4CA576F0" w14:textId="77777777" w:rsidR="00B027CF" w:rsidRPr="002F2FDF" w:rsidRDefault="00B027C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1918 г. на Всероссийской коллегии обсуждался доклад начальника отдела применения авиации Главвоздухофлота Н.А. Яцука и командира Северной группы воз</w:t>
      </w:r>
      <w:r w:rsidRPr="002F2FDF">
        <w:rPr>
          <w:rFonts w:ascii="Times New Roman" w:hAnsi="Times New Roman" w:cs="Times New Roman"/>
          <w:color w:val="000000" w:themeColor="text1"/>
          <w:kern w:val="2"/>
          <w:sz w:val="16"/>
          <w:szCs w:val="16"/>
        </w:rPr>
        <w:softHyphen/>
        <w:t>душных кораблей А.В. Панкратьева об использовании самолётов «Илья Муромец» в экс</w:t>
      </w:r>
      <w:r w:rsidRPr="002F2FDF">
        <w:rPr>
          <w:rFonts w:ascii="Times New Roman" w:hAnsi="Times New Roman" w:cs="Times New Roman"/>
          <w:color w:val="000000" w:themeColor="text1"/>
          <w:kern w:val="2"/>
          <w:sz w:val="16"/>
          <w:szCs w:val="16"/>
        </w:rPr>
        <w:softHyphen/>
        <w:t>педиции Главного гидрографического управления по исследованию Северного побе</w:t>
      </w:r>
      <w:r w:rsidRPr="002F2FDF">
        <w:rPr>
          <w:rFonts w:ascii="Times New Roman" w:hAnsi="Times New Roman" w:cs="Times New Roman"/>
          <w:color w:val="000000" w:themeColor="text1"/>
          <w:kern w:val="2"/>
          <w:sz w:val="16"/>
          <w:szCs w:val="16"/>
        </w:rPr>
        <w:softHyphen/>
        <w:t>режья. Экспедицию признали целесообразной, но, так как белые заняли Архангельск, от посылки её пришлось отказаться (15793).</w:t>
      </w:r>
    </w:p>
    <w:p w14:paraId="02D0BADF" w14:textId="77777777" w:rsidR="00B027CF" w:rsidRPr="002F2FDF" w:rsidRDefault="00B027CF" w:rsidP="0083075A">
      <w:pPr>
        <w:spacing w:after="0" w:line="240" w:lineRule="auto"/>
        <w:jc w:val="both"/>
        <w:rPr>
          <w:rFonts w:ascii="Times New Roman" w:hAnsi="Times New Roman" w:cs="Times New Roman"/>
          <w:color w:val="000000" w:themeColor="text1"/>
          <w:kern w:val="2"/>
          <w:sz w:val="16"/>
          <w:szCs w:val="16"/>
        </w:rPr>
      </w:pPr>
    </w:p>
    <w:p w14:paraId="1C9D9C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и за 6 дней марта 1917, Казаков, подводя итоги в майском докла</w:t>
      </w:r>
      <w:r w:rsidRPr="002F2FDF">
        <w:rPr>
          <w:rFonts w:ascii="Times New Roman" w:hAnsi="Times New Roman" w:cs="Times New Roman"/>
          <w:color w:val="000000" w:themeColor="text1"/>
          <w:kern w:val="2"/>
          <w:sz w:val="16"/>
          <w:szCs w:val="16"/>
        </w:rPr>
        <w:softHyphen/>
        <w:t>де командиру 7-го авиадивизиона, сообщал, что: “произведено 275 боевых по</w:t>
      </w:r>
      <w:r w:rsidRPr="002F2FDF">
        <w:rPr>
          <w:rFonts w:ascii="Times New Roman" w:hAnsi="Times New Roman" w:cs="Times New Roman"/>
          <w:color w:val="000000" w:themeColor="text1"/>
          <w:kern w:val="2"/>
          <w:sz w:val="16"/>
          <w:szCs w:val="16"/>
        </w:rPr>
        <w:softHyphen/>
        <w:t>летов, из них: разведки - 13, фотогра</w:t>
      </w:r>
      <w:r w:rsidRPr="002F2FDF">
        <w:rPr>
          <w:rFonts w:ascii="Times New Roman" w:hAnsi="Times New Roman" w:cs="Times New Roman"/>
          <w:color w:val="000000" w:themeColor="text1"/>
          <w:kern w:val="2"/>
          <w:sz w:val="16"/>
          <w:szCs w:val="16"/>
        </w:rPr>
        <w:softHyphen/>
        <w:t>фирование - 7, бомбометание - 4. Около половины полетов пошло на ох</w:t>
      </w:r>
      <w:r w:rsidRPr="002F2FDF">
        <w:rPr>
          <w:rFonts w:ascii="Times New Roman" w:hAnsi="Times New Roman" w:cs="Times New Roman"/>
          <w:color w:val="000000" w:themeColor="text1"/>
          <w:kern w:val="2"/>
          <w:sz w:val="16"/>
          <w:szCs w:val="16"/>
        </w:rPr>
        <w:softHyphen/>
        <w:t>рану и сопровождение самолетов не группы. Воздушных боев было 34, во время которых сбито на нашей терри</w:t>
      </w:r>
      <w:r w:rsidRPr="002F2FDF">
        <w:rPr>
          <w:rFonts w:ascii="Times New Roman" w:hAnsi="Times New Roman" w:cs="Times New Roman"/>
          <w:color w:val="000000" w:themeColor="text1"/>
          <w:kern w:val="2"/>
          <w:sz w:val="16"/>
          <w:szCs w:val="16"/>
        </w:rPr>
        <w:softHyphen/>
        <w:t>тории 3 неприятельских самолета и 2 - в расположении противника. Об</w:t>
      </w:r>
      <w:r w:rsidRPr="002F2FDF">
        <w:rPr>
          <w:rFonts w:ascii="Times New Roman" w:hAnsi="Times New Roman" w:cs="Times New Roman"/>
          <w:color w:val="000000" w:themeColor="text1"/>
          <w:kern w:val="2"/>
          <w:sz w:val="16"/>
          <w:szCs w:val="16"/>
        </w:rPr>
        <w:softHyphen/>
        <w:t>щее число полетов неприятельских самолетов значительно сократилось, а дальние полеты противника в наш тыл стали редким явлением”. Также Казаков сообщал, что для эффектив</w:t>
      </w:r>
      <w:r w:rsidRPr="002F2FDF">
        <w:rPr>
          <w:rFonts w:ascii="Times New Roman" w:hAnsi="Times New Roman" w:cs="Times New Roman"/>
          <w:color w:val="000000" w:themeColor="text1"/>
          <w:kern w:val="2"/>
          <w:sz w:val="16"/>
          <w:szCs w:val="16"/>
        </w:rPr>
        <w:softHyphen/>
        <w:t>ной работы авиагруппы нужны “...бы</w:t>
      </w:r>
      <w:r w:rsidRPr="002F2FDF">
        <w:rPr>
          <w:rFonts w:ascii="Times New Roman" w:hAnsi="Times New Roman" w:cs="Times New Roman"/>
          <w:color w:val="000000" w:themeColor="text1"/>
          <w:kern w:val="2"/>
          <w:sz w:val="16"/>
          <w:szCs w:val="16"/>
        </w:rPr>
        <w:softHyphen/>
        <w:t>строходные самолеты Ньюпор XVII или Спады. Из числящихся в группе 6 Монококов 3 ещё кое-как работают, но они за ветхостью в работе опасны, остальные побиты. Бебе XVII только два. Все остальные самолеты сильно обветшали и работать могут недолго. Например, 9 мая боеспособных аппа</w:t>
      </w:r>
      <w:r w:rsidRPr="002F2FDF">
        <w:rPr>
          <w:rFonts w:ascii="Times New Roman" w:hAnsi="Times New Roman" w:cs="Times New Roman"/>
          <w:color w:val="000000" w:themeColor="text1"/>
          <w:kern w:val="2"/>
          <w:sz w:val="16"/>
          <w:szCs w:val="16"/>
        </w:rPr>
        <w:softHyphen/>
        <w:t>ратов было только 6. Из положенных группе автомобилей имеется только один” (3954).</w:t>
      </w:r>
    </w:p>
    <w:p w14:paraId="65947F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DCB5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когда позволяла погода, боевая работа 1БАГ продолжалась в прежнем темпе - по 12-16 полетов в день (39-54).</w:t>
      </w:r>
    </w:p>
    <w:p w14:paraId="0A3669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676A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апреле 1917 экипажи ИМ 4-й боевой отряд под командованием капитана Р.Л.Нижевского в составе которого находились корабли: V-й №266 тип Е — штабс-капитана Г.В.Алехновича, 1Х-Й №265 тип Е — Начальника отряда, IV-й — поручика Я.Н.Шарова и III-й — капитана Е.И.Жигайлова, назначенного на румынский фронт, получили задание вылететь на фронт. 8 апреля до места назначения (с.Болгарийка под Белградом) добрались лишь IV-й и IX-й кораб­ли. У 111-го корабля из-за сильного ветра было сломано правое крыло и его пришлось доставлять для ремонта в Винницу. Корабль V-й сел в Кишиневе и лишь в мае присоединился к отряду. Первый боевой полет 4-го боевого отряда (и первый боевой полет "Муромца" типа Е) состоялся 8 апреля 1917 г. Экипаж 1Х-го корабля получил задание произвести </w:t>
      </w:r>
      <w:r w:rsidRPr="002F2FDF">
        <w:rPr>
          <w:rFonts w:ascii="Times New Roman" w:hAnsi="Times New Roman" w:cs="Times New Roman"/>
          <w:color w:val="000000" w:themeColor="text1"/>
          <w:kern w:val="2"/>
          <w:sz w:val="16"/>
          <w:szCs w:val="16"/>
        </w:rPr>
        <w:lastRenderedPageBreak/>
        <w:t>бомбометание по портовым сооружениям и складам г.Тульча, попутно осуществляя разведку и фотографирование. 116-пудовую нагрузку "муромца" составляли: 7 членов экипажа (командир, артофицер, механик, моторист и 3 пулеметчика), бензина 48 пудов, масла 8 пудов, 2 пулемета "Виккерса", 3 — "Льюиса". 2 — "Мадсена" и 10 пудовых бомб. Полет длился 3 часа 18 минут. 20 апреля в полет отправилось уже 2 машины: IV-й и IX-й корабли. Но у поручика Шарова на высоте 700 м остановился мотор и при вынужденной посадке было сломано шасси, вин­ты и передняя коробка крыльев. Его пришлось отправить в ремонт в Винницу. В мае 1917 г. из Кишинева в 4-й отряд прибыл второй "Муромец"типа Е — "V-й корабль" №266 штабс-капитана Алехновича. 31 мая оба аппарата типа Е совершили совместный налет на Тульчу, сбросив по складам и казармам неприятеля 18 пудов бомб. 17 июня V-й корабль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6E5F96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20B2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г. в 1-й боевом отряде на юго-западном фронте оставался только старый корабль XV-й типа Г-1 с "Санбимами" капитана Г.В.Клембовского. 14 и 25 числа он совершил на нем два боевых вылета, причем в последнем выдержал бой с 3 неприятельскими истребителями. В воздушном бою было сбито 2 немецких "Фоккера". Кораблю тоже досталось, но он дотянул до своего аэродрома. В начале апреля 1917 г. на аэродром у д.Микулинцы прибыл 2-й боевой отряд в составе корабля 1-го №178 под командованием ст.лейтенанта Г.И.Лаврова. В Виннице машину переооборудовали: поставили 2 мотора "Рено" 225 л.с. и 2 РБ3.6 150 л.с., сзади добавили пулеметную точку, для этого пришлось переделать хвостовую часть — она стала двухкилевой. С августа 1917 г. 2-й и 3-й боевые отряды ЭВК стали совершать групповые полеты (3-4 корабля). Иногда "Муромцев" прикрывали истребители 1-й боевой авиагруппы (2-й, 4-й и 19-й корпусные отряды) ротмистра А.А.Козакова, которые совершили на охрану 17 самолето-вылетов. За весь 1917 год Эскадра совершила около 70 боевых полетов, сбросив на противника до 650 пудов бомб. За всю германскую кампанию из 51 боевого корабля, поступивших на фронт, воевало около 40 машин. Они совершили до 300 вылетов, сбросив около 3000 пудов бомб (11277).</w:t>
      </w:r>
    </w:p>
    <w:p w14:paraId="555DD0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93158F" w14:textId="77777777" w:rsidR="00875D28" w:rsidRPr="00FB4F67" w:rsidRDefault="00875D2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апреле 1917 г. 1-й боевой отряд располагался, как и в прошлом году, около Ягельницы. После перевода Панкратьева на должность помощника началь</w:t>
      </w:r>
      <w:r w:rsidRPr="00FB4F67">
        <w:rPr>
          <w:rFonts w:ascii="Times New Roman" w:hAnsi="Times New Roman" w:cs="Times New Roman"/>
          <w:color w:val="0070C0"/>
          <w:sz w:val="16"/>
          <w:szCs w:val="16"/>
        </w:rPr>
        <w:softHyphen/>
        <w:t>ника Эскадры отряд возглавляли по очереди штабс-капитан Соловьёв, штабс-капитан Никольской, рот</w:t>
      </w:r>
      <w:r w:rsidRPr="00FB4F67">
        <w:rPr>
          <w:rFonts w:ascii="Times New Roman" w:hAnsi="Times New Roman" w:cs="Times New Roman"/>
          <w:color w:val="0070C0"/>
          <w:sz w:val="16"/>
          <w:szCs w:val="16"/>
        </w:rPr>
        <w:softHyphen/>
        <w:t>мистр Середницкий и капитан Клембовский. В одном из боевых вылетов экипажу BK-XV Клембовского удалось доблестно отбиться от атак пяти истребителей, «зава</w:t>
      </w:r>
      <w:r w:rsidRPr="00FB4F67">
        <w:rPr>
          <w:rFonts w:ascii="Times New Roman" w:hAnsi="Times New Roman" w:cs="Times New Roman"/>
          <w:color w:val="0070C0"/>
          <w:sz w:val="16"/>
          <w:szCs w:val="16"/>
        </w:rPr>
        <w:softHyphen/>
        <w:t>лив» из них два.</w:t>
      </w:r>
    </w:p>
    <w:p w14:paraId="44AED4A2" w14:textId="77777777" w:rsidR="00875D28" w:rsidRPr="00FB4F67" w:rsidRDefault="00875D2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Сюда же в Галицию под Гусятин в апреле 1917 г. переба</w:t>
      </w:r>
      <w:r w:rsidRPr="00FB4F67">
        <w:rPr>
          <w:rFonts w:ascii="Times New Roman" w:hAnsi="Times New Roman" w:cs="Times New Roman"/>
          <w:color w:val="0070C0"/>
          <w:sz w:val="16"/>
          <w:szCs w:val="16"/>
        </w:rPr>
        <w:softHyphen/>
        <w:t>зировался с Западного фронта и 3-й боевой отряд капитана Башко. С июня по сентябрь отряд выпол</w:t>
      </w:r>
      <w:r w:rsidRPr="00FB4F67">
        <w:rPr>
          <w:rFonts w:ascii="Times New Roman" w:hAnsi="Times New Roman" w:cs="Times New Roman"/>
          <w:color w:val="0070C0"/>
          <w:sz w:val="16"/>
          <w:szCs w:val="16"/>
        </w:rPr>
        <w:softHyphen/>
        <w:t>нял боевую работу вместе с 1-м в полосе действия 7-й армии. «Му</w:t>
      </w:r>
      <w:r w:rsidRPr="00FB4F67">
        <w:rPr>
          <w:rFonts w:ascii="Times New Roman" w:hAnsi="Times New Roman" w:cs="Times New Roman"/>
          <w:color w:val="0070C0"/>
          <w:sz w:val="16"/>
          <w:szCs w:val="16"/>
        </w:rPr>
        <w:softHyphen/>
        <w:t>ромцы» летали на бомбёжку, раз</w:t>
      </w:r>
      <w:r w:rsidRPr="00FB4F67">
        <w:rPr>
          <w:rFonts w:ascii="Times New Roman" w:hAnsi="Times New Roman" w:cs="Times New Roman"/>
          <w:color w:val="0070C0"/>
          <w:sz w:val="16"/>
          <w:szCs w:val="16"/>
        </w:rPr>
        <w:softHyphen/>
        <w:t>ведку, отражали атаки истребите</w:t>
      </w:r>
      <w:r w:rsidRPr="00FB4F67">
        <w:rPr>
          <w:rFonts w:ascii="Times New Roman" w:hAnsi="Times New Roman" w:cs="Times New Roman"/>
          <w:color w:val="0070C0"/>
          <w:sz w:val="16"/>
          <w:szCs w:val="16"/>
        </w:rPr>
        <w:softHyphen/>
        <w:t>лей. 19 июля «Киевский» во время бомбометания подвергся нападе</w:t>
      </w:r>
      <w:r w:rsidRPr="00FB4F67">
        <w:rPr>
          <w:rFonts w:ascii="Times New Roman" w:hAnsi="Times New Roman" w:cs="Times New Roman"/>
          <w:color w:val="0070C0"/>
          <w:sz w:val="16"/>
          <w:szCs w:val="16"/>
        </w:rPr>
        <w:softHyphen/>
        <w:t>нию целой группы. Башко не ушел от цели, пока не сбросил все бом</w:t>
      </w:r>
      <w:r w:rsidRPr="00FB4F67">
        <w:rPr>
          <w:rFonts w:ascii="Times New Roman" w:hAnsi="Times New Roman" w:cs="Times New Roman"/>
          <w:color w:val="0070C0"/>
          <w:sz w:val="16"/>
          <w:szCs w:val="16"/>
        </w:rPr>
        <w:softHyphen/>
        <w:t>бы, а потом по дороге домой ус</w:t>
      </w:r>
      <w:r w:rsidRPr="00FB4F67">
        <w:rPr>
          <w:rFonts w:ascii="Times New Roman" w:hAnsi="Times New Roman" w:cs="Times New Roman"/>
          <w:color w:val="0070C0"/>
          <w:sz w:val="16"/>
          <w:szCs w:val="16"/>
        </w:rPr>
        <w:softHyphen/>
        <w:t>пешно отбивался. Три истребителя противника ушли к земле.</w:t>
      </w:r>
    </w:p>
    <w:p w14:paraId="022021D9" w14:textId="77777777" w:rsidR="00875D28" w:rsidRPr="00FB4F67" w:rsidRDefault="00875D2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4-й боевой отряд под командова</w:t>
      </w:r>
      <w:r w:rsidRPr="00FB4F67">
        <w:rPr>
          <w:rFonts w:ascii="Times New Roman" w:hAnsi="Times New Roman" w:cs="Times New Roman"/>
          <w:color w:val="0070C0"/>
          <w:sz w:val="16"/>
          <w:szCs w:val="16"/>
        </w:rPr>
        <w:softHyphen/>
        <w:t>нием капитана Нижевского базиро</w:t>
      </w:r>
      <w:r w:rsidRPr="00FB4F67">
        <w:rPr>
          <w:rFonts w:ascii="Times New Roman" w:hAnsi="Times New Roman" w:cs="Times New Roman"/>
          <w:color w:val="0070C0"/>
          <w:sz w:val="16"/>
          <w:szCs w:val="16"/>
        </w:rPr>
        <w:softHyphen/>
        <w:t>вался с апреля 1917 г. на аэродроме в Белграде и действовал в интере</w:t>
      </w:r>
      <w:r w:rsidRPr="00FB4F67">
        <w:rPr>
          <w:rFonts w:ascii="Times New Roman" w:hAnsi="Times New Roman" w:cs="Times New Roman"/>
          <w:color w:val="0070C0"/>
          <w:sz w:val="16"/>
          <w:szCs w:val="16"/>
        </w:rPr>
        <w:softHyphen/>
        <w:t>сах 6-й армии Румынского фронта. Основную тяжесть всей работы нёс командирский BK-IX типа «Илья Муромец-Е». В одном из полётов от разрыва зенитного снаряда заго</w:t>
      </w:r>
      <w:r w:rsidRPr="00FB4F67">
        <w:rPr>
          <w:rFonts w:ascii="Times New Roman" w:hAnsi="Times New Roman" w:cs="Times New Roman"/>
          <w:color w:val="0070C0"/>
          <w:sz w:val="16"/>
          <w:szCs w:val="16"/>
        </w:rPr>
        <w:softHyphen/>
        <w:t>релся двигатель. Мотористы с огне</w:t>
      </w:r>
      <w:r w:rsidRPr="00FB4F67">
        <w:rPr>
          <w:rFonts w:ascii="Times New Roman" w:hAnsi="Times New Roman" w:cs="Times New Roman"/>
          <w:color w:val="0070C0"/>
          <w:sz w:val="16"/>
          <w:szCs w:val="16"/>
        </w:rPr>
        <w:softHyphen/>
        <w:t>тушителями выскочили на крыло и затушили пожар. Нижевский на трёх моторах вернулся на аэро</w:t>
      </w:r>
      <w:r w:rsidRPr="00FB4F67">
        <w:rPr>
          <w:rFonts w:ascii="Times New Roman" w:hAnsi="Times New Roman" w:cs="Times New Roman"/>
          <w:color w:val="0070C0"/>
          <w:sz w:val="16"/>
          <w:szCs w:val="16"/>
        </w:rPr>
        <w:softHyphen/>
        <w:t>дром. В другом полёте вражеские истребители вывели из строя два мотора «Муромец-Е», тем не менее экипаж Нижевского выполнил зада</w:t>
      </w:r>
      <w:r w:rsidRPr="00FB4F67">
        <w:rPr>
          <w:rFonts w:ascii="Times New Roman" w:hAnsi="Times New Roman" w:cs="Times New Roman"/>
          <w:color w:val="0070C0"/>
          <w:sz w:val="16"/>
          <w:szCs w:val="16"/>
        </w:rPr>
        <w:softHyphen/>
        <w:t>ние, уничтожил одного из нападав</w:t>
      </w:r>
      <w:r w:rsidRPr="00FB4F67">
        <w:rPr>
          <w:rFonts w:ascii="Times New Roman" w:hAnsi="Times New Roman" w:cs="Times New Roman"/>
          <w:color w:val="0070C0"/>
          <w:sz w:val="16"/>
          <w:szCs w:val="16"/>
        </w:rPr>
        <w:softHyphen/>
        <w:t>ших и вернулся на базу.</w:t>
      </w:r>
    </w:p>
    <w:p w14:paraId="25BF30E4" w14:textId="77777777" w:rsidR="00875D28" w:rsidRPr="00FB4F67" w:rsidRDefault="00875D2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Среди воздушных боёв за всю войну’ один следует отметить особо. Такого результата в воздушном бою не добивался никто. 18 июня 1917 г. входивший в состав 3-го отряда ВК- IV под командованием одного из ветеранов Эскадры капитана Шаро</w:t>
      </w:r>
      <w:r w:rsidRPr="00FB4F67">
        <w:rPr>
          <w:rFonts w:ascii="Times New Roman" w:hAnsi="Times New Roman" w:cs="Times New Roman"/>
          <w:color w:val="0070C0"/>
          <w:sz w:val="16"/>
          <w:szCs w:val="16"/>
        </w:rPr>
        <w:softHyphen/>
        <w:t>ва вылетел на бомбёжку. Над целью его встретили три истребителя. При попытке атаковать два были сбиты. Третий уклонился от боя. Вскоре появилось ещё пять. Их встретили дружным огнём из трёх пулемётов. Два истребителя заку</w:t>
      </w:r>
      <w:r w:rsidRPr="00FB4F67">
        <w:rPr>
          <w:rFonts w:ascii="Times New Roman" w:hAnsi="Times New Roman" w:cs="Times New Roman"/>
          <w:color w:val="0070C0"/>
          <w:sz w:val="16"/>
          <w:szCs w:val="16"/>
        </w:rPr>
        <w:softHyphen/>
        <w:t>выркались вниз, третий стал сни</w:t>
      </w:r>
      <w:r w:rsidRPr="00FB4F67">
        <w:rPr>
          <w:rFonts w:ascii="Times New Roman" w:hAnsi="Times New Roman" w:cs="Times New Roman"/>
          <w:color w:val="0070C0"/>
          <w:sz w:val="16"/>
          <w:szCs w:val="16"/>
        </w:rPr>
        <w:softHyphen/>
        <w:t>жаться кругами. Четвёртый и пятый шарахнулись в сторону. Пять сби</w:t>
      </w:r>
      <w:r w:rsidRPr="00FB4F67">
        <w:rPr>
          <w:rFonts w:ascii="Times New Roman" w:hAnsi="Times New Roman" w:cs="Times New Roman"/>
          <w:color w:val="0070C0"/>
          <w:sz w:val="16"/>
          <w:szCs w:val="16"/>
        </w:rPr>
        <w:softHyphen/>
        <w:t>тых из восьми возможных! Но и «Муромцу» досталось. Весь (!) эки</w:t>
      </w:r>
      <w:r w:rsidRPr="00FB4F67">
        <w:rPr>
          <w:rFonts w:ascii="Times New Roman" w:hAnsi="Times New Roman" w:cs="Times New Roman"/>
          <w:color w:val="0070C0"/>
          <w:sz w:val="16"/>
          <w:szCs w:val="16"/>
        </w:rPr>
        <w:softHyphen/>
        <w:t>паж был ранен и с трудом дотянул до своего аэродрома (23469).</w:t>
      </w:r>
    </w:p>
    <w:p w14:paraId="32C35101" w14:textId="77777777" w:rsidR="00875D28" w:rsidRPr="00FB4F67" w:rsidRDefault="00875D28" w:rsidP="0083075A">
      <w:pPr>
        <w:spacing w:after="0" w:line="240" w:lineRule="auto"/>
        <w:jc w:val="both"/>
        <w:rPr>
          <w:rFonts w:ascii="Times New Roman" w:hAnsi="Times New Roman" w:cs="Times New Roman"/>
          <w:color w:val="0070C0"/>
          <w:sz w:val="16"/>
          <w:szCs w:val="16"/>
        </w:rPr>
      </w:pPr>
    </w:p>
    <w:p w14:paraId="0A076A5C" w14:textId="77777777" w:rsidR="00875D28" w:rsidRPr="00FB4F67" w:rsidRDefault="00875D2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апреле 1917 г. произошли серьёзные изменения в составе ЭВК. Военный министр Временного правительства отправил в отставку командира эскадрильи генерала М. В. Шидловского. Вместе с командиром эскадру покинул Игорь Сикорский. Октябрьский переворот 1917 г. круто изменил судьбу знаменитого конструктора. С середины года все работы на РБВЗ практически остановились. Ни один из самолетов новой конструкции (С-21-С-27) не был достроен (23485).</w:t>
      </w:r>
    </w:p>
    <w:p w14:paraId="5987FA7A" w14:textId="77777777" w:rsidR="00875D28" w:rsidRPr="00FB4F67" w:rsidRDefault="00875D28" w:rsidP="0083075A">
      <w:pPr>
        <w:spacing w:after="0" w:line="240" w:lineRule="auto"/>
        <w:jc w:val="both"/>
        <w:rPr>
          <w:rFonts w:ascii="Times New Roman" w:hAnsi="Times New Roman" w:cs="Times New Roman"/>
          <w:color w:val="0070C0"/>
          <w:sz w:val="16"/>
          <w:szCs w:val="16"/>
        </w:rPr>
      </w:pPr>
    </w:p>
    <w:p w14:paraId="0B0A75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г. на Юго-Западном фронте оставался только старый корабль XV-й типа Г-1 с "Санбимами" капитана Г.В.Клембовского. 14 и 25 числа он совершил на нем два боевых вылета, причем в последнем выдержал бой с 3 неприятельскими истребителями. В воздушном бою было сбито 2 немецких "Фоккера". Кораблю тоже досталось, но он дотянул до своего аэродрома (12038).</w:t>
      </w:r>
    </w:p>
    <w:p w14:paraId="2B4A71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02C8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г. ИМ с кормовой стрелковой установкой и "кинжальной" в люке, стрелявшей вниз-назад сбил два из трех атаковавших немецких истребителей. Измененное шасси позволяло подвешивать снаружи под фюзеляжем бомбы большого калибра. Развитием этого варианта стал "тип Г-3" с шестью пулеметами. С начала 1916 г. РБВЗ начал поставлять "Муромцы" "типа Г" с удлиненными крыльями и английскими моторами "Санбим", а затем "типа Г-2" с отечественными двигателями МРБ-6 или РБВЗ-6 (оба в 150-160 л.е.), а также французскими "Рено" по 225 л.е., собранными на заводе в Петрограде. Последние серии шли как "тип Г-2бис" с оборонительным вооружением из пяти-шести пулеметов (12036).</w:t>
      </w:r>
    </w:p>
    <w:p w14:paraId="1FD78F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A123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состоялась последняя операция авиатранспорта Авиатора (б. Николай 1), в ходе которой бомбили Синоп. Черноморские авиатранспорты были переименованы в феврале 1917. Александр 1 стал Республиканцем (553,69).</w:t>
      </w:r>
    </w:p>
    <w:p w14:paraId="5FC9F4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B973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г. выходит "Временное положение о главном полевом санитарном инспекторе при штабе Верховного главнокомандующего" и объявляется штат его управления. Находясь при Ставке, это должностное лицо обязано было координировать работу медицинской службы фронтов, следить за наиболее целесообразным использованием имевшихся медицинских сил и средств, в том числе РОКК, Всероссийских союзов земств и городов, на театре военных действий. Главным полевым военно-санитарным инспектором некоторое время был А.Я. Евдокимов, затем Н.Н. Бурденко, В.А. Юревич, Н.А. Вельяминов, Л.А. Тарасович и П.Н. Диатроптов (9090).</w:t>
      </w:r>
    </w:p>
    <w:p w14:paraId="2299F1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D48A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года Управление полевого генерал-инспектора Военно-воздушного флота при Верховном главнокомандующем было переформировано в Полевое управление авиации и воздухоплавания (ПУАВ) при Штабе Верховного главнокомандующего (11168).</w:t>
      </w:r>
    </w:p>
    <w:p w14:paraId="22D37B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2AD7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1917-го военного летчика Ульянина назначили начальником реорганизованного после февральской революции Полевого управления авиации и воздухоплавания при штабе Верховного главнокомандующего. Однако, вернувшись из-за границы 2 июня и вступив в должность, он 7-го июня попросил назначить на эту должность другого человека, а сам решил сосредоточить свои усилия на “организации авиационных школ по образцу французских”.</w:t>
      </w:r>
    </w:p>
    <w:p w14:paraId="54A6BA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Именно для этого он привез с собой из Франции несколько весьма опытных в школьном деле французских офицеров. Просьба Ульянина была удовлетворена, и он получил должность помощника начальника Управления военного воздушного флота, а с декабря 1917-го стал начальником этого управления (11237).</w:t>
      </w:r>
    </w:p>
    <w:p w14:paraId="1B5196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F9C5BA" w14:textId="5C491D6F" w:rsidR="00F452AA" w:rsidRPr="002F2FDF" w:rsidRDefault="00F452AA" w:rsidP="0083075A">
      <w:pPr>
        <w:pStyle w:val="ae"/>
        <w:shd w:val="clear" w:color="auto" w:fill="FFFFFF"/>
        <w:spacing w:before="0" w:after="0"/>
        <w:jc w:val="both"/>
        <w:rPr>
          <w:color w:val="000000" w:themeColor="text1"/>
          <w:sz w:val="16"/>
          <w:szCs w:val="16"/>
        </w:rPr>
      </w:pPr>
      <w:r w:rsidRPr="002F2FDF">
        <w:rPr>
          <w:color w:val="000000" w:themeColor="text1"/>
          <w:sz w:val="16"/>
          <w:szCs w:val="16"/>
        </w:rPr>
        <w:t>В апреле 1917 года по распоряжению Временного правительства Эстонии началось создание первых эстонских подразделений. В ноябре 1918 года в составе инженерных войск была сформирована лётная полурота, в декабре преобразованная в роту, а в марте 1919 года</w:t>
      </w:r>
      <w:r w:rsidR="00E52569">
        <w:rPr>
          <w:color w:val="000000" w:themeColor="text1"/>
          <w:sz w:val="16"/>
          <w:szCs w:val="16"/>
        </w:rPr>
        <w:t xml:space="preserve"> </w:t>
      </w:r>
      <w:r w:rsidRPr="002F2FDF">
        <w:rPr>
          <w:color w:val="000000" w:themeColor="text1"/>
          <w:sz w:val="16"/>
          <w:szCs w:val="16"/>
        </w:rPr>
        <w:t>— в «авиационный отряд». Парк авиации состоял из самолётов, оставшихся от Императорской армии, Северо-Западной белой армии Юденича, предоставленных Финляндией и Великобританией, а также захваченных трофеями. К концу 1919 года ВВС Эстонии насчитывали 40 самолётов (21186).</w:t>
      </w:r>
    </w:p>
    <w:p w14:paraId="5323642F" w14:textId="77777777" w:rsidR="00F452AA" w:rsidRPr="002F2FDF" w:rsidRDefault="00F452AA" w:rsidP="0083075A">
      <w:pPr>
        <w:pStyle w:val="ae"/>
        <w:shd w:val="clear" w:color="auto" w:fill="FFFFFF"/>
        <w:spacing w:before="0" w:after="0"/>
        <w:jc w:val="both"/>
        <w:rPr>
          <w:color w:val="000000" w:themeColor="text1"/>
          <w:sz w:val="16"/>
          <w:szCs w:val="16"/>
        </w:rPr>
      </w:pPr>
    </w:p>
    <w:p w14:paraId="7333DA62" w14:textId="77777777" w:rsidR="00E953F4" w:rsidRPr="00FB4F67" w:rsidRDefault="00E953F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апреле 1917 г. в Севастополе был расформирован 3-й авиационный батальон Черноморского флота (23525).</w:t>
      </w:r>
    </w:p>
    <w:p w14:paraId="274DE853" w14:textId="77777777" w:rsidR="00E953F4" w:rsidRPr="00FB4F67" w:rsidRDefault="00E953F4" w:rsidP="0083075A">
      <w:pPr>
        <w:spacing w:after="0" w:line="240" w:lineRule="auto"/>
        <w:jc w:val="both"/>
        <w:rPr>
          <w:rFonts w:ascii="Times New Roman" w:hAnsi="Times New Roman" w:cs="Times New Roman"/>
          <w:color w:val="0070C0"/>
          <w:sz w:val="16"/>
          <w:szCs w:val="16"/>
        </w:rPr>
      </w:pPr>
    </w:p>
    <w:p w14:paraId="72D68267" w14:textId="77777777" w:rsidR="00E953F4" w:rsidRPr="00FB4F67" w:rsidRDefault="00E953F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апреле 1917 г. на Юго-Западном фронте немцы Siidarmee сформировали истребительную часть, известную как Jagdkommando (Jasta Sud), с истребителями Roland D.II (23525).</w:t>
      </w:r>
    </w:p>
    <w:p w14:paraId="2A55A9D9" w14:textId="77777777" w:rsidR="00E953F4" w:rsidRPr="00FB4F67" w:rsidRDefault="00E953F4" w:rsidP="0083075A">
      <w:pPr>
        <w:spacing w:after="0" w:line="240" w:lineRule="auto"/>
        <w:jc w:val="both"/>
        <w:rPr>
          <w:rFonts w:ascii="Times New Roman" w:hAnsi="Times New Roman" w:cs="Times New Roman"/>
          <w:color w:val="0070C0"/>
          <w:sz w:val="16"/>
          <w:szCs w:val="16"/>
        </w:rPr>
      </w:pPr>
    </w:p>
    <w:p w14:paraId="3361AA32" w14:textId="77777777" w:rsidR="00E953F4" w:rsidRPr="00FB4F67" w:rsidRDefault="00E953F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В апреле 1917 г. французский ESC.N.581 и ESC.SOP.5.82. прибыл в Мурманск для службы на Русском фронте. ESC.N.581 возглавлял лейтенант де Гейдон и был оснащен самолетами Nieuport XVII и одним Spad VII (позже получил еще семь Spad VII), а ESC.SOP.582 - самолетами Sopwith 1 1/2 Strutter (оборудованными для фоторазведки и артиллерийская коррекция) (впоследствии с Дораном А.Р. Исом), возглавил капитан Балавуан.</w:t>
      </w:r>
    </w:p>
    <w:p w14:paraId="44CB1B21" w14:textId="77777777" w:rsidR="00E953F4" w:rsidRPr="00FB4F67" w:rsidRDefault="00E953F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Они переехали в Москву, а затем в Киев, где был создан французский воздушный парк во главе с капитаном Майером. В авиапарке имелось два поезда-мастерских для обслуживания частей на фронте. В мае две эскадрильи были приданы 7-й русской армии со штабом в Бучаче. ESC.N.581 прибыл в Гусятин 20 мая (действуя вместе с 19-й КАО Козакова), и вскоре за ним последовал ESC. SOP.582, аэродром которого находился в Чорткове (23525).</w:t>
      </w:r>
    </w:p>
    <w:p w14:paraId="3EDC8818" w14:textId="77777777" w:rsidR="00E953F4" w:rsidRPr="00FB4F67" w:rsidRDefault="00E953F4" w:rsidP="0083075A">
      <w:pPr>
        <w:spacing w:after="0" w:line="240" w:lineRule="auto"/>
        <w:jc w:val="both"/>
        <w:rPr>
          <w:rFonts w:ascii="Times New Roman" w:hAnsi="Times New Roman" w:cs="Times New Roman"/>
          <w:color w:val="0070C0"/>
          <w:sz w:val="16"/>
          <w:szCs w:val="16"/>
        </w:rPr>
      </w:pPr>
    </w:p>
    <w:p w14:paraId="1DDEAD6F" w14:textId="77777777" w:rsidR="00E953F4" w:rsidRPr="00FB4F67" w:rsidRDefault="00E953F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 апрель 1917 г., по оценке помощника главнокомандующего армиями Румынского фронта генерала от кавалерии В.В. Сахарова, только для минимальных нужд фронта требовалось до 28 зенитных батарей, из которых 10 подразделений необходимо было для охраны артиллерийских складов и штабов, а 18 батарей - для прикрытия железнодорожных станций и войсковых складов.</w:t>
      </w:r>
    </w:p>
    <w:p w14:paraId="02B02FC7" w14:textId="77777777" w:rsidR="00E953F4" w:rsidRPr="00FB4F67" w:rsidRDefault="00E953F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Всего фронт располагал лишь семью штатными зенитными батареями (28 орудий), то есть в четыре раза меньше, чем этого требовала боевая обстановка. Определенный расчет строился на мобильные зенитные подразделения, вооруженные специальными орудиями и пулеметами. На территорию Румынии были переброшены 3-я и 8-я отдельные автомобильные, 3-я отдельная бронированная, 4-я железнодорожная противосамолетные батареи. Определенный дефицит зенитных средств ощущался и на других фронтах. Для его восполнения, например, в состав Западного фронта были включены: 6</w:t>
      </w:r>
      <w:r w:rsidRPr="00FB4F67">
        <w:rPr>
          <w:rFonts w:ascii="Times New Roman" w:hAnsi="Times New Roman" w:cs="Times New Roman"/>
          <w:color w:val="0070C0"/>
          <w:sz w:val="16"/>
          <w:szCs w:val="16"/>
        </w:rPr>
        <w:softHyphen/>
        <w:t>я отдельная зенитная автомобильная, 1-я отдельная зенитная бронированная, 1-я и 8-я зенитные железнодорожные батареи.</w:t>
      </w:r>
    </w:p>
    <w:p w14:paraId="3C259E77" w14:textId="77777777" w:rsidR="00E953F4" w:rsidRPr="00FB4F67" w:rsidRDefault="00E953F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Особый интерес представляла 3-я отдельная автомобильная зенитная батарея (подполковник В.А. Величко), сформированная в июле 1916 г. в Царском Селе. Позднее штат батареи был укомплектован за счет 45 нижних чинов 1-й запасной автомобильной роты (г. Одесса). Большинство личного состава подразделения являлись выходцами из 1-й отдельной автомобильной батареи, имевшей богатый опыт в борьбе с воздушным противником. Отличились они и на Румынском фронте. Так, в приказе командующего 4-й армией генерала от инфантерии А.Ф. Рагоза от 27 апреля 1917 г. № 4513 за «отличное усердие и особо - ревностную службу и труды» наградами были отмечены 27 нижних чинов батареи (25 % численного состава).</w:t>
      </w:r>
    </w:p>
    <w:p w14:paraId="0A3D056A" w14:textId="77777777" w:rsidR="00E953F4" w:rsidRPr="00FB4F67" w:rsidRDefault="00E953F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Несмотря на значительный рост зенитной артиллерии, приоритет в борьбе с воздушным противником по-прежнему отдавался ВВФ действующей армии, что нашло отражение в еженедельных сводках боевых действий (23405).</w:t>
      </w:r>
    </w:p>
    <w:p w14:paraId="6205773E" w14:textId="77777777" w:rsidR="00E953F4" w:rsidRPr="00FB4F67" w:rsidRDefault="00E953F4" w:rsidP="0083075A">
      <w:pPr>
        <w:spacing w:after="0" w:line="240" w:lineRule="auto"/>
        <w:jc w:val="both"/>
        <w:rPr>
          <w:rFonts w:ascii="Times New Roman" w:hAnsi="Times New Roman" w:cs="Times New Roman"/>
          <w:color w:val="0070C0"/>
          <w:sz w:val="16"/>
          <w:szCs w:val="16"/>
        </w:rPr>
      </w:pPr>
    </w:p>
    <w:p w14:paraId="06BC6729" w14:textId="77777777" w:rsidR="00E953F4" w:rsidRPr="00FB4F67" w:rsidRDefault="00E953F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течение апреля 1917 г. боевые действия на Русском фронте оставались спокойными. Полковые ревкомы стали играть большую роль в военных действиях и даже назначениях командования. Противник внимательно наблюдал за обстановкой (23525).</w:t>
      </w:r>
    </w:p>
    <w:p w14:paraId="04CE3703" w14:textId="77777777" w:rsidR="00E953F4" w:rsidRPr="00FB4F67" w:rsidRDefault="00E953F4" w:rsidP="0083075A">
      <w:pPr>
        <w:spacing w:after="0" w:line="240" w:lineRule="auto"/>
        <w:jc w:val="both"/>
        <w:rPr>
          <w:rFonts w:ascii="Times New Roman" w:hAnsi="Times New Roman" w:cs="Times New Roman"/>
          <w:color w:val="0070C0"/>
          <w:sz w:val="16"/>
          <w:szCs w:val="16"/>
        </w:rPr>
      </w:pPr>
    </w:p>
    <w:p w14:paraId="24184BB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31E16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461912E" w14:textId="77777777" w:rsidR="00AC7BEF" w:rsidRPr="002F2FDF" w:rsidRDefault="00AC7BE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апреле 1917 года при Министерстве народного просвещения была создана Комиссия по учёным учреждениям с довольно представительным составом. В неё вошли известные учёные: В.И. Вернадский, Н.С. Курнаков, С.Ф. Ольденбург и др. Комиссия разработала программу по развитию науки в стране. Но денег на её осуществление так и не получила (19546).</w:t>
      </w:r>
    </w:p>
    <w:p w14:paraId="6E0B75D0" w14:textId="77777777" w:rsidR="00AC7BEF" w:rsidRPr="002F2FDF" w:rsidRDefault="00AC7BEF" w:rsidP="0083075A">
      <w:pPr>
        <w:spacing w:after="0" w:line="240" w:lineRule="auto"/>
        <w:jc w:val="both"/>
        <w:rPr>
          <w:rFonts w:ascii="Times New Roman" w:hAnsi="Times New Roman" w:cs="Times New Roman"/>
          <w:color w:val="000000" w:themeColor="text1"/>
          <w:sz w:val="16"/>
          <w:szCs w:val="16"/>
        </w:rPr>
      </w:pPr>
    </w:p>
    <w:p w14:paraId="1BF7FFAF" w14:textId="77777777" w:rsidR="00F452AA" w:rsidRPr="002F2FDF" w:rsidRDefault="00F452A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апреле 1917 года при Министерстве народного просвещения была создана Комиссия по учёным учреждениям с довольно представительным составом. В неё вошли известные учёные: В.И. Вернадский, Н.С. Курнаков, С.Ф. Ольденбург и др. Комиссия разработала программу по развитию науки в стране. Но денег на её осуществление так и не получила. Временное правительство в 1917 году пыталось изменить отношение к научным организациям и к науке в целом (19546).</w:t>
      </w:r>
    </w:p>
    <w:p w14:paraId="14189BBE" w14:textId="77777777" w:rsidR="00F452AA" w:rsidRPr="002F2FDF" w:rsidRDefault="00F452AA" w:rsidP="0083075A">
      <w:pPr>
        <w:spacing w:after="0" w:line="240" w:lineRule="auto"/>
        <w:jc w:val="both"/>
        <w:rPr>
          <w:rFonts w:ascii="Times New Roman" w:hAnsi="Times New Roman" w:cs="Times New Roman"/>
          <w:color w:val="000000" w:themeColor="text1"/>
          <w:sz w:val="16"/>
          <w:szCs w:val="16"/>
        </w:rPr>
      </w:pPr>
    </w:p>
    <w:p w14:paraId="48B3A0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апреля 1917 Романов на Мурмане стал Мурманском</w:t>
      </w:r>
    </w:p>
    <w:p w14:paraId="2E14C2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7D49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в Оренбурге состоялся первый Пан-Киргизский (Казахский) Конгресс (2955).</w:t>
      </w:r>
    </w:p>
    <w:p w14:paraId="7A6683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C6310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2F2FDF">
        <w:rPr>
          <w:rFonts w:ascii="Times New Roman" w:hAnsi="Times New Roman" w:cs="Times New Roman"/>
          <w:i/>
          <w:iCs/>
          <w:color w:val="000000" w:themeColor="text1"/>
          <w:kern w:val="2"/>
          <w:sz w:val="16"/>
          <w:szCs w:val="16"/>
        </w:rPr>
        <w:t>Внешняя</w:t>
      </w:r>
      <w:r w:rsidRPr="002F2FDF">
        <w:rPr>
          <w:rFonts w:ascii="Times New Roman" w:hAnsi="Times New Roman" w:cs="Times New Roman"/>
          <w:i/>
          <w:iCs/>
          <w:color w:val="000000" w:themeColor="text1"/>
          <w:kern w:val="2"/>
          <w:sz w:val="16"/>
          <w:szCs w:val="16"/>
          <w:lang w:val="en-US"/>
        </w:rPr>
        <w:t xml:space="preserve"> </w:t>
      </w:r>
      <w:r w:rsidRPr="002F2FDF">
        <w:rPr>
          <w:rFonts w:ascii="Times New Roman" w:hAnsi="Times New Roman" w:cs="Times New Roman"/>
          <w:i/>
          <w:iCs/>
          <w:color w:val="000000" w:themeColor="text1"/>
          <w:kern w:val="2"/>
          <w:sz w:val="16"/>
          <w:szCs w:val="16"/>
        </w:rPr>
        <w:t>политика</w:t>
      </w:r>
      <w:r w:rsidRPr="002F2FDF">
        <w:rPr>
          <w:rFonts w:ascii="Times New Roman" w:hAnsi="Times New Roman" w:cs="Times New Roman"/>
          <w:i/>
          <w:iCs/>
          <w:color w:val="000000" w:themeColor="text1"/>
          <w:kern w:val="2"/>
          <w:sz w:val="16"/>
          <w:szCs w:val="16"/>
          <w:lang w:val="en-US"/>
        </w:rPr>
        <w:t>:</w:t>
      </w:r>
    </w:p>
    <w:p w14:paraId="5352A5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4A39A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April 1917 Germans transport Vladimir Lenin from Switzerland to Russia (1769).</w:t>
      </w:r>
    </w:p>
    <w:p w14:paraId="335BD4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64F9D2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немцы пропустили большевиков и В.И.Л. в Россию (1769).</w:t>
      </w:r>
    </w:p>
    <w:p w14:paraId="5EFFE0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5799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союзники направили в Россию специальные миссии с целью получения подтверждения новой власти вести войну до победы (1348,114).</w:t>
      </w:r>
    </w:p>
    <w:p w14:paraId="50B180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9A0D6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501F1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92131A" w14:textId="77777777" w:rsidR="002B4021" w:rsidRPr="002F2FDF" w:rsidRDefault="002B4021"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года на Западном фронте разгорелись воздушные бои невиданного ожесточения и интенсивности. Благодаря своей новой технике и тактике, немцам удалось вырвать инициативу из рук летчиков Антанты:</w:t>
      </w:r>
    </w:p>
    <w:p w14:paraId="7CF38BE8" w14:textId="77777777" w:rsidR="002B4021" w:rsidRPr="002F2FDF" w:rsidRDefault="002B4021"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«Если французские летчики, в соответствии с указаниями своего высшего командования, ограничивались тем, что затрудняли глубокую разведку, то англичане развивали более бурную деятельность. Главным образом на английском фронте в первую неделю апреля из воздушных схваток отдельных истребительных отрядов развились первые воздушные сражения.</w:t>
      </w:r>
    </w:p>
    <w:p w14:paraId="264B3DB7" w14:textId="77777777" w:rsidR="002B4021" w:rsidRPr="002F2FDF" w:rsidRDefault="002B4021"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Храбро, на хороших машинах, неприятель атаковал наши самолеты. Однако за свою смелость он заплатил громадными потерями. 6 апреля огнем наших лучше вооруженных истребительных эскадрилий было сбито 44 неприятельских самолета.</w:t>
      </w:r>
    </w:p>
    <w:p w14:paraId="2F8B67D4" w14:textId="77777777" w:rsidR="002B4021" w:rsidRPr="002F2FDF" w:rsidRDefault="002B4021"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Однако и мы понесли тяжелые потери, лишившись многих опытных летчиков-истребителей.</w:t>
      </w:r>
    </w:p>
    <w:p w14:paraId="121AFB66" w14:textId="77777777" w:rsidR="002B4021" w:rsidRPr="002F2FDF" w:rsidRDefault="002B4021"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Особенно отличился 11-й истребительный отряд под командой барона Манфреда фон Рихтгофена. Он одержал за период с 23 января по 22 апреля 1917 года 100 подтвержденных воздушных побед. Дух Бельке жил в нем.</w:t>
      </w:r>
    </w:p>
    <w:p w14:paraId="302B2131" w14:textId="77777777" w:rsidR="002B4021" w:rsidRPr="002F2FDF" w:rsidRDefault="002B4021"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Серьезные потери авиачастей не оставались скрытыми от английской общественности, помощник статс-секретаря Макферсон оценивал их в 20 % еженедельно. Он был вынужден в палате общин охарактеризовать положение на английском фронте в отношении воздушной войны как неопределенное — красноречивое признание после превозносившегося до тех пор полного превосходства Антанты в воздухе!</w:t>
      </w:r>
    </w:p>
    <w:p w14:paraId="01A523EE" w14:textId="6A5AB2E6" w:rsidR="002B4021" w:rsidRPr="002F2FDF" w:rsidRDefault="002B4021"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Воинственные и отважные англичане всегда оставались нашим опаснейшим врагом, и английский фронт оттягивал</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на себя, как это было и прежде, главные силы германской авиации.</w:t>
      </w:r>
    </w:p>
    <w:p w14:paraId="37600DBF" w14:textId="77777777" w:rsidR="002B4021" w:rsidRPr="002F2FDF" w:rsidRDefault="002B402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Заметное увеличение количества самолетов, направлявшихся противником на выполнение каждого задания, заставило и нас сводить несколько истребительных эскадрилий в одну эскадру (17037).</w:t>
      </w:r>
    </w:p>
    <w:p w14:paraId="7AFC1946" w14:textId="77777777" w:rsidR="002B4021" w:rsidRPr="002F2FDF" w:rsidRDefault="002B402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6283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во время наступления англичан в районе Суше - Круазиль и удара французов между Суассоном и Ретелем, очень активно работала артиллерия. Для успеха артиллеристов требовалась постоянная работа корректировщиков. Чтобы обеспечить безопасность их работы французским командованием было организовано и постоянно поддерживалось три серии патрулей: низкие, в составе 3-5 "Ньюпоров" или "СПАДов", летали на 2000-2500 м с целью оказания непосредственной помощи корректировщикам; средние, летающие на высоте около 4000 м группы из 3-5 самолетов, предназначались для атак на появляющиеся в этом районе германские истребители и привязные аэростаты; и, наконец, третьи, летающие на предельных высотах, прикрывали средних своих коллег (11999).</w:t>
      </w:r>
    </w:p>
    <w:p w14:paraId="4252DD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FC3C39" w14:textId="77777777" w:rsidR="00AC7BEF" w:rsidRPr="002F2FDF" w:rsidRDefault="00AC7BEF"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В апреле 1917 года полный отказ от стрелкового вооружения признали ошибочным, и на части «хайт-клаймеров» смонтировали верхние платформы. Все без исключения корабли во время патрульных и разведывательных полётов — но только во время них — стали возить по два пулемёта в гондоле управления.</w:t>
      </w:r>
    </w:p>
    <w:p w14:paraId="0A9F42FB" w14:textId="47DF8489" w:rsidR="00AC7BEF" w:rsidRPr="002F2FDF" w:rsidRDefault="00AC7BEF"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В свете начавшейся вскоре</w:t>
      </w:r>
      <w:r w:rsidR="00E52569">
        <w:rPr>
          <w:color w:val="000000" w:themeColor="text1"/>
          <w:sz w:val="16"/>
          <w:szCs w:val="16"/>
        </w:rPr>
        <w:t xml:space="preserve"> </w:t>
      </w:r>
      <w:hyperlink r:id="rId147" w:history="1">
        <w:r w:rsidRPr="002F2FDF">
          <w:rPr>
            <w:rStyle w:val="a5"/>
            <w:bCs/>
            <w:iCs/>
            <w:color w:val="000000" w:themeColor="text1"/>
            <w:sz w:val="16"/>
            <w:szCs w:val="16"/>
            <w:u w:val="none"/>
            <w:bdr w:val="none" w:sz="0" w:space="0" w:color="auto" w:frame="1"/>
          </w:rPr>
          <w:t>охоты британских летающих лодок за патрульными дирижаблями</w:t>
        </w:r>
      </w:hyperlink>
      <w:r w:rsidR="00E52569">
        <w:rPr>
          <w:color w:val="000000" w:themeColor="text1"/>
          <w:sz w:val="16"/>
          <w:szCs w:val="16"/>
        </w:rPr>
        <w:t xml:space="preserve"> </w:t>
      </w:r>
      <w:r w:rsidRPr="002F2FDF">
        <w:rPr>
          <w:color w:val="000000" w:themeColor="text1"/>
          <w:sz w:val="16"/>
          <w:szCs w:val="16"/>
        </w:rPr>
        <w:t>это решение было принято как нельзя вовремя, хотя на практике это и не сыграло никакой роли. Летом, когда окончательно выяснилось, что пропавшие без вести цеппелины стали жертвой авиации, Штрассер подал заявку на вооружение дирижаблей 20-мм автоматическими пушками Беккера, чтобы иметь возможность отбить атаку противника прежде, чем тот выйдет на дистанцию эффективного огня своих пулемётов. Но эта артсистема пока находилась в процессе доводки, и до её практического применения дело дошло лишь год спустя (19156).</w:t>
      </w:r>
    </w:p>
    <w:p w14:paraId="1AD95CCB" w14:textId="77777777" w:rsidR="00AC7BEF" w:rsidRPr="002F2FDF" w:rsidRDefault="00AC7BEF" w:rsidP="0083075A">
      <w:pPr>
        <w:pStyle w:val="ae"/>
        <w:shd w:val="clear" w:color="auto" w:fill="FFFFFF"/>
        <w:spacing w:before="0" w:after="0"/>
        <w:jc w:val="both"/>
        <w:textAlignment w:val="baseline"/>
        <w:rPr>
          <w:color w:val="000000" w:themeColor="text1"/>
          <w:sz w:val="16"/>
          <w:szCs w:val="16"/>
        </w:rPr>
      </w:pPr>
    </w:p>
    <w:p w14:paraId="1FC9A7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апреле 1917 налет дирижаблей на Англию пришлось прервать сразу после вылета кораблей, так как погода на трассе была абсолютно нелетной. В мае представился случай произвести успешный налет, осуществленный в ночь с 23-го на 24-го при участии L-40, L-42, L-43, L-44 и L-45. На L-44 находился командир Дивизиона воздушных кораблей, капитан 2 ранга Штрассер. Приводим его донесение. </w:t>
      </w:r>
    </w:p>
    <w:p w14:paraId="16360A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xml:space="preserve">“Около 1.45 прошли над берегом у Гарвича, где встретили разорванные облака. Многочисленные прожекторы безуспешно пытались нащупать наш корабль. С земли велся слабый обстрел, в воздухе не было никаких самолетов. Из-за [205] одновременной остановки трех моторов продолжать полет к Лондону стало невозможно, так как корабль начал терять высоту. Сбросили 2000 кг бомб над Гарвичем. Вскоре после атаки остановились все моторы. Корабль в течение 45 минут висел над территорией противника наподобие аэростата и снизился с высоты 5700 м до 3900 м. До 10.00 шли с одним мотором, а после 10.00 — иногда с двумя, а временами и с тремя моторами. Благополучно приземлились в Нордхольце. В 19.20 на обратном пути L-43 попал под очень сильный град. Молния ударила в переднюю часть корабля и пробежала поверху, не причинив вреда”. В этом высотном полете часть экипажа L-44 потеряла сознание от нехватки кислорода. Высотность явилась также причиной остановки двигателей. </w:t>
      </w:r>
    </w:p>
    <w:p w14:paraId="322E89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Крайне неблагоприятными для воздушных кораблей оказались метеорологические условия на больших высотах. Там почти постоянно дул очень сильный западный ветер, переходивший иногда в северный, и побороть его из-за потери мощности двигателей было очень трудно. По этой причине цеппелины часто не могли выполнить задания, несмотря на то что в низких слоях стояла прекрасная погода. Эти проблемы были частично сняты после того, как в 1918 году пошли в серию высотные двигатели. </w:t>
      </w:r>
    </w:p>
    <w:p w14:paraId="3E6FD8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Следующий налет состоялся 17 июня. В нем приняли участие L-42, L-43, L-44 и L-45. Несколько раз пришлось уклоняться от шквалов, поэтому достигнуть Лондона за остававшееся короткое ночное время не представлялось возможным. L-42 сбросил в 3.00 все свои бомбы над Дувром. Во время бомбардировки корабль подвергся сильному обстрелу, но прожекторы из-за густого тумана смогли поймать его лишь на короткое время. Бомбы точно легли в цель. Минут через 10 после атаки были замечены сильные взрывы. Казалось, что на [206] воздух взлетали целые кварталы домов, долгое время наблюдались пожары. Вскоре после атаки корабль подвергся преследованию мелких кораблей, по всей вероятности — миноносцев или легких крейсеров, которые открыли по нему беглый огонь. Пришлось уходить на высоту 5000 м. </w:t>
      </w:r>
    </w:p>
    <w:p w14:paraId="63E36E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L-42 наблюдали, как один из наших воздушных кораблей подвергся атаке самолета. Цеппелин находился в это время на высоте 4500-5000 м, а самолет — на 300-500 м выше. L-43 из этого полета не вернулся, очевидно, он был сбит самолетом. Впоследствии это предположение подтвердилось английскими сообщениями (11324).</w:t>
      </w:r>
    </w:p>
    <w:p w14:paraId="271F48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1EEB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апреле 1917 английский С. 17 был [278] сбит немцами, а С.27 — в декабре 1917 года. При розыске С.27 был потерян и С.26. Остальные британские мягкие дирижабли, после выработки налета, разобрали. </w:t>
      </w:r>
    </w:p>
    <w:p w14:paraId="1B438B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09566C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538658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63FE61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30ED33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подлодки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16E41E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платформе. Подготовкой офицерских кадров британская служба воздухоплавания занималась основательно. Вначале курсанты летали на воздушных шарах воздухоплавательной станции Уормвуд Скреббе, а затем изучали навигацию в Портсмуте. И только закончив эту часть курса подготовки, приступали к обучению полетам на дирижаблях (11324).</w:t>
      </w:r>
    </w:p>
    <w:p w14:paraId="48723C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77E4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года доработанный дирижабль R.9 был принят Адмиралтейством. К этому времени R.9 признали устаревшим и использовали только для обучения экипажей и исследовательских работ. Он был разобран летом 1918 года (11324).</w:t>
      </w:r>
    </w:p>
    <w:p w14:paraId="4F96E0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BE9F16" w14:textId="77777777" w:rsidR="006B078B" w:rsidRPr="002F2FDF" w:rsidRDefault="006B07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апреле 1917 г. фирма «Альбатрос» без труда добилась первого заказа на 200 новых истребителей D V, сразу приступив к их постройке, в мае ей дали контракт еще на 400 самолетов, а в июле — на 300. «Альбатрос» остался основным поставщиком истребителей для ВВС Германии.</w:t>
      </w:r>
    </w:p>
    <w:p w14:paraId="32E9DAE5" w14:textId="77777777" w:rsidR="006B078B" w:rsidRPr="002F2FDF" w:rsidRDefault="006B07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сентябре 1917 г. завод «Альбатрос» в Герризе получил заказ № 2 на 250 самолетов D Va, а в октябре и третий контракт — еще 550 машин. Завод отчитался по ним полностью, построив 1 062 самолета этой модификации, их поставки начались в октябре 1917 г. и завершились в начале следующего года.</w:t>
      </w:r>
    </w:p>
    <w:p w14:paraId="507F5D1B" w14:textId="77777777" w:rsidR="006B078B" w:rsidRPr="002F2FDF" w:rsidRDefault="006B07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Самолеты Альбатрос D V и D Va стали самыми массовыми истребителями разработки этой фирмы — в общей сложности их было построено 2 563 штуки, включая первый опытный и два D Va для испытаний. Пик их численности в строевых частях ВВС Германии пришелся на май 1918 г., когда на фронте были 131 Альбатрос D V и 986 усовершенствованных D Va. На август 1918 г. у немцев оставалось более 400 «пятерок» обеих модификаций, и многие дожили до заключения перемирия (22767).</w:t>
      </w:r>
    </w:p>
    <w:p w14:paraId="4123AD73" w14:textId="77777777" w:rsidR="006B078B" w:rsidRPr="002F2FDF" w:rsidRDefault="006B078B" w:rsidP="0083075A">
      <w:pPr>
        <w:spacing w:after="0" w:line="240" w:lineRule="auto"/>
        <w:jc w:val="both"/>
        <w:rPr>
          <w:rFonts w:ascii="Times New Roman" w:hAnsi="Times New Roman" w:cs="Times New Roman"/>
          <w:color w:val="000000" w:themeColor="text1"/>
          <w:sz w:val="16"/>
          <w:szCs w:val="16"/>
        </w:rPr>
      </w:pPr>
    </w:p>
    <w:p w14:paraId="10C1EA0D" w14:textId="77777777" w:rsidR="006B078B" w:rsidRPr="002F2FDF" w:rsidRDefault="006B07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апреле 1917 г. первый заказ на истребители Альбатрос </w:t>
      </w:r>
      <w:r w:rsidRPr="002F2FDF">
        <w:rPr>
          <w:rFonts w:ascii="Times New Roman" w:hAnsi="Times New Roman" w:cs="Times New Roman"/>
          <w:color w:val="000000" w:themeColor="text1"/>
          <w:sz w:val="16"/>
          <w:szCs w:val="16"/>
          <w:lang w:val="en-US"/>
        </w:rPr>
        <w:t>D</w:t>
      </w:r>
      <w:r w:rsidRPr="002F2FDF">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lang w:val="en-US"/>
        </w:rPr>
        <w:t>III</w:t>
      </w:r>
      <w:r w:rsidRPr="002F2FDF">
        <w:rPr>
          <w:rFonts w:ascii="Times New Roman" w:hAnsi="Times New Roman" w:cs="Times New Roman"/>
          <w:color w:val="000000" w:themeColor="text1"/>
          <w:sz w:val="16"/>
          <w:szCs w:val="16"/>
        </w:rPr>
        <w:t xml:space="preserve"> получил восточный филиал фирмы Альбатрос — завод «Остдойче Альбатрос Верке» или O.A.W. в Шнайдемюле в Померании (ныне это город Пила — территория Польши). От варианта выпуска базового предприятия самолеты этого завода отличались округлой формой вертикального оперения с рулем направления большей площади. К концу августа предприятие получило еще четыре контракта в общей сложности на 840 машин — с весны по конец 1917 г. там построили 838 истребителей Альбатрос D III в т.ч. для Австро-Венгрии. Эта страна приобрела и лицензию на самостоятельный выпуск самолета. Всего с учетом производства австрийским заводом Oeffag было выпущено 1866 истребителей Альбатрос D III. Казалось бы — это много, они встречались на всех фронтах и поставлялись «младшим союзникам» — Болгарии и Турции, но как ни тужилась немецкая промышленность, обойти французов и Антанту вообще ей не удалось. Они по-прежнему самолетов делали куда больше и были они как минимум не хуже (22775).</w:t>
      </w:r>
    </w:p>
    <w:p w14:paraId="7A3C9CF5" w14:textId="77777777" w:rsidR="006B078B" w:rsidRPr="002F2FDF" w:rsidRDefault="006B078B" w:rsidP="0083075A">
      <w:pPr>
        <w:spacing w:after="0" w:line="240" w:lineRule="auto"/>
        <w:jc w:val="both"/>
        <w:rPr>
          <w:rFonts w:ascii="Times New Roman" w:hAnsi="Times New Roman" w:cs="Times New Roman"/>
          <w:color w:val="000000" w:themeColor="text1"/>
          <w:sz w:val="16"/>
          <w:szCs w:val="16"/>
        </w:rPr>
      </w:pPr>
    </w:p>
    <w:p w14:paraId="025E519A" w14:textId="77777777" w:rsidR="006B078B" w:rsidRPr="002F2FDF" w:rsidRDefault="006B07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апреле 1917 г. фирма «Альбатрос» без труда добилась первого заказа на 200 новых истребителей D V, сразу приступив к их постройке, в мае ей дали контракт еще на 400 самолетов, а в июле — на 300. «Альбатрос» остался основным поставщиком истребителей для ВВС Германии. Самолет пошел в серию не совсем в том виде, в котором испытывался. От изменений в оперении остался только нижний киль с косой задней кромкой, а основной киль, стабилизатор и все рули по геометрии стали такими, как на серийном Альбатросе D III выпуска восточногерманского филиала фирмы — OAW. Вес серийных машин «пополз вверх», а моторы пока пришлось ставить старые с боевой мощностью 160 л. с. и скорость упала на 4 км/ч. Время набора высоты 1 000 м неожиданно сократилось на 70 секунд, но не исключено, что это было из-за ошибок в барограммах. Центровка опытного самолета Альбатрос D V по сравнению с «тройкой» сместилась назад, устойчивость и управляемость ухудшились (22792).</w:t>
      </w:r>
    </w:p>
    <w:p w14:paraId="776D3850" w14:textId="77777777" w:rsidR="006B078B" w:rsidRPr="002F2FDF" w:rsidRDefault="006B078B" w:rsidP="0083075A">
      <w:pPr>
        <w:spacing w:after="0" w:line="240" w:lineRule="auto"/>
        <w:jc w:val="both"/>
        <w:rPr>
          <w:rFonts w:ascii="Times New Roman" w:hAnsi="Times New Roman" w:cs="Times New Roman"/>
          <w:color w:val="000000" w:themeColor="text1"/>
          <w:sz w:val="16"/>
          <w:szCs w:val="16"/>
        </w:rPr>
      </w:pPr>
    </w:p>
    <w:p w14:paraId="34165E2F" w14:textId="77777777" w:rsidR="006B078B" w:rsidRPr="002F2FDF" w:rsidRDefault="006B07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апреле 1917 Королевский корпус, поддерживая наступление на Аррас, теряет 245 самолетов - 140 в первые две недели отказа. Жертвы среди летного состава составляют 211 убитых или пропавших без вести и 108 захваченых в плен. Противостоящие немцы теряют всего 66 самолетов (20341).</w:t>
      </w:r>
    </w:p>
    <w:p w14:paraId="59280B10" w14:textId="77777777" w:rsidR="006B078B" w:rsidRPr="002F2FDF" w:rsidRDefault="006B078B" w:rsidP="0083075A">
      <w:pPr>
        <w:spacing w:after="0" w:line="240" w:lineRule="auto"/>
        <w:jc w:val="both"/>
        <w:rPr>
          <w:rFonts w:ascii="Times New Roman" w:hAnsi="Times New Roman" w:cs="Times New Roman"/>
          <w:color w:val="000000" w:themeColor="text1"/>
          <w:sz w:val="16"/>
          <w:szCs w:val="16"/>
        </w:rPr>
      </w:pPr>
    </w:p>
    <w:p w14:paraId="703D446B" w14:textId="5B51FFAF" w:rsidR="006B078B" w:rsidRPr="002F2FDF" w:rsidRDefault="006B07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апреле 1917 г. опытный Пфальц D III совершил первый полет, а в мае был передан на официальные типовые испытания (Typenprüfung) на базу IDFlieg в Адлерсхофе. Сразу после первых полетов был выдан заказ на 70 серийных машин при условии устранения выявленных недостатков до начала поставок. В ответ на замечания испытателей ввели роговую компенсацию элеронов и увеличили площадь руля высоты, «сняв» основные претензии. Серийному Альбатросу D III новый «Пфальц» уступал по максимальной скорости примерно на 10</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км/ч, но имел преимущество в границе высотности, по скороподъемности был примерно равен и быстрее разгонялся в пике. В июне 1917 г. фирма получила 2-й заказ еще на 300 таких истребителей.</w:t>
      </w:r>
    </w:p>
    <w:p w14:paraId="7976B461" w14:textId="6B0D0383" w:rsidR="006B078B" w:rsidRPr="002F2FDF" w:rsidRDefault="006B07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Обозначение Пфальц D III. Это было против правил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нумерация проектов самолетов каждой фирмы должна была идти с единицы. Но заказчик счел, что новый самолет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это прямое развитие уже известных ему типов LFG</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Роланд D I и D II (22868).</w:t>
      </w:r>
    </w:p>
    <w:p w14:paraId="59F2E2A6" w14:textId="77777777" w:rsidR="006B078B" w:rsidRPr="002F2FDF" w:rsidRDefault="006B078B" w:rsidP="0083075A">
      <w:pPr>
        <w:spacing w:after="0" w:line="240" w:lineRule="auto"/>
        <w:jc w:val="both"/>
        <w:rPr>
          <w:rFonts w:ascii="Times New Roman" w:hAnsi="Times New Roman" w:cs="Times New Roman"/>
          <w:color w:val="000000" w:themeColor="text1"/>
          <w:sz w:val="16"/>
          <w:szCs w:val="16"/>
        </w:rPr>
      </w:pPr>
    </w:p>
    <w:p w14:paraId="55EDEC6B" w14:textId="77777777" w:rsidR="006B078B" w:rsidRPr="002F2FDF" w:rsidRDefault="006B07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апреле 1917 г. «Соп</w:t>
      </w:r>
      <w:r w:rsidRPr="002F2FDF">
        <w:rPr>
          <w:rFonts w:ascii="Times New Roman" w:hAnsi="Times New Roman" w:cs="Times New Roman"/>
          <w:color w:val="000000" w:themeColor="text1"/>
          <w:sz w:val="16"/>
          <w:szCs w:val="16"/>
        </w:rPr>
        <w:softHyphen/>
        <w:t>вич» завершил повторные испыта</w:t>
      </w:r>
      <w:r w:rsidRPr="002F2FDF">
        <w:rPr>
          <w:rFonts w:ascii="Times New Roman" w:hAnsi="Times New Roman" w:cs="Times New Roman"/>
          <w:color w:val="000000" w:themeColor="text1"/>
          <w:sz w:val="16"/>
          <w:szCs w:val="16"/>
        </w:rPr>
        <w:softHyphen/>
        <w:t>ния опытного истребителя «Кэмел» F.1 с новым мотором Бентли B.R.1 мощно</w:t>
      </w:r>
      <w:r w:rsidRPr="002F2FDF">
        <w:rPr>
          <w:rFonts w:ascii="Times New Roman" w:hAnsi="Times New Roman" w:cs="Times New Roman"/>
          <w:color w:val="000000" w:themeColor="text1"/>
          <w:sz w:val="16"/>
          <w:szCs w:val="16"/>
        </w:rPr>
        <w:softHyphen/>
        <w:t>стью 150 л. с. и конструктору Герберту Смиту был поручен новый проект для замены этого самолета, поставки которого еще только планировались на лето. Но Министерство снабже</w:t>
      </w:r>
      <w:r w:rsidRPr="002F2FDF">
        <w:rPr>
          <w:rFonts w:ascii="Times New Roman" w:hAnsi="Times New Roman" w:cs="Times New Roman"/>
          <w:color w:val="000000" w:themeColor="text1"/>
          <w:sz w:val="16"/>
          <w:szCs w:val="16"/>
        </w:rPr>
        <w:softHyphen/>
        <w:t>ния начало тянуть с кредитом, счи</w:t>
      </w:r>
      <w:r w:rsidRPr="002F2FDF">
        <w:rPr>
          <w:rFonts w:ascii="Times New Roman" w:hAnsi="Times New Roman" w:cs="Times New Roman"/>
          <w:color w:val="000000" w:themeColor="text1"/>
          <w:sz w:val="16"/>
          <w:szCs w:val="16"/>
        </w:rPr>
        <w:softHyphen/>
        <w:t>тая, что для Королевского летного корпуса Великобритании (RFC) хва</w:t>
      </w:r>
      <w:r w:rsidRPr="002F2FDF">
        <w:rPr>
          <w:rFonts w:ascii="Times New Roman" w:hAnsi="Times New Roman" w:cs="Times New Roman"/>
          <w:color w:val="000000" w:themeColor="text1"/>
          <w:sz w:val="16"/>
          <w:szCs w:val="16"/>
        </w:rPr>
        <w:softHyphen/>
        <w:t>тит и одних «Кэмелов». После дол</w:t>
      </w:r>
      <w:r w:rsidRPr="002F2FDF">
        <w:rPr>
          <w:rFonts w:ascii="Times New Roman" w:hAnsi="Times New Roman" w:cs="Times New Roman"/>
          <w:color w:val="000000" w:themeColor="text1"/>
          <w:sz w:val="16"/>
          <w:szCs w:val="16"/>
        </w:rPr>
        <w:softHyphen/>
        <w:t>гих переговоров договорились сэко</w:t>
      </w:r>
      <w:r w:rsidRPr="002F2FDF">
        <w:rPr>
          <w:rFonts w:ascii="Times New Roman" w:hAnsi="Times New Roman" w:cs="Times New Roman"/>
          <w:color w:val="000000" w:themeColor="text1"/>
          <w:sz w:val="16"/>
          <w:szCs w:val="16"/>
        </w:rPr>
        <w:softHyphen/>
        <w:t>номить на двух опытных бомбарди</w:t>
      </w:r>
      <w:r w:rsidRPr="002F2FDF">
        <w:rPr>
          <w:rFonts w:ascii="Times New Roman" w:hAnsi="Times New Roman" w:cs="Times New Roman"/>
          <w:color w:val="000000" w:themeColor="text1"/>
          <w:sz w:val="16"/>
          <w:szCs w:val="16"/>
        </w:rPr>
        <w:softHyphen/>
        <w:t>ровщиках «Рино» из четырех, а вме</w:t>
      </w:r>
      <w:r w:rsidRPr="002F2FDF">
        <w:rPr>
          <w:rFonts w:ascii="Times New Roman" w:hAnsi="Times New Roman" w:cs="Times New Roman"/>
          <w:color w:val="000000" w:themeColor="text1"/>
          <w:sz w:val="16"/>
          <w:szCs w:val="16"/>
        </w:rPr>
        <w:softHyphen/>
        <w:t>сто них «Сопвич» должен был начать строить новые опытные истреби</w:t>
      </w:r>
      <w:r w:rsidRPr="002F2FDF">
        <w:rPr>
          <w:rFonts w:ascii="Times New Roman" w:hAnsi="Times New Roman" w:cs="Times New Roman"/>
          <w:color w:val="000000" w:themeColor="text1"/>
          <w:sz w:val="16"/>
          <w:szCs w:val="16"/>
        </w:rPr>
        <w:softHyphen/>
        <w:t>тели «Снайп» 7F.1 — спецификация AirBoard А.1(а) требовала от них скоро</w:t>
      </w:r>
      <w:r w:rsidRPr="002F2FDF">
        <w:rPr>
          <w:rFonts w:ascii="Times New Roman" w:hAnsi="Times New Roman" w:cs="Times New Roman"/>
          <w:color w:val="000000" w:themeColor="text1"/>
          <w:sz w:val="16"/>
          <w:szCs w:val="16"/>
        </w:rPr>
        <w:softHyphen/>
        <w:t>сти 217 км/ч.</w:t>
      </w:r>
    </w:p>
    <w:p w14:paraId="2393B737" w14:textId="77777777" w:rsidR="006B078B" w:rsidRPr="002F2FDF" w:rsidRDefault="006B07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Сохранив общую схему биплана «Кэмел», Смит уменьшил размах кры</w:t>
      </w:r>
      <w:r w:rsidRPr="002F2FDF">
        <w:rPr>
          <w:rFonts w:ascii="Times New Roman" w:hAnsi="Times New Roman" w:cs="Times New Roman"/>
          <w:color w:val="000000" w:themeColor="text1"/>
          <w:sz w:val="16"/>
          <w:szCs w:val="16"/>
        </w:rPr>
        <w:softHyphen/>
        <w:t>льев и сделал новые капот и крышку пулеметов, убрав характерный «верблюжий горб» и значительно улучшив обтекание всего фюзе</w:t>
      </w:r>
      <w:r w:rsidRPr="002F2FDF">
        <w:rPr>
          <w:rFonts w:ascii="Times New Roman" w:hAnsi="Times New Roman" w:cs="Times New Roman"/>
          <w:color w:val="000000" w:themeColor="text1"/>
          <w:sz w:val="16"/>
          <w:szCs w:val="16"/>
        </w:rPr>
        <w:softHyphen/>
        <w:t>ляжа (22976).</w:t>
      </w:r>
    </w:p>
    <w:p w14:paraId="74E8737F" w14:textId="77777777" w:rsidR="006B078B" w:rsidRPr="002F2FDF" w:rsidRDefault="006B078B" w:rsidP="0083075A">
      <w:pPr>
        <w:spacing w:after="0" w:line="240" w:lineRule="auto"/>
        <w:jc w:val="both"/>
        <w:rPr>
          <w:rFonts w:ascii="Times New Roman" w:hAnsi="Times New Roman" w:cs="Times New Roman"/>
          <w:color w:val="000000" w:themeColor="text1"/>
          <w:sz w:val="16"/>
          <w:szCs w:val="16"/>
        </w:rPr>
      </w:pPr>
    </w:p>
    <w:p w14:paraId="14A3CA06" w14:textId="318E2A30" w:rsidR="006B078B" w:rsidRPr="002F2FDF" w:rsidRDefault="006B07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апреле 1917 г., когда приступил к работе специально созданный для этого филиал в предместье Вены Хеннерсдорф (Hennersdorf), где были здание КБ, опытный цех и испытательный аэродром, фирме «Венский завод кузовов и самолетов» (Wiener Karosserie und Flugzeugfabrik – WKF) начал проектирование WKF DD Тип C (WKF Doppeldecker Type C) - двухместного ближнего разведчика. Руководил проектированием технический директор – главный конструктор филиала Франц Шайферль (Franz Schieferl), основную часть КД выполнил его зам Альфред Гасснер (Alfred Gassner), консультировал ученый-аэродинамик профессор Рихард Эдлер фон Мизес (Richard Edler von Mises).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Была поставлена задача добиться наибольшей скорости полета за счет мощного мотора и малого аэродинамического сопротивления самолета.</w:t>
      </w:r>
    </w:p>
    <w:p w14:paraId="6A89F775" w14:textId="5415737B" w:rsidR="006B078B" w:rsidRPr="002F2FDF" w:rsidRDefault="006B07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Получить заказ Императорского и Королевского Авиационного арсенала (K.u.K. Fliegerarsenal, Flars) ВВС Австро-Венгрии не удалось, и самолет строился в опытном цехе фирмы в Хеннерсдорфе за счет фирмы без вооружения и АФА.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Тем не менее, были назначены официальные типовые испытания самолета, которому Flars присвоил регистрационный номер 80.04.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Хотя к тому времени в Хеннерсдорфе аэродром устроен уже был, видимо там самолет не облетывался, а был перевезен на основной заводской аэродром в Асперне или на аэродром Flars в Винер-Нойштадте (23142).</w:t>
      </w:r>
    </w:p>
    <w:p w14:paraId="49E734F2" w14:textId="77777777" w:rsidR="006B078B" w:rsidRPr="002F2FDF" w:rsidRDefault="006B078B" w:rsidP="0083075A">
      <w:pPr>
        <w:spacing w:after="0" w:line="240" w:lineRule="auto"/>
        <w:jc w:val="both"/>
        <w:rPr>
          <w:rFonts w:ascii="Times New Roman" w:hAnsi="Times New Roman" w:cs="Times New Roman"/>
          <w:color w:val="000000" w:themeColor="text1"/>
          <w:sz w:val="16"/>
          <w:szCs w:val="16"/>
        </w:rPr>
      </w:pPr>
    </w:p>
    <w:p w14:paraId="45E701E7" w14:textId="77777777" w:rsidR="006B078B" w:rsidRPr="002F2FDF" w:rsidRDefault="006B07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апрель 1917 г. во Франции имелось 15 дивизионов «Шнейдеров» (с AS1 по AS 15) и всего три дивизиона «Сен-Шамонов» (с AS31 по AS33) (22820).</w:t>
      </w:r>
    </w:p>
    <w:p w14:paraId="4A40DA87" w14:textId="77777777" w:rsidR="006B078B" w:rsidRPr="002F2FDF" w:rsidRDefault="006B078B" w:rsidP="0083075A">
      <w:pPr>
        <w:spacing w:after="0" w:line="240" w:lineRule="auto"/>
        <w:jc w:val="both"/>
        <w:rPr>
          <w:rFonts w:ascii="Times New Roman" w:hAnsi="Times New Roman" w:cs="Times New Roman"/>
          <w:color w:val="000000" w:themeColor="text1"/>
          <w:sz w:val="16"/>
          <w:szCs w:val="16"/>
        </w:rPr>
      </w:pPr>
    </w:p>
    <w:p w14:paraId="350C3E31" w14:textId="77777777" w:rsidR="006B078B" w:rsidRPr="002F2FDF" w:rsidRDefault="006B07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апреле 1917 г. в ходе «Наступления Нивеля» (названного по имени тогдашнего главнокомандующего французской армией Робера Нивеля) французские танки получили боевое крещение. Французские танки были сосредоточены в районе городка Бери-о-Бак. Сюда стянули все 208 «Шнейдеров» и 48 «Сен Шамонов». Из них в бою приняло участие только 132 «Шнейдера», которые были сведены в две группы — группа майора Боссю (82 машины) и группа Шобэ (50 машин). Группа Боссю должна была поддерживать основную атаку 32-го корпуса из Берри-о-Бак в направлении Ювинкур. Группа Шобэ поддерживала 5-й корпус к западу от Миетта. «Сен Шамоны» оставили в резерве изза проблем с ходовой частью. Группы штурмовых машин подошли к полю боя в колоннах в дневное время и были быстро обнаружены немецким самолетом-разведчиком. Кроме того, во многих секторах пехоте не удалось создать проходы через передние траншеи, что вызвало значительные задержки в продвижении танков. В результате быстро введенная в дело немецкая артиллерия прицельным огнем нанесла танкам значительные потери. Только одной небольшой группе «Шнейдеров» удалось продвинуться более чем на 5 км вглубь обороны противника, прорвав третью линию укреплений. Однако и она была вынуждена вернуться из-за отсутствия поддержки пехоты. Из 82 танков группы Боссю 31 был подбит артиллерией, а 13 сломались или застряли. В общей сложности 129 членов экипажа были убиты или ранены, в том числе погиб и командир группы — майор Боссю.</w:t>
      </w:r>
    </w:p>
    <w:p w14:paraId="31BAACC7" w14:textId="77777777" w:rsidR="006B078B" w:rsidRPr="002F2FDF" w:rsidRDefault="006B07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группе Шобэ — 32 машины оказались подбиты артиллерией, из них 26 сгорело, 51 человек погиб. Нужно сказать, что несколько танков загорелись, не получив ни единой пробоины (у «Шнейдеров» отмечались проблемы с возгоранием бензобаков). Окончательный счет потерь составил 76 танков из общего числа 132, т. е. 57 %. (22820).</w:t>
      </w:r>
    </w:p>
    <w:p w14:paraId="61831300" w14:textId="77777777" w:rsidR="006B078B" w:rsidRPr="002F2FDF" w:rsidRDefault="006B078B" w:rsidP="0083075A">
      <w:pPr>
        <w:spacing w:after="0" w:line="240" w:lineRule="auto"/>
        <w:jc w:val="both"/>
        <w:rPr>
          <w:rFonts w:ascii="Times New Roman" w:hAnsi="Times New Roman" w:cs="Times New Roman"/>
          <w:color w:val="000000" w:themeColor="text1"/>
          <w:sz w:val="16"/>
          <w:szCs w:val="16"/>
        </w:rPr>
      </w:pPr>
    </w:p>
    <w:p w14:paraId="7C7CD67D" w14:textId="77777777" w:rsidR="006B078B" w:rsidRPr="002F2FDF" w:rsidRDefault="006B07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апреле 1917 г. после успешных испытаний построенного прототипа заказ на новые легкие танки Рено был увеличен до 1 000 штук, правда, при условии, что они получат более тяжелое, пушечное вооружение. Но это было еще не все, назначенный в мае 1917 г. новым командующим генерал Петен активно поддержал идею легкого танка, рассматривая его как существенный фактор в своих усилиях по восстановлению французской армии. В результате заказ на FT-17 был увеличен до 3 500 штук (!) за счет сокращения производства новых средних танков. Стоимость одного легкого танка FT-17 оценивалась в 44 тыс. франков, тогда как один средний танк «Шнейдер» стоил почти 60 тыс. франков, а «Сен-Шамон» — без малого 100 тыс. франков. Предполагалось, что примерно треть танков FT-17 будет вооружаться пулеметом, а остальные — пушкой (22840).</w:t>
      </w:r>
    </w:p>
    <w:p w14:paraId="5C3D8467" w14:textId="77777777" w:rsidR="006B078B" w:rsidRPr="002F2FDF" w:rsidRDefault="006B078B" w:rsidP="0083075A">
      <w:pPr>
        <w:spacing w:after="0" w:line="240" w:lineRule="auto"/>
        <w:jc w:val="both"/>
        <w:rPr>
          <w:rFonts w:ascii="Times New Roman" w:hAnsi="Times New Roman" w:cs="Times New Roman"/>
          <w:color w:val="000000" w:themeColor="text1"/>
          <w:sz w:val="16"/>
          <w:szCs w:val="16"/>
        </w:rPr>
      </w:pPr>
    </w:p>
    <w:p w14:paraId="6A2788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апреле 1917 года Соединенные Штаты вступили в войну и, несколькими месяцами позже, армия приобрела участок земли неподалеку от артиллерийского центра и создала к ужасу всех жителей Лейкхерста и немощных курортных старушек экспериментальную базу для испытания боевых газов. Вскоре неподалеку был построен лагерь Кендрик, где разместился центр обучения по применению этого страшного оружия, ставший впоследствии частью военно-морского аэродрома. </w:t>
      </w:r>
    </w:p>
    <w:p w14:paraId="09BC79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счастью перепуганных горожан, в ноябре 1918 год война закончилась и ставшие ненужными артиллерийский и газовый полигоны были выставлены на продажу. С 1919 года в историю Лейкхерста вошел военно-морской флот. 16 мая министр ВМС Франклин Рузвельт дал добро на закупку 1700 акров земли “для строительства станции воздушных кораблей”. Проект обустройства станции не вызвал особых возражений, и в сентябре этого же года строители начали возводить огромный ангар № 1, рассчитанный на размещение двух дирижаблей жесткой конструкции. Одновременно началось строительство аэродрома. Летом 1921 года представительная комиссия подписала акт приемки первой очереди морской воздушной станции, и 17 офицеров и 230 военнослужащих приступили к выполнению своих прямых обязанностей. Правда, вначале этих самых обязанностей было не так уж и много (11324).</w:t>
      </w:r>
    </w:p>
    <w:p w14:paraId="1E9CBD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104F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фирма Pacific Aero Products, которую W.Boeing организовал 15 июля 1916, стала именоваться Boeing Airplane Company (1047,38).</w:t>
      </w:r>
    </w:p>
    <w:p w14:paraId="52BE9B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другим данным в марте 1917 или даже в июле 1916</w:t>
      </w:r>
    </w:p>
    <w:p w14:paraId="755F90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2B0E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1917 г. представители британского правительства начали переговоры с лидером пробританской группировки в сионистском движении Хаимом Вейцманом и им достаточно быстро удалось договориться о создании еврейского "национального очага", но дальше британские правящие круги не пошли, и вопрос о еврейском государстве оставался открытым. Согласно Дэвиду Ллойд-Джорджу, считалось, что для создания крупного " национального очага" в Палестине нет ни природных, ни социальных условий. Принципиально иную позицию заняли США, которые не только одобрили идею создания "национального очага", но сразу же подчеркнули, что рассматривают его как "фундамент еврейского государства" (президент США В.Вильсон) (3871).</w:t>
      </w:r>
    </w:p>
    <w:p w14:paraId="04C5E9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A72D6C" w14:textId="77777777" w:rsidR="005505D2" w:rsidRPr="002F2FDF" w:rsidRDefault="005505D2" w:rsidP="0083075A">
      <w:pPr>
        <w:spacing w:after="0" w:line="240" w:lineRule="auto"/>
        <w:jc w:val="both"/>
        <w:rPr>
          <w:rFonts w:ascii="Times New Roman" w:hAnsi="Times New Roman" w:cs="Times New Roman"/>
          <w:color w:val="000000" w:themeColor="text1"/>
          <w:kern w:val="2"/>
          <w:sz w:val="16"/>
          <w:szCs w:val="16"/>
          <w:u w:color="002060"/>
        </w:rPr>
      </w:pPr>
      <w:r w:rsidRPr="002F2FDF">
        <w:rPr>
          <w:rFonts w:ascii="Times New Roman" w:hAnsi="Times New Roman" w:cs="Times New Roman"/>
          <w:color w:val="000000" w:themeColor="text1"/>
          <w:kern w:val="2"/>
          <w:sz w:val="16"/>
          <w:szCs w:val="16"/>
          <w:u w:color="002060"/>
        </w:rPr>
        <w:t>В апреле 1917 г. после боев под Куэнтом (Quent) в Германии получили возможность детально ознакомиться с конструкцией нового британского танка Mk.IV. Выводы, сделанные на основании этого, позволили O.H.L. доложить генералу Людендорфу (Ludendorff) о необходимости создания боевой машины по аналогичной конструктивной схеме. Работы по новому танку, получившему условное обозначение A7VU (Umlaufendeketten – кругооборотные гусеницы), начались немедленно. Проведение ходовых испытаний планировалось уже на сентябрь 1917 г.</w:t>
      </w:r>
    </w:p>
    <w:p w14:paraId="23865ACF" w14:textId="77777777" w:rsidR="005505D2" w:rsidRPr="002F2FDF" w:rsidRDefault="005505D2" w:rsidP="0083075A">
      <w:pPr>
        <w:spacing w:after="0" w:line="240" w:lineRule="auto"/>
        <w:jc w:val="both"/>
        <w:rPr>
          <w:rFonts w:ascii="Times New Roman" w:hAnsi="Times New Roman" w:cs="Times New Roman"/>
          <w:color w:val="000000" w:themeColor="text1"/>
          <w:kern w:val="2"/>
          <w:sz w:val="16"/>
          <w:szCs w:val="16"/>
          <w:u w:color="002060"/>
        </w:rPr>
      </w:pPr>
      <w:r w:rsidRPr="002F2FDF">
        <w:rPr>
          <w:rFonts w:ascii="Times New Roman" w:hAnsi="Times New Roman" w:cs="Times New Roman"/>
          <w:color w:val="000000" w:themeColor="text1"/>
          <w:kern w:val="2"/>
          <w:sz w:val="16"/>
          <w:szCs w:val="16"/>
          <w:u w:color="002060"/>
        </w:rPr>
        <w:t>Анализ боев также подтверждал, что успеха можно достичь при массовом применении малых танков. Исходя из этого, Фольмер в инициативном порядке разработал конструктивные принципы легкой боевой машины с пулеметным вооружением и экипажем 2-3 человека. Считая, что в конструкции A7V достигнут рациональный предел соотношения боевой массы и мощности вооружения, в сентябре 1917 г. им был представлен к утверждению проект легкого танка LK. Особенностью его конструкции должно было стать широкое использование узлов и агрегатов изъятых из эксплуатации и находящихся на складах легковых автомобилей. Основная задача заключалась в ограничении боевой массы нового танка, что определялось наличием автомобилей в основном с двигателями мощностью 45-60 л с.</w:t>
      </w:r>
    </w:p>
    <w:p w14:paraId="7456711E" w14:textId="77777777" w:rsidR="005505D2" w:rsidRPr="002F2FDF" w:rsidRDefault="005505D2" w:rsidP="0083075A">
      <w:pPr>
        <w:spacing w:after="0" w:line="240" w:lineRule="auto"/>
        <w:jc w:val="both"/>
        <w:rPr>
          <w:rFonts w:ascii="Times New Roman" w:hAnsi="Times New Roman" w:cs="Times New Roman"/>
          <w:color w:val="000000" w:themeColor="text1"/>
          <w:kern w:val="2"/>
          <w:sz w:val="16"/>
          <w:szCs w:val="16"/>
          <w:u w:color="002060"/>
        </w:rPr>
      </w:pPr>
      <w:r w:rsidRPr="002F2FDF">
        <w:rPr>
          <w:rFonts w:ascii="Times New Roman" w:hAnsi="Times New Roman" w:cs="Times New Roman"/>
          <w:color w:val="000000" w:themeColor="text1"/>
          <w:kern w:val="2"/>
          <w:sz w:val="16"/>
          <w:szCs w:val="16"/>
          <w:u w:color="002060"/>
        </w:rPr>
        <w:t>Первый образец LK изготовили к 1918 г. Для массового производства была предложена усовершенствованная конструкция – танк LK-II. Однако трудности войны не позволили развернуть массовое производство этих легких машин в Германии (12148).</w:t>
      </w:r>
    </w:p>
    <w:p w14:paraId="333E7566" w14:textId="77777777" w:rsidR="005505D2" w:rsidRPr="002F2FDF" w:rsidRDefault="005505D2" w:rsidP="0083075A">
      <w:pPr>
        <w:spacing w:after="0" w:line="240" w:lineRule="auto"/>
        <w:jc w:val="both"/>
        <w:rPr>
          <w:rFonts w:ascii="Times New Roman" w:hAnsi="Times New Roman" w:cs="Times New Roman"/>
          <w:color w:val="000000" w:themeColor="text1"/>
          <w:kern w:val="2"/>
          <w:sz w:val="16"/>
          <w:szCs w:val="16"/>
          <w:u w:color="002060"/>
        </w:rPr>
      </w:pPr>
    </w:p>
    <w:p w14:paraId="7E2A9A4D" w14:textId="16F37A39"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436E6A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F55A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апреля по октябрь 1917 г. прошли испытания и были приняты в состав Балтийского флота эсминцы Изяслав, Автроил, Константин и Свобода (бывший Владимир) (10700).</w:t>
      </w:r>
    </w:p>
    <w:p w14:paraId="48A9FC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9C16CA" w14:textId="77777777" w:rsidR="00875D28" w:rsidRDefault="00875D28"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172342FD" w14:textId="77777777" w:rsidR="00875D28" w:rsidRDefault="00875D28"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ECDA446" w14:textId="77777777" w:rsidR="00875D28" w:rsidRPr="00FB4F67" w:rsidRDefault="00875D2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апреле-мае 1917 г. прошли последние значительные операции эскадры — групповые вы</w:t>
      </w:r>
      <w:r w:rsidRPr="00FB4F67">
        <w:rPr>
          <w:rFonts w:ascii="Times New Roman" w:hAnsi="Times New Roman" w:cs="Times New Roman"/>
          <w:color w:val="0070C0"/>
          <w:sz w:val="16"/>
          <w:szCs w:val="16"/>
        </w:rPr>
        <w:softHyphen/>
        <w:t>леты оставшихся «Муромцев» в сопровождении истре</w:t>
      </w:r>
      <w:r w:rsidRPr="00FB4F67">
        <w:rPr>
          <w:rFonts w:ascii="Times New Roman" w:hAnsi="Times New Roman" w:cs="Times New Roman"/>
          <w:color w:val="0070C0"/>
          <w:sz w:val="16"/>
          <w:szCs w:val="16"/>
        </w:rPr>
        <w:softHyphen/>
        <w:t>бителей знаменитого Казакова. Иногда в воздухе нахо</w:t>
      </w:r>
      <w:r w:rsidRPr="00FB4F67">
        <w:rPr>
          <w:rFonts w:ascii="Times New Roman" w:hAnsi="Times New Roman" w:cs="Times New Roman"/>
          <w:color w:val="0070C0"/>
          <w:sz w:val="16"/>
          <w:szCs w:val="16"/>
        </w:rPr>
        <w:softHyphen/>
        <w:t>дилось до 33 аппаратов. Это была впечатляющая картина. Вражеские истребители не появлялись.</w:t>
      </w:r>
    </w:p>
    <w:p w14:paraId="7223EC64" w14:textId="77777777" w:rsidR="00875D28" w:rsidRPr="00FB4F67" w:rsidRDefault="00875D2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мае началось разложение армии, массовое дезер</w:t>
      </w:r>
      <w:r w:rsidRPr="00FB4F67">
        <w:rPr>
          <w:rFonts w:ascii="Times New Roman" w:hAnsi="Times New Roman" w:cs="Times New Roman"/>
          <w:color w:val="0070C0"/>
          <w:sz w:val="16"/>
          <w:szCs w:val="16"/>
        </w:rPr>
        <w:softHyphen/>
        <w:t>тирство. Под нажимом противника остатки русских войск откатывались назад. Уходя от неприятеля, боль</w:t>
      </w:r>
      <w:r w:rsidRPr="00FB4F67">
        <w:rPr>
          <w:rFonts w:ascii="Times New Roman" w:hAnsi="Times New Roman" w:cs="Times New Roman"/>
          <w:color w:val="0070C0"/>
          <w:sz w:val="16"/>
          <w:szCs w:val="16"/>
        </w:rPr>
        <w:softHyphen/>
        <w:t>шинство «Муромцев» перелетели со своих отрядных аэродромов в Винницу. Командир же корабля Грек смог улететь в Киев, Насонов сел в Борисове и при при</w:t>
      </w:r>
      <w:r w:rsidRPr="00FB4F67">
        <w:rPr>
          <w:rFonts w:ascii="Times New Roman" w:hAnsi="Times New Roman" w:cs="Times New Roman"/>
          <w:color w:val="0070C0"/>
          <w:sz w:val="16"/>
          <w:szCs w:val="16"/>
        </w:rPr>
        <w:softHyphen/>
        <w:t xml:space="preserve">ближении </w:t>
      </w:r>
      <w:r w:rsidRPr="00FB4F67">
        <w:rPr>
          <w:rFonts w:ascii="Times New Roman" w:hAnsi="Times New Roman" w:cs="Times New Roman"/>
          <w:color w:val="0070C0"/>
          <w:sz w:val="16"/>
          <w:szCs w:val="16"/>
        </w:rPr>
        <w:lastRenderedPageBreak/>
        <w:t>немцев сжег корабль. Башко в Бобруйске по</w:t>
      </w:r>
      <w:r w:rsidRPr="00FB4F67">
        <w:rPr>
          <w:rFonts w:ascii="Times New Roman" w:hAnsi="Times New Roman" w:cs="Times New Roman"/>
          <w:color w:val="0070C0"/>
          <w:sz w:val="16"/>
          <w:szCs w:val="16"/>
        </w:rPr>
        <w:softHyphen/>
        <w:t>пал в руки 1-го польского корпуса, в котором боевой ко</w:t>
      </w:r>
      <w:r w:rsidRPr="00FB4F67">
        <w:rPr>
          <w:rFonts w:ascii="Times New Roman" w:hAnsi="Times New Roman" w:cs="Times New Roman"/>
          <w:color w:val="0070C0"/>
          <w:sz w:val="16"/>
          <w:szCs w:val="16"/>
        </w:rPr>
        <w:softHyphen/>
        <w:t>мандир находился, практически, на правах военнопленного. Через некоторое время, когда немцы уже захватили город, он совершил дерзкий побег, угнав из-под самого носа охраны свой верный «Муромец» (24177).</w:t>
      </w:r>
    </w:p>
    <w:p w14:paraId="6730A5CC" w14:textId="77777777" w:rsidR="00875D28" w:rsidRPr="00FB4F67" w:rsidRDefault="00875D28" w:rsidP="0083075A">
      <w:pPr>
        <w:spacing w:after="0" w:line="240" w:lineRule="auto"/>
        <w:jc w:val="both"/>
        <w:rPr>
          <w:rFonts w:ascii="Times New Roman" w:hAnsi="Times New Roman" w:cs="Times New Roman"/>
          <w:color w:val="0070C0"/>
          <w:sz w:val="16"/>
          <w:szCs w:val="16"/>
        </w:rPr>
      </w:pPr>
    </w:p>
    <w:p w14:paraId="0CD5D853" w14:textId="77777777" w:rsidR="0021568A" w:rsidRPr="002F2FDF" w:rsidRDefault="0021568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2D899FC" w14:textId="77777777" w:rsidR="0021568A" w:rsidRPr="002F2FDF" w:rsidRDefault="0021568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521541" w14:textId="77777777" w:rsidR="0021568A" w:rsidRPr="002F2FDF" w:rsidRDefault="0021568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апреле-мае заводу SPAD в Бетани под напором Жорж Гинемер был выдан заказ на 300 пушечных истребителей СПАД S.XIICa1.</w:t>
      </w:r>
    </w:p>
    <w:p w14:paraId="130634C9" w14:textId="7B560A59" w:rsidR="0021568A" w:rsidRPr="002F2FDF" w:rsidRDefault="0021568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Между тем «всплывали» все новые и новые недостатки машины. Тряску мотора удалось изжить, лишь снова полностью его переделав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в серию он пошел под обозначением H.S.8C Тип 44. Карбюратор на маневре и разгоне свои преимущества давал, но работал ненадежно</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его потом неоднократно меняли. Чтобы поставить трубчатый прицел, пришлось пристрелочный пулемет сдвигать вправо, благо это уже отработали на S.XIII. Но баллистика пушки оказалась недостаточной для уверенного попадания в цель на типовой дистанции стрельбы. Фирма АРХ предложила перейти на картечный снаряд, и хотя это «гробило идею» самолета, так и сделали, правда, дав возможность летчикам выбирать. С пушки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51 стали давать два ствола</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нарезной и гладкий для картечи. Пристрелка из пулемета и вовсе оказалась бесполезной</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снаряд шел по другой траектории, но сам по себе в бою он был не лишним (22861).</w:t>
      </w:r>
    </w:p>
    <w:p w14:paraId="7023B226" w14:textId="77777777" w:rsidR="0021568A" w:rsidRPr="002F2FDF" w:rsidRDefault="0021568A" w:rsidP="0083075A">
      <w:pPr>
        <w:spacing w:after="0" w:line="240" w:lineRule="auto"/>
        <w:jc w:val="both"/>
        <w:rPr>
          <w:rFonts w:ascii="Times New Roman" w:hAnsi="Times New Roman" w:cs="Times New Roman"/>
          <w:color w:val="000000" w:themeColor="text1"/>
          <w:sz w:val="16"/>
          <w:szCs w:val="16"/>
        </w:rPr>
      </w:pPr>
    </w:p>
    <w:p w14:paraId="07BC8503" w14:textId="77777777" w:rsidR="00875D28" w:rsidRPr="002F2FDF" w:rsidRDefault="00875D2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апреле-мае 1917 г. началось изготовление первых деталей в рамках серийного производства Ньюпор 24 с попутным устранением выставленных замечаний и приспособлением новой конструкции под существующее производство и систему поставок. В серию пошел капот мотора со стандартными диаметром центрального отверстия и длиной, но с улучшенной профилировкой входной части. Воздушный винт ставили обычный. Первые самолеты были сданы с коками винтов, но их пришлось снять, оставив закрепленный на валу мотора их центрирующий стержень, потом и его убрали. Управляемость по крену и усилия на ручке нормализовались скруглением законцовок элеронов. Козырьки кабины на серийные самолеты ставились обычные, иногда — такие, как на самых первых Ньюпорах 10 и 11, но чаще упрощенные по типу последних Ньюпоров 17. Наконец, вооружение было приведено к стандарту типа 23 с одним сдвинутым вправо пулеметом «Виккерс» с синхронизатором «Алкан-Хами». Мощность поставляемых моторов Рон 9Jb на серийных Ньюпорах 24 могла быть и 130, и 120 сил, но отдельные экземпляры форсировали до 150 л. с. Первые самолеты Ньюпор 24 попали на Западный фронт в июне 1917 г. Фирма была крайне обеспокоена тем, что SPAD не просто отобрал у нее львиную долю заказов, но добился того, что истребительные эскадрильи Военной авиации Франции стали массово переименовываться из N в SPA часто еще даже до перевооружения, четко обозначив негативную для парижского концерна «Ньюпор-Астра» тенденцию.</w:t>
      </w:r>
    </w:p>
    <w:p w14:paraId="66478653" w14:textId="77777777" w:rsidR="00875D28" w:rsidRPr="002F2FDF" w:rsidRDefault="00875D2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Однако уже первые воздушные бои показали, что не все недостатки машины были устранены, а некоторые на испытаниях даже и не выявили. Центровка серийных самолетов с облегченным вооружением сместилась назад, и пилот не всегда мог уравновесить тенденцию машины «задрать нос» рулем высоты. В лучшем случае это приводило к потере скорости, а в худшем — к переходу в штопор. Выход в нормальный полет не был труден, но в бою это было ни к чему, как и трудность удержания машины на курсе на взлете и в момент атаки, и скольжение на крыло при вираже, которое не всегда удавалось предотвратить отклонением руля направления. Новая конструкция оперения оказалась не только неэффективной, но и сложной в производстве. Ее стали упрощать, жертвуя весом и ухудшая центровку, потому уже летом 1917 г. на часть самолетов стали ставить старое оперение по типу Ньюпора 17 без неподвижного киля, с трапециевидным стабилизатором большей площади, с трубчатым каркасом и полностью полотняной обшивкой. Такие машины именовались Ньюпор 24bis. Их летные данные были чуть хуже базового варианта того же времени выпуска. Управляемость улучшилась, но нежелание Деляжа менять конструкцию крыла не позволило гарантировать прочность машины в бою. Его позиция была такой, как будто этой проблемы и не существовало, а между тем Военное министерство Франции уже к осени 1917 г. перестало поставлять самолеты Ньюпор 24 и 24bis на фронт, отдавая их в летные школы и на экспорт.</w:t>
      </w:r>
    </w:p>
    <w:p w14:paraId="60F90DDE" w14:textId="77777777" w:rsidR="00875D28" w:rsidRPr="002F2FDF" w:rsidRDefault="00875D2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Во Франции построили около тысячи Ньюпоров 24 и 24bis, а пять зарубежных производителей (считая московские заводы — частный «ДУКС» и национализированный ГАЗ-1 — одним предприятием) сделали их еще порядка 290 штук. Они служили в военной авиации шестнадцати стран во время мировой войны и после ее окончания (22778).</w:t>
      </w:r>
    </w:p>
    <w:p w14:paraId="4D95F72E" w14:textId="77777777" w:rsidR="00875D28" w:rsidRPr="002F2FDF" w:rsidRDefault="00875D28" w:rsidP="0083075A">
      <w:pPr>
        <w:spacing w:after="0" w:line="240" w:lineRule="auto"/>
        <w:jc w:val="both"/>
        <w:rPr>
          <w:rFonts w:ascii="Times New Roman" w:hAnsi="Times New Roman" w:cs="Times New Roman"/>
          <w:color w:val="000000" w:themeColor="text1"/>
          <w:sz w:val="16"/>
          <w:szCs w:val="16"/>
        </w:rPr>
      </w:pPr>
    </w:p>
    <w:p w14:paraId="3C56645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954C8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8E885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маю 1917 закончились испытания первого отечест</w:t>
      </w:r>
      <w:r w:rsidRPr="002F2FDF">
        <w:rPr>
          <w:rFonts w:ascii="Times New Roman" w:hAnsi="Times New Roman" w:cs="Times New Roman"/>
          <w:color w:val="000000" w:themeColor="text1"/>
          <w:kern w:val="2"/>
          <w:sz w:val="16"/>
          <w:szCs w:val="16"/>
        </w:rPr>
        <w:softHyphen/>
        <w:t>венного учебного самолета П-1У. Научно-техниче</w:t>
      </w:r>
      <w:r w:rsidRPr="002F2FDF">
        <w:rPr>
          <w:rFonts w:ascii="Times New Roman" w:hAnsi="Times New Roman" w:cs="Times New Roman"/>
          <w:color w:val="000000" w:themeColor="text1"/>
          <w:kern w:val="2"/>
          <w:sz w:val="16"/>
          <w:szCs w:val="16"/>
        </w:rPr>
        <w:softHyphen/>
        <w:t>ский комитет УВВФ в постановлении от 13 июня 1917 г. дал следующую оценку первого отечест</w:t>
      </w:r>
      <w:r w:rsidRPr="002F2FDF">
        <w:rPr>
          <w:rFonts w:ascii="Times New Roman" w:hAnsi="Times New Roman" w:cs="Times New Roman"/>
          <w:color w:val="000000" w:themeColor="text1"/>
          <w:kern w:val="2"/>
          <w:sz w:val="16"/>
          <w:szCs w:val="16"/>
        </w:rPr>
        <w:softHyphen/>
        <w:t>венного учебного самолета П-1У:</w:t>
      </w:r>
    </w:p>
    <w:p w14:paraId="0B11FA4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Аппарат Пороховщикова является весьма хоро</w:t>
      </w:r>
      <w:r w:rsidRPr="002F2FDF">
        <w:rPr>
          <w:rFonts w:ascii="Times New Roman" w:hAnsi="Times New Roman" w:cs="Times New Roman"/>
          <w:color w:val="000000" w:themeColor="text1"/>
          <w:kern w:val="2"/>
          <w:sz w:val="16"/>
          <w:szCs w:val="16"/>
        </w:rPr>
        <w:softHyphen/>
        <w:t>шим учебным аппаратом, а потому заказ его для авиа</w:t>
      </w:r>
      <w:r w:rsidRPr="002F2FDF">
        <w:rPr>
          <w:rFonts w:ascii="Times New Roman" w:hAnsi="Times New Roman" w:cs="Times New Roman"/>
          <w:color w:val="000000" w:themeColor="text1"/>
          <w:kern w:val="2"/>
          <w:sz w:val="16"/>
          <w:szCs w:val="16"/>
        </w:rPr>
        <w:softHyphen/>
        <w:t>ционных школ желателен.</w:t>
      </w:r>
    </w:p>
    <w:p w14:paraId="4BBA585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Обязательство по постройке аппарата нового ти</w:t>
      </w:r>
      <w:r w:rsidRPr="002F2FDF">
        <w:rPr>
          <w:rFonts w:ascii="Times New Roman" w:hAnsi="Times New Roman" w:cs="Times New Roman"/>
          <w:color w:val="000000" w:themeColor="text1"/>
          <w:kern w:val="2"/>
          <w:sz w:val="16"/>
          <w:szCs w:val="16"/>
        </w:rPr>
        <w:softHyphen/>
        <w:t>па, принятое на себя г-ном Пороховщиковым, следует считать выполненным”.</w:t>
      </w:r>
    </w:p>
    <w:p w14:paraId="46DCF64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Серийная постройка П-1У развернулась с июня на эвакуированном из Риги заводе Пороховщикова. Он располагался в Петрограде на Песочной набережной Аптекарского острова. После революции завод был на</w:t>
      </w:r>
      <w:r w:rsidRPr="002F2FDF">
        <w:rPr>
          <w:rFonts w:ascii="Times New Roman" w:hAnsi="Times New Roman" w:cs="Times New Roman"/>
          <w:color w:val="000000" w:themeColor="text1"/>
          <w:kern w:val="2"/>
          <w:sz w:val="16"/>
          <w:szCs w:val="16"/>
        </w:rPr>
        <w:softHyphen/>
        <w:t>ционализирован, однако постройка П-ГУ продолжалась. Пороховщиков разработал несколько модификаций машины, в том числе с тянущим винтом (П-ГУ 2бис). В их создании принимал деятельное участие инженер А.Р.Рубенчик, впоследствии один из руководителей авиапромышленности СССР. Летчики высоко оценивали эти самолеты. В удосто</w:t>
      </w:r>
      <w:r w:rsidRPr="002F2FDF">
        <w:rPr>
          <w:rFonts w:ascii="Times New Roman" w:hAnsi="Times New Roman" w:cs="Times New Roman"/>
          <w:color w:val="000000" w:themeColor="text1"/>
          <w:kern w:val="2"/>
          <w:sz w:val="16"/>
          <w:szCs w:val="16"/>
        </w:rPr>
        <w:softHyphen/>
        <w:t>верении, выданном А.А.Пороховщикову 25 мая 1918 г. 1-й Народной социалистической школой авиации, гово</w:t>
      </w:r>
      <w:r w:rsidRPr="002F2FDF">
        <w:rPr>
          <w:rFonts w:ascii="Times New Roman" w:hAnsi="Times New Roman" w:cs="Times New Roman"/>
          <w:color w:val="000000" w:themeColor="text1"/>
          <w:kern w:val="2"/>
          <w:sz w:val="16"/>
          <w:szCs w:val="16"/>
        </w:rPr>
        <w:softHyphen/>
        <w:t>рилось: “Считать самолет системы “Пороховщиков IV” наилучшим учебным аппаратом данного времени и [его] применение в авиационных школах крайне потреб</w:t>
      </w:r>
      <w:r w:rsidRPr="002F2FDF">
        <w:rPr>
          <w:rFonts w:ascii="Times New Roman" w:hAnsi="Times New Roman" w:cs="Times New Roman"/>
          <w:color w:val="000000" w:themeColor="text1"/>
          <w:kern w:val="2"/>
          <w:sz w:val="16"/>
          <w:szCs w:val="16"/>
        </w:rPr>
        <w:softHyphen/>
        <w:t>ным” (10667).</w:t>
      </w:r>
    </w:p>
    <w:p w14:paraId="25E1ADE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D87CA2" w14:textId="77777777" w:rsidR="001B0E65" w:rsidRPr="002F2FDF" w:rsidRDefault="001B0E6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5324245" w14:textId="77777777" w:rsidR="001B0E65" w:rsidRPr="002F2FDF" w:rsidRDefault="001B0E6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252EBB" w14:textId="77777777" w:rsidR="001B0E65" w:rsidRPr="002F2FDF" w:rsidRDefault="001B0E65" w:rsidP="0083075A">
      <w:pPr>
        <w:pStyle w:val="ae"/>
        <w:spacing w:before="0" w:after="0"/>
        <w:jc w:val="both"/>
        <w:rPr>
          <w:color w:val="000000" w:themeColor="text1"/>
          <w:sz w:val="16"/>
          <w:szCs w:val="16"/>
        </w:rPr>
      </w:pPr>
      <w:r w:rsidRPr="002F2FDF">
        <w:rPr>
          <w:color w:val="000000" w:themeColor="text1"/>
          <w:sz w:val="16"/>
          <w:szCs w:val="16"/>
        </w:rPr>
        <w:t>К маю 1917 г. в России было сооружено 32 предприятия сернокислотного профиля, что дало увеличение выработки серной кислоты до 1864,7 тыс. пуд. в месяц. Производство азотной кислоты в годы войны резко снизилось в связи с трудностями в доставке чилийской селитры. Химическим комитетом был разработан новый способ получения азотной кислоты из аммиака и на его основе был сооружен опытный завод в Макеевке (18369).</w:t>
      </w:r>
    </w:p>
    <w:p w14:paraId="217E715C" w14:textId="77777777" w:rsidR="001B0E65" w:rsidRPr="002F2FDF" w:rsidRDefault="001B0E65" w:rsidP="0083075A">
      <w:pPr>
        <w:pStyle w:val="ae"/>
        <w:spacing w:before="0" w:after="0"/>
        <w:jc w:val="both"/>
        <w:rPr>
          <w:color w:val="000000" w:themeColor="text1"/>
          <w:sz w:val="16"/>
          <w:szCs w:val="16"/>
        </w:rPr>
      </w:pPr>
    </w:p>
    <w:p w14:paraId="258CBE76" w14:textId="77777777" w:rsidR="00125068" w:rsidRPr="002F2FDF" w:rsidRDefault="0012506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маю 1917 г. в России было сооружено 32 сернокислотных предприятия, что дало увеличение выработки серной кислоты до 1864,7 тыс. пуд. в месяц [Ипатьев В. Указ. соч. С. 19, 18, 21.]. С производством серной кислоты в связи с сокращением ввоза колчедана и оккупацией Польши и прибалтийских губерний, где находилось большинство сернокислотных заводов сложилось особенно трудное положение было. В результате производство серной кислоты осенью 1915 г. упало до 700 тыс. пуд. против 1,25 млн. пудов в довоенный период. Для исправления положения приступили к постройке 20 новых сернокислотных заводов. Производство азотной кислоты в годы войны резко снизилось в связи с трудностями в доставке чилийской селитры. Химическим комитетом был разработан новый способ получения азотной кислоты из аммиака и на его основе был сооружен опытный завод в Макеевке (11863).</w:t>
      </w:r>
    </w:p>
    <w:p w14:paraId="23737622" w14:textId="77777777" w:rsidR="00125068" w:rsidRPr="002F2FDF" w:rsidRDefault="0012506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87B1D9" w14:textId="77777777" w:rsidR="00125068" w:rsidRPr="002F2FDF" w:rsidRDefault="0012506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маю 1917 многообразные требования войны осложнили деятельность ГАУ свыше всяких предположений. По мере увеличения или возникновения новых требований видоизменялась организация ГАУ, штаты его непрерывно расширялись без определенного, заранее предусмотренного плана. К концу мировой войны, в мае 1917 г., когда ген. Маниковского, назначенного помощником военного министра по снабжению, заменил ген. Лехович, ГАУ представляло чрезвычайно сложный и громоздкий организм, как это видно на прилагаемой схеме 2 (приложение 2) (11483).</w:t>
      </w:r>
    </w:p>
    <w:p w14:paraId="33BE8DDA" w14:textId="77777777" w:rsidR="00125068" w:rsidRPr="002F2FDF" w:rsidRDefault="0012506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 сравнению с началом 1915 г. состав ГАУ увеличился втрое: в феврале 1915 г. в ГАУ служило всего 200 офицеров и чиновников, в том числе 12 прикомандированных; в мае 1917 г. - 980 чел., в том числе около 500 чел. прикомандированных и по вольному найму. </w:t>
      </w:r>
    </w:p>
    <w:p w14:paraId="3054AAA1" w14:textId="77777777" w:rsidR="00125068" w:rsidRPr="002F2FDF" w:rsidRDefault="0012506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При ГАУ взамен комиссии по заготовке взрывчатых веществ был организован Химический комитет под председательством академика В. Н. Ипатьева, в котором работало около 300 человек, из них большинство специалистов - инженеров и техников. Химический комитет состоял из: канцелярии, 5 отделов по специальностям - взрывчатых веществ, удушающих средств, борьбы с этими средствами, зажигательных снарядов и кислотный; бюро в составе 8 уполномоченных на местах производства. </w:t>
      </w:r>
    </w:p>
    <w:p w14:paraId="3B22B270" w14:textId="77777777" w:rsidR="00125068" w:rsidRPr="002F2FDF" w:rsidRDefault="0012506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Комитет за время войны выполнил 4 основные большие задачи: 1) создание и развитие заводов в России, вырабатывающих исходные продукты, необходимые для фабрикации взрывчатых веществ,- добыча толуола из каменного угля и нефти практически, путем ее пирогенизации; 2) обеспечение страны серной и азотной кислотами, в связи с фабрикацией взрывчатых веществ; 3) организация самой выделки взрывчатых веществ, причем были введены новые типы этих веществ - ксилил, дипитронафталин - и установлено новое в России производство синтетического фенола для получения пикриновой кислоты и медикаментов, а также были применены нафталин и антрацен для образования дымовых завес; 4) значительное развитие заводов удушающих средств (работы комиссии удушающих средств (У. С.) под председательством ген. Крылова). </w:t>
      </w:r>
    </w:p>
    <w:p w14:paraId="3D244542" w14:textId="77777777" w:rsidR="00125068" w:rsidRPr="002F2FDF" w:rsidRDefault="0012506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Тогда же Химическим комитетом были намечены пути для перехода военной химической промышленности к обслуживанию нужд страны в мирное время.</w:t>
      </w:r>
    </w:p>
    <w:p w14:paraId="3381D543" w14:textId="77777777" w:rsidR="00125068" w:rsidRPr="002F2FDF" w:rsidRDefault="0012506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состав Арткома технической части ГАУ добавлены были 2 новых временных отдела - VI пороховой, лабораторный и ракетный и VII лафетный. </w:t>
      </w:r>
    </w:p>
    <w:p w14:paraId="16DF2E7A" w14:textId="77777777" w:rsidR="00125068" w:rsidRPr="002F2FDF" w:rsidRDefault="0012506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составе ГАУ образовано 3 хозяйственных отдела вместо одного, III отдел технических артиллерийских заведений преобразован в 3 разных отдела по специальности производств с подчинением их помощнику начальника ГАУ; должность помощника была вновь введена, причем он являлся помощником по технической части вообще, без его визы не проходили вопросы технического характера, возникающие и в неподчиненных ему I и II хозяйственных отделах. </w:t>
      </w:r>
    </w:p>
    <w:p w14:paraId="0B06CE92" w14:textId="77777777" w:rsidR="00125068" w:rsidRPr="002F2FDF" w:rsidRDefault="0012506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xml:space="preserve">Вместо 12 отделений в 1915 г. в ГАУ к маю 1917 г. стало 21 отделение; были добавлены отделения для работы по вопросам: IXа - казенных взрывчатых веществ, XIII - противогазов, удушающих и зажигательных средств, XIV - заготовления взрывчатых веществ на частных заводах, XV - реквизиций, XVI - заготовления и снабжения автомобилями, ХVII - заготовления и снабжения бомбометами и минометами и др. </w:t>
      </w:r>
    </w:p>
    <w:p w14:paraId="1F2F7F1F" w14:textId="77777777" w:rsidR="00125068" w:rsidRPr="002F2FDF" w:rsidRDefault="0012506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Установленный старым законом (С.В. пост. 1869 г., изд. 3-е) порядок службы и ведения дел в ГАУ оставался неизменным и в 1917 г. Попрежнему и начальник ГАУ и его ближайшие сотрудники были крайне ограничены в правах, но на них возлагалась масса ответственных обязанностей. </w:t>
      </w:r>
    </w:p>
    <w:p w14:paraId="7C2C980F" w14:textId="77777777" w:rsidR="00125068" w:rsidRPr="002F2FDF" w:rsidRDefault="0012506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Военный министр, вместо того чтобы руководить и ставить задачи ГАУ, ведет "борьбу" с подчиненным ему артиллерийским ведомством. Ген. Сухомлинов, будучи военным министром, мало интересовался артиллерийским ведомством. Естественно, он сам растерялся и не знал, что он "может сделать", когда ему пришлось вследствие болезни генерал-инспектора артиллерии руководить этим сложным ведомством, да еще в ответственных, тяжелых условиях войны. </w:t>
      </w:r>
    </w:p>
    <w:p w14:paraId="55D26272" w14:textId="77777777" w:rsidR="00125068" w:rsidRPr="002F2FDF" w:rsidRDefault="0012506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Преступно-легкомысленное отношение ген. Сухомлинова к управляемому им военному министерству получило громкую известность. </w:t>
      </w:r>
    </w:p>
    <w:p w14:paraId="031797F1" w14:textId="77777777" w:rsidR="00125068" w:rsidRPr="002F2FDF" w:rsidRDefault="0012506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Несравненно более серьезный ген. Поливанов, будучи помощником Сухомлинова, а затем военным министром, стремился прежде всего угодить Государственной думе и так называемым "общественным деятелям", а после Февральской революция - временному правительству. </w:t>
      </w:r>
    </w:p>
    <w:p w14:paraId="3B2CBAF0" w14:textId="77777777" w:rsidR="00125068" w:rsidRPr="002F2FDF" w:rsidRDefault="0012506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Ген. Поливанов весьма отрицательно относился к Особой распорядительной комиссии по артиллерийской части под председательством ген.-инспектора артиллерии (11483).</w:t>
      </w:r>
    </w:p>
    <w:p w14:paraId="3E0C607B" w14:textId="77777777" w:rsidR="00125068" w:rsidRPr="002F2FDF" w:rsidRDefault="0012506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CF9D7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9D84C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FA95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маю 1917 года было сформировано 6 двухорудийных батарей с 305-мм гаубицами обр. 1915 г. Тоже число сохранилось и на сентябрь 1917 года. Они входили в состав 201 артиллерийской бригады (три батареи литера "В") и 203 артиллерийской бригады (три батареи литера "В") (3861).</w:t>
      </w:r>
    </w:p>
    <w:p w14:paraId="7D5662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30D1A9" w14:textId="77777777" w:rsidR="00216808" w:rsidRPr="002F2FDF" w:rsidRDefault="0021680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3E7FD3D" w14:textId="77777777" w:rsidR="00216808" w:rsidRPr="002F2FDF" w:rsidRDefault="0021680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C50A97" w14:textId="77777777" w:rsidR="00216808" w:rsidRPr="002F2FDF" w:rsidRDefault="00216808"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hAnsi="Times New Roman" w:cs="Times New Roman"/>
          <w:color w:val="000000" w:themeColor="text1"/>
          <w:sz w:val="16"/>
          <w:szCs w:val="16"/>
        </w:rPr>
        <w:t>К маю 1917 г. новые британские танки Мк IV начали в значительных количествах прибывать во Францию. С ростом численности танков был реорганизован и «тяжелый отряд пулеметного корпуса», как из соображений секретности того времени именовалось танковое подразделение британской армии. 28 июля 1917 г. на его базе был сформирован Танкового корпус. Штат Танкового корпуса, утвержденный Главным командованием, включал 864 тяжелых танка («ромба»), 610 легких или, как тогда говорили, «маневренных» танков, а также 24 653 солдата и офицера. Кроме боевого применения танков, Танковый корпус должен был производить контроль формирования, подготовки и обеспечения танковых частей и, что очень важно, осуществлять выработку принципов их боевого применения. Этим с энтузиазмом занялся возглавивший штаб Танкового корпуса майор Джордж Фуллер, впоследствии ставший известным военным теоретиком. Он смог быстро оценить преимущества нового рода оружия и с тех пор стал активным сторонником его превращения в самостоятельный род войск и «пророком механизированной войны» (22790).</w:t>
      </w:r>
    </w:p>
    <w:p w14:paraId="5033F97A" w14:textId="77777777" w:rsidR="00216808" w:rsidRPr="002F2FDF" w:rsidRDefault="00216808"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75FB00C7" w14:textId="77777777" w:rsidR="001B0E65" w:rsidRPr="002F2FDF" w:rsidRDefault="001B0E6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3959BD84" w14:textId="77777777" w:rsidR="001B0E65" w:rsidRPr="002F2FDF" w:rsidRDefault="001B0E6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C84818" w14:textId="77777777" w:rsidR="001B0E65" w:rsidRPr="002F2FDF" w:rsidRDefault="001B0E65" w:rsidP="0083075A">
      <w:pPr>
        <w:pStyle w:val="ae"/>
        <w:spacing w:before="0" w:after="0"/>
        <w:jc w:val="both"/>
        <w:textAlignment w:val="top"/>
        <w:rPr>
          <w:color w:val="000000" w:themeColor="text1"/>
          <w:sz w:val="16"/>
          <w:szCs w:val="16"/>
        </w:rPr>
      </w:pPr>
      <w:r w:rsidRPr="002F2FDF">
        <w:rPr>
          <w:color w:val="000000" w:themeColor="text1"/>
          <w:sz w:val="16"/>
          <w:szCs w:val="16"/>
        </w:rPr>
        <w:t>К весне-лету 1917 г. выполнение заказов, сделанных в США, составляли не более 15% (18384).</w:t>
      </w:r>
    </w:p>
    <w:p w14:paraId="1882A414" w14:textId="77777777" w:rsidR="001B0E65" w:rsidRPr="002F2FDF" w:rsidRDefault="001B0E65" w:rsidP="0083075A">
      <w:pPr>
        <w:pStyle w:val="ae"/>
        <w:spacing w:before="0" w:after="0"/>
        <w:jc w:val="both"/>
        <w:textAlignment w:val="top"/>
        <w:rPr>
          <w:color w:val="000000" w:themeColor="text1"/>
          <w:sz w:val="16"/>
          <w:szCs w:val="16"/>
        </w:rPr>
      </w:pPr>
    </w:p>
    <w:p w14:paraId="66DD413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11B02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432C2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1 (14) мая 1917 в России к обслуживанию нужд действующей армии было привлечено 90% всех русских заводов (4065 более-менее крупных) и 96% заводского персонала (648 тыс. рабочих и 52 тыс. итр) (5484,111).</w:t>
      </w:r>
    </w:p>
    <w:p w14:paraId="7A4EDE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B409A2" w14:textId="77777777" w:rsidR="00216808" w:rsidRPr="002F2FDF" w:rsidRDefault="00216808"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К 1 (14) мая 1917 г. русской промышленностью в общей сложности было изготовлено 7,5 млн. противогазов (20236).</w:t>
      </w:r>
    </w:p>
    <w:p w14:paraId="11E24639" w14:textId="77777777" w:rsidR="00216808" w:rsidRPr="002F2FDF" w:rsidRDefault="00216808"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0ACBF4A" w14:textId="77777777" w:rsidR="00216808" w:rsidRPr="002F2FDF" w:rsidRDefault="00216808"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(14) мая 1917 Инженерный Комитет ГВТУ заметил в надписи предложение «прибора для борьбы с тэнками» Г.А. Безсонова в виде самоходной колесной мины от: «У нас имеется уже несколько управляемых самодвижущихся мин, которые выдержали испытания»(20250).</w:t>
      </w:r>
    </w:p>
    <w:p w14:paraId="6E3357C4" w14:textId="77777777" w:rsidR="00216808" w:rsidRPr="002F2FDF" w:rsidRDefault="00216808" w:rsidP="0083075A">
      <w:pPr>
        <w:shd w:val="clear" w:color="auto" w:fill="FFFFFF"/>
        <w:spacing w:after="0" w:line="240" w:lineRule="auto"/>
        <w:jc w:val="both"/>
        <w:rPr>
          <w:rFonts w:ascii="Times New Roman" w:hAnsi="Times New Roman" w:cs="Times New Roman"/>
          <w:color w:val="000000" w:themeColor="text1"/>
          <w:sz w:val="16"/>
          <w:szCs w:val="16"/>
        </w:rPr>
      </w:pPr>
    </w:p>
    <w:p w14:paraId="3EB3408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DBEA3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A2A53E"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мая 1917:</w:t>
      </w:r>
    </w:p>
    <w:p w14:paraId="1BAA0A93"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Список экипажей Эскадры Воздушных Кораблей по состоянию на 1 мая 1917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2B1C74" w:rsidRPr="002F2FDF" w14:paraId="7C6F057C" w14:textId="77777777" w:rsidTr="00871D7D">
        <w:tc>
          <w:tcPr>
            <w:tcW w:w="3736" w:type="dxa"/>
            <w:tcBorders>
              <w:top w:val="single" w:sz="12" w:space="0" w:color="auto"/>
            </w:tcBorders>
          </w:tcPr>
          <w:p w14:paraId="65647514"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w:t>
            </w:r>
          </w:p>
        </w:tc>
        <w:tc>
          <w:tcPr>
            <w:tcW w:w="3736" w:type="dxa"/>
            <w:tcBorders>
              <w:top w:val="single" w:sz="12" w:space="0" w:color="auto"/>
            </w:tcBorders>
          </w:tcPr>
          <w:p w14:paraId="59EC6BA3" w14:textId="086658C8"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Моторы, назначенные</w:t>
            </w:r>
            <w:r w:rsidR="006E4FF2">
              <w:rPr>
                <w:rFonts w:ascii="Times New Roman" w:hAnsi="Times New Roman" w:cs="Times New Roman"/>
                <w:color w:val="000000" w:themeColor="text1"/>
                <w:kern w:val="2"/>
                <w:sz w:val="16"/>
                <w:szCs w:val="16"/>
              </w:rPr>
              <w:t xml:space="preserve"> </w:t>
            </w:r>
            <w:r w:rsidR="006E4FF2" w:rsidRPr="002F2FDF">
              <w:rPr>
                <w:rFonts w:ascii="Times New Roman" w:hAnsi="Times New Roman" w:cs="Times New Roman"/>
                <w:color w:val="000000" w:themeColor="text1"/>
                <w:kern w:val="2"/>
                <w:sz w:val="16"/>
                <w:szCs w:val="16"/>
              </w:rPr>
              <w:t>или уже стоящие на корабле</w:t>
            </w:r>
          </w:p>
        </w:tc>
        <w:tc>
          <w:tcPr>
            <w:tcW w:w="3736" w:type="dxa"/>
            <w:tcBorders>
              <w:top w:val="single" w:sz="12" w:space="0" w:color="auto"/>
            </w:tcBorders>
          </w:tcPr>
          <w:p w14:paraId="5DEA3137"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Командир корабля</w:t>
            </w:r>
          </w:p>
        </w:tc>
      </w:tr>
      <w:tr w:rsidR="002B1C74" w:rsidRPr="002F2FDF" w14:paraId="33890CDC" w14:textId="77777777" w:rsidTr="00871D7D">
        <w:tc>
          <w:tcPr>
            <w:tcW w:w="3736" w:type="dxa"/>
          </w:tcPr>
          <w:p w14:paraId="2D8E971C"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3736" w:type="dxa"/>
          </w:tcPr>
          <w:p w14:paraId="5247D2B4"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3736" w:type="dxa"/>
          </w:tcPr>
          <w:p w14:paraId="286B32D0"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Старший лейтенант Г.И. Лавров</w:t>
            </w:r>
          </w:p>
        </w:tc>
      </w:tr>
      <w:tr w:rsidR="002B1C74" w:rsidRPr="002F2FDF" w14:paraId="3E229DAE" w14:textId="77777777" w:rsidTr="00871D7D">
        <w:tc>
          <w:tcPr>
            <w:tcW w:w="3736" w:type="dxa"/>
          </w:tcPr>
          <w:p w14:paraId="2BBF2FB6"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60962026"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7A5C3322"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погиб вместе с экипажем и кораблём</w:t>
            </w:r>
          </w:p>
        </w:tc>
      </w:tr>
      <w:tr w:rsidR="002B1C74" w:rsidRPr="002F2FDF" w14:paraId="326E4BCF" w14:textId="77777777" w:rsidTr="00871D7D">
        <w:tc>
          <w:tcPr>
            <w:tcW w:w="3736" w:type="dxa"/>
          </w:tcPr>
          <w:p w14:paraId="5107FFA4"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w:t>
            </w:r>
          </w:p>
        </w:tc>
        <w:tc>
          <w:tcPr>
            <w:tcW w:w="3736" w:type="dxa"/>
          </w:tcPr>
          <w:p w14:paraId="3AE711D7"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"Рено" 225 л.с.,</w:t>
            </w:r>
          </w:p>
        </w:tc>
        <w:tc>
          <w:tcPr>
            <w:tcW w:w="3736" w:type="dxa"/>
          </w:tcPr>
          <w:p w14:paraId="4DA44816"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Поручик В.А. Романов</w:t>
            </w:r>
          </w:p>
        </w:tc>
      </w:tr>
      <w:tr w:rsidR="002B1C74" w:rsidRPr="002F2FDF" w14:paraId="17DBD5B5" w14:textId="77777777" w:rsidTr="00871D7D">
        <w:tc>
          <w:tcPr>
            <w:tcW w:w="3736" w:type="dxa"/>
          </w:tcPr>
          <w:p w14:paraId="4C5F198B"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7763BF10"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РБ3.6 150 л.с.</w:t>
            </w:r>
          </w:p>
        </w:tc>
        <w:tc>
          <w:tcPr>
            <w:tcW w:w="3736" w:type="dxa"/>
          </w:tcPr>
          <w:p w14:paraId="48A5B349"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05F70A36" w14:textId="77777777" w:rsidTr="00871D7D">
        <w:tc>
          <w:tcPr>
            <w:tcW w:w="3736" w:type="dxa"/>
          </w:tcPr>
          <w:p w14:paraId="67A24097"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III</w:t>
            </w:r>
          </w:p>
        </w:tc>
        <w:tc>
          <w:tcPr>
            <w:tcW w:w="3736" w:type="dxa"/>
          </w:tcPr>
          <w:p w14:paraId="5694D7C4"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"Рено" 225 л.с.,</w:t>
            </w:r>
          </w:p>
        </w:tc>
        <w:tc>
          <w:tcPr>
            <w:tcW w:w="3736" w:type="dxa"/>
          </w:tcPr>
          <w:p w14:paraId="27265E29"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Поручик Г.В. Янковский</w:t>
            </w:r>
          </w:p>
        </w:tc>
      </w:tr>
      <w:tr w:rsidR="002B1C74" w:rsidRPr="002F2FDF" w14:paraId="59F9FF6D" w14:textId="77777777" w:rsidTr="00871D7D">
        <w:tc>
          <w:tcPr>
            <w:tcW w:w="3736" w:type="dxa"/>
          </w:tcPr>
          <w:p w14:paraId="714F7FBF"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11E4C331"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РБ3.6 150 л.с.</w:t>
            </w:r>
          </w:p>
        </w:tc>
        <w:tc>
          <w:tcPr>
            <w:tcW w:w="3736" w:type="dxa"/>
          </w:tcPr>
          <w:p w14:paraId="1020EB92"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56C3FD22" w14:textId="77777777" w:rsidTr="00871D7D">
        <w:tc>
          <w:tcPr>
            <w:tcW w:w="3736" w:type="dxa"/>
          </w:tcPr>
          <w:p w14:paraId="66C8EC0F"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IV</w:t>
            </w:r>
          </w:p>
        </w:tc>
        <w:tc>
          <w:tcPr>
            <w:tcW w:w="3736" w:type="dxa"/>
          </w:tcPr>
          <w:p w14:paraId="4514F821"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"Рено" 225 л.с.,</w:t>
            </w:r>
          </w:p>
        </w:tc>
        <w:tc>
          <w:tcPr>
            <w:tcW w:w="3736" w:type="dxa"/>
          </w:tcPr>
          <w:p w14:paraId="507FED6B"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Поручик Я.Н. Шаров</w:t>
            </w:r>
          </w:p>
        </w:tc>
      </w:tr>
      <w:tr w:rsidR="002B1C74" w:rsidRPr="002F2FDF" w14:paraId="304B044C" w14:textId="77777777" w:rsidTr="00871D7D">
        <w:tc>
          <w:tcPr>
            <w:tcW w:w="3736" w:type="dxa"/>
          </w:tcPr>
          <w:p w14:paraId="37D2E455"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308E68B2"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РБ3.6 150 л.с.</w:t>
            </w:r>
          </w:p>
        </w:tc>
        <w:tc>
          <w:tcPr>
            <w:tcW w:w="3736" w:type="dxa"/>
          </w:tcPr>
          <w:p w14:paraId="62534A01"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36D8B00B" w14:textId="77777777" w:rsidTr="00871D7D">
        <w:tc>
          <w:tcPr>
            <w:tcW w:w="3736" w:type="dxa"/>
          </w:tcPr>
          <w:p w14:paraId="48F09BB8"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5192BFF4"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РБ3.6 150 л.с.*</w:t>
            </w:r>
          </w:p>
        </w:tc>
        <w:tc>
          <w:tcPr>
            <w:tcW w:w="3736" w:type="dxa"/>
          </w:tcPr>
          <w:p w14:paraId="05DAD2E1"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392F5537" w14:textId="77777777" w:rsidTr="00871D7D">
        <w:tc>
          <w:tcPr>
            <w:tcW w:w="3736" w:type="dxa"/>
          </w:tcPr>
          <w:p w14:paraId="31E67994"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w:t>
            </w:r>
          </w:p>
        </w:tc>
        <w:tc>
          <w:tcPr>
            <w:tcW w:w="3736" w:type="dxa"/>
          </w:tcPr>
          <w:p w14:paraId="71D2E599"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х "Рено" 225 л.с.</w:t>
            </w:r>
          </w:p>
        </w:tc>
        <w:tc>
          <w:tcPr>
            <w:tcW w:w="3736" w:type="dxa"/>
          </w:tcPr>
          <w:p w14:paraId="42BF1FAF"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Штабс-капитан Г.В. Алехнович</w:t>
            </w:r>
          </w:p>
        </w:tc>
      </w:tr>
      <w:tr w:rsidR="002B1C74" w:rsidRPr="002F2FDF" w14:paraId="63F10B55" w14:textId="77777777" w:rsidTr="00871D7D">
        <w:tc>
          <w:tcPr>
            <w:tcW w:w="3736" w:type="dxa"/>
          </w:tcPr>
          <w:p w14:paraId="67E4F43F"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w:t>
            </w:r>
          </w:p>
        </w:tc>
        <w:tc>
          <w:tcPr>
            <w:tcW w:w="3736" w:type="dxa"/>
          </w:tcPr>
          <w:p w14:paraId="557B09D9"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"Рено" 225 л.с.,</w:t>
            </w:r>
          </w:p>
        </w:tc>
        <w:tc>
          <w:tcPr>
            <w:tcW w:w="3736" w:type="dxa"/>
          </w:tcPr>
          <w:p w14:paraId="6C35B86C"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Штабс-капитан С.Н. Головин</w:t>
            </w:r>
          </w:p>
        </w:tc>
      </w:tr>
      <w:tr w:rsidR="002B1C74" w:rsidRPr="002F2FDF" w14:paraId="34118087" w14:textId="77777777" w:rsidTr="00871D7D">
        <w:tc>
          <w:tcPr>
            <w:tcW w:w="3736" w:type="dxa"/>
          </w:tcPr>
          <w:p w14:paraId="314C9EB6"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637175FF"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РБ3.6 150 л.с.</w:t>
            </w:r>
          </w:p>
        </w:tc>
        <w:tc>
          <w:tcPr>
            <w:tcW w:w="3736" w:type="dxa"/>
          </w:tcPr>
          <w:p w14:paraId="12C8953A"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0AC54C47" w14:textId="77777777" w:rsidTr="00871D7D">
        <w:tc>
          <w:tcPr>
            <w:tcW w:w="3736" w:type="dxa"/>
          </w:tcPr>
          <w:p w14:paraId="1E7C8633"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2A350D1F"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"Санбим" 150 или 160 л.с.</w:t>
            </w:r>
          </w:p>
        </w:tc>
        <w:tc>
          <w:tcPr>
            <w:tcW w:w="3736" w:type="dxa"/>
          </w:tcPr>
          <w:p w14:paraId="504539C0"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7719BD03" w14:textId="77777777" w:rsidTr="00871D7D">
        <w:tc>
          <w:tcPr>
            <w:tcW w:w="3736" w:type="dxa"/>
          </w:tcPr>
          <w:p w14:paraId="4E0BE4E2"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VII</w:t>
            </w:r>
          </w:p>
        </w:tc>
        <w:tc>
          <w:tcPr>
            <w:tcW w:w="3736" w:type="dxa"/>
          </w:tcPr>
          <w:p w14:paraId="39588892"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х "Бердмор" 160 л.с.</w:t>
            </w:r>
          </w:p>
        </w:tc>
        <w:tc>
          <w:tcPr>
            <w:tcW w:w="3736" w:type="dxa"/>
          </w:tcPr>
          <w:p w14:paraId="147C140C"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Капитан И.С. Башко</w:t>
            </w:r>
          </w:p>
        </w:tc>
      </w:tr>
      <w:tr w:rsidR="002B1C74" w:rsidRPr="002F2FDF" w14:paraId="430225DF" w14:textId="77777777" w:rsidTr="00871D7D">
        <w:tc>
          <w:tcPr>
            <w:tcW w:w="3736" w:type="dxa"/>
          </w:tcPr>
          <w:p w14:paraId="3175262F"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VIII</w:t>
            </w:r>
          </w:p>
        </w:tc>
        <w:tc>
          <w:tcPr>
            <w:tcW w:w="3736" w:type="dxa"/>
          </w:tcPr>
          <w:p w14:paraId="7646A9EB"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3736" w:type="dxa"/>
          </w:tcPr>
          <w:p w14:paraId="0FF19C34"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Сотник В.Д. Лобов</w:t>
            </w:r>
          </w:p>
        </w:tc>
      </w:tr>
      <w:tr w:rsidR="002B1C74" w:rsidRPr="002F2FDF" w14:paraId="71323D4C" w14:textId="77777777" w:rsidTr="00871D7D">
        <w:tc>
          <w:tcPr>
            <w:tcW w:w="3736" w:type="dxa"/>
          </w:tcPr>
          <w:p w14:paraId="4473B194"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IX</w:t>
            </w:r>
          </w:p>
        </w:tc>
        <w:tc>
          <w:tcPr>
            <w:tcW w:w="3736" w:type="dxa"/>
          </w:tcPr>
          <w:p w14:paraId="2570653E"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х "Рено" 225 л.с.</w:t>
            </w:r>
          </w:p>
        </w:tc>
        <w:tc>
          <w:tcPr>
            <w:tcW w:w="3736" w:type="dxa"/>
          </w:tcPr>
          <w:p w14:paraId="63E8B345"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Капитан Р.Л. Нижевский</w:t>
            </w:r>
          </w:p>
        </w:tc>
      </w:tr>
      <w:tr w:rsidR="002B1C74" w:rsidRPr="002F2FDF" w14:paraId="299BB174" w14:textId="77777777" w:rsidTr="00871D7D">
        <w:tc>
          <w:tcPr>
            <w:tcW w:w="3736" w:type="dxa"/>
          </w:tcPr>
          <w:p w14:paraId="2F6687A5"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w:t>
            </w:r>
          </w:p>
        </w:tc>
        <w:tc>
          <w:tcPr>
            <w:tcW w:w="3736" w:type="dxa"/>
          </w:tcPr>
          <w:p w14:paraId="0B6E8250"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нет</w:t>
            </w:r>
          </w:p>
        </w:tc>
        <w:tc>
          <w:tcPr>
            <w:tcW w:w="3736" w:type="dxa"/>
          </w:tcPr>
          <w:p w14:paraId="2989E179"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Поручик A.M. Констенчик</w:t>
            </w:r>
          </w:p>
        </w:tc>
      </w:tr>
      <w:tr w:rsidR="002B1C74" w:rsidRPr="002F2FDF" w14:paraId="55BDCF15" w14:textId="77777777" w:rsidTr="00871D7D">
        <w:tc>
          <w:tcPr>
            <w:tcW w:w="3736" w:type="dxa"/>
          </w:tcPr>
          <w:p w14:paraId="54F38874"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w:t>
            </w:r>
          </w:p>
        </w:tc>
        <w:tc>
          <w:tcPr>
            <w:tcW w:w="3736" w:type="dxa"/>
          </w:tcPr>
          <w:p w14:paraId="1DC6B7C3"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"Рено" 225 л.с.,</w:t>
            </w:r>
          </w:p>
        </w:tc>
        <w:tc>
          <w:tcPr>
            <w:tcW w:w="3736" w:type="dxa"/>
          </w:tcPr>
          <w:p w14:paraId="6B8483B6"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Штабс-капитан Н.Н. Базанов</w:t>
            </w:r>
          </w:p>
        </w:tc>
      </w:tr>
      <w:tr w:rsidR="002B1C74" w:rsidRPr="002F2FDF" w14:paraId="1F8E74BD" w14:textId="77777777" w:rsidTr="00871D7D">
        <w:tc>
          <w:tcPr>
            <w:tcW w:w="3736" w:type="dxa"/>
          </w:tcPr>
          <w:p w14:paraId="6DBE3D1B"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363B24E7"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РБ3.6 150 л.с.</w:t>
            </w:r>
          </w:p>
        </w:tc>
        <w:tc>
          <w:tcPr>
            <w:tcW w:w="3736" w:type="dxa"/>
          </w:tcPr>
          <w:p w14:paraId="16038192"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22CF4455" w14:textId="77777777" w:rsidTr="00871D7D">
        <w:tc>
          <w:tcPr>
            <w:tcW w:w="3736" w:type="dxa"/>
          </w:tcPr>
          <w:p w14:paraId="37214111"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XII</w:t>
            </w:r>
          </w:p>
        </w:tc>
        <w:tc>
          <w:tcPr>
            <w:tcW w:w="3736" w:type="dxa"/>
          </w:tcPr>
          <w:p w14:paraId="11C9EAD1"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"Рено" 225 л.с.</w:t>
            </w:r>
          </w:p>
        </w:tc>
        <w:tc>
          <w:tcPr>
            <w:tcW w:w="3736" w:type="dxa"/>
          </w:tcPr>
          <w:p w14:paraId="0A420BE7"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Штабс-капитан Е.М. Городецкий</w:t>
            </w:r>
          </w:p>
        </w:tc>
      </w:tr>
      <w:tr w:rsidR="002B1C74" w:rsidRPr="002F2FDF" w14:paraId="00E621C0" w14:textId="77777777" w:rsidTr="00871D7D">
        <w:tc>
          <w:tcPr>
            <w:tcW w:w="3736" w:type="dxa"/>
          </w:tcPr>
          <w:p w14:paraId="047D3930"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XIII</w:t>
            </w:r>
          </w:p>
        </w:tc>
        <w:tc>
          <w:tcPr>
            <w:tcW w:w="3736" w:type="dxa"/>
          </w:tcPr>
          <w:p w14:paraId="5307A4C7"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(старый, учебный корабль,</w:t>
            </w:r>
          </w:p>
        </w:tc>
        <w:tc>
          <w:tcPr>
            <w:tcW w:w="3736" w:type="dxa"/>
          </w:tcPr>
          <w:p w14:paraId="674944ED"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Капитан В.А. Соловьёв</w:t>
            </w:r>
          </w:p>
        </w:tc>
      </w:tr>
      <w:tr w:rsidR="002B1C74" w:rsidRPr="002F2FDF" w14:paraId="1BAB42AF" w14:textId="77777777" w:rsidTr="00871D7D">
        <w:tc>
          <w:tcPr>
            <w:tcW w:w="3736" w:type="dxa"/>
          </w:tcPr>
          <w:p w14:paraId="17A97A93"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5BD0193E"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моторы сняты)</w:t>
            </w:r>
          </w:p>
        </w:tc>
        <w:tc>
          <w:tcPr>
            <w:tcW w:w="3736" w:type="dxa"/>
          </w:tcPr>
          <w:p w14:paraId="59653B92"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6B817D86" w14:textId="77777777" w:rsidTr="00871D7D">
        <w:tc>
          <w:tcPr>
            <w:tcW w:w="3736" w:type="dxa"/>
          </w:tcPr>
          <w:p w14:paraId="1429E39B"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XIV</w:t>
            </w:r>
          </w:p>
        </w:tc>
        <w:tc>
          <w:tcPr>
            <w:tcW w:w="3736" w:type="dxa"/>
          </w:tcPr>
          <w:p w14:paraId="260D7558"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"Рено" 225 л.с.,</w:t>
            </w:r>
          </w:p>
        </w:tc>
        <w:tc>
          <w:tcPr>
            <w:tcW w:w="3736" w:type="dxa"/>
          </w:tcPr>
          <w:p w14:paraId="6D5B881C"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Гв. штабс-капитан С.Н. Никольской</w:t>
            </w:r>
          </w:p>
        </w:tc>
      </w:tr>
      <w:tr w:rsidR="002B1C74" w:rsidRPr="002F2FDF" w14:paraId="033B1C4F" w14:textId="77777777" w:rsidTr="00871D7D">
        <w:tc>
          <w:tcPr>
            <w:tcW w:w="3736" w:type="dxa"/>
          </w:tcPr>
          <w:p w14:paraId="61B9787C"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23502229"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РБ3.6 150 л.с.</w:t>
            </w:r>
          </w:p>
        </w:tc>
        <w:tc>
          <w:tcPr>
            <w:tcW w:w="3736" w:type="dxa"/>
          </w:tcPr>
          <w:p w14:paraId="543B5510"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211ED4EF" w14:textId="77777777" w:rsidTr="00871D7D">
        <w:tc>
          <w:tcPr>
            <w:tcW w:w="3736" w:type="dxa"/>
          </w:tcPr>
          <w:p w14:paraId="0DB9BFD8"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2A017D57"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"Санбим" 150 или 160 л.с.</w:t>
            </w:r>
          </w:p>
        </w:tc>
        <w:tc>
          <w:tcPr>
            <w:tcW w:w="3736" w:type="dxa"/>
          </w:tcPr>
          <w:p w14:paraId="1632421B"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3A6C6175" w14:textId="77777777" w:rsidTr="00871D7D">
        <w:tc>
          <w:tcPr>
            <w:tcW w:w="3736" w:type="dxa"/>
          </w:tcPr>
          <w:p w14:paraId="36DBA779"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XV</w:t>
            </w:r>
          </w:p>
        </w:tc>
        <w:tc>
          <w:tcPr>
            <w:tcW w:w="3736" w:type="dxa"/>
          </w:tcPr>
          <w:p w14:paraId="23B48DD9"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х "Санбим" 150 л.с.</w:t>
            </w:r>
          </w:p>
        </w:tc>
        <w:tc>
          <w:tcPr>
            <w:tcW w:w="3736" w:type="dxa"/>
          </w:tcPr>
          <w:p w14:paraId="60B27CD8"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Капитан Г.В. Клембовский</w:t>
            </w:r>
          </w:p>
        </w:tc>
      </w:tr>
      <w:tr w:rsidR="002B1C74" w:rsidRPr="002F2FDF" w14:paraId="0E00DE7A" w14:textId="77777777" w:rsidTr="00871D7D">
        <w:tc>
          <w:tcPr>
            <w:tcW w:w="3736" w:type="dxa"/>
          </w:tcPr>
          <w:p w14:paraId="6AE38A10"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XVI</w:t>
            </w:r>
          </w:p>
        </w:tc>
        <w:tc>
          <w:tcPr>
            <w:tcW w:w="3736" w:type="dxa"/>
          </w:tcPr>
          <w:p w14:paraId="3634695F"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3736" w:type="dxa"/>
          </w:tcPr>
          <w:p w14:paraId="13BB282C"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6C311746" w14:textId="77777777" w:rsidTr="00871D7D">
        <w:tc>
          <w:tcPr>
            <w:tcW w:w="3736" w:type="dxa"/>
          </w:tcPr>
          <w:p w14:paraId="5263B487"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XVII</w:t>
            </w:r>
          </w:p>
        </w:tc>
        <w:tc>
          <w:tcPr>
            <w:tcW w:w="3736" w:type="dxa"/>
          </w:tcPr>
          <w:p w14:paraId="56118073"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"Аргус",</w:t>
            </w:r>
          </w:p>
        </w:tc>
        <w:tc>
          <w:tcPr>
            <w:tcW w:w="3736" w:type="dxa"/>
          </w:tcPr>
          <w:p w14:paraId="78799AB5"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Штабс-капитан А.И. Беляков</w:t>
            </w:r>
          </w:p>
        </w:tc>
      </w:tr>
      <w:tr w:rsidR="002B1C74" w:rsidRPr="002F2FDF" w14:paraId="2F385037" w14:textId="77777777" w:rsidTr="00871D7D">
        <w:tc>
          <w:tcPr>
            <w:tcW w:w="3736" w:type="dxa"/>
          </w:tcPr>
          <w:p w14:paraId="3256CCA5"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46F5A54A"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"Холл-Скотт"</w:t>
            </w:r>
          </w:p>
        </w:tc>
        <w:tc>
          <w:tcPr>
            <w:tcW w:w="3736" w:type="dxa"/>
          </w:tcPr>
          <w:p w14:paraId="58D2EF6F"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1C329D28" w14:textId="77777777" w:rsidTr="00871D7D">
        <w:tc>
          <w:tcPr>
            <w:tcW w:w="3736" w:type="dxa"/>
          </w:tcPr>
          <w:p w14:paraId="1E6A0E1F"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XVIII</w:t>
            </w:r>
          </w:p>
        </w:tc>
        <w:tc>
          <w:tcPr>
            <w:tcW w:w="3736" w:type="dxa"/>
          </w:tcPr>
          <w:p w14:paraId="65AC8151"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"Рено" 225 л.с.,</w:t>
            </w:r>
          </w:p>
        </w:tc>
        <w:tc>
          <w:tcPr>
            <w:tcW w:w="3736" w:type="dxa"/>
          </w:tcPr>
          <w:p w14:paraId="25E9FA43"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Ротмистр А.В. Середницкий</w:t>
            </w:r>
          </w:p>
        </w:tc>
      </w:tr>
      <w:tr w:rsidR="002B1C74" w:rsidRPr="002F2FDF" w14:paraId="13EE8F03" w14:textId="77777777" w:rsidTr="00871D7D">
        <w:tc>
          <w:tcPr>
            <w:tcW w:w="3736" w:type="dxa"/>
          </w:tcPr>
          <w:p w14:paraId="5CC3BF94"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5C996582"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РБ3.6 150 л.с.</w:t>
            </w:r>
          </w:p>
        </w:tc>
        <w:tc>
          <w:tcPr>
            <w:tcW w:w="3736" w:type="dxa"/>
          </w:tcPr>
          <w:p w14:paraId="03D816C7"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127056E2" w14:textId="77777777" w:rsidTr="00871D7D">
        <w:tc>
          <w:tcPr>
            <w:tcW w:w="3736" w:type="dxa"/>
          </w:tcPr>
          <w:p w14:paraId="41F11AD7"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XIX</w:t>
            </w:r>
          </w:p>
        </w:tc>
        <w:tc>
          <w:tcPr>
            <w:tcW w:w="3736" w:type="dxa"/>
          </w:tcPr>
          <w:p w14:paraId="599F7F26"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"Рено",</w:t>
            </w:r>
          </w:p>
        </w:tc>
        <w:tc>
          <w:tcPr>
            <w:tcW w:w="3736" w:type="dxa"/>
          </w:tcPr>
          <w:p w14:paraId="56DDB4DD"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Гв. поручик Г.В. Грек</w:t>
            </w:r>
          </w:p>
        </w:tc>
      </w:tr>
      <w:tr w:rsidR="002B1C74" w:rsidRPr="002F2FDF" w14:paraId="272860F1" w14:textId="77777777" w:rsidTr="00871D7D">
        <w:tc>
          <w:tcPr>
            <w:tcW w:w="3736" w:type="dxa"/>
          </w:tcPr>
          <w:p w14:paraId="7AC1D259"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78AF8DA6"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"Аргус"</w:t>
            </w:r>
          </w:p>
        </w:tc>
        <w:tc>
          <w:tcPr>
            <w:tcW w:w="3736" w:type="dxa"/>
          </w:tcPr>
          <w:p w14:paraId="01DA1A1C"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1FA0F56A" w14:textId="77777777" w:rsidTr="00871D7D">
        <w:tc>
          <w:tcPr>
            <w:tcW w:w="3736" w:type="dxa"/>
          </w:tcPr>
          <w:p w14:paraId="531BBCF1"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XX</w:t>
            </w:r>
          </w:p>
        </w:tc>
        <w:tc>
          <w:tcPr>
            <w:tcW w:w="3736" w:type="dxa"/>
          </w:tcPr>
          <w:p w14:paraId="6A2C4DA7"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"Испано-Сюиза",</w:t>
            </w:r>
          </w:p>
        </w:tc>
        <w:tc>
          <w:tcPr>
            <w:tcW w:w="3736" w:type="dxa"/>
          </w:tcPr>
          <w:p w14:paraId="40ABF348"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Поручик Г.Г. Плешков</w:t>
            </w:r>
          </w:p>
        </w:tc>
      </w:tr>
      <w:tr w:rsidR="002B1C74" w:rsidRPr="002F2FDF" w14:paraId="11F5B22D" w14:textId="77777777" w:rsidTr="00871D7D">
        <w:tc>
          <w:tcPr>
            <w:tcW w:w="3736" w:type="dxa"/>
          </w:tcPr>
          <w:p w14:paraId="7CF39854"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2827D0E5"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"Аргус"</w:t>
            </w:r>
          </w:p>
        </w:tc>
        <w:tc>
          <w:tcPr>
            <w:tcW w:w="3736" w:type="dxa"/>
          </w:tcPr>
          <w:p w14:paraId="1A8596C5"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669D7CB1" w14:textId="77777777" w:rsidTr="00871D7D">
        <w:tc>
          <w:tcPr>
            <w:tcW w:w="3736" w:type="dxa"/>
          </w:tcPr>
          <w:p w14:paraId="19C11B14"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XXI</w:t>
            </w:r>
          </w:p>
        </w:tc>
        <w:tc>
          <w:tcPr>
            <w:tcW w:w="3736" w:type="dxa"/>
          </w:tcPr>
          <w:p w14:paraId="2038809F"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"Санбим",</w:t>
            </w:r>
          </w:p>
        </w:tc>
        <w:tc>
          <w:tcPr>
            <w:tcW w:w="3736" w:type="dxa"/>
          </w:tcPr>
          <w:p w14:paraId="32AB09A3"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Штабс-капитан Е.И. Жигайлов</w:t>
            </w:r>
          </w:p>
        </w:tc>
      </w:tr>
      <w:tr w:rsidR="002B1C74" w:rsidRPr="002F2FDF" w14:paraId="5440D17C" w14:textId="77777777" w:rsidTr="00871D7D">
        <w:tc>
          <w:tcPr>
            <w:tcW w:w="3736" w:type="dxa"/>
          </w:tcPr>
          <w:p w14:paraId="42C58145"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2DFD0E48"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 "Аргус"</w:t>
            </w:r>
          </w:p>
        </w:tc>
        <w:tc>
          <w:tcPr>
            <w:tcW w:w="3736" w:type="dxa"/>
          </w:tcPr>
          <w:p w14:paraId="6019AE4E"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45C5A4AD" w14:textId="77777777" w:rsidTr="00871D7D">
        <w:tc>
          <w:tcPr>
            <w:tcW w:w="3736" w:type="dxa"/>
            <w:tcBorders>
              <w:bottom w:val="single" w:sz="12" w:space="0" w:color="auto"/>
            </w:tcBorders>
          </w:tcPr>
          <w:p w14:paraId="55B15225"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XXII</w:t>
            </w:r>
          </w:p>
        </w:tc>
        <w:tc>
          <w:tcPr>
            <w:tcW w:w="3736" w:type="dxa"/>
            <w:tcBorders>
              <w:bottom w:val="single" w:sz="12" w:space="0" w:color="auto"/>
            </w:tcBorders>
          </w:tcPr>
          <w:p w14:paraId="0EA935F4"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3736" w:type="dxa"/>
            <w:tcBorders>
              <w:bottom w:val="single" w:sz="12" w:space="0" w:color="auto"/>
            </w:tcBorders>
          </w:tcPr>
          <w:p w14:paraId="0C878352"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bl>
    <w:p w14:paraId="4A4B4A0D"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Разумеется, что</w:t>
      </w:r>
      <w:r w:rsidRPr="002F2FDF">
        <w:rPr>
          <w:rFonts w:ascii="Times New Roman" w:hAnsi="Times New Roman" w:cs="Times New Roman"/>
          <w:color w:val="000000" w:themeColor="text1"/>
          <w:kern w:val="2"/>
          <w:sz w:val="16"/>
          <w:szCs w:val="16"/>
        </w:rPr>
        <w:tab/>
        <w:t>из шссти моторов выбирали только четыре. Если указаны только два, то остальные два в ожидании (12041).</w:t>
      </w:r>
    </w:p>
    <w:p w14:paraId="4564C052"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32DD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Утром 1 (14) мая 1917 летчики 2-го као 1БАГ унтер-офицер Варзар и подпрапорщик Кры</w:t>
      </w:r>
      <w:r w:rsidRPr="002F2FDF">
        <w:rPr>
          <w:rFonts w:ascii="Times New Roman" w:hAnsi="Times New Roman" w:cs="Times New Roman"/>
          <w:color w:val="000000" w:themeColor="text1"/>
          <w:kern w:val="2"/>
          <w:sz w:val="16"/>
          <w:szCs w:val="16"/>
        </w:rPr>
        <w:softHyphen/>
        <w:t>лов атаковали в районе Галича немец</w:t>
      </w:r>
      <w:r w:rsidRPr="002F2FDF">
        <w:rPr>
          <w:rFonts w:ascii="Times New Roman" w:hAnsi="Times New Roman" w:cs="Times New Roman"/>
          <w:color w:val="000000" w:themeColor="text1"/>
          <w:kern w:val="2"/>
          <w:sz w:val="16"/>
          <w:szCs w:val="16"/>
        </w:rPr>
        <w:softHyphen/>
        <w:t>кий самолет, который упал между на</w:t>
      </w:r>
      <w:r w:rsidRPr="002F2FDF">
        <w:rPr>
          <w:rFonts w:ascii="Times New Roman" w:hAnsi="Times New Roman" w:cs="Times New Roman"/>
          <w:color w:val="000000" w:themeColor="text1"/>
          <w:kern w:val="2"/>
          <w:sz w:val="16"/>
          <w:szCs w:val="16"/>
        </w:rPr>
        <w:softHyphen/>
        <w:t>шими и неприятельскими окопами. Казалось, победа очевидна, но в этом деле было слишком много неясного, так как сами летчики результата боя не видели. Казаков назначил рассле</w:t>
      </w:r>
      <w:r w:rsidRPr="002F2FDF">
        <w:rPr>
          <w:rFonts w:ascii="Times New Roman" w:hAnsi="Times New Roman" w:cs="Times New Roman"/>
          <w:color w:val="000000" w:themeColor="text1"/>
          <w:kern w:val="2"/>
          <w:sz w:val="16"/>
          <w:szCs w:val="16"/>
        </w:rPr>
        <w:softHyphen/>
        <w:t>дование. Согласно показаниям назем</w:t>
      </w:r>
      <w:r w:rsidRPr="002F2FDF">
        <w:rPr>
          <w:rFonts w:ascii="Times New Roman" w:hAnsi="Times New Roman" w:cs="Times New Roman"/>
          <w:color w:val="000000" w:themeColor="text1"/>
          <w:kern w:val="2"/>
          <w:sz w:val="16"/>
          <w:szCs w:val="16"/>
        </w:rPr>
        <w:softHyphen/>
        <w:t>ных войск “... наблюдавшие бой с зем</w:t>
      </w:r>
      <w:r w:rsidRPr="002F2FDF">
        <w:rPr>
          <w:rFonts w:ascii="Times New Roman" w:hAnsi="Times New Roman" w:cs="Times New Roman"/>
          <w:color w:val="000000" w:themeColor="text1"/>
          <w:kern w:val="2"/>
          <w:sz w:val="16"/>
          <w:szCs w:val="16"/>
        </w:rPr>
        <w:softHyphen/>
        <w:t>ли чины 5-го Заамурского пех. полка видели, что немец спустился между нашими и окопами противника в рай</w:t>
      </w:r>
      <w:r w:rsidRPr="002F2FDF">
        <w:rPr>
          <w:rFonts w:ascii="Times New Roman" w:hAnsi="Times New Roman" w:cs="Times New Roman"/>
          <w:color w:val="000000" w:themeColor="text1"/>
          <w:kern w:val="2"/>
          <w:sz w:val="16"/>
          <w:szCs w:val="16"/>
        </w:rPr>
        <w:softHyphen/>
        <w:t>оне 6-го Заамурского пех. полка. Са</w:t>
      </w:r>
      <w:r w:rsidRPr="002F2FDF">
        <w:rPr>
          <w:rFonts w:ascii="Times New Roman" w:hAnsi="Times New Roman" w:cs="Times New Roman"/>
          <w:color w:val="000000" w:themeColor="text1"/>
          <w:kern w:val="2"/>
          <w:sz w:val="16"/>
          <w:szCs w:val="16"/>
        </w:rPr>
        <w:softHyphen/>
        <w:t>молет был притянут пехотой в наше расположение, один летчик убит, дру</w:t>
      </w:r>
      <w:r w:rsidRPr="002F2FDF">
        <w:rPr>
          <w:rFonts w:ascii="Times New Roman" w:hAnsi="Times New Roman" w:cs="Times New Roman"/>
          <w:color w:val="000000" w:themeColor="text1"/>
          <w:kern w:val="2"/>
          <w:sz w:val="16"/>
          <w:szCs w:val="16"/>
        </w:rPr>
        <w:softHyphen/>
        <w:t>гой - взят в плен”. Замечательные по</w:t>
      </w:r>
      <w:r w:rsidRPr="002F2FDF">
        <w:rPr>
          <w:rFonts w:ascii="Times New Roman" w:hAnsi="Times New Roman" w:cs="Times New Roman"/>
          <w:color w:val="000000" w:themeColor="text1"/>
          <w:kern w:val="2"/>
          <w:sz w:val="16"/>
          <w:szCs w:val="16"/>
        </w:rPr>
        <w:softHyphen/>
        <w:t>казания, но дальше начались странно</w:t>
      </w:r>
      <w:r w:rsidRPr="002F2FDF">
        <w:rPr>
          <w:rFonts w:ascii="Times New Roman" w:hAnsi="Times New Roman" w:cs="Times New Roman"/>
          <w:color w:val="000000" w:themeColor="text1"/>
          <w:kern w:val="2"/>
          <w:sz w:val="16"/>
          <w:szCs w:val="16"/>
        </w:rPr>
        <w:softHyphen/>
        <w:t>сти: расследование установило, что “...1-го мая неприятельский самолет сбит не был, 6-й пех. Заамурский полк на позиции не был. Солдат Иван Маслобойников (с его слов составлялось донесение) находится в отпуску. Сведения, что самолет был притянут пехотой в наше расположение, один летчик убит, другой - ранен в дивизионе вызывает удивление, по-видимому, оно вымышленное. Был сбит неприятельский самолет 2-го мая на участке 5-го Заамурского пол</w:t>
      </w:r>
      <w:r w:rsidRPr="002F2FDF">
        <w:rPr>
          <w:rFonts w:ascii="Times New Roman" w:hAnsi="Times New Roman" w:cs="Times New Roman"/>
          <w:color w:val="000000" w:themeColor="text1"/>
          <w:kern w:val="2"/>
          <w:sz w:val="16"/>
          <w:szCs w:val="16"/>
        </w:rPr>
        <w:softHyphen/>
        <w:t>ка” (победа корнета Гильшера из рас</w:t>
      </w:r>
      <w:r w:rsidRPr="002F2FDF">
        <w:rPr>
          <w:rFonts w:ascii="Times New Roman" w:hAnsi="Times New Roman" w:cs="Times New Roman"/>
          <w:color w:val="000000" w:themeColor="text1"/>
          <w:kern w:val="2"/>
          <w:sz w:val="16"/>
          <w:szCs w:val="16"/>
        </w:rPr>
        <w:softHyphen/>
        <w:t>положенного неподалеку 7-го истре</w:t>
      </w:r>
      <w:r w:rsidRPr="002F2FDF">
        <w:rPr>
          <w:rFonts w:ascii="Times New Roman" w:hAnsi="Times New Roman" w:cs="Times New Roman"/>
          <w:color w:val="000000" w:themeColor="text1"/>
          <w:kern w:val="2"/>
          <w:sz w:val="16"/>
          <w:szCs w:val="16"/>
        </w:rPr>
        <w:softHyphen/>
        <w:t>бительного авиаотряда) (3954).</w:t>
      </w:r>
    </w:p>
    <w:p w14:paraId="4B61F4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DB64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 (14) мая 1917 г. Кавказская военная авиационная школа в Тифлисе помимо самолетов "Фарман" и "Вуазен" имела 4 самолета "Альбатрос", 4 - "Моран", 2 - "Кодрон", 3 - "Моран-Солнье" и 37 - "Моран-Парасоль". Всего - 88 самолетов. Все эти самолеты уже устарели на данный момент военных действий. Тем не менее, многие русские летчики и на фронте еще продолжали летать на таких машинах (11999).</w:t>
      </w:r>
    </w:p>
    <w:p w14:paraId="06AA24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4F412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382F8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9405FE" w14:textId="77777777"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 (14) мая</w:t>
      </w:r>
      <w:r w:rsidRPr="002F2FDF">
        <w:rPr>
          <w:rFonts w:ascii="Times New Roman" w:hAnsi="Times New Roman" w:cs="Times New Roman"/>
          <w:color w:val="000000" w:themeColor="text1"/>
          <w:kern w:val="2"/>
          <w:sz w:val="16"/>
          <w:szCs w:val="16"/>
        </w:rPr>
        <w:t xml:space="preserve"> в 1917 году по всей России впервые свободно отмечался праздник 1 мая. Активное участие в праздничных демонстрациях и митингах наряду с рабочими приняли солдаты (14878).</w:t>
      </w:r>
    </w:p>
    <w:p w14:paraId="33B6CB13" w14:textId="77777777"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p>
    <w:p w14:paraId="06995DAA" w14:textId="77777777"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 мая</w:t>
      </w:r>
      <w:r w:rsidRPr="002F2FDF">
        <w:rPr>
          <w:rFonts w:ascii="Times New Roman" w:hAnsi="Times New Roman" w:cs="Times New Roman"/>
          <w:color w:val="000000" w:themeColor="text1"/>
          <w:kern w:val="2"/>
          <w:sz w:val="16"/>
          <w:szCs w:val="16"/>
        </w:rPr>
        <w:t xml:space="preserve"> в 1917 году митингующие солдаты в уральском городе Ирбите сбросили с постамента памятник императрице Екатерине II, который позже был уничтожен (14878).</w:t>
      </w:r>
    </w:p>
    <w:p w14:paraId="44AAFA5B" w14:textId="77777777"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p>
    <w:p w14:paraId="6E5346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мая 1917 после переговоров со Временным правительством Совет дал разрешение своим представителям войти в коалиционное правительство (3908,257).</w:t>
      </w:r>
    </w:p>
    <w:p w14:paraId="0BBEED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BC25ED" w14:textId="77777777"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 (14) мая</w:t>
      </w:r>
      <w:r w:rsidRPr="002F2FDF">
        <w:rPr>
          <w:rFonts w:ascii="Times New Roman" w:hAnsi="Times New Roman" w:cs="Times New Roman"/>
          <w:color w:val="000000" w:themeColor="text1"/>
          <w:kern w:val="2"/>
          <w:sz w:val="16"/>
          <w:szCs w:val="16"/>
        </w:rPr>
        <w:t xml:space="preserve"> в 1917 году в Петрограде выходит первый номер газеты «Новая жизнь». Инициатором ее создания была группа меньшевиков-интернационалистов и писателей, объединявшихся вокруг журнала «Летопись». В состав редакции входили: А.М.Горький, Н.Н.Суханов, В.А.Базаров, В.А.Десницкий, А.Н.Тихонов и др. Финансировал газету при ее основании А.М.Горький. Издание просуществовало с 1 мая 1917 г. по июль1918 г (14878).</w:t>
      </w:r>
    </w:p>
    <w:p w14:paraId="6B07BEFA" w14:textId="77777777"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p>
    <w:p w14:paraId="23365A68" w14:textId="77777777" w:rsidR="00C76B33" w:rsidRPr="002F2FDF" w:rsidRDefault="00C76B33" w:rsidP="0083075A">
      <w:pPr>
        <w:pStyle w:val="ae"/>
        <w:spacing w:before="0" w:after="0"/>
        <w:jc w:val="both"/>
        <w:rPr>
          <w:color w:val="000000" w:themeColor="text1"/>
          <w:kern w:val="2"/>
          <w:sz w:val="16"/>
          <w:szCs w:val="16"/>
        </w:rPr>
      </w:pPr>
      <w:r w:rsidRPr="002F2FDF">
        <w:rPr>
          <w:color w:val="000000" w:themeColor="text1"/>
          <w:kern w:val="2"/>
          <w:sz w:val="16"/>
          <w:szCs w:val="16"/>
        </w:rPr>
        <w:t>1 (14) мая 1917 вслед за Гучковым пост министра иностранных дел под давлением социалистов потерял и лидер партии конституционных демократов (кадетов) Павел Милюков. Ему предлагали перейти на менее значимый пост министра народного просвещения, но Милюков ответил отказом, сконцентрировавшись на руководстве своей партией. Отставки Гучкова и Милюкова завершили так называемый «Апрельский кризис» (события происходили в мае, но страна тогда жила еще по старому стилю — РП), к которому привели разногласия между Временным правительством и Петросоветом относительно участия России в войне и первая попытка захвата власти большевиками (17045).</w:t>
      </w:r>
    </w:p>
    <w:p w14:paraId="77371CAC" w14:textId="77777777" w:rsidR="00C76B33" w:rsidRPr="002F2FDF" w:rsidRDefault="00C76B3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53EA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1-11 (14-24) мая 1917 в Москве состоялся первый Пан-Исламский Конгресс (2955).</w:t>
      </w:r>
    </w:p>
    <w:p w14:paraId="666A08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E56E54"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мая в 1917 году в Москве открыт I Всероссийский мусульманский съезд,- около 800 делегатов, представлявших различные организации и партии от консервативных до радикальных, за исключением примкнувших к большевикам. 446 голосами против 271 съезд высказался за демократическую Российскую Республику на национально-федеративных территориальных началах с национально-культурной автономией для народов, не имеющих определенной территории (14891).</w:t>
      </w:r>
    </w:p>
    <w:p w14:paraId="58C63427"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p>
    <w:p w14:paraId="46CB9961" w14:textId="77777777" w:rsidR="00C76B33" w:rsidRPr="002F2FDF" w:rsidRDefault="00C76B33" w:rsidP="0083075A">
      <w:pPr>
        <w:pStyle w:val="ae"/>
        <w:spacing w:before="0" w:after="0"/>
        <w:jc w:val="both"/>
        <w:rPr>
          <w:color w:val="000000" w:themeColor="text1"/>
          <w:kern w:val="2"/>
          <w:sz w:val="16"/>
          <w:szCs w:val="16"/>
        </w:rPr>
      </w:pPr>
      <w:r w:rsidRPr="002F2FDF">
        <w:rPr>
          <w:color w:val="000000" w:themeColor="text1"/>
          <w:kern w:val="2"/>
          <w:sz w:val="16"/>
          <w:szCs w:val="16"/>
        </w:rPr>
        <w:t>1 (14) мая 1917 в Москве в «доме Асадуллаева» (богатого азербайджанского нефтепромышленника Ага Шамси Асадуллаева, завещавшего после смерти в 1913 году свой московский особняк мусульманской общине) в Малом Татарском переулке открылся I Всероссийский мусульманский съезд. На него съехалось около 900 делегатов, представлявших все мусульманские регионы бывшей Российской империи. 446 голосами против 271 съезд высказался за поддержку демократии и республиканской формы правления в стране на национально-федеративных территориальных началах (или в форме культурной автономии для рассеянных народов). Делегаты-мусульмане высказались за более широкое применение языков своих этносов, но ни один народ пока еще не заявил о желании выхода из состава России (17045).</w:t>
      </w:r>
    </w:p>
    <w:p w14:paraId="0BC7F695" w14:textId="77777777" w:rsidR="00C76B33" w:rsidRPr="002F2FDF" w:rsidRDefault="00C76B33" w:rsidP="0083075A">
      <w:pPr>
        <w:spacing w:after="0" w:line="240" w:lineRule="auto"/>
        <w:jc w:val="both"/>
        <w:rPr>
          <w:rFonts w:ascii="Times New Roman" w:hAnsi="Times New Roman" w:cs="Times New Roman"/>
          <w:color w:val="000000" w:themeColor="text1"/>
          <w:kern w:val="2"/>
          <w:sz w:val="16"/>
          <w:szCs w:val="16"/>
        </w:rPr>
      </w:pPr>
    </w:p>
    <w:p w14:paraId="114B6B8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1568D2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6A6F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мая 1917 г. был заключен новый контракт с фирмой Вестингауз. Основы нового контракта были следующие:</w:t>
      </w:r>
    </w:p>
    <w:p w14:paraId="1B550F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 убытки Вестингауза ограничиваются 5 млн долларов; </w:t>
      </w:r>
    </w:p>
    <w:p w14:paraId="294615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 количество законтрактованного заказа — 1 800 000 винтовок — уменьшается до 1 000 000, которые должны быть сданы к 1 января 1918 г.; </w:t>
      </w:r>
    </w:p>
    <w:p w14:paraId="00B25E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 цена винтовки устанавливается в 32 доллара 75 центов; </w:t>
      </w:r>
    </w:p>
    <w:p w14:paraId="55F29A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 предусматриваются опционы 400 тыс., 200 тыс. и 200 тыс. </w:t>
      </w:r>
    </w:p>
    <w:p w14:paraId="571D05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Ко времени подписания дополнительного контракта производство ружей на заводах Вестингауза развилось следующим образом (тыс. шт.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16"/>
        <w:gridCol w:w="792"/>
      </w:tblGrid>
      <w:tr w:rsidR="002B1C74" w:rsidRPr="002F2FDF" w14:paraId="230C9953" w14:textId="77777777">
        <w:tc>
          <w:tcPr>
            <w:tcW w:w="2016" w:type="dxa"/>
            <w:tcBorders>
              <w:top w:val="single" w:sz="12" w:space="0" w:color="auto"/>
            </w:tcBorders>
          </w:tcPr>
          <w:p w14:paraId="0F5F3F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января 1917 г.</w:t>
            </w:r>
          </w:p>
        </w:tc>
        <w:tc>
          <w:tcPr>
            <w:tcW w:w="792" w:type="dxa"/>
            <w:tcBorders>
              <w:top w:val="single" w:sz="12" w:space="0" w:color="auto"/>
            </w:tcBorders>
          </w:tcPr>
          <w:p w14:paraId="541E22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 40 </w:t>
            </w:r>
          </w:p>
        </w:tc>
      </w:tr>
      <w:tr w:rsidR="002B1C74" w:rsidRPr="002F2FDF" w14:paraId="0B54EE34" w14:textId="77777777">
        <w:tc>
          <w:tcPr>
            <w:tcW w:w="2016" w:type="dxa"/>
          </w:tcPr>
          <w:p w14:paraId="3562C7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мая 1917 г.</w:t>
            </w:r>
          </w:p>
        </w:tc>
        <w:tc>
          <w:tcPr>
            <w:tcW w:w="792" w:type="dxa"/>
          </w:tcPr>
          <w:p w14:paraId="299670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75 </w:t>
            </w:r>
          </w:p>
        </w:tc>
      </w:tr>
      <w:tr w:rsidR="002B1C74" w:rsidRPr="002F2FDF" w14:paraId="4875E928" w14:textId="77777777">
        <w:tc>
          <w:tcPr>
            <w:tcW w:w="2016" w:type="dxa"/>
          </w:tcPr>
          <w:p w14:paraId="5442E7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июля 1917 г.</w:t>
            </w:r>
          </w:p>
        </w:tc>
        <w:tc>
          <w:tcPr>
            <w:tcW w:w="792" w:type="dxa"/>
          </w:tcPr>
          <w:p w14:paraId="25BFC1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100 </w:t>
            </w:r>
          </w:p>
        </w:tc>
      </w:tr>
      <w:tr w:rsidR="002B1C74" w:rsidRPr="002F2FDF" w14:paraId="352F0CFE" w14:textId="77777777">
        <w:tc>
          <w:tcPr>
            <w:tcW w:w="2016" w:type="dxa"/>
            <w:tcBorders>
              <w:bottom w:val="single" w:sz="12" w:space="0" w:color="auto"/>
            </w:tcBorders>
          </w:tcPr>
          <w:p w14:paraId="6E7E7F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октября 1917 г.</w:t>
            </w:r>
          </w:p>
        </w:tc>
        <w:tc>
          <w:tcPr>
            <w:tcW w:w="792" w:type="dxa"/>
            <w:tcBorders>
              <w:bottom w:val="single" w:sz="12" w:space="0" w:color="auto"/>
            </w:tcBorders>
          </w:tcPr>
          <w:p w14:paraId="05E174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120. </w:t>
            </w:r>
          </w:p>
        </w:tc>
      </w:tr>
    </w:tbl>
    <w:p w14:paraId="69122B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Параллельно постепенно улучшалось и качество ружей. </w:t>
      </w:r>
    </w:p>
    <w:p w14:paraId="790AE6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 декабря 1917 г. в связи с общей ликвидацией деятельности Заготовительного комитета Вестингауз был осведомлен о канцеляции заказа как по основному контракту, так и опционов, которые предполагалось использовать. Вследствие этого приступлено было к ликвидации контракта. </w:t>
      </w:r>
    </w:p>
    <w:p w14:paraId="3248B0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Американское правительство выразило желание приобрести у Вестингауза 200 тыс. трехлинейных винтовок, которые он должен продолжать готовить после окончания русского заказа, с тем что оборудование завода не пойдет в ликвидацию и будет подготовлено к помещению заказа американского правительства на 15 тыс. пулеметных браунингов. </w:t>
      </w:r>
    </w:p>
    <w:p w14:paraId="299928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итоге всех указанных выше перипетий по 1 января 1918 г. было принято 1 073 560 ружей. Из этого количества в Россию было отправлено 769 520 ружей, а остальные 304 040 русских ружей были отправлены по распоряжению британского правительства в Англию. Всего за весь заказ было уплачено 40 907 873 доллара. </w:t>
      </w:r>
    </w:p>
    <w:p w14:paraId="73C583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итоге всех этих длинных и сложных перипетий первоначальный заказ на винтовки был выполнен Вестингаузом на 60% и срок исполнения этой части заказа был оттянут на 20 месяцев против контрактного (11329).</w:t>
      </w:r>
    </w:p>
    <w:p w14:paraId="7B45D0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617965" w14:textId="77777777"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 (14) мая</w:t>
      </w:r>
      <w:r w:rsidRPr="002F2FDF">
        <w:rPr>
          <w:rFonts w:ascii="Times New Roman" w:hAnsi="Times New Roman" w:cs="Times New Roman"/>
          <w:color w:val="000000" w:themeColor="text1"/>
          <w:kern w:val="2"/>
          <w:sz w:val="16"/>
          <w:szCs w:val="16"/>
        </w:rPr>
        <w:t xml:space="preserve"> в 1917 году министр иностранных дел Временного правительства П.Н.Милюков опубликовал адресованную союзни¬кам ноту, в которой от лица правительства подтвердил готовность России вести войну до победы. Этот шаг вызвал неоднозначную реак¬цию. В Петрограде прошли многотысячные демонстрации. Лишь не¬значительная часть их участников поддержала ноту. Подавляющее же большинство сторонников Советов резко ее осудило. Рабочие и солдаты несли транспаранты: «Долой войну!», «Долой Временное прави¬тельство!», «Долой министров-капиталистов!» Вызванные для усми¬рения солдаты отказались стрелять в манифестантов. Так возник пер¬вый острый политический кризис (14878).</w:t>
      </w:r>
    </w:p>
    <w:p w14:paraId="767AE77D" w14:textId="77777777"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p>
    <w:p w14:paraId="640F916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44A2B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6C38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мая 1917 года для выполнения задания по поиску минных полей противника вылетели L-22 и L-23. Погода стояла неустойчивая, с частыми грозовыми разрядами. Вскоре после старта связь с L-22 была потеряна. Один из разведывательных самолетов передал, что в 9.50 наблюдал взрыв и черное облако дыма. Все меры по поиску пропавшего цеппелина оказались безрезультатными. В 19.40 Штрассер получил из Боркума сообщение, подтверждающее факт гибели L-22. Как удалось выяснить, цеппелин, уходя от грозового облака, снизился и попал под обстрел английских кораблей (11324).</w:t>
      </w:r>
    </w:p>
    <w:p w14:paraId="0EB07B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766A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мая 1917 года летающей лодке Кертисс Н.12 “Ладж Америка” удалось сбить у острова Тексел цеппелин L-22. С возрастанием высотности цеппелинов сбить их над Британией стало намного труднее. Англичане решили изменить тактику и стали нападать на цеппелины над Северным морем, когда они еще не набрали боевой высоты. Кроме того, участились налеты на места базирования дирижаблей. Через месяц при аналогичных обстоятельствах были потеряны L-43 и L-48. Кстати, во время гибели L-48 впервые трем членам экипажа удалось спастись с помощью парашютов, которые обычно подвешивались рядом с окнами гондол. Экипажи дирижаблей имели мало шансов выжить при взрыве водорода, поэтому парашюты обычно оставляли на земле, а вместо них брали дополнительно бомбы. Однако случай с L-48 показал, что минимальные шансы остаться в живых все-таки сохранялись. Британцы смогли разместить в непосредственной близости от Германии и свои самолеты-истребители, которые против цеппелинов были еще более эффективным оружием. 21 августа с небольшой площадки, смонтированной на орудийной башне крейсера Ее Величества “Ярмут”, в воздух взмыл истребитель Сопвич “Пап”, управляемый лейтенантом Смаром. Его встреча над Данией с цеппелином L-23 оказалась для последнего роковой. [229] (11324).</w:t>
      </w:r>
    </w:p>
    <w:p w14:paraId="10E169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5CED87" w14:textId="77777777" w:rsidR="00216808" w:rsidRPr="002F2FDF" w:rsidRDefault="002168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(14) мая 1917 на борту летающей лодки Curtiss H.12 Large America 8666 командир авиации Королевских ВМС Роберт Леки сбивает немецкий Zeppelin L 22 в 18 морских милях (33 км) к северо-северо-западу от острова Тексель. Это первый случай, когда летающая лодка сбивает цеппелин (20341).</w:t>
      </w:r>
    </w:p>
    <w:p w14:paraId="7C110651" w14:textId="77777777" w:rsidR="00216808" w:rsidRPr="002F2FDF" w:rsidRDefault="00216808" w:rsidP="0083075A">
      <w:pPr>
        <w:spacing w:after="0" w:line="240" w:lineRule="auto"/>
        <w:jc w:val="both"/>
        <w:rPr>
          <w:rFonts w:ascii="Times New Roman" w:hAnsi="Times New Roman" w:cs="Times New Roman"/>
          <w:color w:val="000000" w:themeColor="text1"/>
          <w:sz w:val="16"/>
          <w:szCs w:val="16"/>
        </w:rPr>
      </w:pPr>
    </w:p>
    <w:p w14:paraId="342C4D0F" w14:textId="77777777" w:rsidR="00216808" w:rsidRPr="002F2FDF" w:rsidRDefault="00216808"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(14) мая 1917 первый прототип германского танка, пока еще с деревянным макетом бронекорпуса и получил обозначение A7V (т. е. просто по названию подразделения Военного министерства, курировавшего программу), продемонстрировали руководству Ставки Главного командования, после чего было принято решение организовать два танковых подразделения (пока еще без танков).</w:t>
      </w:r>
    </w:p>
    <w:p w14:paraId="22950733" w14:textId="77777777" w:rsidR="00216808" w:rsidRPr="002F2FDF" w:rsidRDefault="00216808" w:rsidP="0083075A">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rPr>
        <w:t>Испытания A7V и исправление целого ряда обнаружившихся технических недоработок (результат спешки) продолжались все лето 1917 г., в результате первый серийный A7V (шасси № 501) удалось закончить постройкой только к концу октября 1917 г. (22831).</w:t>
      </w:r>
    </w:p>
    <w:p w14:paraId="4A4205B2" w14:textId="77777777" w:rsidR="00216808" w:rsidRPr="002F2FDF" w:rsidRDefault="00216808" w:rsidP="0083075A">
      <w:pPr>
        <w:spacing w:after="0" w:line="240" w:lineRule="auto"/>
        <w:jc w:val="both"/>
        <w:rPr>
          <w:rFonts w:ascii="Times New Roman" w:hAnsi="Times New Roman" w:cs="Times New Roman"/>
          <w:color w:val="000000" w:themeColor="text1"/>
          <w:sz w:val="16"/>
          <w:szCs w:val="16"/>
        </w:rPr>
      </w:pPr>
    </w:p>
    <w:p w14:paraId="32A0DBC2" w14:textId="77777777" w:rsidR="00C76B33" w:rsidRPr="002F2FDF" w:rsidRDefault="00C76B33" w:rsidP="0083075A">
      <w:pPr>
        <w:pStyle w:val="ae"/>
        <w:spacing w:before="0" w:after="0"/>
        <w:jc w:val="both"/>
        <w:rPr>
          <w:color w:val="000000" w:themeColor="text1"/>
          <w:kern w:val="2"/>
          <w:sz w:val="16"/>
          <w:szCs w:val="16"/>
        </w:rPr>
      </w:pPr>
      <w:r w:rsidRPr="002F2FDF">
        <w:rPr>
          <w:color w:val="000000" w:themeColor="text1"/>
          <w:kern w:val="2"/>
          <w:sz w:val="16"/>
          <w:szCs w:val="16"/>
        </w:rPr>
        <w:t>1-2 (14-15) мая 1917 в проливе Отранто (между побережьями южной Италией и Албании) произошло морское сражение между объединенным флотом итальянцев, французов и британцев и австро-венгерской эскадрой. В историю оно вошло, среди прочего, благодаря участию в нем тогда еще капитана первого ранга австро-венгерского флота Миклоша Хорти — будущего адмирала и диктатора Венгрии. При его жизни этот бой считался победой Хорти, хотя, на самом деле это было скорее не полноценное морское сражение, а набег австро-венгерских боевых кораблей на почти невооруженную группу судов поддержки флота союзников.</w:t>
      </w:r>
    </w:p>
    <w:p w14:paraId="601B723F" w14:textId="77777777" w:rsidR="00C76B33" w:rsidRPr="002F2FDF" w:rsidRDefault="00C76B33" w:rsidP="0083075A">
      <w:pPr>
        <w:pStyle w:val="ae"/>
        <w:spacing w:before="0" w:after="0"/>
        <w:jc w:val="both"/>
        <w:rPr>
          <w:color w:val="000000" w:themeColor="text1"/>
          <w:kern w:val="2"/>
          <w:sz w:val="16"/>
          <w:szCs w:val="16"/>
        </w:rPr>
      </w:pPr>
      <w:r w:rsidRPr="002F2FDF">
        <w:rPr>
          <w:color w:val="000000" w:themeColor="text1"/>
          <w:kern w:val="2"/>
          <w:sz w:val="16"/>
          <w:szCs w:val="16"/>
        </w:rPr>
        <w:t>Австро-венгерская эскадра под командованием Хорти изначально не ставила себе целью дать решительной бой флоту союзников в Средиземном море, поскольку сил сторон были не равны. Дело в том, что вскоре после начала войны австрийский флот, главной базой которого был порт Пола (ныне Пула — в Хорватии, тогда принадлежал Австро-Венгрии — РП) на севере Адриатического моря, был заперт там эскадрами стран Антанты. Единственный путь из «заводи» Адриатики для австрийских линкоров и крейсеров лежал через пролив Отранто шириной всего около 75 км, в котором дежурили английские, французские и итальянские корабли.</w:t>
      </w:r>
    </w:p>
    <w:p w14:paraId="17FAD3C0" w14:textId="77777777" w:rsidR="00C76B33" w:rsidRPr="002F2FDF" w:rsidRDefault="00C76B33" w:rsidP="0083075A">
      <w:pPr>
        <w:pStyle w:val="ae"/>
        <w:spacing w:before="0" w:after="0"/>
        <w:jc w:val="both"/>
        <w:rPr>
          <w:color w:val="000000" w:themeColor="text1"/>
          <w:kern w:val="2"/>
          <w:sz w:val="16"/>
          <w:szCs w:val="16"/>
        </w:rPr>
      </w:pPr>
      <w:r w:rsidRPr="002F2FDF">
        <w:rPr>
          <w:color w:val="000000" w:themeColor="text1"/>
          <w:kern w:val="2"/>
          <w:sz w:val="16"/>
          <w:szCs w:val="16"/>
        </w:rPr>
        <w:t>При этом через пролив Отранто в Средиземное море регулярно проходили немецкие и австрийские подводные лодки, которые сотнями топили транспорты стран Антанты. Чтобы обезопасить себя, Союзники по Антанте к маю 1917 года начали перегораживать пролив цепью легко вооруженных дрифтеров (небольших судов, фактически реквизированных для нужд войны рыбацких шаланд), между которыми были установлены мины, натянуты противолодочные сети и установлены эхолоты для обнаружения подводных лодок, «подныривавших» под сети. При своем «набеге» австро-венгерская эскадра предполагала лишь прорвать цепь дрифтеров и облегчить подводным лодкам прохождение в Средиземное море, не вступая в открытый бой с крейсерами и эсминцами Антанты.</w:t>
      </w:r>
    </w:p>
    <w:p w14:paraId="0C9A1FB4" w14:textId="77777777" w:rsidR="00C76B33" w:rsidRPr="002F2FDF" w:rsidRDefault="00C76B33" w:rsidP="0083075A">
      <w:pPr>
        <w:pStyle w:val="ae"/>
        <w:spacing w:before="0" w:after="0"/>
        <w:jc w:val="both"/>
        <w:rPr>
          <w:color w:val="000000" w:themeColor="text1"/>
          <w:kern w:val="2"/>
          <w:sz w:val="16"/>
          <w:szCs w:val="16"/>
        </w:rPr>
      </w:pPr>
      <w:r w:rsidRPr="002F2FDF">
        <w:rPr>
          <w:color w:val="000000" w:themeColor="text1"/>
          <w:kern w:val="2"/>
          <w:sz w:val="16"/>
          <w:szCs w:val="16"/>
        </w:rPr>
        <w:t>В ночь на 14 мая австро-венгерская эскадра в составе 7 кораблей атаковала дрифтеры, методично расстреливая их из пушек. В результате было потоплено 14 судов противолодочной обороны и 4 серьезно повреждено. Когда на горизонте показались миноносцы Антанты, пришедшие на помощь дрифтерам, Хорти отдал команду эскадре отходить к родным берегам, но избежать боя не удалось. В его ходе получили повреждения два легких австрийских крейсера и британский крейсер, торпедированный немецкой подводной лодкой. Также затонули два французских миноносца, один из которых сам подорвался на мине. По «счету потерь» принято считать, что победу в проливе Отранто одержал Хорти (его эскадре противостояли 12 боевых кораблей стран Антанты, не считая дрифтеров), но на ход войны сражение не оказало никакого влияния. Флот союзников по-прежнему продолжал блокировать австрийцам выход в Средиземное море, но и немецкие подводные лодки свободно проходили через пролив.</w:t>
      </w:r>
    </w:p>
    <w:p w14:paraId="0FBF03A7" w14:textId="77777777" w:rsidR="00C76B33" w:rsidRPr="002F2FDF" w:rsidRDefault="00C76B3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FBC72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F14FB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FA10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мая 1917 г. МГШ сообщил в Главное управление кораб</w:t>
      </w:r>
      <w:r w:rsidRPr="002F2FDF">
        <w:rPr>
          <w:rFonts w:ascii="Times New Roman" w:hAnsi="Times New Roman" w:cs="Times New Roman"/>
          <w:color w:val="000000" w:themeColor="text1"/>
          <w:kern w:val="2"/>
          <w:sz w:val="16"/>
          <w:szCs w:val="16"/>
        </w:rPr>
        <w:softHyphen/>
        <w:t>лестроения (ГУК), что оно поддержало идею Эрдели посылать аппараты в авиаотряды без предварительных сдаточных опытов, опробуя лишь моторы, но прика</w:t>
      </w:r>
      <w:r w:rsidRPr="002F2FDF">
        <w:rPr>
          <w:rFonts w:ascii="Times New Roman" w:hAnsi="Times New Roman" w:cs="Times New Roman"/>
          <w:color w:val="000000" w:themeColor="text1"/>
          <w:kern w:val="2"/>
          <w:sz w:val="16"/>
          <w:szCs w:val="16"/>
        </w:rPr>
        <w:softHyphen/>
        <w:t>зало опробовать всякий самолет по доставлении его в часть и, в случае каких-либо неполадок, недора</w:t>
      </w:r>
      <w:r w:rsidRPr="002F2FDF">
        <w:rPr>
          <w:rFonts w:ascii="Times New Roman" w:hAnsi="Times New Roman" w:cs="Times New Roman"/>
          <w:color w:val="000000" w:themeColor="text1"/>
          <w:kern w:val="2"/>
          <w:sz w:val="16"/>
          <w:szCs w:val="16"/>
        </w:rPr>
        <w:softHyphen/>
        <w:t>зумений или сомнений, требовать от завода официальной сдачи дефектной машины на месте, то есть в Ревеле, Або или Севастополе (2807).</w:t>
      </w:r>
    </w:p>
    <w:p w14:paraId="5E568E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A00C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 </w:t>
      </w:r>
      <w:r w:rsidR="00731D28" w:rsidRPr="002F2FDF">
        <w:rPr>
          <w:rFonts w:ascii="Times New Roman" w:hAnsi="Times New Roman" w:cs="Times New Roman"/>
          <w:color w:val="000000" w:themeColor="text1"/>
          <w:kern w:val="2"/>
          <w:sz w:val="16"/>
          <w:szCs w:val="16"/>
        </w:rPr>
        <w:t xml:space="preserve">(15) </w:t>
      </w:r>
      <w:r w:rsidRPr="002F2FDF">
        <w:rPr>
          <w:rFonts w:ascii="Times New Roman" w:hAnsi="Times New Roman" w:cs="Times New Roman"/>
          <w:color w:val="000000" w:themeColor="text1"/>
          <w:kern w:val="2"/>
          <w:sz w:val="16"/>
          <w:szCs w:val="16"/>
        </w:rPr>
        <w:t>мая 1917 г. Морской генеральный штаб сообщил в Главное управление кораблестроения о приказе опробывать всякий самолет по дос</w:t>
      </w:r>
      <w:r w:rsidRPr="002F2FDF">
        <w:rPr>
          <w:rFonts w:ascii="Times New Roman" w:hAnsi="Times New Roman" w:cs="Times New Roman"/>
          <w:color w:val="000000" w:themeColor="text1"/>
          <w:kern w:val="2"/>
          <w:sz w:val="16"/>
          <w:szCs w:val="16"/>
        </w:rPr>
        <w:softHyphen/>
        <w:t>тавлении его в часть, а в случае каких-либо неполадок, недора</w:t>
      </w:r>
      <w:r w:rsidRPr="002F2FDF">
        <w:rPr>
          <w:rFonts w:ascii="Times New Roman" w:hAnsi="Times New Roman" w:cs="Times New Roman"/>
          <w:color w:val="000000" w:themeColor="text1"/>
          <w:kern w:val="2"/>
          <w:sz w:val="16"/>
          <w:szCs w:val="16"/>
        </w:rPr>
        <w:softHyphen/>
        <w:t>зумений или сомнений, требовать от завода официальной сдачи де</w:t>
      </w:r>
      <w:r w:rsidRPr="002F2FDF">
        <w:rPr>
          <w:rFonts w:ascii="Times New Roman" w:hAnsi="Times New Roman" w:cs="Times New Roman"/>
          <w:color w:val="000000" w:themeColor="text1"/>
          <w:kern w:val="2"/>
          <w:sz w:val="16"/>
          <w:szCs w:val="16"/>
        </w:rPr>
        <w:softHyphen/>
        <w:t>фектной машины на месте, то есть в Ревеле, Або или Севастополе.. Как можно заметить, вопросам качества изготовления достаточного внима</w:t>
      </w:r>
      <w:r w:rsidRPr="002F2FDF">
        <w:rPr>
          <w:rFonts w:ascii="Times New Roman" w:hAnsi="Times New Roman" w:cs="Times New Roman"/>
          <w:color w:val="000000" w:themeColor="text1"/>
          <w:kern w:val="2"/>
          <w:sz w:val="16"/>
          <w:szCs w:val="16"/>
        </w:rPr>
        <w:softHyphen/>
        <w:t>ния не уделялось (11872).</w:t>
      </w:r>
    </w:p>
    <w:p w14:paraId="4C18FD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C9B050" w14:textId="77777777" w:rsidR="00403176" w:rsidRPr="002F2FDF" w:rsidRDefault="0040317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57DE9AB" w14:textId="77777777" w:rsidR="00403176" w:rsidRPr="002F2FDF" w:rsidRDefault="0040317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7A21A8" w14:textId="33F5A513" w:rsidR="00403176" w:rsidRPr="002F2FDF" w:rsidRDefault="00403176" w:rsidP="0083075A">
      <w:pPr>
        <w:pStyle w:val="ae"/>
        <w:spacing w:before="0" w:after="0"/>
        <w:jc w:val="both"/>
        <w:textAlignment w:val="baseline"/>
        <w:rPr>
          <w:color w:val="000000" w:themeColor="text1"/>
          <w:sz w:val="16"/>
          <w:szCs w:val="16"/>
        </w:rPr>
      </w:pPr>
      <w:r w:rsidRPr="002F2FDF">
        <w:rPr>
          <w:color w:val="000000" w:themeColor="text1"/>
          <w:sz w:val="16"/>
          <w:szCs w:val="16"/>
        </w:rPr>
        <w:t>2</w:t>
      </w:r>
      <w:r w:rsidR="00E52569">
        <w:rPr>
          <w:color w:val="000000" w:themeColor="text1"/>
          <w:sz w:val="16"/>
          <w:szCs w:val="16"/>
        </w:rPr>
        <w:t xml:space="preserve"> </w:t>
      </w:r>
      <w:r w:rsidRPr="002F2FDF">
        <w:rPr>
          <w:color w:val="000000" w:themeColor="text1"/>
          <w:sz w:val="16"/>
          <w:szCs w:val="16"/>
        </w:rPr>
        <w:t>(15) мая 1917</w:t>
      </w:r>
      <w:r w:rsidR="00E52569">
        <w:rPr>
          <w:color w:val="000000" w:themeColor="text1"/>
          <w:sz w:val="16"/>
          <w:szCs w:val="16"/>
        </w:rPr>
        <w:t xml:space="preserve"> </w:t>
      </w:r>
      <w:r w:rsidRPr="002F2FDF">
        <w:rPr>
          <w:color w:val="000000" w:themeColor="text1"/>
          <w:sz w:val="16"/>
          <w:szCs w:val="16"/>
        </w:rPr>
        <w:t>года председатель правления АО «Русский Уайтхед» сообщил начальнику минного отдела Главного управления кораблестроения и снабжений, что постройка и оснащение завода по производству торпед не закончены, что акционерное общество, имея задолженность учётному и ссудному банку в сумме 1</w:t>
      </w:r>
      <w:r w:rsidR="00E52569">
        <w:rPr>
          <w:color w:val="000000" w:themeColor="text1"/>
          <w:sz w:val="16"/>
          <w:szCs w:val="16"/>
        </w:rPr>
        <w:t xml:space="preserve"> </w:t>
      </w:r>
      <w:r w:rsidRPr="002F2FDF">
        <w:rPr>
          <w:color w:val="000000" w:themeColor="text1"/>
          <w:sz w:val="16"/>
          <w:szCs w:val="16"/>
        </w:rPr>
        <w:t>300</w:t>
      </w:r>
      <w:r w:rsidR="00E52569">
        <w:rPr>
          <w:color w:val="000000" w:themeColor="text1"/>
          <w:sz w:val="16"/>
          <w:szCs w:val="16"/>
        </w:rPr>
        <w:t xml:space="preserve"> </w:t>
      </w:r>
      <w:r w:rsidRPr="002F2FDF">
        <w:rPr>
          <w:color w:val="000000" w:themeColor="text1"/>
          <w:sz w:val="16"/>
          <w:szCs w:val="16"/>
        </w:rPr>
        <w:t>000</w:t>
      </w:r>
      <w:r w:rsidR="00E52569">
        <w:rPr>
          <w:color w:val="000000" w:themeColor="text1"/>
          <w:sz w:val="16"/>
          <w:szCs w:val="16"/>
        </w:rPr>
        <w:t xml:space="preserve"> </w:t>
      </w:r>
      <w:r w:rsidRPr="002F2FDF">
        <w:rPr>
          <w:color w:val="000000" w:themeColor="text1"/>
          <w:sz w:val="16"/>
          <w:szCs w:val="16"/>
        </w:rPr>
        <w:t>рублей, от Морского министерства денег не получало. Задолженностей перед ним оно не имело, как и «не имело от него заказов», поскольку эксплуатировалась только испытательная тпс.</w:t>
      </w:r>
    </w:p>
    <w:p w14:paraId="1A6A1063" w14:textId="3C5B5561" w:rsidR="00403176" w:rsidRPr="002F2FDF" w:rsidRDefault="00403176" w:rsidP="0083075A">
      <w:pPr>
        <w:pStyle w:val="ae"/>
        <w:spacing w:before="0" w:after="0"/>
        <w:jc w:val="both"/>
        <w:textAlignment w:val="baseline"/>
        <w:rPr>
          <w:color w:val="000000" w:themeColor="text1"/>
          <w:sz w:val="16"/>
          <w:szCs w:val="16"/>
        </w:rPr>
      </w:pPr>
      <w:r w:rsidRPr="002F2FDF">
        <w:rPr>
          <w:color w:val="000000" w:themeColor="text1"/>
          <w:sz w:val="16"/>
          <w:szCs w:val="16"/>
        </w:rPr>
        <w:t>Катаклизмы, вызванные Первой мировой войной (две революции, военная интервенция, Гражданская война), положили конец существованию акционерного общества торпедных заводов «Русский Уайтхед». В январе 1918</w:t>
      </w:r>
      <w:r w:rsidR="00E52569">
        <w:rPr>
          <w:color w:val="000000" w:themeColor="text1"/>
          <w:sz w:val="16"/>
          <w:szCs w:val="16"/>
        </w:rPr>
        <w:t xml:space="preserve"> </w:t>
      </w:r>
      <w:r w:rsidRPr="002F2FDF">
        <w:rPr>
          <w:color w:val="000000" w:themeColor="text1"/>
          <w:sz w:val="16"/>
          <w:szCs w:val="16"/>
        </w:rPr>
        <w:t>года для расчёта инженерам, мастерам, рабочим предприятия и торпедной станции были выплачены 348</w:t>
      </w:r>
      <w:r w:rsidR="00E52569">
        <w:rPr>
          <w:color w:val="000000" w:themeColor="text1"/>
          <w:sz w:val="16"/>
          <w:szCs w:val="16"/>
        </w:rPr>
        <w:t xml:space="preserve"> </w:t>
      </w:r>
      <w:r w:rsidRPr="002F2FDF">
        <w:rPr>
          <w:color w:val="000000" w:themeColor="text1"/>
          <w:sz w:val="16"/>
          <w:szCs w:val="16"/>
        </w:rPr>
        <w:t>500</w:t>
      </w:r>
      <w:r w:rsidR="00E52569">
        <w:rPr>
          <w:color w:val="000000" w:themeColor="text1"/>
          <w:sz w:val="16"/>
          <w:szCs w:val="16"/>
        </w:rPr>
        <w:t xml:space="preserve"> </w:t>
      </w:r>
      <w:r w:rsidRPr="002F2FDF">
        <w:rPr>
          <w:color w:val="000000" w:themeColor="text1"/>
          <w:sz w:val="16"/>
          <w:szCs w:val="16"/>
        </w:rPr>
        <w:t>рублей22, а 2</w:t>
      </w:r>
      <w:r w:rsidR="00E52569">
        <w:rPr>
          <w:color w:val="000000" w:themeColor="text1"/>
          <w:sz w:val="16"/>
          <w:szCs w:val="16"/>
        </w:rPr>
        <w:t xml:space="preserve"> </w:t>
      </w:r>
      <w:r w:rsidRPr="002F2FDF">
        <w:rPr>
          <w:color w:val="000000" w:themeColor="text1"/>
          <w:sz w:val="16"/>
          <w:szCs w:val="16"/>
        </w:rPr>
        <w:t>декабря АО прекратило свою деятельность (18368).</w:t>
      </w:r>
    </w:p>
    <w:p w14:paraId="72035E15" w14:textId="77777777" w:rsidR="00403176" w:rsidRPr="002F2FDF" w:rsidRDefault="00403176" w:rsidP="0083075A">
      <w:pPr>
        <w:pStyle w:val="ae"/>
        <w:spacing w:before="0" w:after="0"/>
        <w:jc w:val="both"/>
        <w:textAlignment w:val="baseline"/>
        <w:rPr>
          <w:color w:val="000000" w:themeColor="text1"/>
          <w:sz w:val="16"/>
          <w:szCs w:val="16"/>
        </w:rPr>
      </w:pPr>
    </w:p>
    <w:p w14:paraId="063D4DB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8DAD8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81E503" w14:textId="3536AFD6" w:rsidR="00EB3E32" w:rsidRPr="00FB4F67" w:rsidRDefault="00EB3E32" w:rsidP="0083075A">
      <w:pPr>
        <w:spacing w:after="0" w:line="240" w:lineRule="auto"/>
        <w:jc w:val="both"/>
        <w:rPr>
          <w:rFonts w:ascii="Times New Roman" w:hAnsi="Times New Roman" w:cs="Times New Roman"/>
          <w:color w:val="0070C0"/>
          <w:sz w:val="16"/>
          <w:szCs w:val="16"/>
        </w:rPr>
      </w:pPr>
      <w:bookmarkStart w:id="102" w:name="bookmark995"/>
      <w:r>
        <w:rPr>
          <w:rFonts w:ascii="Times New Roman" w:hAnsi="Times New Roman" w:cs="Times New Roman"/>
          <w:color w:val="0070C0"/>
          <w:sz w:val="16"/>
          <w:szCs w:val="16"/>
        </w:rPr>
        <w:t>2 (</w:t>
      </w:r>
      <w:r w:rsidRPr="00FB4F67">
        <w:rPr>
          <w:rFonts w:ascii="Times New Roman" w:hAnsi="Times New Roman" w:cs="Times New Roman"/>
          <w:color w:val="0070C0"/>
          <w:sz w:val="16"/>
          <w:szCs w:val="16"/>
        </w:rPr>
        <w:t>15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мая 1917 г. с наступлением темноты на г. Пернов совершил налет морской цеппелин, появившийся с юго-западного направления. Также были отмечены полеты нескольких неприятельских военных дирижаблей в районе Моонзундского архипелага.</w:t>
      </w:r>
      <w:bookmarkEnd w:id="102"/>
    </w:p>
    <w:p w14:paraId="343B64C1" w14:textId="77777777" w:rsidR="00EB3E32" w:rsidRPr="00FB4F67" w:rsidRDefault="00EB3E32" w:rsidP="0083075A">
      <w:pPr>
        <w:spacing w:after="0" w:line="240" w:lineRule="auto"/>
        <w:jc w:val="both"/>
        <w:rPr>
          <w:rFonts w:ascii="Times New Roman" w:hAnsi="Times New Roman" w:cs="Times New Roman"/>
          <w:color w:val="0070C0"/>
          <w:sz w:val="16"/>
          <w:szCs w:val="16"/>
        </w:rPr>
      </w:pPr>
      <w:bookmarkStart w:id="103" w:name="bookmark996"/>
      <w:bookmarkStart w:id="104" w:name="bookmark997"/>
      <w:r w:rsidRPr="00FB4F67">
        <w:rPr>
          <w:rFonts w:ascii="Times New Roman" w:hAnsi="Times New Roman" w:cs="Times New Roman"/>
          <w:color w:val="0070C0"/>
          <w:sz w:val="16"/>
          <w:szCs w:val="16"/>
        </w:rPr>
        <w:t>Успехом германской авиации в ходе операции «Альбион» стало их активное участие в захвате 13 октября о. Абро (8 гидросамолетов) и 15 октября (6 самолетов сухопутной авиации) о. Руно. Летчиками были установлены на них сигнальные огни, необходимые для безопасности движения своих морских судов. В целом немецкой авиации удалось завоевать полное господство в воздухе, что, по мнению немецких военных специалистов, явилось значительной долей успеха в проводимой операции. Так, в ходе эвакуации наших войск на транспортные суда (район мыса Менто) неприятельская авиация практически безнаказанно расстреливала людей из пулеметов, совершая полеты на предельно малых высотах.</w:t>
      </w:r>
      <w:bookmarkEnd w:id="103"/>
      <w:bookmarkEnd w:id="104"/>
    </w:p>
    <w:p w14:paraId="65951096" w14:textId="77777777" w:rsidR="00EB3E32" w:rsidRPr="00FB4F67" w:rsidRDefault="00EB3E32" w:rsidP="0083075A">
      <w:pPr>
        <w:spacing w:after="0" w:line="240" w:lineRule="auto"/>
        <w:jc w:val="both"/>
        <w:rPr>
          <w:rFonts w:ascii="Times New Roman" w:hAnsi="Times New Roman" w:cs="Times New Roman"/>
          <w:color w:val="0070C0"/>
          <w:sz w:val="16"/>
          <w:szCs w:val="16"/>
        </w:rPr>
      </w:pPr>
      <w:bookmarkStart w:id="105" w:name="bookmark1000"/>
      <w:bookmarkStart w:id="106" w:name="bookmark1001"/>
      <w:bookmarkStart w:id="107" w:name="bookmark998"/>
      <w:bookmarkStart w:id="108" w:name="bookmark999"/>
      <w:r w:rsidRPr="00FB4F67">
        <w:rPr>
          <w:rFonts w:ascii="Times New Roman" w:hAnsi="Times New Roman" w:cs="Times New Roman"/>
          <w:color w:val="0070C0"/>
          <w:sz w:val="16"/>
          <w:szCs w:val="16"/>
        </w:rPr>
        <w:t>В тот же день в западной части Рижского залива воздушной атаке подвергся линкор «Гражданин» и сопровождавшие его миноносцы, направленные для уничтожения Церельской батареи с целью избежать ее захвата со стороны противника. Все атаки с воздуха были отбиты корабельными зенитными средствами. Тем временем немецкая авиация в районе проведения операции продолжала вести активную воздушную разведку, потеряв в результате зенитного обстрела один свой летательный аппарат (упал в расположении наших войск). Отмечен также ночной рейд морского цеппелина на г. Пер-нов, сбросивший на его объекты до 6 бомб. В следующую ночь налет повторился. На город немецкие аэронавты (дирижабль L-37) сбросили 20 бомб, что привело к разрушению нескольких зданий и гибели 10 человек из числа мирных жителей и много скота. В свою очередь воздушный корабль подвергся обстрелу со стороны морских и сухопутных зенитных орудий. С незначительными повреждениями он вернулся на свою базу (в Seerappen) для восстановления (23405).</w:t>
      </w:r>
      <w:bookmarkEnd w:id="105"/>
      <w:bookmarkEnd w:id="106"/>
      <w:bookmarkEnd w:id="107"/>
      <w:bookmarkEnd w:id="108"/>
    </w:p>
    <w:p w14:paraId="22AA277B" w14:textId="77777777" w:rsidR="00EB3E32" w:rsidRPr="00FB4F67" w:rsidRDefault="00EB3E32" w:rsidP="0083075A">
      <w:pPr>
        <w:spacing w:after="0" w:line="240" w:lineRule="auto"/>
        <w:jc w:val="both"/>
        <w:rPr>
          <w:rFonts w:ascii="Times New Roman" w:hAnsi="Times New Roman" w:cs="Times New Roman"/>
          <w:color w:val="0070C0"/>
          <w:sz w:val="16"/>
          <w:szCs w:val="16"/>
        </w:rPr>
      </w:pPr>
    </w:p>
    <w:p w14:paraId="74B95D1E" w14:textId="39187A20" w:rsidR="00EB3E32" w:rsidRPr="00FB4F67" w:rsidRDefault="00EB3E3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lastRenderedPageBreak/>
        <w:t>2 (</w:t>
      </w:r>
      <w:r w:rsidRPr="00FB4F67">
        <w:rPr>
          <w:rFonts w:ascii="Times New Roman" w:hAnsi="Times New Roman" w:cs="Times New Roman"/>
          <w:color w:val="0070C0"/>
          <w:sz w:val="16"/>
          <w:szCs w:val="16"/>
        </w:rPr>
        <w:t>15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мая 1917 г. корнет Г.В. Гильшер в районе Иезуполь (Езуполь) совершил перехват в воздухе австрийского самолета- разведчика «Оеффаг Ц.П». Поврежденный летательный аппарат совершил посадку на нейтральной полосе (вблизи м. Большовцы) и тут же был накрыт огнем русской артиллерии. За этот бой наш летчик награжден орденом Святого Георгия IV степени (23405).</w:t>
      </w:r>
    </w:p>
    <w:p w14:paraId="06363406" w14:textId="77777777" w:rsidR="00EB3E32" w:rsidRPr="00FB4F67" w:rsidRDefault="00EB3E32" w:rsidP="0083075A">
      <w:pPr>
        <w:spacing w:after="0" w:line="240" w:lineRule="auto"/>
        <w:jc w:val="both"/>
        <w:rPr>
          <w:rFonts w:ascii="Times New Roman" w:hAnsi="Times New Roman" w:cs="Times New Roman"/>
          <w:color w:val="0070C0"/>
          <w:sz w:val="16"/>
          <w:szCs w:val="16"/>
        </w:rPr>
      </w:pPr>
    </w:p>
    <w:p w14:paraId="7EBCAF6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связи с тем, что 2 (15) мая 1917 года Ставка Верховного Главнокомандования отложила “военное решение Босфорско</w:t>
      </w:r>
      <w:r w:rsidRPr="002F2FDF">
        <w:rPr>
          <w:rFonts w:ascii="Times New Roman" w:hAnsi="Times New Roman" w:cs="Times New Roman"/>
          <w:color w:val="000000" w:themeColor="text1"/>
          <w:kern w:val="2"/>
          <w:sz w:val="16"/>
          <w:szCs w:val="16"/>
        </w:rPr>
        <w:softHyphen/>
        <w:t>го вопроса” на неопределенное время, главной задачей Черно</w:t>
      </w:r>
      <w:r w:rsidRPr="002F2FDF">
        <w:rPr>
          <w:rFonts w:ascii="Times New Roman" w:hAnsi="Times New Roman" w:cs="Times New Roman"/>
          <w:color w:val="000000" w:themeColor="text1"/>
          <w:kern w:val="2"/>
          <w:sz w:val="16"/>
          <w:szCs w:val="16"/>
        </w:rPr>
        <w:softHyphen/>
        <w:t>морского флота вновь стала полная минная блокада пролива Босфор, обеспечивающая срыв морских перевозок противни</w:t>
      </w:r>
      <w:r w:rsidRPr="002F2FDF">
        <w:rPr>
          <w:rFonts w:ascii="Times New Roman" w:hAnsi="Times New Roman" w:cs="Times New Roman"/>
          <w:color w:val="000000" w:themeColor="text1"/>
          <w:kern w:val="2"/>
          <w:sz w:val="16"/>
          <w:szCs w:val="16"/>
        </w:rPr>
        <w:softHyphen/>
        <w:t>ка, а также активная поддержка приморских флангов наших сухопутных войск на Румынском и Кавказском фронтах (11283).</w:t>
      </w:r>
    </w:p>
    <w:p w14:paraId="27A0F3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BCB2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 </w:t>
      </w:r>
      <w:r w:rsidR="00731D28" w:rsidRPr="002F2FDF">
        <w:rPr>
          <w:rFonts w:ascii="Times New Roman" w:hAnsi="Times New Roman" w:cs="Times New Roman"/>
          <w:color w:val="000000" w:themeColor="text1"/>
          <w:kern w:val="2"/>
          <w:sz w:val="16"/>
          <w:szCs w:val="16"/>
        </w:rPr>
        <w:t xml:space="preserve">(15) </w:t>
      </w:r>
      <w:r w:rsidRPr="002F2FDF">
        <w:rPr>
          <w:rFonts w:ascii="Times New Roman" w:hAnsi="Times New Roman" w:cs="Times New Roman"/>
          <w:color w:val="000000" w:themeColor="text1"/>
          <w:kern w:val="2"/>
          <w:sz w:val="16"/>
          <w:szCs w:val="16"/>
        </w:rPr>
        <w:t>мая 1917 г. Ставка Верховного Главнокомандования пришла к выводу отложить "военное решение Босфорского вопроса" и главными задачами Черноморского флота остались минная блокада пролива Босфор и поддержка приморских флангов войск на Румынском и Кавказском фронтах (11933).</w:t>
      </w:r>
    </w:p>
    <w:p w14:paraId="361DD1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FB4E3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3F402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1FFB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мая 1917 министр иностранных дел П.Н.Милюков подал в отставку (1348,85).</w:t>
      </w:r>
    </w:p>
    <w:p w14:paraId="6D008E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725F5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мая 1917 В Киеве была проведена облава на дезертиров, которая сопровождалась вооруженными стычками с ними. Задержано было в тот день свыше 12 тысяч дезертиров (4963 ).</w:t>
      </w:r>
    </w:p>
    <w:p w14:paraId="43C0F1A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03C4C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7A1AF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CC64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мая 1917 L-16 и L-37 вылетели на патрулирование, но густой туман вынудил их возвратиться (11324).</w:t>
      </w:r>
    </w:p>
    <w:p w14:paraId="2C3AEB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641C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мая 1917 Нивель ушел с поста главнокомандующего и его место занял А.Петен, а Ф.Фош стал начальником Генштаба (3907,90).</w:t>
      </w:r>
    </w:p>
    <w:p w14:paraId="7AAE48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1ACDF6" w14:textId="77777777" w:rsidR="00E2230B" w:rsidRPr="002F2FDF" w:rsidRDefault="00E2230B" w:rsidP="0083075A">
      <w:pPr>
        <w:pStyle w:val="ae"/>
        <w:spacing w:before="0" w:after="0"/>
        <w:jc w:val="both"/>
        <w:rPr>
          <w:color w:val="000000" w:themeColor="text1"/>
          <w:kern w:val="2"/>
          <w:sz w:val="16"/>
          <w:szCs w:val="16"/>
        </w:rPr>
      </w:pPr>
      <w:r w:rsidRPr="002F2FDF">
        <w:rPr>
          <w:color w:val="000000" w:themeColor="text1"/>
          <w:kern w:val="2"/>
          <w:sz w:val="16"/>
          <w:szCs w:val="16"/>
        </w:rPr>
        <w:t>С 2 (15) по 8 (21) мая 1917 германские подводные лодки потопили в общей сложности 64 судна стран Антанты и нейтральных государств (17045).</w:t>
      </w:r>
    </w:p>
    <w:p w14:paraId="1E5C166F" w14:textId="77777777" w:rsidR="00E2230B" w:rsidRPr="002F2FDF" w:rsidRDefault="00E2230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D55F6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DBA3D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C6CE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мая 1917 в Петрограде закончились летные испытания учебного самолета Пороховщиков-4 - биплана с Гном 50 нр, начатые 27 февраля 1917. Сделали 131 полет и ТК УВВФ признал машину хорошим учебным самолетом для замены Фармана 4 и 16 (3634).</w:t>
      </w:r>
    </w:p>
    <w:p w14:paraId="31FB96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B79A4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мая 1917 в Петрограде закончились летные испытания учебного самолета "Пороховщиков-1У", начатые 27 февраля. Само</w:t>
      </w:r>
      <w:r w:rsidRPr="002F2FDF">
        <w:rPr>
          <w:rFonts w:ascii="Times New Roman" w:hAnsi="Times New Roman" w:cs="Times New Roman"/>
          <w:color w:val="000000" w:themeColor="text1"/>
          <w:kern w:val="2"/>
          <w:sz w:val="16"/>
          <w:szCs w:val="16"/>
        </w:rPr>
        <w:softHyphen/>
        <w:t>лет - биплан с двигателем Гном в 50 л.с., с двухместной кабиной. За время испытаний самолет под управлением самого конструктора сделал 131 полет, показав хорошие летные ка</w:t>
      </w:r>
      <w:r w:rsidRPr="002F2FDF">
        <w:rPr>
          <w:rFonts w:ascii="Times New Roman" w:hAnsi="Times New Roman" w:cs="Times New Roman"/>
          <w:color w:val="000000" w:themeColor="text1"/>
          <w:kern w:val="2"/>
          <w:sz w:val="16"/>
          <w:szCs w:val="16"/>
        </w:rPr>
        <w:softHyphen/>
        <w:t>чества. Технический комитет УВВФ признал ого весьма хоро</w:t>
      </w:r>
      <w:r w:rsidRPr="002F2FDF">
        <w:rPr>
          <w:rFonts w:ascii="Times New Roman" w:hAnsi="Times New Roman" w:cs="Times New Roman"/>
          <w:color w:val="000000" w:themeColor="text1"/>
          <w:kern w:val="2"/>
          <w:sz w:val="16"/>
          <w:szCs w:val="16"/>
        </w:rPr>
        <w:softHyphen/>
        <w:t>шим учебным самолотом. По заключению начальника Гатчинской авиашколы "Пороховщиков-14" может вполне заменить самолеты "Фэрмэн-4-" и "Фэрмэн-16". (ЦГВИА. ф.493, о.Ю, д.117, л.228).</w:t>
      </w:r>
    </w:p>
    <w:p w14:paraId="6DA5984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9DEFC1" w14:textId="77777777" w:rsidR="00BB5EE6" w:rsidRPr="00815ED5" w:rsidRDefault="00BB5EE6"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3 </w:t>
      </w:r>
      <w:r>
        <w:rPr>
          <w:rFonts w:ascii="Times New Roman" w:hAnsi="Times New Roman" w:cs="Times New Roman"/>
          <w:color w:val="0070C0"/>
          <w:sz w:val="16"/>
          <w:szCs w:val="16"/>
        </w:rPr>
        <w:t xml:space="preserve">(16) </w:t>
      </w:r>
      <w:r w:rsidRPr="00815ED5">
        <w:rPr>
          <w:rFonts w:ascii="Times New Roman" w:hAnsi="Times New Roman" w:cs="Times New Roman"/>
          <w:color w:val="0070C0"/>
          <w:sz w:val="16"/>
          <w:szCs w:val="16"/>
        </w:rPr>
        <w:t>мая</w:t>
      </w:r>
      <w:r>
        <w:rPr>
          <w:rFonts w:ascii="Times New Roman" w:hAnsi="Times New Roman" w:cs="Times New Roman"/>
          <w:color w:val="0070C0"/>
          <w:sz w:val="16"/>
          <w:szCs w:val="16"/>
        </w:rPr>
        <w:t xml:space="preserve">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 Петрограде закончились лет</w:t>
      </w:r>
      <w:r>
        <w:rPr>
          <w:rFonts w:ascii="Times New Roman" w:hAnsi="Times New Roman" w:cs="Times New Roman"/>
          <w:color w:val="0070C0"/>
          <w:sz w:val="16"/>
          <w:szCs w:val="16"/>
        </w:rPr>
        <w:t>н</w:t>
      </w:r>
      <w:r w:rsidRPr="00815ED5">
        <w:rPr>
          <w:rFonts w:ascii="Times New Roman" w:hAnsi="Times New Roman" w:cs="Times New Roman"/>
          <w:color w:val="0070C0"/>
          <w:sz w:val="16"/>
          <w:szCs w:val="16"/>
        </w:rPr>
        <w:t xml:space="preserve">ые испытания учебного самолета "Пороховщиков-4", начатые 27 февраля. Самолет - биплан с мотором </w:t>
      </w:r>
      <w:r>
        <w:rPr>
          <w:rFonts w:ascii="Times New Roman" w:hAnsi="Times New Roman" w:cs="Times New Roman"/>
          <w:color w:val="0070C0"/>
          <w:sz w:val="16"/>
          <w:szCs w:val="16"/>
        </w:rPr>
        <w:t>Г</w:t>
      </w:r>
      <w:r w:rsidRPr="00815ED5">
        <w:rPr>
          <w:rFonts w:ascii="Times New Roman" w:hAnsi="Times New Roman" w:cs="Times New Roman"/>
          <w:color w:val="0070C0"/>
          <w:sz w:val="16"/>
          <w:szCs w:val="16"/>
        </w:rPr>
        <w:t>ном 50 л.с.,</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с двухместной кабиной.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За время испытаний самолет под управлением самого конструктора сделал 131 полет,</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показав хоро</w:t>
      </w:r>
      <w:r>
        <w:rPr>
          <w:rFonts w:ascii="Times New Roman" w:hAnsi="Times New Roman" w:cs="Times New Roman"/>
          <w:color w:val="0070C0"/>
          <w:sz w:val="16"/>
          <w:szCs w:val="16"/>
        </w:rPr>
        <w:t>ши</w:t>
      </w:r>
      <w:r w:rsidRPr="00815ED5">
        <w:rPr>
          <w:rFonts w:ascii="Times New Roman" w:hAnsi="Times New Roman" w:cs="Times New Roman"/>
          <w:color w:val="0070C0"/>
          <w:sz w:val="16"/>
          <w:szCs w:val="16"/>
        </w:rPr>
        <w:t>е летные качества.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Технический комитет УВВ</w:t>
      </w:r>
      <w:r>
        <w:rPr>
          <w:rFonts w:ascii="Times New Roman" w:hAnsi="Times New Roman" w:cs="Times New Roman"/>
          <w:color w:val="0070C0"/>
          <w:sz w:val="16"/>
          <w:szCs w:val="16"/>
        </w:rPr>
        <w:t>Ф</w:t>
      </w:r>
      <w:r w:rsidRPr="00815ED5">
        <w:rPr>
          <w:rFonts w:ascii="Times New Roman" w:hAnsi="Times New Roman" w:cs="Times New Roman"/>
          <w:color w:val="0070C0"/>
          <w:sz w:val="16"/>
          <w:szCs w:val="16"/>
        </w:rPr>
        <w:t xml:space="preserve"> признал самолет весьма хорошим учебным самолетом.</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заключению начальника Гатчинской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авиашколы "Пороховщиков-4” может вполне заменить французские самолеты Фарман-4 и Фарман-16.</w:t>
      </w:r>
    </w:p>
    <w:p w14:paraId="2C0384CC" w14:textId="77777777" w:rsidR="00BB5EE6" w:rsidRPr="00815ED5" w:rsidRDefault="00BB5EE6"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/ЦГВ</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 10, д. 1</w:t>
      </w:r>
      <w:r w:rsidRPr="00815ED5">
        <w:rPr>
          <w:rFonts w:ascii="Times New Roman" w:hAnsi="Times New Roman" w:cs="Times New Roman"/>
          <w:color w:val="0070C0"/>
          <w:sz w:val="16"/>
          <w:szCs w:val="16"/>
        </w:rPr>
        <w:t>17,</w:t>
      </w:r>
      <w:r>
        <w:rPr>
          <w:rFonts w:ascii="Times New Roman" w:hAnsi="Times New Roman" w:cs="Times New Roman"/>
          <w:color w:val="0070C0"/>
          <w:sz w:val="16"/>
          <w:szCs w:val="16"/>
        </w:rPr>
        <w:t xml:space="preserve"> л</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228/</w:t>
      </w:r>
      <w:r>
        <w:rPr>
          <w:rFonts w:ascii="Times New Roman" w:hAnsi="Times New Roman" w:cs="Times New Roman"/>
          <w:color w:val="0070C0"/>
          <w:sz w:val="16"/>
          <w:szCs w:val="16"/>
        </w:rPr>
        <w:t xml:space="preserve"> (23320).</w:t>
      </w:r>
    </w:p>
    <w:p w14:paraId="1E0A5D1B" w14:textId="77777777" w:rsidR="00BB5EE6" w:rsidRDefault="00BB5EE6" w:rsidP="0083075A">
      <w:pPr>
        <w:spacing w:after="0" w:line="240" w:lineRule="auto"/>
        <w:jc w:val="both"/>
        <w:rPr>
          <w:rFonts w:ascii="Times New Roman" w:hAnsi="Times New Roman" w:cs="Times New Roman"/>
          <w:color w:val="0070C0"/>
          <w:sz w:val="16"/>
          <w:szCs w:val="16"/>
        </w:rPr>
      </w:pPr>
    </w:p>
    <w:p w14:paraId="04D01F3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F4A03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6D93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мая 1917 в 9:00 военный л 2 као п/п Жабров и л 19 као прап. Смирнов имели воздушный бой с Фоккером севернее Большовце, но не сбили (4208,5).</w:t>
      </w:r>
    </w:p>
    <w:p w14:paraId="27ADC5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7D24DF" w14:textId="7C54824C"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 (16) мая 1917 </w:t>
      </w:r>
      <w:r w:rsidR="00047CAC">
        <w:rPr>
          <w:rFonts w:ascii="Times New Roman" w:hAnsi="Times New Roman" w:cs="Times New Roman"/>
          <w:color w:val="000000" w:themeColor="text1"/>
          <w:kern w:val="2"/>
          <w:sz w:val="16"/>
          <w:szCs w:val="16"/>
        </w:rPr>
        <w:t>п</w:t>
      </w:r>
      <w:r w:rsidR="00047CAC" w:rsidRPr="002F2FDF">
        <w:rPr>
          <w:rFonts w:ascii="Times New Roman" w:hAnsi="Times New Roman" w:cs="Times New Roman"/>
          <w:color w:val="000000" w:themeColor="text1"/>
          <w:kern w:val="2"/>
          <w:sz w:val="16"/>
          <w:szCs w:val="16"/>
        </w:rPr>
        <w:t xml:space="preserve">оздним вечером </w:t>
      </w:r>
      <w:r w:rsidRPr="002F2FDF">
        <w:rPr>
          <w:rFonts w:ascii="Times New Roman" w:hAnsi="Times New Roman" w:cs="Times New Roman"/>
          <w:color w:val="000000" w:themeColor="text1"/>
          <w:kern w:val="2"/>
          <w:sz w:val="16"/>
          <w:szCs w:val="16"/>
        </w:rPr>
        <w:t>под общим командованием капи</w:t>
      </w:r>
      <w:r w:rsidRPr="002F2FDF">
        <w:rPr>
          <w:rFonts w:ascii="Times New Roman" w:hAnsi="Times New Roman" w:cs="Times New Roman"/>
          <w:color w:val="000000" w:themeColor="text1"/>
          <w:kern w:val="2"/>
          <w:sz w:val="16"/>
          <w:szCs w:val="16"/>
        </w:rPr>
        <w:softHyphen/>
        <w:t>тана 1 ранга М. Федоровича начался боевой поход гидрокрей</w:t>
      </w:r>
      <w:r w:rsidRPr="002F2FDF">
        <w:rPr>
          <w:rFonts w:ascii="Times New Roman" w:hAnsi="Times New Roman" w:cs="Times New Roman"/>
          <w:color w:val="000000" w:themeColor="text1"/>
          <w:kern w:val="2"/>
          <w:sz w:val="16"/>
          <w:szCs w:val="16"/>
        </w:rPr>
        <w:softHyphen/>
        <w:t>серов “Император Александр I”, “Румыния”, “Император Ни</w:t>
      </w:r>
      <w:r w:rsidRPr="002F2FDF">
        <w:rPr>
          <w:rFonts w:ascii="Times New Roman" w:hAnsi="Times New Roman" w:cs="Times New Roman"/>
          <w:color w:val="000000" w:themeColor="text1"/>
          <w:kern w:val="2"/>
          <w:sz w:val="16"/>
          <w:szCs w:val="16"/>
        </w:rPr>
        <w:softHyphen/>
        <w:t>колай I” (имевших всего 12 исправных “М-9”) в сопровождении пяти эсминцев для проведения воздушной разведки Констанц-ского укрепленного района и фотосъемки новых военных объектов. С приближением к румынскому побережью оперативная группа рассредоточилась: гидрокрейсеры находились на рас</w:t>
      </w:r>
      <w:r w:rsidRPr="002F2FDF">
        <w:rPr>
          <w:rFonts w:ascii="Times New Roman" w:hAnsi="Times New Roman" w:cs="Times New Roman"/>
          <w:color w:val="000000" w:themeColor="text1"/>
          <w:kern w:val="2"/>
          <w:sz w:val="16"/>
          <w:szCs w:val="16"/>
        </w:rPr>
        <w:softHyphen/>
        <w:t>стоянии 50 кабельтовых друг от друга, три эсминца прикрыва</w:t>
      </w:r>
      <w:r w:rsidRPr="002F2FDF">
        <w:rPr>
          <w:rFonts w:ascii="Times New Roman" w:hAnsi="Times New Roman" w:cs="Times New Roman"/>
          <w:color w:val="000000" w:themeColor="text1"/>
          <w:kern w:val="2"/>
          <w:sz w:val="16"/>
          <w:szCs w:val="16"/>
        </w:rPr>
        <w:softHyphen/>
        <w:t>ли их со стороны противника, а два других совершали отвле</w:t>
      </w:r>
      <w:r w:rsidRPr="002F2FDF">
        <w:rPr>
          <w:rFonts w:ascii="Times New Roman" w:hAnsi="Times New Roman" w:cs="Times New Roman"/>
          <w:color w:val="000000" w:themeColor="text1"/>
          <w:kern w:val="2"/>
          <w:sz w:val="16"/>
          <w:szCs w:val="16"/>
        </w:rPr>
        <w:softHyphen/>
        <w:t>кающее его внимание маневрирование вблизи Мангалии. Задачи фотосъемки выполняли 8 летных экипажей в услови</w:t>
      </w:r>
      <w:r w:rsidRPr="002F2FDF">
        <w:rPr>
          <w:rFonts w:ascii="Times New Roman" w:hAnsi="Times New Roman" w:cs="Times New Roman"/>
          <w:color w:val="000000" w:themeColor="text1"/>
          <w:kern w:val="2"/>
          <w:sz w:val="16"/>
          <w:szCs w:val="16"/>
        </w:rPr>
        <w:softHyphen/>
        <w:t>ях пушечного и пулеметного обстрела с земли. Экипаж одного “М-9” обнаружил идущую в надводном положении в базу гер</w:t>
      </w:r>
      <w:r w:rsidRPr="002F2FDF">
        <w:rPr>
          <w:rFonts w:ascii="Times New Roman" w:hAnsi="Times New Roman" w:cs="Times New Roman"/>
          <w:color w:val="000000" w:themeColor="text1"/>
          <w:kern w:val="2"/>
          <w:sz w:val="16"/>
          <w:szCs w:val="16"/>
        </w:rPr>
        <w:softHyphen/>
        <w:t>манскую субмарину и сбросил несколько бомб, но промахнулся из-за быстрого ее погружения. К прискорбию сослуживцев, два боевых экипажа не возвратились из полета (11283).</w:t>
      </w:r>
    </w:p>
    <w:p w14:paraId="6BFC53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0EFE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 </w:t>
      </w:r>
      <w:r w:rsidR="00731D28" w:rsidRPr="002F2FDF">
        <w:rPr>
          <w:rFonts w:ascii="Times New Roman" w:hAnsi="Times New Roman" w:cs="Times New Roman"/>
          <w:color w:val="000000" w:themeColor="text1"/>
          <w:kern w:val="2"/>
          <w:sz w:val="16"/>
          <w:szCs w:val="16"/>
        </w:rPr>
        <w:t xml:space="preserve">(16) </w:t>
      </w:r>
      <w:r w:rsidRPr="002F2FDF">
        <w:rPr>
          <w:rFonts w:ascii="Times New Roman" w:hAnsi="Times New Roman" w:cs="Times New Roman"/>
          <w:color w:val="000000" w:themeColor="text1"/>
          <w:kern w:val="2"/>
          <w:sz w:val="16"/>
          <w:szCs w:val="16"/>
        </w:rPr>
        <w:t>мая 1917 под общим командованием капитана 1 -го ранга М. Федоровича начался поход авиатранспортов "Император Александр I", "Румыния", "Император Николай I" (всего 12 исправных "М-9"), сопровождаемых пятью эсминцами для проведения воздушной разведки Констанцского укрепленного района. С приближением к румынскому побережью оперативная группа рассредоточилась, в воздух поднялись восемь самолётов. Экипаж одного самолёта безуспешно атаковал подводную лодку, следовавшую в надводном положении. Задачу 'пришлось решать в условиях сильного противодействия противника. Два экипажа с задания не вернулись. 6 мая в район Констанцы вышел отряд авиатранспортов, сопровождаемый четырьмя эскадренными миноносцами.</w:t>
      </w:r>
    </w:p>
    <w:p w14:paraId="3C4DD2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следующий день на разведку вылетели восемь гидросамолётов, причём один сразу же совершил вынужденную посадку и был доставлен на буксире эскадренным миноносцем "Лейтенант Шестаков". Два самолёта с задания не вернулись. И только один самолёт выполнил задание.</w:t>
      </w:r>
    </w:p>
    <w:p w14:paraId="109138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изложении Б.В.Драшпиля этот эпизод выглядит куда романтичнее и детальнее: &lt;с6 моя в ройон Констанцы вышел отряд гидрокрейсеров в сопровождении четырёх эсминцев. На следующее утро к отряду присоединился эсминец "Капитан- лейтенант Варанов" с двумя катерами. Из восьми гидро, посланных в разведку, один был приведен но буксире к гидро-крейсеру эсминцем "Лейтенант Шестаков". Два гидро погибли. Из пяти остальных только один мог разведать Констанцу. Неудача объясняется большой облачностью и временами туманом и действиями авиации противника.</w:t>
      </w:r>
    </w:p>
    <w:p w14:paraId="2E2572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Участником этого налета был лейтенант Качинский, базировавшийся на "Императоре Николае J-ом". Его задание было фотографировать укрепления Констанцы. В сопровождении другого гидро (оба гидро были Щ-9), он но обратном пути не смог найти свой гидро-крейсер из-за густого тумана. Чтобы не тратить понапрасну горючее, оба гид- ро сели но воду. Переговоривши с другим летчиком, было решено лететь к румынскому берегу, гидро уничтожить и затем пробираться но север в расположение русских войск. Другой летчик поднялся и улетел, а аппарат Качинского закапризничал. Были сброшены за борт пулемет и другие предметы, но аппарат не подымался. Положение было рискованное. Для похода до Румынии по воде не хватило бы запаса горючего, и оставшемуся но воде гидро грозило опасность быть перевернутым в случае свежей погоды.</w:t>
      </w:r>
    </w:p>
    <w:p w14:paraId="6DA312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Вскоре из тумана вынырнули два немецких гидро. Покруживишись над гидро В. Качинского, один из них сел неподалеку и, наведя пулемет но Качинского и его наблюдателя поручика Нагорного, приказал им броситься в воду и плыть к его гидро. Другой немец в то время улетел,, вероятно за подмогой. Наши летчики не хотели сдаваться. Положение было безвыходное. Вдруг Кочинекий услышал звук орудийного выстрела, затем другой, и увидел падение снарядов неподалеку.</w:t>
      </w:r>
    </w:p>
    <w:p w14:paraId="240378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Скоро, извергая клубы дыма, показался наш миноносец,, оказавшийся "Лейтенантом Шестаковым" (командир капитан 2-го ранга Те- рентьев), но котором В. Р. Кочинс- кий плавал старшим офицером в ноябре и декабре 1916 года. Видя приближающийся миноносец, немец взлетел, сделал несколько кругов, обстреливая наших летчиков из пулемета, и потом взял курс на Румынию. К счастью никто из летчиков не пострадал, и их аппарат был отбуксирован к авиомотке. Другой же гидро, полетевший в Румынию, был сбит неприятелем и летчики взяты в плен" (11933).</w:t>
      </w:r>
    </w:p>
    <w:p w14:paraId="3433ED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18BD12" w14:textId="5117A740" w:rsidR="00871D7D" w:rsidRPr="00E9657C"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B1A36BB" w14:textId="77777777" w:rsidR="00871D7D" w:rsidRPr="002F2FDF" w:rsidRDefault="00871D7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B25995" w14:textId="77777777"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w:t>
      </w:r>
      <w:r w:rsidR="008626EA" w:rsidRPr="002F2FDF">
        <w:rPr>
          <w:rFonts w:ascii="Times New Roman" w:hAnsi="Times New Roman" w:cs="Times New Roman"/>
          <w:color w:val="000000" w:themeColor="text1"/>
          <w:kern w:val="2"/>
          <w:sz w:val="16"/>
          <w:szCs w:val="16"/>
        </w:rPr>
        <w:t>6</w:t>
      </w:r>
      <w:r w:rsidRPr="002F2FDF">
        <w:rPr>
          <w:rFonts w:ascii="Times New Roman" w:hAnsi="Times New Roman" w:cs="Times New Roman"/>
          <w:color w:val="000000" w:themeColor="text1"/>
          <w:kern w:val="2"/>
          <w:sz w:val="16"/>
          <w:szCs w:val="16"/>
        </w:rPr>
        <w:t>) мая в 1917 году апрельский политический кризис в России после Февральской революции. Возник в связи с опубликованием обязательств Временного правительства продолжать войну (14880).</w:t>
      </w:r>
    </w:p>
    <w:p w14:paraId="70238510" w14:textId="77777777"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p>
    <w:p w14:paraId="1DB4B226"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lastRenderedPageBreak/>
        <w:t>3 (16) мая</w:t>
      </w:r>
      <w:r w:rsidRPr="002F2FDF">
        <w:rPr>
          <w:rFonts w:ascii="Times New Roman" w:hAnsi="Times New Roman" w:cs="Times New Roman"/>
          <w:color w:val="000000" w:themeColor="text1"/>
          <w:kern w:val="2"/>
          <w:sz w:val="16"/>
          <w:szCs w:val="16"/>
        </w:rPr>
        <w:t xml:space="preserve"> в 1917 году милиционер Бутырского комиссариата Дмитрий Николаев, узнав, что содержатель трактира на Разгуляе -- И.Куранчев занимается сбытом фальшивых марок 20-копеечного достоинства, заявился к нему в сопровождении двух сторонних свидетелей и, приставив дуло револьвера к груди Куранчева, потребовал у него выдачи фальшивых денег. Трактирщик бросился перед ним на колени, слезно умоляя пощадить его. Николаев согласился «пощадить», но не бесплатно. И, взяв в виде взятки 2100 рублей удалился вместе с «понятыми». В ту же ночь Куранчев был задержан после обыска и обнаружения фальшивых марок чинами уголовной милиции. Решив, что его сдал Николаев, которому он заплатил, трактирщик сдал Николаева «с потрохами» (14893).</w:t>
      </w:r>
    </w:p>
    <w:p w14:paraId="38230EAF"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p>
    <w:p w14:paraId="33F70FDD" w14:textId="77777777" w:rsidR="00871D7D"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28286548" w14:textId="77777777" w:rsidR="00871D7D" w:rsidRPr="002F2FDF" w:rsidRDefault="00871D7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C24663" w14:textId="77777777"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w:t>
      </w:r>
      <w:r w:rsidR="008626EA" w:rsidRPr="002F2FDF">
        <w:rPr>
          <w:rFonts w:ascii="Times New Roman" w:hAnsi="Times New Roman" w:cs="Times New Roman"/>
          <w:color w:val="000000" w:themeColor="text1"/>
          <w:kern w:val="2"/>
          <w:sz w:val="16"/>
          <w:szCs w:val="16"/>
        </w:rPr>
        <w:t>6</w:t>
      </w:r>
      <w:r w:rsidRPr="002F2FDF">
        <w:rPr>
          <w:rFonts w:ascii="Times New Roman" w:hAnsi="Times New Roman" w:cs="Times New Roman"/>
          <w:color w:val="000000" w:themeColor="text1"/>
          <w:kern w:val="2"/>
          <w:sz w:val="16"/>
          <w:szCs w:val="16"/>
        </w:rPr>
        <w:t xml:space="preserve">) </w:t>
      </w:r>
      <w:r w:rsidRPr="002F2FDF">
        <w:rPr>
          <w:rStyle w:val="af0"/>
          <w:rFonts w:ascii="Times New Roman" w:hAnsi="Times New Roman" w:cs="Times New Roman"/>
          <w:i w:val="0"/>
          <w:color w:val="000000" w:themeColor="text1"/>
          <w:kern w:val="2"/>
          <w:sz w:val="16"/>
          <w:szCs w:val="16"/>
        </w:rPr>
        <w:t xml:space="preserve">мая 1917 г. </w:t>
      </w:r>
      <w:r w:rsidRPr="002F2FDF">
        <w:rPr>
          <w:rFonts w:ascii="Times New Roman" w:hAnsi="Times New Roman" w:cs="Times New Roman"/>
          <w:color w:val="000000" w:themeColor="text1"/>
          <w:kern w:val="2"/>
          <w:sz w:val="16"/>
          <w:szCs w:val="16"/>
        </w:rPr>
        <w:t>Телеграмма К. М. Ону министру иностранных дел о предоставлении Соединенными Штатами Временному правительству первого кредита в 100 млн. дол.</w:t>
      </w:r>
    </w:p>
    <w:p w14:paraId="28130587" w14:textId="40C9C956"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539</w:t>
      </w:r>
    </w:p>
    <w:p w14:paraId="7CC7E368" w14:textId="123A891A"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Канцелярии, д. 61, л. 170. Копия.</w:t>
      </w:r>
    </w:p>
    <w:p w14:paraId="1B6C050B" w14:textId="77777777" w:rsidR="00871D7D" w:rsidRPr="002F2FDF" w:rsidRDefault="00871D7D" w:rsidP="0083075A">
      <w:pPr>
        <w:pStyle w:val="rtejustify"/>
        <w:spacing w:before="0" w:after="0"/>
        <w:rPr>
          <w:color w:val="000000" w:themeColor="text1"/>
          <w:kern w:val="2"/>
          <w:sz w:val="16"/>
          <w:szCs w:val="16"/>
        </w:rPr>
      </w:pPr>
      <w:r w:rsidRPr="002F2FDF">
        <w:rPr>
          <w:color w:val="000000" w:themeColor="text1"/>
          <w:kern w:val="2"/>
          <w:sz w:val="16"/>
          <w:szCs w:val="16"/>
        </w:rPr>
        <w:t>Ссылаюсь на мою телеграмму № 264,</w:t>
      </w:r>
      <w:hyperlink r:id="rId148" w:anchor="_ftn1" w:history="1">
        <w:r w:rsidRPr="002F2FDF">
          <w:rPr>
            <w:rStyle w:val="a5"/>
            <w:color w:val="000000" w:themeColor="text1"/>
            <w:kern w:val="2"/>
            <w:sz w:val="16"/>
            <w:szCs w:val="16"/>
          </w:rPr>
          <w:t>[1]</w:t>
        </w:r>
      </w:hyperlink>
    </w:p>
    <w:p w14:paraId="1A0A3F01" w14:textId="77777777" w:rsidR="00871D7D" w:rsidRPr="002F2FDF" w:rsidRDefault="00871D7D" w:rsidP="0083075A">
      <w:pPr>
        <w:pStyle w:val="rtejustify"/>
        <w:spacing w:before="0" w:after="0"/>
        <w:rPr>
          <w:color w:val="000000" w:themeColor="text1"/>
          <w:kern w:val="2"/>
          <w:sz w:val="16"/>
          <w:szCs w:val="16"/>
        </w:rPr>
      </w:pPr>
      <w:r w:rsidRPr="002F2FDF">
        <w:rPr>
          <w:color w:val="000000" w:themeColor="text1"/>
          <w:kern w:val="2"/>
          <w:sz w:val="16"/>
          <w:szCs w:val="16"/>
        </w:rPr>
        <w:t>Сегодня состоялся между министром финансов и мною обмен писем, открывающий нам кредит в 100 млн. дол. Этот кредит дозволяет нам немедленно поместить заказ подвижного состава, указываемого в вашей телеграмме № 1848.</w:t>
      </w:r>
      <w:hyperlink r:id="rId149" w:anchor="_ftn2" w:history="1">
        <w:r w:rsidRPr="002F2FDF">
          <w:rPr>
            <w:rStyle w:val="a5"/>
            <w:color w:val="000000" w:themeColor="text1"/>
            <w:kern w:val="2"/>
            <w:sz w:val="16"/>
            <w:szCs w:val="16"/>
          </w:rPr>
          <w:t>[2]</w:t>
        </w:r>
      </w:hyperlink>
      <w:r w:rsidRPr="002F2FDF">
        <w:rPr>
          <w:color w:val="000000" w:themeColor="text1"/>
          <w:kern w:val="2"/>
          <w:sz w:val="16"/>
          <w:szCs w:val="16"/>
        </w:rPr>
        <w:t xml:space="preserve"> Проценты по этому авансу будут исчисляться со времени действительной выдачи соответственных сумм. В моем письме ясно оговорено, что этот аванс имеет предварительный характер и нисколько не обусловливает всей совокупности наших потребностей, каковые будут освещены и объяснены прибывающим сюда чрезвычайным нашим посольством. При этом обусловлено, что весь заказ по этому авансу мы заключим при содействии правительства С. А. С. Штатов. Текст обоих писем передается одновременно с сим Угетом в наше Министерство финансов.</w:t>
      </w:r>
      <w:hyperlink r:id="rId150" w:anchor="_ftn3" w:history="1">
        <w:r w:rsidRPr="002F2FDF">
          <w:rPr>
            <w:rStyle w:val="a5"/>
            <w:color w:val="000000" w:themeColor="text1"/>
            <w:kern w:val="2"/>
            <w:sz w:val="16"/>
            <w:szCs w:val="16"/>
          </w:rPr>
          <w:t>[3]</w:t>
        </w:r>
      </w:hyperlink>
    </w:p>
    <w:p w14:paraId="161FD232" w14:textId="77777777" w:rsidR="00871D7D" w:rsidRPr="002F2FDF" w:rsidRDefault="00871D7D"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Ону.</w:t>
      </w:r>
    </w:p>
    <w:p w14:paraId="5DCF90EB" w14:textId="77777777" w:rsidR="00871D7D" w:rsidRPr="002F2FDF" w:rsidRDefault="00000000" w:rsidP="0083075A">
      <w:pPr>
        <w:pStyle w:val="ae"/>
        <w:spacing w:before="0" w:after="0"/>
        <w:jc w:val="both"/>
        <w:rPr>
          <w:color w:val="000000" w:themeColor="text1"/>
          <w:kern w:val="2"/>
          <w:sz w:val="16"/>
          <w:szCs w:val="16"/>
        </w:rPr>
      </w:pPr>
      <w:hyperlink r:id="rId151" w:anchor="_ftnref1" w:history="1">
        <w:r w:rsidR="00871D7D" w:rsidRPr="002F2FDF">
          <w:rPr>
            <w:rStyle w:val="a5"/>
            <w:color w:val="000000" w:themeColor="text1"/>
            <w:kern w:val="2"/>
            <w:sz w:val="16"/>
            <w:szCs w:val="16"/>
          </w:rPr>
          <w:t>[1]</w:t>
        </w:r>
      </w:hyperlink>
      <w:r w:rsidR="00871D7D" w:rsidRPr="002F2FDF">
        <w:rPr>
          <w:color w:val="000000" w:themeColor="text1"/>
          <w:kern w:val="2"/>
          <w:sz w:val="16"/>
          <w:szCs w:val="16"/>
        </w:rPr>
        <w:t xml:space="preserve"> В том же деле, л. 169.</w:t>
      </w:r>
    </w:p>
    <w:p w14:paraId="7EF76F85" w14:textId="77777777" w:rsidR="00871D7D" w:rsidRPr="002F2FDF" w:rsidRDefault="00000000" w:rsidP="0083075A">
      <w:pPr>
        <w:pStyle w:val="ae"/>
        <w:spacing w:before="0" w:after="0"/>
        <w:jc w:val="both"/>
        <w:rPr>
          <w:color w:val="000000" w:themeColor="text1"/>
          <w:kern w:val="2"/>
          <w:sz w:val="16"/>
          <w:szCs w:val="16"/>
        </w:rPr>
      </w:pPr>
      <w:hyperlink r:id="rId152" w:anchor="_ftnref2" w:history="1">
        <w:r w:rsidR="00871D7D" w:rsidRPr="002F2FDF">
          <w:rPr>
            <w:rStyle w:val="a5"/>
            <w:color w:val="000000" w:themeColor="text1"/>
            <w:kern w:val="2"/>
            <w:sz w:val="16"/>
            <w:szCs w:val="16"/>
          </w:rPr>
          <w:t>[2]</w:t>
        </w:r>
      </w:hyperlink>
      <w:r w:rsidR="00871D7D" w:rsidRPr="002F2FDF">
        <w:rPr>
          <w:color w:val="000000" w:themeColor="text1"/>
          <w:kern w:val="2"/>
          <w:sz w:val="16"/>
          <w:szCs w:val="16"/>
        </w:rPr>
        <w:t xml:space="preserve"> Телеграмма не обнаружена.</w:t>
      </w:r>
    </w:p>
    <w:p w14:paraId="757E2D96" w14:textId="77777777" w:rsidR="00871D7D" w:rsidRPr="002F2FDF" w:rsidRDefault="00000000" w:rsidP="0083075A">
      <w:pPr>
        <w:pStyle w:val="ae"/>
        <w:spacing w:before="0" w:after="0"/>
        <w:jc w:val="both"/>
        <w:rPr>
          <w:color w:val="000000" w:themeColor="text1"/>
          <w:kern w:val="2"/>
          <w:sz w:val="16"/>
          <w:szCs w:val="16"/>
        </w:rPr>
      </w:pPr>
      <w:hyperlink r:id="rId153" w:anchor="_ftnref3" w:history="1">
        <w:r w:rsidR="00871D7D" w:rsidRPr="002F2FDF">
          <w:rPr>
            <w:rStyle w:val="a5"/>
            <w:color w:val="000000" w:themeColor="text1"/>
            <w:kern w:val="2"/>
            <w:sz w:val="16"/>
            <w:szCs w:val="16"/>
          </w:rPr>
          <w:t>[3]</w:t>
        </w:r>
      </w:hyperlink>
      <w:r w:rsidR="00871D7D" w:rsidRPr="002F2FDF">
        <w:rPr>
          <w:color w:val="000000" w:themeColor="text1"/>
          <w:kern w:val="2"/>
          <w:sz w:val="16"/>
          <w:szCs w:val="16"/>
        </w:rPr>
        <w:t xml:space="preserve"> См.: АВПР, ф. Второго деп-та, 1—5, «Война», д. 214, лл. 170—172 (15184).</w:t>
      </w:r>
    </w:p>
    <w:p w14:paraId="04A7BF78" w14:textId="77777777" w:rsidR="00871D7D" w:rsidRPr="002F2FDF" w:rsidRDefault="00871D7D"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3269085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2715F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5741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мая 1917 - Генерал Нивель, обещавший "новый план" и новую стратегию, фактически продолжал войну на истощение; поэтому в этот день он был сменен генералом Петеном . Начальником генерального штаба вместо Петена стал генерал Фош.</w:t>
      </w:r>
    </w:p>
    <w:p w14:paraId="786DEB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Генералы Фош и Петен после тщательного пересмотра основных фактов военного положения на настоящий момент вырабатывают следующие положения:</w:t>
      </w:r>
    </w:p>
    <w:p w14:paraId="2BF406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"...Обещанный нам миллион американских солдат гарантирует неоспоримое превосходство наших войск на 1 июля 1918 г.</w:t>
      </w:r>
    </w:p>
    <w:p w14:paraId="4BA766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Четыре большие производственные программы гарантируют нам... определенное превосходство по линии обеспечения боевыми средствами. Вот эти программы:</w:t>
      </w:r>
    </w:p>
    <w:p w14:paraId="7005D4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Расширенное производство боевых самолетов, за которым последует осуществление большой программы постройки бомбовозов, сделают нас хозяевами в воздухе.</w:t>
      </w:r>
    </w:p>
    <w:p w14:paraId="2AB095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Мы удвоим нашу наличность дальнобойных орудий.</w:t>
      </w:r>
    </w:p>
    <w:p w14:paraId="5355E6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Заказ на постройку 2500 танков...</w:t>
      </w:r>
    </w:p>
    <w:p w14:paraId="21741D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Огромный заказ на ядовитые газы и дымовые средства...</w:t>
      </w:r>
    </w:p>
    <w:p w14:paraId="7EA870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Эти программы были внушены печальными уроками 16 апреля о необходимости овладения воздухом для разрушения подземных траншей и укреплений, защиты от пулеметного огня с помощью танков..."(11999)</w:t>
      </w:r>
    </w:p>
    <w:p w14:paraId="1EF98A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3B9A31" w14:textId="77777777" w:rsidR="00E2230B" w:rsidRPr="002F2FDF" w:rsidRDefault="00E2230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3 (16) мая 1917 в Великобританию для совместных боевых действий против Центральных держав прибыл первый крупный отряд боевых кораблей ВМФ США (17045).</w:t>
      </w:r>
    </w:p>
    <w:p w14:paraId="17972B0F" w14:textId="77777777" w:rsidR="00E2230B" w:rsidRPr="002F2FDF" w:rsidRDefault="00E2230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5BAF7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1668F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A811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мая 1917 командир 4 авиадивизиона п Юнгмейстер писал, что им начаты испытания четырехплана Савельева N 2, но остановлены, так как мотор Моносупан работал плохо (1773,26).</w:t>
      </w:r>
    </w:p>
    <w:p w14:paraId="68C2AD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784393" w14:textId="77777777"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 (17) мая в 1917 году командир 4-го авиационного дивизиона подполковник Юнгмейстер писал: ["С разрешения авиадарма по просьбе старшего механика Савельева мною начаты испытания аэроплана системы Савельева - </w:t>
      </w:r>
      <w:hyperlink r:id="rId154" w:tgtFrame="_blank" w:history="1">
        <w:r w:rsidRPr="002F2FDF">
          <w:rPr>
            <w:rFonts w:ascii="Times New Roman" w:hAnsi="Times New Roman" w:cs="Times New Roman"/>
            <w:color w:val="000000" w:themeColor="text1"/>
            <w:kern w:val="2"/>
            <w:sz w:val="16"/>
            <w:szCs w:val="16"/>
          </w:rPr>
          <w:t xml:space="preserve">"Савельев" №2 </w:t>
        </w:r>
      </w:hyperlink>
      <w:r w:rsidRPr="002F2FDF">
        <w:rPr>
          <w:rFonts w:ascii="Times New Roman" w:hAnsi="Times New Roman" w:cs="Times New Roman"/>
          <w:color w:val="000000" w:themeColor="text1"/>
          <w:kern w:val="2"/>
          <w:sz w:val="16"/>
          <w:szCs w:val="16"/>
        </w:rPr>
        <w:t>- закончить которые не представлялось возможным благодаря плохой работе мотора Моносупап. При пробных полетах выяснились исключительно хорошие летательные качества означенного самолета и только из-за негодного мотора не удалось зафиксировать официально в присутствии комиссии ...самолет легко принимает и выходит из положения уклоняющегося от нормы (имеется в виду наличие запасов устойчивости, авт.). Виражи, планирование под разными углами аналогичны самолету Ньюпор "Бе-бе". Самолет легко берет высоту при нормальной работе мотора. Быстро отделяется от земли. Скорость полета определена на глаз и по сравнению с другими самолетами можно считать от 130 до 140 км/ч - превосходит Парасоль с Рено, уступая скорости Ньюпора "Бе-бе" тип XI. Посадку самолет допускает на весьма малой скорости, катится после нее около 15 - 25 шагов (11 - 16 м. - авт.). В полете самолет приятен, легок и крайне чуток, прекрасно повинуется органам управления. При частых остановках мотора благодаря лишь исключительных летных качеств самолета являлась возможность благополучно выходить из самых рискованных положений. Подобной модели самолет заслуживает безусловно серьезного внимания, нет сомнения, что построенный с мотором не менее 225 л.с. (Рено) даст весьма серьезную боевую единицу для военной авиации, могущую быть использованную как для боя так и для бомбометания"] (14881).</w:t>
      </w:r>
    </w:p>
    <w:p w14:paraId="13C5128E" w14:textId="77777777"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p>
    <w:p w14:paraId="0A6595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 </w:t>
      </w:r>
      <w:r w:rsidR="00731D28" w:rsidRPr="002F2FDF">
        <w:rPr>
          <w:rFonts w:ascii="Times New Roman" w:hAnsi="Times New Roman" w:cs="Times New Roman"/>
          <w:color w:val="000000" w:themeColor="text1"/>
          <w:kern w:val="2"/>
          <w:sz w:val="16"/>
          <w:szCs w:val="16"/>
        </w:rPr>
        <w:t xml:space="preserve">(17) </w:t>
      </w:r>
      <w:r w:rsidRPr="002F2FDF">
        <w:rPr>
          <w:rFonts w:ascii="Times New Roman" w:hAnsi="Times New Roman" w:cs="Times New Roman"/>
          <w:color w:val="000000" w:themeColor="text1"/>
          <w:kern w:val="2"/>
          <w:sz w:val="16"/>
          <w:szCs w:val="16"/>
        </w:rPr>
        <w:t>мая 1917 года командир 4-го авиационного дивизиона подполковник Юнгмейстер Савельев по поводу предъявленного на испытания самолета № 2 - модернизацию своего первенца с более мощным мотором “Гном-Моносупап”, писал: (Стилистика и орфография цитат сохранена. Прим, авт.) “С разрешения авиадарма по просьбе старшего механика (...) Савельева мною начаты испытания аэроплана системы Савельева - “Савельев” №2 - закончить которые не представлялось возможным благодаря плохой работе мотора Моносупап. При пробных полетах выяснились исключительно хорошие летательные качества означенного самолета и только из-за негодного мотора не удалось зафиксировать официально в присутствии комиссии ...самолет легко принимает и выходит из положения уклоняющегося от нормы (имеется в виду наличие запасов устойчивости, авт.). Виражи, планирование под разными углами аналогичны самолету Ньюпор “Бе-бе”. Самолет легко берет высоту при нормальной работе мотора. Быстро отделяется от земли. Скорость полета определена на глаз и по сравнению с другими самолетами можно считать от 130 до 140 км/ч - превосходит Парасоль с Рено, уступая скорости Ньюпора “Бе-бе” тип XI. Посадку самолет допускает на весьма малой скорости, катится после нее около 15 - 25 шагов (11 - 16 м. - авт.). В полете самолет приятен, легок и крайне чуток, прекрасно повинуется органам управления. При частых остановках мотора благодаря лишь исключительных летных качеств самолета являлась возможность благополучно выходить из самых рискованных положений. Подобной модели самолет заслуживает безусловно серьезного внимания, нет сомнения, что построенный с мотором не менее 225 л.с. (Рено) даст весьма серьезную боевую единицу для военной авиации, могущую быть использованную как для боя так и для бомбометания”. Если закрыть глаза на очень вольное обращение подполковника Юнгмейстера с русским языком, можно сделать вывод, что четырехплан Савельева вполне отвечал требованиям времени. Это подтверждает и авторитетный историк авиации П.Д.Дузь, писавший, что на машине № 2 установили два пулемета для стрельбы вперед, и один защищал заднюю полусферу. В таком виде самолет нес боевую службу в 4-м отряде. Как известно, негодный аппарат на фронт не пошлют. Конструктора в его начинаниях поддержал профессор Петербургского политехнического института А.П.Фан Дер Флит, отмечавший, что “... опыт над четырехпланом Савельева, показавший практическую применимость многопланной системы, дает надежду на удачное проектирование по этой системе подобных аппаратов”. Ученый считал, что будет “чрезвычайно полезным для будущего авиации поощрение постройки многопланных аппаратов и полагает обязательным произвести заказ одному из крупных аэропланных заводов (...) трех аппаратов предложенной Савельевым системы”. Как известно, полипланы создавались и за рубежом. По сообщениям иностранной печати, одним из наиболее удачных аппаратов подобной схемы был разведчик-четырехплан F.К.10 английской фирмы “Армстронг Уитворт”, построенный в нескольких десятках экземпляров. На нем ставились ротативные двигатели “Клерже” мощностью 110 или 130 л.с. Между тем, Октябрьская революция 1917-го перечеркнула многие планы. Савельев примкнул к белому движению, и первое время служил в армии Колчака. Но вскоре он вступил в Красную Армию, отдав ей почти три года жизни. Связь с колчаковцами Савельев тщательно скрывал, но в 1930-м большевики ему это напомнили. Во время одной из “чисток” Савельев, уже, будучи заведующим отделом вооружения завода № 39, удостоился следующей характеристики: “К работе относится формально. Имел связь с вредительскими элементами. Вредил (...) Снять по 1 категории”. А “1 категория” означала - отстранить от должности и отправить на “перевоспитание”... Дальнейшие следы авиаконструктора теряются. Через три года после революции Савельев предложил проект тяжелого пассажирского четырехплана (11276).</w:t>
      </w:r>
    </w:p>
    <w:p w14:paraId="761B6C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202ED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EB100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77F8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Утром 4 (17) мая 1917 истребители Казакова и Аргеева 1БАГ атаковали вражеский само</w:t>
      </w:r>
      <w:r w:rsidRPr="002F2FDF">
        <w:rPr>
          <w:rFonts w:ascii="Times New Roman" w:hAnsi="Times New Roman" w:cs="Times New Roman"/>
          <w:color w:val="000000" w:themeColor="text1"/>
          <w:kern w:val="2"/>
          <w:sz w:val="16"/>
          <w:szCs w:val="16"/>
        </w:rPr>
        <w:softHyphen/>
        <w:t>лет в районе Подгайцы. После корот</w:t>
      </w:r>
      <w:r w:rsidRPr="002F2FDF">
        <w:rPr>
          <w:rFonts w:ascii="Times New Roman" w:hAnsi="Times New Roman" w:cs="Times New Roman"/>
          <w:color w:val="000000" w:themeColor="text1"/>
          <w:kern w:val="2"/>
          <w:sz w:val="16"/>
          <w:szCs w:val="16"/>
        </w:rPr>
        <w:softHyphen/>
        <w:t>кого боя противник приземлился на нашей территории, скапотировав при посадке. Немецкий экипаж - летчик Витген и наблюдатель Боде - были ра</w:t>
      </w:r>
      <w:r w:rsidRPr="002F2FDF">
        <w:rPr>
          <w:rFonts w:ascii="Times New Roman" w:hAnsi="Times New Roman" w:cs="Times New Roman"/>
          <w:color w:val="000000" w:themeColor="text1"/>
          <w:kern w:val="2"/>
          <w:sz w:val="16"/>
          <w:szCs w:val="16"/>
        </w:rPr>
        <w:softHyphen/>
        <w:t>нены и взяты в плен. Поврежденный “Альбатрос” С. Ill достался 1-му артил</w:t>
      </w:r>
      <w:r w:rsidRPr="002F2FDF">
        <w:rPr>
          <w:rFonts w:ascii="Times New Roman" w:hAnsi="Times New Roman" w:cs="Times New Roman"/>
          <w:color w:val="000000" w:themeColor="text1"/>
          <w:kern w:val="2"/>
          <w:sz w:val="16"/>
          <w:szCs w:val="16"/>
        </w:rPr>
        <w:softHyphen/>
        <w:t>лерийскому авиаотряду (3954).</w:t>
      </w:r>
    </w:p>
    <w:p w14:paraId="107EC2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F8785F" w14:textId="77777777" w:rsidR="005505D2" w:rsidRPr="002F2FDF" w:rsidRDefault="005505D2" w:rsidP="0083075A">
      <w:pPr>
        <w:pStyle w:val="83"/>
        <w:shd w:val="clear" w:color="auto" w:fill="auto"/>
        <w:spacing w:after="0" w:line="240" w:lineRule="auto"/>
        <w:ind w:firstLine="0"/>
        <w:jc w:val="both"/>
        <w:rPr>
          <w:rFonts w:ascii="Times New Roman" w:hAnsi="Times New Roman"/>
          <w:color w:val="000000" w:themeColor="text1"/>
          <w:kern w:val="2"/>
          <w:sz w:val="16"/>
          <w:szCs w:val="16"/>
        </w:rPr>
      </w:pPr>
      <w:r w:rsidRPr="002F2FDF">
        <w:rPr>
          <w:rFonts w:ascii="Times New Roman" w:hAnsi="Times New Roman"/>
          <w:color w:val="000000" w:themeColor="text1"/>
          <w:kern w:val="2"/>
          <w:sz w:val="16"/>
          <w:szCs w:val="16"/>
        </w:rPr>
        <w:t>4 (17) мая 1917 г. командир 11-го армейского воздухоплава</w:t>
      </w:r>
      <w:r w:rsidRPr="002F2FDF">
        <w:rPr>
          <w:rFonts w:ascii="Times New Roman" w:hAnsi="Times New Roman"/>
          <w:color w:val="000000" w:themeColor="text1"/>
          <w:kern w:val="2"/>
          <w:sz w:val="16"/>
          <w:szCs w:val="16"/>
        </w:rPr>
        <w:softHyphen/>
        <w:t>тельного отряда, располагавшего</w:t>
      </w:r>
      <w:r w:rsidRPr="002F2FDF">
        <w:rPr>
          <w:rFonts w:ascii="Times New Roman" w:hAnsi="Times New Roman"/>
          <w:color w:val="000000" w:themeColor="text1"/>
          <w:kern w:val="2"/>
          <w:sz w:val="16"/>
          <w:szCs w:val="16"/>
        </w:rPr>
        <w:softHyphen/>
        <w:t>ся на Юго-Западном фронте, в районе Тернополя, штабс-капитан А. Соколов добровольно выбросился из корзины привязного аэростата с высоты 700 м и через пару минут уже стоял на земле целым и невре</w:t>
      </w:r>
      <w:r w:rsidRPr="002F2FDF">
        <w:rPr>
          <w:rFonts w:ascii="Times New Roman" w:hAnsi="Times New Roman"/>
          <w:color w:val="000000" w:themeColor="text1"/>
          <w:kern w:val="2"/>
          <w:sz w:val="16"/>
          <w:szCs w:val="16"/>
        </w:rPr>
        <w:softHyphen/>
        <w:t>димым. «Считая такое примерное му</w:t>
      </w:r>
      <w:r w:rsidRPr="002F2FDF">
        <w:rPr>
          <w:rFonts w:ascii="Times New Roman" w:hAnsi="Times New Roman"/>
          <w:color w:val="000000" w:themeColor="text1"/>
          <w:kern w:val="2"/>
          <w:sz w:val="16"/>
          <w:szCs w:val="16"/>
        </w:rPr>
        <w:softHyphen/>
        <w:t>жество заслуживающим одобре</w:t>
      </w:r>
      <w:r w:rsidRPr="002F2FDF">
        <w:rPr>
          <w:rFonts w:ascii="Times New Roman" w:hAnsi="Times New Roman"/>
          <w:color w:val="000000" w:themeColor="text1"/>
          <w:kern w:val="2"/>
          <w:sz w:val="16"/>
          <w:szCs w:val="16"/>
        </w:rPr>
        <w:softHyphen/>
        <w:t>ния, — писал в своем приказе инс</w:t>
      </w:r>
      <w:r w:rsidRPr="002F2FDF">
        <w:rPr>
          <w:rFonts w:ascii="Times New Roman" w:hAnsi="Times New Roman"/>
          <w:color w:val="000000" w:themeColor="text1"/>
          <w:kern w:val="2"/>
          <w:sz w:val="16"/>
          <w:szCs w:val="16"/>
        </w:rPr>
        <w:softHyphen/>
        <w:t>пектор воздухоплавания полковник Ю. Марков, — благодарю штабс- капитана Соколова за прекрасный образец понимания своего долга, как командира части».</w:t>
      </w:r>
    </w:p>
    <w:p w14:paraId="7C2EC679" w14:textId="77777777" w:rsidR="005505D2" w:rsidRPr="002F2FDF" w:rsidRDefault="005505D2" w:rsidP="0083075A">
      <w:pPr>
        <w:pStyle w:val="83"/>
        <w:shd w:val="clear" w:color="auto" w:fill="auto"/>
        <w:spacing w:after="0" w:line="240" w:lineRule="auto"/>
        <w:ind w:firstLine="0"/>
        <w:jc w:val="both"/>
        <w:rPr>
          <w:rFonts w:ascii="Times New Roman" w:hAnsi="Times New Roman"/>
          <w:color w:val="000000" w:themeColor="text1"/>
          <w:kern w:val="2"/>
          <w:sz w:val="16"/>
          <w:szCs w:val="16"/>
        </w:rPr>
      </w:pPr>
      <w:r w:rsidRPr="002F2FDF">
        <w:rPr>
          <w:rFonts w:ascii="Times New Roman" w:hAnsi="Times New Roman"/>
          <w:color w:val="000000" w:themeColor="text1"/>
          <w:kern w:val="2"/>
          <w:sz w:val="16"/>
          <w:szCs w:val="16"/>
        </w:rPr>
        <w:t>А буквально на следующий день, 5 мая, ничего не зная о прыжке Со</w:t>
      </w:r>
      <w:r w:rsidRPr="002F2FDF">
        <w:rPr>
          <w:rFonts w:ascii="Times New Roman" w:hAnsi="Times New Roman"/>
          <w:color w:val="000000" w:themeColor="text1"/>
          <w:kern w:val="2"/>
          <w:sz w:val="16"/>
          <w:szCs w:val="16"/>
        </w:rPr>
        <w:softHyphen/>
        <w:t>колова, подобный же опыт с высоты 720 м произвел на Северном фрон</w:t>
      </w:r>
      <w:r w:rsidRPr="002F2FDF">
        <w:rPr>
          <w:rFonts w:ascii="Times New Roman" w:hAnsi="Times New Roman"/>
          <w:color w:val="000000" w:themeColor="text1"/>
          <w:kern w:val="2"/>
          <w:sz w:val="16"/>
          <w:szCs w:val="16"/>
        </w:rPr>
        <w:softHyphen/>
        <w:t>те, около Двинска, командир отря</w:t>
      </w:r>
      <w:r w:rsidRPr="002F2FDF">
        <w:rPr>
          <w:rFonts w:ascii="Times New Roman" w:hAnsi="Times New Roman"/>
          <w:color w:val="000000" w:themeColor="text1"/>
          <w:kern w:val="2"/>
          <w:sz w:val="16"/>
          <w:szCs w:val="16"/>
        </w:rPr>
        <w:softHyphen/>
        <w:t>да, поручик Н. Анощенко, в буду</w:t>
      </w:r>
      <w:r w:rsidRPr="002F2FDF">
        <w:rPr>
          <w:rFonts w:ascii="Times New Roman" w:hAnsi="Times New Roman"/>
          <w:color w:val="000000" w:themeColor="text1"/>
          <w:kern w:val="2"/>
          <w:sz w:val="16"/>
          <w:szCs w:val="16"/>
        </w:rPr>
        <w:softHyphen/>
        <w:t>щем известный воздухоплаватель. «Я сел на борт корзины, — докла</w:t>
      </w:r>
      <w:r w:rsidRPr="002F2FDF">
        <w:rPr>
          <w:rFonts w:ascii="Times New Roman" w:hAnsi="Times New Roman"/>
          <w:color w:val="000000" w:themeColor="text1"/>
          <w:kern w:val="2"/>
          <w:sz w:val="16"/>
          <w:szCs w:val="16"/>
        </w:rPr>
        <w:softHyphen/>
        <w:t>дывал он в своем рапорте коман</w:t>
      </w:r>
      <w:r w:rsidRPr="002F2FDF">
        <w:rPr>
          <w:rFonts w:ascii="Times New Roman" w:hAnsi="Times New Roman"/>
          <w:color w:val="000000" w:themeColor="text1"/>
          <w:kern w:val="2"/>
          <w:sz w:val="16"/>
          <w:szCs w:val="16"/>
        </w:rPr>
        <w:softHyphen/>
        <w:t>диру воздухоплавательного дивизи</w:t>
      </w:r>
      <w:r w:rsidRPr="002F2FDF">
        <w:rPr>
          <w:rFonts w:ascii="Times New Roman" w:hAnsi="Times New Roman"/>
          <w:color w:val="000000" w:themeColor="text1"/>
          <w:kern w:val="2"/>
          <w:sz w:val="16"/>
          <w:szCs w:val="16"/>
        </w:rPr>
        <w:softHyphen/>
        <w:t>она, — дал сигнал чтобы выбира</w:t>
      </w:r>
      <w:r w:rsidRPr="002F2FDF">
        <w:rPr>
          <w:rFonts w:ascii="Times New Roman" w:hAnsi="Times New Roman"/>
          <w:color w:val="000000" w:themeColor="text1"/>
          <w:kern w:val="2"/>
          <w:sz w:val="16"/>
          <w:szCs w:val="16"/>
        </w:rPr>
        <w:softHyphen/>
        <w:t>ли аэростат и соскользнул в полу</w:t>
      </w:r>
      <w:r w:rsidRPr="002F2FDF">
        <w:rPr>
          <w:rFonts w:ascii="Times New Roman" w:hAnsi="Times New Roman"/>
          <w:color w:val="000000" w:themeColor="text1"/>
          <w:kern w:val="2"/>
          <w:sz w:val="16"/>
          <w:szCs w:val="16"/>
        </w:rPr>
        <w:softHyphen/>
        <w:t>сидячем положении». Парашют раскрылся нормально.</w:t>
      </w:r>
    </w:p>
    <w:p w14:paraId="29811ABA" w14:textId="77777777" w:rsidR="005505D2" w:rsidRPr="002F2FDF" w:rsidRDefault="005505D2" w:rsidP="0083075A">
      <w:pPr>
        <w:pStyle w:val="83"/>
        <w:shd w:val="clear" w:color="auto" w:fill="auto"/>
        <w:spacing w:after="0" w:line="240" w:lineRule="auto"/>
        <w:ind w:firstLine="0"/>
        <w:jc w:val="both"/>
        <w:rPr>
          <w:rFonts w:ascii="Times New Roman" w:hAnsi="Times New Roman"/>
          <w:color w:val="000000" w:themeColor="text1"/>
          <w:kern w:val="2"/>
          <w:sz w:val="16"/>
          <w:szCs w:val="16"/>
        </w:rPr>
      </w:pPr>
      <w:r w:rsidRPr="002F2FDF">
        <w:rPr>
          <w:rFonts w:ascii="Times New Roman" w:hAnsi="Times New Roman"/>
          <w:color w:val="000000" w:themeColor="text1"/>
          <w:kern w:val="2"/>
          <w:sz w:val="16"/>
          <w:szCs w:val="16"/>
        </w:rPr>
        <w:t>Рапорт Н.Д. Анощенко был ра</w:t>
      </w:r>
      <w:r w:rsidRPr="002F2FDF">
        <w:rPr>
          <w:rFonts w:ascii="Times New Roman" w:hAnsi="Times New Roman"/>
          <w:color w:val="000000" w:themeColor="text1"/>
          <w:kern w:val="2"/>
          <w:sz w:val="16"/>
          <w:szCs w:val="16"/>
        </w:rPr>
        <w:softHyphen/>
        <w:t>зослан во все воздухоплавательные отряды, чтобы «положить конец кри</w:t>
      </w:r>
      <w:r w:rsidRPr="002F2FDF">
        <w:rPr>
          <w:rFonts w:ascii="Times New Roman" w:hAnsi="Times New Roman"/>
          <w:color w:val="000000" w:themeColor="text1"/>
          <w:kern w:val="2"/>
          <w:sz w:val="16"/>
          <w:szCs w:val="16"/>
        </w:rPr>
        <w:softHyphen/>
        <w:t>вотолкам о парашютах». И это име</w:t>
      </w:r>
      <w:r w:rsidRPr="002F2FDF">
        <w:rPr>
          <w:rFonts w:ascii="Times New Roman" w:hAnsi="Times New Roman"/>
          <w:color w:val="000000" w:themeColor="text1"/>
          <w:kern w:val="2"/>
          <w:sz w:val="16"/>
          <w:szCs w:val="16"/>
        </w:rPr>
        <w:softHyphen/>
        <w:t>ло важное последствие. Нашлись новые охотники на себе испытать надежность парашюта и чувство прыжка. (12120).</w:t>
      </w:r>
    </w:p>
    <w:p w14:paraId="58EB1455" w14:textId="77777777" w:rsidR="005505D2" w:rsidRPr="002F2FDF" w:rsidRDefault="005505D2" w:rsidP="0083075A">
      <w:pPr>
        <w:pStyle w:val="83"/>
        <w:shd w:val="clear" w:color="auto" w:fill="auto"/>
        <w:spacing w:after="0" w:line="240" w:lineRule="auto"/>
        <w:ind w:firstLine="0"/>
        <w:jc w:val="both"/>
        <w:rPr>
          <w:rFonts w:ascii="Times New Roman" w:hAnsi="Times New Roman"/>
          <w:color w:val="000000" w:themeColor="text1"/>
          <w:kern w:val="2"/>
          <w:sz w:val="16"/>
          <w:szCs w:val="16"/>
        </w:rPr>
      </w:pPr>
    </w:p>
    <w:p w14:paraId="313EDAE3" w14:textId="77777777" w:rsidR="00A637F9" w:rsidRPr="002F2FDF" w:rsidRDefault="00A637F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 (17) мая 1917 г. на Юго-За</w:t>
      </w:r>
      <w:r w:rsidRPr="002F2FDF">
        <w:rPr>
          <w:rFonts w:ascii="Times New Roman" w:hAnsi="Times New Roman" w:cs="Times New Roman"/>
          <w:color w:val="000000" w:themeColor="text1"/>
          <w:sz w:val="16"/>
          <w:szCs w:val="16"/>
        </w:rPr>
        <w:softHyphen/>
        <w:t>падном фронте командир 20-го армейского воз</w:t>
      </w:r>
      <w:r w:rsidRPr="002F2FDF">
        <w:rPr>
          <w:rFonts w:ascii="Times New Roman" w:hAnsi="Times New Roman" w:cs="Times New Roman"/>
          <w:color w:val="000000" w:themeColor="text1"/>
          <w:sz w:val="16"/>
          <w:szCs w:val="16"/>
        </w:rPr>
        <w:softHyphen/>
        <w:t>духоплавательного отряда штабс-капитан Соко</w:t>
      </w:r>
      <w:r w:rsidRPr="002F2FDF">
        <w:rPr>
          <w:rFonts w:ascii="Times New Roman" w:hAnsi="Times New Roman" w:cs="Times New Roman"/>
          <w:color w:val="000000" w:themeColor="text1"/>
          <w:sz w:val="16"/>
          <w:szCs w:val="16"/>
        </w:rPr>
        <w:softHyphen/>
        <w:t>лов с высоты 700 м произвёл первый в русской армии добровольный прыжок. Прыгая с пара</w:t>
      </w:r>
      <w:r w:rsidRPr="002F2FDF">
        <w:rPr>
          <w:rFonts w:ascii="Times New Roman" w:hAnsi="Times New Roman" w:cs="Times New Roman"/>
          <w:color w:val="000000" w:themeColor="text1"/>
          <w:sz w:val="16"/>
          <w:szCs w:val="16"/>
        </w:rPr>
        <w:softHyphen/>
        <w:t>шютом Жюкмесса, он пролетел в свободном па</w:t>
      </w:r>
      <w:r w:rsidRPr="002F2FDF">
        <w:rPr>
          <w:rFonts w:ascii="Times New Roman" w:hAnsi="Times New Roman" w:cs="Times New Roman"/>
          <w:color w:val="000000" w:themeColor="text1"/>
          <w:sz w:val="16"/>
          <w:szCs w:val="16"/>
        </w:rPr>
        <w:softHyphen/>
        <w:t>дении около 100 м. Почти одновременно с ним подпоручик 28-го корпусного воздухоплаватель</w:t>
      </w:r>
      <w:r w:rsidRPr="002F2FDF">
        <w:rPr>
          <w:rFonts w:ascii="Times New Roman" w:hAnsi="Times New Roman" w:cs="Times New Roman"/>
          <w:color w:val="000000" w:themeColor="text1"/>
          <w:sz w:val="16"/>
          <w:szCs w:val="16"/>
        </w:rPr>
        <w:softHyphen/>
        <w:t>ного отряда Астратов совершил удачный пры</w:t>
      </w:r>
      <w:r w:rsidRPr="002F2FDF">
        <w:rPr>
          <w:rFonts w:ascii="Times New Roman" w:hAnsi="Times New Roman" w:cs="Times New Roman"/>
          <w:color w:val="000000" w:themeColor="text1"/>
          <w:sz w:val="16"/>
          <w:szCs w:val="16"/>
        </w:rPr>
        <w:softHyphen/>
        <w:t>жок на парашюте Котельникова. С высоты 500 м он четыре секунды летел в свободном падении (20120).</w:t>
      </w:r>
    </w:p>
    <w:p w14:paraId="535FFC72" w14:textId="77777777" w:rsidR="00A637F9" w:rsidRPr="002F2FDF" w:rsidRDefault="00A637F9" w:rsidP="0083075A">
      <w:pPr>
        <w:spacing w:after="0" w:line="240" w:lineRule="auto"/>
        <w:jc w:val="both"/>
        <w:rPr>
          <w:rFonts w:ascii="Times New Roman" w:hAnsi="Times New Roman" w:cs="Times New Roman"/>
          <w:color w:val="000000" w:themeColor="text1"/>
          <w:sz w:val="16"/>
          <w:szCs w:val="16"/>
        </w:rPr>
      </w:pPr>
    </w:p>
    <w:p w14:paraId="6ED599AB" w14:textId="1F9CCB64" w:rsidR="00EB3E32" w:rsidRPr="00FB4F67" w:rsidRDefault="00EB3E3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4 (</w:t>
      </w:r>
      <w:r w:rsidRPr="00FB4F67">
        <w:rPr>
          <w:rFonts w:ascii="Times New Roman" w:hAnsi="Times New Roman" w:cs="Times New Roman"/>
          <w:color w:val="0070C0"/>
          <w:sz w:val="16"/>
          <w:szCs w:val="16"/>
        </w:rPr>
        <w:t>17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мая 1917 г. </w:t>
      </w:r>
      <w:r>
        <w:rPr>
          <w:rFonts w:ascii="Times New Roman" w:hAnsi="Times New Roman" w:cs="Times New Roman"/>
          <w:color w:val="0070C0"/>
          <w:sz w:val="16"/>
          <w:szCs w:val="16"/>
        </w:rPr>
        <w:t>у</w:t>
      </w:r>
      <w:r w:rsidRPr="00FB4F67">
        <w:rPr>
          <w:rFonts w:ascii="Times New Roman" w:hAnsi="Times New Roman" w:cs="Times New Roman"/>
          <w:color w:val="0070C0"/>
          <w:sz w:val="16"/>
          <w:szCs w:val="16"/>
        </w:rPr>
        <w:t>тром у м. Подгайцы командир 19-го корпусного авиаотряда штабс-капитан П.В. Аргеев на истребителе «совместно с другим самолетом, атаковал и сбил самолет противника, который опустился и был захвачен нашими войсками у д. Божинув» (23405).</w:t>
      </w:r>
    </w:p>
    <w:p w14:paraId="13752DAF" w14:textId="77777777" w:rsidR="00EB3E32" w:rsidRPr="00FB4F67" w:rsidRDefault="00EB3E32" w:rsidP="0083075A">
      <w:pPr>
        <w:spacing w:after="0" w:line="240" w:lineRule="auto"/>
        <w:jc w:val="both"/>
        <w:rPr>
          <w:rFonts w:ascii="Times New Roman" w:hAnsi="Times New Roman" w:cs="Times New Roman"/>
          <w:color w:val="0070C0"/>
          <w:sz w:val="16"/>
          <w:szCs w:val="16"/>
        </w:rPr>
      </w:pPr>
    </w:p>
    <w:p w14:paraId="4D77D4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мая 1917 катера с крейсера Память Меркурия под прикрытием линкора Свободная Россия и 2 эсминцев поставили мины в проливе Босфор (3123).</w:t>
      </w:r>
    </w:p>
    <w:p w14:paraId="0925C0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699E34" w14:textId="7B8A6232" w:rsidR="008842A1" w:rsidRPr="002F2FDF" w:rsidRDefault="006E4FF2"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Pr>
          <w:rFonts w:ascii="Times New Roman" w:eastAsia="Times New Roman" w:hAnsi="Times New Roman" w:cs="Times New Roman"/>
          <w:color w:val="000000" w:themeColor="text1"/>
          <w:kern w:val="2"/>
          <w:sz w:val="16"/>
          <w:szCs w:val="16"/>
          <w:lang w:eastAsia="ru-RU"/>
        </w:rPr>
        <w:t>4-5 (</w:t>
      </w:r>
      <w:r w:rsidR="008842A1" w:rsidRPr="002F2FDF">
        <w:rPr>
          <w:rFonts w:ascii="Times New Roman" w:eastAsia="Times New Roman" w:hAnsi="Times New Roman" w:cs="Times New Roman"/>
          <w:color w:val="000000" w:themeColor="text1"/>
          <w:kern w:val="2"/>
          <w:sz w:val="16"/>
          <w:szCs w:val="16"/>
          <w:lang w:eastAsia="ru-RU"/>
        </w:rPr>
        <w:t>17 – 18</w:t>
      </w:r>
      <w:r>
        <w:rPr>
          <w:rFonts w:ascii="Times New Roman" w:eastAsia="Times New Roman" w:hAnsi="Times New Roman" w:cs="Times New Roman"/>
          <w:color w:val="000000" w:themeColor="text1"/>
          <w:kern w:val="2"/>
          <w:sz w:val="16"/>
          <w:szCs w:val="16"/>
          <w:lang w:eastAsia="ru-RU"/>
        </w:rPr>
        <w:t>)</w:t>
      </w:r>
      <w:r w:rsidR="008842A1" w:rsidRPr="002F2FDF">
        <w:rPr>
          <w:rFonts w:ascii="Times New Roman" w:eastAsia="Times New Roman" w:hAnsi="Times New Roman" w:cs="Times New Roman"/>
          <w:color w:val="000000" w:themeColor="text1"/>
          <w:kern w:val="2"/>
          <w:sz w:val="16"/>
          <w:szCs w:val="16"/>
          <w:lang w:eastAsia="ru-RU"/>
        </w:rPr>
        <w:t xml:space="preserve"> мая 1917 г.с.с. Черное море: Колчак беседует с Керенским на борту миноносца, плывущего из Одессы в Севастополь. </w:t>
      </w:r>
      <w:r w:rsidR="008842A1" w:rsidRPr="002F2FDF">
        <w:rPr>
          <w:rFonts w:ascii="Times New Roman" w:eastAsia="Times New Roman" w:hAnsi="Times New Roman" w:cs="Times New Roman"/>
          <w:bCs/>
          <w:iCs/>
          <w:color w:val="000000" w:themeColor="text1"/>
          <w:kern w:val="2"/>
          <w:sz w:val="16"/>
          <w:szCs w:val="16"/>
          <w:lang w:eastAsia="ru-RU"/>
        </w:rPr>
        <w:t>Павел Зырянов «Адмирал Колчак, верховный правитель России»:</w:t>
      </w:r>
    </w:p>
    <w:p w14:paraId="56E6E0C5" w14:textId="77777777" w:rsidR="008842A1" w:rsidRPr="002F2FDF" w:rsidRDefault="008842A1"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bCs/>
          <w:color w:val="000000" w:themeColor="text1"/>
          <w:kern w:val="2"/>
          <w:sz w:val="16"/>
          <w:szCs w:val="16"/>
          <w:lang w:eastAsia="ru-RU"/>
        </w:rPr>
        <w:t xml:space="preserve">Оказавшись наедине с Керенским, Колчак увидел обыкновенного человека с обывательской внешностью, вертевшего в руках смешную свою фуражку, очень бледного, измотанного и усталого. Они проговорили почти всю ночь, </w:t>
      </w:r>
      <w:r w:rsidRPr="002F2FDF">
        <w:rPr>
          <w:rFonts w:ascii="Times New Roman" w:eastAsia="Times New Roman" w:hAnsi="Times New Roman" w:cs="Times New Roman"/>
          <w:color w:val="000000" w:themeColor="text1"/>
          <w:kern w:val="2"/>
          <w:sz w:val="16"/>
          <w:szCs w:val="16"/>
          <w:lang w:eastAsia="ru-RU"/>
        </w:rPr>
        <w:t>с 16 на 17 мая (1917)</w:t>
      </w:r>
      <w:r w:rsidRPr="002F2FDF">
        <w:rPr>
          <w:rFonts w:ascii="Times New Roman" w:eastAsia="Times New Roman" w:hAnsi="Times New Roman" w:cs="Times New Roman"/>
          <w:bCs/>
          <w:color w:val="000000" w:themeColor="text1"/>
          <w:kern w:val="2"/>
          <w:sz w:val="16"/>
          <w:szCs w:val="16"/>
          <w:lang w:eastAsia="ru-RU"/>
        </w:rPr>
        <w:t>, пока миноносец шёл из Одессы в Севастополь. Колчак настаивал на том, что дисциплина – это то, на чём держится армия. Без дисциплины армия превращается в вооружённый сброд, опасный не для противника, а для собственных граждан. Поэтому дисциплинарные уставы примерно одинаковы во всех армиях и флотах мира. Керенский же утверждал, что, помимо дисциплины принуждения, существуют «революционная дисциплина», «партийная дисциплина», основанные на сознательности. Революционеров никто не принуждает, а они идут на смерть, на эшафот и на каторгу. Колчак возражал, что такая дисциплина «создаётся воспитанием и развитием в себе чувства долга, чувства обязательств по отношению к родине», она, эта дисциплина, «может быть у отдельных лиц, но в массе такой дисциплины не существует, и опираться на такую дисциплину для управления массами нельзя». Каждый остался при своём мнении. Колчак с сожалением отмечал, что Керенский «как-то необыкновенно верил во всемогущество слова». На палубе «Георгия Победоносца» состоялась торжественная встреча министра. Керенский обошёл строй, подавая руку многим матросам, взобрался на люк (он не мог выступать иначе, как с какого-то возвышения) и произнёс речь: «Позвольте мне в вашем присутствии приветствовать командующего флотом, который, будучи в Петрограде, говорил об организации Черноморского флота, указывая на то единение, которое существует здесь, и на то значение, какое он придаёт организации. Да здравствует ваш командующий флотом, лучший представитель офицерского корпуса! Ура! (17326).</w:t>
      </w:r>
    </w:p>
    <w:p w14:paraId="7249C206" w14:textId="77777777" w:rsidR="008842A1" w:rsidRPr="002F2FDF" w:rsidRDefault="008842A1"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A565E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E4417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510F99" w14:textId="77777777"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мая в 1917 году стотысячная демонстрация рабочих и солдат в Петрограде с требованием мира и передачи власти Советам, организованная большевиками (14881).</w:t>
      </w:r>
    </w:p>
    <w:p w14:paraId="51D04669" w14:textId="77777777"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p>
    <w:p w14:paraId="3E29FE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мая 1917 в Петроград вернулся Л.Д.Т. (1348,85), он и его группа межрайонцев сближается с большевиками (3908,257).</w:t>
      </w:r>
    </w:p>
    <w:p w14:paraId="6C0A56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98E026"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4 (17) мая</w:t>
      </w:r>
      <w:r w:rsidRPr="002F2FDF">
        <w:rPr>
          <w:rFonts w:ascii="Times New Roman" w:hAnsi="Times New Roman" w:cs="Times New Roman"/>
          <w:color w:val="000000" w:themeColor="text1"/>
          <w:kern w:val="2"/>
          <w:sz w:val="16"/>
          <w:szCs w:val="16"/>
        </w:rPr>
        <w:t xml:space="preserve"> в 1917 году Л.Д.Троцкий возвращается из изгнания в Россию. Он и его группа «межрайонцев» сближаются с большевиками (14894).</w:t>
      </w:r>
    </w:p>
    <w:p w14:paraId="7ADC0FE8"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p>
    <w:p w14:paraId="675B2C04" w14:textId="2377C8B4" w:rsidR="00053D91" w:rsidRPr="002F2FDF" w:rsidRDefault="00053D9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мая 1917 в Питере объявился Троцкий. Еще в феврале он двинулся из США на Россию, но в канадском порту Галифакс был снят с корабля и помещен в концлагерь для немецких моряков. После письменного запроса Временного правительства России(!) Троцкий был отпущен на Родину, как "заслуженный борец с царизмом".</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В кадетской «Речи» появились сообщения о том, что, находясь в США, Троцкий получил 10 000 то ли марок, то ли долларов. Теперь понятно, откуда взялись разногласия между Лениным и Троцким по поводу Брестского мира (лидеры большевиков получали деньги из разных источников), но все-таки: чьей акцией был Октярьский переворот, к которому Троцкий, как председатель Петроградского совета и фактический руководитель Военно-революционного комитета, имел самое прямое отношение (12629).</w:t>
      </w:r>
    </w:p>
    <w:p w14:paraId="2FB495A8" w14:textId="77777777" w:rsidR="00053D91" w:rsidRPr="002F2FDF" w:rsidRDefault="00053D91"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DE1FB4" w14:textId="77777777" w:rsidR="00B00B79" w:rsidRPr="002F2FDF" w:rsidRDefault="006E3931" w:rsidP="0083075A">
      <w:pPr>
        <w:pStyle w:val="ae"/>
        <w:spacing w:before="0" w:after="0"/>
        <w:jc w:val="both"/>
        <w:rPr>
          <w:color w:val="000000" w:themeColor="text1"/>
          <w:kern w:val="2"/>
          <w:sz w:val="16"/>
          <w:szCs w:val="16"/>
        </w:rPr>
      </w:pPr>
      <w:r w:rsidRPr="002F2FDF">
        <w:rPr>
          <w:color w:val="000000" w:themeColor="text1"/>
          <w:kern w:val="2"/>
          <w:sz w:val="16"/>
          <w:szCs w:val="16"/>
        </w:rPr>
        <w:t>4 (17) мая 1917 из американской эмиграции в Петроград вернулся Лев Троцкий (Лейба Бронштейн). После раскола РСДРП на фракции большевиков и меньшевиков он придерживался особой позиции, называя себя «нефракционным социал-демократом» и выступал за объединение партии. Позже вместе со сторонниками он образовал «Межрайонную организацию объединенных социал-демократов» (так называемые межрайонцы), ратовавшую за «организационное единство» РСДРП. Однако после прибытия в Петроград он с соратниками объявил о сближении с большевиками</w:t>
      </w:r>
      <w:r w:rsidR="00B00B79" w:rsidRPr="002F2FDF">
        <w:rPr>
          <w:color w:val="000000" w:themeColor="text1"/>
          <w:kern w:val="2"/>
          <w:sz w:val="16"/>
          <w:szCs w:val="16"/>
        </w:rPr>
        <w:t>.</w:t>
      </w:r>
    </w:p>
    <w:p w14:paraId="0D7315C9" w14:textId="77777777" w:rsidR="00B00B79" w:rsidRPr="002F2FDF" w:rsidRDefault="00B00B79" w:rsidP="0083075A">
      <w:pPr>
        <w:pStyle w:val="ae"/>
        <w:spacing w:before="0" w:after="0"/>
        <w:jc w:val="both"/>
        <w:rPr>
          <w:color w:val="000000" w:themeColor="text1"/>
          <w:kern w:val="2"/>
          <w:sz w:val="16"/>
          <w:szCs w:val="16"/>
        </w:rPr>
      </w:pPr>
      <w:r w:rsidRPr="002F2FDF">
        <w:rPr>
          <w:color w:val="000000" w:themeColor="text1"/>
          <w:kern w:val="2"/>
          <w:sz w:val="16"/>
          <w:szCs w:val="16"/>
        </w:rPr>
        <w:t>Путь Троцкого в Россию был трудным: на остановке в канадском порту Галифакс он вместе с семьей был снят с корабля и отправлен в концлагерь для немецких военнопленных. Британцы боялись, что Троцкий в России может стать дополнительным «фактором нестабильности», но им пришлось его отпустить по просьбе министра иностранных дел Временного правительства Павла Милюкова — как «заслуженного борца с царизмом».</w:t>
      </w:r>
    </w:p>
    <w:p w14:paraId="131767E2" w14:textId="77777777" w:rsidR="006E3931" w:rsidRPr="002F2FDF" w:rsidRDefault="00B00B79" w:rsidP="0083075A">
      <w:pPr>
        <w:pStyle w:val="ae"/>
        <w:spacing w:before="0" w:after="0"/>
        <w:jc w:val="both"/>
        <w:rPr>
          <w:color w:val="000000" w:themeColor="text1"/>
          <w:kern w:val="2"/>
          <w:sz w:val="16"/>
          <w:szCs w:val="16"/>
        </w:rPr>
      </w:pPr>
      <w:r w:rsidRPr="002F2FDF">
        <w:rPr>
          <w:color w:val="000000" w:themeColor="text1"/>
          <w:kern w:val="2"/>
          <w:sz w:val="16"/>
          <w:szCs w:val="16"/>
        </w:rPr>
        <w:t>Прибыв в Петроград, Троцкий с Финляндского вокзала отправился прямо на заседание Петроградского Совета, где ему предоставили место с совещательным голосом. Троцкий сыграл огромную роль в агитации среди солдат петроградского гарнизона и, особенно, матросов Кронштадта, объявивших 16 мая свой Кронштадтский совет единственной властью на острове (так называемая Кронштадтская республика). Во многом, именно благодаря Троцкому многие матросы перешли из-под влияния анархистов на сторону большевиков</w:t>
      </w:r>
      <w:r w:rsidR="006E3931" w:rsidRPr="002F2FDF">
        <w:rPr>
          <w:color w:val="000000" w:themeColor="text1"/>
          <w:kern w:val="2"/>
          <w:sz w:val="16"/>
          <w:szCs w:val="16"/>
        </w:rPr>
        <w:t xml:space="preserve"> (17045).</w:t>
      </w:r>
    </w:p>
    <w:p w14:paraId="03F914DC" w14:textId="77777777" w:rsidR="006E3931" w:rsidRPr="002F2FDF" w:rsidRDefault="006E3931"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A1E1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4-28 мая (17 мая - 10 июня) 1917 в Петрограде прошел Всероссийский съезд Советов крестьянских депутатов. Большинство голосов принадлежало эсерам. Предложили безвозмездную раздачу помещичьих земель (1348,112).</w:t>
      </w:r>
    </w:p>
    <w:p w14:paraId="2E5625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EF4C30" w14:textId="77777777" w:rsidR="000D235B" w:rsidRPr="002F2FDF" w:rsidRDefault="000D235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мая 1917 года</w:t>
      </w:r>
      <w:r w:rsidRPr="002F2FDF">
        <w:rPr>
          <w:rFonts w:ascii="Times New Roman" w:hAnsi="Times New Roman" w:cs="Times New Roman"/>
          <w:bCs/>
          <w:color w:val="000000" w:themeColor="text1"/>
          <w:kern w:val="2"/>
          <w:sz w:val="16"/>
          <w:szCs w:val="16"/>
        </w:rPr>
        <w:t xml:space="preserve"> Временным правительством было принято постановление «Об облегчении участи лиц, совершивших уголовные преступления». В нем была объявлена амнистия по отношению к целому ряду категорий заключенных: достигшим шестидесяти лет, больным и увечным и т. д. Отдельная статья постановления предполагала освобождение лиц, не входивших в эти категории, но изъявивших желание добровольно вступить в ряды действующей армии (17326).</w:t>
      </w:r>
    </w:p>
    <w:p w14:paraId="2C4AA315" w14:textId="77777777" w:rsidR="000D235B" w:rsidRPr="002F2FDF" w:rsidRDefault="000D235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5F27B5" w14:textId="77777777" w:rsidR="00871D7D"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4B8324BE" w14:textId="77777777" w:rsidR="00871D7D" w:rsidRPr="002F2FDF" w:rsidRDefault="00871D7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256CA3" w14:textId="77777777" w:rsidR="00871D7D" w:rsidRPr="002F2FDF" w:rsidRDefault="00871D7D" w:rsidP="0083075A">
      <w:pPr>
        <w:pStyle w:val="rtecenter"/>
        <w:spacing w:before="0" w:after="0"/>
        <w:jc w:val="both"/>
        <w:rPr>
          <w:color w:val="000000" w:themeColor="text1"/>
          <w:kern w:val="2"/>
          <w:sz w:val="16"/>
          <w:szCs w:val="16"/>
        </w:rPr>
      </w:pPr>
      <w:r w:rsidRPr="002F2FDF">
        <w:rPr>
          <w:rStyle w:val="af0"/>
          <w:i w:val="0"/>
          <w:color w:val="000000" w:themeColor="text1"/>
          <w:kern w:val="2"/>
          <w:sz w:val="16"/>
          <w:szCs w:val="16"/>
        </w:rPr>
        <w:t>4 (17) мая 1917 г</w:t>
      </w:r>
      <w:r w:rsidRPr="002F2FDF">
        <w:rPr>
          <w:rStyle w:val="a7"/>
          <w:rFonts w:eastAsiaTheme="majorEastAsia"/>
          <w:b w:val="0"/>
          <w:color w:val="000000" w:themeColor="text1"/>
          <w:kern w:val="2"/>
          <w:sz w:val="16"/>
          <w:szCs w:val="16"/>
        </w:rPr>
        <w:t xml:space="preserve">. </w:t>
      </w:r>
      <w:r w:rsidRPr="002F2FDF">
        <w:rPr>
          <w:rStyle w:val="af0"/>
          <w:i w:val="0"/>
          <w:color w:val="000000" w:themeColor="text1"/>
          <w:kern w:val="2"/>
          <w:sz w:val="16"/>
          <w:szCs w:val="16"/>
        </w:rPr>
        <w:t>Меморандум Американской международной корпорацииминистру</w:t>
      </w:r>
      <w:r w:rsidRPr="002F2FDF">
        <w:rPr>
          <w:rStyle w:val="a7"/>
          <w:rFonts w:eastAsiaTheme="majorEastAsia"/>
          <w:b w:val="0"/>
          <w:color w:val="000000" w:themeColor="text1"/>
          <w:kern w:val="2"/>
          <w:sz w:val="16"/>
          <w:szCs w:val="16"/>
        </w:rPr>
        <w:t xml:space="preserve">— </w:t>
      </w:r>
      <w:r w:rsidRPr="002F2FDF">
        <w:rPr>
          <w:rStyle w:val="af0"/>
          <w:i w:val="0"/>
          <w:color w:val="000000" w:themeColor="text1"/>
          <w:kern w:val="2"/>
          <w:sz w:val="16"/>
          <w:szCs w:val="16"/>
        </w:rPr>
        <w:t>председателю Временного правительства с предложением оказать содействие русскому правительству в организации кредитования, технического надзора и перевозки грузов из СШАв Россию.</w:t>
      </w:r>
      <w:hyperlink r:id="rId155" w:anchor="_ftn2" w:history="1">
        <w:r w:rsidRPr="002F2FDF">
          <w:rPr>
            <w:rStyle w:val="a7"/>
            <w:rFonts w:eastAsiaTheme="majorEastAsia"/>
            <w:b w:val="0"/>
            <w:iCs/>
            <w:color w:val="000000" w:themeColor="text1"/>
            <w:kern w:val="2"/>
            <w:sz w:val="16"/>
            <w:szCs w:val="16"/>
          </w:rPr>
          <w:t>[2]</w:t>
        </w:r>
      </w:hyperlink>
    </w:p>
    <w:p w14:paraId="13C55400" w14:textId="77777777" w:rsidR="00871D7D" w:rsidRPr="002F2FDF" w:rsidRDefault="00871D7D" w:rsidP="0083075A">
      <w:pPr>
        <w:pStyle w:val="rteright"/>
        <w:spacing w:before="0" w:beforeAutospacing="0" w:after="0" w:afterAutospacing="0"/>
        <w:jc w:val="both"/>
        <w:rPr>
          <w:color w:val="000000" w:themeColor="text1"/>
          <w:kern w:val="2"/>
          <w:sz w:val="16"/>
          <w:szCs w:val="16"/>
        </w:rPr>
      </w:pPr>
      <w:r w:rsidRPr="002F2FDF">
        <w:rPr>
          <w:rStyle w:val="af0"/>
          <w:i w:val="0"/>
          <w:color w:val="000000" w:themeColor="text1"/>
          <w:kern w:val="2"/>
          <w:sz w:val="16"/>
          <w:szCs w:val="16"/>
        </w:rPr>
        <w:t>4 мая 1917 г</w:t>
      </w:r>
      <w:r w:rsidRPr="002F2FDF">
        <w:rPr>
          <w:rStyle w:val="a7"/>
          <w:rFonts w:eastAsiaTheme="majorEastAsia"/>
          <w:b w:val="0"/>
          <w:color w:val="000000" w:themeColor="text1"/>
          <w:kern w:val="2"/>
          <w:sz w:val="16"/>
          <w:szCs w:val="16"/>
        </w:rPr>
        <w:t>.</w:t>
      </w:r>
      <w:hyperlink r:id="rId156" w:anchor="_ftn3" w:history="1">
        <w:r w:rsidRPr="002F2FDF">
          <w:rPr>
            <w:rStyle w:val="a7"/>
            <w:rFonts w:eastAsiaTheme="majorEastAsia"/>
            <w:b w:val="0"/>
            <w:color w:val="000000" w:themeColor="text1"/>
            <w:kern w:val="2"/>
            <w:sz w:val="16"/>
            <w:szCs w:val="16"/>
          </w:rPr>
          <w:t>[3]</w:t>
        </w:r>
      </w:hyperlink>
    </w:p>
    <w:p w14:paraId="143452FB" w14:textId="77777777" w:rsidR="00871D7D" w:rsidRPr="002F2FDF" w:rsidRDefault="00871D7D" w:rsidP="0083075A">
      <w:pPr>
        <w:pStyle w:val="rtejustify"/>
        <w:spacing w:before="0" w:after="0"/>
        <w:rPr>
          <w:color w:val="000000" w:themeColor="text1"/>
          <w:kern w:val="2"/>
          <w:sz w:val="16"/>
          <w:szCs w:val="16"/>
        </w:rPr>
      </w:pPr>
      <w:r w:rsidRPr="002F2FDF">
        <w:rPr>
          <w:color w:val="000000" w:themeColor="text1"/>
          <w:kern w:val="2"/>
          <w:sz w:val="16"/>
          <w:szCs w:val="16"/>
        </w:rPr>
        <w:t>Как известно, Россия в настоящее время очень нуждается в паровозах и вагонах, и крайне необходимо, чтобы она получала их немедленно. Америка — единственная страна, откуда их вообще можно получить.</w:t>
      </w:r>
    </w:p>
    <w:p w14:paraId="36601108" w14:textId="77777777" w:rsidR="00871D7D" w:rsidRPr="002F2FDF" w:rsidRDefault="00871D7D" w:rsidP="0083075A">
      <w:pPr>
        <w:pStyle w:val="rtejustify"/>
        <w:spacing w:before="0" w:after="0"/>
        <w:rPr>
          <w:color w:val="000000" w:themeColor="text1"/>
          <w:kern w:val="2"/>
          <w:sz w:val="16"/>
          <w:szCs w:val="16"/>
        </w:rPr>
      </w:pPr>
      <w:r w:rsidRPr="002F2FDF">
        <w:rPr>
          <w:color w:val="000000" w:themeColor="text1"/>
          <w:kern w:val="2"/>
          <w:sz w:val="16"/>
          <w:szCs w:val="16"/>
        </w:rPr>
        <w:t>Как только Россия решит, сколько ей требуется немедленно паровозов и вагонов, придется, для того чтобы обеспечить скорейшую доставку, принять в соображение три задачи:</w:t>
      </w:r>
    </w:p>
    <w:p w14:paraId="1E7A37B0" w14:textId="77777777" w:rsidR="00871D7D" w:rsidRPr="002F2FDF" w:rsidRDefault="00871D7D" w:rsidP="0083075A">
      <w:pPr>
        <w:pStyle w:val="rtejustify"/>
        <w:spacing w:before="0" w:after="0"/>
        <w:rPr>
          <w:color w:val="000000" w:themeColor="text1"/>
          <w:kern w:val="2"/>
          <w:sz w:val="16"/>
          <w:szCs w:val="16"/>
        </w:rPr>
      </w:pPr>
      <w:r w:rsidRPr="002F2FDF">
        <w:rPr>
          <w:color w:val="000000" w:themeColor="text1"/>
          <w:kern w:val="2"/>
          <w:sz w:val="16"/>
          <w:szCs w:val="16"/>
        </w:rPr>
        <w:lastRenderedPageBreak/>
        <w:t>1) Задача правительства Соединенных Штатов Северной Америки: оно должно открыть кредит и дать распоряжение сталелитейным и прокатным заводам, изготовляющим необходимые материалы, ускорить доставку таковых, а заводам, строящим паровозы и вагоны, изготовлять этот подвижной состав вне очереди и ранее домашних заказов.</w:t>
      </w:r>
    </w:p>
    <w:p w14:paraId="51B71994" w14:textId="77777777" w:rsidR="00871D7D" w:rsidRPr="002F2FDF" w:rsidRDefault="00871D7D" w:rsidP="0083075A">
      <w:pPr>
        <w:pStyle w:val="rtejustify"/>
        <w:spacing w:before="0" w:after="0"/>
        <w:rPr>
          <w:color w:val="000000" w:themeColor="text1"/>
          <w:kern w:val="2"/>
          <w:sz w:val="16"/>
          <w:szCs w:val="16"/>
        </w:rPr>
      </w:pPr>
      <w:r w:rsidRPr="002F2FDF">
        <w:rPr>
          <w:color w:val="000000" w:themeColor="text1"/>
          <w:kern w:val="2"/>
          <w:sz w:val="16"/>
          <w:szCs w:val="16"/>
        </w:rPr>
        <w:t>2) Задача техническая: технический надзор за постройкой заказанных паровозов и вагонов, так чтобы Россия могла бы получить то, что еп нужно. В настоящее время этими делами весьма удовлетворительно руководствует Русская железнодорожная комиссия в Нью-Йорке с графом Шуленбургом — очень опытным человеком — во главе.</w:t>
      </w:r>
    </w:p>
    <w:p w14:paraId="785D16E8" w14:textId="77777777" w:rsidR="00871D7D" w:rsidRPr="002F2FDF" w:rsidRDefault="00871D7D" w:rsidP="0083075A">
      <w:pPr>
        <w:pStyle w:val="rtejustify"/>
        <w:spacing w:before="0" w:after="0"/>
        <w:rPr>
          <w:color w:val="000000" w:themeColor="text1"/>
          <w:kern w:val="2"/>
          <w:sz w:val="16"/>
          <w:szCs w:val="16"/>
        </w:rPr>
      </w:pPr>
      <w:r w:rsidRPr="002F2FDF">
        <w:rPr>
          <w:color w:val="000000" w:themeColor="text1"/>
          <w:kern w:val="2"/>
          <w:sz w:val="16"/>
          <w:szCs w:val="16"/>
        </w:rPr>
        <w:t>3) Задача коммерческая: должна быть сосредоточена в руках опытного коммерческого дома, действующего в качестве агента русского правительства, который должен иметь не только возможность помещать заказы там, где они будут выполнены по умеренным ценам в кратчайшие сроки, но и способность содействовать согласованию задач правительства по ускорению постройки и по техническому надзору за ними.</w:t>
      </w:r>
    </w:p>
    <w:p w14:paraId="2644C1D0" w14:textId="77777777" w:rsidR="00871D7D" w:rsidRPr="002F2FDF" w:rsidRDefault="00871D7D" w:rsidP="0083075A">
      <w:pPr>
        <w:pStyle w:val="rtejustify"/>
        <w:spacing w:before="0" w:after="0"/>
        <w:rPr>
          <w:color w:val="000000" w:themeColor="text1"/>
          <w:kern w:val="2"/>
          <w:sz w:val="16"/>
          <w:szCs w:val="16"/>
        </w:rPr>
      </w:pPr>
      <w:r w:rsidRPr="002F2FDF">
        <w:rPr>
          <w:color w:val="000000" w:themeColor="text1"/>
          <w:kern w:val="2"/>
          <w:sz w:val="16"/>
          <w:szCs w:val="16"/>
        </w:rPr>
        <w:t>Кроме того, коммерческая посредническая фирма должна была бы принять на себя исполнение следующих обязанностей: вагоны должны быть отправляемы из американских тихоокеанских и атлантических портов сообразно со сроками отправки их с различных заводов, изготовляющих их, причем в различных портах должны быть представители фирмы для приемки вагонов; заготовка тоннажа и погрузка вагонов должны производиться с таким расчетом, чтобы они прибыли во Владивосток именно тогда, когда они нужны там для сборки. Они должны прибыть не слишком медленно, но и не слишком рано, чтобы избежать скопления грузов во Владивостокском порту. Фирма должна вообще руководить отправками и принимать вагоны во Владивостоке.</w:t>
      </w:r>
    </w:p>
    <w:p w14:paraId="36CC0209" w14:textId="77777777" w:rsidR="00871D7D" w:rsidRPr="002F2FDF" w:rsidRDefault="00871D7D" w:rsidP="0083075A">
      <w:pPr>
        <w:pStyle w:val="rtejustify"/>
        <w:spacing w:before="0" w:after="0"/>
        <w:rPr>
          <w:color w:val="000000" w:themeColor="text1"/>
          <w:kern w:val="2"/>
          <w:sz w:val="16"/>
          <w:szCs w:val="16"/>
        </w:rPr>
      </w:pPr>
      <w:r w:rsidRPr="002F2FDF">
        <w:rPr>
          <w:color w:val="000000" w:themeColor="text1"/>
          <w:kern w:val="2"/>
          <w:sz w:val="16"/>
          <w:szCs w:val="16"/>
        </w:rPr>
        <w:t>Желательно было бы, чтобы фирма взяла на себя сборку подвижного состава (или по крайней мере руководила бы ею) при помощи опытных механиков, командируемых ею для этой цели во Владивосток. В настоящее время механические сооружения для сборки вагонов во Владивостоке слишком слабы, они не допускают сборки более 100 больших вагонов е день, тогда как сооружения должны быть приспособлены для сборки такого именно количества вагонов и паровозов в день, которое железная дорога может отправить нагруженными на запад — не более и не менее — с таким расчетом, чтобы ни один из этих вагонов и паровозов не возвращался бы обратно во Владивосток, а все могли бы быть использованы внутри Европейской России. Это положение всецело применимо к вагонам, но относительно паровозов требует известной оговорки в том смысле, что первоначально они должны везти лишь .легкие грузы, пока машинные части их не приработались и не уравновесились, но они все же могут сразу возить легкие поезда на запад, и опытный американский машинист должен сопровождать каждый паровоз на протяжении первых 100 верст пробега, чтобы следить за полной исправностью машины и произвести необходимые приноровления.</w:t>
      </w:r>
    </w:p>
    <w:p w14:paraId="4B76D2F5" w14:textId="77777777" w:rsidR="00871D7D" w:rsidRPr="002F2FDF" w:rsidRDefault="00871D7D" w:rsidP="0083075A">
      <w:pPr>
        <w:pStyle w:val="rtejustify"/>
        <w:spacing w:before="0" w:after="0"/>
        <w:rPr>
          <w:color w:val="000000" w:themeColor="text1"/>
          <w:kern w:val="2"/>
          <w:sz w:val="16"/>
          <w:szCs w:val="16"/>
        </w:rPr>
      </w:pPr>
      <w:r w:rsidRPr="002F2FDF">
        <w:rPr>
          <w:color w:val="000000" w:themeColor="text1"/>
          <w:kern w:val="2"/>
          <w:sz w:val="16"/>
          <w:szCs w:val="16"/>
        </w:rPr>
        <w:t>Таким образом, будет лишь незначительным или даже не будет никакого грузового движения по железным дорогам в восточном направлении, так что пропуск по ним в западном направлении груженых вагонов и паровозов будет максимальный, а в результате Владивосток освободится от залежей товаров. Все решения по предыдущим вопросам следует предпринять немедленно, по крайней мере по тем из них, которые относятся к заказу требующегося оборудования, с тем чтобы не выжидать прибытия сюда или в Америку какой-либо комиссии, ибо оборудование должно быть отправлено в наискорейшем времени, что, в лучшем случае, все-таки еще будет слишком медленно для громадных потребностей России.</w:t>
      </w:r>
    </w:p>
    <w:p w14:paraId="2887E9FB" w14:textId="77777777" w:rsidR="00871D7D" w:rsidRPr="002F2FDF" w:rsidRDefault="00871D7D" w:rsidP="0083075A">
      <w:pPr>
        <w:pStyle w:val="rtejustify"/>
        <w:spacing w:before="0" w:after="0"/>
        <w:rPr>
          <w:color w:val="000000" w:themeColor="text1"/>
          <w:kern w:val="2"/>
          <w:sz w:val="16"/>
          <w:szCs w:val="16"/>
        </w:rPr>
      </w:pPr>
      <w:r w:rsidRPr="002F2FDF">
        <w:rPr>
          <w:color w:val="000000" w:themeColor="text1"/>
          <w:kern w:val="2"/>
          <w:sz w:val="16"/>
          <w:szCs w:val="16"/>
        </w:rPr>
        <w:t>Американская международная корпорация предлагает свои услуги как агента для русского правительства для осуществления тех из вышеуказанных задач, поручение коих именно ей будет признано желательным. Эта корпорация имеет надлежащую организацию для этой цели в Нью-Йорке, и она хорошо и в благоприятном смысле известна многим лицам здесь в России, которые, я уверен, охотно подтвердят это, как например американский посол, американский военный атташе, американский коммерческий атташе, а также г. Бахметьев — товарищ министра торговли и промышленности, Национальный Сити Банк Нью-Йорк,</w:t>
      </w:r>
      <w:hyperlink r:id="rId157" w:anchor="_ftn4" w:history="1">
        <w:r w:rsidRPr="002F2FDF">
          <w:rPr>
            <w:rStyle w:val="a5"/>
            <w:color w:val="000000" w:themeColor="text1"/>
            <w:kern w:val="2"/>
            <w:sz w:val="16"/>
            <w:szCs w:val="16"/>
          </w:rPr>
          <w:t>[4]</w:t>
        </w:r>
      </w:hyperlink>
      <w:r w:rsidRPr="002F2FDF">
        <w:rPr>
          <w:color w:val="000000" w:themeColor="text1"/>
          <w:kern w:val="2"/>
          <w:sz w:val="16"/>
          <w:szCs w:val="16"/>
        </w:rPr>
        <w:t xml:space="preserve"> Петроградский отдел и др.</w:t>
      </w:r>
    </w:p>
    <w:p w14:paraId="01280805" w14:textId="77777777" w:rsidR="00871D7D" w:rsidRPr="002F2FDF" w:rsidRDefault="00871D7D" w:rsidP="0083075A">
      <w:pPr>
        <w:pStyle w:val="rtejustify"/>
        <w:spacing w:before="0" w:after="0"/>
        <w:rPr>
          <w:color w:val="000000" w:themeColor="text1"/>
          <w:kern w:val="2"/>
          <w:sz w:val="16"/>
          <w:szCs w:val="16"/>
        </w:rPr>
      </w:pPr>
      <w:r w:rsidRPr="002F2FDF">
        <w:rPr>
          <w:color w:val="000000" w:themeColor="text1"/>
          <w:kern w:val="2"/>
          <w:sz w:val="16"/>
          <w:szCs w:val="16"/>
        </w:rPr>
        <w:t>Акционерные общества, которые состоят в связи с вышеуказанной корпорацией, доставили и доставляют рельсы русскому Министерству путей сообщения во Владивосток. Всего в продолжение войны они доставили рельсы, паровозы, вагоны, краны и другое оборудование для железных дорог на сумму 25 млн дол., и министерство было вполне довольно поставками, выполненными ими во всем согласно контрактам и без каких-либо споров или трений при исполнении этих контрактов. Эти факты упоминаются только с целью показать, что потребности России хорошо поняты и вполне удовлетворяются некоторыми американскими торговыми домами, если не всеми. Американская международная корпорация имеет в своем правлении многих из передовых финансовых и коммерческих сил в Америке, и она работает с капиталом в 50 млн дол.</w:t>
      </w:r>
    </w:p>
    <w:p w14:paraId="77C86661" w14:textId="77777777" w:rsidR="00871D7D" w:rsidRPr="002F2FDF" w:rsidRDefault="00871D7D" w:rsidP="0083075A">
      <w:pPr>
        <w:pStyle w:val="rtejustify"/>
        <w:spacing w:before="0" w:after="0"/>
        <w:rPr>
          <w:color w:val="000000" w:themeColor="text1"/>
          <w:kern w:val="2"/>
          <w:sz w:val="16"/>
          <w:szCs w:val="16"/>
        </w:rPr>
      </w:pPr>
      <w:r w:rsidRPr="002F2FDF">
        <w:rPr>
          <w:color w:val="000000" w:themeColor="text1"/>
          <w:kern w:val="2"/>
          <w:sz w:val="16"/>
          <w:szCs w:val="16"/>
        </w:rPr>
        <w:t>Половина этого основного капитала — в руках клиентов Национального Сити Банка, а этот банк представляет собой то финансовое учреждение, через посредство которого русское правительство работает с Америкой. Весь этот план предложен с единственной целью скорейшей доставки подвижного состава для России, так, чтобы она могла бы быть в состоянии использовать сполна свои собственные производительные источники во время войны, которые теперь страдают именно от недостатка в железнодорожном подвижном составе.</w:t>
      </w:r>
    </w:p>
    <w:p w14:paraId="5E0C8AC7" w14:textId="77777777" w:rsidR="00871D7D" w:rsidRPr="002F2FDF" w:rsidRDefault="00871D7D" w:rsidP="0083075A">
      <w:pPr>
        <w:pStyle w:val="rtejustify"/>
        <w:spacing w:before="0" w:after="0"/>
        <w:rPr>
          <w:color w:val="000000" w:themeColor="text1"/>
          <w:kern w:val="2"/>
          <w:sz w:val="16"/>
          <w:szCs w:val="16"/>
        </w:rPr>
      </w:pPr>
      <w:r w:rsidRPr="002F2FDF">
        <w:rPr>
          <w:color w:val="000000" w:themeColor="text1"/>
          <w:kern w:val="2"/>
          <w:sz w:val="16"/>
          <w:szCs w:val="16"/>
        </w:rPr>
        <w:t>Если Россия имела бы достаточно подвижного состава для работы всех доменных печей и для обеспечения их каменным углем и рудой, в настоящее время она могла бы сама вырабатывать много потребного для железных дорог материала, включая рельсы, даже во время войны. Это я</w:t>
      </w:r>
      <w:hyperlink r:id="rId158" w:anchor="_ftn5" w:history="1">
        <w:r w:rsidRPr="002F2FDF">
          <w:rPr>
            <w:rStyle w:val="a5"/>
            <w:color w:val="000000" w:themeColor="text1"/>
            <w:kern w:val="2"/>
            <w:sz w:val="16"/>
            <w:szCs w:val="16"/>
          </w:rPr>
          <w:t>[5]</w:t>
        </w:r>
      </w:hyperlink>
      <w:r w:rsidRPr="002F2FDF">
        <w:rPr>
          <w:color w:val="000000" w:themeColor="text1"/>
          <w:kern w:val="2"/>
          <w:sz w:val="16"/>
          <w:szCs w:val="16"/>
        </w:rPr>
        <w:t xml:space="preserve"> знаю на основании очень тщательного исследования ее железных и каменноугольных рудников, которые произведены по личному моему распоряжению. Нет надобности указывать, что обильная доставка подвижного состава в настоящее время в конце концов окажется большой экономией, так как позволила бы России самой удовлетворить в значительной мере свои надобности и сравнительно скоро развить собственную внутреннюю промышленность.</w:t>
      </w:r>
    </w:p>
    <w:p w14:paraId="2234DD1F" w14:textId="77777777" w:rsidR="00871D7D" w:rsidRPr="002F2FDF" w:rsidRDefault="00000000" w:rsidP="0083075A">
      <w:pPr>
        <w:pStyle w:val="rtejustify"/>
        <w:spacing w:before="0" w:after="0"/>
        <w:rPr>
          <w:color w:val="000000" w:themeColor="text1"/>
          <w:kern w:val="2"/>
          <w:sz w:val="16"/>
          <w:szCs w:val="16"/>
        </w:rPr>
      </w:pPr>
      <w:hyperlink r:id="rId159" w:anchor="_ftnref1" w:history="1">
        <w:r w:rsidR="00871D7D" w:rsidRPr="002F2FDF">
          <w:rPr>
            <w:rStyle w:val="a5"/>
            <w:color w:val="000000" w:themeColor="text1"/>
            <w:kern w:val="2"/>
            <w:sz w:val="16"/>
            <w:szCs w:val="16"/>
          </w:rPr>
          <w:t>[1]</w:t>
        </w:r>
      </w:hyperlink>
      <w:r w:rsidR="00871D7D" w:rsidRPr="002F2FDF">
        <w:rPr>
          <w:color w:val="000000" w:themeColor="text1"/>
          <w:kern w:val="2"/>
          <w:sz w:val="16"/>
          <w:szCs w:val="16"/>
        </w:rPr>
        <w:t xml:space="preserve"> Американская международная корпорация (American InternationalCorporation) создана по инициативе Нэшнэл Сити Бэнк оф Нью-Йорк в ноябре 1915 г. Основной капитал корпорации — 50 млн дол., задача — «исследовать новые поприща для американской предприимчивости» (АВПР, ф. Канцелярии, д. 54, л. 43). Президент Нэшнэл Сити Бэнк оф Нью-Йорк Ф. Вандерлип стал председателем ее правления. В числе 24 директоров корпорации были видные представители финансовой олигархии США.</w:t>
      </w:r>
    </w:p>
    <w:p w14:paraId="6113A628" w14:textId="77777777" w:rsidR="00871D7D" w:rsidRPr="002F2FDF" w:rsidRDefault="00000000" w:rsidP="0083075A">
      <w:pPr>
        <w:pStyle w:val="rtejustify"/>
        <w:spacing w:before="0" w:after="0"/>
        <w:rPr>
          <w:color w:val="000000" w:themeColor="text1"/>
          <w:kern w:val="2"/>
          <w:sz w:val="16"/>
          <w:szCs w:val="16"/>
        </w:rPr>
      </w:pPr>
      <w:hyperlink r:id="rId160" w:anchor="_ftnref2" w:history="1">
        <w:r w:rsidR="00871D7D" w:rsidRPr="002F2FDF">
          <w:rPr>
            <w:rStyle w:val="a5"/>
            <w:color w:val="000000" w:themeColor="text1"/>
            <w:kern w:val="2"/>
            <w:sz w:val="16"/>
            <w:szCs w:val="16"/>
          </w:rPr>
          <w:t>[2]</w:t>
        </w:r>
      </w:hyperlink>
      <w:r w:rsidR="00871D7D" w:rsidRPr="002F2FDF">
        <w:rPr>
          <w:color w:val="000000" w:themeColor="text1"/>
          <w:kern w:val="2"/>
          <w:sz w:val="16"/>
          <w:szCs w:val="16"/>
        </w:rPr>
        <w:t xml:space="preserve"> Копии меморандума были одновременно посланы министру путей сообщения</w:t>
      </w:r>
    </w:p>
    <w:p w14:paraId="49DA39B4" w14:textId="77777777" w:rsidR="00871D7D" w:rsidRPr="002F2FDF" w:rsidRDefault="00871D7D" w:rsidP="0083075A">
      <w:pPr>
        <w:pStyle w:val="rtejustify"/>
        <w:spacing w:before="0" w:after="0"/>
        <w:rPr>
          <w:color w:val="000000" w:themeColor="text1"/>
          <w:kern w:val="2"/>
          <w:sz w:val="16"/>
          <w:szCs w:val="16"/>
        </w:rPr>
      </w:pPr>
      <w:r w:rsidRPr="002F2FDF">
        <w:rPr>
          <w:color w:val="000000" w:themeColor="text1"/>
          <w:kern w:val="2"/>
          <w:sz w:val="16"/>
          <w:szCs w:val="16"/>
        </w:rPr>
        <w:t>И. В. Некрасову, в Военное министерство и Министерство иностранных дел.</w:t>
      </w:r>
    </w:p>
    <w:p w14:paraId="53E47AD1" w14:textId="77777777" w:rsidR="00871D7D" w:rsidRPr="002F2FDF" w:rsidRDefault="00000000" w:rsidP="0083075A">
      <w:pPr>
        <w:pStyle w:val="rtejustify"/>
        <w:spacing w:before="0" w:after="0"/>
        <w:rPr>
          <w:color w:val="000000" w:themeColor="text1"/>
          <w:kern w:val="2"/>
          <w:sz w:val="16"/>
          <w:szCs w:val="16"/>
        </w:rPr>
      </w:pPr>
      <w:hyperlink r:id="rId161" w:anchor="_ftnref3" w:history="1">
        <w:r w:rsidR="00871D7D" w:rsidRPr="002F2FDF">
          <w:rPr>
            <w:rStyle w:val="a5"/>
            <w:color w:val="000000" w:themeColor="text1"/>
            <w:kern w:val="2"/>
            <w:sz w:val="16"/>
            <w:szCs w:val="16"/>
          </w:rPr>
          <w:t>[3]</w:t>
        </w:r>
      </w:hyperlink>
      <w:r w:rsidR="00871D7D" w:rsidRPr="002F2FDF">
        <w:rPr>
          <w:color w:val="000000" w:themeColor="text1"/>
          <w:kern w:val="2"/>
          <w:sz w:val="16"/>
          <w:szCs w:val="16"/>
        </w:rPr>
        <w:t xml:space="preserve"> Датируется по препроводительной</w:t>
      </w:r>
    </w:p>
    <w:p w14:paraId="7F488840" w14:textId="77777777" w:rsidR="00871D7D" w:rsidRPr="002F2FDF" w:rsidRDefault="00000000" w:rsidP="0083075A">
      <w:pPr>
        <w:pStyle w:val="rtejustify"/>
        <w:spacing w:before="0" w:after="0"/>
        <w:rPr>
          <w:color w:val="000000" w:themeColor="text1"/>
          <w:kern w:val="2"/>
          <w:sz w:val="16"/>
          <w:szCs w:val="16"/>
        </w:rPr>
      </w:pPr>
      <w:hyperlink r:id="rId162" w:anchor="_ftnref4" w:history="1">
        <w:r w:rsidR="00871D7D" w:rsidRPr="002F2FDF">
          <w:rPr>
            <w:rStyle w:val="a5"/>
            <w:color w:val="000000" w:themeColor="text1"/>
            <w:kern w:val="2"/>
            <w:sz w:val="16"/>
            <w:szCs w:val="16"/>
          </w:rPr>
          <w:t>[4]</w:t>
        </w:r>
      </w:hyperlink>
      <w:r w:rsidR="00871D7D" w:rsidRPr="002F2FDF">
        <w:rPr>
          <w:color w:val="000000" w:themeColor="text1"/>
          <w:kern w:val="2"/>
          <w:sz w:val="16"/>
          <w:szCs w:val="16"/>
        </w:rPr>
        <w:t xml:space="preserve"> Нэшнэл Сити Бэнк оф Нью-Йорк (National City Bank of New York) — один из старейших и могущественных банков США, организован в 1812 г., принимал активное участие в заграничных операциях. В январе 1917 г. Нэшнэл Сити Бэнк оф Нью-Йорк открыл свое отделение в Петрограде с капиталом в 50 млн дол. Находившийся в России с начала войны представитель этого банка — Мезерв — стал главой отделения.</w:t>
      </w:r>
    </w:p>
    <w:p w14:paraId="1CA007C6" w14:textId="77777777" w:rsidR="00871D7D" w:rsidRPr="002F2FDF" w:rsidRDefault="00000000" w:rsidP="0083075A">
      <w:pPr>
        <w:pStyle w:val="rtejustify"/>
        <w:spacing w:before="0" w:after="0"/>
        <w:rPr>
          <w:color w:val="000000" w:themeColor="text1"/>
          <w:kern w:val="2"/>
          <w:sz w:val="16"/>
          <w:szCs w:val="16"/>
        </w:rPr>
      </w:pPr>
      <w:hyperlink r:id="rId163" w:anchor="_ftnref5" w:history="1">
        <w:r w:rsidR="00871D7D" w:rsidRPr="002F2FDF">
          <w:rPr>
            <w:rStyle w:val="a5"/>
            <w:color w:val="000000" w:themeColor="text1"/>
            <w:kern w:val="2"/>
            <w:sz w:val="16"/>
            <w:szCs w:val="16"/>
          </w:rPr>
          <w:t>[5]</w:t>
        </w:r>
      </w:hyperlink>
      <w:r w:rsidR="00871D7D" w:rsidRPr="002F2FDF">
        <w:rPr>
          <w:color w:val="000000" w:themeColor="text1"/>
          <w:kern w:val="2"/>
          <w:sz w:val="16"/>
          <w:szCs w:val="16"/>
        </w:rPr>
        <w:t xml:space="preserve"> Вероятно, меморандум составлен Ф. Хольбруком, вице-президентом Американской международной корпорации (15162).</w:t>
      </w:r>
    </w:p>
    <w:p w14:paraId="4256E89B" w14:textId="77777777" w:rsidR="00871D7D" w:rsidRPr="002F2FDF" w:rsidRDefault="00871D7D"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1B266C8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C1F73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918AC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мая 1917 Анри Петен (будущий глава профашистского правительства Франции) назначен главнокомандующим французской армии (4962).</w:t>
      </w:r>
    </w:p>
    <w:p w14:paraId="638554B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111189" w14:textId="77777777" w:rsidR="00F60B3C" w:rsidRPr="002F2FDF" w:rsidRDefault="00F60B3C" w:rsidP="0083075A">
      <w:pPr>
        <w:pStyle w:val="ae"/>
        <w:spacing w:before="0" w:after="0"/>
        <w:jc w:val="both"/>
        <w:rPr>
          <w:color w:val="000000" w:themeColor="text1"/>
          <w:kern w:val="2"/>
          <w:sz w:val="16"/>
          <w:szCs w:val="16"/>
        </w:rPr>
      </w:pPr>
      <w:r w:rsidRPr="002F2FDF">
        <w:rPr>
          <w:color w:val="000000" w:themeColor="text1"/>
          <w:kern w:val="2"/>
          <w:sz w:val="16"/>
          <w:szCs w:val="16"/>
        </w:rPr>
        <w:t>4 (17) мая 1917 новым главнокомандующим французской армии был назначен генерал Анри Петэн — «герой Вердена» и будущий премьер-министр Франции. Первую мировую он закончит в звании маршала как один из ее победителей, но в годы Второй мировой пойдет на сотрудничество с Гитлером, возглавив коллаборационистское правительство Франции, известное как «режим Виши». Именно Петэн считается автором самого понятия коллаборационизм — сознательного сотрудничества с врагом. По итогам Второй мировой он будет приговорен французским судом к казни за государственную измену и военные преступления, которая будет заменена на пожизненное заключение. Петэн окончит свою жизнь в 1951 году в 95-летнем возрасте в тюремной больнице.</w:t>
      </w:r>
    </w:p>
    <w:p w14:paraId="62DA68B1" w14:textId="77777777" w:rsidR="00F60B3C" w:rsidRPr="002F2FDF" w:rsidRDefault="00F60B3C" w:rsidP="0083075A">
      <w:pPr>
        <w:pStyle w:val="ae"/>
        <w:spacing w:before="0" w:after="0"/>
        <w:jc w:val="both"/>
        <w:rPr>
          <w:color w:val="000000" w:themeColor="text1"/>
          <w:kern w:val="2"/>
          <w:sz w:val="16"/>
          <w:szCs w:val="16"/>
        </w:rPr>
      </w:pPr>
      <w:r w:rsidRPr="002F2FDF">
        <w:rPr>
          <w:color w:val="000000" w:themeColor="text1"/>
          <w:kern w:val="2"/>
          <w:sz w:val="16"/>
          <w:szCs w:val="16"/>
        </w:rPr>
        <w:t>Как отметил британский военный историк Нейл Грант, «правительство устало от политики Нивеля, которая сочетала в себе безрассудство с упрямством», и привела не только к провалу тщательно планировавшегося наступления, но и к серьезным солдатским волнениям. Петэн потратил почти месяц на посещение позиций на передовой, выслушивал жалобы офицеров и рядовых, пытаясь быть справедливым, но в то же время твердым. Он сумел восстановить авторитет командования и дисциплину во французской армии, на солдат которой также произвели впечатления события в революционной России. Многие «бунтовщики» были осуждены и даже расстреляны, но при этом были созданы дополнительные лагеря отдыха для солдат. Также Петэн распорядился о предоставлении солдатам большего количества отпусков, ограничивая время их пребывания в окопах. Новый главнокомандующий заверил войска, что в ближайшее время не будет предпринимать крупных наступлений, а когда к такому подготовятся — упор будет сделан на огневую мощь, а не на закидывание врага солдатским «мясом». Военный министр Пенлеве, в свою очередь, объявил о новой стратегии французского командования на Западном фронте: «Это должна быть война техники во всех ее видах, которая должна дать все, что можно из нее выжать, не требуя невозможного от человека».</w:t>
      </w:r>
    </w:p>
    <w:p w14:paraId="6FEF49C8" w14:textId="77777777" w:rsidR="00F60B3C" w:rsidRPr="002F2FDF" w:rsidRDefault="00F60B3C" w:rsidP="0083075A">
      <w:pPr>
        <w:pStyle w:val="ae"/>
        <w:spacing w:before="0" w:after="0"/>
        <w:jc w:val="both"/>
        <w:rPr>
          <w:color w:val="000000" w:themeColor="text1"/>
          <w:kern w:val="2"/>
          <w:sz w:val="16"/>
          <w:szCs w:val="16"/>
        </w:rPr>
      </w:pPr>
      <w:r w:rsidRPr="002F2FDF">
        <w:rPr>
          <w:color w:val="000000" w:themeColor="text1"/>
          <w:kern w:val="2"/>
          <w:sz w:val="16"/>
          <w:szCs w:val="16"/>
        </w:rPr>
        <w:t>В свою очередь, британцы тоже воспользовались сменой французского главнокомандующего и заявили о выходе их частей на Западном фронте из прямого подчинения французам, восстановив оперативную самостоятельность. В частности, не смотря на прекращение французского наступления, они до 20 мая продолжали кровопролитные бои с немцами на самом севере Франции в районе деревни Белькур (в 10 километрах к юго-востоку от Арраса) (17045).</w:t>
      </w:r>
    </w:p>
    <w:p w14:paraId="49EE64AF" w14:textId="77777777" w:rsidR="00F60B3C" w:rsidRPr="002F2FDF" w:rsidRDefault="00F60B3C"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995E1F" w14:textId="77777777" w:rsidR="005505D2" w:rsidRPr="002F2FDF" w:rsidRDefault="005505D2" w:rsidP="0083075A">
      <w:pPr>
        <w:spacing w:after="0" w:line="240" w:lineRule="auto"/>
        <w:jc w:val="both"/>
        <w:rPr>
          <w:rFonts w:ascii="Times New Roman" w:hAnsi="Times New Roman" w:cs="Times New Roman"/>
          <w:color w:val="000000" w:themeColor="text1"/>
          <w:kern w:val="2"/>
          <w:sz w:val="16"/>
          <w:szCs w:val="16"/>
          <w:u w:color="002060"/>
        </w:rPr>
      </w:pPr>
      <w:r w:rsidRPr="002F2FDF">
        <w:rPr>
          <w:rFonts w:ascii="Times New Roman" w:hAnsi="Times New Roman" w:cs="Times New Roman"/>
          <w:color w:val="000000" w:themeColor="text1"/>
          <w:kern w:val="2"/>
          <w:sz w:val="16"/>
          <w:szCs w:val="16"/>
          <w:u w:color="002060"/>
        </w:rPr>
        <w:t>4 (17) мая 1917 г. в Германии шасси с устраненными неисправностями и смонтированным на нем деревянным макетом броневого корпуса было представлено на испытания. Положительные результаты испытаний позволили комиссии подтвердить выданный ранее заказ на 100 машин и рекомендовать срочно сформировать два отделения по десять танков в каждом (12148).</w:t>
      </w:r>
    </w:p>
    <w:p w14:paraId="6BBCAF37" w14:textId="77777777" w:rsidR="005505D2" w:rsidRPr="002F2FDF" w:rsidRDefault="005505D2" w:rsidP="0083075A">
      <w:pPr>
        <w:spacing w:after="0" w:line="240" w:lineRule="auto"/>
        <w:jc w:val="both"/>
        <w:rPr>
          <w:rFonts w:ascii="Times New Roman" w:hAnsi="Times New Roman" w:cs="Times New Roman"/>
          <w:color w:val="000000" w:themeColor="text1"/>
          <w:kern w:val="2"/>
          <w:sz w:val="16"/>
          <w:szCs w:val="16"/>
          <w:u w:color="002060"/>
        </w:rPr>
      </w:pPr>
    </w:p>
    <w:p w14:paraId="409AB6A9" w14:textId="77777777" w:rsidR="00F460DA" w:rsidRPr="002F2FDF" w:rsidRDefault="00F460D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 xml:space="preserve">4 (17) мая 1917 г. британские миноносцы </w:t>
      </w:r>
      <w:r w:rsidRPr="002F2FDF">
        <w:rPr>
          <w:rFonts w:ascii="Times New Roman" w:hAnsi="Times New Roman" w:cs="Times New Roman"/>
          <w:bCs/>
          <w:iCs/>
          <w:color w:val="000000" w:themeColor="text1"/>
          <w:kern w:val="2"/>
          <w:sz w:val="16"/>
          <w:szCs w:val="16"/>
        </w:rPr>
        <w:t>Setter</w:t>
      </w:r>
      <w:r w:rsidRPr="002F2FDF">
        <w:rPr>
          <w:rFonts w:ascii="Times New Roman" w:hAnsi="Times New Roman" w:cs="Times New Roman"/>
          <w:color w:val="000000" w:themeColor="text1"/>
          <w:kern w:val="2"/>
          <w:sz w:val="16"/>
          <w:szCs w:val="16"/>
        </w:rPr>
        <w:t xml:space="preserve"> и </w:t>
      </w:r>
      <w:r w:rsidRPr="002F2FDF">
        <w:rPr>
          <w:rFonts w:ascii="Times New Roman" w:hAnsi="Times New Roman" w:cs="Times New Roman"/>
          <w:bCs/>
          <w:iCs/>
          <w:color w:val="000000" w:themeColor="text1"/>
          <w:kern w:val="2"/>
          <w:sz w:val="16"/>
          <w:szCs w:val="16"/>
        </w:rPr>
        <w:t>Sylphслучайно</w:t>
      </w:r>
      <w:r w:rsidRPr="002F2FDF">
        <w:rPr>
          <w:rFonts w:ascii="Times New Roman" w:hAnsi="Times New Roman" w:cs="Times New Roman"/>
          <w:color w:val="000000" w:themeColor="text1"/>
          <w:kern w:val="2"/>
          <w:sz w:val="16"/>
          <w:szCs w:val="16"/>
        </w:rPr>
        <w:t xml:space="preserve"> столкнулись, миноносец </w:t>
      </w:r>
      <w:r w:rsidRPr="002F2FDF">
        <w:rPr>
          <w:rFonts w:ascii="Times New Roman" w:hAnsi="Times New Roman" w:cs="Times New Roman"/>
          <w:bCs/>
          <w:iCs/>
          <w:color w:val="000000" w:themeColor="text1"/>
          <w:kern w:val="2"/>
          <w:sz w:val="16"/>
          <w:szCs w:val="16"/>
        </w:rPr>
        <w:t>Setter</w:t>
      </w:r>
      <w:r w:rsidRPr="002F2FDF">
        <w:rPr>
          <w:rFonts w:ascii="Times New Roman" w:hAnsi="Times New Roman" w:cs="Times New Roman"/>
          <w:color w:val="000000" w:themeColor="text1"/>
          <w:kern w:val="2"/>
          <w:sz w:val="16"/>
          <w:szCs w:val="16"/>
        </w:rPr>
        <w:t xml:space="preserve"> затонул (17326).</w:t>
      </w:r>
    </w:p>
    <w:p w14:paraId="0A5E379B" w14:textId="77777777" w:rsidR="00F460DA" w:rsidRPr="002F2FDF" w:rsidRDefault="00F460D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87F05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91C8B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257E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мая 1917 был испытан переделанный Анадва тип ВХ (Анатра-Хиони), на который поставили два фюзеляжа от Анасаля с двумя двигателями Сальмсон по 140 нр. На машине помимо военных летчиков летал и сам В.Н.Хиони (553,81). Первые испытания были окончены 9 (22) июля 1916, когда был подписан акт об испытаниях Анадва тип ВХ (Анатра-Хиони) с двумя двигателями Гном-Моносупан по 100 нр, которые начались 30 июня 1916. Повторные испытания не выявили преимуществ двухвостки перед обычными машинами, но решили, что на фронте они пригодятся (2843,12).</w:t>
      </w:r>
    </w:p>
    <w:p w14:paraId="647874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0732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мая 1917 г. закончились опыты со вторым прототипом"Анатра-Хиони" №4, "Двухвостка" и "Двухвостка Хиони"</w:t>
      </w:r>
      <w:r w:rsidRPr="002F2FDF">
        <w:rPr>
          <w:rFonts w:ascii="Times New Roman" w:hAnsi="Times New Roman" w:cs="Times New Roman"/>
          <w:bCs/>
          <w:color w:val="000000" w:themeColor="text1"/>
          <w:kern w:val="2"/>
          <w:sz w:val="16"/>
          <w:szCs w:val="16"/>
        </w:rPr>
        <w:t>,</w:t>
      </w:r>
      <w:r w:rsidRPr="002F2FDF">
        <w:rPr>
          <w:rFonts w:ascii="Times New Roman" w:hAnsi="Times New Roman" w:cs="Times New Roman"/>
          <w:color w:val="000000" w:themeColor="text1"/>
          <w:kern w:val="2"/>
          <w:sz w:val="16"/>
          <w:szCs w:val="16"/>
        </w:rPr>
        <w:t xml:space="preserve"> не выявив никаких преимуществ "Двухвостки" перед обычными одномоторными самолетами. Все же было решено, что на фронте аэропланы столь необыч</w:t>
      </w:r>
      <w:r w:rsidRPr="002F2FDF">
        <w:rPr>
          <w:rFonts w:ascii="Times New Roman" w:hAnsi="Times New Roman" w:cs="Times New Roman"/>
          <w:color w:val="000000" w:themeColor="text1"/>
          <w:kern w:val="2"/>
          <w:sz w:val="16"/>
          <w:szCs w:val="16"/>
        </w:rPr>
        <w:softHyphen/>
        <w:t>ной схемы пригодились бы в роли легких бомбардировщиков, а потому 3 ноября 1917 г. 50 машин данной модели были заказаны для Эскадры воздушных кораблей, страдавшей от не</w:t>
      </w:r>
      <w:r w:rsidRPr="002F2FDF">
        <w:rPr>
          <w:rFonts w:ascii="Times New Roman" w:hAnsi="Times New Roman" w:cs="Times New Roman"/>
          <w:color w:val="000000" w:themeColor="text1"/>
          <w:kern w:val="2"/>
          <w:sz w:val="16"/>
          <w:szCs w:val="16"/>
        </w:rPr>
        <w:softHyphen/>
        <w:t>регулярных поставок многомоторных "Муромцев" производства Р-БВЗ. Контракту не суж</w:t>
      </w:r>
      <w:r w:rsidRPr="002F2FDF">
        <w:rPr>
          <w:rFonts w:ascii="Times New Roman" w:hAnsi="Times New Roman" w:cs="Times New Roman"/>
          <w:color w:val="000000" w:themeColor="text1"/>
          <w:kern w:val="2"/>
          <w:sz w:val="16"/>
          <w:szCs w:val="16"/>
        </w:rPr>
        <w:softHyphen/>
        <w:t>дено было осуществиться, но после гражданской войны в 1921 г. В.Н. Хиони сумел отре</w:t>
      </w:r>
      <w:r w:rsidRPr="002F2FDF">
        <w:rPr>
          <w:rFonts w:ascii="Times New Roman" w:hAnsi="Times New Roman" w:cs="Times New Roman"/>
          <w:color w:val="000000" w:themeColor="text1"/>
          <w:kern w:val="2"/>
          <w:sz w:val="16"/>
          <w:szCs w:val="16"/>
        </w:rPr>
        <w:softHyphen/>
        <w:t>монтировать один из прототипов, установить на нем двигатели "Сальмсон" 160 л.с. и пере</w:t>
      </w:r>
      <w:r w:rsidRPr="002F2FDF">
        <w:rPr>
          <w:rFonts w:ascii="Times New Roman" w:hAnsi="Times New Roman" w:cs="Times New Roman"/>
          <w:color w:val="000000" w:themeColor="text1"/>
          <w:kern w:val="2"/>
          <w:sz w:val="16"/>
          <w:szCs w:val="16"/>
        </w:rPr>
        <w:softHyphen/>
        <w:t>лететь в Москву, где аппарат эксплуатировался вплоть до 1923 г. (2843).</w:t>
      </w:r>
    </w:p>
    <w:p w14:paraId="3B1878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D8E3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мая 1917 в Жмеринке двухместный разведчик-биплан И.И.Диля с изменяемым в полете углом установки крыльев потерпел аварию, не выйдя в крене из разворота. После поломки ремонтировали. Диль потом был у белых, делал самолет в Сибири и иммигрировал в США, где продолжал конструирование (92,185).</w:t>
      </w:r>
    </w:p>
    <w:p w14:paraId="7F9E65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BBD64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мая 1917 года проходили испытания биплана младшего механика 6-го авиапарка унтер-офицера Ивана Ивановича Диль. В полете по прямой все шло хорошо, но при попыт</w:t>
      </w:r>
      <w:r w:rsidRPr="002F2FDF">
        <w:rPr>
          <w:rFonts w:ascii="Times New Roman" w:hAnsi="Times New Roman" w:cs="Times New Roman"/>
          <w:color w:val="000000" w:themeColor="text1"/>
          <w:kern w:val="2"/>
          <w:sz w:val="16"/>
          <w:szCs w:val="16"/>
        </w:rPr>
        <w:softHyphen/>
        <w:t>ке поворота самолет не вышел из крена и получил повреждения. В июле его отремонтировали. О даль</w:t>
      </w:r>
      <w:r w:rsidRPr="002F2FDF">
        <w:rPr>
          <w:rFonts w:ascii="Times New Roman" w:hAnsi="Times New Roman" w:cs="Times New Roman"/>
          <w:color w:val="000000" w:themeColor="text1"/>
          <w:kern w:val="2"/>
          <w:sz w:val="16"/>
          <w:szCs w:val="16"/>
        </w:rPr>
        <w:softHyphen/>
        <w:t>нейшей судьбе аэроплана сведений нет (553).</w:t>
      </w:r>
    </w:p>
    <w:p w14:paraId="1319531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6410A2" w14:textId="2E34C03A" w:rsidR="00A616FB" w:rsidRPr="00FB4F67" w:rsidRDefault="00A616F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5 </w:t>
      </w:r>
      <w:r>
        <w:rPr>
          <w:rFonts w:ascii="Times New Roman" w:hAnsi="Times New Roman" w:cs="Times New Roman"/>
          <w:color w:val="0070C0"/>
          <w:sz w:val="16"/>
          <w:szCs w:val="16"/>
        </w:rPr>
        <w:t xml:space="preserve">(18) </w:t>
      </w:r>
      <w:r w:rsidRPr="00FB4F67">
        <w:rPr>
          <w:rFonts w:ascii="Times New Roman" w:hAnsi="Times New Roman" w:cs="Times New Roman"/>
          <w:color w:val="0070C0"/>
          <w:sz w:val="16"/>
          <w:szCs w:val="16"/>
        </w:rPr>
        <w:t xml:space="preserve">мая 1917 г. при испытаниях в Жмеринке </w:t>
      </w:r>
      <w:bookmarkStart w:id="109" w:name="bookmark196"/>
      <w:r w:rsidRPr="00FB4F67">
        <w:rPr>
          <w:rFonts w:ascii="Times New Roman" w:hAnsi="Times New Roman" w:cs="Times New Roman"/>
          <w:color w:val="0070C0"/>
          <w:sz w:val="16"/>
          <w:szCs w:val="16"/>
        </w:rPr>
        <w:t>Биплан Диля</w:t>
      </w:r>
      <w:bookmarkEnd w:id="109"/>
      <w:r w:rsidRPr="00FB4F67">
        <w:rPr>
          <w:rFonts w:ascii="Times New Roman" w:hAnsi="Times New Roman" w:cs="Times New Roman"/>
          <w:color w:val="0070C0"/>
          <w:sz w:val="16"/>
          <w:szCs w:val="16"/>
        </w:rPr>
        <w:t xml:space="preserve"> - двухмест</w:t>
      </w:r>
      <w:r w:rsidRPr="00FB4F67">
        <w:rPr>
          <w:rFonts w:ascii="Times New Roman" w:hAnsi="Times New Roman" w:cs="Times New Roman"/>
          <w:color w:val="0070C0"/>
          <w:sz w:val="16"/>
          <w:szCs w:val="16"/>
        </w:rPr>
        <w:softHyphen/>
        <w:t>ный биплан с ротативным двигателем «Рон» 80 л.с., предназначенный к исполь</w:t>
      </w:r>
      <w:r w:rsidRPr="00FB4F67">
        <w:rPr>
          <w:rFonts w:ascii="Times New Roman" w:hAnsi="Times New Roman" w:cs="Times New Roman"/>
          <w:color w:val="0070C0"/>
          <w:sz w:val="16"/>
          <w:szCs w:val="16"/>
        </w:rPr>
        <w:softHyphen/>
        <w:t>зованию в качестве разведчика и с меха</w:t>
      </w:r>
      <w:r w:rsidRPr="00FB4F67">
        <w:rPr>
          <w:rFonts w:ascii="Times New Roman" w:hAnsi="Times New Roman" w:cs="Times New Roman"/>
          <w:color w:val="0070C0"/>
          <w:sz w:val="16"/>
          <w:szCs w:val="16"/>
        </w:rPr>
        <w:softHyphen/>
        <w:t>низм изменения угла установки крыльев, потерпел аварию.</w:t>
      </w:r>
    </w:p>
    <w:p w14:paraId="20DEF710" w14:textId="77777777" w:rsidR="00A616FB" w:rsidRPr="00FB4F67" w:rsidRDefault="00A616F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 началом гражданской войны Диль при</w:t>
      </w:r>
      <w:r w:rsidRPr="00FB4F67">
        <w:rPr>
          <w:rFonts w:ascii="Times New Roman" w:hAnsi="Times New Roman" w:cs="Times New Roman"/>
          <w:color w:val="0070C0"/>
          <w:sz w:val="16"/>
          <w:szCs w:val="16"/>
        </w:rPr>
        <w:softHyphen/>
        <w:t>мкнул к Белому движению. В 1919 г., нахо</w:t>
      </w:r>
      <w:r w:rsidRPr="00FB4F67">
        <w:rPr>
          <w:rFonts w:ascii="Times New Roman" w:hAnsi="Times New Roman" w:cs="Times New Roman"/>
          <w:color w:val="0070C0"/>
          <w:sz w:val="16"/>
          <w:szCs w:val="16"/>
        </w:rPr>
        <w:softHyphen/>
        <w:t>дясь в армии Колчака, построил в Омске биплан с крылом, имеющим механизм из</w:t>
      </w:r>
      <w:r w:rsidRPr="00FB4F67">
        <w:rPr>
          <w:rFonts w:ascii="Times New Roman" w:hAnsi="Times New Roman" w:cs="Times New Roman"/>
          <w:color w:val="0070C0"/>
          <w:sz w:val="16"/>
          <w:szCs w:val="16"/>
        </w:rPr>
        <w:softHyphen/>
        <w:t>менения угла атаки. Самолет, оснащенный двигателем «Рон» 110 л.с. успешно летал и даже рекомендовался к принятию на во</w:t>
      </w:r>
      <w:r w:rsidRPr="00FB4F67">
        <w:rPr>
          <w:rFonts w:ascii="Times New Roman" w:hAnsi="Times New Roman" w:cs="Times New Roman"/>
          <w:color w:val="0070C0"/>
          <w:sz w:val="16"/>
          <w:szCs w:val="16"/>
        </w:rPr>
        <w:softHyphen/>
        <w:t>оружение.</w:t>
      </w:r>
    </w:p>
    <w:p w14:paraId="24B8DCFB" w14:textId="77777777" w:rsidR="00A616FB" w:rsidRPr="00FB4F67" w:rsidRDefault="00A616F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1920-х годов И.И. Диль нахо</w:t>
      </w:r>
      <w:r w:rsidRPr="00FB4F67">
        <w:rPr>
          <w:rFonts w:ascii="Times New Roman" w:hAnsi="Times New Roman" w:cs="Times New Roman"/>
          <w:color w:val="0070C0"/>
          <w:sz w:val="16"/>
          <w:szCs w:val="16"/>
        </w:rPr>
        <w:softHyphen/>
        <w:t>дился в Маньчжурии (Китай), где ему уда</w:t>
      </w:r>
      <w:r w:rsidRPr="00FB4F67">
        <w:rPr>
          <w:rFonts w:ascii="Times New Roman" w:hAnsi="Times New Roman" w:cs="Times New Roman"/>
          <w:color w:val="0070C0"/>
          <w:sz w:val="16"/>
          <w:szCs w:val="16"/>
        </w:rPr>
        <w:softHyphen/>
        <w:t>лось построить еще несколько успешно ле</w:t>
      </w:r>
      <w:r w:rsidRPr="00FB4F67">
        <w:rPr>
          <w:rFonts w:ascii="Times New Roman" w:hAnsi="Times New Roman" w:cs="Times New Roman"/>
          <w:color w:val="0070C0"/>
          <w:sz w:val="16"/>
          <w:szCs w:val="16"/>
        </w:rPr>
        <w:softHyphen/>
        <w:t>тающих аппаратов. В 1924 г. эмигрировал в США (24474).</w:t>
      </w:r>
    </w:p>
    <w:p w14:paraId="63025D8D" w14:textId="77777777" w:rsidR="00A616FB" w:rsidRPr="00FB4F67" w:rsidRDefault="00A616FB" w:rsidP="0083075A">
      <w:pPr>
        <w:spacing w:after="0" w:line="240" w:lineRule="auto"/>
        <w:jc w:val="both"/>
        <w:rPr>
          <w:rFonts w:ascii="Times New Roman" w:hAnsi="Times New Roman" w:cs="Times New Roman"/>
          <w:color w:val="0070C0"/>
          <w:sz w:val="16"/>
          <w:szCs w:val="16"/>
        </w:rPr>
      </w:pPr>
    </w:p>
    <w:p w14:paraId="4D966536" w14:textId="77777777"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мая в 1917 году первый полет двухместного разведчика биплана с изменяемым в полете углом установки коробки крыльев механика Гатчинской авиашколы Ивана Ивановича Диля. Начало конструкторской деятельности унтер-офицера Диля относится к 1916 году, когда он участвовал в создании модифицированного самолета "Вуазен" летчика П.Иванова. В период 1916 - 1917 годы Диль построил двухместный биплан с ротативным двигателем "Рон" 80 л.с. Самолет, предназначенный к использованию в качестве разведчика, имел механизм изменения угла установки крыльев. В первом же полете 5 мая 1917 года в Жмеринке самолет потерпел аварию, не выйдя из крена на развороте. После аварии самолет ремонтировался. На этом все сведения о нем исчерпываются. С началом гражданской войны Диль примкнул к белому движению. В 1919 году, находясь в армии Колчака, построил в Омске биплан с крылом, имеющим механизм изменения угла атаки. Самолет, оснащенный двигателем "Рон" 110 л.с. успешно летал и даже рекомендовался к принятию на вооружение. В начале 1920-х годов И.И.Диль находился в Маньчжурии (Китай). В 1921 построил первый аэроплан на китайской территории и основал в Маньчжурии первую летную школу. В 1924 переселился в США. Получил два патента на свои аэропланы с меняющимся углом атаки крыла и складывающимися крыльями. Ему также принадлежит патент пропеллера с меняющимся ходом (14882).</w:t>
      </w:r>
    </w:p>
    <w:p w14:paraId="1DB5B51E" w14:textId="77777777" w:rsidR="00871D7D" w:rsidRPr="002F2FDF" w:rsidRDefault="00871D7D" w:rsidP="0083075A">
      <w:pPr>
        <w:spacing w:after="0" w:line="240" w:lineRule="auto"/>
        <w:jc w:val="both"/>
        <w:rPr>
          <w:rFonts w:ascii="Times New Roman" w:hAnsi="Times New Roman" w:cs="Times New Roman"/>
          <w:color w:val="000000" w:themeColor="text1"/>
          <w:kern w:val="2"/>
          <w:sz w:val="16"/>
          <w:szCs w:val="16"/>
        </w:rPr>
      </w:pPr>
    </w:p>
    <w:p w14:paraId="5EF1F3F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мая 1917 Технический ко</w:t>
      </w:r>
      <w:r w:rsidRPr="002F2FDF">
        <w:rPr>
          <w:rFonts w:ascii="Times New Roman" w:hAnsi="Times New Roman" w:cs="Times New Roman"/>
          <w:color w:val="000000" w:themeColor="text1"/>
          <w:kern w:val="2"/>
          <w:sz w:val="16"/>
          <w:szCs w:val="16"/>
        </w:rPr>
        <w:softHyphen/>
        <w:t>митет отметил в своем заключении, что, судя по описа</w:t>
      </w:r>
      <w:r w:rsidRPr="002F2FDF">
        <w:rPr>
          <w:rFonts w:ascii="Times New Roman" w:hAnsi="Times New Roman" w:cs="Times New Roman"/>
          <w:color w:val="000000" w:themeColor="text1"/>
          <w:kern w:val="2"/>
          <w:sz w:val="16"/>
          <w:szCs w:val="16"/>
        </w:rPr>
        <w:softHyphen/>
        <w:t>нию, новый самолет Матиала, судя по описанию (по сути, эскизному проекту) под двигатель “Испано-Сюиза” в 200 л.с., не превосходит “Фарман XXX” по своим летным данным, которые являются недостаточными для корпусных аппара</w:t>
      </w:r>
      <w:r w:rsidRPr="002F2FDF">
        <w:rPr>
          <w:rFonts w:ascii="Times New Roman" w:hAnsi="Times New Roman" w:cs="Times New Roman"/>
          <w:color w:val="000000" w:themeColor="text1"/>
          <w:kern w:val="2"/>
          <w:sz w:val="16"/>
          <w:szCs w:val="16"/>
        </w:rPr>
        <w:softHyphen/>
        <w:t>тов. “Матиас” предлагал улучшить характеристики самолета, но за</w:t>
      </w:r>
      <w:r w:rsidRPr="002F2FDF">
        <w:rPr>
          <w:rFonts w:ascii="Times New Roman" w:hAnsi="Times New Roman" w:cs="Times New Roman"/>
          <w:color w:val="000000" w:themeColor="text1"/>
          <w:kern w:val="2"/>
          <w:sz w:val="16"/>
          <w:szCs w:val="16"/>
        </w:rPr>
        <w:softHyphen/>
        <w:t>казчик выразил сомнение в способности трудившихся на фирме конструкторов быстро справиться с такой задачей. Вместо этого тех</w:t>
      </w:r>
      <w:r w:rsidRPr="002F2FDF">
        <w:rPr>
          <w:rFonts w:ascii="Times New Roman" w:hAnsi="Times New Roman" w:cs="Times New Roman"/>
          <w:color w:val="000000" w:themeColor="text1"/>
          <w:kern w:val="2"/>
          <w:sz w:val="16"/>
          <w:szCs w:val="16"/>
        </w:rPr>
        <w:softHyphen/>
        <w:t>нический комитет рекомендовал строить в Бердянске один из “фран</w:t>
      </w:r>
      <w:r w:rsidRPr="002F2FDF">
        <w:rPr>
          <w:rFonts w:ascii="Times New Roman" w:hAnsi="Times New Roman" w:cs="Times New Roman"/>
          <w:color w:val="000000" w:themeColor="text1"/>
          <w:kern w:val="2"/>
          <w:sz w:val="16"/>
          <w:szCs w:val="16"/>
        </w:rPr>
        <w:softHyphen/>
        <w:t>цузских образцов” под тот же мотор “Испано-Сюиза”. Выбор пал на разведчик “Спад XIV”, характеристики которого вполне соответство</w:t>
      </w:r>
      <w:r w:rsidRPr="002F2FDF">
        <w:rPr>
          <w:rFonts w:ascii="Times New Roman" w:hAnsi="Times New Roman" w:cs="Times New Roman"/>
          <w:color w:val="000000" w:themeColor="text1"/>
          <w:kern w:val="2"/>
          <w:sz w:val="16"/>
          <w:szCs w:val="16"/>
        </w:rPr>
        <w:softHyphen/>
        <w:t>вали требованиям. 13 июня подписали контракт № 38231/17853 на общую сумму 3411780 руб., по которому в течение сентября-декабря 1917 г. следовало поставить 200 таких самолетов с запчастями. Таким образом, объем твердых заказов для “Матиаса” составил 300 самоле</w:t>
      </w:r>
      <w:r w:rsidRPr="002F2FDF">
        <w:rPr>
          <w:rFonts w:ascii="Times New Roman" w:hAnsi="Times New Roman" w:cs="Times New Roman"/>
          <w:color w:val="000000" w:themeColor="text1"/>
          <w:kern w:val="2"/>
          <w:sz w:val="16"/>
          <w:szCs w:val="16"/>
        </w:rPr>
        <w:softHyphen/>
        <w:t>тов — вдвое меньше против изначально планируемого (11154).</w:t>
      </w:r>
    </w:p>
    <w:p w14:paraId="03297A8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4DD25F" w14:textId="77777777" w:rsidR="00F00ABE"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98C7E19" w14:textId="77777777" w:rsidR="00F00ABE" w:rsidRPr="002F2FDF" w:rsidRDefault="00F00ABE"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CE7207" w14:textId="77777777" w:rsidR="00F00ABE" w:rsidRPr="002F2FDF" w:rsidRDefault="00F00ABE"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мая</w:t>
      </w:r>
      <w:r w:rsidRPr="002F2FDF">
        <w:rPr>
          <w:rFonts w:ascii="Times New Roman" w:hAnsi="Times New Roman" w:cs="Times New Roman"/>
          <w:bCs/>
          <w:color w:val="000000" w:themeColor="text1"/>
          <w:kern w:val="2"/>
          <w:sz w:val="16"/>
          <w:szCs w:val="16"/>
        </w:rPr>
        <w:t xml:space="preserve"> 1917 Колчак отвёз Керенского на миноносце в Одессу, а сам проехал в Николаев, где всё ещё достраивались два дредноута. Рабочие не столько работали, сколько митинговали, и надежд на окончание работ было мало. Хотя один из дредноутов, «Александр III», переименованный в «Волю», был очень близок к достройке и даже укомплектован командой. Колчак лично занимался этим вопросом, стараясь собрать на броненосце наиболее надёжных матросов и в дальнейшем противопоставить его всё более распускавшейся команде «Свободной России» (бывшей «Екатерине Великой»). Но когда чудом достроенный дредноут 15 июня (уже после отставки Колчака) вышел в море, на нём развевалась целая вереница флагов – кроме Андреевского, ещё и красные, чёрные (анархистов) и «жовтно-блакитные» самостийной Украины (17326).</w:t>
      </w:r>
    </w:p>
    <w:p w14:paraId="03F9546F" w14:textId="77777777" w:rsidR="00F00ABE" w:rsidRPr="002F2FDF" w:rsidRDefault="00F00ABE"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28CA4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AE559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B748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мая 1917 л БФ мичманы Р.Н.Кроун и Н.В.Румянцев на двух гидросамолетах вели воздушный бой с двумя Фоккерами. румянцев был ранен и сел на воду. Кроун спустился рядом и взял Румянцева и механика под обстрелом Фоккеров. Долетели благополучно (438,356).</w:t>
      </w:r>
    </w:p>
    <w:p w14:paraId="0163CA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6174A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мая 1917 летчики Бэлтийского флоте мичманы Роман Николае</w:t>
      </w:r>
      <w:r w:rsidRPr="002F2FDF">
        <w:rPr>
          <w:rFonts w:ascii="Times New Roman" w:hAnsi="Times New Roman" w:cs="Times New Roman"/>
          <w:color w:val="000000" w:themeColor="text1"/>
          <w:kern w:val="2"/>
          <w:sz w:val="16"/>
          <w:szCs w:val="16"/>
        </w:rPr>
        <w:softHyphen/>
        <w:t>вич Кроун и Николай Васильевич Румянцег нз двух гидросамо</w:t>
      </w:r>
      <w:r w:rsidRPr="002F2FDF">
        <w:rPr>
          <w:rFonts w:ascii="Times New Roman" w:hAnsi="Times New Roman" w:cs="Times New Roman"/>
          <w:color w:val="000000" w:themeColor="text1"/>
          <w:kern w:val="2"/>
          <w:sz w:val="16"/>
          <w:szCs w:val="16"/>
        </w:rPr>
        <w:softHyphen/>
        <w:t xml:space="preserve">летах </w:t>
      </w:r>
      <w:r w:rsidRPr="002F2FDF">
        <w:rPr>
          <w:rFonts w:ascii="Times New Roman" w:hAnsi="Times New Roman" w:cs="Times New Roman"/>
          <w:smallCaps/>
          <w:color w:val="000000" w:themeColor="text1"/>
          <w:kern w:val="2"/>
          <w:sz w:val="16"/>
          <w:szCs w:val="16"/>
        </w:rPr>
        <w:t xml:space="preserve">если </w:t>
      </w:r>
      <w:r w:rsidRPr="002F2FDF">
        <w:rPr>
          <w:rFonts w:ascii="Times New Roman" w:hAnsi="Times New Roman" w:cs="Times New Roman"/>
          <w:color w:val="000000" w:themeColor="text1"/>
          <w:kern w:val="2"/>
          <w:sz w:val="16"/>
          <w:szCs w:val="16"/>
        </w:rPr>
        <w:t>воздушный бой с двумя немецкими истребителями "Фоккер", В бою Румянцев был тяжело ранен и вынужден был садиться на воду. Заметив, это, Кроун немедленно опустился рядом с потерпевшим аварию самолетом, поднял из воды Румян</w:t>
      </w:r>
      <w:r w:rsidRPr="002F2FDF">
        <w:rPr>
          <w:rFonts w:ascii="Times New Roman" w:hAnsi="Times New Roman" w:cs="Times New Roman"/>
          <w:color w:val="000000" w:themeColor="text1"/>
          <w:kern w:val="2"/>
          <w:sz w:val="16"/>
          <w:szCs w:val="16"/>
        </w:rPr>
        <w:softHyphen/>
        <w:t>цева и его механика и под обстрелом кружившихся над ним "Фоккеров" взлетел и бйагополучно доставил потерпевших на берег. (Официальное сообщение в газетах зэ мой 1917 г.).</w:t>
      </w:r>
    </w:p>
    <w:p w14:paraId="71C60A2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870B94" w14:textId="77777777" w:rsidR="00AE489D" w:rsidRPr="00815ED5" w:rsidRDefault="00AE489D"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5 </w:t>
      </w:r>
      <w:r>
        <w:rPr>
          <w:rFonts w:ascii="Times New Roman" w:hAnsi="Times New Roman" w:cs="Times New Roman"/>
          <w:color w:val="0070C0"/>
          <w:sz w:val="16"/>
          <w:szCs w:val="16"/>
        </w:rPr>
        <w:t xml:space="preserve">(18) </w:t>
      </w:r>
      <w:r w:rsidRPr="00815ED5">
        <w:rPr>
          <w:rFonts w:ascii="Times New Roman" w:hAnsi="Times New Roman" w:cs="Times New Roman"/>
          <w:color w:val="0070C0"/>
          <w:sz w:val="16"/>
          <w:szCs w:val="16"/>
        </w:rPr>
        <w:t>мая</w:t>
      </w:r>
      <w:r>
        <w:rPr>
          <w:rFonts w:ascii="Times New Roman" w:hAnsi="Times New Roman" w:cs="Times New Roman"/>
          <w:color w:val="0070C0"/>
          <w:sz w:val="16"/>
          <w:szCs w:val="16"/>
        </w:rPr>
        <w:t xml:space="preserve">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летчики Балтийского (плота мичманы роман Николаевич Kpo</w:t>
      </w:r>
      <w:r>
        <w:rPr>
          <w:rFonts w:ascii="Times New Roman" w:hAnsi="Times New Roman" w:cs="Times New Roman"/>
          <w:color w:val="0070C0"/>
          <w:sz w:val="16"/>
          <w:szCs w:val="16"/>
        </w:rPr>
        <w:t xml:space="preserve">ун </w:t>
      </w:r>
      <w:r w:rsidRPr="00815ED5">
        <w:rPr>
          <w:rFonts w:ascii="Times New Roman" w:hAnsi="Times New Roman" w:cs="Times New Roman"/>
          <w:color w:val="0070C0"/>
          <w:sz w:val="16"/>
          <w:szCs w:val="16"/>
        </w:rPr>
        <w:t>и Николай Васильевич Румянцев на двух гидросамолетах вели воздушный бой с двумя немецкими истребителями Фоккер.</w:t>
      </w:r>
      <w:r>
        <w:rPr>
          <w:rFonts w:ascii="Times New Roman" w:hAnsi="Times New Roman" w:cs="Times New Roman"/>
          <w:color w:val="0070C0"/>
          <w:sz w:val="16"/>
          <w:szCs w:val="16"/>
        </w:rPr>
        <w:t xml:space="preserve"> В</w:t>
      </w:r>
      <w:r w:rsidRPr="00815ED5">
        <w:rPr>
          <w:rFonts w:ascii="Times New Roman" w:hAnsi="Times New Roman" w:cs="Times New Roman"/>
          <w:color w:val="0070C0"/>
          <w:sz w:val="16"/>
          <w:szCs w:val="16"/>
        </w:rPr>
        <w:t xml:space="preserve"> бою Румянцев был тяжело ранен и вынужден садиться на воду.</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Заметив это,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Кроун немедленно опустился рядом с потерпевшим аварию самолетом, поднял из воды </w:t>
      </w:r>
      <w:r>
        <w:rPr>
          <w:rFonts w:ascii="Times New Roman" w:hAnsi="Times New Roman" w:cs="Times New Roman"/>
          <w:color w:val="0070C0"/>
          <w:sz w:val="16"/>
          <w:szCs w:val="16"/>
        </w:rPr>
        <w:t>Р</w:t>
      </w:r>
      <w:r w:rsidRPr="00815ED5">
        <w:rPr>
          <w:rFonts w:ascii="Times New Roman" w:hAnsi="Times New Roman" w:cs="Times New Roman"/>
          <w:color w:val="0070C0"/>
          <w:sz w:val="16"/>
          <w:szCs w:val="16"/>
        </w:rPr>
        <w:t xml:space="preserve">умянцева и его механика и под обстрелом кружившихся над ним </w:t>
      </w:r>
      <w:r>
        <w:rPr>
          <w:rFonts w:ascii="Times New Roman" w:hAnsi="Times New Roman" w:cs="Times New Roman"/>
          <w:color w:val="0070C0"/>
          <w:sz w:val="16"/>
          <w:szCs w:val="16"/>
        </w:rPr>
        <w:t>Ф</w:t>
      </w:r>
      <w:r w:rsidRPr="00815ED5">
        <w:rPr>
          <w:rFonts w:ascii="Times New Roman" w:hAnsi="Times New Roman" w:cs="Times New Roman"/>
          <w:color w:val="0070C0"/>
          <w:sz w:val="16"/>
          <w:szCs w:val="16"/>
        </w:rPr>
        <w:t>оккеров взлетел и благополучно доставил потерпевших на берег.</w:t>
      </w:r>
    </w:p>
    <w:p w14:paraId="21D41332" w14:textId="77777777" w:rsidR="00AE489D" w:rsidRDefault="00AE489D"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/Официальное сообщение в газетах за май 1917/</w:t>
      </w:r>
      <w:r>
        <w:rPr>
          <w:rFonts w:ascii="Times New Roman" w:hAnsi="Times New Roman" w:cs="Times New Roman"/>
          <w:color w:val="0070C0"/>
          <w:sz w:val="16"/>
          <w:szCs w:val="16"/>
        </w:rPr>
        <w:t xml:space="preserve"> (23320).</w:t>
      </w:r>
    </w:p>
    <w:p w14:paraId="4108A934" w14:textId="77777777" w:rsidR="00AE489D" w:rsidRDefault="00AE489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8088E8" w14:textId="5FF12441"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мая, 29 мая (11 июня), 17 (30) июня и 21 июля (3 августа) 1917 приказом ставки в состав ТАОН были еще включены: отдельные тяжелые дивизионы: 3-й из батарей А (280-мм гаубиц); 5-й из батарей Б(152-мм осадных пушек Шнейдера);, 3-й и 4-й из батарей В (305-мм гаубиц Обуховского завода); 5, 6, 7 и 8-й из батарей Е (120-мм французских пушек); 1-й тракторный из 2, 3, 4, 5, 6, 7 и 8-1 батарей М (152-мм английских гаубиц); из 1, 2, 3 и 4-й батарей Р (60-фн, 127-мм английских пушек);, из 1, 2 и 3-й батарей С (155-мм французских пушек) и 1-й батареи Т (234-мм английских гаубиц); 5-й и 6-й отдельные осадные дивизионы (152-мм пушек в 200 пудов); 4-я отдельная позиционная батарея (152-мм пушек Кане) (3861).</w:t>
      </w:r>
    </w:p>
    <w:p w14:paraId="3F1107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4CE3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мая 1917 Н.Д.Анощенко совершил добровольный прыжок с парашютом французской системы Жюкмес с испытательной целью с аэростата с высоты 750 м (3636).</w:t>
      </w:r>
    </w:p>
    <w:p w14:paraId="1FB208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другим данным 12 мая 1917</w:t>
      </w:r>
    </w:p>
    <w:p w14:paraId="0C03F5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DC8E2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мая 1917 командир 5-го армейского воздухоплавательного отряда подпоручик Николай Дмитриевич Анощенко совершил пер</w:t>
      </w:r>
      <w:r w:rsidRPr="002F2FDF">
        <w:rPr>
          <w:rFonts w:ascii="Times New Roman" w:hAnsi="Times New Roman" w:cs="Times New Roman"/>
          <w:color w:val="000000" w:themeColor="text1"/>
          <w:kern w:val="2"/>
          <w:sz w:val="16"/>
          <w:szCs w:val="16"/>
        </w:rPr>
        <w:softHyphen/>
        <w:t>вый в России добровольный прыжок нв парашюте французской фирмы Еюкмос. Прыжок был совершен с привязного аэростата с высоты 750 м и носил экспериментальный характер. (ЦГВИА. ф.493, оп.10, Д.144, л.24).</w:t>
      </w:r>
    </w:p>
    <w:p w14:paraId="3E470C6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94D0C8" w14:textId="77777777" w:rsidR="00AE489D" w:rsidRDefault="00AE489D"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lastRenderedPageBreak/>
        <w:t xml:space="preserve">5 </w:t>
      </w:r>
      <w:r>
        <w:rPr>
          <w:rFonts w:ascii="Times New Roman" w:hAnsi="Times New Roman" w:cs="Times New Roman"/>
          <w:color w:val="0070C0"/>
          <w:sz w:val="16"/>
          <w:szCs w:val="16"/>
        </w:rPr>
        <w:t xml:space="preserve">(18) </w:t>
      </w:r>
      <w:r w:rsidRPr="00815ED5">
        <w:rPr>
          <w:rFonts w:ascii="Times New Roman" w:hAnsi="Times New Roman" w:cs="Times New Roman"/>
          <w:color w:val="0070C0"/>
          <w:sz w:val="16"/>
          <w:szCs w:val="16"/>
        </w:rPr>
        <w:t>мая</w:t>
      </w:r>
      <w:r>
        <w:rPr>
          <w:rFonts w:ascii="Times New Roman" w:hAnsi="Times New Roman" w:cs="Times New Roman"/>
          <w:color w:val="0070C0"/>
          <w:sz w:val="16"/>
          <w:szCs w:val="16"/>
        </w:rPr>
        <w:t xml:space="preserve">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к</w:t>
      </w:r>
      <w:r w:rsidRPr="00815ED5">
        <w:rPr>
          <w:rFonts w:ascii="Times New Roman" w:hAnsi="Times New Roman" w:cs="Times New Roman"/>
          <w:color w:val="0070C0"/>
          <w:sz w:val="16"/>
          <w:szCs w:val="16"/>
        </w:rPr>
        <w:t>омандир 5-го армейского воздухоплавательного отряда подпоручик Николай Дмитриевич Анощеико совершил первый 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Роосии</w:t>
      </w:r>
      <w:r>
        <w:rPr>
          <w:rFonts w:ascii="Times New Roman" w:hAnsi="Times New Roman" w:cs="Times New Roman"/>
          <w:color w:val="0070C0"/>
          <w:sz w:val="16"/>
          <w:szCs w:val="16"/>
        </w:rPr>
        <w:t xml:space="preserve"> д</w:t>
      </w:r>
      <w:r w:rsidRPr="00815ED5">
        <w:rPr>
          <w:rFonts w:ascii="Times New Roman" w:hAnsi="Times New Roman" w:cs="Times New Roman"/>
          <w:color w:val="0070C0"/>
          <w:sz w:val="16"/>
          <w:szCs w:val="16"/>
        </w:rPr>
        <w:t>обр</w:t>
      </w:r>
      <w:r>
        <w:rPr>
          <w:rFonts w:ascii="Times New Roman" w:hAnsi="Times New Roman" w:cs="Times New Roman"/>
          <w:color w:val="0070C0"/>
          <w:sz w:val="16"/>
          <w:szCs w:val="16"/>
        </w:rPr>
        <w:t>о</w:t>
      </w:r>
      <w:r w:rsidRPr="00815ED5">
        <w:rPr>
          <w:rFonts w:ascii="Times New Roman" w:hAnsi="Times New Roman" w:cs="Times New Roman"/>
          <w:color w:val="0070C0"/>
          <w:sz w:val="16"/>
          <w:szCs w:val="16"/>
        </w:rPr>
        <w:t>вольный пр</w:t>
      </w:r>
      <w:r>
        <w:rPr>
          <w:rFonts w:ascii="Times New Roman" w:hAnsi="Times New Roman" w:cs="Times New Roman"/>
          <w:color w:val="0070C0"/>
          <w:sz w:val="16"/>
          <w:szCs w:val="16"/>
        </w:rPr>
        <w:t>ыж</w:t>
      </w:r>
      <w:r w:rsidRPr="00815ED5">
        <w:rPr>
          <w:rFonts w:ascii="Times New Roman" w:hAnsi="Times New Roman" w:cs="Times New Roman"/>
          <w:color w:val="0070C0"/>
          <w:sz w:val="16"/>
          <w:szCs w:val="16"/>
        </w:rPr>
        <w:t>ок на параш</w:t>
      </w:r>
      <w:r>
        <w:rPr>
          <w:rFonts w:ascii="Times New Roman" w:hAnsi="Times New Roman" w:cs="Times New Roman"/>
          <w:color w:val="0070C0"/>
          <w:sz w:val="16"/>
          <w:szCs w:val="16"/>
        </w:rPr>
        <w:t>ю</w:t>
      </w:r>
      <w:r w:rsidRPr="00815ED5">
        <w:rPr>
          <w:rFonts w:ascii="Times New Roman" w:hAnsi="Times New Roman" w:cs="Times New Roman"/>
          <w:color w:val="0070C0"/>
          <w:sz w:val="16"/>
          <w:szCs w:val="16"/>
        </w:rPr>
        <w:t>те французской фирмы</w:t>
      </w:r>
      <w:r>
        <w:rPr>
          <w:rFonts w:ascii="Times New Roman" w:hAnsi="Times New Roman" w:cs="Times New Roman"/>
          <w:color w:val="0070C0"/>
          <w:sz w:val="16"/>
          <w:szCs w:val="16"/>
        </w:rPr>
        <w:t xml:space="preserve"> Ж</w:t>
      </w:r>
      <w:r w:rsidRPr="00815ED5">
        <w:rPr>
          <w:rFonts w:ascii="Times New Roman" w:hAnsi="Times New Roman" w:cs="Times New Roman"/>
          <w:color w:val="0070C0"/>
          <w:sz w:val="16"/>
          <w:szCs w:val="16"/>
        </w:rPr>
        <w:t>юкме</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Прыжок. был со</w:t>
      </w:r>
      <w:r>
        <w:rPr>
          <w:rFonts w:ascii="Times New Roman" w:hAnsi="Times New Roman" w:cs="Times New Roman"/>
          <w:color w:val="0070C0"/>
          <w:sz w:val="16"/>
          <w:szCs w:val="16"/>
        </w:rPr>
        <w:t xml:space="preserve">вершен с привязного </w:t>
      </w:r>
      <w:r w:rsidRPr="00815ED5">
        <w:rPr>
          <w:rFonts w:ascii="Times New Roman" w:hAnsi="Times New Roman" w:cs="Times New Roman"/>
          <w:color w:val="0070C0"/>
          <w:sz w:val="16"/>
          <w:szCs w:val="16"/>
        </w:rPr>
        <w:t>а</w:t>
      </w:r>
      <w:r>
        <w:rPr>
          <w:rFonts w:ascii="Times New Roman" w:hAnsi="Times New Roman" w:cs="Times New Roman"/>
          <w:color w:val="0070C0"/>
          <w:sz w:val="16"/>
          <w:szCs w:val="16"/>
        </w:rPr>
        <w:t>э</w:t>
      </w:r>
      <w:r w:rsidRPr="00815ED5">
        <w:rPr>
          <w:rFonts w:ascii="Times New Roman" w:hAnsi="Times New Roman" w:cs="Times New Roman"/>
          <w:color w:val="0070C0"/>
          <w:sz w:val="16"/>
          <w:szCs w:val="16"/>
        </w:rPr>
        <w:t>ро</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тата</w:t>
      </w:r>
      <w:r>
        <w:rPr>
          <w:rFonts w:ascii="Times New Roman" w:hAnsi="Times New Roman" w:cs="Times New Roman"/>
          <w:color w:val="0070C0"/>
          <w:sz w:val="16"/>
          <w:szCs w:val="16"/>
        </w:rPr>
        <w:t xml:space="preserve"> с высрты </w:t>
      </w:r>
      <w:r w:rsidRPr="00815ED5">
        <w:rPr>
          <w:rFonts w:ascii="Times New Roman" w:hAnsi="Times New Roman" w:cs="Times New Roman"/>
          <w:color w:val="0070C0"/>
          <w:sz w:val="16"/>
          <w:szCs w:val="16"/>
        </w:rPr>
        <w:t xml:space="preserve">750 </w:t>
      </w:r>
      <w:r>
        <w:rPr>
          <w:rFonts w:ascii="Times New Roman" w:hAnsi="Times New Roman" w:cs="Times New Roman"/>
          <w:color w:val="0070C0"/>
          <w:sz w:val="16"/>
          <w:szCs w:val="16"/>
        </w:rPr>
        <w:t>м и носил экспериментальный</w:t>
      </w:r>
      <w:r w:rsidRPr="00815ED5">
        <w:rPr>
          <w:rFonts w:ascii="Times New Roman" w:hAnsi="Times New Roman" w:cs="Times New Roman"/>
          <w:color w:val="0070C0"/>
          <w:sz w:val="16"/>
          <w:szCs w:val="16"/>
        </w:rPr>
        <w:t xml:space="preserve"> характер.</w:t>
      </w:r>
    </w:p>
    <w:p w14:paraId="001A9227" w14:textId="055E00F3" w:rsidR="00AE489D" w:rsidRDefault="00AE489D"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ЦГВИА, ф. </w:t>
      </w:r>
      <w:r w:rsidRPr="00815ED5">
        <w:rPr>
          <w:rFonts w:ascii="Times New Roman" w:hAnsi="Times New Roman" w:cs="Times New Roman"/>
          <w:color w:val="0070C0"/>
          <w:sz w:val="16"/>
          <w:szCs w:val="16"/>
        </w:rPr>
        <w:t>4</w:t>
      </w:r>
      <w:r>
        <w:rPr>
          <w:rFonts w:ascii="Times New Roman" w:hAnsi="Times New Roman" w:cs="Times New Roman"/>
          <w:color w:val="0070C0"/>
          <w:sz w:val="16"/>
          <w:szCs w:val="16"/>
        </w:rPr>
        <w:t xml:space="preserve">93Э оп. </w:t>
      </w:r>
      <w:r w:rsidRPr="00815ED5">
        <w:rPr>
          <w:rFonts w:ascii="Times New Roman" w:hAnsi="Times New Roman" w:cs="Times New Roman"/>
          <w:color w:val="0070C0"/>
          <w:sz w:val="16"/>
          <w:szCs w:val="16"/>
        </w:rPr>
        <w:t>10,</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44,</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w:t>
      </w:r>
      <w:r>
        <w:rPr>
          <w:rFonts w:ascii="Times New Roman" w:hAnsi="Times New Roman" w:cs="Times New Roman"/>
          <w:color w:val="0070C0"/>
          <w:sz w:val="16"/>
          <w:szCs w:val="16"/>
        </w:rPr>
        <w:t>. 24/ (23320).</w:t>
      </w:r>
    </w:p>
    <w:p w14:paraId="02572925" w14:textId="77777777" w:rsidR="00AE489D" w:rsidRDefault="00AE489D" w:rsidP="0083075A">
      <w:pPr>
        <w:spacing w:after="0" w:line="240" w:lineRule="auto"/>
        <w:jc w:val="both"/>
        <w:rPr>
          <w:rFonts w:ascii="Times New Roman" w:hAnsi="Times New Roman" w:cs="Times New Roman"/>
          <w:color w:val="0070C0"/>
          <w:sz w:val="16"/>
          <w:szCs w:val="16"/>
        </w:rPr>
      </w:pPr>
    </w:p>
    <w:p w14:paraId="50AF6AC5" w14:textId="77777777" w:rsidR="00A637F9" w:rsidRPr="002F2FDF" w:rsidRDefault="00A637F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 (18) мая 1917 г. чтобы окончательно устранить у подчинён</w:t>
      </w:r>
      <w:r w:rsidRPr="002F2FDF">
        <w:rPr>
          <w:rFonts w:ascii="Times New Roman" w:hAnsi="Times New Roman" w:cs="Times New Roman"/>
          <w:color w:val="000000" w:themeColor="text1"/>
          <w:sz w:val="16"/>
          <w:szCs w:val="16"/>
        </w:rPr>
        <w:softHyphen/>
        <w:t>ных недоверие к парашютам командир 5-го ар</w:t>
      </w:r>
      <w:r w:rsidRPr="002F2FDF">
        <w:rPr>
          <w:rFonts w:ascii="Times New Roman" w:hAnsi="Times New Roman" w:cs="Times New Roman"/>
          <w:color w:val="000000" w:themeColor="text1"/>
          <w:sz w:val="16"/>
          <w:szCs w:val="16"/>
        </w:rPr>
        <w:softHyphen/>
        <w:t>мейского воздухоплавательного отряда подпо</w:t>
      </w:r>
      <w:r w:rsidRPr="002F2FDF">
        <w:rPr>
          <w:rFonts w:ascii="Times New Roman" w:hAnsi="Times New Roman" w:cs="Times New Roman"/>
          <w:color w:val="000000" w:themeColor="text1"/>
          <w:sz w:val="16"/>
          <w:szCs w:val="16"/>
        </w:rPr>
        <w:softHyphen/>
        <w:t>ручик Николай Дмитриевич Анощенко выпрыгнул с высоты 720 м на парашю</w:t>
      </w:r>
      <w:r w:rsidRPr="002F2FDF">
        <w:rPr>
          <w:rFonts w:ascii="Times New Roman" w:hAnsi="Times New Roman" w:cs="Times New Roman"/>
          <w:color w:val="000000" w:themeColor="text1"/>
          <w:sz w:val="16"/>
          <w:szCs w:val="16"/>
        </w:rPr>
        <w:softHyphen/>
        <w:t>те Жюкмесса. В рапорте он отмечал: «Теперь я и все мои офицеры и солдаты твёрдо верим, что с французскими парашютами мы всегда на</w:t>
      </w:r>
      <w:r w:rsidRPr="002F2FDF">
        <w:rPr>
          <w:rFonts w:ascii="Times New Roman" w:hAnsi="Times New Roman" w:cs="Times New Roman"/>
          <w:color w:val="000000" w:themeColor="text1"/>
          <w:sz w:val="16"/>
          <w:szCs w:val="16"/>
        </w:rPr>
        <w:softHyphen/>
        <w:t>ходимся в безопасности. В критическую минуту он нас спасёт. Пусть и другие воздухоплаватели знают о результатах нашего испытания»34. 20 мая на таком же парашюте с высоты 550 м совершил спуск брат Н.Д. Анощенко — Александр Дмитри</w:t>
      </w:r>
      <w:r w:rsidRPr="002F2FDF">
        <w:rPr>
          <w:rFonts w:ascii="Times New Roman" w:hAnsi="Times New Roman" w:cs="Times New Roman"/>
          <w:color w:val="000000" w:themeColor="text1"/>
          <w:sz w:val="16"/>
          <w:szCs w:val="16"/>
        </w:rPr>
        <w:softHyphen/>
        <w:t>евич, командир 19-го корпусного воздухоплава</w:t>
      </w:r>
      <w:r w:rsidRPr="002F2FDF">
        <w:rPr>
          <w:rFonts w:ascii="Times New Roman" w:hAnsi="Times New Roman" w:cs="Times New Roman"/>
          <w:color w:val="000000" w:themeColor="text1"/>
          <w:sz w:val="16"/>
          <w:szCs w:val="16"/>
        </w:rPr>
        <w:softHyphen/>
        <w:t>тельного отряда (19120).</w:t>
      </w:r>
    </w:p>
    <w:p w14:paraId="749FF77F" w14:textId="77777777" w:rsidR="00A637F9" w:rsidRPr="002F2FDF" w:rsidRDefault="00A637F9" w:rsidP="0083075A">
      <w:pPr>
        <w:spacing w:after="0" w:line="240" w:lineRule="auto"/>
        <w:jc w:val="both"/>
        <w:rPr>
          <w:rFonts w:ascii="Times New Roman" w:hAnsi="Times New Roman" w:cs="Times New Roman"/>
          <w:color w:val="000000" w:themeColor="text1"/>
          <w:sz w:val="16"/>
          <w:szCs w:val="16"/>
        </w:rPr>
      </w:pPr>
    </w:p>
    <w:p w14:paraId="37E6C24A" w14:textId="3FD1295A" w:rsidR="00A637F9" w:rsidRPr="002F2FDF" w:rsidRDefault="00A637F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5 </w:t>
      </w:r>
      <w:r w:rsidR="00EB3E32">
        <w:rPr>
          <w:rFonts w:ascii="Times New Roman" w:hAnsi="Times New Roman" w:cs="Times New Roman"/>
          <w:color w:val="000000" w:themeColor="text1"/>
          <w:sz w:val="16"/>
          <w:szCs w:val="16"/>
        </w:rPr>
        <w:t xml:space="preserve">(18) </w:t>
      </w:r>
      <w:r w:rsidRPr="002F2FDF">
        <w:rPr>
          <w:rFonts w:ascii="Times New Roman" w:hAnsi="Times New Roman" w:cs="Times New Roman"/>
          <w:color w:val="000000" w:themeColor="text1"/>
          <w:sz w:val="16"/>
          <w:szCs w:val="16"/>
        </w:rPr>
        <w:t>мая 1917 съезд армий Юго-Западного фронта, прошёл в духе «революционного оборончества». Пик последнего пришёлся на май 1917 г., когда на Юго-Западном фронте зародилось движение во</w:t>
      </w:r>
      <w:r w:rsidRPr="002F2FDF">
        <w:rPr>
          <w:rFonts w:ascii="Times New Roman" w:hAnsi="Times New Roman" w:cs="Times New Roman"/>
          <w:color w:val="000000" w:themeColor="text1"/>
          <w:sz w:val="16"/>
          <w:szCs w:val="16"/>
        </w:rPr>
        <w:softHyphen/>
        <w:t>енного «ударничества» на добровольческой ос</w:t>
      </w:r>
      <w:r w:rsidRPr="002F2FDF">
        <w:rPr>
          <w:rFonts w:ascii="Times New Roman" w:hAnsi="Times New Roman" w:cs="Times New Roman"/>
          <w:color w:val="000000" w:themeColor="text1"/>
          <w:sz w:val="16"/>
          <w:szCs w:val="16"/>
        </w:rPr>
        <w:softHyphen/>
        <w:t>нове, сопровождавшееся созданием «ударных» частей и «отрядов смерти» (20120).</w:t>
      </w:r>
    </w:p>
    <w:p w14:paraId="2AB8742A" w14:textId="77777777" w:rsidR="00A637F9" w:rsidRPr="002F2FDF" w:rsidRDefault="00A637F9" w:rsidP="0083075A">
      <w:pPr>
        <w:spacing w:after="0" w:line="240" w:lineRule="auto"/>
        <w:jc w:val="both"/>
        <w:rPr>
          <w:rFonts w:ascii="Times New Roman" w:hAnsi="Times New Roman" w:cs="Times New Roman"/>
          <w:color w:val="000000" w:themeColor="text1"/>
          <w:sz w:val="16"/>
          <w:szCs w:val="16"/>
        </w:rPr>
      </w:pPr>
    </w:p>
    <w:p w14:paraId="125F078A" w14:textId="73C99B73" w:rsidR="00EB3E32" w:rsidRPr="00FB4F67" w:rsidRDefault="00EB3E3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5 (</w:t>
      </w:r>
      <w:r w:rsidRPr="00FB4F67">
        <w:rPr>
          <w:rFonts w:ascii="Times New Roman" w:hAnsi="Times New Roman" w:cs="Times New Roman"/>
          <w:color w:val="0070C0"/>
          <w:sz w:val="16"/>
          <w:szCs w:val="16"/>
        </w:rPr>
        <w:t>18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мая 1917 г. в дневное время наблюдательные посты на о. Эзель обнаружили полет над морем (в районе Рижского залива) цеппелина. Ночью появление двух вражеских дирижаблей было зафиксировано уже над островом. В тот же день русские морские летчики вступили в воздушный бой с двумя «Фоккерами». На одном из наших гидроаэропланов был «тяжело ранен летчик и легко ранен механик. Аппарат упал в воду. Тотчас мичман [Р.Н.]Кроун спустился на [своей летающей лодке] к месту падения и под пулеметным огнем кружившегося над ним „Фоккера“ поднял из воды раненого мичмана [Н.В.]Румянцева, механика Кравцова и благополучно доставил их на берег» (23405).</w:t>
      </w:r>
    </w:p>
    <w:p w14:paraId="62B0FE37" w14:textId="77777777" w:rsidR="00EB3E32" w:rsidRPr="00FB4F67" w:rsidRDefault="00EB3E32" w:rsidP="0083075A">
      <w:pPr>
        <w:spacing w:after="0" w:line="240" w:lineRule="auto"/>
        <w:jc w:val="both"/>
        <w:rPr>
          <w:rFonts w:ascii="Times New Roman" w:hAnsi="Times New Roman" w:cs="Times New Roman"/>
          <w:color w:val="0070C0"/>
          <w:sz w:val="16"/>
          <w:szCs w:val="16"/>
        </w:rPr>
      </w:pPr>
    </w:p>
    <w:p w14:paraId="581D5A4C" w14:textId="1FE4E9AA" w:rsidR="00EB3E32" w:rsidRPr="00FB4F67" w:rsidRDefault="00996297"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5 (</w:t>
      </w:r>
      <w:r w:rsidR="00EB3E32" w:rsidRPr="00FB4F67">
        <w:rPr>
          <w:rFonts w:ascii="Times New Roman" w:hAnsi="Times New Roman" w:cs="Times New Roman"/>
          <w:color w:val="0070C0"/>
          <w:sz w:val="16"/>
          <w:szCs w:val="16"/>
        </w:rPr>
        <w:t>18</w:t>
      </w:r>
      <w:r>
        <w:rPr>
          <w:rFonts w:ascii="Times New Roman" w:hAnsi="Times New Roman" w:cs="Times New Roman"/>
          <w:color w:val="0070C0"/>
          <w:sz w:val="16"/>
          <w:szCs w:val="16"/>
        </w:rPr>
        <w:t>)</w:t>
      </w:r>
      <w:r w:rsidR="00EB3E32" w:rsidRPr="00FB4F67">
        <w:rPr>
          <w:rFonts w:ascii="Times New Roman" w:hAnsi="Times New Roman" w:cs="Times New Roman"/>
          <w:color w:val="0070C0"/>
          <w:sz w:val="16"/>
          <w:szCs w:val="16"/>
        </w:rPr>
        <w:t xml:space="preserve"> мая 1917 г. Временное правительство вынудило генерал-майора М. В. Шидловского уйти в отставку с поста командира ЭВК. Затем его сменил Полковник Г.Г. Горшков. Шидловский уехал в Киев к семье Игоря Сикорского. В какой-то момент Шидловский вернулся в Петроград, по-видимому, по-прежнему исполняя обязанности председателя Р-БВЗ. Позже осенью 1918 года считается, что Шидловский и его сын пытались бежать из России через границу в Финляндию, но были схвачены и убиты красногвардейцами, прежде чем им удалось добраться до безопасного места (23525).</w:t>
      </w:r>
    </w:p>
    <w:p w14:paraId="791DF1C5" w14:textId="77777777" w:rsidR="00EB3E32" w:rsidRPr="00FB4F67" w:rsidRDefault="00EB3E32" w:rsidP="0083075A">
      <w:pPr>
        <w:spacing w:after="0" w:line="240" w:lineRule="auto"/>
        <w:jc w:val="both"/>
        <w:rPr>
          <w:rFonts w:ascii="Times New Roman" w:hAnsi="Times New Roman" w:cs="Times New Roman"/>
          <w:color w:val="0070C0"/>
          <w:sz w:val="16"/>
          <w:szCs w:val="16"/>
        </w:rPr>
      </w:pPr>
    </w:p>
    <w:p w14:paraId="46B3536F" w14:textId="77777777" w:rsidR="00F460DA" w:rsidRPr="002F2FDF" w:rsidRDefault="00F460DA"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5 (18) мая 1917 г. в Балтийском море </w:t>
      </w:r>
      <w:r w:rsidRPr="002F2FDF">
        <w:rPr>
          <w:rFonts w:ascii="Times New Roman" w:hAnsi="Times New Roman" w:cs="Times New Roman"/>
          <w:bCs/>
          <w:iCs/>
          <w:color w:val="000000" w:themeColor="text1"/>
          <w:kern w:val="2"/>
          <w:sz w:val="16"/>
          <w:szCs w:val="16"/>
        </w:rPr>
        <w:t>пропала без вести</w:t>
      </w:r>
      <w:r w:rsidRPr="002F2FDF">
        <w:rPr>
          <w:rFonts w:ascii="Times New Roman" w:hAnsi="Times New Roman" w:cs="Times New Roman"/>
          <w:color w:val="000000" w:themeColor="text1"/>
          <w:kern w:val="2"/>
          <w:sz w:val="16"/>
          <w:szCs w:val="16"/>
        </w:rPr>
        <w:t xml:space="preserve"> русская подлодка Барс (17326).</w:t>
      </w:r>
    </w:p>
    <w:p w14:paraId="6894B3DF" w14:textId="77777777" w:rsidR="00F460DA" w:rsidRPr="002F2FDF" w:rsidRDefault="00F460DA"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C5571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CAAE8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A518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мая 1917 был образован новый состав Временного правительства (первого коалиционного) во главе с Г.Е.Львовым (1348,85), меньшевик М.И.Скобелев стал министром труда (1348,113), трудовик А.И.Керенский - военным министром, эсер В.Чернов - министром с/х, меньшевик И.Церетели - министром почт и телеграфов (3908,257).</w:t>
      </w:r>
    </w:p>
    <w:p w14:paraId="7FAF05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6A2305" w14:textId="77777777" w:rsidR="00053D91" w:rsidRPr="002F2FDF" w:rsidRDefault="00053D9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мая 1917 в связи с беспорядками организовано первое коалиционное правительство, в состав которого вошли и социалисты (6 мест из 16). Некоторые умудрились получить по 2 портфеля: князь Львов стал премьер-министром и министром внутренних дел, а эсер Керенский (уроженец Симбирска!) - военным министром и морским министром (12629).</w:t>
      </w:r>
    </w:p>
    <w:p w14:paraId="1ACE79DE" w14:textId="77777777" w:rsidR="00053D91" w:rsidRPr="002F2FDF" w:rsidRDefault="00053D91"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F3FA41" w14:textId="52A35AF9" w:rsidR="00996297" w:rsidRPr="00FB4F67" w:rsidRDefault="00996297"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5 (</w:t>
      </w:r>
      <w:r w:rsidRPr="00FB4F67">
        <w:rPr>
          <w:rFonts w:ascii="Times New Roman" w:hAnsi="Times New Roman" w:cs="Times New Roman"/>
          <w:color w:val="0070C0"/>
          <w:sz w:val="16"/>
          <w:szCs w:val="16"/>
        </w:rPr>
        <w:t>18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мая 1917 г. в Петрограде Временное правительство было преобразовано в Первое коалиционное правительство. В ее состав вошли либералы, меньшевики и эсеры. На улицах столицы шли бои между большевиками и правительственными войсками (23525).</w:t>
      </w:r>
    </w:p>
    <w:p w14:paraId="6AD45751" w14:textId="77777777" w:rsidR="00996297" w:rsidRPr="00FB4F67" w:rsidRDefault="00996297" w:rsidP="0083075A">
      <w:pPr>
        <w:spacing w:after="0" w:line="240" w:lineRule="auto"/>
        <w:jc w:val="both"/>
        <w:rPr>
          <w:rFonts w:ascii="Times New Roman" w:hAnsi="Times New Roman" w:cs="Times New Roman"/>
          <w:color w:val="0070C0"/>
          <w:sz w:val="16"/>
          <w:szCs w:val="16"/>
        </w:rPr>
      </w:pPr>
    </w:p>
    <w:p w14:paraId="7E2607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мая 1917 первое коалиционное правительство выступило с заявлением о стремлении к миру без аннексий и возмещения ущерба, основанному на праве народов на самоопределение (3908,257).</w:t>
      </w:r>
    </w:p>
    <w:p w14:paraId="140048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EAC84B" w14:textId="77777777" w:rsidR="00F60B3C" w:rsidRPr="002F2FDF" w:rsidRDefault="00F60B3C" w:rsidP="0083075A">
      <w:pPr>
        <w:pStyle w:val="ae"/>
        <w:spacing w:before="0" w:after="0"/>
        <w:jc w:val="both"/>
        <w:rPr>
          <w:color w:val="000000" w:themeColor="text1"/>
          <w:kern w:val="2"/>
          <w:sz w:val="16"/>
          <w:szCs w:val="16"/>
        </w:rPr>
      </w:pPr>
      <w:r w:rsidRPr="002F2FDF">
        <w:rPr>
          <w:color w:val="000000" w:themeColor="text1"/>
          <w:kern w:val="2"/>
          <w:sz w:val="16"/>
          <w:szCs w:val="16"/>
        </w:rPr>
        <w:t>5 (18) мая 1917 Временное правительство, в свою очередь, успешно преодолело свой первый, так называемый апрельский кризис, сформировав новый кабинет. Вместо ушедшего в отставку Александра Гучкова военным и морским министром стал Александр Керенский, вместо Павла Милюкова министром иностранных дел был назначен Михаил Терещенко, также появился пост министра труда, который занял представитель Петроградского Совета меньшевик Матвей Скобелев.</w:t>
      </w:r>
    </w:p>
    <w:p w14:paraId="6F12C500" w14:textId="77777777" w:rsidR="00F60B3C" w:rsidRPr="002F2FDF" w:rsidRDefault="00F60B3C" w:rsidP="0083075A">
      <w:pPr>
        <w:pStyle w:val="ae"/>
        <w:spacing w:before="0" w:after="0"/>
        <w:jc w:val="both"/>
        <w:rPr>
          <w:color w:val="000000" w:themeColor="text1"/>
          <w:kern w:val="2"/>
          <w:sz w:val="16"/>
          <w:szCs w:val="16"/>
        </w:rPr>
      </w:pPr>
      <w:r w:rsidRPr="002F2FDF">
        <w:rPr>
          <w:color w:val="000000" w:themeColor="text1"/>
          <w:kern w:val="2"/>
          <w:sz w:val="16"/>
          <w:szCs w:val="16"/>
        </w:rPr>
        <w:t>Всего социалисты заняли уже 6 из 16 министерских кресел, а эсеры и меньшевики становились частью «государственных элит». Такое решение формально положило конец царившему в Петрограде с марта двоевластию, когда Временное правительство и Совет рабочих и солдатских депутатов параллельно издавали свои указы и распоряжения. По инициативе министров-социалистов 19 мая была обнародована декларация, в которой Временное правительство обещало провести радикальную аграрную реформу. Но этими обещаниями так и не удалось успокоить крестьян и дезертировавших солдат, которые уже начали по всей стране жечь помещичьи усадьбы и делить «барские» земли (17045).</w:t>
      </w:r>
    </w:p>
    <w:p w14:paraId="3E1C9673" w14:textId="77777777" w:rsidR="00F60B3C" w:rsidRPr="002F2FDF" w:rsidRDefault="00F60B3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C480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мая 1917 Совет Рабочих депутатов согласился приступить к исполнению властных полномочий (2438,156).</w:t>
      </w:r>
    </w:p>
    <w:p w14:paraId="3285C6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2D09B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мая 1917 в Киеве начался I Всеукраинский военный съезд (4962).</w:t>
      </w:r>
    </w:p>
    <w:p w14:paraId="47D9FA2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5FB4F8" w14:textId="77777777" w:rsidR="00F60B3C" w:rsidRPr="002F2FDF" w:rsidRDefault="00F60B3C" w:rsidP="0083075A">
      <w:pPr>
        <w:pStyle w:val="ae"/>
        <w:spacing w:before="0" w:after="0"/>
        <w:jc w:val="both"/>
        <w:rPr>
          <w:color w:val="000000" w:themeColor="text1"/>
          <w:kern w:val="2"/>
          <w:sz w:val="16"/>
          <w:szCs w:val="16"/>
        </w:rPr>
      </w:pPr>
      <w:r w:rsidRPr="002F2FDF">
        <w:rPr>
          <w:color w:val="000000" w:themeColor="text1"/>
          <w:kern w:val="2"/>
          <w:sz w:val="16"/>
          <w:szCs w:val="16"/>
        </w:rPr>
        <w:t>5 (18) мая 1917 в Киеве начался первый Всеукраинский военный съезд, на котором было заявлено о формировании первых украинских частей. Также делегаты предложили создать украинские военные учебные заведения (17045).</w:t>
      </w:r>
    </w:p>
    <w:p w14:paraId="42AE440B" w14:textId="77777777" w:rsidR="00F60B3C" w:rsidRPr="002F2FDF" w:rsidRDefault="00F60B3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752B72" w14:textId="77777777" w:rsidR="00C76B33"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541078E6" w14:textId="77777777" w:rsidR="00C76B33" w:rsidRPr="002F2FDF" w:rsidRDefault="00C76B3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FAEA25" w14:textId="77777777" w:rsidR="00C76B33" w:rsidRPr="002F2FDF" w:rsidRDefault="00C76B33" w:rsidP="0083075A">
      <w:pPr>
        <w:pStyle w:val="ae"/>
        <w:spacing w:before="0" w:after="0"/>
        <w:jc w:val="both"/>
        <w:rPr>
          <w:color w:val="000000" w:themeColor="text1"/>
          <w:kern w:val="2"/>
          <w:sz w:val="16"/>
          <w:szCs w:val="16"/>
        </w:rPr>
      </w:pPr>
      <w:r w:rsidRPr="002F2FDF">
        <w:rPr>
          <w:color w:val="000000" w:themeColor="text1"/>
          <w:kern w:val="2"/>
          <w:sz w:val="16"/>
          <w:szCs w:val="16"/>
        </w:rPr>
        <w:t>5 (18) мая 1917 в знак поддержки США предложили Временному правительству России большой кредит под обязательство не заключать сепаратного мира с Германией (17045).</w:t>
      </w:r>
    </w:p>
    <w:p w14:paraId="32F55812" w14:textId="77777777" w:rsidR="00C76B33" w:rsidRPr="002F2FDF" w:rsidRDefault="00C76B3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40811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AA4D4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7CE6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мая 1917 в США был утвержден закон о воинской повинности, который обязал всех мужчин в возрасте от 21 до 30 до 5 июня зарегистрироваться на мобилизационном пункте. Хотели призвать около 500 тыс. (3907,93).</w:t>
      </w:r>
    </w:p>
    <w:p w14:paraId="02B0D0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3E64A7" w14:textId="77777777" w:rsidR="00C76B33" w:rsidRPr="002F2FDF" w:rsidRDefault="00C76B33"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5 (18) мая 1917 конгресс </w:t>
      </w:r>
      <w:bookmarkStart w:id="110" w:name="YANDEX_41"/>
      <w:bookmarkEnd w:id="110"/>
      <w:r w:rsidRPr="002F2FDF">
        <w:rPr>
          <w:color w:val="000000" w:themeColor="text1"/>
          <w:kern w:val="2"/>
          <w:sz w:val="16"/>
          <w:szCs w:val="16"/>
        </w:rPr>
        <w:t xml:space="preserve">США принял закон о </w:t>
      </w:r>
      <w:bookmarkStart w:id="111" w:name="YANDEX_44"/>
      <w:bookmarkEnd w:id="111"/>
      <w:r w:rsidRPr="002F2FDF">
        <w:rPr>
          <w:color w:val="000000" w:themeColor="text1"/>
          <w:kern w:val="2"/>
          <w:sz w:val="16"/>
          <w:szCs w:val="16"/>
        </w:rPr>
        <w:t>всеобщей</w:t>
      </w:r>
      <w:bookmarkStart w:id="112" w:name="YANDEX_45"/>
      <w:bookmarkEnd w:id="112"/>
      <w:r w:rsidRPr="002F2FDF">
        <w:rPr>
          <w:color w:val="000000" w:themeColor="text1"/>
          <w:kern w:val="2"/>
          <w:sz w:val="16"/>
          <w:szCs w:val="16"/>
        </w:rPr>
        <w:t xml:space="preserve"> воинской повинности, согласно которому все мужчины от 18 до 30 лет (а позже и до 45 лет) подлежали регистрации для прохождения военной службы. Это вызвало волну протестов американской общественности — далекая война за океаном, в которую в апреле вступило правительство США, была непопулярна среди обывателей. В частности, в первые же дни около 330 тысяч потенциальных рекрутов отказались явиться на призывные пункты. Тем не менее, принятие закона позволило быстро увеличить численность американской армии и с лета начать переброску войск в Европу.</w:t>
      </w:r>
    </w:p>
    <w:p w14:paraId="78A83EEC" w14:textId="77777777" w:rsidR="00C76B33" w:rsidRPr="002F2FDF" w:rsidRDefault="00C76B33" w:rsidP="0083075A">
      <w:pPr>
        <w:pStyle w:val="ae"/>
        <w:spacing w:before="0" w:after="0"/>
        <w:jc w:val="both"/>
        <w:rPr>
          <w:color w:val="000000" w:themeColor="text1"/>
          <w:kern w:val="2"/>
          <w:sz w:val="16"/>
          <w:szCs w:val="16"/>
        </w:rPr>
      </w:pPr>
      <w:r w:rsidRPr="002F2FDF">
        <w:rPr>
          <w:color w:val="000000" w:themeColor="text1"/>
          <w:kern w:val="2"/>
          <w:sz w:val="16"/>
          <w:szCs w:val="16"/>
        </w:rPr>
        <w:t>В этот же день 18 мая в знак поддержки США прервал свои отношения с Германией Гондурас, а США предложили Временному правительству России большой кредит под обязательство не заключать сепаратного мира с Германией (17045).</w:t>
      </w:r>
    </w:p>
    <w:p w14:paraId="6982D5EC" w14:textId="77777777" w:rsidR="00C76B33" w:rsidRPr="002F2FDF" w:rsidRDefault="00C76B3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55B80B" w14:textId="77777777" w:rsidR="00873850" w:rsidRPr="002F2FDF" w:rsidRDefault="0087385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5 (18) мая 1917 г.</w:t>
      </w:r>
      <w:r w:rsidRPr="002F2FDF">
        <w:rPr>
          <w:rFonts w:ascii="Times New Roman" w:hAnsi="Times New Roman" w:cs="Times New Roman"/>
          <w:bCs/>
          <w:color w:val="000000" w:themeColor="text1"/>
          <w:kern w:val="2"/>
          <w:sz w:val="16"/>
          <w:szCs w:val="16"/>
        </w:rPr>
        <w:t xml:space="preserve"> Первые американские солдаты начали прибывать в Британию. Это были медики, готовившие создание госпиталя. Но уже 26 мая более тысячи американских солдат высадились во Франции. 28 мая командующий американским экспедиционным корпусом генерал Першинг разместился со штабом в Ливерпуле. Во время океанского перехода он разработал планы перемещения во Францию миллионной армии. По всем Соединенным Штатам началась регистрация мужчин в возрасте между 21 и 30 годами. Королю Георгу Пятому Першинг пообещал бросить на весы войны всю американскую мощь (17326).</w:t>
      </w:r>
    </w:p>
    <w:p w14:paraId="02825AC3" w14:textId="77777777" w:rsidR="00873850" w:rsidRPr="002F2FDF" w:rsidRDefault="0087385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E0995E" w14:textId="77777777" w:rsidR="00873850" w:rsidRPr="002F2FDF" w:rsidRDefault="0087385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5 (18) мая 1917 г. в США обнародован закон о всеобщей воинской повинности. Первые американцы стали прибывать в Британию в этот же день. Во Францию первые американцы прибыли 26 мая 1917 г., весной 1918 г. во Франции сражалось уже 300.000 американцев – поражение Германии стало неизбежным (17326).</w:t>
      </w:r>
    </w:p>
    <w:p w14:paraId="0C68A3A4" w14:textId="77777777" w:rsidR="00873850" w:rsidRPr="002F2FDF" w:rsidRDefault="0087385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5A71B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9C866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019B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6 (19) мая 1917 завод Дукс заключил контракт № 5583 с Авиационным Комитетом Морского Ведомства на поставку среди аэропланов других типов 10 Спадов с ИС в 150 нр (9651,44).</w:t>
      </w:r>
    </w:p>
    <w:p w14:paraId="30C6F0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020A3E" w14:textId="16005F0B" w:rsidR="00871D7D" w:rsidRPr="002F2FDF" w:rsidRDefault="00871D7D" w:rsidP="0083075A">
      <w:pPr>
        <w:shd w:val="clear" w:color="auto" w:fill="FFFFFF"/>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(19) мая, 25</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июля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12</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сентября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были выданы наряды от</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на постройку 50 тренировочных «Ньюпоров-Х», 35 истребителей «Ньюпор-XVII» с</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моторами «Рон»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110 л. с.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10 истребителей «Спад-VII» с</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моторами «Испано-Сюиза»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150 л. с. стали последними заказами Дукс от</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морского ведомства, Из</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них до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октября успели облетать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отправить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фронт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склад майскую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июльскую партию. Этим ограничилась реальная деятельность «</w:t>
      </w:r>
      <w:bookmarkStart w:id="113" w:name="YANDEX_58"/>
      <w:bookmarkEnd w:id="113"/>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Дукса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для военно-морской авиации России (15219).</w:t>
      </w:r>
    </w:p>
    <w:p w14:paraId="784FD066" w14:textId="77777777" w:rsidR="00871D7D" w:rsidRPr="002F2FDF" w:rsidRDefault="00871D7D"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28FADE21" w14:textId="77777777" w:rsidR="00871D7D" w:rsidRPr="002F2FDF" w:rsidRDefault="00871D7D"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6 (19) мая 1917 г. «Дукс» и Авиационный отдел Главного управления кораблестроения заключили контракт № 5583 на поставку 50 одно- и двухместных «Ньюпоров-Х» с моторами «Рон» в 80 и 110 л.с. и «Гном-Моносупан» в 100 л.с., 25 «Ньюпоров-XVII» с моторами «Рон» в 110 л.с. и 125 л.с., 10 «Спадов» с мотором «Испано-Сюиза» в 150 л.с. 25 июля был оформлен заказ на 20 «Ньюпоров-ХУН» («наряд лейтенанта Андреева», заказы № 1639 и 1679). Еще 15 «Ньюпоров-XVII» с «Роном» в 110 л.с. надо было изготовить по наряду от 12 сентября 1917 г № 166. В плане также стоял заказ на 160 летающих лодок «Теллье» Т.3 с мотором «Испано-Сюиза» 200 л.с., но контракт так и не заключили (15464).</w:t>
      </w:r>
    </w:p>
    <w:p w14:paraId="3B28623E" w14:textId="77777777" w:rsidR="00871D7D" w:rsidRPr="002F2FDF" w:rsidRDefault="00871D7D" w:rsidP="0083075A">
      <w:pPr>
        <w:pStyle w:val="2"/>
        <w:spacing w:before="0" w:beforeAutospacing="0" w:after="0" w:afterAutospacing="0"/>
        <w:jc w:val="both"/>
        <w:rPr>
          <w:b w:val="0"/>
          <w:color w:val="000000" w:themeColor="text1"/>
          <w:kern w:val="2"/>
          <w:sz w:val="16"/>
          <w:szCs w:val="16"/>
        </w:rPr>
      </w:pPr>
    </w:p>
    <w:p w14:paraId="174DBE97" w14:textId="77777777" w:rsidR="00787699" w:rsidRPr="002F2FDF" w:rsidRDefault="0078769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1C956712" w14:textId="77777777" w:rsidR="00787699" w:rsidRPr="002F2FDF" w:rsidRDefault="0078769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9FEA91" w14:textId="77777777" w:rsidR="00787699" w:rsidRPr="002F2FDF" w:rsidRDefault="00787699" w:rsidP="0083075A">
      <w:pPr>
        <w:pStyle w:val="p1"/>
        <w:spacing w:before="0" w:beforeAutospacing="0" w:after="0" w:afterAutospacing="0"/>
        <w:jc w:val="both"/>
        <w:rPr>
          <w:color w:val="000000" w:themeColor="text1"/>
          <w:sz w:val="16"/>
          <w:szCs w:val="16"/>
        </w:rPr>
      </w:pPr>
      <w:r w:rsidRPr="002F2FDF">
        <w:rPr>
          <w:color w:val="000000" w:themeColor="text1"/>
          <w:sz w:val="16"/>
          <w:szCs w:val="16"/>
        </w:rPr>
        <w:t>6 (19) мая 1917 г. при общем пересмотре заводской программы Комиссией Покровского было решено в основном продолжить строительство казенного завода военных самоходов в Мытищах.</w:t>
      </w:r>
    </w:p>
    <w:p w14:paraId="53F68C06" w14:textId="77777777" w:rsidR="00787699" w:rsidRPr="002F2FDF" w:rsidRDefault="00787699"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Для создания этого казенного завода, возложенного по договору с Военным министерством на фирму «Бекос», требовалось разрешение британских властей на вывоз в Россию материалов, командирование английских инженеров, предоставление на эти цели части кредита, отпущенного союзниками России, и тоннажа для доставки грузов из Англии и США. Это ходатайство русского посла (сентябрь 1916 г.) встретило в Лондоне лишь «сдержанное» отношение. Э. Грей ответил, что промышленность Великобритании перегружена. Для России изготовляется много автомобилей; тоннажа может хватить либо на автомобили, либо на оборудование. Кроме того, нецелесообразно отвлекать средства на такие начинания, от которых нельзя ожидать пользы для текущей войны, а новый завод не даст продукции ранее двух лет. Министр вооружений Э.С. Монтэгю предложил сузить задачу: Бекос установит в России производство автомобильных кузовов, а из Англии к ним были бы доставлены 7500 шасси. Кредит в 3 млн. фунтов (на все заводы) все же был согласован в ноябре 1916 г., а в марте 1917 г. Петроград получил обещание и относительно оборудования</w:t>
      </w:r>
      <w:r w:rsidRPr="002F2FDF">
        <w:rPr>
          <w:color w:val="000000" w:themeColor="text1"/>
          <w:sz w:val="16"/>
          <w:szCs w:val="16"/>
          <w:vertAlign w:val="superscript"/>
        </w:rPr>
        <w:t>{609}</w:t>
      </w:r>
      <w:r w:rsidRPr="002F2FDF">
        <w:rPr>
          <w:color w:val="000000" w:themeColor="text1"/>
          <w:sz w:val="16"/>
          <w:szCs w:val="16"/>
        </w:rPr>
        <w:t>,[152] но затем дело свелось для Бекоса к большой ремонтной мастерской и затянулось до Октября, а о комплектах оборудования для ряда других заводов вовсе договориться не удалось, вместо этого Англия предложила готовую продукцию (18366).</w:t>
      </w:r>
    </w:p>
    <w:p w14:paraId="3466A9BB" w14:textId="77777777" w:rsidR="00787699" w:rsidRPr="002F2FDF" w:rsidRDefault="00787699" w:rsidP="0083075A">
      <w:pPr>
        <w:pStyle w:val="p1"/>
        <w:spacing w:before="0" w:beforeAutospacing="0" w:after="0" w:afterAutospacing="0"/>
        <w:jc w:val="both"/>
        <w:rPr>
          <w:color w:val="000000" w:themeColor="text1"/>
          <w:sz w:val="16"/>
          <w:szCs w:val="16"/>
        </w:rPr>
      </w:pPr>
    </w:p>
    <w:p w14:paraId="0A453594" w14:textId="1A73DA3C"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6 </w:t>
      </w:r>
      <w:r>
        <w:rPr>
          <w:rFonts w:ascii="Times New Roman" w:hAnsi="Times New Roman" w:cs="Times New Roman"/>
          <w:color w:val="0070C0"/>
          <w:sz w:val="16"/>
          <w:szCs w:val="16"/>
        </w:rPr>
        <w:t xml:space="preserve">(19) </w:t>
      </w:r>
      <w:r w:rsidRPr="00FB4F67">
        <w:rPr>
          <w:rFonts w:ascii="Times New Roman" w:hAnsi="Times New Roman" w:cs="Times New Roman"/>
          <w:color w:val="0070C0"/>
          <w:sz w:val="16"/>
          <w:szCs w:val="16"/>
        </w:rPr>
        <w:t>мая 1917 г. при общем пересмотре заводской программы Комисси</w:t>
      </w:r>
      <w:r w:rsidRPr="00FB4F67">
        <w:rPr>
          <w:rFonts w:ascii="Times New Roman" w:hAnsi="Times New Roman" w:cs="Times New Roman"/>
          <w:color w:val="0070C0"/>
          <w:sz w:val="16"/>
          <w:szCs w:val="16"/>
        </w:rPr>
        <w:softHyphen/>
        <w:t>ей Покровского, было решено в основном про</w:t>
      </w:r>
      <w:r w:rsidRPr="00FB4F67">
        <w:rPr>
          <w:rFonts w:ascii="Times New Roman" w:hAnsi="Times New Roman" w:cs="Times New Roman"/>
          <w:color w:val="0070C0"/>
          <w:sz w:val="16"/>
          <w:szCs w:val="16"/>
        </w:rPr>
        <w:softHyphen/>
        <w:t>должить строительство казенного завода военных самохо</w:t>
      </w:r>
      <w:r w:rsidRPr="00FB4F67">
        <w:rPr>
          <w:rFonts w:ascii="Times New Roman" w:hAnsi="Times New Roman" w:cs="Times New Roman"/>
          <w:color w:val="0070C0"/>
          <w:sz w:val="16"/>
          <w:szCs w:val="16"/>
        </w:rPr>
        <w:softHyphen/>
        <w:t>дов в Мытищах (РГИА. Ф. 1276. Оп. 12. Д. 208. Л. 59 об., 39. До войны Россия «вво</w:t>
      </w:r>
      <w:r w:rsidRPr="00FB4F67">
        <w:rPr>
          <w:rFonts w:ascii="Times New Roman" w:hAnsi="Times New Roman" w:cs="Times New Roman"/>
          <w:color w:val="0070C0"/>
          <w:sz w:val="16"/>
          <w:szCs w:val="16"/>
        </w:rPr>
        <w:softHyphen/>
        <w:t>зила из Германии сталь для нашего микроскопического автостроения» (Шаров П. Указ. соч. С. 39); РГВИА. Ф. 1. Оп. 2. Д. 178; Ф. 13251. Оп. 28. Д. 1. Л. 23-26).</w:t>
      </w:r>
    </w:p>
    <w:p w14:paraId="1C252E75" w14:textId="77777777"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Для создания этого казенного завода, возложенного по договору с Военным министерством на фирму «Бекос», тре</w:t>
      </w:r>
      <w:r w:rsidRPr="00FB4F67">
        <w:rPr>
          <w:rFonts w:ascii="Times New Roman" w:hAnsi="Times New Roman" w:cs="Times New Roman"/>
          <w:color w:val="0070C0"/>
          <w:sz w:val="16"/>
          <w:szCs w:val="16"/>
        </w:rPr>
        <w:softHyphen/>
        <w:t>бовалось разрешение британских властей на вывоз в Россию материалов, командирование английских инженеров, предо</w:t>
      </w:r>
      <w:r w:rsidRPr="00FB4F67">
        <w:rPr>
          <w:rFonts w:ascii="Times New Roman" w:hAnsi="Times New Roman" w:cs="Times New Roman"/>
          <w:color w:val="0070C0"/>
          <w:sz w:val="16"/>
          <w:szCs w:val="16"/>
        </w:rPr>
        <w:softHyphen/>
        <w:t>ставление на эти цели части кредита, отпущенного союзни</w:t>
      </w:r>
      <w:r w:rsidRPr="00FB4F67">
        <w:rPr>
          <w:rFonts w:ascii="Times New Roman" w:hAnsi="Times New Roman" w:cs="Times New Roman"/>
          <w:color w:val="0070C0"/>
          <w:sz w:val="16"/>
          <w:szCs w:val="16"/>
        </w:rPr>
        <w:softHyphen/>
        <w:t>ками России, и тоннажа для доставки грузов из Англии и США. Это ходатайство русского посла (сентябрь 1916 г.) встретило в Лондоне лишь «сдержанное» отношение. Э. Грей ответил, что промышленность Великобритании перегруже</w:t>
      </w:r>
      <w:r w:rsidRPr="00FB4F67">
        <w:rPr>
          <w:rFonts w:ascii="Times New Roman" w:hAnsi="Times New Roman" w:cs="Times New Roman"/>
          <w:color w:val="0070C0"/>
          <w:sz w:val="16"/>
          <w:szCs w:val="16"/>
        </w:rPr>
        <w:softHyphen/>
        <w:t>на. Для России изготовляется много автомобилей; тоннажа может хватить либо на автомобили, либо на оборудование. Кроме того, нецелесообразно отвлекать средства на такие начинания, от которых нельзя ожидать пользы для текущей войны, а новый завод не даст продукции ранее двух лет. Ми</w:t>
      </w:r>
      <w:r w:rsidRPr="00FB4F67">
        <w:rPr>
          <w:rFonts w:ascii="Times New Roman" w:hAnsi="Times New Roman" w:cs="Times New Roman"/>
          <w:color w:val="0070C0"/>
          <w:sz w:val="16"/>
          <w:szCs w:val="16"/>
        </w:rPr>
        <w:softHyphen/>
        <w:t>нистр вооружений Э.С. Монтэгю предложил сузить задачу: Бекос установит в России производство автомобильных ку</w:t>
      </w:r>
      <w:r w:rsidRPr="00FB4F67">
        <w:rPr>
          <w:rFonts w:ascii="Times New Roman" w:hAnsi="Times New Roman" w:cs="Times New Roman"/>
          <w:color w:val="0070C0"/>
          <w:sz w:val="16"/>
          <w:szCs w:val="16"/>
        </w:rPr>
        <w:softHyphen/>
        <w:t>зовов, а из Англии к ним были бы доставлены 7500 шасси. Кредит в 3 млн фунтов (на все заводы) все же был согласован в ноябре 1916 г., а в марте 1917 г. Петроград получил обе</w:t>
      </w:r>
      <w:r w:rsidRPr="00FB4F67">
        <w:rPr>
          <w:rFonts w:ascii="Times New Roman" w:hAnsi="Times New Roman" w:cs="Times New Roman"/>
          <w:color w:val="0070C0"/>
          <w:sz w:val="16"/>
          <w:szCs w:val="16"/>
        </w:rPr>
        <w:softHyphen/>
        <w:t>щание и относительно оборудования (Bonwetsch В. Op. cit. S. 78, 61—63. О моторах для 7500 кузовов и шасси Бонвеч ничего не сообща), но затем дело свелось для Бекоса к большой ремонтной мастерской и затянулось до Октября, а о комплектах оборудования для ряда других заводов вовсе договориться не удалось, вместо этого Англия предложила готовую продукцию (23452).</w:t>
      </w:r>
    </w:p>
    <w:p w14:paraId="5974011D" w14:textId="77777777" w:rsidR="009C08ED" w:rsidRPr="00FB4F67" w:rsidRDefault="009C08ED" w:rsidP="0083075A">
      <w:pPr>
        <w:spacing w:after="0" w:line="240" w:lineRule="auto"/>
        <w:jc w:val="both"/>
        <w:rPr>
          <w:rFonts w:ascii="Times New Roman" w:hAnsi="Times New Roman" w:cs="Times New Roman"/>
          <w:color w:val="0070C0"/>
          <w:sz w:val="16"/>
          <w:szCs w:val="16"/>
        </w:rPr>
      </w:pPr>
    </w:p>
    <w:p w14:paraId="618A45D2" w14:textId="77777777" w:rsidR="00787699" w:rsidRPr="002F2FDF" w:rsidRDefault="00787699" w:rsidP="0083075A">
      <w:pPr>
        <w:pStyle w:val="p1"/>
        <w:spacing w:before="0" w:beforeAutospacing="0" w:after="0" w:afterAutospacing="0"/>
        <w:jc w:val="both"/>
        <w:rPr>
          <w:color w:val="000000" w:themeColor="text1"/>
          <w:sz w:val="16"/>
          <w:szCs w:val="16"/>
        </w:rPr>
      </w:pPr>
      <w:r w:rsidRPr="002F2FDF">
        <w:rPr>
          <w:color w:val="000000" w:themeColor="text1"/>
          <w:sz w:val="16"/>
          <w:szCs w:val="16"/>
        </w:rPr>
        <w:t>6 (19) мая 1917 г. при общем пересмотре заводской программы Комиссией Покровского было решено в основном продолжить строительство казенного завода военных самоходов в Мытищах (18409).</w:t>
      </w:r>
    </w:p>
    <w:p w14:paraId="10A56FCB" w14:textId="77777777" w:rsidR="00787699" w:rsidRPr="002F2FDF" w:rsidRDefault="00787699" w:rsidP="0083075A">
      <w:pPr>
        <w:pStyle w:val="p1"/>
        <w:spacing w:before="0" w:beforeAutospacing="0" w:after="0" w:afterAutospacing="0"/>
        <w:jc w:val="both"/>
        <w:rPr>
          <w:color w:val="000000" w:themeColor="text1"/>
          <w:sz w:val="16"/>
          <w:szCs w:val="16"/>
        </w:rPr>
      </w:pPr>
    </w:p>
    <w:p w14:paraId="35BE84CE" w14:textId="77777777" w:rsidR="00E2230B"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8F9A64E" w14:textId="77777777" w:rsidR="00E2230B" w:rsidRPr="002F2FDF" w:rsidRDefault="00E2230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6DE583" w14:textId="77777777" w:rsidR="00E2230B" w:rsidRPr="002F2FDF" w:rsidRDefault="00E2230B" w:rsidP="0083075A">
      <w:pPr>
        <w:pStyle w:val="ae"/>
        <w:spacing w:before="0" w:after="0"/>
        <w:jc w:val="both"/>
        <w:rPr>
          <w:color w:val="000000" w:themeColor="text1"/>
          <w:kern w:val="2"/>
          <w:sz w:val="16"/>
          <w:szCs w:val="16"/>
        </w:rPr>
      </w:pPr>
      <w:r w:rsidRPr="002F2FDF">
        <w:rPr>
          <w:color w:val="000000" w:themeColor="text1"/>
          <w:kern w:val="2"/>
          <w:sz w:val="16"/>
          <w:szCs w:val="16"/>
        </w:rPr>
        <w:t>6 (19) мая 1917 германский самолет сбросил бомбы в районе вокзала города Кишинев, в тот период являвшегося центром русской Бессарабской губернии. Погибло три человека, в том числе две девочки (17045).</w:t>
      </w:r>
    </w:p>
    <w:p w14:paraId="2F0AB100" w14:textId="77777777" w:rsidR="00E2230B" w:rsidRPr="002F2FDF" w:rsidRDefault="00E2230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3521BE" w14:textId="77777777" w:rsidR="00053D9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r w:rsidR="00053D91" w:rsidRPr="002F2FDF">
        <w:rPr>
          <w:rFonts w:ascii="Times New Roman" w:hAnsi="Times New Roman" w:cs="Times New Roman"/>
          <w:iCs/>
          <w:color w:val="000000" w:themeColor="text1"/>
          <w:kern w:val="2"/>
          <w:sz w:val="16"/>
          <w:szCs w:val="16"/>
        </w:rPr>
        <w:t>:</w:t>
      </w:r>
    </w:p>
    <w:p w14:paraId="395C6092" w14:textId="77777777" w:rsidR="00053D91" w:rsidRPr="002F2FDF" w:rsidRDefault="00053D9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F1A61E" w14:textId="77777777" w:rsidR="00053D91" w:rsidRPr="002F2FDF" w:rsidRDefault="00053D9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мая 1917 вышла Декларация Временного правительства о подготовке к радикальной аграрной реформе. Не успели внедрить (12629).</w:t>
      </w:r>
    </w:p>
    <w:p w14:paraId="7C7EA802" w14:textId="77777777" w:rsidR="00053D91" w:rsidRPr="002F2FDF" w:rsidRDefault="00053D9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005023" w14:textId="77777777" w:rsidR="00F60B3C" w:rsidRPr="002F2FDF" w:rsidRDefault="00F60B3C" w:rsidP="0083075A">
      <w:pPr>
        <w:pStyle w:val="ae"/>
        <w:spacing w:before="0" w:after="0"/>
        <w:jc w:val="both"/>
        <w:rPr>
          <w:color w:val="000000" w:themeColor="text1"/>
          <w:kern w:val="2"/>
          <w:sz w:val="16"/>
          <w:szCs w:val="16"/>
        </w:rPr>
      </w:pPr>
      <w:r w:rsidRPr="002F2FDF">
        <w:rPr>
          <w:color w:val="000000" w:themeColor="text1"/>
          <w:kern w:val="2"/>
          <w:sz w:val="16"/>
          <w:szCs w:val="16"/>
        </w:rPr>
        <w:t>6 (19) мая 1917 по инициативе министров-социалистов была обнародована декларация, в которой Временное правительство обещало провести радикальную аграрную реформу. Но этими обещаниями так и не удалось успокоить крестьян и дезертировавших солдат, которые уже начали по всей стране жечь помещичьи усадьбы и делить «барские» земли (17045).</w:t>
      </w:r>
    </w:p>
    <w:p w14:paraId="010F087D" w14:textId="77777777" w:rsidR="00F60B3C" w:rsidRPr="002F2FDF" w:rsidRDefault="00F60B3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C5589C" w14:textId="79746526" w:rsidR="0025156F" w:rsidRPr="002F2FDF" w:rsidRDefault="006E4FF2"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Pr>
          <w:rFonts w:ascii="Times New Roman" w:eastAsia="Times New Roman" w:hAnsi="Times New Roman" w:cs="Times New Roman"/>
          <w:color w:val="000000" w:themeColor="text1"/>
          <w:kern w:val="2"/>
          <w:sz w:val="16"/>
          <w:szCs w:val="16"/>
          <w:lang w:eastAsia="ru-RU"/>
        </w:rPr>
        <w:t>6 (</w:t>
      </w:r>
      <w:r w:rsidR="0025156F" w:rsidRPr="002F2FDF">
        <w:rPr>
          <w:rFonts w:ascii="Times New Roman" w:eastAsia="Times New Roman" w:hAnsi="Times New Roman" w:cs="Times New Roman"/>
          <w:color w:val="000000" w:themeColor="text1"/>
          <w:kern w:val="2"/>
          <w:sz w:val="16"/>
          <w:szCs w:val="16"/>
          <w:lang w:eastAsia="ru-RU"/>
        </w:rPr>
        <w:t>19</w:t>
      </w:r>
      <w:r>
        <w:rPr>
          <w:rFonts w:ascii="Times New Roman" w:eastAsia="Times New Roman" w:hAnsi="Times New Roman" w:cs="Times New Roman"/>
          <w:color w:val="000000" w:themeColor="text1"/>
          <w:kern w:val="2"/>
          <w:sz w:val="16"/>
          <w:szCs w:val="16"/>
          <w:lang w:eastAsia="ru-RU"/>
        </w:rPr>
        <w:t>)</w:t>
      </w:r>
      <w:r w:rsidR="0025156F" w:rsidRPr="002F2FDF">
        <w:rPr>
          <w:rFonts w:ascii="Times New Roman" w:eastAsia="Times New Roman" w:hAnsi="Times New Roman" w:cs="Times New Roman"/>
          <w:color w:val="000000" w:themeColor="text1"/>
          <w:kern w:val="2"/>
          <w:sz w:val="16"/>
          <w:szCs w:val="16"/>
          <w:lang w:eastAsia="ru-RU"/>
        </w:rPr>
        <w:t xml:space="preserve"> мая 1917 г. Матильда Кшесинская выигрывает мировой суд у кандидата прав Владимира Ульянова</w:t>
      </w:r>
      <w:r w:rsidR="00E72266" w:rsidRPr="002F2FDF">
        <w:rPr>
          <w:rFonts w:ascii="Times New Roman" w:eastAsia="Times New Roman" w:hAnsi="Times New Roman" w:cs="Times New Roman"/>
          <w:color w:val="000000" w:themeColor="text1"/>
          <w:kern w:val="2"/>
          <w:sz w:val="16"/>
          <w:szCs w:val="16"/>
          <w:lang w:eastAsia="ru-RU"/>
        </w:rPr>
        <w:t xml:space="preserve">. </w:t>
      </w:r>
      <w:r w:rsidR="0025156F" w:rsidRPr="002F2FDF">
        <w:rPr>
          <w:rFonts w:ascii="Times New Roman" w:eastAsia="Times New Roman" w:hAnsi="Times New Roman" w:cs="Times New Roman"/>
          <w:bCs/>
          <w:iCs/>
          <w:color w:val="000000" w:themeColor="text1"/>
          <w:kern w:val="2"/>
          <w:sz w:val="16"/>
          <w:szCs w:val="16"/>
          <w:lang w:eastAsia="ru-RU"/>
        </w:rPr>
        <w:t>Владимир Федюк «Керенский»:</w:t>
      </w:r>
    </w:p>
    <w:p w14:paraId="05E5312B" w14:textId="77777777" w:rsidR="0025156F" w:rsidRPr="002F2FDF" w:rsidRDefault="0025156F"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bCs/>
          <w:color w:val="000000" w:themeColor="text1"/>
          <w:kern w:val="2"/>
          <w:sz w:val="16"/>
          <w:szCs w:val="16"/>
          <w:lang w:eastAsia="ru-RU"/>
        </w:rPr>
        <w:t xml:space="preserve">Тогда хозяйка решила требовать возврата особняка через суд. Дело слушалось 6 </w:t>
      </w:r>
      <w:r w:rsidRPr="002F2FDF">
        <w:rPr>
          <w:rFonts w:ascii="Times New Roman" w:eastAsia="Times New Roman" w:hAnsi="Times New Roman" w:cs="Times New Roman"/>
          <w:color w:val="000000" w:themeColor="text1"/>
          <w:kern w:val="2"/>
          <w:sz w:val="16"/>
          <w:szCs w:val="16"/>
          <w:lang w:eastAsia="ru-RU"/>
        </w:rPr>
        <w:t>(19) мая 1917 года</w:t>
      </w:r>
      <w:r w:rsidRPr="002F2FDF">
        <w:rPr>
          <w:rFonts w:ascii="Times New Roman" w:eastAsia="Times New Roman" w:hAnsi="Times New Roman" w:cs="Times New Roman"/>
          <w:bCs/>
          <w:color w:val="000000" w:themeColor="text1"/>
          <w:kern w:val="2"/>
          <w:sz w:val="16"/>
          <w:szCs w:val="16"/>
          <w:lang w:eastAsia="ru-RU"/>
        </w:rPr>
        <w:t xml:space="preserve"> в камере мирового судьи 58-го участка Петрограда. В исковом заявлении содержалось требование выселить из дома кандидата прав В.И.Ульянова. Ответчик в суд не пришел, а его интересы представлял присяжный поверенный М. Ю.Козловский. Свою тактику защита построила на том обстоятельстве, что революция явочным порядком ввела новые правила вместо устаревших правил эпохи империи. Козловский заявил, что «если стоять на почве законности, то революционное право — такое же право, как и всякое другое. Это — народный закон». Тем не менее судья иск Кшесинской удовлетворил и потребовал от нынешних обитателей особняка очистить его в течение двадцати дней. Большевистские юристы (а в рядах ленинской партии были отнюдь не только деклассированные элементы) обжаловали это решение, но суд высшей инстанции оставил его в силе. Утром 12 июня 1917 года поверенный Кшесинской в сопровождении судебного пристава появился у дверей особняка. Перед этим адвокаты Кшесинской обращались в районный комиссариат с просьбой выделить в их распоряжение наряд милиции. Однако районные власти побоялись влезать в историю с непредсказуемыми последствиями и запросили штаб военного округа. Оттуда обещали прислать трех казаков, но в итоге ничего сделано не было. Напрасно поверенный Кшесинской целый день ждал на улице перед особняком. К вечеру из Петроградского совета пришло распоряжение выселение прекратить (17326).</w:t>
      </w:r>
    </w:p>
    <w:p w14:paraId="449BEB0E" w14:textId="77777777" w:rsidR="0025156F" w:rsidRPr="002F2FDF" w:rsidRDefault="0025156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9546E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5CE35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B2DECA" w14:textId="77777777" w:rsidR="003A43C6" w:rsidRPr="002F2FDF" w:rsidRDefault="003A43C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6 (19) мая 1917 Соединенные Штаты принимают официальную национальную символику для армии США, ВМС США и Корпуса морской пехоты США самолета - белая звезда в центре синего круга с красным диском с центром внутри звезды; береговая охрана США не принимает его. За исключением 18-месячного перерыва в 1918-1919 годах , маркировка будет использоваться до июня 1942 года (20341).</w:t>
      </w:r>
    </w:p>
    <w:p w14:paraId="6B19D481" w14:textId="77777777" w:rsidR="003A43C6" w:rsidRPr="002F2FDF" w:rsidRDefault="003A43C6" w:rsidP="0083075A">
      <w:pPr>
        <w:spacing w:after="0" w:line="240" w:lineRule="auto"/>
        <w:jc w:val="both"/>
        <w:rPr>
          <w:rFonts w:ascii="Times New Roman" w:hAnsi="Times New Roman" w:cs="Times New Roman"/>
          <w:color w:val="000000" w:themeColor="text1"/>
          <w:sz w:val="16"/>
          <w:szCs w:val="16"/>
        </w:rPr>
      </w:pPr>
    </w:p>
    <w:p w14:paraId="02F20B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мая 1917 в авиации США были введены опознавательные знаки - белая звезда с красной точкой в центре, но в феврале 1918 заменили и до конца войны был красно-голубой-белый круг (3101).</w:t>
      </w:r>
    </w:p>
    <w:p w14:paraId="1A9DEF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FCA0B0" w14:textId="77777777" w:rsidR="00F460DA" w:rsidRPr="002F2FDF" w:rsidRDefault="00F460D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 (19) мая 1917 г. у Уэст-Хиндера </w:t>
      </w:r>
      <w:r w:rsidRPr="002F2FDF">
        <w:rPr>
          <w:rFonts w:ascii="Times New Roman" w:hAnsi="Times New Roman" w:cs="Times New Roman"/>
          <w:bCs/>
          <w:iCs/>
          <w:color w:val="000000" w:themeColor="text1"/>
          <w:kern w:val="2"/>
          <w:sz w:val="16"/>
          <w:szCs w:val="16"/>
        </w:rPr>
        <w:t>пропала без вести</w:t>
      </w:r>
      <w:r w:rsidRPr="002F2FDF">
        <w:rPr>
          <w:rFonts w:ascii="Times New Roman" w:hAnsi="Times New Roman" w:cs="Times New Roman"/>
          <w:color w:val="000000" w:themeColor="text1"/>
          <w:kern w:val="2"/>
          <w:sz w:val="16"/>
          <w:szCs w:val="16"/>
        </w:rPr>
        <w:t xml:space="preserve"> германская подлодка UC-36 (17326).</w:t>
      </w:r>
    </w:p>
    <w:p w14:paraId="71AD58F3" w14:textId="77777777" w:rsidR="00F460DA" w:rsidRPr="002F2FDF" w:rsidRDefault="00F460D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3A5A64" w14:textId="77777777" w:rsidR="00787699" w:rsidRPr="002F2FDF" w:rsidRDefault="0078769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33AA6866" w14:textId="77777777" w:rsidR="00787699" w:rsidRPr="002F2FDF" w:rsidRDefault="0078769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73E221" w14:textId="77777777" w:rsidR="00787699" w:rsidRPr="002F2FDF" w:rsidRDefault="00787699" w:rsidP="0083075A">
      <w:pPr>
        <w:pStyle w:val="p1"/>
        <w:spacing w:before="0" w:beforeAutospacing="0" w:after="0" w:afterAutospacing="0"/>
        <w:jc w:val="both"/>
        <w:rPr>
          <w:color w:val="000000" w:themeColor="text1"/>
          <w:sz w:val="16"/>
          <w:szCs w:val="16"/>
        </w:rPr>
      </w:pPr>
      <w:r w:rsidRPr="002F2FDF">
        <w:rPr>
          <w:color w:val="000000" w:themeColor="text1"/>
          <w:sz w:val="16"/>
          <w:szCs w:val="16"/>
        </w:rPr>
        <w:t xml:space="preserve">7 (20) мая 1917 комиссия Покровского постановила с кислотным заводом повременить, а гидроэлектростанцию строить «без особой форсировки», вести главным образом работы первой очереди. Помощник военного министра Маниковский, правда, добивался ассигнования — «впредь до выработки плана ликвидации» — еще </w:t>
      </w:r>
      <w:r w:rsidRPr="002F2FDF">
        <w:rPr>
          <w:color w:val="000000" w:themeColor="text1"/>
          <w:sz w:val="16"/>
          <w:szCs w:val="16"/>
        </w:rPr>
        <w:lastRenderedPageBreak/>
        <w:t>полумиллиона для расчетов с частными фирмами, а затем (3 августа) попытался и вовсе отменить постановление о передаче Онежского завода в ликвидационную комиссию, с тем чтобы, наоборот, «постройку завода азотной кислоты продолжать в полном объеме». В середине декабря 1917 г. артиллерийским генералам явилась неожиданная поддержка: председательствовавший в Особом совещании по обороне Н.М. Потапов принял «делегацию от рабочих строящегося Онежского завода… с ходатайством немедленно разрешить вопрос» об отпуске на этот объект очередных 2,3 млн. руб. и постановил «признать принципиально желательной достройку завода» и дать эти деньги. В условиях усиливавшейся военной разрухи стройка была все же прекращена; лишь в 1923–1929 гг. возобновилось и было закончено строительство Кондопожской гидроэлектростанции (18409).</w:t>
      </w:r>
    </w:p>
    <w:p w14:paraId="17B6D3FF" w14:textId="77777777" w:rsidR="00787699" w:rsidRPr="002F2FDF" w:rsidRDefault="00787699" w:rsidP="0083075A">
      <w:pPr>
        <w:pStyle w:val="p1"/>
        <w:spacing w:before="0" w:beforeAutospacing="0" w:after="0" w:afterAutospacing="0"/>
        <w:jc w:val="both"/>
        <w:rPr>
          <w:color w:val="000000" w:themeColor="text1"/>
          <w:sz w:val="16"/>
          <w:szCs w:val="16"/>
        </w:rPr>
      </w:pPr>
    </w:p>
    <w:p w14:paraId="14F7D7E3" w14:textId="5DA42B43" w:rsidR="009C08ED" w:rsidRPr="00FB4F67" w:rsidRDefault="009C08ED" w:rsidP="0083075A">
      <w:pPr>
        <w:spacing w:after="0" w:line="240" w:lineRule="auto"/>
        <w:jc w:val="both"/>
        <w:rPr>
          <w:rFonts w:ascii="Times New Roman" w:hAnsi="Times New Roman" w:cs="Times New Roman"/>
          <w:color w:val="0070C0"/>
          <w:sz w:val="16"/>
          <w:szCs w:val="16"/>
        </w:rPr>
      </w:pPr>
      <w:bookmarkStart w:id="114" w:name="bookmark764"/>
      <w:r w:rsidRPr="00FB4F67">
        <w:rPr>
          <w:rFonts w:ascii="Times New Roman" w:hAnsi="Times New Roman" w:cs="Times New Roman"/>
          <w:color w:val="0070C0"/>
          <w:sz w:val="16"/>
          <w:szCs w:val="16"/>
        </w:rPr>
        <w:t xml:space="preserve">7 </w:t>
      </w:r>
      <w:r>
        <w:rPr>
          <w:rFonts w:ascii="Times New Roman" w:hAnsi="Times New Roman" w:cs="Times New Roman"/>
          <w:color w:val="0070C0"/>
          <w:sz w:val="16"/>
          <w:szCs w:val="16"/>
        </w:rPr>
        <w:t xml:space="preserve">(20) </w:t>
      </w:r>
      <w:r w:rsidRPr="00FB4F67">
        <w:rPr>
          <w:rFonts w:ascii="Times New Roman" w:hAnsi="Times New Roman" w:cs="Times New Roman"/>
          <w:color w:val="0070C0"/>
          <w:sz w:val="16"/>
          <w:szCs w:val="16"/>
        </w:rPr>
        <w:t>мая 1917 г. комиссия Покровского постановила с кислотным заводом повременить, а гидроэлектростанцию строить «без особой форсировки», вести главным образом работы пер</w:t>
      </w:r>
      <w:r w:rsidRPr="00FB4F67">
        <w:rPr>
          <w:rFonts w:ascii="Times New Roman" w:hAnsi="Times New Roman" w:cs="Times New Roman"/>
          <w:color w:val="0070C0"/>
          <w:sz w:val="16"/>
          <w:szCs w:val="16"/>
        </w:rPr>
        <w:softHyphen/>
        <w:t>вой очереди. Помощник военного министра Маниковский, правда, добивался ассигнования — «впредь до выработки плана ликвидации» — еще полумиллиона для расчетов с частными фирмами, а затем (3 августа) попытался и вовсе отменить постановление о передаче Онежского завода в лик</w:t>
      </w:r>
      <w:r w:rsidRPr="00FB4F67">
        <w:rPr>
          <w:rFonts w:ascii="Times New Roman" w:hAnsi="Times New Roman" w:cs="Times New Roman"/>
          <w:color w:val="0070C0"/>
          <w:sz w:val="16"/>
          <w:szCs w:val="16"/>
        </w:rPr>
        <w:softHyphen/>
        <w:t>видационную комиссию, с тем чтобы, наоборот, «постройку завода азотной кислоты продолжать в полном объеме» (РГВИА. Ф. 369. Оп. 2. Д. 78. Л. 16—18 об. Журнал заседания хи</w:t>
      </w:r>
      <w:r w:rsidRPr="00FB4F67">
        <w:rPr>
          <w:rFonts w:ascii="Times New Roman" w:hAnsi="Times New Roman" w:cs="Times New Roman"/>
          <w:color w:val="0070C0"/>
          <w:sz w:val="16"/>
          <w:szCs w:val="16"/>
        </w:rPr>
        <w:softHyphen/>
        <w:t>мической секции подкомиссии Н.Н. Покровского по вопросу о казен</w:t>
      </w:r>
      <w:r w:rsidRPr="00FB4F67">
        <w:rPr>
          <w:rFonts w:ascii="Times New Roman" w:hAnsi="Times New Roman" w:cs="Times New Roman"/>
          <w:color w:val="0070C0"/>
          <w:sz w:val="16"/>
          <w:szCs w:val="16"/>
        </w:rPr>
        <w:softHyphen/>
        <w:t>ном строительстве, 20.IV. 1917;  Там же. Ф. 1. On. 1. Т. 46. Д. 1282. Л. 26-27; Ф. 29. Оп. 3. Д. 1008. Л. 99 об.). В середине декабря 1917 г. артиллерийским генералам яви</w:t>
      </w:r>
      <w:r w:rsidRPr="00FB4F67">
        <w:rPr>
          <w:rFonts w:ascii="Times New Roman" w:hAnsi="Times New Roman" w:cs="Times New Roman"/>
          <w:color w:val="0070C0"/>
          <w:sz w:val="16"/>
          <w:szCs w:val="16"/>
        </w:rPr>
        <w:softHyphen/>
        <w:t>лась неожиданная поддержка: председательствовавший в Особом совещании по обороне Н.М. Потапов принял «де</w:t>
      </w:r>
      <w:r w:rsidRPr="00FB4F67">
        <w:rPr>
          <w:rFonts w:ascii="Times New Roman" w:hAnsi="Times New Roman" w:cs="Times New Roman"/>
          <w:color w:val="0070C0"/>
          <w:sz w:val="16"/>
          <w:szCs w:val="16"/>
        </w:rPr>
        <w:softHyphen/>
        <w:t>легацию от рабочих строящегося Онежского завода... с хо</w:t>
      </w:r>
      <w:r w:rsidRPr="00FB4F67">
        <w:rPr>
          <w:rFonts w:ascii="Times New Roman" w:hAnsi="Times New Roman" w:cs="Times New Roman"/>
          <w:color w:val="0070C0"/>
          <w:sz w:val="16"/>
          <w:szCs w:val="16"/>
        </w:rPr>
        <w:softHyphen/>
        <w:t>датайством немедленно разрешить вопрос» об отпуске на этот объект очередных 2,3 млн руб. и постановил «признать принципиально желательной достройку завода» и дать эти деньги (Там же. Ф. 29. Оп. 3. Д. 1005. Л. 42-42 об.; ЖОСО. 8 ноября 1917— 16 марта 1918 г. М., 1980. С. 92-93). В условиях усиливавшейся военной разрухи строй</w:t>
      </w:r>
      <w:r w:rsidRPr="00FB4F67">
        <w:rPr>
          <w:rFonts w:ascii="Times New Roman" w:hAnsi="Times New Roman" w:cs="Times New Roman"/>
          <w:color w:val="0070C0"/>
          <w:sz w:val="16"/>
          <w:szCs w:val="16"/>
        </w:rPr>
        <w:softHyphen/>
        <w:t>ка была все же прекращена; лишь в 1923—1929 гг. возоб</w:t>
      </w:r>
      <w:r w:rsidRPr="00FB4F67">
        <w:rPr>
          <w:rFonts w:ascii="Times New Roman" w:hAnsi="Times New Roman" w:cs="Times New Roman"/>
          <w:color w:val="0070C0"/>
          <w:sz w:val="16"/>
          <w:szCs w:val="16"/>
        </w:rPr>
        <w:softHyphen/>
        <w:t>новилось и было закончено строительство Кондопожской гидроэлектростанции (23452).</w:t>
      </w:r>
    </w:p>
    <w:p w14:paraId="0321D172" w14:textId="77777777" w:rsidR="009C08ED" w:rsidRPr="00FB4F67" w:rsidRDefault="009C08ED" w:rsidP="0083075A">
      <w:pPr>
        <w:spacing w:after="0" w:line="240" w:lineRule="auto"/>
        <w:jc w:val="both"/>
        <w:rPr>
          <w:rFonts w:ascii="Times New Roman" w:hAnsi="Times New Roman" w:cs="Times New Roman"/>
          <w:color w:val="0070C0"/>
          <w:sz w:val="16"/>
          <w:szCs w:val="16"/>
        </w:rPr>
      </w:pPr>
    </w:p>
    <w:bookmarkEnd w:id="114"/>
    <w:p w14:paraId="5BEFA677" w14:textId="77777777" w:rsidR="00F60B3C"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3D2125A" w14:textId="77777777" w:rsidR="00F60B3C" w:rsidRPr="002F2FDF" w:rsidRDefault="00F60B3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16C87B" w14:textId="77777777" w:rsidR="00F60B3C" w:rsidRPr="002F2FDF" w:rsidRDefault="00F60B3C" w:rsidP="0083075A">
      <w:pPr>
        <w:pStyle w:val="ae"/>
        <w:spacing w:before="0" w:after="0"/>
        <w:jc w:val="both"/>
        <w:rPr>
          <w:color w:val="000000" w:themeColor="text1"/>
          <w:kern w:val="2"/>
          <w:sz w:val="16"/>
          <w:szCs w:val="16"/>
        </w:rPr>
      </w:pPr>
      <w:r w:rsidRPr="002F2FDF">
        <w:rPr>
          <w:color w:val="000000" w:themeColor="text1"/>
          <w:kern w:val="2"/>
          <w:sz w:val="16"/>
          <w:szCs w:val="16"/>
        </w:rPr>
        <w:t>7 (20) мая 1917 в Ставке Верховного Главнокомандующего в Могилеве начался I Всероссийский офицерский съезд, на который собралось около 300 делегатов. Был образован Союз офицеров армии и флота. Среди выступавших были сам Верховный Главнокомандующий генерал Михаил Алексеев, начальник штаба Верховного Главнокомандующего генерал Антон Деникин, председатель Временного комитета Госдумы Михаил Родзянко, представители союзников по Антанте. Алексеев заявил, что «Россия погибает. Она стоит на краю пропасти. Еще несколько толчков вперед, и она всей тяжестью рухнет в эту пропасть. Врага не подкупишь утопической фразой: «мир без аннексий и контрибуций». Он откровенно говорит, что не оставит нашу землю».</w:t>
      </w:r>
    </w:p>
    <w:p w14:paraId="6E1602F4" w14:textId="77777777" w:rsidR="00F60B3C" w:rsidRPr="002F2FDF" w:rsidRDefault="00F60B3C" w:rsidP="0083075A">
      <w:pPr>
        <w:pStyle w:val="ae"/>
        <w:spacing w:before="0" w:after="0"/>
        <w:jc w:val="both"/>
        <w:rPr>
          <w:color w:val="000000" w:themeColor="text1"/>
          <w:kern w:val="2"/>
          <w:sz w:val="16"/>
          <w:szCs w:val="16"/>
        </w:rPr>
      </w:pPr>
      <w:r w:rsidRPr="002F2FDF">
        <w:rPr>
          <w:color w:val="000000" w:themeColor="text1"/>
          <w:kern w:val="2"/>
          <w:sz w:val="16"/>
          <w:szCs w:val="16"/>
        </w:rPr>
        <w:t>Но даже офицеры плохо понимали, как в условиях наделанных революционерами ошибок вернуть в армию дисциплину. Последней надеждой оставалась вера в сознательность солдат и матросов. Было предложено создавать «ударные части» или так называемые «батальоны смерти» (в том числе и национальные — украинские, грузинские, из живущих в России сербов, женские и так далее), которые должны были комплектоваться исключительно из добровольцев, сознательно «идущих на смерть». Пример таких частей, по мнению офицеров, должен был «заразить» сознательностью всю армию (17045).</w:t>
      </w:r>
    </w:p>
    <w:p w14:paraId="5D7C369C" w14:textId="77777777" w:rsidR="00F60B3C" w:rsidRPr="002F2FDF" w:rsidRDefault="00F60B3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F13827" w14:textId="415651B8" w:rsidR="00A616FB" w:rsidRPr="00FB4F67" w:rsidRDefault="00A616F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7 (</w:t>
      </w:r>
      <w:r w:rsidRPr="00FB4F67">
        <w:rPr>
          <w:rFonts w:ascii="Times New Roman" w:hAnsi="Times New Roman" w:cs="Times New Roman"/>
          <w:color w:val="0070C0"/>
          <w:sz w:val="16"/>
          <w:szCs w:val="16"/>
        </w:rPr>
        <w:t>20</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мая 1917 г. противник провел интенсивную воздушную разведку к югу от железной дороги Ковель - Сарны с привлечением до 43 своих самолетов (23405).</w:t>
      </w:r>
    </w:p>
    <w:p w14:paraId="7E04129F" w14:textId="77777777" w:rsidR="00A616FB" w:rsidRPr="00FB4F67" w:rsidRDefault="00A616FB" w:rsidP="0083075A">
      <w:pPr>
        <w:spacing w:after="0" w:line="240" w:lineRule="auto"/>
        <w:jc w:val="both"/>
        <w:rPr>
          <w:rFonts w:ascii="Times New Roman" w:hAnsi="Times New Roman" w:cs="Times New Roman"/>
          <w:color w:val="0070C0"/>
          <w:sz w:val="16"/>
          <w:szCs w:val="16"/>
        </w:rPr>
      </w:pPr>
    </w:p>
    <w:p w14:paraId="0147F52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093F9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E544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7-12 (20-25) мая 1917 прошла Всероссийская конференция меньшевиков (1348,85).</w:t>
      </w:r>
    </w:p>
    <w:p w14:paraId="019387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B1F1D2" w14:textId="77777777" w:rsidR="00CA6C19" w:rsidRPr="002F2FDF" w:rsidRDefault="00CA6C1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мая в 1917 году Временное правительство предоставило католической церкви право религиозной пропаганды в России (14884).</w:t>
      </w:r>
    </w:p>
    <w:p w14:paraId="2C96B9D1" w14:textId="77777777" w:rsidR="00CA6C19" w:rsidRPr="002F2FDF" w:rsidRDefault="00CA6C19" w:rsidP="0083075A">
      <w:pPr>
        <w:spacing w:after="0" w:line="240" w:lineRule="auto"/>
        <w:jc w:val="both"/>
        <w:rPr>
          <w:rFonts w:ascii="Times New Roman" w:hAnsi="Times New Roman" w:cs="Times New Roman"/>
          <w:color w:val="000000" w:themeColor="text1"/>
          <w:kern w:val="2"/>
          <w:sz w:val="16"/>
          <w:szCs w:val="16"/>
        </w:rPr>
      </w:pPr>
    </w:p>
    <w:p w14:paraId="2D63529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2F2FDF">
        <w:rPr>
          <w:rFonts w:ascii="Times New Roman" w:hAnsi="Times New Roman" w:cs="Times New Roman"/>
          <w:i/>
          <w:iCs/>
          <w:color w:val="000000" w:themeColor="text1"/>
          <w:kern w:val="2"/>
          <w:sz w:val="16"/>
          <w:szCs w:val="16"/>
        </w:rPr>
        <w:t>За</w:t>
      </w:r>
      <w:r w:rsidRPr="002F2FDF">
        <w:rPr>
          <w:rFonts w:ascii="Times New Roman" w:hAnsi="Times New Roman" w:cs="Times New Roman"/>
          <w:i/>
          <w:iCs/>
          <w:color w:val="000000" w:themeColor="text1"/>
          <w:kern w:val="2"/>
          <w:sz w:val="16"/>
          <w:szCs w:val="16"/>
          <w:lang w:val="en-US"/>
        </w:rPr>
        <w:t xml:space="preserve"> </w:t>
      </w:r>
      <w:r w:rsidRPr="002F2FDF">
        <w:rPr>
          <w:rFonts w:ascii="Times New Roman" w:hAnsi="Times New Roman" w:cs="Times New Roman"/>
          <w:i/>
          <w:iCs/>
          <w:color w:val="000000" w:themeColor="text1"/>
          <w:kern w:val="2"/>
          <w:sz w:val="16"/>
          <w:szCs w:val="16"/>
        </w:rPr>
        <w:t>рубежом</w:t>
      </w:r>
      <w:r w:rsidRPr="002F2FDF">
        <w:rPr>
          <w:rFonts w:ascii="Times New Roman" w:hAnsi="Times New Roman" w:cs="Times New Roman"/>
          <w:i/>
          <w:iCs/>
          <w:color w:val="000000" w:themeColor="text1"/>
          <w:kern w:val="2"/>
          <w:sz w:val="16"/>
          <w:szCs w:val="16"/>
          <w:lang w:val="en-US"/>
        </w:rPr>
        <w:t>:</w:t>
      </w:r>
    </w:p>
    <w:p w14:paraId="566359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3C68D8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May 20 1917 First aircraft sinking of a submarine, the German U-36, in the North Sea by a British flying boat (1038).</w:t>
      </w:r>
    </w:p>
    <w:p w14:paraId="1D45E0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1CD44E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мая 1917 самолетом - английской летающей лодкой - в Северном море впервые была потоплена немецкая подводная лодка У-36 (1038).</w:t>
      </w:r>
    </w:p>
    <w:p w14:paraId="17CEBE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785603"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7 (20) мая</w:t>
      </w:r>
      <w:r w:rsidRPr="002F2FDF">
        <w:rPr>
          <w:rFonts w:ascii="Times New Roman" w:hAnsi="Times New Roman" w:cs="Times New Roman"/>
          <w:color w:val="000000" w:themeColor="text1"/>
          <w:kern w:val="2"/>
          <w:sz w:val="16"/>
          <w:szCs w:val="16"/>
        </w:rPr>
        <w:t xml:space="preserve"> в 1917 году впервые подводная лодка уничтожена боевым самолетом. Всплывшую немецкую подлодку UC36 заметил и потопил англичанин Мориш, командир летающей лодки «Большая Америка» (14897).</w:t>
      </w:r>
    </w:p>
    <w:p w14:paraId="3088ACDF"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p>
    <w:p w14:paraId="065CC38D" w14:textId="77777777" w:rsidR="00787699" w:rsidRPr="002F2FDF" w:rsidRDefault="0078769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FC6B836" w14:textId="77777777" w:rsidR="00787699" w:rsidRPr="002F2FDF" w:rsidRDefault="0078769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95CE19" w14:textId="77777777" w:rsidR="00787699" w:rsidRPr="002F2FDF" w:rsidRDefault="0078769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shd w:val="clear" w:color="auto" w:fill="FFFFFF"/>
        </w:rPr>
        <w:t>К началу мая 1917 года с новой взлетной полосы главного аэродрома в Херсоне в небо поднялся аэроплан «Моран-Парасол», пилотируемый начальником аэродрома подполковником Вегинером. Затем были и другие учебные полеты херсонских авиаторов, к сожалению, не всегда удачные. Так, в начале осени вследст</w:t>
      </w:r>
      <w:r w:rsidRPr="002F2FDF">
        <w:rPr>
          <w:rFonts w:ascii="Times New Roman" w:hAnsi="Times New Roman" w:cs="Times New Roman"/>
          <w:color w:val="000000" w:themeColor="text1"/>
          <w:sz w:val="16"/>
          <w:szCs w:val="16"/>
          <w:shd w:val="clear" w:color="auto" w:fill="FFFFFF"/>
        </w:rPr>
        <w:softHyphen/>
        <w:t>вие густого тумана и влажности воздуха у самолета выполнявшего тренировочный полет над Военным форштадтом, отказал мотор. Военный летчик прапорщик Озоль совершил вынужденную посадку во дворе частного дома близ городской крепости. Ударившийся о стену сарая самолет принял вертикальное положение, выпавший авиатор получил незначительные ушибы лица и головы, но остался жив</w:t>
      </w:r>
      <w:r w:rsidRPr="002F2FDF">
        <w:rPr>
          <w:rFonts w:ascii="Times New Roman" w:hAnsi="Times New Roman" w:cs="Times New Roman"/>
          <w:color w:val="000000" w:themeColor="text1"/>
          <w:sz w:val="16"/>
          <w:szCs w:val="16"/>
        </w:rPr>
        <w:t xml:space="preserve"> (19167)</w:t>
      </w:r>
      <w:r w:rsidRPr="002F2FDF">
        <w:rPr>
          <w:rFonts w:ascii="Times New Roman" w:hAnsi="Times New Roman" w:cs="Times New Roman"/>
          <w:color w:val="000000" w:themeColor="text1"/>
          <w:sz w:val="16"/>
          <w:szCs w:val="16"/>
          <w:shd w:val="clear" w:color="auto" w:fill="FFFFFF"/>
        </w:rPr>
        <w:t>.</w:t>
      </w:r>
    </w:p>
    <w:p w14:paraId="0F109729" w14:textId="77777777" w:rsidR="00787699" w:rsidRPr="002F2FDF" w:rsidRDefault="00787699" w:rsidP="0083075A">
      <w:pPr>
        <w:spacing w:after="0" w:line="240" w:lineRule="auto"/>
        <w:jc w:val="both"/>
        <w:rPr>
          <w:rFonts w:ascii="Times New Roman" w:hAnsi="Times New Roman" w:cs="Times New Roman"/>
          <w:color w:val="000000" w:themeColor="text1"/>
          <w:sz w:val="16"/>
          <w:szCs w:val="16"/>
        </w:rPr>
      </w:pPr>
    </w:p>
    <w:p w14:paraId="0A83BFF6" w14:textId="77777777" w:rsidR="005505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B67FF74" w14:textId="77777777" w:rsidR="005505D2" w:rsidRPr="002F2FDF" w:rsidRDefault="005505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C00318" w14:textId="77777777" w:rsidR="005505D2" w:rsidRPr="002F2FDF" w:rsidRDefault="005505D2"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8 </w:t>
      </w:r>
      <w:r w:rsidR="00731D28" w:rsidRPr="002F2FDF">
        <w:rPr>
          <w:color w:val="000000" w:themeColor="text1"/>
          <w:kern w:val="2"/>
          <w:sz w:val="16"/>
          <w:szCs w:val="16"/>
        </w:rPr>
        <w:t xml:space="preserve">(21) </w:t>
      </w:r>
      <w:r w:rsidRPr="002F2FDF">
        <w:rPr>
          <w:color w:val="000000" w:themeColor="text1"/>
          <w:kern w:val="2"/>
          <w:sz w:val="16"/>
          <w:szCs w:val="16"/>
        </w:rPr>
        <w:t>мая 1917 малый завод в корпусе «Б» Ковровского завода начал выпускать готовые изделия (согласно протоколу комиссии по делу о выдаче разрешения на право открытия промышленного заведения № 1732) Завод признан работающем всецело на государственную оборону».</w:t>
      </w:r>
    </w:p>
    <w:p w14:paraId="64439698" w14:textId="77777777" w:rsidR="005505D2" w:rsidRPr="002F2FDF" w:rsidRDefault="005505D2" w:rsidP="0083075A">
      <w:pPr>
        <w:pStyle w:val="ae"/>
        <w:spacing w:before="0" w:after="0"/>
        <w:jc w:val="both"/>
        <w:rPr>
          <w:color w:val="000000" w:themeColor="text1"/>
          <w:kern w:val="2"/>
          <w:sz w:val="16"/>
          <w:szCs w:val="16"/>
        </w:rPr>
      </w:pPr>
      <w:r w:rsidRPr="002F2FDF">
        <w:rPr>
          <w:color w:val="000000" w:themeColor="text1"/>
          <w:kern w:val="2"/>
          <w:sz w:val="16"/>
          <w:szCs w:val="16"/>
        </w:rPr>
        <w:t>1 июня 1917 года правление Первого русского акционерного общества ружейных и пулеметных заводов удостоверило, что инженер Исидор Николаевич Квиль стоит строителем ружейно-пулеметвего завода в г. Коврове, согласно заключенному с ним договору от 11.08.1916 года.</w:t>
      </w:r>
    </w:p>
    <w:p w14:paraId="0FF52E1F" w14:textId="77777777" w:rsidR="005505D2" w:rsidRPr="002F2FDF" w:rsidRDefault="005505D2" w:rsidP="0083075A">
      <w:pPr>
        <w:pStyle w:val="ae"/>
        <w:spacing w:before="0" w:after="0"/>
        <w:jc w:val="both"/>
        <w:rPr>
          <w:color w:val="000000" w:themeColor="text1"/>
          <w:kern w:val="2"/>
          <w:sz w:val="16"/>
          <w:szCs w:val="16"/>
        </w:rPr>
      </w:pPr>
      <w:r w:rsidRPr="002F2FDF">
        <w:rPr>
          <w:color w:val="000000" w:themeColor="text1"/>
          <w:kern w:val="2"/>
          <w:sz w:val="16"/>
          <w:szCs w:val="16"/>
        </w:rPr>
        <w:t>12 августа по соглашению с генералом Третьяковым состоялась приемка- первых четырех ружей-пулеметов Мадсена с запасными стволами Результаты приемных испьтаний неудовлетворительные. В периож гражданской войны русская армия так и не получила оружия от Ковровекого пулеметного завода.</w:t>
      </w:r>
    </w:p>
    <w:p w14:paraId="4BF71A20" w14:textId="77777777" w:rsidR="005505D2" w:rsidRPr="002F2FDF" w:rsidRDefault="005505D2" w:rsidP="0083075A">
      <w:pPr>
        <w:pStyle w:val="ae"/>
        <w:spacing w:before="0" w:after="0"/>
        <w:jc w:val="both"/>
        <w:rPr>
          <w:color w:val="000000" w:themeColor="text1"/>
          <w:kern w:val="2"/>
          <w:sz w:val="16"/>
          <w:szCs w:val="16"/>
        </w:rPr>
      </w:pPr>
      <w:r w:rsidRPr="002F2FDF">
        <w:rPr>
          <w:color w:val="000000" w:themeColor="text1"/>
          <w:kern w:val="2"/>
          <w:sz w:val="16"/>
          <w:szCs w:val="16"/>
        </w:rPr>
        <w:t>21 октября ГАУ корректирует заказ ружей-пулеметов Мадсена с 15000 до 10000 штук и заказывает 9000 ружей-пулеметов системы В.Г. Федорова.</w:t>
      </w:r>
    </w:p>
    <w:p w14:paraId="61B226AC" w14:textId="77777777" w:rsidR="005505D2" w:rsidRPr="002F2FDF" w:rsidRDefault="005505D2" w:rsidP="0083075A">
      <w:pPr>
        <w:pStyle w:val="ae"/>
        <w:spacing w:before="0" w:after="0"/>
        <w:jc w:val="both"/>
        <w:rPr>
          <w:color w:val="000000" w:themeColor="text1"/>
          <w:kern w:val="2"/>
          <w:sz w:val="16"/>
          <w:szCs w:val="16"/>
        </w:rPr>
      </w:pPr>
      <w:r w:rsidRPr="002F2FDF">
        <w:rPr>
          <w:color w:val="000000" w:themeColor="text1"/>
          <w:kern w:val="2"/>
          <w:sz w:val="16"/>
          <w:szCs w:val="16"/>
        </w:rPr>
        <w:t>Корпуса «А» и «Б» расположены в северной части заводской территории и ориентированы главными фасадами на север - в сторону старого города, находящегося за линией железной дороги. Они построены в 1916-1917 гг. по проекту Б.М. Великовского в стиле неоклассицизма, что придает комплексу завода им. Дегтярева дополнительное историческое архитектурное своеобразие (12221).</w:t>
      </w:r>
    </w:p>
    <w:p w14:paraId="0A8287A7" w14:textId="77777777" w:rsidR="005505D2" w:rsidRPr="002F2FDF" w:rsidRDefault="005505D2" w:rsidP="0083075A">
      <w:pPr>
        <w:pStyle w:val="ae"/>
        <w:spacing w:before="0" w:after="0"/>
        <w:jc w:val="both"/>
        <w:rPr>
          <w:color w:val="000000" w:themeColor="text1"/>
          <w:kern w:val="2"/>
          <w:sz w:val="16"/>
          <w:szCs w:val="16"/>
        </w:rPr>
      </w:pPr>
    </w:p>
    <w:p w14:paraId="4C9ACC1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99542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151F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мая 1917 капитан Г.В. Клембовский на "ИМ-15" вступил в воздушный бой с тремя немецкими истребителями и сбил двух из них, которые осмелились подойти слишком близко. На борту "ИМ-15" механик Голубец был легко ранен в плечо. Воздушное судно получило несколько попаданий, которые повредили пропеллер и вывели из строя один из двигателей.</w:t>
      </w:r>
    </w:p>
    <w:p w14:paraId="2B7020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История этого рейда такова: "ИМ-15" вылетел из Ягельницы, неподалеку от Черткова утром (8 мая) 1917 г. Экипаж состоял из командира корабля, капитана Г.В. Клембовского; заместителя командира лейтенанта Демичева-Иванова; артиллерийского офицера капитана П.В. Ивановского; военного пилота штабс-капитана Федорова; и механика, унтер- офицера Голубца. На борту самолета было 606 кг бензина, 131 кг масла, шесть 16-кг бомб и четыре пулемета, включая Виккерс и Льюис, а также два легких пулемета Мадсена. Патронов - с избытком. Маршрут вылета: Ягельница, Мон- стрежиско, Липица, Дольна и сельскохозяйственный комплекс в Хутиско, где находился штаб 22-й турецкой пехотной дивизии. Во время полета экипаж воздушного судна стрелял из пулеметов по вражеским окопам. Четыре бомбы, сброшенные на Хутиско, попали в строения и вызвали пожары. На обратном пути, примерно в десяти километрах от наших окопов, в районе деревни Мечищув, три "Фоккера" приблизились и атаковали "ИМ-15" сзади. Ответным огнем один истребитель был сбит и упал в лесу неподалеку от германских траншей. Второй "Фоккер" был сбит уже над нашей территорией. Из-за повреждений, которые получил "ИМ-15" и из-за ранений механика Голубца экипаж не видел падение "Фоккера". Информация об уничтожении германских самолетов была передана в штаб армии частями XLI армейского корпуса. Свидетели указывали, что воздушный бой проходил на высоте от 1800 до 2400 метров.</w:t>
      </w:r>
    </w:p>
    <w:p w14:paraId="078F62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За эти боевые действия заместитель командира "ИМ- 15" лейтенант Демичев-Иванов был награжден орденом Св. Георгия IV степени. Капитан Ивановский и штабс- капитан Федоров - Георгиевскими мечами, унтер-офицер Голубец - Георгиевским крестом. Командир "ИМ-15", капитан Клембовский был также рекомендован к </w:t>
      </w:r>
      <w:r w:rsidRPr="002F2FDF">
        <w:rPr>
          <w:rFonts w:ascii="Times New Roman" w:hAnsi="Times New Roman" w:cs="Times New Roman"/>
          <w:color w:val="000000" w:themeColor="text1"/>
          <w:kern w:val="2"/>
          <w:sz w:val="16"/>
          <w:szCs w:val="16"/>
        </w:rPr>
        <w:lastRenderedPageBreak/>
        <w:t>награждению орденом Св. Георгия IV степени. Эта рекомендация была послана через штаб Юго-Западного фронта в Георгиевский совет в Петрограде, но последующие революционные события помешали капитану Клембовскому получить награду.</w:t>
      </w:r>
    </w:p>
    <w:p w14:paraId="22B7F2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воздушного боя капитан Клембовский получил следующую телеграмму от командующего Юго-Западным фронтом:</w:t>
      </w:r>
    </w:p>
    <w:p w14:paraId="05E127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Главнокомандующий приказал передать свою глубокую благодарность всем членам экипажа "ИМ-15" за их отважные действия во время воздушного боя в районе деревни Мечищув (11999).</w:t>
      </w:r>
    </w:p>
    <w:p w14:paraId="29AA96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5F962E" w14:textId="265A6942"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8 </w:t>
      </w:r>
      <w:r>
        <w:rPr>
          <w:rFonts w:ascii="Times New Roman" w:hAnsi="Times New Roman" w:cs="Times New Roman"/>
          <w:color w:val="0070C0"/>
          <w:sz w:val="16"/>
          <w:szCs w:val="16"/>
        </w:rPr>
        <w:t xml:space="preserve">(21) </w:t>
      </w:r>
      <w:r w:rsidRPr="00FB4F67">
        <w:rPr>
          <w:rFonts w:ascii="Times New Roman" w:hAnsi="Times New Roman" w:cs="Times New Roman"/>
          <w:color w:val="0070C0"/>
          <w:sz w:val="16"/>
          <w:szCs w:val="16"/>
        </w:rPr>
        <w:t>мая 1917 г. капитан Г. В. Клембовский на ИМ-15 вступил в воздушный бой с тремя немецкими истребителями и сбил двух из них, которые осмелились подойти слишком близко. На борту ИМ-15 механик Голубец был легко ранен в плечо. Воздушное судно получило несколько попаданий, которые повредили пропеллер и вывели из строя один из двигателей.</w:t>
      </w:r>
    </w:p>
    <w:p w14:paraId="75112060" w14:textId="77777777"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ИМ-15 вылетел из Ягельницы, неподалеку от Черткова утром 8 мая 1917 г. Экипаж состоял из командира корабля, капитана Г. В. Клембовского; заместителя командира лейтенанта Демичева-Иванова; артиллерийского офицера капитана П. В. Ивановского; военного пилота штабс-капитана Федорова; и механика, унтер-офицера Голубца. На борту самолета было 606 кг бензина, 131 кг масла, 6 16-ти килограммовых бомб и четыре пулемета, включая Виккерс и Льюис, а также два легких пулемета Мадсена. Патронов было в изобилии. Маршрут этого вылета был следующим: Ягельница, Монстрежиско, Липица Дольна, и сельскохозяйственный комплекс в Хутиско, где был расположен штаб 22-й турецкой пехотной дивизии. Во время полета экипаж воздушного судна стрелял из пулеметов по вражеским окопам. Четыре бомбы, сброшенные на Хутиско, попали в строения и вызвали пожары. Во время обратного полета, примерно в десяти километрах от наших окопов, в районе деревни Мечищув три вражеских истребителя типа Фоккер приблизились и атаковали ИМ-15 сзади. Ответным огнем один истребитель был сбит и упал в лесу неподалеку от вражеских траншей. Второй Фоккер был сбит уже над нашей территорией. Из-за повреждений, которые получил ИМ-15 и из-за ранений механика Голубца экипаж не видел падение Фоккера. Информация об уничтожении вражеских самолетов была передана в штаб армии частями 41 армейского корпуса. Свидетели указывали, что воздушный бой проходил на высоте 1800 до 2400 метров.</w:t>
      </w:r>
    </w:p>
    <w:p w14:paraId="2D13EF86" w14:textId="77777777"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За эти боевые действия заместитель командира ИМ-15 лейтенант Демичев-Иванов был награжден Орденом Св. Георгия IV степени. Капитан П. В. Ивановский и штабс-капитан В. С. Федоров были награждены Георгиевскими мечами, унтер-офицер С. Голубец был награжден Георгиевским крестом. Командир ИМ-15, капитан Клембовский был также рекомендован к награждению орденом св. Георгия IV степени. Эта рекомендация была послана через штаб Юго-западного фронта в Георгиевский совет в Петрограде, но последующие революционные события помешали капитану Клембовскому получить награду.</w:t>
      </w:r>
    </w:p>
    <w:p w14:paraId="70D8A9D7" w14:textId="77777777"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После воздушного боя капитан Клембовский получил следующую телеграмму от командующего Юго-западным фронтом:</w:t>
      </w:r>
    </w:p>
    <w:p w14:paraId="42F885DB" w14:textId="77777777"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Главнокомандующий приказал передать свою глубокую благодарность всем членам экипажа Ильи Муромца — XV за их отважные действия во время воздушного боя 8 мая в районе деревни Мечищув (23470).</w:t>
      </w:r>
    </w:p>
    <w:p w14:paraId="5333FA00" w14:textId="77777777" w:rsidR="009C08ED" w:rsidRPr="00FB4F67" w:rsidRDefault="009C08ED" w:rsidP="0083075A">
      <w:pPr>
        <w:spacing w:after="0" w:line="240" w:lineRule="auto"/>
        <w:jc w:val="both"/>
        <w:rPr>
          <w:rFonts w:ascii="Times New Roman" w:hAnsi="Times New Roman" w:cs="Times New Roman"/>
          <w:color w:val="0070C0"/>
          <w:sz w:val="16"/>
          <w:szCs w:val="16"/>
        </w:rPr>
      </w:pPr>
    </w:p>
    <w:p w14:paraId="42C54EFA" w14:textId="18882436" w:rsidR="00A616FB" w:rsidRPr="00FB4F67" w:rsidRDefault="00A616F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8 (</w:t>
      </w:r>
      <w:r w:rsidRPr="00FB4F67">
        <w:rPr>
          <w:rFonts w:ascii="Times New Roman" w:hAnsi="Times New Roman" w:cs="Times New Roman"/>
          <w:color w:val="0070C0"/>
          <w:sz w:val="16"/>
          <w:szCs w:val="16"/>
        </w:rPr>
        <w:t>21</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мая 1917 г. Полковник С.А. Немченко был назначен временно исполняющим обязанности командующего Российским военно-воздушным флотом. Он оставался только до тех пор, пока командиром не был назначен Полковник С.А. Ульянин (бывший заместитель командира). Однако по приезде Ульянин отказался от должности. Вероятно, они занимались служебными делами, пока Ткачев не принял командование 22 июня (23525).</w:t>
      </w:r>
    </w:p>
    <w:p w14:paraId="2673A2EA" w14:textId="77777777" w:rsidR="00A616FB" w:rsidRPr="00FB4F67" w:rsidRDefault="00A616FB" w:rsidP="0083075A">
      <w:pPr>
        <w:spacing w:after="0" w:line="240" w:lineRule="auto"/>
        <w:jc w:val="both"/>
        <w:rPr>
          <w:rFonts w:ascii="Times New Roman" w:hAnsi="Times New Roman" w:cs="Times New Roman"/>
          <w:color w:val="0070C0"/>
          <w:sz w:val="16"/>
          <w:szCs w:val="16"/>
        </w:rPr>
      </w:pPr>
    </w:p>
    <w:p w14:paraId="105473E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2EED7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DF9B9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мая 1917 из эмиграции в Россию (через Германию) вернулся лидер меньшевиков Мартов (4962).</w:t>
      </w:r>
    </w:p>
    <w:p w14:paraId="70608B3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C92F45" w14:textId="77777777" w:rsidR="00CA6C19"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3B273AC4" w14:textId="77777777" w:rsidR="00CA6C19" w:rsidRPr="002F2FDF" w:rsidRDefault="00CA6C1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063CBB" w14:textId="77777777" w:rsidR="00CA6C19" w:rsidRPr="002F2FDF" w:rsidRDefault="00CA6C19"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8 (21) мая 1917 г.</w:t>
      </w:r>
      <w:r w:rsidRPr="002F2FDF">
        <w:rPr>
          <w:rFonts w:ascii="Times New Roman" w:hAnsi="Times New Roman" w:cs="Times New Roman"/>
          <w:color w:val="000000" w:themeColor="text1"/>
          <w:kern w:val="2"/>
          <w:sz w:val="16"/>
          <w:szCs w:val="16"/>
        </w:rPr>
        <w:t xml:space="preserve"> Телеграмма К. М. Ону Министерству, иностранных дел об отказе английского правительства от дальнейшего кредитования русских заказов в США.</w:t>
      </w:r>
    </w:p>
    <w:p w14:paraId="6954AF5E" w14:textId="014039DF" w:rsidR="00CA6C19" w:rsidRPr="002F2FDF" w:rsidRDefault="00CA6C1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540</w:t>
      </w:r>
    </w:p>
    <w:p w14:paraId="70D89677" w14:textId="3DA88D2C" w:rsidR="00CA6C19" w:rsidRPr="002F2FDF" w:rsidRDefault="00CA6C1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ЦГИАЛ, ф. 1525, оп. 1, д. 681, л. 109-—109 об. Заверенная копия.</w:t>
      </w:r>
    </w:p>
    <w:p w14:paraId="401153F5" w14:textId="77777777" w:rsidR="00CA6C19" w:rsidRPr="002F2FDF" w:rsidRDefault="00CA6C19" w:rsidP="0083075A">
      <w:pPr>
        <w:pStyle w:val="rtejustify"/>
        <w:spacing w:before="0" w:after="0"/>
        <w:rPr>
          <w:color w:val="000000" w:themeColor="text1"/>
          <w:kern w:val="2"/>
          <w:sz w:val="16"/>
          <w:szCs w:val="16"/>
        </w:rPr>
      </w:pPr>
      <w:r w:rsidRPr="002F2FDF">
        <w:rPr>
          <w:color w:val="000000" w:themeColor="text1"/>
          <w:kern w:val="2"/>
          <w:sz w:val="16"/>
          <w:szCs w:val="16"/>
        </w:rPr>
        <w:t>Как только правительство Соединенных Штатов предоставило нам кредит,</w:t>
      </w:r>
      <w:hyperlink r:id="rId164" w:anchor="_ftn1" w:history="1">
        <w:r w:rsidRPr="002F2FDF">
          <w:rPr>
            <w:rStyle w:val="a5"/>
            <w:color w:val="000000" w:themeColor="text1"/>
            <w:kern w:val="2"/>
            <w:sz w:val="16"/>
            <w:szCs w:val="16"/>
          </w:rPr>
          <w:t>[1]</w:t>
        </w:r>
      </w:hyperlink>
      <w:r w:rsidRPr="002F2FDF">
        <w:rPr>
          <w:color w:val="000000" w:themeColor="text1"/>
          <w:kern w:val="2"/>
          <w:sz w:val="16"/>
          <w:szCs w:val="16"/>
        </w:rPr>
        <w:t xml:space="preserve"> дозволяющий нам без потери времени поместить наш заказ подвижного состава, здешнее великобританское посольство и чрезвычайная английская миссия</w:t>
      </w:r>
      <w:hyperlink r:id="rId165" w:anchor="_ftn2" w:history="1">
        <w:r w:rsidRPr="002F2FDF">
          <w:rPr>
            <w:rStyle w:val="a5"/>
            <w:color w:val="000000" w:themeColor="text1"/>
            <w:kern w:val="2"/>
            <w:sz w:val="16"/>
            <w:szCs w:val="16"/>
          </w:rPr>
          <w:t>[2]</w:t>
        </w:r>
      </w:hyperlink>
      <w:r w:rsidRPr="002F2FDF">
        <w:rPr>
          <w:color w:val="000000" w:themeColor="text1"/>
          <w:kern w:val="2"/>
          <w:sz w:val="16"/>
          <w:szCs w:val="16"/>
        </w:rPr>
        <w:t xml:space="preserve"> возбудили вопрос о возложении на нас всех дальнейших платежей по морганским русским заказам, причем сам Бальфур настаивал на этом перед г. Кросби, товарищем министра финансов. Последний вызвал меня и просил сообщить ему мое мнение. Я ответил ему. что помещением железнодорожного заказа исчерпываются пока мои полномочия и что дальнейшие переговоры о наших нуждах и эвентуальное переложение всех моргановских платежей с Англии на С. А. С. Штаты будут подлежать рассмотрению нашего чрезвычайного посольства; к этому я прибавил, что так как помещение морганских заказов основано на соглашении между Россией и Англией, то переложение долга на Америку может быть возбуждено лишь по предварительному соглашению между нами и англичанами. Товарищ министра финансов ответил мне, что эта точка зрения всецело разделяется правительством С. А. С. Штатов и что Бальфурѵ и английскому посольству в этом смысле дан ответ.</w:t>
      </w:r>
    </w:p>
    <w:p w14:paraId="73CEBA3D" w14:textId="77777777" w:rsidR="00CA6C19" w:rsidRPr="002F2FDF" w:rsidRDefault="00CA6C19"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Ону.</w:t>
      </w:r>
    </w:p>
    <w:p w14:paraId="5CCBA700" w14:textId="77777777" w:rsidR="00CA6C19" w:rsidRPr="002F2FDF" w:rsidRDefault="00000000" w:rsidP="0083075A">
      <w:pPr>
        <w:pStyle w:val="ae"/>
        <w:spacing w:before="0" w:after="0"/>
        <w:jc w:val="both"/>
        <w:rPr>
          <w:color w:val="000000" w:themeColor="text1"/>
          <w:kern w:val="2"/>
          <w:sz w:val="16"/>
          <w:szCs w:val="16"/>
        </w:rPr>
      </w:pPr>
      <w:hyperlink r:id="rId166" w:anchor="_ftnref1" w:history="1">
        <w:r w:rsidR="00CA6C19" w:rsidRPr="002F2FDF">
          <w:rPr>
            <w:rStyle w:val="a5"/>
            <w:color w:val="000000" w:themeColor="text1"/>
            <w:kern w:val="2"/>
            <w:sz w:val="16"/>
            <w:szCs w:val="16"/>
          </w:rPr>
          <w:t>[1]</w:t>
        </w:r>
      </w:hyperlink>
      <w:r w:rsidR="00CA6C19" w:rsidRPr="002F2FDF">
        <w:rPr>
          <w:color w:val="000000" w:themeColor="text1"/>
          <w:kern w:val="2"/>
          <w:sz w:val="16"/>
          <w:szCs w:val="16"/>
        </w:rPr>
        <w:t xml:space="preserve"> Имеется в виду кредит в 100 млн. дол., предоставленный Соединенными Штатами России 3 мая 1917 г.</w:t>
      </w:r>
    </w:p>
    <w:p w14:paraId="0BD29A1F" w14:textId="77777777" w:rsidR="00CA6C19" w:rsidRPr="002F2FDF" w:rsidRDefault="00000000" w:rsidP="0083075A">
      <w:pPr>
        <w:pStyle w:val="ae"/>
        <w:spacing w:before="0" w:after="0"/>
        <w:jc w:val="both"/>
        <w:rPr>
          <w:color w:val="000000" w:themeColor="text1"/>
          <w:kern w:val="2"/>
          <w:sz w:val="16"/>
          <w:szCs w:val="16"/>
        </w:rPr>
      </w:pPr>
      <w:hyperlink r:id="rId167" w:anchor="_ftnref2" w:history="1">
        <w:r w:rsidR="00CA6C19" w:rsidRPr="002F2FDF">
          <w:rPr>
            <w:rStyle w:val="a5"/>
            <w:color w:val="000000" w:themeColor="text1"/>
            <w:kern w:val="2"/>
            <w:sz w:val="16"/>
            <w:szCs w:val="16"/>
          </w:rPr>
          <w:t>[2]</w:t>
        </w:r>
      </w:hyperlink>
      <w:r w:rsidR="00CA6C19" w:rsidRPr="002F2FDF">
        <w:rPr>
          <w:color w:val="000000" w:themeColor="text1"/>
          <w:kern w:val="2"/>
          <w:sz w:val="16"/>
          <w:szCs w:val="16"/>
        </w:rPr>
        <w:t xml:space="preserve"> Чрезвычайная миссия Бальфура была направлена в Соединенные Штаты Америки вскоре после объявления войны Соединенными Штатами Германии. Главные задачи миссии — координация военных условий и ускорение американской помощи союзникам в Европе (15183).</w:t>
      </w:r>
    </w:p>
    <w:p w14:paraId="296F590D" w14:textId="77777777" w:rsidR="00CA6C19" w:rsidRPr="002F2FDF" w:rsidRDefault="00CA6C19"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2FB80DA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2EFC5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7430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мая 1917 было подготовлено отношение начальника Ижорского завода начальнику УВВФ № 326с О СТРОИТЕЛЬСТВЕ ИЖОРСКИМ ЗАВОДОМ АЭРОПЛАНА ЕГО СИСТЕМЫ</w:t>
      </w:r>
    </w:p>
    <w:p w14:paraId="1B630D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Согласно телеграмме от 8 апреля 1916 года за № 6972 и журнальному постановлению Технического комитета Управления Военного Воздушного Флота от 19 июля 1916 г. за № 40, Ижорским заводом производилось изготовление аэроплана большого размера.</w:t>
      </w:r>
    </w:p>
    <w:p w14:paraId="4208DD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Готовность аппарата определяется заводом приблизительно в 50 %, а именно:</w:t>
      </w:r>
    </w:p>
    <w:p w14:paraId="691742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Фермы главной коробки находятся в сборе, правая половина собрана, левая собрана на 75 %. Все детали отделаны.</w:t>
      </w:r>
    </w:p>
    <w:p w14:paraId="3C53A6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Гондола (фюзеляж) - собрана; при приостановке завода подготовлялась к пробе нагрузкой.</w:t>
      </w:r>
    </w:p>
    <w:p w14:paraId="701CB0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Рули высоты и поворотов - нервюры готовы, баллера в отделке.</w:t>
      </w:r>
    </w:p>
    <w:p w14:paraId="17B299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Крылышки - не делались.</w:t>
      </w:r>
    </w:p>
    <w:p w14:paraId="39C1C1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Нервюры крыльев - готовы.</w:t>
      </w:r>
    </w:p>
    <w:p w14:paraId="592D23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Материал для крыльев, рулей, обшивки гондолы н т. д. - имеется.</w:t>
      </w:r>
    </w:p>
    <w:p w14:paraId="33A9C8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Фундаменты под моторы - изготовляются, 30 % готовности.</w:t>
      </w:r>
    </w:p>
    <w:p w14:paraId="1383D8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Шасси - металлические части изготовлены на 50 %, колес изготовлено 2 для пробы, шин резиновых - 4; проба колеса нагрузкой была произведена - окончилась неудачей были сделаны изменения в колесе и теперь необходимо опять произвести пробу.</w:t>
      </w:r>
    </w:p>
    <w:p w14:paraId="44084B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Гребные винты - заготовлен материал, чертежи выпущены в мастерские.</w:t>
      </w:r>
    </w:p>
    <w:p w14:paraId="0D4266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Цистерны бензиновые имеются.</w:t>
      </w:r>
    </w:p>
    <w:p w14:paraId="476B7D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Цистерны масляные, трубопровод, все приспособления для управления моторами и рулями, обтяжка крыльев и рулей, обтяжка гондолы, окраска изготовлением не начиналась.</w:t>
      </w:r>
    </w:p>
    <w:p w14:paraId="01C158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изготовление аэроплана заводом израсходовано 218 825 рублей. На окончание работ по изготовлению аэроплана по приблизительному подсчету потребуется еще около 250-300 тыс. рублей.</w:t>
      </w:r>
    </w:p>
    <w:p w14:paraId="715C9E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расчеты за исполненные работы, а также и за окончание изготовления аэроплана должны быть произведены по действительной стоимости изготовления.</w:t>
      </w:r>
    </w:p>
    <w:p w14:paraId="0948E1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Ижорский завод просит его уведомить, продолжать ли изготовление аэроплана и в утвердительном случае о выдаче аванса в сумме 250 000 руб. В противном случае об уплате денег заводу в возмещение затрат по изготовлению аэроплана.</w:t>
      </w:r>
    </w:p>
    <w:p w14:paraId="4BF19E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начальника завода, инженер-металлург Н. Нагоров (9792).</w:t>
      </w:r>
    </w:p>
    <w:p w14:paraId="0F56D9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E09FD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160C2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049A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мая 1917 в Петрограде осматривали макет установки 37-мм пушек Обуховского завода на станке Металлического завода на М-9 (2809,26).</w:t>
      </w:r>
    </w:p>
    <w:p w14:paraId="539696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14B14D" w14:textId="77777777" w:rsidR="005505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BE2C68A" w14:textId="77777777" w:rsidR="005505D2" w:rsidRPr="002F2FDF" w:rsidRDefault="005505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E787BB" w14:textId="77777777" w:rsidR="005505D2" w:rsidRPr="002F2FDF" w:rsidRDefault="005505D2" w:rsidP="0083075A">
      <w:pPr>
        <w:pStyle w:val="83"/>
        <w:shd w:val="clear" w:color="auto" w:fill="auto"/>
        <w:spacing w:after="0" w:line="240" w:lineRule="auto"/>
        <w:ind w:firstLine="0"/>
        <w:jc w:val="both"/>
        <w:rPr>
          <w:rFonts w:ascii="Times New Roman" w:hAnsi="Times New Roman"/>
          <w:color w:val="000000" w:themeColor="text1"/>
          <w:kern w:val="2"/>
          <w:sz w:val="16"/>
          <w:szCs w:val="16"/>
        </w:rPr>
      </w:pPr>
      <w:r w:rsidRPr="002F2FDF">
        <w:rPr>
          <w:rFonts w:ascii="Times New Roman" w:hAnsi="Times New Roman"/>
          <w:color w:val="000000" w:themeColor="text1"/>
          <w:kern w:val="2"/>
          <w:sz w:val="16"/>
          <w:szCs w:val="16"/>
        </w:rPr>
        <w:t xml:space="preserve">9 </w:t>
      </w:r>
      <w:r w:rsidR="00731D28" w:rsidRPr="002F2FDF">
        <w:rPr>
          <w:rFonts w:ascii="Times New Roman" w:hAnsi="Times New Roman"/>
          <w:color w:val="000000" w:themeColor="text1"/>
          <w:kern w:val="2"/>
          <w:sz w:val="16"/>
          <w:szCs w:val="16"/>
        </w:rPr>
        <w:t xml:space="preserve">(22) </w:t>
      </w:r>
      <w:r w:rsidRPr="002F2FDF">
        <w:rPr>
          <w:rFonts w:ascii="Times New Roman" w:hAnsi="Times New Roman"/>
          <w:color w:val="000000" w:themeColor="text1"/>
          <w:kern w:val="2"/>
          <w:sz w:val="16"/>
          <w:szCs w:val="16"/>
        </w:rPr>
        <w:t>мая 1917 г. в 15-м кор</w:t>
      </w:r>
      <w:r w:rsidRPr="002F2FDF">
        <w:rPr>
          <w:rFonts w:ascii="Times New Roman" w:hAnsi="Times New Roman"/>
          <w:color w:val="000000" w:themeColor="text1"/>
          <w:kern w:val="2"/>
          <w:sz w:val="16"/>
          <w:szCs w:val="16"/>
        </w:rPr>
        <w:softHyphen/>
        <w:t>пусном воздухоплавательном отря</w:t>
      </w:r>
      <w:r w:rsidRPr="002F2FDF">
        <w:rPr>
          <w:rFonts w:ascii="Times New Roman" w:hAnsi="Times New Roman"/>
          <w:color w:val="000000" w:themeColor="text1"/>
          <w:kern w:val="2"/>
          <w:sz w:val="16"/>
          <w:szCs w:val="16"/>
        </w:rPr>
        <w:softHyphen/>
        <w:t>де наблюдатель Сахаров «для прак</w:t>
      </w:r>
      <w:r w:rsidRPr="002F2FDF">
        <w:rPr>
          <w:rFonts w:ascii="Times New Roman" w:hAnsi="Times New Roman"/>
          <w:color w:val="000000" w:themeColor="text1"/>
          <w:kern w:val="2"/>
          <w:sz w:val="16"/>
          <w:szCs w:val="16"/>
        </w:rPr>
        <w:softHyphen/>
        <w:t>тики» выбросился из корзины при</w:t>
      </w:r>
      <w:r w:rsidRPr="002F2FDF">
        <w:rPr>
          <w:rFonts w:ascii="Times New Roman" w:hAnsi="Times New Roman"/>
          <w:color w:val="000000" w:themeColor="text1"/>
          <w:kern w:val="2"/>
          <w:sz w:val="16"/>
          <w:szCs w:val="16"/>
        </w:rPr>
        <w:softHyphen/>
        <w:t>вязного аэростата с высоты более километра и вполне успешно при</w:t>
      </w:r>
      <w:r w:rsidRPr="002F2FDF">
        <w:rPr>
          <w:rFonts w:ascii="Times New Roman" w:hAnsi="Times New Roman"/>
          <w:color w:val="000000" w:themeColor="text1"/>
          <w:kern w:val="2"/>
          <w:sz w:val="16"/>
          <w:szCs w:val="16"/>
        </w:rPr>
        <w:softHyphen/>
        <w:t>землился. 12 мая прыгнул со</w:t>
      </w:r>
      <w:r w:rsidRPr="002F2FDF">
        <w:rPr>
          <w:rFonts w:ascii="Times New Roman" w:hAnsi="Times New Roman"/>
          <w:color w:val="000000" w:themeColor="text1"/>
          <w:kern w:val="2"/>
          <w:sz w:val="16"/>
          <w:szCs w:val="16"/>
        </w:rPr>
        <w:softHyphen/>
        <w:t>служивец Анощенко, подпо</w:t>
      </w:r>
      <w:r w:rsidRPr="002F2FDF">
        <w:rPr>
          <w:rFonts w:ascii="Times New Roman" w:hAnsi="Times New Roman"/>
          <w:color w:val="000000" w:themeColor="text1"/>
          <w:kern w:val="2"/>
          <w:sz w:val="16"/>
          <w:szCs w:val="16"/>
        </w:rPr>
        <w:softHyphen/>
        <w:t>ручик С. Остратов. 20 мая того же года в 19-м корпус</w:t>
      </w:r>
      <w:r w:rsidRPr="002F2FDF">
        <w:rPr>
          <w:rFonts w:ascii="Times New Roman" w:hAnsi="Times New Roman"/>
          <w:color w:val="000000" w:themeColor="text1"/>
          <w:kern w:val="2"/>
          <w:sz w:val="16"/>
          <w:szCs w:val="16"/>
        </w:rPr>
        <w:softHyphen/>
        <w:t>ном воздухоплавательном от</w:t>
      </w:r>
      <w:r w:rsidRPr="002F2FDF">
        <w:rPr>
          <w:rFonts w:ascii="Times New Roman" w:hAnsi="Times New Roman"/>
          <w:color w:val="000000" w:themeColor="text1"/>
          <w:kern w:val="2"/>
          <w:sz w:val="16"/>
          <w:szCs w:val="16"/>
        </w:rPr>
        <w:softHyphen/>
        <w:t>ряде благополучный прыжок с высоты 550 м совершил А.Д. Анощенко, старший брат Н.Д. Анощенко, тоже с фран</w:t>
      </w:r>
      <w:r w:rsidRPr="002F2FDF">
        <w:rPr>
          <w:rFonts w:ascii="Times New Roman" w:hAnsi="Times New Roman"/>
          <w:color w:val="000000" w:themeColor="text1"/>
          <w:kern w:val="2"/>
          <w:sz w:val="16"/>
          <w:szCs w:val="16"/>
        </w:rPr>
        <w:softHyphen/>
        <w:t>цузским парашютом (12120).</w:t>
      </w:r>
    </w:p>
    <w:p w14:paraId="3E4EE47B" w14:textId="77777777" w:rsidR="005505D2" w:rsidRPr="002F2FDF" w:rsidRDefault="005505D2" w:rsidP="0083075A">
      <w:pPr>
        <w:spacing w:after="0" w:line="240" w:lineRule="auto"/>
        <w:jc w:val="both"/>
        <w:rPr>
          <w:rFonts w:ascii="Times New Roman" w:hAnsi="Times New Roman" w:cs="Times New Roman"/>
          <w:color w:val="000000" w:themeColor="text1"/>
          <w:kern w:val="2"/>
          <w:sz w:val="16"/>
          <w:szCs w:val="16"/>
        </w:rPr>
      </w:pPr>
    </w:p>
    <w:p w14:paraId="1432642E" w14:textId="24C845F8" w:rsidR="008772C5" w:rsidRDefault="008772C5"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9 (22) мая 1917 г. в</w:t>
      </w:r>
      <w:r w:rsidRPr="00815ED5">
        <w:rPr>
          <w:rFonts w:ascii="Times New Roman" w:hAnsi="Times New Roman" w:cs="Times New Roman"/>
          <w:color w:val="0070C0"/>
          <w:sz w:val="16"/>
          <w:szCs w:val="16"/>
        </w:rPr>
        <w:t xml:space="preserve"> Петр</w:t>
      </w:r>
      <w:r>
        <w:rPr>
          <w:rFonts w:ascii="Times New Roman" w:hAnsi="Times New Roman" w:cs="Times New Roman"/>
          <w:color w:val="0070C0"/>
          <w:sz w:val="16"/>
          <w:szCs w:val="16"/>
        </w:rPr>
        <w:t>о</w:t>
      </w:r>
      <w:r w:rsidRPr="00815ED5">
        <w:rPr>
          <w:rFonts w:ascii="Times New Roman" w:hAnsi="Times New Roman" w:cs="Times New Roman"/>
          <w:color w:val="0070C0"/>
          <w:sz w:val="16"/>
          <w:szCs w:val="16"/>
        </w:rPr>
        <w:t xml:space="preserve">граде </w:t>
      </w: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о</w:t>
      </w:r>
      <w:r>
        <w:rPr>
          <w:rFonts w:ascii="Times New Roman" w:hAnsi="Times New Roman" w:cs="Times New Roman"/>
          <w:color w:val="0070C0"/>
          <w:sz w:val="16"/>
          <w:szCs w:val="16"/>
        </w:rPr>
        <w:t>енные</w:t>
      </w:r>
      <w:r w:rsidRPr="00815ED5">
        <w:rPr>
          <w:rFonts w:ascii="Times New Roman" w:hAnsi="Times New Roman" w:cs="Times New Roman"/>
          <w:color w:val="0070C0"/>
          <w:sz w:val="16"/>
          <w:szCs w:val="16"/>
        </w:rPr>
        <w:t xml:space="preserve"> летчики и </w:t>
      </w: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о</w:t>
      </w:r>
      <w:r>
        <w:rPr>
          <w:rFonts w:ascii="Times New Roman" w:hAnsi="Times New Roman" w:cs="Times New Roman"/>
          <w:color w:val="0070C0"/>
          <w:sz w:val="16"/>
          <w:szCs w:val="16"/>
        </w:rPr>
        <w:t>з</w:t>
      </w:r>
      <w:r w:rsidRPr="00815ED5">
        <w:rPr>
          <w:rFonts w:ascii="Times New Roman" w:hAnsi="Times New Roman" w:cs="Times New Roman"/>
          <w:color w:val="0070C0"/>
          <w:sz w:val="16"/>
          <w:szCs w:val="16"/>
        </w:rPr>
        <w:t>духопл</w:t>
      </w:r>
      <w:r>
        <w:rPr>
          <w:rFonts w:ascii="Times New Roman" w:hAnsi="Times New Roman" w:cs="Times New Roman"/>
          <w:color w:val="0070C0"/>
          <w:sz w:val="16"/>
          <w:szCs w:val="16"/>
        </w:rPr>
        <w:t>ава</w:t>
      </w:r>
      <w:r w:rsidRPr="00815ED5">
        <w:rPr>
          <w:rFonts w:ascii="Times New Roman" w:hAnsi="Times New Roman" w:cs="Times New Roman"/>
          <w:color w:val="0070C0"/>
          <w:sz w:val="16"/>
          <w:szCs w:val="16"/>
        </w:rPr>
        <w:t>т</w:t>
      </w:r>
      <w:r>
        <w:rPr>
          <w:rFonts w:ascii="Times New Roman" w:hAnsi="Times New Roman" w:cs="Times New Roman"/>
          <w:color w:val="0070C0"/>
          <w:sz w:val="16"/>
          <w:szCs w:val="16"/>
        </w:rPr>
        <w:t>ели</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уст</w:t>
      </w:r>
      <w:r w:rsidRPr="00815ED5">
        <w:rPr>
          <w:rFonts w:ascii="Times New Roman" w:hAnsi="Times New Roman" w:cs="Times New Roman"/>
          <w:color w:val="0070C0"/>
          <w:sz w:val="16"/>
          <w:szCs w:val="16"/>
        </w:rPr>
        <w:t xml:space="preserve">роили манифестацию </w:t>
      </w: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 xml:space="preserve"> пользу "займа </w:t>
      </w:r>
      <w:r>
        <w:rPr>
          <w:rFonts w:ascii="Times New Roman" w:hAnsi="Times New Roman" w:cs="Times New Roman"/>
          <w:color w:val="0070C0"/>
          <w:sz w:val="16"/>
          <w:szCs w:val="16"/>
        </w:rPr>
        <w:t>сы</w:t>
      </w:r>
      <w:r w:rsidRPr="00815ED5">
        <w:rPr>
          <w:rFonts w:ascii="Times New Roman" w:hAnsi="Times New Roman" w:cs="Times New Roman"/>
          <w:color w:val="0070C0"/>
          <w:sz w:val="16"/>
          <w:szCs w:val="16"/>
        </w:rPr>
        <w:t>обод</w:t>
      </w:r>
      <w:r>
        <w:rPr>
          <w:rFonts w:ascii="Times New Roman" w:hAnsi="Times New Roman" w:cs="Times New Roman"/>
          <w:color w:val="0070C0"/>
          <w:sz w:val="16"/>
          <w:szCs w:val="16"/>
        </w:rPr>
        <w:t>ы</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выпущенного Временным правительством для продолжения </w:t>
      </w:r>
      <w:r w:rsidRPr="00815ED5">
        <w:rPr>
          <w:rFonts w:ascii="Times New Roman" w:hAnsi="Times New Roman" w:cs="Times New Roman"/>
          <w:color w:val="0070C0"/>
          <w:sz w:val="16"/>
          <w:szCs w:val="16"/>
        </w:rPr>
        <w:t xml:space="preserve">войны </w:t>
      </w:r>
      <w:r>
        <w:rPr>
          <w:rFonts w:ascii="Times New Roman" w:hAnsi="Times New Roman" w:cs="Times New Roman"/>
          <w:color w:val="0070C0"/>
          <w:sz w:val="16"/>
          <w:szCs w:val="16"/>
        </w:rPr>
        <w:t>«д</w:t>
      </w:r>
      <w:r w:rsidRPr="00815ED5">
        <w:rPr>
          <w:rFonts w:ascii="Times New Roman" w:hAnsi="Times New Roman" w:cs="Times New Roman"/>
          <w:color w:val="0070C0"/>
          <w:sz w:val="16"/>
          <w:szCs w:val="16"/>
        </w:rPr>
        <w:t>о победного конца».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Ра</w:t>
      </w:r>
      <w:r>
        <w:rPr>
          <w:rFonts w:ascii="Times New Roman" w:hAnsi="Times New Roman" w:cs="Times New Roman"/>
          <w:color w:val="0070C0"/>
          <w:sz w:val="16"/>
          <w:szCs w:val="16"/>
        </w:rPr>
        <w:t>зъез</w:t>
      </w:r>
      <w:r w:rsidRPr="00815ED5">
        <w:rPr>
          <w:rFonts w:ascii="Times New Roman" w:hAnsi="Times New Roman" w:cs="Times New Roman"/>
          <w:color w:val="0070C0"/>
          <w:sz w:val="16"/>
          <w:szCs w:val="16"/>
        </w:rPr>
        <w:t>жая по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улицам столицы на грузовиках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 xml:space="preserve"> самолетом и плакатами,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манифестант</w:t>
      </w:r>
      <w:r>
        <w:rPr>
          <w:rFonts w:ascii="Times New Roman" w:hAnsi="Times New Roman" w:cs="Times New Roman"/>
          <w:color w:val="0070C0"/>
          <w:sz w:val="16"/>
          <w:szCs w:val="16"/>
        </w:rPr>
        <w:t>ы</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w:t>
      </w:r>
      <w:r w:rsidRPr="00815ED5">
        <w:rPr>
          <w:rFonts w:ascii="Times New Roman" w:hAnsi="Times New Roman" w:cs="Times New Roman"/>
          <w:color w:val="0070C0"/>
          <w:sz w:val="16"/>
          <w:szCs w:val="16"/>
        </w:rPr>
        <w:t>ризы</w:t>
      </w: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али граждан подписы</w:t>
      </w: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ать</w:t>
      </w:r>
      <w:r>
        <w:rPr>
          <w:rFonts w:ascii="Times New Roman" w:hAnsi="Times New Roman" w:cs="Times New Roman"/>
          <w:color w:val="0070C0"/>
          <w:sz w:val="16"/>
          <w:szCs w:val="16"/>
        </w:rPr>
        <w:t>ся</w:t>
      </w:r>
      <w:r w:rsidRPr="00815ED5">
        <w:rPr>
          <w:rFonts w:ascii="Times New Roman" w:hAnsi="Times New Roman" w:cs="Times New Roman"/>
          <w:color w:val="0070C0"/>
          <w:sz w:val="16"/>
          <w:szCs w:val="16"/>
        </w:rPr>
        <w:t xml:space="preserve"> на </w:t>
      </w:r>
      <w:r>
        <w:rPr>
          <w:rFonts w:ascii="Times New Roman" w:hAnsi="Times New Roman" w:cs="Times New Roman"/>
          <w:color w:val="0070C0"/>
          <w:sz w:val="16"/>
          <w:szCs w:val="16"/>
        </w:rPr>
        <w:t>займ</w:t>
      </w:r>
      <w:r w:rsidRPr="00815ED5">
        <w:rPr>
          <w:rFonts w:ascii="Times New Roman" w:hAnsi="Times New Roman" w:cs="Times New Roman"/>
          <w:color w:val="0070C0"/>
          <w:sz w:val="16"/>
          <w:szCs w:val="16"/>
        </w:rPr>
        <w:t xml:space="preserve"> и тем самим дать средства на постройку поенных воздушных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удо</w:t>
      </w:r>
      <w:r>
        <w:rPr>
          <w:rFonts w:ascii="Times New Roman" w:hAnsi="Times New Roman" w:cs="Times New Roman"/>
          <w:color w:val="0070C0"/>
          <w:sz w:val="16"/>
          <w:szCs w:val="16"/>
        </w:rPr>
        <w:t>ы</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815ED5">
        <w:rPr>
          <w:rFonts w:ascii="Times New Roman" w:hAnsi="Times New Roman" w:cs="Times New Roman"/>
          <w:color w:val="0070C0"/>
          <w:sz w:val="16"/>
          <w:szCs w:val="16"/>
        </w:rPr>
        <w:t xml:space="preserve"> то же время над городом летали самолеты,</w:t>
      </w:r>
      <w:r>
        <w:rPr>
          <w:rFonts w:ascii="Times New Roman" w:hAnsi="Times New Roman" w:cs="Times New Roman"/>
          <w:color w:val="0070C0"/>
          <w:sz w:val="16"/>
          <w:szCs w:val="16"/>
        </w:rPr>
        <w:t xml:space="preserve"> с</w:t>
      </w:r>
      <w:r w:rsidRPr="00815ED5">
        <w:rPr>
          <w:rFonts w:ascii="Times New Roman" w:hAnsi="Times New Roman" w:cs="Times New Roman"/>
          <w:color w:val="0070C0"/>
          <w:sz w:val="16"/>
          <w:szCs w:val="16"/>
        </w:rPr>
        <w:t xml:space="preserve"> коих сбрасывались п</w:t>
      </w:r>
      <w:r>
        <w:rPr>
          <w:rFonts w:ascii="Times New Roman" w:hAnsi="Times New Roman" w:cs="Times New Roman"/>
          <w:color w:val="0070C0"/>
          <w:sz w:val="16"/>
          <w:szCs w:val="16"/>
        </w:rPr>
        <w:t>в</w:t>
      </w:r>
    </w:p>
    <w:p w14:paraId="6C3A04E9" w14:textId="77777777" w:rsidR="008772C5" w:rsidRDefault="008772C5"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о</w:t>
      </w:r>
      <w:r>
        <w:rPr>
          <w:rFonts w:ascii="Times New Roman" w:hAnsi="Times New Roman" w:cs="Times New Roman"/>
          <w:color w:val="0070C0"/>
          <w:sz w:val="16"/>
          <w:szCs w:val="16"/>
        </w:rPr>
        <w:t>з</w:t>
      </w:r>
      <w:r w:rsidRPr="00815ED5">
        <w:rPr>
          <w:rFonts w:ascii="Times New Roman" w:hAnsi="Times New Roman" w:cs="Times New Roman"/>
          <w:color w:val="0070C0"/>
          <w:sz w:val="16"/>
          <w:szCs w:val="16"/>
        </w:rPr>
        <w:t>знания к гражданам нод</w:t>
      </w:r>
      <w:r>
        <w:rPr>
          <w:rFonts w:ascii="Times New Roman" w:hAnsi="Times New Roman" w:cs="Times New Roman"/>
          <w:color w:val="0070C0"/>
          <w:sz w:val="16"/>
          <w:szCs w:val="16"/>
        </w:rPr>
        <w:t>п</w:t>
      </w:r>
      <w:r w:rsidRPr="00815ED5">
        <w:rPr>
          <w:rFonts w:ascii="Times New Roman" w:hAnsi="Times New Roman" w:cs="Times New Roman"/>
          <w:color w:val="0070C0"/>
          <w:sz w:val="16"/>
          <w:szCs w:val="16"/>
        </w:rPr>
        <w:t>и</w:t>
      </w:r>
      <w:r>
        <w:rPr>
          <w:rFonts w:ascii="Times New Roman" w:hAnsi="Times New Roman" w:cs="Times New Roman"/>
          <w:color w:val="0070C0"/>
          <w:sz w:val="16"/>
          <w:szCs w:val="16"/>
        </w:rPr>
        <w:t xml:space="preserve">свться </w:t>
      </w:r>
      <w:r w:rsidRPr="00815ED5">
        <w:rPr>
          <w:rFonts w:ascii="Times New Roman" w:hAnsi="Times New Roman" w:cs="Times New Roman"/>
          <w:color w:val="0070C0"/>
          <w:sz w:val="16"/>
          <w:szCs w:val="16"/>
        </w:rPr>
        <w:t>на заем</w:t>
      </w:r>
      <w:r>
        <w:rPr>
          <w:rFonts w:ascii="Times New Roman" w:hAnsi="Times New Roman" w:cs="Times New Roman"/>
          <w:color w:val="0070C0"/>
          <w:sz w:val="16"/>
          <w:szCs w:val="16"/>
        </w:rPr>
        <w:t>.</w:t>
      </w:r>
    </w:p>
    <w:p w14:paraId="08DB546F" w14:textId="77777777" w:rsidR="008772C5" w:rsidRDefault="008772C5"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/"Новое время» за 10 мая 1</w:t>
      </w:r>
      <w:r>
        <w:rPr>
          <w:rFonts w:ascii="Times New Roman" w:hAnsi="Times New Roman" w:cs="Times New Roman"/>
          <w:color w:val="0070C0"/>
          <w:sz w:val="16"/>
          <w:szCs w:val="16"/>
        </w:rPr>
        <w:t>9</w:t>
      </w:r>
      <w:r w:rsidRPr="00815ED5">
        <w:rPr>
          <w:rFonts w:ascii="Times New Roman" w:hAnsi="Times New Roman" w:cs="Times New Roman"/>
          <w:color w:val="0070C0"/>
          <w:sz w:val="16"/>
          <w:szCs w:val="16"/>
        </w:rPr>
        <w:t>17/</w:t>
      </w:r>
      <w:r>
        <w:rPr>
          <w:rFonts w:ascii="Times New Roman" w:hAnsi="Times New Roman" w:cs="Times New Roman"/>
          <w:color w:val="0070C0"/>
          <w:sz w:val="16"/>
          <w:szCs w:val="16"/>
        </w:rPr>
        <w:t xml:space="preserve"> (23320).</w:t>
      </w:r>
    </w:p>
    <w:p w14:paraId="6142EE7A" w14:textId="77777777" w:rsidR="008772C5" w:rsidRPr="00815ED5" w:rsidRDefault="008772C5" w:rsidP="0083075A">
      <w:pPr>
        <w:spacing w:after="0" w:line="240" w:lineRule="auto"/>
        <w:jc w:val="both"/>
        <w:rPr>
          <w:rFonts w:ascii="Times New Roman" w:hAnsi="Times New Roman" w:cs="Times New Roman"/>
          <w:color w:val="0070C0"/>
          <w:sz w:val="16"/>
          <w:szCs w:val="16"/>
        </w:rPr>
      </w:pPr>
    </w:p>
    <w:p w14:paraId="73A00A76" w14:textId="77777777" w:rsidR="00E2230B" w:rsidRPr="002F2FDF" w:rsidRDefault="00E2230B" w:rsidP="0083075A">
      <w:pPr>
        <w:pStyle w:val="ae"/>
        <w:spacing w:before="0" w:after="0"/>
        <w:jc w:val="both"/>
        <w:rPr>
          <w:color w:val="000000" w:themeColor="text1"/>
          <w:kern w:val="2"/>
          <w:sz w:val="16"/>
          <w:szCs w:val="16"/>
        </w:rPr>
      </w:pPr>
      <w:r w:rsidRPr="002F2FDF">
        <w:rPr>
          <w:color w:val="000000" w:themeColor="text1"/>
          <w:kern w:val="2"/>
          <w:sz w:val="16"/>
          <w:szCs w:val="16"/>
        </w:rPr>
        <w:t>9 (22) мая 1917 в России была опубликована «Декларация прав солдата», утвержденная только вступившим в должность военным и морским министром Александром Керенским. Этот документ окончательно уравнял военнослужащих в правах с гражданским населением. Помимо прочего, в декларации были такие положения:</w:t>
      </w:r>
    </w:p>
    <w:p w14:paraId="5DBE5185" w14:textId="77777777" w:rsidR="00E2230B" w:rsidRPr="002F2FDF" w:rsidRDefault="00E2230B" w:rsidP="0083075A">
      <w:pPr>
        <w:pStyle w:val="ae"/>
        <w:spacing w:before="0" w:after="0"/>
        <w:jc w:val="both"/>
        <w:rPr>
          <w:color w:val="000000" w:themeColor="text1"/>
          <w:kern w:val="2"/>
          <w:sz w:val="16"/>
          <w:szCs w:val="16"/>
        </w:rPr>
      </w:pPr>
      <w:r w:rsidRPr="002F2FDF">
        <w:rPr>
          <w:color w:val="000000" w:themeColor="text1"/>
          <w:kern w:val="2"/>
          <w:sz w:val="16"/>
          <w:szCs w:val="16"/>
        </w:rPr>
        <w:t>2. Каждый военнослужащий имеет право быть членом любой политической, национальной, религиозной, экономической или профессиональной организации, общества или союза. &lt;…&gt;</w:t>
      </w:r>
    </w:p>
    <w:p w14:paraId="694A3082" w14:textId="77777777" w:rsidR="00E2230B" w:rsidRPr="002F2FDF" w:rsidRDefault="00E2230B" w:rsidP="0083075A">
      <w:pPr>
        <w:pStyle w:val="ae"/>
        <w:spacing w:before="0" w:after="0"/>
        <w:jc w:val="both"/>
        <w:rPr>
          <w:color w:val="000000" w:themeColor="text1"/>
          <w:kern w:val="2"/>
          <w:sz w:val="16"/>
          <w:szCs w:val="16"/>
        </w:rPr>
      </w:pPr>
      <w:r w:rsidRPr="002F2FDF">
        <w:rPr>
          <w:color w:val="000000" w:themeColor="text1"/>
          <w:kern w:val="2"/>
          <w:sz w:val="16"/>
          <w:szCs w:val="16"/>
        </w:rPr>
        <w:t>6. Все без исключения печатные издания (периодические или непериодические) должны беспрепятственно передаваться адресатам. &lt;…&gt;</w:t>
      </w:r>
    </w:p>
    <w:p w14:paraId="5E33D938" w14:textId="77777777" w:rsidR="00E2230B" w:rsidRPr="002F2FDF" w:rsidRDefault="00E2230B" w:rsidP="0083075A">
      <w:pPr>
        <w:pStyle w:val="ae"/>
        <w:spacing w:before="0" w:after="0"/>
        <w:jc w:val="both"/>
        <w:rPr>
          <w:color w:val="000000" w:themeColor="text1"/>
          <w:kern w:val="2"/>
          <w:sz w:val="16"/>
          <w:szCs w:val="16"/>
        </w:rPr>
      </w:pPr>
      <w:r w:rsidRPr="002F2FDF">
        <w:rPr>
          <w:color w:val="000000" w:themeColor="text1"/>
          <w:kern w:val="2"/>
          <w:sz w:val="16"/>
          <w:szCs w:val="16"/>
        </w:rPr>
        <w:t>8. Взаимоотношения военнослужащих должны основываться на строгом соблюдении воинской дисциплины, на чувстве достоинства граждан свободной России и на взаимном доверии, уважении, вежливости. &lt;…&gt;</w:t>
      </w:r>
    </w:p>
    <w:p w14:paraId="06212C10" w14:textId="77777777" w:rsidR="00E2230B" w:rsidRPr="002F2FDF" w:rsidRDefault="00E2230B" w:rsidP="0083075A">
      <w:pPr>
        <w:pStyle w:val="ae"/>
        <w:spacing w:before="0" w:after="0"/>
        <w:jc w:val="both"/>
        <w:rPr>
          <w:color w:val="000000" w:themeColor="text1"/>
          <w:kern w:val="2"/>
          <w:sz w:val="16"/>
          <w:szCs w:val="16"/>
        </w:rPr>
      </w:pPr>
      <w:r w:rsidRPr="002F2FDF">
        <w:rPr>
          <w:color w:val="000000" w:themeColor="text1"/>
          <w:kern w:val="2"/>
          <w:sz w:val="16"/>
          <w:szCs w:val="16"/>
        </w:rPr>
        <w:t>12. Обязательное отдание чести как отдельными лицами, так и командами отменяется. Для всех военнослужащих взамен обязательного отдания чести устанавливается добровольное приветствие. Примечание 1. Отдание воинских почестей командами и частями при церемониях, похоронах и т.п. случаях сохраняется; 2. Команда «смирно» остается во всех случаях, предусмотренных уставами. &lt;…&gt;</w:t>
      </w:r>
    </w:p>
    <w:p w14:paraId="41A418CF" w14:textId="77777777" w:rsidR="00E2230B" w:rsidRPr="002F2FDF" w:rsidRDefault="00E2230B" w:rsidP="0083075A">
      <w:pPr>
        <w:pStyle w:val="ae"/>
        <w:spacing w:before="0" w:after="0"/>
        <w:jc w:val="both"/>
        <w:rPr>
          <w:color w:val="000000" w:themeColor="text1"/>
          <w:kern w:val="2"/>
          <w:sz w:val="16"/>
          <w:szCs w:val="16"/>
        </w:rPr>
      </w:pPr>
      <w:r w:rsidRPr="002F2FDF">
        <w:rPr>
          <w:color w:val="000000" w:themeColor="text1"/>
          <w:kern w:val="2"/>
          <w:sz w:val="16"/>
          <w:szCs w:val="16"/>
        </w:rPr>
        <w:t>13. В военных округах, не находящихся на театре военных действий, все военнослужащие в свободное от занятий службы и нарядов время имеют право отлучаться из казармы и с кораблей в гавани, но лишь осведомив об этом соответствующее начальство и получив надлежащее удостоверение личности».</w:t>
      </w:r>
    </w:p>
    <w:p w14:paraId="4F58A37A" w14:textId="77777777" w:rsidR="00E2230B" w:rsidRPr="002F2FDF" w:rsidRDefault="00E2230B" w:rsidP="0083075A">
      <w:pPr>
        <w:pStyle w:val="ae"/>
        <w:spacing w:before="0" w:after="0"/>
        <w:jc w:val="both"/>
        <w:rPr>
          <w:color w:val="000000" w:themeColor="text1"/>
          <w:kern w:val="2"/>
          <w:sz w:val="16"/>
          <w:szCs w:val="16"/>
        </w:rPr>
      </w:pPr>
      <w:r w:rsidRPr="002F2FDF">
        <w:rPr>
          <w:color w:val="000000" w:themeColor="text1"/>
          <w:kern w:val="2"/>
          <w:sz w:val="16"/>
          <w:szCs w:val="16"/>
        </w:rPr>
        <w:t>Уравнение солдат в правах с гражданскими означало, в первую очередь, свободу политической агитации в армии. Партии сразу «пошли в окопы»: среди солдат широко распространялись газеты, листовки, брошюры. Кадеты, к примеру, раздали около двух миллионов листовок и плакатов, но к ним проявляли интерес преимущественно офицеры. В солдатской же массе охотнее всего «шли» эсеровские и меньшевистские, а потом и большевистские газеты: «Известия Петроградского совета», «Голос солдата», «Рабочая газета», «Дело народа», «Народная армия», «Солдатская правда», «Окопная правда», «Социал-демократ» и т.д.</w:t>
      </w:r>
    </w:p>
    <w:p w14:paraId="168456D7" w14:textId="77777777" w:rsidR="00E2230B" w:rsidRPr="002F2FDF" w:rsidRDefault="00E2230B" w:rsidP="0083075A">
      <w:pPr>
        <w:pStyle w:val="ae"/>
        <w:spacing w:before="0" w:after="0"/>
        <w:jc w:val="both"/>
        <w:rPr>
          <w:color w:val="000000" w:themeColor="text1"/>
          <w:kern w:val="2"/>
          <w:sz w:val="16"/>
          <w:szCs w:val="16"/>
        </w:rPr>
      </w:pPr>
      <w:r w:rsidRPr="002F2FDF">
        <w:rPr>
          <w:color w:val="000000" w:themeColor="text1"/>
          <w:kern w:val="2"/>
          <w:sz w:val="16"/>
          <w:szCs w:val="16"/>
        </w:rPr>
        <w:t>Главнокомандующий Юго-Западным фронтом генерал Алексей Брусилов, узнав о публикации декларации, схватился за голову: «Если ее объявят — нет спасения. И я не считаю тогда возможным оставаться ни одного дня на своем посту». Самое парадоксальное, что эта декларация была опубликована в рамках подготовки к запланированному Временным правительством летнему наступлению русской армии (17045).</w:t>
      </w:r>
    </w:p>
    <w:p w14:paraId="6E042F93" w14:textId="77777777" w:rsidR="00E2230B" w:rsidRPr="002F2FDF" w:rsidRDefault="00E2230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9736D8" w14:textId="3C40C7C3" w:rsidR="00A616FB" w:rsidRPr="00FB4F67" w:rsidRDefault="00A616F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9 (</w:t>
      </w:r>
      <w:r w:rsidRPr="00FB4F67">
        <w:rPr>
          <w:rFonts w:ascii="Times New Roman" w:hAnsi="Times New Roman" w:cs="Times New Roman"/>
          <w:color w:val="0070C0"/>
          <w:sz w:val="16"/>
          <w:szCs w:val="16"/>
        </w:rPr>
        <w:t>22</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мая 1917 г. вражеская эскадрилья (3 аппарата) сбросила в д. Яблонов (северо-восточнее г. Галича, Галиция) до 20 бомб </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23405).</w:t>
      </w:r>
    </w:p>
    <w:p w14:paraId="5C1FE5AB" w14:textId="77777777" w:rsidR="00A616FB" w:rsidRPr="00FB4F67" w:rsidRDefault="00A616FB" w:rsidP="0083075A">
      <w:pPr>
        <w:spacing w:after="0" w:line="240" w:lineRule="auto"/>
        <w:jc w:val="both"/>
        <w:rPr>
          <w:rFonts w:ascii="Times New Roman" w:hAnsi="Times New Roman" w:cs="Times New Roman"/>
          <w:color w:val="0070C0"/>
          <w:sz w:val="16"/>
          <w:szCs w:val="16"/>
        </w:rPr>
      </w:pPr>
    </w:p>
    <w:p w14:paraId="31A20075" w14:textId="589974A3" w:rsidR="00CA6C19"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r w:rsidR="00CA6C19" w:rsidRPr="002F2FDF">
        <w:rPr>
          <w:rFonts w:ascii="Times New Roman" w:hAnsi="Times New Roman" w:cs="Times New Roman"/>
          <w:iCs/>
          <w:color w:val="000000" w:themeColor="text1"/>
          <w:kern w:val="2"/>
          <w:sz w:val="16"/>
          <w:szCs w:val="16"/>
        </w:rPr>
        <w:t>:</w:t>
      </w:r>
    </w:p>
    <w:p w14:paraId="2EF84B44" w14:textId="77777777" w:rsidR="00CA6C19" w:rsidRPr="002F2FDF" w:rsidRDefault="00CA6C1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6C437A" w14:textId="77777777" w:rsidR="00CA6C19" w:rsidRPr="002F2FDF" w:rsidRDefault="00CA6C1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мая в 1917 году временное правительство России объявило о полной ликвидации цензуры за печатью (14886).</w:t>
      </w:r>
    </w:p>
    <w:p w14:paraId="026555A6" w14:textId="77777777" w:rsidR="00CA6C19" w:rsidRPr="002F2FDF" w:rsidRDefault="00CA6C19" w:rsidP="0083075A">
      <w:pPr>
        <w:spacing w:after="0" w:line="240" w:lineRule="auto"/>
        <w:jc w:val="both"/>
        <w:rPr>
          <w:rFonts w:ascii="Times New Roman" w:hAnsi="Times New Roman" w:cs="Times New Roman"/>
          <w:color w:val="000000" w:themeColor="text1"/>
          <w:kern w:val="2"/>
          <w:sz w:val="16"/>
          <w:szCs w:val="16"/>
        </w:rPr>
      </w:pPr>
    </w:p>
    <w:p w14:paraId="049368D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62AE2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4F38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мая 1917 граф Тиша ушел в отставку с поста премьер-министра Венгрии (3907,90).</w:t>
      </w:r>
    </w:p>
    <w:p w14:paraId="382F0F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15CE6B" w14:textId="48E93853" w:rsidR="00A616FB" w:rsidRDefault="00A616F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3A33E028" w14:textId="77777777" w:rsidR="00A616FB" w:rsidRDefault="00A616F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32B3EA9" w14:textId="77777777" w:rsidR="00A616FB" w:rsidRPr="00FB4F67" w:rsidRDefault="00A616FB" w:rsidP="0083075A">
      <w:pPr>
        <w:spacing w:after="0" w:line="240" w:lineRule="auto"/>
        <w:jc w:val="both"/>
        <w:rPr>
          <w:rFonts w:ascii="Times New Roman" w:hAnsi="Times New Roman" w:cs="Times New Roman"/>
          <w:color w:val="0070C0"/>
          <w:sz w:val="16"/>
          <w:szCs w:val="16"/>
        </w:rPr>
      </w:pPr>
      <w:bookmarkStart w:id="115" w:name="bookmark778"/>
      <w:bookmarkStart w:id="116" w:name="bookmark779"/>
      <w:bookmarkStart w:id="117" w:name="bookmark780"/>
      <w:r w:rsidRPr="00FB4F67">
        <w:rPr>
          <w:rFonts w:ascii="Times New Roman" w:hAnsi="Times New Roman" w:cs="Times New Roman"/>
          <w:color w:val="0070C0"/>
          <w:sz w:val="16"/>
          <w:szCs w:val="16"/>
        </w:rPr>
        <w:t>23 мая 1917 г. в районе западнее Ажуд (Румыния) нами был уничтожен очередной неприятельский аэроплан. Вероятно, речь велась о «Бранденбурге», принадлежавшем 29-й австрийской авиационной роте (летчики попали в плен) (23405).</w:t>
      </w:r>
      <w:bookmarkEnd w:id="115"/>
      <w:bookmarkEnd w:id="116"/>
      <w:bookmarkEnd w:id="117"/>
    </w:p>
    <w:p w14:paraId="5D0FDB52" w14:textId="77777777" w:rsidR="00A616FB" w:rsidRPr="00FB4F67" w:rsidRDefault="00A616FB" w:rsidP="0083075A">
      <w:pPr>
        <w:spacing w:after="0" w:line="240" w:lineRule="auto"/>
        <w:jc w:val="both"/>
        <w:rPr>
          <w:rFonts w:ascii="Times New Roman" w:hAnsi="Times New Roman" w:cs="Times New Roman"/>
          <w:color w:val="0070C0"/>
          <w:sz w:val="16"/>
          <w:szCs w:val="16"/>
        </w:rPr>
      </w:pPr>
    </w:p>
    <w:p w14:paraId="445DB16E" w14:textId="77777777" w:rsidR="00A616FB" w:rsidRPr="00FB4F67" w:rsidRDefault="00A616F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23 мая 1917 г. вражеская авиационная группа (3 самолета) сбросила бомбы на д. Яблонов (северо-восточнее Галича), через день бомбардировке подвергся г. Шлок (западнее г. Рига) (23405).</w:t>
      </w:r>
    </w:p>
    <w:p w14:paraId="596C9E3A" w14:textId="77777777" w:rsidR="00A616FB" w:rsidRPr="00FB4F67" w:rsidRDefault="00A616FB" w:rsidP="0083075A">
      <w:pPr>
        <w:spacing w:after="0" w:line="240" w:lineRule="auto"/>
        <w:jc w:val="both"/>
        <w:rPr>
          <w:rFonts w:ascii="Times New Roman" w:hAnsi="Times New Roman" w:cs="Times New Roman"/>
          <w:color w:val="0070C0"/>
          <w:sz w:val="16"/>
          <w:szCs w:val="16"/>
        </w:rPr>
      </w:pPr>
    </w:p>
    <w:p w14:paraId="36FF0C09" w14:textId="77777777" w:rsidR="00A616FB" w:rsidRPr="00FB4F67" w:rsidRDefault="00A616F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23 мая 1917 г. противник потерял очередной свой самолет, сбитый огнем с земли (23405).</w:t>
      </w:r>
    </w:p>
    <w:p w14:paraId="717D7D7F" w14:textId="77777777" w:rsidR="00A616FB" w:rsidRPr="00FB4F67" w:rsidRDefault="00A616FB" w:rsidP="0083075A">
      <w:pPr>
        <w:spacing w:after="0" w:line="240" w:lineRule="auto"/>
        <w:jc w:val="both"/>
        <w:rPr>
          <w:rFonts w:ascii="Times New Roman" w:hAnsi="Times New Roman" w:cs="Times New Roman"/>
          <w:color w:val="0070C0"/>
          <w:sz w:val="16"/>
          <w:szCs w:val="16"/>
        </w:rPr>
      </w:pPr>
    </w:p>
    <w:p w14:paraId="0075E588" w14:textId="539C9CB0"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5F345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BB818E" w14:textId="77777777" w:rsidR="00787699" w:rsidRPr="002F2FDF" w:rsidRDefault="00787699"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10 (23) мая 1917 шесть из семи боеготовых кораблей ушли в очередной рейд с приказом атаковать юг Англии и Лондон.</w:t>
      </w:r>
    </w:p>
    <w:p w14:paraId="5465D570" w14:textId="77777777" w:rsidR="00787699" w:rsidRPr="002F2FDF" w:rsidRDefault="00787699"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Нападающие столкнулись с сильным встречным ветром, а восток Англии оказался полностью закрыт туманом, поэтому навигацию и прицеливание пришлось проводить по пробивающимся через белую пелену огням. Командир L.43 капитан-лейтенант Герман Краусхар (Hermann Kraushaar) перепутал устье реки Стаур с Темзой и отчитался о бомбардировке столицы, из-за чего и этот рейд немцы посчитали успешным. В действительности все бомбы упали в полях Норфолка, Саффолка и Эссекса с минимальными результатами: один погибший и 599 фунтов ущерба.</w:t>
      </w:r>
    </w:p>
    <w:p w14:paraId="61BA1402" w14:textId="77777777" w:rsidR="00787699" w:rsidRPr="002F2FDF" w:rsidRDefault="00787699"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Британские авиационные командиры, помня разнос после прошлой неудачи, решили брать числом и обеспечили рекордные 76 боевых вылетов. Впрочем, им это ничуть не помогло: непосредственно над Англией только один B.E.12a из 37-й эскадрильи RFC имел шанс провести атаку, но не сумел им воспользоваться. Лётчик обнаружил дирижабль недалеко от берега на траверзе Хариджа на неожиданно малой высоте 7000 футов (2130 метров) и начал преследование, но из-за непредсказуемых манёвров цели так и не смог выйти на рубеж открытия огня. После 20 минут погони пилот перехватчика окончательно потерял цеппелин в облаках.</w:t>
      </w:r>
    </w:p>
    <w:p w14:paraId="3A9E8744" w14:textId="77777777" w:rsidR="00787699" w:rsidRPr="002F2FDF" w:rsidRDefault="00787699"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Если бы атака удалась, дальнейшая история воздушной войны над Англией могла пойти по другому пути, потому что на борту этого дирижабля находился Штрассер. В ту ночь флагманский L.44 буквально преследовали гремлины!</w:t>
      </w:r>
    </w:p>
    <w:p w14:paraId="6EB7FCD0" w14:textId="77777777" w:rsidR="00787699" w:rsidRPr="002F2FDF" w:rsidRDefault="00787699"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Сразу после пересечения линии английского побережья по непонятной причине отказали сразу два двигателя. Капитан рассчитывал на трёх оставшихся всё же выйти на Лондон, но вскоре отказал третий мотор, поэтому пришлось повернуть назад и с высоты 5700 метров сбросить бомбы по примерному местоположению закрытого облачностью порта Хариджа. Сразу после этого один за другим отказали последние два мотора, а сам корабль вдруг начал проваливаться вниз. Приостановить падение удалось только на 3900 метрах после сброса всего балласта, большей части бензина, почти всей воды из системы охлаждения двигателей, а также вообще всего, чего только можно.</w:t>
      </w:r>
    </w:p>
    <w:p w14:paraId="236AB1D9" w14:textId="77777777" w:rsidR="00787699" w:rsidRPr="002F2FDF" w:rsidRDefault="00787699"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Долгие 45 минут цеппелин болтало по непредсказуемой траектории, но потом механикам всё же удалось завести один двигатель, и терпящий бедствие корабль начал отход на северо-восток. В результате экстренного облегчения дирижабль получил дифферент 20° на корму, поэтому, когда удалось дать ход, он постепенно поднялся до 6400 метров, где экипаж стравил часть водорода из носовых ячеек и поставил свой корабль на ровный киль. Уже утром механики смогли оживить ещё два двигателя и в дальнейшем переключали их так, чтобы один постоянно работал на полных оборотах, пока два других остывали на малом газу.</w:t>
      </w:r>
    </w:p>
    <w:p w14:paraId="4F359617" w14:textId="77777777" w:rsidR="00787699" w:rsidRPr="002F2FDF" w:rsidRDefault="00787699"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Получив сообщение о чрезвычайной ситуации на L.44, в штабе заволновались. Когда связь с кораблём окончательно прервалась, ему навстречу выслали L.22, чтобы тот обнаружил аварийный дирижабль и послужил для него ретранслятором, а в случае посадки L.44 на воду провёл спасательную операцию самостоятельно или навёл надводные корабли. Касание воды для дирижабля было вполне возможно: известен случай, когда так высадили призовую партию на задержанный пароход. Спасать всё же никого не пришлось, и «сорок четвёртый» благополучно доковылял до базы.</w:t>
      </w:r>
    </w:p>
    <w:p w14:paraId="55CBDC67" w14:textId="77777777" w:rsidR="00787699" w:rsidRPr="002F2FDF" w:rsidRDefault="00787699"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L.42 утром также оказался в критической ситуации, встретив на обратном пути целую стену из грозовых туч, которые оказалось невозможно обойти ни сверху, ни сбоку. За время прорыва сквозь опасную зону в течение получаса в корабль попало три молнии, изрядно напугавшие команду и наделавшие пробоин в обшивке и газовых ячейках, но, к счастью, не вызвавшие пожара.</w:t>
      </w:r>
    </w:p>
    <w:p w14:paraId="08D3326A" w14:textId="77777777" w:rsidR="00787699" w:rsidRPr="002F2FDF" w:rsidRDefault="00787699"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L.40 на обратном пути обстреляла вылетевшая из Ярмута в погоню за дирижаблями летающая лодка H.12, но экипаж вовремя сбросил балласт и увёл корабль из-под атаки.</w:t>
      </w:r>
    </w:p>
    <w:p w14:paraId="2941BB91" w14:textId="77777777" w:rsidR="00787699" w:rsidRPr="002F2FDF" w:rsidRDefault="00787699"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В предыдущем рейде Штрассер летел на L.42, вернувшемся с полпути, и сложности высотных полётов обошли его стороной, но в этот раз он испытал их в полной мере. По возвращении на базу командующий, спохватившись, потребовал от капитанов отдельного отчёта о вскрывшихся проблемах и методах борьбы с ними — а ведь шёл уже четвёртый месяц с начала действий на больших высотах! (19156).</w:t>
      </w:r>
    </w:p>
    <w:p w14:paraId="59C55FD9" w14:textId="77777777" w:rsidR="00787699" w:rsidRPr="002F2FDF" w:rsidRDefault="00787699" w:rsidP="0083075A">
      <w:pPr>
        <w:pStyle w:val="ae"/>
        <w:shd w:val="clear" w:color="auto" w:fill="FFFFFF"/>
        <w:spacing w:before="0" w:after="0"/>
        <w:jc w:val="both"/>
        <w:textAlignment w:val="baseline"/>
        <w:rPr>
          <w:color w:val="000000" w:themeColor="text1"/>
          <w:sz w:val="16"/>
          <w:szCs w:val="16"/>
        </w:rPr>
      </w:pPr>
    </w:p>
    <w:p w14:paraId="676D6543" w14:textId="612E79E4" w:rsidR="003A43C6" w:rsidRPr="002F2FDF" w:rsidRDefault="003A43C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10 (23) мая 1917 г.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«Долфин» (Dolphin 5F.1, без РКВС) 1-й опытный, построенный опытным отделением завода фирмы Сопвич в г. Кингстон (Sopwith's Experimental Department) без вооружения был сдан на испытания</w:t>
      </w:r>
    </w:p>
    <w:p w14:paraId="6AD29D1E" w14:textId="77777777" w:rsidR="003A43C6" w:rsidRPr="002F2FDF" w:rsidRDefault="003A43C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конце мая 1917 г. летчик-испытатель Г. Хокер (Harry Hawker) совершил на нем первый полет. ЗИ самолета прошли удовлетворительно. Значительных недостатков выявлено не было, доработки были небольшими – например, полотняная обшивка гаргрота рвалась, когда летчик неаккуратно становился на верхнюю подножку, и по грагроту до 7-й рамы ее заменили фанерой.</w:t>
      </w:r>
    </w:p>
    <w:p w14:paraId="2CE289AD" w14:textId="77777777" w:rsidR="003A43C6" w:rsidRPr="002F2FDF" w:rsidRDefault="003A43C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конце мая 1917 г. самолет сдали на официальные испытания RFC, но не известно, принят ли он был на баланс Военного министерства – РКВС он не получил. В начале июня 1917 г. начались официальные испытания самолета на а/д Мартлешам-Хит (Martlesham Heath). Проводивший их пилот RFC доложил, что центровка самолета слишком передняя, и в ХЧФ установили балансировочный груз. В целом оценка по результатам официальных испытаний была положительной (23128).</w:t>
      </w:r>
    </w:p>
    <w:p w14:paraId="09C87C68" w14:textId="77777777" w:rsidR="003A43C6" w:rsidRPr="002F2FDF" w:rsidRDefault="003A43C6" w:rsidP="0083075A">
      <w:pPr>
        <w:spacing w:after="0" w:line="240" w:lineRule="auto"/>
        <w:jc w:val="both"/>
        <w:rPr>
          <w:rFonts w:ascii="Times New Roman" w:hAnsi="Times New Roman" w:cs="Times New Roman"/>
          <w:color w:val="000000" w:themeColor="text1"/>
          <w:sz w:val="16"/>
          <w:szCs w:val="16"/>
        </w:rPr>
      </w:pPr>
    </w:p>
    <w:p w14:paraId="6B594AFD" w14:textId="77777777" w:rsidR="003A43C6" w:rsidRPr="002F2FDF" w:rsidRDefault="003A43C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10-11 (23–24) мая (ночь) 1917 шесть цеппелинов ВМС Германии пытаются совершить высотный рейд на Лондон и юг Англии и столкнулись с плохой погодой. Они сбросили большую часть своих бомб на открытую местность, убив одного человека, никого не ранив и нанеся ущерб в размере 599 фунтов стерлингов, но все благополучно возвращаются в Германию, хотя рейд выявляет множество механических проблем и физических трудностей для членов экипажа во время длительной работы на большой высоте. Узнав о результатах рейда, кайзер Вильгельм II из Германии сказал: «Несмотря на этот успех, я считаю, что время нападения дирижаблей на Лондон прошло. Их следует использовать в качестве разведчиков в открытом море. Флот и стратегическая разведка, а не для бомбардировок Лондона». Начальник штаба военно-морского флота утверждает, что кампания бомбардировок связывает многих британских солдат, артиллерию и самолеты с задачами противовоздушной обороны, и Вильгельм II соглашается, что налеты будут продолжаться при благоприятных условиях (20341).</w:t>
      </w:r>
    </w:p>
    <w:p w14:paraId="5B9EC85D" w14:textId="77777777" w:rsidR="003A43C6" w:rsidRPr="002F2FDF" w:rsidRDefault="003A43C6" w:rsidP="0083075A">
      <w:pPr>
        <w:spacing w:after="0" w:line="240" w:lineRule="auto"/>
        <w:jc w:val="both"/>
        <w:rPr>
          <w:rFonts w:ascii="Times New Roman" w:hAnsi="Times New Roman" w:cs="Times New Roman"/>
          <w:color w:val="000000" w:themeColor="text1"/>
          <w:sz w:val="16"/>
          <w:szCs w:val="16"/>
        </w:rPr>
      </w:pPr>
    </w:p>
    <w:p w14:paraId="75798CBF" w14:textId="68DD9866" w:rsidR="003A43C6" w:rsidRPr="002F2FDF" w:rsidRDefault="003A43C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10 (23) мая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Гарри Хокер облетал прототип истребителя Dolphin (Разработчик: Sopwith, Великобритания)</w:t>
      </w:r>
    </w:p>
    <w:p w14:paraId="531969FB" w14:textId="77777777" w:rsidR="003A43C6" w:rsidRPr="002F2FDF" w:rsidRDefault="003A43C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Плохой обзор из кабины биплана пытались улучшить разными способами. Одна из таких попыток привела к появлению в первой половине 1917 года этого самолета.</w:t>
      </w:r>
    </w:p>
    <w:p w14:paraId="11039FEC" w14:textId="77777777" w:rsidR="003A43C6" w:rsidRPr="002F2FDF" w:rsidRDefault="003A43C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Идея состояла в том, что у верхнего крыла убрали центроплан, а раздельное верхнее крыло крепилось к фюзеляжу на стойках. Пилот сидел в кабине под рамой из стальных труб, которая заменяла собой центроплан. Чтобы улучшить обзор в еще большей степени, носовую часть фюзеляжа заузили, отказавшись от предусмотренного проектом лобового радиатора. По этим же соображениям машина получила узкий рядный двигатель "Испано-Сюиза". "Долфин" был первым самолетом фирмы "Сопвич" с рядным двигателем. Нижнее крыло сдвинули вперед относительно верхнего. Все перечисленное придало "Долфину" необычный внешний вид. Никакой защиты для пилота при капотаже не предусматривалось, считалось, что достаточное пространство для головы обеспечит небольшое возвышение крыла. Позднее добавили дуги из трубки на верхней стороне верхнего крыла. Отдельные машины все же получили противокапотажную дугу. Несмотря на этот недостаток, самолет получился удачным, начался его серийный выпуск (42493).</w:t>
      </w:r>
    </w:p>
    <w:p w14:paraId="531ADD20" w14:textId="77777777" w:rsidR="003A43C6" w:rsidRPr="002F2FDF" w:rsidRDefault="003A43C6" w:rsidP="0083075A">
      <w:pPr>
        <w:spacing w:after="0" w:line="240" w:lineRule="auto"/>
        <w:jc w:val="both"/>
        <w:rPr>
          <w:rFonts w:ascii="Times New Roman" w:hAnsi="Times New Roman" w:cs="Times New Roman"/>
          <w:color w:val="000000" w:themeColor="text1"/>
          <w:sz w:val="16"/>
          <w:szCs w:val="16"/>
        </w:rPr>
      </w:pPr>
    </w:p>
    <w:p w14:paraId="03FAEE30" w14:textId="77777777" w:rsidR="00E2230B" w:rsidRPr="002F2FDF" w:rsidRDefault="00E2230B" w:rsidP="0083075A">
      <w:pPr>
        <w:pStyle w:val="ae"/>
        <w:spacing w:before="0" w:after="0"/>
        <w:jc w:val="both"/>
        <w:rPr>
          <w:color w:val="000000" w:themeColor="text1"/>
          <w:kern w:val="2"/>
          <w:sz w:val="16"/>
          <w:szCs w:val="16"/>
        </w:rPr>
      </w:pPr>
      <w:r w:rsidRPr="002F2FDF">
        <w:rPr>
          <w:color w:val="000000" w:themeColor="text1"/>
          <w:kern w:val="2"/>
          <w:sz w:val="16"/>
          <w:szCs w:val="16"/>
        </w:rPr>
        <w:t>10 (23) мая 1917 итальянские части после небольшой передышки возобновили штурм австрийских укреплений в районе реки Изонцо у северного побережья Адриатического моря, в окрестностях города Гориция. Атаке предшествовал один из первых в истории военной авиации массированный бомбардировочный налет на позиции австрийской армии, в котором были задействованы более 130 самолетов союзников по Антанте. Примечательно, что на этот шаг итальянское командование пошло вынужденно — из-за нехватки снарядов оно не могло позволить провести полноценную артподготовку. К 29 мая в ходе ожесточенных боев итальянцы продвинулись вглубь австрийских позиций на 2-4 километра, приблизившись к Триесту — важному порту на севере Адриатического моря, принадлежавшему тогда Австро-Венгрии (17045).</w:t>
      </w:r>
    </w:p>
    <w:p w14:paraId="4C905F8F" w14:textId="77777777" w:rsidR="00E2230B" w:rsidRPr="002F2FDF" w:rsidRDefault="00E2230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AECC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мая 1917 премьер-министр Китая Дуань Цижуй был смещен со своего поста (3907,90).</w:t>
      </w:r>
    </w:p>
    <w:p w14:paraId="21EE55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5F3EB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3F6D6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942B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мая 1917 один из отрядов ЭВК неподалеку от Тарнополя испытал глубокий революционный кризис, который имел трагические последствия; (11 мая) 1917 г. у города Микулиста, вместе со всем экипажем разбился "ИМ-1". Теперь уже офицеры начали страдать от нижних чинов. Когда воздушное судно находилось в воздухе, сломалась одна из стоек. Инцидент был результатом преднамеренного саботажа. Кто- то ослабил стойку и удерживающие ее тросы, и этот ущерб мог быть предотвращен, если бы штатный механик "ИМ-1" М.Т. Шидловский, который всегда тщательно обследовал самолет перед вылетом, находился на службе. Шидловский заявил, что был болен в результате постоянных оскорблений и угроз от нижних чинов эскадрильи. Он был помещен в госпиталь. Офицеры "ИМ-1", отправлявшиеся на боевое задание, могли просмотреть такую вещь, как ослабленную стойку или даже удаленную гайку.</w:t>
      </w:r>
    </w:p>
    <w:p w14:paraId="726292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время катастрофы погиб весь экипаж. Командир "ИМ-1" лейтенант Г.И. Лавров был флотским авиатором, который в 1914 г. совершил полет в Киев вместе с Сикор- ским. В то время Лавров командовал отдельным отрядом ЭВК. Другими членами экипажа, погибшими в результате этой трагической аварии были: заместитель командира лейтенант В.К. Витковский; лейтенант Шокальский, капитан Отрешко, прапорщик Балашов и механик Сафонов (11999).</w:t>
      </w:r>
    </w:p>
    <w:p w14:paraId="4AA1B9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9E9C44" w14:textId="63004CDB"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11 </w:t>
      </w:r>
      <w:r>
        <w:rPr>
          <w:rFonts w:ascii="Times New Roman" w:hAnsi="Times New Roman" w:cs="Times New Roman"/>
          <w:color w:val="0070C0"/>
          <w:sz w:val="16"/>
          <w:szCs w:val="16"/>
        </w:rPr>
        <w:t xml:space="preserve">(24) </w:t>
      </w:r>
      <w:r w:rsidRPr="00FB4F67">
        <w:rPr>
          <w:rFonts w:ascii="Times New Roman" w:hAnsi="Times New Roman" w:cs="Times New Roman"/>
          <w:color w:val="0070C0"/>
          <w:sz w:val="16"/>
          <w:szCs w:val="16"/>
        </w:rPr>
        <w:t>мая 1917 г. у города Микулиста, вместе со всем экипажем разбился ИМ-1. Когда воздушное судно находилось в воздухе, Находясь в воздухе, сломалась одна из стоек. Инцидент был результатом преднамеренного саботажа. Кто-то ослабил стойку и удерживающие ее тросы, и этот ущерб мог быть предотвращен, если бы штатный механик ИМ-1 М. Т. Шидловский, который всегда тщательно обследовал самолет перед вылетом, находился бы на службе. Шидловский заявил, что был болен в результате постоянных оскорблений и угроз от нижних чинов эскадрильи. Он был помещен в госпиталь. Офицеры ИМ-1, отправлявшиеся на боевое задание, могли просмотреть такую вещь, как ослабленную стойку или даже удаленную гайку.</w:t>
      </w:r>
    </w:p>
    <w:p w14:paraId="73DDAA1A" w14:textId="77777777"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Во время катастрофы погиб весь экипаж. Командир ИМ-1, лейтенант Г. И. Лавров был флотским авиатором, который в 1914 году совершил полет в Киев вместе с Игорем Сикорским. В то время Лавров командовал отдельным отрядом ЭВК. Другими членами экипажа, погибшими в результате этой трагической аварии были: заместитель командира лейтенант В. К. Витковский; лейтенант Шокальский, капитан Отрешко, прапорщик Балашов и механик Сафонов.</w:t>
      </w:r>
    </w:p>
    <w:p w14:paraId="19D399A4" w14:textId="77777777"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Вскоре после позорного отступления наших войск из Тернополя там начались грабежи и неразборчивое насилие против мирного населения. Эти акты оправдывались как направленные на установление «революционной дисциплины». Когда приблизился противник, было решено отвести ЭВК из Винницы в тыл, вглубь России, но этому помешали растущая анархия и недостаток транспорта (23470).</w:t>
      </w:r>
    </w:p>
    <w:p w14:paraId="65B9D529" w14:textId="77777777" w:rsidR="009C08ED" w:rsidRPr="00FB4F67" w:rsidRDefault="009C08ED" w:rsidP="0083075A">
      <w:pPr>
        <w:spacing w:after="0" w:line="240" w:lineRule="auto"/>
        <w:jc w:val="both"/>
        <w:rPr>
          <w:rFonts w:ascii="Times New Roman" w:hAnsi="Times New Roman" w:cs="Times New Roman"/>
          <w:color w:val="0070C0"/>
          <w:sz w:val="16"/>
          <w:szCs w:val="16"/>
        </w:rPr>
      </w:pPr>
    </w:p>
    <w:p w14:paraId="3965E9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11-12 (24-25) мая 1917 катера с крейсера Память Меркурия, эсминцы Гневный и Пронзительный под прикрытием линкора и 5 эсминцев поставили 186 мин в проливе Босфор (3123).</w:t>
      </w:r>
    </w:p>
    <w:p w14:paraId="15A878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16FB4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BB30E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3CCB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ночь с 10 (23-го) на 11 (24-го) мая 1917 при участии L-40, L-42, L-43, L-44 и L-45 был налет на Англию. На L-44 находился командир Дивизиона воздушных кораблей, капитан 2 ранга Штрассер. Приводим его донесение. </w:t>
      </w:r>
    </w:p>
    <w:p w14:paraId="3A617D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“Около 1.45 прошли над берегом у Гарвича, где встретили разорванные облака. Многочисленные прожекторы безуспешно пытались нащупать наш корабль. С земли велся слабый обстрел, в воздухе не было никаких самолетов. Из-за [205] одновременной остановки трех моторов продолжать полет к Лондону стало невозможно, так как корабль начал терять высоту. Сбросили 2000 кг бомб над Гарвичем. Вскоре после атаки остановились все моторы. Корабль в течение 45 минут висел над территорией противника наподобие аэростата и снизился с высоты 5700 м до 3900 м. До 10.00 шли с одним мотором, а после 10.00 — иногда с двумя, а временами и с тремя моторами. Благополучно приземлились в Нордхольце. В 19.20 на обратном пути L-43 попал под очень сильный град. Молния ударила в переднюю часть корабля и пробежала поверху, не причинив вреда”. В этом высотном полете часть экипажа L-44 потеряла сознание от нехватки кислорода. Высотность явилась также причиной остановки двигателей. </w:t>
      </w:r>
    </w:p>
    <w:p w14:paraId="491403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Крайне неблагоприятными для воздушных кораблей оказались метеорологические условия на больших высотах. Там почти постоянно дул очень сильный западный ветер, переходивший иногда в северный, и побороть его из-за потери мощности двигателей было очень трудно. По этой причине цеппелины часто не могли выполнить задания, несмотря на то что в низких слоях стояла прекрасная погода. Эти проблемы были частично сняты после того, как в 1918 году пошли в серию высотные двигатели. </w:t>
      </w:r>
    </w:p>
    <w:p w14:paraId="1FD24D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Следующий налет состоялся 17 июня. В нем приняли участие L-42, L-43, L-44 и L-45. Несколько раз пришлось уклоняться от шквалов, поэтому достигнуть Лондона за остававшееся короткое ночное время не представлялось возможным. L-42 сбросил в 3.00 все свои бомбы над Дувром. Во время бомбардировки корабль подвергся сильному обстрелу, но прожекторы из-за густого тумана смогли поймать его лишь на короткое время. Бомбы точно легли в цель. Минут через 10 после атаки были замечены сильные взрывы. Казалось, что на [206] воздух взлетали целые кварталы домов, долгое время наблюдались пожары. Вскоре после атаки корабль подвергся преследованию мелких кораблей, по всей вероятности — миноносцев или легких крейсеров, которые открыли по нему беглый огонь. Пришлось уходить на высоту 5000 м. </w:t>
      </w:r>
    </w:p>
    <w:p w14:paraId="61F3CF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С L-42 наблюдали, как один из наших воздушных кораблей подвергся атаке самолета. Цеппелин находился в это время на высоте 4500-5000 м, а самолет — на 300-500 м выше. L-43 из этого полета не вернулся, очевидно, он был сбит самолетом. Впоследствии это предположение подтвердилось английскими сообщениями (11324).</w:t>
      </w:r>
    </w:p>
    <w:p w14:paraId="617B0D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C6D5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мая 1917 года М.3 был сбит над Валле дель Виппакко, М.4 над Гориция 4 мая 1916 года. Дирижабль М.5 столкнулся с самолетом над аэродромом в Турине 3 июля 1916 года. В октябре 1917 года ангар, в котором тогда находились М.8 и М.13, подвергся бомбардировке австрийской авиации. В итоге оба “итальянца” погибли. М.10 был сбит над Просекко 22 сентября 1917 года, двумя месяцами ранее та же участь постигла и М.12 над Хермада. М.17 сгорел во время полета по невыясненной причине 3 февраля 1918 года. После войны старый дирижабль М.1 переименовали в “Анджело Бернарди” и долгое время использовали для пассажирских перевозок. Он совершил 54 вылета и перевез 800 пассажиров (11324).</w:t>
      </w:r>
    </w:p>
    <w:p w14:paraId="0EF374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C8283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5BA98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E9A1B0" w14:textId="77777777" w:rsidR="00780B21" w:rsidRPr="002F2FDF" w:rsidRDefault="00780B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11 (24) мая 1917 турбулентность выбрасывает наблюдателя лейтенант Отто Berla с борта немецкого Aviatik CV без парашюта Когда он падает, восходящий поток поднимает хвоста самолета, и наблюдатель пробивает фанеру фюзеляжа в кормовой части. Пилот «Авиатика » благополучно возвращает его на базу (20341).</w:t>
      </w:r>
    </w:p>
    <w:p w14:paraId="78EC9C53" w14:textId="77777777" w:rsidR="00780B21" w:rsidRPr="002F2FDF" w:rsidRDefault="00780B21" w:rsidP="0083075A">
      <w:pPr>
        <w:spacing w:after="0" w:line="240" w:lineRule="auto"/>
        <w:jc w:val="both"/>
        <w:rPr>
          <w:rFonts w:ascii="Times New Roman" w:hAnsi="Times New Roman" w:cs="Times New Roman"/>
          <w:color w:val="000000" w:themeColor="text1"/>
          <w:sz w:val="16"/>
          <w:szCs w:val="16"/>
        </w:rPr>
      </w:pPr>
    </w:p>
    <w:p w14:paraId="327173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мая 1917 из США отправился первый конвой в Англию (2284).</w:t>
      </w:r>
    </w:p>
    <w:p w14:paraId="457451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5F919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F607A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43F4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мая 1917 Н.Д.Анощенко совершил добровольный прыжок с парашютом французской системы Жюкмес с испытательной целью (438,356).</w:t>
      </w:r>
    </w:p>
    <w:p w14:paraId="310664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другим данным 5 мая 1917</w:t>
      </w:r>
    </w:p>
    <w:p w14:paraId="5D4B6D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A470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мая 1917 пор. 28 као С.А.Остратов первым в России совершил добровольный прыжок с парашютом Г.Е.Котельникова с испытательной целью с аэростата с 500 м (3635).</w:t>
      </w:r>
    </w:p>
    <w:p w14:paraId="0C7DEA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8E635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мая 1917 поручик 28-го корпусного воздухоплавательного отряда Сергей Алексеевич Остратов первым в России совершил прыжок на парашюте Г.Е.Котельниковэ с испытательной целью. Прыжок был совершен с привязного аэростата с высоты 500 м и закончился благополучно. (ЦГВИА. ф.493, оп. 10, д. 144, ,л.23; ф,2008,д.209,л.214).</w:t>
      </w:r>
    </w:p>
    <w:p w14:paraId="5286F9D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A8A283" w14:textId="77777777" w:rsidR="008772C5" w:rsidRDefault="008772C5"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12 (25)</w:t>
      </w:r>
      <w:r w:rsidRPr="00815ED5">
        <w:rPr>
          <w:rFonts w:ascii="Times New Roman" w:hAnsi="Times New Roman" w:cs="Times New Roman"/>
          <w:color w:val="0070C0"/>
          <w:sz w:val="16"/>
          <w:szCs w:val="16"/>
        </w:rPr>
        <w:t xml:space="preserve"> мая</w:t>
      </w:r>
      <w:r>
        <w:rPr>
          <w:rFonts w:ascii="Times New Roman" w:hAnsi="Times New Roman" w:cs="Times New Roman"/>
          <w:color w:val="0070C0"/>
          <w:sz w:val="16"/>
          <w:szCs w:val="16"/>
        </w:rPr>
        <w:t xml:space="preserve">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815ED5">
        <w:rPr>
          <w:rFonts w:ascii="Times New Roman" w:hAnsi="Times New Roman" w:cs="Times New Roman"/>
          <w:color w:val="0070C0"/>
          <w:sz w:val="16"/>
          <w:szCs w:val="16"/>
        </w:rPr>
        <w:t xml:space="preserve">оручик </w:t>
      </w:r>
      <w:r>
        <w:rPr>
          <w:rFonts w:ascii="Times New Roman" w:hAnsi="Times New Roman" w:cs="Times New Roman"/>
          <w:color w:val="0070C0"/>
          <w:sz w:val="16"/>
          <w:szCs w:val="16"/>
        </w:rPr>
        <w:t>23</w:t>
      </w:r>
      <w:r w:rsidRPr="00815ED5">
        <w:rPr>
          <w:rFonts w:ascii="Times New Roman" w:hAnsi="Times New Roman" w:cs="Times New Roman"/>
          <w:color w:val="0070C0"/>
          <w:sz w:val="16"/>
          <w:szCs w:val="16"/>
        </w:rPr>
        <w:t>-го корпусного воздухоплавательного отряда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Серге</w:t>
      </w:r>
      <w:r>
        <w:rPr>
          <w:rFonts w:ascii="Times New Roman" w:hAnsi="Times New Roman" w:cs="Times New Roman"/>
          <w:color w:val="0070C0"/>
          <w:sz w:val="16"/>
          <w:szCs w:val="16"/>
        </w:rPr>
        <w:t>й</w:t>
      </w:r>
      <w:r w:rsidRPr="00815ED5">
        <w:rPr>
          <w:rFonts w:ascii="Times New Roman" w:hAnsi="Times New Roman" w:cs="Times New Roman"/>
          <w:color w:val="0070C0"/>
          <w:sz w:val="16"/>
          <w:szCs w:val="16"/>
        </w:rPr>
        <w:t xml:space="preserve"> Алексеевич Остратов первым</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 России совершил прыжок на пара</w:t>
      </w:r>
      <w:r>
        <w:rPr>
          <w:rFonts w:ascii="Times New Roman" w:hAnsi="Times New Roman" w:cs="Times New Roman"/>
          <w:color w:val="0070C0"/>
          <w:sz w:val="16"/>
          <w:szCs w:val="16"/>
        </w:rPr>
        <w:t>ш</w:t>
      </w:r>
      <w:r w:rsidRPr="00815ED5">
        <w:rPr>
          <w:rFonts w:ascii="Times New Roman" w:hAnsi="Times New Roman" w:cs="Times New Roman"/>
          <w:color w:val="0070C0"/>
          <w:sz w:val="16"/>
          <w:szCs w:val="16"/>
        </w:rPr>
        <w:t xml:space="preserve">юте </w:t>
      </w:r>
      <w:r>
        <w:rPr>
          <w:rFonts w:ascii="Times New Roman" w:hAnsi="Times New Roman" w:cs="Times New Roman"/>
          <w:color w:val="0070C0"/>
          <w:sz w:val="16"/>
          <w:szCs w:val="16"/>
        </w:rPr>
        <w:t>Г.</w:t>
      </w:r>
      <w:r w:rsidRPr="00815ED5">
        <w:rPr>
          <w:rFonts w:ascii="Times New Roman" w:hAnsi="Times New Roman" w:cs="Times New Roman"/>
          <w:color w:val="0070C0"/>
          <w:sz w:val="16"/>
          <w:szCs w:val="16"/>
        </w:rPr>
        <w:t>Б.Котельникова с испытательной целью.</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Прыжок был со</w:t>
      </w:r>
      <w:r>
        <w:rPr>
          <w:rFonts w:ascii="Times New Roman" w:hAnsi="Times New Roman" w:cs="Times New Roman"/>
          <w:color w:val="0070C0"/>
          <w:sz w:val="16"/>
          <w:szCs w:val="16"/>
        </w:rPr>
        <w:t>вершен</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 xml:space="preserve"> привязного аэростата о высоты 500 м и </w:t>
      </w:r>
      <w:r>
        <w:rPr>
          <w:rFonts w:ascii="Times New Roman" w:hAnsi="Times New Roman" w:cs="Times New Roman"/>
          <w:color w:val="0070C0"/>
          <w:sz w:val="16"/>
          <w:szCs w:val="16"/>
        </w:rPr>
        <w:t>з</w:t>
      </w:r>
      <w:r w:rsidRPr="00815ED5">
        <w:rPr>
          <w:rFonts w:ascii="Times New Roman" w:hAnsi="Times New Roman" w:cs="Times New Roman"/>
          <w:color w:val="0070C0"/>
          <w:sz w:val="16"/>
          <w:szCs w:val="16"/>
        </w:rPr>
        <w:t>акончил</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я благополучно.</w:t>
      </w:r>
    </w:p>
    <w:p w14:paraId="486F31EA" w14:textId="77777777" w:rsidR="008772C5" w:rsidRDefault="008772C5"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/ЦГВ</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ф.493,</w:t>
      </w:r>
      <w:r>
        <w:rPr>
          <w:rFonts w:ascii="Times New Roman" w:hAnsi="Times New Roman" w:cs="Times New Roman"/>
          <w:color w:val="0070C0"/>
          <w:sz w:val="16"/>
          <w:szCs w:val="16"/>
        </w:rPr>
        <w:t xml:space="preserve"> оп</w:t>
      </w:r>
      <w:r w:rsidRPr="00815ED5">
        <w:rPr>
          <w:rFonts w:ascii="Times New Roman" w:hAnsi="Times New Roman" w:cs="Times New Roman"/>
          <w:color w:val="0070C0"/>
          <w:sz w:val="16"/>
          <w:szCs w:val="16"/>
        </w:rPr>
        <w:t xml:space="preserve">. 10, </w:t>
      </w:r>
      <w:r>
        <w:rPr>
          <w:rFonts w:ascii="Times New Roman" w:hAnsi="Times New Roman" w:cs="Times New Roman"/>
          <w:color w:val="0070C0"/>
          <w:sz w:val="16"/>
          <w:szCs w:val="16"/>
        </w:rPr>
        <w:t xml:space="preserve">д. </w:t>
      </w:r>
      <w:r w:rsidRPr="00815ED5">
        <w:rPr>
          <w:rFonts w:ascii="Times New Roman" w:hAnsi="Times New Roman" w:cs="Times New Roman"/>
          <w:color w:val="0070C0"/>
          <w:sz w:val="16"/>
          <w:szCs w:val="16"/>
        </w:rPr>
        <w:t>44,</w:t>
      </w:r>
      <w:r>
        <w:rPr>
          <w:rFonts w:ascii="Times New Roman" w:hAnsi="Times New Roman" w:cs="Times New Roman"/>
          <w:color w:val="0070C0"/>
          <w:sz w:val="16"/>
          <w:szCs w:val="16"/>
        </w:rPr>
        <w:t xml:space="preserve"> л</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23;</w:t>
      </w:r>
      <w:r>
        <w:rPr>
          <w:rFonts w:ascii="Times New Roman" w:hAnsi="Times New Roman" w:cs="Times New Roman"/>
          <w:color w:val="0070C0"/>
          <w:sz w:val="16"/>
          <w:szCs w:val="16"/>
        </w:rPr>
        <w:t xml:space="preserve"> ф.</w:t>
      </w:r>
      <w:r w:rsidRPr="00815ED5">
        <w:rPr>
          <w:rFonts w:ascii="Times New Roman" w:hAnsi="Times New Roman" w:cs="Times New Roman"/>
          <w:color w:val="0070C0"/>
          <w:sz w:val="16"/>
          <w:szCs w:val="16"/>
        </w:rPr>
        <w:t xml:space="preserve"> 8006, </w:t>
      </w:r>
      <w:r>
        <w:rPr>
          <w:rFonts w:ascii="Times New Roman" w:hAnsi="Times New Roman" w:cs="Times New Roman"/>
          <w:color w:val="0070C0"/>
          <w:sz w:val="16"/>
          <w:szCs w:val="16"/>
        </w:rPr>
        <w:t>д</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209, л. 214/ (23320).</w:t>
      </w:r>
    </w:p>
    <w:p w14:paraId="6CDAABEE" w14:textId="77777777" w:rsidR="008772C5" w:rsidRDefault="008772C5" w:rsidP="0083075A">
      <w:pPr>
        <w:spacing w:after="0" w:line="240" w:lineRule="auto"/>
        <w:jc w:val="both"/>
        <w:rPr>
          <w:rFonts w:ascii="Times New Roman" w:hAnsi="Times New Roman" w:cs="Times New Roman"/>
          <w:color w:val="0070C0"/>
          <w:sz w:val="16"/>
          <w:szCs w:val="16"/>
        </w:rPr>
      </w:pPr>
    </w:p>
    <w:p w14:paraId="1F2CA8F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мая 1917 г. был подписан контракт № 37424/15655 на сумму 1849900 руб., по которому фирма Матиас получила заказ на 100 самолетов указанного типа под двигатель “Сальмсон” в 160 или 170 л.с., с двумя пулеметными ус</w:t>
      </w:r>
      <w:r w:rsidRPr="002F2FDF">
        <w:rPr>
          <w:rFonts w:ascii="Times New Roman" w:hAnsi="Times New Roman" w:cs="Times New Roman"/>
          <w:color w:val="000000" w:themeColor="text1"/>
          <w:kern w:val="2"/>
          <w:sz w:val="16"/>
          <w:szCs w:val="16"/>
        </w:rPr>
        <w:softHyphen/>
        <w:t>тановками каждый, а также на комплекты запчастей. Сроки сдачи про</w:t>
      </w:r>
      <w:r w:rsidRPr="002F2FDF">
        <w:rPr>
          <w:rFonts w:ascii="Times New Roman" w:hAnsi="Times New Roman" w:cs="Times New Roman"/>
          <w:color w:val="000000" w:themeColor="text1"/>
          <w:kern w:val="2"/>
          <w:sz w:val="16"/>
          <w:szCs w:val="16"/>
        </w:rPr>
        <w:softHyphen/>
        <w:t>дукции определялись довольно жесткие: первые 30 “Фарманов” сле</w:t>
      </w:r>
      <w:r w:rsidRPr="002F2FDF">
        <w:rPr>
          <w:rFonts w:ascii="Times New Roman" w:hAnsi="Times New Roman" w:cs="Times New Roman"/>
          <w:color w:val="000000" w:themeColor="text1"/>
          <w:kern w:val="2"/>
          <w:sz w:val="16"/>
          <w:szCs w:val="16"/>
        </w:rPr>
        <w:softHyphen/>
        <w:t xml:space="preserve">довало предъявить военной приемке в июле 1917 г., следующие 50 — в августе, а последние 20 — в сентябре (11154). </w:t>
      </w:r>
    </w:p>
    <w:p w14:paraId="0F5BEEF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EB59A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3DAAF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8175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мая 1917 летчики 4-го као прапорщики Кокорин и Земблевич 1БАГ сбили непри</w:t>
      </w:r>
      <w:r w:rsidRPr="002F2FDF">
        <w:rPr>
          <w:rFonts w:ascii="Times New Roman" w:hAnsi="Times New Roman" w:cs="Times New Roman"/>
          <w:color w:val="000000" w:themeColor="text1"/>
          <w:kern w:val="2"/>
          <w:sz w:val="16"/>
          <w:szCs w:val="16"/>
        </w:rPr>
        <w:softHyphen/>
        <w:t>ятельский самолет, упавший северо</w:t>
      </w:r>
      <w:r w:rsidRPr="002F2FDF">
        <w:rPr>
          <w:rFonts w:ascii="Times New Roman" w:hAnsi="Times New Roman" w:cs="Times New Roman"/>
          <w:color w:val="000000" w:themeColor="text1"/>
          <w:kern w:val="2"/>
          <w:sz w:val="16"/>
          <w:szCs w:val="16"/>
        </w:rPr>
        <w:softHyphen/>
        <w:t>-восточнее Козова. Из донесений лет</w:t>
      </w:r>
      <w:r w:rsidRPr="002F2FDF">
        <w:rPr>
          <w:rFonts w:ascii="Times New Roman" w:hAnsi="Times New Roman" w:cs="Times New Roman"/>
          <w:color w:val="000000" w:themeColor="text1"/>
          <w:kern w:val="2"/>
          <w:sz w:val="16"/>
          <w:szCs w:val="16"/>
        </w:rPr>
        <w:softHyphen/>
        <w:t>чиков складывается следующая карти</w:t>
      </w:r>
      <w:r w:rsidRPr="002F2FDF">
        <w:rPr>
          <w:rFonts w:ascii="Times New Roman" w:hAnsi="Times New Roman" w:cs="Times New Roman"/>
          <w:color w:val="000000" w:themeColor="text1"/>
          <w:kern w:val="2"/>
          <w:sz w:val="16"/>
          <w:szCs w:val="16"/>
        </w:rPr>
        <w:softHyphen/>
        <w:t>на боя: в 7 ч. 30 мин утра над деревней Олесин был замечен летящий на вы</w:t>
      </w:r>
      <w:r w:rsidRPr="002F2FDF">
        <w:rPr>
          <w:rFonts w:ascii="Times New Roman" w:hAnsi="Times New Roman" w:cs="Times New Roman"/>
          <w:color w:val="000000" w:themeColor="text1"/>
          <w:kern w:val="2"/>
          <w:sz w:val="16"/>
          <w:szCs w:val="16"/>
        </w:rPr>
        <w:softHyphen/>
        <w:t>соте 3900 м самолет противника. Пос</w:t>
      </w:r>
      <w:r w:rsidRPr="002F2FDF">
        <w:rPr>
          <w:rFonts w:ascii="Times New Roman" w:hAnsi="Times New Roman" w:cs="Times New Roman"/>
          <w:color w:val="000000" w:themeColor="text1"/>
          <w:kern w:val="2"/>
          <w:sz w:val="16"/>
          <w:szCs w:val="16"/>
        </w:rPr>
        <w:softHyphen/>
        <w:t>ле атак наших летчиков он перевер</w:t>
      </w:r>
      <w:r w:rsidRPr="002F2FDF">
        <w:rPr>
          <w:rFonts w:ascii="Times New Roman" w:hAnsi="Times New Roman" w:cs="Times New Roman"/>
          <w:color w:val="000000" w:themeColor="text1"/>
          <w:kern w:val="2"/>
          <w:sz w:val="16"/>
          <w:szCs w:val="16"/>
        </w:rPr>
        <w:softHyphen/>
        <w:t>нулся вверх колесами и скользнул на крыло. При этом наблюдатель выпал из аппарата на высоте 1500 м. Про</w:t>
      </w:r>
      <w:r w:rsidRPr="002F2FDF">
        <w:rPr>
          <w:rFonts w:ascii="Times New Roman" w:hAnsi="Times New Roman" w:cs="Times New Roman"/>
          <w:color w:val="000000" w:themeColor="text1"/>
          <w:kern w:val="2"/>
          <w:sz w:val="16"/>
          <w:szCs w:val="16"/>
        </w:rPr>
        <w:softHyphen/>
        <w:t>тивник продолжал маневрировать под обстрелом наших летчиков, но затем крутой спиралью пошел вниз и вре</w:t>
      </w:r>
      <w:r w:rsidRPr="002F2FDF">
        <w:rPr>
          <w:rFonts w:ascii="Times New Roman" w:hAnsi="Times New Roman" w:cs="Times New Roman"/>
          <w:color w:val="000000" w:themeColor="text1"/>
          <w:kern w:val="2"/>
          <w:sz w:val="16"/>
          <w:szCs w:val="16"/>
        </w:rPr>
        <w:softHyphen/>
        <w:t>зался в землю. По документам авст</w:t>
      </w:r>
      <w:r w:rsidRPr="002F2FDF">
        <w:rPr>
          <w:rFonts w:ascii="Times New Roman" w:hAnsi="Times New Roman" w:cs="Times New Roman"/>
          <w:color w:val="000000" w:themeColor="text1"/>
          <w:kern w:val="2"/>
          <w:sz w:val="16"/>
          <w:szCs w:val="16"/>
        </w:rPr>
        <w:softHyphen/>
        <w:t>рийского архива удалось установить, что в этот день был сбит “Бранден</w:t>
      </w:r>
      <w:r w:rsidRPr="002F2FDF">
        <w:rPr>
          <w:rFonts w:ascii="Times New Roman" w:hAnsi="Times New Roman" w:cs="Times New Roman"/>
          <w:color w:val="000000" w:themeColor="text1"/>
          <w:kern w:val="2"/>
          <w:sz w:val="16"/>
          <w:szCs w:val="16"/>
        </w:rPr>
        <w:softHyphen/>
        <w:t>бург” C.I из авиароты Flik 9. При этом погиб летчик Михаэль Бергер и летнаб Рихард Рак. В тот же день в авиагруппе случился небольшой переполох после получе</w:t>
      </w:r>
      <w:r w:rsidRPr="002F2FDF">
        <w:rPr>
          <w:rFonts w:ascii="Times New Roman" w:hAnsi="Times New Roman" w:cs="Times New Roman"/>
          <w:color w:val="000000" w:themeColor="text1"/>
          <w:kern w:val="2"/>
          <w:sz w:val="16"/>
          <w:szCs w:val="16"/>
        </w:rPr>
        <w:softHyphen/>
        <w:t>ния телефонограммы с предложением отправить в штаб армии делегатов из отрядов на встречу с военным мини</w:t>
      </w:r>
      <w:r w:rsidRPr="002F2FDF">
        <w:rPr>
          <w:rFonts w:ascii="Times New Roman" w:hAnsi="Times New Roman" w:cs="Times New Roman"/>
          <w:color w:val="000000" w:themeColor="text1"/>
          <w:kern w:val="2"/>
          <w:sz w:val="16"/>
          <w:szCs w:val="16"/>
        </w:rPr>
        <w:softHyphen/>
        <w:t>стром Временного правительства А.Ф.Керенским. Казаков и большинст</w:t>
      </w:r>
      <w:r w:rsidRPr="002F2FDF">
        <w:rPr>
          <w:rFonts w:ascii="Times New Roman" w:hAnsi="Times New Roman" w:cs="Times New Roman"/>
          <w:color w:val="000000" w:themeColor="text1"/>
          <w:kern w:val="2"/>
          <w:sz w:val="16"/>
          <w:szCs w:val="16"/>
        </w:rPr>
        <w:softHyphen/>
        <w:t>во офицеров группы не переносили политическую шумиху и показную па</w:t>
      </w:r>
      <w:r w:rsidRPr="002F2FDF">
        <w:rPr>
          <w:rFonts w:ascii="Times New Roman" w:hAnsi="Times New Roman" w:cs="Times New Roman"/>
          <w:color w:val="000000" w:themeColor="text1"/>
          <w:kern w:val="2"/>
          <w:sz w:val="16"/>
          <w:szCs w:val="16"/>
        </w:rPr>
        <w:softHyphen/>
        <w:t>радность, но препятствовать полити</w:t>
      </w:r>
      <w:r w:rsidRPr="002F2FDF">
        <w:rPr>
          <w:rFonts w:ascii="Times New Roman" w:hAnsi="Times New Roman" w:cs="Times New Roman"/>
          <w:color w:val="000000" w:themeColor="text1"/>
          <w:kern w:val="2"/>
          <w:sz w:val="16"/>
          <w:szCs w:val="16"/>
        </w:rPr>
        <w:softHyphen/>
        <w:t>ческой инициативе своих подчиненных не стали. Казакова же больше волно</w:t>
      </w:r>
      <w:r w:rsidRPr="002F2FDF">
        <w:rPr>
          <w:rFonts w:ascii="Times New Roman" w:hAnsi="Times New Roman" w:cs="Times New Roman"/>
          <w:color w:val="000000" w:themeColor="text1"/>
          <w:kern w:val="2"/>
          <w:sz w:val="16"/>
          <w:szCs w:val="16"/>
        </w:rPr>
        <w:softHyphen/>
        <w:t>вало плохое состояние аэродрома -в день встречи с министром он просит “...две роты солдат с лопатами для засыпки канав на аэродроме Ко</w:t>
      </w:r>
      <w:r w:rsidRPr="002F2FDF">
        <w:rPr>
          <w:rFonts w:ascii="Times New Roman" w:hAnsi="Times New Roman" w:cs="Times New Roman"/>
          <w:color w:val="000000" w:themeColor="text1"/>
          <w:kern w:val="2"/>
          <w:sz w:val="16"/>
          <w:szCs w:val="16"/>
        </w:rPr>
        <w:softHyphen/>
        <w:t>валювка” (3954).</w:t>
      </w:r>
    </w:p>
    <w:p w14:paraId="1C8B4D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C7322A" w14:textId="7CEF57F0" w:rsidR="00A616FB" w:rsidRPr="00FB4F67" w:rsidRDefault="00A616FB" w:rsidP="0083075A">
      <w:pPr>
        <w:spacing w:after="0" w:line="240" w:lineRule="auto"/>
        <w:jc w:val="both"/>
        <w:rPr>
          <w:rFonts w:ascii="Times New Roman" w:hAnsi="Times New Roman" w:cs="Times New Roman"/>
          <w:color w:val="0070C0"/>
          <w:sz w:val="16"/>
          <w:szCs w:val="16"/>
        </w:rPr>
      </w:pPr>
      <w:bookmarkStart w:id="118" w:name="bookmark775"/>
      <w:bookmarkStart w:id="119" w:name="bookmark776"/>
      <w:r>
        <w:rPr>
          <w:rFonts w:ascii="Times New Roman" w:hAnsi="Times New Roman" w:cs="Times New Roman"/>
          <w:color w:val="0070C0"/>
          <w:sz w:val="16"/>
          <w:szCs w:val="16"/>
        </w:rPr>
        <w:t>12 (</w:t>
      </w:r>
      <w:r w:rsidRPr="00FB4F67">
        <w:rPr>
          <w:rFonts w:ascii="Times New Roman" w:hAnsi="Times New Roman" w:cs="Times New Roman"/>
          <w:color w:val="0070C0"/>
          <w:sz w:val="16"/>
          <w:szCs w:val="16"/>
        </w:rPr>
        <w:t>25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мая 1917 г. в полосе Юго-Западного фронта (юго-восточнее Галича) в результате воздушного боя командир 3-го армейского авиаотряда штабс-капитан С.К. Модрах сбил вражеский аэроплан, упавший за передовыми окопами противника. Аппарат был расстрелян артиллерией, а раненый неприятельский летчик, по «наблюдениям нашей пехоты, был унесен солдатами противника» (23405).</w:t>
      </w:r>
      <w:bookmarkEnd w:id="118"/>
      <w:bookmarkEnd w:id="119"/>
    </w:p>
    <w:p w14:paraId="7DDC473A" w14:textId="77777777" w:rsidR="00A616FB" w:rsidRPr="00FB4F67" w:rsidRDefault="00A616FB" w:rsidP="0083075A">
      <w:pPr>
        <w:spacing w:after="0" w:line="240" w:lineRule="auto"/>
        <w:jc w:val="both"/>
        <w:rPr>
          <w:rFonts w:ascii="Times New Roman" w:hAnsi="Times New Roman" w:cs="Times New Roman"/>
          <w:color w:val="0070C0"/>
          <w:sz w:val="16"/>
          <w:szCs w:val="16"/>
        </w:rPr>
      </w:pPr>
    </w:p>
    <w:p w14:paraId="06A57156" w14:textId="3A6E00A6" w:rsidR="00A616FB" w:rsidRPr="00FB4F67" w:rsidRDefault="00A616FB" w:rsidP="0083075A">
      <w:pPr>
        <w:spacing w:after="0" w:line="240" w:lineRule="auto"/>
        <w:jc w:val="both"/>
        <w:rPr>
          <w:rFonts w:ascii="Times New Roman" w:hAnsi="Times New Roman" w:cs="Times New Roman"/>
          <w:color w:val="0070C0"/>
          <w:sz w:val="16"/>
          <w:szCs w:val="16"/>
        </w:rPr>
      </w:pPr>
      <w:bookmarkStart w:id="120" w:name="bookmark781"/>
      <w:bookmarkStart w:id="121" w:name="bookmark782"/>
      <w:r>
        <w:rPr>
          <w:rFonts w:ascii="Times New Roman" w:hAnsi="Times New Roman" w:cs="Times New Roman"/>
          <w:color w:val="0070C0"/>
          <w:sz w:val="16"/>
          <w:szCs w:val="16"/>
        </w:rPr>
        <w:t>12 (</w:t>
      </w:r>
      <w:r w:rsidRPr="00FB4F67">
        <w:rPr>
          <w:rFonts w:ascii="Times New Roman" w:hAnsi="Times New Roman" w:cs="Times New Roman"/>
          <w:color w:val="0070C0"/>
          <w:sz w:val="16"/>
          <w:szCs w:val="16"/>
        </w:rPr>
        <w:t>25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мая 1917 г. немецкая сторона потеряла два своих самолета в полосе русского Северного фронта. Один из них оказался сбитым зенитным огнем восточнее д. Олай (юго-западнее Риги), другой - северо</w:t>
      </w:r>
      <w:r w:rsidRPr="00FB4F67">
        <w:rPr>
          <w:rFonts w:ascii="Times New Roman" w:hAnsi="Times New Roman" w:cs="Times New Roman"/>
          <w:color w:val="0070C0"/>
          <w:sz w:val="16"/>
          <w:szCs w:val="16"/>
        </w:rPr>
        <w:softHyphen/>
        <w:t>восточнее г. Двинск. Последний упал в нашем расположении и сгорел, при этом один летчик погиб, другой - объявлен в розыск.</w:t>
      </w:r>
      <w:bookmarkEnd w:id="120"/>
      <w:bookmarkEnd w:id="121"/>
    </w:p>
    <w:p w14:paraId="13F9AE10" w14:textId="77777777" w:rsidR="00A616FB" w:rsidRPr="00FB4F67" w:rsidRDefault="00A616FB" w:rsidP="0083075A">
      <w:pPr>
        <w:spacing w:after="0" w:line="240" w:lineRule="auto"/>
        <w:jc w:val="both"/>
        <w:rPr>
          <w:rFonts w:ascii="Times New Roman" w:hAnsi="Times New Roman" w:cs="Times New Roman"/>
          <w:color w:val="0070C0"/>
          <w:sz w:val="16"/>
          <w:szCs w:val="16"/>
        </w:rPr>
      </w:pPr>
      <w:bookmarkStart w:id="122" w:name="bookmark783"/>
      <w:bookmarkStart w:id="123" w:name="bookmark784"/>
      <w:r w:rsidRPr="00FB4F67">
        <w:rPr>
          <w:rFonts w:ascii="Times New Roman" w:hAnsi="Times New Roman" w:cs="Times New Roman"/>
          <w:color w:val="0070C0"/>
          <w:sz w:val="16"/>
          <w:szCs w:val="16"/>
        </w:rPr>
        <w:t>В тот же день летчики прапорщики Н.К. Кокорин и Зембелевич над д. Теофиполк на высоте 3,9 км вступили в бой с австрийским «Брандербургом Ц.1» (9-я авиарота) и сбили его</w:t>
      </w:r>
      <w:hyperlink w:anchor="bookmark1826" w:tooltip="Current Document">
        <w:r w:rsidRPr="00FB4F67">
          <w:rPr>
            <w:rStyle w:val="a5"/>
            <w:rFonts w:ascii="Times New Roman" w:hAnsi="Times New Roman" w:cs="Times New Roman"/>
            <w:color w:val="0070C0"/>
            <w:sz w:val="16"/>
            <w:szCs w:val="16"/>
          </w:rPr>
          <w:t>[—]</w:t>
        </w:r>
      </w:hyperlink>
      <w:r w:rsidRPr="00FB4F67">
        <w:rPr>
          <w:rFonts w:ascii="Times New Roman" w:hAnsi="Times New Roman" w:cs="Times New Roman"/>
          <w:color w:val="0070C0"/>
          <w:sz w:val="16"/>
          <w:szCs w:val="16"/>
        </w:rPr>
        <w:t>. Летательный аппарат упал северо-восточнее Козова, его экипаж погиб (23405).</w:t>
      </w:r>
      <w:bookmarkEnd w:id="122"/>
      <w:bookmarkEnd w:id="123"/>
    </w:p>
    <w:p w14:paraId="6C9749AB" w14:textId="77777777" w:rsidR="00A616FB" w:rsidRPr="00FB4F67" w:rsidRDefault="00A616FB" w:rsidP="0083075A">
      <w:pPr>
        <w:spacing w:after="0" w:line="240" w:lineRule="auto"/>
        <w:jc w:val="both"/>
        <w:rPr>
          <w:rFonts w:ascii="Times New Roman" w:hAnsi="Times New Roman" w:cs="Times New Roman"/>
          <w:color w:val="0070C0"/>
          <w:sz w:val="16"/>
          <w:szCs w:val="16"/>
        </w:rPr>
      </w:pPr>
    </w:p>
    <w:p w14:paraId="27376BC9" w14:textId="77777777" w:rsidR="00597FF8"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42EB698" w14:textId="77777777" w:rsidR="00597FF8" w:rsidRPr="002F2FDF" w:rsidRDefault="00597FF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1F9E03" w14:textId="7A09435D" w:rsidR="00597FF8" w:rsidRPr="002F2FDF" w:rsidRDefault="00597F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12</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w:t>
      </w:r>
      <w:hyperlink r:id="rId168" w:tooltip="25 мая" w:history="1">
        <w:r w:rsidRPr="002F2FDF">
          <w:rPr>
            <w:rStyle w:val="a5"/>
            <w:rFonts w:ascii="Times New Roman" w:hAnsi="Times New Roman" w:cs="Times New Roman"/>
            <w:color w:val="000000" w:themeColor="text1"/>
            <w:kern w:val="2"/>
            <w:sz w:val="16"/>
            <w:szCs w:val="16"/>
            <w:u w:val="none"/>
          </w:rPr>
          <w:t>25</w:t>
        </w:r>
      </w:hyperlink>
      <w:r w:rsidRPr="002F2FDF">
        <w:rPr>
          <w:rFonts w:ascii="Times New Roman" w:hAnsi="Times New Roman" w:cs="Times New Roman"/>
          <w:color w:val="000000" w:themeColor="text1"/>
          <w:kern w:val="2"/>
          <w:sz w:val="16"/>
          <w:szCs w:val="16"/>
        </w:rPr>
        <w:t>)</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мая</w:t>
      </w:r>
      <w:r w:rsidR="00E52569">
        <w:rPr>
          <w:rFonts w:ascii="Times New Roman" w:hAnsi="Times New Roman" w:cs="Times New Roman"/>
          <w:color w:val="000000" w:themeColor="text1"/>
          <w:kern w:val="2"/>
          <w:sz w:val="16"/>
          <w:szCs w:val="16"/>
        </w:rPr>
        <w:t xml:space="preserve"> </w:t>
      </w:r>
      <w:hyperlink r:id="rId169" w:tooltip="1917 год" w:history="1">
        <w:r w:rsidRPr="002F2FDF">
          <w:rPr>
            <w:rStyle w:val="a5"/>
            <w:rFonts w:ascii="Times New Roman" w:hAnsi="Times New Roman" w:cs="Times New Roman"/>
            <w:color w:val="000000" w:themeColor="text1"/>
            <w:kern w:val="2"/>
            <w:sz w:val="16"/>
            <w:szCs w:val="16"/>
            <w:u w:val="none"/>
          </w:rPr>
          <w:t>1917</w:t>
        </w:r>
      </w:hyperlink>
      <w:r w:rsidRPr="002F2FDF">
        <w:rPr>
          <w:rFonts w:ascii="Times New Roman" w:hAnsi="Times New Roman" w:cs="Times New Roman"/>
          <w:color w:val="000000" w:themeColor="text1"/>
          <w:kern w:val="2"/>
          <w:sz w:val="16"/>
          <w:szCs w:val="16"/>
        </w:rPr>
        <w:t xml:space="preserve"> Кронштадтский совет уже фактически стал единственной властью в этом городе. Важную роль в переходе кронштадтских матросов на сторону большевиков сыграли заместитель председателя Кронштадтского совета </w:t>
      </w:r>
      <w:hyperlink r:id="rId170" w:tooltip="Раскольников, Фёдор Фёдорович" w:history="1">
        <w:r w:rsidRPr="002F2FDF">
          <w:rPr>
            <w:rStyle w:val="a5"/>
            <w:rFonts w:ascii="Times New Roman" w:hAnsi="Times New Roman" w:cs="Times New Roman"/>
            <w:color w:val="000000" w:themeColor="text1"/>
            <w:kern w:val="2"/>
            <w:sz w:val="16"/>
            <w:szCs w:val="16"/>
            <w:u w:val="none"/>
          </w:rPr>
          <w:t>Ф.</w:t>
        </w:r>
        <w:r w:rsidR="00E52569">
          <w:rPr>
            <w:rStyle w:val="a5"/>
            <w:rFonts w:ascii="Times New Roman" w:hAnsi="Times New Roman" w:cs="Times New Roman"/>
            <w:color w:val="000000" w:themeColor="text1"/>
            <w:kern w:val="2"/>
            <w:sz w:val="16"/>
            <w:szCs w:val="16"/>
            <w:u w:val="none"/>
          </w:rPr>
          <w:t xml:space="preserve"> </w:t>
        </w:r>
        <w:r w:rsidRPr="002F2FDF">
          <w:rPr>
            <w:rStyle w:val="a5"/>
            <w:rFonts w:ascii="Times New Roman" w:hAnsi="Times New Roman" w:cs="Times New Roman"/>
            <w:color w:val="000000" w:themeColor="text1"/>
            <w:kern w:val="2"/>
            <w:sz w:val="16"/>
            <w:szCs w:val="16"/>
            <w:u w:val="none"/>
          </w:rPr>
          <w:t>Ф.</w:t>
        </w:r>
        <w:r w:rsidR="00E52569">
          <w:rPr>
            <w:rStyle w:val="a5"/>
            <w:rFonts w:ascii="Times New Roman" w:hAnsi="Times New Roman" w:cs="Times New Roman"/>
            <w:color w:val="000000" w:themeColor="text1"/>
            <w:kern w:val="2"/>
            <w:sz w:val="16"/>
            <w:szCs w:val="16"/>
            <w:u w:val="none"/>
          </w:rPr>
          <w:t xml:space="preserve"> </w:t>
        </w:r>
        <w:r w:rsidRPr="002F2FDF">
          <w:rPr>
            <w:rStyle w:val="a5"/>
            <w:rFonts w:ascii="Times New Roman" w:hAnsi="Times New Roman" w:cs="Times New Roman"/>
            <w:color w:val="000000" w:themeColor="text1"/>
            <w:kern w:val="2"/>
            <w:sz w:val="16"/>
            <w:szCs w:val="16"/>
            <w:u w:val="none"/>
          </w:rPr>
          <w:t>Раскольников</w:t>
        </w:r>
      </w:hyperlink>
      <w:r w:rsidRPr="002F2FDF">
        <w:rPr>
          <w:rFonts w:ascii="Times New Roman" w:hAnsi="Times New Roman" w:cs="Times New Roman"/>
          <w:color w:val="000000" w:themeColor="text1"/>
          <w:kern w:val="2"/>
          <w:sz w:val="16"/>
          <w:szCs w:val="16"/>
        </w:rPr>
        <w:t xml:space="preserve"> и </w:t>
      </w:r>
      <w:hyperlink r:id="rId171" w:tooltip="Рошаль, Семён Григорьевич" w:history="1">
        <w:r w:rsidRPr="002F2FDF">
          <w:rPr>
            <w:rStyle w:val="a5"/>
            <w:rFonts w:ascii="Times New Roman" w:hAnsi="Times New Roman" w:cs="Times New Roman"/>
            <w:color w:val="000000" w:themeColor="text1"/>
            <w:kern w:val="2"/>
            <w:sz w:val="16"/>
            <w:szCs w:val="16"/>
            <w:u w:val="none"/>
          </w:rPr>
          <w:t>С.</w:t>
        </w:r>
        <w:r w:rsidR="00E52569">
          <w:rPr>
            <w:rStyle w:val="a5"/>
            <w:rFonts w:ascii="Times New Roman" w:hAnsi="Times New Roman" w:cs="Times New Roman"/>
            <w:color w:val="000000" w:themeColor="text1"/>
            <w:kern w:val="2"/>
            <w:sz w:val="16"/>
            <w:szCs w:val="16"/>
            <w:u w:val="none"/>
          </w:rPr>
          <w:t xml:space="preserve"> </w:t>
        </w:r>
        <w:r w:rsidRPr="002F2FDF">
          <w:rPr>
            <w:rStyle w:val="a5"/>
            <w:rFonts w:ascii="Times New Roman" w:hAnsi="Times New Roman" w:cs="Times New Roman"/>
            <w:color w:val="000000" w:themeColor="text1"/>
            <w:kern w:val="2"/>
            <w:sz w:val="16"/>
            <w:szCs w:val="16"/>
            <w:u w:val="none"/>
          </w:rPr>
          <w:t>Г.</w:t>
        </w:r>
        <w:r w:rsidR="00E52569">
          <w:rPr>
            <w:rStyle w:val="a5"/>
            <w:rFonts w:ascii="Times New Roman" w:hAnsi="Times New Roman" w:cs="Times New Roman"/>
            <w:color w:val="000000" w:themeColor="text1"/>
            <w:kern w:val="2"/>
            <w:sz w:val="16"/>
            <w:szCs w:val="16"/>
            <w:u w:val="none"/>
          </w:rPr>
          <w:t xml:space="preserve"> </w:t>
        </w:r>
        <w:r w:rsidRPr="002F2FDF">
          <w:rPr>
            <w:rStyle w:val="a5"/>
            <w:rFonts w:ascii="Times New Roman" w:hAnsi="Times New Roman" w:cs="Times New Roman"/>
            <w:color w:val="000000" w:themeColor="text1"/>
            <w:kern w:val="2"/>
            <w:sz w:val="16"/>
            <w:szCs w:val="16"/>
            <w:u w:val="none"/>
          </w:rPr>
          <w:t>Рошаль</w:t>
        </w:r>
      </w:hyperlink>
      <w:r w:rsidRPr="002F2FDF">
        <w:rPr>
          <w:rFonts w:ascii="Times New Roman" w:hAnsi="Times New Roman" w:cs="Times New Roman"/>
          <w:color w:val="000000" w:themeColor="text1"/>
          <w:kern w:val="2"/>
          <w:sz w:val="16"/>
          <w:szCs w:val="16"/>
        </w:rPr>
        <w:t>, а Первого пулемётного полка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w:t>
      </w:r>
      <w:hyperlink r:id="rId172" w:tooltip="Семашко, Адам Яковлевич (страница отсутствует)" w:history="1">
        <w:r w:rsidRPr="002F2FDF">
          <w:rPr>
            <w:rStyle w:val="a5"/>
            <w:rFonts w:ascii="Times New Roman" w:hAnsi="Times New Roman" w:cs="Times New Roman"/>
            <w:color w:val="000000" w:themeColor="text1"/>
            <w:kern w:val="2"/>
            <w:sz w:val="16"/>
            <w:szCs w:val="16"/>
            <w:u w:val="none"/>
          </w:rPr>
          <w:t>А.</w:t>
        </w:r>
        <w:r w:rsidR="00E52569">
          <w:rPr>
            <w:rStyle w:val="a5"/>
            <w:rFonts w:ascii="Times New Roman" w:hAnsi="Times New Roman" w:cs="Times New Roman"/>
            <w:color w:val="000000" w:themeColor="text1"/>
            <w:kern w:val="2"/>
            <w:sz w:val="16"/>
            <w:szCs w:val="16"/>
            <w:u w:val="none"/>
          </w:rPr>
          <w:t xml:space="preserve"> </w:t>
        </w:r>
        <w:r w:rsidRPr="002F2FDF">
          <w:rPr>
            <w:rStyle w:val="a5"/>
            <w:rFonts w:ascii="Times New Roman" w:hAnsi="Times New Roman" w:cs="Times New Roman"/>
            <w:color w:val="000000" w:themeColor="text1"/>
            <w:kern w:val="2"/>
            <w:sz w:val="16"/>
            <w:szCs w:val="16"/>
            <w:u w:val="none"/>
          </w:rPr>
          <w:t>Я.</w:t>
        </w:r>
        <w:r w:rsidR="00E52569">
          <w:rPr>
            <w:rStyle w:val="a5"/>
            <w:rFonts w:ascii="Times New Roman" w:hAnsi="Times New Roman" w:cs="Times New Roman"/>
            <w:color w:val="000000" w:themeColor="text1"/>
            <w:kern w:val="2"/>
            <w:sz w:val="16"/>
            <w:szCs w:val="16"/>
            <w:u w:val="none"/>
          </w:rPr>
          <w:t xml:space="preserve"> </w:t>
        </w:r>
        <w:r w:rsidRPr="002F2FDF">
          <w:rPr>
            <w:rStyle w:val="a5"/>
            <w:rFonts w:ascii="Times New Roman" w:hAnsi="Times New Roman" w:cs="Times New Roman"/>
            <w:color w:val="000000" w:themeColor="text1"/>
            <w:kern w:val="2"/>
            <w:sz w:val="16"/>
            <w:szCs w:val="16"/>
            <w:u w:val="none"/>
          </w:rPr>
          <w:t>Семашко</w:t>
        </w:r>
      </w:hyperlink>
      <w:r w:rsidRPr="002F2FDF">
        <w:rPr>
          <w:rFonts w:ascii="Times New Roman" w:hAnsi="Times New Roman" w:cs="Times New Roman"/>
          <w:color w:val="000000" w:themeColor="text1"/>
          <w:kern w:val="2"/>
          <w:sz w:val="16"/>
          <w:szCs w:val="16"/>
        </w:rPr>
        <w:t xml:space="preserve"> (17029).</w:t>
      </w:r>
    </w:p>
    <w:p w14:paraId="5AFDCD27" w14:textId="77777777" w:rsidR="00597FF8" w:rsidRPr="002F2FDF" w:rsidRDefault="00597F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B438D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DF685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6B51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мая 1917 Германские бомбардировщики Готта предприняли свое первое воздушное нападение на Англию. С аэродрома в Бельгии отправились 23 самолета, каждый из них нес на борту по 13 бомб. Из-за сильной облачности до Лондона добрались только 2 машины. Они сбросили 5 бомб, которые причинили разрушения более значительные, чем производили цеппелины. Было убито 95 человек, в том числе 25 детей и 16 военных, 192 человека было ранено. Остальные самолеты сбросили бомбы в Кенте.</w:t>
      </w:r>
    </w:p>
    <w:p w14:paraId="311798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Грей: "В Англии стали известны так называемые "Вонг- вонги", прозванные так за характерный звук, когда они "выходили из фазы". Теперь, увы, он хорошо известен всем жителям Юго-Восточного побережья Англии как звук бомбардировщиков "Гота"" (11999).</w:t>
      </w:r>
    </w:p>
    <w:p w14:paraId="713A9C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8F4B32" w14:textId="155AEA74" w:rsidR="00787699" w:rsidRPr="002F2FDF" w:rsidRDefault="00787699"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После 12 (25) мая 1917, когда бомбардировщики «Гота» совершили первый налёт на Англию, дирижабли перестали быть безальтернативным средством для ударов по Лондону. Кайзер высказался за прекращение рейдов цеппелинов и закрепление за ними лишь функции морских разведчиков. Начальник главного штаба сумел отговорить императора, почти слово в слово цитируя прежние доводы Штрассера, так что проведение рейдов на Лондон было разрешено</w:t>
      </w:r>
      <w:r w:rsidR="00E52569">
        <w:rPr>
          <w:color w:val="000000" w:themeColor="text1"/>
          <w:sz w:val="16"/>
          <w:szCs w:val="16"/>
        </w:rPr>
        <w:t xml:space="preserve"> </w:t>
      </w:r>
      <w:r w:rsidRPr="002F2FDF">
        <w:rPr>
          <w:iCs/>
          <w:color w:val="000000" w:themeColor="text1"/>
          <w:sz w:val="16"/>
          <w:szCs w:val="16"/>
          <w:bdr w:val="none" w:sz="0" w:space="0" w:color="auto" w:frame="1"/>
        </w:rPr>
        <w:t>«когда тому будут благоприятствовать обстоятельства» (19156)</w:t>
      </w:r>
      <w:r w:rsidRPr="002F2FDF">
        <w:rPr>
          <w:color w:val="000000" w:themeColor="text1"/>
          <w:sz w:val="16"/>
          <w:szCs w:val="16"/>
        </w:rPr>
        <w:t>.</w:t>
      </w:r>
    </w:p>
    <w:p w14:paraId="4444C276" w14:textId="77777777" w:rsidR="00787699" w:rsidRPr="002F2FDF" w:rsidRDefault="00787699" w:rsidP="0083075A">
      <w:pPr>
        <w:pStyle w:val="ae"/>
        <w:shd w:val="clear" w:color="auto" w:fill="FFFFFF"/>
        <w:spacing w:before="0" w:after="0"/>
        <w:jc w:val="both"/>
        <w:textAlignment w:val="baseline"/>
        <w:rPr>
          <w:color w:val="000000" w:themeColor="text1"/>
          <w:sz w:val="16"/>
          <w:szCs w:val="16"/>
        </w:rPr>
      </w:pPr>
    </w:p>
    <w:p w14:paraId="1A41D14E" w14:textId="77777777" w:rsidR="004C5E00" w:rsidRPr="002F2FDF" w:rsidRDefault="004C5E0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12 (25) мая 1917 Имперские военно-воздушные силы Германии начинают операцию Türkenkreuz („Турецкий Крест“) по бомбардировке Лондона с воздуха. Первая операция - это массовый дневной налет 21 бомбардировщиков Gotha G.IV, летевших из-под Гента, которые отклоняются от Лондона из-за облаков над городом и атакуют второстепенные цели в Фолкстоне и армейском лагере Шорнклифф, в результате чего 95 человек погибли и 195 получили ранения. Семьдесят - четыре британских самолета взлетают на перехват, но немцы теряют только один Gotha, сбитый девятью Royal Naval Air Service Sopwith Pups, которые атакуют бомбардировщики, пролетающие над побережьем Бельгии на обратном пути на базу. Это первый из 22 немецких налетов самолетов на Соединенное Королевство во время Первой мировой войны (20341).</w:t>
      </w:r>
    </w:p>
    <w:p w14:paraId="6A075082" w14:textId="77777777" w:rsidR="004C5E00" w:rsidRPr="002F2FDF" w:rsidRDefault="004C5E00" w:rsidP="0083075A">
      <w:pPr>
        <w:spacing w:after="0" w:line="240" w:lineRule="auto"/>
        <w:jc w:val="both"/>
        <w:rPr>
          <w:rFonts w:ascii="Times New Roman" w:hAnsi="Times New Roman" w:cs="Times New Roman"/>
          <w:color w:val="000000" w:themeColor="text1"/>
          <w:sz w:val="16"/>
          <w:szCs w:val="16"/>
        </w:rPr>
      </w:pPr>
    </w:p>
    <w:p w14:paraId="35A88DC1" w14:textId="77777777" w:rsidR="004C5E00" w:rsidRPr="002F2FDF" w:rsidRDefault="004C5E0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12 (25) мая 1917 года, взлетев с прибрежных аэродромов в оккупированном Бенилюксе, 23 бомбовоза Гота G IV из 3-й боевой эскадры (KaGOKL 3) взяли курс на Англию. Началась операция «Турец</w:t>
      </w:r>
      <w:r w:rsidRPr="002F2FDF">
        <w:rPr>
          <w:rFonts w:ascii="Times New Roman" w:hAnsi="Times New Roman" w:cs="Times New Roman"/>
          <w:color w:val="000000" w:themeColor="text1"/>
          <w:sz w:val="16"/>
          <w:szCs w:val="16"/>
        </w:rPr>
        <w:softHyphen/>
        <w:t>кий крест». Первый план массированных бом</w:t>
      </w:r>
      <w:r w:rsidRPr="002F2FDF">
        <w:rPr>
          <w:rFonts w:ascii="Times New Roman" w:hAnsi="Times New Roman" w:cs="Times New Roman"/>
          <w:color w:val="000000" w:themeColor="text1"/>
          <w:sz w:val="16"/>
          <w:szCs w:val="16"/>
        </w:rPr>
        <w:softHyphen/>
        <w:t>бардировок вражеских городов был разработан немцами в конце 1916 года, но он вошел в фазу реализации, лишь когда количество средних бом</w:t>
      </w:r>
      <w:r w:rsidRPr="002F2FDF">
        <w:rPr>
          <w:rFonts w:ascii="Times New Roman" w:hAnsi="Times New Roman" w:cs="Times New Roman"/>
          <w:color w:val="000000" w:themeColor="text1"/>
          <w:sz w:val="16"/>
          <w:szCs w:val="16"/>
        </w:rPr>
        <w:softHyphen/>
        <w:t>бардировщиков достигло ощутимой величины.</w:t>
      </w:r>
    </w:p>
    <w:p w14:paraId="1E52E8A0" w14:textId="77777777" w:rsidR="004C5E00" w:rsidRPr="002F2FDF" w:rsidRDefault="004C5E0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ходе операции «Турец</w:t>
      </w:r>
      <w:r w:rsidRPr="002F2FDF">
        <w:rPr>
          <w:rFonts w:ascii="Times New Roman" w:hAnsi="Times New Roman" w:cs="Times New Roman"/>
          <w:color w:val="000000" w:themeColor="text1"/>
          <w:sz w:val="16"/>
          <w:szCs w:val="16"/>
        </w:rPr>
        <w:softHyphen/>
        <w:t>кий крест» было выполнено 8 дневных налетов, в том числе налет на Лондон 13 июня, когда погибло 162 и было ранено 432 человека. Но англичане оперативно усилили ПВО своей столицы за счет переброшен</w:t>
      </w:r>
      <w:r w:rsidRPr="002F2FDF">
        <w:rPr>
          <w:rFonts w:ascii="Times New Roman" w:hAnsi="Times New Roman" w:cs="Times New Roman"/>
          <w:color w:val="000000" w:themeColor="text1"/>
          <w:sz w:val="16"/>
          <w:szCs w:val="16"/>
        </w:rPr>
        <w:softHyphen/>
        <w:t>ных с фронта истребителей, и немцы были вынуждены перейти к ночным авиаударам. Они сформировали еще несколько эскадр средних бомбарди</w:t>
      </w:r>
      <w:r w:rsidRPr="002F2FDF">
        <w:rPr>
          <w:rFonts w:ascii="Times New Roman" w:hAnsi="Times New Roman" w:cs="Times New Roman"/>
          <w:color w:val="000000" w:themeColor="text1"/>
          <w:sz w:val="16"/>
          <w:szCs w:val="16"/>
        </w:rPr>
        <w:softHyphen/>
        <w:t>ровщиков и в августе начали налеты в темное время суток. Целями были порты, прифронтовые железнодорож</w:t>
      </w:r>
      <w:r w:rsidRPr="002F2FDF">
        <w:rPr>
          <w:rFonts w:ascii="Times New Roman" w:hAnsi="Times New Roman" w:cs="Times New Roman"/>
          <w:color w:val="000000" w:themeColor="text1"/>
          <w:sz w:val="16"/>
          <w:szCs w:val="16"/>
        </w:rPr>
        <w:softHyphen/>
        <w:t>ные узлы, а также Лондон и Париж. Как и в России, соединения больших бомбардировщиков Германии подчи</w:t>
      </w:r>
      <w:r w:rsidRPr="002F2FDF">
        <w:rPr>
          <w:rFonts w:ascii="Times New Roman" w:hAnsi="Times New Roman" w:cs="Times New Roman"/>
          <w:color w:val="000000" w:themeColor="text1"/>
          <w:sz w:val="16"/>
          <w:szCs w:val="16"/>
        </w:rPr>
        <w:softHyphen/>
        <w:t>нялись непосредственно Верховному Главнокомандованию вооруженных сил Рейха, а оперативное руководство осуществляло Главнокомандование воздушного флота (22795).</w:t>
      </w:r>
    </w:p>
    <w:p w14:paraId="6DB30ED9" w14:textId="77777777" w:rsidR="004C5E00" w:rsidRPr="002F2FDF" w:rsidRDefault="004C5E00" w:rsidP="0083075A">
      <w:pPr>
        <w:spacing w:after="0" w:line="240" w:lineRule="auto"/>
        <w:jc w:val="both"/>
        <w:rPr>
          <w:rFonts w:ascii="Times New Roman" w:hAnsi="Times New Roman" w:cs="Times New Roman"/>
          <w:color w:val="000000" w:themeColor="text1"/>
          <w:sz w:val="16"/>
          <w:szCs w:val="16"/>
        </w:rPr>
      </w:pPr>
    </w:p>
    <w:p w14:paraId="1CE508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мая 1917 Гийнемер ставит рекорд - в один день сбивает четыре германских самолета (11999).</w:t>
      </w:r>
    </w:p>
    <w:p w14:paraId="1974A2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737893" w14:textId="77777777" w:rsidR="004C5E00" w:rsidRPr="002F2FDF" w:rsidRDefault="004C5E0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12 (25) мая 1917 Французский ас лейтенант Рене Дорм убит в бою. Его 23 победы свяжут его с лейтенантом Габриэлем Гереном и он станет девятым по результативности французским асом Первой мировой войны (20341).</w:t>
      </w:r>
    </w:p>
    <w:p w14:paraId="32E58395" w14:textId="77777777" w:rsidR="004C5E00" w:rsidRPr="002F2FDF" w:rsidRDefault="004C5E00" w:rsidP="0083075A">
      <w:pPr>
        <w:spacing w:after="0" w:line="240" w:lineRule="auto"/>
        <w:jc w:val="both"/>
        <w:rPr>
          <w:rFonts w:ascii="Times New Roman" w:hAnsi="Times New Roman" w:cs="Times New Roman"/>
          <w:color w:val="000000" w:themeColor="text1"/>
          <w:sz w:val="16"/>
          <w:szCs w:val="16"/>
        </w:rPr>
      </w:pPr>
    </w:p>
    <w:p w14:paraId="2A7C161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5693F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A54BF7" w14:textId="1493CB6E" w:rsidR="00A616FB" w:rsidRPr="00FB4F67" w:rsidRDefault="00A616FB" w:rsidP="0083075A">
      <w:pPr>
        <w:spacing w:after="0" w:line="240" w:lineRule="auto"/>
        <w:jc w:val="both"/>
        <w:rPr>
          <w:rFonts w:ascii="Times New Roman" w:hAnsi="Times New Roman" w:cs="Times New Roman"/>
          <w:color w:val="0070C0"/>
          <w:sz w:val="16"/>
          <w:szCs w:val="16"/>
        </w:rPr>
      </w:pPr>
      <w:bookmarkStart w:id="124" w:name="bookmark785"/>
      <w:bookmarkStart w:id="125" w:name="bookmark786"/>
      <w:r>
        <w:rPr>
          <w:rFonts w:ascii="Times New Roman" w:hAnsi="Times New Roman" w:cs="Times New Roman"/>
          <w:color w:val="0070C0"/>
          <w:sz w:val="16"/>
          <w:szCs w:val="16"/>
        </w:rPr>
        <w:t>13 (</w:t>
      </w:r>
      <w:r w:rsidRPr="00FB4F67">
        <w:rPr>
          <w:rFonts w:ascii="Times New Roman" w:hAnsi="Times New Roman" w:cs="Times New Roman"/>
          <w:color w:val="0070C0"/>
          <w:sz w:val="16"/>
          <w:szCs w:val="16"/>
        </w:rPr>
        <w:t>26</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мая 1917 г. объектом нападения авиации противника стала ст. Лунинец (сброшено до 40 бомб) (23405).</w:t>
      </w:r>
    </w:p>
    <w:p w14:paraId="026007E5" w14:textId="77777777" w:rsidR="00A616FB" w:rsidRPr="00FB4F67" w:rsidRDefault="00A616FB" w:rsidP="0083075A">
      <w:pPr>
        <w:spacing w:after="0" w:line="240" w:lineRule="auto"/>
        <w:jc w:val="both"/>
        <w:rPr>
          <w:rFonts w:ascii="Times New Roman" w:hAnsi="Times New Roman" w:cs="Times New Roman"/>
          <w:color w:val="0070C0"/>
          <w:sz w:val="16"/>
          <w:szCs w:val="16"/>
        </w:rPr>
      </w:pPr>
    </w:p>
    <w:bookmarkEnd w:id="124"/>
    <w:bookmarkEnd w:id="125"/>
    <w:p w14:paraId="61BEEA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13 </w:t>
      </w:r>
      <w:r w:rsidR="00731D28" w:rsidRPr="002F2FDF">
        <w:rPr>
          <w:rFonts w:ascii="Times New Roman" w:hAnsi="Times New Roman" w:cs="Times New Roman"/>
          <w:color w:val="000000" w:themeColor="text1"/>
          <w:kern w:val="2"/>
          <w:sz w:val="16"/>
          <w:szCs w:val="16"/>
        </w:rPr>
        <w:t xml:space="preserve">(26) </w:t>
      </w:r>
      <w:r w:rsidRPr="002F2FDF">
        <w:rPr>
          <w:rFonts w:ascii="Times New Roman" w:hAnsi="Times New Roman" w:cs="Times New Roman"/>
          <w:color w:val="000000" w:themeColor="text1"/>
          <w:kern w:val="2"/>
          <w:sz w:val="16"/>
          <w:szCs w:val="16"/>
        </w:rPr>
        <w:t>мая 1917 пять М-9 с авиатранспорта "Авиатор", сопровождаемого двумя эсминцами, производили разведку и бомбометание обнаруженных целей в районе Синопа. Для вскрытия обстановки на участке Анатолийского побережья от бухты Ак-Лиман до порта Тиреболу, нарушения морских перевозок и решения других задач 15 мая 1917 г. из Трапезунда вышел отряд в составе: авиатранспорты "Дакия" и "Король Карл" (с двумя и одним самолётами), эсминцы "Смышленый" и "Строгий" (11933).</w:t>
      </w:r>
    </w:p>
    <w:p w14:paraId="742533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4546E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6BE4D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B9E1A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мая 1917 Читинский Совет принял решение о ликвидации Нерчинской каторги (4962).</w:t>
      </w:r>
    </w:p>
    <w:p w14:paraId="2F124C7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0B21D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21DA4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32E3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мая 1917 немецкие бомбардировщики впервые бомбили Англию в дневное время. Эффект был большим, так как никто не ожидал (1804,5).</w:t>
      </w:r>
    </w:p>
    <w:p w14:paraId="295ACE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AEF6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мая 1917 года германские самолеты сухопутных войск впервые бомбардировали днем важные военные объекты на юго-восточном побережье Англии; 5 июня 1917 года налет был повторен, а 13 июня 1917 года в полдень над Лондоном появились 17 германскихсамолетов “G”, которые сбросили на портовые сооружения и доки этого столь важного для военной промышленности Антанты города до 4400 кг бомб. Это была 3-я боевая эскадра, которая под уверенным командованием полковника Бранденбурга тщательно готовилась к выполнению этой столь грандиозной задачи, с бесконечной терпеливостью выжидая благоприятного момента. Первая треть июня в районе Канала была очень дождливой и особенно неблагоприятной для дальних экспедиций. 11 июня метеоролог-консультант обратил внимание командира бомбардировочной эскадры на предстоящее улучшение погоды. В связи с этим налет на Лондон был назначен на 13 июня (11282).</w:t>
      </w:r>
    </w:p>
    <w:p w14:paraId="2232AB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E32C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мая 1917 американские ВВС начали зарубежные авиации после того, как м Dodd был назначен в штаб американского экспедиционного корпуса (2253).</w:t>
      </w:r>
    </w:p>
    <w:p w14:paraId="021EB3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C9393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8A403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2F581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мая 1917 г. уже при Временном правительстве Управление воздушного флота отменило заказ заводу «Мотор» и предло</w:t>
      </w:r>
      <w:r w:rsidRPr="002F2FDF">
        <w:rPr>
          <w:rFonts w:ascii="Times New Roman" w:hAnsi="Times New Roman" w:cs="Times New Roman"/>
          <w:color w:val="000000" w:themeColor="text1"/>
          <w:kern w:val="2"/>
          <w:sz w:val="16"/>
          <w:szCs w:val="16"/>
        </w:rPr>
        <w:softHyphen/>
        <w:t>жило заменить его дополнительной партией двигателей «Рон». Завод «Мотор» сделал опытную партию из пяти «Мерсе</w:t>
      </w:r>
      <w:r w:rsidRPr="002F2FDF">
        <w:rPr>
          <w:rFonts w:ascii="Times New Roman" w:hAnsi="Times New Roman" w:cs="Times New Roman"/>
          <w:color w:val="000000" w:themeColor="text1"/>
          <w:kern w:val="2"/>
          <w:sz w:val="16"/>
          <w:szCs w:val="16"/>
        </w:rPr>
        <w:softHyphen/>
        <w:t>десов» мощностью 100 л.с., но все они были забракованы военными из-за различных дефектов (11852).</w:t>
      </w:r>
    </w:p>
    <w:p w14:paraId="3E52AD8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BEDB96" w14:textId="77777777" w:rsidR="00F24881" w:rsidRPr="002F2FDF" w:rsidRDefault="00F2488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3FAC7B0" w14:textId="77777777" w:rsidR="00F24881" w:rsidRPr="002F2FDF" w:rsidRDefault="00F2488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E31935" w14:textId="2AD62ED7" w:rsidR="00A616FB" w:rsidRPr="00FB4F67" w:rsidRDefault="00A616F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14 (</w:t>
      </w:r>
      <w:r w:rsidRPr="00FB4F67">
        <w:rPr>
          <w:rFonts w:ascii="Times New Roman" w:hAnsi="Times New Roman" w:cs="Times New Roman"/>
          <w:color w:val="0070C0"/>
          <w:sz w:val="16"/>
          <w:szCs w:val="16"/>
        </w:rPr>
        <w:t>27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мая </w:t>
      </w:r>
      <w:bookmarkStart w:id="126" w:name="bookmark747"/>
      <w:r w:rsidRPr="00FB4F67">
        <w:rPr>
          <w:rFonts w:ascii="Times New Roman" w:hAnsi="Times New Roman" w:cs="Times New Roman"/>
          <w:color w:val="0070C0"/>
          <w:sz w:val="16"/>
          <w:szCs w:val="16"/>
        </w:rPr>
        <w:t>1917 г. воздушный противник атаковал наш аэродром северо-западнее Луница (сброшено 12 бомб) (23405).</w:t>
      </w:r>
      <w:bookmarkEnd w:id="126"/>
    </w:p>
    <w:p w14:paraId="144ABA7B" w14:textId="77777777" w:rsidR="00A616FB" w:rsidRPr="00FB4F67" w:rsidRDefault="00A616FB" w:rsidP="0083075A">
      <w:pPr>
        <w:spacing w:after="0" w:line="240" w:lineRule="auto"/>
        <w:jc w:val="both"/>
        <w:rPr>
          <w:rFonts w:ascii="Times New Roman" w:hAnsi="Times New Roman" w:cs="Times New Roman"/>
          <w:color w:val="0070C0"/>
          <w:sz w:val="16"/>
          <w:szCs w:val="16"/>
        </w:rPr>
      </w:pPr>
    </w:p>
    <w:p w14:paraId="79028A8C" w14:textId="77777777" w:rsidR="00F24881" w:rsidRPr="002F2FDF" w:rsidRDefault="00F2488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14 (27) мая 1917 в 5.00 все аэростаты 4-й армии были подняты в воздух, что позволило командованию в кратчайшее время получить ценную разведы</w:t>
      </w:r>
      <w:r w:rsidRPr="002F2FDF">
        <w:rPr>
          <w:rFonts w:ascii="Times New Roman" w:hAnsi="Times New Roman" w:cs="Times New Roman"/>
          <w:color w:val="000000" w:themeColor="text1"/>
          <w:sz w:val="16"/>
          <w:szCs w:val="16"/>
        </w:rPr>
        <w:softHyphen/>
        <w:t>вательную информацию. Так, воздухоплаватели 7-й воздухоплавательной роты штабс-капитан Скрябин и подпоручик Данилов получили зада</w:t>
      </w:r>
      <w:r w:rsidRPr="002F2FDF">
        <w:rPr>
          <w:rFonts w:ascii="Times New Roman" w:hAnsi="Times New Roman" w:cs="Times New Roman"/>
          <w:color w:val="000000" w:themeColor="text1"/>
          <w:sz w:val="16"/>
          <w:szCs w:val="16"/>
        </w:rPr>
        <w:softHyphen/>
        <w:t>чу от штаба 34-й дивизии отыскать мосты через р. Путна. Аэростат подняли у ст. Серет, и на</w:t>
      </w:r>
      <w:r w:rsidRPr="002F2FDF">
        <w:rPr>
          <w:rFonts w:ascii="Times New Roman" w:hAnsi="Times New Roman" w:cs="Times New Roman"/>
          <w:color w:val="000000" w:themeColor="text1"/>
          <w:sz w:val="16"/>
          <w:szCs w:val="16"/>
        </w:rPr>
        <w:softHyphen/>
        <w:t>блюдатели не только быстро отыскали мосты, но и разведали деятельность противника в его тылах. Аэростат 24-го корпусного воздухоплава</w:t>
      </w:r>
      <w:r w:rsidRPr="002F2FDF">
        <w:rPr>
          <w:rFonts w:ascii="Times New Roman" w:hAnsi="Times New Roman" w:cs="Times New Roman"/>
          <w:color w:val="000000" w:themeColor="text1"/>
          <w:sz w:val="16"/>
          <w:szCs w:val="16"/>
        </w:rPr>
        <w:softHyphen/>
        <w:t>тельного отряда, поднятый у с. Панчи, к 5.00 уже успел обнаружить четыре батареи противника. В это же время командир 30-й воздухоплаватель</w:t>
      </w:r>
      <w:r w:rsidRPr="002F2FDF">
        <w:rPr>
          <w:rFonts w:ascii="Times New Roman" w:hAnsi="Times New Roman" w:cs="Times New Roman"/>
          <w:color w:val="000000" w:themeColor="text1"/>
          <w:sz w:val="16"/>
          <w:szCs w:val="16"/>
        </w:rPr>
        <w:softHyphen/>
        <w:t>ной роты подпоручик Матвеев, прапорщик Ки- силевич вели пристрелку 5-й батареи 71-й артил</w:t>
      </w:r>
      <w:r w:rsidRPr="002F2FDF">
        <w:rPr>
          <w:rFonts w:ascii="Times New Roman" w:hAnsi="Times New Roman" w:cs="Times New Roman"/>
          <w:color w:val="000000" w:themeColor="text1"/>
          <w:sz w:val="16"/>
          <w:szCs w:val="16"/>
        </w:rPr>
        <w:softHyphen/>
        <w:t>лерийской бригады. Об эффективности боевой работы воздухоплавателей свидетельствовала атака их неприятельским аэропланом, после ко</w:t>
      </w:r>
      <w:r w:rsidRPr="002F2FDF">
        <w:rPr>
          <w:rFonts w:ascii="Times New Roman" w:hAnsi="Times New Roman" w:cs="Times New Roman"/>
          <w:color w:val="000000" w:themeColor="text1"/>
          <w:sz w:val="16"/>
          <w:szCs w:val="16"/>
        </w:rPr>
        <w:softHyphen/>
        <w:t>торой в оболочке аэростата насчитали 56 пробо</w:t>
      </w:r>
      <w:r w:rsidRPr="002F2FDF">
        <w:rPr>
          <w:rFonts w:ascii="Times New Roman" w:hAnsi="Times New Roman" w:cs="Times New Roman"/>
          <w:color w:val="000000" w:themeColor="text1"/>
          <w:sz w:val="16"/>
          <w:szCs w:val="16"/>
        </w:rPr>
        <w:softHyphen/>
        <w:t>ин. Одновременно к аэростату 24-го корпусного воздухоплавательного отряда дважды пытался прорваться другой немецкий истребитель (20120).</w:t>
      </w:r>
    </w:p>
    <w:p w14:paraId="718A251D" w14:textId="77777777" w:rsidR="00F24881" w:rsidRPr="002F2FDF" w:rsidRDefault="00F24881" w:rsidP="0083075A">
      <w:pPr>
        <w:spacing w:after="0" w:line="240" w:lineRule="auto"/>
        <w:jc w:val="both"/>
        <w:rPr>
          <w:rFonts w:ascii="Times New Roman" w:hAnsi="Times New Roman" w:cs="Times New Roman"/>
          <w:color w:val="000000" w:themeColor="text1"/>
          <w:sz w:val="16"/>
          <w:szCs w:val="16"/>
        </w:rPr>
      </w:pPr>
    </w:p>
    <w:p w14:paraId="04D767EA" w14:textId="77777777" w:rsidR="008626EA"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6BA3002" w14:textId="77777777" w:rsidR="008626EA" w:rsidRPr="002F2FDF" w:rsidRDefault="008626E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D098D0" w14:textId="454A2ABB"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15 </w:t>
      </w:r>
      <w:r w:rsidR="006E4FF2">
        <w:rPr>
          <w:rFonts w:ascii="Times New Roman" w:hAnsi="Times New Roman" w:cs="Times New Roman"/>
          <w:color w:val="000000" w:themeColor="text1"/>
          <w:kern w:val="2"/>
          <w:sz w:val="16"/>
          <w:szCs w:val="16"/>
        </w:rPr>
        <w:t xml:space="preserve">(18) </w:t>
      </w:r>
      <w:r w:rsidRPr="002F2FDF">
        <w:rPr>
          <w:rFonts w:ascii="Times New Roman" w:hAnsi="Times New Roman" w:cs="Times New Roman"/>
          <w:color w:val="000000" w:themeColor="text1"/>
          <w:kern w:val="2"/>
          <w:sz w:val="16"/>
          <w:szCs w:val="16"/>
        </w:rPr>
        <w:t>мая 1917 Докладная записка правления синдиката «Медь» главноуполно-моченному по снабжению металлами П. И. Палъчинскому о причинах тяжелого положения медеплавильной промышленности.</w:t>
      </w:r>
    </w:p>
    <w:p w14:paraId="40834678"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102-103</w:t>
      </w:r>
    </w:p>
    <w:p w14:paraId="07333A72"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56. оп. 1, д. 418, лл. 30—37. Копия.</w:t>
      </w:r>
    </w:p>
    <w:p w14:paraId="5355DA84"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Правление акц. об-ва «Медь», являющегося исполнительным органом главноуполномоченного по снабжению металлами, считает своим долгом довести до вашего сведения о тяжелом положении русской медеплавильной промышленности в настоящее время.</w:t>
      </w:r>
    </w:p>
    <w:p w14:paraId="1FACCF26"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меди в России за все время войны непрерывно падало: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85"/>
        <w:gridCol w:w="912"/>
      </w:tblGrid>
      <w:tr w:rsidR="002B1C74" w:rsidRPr="002F2FDF" w14:paraId="41D989FE"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93AC70"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1913 г. было выплавлено меди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B110B"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2095288 пуд</w:t>
            </w:r>
          </w:p>
        </w:tc>
      </w:tr>
      <w:tr w:rsidR="002B1C74" w:rsidRPr="002F2FDF" w14:paraId="2D391D7F"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8FBB8D"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1914 г.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AE7BE"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1949721 »</w:t>
            </w:r>
          </w:p>
        </w:tc>
      </w:tr>
      <w:tr w:rsidR="002B1C74" w:rsidRPr="002F2FDF" w14:paraId="38FFC153"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2D50D4"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1915 г.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297A0"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1587155 »</w:t>
            </w:r>
          </w:p>
        </w:tc>
      </w:tr>
      <w:tr w:rsidR="002B1C74" w:rsidRPr="002F2FDF" w14:paraId="5231C66D"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A862CC"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1916 г.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2F730"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1304846 »</w:t>
            </w:r>
          </w:p>
        </w:tc>
      </w:tr>
    </w:tbl>
    <w:p w14:paraId="5A962334"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Главными причинами упадка медного дела в России служили и продолжают служить:</w:t>
      </w:r>
    </w:p>
    <w:p w14:paraId="4CD17967"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Недостаток квалифицированных горных рабочих и малая продуктивность временных рабочих (военнопленных).</w:t>
      </w:r>
    </w:p>
    <w:p w14:paraId="1B2B3365"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Недостаток топлива и других материалов.</w:t>
      </w:r>
    </w:p>
    <w:p w14:paraId="635F6E66"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Полное расстройство транспорта.</w:t>
      </w:r>
    </w:p>
    <w:p w14:paraId="5F1B2E8C"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декабре 1916 г. Комиссией профессора Байкова</w:t>
      </w:r>
      <w:hyperlink r:id="rId173" w:anchor="_ftn1" w:history="1">
        <w:r w:rsidRPr="002F2FDF">
          <w:rPr>
            <w:rFonts w:ascii="Times New Roman" w:hAnsi="Times New Roman" w:cs="Times New Roman"/>
            <w:color w:val="000000" w:themeColor="text1"/>
            <w:kern w:val="2"/>
            <w:sz w:val="16"/>
            <w:szCs w:val="16"/>
          </w:rPr>
          <w:t>[1]</w:t>
        </w:r>
      </w:hyperlink>
      <w:r w:rsidRPr="002F2FDF">
        <w:rPr>
          <w:rFonts w:ascii="Times New Roman" w:hAnsi="Times New Roman" w:cs="Times New Roman"/>
          <w:color w:val="000000" w:themeColor="text1"/>
          <w:kern w:val="2"/>
          <w:sz w:val="16"/>
          <w:szCs w:val="16"/>
        </w:rPr>
        <w:t xml:space="preserve"> были установлены твердые цены на медь: 29 руб. 50 коп. для обыкновенной и 30 руб. 75 коп. для электролитической. В результате за первые три месяца 1917 г. на заводах, находящихся в договорных отношениях с об-вом «Медь», производство меди несколько повысилось: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35"/>
        <w:gridCol w:w="620"/>
        <w:gridCol w:w="872"/>
      </w:tblGrid>
      <w:tr w:rsidR="002B1C74" w:rsidRPr="002F2FDF" w14:paraId="2F2AE64C"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D5957D" w14:textId="685ED705" w:rsidR="008626EA"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4B414"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D2AAC"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r>
      <w:tr w:rsidR="002B1C74" w:rsidRPr="002F2FDF" w14:paraId="7E931003"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D1B4F9"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получено меди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8733F" w14:textId="590908A2" w:rsidR="008626EA"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A19F7"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97167 пуд.</w:t>
            </w:r>
          </w:p>
        </w:tc>
      </w:tr>
      <w:tr w:rsidR="002B1C74" w:rsidRPr="002F2FDF" w14:paraId="7C58FFAB"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DA49E2"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феврале »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15A9D" w14:textId="09BBADED" w:rsidR="008626EA"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8626EA" w:rsidRPr="002F2FDF">
              <w:rPr>
                <w:rFonts w:ascii="Times New Roman" w:hAnsi="Times New Roman" w:cs="Times New Roman"/>
                <w:color w:val="000000" w:themeColor="text1"/>
                <w:kern w:val="2"/>
                <w:sz w:val="16"/>
                <w:szCs w:val="16"/>
              </w:rPr>
              <w:t>73497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E0815"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70616 »</w:t>
            </w:r>
          </w:p>
        </w:tc>
      </w:tr>
      <w:tr w:rsidR="002B1C74" w:rsidRPr="002F2FDF" w14:paraId="26DC3605"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552EA4"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марте »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B3C98"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83217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0662B"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107655 »</w:t>
            </w:r>
          </w:p>
        </w:tc>
      </w:tr>
      <w:tr w:rsidR="002B1C74" w:rsidRPr="002F2FDF" w14:paraId="3CC9E480"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1132B5"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3423D" w14:textId="6C48ED87" w:rsidR="008626EA"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0FAFE"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275438 пуд,</w:t>
            </w:r>
          </w:p>
        </w:tc>
      </w:tr>
    </w:tbl>
    <w:p w14:paraId="284FD081"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 в настоящее время перед медеплавильными заводами, как и перед всей вообще русской горнозаводской промышленностью, встало новое, весьма грозное по своим последствиям осложнение в виде чрезвычайных экономических требований рабочих.</w:t>
      </w:r>
    </w:p>
    <w:p w14:paraId="18FE9BB7"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Первая волна этих требований, выразившихся в установлении восьмичасового рабочего дня или соответственного повышения заработных плат в среднем на 50%, была принята везде без особой тревоги за судьбу заводов. К сожалению, экономические требования рабочих на этом не остановились, а пошли дальше и в настоящее время в самых скромных случаях выражаются повышением плат на 100%, а во многих случаях требуются прибавки в 200 и 300%.</w:t>
      </w:r>
    </w:p>
    <w:p w14:paraId="7AA86D74"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касаясь даже этих последних требований, равносильных полному разгрому отечественной промышленности, и останавливаясь лишь на 100% увеличении заработных плат, приходится признать, что медеплавильные заводы окажутся в очень тяжелом положении.</w:t>
      </w:r>
    </w:p>
    <w:p w14:paraId="2A7C0144"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Себестоимость меди за 1916 г. на русских заводах колебалась от 17 до 28 руб. или в общем среднем для всей России около 22—23 руб. Из этой стоимости около 2/з, или 14—15 руб., падают исключительно на платы рабочим и служащим, а в остальной х/з расходов главная часть падает на топливо (кокс) и взрывчатые материалы. При увеличении заработных плат на 100% себестоимость меди повысится до 36—38 руб.</w:t>
      </w:r>
    </w:p>
    <w:p w14:paraId="72494692"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Если же принять во внимание, что стоимость кокса повышена с 36 код. до 50 коп., или на 40%, если принять во внимание общее вздорожание всех вообще материалов и припасов, то приходится признать, что и от топлива с другими материалами себестоимость меди повысится не меньше, чем на 3—4 руб., т. е. общая себестоимость меди дойдет до 39—42 руб.</w:t>
      </w:r>
    </w:p>
    <w:p w14:paraId="00254A13"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таких условиях является серьезная опасность чрезвычайного падения выплавки меди в России, а потому правление акц. об-ва «Медь» считает своим долгом довести до вашего сведения о всем вышеизложенном и просить неотложно обсудить те меры, которые могли бы спасти русскую медеплавильную промышленность от наступившего кризиса, а рабочих от грозящей безработицы.</w:t>
      </w:r>
    </w:p>
    <w:p w14:paraId="31977845"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Правление акц. об-ва «Медь»:</w:t>
      </w:r>
    </w:p>
    <w:p w14:paraId="1AEDBFD8"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 Асеев, А. Гернет,</w:t>
      </w:r>
    </w:p>
    <w:p w14:paraId="2DE57BFD"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Бетц, Г. Пьюзей.</w:t>
      </w:r>
    </w:p>
    <w:p w14:paraId="57D26D6E" w14:textId="77777777" w:rsidR="008626EA"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174" w:anchor="_ftnref1" w:history="1">
        <w:r w:rsidR="008626EA" w:rsidRPr="002F2FDF">
          <w:rPr>
            <w:rFonts w:ascii="Times New Roman" w:hAnsi="Times New Roman" w:cs="Times New Roman"/>
            <w:color w:val="000000" w:themeColor="text1"/>
            <w:kern w:val="2"/>
            <w:sz w:val="16"/>
            <w:szCs w:val="16"/>
          </w:rPr>
          <w:t>[1]</w:t>
        </w:r>
      </w:hyperlink>
      <w:r w:rsidR="008626EA" w:rsidRPr="002F2FDF">
        <w:rPr>
          <w:rFonts w:ascii="Times New Roman" w:hAnsi="Times New Roman" w:cs="Times New Roman"/>
          <w:color w:val="000000" w:themeColor="text1"/>
          <w:kern w:val="2"/>
          <w:sz w:val="16"/>
          <w:szCs w:val="16"/>
        </w:rPr>
        <w:t xml:space="preserve"> См. прим 1937 вышел приказ НКОП № 160 (15688).</w:t>
      </w:r>
    </w:p>
    <w:p w14:paraId="3EBCEA9B" w14:textId="77777777"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p>
    <w:p w14:paraId="7081076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1053A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F6C99F" w14:textId="77777777" w:rsidR="00BF6E8E" w:rsidRPr="00815ED5" w:rsidRDefault="00BF6E8E"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15 </w:t>
      </w:r>
      <w:r>
        <w:rPr>
          <w:rFonts w:ascii="Times New Roman" w:hAnsi="Times New Roman" w:cs="Times New Roman"/>
          <w:color w:val="0070C0"/>
          <w:sz w:val="16"/>
          <w:szCs w:val="16"/>
        </w:rPr>
        <w:t xml:space="preserve">(28) </w:t>
      </w:r>
      <w:r w:rsidRPr="00815ED5">
        <w:rPr>
          <w:rFonts w:ascii="Times New Roman" w:hAnsi="Times New Roman" w:cs="Times New Roman"/>
          <w:color w:val="0070C0"/>
          <w:sz w:val="16"/>
          <w:szCs w:val="16"/>
        </w:rPr>
        <w:t>мая</w:t>
      </w:r>
      <w:r>
        <w:rPr>
          <w:rFonts w:ascii="Times New Roman" w:hAnsi="Times New Roman" w:cs="Times New Roman"/>
          <w:color w:val="0070C0"/>
          <w:sz w:val="16"/>
          <w:szCs w:val="16"/>
        </w:rPr>
        <w:t xml:space="preserve">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летчик 1-го Туркестанского отряда ст.унт</w:t>
      </w:r>
      <w:r>
        <w:rPr>
          <w:rFonts w:ascii="Times New Roman" w:hAnsi="Times New Roman" w:cs="Times New Roman"/>
          <w:color w:val="0070C0"/>
          <w:sz w:val="16"/>
          <w:szCs w:val="16"/>
        </w:rPr>
        <w:t>к</w:t>
      </w:r>
      <w:r w:rsidRPr="00815ED5">
        <w:rPr>
          <w:rFonts w:ascii="Times New Roman" w:hAnsi="Times New Roman" w:cs="Times New Roman"/>
          <w:color w:val="0070C0"/>
          <w:sz w:val="16"/>
          <w:szCs w:val="16"/>
        </w:rPr>
        <w:t>р-офицер Иван Кондаков и летнаб поручик Михаил Поготовко во время разведки были атакованы неприятельским истребителем.</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Отбив атаку, экипаж продолжал разведку,</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но истребитель,</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пользу</w:t>
      </w:r>
      <w:r>
        <w:rPr>
          <w:rFonts w:ascii="Times New Roman" w:hAnsi="Times New Roman" w:cs="Times New Roman"/>
          <w:color w:val="0070C0"/>
          <w:sz w:val="16"/>
          <w:szCs w:val="16"/>
        </w:rPr>
        <w:t>я</w:t>
      </w:r>
      <w:r w:rsidRPr="00815ED5">
        <w:rPr>
          <w:rFonts w:ascii="Times New Roman" w:hAnsi="Times New Roman" w:cs="Times New Roman"/>
          <w:color w:val="0070C0"/>
          <w:sz w:val="16"/>
          <w:szCs w:val="16"/>
        </w:rPr>
        <w:t>с</w:t>
      </w:r>
      <w:r>
        <w:rPr>
          <w:rFonts w:ascii="Times New Roman" w:hAnsi="Times New Roman" w:cs="Times New Roman"/>
          <w:color w:val="0070C0"/>
          <w:sz w:val="16"/>
          <w:szCs w:val="16"/>
        </w:rPr>
        <w:t>ь</w:t>
      </w:r>
      <w:r w:rsidRPr="00815ED5">
        <w:rPr>
          <w:rFonts w:ascii="Times New Roman" w:hAnsi="Times New Roman" w:cs="Times New Roman"/>
          <w:color w:val="0070C0"/>
          <w:sz w:val="16"/>
          <w:szCs w:val="16"/>
        </w:rPr>
        <w:t xml:space="preserve"> преимуществом в скорости,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вторично атаковал Кондакова и ранил </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 xml:space="preserve">го в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пину на вылет</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Летнаб отбивался, но когда заклинился пулемет,</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вынужден был повернуть к своим позициям. Кондаков,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истекая кровью, в</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е же довел самолет до расположения своих вой</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к н посадил самолет,</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 через несколько часов умер.</w:t>
      </w:r>
    </w:p>
    <w:p w14:paraId="01A1D8D1" w14:textId="77777777" w:rsidR="00BF6E8E" w:rsidRDefault="00BF6E8E"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/Приказ по войскам XI армии от 16 мая 1917;</w:t>
      </w:r>
      <w:r>
        <w:rPr>
          <w:rFonts w:ascii="Times New Roman" w:hAnsi="Times New Roman" w:cs="Times New Roman"/>
          <w:color w:val="0070C0"/>
          <w:sz w:val="16"/>
          <w:szCs w:val="16"/>
        </w:rPr>
        <w:t xml:space="preserve"> ЦГ</w:t>
      </w:r>
      <w:r w:rsidRPr="00815ED5">
        <w:rPr>
          <w:rFonts w:ascii="Times New Roman" w:hAnsi="Times New Roman" w:cs="Times New Roman"/>
          <w:color w:val="0070C0"/>
          <w:sz w:val="16"/>
          <w:szCs w:val="16"/>
        </w:rPr>
        <w:t>АСА,</w:t>
      </w:r>
      <w:r>
        <w:rPr>
          <w:rFonts w:ascii="Times New Roman" w:hAnsi="Times New Roman" w:cs="Times New Roman"/>
          <w:color w:val="0070C0"/>
          <w:sz w:val="16"/>
          <w:szCs w:val="16"/>
        </w:rPr>
        <w:t xml:space="preserve"> ф</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30</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д</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62</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39078DA9" w14:textId="77777777" w:rsidR="00BF6E8E" w:rsidRPr="00815ED5" w:rsidRDefault="00BF6E8E" w:rsidP="0083075A">
      <w:pPr>
        <w:spacing w:after="0" w:line="240" w:lineRule="auto"/>
        <w:jc w:val="both"/>
        <w:rPr>
          <w:rFonts w:ascii="Times New Roman" w:hAnsi="Times New Roman" w:cs="Times New Roman"/>
          <w:color w:val="0070C0"/>
          <w:sz w:val="16"/>
          <w:szCs w:val="16"/>
        </w:rPr>
      </w:pPr>
    </w:p>
    <w:p w14:paraId="60B3825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мая 1917 из Трапезунда с целью разведки Анатолийского побережья от бухты Ак-Лиман до порта Тиреболу, нарушения каботажных морских перевозок, аэрофотосъемки береговой полосы у Самсуна и Синопа вышел боевой отряд под началь</w:t>
      </w:r>
      <w:r w:rsidRPr="002F2FDF">
        <w:rPr>
          <w:rFonts w:ascii="Times New Roman" w:hAnsi="Times New Roman" w:cs="Times New Roman"/>
          <w:color w:val="000000" w:themeColor="text1"/>
          <w:kern w:val="2"/>
          <w:sz w:val="16"/>
          <w:szCs w:val="16"/>
        </w:rPr>
        <w:softHyphen/>
        <w:t>ством капитана 1 ранга А. Макалинского. В составе отряда находились вспомогательные крейсеры “Дакия” и “Король Карл” (с двумя и одним гидроаэропланами), эсминцы “Смыш-лений” и “Строгий”, буксировавший на переходе быстроход</w:t>
      </w:r>
      <w:r w:rsidRPr="002F2FDF">
        <w:rPr>
          <w:rFonts w:ascii="Times New Roman" w:hAnsi="Times New Roman" w:cs="Times New Roman"/>
          <w:color w:val="000000" w:themeColor="text1"/>
          <w:kern w:val="2"/>
          <w:sz w:val="16"/>
          <w:szCs w:val="16"/>
        </w:rPr>
        <w:softHyphen/>
        <w:t>ный катер № 327. Двухсуточный боевой поход отряда Макалинского прошел вполне успешно при незначительном противодействии оборо</w:t>
      </w:r>
      <w:r w:rsidRPr="002F2FDF">
        <w:rPr>
          <w:rFonts w:ascii="Times New Roman" w:hAnsi="Times New Roman" w:cs="Times New Roman"/>
          <w:color w:val="000000" w:themeColor="text1"/>
          <w:kern w:val="2"/>
          <w:sz w:val="16"/>
          <w:szCs w:val="16"/>
        </w:rPr>
        <w:softHyphen/>
        <w:t>ны противника. По пути следования русские моряки уничто</w:t>
      </w:r>
      <w:r w:rsidRPr="002F2FDF">
        <w:rPr>
          <w:rFonts w:ascii="Times New Roman" w:hAnsi="Times New Roman" w:cs="Times New Roman"/>
          <w:color w:val="000000" w:themeColor="text1"/>
          <w:kern w:val="2"/>
          <w:sz w:val="16"/>
          <w:szCs w:val="16"/>
        </w:rPr>
        <w:softHyphen/>
        <w:t>жили 137 фелюг и возвратились с приличными трофеями -двумя шхунами, гружеными табаком и орехами. Перед прибытием отряда в Трапезунд, из Севастополя четырехсуточный поход к Синону совершил гидрокрейсер “Авиа</w:t>
      </w:r>
      <w:r w:rsidRPr="002F2FDF">
        <w:rPr>
          <w:rFonts w:ascii="Times New Roman" w:hAnsi="Times New Roman" w:cs="Times New Roman"/>
          <w:color w:val="000000" w:themeColor="text1"/>
          <w:kern w:val="2"/>
          <w:sz w:val="16"/>
          <w:szCs w:val="16"/>
        </w:rPr>
        <w:softHyphen/>
        <w:t>тор” в сопровождении эсминцев “Зоркий”, “Лейтенант Зацаренный”, “Завидный” под начальством капитана 1 ранга В. Чайковского. 12 мая осуществить воздушную разведку бере</w:t>
      </w:r>
      <w:r w:rsidRPr="002F2FDF">
        <w:rPr>
          <w:rFonts w:ascii="Times New Roman" w:hAnsi="Times New Roman" w:cs="Times New Roman"/>
          <w:color w:val="000000" w:themeColor="text1"/>
          <w:kern w:val="2"/>
          <w:sz w:val="16"/>
          <w:szCs w:val="16"/>
        </w:rPr>
        <w:softHyphen/>
        <w:t>говой обороны в районе маяка Бое-Тепе не удалось из-за очень ненастной погоды. 13 мая боевой отряд приблизился к Синопу на расстояние 20 миль. Пять “М-9” удачно выполнили фотосъемку военных объектов, затем - бомбардировку и благо</w:t>
      </w:r>
      <w:r w:rsidRPr="002F2FDF">
        <w:rPr>
          <w:rFonts w:ascii="Times New Roman" w:hAnsi="Times New Roman" w:cs="Times New Roman"/>
          <w:color w:val="000000" w:themeColor="text1"/>
          <w:kern w:val="2"/>
          <w:sz w:val="16"/>
          <w:szCs w:val="16"/>
        </w:rPr>
        <w:softHyphen/>
        <w:t>получно приводнились у борта гидрокрейсера [21]. (11283).</w:t>
      </w:r>
    </w:p>
    <w:p w14:paraId="619B824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E15B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C 15 по 23 мая (с 28 мая по 5 июня) 1917 эсминцы Сметливый и Строгий в сопровождении 2-х вспомогательных крейсеров (Король Карп и Дакия) обстреляли побережье в районе Ак-Лиман - Тиреболу, уничтожили 233 и захватили 17 турецких парусника (3123).</w:t>
      </w:r>
    </w:p>
    <w:p w14:paraId="519031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168EA8" w14:textId="4B82D0AF" w:rsidR="00A616FB" w:rsidRPr="00FB4F67" w:rsidRDefault="00A616F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15 (</w:t>
      </w:r>
      <w:r w:rsidRPr="00FB4F67">
        <w:rPr>
          <w:rFonts w:ascii="Times New Roman" w:hAnsi="Times New Roman" w:cs="Times New Roman"/>
          <w:color w:val="0070C0"/>
          <w:sz w:val="16"/>
          <w:szCs w:val="16"/>
        </w:rPr>
        <w:t>28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мая 1917 г. в Черном море русские вспомогательные крейсера «Регеле Кэрол» и «Дакия» (бывшие румынские суда, приспособленные для перевозки летающих лодок) при поддержке двух торпедных катеров вышли из района Трапезунда и обстреляли турецкие береговые объекты в Синопе и Самсуме. За три дня они потопили более 120 парусников. У турок не было боевых кораблей в этом районе для защиты (23525).</w:t>
      </w:r>
    </w:p>
    <w:p w14:paraId="4F6BC6C1" w14:textId="77777777" w:rsidR="00A616FB" w:rsidRPr="00FB4F67" w:rsidRDefault="00A616FB" w:rsidP="0083075A">
      <w:pPr>
        <w:spacing w:after="0" w:line="240" w:lineRule="auto"/>
        <w:jc w:val="both"/>
        <w:rPr>
          <w:rFonts w:ascii="Times New Roman" w:hAnsi="Times New Roman" w:cs="Times New Roman"/>
          <w:color w:val="0070C0"/>
          <w:sz w:val="16"/>
          <w:szCs w:val="16"/>
        </w:rPr>
      </w:pPr>
    </w:p>
    <w:p w14:paraId="23D40AE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8B2E9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B7AC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мая 1917 года вышло распоряжение германского главного командования, которое устанавливало новые, отличные от прежних, директивы. Командование исходило из того, что в пунктах наиболее напряженного боя вести наблюдение с воздуха за отдельными разрывами снарядов при наличии множества других невозможно. Чтобы обеспечить успех стрельбе, артиллеристам следовало в более спокойной обстановке, используя все доступные средства наблюдения, заранее определить основные ориентиры и вычислить для них параметры стрельбы, чтобы в любое время можно было обстрелять важнейшие цели. В соответствии с этим, от летчика во время боя артиллеристам следовало ожидать в первую очередь указания целей, на которые стоить обрушить огонь. Поэтому задание артиллерийскому летчику должно излагаться ясно, с указанием, состоит ли его задача в наблюдении за пристрелкой одной или нескольких единичных целей 149 или в общем наблюдении за определенным участком местности. Назначение на радиостанцию, которая должна была устанавливаться или у наблюдаемой батареи, или у командующего артиллерией, опытного офицера-радиотелеграфиста и обеспечение связи между самолетом, радиостанцией и батареей было отмечено как необходимое условие эффективности воздушного наблюдения (11282).</w:t>
      </w:r>
    </w:p>
    <w:p w14:paraId="7B5A08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04DA0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D2C71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1A18A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мая 1917 в Севастополе прошли короткие испытания М-15 с переделанным носом.Балтийский гидроаэрогшан признали лучшим, и 6 июля завод Щетинина получил инструкции перестроить носы лодок №№ 1115-1119,1121,1122,1124,1125и последующих до 1176 под упомянутую пулеметную установку, тем более что в таком виде они оказыва</w:t>
      </w:r>
      <w:r w:rsidRPr="002F2FDF">
        <w:rPr>
          <w:rFonts w:ascii="Times New Roman" w:hAnsi="Times New Roman" w:cs="Times New Roman"/>
          <w:color w:val="000000" w:themeColor="text1"/>
          <w:kern w:val="2"/>
          <w:sz w:val="16"/>
          <w:szCs w:val="16"/>
        </w:rPr>
        <w:softHyphen/>
        <w:t>лись годными и для пулеметных установок старого образца. Вероятно, корпуса аппаратов с заводскими номерами 1108,1110 и 1111 также были изменены, причем уже в начале апреля.</w:t>
      </w:r>
    </w:p>
    <w:p w14:paraId="5D2FF2C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Несмотря на все недостатки, М-15 демонстрировал ценные качества, и один из летавших на нем морских авиаторов поручик М. П. Телепнев писал впоследствии':</w:t>
      </w:r>
    </w:p>
    <w:p w14:paraId="138122F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“Летающая лодка типа М-15. &lt;...&gt; Вооружена пулеметом "Максим" или "Льюис", бомб около 4 пудов. &lt;...&gt; Предположена установка радиотелеграфа. Для бомбометания имеется при</w:t>
      </w:r>
      <w:r w:rsidRPr="002F2FDF">
        <w:rPr>
          <w:rFonts w:ascii="Times New Roman" w:hAnsi="Times New Roman" w:cs="Times New Roman"/>
          <w:color w:val="000000" w:themeColor="text1"/>
          <w:kern w:val="2"/>
          <w:sz w:val="16"/>
          <w:szCs w:val="16"/>
        </w:rPr>
        <w:softHyphen/>
        <w:t>цел старшего лейтенанта Лишина (С. А. Лишин. —А. А.). В гондоле должны находиться: компас, авиационные приборы и освещет ше. Аппарат более строгий, чем М-9, а потому полет ночью требу</w:t>
      </w:r>
      <w:r w:rsidRPr="002F2FDF">
        <w:rPr>
          <w:rFonts w:ascii="Times New Roman" w:hAnsi="Times New Roman" w:cs="Times New Roman"/>
          <w:color w:val="000000" w:themeColor="text1"/>
          <w:kern w:val="2"/>
          <w:sz w:val="16"/>
          <w:szCs w:val="16"/>
        </w:rPr>
        <w:softHyphen/>
        <w:t>ет большой осторожности.</w:t>
      </w:r>
    </w:p>
    <w:p w14:paraId="5C274EC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Аппарат предназначается для разведки, которую может периодически вести до 40-50 миль. В исключительно благоприятных случаях при благоприятной погоде может выполнять разведку за участком моря по прямой на 90 миль от своей базы. В разведку может идти даже при возможно</w:t>
      </w:r>
      <w:r w:rsidRPr="002F2FDF">
        <w:rPr>
          <w:rFonts w:ascii="Times New Roman" w:hAnsi="Times New Roman" w:cs="Times New Roman"/>
          <w:color w:val="000000" w:themeColor="text1"/>
          <w:kern w:val="2"/>
          <w:sz w:val="16"/>
          <w:szCs w:val="16"/>
        </w:rPr>
        <w:softHyphen/>
        <w:t>сти контратаки противника, так как по своей скорости представляет тип аппарата средний между разведчиком и истребителем. Вблизи берегов противника принимает бой лишь в случае необходи</w:t>
      </w:r>
      <w:r w:rsidRPr="002F2FDF">
        <w:rPr>
          <w:rFonts w:ascii="Times New Roman" w:hAnsi="Times New Roman" w:cs="Times New Roman"/>
          <w:color w:val="000000" w:themeColor="text1"/>
          <w:kern w:val="2"/>
          <w:sz w:val="16"/>
          <w:szCs w:val="16"/>
        </w:rPr>
        <w:softHyphen/>
        <w:t>мости, тогда как вблизи своих баз может быть применен для охраны и дежурства. Пригоден для разведки на предмет обнаружения подлодок и борьбы с ними, а также для корректировки стрель</w:t>
      </w:r>
      <w:r w:rsidRPr="002F2FDF">
        <w:rPr>
          <w:rFonts w:ascii="Times New Roman" w:hAnsi="Times New Roman" w:cs="Times New Roman"/>
          <w:color w:val="000000" w:themeColor="text1"/>
          <w:kern w:val="2"/>
          <w:sz w:val="16"/>
          <w:szCs w:val="16"/>
        </w:rPr>
        <w:softHyphen/>
        <w:t>бы. При наличии зажигательных пуль или ракет может атаковать цеппелин у наших берегов. При современных условиях войны тип М-15 наиболее отвечает требованиям, предъявляемым аппара</w:t>
      </w:r>
      <w:r w:rsidRPr="002F2FDF">
        <w:rPr>
          <w:rFonts w:ascii="Times New Roman" w:hAnsi="Times New Roman" w:cs="Times New Roman"/>
          <w:color w:val="000000" w:themeColor="text1"/>
          <w:kern w:val="2"/>
          <w:sz w:val="16"/>
          <w:szCs w:val="16"/>
        </w:rPr>
        <w:softHyphen/>
        <w:t>там-разведчикам. Поставленный на лыжи, М-15 может быть использован зимой”.</w:t>
      </w:r>
    </w:p>
    <w:p w14:paraId="6B06C59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этот раз вряд ли стоит комментировать оценки современников, разумнее просто согласиться с тем, что тип М-15 явился главной удачей на пути развития многофункционального лодочного аэропла</w:t>
      </w:r>
      <w:r w:rsidRPr="002F2FDF">
        <w:rPr>
          <w:rFonts w:ascii="Times New Roman" w:hAnsi="Times New Roman" w:cs="Times New Roman"/>
          <w:color w:val="000000" w:themeColor="text1"/>
          <w:kern w:val="2"/>
          <w:sz w:val="16"/>
          <w:szCs w:val="16"/>
        </w:rPr>
        <w:softHyphen/>
        <w:t>на, но и она была практически сведена на “нет” фатальной нехваткой моторов (2807).</w:t>
      </w:r>
    </w:p>
    <w:p w14:paraId="7DD8329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1A80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мая 1917 Военному ведомству был сдан двухмоторный (2хСанбим) двухместный истребитель РБВЗ-18 - постройка машины была завершена к середине 1916, но потребовались доработки (2858,48).</w:t>
      </w:r>
    </w:p>
    <w:p w14:paraId="15BC17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D3EDE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C5B7F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3658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16, 20 и 23 мая 1917 (29 мая, 2 июня и 6 июня) комиссия, назначенная ТК Увофлота в начале 1917, для проверки прочности и аэродинамической оценки Муромцев серии Г., докладывала ТК. В комиссию привлекли С.П.Тимошенко, А.П.Фан-дер-Флит (председатель) и Г.А.Ботезат. Сделали вывод, что запас прочности Муромцев в два раза ниже, чем у самых слабых аппаратов. После этого повысили вдвое (92,206).</w:t>
      </w:r>
    </w:p>
    <w:p w14:paraId="48E226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F42F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16 </w:t>
      </w:r>
      <w:r w:rsidR="00731D28" w:rsidRPr="002F2FDF">
        <w:rPr>
          <w:rFonts w:ascii="Times New Roman" w:hAnsi="Times New Roman" w:cs="Times New Roman"/>
          <w:color w:val="000000" w:themeColor="text1"/>
          <w:kern w:val="2"/>
          <w:sz w:val="16"/>
          <w:szCs w:val="16"/>
        </w:rPr>
        <w:t xml:space="preserve">(29) </w:t>
      </w:r>
      <w:r w:rsidRPr="002F2FDF">
        <w:rPr>
          <w:rFonts w:ascii="Times New Roman" w:hAnsi="Times New Roman" w:cs="Times New Roman"/>
          <w:color w:val="000000" w:themeColor="text1"/>
          <w:kern w:val="2"/>
          <w:sz w:val="16"/>
          <w:szCs w:val="16"/>
        </w:rPr>
        <w:t>мая 1917:</w:t>
      </w:r>
    </w:p>
    <w:p w14:paraId="00C730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Журнал № 73 заседания Технического Комитета Управления Военного Воздушного флота от 16 мая 1917 года</w:t>
      </w:r>
    </w:p>
    <w:p w14:paraId="74ABF3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Присутствовали: полковники Яковлев, Горшков, Калиновский, Дюсиметьер, Котов, Утешев, профессора Фан-дер-Флит и Тимошенко, генерал-лейтенант Кованько, капитан Журавченко</w:t>
      </w:r>
    </w:p>
    <w:p w14:paraId="03B87A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Настоящем заседании Технического комитета и.д. Начальника Управления огласил рапорта Начальника Эскадры Воздушных Кораблей о гибели воздушного корабля "И.М." I и о тех изменениях в конструкции воздушных кораблей, которые офицеры Эскадры находят необходимым внести как в уже существующие, так равно и в строящиеся корабли.</w:t>
      </w:r>
    </w:p>
    <w:p w14:paraId="5734CC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Последние изменения заключаются в усилении некоторых частей конструкции аппарата, и в изменении деталей корабля и его специального оборудования.</w:t>
      </w:r>
    </w:p>
    <w:p w14:paraId="1F83BF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Помимо всего в акте указывается на неудовлетворительные полётные качества корабля с моторами "Рено", высказываются пожелания о постановке обучения в Эскадре о поверке расчётов кораблей и проч.</w:t>
      </w:r>
    </w:p>
    <w:p w14:paraId="1C4F8F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 же касается причин гибели "И.М." I, то они, как это видно из доставленных документов, заключались в полной поломке аппарата в воздухе, начавшейся с наружного края левой верхней несушей поверхности и распространившейся затем в воздухе же, на остальные части несущих поверхностей и хвостовую ферму.</w:t>
      </w:r>
    </w:p>
    <w:p w14:paraId="332E91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связи с ним профессор А.П. Фан-Дер- Флит и С. П. Тимошенко доложили, что производящиеся ими расчёты аэродинамических свойств аппаратов "И.М." и их прочности, порученные им Техническими Комитетами по просьбе и.д. Начальника Управления Военного Воздушного флота, ешё не закончены. Причиной этого служит почти полное отсутствие на Русско-Балтийском заводе не только вышеупомянутых расчётов, но даже и многих данных для производства таковых. Таковое положение дела заставляет предполагать, что по всей вероятности ни аэродинамического расчёта аэроплана, ни расчёта его прочности завод вообще не производил. Так, на заводе не оказалось даже аэродинамических характеристик крыльев, не нашлось точно также регулировочных чертежей и данных о регулировочном натяжении растяжек. С влиянием этого натяжения на напряжение в частях аэроплана технический персонал завода по-видимому не был знаком вовсе. Никаких данных о запасе прочности в аэроплане Директор завода дать не мог, конструктор же Сикорский указат, что по его подсчётам запас прочности в аэроплане, не принимая во внимание растяжек от шасси к нижней поверхности, составляет примерно около 4 1/2. Однако подсчёты произведённые профессором Тимошенко с теми же допущениями, что и в расчетах И.И. Сикорского показывают, что в этом случае некоторые части оказываются весьма слабыми, а иные несут даже напряжения, превышающие временные сопротивления их материала. Некоторые детали конструкции, как то растяжки, состоящие из парной и одиночной проволоки применяемые стяжки для проволок, слишком пологое местами направление растяжек, излишне большое их число и проч. следует признать нерациональным.</w:t>
      </w:r>
    </w:p>
    <w:p w14:paraId="1C9772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аэродинамической точки зрения аппарат, по-видимому, не обладает достаточной продольной устойчивостью, т.к. имеет сильно несущий хвост. Установка пулемёта в хвостовой коробке эту устойчивость еще ухудшает. Двойные рули направления, применённые из-за расположения пулемёта в хвосте, являются резко действующими, ибо они находятся в сильных струях воздуха, отбрасываемых винтами.</w:t>
      </w:r>
    </w:p>
    <w:p w14:paraId="78FEBB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Вышеуказанные подсчёты прочности аэроплана делались пока только для аэроплана с двумя 150 сильными и 2-мя 220 сильными двигателями. Для аппарата с 4-мя 150 сильными двигателями подсчёты прочности пока ешё не делались.</w:t>
      </w:r>
    </w:p>
    <w:p w14:paraId="5F6A38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мнению профессора Фан-дер-Флита по окончании проверочных расчётов аэропланов быть может окажется возможным устранить недостатки аппаратов применяя конструкции, более совершенным как в аэродинамическом отношении так и в отношении прочности. До окончания начатых подсчетов высказаться по этому вопросу более определенно не представляется возможным.</w:t>
      </w:r>
    </w:p>
    <w:p w14:paraId="090519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 касается до общего положения дела на Р.Б.В. завод, лишь ныне вступившем в прямые взаимоотношения с Управлением Военно-Воздушного флота, то следует заметить, что само изготовление аппаратов завод ведет достаточно хорошо, что же касается до инженерных сил завода, то они не могут считаться стоящими на высоте всех своих задач и нуждаются в технической поддержке, которая в данном случае могла бы быть оказана Управлением путем указания, как слабых сторон аппарата, так и тех мер, путем коих их можно было бы устранить.</w:t>
      </w:r>
    </w:p>
    <w:p w14:paraId="23B5EF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обмена мнений по настоящему вопросу, Технический комитет положил:</w:t>
      </w:r>
    </w:p>
    <w:p w14:paraId="15A3F8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Закончить аэродинамические подсчеты и подсчеты прочности аэропланов типа Илья Муромец, как с 4-мя моторами по I50 сил так равно и с 2-мя моторами в 220 и 2-мя I50 сил.</w:t>
      </w:r>
    </w:p>
    <w:p w14:paraId="4E9021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Указать заводу, если это представится нужным, слабые стороны этих аппаратов и приемы их устранения с тем, что бы завод по введению в конструкцию аппаратов требующихся изменений представил расчеты аппарата и его чертежи на рассмотрение Управления.</w:t>
      </w:r>
    </w:p>
    <w:p w14:paraId="0A57F5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Понижение полётных качеств имеющихся у ныне существующих аппаратов "Илья Муромец", допускать при переделках этих аппаратов нельзя.</w:t>
      </w:r>
    </w:p>
    <w:p w14:paraId="6B8189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Мнения офицеров Эскадры о недостатках и желательных изменениях в конструкции аппаратов "Илья Муромец" передать на заключение в комиссию профессоров Фан-дер-Флита и Тимошенко.</w:t>
      </w:r>
    </w:p>
    <w:p w14:paraId="63837F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Как уже рассказывалось ранее, в период доработки трёх "Муромцев" типа В в "ширококрылые", образовалась производственная пауза, когда производство было приостановлено в ожидании результатов испытаний. Сикорский не хотел терять времени и в течение этой паузы попытался создать новую, более глубокую модификацию, в которой можно было реализовать все достижения научной мысли и производственной практики (12041).</w:t>
      </w:r>
    </w:p>
    <w:p w14:paraId="46B7D4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6EE47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A3FF8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23D0F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мая 1917 г. был подготовлен Доклад начальника Брянского арсенала генерал-майора С. Н. Ванкова помощнику военного министра А. А. Маниковскому о необхо</w:t>
      </w:r>
      <w:r w:rsidRPr="002F2FDF">
        <w:rPr>
          <w:rFonts w:ascii="Times New Roman" w:hAnsi="Times New Roman" w:cs="Times New Roman"/>
          <w:color w:val="000000" w:themeColor="text1"/>
          <w:kern w:val="2"/>
          <w:sz w:val="16"/>
          <w:szCs w:val="16"/>
        </w:rPr>
        <w:softHyphen/>
        <w:t>димости изменить формы управления заводами №28</w:t>
      </w:r>
    </w:p>
    <w:p w14:paraId="7013AD0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настоящее время, после падения старого строя, при переходе к новым формам жиз</w:t>
      </w:r>
      <w:r w:rsidRPr="002F2FDF">
        <w:rPr>
          <w:rFonts w:ascii="Times New Roman" w:hAnsi="Times New Roman" w:cs="Times New Roman"/>
          <w:color w:val="000000" w:themeColor="text1"/>
          <w:kern w:val="2"/>
          <w:sz w:val="16"/>
          <w:szCs w:val="16"/>
        </w:rPr>
        <w:softHyphen/>
        <w:t>ни, в заводских отношениях и в работе возник целый ряд вопросов, требующих немед</w:t>
      </w:r>
      <w:r w:rsidRPr="002F2FDF">
        <w:rPr>
          <w:rFonts w:ascii="Times New Roman" w:hAnsi="Times New Roman" w:cs="Times New Roman"/>
          <w:color w:val="000000" w:themeColor="text1"/>
          <w:kern w:val="2"/>
          <w:sz w:val="16"/>
          <w:szCs w:val="16"/>
        </w:rPr>
        <w:softHyphen/>
        <w:t>ленного разрешения.</w:t>
      </w:r>
    </w:p>
    <w:p w14:paraId="3DE0D81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Эти вопросы захватывают все стороны заводской жизни и требуют рассмотрения их не в условиях кабинетной работы лиц, мало знакомых с заводской жизнью, а в условиях широкого их освещения заинтересованными и сведущими сторонами, т. е. администра</w:t>
      </w:r>
      <w:r w:rsidRPr="002F2FDF">
        <w:rPr>
          <w:rFonts w:ascii="Times New Roman" w:hAnsi="Times New Roman" w:cs="Times New Roman"/>
          <w:color w:val="000000" w:themeColor="text1"/>
          <w:kern w:val="2"/>
          <w:sz w:val="16"/>
          <w:szCs w:val="16"/>
        </w:rPr>
        <w:softHyphen/>
        <w:t>цией заводов и рабочими.</w:t>
      </w:r>
    </w:p>
    <w:p w14:paraId="75CE538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Таде как условия жизни отдельных заводов, хотя бы и однородных по роду выпускае</w:t>
      </w:r>
      <w:r w:rsidRPr="002F2FDF">
        <w:rPr>
          <w:rFonts w:ascii="Times New Roman" w:hAnsi="Times New Roman" w:cs="Times New Roman"/>
          <w:color w:val="000000" w:themeColor="text1"/>
          <w:kern w:val="2"/>
          <w:sz w:val="16"/>
          <w:szCs w:val="16"/>
        </w:rPr>
        <w:softHyphen/>
        <w:t>мых изделий, определяются целым рядом причин, находящихся в зависимости от местных условий, то рассмотрение общих норм заводской жизни должно проходить при не</w:t>
      </w:r>
      <w:r w:rsidRPr="002F2FDF">
        <w:rPr>
          <w:rFonts w:ascii="Times New Roman" w:hAnsi="Times New Roman" w:cs="Times New Roman"/>
          <w:color w:val="000000" w:themeColor="text1"/>
          <w:kern w:val="2"/>
          <w:sz w:val="16"/>
          <w:szCs w:val="16"/>
        </w:rPr>
        <w:softHyphen/>
        <w:t>пременном участии представителей администрации и рабочих каждого из отдельных заводов.</w:t>
      </w:r>
    </w:p>
    <w:p w14:paraId="0766465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ряду этих вопросов первое место занимает вопрос о разграничении сфер деятельно</w:t>
      </w:r>
      <w:r w:rsidRPr="002F2FDF">
        <w:rPr>
          <w:rFonts w:ascii="Times New Roman" w:hAnsi="Times New Roman" w:cs="Times New Roman"/>
          <w:color w:val="000000" w:themeColor="text1"/>
          <w:kern w:val="2"/>
          <w:sz w:val="16"/>
          <w:szCs w:val="16"/>
        </w:rPr>
        <w:softHyphen/>
        <w:t>сти администрации во главе с начальником завода и комитетов рабочих депутатов и об их взаимоотношениях. Для сохранения авторитета власти начальника и заводской адми</w:t>
      </w:r>
      <w:r w:rsidRPr="002F2FDF">
        <w:rPr>
          <w:rFonts w:ascii="Times New Roman" w:hAnsi="Times New Roman" w:cs="Times New Roman"/>
          <w:color w:val="000000" w:themeColor="text1"/>
          <w:kern w:val="2"/>
          <w:sz w:val="16"/>
          <w:szCs w:val="16"/>
        </w:rPr>
        <w:softHyphen/>
        <w:t>нистрации необходимо немедленное создание условий здоровой заводской жизни и ус</w:t>
      </w:r>
      <w:r w:rsidRPr="002F2FDF">
        <w:rPr>
          <w:rFonts w:ascii="Times New Roman" w:hAnsi="Times New Roman" w:cs="Times New Roman"/>
          <w:color w:val="000000" w:themeColor="text1"/>
          <w:kern w:val="2"/>
          <w:sz w:val="16"/>
          <w:szCs w:val="16"/>
        </w:rPr>
        <w:softHyphen/>
        <w:t>транение в ней пагубного для дела двоевластия, что отразилось уже и на службе и жизни артиллерийских чиновников технических заведений в худшую сторону. Авторитет на</w:t>
      </w:r>
      <w:r w:rsidRPr="002F2FDF">
        <w:rPr>
          <w:rFonts w:ascii="Times New Roman" w:hAnsi="Times New Roman" w:cs="Times New Roman"/>
          <w:color w:val="000000" w:themeColor="text1"/>
          <w:kern w:val="2"/>
          <w:sz w:val="16"/>
          <w:szCs w:val="16"/>
        </w:rPr>
        <w:softHyphen/>
        <w:t>чальника завода должен быть поддержан всей нормальной схемой взаимоотношений, [то есть должен]* быть поддержан авторитетом более высокой власти в лице ГАУ. Предо</w:t>
      </w:r>
      <w:r w:rsidRPr="002F2FDF">
        <w:rPr>
          <w:rFonts w:ascii="Times New Roman" w:hAnsi="Times New Roman" w:cs="Times New Roman"/>
          <w:color w:val="000000" w:themeColor="text1"/>
          <w:kern w:val="2"/>
          <w:sz w:val="16"/>
          <w:szCs w:val="16"/>
        </w:rPr>
        <w:softHyphen/>
        <w:t>ставление заводов своей собственной судьбе, без всякого объединяющего руководства из центра, ставит заводы в положение невозможности планомерной работы, лишает на</w:t>
      </w:r>
      <w:r w:rsidRPr="002F2FDF">
        <w:rPr>
          <w:rFonts w:ascii="Times New Roman" w:hAnsi="Times New Roman" w:cs="Times New Roman"/>
          <w:color w:val="000000" w:themeColor="text1"/>
          <w:kern w:val="2"/>
          <w:sz w:val="16"/>
          <w:szCs w:val="16"/>
        </w:rPr>
        <w:softHyphen/>
        <w:t>чальника завода возможности организовать работы в определенном направлении и вес</w:t>
      </w:r>
      <w:r w:rsidRPr="002F2FDF">
        <w:rPr>
          <w:rFonts w:ascii="Times New Roman" w:hAnsi="Times New Roman" w:cs="Times New Roman"/>
          <w:color w:val="000000" w:themeColor="text1"/>
          <w:kern w:val="2"/>
          <w:sz w:val="16"/>
          <w:szCs w:val="16"/>
        </w:rPr>
        <w:softHyphen/>
        <w:t>ти жизнь завода по определенному пути в интересах государства и в согласованных инте</w:t>
      </w:r>
      <w:r w:rsidRPr="002F2FDF">
        <w:rPr>
          <w:rFonts w:ascii="Times New Roman" w:hAnsi="Times New Roman" w:cs="Times New Roman"/>
          <w:color w:val="000000" w:themeColor="text1"/>
          <w:kern w:val="2"/>
          <w:sz w:val="16"/>
          <w:szCs w:val="16"/>
        </w:rPr>
        <w:softHyphen/>
        <w:t>ресах рабочих и администрации.</w:t>
      </w:r>
    </w:p>
    <w:p w14:paraId="79A566B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Вторым вопросом, имеющим чрезвычайно острый и серьезный характер, является вопрос о недоразумениях между администрацией и рабочими. Отсутствие правильно и однообразно организованных примирительных камер, цеховых и заводских, а также от</w:t>
      </w:r>
      <w:r w:rsidRPr="002F2FDF">
        <w:rPr>
          <w:rFonts w:ascii="Times New Roman" w:hAnsi="Times New Roman" w:cs="Times New Roman"/>
          <w:color w:val="000000" w:themeColor="text1"/>
          <w:kern w:val="2"/>
          <w:sz w:val="16"/>
          <w:szCs w:val="16"/>
        </w:rPr>
        <w:softHyphen/>
        <w:t>сутствие каких бы то ни было сведений об устройстве, составе и функционировании центральной примирительной камеры лишает возможности дать с уверенностью пра</w:t>
      </w:r>
      <w:r w:rsidRPr="002F2FDF">
        <w:rPr>
          <w:rFonts w:ascii="Times New Roman" w:hAnsi="Times New Roman" w:cs="Times New Roman"/>
          <w:color w:val="000000" w:themeColor="text1"/>
          <w:kern w:val="2"/>
          <w:sz w:val="16"/>
          <w:szCs w:val="16"/>
        </w:rPr>
        <w:softHyphen/>
        <w:t>вильное направление делу, ликвидации недоразумения и приводит к отрицательным результатам и расстройству заводской жизни.</w:t>
      </w:r>
    </w:p>
    <w:p w14:paraId="5962AF5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Третьим вопросом, требующим скорейшего разрешения, является вопрос о пересмотре положения и правил о найме, регулирующих все заводские отношения, всю заводскую жизнь. Вопрос о выдаче пособий мастеровым также должен быть разрешен на иных ос</w:t>
      </w:r>
      <w:r w:rsidRPr="002F2FDF">
        <w:rPr>
          <w:rFonts w:ascii="Times New Roman" w:hAnsi="Times New Roman" w:cs="Times New Roman"/>
          <w:color w:val="000000" w:themeColor="text1"/>
          <w:kern w:val="2"/>
          <w:sz w:val="16"/>
          <w:szCs w:val="16"/>
        </w:rPr>
        <w:softHyphen/>
        <w:t>нованиях, так как рассчитывать на штрафной фонд едва ли представляется теперь воз</w:t>
      </w:r>
      <w:r w:rsidRPr="002F2FDF">
        <w:rPr>
          <w:rFonts w:ascii="Times New Roman" w:hAnsi="Times New Roman" w:cs="Times New Roman"/>
          <w:color w:val="000000" w:themeColor="text1"/>
          <w:kern w:val="2"/>
          <w:sz w:val="16"/>
          <w:szCs w:val="16"/>
        </w:rPr>
        <w:softHyphen/>
        <w:t>можным.</w:t>
      </w:r>
    </w:p>
    <w:p w14:paraId="39EE227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Далее, четвертый вопрос — об изменении положения о пенсиях на случай увечья, болезни и за выслугу лет — требует также скорейшего разрешения.</w:t>
      </w:r>
    </w:p>
    <w:p w14:paraId="7FAD9C2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Затем, представляется необходимым наметить пути и изыскать средства для улучше</w:t>
      </w:r>
      <w:r w:rsidRPr="002F2FDF">
        <w:rPr>
          <w:rFonts w:ascii="Times New Roman" w:hAnsi="Times New Roman" w:cs="Times New Roman"/>
          <w:color w:val="000000" w:themeColor="text1"/>
          <w:kern w:val="2"/>
          <w:sz w:val="16"/>
          <w:szCs w:val="16"/>
        </w:rPr>
        <w:softHyphen/>
        <w:t>ния быта рабочих путем улучшения медицинской помощи, устройства продовольствен</w:t>
      </w:r>
      <w:r w:rsidRPr="002F2FDF">
        <w:rPr>
          <w:rFonts w:ascii="Times New Roman" w:hAnsi="Times New Roman" w:cs="Times New Roman"/>
          <w:color w:val="000000" w:themeColor="text1"/>
          <w:kern w:val="2"/>
          <w:sz w:val="16"/>
          <w:szCs w:val="16"/>
        </w:rPr>
        <w:softHyphen/>
        <w:t>ных лавок, школ, лекций, развлечений и проч.</w:t>
      </w:r>
    </w:p>
    <w:p w14:paraId="424C6B5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Одним из самых серьезных вопросов будет, несомненно, вопрос о том, чем будут заниматься государственные заводы, в случае если работы на оборону государства будут закончены.</w:t>
      </w:r>
    </w:p>
    <w:p w14:paraId="08BEED7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Основания перехода на частную работу, условия этой работы, характер работ необхо</w:t>
      </w:r>
      <w:r w:rsidRPr="002F2FDF">
        <w:rPr>
          <w:rFonts w:ascii="Times New Roman" w:hAnsi="Times New Roman" w:cs="Times New Roman"/>
          <w:color w:val="000000" w:themeColor="text1"/>
          <w:kern w:val="2"/>
          <w:sz w:val="16"/>
          <w:szCs w:val="16"/>
        </w:rPr>
        <w:softHyphen/>
        <w:t>димо определить теперь же, пока не поздно, пока можно подготовиться к организации новых производств, без перерыва и потрясения заводской жизни, в особенности в то время, когда на рабочем рынке освободится громадное количество свободных рук и на</w:t>
      </w:r>
      <w:r w:rsidRPr="002F2FDF">
        <w:rPr>
          <w:rFonts w:ascii="Times New Roman" w:hAnsi="Times New Roman" w:cs="Times New Roman"/>
          <w:color w:val="000000" w:themeColor="text1"/>
          <w:kern w:val="2"/>
          <w:sz w:val="16"/>
          <w:szCs w:val="16"/>
        </w:rPr>
        <w:softHyphen/>
        <w:t>ступит несомненная безработица. Все эти вопросы интересуют как саму заводскую ад</w:t>
      </w:r>
      <w:r w:rsidRPr="002F2FDF">
        <w:rPr>
          <w:rFonts w:ascii="Times New Roman" w:hAnsi="Times New Roman" w:cs="Times New Roman"/>
          <w:color w:val="000000" w:themeColor="text1"/>
          <w:kern w:val="2"/>
          <w:sz w:val="16"/>
          <w:szCs w:val="16"/>
        </w:rPr>
        <w:softHyphen/>
        <w:t xml:space="preserve">министрацию, так и рабочих, а потому — в интересах дела в целях выработки общих взглядов на вопросы, в целях объединения на общих решениях и выработки положений заводской жизни при наиболее широком освещении </w:t>
      </w:r>
      <w:r w:rsidRPr="002F2FDF">
        <w:rPr>
          <w:rFonts w:ascii="Times New Roman" w:hAnsi="Times New Roman" w:cs="Times New Roman"/>
          <w:color w:val="000000" w:themeColor="text1"/>
          <w:kern w:val="2"/>
          <w:sz w:val="16"/>
          <w:szCs w:val="16"/>
        </w:rPr>
        <w:lastRenderedPageBreak/>
        <w:t>вопросов — необходимо теперь же организовать съезды как технических руководителей заводов, так и представителей ра</w:t>
      </w:r>
      <w:r w:rsidRPr="002F2FDF">
        <w:rPr>
          <w:rFonts w:ascii="Times New Roman" w:hAnsi="Times New Roman" w:cs="Times New Roman"/>
          <w:color w:val="000000" w:themeColor="text1"/>
          <w:kern w:val="2"/>
          <w:sz w:val="16"/>
          <w:szCs w:val="16"/>
        </w:rPr>
        <w:softHyphen/>
        <w:t>бочих, которые должны подготовить данные для совместного обсуждения этих вопросов на соединенном собрании представителей рабочих и администрации.</w:t>
      </w:r>
    </w:p>
    <w:p w14:paraId="1FA856D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Съезд технических руководителей, а также и лиц, ведущих хозяйство заводов, необ</w:t>
      </w:r>
      <w:r w:rsidRPr="002F2FDF">
        <w:rPr>
          <w:rFonts w:ascii="Times New Roman" w:hAnsi="Times New Roman" w:cs="Times New Roman"/>
          <w:color w:val="000000" w:themeColor="text1"/>
          <w:kern w:val="2"/>
          <w:sz w:val="16"/>
          <w:szCs w:val="16"/>
        </w:rPr>
        <w:softHyphen/>
        <w:t>ходим также для разработки новых положений о технических заведениях, так как пре</w:t>
      </w:r>
      <w:r w:rsidRPr="002F2FDF">
        <w:rPr>
          <w:rFonts w:ascii="Times New Roman" w:hAnsi="Times New Roman" w:cs="Times New Roman"/>
          <w:color w:val="000000" w:themeColor="text1"/>
          <w:kern w:val="2"/>
          <w:sz w:val="16"/>
          <w:szCs w:val="16"/>
        </w:rPr>
        <w:softHyphen/>
        <w:t>жнее положение и до переворота не могло считаться удовлетворительным и, делая заво</w:t>
      </w:r>
      <w:r w:rsidRPr="002F2FDF">
        <w:rPr>
          <w:rFonts w:ascii="Times New Roman" w:hAnsi="Times New Roman" w:cs="Times New Roman"/>
          <w:color w:val="000000" w:themeColor="text1"/>
          <w:kern w:val="2"/>
          <w:sz w:val="16"/>
          <w:szCs w:val="16"/>
        </w:rPr>
        <w:softHyphen/>
        <w:t>ды недостаточно самостоятельными и гибкими, не способствовало здоровому развитию заводов, а ставило их по отношению к частным организованным заводам, несмотря на всю затрачиваемую энергию администрации, в чрезвычайно невыгодные условия.</w:t>
      </w:r>
    </w:p>
    <w:p w14:paraId="1818CFA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Мною затронуты только важнейшие вопросы заводской жизни, но полагаю, что съез</w:t>
      </w:r>
      <w:r w:rsidRPr="002F2FDF">
        <w:rPr>
          <w:rFonts w:ascii="Times New Roman" w:hAnsi="Times New Roman" w:cs="Times New Roman"/>
          <w:color w:val="000000" w:themeColor="text1"/>
          <w:kern w:val="2"/>
          <w:sz w:val="16"/>
          <w:szCs w:val="16"/>
        </w:rPr>
        <w:softHyphen/>
        <w:t>ды выдвинут еще целый ряд вопросов, требующих разъяснения.</w:t>
      </w:r>
    </w:p>
    <w:p w14:paraId="0AE1EC3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Подписал: Начальник Брянского арсенала и уполномоченный Главным артиллерийским управлением генерал-майор Банков. РГВИА. Ф. 366. Оп. 2. Д. 50. Л. 1-2 об. Завер. Копия (10707,669).</w:t>
      </w:r>
    </w:p>
    <w:p w14:paraId="182FD19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87B4D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A317E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BD08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мая 1917 группа 1БАГ понесла еще одну боевую потерю: “сегодня в 5 час 20 мин в воздушном бою над Подгайцами с 3 неприятельскими самоле</w:t>
      </w:r>
      <w:r w:rsidRPr="002F2FDF">
        <w:rPr>
          <w:rFonts w:ascii="Times New Roman" w:hAnsi="Times New Roman" w:cs="Times New Roman"/>
          <w:color w:val="000000" w:themeColor="text1"/>
          <w:kern w:val="2"/>
          <w:sz w:val="16"/>
          <w:szCs w:val="16"/>
        </w:rPr>
        <w:softHyphen/>
        <w:t>тами пал смертью героя (...) пра</w:t>
      </w:r>
      <w:r w:rsidRPr="002F2FDF">
        <w:rPr>
          <w:rFonts w:ascii="Times New Roman" w:hAnsi="Times New Roman" w:cs="Times New Roman"/>
          <w:color w:val="000000" w:themeColor="text1"/>
          <w:kern w:val="2"/>
          <w:sz w:val="16"/>
          <w:szCs w:val="16"/>
        </w:rPr>
        <w:softHyphen/>
        <w:t>порщик Кокорин”. Командир группы Казаков про</w:t>
      </w:r>
      <w:r w:rsidRPr="002F2FDF">
        <w:rPr>
          <w:rFonts w:ascii="Times New Roman" w:hAnsi="Times New Roman" w:cs="Times New Roman"/>
          <w:color w:val="000000" w:themeColor="text1"/>
          <w:kern w:val="2"/>
          <w:sz w:val="16"/>
          <w:szCs w:val="16"/>
        </w:rPr>
        <w:softHyphen/>
        <w:t>явил заботу о погибшем боевом то</w:t>
      </w:r>
      <w:r w:rsidRPr="002F2FDF">
        <w:rPr>
          <w:rFonts w:ascii="Times New Roman" w:hAnsi="Times New Roman" w:cs="Times New Roman"/>
          <w:color w:val="000000" w:themeColor="text1"/>
          <w:kern w:val="2"/>
          <w:sz w:val="16"/>
          <w:szCs w:val="16"/>
        </w:rPr>
        <w:softHyphen/>
        <w:t>варище и обратился к летчикам группы: “погибший летчик прапор</w:t>
      </w:r>
      <w:r w:rsidRPr="002F2FDF">
        <w:rPr>
          <w:rFonts w:ascii="Times New Roman" w:hAnsi="Times New Roman" w:cs="Times New Roman"/>
          <w:color w:val="000000" w:themeColor="text1"/>
          <w:kern w:val="2"/>
          <w:sz w:val="16"/>
          <w:szCs w:val="16"/>
        </w:rPr>
        <w:softHyphen/>
        <w:t>щик Кокорин оставил свою кресть</w:t>
      </w:r>
      <w:r w:rsidRPr="002F2FDF">
        <w:rPr>
          <w:rFonts w:ascii="Times New Roman" w:hAnsi="Times New Roman" w:cs="Times New Roman"/>
          <w:color w:val="000000" w:themeColor="text1"/>
          <w:kern w:val="2"/>
          <w:sz w:val="16"/>
          <w:szCs w:val="16"/>
        </w:rPr>
        <w:softHyphen/>
        <w:t>янскую семью в крайне тяжелом материальном положении. При жизни прапорщик Кокорин помогал своим родителям, давая возмож</w:t>
      </w:r>
      <w:r w:rsidRPr="002F2FDF">
        <w:rPr>
          <w:rFonts w:ascii="Times New Roman" w:hAnsi="Times New Roman" w:cs="Times New Roman"/>
          <w:color w:val="000000" w:themeColor="text1"/>
          <w:kern w:val="2"/>
          <w:sz w:val="16"/>
          <w:szCs w:val="16"/>
        </w:rPr>
        <w:softHyphen/>
        <w:t>ность сестре учиться на курсах. Бе</w:t>
      </w:r>
      <w:r w:rsidRPr="002F2FDF">
        <w:rPr>
          <w:rFonts w:ascii="Times New Roman" w:hAnsi="Times New Roman" w:cs="Times New Roman"/>
          <w:color w:val="000000" w:themeColor="text1"/>
          <w:kern w:val="2"/>
          <w:sz w:val="16"/>
          <w:szCs w:val="16"/>
        </w:rPr>
        <w:softHyphen/>
        <w:t>ру на себя смелость предложить офицерам отрядов (...) оказать де</w:t>
      </w:r>
      <w:r w:rsidRPr="002F2FDF">
        <w:rPr>
          <w:rFonts w:ascii="Times New Roman" w:hAnsi="Times New Roman" w:cs="Times New Roman"/>
          <w:color w:val="000000" w:themeColor="text1"/>
          <w:kern w:val="2"/>
          <w:sz w:val="16"/>
          <w:szCs w:val="16"/>
        </w:rPr>
        <w:softHyphen/>
        <w:t>нежную помощь семье погибшего героя. Решено было собрать день</w:t>
      </w:r>
      <w:r w:rsidRPr="002F2FDF">
        <w:rPr>
          <w:rFonts w:ascii="Times New Roman" w:hAnsi="Times New Roman" w:cs="Times New Roman"/>
          <w:color w:val="000000" w:themeColor="text1"/>
          <w:kern w:val="2"/>
          <w:sz w:val="16"/>
          <w:szCs w:val="16"/>
        </w:rPr>
        <w:softHyphen/>
        <w:t>ги на единовременное пособие с ближайшего месячного жалования (3954).</w:t>
      </w:r>
    </w:p>
    <w:p w14:paraId="6A035D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D2A09B" w14:textId="390F605F" w:rsidR="00A616FB" w:rsidRPr="00FB4F67" w:rsidRDefault="00A616F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16 (</w:t>
      </w:r>
      <w:r w:rsidRPr="00FB4F67">
        <w:rPr>
          <w:rFonts w:ascii="Times New Roman" w:hAnsi="Times New Roman" w:cs="Times New Roman"/>
          <w:color w:val="0070C0"/>
          <w:sz w:val="16"/>
          <w:szCs w:val="16"/>
        </w:rPr>
        <w:t>29</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мая 1917 г. в неравном бою с вражеской авиагруппой (5 самолетов) погиб прапорщик Н.К. Кокорин (23405).</w:t>
      </w:r>
    </w:p>
    <w:p w14:paraId="46683DD0" w14:textId="77777777" w:rsidR="00A616FB" w:rsidRPr="00FB4F67" w:rsidRDefault="00A616FB" w:rsidP="0083075A">
      <w:pPr>
        <w:spacing w:after="0" w:line="240" w:lineRule="auto"/>
        <w:jc w:val="both"/>
        <w:rPr>
          <w:rFonts w:ascii="Times New Roman" w:hAnsi="Times New Roman" w:cs="Times New Roman"/>
          <w:color w:val="0070C0"/>
          <w:sz w:val="16"/>
          <w:szCs w:val="16"/>
        </w:rPr>
      </w:pPr>
    </w:p>
    <w:p w14:paraId="1E37D9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мая 1917 в воздушном бою с пятью немецкими самолетами в районе местечко Подгайцы погиб л 4 као пор. Н.К.Кокорин (438,357).</w:t>
      </w:r>
    </w:p>
    <w:p w14:paraId="5F9123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04EF4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мая 1917 в воздушном бою с пятью немецкими самолетами в районе местечка Подгэйцы погиб военной летчик 4 КАО под</w:t>
      </w:r>
      <w:r w:rsidRPr="002F2FDF">
        <w:rPr>
          <w:rFonts w:ascii="Times New Roman" w:hAnsi="Times New Roman" w:cs="Times New Roman"/>
          <w:color w:val="000000" w:themeColor="text1"/>
          <w:kern w:val="2"/>
          <w:sz w:val="16"/>
          <w:szCs w:val="16"/>
        </w:rPr>
        <w:softHyphen/>
        <w:t>поручик Николай Кириллович Кокорин (родился в 1889),Кокорин окончил в 1915 г.оду школу МОВ и вскоре отличился на фронте, сбив в короткое время пять самолетов противника, За боевые отличия был награжден четырьмя георгиевскими крестами и произведен в чин подпоручика. ("Русский инвалид"."Новое время” 1917 г. 18 мая).</w:t>
      </w:r>
    </w:p>
    <w:p w14:paraId="7E5D807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F82D87" w14:textId="77777777" w:rsidR="00610AA6" w:rsidRPr="00815ED5" w:rsidRDefault="00610AA6"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16 </w:t>
      </w:r>
      <w:r w:rsidRPr="009E53B0">
        <w:rPr>
          <w:rFonts w:ascii="Times New Roman" w:hAnsi="Times New Roman" w:cs="Times New Roman"/>
          <w:color w:val="0070C0"/>
          <w:sz w:val="16"/>
          <w:szCs w:val="16"/>
        </w:rPr>
        <w:t xml:space="preserve">(29) </w:t>
      </w:r>
      <w:r w:rsidRPr="00815ED5">
        <w:rPr>
          <w:rFonts w:ascii="Times New Roman" w:hAnsi="Times New Roman" w:cs="Times New Roman"/>
          <w:color w:val="0070C0"/>
          <w:sz w:val="16"/>
          <w:szCs w:val="16"/>
        </w:rPr>
        <w:t>мая</w:t>
      </w:r>
      <w:r w:rsidRPr="009E53B0">
        <w:rPr>
          <w:rFonts w:ascii="Times New Roman" w:hAnsi="Times New Roman" w:cs="Times New Roman"/>
          <w:color w:val="0070C0"/>
          <w:sz w:val="16"/>
          <w:szCs w:val="16"/>
        </w:rPr>
        <w:t xml:space="preserve"> 1914 </w:t>
      </w:r>
      <w:r>
        <w:rPr>
          <w:rFonts w:ascii="Times New Roman" w:hAnsi="Times New Roman" w:cs="Times New Roman"/>
          <w:color w:val="0070C0"/>
          <w:sz w:val="16"/>
          <w:szCs w:val="16"/>
        </w:rPr>
        <w:t>г</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 xml:space="preserve"> воздушном бою о пятью немецкими самолетами в районе  </w:t>
      </w:r>
      <w:r>
        <w:rPr>
          <w:rFonts w:ascii="Times New Roman" w:hAnsi="Times New Roman" w:cs="Times New Roman"/>
          <w:color w:val="0070C0"/>
          <w:sz w:val="16"/>
          <w:szCs w:val="16"/>
        </w:rPr>
        <w:t>м</w:t>
      </w:r>
      <w:r w:rsidRPr="00815ED5">
        <w:rPr>
          <w:rFonts w:ascii="Times New Roman" w:hAnsi="Times New Roman" w:cs="Times New Roman"/>
          <w:color w:val="0070C0"/>
          <w:sz w:val="16"/>
          <w:szCs w:val="16"/>
        </w:rPr>
        <w:t>. Под гайцы погиб военный летчик 4 КАО подпоручик Николай Кирилл</w:t>
      </w:r>
      <w:r>
        <w:rPr>
          <w:rFonts w:ascii="Times New Roman" w:hAnsi="Times New Roman" w:cs="Times New Roman"/>
          <w:color w:val="0070C0"/>
          <w:sz w:val="16"/>
          <w:szCs w:val="16"/>
        </w:rPr>
        <w:t>о</w:t>
      </w:r>
      <w:r w:rsidRPr="00815ED5">
        <w:rPr>
          <w:rFonts w:ascii="Times New Roman" w:hAnsi="Times New Roman" w:cs="Times New Roman"/>
          <w:color w:val="0070C0"/>
          <w:sz w:val="16"/>
          <w:szCs w:val="16"/>
        </w:rPr>
        <w:t xml:space="preserve">вич Кокорин /род. </w:t>
      </w:r>
      <w:r>
        <w:rPr>
          <w:rFonts w:ascii="Times New Roman" w:hAnsi="Times New Roman" w:cs="Times New Roman"/>
          <w:color w:val="0070C0"/>
          <w:sz w:val="16"/>
          <w:szCs w:val="16"/>
        </w:rPr>
        <w:t>1889</w:t>
      </w:r>
      <w:r w:rsidRPr="00815ED5">
        <w:rPr>
          <w:rFonts w:ascii="Times New Roman" w:hAnsi="Times New Roman" w:cs="Times New Roman"/>
          <w:color w:val="0070C0"/>
          <w:sz w:val="16"/>
          <w:szCs w:val="16"/>
        </w:rPr>
        <w:t xml:space="preserve">/.Кокорин окончил в 1915 году школу </w:t>
      </w:r>
      <w:r>
        <w:rPr>
          <w:rFonts w:ascii="Times New Roman" w:hAnsi="Times New Roman" w:cs="Times New Roman"/>
          <w:color w:val="0070C0"/>
          <w:sz w:val="16"/>
          <w:szCs w:val="16"/>
        </w:rPr>
        <w:t>М</w:t>
      </w:r>
      <w:r w:rsidRPr="00815ED5">
        <w:rPr>
          <w:rFonts w:ascii="Times New Roman" w:hAnsi="Times New Roman" w:cs="Times New Roman"/>
          <w:color w:val="0070C0"/>
          <w:sz w:val="16"/>
          <w:szCs w:val="16"/>
        </w:rPr>
        <w:t>ОВ и вскоре отличился на фронте, сбив в короткое время пять самолетов противника.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За боевые отличия был награжден четырьмя георгиевскими крестами и произведен в чин подпоручика</w:t>
      </w:r>
      <w:r>
        <w:rPr>
          <w:rFonts w:ascii="Times New Roman" w:hAnsi="Times New Roman" w:cs="Times New Roman"/>
          <w:color w:val="0070C0"/>
          <w:sz w:val="16"/>
          <w:szCs w:val="16"/>
        </w:rPr>
        <w:t>.</w:t>
      </w:r>
    </w:p>
    <w:p w14:paraId="26F743A0" w14:textId="77777777" w:rsidR="00610AA6" w:rsidRDefault="00610AA6"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Р</w:t>
      </w:r>
      <w:r w:rsidRPr="00815ED5">
        <w:rPr>
          <w:rFonts w:ascii="Times New Roman" w:hAnsi="Times New Roman" w:cs="Times New Roman"/>
          <w:color w:val="0070C0"/>
          <w:sz w:val="16"/>
          <w:szCs w:val="16"/>
        </w:rPr>
        <w:t>усский инвалид</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и ’’Новое время” за 13 мая 1917/</w:t>
      </w:r>
      <w:r>
        <w:rPr>
          <w:rFonts w:ascii="Times New Roman" w:hAnsi="Times New Roman" w:cs="Times New Roman"/>
          <w:color w:val="0070C0"/>
          <w:sz w:val="16"/>
          <w:szCs w:val="16"/>
        </w:rPr>
        <w:t xml:space="preserve"> (23320)ю</w:t>
      </w:r>
    </w:p>
    <w:p w14:paraId="76EA11B6" w14:textId="77777777" w:rsidR="00610AA6" w:rsidRPr="00815ED5" w:rsidRDefault="00610AA6" w:rsidP="0083075A">
      <w:pPr>
        <w:spacing w:after="0" w:line="240" w:lineRule="auto"/>
        <w:jc w:val="both"/>
        <w:rPr>
          <w:rFonts w:ascii="Times New Roman" w:hAnsi="Times New Roman" w:cs="Times New Roman"/>
          <w:color w:val="0070C0"/>
          <w:sz w:val="16"/>
          <w:szCs w:val="16"/>
        </w:rPr>
      </w:pPr>
    </w:p>
    <w:p w14:paraId="64163C1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40CC0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4CA4D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мая 1917 Кронштадсткий Совет постановил упразднить должность комиссара Временного правительства в Кронштадте (4962).</w:t>
      </w:r>
    </w:p>
    <w:p w14:paraId="6F5D241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3FACC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CD511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1CDE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мая 1917 в номере отеля в Вашингтоне J. G. Vincent из Packard Motor Car Company и E. J. Hall из Hall-Scott Motor Car Company началась разработка 8- и 12-цилиндровых моторов Либерти, базирующихся на традиционной инженерной практике, специально приспособленной к массовому производству (1090).</w:t>
      </w:r>
    </w:p>
    <w:p w14:paraId="2F91B4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C40CE6" w14:textId="77777777" w:rsidR="007B636A" w:rsidRPr="002F2FDF" w:rsidRDefault="007B636A" w:rsidP="0083075A">
      <w:pPr>
        <w:pStyle w:val="ae"/>
        <w:spacing w:before="0" w:after="0"/>
        <w:jc w:val="both"/>
        <w:rPr>
          <w:color w:val="000000" w:themeColor="text1"/>
          <w:kern w:val="2"/>
          <w:sz w:val="16"/>
          <w:szCs w:val="16"/>
        </w:rPr>
      </w:pPr>
      <w:r w:rsidRPr="002F2FDF">
        <w:rPr>
          <w:color w:val="000000" w:themeColor="text1"/>
          <w:kern w:val="2"/>
          <w:sz w:val="16"/>
          <w:szCs w:val="16"/>
        </w:rPr>
        <w:t>16 (29) мая 1917 итальянские войска прекратили атаки на австрийские позиции в районе реки Изонцо у северного побережья Адриатического моря. В отличие от девяти предыдущих наступлений в этой местности, которые окончились неудачей, на этот раз итальянцам удалось добиться тактических успехов. Военный историк Зайончковский так описывает итоги этой битвы: «Итальянцам удалось здесь, в десятой битве на Изонцо, завладеть первой и отчасти второй линиями австрийских укреплений и западными склонами горного массива Гермада, этой естественной цитадели на пути к Триесту». В ходе всей Десятой битвы при Изонцо с 14 мая итальянцы потеряли 36 тысяч человек убитыми, 96 тысяч ранеными, 25 тысяч пленными, австрийцы — 100 тысяч убитыми и ранеными, 24 тысячи пленными (17045).</w:t>
      </w:r>
    </w:p>
    <w:p w14:paraId="132F8FBA" w14:textId="77777777" w:rsidR="007B636A" w:rsidRPr="002F2FDF" w:rsidRDefault="007B636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2F119C" w14:textId="6C59B6D8" w:rsidR="00A616FB" w:rsidRDefault="00A616F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777042EA" w14:textId="77777777" w:rsidR="00A616FB" w:rsidRDefault="00A616F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8C3FEA0" w14:textId="67F42452" w:rsidR="00A616FB" w:rsidRPr="00FB4F67" w:rsidRDefault="00A616F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17 (</w:t>
      </w:r>
      <w:r w:rsidRPr="00FB4F67">
        <w:rPr>
          <w:rFonts w:ascii="Times New Roman" w:hAnsi="Times New Roman" w:cs="Times New Roman"/>
          <w:color w:val="0070C0"/>
          <w:sz w:val="16"/>
          <w:szCs w:val="16"/>
        </w:rPr>
        <w:t>30</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мая 1917 г. состоялся крупный налет на важный прифронтовой пункт (Подгайцы), в котором приняло участие пять вражеских самолетов, которые сбросили около 40 бомб (без особого вреда).</w:t>
      </w:r>
    </w:p>
    <w:p w14:paraId="020BFE18" w14:textId="77777777" w:rsidR="00A616FB" w:rsidRPr="00FB4F67" w:rsidRDefault="00A616F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Последние весенние месяцы оказались очень насыщенным периодом на бои в воздушном пространстве, которые нашли отражение в оперативных сводках и сообщениях из Ставки ВГК (23405).</w:t>
      </w:r>
    </w:p>
    <w:p w14:paraId="211F9A84" w14:textId="77777777" w:rsidR="00A616FB" w:rsidRPr="00FB4F67" w:rsidRDefault="00A616FB" w:rsidP="0083075A">
      <w:pPr>
        <w:spacing w:after="0" w:line="240" w:lineRule="auto"/>
        <w:jc w:val="both"/>
        <w:rPr>
          <w:rFonts w:ascii="Times New Roman" w:hAnsi="Times New Roman" w:cs="Times New Roman"/>
          <w:color w:val="0070C0"/>
          <w:sz w:val="16"/>
          <w:szCs w:val="16"/>
        </w:rPr>
      </w:pPr>
    </w:p>
    <w:p w14:paraId="22A98094" w14:textId="78C34D0F"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2F2FDF">
        <w:rPr>
          <w:rFonts w:ascii="Times New Roman" w:hAnsi="Times New Roman" w:cs="Times New Roman"/>
          <w:i/>
          <w:iCs/>
          <w:color w:val="000000" w:themeColor="text1"/>
          <w:kern w:val="2"/>
          <w:sz w:val="16"/>
          <w:szCs w:val="16"/>
        </w:rPr>
        <w:t>За</w:t>
      </w:r>
      <w:r w:rsidRPr="002F2FDF">
        <w:rPr>
          <w:rFonts w:ascii="Times New Roman" w:hAnsi="Times New Roman" w:cs="Times New Roman"/>
          <w:i/>
          <w:iCs/>
          <w:color w:val="000000" w:themeColor="text1"/>
          <w:kern w:val="2"/>
          <w:sz w:val="16"/>
          <w:szCs w:val="16"/>
          <w:lang w:val="en-US"/>
        </w:rPr>
        <w:t xml:space="preserve"> </w:t>
      </w:r>
      <w:r w:rsidRPr="002F2FDF">
        <w:rPr>
          <w:rFonts w:ascii="Times New Roman" w:hAnsi="Times New Roman" w:cs="Times New Roman"/>
          <w:i/>
          <w:iCs/>
          <w:color w:val="000000" w:themeColor="text1"/>
          <w:kern w:val="2"/>
          <w:sz w:val="16"/>
          <w:szCs w:val="16"/>
        </w:rPr>
        <w:t>рубежом</w:t>
      </w:r>
      <w:r w:rsidRPr="002F2FDF">
        <w:rPr>
          <w:rFonts w:ascii="Times New Roman" w:hAnsi="Times New Roman" w:cs="Times New Roman"/>
          <w:i/>
          <w:iCs/>
          <w:color w:val="000000" w:themeColor="text1"/>
          <w:kern w:val="2"/>
          <w:sz w:val="16"/>
          <w:szCs w:val="16"/>
          <w:lang w:val="en-US"/>
        </w:rPr>
        <w:t>:</w:t>
      </w:r>
    </w:p>
    <w:p w14:paraId="5BB675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01C57648" w14:textId="34B9B9D1"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 xml:space="preserve">May </w:t>
      </w:r>
      <w:r w:rsidR="00AB0807" w:rsidRPr="00AB0807">
        <w:rPr>
          <w:rFonts w:ascii="Times New Roman" w:hAnsi="Times New Roman" w:cs="Times New Roman"/>
          <w:color w:val="000000" w:themeColor="text1"/>
          <w:kern w:val="2"/>
          <w:sz w:val="16"/>
          <w:szCs w:val="16"/>
          <w:lang w:val="en-US"/>
        </w:rPr>
        <w:t>17 (</w:t>
      </w:r>
      <w:r w:rsidRPr="002F2FDF">
        <w:rPr>
          <w:rFonts w:ascii="Times New Roman" w:hAnsi="Times New Roman" w:cs="Times New Roman"/>
          <w:color w:val="000000" w:themeColor="text1"/>
          <w:kern w:val="2"/>
          <w:sz w:val="16"/>
          <w:szCs w:val="16"/>
          <w:lang w:val="en-US"/>
        </w:rPr>
        <w:t>30</w:t>
      </w:r>
      <w:r w:rsidR="00AB0807" w:rsidRPr="00AB0807">
        <w:rPr>
          <w:rFonts w:ascii="Times New Roman" w:hAnsi="Times New Roman" w:cs="Times New Roman"/>
          <w:color w:val="000000" w:themeColor="text1"/>
          <w:kern w:val="2"/>
          <w:sz w:val="16"/>
          <w:szCs w:val="16"/>
          <w:lang w:val="en-US"/>
        </w:rPr>
        <w:t>)</w:t>
      </w:r>
      <w:r w:rsidRPr="002F2FDF">
        <w:rPr>
          <w:rFonts w:ascii="Times New Roman" w:hAnsi="Times New Roman" w:cs="Times New Roman"/>
          <w:color w:val="000000" w:themeColor="text1"/>
          <w:kern w:val="2"/>
          <w:sz w:val="16"/>
          <w:szCs w:val="16"/>
          <w:lang w:val="en-US"/>
        </w:rPr>
        <w:t xml:space="preserve"> 1917 The Navy's first successful dirigible, the B-1, landed in a meadow 10 miles from Akron, Ohio, completing an overnight test flight from Chicago. The B-1 was manufactured at Akron by Goodyear, assembled in Chicago, and piloted on this flight by Goodyear pilot, R. H. Upson,(1090).</w:t>
      </w:r>
    </w:p>
    <w:p w14:paraId="0F575B09"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54C28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мая 1917 первый удачный дирижабль ВМС США В-1 фирмы &lt;Гудиир&gt; совершил свой первый полет из Чикаго (штат Иллинойс) в Уингфут, расположенный неподалеку от Акрона (штат Огайо).</w:t>
      </w:r>
    </w:p>
    <w:p w14:paraId="75BCE0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0E8C7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B2E8D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F7B8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w:t>
      </w:r>
      <w:r w:rsidR="00731D28" w:rsidRPr="002F2FDF">
        <w:rPr>
          <w:rFonts w:ascii="Times New Roman" w:hAnsi="Times New Roman" w:cs="Times New Roman"/>
          <w:color w:val="000000" w:themeColor="text1"/>
          <w:kern w:val="2"/>
          <w:sz w:val="16"/>
          <w:szCs w:val="16"/>
        </w:rPr>
        <w:t>1</w:t>
      </w:r>
      <w:r w:rsidRPr="002F2FDF">
        <w:rPr>
          <w:rFonts w:ascii="Times New Roman" w:hAnsi="Times New Roman" w:cs="Times New Roman"/>
          <w:color w:val="000000" w:themeColor="text1"/>
          <w:kern w:val="2"/>
          <w:sz w:val="16"/>
          <w:szCs w:val="16"/>
        </w:rPr>
        <w:t>) мая 1917 Е.Н. Крутень сбил самолет (5150, 7).</w:t>
      </w:r>
    </w:p>
    <w:p w14:paraId="617B4A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D2D4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18 </w:t>
      </w:r>
      <w:r w:rsidR="00731D28" w:rsidRPr="002F2FDF">
        <w:rPr>
          <w:rFonts w:ascii="Times New Roman" w:hAnsi="Times New Roman" w:cs="Times New Roman"/>
          <w:color w:val="000000" w:themeColor="text1"/>
          <w:kern w:val="2"/>
          <w:sz w:val="16"/>
          <w:szCs w:val="16"/>
        </w:rPr>
        <w:t xml:space="preserve">(31) </w:t>
      </w:r>
      <w:r w:rsidRPr="002F2FDF">
        <w:rPr>
          <w:rFonts w:ascii="Times New Roman" w:hAnsi="Times New Roman" w:cs="Times New Roman"/>
          <w:color w:val="000000" w:themeColor="text1"/>
          <w:kern w:val="2"/>
          <w:sz w:val="16"/>
          <w:szCs w:val="16"/>
        </w:rPr>
        <w:t>мая 1917 г. летчики Балтийского флота мичманы Р. Н. Кроун и Н. В. Румянцев на двух гидросамолетах провели воздушный бой с двумя немецкими истребителями "Фоккер". Вследствие ранения Румянцев вынужден был приводниться. Заметив это, мичман Кроун произвёл посадку рядом с самолетом Румянцева, поднял его и механика под обстрелом кружившихся над ним "Фоккеров", и доставил их на берег (11928).</w:t>
      </w:r>
    </w:p>
    <w:p w14:paraId="203A2D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38DEBA" w14:textId="30F01AD7" w:rsidR="00BD50E8" w:rsidRPr="002F2FDF" w:rsidRDefault="00BD50E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18 </w:t>
      </w:r>
      <w:r w:rsidR="00AB0807">
        <w:rPr>
          <w:rFonts w:ascii="Times New Roman" w:hAnsi="Times New Roman" w:cs="Times New Roman"/>
          <w:color w:val="000000" w:themeColor="text1"/>
          <w:sz w:val="16"/>
          <w:szCs w:val="16"/>
        </w:rPr>
        <w:t xml:space="preserve">(31) </w:t>
      </w:r>
      <w:r w:rsidRPr="002F2FDF">
        <w:rPr>
          <w:rFonts w:ascii="Times New Roman" w:hAnsi="Times New Roman" w:cs="Times New Roman"/>
          <w:color w:val="000000" w:themeColor="text1"/>
          <w:sz w:val="16"/>
          <w:szCs w:val="16"/>
        </w:rPr>
        <w:t>мая 1917 в 9.15 на Юго-Западном фронте в воз</w:t>
      </w:r>
      <w:r w:rsidRPr="002F2FDF">
        <w:rPr>
          <w:rFonts w:ascii="Times New Roman" w:hAnsi="Times New Roman" w:cs="Times New Roman"/>
          <w:color w:val="000000" w:themeColor="text1"/>
          <w:sz w:val="16"/>
          <w:szCs w:val="16"/>
        </w:rPr>
        <w:softHyphen/>
        <w:t>дух поднялся аэростат 3-го Кавказского отряда с наблюдателем прапорщиком Абрамовым. Че</w:t>
      </w:r>
      <w:r w:rsidRPr="002F2FDF">
        <w:rPr>
          <w:rFonts w:ascii="Times New Roman" w:hAnsi="Times New Roman" w:cs="Times New Roman"/>
          <w:color w:val="000000" w:themeColor="text1"/>
          <w:sz w:val="16"/>
          <w:szCs w:val="16"/>
        </w:rPr>
        <w:softHyphen/>
        <w:t>рез полчаса его атаковал неприятельский само</w:t>
      </w:r>
      <w:r w:rsidRPr="002F2FDF">
        <w:rPr>
          <w:rFonts w:ascii="Times New Roman" w:hAnsi="Times New Roman" w:cs="Times New Roman"/>
          <w:color w:val="000000" w:themeColor="text1"/>
          <w:sz w:val="16"/>
          <w:szCs w:val="16"/>
        </w:rPr>
        <w:softHyphen/>
        <w:t>лёт, обстрелявший оболочку и корзину наблю</w:t>
      </w:r>
      <w:r w:rsidRPr="002F2FDF">
        <w:rPr>
          <w:rFonts w:ascii="Times New Roman" w:hAnsi="Times New Roman" w:cs="Times New Roman"/>
          <w:color w:val="000000" w:themeColor="text1"/>
          <w:sz w:val="16"/>
          <w:szCs w:val="16"/>
        </w:rPr>
        <w:softHyphen/>
        <w:t>дателя. Первую атаку отбили ружейным огнём с земли, но при втором заходе лётчик прорвался через заслон и поджёг аэростат. Абрамов, всегда отказывавшийся брать с собой парашют, разбил</w:t>
      </w:r>
      <w:r w:rsidRPr="002F2FDF">
        <w:rPr>
          <w:rFonts w:ascii="Times New Roman" w:hAnsi="Times New Roman" w:cs="Times New Roman"/>
          <w:color w:val="000000" w:themeColor="text1"/>
          <w:sz w:val="16"/>
          <w:szCs w:val="16"/>
        </w:rPr>
        <w:softHyphen/>
        <w:t>ся насмерть (20120).</w:t>
      </w:r>
    </w:p>
    <w:p w14:paraId="75C55AC3" w14:textId="77777777" w:rsidR="00BD50E8" w:rsidRPr="002F2FDF" w:rsidRDefault="00BD50E8" w:rsidP="0083075A">
      <w:pPr>
        <w:spacing w:after="0" w:line="240" w:lineRule="auto"/>
        <w:jc w:val="both"/>
        <w:rPr>
          <w:rFonts w:ascii="Times New Roman" w:hAnsi="Times New Roman" w:cs="Times New Roman"/>
          <w:color w:val="000000" w:themeColor="text1"/>
          <w:sz w:val="16"/>
          <w:szCs w:val="16"/>
        </w:rPr>
      </w:pPr>
    </w:p>
    <w:p w14:paraId="72F8814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28432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8B50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w:t>
      </w:r>
      <w:r w:rsidR="00731D28" w:rsidRPr="002F2FDF">
        <w:rPr>
          <w:rFonts w:ascii="Times New Roman" w:hAnsi="Times New Roman" w:cs="Times New Roman"/>
          <w:color w:val="000000" w:themeColor="text1"/>
          <w:kern w:val="2"/>
          <w:sz w:val="16"/>
          <w:szCs w:val="16"/>
        </w:rPr>
        <w:t>1</w:t>
      </w:r>
      <w:r w:rsidRPr="002F2FDF">
        <w:rPr>
          <w:rFonts w:ascii="Times New Roman" w:hAnsi="Times New Roman" w:cs="Times New Roman"/>
          <w:color w:val="000000" w:themeColor="text1"/>
          <w:kern w:val="2"/>
          <w:sz w:val="16"/>
          <w:szCs w:val="16"/>
        </w:rPr>
        <w:t>) мая 1917 первый успешный дирижабль флота США Б-1 совершил посадку на лугу в 10 милях от Akron, Ohio после совершения ночного полета из Чикаго., completing an overnight test flight from Chicago. Б-1 был изготовлен в Akron фирмой Goodyear, собран в Chicago и управлялся пилотом фирмы Goodyear R. H. Upson (1090).</w:t>
      </w:r>
    </w:p>
    <w:p w14:paraId="4F8FA6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B8BD7B" w14:textId="07A11178" w:rsidR="00CA46D5" w:rsidRDefault="00CA46D5"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Авиапромышленность:</w:t>
      </w:r>
    </w:p>
    <w:p w14:paraId="1A455011" w14:textId="77777777" w:rsidR="00CA46D5" w:rsidRDefault="00CA46D5"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4ED91A67" w14:textId="77777777" w:rsidR="00CA46D5" w:rsidRPr="00FB4F67" w:rsidRDefault="00CA46D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 июня 1917 года завод Матиас получил заказ на 100 Farman 30, а 26 июля 1917 года - заказ на 200 Spad 12, но сколько было построено на самом деле неизвестно. Фабрика И. Матиаса, основанная в 1884 году, производила мебель в Бердянске на Азовском море. В 1916 году он был переоборудован для постройки самолетов, когда поступил заказ от Военного министерства на учебно-тренировочные самолеты «Фарман ХХХ». Шесть из них были выпущены в 1917 году.</w:t>
      </w:r>
    </w:p>
    <w:p w14:paraId="79D6C60B" w14:textId="77777777" w:rsidR="00CA46D5" w:rsidRPr="00FB4F67" w:rsidRDefault="00CA46D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Фабрика была разрушена во время Гражданской войны (23525).</w:t>
      </w:r>
    </w:p>
    <w:p w14:paraId="3F789207" w14:textId="77777777" w:rsidR="00CA46D5" w:rsidRPr="00FB4F67" w:rsidRDefault="00CA46D5" w:rsidP="0083075A">
      <w:pPr>
        <w:spacing w:after="0" w:line="240" w:lineRule="auto"/>
        <w:jc w:val="both"/>
        <w:rPr>
          <w:rFonts w:ascii="Times New Roman" w:hAnsi="Times New Roman" w:cs="Times New Roman"/>
          <w:color w:val="0070C0"/>
          <w:sz w:val="16"/>
          <w:szCs w:val="16"/>
        </w:rPr>
      </w:pPr>
    </w:p>
    <w:p w14:paraId="54FD6D91" w14:textId="5149E0E3"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9612E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4710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 мая </w:t>
      </w:r>
      <w:r w:rsidR="00731D28" w:rsidRPr="002F2FDF">
        <w:rPr>
          <w:rFonts w:ascii="Times New Roman" w:hAnsi="Times New Roman" w:cs="Times New Roman"/>
          <w:color w:val="000000" w:themeColor="text1"/>
          <w:kern w:val="2"/>
          <w:sz w:val="16"/>
          <w:szCs w:val="16"/>
        </w:rPr>
        <w:t xml:space="preserve">(1 июня) </w:t>
      </w:r>
      <w:r w:rsidRPr="002F2FDF">
        <w:rPr>
          <w:rFonts w:ascii="Times New Roman" w:hAnsi="Times New Roman" w:cs="Times New Roman"/>
          <w:color w:val="000000" w:themeColor="text1"/>
          <w:kern w:val="2"/>
          <w:sz w:val="16"/>
          <w:szCs w:val="16"/>
        </w:rPr>
        <w:t>1917 началось наступление русских армий на ЮЗФ с рубежа Поморжаны, Бережаны. 11А и 7А нанесли удары на Львов (3398,228).</w:t>
      </w:r>
    </w:p>
    <w:p w14:paraId="0157F1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C9A374" w14:textId="74D58579" w:rsidR="006B07EF" w:rsidRPr="00FB4F67" w:rsidRDefault="006B07EF"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19-26 мая (в</w:t>
      </w:r>
      <w:r w:rsidRPr="00FB4F67">
        <w:rPr>
          <w:rFonts w:ascii="Times New Roman" w:hAnsi="Times New Roman" w:cs="Times New Roman"/>
          <w:color w:val="0070C0"/>
          <w:sz w:val="16"/>
          <w:szCs w:val="16"/>
        </w:rPr>
        <w:t xml:space="preserve"> течение 1-6 июня </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1917 г. командир 2-й БАГ капитан Е.Н. Кру-тень записал на свой счет две воздушные победы. Первый вражеский аэроплан после короткого боя загорелся в воздухе и рухнул на землю возле д. Вымысловки (25 км западнее Тарнополя). Второй неприятельский самолет русский летчик уничтожил в результате атаки </w:t>
      </w:r>
      <w:bookmarkStart w:id="127" w:name="bookmark801"/>
      <w:r w:rsidRPr="00FB4F67">
        <w:rPr>
          <w:rFonts w:ascii="Times New Roman" w:hAnsi="Times New Roman" w:cs="Times New Roman"/>
          <w:color w:val="0070C0"/>
          <w:sz w:val="16"/>
          <w:szCs w:val="16"/>
        </w:rPr>
        <w:t>им авиагруппы противника (3 аппарата). Самолет упал в расположении наших войск, раненые летчики взяты в плен (23405).</w:t>
      </w:r>
      <w:bookmarkEnd w:id="127"/>
    </w:p>
    <w:p w14:paraId="15905E3A" w14:textId="77777777" w:rsidR="006B07EF" w:rsidRPr="00FB4F67" w:rsidRDefault="006B07EF" w:rsidP="0083075A">
      <w:pPr>
        <w:spacing w:after="0" w:line="240" w:lineRule="auto"/>
        <w:jc w:val="both"/>
        <w:rPr>
          <w:rFonts w:ascii="Times New Roman" w:hAnsi="Times New Roman" w:cs="Times New Roman"/>
          <w:color w:val="0070C0"/>
          <w:sz w:val="16"/>
          <w:szCs w:val="16"/>
        </w:rPr>
      </w:pPr>
    </w:p>
    <w:p w14:paraId="111A1AB5" w14:textId="776BFBAC" w:rsidR="006B07EF" w:rsidRPr="00FB4F67" w:rsidRDefault="006B07EF"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19 мая (</w:t>
      </w:r>
      <w:r w:rsidRPr="00FB4F67">
        <w:rPr>
          <w:rFonts w:ascii="Times New Roman" w:hAnsi="Times New Roman" w:cs="Times New Roman"/>
          <w:color w:val="0070C0"/>
          <w:sz w:val="16"/>
          <w:szCs w:val="16"/>
        </w:rPr>
        <w:t>1 июня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нашей артиллерией был подбит неприятельский самолет, упавший за первой линией вражеских окопов у д. Богуше (северо-восточнее Крево). Через день огнем с земли в районе оз. Нобель сбит очередной аппарат противника, который упал на территорию, занятой германскими войсками (23405).</w:t>
      </w:r>
    </w:p>
    <w:p w14:paraId="317F3FD6" w14:textId="77777777" w:rsidR="006B07EF" w:rsidRPr="00FB4F67" w:rsidRDefault="006B07EF" w:rsidP="0083075A">
      <w:pPr>
        <w:spacing w:after="0" w:line="240" w:lineRule="auto"/>
        <w:jc w:val="both"/>
        <w:rPr>
          <w:rFonts w:ascii="Times New Roman" w:hAnsi="Times New Roman" w:cs="Times New Roman"/>
          <w:color w:val="0070C0"/>
          <w:sz w:val="16"/>
          <w:szCs w:val="16"/>
        </w:rPr>
      </w:pPr>
    </w:p>
    <w:p w14:paraId="25E6F23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7E732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75FF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 мая </w:t>
      </w:r>
      <w:r w:rsidR="00731D28" w:rsidRPr="002F2FDF">
        <w:rPr>
          <w:rFonts w:ascii="Times New Roman" w:hAnsi="Times New Roman" w:cs="Times New Roman"/>
          <w:color w:val="000000" w:themeColor="text1"/>
          <w:kern w:val="2"/>
          <w:sz w:val="16"/>
          <w:szCs w:val="16"/>
        </w:rPr>
        <w:t xml:space="preserve">(1 июня) </w:t>
      </w:r>
      <w:r w:rsidRPr="002F2FDF">
        <w:rPr>
          <w:rFonts w:ascii="Times New Roman" w:hAnsi="Times New Roman" w:cs="Times New Roman"/>
          <w:color w:val="000000" w:themeColor="text1"/>
          <w:kern w:val="2"/>
          <w:sz w:val="16"/>
          <w:szCs w:val="16"/>
        </w:rPr>
        <w:t>1917 было образовано первое коалиционное правительство к Львова (3481).</w:t>
      </w:r>
    </w:p>
    <w:p w14:paraId="28D038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184555" w14:textId="77777777" w:rsidR="00E2230B" w:rsidRPr="002F2FDF" w:rsidRDefault="00E2230B" w:rsidP="0083075A">
      <w:pPr>
        <w:pStyle w:val="ae"/>
        <w:spacing w:before="0" w:after="0"/>
        <w:jc w:val="both"/>
        <w:rPr>
          <w:color w:val="000000" w:themeColor="text1"/>
          <w:kern w:val="2"/>
          <w:sz w:val="16"/>
          <w:szCs w:val="16"/>
        </w:rPr>
      </w:pPr>
      <w:r w:rsidRPr="002F2FDF">
        <w:rPr>
          <w:color w:val="000000" w:themeColor="text1"/>
          <w:kern w:val="2"/>
          <w:sz w:val="16"/>
          <w:szCs w:val="16"/>
        </w:rPr>
        <w:t>19 мая (1 июня) 1917 подал в отставку министр промышленности и торговли Александр Коновалов. Он заявил, что не может спокойно смотреть за разрушением русской промышленности и не в силах что-либо изменить, поскольку Временное правительство не обладает всей полнотой власти. Коновалов вернется в состав Временного правительства лишь спустя три месяца (17045).</w:t>
      </w:r>
    </w:p>
    <w:p w14:paraId="5928C277" w14:textId="77777777" w:rsidR="00E2230B" w:rsidRPr="002F2FDF" w:rsidRDefault="00E2230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B9415A" w14:textId="77777777" w:rsidR="00E2230B" w:rsidRPr="002F2FDF" w:rsidRDefault="00E2230B" w:rsidP="0083075A">
      <w:pPr>
        <w:pStyle w:val="ae"/>
        <w:spacing w:before="0" w:after="0"/>
        <w:jc w:val="both"/>
        <w:rPr>
          <w:color w:val="000000" w:themeColor="text1"/>
          <w:kern w:val="2"/>
          <w:sz w:val="16"/>
          <w:szCs w:val="16"/>
        </w:rPr>
      </w:pPr>
      <w:r w:rsidRPr="002F2FDF">
        <w:rPr>
          <w:color w:val="000000" w:themeColor="text1"/>
          <w:kern w:val="2"/>
          <w:sz w:val="16"/>
          <w:szCs w:val="16"/>
        </w:rPr>
        <w:t>19 мая (1 июня) 1917 Кронштадтский совет солдатских и рабочих депутатов, контролировавшийся, в основном, анархистами, заявил об окончательном разрыве отношений с Временным правительством, объявив, что впредь поддерживать связь с остальной Россией будет только через Петроградский совет. Газета «Русские ведомости» от 2 июня прокомментировала это решение так: «Нельзя сказать, чтобы Кронштадт стоял особняком. Почти всюду на местах в провинции власть временного правительства признается лишь со значительными оговорками или фактически и совсем не признается» (17045).</w:t>
      </w:r>
    </w:p>
    <w:p w14:paraId="5D0CBF4F" w14:textId="77777777" w:rsidR="00E2230B" w:rsidRPr="002F2FDF" w:rsidRDefault="00E2230B" w:rsidP="0083075A">
      <w:pPr>
        <w:pStyle w:val="ae"/>
        <w:spacing w:before="0" w:after="0"/>
        <w:jc w:val="both"/>
        <w:rPr>
          <w:color w:val="000000" w:themeColor="text1"/>
          <w:kern w:val="2"/>
          <w:sz w:val="16"/>
          <w:szCs w:val="16"/>
        </w:rPr>
      </w:pPr>
    </w:p>
    <w:p w14:paraId="4D141A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 мая </w:t>
      </w:r>
      <w:r w:rsidR="00731D28" w:rsidRPr="002F2FDF">
        <w:rPr>
          <w:rFonts w:ascii="Times New Roman" w:hAnsi="Times New Roman" w:cs="Times New Roman"/>
          <w:color w:val="000000" w:themeColor="text1"/>
          <w:kern w:val="2"/>
          <w:sz w:val="16"/>
          <w:szCs w:val="16"/>
        </w:rPr>
        <w:t xml:space="preserve">(1 июня) </w:t>
      </w:r>
      <w:r w:rsidRPr="002F2FDF">
        <w:rPr>
          <w:rFonts w:ascii="Times New Roman" w:hAnsi="Times New Roman" w:cs="Times New Roman"/>
          <w:color w:val="000000" w:themeColor="text1"/>
          <w:kern w:val="2"/>
          <w:sz w:val="16"/>
          <w:szCs w:val="16"/>
        </w:rPr>
        <w:t>1917 состоялось Первое заседание земельного комитета (1348,113).</w:t>
      </w:r>
    </w:p>
    <w:p w14:paraId="174C9A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D5A7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 мая </w:t>
      </w:r>
      <w:r w:rsidR="00731D28" w:rsidRPr="002F2FDF">
        <w:rPr>
          <w:rFonts w:ascii="Times New Roman" w:hAnsi="Times New Roman" w:cs="Times New Roman"/>
          <w:color w:val="000000" w:themeColor="text1"/>
          <w:kern w:val="2"/>
          <w:sz w:val="16"/>
          <w:szCs w:val="16"/>
        </w:rPr>
        <w:t xml:space="preserve">(1 июня) </w:t>
      </w:r>
      <w:r w:rsidRPr="002F2FDF">
        <w:rPr>
          <w:rFonts w:ascii="Times New Roman" w:hAnsi="Times New Roman" w:cs="Times New Roman"/>
          <w:color w:val="000000" w:themeColor="text1"/>
          <w:kern w:val="2"/>
          <w:sz w:val="16"/>
          <w:szCs w:val="16"/>
        </w:rPr>
        <w:t>1917 состоялось первое заседание Главного земельного комитета (3908,257).</w:t>
      </w:r>
    </w:p>
    <w:p w14:paraId="4F98E0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E3DD3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EA9B4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86730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мая (2 июня) 1917 в Тифлисе арестован великий князь Николай (дядя Николая II), обвиненный в заговоре против Временного правительства (4962).</w:t>
      </w:r>
    </w:p>
    <w:p w14:paraId="53F77CE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4FE401" w14:textId="77777777" w:rsidR="009547C9" w:rsidRPr="002F2FDF" w:rsidRDefault="009547C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1EAC5BF" w14:textId="77777777" w:rsidR="009547C9" w:rsidRPr="002F2FDF" w:rsidRDefault="009547C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CC4134" w14:textId="331168B6" w:rsidR="009547C9" w:rsidRPr="002F2FDF" w:rsidRDefault="009547C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20 мая (</w:t>
      </w:r>
      <w:r w:rsidR="00AB0807">
        <w:rPr>
          <w:rFonts w:ascii="Times New Roman" w:hAnsi="Times New Roman" w:cs="Times New Roman"/>
          <w:color w:val="000000" w:themeColor="text1"/>
          <w:sz w:val="16"/>
          <w:szCs w:val="16"/>
        </w:rPr>
        <w:t>2</w:t>
      </w:r>
      <w:r w:rsidRPr="002F2FDF">
        <w:rPr>
          <w:rFonts w:ascii="Times New Roman" w:hAnsi="Times New Roman" w:cs="Times New Roman"/>
          <w:color w:val="000000" w:themeColor="text1"/>
          <w:sz w:val="16"/>
          <w:szCs w:val="16"/>
        </w:rPr>
        <w:t xml:space="preserve"> июня) 1917 г. лётчик французского авиационного дивизи</w:t>
      </w:r>
      <w:r w:rsidRPr="002F2FDF">
        <w:rPr>
          <w:rFonts w:ascii="Times New Roman" w:hAnsi="Times New Roman" w:cs="Times New Roman"/>
          <w:color w:val="000000" w:themeColor="text1"/>
          <w:sz w:val="16"/>
          <w:szCs w:val="16"/>
        </w:rPr>
        <w:softHyphen/>
        <w:t>она в России Жорж-Марсель Лякман, уничто</w:t>
      </w:r>
      <w:r w:rsidRPr="002F2FDF">
        <w:rPr>
          <w:rFonts w:ascii="Times New Roman" w:hAnsi="Times New Roman" w:cs="Times New Roman"/>
          <w:color w:val="000000" w:themeColor="text1"/>
          <w:sz w:val="16"/>
          <w:szCs w:val="16"/>
        </w:rPr>
        <w:softHyphen/>
        <w:t>живший 15 июня 1916 г. зажигательными раке</w:t>
      </w:r>
      <w:r w:rsidRPr="002F2FDF">
        <w:rPr>
          <w:rFonts w:ascii="Times New Roman" w:hAnsi="Times New Roman" w:cs="Times New Roman"/>
          <w:color w:val="000000" w:themeColor="text1"/>
          <w:sz w:val="16"/>
          <w:szCs w:val="16"/>
        </w:rPr>
        <w:softHyphen/>
        <w:t>тами под Верденом немецкий аэростат, в сумерках сбил по ошибке рус</w:t>
      </w:r>
      <w:r w:rsidRPr="002F2FDF">
        <w:rPr>
          <w:rFonts w:ascii="Times New Roman" w:hAnsi="Times New Roman" w:cs="Times New Roman"/>
          <w:color w:val="000000" w:themeColor="text1"/>
          <w:sz w:val="16"/>
          <w:szCs w:val="16"/>
        </w:rPr>
        <w:softHyphen/>
        <w:t>ский аэростат. Заблудившись в тумане, лётчик потерпел аварию и получил тяжёлые телесные повреждения. Возвратившись в строй, он всё-та</w:t>
      </w:r>
      <w:r w:rsidRPr="002F2FDF">
        <w:rPr>
          <w:rFonts w:ascii="Times New Roman" w:hAnsi="Times New Roman" w:cs="Times New Roman"/>
          <w:color w:val="000000" w:themeColor="text1"/>
          <w:sz w:val="16"/>
          <w:szCs w:val="16"/>
        </w:rPr>
        <w:softHyphen/>
        <w:t>ки сжёг 19 августа (1 сентября) у д. Мельница немецкий аэростат. Приказом по 7-й армии от 31 октября 1917 г. его наградили Орденом Св. Ге</w:t>
      </w:r>
      <w:r w:rsidRPr="002F2FDF">
        <w:rPr>
          <w:rFonts w:ascii="Times New Roman" w:hAnsi="Times New Roman" w:cs="Times New Roman"/>
          <w:color w:val="000000" w:themeColor="text1"/>
          <w:sz w:val="16"/>
          <w:szCs w:val="16"/>
        </w:rPr>
        <w:softHyphen/>
        <w:t>оргия 4-й степени (20120).</w:t>
      </w:r>
    </w:p>
    <w:p w14:paraId="65EE6E9C" w14:textId="77777777" w:rsidR="009547C9" w:rsidRPr="002F2FDF" w:rsidRDefault="009547C9" w:rsidP="0083075A">
      <w:pPr>
        <w:spacing w:after="0" w:line="240" w:lineRule="auto"/>
        <w:jc w:val="both"/>
        <w:rPr>
          <w:rFonts w:ascii="Times New Roman" w:hAnsi="Times New Roman" w:cs="Times New Roman"/>
          <w:color w:val="000000" w:themeColor="text1"/>
          <w:sz w:val="16"/>
          <w:szCs w:val="16"/>
        </w:rPr>
      </w:pPr>
    </w:p>
    <w:p w14:paraId="587F8DF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07569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5F7B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мая (2 июня) 1917 года L-23 совершил самый удачный полет, когда он в пятидесяти милях севернее мыса Горн догнал и задержал норвежское трехмачтовое судно с военным грузом. Дирижабль опустился на воду рядом с судном и посадил на него призовую команду из трех человек, которая привела задержанный корабль в Гамбург (11324).</w:t>
      </w:r>
    </w:p>
    <w:p w14:paraId="210AF9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2458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мая (2 июня) - в Тихом океане в 15 час. 50 мин. с германского сторожевого корабля "Волк" был спущен на воду и взлетел гидросамолет "Волченок" с заданием: "Задержать торговое судно, появившееся севернее о. Рауль, и привести его к кораблю".</w:t>
      </w:r>
    </w:p>
    <w:p w14:paraId="365AF2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Через несколько минут "Волченок", летевший на высоте 350 м, приблизился к судну, по спирали спустился за его кормой до 80 м и, пролетая над ним, сбросил на палубу парусиновый мешочек со свинцовым грузиком и запиской внутри (кису). В записке был ультиматум на английском языке: "Берите курс южнее германского крейсера и не смейте пользоваться радиотелеграфом. Если не исполните приказа, будете атакованы бомбами".</w:t>
      </w:r>
    </w:p>
    <w:p w14:paraId="5A249B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Вслед за этим "Волченок", пройдясь над судном вторично, сбросил небольшую бомбу, упавшую в 20 м от носа судна.</w:t>
      </w:r>
    </w:p>
    <w:p w14:paraId="4962B7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Новозеландское судно "Вайруна" в 3900 т (груз на несколько млн. марок золотом), шедшее из Окленда в Сан- Франциско, выполнило приказ (11999).</w:t>
      </w:r>
    </w:p>
    <w:p w14:paraId="6B3465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377B0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мая (2 июня) 1917 Бразилия неожиданно объявила о прекращении состояния нейтралитета и захватила 46 немецких кораблей в своих портах (4962).</w:t>
      </w:r>
    </w:p>
    <w:p w14:paraId="6F78C46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1317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мая (2 июня) 1917 Бразилия нарушила свой нейтралитет и захватил несколько германских судов (3907,90).</w:t>
      </w:r>
    </w:p>
    <w:p w14:paraId="0270EE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866A3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CA6AD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62D9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мая (3 июня) 1917 Верховный главнокомандующий М.В.Алексеев потребовал от Временного правительства восстановить жесткую дисциплину в армии (3908,257).</w:t>
      </w:r>
    </w:p>
    <w:p w14:paraId="4849D6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B5D3B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18837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C5F4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мая (3 июня) 1917 было объявлено о нейтралитете Албании под протекторатом Италии (3907,90).</w:t>
      </w:r>
    </w:p>
    <w:p w14:paraId="023EEC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F1226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мая (3 июня) 1917 Италия провозгласила протекторат над Албанией (4962).</w:t>
      </w:r>
    </w:p>
    <w:p w14:paraId="37C1B82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C2FF92" w14:textId="77777777" w:rsidR="0073361C" w:rsidRPr="002F2FDF" w:rsidRDefault="0073361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пе</w:t>
      </w:r>
      <w:r w:rsidRPr="002F2FDF">
        <w:rPr>
          <w:rFonts w:ascii="Times New Roman" w:hAnsi="Times New Roman" w:cs="Times New Roman"/>
          <w:color w:val="000000" w:themeColor="text1"/>
          <w:kern w:val="2"/>
          <w:sz w:val="16"/>
          <w:szCs w:val="16"/>
        </w:rPr>
        <w:softHyphen/>
        <w:t>риоде 21 мая (3 июня) по 10 июня (3 июля) 1917 г, то есть ровно за один месяц был спроектирован и изгото</w:t>
      </w:r>
      <w:r w:rsidRPr="002F2FDF">
        <w:rPr>
          <w:rFonts w:ascii="Times New Roman" w:hAnsi="Times New Roman" w:cs="Times New Roman"/>
          <w:color w:val="000000" w:themeColor="text1"/>
          <w:kern w:val="2"/>
          <w:sz w:val="16"/>
          <w:szCs w:val="16"/>
        </w:rPr>
        <w:softHyphen/>
        <w:t>влен авиационный двигатель «Либерти». В США для разработ</w:t>
      </w:r>
      <w:r w:rsidRPr="002F2FDF">
        <w:rPr>
          <w:rFonts w:ascii="Times New Roman" w:hAnsi="Times New Roman" w:cs="Times New Roman"/>
          <w:color w:val="000000" w:themeColor="text1"/>
          <w:kern w:val="2"/>
          <w:sz w:val="16"/>
          <w:szCs w:val="16"/>
        </w:rPr>
        <w:softHyphen/>
        <w:t>ки этого двигателя в 1917 г. привлекли луч</w:t>
      </w:r>
      <w:r w:rsidRPr="002F2FDF">
        <w:rPr>
          <w:rFonts w:ascii="Times New Roman" w:hAnsi="Times New Roman" w:cs="Times New Roman"/>
          <w:color w:val="000000" w:themeColor="text1"/>
          <w:kern w:val="2"/>
          <w:sz w:val="16"/>
          <w:szCs w:val="16"/>
        </w:rPr>
        <w:softHyphen/>
        <w:t>ших инженеров, которых буквально заперли водной из вашингтонских гостиниц. Однов</w:t>
      </w:r>
      <w:r w:rsidRPr="002F2FDF">
        <w:rPr>
          <w:rFonts w:ascii="Times New Roman" w:hAnsi="Times New Roman" w:cs="Times New Roman"/>
          <w:color w:val="000000" w:themeColor="text1"/>
          <w:kern w:val="2"/>
          <w:sz w:val="16"/>
          <w:szCs w:val="16"/>
        </w:rPr>
        <w:softHyphen/>
        <w:t>ременно, в помощь проектировщикам, с раз</w:t>
      </w:r>
      <w:r w:rsidRPr="002F2FDF">
        <w:rPr>
          <w:rFonts w:ascii="Times New Roman" w:hAnsi="Times New Roman" w:cs="Times New Roman"/>
          <w:color w:val="000000" w:themeColor="text1"/>
          <w:kern w:val="2"/>
          <w:sz w:val="16"/>
          <w:szCs w:val="16"/>
        </w:rPr>
        <w:softHyphen/>
        <w:t>личных предприятий Америки собрали наи</w:t>
      </w:r>
      <w:r w:rsidRPr="002F2FDF">
        <w:rPr>
          <w:rFonts w:ascii="Times New Roman" w:hAnsi="Times New Roman" w:cs="Times New Roman"/>
          <w:color w:val="000000" w:themeColor="text1"/>
          <w:kern w:val="2"/>
          <w:sz w:val="16"/>
          <w:szCs w:val="16"/>
        </w:rPr>
        <w:softHyphen/>
        <w:t>более опытных консультантов и чертежни</w:t>
      </w:r>
      <w:r w:rsidRPr="002F2FDF">
        <w:rPr>
          <w:rFonts w:ascii="Times New Roman" w:hAnsi="Times New Roman" w:cs="Times New Roman"/>
          <w:color w:val="000000" w:themeColor="text1"/>
          <w:kern w:val="2"/>
          <w:sz w:val="16"/>
          <w:szCs w:val="16"/>
        </w:rPr>
        <w:softHyphen/>
        <w:t>ков. Работа велась практически круглосуточ</w:t>
      </w:r>
      <w:r w:rsidRPr="002F2FDF">
        <w:rPr>
          <w:rFonts w:ascii="Times New Roman" w:hAnsi="Times New Roman" w:cs="Times New Roman"/>
          <w:color w:val="000000" w:themeColor="text1"/>
          <w:kern w:val="2"/>
          <w:sz w:val="16"/>
          <w:szCs w:val="16"/>
        </w:rPr>
        <w:softHyphen/>
        <w:t>но</w:t>
      </w:r>
    </w:p>
    <w:p w14:paraId="5CD3557C" w14:textId="77777777" w:rsidR="0073361C" w:rsidRPr="002F2FDF" w:rsidRDefault="0073361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конструкции и оборудовании двига</w:t>
      </w:r>
      <w:r w:rsidRPr="002F2FDF">
        <w:rPr>
          <w:rFonts w:ascii="Times New Roman" w:hAnsi="Times New Roman" w:cs="Times New Roman"/>
          <w:color w:val="000000" w:themeColor="text1"/>
          <w:kern w:val="2"/>
          <w:sz w:val="16"/>
          <w:szCs w:val="16"/>
        </w:rPr>
        <w:softHyphen/>
        <w:t>теля использовались уже освоенные кон</w:t>
      </w:r>
      <w:r w:rsidRPr="002F2FDF">
        <w:rPr>
          <w:rFonts w:ascii="Times New Roman" w:hAnsi="Times New Roman" w:cs="Times New Roman"/>
          <w:color w:val="000000" w:themeColor="text1"/>
          <w:kern w:val="2"/>
          <w:sz w:val="16"/>
          <w:szCs w:val="16"/>
        </w:rPr>
        <w:softHyphen/>
        <w:t>структивные элементы и технологические приемы, применявшиеся в автомобильной промышленности того времени. При этом одним из основных требований стала полная взаимозаменяемость частей, позволявшая выпускать двигатель на различных предпри</w:t>
      </w:r>
      <w:r w:rsidRPr="002F2FDF">
        <w:rPr>
          <w:rFonts w:ascii="Times New Roman" w:hAnsi="Times New Roman" w:cs="Times New Roman"/>
          <w:color w:val="000000" w:themeColor="text1"/>
          <w:kern w:val="2"/>
          <w:sz w:val="16"/>
          <w:szCs w:val="16"/>
        </w:rPr>
        <w:softHyphen/>
        <w:t>ятиях. Уже в 1917 году массовое производство «Либерти» развернулось на заводах «Форд», «Паккард», «Линкольн», «Кадиллак», «Мар- мон» и «Трего». Позднее число предприятий, освоивших этот двигатель, возросло до 12. Всего в период 1917-1919 гг. американские заводы выпустили более 20 000 экземпляров «Либерти», обоснованно считавшегося од</w:t>
      </w:r>
      <w:r w:rsidRPr="002F2FDF">
        <w:rPr>
          <w:rFonts w:ascii="Times New Roman" w:hAnsi="Times New Roman" w:cs="Times New Roman"/>
          <w:color w:val="000000" w:themeColor="text1"/>
          <w:kern w:val="2"/>
          <w:sz w:val="16"/>
          <w:szCs w:val="16"/>
        </w:rPr>
        <w:softHyphen/>
        <w:t>ним из самых мощных и надежных авиаци</w:t>
      </w:r>
      <w:r w:rsidRPr="002F2FDF">
        <w:rPr>
          <w:rFonts w:ascii="Times New Roman" w:hAnsi="Times New Roman" w:cs="Times New Roman"/>
          <w:color w:val="000000" w:themeColor="text1"/>
          <w:kern w:val="2"/>
          <w:sz w:val="16"/>
          <w:szCs w:val="16"/>
        </w:rPr>
        <w:softHyphen/>
        <w:t>онных двигателей своего времени (12295).</w:t>
      </w:r>
    </w:p>
    <w:p w14:paraId="328360E5" w14:textId="77777777" w:rsidR="0073361C" w:rsidRPr="002F2FDF" w:rsidRDefault="0073361C" w:rsidP="0083075A">
      <w:pPr>
        <w:spacing w:after="0" w:line="240" w:lineRule="auto"/>
        <w:jc w:val="both"/>
        <w:rPr>
          <w:rFonts w:ascii="Times New Roman" w:hAnsi="Times New Roman" w:cs="Times New Roman"/>
          <w:color w:val="000000" w:themeColor="text1"/>
          <w:kern w:val="2"/>
          <w:sz w:val="16"/>
          <w:szCs w:val="16"/>
        </w:rPr>
      </w:pPr>
    </w:p>
    <w:p w14:paraId="75290BC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42B5C2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EB411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мая (4 июня) 1917 наблюдающий офицер под</w:t>
      </w:r>
      <w:r w:rsidRPr="002F2FDF">
        <w:rPr>
          <w:rFonts w:ascii="Times New Roman" w:hAnsi="Times New Roman" w:cs="Times New Roman"/>
          <w:color w:val="000000" w:themeColor="text1"/>
          <w:kern w:val="2"/>
          <w:sz w:val="16"/>
          <w:szCs w:val="16"/>
        </w:rPr>
        <w:softHyphen/>
        <w:t>поручик Г. Я. Эрдели получил предписание установить 6 самолетов типа М-16 на колесное шасси. Нет никакого намека на то, что такой проект когда-либо воплотился в реальность, как нет оснований дове</w:t>
      </w:r>
      <w:r w:rsidRPr="002F2FDF">
        <w:rPr>
          <w:rFonts w:ascii="Times New Roman" w:hAnsi="Times New Roman" w:cs="Times New Roman"/>
          <w:color w:val="000000" w:themeColor="text1"/>
          <w:kern w:val="2"/>
          <w:sz w:val="16"/>
          <w:szCs w:val="16"/>
        </w:rPr>
        <w:softHyphen/>
        <w:t>рять информации В. Б. Шаврова о том, что зимой некоторые аппараты этой модели оснащались лыжами вместо поплавков. Однако летом 1917 г. начальник VI Воздушного дивизиона Воздушной дивизии Бал</w:t>
      </w:r>
      <w:r w:rsidRPr="002F2FDF">
        <w:rPr>
          <w:rFonts w:ascii="Times New Roman" w:hAnsi="Times New Roman" w:cs="Times New Roman"/>
          <w:color w:val="000000" w:themeColor="text1"/>
          <w:kern w:val="2"/>
          <w:sz w:val="16"/>
          <w:szCs w:val="16"/>
        </w:rPr>
        <w:softHyphen/>
        <w:t>тийского моря лейтенант А. И. Макаревич модифицировал один из гидро по собственному соображе</w:t>
      </w:r>
      <w:r w:rsidRPr="002F2FDF">
        <w:rPr>
          <w:rFonts w:ascii="Times New Roman" w:hAnsi="Times New Roman" w:cs="Times New Roman"/>
          <w:color w:val="000000" w:themeColor="text1"/>
          <w:kern w:val="2"/>
          <w:sz w:val="16"/>
          <w:szCs w:val="16"/>
        </w:rPr>
        <w:softHyphen/>
        <w:t>нию и дабы улучшить летные характеристики машины. Переделка происходила на базе 2-й Воздушной бригады дивизии в Або</w:t>
      </w:r>
      <w:r w:rsidRPr="002F2FDF">
        <w:rPr>
          <w:rFonts w:ascii="Times New Roman" w:hAnsi="Times New Roman" w:cs="Times New Roman"/>
          <w:color w:val="000000" w:themeColor="text1"/>
          <w:kern w:val="2"/>
          <w:sz w:val="16"/>
          <w:szCs w:val="16"/>
          <w:vertAlign w:val="superscript"/>
        </w:rPr>
        <w:t>1</w:t>
      </w:r>
      <w:r w:rsidRPr="002F2FDF">
        <w:rPr>
          <w:rFonts w:ascii="Times New Roman" w:hAnsi="Times New Roman" w:cs="Times New Roman"/>
          <w:color w:val="000000" w:themeColor="text1"/>
          <w:kern w:val="2"/>
          <w:sz w:val="16"/>
          <w:szCs w:val="16"/>
        </w:rPr>
        <w:t>, и, вероятно, в результате ее офицер ожидал получить аэроплан с “нормальным” колесным шасси. Увы, ему не довелось увидеть плоды работы. Находясь в плену высоких революцион</w:t>
      </w:r>
      <w:r w:rsidRPr="002F2FDF">
        <w:rPr>
          <w:rFonts w:ascii="Times New Roman" w:hAnsi="Times New Roman" w:cs="Times New Roman"/>
          <w:color w:val="000000" w:themeColor="text1"/>
          <w:kern w:val="2"/>
          <w:sz w:val="16"/>
          <w:szCs w:val="16"/>
        </w:rPr>
        <w:softHyphen/>
        <w:t>ных идей, команда морской авиастанции Або деградировала до такой степени, что уже 18 июля коман</w:t>
      </w:r>
      <w:r w:rsidRPr="002F2FDF">
        <w:rPr>
          <w:rFonts w:ascii="Times New Roman" w:hAnsi="Times New Roman" w:cs="Times New Roman"/>
          <w:color w:val="000000" w:themeColor="text1"/>
          <w:kern w:val="2"/>
          <w:sz w:val="16"/>
          <w:szCs w:val="16"/>
        </w:rPr>
        <w:softHyphen/>
        <w:t xml:space="preserve">дующий Балтийским </w:t>
      </w:r>
      <w:r w:rsidRPr="002F2FDF">
        <w:rPr>
          <w:rFonts w:ascii="Times New Roman" w:hAnsi="Times New Roman" w:cs="Times New Roman"/>
          <w:color w:val="000000" w:themeColor="text1"/>
          <w:kern w:val="2"/>
          <w:sz w:val="16"/>
          <w:szCs w:val="16"/>
        </w:rPr>
        <w:lastRenderedPageBreak/>
        <w:t>флотом приказал расформировать ее; к сожалению, процесс затянулся, а 30 августа обозленные матросы, собравшись между станционными ангарами, убили Макаревича. В середине нояб</w:t>
      </w:r>
      <w:r w:rsidRPr="002F2FDF">
        <w:rPr>
          <w:rFonts w:ascii="Times New Roman" w:hAnsi="Times New Roman" w:cs="Times New Roman"/>
          <w:color w:val="000000" w:themeColor="text1"/>
          <w:kern w:val="2"/>
          <w:sz w:val="16"/>
          <w:szCs w:val="16"/>
        </w:rPr>
        <w:softHyphen/>
        <w:t>ря его аппарат все-таки почти закончили в местных авиамастерских и намеревались испытать; в начале декабря речь шла уже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самолет; в конце концов, это был единствен</w:t>
      </w:r>
      <w:r w:rsidRPr="002F2FDF">
        <w:rPr>
          <w:rFonts w:ascii="Times New Roman" w:hAnsi="Times New Roman" w:cs="Times New Roman"/>
          <w:color w:val="000000" w:themeColor="text1"/>
          <w:kern w:val="2"/>
          <w:sz w:val="16"/>
          <w:szCs w:val="16"/>
        </w:rPr>
        <w:softHyphen/>
        <w:t>ный способ существенно продлить карьеру модели, или даже вдохнуть в нее новую жизнь, после того, как 20 сентября 1917 г. в докладе Управления морской авиации и воздухоплавания (УМАиВ) говори</w:t>
      </w:r>
      <w:r w:rsidRPr="002F2FDF">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492BD4C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8EF1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мая (4 июня) 1917 г. появилось объявленное положением о флоте и к участию в испытаниях кораблей стали привлекаться судовые комитеты. Но, несмотря на возросшую требовательность приемных комиссий, качество работы судостроительных заводов, особенно частных, заметно ухудшилось. Корабли предъявлялись к испытаниям в незаконченном виде. Судовые устройства предварительно не проверялись, и поэтому при испытаниях обнаруживались такие недочеты, из-за которых требовалось производить переделки и повторные испытания (10700).</w:t>
      </w:r>
    </w:p>
    <w:p w14:paraId="53E3A8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C31D9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B524E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7D6664" w14:textId="77777777" w:rsidR="00AA0D39" w:rsidRPr="00815ED5" w:rsidRDefault="00AA0D39"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22 мая </w:t>
      </w:r>
      <w:r>
        <w:rPr>
          <w:rFonts w:ascii="Times New Roman" w:hAnsi="Times New Roman" w:cs="Times New Roman"/>
          <w:color w:val="0070C0"/>
          <w:sz w:val="16"/>
          <w:szCs w:val="16"/>
        </w:rPr>
        <w:t>(4 июня) 1917 г. о</w:t>
      </w:r>
      <w:r w:rsidRPr="00815ED5">
        <w:rPr>
          <w:rFonts w:ascii="Times New Roman" w:hAnsi="Times New Roman" w:cs="Times New Roman"/>
          <w:color w:val="0070C0"/>
          <w:sz w:val="16"/>
          <w:szCs w:val="16"/>
        </w:rPr>
        <w:t>фицеры 2-го гвардейского авиаотряда выступили с проте</w:t>
      </w:r>
      <w:r w:rsidRPr="00815ED5">
        <w:rPr>
          <w:rFonts w:ascii="Times New Roman" w:hAnsi="Times New Roman" w:cs="Times New Roman"/>
          <w:color w:val="0070C0"/>
          <w:sz w:val="16"/>
          <w:szCs w:val="16"/>
        </w:rPr>
        <w:softHyphen/>
        <w:t>стом против приказов военного министра о демократизации армии и лишении офицеров всяческих привилегий.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Изливая вопль отчаяния и сознавая свое бессилие вернуть старые порядки в армии,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они просили направить, их в союзные армии или же лишить офицерского звания и оставить в армии в качестве рядовых,</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чтобы избежать ответствен</w:t>
      </w:r>
      <w:r w:rsidRPr="00815ED5">
        <w:rPr>
          <w:rFonts w:ascii="Times New Roman" w:hAnsi="Times New Roman" w:cs="Times New Roman"/>
          <w:color w:val="0070C0"/>
          <w:sz w:val="16"/>
          <w:szCs w:val="16"/>
        </w:rPr>
        <w:softHyphen/>
        <w:t>ности за "позор самоуничтожения армии,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 следовательно,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и гибель родины”.</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Протест офицеров был поддержан реакционной печатью,</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сето</w:t>
      </w:r>
      <w:r w:rsidRPr="00815ED5">
        <w:rPr>
          <w:rFonts w:ascii="Times New Roman" w:hAnsi="Times New Roman" w:cs="Times New Roman"/>
          <w:color w:val="0070C0"/>
          <w:sz w:val="16"/>
          <w:szCs w:val="16"/>
        </w:rPr>
        <w:softHyphen/>
        <w:t>вавшей по поводу того,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что революция отняла у офицеров все,</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не дав взамен ничего.</w:t>
      </w:r>
    </w:p>
    <w:p w14:paraId="1ECDBC4F" w14:textId="77777777" w:rsidR="00AA0D39" w:rsidRDefault="00AA0D39"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/"Новое время” за 3 июня 1917/</w:t>
      </w:r>
      <w:r>
        <w:rPr>
          <w:rFonts w:ascii="Times New Roman" w:hAnsi="Times New Roman" w:cs="Times New Roman"/>
          <w:color w:val="0070C0"/>
          <w:sz w:val="16"/>
          <w:szCs w:val="16"/>
        </w:rPr>
        <w:t xml:space="preserve"> (23320).</w:t>
      </w:r>
    </w:p>
    <w:p w14:paraId="55BDDC18" w14:textId="77777777" w:rsidR="00AA0D39" w:rsidRPr="00815ED5" w:rsidRDefault="00AA0D39" w:rsidP="0083075A">
      <w:pPr>
        <w:spacing w:after="0" w:line="240" w:lineRule="auto"/>
        <w:jc w:val="both"/>
        <w:rPr>
          <w:rFonts w:ascii="Times New Roman" w:hAnsi="Times New Roman" w:cs="Times New Roman"/>
          <w:color w:val="0070C0"/>
          <w:sz w:val="16"/>
          <w:szCs w:val="16"/>
        </w:rPr>
      </w:pPr>
    </w:p>
    <w:p w14:paraId="7F926E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мая (4 июня) 1917 А.Брусилов сменил М.Алексеева на посту Верховного главнокомандующего (3908,257).</w:t>
      </w:r>
    </w:p>
    <w:p w14:paraId="2FA374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B2E32E" w14:textId="77777777" w:rsidR="007B636A" w:rsidRPr="002F2FDF" w:rsidRDefault="007B636A" w:rsidP="0083075A">
      <w:pPr>
        <w:pStyle w:val="ae"/>
        <w:spacing w:before="0" w:after="0"/>
        <w:jc w:val="both"/>
        <w:rPr>
          <w:color w:val="000000" w:themeColor="text1"/>
          <w:kern w:val="2"/>
          <w:sz w:val="16"/>
          <w:szCs w:val="16"/>
        </w:rPr>
      </w:pPr>
      <w:r w:rsidRPr="002F2FDF">
        <w:rPr>
          <w:color w:val="000000" w:themeColor="text1"/>
          <w:kern w:val="2"/>
          <w:sz w:val="16"/>
          <w:szCs w:val="16"/>
        </w:rPr>
        <w:t>22 мая (4 июня) 1917 военный и морской министр Керенский принял решение о замене Верховного Главнокомандующего —вместо отправленного в отставку генерала Михаила Алексеева был назначен Алексей Брусилов, чье имя ассоциировалось с успешным наступлением 1916 года, вошедшим в историю как «Брусиловский прорыв».</w:t>
      </w:r>
    </w:p>
    <w:p w14:paraId="65C230AD" w14:textId="77777777" w:rsidR="007B636A" w:rsidRPr="002F2FDF" w:rsidRDefault="007B636A" w:rsidP="0083075A">
      <w:pPr>
        <w:pStyle w:val="ae"/>
        <w:spacing w:before="0" w:after="0"/>
        <w:jc w:val="both"/>
        <w:rPr>
          <w:color w:val="000000" w:themeColor="text1"/>
          <w:kern w:val="2"/>
          <w:sz w:val="16"/>
          <w:szCs w:val="16"/>
        </w:rPr>
      </w:pPr>
      <w:r w:rsidRPr="002F2FDF">
        <w:rPr>
          <w:color w:val="000000" w:themeColor="text1"/>
          <w:kern w:val="2"/>
          <w:sz w:val="16"/>
          <w:szCs w:val="16"/>
        </w:rPr>
        <w:t>Сам Брусилов скептически отнесся к своему назначению: «Я понимал, что, в сущности, война кончена для нас, ибо не было, безусловно, никаких средств заставить войска воевать».</w:t>
      </w:r>
    </w:p>
    <w:p w14:paraId="65D25C4C" w14:textId="77777777" w:rsidR="007B636A" w:rsidRPr="002F2FDF" w:rsidRDefault="007B636A" w:rsidP="0083075A">
      <w:pPr>
        <w:pStyle w:val="ae"/>
        <w:spacing w:before="0" w:after="0"/>
        <w:jc w:val="both"/>
        <w:rPr>
          <w:color w:val="000000" w:themeColor="text1"/>
          <w:kern w:val="2"/>
          <w:sz w:val="16"/>
          <w:szCs w:val="16"/>
        </w:rPr>
      </w:pPr>
      <w:r w:rsidRPr="002F2FDF">
        <w:rPr>
          <w:color w:val="000000" w:themeColor="text1"/>
          <w:kern w:val="2"/>
          <w:sz w:val="16"/>
          <w:szCs w:val="16"/>
        </w:rPr>
        <w:t>Александр Керенский все дни начала июня проводил в поездках по фронтовым частям, выступая перед солдатами и воодушевляя их. Историк Ричард Пайпс так описывает эффект, который производили выступления военного министра: «Слова «триумфальное шествие» недостаточно сильны, чтобы описать поездку Керенского по фронтам. По силе возбуждения, которое она оставляла после себя, ее можно было сравнить со смерчем. Толпы выжидали часами, чтобы бросить на него один взгляд. Повсеместно путь его был усыпан цветами. Солдаты бежали мили за его автомобилем, стараясь пожать ему руку и поцеловать край его одежды».</w:t>
      </w:r>
    </w:p>
    <w:p w14:paraId="522BCEB0" w14:textId="77777777" w:rsidR="007B636A" w:rsidRPr="002F2FDF" w:rsidRDefault="007B636A" w:rsidP="0083075A">
      <w:pPr>
        <w:pStyle w:val="ae"/>
        <w:spacing w:before="0" w:after="0"/>
        <w:jc w:val="both"/>
        <w:rPr>
          <w:color w:val="000000" w:themeColor="text1"/>
          <w:kern w:val="2"/>
          <w:sz w:val="16"/>
          <w:szCs w:val="16"/>
        </w:rPr>
      </w:pPr>
      <w:r w:rsidRPr="002F2FDF">
        <w:rPr>
          <w:color w:val="000000" w:themeColor="text1"/>
          <w:kern w:val="2"/>
          <w:sz w:val="16"/>
          <w:szCs w:val="16"/>
        </w:rPr>
        <w:t>Впрочем, по свидетельству других историков, солдаты многих частей, находящихся на передовой, к приезду Керенского и прочих агитаторов за войну относились равнодушно или даже с презрением (17045).</w:t>
      </w:r>
    </w:p>
    <w:p w14:paraId="75A5122C" w14:textId="77777777" w:rsidR="007B636A" w:rsidRPr="002F2FDF" w:rsidRDefault="007B636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B712D3" w14:textId="77777777" w:rsidR="007B636A"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025A17C6" w14:textId="77777777" w:rsidR="007B636A" w:rsidRPr="002F2FDF" w:rsidRDefault="007B636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4EC8B7" w14:textId="77777777" w:rsidR="007B636A" w:rsidRPr="002F2FDF" w:rsidRDefault="007B636A" w:rsidP="0083075A">
      <w:pPr>
        <w:pStyle w:val="ae"/>
        <w:spacing w:before="0" w:after="0"/>
        <w:jc w:val="both"/>
        <w:rPr>
          <w:color w:val="000000" w:themeColor="text1"/>
          <w:kern w:val="2"/>
          <w:sz w:val="16"/>
          <w:szCs w:val="16"/>
        </w:rPr>
      </w:pPr>
      <w:r w:rsidRPr="002F2FDF">
        <w:rPr>
          <w:color w:val="000000" w:themeColor="text1"/>
          <w:kern w:val="2"/>
          <w:sz w:val="16"/>
          <w:szCs w:val="16"/>
        </w:rPr>
        <w:t>22 мая (4 июня) 1917 в Петрограде был получен ответ французского парламента и британского правительства на Декларацию Временного правительства России о целях войны от 9 апреля. Французские депутаты заявили, что они также «отвергают всякую мысль о завоевании и порабощении других народов», однако, следуя воле народных представителей Эльзаса и Лотаринги, выраженной еще в 1871 году, намерены продолжать борьбу за возвращение Франции этих земель. Британское правительство всецело поддержало лозунг «за освобождение народов от тирании», отметив, его практической реализацией могло бы стать создание независимой Польши (17045).</w:t>
      </w:r>
    </w:p>
    <w:p w14:paraId="4A7700C1" w14:textId="77777777" w:rsidR="007B636A" w:rsidRPr="002F2FDF" w:rsidRDefault="007B636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64C8A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F726E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0C0184" w14:textId="3DEACC4F"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rPr>
        <w:t>22 мая (4 июня) 1917 состоялось второе воздушное нападение германских бомбардировщиков "Готта" на Англию. Убито</w:t>
      </w:r>
      <w:r w:rsidRPr="002F2FDF">
        <w:rPr>
          <w:rFonts w:ascii="Times New Roman" w:hAnsi="Times New Roman" w:cs="Times New Roman"/>
          <w:color w:val="000000" w:themeColor="text1"/>
          <w:kern w:val="2"/>
          <w:sz w:val="16"/>
          <w:szCs w:val="16"/>
          <w:lang w:val="en-US"/>
        </w:rPr>
        <w:t xml:space="preserve"> 13 </w:t>
      </w:r>
      <w:r w:rsidRPr="002F2FDF">
        <w:rPr>
          <w:rFonts w:ascii="Times New Roman" w:hAnsi="Times New Roman" w:cs="Times New Roman"/>
          <w:color w:val="000000" w:themeColor="text1"/>
          <w:kern w:val="2"/>
          <w:sz w:val="16"/>
          <w:szCs w:val="16"/>
        </w:rPr>
        <w:t>человек</w:t>
      </w:r>
      <w:r w:rsidRPr="002F2FDF">
        <w:rPr>
          <w:rFonts w:ascii="Times New Roman" w:hAnsi="Times New Roman" w:cs="Times New Roman"/>
          <w:color w:val="000000" w:themeColor="text1"/>
          <w:kern w:val="2"/>
          <w:sz w:val="16"/>
          <w:szCs w:val="16"/>
          <w:lang w:val="en-US"/>
        </w:rPr>
        <w:t xml:space="preserve"> (11999).</w:t>
      </w:r>
    </w:p>
    <w:p w14:paraId="3BA300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7760400D" w14:textId="3D42029E" w:rsidR="003431D2" w:rsidRPr="002F2FDF" w:rsidRDefault="00AB080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Pr>
          <w:rFonts w:ascii="Times New Roman" w:hAnsi="Times New Roman" w:cs="Times New Roman"/>
          <w:color w:val="000000" w:themeColor="text1"/>
          <w:kern w:val="2"/>
          <w:sz w:val="16"/>
          <w:szCs w:val="16"/>
          <w:lang w:val="en-US"/>
        </w:rPr>
        <w:t>May 22 (</w:t>
      </w:r>
      <w:r w:rsidR="003431D2" w:rsidRPr="002F2FDF">
        <w:rPr>
          <w:rFonts w:ascii="Times New Roman" w:hAnsi="Times New Roman" w:cs="Times New Roman"/>
          <w:color w:val="000000" w:themeColor="text1"/>
          <w:kern w:val="2"/>
          <w:sz w:val="16"/>
          <w:szCs w:val="16"/>
          <w:lang w:val="en-US"/>
        </w:rPr>
        <w:t>June 4</w:t>
      </w:r>
      <w:r>
        <w:rPr>
          <w:rFonts w:ascii="Times New Roman" w:hAnsi="Times New Roman" w:cs="Times New Roman"/>
          <w:color w:val="000000" w:themeColor="text1"/>
          <w:kern w:val="2"/>
          <w:sz w:val="16"/>
          <w:szCs w:val="16"/>
          <w:lang w:val="en-US"/>
        </w:rPr>
        <w:t>)</w:t>
      </w:r>
      <w:r w:rsidR="003431D2" w:rsidRPr="002F2FDF">
        <w:rPr>
          <w:rFonts w:ascii="Times New Roman" w:hAnsi="Times New Roman" w:cs="Times New Roman"/>
          <w:color w:val="000000" w:themeColor="text1"/>
          <w:kern w:val="2"/>
          <w:sz w:val="16"/>
          <w:szCs w:val="16"/>
          <w:lang w:val="en-US"/>
        </w:rPr>
        <w:t>, 1917 The construction of five prototype models of 8- and 12-cylinder Liberty motors was authorized by the Aircraft Production Board and the Joint Technical Board on Aircraft. The design of these engines, based on conservative engineering practices especially adapted to mass production techniques, had been worked out in a room in a Washington hotel by J. G. Vincent of the Packard Motor Car Company and E. J. Hall of the Hall-Scott Motor Car Company, commencing on 29 May (1090).</w:t>
      </w:r>
    </w:p>
    <w:p w14:paraId="42863A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327BF2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мая (4 июня) 1917 Совет по авиационной промышленности и Совместный технический совет по авиации выдали разрешение на производство пяти прототипов 8- и 12-цилиндровых моторов Либерти. Разработка этих моторов, базирующихся на традиционной инженерной практике, специально приспособленной к массовому производству, была выполнена в номере отеля в Вашингтоне J. G. Vincent из Packard Motor Car Company и E. J. Hall из Hall-Scott Motor Car Company начиная с 29 мая 1917 (1090).</w:t>
      </w:r>
    </w:p>
    <w:p w14:paraId="5822BE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02206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мая (4 июня) 1917 Франция дала согласие на формирование польской армии на Западном фронте (4962).</w:t>
      </w:r>
    </w:p>
    <w:p w14:paraId="14A1AE4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A8206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1F0E3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5DCA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мая (5 июня) 1917 Техком УВВФ в присутствии л эскадры воздушных кораблей А.Н.Журавченко, ознакомившись с работой комиссии, производившей аэродинамическую оценку и проверочный расчет прочности ИМ, признал: а) с аэродинамической т.з. аппарат удовлетворителен, но имеет много недочетов; б) с т.з. прочности аппарат в полете опасен; в) в дальнейшем заказы аппаратов этого типа делать не следует; г) в случае необходимости в больших аппаратах лучше выработать новый тип, чем заниматься улучшением ИМ. Техком дал указание улучшить прочность (3637).</w:t>
      </w:r>
    </w:p>
    <w:p w14:paraId="362734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09AFB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23 мая </w:t>
      </w:r>
      <w:r w:rsidR="00731D28" w:rsidRPr="002F2FDF">
        <w:rPr>
          <w:rFonts w:ascii="Times New Roman" w:hAnsi="Times New Roman" w:cs="Times New Roman"/>
          <w:color w:val="000000" w:themeColor="text1"/>
          <w:kern w:val="2"/>
          <w:sz w:val="16"/>
          <w:szCs w:val="16"/>
        </w:rPr>
        <w:t xml:space="preserve">(5 июня) </w:t>
      </w:r>
      <w:r w:rsidRPr="002F2FDF">
        <w:rPr>
          <w:rFonts w:ascii="Times New Roman" w:hAnsi="Times New Roman" w:cs="Times New Roman"/>
          <w:color w:val="000000" w:themeColor="text1"/>
          <w:kern w:val="2"/>
          <w:sz w:val="16"/>
          <w:szCs w:val="16"/>
        </w:rPr>
        <w:t>1917 Технический комитет УВВФ в присутствии летчика эскадры воздушных кораблей А.Н.Журавченко, ознакомившись с работой комиссии, производившей аэродинамическую оценку и поверочный расчет прочности самолета "Илья Муромец” типа Г, признал: а) с аэродинамической стороны аэроплан в общем удовлетворительный, но имеет много недочетов; б) с точки зрения прочности аппарат в полете опасен; в) дальнейшие заказы аппаратов этого типа делать не следует; г) в случае необходимости в больших аппаратах лучше выработать новый тип, чем заниматься улучшением "Ильи Муромца". Технический комитет дал указание по улучшению прочности этого самолета. (ЦГВИА, ф. 49З, оп. 3, д.125, лл.136-139).</w:t>
      </w:r>
    </w:p>
    <w:p w14:paraId="23A7B62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5505F4" w14:textId="77777777" w:rsidR="00480E2E" w:rsidRDefault="00480E2E"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815ED5">
        <w:rPr>
          <w:rFonts w:ascii="Times New Roman" w:hAnsi="Times New Roman" w:cs="Times New Roman"/>
          <w:color w:val="0070C0"/>
          <w:sz w:val="16"/>
          <w:szCs w:val="16"/>
        </w:rPr>
        <w:t>3 мая</w:t>
      </w:r>
      <w:r>
        <w:rPr>
          <w:rFonts w:ascii="Times New Roman" w:hAnsi="Times New Roman" w:cs="Times New Roman"/>
          <w:color w:val="0070C0"/>
          <w:sz w:val="16"/>
          <w:szCs w:val="16"/>
        </w:rPr>
        <w:t xml:space="preserve"> (5 июня)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технический комитет УBB</w:t>
      </w:r>
      <w:r>
        <w:rPr>
          <w:rFonts w:ascii="Times New Roman" w:hAnsi="Times New Roman" w:cs="Times New Roman"/>
          <w:color w:val="0070C0"/>
          <w:sz w:val="16"/>
          <w:szCs w:val="16"/>
        </w:rPr>
        <w:t xml:space="preserve">Ф </w:t>
      </w:r>
      <w:r w:rsidRPr="00815ED5">
        <w:rPr>
          <w:rFonts w:ascii="Times New Roman" w:hAnsi="Times New Roman" w:cs="Times New Roman"/>
          <w:color w:val="0070C0"/>
          <w:sz w:val="16"/>
          <w:szCs w:val="16"/>
        </w:rPr>
        <w:t>в присутствии летчика эскадры . воздушных кораблей А.Н.Журавченко,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ознакомившись о работой комис</w:t>
      </w:r>
      <w:r w:rsidRPr="00815ED5">
        <w:rPr>
          <w:rFonts w:ascii="Times New Roman" w:hAnsi="Times New Roman" w:cs="Times New Roman"/>
          <w:color w:val="0070C0"/>
          <w:sz w:val="16"/>
          <w:szCs w:val="16"/>
        </w:rPr>
        <w:softHyphen/>
        <w:t>сии, про изводившей аэродинамическую оценку и поверочный расчет прочно</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ти самолета "Илья Муромец” типа Г,</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признал:</w:t>
      </w:r>
    </w:p>
    <w:p w14:paraId="34D22B5F" w14:textId="77777777" w:rsidR="00480E2E" w:rsidRDefault="00480E2E"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а/ с аэродинамической стороны аэроплан в общем удовлетворительный,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но имеет много недоче</w:t>
      </w:r>
      <w:r w:rsidRPr="00815ED5">
        <w:rPr>
          <w:rFonts w:ascii="Times New Roman" w:hAnsi="Times New Roman" w:cs="Times New Roman"/>
          <w:color w:val="0070C0"/>
          <w:sz w:val="16"/>
          <w:szCs w:val="16"/>
        </w:rPr>
        <w:softHyphen/>
        <w:t>тов;</w:t>
      </w:r>
    </w:p>
    <w:p w14:paraId="7DD6AB28" w14:textId="77777777" w:rsidR="00480E2E" w:rsidRDefault="00480E2E"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б/ с точки зрения прочности аппарат в полете опасен;</w:t>
      </w:r>
    </w:p>
    <w:p w14:paraId="2F7120F5" w14:textId="77777777" w:rsidR="00480E2E" w:rsidRDefault="00480E2E"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в/ дальней</w:t>
      </w:r>
      <w:r w:rsidRPr="00815ED5">
        <w:rPr>
          <w:rFonts w:ascii="Times New Roman" w:hAnsi="Times New Roman" w:cs="Times New Roman"/>
          <w:color w:val="0070C0"/>
          <w:sz w:val="16"/>
          <w:szCs w:val="16"/>
        </w:rPr>
        <w:softHyphen/>
        <w:t>шие заказы аппаратов этого типа делать не следует;</w:t>
      </w:r>
    </w:p>
    <w:p w14:paraId="220A218F" w14:textId="77777777" w:rsidR="00480E2E" w:rsidRDefault="00480E2E"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г/ в случае необ</w:t>
      </w:r>
      <w:r w:rsidRPr="00815ED5">
        <w:rPr>
          <w:rFonts w:ascii="Times New Roman" w:hAnsi="Times New Roman" w:cs="Times New Roman"/>
          <w:color w:val="0070C0"/>
          <w:sz w:val="16"/>
          <w:szCs w:val="16"/>
        </w:rPr>
        <w:softHyphen/>
        <w:t>ходимости в больших аппаратах лучше выработать новый тип чем зани</w:t>
      </w:r>
      <w:r>
        <w:rPr>
          <w:rFonts w:ascii="Times New Roman" w:hAnsi="Times New Roman" w:cs="Times New Roman"/>
          <w:color w:val="0070C0"/>
          <w:sz w:val="16"/>
          <w:szCs w:val="16"/>
        </w:rPr>
        <w:t xml:space="preserve">маться </w:t>
      </w:r>
      <w:r w:rsidRPr="00815ED5">
        <w:rPr>
          <w:rFonts w:ascii="Times New Roman" w:hAnsi="Times New Roman" w:cs="Times New Roman"/>
          <w:color w:val="0070C0"/>
          <w:sz w:val="16"/>
          <w:szCs w:val="16"/>
        </w:rPr>
        <w:t>улучшением</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"Ильи Муромца".</w:t>
      </w:r>
    </w:p>
    <w:p w14:paraId="79B63A85" w14:textId="77777777" w:rsidR="00480E2E" w:rsidRPr="00815ED5" w:rsidRDefault="00480E2E"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Т</w:t>
      </w:r>
      <w:r w:rsidRPr="00815ED5">
        <w:rPr>
          <w:rFonts w:ascii="Times New Roman" w:hAnsi="Times New Roman" w:cs="Times New Roman"/>
          <w:color w:val="0070C0"/>
          <w:sz w:val="16"/>
          <w:szCs w:val="16"/>
        </w:rPr>
        <w:t>ехнический комитет дал указание</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улучшению прочности этого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самолета.</w:t>
      </w:r>
    </w:p>
    <w:p w14:paraId="5EEFFCC5" w14:textId="77777777" w:rsidR="00480E2E" w:rsidRDefault="00480E2E"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/ЦГВИА, ф.</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815ED5">
        <w:rPr>
          <w:rFonts w:ascii="Times New Roman" w:hAnsi="Times New Roman" w:cs="Times New Roman"/>
          <w:color w:val="0070C0"/>
          <w:sz w:val="16"/>
          <w:szCs w:val="16"/>
        </w:rPr>
        <w:t xml:space="preserve">. 3, </w:t>
      </w:r>
      <w:r>
        <w:rPr>
          <w:rFonts w:ascii="Times New Roman" w:hAnsi="Times New Roman" w:cs="Times New Roman"/>
          <w:color w:val="0070C0"/>
          <w:sz w:val="16"/>
          <w:szCs w:val="16"/>
        </w:rPr>
        <w:t>д</w:t>
      </w:r>
      <w:r w:rsidRPr="00815ED5">
        <w:rPr>
          <w:rFonts w:ascii="Times New Roman" w:hAnsi="Times New Roman" w:cs="Times New Roman"/>
          <w:color w:val="0070C0"/>
          <w:sz w:val="16"/>
          <w:szCs w:val="16"/>
        </w:rPr>
        <w:t xml:space="preserve">. 125, </w:t>
      </w:r>
      <w:r>
        <w:rPr>
          <w:rFonts w:ascii="Times New Roman" w:hAnsi="Times New Roman" w:cs="Times New Roman"/>
          <w:color w:val="0070C0"/>
          <w:sz w:val="16"/>
          <w:szCs w:val="16"/>
        </w:rPr>
        <w:t>лл</w:t>
      </w:r>
      <w:r w:rsidRPr="00815ED5">
        <w:rPr>
          <w:rFonts w:ascii="Times New Roman" w:hAnsi="Times New Roman" w:cs="Times New Roman"/>
          <w:color w:val="0070C0"/>
          <w:sz w:val="16"/>
          <w:szCs w:val="16"/>
        </w:rPr>
        <w:t>. 136-13</w:t>
      </w:r>
      <w:r>
        <w:rPr>
          <w:rFonts w:ascii="Times New Roman" w:hAnsi="Times New Roman" w:cs="Times New Roman"/>
          <w:color w:val="0070C0"/>
          <w:sz w:val="16"/>
          <w:szCs w:val="16"/>
        </w:rPr>
        <w:t>9</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37C10688" w14:textId="77777777" w:rsidR="00480E2E" w:rsidRPr="00815ED5" w:rsidRDefault="00480E2E" w:rsidP="0083075A">
      <w:pPr>
        <w:spacing w:after="0" w:line="240" w:lineRule="auto"/>
        <w:jc w:val="both"/>
        <w:rPr>
          <w:rFonts w:ascii="Times New Roman" w:hAnsi="Times New Roman" w:cs="Times New Roman"/>
          <w:color w:val="0070C0"/>
          <w:sz w:val="16"/>
          <w:szCs w:val="16"/>
        </w:rPr>
      </w:pPr>
    </w:p>
    <w:p w14:paraId="740313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мая (5 июня) 1917 года была подготовлена АЭРОДИНАМИЧЕСКАЯ ОЦЕНКА И ПОВЕРОЧНЫЙ РАСЧЕТ ПРОЧНОСТИ АЭРОПЛАНОВ “ИЛЬЯ МУРОМЕЦ”</w:t>
      </w:r>
    </w:p>
    <w:p w14:paraId="3509B4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 аэропланах “Илья Муромец” Из журнала технического комитета УВВФ от 23 мая 1917 года, № 79</w:t>
      </w:r>
    </w:p>
    <w:p w14:paraId="504CCF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Председательствовал полковник Яковлев.</w:t>
      </w:r>
    </w:p>
    <w:p w14:paraId="2DCAFD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заседаниях 20 и 23 мая Технический комитет ознакомился с результатами работ комиссии, производящей аэродинамическую оценку и поверочный расчет прочности аэропланов “Илья Муромец” типа Г.</w:t>
      </w:r>
    </w:p>
    <w:p w14:paraId="5F5B93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Из работ упомянутой комиссии следует, что с аэродинамической стороны аэропланы “Илья Муромец” в общем удовлетворительны, но все же имеют некоторые недочеты, сводящиеся к следующему:</w:t>
      </w:r>
    </w:p>
    <w:p w14:paraId="572AE8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Расстояние между несущими поверхностями мало.</w:t>
      </w:r>
    </w:p>
    <w:p w14:paraId="2423F3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Сопротивление корпуса аэроплана, благодаря открыто стоящим моторам и добавочным троссам и проволочкам, является весьма большим.</w:t>
      </w:r>
    </w:p>
    <w:p w14:paraId="1241FF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Благодаря большому лобовому сопротивлению, аппарат имеет малую горизонтальную скорость. Вследствие этого и значительной нагрузки на единицу площади несущих поверхностей, аппарат принужден летать под большими углами встречи и имеет малую восходящую скорость и низкий потолок.</w:t>
      </w:r>
    </w:p>
    <w:p w14:paraId="08E7FE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 Тяга расположена ниже центра тяжести.</w:t>
      </w:r>
    </w:p>
    <w:p w14:paraId="4724E0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 Управление в горизонтальной плоскости, благодаря принятому устройству руля и киля, является весьма грубым и может быгь причиной неблагоприятных явлений.</w:t>
      </w:r>
    </w:p>
    <w:p w14:paraId="6CC80C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 Естественная продольная устойчивость аппарата не велика, что заставляет с большой осторожностью отнестись к установке пулемета на концах хвоста.</w:t>
      </w:r>
    </w:p>
    <w:p w14:paraId="518894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заключение разбора аэродинамических свойств было высказано, что постройка больших аппаратов целыми сериями без подробного изучения их свойств, без лабораторных испытаний моделей и без производства аэродинамических подсчетов на заводе представляется совершенно ненормальным явлением.</w:t>
      </w:r>
    </w:p>
    <w:p w14:paraId="7FBFB2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Поверочный расчет прочности аэроплана показал, что наиболее слабыми частями его являются: диагональные растяжки и средние стойки главной коробки, а также шасси.</w:t>
      </w:r>
    </w:p>
    <w:p w14:paraId="7820E1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того, что завод не мог дать регулировочного чертежа аэроплана и указать величины первоначальной, регулировочной затяжки проволок, расчет прочности аппарата был сделан при разных предположениях о величинах этой затяжки, а также при различных распределениях нагрузок между передней и задней фермами главной коробки. Однако при всех этих расчетах принималось, что аэроплан испытывает напряжение только от своего полного веса, т. е. рассматривался случай нормального горизонтального полета.</w:t>
      </w:r>
    </w:p>
    <w:p w14:paraId="208AB7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результатов расчетов выяснилось, что при наиболее неблагоприятном случае подсчета, т. е. при отнесении почти всего давления воздуха целиком на заднюю ферму (давление воздуха принималось равномерным по площади крыла) и при принятии первоначальной затяжки проволок равным диаграммным усилиям оказывается следующее: напряжения в средних стойках и растяжках главной коробки, а равно и стойках шасси (при расчете на стоянку аппарата) превосходят временные сопротивления их материала или их критическую нагрузку. В лонжеронах главной коробки напряжения достигают половины временного сопротивления.</w:t>
      </w:r>
    </w:p>
    <w:p w14:paraId="049B39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Усилия в хвостовой ферме при повороте руля глубины на 20° близки к критическим. При отклонении руля глубины на обычные величины запас прочности в хвостовой ферме является достаточным.</w:t>
      </w:r>
    </w:p>
    <w:p w14:paraId="5207BC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наиболее благоприятном случае подсчета, т. е. при распределении давления воздуха поровну между передней и задней фермами главной коробки и при отсутствии предварительной затяжки (случай на практике невозможный), оказывается, что запас устойчивости стоек и запас прочности растяжек главной коробки составляют соответственно 2,8 и 2,4. При том же распределении нагрузок, но при первоначальной затяжке растяжек до величины диаграммных усилий, запас устойчивости и прочности получается: для стоек 1,3 и для диагоналей точно также 1,3.</w:t>
      </w:r>
    </w:p>
    <w:p w14:paraId="0DD0FC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Если считать, что первоначальная затяжка будет лишь немного превосходить половину диаграммных усилий, что необходимо для того, чтобы обратные растяжки не болтались в полете, то запасы прочности стоек и растяжек несколько превысят полуторный.</w:t>
      </w:r>
    </w:p>
    <w:p w14:paraId="256212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сравнения вышеприведенных цифр с аналогичными же данными, определенными для аэропланов Фарман-30 и Анатра-Д, следует, что при всех равных условиях упомянутые аэропланы прочнее Муромца примерно в два раза.</w:t>
      </w:r>
    </w:p>
    <w:p w14:paraId="3E7836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Фактическая возможность полетов на аппаратах “Илья Муромец” и даже возможность выполнения на них согласно докладу капитана Журавченко, некоторых резких эволюции, заставляют предполагать, что фактическое распределение нагрузок и предварительная затяжка растяжек в этих аппаратах таковы, что аппарат при нормальных условиях полета имеет некоторый запас прочности, но, как указывалось выше, примерно в два раза меньший, чем у обычных малых аппаратов.</w:t>
      </w:r>
    </w:p>
    <w:p w14:paraId="24CB4D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 как упомянутый запас прочности является по всей вероятности весьма небольшим (как максимум можно считать 1,5), то всякие резкие эволюции на “Муромцах” уже являются для него опасными и потому совершенно недопустимыми.</w:t>
      </w:r>
    </w:p>
    <w:p w14:paraId="2671C9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основании расчетов прочности аппаратов “Илья Муромец”, комиссия, состоявшая из профессоров Фан дёр Флита, Тимошенко и Ботезата, пришла к следующему заключению:</w:t>
      </w:r>
    </w:p>
    <w:p w14:paraId="76514F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С точки зрения прочности аппарат в полете опасен.</w:t>
      </w:r>
    </w:p>
    <w:p w14:paraId="286C60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Дальнейших заказов аппарата этого типа делать не следует.</w:t>
      </w:r>
    </w:p>
    <w:p w14:paraId="60BBDE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В случае необходимости в больших аппаратах лучше выработать новый тип, чем заниматься улучшениями “Ильи Муромца”.</w:t>
      </w:r>
    </w:p>
    <w:p w14:paraId="2256E1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 Прочность аппарата может быть несколько повышена усилением стоек, растяжек и шасси.</w:t>
      </w:r>
    </w:p>
    <w:p w14:paraId="7A1CAB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Однако эти изменения ухудшат полетные качества аэроплана и все же не доведут его прочности до норм, обычных в малых аэропланах.</w:t>
      </w:r>
    </w:p>
    <w:p w14:paraId="38DCC4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осмотре на заводе аэроплана “Илья Муромец” для решения вопроса о способах осуществления намеченных усилений, определилось следующее:</w:t>
      </w:r>
    </w:p>
    <w:p w14:paraId="086E74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A) Момент инерции всех стоек моторных клеток необходимо увеличить на 50 %.</w:t>
      </w:r>
    </w:p>
    <w:p w14:paraId="107A18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Растянутые диагонали обеих ферм главной коробки в 1-й, 2-й, 4-й и 5-й панелях, считая от 4^юзеляжа, необходимо усилить на 50%, т. е. довести их сопротивление разрыву в местах их прикрепления до 3000 кг. Практически это можно осуществить, добавив в каждую упомянутую диагональ по третей 3 1/2 мм проволоке.</w:t>
      </w:r>
    </w:p>
    <w:p w14:paraId="371225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B) Растянутые диагонали третей панели передней и задней ферм главной коробки следует усилить на 20-30 °о. Практически этого можно достигнуть путем улучшения способа крепления этих диагоналей к узлам, доведя временное сопротивление этого крепления до 3200 кг.</w:t>
      </w:r>
    </w:p>
    <w:p w14:paraId="4E3497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 В том же процентном отношении, что и растянутые диагонали следует усилить и обратные диагонали в панелях, указанных в пунктах А, Б и В.</w:t>
      </w:r>
    </w:p>
    <w:p w14:paraId="52ADB5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 В передней ферме помимо сего надо усилить полудиагональ моторной коробки, сделав каждую из них из двух 3,5 мм проволок и поставить кроме того полудиагональ из двух 3 мм проволок в пятой панели от фюзеляжа, дабы предохранить от прогибания стойку между четвертой и пятой панелью.</w:t>
      </w:r>
    </w:p>
    <w:p w14:paraId="6D1F98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 Момент инерции передних стоек шасси надо увеличить на 50 %, поперечную стяжку шасси, проходящую под фюзеляжем, следует сделать из двойного 6-ти мм троса (ныне стоит одиночный).</w:t>
      </w:r>
    </w:p>
    <w:p w14:paraId="70263F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выполнении указанных усилений запас прочности в корабле “Илья Муромец” приблизится к двойному.</w:t>
      </w:r>
    </w:p>
    <w:p w14:paraId="066943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рассмотрении пожеланий, высказанных офицерами Эскадры, вышеупомянутая комиссия нашла желательным обратить внимание завода еще на следующее:</w:t>
      </w:r>
    </w:p>
    <w:p w14:paraId="0F591F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Ж) Просмотреть и усилить крепление органов управления.</w:t>
      </w:r>
    </w:p>
    <w:p w14:paraId="690ECA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Устранить соскакивание тросов, ведущих к крылышкам.</w:t>
      </w:r>
    </w:p>
    <w:p w14:paraId="7778D5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 Усилить расчалками кресло пилота, сделать его мягким и с откидной спинкой.</w:t>
      </w:r>
    </w:p>
    <w:p w14:paraId="7196D2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Снабдить каждый корабль формуляром и регулировочными чертежами.</w:t>
      </w:r>
    </w:p>
    <w:p w14:paraId="42145B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 Увеличить поверхность крылышек.</w:t>
      </w:r>
    </w:p>
    <w:p w14:paraId="21F889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 Применить более рациональные тендера и способы крепления стяжек к узлам.</w:t>
      </w:r>
    </w:p>
    <w:p w14:paraId="56CF54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 Заменить в случае возможности проволочные растяжки тросовыми соответствующей прочности.</w:t>
      </w:r>
    </w:p>
    <w:p w14:paraId="6AE427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 Принять меры к уменьшению лобового сопротивления моторов.</w:t>
      </w:r>
    </w:p>
    <w:p w14:paraId="4DC8C6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 Изготовить винты, соответствующие данным корабля.</w:t>
      </w:r>
    </w:p>
    <w:p w14:paraId="2A7DAB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 Усилить нервюры под дорожками вокруг моторов.</w:t>
      </w:r>
    </w:p>
    <w:p w14:paraId="321FF8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C) Применить более безопасное в пожарном отношении расположение баков.</w:t>
      </w:r>
    </w:p>
    <w:p w14:paraId="0F8600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 Застеклить аппарат возможно более.</w:t>
      </w:r>
    </w:p>
    <w:p w14:paraId="22C007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 Установить подмоторные рамы на лонжеронах без сверления дыр.</w:t>
      </w:r>
    </w:p>
    <w:p w14:paraId="3BF9CE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 Поставить трос от второго мотора к 4-й стойке фюзеляжа, считая от дверей.</w:t>
      </w:r>
    </w:p>
    <w:p w14:paraId="79646C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 Поставить на кораблях индикаторы скоростей Мореля и Сафа.</w:t>
      </w:r>
    </w:p>
    <w:p w14:paraId="1CACC9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дачи заводу указаний по пожеланиям летчиков начальнику Эскадры предложено командировать в Петроград двух офицеров Эскадры.</w:t>
      </w:r>
    </w:p>
    <w:p w14:paraId="2BADE1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вышеизложенное было оглашено в заседании комитета 26 мая сего года, на коем присутствовали член государственного совета Гурко, член государственной думы Половцев, директор Русско-Балтийского завода Ярковский и конструктор аэропланов “Илья Муромец” Сикорский.</w:t>
      </w:r>
    </w:p>
    <w:p w14:paraId="48AD90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 стороны представителей завода возражений по существу вышеизложенного сделано не было, хотя И. И. Сикорский высказывал, что предварительная затяжка у “Ильи Муромца” составляет всего лишь 5-10 % диаграммных усилий, в силу чего запас прочности у них должен быть большим, чем было указано комиссией. Мнение И. И. Сикорского комитетом разделено не было.</w:t>
      </w:r>
    </w:p>
    <w:p w14:paraId="4581D5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Указанные комиссией усиления аэропланов, по заявлению В. И. Яворского, завод выполнить может.</w:t>
      </w:r>
    </w:p>
    <w:p w14:paraId="20EAB1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Изготовление усиленных стоек, стяжек и проч. потребует, по его заявлению, 2-3 недели времени.</w:t>
      </w:r>
    </w:p>
    <w:p w14:paraId="66A4B0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Прибывший из Эскадры военный летчик подпоручик Янковский доложил комитету о трудностях управления аппаратами “Илья Муромец”, “Рено-Балт”. Ввиду этого было найдено необходимым обратить самое серьезное внимание на этот вопрос при предстоящих в Петрограде испытаниях аппарата этого типа.</w:t>
      </w:r>
    </w:p>
    <w:p w14:paraId="5707C6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основании всего вышеизложенного технический комитет пришел к следующему заключению о прочности аппаратов “Илья Муромец” типа Г, как с моторами “Рено-Балт”, так равно и с четырьмя моторами по 150/160 л. с. Для последних аппаратов нижеуказанные коэффициенты безопасности могут быть повышены лишь на 10-20 %.</w:t>
      </w:r>
    </w:p>
    <w:p w14:paraId="60665E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1) Основываясь, с одной стороны, на результат расчетов, а, с другой стороны, на данных о полетах кораблей “Илья Муромец”, можно утверждать, что коэффициент безопасности этих кораблей, учитывая лишь напряжения от полного веса корабля при нормальном горизонтальном полете, не превышает 1,5, тогда как у малых аэропланов корпусного типа (Фарман-30 и Анатра Д) этот коэффициент безопасности не ниже 3.</w:t>
      </w:r>
    </w:p>
    <w:p w14:paraId="525221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Ввиду сего полеты на аэропланах “Илья Муромец” не могут считаться безопасными, хотя условия полетов на больших аппаратах и требуют относительно меньшей прочности. Во всяком случае всякие резкие эволюции на этих аппаратах могут послужить причиной их аварии.</w:t>
      </w:r>
    </w:p>
    <w:p w14:paraId="33CA9E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Для увеличения прочности этих аппаратов, как находящихся в постройке на заводе, так равно и в Эскадре, следует принять меры, указанные в пп. текста настоящего журнала от А до Е. Этими мерами коэффициент безопасности аппаратов “Илья Муромец” можно будет довести до 2. Прочность аппарата при этом будет значительно усилена против первоначальной, хотя и не достигнет прочности малых аппаратов.</w:t>
      </w:r>
    </w:p>
    <w:p w14:paraId="7F25F5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На аппаратах, еще находящихся в постройке, желательно исполнить пожелания Эскадры, указанные в пп. текста настоящего журнала от Ж ДО X. Подлинный за надлежащими подписями (9789).</w:t>
      </w:r>
    </w:p>
    <w:p w14:paraId="6E510A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FE964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02D869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64892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мая (5 июня) 1917 г. была подготовлена Докладная записка Военно-технического комитета Ижевских заводов военному министру о перестройке управления заводами №303</w:t>
      </w:r>
    </w:p>
    <w:p w14:paraId="02EE982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Великий сдвиг государственной жизни страны, вызвавший крупные перемены в по</w:t>
      </w:r>
      <w:r w:rsidRPr="002F2FDF">
        <w:rPr>
          <w:rFonts w:ascii="Times New Roman" w:hAnsi="Times New Roman" w:cs="Times New Roman"/>
          <w:color w:val="000000" w:themeColor="text1"/>
          <w:kern w:val="2"/>
          <w:sz w:val="16"/>
          <w:szCs w:val="16"/>
        </w:rPr>
        <w:softHyphen/>
        <w:t>ложении органов государственного и общественного управления и послуживший могу</w:t>
      </w:r>
      <w:r w:rsidRPr="002F2FDF">
        <w:rPr>
          <w:rFonts w:ascii="Times New Roman" w:hAnsi="Times New Roman" w:cs="Times New Roman"/>
          <w:color w:val="000000" w:themeColor="text1"/>
          <w:kern w:val="2"/>
          <w:sz w:val="16"/>
          <w:szCs w:val="16"/>
        </w:rPr>
        <w:softHyphen/>
        <w:t>чим толчком к пробуждению творческих сил на местах, в жизни Ижевских оружейного и сталеделательного заводов сказался между прочим тем, что заводская администрация нашла необходимым объединиться в организацию с выделением, в качестве своего ис</w:t>
      </w:r>
      <w:r w:rsidRPr="002F2FDF">
        <w:rPr>
          <w:rFonts w:ascii="Times New Roman" w:hAnsi="Times New Roman" w:cs="Times New Roman"/>
          <w:color w:val="000000" w:themeColor="text1"/>
          <w:kern w:val="2"/>
          <w:sz w:val="16"/>
          <w:szCs w:val="16"/>
        </w:rPr>
        <w:softHyphen/>
        <w:t>полнительного органа, существующего в настоящее время Военно-технического коми</w:t>
      </w:r>
      <w:r w:rsidRPr="002F2FDF">
        <w:rPr>
          <w:rFonts w:ascii="Times New Roman" w:hAnsi="Times New Roman" w:cs="Times New Roman"/>
          <w:color w:val="000000" w:themeColor="text1"/>
          <w:kern w:val="2"/>
          <w:sz w:val="16"/>
          <w:szCs w:val="16"/>
        </w:rPr>
        <w:softHyphen/>
        <w:t>тета Ижевских заводов.</w:t>
      </w:r>
    </w:p>
    <w:p w14:paraId="164EF73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состав Комитета избрано всего девять человек, офицеров и чиновников, из них: инженеров пять, техников два, один бухгалтер и один ученый лесовод.</w:t>
      </w:r>
    </w:p>
    <w:p w14:paraId="6E6FC36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Военно-технический комитет, в глубоком сознании ответственности возложенного на него дела общественного служения, начал свою деятельность 22 марта с определения своих целей и задач, которые были установлены им и формулированы следующим обра</w:t>
      </w:r>
      <w:r w:rsidRPr="002F2FDF">
        <w:rPr>
          <w:rFonts w:ascii="Times New Roman" w:hAnsi="Times New Roman" w:cs="Times New Roman"/>
          <w:color w:val="000000" w:themeColor="text1"/>
          <w:kern w:val="2"/>
          <w:sz w:val="16"/>
          <w:szCs w:val="16"/>
        </w:rPr>
        <w:softHyphen/>
        <w:t>зом:</w:t>
      </w:r>
    </w:p>
    <w:p w14:paraId="50A8ABB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всемерное стремление к поднятию производительности Ижевских заводов путем применения технических усовершенствований и устранения условий, препятствующих нормальному ходу заводских работ;</w:t>
      </w:r>
    </w:p>
    <w:p w14:paraId="71CFC4F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проведение в жизнь Ижевских заводов новых условий фабрично-заводской дея</w:t>
      </w:r>
      <w:r w:rsidRPr="002F2FDF">
        <w:rPr>
          <w:rFonts w:ascii="Times New Roman" w:hAnsi="Times New Roman" w:cs="Times New Roman"/>
          <w:color w:val="000000" w:themeColor="text1"/>
          <w:kern w:val="2"/>
          <w:sz w:val="16"/>
          <w:szCs w:val="16"/>
        </w:rPr>
        <w:softHyphen/>
        <w:t>тельности, вытекающих из установления нового государственного строя;</w:t>
      </w:r>
    </w:p>
    <w:p w14:paraId="4AC4613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установление согласованности и объединения действий отдельных представите</w:t>
      </w:r>
      <w:r w:rsidRPr="002F2FDF">
        <w:rPr>
          <w:rFonts w:ascii="Times New Roman" w:hAnsi="Times New Roman" w:cs="Times New Roman"/>
          <w:color w:val="000000" w:themeColor="text1"/>
          <w:kern w:val="2"/>
          <w:sz w:val="16"/>
          <w:szCs w:val="16"/>
        </w:rPr>
        <w:softHyphen/>
        <w:t>лей администрации как по мастерским, так и отделам хозяйственной части.</w:t>
      </w:r>
    </w:p>
    <w:p w14:paraId="6AD2766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вопросу об отношении к другим общественным организациям Военно-техничес</w:t>
      </w:r>
      <w:r w:rsidRPr="002F2FDF">
        <w:rPr>
          <w:rFonts w:ascii="Times New Roman" w:hAnsi="Times New Roman" w:cs="Times New Roman"/>
          <w:color w:val="000000" w:themeColor="text1"/>
          <w:kern w:val="2"/>
          <w:sz w:val="16"/>
          <w:szCs w:val="16"/>
        </w:rPr>
        <w:softHyphen/>
        <w:t>кий комитет, образовавшийся по свободному почину объединенной заводской админи</w:t>
      </w:r>
      <w:r w:rsidRPr="002F2FDF">
        <w:rPr>
          <w:rFonts w:ascii="Times New Roman" w:hAnsi="Times New Roman" w:cs="Times New Roman"/>
          <w:color w:val="000000" w:themeColor="text1"/>
          <w:kern w:val="2"/>
          <w:sz w:val="16"/>
          <w:szCs w:val="16"/>
        </w:rPr>
        <w:softHyphen/>
        <w:t>страции, принял решение:</w:t>
      </w:r>
    </w:p>
    <w:p w14:paraId="2714940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всех своих как деловых-профессиональных, так и гражданских выступлениях дей</w:t>
      </w:r>
      <w:r w:rsidRPr="002F2FDF">
        <w:rPr>
          <w:rFonts w:ascii="Times New Roman" w:hAnsi="Times New Roman" w:cs="Times New Roman"/>
          <w:color w:val="000000" w:themeColor="text1"/>
          <w:kern w:val="2"/>
          <w:sz w:val="16"/>
          <w:szCs w:val="16"/>
        </w:rPr>
        <w:softHyphen/>
        <w:t>ствовать в тесном единении с свободно возникшими в Ижевске организациями: Сове</w:t>
      </w:r>
      <w:r w:rsidRPr="002F2FDF">
        <w:rPr>
          <w:rFonts w:ascii="Times New Roman" w:hAnsi="Times New Roman" w:cs="Times New Roman"/>
          <w:color w:val="000000" w:themeColor="text1"/>
          <w:kern w:val="2"/>
          <w:sz w:val="16"/>
          <w:szCs w:val="16"/>
        </w:rPr>
        <w:softHyphen/>
        <w:t>том рабочих, солдатских и крестьянских депутатов и его исполнительным комитетом, военным комитетом гарнизона, железнодорожным комитетом, комитетом обществен</w:t>
      </w:r>
      <w:r w:rsidRPr="002F2FDF">
        <w:rPr>
          <w:rFonts w:ascii="Times New Roman" w:hAnsi="Times New Roman" w:cs="Times New Roman"/>
          <w:color w:val="000000" w:themeColor="text1"/>
          <w:kern w:val="2"/>
          <w:sz w:val="16"/>
          <w:szCs w:val="16"/>
        </w:rPr>
        <w:softHyphen/>
        <w:t>ной безопасности — путем обоюдного делегирования представителей и участия в пол</w:t>
      </w:r>
      <w:r w:rsidRPr="002F2FDF">
        <w:rPr>
          <w:rFonts w:ascii="Times New Roman" w:hAnsi="Times New Roman" w:cs="Times New Roman"/>
          <w:color w:val="000000" w:themeColor="text1"/>
          <w:kern w:val="2"/>
          <w:sz w:val="16"/>
          <w:szCs w:val="16"/>
        </w:rPr>
        <w:softHyphen/>
        <w:t>ном составе Комитета в пленарных заседаниях названных организаций.</w:t>
      </w:r>
    </w:p>
    <w:p w14:paraId="5B7F7EE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Руководствуясь вышеизложенным, Военно-технический комитет воспользовался присутствием в Ижевске члена Государственной думы С. А. Калинина для подачи ему докладной записки о техниках, удаленных с должностей еще до возникновения Военно-техническог® комитета, по требованиям рабочих.</w:t>
      </w:r>
    </w:p>
    <w:p w14:paraId="45350E4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этой записке, совершенно не касаясь причин, коими было вызвано удаление техни</w:t>
      </w:r>
      <w:r w:rsidRPr="002F2FDF">
        <w:rPr>
          <w:rFonts w:ascii="Times New Roman" w:hAnsi="Times New Roman" w:cs="Times New Roman"/>
          <w:color w:val="000000" w:themeColor="text1"/>
          <w:kern w:val="2"/>
          <w:sz w:val="16"/>
          <w:szCs w:val="16"/>
        </w:rPr>
        <w:softHyphen/>
        <w:t>ков, Военно-технический комитет обрисовал те затруднения по технической части заво</w:t>
      </w:r>
      <w:r w:rsidRPr="002F2FDF">
        <w:rPr>
          <w:rFonts w:ascii="Times New Roman" w:hAnsi="Times New Roman" w:cs="Times New Roman"/>
          <w:color w:val="000000" w:themeColor="text1"/>
          <w:kern w:val="2"/>
          <w:sz w:val="16"/>
          <w:szCs w:val="16"/>
        </w:rPr>
        <w:softHyphen/>
        <w:t>дов, кои возникли в результате одновременного удаления с работ 9 высших техников и 32 мастеров (прил. № 2).</w:t>
      </w:r>
    </w:p>
    <w:p w14:paraId="1F71C53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А. Калинину и представителю Петроградского гарнизона Фокину, посетившим одно из заседаний Военно-технического комитета, были сделаны доклады по вопросам: 1) о снабжении заводов сырыми материалами, 2) об обеспечении заводов техническим персоналом, 3) о расценочной комиссии, 4) о кредитах и 5) по рабочему вопросу.</w:t>
      </w:r>
    </w:p>
    <w:p w14:paraId="6AA869E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Впоследствии по этим вопросам была представлена С. А. Калинину докладная за</w:t>
      </w:r>
      <w:r w:rsidRPr="002F2FDF">
        <w:rPr>
          <w:rFonts w:ascii="Times New Roman" w:hAnsi="Times New Roman" w:cs="Times New Roman"/>
          <w:color w:val="000000" w:themeColor="text1"/>
          <w:kern w:val="2"/>
          <w:sz w:val="16"/>
          <w:szCs w:val="16"/>
        </w:rPr>
        <w:softHyphen/>
        <w:t>писка (прил. № 3).</w:t>
      </w:r>
    </w:p>
    <w:p w14:paraId="59F3E4B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Стремясь этими выступлениями довести до сведения руководящих государственною жизнью страны кругов о неотложных нуждах заводов, Военно-технический комитет в то же время не оставался праздным наблюдателем явлений местной жизни, имеющих то или иное отношение к интересам заводов. Так, на другой же день по сформировании Военно-технический комитет принял самое деятельное участие в совместном с испол</w:t>
      </w:r>
      <w:r w:rsidRPr="002F2FDF">
        <w:rPr>
          <w:rFonts w:ascii="Times New Roman" w:hAnsi="Times New Roman" w:cs="Times New Roman"/>
          <w:color w:val="000000" w:themeColor="text1"/>
          <w:kern w:val="2"/>
          <w:sz w:val="16"/>
          <w:szCs w:val="16"/>
        </w:rPr>
        <w:softHyphen/>
        <w:t>нительным комитетом Совета рабочих, солдатских и крестьянских депутатов и военным комитетом обсуждении вопроса о мерах к поднятию производительности заводов, в ре</w:t>
      </w:r>
      <w:r w:rsidRPr="002F2FDF">
        <w:rPr>
          <w:rFonts w:ascii="Times New Roman" w:hAnsi="Times New Roman" w:cs="Times New Roman"/>
          <w:color w:val="000000" w:themeColor="text1"/>
          <w:kern w:val="2"/>
          <w:sz w:val="16"/>
          <w:szCs w:val="16"/>
        </w:rPr>
        <w:softHyphen/>
        <w:t>зультате которого была вынесена резолюция (прил. № 4), распространенная ^послед</w:t>
      </w:r>
      <w:r w:rsidRPr="002F2FDF">
        <w:rPr>
          <w:rFonts w:ascii="Times New Roman" w:hAnsi="Times New Roman" w:cs="Times New Roman"/>
          <w:color w:val="000000" w:themeColor="text1"/>
          <w:kern w:val="2"/>
          <w:sz w:val="16"/>
          <w:szCs w:val="16"/>
        </w:rPr>
        <w:softHyphen/>
        <w:t>ствии среди рабочих в количестве 6 тыс. экземпляров.</w:t>
      </w:r>
    </w:p>
    <w:p w14:paraId="7C9913F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Когда в общественных организациях был выдвинут вопрос об отстранении от долж</w:t>
      </w:r>
      <w:r w:rsidRPr="002F2FDF">
        <w:rPr>
          <w:rFonts w:ascii="Times New Roman" w:hAnsi="Times New Roman" w:cs="Times New Roman"/>
          <w:color w:val="000000" w:themeColor="text1"/>
          <w:kern w:val="2"/>
          <w:sz w:val="16"/>
          <w:szCs w:val="16"/>
        </w:rPr>
        <w:softHyphen/>
        <w:t>ности генерала Кудрявцева, и. д. начальника заводов, Военно-технический комитет в лице трех своих представителей участвовал в обсуждении этого вопроса в особом совеща</w:t>
      </w:r>
      <w:r w:rsidRPr="002F2FDF">
        <w:rPr>
          <w:rFonts w:ascii="Times New Roman" w:hAnsi="Times New Roman" w:cs="Times New Roman"/>
          <w:color w:val="000000" w:themeColor="text1"/>
          <w:kern w:val="2"/>
          <w:sz w:val="16"/>
          <w:szCs w:val="16"/>
        </w:rPr>
        <w:softHyphen/>
        <w:t>нии представителей комитетов: исполнительного, военного, железнодорожного и об</w:t>
      </w:r>
      <w:r w:rsidRPr="002F2FDF">
        <w:rPr>
          <w:rFonts w:ascii="Times New Roman" w:hAnsi="Times New Roman" w:cs="Times New Roman"/>
          <w:color w:val="000000" w:themeColor="text1"/>
          <w:kern w:val="2"/>
          <w:sz w:val="16"/>
          <w:szCs w:val="16"/>
        </w:rPr>
        <w:softHyphen/>
        <w:t>щественной безопасности. Совещание признало возможным оставление на месте гене</w:t>
      </w:r>
      <w:r w:rsidRPr="002F2FDF">
        <w:rPr>
          <w:rFonts w:ascii="Times New Roman" w:hAnsi="Times New Roman" w:cs="Times New Roman"/>
          <w:color w:val="000000" w:themeColor="text1"/>
          <w:kern w:val="2"/>
          <w:sz w:val="16"/>
          <w:szCs w:val="16"/>
        </w:rPr>
        <w:softHyphen/>
        <w:t>рала Кудрявцева при условии создания Комитета управления, состоящего из начальни</w:t>
      </w:r>
      <w:r w:rsidRPr="002F2FDF">
        <w:rPr>
          <w:rFonts w:ascii="Times New Roman" w:hAnsi="Times New Roman" w:cs="Times New Roman"/>
          <w:color w:val="000000" w:themeColor="text1"/>
          <w:kern w:val="2"/>
          <w:sz w:val="16"/>
          <w:szCs w:val="16"/>
        </w:rPr>
        <w:softHyphen/>
        <w:t>ка заводов, высших представителей отдельных частей управления и представителя рабо</w:t>
      </w:r>
      <w:r w:rsidRPr="002F2FDF">
        <w:rPr>
          <w:rFonts w:ascii="Times New Roman" w:hAnsi="Times New Roman" w:cs="Times New Roman"/>
          <w:color w:val="000000" w:themeColor="text1"/>
          <w:kern w:val="2"/>
          <w:sz w:val="16"/>
          <w:szCs w:val="16"/>
        </w:rPr>
        <w:softHyphen/>
        <w:t>чего класса (прил. № 5).</w:t>
      </w:r>
    </w:p>
    <w:p w14:paraId="17A0F23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Отношение Военно-технического комитета к политическому моменту нашло свое выра</w:t>
      </w:r>
      <w:r w:rsidRPr="002F2FDF">
        <w:rPr>
          <w:rFonts w:ascii="Times New Roman" w:hAnsi="Times New Roman" w:cs="Times New Roman"/>
          <w:color w:val="000000" w:themeColor="text1"/>
          <w:kern w:val="2"/>
          <w:sz w:val="16"/>
          <w:szCs w:val="16"/>
        </w:rPr>
        <w:softHyphen/>
        <w:t>жение в телеграммах на имя г. министра-председателя, Временного комитета Государствен</w:t>
      </w:r>
      <w:r w:rsidRPr="002F2FDF">
        <w:rPr>
          <w:rFonts w:ascii="Times New Roman" w:hAnsi="Times New Roman" w:cs="Times New Roman"/>
          <w:color w:val="000000" w:themeColor="text1"/>
          <w:kern w:val="2"/>
          <w:sz w:val="16"/>
          <w:szCs w:val="16"/>
        </w:rPr>
        <w:softHyphen/>
        <w:t>ной думы и Петроградского Совета рабочих и солдатских депутатов (прил. №№ 6 и 7).</w:t>
      </w:r>
    </w:p>
    <w:p w14:paraId="14799E1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все время существования, с 22 марта, Военно-технический комитет имел 25 соб</w:t>
      </w:r>
      <w:r w:rsidRPr="002F2FDF">
        <w:rPr>
          <w:rFonts w:ascii="Times New Roman" w:hAnsi="Times New Roman" w:cs="Times New Roman"/>
          <w:color w:val="000000" w:themeColor="text1"/>
          <w:kern w:val="2"/>
          <w:sz w:val="16"/>
          <w:szCs w:val="16"/>
        </w:rPr>
        <w:softHyphen/>
        <w:t>ственных заседаний, участвовал в 8 соединенных собраниях ижевских комитетов, выне</w:t>
      </w:r>
      <w:r w:rsidRPr="002F2FDF">
        <w:rPr>
          <w:rFonts w:ascii="Times New Roman" w:hAnsi="Times New Roman" w:cs="Times New Roman"/>
          <w:color w:val="000000" w:themeColor="text1"/>
          <w:kern w:val="2"/>
          <w:sz w:val="16"/>
          <w:szCs w:val="16"/>
        </w:rPr>
        <w:softHyphen/>
        <w:t>сено свыше 200 постановлений по разным вопросам.</w:t>
      </w:r>
    </w:p>
    <w:p w14:paraId="18B3D93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Член Государственной думы С. А. Калинин, ознакомившись с нуждами заводов, а также с задачами и деятельностью Военно-технического комитета, обратился к Комите</w:t>
      </w:r>
      <w:r w:rsidRPr="002F2FDF">
        <w:rPr>
          <w:rFonts w:ascii="Times New Roman" w:hAnsi="Times New Roman" w:cs="Times New Roman"/>
          <w:color w:val="000000" w:themeColor="text1"/>
          <w:kern w:val="2"/>
          <w:sz w:val="16"/>
          <w:szCs w:val="16"/>
        </w:rPr>
        <w:softHyphen/>
        <w:t>ту с призывом к неустанной работе на благо заводов, начальнику же заводов рекомендо</w:t>
      </w:r>
      <w:r w:rsidRPr="002F2FDF">
        <w:rPr>
          <w:rFonts w:ascii="Times New Roman" w:hAnsi="Times New Roman" w:cs="Times New Roman"/>
          <w:color w:val="000000" w:themeColor="text1"/>
          <w:kern w:val="2"/>
          <w:sz w:val="16"/>
          <w:szCs w:val="16"/>
        </w:rPr>
        <w:softHyphen/>
        <w:t>вал признать в лице Комитета своего ближайшего сотрудника по всем вопросам управле</w:t>
      </w:r>
      <w:r w:rsidRPr="002F2FDF">
        <w:rPr>
          <w:rFonts w:ascii="Times New Roman" w:hAnsi="Times New Roman" w:cs="Times New Roman"/>
          <w:color w:val="000000" w:themeColor="text1"/>
          <w:kern w:val="2"/>
          <w:sz w:val="16"/>
          <w:szCs w:val="16"/>
        </w:rPr>
        <w:softHyphen/>
        <w:t>ния заводами (прил. № 8).</w:t>
      </w:r>
    </w:p>
    <w:p w14:paraId="469FDCA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доведении до сведения общего собрания заводской администрации пожеланий С. А. Калинина и постановления особого совещания представителей комитетов о на</w:t>
      </w:r>
      <w:r w:rsidRPr="002F2FDF">
        <w:rPr>
          <w:rFonts w:ascii="Times New Roman" w:hAnsi="Times New Roman" w:cs="Times New Roman"/>
          <w:color w:val="000000" w:themeColor="text1"/>
          <w:kern w:val="2"/>
          <w:sz w:val="16"/>
          <w:szCs w:val="16"/>
        </w:rPr>
        <w:softHyphen/>
        <w:t>чальнике заводов и Комитете управления, собрание по вопросу о задачах Военно-техни</w:t>
      </w:r>
      <w:r w:rsidRPr="002F2FDF">
        <w:rPr>
          <w:rFonts w:ascii="Times New Roman" w:hAnsi="Times New Roman" w:cs="Times New Roman"/>
          <w:color w:val="000000" w:themeColor="text1"/>
          <w:kern w:val="2"/>
          <w:sz w:val="16"/>
          <w:szCs w:val="16"/>
        </w:rPr>
        <w:softHyphen/>
        <w:t>ческого комитета постановило: исходить из указаний С. А. Калинина, вследствие чего Военно-технический комитет должен занять положение авторитетно-совещательного органа при начальнике заводов, и предложило Комитету выработать программу своей дальнейшей деятельности (приложение № 9).</w:t>
      </w:r>
    </w:p>
    <w:p w14:paraId="7DE1DBA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Приступив, во исполнение приведенного выше постановления общего собрания, к обсуждению вопроса о программе, Военно-технический комитет не мог не признать:</w:t>
      </w:r>
    </w:p>
    <w:p w14:paraId="5CB534D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что Ижевские заводы, с их различными и многочисленными производствами, с их огромным хозяйственным инвентарем, железными дорогами, лесами, кирпичными за</w:t>
      </w:r>
      <w:r w:rsidRPr="002F2FDF">
        <w:rPr>
          <w:rFonts w:ascii="Times New Roman" w:hAnsi="Times New Roman" w:cs="Times New Roman"/>
          <w:color w:val="000000" w:themeColor="text1"/>
          <w:kern w:val="2"/>
          <w:sz w:val="16"/>
          <w:szCs w:val="16"/>
        </w:rPr>
        <w:softHyphen/>
        <w:t>водами, лесопилками, смолокуренными и углеобжигательными печами, флотилией и проч., с их колоссальными хозяйственными операциями по заготовлению материалов для беспрерывной деятельности обоих заводов, — в настоящее время представляют со</w:t>
      </w:r>
      <w:r w:rsidRPr="002F2FDF">
        <w:rPr>
          <w:rFonts w:ascii="Times New Roman" w:hAnsi="Times New Roman" w:cs="Times New Roman"/>
          <w:color w:val="000000" w:themeColor="text1"/>
          <w:kern w:val="2"/>
          <w:sz w:val="16"/>
          <w:szCs w:val="16"/>
        </w:rPr>
        <w:softHyphen/>
        <w:t>бой крупнейшее в России казенное фабрично-заводское предприятие. Обнять многооб</w:t>
      </w:r>
      <w:r w:rsidRPr="002F2FDF">
        <w:rPr>
          <w:rFonts w:ascii="Times New Roman" w:hAnsi="Times New Roman" w:cs="Times New Roman"/>
          <w:color w:val="000000" w:themeColor="text1"/>
          <w:kern w:val="2"/>
          <w:sz w:val="16"/>
          <w:szCs w:val="16"/>
        </w:rPr>
        <w:softHyphen/>
        <w:t>разные потребности этого предприятия и управлять с одинаковыми знанием и успехом всеми отраслями административной, технической и хозяйственной частей в настоящее время, когда жизнь настойчиво предъявляет все новые и новые требования к высшей администрации, - совершенно не под силу одному лицу; необходимо прийти ему в этом отношении на помощь разделением его единоличных трудов между членами коллегии, несущей полную ответственность за свои действия;</w:t>
      </w:r>
    </w:p>
    <w:p w14:paraId="2EBA0B5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отсталость заводов в техническом оборудовании, чему причиной является слепое поклонение старине, достигающее порой культа старины;</w:t>
      </w:r>
    </w:p>
    <w:p w14:paraId="325177D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неподвижность, инертность во всем строе заводской жизни; причина - чиновни</w:t>
      </w:r>
      <w:r w:rsidRPr="002F2FDF">
        <w:rPr>
          <w:rFonts w:ascii="Times New Roman" w:hAnsi="Times New Roman" w:cs="Times New Roman"/>
          <w:color w:val="000000" w:themeColor="text1"/>
          <w:kern w:val="2"/>
          <w:sz w:val="16"/>
          <w:szCs w:val="16"/>
        </w:rPr>
        <w:softHyphen/>
        <w:t>чий дух;</w:t>
      </w:r>
    </w:p>
    <w:p w14:paraId="7A6E991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невозможность принятия быстрых, ответственных решений вследствие необходи</w:t>
      </w:r>
      <w:r w:rsidRPr="002F2FDF">
        <w:rPr>
          <w:rFonts w:ascii="Times New Roman" w:hAnsi="Times New Roman" w:cs="Times New Roman"/>
          <w:color w:val="000000" w:themeColor="text1"/>
          <w:kern w:val="2"/>
          <w:sz w:val="16"/>
          <w:szCs w:val="16"/>
        </w:rPr>
        <w:softHyphen/>
        <w:t>мости испрашивания санкций ГАУ и др. инстанций;</w:t>
      </w:r>
    </w:p>
    <w:p w14:paraId="7FF4E7F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весьма часто неподходящий персонал на ответственных местах; причина — госу</w:t>
      </w:r>
      <w:r w:rsidRPr="002F2FDF">
        <w:rPr>
          <w:rFonts w:ascii="Times New Roman" w:hAnsi="Times New Roman" w:cs="Times New Roman"/>
          <w:color w:val="000000" w:themeColor="text1"/>
          <w:kern w:val="2"/>
          <w:sz w:val="16"/>
          <w:szCs w:val="16"/>
        </w:rPr>
        <w:softHyphen/>
        <w:t>дарственная служба, при которой человек, имея за собой определенный срок службы или чин, получает право на занятие той или иной ответственной должности независимо от своих знаний, дарований, опыта и т. п.;</w:t>
      </w:r>
    </w:p>
    <w:p w14:paraId="7173E77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малый интерес, проявляемый отдельными лицами служебного персонала к делу — казенное отношение;</w:t>
      </w:r>
    </w:p>
    <w:p w14:paraId="0682A58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что живое заводское дело топится в ворохах исписанной бумаги, отнимая дорогое время на писание их;</w:t>
      </w:r>
    </w:p>
    <w:p w14:paraId="5D141C6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что среди представителей заводской администрации имеются серьезные знатоки фабрично-заводской жизни, способные в переживаемое бурное время направлять опыт</w:t>
      </w:r>
      <w:r w:rsidRPr="002F2FDF">
        <w:rPr>
          <w:rFonts w:ascii="Times New Roman" w:hAnsi="Times New Roman" w:cs="Times New Roman"/>
          <w:color w:val="000000" w:themeColor="text1"/>
          <w:kern w:val="2"/>
          <w:sz w:val="16"/>
          <w:szCs w:val="16"/>
        </w:rPr>
        <w:softHyphen/>
        <w:t>ною и уверенною рукою течение важнейших отраслей заводского дела.</w:t>
      </w:r>
    </w:p>
    <w:p w14:paraId="679293C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Кроме того, Военно-технический комитет не может обойти молчанием отрицатель</w:t>
      </w:r>
      <w:r w:rsidRPr="002F2FDF">
        <w:rPr>
          <w:rFonts w:ascii="Times New Roman" w:hAnsi="Times New Roman" w:cs="Times New Roman"/>
          <w:color w:val="000000" w:themeColor="text1"/>
          <w:kern w:val="2"/>
          <w:sz w:val="16"/>
          <w:szCs w:val="16"/>
        </w:rPr>
        <w:softHyphen/>
        <w:t>ных сторон зависимости заводов от ГАУ. Проследив взаимоотношения между заводо</w:t>
      </w:r>
      <w:r w:rsidRPr="002F2FDF">
        <w:rPr>
          <w:rFonts w:ascii="Times New Roman" w:hAnsi="Times New Roman" w:cs="Times New Roman"/>
          <w:color w:val="000000" w:themeColor="text1"/>
          <w:kern w:val="2"/>
          <w:sz w:val="16"/>
          <w:szCs w:val="16"/>
        </w:rPr>
        <w:softHyphen/>
        <w:t>управлением и Главным артиллерийским управлением на протяжении целого ряда лет, изучив характер их как со стороны юридической, так и практической деловой повседнев</w:t>
      </w:r>
      <w:r w:rsidRPr="002F2FDF">
        <w:rPr>
          <w:rFonts w:ascii="Times New Roman" w:hAnsi="Times New Roman" w:cs="Times New Roman"/>
          <w:color w:val="000000" w:themeColor="text1"/>
          <w:kern w:val="2"/>
          <w:sz w:val="16"/>
          <w:szCs w:val="16"/>
        </w:rPr>
        <w:softHyphen/>
        <w:t>ности, Военно-технический комитет вынес определенно отрицательное отношение к роли и значению ГАУ в жизни заводов.</w:t>
      </w:r>
    </w:p>
    <w:p w14:paraId="7D3B220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Эти отношения, проникнутые духом недоверия, опеки, лишая местных работников самодеятельности и инициативы, порождают на местах медлительность в течении дел, желание уклониться от личной ответственности путем перенесения дел на рассмотрение высших инстанций.</w:t>
      </w:r>
    </w:p>
    <w:p w14:paraId="6094B13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Вследствие изложенного, полагая, что зависимость заводов от Главного артиллерий</w:t>
      </w:r>
      <w:r w:rsidRPr="002F2FDF">
        <w:rPr>
          <w:rFonts w:ascii="Times New Roman" w:hAnsi="Times New Roman" w:cs="Times New Roman"/>
          <w:color w:val="000000" w:themeColor="text1"/>
          <w:kern w:val="2"/>
          <w:sz w:val="16"/>
          <w:szCs w:val="16"/>
        </w:rPr>
        <w:softHyphen/>
        <w:t>ского управления должна быть сведена до самых минимальных пределов и вылиться в такие, приблизительно, формы, какие существуют между правлениями и управлениями некоторых частных промышленных предприятий, Военно-</w:t>
      </w:r>
      <w:r w:rsidRPr="002F2FDF">
        <w:rPr>
          <w:rFonts w:ascii="Times New Roman" w:hAnsi="Times New Roman" w:cs="Times New Roman"/>
          <w:color w:val="000000" w:themeColor="text1"/>
          <w:kern w:val="2"/>
          <w:sz w:val="16"/>
          <w:szCs w:val="16"/>
        </w:rPr>
        <w:lastRenderedPageBreak/>
        <w:t>технический комитет при</w:t>
      </w:r>
      <w:r w:rsidRPr="002F2FDF">
        <w:rPr>
          <w:rFonts w:ascii="Times New Roman" w:hAnsi="Times New Roman" w:cs="Times New Roman"/>
          <w:color w:val="000000" w:themeColor="text1"/>
          <w:kern w:val="2"/>
          <w:sz w:val="16"/>
          <w:szCs w:val="16"/>
        </w:rPr>
        <w:softHyphen/>
        <w:t>шел к единодушному заключению, что польза дела и обстоятельства времени повели</w:t>
      </w:r>
      <w:r w:rsidRPr="002F2FDF">
        <w:rPr>
          <w:rFonts w:ascii="Times New Roman" w:hAnsi="Times New Roman" w:cs="Times New Roman"/>
          <w:color w:val="000000" w:themeColor="text1"/>
          <w:kern w:val="2"/>
          <w:sz w:val="16"/>
          <w:szCs w:val="16"/>
        </w:rPr>
        <w:softHyphen/>
        <w:t>тельно выдвигают на очередь вопрос о полной реорганизации заводоуправления на на</w:t>
      </w:r>
      <w:r w:rsidRPr="002F2FDF">
        <w:rPr>
          <w:rFonts w:ascii="Times New Roman" w:hAnsi="Times New Roman" w:cs="Times New Roman"/>
          <w:color w:val="000000" w:themeColor="text1"/>
          <w:kern w:val="2"/>
          <w:sz w:val="16"/>
          <w:szCs w:val="16"/>
        </w:rPr>
        <w:softHyphen/>
        <w:t>чалах самоуправления и выборности, замены единоличного управления началом колле</w:t>
      </w:r>
      <w:r w:rsidRPr="002F2FDF">
        <w:rPr>
          <w:rFonts w:ascii="Times New Roman" w:hAnsi="Times New Roman" w:cs="Times New Roman"/>
          <w:color w:val="000000" w:themeColor="text1"/>
          <w:kern w:val="2"/>
          <w:sz w:val="16"/>
          <w:szCs w:val="16"/>
        </w:rPr>
        <w:softHyphen/>
        <w:t>гиальным.</w:t>
      </w:r>
    </w:p>
    <w:p w14:paraId="435E986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в основу своих работ по выработке программы Военно-технический комитет положил принципы децентрализации и демократизации управления завода</w:t>
      </w:r>
      <w:r w:rsidRPr="002F2FDF">
        <w:rPr>
          <w:rFonts w:ascii="Times New Roman" w:hAnsi="Times New Roman" w:cs="Times New Roman"/>
          <w:color w:val="000000" w:themeColor="text1"/>
          <w:kern w:val="2"/>
          <w:sz w:val="16"/>
          <w:szCs w:val="16"/>
        </w:rPr>
        <w:softHyphen/>
        <w:t>ми. По глубокому его убеждению, только последовательное проведение в жизнь этих принципов может дать положительные ответы на все другие, большей или меньшей важ</w:t>
      </w:r>
      <w:r w:rsidRPr="002F2FDF">
        <w:rPr>
          <w:rFonts w:ascii="Times New Roman" w:hAnsi="Times New Roman" w:cs="Times New Roman"/>
          <w:color w:val="000000" w:themeColor="text1"/>
          <w:kern w:val="2"/>
          <w:sz w:val="16"/>
          <w:szCs w:val="16"/>
        </w:rPr>
        <w:softHyphen/>
        <w:t>ности, вопросы заводской жизни.</w:t>
      </w:r>
    </w:p>
    <w:p w14:paraId="1F09FEC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Выработанная в указанном духе программа была принята с некоторыми поправками как общим собранием заводской администрации 30 апреля, так и соединенным собра</w:t>
      </w:r>
      <w:r w:rsidRPr="002F2FDF">
        <w:rPr>
          <w:rFonts w:ascii="Times New Roman" w:hAnsi="Times New Roman" w:cs="Times New Roman"/>
          <w:color w:val="000000" w:themeColor="text1"/>
          <w:kern w:val="2"/>
          <w:sz w:val="16"/>
          <w:szCs w:val="16"/>
        </w:rPr>
        <w:softHyphen/>
        <w:t>нием 5 мая пяти комитетов: исполнительного Совета рабочих, солдатских и крестьянс</w:t>
      </w:r>
      <w:r w:rsidRPr="002F2FDF">
        <w:rPr>
          <w:rFonts w:ascii="Times New Roman" w:hAnsi="Times New Roman" w:cs="Times New Roman"/>
          <w:color w:val="000000" w:themeColor="text1"/>
          <w:kern w:val="2"/>
          <w:sz w:val="16"/>
          <w:szCs w:val="16"/>
        </w:rPr>
        <w:softHyphen/>
        <w:t>ких депутатов, военного, железнодорожного, общественной безопасности и Военно-тех</w:t>
      </w:r>
      <w:r w:rsidRPr="002F2FDF">
        <w:rPr>
          <w:rFonts w:ascii="Times New Roman" w:hAnsi="Times New Roman" w:cs="Times New Roman"/>
          <w:color w:val="000000" w:themeColor="text1"/>
          <w:kern w:val="2"/>
          <w:sz w:val="16"/>
          <w:szCs w:val="16"/>
        </w:rPr>
        <w:softHyphen/>
        <w:t>нического комитета (прил. № 10 и 11).</w:t>
      </w:r>
    </w:p>
    <w:p w14:paraId="5D7F5A0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чувством глубокого удовлетворения Военно-технический комитет констатирует, что его программа встречена самым искренним сочувствием представителями организо</w:t>
      </w:r>
      <w:r w:rsidRPr="002F2FDF">
        <w:rPr>
          <w:rFonts w:ascii="Times New Roman" w:hAnsi="Times New Roman" w:cs="Times New Roman"/>
          <w:color w:val="000000" w:themeColor="text1"/>
          <w:kern w:val="2"/>
          <w:sz w:val="16"/>
          <w:szCs w:val="16"/>
        </w:rPr>
        <w:softHyphen/>
        <w:t>ванного рабочего класса.</w:t>
      </w:r>
    </w:p>
    <w:p w14:paraId="79AD9A8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Военно-технический комитет считает приятным для себя долгом отметить, что его задачи и работы привлекли живейшее внимание не только общественных организаций Ижевска, но также и организаций соседнего с ним Воткинска, а именно: исполнитель</w:t>
      </w:r>
      <w:r w:rsidRPr="002F2FDF">
        <w:rPr>
          <w:rFonts w:ascii="Times New Roman" w:hAnsi="Times New Roman" w:cs="Times New Roman"/>
          <w:color w:val="000000" w:themeColor="text1"/>
          <w:kern w:val="2"/>
          <w:sz w:val="16"/>
          <w:szCs w:val="16"/>
        </w:rPr>
        <w:softHyphen/>
        <w:t>ного комитета Совета рабочих депутатов и Технической комиссии Боткинского завода горногб ведомства, с которым в настоящее время Военно-технический комитет вошел в связь путем делегирования представителей и осведомления о работах, как устно, через делегатов, так и письменно, посылкой журналов заседаний по интересующим вопросам.</w:t>
      </w:r>
    </w:p>
    <w:p w14:paraId="140F158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Уделяя исключительное внимание вопросу спокойного течения заводской жизни, как фактору, имеющему неоспоримое влияние на производительность работ заводов, Военно-технический комитет чутко прислушивается к настроениям рабочих масс, все</w:t>
      </w:r>
      <w:r w:rsidRPr="002F2FDF">
        <w:rPr>
          <w:rFonts w:ascii="Times New Roman" w:hAnsi="Times New Roman" w:cs="Times New Roman"/>
          <w:color w:val="000000" w:themeColor="text1"/>
          <w:kern w:val="2"/>
          <w:sz w:val="16"/>
          <w:szCs w:val="16"/>
        </w:rPr>
        <w:softHyphen/>
        <w:t>мерно стремясь в тесном единении с исполнительным комитетом Совета рабочих, сол</w:t>
      </w:r>
      <w:r w:rsidRPr="002F2FDF">
        <w:rPr>
          <w:rFonts w:ascii="Times New Roman" w:hAnsi="Times New Roman" w:cs="Times New Roman"/>
          <w:color w:val="000000" w:themeColor="text1"/>
          <w:kern w:val="2"/>
          <w:sz w:val="16"/>
          <w:szCs w:val="16"/>
        </w:rPr>
        <w:softHyphen/>
        <w:t>датских и крестьянских депутатов к устранению явлений, могущих вредно отразиться на деятельности заводов. Два месяца совместной работы с представителями исполнительного комитета и другими организациями установили прочную связь между ними и Во</w:t>
      </w:r>
      <w:r w:rsidRPr="002F2FDF">
        <w:rPr>
          <w:rFonts w:ascii="Times New Roman" w:hAnsi="Times New Roman" w:cs="Times New Roman"/>
          <w:color w:val="000000" w:themeColor="text1"/>
          <w:kern w:val="2"/>
          <w:sz w:val="16"/>
          <w:szCs w:val="16"/>
        </w:rPr>
        <w:softHyphen/>
        <w:t>енно-техническим комитетом. В этой связи и взаимном понимании целей и задач, име</w:t>
      </w:r>
      <w:r w:rsidRPr="002F2FDF">
        <w:rPr>
          <w:rFonts w:ascii="Times New Roman" w:hAnsi="Times New Roman" w:cs="Times New Roman"/>
          <w:color w:val="000000" w:themeColor="text1"/>
          <w:kern w:val="2"/>
          <w:sz w:val="16"/>
          <w:szCs w:val="16"/>
        </w:rPr>
        <w:softHyphen/>
        <w:t>ющих конечным результатом процветание заводов, Военно-технический комитет чер</w:t>
      </w:r>
      <w:r w:rsidRPr="002F2FDF">
        <w:rPr>
          <w:rFonts w:ascii="Times New Roman" w:hAnsi="Times New Roman" w:cs="Times New Roman"/>
          <w:color w:val="000000" w:themeColor="text1"/>
          <w:kern w:val="2"/>
          <w:sz w:val="16"/>
          <w:szCs w:val="16"/>
        </w:rPr>
        <w:softHyphen/>
        <w:t>пает веру в жизненность своей работы и силы бодрым и уверенным шагом идти вперед по пути нового строительства заводской жизни.</w:t>
      </w:r>
    </w:p>
    <w:p w14:paraId="21B98AB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Заканчивая свою записку, Военно-технический комитет имеет честь ходатайствовать перед господином военным министром, впредь до выработки законопроекта об управле</w:t>
      </w:r>
      <w:r w:rsidRPr="002F2FDF">
        <w:rPr>
          <w:rFonts w:ascii="Times New Roman" w:hAnsi="Times New Roman" w:cs="Times New Roman"/>
          <w:color w:val="000000" w:themeColor="text1"/>
          <w:kern w:val="2"/>
          <w:sz w:val="16"/>
          <w:szCs w:val="16"/>
        </w:rPr>
        <w:softHyphen/>
        <w:t>нии Ижевскими заводами, о нижеследующем: *'</w:t>
      </w:r>
    </w:p>
    <w:p w14:paraId="660BBB4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об отмене единоличного управления Ижевскими заводами,</w:t>
      </w:r>
    </w:p>
    <w:p w14:paraId="6B1BF44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о введении в названных заводах управления коллегиального, с временным возложе</w:t>
      </w:r>
      <w:r w:rsidRPr="002F2FDF">
        <w:rPr>
          <w:rFonts w:ascii="Times New Roman" w:hAnsi="Times New Roman" w:cs="Times New Roman"/>
          <w:color w:val="000000" w:themeColor="text1"/>
          <w:kern w:val="2"/>
          <w:sz w:val="16"/>
          <w:szCs w:val="16"/>
        </w:rPr>
        <w:softHyphen/>
        <w:t>нием такового на Военно-технический комитет под председательством начальника за</w:t>
      </w:r>
      <w:r w:rsidRPr="002F2FDF">
        <w:rPr>
          <w:rFonts w:ascii="Times New Roman" w:hAnsi="Times New Roman" w:cs="Times New Roman"/>
          <w:color w:val="000000" w:themeColor="text1"/>
          <w:kern w:val="2"/>
          <w:sz w:val="16"/>
          <w:szCs w:val="16"/>
        </w:rPr>
        <w:softHyphen/>
        <w:t>водов, со включением в состав Комитета трех делегатов рабочего класса, с перенесением всех прав и обязанностей с начальника заводов на данную коллегию,</w:t>
      </w:r>
    </w:p>
    <w:p w14:paraId="2A77E43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о расширении прав хозяйственного комитета, с предоставлением ему производить заготовительные операции на всякую сумму, без каких-либо ограничений, с тем чтобы в своих журналах хозяйственный комитет мотивировал правильность принимаемых им решений по целесообразности, и</w:t>
      </w:r>
    </w:p>
    <w:p w14:paraId="547B25A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о введении в Ижевских заводах фактического контроля.</w:t>
      </w:r>
    </w:p>
    <w:p w14:paraId="1360C52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Копию сего Военно-технический комитет постановил представить: господину ми</w:t>
      </w:r>
      <w:r w:rsidRPr="002F2FDF">
        <w:rPr>
          <w:rFonts w:ascii="Times New Roman" w:hAnsi="Times New Roman" w:cs="Times New Roman"/>
          <w:color w:val="000000" w:themeColor="text1"/>
          <w:kern w:val="2"/>
          <w:sz w:val="16"/>
          <w:szCs w:val="16"/>
        </w:rPr>
        <w:softHyphen/>
        <w:t>нистру-председателю кн. Львову, господину помощнику военного министра генералу Маниковскому, Главному артиллерийскому управлению, начальнику Ижевских заводов генералу Кудрявцеву и Центральному комитету по восстановлению и поддержанию нор</w:t>
      </w:r>
      <w:r w:rsidRPr="002F2FDF">
        <w:rPr>
          <w:rFonts w:ascii="Times New Roman" w:hAnsi="Times New Roman" w:cs="Times New Roman"/>
          <w:color w:val="000000" w:themeColor="text1"/>
          <w:kern w:val="2"/>
          <w:sz w:val="16"/>
          <w:szCs w:val="16"/>
        </w:rPr>
        <w:softHyphen/>
        <w:t>мального хода работ в промышленных предприятиях.</w:t>
      </w:r>
    </w:p>
    <w:p w14:paraId="0277125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Председатель Военно-технического комитета Ижевских заводов, прапорщик А. Клеопин</w:t>
      </w:r>
    </w:p>
    <w:p w14:paraId="2D07C33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Члены * Секретарь * РГВИА. Ф. 366. Оп. 1. Д. 53. Л. 12-16. Подлинник (10707,671).</w:t>
      </w:r>
    </w:p>
    <w:p w14:paraId="1DD9CC0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745932" w14:textId="77777777" w:rsidR="005505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58E9F4A" w14:textId="77777777" w:rsidR="005505D2" w:rsidRPr="002F2FDF" w:rsidRDefault="005505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16A5AF" w14:textId="4291AD86" w:rsidR="006B07EF" w:rsidRPr="00FB4F67" w:rsidRDefault="006B07EF"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23 мая (</w:t>
      </w:r>
      <w:r w:rsidRPr="00FB4F67">
        <w:rPr>
          <w:rFonts w:ascii="Times New Roman" w:hAnsi="Times New Roman" w:cs="Times New Roman"/>
          <w:color w:val="0070C0"/>
          <w:sz w:val="16"/>
          <w:szCs w:val="16"/>
        </w:rPr>
        <w:t>5 июня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с неприятельского аэроплана была сброшена бомба на с. Ниспорены Кишиневского уезда (Бессарабия) (23405).</w:t>
      </w:r>
    </w:p>
    <w:p w14:paraId="36DEEED6" w14:textId="77777777" w:rsidR="006B07EF" w:rsidRPr="00FB4F67" w:rsidRDefault="006B07EF" w:rsidP="0083075A">
      <w:pPr>
        <w:spacing w:after="0" w:line="240" w:lineRule="auto"/>
        <w:jc w:val="both"/>
        <w:rPr>
          <w:rFonts w:ascii="Times New Roman" w:hAnsi="Times New Roman" w:cs="Times New Roman"/>
          <w:color w:val="0070C0"/>
          <w:sz w:val="16"/>
          <w:szCs w:val="16"/>
        </w:rPr>
      </w:pPr>
    </w:p>
    <w:p w14:paraId="5B81C8B3" w14:textId="77777777" w:rsidR="005505D2" w:rsidRPr="002F2FDF" w:rsidRDefault="005505D2" w:rsidP="0083075A">
      <w:pPr>
        <w:pStyle w:val="83"/>
        <w:shd w:val="clear" w:color="auto" w:fill="auto"/>
        <w:spacing w:after="0" w:line="240" w:lineRule="auto"/>
        <w:ind w:firstLine="0"/>
        <w:jc w:val="both"/>
        <w:rPr>
          <w:rFonts w:ascii="Times New Roman" w:hAnsi="Times New Roman"/>
          <w:color w:val="000000" w:themeColor="text1"/>
          <w:kern w:val="2"/>
          <w:sz w:val="16"/>
          <w:szCs w:val="16"/>
        </w:rPr>
      </w:pPr>
      <w:r w:rsidRPr="002F2FDF">
        <w:rPr>
          <w:rFonts w:ascii="Times New Roman" w:hAnsi="Times New Roman"/>
          <w:color w:val="000000" w:themeColor="text1"/>
          <w:kern w:val="2"/>
          <w:sz w:val="16"/>
          <w:szCs w:val="16"/>
        </w:rPr>
        <w:t>23 мая (5 июня) 1917 вынуж</w:t>
      </w:r>
      <w:r w:rsidRPr="002F2FDF">
        <w:rPr>
          <w:rFonts w:ascii="Times New Roman" w:hAnsi="Times New Roman"/>
          <w:color w:val="000000" w:themeColor="text1"/>
          <w:kern w:val="2"/>
          <w:sz w:val="16"/>
          <w:szCs w:val="16"/>
        </w:rPr>
        <w:softHyphen/>
        <w:t>денный прыжок из горящего аэро</w:t>
      </w:r>
      <w:r w:rsidRPr="002F2FDF">
        <w:rPr>
          <w:rFonts w:ascii="Times New Roman" w:hAnsi="Times New Roman"/>
          <w:color w:val="000000" w:themeColor="text1"/>
          <w:kern w:val="2"/>
          <w:sz w:val="16"/>
          <w:szCs w:val="16"/>
        </w:rPr>
        <w:softHyphen/>
        <w:t>стата, с высоты 300 м пришлось со</w:t>
      </w:r>
      <w:r w:rsidRPr="002F2FDF">
        <w:rPr>
          <w:rFonts w:ascii="Times New Roman" w:hAnsi="Times New Roman"/>
          <w:color w:val="000000" w:themeColor="text1"/>
          <w:kern w:val="2"/>
          <w:sz w:val="16"/>
          <w:szCs w:val="16"/>
        </w:rPr>
        <w:softHyphen/>
        <w:t>вершить старшему унтер-офицеру Власенко. На его беду, связующая веревка от парашюта почему-то ока</w:t>
      </w:r>
      <w:r w:rsidRPr="002F2FDF">
        <w:rPr>
          <w:rFonts w:ascii="Times New Roman" w:hAnsi="Times New Roman"/>
          <w:color w:val="000000" w:themeColor="text1"/>
          <w:kern w:val="2"/>
          <w:sz w:val="16"/>
          <w:szCs w:val="16"/>
        </w:rPr>
        <w:softHyphen/>
        <w:t>залась не пристегнутой к «помочам». Не теряя времени, Власенко обмо</w:t>
      </w:r>
      <w:r w:rsidRPr="002F2FDF">
        <w:rPr>
          <w:rFonts w:ascii="Times New Roman" w:hAnsi="Times New Roman"/>
          <w:color w:val="000000" w:themeColor="text1"/>
          <w:kern w:val="2"/>
          <w:sz w:val="16"/>
          <w:szCs w:val="16"/>
        </w:rPr>
        <w:softHyphen/>
        <w:t>тал веревку вокруг руки и ринулся вниз. Опустился он с сильными по</w:t>
      </w:r>
      <w:r w:rsidRPr="002F2FDF">
        <w:rPr>
          <w:rFonts w:ascii="Times New Roman" w:hAnsi="Times New Roman"/>
          <w:color w:val="000000" w:themeColor="text1"/>
          <w:kern w:val="2"/>
          <w:sz w:val="16"/>
          <w:szCs w:val="16"/>
        </w:rPr>
        <w:softHyphen/>
        <w:t>резами, но живой (12120).</w:t>
      </w:r>
    </w:p>
    <w:p w14:paraId="1CFD6DAC" w14:textId="77777777" w:rsidR="005505D2" w:rsidRPr="002F2FDF" w:rsidRDefault="005505D2" w:rsidP="0083075A">
      <w:pPr>
        <w:spacing w:after="0" w:line="240" w:lineRule="auto"/>
        <w:jc w:val="both"/>
        <w:rPr>
          <w:rFonts w:ascii="Times New Roman" w:hAnsi="Times New Roman" w:cs="Times New Roman"/>
          <w:color w:val="000000" w:themeColor="text1"/>
          <w:kern w:val="2"/>
          <w:sz w:val="16"/>
          <w:szCs w:val="16"/>
        </w:rPr>
      </w:pPr>
    </w:p>
    <w:p w14:paraId="41650F83" w14:textId="77777777" w:rsidR="000B430C" w:rsidRPr="002F2FDF" w:rsidRDefault="000B430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мая (5 июня) 1917 Русский Черноморский флот затопил несколько турецких парусников с продовольствием и поджег обстрелом с моря крупный склад нефтепродуктов в районе турецкого порта Синоп. Опасаясь высадки русского десанта, местные жители в окрестностях Синопа в панике бежали в горы (17045).</w:t>
      </w:r>
    </w:p>
    <w:p w14:paraId="5D10FEFD" w14:textId="77777777" w:rsidR="000B430C" w:rsidRPr="002F2FDF" w:rsidRDefault="000B430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13070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250261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5310B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мая (5 июня) 1917 Япония пригрозила России интервенцией в случае, если та заключит сепаратный мир с Германией (4962).</w:t>
      </w:r>
    </w:p>
    <w:p w14:paraId="78B4E4C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BA0EF2" w14:textId="77777777" w:rsidR="008626EA" w:rsidRPr="002F2FDF" w:rsidRDefault="008626EA" w:rsidP="0083075A">
      <w:pPr>
        <w:pStyle w:val="rteright"/>
        <w:spacing w:before="0" w:beforeAutospacing="0" w:after="0" w:afterAutospacing="0"/>
        <w:jc w:val="both"/>
        <w:rPr>
          <w:color w:val="000000" w:themeColor="text1"/>
          <w:kern w:val="2"/>
          <w:sz w:val="16"/>
          <w:szCs w:val="16"/>
        </w:rPr>
      </w:pPr>
      <w:r w:rsidRPr="002F2FDF">
        <w:rPr>
          <w:iCs/>
          <w:color w:val="000000" w:themeColor="text1"/>
          <w:kern w:val="2"/>
          <w:sz w:val="16"/>
          <w:szCs w:val="16"/>
        </w:rPr>
        <w:t xml:space="preserve">23 мая (5 июня) 1917 г. </w:t>
      </w:r>
      <w:r w:rsidRPr="002F2FDF">
        <w:rPr>
          <w:color w:val="000000" w:themeColor="text1"/>
          <w:kern w:val="2"/>
          <w:sz w:val="16"/>
          <w:szCs w:val="16"/>
        </w:rPr>
        <w:t>Телеграмма Б. А. Бахметьева из Токио ген. А. А. Маниковскому о невозможности дальнейшего размещения заказов в Японии в связи с отсутствием японской валюты и загруженностью Владивостокского порта.</w:t>
      </w:r>
    </w:p>
    <w:p w14:paraId="52DC339A" w14:textId="0F042F73"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488-489</w:t>
      </w:r>
    </w:p>
    <w:p w14:paraId="64B4850B" w14:textId="5B4F080C" w:rsidR="008626EA" w:rsidRPr="002F2FDF" w:rsidRDefault="008626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ЦГИАЛ ф. 1625, оп 1, д. 681, л. 153—153 об. Заверенная копия.</w:t>
      </w:r>
    </w:p>
    <w:p w14:paraId="7C60D8A0" w14:textId="77777777" w:rsidR="008626EA" w:rsidRPr="002F2FDF" w:rsidRDefault="008626EA" w:rsidP="0083075A">
      <w:pPr>
        <w:pStyle w:val="rtejustify"/>
        <w:spacing w:before="0" w:after="0"/>
        <w:rPr>
          <w:color w:val="000000" w:themeColor="text1"/>
          <w:kern w:val="2"/>
          <w:sz w:val="16"/>
          <w:szCs w:val="16"/>
        </w:rPr>
      </w:pPr>
      <w:r w:rsidRPr="002F2FDF">
        <w:rPr>
          <w:color w:val="000000" w:themeColor="text1"/>
          <w:kern w:val="2"/>
          <w:sz w:val="16"/>
          <w:szCs w:val="16"/>
        </w:rPr>
        <w:t>Учитывая, во-первых, отсутствие в нашем распоряжении японской валюты и полную почти безнадежность получения ее в ближайшем будущем, во-вторых, загруженность Владивостока, откуда скопившиеся грузы могут быть вывезены при интенсивном осуществлении ряда намеченных мер не ранее 8—9 месяцев, при том что надо иметь в виду еще до 100 тыс. г грузов военного назначения, подлежащих отправке туда же но текущим контрактам, совещание в составе посла в Токио, советника посольства-ведущего здесь все переговоры по кредитным операциям, военного и торгового агентов и некоторых членов миссии во главе со мной, едущих в Америку, постановило: дальнейшее помещение в Японии новых заказов считать как по финансовым, так и по политическим соображениям крайне нежелательным и закончить эти заказы намеченным уже приобретением 700 тыс. пар сапог, что совершенно необходимо в целях успокоения общественного мнения Японии, и 150 тыс. винтовок, видимо, нужных армии и уступаемых на весьма льготных условиях платежа. Если впредь в силу ли открытия нового источника японской валюты, либо в силу спешности или невозможности помещения заказа в другом месте пришлось бы обратиться к японскому рынку, необходимо установить за правило делать это через военного агента, отказавшись от ранее практиковавшегося явно убыточного пользования содействием разных малодобросовестных япое-ских и других комиссионеров. К чему приводит пользование услугами этих комиссионеров, видно из случая с предложением винтовок неким Надсуаки, выдающим себя за представителя Окуры, истории с картузной тканью, предложенной в Петрограде Окурой по 90 сен при цепе за ту же самую ткань в Токио 64 сены, покупка в Петрограде седел по 95 иен штука, когда покойный военный агент ген. Самойлов предлагал те же седла по 68 иен штука, заказ Окура на фуфайки и кальсоны от 2 иен 65 сен до 2 иен 40сен за комплект, когда рыночная цена на эти предметы обычно колеблется в пределах 1 иена 50 сен. 22341.</w:t>
      </w:r>
    </w:p>
    <w:p w14:paraId="2A6365F7" w14:textId="77777777" w:rsidR="008626EA" w:rsidRPr="002F2FDF" w:rsidRDefault="008626EA"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Бахметьев (15161).</w:t>
      </w:r>
    </w:p>
    <w:p w14:paraId="424B87AD" w14:textId="77777777" w:rsidR="008626EA" w:rsidRPr="002F2FDF" w:rsidRDefault="008626EA"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66A0D49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30939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F241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мая (5 июня) 1917 года дневной налет на Англию был повторен, а 13 июня 1917 года в полдень над Лондоном появились 17 германскихсамолетов “G”, которые сбросили на портовые сооружения и доки этого столь важного для военной промышленности Антанты города до 4400 кг бомб. Это была 3-я боевая эскадра, которая под уверенным командованием полковника Бранденбурга тщательно готовилась к выполнению этой столь грандиозной задачи, с бесконечной терпеливостью выжидая благоприятного момента. Первая треть июня в районе Канала была очень дождливой и особенно неблагоприятной для дальних экспедиций. 11 июня метеоролог-консультант обратил внимание командира бомбардировочной эскадры на предстоящее улучшение погоды. В связи с этим налет на Лондон был назначен на 13 июня (11282).</w:t>
      </w:r>
    </w:p>
    <w:p w14:paraId="0FD30B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29F9DC" w14:textId="77777777" w:rsidR="009547C9" w:rsidRPr="002F2FDF" w:rsidRDefault="009547C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23 мая (5 июня) 1917 Имперские военно-воздушные силы Германии проводит второй рейд операции Türkenkreuz („Турецкий Крест“) – бомбардировку лндона самолетами. Не имея возможности бомбить Лондон из-за погодных условий, 22 бомбардировщика Gotha G.IV отклоняются к второстепенной цели, объекту Королевского флота в Ширнессе , в результате чего погибло 13 человек в обмен на потерю одного бомбардировщика. Рейд проходит днем (20341).</w:t>
      </w:r>
    </w:p>
    <w:p w14:paraId="0B63560D" w14:textId="77777777" w:rsidR="009547C9" w:rsidRPr="002F2FDF" w:rsidRDefault="009547C9" w:rsidP="0083075A">
      <w:pPr>
        <w:spacing w:after="0" w:line="240" w:lineRule="auto"/>
        <w:jc w:val="both"/>
        <w:rPr>
          <w:rFonts w:ascii="Times New Roman" w:hAnsi="Times New Roman" w:cs="Times New Roman"/>
          <w:color w:val="000000" w:themeColor="text1"/>
          <w:sz w:val="16"/>
          <w:szCs w:val="16"/>
        </w:rPr>
      </w:pPr>
    </w:p>
    <w:p w14:paraId="2E7E1E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мая (5 июня) 1917 - в ночь группа из трех германских двухмоторных трехместных самолетов "Готта", сопровождаемых тремя двухместными "Альбатросами" бомбили аэродром французской истребительной группы "Аистов". Три бомбы упали перед бараками, в которых находились летчики - погибло три человека из 3-й эскадрильи. Эти налеты германских бомбардировщиков на различные объекты в глубоком французском тылу совершались в июне регулярно (11999).</w:t>
      </w:r>
    </w:p>
    <w:p w14:paraId="376F86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7FC875" w14:textId="5D43BECD" w:rsidR="003431D2" w:rsidRPr="002F2FDF" w:rsidRDefault="00AB080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Pr>
          <w:rFonts w:ascii="Times New Roman" w:hAnsi="Times New Roman" w:cs="Times New Roman"/>
          <w:color w:val="000000" w:themeColor="text1"/>
          <w:kern w:val="2"/>
          <w:sz w:val="16"/>
          <w:szCs w:val="16"/>
          <w:lang w:val="en-US"/>
        </w:rPr>
        <w:lastRenderedPageBreak/>
        <w:t>My 23 (</w:t>
      </w:r>
      <w:r w:rsidR="003431D2" w:rsidRPr="002F2FDF">
        <w:rPr>
          <w:rFonts w:ascii="Times New Roman" w:hAnsi="Times New Roman" w:cs="Times New Roman"/>
          <w:color w:val="000000" w:themeColor="text1"/>
          <w:kern w:val="2"/>
          <w:sz w:val="16"/>
          <w:szCs w:val="16"/>
          <w:lang w:val="en-US"/>
        </w:rPr>
        <w:t>June 5</w:t>
      </w:r>
      <w:r>
        <w:rPr>
          <w:rFonts w:ascii="Times New Roman" w:hAnsi="Times New Roman" w:cs="Times New Roman"/>
          <w:color w:val="000000" w:themeColor="text1"/>
          <w:kern w:val="2"/>
          <w:sz w:val="16"/>
          <w:szCs w:val="16"/>
          <w:lang w:val="en-US"/>
        </w:rPr>
        <w:t>)</w:t>
      </w:r>
      <w:r w:rsidR="003431D2" w:rsidRPr="002F2FDF">
        <w:rPr>
          <w:rFonts w:ascii="Times New Roman" w:hAnsi="Times New Roman" w:cs="Times New Roman"/>
          <w:color w:val="000000" w:themeColor="text1"/>
          <w:kern w:val="2"/>
          <w:sz w:val="16"/>
          <w:szCs w:val="16"/>
          <w:lang w:val="en-US"/>
        </w:rPr>
        <w:t>, 1917 The first U.S. military unit sent to France in World War I, the First Aeronautic Detachment, arrived in Pauillac, France, aboard Jupiter (AC 3). The Detachment, consisting of seven officers and 122 enlisted men, including the element aboard Neptune (AC 8) which arrived at St. Nazaire on 8 June, was commanded by Lieutenant Kenneth Whiting. Offloading was completed by 10 June (1090).</w:t>
      </w:r>
    </w:p>
    <w:p w14:paraId="5D3A08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1672263B" w14:textId="434E82F3"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D11AB">
        <w:rPr>
          <w:rFonts w:ascii="Times New Roman" w:hAnsi="Times New Roman" w:cs="Times New Roman"/>
          <w:color w:val="000000" w:themeColor="text1"/>
          <w:kern w:val="2"/>
          <w:sz w:val="16"/>
          <w:szCs w:val="16"/>
          <w:lang w:val="en-US"/>
        </w:rPr>
        <w:t xml:space="preserve">23 </w:t>
      </w:r>
      <w:r w:rsidRPr="002F2FDF">
        <w:rPr>
          <w:rFonts w:ascii="Times New Roman" w:hAnsi="Times New Roman" w:cs="Times New Roman"/>
          <w:color w:val="000000" w:themeColor="text1"/>
          <w:kern w:val="2"/>
          <w:sz w:val="16"/>
          <w:szCs w:val="16"/>
        </w:rPr>
        <w:t>мая</w:t>
      </w:r>
      <w:r w:rsidRPr="000D11AB">
        <w:rPr>
          <w:rFonts w:ascii="Times New Roman" w:hAnsi="Times New Roman" w:cs="Times New Roman"/>
          <w:color w:val="000000" w:themeColor="text1"/>
          <w:kern w:val="2"/>
          <w:sz w:val="16"/>
          <w:szCs w:val="16"/>
          <w:lang w:val="en-US"/>
        </w:rPr>
        <w:t xml:space="preserve"> (5 </w:t>
      </w:r>
      <w:r w:rsidRPr="002F2FDF">
        <w:rPr>
          <w:rFonts w:ascii="Times New Roman" w:hAnsi="Times New Roman" w:cs="Times New Roman"/>
          <w:color w:val="000000" w:themeColor="text1"/>
          <w:kern w:val="2"/>
          <w:sz w:val="16"/>
          <w:szCs w:val="16"/>
        </w:rPr>
        <w:t>июня</w:t>
      </w:r>
      <w:r w:rsidRPr="000D11AB">
        <w:rPr>
          <w:rFonts w:ascii="Times New Roman" w:hAnsi="Times New Roman" w:cs="Times New Roman"/>
          <w:color w:val="000000" w:themeColor="text1"/>
          <w:kern w:val="2"/>
          <w:sz w:val="16"/>
          <w:szCs w:val="16"/>
          <w:lang w:val="en-US"/>
        </w:rPr>
        <w:t xml:space="preserve">) 1917 </w:t>
      </w:r>
      <w:r w:rsidRPr="002F2FDF">
        <w:rPr>
          <w:rFonts w:ascii="Times New Roman" w:hAnsi="Times New Roman" w:cs="Times New Roman"/>
          <w:color w:val="000000" w:themeColor="text1"/>
          <w:kern w:val="2"/>
          <w:sz w:val="16"/>
          <w:szCs w:val="16"/>
        </w:rPr>
        <w:t>Перв</w:t>
      </w:r>
      <w:r w:rsidR="00AB0807">
        <w:rPr>
          <w:rFonts w:ascii="Times New Roman" w:hAnsi="Times New Roman" w:cs="Times New Roman"/>
          <w:color w:val="000000" w:themeColor="text1"/>
          <w:kern w:val="2"/>
          <w:sz w:val="16"/>
          <w:szCs w:val="16"/>
          <w:lang w:val="en-US"/>
        </w:rPr>
        <w:t>fz</w:t>
      </w:r>
      <w:r w:rsidR="00AB0807" w:rsidRPr="000D11AB">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rPr>
        <w:t>авиационная</w:t>
      </w:r>
      <w:r w:rsidR="00AB0807" w:rsidRPr="000D11AB">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rPr>
        <w:t>рота</w:t>
      </w:r>
      <w:r w:rsidRPr="000D11AB">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rPr>
        <w:t>прибывшаяв</w:t>
      </w:r>
      <w:r w:rsidRPr="000D11AB">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lang w:val="en-US"/>
        </w:rPr>
        <w:t>Pauillac</w:t>
      </w:r>
      <w:r w:rsidRPr="000D11AB">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lang w:val="en-US"/>
        </w:rPr>
        <w:t>France</w:t>
      </w:r>
      <w:r w:rsidRPr="000D11AB">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rPr>
        <w:t>наборту</w:t>
      </w:r>
      <w:r w:rsidRPr="000D11AB">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lang w:val="en-US"/>
        </w:rPr>
        <w:t>Jupiter</w:t>
      </w:r>
      <w:r w:rsidRPr="000D11AB">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lang w:val="en-US"/>
        </w:rPr>
        <w:t>AC</w:t>
      </w:r>
      <w:r w:rsidRPr="000D11AB">
        <w:rPr>
          <w:rFonts w:ascii="Times New Roman" w:hAnsi="Times New Roman" w:cs="Times New Roman"/>
          <w:color w:val="000000" w:themeColor="text1"/>
          <w:kern w:val="2"/>
          <w:sz w:val="16"/>
          <w:szCs w:val="16"/>
          <w:lang w:val="en-US"/>
        </w:rPr>
        <w:t xml:space="preserve"> 3) </w:t>
      </w:r>
      <w:r w:rsidRPr="002F2FDF">
        <w:rPr>
          <w:rFonts w:ascii="Times New Roman" w:hAnsi="Times New Roman" w:cs="Times New Roman"/>
          <w:color w:val="000000" w:themeColor="text1"/>
          <w:kern w:val="2"/>
          <w:sz w:val="16"/>
          <w:szCs w:val="16"/>
        </w:rPr>
        <w:t>стала</w:t>
      </w:r>
      <w:r w:rsidR="00AB0807" w:rsidRPr="000D11AB">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rPr>
        <w:t>первой</w:t>
      </w:r>
      <w:r w:rsidR="00AB0807" w:rsidRPr="000D11AB">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rPr>
        <w:t>воинской</w:t>
      </w:r>
      <w:r w:rsidR="00AB0807" w:rsidRPr="000D11AB">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rPr>
        <w:t>частью</w:t>
      </w:r>
      <w:r w:rsidR="00AB0807" w:rsidRPr="000D11AB">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rPr>
        <w:t>США</w:t>
      </w:r>
      <w:r w:rsidRPr="00AB0807">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направленной</w:t>
      </w:r>
      <w:r w:rsidRPr="00AB0807">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w:t>
      </w:r>
      <w:r w:rsidRPr="00AB0807">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Европу</w:t>
      </w:r>
      <w:r w:rsidRPr="00AB0807">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w:t>
      </w:r>
      <w:r w:rsidRPr="00AB0807">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ходе</w:t>
      </w:r>
      <w:r w:rsidRPr="00AB0807">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первой</w:t>
      </w:r>
      <w:r w:rsidRPr="00AB0807">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мировой</w:t>
      </w:r>
      <w:r w:rsidRPr="00AB0807">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войны</w:t>
      </w:r>
      <w:r w:rsidRPr="00AB0807">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Взвод под командованием лейтенанта Kenneth Whiting включал 7 офицеров и 122 военнослужащих, включая взвод на борту Neptune (AC 8), прибывшего в St. Nazaire 8 июня 1917. Разгрузка была закончена к 10 июня 1917 (1090).</w:t>
      </w:r>
    </w:p>
    <w:p w14:paraId="34315E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DB0826" w14:textId="77777777" w:rsidR="009547C9" w:rsidRPr="002F2FDF" w:rsidRDefault="009547C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23 мая (5 июня) 1917 Лейтенанты Королевского летного корпуса Гарольд Сатчелл и Томас Льюис из 20-й эскадрильи сбивают немецкого аса лейтенанта Карла Эмиля Шефера и он погибает. Его 30 побед позволят ему сравняться с пятью другими пилотами и занять 28-е место среди немецких асов Первой мировой войны по результативности (20341).</w:t>
      </w:r>
    </w:p>
    <w:p w14:paraId="0AD46D47" w14:textId="77777777" w:rsidR="009547C9" w:rsidRPr="002F2FDF" w:rsidRDefault="009547C9" w:rsidP="0083075A">
      <w:pPr>
        <w:spacing w:after="0" w:line="240" w:lineRule="auto"/>
        <w:jc w:val="both"/>
        <w:rPr>
          <w:rFonts w:ascii="Times New Roman" w:hAnsi="Times New Roman" w:cs="Times New Roman"/>
          <w:color w:val="000000" w:themeColor="text1"/>
          <w:sz w:val="16"/>
          <w:szCs w:val="16"/>
        </w:rPr>
      </w:pPr>
    </w:p>
    <w:p w14:paraId="64F5EB43" w14:textId="77777777" w:rsidR="000B430C" w:rsidRPr="002F2FDF" w:rsidRDefault="000B430C" w:rsidP="0083075A">
      <w:pPr>
        <w:pStyle w:val="ae"/>
        <w:spacing w:before="0" w:after="0"/>
        <w:jc w:val="both"/>
        <w:rPr>
          <w:color w:val="000000" w:themeColor="text1"/>
          <w:kern w:val="2"/>
          <w:sz w:val="16"/>
          <w:szCs w:val="16"/>
        </w:rPr>
      </w:pPr>
      <w:r w:rsidRPr="002F2FDF">
        <w:rPr>
          <w:color w:val="000000" w:themeColor="text1"/>
          <w:kern w:val="2"/>
          <w:sz w:val="16"/>
          <w:szCs w:val="16"/>
        </w:rPr>
        <w:t>23 мая (5 июня) 1917 австрийские самолеты подвергли бомбардировке окрестности Венеции. В ответ итальянские летчики бомбили порт и промышленные объекты в австрийском Триесте (ныне относится к Италии) (17045).</w:t>
      </w:r>
    </w:p>
    <w:p w14:paraId="494F5529" w14:textId="77777777" w:rsidR="000B430C" w:rsidRPr="002F2FDF" w:rsidRDefault="000B430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82EE59" w14:textId="77777777" w:rsidR="00C472CB" w:rsidRPr="002F2FDF" w:rsidRDefault="00C472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мая (5 июня) 1917 г. инженер Э. Берлинер взял патент США нав крылатую торпеду, несмотря на то, что подал заявку 30 сентября 1909 г. БЛА Э. Берлинера предназначался для запуска с кораблей по надводным морским целям (См.: Новичков Н.Н. Развитие крылатых ракет самолетных схем. Диссертация кандидата технических наук. М.: Институт истории естествознания и техники, 1982.). По существу, это была крылатая торпеда, напоминающая по внешнему виду моноплан Блерио 11, на котором его конструктор француз Л. Блерио в 1909 г. впервые в мире перелетел Ла-Манш. Боевая часть БКЛА Берлинера крепилась в носовой части. Команды на управление летающей торпедой передавались по проводам. Специальная наклонная плоскость под носовой частью корпуса должна была обеспечить подпрыгивание торпеды при ее периодических ударах о воду. Использование крыла обеспечивало повышение дальности действия торпеды и увеличение ее скорости (11686).</w:t>
      </w:r>
    </w:p>
    <w:p w14:paraId="50FE87C0" w14:textId="77777777" w:rsidR="00C472CB" w:rsidRPr="002F2FDF" w:rsidRDefault="00C472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AAAC29" w14:textId="4A1ABFF1" w:rsidR="003431D2" w:rsidRPr="002F2FDF" w:rsidRDefault="00AB080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Pr>
          <w:rFonts w:ascii="Times New Roman" w:hAnsi="Times New Roman" w:cs="Times New Roman"/>
          <w:color w:val="000000" w:themeColor="text1"/>
          <w:kern w:val="2"/>
          <w:sz w:val="16"/>
          <w:szCs w:val="16"/>
          <w:lang w:val="en-US"/>
        </w:rPr>
        <w:t>May 23 (</w:t>
      </w:r>
      <w:r w:rsidR="003431D2" w:rsidRPr="002F2FDF">
        <w:rPr>
          <w:rFonts w:ascii="Times New Roman" w:hAnsi="Times New Roman" w:cs="Times New Roman"/>
          <w:color w:val="000000" w:themeColor="text1"/>
          <w:kern w:val="2"/>
          <w:sz w:val="16"/>
          <w:szCs w:val="16"/>
          <w:lang w:val="en-US"/>
        </w:rPr>
        <w:t>June 5</w:t>
      </w:r>
      <w:r>
        <w:rPr>
          <w:rFonts w:ascii="Times New Roman" w:hAnsi="Times New Roman" w:cs="Times New Roman"/>
          <w:color w:val="000000" w:themeColor="text1"/>
          <w:kern w:val="2"/>
          <w:sz w:val="16"/>
          <w:szCs w:val="16"/>
          <w:lang w:val="en-US"/>
        </w:rPr>
        <w:t>)</w:t>
      </w:r>
      <w:r w:rsidR="003431D2" w:rsidRPr="002F2FDF">
        <w:rPr>
          <w:rFonts w:ascii="Times New Roman" w:hAnsi="Times New Roman" w:cs="Times New Roman"/>
          <w:color w:val="000000" w:themeColor="text1"/>
          <w:kern w:val="2"/>
          <w:sz w:val="16"/>
          <w:szCs w:val="16"/>
          <w:lang w:val="en-US"/>
        </w:rPr>
        <w:t>, 1917 USA begins registering men for the military draft (1769).</w:t>
      </w:r>
    </w:p>
    <w:p w14:paraId="619B91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835A823" w14:textId="71960F2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мая (5 июня) 1917 США начал призыв на военную службу (1769).</w:t>
      </w:r>
    </w:p>
    <w:p w14:paraId="2D801C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DDFFBA" w14:textId="77777777" w:rsidR="00C472CB" w:rsidRPr="002F2FDF" w:rsidRDefault="00C472C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23 мая (5 июня)</w:t>
      </w:r>
      <w:r w:rsidRPr="002F2FDF">
        <w:rPr>
          <w:rFonts w:ascii="Times New Roman" w:hAnsi="Times New Roman" w:cs="Times New Roman"/>
          <w:color w:val="000000" w:themeColor="text1"/>
          <w:kern w:val="2"/>
          <w:sz w:val="16"/>
          <w:szCs w:val="16"/>
        </w:rPr>
        <w:t xml:space="preserve"> в 1917 году 10 миллионов мужчин Штатов призываются в армию (Первая Мировая Война) (14913).</w:t>
      </w:r>
    </w:p>
    <w:p w14:paraId="2DA843D6" w14:textId="77777777" w:rsidR="00C472CB" w:rsidRPr="002F2FDF" w:rsidRDefault="00C472CB" w:rsidP="0083075A">
      <w:pPr>
        <w:spacing w:after="0" w:line="240" w:lineRule="auto"/>
        <w:jc w:val="both"/>
        <w:rPr>
          <w:rFonts w:ascii="Times New Roman" w:hAnsi="Times New Roman" w:cs="Times New Roman"/>
          <w:color w:val="000000" w:themeColor="text1"/>
          <w:kern w:val="2"/>
          <w:sz w:val="16"/>
          <w:szCs w:val="16"/>
        </w:rPr>
      </w:pPr>
    </w:p>
    <w:p w14:paraId="2B3F243D" w14:textId="77777777" w:rsidR="00C472CB" w:rsidRPr="002F2FDF" w:rsidRDefault="00C472C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23 мая (5 июня)</w:t>
      </w:r>
      <w:r w:rsidRPr="002F2FDF">
        <w:rPr>
          <w:rFonts w:ascii="Times New Roman" w:hAnsi="Times New Roman" w:cs="Times New Roman"/>
          <w:color w:val="000000" w:themeColor="text1"/>
          <w:kern w:val="2"/>
          <w:sz w:val="16"/>
          <w:szCs w:val="16"/>
        </w:rPr>
        <w:t xml:space="preserve"> в 1917 году Япония пригрозила России интервенцией в случае, если та заключит сепаратный мир с Германией (14913).</w:t>
      </w:r>
    </w:p>
    <w:p w14:paraId="305DF42E" w14:textId="77777777" w:rsidR="00C472CB" w:rsidRPr="002F2FDF" w:rsidRDefault="00C472CB" w:rsidP="0083075A">
      <w:pPr>
        <w:spacing w:after="0" w:line="240" w:lineRule="auto"/>
        <w:jc w:val="both"/>
        <w:rPr>
          <w:rFonts w:ascii="Times New Roman" w:hAnsi="Times New Roman" w:cs="Times New Roman"/>
          <w:color w:val="000000" w:themeColor="text1"/>
          <w:kern w:val="2"/>
          <w:sz w:val="16"/>
          <w:szCs w:val="16"/>
        </w:rPr>
      </w:pPr>
    </w:p>
    <w:p w14:paraId="1F6D4F25" w14:textId="77777777" w:rsidR="00CF76C4" w:rsidRPr="002F2FDF" w:rsidRDefault="00CF76C4" w:rsidP="0083075A">
      <w:pPr>
        <w:pStyle w:val="ae"/>
        <w:spacing w:before="0" w:after="0"/>
        <w:jc w:val="both"/>
        <w:rPr>
          <w:color w:val="000000" w:themeColor="text1"/>
          <w:kern w:val="2"/>
          <w:sz w:val="16"/>
          <w:szCs w:val="16"/>
        </w:rPr>
      </w:pPr>
      <w:r w:rsidRPr="002F2FDF">
        <w:rPr>
          <w:bCs/>
          <w:color w:val="000000" w:themeColor="text1"/>
          <w:kern w:val="2"/>
          <w:sz w:val="16"/>
          <w:szCs w:val="16"/>
        </w:rPr>
        <w:t>23 мая (5 июня)</w:t>
      </w:r>
      <w:r w:rsidRPr="002F2FDF">
        <w:rPr>
          <w:color w:val="000000" w:themeColor="text1"/>
          <w:kern w:val="2"/>
          <w:sz w:val="16"/>
          <w:szCs w:val="16"/>
        </w:rPr>
        <w:t xml:space="preserve"> в 1917 году во Франции была образована специальная Польская армия из числа поляков, сражавшихся ранее во французских войсках и добровольцев-поляков из других стран. Польская армия подчинялась французскому командованию, но воевала на Западном фронте под польским флагом (17045).</w:t>
      </w:r>
    </w:p>
    <w:p w14:paraId="3F820E64" w14:textId="77777777" w:rsidR="00CF76C4" w:rsidRPr="002F2FDF" w:rsidRDefault="00CF76C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6EE4E5" w14:textId="77777777" w:rsidR="000B430C" w:rsidRPr="002F2FDF" w:rsidRDefault="000B430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23-29 мая (5-11 июня) 1917 германскими подводными лодками было потоплено и повреждено в общей сложности 125 кораблей стран Антанты и нейтральных держав. Русский (17045).</w:t>
      </w:r>
    </w:p>
    <w:p w14:paraId="68502BD6" w14:textId="77777777" w:rsidR="000B430C" w:rsidRPr="002F2FDF" w:rsidRDefault="000B430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379A66" w14:textId="77777777" w:rsidR="00EE27E7" w:rsidRPr="002F2FDF" w:rsidRDefault="00EE27E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D2B3557" w14:textId="77777777" w:rsidR="00EE27E7" w:rsidRPr="002F2FDF" w:rsidRDefault="00EE27E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C67DB8"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24 мая (6 июня) 1917 года </w:t>
      </w:r>
    </w:p>
    <w:p w14:paraId="36D1B025"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Совершенно секретно. </w:t>
      </w:r>
    </w:p>
    <w:p w14:paraId="255F4D0B"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Журнал № 163 Особого Совещания для обсуждения и объединения мероприятий по обороне государства. </w:t>
      </w:r>
    </w:p>
    <w:p w14:paraId="541B620E"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24 мая 1917 года. </w:t>
      </w:r>
    </w:p>
    <w:p w14:paraId="398DA2BB"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Председательствовал П. И. Пальчинский. </w:t>
      </w:r>
    </w:p>
    <w:p w14:paraId="09A8AC24"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Присутствовали:</w:t>
      </w:r>
    </w:p>
    <w:p w14:paraId="26E08A24"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Член Государственного Совета С. И. Тимашев.</w:t>
      </w:r>
    </w:p>
    <w:p w14:paraId="0F204F3D"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.в. И. Тимирязев.</w:t>
      </w:r>
    </w:p>
    <w:p w14:paraId="658C8790"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.в. И. Карпов.</w:t>
      </w:r>
    </w:p>
    <w:p w14:paraId="5B398630"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.в. И. Гурко.</w:t>
      </w:r>
    </w:p>
    <w:p w14:paraId="48DDC856"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Ф. А. Иванов. </w:t>
      </w:r>
    </w:p>
    <w:p w14:paraId="7F5B7077"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Член Государственной Думы . А. А. Добровольский.</w:t>
      </w:r>
    </w:p>
    <w:p w14:paraId="71F694A4"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Н. в. Савич.</w:t>
      </w:r>
    </w:p>
    <w:p w14:paraId="1BB14AE5"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Д. Н. Сверчков.</w:t>
      </w:r>
    </w:p>
    <w:p w14:paraId="7B92FBA5"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Д. Н. Чихачев.</w:t>
      </w:r>
    </w:p>
    <w:p w14:paraId="50CCDB95"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М. С. Аджемов. </w:t>
      </w:r>
    </w:p>
    <w:p w14:paraId="5E10B9AB"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военного министерства:</w:t>
      </w:r>
    </w:p>
    <w:p w14:paraId="42AFCD75"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 от артиллерии А. А. Маниковский.\</w:t>
      </w:r>
    </w:p>
    <w:p w14:paraId="6D69D067"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Генерал-лейтенант . Н. А. Бабиков.</w:t>
      </w:r>
    </w:p>
    <w:p w14:paraId="0F6CE387"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Н. И. Богатко.</w:t>
      </w:r>
    </w:p>
    <w:p w14:paraId="5F6158EE"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А. К. овчинников. </w:t>
      </w:r>
    </w:p>
    <w:p w14:paraId="349D86B7"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морского министерства:</w:t>
      </w:r>
    </w:p>
    <w:p w14:paraId="1A45F5AC"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Адмирал . в. А. Канин.</w:t>
      </w:r>
    </w:p>
    <w:p w14:paraId="08EE7D23"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Капитан I-го ранга . в. Н. Черкасов 1-й. </w:t>
      </w:r>
    </w:p>
    <w:p w14:paraId="40435D4A"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министерства финансов:</w:t>
      </w:r>
    </w:p>
    <w:p w14:paraId="735EB4D9"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Действительный статский советник . П. М. Гришкевич-Трохимовский. </w:t>
      </w:r>
    </w:p>
    <w:p w14:paraId="134CE84A"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Государственного контроля:</w:t>
      </w:r>
    </w:p>
    <w:p w14:paraId="08781150"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Действительный статский советник . А. Д. Приселков. </w:t>
      </w:r>
    </w:p>
    <w:p w14:paraId="013CE6E9"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центрального военно-промышленного комитета:</w:t>
      </w:r>
    </w:p>
    <w:p w14:paraId="187318A4"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Действительный статский советник . Д. С. Зернов. </w:t>
      </w:r>
    </w:p>
    <w:p w14:paraId="12851490"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Особо приглашенные в заседание:</w:t>
      </w:r>
    </w:p>
    <w:p w14:paraId="16729425"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 от инфантерии . А. А. Поливанов.</w:t>
      </w:r>
    </w:p>
    <w:p w14:paraId="44AA17A3"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Член Государственного Совета . Н. Ф. фон Дитмар.</w:t>
      </w:r>
    </w:p>
    <w:p w14:paraId="4C598F49"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Генерал-лейтенант .в. Н. Ипатьев.</w:t>
      </w:r>
    </w:p>
    <w:p w14:paraId="22DAB532"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Генерал-майор . А. А. Саткевич.</w:t>
      </w:r>
    </w:p>
    <w:p w14:paraId="3B65F231"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А. А. Михельсон.</w:t>
      </w:r>
    </w:p>
    <w:p w14:paraId="51091006"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М. Н. Орлов.</w:t>
      </w:r>
    </w:p>
    <w:p w14:paraId="63B8A84B"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Действительный статский советник . в. П. Литвинов-Фалинский.</w:t>
      </w:r>
    </w:p>
    <w:p w14:paraId="3E1D3796"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Полковник . Д. В. Яковлев.</w:t>
      </w:r>
    </w:p>
    <w:p w14:paraId="01EA5661"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Заместитель председателя центрального военно-промышленного комитета . Н. Н. Изнар.</w:t>
      </w:r>
    </w:p>
    <w:p w14:paraId="16007566"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Управляющий делами центрального военно-промышленного комитета . К. Н. Клопотов. </w:t>
      </w:r>
    </w:p>
    <w:p w14:paraId="2AA47957"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Делопроизводитель Особого Совещания: Подполковник . С. И. Качалов. </w:t>
      </w:r>
    </w:p>
    <w:p w14:paraId="02CFBA54"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открытии заседания управляющий делами Особого Совещания генерал-лейтенант Н. А. Бабиков огласил резолюцию по журналу Совещания от 20 мая 1917 года за № 162 и доложил о сделанных распоряжениях по исполнению этой резолюции. Затем Особым Совещанием были заслушаны доклады подготовительной комиссии по артиллерийским вопросам: а) о выдаче обществу Франко-Русских заводов ссуды в размере 4 523 683 рублей 72 коп. на покрытие текущих расходов производства, с погашением ее платежами по заказам на 1916 год, б) о заказе Азовско-Донскому машиностроительному заводу 50 000 ш. 46 м/м мин, с выдачей аванса в 200 000 руб </w:t>
      </w:r>
      <w:r w:rsidRPr="002F2FDF">
        <w:rPr>
          <w:rFonts w:ascii="Times New Roman" w:hAnsi="Times New Roman" w:cs="Times New Roman"/>
          <w:color w:val="000000" w:themeColor="text1"/>
          <w:sz w:val="16"/>
          <w:szCs w:val="16"/>
        </w:rPr>
        <w:lastRenderedPageBreak/>
        <w:t xml:space="preserve">лей, и в) об утверждении заказа Земгору на 6” бомбы для мортир ближней обороны. По поводу первого из вышеозначенных предположений член Государственного Совета В. И. Тимирязев заметил, что затруднительное положение общества, вызванное главным образом громадным увеличением рабочей платы, носит несомненно длительный характер и не может быть устранено выдачей намеченной ссуды, ввиду чего представляется необходимым обсудить финансовые предположения общества на весь сметный год. Член Государственного Совета С. И. Тимашев указывает, что недостаток оборотных средств общества объясняется кроме увеличения расходов также и недостатком в материалах и топливе, вследствие чего производительность заводов упала на 50 %; в связи с этим представляется желательным выяснить основания платы рабочим во время приостановки работ завода. Председательствующий П. И. Пальчинский, присоединяясь к мнению В. И. Тимирязева о необходимости обсудить общий финансовый план общества хотя бы на 3 месяца, указывает на безусловную необходимость ныне же выдать обществу просимую ссуду во избежание остановки заводов, с тем, однако, чтобы общий размер этой ссуды вместе с выданными ранее авансами не превысил 75 % стоимости заказов по упомянутым в докладах комиссии контрактам и с условием погашения этой ссуды вышеозначенными заказами. Что касается за сим возбужденного С. И. Тимашевым вопроса о порядке и условиях оплаты труда рабочих во время приостановки или сокращения работы заводов, вследствие не зависящих от рабочих обстоятельств, то вопрос этот получает ныне особое значение; однако ввиду общего его характера надлежало бы поручить Петроградскому заводскому совещанию представить соответственный доклад по сему предмету относительно заводов, работающих на оборону, причем необходимо использовать материалы по этому вопросу комиссии генерала Мышлаевского. Совещание присоединяется к изложенному мнению председательствующего. </w:t>
      </w:r>
    </w:p>
    <w:p w14:paraId="762BD312"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 поводу предложений подготовительной комиссии по артиллерийским вопросам о заказе Азовско-Донскому машиностроительному заводу 50 000 шт. 47 м/м мин, председательствующий находит предпочтительным выдать ныне заказ лишь на 25 000 мин, со сдачей до 1 января 1918 года, предоставив заводу при этом право сдать изготовленные им до сего срока мины, сверх означенного количества в пределах всего до 50 000 штук, по цене, установленной подготовительной комиссией, с выдачей в счет этого заказа аванса в намеченном комиссией размере. Совещание одобряет доклад подготовительной комиссии с предложенными председательствующим изменениями. Далее Совещание одобряет предположения подготовительной комиссии о заказе Земгору 6” бомб для мортир ближней обороны, с тем, однако, чтобы предварительно выдачи аванса по сему заказу была выяснена путем обследования производительность заводов, между коими Земгором распределен означенный заказ, и чтобы аванс был выдан в размере не свыше 75 % стоимости той части заказа, которая действительно может быть выполнена этими заводами до 1 января 1918 года.</w:t>
      </w:r>
    </w:p>
    <w:p w14:paraId="0A4D6057"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Совещание одобрило доклад подготовительной комиссии </w:t>
      </w:r>
      <w:r w:rsidRPr="002F2FDF">
        <w:rPr>
          <w:rFonts w:ascii="Times New Roman" w:hAnsi="Times New Roman" w:cs="Times New Roman"/>
          <w:color w:val="000000" w:themeColor="text1"/>
          <w:sz w:val="16"/>
          <w:szCs w:val="16"/>
          <w:highlight w:val="yellow"/>
        </w:rPr>
        <w:t>по авиационным вопросам</w:t>
      </w:r>
      <w:r w:rsidRPr="002F2FDF">
        <w:rPr>
          <w:rFonts w:ascii="Times New Roman" w:hAnsi="Times New Roman" w:cs="Times New Roman"/>
          <w:color w:val="000000" w:themeColor="text1"/>
          <w:sz w:val="16"/>
          <w:szCs w:val="16"/>
        </w:rPr>
        <w:t xml:space="preserve"> о заказе акционерному обществу «Дукс» 200 бипланов Спада и 100 бипланов Ньюпор, со сдачей до 1 января 1918 года, сократив, однако, размер намеченного аванса до 50 % стоимости заказа на бипланы «Спад» заводу Щетинина. Совещание признало, однако, необходимым ограничить число заказываемых ныне сему заводу аэропланов тем количеством, которое завод берется изготовить до 1 января 1918 года, а именно — 180 шт., предоставив при этом заводу сдать сверх вышеозначенного числа и по той же цене все те аппараты, общим числом не свыше 250, которые он будет иметь возможность изготовить до истечения указанного срока. Вместе с тем Совещание нашло возможным увеличить размер выдаваемого заводу аванса до 75 % стоимости вышеозначенных 180 аппаратов. Одобрив далее предположения той же комиссии о заказе заводу Анатра аэропланов типов Анатра «Д» и Ньюпор, Совещание признало, однако, необходимым сократить количество заказываемых аппаратов до 500, предоставив определение числа подлежащих изготовлению аэропланов каждого типа управлению военного воздушного флота. Доклады подготовительной комиссии по авиационным вопросам:</w:t>
      </w:r>
    </w:p>
    <w:p w14:paraId="5575AB51"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торговому дому Андреев, Ланцкий и Ко, организуемому в Петрограде в помещениях завода «Засс» аэропланное производство, 100 учебных аэропланов типа Альбатрос и </w:t>
      </w:r>
    </w:p>
    <w:p w14:paraId="1E3A27BB"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Московскому акционерному обществу «П. Ильин» — 200 моторов типа Испано-Суиза, одобрены Совещанием. Высказываясь также за утверждение предположений той же комиссии о безотлагательном образовании особой комиссии для окончания расчетов с Русско-Балтийским вагонным заводом за изготовленные аэропланов типа «Илья Муромец», Совещание признало, однако, необходимым пополнить состав этой особой комиссии представителем министерства финансов. </w:t>
      </w:r>
    </w:p>
    <w:p w14:paraId="3812FA97"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заключение Совещание остановилось на вопросе о дальнейшей судьбе наблюдательной комиссии, деятельность коей, за передачей части ее обязанностей другим комиссиям Особого Совещания, почти прекратилась. По сему поводу член Государственного Совета Ф. А. Иванов указал, что лежавшие на означенной комиссии весьма важные обязанности по наблюдению за правильностью исполнения заказов по обороне должны быть возложены на подлежащие подготовительные комиссии Совещания, коим надлежит ввиду сего периодически осведомлять Совещание о степени исправности работы отдельных заводов и о мерах принятия и предупреждения замеченных в сем отношении упущений. Со своей стороны член Государственной Думы Д. Н. Сверчков заметил, что во многих случаях возникающие в связи с таким наблюдением вопросы носят чисто юридический характер, ввиду чего при рассмотрении подлежащими комиссиями такого рода вопросов необходимо участие представителей министерства юстиции. Генерал от инфантерии А. А. Поливанов разделяет мнение о желательности упразднения наблюдательной комиссии. Присоединяясь к изложенным мнениям, Совещание положило упразднить наблюдательную комиссию, передав лежавшие на ней обязанности по наблюдению за правильностью исполнения заказов по обороне другим комиссиям Особого Совещания, по принадлежности, с тем чтобы при разрешении возникающих юридических вопросов были приглашаемы представители министерства юстиции. </w:t>
      </w:r>
    </w:p>
    <w:p w14:paraId="4B243B89"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Подписи. </w:t>
      </w:r>
    </w:p>
    <w:p w14:paraId="480CD7F4"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2FC575AC"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По докладу подготовительной комиссии по артиллерийским вопросам о ходатайстве общества Франко-Русских заводов относительно выдачи дополнительных авансов по заказам артиллерийского ведомства: </w:t>
      </w:r>
    </w:p>
    <w:p w14:paraId="45400CA5"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выдать обществу Франко-Русских заводов краткосрочную ссуду с тем, чтобы общий размер этой ссуды и выданных ранее авансов не превышал 75 % стоимости заказов обществу, упомянутых в докладе, с погашением ссуды платежами за заказы; </w:t>
      </w:r>
    </w:p>
    <w:p w14:paraId="4531E285"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предложить обществу Франко-Русских заводов представить Особому Совещанию финансовый план на ближайшие три месяца. </w:t>
      </w:r>
    </w:p>
    <w:p w14:paraId="25CBD438"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По докладу той же комиссии дать Азовско-Донскому машиностроительному заводу заказ на изготовление 25 000 штук 47 м/м мин, предоставив заводу право сдать до 1 января 1918 года изготовленные им сверх вышеозначенного количества мины, всего в пределах 50 000 штук; выдать названному заводу в счет этого заказа аванс в двести тысяч (200 000) рублей. </w:t>
      </w:r>
    </w:p>
    <w:p w14:paraId="17994243"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3) Утвердить доклад той же комиссии о заказе Земгору на 6” бомбы для мортир ближней обороны и выдать аванс в размере 75 % стоимости заказов, которые могут быть исполнены до 1 января 1918 года, с предварительным выполнением указанных в вышеозначенном докладе мероприятий. </w:t>
      </w:r>
    </w:p>
    <w:p w14:paraId="6D8FB69D"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4) По докладу подготовительной комиссии по авиационным вопросам дать заводу Дукс заказ на изготовление 300 аэропланов по цене и на условиях, указанных в докладе, со сдачей их не позже 1 января 1918 года и с выдачей аванса в размере 50 % стоимости заказа. </w:t>
      </w:r>
    </w:p>
    <w:p w14:paraId="3D5DA0AB"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 По докладу той же комиссии дать заводу Щетинина заказ на 180 аэропланов по цене и на условиях, указанных в докладе, со сдачей не позже 1 января 1918 года и с выдачей аванса не свыше 75 % стоимости всего заказа, предоставив при этом заводу право сдать сверх вышеозначенного числа аппаратов по той же цене все те аппараты, которые он будет иметь возможность изготовить до истечения указанного срока, в общем, однако, не свыше 250 аппаратов.</w:t>
      </w:r>
    </w:p>
    <w:p w14:paraId="4BE98EDF"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6) По докладу той же комиссии дать заводу Анатра заказ на изготовление до 1 января 1918 года 500 аэропланов типов Анатра «Д» и Ньюпор, предоставив определить количество подлежащих изготовлению аэропланов каждого типа главному управлению военного воздушного флота, и выдать заводу аванс в размере 50 % стоимости заказанных аппаратов. </w:t>
      </w:r>
    </w:p>
    <w:p w14:paraId="5A1AD72E"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7) По докладу той же комиссии дать заводу Андреев, Ланский и Ко заказ на изготовление 100 учебных аэропланов на условиях, установленных в сем докладе. 8) Утвердить доклад той же комиссии о заказе Московскому акционерному обществу «П. Ильин» 200 авиационных моторов типа Испано-Суиза на условиях, изложенных в докладе и со сдачей не позже 1 июля 1918 года. </w:t>
      </w:r>
    </w:p>
    <w:p w14:paraId="52BDD534"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9) Утвердить доклад той же комиссии об образовании особой комиссии для окончания расчетов с Русско-Балтийским заводом за аэропланы типа «Илья Муромец» с тем, чтобы в состав особой комиссии был включен представитель министерства финансов. </w:t>
      </w:r>
    </w:p>
    <w:p w14:paraId="57A90F65"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10) Упразднить наблюдательную комиссию, передав лежавшие на ней обязанности по наблюдению за правильностью исполнения заказов по обороне другим комиссиям Особого Совещания по принадлежности, с тем чтобы при разрешении сими комиссиями возникающих юридических вопросов были приглашены представители министерства юстиции. </w:t>
      </w:r>
    </w:p>
    <w:p w14:paraId="0BC077ED"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11) Поручить Петроградскому заводскому совещанию представить доклад о порядке оплаты труда рабочих на заводах Петроградского района, приостановивших или сокративших работы по не зависящим от рабочих обстоятельствам, использовав для сего соответственные труды комиссии генерала Мышлаевского. </w:t>
      </w:r>
    </w:p>
    <w:p w14:paraId="71C57797"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Верно: управляющий делами генерал-лейтенант [Бабиков]. </w:t>
      </w:r>
    </w:p>
    <w:p w14:paraId="3F89DA69"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 Особого Совещания дополнительно к резолюции по журналу Совещания от 24 мая сего года за № 163 решил: </w:t>
      </w:r>
    </w:p>
    <w:p w14:paraId="268CC00B"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12) В комиссию, образованную согласно п. 1 резолюции по журнала Особого Совещания за № 162, по вопросам об изменении цен по заказам на оборону и о возмещении убытков предприятий в связи с современным состоянием условий производства председателем назначается член Государственного Совета В. И. Гурко; в число членов комиссии избраны: члены Государственной Думы А. А. Добровольский и Н. В. Савич и председатель подготовительной комиссии по общим вопросам А. А. Саткевич. </w:t>
      </w:r>
    </w:p>
    <w:p w14:paraId="00B02DEE"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Верно: управляющий делами генерал-лейтенант Бабиков (20439).</w:t>
      </w:r>
    </w:p>
    <w:p w14:paraId="01DEC554" w14:textId="77777777" w:rsidR="00EE27E7" w:rsidRPr="002F2FDF" w:rsidRDefault="00EE27E7" w:rsidP="0083075A">
      <w:pPr>
        <w:spacing w:after="0" w:line="240" w:lineRule="auto"/>
        <w:jc w:val="both"/>
        <w:rPr>
          <w:rFonts w:ascii="Times New Roman" w:hAnsi="Times New Roman" w:cs="Times New Roman"/>
          <w:color w:val="000000" w:themeColor="text1"/>
          <w:sz w:val="16"/>
          <w:szCs w:val="16"/>
        </w:rPr>
      </w:pPr>
    </w:p>
    <w:p w14:paraId="66AE9A5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362EC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1D39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24 мая (6 июня) 1917 л Е.Н.Крутень, возвращаясь после двухчасового патрулирования, когда бензин был на исходе, встретил немецкий самолет и уже на планировании обстрелял и принудил к посадке у д. Марианны. Третья победа за неделю и шестая всего (438,357).</w:t>
      </w:r>
    </w:p>
    <w:p w14:paraId="1D4323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A610D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24 мая </w:t>
      </w:r>
      <w:r w:rsidR="00731D28" w:rsidRPr="002F2FDF">
        <w:rPr>
          <w:rFonts w:ascii="Times New Roman" w:hAnsi="Times New Roman" w:cs="Times New Roman"/>
          <w:color w:val="000000" w:themeColor="text1"/>
          <w:kern w:val="2"/>
          <w:sz w:val="16"/>
          <w:szCs w:val="16"/>
        </w:rPr>
        <w:t xml:space="preserve">(6 июня) </w:t>
      </w:r>
      <w:r w:rsidRPr="002F2FDF">
        <w:rPr>
          <w:rFonts w:ascii="Times New Roman" w:hAnsi="Times New Roman" w:cs="Times New Roman"/>
          <w:color w:val="000000" w:themeColor="text1"/>
          <w:kern w:val="2"/>
          <w:sz w:val="16"/>
          <w:szCs w:val="16"/>
        </w:rPr>
        <w:t>1917 летчик В.Н.Крутень, возвращаясь после двухча</w:t>
      </w:r>
      <w:r w:rsidRPr="002F2FDF">
        <w:rPr>
          <w:rFonts w:ascii="Times New Roman" w:hAnsi="Times New Roman" w:cs="Times New Roman"/>
          <w:color w:val="000000" w:themeColor="text1"/>
          <w:kern w:val="2"/>
          <w:sz w:val="16"/>
          <w:szCs w:val="16"/>
        </w:rPr>
        <w:softHyphen/>
        <w:t>сового патрулирования, когда бензин был уже на исходе, встретил немецкий самолет и уже на планировании обстрелял его, принудив к посадке в расположении наших войск,у дерев</w:t>
      </w:r>
      <w:r w:rsidRPr="002F2FDF">
        <w:rPr>
          <w:rFonts w:ascii="Times New Roman" w:hAnsi="Times New Roman" w:cs="Times New Roman"/>
          <w:color w:val="000000" w:themeColor="text1"/>
          <w:kern w:val="2"/>
          <w:sz w:val="16"/>
          <w:szCs w:val="16"/>
        </w:rPr>
        <w:softHyphen/>
        <w:t>ни Марианны, Это была третья воздушная победа Крутеня за минувшую неделю, а всего - шестая. (Сводка штаба Юго-Западного фронта № 3746 от 24- мая 1917 г.).</w:t>
      </w:r>
    </w:p>
    <w:p w14:paraId="04E08F4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921298" w14:textId="77777777" w:rsidR="00161A6B" w:rsidRPr="00815ED5" w:rsidRDefault="00161A6B"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24 мая </w:t>
      </w:r>
      <w:r>
        <w:rPr>
          <w:rFonts w:ascii="Times New Roman" w:hAnsi="Times New Roman" w:cs="Times New Roman"/>
          <w:color w:val="0070C0"/>
          <w:sz w:val="16"/>
          <w:szCs w:val="16"/>
        </w:rPr>
        <w:t>(6 июня)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815ED5">
        <w:rPr>
          <w:rFonts w:ascii="Times New Roman" w:hAnsi="Times New Roman" w:cs="Times New Roman"/>
          <w:color w:val="0070C0"/>
          <w:sz w:val="16"/>
          <w:szCs w:val="16"/>
        </w:rPr>
        <w:t>етчик Е.Н. Кру тень, возвращаясь после двухчасового патру</w:t>
      </w:r>
      <w:r w:rsidRPr="00815ED5">
        <w:rPr>
          <w:rFonts w:ascii="Times New Roman" w:hAnsi="Times New Roman" w:cs="Times New Roman"/>
          <w:color w:val="0070C0"/>
          <w:sz w:val="16"/>
          <w:szCs w:val="16"/>
        </w:rPr>
        <w:softHyphen/>
        <w:t>лирования</w:t>
      </w:r>
      <w:r w:rsidRPr="004436B9">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 xml:space="preserve"> уже на планировании /когда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бензин был уже на исходе</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встретил немецкий самолет обстрелял его,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принудив к посадке в располо</w:t>
      </w:r>
      <w:r w:rsidRPr="00815ED5">
        <w:rPr>
          <w:rFonts w:ascii="Times New Roman" w:hAnsi="Times New Roman" w:cs="Times New Roman"/>
          <w:color w:val="0070C0"/>
          <w:sz w:val="16"/>
          <w:szCs w:val="16"/>
        </w:rPr>
        <w:softHyphen/>
        <w:t>жении наших войск у д.Марианны.</w:t>
      </w:r>
      <w:r>
        <w:rPr>
          <w:rFonts w:ascii="Times New Roman" w:hAnsi="Times New Roman" w:cs="Times New Roman"/>
          <w:color w:val="0070C0"/>
          <w:sz w:val="16"/>
          <w:szCs w:val="16"/>
        </w:rPr>
        <w:t xml:space="preserve"> Э</w:t>
      </w:r>
      <w:r w:rsidRPr="00815ED5">
        <w:rPr>
          <w:rFonts w:ascii="Times New Roman" w:hAnsi="Times New Roman" w:cs="Times New Roman"/>
          <w:color w:val="0070C0"/>
          <w:sz w:val="16"/>
          <w:szCs w:val="16"/>
        </w:rPr>
        <w:t>то была третья воздушная победа Крут</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ня за минувшую неделю, а всего - шестая.</w:t>
      </w:r>
    </w:p>
    <w:p w14:paraId="3BE04CA0" w14:textId="77777777" w:rsidR="00161A6B" w:rsidRDefault="00161A6B"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/Сводка штаба Юго-Западного фронта </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3746 от 24 кая 1917/</w:t>
      </w:r>
      <w:r>
        <w:rPr>
          <w:rFonts w:ascii="Times New Roman" w:hAnsi="Times New Roman" w:cs="Times New Roman"/>
          <w:color w:val="0070C0"/>
          <w:sz w:val="16"/>
          <w:szCs w:val="16"/>
        </w:rPr>
        <w:t xml:space="preserve"> (23320).</w:t>
      </w:r>
    </w:p>
    <w:p w14:paraId="26E8762F" w14:textId="77777777" w:rsidR="00161A6B" w:rsidRPr="00815ED5" w:rsidRDefault="00161A6B" w:rsidP="0083075A">
      <w:pPr>
        <w:spacing w:after="0" w:line="240" w:lineRule="auto"/>
        <w:jc w:val="both"/>
        <w:rPr>
          <w:rFonts w:ascii="Times New Roman" w:hAnsi="Times New Roman" w:cs="Times New Roman"/>
          <w:color w:val="0070C0"/>
          <w:sz w:val="16"/>
          <w:szCs w:val="16"/>
        </w:rPr>
      </w:pPr>
    </w:p>
    <w:p w14:paraId="35E6413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24-27 мая (6 - 9 июня) 1917 г. “Авиатор” совершил последний боевой поход на аэрофо</w:t>
      </w:r>
      <w:r w:rsidRPr="002F2FDF">
        <w:rPr>
          <w:rFonts w:ascii="Times New Roman" w:hAnsi="Times New Roman" w:cs="Times New Roman"/>
          <w:color w:val="000000" w:themeColor="text1"/>
          <w:kern w:val="2"/>
          <w:sz w:val="16"/>
          <w:szCs w:val="16"/>
        </w:rPr>
        <w:softHyphen/>
        <w:t>тосъемку и бомбардировку Синопа. В ходе гражданской войны оба корабля оказались в составе Белого флота, причем базирования на них гидросамолетов более не от</w:t>
      </w:r>
      <w:r w:rsidRPr="002F2FDF">
        <w:rPr>
          <w:rFonts w:ascii="Times New Roman" w:hAnsi="Times New Roman" w:cs="Times New Roman"/>
          <w:color w:val="000000" w:themeColor="text1"/>
          <w:kern w:val="2"/>
          <w:sz w:val="16"/>
          <w:szCs w:val="16"/>
        </w:rPr>
        <w:softHyphen/>
        <w:t>мечалось (11107).</w:t>
      </w:r>
    </w:p>
    <w:p w14:paraId="5D61607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BF25AC" w14:textId="0FDBAE20" w:rsidR="00ED35CD" w:rsidRPr="002F2FDF" w:rsidRDefault="00ED35C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24-27 мая (6-9 июня) 1917 «Авиатор» совершил свой последний поход на аэрофотосъёмку и бомбардировку Синопа. Дальнейшая деятельность морской </w:t>
      </w:r>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авиации</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Черноморского </w:t>
      </w:r>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флота</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закончилась в связи с началом Гражданской войны, летчики были разбросаны судьбой по разные стороны фронта (17043).</w:t>
      </w:r>
    </w:p>
    <w:p w14:paraId="6F153343" w14:textId="77777777" w:rsidR="00ED35CD" w:rsidRPr="002F2FDF" w:rsidRDefault="00ED35C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5C943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9AFCE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9535F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мая (6 июня) 1917 140 петроградских заводов переведены на 6-часовой рабочий день (4962).</w:t>
      </w:r>
    </w:p>
    <w:p w14:paraId="0F435C8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40A7BE" w14:textId="77777777" w:rsidR="0073216F"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96FE690" w14:textId="77777777" w:rsidR="0073216F" w:rsidRPr="002F2FDF" w:rsidRDefault="0073216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14DACD" w14:textId="77777777" w:rsidR="0029131A" w:rsidRPr="002F2FDF" w:rsidRDefault="0029131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24 мая (6 июня) 1917 г. укомплектованная канадскими летчиками 10-я эскадрилья Авиационной службы ВМС Великобритании (RNAS) получила задание на воздушное патрулирование района Дюнкерка. Там десять англичан увидели двухместные «Альбатросы» и «Авиатики» в сопровождении 15 истребителей «Альбатрос» и «Хальберштадт». В завязавшемся бою три бомбардировщика сбил командир звена «В» 10-й эскадрильи Раймонд Коллишоу, один — Герри Нэш. Эллис Рейд, Маркус Александер и Джо Шарман «завалили» по одному истребителю, остальные пять пилотов группы сбили еще два самолета. Исход этого боя решила маневренность нового английского истребителя Сопвич «Триплан»: уступая в скорости на вираже Альбатросу D V примерно на 15 км/ч, он замыкал круг радиусом 48 м за 9,5 секунды, а этот лучший на то время немецкий истребитель делал вираж радиусом 75 м за 13,5 с. На зачетную высоту 1 981 м английский «Триплан» выходил за 6,3 … 6,7 минуты, тогда как Альбатрос D V на набор 2000 м тратил 8 минут. По скорости прямолинейного полета они были равны, хотя мощность мотора немецкого истребителя была на 40 % больше (22781).</w:t>
      </w:r>
    </w:p>
    <w:p w14:paraId="471AE116" w14:textId="77777777" w:rsidR="0029131A" w:rsidRPr="002F2FDF" w:rsidRDefault="0029131A" w:rsidP="0083075A">
      <w:pPr>
        <w:spacing w:after="0" w:line="240" w:lineRule="auto"/>
        <w:jc w:val="both"/>
        <w:rPr>
          <w:rFonts w:ascii="Times New Roman" w:hAnsi="Times New Roman" w:cs="Times New Roman"/>
          <w:color w:val="000000" w:themeColor="text1"/>
          <w:sz w:val="16"/>
          <w:szCs w:val="16"/>
        </w:rPr>
      </w:pPr>
    </w:p>
    <w:p w14:paraId="74ECE12D" w14:textId="77777777" w:rsidR="0073216F" w:rsidRPr="002F2FDF" w:rsidRDefault="0073216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24 мая (6 июня)</w:t>
      </w:r>
      <w:r w:rsidRPr="002F2FDF">
        <w:rPr>
          <w:rFonts w:ascii="Times New Roman" w:hAnsi="Times New Roman" w:cs="Times New Roman"/>
          <w:color w:val="000000" w:themeColor="text1"/>
          <w:kern w:val="2"/>
          <w:sz w:val="16"/>
          <w:szCs w:val="16"/>
        </w:rPr>
        <w:t xml:space="preserve"> в 1917 году на базе RNAS в «Cranwell2 потерпел аварию единственный экземпляр английского дальнего бомбардировщика </w:t>
      </w:r>
      <w:hyperlink r:id="rId175" w:tgtFrame="_blank" w:history="1">
        <w:r w:rsidRPr="002F2FDF">
          <w:rPr>
            <w:rFonts w:ascii="Times New Roman" w:hAnsi="Times New Roman" w:cs="Times New Roman"/>
            <w:color w:val="000000" w:themeColor="text1"/>
            <w:kern w:val="2"/>
            <w:sz w:val="16"/>
            <w:szCs w:val="16"/>
          </w:rPr>
          <w:t xml:space="preserve">«Beardmore» «W.B.I», </w:t>
        </w:r>
      </w:hyperlink>
      <w:r w:rsidRPr="002F2FDF">
        <w:rPr>
          <w:rFonts w:ascii="Times New Roman" w:hAnsi="Times New Roman" w:cs="Times New Roman"/>
          <w:color w:val="000000" w:themeColor="text1"/>
          <w:kern w:val="2"/>
          <w:sz w:val="16"/>
          <w:szCs w:val="16"/>
        </w:rPr>
        <w:t>(N525). В ходе испытаний самолет потерпел аварию при приземлении. Этот самолет, получивший обозначение Beardmore W.B.I, представлял собой двухместный трехстоечный биплан оснащенный двигателем BHP мощностью 230 л.с., произведенным фирмой «Galloway» Engineering Company. Бомбовая нагрузка состояла из 6 бомб массой 51 килограмм подвешенных под нижние крылья самолета. Прицеливание и бомбометание осуществлял стрелок-наблюдатель, расположенный в задней кабине. Самолет построен в начале 1916 по проекту лейтенанта Джорджа Тилгман Ричардса (George Tilghman Richards), инспектора от Адмиралтейств на фирме «Beardmore» (14914).</w:t>
      </w:r>
    </w:p>
    <w:p w14:paraId="3E876466" w14:textId="77777777" w:rsidR="0073216F" w:rsidRPr="002F2FDF" w:rsidRDefault="0073216F" w:rsidP="0083075A">
      <w:pPr>
        <w:spacing w:after="0" w:line="240" w:lineRule="auto"/>
        <w:jc w:val="both"/>
        <w:rPr>
          <w:rFonts w:ascii="Times New Roman" w:hAnsi="Times New Roman" w:cs="Times New Roman"/>
          <w:color w:val="000000" w:themeColor="text1"/>
          <w:kern w:val="2"/>
          <w:sz w:val="16"/>
          <w:szCs w:val="16"/>
        </w:rPr>
      </w:pPr>
    </w:p>
    <w:p w14:paraId="6B236A01" w14:textId="77777777" w:rsidR="0073216F" w:rsidRPr="002F2FDF" w:rsidRDefault="0073216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24 мая (6 июня)</w:t>
      </w:r>
      <w:r w:rsidRPr="002F2FDF">
        <w:rPr>
          <w:rFonts w:ascii="Times New Roman" w:hAnsi="Times New Roman" w:cs="Times New Roman"/>
          <w:color w:val="000000" w:themeColor="text1"/>
          <w:kern w:val="2"/>
          <w:sz w:val="16"/>
          <w:szCs w:val="16"/>
        </w:rPr>
        <w:t xml:space="preserve"> в 1917 году полетел второй экземпляр истребителя </w:t>
      </w:r>
      <w:hyperlink r:id="rId176" w:tgtFrame="_blank" w:history="1">
        <w:r w:rsidRPr="002F2FDF">
          <w:rPr>
            <w:rFonts w:ascii="Times New Roman" w:hAnsi="Times New Roman" w:cs="Times New Roman"/>
            <w:color w:val="000000" w:themeColor="text1"/>
            <w:kern w:val="2"/>
            <w:sz w:val="16"/>
            <w:szCs w:val="16"/>
          </w:rPr>
          <w:t xml:space="preserve">«Lohner 10.20В» «Spuckerl» </w:t>
        </w:r>
      </w:hyperlink>
      <w:r w:rsidRPr="002F2FDF">
        <w:rPr>
          <w:rFonts w:ascii="Times New Roman" w:hAnsi="Times New Roman" w:cs="Times New Roman"/>
          <w:color w:val="000000" w:themeColor="text1"/>
          <w:kern w:val="2"/>
          <w:sz w:val="16"/>
          <w:szCs w:val="16"/>
        </w:rPr>
        <w:t>(или «Type AA»). Конструкто Якоб Лёрнер. Во втором экземпляре пришлось удлинять фюзеляж и увеличивать рулевые поверхности. Он имел "спинной плавник" и полностью новые крылья. Но и эта версия оказалась малопригодной к использованию в роли истребителя и работы были прекращены (14914).</w:t>
      </w:r>
    </w:p>
    <w:p w14:paraId="48A6971B" w14:textId="77777777" w:rsidR="0073216F" w:rsidRPr="002F2FDF" w:rsidRDefault="0073216F" w:rsidP="0083075A">
      <w:pPr>
        <w:spacing w:after="0" w:line="240" w:lineRule="auto"/>
        <w:jc w:val="both"/>
        <w:rPr>
          <w:rFonts w:ascii="Times New Roman" w:hAnsi="Times New Roman" w:cs="Times New Roman"/>
          <w:color w:val="000000" w:themeColor="text1"/>
          <w:kern w:val="2"/>
          <w:sz w:val="16"/>
          <w:szCs w:val="16"/>
        </w:rPr>
      </w:pPr>
    </w:p>
    <w:p w14:paraId="14407A4B" w14:textId="77777777" w:rsidR="0029131A" w:rsidRPr="002F2FDF" w:rsidRDefault="0029131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24 мая (6 июня) 1917 первый сухопутный самолет - Сопвич кукушка - используется в качестве торпедоносца (20341).</w:t>
      </w:r>
    </w:p>
    <w:p w14:paraId="08A052AF" w14:textId="77777777" w:rsidR="0029131A" w:rsidRPr="002F2FDF" w:rsidRDefault="0029131A" w:rsidP="0083075A">
      <w:pPr>
        <w:spacing w:after="0" w:line="240" w:lineRule="auto"/>
        <w:jc w:val="both"/>
        <w:rPr>
          <w:rFonts w:ascii="Times New Roman" w:hAnsi="Times New Roman" w:cs="Times New Roman"/>
          <w:color w:val="000000" w:themeColor="text1"/>
          <w:sz w:val="16"/>
          <w:szCs w:val="16"/>
        </w:rPr>
      </w:pPr>
    </w:p>
    <w:p w14:paraId="39FFD2A2" w14:textId="77777777" w:rsidR="008A5E89"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64052F1" w14:textId="77777777" w:rsidR="008A5E89" w:rsidRPr="002F2FDF" w:rsidRDefault="008A5E8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BAA2F9" w14:textId="77777777" w:rsidR="008A5E89" w:rsidRPr="002F2FDF" w:rsidRDefault="008A5E89"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25 мая (7 июня) 1917 г. </w:t>
      </w:r>
      <w:r w:rsidRPr="002F2FDF">
        <w:rPr>
          <w:rFonts w:ascii="Times New Roman" w:hAnsi="Times New Roman" w:cs="Times New Roman"/>
          <w:color w:val="000000" w:themeColor="text1"/>
          <w:kern w:val="2"/>
          <w:sz w:val="16"/>
          <w:szCs w:val="16"/>
        </w:rPr>
        <w:t>Доклад и. о. начальника Управления военно-воздушного флота полк. Д. В. Яковлева военному министру об авиационном снабжении русской армии из-за границы.</w:t>
      </w:r>
    </w:p>
    <w:p w14:paraId="6F0ADF81" w14:textId="7F87C8FC" w:rsidR="008A5E89" w:rsidRPr="002F2FDF" w:rsidRDefault="008A5E8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489-492</w:t>
      </w:r>
    </w:p>
    <w:p w14:paraId="0F2D48C9" w14:textId="1A7D9CC8" w:rsidR="008A5E89" w:rsidRPr="002F2FDF" w:rsidRDefault="008A5E8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ЦГВИА, ф. 369, оп. 8, д. 66, лл. 70—72 об. Копия.</w:t>
      </w:r>
    </w:p>
    <w:p w14:paraId="574DF04E"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Огромные затруднения, испытываемые ныне в перевозках изготовленного за границей имущества, с особенной остротой отражаются на авиационном снабжении, особенно ввиду общей его недостаточности на фронте.</w:t>
      </w:r>
    </w:p>
    <w:p w14:paraId="6408BD65" w14:textId="3BB50439"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Сущность вопроса распадается на две части. Прежде всего сокращение тоннажа ведет к недоставке готовых, построенных за границей аппаратов, которые после осмотра и ремонта повреждений могли бы непосредственно отправляться на фронт. Положение в этом отношении сделалось настолько острым, что представитель Управления военного воздушного флота в Париже телеграммой от 20/21 сего мая №615/874</w:t>
      </w:r>
      <w:hyperlink r:id="rId177" w:anchor="_ftn2" w:history="1">
        <w:r w:rsidRPr="002F2FDF">
          <w:rPr>
            <w:rStyle w:val="a5"/>
            <w:color w:val="000000" w:themeColor="text1"/>
            <w:kern w:val="2"/>
            <w:sz w:val="16"/>
            <w:szCs w:val="16"/>
          </w:rPr>
          <w:t>[2]</w:t>
        </w:r>
      </w:hyperlink>
      <w:r w:rsidR="00E52569">
        <w:rPr>
          <w:color w:val="000000" w:themeColor="text1"/>
          <w:kern w:val="2"/>
          <w:sz w:val="16"/>
          <w:szCs w:val="16"/>
        </w:rPr>
        <w:t xml:space="preserve"> </w:t>
      </w:r>
      <w:r w:rsidRPr="002F2FDF">
        <w:rPr>
          <w:color w:val="000000" w:themeColor="text1"/>
          <w:kern w:val="2"/>
          <w:sz w:val="16"/>
          <w:szCs w:val="16"/>
        </w:rPr>
        <w:t>испрашивает разрешения вовсе прекратить заказы на 1917 г. за невозможностью их вывезти. Выясняется, что на складах в Париже на 31 мая н. ст. имелось для России 73 аппарата, в Бресте 247, и до октября уже разрешенных и подлежащих сдаче французских аппаратов должно быть отправлено '1155. Между тем за май месяц было отправлено вместо разрешенных к вывозу на этот месяц 300 шт. всего 68.</w:t>
      </w:r>
    </w:p>
    <w:p w14:paraId="3E56BC75"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В действительности же за весь период с 1 января по 23 мая ст. ст. 1917 г., т. е. почти за 5 месяцев, прибыло в русские порты всего 79 аппаратов, т. е. около 2.5% от всего количества заказанных заграничных аппаратов (3200 шт., из них во Франции — 2200),</w:t>
      </w:r>
      <w:hyperlink r:id="rId178" w:anchor="_ftn3" w:history="1">
        <w:r w:rsidRPr="002F2FDF">
          <w:rPr>
            <w:rStyle w:val="a5"/>
            <w:color w:val="000000" w:themeColor="text1"/>
            <w:kern w:val="2"/>
            <w:sz w:val="16"/>
            <w:szCs w:val="16"/>
          </w:rPr>
          <w:t>[3]</w:t>
        </w:r>
      </w:hyperlink>
      <w:r w:rsidRPr="002F2FDF">
        <w:rPr>
          <w:color w:val="000000" w:themeColor="text1"/>
          <w:kern w:val="2"/>
          <w:sz w:val="16"/>
          <w:szCs w:val="16"/>
        </w:rPr>
        <w:t xml:space="preserve"> определенного на Петроградской конференции союзников в январе с. г., подтвержденных представителями союзных армий на той же конференции и в значительной мере уже размещенных как заказы.</w:t>
      </w:r>
    </w:p>
    <w:p w14:paraId="2088BC82"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Выдержка из подлинной телеграммы гласит нижеследующее: «При таких условиях отправок дальнейшее сколько-нибудь интенсивное снабжение аппаратами из Франции немыслимо. Создавшееся критическое положение настолько серьезно, что комиссия полагает совершенно невозможным и даже вредным дальнейшие заказы и просьбы об уступках аппаратов, так как это может вызвать вполне справедливые нарекания французского правительства о требованиях для русского правительства, коими армия наша не в состоянии будет воспользоваться. В настоящее время мы вынуждены сокращать число отправок в Бресте с каждым днем. Найти достаточно складов в Париже невозможно. Аппараты временно остаются на хранении у французского правительства и конструкторов, откуда и перевозятся в склады. Просим вашего обращения к английским властям в Петрограде и срочных телеграфных указаний о результатах наших требований на пароходы, разрешаете ли вы прекратить заказы и уступки аппаратов. Просил у французского правительства лишь моторы. Быстрицкий. Париж. Пятница. Несториус 0615 номер 874. Игнатьев».</w:t>
      </w:r>
    </w:p>
    <w:p w14:paraId="38B47F33"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Однако не только в этой стороне дела заключается главная опасность. Усилия русского военного ведомства во время войны были направлены не только к развитию авиационной промышленности вообще, но, в частности, к возможно широкому развитию собственно аэропланостроения. имея в виду трудность установки совершенно нового производства моторов в столь короткий срок и в безгранично трудной обстановке военного времени.</w:t>
      </w:r>
    </w:p>
    <w:p w14:paraId="7F80954D"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При этих условиях заблаговременное установление твердой программы доставки из-за границы моторов и своевременное их получение представляется безусловно необходимым, и только при реальном выполнении такой программы возможна сколько-нибудь планомерная работа аэропланных заводов на снабжение армии. Такая программа и была установлена своевременно, сообщена в Париж и заявлена на конференции. Между тем в действительности за период времени с 1 января по 23 мая ст. ст. 1917 г. получено всего 235 моторов, тогда как число заказанных, но еще не погруженных моторов составляло на 1 января с. г. 4843, а на 1 апреля — 6838. Иными словами доставлено всего около 4.5—3.5%. Что же касается дальнейшего выполнения заказов, то и число моторов, и распределение их по типам остается неопределенным. При этих условиях, т. е. при неизвестности не только числа, но и типов моторов, которые можно будет получить из-за границы, не представляется возможным установить тип аппаратов, подлежащих заказам на вторую половину 1917 г., т. е. своевременно заготовить материал. Сверх сего не только массовое снабжение фактически приостановлено, но даже нет возможности получить хотя бы образцовые моторы для разработки подробностей аппаратов, дабы до получения моторов пустить в ход производство новых типов аэропланов.</w:t>
      </w:r>
    </w:p>
    <w:p w14:paraId="02EC99A5"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Неизвестность типов моторов, подлежащих доставке, вносит еще и то чрезвычайно серьезное осложнение, что пулеметные установки, требующие специальных устройств, зависящих от типов аппаратов и моторов, не могут быть своевременно разработаны и изготовлены, почему уже выпущенные с заводов аппараты, будучи невооруженными, оказываются бесполезными.</w:t>
      </w:r>
    </w:p>
    <w:p w14:paraId="49CF0D5B"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lastRenderedPageBreak/>
        <w:t>Для характеристики общего положения заграничного снабжения могут быть приведены нижеследующие данные, заимствованные из двух телеграмм, полученных 22 сего мая от представителя управления в Париже</w:t>
      </w:r>
      <w:hyperlink r:id="rId179" w:anchor="_ftn4" w:history="1">
        <w:r w:rsidRPr="002F2FDF">
          <w:rPr>
            <w:rStyle w:val="a5"/>
            <w:color w:val="000000" w:themeColor="text1"/>
            <w:kern w:val="2"/>
            <w:sz w:val="16"/>
            <w:szCs w:val="16"/>
          </w:rPr>
          <w:t>[4]</w:t>
        </w:r>
      </w:hyperlink>
      <w:r w:rsidRPr="002F2FDF">
        <w:rPr>
          <w:color w:val="000000" w:themeColor="text1"/>
          <w:kern w:val="2"/>
          <w:sz w:val="16"/>
          <w:szCs w:val="16"/>
        </w:rPr>
        <w:t>. Из № 0614 следует, что в Россию будут направлены из Америки моторы Испано-французского заказа мощностью в 150 сил, ибо здесь. т. е. во Франции, миновала надобность в моторах 150 сил. Моторы эти предназначаются для аппаратов Спад, строящихся ныне и в России, причем последний тип за границей работает уже при 235 действительных силах. Иными словами, получив моторы 150 сил в середине года, русские заводы только во второй половине года будут выпускать 150-сильные Спады, тогда как союзники и противник уже ныне летают на свыше чем 200-сильных аппаратах.</w:t>
      </w:r>
    </w:p>
    <w:p w14:paraId="274041AA"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Наладить в России производство этих моторов не было возможно ни раньше, ни в сколько-нибудь короткий, срок и ныне, несмотря на то что заказ на них в России был дан еще в начале 1916 г.</w:t>
      </w:r>
    </w:p>
    <w:p w14:paraId="6723ECEC"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Объясняется это обстоятельство огромными чисто техническими трудностями изготовления, настолько серьезными, что даже французы, имея в своем распоряжении самый завод Испано Сюиза, пользующийся мировой известностью в автомобильном деле, смогли при помощи целого ряда других промышленных организаций наладить изготовление лишь на второй год войны.</w:t>
      </w:r>
    </w:p>
    <w:p w14:paraId="68451597"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Что касается чисто количественных соотношений, то из тех же телеграмм следует, в каких малых пропорциях будут осуществлены уже данные заказы. Так, например, из 2000 моторов Испано к 1 января 1918 г. будет дано только 900, т. е. но существующим условиям транспорта и изготовления аппаратов в настоящем году удастся использовать лишь несколько десятков или сотен, и то в конце года.</w:t>
      </w:r>
    </w:p>
    <w:p w14:paraId="3D5A255C"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Остальные данные носят тот же угрожающий характер.</w:t>
      </w:r>
    </w:p>
    <w:p w14:paraId="46581CA7"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Из изложенного, не затрагивающего и сотой доли вопросов заграничного снабжения (ротационных моторов, алюминиевого литья, специальной стали, магнето, радиотелеграфа, устройств фотографирования и пр.), следует, что положение авиационного снабжения представляется катастрофическим.</w:t>
      </w:r>
    </w:p>
    <w:p w14:paraId="3D501187"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Ввиду того что наибольшие затруднения в снабжении связаны, невидимому, с недостатком тоннажа, Управление военного воздушного флота сверх всех принимавшихся мер по заявлению крайней срочности в предоставлении необходимого тоннажа на конференции союзников, в комиссии товарища министра торговли и промышленности Б. А. Бахметьева и в Британской военной миссии обратилось 16 апреля с. г. на основании личных переговоров к ген. Пулю с письмом на его имя, в коем была указана очередь наиболее срочных исполнений доставок моторов и аэропланов, о.каковой очереди ген. Пуль просил осведомления в целях сообщения ее английскому правительству.</w:t>
      </w:r>
    </w:p>
    <w:p w14:paraId="43BD403C"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Заявленные в означенном письме цифры сводятся к следующему. Безусловно необходимо получить нижеследующий крайний минимум моторов: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11"/>
        <w:gridCol w:w="577"/>
      </w:tblGrid>
      <w:tr w:rsidR="002B1C74" w:rsidRPr="002F2FDF" w14:paraId="210F308E"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560F9E" w14:textId="1EC230D2" w:rsidR="008A5E89"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r w:rsidR="008A5E89" w:rsidRPr="002F2FDF">
              <w:rPr>
                <w:color w:val="000000" w:themeColor="text1"/>
                <w:kern w:val="2"/>
                <w:sz w:val="16"/>
                <w:szCs w:val="16"/>
              </w:rPr>
              <w:t>Немедленно: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207B9" w14:textId="5D9C1312" w:rsidR="008A5E8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4D7793EB"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C68416" w14:textId="77777777" w:rsidR="008A5E89" w:rsidRPr="002F2FDF" w:rsidRDefault="008A5E89"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Ронов 110 НР</w:t>
            </w:r>
            <w:hyperlink r:id="rId180" w:anchor="_ftn5" w:history="1">
              <w:r w:rsidRPr="002F2FDF">
                <w:rPr>
                  <w:rStyle w:val="a5"/>
                  <w:color w:val="000000" w:themeColor="text1"/>
                  <w:kern w:val="2"/>
                  <w:sz w:val="16"/>
                  <w:szCs w:val="16"/>
                </w:rPr>
                <w:t>[5]</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00C62B4B" w14:textId="77777777" w:rsidR="008A5E89" w:rsidRPr="002F2FDF" w:rsidRDefault="008A5E89" w:rsidP="0083075A">
            <w:pPr>
              <w:pStyle w:val="ae"/>
              <w:spacing w:before="0" w:after="0"/>
              <w:jc w:val="both"/>
              <w:rPr>
                <w:color w:val="000000" w:themeColor="text1"/>
                <w:kern w:val="2"/>
                <w:sz w:val="16"/>
                <w:szCs w:val="16"/>
              </w:rPr>
            </w:pPr>
            <w:r w:rsidRPr="002F2FDF">
              <w:rPr>
                <w:color w:val="000000" w:themeColor="text1"/>
                <w:kern w:val="2"/>
                <w:sz w:val="16"/>
                <w:szCs w:val="16"/>
              </w:rPr>
              <w:t>250 шт.</w:t>
            </w:r>
          </w:p>
        </w:tc>
      </w:tr>
      <w:tr w:rsidR="002B1C74" w:rsidRPr="002F2FDF" w14:paraId="1DAFE9EF"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7276A2" w14:textId="77777777" w:rsidR="008A5E89" w:rsidRPr="002F2FDF" w:rsidRDefault="008A5E89"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Испано 150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E2F78" w14:textId="77777777" w:rsidR="008A5E89" w:rsidRPr="002F2FDF" w:rsidRDefault="008A5E89" w:rsidP="0083075A">
            <w:pPr>
              <w:pStyle w:val="rtecenter"/>
              <w:spacing w:before="0" w:after="0"/>
              <w:jc w:val="both"/>
              <w:rPr>
                <w:color w:val="000000" w:themeColor="text1"/>
                <w:kern w:val="2"/>
                <w:sz w:val="16"/>
                <w:szCs w:val="16"/>
              </w:rPr>
            </w:pPr>
            <w:r w:rsidRPr="002F2FDF">
              <w:rPr>
                <w:color w:val="000000" w:themeColor="text1"/>
                <w:kern w:val="2"/>
                <w:sz w:val="16"/>
                <w:szCs w:val="16"/>
              </w:rPr>
              <w:t>100 »</w:t>
            </w:r>
          </w:p>
        </w:tc>
      </w:tr>
      <w:tr w:rsidR="002B1C74" w:rsidRPr="002F2FDF" w14:paraId="61A6C1D3"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AE396A" w14:textId="77777777" w:rsidR="008A5E89" w:rsidRPr="002F2FDF" w:rsidRDefault="008A5E89"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Испано 200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D44D7" w14:textId="77777777" w:rsidR="008A5E89" w:rsidRPr="002F2FDF" w:rsidRDefault="008A5E89" w:rsidP="0083075A">
            <w:pPr>
              <w:pStyle w:val="rtecenter"/>
              <w:spacing w:before="0" w:after="0"/>
              <w:jc w:val="both"/>
              <w:rPr>
                <w:color w:val="000000" w:themeColor="text1"/>
                <w:kern w:val="2"/>
                <w:sz w:val="16"/>
                <w:szCs w:val="16"/>
              </w:rPr>
            </w:pPr>
            <w:r w:rsidRPr="002F2FDF">
              <w:rPr>
                <w:color w:val="000000" w:themeColor="text1"/>
                <w:kern w:val="2"/>
                <w:sz w:val="16"/>
                <w:szCs w:val="16"/>
              </w:rPr>
              <w:t>100 »</w:t>
            </w:r>
          </w:p>
        </w:tc>
      </w:tr>
      <w:tr w:rsidR="002B1C74" w:rsidRPr="002F2FDF" w14:paraId="3A3A3772"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669929" w14:textId="77777777" w:rsidR="008A5E89" w:rsidRPr="002F2FDF" w:rsidRDefault="008A5E89"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Клерже 130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EAE1B" w14:textId="77777777" w:rsidR="008A5E89" w:rsidRPr="002F2FDF" w:rsidRDefault="008A5E89" w:rsidP="0083075A">
            <w:pPr>
              <w:pStyle w:val="rtecenter"/>
              <w:spacing w:before="0" w:after="0"/>
              <w:jc w:val="both"/>
              <w:rPr>
                <w:color w:val="000000" w:themeColor="text1"/>
                <w:kern w:val="2"/>
                <w:sz w:val="16"/>
                <w:szCs w:val="16"/>
              </w:rPr>
            </w:pPr>
            <w:r w:rsidRPr="002F2FDF">
              <w:rPr>
                <w:color w:val="000000" w:themeColor="text1"/>
                <w:kern w:val="2"/>
                <w:sz w:val="16"/>
                <w:szCs w:val="16"/>
              </w:rPr>
              <w:t>60 »</w:t>
            </w:r>
          </w:p>
        </w:tc>
      </w:tr>
      <w:tr w:rsidR="002B1C74" w:rsidRPr="002F2FDF" w14:paraId="3853B112"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6DF0FF" w14:textId="27236A81" w:rsidR="008A5E89"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r w:rsidR="008A5E89" w:rsidRPr="002F2FDF">
              <w:rPr>
                <w:color w:val="000000" w:themeColor="text1"/>
                <w:kern w:val="2"/>
                <w:sz w:val="16"/>
                <w:szCs w:val="16"/>
              </w:rPr>
              <w:t>К 1 июля с.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345A6" w14:textId="301EF932" w:rsidR="008A5E8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64714D6"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BCC91D" w14:textId="77777777" w:rsidR="008A5E89" w:rsidRPr="002F2FDF" w:rsidRDefault="008A5E89"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Ронов 100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C6BF9" w14:textId="77777777" w:rsidR="008A5E89" w:rsidRPr="002F2FDF" w:rsidRDefault="008A5E89" w:rsidP="0083075A">
            <w:pPr>
              <w:pStyle w:val="rtecenter"/>
              <w:spacing w:before="0" w:after="0"/>
              <w:jc w:val="both"/>
              <w:rPr>
                <w:color w:val="000000" w:themeColor="text1"/>
                <w:kern w:val="2"/>
                <w:sz w:val="16"/>
                <w:szCs w:val="16"/>
              </w:rPr>
            </w:pPr>
            <w:r w:rsidRPr="002F2FDF">
              <w:rPr>
                <w:color w:val="000000" w:themeColor="text1"/>
                <w:kern w:val="2"/>
                <w:sz w:val="16"/>
                <w:szCs w:val="16"/>
              </w:rPr>
              <w:t>230 »</w:t>
            </w:r>
          </w:p>
        </w:tc>
      </w:tr>
      <w:tr w:rsidR="002B1C74" w:rsidRPr="002F2FDF" w14:paraId="7A60094F"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F7265E" w14:textId="77777777" w:rsidR="008A5E89" w:rsidRPr="002F2FDF" w:rsidRDefault="008A5E89"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Испано 150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7A8B6" w14:textId="77777777" w:rsidR="008A5E89" w:rsidRPr="002F2FDF" w:rsidRDefault="008A5E89" w:rsidP="0083075A">
            <w:pPr>
              <w:pStyle w:val="rtecenter"/>
              <w:spacing w:before="0" w:after="0"/>
              <w:jc w:val="both"/>
              <w:rPr>
                <w:color w:val="000000" w:themeColor="text1"/>
                <w:kern w:val="2"/>
                <w:sz w:val="16"/>
                <w:szCs w:val="16"/>
              </w:rPr>
            </w:pPr>
            <w:r w:rsidRPr="002F2FDF">
              <w:rPr>
                <w:color w:val="000000" w:themeColor="text1"/>
                <w:kern w:val="2"/>
                <w:sz w:val="16"/>
                <w:szCs w:val="16"/>
              </w:rPr>
              <w:t>50 »</w:t>
            </w:r>
          </w:p>
        </w:tc>
      </w:tr>
      <w:tr w:rsidR="002B1C74" w:rsidRPr="002F2FDF" w14:paraId="7F4B2852"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520892" w14:textId="77777777" w:rsidR="008A5E89" w:rsidRPr="002F2FDF" w:rsidRDefault="008A5E89"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Испано 200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FA008" w14:textId="77777777" w:rsidR="008A5E89" w:rsidRPr="002F2FDF" w:rsidRDefault="008A5E89" w:rsidP="0083075A">
            <w:pPr>
              <w:pStyle w:val="rtecenter"/>
              <w:spacing w:before="0" w:after="0"/>
              <w:jc w:val="both"/>
              <w:rPr>
                <w:color w:val="000000" w:themeColor="text1"/>
                <w:kern w:val="2"/>
                <w:sz w:val="16"/>
                <w:szCs w:val="16"/>
              </w:rPr>
            </w:pPr>
            <w:r w:rsidRPr="002F2FDF">
              <w:rPr>
                <w:color w:val="000000" w:themeColor="text1"/>
                <w:kern w:val="2"/>
                <w:sz w:val="16"/>
                <w:szCs w:val="16"/>
              </w:rPr>
              <w:t>150 »</w:t>
            </w:r>
          </w:p>
        </w:tc>
      </w:tr>
      <w:tr w:rsidR="002B1C74" w:rsidRPr="002F2FDF" w14:paraId="2073B73E"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56D4B1" w14:textId="77777777" w:rsidR="008A5E89" w:rsidRPr="002F2FDF" w:rsidRDefault="008A5E89"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Клерже 130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A4A5C" w14:textId="77777777" w:rsidR="008A5E89" w:rsidRPr="002F2FDF" w:rsidRDefault="008A5E89" w:rsidP="0083075A">
            <w:pPr>
              <w:pStyle w:val="rtecenter"/>
              <w:spacing w:before="0" w:after="0"/>
              <w:jc w:val="both"/>
              <w:rPr>
                <w:color w:val="000000" w:themeColor="text1"/>
                <w:kern w:val="2"/>
                <w:sz w:val="16"/>
                <w:szCs w:val="16"/>
              </w:rPr>
            </w:pPr>
            <w:r w:rsidRPr="002F2FDF">
              <w:rPr>
                <w:color w:val="000000" w:themeColor="text1"/>
                <w:kern w:val="2"/>
                <w:sz w:val="16"/>
                <w:szCs w:val="16"/>
              </w:rPr>
              <w:t>150 »</w:t>
            </w:r>
          </w:p>
        </w:tc>
      </w:tr>
      <w:tr w:rsidR="002B1C74" w:rsidRPr="002F2FDF" w14:paraId="20F4D851"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49824B" w14:textId="63C14FDF" w:rsidR="008A5E89"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r w:rsidR="008A5E89" w:rsidRPr="002F2FDF">
              <w:rPr>
                <w:color w:val="000000" w:themeColor="text1"/>
                <w:kern w:val="2"/>
                <w:sz w:val="16"/>
                <w:szCs w:val="16"/>
              </w:rPr>
              <w:t>К 1 сентября с.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836A3" w14:textId="544DD672" w:rsidR="008A5E8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FC5627B"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1B71BE" w14:textId="77777777" w:rsidR="008A5E89" w:rsidRPr="002F2FDF" w:rsidRDefault="008A5E89"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Ронов 100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76973" w14:textId="77777777" w:rsidR="008A5E89" w:rsidRPr="002F2FDF" w:rsidRDefault="008A5E89" w:rsidP="0083075A">
            <w:pPr>
              <w:pStyle w:val="rtecenter"/>
              <w:spacing w:before="0" w:after="0"/>
              <w:jc w:val="both"/>
              <w:rPr>
                <w:color w:val="000000" w:themeColor="text1"/>
                <w:kern w:val="2"/>
                <w:sz w:val="16"/>
                <w:szCs w:val="16"/>
              </w:rPr>
            </w:pPr>
            <w:r w:rsidRPr="002F2FDF">
              <w:rPr>
                <w:color w:val="000000" w:themeColor="text1"/>
                <w:kern w:val="2"/>
                <w:sz w:val="16"/>
                <w:szCs w:val="16"/>
              </w:rPr>
              <w:t>200 »</w:t>
            </w:r>
          </w:p>
        </w:tc>
      </w:tr>
      <w:tr w:rsidR="002B1C74" w:rsidRPr="002F2FDF" w14:paraId="3BE9E673"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5FCC59" w14:textId="77777777" w:rsidR="008A5E89" w:rsidRPr="002F2FDF" w:rsidRDefault="008A5E89"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Испано 200 11Р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F26A2" w14:textId="77777777" w:rsidR="008A5E89" w:rsidRPr="002F2FDF" w:rsidRDefault="008A5E89" w:rsidP="0083075A">
            <w:pPr>
              <w:pStyle w:val="rtecenter"/>
              <w:spacing w:before="0" w:after="0"/>
              <w:jc w:val="both"/>
              <w:rPr>
                <w:color w:val="000000" w:themeColor="text1"/>
                <w:kern w:val="2"/>
                <w:sz w:val="16"/>
                <w:szCs w:val="16"/>
              </w:rPr>
            </w:pPr>
            <w:r w:rsidRPr="002F2FDF">
              <w:rPr>
                <w:color w:val="000000" w:themeColor="text1"/>
                <w:kern w:val="2"/>
                <w:sz w:val="16"/>
                <w:szCs w:val="16"/>
              </w:rPr>
              <w:t>230 »</w:t>
            </w:r>
          </w:p>
        </w:tc>
      </w:tr>
      <w:tr w:rsidR="002B1C74" w:rsidRPr="002F2FDF" w14:paraId="6151B6C0"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3A9C34" w14:textId="77777777" w:rsidR="008A5E89" w:rsidRPr="002F2FDF" w:rsidRDefault="008A5E89"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Клерже 130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722E0" w14:textId="77777777" w:rsidR="008A5E89" w:rsidRPr="002F2FDF" w:rsidRDefault="008A5E89" w:rsidP="0083075A">
            <w:pPr>
              <w:pStyle w:val="rtecenter"/>
              <w:spacing w:before="0" w:after="0"/>
              <w:jc w:val="both"/>
              <w:rPr>
                <w:color w:val="000000" w:themeColor="text1"/>
                <w:kern w:val="2"/>
                <w:sz w:val="16"/>
                <w:szCs w:val="16"/>
              </w:rPr>
            </w:pPr>
            <w:r w:rsidRPr="002F2FDF">
              <w:rPr>
                <w:color w:val="000000" w:themeColor="text1"/>
                <w:kern w:val="2"/>
                <w:sz w:val="16"/>
                <w:szCs w:val="16"/>
              </w:rPr>
              <w:t>50 »</w:t>
            </w:r>
          </w:p>
        </w:tc>
      </w:tr>
    </w:tbl>
    <w:p w14:paraId="16DCD99D"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Результаты предпринятых ген. Пулем мер управлению неизвестны.</w:t>
      </w:r>
    </w:p>
    <w:p w14:paraId="31952B29"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На основании всего изложенного представляется безусловно необходимым:</w:t>
      </w:r>
    </w:p>
    <w:p w14:paraId="42A5968A"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1) Немедленная высылка всех сданных нашим заграничным приемным комиссиям аппаратов и моторов, находящихся на складах и заводах в Париже и Бресте.</w:t>
      </w:r>
    </w:p>
    <w:p w14:paraId="658D1362"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2) Принятие каких-либо мер к срочному удовлетворению потребности в тоннаже, в первую очередь хотя бы лишь для 1570 моторов.</w:t>
      </w:r>
    </w:p>
    <w:p w14:paraId="702D7BFA"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3) Немедленная высылка трех образцовых моторов Испано мощностью 200 сил.</w:t>
      </w:r>
    </w:p>
    <w:p w14:paraId="1BFA1CCF"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4) Командирование за счет русского правительства 2, лучше 3, хороших французских специалистов-инженеров, из коих одного специалиста по Спадам и одного по Ныопорам.</w:t>
      </w:r>
      <w:hyperlink r:id="rId181" w:anchor="_ftn6" w:history="1">
        <w:r w:rsidRPr="002F2FDF">
          <w:rPr>
            <w:rStyle w:val="a5"/>
            <w:color w:val="000000" w:themeColor="text1"/>
            <w:kern w:val="2"/>
            <w:sz w:val="16"/>
            <w:szCs w:val="16"/>
          </w:rPr>
          <w:t>[6]</w:t>
        </w:r>
      </w:hyperlink>
    </w:p>
    <w:p w14:paraId="652FF5C2"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Подлинный подписал и. д. начальника Управления военного воздушного флота военный инженер полк. Яковлев.</w:t>
      </w:r>
    </w:p>
    <w:p w14:paraId="7BF3F508"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На подлинном наложена следующая резолюция: Полк. Яковлеву: военный министр приказал выдержки из сего доклада передать г. Аль-беру Тома в переводе на французский язык.</w:t>
      </w:r>
    </w:p>
    <w:p w14:paraId="590C20C7" w14:textId="77777777" w:rsidR="008A5E89" w:rsidRPr="002F2FDF" w:rsidRDefault="008A5E89"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Геи. Маниковский.</w:t>
      </w:r>
    </w:p>
    <w:p w14:paraId="41524949" w14:textId="77777777" w:rsidR="008A5E89" w:rsidRPr="002F2FDF" w:rsidRDefault="00000000" w:rsidP="0083075A">
      <w:pPr>
        <w:pStyle w:val="rtejustify"/>
        <w:spacing w:before="0" w:after="0"/>
        <w:rPr>
          <w:color w:val="000000" w:themeColor="text1"/>
          <w:kern w:val="2"/>
          <w:sz w:val="16"/>
          <w:szCs w:val="16"/>
        </w:rPr>
      </w:pPr>
      <w:hyperlink r:id="rId182" w:anchor="_ftnref1" w:history="1">
        <w:r w:rsidR="008A5E89" w:rsidRPr="002F2FDF">
          <w:rPr>
            <w:rStyle w:val="a5"/>
            <w:color w:val="000000" w:themeColor="text1"/>
            <w:kern w:val="2"/>
            <w:sz w:val="16"/>
            <w:szCs w:val="16"/>
          </w:rPr>
          <w:t>[1]</w:t>
        </w:r>
      </w:hyperlink>
      <w:r w:rsidR="008A5E89" w:rsidRPr="002F2FDF">
        <w:rPr>
          <w:color w:val="000000" w:themeColor="text1"/>
          <w:kern w:val="2"/>
          <w:sz w:val="16"/>
          <w:szCs w:val="16"/>
        </w:rPr>
        <w:t xml:space="preserve"> См. док. № 412 и прим. к нему.</w:t>
      </w:r>
    </w:p>
    <w:p w14:paraId="0CD24AF1" w14:textId="77777777" w:rsidR="008A5E89" w:rsidRPr="002F2FDF" w:rsidRDefault="00000000" w:rsidP="0083075A">
      <w:pPr>
        <w:pStyle w:val="rtejustify"/>
        <w:spacing w:before="0" w:after="0"/>
        <w:rPr>
          <w:color w:val="000000" w:themeColor="text1"/>
          <w:kern w:val="2"/>
          <w:sz w:val="16"/>
          <w:szCs w:val="16"/>
        </w:rPr>
      </w:pPr>
      <w:hyperlink r:id="rId183" w:anchor="_ftnref2" w:history="1">
        <w:r w:rsidR="008A5E89" w:rsidRPr="002F2FDF">
          <w:rPr>
            <w:rStyle w:val="a5"/>
            <w:color w:val="000000" w:themeColor="text1"/>
            <w:kern w:val="2"/>
            <w:sz w:val="16"/>
            <w:szCs w:val="16"/>
          </w:rPr>
          <w:t>[2]</w:t>
        </w:r>
      </w:hyperlink>
      <w:r w:rsidR="008A5E89" w:rsidRPr="002F2FDF">
        <w:rPr>
          <w:color w:val="000000" w:themeColor="text1"/>
          <w:kern w:val="2"/>
          <w:sz w:val="16"/>
          <w:szCs w:val="16"/>
        </w:rPr>
        <w:t xml:space="preserve"> См.: ЦГВИА, ф. 2000, оп. 1, д. 6260, л. 273—273 об.</w:t>
      </w:r>
    </w:p>
    <w:p w14:paraId="7A91B5B8" w14:textId="77777777" w:rsidR="008A5E89" w:rsidRPr="002F2FDF" w:rsidRDefault="00000000" w:rsidP="0083075A">
      <w:pPr>
        <w:pStyle w:val="rtejustify"/>
        <w:spacing w:before="0" w:after="0"/>
        <w:rPr>
          <w:color w:val="000000" w:themeColor="text1"/>
          <w:kern w:val="2"/>
          <w:sz w:val="16"/>
          <w:szCs w:val="16"/>
        </w:rPr>
      </w:pPr>
      <w:hyperlink r:id="rId184" w:anchor="_ftnref3" w:history="1">
        <w:r w:rsidR="008A5E89" w:rsidRPr="002F2FDF">
          <w:rPr>
            <w:rStyle w:val="a5"/>
            <w:color w:val="000000" w:themeColor="text1"/>
            <w:kern w:val="2"/>
            <w:sz w:val="16"/>
            <w:szCs w:val="16"/>
          </w:rPr>
          <w:t>[3]</w:t>
        </w:r>
      </w:hyperlink>
      <w:r w:rsidR="008A5E89" w:rsidRPr="002F2FDF">
        <w:rPr>
          <w:color w:val="000000" w:themeColor="text1"/>
          <w:kern w:val="2"/>
          <w:sz w:val="16"/>
          <w:szCs w:val="16"/>
        </w:rPr>
        <w:t xml:space="preserve"> См. док. № 644.</w:t>
      </w:r>
    </w:p>
    <w:p w14:paraId="42F5608F" w14:textId="77777777" w:rsidR="008A5E89" w:rsidRPr="002F2FDF" w:rsidRDefault="00000000" w:rsidP="0083075A">
      <w:pPr>
        <w:pStyle w:val="rtejustify"/>
        <w:spacing w:before="0" w:after="0"/>
        <w:rPr>
          <w:color w:val="000000" w:themeColor="text1"/>
          <w:kern w:val="2"/>
          <w:sz w:val="16"/>
          <w:szCs w:val="16"/>
        </w:rPr>
      </w:pPr>
      <w:hyperlink r:id="rId185" w:anchor="_ftnref4" w:history="1">
        <w:r w:rsidR="008A5E89" w:rsidRPr="002F2FDF">
          <w:rPr>
            <w:rStyle w:val="a5"/>
            <w:color w:val="000000" w:themeColor="text1"/>
            <w:kern w:val="2"/>
            <w:sz w:val="16"/>
            <w:szCs w:val="16"/>
          </w:rPr>
          <w:t>[4]</w:t>
        </w:r>
      </w:hyperlink>
      <w:r w:rsidR="008A5E89" w:rsidRPr="002F2FDF">
        <w:rPr>
          <w:color w:val="000000" w:themeColor="text1"/>
          <w:kern w:val="2"/>
          <w:sz w:val="16"/>
          <w:szCs w:val="16"/>
        </w:rPr>
        <w:t xml:space="preserve"> См.: ЦГВИА ф. 2000 оп. 1 д. 6260 л. 272</w:t>
      </w:r>
    </w:p>
    <w:p w14:paraId="5A862C95" w14:textId="77777777" w:rsidR="008A5E89" w:rsidRPr="002F2FDF" w:rsidRDefault="00000000" w:rsidP="0083075A">
      <w:pPr>
        <w:pStyle w:val="rtejustify"/>
        <w:spacing w:before="0" w:after="0"/>
        <w:rPr>
          <w:color w:val="000000" w:themeColor="text1"/>
          <w:kern w:val="2"/>
          <w:sz w:val="16"/>
          <w:szCs w:val="16"/>
        </w:rPr>
      </w:pPr>
      <w:hyperlink r:id="rId186" w:anchor="_ftnref5" w:history="1">
        <w:r w:rsidR="008A5E89" w:rsidRPr="002F2FDF">
          <w:rPr>
            <w:rStyle w:val="a5"/>
            <w:color w:val="000000" w:themeColor="text1"/>
            <w:kern w:val="2"/>
            <w:sz w:val="16"/>
            <w:szCs w:val="16"/>
          </w:rPr>
          <w:t>[5]</w:t>
        </w:r>
      </w:hyperlink>
      <w:r w:rsidR="008A5E89" w:rsidRPr="002F2FDF">
        <w:rPr>
          <w:color w:val="000000" w:themeColor="text1"/>
          <w:kern w:val="2"/>
          <w:sz w:val="16"/>
          <w:szCs w:val="16"/>
        </w:rPr>
        <w:t xml:space="preserve"> НР — сил.</w:t>
      </w:r>
    </w:p>
    <w:p w14:paraId="686939C7" w14:textId="77777777" w:rsidR="008A5E89" w:rsidRPr="002F2FDF" w:rsidRDefault="00000000" w:rsidP="0083075A">
      <w:pPr>
        <w:pStyle w:val="rtejustify"/>
        <w:spacing w:before="0" w:after="0"/>
        <w:rPr>
          <w:color w:val="000000" w:themeColor="text1"/>
          <w:kern w:val="2"/>
          <w:sz w:val="16"/>
          <w:szCs w:val="16"/>
        </w:rPr>
      </w:pPr>
      <w:hyperlink r:id="rId187" w:anchor="_ftnref6" w:history="1">
        <w:r w:rsidR="008A5E89" w:rsidRPr="002F2FDF">
          <w:rPr>
            <w:rStyle w:val="a5"/>
            <w:color w:val="000000" w:themeColor="text1"/>
            <w:kern w:val="2"/>
            <w:sz w:val="16"/>
            <w:szCs w:val="16"/>
          </w:rPr>
          <w:t>[6]</w:t>
        </w:r>
      </w:hyperlink>
      <w:r w:rsidR="008A5E89" w:rsidRPr="002F2FDF">
        <w:rPr>
          <w:color w:val="000000" w:themeColor="text1"/>
          <w:kern w:val="2"/>
          <w:sz w:val="16"/>
          <w:szCs w:val="16"/>
        </w:rPr>
        <w:t xml:space="preserve"> По получении доклада полк. Д. В. Яковлева ген. А. А. Маниковский отправил полк. А. А. Игнатьеву телеграмму с предложением довести до сведения французского правительства о необходимости неотлагательного выполнения изложенных в докладе предложений (ЦГВИА, ф. 418, оп. 1, д. 8, л. 26). Экономический департамент МИД обратился 22 июня 1917 г. к английскому послу в Петрограде Дж. Бьюкенену с просьбой оказать содействие срочной доставке авиационных моторов в Россию (АВПР, ф. Экономического деп-та, д. 146, л. 9) (15160).</w:t>
      </w:r>
    </w:p>
    <w:p w14:paraId="27DA657B" w14:textId="77777777" w:rsidR="008A5E89" w:rsidRPr="002F2FDF" w:rsidRDefault="008A5E89"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03028B97"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25 мая (7 июня) 1917 г.</w:t>
      </w:r>
    </w:p>
    <w:p w14:paraId="13B1E3F8"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Доклад и. о. начальника Управления военно-воздушного флота полк. Д. В. Яковлева военному министру об авиационном снабжении русской армии из-за границы.</w:t>
      </w:r>
    </w:p>
    <w:p w14:paraId="2A8358D8"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Огромные затруднения, испытываемые ныне в перевозках изготовленного за границей имущества, с особенной остротой отражаются на авиационном снабжении, особенно ввиду общей его недостаточности на фронте.</w:t>
      </w:r>
    </w:p>
    <w:p w14:paraId="0BF42659"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Сущность вопроса распадается на две части. Прежде всего сокращение тоннажа ведет к недоставке готовых, построенных за границей аппаратов, которые после осмотра н ремонта повреждений могли бы непосредственно отправляться на фронт. Положение в этом отношении сделалось настолько острым, что представитель </w:t>
      </w:r>
      <w:r w:rsidRPr="002F2FDF">
        <w:rPr>
          <w:rFonts w:ascii="Times New Roman" w:hAnsi="Times New Roman" w:cs="Times New Roman"/>
          <w:color w:val="000000" w:themeColor="text1"/>
          <w:sz w:val="16"/>
          <w:szCs w:val="16"/>
          <w:highlight w:val="yellow"/>
        </w:rPr>
        <w:t>Управления военного воздушного флота</w:t>
      </w:r>
      <w:r w:rsidRPr="002F2FDF">
        <w:rPr>
          <w:rFonts w:ascii="Times New Roman" w:hAnsi="Times New Roman" w:cs="Times New Roman"/>
          <w:color w:val="000000" w:themeColor="text1"/>
          <w:sz w:val="16"/>
          <w:szCs w:val="16"/>
        </w:rPr>
        <w:t xml:space="preserve"> в Париже телеграммой от 20/21 сего мая № 615/874 попрашивает разрешения вовсе прекратить заказы на 1917 г. за невозможностью их вывезти.</w:t>
      </w:r>
    </w:p>
    <w:p w14:paraId="306FC993"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Выясняется, что па складах в Париже па 31 мая н. ст. имелось для России 73 аппарата, в Бресте 247, я до октября уже разрешенных и подлежащих сдаче французских аппаратов должно быть отправлено 1155.</w:t>
      </w:r>
    </w:p>
    <w:p w14:paraId="4B94CA71"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Между тем за май месяц было отправлено вместо разрешенных к вывозу на этот месяц 300 шт. всего 68.</w:t>
      </w:r>
    </w:p>
    <w:p w14:paraId="26273A2D"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действительности же за весь период с 1 января по 23 мая ст. ст. 1917 г., т. е. почти за 5 месяцев, прибыло в русские порты всего 79 аппаратов, т. е. около 2.5% от всего количества заказанных заграничных аппаратов (3200 шт., из них во Франции — 2200), определенного на Петроградской конференции союзников в январе с. г., подтвержденных представителями союзных армий на той же конференции и в значительной мере уже размещенных как заказы.</w:t>
      </w:r>
    </w:p>
    <w:p w14:paraId="49EFA41E"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Выдержка из подлинной телеграммы гласит нижеследующее: «При таких условиях отправок дальнейшее сколько-нибудь интенсивное снабжение аппаратами из Франции немыслимо. Создавшееся критическое положение настолько серьезно, что комиссия полагает совершенно невозможным и даже вредным дальнейшие заказы и просьбы об уступках аппаратов, так как это может вызвать вполне справедливые нарекания французского правительства о требованиях для русского правительства, коими армия наша не в состоянии будет воспользоваться. В настоящее время мы вынуждены сокращать число отправок в Бресте с каждым днем. Найти достаточно складов в Париже невозможно. Аппараты временно остаются на хранении у французского правительства и конструкторов, откуда и перевозятся в склады. Просим вашего обращения к английским властям в Петрограде п срочных телеграфных указаний о результатах наших требований на пароходы, разрешаете ли вы прекратить заказы в уступки аппаратов. Просил у французского правительства лишь моторы. </w:t>
      </w:r>
    </w:p>
    <w:p w14:paraId="0977EF97"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Быстрицкий. Париж’. Пятница. Несториус 0615 номер 874. Игнатьев» </w:t>
      </w:r>
    </w:p>
    <w:p w14:paraId="592F1B6B"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Однако не только в этой стороне дела заключается главная опасность.</w:t>
      </w:r>
    </w:p>
    <w:p w14:paraId="7F3BAE1C"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Усилия русского военного ведомства во время войны были направлены не только к развитию авиационной промышленности вообще, но, в частности, </w:t>
      </w:r>
    </w:p>
    <w:p w14:paraId="2F936AFF"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возможно широкому развитию собственно аэропланостроения.</w:t>
      </w:r>
    </w:p>
    <w:p w14:paraId="457C982C"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При этих условиях заблаговременное установление твердой программы доставки из-за границы моторов и своевременное их получение представляется безусловно необходимым, и только при реальном выполнении такой программы возможна сколько-нибудь планомерная работа аэропланных заводов на снабжение армии. Такая программа и: была установлена своевременно, сообщена в Париж и заявлена на конференции.</w:t>
      </w:r>
    </w:p>
    <w:p w14:paraId="57E69A2A"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Между тем в действительности за период времени с 1 января по 23 мая ст. ст. 1917 г. получено всего 235 моторов, тогда как число заказанных, но еще не погруженных моторов составляло на 1 января с. г. 484.3, а на 1 апреля — 6838. Иными словами доставлено всего около 4.5—3.5°о.</w:t>
      </w:r>
    </w:p>
    <w:p w14:paraId="44B5105A"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Что же касается дальнейшего выполнения заказов, то и число моторов, и распределение их по типам остается неопределенным. При этих условиях, т. е. при неизвестности не только числа, по и типов моторов, которые можно будет получить из-за границы, не представляется возможным установить тип аппаратов, подлежащих заказам па вторую половину 1917 г., т. е. своевременно заготовить материал. Сверх сего не только массовое снабжение фактически приостановлено, но даже нет возможности получить хотя бы образцовые моторы для разработки подробностей аппаратов, дабы до получения моторов пустить в ход производство новых типов аэропланов.</w:t>
      </w:r>
    </w:p>
    <w:p w14:paraId="71413764"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Неизвестность типов моторов, подлежащих доставке, вносит еще и то чрезвычайно серьезное осложнение, что пулеметные установки, требующие специальных устройств, зависящих от типов аппаратов и моторов, не могут быть своевременно разработаны и изготовлены, почему уже выпущенные с заводов аппараты, будучи невооруженными, оказываются бесполезными.</w:t>
      </w:r>
    </w:p>
    <w:p w14:paraId="6DF6EA57"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Для характеристики общего положения заграничного снабжения могут быть приведены нижеследующие данные, заимствованные из двух телеграмм, полученных 22 сего мая от представителя управления в Париже.</w:t>
      </w:r>
    </w:p>
    <w:p w14:paraId="348904EA"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Из А» 0614 следует, что в Россию будут направлены из Америки моторы Испано французского заказа мощностью в 150 сил, ибо здесь, т. е. во Франции, миновала надобность в моторах 150 сил. Моторы эти предназначаются для аппаратов Спад, строящихся ныне и в России, причем последний тип за границей работает уже при 235 действительных силах. Иными словами, получив моторы 150 сил в середине года, русские заводы только во второй половине года будут выпускать 150-сильные Спады, тогда как союзники и противник уже ныне летают на свыше чем 200-силышх аппаратах.</w:t>
      </w:r>
    </w:p>
    <w:p w14:paraId="078E61D9"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Наладить и России цроизлодство этих моторов не было возможно и раньше, ни н сколько-нибудь короткий срок и ныне, несмотря на то -то заказ на них в России был дан еще в начале 1916 г.</w:t>
      </w:r>
    </w:p>
    <w:p w14:paraId="7C4C7754"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Объясняется это обстоятельство огромными чисто техническими трудностями изготовления, настолько серьезными, что даже французы, имея в своем распоряжения самый завод Искано Сюнза, пользующийся мировой известностью в автомобильном дело, смогли при помощи целого ряда других промышленных организации наладить изготовление лишь на второй год войны.</w:t>
      </w:r>
    </w:p>
    <w:p w14:paraId="1C8AC5E2"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Что касается чисто количественных соотношений, то из тех же телеграмм следует, в каких малых пропорциях будут осуществлены уже данные заказы. Так, например, из 2000 моторов Пспано к 1 января 1918 г. будет дапо только 900, т. е. но существующим условиям транспорта и изготовления аппаратов в настоящем году удастся использовать лини, несколько десятков или сотен, и то в конце года.</w:t>
      </w:r>
    </w:p>
    <w:p w14:paraId="12D62607"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Остальные данные носят тот же угрожающий характер.</w:t>
      </w:r>
    </w:p>
    <w:p w14:paraId="3C7D937D"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Из изложенного, не затрагивающего и сотой доли вопросов заграничного снабжения (ротационных моторов, алюминиевого литья, специальной стали, магнето, радиотелеграфа, устройств фотографирования н up.), следует, что положение авиационного снабжения представляется катастрофическим.</w:t>
      </w:r>
    </w:p>
    <w:p w14:paraId="388FFE0C"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Ввиду того что наибольшие затруднения в снабжении связаны, невидимому, с недостатком тоннажа, Управление военного воздушного флота сверх всех принимавшихся мер по заявлению крайней срочности в предоставлении необходимого тоннажа на конференции союзников, в комиссии товарища министра торговли и промышленности Б. А. Бахметьева и в Британской военной миссии обратилось 16 апреля с. г. па основании личных переговоров к ген. Нулю с письмом на его имя, в коем была указана  очередь наиболее срочных исполнений доставок моторов и аэропланов, о каковой очереди геи. Пуль просил осведомления в целях сообщения ее английскому правительству.</w:t>
      </w:r>
    </w:p>
    <w:p w14:paraId="0711F1D2"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Заявленные в означенном письме цифры сводятся к следующему.</w:t>
      </w:r>
    </w:p>
    <w:p w14:paraId="5676C880"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Безусловно необходимо полечить нижеследующий крайний минимум моторов:</w:t>
      </w:r>
    </w:p>
    <w:p w14:paraId="25F6ADB8"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Немедленно:</w:t>
      </w:r>
    </w:p>
    <w:p w14:paraId="03732FCF"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Ронов</w:t>
      </w:r>
      <w:r w:rsidRPr="002F2FDF">
        <w:rPr>
          <w:rFonts w:ascii="Times New Roman" w:hAnsi="Times New Roman" w:cs="Times New Roman"/>
          <w:color w:val="000000" w:themeColor="text1"/>
          <w:sz w:val="16"/>
          <w:szCs w:val="16"/>
        </w:rPr>
        <w:tab/>
        <w:t>110</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lang w:val="en-US"/>
        </w:rPr>
        <w:t>HP</w:t>
      </w:r>
      <w:r w:rsidRPr="002F2FDF">
        <w:rPr>
          <w:rFonts w:ascii="Times New Roman" w:hAnsi="Times New Roman" w:cs="Times New Roman"/>
          <w:color w:val="000000" w:themeColor="text1"/>
          <w:sz w:val="16"/>
          <w:szCs w:val="16"/>
        </w:rPr>
        <w:t>.............................250</w:t>
      </w:r>
      <w:r w:rsidRPr="002F2FDF">
        <w:rPr>
          <w:rFonts w:ascii="Times New Roman" w:hAnsi="Times New Roman" w:cs="Times New Roman"/>
          <w:color w:val="000000" w:themeColor="text1"/>
          <w:sz w:val="16"/>
          <w:szCs w:val="16"/>
        </w:rPr>
        <w:tab/>
        <w:t>шт.</w:t>
      </w:r>
    </w:p>
    <w:p w14:paraId="74FDC202"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Испано</w:t>
      </w:r>
      <w:r w:rsidRPr="002F2FDF">
        <w:rPr>
          <w:rFonts w:ascii="Times New Roman" w:hAnsi="Times New Roman" w:cs="Times New Roman"/>
          <w:color w:val="000000" w:themeColor="text1"/>
          <w:sz w:val="16"/>
          <w:szCs w:val="16"/>
        </w:rPr>
        <w:tab/>
        <w:t>150</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lang w:val="en-US"/>
        </w:rPr>
        <w:t>HP</w:t>
      </w:r>
      <w:r w:rsidRPr="002F2FDF">
        <w:rPr>
          <w:rFonts w:ascii="Times New Roman" w:hAnsi="Times New Roman" w:cs="Times New Roman"/>
          <w:color w:val="000000" w:themeColor="text1"/>
          <w:sz w:val="16"/>
          <w:szCs w:val="16"/>
        </w:rPr>
        <w:t>..............................100</w:t>
      </w:r>
      <w:r w:rsidRPr="002F2FDF">
        <w:rPr>
          <w:rFonts w:ascii="Times New Roman" w:hAnsi="Times New Roman" w:cs="Times New Roman"/>
          <w:color w:val="000000" w:themeColor="text1"/>
          <w:sz w:val="16"/>
          <w:szCs w:val="16"/>
        </w:rPr>
        <w:tab/>
        <w:t>»</w:t>
      </w:r>
    </w:p>
    <w:p w14:paraId="4608AE34"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Испано</w:t>
      </w:r>
      <w:r w:rsidRPr="002F2FDF">
        <w:rPr>
          <w:rFonts w:ascii="Times New Roman" w:hAnsi="Times New Roman" w:cs="Times New Roman"/>
          <w:color w:val="000000" w:themeColor="text1"/>
          <w:sz w:val="16"/>
          <w:szCs w:val="16"/>
        </w:rPr>
        <w:tab/>
        <w:t>200</w:t>
      </w:r>
      <w:r w:rsidRPr="002F2FDF">
        <w:rPr>
          <w:rFonts w:ascii="Times New Roman" w:hAnsi="Times New Roman" w:cs="Times New Roman"/>
          <w:color w:val="000000" w:themeColor="text1"/>
          <w:sz w:val="16"/>
          <w:szCs w:val="16"/>
        </w:rPr>
        <w:tab/>
        <w:t>HP..............................100</w:t>
      </w:r>
      <w:r w:rsidRPr="002F2FDF">
        <w:rPr>
          <w:rFonts w:ascii="Times New Roman" w:hAnsi="Times New Roman" w:cs="Times New Roman"/>
          <w:color w:val="000000" w:themeColor="text1"/>
          <w:sz w:val="16"/>
          <w:szCs w:val="16"/>
        </w:rPr>
        <w:tab/>
        <w:t>»</w:t>
      </w:r>
    </w:p>
    <w:p w14:paraId="560FD4E2"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Клерже</w:t>
      </w:r>
      <w:r w:rsidRPr="002F2FDF">
        <w:rPr>
          <w:rFonts w:ascii="Times New Roman" w:hAnsi="Times New Roman" w:cs="Times New Roman"/>
          <w:color w:val="000000" w:themeColor="text1"/>
          <w:sz w:val="16"/>
          <w:szCs w:val="16"/>
        </w:rPr>
        <w:tab/>
        <w:t>130</w:t>
      </w:r>
      <w:r w:rsidRPr="002F2FDF">
        <w:rPr>
          <w:rFonts w:ascii="Times New Roman" w:hAnsi="Times New Roman" w:cs="Times New Roman"/>
          <w:color w:val="000000" w:themeColor="text1"/>
          <w:sz w:val="16"/>
          <w:szCs w:val="16"/>
        </w:rPr>
        <w:tab/>
        <w:t>HP..............................60</w:t>
      </w:r>
      <w:r w:rsidRPr="002F2FDF">
        <w:rPr>
          <w:rFonts w:ascii="Times New Roman" w:hAnsi="Times New Roman" w:cs="Times New Roman"/>
          <w:color w:val="000000" w:themeColor="text1"/>
          <w:sz w:val="16"/>
          <w:szCs w:val="16"/>
        </w:rPr>
        <w:tab/>
        <w:t>»</w:t>
      </w:r>
    </w:p>
    <w:p w14:paraId="3866D3B2"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I июля с. г.:</w:t>
      </w:r>
    </w:p>
    <w:p w14:paraId="5BD4153A"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Ронов</w:t>
      </w:r>
      <w:r w:rsidRPr="002F2FDF">
        <w:rPr>
          <w:rFonts w:ascii="Times New Roman" w:hAnsi="Times New Roman" w:cs="Times New Roman"/>
          <w:color w:val="000000" w:themeColor="text1"/>
          <w:sz w:val="16"/>
          <w:szCs w:val="16"/>
        </w:rPr>
        <w:tab/>
        <w:t>100</w:t>
      </w:r>
      <w:r w:rsidRPr="002F2FDF">
        <w:rPr>
          <w:rFonts w:ascii="Times New Roman" w:hAnsi="Times New Roman" w:cs="Times New Roman"/>
          <w:color w:val="000000" w:themeColor="text1"/>
          <w:sz w:val="16"/>
          <w:szCs w:val="16"/>
        </w:rPr>
        <w:tab/>
        <w:t>HP..............................230</w:t>
      </w:r>
      <w:r w:rsidRPr="002F2FDF">
        <w:rPr>
          <w:rFonts w:ascii="Times New Roman" w:hAnsi="Times New Roman" w:cs="Times New Roman"/>
          <w:color w:val="000000" w:themeColor="text1"/>
          <w:sz w:val="16"/>
          <w:szCs w:val="16"/>
        </w:rPr>
        <w:tab/>
        <w:t>»</w:t>
      </w:r>
    </w:p>
    <w:p w14:paraId="723F296F"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Испано</w:t>
      </w:r>
      <w:r w:rsidRPr="002F2FDF">
        <w:rPr>
          <w:rFonts w:ascii="Times New Roman" w:hAnsi="Times New Roman" w:cs="Times New Roman"/>
          <w:color w:val="000000" w:themeColor="text1"/>
          <w:sz w:val="16"/>
          <w:szCs w:val="16"/>
        </w:rPr>
        <w:tab/>
        <w:t>150</w:t>
      </w:r>
      <w:r w:rsidRPr="002F2FDF">
        <w:rPr>
          <w:rFonts w:ascii="Times New Roman" w:hAnsi="Times New Roman" w:cs="Times New Roman"/>
          <w:color w:val="000000" w:themeColor="text1"/>
          <w:sz w:val="16"/>
          <w:szCs w:val="16"/>
        </w:rPr>
        <w:tab/>
        <w:t>HP..............................50</w:t>
      </w:r>
      <w:r w:rsidRPr="002F2FDF">
        <w:rPr>
          <w:rFonts w:ascii="Times New Roman" w:hAnsi="Times New Roman" w:cs="Times New Roman"/>
          <w:color w:val="000000" w:themeColor="text1"/>
          <w:sz w:val="16"/>
          <w:szCs w:val="16"/>
        </w:rPr>
        <w:tab/>
        <w:t>»</w:t>
      </w:r>
    </w:p>
    <w:p w14:paraId="7C257F95"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Испано</w:t>
      </w:r>
      <w:r w:rsidRPr="002F2FDF">
        <w:rPr>
          <w:rFonts w:ascii="Times New Roman" w:hAnsi="Times New Roman" w:cs="Times New Roman"/>
          <w:color w:val="000000" w:themeColor="text1"/>
          <w:sz w:val="16"/>
          <w:szCs w:val="16"/>
        </w:rPr>
        <w:tab/>
        <w:t>200</w:t>
      </w:r>
      <w:r w:rsidRPr="002F2FDF">
        <w:rPr>
          <w:rFonts w:ascii="Times New Roman" w:hAnsi="Times New Roman" w:cs="Times New Roman"/>
          <w:color w:val="000000" w:themeColor="text1"/>
          <w:sz w:val="16"/>
          <w:szCs w:val="16"/>
        </w:rPr>
        <w:tab/>
        <w:t>HP..............................150</w:t>
      </w:r>
      <w:r w:rsidRPr="002F2FDF">
        <w:rPr>
          <w:rFonts w:ascii="Times New Roman" w:hAnsi="Times New Roman" w:cs="Times New Roman"/>
          <w:color w:val="000000" w:themeColor="text1"/>
          <w:sz w:val="16"/>
          <w:szCs w:val="16"/>
        </w:rPr>
        <w:tab/>
        <w:t>»</w:t>
      </w:r>
    </w:p>
    <w:p w14:paraId="459C6580"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Клерже</w:t>
      </w:r>
      <w:r w:rsidRPr="002F2FDF">
        <w:rPr>
          <w:rFonts w:ascii="Times New Roman" w:hAnsi="Times New Roman" w:cs="Times New Roman"/>
          <w:color w:val="000000" w:themeColor="text1"/>
          <w:sz w:val="16"/>
          <w:szCs w:val="16"/>
        </w:rPr>
        <w:tab/>
        <w:t>130</w:t>
      </w:r>
      <w:r w:rsidRPr="002F2FDF">
        <w:rPr>
          <w:rFonts w:ascii="Times New Roman" w:hAnsi="Times New Roman" w:cs="Times New Roman"/>
          <w:color w:val="000000" w:themeColor="text1"/>
          <w:sz w:val="16"/>
          <w:szCs w:val="16"/>
        </w:rPr>
        <w:tab/>
        <w:t>HP..............................150</w:t>
      </w:r>
      <w:r w:rsidRPr="002F2FDF">
        <w:rPr>
          <w:rFonts w:ascii="Times New Roman" w:hAnsi="Times New Roman" w:cs="Times New Roman"/>
          <w:color w:val="000000" w:themeColor="text1"/>
          <w:sz w:val="16"/>
          <w:szCs w:val="16"/>
        </w:rPr>
        <w:tab/>
        <w:t>»</w:t>
      </w:r>
    </w:p>
    <w:p w14:paraId="1BEEA868"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1 сентября с. г.:</w:t>
      </w:r>
    </w:p>
    <w:p w14:paraId="2DBF6D82"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Ронов</w:t>
      </w:r>
      <w:r w:rsidRPr="002F2FDF">
        <w:rPr>
          <w:rFonts w:ascii="Times New Roman" w:hAnsi="Times New Roman" w:cs="Times New Roman"/>
          <w:color w:val="000000" w:themeColor="text1"/>
          <w:sz w:val="16"/>
          <w:szCs w:val="16"/>
        </w:rPr>
        <w:tab/>
        <w:t xml:space="preserve">100 </w:t>
      </w:r>
      <w:r w:rsidRPr="002F2FDF">
        <w:rPr>
          <w:rFonts w:ascii="Times New Roman" w:hAnsi="Times New Roman" w:cs="Times New Roman"/>
          <w:color w:val="000000" w:themeColor="text1"/>
          <w:sz w:val="16"/>
          <w:szCs w:val="16"/>
        </w:rPr>
        <w:tab/>
        <w:t>HP..............................200</w:t>
      </w:r>
      <w:r w:rsidRPr="002F2FDF">
        <w:rPr>
          <w:rFonts w:ascii="Times New Roman" w:hAnsi="Times New Roman" w:cs="Times New Roman"/>
          <w:color w:val="000000" w:themeColor="text1"/>
          <w:sz w:val="16"/>
          <w:szCs w:val="16"/>
        </w:rPr>
        <w:tab/>
        <w:t>»</w:t>
      </w:r>
    </w:p>
    <w:p w14:paraId="23D8D1E5"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Испано</w:t>
      </w:r>
      <w:r w:rsidRPr="002F2FDF">
        <w:rPr>
          <w:rFonts w:ascii="Times New Roman" w:hAnsi="Times New Roman" w:cs="Times New Roman"/>
          <w:color w:val="000000" w:themeColor="text1"/>
          <w:sz w:val="16"/>
          <w:szCs w:val="16"/>
        </w:rPr>
        <w:tab/>
        <w:t>200</w:t>
      </w:r>
      <w:r w:rsidRPr="002F2FDF">
        <w:rPr>
          <w:rFonts w:ascii="Times New Roman" w:hAnsi="Times New Roman" w:cs="Times New Roman"/>
          <w:color w:val="000000" w:themeColor="text1"/>
          <w:sz w:val="16"/>
          <w:szCs w:val="16"/>
        </w:rPr>
        <w:tab/>
        <w:t>HP............................ 230</w:t>
      </w:r>
      <w:r w:rsidRPr="002F2FDF">
        <w:rPr>
          <w:rFonts w:ascii="Times New Roman" w:hAnsi="Times New Roman" w:cs="Times New Roman"/>
          <w:color w:val="000000" w:themeColor="text1"/>
          <w:sz w:val="16"/>
          <w:szCs w:val="16"/>
        </w:rPr>
        <w:tab/>
        <w:t>»</w:t>
      </w:r>
    </w:p>
    <w:p w14:paraId="4FF90479"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Клерже</w:t>
      </w:r>
      <w:r w:rsidRPr="002F2FDF">
        <w:rPr>
          <w:rFonts w:ascii="Times New Roman" w:hAnsi="Times New Roman" w:cs="Times New Roman"/>
          <w:color w:val="000000" w:themeColor="text1"/>
          <w:sz w:val="16"/>
          <w:szCs w:val="16"/>
        </w:rPr>
        <w:tab/>
        <w:t>130</w:t>
      </w:r>
      <w:r w:rsidRPr="002F2FDF">
        <w:rPr>
          <w:rFonts w:ascii="Times New Roman" w:hAnsi="Times New Roman" w:cs="Times New Roman"/>
          <w:color w:val="000000" w:themeColor="text1"/>
          <w:sz w:val="16"/>
          <w:szCs w:val="16"/>
        </w:rPr>
        <w:tab/>
        <w:t>HP..............................50</w:t>
      </w:r>
      <w:r w:rsidRPr="002F2FDF">
        <w:rPr>
          <w:rFonts w:ascii="Times New Roman" w:hAnsi="Times New Roman" w:cs="Times New Roman"/>
          <w:color w:val="000000" w:themeColor="text1"/>
          <w:sz w:val="16"/>
          <w:szCs w:val="16"/>
        </w:rPr>
        <w:tab/>
        <w:t>»</w:t>
      </w:r>
    </w:p>
    <w:p w14:paraId="1F2D7E56"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Результаты предпринятых ген. Пулем мер управлению неизвестны.</w:t>
      </w:r>
    </w:p>
    <w:p w14:paraId="2F545DB1"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основании всего изложенного представляется безусловно необходимым:</w:t>
      </w:r>
    </w:p>
    <w:p w14:paraId="529B2ED5"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Немедленная высылка всех сданных нашим заграничным приемным комиссиям аппаратов и моторов, находящихся на складах и заводах в Париже и Бресте.</w:t>
      </w:r>
    </w:p>
    <w:p w14:paraId="266091EC"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Принятие каких-либо мер к срочному удовлетворению потребности в тоннаже, в первую очередь хотя бы лишь для 1570 моторов.</w:t>
      </w:r>
    </w:p>
    <w:p w14:paraId="61CADDD4"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 Немедленная высылка трех образцовых моторов Испано мощностью 200 сил.</w:t>
      </w:r>
    </w:p>
    <w:p w14:paraId="3EACF8B7"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 Командирование за счет русского правительства 2, лучше 3, хороших французских специалистов-ипженеров, из коих одного специалиста по Спадам и одного но Ныопорам.</w:t>
      </w:r>
    </w:p>
    <w:p w14:paraId="0CCE5123"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Подлинный подписал и. д. начальника Управления военного воздушного флота военный инженер полк. Яковлев.</w:t>
      </w:r>
    </w:p>
    <w:p w14:paraId="620B5838"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подлинном наложена следующая резолюция: Полк. Яковлев:</w:t>
      </w:r>
    </w:p>
    <w:p w14:paraId="6844587F"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военный министр приказал выдержки из сего доклада передать г. Альберу Тома в переводе на французский язык.</w:t>
      </w:r>
    </w:p>
    <w:p w14:paraId="2103FF84"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 Маниконскпй.</w:t>
      </w:r>
    </w:p>
    <w:p w14:paraId="316E3CB3"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ЦГВИА, ф. 369, он. 8, д. 66, лл. 70—72 об. Копия (20603).</w:t>
      </w:r>
    </w:p>
    <w:p w14:paraId="6D1B7F62" w14:textId="77777777" w:rsidR="00683575" w:rsidRPr="002F2FDF" w:rsidRDefault="00683575" w:rsidP="0083075A">
      <w:pPr>
        <w:spacing w:after="0" w:line="240" w:lineRule="auto"/>
        <w:jc w:val="both"/>
        <w:rPr>
          <w:rFonts w:ascii="Times New Roman" w:hAnsi="Times New Roman" w:cs="Times New Roman"/>
          <w:color w:val="000000" w:themeColor="text1"/>
          <w:sz w:val="16"/>
          <w:szCs w:val="16"/>
        </w:rPr>
      </w:pPr>
    </w:p>
    <w:p w14:paraId="5C469F45" w14:textId="5C36CFD1" w:rsidR="006B07EF" w:rsidRDefault="006B07EF"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1BFC382C" w14:textId="77777777" w:rsidR="006B07EF" w:rsidRDefault="006B07EF"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603A3FC" w14:textId="4290EAEE" w:rsidR="006B07EF" w:rsidRPr="00FB4F67" w:rsidRDefault="006B07EF" w:rsidP="0083075A">
      <w:pPr>
        <w:spacing w:after="0" w:line="240" w:lineRule="auto"/>
        <w:jc w:val="both"/>
        <w:rPr>
          <w:rFonts w:ascii="Times New Roman" w:hAnsi="Times New Roman" w:cs="Times New Roman"/>
          <w:color w:val="0070C0"/>
          <w:sz w:val="16"/>
          <w:szCs w:val="16"/>
        </w:rPr>
      </w:pPr>
      <w:bookmarkStart w:id="128" w:name="bookmark799"/>
      <w:r>
        <w:rPr>
          <w:rFonts w:ascii="Times New Roman" w:hAnsi="Times New Roman" w:cs="Times New Roman"/>
          <w:color w:val="0070C0"/>
          <w:sz w:val="16"/>
          <w:szCs w:val="16"/>
        </w:rPr>
        <w:t>25 мая (</w:t>
      </w:r>
      <w:r w:rsidRPr="00FB4F67">
        <w:rPr>
          <w:rFonts w:ascii="Times New Roman" w:hAnsi="Times New Roman" w:cs="Times New Roman"/>
          <w:color w:val="0070C0"/>
          <w:sz w:val="16"/>
          <w:szCs w:val="16"/>
        </w:rPr>
        <w:t>7 июня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боевые расчеты 30-й позиционной легкой зенитной батареи (Западный фронт) подбил немецкий самолет. По неподтвержденным данным, летательный аппарат упал около ст. Политул. За период июль - сентябрь 1917 г. личный состав подразделения обстрелял 15 вражеских аэропланов, израсходовав при этом более 390 снарядов (23405).</w:t>
      </w:r>
    </w:p>
    <w:bookmarkEnd w:id="128"/>
    <w:p w14:paraId="44B6D6A2" w14:textId="77777777" w:rsidR="006B07EF" w:rsidRPr="00FB4F67" w:rsidRDefault="006B07EF" w:rsidP="0083075A">
      <w:pPr>
        <w:spacing w:after="0" w:line="240" w:lineRule="auto"/>
        <w:jc w:val="both"/>
        <w:rPr>
          <w:rFonts w:ascii="Times New Roman" w:hAnsi="Times New Roman" w:cs="Times New Roman"/>
          <w:color w:val="0070C0"/>
          <w:sz w:val="16"/>
          <w:szCs w:val="16"/>
        </w:rPr>
      </w:pPr>
    </w:p>
    <w:p w14:paraId="3554E7C2" w14:textId="069FD22F" w:rsidR="006B07EF" w:rsidRPr="00FB4F67" w:rsidRDefault="006B07EF"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25 мая (</w:t>
      </w:r>
      <w:r w:rsidRPr="00FB4F67">
        <w:rPr>
          <w:rFonts w:ascii="Times New Roman" w:hAnsi="Times New Roman" w:cs="Times New Roman"/>
          <w:color w:val="0070C0"/>
          <w:sz w:val="16"/>
          <w:szCs w:val="16"/>
        </w:rPr>
        <w:t>7 июня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Восточной Пруссии взрыв на заводе по производству водородного газа в Седдине нанес ущерб производству газа для дирижаблей в Германии, что затруднило работу дирижаблей в Балтийском регионе до августа (23525).</w:t>
      </w:r>
    </w:p>
    <w:p w14:paraId="154BCE54" w14:textId="77777777" w:rsidR="006B07EF" w:rsidRPr="00FB4F67" w:rsidRDefault="006B07EF" w:rsidP="0083075A">
      <w:pPr>
        <w:spacing w:after="0" w:line="240" w:lineRule="auto"/>
        <w:jc w:val="both"/>
        <w:rPr>
          <w:rFonts w:ascii="Times New Roman" w:hAnsi="Times New Roman" w:cs="Times New Roman"/>
          <w:color w:val="0070C0"/>
          <w:sz w:val="16"/>
          <w:szCs w:val="16"/>
        </w:rPr>
      </w:pPr>
    </w:p>
    <w:p w14:paraId="0073DF87" w14:textId="1C58F6AE"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852E8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A3DD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мая (7 июня) 1917 в Москве открылся III Съезд Партии Эсеров (3481)</w:t>
      </w:r>
      <w:r w:rsidR="00C472CB" w:rsidRPr="002F2FDF">
        <w:rPr>
          <w:rFonts w:ascii="Times New Roman" w:hAnsi="Times New Roman" w:cs="Times New Roman"/>
          <w:color w:val="000000" w:themeColor="text1"/>
          <w:kern w:val="2"/>
          <w:sz w:val="16"/>
          <w:szCs w:val="16"/>
        </w:rPr>
        <w:t xml:space="preserve"> и закрылся 4 (17) июня</w:t>
      </w:r>
      <w:r w:rsidRPr="002F2FDF">
        <w:rPr>
          <w:rFonts w:ascii="Times New Roman" w:hAnsi="Times New Roman" w:cs="Times New Roman"/>
          <w:color w:val="000000" w:themeColor="text1"/>
          <w:kern w:val="2"/>
          <w:sz w:val="16"/>
          <w:szCs w:val="16"/>
        </w:rPr>
        <w:t>. Партия раскололась и левые эсеры представили собственную платформу(3908,257).</w:t>
      </w:r>
    </w:p>
    <w:p w14:paraId="6C6320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DEAE2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мая (7 июня) 1917 партия эсеров в России раскололась на правых и левых (4962).</w:t>
      </w:r>
    </w:p>
    <w:p w14:paraId="46CB60D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4ECF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мая - 4 июня (7-17 июня) 1917 прошел съезд партии эсеров в Москве. Левое крыло представило собственную платформу (1348,85).</w:t>
      </w:r>
    </w:p>
    <w:p w14:paraId="0182FD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4B25DB" w14:textId="77777777" w:rsidR="000B430C" w:rsidRPr="002F2FDF" w:rsidRDefault="000B430C"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25 мая (7 июня) 1917 в Москве открылся III съезд Партии социалистов-революционеров (ПСР), более известной как партии эсеров. Большинством голосов была </w:t>
      </w:r>
      <w:r w:rsidRPr="002F2FDF">
        <w:rPr>
          <w:color w:val="000000" w:themeColor="text1"/>
          <w:kern w:val="2"/>
          <w:sz w:val="16"/>
          <w:szCs w:val="16"/>
        </w:rPr>
        <w:lastRenderedPageBreak/>
        <w:t>выработана следующая согласованная позиция — партия по-прежнему рассматривает продолжающуюся войну как «империалистическую» и призывает к миру без аннексий и контрибуций. Вместе с тем, эсеры не готовы пока были идти на мир любой ценой, поскольку рабочие и крестьяне Германии и Австро-Венгрии, «к сожалению, продолжают поддерживать своих монархов». Поэтому на данном этапе партия считала необходимым продолжать оборонять Россию от врагов (17045).</w:t>
      </w:r>
    </w:p>
    <w:p w14:paraId="72F7EFA8" w14:textId="77777777" w:rsidR="000B430C" w:rsidRPr="002F2FDF" w:rsidRDefault="000B430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B1FA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мая - 6 июня (7-19 июня) 1917 был образован Центробалт под председательством П.Дыбенко (3908,257).</w:t>
      </w:r>
    </w:p>
    <w:p w14:paraId="42E1C1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CB2B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25 мая по 15 июня 1917 проходил 1-й съезд БФ в Гельсингфорсе (Хельсинки), который принял устав Центробалта. Центробалту поручалось контролировать «все приказания, постановления и распоряжения, касающиеся общественной, политической и внутренней жизни флота, откуда бы они ни исходили». Вокруг него объединялись революционные силы флота, боровшиеся за передачу власти Советам. </w:t>
      </w:r>
    </w:p>
    <w:p w14:paraId="325AED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июле 1917 революционные матросы по призыву Центробалта участвовали в демонстрации и сорвали попытку Временного правительства использовать часть сил БФ для борьбы с революцией. По приказу Временного правительства делегация Центробалта, прибывшая в Петроград, чтобы потребовать от ВЦИК передачи власти в руки Советов, во главе с Дыбенко была арестована, а Центробалт 1-го созыва (29 апреля – 10 июля) распущен. 11 июля Центробалт 2-го созыва также был распущен, так как потребовал освобождения арестованных членов Центробалта. </w:t>
      </w:r>
    </w:p>
    <w:p w14:paraId="65550A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Центробалт 3-го созыва (25 июля – 16 октября) оказал большую помощь революционным силам в разгроме корниловщины, а в сентябре 1917 формировал отряды из моряков-балтийцев и направлял их на оборону Моонзундских о-вов. 19 сентября на пленарном заседании Центробалта было решено не признавать власти Временного правительства и не выполнять его распоряжений (11712).</w:t>
      </w:r>
    </w:p>
    <w:p w14:paraId="0A8799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0EA5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мая (7 июня) 1917 А.М.Каледин был выбран войсковым наказным атаманом Войска донского (3481).</w:t>
      </w:r>
    </w:p>
    <w:p w14:paraId="3FFBB8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D6CA6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920BD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127B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C 25 мая по 2 июня (7 по 15 июня) 1917 состоялась операция у Мессина - Меца (3907,90) (Западная Фландрия) с целью срезать 15 км немецкий выступ, которая длилась до 1 (14) июня (3907,90). Взорвали 19 минных зарядов, заложенных в подкопах и разрушили 2 линии окопов и ударами с флангов ликвидировали выступ (2438,404).</w:t>
      </w:r>
    </w:p>
    <w:p w14:paraId="6811A5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07CA05" w14:textId="77777777" w:rsidR="0073216F" w:rsidRPr="002F2FDF" w:rsidRDefault="0073216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25 мая (7 июня)</w:t>
      </w:r>
      <w:r w:rsidRPr="002F2FDF">
        <w:rPr>
          <w:rFonts w:ascii="Times New Roman" w:hAnsi="Times New Roman" w:cs="Times New Roman"/>
          <w:color w:val="000000" w:themeColor="text1"/>
          <w:kern w:val="2"/>
          <w:sz w:val="16"/>
          <w:szCs w:val="16"/>
        </w:rPr>
        <w:t xml:space="preserve"> в 1917 году англичане с оглушительным (в прямом смысле слова) успехом атаковали каизеровские войска у Мессин. Сражение задумывалось как местная атака, призванная услушшить тактическое положение войск в предверие 3 Ипрской битвы (драма Пашендейля). Инженерное обеспечение атаки было беспрецедентным для ПМВ - под немецкие позиции подвели 21 подземный туннель с мощными зарядами взрывчатки (всего около 600 тонн). Вечером 6 июня генерал Герберт Пламер (Herbert Plumer), командующий 2 армией, которая проводила атаку, пошутил: "Господа, возможно завтра мы и не войдем в историю, но уж географию мы точно изменим" (Gentlemen, we may not make history tomorrow, but we shall certainly change the geography). После мощной артиллерийской подготовки, окончившейся в 02.50, немцам дали время на то, чтобы выйти из укрытий и занять позиции в траншеях. В 03.10 была дана команда на подрыв мин. Сработало 19 зарядов, от которых, по английским оценкам, погибло около 10 тысяч немцев. Англичане атаковали при поддержке танков и артиллерии, стрелявшей, помимо обычных, новейшими газовыми снарядами. Атака достигла всех поставленных целей в течение трех часов. Немецкие контратаки 8 июня оказались безуспешны и, хотя продолжались вплоть до 14 июня, Мессинский выступ остался в руках войск Антанты. Сражение стоило англичанам 17000, а немцам - 25000 человек (14915).</w:t>
      </w:r>
    </w:p>
    <w:p w14:paraId="2DDDC81B" w14:textId="77777777" w:rsidR="0073216F" w:rsidRPr="002F2FDF" w:rsidRDefault="0073216F" w:rsidP="0083075A">
      <w:pPr>
        <w:spacing w:after="0" w:line="240" w:lineRule="auto"/>
        <w:jc w:val="both"/>
        <w:rPr>
          <w:rFonts w:ascii="Times New Roman" w:hAnsi="Times New Roman" w:cs="Times New Roman"/>
          <w:color w:val="000000" w:themeColor="text1"/>
          <w:kern w:val="2"/>
          <w:sz w:val="16"/>
          <w:szCs w:val="16"/>
        </w:rPr>
      </w:pPr>
    </w:p>
    <w:p w14:paraId="305286AE" w14:textId="77777777" w:rsidR="0073216F" w:rsidRPr="002F2FDF" w:rsidRDefault="0073216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25 мая (7 июня) 1917 после взрыва мин на участке Вичете, создавшего англичанам благоприятные условия для наступления на 4-ю армию, германская фоторазведка установила, что противник усиленно ведет подготовку к наступлению по обе стороны Ипра (11282). </w:t>
      </w:r>
    </w:p>
    <w:p w14:paraId="69059700" w14:textId="77777777" w:rsidR="0073216F" w:rsidRPr="002F2FDF" w:rsidRDefault="0073216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7EDA62" w14:textId="77777777" w:rsidR="000B430C" w:rsidRPr="002F2FDF" w:rsidRDefault="000B430C" w:rsidP="0083075A">
      <w:pPr>
        <w:pStyle w:val="ae"/>
        <w:spacing w:before="0" w:after="0"/>
        <w:jc w:val="both"/>
        <w:rPr>
          <w:color w:val="000000" w:themeColor="text1"/>
          <w:kern w:val="2"/>
          <w:sz w:val="16"/>
          <w:szCs w:val="16"/>
        </w:rPr>
      </w:pPr>
      <w:r w:rsidRPr="002F2FDF">
        <w:rPr>
          <w:color w:val="000000" w:themeColor="text1"/>
          <w:kern w:val="2"/>
          <w:sz w:val="16"/>
          <w:szCs w:val="16"/>
        </w:rPr>
        <w:t>25 мая (7 июня) 1917 британская армия начала крупную наступательную операцию в районе бельгийской деревни Месен (французское название — Мессин) на франко-бельгийской границе неподалеку от побережья. Принципиального стратегического значения она не имела, но вошла в историю как «Мессинская битва» благодаря произведенному в ее ходе самому мощному за годы Великой войны рукотворному (не аварийному) взрыву.</w:t>
      </w:r>
    </w:p>
    <w:p w14:paraId="1B8C8CFD" w14:textId="77777777" w:rsidR="000B430C" w:rsidRPr="002F2FDF" w:rsidRDefault="000B430C" w:rsidP="0083075A">
      <w:pPr>
        <w:pStyle w:val="ae"/>
        <w:spacing w:before="0" w:after="0"/>
        <w:jc w:val="both"/>
        <w:rPr>
          <w:color w:val="000000" w:themeColor="text1"/>
          <w:kern w:val="2"/>
          <w:sz w:val="16"/>
          <w:szCs w:val="16"/>
        </w:rPr>
      </w:pPr>
      <w:r w:rsidRPr="002F2FDF">
        <w:rPr>
          <w:color w:val="000000" w:themeColor="text1"/>
          <w:kern w:val="2"/>
          <w:sz w:val="16"/>
          <w:szCs w:val="16"/>
        </w:rPr>
        <w:t>Главной задачей англичан в ходе этого наступления был захват так называемого Мессинского хребта — цепи холмов, на которых располагались хорошо укрепленные позиции немцев, глубоко врезавшиеся в английскую оборону. Из-за этого германцы держали под контролем британские окопы и передовые артиллерийские позиции, что позволяло вести по ним огонь не только с флангов, но в некоторых местах и в спину англичанам. По плану, разработанному командующим английскими частями в Европе генералом Хейгом, этот 15-километровый выступ в немецких позициях должен был быть срезан, что было особенно важно в преддверии готовившегося британцами наступления в районе города Ипр.</w:t>
      </w:r>
    </w:p>
    <w:p w14:paraId="7A097FE7" w14:textId="77777777" w:rsidR="000B430C" w:rsidRPr="002F2FDF" w:rsidRDefault="000B430C" w:rsidP="0083075A">
      <w:pPr>
        <w:pStyle w:val="ae"/>
        <w:spacing w:before="0" w:after="0"/>
        <w:jc w:val="both"/>
        <w:rPr>
          <w:color w:val="000000" w:themeColor="text1"/>
          <w:kern w:val="2"/>
          <w:sz w:val="16"/>
          <w:szCs w:val="16"/>
        </w:rPr>
      </w:pPr>
      <w:r w:rsidRPr="002F2FDF">
        <w:rPr>
          <w:color w:val="000000" w:themeColor="text1"/>
          <w:kern w:val="2"/>
          <w:sz w:val="16"/>
          <w:szCs w:val="16"/>
        </w:rPr>
        <w:t>Подготовка к взятию Месена велась 2-й британской армией под командованием генерала Плюмера с середины зимы, и заключалась, прежде всего, в прокладывании под немецкие позиции подземных галерей-подкопов. Всего было прорыто 24 огромных тоннеля общей протяженностью 8 тысяч метров. Немцы довольно скоро раскрыли замысел англичан, но смогли обнаружить только два тоннеля, допустив ошибку в масштабах сделанных противником подкопов. Германские саперы искали их на глубине не более 20 метров, в то время, как англичане проложили большинство тоннелей на глубинах более 25 метров.</w:t>
      </w:r>
    </w:p>
    <w:p w14:paraId="597CB162" w14:textId="77777777" w:rsidR="000B430C" w:rsidRPr="002F2FDF" w:rsidRDefault="000B430C" w:rsidP="0083075A">
      <w:pPr>
        <w:pStyle w:val="ae"/>
        <w:spacing w:before="0" w:after="0"/>
        <w:jc w:val="both"/>
        <w:rPr>
          <w:color w:val="000000" w:themeColor="text1"/>
          <w:kern w:val="2"/>
          <w:sz w:val="16"/>
          <w:szCs w:val="16"/>
        </w:rPr>
      </w:pPr>
      <w:r w:rsidRPr="002F2FDF">
        <w:rPr>
          <w:color w:val="000000" w:themeColor="text1"/>
          <w:kern w:val="2"/>
          <w:sz w:val="16"/>
          <w:szCs w:val="16"/>
        </w:rPr>
        <w:t>Когда подготовительные работы были завершены, британцы заложили под германские позиции 19 больших мин с общей массой заряда более 600 тонн взрывчатки. Причем, незадолго до назначенного дня наступления план чуть не сорвался. Генералу Плюмеру сообщили, что германцы, проводя свои противоминные работы, оказались всего в полуметре от одного из уже заминированных тоннелей, но он проявил выдержку и не стал взрывать боеприпас до намеченного срока, что позволило англичанам нанести противнику неожиданный удар неимоверной силы.</w:t>
      </w:r>
    </w:p>
    <w:p w14:paraId="1FADEF2B" w14:textId="77777777" w:rsidR="000B430C" w:rsidRPr="002F2FDF" w:rsidRDefault="000B430C" w:rsidP="0083075A">
      <w:pPr>
        <w:pStyle w:val="ae"/>
        <w:spacing w:before="0" w:after="0"/>
        <w:jc w:val="both"/>
        <w:rPr>
          <w:color w:val="000000" w:themeColor="text1"/>
          <w:kern w:val="2"/>
          <w:sz w:val="16"/>
          <w:szCs w:val="16"/>
        </w:rPr>
      </w:pPr>
      <w:r w:rsidRPr="002F2FDF">
        <w:rPr>
          <w:color w:val="000000" w:themeColor="text1"/>
          <w:kern w:val="2"/>
          <w:sz w:val="16"/>
          <w:szCs w:val="16"/>
        </w:rPr>
        <w:t>Попутно британцы сосредоточили в районе операции огромные силы артиллерии. На участке всего в 3 километра было развернуто 718 пушек и гаубиц, 192 окопных мортиры и 198 пулеметов. Также были использованы около 300 аэропланов и более 80 танков.</w:t>
      </w:r>
    </w:p>
    <w:p w14:paraId="6EBD140B" w14:textId="376ED517" w:rsidR="000B430C" w:rsidRPr="002F2FDF" w:rsidRDefault="000B430C" w:rsidP="0083075A">
      <w:pPr>
        <w:pStyle w:val="ae"/>
        <w:spacing w:before="0" w:after="0"/>
        <w:jc w:val="both"/>
        <w:rPr>
          <w:color w:val="000000" w:themeColor="text1"/>
          <w:kern w:val="2"/>
          <w:sz w:val="16"/>
          <w:szCs w:val="16"/>
        </w:rPr>
      </w:pPr>
      <w:r w:rsidRPr="002F2FDF">
        <w:rPr>
          <w:color w:val="000000" w:themeColor="text1"/>
          <w:kern w:val="2"/>
          <w:sz w:val="16"/>
          <w:szCs w:val="16"/>
        </w:rPr>
        <w:t>7 июня в 3 часа 10 минут утра британцы взорвали мины (гигантские воронки от этих взрывов, наполненные водой, сохранились до сих пор). Первая линия окопов германцев была разрушена полностью, вторая частично. Только в момент взрыва погибло более 10</w:t>
      </w:r>
      <w:r w:rsidR="00E52569">
        <w:rPr>
          <w:color w:val="000000" w:themeColor="text1"/>
          <w:kern w:val="2"/>
          <w:sz w:val="16"/>
          <w:szCs w:val="16"/>
        </w:rPr>
        <w:t xml:space="preserve"> </w:t>
      </w:r>
      <w:r w:rsidRPr="002F2FDF">
        <w:rPr>
          <w:color w:val="000000" w:themeColor="text1"/>
          <w:kern w:val="2"/>
          <w:sz w:val="16"/>
          <w:szCs w:val="16"/>
        </w:rPr>
        <w:t>000 германских солдат и офицеров, уцелевшие же были так шокированы и деморализованы, что не смогли оказать сопротивления наступавшей английской пехоте. Уже к 7 часам утра весь Мессинский хребет был занят британцами. В 3 часа дня в прорыв были брошены танки и резервные части, которые взяли пленными еще более 7 тысяч германских солдат и офицеров. К вечеру, собрав резервы, немцы попытались организовать контратаку, но были снова отброшены, англичане же после этого смогли продвинуться еще на 2 километра. По итогам битвы союзники одержали убедительную и безоговорочную победу, полностью выполнив задачу командования и выровняв линию фронта (17045).</w:t>
      </w:r>
    </w:p>
    <w:p w14:paraId="66B6D883" w14:textId="77777777" w:rsidR="000B430C" w:rsidRPr="002F2FDF" w:rsidRDefault="000B430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9D16C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88057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AD20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26 мая </w:t>
      </w:r>
      <w:r w:rsidR="00731D28" w:rsidRPr="002F2FDF">
        <w:rPr>
          <w:rFonts w:ascii="Times New Roman" w:hAnsi="Times New Roman" w:cs="Times New Roman"/>
          <w:color w:val="000000" w:themeColor="text1"/>
          <w:kern w:val="2"/>
          <w:sz w:val="16"/>
          <w:szCs w:val="16"/>
        </w:rPr>
        <w:t xml:space="preserve">(8 июня) </w:t>
      </w:r>
      <w:r w:rsidRPr="002F2FDF">
        <w:rPr>
          <w:rFonts w:ascii="Times New Roman" w:hAnsi="Times New Roman" w:cs="Times New Roman"/>
          <w:color w:val="000000" w:themeColor="text1"/>
          <w:kern w:val="2"/>
          <w:sz w:val="16"/>
          <w:szCs w:val="16"/>
        </w:rPr>
        <w:t>1917, комиссия, созданная Техническим комитетом Управления Военного Воздушного Флота в связи со случаем разрушения в воздухе ИМ 29 апреля 1917 в Виннице, в своих выводах комиссия высказала мнение, что "...постройка больших самолетов целыми сериями без подробного изучения их свойств, без лабораторных испытаний моделей и без производства аэродинамических расчетов на заводе представляется совершенно ненормальным явлением". В заключении комиссия отметила, что "...самолет "Илья Муромец" с точки зрения прочности в полете опасен, дальнейших заказов аппаратов этого типа делать не следует, лучше выработать новый тип, чем заниматься "Ильей Муромцем". При оглашении заключения на заседании присутствовали член Государственного Совета, председатель Комиссии по авиационным вопросам при Особом совещании В.И.Гурко, депутат Государственной Думы А.Ф.Половцев, конструктор самолета И.И.Сикорский и директор РБВЗ В.И.Ярковский. Со стороны представителей завода возражений по существу вышеизложенного сделано не было. Строивший серийно самолеты "Илья Муромец" РБВЗ подвергался критике и со стороны руководства Эскадры воздушных кораблей, начальник которой военный летчик полковник Г.Г.Горшков в своем рапорте в Управление Военного Воздушного Флота, в частности, сообщал: "...Завод более чем за четыре года не ввел в конструкцию воздушного корабля "Илья Муромец" существенных улучшений... Необходимо принудить завод к более добросовестному и внимательному исполнению заказов, так как в настоящее время однотипные корабли приходят в Эскадру с совершенно разнообразными данными, например, с совершенно различными углами атаки (крыльев), с разнообразным соотношением между углами атаки крыльев и стабилизатора... В общем корабли "Илья Муромец" типа "Г", имея лишь общую марку, весьма отличаются друг от друга по полетным качествам...". Тем не менее, в другом своем рапорте Г.Г.Горшков подчеркивает, что в связи с заключением комиссии "...определенно установившем опасность полетов на "Муромцах", мною было собрано совещание вверенной мне Эскадры. Последнее решило, в виду критического положения момента, не прерывать боевой службы кораблей и выразило ряд пожеланий на будущее..." (3407).</w:t>
      </w:r>
    </w:p>
    <w:p w14:paraId="22C9CC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B563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26 мая (8 июня) 1917 г. комиссия составе С. П. Тимошенко, Г. А. Ботезата и А. П. Фан дёр Флита доложила свое заключение Техническому комитету, на заседании которого присутствовали директор РБВЗ, член государственного совета, председатель комиссии по авиационным вопросам при Особом совещании по обороне Гурко, член Государственной думы А. Ф. Половцев, конструктор И. И. Сикорский и др. Мнение представителей завода и фронта, высказанное в защиту “Муромцев”, учтено не было. Комитет согласился с предложением ученых. Три дня спустя начальник УВВФ направил военному министру доклад об аэропланах типа “Илья Муромец” с приложением журнала Технического комитета. В докладе указывалось, что полеты на аэропланах “Илья Муромец” не могут считаться безопасными... Выяснившаяся </w:t>
      </w:r>
      <w:r w:rsidRPr="002F2FDF">
        <w:rPr>
          <w:rFonts w:ascii="Times New Roman" w:hAnsi="Times New Roman" w:cs="Times New Roman"/>
          <w:color w:val="000000" w:themeColor="text1"/>
          <w:kern w:val="2"/>
          <w:sz w:val="16"/>
          <w:szCs w:val="16"/>
        </w:rPr>
        <w:lastRenderedPageBreak/>
        <w:t>ныне неполная надежность кораблей типа “Илья Мурьмец” может изменить взгляд на них высшего командования армией и эскадрой воздушных кораблей. Эти обстоятельства в свою очередь должны отразиться и на плане дальнейшей заготовки аппаратов типа “Илья Муромец”.</w:t>
      </w:r>
    </w:p>
    <w:p w14:paraId="73BD75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Военный министр препроводил доклад верховному главнокомандующему. Последний приказал дальнейшие заказы на “Муромцы” приостановить.</w:t>
      </w:r>
    </w:p>
    <w:p w14:paraId="465876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многомоторным воздушным кораблям, вместо всемерного их развития и совершенствования, дважды выносили смертный приговор: первый раз в начале войны и второй раз в разгар войны, когда они воочию доказали свою боевую ценность. Это была не первая и не последняя в истории техники трагедия крупного изобретения (9705).</w:t>
      </w:r>
    </w:p>
    <w:p w14:paraId="4AD5EB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AD3D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мая (8 июня) 1917 г. комиссия доложила свое заключение Техническому комитету, на заседании которого присутствовали директор РБВЗ, член государственного совета, председатель комиссии по авиационным вопросам при Особом совещании по обороне Гурко, член Государственной думы А.Ф. Половцев, конструктор И.И. Сикорский и др. Мнение конструктора, представителей завода и фронта, высказанное в защиту "Муромцев", во внимание принято не было. Комитет согласился с предложением ученых. Три дня спустя начальник УВВФ направил военному министру доклад об аэропланах типа "Илья Муромец" с приложением журнала Технического комитета. В докладе указывалось, что "полеты на аэропланах "Илья Муромец" не могут считаться безопасными... Эти обстоятельства, в свою очередь, должны отразиться и на плане дальнейшей заготовки аппаратов типа "Илья Муромец". Военный министр препроводил доклад Верховному главнокомандующему. Последний приказал дальнейшие заказы на "Муромцы" приостановить. Таким образом, многомоторным воздушным кораблям, вместо всемерного их развития и совершенствования, дважды выносили смертный приговор: первый раз в начале войны и второй раз в разгар войны, когда они воочию доказали свою боевую ценность (11276).</w:t>
      </w:r>
    </w:p>
    <w:p w14:paraId="100BEB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5CF80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2B1C74" w:rsidRPr="002F2FDF" w14:paraId="23E98BBE" w14:textId="77777777">
        <w:tc>
          <w:tcPr>
            <w:tcW w:w="1548" w:type="dxa"/>
            <w:tcBorders>
              <w:top w:val="single" w:sz="12" w:space="0" w:color="auto"/>
            </w:tcBorders>
            <w:shd w:val="clear" w:color="auto" w:fill="FFFFFF"/>
          </w:tcPr>
          <w:p w14:paraId="6DA511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Дата контракта</w:t>
            </w:r>
          </w:p>
        </w:tc>
        <w:tc>
          <w:tcPr>
            <w:tcW w:w="1170" w:type="dxa"/>
            <w:tcBorders>
              <w:top w:val="single" w:sz="12" w:space="0" w:color="auto"/>
            </w:tcBorders>
            <w:shd w:val="clear" w:color="auto" w:fill="FFFFFF"/>
          </w:tcPr>
          <w:p w14:paraId="70982C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заказанных аэропланов</w:t>
            </w:r>
          </w:p>
        </w:tc>
        <w:tc>
          <w:tcPr>
            <w:tcW w:w="6858" w:type="dxa"/>
            <w:tcBorders>
              <w:top w:val="single" w:sz="12" w:space="0" w:color="auto"/>
            </w:tcBorders>
            <w:shd w:val="clear" w:color="auto" w:fill="FFFFFF"/>
          </w:tcPr>
          <w:p w14:paraId="18F5AC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Условия</w:t>
            </w:r>
          </w:p>
        </w:tc>
      </w:tr>
      <w:tr w:rsidR="002B1C74" w:rsidRPr="002F2FDF" w14:paraId="703E249A" w14:textId="77777777">
        <w:tc>
          <w:tcPr>
            <w:tcW w:w="1548" w:type="dxa"/>
            <w:shd w:val="clear" w:color="auto" w:fill="FFFFFF"/>
          </w:tcPr>
          <w:p w14:paraId="51A2CE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Май 26 </w:t>
            </w:r>
            <w:r w:rsidR="00731D28" w:rsidRPr="002F2FDF">
              <w:rPr>
                <w:rFonts w:ascii="Times New Roman" w:hAnsi="Times New Roman" w:cs="Times New Roman"/>
                <w:color w:val="000000" w:themeColor="text1"/>
                <w:kern w:val="2"/>
                <w:sz w:val="16"/>
                <w:szCs w:val="16"/>
              </w:rPr>
              <w:t xml:space="preserve">(8 июня) </w:t>
            </w:r>
            <w:r w:rsidRPr="002F2FDF">
              <w:rPr>
                <w:rFonts w:ascii="Times New Roman" w:hAnsi="Times New Roman" w:cs="Times New Roman"/>
                <w:color w:val="000000" w:themeColor="text1"/>
                <w:kern w:val="2"/>
                <w:sz w:val="16"/>
                <w:szCs w:val="16"/>
              </w:rPr>
              <w:t>1917</w:t>
            </w:r>
          </w:p>
        </w:tc>
        <w:tc>
          <w:tcPr>
            <w:tcW w:w="1170" w:type="dxa"/>
            <w:shd w:val="clear" w:color="auto" w:fill="FFFFFF"/>
          </w:tcPr>
          <w:p w14:paraId="6DE402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6858" w:type="dxa"/>
            <w:shd w:val="clear" w:color="auto" w:fill="FFFFFF"/>
          </w:tcPr>
          <w:p w14:paraId="5F3786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2B1C74" w:rsidRPr="002F2FDF" w14:paraId="7F100B1B" w14:textId="77777777">
        <w:tc>
          <w:tcPr>
            <w:tcW w:w="1548" w:type="dxa"/>
            <w:shd w:val="clear" w:color="auto" w:fill="FFFFFF"/>
          </w:tcPr>
          <w:p w14:paraId="1B0F10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 28 1917</w:t>
            </w:r>
          </w:p>
        </w:tc>
        <w:tc>
          <w:tcPr>
            <w:tcW w:w="1170" w:type="dxa"/>
            <w:shd w:val="clear" w:color="auto" w:fill="FFFFFF"/>
          </w:tcPr>
          <w:p w14:paraId="2C0BD3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c>
          <w:tcPr>
            <w:tcW w:w="6858" w:type="dxa"/>
            <w:shd w:val="clear" w:color="auto" w:fill="FFFFFF"/>
          </w:tcPr>
          <w:p w14:paraId="5CC110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тыс. руб. за аппарат под мотор “Рон” 125 л.с., срок исполнения с 1 сентября 1917 г. по 1 января 1918 г. (не выполнен)</w:t>
            </w:r>
          </w:p>
          <w:p w14:paraId="7598B9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ПРИМЕЧАНИЯ: заказ дан Опытному заводу Д. П. Григоровича (см. главу 2 и раздел М-20)</w:t>
            </w:r>
          </w:p>
        </w:tc>
      </w:tr>
      <w:tr w:rsidR="002B1C74" w:rsidRPr="002F2FDF" w14:paraId="67ED7887" w14:textId="77777777">
        <w:tc>
          <w:tcPr>
            <w:tcW w:w="1548" w:type="dxa"/>
            <w:tcBorders>
              <w:bottom w:val="single" w:sz="12" w:space="0" w:color="auto"/>
            </w:tcBorders>
            <w:shd w:val="clear" w:color="auto" w:fill="FFFFFF"/>
          </w:tcPr>
          <w:p w14:paraId="2586F4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 31 1917</w:t>
            </w:r>
          </w:p>
        </w:tc>
        <w:tc>
          <w:tcPr>
            <w:tcW w:w="1170" w:type="dxa"/>
            <w:tcBorders>
              <w:bottom w:val="single" w:sz="12" w:space="0" w:color="auto"/>
            </w:tcBorders>
            <w:shd w:val="clear" w:color="auto" w:fill="FFFFFF"/>
          </w:tcPr>
          <w:p w14:paraId="456B6A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6858" w:type="dxa"/>
            <w:tcBorders>
              <w:bottom w:val="single" w:sz="12" w:space="0" w:color="auto"/>
            </w:tcBorders>
            <w:shd w:val="clear" w:color="auto" w:fill="FFFFFF"/>
          </w:tcPr>
          <w:p w14:paraId="44D2D9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контракт на ранее приобретенные аппараты (2807)</w:t>
            </w:r>
          </w:p>
        </w:tc>
      </w:tr>
    </w:tbl>
    <w:p w14:paraId="1C35CC2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E4D5D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мая (8 июня) 1917 года после одобрения министром доклада генштаба о предпола</w:t>
      </w:r>
      <w:r w:rsidRPr="002F2FDF">
        <w:rPr>
          <w:rFonts w:ascii="Times New Roman" w:hAnsi="Times New Roman" w:cs="Times New Roman"/>
          <w:color w:val="000000" w:themeColor="text1"/>
          <w:kern w:val="2"/>
          <w:sz w:val="16"/>
          <w:szCs w:val="16"/>
        </w:rPr>
        <w:softHyphen/>
        <w:t>гаемом решении авиационных проблем, Совещание по судостро</w:t>
      </w:r>
      <w:r w:rsidRPr="002F2FDF">
        <w:rPr>
          <w:rFonts w:ascii="Times New Roman" w:hAnsi="Times New Roman" w:cs="Times New Roman"/>
          <w:color w:val="000000" w:themeColor="text1"/>
          <w:kern w:val="2"/>
          <w:sz w:val="16"/>
          <w:szCs w:val="16"/>
        </w:rPr>
        <w:softHyphen/>
        <w:t>ению, распределявшее заказы на поставки вооружения и техни</w:t>
      </w:r>
      <w:r w:rsidRPr="002F2FDF">
        <w:rPr>
          <w:rFonts w:ascii="Times New Roman" w:hAnsi="Times New Roman" w:cs="Times New Roman"/>
          <w:color w:val="000000" w:themeColor="text1"/>
          <w:kern w:val="2"/>
          <w:sz w:val="16"/>
          <w:szCs w:val="16"/>
        </w:rPr>
        <w:softHyphen/>
        <w:t>ки, заключило контракт с московским заводом Дукс на изготовление 160 аэропланов “Телье”. При своевремен</w:t>
      </w:r>
      <w:r w:rsidRPr="002F2FDF">
        <w:rPr>
          <w:rFonts w:ascii="Times New Roman" w:hAnsi="Times New Roman" w:cs="Times New Roman"/>
          <w:color w:val="000000" w:themeColor="text1"/>
          <w:kern w:val="2"/>
          <w:sz w:val="16"/>
          <w:szCs w:val="16"/>
        </w:rPr>
        <w:softHyphen/>
        <w:t>ном подвозе импортных моторов завод гарантировал доставку в Евпаторию для сдаточных испытаний первой партии аэро</w:t>
      </w:r>
      <w:r w:rsidRPr="002F2FDF">
        <w:rPr>
          <w:rFonts w:ascii="Times New Roman" w:hAnsi="Times New Roman" w:cs="Times New Roman"/>
          <w:color w:val="000000" w:themeColor="text1"/>
          <w:kern w:val="2"/>
          <w:sz w:val="16"/>
          <w:szCs w:val="16"/>
        </w:rPr>
        <w:softHyphen/>
        <w:t>планов в течение сентября-декабря. Широко применявшиеся летаю</w:t>
      </w:r>
      <w:r w:rsidRPr="002F2FDF">
        <w:rPr>
          <w:rFonts w:ascii="Times New Roman" w:hAnsi="Times New Roman" w:cs="Times New Roman"/>
          <w:color w:val="000000" w:themeColor="text1"/>
          <w:kern w:val="2"/>
          <w:sz w:val="16"/>
          <w:szCs w:val="16"/>
        </w:rPr>
        <w:softHyphen/>
        <w:t>щие лодки разных модификаций конструкции Д. Григорови</w:t>
      </w:r>
      <w:r w:rsidRPr="002F2FDF">
        <w:rPr>
          <w:rFonts w:ascii="Times New Roman" w:hAnsi="Times New Roman" w:cs="Times New Roman"/>
          <w:color w:val="000000" w:themeColor="text1"/>
          <w:kern w:val="2"/>
          <w:sz w:val="16"/>
          <w:szCs w:val="16"/>
        </w:rPr>
        <w:softHyphen/>
        <w:t>ча, серийно изготавливаемые на заводе С. Щетинина с моторами недостаточной мощности для развития больших скоростей по</w:t>
      </w:r>
      <w:r w:rsidRPr="002F2FDF">
        <w:rPr>
          <w:rFonts w:ascii="Times New Roman" w:hAnsi="Times New Roman" w:cs="Times New Roman"/>
          <w:color w:val="000000" w:themeColor="text1"/>
          <w:kern w:val="2"/>
          <w:sz w:val="16"/>
          <w:szCs w:val="16"/>
        </w:rPr>
        <w:softHyphen/>
        <w:t>лета, перестали удовлетворять тактическим требованиям. Это стало одной из причин разрыва деловых отношений между управляющим и директором завода. Анализируя создавшееся в воздушных дивизиях флотов по</w:t>
      </w:r>
      <w:r w:rsidRPr="002F2FDF">
        <w:rPr>
          <w:rFonts w:ascii="Times New Roman" w:hAnsi="Times New Roman" w:cs="Times New Roman"/>
          <w:color w:val="000000" w:themeColor="text1"/>
          <w:kern w:val="2"/>
          <w:sz w:val="16"/>
          <w:szCs w:val="16"/>
        </w:rPr>
        <w:softHyphen/>
        <w:t>ложение, командный состав и авиационные специалисты при</w:t>
      </w:r>
      <w:r w:rsidRPr="002F2FDF">
        <w:rPr>
          <w:rFonts w:ascii="Times New Roman" w:hAnsi="Times New Roman" w:cs="Times New Roman"/>
          <w:color w:val="000000" w:themeColor="text1"/>
          <w:kern w:val="2"/>
          <w:sz w:val="16"/>
          <w:szCs w:val="16"/>
        </w:rPr>
        <w:softHyphen/>
        <w:t>шли к выводу о необходимости быстрого перехода к строи</w:t>
      </w:r>
      <w:r w:rsidRPr="002F2FDF">
        <w:rPr>
          <w:rFonts w:ascii="Times New Roman" w:hAnsi="Times New Roman" w:cs="Times New Roman"/>
          <w:color w:val="000000" w:themeColor="text1"/>
          <w:kern w:val="2"/>
          <w:sz w:val="16"/>
          <w:szCs w:val="16"/>
        </w:rPr>
        <w:softHyphen/>
        <w:t>тельству аэропланов лучших зарубежных типов - таких как французские летающие лодки “Телье” (по лицензированным чертежам) и германские поплавковые аэропланы “Альбатрос” (по трофейным образцам), что позволит удовлетворить воен</w:t>
      </w:r>
      <w:r w:rsidRPr="002F2FDF">
        <w:rPr>
          <w:rFonts w:ascii="Times New Roman" w:hAnsi="Times New Roman" w:cs="Times New Roman"/>
          <w:color w:val="000000" w:themeColor="text1"/>
          <w:kern w:val="2"/>
          <w:sz w:val="16"/>
          <w:szCs w:val="16"/>
        </w:rPr>
        <w:softHyphen/>
        <w:t>ные потребности (11283).</w:t>
      </w:r>
    </w:p>
    <w:p w14:paraId="23ECA0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DED09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49F432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31F6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мая (8 июня) 1917 года Обуховский завод отправил в Ревель 12 качающихся частей 40-мм автоматов Виккерса. Тумбовые установки для них были изготовлены мастерскими крепости Петра Великого. Автомат Виккерса представлял собой облегченный и несколько упрощенный автомат Максима с водяным охлаждением ствола. Изменения в действии затвора позволили уменьшить размер короба и вес автомата по сравнению с Максимом. Морская тумбовая установка Виккерса имела механизмы ВН и ГН - зубчатый сектор и зубчатый круг соответственно. Питание автомата ленточное, в ленте 25 патронов. Пушка Виккерса стреляла стальными гранатами весом 0,90-9,2 кг, вес ВВ - 150 гр., взрыватель - дистанционная трубка 8- или 10-секундная. Для автомата Виккерса, а затем и Максима в 1914 году поручик Шерспобаев сконструировал автоматический установщик трубок (АУТ) в патронной ленте. Это был первый отечественный и, вероятно, первый в мире АУТ. Эти АУТ были вскоре установлены на всех морских зенитный автоматах (3861).</w:t>
      </w:r>
    </w:p>
    <w:p w14:paraId="6FBF8A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39C6E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D8F80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3AE1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мая (8 июня) 1917 Е.Н. Крутень возможно сбил два самолета, но подтверждений этого нет (5150, 7).</w:t>
      </w:r>
    </w:p>
    <w:p w14:paraId="5EDC1E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9D7B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мая (8 июня) 1917 в 1БАГ Казаков и Аргеев сбивают очередной самолет про</w:t>
      </w:r>
      <w:r w:rsidRPr="002F2FDF">
        <w:rPr>
          <w:rFonts w:ascii="Times New Roman" w:hAnsi="Times New Roman" w:cs="Times New Roman"/>
          <w:color w:val="000000" w:themeColor="text1"/>
          <w:kern w:val="2"/>
          <w:sz w:val="16"/>
          <w:szCs w:val="16"/>
        </w:rPr>
        <w:softHyphen/>
        <w:t>тивника, спустившийся в нашем рас</w:t>
      </w:r>
      <w:r w:rsidRPr="002F2FDF">
        <w:rPr>
          <w:rFonts w:ascii="Times New Roman" w:hAnsi="Times New Roman" w:cs="Times New Roman"/>
          <w:color w:val="000000" w:themeColor="text1"/>
          <w:kern w:val="2"/>
          <w:sz w:val="16"/>
          <w:szCs w:val="16"/>
        </w:rPr>
        <w:softHyphen/>
        <w:t>положении восточнее Виктуровки. Ав</w:t>
      </w:r>
      <w:r w:rsidRPr="002F2FDF">
        <w:rPr>
          <w:rFonts w:ascii="Times New Roman" w:hAnsi="Times New Roman" w:cs="Times New Roman"/>
          <w:color w:val="000000" w:themeColor="text1"/>
          <w:kern w:val="2"/>
          <w:sz w:val="16"/>
          <w:szCs w:val="16"/>
        </w:rPr>
        <w:softHyphen/>
        <w:t>стрийский экипаж из Flik 25: летчик ка</w:t>
      </w:r>
      <w:r w:rsidRPr="002F2FDF">
        <w:rPr>
          <w:rFonts w:ascii="Times New Roman" w:hAnsi="Times New Roman" w:cs="Times New Roman"/>
          <w:color w:val="000000" w:themeColor="text1"/>
          <w:kern w:val="2"/>
          <w:sz w:val="16"/>
          <w:szCs w:val="16"/>
        </w:rPr>
        <w:softHyphen/>
        <w:t>прал Киммель и наблюдатель обер-лейтенант Паулай перед тем как по</w:t>
      </w:r>
      <w:r w:rsidRPr="002F2FDF">
        <w:rPr>
          <w:rFonts w:ascii="Times New Roman" w:hAnsi="Times New Roman" w:cs="Times New Roman"/>
          <w:color w:val="000000" w:themeColor="text1"/>
          <w:kern w:val="2"/>
          <w:sz w:val="16"/>
          <w:szCs w:val="16"/>
        </w:rPr>
        <w:softHyphen/>
        <w:t>пасть в плен успели сжечь свой “Бранденбург” (3954).</w:t>
      </w:r>
    </w:p>
    <w:p w14:paraId="5D986C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DDAED1" w14:textId="10A89391" w:rsidR="006B07EF" w:rsidRPr="00FB4F67" w:rsidRDefault="006B07EF"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26 мая (</w:t>
      </w:r>
      <w:r w:rsidRPr="00FB4F67">
        <w:rPr>
          <w:rFonts w:ascii="Times New Roman" w:hAnsi="Times New Roman" w:cs="Times New Roman"/>
          <w:color w:val="0070C0"/>
          <w:sz w:val="16"/>
          <w:szCs w:val="16"/>
        </w:rPr>
        <w:t>8 июня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севернее местечка Козлова (30 км западнее Тарнополя) нашими войсками был сбит «Бранденбург» из состава 25-й австрийской авиационной роты. Двумя днями ранее у станции Денисов (20 км юго-западнее г. Тарнополь) австрийцы потеряли такой же тип летательного аппарата (18-я авиарота) (23405).</w:t>
      </w:r>
    </w:p>
    <w:p w14:paraId="56888342" w14:textId="77777777" w:rsidR="006B07EF" w:rsidRPr="00FB4F67" w:rsidRDefault="006B07EF" w:rsidP="0083075A">
      <w:pPr>
        <w:spacing w:after="0" w:line="240" w:lineRule="auto"/>
        <w:jc w:val="both"/>
        <w:rPr>
          <w:rFonts w:ascii="Times New Roman" w:hAnsi="Times New Roman" w:cs="Times New Roman"/>
          <w:color w:val="0070C0"/>
          <w:sz w:val="16"/>
          <w:szCs w:val="16"/>
        </w:rPr>
      </w:pPr>
    </w:p>
    <w:p w14:paraId="4E205411" w14:textId="305C9073" w:rsidR="006B07EF" w:rsidRPr="00FB4F67" w:rsidRDefault="006B07EF" w:rsidP="0083075A">
      <w:pPr>
        <w:spacing w:after="0" w:line="240" w:lineRule="auto"/>
        <w:jc w:val="both"/>
        <w:rPr>
          <w:rFonts w:ascii="Times New Roman" w:hAnsi="Times New Roman" w:cs="Times New Roman"/>
          <w:color w:val="0070C0"/>
          <w:sz w:val="16"/>
          <w:szCs w:val="16"/>
        </w:rPr>
      </w:pPr>
      <w:bookmarkStart w:id="129" w:name="bookmark802"/>
      <w:r>
        <w:rPr>
          <w:rFonts w:ascii="Times New Roman" w:hAnsi="Times New Roman" w:cs="Times New Roman"/>
          <w:color w:val="0070C0"/>
          <w:sz w:val="16"/>
          <w:szCs w:val="16"/>
        </w:rPr>
        <w:t>26 мая (</w:t>
      </w:r>
      <w:r w:rsidRPr="00FB4F67">
        <w:rPr>
          <w:rFonts w:ascii="Times New Roman" w:hAnsi="Times New Roman" w:cs="Times New Roman"/>
          <w:color w:val="0070C0"/>
          <w:sz w:val="16"/>
          <w:szCs w:val="16"/>
        </w:rPr>
        <w:t>8 июня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1017 г. летчики Козаков и Аргеев записали на свой счет очередной сбитый неприятельский «Бранденбург» (25-я австрийская авиационная рота), упавший в районе Козова. Аппарат сгорел, летчики взяты в плен (23405).</w:t>
      </w:r>
      <w:bookmarkEnd w:id="129"/>
    </w:p>
    <w:p w14:paraId="4945E8E4" w14:textId="77777777" w:rsidR="006B07EF" w:rsidRPr="00FB4F67" w:rsidRDefault="006B07EF" w:rsidP="0083075A">
      <w:pPr>
        <w:spacing w:after="0" w:line="240" w:lineRule="auto"/>
        <w:jc w:val="both"/>
        <w:rPr>
          <w:rFonts w:ascii="Times New Roman" w:hAnsi="Times New Roman" w:cs="Times New Roman"/>
          <w:color w:val="0070C0"/>
          <w:sz w:val="16"/>
          <w:szCs w:val="16"/>
        </w:rPr>
      </w:pPr>
    </w:p>
    <w:p w14:paraId="3B7C5E1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D323F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B111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мая - 15 июня (8-28 июня) 1917 Большой войсковой круг донского казачества - образование Донского войскового правительства во главе с г А.М.Калединым (3908,258).</w:t>
      </w:r>
    </w:p>
    <w:p w14:paraId="5303DA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E17C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мая (8 июня) 1917 А.М.Каледин был избран войсковым наказным атаманом Войска Донского (3263,308).</w:t>
      </w:r>
    </w:p>
    <w:p w14:paraId="467C74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8D16C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2B0B6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4E7D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мая (8 июня) 1917 После получасовой воздушной схватки 24- летний германский летчик Герман Геринг сбил свой первый самолет (11999).</w:t>
      </w:r>
    </w:p>
    <w:p w14:paraId="3E24A2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7163F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F14D8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B2D0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мая (9 июня) 1917 был выпущен единственный учебный самолет Анаде (Анатра-Д) с двойным управлением завода А.А.Анатра в Одессе, который летом 1916 делал до 2 машин в день. Л Д.А.Макаров сделал на нем 31 мая и 2 июня 1917 две очень чистые петли (92,172).</w:t>
      </w:r>
    </w:p>
    <w:p w14:paraId="2FFAAE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030B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мая (9 июня) 1917-го облетали первый учебный "Анаде" с новым шасси. Всего завод изготовил 10 таких машин, которые отличались высокой устойчивостью и легкостью управления (9806).</w:t>
      </w:r>
    </w:p>
    <w:p w14:paraId="72EA8C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EBEA7E" w14:textId="3974B73A"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27 мая </w:t>
      </w:r>
      <w:r>
        <w:rPr>
          <w:rFonts w:ascii="Times New Roman" w:hAnsi="Times New Roman" w:cs="Times New Roman"/>
          <w:color w:val="0070C0"/>
          <w:sz w:val="16"/>
          <w:szCs w:val="16"/>
        </w:rPr>
        <w:t xml:space="preserve">(9 июня) </w:t>
      </w:r>
      <w:r w:rsidRPr="00FB4F67">
        <w:rPr>
          <w:rFonts w:ascii="Times New Roman" w:hAnsi="Times New Roman" w:cs="Times New Roman"/>
          <w:color w:val="0070C0"/>
          <w:sz w:val="16"/>
          <w:szCs w:val="16"/>
        </w:rPr>
        <w:t>1917 г. облетали первый учебный «Анаде» с новым шасси. Всего завод изготовил 10 та</w:t>
      </w:r>
      <w:r w:rsidRPr="00FB4F67">
        <w:rPr>
          <w:rFonts w:ascii="Times New Roman" w:hAnsi="Times New Roman" w:cs="Times New Roman"/>
          <w:color w:val="0070C0"/>
          <w:sz w:val="16"/>
          <w:szCs w:val="16"/>
        </w:rPr>
        <w:softHyphen/>
        <w:t>ких самолетов, которые отличались высокой устойчивостью и легкостью управления (23374).</w:t>
      </w:r>
    </w:p>
    <w:p w14:paraId="1E8FBC57" w14:textId="77777777" w:rsidR="009C08ED" w:rsidRPr="00FB4F67" w:rsidRDefault="009C08ED" w:rsidP="0083075A">
      <w:pPr>
        <w:spacing w:after="0" w:line="240" w:lineRule="auto"/>
        <w:jc w:val="both"/>
        <w:rPr>
          <w:rFonts w:ascii="Times New Roman" w:hAnsi="Times New Roman" w:cs="Times New Roman"/>
          <w:color w:val="0070C0"/>
          <w:sz w:val="16"/>
          <w:szCs w:val="16"/>
        </w:rPr>
      </w:pPr>
    </w:p>
    <w:p w14:paraId="2B0E90F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8DC89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8B6D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xml:space="preserve">27 мая </w:t>
      </w:r>
      <w:r w:rsidR="00731D28" w:rsidRPr="002F2FDF">
        <w:rPr>
          <w:rFonts w:ascii="Times New Roman" w:hAnsi="Times New Roman" w:cs="Times New Roman"/>
          <w:color w:val="000000" w:themeColor="text1"/>
          <w:kern w:val="2"/>
          <w:sz w:val="16"/>
          <w:szCs w:val="16"/>
        </w:rPr>
        <w:t xml:space="preserve">(9 июня) </w:t>
      </w:r>
      <w:r w:rsidRPr="002F2FDF">
        <w:rPr>
          <w:rFonts w:ascii="Times New Roman" w:hAnsi="Times New Roman" w:cs="Times New Roman"/>
          <w:color w:val="000000" w:themeColor="text1"/>
          <w:kern w:val="2"/>
          <w:sz w:val="16"/>
          <w:szCs w:val="16"/>
        </w:rPr>
        <w:t>1917 г. был утвержден устав АО «Сименс» (Глущенко А.А. Указ. соч. С. 360.). В конце 1916 г. деятельность АО «Сименс и Гальске» попала в поле зрения Особого комитета по борьбе с немецким засильем. Согласно решению прави тельства на предприятиях общества было введено Особое правление. После национализации в 1919 г. предприятие АО «Сименс» получило на именование – Петроградский телеграфный завод (Сименс) (Глущенко А.А. Указ. соч. С. 348.). Фирма не имела полного производственного цикла в изготовлении радио аппаратуры и не проектировала образцы производимого оборудования, а зани малась лишь сборкой поставляемых из Германии комплектующих элементов ра диостанций и выполнением монтажно-установочных работ на объектах (Глущенко А.А. Указ. соч. С. 345, 363.). С началом Первой мировой войны вся производственная деятельность АО была переориентирована на выполнение военных заказов, стоимость которых на 1 апреля 1915 г. составила 7250000 руб., из них 1193842 руб. приходилось на ра диотелеграфное оборудование, 2218208 руб. – на телеграфные и телефонные ап параты. В частности, по заказам Военного ведомства радиомастерская Общества поставляла военно-полевые, ранцевые, самолетные, автомобильные радиостан ции, заканчивало строительство мощных станций в Чите, Ташкенте и Кушке (Глущенко А.А. Указ. соч. С. 345, 363.) (11870).</w:t>
      </w:r>
    </w:p>
    <w:p w14:paraId="52F168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49A7B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EB3DC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B22CD5" w14:textId="77777777" w:rsidR="00C84CF2" w:rsidRPr="002F2FDF" w:rsidRDefault="00C84CF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27 мая (9 июня) 1917 французская эскадрильи прибыли на восточный фронт — в Бучач. Их раз</w:t>
      </w:r>
      <w:r w:rsidRPr="002F2FDF">
        <w:rPr>
          <w:rFonts w:ascii="Times New Roman" w:hAnsi="Times New Roman" w:cs="Times New Roman"/>
          <w:color w:val="000000" w:themeColor="text1"/>
          <w:sz w:val="16"/>
          <w:szCs w:val="16"/>
        </w:rPr>
        <w:softHyphen/>
        <w:t>местили на том же аэродроме, где дислоцировалась 1 -я боевая авиагруппа к-на Козакова.</w:t>
      </w:r>
    </w:p>
    <w:p w14:paraId="076EAFB0" w14:textId="77777777" w:rsidR="00C84CF2" w:rsidRPr="002F2FDF" w:rsidRDefault="00C84CF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оперативном отношении французские авиачасти подчи</w:t>
      </w:r>
      <w:r w:rsidRPr="002F2FDF">
        <w:rPr>
          <w:rFonts w:ascii="Times New Roman" w:hAnsi="Times New Roman" w:cs="Times New Roman"/>
          <w:color w:val="000000" w:themeColor="text1"/>
          <w:sz w:val="16"/>
          <w:szCs w:val="16"/>
        </w:rPr>
        <w:softHyphen/>
        <w:t>нили 7-му авиадивизиону, объединявшему авиационные части 7-й армии. Однако к боевой работе авиаторы пока не приступи</w:t>
      </w:r>
      <w:r w:rsidRPr="002F2FDF">
        <w:rPr>
          <w:rFonts w:ascii="Times New Roman" w:hAnsi="Times New Roman" w:cs="Times New Roman"/>
          <w:color w:val="000000" w:themeColor="text1"/>
          <w:sz w:val="16"/>
          <w:szCs w:val="16"/>
        </w:rPr>
        <w:softHyphen/>
        <w:t>ли — пришлось ждать доставки самолетов, прибывших лишь к 15 июня. К тому времени авиационный контингент успел поне</w:t>
      </w:r>
      <w:r w:rsidRPr="002F2FDF">
        <w:rPr>
          <w:rFonts w:ascii="Times New Roman" w:hAnsi="Times New Roman" w:cs="Times New Roman"/>
          <w:color w:val="000000" w:themeColor="text1"/>
          <w:sz w:val="16"/>
          <w:szCs w:val="16"/>
        </w:rPr>
        <w:softHyphen/>
        <w:t>сти первые потери - 22 мая во время полета на «Анаде» в Одессе потерпел аварию су-лейтенант Марсель Блох (Marcel Bloch; тезка известного французского авиапромышленника). Для опытного охотника за аэростатами, сбившего на Западном фронте 5 таких целей, ознакомительный полет на одесском би</w:t>
      </w:r>
      <w:r w:rsidRPr="002F2FDF">
        <w:rPr>
          <w:rFonts w:ascii="Times New Roman" w:hAnsi="Times New Roman" w:cs="Times New Roman"/>
          <w:color w:val="000000" w:themeColor="text1"/>
          <w:sz w:val="16"/>
          <w:szCs w:val="16"/>
        </w:rPr>
        <w:softHyphen/>
        <w:t>плане едва не стал последним в жизни. Проведя несколько ме</w:t>
      </w:r>
      <w:r w:rsidRPr="002F2FDF">
        <w:rPr>
          <w:rFonts w:ascii="Times New Roman" w:hAnsi="Times New Roman" w:cs="Times New Roman"/>
          <w:color w:val="000000" w:themeColor="text1"/>
          <w:sz w:val="16"/>
          <w:szCs w:val="16"/>
        </w:rPr>
        <w:softHyphen/>
        <w:t>сяцев в госпитале, Блох был отозван из России и впоследствии служил во французской авиационной миссии в США.</w:t>
      </w:r>
    </w:p>
    <w:p w14:paraId="3C56B147" w14:textId="77777777" w:rsidR="00C84CF2" w:rsidRPr="002F2FDF" w:rsidRDefault="00C84CF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Эскадрилья N 581 поначалу получила в основном «Нью</w:t>
      </w:r>
      <w:r w:rsidRPr="002F2FDF">
        <w:rPr>
          <w:rFonts w:ascii="Times New Roman" w:hAnsi="Times New Roman" w:cs="Times New Roman"/>
          <w:color w:val="000000" w:themeColor="text1"/>
          <w:sz w:val="16"/>
          <w:szCs w:val="16"/>
        </w:rPr>
        <w:softHyphen/>
        <w:t>пор» 23. Единственный прибывший в первой партии SPAD достался л-ту Жоржу Лякману (George Lachmann) — достаточно опытному пилоту, успевшему повоевать на Западном и Италь</w:t>
      </w:r>
      <w:r w:rsidRPr="002F2FDF">
        <w:rPr>
          <w:rFonts w:ascii="Times New Roman" w:hAnsi="Times New Roman" w:cs="Times New Roman"/>
          <w:color w:val="000000" w:themeColor="text1"/>
          <w:sz w:val="16"/>
          <w:szCs w:val="16"/>
        </w:rPr>
        <w:softHyphen/>
        <w:t>янском фронтах, а с 8 июня 1917 г. ставшему исполняющим обя</w:t>
      </w:r>
      <w:r w:rsidRPr="002F2FDF">
        <w:rPr>
          <w:rFonts w:ascii="Times New Roman" w:hAnsi="Times New Roman" w:cs="Times New Roman"/>
          <w:color w:val="000000" w:themeColor="text1"/>
          <w:sz w:val="16"/>
          <w:szCs w:val="16"/>
        </w:rPr>
        <w:softHyphen/>
        <w:t>занности командира эскадрильи N 581 (на время отпуска л-та де Гейдона) (22287).</w:t>
      </w:r>
    </w:p>
    <w:p w14:paraId="64DBCF6D" w14:textId="77777777" w:rsidR="00C84CF2" w:rsidRPr="002F2FDF" w:rsidRDefault="00C84CF2" w:rsidP="0083075A">
      <w:pPr>
        <w:spacing w:after="0" w:line="240" w:lineRule="auto"/>
        <w:jc w:val="both"/>
        <w:rPr>
          <w:rFonts w:ascii="Times New Roman" w:hAnsi="Times New Roman" w:cs="Times New Roman"/>
          <w:color w:val="000000" w:themeColor="text1"/>
          <w:sz w:val="16"/>
          <w:szCs w:val="16"/>
        </w:rPr>
      </w:pPr>
    </w:p>
    <w:p w14:paraId="24CCDB48" w14:textId="4F105C13" w:rsidR="006B07EF" w:rsidRPr="00FB4F67" w:rsidRDefault="006B07EF"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27 мпя (</w:t>
      </w:r>
      <w:r w:rsidRPr="00FB4F67">
        <w:rPr>
          <w:rFonts w:ascii="Times New Roman" w:hAnsi="Times New Roman" w:cs="Times New Roman"/>
          <w:color w:val="0070C0"/>
          <w:sz w:val="16"/>
          <w:szCs w:val="16"/>
        </w:rPr>
        <w:t>9 июня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на Румынском фронте 2-я румынская авиагруппа была выведена из состава 4-й русской армии и подчинена вновь сформированной 1-й румынской армии Армия, расположенная между 4-й и 6-й русскими армиями. 2-я авиагруппа была усилена вновь сформированными частями и теперь состояла из ESC.C.12, ESC.F.4, ESC. E7, ESC.F.9, ESC.N.3 и ESC.N. 11, плюс пять аэровокзальных компаний.</w:t>
      </w:r>
    </w:p>
    <w:p w14:paraId="62051F23" w14:textId="77777777" w:rsidR="006B07EF" w:rsidRPr="00FB4F67" w:rsidRDefault="006B07E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3-я авиагруппа в составе 6-й русской армии была усилена ESC. BM.8, ESC.F.5 и ESC.N. 10, в то время как 1-я авиагруппа в составе 2-й румынской армии теперь имела ESC.F.2, ESC.F.6 и ESC.N.1 (23525).</w:t>
      </w:r>
    </w:p>
    <w:p w14:paraId="79887494" w14:textId="77777777" w:rsidR="006B07EF" w:rsidRPr="00FB4F67" w:rsidRDefault="006B07EF" w:rsidP="0083075A">
      <w:pPr>
        <w:spacing w:after="0" w:line="240" w:lineRule="auto"/>
        <w:jc w:val="both"/>
        <w:rPr>
          <w:rFonts w:ascii="Times New Roman" w:hAnsi="Times New Roman" w:cs="Times New Roman"/>
          <w:color w:val="0070C0"/>
          <w:sz w:val="16"/>
          <w:szCs w:val="16"/>
        </w:rPr>
      </w:pPr>
    </w:p>
    <w:p w14:paraId="451BAC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27 мая </w:t>
      </w:r>
      <w:r w:rsidR="00731D28" w:rsidRPr="002F2FDF">
        <w:rPr>
          <w:rFonts w:ascii="Times New Roman" w:hAnsi="Times New Roman" w:cs="Times New Roman"/>
          <w:color w:val="000000" w:themeColor="text1"/>
          <w:kern w:val="2"/>
          <w:sz w:val="16"/>
          <w:szCs w:val="16"/>
        </w:rPr>
        <w:t xml:space="preserve">(9 июня) </w:t>
      </w:r>
      <w:r w:rsidRPr="002F2FDF">
        <w:rPr>
          <w:rFonts w:ascii="Times New Roman" w:hAnsi="Times New Roman" w:cs="Times New Roman"/>
          <w:color w:val="000000" w:themeColor="text1"/>
          <w:kern w:val="2"/>
          <w:sz w:val="16"/>
          <w:szCs w:val="16"/>
        </w:rPr>
        <w:t>1917 г. летчик Смирнов был награжден Георгиевским Крестом 2-й степени № 26645 приказом по войскам 1-й армии за №2859. 2 апреля 1917 г. летчик старший унтер-офицер Василий Смирнов и наблюдатель прапорщик Афанасьев вылетели на "Фармане-30" при крайне неблагоприятных атмосферных условиях для фотографирования позиций противника. На высоте 1800 м наш самолет был неожиданно атакован истребителем "Фоккер" и, не смотря на неравенство сил, вступил с ним в бой. Крайне рискованными маневрами летчик ставил аэроплан в такое положение, чтобы дать возможность наблюдателю открыть огонь по противнику. После взаимной перестрелки немецкий самолет улетел, а летчики, хотя "Фарман" и получил около 50 пробоин, продолжили фотографирование (11237).</w:t>
      </w:r>
    </w:p>
    <w:p w14:paraId="51B728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982AFF" w14:textId="007AB92D" w:rsidR="006B07EF" w:rsidRPr="00FB4F67" w:rsidRDefault="006B07EF"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27 мая (</w:t>
      </w:r>
      <w:r w:rsidRPr="00FB4F67">
        <w:rPr>
          <w:rFonts w:ascii="Times New Roman" w:hAnsi="Times New Roman" w:cs="Times New Roman"/>
          <w:color w:val="0070C0"/>
          <w:sz w:val="16"/>
          <w:szCs w:val="16"/>
        </w:rPr>
        <w:t>9 июня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девять немецких гидро-аэропланов совершили ряд налетов на объекты Моонзундского архипелага. В то же время вражеские летчики старались уклоняться от воздушного боя с нашими летательными аппаратами. В ночь на 10 июня четыре германских аппарата морского типа «сбросили бомбы в Аренсбург, повредив один дом в городе, и подлетали к острову Вердер, но были отогнаны нашими батареями» (23405).</w:t>
      </w:r>
    </w:p>
    <w:p w14:paraId="37B63E05" w14:textId="77777777" w:rsidR="006B07EF" w:rsidRPr="00FB4F67" w:rsidRDefault="006B07EF" w:rsidP="0083075A">
      <w:pPr>
        <w:spacing w:after="0" w:line="240" w:lineRule="auto"/>
        <w:jc w:val="both"/>
        <w:rPr>
          <w:rFonts w:ascii="Times New Roman" w:hAnsi="Times New Roman" w:cs="Times New Roman"/>
          <w:color w:val="0070C0"/>
          <w:sz w:val="16"/>
          <w:szCs w:val="16"/>
        </w:rPr>
      </w:pPr>
    </w:p>
    <w:p w14:paraId="7AA399A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14998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73AB0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мая (9 июня) 1917 циркуляром Временного правительства Всероссийскому союзу железнодорожников предоставлено право контроля над различными сферами хозяйства (4962).</w:t>
      </w:r>
    </w:p>
    <w:p w14:paraId="0374CE3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18B175" w14:textId="77777777" w:rsidR="008A5E89"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555CB14A" w14:textId="77777777" w:rsidR="008A5E89" w:rsidRPr="002F2FDF" w:rsidRDefault="008A5E8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0A5147" w14:textId="77777777" w:rsidR="008A5E89" w:rsidRPr="002F2FDF" w:rsidRDefault="008A5E89"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27 мая (9 июня) 1917 г. </w:t>
      </w:r>
      <w:r w:rsidRPr="002F2FDF">
        <w:rPr>
          <w:rFonts w:ascii="Times New Roman" w:hAnsi="Times New Roman" w:cs="Times New Roman"/>
          <w:color w:val="000000" w:themeColor="text1"/>
          <w:kern w:val="2"/>
          <w:sz w:val="16"/>
          <w:szCs w:val="16"/>
        </w:rPr>
        <w:t>Письмо нач. Главного артиллерийского управления ген. В. А. Леховича ген. А. А. Михельсону с предложением протестовать против реквизиции английским правительством заказанных для России станков.</w:t>
      </w:r>
    </w:p>
    <w:p w14:paraId="06DCF221" w14:textId="1D6361CC" w:rsidR="008A5E89" w:rsidRPr="002F2FDF" w:rsidRDefault="008A5E8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492</w:t>
      </w:r>
    </w:p>
    <w:p w14:paraId="65418D97" w14:textId="3AE23672" w:rsidR="008A5E89" w:rsidRPr="002F2FDF" w:rsidRDefault="008A5E8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ЦГИАЛ; ф. 1525, оп. 1, д. 589, л. 13—13 об. Подлинник.</w:t>
      </w:r>
    </w:p>
    <w:p w14:paraId="1EE1BD23" w14:textId="77777777" w:rsidR="008A5E89" w:rsidRPr="002F2FDF" w:rsidRDefault="008A5E89" w:rsidP="0083075A">
      <w:pPr>
        <w:pStyle w:val="ae"/>
        <w:spacing w:before="0" w:after="0"/>
        <w:jc w:val="both"/>
        <w:rPr>
          <w:color w:val="000000" w:themeColor="text1"/>
          <w:kern w:val="2"/>
          <w:sz w:val="16"/>
          <w:szCs w:val="16"/>
        </w:rPr>
      </w:pPr>
      <w:r w:rsidRPr="002F2FDF">
        <w:rPr>
          <w:color w:val="000000" w:themeColor="text1"/>
          <w:kern w:val="2"/>
          <w:sz w:val="16"/>
          <w:szCs w:val="16"/>
        </w:rPr>
        <w:t>Милостивый государь, Александр Александрович.</w:t>
      </w:r>
    </w:p>
    <w:p w14:paraId="5521B50A" w14:textId="6A2D9359"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Телеграммой от 13 сего мая за № 10332-Д</w:t>
      </w:r>
      <w:hyperlink r:id="rId188" w:anchor="_ftn1" w:history="1">
        <w:r w:rsidRPr="002F2FDF">
          <w:rPr>
            <w:rStyle w:val="a5"/>
            <w:color w:val="000000" w:themeColor="text1"/>
            <w:kern w:val="2"/>
            <w:sz w:val="16"/>
            <w:szCs w:val="16"/>
          </w:rPr>
          <w:t>[1]</w:t>
        </w:r>
      </w:hyperlink>
      <w:r w:rsidR="00E52569">
        <w:rPr>
          <w:color w:val="000000" w:themeColor="text1"/>
          <w:kern w:val="2"/>
          <w:sz w:val="16"/>
          <w:szCs w:val="16"/>
        </w:rPr>
        <w:t xml:space="preserve"> </w:t>
      </w:r>
      <w:r w:rsidRPr="002F2FDF">
        <w:rPr>
          <w:color w:val="000000" w:themeColor="text1"/>
          <w:kern w:val="2"/>
          <w:sz w:val="16"/>
          <w:szCs w:val="16"/>
        </w:rPr>
        <w:t>ген. Гермоыиус сообщил. что 50 готовых к отправке станков, заказанных Каневским (ВАЛКО № 21707), задержаны английским правительством для английских заводов, на остальные сильно увеличены сроки, указанные в контрактах.</w:t>
      </w:r>
    </w:p>
    <w:p w14:paraId="092B2BDC"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Считая, что скорейшее оборудование наших собственных технических заведений является одним из существенных условий своевременного обеспечения армии предметами боевого снабжения, признаю недопустимым, чтобы изготовленные по нашим нарядам станки и другие предметы механического оборудования задерживались в Лондоне и обращались англичанами на их собственные надобности.</w:t>
      </w:r>
    </w:p>
    <w:p w14:paraId="583E47A0"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Поэтому прошу Вас не отказать сделать соответствующее представление ген. Пулю, являющемуся представителем английского правительства в Петрограде, а равно заявить протест в Лондон через ген. Гермониуса против лишения нас таких необходимых предметов, как техническое оборудование заводов.</w:t>
      </w:r>
    </w:p>
    <w:p w14:paraId="684EA182"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Примите уверения в совершенном почтении и преданности.</w:t>
      </w:r>
    </w:p>
    <w:p w14:paraId="2B96F702" w14:textId="77777777" w:rsidR="008A5E89" w:rsidRPr="002F2FDF" w:rsidRDefault="008A5E89"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В. Лехович (15159).</w:t>
      </w:r>
    </w:p>
    <w:p w14:paraId="598EC817" w14:textId="77777777" w:rsidR="008A5E89" w:rsidRPr="002F2FDF" w:rsidRDefault="008A5E89"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55F21943" w14:textId="77777777" w:rsidR="005F63C0" w:rsidRPr="002F2FDF" w:rsidRDefault="005F63C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3C009AA" w14:textId="77777777" w:rsidR="005F63C0" w:rsidRPr="002F2FDF" w:rsidRDefault="005F63C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B16FA9" w14:textId="77777777" w:rsidR="005F63C0" w:rsidRPr="002F2FDF" w:rsidRDefault="005F63C0" w:rsidP="0083075A">
      <w:pPr>
        <w:pStyle w:val="ae"/>
        <w:spacing w:before="0" w:after="0"/>
        <w:jc w:val="both"/>
        <w:rPr>
          <w:color w:val="000000" w:themeColor="text1"/>
          <w:sz w:val="16"/>
          <w:szCs w:val="16"/>
        </w:rPr>
      </w:pPr>
      <w:r w:rsidRPr="002F2FDF">
        <w:rPr>
          <w:color w:val="000000" w:themeColor="text1"/>
          <w:sz w:val="16"/>
          <w:szCs w:val="16"/>
        </w:rPr>
        <w:t>27 мая (9 июня) 1917 Людендорф неожиданно для французов силами 40 дивизий нанес удар по их неподготовленным к обороне позициям на хребте и к концу первого дня наступления продвинулся на 20 км в глубь обороны союзников, пробив «брешь» около 40 км шириной. Столь значительные достижения убедили Людендорфа отказаться от наступления во Фландрии, и он сконцентрировал все ресурсы для броска к Парижу. В следующие три дня немцы в первый раз после 1914 г. вышли к р. Марне в 88 км от Парижа. Но потом наступление застопорилось, союзники стали наносить удары в уязвимые немецкие фланги. Людендорфу так и не удалось достигнуть решительной победы на Западном фронте. Немецкие потери достигли 700 тыс. человек. В мае — июне на берегах Франции высадилось до 500 тыс. американских солдат. Теперь уже союзники имели численное превосходство для достижения победы (20246).</w:t>
      </w:r>
    </w:p>
    <w:p w14:paraId="7A15A791" w14:textId="77777777" w:rsidR="005F63C0" w:rsidRPr="002F2FDF" w:rsidRDefault="005F63C0" w:rsidP="0083075A">
      <w:pPr>
        <w:pStyle w:val="ae"/>
        <w:spacing w:before="0" w:after="0"/>
        <w:jc w:val="both"/>
        <w:rPr>
          <w:color w:val="000000" w:themeColor="text1"/>
          <w:sz w:val="16"/>
          <w:szCs w:val="16"/>
        </w:rPr>
      </w:pPr>
    </w:p>
    <w:p w14:paraId="559EF55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E3611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5966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мая (10 июня) 1917 Техком УВВС признал прочность ИМ недостаточной, а полеты на них опасными (237,129).</w:t>
      </w:r>
    </w:p>
    <w:p w14:paraId="7FBDC3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1A2A5B" w14:textId="77777777" w:rsidR="009C08ED" w:rsidRPr="00FB4F67" w:rsidRDefault="009C08ED" w:rsidP="0083075A">
      <w:pPr>
        <w:spacing w:after="0" w:line="240" w:lineRule="auto"/>
        <w:jc w:val="both"/>
        <w:rPr>
          <w:rFonts w:ascii="Times New Roman" w:hAnsi="Times New Roman" w:cs="Times New Roman"/>
          <w:color w:val="0070C0"/>
          <w:sz w:val="16"/>
          <w:szCs w:val="16"/>
        </w:rPr>
      </w:pPr>
      <w:bookmarkStart w:id="130" w:name="bookmark748"/>
      <w:r w:rsidRPr="00FB4F67">
        <w:rPr>
          <w:rFonts w:ascii="Times New Roman" w:hAnsi="Times New Roman" w:cs="Times New Roman"/>
          <w:color w:val="0070C0"/>
          <w:sz w:val="16"/>
          <w:szCs w:val="16"/>
        </w:rPr>
        <w:t>28 мая (10 июня) 1917 Техком Увофлота признал прочность кораблей типа ИМ недостаточной, а полеты на них – опасными. Было установлено, что достаточных расчетов прочности при проектировании самолета сделано не было, в дальнейшем с ростом веса самолета и нагрузок на планер его прочность не пересчитывалась и ее запас в итоге оказался меньшим, чем у легких самолетов. Комиссия постановила увеличить запас прочности сдаваемых кораблей вдвое и провести дополнительные испытания самолета на готовых и специально изготовленных агрегатах и моделях.</w:t>
      </w:r>
    </w:p>
    <w:p w14:paraId="32D7A5CC" w14:textId="77777777"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Для устранения указанных недостатков в конструкцию строящихся и дорабатываемых самолетов Г-1 введены следующие изменения:</w:t>
      </w:r>
    </w:p>
    <w:p w14:paraId="16005A8E" w14:textId="77777777"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введены дополнительные растяжки, соединяющие стык средней и хвостовой частей фюзеляжа;</w:t>
      </w:r>
    </w:p>
    <w:p w14:paraId="269EAC17" w14:textId="77777777"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размер окон в хвостовой части СЧФ уменьшен, взамен введено остекление входных дверей;</w:t>
      </w:r>
    </w:p>
    <w:p w14:paraId="303CB22B" w14:textId="77777777"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восстановлена обтяжка колес ООШ попарно кожаными чехлами и др.</w:t>
      </w:r>
    </w:p>
    <w:p w14:paraId="238BDDDC" w14:textId="77777777"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Эти доработки были утверждены летом-осенью 1917 г., но не известно, началось ли их внедрение уже тогда. Первые сведения об их выполнении относятся к 1919 г. и делались они на отдельных самолетах не единообразно (23553).</w:t>
      </w:r>
    </w:p>
    <w:p w14:paraId="47CB0A47" w14:textId="77777777" w:rsidR="009C08ED" w:rsidRPr="00FB4F67" w:rsidRDefault="009C08ED" w:rsidP="0083075A">
      <w:pPr>
        <w:spacing w:after="0" w:line="240" w:lineRule="auto"/>
        <w:jc w:val="both"/>
        <w:rPr>
          <w:rFonts w:ascii="Times New Roman" w:hAnsi="Times New Roman" w:cs="Times New Roman"/>
          <w:color w:val="0070C0"/>
          <w:sz w:val="16"/>
          <w:szCs w:val="16"/>
        </w:rPr>
      </w:pPr>
    </w:p>
    <w:bookmarkEnd w:id="130"/>
    <w:p w14:paraId="2E06680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lastRenderedPageBreak/>
        <w:t>Жизнь и внутренняя политика:</w:t>
      </w:r>
    </w:p>
    <w:p w14:paraId="46D2AB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F8833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мая (10 июня) 1917 в Киеве начался I Всеукраинский крестьянский съезд (4962).</w:t>
      </w:r>
    </w:p>
    <w:p w14:paraId="4ACD992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789F3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A81EA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1FA6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мая - 13 июня (10 по 26 июня) 1917 итальянские войска вели наступление под Трентино (3907,90).</w:t>
      </w:r>
    </w:p>
    <w:p w14:paraId="5A39B8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6D7239" w14:textId="77777777" w:rsidR="00E32520" w:rsidRPr="002F2FDF" w:rsidRDefault="00E3252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28 мая (10 июня)</w:t>
      </w:r>
      <w:r w:rsidRPr="002F2FDF">
        <w:rPr>
          <w:rFonts w:ascii="Times New Roman" w:hAnsi="Times New Roman" w:cs="Times New Roman"/>
          <w:color w:val="000000" w:themeColor="text1"/>
          <w:kern w:val="2"/>
          <w:sz w:val="16"/>
          <w:szCs w:val="16"/>
        </w:rPr>
        <w:t xml:space="preserve"> в 1917 году итальянские войска ведут наступление на позиции австрийцев под Трентино (до 13 (26) июня) (14918).</w:t>
      </w:r>
    </w:p>
    <w:p w14:paraId="48C3DE35" w14:textId="77777777" w:rsidR="00E32520" w:rsidRPr="002F2FDF" w:rsidRDefault="00E32520" w:rsidP="0083075A">
      <w:pPr>
        <w:spacing w:after="0" w:line="240" w:lineRule="auto"/>
        <w:jc w:val="both"/>
        <w:rPr>
          <w:rFonts w:ascii="Times New Roman" w:hAnsi="Times New Roman" w:cs="Times New Roman"/>
          <w:color w:val="000000" w:themeColor="text1"/>
          <w:kern w:val="2"/>
          <w:sz w:val="16"/>
          <w:szCs w:val="16"/>
        </w:rPr>
      </w:pPr>
    </w:p>
    <w:p w14:paraId="1D306781" w14:textId="77777777" w:rsidR="000B430C" w:rsidRPr="002F2FDF" w:rsidRDefault="000B430C" w:rsidP="0083075A">
      <w:pPr>
        <w:pStyle w:val="ae"/>
        <w:spacing w:before="0" w:after="0"/>
        <w:jc w:val="both"/>
        <w:rPr>
          <w:color w:val="000000" w:themeColor="text1"/>
          <w:kern w:val="2"/>
          <w:sz w:val="16"/>
          <w:szCs w:val="16"/>
        </w:rPr>
      </w:pPr>
      <w:r w:rsidRPr="002F2FDF">
        <w:rPr>
          <w:bCs/>
          <w:color w:val="000000" w:themeColor="text1"/>
          <w:kern w:val="2"/>
          <w:sz w:val="16"/>
          <w:szCs w:val="16"/>
        </w:rPr>
        <w:t>28 мая (10 июня)</w:t>
      </w:r>
      <w:r w:rsidRPr="002F2FDF">
        <w:rPr>
          <w:color w:val="000000" w:themeColor="text1"/>
          <w:kern w:val="2"/>
          <w:sz w:val="16"/>
          <w:szCs w:val="16"/>
        </w:rPr>
        <w:t xml:space="preserve"> в 1917 году итальянские войска перешли в очередное наступление на севере, в относившейся тогда к Австро-Венгрии провинции Трентино (ныне итальянская провинция Тренто). Итальянское командование ставило задачу овладеть горой Монте-Ортигара у Асиаго (на севере нынешней итальянской провинции Виченца) (17045).</w:t>
      </w:r>
    </w:p>
    <w:p w14:paraId="64FF87F1" w14:textId="77777777" w:rsidR="000B430C" w:rsidRPr="002F2FDF" w:rsidRDefault="000B430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0F1E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мая (10 июня) 1917 в Дублине были волнения, организованные партий Шин Фейн (3907,90).</w:t>
      </w:r>
    </w:p>
    <w:p w14:paraId="711A17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F59C1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970D4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8C5F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мая (11 июня) 1917 наблюдатель 25 а воздухоплавательного отряда прап. Полторацкий спрыгнул на парашюте с зажженного аэростата с высоты 700 м - первый случай спасения при вынужденном прыжке. Всего за время войны парашют вынужденно применяли 62 раза, в т.ч. 5 на парашюте Котельникова и 57 - Жамес. 9 закончились ранением, 8 - гибелью (438,358).</w:t>
      </w:r>
    </w:p>
    <w:p w14:paraId="7C3FD0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DFE38A" w14:textId="514944BA" w:rsidR="00176C48" w:rsidRPr="002F2FDF" w:rsidRDefault="00176C48" w:rsidP="0083075A">
      <w:pPr>
        <w:tabs>
          <w:tab w:val="left" w:pos="615"/>
        </w:tabs>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29 мая (11 июня) 1917 г. произошло первое в русской армии спасение воздухоплавателя с парашютом. Когда немецкий самолёт поджёг аэростат 28-го армейского воздухоплавательного отряда, на</w:t>
      </w:r>
      <w:r w:rsidRPr="002F2FDF">
        <w:rPr>
          <w:rFonts w:ascii="Times New Roman" w:hAnsi="Times New Roman" w:cs="Times New Roman"/>
          <w:color w:val="000000" w:themeColor="text1"/>
          <w:sz w:val="16"/>
          <w:szCs w:val="16"/>
        </w:rPr>
        <w:softHyphen/>
        <w:t>блюдатель прапорщик Полторацкий выпрыгнул с парашютом Жюкмесса и благополучно спу</w:t>
      </w:r>
      <w:r w:rsidRPr="002F2FDF">
        <w:rPr>
          <w:rFonts w:ascii="Times New Roman" w:hAnsi="Times New Roman" w:cs="Times New Roman"/>
          <w:color w:val="000000" w:themeColor="text1"/>
          <w:sz w:val="16"/>
          <w:szCs w:val="16"/>
        </w:rPr>
        <w:softHyphen/>
        <w:t>стился с высоты 700 м (20120).</w:t>
      </w:r>
    </w:p>
    <w:p w14:paraId="4328F708" w14:textId="77777777" w:rsidR="00176C48" w:rsidRPr="002F2FDF" w:rsidRDefault="00176C48" w:rsidP="0083075A">
      <w:pPr>
        <w:tabs>
          <w:tab w:val="left" w:pos="615"/>
        </w:tabs>
        <w:spacing w:after="0" w:line="240" w:lineRule="auto"/>
        <w:jc w:val="both"/>
        <w:rPr>
          <w:rFonts w:ascii="Times New Roman" w:hAnsi="Times New Roman" w:cs="Times New Roman"/>
          <w:color w:val="000000" w:themeColor="text1"/>
          <w:sz w:val="16"/>
          <w:szCs w:val="16"/>
        </w:rPr>
      </w:pPr>
    </w:p>
    <w:p w14:paraId="371F8E9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29 мая </w:t>
      </w:r>
      <w:r w:rsidR="00731D28" w:rsidRPr="002F2FDF">
        <w:rPr>
          <w:rFonts w:ascii="Times New Roman" w:hAnsi="Times New Roman" w:cs="Times New Roman"/>
          <w:color w:val="000000" w:themeColor="text1"/>
          <w:kern w:val="2"/>
          <w:sz w:val="16"/>
          <w:szCs w:val="16"/>
        </w:rPr>
        <w:t xml:space="preserve">(11 июня) </w:t>
      </w:r>
      <w:r w:rsidRPr="002F2FDF">
        <w:rPr>
          <w:rFonts w:ascii="Times New Roman" w:hAnsi="Times New Roman" w:cs="Times New Roman"/>
          <w:color w:val="000000" w:themeColor="text1"/>
          <w:kern w:val="2"/>
          <w:sz w:val="16"/>
          <w:szCs w:val="16"/>
        </w:rPr>
        <w:t>1917 наблюдатель 25-го армейского вэздухоплсвтолъно-го отряде прапорщик Полторацкий совершил прыжок на парашюте с зажженного немецким самолетом привязного аэростата с высоты 700 м. Это был первый случай спасения при помощи парашюта при вынужденных спусках. Всего же за гремя гойны было 62 случая применения парашюта при вынужденных спусках: 5 спус</w:t>
      </w:r>
      <w:r w:rsidRPr="002F2FDF">
        <w:rPr>
          <w:rFonts w:ascii="Times New Roman" w:hAnsi="Times New Roman" w:cs="Times New Roman"/>
          <w:color w:val="000000" w:themeColor="text1"/>
          <w:kern w:val="2"/>
          <w:sz w:val="16"/>
          <w:szCs w:val="16"/>
        </w:rPr>
        <w:softHyphen/>
        <w:t>ков на парашюте Котельникова и 57 на парашюте Жюкмес. Из числа вынужденных прыжков 9 закончились легким ранением, а 8 - гибелью воздухоплавателей (ВВФ, 1918, № 4;"Труды летучей леборатории",1919, сборник).</w:t>
      </w:r>
    </w:p>
    <w:p w14:paraId="50AE67E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CF32D5" w14:textId="77777777" w:rsidR="00161A6B" w:rsidRPr="00815ED5" w:rsidRDefault="00161A6B"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2</w:t>
      </w:r>
      <w:r>
        <w:rPr>
          <w:rFonts w:ascii="Times New Roman" w:hAnsi="Times New Roman" w:cs="Times New Roman"/>
          <w:color w:val="0070C0"/>
          <w:sz w:val="16"/>
          <w:szCs w:val="16"/>
        </w:rPr>
        <w:t>9</w:t>
      </w:r>
      <w:r w:rsidRPr="00815ED5">
        <w:rPr>
          <w:rFonts w:ascii="Times New Roman" w:hAnsi="Times New Roman" w:cs="Times New Roman"/>
          <w:color w:val="0070C0"/>
          <w:sz w:val="16"/>
          <w:szCs w:val="16"/>
        </w:rPr>
        <w:t xml:space="preserve"> мая</w:t>
      </w:r>
      <w:r>
        <w:rPr>
          <w:rFonts w:ascii="Times New Roman" w:hAnsi="Times New Roman" w:cs="Times New Roman"/>
          <w:color w:val="0070C0"/>
          <w:sz w:val="16"/>
          <w:szCs w:val="16"/>
        </w:rPr>
        <w:t xml:space="preserve"> (11 июня)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w:t>
      </w:r>
      <w:r w:rsidRPr="00815ED5">
        <w:rPr>
          <w:rFonts w:ascii="Times New Roman" w:hAnsi="Times New Roman" w:cs="Times New Roman"/>
          <w:color w:val="0070C0"/>
          <w:sz w:val="16"/>
          <w:szCs w:val="16"/>
        </w:rPr>
        <w:t>аблюдатель 25-го армейского воздухоплавательного отряда прапорщик Полторацкий совершил прыжок на парашюте с зажженного не</w:t>
      </w:r>
      <w:r w:rsidRPr="00815ED5">
        <w:rPr>
          <w:rFonts w:ascii="Times New Roman" w:hAnsi="Times New Roman" w:cs="Times New Roman"/>
          <w:color w:val="0070C0"/>
          <w:sz w:val="16"/>
          <w:szCs w:val="16"/>
        </w:rPr>
        <w:softHyphen/>
        <w:t>мецким самолетом привязного аэростата на высоте 700 м.</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Это был пер</w:t>
      </w:r>
      <w:r>
        <w:rPr>
          <w:rFonts w:ascii="Times New Roman" w:hAnsi="Times New Roman" w:cs="Times New Roman"/>
          <w:color w:val="0070C0"/>
          <w:sz w:val="16"/>
          <w:szCs w:val="16"/>
        </w:rPr>
        <w:t>вый</w:t>
      </w:r>
      <w:r w:rsidRPr="00815ED5">
        <w:rPr>
          <w:rFonts w:ascii="Times New Roman" w:hAnsi="Times New Roman" w:cs="Times New Roman"/>
          <w:color w:val="0070C0"/>
          <w:sz w:val="16"/>
          <w:szCs w:val="16"/>
        </w:rPr>
        <w:t xml:space="preserve"> случай спасения при помощи парашюта при вынужденных спусках. Всего же за время войны было 62 случая применения парашюта при выну</w:t>
      </w:r>
      <w:r>
        <w:rPr>
          <w:rFonts w:ascii="Times New Roman" w:hAnsi="Times New Roman" w:cs="Times New Roman"/>
          <w:color w:val="0070C0"/>
          <w:sz w:val="16"/>
          <w:szCs w:val="16"/>
        </w:rPr>
        <w:t>жд</w:t>
      </w:r>
      <w:r w:rsidRPr="00815ED5">
        <w:rPr>
          <w:rFonts w:ascii="Times New Roman" w:hAnsi="Times New Roman" w:cs="Times New Roman"/>
          <w:color w:val="0070C0"/>
          <w:sz w:val="16"/>
          <w:szCs w:val="16"/>
        </w:rPr>
        <w:t>енных спусках:</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5 спусков на парашюте Котельникова и 57 на пара</w:t>
      </w:r>
      <w:r w:rsidRPr="00815ED5">
        <w:rPr>
          <w:rFonts w:ascii="Times New Roman" w:hAnsi="Times New Roman" w:cs="Times New Roman"/>
          <w:color w:val="0070C0"/>
          <w:sz w:val="16"/>
          <w:szCs w:val="16"/>
        </w:rPr>
        <w:softHyphen/>
        <w:t>шюте Жюкмес.</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Из числа выну</w:t>
      </w:r>
      <w:r>
        <w:rPr>
          <w:rFonts w:ascii="Times New Roman" w:hAnsi="Times New Roman" w:cs="Times New Roman"/>
          <w:color w:val="0070C0"/>
          <w:sz w:val="16"/>
          <w:szCs w:val="16"/>
        </w:rPr>
        <w:t>ж</w:t>
      </w:r>
      <w:r w:rsidRPr="00815ED5">
        <w:rPr>
          <w:rFonts w:ascii="Times New Roman" w:hAnsi="Times New Roman" w:cs="Times New Roman"/>
          <w:color w:val="0070C0"/>
          <w:sz w:val="16"/>
          <w:szCs w:val="16"/>
        </w:rPr>
        <w:t>денных прыжков 9 закончились легким ранение</w:t>
      </w:r>
      <w:r>
        <w:rPr>
          <w:rFonts w:ascii="Times New Roman" w:hAnsi="Times New Roman" w:cs="Times New Roman"/>
          <w:color w:val="0070C0"/>
          <w:sz w:val="16"/>
          <w:szCs w:val="16"/>
        </w:rPr>
        <w:t>м</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 8 - гибелью воздухоплавателей.</w:t>
      </w:r>
    </w:p>
    <w:p w14:paraId="69DDD990" w14:textId="77777777" w:rsidR="00161A6B" w:rsidRDefault="00161A6B" w:rsidP="0083075A">
      <w:pPr>
        <w:spacing w:after="0"/>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ВВ1»,</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1918 </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4;</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Труды летучей лаборатории»; 1919,сборник 1/</w:t>
      </w:r>
      <w:r>
        <w:rPr>
          <w:rFonts w:ascii="Times New Roman" w:hAnsi="Times New Roman" w:cs="Times New Roman"/>
          <w:color w:val="0070C0"/>
          <w:sz w:val="16"/>
          <w:szCs w:val="16"/>
        </w:rPr>
        <w:t xml:space="preserve"> (23320).</w:t>
      </w:r>
    </w:p>
    <w:p w14:paraId="7EF04E63" w14:textId="77777777" w:rsidR="00161A6B" w:rsidRPr="00815ED5" w:rsidRDefault="00161A6B" w:rsidP="0083075A">
      <w:pPr>
        <w:spacing w:after="0" w:line="240" w:lineRule="auto"/>
        <w:jc w:val="both"/>
        <w:rPr>
          <w:rFonts w:ascii="Times New Roman" w:hAnsi="Times New Roman" w:cs="Times New Roman"/>
          <w:color w:val="0070C0"/>
          <w:sz w:val="16"/>
          <w:szCs w:val="16"/>
        </w:rPr>
      </w:pPr>
    </w:p>
    <w:p w14:paraId="4DD537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29 мая </w:t>
      </w:r>
      <w:r w:rsidR="00731D28" w:rsidRPr="002F2FDF">
        <w:rPr>
          <w:rFonts w:ascii="Times New Roman" w:hAnsi="Times New Roman" w:cs="Times New Roman"/>
          <w:color w:val="000000" w:themeColor="text1"/>
          <w:kern w:val="2"/>
          <w:sz w:val="16"/>
          <w:szCs w:val="16"/>
        </w:rPr>
        <w:t xml:space="preserve">(11 июня) </w:t>
      </w:r>
      <w:r w:rsidRPr="002F2FDF">
        <w:rPr>
          <w:rFonts w:ascii="Times New Roman" w:hAnsi="Times New Roman" w:cs="Times New Roman"/>
          <w:color w:val="000000" w:themeColor="text1"/>
          <w:kern w:val="2"/>
          <w:sz w:val="16"/>
          <w:szCs w:val="16"/>
        </w:rPr>
        <w:t>1917 была телеграмма лейтенанта С.А. Яншина (руководил воздушной дивизией с июня по август 1917 г.), в Морской генеральный штаб, свидетельствующая о беспомощном положении, в котором оказалась Балтийская авиация к середине 1917 г. свидетельствует, например, телеграмма старшего: "Вчера ночью (28 мая 1917 г.) неприятельские аппараты атаковали Аренсбург и попавшими бомбами сожгли оба ангара, часть построек и один аппарат. Днём неприятельские бомбовозы под охраной истребителей атаковали Церель и бомбами сожгли двухместный истребитель (Ньюпор-10) и вывели из строя четыре девятки (М-9). Вечером опять был атакован Церель и ночью Аренсбург. Имеемыми аппаратами отразить атаки неприятеля невозможно и авиации Эзеля грозит прекращение боевой деятельности. Крайняя и срочная необходимость в сухопутных истребителях для защиты станций, без коковой они могут быть уничтожены неприятелем. Наши истребители не могут догнать немцев. Прошу срочно сообщить о возможности и сроке получения сухопутных аппаратов. Прошу срочно отыскать и сообщить всё Дудорову. Он у Керенского. Один справиться не могу".</w:t>
      </w:r>
    </w:p>
    <w:p w14:paraId="07CA8B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 Дудорову уже было не до авиации. 13 января 1917 г. в соответствии с приказом по флоту №57, он вступил в должность первого помощника морского министра, а 16 сентября 1917 г. указом Временного правительства капитан 1-го ранга Дудоров был назначен морским атташе в Японию с одновременным присвоением звания контрадмирал (11928).</w:t>
      </w:r>
    </w:p>
    <w:p w14:paraId="00514B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BACF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мая (11 июня) 1917 было 13 воздушных боев, а на сле</w:t>
      </w:r>
      <w:r w:rsidRPr="002F2FDF">
        <w:rPr>
          <w:rFonts w:ascii="Times New Roman" w:hAnsi="Times New Roman" w:cs="Times New Roman"/>
          <w:color w:val="000000" w:themeColor="text1"/>
          <w:kern w:val="2"/>
          <w:sz w:val="16"/>
          <w:szCs w:val="16"/>
        </w:rPr>
        <w:softHyphen/>
        <w:t>дующий день - 15 (3953).</w:t>
      </w:r>
    </w:p>
    <w:p w14:paraId="1EB858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370BCE" w14:textId="77777777" w:rsidR="005505D2" w:rsidRPr="002F2FDF" w:rsidRDefault="005505D2" w:rsidP="0083075A">
      <w:pPr>
        <w:pStyle w:val="83"/>
        <w:shd w:val="clear" w:color="auto" w:fill="auto"/>
        <w:spacing w:after="0" w:line="240" w:lineRule="auto"/>
        <w:ind w:firstLine="0"/>
        <w:jc w:val="both"/>
        <w:rPr>
          <w:rFonts w:ascii="Times New Roman" w:hAnsi="Times New Roman"/>
          <w:color w:val="000000" w:themeColor="text1"/>
          <w:kern w:val="2"/>
          <w:sz w:val="16"/>
          <w:szCs w:val="16"/>
        </w:rPr>
      </w:pPr>
      <w:r w:rsidRPr="002F2FDF">
        <w:rPr>
          <w:rFonts w:ascii="Times New Roman" w:hAnsi="Times New Roman"/>
          <w:color w:val="000000" w:themeColor="text1"/>
          <w:kern w:val="2"/>
          <w:sz w:val="16"/>
          <w:szCs w:val="16"/>
        </w:rPr>
        <w:t>29 мая (11 июня) 1917 г. на Юго-Западном фронте, в 25-м армейском воздухопла</w:t>
      </w:r>
      <w:r w:rsidRPr="002F2FDF">
        <w:rPr>
          <w:rFonts w:ascii="Times New Roman" w:hAnsi="Times New Roman"/>
          <w:color w:val="000000" w:themeColor="text1"/>
          <w:kern w:val="2"/>
          <w:sz w:val="16"/>
          <w:szCs w:val="16"/>
        </w:rPr>
        <w:softHyphen/>
        <w:t>вательном отряде. Наблюда</w:t>
      </w:r>
      <w:r w:rsidRPr="002F2FDF">
        <w:rPr>
          <w:rFonts w:ascii="Times New Roman" w:hAnsi="Times New Roman"/>
          <w:color w:val="000000" w:themeColor="text1"/>
          <w:kern w:val="2"/>
          <w:sz w:val="16"/>
          <w:szCs w:val="16"/>
        </w:rPr>
        <w:softHyphen/>
        <w:t>тель, прапорщик Полторац</w:t>
      </w:r>
      <w:r w:rsidRPr="002F2FDF">
        <w:rPr>
          <w:rFonts w:ascii="Times New Roman" w:hAnsi="Times New Roman"/>
          <w:color w:val="000000" w:themeColor="text1"/>
          <w:kern w:val="2"/>
          <w:sz w:val="16"/>
          <w:szCs w:val="16"/>
        </w:rPr>
        <w:softHyphen/>
        <w:t>кий, на высоте 700 м выпрыг</w:t>
      </w:r>
      <w:r w:rsidRPr="002F2FDF">
        <w:rPr>
          <w:rFonts w:ascii="Times New Roman" w:hAnsi="Times New Roman"/>
          <w:color w:val="000000" w:themeColor="text1"/>
          <w:kern w:val="2"/>
          <w:sz w:val="16"/>
          <w:szCs w:val="16"/>
        </w:rPr>
        <w:softHyphen/>
        <w:t>нул из подожженного аэро</w:t>
      </w:r>
      <w:r w:rsidRPr="002F2FDF">
        <w:rPr>
          <w:rFonts w:ascii="Times New Roman" w:hAnsi="Times New Roman"/>
          <w:color w:val="000000" w:themeColor="text1"/>
          <w:kern w:val="2"/>
          <w:sz w:val="16"/>
          <w:szCs w:val="16"/>
        </w:rPr>
        <w:softHyphen/>
        <w:t>стата и, благодаря парашю</w:t>
      </w:r>
      <w:r w:rsidRPr="002F2FDF">
        <w:rPr>
          <w:rFonts w:ascii="Times New Roman" w:hAnsi="Times New Roman"/>
          <w:color w:val="000000" w:themeColor="text1"/>
          <w:kern w:val="2"/>
          <w:sz w:val="16"/>
          <w:szCs w:val="16"/>
        </w:rPr>
        <w:softHyphen/>
        <w:t>ту, остался жив, получив, прав</w:t>
      </w:r>
      <w:r w:rsidRPr="002F2FDF">
        <w:rPr>
          <w:rFonts w:ascii="Times New Roman" w:hAnsi="Times New Roman"/>
          <w:color w:val="000000" w:themeColor="text1"/>
          <w:kern w:val="2"/>
          <w:sz w:val="16"/>
          <w:szCs w:val="16"/>
        </w:rPr>
        <w:softHyphen/>
        <w:t>да, легкие ранения во время приземления (12120).</w:t>
      </w:r>
    </w:p>
    <w:p w14:paraId="57CCA3AB" w14:textId="77777777" w:rsidR="005505D2" w:rsidRPr="002F2FDF" w:rsidRDefault="005505D2" w:rsidP="0083075A">
      <w:pPr>
        <w:spacing w:after="0" w:line="240" w:lineRule="auto"/>
        <w:jc w:val="both"/>
        <w:rPr>
          <w:rFonts w:ascii="Times New Roman" w:hAnsi="Times New Roman" w:cs="Times New Roman"/>
          <w:color w:val="000000" w:themeColor="text1"/>
          <w:kern w:val="2"/>
          <w:sz w:val="16"/>
          <w:szCs w:val="16"/>
        </w:rPr>
      </w:pPr>
    </w:p>
    <w:p w14:paraId="60AFBC0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мая (11 июня) 1917 у острова Готланд по неизвестным причинам взорвалась и затонула русская подлодка “Львица” (4962).</w:t>
      </w:r>
    </w:p>
    <w:p w14:paraId="50CE0BE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AB53D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46BC3E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B3442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мая (11 июня) 1917 русский генерал Корнилов заявил английским офицерам, что в случае заключения сепаратного русско-германского договора он пойдет рядовым в английскую армию, чтобы продолжать борьбу с немцами (4962).</w:t>
      </w:r>
    </w:p>
    <w:p w14:paraId="7E4A1EE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9047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Между 29 мая и 4 мюня (11 и 17 июня) 1917 в Петрограде началось формирование женского батальона смерти.</w:t>
      </w:r>
    </w:p>
    <w:p w14:paraId="460594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Петрограде,— сообщало "Русское слово" в июне 1917 года,— образовался женский союз помощи родине, ставящий своей целью активную защиту родины на фронте. Главная его задача — образование женских батальонов смерти, которые дадут присягу в первых рядах наступать против врага. Во главе организации стоит жена солдата-крестьянина Бочкарева. В течение нынешней войны Бочкарева принимала участие в нескольких боях, шесть раз была ранена и за выдающиеся боевые подвиги награждена солдатским Георгиевским крестом. А. Ф. Керенский уже утвердил устав женского союза помощи родине и разрешил формировать батальон... Женщинам-солдатам будет отведено специальное помещение. После подготовки их к бою первая рота будет отправлена на фронт в передовую линию. На фронте женская рота смерти будет совершенно изолирована от остальной армии. Все работы как в обозе, так и в канцелярии будут совершаться самими женщинами. Командование также поручено им. Командиром первой роты назначена Бочкарева... С первым отрядом женщин выезжает в качестве сестры милосердия жена военного министра О. А. Керенская, которая дала обязательство в случае необходимости оставаться все время в окопах". </w:t>
      </w:r>
    </w:p>
    <w:p w14:paraId="5F1659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рассказах Бочкаревой все выглядело еще эффектнее: "Благодаря статьям в газетах и другой пропаганде набралось около двух тысяч женщин, пожелавших вступить в Батальон смерти. Они толпились во дворе института в восторженном возбуждении... Я поставила стол посреди двора и обратилась к собравшимся со следующими словами: "В батальоне не будет никаких комитетов. Устанавливается строгая дисциплина, и за любое, даже самое незначительное, ее нарушение последует серьезное наказание. Всякий флирт и даже намек на него будет наказываться отчислением и отправкой домой под конвоем. Батальон имеет целью укрепить дисциплину в армии, поэтому нам нужно быть безукоризненными"". </w:t>
      </w:r>
    </w:p>
    <w:p w14:paraId="77674C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Однако эта антикомитетская позиция Бочкаревой сразу создала массу проблем. У солдатских комитетов других частей возникло много вопросов, главным из которых был — как в демократической армии может существовать батальон со старорежимными порядками. Керенский крутился как уж на сковороде. Он отбивался от нападок революционных солдат и пытался заставить Бочкареву завести комитет в батальоне. Но та не могла поступиться принципами. А еще не сформированный батальон начал разделяться на комитетчиц и антикомитетчиц. В итоге командующий Петроградским военным округом генерал Половцев разрешил Бочкаревой обходиться без комитета. Но в ее батальоне осталось только 300 женщин. </w:t>
      </w:r>
    </w:p>
    <w:p w14:paraId="50FE90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Газеты, как обычно, пестрели сообщениями о прекрасном женском батальоне. "Биржевые ведомости" сообщали: </w:t>
      </w:r>
    </w:p>
    <w:p w14:paraId="510373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преобладающем большинстве "солдаты" в возрасте 18-24 лет, среди более старого возраста есть замужние. Убежденность и верность принятому решению, высокий и благородный подъем, наконец, сознательное восприятие дисциплины — все это успело наложить на лица благородных женщин отпечаток мужества и непреклонной воли. Бросается в глаза интеллигентная внешность "солдат". Еще бы: в составе батальона до 30 процентов курсисток (есть бестужевки) и свыше 40 процентов со средним образованием. Немало сестер милосердия. Кроме 8-9 эстонок и латышек, 6 евреек и 1 англичанка, остальные все русские. Но здесь все крепко спаяны одной верой, верой в правоту своего дела и надежду воскресить забытые подвиги самоотвержения и истинной любви к родине. Всюду звенящим металлом звучит команда </w:t>
      </w:r>
      <w:r w:rsidRPr="002F2FDF">
        <w:rPr>
          <w:rFonts w:ascii="Times New Roman" w:hAnsi="Times New Roman" w:cs="Times New Roman"/>
          <w:color w:val="000000" w:themeColor="text1"/>
          <w:kern w:val="2"/>
          <w:sz w:val="16"/>
          <w:szCs w:val="16"/>
        </w:rPr>
        <w:lastRenderedPageBreak/>
        <w:t xml:space="preserve">организатора Батальона Смерти "унтер-офицера Бочкаревой". Она мелькает как метеор, перебегая от одного взвода к другому, и вся горит огнем вдохновившей ее цели". </w:t>
      </w:r>
    </w:p>
    <w:p w14:paraId="0C731B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точки зрения профессиональных военных картина смотрелась совсем по-иному. Генерал Половцев вспоминал: </w:t>
      </w:r>
    </w:p>
    <w:p w14:paraId="36FA2A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"Бочкарева меня приглашает на смотр. Потеха замечательная. Хорошо отчеканенный рапорт дежурной девицы один чего стоит, а в казарме "штатская одежда" и шляпки с перьями, висящие на стене против каждой койки, производят оригинальное впечатление. Зато строевой смотр проходит на 12 баллов. Удивительные молодцы женщины, когда зададутся определенной целью... От всей души благодарю девиц и обещаю принять меры для скорейшей отправки их на фронт. Не обходится дело и без некоторых трений. Лодырничающие солдаты относятся к дамам враждебно — бросают камни им в окна и проч., да и в самой роте происходят недоразумения: 4-й взвод, где собрались более интеллигентные особы, жалуется, что Бочкарева слишком груба и бьет морды, как заправский вахмистр старого режима. Слухи об ее зверствах доходят даже до Керенского. Кроме того, поднимаются протесты против обязательной стрижки волос под гребенку, заведенной Бочкаревой как основное условие боеспособности. Стараюсь немного ее укротить, но она свирепа и, выразительно помахивая кулаком, говорит, что недовольные пускай убираются вон, что она желает иметь дисциплинированную часть". </w:t>
      </w:r>
    </w:p>
    <w:p w14:paraId="363D11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Проводы женского батальона смерти на фронт были обставлены с соответствующей пышностью. Женщинам вручали драгоценные иконы, на знамени было вышито имя Бочкаревой, а самой "русской Жанне Д`Арк" присвоили первое офицерское звание — прапорщик. </w:t>
      </w:r>
    </w:p>
    <w:p w14:paraId="5FDF7E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 окончании молебна,— описывали проводы 7 июля 1917 года "Биржевые ведомости",— женский батальон, имея во главе оркестр флотского экипажа, в сопровождении тысячной толпы, под звуки Марсельезы двинулся по направлению к Варшавскому вокзалу. Публика образовала цепь. Впереди шествовавшего батальона, держась за руки, шли солдаты, матросы, рабочие, студенты, причем в этой цепи находились также некоторые старики. По всем тем улицам, по которым следовала процессия, из окон домов и балконов аплодировали, махали белыми платками и бросали цветы. На каждой улице толпа все увеличивалась. Штыки у женщин-солдат были украшены красными розами, а фуражки — букетами ландышей, белых астр и незабудок. Некоторые из публики предлагали женщинам-воинам помочь несть их амуницию, они отказывались, говоря: "Мы уже солдаты и в помощи мужчин не нуждаемся"". </w:t>
      </w:r>
    </w:p>
    <w:p w14:paraId="1C14DA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Публиковались и разнообразные небылицы. К примеру, в одной из газет говорилось: </w:t>
      </w:r>
    </w:p>
    <w:p w14:paraId="67181E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"Рассказывали, что в Киеве, когда прибыл женский батальон, на вокзале было немало солдат-мужчин, которые относились к солдатам-женщинам с насмешками. Тогда команда женского батальона, несмотря на протесты, арестовала нескольких солдат-мужчин, заперла в вагоны и заявила, что повезет их на фронт, и увезла". </w:t>
      </w:r>
    </w:p>
    <w:p w14:paraId="234BD5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Ни о чем подобном сама Бочкарева не вспоминала, зато рассказывала о том, что ее подчиненные в прифронтовой полосе сразу же оказались в мужской осаде: "Наступила ночь, и мои солдатики легли спать...Не пробило и двенадцати, как группа хулиганов подошла к казарме. Они барабанили в окна и тонкие дощатые стены, ругая нас всех, и особенно меня. Потом пытались прорваться то в одну, то в другую дверь, но были встречены штыками. Не добившись ничего грубостью и насмешками, они забросали казарму камнями, разбив несколько стекол в окнах. Мы, тем не менее, старались сохранять спокойствие. Мы направлялись на фронт воевать с германцами, а не устраивать сражения с этими отчаянными головорезами, втрое превосходящими по численности наш батальон. Но чем большую выдержку мы проявляли, тем наглее становились эти люди. Некоторые из них, изловчившись, просовывали руки в разбитые окна, хватали девушек за волосы, и они кричали от боли. Никто не спал. Все были взбудоражены до предела". </w:t>
      </w:r>
    </w:p>
    <w:p w14:paraId="2F3C59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Но самое страшное началось, когда батальон решили послать в бой. Все окружающие части митинговали, решая, идти или не идти в атаку. И тогда Бочкарева решила вести свой батальон на германцев в одиночку. </w:t>
      </w:r>
    </w:p>
    <w:p w14:paraId="393646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"Мы решили наступать,— вспоминала она,— чтобы пристыдить солдат, и полагали, что они не дадут нам погибнуть на ничейной земле. Все хорошо понимали ответственность принятого решения. Не было никакой уверенности в том, что солдаты не оставят нас на произвол судьбы, разве только надеялись, что такое чудовищное предательство просто невозможно". </w:t>
      </w:r>
    </w:p>
    <w:p w14:paraId="722D22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Как утверждала Бочкарева, поднять в атаку вслед за своим батальоном полк ей все-таки удалось. Но наступление не было поддержано резервными частями и оказалось бессмысленным. </w:t>
      </w:r>
    </w:p>
    <w:p w14:paraId="489533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Совсем по-другому выглядела атака женского батальона в воспоминаниях генерала Деникина: "Женский батальон, приданный одному из корпусов, доблестно пошел в атаку, не поддержанный "русскими богатырями". И когда разразился кромешный ад неприятельского артиллерийского огня, бедные женщины, забыв технику рассыпного боя, сжались в кучку — беспомощные, одинокие на своем участке поля, взрыхленного немецкими бомбами. Понесли потери. А "богатыри" частью вернулись обратно, частью совсем не выходили из окопов". </w:t>
      </w:r>
    </w:p>
    <w:p w14:paraId="1EF03E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Бочкарева была в ярости, и поплатилась за это, как она сама рассказывала, одна из ее подчиненных: "Я натолкнулась на парочку, прятавшуюся за стволом дерева. Это была девчонка из моего батальона и какой-то солдат. Они занимались любовью! Гнусная сцена возмутила меня даже больше, чем неторопливость 9-го корпуса, обрекшего нас на гибель. Этого было достаточно, чтобы сойти с ума. Рассудок отказывался воспринимать такое в тот момент, когда нас, как крыс, загнали в капкан врага. Во мне все бурлило. Вихрем налетела я на эту парочку и проткнула девку штыком. А солдат бросился наутек, прежде чем я сумела его прикончить, и скрылся". </w:t>
      </w:r>
    </w:p>
    <w:p w14:paraId="018FDD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разных источниках называются разные цифры потерь в рядах Первого женского батальона смерти, но, по сути, после этой атаки он перестал существовать. Раненую Бочкареву отправили в тыл, и без ее твердой руки между женщинами немедленно начались склоки и свары. Не лучше обстояло дело и в других женских батальонах смерти, формировавшихся в тылу. В Москве, куда Бочкарева приехала после лечения, картина была абсолютно безрадостная. В московском батальоне флирт с мужчинами из соседних казарм был обычным делом, и, как только Бочкарева ударила одну из женщин, остальные бросились на нее, избили, вываляли в грязи и доставили в районный комиссариат как контрреволюционный элемент. Благо повод для этого был — Бочкарева в этот момент поддерживала генерала Корнилова, выступавшего за военную диктатуру в стране, и вела прокорниловскую агитацию в женских батальонах. </w:t>
      </w:r>
    </w:p>
    <w:p w14:paraId="074004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Ни "русской Жанны Д`Арк", ни даже средства пробуждения совести у дезертиров из Бочкаревой и ее батальонов не получилось. Остававшихся на фронте женщин использовали на охране дорог и других объектов, а самой Бочкаревой присвоили звание подпоручика, а затем поручика и постарались избавиться от нее, как от надоевшей и ненужной вещи. Главное управление Генштаба 17 октября 1917 года констатировало: "Женское военное движение, столь усиленно муссированное печатью и ходатайствами отдельных лиц и целых организаций в начале революции, не оправдало своего существования". </w:t>
      </w:r>
    </w:p>
    <w:p w14:paraId="3DF529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Во время штурма Зимнего красногвардейцами среди защитников Временного правительства оказалась одна рота петроградского женского батальона, и потому советские историки не уставали поливать этих женщин грязью. Версий того, как они там оказались, что делали и сколько женщин-солдат изнасиловали большевики (об этом писали уже западные историки), было огромное множество. </w:t>
      </w:r>
    </w:p>
    <w:p w14:paraId="013D49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Октябрьского переворота батальоны расформировали, а Бочкареву арестовали. Правда, через два дня ее отпустили, и в 1918 году ее известность попытались использовать борцы с большевизмом. Ее послали в Англию и Соединенные Штаты, где ее принимали главы государств и где она просила оказать помощь в борьбе с "красной нечистью". Затем, вернувшись в Россию, в оккупированный англичанами Архангельск, она еще пыталась играть какую-то заметную роль, но быстро надоела и белому командованию, и офицерам оккупационных войск. Она много пила, демонстрировала всем свои раны, и ее от греха отправили к родным в Сибирь. Там она бедствовала, портняжничала вместе с сестрой и добивалась в штабе адмирала Колчака, чтобы ее официально уволили в отставку с правом ношения формы и присвоили следующее офицерское звание — штабс-капитан. Ведь она все-таки командовала батальоном. От предложения сформировать новые женские батальоны смерти она категорически отказалась, но разрешила использовать свое имя при создании одного из санитарных отрядов армии Колчака. Говорили, что в это же время она попала в психиатрическую лечебницу, что, правда, ничем не подтверждается. А в 1920 году ее арестовали чекисты и, скорее всего, в том же году поставили к стенке (11652).</w:t>
      </w:r>
    </w:p>
    <w:p w14:paraId="273C2D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B6AB94" w14:textId="77777777" w:rsidR="000B430C"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CE12D62" w14:textId="77777777" w:rsidR="000B430C" w:rsidRPr="002F2FDF" w:rsidRDefault="000B430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96FE3D" w14:textId="77777777" w:rsidR="000B430C" w:rsidRPr="002F2FDF" w:rsidRDefault="000B430C" w:rsidP="0083075A">
      <w:pPr>
        <w:pStyle w:val="ae"/>
        <w:spacing w:before="0" w:after="0"/>
        <w:jc w:val="both"/>
        <w:rPr>
          <w:color w:val="000000" w:themeColor="text1"/>
          <w:kern w:val="2"/>
          <w:sz w:val="16"/>
          <w:szCs w:val="16"/>
        </w:rPr>
      </w:pPr>
      <w:r w:rsidRPr="002F2FDF">
        <w:rPr>
          <w:color w:val="000000" w:themeColor="text1"/>
          <w:kern w:val="2"/>
          <w:sz w:val="16"/>
          <w:szCs w:val="16"/>
        </w:rPr>
        <w:t>29 мая (11 июня) 1917 под давлением стран Антанты, пригрозивших начать бомбардировку Афин, отрекся от трона король Греции Константин I, выступавший за союз с Германией. Его наследником стал младший сын Александр I, который фактически уже не имел реальной власти. После известия об отречении короля у дворца собралось около 2 тысяч его сторонников, заявивших о решимости защищать монарха. Но Константин попросил всех успокоиться и разойтись. Таким образом, власть полностью перешла в руки премьер-министра Греции Элефтериоса Венизелоса, создавшего параллельное правительство, которое поддерживало союзников по Антанте. Значительная самой Греции к этому моменту уже давно была занята войсками стран Антанты, включая Русский экспедиционный корпус, которые вели ожесточенные бои с болгарскими и австрийскими частями на севере страны (17045).</w:t>
      </w:r>
    </w:p>
    <w:p w14:paraId="4CA44ABE" w14:textId="77777777" w:rsidR="000B430C" w:rsidRPr="002F2FDF" w:rsidRDefault="000B430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D43A08" w14:textId="77777777" w:rsidR="00081843" w:rsidRPr="002F2FDF" w:rsidRDefault="0008184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9C32B09" w14:textId="77777777" w:rsidR="00081843" w:rsidRPr="002F2FDF" w:rsidRDefault="0008184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56C1D9" w14:textId="77777777" w:rsidR="00081843" w:rsidRPr="002F2FDF" w:rsidRDefault="00081843"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Во второй декаде мая 1917 Служба располагала 16 дирижаблями, в том числе девятью высотными, два из которых находились в ремонте (19156).</w:t>
      </w:r>
    </w:p>
    <w:p w14:paraId="1E5789E9" w14:textId="77777777" w:rsidR="00081843" w:rsidRPr="002F2FDF" w:rsidRDefault="00081843" w:rsidP="0083075A">
      <w:pPr>
        <w:pStyle w:val="ae"/>
        <w:shd w:val="clear" w:color="auto" w:fill="FFFFFF"/>
        <w:spacing w:before="0" w:after="0"/>
        <w:jc w:val="both"/>
        <w:textAlignment w:val="baseline"/>
        <w:rPr>
          <w:color w:val="000000" w:themeColor="text1"/>
          <w:sz w:val="16"/>
          <w:szCs w:val="16"/>
        </w:rPr>
      </w:pPr>
    </w:p>
    <w:p w14:paraId="1F526E9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8693A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E88C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мая (12 июня) 1917 в журнале ТК Увофлота отмечалось, что конструирование и заготовка частей аэроплана Ижоского завода - закончены и проводится его сборка (92,215).</w:t>
      </w:r>
    </w:p>
    <w:p w14:paraId="6F6252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F96B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30 мая (12 июня) 1917 А.Д.Кондратьев предложил на ТК УВВФ построить и испытать летающую модель большого шестимоторного триплана Ижорского завода с двумя Анзани по 40 нр (92,215).</w:t>
      </w:r>
    </w:p>
    <w:p w14:paraId="609C79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E9BDE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B2739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C99A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мая (12 июня) 1917 в 1 БАГ “...прикомандированный к 19 као по</w:t>
      </w:r>
      <w:r w:rsidRPr="002F2FDF">
        <w:rPr>
          <w:rFonts w:ascii="Times New Roman" w:hAnsi="Times New Roman" w:cs="Times New Roman"/>
          <w:color w:val="000000" w:themeColor="text1"/>
          <w:kern w:val="2"/>
          <w:sz w:val="16"/>
          <w:szCs w:val="16"/>
        </w:rPr>
        <w:softHyphen/>
        <w:t>ручик Гагуа, вылетев для барража района Потуторы-Шибалин (...) не вернулся. По свидетельству из штаба 1 армейского корпуса сбит артилле</w:t>
      </w:r>
      <w:r w:rsidRPr="002F2FDF">
        <w:rPr>
          <w:rFonts w:ascii="Times New Roman" w:hAnsi="Times New Roman" w:cs="Times New Roman"/>
          <w:color w:val="000000" w:themeColor="text1"/>
          <w:kern w:val="2"/>
          <w:sz w:val="16"/>
          <w:szCs w:val="16"/>
        </w:rPr>
        <w:softHyphen/>
        <w:t>рией противника и упал в расположе</w:t>
      </w:r>
      <w:r w:rsidRPr="002F2FDF">
        <w:rPr>
          <w:rFonts w:ascii="Times New Roman" w:hAnsi="Times New Roman" w:cs="Times New Roman"/>
          <w:color w:val="000000" w:themeColor="text1"/>
          <w:kern w:val="2"/>
          <w:sz w:val="16"/>
          <w:szCs w:val="16"/>
        </w:rPr>
        <w:softHyphen/>
        <w:t>нии противника”. Согласно другому сообщению, Гагуа был “...сбит в воз</w:t>
      </w:r>
      <w:r w:rsidRPr="002F2FDF">
        <w:rPr>
          <w:rFonts w:ascii="Times New Roman" w:hAnsi="Times New Roman" w:cs="Times New Roman"/>
          <w:color w:val="000000" w:themeColor="text1"/>
          <w:kern w:val="2"/>
          <w:sz w:val="16"/>
          <w:szCs w:val="16"/>
        </w:rPr>
        <w:softHyphen/>
        <w:t>душном бою, упал у дер. Ольховец (район Брзежан) в расположении противника. (...) с нашего наблюда</w:t>
      </w:r>
      <w:r w:rsidRPr="002F2FDF">
        <w:rPr>
          <w:rFonts w:ascii="Times New Roman" w:hAnsi="Times New Roman" w:cs="Times New Roman"/>
          <w:color w:val="000000" w:themeColor="text1"/>
          <w:kern w:val="2"/>
          <w:sz w:val="16"/>
          <w:szCs w:val="16"/>
        </w:rPr>
        <w:softHyphen/>
        <w:t>тельного пункта замечено, как к упав</w:t>
      </w:r>
      <w:r w:rsidRPr="002F2FDF">
        <w:rPr>
          <w:rFonts w:ascii="Times New Roman" w:hAnsi="Times New Roman" w:cs="Times New Roman"/>
          <w:color w:val="000000" w:themeColor="text1"/>
          <w:kern w:val="2"/>
          <w:sz w:val="16"/>
          <w:szCs w:val="16"/>
        </w:rPr>
        <w:softHyphen/>
        <w:t>шему самолету подбежали солдаты противника” (3954).</w:t>
      </w:r>
    </w:p>
    <w:p w14:paraId="532837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E2FB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мая (12 июня) 1917 л 1-го Туркестанского авиаотряда штабс-ротмистр М.С.Смельянинов, вылетев на трофейном Эльфауге на разведку, не вернулся, а приземлился в Солуно (Салоники), сделав по пути одну посадку в Румынии. Перелет имел политическую причину - несогласие с обстановкой в армии после свержения монархии. В Салониках подучился и в конце августа вернулся, совершив перелет из Сальников в Балград (Бесарабия) (3638).</w:t>
      </w:r>
    </w:p>
    <w:p w14:paraId="46D2AD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59CB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30 мая </w:t>
      </w:r>
      <w:r w:rsidR="00731D28" w:rsidRPr="002F2FDF">
        <w:rPr>
          <w:rFonts w:ascii="Times New Roman" w:hAnsi="Times New Roman" w:cs="Times New Roman"/>
          <w:color w:val="000000" w:themeColor="text1"/>
          <w:kern w:val="2"/>
          <w:sz w:val="16"/>
          <w:szCs w:val="16"/>
        </w:rPr>
        <w:t xml:space="preserve">(12 июня) </w:t>
      </w:r>
      <w:r w:rsidRPr="002F2FDF">
        <w:rPr>
          <w:rFonts w:ascii="Times New Roman" w:hAnsi="Times New Roman" w:cs="Times New Roman"/>
          <w:color w:val="000000" w:themeColor="text1"/>
          <w:kern w:val="2"/>
          <w:sz w:val="16"/>
          <w:szCs w:val="16"/>
        </w:rPr>
        <w:t xml:space="preserve">1917 летчик 1-го Туркестанского авиаотряда штабс-капитан Михаил Сергеегич </w:t>
      </w:r>
      <w:r w:rsidRPr="002F2FDF">
        <w:rPr>
          <w:rFonts w:ascii="Times New Roman" w:hAnsi="Times New Roman" w:cs="Times New Roman"/>
          <w:smallCaps/>
          <w:color w:val="000000" w:themeColor="text1"/>
          <w:kern w:val="2"/>
          <w:sz w:val="16"/>
          <w:szCs w:val="16"/>
        </w:rPr>
        <w:t>смольянинов, в</w:t>
      </w:r>
      <w:r w:rsidRPr="002F2FDF">
        <w:rPr>
          <w:rFonts w:ascii="Times New Roman" w:hAnsi="Times New Roman" w:cs="Times New Roman"/>
          <w:color w:val="000000" w:themeColor="text1"/>
          <w:kern w:val="2"/>
          <w:sz w:val="16"/>
          <w:szCs w:val="16"/>
        </w:rPr>
        <w:t>ылетел на трофейном самолете "Эльфауге" на разведку, не веунулся нэ свой аэро</w:t>
      </w:r>
      <w:r w:rsidRPr="002F2FDF">
        <w:rPr>
          <w:rFonts w:ascii="Times New Roman" w:hAnsi="Times New Roman" w:cs="Times New Roman"/>
          <w:color w:val="000000" w:themeColor="text1"/>
          <w:kern w:val="2"/>
          <w:sz w:val="16"/>
          <w:szCs w:val="16"/>
        </w:rPr>
        <w:softHyphen/>
        <w:t>дром Кременец, а приземлился г Солунс (Салоники), сделав по пути одну посадку вРумынии. Самовольный перелт к союз</w:t>
      </w:r>
      <w:r w:rsidRPr="002F2FDF">
        <w:rPr>
          <w:rFonts w:ascii="Times New Roman" w:hAnsi="Times New Roman" w:cs="Times New Roman"/>
          <w:color w:val="000000" w:themeColor="text1"/>
          <w:kern w:val="2"/>
          <w:sz w:val="16"/>
          <w:szCs w:val="16"/>
        </w:rPr>
        <w:softHyphen/>
        <w:t>никам был вызван нежеланием штзбо-копитанэ примириться с обстановкой, сложившейся вармии после свержения монархии. В Салониках Смольянинов продолжал службы на стороне союз</w:t>
      </w:r>
      <w:r w:rsidRPr="002F2FDF">
        <w:rPr>
          <w:rFonts w:ascii="Times New Roman" w:hAnsi="Times New Roman" w:cs="Times New Roman"/>
          <w:color w:val="000000" w:themeColor="text1"/>
          <w:kern w:val="2"/>
          <w:sz w:val="16"/>
          <w:szCs w:val="16"/>
        </w:rPr>
        <w:softHyphen/>
        <w:t>ников, а в конце августа снова вернулся в Россию, совершив при этом безостановочный перелет из Салоников в Белград (Бессарабия). ("Новое время". 1917 г., 15 июня; ЦТВИА. ф. 2008, д,2005).</w:t>
      </w:r>
    </w:p>
    <w:p w14:paraId="5EDFD07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A616DA" w14:textId="01D07B1F" w:rsidR="006B07EF" w:rsidRPr="00FB4F67" w:rsidRDefault="00A65C9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30 мая (</w:t>
      </w:r>
      <w:r w:rsidR="006B07EF" w:rsidRPr="00FB4F67">
        <w:rPr>
          <w:rFonts w:ascii="Times New Roman" w:hAnsi="Times New Roman" w:cs="Times New Roman"/>
          <w:color w:val="0070C0"/>
          <w:sz w:val="16"/>
          <w:szCs w:val="16"/>
        </w:rPr>
        <w:t>1</w:t>
      </w:r>
      <w:r>
        <w:rPr>
          <w:rFonts w:ascii="Times New Roman" w:hAnsi="Times New Roman" w:cs="Times New Roman"/>
          <w:color w:val="0070C0"/>
          <w:sz w:val="16"/>
          <w:szCs w:val="16"/>
        </w:rPr>
        <w:t>2</w:t>
      </w:r>
      <w:r w:rsidR="006B07EF" w:rsidRPr="00FB4F67">
        <w:rPr>
          <w:rFonts w:ascii="Times New Roman" w:hAnsi="Times New Roman" w:cs="Times New Roman"/>
          <w:color w:val="0070C0"/>
          <w:sz w:val="16"/>
          <w:szCs w:val="16"/>
        </w:rPr>
        <w:t xml:space="preserve"> июня</w:t>
      </w:r>
      <w:r>
        <w:rPr>
          <w:rFonts w:ascii="Times New Roman" w:hAnsi="Times New Roman" w:cs="Times New Roman"/>
          <w:color w:val="0070C0"/>
          <w:sz w:val="16"/>
          <w:szCs w:val="16"/>
        </w:rPr>
        <w:t>)</w:t>
      </w:r>
      <w:r w:rsidR="006B07EF" w:rsidRPr="00FB4F67">
        <w:rPr>
          <w:rFonts w:ascii="Times New Roman" w:hAnsi="Times New Roman" w:cs="Times New Roman"/>
          <w:color w:val="0070C0"/>
          <w:sz w:val="16"/>
          <w:szCs w:val="16"/>
        </w:rPr>
        <w:t xml:space="preserve"> 1917 г. русский штабс Капитан М.Ф. Смольянинов, военный летчик 1-го Туркестанского КАО, пилотировал захваченный немецкий двухместный LVG из Болграда в Румынии через Болгарию, чтобы присоединиться к силам союзников на Македонском фронте. В сентябре он улетел обратно в Россию. В конце концов он служил в Белой русской авиации в Сибири во время Гражданской войны.</w:t>
      </w:r>
    </w:p>
    <w:p w14:paraId="39C7AB32" w14:textId="77777777" w:rsidR="006B07EF" w:rsidRPr="00FB4F67" w:rsidRDefault="006B07E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Известно, что 11 июня на Юго-Западном фронте французские ESC.N.581 и SOP.582 действовали с аэродромов Езерна и Бучач в составе 7-й русской армии. К концу июля они были выведены в Волочиск и Проскуров, а к 1 октября — в Киев. 18 февраля 1918 г. ESC.N.581 выехал из Киева в Москву, затем в Мурманск и вернулся во Францию, а ESC.SOP.582 был переведен в Симферополь в Крыму в качестве учебной части (23525).</w:t>
      </w:r>
    </w:p>
    <w:p w14:paraId="3BFF7CB3" w14:textId="77777777" w:rsidR="006B07EF" w:rsidRPr="00FB4F67" w:rsidRDefault="006B07EF" w:rsidP="0083075A">
      <w:pPr>
        <w:spacing w:after="0" w:line="240" w:lineRule="auto"/>
        <w:jc w:val="both"/>
        <w:rPr>
          <w:rFonts w:ascii="Times New Roman" w:hAnsi="Times New Roman" w:cs="Times New Roman"/>
          <w:color w:val="0070C0"/>
          <w:sz w:val="16"/>
          <w:szCs w:val="16"/>
        </w:rPr>
      </w:pPr>
    </w:p>
    <w:p w14:paraId="7C6EE799" w14:textId="77777777" w:rsidR="00346C00" w:rsidRPr="00815ED5" w:rsidRDefault="00346C00"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30 мая</w:t>
      </w:r>
      <w:r>
        <w:rPr>
          <w:rFonts w:ascii="Times New Roman" w:hAnsi="Times New Roman" w:cs="Times New Roman"/>
          <w:color w:val="0070C0"/>
          <w:sz w:val="16"/>
          <w:szCs w:val="16"/>
        </w:rPr>
        <w:t xml:space="preserve"> (12 июня)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815ED5">
        <w:rPr>
          <w:rFonts w:ascii="Times New Roman" w:hAnsi="Times New Roman" w:cs="Times New Roman"/>
          <w:color w:val="0070C0"/>
          <w:sz w:val="16"/>
          <w:szCs w:val="16"/>
        </w:rPr>
        <w:t>етчик 1-го Туркестанского авиаотряда шт.-капитан Михаил Сергеевич Смольянинов,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вылетев на трофейном самолете </w:t>
      </w:r>
      <w:r>
        <w:rPr>
          <w:rFonts w:ascii="Times New Roman" w:hAnsi="Times New Roman" w:cs="Times New Roman"/>
          <w:color w:val="0070C0"/>
          <w:sz w:val="16"/>
          <w:szCs w:val="16"/>
        </w:rPr>
        <w:t>Э</w:t>
      </w:r>
      <w:r w:rsidRPr="00815ED5">
        <w:rPr>
          <w:rFonts w:ascii="Times New Roman" w:hAnsi="Times New Roman" w:cs="Times New Roman"/>
          <w:color w:val="0070C0"/>
          <w:sz w:val="16"/>
          <w:szCs w:val="16"/>
        </w:rPr>
        <w:t>льфауге на разведку,</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не вернулся на свой аэродром Кремепец,</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 приземлился в Солуне /Салоники/,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сделав по пути одну посадку в Румынии.</w:t>
      </w:r>
      <w:r>
        <w:rPr>
          <w:rFonts w:ascii="Times New Roman" w:hAnsi="Times New Roman" w:cs="Times New Roman"/>
          <w:color w:val="0070C0"/>
          <w:sz w:val="16"/>
          <w:szCs w:val="16"/>
        </w:rPr>
        <w:t xml:space="preserve"> С</w:t>
      </w:r>
      <w:r w:rsidRPr="00815ED5">
        <w:rPr>
          <w:rFonts w:ascii="Times New Roman" w:hAnsi="Times New Roman" w:cs="Times New Roman"/>
          <w:color w:val="0070C0"/>
          <w:sz w:val="16"/>
          <w:szCs w:val="16"/>
        </w:rPr>
        <w:t>амовольный перелет к союзникам вызван нежеланием штабс-капитана примириться с обстановкой,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сложившейся в армии после свержения монархии.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 Салони</w:t>
      </w:r>
      <w:r w:rsidRPr="00815ED5">
        <w:rPr>
          <w:rFonts w:ascii="Times New Roman" w:hAnsi="Times New Roman" w:cs="Times New Roman"/>
          <w:color w:val="0070C0"/>
          <w:sz w:val="16"/>
          <w:szCs w:val="16"/>
        </w:rPr>
        <w:softHyphen/>
        <w:t>ках Смольянинов продолжал службу на стороне союзников,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 в конце августа снова вернулся в Россиию,</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совершив при этом безостановочный ‘перелет из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алоников в Белград /Бессарабия/.</w:t>
      </w:r>
    </w:p>
    <w:p w14:paraId="45B7E094" w14:textId="77777777" w:rsidR="00346C00" w:rsidRDefault="00346C00"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/"Новое время” за 15 июня 1917; ЦГВИА, ф. 2008, д. 2005/</w:t>
      </w:r>
      <w:r>
        <w:rPr>
          <w:rFonts w:ascii="Times New Roman" w:hAnsi="Times New Roman" w:cs="Times New Roman"/>
          <w:color w:val="0070C0"/>
          <w:sz w:val="16"/>
          <w:szCs w:val="16"/>
        </w:rPr>
        <w:t xml:space="preserve"> (23320).</w:t>
      </w:r>
    </w:p>
    <w:p w14:paraId="3A2F5B51" w14:textId="77777777" w:rsidR="00346C00" w:rsidRPr="00815ED5" w:rsidRDefault="00346C00" w:rsidP="0083075A">
      <w:pPr>
        <w:spacing w:after="0" w:line="240" w:lineRule="auto"/>
        <w:jc w:val="both"/>
        <w:rPr>
          <w:rFonts w:ascii="Times New Roman" w:hAnsi="Times New Roman" w:cs="Times New Roman"/>
          <w:color w:val="0070C0"/>
          <w:sz w:val="16"/>
          <w:szCs w:val="16"/>
        </w:rPr>
      </w:pPr>
    </w:p>
    <w:p w14:paraId="4B4CB06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8185D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C5CC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мая - 3 июня (12-16 июня) 1917 состоялась первая конференция заводских комитетов Петрограда, которая уже принимала большевистские резолюции (1348,113).</w:t>
      </w:r>
    </w:p>
    <w:p w14:paraId="743704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C33BD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мая (12 июня) 1917 I конференция заводских комитетов Петрограда приняла большевистские резолюции (4962).</w:t>
      </w:r>
    </w:p>
    <w:p w14:paraId="45DAF2E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A48AD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мая (12 июня) 1917 идеолог анархизма Петр Кропоткин с триумфом вернулся в Россию из эмиграции (4962).</w:t>
      </w:r>
    </w:p>
    <w:p w14:paraId="7270140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BE39EC" w14:textId="77777777" w:rsidR="00612111" w:rsidRPr="002F2FDF" w:rsidRDefault="00612111" w:rsidP="0083075A">
      <w:pPr>
        <w:pStyle w:val="ae"/>
        <w:spacing w:before="0" w:after="0"/>
        <w:jc w:val="both"/>
        <w:rPr>
          <w:color w:val="000000" w:themeColor="text1"/>
          <w:kern w:val="2"/>
          <w:sz w:val="16"/>
          <w:szCs w:val="16"/>
        </w:rPr>
      </w:pPr>
      <w:r w:rsidRPr="002F2FDF">
        <w:rPr>
          <w:color w:val="000000" w:themeColor="text1"/>
          <w:kern w:val="2"/>
          <w:sz w:val="16"/>
          <w:szCs w:val="16"/>
        </w:rPr>
        <w:t>30 мая (12 июня) 1917 некий поручик Е.Шилов провозгласил самостоятельную республику в местности Святые горы (район меловых гор с многочисленными пещерами в нескольких километрах от Славянска Донецкой области нынешней Украины) и отказался подчиняться Временному правительству. Шилов заявлял, что «врагами России являются Англия и Франция», всячески восхвалял германских солдат и требовал заключения мира с Германией (17045).</w:t>
      </w:r>
    </w:p>
    <w:p w14:paraId="2CC0EEAC" w14:textId="77777777" w:rsidR="00612111" w:rsidRPr="002F2FDF" w:rsidRDefault="00612111" w:rsidP="0083075A">
      <w:pPr>
        <w:pStyle w:val="ae"/>
        <w:spacing w:before="0" w:after="0"/>
        <w:jc w:val="both"/>
        <w:rPr>
          <w:color w:val="000000" w:themeColor="text1"/>
          <w:kern w:val="2"/>
          <w:sz w:val="16"/>
          <w:szCs w:val="16"/>
        </w:rPr>
      </w:pPr>
    </w:p>
    <w:p w14:paraId="00911175" w14:textId="77777777" w:rsidR="00612111" w:rsidRPr="002F2FDF" w:rsidRDefault="00612111" w:rsidP="0083075A">
      <w:pPr>
        <w:pStyle w:val="ae"/>
        <w:spacing w:before="0" w:after="0"/>
        <w:jc w:val="both"/>
        <w:rPr>
          <w:color w:val="000000" w:themeColor="text1"/>
          <w:kern w:val="2"/>
          <w:sz w:val="16"/>
          <w:szCs w:val="16"/>
        </w:rPr>
      </w:pPr>
      <w:r w:rsidRPr="002F2FDF">
        <w:rPr>
          <w:color w:val="000000" w:themeColor="text1"/>
          <w:kern w:val="2"/>
          <w:sz w:val="16"/>
          <w:szCs w:val="16"/>
        </w:rPr>
        <w:t>30 мая (12 июня) 1917 в Киеве открылся Всеукраинский крестьянский съезд, многие делегаты которого уже говорили не только о предоставлении Украине автономии, но и о ее полной независимости. Временное правительство реагировало на украинские события с осторожностью. 16 июня оно выпустило заявление, в котором говорилось: «Отрицательное решение по вопросу об издании акта об автономии Украины принято правительством единогласно». 18 июня открылся II Всеукраинский войсковой съезд, проведение которого Временное правительство пыталось запретить, так как на нем обсуждался вопрос о создании уже национальных украинских воинских частей (17045).</w:t>
      </w:r>
    </w:p>
    <w:p w14:paraId="5857683B" w14:textId="77777777" w:rsidR="00612111" w:rsidRPr="002F2FDF" w:rsidRDefault="0061211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46782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67C31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840A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мая (12 июня) 1917 следуя требованием союзных держав король Греции Константин I отрекается в пользу своего сына Александра, который был на престоле до 1920 (3907,90).</w:t>
      </w:r>
    </w:p>
    <w:p w14:paraId="359AE0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97CB56" w14:textId="77777777" w:rsidR="00AF28C3" w:rsidRPr="002F2FDF" w:rsidRDefault="00AF28C3" w:rsidP="0083075A">
      <w:pPr>
        <w:pStyle w:val="ae"/>
        <w:spacing w:before="0" w:after="0"/>
        <w:jc w:val="both"/>
        <w:rPr>
          <w:color w:val="000000" w:themeColor="text1"/>
          <w:kern w:val="2"/>
          <w:sz w:val="16"/>
          <w:szCs w:val="16"/>
        </w:rPr>
      </w:pPr>
      <w:r w:rsidRPr="002F2FDF">
        <w:rPr>
          <w:color w:val="000000" w:themeColor="text1"/>
          <w:kern w:val="2"/>
          <w:sz w:val="16"/>
          <w:szCs w:val="16"/>
        </w:rPr>
        <w:t>За период с 30 мая по 5 июня (12 по 18 июня) 1917 немецкие подводные лодки потопили 106 судов стран Антанты и нейтральных государств (17045).</w:t>
      </w:r>
    </w:p>
    <w:p w14:paraId="07606EAC" w14:textId="77777777" w:rsidR="00AF28C3" w:rsidRPr="002F2FDF" w:rsidRDefault="00AF28C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827A7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DA06F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F2FB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мая (13 июня) 1917 на румынском фронте оба аппарата ИМ типа Е совершили совместный налет на Тульчу, сбросив по складам и казармам неприятеля 18 пудов бомб. 17 июня V-й корабль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5AAF77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9378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мая (13 июня) 1917 г. чтобы рассеять недоверчивое отношение летного состава к машине Анатра-Д, командир 11-го армейского авиационного отряда штабскапитан Макаров решил выполнить на ней фигуры высшего пилотажа. Для этой цели был взят боевой самолет нормальной регулировки “Анатра-Д” с двигателем “Гном-Моносупап” мощностью 100 л. с. с несколько увеличенным углом установки, налетавший в отряде около 60 ч. Вместо пассажира был положен добавочный груз (мешок с песком). Полезная нагрузка составляла 249 кг. Макаров, набрав высоту 1800 м, устремил машину вниз и на высоте 1500 м сделал подряд две “мертвые петли” (впоследствии названные “петлями Нестерова”). Наблюдавшие с земли летчики, летчики-наблюдатели и мотористы засвидетельствовали, что и вторая петля была сделана “вполне чисто”, отметив в акте, что “кривые петель вполне правильные - без “опрокидывания” самолета, в верхней части их восходящей ветви, видимо, запас инерции “разгона” вполне достаточен. По осмотре самолета после мертвых петель выяснилось, что его регулировка нигде не нарушилась; тросы полукоробок, фюзеляжа, стабилизатора не растянуты; немного ослабли (до двух оборотов тендера) тросы, идущие от полукоробок к капоту”. Акт подписали 22 авиатора, к нему приложена фотография летчика и самолета. В истории русской авиации это были первые фигуры высшего пилотажа, сделанные на машине, предназначенной для корпусных авиаотрядов и не рассчитанной на высший пилотаж (9741).</w:t>
      </w:r>
    </w:p>
    <w:p w14:paraId="6C76DA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E2A0F7" w14:textId="4D43220D"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31 мая </w:t>
      </w:r>
      <w:r>
        <w:rPr>
          <w:rFonts w:ascii="Times New Roman" w:hAnsi="Times New Roman" w:cs="Times New Roman"/>
          <w:color w:val="0070C0"/>
          <w:sz w:val="16"/>
          <w:szCs w:val="16"/>
        </w:rPr>
        <w:t xml:space="preserve">(13 июня) </w:t>
      </w:r>
      <w:r w:rsidRPr="00FB4F67">
        <w:rPr>
          <w:rFonts w:ascii="Times New Roman" w:hAnsi="Times New Roman" w:cs="Times New Roman"/>
          <w:color w:val="0070C0"/>
          <w:sz w:val="16"/>
          <w:szCs w:val="16"/>
        </w:rPr>
        <w:t>1917 г. для того</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чтобы рассеять недоверие лет</w:t>
      </w:r>
      <w:r w:rsidRPr="00FB4F67">
        <w:rPr>
          <w:rFonts w:ascii="Times New Roman" w:hAnsi="Times New Roman" w:cs="Times New Roman"/>
          <w:color w:val="0070C0"/>
          <w:sz w:val="16"/>
          <w:szCs w:val="16"/>
        </w:rPr>
        <w:softHyphen/>
        <w:t>чиков к самолету, командир 11-го армей</w:t>
      </w:r>
      <w:r w:rsidRPr="00FB4F67">
        <w:rPr>
          <w:rFonts w:ascii="Times New Roman" w:hAnsi="Times New Roman" w:cs="Times New Roman"/>
          <w:color w:val="0070C0"/>
          <w:sz w:val="16"/>
          <w:szCs w:val="16"/>
        </w:rPr>
        <w:softHyphen/>
        <w:t>ского авиаотряда штабс-капитан Н.А. Ма</w:t>
      </w:r>
      <w:r w:rsidRPr="00FB4F67">
        <w:rPr>
          <w:rFonts w:ascii="Times New Roman" w:hAnsi="Times New Roman" w:cs="Times New Roman"/>
          <w:color w:val="0070C0"/>
          <w:sz w:val="16"/>
          <w:szCs w:val="16"/>
        </w:rPr>
        <w:softHyphen/>
        <w:t>каров решил продемонстрировать на нем перед личным составом фигуры высшего пилотажа. Для этой цели использовался «Анаде» с двигателем «Гном-Моносупап» мощностью 100 л.с., налетавший ранее в отряде 60 летных часов. Для получения нужной центровки на место летчика-на</w:t>
      </w:r>
      <w:r w:rsidRPr="00FB4F67">
        <w:rPr>
          <w:rFonts w:ascii="Times New Roman" w:hAnsi="Times New Roman" w:cs="Times New Roman"/>
          <w:color w:val="0070C0"/>
          <w:sz w:val="16"/>
          <w:szCs w:val="16"/>
        </w:rPr>
        <w:softHyphen/>
        <w:t xml:space="preserve">блюдателя установили соответствующий груз в виде </w:t>
      </w:r>
      <w:r w:rsidRPr="00FB4F67">
        <w:rPr>
          <w:rFonts w:ascii="Times New Roman" w:hAnsi="Times New Roman" w:cs="Times New Roman"/>
          <w:color w:val="0070C0"/>
          <w:sz w:val="16"/>
          <w:szCs w:val="16"/>
        </w:rPr>
        <w:lastRenderedPageBreak/>
        <w:t>мешка с песком.Макаров набрал высоту 1800 м, после чего выполнил подряд две «мертвые петли». Наблюдатели с земли от</w:t>
      </w:r>
      <w:r w:rsidRPr="00FB4F67">
        <w:rPr>
          <w:rFonts w:ascii="Times New Roman" w:hAnsi="Times New Roman" w:cs="Times New Roman"/>
          <w:color w:val="0070C0"/>
          <w:sz w:val="16"/>
          <w:szCs w:val="16"/>
        </w:rPr>
        <w:softHyphen/>
        <w:t>метили, что фигуры были выполнены чис</w:t>
      </w:r>
      <w:r w:rsidRPr="00FB4F67">
        <w:rPr>
          <w:rFonts w:ascii="Times New Roman" w:hAnsi="Times New Roman" w:cs="Times New Roman"/>
          <w:color w:val="0070C0"/>
          <w:sz w:val="16"/>
          <w:szCs w:val="16"/>
        </w:rPr>
        <w:softHyphen/>
        <w:t>то, без опрокидывания самолета. При ос</w:t>
      </w:r>
      <w:r w:rsidRPr="00FB4F67">
        <w:rPr>
          <w:rFonts w:ascii="Times New Roman" w:hAnsi="Times New Roman" w:cs="Times New Roman"/>
          <w:color w:val="0070C0"/>
          <w:sz w:val="16"/>
          <w:szCs w:val="16"/>
        </w:rPr>
        <w:softHyphen/>
        <w:t>мотре на земле выяснилось, что регули</w:t>
      </w:r>
      <w:r w:rsidRPr="00FB4F67">
        <w:rPr>
          <w:rFonts w:ascii="Times New Roman" w:hAnsi="Times New Roman" w:cs="Times New Roman"/>
          <w:color w:val="0070C0"/>
          <w:sz w:val="16"/>
          <w:szCs w:val="16"/>
        </w:rPr>
        <w:softHyphen/>
        <w:t>ровка коробки крыльев не изменилась, лишь немного ослабли тросовые расчалки, идущие от крыльев к капоту двигателя. Акт, подтвердивший событие, подписали 22 присутствующих авиатора. В русской авиа</w:t>
      </w:r>
      <w:r w:rsidRPr="00FB4F67">
        <w:rPr>
          <w:rFonts w:ascii="Times New Roman" w:hAnsi="Times New Roman" w:cs="Times New Roman"/>
          <w:color w:val="0070C0"/>
          <w:sz w:val="16"/>
          <w:szCs w:val="16"/>
        </w:rPr>
        <w:softHyphen/>
        <w:t>ции это были первые «мертвые петли», вы</w:t>
      </w:r>
      <w:r w:rsidRPr="00FB4F67">
        <w:rPr>
          <w:rFonts w:ascii="Times New Roman" w:hAnsi="Times New Roman" w:cs="Times New Roman"/>
          <w:color w:val="0070C0"/>
          <w:sz w:val="16"/>
          <w:szCs w:val="16"/>
        </w:rPr>
        <w:softHyphen/>
        <w:t>полненные на неманевренном самолете, подтвердившие его достаточную прочность и надежность (23374).</w:t>
      </w:r>
    </w:p>
    <w:p w14:paraId="204602D1" w14:textId="77777777" w:rsidR="009C08ED" w:rsidRPr="00FB4F67" w:rsidRDefault="009C08ED" w:rsidP="0083075A">
      <w:pPr>
        <w:spacing w:after="0" w:line="240" w:lineRule="auto"/>
        <w:jc w:val="both"/>
        <w:rPr>
          <w:rFonts w:ascii="Times New Roman" w:hAnsi="Times New Roman" w:cs="Times New Roman"/>
          <w:color w:val="0070C0"/>
          <w:sz w:val="16"/>
          <w:szCs w:val="16"/>
        </w:rPr>
      </w:pPr>
    </w:p>
    <w:p w14:paraId="38E6D2A9" w14:textId="77777777"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31 мая (13 июня) 1917 г. самолет ИМ Е-56 (ИМ Е-56, ИМ Е-1 боевой № 265, борт № IX) в паре с кораблем ИМ Е-57 совершил бомбардировку складов и казарм в г. Тулча – оба корабля сбросили 288 кг бомб.</w:t>
      </w:r>
    </w:p>
    <w:p w14:paraId="0A2C62DB" w14:textId="77777777"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21.09.17 г. (14.10.17 г. по н.ст.) корабль совершил последний боевой вылет. На железнодорожной станции Траян (Traian, Западная Молдавия, восток Румынии) экипаж удачным бомбометанием уничтожил три состава с артиллерийскими снарядами, но на возвращении корабль был атакован двумя истребителями противника. Был убит стрелок старший унтер-офицер Янкевич, второй стрелок прапорщик Талако тяжело ранен в колено (раздроблен сустав), повреждены один из лонжеронов верхнего крыла и радиаторы моторов № 2 и 3, которые остановились. Обстрелять успели только второй самолет, но результата не наблюдали. Корабль на аэродром вернулся и мог быть отремонтирован, но на боевые вылеты больше не летал.</w:t>
      </w:r>
    </w:p>
    <w:p w14:paraId="63D92DA5" w14:textId="77777777"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Всего самолет сделал 13 боевых вылетов и сбросил до 2080 кг (130 пудов) бомб.</w:t>
      </w:r>
    </w:p>
    <w:p w14:paraId="1DB8F4BA" w14:textId="77777777"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 день 25.10.17 г. (07.11.17 г.), когда состоялась Октябрьская революция, корабль оставался на а/д Болгарийка в поврежденном состоянии и так и не был отремонтирован (24094).</w:t>
      </w:r>
    </w:p>
    <w:p w14:paraId="5B91389E" w14:textId="77777777" w:rsidR="009C08ED" w:rsidRPr="00FB4F67" w:rsidRDefault="009C08ED" w:rsidP="0083075A">
      <w:pPr>
        <w:spacing w:after="0" w:line="240" w:lineRule="auto"/>
        <w:jc w:val="both"/>
        <w:rPr>
          <w:rFonts w:ascii="Times New Roman" w:hAnsi="Times New Roman" w:cs="Times New Roman"/>
          <w:color w:val="0070C0"/>
          <w:sz w:val="16"/>
          <w:szCs w:val="16"/>
        </w:rPr>
      </w:pPr>
    </w:p>
    <w:p w14:paraId="6D35F650" w14:textId="04DAF1B9"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31 мая (13 и</w:t>
      </w:r>
      <w:r>
        <w:rPr>
          <w:rFonts w:ascii="Times New Roman" w:hAnsi="Times New Roman" w:cs="Times New Roman"/>
          <w:color w:val="0070C0"/>
          <w:sz w:val="16"/>
          <w:szCs w:val="16"/>
        </w:rPr>
        <w:t>юн</w:t>
      </w:r>
      <w:r w:rsidRPr="00FB4F67">
        <w:rPr>
          <w:rFonts w:ascii="Times New Roman" w:hAnsi="Times New Roman" w:cs="Times New Roman"/>
          <w:color w:val="0070C0"/>
          <w:sz w:val="16"/>
          <w:szCs w:val="16"/>
        </w:rPr>
        <w:t>я) 1917 г. самолет «Илья Муромец» Е-57 (ИМ Е-57 № 266, борт № V) экз. № 61, стратегический разведчик и тяжелый бомбардировщик в паре с ИМ Е-56 совершил бомбардировку складов и казарм в г. Тулча – оба корабля сбросили 288 кг бомб.</w:t>
      </w:r>
    </w:p>
    <w:p w14:paraId="4A375100" w14:textId="77777777"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17.06.17 г. (29.06.17 г. по н.ст.) стрелки корабля отбили атаку двухмоторного биплана противника.</w:t>
      </w:r>
    </w:p>
    <w:p w14:paraId="472B433E" w14:textId="77777777"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21.09.17 г. (04.10.17 г. по н.ст.) состоялся последний вылет этого корабля.</w:t>
      </w:r>
    </w:p>
    <w:p w14:paraId="61BF7DFC" w14:textId="77777777"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15.11.17 г. (28.11.17 г.) разбит.</w:t>
      </w:r>
    </w:p>
    <w:p w14:paraId="0A510BEF" w14:textId="77777777"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Всего самолет выполнил не менее трех боевых вылетов.</w:t>
      </w:r>
    </w:p>
    <w:p w14:paraId="62438C11" w14:textId="77777777" w:rsidR="009C08ED" w:rsidRPr="00FB4F67" w:rsidRDefault="009C08E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Всего достроено и облетано 2 самолета ИМ-Е. Модификация по отношению к ИМ-Г определенные преимущества имела, однако ее запуск в серию не состоялся по организационным причинам – еще летом 1917 г. производство на РБВЗ было дезорганизовано, а после Октябрьской революции наладить выпуск новой модификации самолета оказалось невозможно (24094).</w:t>
      </w:r>
    </w:p>
    <w:p w14:paraId="54614383" w14:textId="77777777" w:rsidR="009C08ED" w:rsidRPr="00FB4F67" w:rsidRDefault="009C08ED" w:rsidP="0083075A">
      <w:pPr>
        <w:spacing w:after="0" w:line="240" w:lineRule="auto"/>
        <w:jc w:val="both"/>
        <w:rPr>
          <w:rFonts w:ascii="Times New Roman" w:hAnsi="Times New Roman" w:cs="Times New Roman"/>
          <w:color w:val="0070C0"/>
          <w:sz w:val="16"/>
          <w:szCs w:val="16"/>
        </w:rPr>
      </w:pPr>
    </w:p>
    <w:p w14:paraId="26AEEC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мая (13 июня) 1917-го Макаров набрал высоту 1800 м и продемонстрировал подряд две "мертвые петли" на Анаде. Наблюдатели с земли отметили, что фигуры были выполнены чисто, без опрокидывания самолета. При осмотре на земле выяснилось, что регулировка коробки крыльев не изменилась, лишь немного ослабли тросовые расчалки, шедшие от крыльев к капоту двигателя. Акт, подтвердивший событие, подписали 22 присутствующих авиатора. В русской авиации это были первые "мертвые петли", выполненные на неманевренной машине, свидетельствовавшие о ее достаточном запасе прочности и надежности (9806).</w:t>
      </w:r>
    </w:p>
    <w:p w14:paraId="1FC2D7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E149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мая (1</w:t>
      </w:r>
      <w:r w:rsidR="00731D28" w:rsidRPr="002F2FDF">
        <w:rPr>
          <w:rFonts w:ascii="Times New Roman" w:hAnsi="Times New Roman" w:cs="Times New Roman"/>
          <w:color w:val="000000" w:themeColor="text1"/>
          <w:kern w:val="2"/>
          <w:sz w:val="16"/>
          <w:szCs w:val="16"/>
        </w:rPr>
        <w:t>3</w:t>
      </w:r>
      <w:r w:rsidRPr="002F2FDF">
        <w:rPr>
          <w:rFonts w:ascii="Times New Roman" w:hAnsi="Times New Roman" w:cs="Times New Roman"/>
          <w:color w:val="000000" w:themeColor="text1"/>
          <w:kern w:val="2"/>
          <w:sz w:val="16"/>
          <w:szCs w:val="16"/>
        </w:rPr>
        <w:t xml:space="preserve"> июня) 1917 русский военный летчик Макаров, набрав высоту 1800 м, устремил машину вниз и на высоте 1500 м сделал подряд две "мертвые петли". Наблюдавшие с земли летчики засвидетельствовали, что и вторая петля была сделана "вполне чисто". По осмотру самолета после полета выяснилось, что его регулировка нигде не нарушилась. Акт подписали 22 авиатора.</w:t>
      </w:r>
    </w:p>
    <w:p w14:paraId="2DD54C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Впервые в России фигуры высшего пилотажа были выполнены на непредназначенном для этого самолете.</w:t>
      </w:r>
    </w:p>
    <w:p w14:paraId="6ADAB5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Этот полет производился не для демонстрации летного мастерства пилота. У русских авиаторов очень большие нарекания вызывали отечественные самолеты производства одесского завода. Заводские конструкторы старательно учитывали и исправляли все недостатки своих машин в новых выпусках. Но даже после того, как машина была улучшена заводом и на нее установлен двигатель "Клерже", летчики по-прежнему с опаской пользовались ею. Например, в 4-м артиллерийском отряде Юго-Западного фронта за июнь 1917 г. шесть новых самолетов вышли из строя. И причины их поломок не всегда были до конца ясны; появилось подозрение, что летчики сознательно портят самолеты на земле, не доверяя им в воздухе.</w:t>
      </w:r>
    </w:p>
    <w:p w14:paraId="637D33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Чтобы рассеять недоверчивое отношение летного состава к машине, командир 11-го армейского авиационного отряда штабс-капитан Макаров решил выполнить на ней фигуры высшего пилотажа. Для этой цели был взят боевой самолет нормальной регулировки "Анатра-Д" с двигателем "Гном-Моносупап" мощностью 100 л. с. Вместо пассажира был пристегнут мешок с песком (11999).</w:t>
      </w:r>
    </w:p>
    <w:p w14:paraId="5534EC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5D58B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A2090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53CD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31 мая </w:t>
      </w:r>
      <w:r w:rsidR="00731D28" w:rsidRPr="002F2FDF">
        <w:rPr>
          <w:rFonts w:ascii="Times New Roman" w:hAnsi="Times New Roman" w:cs="Times New Roman"/>
          <w:color w:val="000000" w:themeColor="text1"/>
          <w:kern w:val="2"/>
          <w:sz w:val="16"/>
          <w:szCs w:val="16"/>
        </w:rPr>
        <w:t xml:space="preserve">(13 июня) </w:t>
      </w:r>
      <w:r w:rsidRPr="002F2FDF">
        <w:rPr>
          <w:rFonts w:ascii="Times New Roman" w:hAnsi="Times New Roman" w:cs="Times New Roman"/>
          <w:color w:val="000000" w:themeColor="text1"/>
          <w:kern w:val="2"/>
          <w:sz w:val="16"/>
          <w:szCs w:val="16"/>
        </w:rPr>
        <w:t>1917 Нижевский и Алехнович (в мае в 4-й отряд добрался второй "Илья Муромец" типа Е - V корабль (№ 266) штабс-капитана Алехновича) совершили совместный налёт на Гульчу, сбросив на склады и казармы неприятеля 18 пудов (293,5 кг) бомб. В одном из вылетов, 17 июня, V корабль был атакован двухмоторным бипланом, который был отогнан пулемётным огнем. В августе 1917 года 4-й отряд был переименован в 1-й (12041).</w:t>
      </w:r>
    </w:p>
    <w:p w14:paraId="1FFF62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82ACDC" w14:textId="77777777" w:rsidR="008A5E89" w:rsidRPr="002F2FDF" w:rsidRDefault="008A5E8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31 мая</w:t>
      </w:r>
      <w:r w:rsidRPr="002F2FDF">
        <w:rPr>
          <w:rFonts w:ascii="Times New Roman" w:hAnsi="Times New Roman" w:cs="Times New Roman"/>
          <w:color w:val="000000" w:themeColor="text1"/>
          <w:kern w:val="2"/>
          <w:sz w:val="16"/>
          <w:szCs w:val="16"/>
        </w:rPr>
        <w:t xml:space="preserve"> (13 июня) в 1917 году штабс-капитан Макаров на боевом самолете "Анатра-Д" сделал подряд две "мертвые петли". Это была первая фигура высшего пилотажа в истории русской авиации, сделанная на машине, предназначенной для корпусных авиаотрядов и не рассчитанной на высший пилотаж. Буквально перед этим лейтенант французской службы Pобино с механиком завода Иваном Омелиным, готовясь к авиационной неделе, решили сделать на самолете "Анатра-Д" (мотор Клерже") фигуры высшего пилотажа, эксперимент окончился катастрофой. Как видно из телеграммы в УВВФ от 17 июля 1917 г., летчик сделал "вслед за подъемом с земли рискованную горку, затем на высоте около 1500 метров после двукратного резкого переворачивания через левое крыло (по-видимому, неудавшаяся мертвая петля), выровняв самолет, стал под углом около 45° спускаться вниз с работающим мотором, развив таким образом огромную скорость. В момент резкого перехода на подъем вверх, по-видимому, для совершения мертвой петли, левая нижняя плоскость вследствие создавшихся сильных напряжении частей самолета (вертикальной перегрузки), вызванных указанными выше ненормальными обстоятельствами, сломалась. Самолет перешел в штопор носом вниз. Пилот и механик разбились насмерть". Можно предполагать, что причиной катастрофы была недостаточная прочность лонжеронов крыла (14908).</w:t>
      </w:r>
    </w:p>
    <w:p w14:paraId="672E4571" w14:textId="77777777" w:rsidR="008A5E89" w:rsidRPr="002F2FDF" w:rsidRDefault="008A5E89" w:rsidP="0083075A">
      <w:pPr>
        <w:spacing w:after="0" w:line="240" w:lineRule="auto"/>
        <w:jc w:val="both"/>
        <w:rPr>
          <w:rFonts w:ascii="Times New Roman" w:hAnsi="Times New Roman" w:cs="Times New Roman"/>
          <w:color w:val="000000" w:themeColor="text1"/>
          <w:kern w:val="2"/>
          <w:sz w:val="16"/>
          <w:szCs w:val="16"/>
        </w:rPr>
      </w:pPr>
    </w:p>
    <w:p w14:paraId="752AF1DD" w14:textId="77777777"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31 мая (13 июня)</w:t>
      </w:r>
      <w:r w:rsidRPr="002F2FDF">
        <w:rPr>
          <w:rFonts w:ascii="Times New Roman" w:hAnsi="Times New Roman" w:cs="Times New Roman"/>
          <w:color w:val="000000" w:themeColor="text1"/>
          <w:kern w:val="2"/>
          <w:sz w:val="16"/>
          <w:szCs w:val="16"/>
        </w:rPr>
        <w:t xml:space="preserve"> в 1917 году налет на Ригу германского бомбардировщика «DFW» «R-I». «DFW» «R-I» - цельнодеревянного трехстоечного биплана. Фюзеляж обшит фанерой, крылья и оперение -полотном. Экипаж - 5 человек: штурман-бомбардир, он же носовой стрелок, два пилота, механик-моторист и хвостовой стрелок. Два тянущих винта располагались у передней кромки верхнего крыла, а два толкающих - у задней кромки нижнего. Ранней весной 1917-го «DFW» «R-I» прибыл на русско-германский фронт, но вскоре, так и не сделав ни одного вылета, был отправлен на фирму для доработки трансмиссии. В начале лета он вновь появился на восточном фронте и 13 июня совершил с аэродрома «Альт-Ауц» налет на Ригу, сбросив 680 кг бомб. Во время второго боевого вылета на самолете один за другим отказали два двигателя. При вынужденной посадке «DFW» угодил колесами в траншею и развалился на куски (14921).</w:t>
      </w:r>
    </w:p>
    <w:p w14:paraId="0B8DA81F" w14:textId="77777777"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p>
    <w:p w14:paraId="5477520D" w14:textId="77777777" w:rsidR="0061211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0939DAF" w14:textId="77777777" w:rsidR="00612111" w:rsidRPr="002F2FDF" w:rsidRDefault="0061211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14F7B3" w14:textId="77777777" w:rsidR="00612111" w:rsidRPr="002F2FDF" w:rsidRDefault="00612111" w:rsidP="0083075A">
      <w:pPr>
        <w:pStyle w:val="ae"/>
        <w:spacing w:before="0" w:after="0"/>
        <w:jc w:val="both"/>
        <w:rPr>
          <w:color w:val="000000" w:themeColor="text1"/>
          <w:kern w:val="2"/>
          <w:sz w:val="16"/>
          <w:szCs w:val="16"/>
        </w:rPr>
      </w:pPr>
      <w:r w:rsidRPr="002F2FDF">
        <w:rPr>
          <w:color w:val="000000" w:themeColor="text1"/>
          <w:kern w:val="2"/>
          <w:sz w:val="16"/>
          <w:szCs w:val="16"/>
        </w:rPr>
        <w:t>31 мая (13 июня) 1917 в Петрограде завершил работу съезд солдат-сионистов, выразивший поддержку демократическому выбору народов России и доверие военному министру Александру Керенскому (17045).</w:t>
      </w:r>
    </w:p>
    <w:p w14:paraId="516F5F8D" w14:textId="77777777" w:rsidR="00612111" w:rsidRPr="002F2FDF" w:rsidRDefault="0061211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B17B2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BCDE2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6A735C" w14:textId="77777777" w:rsidR="00C96D3D" w:rsidRPr="002F2FDF" w:rsidRDefault="00C96D3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31 мая (13 июня) 1917 г. самолет DFW R I E-7 совершил свой первый боевой вылет, сбросив согласно донесению экипажа 680 кг бомб на российский город в Прибалтике, который назывался на немецких картах того времени Schlok – увы, его нынешнее название установить не удалось. В немецкой литературе указывается, что акция была ответом на русскую бомбардировку какого-то немецкого города, однако корабли «Илья Муромец» из ЭВК накануне этого дня налетов на населенные пункты или железнодорожные станции на Северо-западном фронте, судя по известным автору источникам, не совершали, и легкие самолеты работали только по целям на линии фронта.</w:t>
      </w:r>
    </w:p>
    <w:p w14:paraId="2DD84D1D" w14:textId="0B64725A" w:rsidR="00C96D3D" w:rsidRPr="002F2FDF" w:rsidRDefault="00C96D3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Далее почти два месяца самолет снова простоял в ремонте, и во втором боевом вылете в сентябре 1917 г. с ним произошла неприятность – вскоре после взлета отказал один мотор. Командир экипажа начал разворачивать машину на обратный курс, но бомбы не сбросил, хотя внизу был просто лес. В это время сломалась трансмиссия еще одного мотора, на двух самолет высоту не держал, а попытка сесть на свободный от деревьев артиллерийский полигон закончилась попаданием колес в траншею. От удара верхнее крыло сложилось, расходный бак в нем лопнул, залив мотоотсек. Экипаж успел выбежать до того, как начался пожар, но за ним последовал взрыв несброшенных бомб, который вызвал детонацию основных баков с разлетом мелких горящих обломков. Один из них и настиг механика, куртка которого была вся в бензине.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Фирма DFW в то время достраивала еще два таких же самолета, один из которых был почти готов, но Инспекция ВВС теперь не хотела их принимать. Но </w:t>
      </w:r>
      <w:r w:rsidRPr="002F2FDF">
        <w:rPr>
          <w:rFonts w:ascii="Times New Roman" w:hAnsi="Times New Roman" w:cs="Times New Roman"/>
          <w:color w:val="000000" w:themeColor="text1"/>
          <w:sz w:val="16"/>
          <w:szCs w:val="16"/>
        </w:rPr>
        <w:lastRenderedPageBreak/>
        <w:t>и порывать полностью отношения с «Дойче Флюгцойгверке» она не собиралась, и просто дала новый заказ, потребовав не только устранить выявленные на первой машине дефекты и улучшить слишком уж слабые летные данные, но и перейти от единичного выпуска «гигантских» бомбардировщиков к серийному (23077).</w:t>
      </w:r>
    </w:p>
    <w:p w14:paraId="5E133051" w14:textId="77777777" w:rsidR="00C96D3D" w:rsidRPr="002F2FDF" w:rsidRDefault="00C96D3D" w:rsidP="0083075A">
      <w:pPr>
        <w:spacing w:after="0" w:line="240" w:lineRule="auto"/>
        <w:jc w:val="both"/>
        <w:rPr>
          <w:rFonts w:ascii="Times New Roman" w:hAnsi="Times New Roman" w:cs="Times New Roman"/>
          <w:color w:val="000000" w:themeColor="text1"/>
          <w:sz w:val="16"/>
          <w:szCs w:val="16"/>
        </w:rPr>
      </w:pPr>
    </w:p>
    <w:p w14:paraId="21318B03" w14:textId="7FE94E34" w:rsidR="00C96D3D" w:rsidRPr="002F2FDF" w:rsidRDefault="00C96D3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31 мая (13 июня) 1917 г. самолет Сопвич «Долфин» (Dolphin 5F.1 был направлен на эксплуатационные испытания на а/д Сент-Омер (St. Omer, Па-де-Кале, север Франции). Их в основном провел летчик-перегонщик Г. Тизард (Henry T. Tizard), в будущем – известный английский пилот, но тогда еще не имевший ни боевого, ни даже значительного летного опыта – он перевелся в RFC из пехоты в 1915 г. и самостоятельно летал лишь около года. Его оценка самолета также была хорошей. Облет самолета выполнили также летчики 56-й АЭ RFC – тогда еще недавно сформированной, но укомплектованной уже опытными пилотами и в будущем она станет одной из лучших истребительных АЭ RFC / RAF.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На испытаниях было выявлено, что: обзор из кабины вперед и вверх лучше, чем на всех других английских истребителях с тянущим мотором, назад – такой же, но вниз и в стороны недостаточный; двигатель и системы работают надежно; руление по аэродрому удобно; устойчивость и управляемость самолета нормальные за исключением канала курса; по скорости самолет превосходит опытный легкий одноместный истребитель Sopwith Camel (F.1), летные испытания которого начались в декабре 1916 г. и с мая 1917 г. шли поставки в части RNAS, самолету RAF S.E.5 у земли значительно уступает, но с подъемом на высоту его превосходство быстро уменьшается; по горизонтальной маневренности на установившихся виражах самолет уступает легкому истребителю Sopwith Camel (F.1), но превосходит мощный истребитель RAF S.E.5, летные испытания которого начались в ноябре 1916 г. и с марта шли его поставки для RFC; самолет имеет низкую нагрузку на мощность (порядка в 1,5 раза меньше, чем у Sopwith Camel (F.1) и RAF S.E.5), что дает скороподъемность на уровне S.E.5 и лишь незначительно ниже лучших экземпляров серийных самолетов Camel; плохое соотношение мощности к площади крыльев не позволяет достичь хороших разгонных качеств (23128).</w:t>
      </w:r>
    </w:p>
    <w:p w14:paraId="04AEC809" w14:textId="77777777" w:rsidR="00C96D3D" w:rsidRPr="002F2FDF" w:rsidRDefault="00C96D3D" w:rsidP="0083075A">
      <w:pPr>
        <w:spacing w:after="0" w:line="240" w:lineRule="auto"/>
        <w:jc w:val="both"/>
        <w:rPr>
          <w:rFonts w:ascii="Times New Roman" w:hAnsi="Times New Roman" w:cs="Times New Roman"/>
          <w:color w:val="000000" w:themeColor="text1"/>
          <w:sz w:val="16"/>
          <w:szCs w:val="16"/>
        </w:rPr>
      </w:pPr>
    </w:p>
    <w:p w14:paraId="747835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мая (13 июня) 1917 17 немецких бомбардировщиков появились днем над Лондоном. Сбросили на доки 4400 кг и одна попала в лихтер, перевозивший взрывчатку (1804,5).</w:t>
      </w:r>
    </w:p>
    <w:p w14:paraId="42B0FA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73DA7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мая (13 июня) 1917 немцы впервые сбросили на Англию бомбы не с дирижаблей, а с самолетов (4962).</w:t>
      </w:r>
    </w:p>
    <w:p w14:paraId="6990185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027B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мая (13 июня) 1917 года в полдень над Лондоном появились 17 германскихсамолетов “G”, которые сбросили на портовые сооружения и доки этого столь важного для военной промышленности Антанты города до 4400 кг бомб. Это была 3-я боевая эскадра, которая под уверенным командованием полковника Бранденбурга тщательно готовилась к выполнению этой столь грандиозной задачи, с бесконечной терпеливостью выжидая благоприятного момента. Первая треть июня в районе Канала была очень дождливой и особенно неблагоприятной для дальних экспедиций. 11 июня метеоролог-консультант обратил внимание командира бомбардировочной эскадры на предстоящее улучшение погоды. В связи с этим налет на Лондон был назначен на 13 июня. Метеорологи рекомендовали придерживаться в полете небольших высот, на пути к неприятелю пользоваться восточным ветром, возвращаясь на базу, использовать западный ветер на высоте свыше 4000 метров, и прогнозировали в случае выполнения этих указаний сокращение времени всей операции до 4 часов; кроме того, они обращали внимание летчиков на то, что вылететь следовало не позже 10 часов утра, дабы не быть застигнутыми грозой после полудня. Боевая операция, проведенная блестяще и без потерь эскадрой, вернувшейся на базу через 4,5 часа после вылета и за полтора часа до сильной грозы с градом, красноречиво показывает, сколь важное значение зачастую имели удачные советы метеорологической службы. Полковник Бранденбург в своем донесении о налете говорит: “R” эскадры неподалеку от цели хорошо удался вследствие сильно замедленного полета (на малом газу) головных ведущих самолетов. Уже пролетая над Зеебрюгге, эскадра шла сомкнутым строем, а на половине пути от Зеебрюгге к Маргету оказалась над слоем облаков, видимо, далеко уходившим на запад. Через окно в облаках вскоре был идентифицирован южный берег устья Темзы между Маргетом и Ширнесом. Вскоре облака поредели, в них образовались многочисленные разрывы, а затем на небе и вовсе ничего от них не осталось, если не считать нескольких удлиненных кучевых облаков. У Соусенда эскадра попала под обстрел зенитными батареями. Снаряды в большинстве случаев разрывались слишком высоко. Англичане, видимо, переоценивали высоту, на которой летела эскадра. До Лондона добрались все 17 самолетов. Видимость над Лондоном была исключительно хорошая. С полной определенностью можно было узнать мосты через Темзу, вокзалы, Сити и даже Английский банк. Зенитный огонь над Лондоном был не особенно силен и плохо пристрелян. Тем временем значительное количество неприятельских истребительных самолетов достигло приблизительно высоты эскадры. Всего мы насчитали 16 неприятельских самолетов, все они летели поодиночке. Общее число поднявшихся в небо неприятельских самолетов можно считать равным не менее 30-ти. Неустанно атаковал нас только один из них. Беспрестанно маневрируя, но двигаясь в целом по кругу, все наши самолеты постепенно избавились от бомбового груза. Из донесений наблюдателей следует, что часть бомб угодила в Сити и в один из мостов через Темзу, по-видимому, Тауэрбридж. Что касается остальных бомб, большинство из них накрыло доки и пакгаузы Сити. Разрушения были, надо полагать, очень сильными. После бомбометания эскадра вновь сомкнулась, облегченные машины высоко поднялись, так что неприятельские самолеты у побережья отказались от преследования. Все самолеты благополучно приземлились на свой аэродром” (11282).</w:t>
      </w:r>
    </w:p>
    <w:p w14:paraId="724F6C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1261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мая (13 июня) 1917 последовал планировавшийся целый месяц воздушный удар по Лондону, в котором приняли участие 22 самолета "Гота" G.II; 14 из них добрались до британской столицы. Немецкие бомбардировщики впервые атаковали Лондон днем (около 12 часов дня) и с высоты около 3,5 тыс. м сбросили более 100 бомб общим весом 4300 кг. Это было тяжелейшее нападение Первой мировой. Потери гражданского населения Лондона составили 594 человека, из которых 162 погибло. В одной части города началась паника, когда подробности этого воздушного удара стали известны. В городской школе во время налета было убито 15 школьников. Английская общественность приложила энергичные усилия к воздушной обороне и нанесению ударов возмездия по Германии.</w:t>
      </w:r>
    </w:p>
    <w:p w14:paraId="183C7E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Это был первый групповой налет германской авиации на британскую столицу. Все самолеты успешно вернулись на свою базу в Остенде. </w:t>
      </w:r>
    </w:p>
    <w:p w14:paraId="63DE40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этого момента началась массовая эвакуация детей из Лондона (11999).</w:t>
      </w:r>
    </w:p>
    <w:p w14:paraId="60540E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B65327" w14:textId="77777777" w:rsidR="00FB7462" w:rsidRPr="002F2FDF" w:rsidRDefault="00FB746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31 мая (13 июня) 1917 состоялся третий рейд немецкой операции Türkenkreuz и первые достиг Лондона. Днем 14 немецких бомбардировщиков Gotha G.IV бомбят Лондон, а еще семь атакуют небольшие городки в Кенте и Эссексе Это самый смертоносный и самый разрушительный воздушный налет на Соединенное Королевство мировой войны. В ходе дневной атаки сброшено 118 бомб, убивая 162 человек - в том числе более 18 детей, убитых в одной бомбы , которая попадает в детсад и ранив 432. Общее количество пострадавших больше, чем от всех атак немецких дирижаблей на Соединенное Королевство, вместе взятых до того времени. Хотя 92 британских самолета взлетали, чтобы перехватить налет, все немецкие бомбардировщики благополучно возвращаются на базу (20341).</w:t>
      </w:r>
    </w:p>
    <w:p w14:paraId="7BA0EC8F" w14:textId="77777777" w:rsidR="00FB7462" w:rsidRPr="002F2FDF" w:rsidRDefault="00FB7462" w:rsidP="0083075A">
      <w:pPr>
        <w:spacing w:after="0" w:line="240" w:lineRule="auto"/>
        <w:jc w:val="both"/>
        <w:rPr>
          <w:rFonts w:ascii="Times New Roman" w:hAnsi="Times New Roman" w:cs="Times New Roman"/>
          <w:color w:val="000000" w:themeColor="text1"/>
          <w:sz w:val="16"/>
          <w:szCs w:val="16"/>
        </w:rPr>
      </w:pPr>
    </w:p>
    <w:p w14:paraId="13CF4EF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мая (13 июня) 1917 при взрыве арсенала в Эштоне (Англия) погиб 41 человек (4962).</w:t>
      </w:r>
    </w:p>
    <w:p w14:paraId="1315DBF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A3371E" w14:textId="77777777"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31 мая (13 июня)</w:t>
      </w:r>
      <w:r w:rsidRPr="002F2FDF">
        <w:rPr>
          <w:rFonts w:ascii="Times New Roman" w:hAnsi="Times New Roman" w:cs="Times New Roman"/>
          <w:color w:val="000000" w:themeColor="text1"/>
          <w:kern w:val="2"/>
          <w:sz w:val="16"/>
          <w:szCs w:val="16"/>
        </w:rPr>
        <w:t xml:space="preserve"> в 1917 году в полдень, впервые в истории на Лондон сбросили бомбы 22 бомбардировщика «G. IV»: пострадало 594 мирных жителя, 162 были убиты (14921).</w:t>
      </w:r>
    </w:p>
    <w:p w14:paraId="388644D4" w14:textId="77777777"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p>
    <w:p w14:paraId="120B451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мая (13 июня) 1917 из-за взрыва на французской фабрике “Рено” погибли 32 рабочих (4962).</w:t>
      </w:r>
    </w:p>
    <w:p w14:paraId="5565850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AD2DF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8C84C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E9279E" w14:textId="77777777" w:rsidR="00923329" w:rsidRPr="002F2FDF" w:rsidRDefault="0092332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конце мая 1917 г., согласно Отчета Технического комитета Управления воздушным флотом по исследованию технических характеристик аэроплана «Илья Муромец» опытного типа Г, были получены оценочные характеристики этой модификации В отчете указывалось, что, в сравнении с аэропланами Фарман-30 и Анатра-Д, те в два раза прочнее «Муромца» тип Г. Резкие маневры для гиганта были признаны опасными, лобовое сопротивление велико, нервюры под двигателями слабы, расположение баков неудачно, требовалось усиление ферм и растяжек и т.д. и т.п. Следует соответствующий вывод — «Дальнейших заказов этого типа делать не следует. В случае необходимости лучше выработать новый тип, чем заниматься улучшениями «Ильи Муромца».</w:t>
      </w:r>
    </w:p>
    <w:p w14:paraId="2BA1AF2B" w14:textId="77777777" w:rsidR="00923329" w:rsidRPr="002F2FDF" w:rsidRDefault="0092332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заводе в это время переделывают из Г-1 в Г-2, из Г-2 в Г-3. Комиссия, отклонив расчеты Сикорского о достаточной надежности конструкции самолета, признала необходимость усиления конструкции и внесения целого ряда улучшений. На завод и на фронт были направлены новые циркуляры о переделка (23010).</w:t>
      </w:r>
    </w:p>
    <w:p w14:paraId="74C9DC22" w14:textId="77777777" w:rsidR="00923329" w:rsidRPr="002F2FDF" w:rsidRDefault="00923329" w:rsidP="0083075A">
      <w:pPr>
        <w:spacing w:after="0" w:line="240" w:lineRule="auto"/>
        <w:jc w:val="both"/>
        <w:rPr>
          <w:rFonts w:ascii="Times New Roman" w:hAnsi="Times New Roman" w:cs="Times New Roman"/>
          <w:color w:val="000000" w:themeColor="text1"/>
          <w:sz w:val="16"/>
          <w:szCs w:val="16"/>
        </w:rPr>
      </w:pPr>
    </w:p>
    <w:p w14:paraId="772E44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мая 1917 года завод Моска сдал только 25 машин. Для выполнения намеченных работ пришлось расширить и дооборудовать завод. Так, на Красной Пресне появился филиал, удвоивший производственные площади предприятия. Работы велись таким образом, чтобы в 1917 году довести регулярный месячный выпуск до 30—35 самолетов. Однако максимум, которого удалось достичь, составлял лишь 15 самолетов в месяц. С наибольшими затруднениями шло выполнение заказа по постройке истребителей «Моска-Б бис». Хозяин завода обращался в Военное ведомство с просьбой отсрочить выполнение заказа и снизить выпуск самолетов до 10 единиц в месяц по причинам подорожания «сырых материалов и рабочих рук» (шла большая война), недостатка оборотных средств, трудностей в получении банковских кредитов на то, что сырье и материалы, заказанные много месяцев назад, до сих пор не получены. Имущество завода «Моска» находилось под залогом Управления военно-воздушного флота, поскольку за полученную заводом ссуду в счет выполнения заказов требовалось определенное обеспечение. Банки и частные лица отказывались финансировать небольшое предприятие «приезжего итальяшки», вследствие чего его трудности с выполнением заказов только увеличивались.</w:t>
      </w:r>
    </w:p>
    <w:p w14:paraId="450A66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таких условиях завод «Моска» не смог выполнить своих обязательств. Общее число истребителей, построенных и принятых в казну, составляло только 20—25% плана. В чужой стране итальянец оказался недостаточно энергичным, чтобы успешно бороться с местным бюрократическим аппаратом. Кроме того, в немалой степени его делу мешали рутинные представления многих чинов как в Военном ведомстве, так и в деловых кругах России, которые более предпочтительно относились к аэропланам, созданным в Европе, нежели к отечественным.</w:t>
      </w:r>
    </w:p>
    <w:p w14:paraId="3B1CF3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начала 1918 года было построено чуть больше полусотни истребителей «МБ-бис». После отъезда Франческо Эвджисто Моски на родину завод выпустил еще несколько экземпляров этого самолета из условий запаса двигателей, которые оставались на заводских складах. Судьба Н. И. Быстрицкого не известна. Законченные в постройке самолеты применялись Красной Армией для самых разнообразных целей.</w:t>
      </w:r>
    </w:p>
    <w:p w14:paraId="60B104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всех разновидностей самолетов семейства «МБ» наилучшими были образцы последних серий «МБ бис» с французскими моторами «Клерже» мощностью в110 л. с. За счет повышения энерговооруженности эти машины имели летно-тактические характеристики более высокие, чем у зарубежных истребителей.</w:t>
      </w:r>
    </w:p>
    <w:p w14:paraId="01FD51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Интересной в практике завода «Моска» была такая эпизодическая работа. Инженер-механик В. С. Кулебакин предложил довольно простой отсекатель для пуль при стрельбе из пулемета, установленного над мотором в горизонтальном положении. Его разработали на основной территории завода для самолета «МБ-бис». Специальные полукруглые кулачки (так называемые «Солдатики»), связанные с валом мотора, показывались из-под капота в момент прохода лопасти пропеллера через траекторию полета пули, предохраняя винт от повреждений при стрельбе. С 23 по 28 июля 1917 года отсекатель системы Кулебакина был испытан на Ходынском стрельбище. В отчете было отмечено: «при стрельбе... винт и аппарат никаких повреждений от осколков и брызг пуль не имели. Отсекатель работал безупречно». В ходе испытаний в полете после 220 выстрелов ни винт, ни самолет, ни пилот не пострадали. Только 10-12% пуль попали в кулачки. Приспособление прапорщика Кулебакина не увеличивало лобовое сопротивление самолета. Пулемет, механически не связанный с отсекателем, работал непрерывно и равномерно независимо от оборотов мотора. Вес отсекателя вместе с передачей и узлами установки не превышал 5 кг. Расход мощности на его привод был ничтожным. Установка не требовала изменений и переделок мотора, самолета и пулемета, не влекла за собой применения специальных винтов и могла быть осуществлена силами аэродромных служб в отрядах и частях. К сожалению, это изобретение не применялось и кануло в ленту на фоне исторических событий 1917 года... (11918).</w:t>
      </w:r>
    </w:p>
    <w:p w14:paraId="6E1E7A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4FDD46" w14:textId="201F7188" w:rsidR="008A5E89" w:rsidRPr="002F2FDF" w:rsidRDefault="008A5E89" w:rsidP="0083075A">
      <w:pPr>
        <w:shd w:val="clear" w:color="auto" w:fill="FFFFFF"/>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концу мая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завод Моска сдал лишь 25 аэропланов Моска-МБсис. По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распоряжению УВВФ «первые десять самолетов Моска бис без пулеметных установок назначены военным авиашколам. Что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же касается остальных самолетов означенной системы, то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таковые будут поставлены пулеметные установки Виккерса, все части которых уже отданы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работу…" Выпуск МБбис шел очень тяжело,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Моска стал просить у</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заказчика отсрочки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уменьшить месячный план по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сдаче до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10 машин. Он</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мотивировал просьбу срывом сроков поставок ранее заказанного сырья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материалов, бешеным ростом цен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«сырые материалы», «вздорожанием рабочих рук»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их</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нехваткой, недостатком оборотных средств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большими трудностями с</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получением банковских кредитов. Субсидии военного ведомства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50 тыс. рублей, выданной ему после удачных испытаний, было явно недостаточно. Все имущество завода «Моска» находилось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залоге у</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УВВФ, поскольку банки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частные лица выдавали ссуды только под определенное государственное обеспечение.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первую очередь это касалось мелких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неокрепших предприятий, создавая им</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дополнительные трудности с</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выполнением военных заказов.(6)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 казну от</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завода успели принять не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более 20—25% от</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общего заказа. Надежд военного ведомства итальянец не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оправдал (впрочем, он</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оказался далеко не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единственным). Всего до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отъезда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родину после октября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Ф. Э.Моска построил около 50 истребителей «Моска-МБбис», летавших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фронте. Применялись они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время гражданской войны. Несколько таких самолетов построили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заводе «Моска» уже после 1918</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(15219).</w:t>
      </w:r>
    </w:p>
    <w:p w14:paraId="6CE88870" w14:textId="77777777" w:rsidR="008A5E89" w:rsidRPr="002F2FDF" w:rsidRDefault="008A5E89"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2FC731D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7D0CA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01A4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мая 1917 группа 1 БАГ продолжала ин</w:t>
      </w:r>
      <w:r w:rsidRPr="002F2FDF">
        <w:rPr>
          <w:rFonts w:ascii="Times New Roman" w:hAnsi="Times New Roman" w:cs="Times New Roman"/>
          <w:color w:val="000000" w:themeColor="text1"/>
          <w:kern w:val="2"/>
          <w:sz w:val="16"/>
          <w:szCs w:val="16"/>
        </w:rPr>
        <w:softHyphen/>
        <w:t>тенсивную боевую работу, делая по 13-20 вылетов в день. Противник ста</w:t>
      </w:r>
      <w:r w:rsidRPr="002F2FDF">
        <w:rPr>
          <w:rFonts w:ascii="Times New Roman" w:hAnsi="Times New Roman" w:cs="Times New Roman"/>
          <w:color w:val="000000" w:themeColor="text1"/>
          <w:kern w:val="2"/>
          <w:sz w:val="16"/>
          <w:szCs w:val="16"/>
        </w:rPr>
        <w:softHyphen/>
        <w:t>рался избегать воздушных боев, сни</w:t>
      </w:r>
      <w:r w:rsidRPr="002F2FDF">
        <w:rPr>
          <w:rFonts w:ascii="Times New Roman" w:hAnsi="Times New Roman" w:cs="Times New Roman"/>
          <w:color w:val="000000" w:themeColor="text1"/>
          <w:kern w:val="2"/>
          <w:sz w:val="16"/>
          <w:szCs w:val="16"/>
        </w:rPr>
        <w:softHyphen/>
        <w:t>жаясь при приближении наших истребителей за линию окопов и уходя в свое расположение (3954).</w:t>
      </w:r>
    </w:p>
    <w:p w14:paraId="0A0F62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49E4B7" w14:textId="77777777" w:rsidR="00E2230B" w:rsidRPr="002F2FDF" w:rsidRDefault="00E2230B" w:rsidP="0083075A">
      <w:pPr>
        <w:pStyle w:val="ae"/>
        <w:spacing w:before="0" w:after="0"/>
        <w:jc w:val="both"/>
        <w:rPr>
          <w:color w:val="000000" w:themeColor="text1"/>
          <w:kern w:val="2"/>
          <w:sz w:val="16"/>
          <w:szCs w:val="16"/>
        </w:rPr>
      </w:pPr>
      <w:r w:rsidRPr="002F2FDF">
        <w:rPr>
          <w:color w:val="000000" w:themeColor="text1"/>
          <w:kern w:val="2"/>
          <w:sz w:val="16"/>
          <w:szCs w:val="16"/>
        </w:rPr>
        <w:t>В конце мая 1917 года Временное правительство России начало подготовку к крупному наступлению, запланированному на лето по согласованию с союзниками по Антанте. Военный министр Керенский отправился на фронт, агитируя солдат и офицеров, кроме того, была опубликована «Декларация прав солдата». Однако эффект от этого документа оказался прямо противоположным — солдаты начали открыто говорить о прекращении войны. На Западном фронте вновь установилось затишье, а на итальянском была проведена одна из первых массированных авиационных бомбардировок (17045).</w:t>
      </w:r>
    </w:p>
    <w:p w14:paraId="2CD7EDBD" w14:textId="77777777" w:rsidR="00E2230B" w:rsidRPr="002F2FDF" w:rsidRDefault="00E2230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9910B1" w14:textId="77777777" w:rsidR="00923329" w:rsidRPr="002F2FDF" w:rsidRDefault="0092332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конце мая 1917 г. в Петрограде состоялся Первый Всероссийский съезд военных-поля</w:t>
      </w:r>
      <w:r w:rsidRPr="002F2FDF">
        <w:rPr>
          <w:rFonts w:ascii="Times New Roman" w:hAnsi="Times New Roman" w:cs="Times New Roman"/>
          <w:color w:val="000000" w:themeColor="text1"/>
          <w:sz w:val="16"/>
          <w:szCs w:val="16"/>
        </w:rPr>
        <w:softHyphen/>
        <w:t>ков, принявший резолюцию о необходимости выделения поляков из русской армии и созда</w:t>
      </w:r>
      <w:r w:rsidRPr="002F2FDF">
        <w:rPr>
          <w:rFonts w:ascii="Times New Roman" w:hAnsi="Times New Roman" w:cs="Times New Roman"/>
          <w:color w:val="000000" w:themeColor="text1"/>
          <w:sz w:val="16"/>
          <w:szCs w:val="16"/>
        </w:rPr>
        <w:softHyphen/>
        <w:t>ния польской вооруженной силы, не вмешива</w:t>
      </w:r>
      <w:r w:rsidRPr="002F2FDF">
        <w:rPr>
          <w:rFonts w:ascii="Times New Roman" w:hAnsi="Times New Roman" w:cs="Times New Roman"/>
          <w:color w:val="000000" w:themeColor="text1"/>
          <w:sz w:val="16"/>
          <w:szCs w:val="16"/>
        </w:rPr>
        <w:softHyphen/>
        <w:t>ющейся в русские внутренние дела и зависимой от русского верховного командования только в стратегическом отношении. Для практического осуществления решений съезда делегаты избра</w:t>
      </w:r>
      <w:r w:rsidRPr="002F2FDF">
        <w:rPr>
          <w:rFonts w:ascii="Times New Roman" w:hAnsi="Times New Roman" w:cs="Times New Roman"/>
          <w:color w:val="000000" w:themeColor="text1"/>
          <w:sz w:val="16"/>
          <w:szCs w:val="16"/>
        </w:rPr>
        <w:softHyphen/>
        <w:t>ли исполнительный орган — Верховный поль</w:t>
      </w:r>
      <w:r w:rsidRPr="002F2FDF">
        <w:rPr>
          <w:rFonts w:ascii="Times New Roman" w:hAnsi="Times New Roman" w:cs="Times New Roman"/>
          <w:color w:val="000000" w:themeColor="text1"/>
          <w:sz w:val="16"/>
          <w:szCs w:val="16"/>
        </w:rPr>
        <w:softHyphen/>
        <w:t>ский военный комитет48 (20120).</w:t>
      </w:r>
    </w:p>
    <w:p w14:paraId="0922171E" w14:textId="77777777" w:rsidR="00923329" w:rsidRPr="002F2FDF" w:rsidRDefault="00923329" w:rsidP="0083075A">
      <w:pPr>
        <w:spacing w:after="0" w:line="240" w:lineRule="auto"/>
        <w:jc w:val="both"/>
        <w:rPr>
          <w:rFonts w:ascii="Times New Roman" w:hAnsi="Times New Roman" w:cs="Times New Roman"/>
          <w:color w:val="000000" w:themeColor="text1"/>
          <w:sz w:val="16"/>
          <w:szCs w:val="16"/>
        </w:rPr>
      </w:pPr>
    </w:p>
    <w:p w14:paraId="7BDD91F1" w14:textId="77777777" w:rsidR="00923329" w:rsidRPr="002F2FDF" w:rsidRDefault="0092332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конце мая 1917 г. в Петрограде состоялся Первый Всероссийский съезд военных-поля</w:t>
      </w:r>
      <w:r w:rsidRPr="002F2FDF">
        <w:rPr>
          <w:rFonts w:ascii="Times New Roman" w:hAnsi="Times New Roman" w:cs="Times New Roman"/>
          <w:color w:val="000000" w:themeColor="text1"/>
          <w:sz w:val="16"/>
          <w:szCs w:val="16"/>
        </w:rPr>
        <w:softHyphen/>
        <w:t>ков, принявший резолюцию о необходимости выделения поляков из русской армии и созда</w:t>
      </w:r>
      <w:r w:rsidRPr="002F2FDF">
        <w:rPr>
          <w:rFonts w:ascii="Times New Roman" w:hAnsi="Times New Roman" w:cs="Times New Roman"/>
          <w:color w:val="000000" w:themeColor="text1"/>
          <w:sz w:val="16"/>
          <w:szCs w:val="16"/>
        </w:rPr>
        <w:softHyphen/>
        <w:t>ния польской вооруженной силы, не вмешива</w:t>
      </w:r>
      <w:r w:rsidRPr="002F2FDF">
        <w:rPr>
          <w:rFonts w:ascii="Times New Roman" w:hAnsi="Times New Roman" w:cs="Times New Roman"/>
          <w:color w:val="000000" w:themeColor="text1"/>
          <w:sz w:val="16"/>
          <w:szCs w:val="16"/>
        </w:rPr>
        <w:softHyphen/>
        <w:t>ющейся в русские внутренние дела и зависимой от русского верховного командования только в стратегическом отношении. Для практического осуществления решений съезда делегаты избра</w:t>
      </w:r>
      <w:r w:rsidRPr="002F2FDF">
        <w:rPr>
          <w:rFonts w:ascii="Times New Roman" w:hAnsi="Times New Roman" w:cs="Times New Roman"/>
          <w:color w:val="000000" w:themeColor="text1"/>
          <w:sz w:val="16"/>
          <w:szCs w:val="16"/>
        </w:rPr>
        <w:softHyphen/>
        <w:t>ли исполнительный орган — Верховный поль</w:t>
      </w:r>
      <w:r w:rsidRPr="002F2FDF">
        <w:rPr>
          <w:rFonts w:ascii="Times New Roman" w:hAnsi="Times New Roman" w:cs="Times New Roman"/>
          <w:color w:val="000000" w:themeColor="text1"/>
          <w:sz w:val="16"/>
          <w:szCs w:val="16"/>
        </w:rPr>
        <w:softHyphen/>
        <w:t>ский военный комитет48.</w:t>
      </w:r>
    </w:p>
    <w:p w14:paraId="7E34C5A8" w14:textId="77777777" w:rsidR="00923329" w:rsidRPr="002F2FDF" w:rsidRDefault="0092332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При поддержке союзников Верховный поль</w:t>
      </w:r>
      <w:r w:rsidRPr="002F2FDF">
        <w:rPr>
          <w:rFonts w:ascii="Times New Roman" w:hAnsi="Times New Roman" w:cs="Times New Roman"/>
          <w:color w:val="000000" w:themeColor="text1"/>
          <w:sz w:val="16"/>
          <w:szCs w:val="16"/>
        </w:rPr>
        <w:softHyphen/>
        <w:t>ский военный комитет добился от Временно</w:t>
      </w:r>
      <w:r w:rsidRPr="002F2FDF">
        <w:rPr>
          <w:rFonts w:ascii="Times New Roman" w:hAnsi="Times New Roman" w:cs="Times New Roman"/>
          <w:color w:val="000000" w:themeColor="text1"/>
          <w:sz w:val="16"/>
          <w:szCs w:val="16"/>
        </w:rPr>
        <w:softHyphen/>
        <w:t>го правительства разрешения сформировать в Белоруссии 1-й Польский корпус легионе</w:t>
      </w:r>
      <w:r w:rsidRPr="002F2FDF">
        <w:rPr>
          <w:rFonts w:ascii="Times New Roman" w:hAnsi="Times New Roman" w:cs="Times New Roman"/>
          <w:color w:val="000000" w:themeColor="text1"/>
          <w:sz w:val="16"/>
          <w:szCs w:val="16"/>
        </w:rPr>
        <w:softHyphen/>
        <w:t>ров, который с августа 1917 г. возглавил гене</w:t>
      </w:r>
      <w:r w:rsidRPr="002F2FDF">
        <w:rPr>
          <w:rFonts w:ascii="Times New Roman" w:hAnsi="Times New Roman" w:cs="Times New Roman"/>
          <w:color w:val="000000" w:themeColor="text1"/>
          <w:sz w:val="16"/>
          <w:szCs w:val="16"/>
        </w:rPr>
        <w:softHyphen/>
        <w:t>рал И.Р. Довбор-Мусницкий. Корпус состоял из трёх пехотных дивизий, конницы и тяжёлой ар</w:t>
      </w:r>
      <w:r w:rsidRPr="002F2FDF">
        <w:rPr>
          <w:rFonts w:ascii="Times New Roman" w:hAnsi="Times New Roman" w:cs="Times New Roman"/>
          <w:color w:val="000000" w:themeColor="text1"/>
          <w:sz w:val="16"/>
          <w:szCs w:val="16"/>
        </w:rPr>
        <w:softHyphen/>
        <w:t>тиллерии (всего до 25 000 человек). Ему предпо</w:t>
      </w:r>
      <w:r w:rsidRPr="002F2FDF">
        <w:rPr>
          <w:rFonts w:ascii="Times New Roman" w:hAnsi="Times New Roman" w:cs="Times New Roman"/>
          <w:color w:val="000000" w:themeColor="text1"/>
          <w:sz w:val="16"/>
          <w:szCs w:val="16"/>
        </w:rPr>
        <w:softHyphen/>
        <w:t>лагалось придать также воздухоплавательный отряд.</w:t>
      </w:r>
    </w:p>
    <w:p w14:paraId="498FA8A7" w14:textId="77777777" w:rsidR="00923329" w:rsidRPr="002F2FDF" w:rsidRDefault="0092332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9 ноября 1917 г. начальник штаба ВГК гене</w:t>
      </w:r>
      <w:r w:rsidRPr="002F2FDF">
        <w:rPr>
          <w:rFonts w:ascii="Times New Roman" w:hAnsi="Times New Roman" w:cs="Times New Roman"/>
          <w:color w:val="000000" w:themeColor="text1"/>
          <w:sz w:val="16"/>
          <w:szCs w:val="16"/>
        </w:rPr>
        <w:softHyphen/>
        <w:t>рал-лейтенант Н.Н. Духонин издал секретный приказ № 877 о переформировании 27-го армей</w:t>
      </w:r>
      <w:r w:rsidRPr="002F2FDF">
        <w:rPr>
          <w:rFonts w:ascii="Times New Roman" w:hAnsi="Times New Roman" w:cs="Times New Roman"/>
          <w:color w:val="000000" w:themeColor="text1"/>
          <w:sz w:val="16"/>
          <w:szCs w:val="16"/>
        </w:rPr>
        <w:softHyphen/>
        <w:t>ского воздухоплавательного отряда в 1-й Поль</w:t>
      </w:r>
      <w:r w:rsidRPr="002F2FDF">
        <w:rPr>
          <w:rFonts w:ascii="Times New Roman" w:hAnsi="Times New Roman" w:cs="Times New Roman"/>
          <w:color w:val="000000" w:themeColor="text1"/>
          <w:sz w:val="16"/>
          <w:szCs w:val="16"/>
        </w:rPr>
        <w:softHyphen/>
        <w:t>ский воздухоплавательный отряд, сохранив имущество, штаты и табели отряда. Соглас</w:t>
      </w:r>
      <w:r w:rsidRPr="002F2FDF">
        <w:rPr>
          <w:rFonts w:ascii="Times New Roman" w:hAnsi="Times New Roman" w:cs="Times New Roman"/>
          <w:color w:val="000000" w:themeColor="text1"/>
          <w:sz w:val="16"/>
          <w:szCs w:val="16"/>
        </w:rPr>
        <w:softHyphen/>
        <w:t>но этому приказу переформирование должно было проводиться распоряжением командира 1-го Польского корпуса. Начальник Полевого управления авиации и воздухоплавания распоря</w:t>
      </w:r>
      <w:r w:rsidRPr="002F2FDF">
        <w:rPr>
          <w:rFonts w:ascii="Times New Roman" w:hAnsi="Times New Roman" w:cs="Times New Roman"/>
          <w:color w:val="000000" w:themeColor="text1"/>
          <w:sz w:val="16"/>
          <w:szCs w:val="16"/>
        </w:rPr>
        <w:softHyphen/>
        <w:t>дился личным составом 27-го армейского возду</w:t>
      </w:r>
      <w:r w:rsidRPr="002F2FDF">
        <w:rPr>
          <w:rFonts w:ascii="Times New Roman" w:hAnsi="Times New Roman" w:cs="Times New Roman"/>
          <w:color w:val="000000" w:themeColor="text1"/>
          <w:sz w:val="16"/>
          <w:szCs w:val="16"/>
        </w:rPr>
        <w:softHyphen/>
        <w:t>хоплавательного отряда пополнить другие воз</w:t>
      </w:r>
      <w:r w:rsidRPr="002F2FDF">
        <w:rPr>
          <w:rFonts w:ascii="Times New Roman" w:hAnsi="Times New Roman" w:cs="Times New Roman"/>
          <w:color w:val="000000" w:themeColor="text1"/>
          <w:sz w:val="16"/>
          <w:szCs w:val="16"/>
        </w:rPr>
        <w:softHyphen/>
        <w:t>духоплавательные части, а 1-й Польский отряд укомплектовать солдатами-поляками Западного фронта. Однако это распоряжение встретило сопротивление со стороны солдат подлежаще</w:t>
      </w:r>
      <w:r w:rsidRPr="002F2FDF">
        <w:rPr>
          <w:rFonts w:ascii="Times New Roman" w:hAnsi="Times New Roman" w:cs="Times New Roman"/>
          <w:color w:val="000000" w:themeColor="text1"/>
          <w:sz w:val="16"/>
          <w:szCs w:val="16"/>
        </w:rPr>
        <w:softHyphen/>
        <w:t>го переформированию отряда. Общее собрание отряда приняло решение опротестовать приказ и объявить отряд украинским. Представитель Центральной Рады при штабе ВГК попросил на</w:t>
      </w:r>
      <w:r w:rsidRPr="002F2FDF">
        <w:rPr>
          <w:rFonts w:ascii="Times New Roman" w:hAnsi="Times New Roman" w:cs="Times New Roman"/>
          <w:color w:val="000000" w:themeColor="text1"/>
          <w:sz w:val="16"/>
          <w:szCs w:val="16"/>
        </w:rPr>
        <w:softHyphen/>
        <w:t>править 27-й армейский воздухоплавательный отряд в Киев. В этих условиях временно испол</w:t>
      </w:r>
      <w:r w:rsidRPr="002F2FDF">
        <w:rPr>
          <w:rFonts w:ascii="Times New Roman" w:hAnsi="Times New Roman" w:cs="Times New Roman"/>
          <w:color w:val="000000" w:themeColor="text1"/>
          <w:sz w:val="16"/>
          <w:szCs w:val="16"/>
        </w:rPr>
        <w:softHyphen/>
        <w:t>няющий должность начальника Полевого управ</w:t>
      </w:r>
      <w:r w:rsidRPr="002F2FDF">
        <w:rPr>
          <w:rFonts w:ascii="Times New Roman" w:hAnsi="Times New Roman" w:cs="Times New Roman"/>
          <w:color w:val="000000" w:themeColor="text1"/>
          <w:sz w:val="16"/>
          <w:szCs w:val="16"/>
        </w:rPr>
        <w:softHyphen/>
        <w:t>ления авиации и воздухоплавания В.Л. Нижев- ский предложил Н.Н. Духонину сформировать Польский отряд на базе имущества Западного воздухоплавательного парка (воздухоплаватель</w:t>
      </w:r>
      <w:r w:rsidRPr="002F2FDF">
        <w:rPr>
          <w:rFonts w:ascii="Times New Roman" w:hAnsi="Times New Roman" w:cs="Times New Roman"/>
          <w:color w:val="000000" w:themeColor="text1"/>
          <w:sz w:val="16"/>
          <w:szCs w:val="16"/>
        </w:rPr>
        <w:softHyphen/>
        <w:t>ного парка Западного фронта) и укомплектовать отряд солдатами-поляками, а заодно отменить приказ о переформировании 27-го воздухопла</w:t>
      </w:r>
      <w:r w:rsidRPr="002F2FDF">
        <w:rPr>
          <w:rFonts w:ascii="Times New Roman" w:hAnsi="Times New Roman" w:cs="Times New Roman"/>
          <w:color w:val="000000" w:themeColor="text1"/>
          <w:sz w:val="16"/>
          <w:szCs w:val="16"/>
        </w:rPr>
        <w:softHyphen/>
        <w:t>вательного отряда. Н.Н. Духонин наложил на за</w:t>
      </w:r>
      <w:r w:rsidRPr="002F2FDF">
        <w:rPr>
          <w:rFonts w:ascii="Times New Roman" w:hAnsi="Times New Roman" w:cs="Times New Roman"/>
          <w:color w:val="000000" w:themeColor="text1"/>
          <w:sz w:val="16"/>
          <w:szCs w:val="16"/>
        </w:rPr>
        <w:softHyphen/>
        <w:t>писку резолюцию: «Пока это формирование не осуществлять» (20120).</w:t>
      </w:r>
    </w:p>
    <w:p w14:paraId="2745FACB" w14:textId="77777777" w:rsidR="00923329" w:rsidRPr="002F2FDF" w:rsidRDefault="00923329" w:rsidP="0083075A">
      <w:pPr>
        <w:spacing w:after="0" w:line="240" w:lineRule="auto"/>
        <w:jc w:val="both"/>
        <w:rPr>
          <w:rFonts w:ascii="Times New Roman" w:hAnsi="Times New Roman" w:cs="Times New Roman"/>
          <w:color w:val="000000" w:themeColor="text1"/>
          <w:sz w:val="16"/>
          <w:szCs w:val="16"/>
        </w:rPr>
      </w:pPr>
    </w:p>
    <w:p w14:paraId="1FE64384" w14:textId="77777777" w:rsidR="003E30FD" w:rsidRPr="00FB4F67" w:rsidRDefault="003E30F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конце мая 1917 г. на Румынском фронте румыны сформировали ESC.N. 11, со смешанным составом, с Ньюпором Ксисом в Яси. В начале июня он двинулся на фронт в Текучи (23525).</w:t>
      </w:r>
    </w:p>
    <w:p w14:paraId="5FB8E71C" w14:textId="77777777" w:rsidR="003E30FD" w:rsidRPr="00FB4F67" w:rsidRDefault="003E30FD" w:rsidP="0083075A">
      <w:pPr>
        <w:spacing w:after="0" w:line="240" w:lineRule="auto"/>
        <w:jc w:val="both"/>
        <w:rPr>
          <w:rFonts w:ascii="Times New Roman" w:hAnsi="Times New Roman" w:cs="Times New Roman"/>
          <w:color w:val="0070C0"/>
          <w:sz w:val="16"/>
          <w:szCs w:val="16"/>
        </w:rPr>
      </w:pPr>
    </w:p>
    <w:p w14:paraId="198334CB" w14:textId="77777777" w:rsidR="003E30FD" w:rsidRPr="00FB4F67" w:rsidRDefault="003E30F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конце мая и начале июня 1917 г. немцы отправили дирижабли ВМФ L.30 и L.37 из Северного моря на Русский фронт. Вскоре за ними последовали четыре армейских дирижабля, в том числе два шестимоторных корабля, LZ.113 и LZ.120. Большинство из них участвовало во взятии острова Эзель осенью (23525).</w:t>
      </w:r>
    </w:p>
    <w:p w14:paraId="598D01F2" w14:textId="77777777" w:rsidR="003E30FD" w:rsidRPr="00FB4F67" w:rsidRDefault="003E30FD" w:rsidP="0083075A">
      <w:pPr>
        <w:spacing w:after="0" w:line="240" w:lineRule="auto"/>
        <w:jc w:val="both"/>
        <w:rPr>
          <w:rFonts w:ascii="Times New Roman" w:hAnsi="Times New Roman" w:cs="Times New Roman"/>
          <w:color w:val="0070C0"/>
          <w:sz w:val="16"/>
          <w:szCs w:val="16"/>
        </w:rPr>
      </w:pPr>
    </w:p>
    <w:p w14:paraId="11875DDE" w14:textId="77777777" w:rsidR="00923329" w:rsidRPr="002F2FDF" w:rsidRDefault="0092332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128DB0D" w14:textId="77777777" w:rsidR="00923329" w:rsidRPr="002F2FDF" w:rsidRDefault="0092332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D7F713" w14:textId="77777777" w:rsidR="00923329" w:rsidRPr="002F2FDF" w:rsidRDefault="0092332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конце мая 1917 г. летчик-испытатель Г. Хокер (Harry Hawker) совершил на Сопвич «Долфин» (Dolphin 5F.1) первый полет. ЗИ самолета прошли удовлетворительно. Значительных недостатков выявлено не было, доработки были небольшими – например, полотняная обшивка гаргрота рвалась, когда летчик неаккуратно становился на верхнюю подножку, и по грагроту до 7-й рамы ее заменили фанерой.</w:t>
      </w:r>
    </w:p>
    <w:p w14:paraId="4E2E7F33" w14:textId="77777777" w:rsidR="00923329" w:rsidRPr="002F2FDF" w:rsidRDefault="0092332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конце мая 1917 г. самолет Сопвич «Долфин» (Dolphin 5F.1) сдали на официальные испытания RFC, но не известно, принят ли он был на баланс Военного министерства – РКВС он не получил. В начале июня 1917 г. начались официальные испытания самолета на а/д Мартлешам-Хит (Martlesham Heath). Проводивший их пилот RFC доложил, что центровка самолета слишком передняя, и в ХЧФ установили балансировочный груз. В целом оценка по результатам официальных испытаний была положительной (23128).</w:t>
      </w:r>
    </w:p>
    <w:p w14:paraId="68D2A58F" w14:textId="77777777" w:rsidR="00923329" w:rsidRPr="002F2FDF" w:rsidRDefault="00923329" w:rsidP="0083075A">
      <w:pPr>
        <w:spacing w:after="0" w:line="240" w:lineRule="auto"/>
        <w:jc w:val="both"/>
        <w:rPr>
          <w:rFonts w:ascii="Times New Roman" w:hAnsi="Times New Roman" w:cs="Times New Roman"/>
          <w:color w:val="000000" w:themeColor="text1"/>
          <w:sz w:val="16"/>
          <w:szCs w:val="16"/>
        </w:rPr>
      </w:pPr>
    </w:p>
    <w:p w14:paraId="72C83A6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675A4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2D66B4"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второй половине мая 1917 г. авиатранспорты ЧМ, в т.ч. созданные на основе румынских кораблей, переименова</w:t>
      </w:r>
      <w:r w:rsidRPr="002F2FDF">
        <w:rPr>
          <w:rFonts w:ascii="Times New Roman" w:hAnsi="Times New Roman" w:cs="Times New Roman"/>
          <w:color w:val="000000" w:themeColor="text1"/>
          <w:kern w:val="2"/>
          <w:sz w:val="16"/>
          <w:szCs w:val="16"/>
        </w:rPr>
        <w:softHyphen/>
        <w:t xml:space="preserve">ли: «Император Александр </w:t>
      </w:r>
      <w:r w:rsidRPr="002F2FDF">
        <w:rPr>
          <w:rFonts w:ascii="Times New Roman" w:hAnsi="Times New Roman" w:cs="Times New Roman"/>
          <w:color w:val="000000" w:themeColor="text1"/>
          <w:kern w:val="2"/>
          <w:sz w:val="16"/>
          <w:szCs w:val="16"/>
          <w:lang w:val="en-US"/>
        </w:rPr>
        <w:t>I</w:t>
      </w:r>
      <w:r w:rsidRPr="002F2FDF">
        <w:rPr>
          <w:rFonts w:ascii="Times New Roman" w:hAnsi="Times New Roman" w:cs="Times New Roman"/>
          <w:color w:val="000000" w:themeColor="text1"/>
          <w:kern w:val="2"/>
          <w:sz w:val="16"/>
          <w:szCs w:val="16"/>
        </w:rPr>
        <w:t>» стал называться «Республиканцем», «Им</w:t>
      </w:r>
      <w:r w:rsidRPr="002F2FDF">
        <w:rPr>
          <w:rFonts w:ascii="Times New Roman" w:hAnsi="Times New Roman" w:cs="Times New Roman"/>
          <w:color w:val="000000" w:themeColor="text1"/>
          <w:kern w:val="2"/>
          <w:sz w:val="16"/>
          <w:szCs w:val="16"/>
        </w:rPr>
        <w:softHyphen/>
        <w:t xml:space="preserve">ператор Николай </w:t>
      </w:r>
      <w:r w:rsidRPr="002F2FDF">
        <w:rPr>
          <w:rFonts w:ascii="Times New Roman" w:hAnsi="Times New Roman" w:cs="Times New Roman"/>
          <w:color w:val="000000" w:themeColor="text1"/>
          <w:kern w:val="2"/>
          <w:sz w:val="16"/>
          <w:szCs w:val="16"/>
          <w:lang w:val="en-US"/>
        </w:rPr>
        <w:t>I</w:t>
      </w:r>
      <w:r w:rsidRPr="002F2FDF">
        <w:rPr>
          <w:rFonts w:ascii="Times New Roman" w:hAnsi="Times New Roman" w:cs="Times New Roman"/>
          <w:color w:val="000000" w:themeColor="text1"/>
          <w:kern w:val="2"/>
          <w:sz w:val="16"/>
          <w:szCs w:val="16"/>
        </w:rPr>
        <w:t>» - «Авиатором», «Румыния» сохранила своё назва</w:t>
      </w:r>
      <w:r w:rsidRPr="002F2FDF">
        <w:rPr>
          <w:rFonts w:ascii="Times New Roman" w:hAnsi="Times New Roman" w:cs="Times New Roman"/>
          <w:color w:val="000000" w:themeColor="text1"/>
          <w:kern w:val="2"/>
          <w:sz w:val="16"/>
          <w:szCs w:val="16"/>
        </w:rPr>
        <w:softHyphen/>
        <w:t>ние. Причём с последним кораблём, который почти не принимал учас</w:t>
      </w:r>
      <w:r w:rsidRPr="002F2FDF">
        <w:rPr>
          <w:rFonts w:ascii="Times New Roman" w:hAnsi="Times New Roman" w:cs="Times New Roman"/>
          <w:color w:val="000000" w:themeColor="text1"/>
          <w:kern w:val="2"/>
          <w:sz w:val="16"/>
          <w:szCs w:val="16"/>
        </w:rPr>
        <w:softHyphen/>
        <w:t>тия в войне, связаны и трагические события - он использовался рево</w:t>
      </w:r>
      <w:r w:rsidRPr="002F2FDF">
        <w:rPr>
          <w:rFonts w:ascii="Times New Roman" w:hAnsi="Times New Roman" w:cs="Times New Roman"/>
          <w:color w:val="000000" w:themeColor="text1"/>
          <w:kern w:val="2"/>
          <w:sz w:val="16"/>
          <w:szCs w:val="16"/>
        </w:rPr>
        <w:softHyphen/>
        <w:t>люционными матросами в качестве плавучей тюрьмы (11925).</w:t>
      </w:r>
    </w:p>
    <w:p w14:paraId="6AC9F8D4"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5BDD5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C483E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9F49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мае 1917 г. на новой базе ЭВК в Виннице завершилось перевооружение и переоснащение кораблей, которое велось с октября 1916. На корабле типа Е №265 был размещен пулемет в хвосте. Вместо трехрулевого оперения по типу Г-1 в октябре было сделано бипланное с двумя рулями направления. К сожалению, фотографии или чертежа этого бипланного оперения не сохранилось. На одном или двух из кораблей серии Г также была сделана хвостовая пулеметная точка. Для этого убрали средний руль направления, сделав в последней секции фюзеляжа гнездо для пулеметчика, а 2 маленьких заменили на 2 руля большей площади, которые разнесли по обоим концам стабилизатора. Все доработки в Эскадре сохранились на бумаге и поэтому приведем ценный документ полностью: </w:t>
      </w:r>
    </w:p>
    <w:p w14:paraId="6BD357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КОНСТРУКТИВНЫЕ ИЗМЕНЕНИЯ И УКАЗАНИЯ, КОТОРЫЕ НЕОБХОДИМО ВНЕСТИ В ТЕХ­НИЧЕСКИЕ УСЛОВИЯ НА ПОСТРОЙКУ ВОЗДУШНЫХ КОРАБЛЕЙ А) типа Г-3 </w:t>
      </w:r>
    </w:p>
    <w:p w14:paraId="25E370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Головная часть по типу Г-1 (застеклена полностью). 2. Управление рулями направления по типу Г-3: трос к рулям вести через ролики у стабилизатора (переда­точная крестовина упраздняется).</w:t>
      </w:r>
    </w:p>
    <w:p w14:paraId="215A3F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Управление рамой и проводника тросов к рулю глубины по типу Г-1.</w:t>
      </w:r>
    </w:p>
    <w:p w14:paraId="1E36A5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Сиденье для пилота по типу Г-1 (в центре фюзеляжа).</w:t>
      </w:r>
    </w:p>
    <w:p w14:paraId="317E88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Уширить кабину на 150мм.</w:t>
      </w:r>
    </w:p>
    <w:p w14:paraId="5E523D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Увеличить высоту фюзеляжа на 50 мм.</w:t>
      </w:r>
    </w:p>
    <w:p w14:paraId="1410C6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Управление крылышками по типу Е (рычагами).</w:t>
      </w:r>
    </w:p>
    <w:p w14:paraId="629C33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для сбрасывания бомб ставить кассеты с вертикальной подвеской по типу Г.</w:t>
      </w:r>
    </w:p>
    <w:p w14:paraId="1D6170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Люки и все пулеметные установки делать согласно снятым в ЭВК эскизам.</w:t>
      </w:r>
    </w:p>
    <w:p w14:paraId="3E21A7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Верхняя площадка остается (трубы крепящей вилки пулеметов упраздняются).</w:t>
      </w:r>
    </w:p>
    <w:p w14:paraId="2C2417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Баки на 21 пуд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жестью на шири­ну 700мм.</w:t>
      </w:r>
    </w:p>
    <w:p w14:paraId="7FAFB4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12BEDC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Поверхность стабилизатора увеличить на 3-4 кв.метра.</w:t>
      </w:r>
    </w:p>
    <w:p w14:paraId="3F2484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бензиновую проводку в фюзеляже не вводить и ввести по задним стойкам клеток планов.</w:t>
      </w:r>
    </w:p>
    <w:p w14:paraId="76EBEC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15. Корабли снабдить двумя кассетами для пудовых бомб и двумя кассетами для двухпудовых бомб. Б) </w:t>
      </w:r>
    </w:p>
    <w:p w14:paraId="53CB81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типа Е </w:t>
      </w:r>
    </w:p>
    <w:p w14:paraId="41235A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Кресло пилота и управление сдвинуть на 14 см вправо.</w:t>
      </w:r>
    </w:p>
    <w:p w14:paraId="046698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Изменить форму спинки сиденья и сделать ее суживающейся кверху (размером 160мм вверху и высотою 500м). Спинку закрепить.</w:t>
      </w:r>
    </w:p>
    <w:p w14:paraId="6EFE7C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Головную часть корабля укоротить на 30 см и свести к верхней поверхности фюзеляжа.</w:t>
      </w:r>
    </w:p>
    <w:p w14:paraId="33E8EB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В полу головной части корабля впереди переднего лонжерона крыла вправо от сидения пилота поставить зеркальное стекло из двух половинок, одна из них должна открываться.</w:t>
      </w:r>
    </w:p>
    <w:p w14:paraId="09A1D7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Люк для стрельбы из верхнего пулемета головной части корабля сделать с правой стороны над подъем­ною площадкой для пулеметчика.</w:t>
      </w:r>
    </w:p>
    <w:p w14:paraId="20C391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Опускающуюся пулеметную площадку для стрельбы под костыль выполнить по эскизам снятым в Эска­дре с Корабля IX (тип Е№265).</w:t>
      </w:r>
    </w:p>
    <w:p w14:paraId="09BC05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0D1B10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Пулеметные установки: (задняя верхняя за дверью, бо­ковая и передняя головная) выполнить по эскизам снятым с 1Х-го корабля.</w:t>
      </w:r>
    </w:p>
    <w:p w14:paraId="624689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Высота шасси и расстояние между моторами должны допускать возможность постановки винтов до 3,5 м в диаметре.</w:t>
      </w:r>
    </w:p>
    <w:p w14:paraId="470C05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оборудование корабля (сигнальный прибор, бомбовые шкафы, люки, установки компасов, контрольных приборов) выполнить по эскизам снятым с 1Х-го корабля.</w:t>
      </w:r>
    </w:p>
    <w:p w14:paraId="3345D5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Баки до 30 пудов каждый вынести на верхний план между первой моторной стойкой и фюзеляжем и устанавливать не ниже 15см над планом. Поверхность под баками обить алюминием или же жестью по ширине 800мм.</w:t>
      </w:r>
    </w:p>
    <w:p w14:paraId="191A34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Лыжи выполнить по типу 1Х-го корабля.</w:t>
      </w:r>
    </w:p>
    <w:p w14:paraId="1D5B2F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Бензиновую проводку в фюзеляже не вводить и ввести по задним стойкам клеток планов.</w:t>
      </w:r>
    </w:p>
    <w:p w14:paraId="4E3117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14. Общая мощность моторов должна быть не ниже 1000 действительных лошадиных сил. </w:t>
      </w:r>
    </w:p>
    <w:p w14:paraId="4C5E59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Получив из ЭВК вышеупомянутые дополнения и изменения. Правление РБВЗ в начале 1917 г. предлагало заключить новый контракт на постройку 25 машин по типу Г-4 и 15 по типу Е-2. Г-4 предлагалось оснастить 2 "Рено" по 225 л.с. и 2 РБ3.6 по 150 л.с., а Е-2 4 "Рено" по 225 л.с.. Но данные типы так и не были пущены в серийное производство. </w:t>
      </w:r>
    </w:p>
    <w:p w14:paraId="5AA1DC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 требованию Эскадры в Винницу в феврале-мае были присланы 10 комплектов новых рулей направления по типу Г-3, подмоторных ферм для "Рено" — 20 штук, для "Аргус" — 8 и для "РБ3.6" — 12 штук (т.е. на ос­нащение 10 кораблей, которые были поставлены до января 1917 г. на ба­зу). </w:t>
      </w:r>
    </w:p>
    <w:p w14:paraId="0EA306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Удалось обнаружить уникальный список (с карандашными пометка­ми) указывающий на то, какие моторы были установлены (или назначены) на корабли. Бы­ли очень интересные варианты (11277).</w:t>
      </w:r>
    </w:p>
    <w:p w14:paraId="1F4C35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A537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w:t>
      </w:r>
    </w:p>
    <w:p w14:paraId="62460E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Типы двигателей на аэропланах Эскадры Воздушных Кораблей по состоянию на май 1917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tblGrid>
      <w:tr w:rsidR="002B1C74" w:rsidRPr="002F2FDF" w14:paraId="70C9EB37" w14:textId="77777777">
        <w:tc>
          <w:tcPr>
            <w:tcW w:w="5605" w:type="dxa"/>
            <w:tcBorders>
              <w:top w:val="single" w:sz="12" w:space="0" w:color="auto"/>
            </w:tcBorders>
          </w:tcPr>
          <w:p w14:paraId="349FC8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I (нет)</w:t>
            </w:r>
          </w:p>
        </w:tc>
      </w:tr>
      <w:tr w:rsidR="002B1C74" w:rsidRPr="002F2FDF" w14:paraId="0E1C306E" w14:textId="77777777">
        <w:tc>
          <w:tcPr>
            <w:tcW w:w="5605" w:type="dxa"/>
          </w:tcPr>
          <w:p w14:paraId="0D5197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II (2 рено, 2 рб)</w:t>
            </w:r>
          </w:p>
        </w:tc>
      </w:tr>
      <w:tr w:rsidR="002B1C74" w:rsidRPr="002F2FDF" w14:paraId="7D23BEC7" w14:textId="77777777">
        <w:tc>
          <w:tcPr>
            <w:tcW w:w="5605" w:type="dxa"/>
          </w:tcPr>
          <w:p w14:paraId="6A7A9E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III (2 рено, 2 рб)</w:t>
            </w:r>
          </w:p>
        </w:tc>
      </w:tr>
      <w:tr w:rsidR="002B1C74" w:rsidRPr="002F2FDF" w14:paraId="3C2A66B5" w14:textId="77777777">
        <w:tc>
          <w:tcPr>
            <w:tcW w:w="5605" w:type="dxa"/>
          </w:tcPr>
          <w:p w14:paraId="5F5ADF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IV (2 рено, 2 рб, 2 рб)*</w:t>
            </w:r>
          </w:p>
        </w:tc>
      </w:tr>
      <w:tr w:rsidR="002B1C74" w:rsidRPr="002F2FDF" w14:paraId="0C3FC382" w14:textId="77777777">
        <w:tc>
          <w:tcPr>
            <w:tcW w:w="5605" w:type="dxa"/>
          </w:tcPr>
          <w:p w14:paraId="41B307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V (Е, 4 рено)</w:t>
            </w:r>
          </w:p>
        </w:tc>
      </w:tr>
      <w:tr w:rsidR="002B1C74" w:rsidRPr="002F2FDF" w14:paraId="68C8122D" w14:textId="77777777">
        <w:tc>
          <w:tcPr>
            <w:tcW w:w="5605" w:type="dxa"/>
          </w:tcPr>
          <w:p w14:paraId="053BF8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VI (2 рено, 2 рб, 2 сенб)</w:t>
            </w:r>
          </w:p>
        </w:tc>
      </w:tr>
      <w:tr w:rsidR="002B1C74" w:rsidRPr="002F2FDF" w14:paraId="44306571" w14:textId="77777777">
        <w:tc>
          <w:tcPr>
            <w:tcW w:w="5605" w:type="dxa"/>
          </w:tcPr>
          <w:p w14:paraId="5E6E2F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VII (4 бед)</w:t>
            </w:r>
          </w:p>
        </w:tc>
      </w:tr>
      <w:tr w:rsidR="002B1C74" w:rsidRPr="002F2FDF" w14:paraId="0226BBA6" w14:textId="77777777">
        <w:tc>
          <w:tcPr>
            <w:tcW w:w="5605" w:type="dxa"/>
          </w:tcPr>
          <w:p w14:paraId="0FB086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VIII (нет)</w:t>
            </w:r>
          </w:p>
        </w:tc>
      </w:tr>
      <w:tr w:rsidR="002B1C74" w:rsidRPr="002F2FDF" w14:paraId="5826AF52" w14:textId="77777777">
        <w:tc>
          <w:tcPr>
            <w:tcW w:w="5605" w:type="dxa"/>
          </w:tcPr>
          <w:p w14:paraId="22F97C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IX (Е, 4 рено)</w:t>
            </w:r>
          </w:p>
        </w:tc>
      </w:tr>
      <w:tr w:rsidR="002B1C74" w:rsidRPr="002F2FDF" w14:paraId="092CE092" w14:textId="77777777">
        <w:tc>
          <w:tcPr>
            <w:tcW w:w="5605" w:type="dxa"/>
          </w:tcPr>
          <w:p w14:paraId="5F20D2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X(нет)</w:t>
            </w:r>
          </w:p>
        </w:tc>
      </w:tr>
      <w:tr w:rsidR="002B1C74" w:rsidRPr="002F2FDF" w14:paraId="10E4DF5E" w14:textId="77777777">
        <w:tc>
          <w:tcPr>
            <w:tcW w:w="5605" w:type="dxa"/>
          </w:tcPr>
          <w:p w14:paraId="19B006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XI (2 рено, 2 рб)</w:t>
            </w:r>
          </w:p>
        </w:tc>
      </w:tr>
      <w:tr w:rsidR="002B1C74" w:rsidRPr="002F2FDF" w14:paraId="0A3171A1" w14:textId="77777777">
        <w:tc>
          <w:tcPr>
            <w:tcW w:w="5605" w:type="dxa"/>
          </w:tcPr>
          <w:p w14:paraId="3759C6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XII (2 рено)</w:t>
            </w:r>
          </w:p>
        </w:tc>
      </w:tr>
      <w:tr w:rsidR="002B1C74" w:rsidRPr="002F2FDF" w14:paraId="40036B51" w14:textId="77777777">
        <w:tc>
          <w:tcPr>
            <w:tcW w:w="5605" w:type="dxa"/>
          </w:tcPr>
          <w:p w14:paraId="25E0E6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XIII (нет, учебный)</w:t>
            </w:r>
          </w:p>
        </w:tc>
      </w:tr>
      <w:tr w:rsidR="002B1C74" w:rsidRPr="002F2FDF" w14:paraId="4428083D" w14:textId="77777777">
        <w:tc>
          <w:tcPr>
            <w:tcW w:w="5605" w:type="dxa"/>
          </w:tcPr>
          <w:p w14:paraId="5E38CD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XIV (2 рено, 2 рб, 2 сенб)</w:t>
            </w:r>
          </w:p>
        </w:tc>
      </w:tr>
      <w:tr w:rsidR="002B1C74" w:rsidRPr="002F2FDF" w14:paraId="41CC0060" w14:textId="77777777">
        <w:tc>
          <w:tcPr>
            <w:tcW w:w="5605" w:type="dxa"/>
          </w:tcPr>
          <w:p w14:paraId="4ED0F8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XV (4 сенб)</w:t>
            </w:r>
          </w:p>
        </w:tc>
      </w:tr>
      <w:tr w:rsidR="002B1C74" w:rsidRPr="002F2FDF" w14:paraId="44158AAB" w14:textId="77777777">
        <w:tc>
          <w:tcPr>
            <w:tcW w:w="5605" w:type="dxa"/>
          </w:tcPr>
          <w:p w14:paraId="4A373C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XVI (нет)</w:t>
            </w:r>
          </w:p>
        </w:tc>
      </w:tr>
      <w:tr w:rsidR="002B1C74" w:rsidRPr="002F2FDF" w14:paraId="0254225E" w14:textId="77777777">
        <w:tc>
          <w:tcPr>
            <w:tcW w:w="5605" w:type="dxa"/>
          </w:tcPr>
          <w:p w14:paraId="0975AC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XVII (2 арг, 2 х.с.)</w:t>
            </w:r>
          </w:p>
        </w:tc>
      </w:tr>
      <w:tr w:rsidR="002B1C74" w:rsidRPr="002F2FDF" w14:paraId="3CDE82CD" w14:textId="77777777">
        <w:tc>
          <w:tcPr>
            <w:tcW w:w="5605" w:type="dxa"/>
          </w:tcPr>
          <w:p w14:paraId="70B723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XVIII (2 рено, 2 рб)</w:t>
            </w:r>
          </w:p>
        </w:tc>
      </w:tr>
      <w:tr w:rsidR="002B1C74" w:rsidRPr="002F2FDF" w14:paraId="7DEB45E4" w14:textId="77777777">
        <w:tc>
          <w:tcPr>
            <w:tcW w:w="5605" w:type="dxa"/>
          </w:tcPr>
          <w:p w14:paraId="3F4CBC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XIX (2 рено, 2 арг)</w:t>
            </w:r>
          </w:p>
        </w:tc>
      </w:tr>
      <w:tr w:rsidR="002B1C74" w:rsidRPr="002F2FDF" w14:paraId="03A1EEA9" w14:textId="77777777">
        <w:tc>
          <w:tcPr>
            <w:tcW w:w="5605" w:type="dxa"/>
          </w:tcPr>
          <w:p w14:paraId="45E52A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XX (2 исп.с., 2 арг)</w:t>
            </w:r>
          </w:p>
        </w:tc>
      </w:tr>
      <w:tr w:rsidR="002B1C74" w:rsidRPr="002F2FDF" w14:paraId="1643629C" w14:textId="77777777">
        <w:tc>
          <w:tcPr>
            <w:tcW w:w="5605" w:type="dxa"/>
          </w:tcPr>
          <w:p w14:paraId="764D80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XXI (2 сенб, 2 арг)</w:t>
            </w:r>
          </w:p>
        </w:tc>
      </w:tr>
      <w:tr w:rsidR="002B1C74" w:rsidRPr="002F2FDF" w14:paraId="2A117D5C" w14:textId="77777777">
        <w:tc>
          <w:tcPr>
            <w:tcW w:w="5605" w:type="dxa"/>
            <w:tcBorders>
              <w:bottom w:val="single" w:sz="12" w:space="0" w:color="auto"/>
            </w:tcBorders>
          </w:tcPr>
          <w:p w14:paraId="322AAB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XXII (нет)</w:t>
            </w:r>
          </w:p>
        </w:tc>
      </w:tr>
    </w:tbl>
    <w:p w14:paraId="7C02ED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Примечание:</w:t>
      </w:r>
    </w:p>
    <w:p w14:paraId="1770EC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нет - отсутствуют моторы</w:t>
      </w:r>
    </w:p>
    <w:p w14:paraId="622488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рено - 2 мотора "Рено" 225HP</w:t>
      </w:r>
    </w:p>
    <w:p w14:paraId="2EA0FE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рб - 2 мотора РБ3.6 150НР</w:t>
      </w:r>
    </w:p>
    <w:p w14:paraId="715939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сенб - 2 мотора "Сенбим" 150НР или 160НР</w:t>
      </w:r>
    </w:p>
    <w:p w14:paraId="06F08D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арг - 2 мотора "Аргус" 140НР</w:t>
      </w:r>
    </w:p>
    <w:p w14:paraId="55671B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бед - 4 мотора "Бердмор" 160HP</w:t>
      </w:r>
    </w:p>
    <w:p w14:paraId="6F887C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исп.с.- 2 мотора "Испано-Сюиза"</w:t>
      </w:r>
    </w:p>
    <w:p w14:paraId="6227DC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 х.с. - 2 мотора "Холл-Скотт".</w:t>
      </w:r>
    </w:p>
    <w:p w14:paraId="2E44C3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Разумеется из 6 моторов выбирали только 4 (12938).</w:t>
      </w:r>
    </w:p>
    <w:p w14:paraId="1F0320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FB10B3" w14:textId="77777777" w:rsidR="008A5E89" w:rsidRPr="002F2FDF" w:rsidRDefault="008A5E8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на фронт попал самолет РБВЗ C-XVIII (С-18) - двухместный двухстоечный биплан с двумя толкающими установками на нижнем крыле. С двумя не смог оторваться и поставили 4 Гнома по 80 нр (92,159).</w:t>
      </w:r>
    </w:p>
    <w:p w14:paraId="1BBC7DFE" w14:textId="77777777" w:rsidR="008A5E89" w:rsidRPr="002F2FDF" w:rsidRDefault="008A5E8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F8E6AF" w14:textId="77777777" w:rsidR="00F200B5" w:rsidRPr="00FB4F67" w:rsidRDefault="00F200B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мае 1917 г. корабль «Илья Муромец» Е-57 (ИМ Е-57 № 266, борт № V) экз. № 61, стратегический разведчик и тяжелый бомбардировщик перелетел на аэродром 4-го отряда ЭВК Болгарийка.</w:t>
      </w:r>
    </w:p>
    <w:p w14:paraId="05B68D56" w14:textId="77777777" w:rsidR="00F200B5" w:rsidRPr="00FB4F67" w:rsidRDefault="00F200B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31.05.17 г. (13.06.17 г. по н.ст.) самолет в паре с ИМ Е-56 совершил бомбардировку складов и казарм в г. Тулча – оба корабля сбросили 288 кг бомб.</w:t>
      </w:r>
    </w:p>
    <w:p w14:paraId="4758D3D7" w14:textId="77777777" w:rsidR="00F200B5" w:rsidRPr="00FB4F67" w:rsidRDefault="00F200B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17.06.17 г. (29.06.17 г. по н.ст.) стрелки корабля отбили атаку двухмоторного биплана противника.</w:t>
      </w:r>
    </w:p>
    <w:p w14:paraId="35C3B067" w14:textId="77777777" w:rsidR="00F200B5" w:rsidRPr="00FB4F67" w:rsidRDefault="00F200B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21.09.17 г. (04.10.17 г. по н.ст.) состоялся последний вылет этого корабля.</w:t>
      </w:r>
    </w:p>
    <w:p w14:paraId="2F533C55" w14:textId="77777777" w:rsidR="00F200B5" w:rsidRPr="00FB4F67" w:rsidRDefault="00F200B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15.11.17 г. (28.11.17 г.) разбит.</w:t>
      </w:r>
    </w:p>
    <w:p w14:paraId="273E4559" w14:textId="77777777" w:rsidR="00F200B5" w:rsidRPr="00FB4F67" w:rsidRDefault="00F200B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Всего самолет выполнил не менее трех боевых вылетов.</w:t>
      </w:r>
    </w:p>
    <w:p w14:paraId="1AF73137" w14:textId="77777777" w:rsidR="00F200B5" w:rsidRPr="00FB4F67" w:rsidRDefault="00F200B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Всего достроено и облетано 2 самолета ИМ-Е. Модификация по отношению к ИМ-Г определенные преимущества имела, однако ее запуск в серию не состоялся по организационным причинам – еще летом 1917 г. производство на РБВЗ было дезорганизовано, а после Октябрьской революции наладить выпуск новой модификации самолета оказалось невозможно (24094).</w:t>
      </w:r>
    </w:p>
    <w:p w14:paraId="1827C235" w14:textId="77777777" w:rsidR="00F200B5" w:rsidRPr="00FB4F67" w:rsidRDefault="00F200B5" w:rsidP="0083075A">
      <w:pPr>
        <w:spacing w:after="0" w:line="240" w:lineRule="auto"/>
        <w:jc w:val="both"/>
        <w:rPr>
          <w:rFonts w:ascii="Times New Roman" w:hAnsi="Times New Roman" w:cs="Times New Roman"/>
          <w:color w:val="0070C0"/>
          <w:sz w:val="16"/>
          <w:szCs w:val="16"/>
        </w:rPr>
      </w:pPr>
    </w:p>
    <w:p w14:paraId="485219B6" w14:textId="77777777" w:rsidR="00F200B5" w:rsidRPr="00FB4F67" w:rsidRDefault="00F200B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 май 1917 г. самолет «Илья Муромец» с 2 моторами «Аргус» и 2 «Халл-Скотт» (борт № XVII), стратегический разведчик и тяжелый бомбардировщик числился в составе ЭВК, но не известны ни его серийный номер, ни то, были ли на нем эти моторы установлены, имелись на хранении или только назначены. Двигатели «Аргус» – 6-цилиндровые As II мощностью 140 л.с.</w:t>
      </w:r>
    </w:p>
    <w:p w14:paraId="10B12646" w14:textId="77777777" w:rsidR="00F200B5" w:rsidRPr="00FB4F67" w:rsidRDefault="00F200B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Двигатели «Халл-Скотт» – производства американской фирмы Hall-Scott Motor Car Company, в то время она разработала и выпускала серийно или предлагала к производству и на экспорт несколько типов авиамоторов водяного охлаждения – это могли быть рядный 6-цилиндровый A-5 (165 л.с.), рядный 4-цилиндровый L-4 (125 л.с.) или рядный 6-цилиндровый L-6 (200 л.с.), V-образный 12-цилиндровый был продан фирме «Паккард», его доводку, запуск в серию и продажу вела она под маркой Liberty – этот вариант в данном случае маловероятен, но возможен (24094).</w:t>
      </w:r>
    </w:p>
    <w:p w14:paraId="77160605" w14:textId="77777777" w:rsidR="00F200B5" w:rsidRPr="00FB4F67" w:rsidRDefault="00F200B5" w:rsidP="0083075A">
      <w:pPr>
        <w:spacing w:after="0" w:line="240" w:lineRule="auto"/>
        <w:jc w:val="both"/>
        <w:rPr>
          <w:rFonts w:ascii="Times New Roman" w:hAnsi="Times New Roman" w:cs="Times New Roman"/>
          <w:color w:val="0070C0"/>
          <w:sz w:val="16"/>
          <w:szCs w:val="16"/>
        </w:rPr>
      </w:pPr>
    </w:p>
    <w:p w14:paraId="22F1EFAB" w14:textId="77777777" w:rsidR="00F200B5" w:rsidRPr="00FB4F67" w:rsidRDefault="00F200B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 май 1917 г. самолет «Илья Муромец» с 2 моторами «Испано-Сюиза» (борт № XX), стратегический разведчик и тяжелый бомбардировщик или учебный самолет числился в составе ЭВК, но не известны ни его серийный номер, ни то, были ли на нем эти моторы установлены, имелись на хранении или только назначены.</w:t>
      </w:r>
    </w:p>
    <w:p w14:paraId="368444B8" w14:textId="77777777" w:rsidR="00F200B5" w:rsidRPr="00FB4F67" w:rsidRDefault="00F200B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Двигатели Hispano-Suiza H.S.8 V-образные 8-цилиндровые водяного охлаждения поставлялись в Россию во многих модификациях мощностью от 130 до 300 л.с. и установить какой именно их вариант имелся ввиду в данном случае не удалось (24094).</w:t>
      </w:r>
    </w:p>
    <w:p w14:paraId="0B4D1945" w14:textId="77777777" w:rsidR="00F200B5" w:rsidRDefault="00F200B5" w:rsidP="0083075A">
      <w:pPr>
        <w:spacing w:line="240" w:lineRule="auto"/>
        <w:jc w:val="both"/>
        <w:rPr>
          <w:rFonts w:ascii="Times New Roman" w:hAnsi="Times New Roman" w:cs="Times New Roman"/>
          <w:color w:val="0070C0"/>
          <w:sz w:val="16"/>
          <w:szCs w:val="16"/>
        </w:rPr>
      </w:pPr>
    </w:p>
    <w:p w14:paraId="293A40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сентября 1916 по май 1917 Морское ведомство приняло от ПРТВ 61 М-11/М-12 Д.П.Г. с номерами 912-962 и 1068-1077. 20 были на ЧМ (2807,57).</w:t>
      </w:r>
    </w:p>
    <w:p w14:paraId="3AC4B1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DBCE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май 1917 с сентября 1915 г. морское ведомство приняло от ПРТВ 61 М-11, из которых 26 пере</w:t>
      </w:r>
      <w:r w:rsidRPr="002F2FDF">
        <w:rPr>
          <w:rFonts w:ascii="Times New Roman" w:hAnsi="Times New Roman" w:cs="Times New Roman"/>
          <w:color w:val="000000" w:themeColor="text1"/>
          <w:kern w:val="2"/>
          <w:sz w:val="16"/>
          <w:szCs w:val="16"/>
        </w:rPr>
        <w:softHyphen/>
        <w:t>дали на Черноморский флот и в Бакинское отделение Петроградс</w:t>
      </w:r>
      <w:r w:rsidRPr="002F2FDF">
        <w:rPr>
          <w:rFonts w:ascii="Times New Roman" w:hAnsi="Times New Roman" w:cs="Times New Roman"/>
          <w:color w:val="000000" w:themeColor="text1"/>
          <w:kern w:val="2"/>
          <w:sz w:val="16"/>
          <w:szCs w:val="16"/>
        </w:rPr>
        <w:softHyphen/>
        <w:t>кой морской авиационной школы. Следует отметить, что черноморс</w:t>
      </w:r>
      <w:r w:rsidRPr="002F2FDF">
        <w:rPr>
          <w:rFonts w:ascii="Times New Roman" w:hAnsi="Times New Roman" w:cs="Times New Roman"/>
          <w:color w:val="000000" w:themeColor="text1"/>
          <w:kern w:val="2"/>
          <w:sz w:val="16"/>
          <w:szCs w:val="16"/>
        </w:rPr>
        <w:softHyphen/>
        <w:t>кий летчик П.П. Спасский, летавший на М-11, установил на педали нож</w:t>
      </w:r>
      <w:r w:rsidRPr="002F2FDF">
        <w:rPr>
          <w:rFonts w:ascii="Times New Roman" w:hAnsi="Times New Roman" w:cs="Times New Roman"/>
          <w:color w:val="000000" w:themeColor="text1"/>
          <w:kern w:val="2"/>
          <w:sz w:val="16"/>
          <w:szCs w:val="16"/>
        </w:rPr>
        <w:softHyphen/>
        <w:t>ного управления пружины, предвос</w:t>
      </w:r>
      <w:r w:rsidRPr="002F2FDF">
        <w:rPr>
          <w:rFonts w:ascii="Times New Roman" w:hAnsi="Times New Roman" w:cs="Times New Roman"/>
          <w:color w:val="000000" w:themeColor="text1"/>
          <w:kern w:val="2"/>
          <w:sz w:val="16"/>
          <w:szCs w:val="16"/>
        </w:rPr>
        <w:softHyphen/>
        <w:t>хитив тем самым устройства, изоб</w:t>
      </w:r>
      <w:r w:rsidRPr="002F2FDF">
        <w:rPr>
          <w:rFonts w:ascii="Times New Roman" w:hAnsi="Times New Roman" w:cs="Times New Roman"/>
          <w:color w:val="000000" w:themeColor="text1"/>
          <w:kern w:val="2"/>
          <w:sz w:val="16"/>
          <w:szCs w:val="16"/>
        </w:rPr>
        <w:softHyphen/>
        <w:t>ретенные позднее и известные как демпферы. Более высокими характеристи</w:t>
      </w:r>
      <w:r w:rsidRPr="002F2FDF">
        <w:rPr>
          <w:rFonts w:ascii="Times New Roman" w:hAnsi="Times New Roman" w:cs="Times New Roman"/>
          <w:color w:val="000000" w:themeColor="text1"/>
          <w:kern w:val="2"/>
          <w:sz w:val="16"/>
          <w:szCs w:val="16"/>
        </w:rPr>
        <w:softHyphen/>
        <w:t>ками обладал самолет «Ньюпор-17» - обычный сухопутный истребитель с двигателем «Рено» мощностью 110 л.с. Максимальная скорость его полета достигала 164 км/ч, по</w:t>
      </w:r>
      <w:r w:rsidRPr="002F2FDF">
        <w:rPr>
          <w:rFonts w:ascii="Times New Roman" w:hAnsi="Times New Roman" w:cs="Times New Roman"/>
          <w:color w:val="000000" w:themeColor="text1"/>
          <w:kern w:val="2"/>
          <w:sz w:val="16"/>
          <w:szCs w:val="16"/>
        </w:rPr>
        <w:softHyphen/>
        <w:t>толок 5300 м, продолжительность полета доходила до 2 ч. Часовой расход топлива на самолёте при полёте на скорости 100 км/ч со</w:t>
      </w:r>
      <w:r w:rsidRPr="002F2FDF">
        <w:rPr>
          <w:rFonts w:ascii="Times New Roman" w:hAnsi="Times New Roman" w:cs="Times New Roman"/>
          <w:color w:val="000000" w:themeColor="text1"/>
          <w:kern w:val="2"/>
          <w:sz w:val="16"/>
          <w:szCs w:val="16"/>
        </w:rPr>
        <w:softHyphen/>
        <w:t>ставлял 12 кг. Емкость топливного бака 60 кг. Самолет вооружался одним пулеметом, закрепленным над центропланом. Скользящее крепле</w:t>
      </w:r>
      <w:r w:rsidRPr="002F2FDF">
        <w:rPr>
          <w:rFonts w:ascii="Times New Roman" w:hAnsi="Times New Roman" w:cs="Times New Roman"/>
          <w:color w:val="000000" w:themeColor="text1"/>
          <w:kern w:val="2"/>
          <w:sz w:val="16"/>
          <w:szCs w:val="16"/>
        </w:rPr>
        <w:softHyphen/>
        <w:t>ние позволяло наклонять пулемёт и вести стрельбу вверх. Как вариант, на нескольких самолетах вооруже</w:t>
      </w:r>
      <w:r w:rsidRPr="002F2FDF">
        <w:rPr>
          <w:rFonts w:ascii="Times New Roman" w:hAnsi="Times New Roman" w:cs="Times New Roman"/>
          <w:color w:val="000000" w:themeColor="text1"/>
          <w:kern w:val="2"/>
          <w:sz w:val="16"/>
          <w:szCs w:val="16"/>
        </w:rPr>
        <w:softHyphen/>
        <w:t>ние состояло из двух пулеметов. К началу 1917 г. авиация Бал</w:t>
      </w:r>
      <w:r w:rsidRPr="002F2FDF">
        <w:rPr>
          <w:rFonts w:ascii="Times New Roman" w:hAnsi="Times New Roman" w:cs="Times New Roman"/>
          <w:color w:val="000000" w:themeColor="text1"/>
          <w:kern w:val="2"/>
          <w:sz w:val="16"/>
          <w:szCs w:val="16"/>
        </w:rPr>
        <w:softHyphen/>
        <w:t>тийского флота имела десять само</w:t>
      </w:r>
      <w:r w:rsidRPr="002F2FDF">
        <w:rPr>
          <w:rFonts w:ascii="Times New Roman" w:hAnsi="Times New Roman" w:cs="Times New Roman"/>
          <w:color w:val="000000" w:themeColor="text1"/>
          <w:kern w:val="2"/>
          <w:sz w:val="16"/>
          <w:szCs w:val="16"/>
        </w:rPr>
        <w:softHyphen/>
        <w:t>летов «Ньюпор-17», Черноморско</w:t>
      </w:r>
      <w:r w:rsidRPr="002F2FDF">
        <w:rPr>
          <w:rFonts w:ascii="Times New Roman" w:hAnsi="Times New Roman" w:cs="Times New Roman"/>
          <w:color w:val="000000" w:themeColor="text1"/>
          <w:kern w:val="2"/>
          <w:sz w:val="16"/>
          <w:szCs w:val="16"/>
        </w:rPr>
        <w:softHyphen/>
        <w:t>го флота - девять (11872).</w:t>
      </w:r>
    </w:p>
    <w:p w14:paraId="59A030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70821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зимняя кампания на Балтике завершилась, механики замени</w:t>
      </w:r>
      <w:r w:rsidRPr="002F2FDF">
        <w:rPr>
          <w:rFonts w:ascii="Times New Roman" w:hAnsi="Times New Roman" w:cs="Times New Roman"/>
          <w:color w:val="000000" w:themeColor="text1"/>
          <w:kern w:val="2"/>
          <w:sz w:val="16"/>
          <w:szCs w:val="16"/>
        </w:rPr>
        <w:softHyphen/>
        <w:t>ли водно-спиртовую смесь в радиаторах М-16 обычной жидкостью, а 22-го числа наблюдающий офицер под</w:t>
      </w:r>
      <w:r w:rsidRPr="002F2FDF">
        <w:rPr>
          <w:rFonts w:ascii="Times New Roman" w:hAnsi="Times New Roman" w:cs="Times New Roman"/>
          <w:color w:val="000000" w:themeColor="text1"/>
          <w:kern w:val="2"/>
          <w:sz w:val="16"/>
          <w:szCs w:val="16"/>
        </w:rPr>
        <w:softHyphen/>
        <w:t>поручик Г. Я. Эрдели получил предписание установить 6 самолетов типа М-16 на колесное шасси. Нет никакого намека на то, что такой проект когда-либо воплотился в реальность, как нет оснований дове</w:t>
      </w:r>
      <w:r w:rsidRPr="002F2FDF">
        <w:rPr>
          <w:rFonts w:ascii="Times New Roman" w:hAnsi="Times New Roman" w:cs="Times New Roman"/>
          <w:color w:val="000000" w:themeColor="text1"/>
          <w:kern w:val="2"/>
          <w:sz w:val="16"/>
          <w:szCs w:val="16"/>
        </w:rPr>
        <w:softHyphen/>
        <w:t>рять информации В. Б. Шаврова о том, что зимой некоторые аппараты этой модели оснащались лыжами вместо поплавков. Однако летом 1917 г. начальник VI Воздушного дивизиона Воздушной дивизии Бал</w:t>
      </w:r>
      <w:r w:rsidRPr="002F2FDF">
        <w:rPr>
          <w:rFonts w:ascii="Times New Roman" w:hAnsi="Times New Roman" w:cs="Times New Roman"/>
          <w:color w:val="000000" w:themeColor="text1"/>
          <w:kern w:val="2"/>
          <w:sz w:val="16"/>
          <w:szCs w:val="16"/>
        </w:rPr>
        <w:softHyphen/>
        <w:t>тийского моря лейтенант А. И. Макаревич модифицировал один из гидро по собственному соображе</w:t>
      </w:r>
      <w:r w:rsidRPr="002F2FDF">
        <w:rPr>
          <w:rFonts w:ascii="Times New Roman" w:hAnsi="Times New Roman" w:cs="Times New Roman"/>
          <w:color w:val="000000" w:themeColor="text1"/>
          <w:kern w:val="2"/>
          <w:sz w:val="16"/>
          <w:szCs w:val="16"/>
        </w:rPr>
        <w:softHyphen/>
        <w:t>нию и дабы улучшить летные характеристики машины. Переделка происходила на базе 2-й Воздушной бригады дивизии в Або</w:t>
      </w:r>
      <w:r w:rsidRPr="002F2FDF">
        <w:rPr>
          <w:rFonts w:ascii="Times New Roman" w:hAnsi="Times New Roman" w:cs="Times New Roman"/>
          <w:color w:val="000000" w:themeColor="text1"/>
          <w:kern w:val="2"/>
          <w:sz w:val="16"/>
          <w:szCs w:val="16"/>
          <w:vertAlign w:val="superscript"/>
        </w:rPr>
        <w:t>1</w:t>
      </w:r>
      <w:r w:rsidRPr="002F2FDF">
        <w:rPr>
          <w:rFonts w:ascii="Times New Roman" w:hAnsi="Times New Roman" w:cs="Times New Roman"/>
          <w:color w:val="000000" w:themeColor="text1"/>
          <w:kern w:val="2"/>
          <w:sz w:val="16"/>
          <w:szCs w:val="16"/>
        </w:rPr>
        <w:t>, и, вероятно, в результате ее офицер ожидал получить аэроплан с “нормальным” колесным шасси. Увы, ему не довелось увидеть плоды работы. Находясь в плену высоких революцион</w:t>
      </w:r>
      <w:r w:rsidRPr="002F2FDF">
        <w:rPr>
          <w:rFonts w:ascii="Times New Roman" w:hAnsi="Times New Roman" w:cs="Times New Roman"/>
          <w:color w:val="000000" w:themeColor="text1"/>
          <w:kern w:val="2"/>
          <w:sz w:val="16"/>
          <w:szCs w:val="16"/>
        </w:rPr>
        <w:softHyphen/>
        <w:t>ных идей, команда морской авиастанции Або деградировала до такой степени, что уже 18 июля коман</w:t>
      </w:r>
      <w:r w:rsidRPr="002F2FDF">
        <w:rPr>
          <w:rFonts w:ascii="Times New Roman" w:hAnsi="Times New Roman" w:cs="Times New Roman"/>
          <w:color w:val="000000" w:themeColor="text1"/>
          <w:kern w:val="2"/>
          <w:sz w:val="16"/>
          <w:szCs w:val="16"/>
        </w:rPr>
        <w:softHyphen/>
        <w:t>дующий Балтийским флотом приказал расформировать ее; к сожалению, процесс затянулся, а 30 августа обозленные матросы, собравшись между станционными ангарами, убили Макаревича. В середине нояб</w:t>
      </w:r>
      <w:r w:rsidRPr="002F2FDF">
        <w:rPr>
          <w:rFonts w:ascii="Times New Roman" w:hAnsi="Times New Roman" w:cs="Times New Roman"/>
          <w:color w:val="000000" w:themeColor="text1"/>
          <w:kern w:val="2"/>
          <w:sz w:val="16"/>
          <w:szCs w:val="16"/>
        </w:rPr>
        <w:softHyphen/>
        <w:t>ря его аппарат все-таки почти закончили в местных авиамастерских и намеревались испытать; в начале декабря речь шла уже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самолет; в конце концов, это был единствен</w:t>
      </w:r>
      <w:r w:rsidRPr="002F2FDF">
        <w:rPr>
          <w:rFonts w:ascii="Times New Roman" w:hAnsi="Times New Roman" w:cs="Times New Roman"/>
          <w:color w:val="000000" w:themeColor="text1"/>
          <w:kern w:val="2"/>
          <w:sz w:val="16"/>
          <w:szCs w:val="16"/>
        </w:rPr>
        <w:softHyphen/>
        <w:t>ный способ существенно продлить карьеру модели, или даже вдохнуть в нее новую жизнь, после того, как 20 сентября 1917 г. в докладе Управления морской авиации и воздухоплавания (УМАиВ) говори</w:t>
      </w:r>
      <w:r w:rsidRPr="002F2FDF">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043CDC3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57606C" w14:textId="77777777" w:rsidR="00CF2488" w:rsidRPr="00FB4F67" w:rsidRDefault="00CF248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До мая 1917 г. со второй половины 1916 г. завод С.С.Щетинина изготовил и сдал военному ведомству 61 экземпляр М-11 и М-12. 26 машин поступили на Чер</w:t>
      </w:r>
      <w:r w:rsidRPr="00FB4F67">
        <w:rPr>
          <w:rFonts w:ascii="Times New Roman" w:hAnsi="Times New Roman" w:cs="Times New Roman"/>
          <w:color w:val="0070C0"/>
          <w:sz w:val="16"/>
          <w:szCs w:val="16"/>
        </w:rPr>
        <w:softHyphen/>
        <w:t>ное море, один экземпляр в летную школу в Баку — остальные на Балтику.</w:t>
      </w:r>
    </w:p>
    <w:p w14:paraId="361AF49D" w14:textId="77777777" w:rsidR="00CF2488" w:rsidRPr="00FB4F67" w:rsidRDefault="00CF248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 практике в боевых условиях М-11 и М-12 использовались ограниченно по причине своих невысоких мореходных качеств. С распадом Российской Империи и пре</w:t>
      </w:r>
      <w:r w:rsidRPr="00FB4F67">
        <w:rPr>
          <w:rFonts w:ascii="Times New Roman" w:hAnsi="Times New Roman" w:cs="Times New Roman"/>
          <w:color w:val="0070C0"/>
          <w:sz w:val="16"/>
          <w:szCs w:val="16"/>
        </w:rPr>
        <w:softHyphen/>
        <w:t>кращением активных боевых действий осе</w:t>
      </w:r>
      <w:r w:rsidRPr="00FB4F67">
        <w:rPr>
          <w:rFonts w:ascii="Times New Roman" w:hAnsi="Times New Roman" w:cs="Times New Roman"/>
          <w:color w:val="0070C0"/>
          <w:sz w:val="16"/>
          <w:szCs w:val="16"/>
        </w:rPr>
        <w:softHyphen/>
        <w:t>нью 1917 г. необходимость в морских ис</w:t>
      </w:r>
      <w:r w:rsidRPr="00FB4F67">
        <w:rPr>
          <w:rFonts w:ascii="Times New Roman" w:hAnsi="Times New Roman" w:cs="Times New Roman"/>
          <w:color w:val="0070C0"/>
          <w:sz w:val="16"/>
          <w:szCs w:val="16"/>
        </w:rPr>
        <w:softHyphen/>
        <w:t>требителях не наблюдалась, и они быстро перестали существовать (23374).</w:t>
      </w:r>
    </w:p>
    <w:p w14:paraId="4326FBA8" w14:textId="77777777" w:rsidR="00CF2488" w:rsidRDefault="00CF2488" w:rsidP="0083075A">
      <w:pPr>
        <w:spacing w:line="240" w:lineRule="auto"/>
        <w:jc w:val="both"/>
        <w:rPr>
          <w:rFonts w:ascii="Times New Roman" w:hAnsi="Times New Roman" w:cs="Times New Roman"/>
          <w:color w:val="0070C0"/>
          <w:sz w:val="16"/>
          <w:szCs w:val="16"/>
        </w:rPr>
      </w:pPr>
    </w:p>
    <w:p w14:paraId="496CE60A" w14:textId="77777777" w:rsidR="00CF2488" w:rsidRPr="00FB4F67" w:rsidRDefault="00CF248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мае 1917 г. после испытаний, проведенных летчиком Д.М.Зубковым, признава</w:t>
      </w:r>
      <w:r w:rsidRPr="00FB4F67">
        <w:rPr>
          <w:rFonts w:ascii="Times New Roman" w:hAnsi="Times New Roman" w:cs="Times New Roman"/>
          <w:color w:val="0070C0"/>
          <w:sz w:val="16"/>
          <w:szCs w:val="16"/>
        </w:rPr>
        <w:softHyphen/>
        <w:t>лось, что «Двухвостка» Хиони может использо</w:t>
      </w:r>
      <w:r w:rsidRPr="00FB4F67">
        <w:rPr>
          <w:rFonts w:ascii="Times New Roman" w:hAnsi="Times New Roman" w:cs="Times New Roman"/>
          <w:color w:val="0070C0"/>
          <w:sz w:val="16"/>
          <w:szCs w:val="16"/>
        </w:rPr>
        <w:softHyphen/>
        <w:t>ваться в качестве легкого бомбардировщи</w:t>
      </w:r>
      <w:r w:rsidRPr="00FB4F67">
        <w:rPr>
          <w:rFonts w:ascii="Times New Roman" w:hAnsi="Times New Roman" w:cs="Times New Roman"/>
          <w:color w:val="0070C0"/>
          <w:sz w:val="16"/>
          <w:szCs w:val="16"/>
        </w:rPr>
        <w:softHyphen/>
        <w:t>ка. В связи с недостатком самолетов «Илья Муромец» самолет Хиони предполагался для снабжения Эскадры воздушных кораб</w:t>
      </w:r>
      <w:r w:rsidRPr="00FB4F67">
        <w:rPr>
          <w:rFonts w:ascii="Times New Roman" w:hAnsi="Times New Roman" w:cs="Times New Roman"/>
          <w:color w:val="0070C0"/>
          <w:sz w:val="16"/>
          <w:szCs w:val="16"/>
        </w:rPr>
        <w:softHyphen/>
        <w:t>лей (ЭВК). 3 ноября 1917 г. последовал за</w:t>
      </w:r>
      <w:r w:rsidRPr="00FB4F67">
        <w:rPr>
          <w:rFonts w:ascii="Times New Roman" w:hAnsi="Times New Roman" w:cs="Times New Roman"/>
          <w:color w:val="0070C0"/>
          <w:sz w:val="16"/>
          <w:szCs w:val="16"/>
        </w:rPr>
        <w:softHyphen/>
        <w:t>каз на 50 экземпляров, который по причи</w:t>
      </w:r>
      <w:r w:rsidRPr="00FB4F67">
        <w:rPr>
          <w:rFonts w:ascii="Times New Roman" w:hAnsi="Times New Roman" w:cs="Times New Roman"/>
          <w:color w:val="0070C0"/>
          <w:sz w:val="16"/>
          <w:szCs w:val="16"/>
        </w:rPr>
        <w:softHyphen/>
        <w:t>не осложнившейся политической обста</w:t>
      </w:r>
      <w:r w:rsidRPr="00FB4F67">
        <w:rPr>
          <w:rFonts w:ascii="Times New Roman" w:hAnsi="Times New Roman" w:cs="Times New Roman"/>
          <w:color w:val="0070C0"/>
          <w:sz w:val="16"/>
          <w:szCs w:val="16"/>
        </w:rPr>
        <w:softHyphen/>
        <w:t>новки не был реализован.</w:t>
      </w:r>
    </w:p>
    <w:p w14:paraId="71C1E166" w14:textId="77777777" w:rsidR="00CF2488" w:rsidRPr="00FB4F67" w:rsidRDefault="00CF248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Одновременно с сухопутным назначени</w:t>
      </w:r>
      <w:r w:rsidRPr="00FB4F67">
        <w:rPr>
          <w:rFonts w:ascii="Times New Roman" w:hAnsi="Times New Roman" w:cs="Times New Roman"/>
          <w:color w:val="0070C0"/>
          <w:sz w:val="16"/>
          <w:szCs w:val="16"/>
        </w:rPr>
        <w:softHyphen/>
        <w:t>ем, В.Н.Хиони надеялся использовать свой двухфюзеляжный самолет в морском вари</w:t>
      </w:r>
      <w:r w:rsidRPr="00FB4F67">
        <w:rPr>
          <w:rFonts w:ascii="Times New Roman" w:hAnsi="Times New Roman" w:cs="Times New Roman"/>
          <w:color w:val="0070C0"/>
          <w:sz w:val="16"/>
          <w:szCs w:val="16"/>
        </w:rPr>
        <w:softHyphen/>
        <w:t>анте. Для этого в середине 1917 г. «Дву</w:t>
      </w:r>
      <w:r w:rsidRPr="00FB4F67">
        <w:rPr>
          <w:rFonts w:ascii="Times New Roman" w:hAnsi="Times New Roman" w:cs="Times New Roman"/>
          <w:color w:val="0070C0"/>
          <w:sz w:val="16"/>
          <w:szCs w:val="16"/>
        </w:rPr>
        <w:softHyphen/>
        <w:t>хвостку» оборудовали поплавковым шасси и испытали на Черном море в районе Одессы. 11 августа 1917 г. самолет, управ</w:t>
      </w:r>
      <w:r w:rsidRPr="00FB4F67">
        <w:rPr>
          <w:rFonts w:ascii="Times New Roman" w:hAnsi="Times New Roman" w:cs="Times New Roman"/>
          <w:color w:val="0070C0"/>
          <w:sz w:val="16"/>
          <w:szCs w:val="16"/>
        </w:rPr>
        <w:softHyphen/>
        <w:t>ляемый конструктором, потерпел аварию при посадке на воду, при этом пассажир, находящийся в верхней кабине, выпал из нее и утонул. Не смотря на значительный интерес к «Двухвостке» в морском вариан</w:t>
      </w:r>
      <w:r w:rsidRPr="00FB4F67">
        <w:rPr>
          <w:rFonts w:ascii="Times New Roman" w:hAnsi="Times New Roman" w:cs="Times New Roman"/>
          <w:color w:val="0070C0"/>
          <w:sz w:val="16"/>
          <w:szCs w:val="16"/>
        </w:rPr>
        <w:softHyphen/>
        <w:t>те, дальнейшего продолжения эти опыты не имели (23374).</w:t>
      </w:r>
    </w:p>
    <w:p w14:paraId="35F1091B" w14:textId="77777777" w:rsidR="00CF2488" w:rsidRDefault="00CF2488" w:rsidP="0083075A">
      <w:pPr>
        <w:spacing w:line="240" w:lineRule="auto"/>
        <w:jc w:val="both"/>
        <w:rPr>
          <w:rFonts w:ascii="Times New Roman" w:hAnsi="Times New Roman" w:cs="Times New Roman"/>
          <w:color w:val="0070C0"/>
          <w:sz w:val="16"/>
          <w:szCs w:val="16"/>
        </w:rPr>
      </w:pPr>
    </w:p>
    <w:p w14:paraId="2DDA0F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проходили испытания доработанного Анадва В.Н.Хиони (553,81).</w:t>
      </w:r>
    </w:p>
    <w:p w14:paraId="219013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36183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года после существенных дорабо</w:t>
      </w:r>
      <w:r w:rsidRPr="002F2FDF">
        <w:rPr>
          <w:rFonts w:ascii="Times New Roman" w:hAnsi="Times New Roman" w:cs="Times New Roman"/>
          <w:color w:val="000000" w:themeColor="text1"/>
          <w:kern w:val="2"/>
          <w:sz w:val="16"/>
          <w:szCs w:val="16"/>
        </w:rPr>
        <w:softHyphen/>
        <w:t>ток испытания аэроплана “Анадва” тип ВХ (“Двухвостка” Хиони, “Двухвостка”, “Анатра-Хиони” № 4 ) производились В.Н.Хиони и военными летчиками. Создание этого самолета явилось выдающимся достижением конструкторского бюро завода Анатра. Технический комитет УВВФ при обсуждении вопроса о массовом строительстве этого самолета признал, что “Аппарат системы Хиони является одним из луч</w:t>
      </w:r>
      <w:r w:rsidRPr="002F2FDF">
        <w:rPr>
          <w:rFonts w:ascii="Times New Roman" w:hAnsi="Times New Roman" w:cs="Times New Roman"/>
          <w:color w:val="000000" w:themeColor="text1"/>
          <w:kern w:val="2"/>
          <w:sz w:val="16"/>
          <w:szCs w:val="16"/>
        </w:rPr>
        <w:softHyphen/>
        <w:t>ших больших аппаратов, которыми располагает рус</w:t>
      </w:r>
      <w:r w:rsidRPr="002F2FDF">
        <w:rPr>
          <w:rFonts w:ascii="Times New Roman" w:hAnsi="Times New Roman" w:cs="Times New Roman"/>
          <w:color w:val="000000" w:themeColor="text1"/>
          <w:kern w:val="2"/>
          <w:sz w:val="16"/>
          <w:szCs w:val="16"/>
        </w:rPr>
        <w:softHyphen/>
        <w:t>ская авиация, почему постройка аппарата этого типа для снабжения Эскадры воздушных кораблей являет</w:t>
      </w:r>
      <w:r w:rsidRPr="002F2FDF">
        <w:rPr>
          <w:rFonts w:ascii="Times New Roman" w:hAnsi="Times New Roman" w:cs="Times New Roman"/>
          <w:color w:val="000000" w:themeColor="text1"/>
          <w:kern w:val="2"/>
          <w:sz w:val="16"/>
          <w:szCs w:val="16"/>
        </w:rPr>
        <w:softHyphen/>
        <w:t>ся безусловно желательной” (553).</w:t>
      </w:r>
    </w:p>
    <w:p w14:paraId="494B72F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86FD31" w14:textId="77777777" w:rsidR="0073361C" w:rsidRPr="002F2FDF" w:rsidRDefault="0073361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заказанные Анатрой для завиамоторного завода в Симферополе во Франции станки были наконец переданы представителю фирмы в Париже. Однако встревоженный политической ситуацией на родине А. Анатра попытался задержать часть ценного оборудования во Франции до стабилизации положения в России. Под предлогом возможной потери станков при доставке морским путем ввиду возросшей активности германских подводных лодок, он предложил организовать в Париже «параллельную мастерскую». Изготовленные в ней детали поступали бы в Симферополь на окончательную сборку. Военные отнеслись к предложению со скептицизмом, заявив, что доставка деталей будет не менее рискованной, чем станков.</w:t>
      </w:r>
    </w:p>
    <w:p w14:paraId="4BAC443A" w14:textId="77777777" w:rsidR="0073361C" w:rsidRPr="002F2FDF" w:rsidRDefault="0073361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итоге представители А. Анатры стали попросту саботировать отправку оборудования. По состоянию на 13 февраля 1918 г. ни один станок на завод не прибыл. 19 единиц оборудования находились на станции в Симферополе, 54 — в Архангельске, а еще около 300 не покинули пределы Франции. Всю вторую половину 1917 и </w:t>
      </w:r>
      <w:r w:rsidRPr="002F2FDF">
        <w:rPr>
          <w:rFonts w:ascii="Times New Roman" w:hAnsi="Times New Roman" w:cs="Times New Roman"/>
          <w:color w:val="000000" w:themeColor="text1"/>
          <w:kern w:val="2"/>
          <w:sz w:val="16"/>
          <w:szCs w:val="16"/>
        </w:rPr>
        <w:lastRenderedPageBreak/>
        <w:t>первые месяцы 1918 гг. между администрацией «Анатры» и УВВФ велась бесконечная переписка по поводу различных отсрочек с выполнением контрактов, последняя из них — на 6 месяцев — была предоставлена 10 апреля 1918 г. Но это уже не имело ровно никакого значения — авиамоторный завод в Симферополе скончался, так и не родившись (12252).</w:t>
      </w:r>
    </w:p>
    <w:p w14:paraId="2AC22FA0" w14:textId="77777777" w:rsidR="0073361C" w:rsidRPr="002F2FDF" w:rsidRDefault="0073361C" w:rsidP="0083075A">
      <w:pPr>
        <w:spacing w:after="0" w:line="240" w:lineRule="auto"/>
        <w:jc w:val="both"/>
        <w:rPr>
          <w:rFonts w:ascii="Times New Roman" w:hAnsi="Times New Roman" w:cs="Times New Roman"/>
          <w:color w:val="000000" w:themeColor="text1"/>
          <w:kern w:val="2"/>
          <w:sz w:val="16"/>
          <w:szCs w:val="16"/>
        </w:rPr>
      </w:pPr>
    </w:p>
    <w:p w14:paraId="76A9DC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1917-го летчик Д.М.Зубков провел испытания двухвостки Хиони и было признано, что ее можно использовать в качестве легкого бомбардировщика. В связи с недостатком самолетов "Илья Муромец" самолет Хиони предлагался для снабжения Эскадры воздушных кораблей (ЭВК) (9806).</w:t>
      </w:r>
    </w:p>
    <w:p w14:paraId="6D8495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5994DD" w14:textId="77777777" w:rsidR="003431D2" w:rsidRPr="002F2FDF" w:rsidRDefault="003431D2" w:rsidP="0083075A">
      <w:pPr>
        <w:tabs>
          <w:tab w:val="left" w:pos="44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г. летчиком Д.М.Зубков провел испытания второго образца двухвостки Хиони и признава</w:t>
      </w:r>
      <w:r w:rsidRPr="002F2FDF">
        <w:rPr>
          <w:rFonts w:ascii="Times New Roman" w:hAnsi="Times New Roman" w:cs="Times New Roman"/>
          <w:color w:val="000000" w:themeColor="text1"/>
          <w:kern w:val="2"/>
          <w:sz w:val="16"/>
          <w:szCs w:val="16"/>
        </w:rPr>
        <w:softHyphen/>
        <w:t>лось, что «Двухвостка» может быть использо</w:t>
      </w:r>
      <w:r w:rsidRPr="002F2FDF">
        <w:rPr>
          <w:rFonts w:ascii="Times New Roman" w:hAnsi="Times New Roman" w:cs="Times New Roman"/>
          <w:color w:val="000000" w:themeColor="text1"/>
          <w:kern w:val="2"/>
          <w:sz w:val="16"/>
          <w:szCs w:val="16"/>
        </w:rPr>
        <w:softHyphen/>
        <w:t>вана в качестве легкого бомбардировщика. В связи с недостатком самолетов «Илья Муромец», двухфюзеляжный аппарат Хиони предлагался для снабжения Эскадры воздуш</w:t>
      </w:r>
      <w:r w:rsidRPr="002F2FDF">
        <w:rPr>
          <w:rFonts w:ascii="Times New Roman" w:hAnsi="Times New Roman" w:cs="Times New Roman"/>
          <w:color w:val="000000" w:themeColor="text1"/>
          <w:kern w:val="2"/>
          <w:sz w:val="16"/>
          <w:szCs w:val="16"/>
        </w:rPr>
        <w:softHyphen/>
        <w:t>ных кораблей (ЭВК). 3 ноября 1917 г. последо</w:t>
      </w:r>
      <w:r w:rsidRPr="002F2FDF">
        <w:rPr>
          <w:rFonts w:ascii="Times New Roman" w:hAnsi="Times New Roman" w:cs="Times New Roman"/>
          <w:color w:val="000000" w:themeColor="text1"/>
          <w:kern w:val="2"/>
          <w:sz w:val="16"/>
          <w:szCs w:val="16"/>
        </w:rPr>
        <w:softHyphen/>
        <w:t>вал заказ на 50 экземпляров, который по при</w:t>
      </w:r>
      <w:r w:rsidRPr="002F2FDF">
        <w:rPr>
          <w:rFonts w:ascii="Times New Roman" w:hAnsi="Times New Roman" w:cs="Times New Roman"/>
          <w:color w:val="000000" w:themeColor="text1"/>
          <w:kern w:val="2"/>
          <w:sz w:val="16"/>
          <w:szCs w:val="16"/>
        </w:rPr>
        <w:softHyphen/>
        <w:t>чине осложнившейся политической обстанов</w:t>
      </w:r>
      <w:r w:rsidRPr="002F2FDF">
        <w:rPr>
          <w:rFonts w:ascii="Times New Roman" w:hAnsi="Times New Roman" w:cs="Times New Roman"/>
          <w:color w:val="000000" w:themeColor="text1"/>
          <w:kern w:val="2"/>
          <w:sz w:val="16"/>
          <w:szCs w:val="16"/>
        </w:rPr>
        <w:softHyphen/>
        <w:t>ки не был реализован. Одновременно с сухопутным назначением, Хиони надеялся использовать свой двухфюзе</w:t>
      </w:r>
      <w:r w:rsidRPr="002F2FDF">
        <w:rPr>
          <w:rFonts w:ascii="Times New Roman" w:hAnsi="Times New Roman" w:cs="Times New Roman"/>
          <w:color w:val="000000" w:themeColor="text1"/>
          <w:kern w:val="2"/>
          <w:sz w:val="16"/>
          <w:szCs w:val="16"/>
        </w:rPr>
        <w:softHyphen/>
        <w:t>ляжный самолет в морском варианте. Для этого в середине 1917 г. «Двухвостку» обору</w:t>
      </w:r>
      <w:r w:rsidRPr="002F2FDF">
        <w:rPr>
          <w:rFonts w:ascii="Times New Roman" w:hAnsi="Times New Roman" w:cs="Times New Roman"/>
          <w:color w:val="000000" w:themeColor="text1"/>
          <w:kern w:val="2"/>
          <w:sz w:val="16"/>
          <w:szCs w:val="16"/>
        </w:rPr>
        <w:softHyphen/>
        <w:t>довали поплавковым шасси и испытали на Черном море в районе Одессы. 11 августа 1917 г. самолет, управляемый конструктором, потерпел аварию при посадке на воду, при этом пассажир, находящийся в верхней каби</w:t>
      </w:r>
      <w:r w:rsidRPr="002F2FDF">
        <w:rPr>
          <w:rFonts w:ascii="Times New Roman" w:hAnsi="Times New Roman" w:cs="Times New Roman"/>
          <w:color w:val="000000" w:themeColor="text1"/>
          <w:kern w:val="2"/>
          <w:sz w:val="16"/>
          <w:szCs w:val="16"/>
        </w:rPr>
        <w:softHyphen/>
        <w:t>не, выпал из нее и утонул. Не смотря на значи</w:t>
      </w:r>
      <w:r w:rsidRPr="002F2FDF">
        <w:rPr>
          <w:rFonts w:ascii="Times New Roman" w:hAnsi="Times New Roman" w:cs="Times New Roman"/>
          <w:color w:val="000000" w:themeColor="text1"/>
          <w:kern w:val="2"/>
          <w:sz w:val="16"/>
          <w:szCs w:val="16"/>
        </w:rPr>
        <w:softHyphen/>
        <w:t>тельный интерес к «Двухвостке» в морском варианте, дальнейшего продолжения эти опыты не имели (11973).</w:t>
      </w:r>
    </w:p>
    <w:p w14:paraId="11B0AA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8D47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г. во время посещения Одессы военным и морским министром А.Ф.Керенским В.Н.Хиони обратился к нему с прошением, в котором писал: “Покорнейше прошу Вас, г. министр, не отказать в любезности осмотреть изобретенный мною совершенно новый, еще не бывалый в жизни, с круговой боевой рубкой двухмоторный самолет. При испытании завода аэропланов аппарат дал блестящий результат, побив рекорд на скорость подъема больших, уже существующих аппаратов, что так необходимо важно для аппарата, приспособленного для военных нужд” г. Изобретатель писал, что он может “дать родине новую воздушную боевую единицу” и что встречает много препятствий для реализации своего изобретения. Однако А. Ф. Керенский не нашел времени ознакомиться с самолетом Хиони (9705).</w:t>
      </w:r>
    </w:p>
    <w:p w14:paraId="63FF17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3898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В мае 1917 завод Дукс получил аванс в 1.3 млн. руб. для постройки самолетов Фарман и Ньюпор (9651,44)</w:t>
      </w:r>
    </w:p>
    <w:p w14:paraId="3249E8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687685" w14:textId="77777777" w:rsidR="008A5E89" w:rsidRPr="002F2FDF" w:rsidRDefault="008A5E89"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В мае 1917 по весенним контрактам 1917 г. завод Дукс получил аванс свыше 1,3 млн. руб и в сентябре беспроцентную ссуду в 2,758 млн. руб. В том же месяце из-за галопирующей инфляции комиссия Московского заводского совещания согласилась с ходатайством правления завода о повышении закупочных цен на «Ньюпоры» с 12 тыс. до 17,4 тыс. руб., на «Спады» — с 13,7 тыс. руб. до 25,09 тыс. руб. (15464).</w:t>
      </w:r>
    </w:p>
    <w:p w14:paraId="3A97C33A" w14:textId="77777777" w:rsidR="008A5E89" w:rsidRPr="002F2FDF" w:rsidRDefault="008A5E89" w:rsidP="0083075A">
      <w:pPr>
        <w:pStyle w:val="2"/>
        <w:spacing w:before="0" w:beforeAutospacing="0" w:after="0" w:afterAutospacing="0"/>
        <w:jc w:val="both"/>
        <w:rPr>
          <w:b w:val="0"/>
          <w:color w:val="000000" w:themeColor="text1"/>
          <w:kern w:val="2"/>
          <w:sz w:val="16"/>
          <w:szCs w:val="16"/>
        </w:rPr>
      </w:pPr>
    </w:p>
    <w:p w14:paraId="6B296C06" w14:textId="77777777" w:rsidR="008A5E89" w:rsidRPr="002F2FDF" w:rsidRDefault="008A5E8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г., когда на Ижорском заводе работал консультантом Ботезат, главные конструкторы воз</w:t>
      </w:r>
      <w:r w:rsidRPr="002F2FDF">
        <w:rPr>
          <w:rFonts w:ascii="Times New Roman" w:hAnsi="Times New Roman" w:cs="Times New Roman"/>
          <w:color w:val="000000" w:themeColor="text1"/>
          <w:kern w:val="2"/>
          <w:sz w:val="16"/>
          <w:szCs w:val="16"/>
        </w:rPr>
        <w:softHyphen/>
        <w:t>духоплавательного отделения завода Сухаржевский и Кондратьев неожидан</w:t>
      </w:r>
      <w:r w:rsidRPr="002F2FDF">
        <w:rPr>
          <w:rFonts w:ascii="Times New Roman" w:hAnsi="Times New Roman" w:cs="Times New Roman"/>
          <w:color w:val="000000" w:themeColor="text1"/>
          <w:kern w:val="2"/>
          <w:sz w:val="16"/>
          <w:szCs w:val="16"/>
        </w:rPr>
        <w:softHyphen/>
        <w:t>но представили в УВВФ новый проект тяжелого шестимоторного бомбарди</w:t>
      </w:r>
      <w:r w:rsidRPr="002F2FDF">
        <w:rPr>
          <w:rFonts w:ascii="Times New Roman" w:hAnsi="Times New Roman" w:cs="Times New Roman"/>
          <w:color w:val="000000" w:themeColor="text1"/>
          <w:kern w:val="2"/>
          <w:sz w:val="16"/>
          <w:szCs w:val="16"/>
        </w:rPr>
        <w:softHyphen/>
        <w:t>ровщика. На сей раз это был триплан со взлетной массой 7 т и площадью крыльев 216 м</w:t>
      </w:r>
      <w:r w:rsidRPr="002F2FDF">
        <w:rPr>
          <w:rFonts w:ascii="Times New Roman" w:hAnsi="Times New Roman" w:cs="Times New Roman"/>
          <w:color w:val="000000" w:themeColor="text1"/>
          <w:kern w:val="2"/>
          <w:sz w:val="16"/>
          <w:szCs w:val="16"/>
          <w:vertAlign w:val="superscript"/>
        </w:rPr>
        <w:t>2</w:t>
      </w:r>
      <w:r w:rsidRPr="002F2FDF">
        <w:rPr>
          <w:rFonts w:ascii="Times New Roman" w:hAnsi="Times New Roman" w:cs="Times New Roman"/>
          <w:color w:val="000000" w:themeColor="text1"/>
          <w:kern w:val="2"/>
          <w:sz w:val="16"/>
          <w:szCs w:val="16"/>
        </w:rPr>
        <w:t>. По предложению Ботезата, его постройку должно было пред</w:t>
      </w:r>
      <w:r w:rsidRPr="002F2FDF">
        <w:rPr>
          <w:rFonts w:ascii="Times New Roman" w:hAnsi="Times New Roman" w:cs="Times New Roman"/>
          <w:color w:val="000000" w:themeColor="text1"/>
          <w:kern w:val="2"/>
          <w:sz w:val="16"/>
          <w:szCs w:val="16"/>
        </w:rPr>
        <w:softHyphen/>
        <w:t>варить создание маленького самолета-аналога с двумя двигателями по 40 л. е., а также испытание модели в аэродинамической трубе. Компактность попу</w:t>
      </w:r>
      <w:r w:rsidRPr="002F2FDF">
        <w:rPr>
          <w:rFonts w:ascii="Times New Roman" w:hAnsi="Times New Roman" w:cs="Times New Roman"/>
          <w:color w:val="000000" w:themeColor="text1"/>
          <w:kern w:val="2"/>
          <w:sz w:val="16"/>
          <w:szCs w:val="16"/>
        </w:rPr>
        <w:softHyphen/>
        <w:t>лярной в то время трипланной схемы сулила весовые преимущества и улуч</w:t>
      </w:r>
      <w:r w:rsidRPr="002F2FDF">
        <w:rPr>
          <w:rFonts w:ascii="Times New Roman" w:hAnsi="Times New Roman" w:cs="Times New Roman"/>
          <w:color w:val="000000" w:themeColor="text1"/>
          <w:kern w:val="2"/>
          <w:sz w:val="16"/>
          <w:szCs w:val="16"/>
        </w:rPr>
        <w:softHyphen/>
        <w:t>шение обстрела из оборонительного оружия. Недостатки схемы еще не были очевидны, теория индуктивного сопротивления крыльев только зарождалась. Технический комитет УВВФ поддержал проект, но в июле 1917 г. Кондратьев предложил строить вместо экспериментального малоразмерного аналога пол</w:t>
      </w:r>
      <w:r w:rsidRPr="002F2FDF">
        <w:rPr>
          <w:rFonts w:ascii="Times New Roman" w:hAnsi="Times New Roman" w:cs="Times New Roman"/>
          <w:color w:val="000000" w:themeColor="text1"/>
          <w:kern w:val="2"/>
          <w:sz w:val="16"/>
          <w:szCs w:val="16"/>
        </w:rPr>
        <w:softHyphen/>
        <w:t>ноценный триплан-разведчик с двигателем «Рено» 220 л. с. и взлетной массой 1200 кг. Самолет не представлял собой уменьшенной копии гигантского трип</w:t>
      </w:r>
      <w:r w:rsidRPr="002F2FDF">
        <w:rPr>
          <w:rFonts w:ascii="Times New Roman" w:hAnsi="Times New Roman" w:cs="Times New Roman"/>
          <w:color w:val="000000" w:themeColor="text1"/>
          <w:kern w:val="2"/>
          <w:sz w:val="16"/>
          <w:szCs w:val="16"/>
        </w:rPr>
        <w:softHyphen/>
        <w:t>лана, и члены Комитета предпочли воздержаться от программы строитель</w:t>
      </w:r>
      <w:r w:rsidRPr="002F2FDF">
        <w:rPr>
          <w:rFonts w:ascii="Times New Roman" w:hAnsi="Times New Roman" w:cs="Times New Roman"/>
          <w:color w:val="000000" w:themeColor="text1"/>
          <w:kern w:val="2"/>
          <w:sz w:val="16"/>
          <w:szCs w:val="16"/>
        </w:rPr>
        <w:softHyphen/>
        <w:t>ства трипланов до окончания сборки «ижорского» бомбардировщика-биплана (15740).</w:t>
      </w:r>
    </w:p>
    <w:p w14:paraId="2F2207DC" w14:textId="77777777" w:rsidR="008A5E89" w:rsidRPr="002F2FDF" w:rsidRDefault="008A5E89" w:rsidP="0083075A">
      <w:pPr>
        <w:spacing w:after="0" w:line="240" w:lineRule="auto"/>
        <w:jc w:val="both"/>
        <w:rPr>
          <w:rFonts w:ascii="Times New Roman" w:hAnsi="Times New Roman" w:cs="Times New Roman"/>
          <w:color w:val="000000" w:themeColor="text1"/>
          <w:kern w:val="2"/>
          <w:sz w:val="16"/>
          <w:szCs w:val="16"/>
        </w:rPr>
      </w:pPr>
    </w:p>
    <w:p w14:paraId="47944921" w14:textId="77777777" w:rsidR="008A5E89" w:rsidRPr="002F2FDF" w:rsidRDefault="008A5E8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г. правление «ДЕКА» обратилось в УВВФ с просьбой об оплате постройки пер</w:t>
      </w:r>
      <w:r w:rsidRPr="002F2FDF">
        <w:rPr>
          <w:rFonts w:ascii="Times New Roman" w:hAnsi="Times New Roman" w:cs="Times New Roman"/>
          <w:color w:val="000000" w:themeColor="text1"/>
          <w:kern w:val="2"/>
          <w:sz w:val="16"/>
          <w:szCs w:val="16"/>
        </w:rPr>
        <w:softHyphen/>
        <w:t>вого самолета Ботезата не по контрактной цене, а по себестоимости. В условиях деваль</w:t>
      </w:r>
      <w:r w:rsidRPr="002F2FDF">
        <w:rPr>
          <w:rFonts w:ascii="Times New Roman" w:hAnsi="Times New Roman" w:cs="Times New Roman"/>
          <w:color w:val="000000" w:themeColor="text1"/>
          <w:kern w:val="2"/>
          <w:sz w:val="16"/>
          <w:szCs w:val="16"/>
        </w:rPr>
        <w:softHyphen/>
        <w:t>вации завод терпел убытки. Постройка второго самолета — «бомбометателя» — стала в этих условиях невозможной. Загруженность Общества другими заказами осложнила постройку само</w:t>
      </w:r>
      <w:r w:rsidRPr="002F2FDF">
        <w:rPr>
          <w:rFonts w:ascii="Times New Roman" w:hAnsi="Times New Roman" w:cs="Times New Roman"/>
          <w:color w:val="000000" w:themeColor="text1"/>
          <w:kern w:val="2"/>
          <w:sz w:val="16"/>
          <w:szCs w:val="16"/>
        </w:rPr>
        <w:softHyphen/>
        <w:t>летов Ботезата, впрочем, как и других его изобретений. Особенные проблемы возникли при обработке большого количества металлических труб, а также при производстве колес. Выручил авиационный завод В. А. Лебедева. Ему же заказали и деревянные нервюры</w:t>
      </w:r>
      <w:r w:rsidRPr="002F2FDF">
        <w:rPr>
          <w:rFonts w:ascii="Times New Roman" w:hAnsi="Times New Roman" w:cs="Times New Roman"/>
          <w:color w:val="000000" w:themeColor="text1"/>
          <w:kern w:val="2"/>
          <w:sz w:val="16"/>
          <w:szCs w:val="16"/>
          <w:vertAlign w:val="superscript"/>
        </w:rPr>
        <w:t>190</w:t>
      </w:r>
      <w:r w:rsidRPr="002F2FDF">
        <w:rPr>
          <w:rFonts w:ascii="Times New Roman" w:hAnsi="Times New Roman" w:cs="Times New Roman"/>
          <w:color w:val="000000" w:themeColor="text1"/>
          <w:kern w:val="2"/>
          <w:sz w:val="16"/>
          <w:szCs w:val="16"/>
        </w:rPr>
        <w:t>. Правда, завод Лебедева оказался самым неблагополучным в смысле рабочих беспорядков, хотя беспорядки были и на «ДЕКА». Одним словом, собрать оба самолета к сроку не успели (15740).</w:t>
      </w:r>
    </w:p>
    <w:p w14:paraId="1EC65866" w14:textId="77777777" w:rsidR="008A5E89" w:rsidRPr="002F2FDF" w:rsidRDefault="008A5E89" w:rsidP="0083075A">
      <w:pPr>
        <w:spacing w:after="0" w:line="240" w:lineRule="auto"/>
        <w:jc w:val="both"/>
        <w:rPr>
          <w:rFonts w:ascii="Times New Roman" w:hAnsi="Times New Roman" w:cs="Times New Roman"/>
          <w:color w:val="000000" w:themeColor="text1"/>
          <w:kern w:val="2"/>
          <w:sz w:val="16"/>
          <w:szCs w:val="16"/>
        </w:rPr>
      </w:pPr>
    </w:p>
    <w:p w14:paraId="3A39F9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г. летчик 30-го корпусного авиационного отряда унтер-офицер Рябоконь представил в Авиаканц докладную записку об изобретенном им самолете-разведчике. Это был биплан фюзеляжного типа, напоминавший “Спад”, но значительно более совершенный. Самолет был хорошо вооружен - два пулемета для стрельбы через винт и один на турели. Докладная записка была переслана в УВВФ, которое поручило профессору Фан дёр Флиту дать заключение о проекте. Последний выслушал личный доклад летчика и подробно обсудил с ним детали проекта (9705).</w:t>
      </w:r>
    </w:p>
    <w:p w14:paraId="5D2A4E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0A143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года летчик 30-го корпусного авиационного отряда унтер-офицер Рябоконь представил в Авиаканц докладную записку о разработанном им на основании собственного боевого опыта самоле</w:t>
      </w:r>
      <w:r w:rsidRPr="002F2FDF">
        <w:rPr>
          <w:rFonts w:ascii="Times New Roman" w:hAnsi="Times New Roman" w:cs="Times New Roman"/>
          <w:color w:val="000000" w:themeColor="text1"/>
          <w:kern w:val="2"/>
          <w:sz w:val="16"/>
          <w:szCs w:val="16"/>
        </w:rPr>
        <w:softHyphen/>
        <w:t>те-разведчике, имевшем существенные преимущества перед принятыми на вооружение иностранными ап</w:t>
      </w:r>
      <w:r w:rsidRPr="002F2FDF">
        <w:rPr>
          <w:rFonts w:ascii="Times New Roman" w:hAnsi="Times New Roman" w:cs="Times New Roman"/>
          <w:color w:val="000000" w:themeColor="text1"/>
          <w:kern w:val="2"/>
          <w:sz w:val="16"/>
          <w:szCs w:val="16"/>
        </w:rPr>
        <w:softHyphen/>
        <w:t>паратами. О проекте этого самолета дал благоприятный от</w:t>
      </w:r>
      <w:r w:rsidRPr="002F2FDF">
        <w:rPr>
          <w:rFonts w:ascii="Times New Roman" w:hAnsi="Times New Roman" w:cs="Times New Roman"/>
          <w:color w:val="000000" w:themeColor="text1"/>
          <w:kern w:val="2"/>
          <w:sz w:val="16"/>
          <w:szCs w:val="16"/>
        </w:rPr>
        <w:softHyphen/>
        <w:t>зыв профессор А-П.Фан дер Флит, подчеркнув не</w:t>
      </w:r>
      <w:r w:rsidRPr="002F2FDF">
        <w:rPr>
          <w:rFonts w:ascii="Times New Roman" w:hAnsi="Times New Roman" w:cs="Times New Roman"/>
          <w:color w:val="000000" w:themeColor="text1"/>
          <w:kern w:val="2"/>
          <w:sz w:val="16"/>
          <w:szCs w:val="16"/>
        </w:rPr>
        <w:softHyphen/>
        <w:t>которые рациональные особенности конструкции. Самолет представлял собой двухместный биплан с двигателем “Рон” в 80 л.с. Трапециевидные в плане крылья имели небольшое поперечное V. Схема само</w:t>
      </w:r>
      <w:r w:rsidRPr="002F2FDF">
        <w:rPr>
          <w:rFonts w:ascii="Times New Roman" w:hAnsi="Times New Roman" w:cs="Times New Roman"/>
          <w:color w:val="000000" w:themeColor="text1"/>
          <w:kern w:val="2"/>
          <w:sz w:val="16"/>
          <w:szCs w:val="16"/>
        </w:rPr>
        <w:softHyphen/>
        <w:t>лета аэродинамически более совершенная, чем с обычными прямоугольными крыльями. Фанерный фюзеляж выполнен сужающимся книзу, что позво</w:t>
      </w:r>
      <w:r w:rsidRPr="002F2FDF">
        <w:rPr>
          <w:rFonts w:ascii="Times New Roman" w:hAnsi="Times New Roman" w:cs="Times New Roman"/>
          <w:color w:val="000000" w:themeColor="text1"/>
          <w:kern w:val="2"/>
          <w:sz w:val="16"/>
          <w:szCs w:val="16"/>
        </w:rPr>
        <w:softHyphen/>
        <w:t>лило улучшить обзор и обстрел из кабины наблюда</w:t>
      </w:r>
      <w:r w:rsidRPr="002F2FDF">
        <w:rPr>
          <w:rFonts w:ascii="Times New Roman" w:hAnsi="Times New Roman" w:cs="Times New Roman"/>
          <w:color w:val="000000" w:themeColor="text1"/>
          <w:kern w:val="2"/>
          <w:sz w:val="16"/>
          <w:szCs w:val="16"/>
        </w:rPr>
        <w:softHyphen/>
        <w:t>теля. Кроме того, у летчика-наблюдателя устанавли</w:t>
      </w:r>
      <w:r w:rsidRPr="002F2FDF">
        <w:rPr>
          <w:rFonts w:ascii="Times New Roman" w:hAnsi="Times New Roman" w:cs="Times New Roman"/>
          <w:color w:val="000000" w:themeColor="text1"/>
          <w:kern w:val="2"/>
          <w:sz w:val="16"/>
          <w:szCs w:val="16"/>
        </w:rPr>
        <w:softHyphen/>
        <w:t>валось второе, выключаемое управление. Мощное вооружение самолета — два пулемета для стрельбы через винт и один на турели — позволяли вести кру</w:t>
      </w:r>
      <w:r w:rsidRPr="002F2FDF">
        <w:rPr>
          <w:rFonts w:ascii="Times New Roman" w:hAnsi="Times New Roman" w:cs="Times New Roman"/>
          <w:color w:val="000000" w:themeColor="text1"/>
          <w:kern w:val="2"/>
          <w:sz w:val="16"/>
          <w:szCs w:val="16"/>
        </w:rPr>
        <w:softHyphen/>
        <w:t>говой обстрел и двойной обстрел вперед. На самоле</w:t>
      </w:r>
      <w:r w:rsidRPr="002F2FDF">
        <w:rPr>
          <w:rFonts w:ascii="Times New Roman" w:hAnsi="Times New Roman" w:cs="Times New Roman"/>
          <w:color w:val="000000" w:themeColor="text1"/>
          <w:kern w:val="2"/>
          <w:sz w:val="16"/>
          <w:szCs w:val="16"/>
        </w:rPr>
        <w:softHyphen/>
        <w:t>те устанавливались сбрасываемые в полете бензоба</w:t>
      </w:r>
      <w:r w:rsidRPr="002F2FDF">
        <w:rPr>
          <w:rFonts w:ascii="Times New Roman" w:hAnsi="Times New Roman" w:cs="Times New Roman"/>
          <w:color w:val="000000" w:themeColor="text1"/>
          <w:kern w:val="2"/>
          <w:sz w:val="16"/>
          <w:szCs w:val="16"/>
        </w:rPr>
        <w:softHyphen/>
        <w:t>ки. Это и другие новшества были использованы в авиатехнике много лет спустя. В своем заключении о проекте профессор Фан дер Флит ходатайствовал о “немедленном оказании летчику Рябоконь содействия в постройке аппарата в мастерских 3-го авиационного парка в Киеве”. Одна</w:t>
      </w:r>
      <w:r w:rsidRPr="002F2FDF">
        <w:rPr>
          <w:rFonts w:ascii="Times New Roman" w:hAnsi="Times New Roman" w:cs="Times New Roman"/>
          <w:color w:val="000000" w:themeColor="text1"/>
          <w:kern w:val="2"/>
          <w:sz w:val="16"/>
          <w:szCs w:val="16"/>
        </w:rPr>
        <w:softHyphen/>
        <w:t>ко постройка велась крайне медленно из-за загружен</w:t>
      </w:r>
      <w:r w:rsidRPr="002F2FDF">
        <w:rPr>
          <w:rFonts w:ascii="Times New Roman" w:hAnsi="Times New Roman" w:cs="Times New Roman"/>
          <w:color w:val="000000" w:themeColor="text1"/>
          <w:kern w:val="2"/>
          <w:sz w:val="16"/>
          <w:szCs w:val="16"/>
        </w:rPr>
        <w:softHyphen/>
        <w:t>ности мастерских работами для фронта, а с началом гражданской войны прекратилась совсем (553).</w:t>
      </w:r>
    </w:p>
    <w:p w14:paraId="0CB6900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C0DE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С.А.Кочеригин был направлен в КБ Морского ведомства при Петроградском Политехническом Институте, возглавляемом В.А.Шишковым (3807,65).</w:t>
      </w:r>
    </w:p>
    <w:p w14:paraId="4C30FC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55740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мая 1917 г. строительная комиссия начала соответствующие работы по первому в России заводу авиационных измерительных приборов, которые предполагалось завершить к ноябрю 1917 г. Параллельно со строительством были заключены договора о поставке заводу станков со шведскими и американскими фирмами.</w:t>
      </w:r>
    </w:p>
    <w:p w14:paraId="7F51235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 касается покупки русских станков или находящихся в России, то они покупались большею частью целыми оборудованными мастерскими. Были куплены мастерские: Луценко и Немчинов, Дмитриевского (компасная) и Мюлле (никелировочная)" (Протокол заседания Комиссии по обследованию заводов Централь</w:t>
      </w:r>
      <w:r w:rsidRPr="002F2FDF">
        <w:rPr>
          <w:rFonts w:ascii="Times New Roman" w:hAnsi="Times New Roman" w:cs="Times New Roman"/>
          <w:color w:val="000000" w:themeColor="text1"/>
          <w:kern w:val="2"/>
          <w:sz w:val="16"/>
          <w:szCs w:val="16"/>
        </w:rPr>
        <w:softHyphen/>
        <w:t>ного района, работающих на авиацию и имеющих заказы от УВВФ. 4 марта (19 февраля) 1918 г. - ЦГАСА, ф.29, опЛ, ед.хр. 23, л. 17-48.) (11077).</w:t>
      </w:r>
    </w:p>
    <w:p w14:paraId="66C5583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D5CB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г. УВВФ командировало во Францию авторитетную комиссию во главе с полковником Немченко, облеченную широкими полномочиями для закупки авиационного имущества и заводского оборудования, но она столкнулась в Париже с конкурентом в лице представителей русского военно-морского ведомства. В первые годы войны не существовало координации в заграничных закупках между сухопутной и морской авиацией. Этим пользовались иностранные фирмы, набивая цены и выполняя заказы тем, кто больше платил (9705).</w:t>
      </w:r>
    </w:p>
    <w:p w14:paraId="13EC32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69C6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месяце 1917 парашют Котельникова испытывался в 28-м корпусном воздухоплавательном отряде. Вначале с ним с высоты около 300 м сбрасывали чучело. Первый прыжок с парашютом сделал подпоручик Остратов. "С высоты около 500 м подпоручик Остратов выпрыгнул из корзины ногами вниз. Парашют падал около 4 секунд, не открываясь, а затем раскрылся, и падение продолжалось плавно и довольно медленно, но ближе к земле падение несколько ускорилось. Спуск закончился вполне благополучно. По словам подпоручика Остратова, при спуске толчков и каких-либо болезненных явлений не ощущал".</w:t>
      </w:r>
    </w:p>
    <w:p w14:paraId="5FEFE1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Тем не менее, несмотря на положительное заключение об испытании парашюта Котельникова, многие относились к этому виду спасения скептически. Опасались главным образом того, что во время падения до момента раскрытия парашюта человек будет испытывать болезненные явления. При этом ссылались на практику быстрого спуска на аэростате, когда наблюдались прилив крови к голове, кровотечение из горла и носа, шум и боль в ушах. Командир 5-го армейского воздухоплавательного отряда Анощен- ко свидетельствовал о высказываемых опасениях, что в первый момент раскрытия парашюта получится слишком сильный толчок, который произведет общее сотрясение пилота и т. п. Дело осложнялось еще и тем, что командование закупило во Франции парашюты Жюкмеса, ненадежные и опасные, и усиленно рекомендовало их к применению.</w:t>
      </w:r>
    </w:p>
    <w:p w14:paraId="10B576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Впрочем, даже этот парашют вполне мог порой спасти жизнь летчика. Незадолго до этих испытаний, 25 января произошел забавный случай. "Внезапно раскрывшийся и оторвавшийся от оболочки змейкового аэростата парашют насильно вытащил из корзины воздухоплавателя 6-го отряда Мищкойта. К счастью, спуск на землю прошел благополучно". Подобный случай имел место и в мае предыдущего года, но в тот раз наблюдатель успел обрезать парашют и остался в гондоле.</w:t>
      </w:r>
    </w:p>
    <w:p w14:paraId="1C9477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Для устранения подобных случаев подпоручик 12-й воздухоплавательной роты Н.Д. Анощенко разработал и предложил свою систему подвески парашюта.</w:t>
      </w:r>
    </w:p>
    <w:p w14:paraId="06C2A6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первые годы войны к парашютам все авиаторы и воздухоплаватели относились с большим недоверием. Однако, подвергавшиеся все более частым нападениям истребителей воздухоплаватели, стали пользоваться парашютами. И, как это ни странно, парашюты применялись в русской армии только в воздухоплавательных ротах, летчики тех лет пренебрегали этим средством. Никто из них не высказался открыто по этому поводу, но скорее всего, у каждого из них в подавляющем большинстве случаев была надежда спасти самолет, так или иначе дотянув до подходящего места и посадив его. В Англии же пользование парашютом было даже запрещено; летчикам предписывалось стремиться в любой ситуации спасать дорогостоящие машины.</w:t>
      </w:r>
    </w:p>
    <w:p w14:paraId="74893D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из состава русских авиаторов выбыло 22 человека; из них 7 пилотов-офицеров и 1 солдат, а также погибли во время совершения боевых полетов 5 наблюдателей, еще 4 солдата и 5 наблюдателей погибли из-за неисправностей самолетов. Вероятно, как минимум в половине этих случаев летчики могли бы остаться живы, если бы воспользовались парашютом. Однако, никто даже не пытался предлагать подобного решения.</w:t>
      </w:r>
    </w:p>
    <w:p w14:paraId="50133F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 это несмотря на то, что парашют, казалось бы, уже был достаточно испытан. Многие пытались найти средство для спасения летчиков в аварийных ситуациях. Однако первым создал действительно вполне совершенный для этой цели парашют русский изобретатель отставной артиллерийский поручик Глеб Евгеньевич Котельников. Из докладной записки Котельникова: "Длинный и скорбный синодик славных жертв в авиации натолкнул меня на изобретение весьма простого полезного прибора для предотвращения гибели авиаторов". Основная заслуга Котельникова состоит в том, что он первым создал парашют, укладывающийся в ранец и имевший стропы, соединявшиеся с подвесной системой в двух точках. Котельникову долго чинили препятствия. Председатель Комиссии по рассмотрению его изобретения М.М. Кованько заявил, что после того как летчик выбросится из самолета и откроет парашют, он будет больше ему не нужен, так как при рывке у него оторвутся ноги. Однако Котельников добился своего.</w:t>
      </w:r>
    </w:p>
    <w:p w14:paraId="0D864C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Первые опыты по испытанию парашюта Котельникова производились (10) августа 1911 г. На парашюте сбрасывали манекен. Этих опытов оказалось недостаточно. (6) июля 1912 г. по ходатайству военного министра, до которого дошел Котельников, были вновь проведены опыты. "Парашют вполне раскрылся на третьей секунде, т. е. пролетев всего 15 м, и без всяких колебательных движений опустился... имея скорость 1,5 м/с... трава на месте спуска оказалась едва примятой". Однако русское военное руководство вновь отнеслось к этому скептически.</w:t>
      </w:r>
    </w:p>
    <w:p w14:paraId="7439E8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Генерал Вернардер: "Кукла-то... может упасть более или менее счастливо, а кто же из живых первый решится сделать опыт лично? Изобретатель прибора также ведь еще не пробовал лично опускаться на изобретенном им парашюте..." Частное товарищество В.А. Ломач изготовило опытную партию парашютов, демонстрировало их сначала в Севастопольской школе, ав1913 г. в Париже и Руане. Два парашюта Ломач оставил за границей (11999).</w:t>
      </w:r>
    </w:p>
    <w:p w14:paraId="6C8F4B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4676B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г., спустя два месяца после отречения от престола русского царя Николая II, авиатранспорт “Им</w:t>
      </w:r>
      <w:r w:rsidRPr="002F2FDF">
        <w:rPr>
          <w:rFonts w:ascii="Times New Roman" w:hAnsi="Times New Roman" w:cs="Times New Roman"/>
          <w:color w:val="000000" w:themeColor="text1"/>
          <w:kern w:val="2"/>
          <w:sz w:val="16"/>
          <w:szCs w:val="16"/>
        </w:rPr>
        <w:softHyphen/>
        <w:t>ператор Николай I” переименовали в “Республиканец”, а “Император Александр I” - в “Авиатор” (11107).</w:t>
      </w:r>
    </w:p>
    <w:p w14:paraId="3A44572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276C3F" w14:textId="77777777" w:rsidR="00CF2488" w:rsidRPr="00FB4F67" w:rsidRDefault="00CF248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мае 1917 г. после прохождения испытаний П-IV, благодаря удачному сочета</w:t>
      </w:r>
      <w:r w:rsidRPr="00FB4F67">
        <w:rPr>
          <w:rFonts w:ascii="Times New Roman" w:hAnsi="Times New Roman" w:cs="Times New Roman"/>
          <w:color w:val="0070C0"/>
          <w:sz w:val="16"/>
          <w:szCs w:val="16"/>
        </w:rPr>
        <w:softHyphen/>
        <w:t>нию высокой устойчивости и простоты уп</w:t>
      </w:r>
      <w:r w:rsidRPr="00FB4F67">
        <w:rPr>
          <w:rFonts w:ascii="Times New Roman" w:hAnsi="Times New Roman" w:cs="Times New Roman"/>
          <w:color w:val="0070C0"/>
          <w:sz w:val="16"/>
          <w:szCs w:val="16"/>
        </w:rPr>
        <w:softHyphen/>
        <w:t>равления, признавался хорошим учебным самолетом и рекомендовался к серийной постройке. Неустановленное количество таких аппаратов было изготовлено и ис</w:t>
      </w:r>
      <w:r w:rsidRPr="00FB4F67">
        <w:rPr>
          <w:rFonts w:ascii="Times New Roman" w:hAnsi="Times New Roman" w:cs="Times New Roman"/>
          <w:color w:val="0070C0"/>
          <w:sz w:val="16"/>
          <w:szCs w:val="16"/>
        </w:rPr>
        <w:softHyphen/>
        <w:t>пользовалось для обучения летчиков.</w:t>
      </w:r>
    </w:p>
    <w:p w14:paraId="34709E1B" w14:textId="77777777" w:rsidR="00CF2488" w:rsidRPr="00FB4F67" w:rsidRDefault="00CF248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1919 г. Пороховщиков построил учеб</w:t>
      </w:r>
      <w:r w:rsidRPr="00FB4F67">
        <w:rPr>
          <w:rFonts w:ascii="Times New Roman" w:hAnsi="Times New Roman" w:cs="Times New Roman"/>
          <w:color w:val="0070C0"/>
          <w:sz w:val="16"/>
          <w:szCs w:val="16"/>
        </w:rPr>
        <w:softHyphen/>
        <w:t>ный самолет П-IV бис, отличающийся уста</w:t>
      </w:r>
      <w:r w:rsidRPr="00FB4F67">
        <w:rPr>
          <w:rFonts w:ascii="Times New Roman" w:hAnsi="Times New Roman" w:cs="Times New Roman"/>
          <w:color w:val="0070C0"/>
          <w:sz w:val="16"/>
          <w:szCs w:val="16"/>
        </w:rPr>
        <w:softHyphen/>
        <w:t>новкой двигателя «Рон» 80 л.с. с тянущим винтом и посадкой ученика и инструктора рядом друг с другом. Известно, что соглас</w:t>
      </w:r>
      <w:r w:rsidRPr="00FB4F67">
        <w:rPr>
          <w:rFonts w:ascii="Times New Roman" w:hAnsi="Times New Roman" w:cs="Times New Roman"/>
          <w:color w:val="0070C0"/>
          <w:sz w:val="16"/>
          <w:szCs w:val="16"/>
        </w:rPr>
        <w:softHyphen/>
        <w:t>но докладной записке Главного управления объединенных авиазаводов от 27 сентября 1919 года на заводе «Моска» велось изго</w:t>
      </w:r>
      <w:r w:rsidRPr="00FB4F67">
        <w:rPr>
          <w:rFonts w:ascii="Times New Roman" w:hAnsi="Times New Roman" w:cs="Times New Roman"/>
          <w:color w:val="0070C0"/>
          <w:sz w:val="16"/>
          <w:szCs w:val="16"/>
        </w:rPr>
        <w:softHyphen/>
        <w:t>товление 55 экземпляров П-IV бис, (РГАЭ. Ф.2097, оп.7, д.29). Однако другой доку мент (Протокол Объединенного согласи</w:t>
      </w:r>
      <w:r w:rsidRPr="00FB4F67">
        <w:rPr>
          <w:rFonts w:ascii="Times New Roman" w:hAnsi="Times New Roman" w:cs="Times New Roman"/>
          <w:color w:val="0070C0"/>
          <w:sz w:val="16"/>
          <w:szCs w:val="16"/>
        </w:rPr>
        <w:softHyphen/>
        <w:t>тельного совещания по вопросам авиаст</w:t>
      </w:r>
      <w:r w:rsidRPr="00FB4F67">
        <w:rPr>
          <w:rFonts w:ascii="Times New Roman" w:hAnsi="Times New Roman" w:cs="Times New Roman"/>
          <w:color w:val="0070C0"/>
          <w:sz w:val="16"/>
          <w:szCs w:val="16"/>
        </w:rPr>
        <w:softHyphen/>
        <w:t>роения от 29 октября 1919 г.) указывает о возможном изготовлении к 1 мая 1920 года лишь 20 самолетов П-IV бис (РГАЭ. Ф.2097, оп.З, д.120). Скорее всего, по при</w:t>
      </w:r>
      <w:r w:rsidRPr="00FB4F67">
        <w:rPr>
          <w:rFonts w:ascii="Times New Roman" w:hAnsi="Times New Roman" w:cs="Times New Roman"/>
          <w:color w:val="0070C0"/>
          <w:sz w:val="16"/>
          <w:szCs w:val="16"/>
        </w:rPr>
        <w:softHyphen/>
        <w:t>чине недостатка материалов и это количе</w:t>
      </w:r>
      <w:r w:rsidRPr="00FB4F67">
        <w:rPr>
          <w:rFonts w:ascii="Times New Roman" w:hAnsi="Times New Roman" w:cs="Times New Roman"/>
          <w:color w:val="0070C0"/>
          <w:sz w:val="16"/>
          <w:szCs w:val="16"/>
        </w:rPr>
        <w:softHyphen/>
        <w:t>ство было затем уменьшено (23370).</w:t>
      </w:r>
    </w:p>
    <w:p w14:paraId="223CB4CD" w14:textId="77777777" w:rsidR="00CF2488" w:rsidRPr="00FB4F67" w:rsidRDefault="00CF2488" w:rsidP="0083075A">
      <w:pPr>
        <w:spacing w:after="0" w:line="240" w:lineRule="auto"/>
        <w:jc w:val="both"/>
        <w:rPr>
          <w:rFonts w:ascii="Times New Roman" w:hAnsi="Times New Roman" w:cs="Times New Roman"/>
          <w:color w:val="0070C0"/>
          <w:sz w:val="16"/>
          <w:szCs w:val="16"/>
        </w:rPr>
      </w:pPr>
    </w:p>
    <w:p w14:paraId="0DF0EC80" w14:textId="77777777" w:rsidR="00CF2488" w:rsidRPr="00FB4F67" w:rsidRDefault="00CF248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мае 1917 г. В.А. Лебедев подписал контракт на постройку в Таганроге 200 самолетов «Лебедь-12», часть из них — в поплавковом варианте. Но из-за кризиса 1917 г. строительство завода затянулось. Между тем из Петрограда уже прибыла группа опытных рабочих, шел набор трудовых кадров и в Таганроге. Чтобы занять людей, в еще незаконченных корпусах организовали сборку самолетов из готовых агрегатов, которые привозили с петроградского завода Лебедева. В 1917 г. поднялись в воздух первые собранные в Таганроге «вуазены», «сопвичи», «лебеди». Однако как полноценное предприятие завод тогда так и не заработал. «Главный корпус почти закончен, но еще нет оборудования, поэтому на выпуск самолетов к весне 1918 г. рассчитывать нельзя», — сообщал из Таганрога в октябре 1917 г. представитель Управления Военно-воздушного флота (23472).</w:t>
      </w:r>
    </w:p>
    <w:p w14:paraId="1586D203" w14:textId="77777777" w:rsidR="00CF2488" w:rsidRPr="00FB4F67" w:rsidRDefault="00CF2488" w:rsidP="0083075A">
      <w:pPr>
        <w:spacing w:after="0" w:line="240" w:lineRule="auto"/>
        <w:jc w:val="both"/>
        <w:rPr>
          <w:rFonts w:ascii="Times New Roman" w:hAnsi="Times New Roman" w:cs="Times New Roman"/>
          <w:color w:val="0070C0"/>
          <w:sz w:val="16"/>
          <w:szCs w:val="16"/>
        </w:rPr>
      </w:pPr>
    </w:p>
    <w:p w14:paraId="703380BF" w14:textId="77777777" w:rsidR="00CF2488" w:rsidRPr="00FB4F67" w:rsidRDefault="00CF248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мае 1917 г. рассматривался проект триплана Ижорского завода. В период 1916-17 гг. здесь разработали проекты ше</w:t>
      </w:r>
      <w:r w:rsidRPr="00FB4F67">
        <w:rPr>
          <w:rFonts w:ascii="Times New Roman" w:hAnsi="Times New Roman" w:cs="Times New Roman"/>
          <w:color w:val="0070C0"/>
          <w:sz w:val="16"/>
          <w:szCs w:val="16"/>
        </w:rPr>
        <w:softHyphen/>
        <w:t>стимоторных самолетов-гигантов, выпол</w:t>
      </w:r>
      <w:r w:rsidRPr="00FB4F67">
        <w:rPr>
          <w:rFonts w:ascii="Times New Roman" w:hAnsi="Times New Roman" w:cs="Times New Roman"/>
          <w:color w:val="0070C0"/>
          <w:sz w:val="16"/>
          <w:szCs w:val="16"/>
        </w:rPr>
        <w:softHyphen/>
        <w:t>ненных по схеме биплана и триплана. Сило</w:t>
      </w:r>
      <w:r w:rsidRPr="00FB4F67">
        <w:rPr>
          <w:rFonts w:ascii="Times New Roman" w:hAnsi="Times New Roman" w:cs="Times New Roman"/>
          <w:color w:val="0070C0"/>
          <w:sz w:val="16"/>
          <w:szCs w:val="16"/>
        </w:rPr>
        <w:softHyphen/>
        <w:t>вая установка — двигатели «Рено» 220 л.с. или «Испано Сюиза» 200 л.с. Чуть позднее признавалось разум</w:t>
      </w:r>
      <w:r w:rsidRPr="00FB4F67">
        <w:rPr>
          <w:rFonts w:ascii="Times New Roman" w:hAnsi="Times New Roman" w:cs="Times New Roman"/>
          <w:color w:val="0070C0"/>
          <w:sz w:val="16"/>
          <w:szCs w:val="16"/>
        </w:rPr>
        <w:softHyphen/>
        <w:t>ным построить уменьшенную летающую модель этого аппарата. В результате пост</w:t>
      </w:r>
      <w:r w:rsidRPr="00FB4F67">
        <w:rPr>
          <w:rFonts w:ascii="Times New Roman" w:hAnsi="Times New Roman" w:cs="Times New Roman"/>
          <w:color w:val="0070C0"/>
          <w:sz w:val="16"/>
          <w:szCs w:val="16"/>
        </w:rPr>
        <w:softHyphen/>
        <w:t>ройка не состоялась (23374).</w:t>
      </w:r>
    </w:p>
    <w:p w14:paraId="44EB5441" w14:textId="77777777" w:rsidR="00CF2488" w:rsidRPr="00FB4F67" w:rsidRDefault="00CF2488" w:rsidP="0083075A">
      <w:pPr>
        <w:spacing w:after="0" w:line="240" w:lineRule="auto"/>
        <w:jc w:val="both"/>
        <w:rPr>
          <w:rFonts w:ascii="Times New Roman" w:hAnsi="Times New Roman" w:cs="Times New Roman"/>
          <w:color w:val="0070C0"/>
          <w:sz w:val="16"/>
          <w:szCs w:val="16"/>
        </w:rPr>
      </w:pPr>
    </w:p>
    <w:p w14:paraId="130C21FA" w14:textId="77777777" w:rsidR="00CF2488" w:rsidRPr="00FB4F67" w:rsidRDefault="00CF248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мае 1917 после ухода от Щетинина и образованием своего Опытного завода Григорович до</w:t>
      </w:r>
      <w:r w:rsidRPr="00FB4F67">
        <w:rPr>
          <w:rFonts w:ascii="Times New Roman" w:hAnsi="Times New Roman" w:cs="Times New Roman"/>
          <w:color w:val="0070C0"/>
          <w:sz w:val="16"/>
          <w:szCs w:val="16"/>
        </w:rPr>
        <w:softHyphen/>
        <w:t>бился контракта на постройку 50 учебных летающих лодок под двигатель «Рон» 110 и 125 л.с. По сути, это были прежние М-5 с небольшими изменениями конструкции. В середине 1917 г. состоялись испытания первого экземпляра с двигателем мощнос</w:t>
      </w:r>
      <w:r w:rsidRPr="00FB4F67">
        <w:rPr>
          <w:rFonts w:ascii="Times New Roman" w:hAnsi="Times New Roman" w:cs="Times New Roman"/>
          <w:color w:val="0070C0"/>
          <w:sz w:val="16"/>
          <w:szCs w:val="16"/>
        </w:rPr>
        <w:softHyphen/>
        <w:t>тью 125 л.с. Позднее серийные экземпля</w:t>
      </w:r>
      <w:r w:rsidRPr="00FB4F67">
        <w:rPr>
          <w:rFonts w:ascii="Times New Roman" w:hAnsi="Times New Roman" w:cs="Times New Roman"/>
          <w:color w:val="0070C0"/>
          <w:sz w:val="16"/>
          <w:szCs w:val="16"/>
        </w:rPr>
        <w:softHyphen/>
        <w:t>ры стали обозначаться М-20. Их производ</w:t>
      </w:r>
      <w:r w:rsidRPr="00FB4F67">
        <w:rPr>
          <w:rFonts w:ascii="Times New Roman" w:hAnsi="Times New Roman" w:cs="Times New Roman"/>
          <w:color w:val="0070C0"/>
          <w:sz w:val="16"/>
          <w:szCs w:val="16"/>
        </w:rPr>
        <w:softHyphen/>
        <w:t>ство продолжалось до 1920 г. и составило, в общем, около 80 экземпляров.</w:t>
      </w:r>
    </w:p>
    <w:p w14:paraId="53802E90" w14:textId="77777777" w:rsidR="00CF2488" w:rsidRPr="00FB4F67" w:rsidRDefault="00CF248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Летные и технические характеристики М-20</w:t>
      </w:r>
    </w:p>
    <w:p w14:paraId="778733BC" w14:textId="77777777" w:rsidR="00CF2488" w:rsidRPr="00FB4F67" w:rsidRDefault="00CF248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Размах верхнего крыла (м)</w:t>
      </w:r>
      <w:r w:rsidRPr="00FB4F67">
        <w:rPr>
          <w:rFonts w:ascii="Times New Roman" w:hAnsi="Times New Roman" w:cs="Times New Roman"/>
          <w:color w:val="0070C0"/>
          <w:sz w:val="16"/>
          <w:szCs w:val="16"/>
        </w:rPr>
        <w:tab/>
        <w:t>13,62</w:t>
      </w:r>
    </w:p>
    <w:p w14:paraId="18D8A2F1" w14:textId="77777777" w:rsidR="00CF2488" w:rsidRPr="00FB4F67" w:rsidRDefault="00CF248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Длина в линии полета (м)</w:t>
      </w:r>
      <w:r w:rsidRPr="00FB4F67">
        <w:rPr>
          <w:rFonts w:ascii="Times New Roman" w:hAnsi="Times New Roman" w:cs="Times New Roman"/>
          <w:color w:val="0070C0"/>
          <w:sz w:val="16"/>
          <w:szCs w:val="16"/>
        </w:rPr>
        <w:tab/>
        <w:t>8,22</w:t>
      </w:r>
    </w:p>
    <w:p w14:paraId="49EFC3E7" w14:textId="77777777" w:rsidR="00CF2488" w:rsidRPr="00FB4F67" w:rsidRDefault="00CF248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Площадь крыльев (м2)</w:t>
      </w:r>
      <w:r w:rsidRPr="00FB4F67">
        <w:rPr>
          <w:rFonts w:ascii="Times New Roman" w:hAnsi="Times New Roman" w:cs="Times New Roman"/>
          <w:color w:val="0070C0"/>
          <w:sz w:val="16"/>
          <w:szCs w:val="16"/>
        </w:rPr>
        <w:tab/>
        <w:t>37,96</w:t>
      </w:r>
    </w:p>
    <w:p w14:paraId="0E3B5248" w14:textId="77777777" w:rsidR="00CF2488" w:rsidRPr="00FB4F67" w:rsidRDefault="00CF248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Вес пустого (кг)</w:t>
      </w:r>
      <w:r w:rsidRPr="00FB4F67">
        <w:rPr>
          <w:rFonts w:ascii="Times New Roman" w:hAnsi="Times New Roman" w:cs="Times New Roman"/>
          <w:color w:val="0070C0"/>
          <w:sz w:val="16"/>
          <w:szCs w:val="16"/>
        </w:rPr>
        <w:tab/>
        <w:t>660</w:t>
      </w:r>
    </w:p>
    <w:p w14:paraId="14D05413" w14:textId="77777777" w:rsidR="00CF2488" w:rsidRPr="00FB4F67" w:rsidRDefault="00CF248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Полетный вес (кг)</w:t>
      </w:r>
      <w:r w:rsidRPr="00FB4F67">
        <w:rPr>
          <w:rFonts w:ascii="Times New Roman" w:hAnsi="Times New Roman" w:cs="Times New Roman"/>
          <w:color w:val="0070C0"/>
          <w:sz w:val="16"/>
          <w:szCs w:val="16"/>
        </w:rPr>
        <w:tab/>
        <w:t>960</w:t>
      </w:r>
    </w:p>
    <w:p w14:paraId="17360E0F" w14:textId="77777777" w:rsidR="00CF2488" w:rsidRPr="00FB4F67" w:rsidRDefault="00CF248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Скорость у земли (км/ч)</w:t>
      </w:r>
      <w:r w:rsidRPr="00FB4F67">
        <w:rPr>
          <w:rFonts w:ascii="Times New Roman" w:hAnsi="Times New Roman" w:cs="Times New Roman"/>
          <w:color w:val="0070C0"/>
          <w:sz w:val="16"/>
          <w:szCs w:val="16"/>
        </w:rPr>
        <w:tab/>
        <w:t>115</w:t>
      </w:r>
    </w:p>
    <w:p w14:paraId="0FC60EEC" w14:textId="77777777" w:rsidR="00CF2488" w:rsidRPr="00FB4F67" w:rsidRDefault="00CF248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Потолок(м)</w:t>
      </w:r>
      <w:r w:rsidRPr="00FB4F67">
        <w:rPr>
          <w:rFonts w:ascii="Times New Roman" w:hAnsi="Times New Roman" w:cs="Times New Roman"/>
          <w:color w:val="0070C0"/>
          <w:sz w:val="16"/>
          <w:szCs w:val="16"/>
        </w:rPr>
        <w:tab/>
        <w:t>3500</w:t>
      </w:r>
    </w:p>
    <w:p w14:paraId="3C37336D" w14:textId="77777777" w:rsidR="00CF2488" w:rsidRPr="00FB4F67" w:rsidRDefault="00CF248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Время набора высоты 2000 м (мин)</w:t>
      </w:r>
      <w:r w:rsidRPr="00FB4F67">
        <w:rPr>
          <w:rFonts w:ascii="Times New Roman" w:hAnsi="Times New Roman" w:cs="Times New Roman"/>
          <w:color w:val="0070C0"/>
          <w:sz w:val="16"/>
          <w:szCs w:val="16"/>
        </w:rPr>
        <w:tab/>
        <w:t>22</w:t>
      </w:r>
    </w:p>
    <w:p w14:paraId="2CBC9F36" w14:textId="77777777" w:rsidR="00CF2488" w:rsidRPr="00FB4F67" w:rsidRDefault="00CF248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Продолжительность полета (час)</w:t>
      </w:r>
      <w:r w:rsidRPr="00FB4F67">
        <w:rPr>
          <w:rFonts w:ascii="Times New Roman" w:hAnsi="Times New Roman" w:cs="Times New Roman"/>
          <w:color w:val="0070C0"/>
          <w:sz w:val="16"/>
          <w:szCs w:val="16"/>
        </w:rPr>
        <w:tab/>
        <w:t>4</w:t>
      </w:r>
    </w:p>
    <w:p w14:paraId="5B34A073" w14:textId="77777777" w:rsidR="00CF2488" w:rsidRPr="00FB4F67" w:rsidRDefault="00CF248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Большинство М-20 принимало участие в гражданской войне на стороне красных. Летали на Балтике, Каспийском море, Вол</w:t>
      </w:r>
      <w:r w:rsidRPr="00FB4F67">
        <w:rPr>
          <w:rFonts w:ascii="Times New Roman" w:hAnsi="Times New Roman" w:cs="Times New Roman"/>
          <w:color w:val="0070C0"/>
          <w:sz w:val="16"/>
          <w:szCs w:val="16"/>
        </w:rPr>
        <w:softHyphen/>
        <w:t>ге, Днепре и Северной Двине. В качестве вооружения имели один пулемет на трено</w:t>
      </w:r>
      <w:r w:rsidRPr="00FB4F67">
        <w:rPr>
          <w:rFonts w:ascii="Times New Roman" w:hAnsi="Times New Roman" w:cs="Times New Roman"/>
          <w:color w:val="0070C0"/>
          <w:sz w:val="16"/>
          <w:szCs w:val="16"/>
        </w:rPr>
        <w:softHyphen/>
        <w:t>ге и бомбы до 32 кг. Отдельные экземпля</w:t>
      </w:r>
      <w:r w:rsidRPr="00FB4F67">
        <w:rPr>
          <w:rFonts w:ascii="Times New Roman" w:hAnsi="Times New Roman" w:cs="Times New Roman"/>
          <w:color w:val="0070C0"/>
          <w:sz w:val="16"/>
          <w:szCs w:val="16"/>
        </w:rPr>
        <w:softHyphen/>
        <w:t>ры встречались в начале 1920-х годов (23374).</w:t>
      </w:r>
    </w:p>
    <w:p w14:paraId="0CFC40B6" w14:textId="77777777" w:rsidR="00CF2488" w:rsidRPr="00FB4F67" w:rsidRDefault="00CF2488" w:rsidP="0083075A">
      <w:pPr>
        <w:spacing w:after="0" w:line="240" w:lineRule="auto"/>
        <w:jc w:val="both"/>
        <w:rPr>
          <w:rFonts w:ascii="Times New Roman" w:hAnsi="Times New Roman" w:cs="Times New Roman"/>
          <w:color w:val="0070C0"/>
          <w:sz w:val="16"/>
          <w:szCs w:val="16"/>
        </w:rPr>
      </w:pPr>
    </w:p>
    <w:p w14:paraId="444B2CEE" w14:textId="77777777" w:rsidR="00CF2488" w:rsidRPr="00FB4F67" w:rsidRDefault="00CF248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мае 1917 после ухода от Щетинина и образованием своего Опытного завода Григорович до</w:t>
      </w:r>
      <w:r w:rsidRPr="00FB4F67">
        <w:rPr>
          <w:rFonts w:ascii="Times New Roman" w:hAnsi="Times New Roman" w:cs="Times New Roman"/>
          <w:color w:val="0070C0"/>
          <w:sz w:val="16"/>
          <w:szCs w:val="16"/>
        </w:rPr>
        <w:softHyphen/>
        <w:t xml:space="preserve">бился контракта на постройку 50 учебных летающих лодок под двигатель «Рон» 110 и 125 л.с. По сути, это были прежние М-5 с небольшими изменениями конструкции. </w:t>
      </w:r>
    </w:p>
    <w:p w14:paraId="225615B3" w14:textId="77777777" w:rsidR="00CF2488" w:rsidRPr="00FB4F67" w:rsidRDefault="00CF2488" w:rsidP="0083075A">
      <w:pPr>
        <w:spacing w:after="0" w:line="240" w:lineRule="auto"/>
        <w:jc w:val="both"/>
        <w:rPr>
          <w:rFonts w:ascii="Times New Roman" w:hAnsi="Times New Roman" w:cs="Times New Roman"/>
          <w:color w:val="0070C0"/>
          <w:sz w:val="16"/>
          <w:szCs w:val="16"/>
        </w:rPr>
      </w:pPr>
    </w:p>
    <w:p w14:paraId="5B8B294D" w14:textId="77777777" w:rsidR="00CF2488" w:rsidRPr="00FB4F67" w:rsidRDefault="00CF248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мае 1917 г. Ван дер Флит, который, являясь членом Технического комитета Управления военно-воздушного флота, занимался решением ряда проблем, связанных с анализом конструкций и аэродинамики построенных и проектировавшихся самолетов, совместно с профессорами С. П. Тимошенко и Г. А. Ботезатом проводит ответственную экспертизу прочности и надежности модифицированного варианта аэроплана И. И. Сикорского «Илья Муромец». Перед завершением Первой мировой войны Управление военно-воздушного флота приняло решение организовать под Херсоном многопрофильный авиационный комплекс («Авиагородок») под руководством Г. А. Ботезата и А. П. Фан-дер-Флита. После октябрьского переворота работы по развитию Авиагородка были прекращены, а оставшийся в Херсоне Фан-дер-Флит принял участие в создании Херсонского политехнического института, для которого подготовил тогда же и ряд учебников. Институт в Херсоне был открыт летом 1918 г. и через год закрыт после восстановления там советской власти (23485).</w:t>
      </w:r>
    </w:p>
    <w:p w14:paraId="04BC4E6F" w14:textId="77777777" w:rsidR="00CF2488" w:rsidRDefault="00CF2488" w:rsidP="0083075A">
      <w:pPr>
        <w:spacing w:line="240" w:lineRule="auto"/>
        <w:jc w:val="both"/>
        <w:rPr>
          <w:rFonts w:ascii="Times New Roman" w:hAnsi="Times New Roman" w:cs="Times New Roman"/>
          <w:color w:val="0070C0"/>
          <w:sz w:val="16"/>
          <w:szCs w:val="16"/>
        </w:rPr>
      </w:pPr>
    </w:p>
    <w:p w14:paraId="6AD0D18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80412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FEAE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г. будущий ЗиД начал выпускать готовые изделия. 12 августа 1917 г. состоялась приемка первых четырех ружей-пулеметов системы Мадсена. Именно эта дата считается днем рождения ЗиДа (9696).</w:t>
      </w:r>
    </w:p>
    <w:p w14:paraId="2982E4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795A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г. Ковровский пулеметный завод начал производство. 12.08.1917 г. была сдана первая продукция- ружья-пулеметы Мадсена. Эта дата считается днем рождения завода. В начале 1918 г. владельцами принято решение закрыть строившийся завод. 8.07.1919 г. он был национализирован. По распоряжению Центрального Управления артиллерийских заводов № 567 директором завода назначен А.Н. Бухарин.</w:t>
      </w:r>
    </w:p>
    <w:p w14:paraId="538A64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марта 1918 г. по 1931 г. на Ковровском пулеметном заводе работал конструктор В.Г. Федоров, в 1921 г. он создал на заводе первое в стране ПКБ по разработке автоматического стрелкового оружия.</w:t>
      </w:r>
    </w:p>
    <w:p w14:paraId="7F2F77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1918-49 г. на заводе работал В.А. Дегтярев.</w:t>
      </w:r>
    </w:p>
    <w:p w14:paraId="5AF87C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войны работал М.Т. Калашников.</w:t>
      </w:r>
    </w:p>
    <w:p w14:paraId="09DD8C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за годы войны завод выпустил 1.202.481 единицу вооружения.</w:t>
      </w:r>
    </w:p>
    <w:p w14:paraId="136BB1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войны завод начал осваивать выпуск мотоциклов. Для этого было создано отдельное производство.</w:t>
      </w:r>
    </w:p>
    <w:p w14:paraId="2592D7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1959 г. началось освоение производства ракетного оружия- ПТУР, ПЗРК.</w:t>
      </w:r>
    </w:p>
    <w:p w14:paraId="0D652B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1959 г. – выпуск уникального оборудования для разделения изотопов урана.</w:t>
      </w:r>
    </w:p>
    <w:p w14:paraId="7D3DB6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1927 г. Пулеметный завод переименован в Инструментальный завод № 2. В 1932 г. заводу присвоено имя К.О. Киркижа. В 1942 г. завод получил название “ГС Ордена Трудового Красного знамени завод № 2 им. К.О. Киркижа”, с 16.09.1945 г.- “ГС Ордена Ленина и Ордена Трудового Красного знамени завод № 2 им. К.О. Киркижа”. В 1949 г. заводу присвоено имя В.А. Дегтярева. С 05.1991 г.- ПО “ЗиД”, с 1.11.1991 г.- ГП “ЗиД”. АООТ ЗиД учереждено 1.10.1992 г. на базе ГП ЗиД в соответствии с Указом Президента № 721 от 1.07.1992 г., 11.04.1996 г. преобразовано в ОАО. По решению правительства № 22-р от 9.01.2004 г. вошло в перечень стратегических предприятий. В 2004 г. входит Научно-производственный концерн точного машиностроения “Витязь”, Транснациональную ФПГ “Точность”.</w:t>
      </w:r>
    </w:p>
    <w:p w14:paraId="439C8C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(1918 г.)- 60 чел.</w:t>
      </w:r>
    </w:p>
    <w:p w14:paraId="67D1A8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(03.1918 г.)- Войтекевич, (01.1919 г.-)- В.Г. Федоров, (1.08.1919 г.)- А.Н. Бухарин. Гендиректор (04.2002-05 г.-)- А.В. Тменов.</w:t>
      </w:r>
    </w:p>
    <w:p w14:paraId="713A1A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Распорядительный директор (1.08.1919 г.-)- В.Г. Федоров. Зам. гендиректора: по производству, МТС и продажам (2005 г.)- М.Н. Ковальчук; по экономике (2005 г.)- В.Т. Руссу; по финансам и сбыту (2005 г.)- В.В. Трубяков; по строительству и ТО производства (2005 г.)- А.В. Кустов; по безопасности, персоналу и связям с общественностью (2005 г.)- В.Н. Горячев.</w:t>
      </w:r>
    </w:p>
    <w:p w14:paraId="5D0A3A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инженер (1930-е)- Любетко (арестован), (2005 г.)- Д.Л. Липсман.</w:t>
      </w:r>
    </w:p>
    <w:p w14:paraId="6C6CCB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образцовой мастерской (1920 г.)- В.А. Дегтярев.</w:t>
      </w:r>
    </w:p>
    <w:p w14:paraId="24D86F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Работали: конструкторы: (1920-40 г.-)- Г.С. Шпагин, (1934 г.-)- С.В. Владимиров, С.Г. Симонов, П.М. Горюнов, М.М. Горюнов, В.Е. Воронков, М.Т. Калашников; (-2004-05 г.-)- Е.И. Галактионов, В.Н. Горячев, Н.И. Игнатьев, М.Н. Ковальчук, А.В. Кустов, В.А. Салтыков, В.Н. Смирнов, В.В. Трубяков.</w:t>
      </w:r>
    </w:p>
    <w:p w14:paraId="1E4345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ружье-пулемет Мадсена (1917-18 г.), автомат Федорова (1920-); пулеметы: УБ (1938-), ДП (ВОВ), ДТ (ВОВ), КПВТ (2005), “Корд” 6П49, 6П50 (2005); противотанковое ружье ПТРД (ВОВ); гранатометы: АГС-30 (2005), противодиверсионные ДП-64, ДП-65 (2005), специальный РГС-50М (2005); пушки: ШВАК (1935-), ГШ-23 (2005), ГШ-30 (2005); винтовка СВН-98 (2005); ПТУР: “Шмель”, “Малютка”, “Фагот”, “Фактория” (1960-е), “Корнет”, “Корнет-Э” 9М133 (2005), “Свирь”, “Рефлекс”; ПЗРК: “Стрела-2”, “Стрела-3”, “Игла-1”, “Игла” 9К38 с ракетой 9М39 (2005);58 выстрел ЗУБК20 с УР 9М119М (2005); морская тумбовая пулеметная установка МТПУ (2005); вкладная унифицированная пушка 2Х35 (2005); оборудование для разделения изотопов урана (1959-); Запчасти для тракторов, стартеры для автомобилей ГАЗ (1920-30-е); инструмент; металлообрабатывающие станки (1930-е-); мотоциклы: К-125 (1946-49-), “Ковровец”, “Восход”, “Сова” (2005), ЗИД-200 (2005), “Фермер” (2005), мокик ЗИД-50, “Птаха”, “Пилот”, мотовездеход “Робинзон”, “Тарпан”, “Бархан”- всего более 8 млн. шт.;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(2005).www.zid.ru</w:t>
      </w:r>
    </w:p>
    <w:p w14:paraId="15DF86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Проектно-конструкторское бюро (ПКБ), ЦКБ-2, ОКБ-2, КБ “Арматура” (КБА) СНХ, МОМ</w:t>
      </w:r>
    </w:p>
    <w:p w14:paraId="3B377C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601909 г. Ковров Владимирской обл. ул. Социалистическая, 22 тел. 31-068/</w:t>
      </w:r>
    </w:p>
    <w:p w14:paraId="5AAA1D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Инструментальный завод № 2 им. К.О. Киркижа, Ковровский пулеметный завод, ГС Ордена Трудового Красного Знамени завод № 2 им. К.О. Киркижа НКВ, ПО, ГП, АООТ, ОАО “Завод им. В.А. Дегтярева” (ЗиД) </w:t>
      </w:r>
    </w:p>
    <w:p w14:paraId="4B35CA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601900 г. Ковров Владимирской обл. ул. Труда, 4 тел. 303-89 www.zid.ru</w:t>
      </w:r>
    </w:p>
    <w:p w14:paraId="69B246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Первое в стране ПКБ по разработке автоматического стрелкового оружия создано в 1921 г. на Ковровском пулеметном заводе конструктором В.Г. Федоровым.</w:t>
      </w:r>
    </w:p>
    <w:p w14:paraId="774205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1940 г.- КБ-2, с 1956 г.- самостоятельное ОКБ-2. В 1965 г. КБА из системы СНХ передано в ведение 4ГУ МОМ.77 В 1990 г. Ковровский завод “Арматура” (возможно, название неофициальное)- в ведении МОП. В 2002 г. КБ “Арматура” в качестве филиала входит в ГКНПЦ им. Хруничева.</w:t>
      </w:r>
    </w:p>
    <w:p w14:paraId="3ACB5D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Разработка автоматического стрелкового оружия. В 1960 г. переведено на новую тематику- разработку электропневмоавтоматики для наземных стартовых комплексов. </w:t>
      </w:r>
    </w:p>
    <w:p w14:paraId="26E08F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(1930-е)- П.И. Майн (арестован), (1960-е)- О.С. Русаков. Гендиректор (2002 г.)- Ю.Л. Арзуманов.</w:t>
      </w:r>
    </w:p>
    <w:p w14:paraId="0FE229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Ген. Конструктор (2002 г.)- Ю.Л. Арзуманов.</w:t>
      </w:r>
    </w:p>
    <w:p w14:paraId="724E11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Ген. Конструктора (2002 г.)- Р.А. Петров.</w:t>
      </w:r>
    </w:p>
    <w:p w14:paraId="3806CD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Зам. Гендиректора (2002 г.)- Г.Н. Василенко.69 </w:t>
      </w:r>
    </w:p>
    <w:p w14:paraId="77FA8E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цеха опытных работ (1930-е)- Ф.А. Белозеров (арестован). Начальник секции станков и установок (1930-е)- Я.Я. Атлега (арестован).</w:t>
      </w:r>
    </w:p>
    <w:p w14:paraId="6243D7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Создано: пулеметы: ручной Дегтярева ДП (пнв в 1927 г.), авиационный ДА, танковый ДТ, крупнокалиберный Дегтярева и Шпагина ДШК, станковый Горюнова СГ-43, крупнокалиберный Владимирова КПВ; пистолеты-пулеметы: Дегтярева ППД, Шпагина ППШ (1940); пушки: авиационная ШВАК; противотанковое ружье ПТРД (пнв в 1941); автомат Калашникова АК-47.www.zid.ru (10776).</w:t>
      </w:r>
    </w:p>
    <w:p w14:paraId="5FA9BC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9EDACE" w14:textId="77777777" w:rsidR="007B4BAF" w:rsidRPr="00FB4F67" w:rsidRDefault="007B4BA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мае 1917 г. пришлось «в корне пересмотреть вопрос о постройке Екатеринославского оружейного завода». Комиссия бывшего государственно</w:t>
      </w:r>
      <w:r w:rsidRPr="00FB4F67">
        <w:rPr>
          <w:rFonts w:ascii="Times New Roman" w:hAnsi="Times New Roman" w:cs="Times New Roman"/>
          <w:color w:val="0070C0"/>
          <w:sz w:val="16"/>
          <w:szCs w:val="16"/>
        </w:rPr>
        <w:softHyphen/>
        <w:t>го контролера Н.Н. Покровского, учрежденная Временным правительством для пересмотра проектов казенного завод</w:t>
      </w:r>
      <w:r w:rsidRPr="00FB4F67">
        <w:rPr>
          <w:rFonts w:ascii="Times New Roman" w:hAnsi="Times New Roman" w:cs="Times New Roman"/>
          <w:color w:val="0070C0"/>
          <w:sz w:val="16"/>
          <w:szCs w:val="16"/>
        </w:rPr>
        <w:softHyphen/>
        <w:t>ского строительства, «признала необходимым отложить про</w:t>
      </w:r>
      <w:r w:rsidRPr="00FB4F67">
        <w:rPr>
          <w:rFonts w:ascii="Times New Roman" w:hAnsi="Times New Roman" w:cs="Times New Roman"/>
          <w:color w:val="0070C0"/>
          <w:sz w:val="16"/>
          <w:szCs w:val="16"/>
        </w:rPr>
        <w:softHyphen/>
        <w:t>изводство строительных работ... на один год», а для хранения скопившегося оборудования поставить «легкого типа сараи».</w:t>
      </w:r>
    </w:p>
    <w:p w14:paraId="353CE368" w14:textId="77777777" w:rsidR="007B4BAF" w:rsidRPr="00FB4F67" w:rsidRDefault="007B4BA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Учитывалось, что «в связи с обстоятельствами настоящего времени» надо «всемерно избегать крупных расходов казны» (ГАУ ходатайствовало, вместе с «текущими расходами» на строительство, об ассигновании 17 млн руб.).</w:t>
      </w:r>
    </w:p>
    <w:p w14:paraId="7BECED10" w14:textId="77777777" w:rsidR="007B4BAF" w:rsidRPr="00FB4F67" w:rsidRDefault="007B4BA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тому же в момент, «когда оно (оборудование — 6 ты</w:t>
      </w:r>
      <w:r w:rsidRPr="00FB4F67">
        <w:rPr>
          <w:rFonts w:ascii="Times New Roman" w:hAnsi="Times New Roman" w:cs="Times New Roman"/>
          <w:color w:val="0070C0"/>
          <w:sz w:val="16"/>
          <w:szCs w:val="16"/>
        </w:rPr>
        <w:softHyphen/>
        <w:t>сяч станков) в действительности может потребо</w:t>
      </w:r>
      <w:r w:rsidRPr="00FB4F67">
        <w:rPr>
          <w:rFonts w:ascii="Times New Roman" w:hAnsi="Times New Roman" w:cs="Times New Roman"/>
          <w:color w:val="0070C0"/>
          <w:sz w:val="16"/>
          <w:szCs w:val="16"/>
        </w:rPr>
        <w:softHyphen/>
        <w:t>ваться», покупка «может не оказаться столь выгодной, на</w:t>
      </w:r>
      <w:r w:rsidRPr="00FB4F67">
        <w:rPr>
          <w:rFonts w:ascii="Times New Roman" w:hAnsi="Times New Roman" w:cs="Times New Roman"/>
          <w:color w:val="0070C0"/>
          <w:sz w:val="16"/>
          <w:szCs w:val="16"/>
        </w:rPr>
        <w:softHyphen/>
        <w:t>сколько она представляется выгодной в настоящее время». Более того, «постройка Екатеринославского оружейного завода может быть и вовсе отменена или будет произво</w:t>
      </w:r>
      <w:r w:rsidRPr="00FB4F67">
        <w:rPr>
          <w:rFonts w:ascii="Times New Roman" w:hAnsi="Times New Roman" w:cs="Times New Roman"/>
          <w:color w:val="0070C0"/>
          <w:sz w:val="16"/>
          <w:szCs w:val="16"/>
        </w:rPr>
        <w:softHyphen/>
        <w:t>диться постольку, поскольку это потребуется для переноса в Екатеринослав существующего оборудования Сестрорец</w:t>
      </w:r>
      <w:r w:rsidRPr="00FB4F67">
        <w:rPr>
          <w:rFonts w:ascii="Times New Roman" w:hAnsi="Times New Roman" w:cs="Times New Roman"/>
          <w:color w:val="0070C0"/>
          <w:sz w:val="16"/>
          <w:szCs w:val="16"/>
        </w:rPr>
        <w:softHyphen/>
        <w:t>кого завода», объясняли в Канцелярии Военного министер</w:t>
      </w:r>
      <w:r w:rsidRPr="00FB4F67">
        <w:rPr>
          <w:rFonts w:ascii="Times New Roman" w:hAnsi="Times New Roman" w:cs="Times New Roman"/>
          <w:color w:val="0070C0"/>
          <w:sz w:val="16"/>
          <w:szCs w:val="16"/>
        </w:rPr>
        <w:softHyphen/>
        <w:t>ства (РГВИА. Ф. 240. On. 1. Д. 158. Л. 3—4, 1. Записка Залюбовского о Екатеринославском оружейном заводе, 23.IV. 1918. Там же. Ф. 29. Оп. 3. Д. 1026. Л. 17—18. Доклад начальника КВМ В.Л. Туган-Барановского военному министру, 27.V.1917.</w:t>
      </w:r>
    </w:p>
    <w:p w14:paraId="4B4F6850" w14:textId="77777777" w:rsidR="007B4BAF" w:rsidRPr="00FB4F67" w:rsidRDefault="007B4BA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В конечном счете из комплекта «Ремингтона» ни один станок в Екатеринослав не попал; «оборудование это впоследствии распродавалось в Америке по частям, конеч</w:t>
      </w:r>
      <w:r w:rsidRPr="00FB4F67">
        <w:rPr>
          <w:rFonts w:ascii="Times New Roman" w:hAnsi="Times New Roman" w:cs="Times New Roman"/>
          <w:color w:val="0070C0"/>
          <w:sz w:val="16"/>
          <w:szCs w:val="16"/>
        </w:rPr>
        <w:softHyphen/>
        <w:t>но за бесценок». Доставлены были «лишь отправленные раньше, купленные мною, — писал Залюбовский, — особо из запасов «Ремингтона» около 150 станков для оборудова</w:t>
      </w:r>
      <w:r w:rsidRPr="00FB4F67">
        <w:rPr>
          <w:rFonts w:ascii="Times New Roman" w:hAnsi="Times New Roman" w:cs="Times New Roman"/>
          <w:color w:val="0070C0"/>
          <w:sz w:val="16"/>
          <w:szCs w:val="16"/>
        </w:rPr>
        <w:softHyphen/>
        <w:t>ния ремонтно-механической и инструментальной времен</w:t>
      </w:r>
      <w:r w:rsidRPr="00FB4F67">
        <w:rPr>
          <w:rFonts w:ascii="Times New Roman" w:hAnsi="Times New Roman" w:cs="Times New Roman"/>
          <w:color w:val="0070C0"/>
          <w:sz w:val="16"/>
          <w:szCs w:val="16"/>
        </w:rPr>
        <w:softHyphen/>
        <w:t>ной мастерской», они нужны были в первую очередь, еще до установки комплекта. Всего полагалось передать 255 стан</w:t>
      </w:r>
      <w:r w:rsidRPr="00FB4F67">
        <w:rPr>
          <w:rFonts w:ascii="Times New Roman" w:hAnsi="Times New Roman" w:cs="Times New Roman"/>
          <w:color w:val="0070C0"/>
          <w:sz w:val="16"/>
          <w:szCs w:val="16"/>
        </w:rPr>
        <w:softHyphen/>
        <w:t>ков на 222 тысячи долларов взамен 9871 из заказанных вин</w:t>
      </w:r>
      <w:r w:rsidRPr="00FB4F67">
        <w:rPr>
          <w:rFonts w:ascii="Times New Roman" w:hAnsi="Times New Roman" w:cs="Times New Roman"/>
          <w:color w:val="0070C0"/>
          <w:sz w:val="16"/>
          <w:szCs w:val="16"/>
        </w:rPr>
        <w:softHyphen/>
        <w:t>товок (Залюбовский А.П. Указ. соч. С. 67—68.).</w:t>
      </w:r>
    </w:p>
    <w:p w14:paraId="40619550" w14:textId="77777777" w:rsidR="007B4BAF" w:rsidRPr="00FB4F67" w:rsidRDefault="007B4BA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«За недостатком средств» (Залюбовский) правительство приостановило работы, хотя они возобновились, «и при</w:t>
      </w:r>
      <w:r w:rsidRPr="00FB4F67">
        <w:rPr>
          <w:rFonts w:ascii="Times New Roman" w:hAnsi="Times New Roman" w:cs="Times New Roman"/>
          <w:color w:val="0070C0"/>
          <w:sz w:val="16"/>
          <w:szCs w:val="16"/>
        </w:rPr>
        <w:softHyphen/>
        <w:t>том в спешном порядке», в конце 1917 г. Но затем участь Екатеринославского оружейного завода была окончательно решена: ГАУ позволило комиссии, сооружавшей Воронеж</w:t>
      </w:r>
      <w:r w:rsidRPr="00FB4F67">
        <w:rPr>
          <w:rFonts w:ascii="Times New Roman" w:hAnsi="Times New Roman" w:cs="Times New Roman"/>
          <w:color w:val="0070C0"/>
          <w:sz w:val="16"/>
          <w:szCs w:val="16"/>
        </w:rPr>
        <w:softHyphen/>
        <w:t>ский завод взрывателей, взять с екатеринославской строй</w:t>
      </w:r>
      <w:r w:rsidRPr="00FB4F67">
        <w:rPr>
          <w:rFonts w:ascii="Times New Roman" w:hAnsi="Times New Roman" w:cs="Times New Roman"/>
          <w:color w:val="0070C0"/>
          <w:sz w:val="16"/>
          <w:szCs w:val="16"/>
        </w:rPr>
        <w:softHyphen/>
        <w:t>ки кабель, «а также, если окажется возможным... разные хозяйственные предметы, кои окажутся пригодными для завода взрывателей» (РГВИА. Ф. 505. On. 1. Д. 87. Л. 378. Журнал Воронежской строи</w:t>
      </w:r>
      <w:r w:rsidRPr="00FB4F67">
        <w:rPr>
          <w:rFonts w:ascii="Times New Roman" w:hAnsi="Times New Roman" w:cs="Times New Roman"/>
          <w:color w:val="0070C0"/>
          <w:sz w:val="16"/>
          <w:szCs w:val="16"/>
        </w:rPr>
        <w:softHyphen/>
        <w:t>тельно-хозяйственной комиссии № 304, 5.XII. 1917). С переходом же 4 апреля 1918 г. вла</w:t>
      </w:r>
      <w:r w:rsidRPr="00FB4F67">
        <w:rPr>
          <w:rFonts w:ascii="Times New Roman" w:hAnsi="Times New Roman" w:cs="Times New Roman"/>
          <w:color w:val="0070C0"/>
          <w:sz w:val="16"/>
          <w:szCs w:val="16"/>
        </w:rPr>
        <w:softHyphen/>
        <w:t>сти в Екатеринославе к украинской Центральной раде Залюбовский, возглавлявший строительную комиссию, при</w:t>
      </w:r>
      <w:r w:rsidRPr="00FB4F67">
        <w:rPr>
          <w:rFonts w:ascii="Times New Roman" w:hAnsi="Times New Roman" w:cs="Times New Roman"/>
          <w:color w:val="0070C0"/>
          <w:sz w:val="16"/>
          <w:szCs w:val="16"/>
        </w:rPr>
        <w:softHyphen/>
        <w:t>знал дело окончательно загубленным и предложил ликви</w:t>
      </w:r>
      <w:r w:rsidRPr="00FB4F67">
        <w:rPr>
          <w:rFonts w:ascii="Times New Roman" w:hAnsi="Times New Roman" w:cs="Times New Roman"/>
          <w:color w:val="0070C0"/>
          <w:sz w:val="16"/>
          <w:szCs w:val="16"/>
        </w:rPr>
        <w:softHyphen/>
        <w:t>дацию (23452).</w:t>
      </w:r>
    </w:p>
    <w:p w14:paraId="7AA9E624" w14:textId="77777777" w:rsidR="007B4BAF" w:rsidRPr="00FB4F67" w:rsidRDefault="007B4BAF" w:rsidP="0083075A">
      <w:pPr>
        <w:spacing w:after="0" w:line="240" w:lineRule="auto"/>
        <w:jc w:val="both"/>
        <w:rPr>
          <w:rFonts w:ascii="Times New Roman" w:hAnsi="Times New Roman" w:cs="Times New Roman"/>
          <w:color w:val="0070C0"/>
          <w:sz w:val="16"/>
          <w:szCs w:val="16"/>
        </w:rPr>
      </w:pPr>
    </w:p>
    <w:p w14:paraId="62EEE93D" w14:textId="77777777" w:rsidR="007B4BAF" w:rsidRPr="00FB4F67" w:rsidRDefault="007B4BA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 мая 1917 г. Б.А. Бахметев, руководивший российской миссией в США, несмотря на отрицательное отношение англичан, пытался оформить дополнительный заказ «Ве</w:t>
      </w:r>
      <w:r w:rsidRPr="00FB4F67">
        <w:rPr>
          <w:rFonts w:ascii="Times New Roman" w:hAnsi="Times New Roman" w:cs="Times New Roman"/>
          <w:color w:val="0070C0"/>
          <w:sz w:val="16"/>
          <w:szCs w:val="16"/>
        </w:rPr>
        <w:softHyphen/>
        <w:t>стингаузу», ссылаясь на то, что теперь американцы сами готовы кредитовать русские заказы, так что Англии не при</w:t>
      </w:r>
      <w:r w:rsidRPr="00FB4F67">
        <w:rPr>
          <w:rFonts w:ascii="Times New Roman" w:hAnsi="Times New Roman" w:cs="Times New Roman"/>
          <w:color w:val="0070C0"/>
          <w:sz w:val="16"/>
          <w:szCs w:val="16"/>
        </w:rPr>
        <w:softHyphen/>
        <w:t>дется раскошеливаться. Но американское правительство, вступая в войну, не стало ни увеличивать русский заказ, ни распродавать станки, используемые для выпуска трехлинеек на заводах «Вестингауз», а предпочло оплатить продолжение этого производства до того момента, когда «Вестингаузу» удастся перестроить его для изготовления американских ружей (23452).</w:t>
      </w:r>
    </w:p>
    <w:p w14:paraId="0276B43D" w14:textId="77777777" w:rsidR="007B4BAF" w:rsidRPr="00FB4F67" w:rsidRDefault="007B4BAF" w:rsidP="0083075A">
      <w:pPr>
        <w:spacing w:after="0" w:line="240" w:lineRule="auto"/>
        <w:jc w:val="both"/>
        <w:rPr>
          <w:rFonts w:ascii="Times New Roman" w:hAnsi="Times New Roman" w:cs="Times New Roman"/>
          <w:color w:val="0070C0"/>
          <w:sz w:val="16"/>
          <w:szCs w:val="16"/>
        </w:rPr>
      </w:pPr>
    </w:p>
    <w:p w14:paraId="1EED2AEE" w14:textId="77777777" w:rsidR="007B4BAF" w:rsidRPr="00FB4F67" w:rsidRDefault="007B4BA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мае 1917 г. были готовы к погрузке 10 батарей 42-лин. пушек и 50 6-дм гаубиц Круппа, выпущенных фирмой Ансальдо, но итальянское правительство запретило отправку, были получены толь</w:t>
      </w:r>
      <w:r w:rsidRPr="00FB4F67">
        <w:rPr>
          <w:rFonts w:ascii="Times New Roman" w:hAnsi="Times New Roman" w:cs="Times New Roman"/>
          <w:color w:val="0070C0"/>
          <w:sz w:val="16"/>
          <w:szCs w:val="16"/>
        </w:rPr>
        <w:softHyphen/>
        <w:t>ко две батареи 42-лин. пушек (ЭПР. Ч. 2. С. 175; Сидоров АЛ. Финан</w:t>
      </w:r>
      <w:r w:rsidRPr="00FB4F67">
        <w:rPr>
          <w:rFonts w:ascii="Times New Roman" w:hAnsi="Times New Roman" w:cs="Times New Roman"/>
          <w:color w:val="0070C0"/>
          <w:sz w:val="16"/>
          <w:szCs w:val="16"/>
        </w:rPr>
        <w:softHyphen/>
        <w:t>совое положение России. С. 410—411, 414; Бодров А.В., Виноградов П.В., Малыгина А.А. Военно-техническое сотрудничество Российской импе</w:t>
      </w:r>
      <w:r w:rsidRPr="00FB4F67">
        <w:rPr>
          <w:rFonts w:ascii="Times New Roman" w:hAnsi="Times New Roman" w:cs="Times New Roman"/>
          <w:color w:val="0070C0"/>
          <w:sz w:val="16"/>
          <w:szCs w:val="16"/>
        </w:rPr>
        <w:softHyphen/>
        <w:t>рии с союзниками // Россия в стратегии Первой мировой войны. СПб., 2014. С. 198) (23452).</w:t>
      </w:r>
    </w:p>
    <w:p w14:paraId="0B94AABB" w14:textId="77777777" w:rsidR="007B4BAF" w:rsidRPr="00FB4F67" w:rsidRDefault="007B4BA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мае 1917 г. отличились летчики 9-го АО истребителей (Румынский фронт) поручик И.А. Лойко и прапорщик В.И. Стрижевский. Всего за годы войны в совокупности они сбили 13 (по другим данным - 19) вражеских самолетов (23405).</w:t>
      </w:r>
    </w:p>
    <w:p w14:paraId="6166903D" w14:textId="77777777" w:rsidR="007B4BAF" w:rsidRPr="00FB4F67" w:rsidRDefault="007B4BAF" w:rsidP="0083075A">
      <w:pPr>
        <w:spacing w:after="0" w:line="240" w:lineRule="auto"/>
        <w:jc w:val="both"/>
        <w:rPr>
          <w:rFonts w:ascii="Times New Roman" w:hAnsi="Times New Roman" w:cs="Times New Roman"/>
          <w:color w:val="0070C0"/>
          <w:sz w:val="16"/>
          <w:szCs w:val="16"/>
        </w:rPr>
      </w:pPr>
    </w:p>
    <w:p w14:paraId="0DAFE5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течение мая 1917 - марта 1918 гг. казенный автомобильный завод в Подлипках, где в 1917 г. было практически завершено сооружение механического и сборочного цехов, силовой станции, прибыла и часть оборудования, смог произвести ремонт небольшого количества автомашин (отремонтировано было 52 автомобиля, в разборке находилось – 180). По оценкам контролеров военного ведомства Общество «Бекос» не проявило должной инициативы ни в строительстве предприятия, ни в его оборудовании, к тому же под давлением английского правительства даже преуменьшив масштабы будущего завода. После Октябрьской революции возведенный завод использовался в качестве оборонного предприятия, а в 1940-е гг. стал базой научно-производственного объединения С.П. Королева (11863).</w:t>
      </w:r>
    </w:p>
    <w:p w14:paraId="2FF579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33C60A" w14:textId="77777777" w:rsidR="00FE7049" w:rsidRPr="002F2FDF" w:rsidRDefault="00FE704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мае 1917 г. в условиях грозной политической и экономической обстановки в стране администрация АМО по причине отсутствия денежных ресурсов объявила расчет рабочим и служащим. Возмущенные рабочие объявили забастовку и 3 мая силой вывезли директора Бондарева за ворота завода (17494).</w:t>
      </w:r>
    </w:p>
    <w:p w14:paraId="1841678B" w14:textId="77777777" w:rsidR="00FE7049" w:rsidRPr="002F2FDF" w:rsidRDefault="00FE7049" w:rsidP="0083075A">
      <w:pPr>
        <w:spacing w:after="0" w:line="240" w:lineRule="auto"/>
        <w:jc w:val="both"/>
        <w:rPr>
          <w:rFonts w:ascii="Times New Roman" w:hAnsi="Times New Roman" w:cs="Times New Roman"/>
          <w:color w:val="000000" w:themeColor="text1"/>
          <w:sz w:val="16"/>
          <w:szCs w:val="16"/>
        </w:rPr>
      </w:pPr>
    </w:p>
    <w:p w14:paraId="202E07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и М.М.Ингал обратился в Инженерный комитет ГВТУ с чертежами и описанием 50-тонного ба на пяти осях. Отклонили (9527,290).</w:t>
      </w:r>
    </w:p>
    <w:p w14:paraId="20DCE8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E1A9A3" w14:textId="77777777" w:rsidR="007B029C" w:rsidRPr="002F2FDF" w:rsidRDefault="007B029C" w:rsidP="0083075A">
      <w:pPr>
        <w:pStyle w:val="p1"/>
        <w:spacing w:before="0" w:beforeAutospacing="0" w:after="0" w:afterAutospacing="0"/>
        <w:jc w:val="both"/>
        <w:rPr>
          <w:color w:val="000000" w:themeColor="text1"/>
          <w:sz w:val="16"/>
          <w:szCs w:val="16"/>
        </w:rPr>
      </w:pPr>
      <w:r w:rsidRPr="002F2FDF">
        <w:rPr>
          <w:color w:val="000000" w:themeColor="text1"/>
          <w:sz w:val="16"/>
          <w:szCs w:val="16"/>
        </w:rPr>
        <w:t>С мая 1917 г. Б.А. Бахметев, руководивший российской миссией в США, несмотря на отрицательное отношение англичан, пытался оформить дополнительный заказ «Вестингаузу», ссылаясь на то, что теперь американцы сами готовы кредитовать русские заказы, так что Англии не придется раскошеливаться. Но американское правительство, вступая в войну, не стало ни увеличивать русский заказ, ни распродавать станки, используемые для выпуска трехлинеек на заводах «Вестингауз», а предпочло оплатить продолжение этого производства до того момента, когда «Вестингаузу» удастся перестроить его для изготовления американских ружей.</w:t>
      </w:r>
    </w:p>
    <w:p w14:paraId="4D35B99E" w14:textId="77777777" w:rsidR="007B029C" w:rsidRPr="002F2FDF" w:rsidRDefault="007B029C"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Пока изучались возможности использовать американские станки, в Петрограде сменилась власть, и, кроме того, в этот момент уже приходилось считаться с серьезным сдерживающим фактором: на «выгодное и столь нужное России дело снабжения готовым сильным оборудованием» поступил отказ из Лондона: Британское казначейство ссылалось на достигнутое миссией А. Милнера «соглашение с ГАУ в Петрограде, что заказов машин уже помещено больше, чем их можно вывезти, и что поэтому нет смысла помещать больше заказов».</w:t>
      </w:r>
    </w:p>
    <w:p w14:paraId="211EAF5A" w14:textId="77777777" w:rsidR="007B029C" w:rsidRPr="002F2FDF" w:rsidRDefault="007B029C"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 ГАУ считали, что оборудование «Ремингтона» в составе 1691 станка и механизмов следует передать новому оружейному заводу, создаваемому на территории ТОЗ, и лишь «остальные будут переданы другим заводам». Пополнив свое оборудование, Тульский завод при 20-часовой в сутки работе давал бы по 2000 винтовок — до 60 тысяч в месяц. По условиям контракта, комплект оборудования «Ремингтона» оценивался в 3 млн. долларов. В 1917 г. 120 станков были получены и установлены на Тульском заводе (18409).</w:t>
      </w:r>
    </w:p>
    <w:p w14:paraId="3139D814" w14:textId="77777777" w:rsidR="007B029C" w:rsidRPr="002F2FDF" w:rsidRDefault="007B029C" w:rsidP="0083075A">
      <w:pPr>
        <w:pStyle w:val="p1"/>
        <w:spacing w:before="0" w:beforeAutospacing="0" w:after="0" w:afterAutospacing="0"/>
        <w:jc w:val="both"/>
        <w:rPr>
          <w:color w:val="000000" w:themeColor="text1"/>
          <w:sz w:val="16"/>
          <w:szCs w:val="16"/>
        </w:rPr>
      </w:pPr>
    </w:p>
    <w:p w14:paraId="13233C9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9D7AD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37D40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года “Муромцами” проводились последние боевые вылеты по бомбометанию в тыл противника В дальнейшем выполнялись только ред</w:t>
      </w:r>
      <w:r w:rsidRPr="002F2FDF">
        <w:rPr>
          <w:rFonts w:ascii="Times New Roman" w:hAnsi="Times New Roman" w:cs="Times New Roman"/>
          <w:color w:val="000000" w:themeColor="text1"/>
          <w:kern w:val="2"/>
          <w:sz w:val="16"/>
          <w:szCs w:val="16"/>
        </w:rPr>
        <w:softHyphen/>
        <w:t>кие тренировочные полеты (553).</w:t>
      </w:r>
    </w:p>
    <w:p w14:paraId="62CE119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84DF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г. из Кишинева в 4-й отряд, базирующийся в Белграде на Румынском фронте, прибыл второй "Муромец"типа Е — "V-й корабль" №266 штабс-капитана Алехновича. 31 мая оба аппарата типа Е совершили совместный налет на Тульчу, сбросив по складам и казармам неприятеля 18 пудов бомб. 17 июня V-й корабль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028A02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8A0D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г. из Кишинева в 4-й отряд прибыл второй "Муромец"типа Е - "V-й корабль" №266 штабс-капитана Алехновича. 31 мая оба аппарата типа Е совершили совместный налет на Тульчу, сбросив по складам и казармам неприятеля 18 пудов бомб (12038).</w:t>
      </w:r>
    </w:p>
    <w:p w14:paraId="622EB5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E65F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май 1917 г. с октября 1916 г. на новой базе ЭВК в Виннице шло активное перевооружение и переоснащение кораблей. На корабле типа Е №265 был размещен пулемет в хвосте. Вместо трехрулевого оперения по типу Г-1 в октябре было сделано бипланное с двумя рулями направления. К сожалению, фотографии или чертежа этого бипланного оперения не сохранилось. На одном или двух из кораблей серии Г также была сделана хвостовая пулеметная точка. Для этого убрали средний руль направления, сделав в последней секции фюзеляжа гнездо для пулеметчика, а 2 маленьких заменили на 2 руля большей площади, которые разнесли по обоим концам стабилизатора. Все доработки в Эскадре сохранились на бумаге и поэтому приведем ценный документ полностью:</w:t>
      </w:r>
    </w:p>
    <w:p w14:paraId="04EBBE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Г-36 №182, Юго-Западный фронт, Бучач, июль 1917 г.</w:t>
      </w:r>
    </w:p>
    <w:p w14:paraId="62FF87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КОНСТРУКТИВНЫЕ ИЗМЕНЕНИЯ И УКАЗАНИЯ, КОТОРЫЕ НЕОБХОДИМО ВНЕСТИ В ТЕХНИЧЕСКИЕ УСЛОВИЯ НА ПОСТРОЙКУ ВОЗДУШНЫХ КОРАБЛЕЙ А) типа Г-3</w:t>
      </w:r>
    </w:p>
    <w:p w14:paraId="0008EA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Головная часть по типу Г-1 (застеклена полностью).</w:t>
      </w:r>
    </w:p>
    <w:p w14:paraId="71200C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Управление рулями направления по типу Г-3: трос к рулям вести через ролики у стабилизатора (передаточная крестовина упраздняется).</w:t>
      </w:r>
    </w:p>
    <w:p w14:paraId="757B05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Управление рамой и проводника тросов к рулю глубины по типу Г-1.</w:t>
      </w:r>
    </w:p>
    <w:p w14:paraId="0B88F8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Сиденье для пилота по типу Г-1 (в центре фюзеляжа).</w:t>
      </w:r>
    </w:p>
    <w:p w14:paraId="20B155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Уширить кабину на 150 мм.</w:t>
      </w:r>
    </w:p>
    <w:p w14:paraId="4E32D8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Увеличить высоту фюзеляжа на 50 мм.</w:t>
      </w:r>
    </w:p>
    <w:p w14:paraId="0FBAB3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Управление крылышками по типу Е (рычагами).</w:t>
      </w:r>
    </w:p>
    <w:p w14:paraId="0891B1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для сбрасывания бомб ставить кассеты с вертикальной подвеской по типу Г.</w:t>
      </w:r>
    </w:p>
    <w:p w14:paraId="5840E0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Люки и все пулеметные установки делать согласно снятым в ЭВК эскизам.</w:t>
      </w:r>
    </w:p>
    <w:p w14:paraId="4C0316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Верхняя площадка остается (трубы крепящей вилки пулеметов упраздняются).</w:t>
      </w:r>
    </w:p>
    <w:p w14:paraId="2D843F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Баки на 21 пуд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жестью на ширину 700 мм.</w:t>
      </w:r>
    </w:p>
    <w:p w14:paraId="45752D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3B5E45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Поверхность стабилизатора увеличить на 3-4 кв.метра.</w:t>
      </w:r>
    </w:p>
    <w:p w14:paraId="2AA901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Бензиновую проводку в фюзеляже не вводить и ввести по задним стойкам клеток планов.</w:t>
      </w:r>
    </w:p>
    <w:p w14:paraId="30B102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Корабли снабдить двумя кассетами для пудовых бомб и двумя кассетами для двухпудовых бомб. Б) типа Е</w:t>
      </w:r>
    </w:p>
    <w:p w14:paraId="11C99B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Кресло пилота и управление сдвинуть на 14 см вправо.</w:t>
      </w:r>
    </w:p>
    <w:p w14:paraId="7E4D5B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Изменить форму спинки сиденья и сделать ее суживающейся кверху (размером 160 мм вверху и высотою 500м). Спинку закрепить.</w:t>
      </w:r>
    </w:p>
    <w:p w14:paraId="78BA00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Головную часть корабля укоротить на 30 см и свести к верхней поверхности фюзеляжа.</w:t>
      </w:r>
    </w:p>
    <w:p w14:paraId="12B4F1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В полу головной части корабля впереди переднего лонжерона крыла вправо от сидения пилота поставить зеркальное стекло из двух половинок, одна из них должна открываться.</w:t>
      </w:r>
    </w:p>
    <w:p w14:paraId="429EBD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Люк для стрельбы из верхнего пулемета головной части корабля сделать с правой стороны над подъемною площадкой для пулеметчика.</w:t>
      </w:r>
    </w:p>
    <w:p w14:paraId="5ED264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Опускающуюся пулеметную площадку для стрельбы под костыль выполнить по эскизам снятым в Эскадре с Корабля IX (тип Е №265).</w:t>
      </w:r>
    </w:p>
    <w:p w14:paraId="487227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5E622C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Пулеметные установки: (задняя верхняя за дверью, боковая и передняя головная) выполнить по эскизам снятым с /Х-го корабля.</w:t>
      </w:r>
    </w:p>
    <w:p w14:paraId="77474E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Высота шасси и расстояние между моторами должны допускать возможность постановки винтов до 3,5м в диаметре.</w:t>
      </w:r>
    </w:p>
    <w:p w14:paraId="059DCB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оборудование корабля (сигнальный прибор, бомбовые шкафы, люки, установки компасов, контрольных приборов) выполнить по эскизам снятым с 1Х-го корабля.</w:t>
      </w:r>
    </w:p>
    <w:p w14:paraId="119771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Баки до 30 пудов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 жестью по ширине 800мм.</w:t>
      </w:r>
    </w:p>
    <w:p w14:paraId="79DE0D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Лыжи выполнить по типу 1Х-го корабля.</w:t>
      </w:r>
    </w:p>
    <w:p w14:paraId="56B560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Бензиновую проводку в фюзеляже не вводить и ввести по задним стойкам клеток планов.</w:t>
      </w:r>
    </w:p>
    <w:p w14:paraId="07390D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Общая мощность моторов должна быть не ниже 1000 действительных лошадиных сил.</w:t>
      </w:r>
    </w:p>
    <w:p w14:paraId="32C99F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Подписал Начальник ЭВК Генерал-майор Шидловский, Винница у 26 января 1917 г. (12038).</w:t>
      </w:r>
    </w:p>
    <w:p w14:paraId="7BF71F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6EFD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мае 1917 началось разложение армии, массовое дезертирство. Под натиском противника остатки русских войск откатывались назад. Уходя от неприятеля, большинство “Муромцев” перелетели со своих отрядных аэродромов в Винницу. Командир же корабля Грек смог улететь в Киев, Насонов сел в Борисове и при приближении немцев сжег корабль. Башко в Бобруйске попал в руки 1-го польского корпуса, в котором боевой командир находился, практически, на правах военнопленного. Через некоторое время, когда немцы уже захватили город, он совершил дерзкий побег, угнав из-под самого носа охраны свой верный “Муромец”. База же в Виннице бурлила. Нижние чины требовали выборно заменить всех командиров кораблей на “социально лояльные личности”, хотя очевидно, что таким </w:t>
      </w:r>
      <w:r w:rsidRPr="002F2FDF">
        <w:rPr>
          <w:rFonts w:ascii="Times New Roman" w:hAnsi="Times New Roman" w:cs="Times New Roman"/>
          <w:color w:val="000000" w:themeColor="text1"/>
          <w:kern w:val="2"/>
          <w:sz w:val="16"/>
          <w:szCs w:val="16"/>
        </w:rPr>
        <w:lastRenderedPageBreak/>
        <w:t>образом найти командира, который выпестовывается штучно, невозможно. Тем не менее ряд первых пилотов был отстранен от командования кораблями. Среди них — лучшие летчики эскадры, в том числе и Г. Г. Горшков. Часто вершился и скорый суд. В этих условиях планомерной работы не велось, боевые действия эскадры стали эпизодическими. При подходе немцев и реальной угрозе захвата “Муромцев” спасти их при неразберихе того времени оказалось невозможно и большая часть кораблей была сожжена. Так бесславно закончилась история создания и боевой работы первой в мире эскадры воздушных кораблей. И все же, несмотря на печальный финал, который наступил не по вине создателей эскадры, за короткий период сделано было много. Само создание эскадры тяжелых воздушных кораблей — первого в мире соединения стратегической авиации ставило Россию в особое положение. Ни одна страна в мире, даже самая развитая, не имела вплоть до 1917 г. такого мощного воздушного кулака. Всего за время войны было отправлено на фронт примерно 70 воздушных кораблей “Илья Муромец” различных модификаций. 17 октября 1917 г. их производство было приостановлено. Оставшийся задел — несколько самолетов — с перерывами достраивался в течение трех лет. “Муромцы” подняли сам процесс использования самолета в качестве боевой машины на новую высоту. Они успешно бомбили железнодорожные узлы и скопления живой силы противника, проводили глубокую разведку в тылу противника, обстреливали колонны войск на марше, расчеты артиллерийских орудий. В эскадре были разработаны новые приборы, прицелы, методики обработки целей, что в сочетании с инерционностью машины и комфортабельными условиями для экипажа позволяло добиваться поразительной точности бомбометания. Тактико-технические данные корабля, его грузоподъемность и дальность обеспечивали достижение стратегических целей в тылу противника. На “Муромце” с отечественными двигателями впервые была поднята бомба в 410 кг. Ни один самолет в мире тогда не мог этого сделать. Использование большого калибра давало результативность в воздействии на фортификационные сооружения противника. В качестве дальнего разведчика (т.е. без бомб и с дополнительным топливом) “Муромец” мог держаться в воздухе 9–10 ч, что по тому времени было уж совершенно невероятно. На особую высоту была поднята аэрофотосъемка. С применением лучших в мире отечественных фотоаппаратов системы Потте впервые была снята линия укреплений противника длиной в несколько десятков километров. Данные же стратегической разведки оказывали неоценимую помощь командованию русской армии. Впервые в мире были осуществлены и отработаны групповые налеты — прообраз массированных, что давало особую эффективность применения тяжелых машин. Последовательное использование боевого опыта и раскрытие заложенных потенциальных возможностей воздушного гиганта позволили И. И. Сикорскому превратить “Илью Муромца” в “летающую крепость” с полным сферическим обстрелом. Несмотря на большое количество боевых вылетов (около 400), за всю войну был сбит только один корабль (и то при самых неблагоприятных обстоятельствах) и три подбито, но они дотянули до своей территории. Кроме того, “Муромцы” сбили более дюжины вражеских истребителей. Пожалуй, ни один тип бомбардировщика в мире ни в те времена, ни сейчас не может похвастаться таким соотношением. Более того, оно всегда в пользу истребителей. Если говорить о других странах, то не только соединений тяжелых кораблей, а к началу войны и самолетов, подобных “Муромцу”, у них не было. Самый первый “иностранец” из этой когорты был “Капрони” (Ка-32). Он стал поступать в войска только с августа 1915 г. Это был второй после “Ильи Муромца” многомоторный бомбардировщик, запущенный в серийное производство и широко применявшийся в боевых действиях. Другие самолеты с разнесенными двигателями появились в первых образцах лишь в 1914 г., да и то в двухмоторных вариантах ( “Гота Г-1”, Германия; “Моран-Солнье-25”, Франция и др. ). В серию они пошли только через год. Как по размерам, так и по боевой нагрузке и эффективности боевого применения они значительно уступали “Муромцам” (11196).</w:t>
      </w:r>
    </w:p>
    <w:p w14:paraId="070018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64B394" w14:textId="77777777" w:rsidR="003E30FD" w:rsidRPr="00FB4F67" w:rsidRDefault="003E30F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мае 1917 г. на Кавказском фронте турецкий фл. Abt.8 был переведен в Сивас. В сентябре и октябре он проводил операции возле Теркана и Келкита.</w:t>
      </w:r>
    </w:p>
    <w:p w14:paraId="4849FA13" w14:textId="77777777" w:rsidR="003E30FD" w:rsidRPr="00FB4F67" w:rsidRDefault="003E30F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мае-июне русские полевые КВО были реорганизованы в армейские ВО (АВО) и корпусные ВО (КВО). Воздушный состав состоял из 59 КВО, 29 армейских ВО, ВО Ревельской крепости и ВО Свеаборгской крепости, около 200 аэростатов.</w:t>
      </w:r>
    </w:p>
    <w:p w14:paraId="590B856A" w14:textId="77777777" w:rsidR="003E30FD" w:rsidRPr="00FB4F67" w:rsidRDefault="003E30F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Тыловые авиабатальоны располагались в Сализе, под Гатчиной, обслуживая Северный фронт, в Гомеле, обслуживая Западный фронт, в Киеве, обслуживая Юго-Западный фронт. Кавказский полевой авиабатальон располагался в Карсе. Аэрофотопарк находился в Киеве. Аэропарк румынского фронта находился в Яси. Было четырнадцать воздухоплавательных батальонов, четыре авиационных инспектора фронта, четыре фронтовых авиационных парка, насчитывавших около 700 офицеров, 28 000 солдат и 9 000 лошадей.</w:t>
      </w:r>
    </w:p>
    <w:p w14:paraId="2A0A1D88" w14:textId="77777777" w:rsidR="003E30FD" w:rsidRPr="00FB4F67" w:rsidRDefault="003E30F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последнюю неделю мая в Эрегли была размещена группа турецких гидросамолетов (2-я Деник Тайяре Болук). Им командовал пилот и морской капитан Ихсан, в его состав входили еще один пилот и два наблюдателя, один гидросамолет Hansa-Brandenburg NW и один Gotha WD.13 (23525).</w:t>
      </w:r>
    </w:p>
    <w:p w14:paraId="611BC511" w14:textId="77777777" w:rsidR="003E30FD" w:rsidRPr="00FB4F67" w:rsidRDefault="003E30FD" w:rsidP="0083075A">
      <w:pPr>
        <w:spacing w:after="0" w:line="240" w:lineRule="auto"/>
        <w:jc w:val="both"/>
        <w:rPr>
          <w:rFonts w:ascii="Times New Roman" w:hAnsi="Times New Roman" w:cs="Times New Roman"/>
          <w:color w:val="0070C0"/>
          <w:sz w:val="16"/>
          <w:szCs w:val="16"/>
        </w:rPr>
      </w:pPr>
    </w:p>
    <w:p w14:paraId="6C670570" w14:textId="77777777" w:rsidR="007B4BAF" w:rsidRPr="00FB4F67" w:rsidRDefault="007B4BA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мае 1917 г. в Петрограде и Киеве проходил Всероссийский авиационный съезд. В них приняли участие летчики, механики, профессора и инженеры, которые собрались, чтобы сохранить институциональную основу авиации и разработать планы на будущее, которые позволили бы России освободиться от иностранного господства. Военно-политические условия не позволяли реализовать такие планы, но с приходом к власти большевиков они примут свои общие очертания (23525).</w:t>
      </w:r>
    </w:p>
    <w:p w14:paraId="4748807D" w14:textId="77777777" w:rsidR="007B4BAF" w:rsidRPr="00FB4F67" w:rsidRDefault="007B4BAF" w:rsidP="0083075A">
      <w:pPr>
        <w:spacing w:after="0" w:line="240" w:lineRule="auto"/>
        <w:jc w:val="both"/>
        <w:rPr>
          <w:rFonts w:ascii="Times New Roman" w:hAnsi="Times New Roman" w:cs="Times New Roman"/>
          <w:color w:val="0070C0"/>
          <w:sz w:val="16"/>
          <w:szCs w:val="16"/>
        </w:rPr>
      </w:pPr>
    </w:p>
    <w:p w14:paraId="43761D57" w14:textId="77777777" w:rsidR="007B4BAF" w:rsidRPr="00FB4F67" w:rsidRDefault="007B4BA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мае 1917 г. в Россию была отправлена третья французская авиационная миссия во главе с пилотами полковником Людманном и капитаном Мортюрё. Его целью было содействие в организации обучения французских инструкторов в Севастопольской, Гатчинской, Тифлисской и Одесской школах (23525).</w:t>
      </w:r>
    </w:p>
    <w:p w14:paraId="25507BF5" w14:textId="77777777" w:rsidR="007B4BAF" w:rsidRPr="00FB4F67" w:rsidRDefault="007B4BAF" w:rsidP="0083075A">
      <w:pPr>
        <w:spacing w:after="0" w:line="240" w:lineRule="auto"/>
        <w:jc w:val="both"/>
        <w:rPr>
          <w:rFonts w:ascii="Times New Roman" w:hAnsi="Times New Roman" w:cs="Times New Roman"/>
          <w:color w:val="0070C0"/>
          <w:sz w:val="16"/>
          <w:szCs w:val="16"/>
        </w:rPr>
      </w:pPr>
    </w:p>
    <w:p w14:paraId="1BB02851" w14:textId="77777777" w:rsidR="007B4BAF" w:rsidRPr="00FB4F67" w:rsidRDefault="007B4BA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мае 1917 г. британская авиационная миссия прибыла в Киев из Москвы и готовилась к выдвижению в Тарнополь на Юго-Западном фронте. Они полностью прибыли в Тамополь 10 июня для службы в составе 9-й русской армии. В российском Генеральном штабе предполагали, что самолеты будут полностью пилотировать личный состав РФЦ на фронте, но летчиков не хватало, поэтому иногда летали смешанными экипажами (23525).</w:t>
      </w:r>
    </w:p>
    <w:p w14:paraId="50077BC0" w14:textId="77777777" w:rsidR="007B4BAF" w:rsidRPr="00FB4F67" w:rsidRDefault="007B4BAF" w:rsidP="0083075A">
      <w:pPr>
        <w:spacing w:after="0" w:line="240" w:lineRule="auto"/>
        <w:jc w:val="both"/>
        <w:rPr>
          <w:rFonts w:ascii="Times New Roman" w:hAnsi="Times New Roman" w:cs="Times New Roman"/>
          <w:color w:val="0070C0"/>
          <w:sz w:val="16"/>
          <w:szCs w:val="16"/>
        </w:rPr>
      </w:pPr>
    </w:p>
    <w:p w14:paraId="4A2343CD" w14:textId="77777777" w:rsidR="007B4BAF" w:rsidRPr="00FB4F67" w:rsidRDefault="007B4BA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мае 1917 г. генерал Пневский направил Полковника Немченко в Париж в качестве главы миссии по закупке авиации (23525).</w:t>
      </w:r>
    </w:p>
    <w:p w14:paraId="45ECDB26" w14:textId="77777777" w:rsidR="007B4BAF" w:rsidRPr="00FB4F67" w:rsidRDefault="007B4BAF" w:rsidP="0083075A">
      <w:pPr>
        <w:spacing w:after="0" w:line="240" w:lineRule="auto"/>
        <w:jc w:val="both"/>
        <w:rPr>
          <w:rFonts w:ascii="Times New Roman" w:hAnsi="Times New Roman" w:cs="Times New Roman"/>
          <w:color w:val="0070C0"/>
          <w:sz w:val="16"/>
          <w:szCs w:val="16"/>
        </w:rPr>
      </w:pPr>
    </w:p>
    <w:p w14:paraId="2AA02C2E" w14:textId="77777777" w:rsidR="007B4BAF" w:rsidRPr="00FB4F67" w:rsidRDefault="007B4BA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течение мая 1917 г. немцы сформировали на Русском фронте три временные истребительные части. Они были названы в честь своих аэродромов; Kampfeinsitzer Staffel Byten (из Fl. Abt. (A) 244) с шестью самолетами; Kampfeinsitser Staffel Osiekrow (из Fl. Abt. (A) 283) с двумя истребителями); и Kampfeinsitser Nowy-Zahorow с тремя машинами. Эти части были расформированы в декабре 1917 года (23525).</w:t>
      </w:r>
    </w:p>
    <w:p w14:paraId="5DCB9F59" w14:textId="77777777" w:rsidR="007B4BAF" w:rsidRPr="00FB4F67" w:rsidRDefault="007B4BAF" w:rsidP="0083075A">
      <w:pPr>
        <w:spacing w:after="0" w:line="240" w:lineRule="auto"/>
        <w:jc w:val="both"/>
        <w:rPr>
          <w:rFonts w:ascii="Times New Roman" w:hAnsi="Times New Roman" w:cs="Times New Roman"/>
          <w:color w:val="0070C0"/>
          <w:sz w:val="16"/>
          <w:szCs w:val="16"/>
        </w:rPr>
      </w:pPr>
    </w:p>
    <w:p w14:paraId="29B1250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года завершилось создание Воздуш</w:t>
      </w:r>
      <w:r w:rsidRPr="002F2FDF">
        <w:rPr>
          <w:rFonts w:ascii="Times New Roman" w:hAnsi="Times New Roman" w:cs="Times New Roman"/>
          <w:color w:val="000000" w:themeColor="text1"/>
          <w:kern w:val="2"/>
          <w:sz w:val="16"/>
          <w:szCs w:val="16"/>
        </w:rPr>
        <w:softHyphen/>
        <w:t>ной дивизии Балтийского моря, которое велось с 31 де</w:t>
      </w:r>
      <w:r w:rsidRPr="002F2FDF">
        <w:rPr>
          <w:rFonts w:ascii="Times New Roman" w:hAnsi="Times New Roman" w:cs="Times New Roman"/>
          <w:color w:val="000000" w:themeColor="text1"/>
          <w:kern w:val="2"/>
          <w:sz w:val="16"/>
          <w:szCs w:val="16"/>
        </w:rPr>
        <w:softHyphen/>
        <w:t>кабря 1916 года (13 января 1917) под начальством капитана 1 ранга Б. Дудорова. В России произошли кар</w:t>
      </w:r>
      <w:r w:rsidRPr="002F2FDF">
        <w:rPr>
          <w:rFonts w:ascii="Times New Roman" w:hAnsi="Times New Roman" w:cs="Times New Roman"/>
          <w:color w:val="000000" w:themeColor="text1"/>
          <w:kern w:val="2"/>
          <w:sz w:val="16"/>
          <w:szCs w:val="16"/>
        </w:rPr>
        <w:softHyphen/>
        <w:t>динальные перемены. Февральская буржуазно-демократичес</w:t>
      </w:r>
      <w:r w:rsidRPr="002F2FDF">
        <w:rPr>
          <w:rFonts w:ascii="Times New Roman" w:hAnsi="Times New Roman" w:cs="Times New Roman"/>
          <w:color w:val="000000" w:themeColor="text1"/>
          <w:kern w:val="2"/>
          <w:sz w:val="16"/>
          <w:szCs w:val="16"/>
        </w:rPr>
        <w:softHyphen/>
        <w:t>кая революция ликвидировала режим царского самодержавия. Развернулся процесс демократизации в вооруженных силах Российской Республики, резко возросли антивоенные настроения. На состоявшихся в Гельсингфорсе, Ревеле, Кронштадте весной 1917 года митингах моряков были выдвинуты требо</w:t>
      </w:r>
      <w:r w:rsidRPr="002F2FDF">
        <w:rPr>
          <w:rFonts w:ascii="Times New Roman" w:hAnsi="Times New Roman" w:cs="Times New Roman"/>
          <w:color w:val="000000" w:themeColor="text1"/>
          <w:kern w:val="2"/>
          <w:sz w:val="16"/>
          <w:szCs w:val="16"/>
        </w:rPr>
        <w:softHyphen/>
        <w:t>вания об отставке Временного правительства и передаче влас</w:t>
      </w:r>
      <w:r w:rsidRPr="002F2FDF">
        <w:rPr>
          <w:rFonts w:ascii="Times New Roman" w:hAnsi="Times New Roman" w:cs="Times New Roman"/>
          <w:color w:val="000000" w:themeColor="text1"/>
          <w:kern w:val="2"/>
          <w:sz w:val="16"/>
          <w:szCs w:val="16"/>
        </w:rPr>
        <w:softHyphen/>
        <w:t>ти Советам народных депутатов. Эти обстоятельства серьезно затруднили формирование дивизии. В первую бригаду со штабом в Ревеле вошли части Бал</w:t>
      </w:r>
      <w:r w:rsidRPr="002F2FDF">
        <w:rPr>
          <w:rFonts w:ascii="Times New Roman" w:hAnsi="Times New Roman" w:cs="Times New Roman"/>
          <w:color w:val="000000" w:themeColor="text1"/>
          <w:kern w:val="2"/>
          <w:sz w:val="16"/>
          <w:szCs w:val="16"/>
        </w:rPr>
        <w:softHyphen/>
        <w:t>тийского воздушного района, сведенные в три прибрежных дивизиона с 54 гидроаэропланами, базирующихся на три стан</w:t>
      </w:r>
      <w:r w:rsidRPr="002F2FDF">
        <w:rPr>
          <w:rFonts w:ascii="Times New Roman" w:hAnsi="Times New Roman" w:cs="Times New Roman"/>
          <w:color w:val="000000" w:themeColor="text1"/>
          <w:kern w:val="2"/>
          <w:sz w:val="16"/>
          <w:szCs w:val="16"/>
        </w:rPr>
        <w:softHyphen/>
        <w:t>ции и три поста. Во вторую бригаду со штабом в Гельсинг</w:t>
      </w:r>
      <w:r w:rsidRPr="002F2FDF">
        <w:rPr>
          <w:rFonts w:ascii="Times New Roman" w:hAnsi="Times New Roman" w:cs="Times New Roman"/>
          <w:color w:val="000000" w:themeColor="text1"/>
          <w:kern w:val="2"/>
          <w:sz w:val="16"/>
          <w:szCs w:val="16"/>
        </w:rPr>
        <w:softHyphen/>
        <w:t>форсе вошли части Ботнического воздушного района, сведен</w:t>
      </w:r>
      <w:r w:rsidRPr="002F2FDF">
        <w:rPr>
          <w:rFonts w:ascii="Times New Roman" w:hAnsi="Times New Roman" w:cs="Times New Roman"/>
          <w:color w:val="000000" w:themeColor="text1"/>
          <w:kern w:val="2"/>
          <w:sz w:val="16"/>
          <w:szCs w:val="16"/>
        </w:rPr>
        <w:softHyphen/>
        <w:t>ные в три прибрежных дивизиона с 48 гидроаэропланами, базирующиеся на три станции и шесть постов. Единственное авиасудно с 4 летающими лодками замыкалось на бригаду, но находилось в непосредственном распоряжении командующе</w:t>
      </w:r>
      <w:r w:rsidRPr="002F2FDF">
        <w:rPr>
          <w:rFonts w:ascii="Times New Roman" w:hAnsi="Times New Roman" w:cs="Times New Roman"/>
          <w:color w:val="000000" w:themeColor="text1"/>
          <w:kern w:val="2"/>
          <w:sz w:val="16"/>
          <w:szCs w:val="16"/>
        </w:rPr>
        <w:softHyphen/>
        <w:t>го флотом (11283).</w:t>
      </w:r>
    </w:p>
    <w:p w14:paraId="0BE65C5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70D3B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г. на состоявшейся союзнической конференции в Петрограде бы</w:t>
      </w:r>
      <w:r w:rsidRPr="002F2FDF">
        <w:rPr>
          <w:rFonts w:ascii="Times New Roman" w:hAnsi="Times New Roman" w:cs="Times New Roman"/>
          <w:color w:val="000000" w:themeColor="text1"/>
          <w:kern w:val="2"/>
          <w:sz w:val="16"/>
          <w:szCs w:val="16"/>
        </w:rPr>
        <w:softHyphen/>
        <w:t>ла установлена точная потребность русской армии в танках нового типа в количестве 6 машин на каждое из 50 отделе</w:t>
      </w:r>
      <w:r w:rsidRPr="002F2FDF">
        <w:rPr>
          <w:rFonts w:ascii="Times New Roman" w:hAnsi="Times New Roman" w:cs="Times New Roman"/>
          <w:color w:val="000000" w:themeColor="text1"/>
          <w:kern w:val="2"/>
          <w:sz w:val="16"/>
          <w:szCs w:val="16"/>
        </w:rPr>
        <w:softHyphen/>
        <w:t>ний бронедивизионов и трети машин резерва, что состав</w:t>
      </w:r>
      <w:r w:rsidRPr="002F2FDF">
        <w:rPr>
          <w:rFonts w:ascii="Times New Roman" w:hAnsi="Times New Roman" w:cs="Times New Roman"/>
          <w:color w:val="000000" w:themeColor="text1"/>
          <w:kern w:val="2"/>
          <w:sz w:val="16"/>
          <w:szCs w:val="16"/>
        </w:rPr>
        <w:softHyphen/>
        <w:t>ляло в сумме 390 танков типа “Шнейдер С.А.1.” (10733,31).</w:t>
      </w:r>
    </w:p>
    <w:p w14:paraId="4677CF9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642DE5" w14:textId="77777777" w:rsidR="007B029C" w:rsidRPr="002F2FDF" w:rsidRDefault="007B029C"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В мае 1917 г. две тракторные роты были созданы (18380).</w:t>
      </w:r>
    </w:p>
    <w:p w14:paraId="07419A10" w14:textId="77777777" w:rsidR="007B029C" w:rsidRPr="002F2FDF" w:rsidRDefault="007B029C" w:rsidP="0083075A">
      <w:pPr>
        <w:spacing w:after="0" w:line="240" w:lineRule="auto"/>
        <w:jc w:val="both"/>
        <w:rPr>
          <w:rFonts w:ascii="Times New Roman" w:eastAsia="Times New Roman" w:hAnsi="Times New Roman" w:cs="Times New Roman"/>
          <w:color w:val="000000" w:themeColor="text1"/>
          <w:sz w:val="16"/>
          <w:szCs w:val="16"/>
          <w:lang w:eastAsia="ru-RU"/>
        </w:rPr>
      </w:pPr>
    </w:p>
    <w:p w14:paraId="7AC012A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5979A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41D95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в Россию вернулся П.Б.Аксельрод и стал членом исполкома Петросовета. Вернулся и П.А.Кропоткин и в июне-июле 1917 отказался от предложения А.И.Керенского войти во Временное правительство (1348,89).</w:t>
      </w:r>
    </w:p>
    <w:p w14:paraId="4DF3F7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7ABE47" w14:textId="77777777" w:rsidR="008A5E89"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36E25D58" w14:textId="77777777" w:rsidR="008A5E89" w:rsidRPr="002F2FDF" w:rsidRDefault="008A5E8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23D19C" w14:textId="77777777" w:rsidR="008A5E89" w:rsidRPr="002F2FDF" w:rsidRDefault="008A5E89"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Май 1917 г. </w:t>
      </w:r>
      <w:r w:rsidRPr="002F2FDF">
        <w:rPr>
          <w:rFonts w:ascii="Times New Roman" w:hAnsi="Times New Roman" w:cs="Times New Roman"/>
          <w:color w:val="000000" w:themeColor="text1"/>
          <w:kern w:val="2"/>
          <w:sz w:val="16"/>
          <w:szCs w:val="16"/>
        </w:rPr>
        <w:t>Письмо товарища министра торговли и промышленности председателю Русско-Американской торговой палаты Н. И. Гучкову об отношении Временного правительства к привлечению американского капитала в Россию.</w:t>
      </w:r>
    </w:p>
    <w:p w14:paraId="6A2D22F0" w14:textId="1DE5C5AA" w:rsidR="008A5E89" w:rsidRPr="002F2FDF" w:rsidRDefault="008A5E8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459-460</w:t>
      </w:r>
    </w:p>
    <w:p w14:paraId="60A24626" w14:textId="39F3900A" w:rsidR="008A5E89" w:rsidRPr="002F2FDF" w:rsidRDefault="008A5E8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ЦГИАЛ, ф. 23, оп. 11, д. 277, л. 25—25 об. Подлинник.</w:t>
      </w:r>
    </w:p>
    <w:p w14:paraId="4C6A0E66"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Вследствие отношения от 13 апреля с. г.</w:t>
      </w:r>
      <w:hyperlink r:id="rId189" w:anchor="_ftn2" w:history="1">
        <w:r w:rsidRPr="002F2FDF">
          <w:rPr>
            <w:rStyle w:val="a5"/>
            <w:color w:val="000000" w:themeColor="text1"/>
            <w:kern w:val="2"/>
            <w:sz w:val="16"/>
            <w:szCs w:val="16"/>
          </w:rPr>
          <w:t>[2]</w:t>
        </w:r>
      </w:hyperlink>
      <w:r w:rsidRPr="002F2FDF">
        <w:rPr>
          <w:color w:val="000000" w:themeColor="text1"/>
          <w:kern w:val="2"/>
          <w:sz w:val="16"/>
          <w:szCs w:val="16"/>
        </w:rPr>
        <w:t xml:space="preserve"> с приложением записок палаты: 1) о привлечении американских капиталов в Россию и 2) о существующих ограничениях в товарообмене между Россией и Америкой Министерство торговли и промышленности имеет честь уведомить Вас о нижеследующем.</w:t>
      </w:r>
    </w:p>
    <w:p w14:paraId="1BB73CCB"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В отношении первой из указанных записок надлежит иметь в виду, что Временное правительство, относясь вполне сочувственно к приливу в Россию американских капиталов, не предполагает делать каких-либо ограничений в смысле формы помещения их в наши предприятия; в соответствии с сим оно будет допускать</w:t>
      </w:r>
      <w:hyperlink r:id="rId190" w:anchor="_ftn3" w:history="1">
        <w:r w:rsidRPr="002F2FDF">
          <w:rPr>
            <w:rStyle w:val="a5"/>
            <w:color w:val="000000" w:themeColor="text1"/>
            <w:kern w:val="2"/>
            <w:sz w:val="16"/>
            <w:szCs w:val="16"/>
          </w:rPr>
          <w:t>[3]</w:t>
        </w:r>
      </w:hyperlink>
      <w:r w:rsidRPr="002F2FDF">
        <w:rPr>
          <w:color w:val="000000" w:themeColor="text1"/>
          <w:kern w:val="2"/>
          <w:sz w:val="16"/>
          <w:szCs w:val="16"/>
        </w:rPr>
        <w:t xml:space="preserve"> как непосредственное финансирование этих предприятий открытием кредитов заинтересованным банкам, так и учреждение новых акционерных обществ. В то же время </w:t>
      </w:r>
      <w:r w:rsidRPr="002F2FDF">
        <w:rPr>
          <w:color w:val="000000" w:themeColor="text1"/>
          <w:kern w:val="2"/>
          <w:sz w:val="16"/>
          <w:szCs w:val="16"/>
        </w:rPr>
        <w:lastRenderedPageBreak/>
        <w:t>правительство едва ли будет настаивать на облигационной форме допуска иностранного капитала, каковая форма, по-видимому, окажется для американцев особенно нежелательной.</w:t>
      </w:r>
    </w:p>
    <w:p w14:paraId="5FA3F423"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Что касается второй из указанных записок, то по сему поводу министерство считает долгом заметить, что гарантии, требуемые ныне на основании русско-американского соглашения 10/23 сентября 1915 г. от американских импортеров и русских экспортеров, с вступлением Соединенных Штатов в ряды союзников утратили, разумеется, свое значение; однако принятие мер к отмене сего соглашения могло бы иметь место лишь после издания федеральным правительством законов, запрещающих торговлю с неприятелем и под страхом уголовных кар предупреждающих возможность попадания в Германию американских нровенанеов.</w:t>
      </w:r>
    </w:p>
    <w:p w14:paraId="2FD9CBFE"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По этому поводу сенатор Рут в бытность свою в Петрограде сообщил, что правительство Соединенных Штатов не преминет издать соответствующие правила в ближайшем будущем.</w:t>
      </w:r>
    </w:p>
    <w:p w14:paraId="51738A9E"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По тем же соображениям Министерство торговли и промышленности затрудняется с своей стороны высказаться за немедленную отмену существующего порядка отправки товаров по именным коносаментам, а равно за распространение на Америку льготного списка товаров, выпу скаемых в союзные страны без специального разрешения, ибо осуществление этих мер равным образом зависит от издания Северной Америкой помянутых выше запретительных постановлений.</w:t>
      </w:r>
    </w:p>
    <w:p w14:paraId="5899A3D7" w14:textId="77777777" w:rsidR="008A5E89" w:rsidRPr="002F2FDF" w:rsidRDefault="008A5E89" w:rsidP="0083075A">
      <w:pPr>
        <w:pStyle w:val="rtejustify"/>
        <w:spacing w:before="0" w:after="0"/>
        <w:rPr>
          <w:color w:val="000000" w:themeColor="text1"/>
          <w:kern w:val="2"/>
          <w:sz w:val="16"/>
          <w:szCs w:val="16"/>
        </w:rPr>
      </w:pPr>
      <w:r w:rsidRPr="002F2FDF">
        <w:rPr>
          <w:color w:val="000000" w:themeColor="text1"/>
          <w:kern w:val="2"/>
          <w:sz w:val="16"/>
          <w:szCs w:val="16"/>
        </w:rPr>
        <w:t>О могущих последовать по сему предмету в скором времени распоряжениях Министерство торговли и промышленности не преминет поставить Русско-Американскую торговую палату в известность.</w:t>
      </w:r>
    </w:p>
    <w:p w14:paraId="192F6425" w14:textId="77777777" w:rsidR="008A5E89" w:rsidRPr="002F2FDF" w:rsidRDefault="008A5E89"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Товарищ министра торговли и промышленности.</w:t>
      </w:r>
    </w:p>
    <w:p w14:paraId="4A21AEA4" w14:textId="77777777" w:rsidR="008A5E89" w:rsidRPr="002F2FDF" w:rsidRDefault="008A5E89"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За управляющего отделом В. Лисенко.</w:t>
      </w:r>
    </w:p>
    <w:p w14:paraId="0935A332" w14:textId="77777777" w:rsidR="008A5E89" w:rsidRPr="002F2FDF" w:rsidRDefault="00000000" w:rsidP="0083075A">
      <w:pPr>
        <w:pStyle w:val="ae"/>
        <w:spacing w:before="0" w:after="0"/>
        <w:jc w:val="both"/>
        <w:rPr>
          <w:color w:val="000000" w:themeColor="text1"/>
          <w:kern w:val="2"/>
          <w:sz w:val="16"/>
          <w:szCs w:val="16"/>
        </w:rPr>
      </w:pPr>
      <w:hyperlink r:id="rId191" w:anchor="_ftnref2" w:history="1">
        <w:r w:rsidR="008A5E89" w:rsidRPr="002F2FDF">
          <w:rPr>
            <w:rStyle w:val="a5"/>
            <w:color w:val="000000" w:themeColor="text1"/>
            <w:kern w:val="2"/>
            <w:sz w:val="16"/>
            <w:szCs w:val="16"/>
          </w:rPr>
          <w:t>[2]</w:t>
        </w:r>
      </w:hyperlink>
      <w:r w:rsidR="008A5E89" w:rsidRPr="002F2FDF">
        <w:rPr>
          <w:color w:val="000000" w:themeColor="text1"/>
          <w:kern w:val="2"/>
          <w:sz w:val="16"/>
          <w:szCs w:val="16"/>
        </w:rPr>
        <w:t xml:space="preserve"> В том же деле, л. 1</w:t>
      </w:r>
    </w:p>
    <w:p w14:paraId="69C271EE" w14:textId="77777777" w:rsidR="008A5E89" w:rsidRPr="002F2FDF" w:rsidRDefault="00000000" w:rsidP="0083075A">
      <w:pPr>
        <w:pStyle w:val="ae"/>
        <w:spacing w:before="0" w:after="0"/>
        <w:jc w:val="both"/>
        <w:rPr>
          <w:color w:val="000000" w:themeColor="text1"/>
          <w:kern w:val="2"/>
          <w:sz w:val="16"/>
          <w:szCs w:val="16"/>
        </w:rPr>
      </w:pPr>
      <w:hyperlink r:id="rId192" w:anchor="_ftnref3" w:history="1">
        <w:r w:rsidR="008A5E89" w:rsidRPr="002F2FDF">
          <w:rPr>
            <w:rStyle w:val="a5"/>
            <w:color w:val="000000" w:themeColor="text1"/>
            <w:kern w:val="2"/>
            <w:sz w:val="16"/>
            <w:szCs w:val="16"/>
          </w:rPr>
          <w:t>[3]</w:t>
        </w:r>
      </w:hyperlink>
      <w:r w:rsidR="008A5E89" w:rsidRPr="002F2FDF">
        <w:rPr>
          <w:color w:val="000000" w:themeColor="text1"/>
          <w:kern w:val="2"/>
          <w:sz w:val="16"/>
          <w:szCs w:val="16"/>
        </w:rPr>
        <w:t xml:space="preserve"> Слова оно будет допускать... особенно нежелательной отчеркнуты карандашом и на полях помета товарища министра торговли и промышленности В. В. Прилежаева: «Если это уже было на рассмотрении министра финансов, [то] я, конечно, не возражаю. Перед посылкою министру финансов я просьбу не видел» (15205).</w:t>
      </w:r>
    </w:p>
    <w:p w14:paraId="63999D36" w14:textId="77777777" w:rsidR="008A5E89" w:rsidRPr="002F2FDF" w:rsidRDefault="008A5E89"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1731141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0DC3F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8E0A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года численность персонала на заводе “Шютте-Ланц” достигла 1500 человек В 1916 году насчитывала уже 120 инженеров и 850 рабочих по сравнению с 5 инженерами и 60 рабочими к началу войны. (11324).</w:t>
      </w:r>
    </w:p>
    <w:p w14:paraId="602FAD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1593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мае 1917 года LZ-111 был передан флоту и за короткий срок выполнил 7 полетов и прошел 5614 км. </w:t>
      </w:r>
    </w:p>
    <w:p w14:paraId="76C521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LZ-113, начавший работу одновременно с LZ-111, за 15 полетов пролетел 12 305 км. [183] </w:t>
      </w:r>
    </w:p>
    <w:p w14:paraId="039C42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LZ-98, переданный вместе с LZ-111 и LZ-113, выполнил 15 полетов и прошел 11 982 км (11324).</w:t>
      </w:r>
    </w:p>
    <w:p w14:paraId="1CAFD7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F5DE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года на флот поступили цеппелины LZ-98, LZ-111, LZ-113, LZ-120 и SL-8, которые были приписаны к базам на побережье Балтийского моря. Эти дирижабли использовались для патрульной службы на Балтике. На фронте и в тылу было решено держать всего 15 дирижаблей, а центр тяжести их использования перенести на Восточный фронт и Балканы, так как в этих регионах воздушная оборона все еще была не развита. LZ-98 в пятнадцати разведывательных полетах прошел 11 982 км, LZ-111 в семи полетах — 5611 км, LZ-113 в пятнадцати полетах — 12305 км. Все армейские аэродромы и эллинги было предложено передать флоту, но тот отказался. Годные к эксплуатации эллинги стала использовать авиация, а освободившийся личный состав передан для пополнения и формирования авиационных и воздухоплавательных отрядов, а также пехотных частей. Командиры и экипажи армейских дирижаблей заслужили высокое признание за свою настойчивость и энергию при выполнении боевых заданий. Во время атак самолетов противника или в огне зенитных орудий на малой высоте они никогда не испытывали недостатка мужества. В 1917 году только военно-морской флот использовал дирижабли (11324).</w:t>
      </w:r>
    </w:p>
    <w:p w14:paraId="136EAC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D44C2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г. совер</w:t>
      </w:r>
      <w:r w:rsidRPr="002F2FDF">
        <w:rPr>
          <w:rFonts w:ascii="Times New Roman" w:hAnsi="Times New Roman" w:cs="Times New Roman"/>
          <w:color w:val="000000" w:themeColor="text1"/>
          <w:kern w:val="2"/>
          <w:sz w:val="16"/>
          <w:szCs w:val="16"/>
        </w:rPr>
        <w:softHyphen/>
        <w:t>шивший свой первый полет самолет фирмы Halberstadt CL.2 с мо</w:t>
      </w:r>
      <w:r w:rsidRPr="002F2FDF">
        <w:rPr>
          <w:rFonts w:ascii="Times New Roman" w:hAnsi="Times New Roman" w:cs="Times New Roman"/>
          <w:color w:val="000000" w:themeColor="text1"/>
          <w:kern w:val="2"/>
          <w:sz w:val="16"/>
          <w:szCs w:val="16"/>
        </w:rPr>
        <w:softHyphen/>
        <w:t>тором Mercedes D.III (160 л.с.) - легкий многоцелевой биплан класса "CL". По своим размерам машина очень походила на одноместный истребитель. Тактико-технические требования к легкому многоцелевому биплану клас</w:t>
      </w:r>
      <w:r w:rsidRPr="002F2FDF">
        <w:rPr>
          <w:rFonts w:ascii="Times New Roman" w:hAnsi="Times New Roman" w:cs="Times New Roman"/>
          <w:color w:val="000000" w:themeColor="text1"/>
          <w:kern w:val="2"/>
          <w:sz w:val="16"/>
          <w:szCs w:val="16"/>
        </w:rPr>
        <w:softHyphen/>
        <w:t>са "CL" предусматривали использова</w:t>
      </w:r>
      <w:r w:rsidRPr="002F2FDF">
        <w:rPr>
          <w:rFonts w:ascii="Times New Roman" w:hAnsi="Times New Roman" w:cs="Times New Roman"/>
          <w:color w:val="000000" w:themeColor="text1"/>
          <w:kern w:val="2"/>
          <w:sz w:val="16"/>
          <w:szCs w:val="16"/>
        </w:rPr>
        <w:softHyphen/>
        <w:t>ние мотора в 160-180 л.с., одного-двух пулеметов для стрельбы вперед, одно</w:t>
      </w:r>
      <w:r w:rsidRPr="002F2FDF">
        <w:rPr>
          <w:rFonts w:ascii="Times New Roman" w:hAnsi="Times New Roman" w:cs="Times New Roman"/>
          <w:color w:val="000000" w:themeColor="text1"/>
          <w:kern w:val="2"/>
          <w:sz w:val="16"/>
          <w:szCs w:val="16"/>
        </w:rPr>
        <w:softHyphen/>
        <w:t>го оборонительного пулемета и в пере</w:t>
      </w:r>
      <w:r w:rsidRPr="002F2FDF">
        <w:rPr>
          <w:rFonts w:ascii="Times New Roman" w:hAnsi="Times New Roman" w:cs="Times New Roman"/>
          <w:color w:val="000000" w:themeColor="text1"/>
          <w:kern w:val="2"/>
          <w:sz w:val="16"/>
          <w:szCs w:val="16"/>
        </w:rPr>
        <w:softHyphen/>
        <w:t>грузку до 50 кг бомб. При полетном весе 1160 кг многоцелевик развивал максимальную ско</w:t>
      </w:r>
      <w:r w:rsidRPr="002F2FDF">
        <w:rPr>
          <w:rFonts w:ascii="Times New Roman" w:hAnsi="Times New Roman" w:cs="Times New Roman"/>
          <w:color w:val="000000" w:themeColor="text1"/>
          <w:kern w:val="2"/>
          <w:sz w:val="16"/>
          <w:szCs w:val="16"/>
        </w:rPr>
        <w:softHyphen/>
        <w:t>рость 165 км/ч и высоту 1000 м наби</w:t>
      </w:r>
      <w:r w:rsidRPr="002F2FDF">
        <w:rPr>
          <w:rFonts w:ascii="Times New Roman" w:hAnsi="Times New Roman" w:cs="Times New Roman"/>
          <w:color w:val="000000" w:themeColor="text1"/>
          <w:kern w:val="2"/>
          <w:sz w:val="16"/>
          <w:szCs w:val="16"/>
        </w:rPr>
        <w:softHyphen/>
        <w:t>рал за 5 минут. Вооружение самолета состояло из одного-двух синхронных пулеметов LMG 08/15 Spandau для стрельбы впе</w:t>
      </w:r>
      <w:r w:rsidRPr="002F2FDF">
        <w:rPr>
          <w:rFonts w:ascii="Times New Roman" w:hAnsi="Times New Roman" w:cs="Times New Roman"/>
          <w:color w:val="000000" w:themeColor="text1"/>
          <w:kern w:val="2"/>
          <w:sz w:val="16"/>
          <w:szCs w:val="16"/>
        </w:rPr>
        <w:softHyphen/>
        <w:t>ред, одного турельного Parabellum/ mod. 1912 для стрельбы назад и 50 кг авиабомб. В дальнейшем летные данные само</w:t>
      </w:r>
      <w:r w:rsidRPr="002F2FDF">
        <w:rPr>
          <w:rFonts w:ascii="Times New Roman" w:hAnsi="Times New Roman" w:cs="Times New Roman"/>
          <w:color w:val="000000" w:themeColor="text1"/>
          <w:kern w:val="2"/>
          <w:sz w:val="16"/>
          <w:szCs w:val="16"/>
        </w:rPr>
        <w:softHyphen/>
        <w:t>лета были улучшены за счет установ</w:t>
      </w:r>
      <w:r w:rsidRPr="002F2FDF">
        <w:rPr>
          <w:rFonts w:ascii="Times New Roman" w:hAnsi="Times New Roman" w:cs="Times New Roman"/>
          <w:color w:val="000000" w:themeColor="text1"/>
          <w:kern w:val="2"/>
          <w:sz w:val="16"/>
          <w:szCs w:val="16"/>
        </w:rPr>
        <w:softHyphen/>
        <w:t>ки более мощного мотора BMW в 185 л.с. Модификация получила обозначе</w:t>
      </w:r>
      <w:r w:rsidRPr="002F2FDF">
        <w:rPr>
          <w:rFonts w:ascii="Times New Roman" w:hAnsi="Times New Roman" w:cs="Times New Roman"/>
          <w:color w:val="000000" w:themeColor="text1"/>
          <w:kern w:val="2"/>
          <w:sz w:val="16"/>
          <w:szCs w:val="16"/>
        </w:rPr>
        <w:softHyphen/>
        <w:t>ние CL.2a. В январе 1918 г. на его основе был разработан и серийно выпус</w:t>
      </w:r>
      <w:r w:rsidRPr="002F2FDF">
        <w:rPr>
          <w:rFonts w:ascii="Times New Roman" w:hAnsi="Times New Roman" w:cs="Times New Roman"/>
          <w:color w:val="000000" w:themeColor="text1"/>
          <w:kern w:val="2"/>
          <w:sz w:val="16"/>
          <w:szCs w:val="16"/>
        </w:rPr>
        <w:softHyphen/>
        <w:t>кался CL.4 с укороченным фюзеляжем (5999).</w:t>
      </w:r>
    </w:p>
    <w:p w14:paraId="46795F2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4390B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г. на фронт начали поступать Вг.14. В сило</w:t>
      </w:r>
      <w:r w:rsidRPr="002F2FDF">
        <w:rPr>
          <w:rFonts w:ascii="Times New Roman" w:hAnsi="Times New Roman" w:cs="Times New Roman"/>
          <w:color w:val="000000" w:themeColor="text1"/>
          <w:kern w:val="2"/>
          <w:sz w:val="16"/>
          <w:szCs w:val="16"/>
        </w:rPr>
        <w:softHyphen/>
        <w:t>вом наборе преобладал дюраль. Обшив</w:t>
      </w:r>
      <w:r w:rsidRPr="002F2FDF">
        <w:rPr>
          <w:rFonts w:ascii="Times New Roman" w:hAnsi="Times New Roman" w:cs="Times New Roman"/>
          <w:color w:val="000000" w:themeColor="text1"/>
          <w:kern w:val="2"/>
          <w:sz w:val="16"/>
          <w:szCs w:val="16"/>
        </w:rPr>
        <w:softHyphen/>
        <w:t>ка передней части фюзеляжа - профи</w:t>
      </w:r>
      <w:r w:rsidRPr="002F2FDF">
        <w:rPr>
          <w:rFonts w:ascii="Times New Roman" w:hAnsi="Times New Roman" w:cs="Times New Roman"/>
          <w:color w:val="000000" w:themeColor="text1"/>
          <w:kern w:val="2"/>
          <w:sz w:val="16"/>
          <w:szCs w:val="16"/>
        </w:rPr>
        <w:softHyphen/>
        <w:t>лированные дюралевые листы, осталь</w:t>
      </w:r>
      <w:r w:rsidRPr="002F2FDF">
        <w:rPr>
          <w:rFonts w:ascii="Times New Roman" w:hAnsi="Times New Roman" w:cs="Times New Roman"/>
          <w:color w:val="000000" w:themeColor="text1"/>
          <w:kern w:val="2"/>
          <w:sz w:val="16"/>
          <w:szCs w:val="16"/>
        </w:rPr>
        <w:softHyphen/>
        <w:t>ное полотно. Вдоль всей задней кром</w:t>
      </w:r>
      <w:r w:rsidRPr="002F2FDF">
        <w:rPr>
          <w:rFonts w:ascii="Times New Roman" w:hAnsi="Times New Roman" w:cs="Times New Roman"/>
          <w:color w:val="000000" w:themeColor="text1"/>
          <w:kern w:val="2"/>
          <w:sz w:val="16"/>
          <w:szCs w:val="16"/>
        </w:rPr>
        <w:softHyphen/>
        <w:t>ки нижнего крыла навешивались по</w:t>
      </w:r>
      <w:r w:rsidRPr="002F2FDF">
        <w:rPr>
          <w:rFonts w:ascii="Times New Roman" w:hAnsi="Times New Roman" w:cs="Times New Roman"/>
          <w:color w:val="000000" w:themeColor="text1"/>
          <w:kern w:val="2"/>
          <w:sz w:val="16"/>
          <w:szCs w:val="16"/>
        </w:rPr>
        <w:softHyphen/>
        <w:t>садочные щитки-закрылки. Самолет выпускался в варианте раз</w:t>
      </w:r>
      <w:r w:rsidRPr="002F2FDF">
        <w:rPr>
          <w:rFonts w:ascii="Times New Roman" w:hAnsi="Times New Roman" w:cs="Times New Roman"/>
          <w:color w:val="000000" w:themeColor="text1"/>
          <w:kern w:val="2"/>
          <w:sz w:val="16"/>
          <w:szCs w:val="16"/>
        </w:rPr>
        <w:softHyphen/>
        <w:t>ведчика (А) и в варианте бомбарди</w:t>
      </w:r>
      <w:r w:rsidRPr="002F2FDF">
        <w:rPr>
          <w:rFonts w:ascii="Times New Roman" w:hAnsi="Times New Roman" w:cs="Times New Roman"/>
          <w:color w:val="000000" w:themeColor="text1"/>
          <w:kern w:val="2"/>
          <w:sz w:val="16"/>
          <w:szCs w:val="16"/>
        </w:rPr>
        <w:softHyphen/>
        <w:t>ровщика (Bd и Вд). При полетном весе 1766 кг Вг.14 В, с мотором в 300 л.с. развивал 177 км/ч, высоту 2000 м на</w:t>
      </w:r>
      <w:r w:rsidRPr="002F2FDF">
        <w:rPr>
          <w:rFonts w:ascii="Times New Roman" w:hAnsi="Times New Roman" w:cs="Times New Roman"/>
          <w:color w:val="000000" w:themeColor="text1"/>
          <w:kern w:val="2"/>
          <w:sz w:val="16"/>
          <w:szCs w:val="16"/>
        </w:rPr>
        <w:softHyphen/>
        <w:t>бирал за 9,5 минут и имел бомбовую нагрузку 236 кг. Стрелковое вооруже</w:t>
      </w:r>
      <w:r w:rsidRPr="002F2FDF">
        <w:rPr>
          <w:rFonts w:ascii="Times New Roman" w:hAnsi="Times New Roman" w:cs="Times New Roman"/>
          <w:color w:val="000000" w:themeColor="text1"/>
          <w:kern w:val="2"/>
          <w:sz w:val="16"/>
          <w:szCs w:val="16"/>
        </w:rPr>
        <w:softHyphen/>
        <w:t>ние включало один синхронный пуле</w:t>
      </w:r>
      <w:r w:rsidRPr="002F2FDF">
        <w:rPr>
          <w:rFonts w:ascii="Times New Roman" w:hAnsi="Times New Roman" w:cs="Times New Roman"/>
          <w:color w:val="000000" w:themeColor="text1"/>
          <w:kern w:val="2"/>
          <w:sz w:val="16"/>
          <w:szCs w:val="16"/>
        </w:rPr>
        <w:softHyphen/>
        <w:t>мет и "спарку" у летнаба. На завершающем этапе войны "четырнадцатые" состояли на вооружении 55 французских и двух бельгийских авиаэскадрилий западно</w:t>
      </w:r>
      <w:r w:rsidRPr="002F2FDF">
        <w:rPr>
          <w:rFonts w:ascii="Times New Roman" w:hAnsi="Times New Roman" w:cs="Times New Roman"/>
          <w:color w:val="000000" w:themeColor="text1"/>
          <w:kern w:val="2"/>
          <w:sz w:val="16"/>
          <w:szCs w:val="16"/>
        </w:rPr>
        <w:softHyphen/>
        <w:t>го фронта. Кроме того, 290 самолетов этого типа с июля 1918 г. воевали в составе авиасил 1-й американской армии (5999).</w:t>
      </w:r>
    </w:p>
    <w:p w14:paraId="70129B0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D18B3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мая 1917 се</w:t>
      </w:r>
      <w:r w:rsidRPr="002F2FDF">
        <w:rPr>
          <w:rFonts w:ascii="Times New Roman" w:hAnsi="Times New Roman" w:cs="Times New Roman"/>
          <w:color w:val="000000" w:themeColor="text1"/>
          <w:kern w:val="2"/>
          <w:sz w:val="16"/>
          <w:szCs w:val="16"/>
        </w:rPr>
        <w:softHyphen/>
        <w:t>рийные машины Junkers J.I (за</w:t>
      </w:r>
      <w:r w:rsidRPr="002F2FDF">
        <w:rPr>
          <w:rFonts w:ascii="Times New Roman" w:hAnsi="Times New Roman" w:cs="Times New Roman"/>
          <w:color w:val="000000" w:themeColor="text1"/>
          <w:kern w:val="2"/>
          <w:sz w:val="16"/>
          <w:szCs w:val="16"/>
        </w:rPr>
        <w:softHyphen/>
        <w:t>водское обозначение J.4) начали поступать на вооружение фронтовых частей. Использование Junkers J.I на фрон</w:t>
      </w:r>
      <w:r w:rsidRPr="002F2FDF">
        <w:rPr>
          <w:rFonts w:ascii="Times New Roman" w:hAnsi="Times New Roman" w:cs="Times New Roman"/>
          <w:color w:val="000000" w:themeColor="text1"/>
          <w:kern w:val="2"/>
          <w:sz w:val="16"/>
          <w:szCs w:val="16"/>
        </w:rPr>
        <w:softHyphen/>
        <w:t>те было признано в целом вполне ус</w:t>
      </w:r>
      <w:r w:rsidRPr="002F2FDF">
        <w:rPr>
          <w:rFonts w:ascii="Times New Roman" w:hAnsi="Times New Roman" w:cs="Times New Roman"/>
          <w:color w:val="000000" w:themeColor="text1"/>
          <w:kern w:val="2"/>
          <w:sz w:val="16"/>
          <w:szCs w:val="16"/>
        </w:rPr>
        <w:softHyphen/>
        <w:t>пешным. Уступая обычным неброниро</w:t>
      </w:r>
      <w:r w:rsidRPr="002F2FDF">
        <w:rPr>
          <w:rFonts w:ascii="Times New Roman" w:hAnsi="Times New Roman" w:cs="Times New Roman"/>
          <w:color w:val="000000" w:themeColor="text1"/>
          <w:kern w:val="2"/>
          <w:sz w:val="16"/>
          <w:szCs w:val="16"/>
        </w:rPr>
        <w:softHyphen/>
        <w:t>ванным двухместным самолетам по скорости, скороподъемности, маневрен</w:t>
      </w:r>
      <w:r w:rsidRPr="002F2FDF">
        <w:rPr>
          <w:rFonts w:ascii="Times New Roman" w:hAnsi="Times New Roman" w:cs="Times New Roman"/>
          <w:color w:val="000000" w:themeColor="text1"/>
          <w:kern w:val="2"/>
          <w:sz w:val="16"/>
          <w:szCs w:val="16"/>
        </w:rPr>
        <w:softHyphen/>
        <w:t>ности и бомбовой нагрузке, брониро</w:t>
      </w:r>
      <w:r w:rsidRPr="002F2FDF">
        <w:rPr>
          <w:rFonts w:ascii="Times New Roman" w:hAnsi="Times New Roman" w:cs="Times New Roman"/>
          <w:color w:val="000000" w:themeColor="text1"/>
          <w:kern w:val="2"/>
          <w:sz w:val="16"/>
          <w:szCs w:val="16"/>
        </w:rPr>
        <w:softHyphen/>
        <w:t>ванный "юнкере" превосходил после</w:t>
      </w:r>
      <w:r w:rsidRPr="002F2FDF">
        <w:rPr>
          <w:rFonts w:ascii="Times New Roman" w:hAnsi="Times New Roman" w:cs="Times New Roman"/>
          <w:color w:val="000000" w:themeColor="text1"/>
          <w:kern w:val="2"/>
          <w:sz w:val="16"/>
          <w:szCs w:val="16"/>
        </w:rPr>
        <w:softHyphen/>
        <w:t>дние в отношении боевой живучести, которую обеспечивали - броня на фю</w:t>
      </w:r>
      <w:r w:rsidRPr="002F2FDF">
        <w:rPr>
          <w:rFonts w:ascii="Times New Roman" w:hAnsi="Times New Roman" w:cs="Times New Roman"/>
          <w:color w:val="000000" w:themeColor="text1"/>
          <w:kern w:val="2"/>
          <w:sz w:val="16"/>
          <w:szCs w:val="16"/>
        </w:rPr>
        <w:softHyphen/>
        <w:t>зеляже, оригинальная многолонжеронная силовая схема крыльев и цельно</w:t>
      </w:r>
      <w:r w:rsidRPr="002F2FDF">
        <w:rPr>
          <w:rFonts w:ascii="Times New Roman" w:hAnsi="Times New Roman" w:cs="Times New Roman"/>
          <w:color w:val="000000" w:themeColor="text1"/>
          <w:kern w:val="2"/>
          <w:sz w:val="16"/>
          <w:szCs w:val="16"/>
        </w:rPr>
        <w:softHyphen/>
        <w:t>металлическая конструкция. Известен случай, когда одна из машин благопо</w:t>
      </w:r>
      <w:r w:rsidRPr="002F2FDF">
        <w:rPr>
          <w:rFonts w:ascii="Times New Roman" w:hAnsi="Times New Roman" w:cs="Times New Roman"/>
          <w:color w:val="000000" w:themeColor="text1"/>
          <w:kern w:val="2"/>
          <w:sz w:val="16"/>
          <w:szCs w:val="16"/>
        </w:rPr>
        <w:softHyphen/>
        <w:t>лучно возвратилась на свой аэродром. имея 480 пулевых и осколочных про</w:t>
      </w:r>
      <w:r w:rsidRPr="002F2FDF">
        <w:rPr>
          <w:rFonts w:ascii="Times New Roman" w:hAnsi="Times New Roman" w:cs="Times New Roman"/>
          <w:color w:val="000000" w:themeColor="text1"/>
          <w:kern w:val="2"/>
          <w:sz w:val="16"/>
          <w:szCs w:val="16"/>
        </w:rPr>
        <w:softHyphen/>
        <w:t>боин. Даже в случаях аварийных по</w:t>
      </w:r>
      <w:r w:rsidRPr="002F2FDF">
        <w:rPr>
          <w:rFonts w:ascii="Times New Roman" w:hAnsi="Times New Roman" w:cs="Times New Roman"/>
          <w:color w:val="000000" w:themeColor="text1"/>
          <w:kern w:val="2"/>
          <w:sz w:val="16"/>
          <w:szCs w:val="16"/>
        </w:rPr>
        <w:softHyphen/>
        <w:t>садок бронекорпус надежно защищал экипаж от травм и ранений. Серьезным недостатком Junkers J.I были плохие взлетно-посадочные свой</w:t>
      </w:r>
      <w:r w:rsidRPr="002F2FDF">
        <w:rPr>
          <w:rFonts w:ascii="Times New Roman" w:hAnsi="Times New Roman" w:cs="Times New Roman"/>
          <w:color w:val="000000" w:themeColor="text1"/>
          <w:kern w:val="2"/>
          <w:sz w:val="16"/>
          <w:szCs w:val="16"/>
        </w:rPr>
        <w:softHyphen/>
        <w:t>ства самолета, не позволявшие эксп</w:t>
      </w:r>
      <w:r w:rsidRPr="002F2FDF">
        <w:rPr>
          <w:rFonts w:ascii="Times New Roman" w:hAnsi="Times New Roman" w:cs="Times New Roman"/>
          <w:color w:val="000000" w:themeColor="text1"/>
          <w:kern w:val="2"/>
          <w:sz w:val="16"/>
          <w:szCs w:val="16"/>
        </w:rPr>
        <w:softHyphen/>
        <w:t>луатировать его на большинстве фрон</w:t>
      </w:r>
      <w:r w:rsidRPr="002F2FDF">
        <w:rPr>
          <w:rFonts w:ascii="Times New Roman" w:hAnsi="Times New Roman" w:cs="Times New Roman"/>
          <w:color w:val="000000" w:themeColor="text1"/>
          <w:kern w:val="2"/>
          <w:sz w:val="16"/>
          <w:szCs w:val="16"/>
        </w:rPr>
        <w:softHyphen/>
        <w:t>товых аэродромов (5999).</w:t>
      </w:r>
    </w:p>
    <w:p w14:paraId="45D6C7F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4683C3" w14:textId="77777777" w:rsidR="00F23EF8" w:rsidRPr="002F2FDF" w:rsidRDefault="00F23EF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33984D1" w14:textId="77777777" w:rsidR="00F23EF8" w:rsidRPr="002F2FDF" w:rsidRDefault="00F23EF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EDC986" w14:textId="77777777" w:rsidR="005E31B0" w:rsidRPr="002F2FDF" w:rsidRDefault="005E31B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мае 1917 г. облетали первый Ньюпор 27С.1 и летом начали поставлять в войска. Хотя эти самолеты выпускал только концерн «Ньюпор-Астра», менее чем за шесть месяцев он сделал их около тысячи. Предназначенные для собственной и итальянской авиации экземпляры шли с одним, реже — с двумя синхронными «Виккерсами» или с одним синхронным пулеметом и одним «Льюисом» над крылом, а для Англии и США — без вооружения. Англичане ставили «Льюисы» над крылом и передали полученные несколько десятков машин на восполнение потерь в девять эскадрилий RFC во Франции, Греции, Палестине и Египте, а американцы свои 287 самолетов использовали как учебные. Для них французский фронт был лишь чемто вроде тренировочного лагеря с системой «все включено», и командование Воздушной службы Армии США ни в чем себе не отказывало, видя свою задачу в том, чтобы успеть сформировать кадровый костяк будущей авиации до того, как англичане и французы закончат войну. Чрезвычайную заинтересованность в получении Ньюпора 27 высказывала Россия, но ей дали только пять машин. Также в небольших количествах получала их Япония, а после войны — Сиам, Турция, Польша, Югославия и Уругвай. Союзник Германии Болгария использовала несколько трофейных «Ньюпоров», в том числе 24-й и 27-й типы. Выпуск Ньюпора 27 был прекращен в ноябре 1917 г., когда 28-й тип на поток еще не поставили, и избежать простоя заводам «Ньюпор» не удалось, что лишь отчасти компенсировала их загрузка производством самолетов SPAD VII и других «чужих» типов. Но дальше машина, разработка прототипа которой началась еще до войны, была никому не нужна. Ньюпор 27 стал последним французским истребителем того поколения, которое делалось не сразу в этом классе, а на основе двухместного самолета-разведчика.</w:t>
      </w:r>
    </w:p>
    <w:p w14:paraId="1D590B59" w14:textId="77777777" w:rsidR="005E31B0" w:rsidRPr="002F2FDF" w:rsidRDefault="005E31B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Обширное семейство самолетов-истребителей, начало которым положил созданный на базе одноместного разведчика Ньюпор 10ВА.1 истребитель Ньюпор 11, включало еще семь типов боевых самолетов — 16-й, 17-й, 21-й, 23-й, 24-й, 25-й и 27-й. Оно стало самым большим успехом фирмы «Ньюпор» за всю ее историю. Всего было сделано около 8 640 таких самолетов, в том числе более 6 750 в самой Франции, что составило около 12 % от построенных ею за время мировой войны 55 тысяч аэропланов всех типов (22778).</w:t>
      </w:r>
    </w:p>
    <w:p w14:paraId="7C151DDC" w14:textId="77777777" w:rsidR="005E31B0" w:rsidRPr="002F2FDF" w:rsidRDefault="005E31B0" w:rsidP="0083075A">
      <w:pPr>
        <w:spacing w:after="0" w:line="240" w:lineRule="auto"/>
        <w:jc w:val="both"/>
        <w:rPr>
          <w:rFonts w:ascii="Times New Roman" w:hAnsi="Times New Roman" w:cs="Times New Roman"/>
          <w:color w:val="000000" w:themeColor="text1"/>
          <w:sz w:val="16"/>
          <w:szCs w:val="16"/>
        </w:rPr>
      </w:pPr>
    </w:p>
    <w:p w14:paraId="51277A88" w14:textId="4F14FB4A" w:rsidR="005E31B0" w:rsidRPr="002F2FDF" w:rsidRDefault="005E31B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мае 1917 г. рембаза RNAS в пригороде Лондона Уайт Сити (White City) доработала строевой самолет Сопвич «Триплан» № N5486 установкой лыжного шасси.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Работа выполнялась по заказу Временного правительства России, которое интересовалось закупкой самолета. Испытания самолета, вероятно, прошли только в конце 1917 или в начале 1918 гг. и он был поставлен в Россию в середине 1918 г. или позже с комплектами лыжного и колесного шасси. Применялся в составе Славяно-Британского авиационного корпуса (СБАК), летал с английскими опознавательными знаками. Самолет Сопвич «Триплан» N5486 поступил в Россию с комплектами и лыжного, и колесного шасси вероятно в середине или даже в конце 1918 г. Вероятно, машина предназначалась тогда для сил интервентов, а конкретно – для Славяно-британского авиационного корпуса (СБАК), но по адресу не попала. Информация, что самолет был поставлен уже весной 1917 г., скорее всего не верна, т.к. на нем </w:t>
      </w:r>
      <w:r w:rsidRPr="002F2FDF">
        <w:rPr>
          <w:rFonts w:ascii="Times New Roman" w:hAnsi="Times New Roman" w:cs="Times New Roman"/>
          <w:color w:val="000000" w:themeColor="text1"/>
          <w:sz w:val="16"/>
          <w:szCs w:val="16"/>
        </w:rPr>
        <w:lastRenderedPageBreak/>
        <w:t>были нанесены английские опознавательные знаки (СБАК к тому времени еще не существовал, а все поставляемые самолеты для российской авиации получали и российские ОЗ).</w:t>
      </w:r>
    </w:p>
    <w:p w14:paraId="729485C0" w14:textId="0F52AB1A" w:rsidR="005E31B0" w:rsidRPr="002F2FDF" w:rsidRDefault="005E31B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ходе гражданской войны был захвачен в качестве трофея частями РККА и затем длительное время (как минимум до середины 1920-х гг.) использовался в РККВФ сначала как истребитель. В частности, на нем летал красный ас командир авиагруппы особого назначения Братолюбов во время боев против корпуса ген. Мамонтова.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Самолет прошел испытания и обмер на Научно-опытном аэродроме РККВФ с целью изучения особенностей схемы истребителя-триплана.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В настоящее время хранится в Музее ВВС РФ в г. Монино (23176).</w:t>
      </w:r>
    </w:p>
    <w:p w14:paraId="46DC087E" w14:textId="77777777" w:rsidR="005E31B0" w:rsidRPr="002F2FDF" w:rsidRDefault="005E31B0" w:rsidP="0083075A">
      <w:pPr>
        <w:spacing w:after="0" w:line="240" w:lineRule="auto"/>
        <w:jc w:val="both"/>
        <w:rPr>
          <w:rFonts w:ascii="Times New Roman" w:hAnsi="Times New Roman" w:cs="Times New Roman"/>
          <w:color w:val="000000" w:themeColor="text1"/>
          <w:sz w:val="16"/>
          <w:szCs w:val="16"/>
        </w:rPr>
      </w:pPr>
    </w:p>
    <w:p w14:paraId="023E996D" w14:textId="77777777" w:rsidR="005E31B0" w:rsidRPr="002F2FDF" w:rsidRDefault="005E31B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мае 1917 г. в Герризе начали строить самолет Фоккер V.4, а 5 июля Фоккер сам облетал его. Летные данные были неплохими, но поскольку он строился как частная инициатива и формально предназначался для Австро-Венгрии, то ему не удалось ни представить его на официальные испытания IdFlieg, ни получить пулеметы. Зато он смог показать V.4 строевым пилотам, прибывавшим на его завод за новыми самолетами. Ас Вернер Фосс рассказал о нем Манфреду фон Рихтгофену, а тот обратил внимание руководства ВВС и IdFlieg (22781).</w:t>
      </w:r>
    </w:p>
    <w:p w14:paraId="3690A14C" w14:textId="77777777" w:rsidR="005E31B0" w:rsidRPr="002F2FDF" w:rsidRDefault="005E31B0" w:rsidP="0083075A">
      <w:pPr>
        <w:spacing w:after="0" w:line="240" w:lineRule="auto"/>
        <w:jc w:val="both"/>
        <w:rPr>
          <w:rFonts w:ascii="Times New Roman" w:hAnsi="Times New Roman" w:cs="Times New Roman"/>
          <w:color w:val="000000" w:themeColor="text1"/>
          <w:sz w:val="16"/>
          <w:szCs w:val="16"/>
        </w:rPr>
      </w:pPr>
    </w:p>
    <w:p w14:paraId="6588AB03" w14:textId="77777777" w:rsidR="005E31B0" w:rsidRPr="002F2FDF" w:rsidRDefault="005E31B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мае 1917 г. Военное министерство первый заказ на новые истребители Сопвич Кемел для частей Королевского летного корпуса (RFC) выдало фирме «Растон и Проктор» — таких самолетов по лицензиям разными подрядчиками было произведено гораздо больше, чем самим разработчиком, что для Англии было обычным делом.</w:t>
      </w:r>
    </w:p>
    <w:p w14:paraId="47159118" w14:textId="77777777" w:rsidR="005E31B0" w:rsidRPr="002F2FDF" w:rsidRDefault="005E31B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Поскольку уже тогда был задуман ряд специальных модификаций самолета, во избежание путаницы пришлось ввести специальную систему их обозначений. Первый серийный вариант и для RNAS, и для RFC именовался Сопвич «Кэмел» F.1. Буква F означала Fighter – «боец», вскоре так стали именовать и другие самолетыистребители. Завод «Сопвич» построил 500 «Кэмелов» F.1, а крупнейшими их производителями стали «Болтон Пол» и «Растон и Проктор», которые сделали их по 1 575 штук. «Бритиш Кодрон» сдал 100 машин, «Клайтон и Шатллоурт» — 600, «Марч, Джонс и Крибб» — 175, английский филиал «Ньюпор &amp; Дженерал» — 400, «Портхолм Аэродром» — 300, наконец, «Хупер» построил еще 321. Итого на восьми заводах с 1917 по 1918 гг. сделали 5 496 серийных «Кэмелов» F.1, из которых сданы заказчику были около 5 450 — их производство шло до конца войны. Два заказа еще на 99 машин были отменены (22789).</w:t>
      </w:r>
    </w:p>
    <w:p w14:paraId="216C1AFD" w14:textId="77777777" w:rsidR="005E31B0" w:rsidRPr="002F2FDF" w:rsidRDefault="005E31B0" w:rsidP="0083075A">
      <w:pPr>
        <w:spacing w:after="0" w:line="240" w:lineRule="auto"/>
        <w:jc w:val="both"/>
        <w:rPr>
          <w:rFonts w:ascii="Times New Roman" w:hAnsi="Times New Roman" w:cs="Times New Roman"/>
          <w:color w:val="000000" w:themeColor="text1"/>
          <w:sz w:val="16"/>
          <w:szCs w:val="16"/>
        </w:rPr>
      </w:pPr>
    </w:p>
    <w:p w14:paraId="4B542A82" w14:textId="77777777" w:rsidR="005E31B0" w:rsidRPr="002F2FDF" w:rsidRDefault="005E31B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мае 1918 г. начались поставки уменьшенного и облегченного самолета Хальберштадт CL IV, на него смотрели уже исключительно как на штурмовик, хотя в этом качестве он не имел ровно никаких преимуществ перед старым CLII. А о том, что он мог бы стать весьма эффективным двухместным истребителем, никто не подумал. С тем же успехом в качестве штурмовиков можно было использовать, скажем, простаивающие разведчики класса C, а самолеты CL бросить на борьбу с новым поколением появившихся в обилии в ВВС Антанты двухместных самолетов непосредственной поддержки войск Эйрко DH.4, SPADS.XIA2, Бреге XIVA2 и др. Именно у такого самолета оказались самые лучшие показатели числа сбитых аппаратов противника и своих потерь на 100 боевых вылетов среди всех немецких двухместных боевых самолетов — это был биплан Ганновер CLII (22843).</w:t>
      </w:r>
    </w:p>
    <w:p w14:paraId="76EFABD1" w14:textId="77777777" w:rsidR="005E31B0" w:rsidRPr="002F2FDF" w:rsidRDefault="005E31B0" w:rsidP="0083075A">
      <w:pPr>
        <w:spacing w:after="0" w:line="240" w:lineRule="auto"/>
        <w:jc w:val="both"/>
        <w:rPr>
          <w:rFonts w:ascii="Times New Roman" w:hAnsi="Times New Roman" w:cs="Times New Roman"/>
          <w:color w:val="000000" w:themeColor="text1"/>
          <w:sz w:val="16"/>
          <w:szCs w:val="16"/>
        </w:rPr>
      </w:pPr>
    </w:p>
    <w:p w14:paraId="639F7506" w14:textId="77777777" w:rsidR="005E31B0" w:rsidRPr="002F2FDF" w:rsidRDefault="005E31B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 мая 1917 г. последний экземпляр Готы WD 7 с номером 676  передали SVK для испытаний 37-мм пушки разработки «Немецкого завода вооружения и боеприпасов» (Deutsche Waffen- und Munitionsfabrik – DWM), которую установили в кабине летнаба неподвижно.</w:t>
      </w:r>
    </w:p>
    <w:p w14:paraId="77594A02" w14:textId="77777777" w:rsidR="005E31B0" w:rsidRPr="002F2FDF" w:rsidRDefault="005E31B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Но точность стрельбы оказалась неудовлетворительной – огонь можно было вести только одиночными, целиться должен был летчик, но кабина его на самолете была далеко от носовой части, которая при маневрировании цель закрывала.</w:t>
      </w:r>
    </w:p>
    <w:p w14:paraId="37791EF8" w14:textId="77777777" w:rsidR="005E31B0" w:rsidRPr="002F2FDF" w:rsidRDefault="005E31B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феврале 1918 г. на той же машине опробовали способную стрелять очередями пушку М 2 калибра 20 мм выпуска фирмы «Беккер» (Strahlwerke Becker). Ее поставили на новом турельном кольце в кабине летнаба вместо пулемета.</w:t>
      </w:r>
    </w:p>
    <w:p w14:paraId="3CA5EDD4" w14:textId="77777777" w:rsidR="005E31B0" w:rsidRPr="002F2FDF" w:rsidRDefault="005E31B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Автоматическое орудие М 2 уже было в серийном производстве. Заводам «Беккер», «Шпандау» и MAN в июне 1916 г. заказали в общей сложности 120 штук для Воздушных войск (с осени этого года – ВВС) Германии, который в дальнейшем был увеличен в т.ч. и за счет закупки партии для морской авиации. В общей сложности было сделано не менее 539 таких орудий (23074).</w:t>
      </w:r>
    </w:p>
    <w:p w14:paraId="44A1C0C5" w14:textId="77777777" w:rsidR="005E31B0" w:rsidRPr="002F2FDF" w:rsidRDefault="005E31B0" w:rsidP="0083075A">
      <w:pPr>
        <w:spacing w:after="0" w:line="240" w:lineRule="auto"/>
        <w:jc w:val="both"/>
        <w:rPr>
          <w:rFonts w:ascii="Times New Roman" w:hAnsi="Times New Roman" w:cs="Times New Roman"/>
          <w:color w:val="000000" w:themeColor="text1"/>
          <w:sz w:val="16"/>
          <w:szCs w:val="16"/>
        </w:rPr>
      </w:pPr>
    </w:p>
    <w:p w14:paraId="5BC273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г. в Хиджаз прибыли Сайкс и Пико с целью рассеять сомнения Хусейна в отношении намерений Великобритании и Франции. По существу, они дезинформируют его (3871).</w:t>
      </w:r>
    </w:p>
    <w:p w14:paraId="4DC75A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D5C2B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A9BD0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8F401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мае-июне 1917, практически сразу же после подписания контрактов стало ясно, что фирма Матиас не сможет выдержать сроки поставок. Согласно отчету военно</w:t>
      </w:r>
      <w:r w:rsidRPr="002F2FDF">
        <w:rPr>
          <w:rFonts w:ascii="Times New Roman" w:hAnsi="Times New Roman" w:cs="Times New Roman"/>
          <w:color w:val="000000" w:themeColor="text1"/>
          <w:kern w:val="2"/>
          <w:sz w:val="16"/>
          <w:szCs w:val="16"/>
        </w:rPr>
        <w:softHyphen/>
        <w:t>го представителя подпоручика Лаврова от 14 июня 1917 г., на заводе “Матиас” никакое производство не велось. Старый завод “весь пере</w:t>
      </w:r>
      <w:r w:rsidRPr="002F2FDF">
        <w:rPr>
          <w:rFonts w:ascii="Times New Roman" w:hAnsi="Times New Roman" w:cs="Times New Roman"/>
          <w:color w:val="000000" w:themeColor="text1"/>
          <w:kern w:val="2"/>
          <w:sz w:val="16"/>
          <w:szCs w:val="16"/>
        </w:rPr>
        <w:softHyphen/>
        <w:t>вернут”, часть зданий снесена, часть переоборудуется. Новая произ</w:t>
      </w:r>
      <w:r w:rsidRPr="002F2FDF">
        <w:rPr>
          <w:rFonts w:ascii="Times New Roman" w:hAnsi="Times New Roman" w:cs="Times New Roman"/>
          <w:color w:val="000000" w:themeColor="text1"/>
          <w:kern w:val="2"/>
          <w:sz w:val="16"/>
          <w:szCs w:val="16"/>
        </w:rPr>
        <w:softHyphen/>
        <w:t>водственная площадка представляла собой голую степь с кучами песка и щебня. Пригодным к использованию было только здание городской конторы. На эти упреки руководство предприятия ответило встречными обвинениями в неритмичных поставках и недостаточном “сортаменте” материалов и полуфабрикатов. Надо сказать, что эти претензии не бы</w:t>
      </w:r>
      <w:r w:rsidRPr="002F2FDF">
        <w:rPr>
          <w:rFonts w:ascii="Times New Roman" w:hAnsi="Times New Roman" w:cs="Times New Roman"/>
          <w:color w:val="000000" w:themeColor="text1"/>
          <w:kern w:val="2"/>
          <w:sz w:val="16"/>
          <w:szCs w:val="16"/>
        </w:rPr>
        <w:softHyphen/>
        <w:t>ли беспочвенными — военное ведомство во многих случаях не могло обеспечить поставку материалов. Например, до августа не удалось решить вопрос закупки труб, необходимых для выпуска “Фарманов”. В другом случае руководству “Матиаса” пришлось даже командиро</w:t>
      </w:r>
      <w:r w:rsidRPr="002F2FDF">
        <w:rPr>
          <w:rFonts w:ascii="Times New Roman" w:hAnsi="Times New Roman" w:cs="Times New Roman"/>
          <w:color w:val="000000" w:themeColor="text1"/>
          <w:kern w:val="2"/>
          <w:sz w:val="16"/>
          <w:szCs w:val="16"/>
        </w:rPr>
        <w:softHyphen/>
        <w:t>вать инженера Кузнецова в США для приобретения 800 кубометров спруса — ели особой породы, применяемой в авиастроении. А с внед</w:t>
      </w:r>
      <w:r w:rsidRPr="002F2FDF">
        <w:rPr>
          <w:rFonts w:ascii="Times New Roman" w:hAnsi="Times New Roman" w:cs="Times New Roman"/>
          <w:color w:val="000000" w:themeColor="text1"/>
          <w:kern w:val="2"/>
          <w:sz w:val="16"/>
          <w:szCs w:val="16"/>
        </w:rPr>
        <w:softHyphen/>
        <w:t>рением в производство “Спада” вообще вышел конфуз: уже после под</w:t>
      </w:r>
      <w:r w:rsidRPr="002F2FDF">
        <w:rPr>
          <w:rFonts w:ascii="Times New Roman" w:hAnsi="Times New Roman" w:cs="Times New Roman"/>
          <w:color w:val="000000" w:themeColor="text1"/>
          <w:kern w:val="2"/>
          <w:sz w:val="16"/>
          <w:szCs w:val="16"/>
        </w:rPr>
        <w:softHyphen/>
        <w:t>писания контракта выяснилось, что в России отсутствует техническая документация на этот самолет. Вместо чертежей двухместного развед</w:t>
      </w:r>
      <w:r w:rsidRPr="002F2FDF">
        <w:rPr>
          <w:rFonts w:ascii="Times New Roman" w:hAnsi="Times New Roman" w:cs="Times New Roman"/>
          <w:color w:val="000000" w:themeColor="text1"/>
          <w:kern w:val="2"/>
          <w:sz w:val="16"/>
          <w:szCs w:val="16"/>
        </w:rPr>
        <w:softHyphen/>
        <w:t>чика в Бердянск из Московского парка-склада прислали комплект доку</w:t>
      </w:r>
      <w:r w:rsidRPr="002F2FDF">
        <w:rPr>
          <w:rFonts w:ascii="Times New Roman" w:hAnsi="Times New Roman" w:cs="Times New Roman"/>
          <w:color w:val="000000" w:themeColor="text1"/>
          <w:kern w:val="2"/>
          <w:sz w:val="16"/>
          <w:szCs w:val="16"/>
        </w:rPr>
        <w:softHyphen/>
        <w:t>ментации по... одноместному истребителю “Спад VII”! (11154).</w:t>
      </w:r>
    </w:p>
    <w:p w14:paraId="709BA7F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86E23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37A1B9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652C1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мае—июне 1917 г. из Великобритании прибыла “комиссия по постройке в России брони</w:t>
      </w:r>
      <w:r w:rsidRPr="002F2FDF">
        <w:rPr>
          <w:rFonts w:ascii="Times New Roman" w:hAnsi="Times New Roman" w:cs="Times New Roman"/>
          <w:color w:val="000000" w:themeColor="text1"/>
          <w:kern w:val="2"/>
          <w:sz w:val="16"/>
          <w:szCs w:val="16"/>
        </w:rPr>
        <w:softHyphen/>
        <w:t>рованных тракторов”. Во Франции продолжались перего</w:t>
      </w:r>
      <w:r w:rsidRPr="002F2FDF">
        <w:rPr>
          <w:rFonts w:ascii="Times New Roman" w:hAnsi="Times New Roman" w:cs="Times New Roman"/>
          <w:color w:val="000000" w:themeColor="text1"/>
          <w:kern w:val="2"/>
          <w:sz w:val="16"/>
          <w:szCs w:val="16"/>
        </w:rPr>
        <w:softHyphen/>
        <w:t>воры по закупке малых танков “Рено” (10733,32).</w:t>
      </w:r>
    </w:p>
    <w:p w14:paraId="0E59DE3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109C7F" w14:textId="77777777" w:rsidR="005E31B0" w:rsidRPr="002F2FDF" w:rsidRDefault="005E31B0" w:rsidP="0083075A">
      <w:pPr>
        <w:pStyle w:val="ae"/>
        <w:shd w:val="clear" w:color="auto" w:fill="FFFFFF"/>
        <w:spacing w:before="0" w:after="0"/>
        <w:jc w:val="both"/>
        <w:rPr>
          <w:color w:val="000000" w:themeColor="text1"/>
          <w:sz w:val="16"/>
          <w:szCs w:val="16"/>
        </w:rPr>
      </w:pPr>
      <w:r w:rsidRPr="002F2FDF">
        <w:rPr>
          <w:color w:val="000000" w:themeColor="text1"/>
          <w:sz w:val="16"/>
          <w:szCs w:val="16"/>
        </w:rPr>
        <w:t>В течение мая 1917 - марта 1918 гг. казенный автозавод в Мытищах смог произвести ремонт небольшого количества автомашин (отремонтировано было 52 автомобиля, в разборке находилось – 180). По оценкам контролеров военного ведомства Общество «Бекос» не проявило должной инициативы ни в строительстве предприятия, ни в его оборудовании, к тому же под давлением английского правительства даже преуменьшив масштабы будущего завода. После Октябрьской революции возведенный завод использовался в качестве оборонного предприятия, а в 1940-е гг. стал базой научно-производственного объединения С.П. Королева.</w:t>
      </w:r>
    </w:p>
    <w:p w14:paraId="0D50AF79" w14:textId="77777777" w:rsidR="005E31B0" w:rsidRPr="002F2FDF" w:rsidRDefault="005E31B0" w:rsidP="0083075A">
      <w:pPr>
        <w:spacing w:after="0" w:line="240" w:lineRule="auto"/>
        <w:jc w:val="both"/>
        <w:rPr>
          <w:rFonts w:ascii="Times New Roman" w:hAnsi="Times New Roman" w:cs="Times New Roman"/>
          <w:color w:val="000000" w:themeColor="text1"/>
          <w:sz w:val="16"/>
          <w:szCs w:val="16"/>
        </w:rPr>
      </w:pPr>
    </w:p>
    <w:p w14:paraId="47BA3938" w14:textId="0C7E63F2" w:rsidR="00F23EF8" w:rsidRPr="002F2FDF" w:rsidRDefault="00F23EF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мае-июне 1917 г. первые истребители SPAD XIII появились на Западном фронте Их число быстро росло, а конструкция улучшалась, и к 1918 г. основные недостатки были изжиты. Скорость достигла 220</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км/ч, а численность позволила начать переход к однородному составу эскадрилий, сдавая пестрый «авиамузей старых типов» в тыловые части. К концу войны в Военной авиации Франции истребителями SPAD было вооружено 97 эскадрилий, 77 из которых находились на Западном фронте, и из них 72 имели только SPAD XIII. Для сравнения, у немцев было всего 83 истребительные эскадрильи, Фоккеры D VII получили 72, но только в тридцати двух из них они хотя бы три месяца составляли всю матчасть. Разношерстность парка сильно затрудняла общие действия (22874).</w:t>
      </w:r>
    </w:p>
    <w:p w14:paraId="4E31FF19" w14:textId="77777777" w:rsidR="00F23EF8" w:rsidRPr="002F2FDF" w:rsidRDefault="00F23EF8" w:rsidP="0083075A">
      <w:pPr>
        <w:spacing w:after="0" w:line="240" w:lineRule="auto"/>
        <w:jc w:val="both"/>
        <w:rPr>
          <w:rFonts w:ascii="Times New Roman" w:hAnsi="Times New Roman" w:cs="Times New Roman"/>
          <w:color w:val="000000" w:themeColor="text1"/>
          <w:sz w:val="16"/>
          <w:szCs w:val="16"/>
        </w:rPr>
      </w:pPr>
    </w:p>
    <w:p w14:paraId="28AE34E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E313F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53EA85" w14:textId="5203F837" w:rsidR="00714CB5" w:rsidRPr="002F2FDF" w:rsidRDefault="00714CB5" w:rsidP="0083075A">
      <w:pPr>
        <w:pStyle w:val="ae"/>
        <w:spacing w:before="0" w:after="0"/>
        <w:jc w:val="both"/>
        <w:rPr>
          <w:color w:val="000000" w:themeColor="text1"/>
          <w:sz w:val="16"/>
          <w:szCs w:val="16"/>
        </w:rPr>
      </w:pPr>
      <w:r w:rsidRPr="002F2FDF">
        <w:rPr>
          <w:color w:val="000000" w:themeColor="text1"/>
          <w:sz w:val="16"/>
          <w:szCs w:val="16"/>
        </w:rPr>
        <w:t>Весной 1917 года Лебедев заключил контракт с Военным ведомством на поставку двух сотен «Альбатросов» с моторами «Hispano-Suiza» мощностью 200 л.с. Однако заказ не был выполнен из-за срыва поставок двигателей из Англии и Франции во второй половине 1917 года. Другой контракт предусматривал поставку 260 самолетов</w:t>
      </w:r>
      <w:r w:rsidR="00E52569">
        <w:rPr>
          <w:color w:val="000000" w:themeColor="text1"/>
          <w:sz w:val="16"/>
          <w:szCs w:val="16"/>
        </w:rPr>
        <w:t xml:space="preserve"> </w:t>
      </w:r>
      <w:hyperlink r:id="rId193" w:history="1">
        <w:r w:rsidRPr="002F2FDF">
          <w:rPr>
            <w:rStyle w:val="a5"/>
            <w:bCs/>
            <w:color w:val="000000" w:themeColor="text1"/>
            <w:sz w:val="16"/>
            <w:szCs w:val="16"/>
            <w:u w:val="none"/>
          </w:rPr>
          <w:t>Sopwith 1½ «Strutter»</w:t>
        </w:r>
      </w:hyperlink>
      <w:r w:rsidR="00E52569">
        <w:rPr>
          <w:color w:val="000000" w:themeColor="text1"/>
          <w:sz w:val="16"/>
          <w:szCs w:val="16"/>
        </w:rPr>
        <w:t xml:space="preserve"> </w:t>
      </w:r>
      <w:r w:rsidRPr="002F2FDF">
        <w:rPr>
          <w:color w:val="000000" w:themeColor="text1"/>
          <w:sz w:val="16"/>
          <w:szCs w:val="16"/>
        </w:rPr>
        <w:t>(«Сопвич Полуторостоечный») с мотором</w:t>
      </w:r>
      <w:r w:rsidR="00E52569">
        <w:rPr>
          <w:color w:val="000000" w:themeColor="text1"/>
          <w:sz w:val="16"/>
          <w:szCs w:val="16"/>
        </w:rPr>
        <w:t xml:space="preserve"> </w:t>
      </w:r>
      <w:hyperlink r:id="rId194" w:history="1">
        <w:r w:rsidRPr="002F2FDF">
          <w:rPr>
            <w:rStyle w:val="a5"/>
            <w:bCs/>
            <w:color w:val="000000" w:themeColor="text1"/>
            <w:sz w:val="16"/>
            <w:szCs w:val="16"/>
            <w:u w:val="none"/>
          </w:rPr>
          <w:t>«Clerget»</w:t>
        </w:r>
      </w:hyperlink>
      <w:r w:rsidR="00E52569">
        <w:rPr>
          <w:color w:val="000000" w:themeColor="text1"/>
          <w:sz w:val="16"/>
          <w:szCs w:val="16"/>
        </w:rPr>
        <w:t xml:space="preserve"> </w:t>
      </w:r>
      <w:r w:rsidRPr="002F2FDF">
        <w:rPr>
          <w:color w:val="000000" w:themeColor="text1"/>
          <w:sz w:val="16"/>
          <w:szCs w:val="16"/>
        </w:rPr>
        <w:t>в 130 л.с., однако построили только 5 экземпляров этого самолета (по данным</w:t>
      </w:r>
      <w:r w:rsidR="00E52569">
        <w:rPr>
          <w:color w:val="000000" w:themeColor="text1"/>
          <w:sz w:val="16"/>
          <w:szCs w:val="16"/>
        </w:rPr>
        <w:t xml:space="preserve"> </w:t>
      </w:r>
      <w:hyperlink r:id="rId195" w:history="1">
        <w:r w:rsidRPr="002F2FDF">
          <w:rPr>
            <w:rStyle w:val="a5"/>
            <w:bCs/>
            <w:color w:val="000000" w:themeColor="text1"/>
            <w:sz w:val="16"/>
            <w:szCs w:val="16"/>
            <w:u w:val="none"/>
          </w:rPr>
          <w:t>В.Б.Шаврова</w:t>
        </w:r>
      </w:hyperlink>
      <w:r w:rsidRPr="002F2FDF">
        <w:rPr>
          <w:color w:val="000000" w:themeColor="text1"/>
          <w:sz w:val="16"/>
          <w:szCs w:val="16"/>
        </w:rPr>
        <w:t>, а по архивным данным было произведено 7 машин, но все — уже в советское время). Для авиазавода в Пензе, специализировавшегося на выпуске пропеллеров, Лебедев заключил контракт о поставке 60 учебных самолетов «Альбатрос-VII», который также выполнен не был.</w:t>
      </w:r>
    </w:p>
    <w:p w14:paraId="68589E3F" w14:textId="77777777" w:rsidR="00714CB5" w:rsidRPr="002F2FDF" w:rsidRDefault="00714CB5" w:rsidP="0083075A">
      <w:pPr>
        <w:pStyle w:val="ae"/>
        <w:spacing w:before="0" w:after="0"/>
        <w:jc w:val="both"/>
        <w:rPr>
          <w:color w:val="000000" w:themeColor="text1"/>
          <w:sz w:val="16"/>
          <w:szCs w:val="16"/>
        </w:rPr>
      </w:pPr>
      <w:r w:rsidRPr="002F2FDF">
        <w:rPr>
          <w:color w:val="000000" w:themeColor="text1"/>
          <w:sz w:val="16"/>
          <w:szCs w:val="16"/>
        </w:rPr>
        <w:t>В 1917 году Лебедев решил существенно расширить свое производство. Однако земельный участок на Комендантском аэродроме имел ограниченные размеры и не позволял осуществить грандиозные планы авиапромышленника. Поэтому Владимир Лебедев решил построить еще три завода в Таганроге, Пензе и Ярославле, чему весьма способствовали заказы на сотни самолетов от Морского и Военного ведомств.</w:t>
      </w:r>
    </w:p>
    <w:p w14:paraId="2ABBBDFE" w14:textId="77777777" w:rsidR="00714CB5" w:rsidRPr="002F2FDF" w:rsidRDefault="00714CB5" w:rsidP="0083075A">
      <w:pPr>
        <w:pStyle w:val="ae"/>
        <w:spacing w:before="0" w:after="0"/>
        <w:jc w:val="both"/>
        <w:rPr>
          <w:color w:val="000000" w:themeColor="text1"/>
          <w:sz w:val="16"/>
          <w:szCs w:val="16"/>
        </w:rPr>
      </w:pPr>
      <w:r w:rsidRPr="002F2FDF">
        <w:rPr>
          <w:color w:val="000000" w:themeColor="text1"/>
          <w:sz w:val="16"/>
          <w:szCs w:val="16"/>
        </w:rPr>
        <w:t>Лебедев брался за постройку любых аэропланов, производство которых могло приносить прибыль. Однако по ходу 1917 года выполнять заказы становилось все труднее. В марте на заводе начались забастовки рабочих. Лебедев удовлетворил их требования и с 24 апреля ввел на своем заводе 8-часовой рабочий день. Эта мера временно погасила недовольство рабочих.</w:t>
      </w:r>
    </w:p>
    <w:p w14:paraId="7F74815A" w14:textId="77777777" w:rsidR="00714CB5" w:rsidRPr="002F2FDF" w:rsidRDefault="00714CB5" w:rsidP="0083075A">
      <w:pPr>
        <w:pStyle w:val="ae"/>
        <w:spacing w:before="0" w:after="0"/>
        <w:jc w:val="both"/>
        <w:rPr>
          <w:color w:val="000000" w:themeColor="text1"/>
          <w:sz w:val="16"/>
          <w:szCs w:val="16"/>
        </w:rPr>
      </w:pPr>
      <w:r w:rsidRPr="002F2FDF">
        <w:rPr>
          <w:color w:val="000000" w:themeColor="text1"/>
          <w:sz w:val="16"/>
          <w:szCs w:val="16"/>
        </w:rPr>
        <w:t xml:space="preserve">Острый дефицит материалов, необходимых для выпуска аэропланов, в первую очередь древесины и металла, отрицательно сказывался на производстве. Цены на это </w:t>
      </w:r>
      <w:r w:rsidRPr="002F2FDF">
        <w:rPr>
          <w:color w:val="000000" w:themeColor="text1"/>
          <w:sz w:val="16"/>
          <w:szCs w:val="16"/>
        </w:rPr>
        <w:lastRenderedPageBreak/>
        <w:t>сырье неуклонно возрастали. В этих условиях авиационное производство становилось убыточным и Лебедев неоднократно обращался в Управление Военно-Воздушного флота с просьбами откорректировать сроки поставки и договорные цены на поставляемые аэропланы с учетом дороговизны материалов и забастовок.</w:t>
      </w:r>
    </w:p>
    <w:p w14:paraId="33934FDC" w14:textId="6D6CE8DB" w:rsidR="00714CB5" w:rsidRPr="002F2FDF" w:rsidRDefault="00714CB5" w:rsidP="0083075A">
      <w:pPr>
        <w:pStyle w:val="ae"/>
        <w:spacing w:before="0" w:after="0"/>
        <w:jc w:val="both"/>
        <w:rPr>
          <w:color w:val="000000" w:themeColor="text1"/>
          <w:sz w:val="16"/>
          <w:szCs w:val="16"/>
        </w:rPr>
      </w:pPr>
      <w:r w:rsidRPr="002F2FDF">
        <w:rPr>
          <w:color w:val="000000" w:themeColor="text1"/>
          <w:sz w:val="16"/>
          <w:szCs w:val="16"/>
        </w:rPr>
        <w:t>Завод продолжал выпуск разведчика</w:t>
      </w:r>
      <w:r w:rsidR="00E52569">
        <w:rPr>
          <w:color w:val="000000" w:themeColor="text1"/>
          <w:sz w:val="16"/>
          <w:szCs w:val="16"/>
        </w:rPr>
        <w:t xml:space="preserve"> </w:t>
      </w:r>
      <w:hyperlink r:id="rId196" w:history="1">
        <w:r w:rsidRPr="002F2FDF">
          <w:rPr>
            <w:rStyle w:val="a5"/>
            <w:bCs/>
            <w:color w:val="000000" w:themeColor="text1"/>
            <w:sz w:val="16"/>
            <w:szCs w:val="16"/>
            <w:u w:val="none"/>
          </w:rPr>
          <w:t>«Лебедь-ХII»</w:t>
        </w:r>
      </w:hyperlink>
      <w:r w:rsidRPr="002F2FDF">
        <w:rPr>
          <w:color w:val="000000" w:themeColor="text1"/>
          <w:sz w:val="16"/>
          <w:szCs w:val="16"/>
        </w:rPr>
        <w:t>, к концу 1917 года безнадежно устаревшего. Однако Военное ведомство продолжало закупать эти самолеты, несмотря на многочисленные нарекания фронтовых летчиков. В конце концов недостатки машин стали настолько неприемлемы, что их перестали посылать на фронт, а оставляли для использования в авиашколах (18256).</w:t>
      </w:r>
    </w:p>
    <w:p w14:paraId="356B6FA2" w14:textId="77777777" w:rsidR="00714CB5" w:rsidRPr="002F2FDF" w:rsidRDefault="00714CB5" w:rsidP="0083075A">
      <w:pPr>
        <w:spacing w:after="0" w:line="240" w:lineRule="auto"/>
        <w:jc w:val="both"/>
        <w:rPr>
          <w:rFonts w:ascii="Times New Roman" w:eastAsia="Times New Roman" w:hAnsi="Times New Roman" w:cs="Times New Roman"/>
          <w:color w:val="000000" w:themeColor="text1"/>
          <w:sz w:val="16"/>
          <w:szCs w:val="16"/>
          <w:lang w:eastAsia="ru-RU"/>
        </w:rPr>
      </w:pPr>
    </w:p>
    <w:p w14:paraId="4FA7D2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Весной 1917 после Февральской революции было создано несколько комиссий, которым предписывалось дать непредвзятую оценку боевым показателям самолётов и деятельности руководства РБВЗ по их совершенствованию. В состав комиссий входили наиболее авторитетные специалисты по прочности, аэродинамике и другим авиационным специальностям, в частности профессора Фан- дер-Флит , Тимошенко и Ботезат.</w:t>
      </w:r>
    </w:p>
    <w:p w14:paraId="743BC8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Шидловский, лишившийся в результате революционных событий многих высокопоставленных покровителей, попытался представить деятельность этих комиссий как попытку свести с ним счёты. Естественно, что наличие столь грозных образцов военной техники как гиганты "Муромцы" можно поставить ему в заслугу. Но вот почему основательно устаревшая за пять лет общая схема самолёта практически не подвергалась изменениям? Вероятно потому, что "производственники" всегда неохотно встречают любые нововведения, требующие перестройки производства. Гораздо выгоднее "гнать серию"... И в этом вопросе Шидловский-генерал покорно "пошёл на поводу" у Шидловского- директора.</w:t>
      </w:r>
    </w:p>
    <w:p w14:paraId="348FC7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Вот некоторые из документов:</w:t>
      </w:r>
    </w:p>
    <w:p w14:paraId="0AF114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Заключение Комиссии по вопросу о прочности аэропланов "Илья Муромец"</w:t>
      </w:r>
    </w:p>
    <w:p w14:paraId="5D9979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Аэродинамические свойства. С точки зрения аэродинамики И.М. аппарат малой скорости обыденного типа. Ни особенных достоинств, ни недостатков в нём нет. Осталось непроверенной чуткость рулеванию и апериодичность.</w:t>
      </w:r>
    </w:p>
    <w:p w14:paraId="63D054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Более подробное замечание прилагается.</w:t>
      </w:r>
    </w:p>
    <w:p w14:paraId="4A54C2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Прочность. Расчёты производились только на полную нагрузку аппарата в условиях нормального полёта; при этом получилось:</w:t>
      </w:r>
    </w:p>
    <w:p w14:paraId="30AA50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В стойках - усилия близкие к критическим.</w:t>
      </w:r>
    </w:p>
    <w:p w14:paraId="10DA61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В диагоналях - близкие к разрушающим,</w:t>
      </w:r>
    </w:p>
    <w:p w14:paraId="24E595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В лонжеронах - напряжения, достигающие половины временного сопротивления.</w:t>
      </w:r>
    </w:p>
    <w:p w14:paraId="16B11E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В шасси при стоянки аппарата в передних ногах - усилия близкие к критическим.</w:t>
      </w:r>
    </w:p>
    <w:p w14:paraId="23F8BC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В лонжеронах хвостовой фермы при повороте руля глубины 20° сжимающия усилия близкие к критическим. Такие результаты получились при введении в расчёт натяжения нижних тросов силою примерно равной половины разрушающей; в случае отсутствия этих тросов усилия в ферме получится еще большее. Давление воздуха распределялось равномерно по площади крыла.</w:t>
      </w:r>
    </w:p>
    <w:p w14:paraId="1856F7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основании изложенного комиссия полагает что:</w:t>
      </w:r>
    </w:p>
    <w:p w14:paraId="5B6CCF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С точки зрения прочности в полете аппараты опасны,</w:t>
      </w:r>
    </w:p>
    <w:p w14:paraId="785321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Дальнейших заказов аппаратов этого типа делать не следует.</w:t>
      </w:r>
    </w:p>
    <w:p w14:paraId="2839C0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В случае необходимости в больших аппаратах лучше выработать новый тип, чем заниматься улучшениями "И.М.".</w:t>
      </w:r>
    </w:p>
    <w:p w14:paraId="4AA6A8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Эти соображения в смысле прочности относятся также к аппаратам с четырьмя моторами Р.Б. завода, так как усилия в нем мало отличаются от усилий в рассчитанном аппарате.</w:t>
      </w:r>
    </w:p>
    <w:p w14:paraId="76A5C3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Прочность аппарата может быть несколько повышена путем:</w:t>
      </w:r>
    </w:p>
    <w:p w14:paraId="504993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Усиления стоек.</w:t>
      </w:r>
    </w:p>
    <w:p w14:paraId="31ACE1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Замены проволок тросами.</w:t>
      </w:r>
    </w:p>
    <w:p w14:paraId="504969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Усиление нижних тросов.</w:t>
      </w:r>
    </w:p>
    <w:p w14:paraId="2B68EC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 Усиление шасси.</w:t>
      </w:r>
    </w:p>
    <w:p w14:paraId="735894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Эти изменения ухудшат полётные качества аппарата и всё же в аппарате ешё не будут достигнуты обычные запасы прочности.</w:t>
      </w:r>
    </w:p>
    <w:p w14:paraId="2845F6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Подлинное подписали: Председатель комиссии Фан-дер-Флит, члены: С. Тимошенко и Г. Ботезат.</w:t>
      </w:r>
    </w:p>
    <w:p w14:paraId="1F122E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Замечание. Об аэродинамических качествах аэроплана "Илья Муромец"</w:t>
      </w:r>
    </w:p>
    <w:p w14:paraId="178B62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обшем заключении комиссии упомянуто, что аэродинамические качества в общем удовлетворительны. Если же остановится на этой стороне дела более подробно, го надо указать на следующие недочеты:</w:t>
      </w:r>
    </w:p>
    <w:p w14:paraId="594A4D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Расстояние в 2,5 м между планами следует признать недостаточным; его необходимо взять 3,2 метра, т.е. равным ширине верхнего крыла, что повело бы к улучшению аэродинамических свойств и к уменьшению усилий коробки крыльев.</w:t>
      </w:r>
    </w:p>
    <w:p w14:paraId="128DEF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Сопротивление корпуса аэроплана велико не только абсолютно, но и относительно, причиной чего являются главным образом отдельно и открыто стоящие моторы и отчасти добавочные тросы и проволоки.</w:t>
      </w:r>
    </w:p>
    <w:p w14:paraId="6A1844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Благодаря большому сопротивлению аппарат имеет весьма умеренную скорость 120 или 130 км/ч (смотря потому, стоят ли четыре на 150HP мотора или два по 150 и два по 220) при значительной нагрузке в 34 или 38 кг/м:. Потому он принужден летать при больших углах атаки и иметь малый запас мощности или подъёмной силы, ведущей к низкому потолку и малой восходящей скорости.</w:t>
      </w:r>
    </w:p>
    <w:p w14:paraId="3FFB46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Тяга расположена, по видимому, намного ниже центра тяжести, каковая децен- трация является вообще говоря не выгодной, хотя в данном случае особо вредных последствий по видимому не имеет.</w:t>
      </w:r>
    </w:p>
    <w:p w14:paraId="25D682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Незначительность вертикальной неподвижной поверхности на конце хвоста в связи с уравновешенным большим рулем направления ведет к грубости горизонтального управления, сопровождающейся излишне крутыми поворотами с последующими не- благоприязненными явлениями.</w:t>
      </w:r>
    </w:p>
    <w:p w14:paraId="3152A2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Умеренная продольная устойчивость, не позволяющая ее уменьшать сколько нибудь значительно имеет следующее неблагоприятное в боевом отношении последствие.</w:t>
      </w:r>
    </w:p>
    <w:p w14:paraId="4A1F25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Большой аппарат должен нести и много пулемётов к обстрелам всей сферы и в частности желательно иметь пулемёт на самом конце хвоста. Однако это передвинуло бы центр тяжести в корму, заставило бы параллельно с увеличением площади стабилизатора увеличить на нём угол атаки, т.е. потерять часть продольной устойчивости. Умеренная наличная устойчивость заставляет отнестись с большей осторожностью к такой установке.</w:t>
      </w:r>
    </w:p>
    <w:p w14:paraId="27DE93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Чуткость вертикального управления, апериодичность аппарата, поперечная устойчивость авторами замечаний не рассмотрена.</w:t>
      </w:r>
    </w:p>
    <w:p w14:paraId="20CBE0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Постройка больших аппаратов целыми сериями, не имея подробного изучения аэродинамических свойств и без предварительных лабораторных испытаний моделей, без каких бы то ни было на заводе расчетов этих свойств представляется явлением совершенно нормальным.</w:t>
      </w:r>
    </w:p>
    <w:p w14:paraId="487E9E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Подлинный подписал: Профессор Фан- дер-Флит (12041).</w:t>
      </w:r>
    </w:p>
    <w:p w14:paraId="3C817C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9749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Весной 1917 РБВЗ провел испытания опытного многоместного истребителя сопровождения в Эскадре воздушных кораблей, построенного летом 1916 (318,85).</w:t>
      </w:r>
    </w:p>
    <w:p w14:paraId="1CFE41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200C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Весной 1917 года был построен С-22. На РБВЗ-С-22 был установлен уже стационарный двигатель воздушного охлаждения "Сальмсон" мощностью 150 л.с. Новый самолет представлял собой переделку одного из опытных экземпляров С-20, с некоторым увеличением по размерам и весу в соответствии с более мощной силовой установкой. Основные полетные показатели этого образца заметно улучшились. Так, максимальная скорость достигала 200 км/ч, значительно выросли скороподъемность и практический потолок. Неизменным осталось время пребывания нового аппарата в воздухе. Вооружение было усилено: два синхронных пулемета установлены поверх бортов головной части фюзеляжа непосредственно перед кабиной летчика. Тип пулеметов неизвестен Его летные испытания проводились на Комендантском аэродроме летом 1917 года. Дальнейшая судьба этого наилучшего истребителя И.И. Сикорского неизвестна.</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008"/>
        <w:gridCol w:w="1620"/>
        <w:gridCol w:w="1620"/>
      </w:tblGrid>
      <w:tr w:rsidR="002B1C74" w:rsidRPr="002F2FDF" w14:paraId="4303F37B" w14:textId="77777777" w:rsidTr="003431D2">
        <w:tc>
          <w:tcPr>
            <w:tcW w:w="5008" w:type="dxa"/>
            <w:gridSpan w:val="3"/>
            <w:tcBorders>
              <w:top w:val="single" w:sz="12" w:space="0" w:color="auto"/>
            </w:tcBorders>
          </w:tcPr>
          <w:p w14:paraId="257CE2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Летно-тактические характеристики </w:t>
            </w:r>
          </w:p>
        </w:tc>
      </w:tr>
      <w:tr w:rsidR="002B1C74" w:rsidRPr="002F2FDF" w14:paraId="173F32C5" w14:textId="77777777">
        <w:tc>
          <w:tcPr>
            <w:tcW w:w="5008" w:type="dxa"/>
          </w:tcPr>
          <w:p w14:paraId="09A081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Самолет</w:t>
            </w:r>
          </w:p>
        </w:tc>
        <w:tc>
          <w:tcPr>
            <w:tcW w:w="1620" w:type="dxa"/>
          </w:tcPr>
          <w:p w14:paraId="6D8CB1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С-20</w:t>
            </w:r>
          </w:p>
        </w:tc>
        <w:tc>
          <w:tcPr>
            <w:tcW w:w="1620" w:type="dxa"/>
          </w:tcPr>
          <w:p w14:paraId="499293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С-22</w:t>
            </w:r>
          </w:p>
        </w:tc>
      </w:tr>
      <w:tr w:rsidR="002B1C74" w:rsidRPr="002F2FDF" w14:paraId="3A67AD53" w14:textId="77777777">
        <w:tc>
          <w:tcPr>
            <w:tcW w:w="5008" w:type="dxa"/>
          </w:tcPr>
          <w:p w14:paraId="6E8B6C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 выпуска</w:t>
            </w:r>
          </w:p>
        </w:tc>
        <w:tc>
          <w:tcPr>
            <w:tcW w:w="1620" w:type="dxa"/>
          </w:tcPr>
          <w:p w14:paraId="75DBFD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1620" w:type="dxa"/>
          </w:tcPr>
          <w:p w14:paraId="13A19F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w:t>
            </w:r>
          </w:p>
        </w:tc>
      </w:tr>
      <w:tr w:rsidR="002B1C74" w:rsidRPr="002F2FDF" w14:paraId="6F7C4982" w14:textId="77777777">
        <w:tc>
          <w:tcPr>
            <w:tcW w:w="5008" w:type="dxa"/>
          </w:tcPr>
          <w:p w14:paraId="367116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Другое обозначение</w:t>
            </w:r>
          </w:p>
        </w:tc>
        <w:tc>
          <w:tcPr>
            <w:tcW w:w="1620" w:type="dxa"/>
          </w:tcPr>
          <w:p w14:paraId="2B83B1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С-ХХ</w:t>
            </w:r>
          </w:p>
        </w:tc>
        <w:tc>
          <w:tcPr>
            <w:tcW w:w="1620" w:type="dxa"/>
          </w:tcPr>
          <w:p w14:paraId="762B20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С-ХХII</w:t>
            </w:r>
          </w:p>
        </w:tc>
      </w:tr>
      <w:tr w:rsidR="002B1C74" w:rsidRPr="002F2FDF" w14:paraId="0E9C0DDF" w14:textId="77777777">
        <w:tc>
          <w:tcPr>
            <w:tcW w:w="5008" w:type="dxa"/>
          </w:tcPr>
          <w:p w14:paraId="0E1CF0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Мотор</w:t>
            </w:r>
          </w:p>
        </w:tc>
        <w:tc>
          <w:tcPr>
            <w:tcW w:w="1620" w:type="dxa"/>
          </w:tcPr>
          <w:p w14:paraId="075628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"Рон"</w:t>
            </w:r>
          </w:p>
        </w:tc>
        <w:tc>
          <w:tcPr>
            <w:tcW w:w="1620" w:type="dxa"/>
          </w:tcPr>
          <w:p w14:paraId="0F56C3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"Сальмсон"</w:t>
            </w:r>
          </w:p>
        </w:tc>
      </w:tr>
      <w:tr w:rsidR="002B1C74" w:rsidRPr="002F2FDF" w14:paraId="5EEAC26C" w14:textId="77777777">
        <w:tc>
          <w:tcPr>
            <w:tcW w:w="5008" w:type="dxa"/>
          </w:tcPr>
          <w:p w14:paraId="13CCEC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Мощность максимальная, л.с.</w:t>
            </w:r>
          </w:p>
        </w:tc>
        <w:tc>
          <w:tcPr>
            <w:tcW w:w="1620" w:type="dxa"/>
          </w:tcPr>
          <w:p w14:paraId="37A123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w:t>
            </w:r>
          </w:p>
        </w:tc>
        <w:tc>
          <w:tcPr>
            <w:tcW w:w="1620" w:type="dxa"/>
          </w:tcPr>
          <w:p w14:paraId="3BDB16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w:t>
            </w:r>
          </w:p>
        </w:tc>
      </w:tr>
      <w:tr w:rsidR="002B1C74" w:rsidRPr="002F2FDF" w14:paraId="6E1476C4" w14:textId="77777777">
        <w:tc>
          <w:tcPr>
            <w:tcW w:w="5008" w:type="dxa"/>
          </w:tcPr>
          <w:p w14:paraId="6F319C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Скорость максимальная</w:t>
            </w:r>
          </w:p>
        </w:tc>
        <w:tc>
          <w:tcPr>
            <w:tcW w:w="1620" w:type="dxa"/>
          </w:tcPr>
          <w:p w14:paraId="5D4136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620" w:type="dxa"/>
          </w:tcPr>
          <w:p w14:paraId="29CB0F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4522C100" w14:textId="77777777">
        <w:tc>
          <w:tcPr>
            <w:tcW w:w="5008" w:type="dxa"/>
          </w:tcPr>
          <w:p w14:paraId="221D34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 земли, км/ч</w:t>
            </w:r>
          </w:p>
        </w:tc>
        <w:tc>
          <w:tcPr>
            <w:tcW w:w="1620" w:type="dxa"/>
          </w:tcPr>
          <w:p w14:paraId="557C1F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w:t>
            </w:r>
          </w:p>
        </w:tc>
        <w:tc>
          <w:tcPr>
            <w:tcW w:w="1620" w:type="dxa"/>
          </w:tcPr>
          <w:p w14:paraId="15D270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205</w:t>
            </w:r>
          </w:p>
        </w:tc>
      </w:tr>
      <w:tr w:rsidR="002B1C74" w:rsidRPr="002F2FDF" w14:paraId="0043B404" w14:textId="77777777">
        <w:tc>
          <w:tcPr>
            <w:tcW w:w="5008" w:type="dxa"/>
          </w:tcPr>
          <w:p w14:paraId="615302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высоте 2000 м, км/ч</w:t>
            </w:r>
          </w:p>
        </w:tc>
        <w:tc>
          <w:tcPr>
            <w:tcW w:w="1620" w:type="dxa"/>
          </w:tcPr>
          <w:p w14:paraId="4880B4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162</w:t>
            </w:r>
          </w:p>
        </w:tc>
        <w:tc>
          <w:tcPr>
            <w:tcW w:w="1620" w:type="dxa"/>
          </w:tcPr>
          <w:p w14:paraId="0C99B8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175</w:t>
            </w:r>
          </w:p>
        </w:tc>
      </w:tr>
      <w:tr w:rsidR="002B1C74" w:rsidRPr="002F2FDF" w14:paraId="7CB252C0" w14:textId="77777777">
        <w:tc>
          <w:tcPr>
            <w:tcW w:w="5008" w:type="dxa"/>
          </w:tcPr>
          <w:p w14:paraId="405DAF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Время набора высоты 2000 м, мин</w:t>
            </w:r>
          </w:p>
        </w:tc>
        <w:tc>
          <w:tcPr>
            <w:tcW w:w="1620" w:type="dxa"/>
          </w:tcPr>
          <w:p w14:paraId="65174F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w:t>
            </w:r>
          </w:p>
        </w:tc>
        <w:tc>
          <w:tcPr>
            <w:tcW w:w="1620" w:type="dxa"/>
          </w:tcPr>
          <w:p w14:paraId="4A42B8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5,03</w:t>
            </w:r>
          </w:p>
        </w:tc>
      </w:tr>
      <w:tr w:rsidR="002B1C74" w:rsidRPr="002F2FDF" w14:paraId="2E82C7BC" w14:textId="77777777">
        <w:tc>
          <w:tcPr>
            <w:tcW w:w="5008" w:type="dxa"/>
          </w:tcPr>
          <w:p w14:paraId="601D94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Потолок практический, м</w:t>
            </w:r>
          </w:p>
        </w:tc>
        <w:tc>
          <w:tcPr>
            <w:tcW w:w="1620" w:type="dxa"/>
          </w:tcPr>
          <w:p w14:paraId="69D7AD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5600</w:t>
            </w:r>
          </w:p>
        </w:tc>
        <w:tc>
          <w:tcPr>
            <w:tcW w:w="1620" w:type="dxa"/>
          </w:tcPr>
          <w:p w14:paraId="1224F2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6200</w:t>
            </w:r>
          </w:p>
        </w:tc>
      </w:tr>
      <w:tr w:rsidR="002B1C74" w:rsidRPr="002F2FDF" w14:paraId="4C857CBB" w14:textId="77777777">
        <w:tc>
          <w:tcPr>
            <w:tcW w:w="5008" w:type="dxa"/>
          </w:tcPr>
          <w:p w14:paraId="6A3552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Продолжительность полета, час</w:t>
            </w:r>
          </w:p>
        </w:tc>
        <w:tc>
          <w:tcPr>
            <w:tcW w:w="1620" w:type="dxa"/>
          </w:tcPr>
          <w:p w14:paraId="1AA75B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2,33</w:t>
            </w:r>
          </w:p>
        </w:tc>
        <w:tc>
          <w:tcPr>
            <w:tcW w:w="1620" w:type="dxa"/>
          </w:tcPr>
          <w:p w14:paraId="216220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w:t>
            </w:r>
          </w:p>
        </w:tc>
      </w:tr>
      <w:tr w:rsidR="002B1C74" w:rsidRPr="002F2FDF" w14:paraId="2CE41DF9" w14:textId="77777777">
        <w:tc>
          <w:tcPr>
            <w:tcW w:w="5008" w:type="dxa"/>
          </w:tcPr>
          <w:p w14:paraId="380EEE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Площадь крыльев, м</w:t>
            </w:r>
            <w:r w:rsidRPr="002F2FDF">
              <w:rPr>
                <w:rFonts w:ascii="Times New Roman" w:hAnsi="Times New Roman" w:cs="Times New Roman"/>
                <w:color w:val="000000" w:themeColor="text1"/>
                <w:kern w:val="2"/>
                <w:sz w:val="16"/>
                <w:szCs w:val="16"/>
                <w:vertAlign w:val="superscript"/>
              </w:rPr>
              <w:t>2</w:t>
            </w:r>
          </w:p>
        </w:tc>
        <w:tc>
          <w:tcPr>
            <w:tcW w:w="1620" w:type="dxa"/>
          </w:tcPr>
          <w:p w14:paraId="2FE237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17,0</w:t>
            </w:r>
          </w:p>
        </w:tc>
        <w:tc>
          <w:tcPr>
            <w:tcW w:w="1620" w:type="dxa"/>
          </w:tcPr>
          <w:p w14:paraId="148427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18,5</w:t>
            </w:r>
          </w:p>
        </w:tc>
      </w:tr>
      <w:tr w:rsidR="002B1C74" w:rsidRPr="002F2FDF" w14:paraId="002F9CCF" w14:textId="77777777">
        <w:tc>
          <w:tcPr>
            <w:tcW w:w="5008" w:type="dxa"/>
          </w:tcPr>
          <w:p w14:paraId="465E96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Взлетный вес, кг</w:t>
            </w:r>
          </w:p>
        </w:tc>
        <w:tc>
          <w:tcPr>
            <w:tcW w:w="1620" w:type="dxa"/>
          </w:tcPr>
          <w:p w14:paraId="35AD4E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750</w:t>
            </w:r>
          </w:p>
        </w:tc>
        <w:tc>
          <w:tcPr>
            <w:tcW w:w="1620" w:type="dxa"/>
          </w:tcPr>
          <w:p w14:paraId="54B6B4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1030</w:t>
            </w:r>
          </w:p>
        </w:tc>
      </w:tr>
      <w:tr w:rsidR="002B1C74" w:rsidRPr="002F2FDF" w14:paraId="084020E1" w14:textId="77777777">
        <w:tc>
          <w:tcPr>
            <w:tcW w:w="5008" w:type="dxa"/>
          </w:tcPr>
          <w:p w14:paraId="3D9F52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 пустого самолета, кг</w:t>
            </w:r>
          </w:p>
        </w:tc>
        <w:tc>
          <w:tcPr>
            <w:tcW w:w="1620" w:type="dxa"/>
          </w:tcPr>
          <w:p w14:paraId="242B91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550</w:t>
            </w:r>
          </w:p>
        </w:tc>
        <w:tc>
          <w:tcPr>
            <w:tcW w:w="1620" w:type="dxa"/>
          </w:tcPr>
          <w:p w14:paraId="368ADC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760</w:t>
            </w:r>
          </w:p>
        </w:tc>
      </w:tr>
      <w:tr w:rsidR="002B1C74" w:rsidRPr="002F2FDF" w14:paraId="3065DC52" w14:textId="77777777">
        <w:tc>
          <w:tcPr>
            <w:tcW w:w="5008" w:type="dxa"/>
          </w:tcPr>
          <w:p w14:paraId="1F3A17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Запас топлива, кг</w:t>
            </w:r>
          </w:p>
        </w:tc>
        <w:tc>
          <w:tcPr>
            <w:tcW w:w="1620" w:type="dxa"/>
          </w:tcPr>
          <w:p w14:paraId="129BD9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w:t>
            </w:r>
          </w:p>
        </w:tc>
        <w:tc>
          <w:tcPr>
            <w:tcW w:w="1620" w:type="dxa"/>
          </w:tcPr>
          <w:p w14:paraId="00008E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115</w:t>
            </w:r>
          </w:p>
        </w:tc>
      </w:tr>
      <w:tr w:rsidR="002B1C74" w:rsidRPr="002F2FDF" w14:paraId="3520EE6C" w14:textId="77777777">
        <w:tc>
          <w:tcPr>
            <w:tcW w:w="5008" w:type="dxa"/>
          </w:tcPr>
          <w:p w14:paraId="4EC20A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Уд. нагрузка на крылья, кг/м</w:t>
            </w:r>
            <w:r w:rsidRPr="002F2FDF">
              <w:rPr>
                <w:rFonts w:ascii="Times New Roman" w:hAnsi="Times New Roman" w:cs="Times New Roman"/>
                <w:color w:val="000000" w:themeColor="text1"/>
                <w:kern w:val="2"/>
                <w:sz w:val="16"/>
                <w:szCs w:val="16"/>
                <w:vertAlign w:val="superscript"/>
              </w:rPr>
              <w:t>2</w:t>
            </w:r>
          </w:p>
        </w:tc>
        <w:tc>
          <w:tcPr>
            <w:tcW w:w="1620" w:type="dxa"/>
          </w:tcPr>
          <w:p w14:paraId="0506DC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44,1</w:t>
            </w:r>
          </w:p>
        </w:tc>
        <w:tc>
          <w:tcPr>
            <w:tcW w:w="1620" w:type="dxa"/>
          </w:tcPr>
          <w:p w14:paraId="734B91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55,4</w:t>
            </w:r>
          </w:p>
        </w:tc>
      </w:tr>
      <w:tr w:rsidR="002B1C74" w:rsidRPr="002F2FDF" w14:paraId="48CCE801" w14:textId="77777777">
        <w:tc>
          <w:tcPr>
            <w:tcW w:w="5008" w:type="dxa"/>
          </w:tcPr>
          <w:p w14:paraId="4B6764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Уд. нагрузка на мощность, кг/л. с.</w:t>
            </w:r>
          </w:p>
        </w:tc>
        <w:tc>
          <w:tcPr>
            <w:tcW w:w="1620" w:type="dxa"/>
          </w:tcPr>
          <w:p w14:paraId="5894BA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w:t>
            </w:r>
          </w:p>
        </w:tc>
        <w:tc>
          <w:tcPr>
            <w:tcW w:w="1620" w:type="dxa"/>
          </w:tcPr>
          <w:p w14:paraId="5CD094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w:t>
            </w:r>
          </w:p>
        </w:tc>
      </w:tr>
      <w:tr w:rsidR="002B1C74" w:rsidRPr="002F2FDF" w14:paraId="6EB60BE0" w14:textId="77777777">
        <w:tc>
          <w:tcPr>
            <w:tcW w:w="5008" w:type="dxa"/>
            <w:tcBorders>
              <w:bottom w:val="single" w:sz="12" w:space="0" w:color="auto"/>
            </w:tcBorders>
          </w:tcPr>
          <w:p w14:paraId="77ED3F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Весовая отдача, %</w:t>
            </w:r>
          </w:p>
        </w:tc>
        <w:tc>
          <w:tcPr>
            <w:tcW w:w="1620" w:type="dxa"/>
            <w:tcBorders>
              <w:bottom w:val="single" w:sz="12" w:space="0" w:color="auto"/>
            </w:tcBorders>
          </w:tcPr>
          <w:p w14:paraId="639914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26,7</w:t>
            </w:r>
          </w:p>
        </w:tc>
        <w:tc>
          <w:tcPr>
            <w:tcW w:w="1620" w:type="dxa"/>
            <w:tcBorders>
              <w:bottom w:val="single" w:sz="12" w:space="0" w:color="auto"/>
            </w:tcBorders>
          </w:tcPr>
          <w:p w14:paraId="02AE2B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28,9</w:t>
            </w:r>
          </w:p>
        </w:tc>
      </w:tr>
    </w:tbl>
    <w:p w14:paraId="58F28A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(11918).</w:t>
      </w:r>
    </w:p>
    <w:p w14:paraId="6BAA31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3C3A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Весной 1917 г. на “Авиа-Балте” продолжалась работа по постройке боевых самолетов, но темпы ее значительно упали. Политические события в той или иной степени захватывали всех рабочих и служащих и влияли на производственный процесс. Сикорский, который последние восемь лет работал в напряженнейшем ритме, полностью отдавая себя инженерному творчеству, вдруг ощутил какую-то пустоту, раз и навсегда заведенный мерно работающий механизм вдруг начал давать перебои, рушились, казалось, незыблемые основы отношений между людьми, отношения к труду, отношения к долгу. Он старался это понять и не мог. Срок контракта, заключенного в 1912 г., истек, и И. И. Сикорский теперь мог быть вольной птицей, но он чего-то ждал, на что-то надеялся. После Октябрьской революции завод встал. Сикорский пошел в заводской комитет ( “коллективный директор”) и спросил, что же ему делать. Ответ был лаконичен и прост: “Делай, что хочешь”. Надо сказать, что рабочие относились к Сикорскому с большим уважением и симпатией. Он в случае необходимости, чем мог, помогал, часто давал деньги взаймы и не торопил с возвратом. Как вспоминал в нашей частной беседе академик Б. В. Раушенбах, ему в 1931 г. пришлось работать на авиационном заводе в Ленинграде учеником столяра у известного бригадира Василия Ивановича Осипова. Это был кадровый рабочий, долгое время трудившийся на РБВЗ и хорошо знавший И. И. Сикорского. В. И. Осипов часто вспоминал старое время и всегда с теплотой отзывался о знаменитом конструкторе. Сикорский пытался все-таки прояснить ситуацию, определить хотя бы ближайшую перспективу, но ничего путного из этого не вышло. Теперь судьбу российской промышленности централизованно вершил ВСНХ, а точнее члены его бюро пленума, которые в большинстве своем не обладали достаточной компетентностью. Так, А. А. Велижев в своей брошюре “Достижения советской авиапромышленности за 15 лет” (М. -Л. : Авиаиздат, 1932. С. 12), в частности, пишет: “Некоторые товарищи, поставленные во главе национализированной промышленности, недооценивали важности воздушного флота, как оружия в руках рабочего класса. Например, покойный т. Ларин, бывший в то время руководителем ВСНХ, когда на президиуме стоял вопрос о том, на каких отраслях промышленности советская власть должна сосредоточить свои слабые в то время ресурсы, а какие отрасли придется свернуть, решил свернуть и всю авиапромышленность. Когда же партийцы-воздушники стали убеждать т. Ларина не делать такого необдуманного шага, он ответил, что Советской республике не нужны предприятия, подобные фабрикам духов и помады”. Ю. М. Ларин являлся членом бюро пленума ВСНХ, обладал большой властью и мог многие важнейшие решения принимать единолично. Позиция руководителей в отношении авиации стала известна Сикорскому. Теперь последние сомнения исчезли. Сделать выводы было совсем нетрудно. Нужно где-то искать работу. Но где? Работы в соответствии с его опытом и уровнем знаний нигде не было. Уехать? Но куда? Все заработанные за эти годы немалые деньги вложены в акции завода, и на руках практически ничего не было. Еще одно событие побуждало его к интенсивному поиску работы. Совсем недавно родилась дочь Таня. Брак был скоропалителен и неудачен. Супруги совершенно не понимали друг друга, и семья вскоре распалась. Дочь перешла на попечение сестры Ольги. По совету родных и друзей, Сикорский решается уехать во Францию, которая еще оставалась союзницей России. Он надеялся, что там сможет работать как авиаконструктор, а тем временем в России ситуация стабилизируется. А ситуация действительно была серьезной. Накатывалась волна репрессий против интеллигенции, и существовала реальная угроза ареста. Сикорского об этом уже по секрету предупреждали. Итак, решение принято. Начались хлопоты по получению выездных документов. Поскольку имя Сикорского было известно, ему без особых затруднений удалось заручиться рекомендательными письмами, а в феврале 1918 г. на руках уже был заграничный паспорт. С несколькими сотнями английских фунтов, которые с трудом удалось раздобыть, он выехал в Мурманск. Ранним мартовским утром 1918 г. Сикорский с грустью наблюдал, как в дымке скрываются берега России. Маленький английский пароход “Опорто” увозил его на чужбину. Не знал Игорь Иванович, не ведал, что видит он берега Родины в последний раз (11196).</w:t>
      </w:r>
    </w:p>
    <w:p w14:paraId="50A7B9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69F9E3" w14:textId="77777777" w:rsidR="00C74A63" w:rsidRPr="00FB4F67" w:rsidRDefault="00C74A6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Весной 1917 г. на «Авиа-Балте» продолжалась работа по постройке боевых самолетов, но темпы ее зна</w:t>
      </w:r>
      <w:r w:rsidRPr="00FB4F67">
        <w:rPr>
          <w:rFonts w:ascii="Times New Roman" w:hAnsi="Times New Roman" w:cs="Times New Roman"/>
          <w:color w:val="0070C0"/>
          <w:sz w:val="16"/>
          <w:szCs w:val="16"/>
        </w:rPr>
        <w:softHyphen/>
        <w:t>чительно упали. Политические события в той или иной степени захватывали всех рабочих и служащих и влия</w:t>
      </w:r>
      <w:r w:rsidRPr="00FB4F67">
        <w:rPr>
          <w:rFonts w:ascii="Times New Roman" w:hAnsi="Times New Roman" w:cs="Times New Roman"/>
          <w:color w:val="0070C0"/>
          <w:sz w:val="16"/>
          <w:szCs w:val="16"/>
        </w:rPr>
        <w:softHyphen/>
        <w:t>ли на производственный процесс. Сикорский, который последние восемь лет работал в напряженнейшем рит</w:t>
      </w:r>
      <w:r w:rsidRPr="00FB4F67">
        <w:rPr>
          <w:rFonts w:ascii="Times New Roman" w:hAnsi="Times New Roman" w:cs="Times New Roman"/>
          <w:color w:val="0070C0"/>
          <w:sz w:val="16"/>
          <w:szCs w:val="16"/>
        </w:rPr>
        <w:softHyphen/>
        <w:t>ме, полностью отдавая себя инженерному творчеству, вдруг ощутил какую-то пустоту, раз и навсегда заведен</w:t>
      </w:r>
      <w:r w:rsidRPr="00FB4F67">
        <w:rPr>
          <w:rFonts w:ascii="Times New Roman" w:hAnsi="Times New Roman" w:cs="Times New Roman"/>
          <w:color w:val="0070C0"/>
          <w:sz w:val="16"/>
          <w:szCs w:val="16"/>
        </w:rPr>
        <w:softHyphen/>
        <w:t>ный мерно работающий механизм вдруг начал давать перебои, рушились, казалось, незыблемые основы от</w:t>
      </w:r>
      <w:r w:rsidRPr="00FB4F67">
        <w:rPr>
          <w:rFonts w:ascii="Times New Roman" w:hAnsi="Times New Roman" w:cs="Times New Roman"/>
          <w:color w:val="0070C0"/>
          <w:sz w:val="16"/>
          <w:szCs w:val="16"/>
        </w:rPr>
        <w:softHyphen/>
        <w:t>ношений между людьми, отношения к труду, отноше</w:t>
      </w:r>
      <w:r w:rsidRPr="00FB4F67">
        <w:rPr>
          <w:rFonts w:ascii="Times New Roman" w:hAnsi="Times New Roman" w:cs="Times New Roman"/>
          <w:color w:val="0070C0"/>
          <w:sz w:val="16"/>
          <w:szCs w:val="16"/>
        </w:rPr>
        <w:softHyphen/>
        <w:t>ния к долгу. Он старался это понять и не мог.</w:t>
      </w:r>
    </w:p>
    <w:p w14:paraId="0CA467D6" w14:textId="77777777" w:rsidR="00C74A63" w:rsidRPr="00FB4F67" w:rsidRDefault="00C74A6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Срок контракта, заключенного в 1912 г., истек, и И. И. Сикорский теперь мог быть вольной птицей, но он чего-то ждал, на что-то надеялся. После Октябрь</w:t>
      </w:r>
      <w:r w:rsidRPr="00FB4F67">
        <w:rPr>
          <w:rFonts w:ascii="Times New Roman" w:hAnsi="Times New Roman" w:cs="Times New Roman"/>
          <w:color w:val="0070C0"/>
          <w:sz w:val="16"/>
          <w:szCs w:val="16"/>
        </w:rPr>
        <w:softHyphen/>
        <w:t>ской революции завод встал. Сикорский пошел в завод</w:t>
      </w:r>
      <w:r w:rsidRPr="00FB4F67">
        <w:rPr>
          <w:rFonts w:ascii="Times New Roman" w:hAnsi="Times New Roman" w:cs="Times New Roman"/>
          <w:color w:val="0070C0"/>
          <w:sz w:val="16"/>
          <w:szCs w:val="16"/>
        </w:rPr>
        <w:softHyphen/>
        <w:t>ской комитет («коллективный директор») и спросил, что же ему делать. Ответ был лаконичен и прост: «Де</w:t>
      </w:r>
      <w:r w:rsidRPr="00FB4F67">
        <w:rPr>
          <w:rFonts w:ascii="Times New Roman" w:hAnsi="Times New Roman" w:cs="Times New Roman"/>
          <w:color w:val="0070C0"/>
          <w:sz w:val="16"/>
          <w:szCs w:val="16"/>
        </w:rPr>
        <w:softHyphen/>
        <w:t>лай, что хочешь». Надо сказать, что рабочие относи</w:t>
      </w:r>
      <w:r w:rsidRPr="00FB4F67">
        <w:rPr>
          <w:rFonts w:ascii="Times New Roman" w:hAnsi="Times New Roman" w:cs="Times New Roman"/>
          <w:color w:val="0070C0"/>
          <w:sz w:val="16"/>
          <w:szCs w:val="16"/>
        </w:rPr>
        <w:softHyphen/>
        <w:t>лись к Сикорскому с большим уважением и симпатией (24177).</w:t>
      </w:r>
    </w:p>
    <w:p w14:paraId="1A304593" w14:textId="77777777" w:rsidR="00C74A63" w:rsidRPr="00FB4F67" w:rsidRDefault="00C74A63" w:rsidP="0083075A">
      <w:pPr>
        <w:spacing w:after="0" w:line="240" w:lineRule="auto"/>
        <w:jc w:val="both"/>
        <w:rPr>
          <w:rFonts w:ascii="Times New Roman" w:hAnsi="Times New Roman" w:cs="Times New Roman"/>
          <w:color w:val="0070C0"/>
          <w:sz w:val="16"/>
          <w:szCs w:val="16"/>
        </w:rPr>
      </w:pPr>
    </w:p>
    <w:p w14:paraId="4D8977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весны 1917 г. поставки новых "Муромцев" прекратились. Более того, некоторые идиоты объявили этот самолет проявлением "имперских и шовинистических амбиций проклятого царизма" и подвергли осуждению за растранжиривание на создание Эскадры воздушных кораблей огромных средств. Появились случаи саботажа. Один из них привел к катастрофе 20 апреля 1917 г. При осмотре разбитой машины обнаружили подпиленную стойку.</w:t>
      </w:r>
    </w:p>
    <w:p w14:paraId="2DC7FE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Наверное, не обошлось и без коррупции, поскольку сразу же был выдан заказ на итальянские тяжелые бомбардировщики "Капрони", а чиновники начали переговоры с английской фирмой "Хэндли-Пейдж" о приобретении лицензии на ее самолет, который намеревались пустить в производство на РБВЗ вместо "Муромца".</w:t>
      </w:r>
    </w:p>
    <w:p w14:paraId="6C681F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боеспособных самолетов в эскадре постепенно уменьшалось. Но оставшиеся продолжали летать. 18 июня 1917 г. экипаж капитана Шарова отбивался от восьми вражеских истребителей и сбил из них пять! Но с середины сентября боевые вылеты прекратились. Деморализованная армия постепенно разбегалась, солдаты убивали офицеров и дезертировали.</w:t>
      </w:r>
    </w:p>
    <w:p w14:paraId="71A00C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развала фронта часть самолетов эскадры сожгли при отступлении, часть досталась войскам гетмана Скоро- падского. Офицеры разделились: большинство пошло к белым, кто-то к красным, а кое-кто вообще эмигрировал. То же самое относилось и к наземному составу.</w:t>
      </w:r>
    </w:p>
    <w:p w14:paraId="240D1B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 большевиков оказались недостроенные "Муромцы" и задел узлов, сделанный РБВЗ. Всего из них собрали около двух десятков машин, в основном, с упрощенным оборудованием и вооружением. Их разбросали по разным авиачастям, самой крупной из которых стал Дивизион воздушных кораблей, имевший пять самолетов "типа Г-3". Они немного повоевали против конницы Мамонтова, поляков и Врангеля. Последний боевой вылет красный "Муромец" совершил 21 ноября 1920 г. - с него обстреляли несколько сел, занятых махновцами (12036).</w:t>
      </w:r>
    </w:p>
    <w:p w14:paraId="25E373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6174B1" w14:textId="77777777" w:rsidR="00C74A63" w:rsidRPr="00FB4F67" w:rsidRDefault="00C74A6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Весной 1917 г. были полностью нарушены комплектование отрядов Эскад</w:t>
      </w:r>
      <w:r w:rsidRPr="00FB4F67">
        <w:rPr>
          <w:rFonts w:ascii="Times New Roman" w:hAnsi="Times New Roman" w:cs="Times New Roman"/>
          <w:color w:val="0070C0"/>
          <w:sz w:val="16"/>
          <w:szCs w:val="16"/>
        </w:rPr>
        <w:softHyphen/>
        <w:t>ры и боевая подготовка экипажей воздушных кораблей. Постав</w:t>
      </w:r>
      <w:r w:rsidRPr="00FB4F67">
        <w:rPr>
          <w:rFonts w:ascii="Times New Roman" w:hAnsi="Times New Roman" w:cs="Times New Roman"/>
          <w:color w:val="0070C0"/>
          <w:sz w:val="16"/>
          <w:szCs w:val="16"/>
        </w:rPr>
        <w:softHyphen/>
        <w:t>ки «Муромцев» прекратились. За весь 1917 г. в ЭВК поступили только три воздушных корабля ти</w:t>
      </w:r>
      <w:r w:rsidRPr="00FB4F67">
        <w:rPr>
          <w:rFonts w:ascii="Times New Roman" w:hAnsi="Times New Roman" w:cs="Times New Roman"/>
          <w:color w:val="0070C0"/>
          <w:sz w:val="16"/>
          <w:szCs w:val="16"/>
        </w:rPr>
        <w:softHyphen/>
        <w:t>па «Г-3». Лишь первому удалось встать в боевой строй. Отправка ос</w:t>
      </w:r>
      <w:r w:rsidRPr="00FB4F67">
        <w:rPr>
          <w:rFonts w:ascii="Times New Roman" w:hAnsi="Times New Roman" w:cs="Times New Roman"/>
          <w:color w:val="0070C0"/>
          <w:sz w:val="16"/>
          <w:szCs w:val="16"/>
        </w:rPr>
        <w:softHyphen/>
        <w:t>тальных была прекращена. Мало того, в столице устроили суд над «Муромцем» (23469).</w:t>
      </w:r>
    </w:p>
    <w:p w14:paraId="6BC6882F" w14:textId="77777777" w:rsidR="00C74A63" w:rsidRPr="00FB4F67" w:rsidRDefault="00C74A63" w:rsidP="0083075A">
      <w:pPr>
        <w:spacing w:after="0" w:line="240" w:lineRule="auto"/>
        <w:jc w:val="both"/>
        <w:rPr>
          <w:rFonts w:ascii="Times New Roman" w:hAnsi="Times New Roman" w:cs="Times New Roman"/>
          <w:color w:val="0070C0"/>
          <w:sz w:val="16"/>
          <w:szCs w:val="16"/>
        </w:rPr>
      </w:pPr>
    </w:p>
    <w:p w14:paraId="21CA5C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Весной 1917 Морское ведомство обратилось в Увофлот с ходатайством о передаче ему отряда Муромцев, которые предполагали вооружить торпедами (92,210).</w:t>
      </w:r>
    </w:p>
    <w:p w14:paraId="6B5842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26E1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Весной 1917 УВВФ в связи с разработкой общего вопроса о снабжении эскадры большими самолетами технический комитет привлек для аэродинамической оценки “Муромца” типа Г и определения его прочности ученых. Комиссия в составе С. П. Тимошенко, Г. А. Ботезата и А. П. Фан дёр Флита отметила в своем заключении, что у этого типа воздушных кораблей “управление в горизонтальной плоскости благодаря принятому устройству рулей и киля является весьма грубым и может быть причиной неблагоприятных явлений”. По вопросу прочности самолета комиссия утверждала: “Проверочный расчет прочности аэроплана показал, что наиболее слабыми частями его являются диагональные растяжки и средние стойки главной коробки, а также шасси”. Ученые нашли, что общий запас прочности “Муромца” в два раза меньше, чем у аппарата типа “Фарман-30”, коэффициент безопасности составляет 1,5 вместо 3 для малых аппаратов. Комиссия утверждала, что “всякие резкие эволюции на “Муромцах” уже являются для него опасными и поэтому совершенно недопустимыми”. Вывод гласил, что “аппарат с точки зрения прочности в полете опасен”, заказов больше делать не следует и что “лучше выработать новый тип, чем заниматься улучшением “Ильи Муромца”.</w:t>
      </w:r>
    </w:p>
    <w:p w14:paraId="5BAFCD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мнением профессоров ни конструктор, ни летчики эскадры не согласились, считая, что запас прочности у растяжек значительно выше, чем указано комиссией. Капитан А.Н.Журавченко, летавший на тяжелых кораблях в качестве штурмана, заявил в своем докладе, что на “Муромцах” возможно выполнение даже некоторых маневров. Если можно согласиться, что комиссия к оценке запаса прочности самолета подошла чрезмерно осторожно, то все же нельзя не признать, что общий коэффициент безопасности “Муромцев” был небольшим и во всяком случае не превышал 2.</w:t>
      </w:r>
    </w:p>
    <w:p w14:paraId="027CFA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Справедливым было требование комиссии усилить стойки, растяжки и шасси. Однако создатели самолета понимали, что всякое увеличение запаса прочности отдельных частей самолета вызовет увеличение веса и, следовательно, ухудшение летных качеств самолета. Требованиям грузоподъемности и дальности полета в то время придавалось первостепенное значение в сравнении с другими характеристиками. Все улучшения в отношении прочности деталей самолета становились невозможными из-за недостаточной мощности силовых установок. Между тем запас прочности действительно был незначительным и крайне осложнял пилотирование </w:t>
      </w:r>
      <w:r w:rsidRPr="002F2FDF">
        <w:rPr>
          <w:rFonts w:ascii="Times New Roman" w:hAnsi="Times New Roman" w:cs="Times New Roman"/>
          <w:color w:val="000000" w:themeColor="text1"/>
          <w:kern w:val="2"/>
          <w:sz w:val="16"/>
          <w:szCs w:val="16"/>
        </w:rPr>
        <w:lastRenderedPageBreak/>
        <w:t>корабля. По словам летчиков, всякий разворот на “Муромце” приходилось делать осторожно, так как при большом крене длинный и недостаточно жесткий фюзеляж скручивался и стабилизатор получал меньший угол крена, чем крылья. При резком крене существовала даже опасность разрушения самолета.</w:t>
      </w:r>
    </w:p>
    <w:p w14:paraId="0FB08F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Вызванный на заседание комиссии военный летчик эскадры подпоручик Г.В.Янковский доложил комитету о трудностях управления самолетом “Илья Муромец”. Он указал на то, что при посадке приходилось давать команду экипажу перемещаться в хвост корабля, что изменяло его центровку. Из-за больших нагрузок на рули давление на штурвал достигало 70-80 кг, и руль в момент посадки, кроме летчика, тянул также механик или второй пилот. Это происходило из-за отсутствия компенсации на рулях высоты; в то время не знали способа борьбы с этим явлением. Кроме того, контроль за режимом работы двигателей целиком возлагался на бортмеханика. Второй пилот был запасным, так как второго штурвала на самолете не существовало (9705).</w:t>
      </w:r>
    </w:p>
    <w:p w14:paraId="036B05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DED1C8" w14:textId="77777777" w:rsidR="0073361C" w:rsidRPr="002F2FDF" w:rsidRDefault="0073361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Весной 1917 г. второй экземпляр «Двухвостки» с использованием фюзеляжей «Анасалей» оснастили 140-сильными «Сальмсонами». В «Двухвостке Хиони», он же «Анатра» ВХ или «Анадва» конструктор В. Хиони соединил два удлиненных фюзеляжа «Анаде» общим центропланом, наверху которого разместил гондолу для стрелка. Мощности двух 100-сильных «Моносупапов» для такого гибрида явно не хватало.</w:t>
      </w:r>
    </w:p>
    <w:p w14:paraId="5D22E9FA" w14:textId="77777777" w:rsidR="0073361C" w:rsidRPr="002F2FDF" w:rsidRDefault="0073361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Испытания показали, что в таком виде «Анадва», в принципе, может использоваться в качестве бомбардировщика, но его летные данные уже не отвечают требованиям времени. Тем не менее, ввиду отсутствия перспектив получения более современных бомбовозов, «Анатра» в октябре 1917 г. подписала контракт № 101830/29617 на производство полусотни «Двухвосток» для Эскадры воздушных кораблей, который по понятным причинам выполнить не удалось. Пытаясь заинтересовать своим самолетом Морское ведомство, летом 1917 г. Хиони оборудовал опытный экземпляр поплавковым шасси. Но 11 августа машина, управляемая самим конструктором, потерпела аварию при посадке на воду в районе Одессы, что поставило крест на ее морской карьере (12252).</w:t>
      </w:r>
    </w:p>
    <w:p w14:paraId="1F7713A2" w14:textId="77777777" w:rsidR="0073361C" w:rsidRPr="002F2FDF" w:rsidRDefault="0073361C" w:rsidP="0083075A">
      <w:pPr>
        <w:spacing w:after="0" w:line="240" w:lineRule="auto"/>
        <w:jc w:val="both"/>
        <w:rPr>
          <w:rFonts w:ascii="Times New Roman" w:hAnsi="Times New Roman" w:cs="Times New Roman"/>
          <w:color w:val="000000" w:themeColor="text1"/>
          <w:kern w:val="2"/>
          <w:sz w:val="16"/>
          <w:szCs w:val="16"/>
        </w:rPr>
      </w:pPr>
    </w:p>
    <w:p w14:paraId="3638F25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Весной 1917 г. оба проекта - гидро типа М-13 и М-14 “перекочевали” на Опытный завод Д. П. Григоро</w:t>
      </w:r>
      <w:r w:rsidRPr="002F2FDF">
        <w:rPr>
          <w:rFonts w:ascii="Times New Roman" w:hAnsi="Times New Roman" w:cs="Times New Roman"/>
          <w:color w:val="000000" w:themeColor="text1"/>
          <w:kern w:val="2"/>
          <w:sz w:val="16"/>
          <w:szCs w:val="16"/>
        </w:rPr>
        <w:softHyphen/>
        <w:t>вича и трансформировались там, соответственно, в М-19 и М-17 (см. часть 2) (2807).</w:t>
      </w:r>
    </w:p>
    <w:p w14:paraId="41B5A7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F4610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весны 1917 было известно о проблеме, требовавшей разрешения и заключавшнйся в желательности расширения носовой части корпуса М-15. Такая потребность диктовалась стремлением оснастить модель пулеметной установкой турельного типа конструкции Крыльцова, но при этом носо</w:t>
      </w:r>
      <w:r w:rsidRPr="002F2FDF">
        <w:rPr>
          <w:rFonts w:ascii="Times New Roman" w:hAnsi="Times New Roman" w:cs="Times New Roman"/>
          <w:color w:val="000000" w:themeColor="text1"/>
          <w:kern w:val="2"/>
          <w:sz w:val="16"/>
          <w:szCs w:val="16"/>
        </w:rPr>
        <w:softHyphen/>
        <w:t>вым обводам надлежало придать форму, “принятую у быстроходных моторных шлюпок” — весьма противоречивая задача. Две летающие лодки подверглись модификации: самолет с заводским номером 1109, переделанный под руководством черноморского авиатора лейтенанта К. М. Ламанова, и машина с заводским номером 1113, прозванная “аппаратом типа Балтийского моря”. После коротких испыта</w:t>
      </w:r>
      <w:r w:rsidRPr="002F2FDF">
        <w:rPr>
          <w:rFonts w:ascii="Times New Roman" w:hAnsi="Times New Roman" w:cs="Times New Roman"/>
          <w:color w:val="000000" w:themeColor="text1"/>
          <w:kern w:val="2"/>
          <w:sz w:val="16"/>
          <w:szCs w:val="16"/>
        </w:rPr>
        <w:softHyphen/>
        <w:t>ний, выполненных в Севастополе в середине мая, балтийский гидроаэрогшан признали лучшим, и 6 июля завод Щетинина получил инструкции перестроить носы лодок №№ 1115-1119,1121,1122,1124,1125и последующих до 1176 под упомянутую пулеметную установку, тем более что в таком виде они оказыва</w:t>
      </w:r>
      <w:r w:rsidRPr="002F2FDF">
        <w:rPr>
          <w:rFonts w:ascii="Times New Roman" w:hAnsi="Times New Roman" w:cs="Times New Roman"/>
          <w:color w:val="000000" w:themeColor="text1"/>
          <w:kern w:val="2"/>
          <w:sz w:val="16"/>
          <w:szCs w:val="16"/>
        </w:rPr>
        <w:softHyphen/>
        <w:t>лись годными и для пулеметных установок старого образца. Вероятно, корпуса аппаратов с заводскими номерами 1108,1110 и 1111 также были изменены, причем уже в начале апреля.</w:t>
      </w:r>
    </w:p>
    <w:p w14:paraId="6A3A604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Несмотря на все недостатки, М-15 демонстрировал ценные качества, и один из летавших на нем морских авиаторов поручик М. П. Телепнев писал впоследствии:</w:t>
      </w:r>
    </w:p>
    <w:p w14:paraId="5C8C091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“Летающая лодка типа М-15. &lt;...&gt; Вооружена пулеметом "Максим" или "Льюис", бомб около 4 пудов. &lt;...&gt; Предположена установка радиотелеграфа. Для бомбометания имеется при</w:t>
      </w:r>
      <w:r w:rsidRPr="002F2FDF">
        <w:rPr>
          <w:rFonts w:ascii="Times New Roman" w:hAnsi="Times New Roman" w:cs="Times New Roman"/>
          <w:color w:val="000000" w:themeColor="text1"/>
          <w:kern w:val="2"/>
          <w:sz w:val="16"/>
          <w:szCs w:val="16"/>
        </w:rPr>
        <w:softHyphen/>
        <w:t>цел старшего лейтенанта Лишина (С. А. Лишин. —А. А.). В гондоле должны находиться: компас, авиационные приборы и освещет ше. Аппарат более строгий, чем М-9, а потому полет ночью требу</w:t>
      </w:r>
      <w:r w:rsidRPr="002F2FDF">
        <w:rPr>
          <w:rFonts w:ascii="Times New Roman" w:hAnsi="Times New Roman" w:cs="Times New Roman"/>
          <w:color w:val="000000" w:themeColor="text1"/>
          <w:kern w:val="2"/>
          <w:sz w:val="16"/>
          <w:szCs w:val="16"/>
        </w:rPr>
        <w:softHyphen/>
        <w:t>ет большой осторожности.</w:t>
      </w:r>
    </w:p>
    <w:p w14:paraId="0346736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Аппарат предназначается для разведки, которую может периодически вести до 40-50 миль. В исключительно благоприятных случаях при благоприятной погоде может выполнять разведку за участком моря по прямой на 90 миль от своей базы. В разведку может идти даже при возможно</w:t>
      </w:r>
      <w:r w:rsidRPr="002F2FDF">
        <w:rPr>
          <w:rFonts w:ascii="Times New Roman" w:hAnsi="Times New Roman" w:cs="Times New Roman"/>
          <w:color w:val="000000" w:themeColor="text1"/>
          <w:kern w:val="2"/>
          <w:sz w:val="16"/>
          <w:szCs w:val="16"/>
        </w:rPr>
        <w:softHyphen/>
        <w:t>сти контратаки противника, так как по своей скорости представляет тип аппарата средний между разведчиком и истребителем. Вблизи берегов противника принимает бой лишь в случае необходи</w:t>
      </w:r>
      <w:r w:rsidRPr="002F2FDF">
        <w:rPr>
          <w:rFonts w:ascii="Times New Roman" w:hAnsi="Times New Roman" w:cs="Times New Roman"/>
          <w:color w:val="000000" w:themeColor="text1"/>
          <w:kern w:val="2"/>
          <w:sz w:val="16"/>
          <w:szCs w:val="16"/>
        </w:rPr>
        <w:softHyphen/>
        <w:t>мости, тогда как вблизи своих баз может быть применен для охраны и дежурства. Пригоден для разведки на предмет обнаружения подлодок и борьбы с ними, а также для корректировки стрель</w:t>
      </w:r>
      <w:r w:rsidRPr="002F2FDF">
        <w:rPr>
          <w:rFonts w:ascii="Times New Roman" w:hAnsi="Times New Roman" w:cs="Times New Roman"/>
          <w:color w:val="000000" w:themeColor="text1"/>
          <w:kern w:val="2"/>
          <w:sz w:val="16"/>
          <w:szCs w:val="16"/>
        </w:rPr>
        <w:softHyphen/>
        <w:t>бы. При наличии зажигательных пуль или ракет может атаковать цеппелин у наших берегов. При современных условиях войны тип М-15 наиболее отвечает требованиям, предъявляемым аппара</w:t>
      </w:r>
      <w:r w:rsidRPr="002F2FDF">
        <w:rPr>
          <w:rFonts w:ascii="Times New Roman" w:hAnsi="Times New Roman" w:cs="Times New Roman"/>
          <w:color w:val="000000" w:themeColor="text1"/>
          <w:kern w:val="2"/>
          <w:sz w:val="16"/>
          <w:szCs w:val="16"/>
        </w:rPr>
        <w:softHyphen/>
        <w:t>там-разведчикам. Поставленный на лыжи, М-15 может быть использован зимой” (2807).</w:t>
      </w:r>
    </w:p>
    <w:p w14:paraId="40C6166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DB80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Весной 1917 года в Таганроге собрали первый самолет - двухместный французский биплан “Вуазен-LА” конструкции братьев Вуазен. Также до революции успели наладить сборку самолетов “Сопвич-разведчик” с мотором “Клерже”, но основным был Лебедь-12 (11394).</w:t>
      </w:r>
    </w:p>
    <w:p w14:paraId="54E8B8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0553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Весной 1917 года был начат постройкой и собран в ноябре того же года, морской истребитель Виллиша ВМ-5. Он был вывезен на гидродром слишком поздно и не испытывался до самой зимы. Для облета в "сухопутном" варианте к нему пристроили лыжи, однако развернувшиеся в стране драматические события привели к тому, что ВМ-5 в лыжной конфигурации доведен не бьл и не испытывался (11918).</w:t>
      </w:r>
    </w:p>
    <w:p w14:paraId="0A58B2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BEB50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Весной 1917 для организации авиационного производства на бердянском за</w:t>
      </w:r>
      <w:r w:rsidRPr="002F2FDF">
        <w:rPr>
          <w:rFonts w:ascii="Times New Roman" w:hAnsi="Times New Roman" w:cs="Times New Roman"/>
          <w:color w:val="000000" w:themeColor="text1"/>
          <w:kern w:val="2"/>
          <w:sz w:val="16"/>
          <w:szCs w:val="16"/>
        </w:rPr>
        <w:softHyphen/>
        <w:t>воде требовалось провести существенную реконструкцию и расши</w:t>
      </w:r>
      <w:r w:rsidRPr="002F2FDF">
        <w:rPr>
          <w:rFonts w:ascii="Times New Roman" w:hAnsi="Times New Roman" w:cs="Times New Roman"/>
          <w:color w:val="000000" w:themeColor="text1"/>
          <w:kern w:val="2"/>
          <w:sz w:val="16"/>
          <w:szCs w:val="16"/>
        </w:rPr>
        <w:softHyphen/>
        <w:t>рение, под которое решили приобрести новый участок в 75 десятин за пределами города. Там намеревались возвести 2 новых корпуса раз</w:t>
      </w:r>
      <w:r w:rsidRPr="002F2FDF">
        <w:rPr>
          <w:rFonts w:ascii="Times New Roman" w:hAnsi="Times New Roman" w:cs="Times New Roman"/>
          <w:color w:val="000000" w:themeColor="text1"/>
          <w:kern w:val="2"/>
          <w:sz w:val="16"/>
          <w:szCs w:val="16"/>
        </w:rPr>
        <w:softHyphen/>
        <w:t>мером 16x75 саженей каждый, силовую станцию, ангары и оборудо</w:t>
      </w:r>
      <w:r w:rsidRPr="002F2FDF">
        <w:rPr>
          <w:rFonts w:ascii="Times New Roman" w:hAnsi="Times New Roman" w:cs="Times New Roman"/>
          <w:color w:val="000000" w:themeColor="text1"/>
          <w:kern w:val="2"/>
          <w:sz w:val="16"/>
          <w:szCs w:val="16"/>
        </w:rPr>
        <w:softHyphen/>
        <w:t>вать аэродром. Однако это широкомасштабное строительство разво</w:t>
      </w:r>
      <w:r w:rsidRPr="002F2FDF">
        <w:rPr>
          <w:rFonts w:ascii="Times New Roman" w:hAnsi="Times New Roman" w:cs="Times New Roman"/>
          <w:color w:val="000000" w:themeColor="text1"/>
          <w:kern w:val="2"/>
          <w:sz w:val="16"/>
          <w:szCs w:val="16"/>
        </w:rPr>
        <w:softHyphen/>
        <w:t>рачивалось весьма медленно, зато в апреле уже вовсю велась рекон</w:t>
      </w:r>
      <w:r w:rsidRPr="002F2FDF">
        <w:rPr>
          <w:rFonts w:ascii="Times New Roman" w:hAnsi="Times New Roman" w:cs="Times New Roman"/>
          <w:color w:val="000000" w:themeColor="text1"/>
          <w:kern w:val="2"/>
          <w:sz w:val="16"/>
          <w:szCs w:val="16"/>
        </w:rPr>
        <w:softHyphen/>
        <w:t>струкция на старой территории по ул. Воронцовской, где в том числе сооружали временный сборочный корпус. Предполагалось, что имев</w:t>
      </w:r>
      <w:r w:rsidRPr="002F2FDF">
        <w:rPr>
          <w:rFonts w:ascii="Times New Roman" w:hAnsi="Times New Roman" w:cs="Times New Roman"/>
          <w:color w:val="000000" w:themeColor="text1"/>
          <w:kern w:val="2"/>
          <w:sz w:val="16"/>
          <w:szCs w:val="16"/>
        </w:rPr>
        <w:softHyphen/>
        <w:t>шееся оборудование позволит при получении материалов приступить к выпуску самолетов уже в июле 1917 г., постепенно увеличивая про</w:t>
      </w:r>
      <w:r w:rsidRPr="002F2FDF">
        <w:rPr>
          <w:rFonts w:ascii="Times New Roman" w:hAnsi="Times New Roman" w:cs="Times New Roman"/>
          <w:color w:val="000000" w:themeColor="text1"/>
          <w:kern w:val="2"/>
          <w:sz w:val="16"/>
          <w:szCs w:val="16"/>
        </w:rPr>
        <w:softHyphen/>
        <w:t>изводительность предприятия по мере ввода новых мощностей (11154).</w:t>
      </w:r>
    </w:p>
    <w:p w14:paraId="3A32DBC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272BA7" w14:textId="40B55DAB" w:rsidR="008A5E89" w:rsidRPr="002F2FDF" w:rsidRDefault="008A5E89" w:rsidP="0083075A">
      <w:pPr>
        <w:shd w:val="clear" w:color="auto" w:fill="FFFFFF"/>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Весной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согласно воспоминаниям А.Н.Т.: «Думаю, что по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рекомендации Жуковского, когда предприниматель по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постройке самолетов (а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это время уже начали строить самолеты,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основном по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заграничным лицензиям) решил строить гидросамолет, я</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стал работать по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проектированию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постройке гидросамолета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заводе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Дукс</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Конечно, опыт у</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меня был ничтожен, но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охота была очень большая. Ну, понемножку создалось конструкторское бюро. Большинство людей было совершенно новых, но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были несколько человек, которые уже раньше работали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конструкторском бюро. Начали строить гидросамолет.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это время технический директор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Дукса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приехал из</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Франции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привез патент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постройку французского гидросамолета. Меня даже не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вызвали, не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сказали, что не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будут строить спроектированный мною гидросамолет, 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просто через третьих лиц стало известно, что строить будут заграничный, по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привезенным чертежам, 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нашу работу делать не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будут. Я</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был молодой, обиделся, забрал свои чертежики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вернулся обратно,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Техническое училище. Так кончилась моя первая самостоятельная работа по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авиации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старое время." (15219).</w:t>
      </w:r>
    </w:p>
    <w:p w14:paraId="15C279E4" w14:textId="77777777" w:rsidR="008A5E89" w:rsidRPr="002F2FDF" w:rsidRDefault="008A5E89"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60CAD999" w14:textId="77777777" w:rsidR="008A5E89" w:rsidRPr="002F2FDF" w:rsidRDefault="008A5E89"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Весной 1917 г. шли работы по гидроавиации на «Дуксе», о которых незадолго до своей смерти вспоминал А.Н.Туполев: «Думаю, что по рекомендации Жуковского, когда предприниматель по постройке самолетов (а в это время уже начали строить самолеты. в основном по заграничным лицензиям) решил строить гидросамолет, я стал работать по проектированию и по постройке гидросамолета на заводе «Дукс». Конечно, опыт у меня был ничтожен, но охота была очень большая. Ну, понемножку создалось конструкторское бюро. Большинство людей было совершенно новых, но были несколько человек, которые уже раньше работали в конструкторском бюро. Начали строить гидросамолет. В это время технический директор «Дукса» приехал из Франции и привез патент на постройку французского гидросамолета. Меня даже не вызвали, не сказали, что не будут строить спроектированный мною гидросамолет. а просто через третьих лиц стало известно, что строить будут заграничный, по привезенным чертежам, а нашу работу делать не будут. Я был молодой, обиделся, забрал свои чертежики и вернулся обратно, в Техническое училище. Так кончилась моя первая самостоятельная работа по авиации в старое время.» (15464).</w:t>
      </w:r>
    </w:p>
    <w:p w14:paraId="610A9E25" w14:textId="77777777" w:rsidR="008A5E89" w:rsidRPr="002F2FDF" w:rsidRDefault="008A5E89" w:rsidP="0083075A">
      <w:pPr>
        <w:pStyle w:val="2"/>
        <w:spacing w:before="0" w:beforeAutospacing="0" w:after="0" w:afterAutospacing="0"/>
        <w:jc w:val="both"/>
        <w:rPr>
          <w:b w:val="0"/>
          <w:color w:val="000000" w:themeColor="text1"/>
          <w:kern w:val="2"/>
          <w:sz w:val="16"/>
          <w:szCs w:val="16"/>
        </w:rPr>
      </w:pPr>
    </w:p>
    <w:p w14:paraId="4E75DE5F" w14:textId="77777777" w:rsidR="00EC0E98" w:rsidRPr="002F2FDF" w:rsidRDefault="00EC0E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Весной 1917 г. в УВВФ возникли сомнения в целесообразности постройки самолетов Ботезата. Они имели силовые установки с толкающими винта</w:t>
      </w:r>
      <w:r w:rsidRPr="002F2FDF">
        <w:rPr>
          <w:rFonts w:ascii="Times New Roman" w:hAnsi="Times New Roman" w:cs="Times New Roman"/>
          <w:color w:val="000000" w:themeColor="text1"/>
          <w:kern w:val="2"/>
          <w:sz w:val="16"/>
          <w:szCs w:val="16"/>
        </w:rPr>
        <w:softHyphen/>
        <w:t>ми, что, по мнению заказчика, осложняло защиту задней полусферы в боевых условиях. Несмотря на широкое применение на фронте «Фарманов» и «Вуазенов», которые имели такую же схему, она считалась к тому времени уже ус</w:t>
      </w:r>
      <w:r w:rsidRPr="002F2FDF">
        <w:rPr>
          <w:rFonts w:ascii="Times New Roman" w:hAnsi="Times New Roman" w:cs="Times New Roman"/>
          <w:color w:val="000000" w:themeColor="text1"/>
          <w:kern w:val="2"/>
          <w:sz w:val="16"/>
          <w:szCs w:val="16"/>
        </w:rPr>
        <w:softHyphen/>
        <w:t>таревшей. Возмущенный решением УВВФ Ботезат заявил на заседании Техническо</w:t>
      </w:r>
      <w:r w:rsidRPr="002F2FDF">
        <w:rPr>
          <w:rFonts w:ascii="Times New Roman" w:hAnsi="Times New Roman" w:cs="Times New Roman"/>
          <w:color w:val="000000" w:themeColor="text1"/>
          <w:kern w:val="2"/>
          <w:sz w:val="16"/>
          <w:szCs w:val="16"/>
        </w:rPr>
        <w:softHyphen/>
        <w:t>го комитета, что, «прежде чем критиковать машину, надо ее достроить и испы</w:t>
      </w:r>
      <w:r w:rsidRPr="002F2FDF">
        <w:rPr>
          <w:rFonts w:ascii="Times New Roman" w:hAnsi="Times New Roman" w:cs="Times New Roman"/>
          <w:color w:val="000000" w:themeColor="text1"/>
          <w:kern w:val="2"/>
          <w:sz w:val="16"/>
          <w:szCs w:val="16"/>
        </w:rPr>
        <w:softHyphen/>
        <w:t>тать. Маневренному истребителю вовсе не обязательно иметь пулемет на</w:t>
      </w:r>
      <w:r w:rsidRPr="002F2FDF">
        <w:rPr>
          <w:rFonts w:ascii="Times New Roman" w:hAnsi="Times New Roman" w:cs="Times New Roman"/>
          <w:color w:val="000000" w:themeColor="text1"/>
          <w:kern w:val="2"/>
          <w:sz w:val="16"/>
          <w:szCs w:val="16"/>
        </w:rPr>
        <w:softHyphen/>
        <w:t>зад», — утверждал ученый. Кроме того, по просьбе своего старого знакомо</w:t>
      </w:r>
      <w:r w:rsidRPr="002F2FDF">
        <w:rPr>
          <w:rFonts w:ascii="Times New Roman" w:hAnsi="Times New Roman" w:cs="Times New Roman"/>
          <w:color w:val="000000" w:themeColor="text1"/>
          <w:kern w:val="2"/>
          <w:sz w:val="16"/>
          <w:szCs w:val="16"/>
        </w:rPr>
        <w:softHyphen/>
        <w:t>го, полковника А. Н. Вегенера, он разработал вариант переоснащения своего «истребителя» в «летающую лабораторию» для проведения различных экспериментов на Главном аэродроме. Что касается второго самолета, то Ботезат представил проекты его оснаще</w:t>
      </w:r>
      <w:r w:rsidRPr="002F2FDF">
        <w:rPr>
          <w:rFonts w:ascii="Times New Roman" w:hAnsi="Times New Roman" w:cs="Times New Roman"/>
          <w:color w:val="000000" w:themeColor="text1"/>
          <w:kern w:val="2"/>
          <w:sz w:val="16"/>
          <w:szCs w:val="16"/>
        </w:rPr>
        <w:softHyphen/>
        <w:t>ния тянущей винтомоторной группой в носу фюзеляжа или двумя дополни</w:t>
      </w:r>
      <w:r w:rsidRPr="002F2FDF">
        <w:rPr>
          <w:rFonts w:ascii="Times New Roman" w:hAnsi="Times New Roman" w:cs="Times New Roman"/>
          <w:color w:val="000000" w:themeColor="text1"/>
          <w:kern w:val="2"/>
          <w:sz w:val="16"/>
          <w:szCs w:val="16"/>
        </w:rPr>
        <w:softHyphen/>
        <w:t>тельными группами на крыльях, по бокам гондолы. В первом проекте стрелок размещался в задней части гондолы, во втором же варианте, представлявшем собой уже принципиально новый тип трехмоторного бомбардровщика, стрелки размещались в носу фюзеляжа и в задних частях крыльевых мотогондол. Рас</w:t>
      </w:r>
      <w:r w:rsidRPr="002F2FDF">
        <w:rPr>
          <w:rFonts w:ascii="Times New Roman" w:hAnsi="Times New Roman" w:cs="Times New Roman"/>
          <w:color w:val="000000" w:themeColor="text1"/>
          <w:kern w:val="2"/>
          <w:sz w:val="16"/>
          <w:szCs w:val="16"/>
        </w:rPr>
        <w:softHyphen/>
        <w:t>сматривал Георгий Александрович и схему с двумя винтомоторными силовы</w:t>
      </w:r>
      <w:r w:rsidRPr="002F2FDF">
        <w:rPr>
          <w:rFonts w:ascii="Times New Roman" w:hAnsi="Times New Roman" w:cs="Times New Roman"/>
          <w:color w:val="000000" w:themeColor="text1"/>
          <w:kern w:val="2"/>
          <w:sz w:val="16"/>
          <w:szCs w:val="16"/>
        </w:rPr>
        <w:softHyphen/>
        <w:t>ми установками, располагающимися спереди и сзади центральной мотогон</w:t>
      </w:r>
      <w:r w:rsidRPr="002F2FDF">
        <w:rPr>
          <w:rFonts w:ascii="Times New Roman" w:hAnsi="Times New Roman" w:cs="Times New Roman"/>
          <w:color w:val="000000" w:themeColor="text1"/>
          <w:kern w:val="2"/>
          <w:sz w:val="16"/>
          <w:szCs w:val="16"/>
        </w:rPr>
        <w:softHyphen/>
        <w:t>долы (15740).</w:t>
      </w:r>
    </w:p>
    <w:p w14:paraId="1AE0D05C" w14:textId="77777777" w:rsidR="00EC0E98" w:rsidRPr="002F2FDF" w:rsidRDefault="00EC0E98" w:rsidP="0083075A">
      <w:pPr>
        <w:spacing w:after="0" w:line="240" w:lineRule="auto"/>
        <w:jc w:val="both"/>
        <w:rPr>
          <w:rFonts w:ascii="Times New Roman" w:hAnsi="Times New Roman" w:cs="Times New Roman"/>
          <w:color w:val="000000" w:themeColor="text1"/>
          <w:kern w:val="2"/>
          <w:sz w:val="16"/>
          <w:szCs w:val="16"/>
        </w:rPr>
      </w:pPr>
    </w:p>
    <w:p w14:paraId="2873378A" w14:textId="77777777" w:rsidR="00C74A63" w:rsidRPr="00FB4F67" w:rsidRDefault="00C74A6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Весной 1917 была подготовлена справка, согласно которой завод Моска находился «в селе Всехсвятском, за Петровским парком, в 20 минутах ходьбы от конечной остановки трамваев №6 и №13 (расстояние около 2 верст) и 1,5 верст от «Подмосковной станции» Виндавско-Рыбинской железной дороги». В той же справке указывался и адрес пред</w:t>
      </w:r>
      <w:r w:rsidRPr="00FB4F67">
        <w:rPr>
          <w:rFonts w:ascii="Times New Roman" w:hAnsi="Times New Roman" w:cs="Times New Roman"/>
          <w:color w:val="0070C0"/>
          <w:sz w:val="16"/>
          <w:szCs w:val="16"/>
        </w:rPr>
        <w:softHyphen/>
        <w:t>приятия: Москва, 5-7 почтовое отделение, Новопроектированный переулок, д.21. Спу</w:t>
      </w:r>
      <w:r w:rsidRPr="00FB4F67">
        <w:rPr>
          <w:rFonts w:ascii="Times New Roman" w:hAnsi="Times New Roman" w:cs="Times New Roman"/>
          <w:color w:val="0070C0"/>
          <w:sz w:val="16"/>
          <w:szCs w:val="16"/>
        </w:rPr>
        <w:softHyphen/>
        <w:t>стя годы переулок стал называться Авиа</w:t>
      </w:r>
      <w:r w:rsidRPr="00FB4F67">
        <w:rPr>
          <w:rFonts w:ascii="Times New Roman" w:hAnsi="Times New Roman" w:cs="Times New Roman"/>
          <w:color w:val="0070C0"/>
          <w:sz w:val="16"/>
          <w:szCs w:val="16"/>
        </w:rPr>
        <w:softHyphen/>
        <w:t xml:space="preserve">ционным, </w:t>
      </w:r>
      <w:r w:rsidRPr="00FB4F67">
        <w:rPr>
          <w:rFonts w:ascii="Times New Roman" w:hAnsi="Times New Roman" w:cs="Times New Roman"/>
          <w:color w:val="0070C0"/>
          <w:sz w:val="16"/>
          <w:szCs w:val="16"/>
        </w:rPr>
        <w:lastRenderedPageBreak/>
        <w:t>предприятие именовалось сна</w:t>
      </w:r>
      <w:r w:rsidRPr="00FB4F67">
        <w:rPr>
          <w:rFonts w:ascii="Times New Roman" w:hAnsi="Times New Roman" w:cs="Times New Roman"/>
          <w:color w:val="0070C0"/>
          <w:sz w:val="16"/>
          <w:szCs w:val="16"/>
        </w:rPr>
        <w:softHyphen/>
        <w:t>чала авиазаводом №25, а затем, после объединения, авиазаводом № 39. Расширение производства на заводе Моска связано было с очередными заказа</w:t>
      </w:r>
      <w:r w:rsidRPr="00FB4F67">
        <w:rPr>
          <w:rFonts w:ascii="Times New Roman" w:hAnsi="Times New Roman" w:cs="Times New Roman"/>
          <w:color w:val="0070C0"/>
          <w:sz w:val="16"/>
          <w:szCs w:val="16"/>
        </w:rPr>
        <w:softHyphen/>
        <w:t>ми, полученными от военного ведомства (23374).</w:t>
      </w:r>
    </w:p>
    <w:p w14:paraId="67267A47" w14:textId="77777777" w:rsidR="00C74A63" w:rsidRPr="00FB4F67" w:rsidRDefault="00C74A63" w:rsidP="0083075A">
      <w:pPr>
        <w:spacing w:after="0" w:line="240" w:lineRule="auto"/>
        <w:jc w:val="both"/>
        <w:rPr>
          <w:rFonts w:ascii="Times New Roman" w:hAnsi="Times New Roman" w:cs="Times New Roman"/>
          <w:color w:val="0070C0"/>
          <w:sz w:val="16"/>
          <w:szCs w:val="16"/>
        </w:rPr>
      </w:pPr>
    </w:p>
    <w:p w14:paraId="567CDF7F" w14:textId="77777777" w:rsidR="00EC0E98" w:rsidRPr="002F2FDF" w:rsidRDefault="00EC0E98"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Весной 1917 г. Григорашвили начал разработку винта Г-50, который завершил ряд конструкций винтов. Винты предназначались для истребителей «Ньюпор» различного типа, поступавших в большом числе в авиацию Балтийского флота. Управление морской авиа</w:t>
      </w:r>
      <w:r w:rsidRPr="002F2FDF">
        <w:rPr>
          <w:rFonts w:ascii="Times New Roman" w:hAnsi="Times New Roman" w:cs="Times New Roman"/>
          <w:color w:val="000000" w:themeColor="text1"/>
          <w:kern w:val="2"/>
          <w:sz w:val="16"/>
          <w:szCs w:val="16"/>
        </w:rPr>
        <w:softHyphen/>
        <w:t>ции потребовало от фирмы «Мельцер» наладить производство таких винтов в счет «условного» заказа. В качестве образцов предлагались французские вин</w:t>
      </w:r>
      <w:r w:rsidRPr="002F2FDF">
        <w:rPr>
          <w:rFonts w:ascii="Times New Roman" w:hAnsi="Times New Roman" w:cs="Times New Roman"/>
          <w:color w:val="000000" w:themeColor="text1"/>
          <w:kern w:val="2"/>
          <w:sz w:val="16"/>
          <w:szCs w:val="16"/>
        </w:rPr>
        <w:softHyphen/>
        <w:t>ты типа «Режи» и «Левассер». Однако Григорашвили уже в июле представил на испытания несколько «истребительных» воздушных винтов с различными параметрами. После опробования в воздухе винты были рекомендованы к ус</w:t>
      </w:r>
      <w:r w:rsidRPr="002F2FDF">
        <w:rPr>
          <w:rFonts w:ascii="Times New Roman" w:hAnsi="Times New Roman" w:cs="Times New Roman"/>
          <w:color w:val="000000" w:themeColor="text1"/>
          <w:kern w:val="2"/>
          <w:sz w:val="16"/>
          <w:szCs w:val="16"/>
        </w:rPr>
        <w:softHyphen/>
        <w:t>тановке на истребители «Ньюпор-10», -11 и -17 (15740).</w:t>
      </w:r>
    </w:p>
    <w:p w14:paraId="0F96E9B3" w14:textId="77777777" w:rsidR="00EC0E98" w:rsidRPr="002F2FDF" w:rsidRDefault="00EC0E98"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2B90345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Весной 1917 г. начались работы по реконструкции существовавших зданий и строительству новых, в кроме того, решением УВВФ новому заводу были переданы производ</w:t>
      </w:r>
      <w:r w:rsidRPr="002F2FDF">
        <w:rPr>
          <w:rFonts w:ascii="Times New Roman" w:hAnsi="Times New Roman" w:cs="Times New Roman"/>
          <w:color w:val="000000" w:themeColor="text1"/>
          <w:kern w:val="2"/>
          <w:sz w:val="16"/>
          <w:szCs w:val="16"/>
        </w:rPr>
        <w:softHyphen/>
        <w:t>ственные мастерские ШШС л большая группа ИТР и рабочих. Управление Боенно-Воздушного Флота (УВВС) приняло решение создать завод по производству авиационных приборов в конце 1916. Специальная комиссия, созданная для выработки предложений по органи</w:t>
      </w:r>
      <w:r w:rsidRPr="002F2FDF">
        <w:rPr>
          <w:rFonts w:ascii="Times New Roman" w:hAnsi="Times New Roman" w:cs="Times New Roman"/>
          <w:color w:val="000000" w:themeColor="text1"/>
          <w:kern w:val="2"/>
          <w:sz w:val="16"/>
          <w:szCs w:val="16"/>
        </w:rPr>
        <w:softHyphen/>
        <w:t>зации производственной базы, выбрала в качестве местонахождения бу</w:t>
      </w:r>
      <w:r w:rsidRPr="002F2FDF">
        <w:rPr>
          <w:rFonts w:ascii="Times New Roman" w:hAnsi="Times New Roman" w:cs="Times New Roman"/>
          <w:color w:val="000000" w:themeColor="text1"/>
          <w:kern w:val="2"/>
          <w:sz w:val="16"/>
          <w:szCs w:val="16"/>
        </w:rPr>
        <w:softHyphen/>
        <w:t xml:space="preserve">дущего завода город Москву, для чего УВВФ приобрело участок у князей Кантакузиных и графов Сперанских. Запустить завод на полную мощность планировалось с </w:t>
      </w:r>
      <w:r w:rsidRPr="002F2FDF">
        <w:rPr>
          <w:rFonts w:ascii="Times New Roman" w:hAnsi="Times New Roman" w:cs="Times New Roman"/>
          <w:iCs/>
          <w:color w:val="000000" w:themeColor="text1"/>
          <w:kern w:val="2"/>
          <w:sz w:val="16"/>
          <w:szCs w:val="16"/>
        </w:rPr>
        <w:t xml:space="preserve">I </w:t>
      </w:r>
      <w:r w:rsidRPr="002F2FDF">
        <w:rPr>
          <w:rFonts w:ascii="Times New Roman" w:hAnsi="Times New Roman" w:cs="Times New Roman"/>
          <w:color w:val="000000" w:themeColor="text1"/>
          <w:kern w:val="2"/>
          <w:sz w:val="16"/>
          <w:szCs w:val="16"/>
        </w:rPr>
        <w:t>января 1918 г. (110009).</w:t>
      </w:r>
    </w:p>
    <w:p w14:paraId="5634F64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D8C14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3E7AD5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4BFF8F" w14:textId="77777777" w:rsidR="00714CB5" w:rsidRPr="002F2FDF" w:rsidRDefault="00714CB5"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Весной 1917 г. комиссия Маниковского, пытавшаяся затормозить ликвидацию заводских строек ГАУ, высказалась за продолжение строительства тульского пулеметного завода, но отсутствие средств этому помешало (18409).</w:t>
      </w:r>
    </w:p>
    <w:p w14:paraId="4397CE64" w14:textId="77777777" w:rsidR="00714CB5" w:rsidRPr="002F2FDF" w:rsidRDefault="00714CB5" w:rsidP="0083075A">
      <w:pPr>
        <w:pStyle w:val="p1"/>
        <w:spacing w:before="0" w:beforeAutospacing="0" w:after="0" w:afterAutospacing="0"/>
        <w:jc w:val="both"/>
        <w:rPr>
          <w:color w:val="000000" w:themeColor="text1"/>
          <w:sz w:val="16"/>
          <w:szCs w:val="16"/>
        </w:rPr>
      </w:pPr>
    </w:p>
    <w:p w14:paraId="31D5AA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Весной 1917 года завод № 11 (в будущем Министерства общего машиностроения) начал работать.</w:t>
      </w:r>
    </w:p>
    <w:p w14:paraId="6CEA42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Начало строительства завода относится к осени 1915 года. С сентября 1923 года по 1928 год завод был законсервирован. С 1929 года по 1941 год проводилась большая реконструкция завода. С 16 октября 1941 года завод прекратил работу и эвакуировал все оборудование на Восток. С 18 ноября 1941 года началось восстановление завода и частично возобновилось производство.</w:t>
      </w:r>
    </w:p>
    <w:p w14:paraId="7215E4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Нормально завод начал работать с 1942 года. С 1917 по 1920 гг. завод носил название “Троицкий снаряжательный завод”. В 1920 году был переименован и до 1927 года имел название “Завод Красная ракета”. В 1927 году завод был вновь переименован и получил название “Сергиевский завод № 11”, позднее, в 1932 году слово “Сергиевский” из наименования завода было изъято.</w:t>
      </w:r>
    </w:p>
    <w:p w14:paraId="4CF36A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Поселок завода с 1940 года стал именоваться городом Краснозаводск (10023).</w:t>
      </w:r>
    </w:p>
    <w:p w14:paraId="31567C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EFE53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весны 1917 г. русская артиллерия стала получать также хими</w:t>
      </w:r>
      <w:r w:rsidRPr="002F2FDF">
        <w:rPr>
          <w:rFonts w:ascii="Times New Roman" w:hAnsi="Times New Roman" w:cs="Times New Roman"/>
          <w:color w:val="000000" w:themeColor="text1"/>
          <w:kern w:val="2"/>
          <w:sz w:val="16"/>
          <w:szCs w:val="16"/>
        </w:rPr>
        <w:softHyphen/>
        <w:t>ческие мины для минометов, вмещавшие больше отравляющего ве</w:t>
      </w:r>
      <w:r w:rsidRPr="002F2FDF">
        <w:rPr>
          <w:rFonts w:ascii="Times New Roman" w:hAnsi="Times New Roman" w:cs="Times New Roman"/>
          <w:color w:val="000000" w:themeColor="text1"/>
          <w:kern w:val="2"/>
          <w:sz w:val="16"/>
          <w:szCs w:val="16"/>
        </w:rPr>
        <w:softHyphen/>
        <w:t>щества (до 50 % общей массы снаряда против 10 % у 76-мм химиче</w:t>
      </w:r>
      <w:r w:rsidRPr="002F2FDF">
        <w:rPr>
          <w:rFonts w:ascii="Times New Roman" w:hAnsi="Times New Roman" w:cs="Times New Roman"/>
          <w:color w:val="000000" w:themeColor="text1"/>
          <w:kern w:val="2"/>
          <w:sz w:val="16"/>
          <w:szCs w:val="16"/>
        </w:rPr>
        <w:softHyphen/>
        <w:t>ских снарядов) [4, с. 317]. После того как в январе 1915 г. с фронта поступили сообщения о применении немцами снарядов с отравляющими веществами и дымо</w:t>
      </w:r>
      <w:r w:rsidRPr="002F2FDF">
        <w:rPr>
          <w:rFonts w:ascii="Times New Roman" w:hAnsi="Times New Roman" w:cs="Times New Roman"/>
          <w:color w:val="000000" w:themeColor="text1"/>
          <w:kern w:val="2"/>
          <w:sz w:val="16"/>
          <w:szCs w:val="16"/>
        </w:rPr>
        <w:softHyphen/>
        <w:t>вых снарядов, в России были предприняты работы по созданию ана</w:t>
      </w:r>
      <w:r w:rsidRPr="002F2FDF">
        <w:rPr>
          <w:rFonts w:ascii="Times New Roman" w:hAnsi="Times New Roman" w:cs="Times New Roman"/>
          <w:color w:val="000000" w:themeColor="text1"/>
          <w:kern w:val="2"/>
          <w:sz w:val="16"/>
          <w:szCs w:val="16"/>
        </w:rPr>
        <w:softHyphen/>
        <w:t>логичных средств борьбы. С1916 г. в России начали изготовлять 76-мм гранаты с ОВ двух типов: удушающие (с хлорпикрином) и ядовитые (с фосгеном). Сосени 1916 г. требования действующей русской армии на 76-мм химические снаряды удовлетворялись пол</w:t>
      </w:r>
      <w:r w:rsidRPr="002F2FDF">
        <w:rPr>
          <w:rFonts w:ascii="Times New Roman" w:hAnsi="Times New Roman" w:cs="Times New Roman"/>
          <w:color w:val="000000" w:themeColor="text1"/>
          <w:kern w:val="2"/>
          <w:sz w:val="16"/>
          <w:szCs w:val="16"/>
        </w:rPr>
        <w:softHyphen/>
        <w:t>ностью (5484).</w:t>
      </w:r>
    </w:p>
    <w:p w14:paraId="57387E3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4ECFA9"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Весной 1917 г. на особом совещании при ВПК с участием представителей Ми</w:t>
      </w:r>
      <w:r w:rsidRPr="002F2FDF">
        <w:rPr>
          <w:rFonts w:ascii="Times New Roman" w:hAnsi="Times New Roman" w:cs="Times New Roman"/>
          <w:color w:val="000000" w:themeColor="text1"/>
          <w:kern w:val="2"/>
          <w:sz w:val="16"/>
          <w:szCs w:val="16"/>
        </w:rPr>
        <w:softHyphen/>
        <w:t>нистерства земледелия, Военного мини</w:t>
      </w:r>
      <w:r w:rsidRPr="002F2FDF">
        <w:rPr>
          <w:rFonts w:ascii="Times New Roman" w:hAnsi="Times New Roman" w:cs="Times New Roman"/>
          <w:color w:val="000000" w:themeColor="text1"/>
          <w:kern w:val="2"/>
          <w:sz w:val="16"/>
          <w:szCs w:val="16"/>
        </w:rPr>
        <w:softHyphen/>
        <w:t>стерства, Министерства путей сообщения, Земского и городского союза (Земгор) и Русского автомобильного общества (РАО) впервые в государственном масштабе изу</w:t>
      </w:r>
      <w:r w:rsidRPr="002F2FDF">
        <w:rPr>
          <w:rFonts w:ascii="Times New Roman" w:hAnsi="Times New Roman" w:cs="Times New Roman"/>
          <w:color w:val="000000" w:themeColor="text1"/>
          <w:kern w:val="2"/>
          <w:sz w:val="16"/>
          <w:szCs w:val="16"/>
        </w:rPr>
        <w:softHyphen/>
        <w:t>чалась возможность организации произ</w:t>
      </w:r>
      <w:r w:rsidRPr="002F2FDF">
        <w:rPr>
          <w:rFonts w:ascii="Times New Roman" w:hAnsi="Times New Roman" w:cs="Times New Roman"/>
          <w:color w:val="000000" w:themeColor="text1"/>
          <w:kern w:val="2"/>
          <w:sz w:val="16"/>
          <w:szCs w:val="16"/>
        </w:rPr>
        <w:softHyphen/>
        <w:t>водства гусеничных тракторов в России. Ко</w:t>
      </w:r>
      <w:r w:rsidRPr="002F2FDF">
        <w:rPr>
          <w:rFonts w:ascii="Times New Roman" w:hAnsi="Times New Roman" w:cs="Times New Roman"/>
          <w:color w:val="000000" w:themeColor="text1"/>
          <w:kern w:val="2"/>
          <w:sz w:val="16"/>
          <w:szCs w:val="16"/>
        </w:rPr>
        <w:softHyphen/>
        <w:t>миссия постановила, что отечественные гу</w:t>
      </w:r>
      <w:r w:rsidRPr="002F2FDF">
        <w:rPr>
          <w:rFonts w:ascii="Times New Roman" w:hAnsi="Times New Roman" w:cs="Times New Roman"/>
          <w:color w:val="000000" w:themeColor="text1"/>
          <w:kern w:val="2"/>
          <w:sz w:val="16"/>
          <w:szCs w:val="16"/>
        </w:rPr>
        <w:softHyphen/>
        <w:t>сеничные тракторы крайне необходимы как для сельского хозяйства, так и для общего и военного транспорта. Общая цифра еди</w:t>
      </w:r>
      <w:r w:rsidRPr="002F2FDF">
        <w:rPr>
          <w:rFonts w:ascii="Times New Roman" w:hAnsi="Times New Roman" w:cs="Times New Roman"/>
          <w:color w:val="000000" w:themeColor="text1"/>
          <w:kern w:val="2"/>
          <w:sz w:val="16"/>
          <w:szCs w:val="16"/>
        </w:rPr>
        <w:softHyphen/>
        <w:t>новременной потребности в тракторах была определена в 20000 шт. с тем, чтобы еже</w:t>
      </w:r>
      <w:r w:rsidRPr="002F2FDF">
        <w:rPr>
          <w:rFonts w:ascii="Times New Roman" w:hAnsi="Times New Roman" w:cs="Times New Roman"/>
          <w:color w:val="000000" w:themeColor="text1"/>
          <w:kern w:val="2"/>
          <w:sz w:val="16"/>
          <w:szCs w:val="16"/>
        </w:rPr>
        <w:softHyphen/>
        <w:t>годно в России изготавливалось не менее 4000 машин. Планировалось также закупить за рубежом 2800 тракторов с четырьмя ве</w:t>
      </w:r>
      <w:r w:rsidRPr="002F2FDF">
        <w:rPr>
          <w:rFonts w:ascii="Times New Roman" w:hAnsi="Times New Roman" w:cs="Times New Roman"/>
          <w:color w:val="000000" w:themeColor="text1"/>
          <w:kern w:val="2"/>
          <w:sz w:val="16"/>
          <w:szCs w:val="16"/>
        </w:rPr>
        <w:softHyphen/>
        <w:t>дущими колесами. Обсуждался вопрос и об организации постройки тракторов в Рос</w:t>
      </w:r>
      <w:r w:rsidRPr="002F2FDF">
        <w:rPr>
          <w:rFonts w:ascii="Times New Roman" w:hAnsi="Times New Roman" w:cs="Times New Roman"/>
          <w:color w:val="000000" w:themeColor="text1"/>
          <w:kern w:val="2"/>
          <w:sz w:val="16"/>
          <w:szCs w:val="16"/>
        </w:rPr>
        <w:softHyphen/>
        <w:t>сии путем привлечения к этому загранич</w:t>
      </w:r>
      <w:r w:rsidRPr="002F2FDF">
        <w:rPr>
          <w:rFonts w:ascii="Times New Roman" w:hAnsi="Times New Roman" w:cs="Times New Roman"/>
          <w:color w:val="000000" w:themeColor="text1"/>
          <w:kern w:val="2"/>
          <w:sz w:val="16"/>
          <w:szCs w:val="16"/>
        </w:rPr>
        <w:softHyphen/>
        <w:t>ных заводов. Из-за глубокого экономичес</w:t>
      </w:r>
      <w:r w:rsidRPr="002F2FDF">
        <w:rPr>
          <w:rFonts w:ascii="Times New Roman" w:hAnsi="Times New Roman" w:cs="Times New Roman"/>
          <w:color w:val="000000" w:themeColor="text1"/>
          <w:kern w:val="2"/>
          <w:sz w:val="16"/>
          <w:szCs w:val="16"/>
        </w:rPr>
        <w:softHyphen/>
        <w:t>кого и политического кризиса все эти на</w:t>
      </w:r>
      <w:r w:rsidRPr="002F2FDF">
        <w:rPr>
          <w:rFonts w:ascii="Times New Roman" w:hAnsi="Times New Roman" w:cs="Times New Roman"/>
          <w:color w:val="000000" w:themeColor="text1"/>
          <w:kern w:val="2"/>
          <w:sz w:val="16"/>
          <w:szCs w:val="16"/>
        </w:rPr>
        <w:softHyphen/>
        <w:t>чинания не были реализованы.</w:t>
      </w:r>
    </w:p>
    <w:p w14:paraId="43814B67"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Кроме того, в нашей стране в период становления тракторной отрасли велось про- ектировние и оригинальных конструкций. В частности, П.В. Бехтерев и ГД Дубелир в своей работе «Организация перевозки гру</w:t>
      </w:r>
      <w:r w:rsidRPr="002F2FDF">
        <w:rPr>
          <w:rFonts w:ascii="Times New Roman" w:hAnsi="Times New Roman" w:cs="Times New Roman"/>
          <w:color w:val="000000" w:themeColor="text1"/>
          <w:kern w:val="2"/>
          <w:sz w:val="16"/>
          <w:szCs w:val="16"/>
        </w:rPr>
        <w:softHyphen/>
        <w:t>зов и пассажиров по грунтовым дорогам» теоретически показали возможность созда</w:t>
      </w:r>
      <w:r w:rsidRPr="002F2FDF">
        <w:rPr>
          <w:rFonts w:ascii="Times New Roman" w:hAnsi="Times New Roman" w:cs="Times New Roman"/>
          <w:color w:val="000000" w:themeColor="text1"/>
          <w:kern w:val="2"/>
          <w:sz w:val="16"/>
          <w:szCs w:val="16"/>
        </w:rPr>
        <w:softHyphen/>
        <w:t>ния трактора собственной массой 82 т мощ</w:t>
      </w:r>
      <w:r w:rsidRPr="002F2FDF">
        <w:rPr>
          <w:rFonts w:ascii="Times New Roman" w:hAnsi="Times New Roman" w:cs="Times New Roman"/>
          <w:color w:val="000000" w:themeColor="text1"/>
          <w:kern w:val="2"/>
          <w:sz w:val="16"/>
          <w:szCs w:val="16"/>
        </w:rPr>
        <w:softHyphen/>
        <w:t>ностью 650 л.е., способного буксировать поезд из трех платформ общей массой 200 т и суммарной фузоподъемностъю 180 т.</w:t>
      </w:r>
    </w:p>
    <w:p w14:paraId="523693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noProof/>
          <w:color w:val="000000" w:themeColor="text1"/>
          <w:kern w:val="2"/>
          <w:sz w:val="16"/>
          <w:szCs w:val="16"/>
        </w:rPr>
      </w:pPr>
      <w:r w:rsidRPr="002F2FDF">
        <w:rPr>
          <w:rFonts w:ascii="Times New Roman" w:hAnsi="Times New Roman" w:cs="Times New Roman"/>
          <w:noProof/>
          <w:color w:val="000000" w:themeColor="text1"/>
          <w:kern w:val="2"/>
          <w:sz w:val="16"/>
          <w:szCs w:val="16"/>
        </w:rPr>
        <w:t>«В конструкцию этого трактора-гиганта нами введены следующие особенности: раматрактора монтируется на поворотных гусе</w:t>
      </w:r>
      <w:r w:rsidRPr="002F2FDF">
        <w:rPr>
          <w:rFonts w:ascii="Times New Roman" w:hAnsi="Times New Roman" w:cs="Times New Roman"/>
          <w:noProof/>
          <w:color w:val="000000" w:themeColor="text1"/>
          <w:kern w:val="2"/>
          <w:sz w:val="16"/>
          <w:szCs w:val="16"/>
        </w:rPr>
        <w:softHyphen/>
        <w:t>ничных тележках, причем по устройству ме</w:t>
      </w:r>
      <w:r w:rsidRPr="002F2FDF">
        <w:rPr>
          <w:rFonts w:ascii="Times New Roman" w:hAnsi="Times New Roman" w:cs="Times New Roman"/>
          <w:noProof/>
          <w:color w:val="000000" w:themeColor="text1"/>
          <w:kern w:val="2"/>
          <w:sz w:val="16"/>
          <w:szCs w:val="16"/>
        </w:rPr>
        <w:softHyphen/>
        <w:t>ханизма поездной сцепки в достаточной сте</w:t>
      </w:r>
      <w:r w:rsidRPr="002F2FDF">
        <w:rPr>
          <w:rFonts w:ascii="Times New Roman" w:hAnsi="Times New Roman" w:cs="Times New Roman"/>
          <w:noProof/>
          <w:color w:val="000000" w:themeColor="text1"/>
          <w:kern w:val="2"/>
          <w:sz w:val="16"/>
          <w:szCs w:val="16"/>
        </w:rPr>
        <w:softHyphen/>
        <w:t>пени обеспечена правильность хода поезда по дороге; повороты достигаются пооротом гусеничных тележек при помощи сильных гидравлических (масляных) приводов; каж</w:t>
      </w:r>
      <w:r w:rsidRPr="002F2FDF">
        <w:rPr>
          <w:rFonts w:ascii="Times New Roman" w:hAnsi="Times New Roman" w:cs="Times New Roman"/>
          <w:noProof/>
          <w:color w:val="000000" w:themeColor="text1"/>
          <w:kern w:val="2"/>
          <w:sz w:val="16"/>
          <w:szCs w:val="16"/>
        </w:rPr>
        <w:softHyphen/>
        <w:t>дая гсеница (всего четыре - по две на каж</w:t>
      </w:r>
      <w:r w:rsidRPr="002F2FDF">
        <w:rPr>
          <w:rFonts w:ascii="Times New Roman" w:hAnsi="Times New Roman" w:cs="Times New Roman"/>
          <w:noProof/>
          <w:color w:val="000000" w:themeColor="text1"/>
          <w:kern w:val="2"/>
          <w:sz w:val="16"/>
          <w:szCs w:val="16"/>
        </w:rPr>
        <w:softHyphen/>
        <w:t>дой тележке) имеет независимо действу</w:t>
      </w:r>
      <w:r w:rsidRPr="002F2FDF">
        <w:rPr>
          <w:rFonts w:ascii="Times New Roman" w:hAnsi="Times New Roman" w:cs="Times New Roman"/>
          <w:noProof/>
          <w:color w:val="000000" w:themeColor="text1"/>
          <w:kern w:val="2"/>
          <w:sz w:val="16"/>
          <w:szCs w:val="16"/>
        </w:rPr>
        <w:softHyphen/>
        <w:t>ющую двухцилиндровую паровую машину (всего 4 машины), таким образом механизм дифференциала в конструкции отпадает; гусеницы подрессорены на рессорах паро</w:t>
      </w:r>
      <w:r w:rsidRPr="002F2FDF">
        <w:rPr>
          <w:rFonts w:ascii="Times New Roman" w:hAnsi="Times New Roman" w:cs="Times New Roman"/>
          <w:noProof/>
          <w:color w:val="000000" w:themeColor="text1"/>
          <w:kern w:val="2"/>
          <w:sz w:val="16"/>
          <w:szCs w:val="16"/>
        </w:rPr>
        <w:softHyphen/>
        <w:t>возного типа, а башмаки их сделаны дере</w:t>
      </w:r>
      <w:r w:rsidRPr="002F2FDF">
        <w:rPr>
          <w:rFonts w:ascii="Times New Roman" w:hAnsi="Times New Roman" w:cs="Times New Roman"/>
          <w:noProof/>
          <w:color w:val="000000" w:themeColor="text1"/>
          <w:kern w:val="2"/>
          <w:sz w:val="16"/>
          <w:szCs w:val="16"/>
        </w:rPr>
        <w:softHyphen/>
        <w:t>вянными; в тракторах применены два кот</w:t>
      </w:r>
      <w:r w:rsidRPr="002F2FDF">
        <w:rPr>
          <w:rFonts w:ascii="Times New Roman" w:hAnsi="Times New Roman" w:cs="Times New Roman"/>
          <w:noProof/>
          <w:color w:val="000000" w:themeColor="text1"/>
          <w:kern w:val="2"/>
          <w:sz w:val="16"/>
          <w:szCs w:val="16"/>
        </w:rPr>
        <w:softHyphen/>
        <w:t>ла с перегревом, по общему типу Вульфа ; весь трактор имеет совершенно симмет</w:t>
      </w:r>
      <w:r w:rsidRPr="002F2FDF">
        <w:rPr>
          <w:rFonts w:ascii="Times New Roman" w:hAnsi="Times New Roman" w:cs="Times New Roman"/>
          <w:noProof/>
          <w:color w:val="000000" w:themeColor="text1"/>
          <w:kern w:val="2"/>
          <w:sz w:val="16"/>
          <w:szCs w:val="16"/>
        </w:rPr>
        <w:softHyphen/>
        <w:t>ричную форму как в поперечном, так и в продольном направлении, что облегчает маневрирование в тесных местах. Кроме того укажем, что конструкция выдержана близко к железнодорожным габаритам, и по весу трактор соответствует весу тяже</w:t>
      </w:r>
      <w:r w:rsidRPr="002F2FDF">
        <w:rPr>
          <w:rFonts w:ascii="Times New Roman" w:hAnsi="Times New Roman" w:cs="Times New Roman"/>
          <w:noProof/>
          <w:color w:val="000000" w:themeColor="text1"/>
          <w:kern w:val="2"/>
          <w:sz w:val="16"/>
          <w:szCs w:val="16"/>
        </w:rPr>
        <w:softHyphen/>
        <w:t>лого товарного паровоза. [...] Управление в нем предусмотрено механическое от штурвала пароходного типа.»</w:t>
      </w:r>
    </w:p>
    <w:p w14:paraId="12C26A62"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Детально, со всей тщательностью про</w:t>
      </w:r>
      <w:r w:rsidRPr="002F2FDF">
        <w:rPr>
          <w:rFonts w:ascii="Times New Roman" w:hAnsi="Times New Roman" w:cs="Times New Roman"/>
          <w:color w:val="000000" w:themeColor="text1"/>
          <w:kern w:val="2"/>
          <w:sz w:val="16"/>
          <w:szCs w:val="16"/>
        </w:rPr>
        <w:softHyphen/>
        <w:t>работанный проект тяжелого гусеничного парового трактора выделялся смелостью и масштабностью. В целом проект полностью соответствовал представлениям и уровню развития технической мысли своего време</w:t>
      </w:r>
      <w:r w:rsidRPr="002F2FDF">
        <w:rPr>
          <w:rFonts w:ascii="Times New Roman" w:hAnsi="Times New Roman" w:cs="Times New Roman"/>
          <w:color w:val="000000" w:themeColor="text1"/>
          <w:kern w:val="2"/>
          <w:sz w:val="16"/>
          <w:szCs w:val="16"/>
        </w:rPr>
        <w:softHyphen/>
        <w:t>ни, и специалистами, например, А.А. Кржи- вицким, никаких принципиальных возраже</w:t>
      </w:r>
      <w:r w:rsidRPr="002F2FDF">
        <w:rPr>
          <w:rFonts w:ascii="Times New Roman" w:hAnsi="Times New Roman" w:cs="Times New Roman"/>
          <w:color w:val="000000" w:themeColor="text1"/>
          <w:kern w:val="2"/>
          <w:sz w:val="16"/>
          <w:szCs w:val="16"/>
        </w:rPr>
        <w:softHyphen/>
        <w:t>ний технического порядка по нему сделано не было. Однако в условиях тотальной раз</w:t>
      </w:r>
      <w:r w:rsidRPr="002F2FDF">
        <w:rPr>
          <w:rFonts w:ascii="Times New Roman" w:hAnsi="Times New Roman" w:cs="Times New Roman"/>
          <w:color w:val="000000" w:themeColor="text1"/>
          <w:kern w:val="2"/>
          <w:sz w:val="16"/>
          <w:szCs w:val="16"/>
        </w:rPr>
        <w:softHyphen/>
        <w:t>рухи воплощение этого проекта оказалось не</w:t>
      </w:r>
      <w:r w:rsidRPr="002F2FDF">
        <w:rPr>
          <w:rFonts w:ascii="Times New Roman" w:hAnsi="Times New Roman" w:cs="Times New Roman"/>
          <w:color w:val="000000" w:themeColor="text1"/>
          <w:kern w:val="2"/>
          <w:sz w:val="16"/>
          <w:szCs w:val="16"/>
        </w:rPr>
        <w:softHyphen/>
        <w:t>возможным (11905).</w:t>
      </w:r>
    </w:p>
    <w:p w14:paraId="4777E467"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EB1E6F" w14:textId="77777777" w:rsidR="00B54A93" w:rsidRPr="002F2FDF" w:rsidRDefault="00B54A93" w:rsidP="0083075A">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r w:rsidRPr="002F2FDF">
        <w:rPr>
          <w:rFonts w:ascii="Times New Roman" w:eastAsia="TimesNewRoman" w:hAnsi="Times New Roman" w:cs="Times New Roman"/>
          <w:color w:val="000000" w:themeColor="text1"/>
          <w:sz w:val="16"/>
          <w:szCs w:val="16"/>
        </w:rPr>
        <w:t xml:space="preserve">Весной </w:t>
      </w:r>
      <w:r w:rsidRPr="002F2FDF">
        <w:rPr>
          <w:rFonts w:ascii="Times New Roman" w:eastAsia="Times-Roman" w:hAnsi="Times New Roman" w:cs="Times New Roman"/>
          <w:color w:val="000000" w:themeColor="text1"/>
          <w:sz w:val="16"/>
          <w:szCs w:val="16"/>
        </w:rPr>
        <w:t xml:space="preserve">1917 </w:t>
      </w:r>
      <w:r w:rsidRPr="002F2FDF">
        <w:rPr>
          <w:rFonts w:ascii="Times New Roman" w:eastAsia="TimesNewRoman" w:hAnsi="Times New Roman" w:cs="Times New Roman"/>
          <w:color w:val="000000" w:themeColor="text1"/>
          <w:sz w:val="16"/>
          <w:szCs w:val="16"/>
        </w:rPr>
        <w:t>г</w:t>
      </w:r>
      <w:r w:rsidRPr="002F2FDF">
        <w:rPr>
          <w:rFonts w:ascii="Times New Roman" w:eastAsia="Times-Roman" w:hAnsi="Times New Roman" w:cs="Times New Roman"/>
          <w:color w:val="000000" w:themeColor="text1"/>
          <w:sz w:val="16"/>
          <w:szCs w:val="16"/>
        </w:rPr>
        <w:t xml:space="preserve">. </w:t>
      </w:r>
      <w:r w:rsidRPr="002F2FDF">
        <w:rPr>
          <w:rFonts w:ascii="Times New Roman" w:eastAsia="TimesNewRoman" w:hAnsi="Times New Roman" w:cs="Times New Roman"/>
          <w:color w:val="000000" w:themeColor="text1"/>
          <w:sz w:val="16"/>
          <w:szCs w:val="16"/>
        </w:rPr>
        <w:t>в войска стали поступать химические боеприпасы для миномётов и ручные химические гранаты (20240)</w:t>
      </w:r>
      <w:r w:rsidRPr="002F2FDF">
        <w:rPr>
          <w:rFonts w:ascii="Times New Roman" w:eastAsia="Times-Roman" w:hAnsi="Times New Roman" w:cs="Times New Roman"/>
          <w:color w:val="000000" w:themeColor="text1"/>
          <w:sz w:val="16"/>
          <w:szCs w:val="16"/>
        </w:rPr>
        <w:t>.</w:t>
      </w:r>
    </w:p>
    <w:p w14:paraId="05FB939F" w14:textId="77777777" w:rsidR="00B54A93" w:rsidRPr="002F2FDF" w:rsidRDefault="00B54A93" w:rsidP="0083075A">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p>
    <w:p w14:paraId="1F5AE1A7" w14:textId="77777777" w:rsidR="00B54A93" w:rsidRPr="002F2FDF" w:rsidRDefault="00B54A93"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Весной 1917г. на межсоюзнической конференции была заявлено потребность России в 390 танках. Первоначально планировали закупить средние СА-1 “Шнейдер”, но в сентябре 1917 г. военному агенту в Париже поручили “сообщить результаты испытаний танков легкого типа “Рено" с одним пулеметом” (в это время завод “Рено” только-только закончил постройкой первые серийные легкие танки). В октябре находящаяся в Англии комиссия ГВТУ обратила внимание на “новый тип тяжелых полевых крейсеров английской армии” (скорее всего, имелся в виду прототип тяжелого Mk V, но термин “крейсер” наводит на мысль и о прототипе среднего Мк А). В обоих случаях подчеркивалась проходимость танков, имевшая “огромное для русских условий значение”. Однако ни французские, ни английские танки так и не попали в Россию – союзники, сами лишь разворачивавшие выпуск нового средства войны, не слишком спешили делиться им с русской стороной (англичане предпочитали не только “маскировать” свои работы мифическими "русскими заказами”, но даже показывали танки русским представителям неохотно), а тут еще и начавшаяся русская революция. Зато в 1918 г. танки союзников “добрались” сюда для противодействий красным армиям, после чего в качестве трофеев все-таки стали первой материальной частью танковых сил, но уже РККА.</w:t>
      </w:r>
    </w:p>
    <w:p w14:paraId="7C8F818E" w14:textId="77777777" w:rsidR="00B54A93" w:rsidRPr="002F2FDF" w:rsidRDefault="00B54A93"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Новый план формирования броневых частей русской армии выглядел вполне реально, тактический и технический опыт личного состава бронечастей также обещал удачное применение новых машин, однако реализовать план не удалось даже частично. И помешала этому не революция сама по себе, а общее положение надорвавшейся русской промышленности и глубокий финансовый кризис – то есть те же причины, которые и подготовили революцию.</w:t>
      </w:r>
    </w:p>
    <w:p w14:paraId="286A2624" w14:textId="77777777" w:rsidR="00B54A93" w:rsidRPr="002F2FDF" w:rsidRDefault="00B54A93"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Все это вызвало приостановку работ, затрудняло необходимые новые закупки шасси и оборудования, а развернувшиеся с февраля 1917г. события лишь довершили дело (20250).</w:t>
      </w:r>
    </w:p>
    <w:p w14:paraId="0B45E8CE" w14:textId="77777777" w:rsidR="00B54A93" w:rsidRPr="002F2FDF" w:rsidRDefault="00B54A93" w:rsidP="0083075A">
      <w:pPr>
        <w:shd w:val="clear" w:color="auto" w:fill="FFFFFF"/>
        <w:spacing w:after="0" w:line="240" w:lineRule="auto"/>
        <w:jc w:val="both"/>
        <w:rPr>
          <w:rFonts w:ascii="Times New Roman" w:hAnsi="Times New Roman" w:cs="Times New Roman"/>
          <w:color w:val="000000" w:themeColor="text1"/>
          <w:sz w:val="16"/>
          <w:szCs w:val="16"/>
        </w:rPr>
      </w:pPr>
    </w:p>
    <w:p w14:paraId="5D82231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48974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5CF445" w14:textId="6B58D059" w:rsidR="00320E61" w:rsidRPr="002F2FDF" w:rsidRDefault="00320E61" w:rsidP="0083075A">
      <w:pPr>
        <w:pStyle w:val="ae"/>
        <w:shd w:val="clear" w:color="auto" w:fill="FFFFFF"/>
        <w:spacing w:before="0" w:after="0"/>
        <w:jc w:val="both"/>
        <w:textAlignment w:val="baseline"/>
        <w:rPr>
          <w:color w:val="000000" w:themeColor="text1"/>
          <w:sz w:val="16"/>
          <w:szCs w:val="16"/>
        </w:rPr>
      </w:pPr>
      <w:bookmarkStart w:id="131" w:name="_Hlk55042578"/>
      <w:r w:rsidRPr="002F2FDF">
        <w:rPr>
          <w:color w:val="000000" w:themeColor="text1"/>
          <w:sz w:val="16"/>
          <w:szCs w:val="16"/>
        </w:rPr>
        <w:t>Весной 1917</w:t>
      </w:r>
      <w:r w:rsidR="00E52569">
        <w:rPr>
          <w:color w:val="000000" w:themeColor="text1"/>
          <w:sz w:val="16"/>
          <w:szCs w:val="16"/>
        </w:rPr>
        <w:t xml:space="preserve"> </w:t>
      </w:r>
      <w:r w:rsidRPr="002F2FDF">
        <w:rPr>
          <w:color w:val="000000" w:themeColor="text1"/>
          <w:sz w:val="16"/>
          <w:szCs w:val="16"/>
        </w:rPr>
        <w:t>г. был предложен новый облик ВВФ, изложенный в проекте «Положения о Военном Воздушном Флоте». В частности, авиаотряды по своему назначению должны были делиться на «… разведывательные, артиллерийские, дивизионные [в составе дивизии], бомбардировочные, истребительные и охранные» (</w:t>
      </w:r>
      <w:r w:rsidRPr="002F2FDF">
        <w:rPr>
          <w:color w:val="000000" w:themeColor="text1"/>
          <w:sz w:val="16"/>
          <w:szCs w:val="16"/>
          <w:shd w:val="clear" w:color="auto" w:fill="FFFFFF"/>
        </w:rPr>
        <w:t>Российский государственный военный архив (РГВА). Ф.</w:t>
      </w:r>
      <w:r w:rsidR="00E52569">
        <w:rPr>
          <w:color w:val="000000" w:themeColor="text1"/>
          <w:sz w:val="16"/>
          <w:szCs w:val="16"/>
          <w:shd w:val="clear" w:color="auto" w:fill="FFFFFF"/>
        </w:rPr>
        <w:t xml:space="preserve"> </w:t>
      </w:r>
      <w:r w:rsidRPr="002F2FDF">
        <w:rPr>
          <w:color w:val="000000" w:themeColor="text1"/>
          <w:sz w:val="16"/>
          <w:szCs w:val="16"/>
          <w:shd w:val="clear" w:color="auto" w:fill="FFFFFF"/>
        </w:rPr>
        <w:t>30. Оп.</w:t>
      </w:r>
      <w:r w:rsidR="00E52569">
        <w:rPr>
          <w:color w:val="000000" w:themeColor="text1"/>
          <w:sz w:val="16"/>
          <w:szCs w:val="16"/>
          <w:shd w:val="clear" w:color="auto" w:fill="FFFFFF"/>
        </w:rPr>
        <w:t xml:space="preserve"> </w:t>
      </w:r>
      <w:r w:rsidRPr="002F2FDF">
        <w:rPr>
          <w:color w:val="000000" w:themeColor="text1"/>
          <w:sz w:val="16"/>
          <w:szCs w:val="16"/>
          <w:shd w:val="clear" w:color="auto" w:fill="FFFFFF"/>
        </w:rPr>
        <w:t>1. Д.</w:t>
      </w:r>
      <w:r w:rsidR="00E52569">
        <w:rPr>
          <w:color w:val="000000" w:themeColor="text1"/>
          <w:sz w:val="16"/>
          <w:szCs w:val="16"/>
          <w:shd w:val="clear" w:color="auto" w:fill="FFFFFF"/>
        </w:rPr>
        <w:t xml:space="preserve"> </w:t>
      </w:r>
      <w:r w:rsidRPr="002F2FDF">
        <w:rPr>
          <w:color w:val="000000" w:themeColor="text1"/>
          <w:sz w:val="16"/>
          <w:szCs w:val="16"/>
          <w:shd w:val="clear" w:color="auto" w:fill="FFFFFF"/>
        </w:rPr>
        <w:t>52. Л.</w:t>
      </w:r>
      <w:r w:rsidR="00E52569">
        <w:rPr>
          <w:color w:val="000000" w:themeColor="text1"/>
          <w:sz w:val="16"/>
          <w:szCs w:val="16"/>
          <w:shd w:val="clear" w:color="auto" w:fill="FFFFFF"/>
        </w:rPr>
        <w:t xml:space="preserve"> </w:t>
      </w:r>
      <w:r w:rsidRPr="002F2FDF">
        <w:rPr>
          <w:color w:val="000000" w:themeColor="text1"/>
          <w:sz w:val="16"/>
          <w:szCs w:val="16"/>
          <w:shd w:val="clear" w:color="auto" w:fill="FFFFFF"/>
        </w:rPr>
        <w:t>40</w:t>
      </w:r>
      <w:r w:rsidRPr="002F2FDF">
        <w:rPr>
          <w:color w:val="000000" w:themeColor="text1"/>
          <w:sz w:val="16"/>
          <w:szCs w:val="16"/>
        </w:rPr>
        <w:t>). При этом «активная» армейская авиация объединяла бы в себе разведывательные, истребительные и бомбардировочные [силы и] средства, «войсковая» авиация</w:t>
      </w:r>
      <w:r w:rsidR="00E52569">
        <w:rPr>
          <w:color w:val="000000" w:themeColor="text1"/>
          <w:sz w:val="16"/>
          <w:szCs w:val="16"/>
        </w:rPr>
        <w:t xml:space="preserve"> </w:t>
      </w:r>
      <w:r w:rsidRPr="002F2FDF">
        <w:rPr>
          <w:color w:val="000000" w:themeColor="text1"/>
          <w:sz w:val="16"/>
          <w:szCs w:val="16"/>
        </w:rPr>
        <w:t>– корпусные и артиллерийские авиаотряды (20184).</w:t>
      </w:r>
    </w:p>
    <w:p w14:paraId="1313BFA1" w14:textId="750FE09E" w:rsidR="00320E61" w:rsidRPr="002F2FDF" w:rsidRDefault="00320E61"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В раздел «Об управлении войсками особого назначения» Положения было включено положение о командире авиационного дивизиона для воздушной обороны императорской резиденции, деятельность которого определялась «особыми инструкциями, утвержденными Министром Императорского Двора по соглашению с Военным Министром» (</w:t>
      </w:r>
      <w:r w:rsidRPr="002F2FDF">
        <w:rPr>
          <w:color w:val="000000" w:themeColor="text1"/>
          <w:sz w:val="16"/>
          <w:szCs w:val="16"/>
          <w:shd w:val="clear" w:color="auto" w:fill="FFFFFF"/>
        </w:rPr>
        <w:t>Российский государственный военный архив (РГВА). Ф.</w:t>
      </w:r>
      <w:r w:rsidR="00E52569">
        <w:rPr>
          <w:color w:val="000000" w:themeColor="text1"/>
          <w:sz w:val="16"/>
          <w:szCs w:val="16"/>
          <w:shd w:val="clear" w:color="auto" w:fill="FFFFFF"/>
        </w:rPr>
        <w:t xml:space="preserve"> </w:t>
      </w:r>
      <w:r w:rsidRPr="002F2FDF">
        <w:rPr>
          <w:color w:val="000000" w:themeColor="text1"/>
          <w:sz w:val="16"/>
          <w:szCs w:val="16"/>
          <w:shd w:val="clear" w:color="auto" w:fill="FFFFFF"/>
        </w:rPr>
        <w:t>30. Оп.</w:t>
      </w:r>
      <w:r w:rsidR="00E52569">
        <w:rPr>
          <w:color w:val="000000" w:themeColor="text1"/>
          <w:sz w:val="16"/>
          <w:szCs w:val="16"/>
          <w:shd w:val="clear" w:color="auto" w:fill="FFFFFF"/>
        </w:rPr>
        <w:t xml:space="preserve"> </w:t>
      </w:r>
      <w:r w:rsidRPr="002F2FDF">
        <w:rPr>
          <w:color w:val="000000" w:themeColor="text1"/>
          <w:sz w:val="16"/>
          <w:szCs w:val="16"/>
          <w:shd w:val="clear" w:color="auto" w:fill="FFFFFF"/>
        </w:rPr>
        <w:t>1. Д.</w:t>
      </w:r>
      <w:r w:rsidR="00E52569">
        <w:rPr>
          <w:color w:val="000000" w:themeColor="text1"/>
          <w:sz w:val="16"/>
          <w:szCs w:val="16"/>
          <w:shd w:val="clear" w:color="auto" w:fill="FFFFFF"/>
        </w:rPr>
        <w:t xml:space="preserve"> </w:t>
      </w:r>
      <w:r w:rsidRPr="002F2FDF">
        <w:rPr>
          <w:color w:val="000000" w:themeColor="text1"/>
          <w:sz w:val="16"/>
          <w:szCs w:val="16"/>
          <w:shd w:val="clear" w:color="auto" w:fill="FFFFFF"/>
        </w:rPr>
        <w:t>52. Л.</w:t>
      </w:r>
      <w:r w:rsidR="00E52569">
        <w:rPr>
          <w:color w:val="000000" w:themeColor="text1"/>
          <w:sz w:val="16"/>
          <w:szCs w:val="16"/>
          <w:shd w:val="clear" w:color="auto" w:fill="FFFFFF"/>
        </w:rPr>
        <w:t xml:space="preserve"> </w:t>
      </w:r>
      <w:r w:rsidRPr="002F2FDF">
        <w:rPr>
          <w:color w:val="000000" w:themeColor="text1"/>
          <w:sz w:val="16"/>
          <w:szCs w:val="16"/>
          <w:shd w:val="clear" w:color="auto" w:fill="FFFFFF"/>
        </w:rPr>
        <w:t>47</w:t>
      </w:r>
      <w:r w:rsidRPr="002F2FDF">
        <w:rPr>
          <w:color w:val="000000" w:themeColor="text1"/>
          <w:sz w:val="16"/>
          <w:szCs w:val="16"/>
        </w:rPr>
        <w:t>) (20184).</w:t>
      </w:r>
    </w:p>
    <w:p w14:paraId="77AB3EAE" w14:textId="3BE39C1B" w:rsidR="00320E61" w:rsidRPr="002F2FDF" w:rsidRDefault="00320E61"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Предполагалось к концу 1917</w:t>
      </w:r>
      <w:r w:rsidR="00E52569">
        <w:rPr>
          <w:color w:val="000000" w:themeColor="text1"/>
          <w:sz w:val="16"/>
          <w:szCs w:val="16"/>
        </w:rPr>
        <w:t xml:space="preserve"> </w:t>
      </w:r>
      <w:r w:rsidRPr="002F2FDF">
        <w:rPr>
          <w:color w:val="000000" w:themeColor="text1"/>
          <w:sz w:val="16"/>
          <w:szCs w:val="16"/>
        </w:rPr>
        <w:t>г. увеличить численность самолетного парка до 5250-5450</w:t>
      </w:r>
      <w:r w:rsidR="00E52569">
        <w:rPr>
          <w:color w:val="000000" w:themeColor="text1"/>
          <w:sz w:val="16"/>
          <w:szCs w:val="16"/>
        </w:rPr>
        <w:t xml:space="preserve"> </w:t>
      </w:r>
      <w:r w:rsidRPr="002F2FDF">
        <w:rPr>
          <w:color w:val="000000" w:themeColor="text1"/>
          <w:sz w:val="16"/>
          <w:szCs w:val="16"/>
        </w:rPr>
        <w:t>боевых машин (на март того же года в наличии ВВФ имелось всего</w:t>
      </w:r>
      <w:r w:rsidR="00E52569">
        <w:rPr>
          <w:color w:val="000000" w:themeColor="text1"/>
          <w:sz w:val="16"/>
          <w:szCs w:val="16"/>
        </w:rPr>
        <w:t xml:space="preserve"> </w:t>
      </w:r>
      <w:r w:rsidRPr="002F2FDF">
        <w:rPr>
          <w:color w:val="000000" w:themeColor="text1"/>
          <w:sz w:val="16"/>
          <w:szCs w:val="16"/>
        </w:rPr>
        <w:t>800 самолетов) (</w:t>
      </w:r>
      <w:r w:rsidRPr="002F2FDF">
        <w:rPr>
          <w:color w:val="000000" w:themeColor="text1"/>
          <w:sz w:val="16"/>
          <w:szCs w:val="16"/>
          <w:shd w:val="clear" w:color="auto" w:fill="FFFFFF"/>
        </w:rPr>
        <w:t>Российский государственный военный архив (РГВА). Ф.</w:t>
      </w:r>
      <w:r w:rsidR="00E52569">
        <w:rPr>
          <w:color w:val="000000" w:themeColor="text1"/>
          <w:sz w:val="16"/>
          <w:szCs w:val="16"/>
          <w:shd w:val="clear" w:color="auto" w:fill="FFFFFF"/>
        </w:rPr>
        <w:t xml:space="preserve"> </w:t>
      </w:r>
      <w:r w:rsidRPr="002F2FDF">
        <w:rPr>
          <w:color w:val="000000" w:themeColor="text1"/>
          <w:sz w:val="16"/>
          <w:szCs w:val="16"/>
          <w:shd w:val="clear" w:color="auto" w:fill="FFFFFF"/>
        </w:rPr>
        <w:t>30. Оп.</w:t>
      </w:r>
      <w:r w:rsidR="00E52569">
        <w:rPr>
          <w:color w:val="000000" w:themeColor="text1"/>
          <w:sz w:val="16"/>
          <w:szCs w:val="16"/>
          <w:shd w:val="clear" w:color="auto" w:fill="FFFFFF"/>
        </w:rPr>
        <w:t xml:space="preserve"> </w:t>
      </w:r>
      <w:r w:rsidRPr="002F2FDF">
        <w:rPr>
          <w:color w:val="000000" w:themeColor="text1"/>
          <w:sz w:val="16"/>
          <w:szCs w:val="16"/>
          <w:shd w:val="clear" w:color="auto" w:fill="FFFFFF"/>
        </w:rPr>
        <w:t>1. Д.</w:t>
      </w:r>
      <w:r w:rsidR="00E52569">
        <w:rPr>
          <w:color w:val="000000" w:themeColor="text1"/>
          <w:sz w:val="16"/>
          <w:szCs w:val="16"/>
          <w:shd w:val="clear" w:color="auto" w:fill="FFFFFF"/>
        </w:rPr>
        <w:t xml:space="preserve"> </w:t>
      </w:r>
      <w:r w:rsidRPr="002F2FDF">
        <w:rPr>
          <w:color w:val="000000" w:themeColor="text1"/>
          <w:sz w:val="16"/>
          <w:szCs w:val="16"/>
          <w:shd w:val="clear" w:color="auto" w:fill="FFFFFF"/>
        </w:rPr>
        <w:t>52. Л.</w:t>
      </w:r>
      <w:r w:rsidR="00E52569">
        <w:rPr>
          <w:color w:val="000000" w:themeColor="text1"/>
          <w:sz w:val="16"/>
          <w:szCs w:val="16"/>
          <w:shd w:val="clear" w:color="auto" w:fill="FFFFFF"/>
        </w:rPr>
        <w:t xml:space="preserve"> </w:t>
      </w:r>
      <w:r w:rsidRPr="002F2FDF">
        <w:rPr>
          <w:color w:val="000000" w:themeColor="text1"/>
          <w:sz w:val="16"/>
          <w:szCs w:val="16"/>
          <w:shd w:val="clear" w:color="auto" w:fill="FFFFFF"/>
        </w:rPr>
        <w:t>16об</w:t>
      </w:r>
      <w:r w:rsidRPr="002F2FDF">
        <w:rPr>
          <w:color w:val="000000" w:themeColor="text1"/>
          <w:sz w:val="16"/>
          <w:szCs w:val="16"/>
        </w:rPr>
        <w:t>) (20184).</w:t>
      </w:r>
    </w:p>
    <w:bookmarkEnd w:id="131"/>
    <w:p w14:paraId="7F908614" w14:textId="77777777" w:rsidR="00320E61" w:rsidRPr="002F2FDF" w:rsidRDefault="00320E61" w:rsidP="0083075A">
      <w:pPr>
        <w:shd w:val="clear" w:color="auto" w:fill="FFFFFF"/>
        <w:spacing w:after="0" w:line="240" w:lineRule="auto"/>
        <w:jc w:val="both"/>
        <w:rPr>
          <w:rFonts w:ascii="Times New Roman" w:hAnsi="Times New Roman" w:cs="Times New Roman"/>
          <w:color w:val="000000" w:themeColor="text1"/>
          <w:sz w:val="16"/>
          <w:szCs w:val="16"/>
        </w:rPr>
      </w:pPr>
    </w:p>
    <w:p w14:paraId="247DE3A2" w14:textId="77777777" w:rsidR="005C7A08" w:rsidRPr="00FB4F67" w:rsidRDefault="005C7A0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Весной 1917 г. Управлением ВВФ (Увофлотом) была разработана программа, предусматривавшей увеличение числа авиачастей в составе действующей армии и одновременно был предложен новый облик ВВФ, изложенный в проекте «Положения о Военном Воздушном флоте». В частности, авиаотряды по своему назначению должны были делиться на «разведывательные, артиллерийские, дивизионные [в составе дивизии], бомбардировочные, истребительные и охранные». При этом «активная» армейская авиация объединяла бы в себе разведывательные, истребительные и бомбардировочные [силы и] средства, «войсковая» авиация - корпусные и артиллерийские авиаотряды.</w:t>
      </w:r>
    </w:p>
    <w:p w14:paraId="0C9294FF" w14:textId="77777777" w:rsidR="005C7A08" w:rsidRPr="00FB4F67" w:rsidRDefault="005C7A08" w:rsidP="0083075A">
      <w:pPr>
        <w:spacing w:after="0" w:line="240" w:lineRule="auto"/>
        <w:jc w:val="both"/>
        <w:rPr>
          <w:rFonts w:ascii="Times New Roman" w:hAnsi="Times New Roman" w:cs="Times New Roman"/>
          <w:color w:val="0070C0"/>
          <w:sz w:val="16"/>
          <w:szCs w:val="16"/>
        </w:rPr>
      </w:pPr>
      <w:bookmarkStart w:id="132" w:name="bookmark655"/>
      <w:r w:rsidRPr="00FB4F67">
        <w:rPr>
          <w:rFonts w:ascii="Times New Roman" w:hAnsi="Times New Roman" w:cs="Times New Roman"/>
          <w:color w:val="0070C0"/>
          <w:sz w:val="16"/>
          <w:szCs w:val="16"/>
        </w:rPr>
        <w:t>В раздел «Об управлении войсками особого назначения» «Положения...» было включено положение о командире авиационного дивизиона для воздушной обороны императорской резиденции, деятельность которого определялась «особыми инструкциями, утвержденными Министром Императорского Двора по соглашению с Военным Министром».</w:t>
      </w:r>
      <w:bookmarkEnd w:id="132"/>
    </w:p>
    <w:p w14:paraId="6E6AB7A0" w14:textId="77777777" w:rsidR="005C7A08" w:rsidRPr="00FB4F67" w:rsidRDefault="005C7A08" w:rsidP="0083075A">
      <w:pPr>
        <w:spacing w:after="0" w:line="240" w:lineRule="auto"/>
        <w:jc w:val="both"/>
        <w:rPr>
          <w:rFonts w:ascii="Times New Roman" w:hAnsi="Times New Roman" w:cs="Times New Roman"/>
          <w:color w:val="0070C0"/>
          <w:sz w:val="16"/>
          <w:szCs w:val="16"/>
        </w:rPr>
      </w:pPr>
      <w:bookmarkStart w:id="133" w:name="bookmark656"/>
      <w:r w:rsidRPr="00FB4F67">
        <w:rPr>
          <w:rFonts w:ascii="Times New Roman" w:hAnsi="Times New Roman" w:cs="Times New Roman"/>
          <w:color w:val="0070C0"/>
          <w:sz w:val="16"/>
          <w:szCs w:val="16"/>
        </w:rPr>
        <w:t>Предполагалось к концу 1917 г. увеличить численность самолетного парка до 5250-5450 боевых машин (на март того же года в наличии ВВФ имелось всего 800) (23405).</w:t>
      </w:r>
      <w:bookmarkEnd w:id="133"/>
    </w:p>
    <w:p w14:paraId="0F136FC9" w14:textId="77777777" w:rsidR="005C7A08" w:rsidRPr="00FB4F67" w:rsidRDefault="005C7A08" w:rsidP="0083075A">
      <w:pPr>
        <w:spacing w:after="0" w:line="240" w:lineRule="auto"/>
        <w:jc w:val="both"/>
        <w:rPr>
          <w:rFonts w:ascii="Times New Roman" w:hAnsi="Times New Roman" w:cs="Times New Roman"/>
          <w:color w:val="0070C0"/>
          <w:sz w:val="16"/>
          <w:szCs w:val="16"/>
        </w:rPr>
      </w:pPr>
    </w:p>
    <w:p w14:paraId="77B432D4" w14:textId="77777777" w:rsidR="005C7A08" w:rsidRPr="00FB4F67" w:rsidRDefault="005C7A0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Весной 1917 г. наметился значительный рост численности истребительной авиации действующей русской армии.</w:t>
      </w:r>
    </w:p>
    <w:p w14:paraId="570EF3CA" w14:textId="77777777" w:rsidR="005C7A08" w:rsidRPr="00FB4F67" w:rsidRDefault="005C7A08" w:rsidP="0083075A">
      <w:pPr>
        <w:spacing w:after="0" w:line="240" w:lineRule="auto"/>
        <w:jc w:val="both"/>
        <w:rPr>
          <w:rFonts w:ascii="Times New Roman" w:hAnsi="Times New Roman" w:cs="Times New Roman"/>
          <w:color w:val="0070C0"/>
          <w:sz w:val="16"/>
          <w:szCs w:val="16"/>
        </w:rPr>
      </w:pPr>
      <w:bookmarkStart w:id="134" w:name="bookmark718"/>
      <w:r w:rsidRPr="00FB4F67">
        <w:rPr>
          <w:rFonts w:ascii="Times New Roman" w:hAnsi="Times New Roman" w:cs="Times New Roman"/>
          <w:color w:val="0070C0"/>
          <w:sz w:val="16"/>
          <w:szCs w:val="16"/>
        </w:rPr>
        <w:t>Учитывая положительный опыт боевой работы Особой БАГ на Юго</w:t>
      </w:r>
      <w:r w:rsidRPr="00FB4F67">
        <w:rPr>
          <w:rFonts w:ascii="Times New Roman" w:hAnsi="Times New Roman" w:cs="Times New Roman"/>
          <w:color w:val="0070C0"/>
          <w:sz w:val="16"/>
          <w:szCs w:val="16"/>
        </w:rPr>
        <w:softHyphen/>
        <w:t>Западном фронте осенью 1916 г., Ставка ВГК приняла решение создать подобные авиагруппы для каждого фронта (за исключением Кавказской армии). Приказом начальника Штаба ВГК от 18 февраля 1917 г. № 203 предписывалось сформировать 1, 2, 3 и 4-ю БАГ (с управлениями) с включением в их состав 1, 3, 7, 8, 14, 16, 19, 22, 24 и 30-го корпусных авиаотрядов.</w:t>
      </w:r>
      <w:bookmarkEnd w:id="134"/>
    </w:p>
    <w:p w14:paraId="73AB6120" w14:textId="77777777" w:rsidR="005C7A08" w:rsidRPr="00FB4F67" w:rsidRDefault="005C7A0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Увеличение доли истребительной авиации в действующей армии позволило русским летчикам активно включиться в борьбу за завоевание господства в воздухе на фронте. По оценке российских исследователей, на ее долю пришлось (до ноября 1917 г.) до 200 сбитых неприятельских самолетов. Одновременно решались задачи воздушной обороны важных прифронтовых пунктов и объектов. По указанию Авиадарма из-под Луцка для воздушного прикрытия главной квартиры войск Румынского фронта (г. Яссы) была переброшена 1-я БАГ (штабс-капитан П.О. Якоба-Швили), позднее решение этой задачи перешло франко-румынскому авиаотряду (23405).</w:t>
      </w:r>
    </w:p>
    <w:p w14:paraId="10B9F32D" w14:textId="77777777" w:rsidR="005C7A08" w:rsidRPr="00FB4F67" w:rsidRDefault="005C7A08" w:rsidP="0083075A">
      <w:pPr>
        <w:spacing w:after="0" w:line="240" w:lineRule="auto"/>
        <w:jc w:val="both"/>
        <w:rPr>
          <w:rFonts w:ascii="Times New Roman" w:hAnsi="Times New Roman" w:cs="Times New Roman"/>
          <w:color w:val="0070C0"/>
          <w:sz w:val="16"/>
          <w:szCs w:val="16"/>
        </w:rPr>
      </w:pPr>
    </w:p>
    <w:p w14:paraId="0849832B" w14:textId="77777777" w:rsidR="00D96056" w:rsidRPr="002F2FDF" w:rsidRDefault="00D9605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 весны 1917 г., хотя в условиях экономического кризиса, оганизационные меры, предпринимаемые Увофлотом, не приводили к замедлению начавшегося в марте падения производства авиатехники, а заверения союзников об увеличении ее поставок в Россию не подтверждались на практике, Управление ВВФ провело в жизнь ряд важных мероприятий:</w:t>
      </w:r>
    </w:p>
    <w:p w14:paraId="0739CDB5" w14:textId="77777777" w:rsidR="00D96056" w:rsidRPr="002F2FDF" w:rsidRDefault="00D9605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перевело с 3 апреля Аэрофотопарк в полное подчинение Увофлоту;</w:t>
      </w:r>
    </w:p>
    <w:p w14:paraId="4F955E5D" w14:textId="77777777" w:rsidR="00D96056" w:rsidRPr="002F2FDF" w:rsidRDefault="00D9605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создало 6 апреля Военно-хозяйственную строительную комиссию (ВХСК) для руководства строительством Военной школы воздушного боя;</w:t>
      </w:r>
    </w:p>
    <w:p w14:paraId="3051E5CF" w14:textId="77777777" w:rsidR="00D96056" w:rsidRPr="002F2FDF" w:rsidRDefault="00D9605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создало 13 апреля дополнительно две ВХСК, одну – для строительства «казенных» аэропланного и моторного заводов, а другую – для строительства завода измерительных инструментов и авиационного склада в г. Херсоне;</w:t>
      </w:r>
    </w:p>
    <w:p w14:paraId="50EA0FBD" w14:textId="77777777" w:rsidR="00D96056" w:rsidRPr="002F2FDF" w:rsidRDefault="00D9605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расширило 13 апреля штат Комиссии по переотправке из портов северных морей авиационного и воздухоплавательного имущества;</w:t>
      </w:r>
    </w:p>
    <w:p w14:paraId="3E6AA1D3" w14:textId="77777777" w:rsidR="00D96056" w:rsidRPr="002F2FDF" w:rsidRDefault="00D9605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переформировало с 1 июня Петроградский и Московский авиасклады в парки-склады и переименовало планирующийся к формированию Симферопольский склад в Южный авиапарк-склад;</w:t>
      </w:r>
    </w:p>
    <w:p w14:paraId="1BCEDF2A" w14:textId="77777777" w:rsidR="00D96056" w:rsidRPr="002F2FDF" w:rsidRDefault="00D9605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ввело в свой штат с 15 июня Техническую инспекцию (Техническая инспекция в составе 25 человек должна была контролировать по техническим вопросам фронтовые авиачасти (!). Через нее тыловое Управление авиацией во время войны «вторгалось» в деятельность авиации действующей армии);</w:t>
      </w:r>
    </w:p>
    <w:p w14:paraId="6A541AFB" w14:textId="77777777" w:rsidR="00D96056" w:rsidRPr="002F2FDF" w:rsidRDefault="00D9605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увеличило с 18 июня штат Аэрофотографического парка (19566).</w:t>
      </w:r>
    </w:p>
    <w:p w14:paraId="379C0F63" w14:textId="77777777" w:rsidR="00D96056" w:rsidRPr="002F2FDF" w:rsidRDefault="00D96056" w:rsidP="0083075A">
      <w:pPr>
        <w:spacing w:after="0" w:line="240" w:lineRule="auto"/>
        <w:jc w:val="both"/>
        <w:rPr>
          <w:rFonts w:ascii="Times New Roman" w:hAnsi="Times New Roman" w:cs="Times New Roman"/>
          <w:color w:val="000000" w:themeColor="text1"/>
          <w:sz w:val="16"/>
          <w:szCs w:val="16"/>
        </w:rPr>
      </w:pPr>
    </w:p>
    <w:p w14:paraId="425B78E7" w14:textId="77777777" w:rsidR="005C7A08" w:rsidRPr="00FB4F67" w:rsidRDefault="005C7A0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Весной 1917 г. корабль Е-56 (ИМ Е-56, ИМ Е-1 боевой № 265, борт № IX) передан во вновь сформированный 4-й боевой отряд ЭВК как машина начальника отряда капитана Р.Л. Нижевского. Вводил его в строй и знакомил с конструкцией новой модификации корабля лично И.И. Сикорский.</w:t>
      </w:r>
    </w:p>
    <w:p w14:paraId="4A3A1082" w14:textId="77777777" w:rsidR="005C7A08" w:rsidRPr="00FB4F67" w:rsidRDefault="005C7A0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первых числах (в середине по н.ст.) апреля 1917 г. экипаж получил приказ вылететь в составе отряда на Румынский фронт на аэродром Болгарийка (у г. Болград, в то время – Bolhrad, Южная Бессарабия, Румыния, ныне – Одесская обл. Украины).</w:t>
      </w:r>
    </w:p>
    <w:p w14:paraId="309815DB" w14:textId="77777777" w:rsidR="005C7A08" w:rsidRPr="00FB4F67" w:rsidRDefault="005C7A0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08.04.17 г. (21.04.17 г. по н.ст.), а по др. данным 15.04.17 г. (28.04.17 г. по н.ст.) корабль прибыл на место назначения и к тот же день совершил первый боевой вылет на бомбардировку речного порта Тульча (ныне Тулча – Tulcea, юго-восток Румынии) с попутной разведкой и фотографированием. Экипаж был 7 человек, топлива 768 кг, масла 128 кг, вооружение – 10 бомб калибра 16 кг, по 2 пулемета «Виккерс» и «Мадсен», 3 пулемета «Льюис» (всего 7). Задание выполнено, продолжительность полета 3 ч 18 мин. – это был первый боевой вылет самолетов ИМ типа Е.</w:t>
      </w:r>
    </w:p>
    <w:p w14:paraId="558B491A" w14:textId="77777777" w:rsidR="005C7A08" w:rsidRPr="00FB4F67" w:rsidRDefault="005C7A0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20.04.17 г. (02.05.17 г. по н.ст.) экипаж Нижевского совершил вылет на разведку войск противника в городах Болград, Измаил (Бесарабская губ., в то время – граница с Румынией), Тульча и Исакча (Isaccea, тот же р-н с румынской стороны). По обнаруженному противнику сброшено 3 бомбы. Во время возвращения на аэродром над линией фронта загорелся один двигатель, моторист старший унтер-офицер Иванов и стрелок вольноопределяющийся Капон вышли на крыло, потушили пожар и перекрыли подачу топлива в этот двигатель. Самолет продолжил полет на трех моторах и совершил экстренную посадку на своей территории, в которой были повреждены шасси, винты и крылья, но самолет отремонтирован.</w:t>
      </w:r>
    </w:p>
    <w:p w14:paraId="5B803C6A" w14:textId="77777777" w:rsidR="005C7A08" w:rsidRPr="00FB4F67" w:rsidRDefault="005C7A0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31.05.17 г. (13.06.17 г. по н.ст.) самолет в паре с кораблем ИМ Е-57 совершил бомбардировку складов и казарм в г. Тулча – оба корабля сбросили 288 кг бомб.</w:t>
      </w:r>
    </w:p>
    <w:p w14:paraId="619AA3C5" w14:textId="77777777" w:rsidR="005C7A08" w:rsidRPr="00FB4F67" w:rsidRDefault="005C7A0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21.09.17 г. (14.10.17 г. по н.ст.) корабль совершил последний боевой вылет. На железнодорожной станции Траян (Traian, Западная Молдавия, восток Румынии) экипаж удачным бомбометанием уничтожил три состава с артиллерийскими снарядами, но на возвращении корабль был атакован двумя истребителями противника. Был убит стрелок старший унтер-офицер Янкевич, второй стрелок прапорщик Талако тяжело ранен в колено (раздроблен сустав), повреждены один из лонжеронов верхнего крыла и радиаторы моторов № 2 и 3, которые остановились. Обстрелять успели только второй самолет, но результата не наблюдали. Корабль на аэродром вернулся и мог быть отремонтирован, но на боевые вылеты больше не летал.</w:t>
      </w:r>
    </w:p>
    <w:p w14:paraId="0489A0AD" w14:textId="77777777" w:rsidR="005C7A08" w:rsidRPr="00FB4F67" w:rsidRDefault="005C7A0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Всего самолет сделал 13 боевых вылетов и сбросил до 2080 кг (130 пудов) бомб.</w:t>
      </w:r>
    </w:p>
    <w:p w14:paraId="2EE5B3BD" w14:textId="77777777" w:rsidR="005C7A08" w:rsidRPr="00FB4F67" w:rsidRDefault="005C7A0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 день 25.10.17 г. (07.11.17 г.), когда состоялась Октябрьская революция, корабль оставался на а/д Болгарийка в поврежденном состоянии и так и не был отремонтирован (24094).</w:t>
      </w:r>
    </w:p>
    <w:p w14:paraId="3D2D178D" w14:textId="77777777" w:rsidR="005C7A08" w:rsidRPr="00FB4F67" w:rsidRDefault="005C7A08" w:rsidP="0083075A">
      <w:pPr>
        <w:spacing w:after="0" w:line="240" w:lineRule="auto"/>
        <w:jc w:val="both"/>
        <w:rPr>
          <w:rFonts w:ascii="Times New Roman" w:hAnsi="Times New Roman" w:cs="Times New Roman"/>
          <w:color w:val="0070C0"/>
          <w:sz w:val="16"/>
          <w:szCs w:val="16"/>
        </w:rPr>
      </w:pPr>
    </w:p>
    <w:p w14:paraId="05ED576A" w14:textId="77777777" w:rsidR="005C7A08" w:rsidRPr="00FB4F67" w:rsidRDefault="005C7A0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Весной 1917 г. корабль Е-57 (ИМ Е-57 № 266, борт № V) экз. № 61, стратегический разведчик и тяжелый бомбардировщик был передан во вновь сформированный 4-й боевой отряд ЭВК, командиром экипажа был назначен штабс-капитан Г.В. Алехнович.</w:t>
      </w:r>
    </w:p>
    <w:p w14:paraId="7D3F3327" w14:textId="77777777" w:rsidR="005C7A08" w:rsidRPr="00FB4F67" w:rsidRDefault="005C7A0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первых числах (в середине по н.ст.) апреля 1917 г. экипаж получил приказ вылететь в составе отряда на Румынский фронт на аэродром Болгарийка, но до места назначения не дошел, совершив посадку в Кишиневе.</w:t>
      </w:r>
    </w:p>
    <w:p w14:paraId="7C9A6177" w14:textId="77777777" w:rsidR="005C7A08" w:rsidRPr="00FB4F67" w:rsidRDefault="005C7A0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мае 1917 г. корабль перелетел на аэродром 4-го отряда ЭВК Болгарийка.</w:t>
      </w:r>
    </w:p>
    <w:p w14:paraId="499A0DA3" w14:textId="77777777" w:rsidR="005C7A08" w:rsidRPr="00FB4F67" w:rsidRDefault="005C7A0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31.05.17 г. (13.06.17 г. по н.ст.) самолет в паре с ИМ Е-56 совершил бомбардировку складов и казарм в г. Тулча – оба корабля сбросили 288 кг бомб.</w:t>
      </w:r>
    </w:p>
    <w:p w14:paraId="360A0659" w14:textId="77777777" w:rsidR="005C7A08" w:rsidRPr="00FB4F67" w:rsidRDefault="005C7A0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17.06.17 г. (29.06.17 г. по н.ст.) стрелки корабля отбили атаку двухмоторного биплана противника.</w:t>
      </w:r>
    </w:p>
    <w:p w14:paraId="39A25FE5" w14:textId="77777777" w:rsidR="005C7A08" w:rsidRPr="00FB4F67" w:rsidRDefault="005C7A0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21.09.17 г. (04.10.17 г. по н.ст.) состоялся последний вылет этого корабля.</w:t>
      </w:r>
    </w:p>
    <w:p w14:paraId="2545ACAF" w14:textId="77777777" w:rsidR="005C7A08" w:rsidRPr="00FB4F67" w:rsidRDefault="005C7A0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15.11.17 г. (28.11.17 г.) разбит.</w:t>
      </w:r>
    </w:p>
    <w:p w14:paraId="7CFE7CE7" w14:textId="77777777" w:rsidR="005C7A08" w:rsidRPr="00FB4F67" w:rsidRDefault="005C7A0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Всего самолет выполнил не менее трех боевых вылетов.</w:t>
      </w:r>
    </w:p>
    <w:p w14:paraId="4A0AA71F" w14:textId="77777777" w:rsidR="005C7A08" w:rsidRPr="00FB4F67" w:rsidRDefault="005C7A0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Всего достроено и облетано 2 самолета ИМ-Е. Модификация по отношению к ИМ-Г определенные преимущества имела, однако ее запуск в серию не состоялся по организационным причинам – еще летом 1917 г. производство на РБВЗ было дезорганизовано, а после Октябрьской революции наладить выпуск новой модификации самолета оказалось невозможно (24094).</w:t>
      </w:r>
    </w:p>
    <w:p w14:paraId="15BA3E2F" w14:textId="77777777" w:rsidR="005C7A08" w:rsidRPr="00FB4F67" w:rsidRDefault="005C7A08" w:rsidP="0083075A">
      <w:pPr>
        <w:spacing w:after="0" w:line="240" w:lineRule="auto"/>
        <w:jc w:val="both"/>
        <w:rPr>
          <w:rFonts w:ascii="Times New Roman" w:hAnsi="Times New Roman" w:cs="Times New Roman"/>
          <w:color w:val="0070C0"/>
          <w:sz w:val="16"/>
          <w:szCs w:val="16"/>
        </w:rPr>
      </w:pPr>
    </w:p>
    <w:p w14:paraId="3E1013AD" w14:textId="77777777" w:rsidR="00291B3A" w:rsidRPr="002F2FDF" w:rsidRDefault="00291B3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Весной-летом 1917 года в состав ТАОН были включены 24 тяжелые батареи "М". Каждая батарея "М" имела 4 152-мм гаубицы Виккерса (3861).</w:t>
      </w:r>
    </w:p>
    <w:p w14:paraId="09CFB57C" w14:textId="77777777" w:rsidR="00291B3A" w:rsidRPr="002F2FDF" w:rsidRDefault="00291B3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071A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Весной 1917 года LZ-101 совершил налеты на Митинену, Яссы и Одессу. Он же бомбил базу флота Мудрое на острове Лемнос (11324).</w:t>
      </w:r>
    </w:p>
    <w:p w14:paraId="2095B8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D7E09C" w14:textId="77777777" w:rsidR="00EC0E98" w:rsidRPr="002F2FDF" w:rsidRDefault="00EC0E9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Весной 1917 в Минске был поднят наш первый аэростат заграждения для защиты от Цеппелинов (1230,22).</w:t>
      </w:r>
    </w:p>
    <w:p w14:paraId="36D09365" w14:textId="77777777" w:rsidR="00EC0E98" w:rsidRPr="002F2FDF" w:rsidRDefault="00EC0E9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B351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весны 1917 были приняты и совершали боевые вылеты ИМ серии Е Нижнего и Алехновича (92,205).</w:t>
      </w:r>
    </w:p>
    <w:p w14:paraId="4C4C49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9DD5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Весной 1917 началась усиленная подготовка к летней операции. Для авиации прежде всего требовалось создать резервы самолетов, моторов, боеприпасов и вооружения. Положение с этими средствами на отдельных участках фронта было просто катастрофическим. Так, начальник штаба VIII-й армии генерал Черемисов сообщал: "...армия занимает фронтом около 120 верст и располагает всего лишь восемью самолетами, способными к работе". Усилиями русских авиазаводов и благодаря помощи союзных держав, прежде всего Франции, в целом силы ВВФ к началу наступления удалось восстановить. Однако в отрядах имелось много </w:t>
      </w:r>
      <w:r w:rsidRPr="002F2FDF">
        <w:rPr>
          <w:rFonts w:ascii="Times New Roman" w:hAnsi="Times New Roman" w:cs="Times New Roman"/>
          <w:color w:val="000000" w:themeColor="text1"/>
          <w:kern w:val="2"/>
          <w:sz w:val="16"/>
          <w:szCs w:val="16"/>
        </w:rPr>
        <w:lastRenderedPageBreak/>
        <w:t>изношенных самолетов, причем в некоторых из них находились машины четырех различных типов. Всего фронт располагал 36 авиаотрядами, включая два французских, один английский, а также 1-й и 3-й боевые отряды эскадры воздушных кораблей (ЭВК). Армейская авиация насчитывала 225 самолетов и 222 летчика (11237).</w:t>
      </w:r>
    </w:p>
    <w:p w14:paraId="3302FC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ABCA32" w14:textId="7A437725" w:rsidR="009E00B5" w:rsidRPr="002F2FDF" w:rsidRDefault="009E00B5" w:rsidP="0083075A">
      <w:pPr>
        <w:shd w:val="clear" w:color="auto" w:fill="FFFFFF"/>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весны </w:t>
      </w:r>
      <w:bookmarkStart w:id="135" w:name="YANDEX_33"/>
      <w:bookmarkEnd w:id="135"/>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1917</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года в боевых частях действующей армии использовались только </w:t>
      </w:r>
      <w:r w:rsidR="003A5290" w:rsidRPr="002F2FDF">
        <w:rPr>
          <w:rFonts w:ascii="Times New Roman" w:hAnsi="Times New Roman" w:cs="Times New Roman"/>
          <w:color w:val="000000" w:themeColor="text1"/>
          <w:kern w:val="2"/>
          <w:sz w:val="16"/>
          <w:szCs w:val="16"/>
        </w:rPr>
        <w:t>противогазы Зелинского</w:t>
      </w:r>
      <w:r w:rsidRPr="002F2FDF">
        <w:rPr>
          <w:rFonts w:ascii="Times New Roman" w:hAnsi="Times New Roman" w:cs="Times New Roman"/>
          <w:color w:val="000000" w:themeColor="text1"/>
          <w:kern w:val="2"/>
          <w:sz w:val="16"/>
          <w:szCs w:val="16"/>
        </w:rPr>
        <w:t xml:space="preserve">, благодаря чему немцы отказались на русском фронте от «газобаллонных» </w:t>
      </w:r>
      <w:bookmarkStart w:id="136" w:name="YANDEX_34"/>
      <w:bookmarkEnd w:id="136"/>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атак</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хлором в силу их полной неэффективности против войск в таких противогазах (17021).</w:t>
      </w:r>
    </w:p>
    <w:p w14:paraId="0478B7D6" w14:textId="77777777" w:rsidR="009E00B5" w:rsidRPr="002F2FDF" w:rsidRDefault="009E00B5"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p>
    <w:p w14:paraId="26312DCA" w14:textId="77777777" w:rsidR="001C638F" w:rsidRPr="002F2FDF" w:rsidRDefault="001C638F"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Весной 1917 года первой жертвой германских подводных лодок на Севере стал русский транспорт «Ганслей», потопленный недалеко от острова Седловатый. Затем германские подводники уничтожили еще несколько торговых судов союзников. Одним из наиболее излюбленных «охотничьих угодий» для них стали подходы к Кольскому заливу. Только у мыса Цып–Наволок в те дни появилось до 7 германских подлодок. Вернувшаяся в северные воды U75 выставила здесь еще и три минные банки. Но эти мины были обнаружены русскими тральщиками и уничтожены. В 1917 году корабли флотилии СЛО более 20 раз обнаруживали германские подводные лодки у Кольского залива (к этому времени в Заполярье их было уже 12 единиц. — Авт.), которые только в Баренцевом море потопили более 20 транспортов стран Антанты. А 27 марта союзный транспорт был потоплен прямо на глазах у моряков дозорного русского тральщика (17007).</w:t>
      </w:r>
    </w:p>
    <w:p w14:paraId="47B655D4" w14:textId="77777777" w:rsidR="001C638F" w:rsidRPr="002F2FDF" w:rsidRDefault="001C638F"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p>
    <w:p w14:paraId="39078FB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72222A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D14F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Весной 1917 г. Моргановская группа предъявила требования на новые отсрочки, так как сроки по первому дополнительному соглашению выполнены быть не могли. Между прочим большое запоздание с постановкой дистанционных трубок случилось у Бетлеем Стиль, хотя этот завод до русского заказа уже имел солидный опыт по части трубок. Причиной явилось то обстоятельство, что Бетлеем Стиль не приступил к исполнению русского заказа, пока не закончил заказ на трубки для английского правительства. </w:t>
      </w:r>
    </w:p>
    <w:p w14:paraId="2FE93D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При исполнении Моргановского заказа случились серьезные недоразумения в вопросе с тротилом, где спорным пунктом явилась нормировка расхода тротила на единицу снабжения. </w:t>
      </w:r>
    </w:p>
    <w:p w14:paraId="21FA07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Только в начале 1917 г. все технические затруднения были исчерпаны и производство достигло своего максимума — 200 000 патронов в неделю. </w:t>
      </w:r>
    </w:p>
    <w:p w14:paraId="1001F8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При таком форсированном ходе работ, которые совпали с серьезнейшими транспортными затруднениями, естественно, получилось громадное скопление снаряженных патронов. Пришлось предпринять большие работы по организации хранения этого имущества, которого скопилось, примерно, на сумму до 48 млн долларов. Устройство складов для этого имущества стоило 420 тыс. долларов и расходы по хранению его — 15 тыс. долларов в месяц. </w:t>
      </w:r>
    </w:p>
    <w:p w14:paraId="36B2E5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Закончив заказ с опозданием больше чем на год, все компании, вошедшие в Моргановскую группу, за исключением Бетлеем Стиль предъявили русскому правительству судебные претензии, исчисляемые в сумме от 500 тыс. до 2 млн долларов. Процессы не были доведены до конца и прервались в 1918 г. вместе с разрывом сношений между Россией и Америкой (11329).</w:t>
      </w:r>
    </w:p>
    <w:p w14:paraId="081E4A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p>
    <w:p w14:paraId="0D1A8534" w14:textId="77777777" w:rsidR="00D96056" w:rsidRPr="002F2FDF" w:rsidRDefault="00D9605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D74DF8D" w14:textId="77777777" w:rsidR="00D96056" w:rsidRPr="002F2FDF" w:rsidRDefault="00D9605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9D0A06"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bookmarkStart w:id="137" w:name="_Hlk55750501"/>
      <w:r w:rsidRPr="002F2FDF">
        <w:rPr>
          <w:rFonts w:ascii="Times New Roman" w:hAnsi="Times New Roman" w:cs="Times New Roman"/>
          <w:color w:val="000000" w:themeColor="text1"/>
          <w:sz w:val="16"/>
          <w:szCs w:val="16"/>
        </w:rPr>
        <w:t>Весной 1917 г. по инициативе фирмы Фоккер конструктором Р. Плацом на базе истребителя-триплана Fokker V.4 (прототипа самолета Fokker Dr I, который первоначально проектировался как биплан, но построен был трипланом) было начато проектирование Фоккер V.9 с широким использованием его агрегатов, которые делались по тем же чертежам или с незначительными отличиями в размерах.</w:t>
      </w:r>
    </w:p>
    <w:p w14:paraId="61967DE4"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Главным изменением в конструкции самолета был переход на схему полутораплана.</w:t>
      </w:r>
    </w:p>
    <w:p w14:paraId="65687B61" w14:textId="4A34A438"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Самолет был построен заводом в г. Герризе без вооружения и с мотором Oberursel U 0 (80 л.с., вероятно, из-за отсутствия мотора, предусмотренного проектом).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Самолет совершил первый полет летом 1917 г. С мотором в 80 л.с. его летные данные были низкими.</w:t>
      </w:r>
    </w:p>
    <w:p w14:paraId="74521320" w14:textId="17597060"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январе 1918 г. самолет без вооружения был представлен на 1-й конкурс истребителей, проводившийся IdFlieg в Адлерсхофе. Однако самолет делался без заказа IdFlieg, и его изготовление не контролировалось ее приемщиком, потому он не был допущен к официальным испытаниям.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Самолет на вооружение принят не был и в серию не запускался (23160).</w:t>
      </w:r>
    </w:p>
    <w:p w14:paraId="0BB49921"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p>
    <w:bookmarkEnd w:id="137"/>
    <w:p w14:paraId="2A634D0C"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Весной 1917 г. Военное министерство Великобритании раздало заказы английским заводам на выпуск истребителя D.H.5. По 200 машин оплатили фирмам «Эйрко» и «Даррак», на 100 таких самолетов получил контракт завод «Марч, Джоунс и Крибб», который своих авиационных разработок не имел, но строил по лицензиям и другие аэропланы, еще 50 заказали британскому филиалу французского машиностроительного предприятия «Кодрон», который ранее занимался выпуском двигателей. Большинство их выполнило задания полностью, лишь «Марч» оплошал, сдав только 33 самолета. Еще одну машину сделало 1-е депо ремонта аэропланов, но не ясно — «с нуля» или из агрегатов списанных самолетов, как это в Англии практиковалось. Первые истребители Эйрко D.H.5 поступили в 24-ю эскадрилью RFC в мае 1917 г., а в сентябре выпуск прекратили, потому что самолет надежд не оправдал (22778).</w:t>
      </w:r>
    </w:p>
    <w:p w14:paraId="3E8F98D4"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p>
    <w:p w14:paraId="25E6E432"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Весной 1917 г. приняли на вооружение улучшенный RAF S.E.5a, и Военное министерство выдало большие заказы на него заводу RAF, а потом и пяти частным фирмам.</w:t>
      </w:r>
    </w:p>
    <w:p w14:paraId="25CD0A36"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Наряду с доработками по силовой установке и кабине на третьем опытном S.E.5 на 394 мм укоротили крылья, получив рост скорости одновременно с требуемым заказчиком улучшением устойчивости и управляемости по крену. Что интересно, буквально за два месяца до того за самовольное уменьшение размаха на чуть меньшую величину на головном самолете строившие его рабочие были наказаны.</w:t>
      </w:r>
    </w:p>
    <w:p w14:paraId="460D8E5C"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Они начали поставки летом 1917 г., и к концу года было готово около 1 000 планеров, но моторов H.S.8B снова не было, первые серийные S.E.5a строились с безредукторными моторами H.S.8Ab боевой мощностью 180 л. с. или их английскими копиями Вулсели W.4A «Питон» II той же мощности. Но и они оказались в дефиците, и около 400 некомплектных самолетов вместо отправки заказчику были сданы на хранение на заводе. Вопрос был решен как расширением производства H.S.8В во Франции, так и запуском в серию их лицензионных аналогов в Англии — в том числе с улучшениями. После этого серия пошла с редукторными моторами H.S.8B (220 л. с.) и четырехлопастными воздушными винтами.</w:t>
      </w:r>
    </w:p>
    <w:p w14:paraId="111B49F9"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Завод RAF в Фарнборо построил 213 самолетов S.E.5a — три единичных машины и три серийных заказа, сосредоточившись на сопровождении массового выпуска машины другими предприятиями, а его выпуск S.E.5a там был самым маленьким, тогда как основной производитель «Виккерс» дал их 2 215 штук тринадцатью заказами, «Эйр Навигейшн Ко» — 560 четырьмя заказами, «Вулсели» — 400 тремя заказами, «Мартинсайд» — столько же, но четырьмя заказами, «Остин» построил 1 550 самолетов четырьмя заказами, заказ еще на 250 самолетов отменили в связи с окончанием войны. Завод «Уайтхед Эвиэйшн» контракт на 100 самолетов получил в 1918 г., но до перемирия ни одного самолета не сдал. </w:t>
      </w:r>
    </w:p>
    <w:p w14:paraId="5EF1942C"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RAF S.E.5 был массовой машиной — их было построено 5 415 штук (в сравнении с 4 783 сухопутных истребителей-бипланов всех серийных типов фирмы «Альбатрос») (22792).</w:t>
      </w:r>
    </w:p>
    <w:p w14:paraId="74CE3718"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p>
    <w:p w14:paraId="26248F21"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Весной 1917 г. главный конструктор фирмы Фоккер Р. Плац по собственной инициативе спроектировал легкий биплан Фоккер V.9, взяв фюзеляж, оперение, шасси и системы триплана V.4 — прототипа серийного Dr I. Его облетали летом 1917 г. с мотором Оберурсель U 0 мощностью всего 80 л. с., получив заведомо слабые данные, но вскоре поставили купленный в Швеции Рон 9J (110 л. с.), а затем Оберурсель Ur II той же мощности, но немецкого производства.</w:t>
      </w:r>
    </w:p>
    <w:p w14:paraId="63939EC2"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Хотя скороподъемность оказалась слабовата, Плац доказал, что при превращении триплана Фоккер Dr I в биплан скорость не ухудшится, а трудоемкость изготовления и цена снизятся. Но V.9 был выставлен на конкурс лишь как резервный, а основными стали два биплана V.13.</w:t>
      </w:r>
    </w:p>
    <w:p w14:paraId="313E540A"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Первый, Фоккер V.13/I, отличался от «девятки» только увеличенными хордами, площадью крыльев и новыми стойками бипланной коробки. Он был облетан мотором Рон 9J в 110 сил шведского производства в конце 1917 г. Уже на конкурсе поставили опытный 145-сильный Оберурсель Ur III — в таком виде его оценивал лично Манфред фон Рихтгофен, особо похвалив за маневренность, сочтя остальные качества достаточными.</w:t>
      </w:r>
    </w:p>
    <w:p w14:paraId="3F2ADC20"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«Дублер» Фоккер V.13/II был построен с биротативным мотором Сименс-Гальске Sh III мощностью 160 л. с. Этот двигатель давал значительные преимущества не только в скорости, но и в маневренности, и в простоте пилоти рования, и в устойчивости на курсе благодаря меньшему гироскопическому моменту. Им интересовались и другие конструкторы, но недостаточная надежность помешала его более широкому применению на самолетах-истребителях. Историк П. Лиман утверждает, что А. Фоккер мог бы поспособствовать доводке перспективных двигателей Сименса, но был крупным акционером моторного завода «Оберурсель», и ему конкуренты были ни к чему (22789).</w:t>
      </w:r>
    </w:p>
    <w:p w14:paraId="6A4B7EF4"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p>
    <w:p w14:paraId="7E33463F" w14:textId="4B290C06"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Весной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г. дирекция фирмы «Люфтфахрфлюгцойг Гессельшафт» (LFG) вместо сложной технологии выклейки «корочки» фюзеляжа «Викельрумпф» (намоткой крест-накрест полос шпона с последующей шпатлевкой и ошкуриванием</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главный инженер фирмы LFG Танцен предложил ставить длинные полосы шпона вдоль фюзеляжа на готовый каркас с перекрытием с одной стороны, как это делается при изготовлении шлюпок. Новый способ назвали «Клинкеррумпф»</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«кирпичный фюзеляж», так как он выглядел разделенным на тонкие грани наподобие печки из голландского кирпича-клинкера. Существовавшая тогда в Германии </w:t>
      </w:r>
      <w:r w:rsidRPr="002F2FDF">
        <w:rPr>
          <w:rFonts w:ascii="Times New Roman" w:hAnsi="Times New Roman" w:cs="Times New Roman"/>
          <w:color w:val="000000" w:themeColor="text1"/>
          <w:sz w:val="16"/>
          <w:szCs w:val="16"/>
        </w:rPr>
        <w:lastRenderedPageBreak/>
        <w:t>аэродинамическая «теория пограничного слоя» профессора Людвига Прандтля говорила, что фюзеляж наименьшего сопротивления должен иметь не только гладкие контуры, но и круглое или, в крайнем случае, овальное сечение и его мидель должен быть минимально возможным. Это было правильно, однако никто не задумался о том, как взаимодействуют потоки, обтекающие соседние агрегаты. Свой новый фюзеляж ученик Прандтля дипломированный инженер Танцен проектировал в четком соответствии с этой теорией и тоже не потрудился подумать об этом. Чтобы расположить крылья относительно глаз пилота с обеспечением наилучшего обзора и не прогадать с их эффективным удлинением, которое для биплана зависит от расстояния между ними, он поставил верхнее низко над фюзеляжем, а для крепления нижнего под его днищем сделал «средний киль»</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узкий пилон, плавно переходивший в борта (22865).</w:t>
      </w:r>
    </w:p>
    <w:p w14:paraId="101ACB76"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p>
    <w:p w14:paraId="6EFC28FC" w14:textId="3C63D75B" w:rsidR="00A423C1" w:rsidRPr="002F2FDF" w:rsidRDefault="00A423C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Весной 1917 бомбардировщик Цеппелин-Штаакен R IV, которому был присвоен производственный номер R 12/15, был принят и в мае 1917 г. совершил перелет с завода в г. Гота в Тюрингии на базу отряда самолетов-гигантов Rfa 501 в Альт-Ауце в Восточной Пруссии с промежуточными посадками в Доберице и Кенигсберге. Там он выполнил первый боевой вылет днем на бомбардировку объектов русского флота на острове Эзель. Когда в сентябре 1917 г. Рига была занята немецкими войсками, отряд</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Rfa 500 перебазировался туда, но после Февральской буржуазной революции в России, приведшей к выходу из ее состава Эстонии, Литвы и Латвии, боевые действия там затихли, и его передали отряду Rfa 501 во Франции (23077).</w:t>
      </w:r>
    </w:p>
    <w:p w14:paraId="5ABD3173"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p>
    <w:p w14:paraId="271EE3D1"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 весны 1917 г. под руководством Р. Телена на фирме Альбатрос» (Albatros Flugzeugwerke G.m.b.H.) по заданию IdFlieg на базе самолета Albatros D V, который в то время проходил летные испытания и уже началось производство первых агрегатов для серийных самолетов, проектировался Альбатрос Dr I (L.36). Целью работы было повышение летных данных самолета за счет перехода на схему триплана. Самолет использовал серийные агрегаты от типа Albatros D V за исключением крыльев и их стоек, а также системы управления элеронами (фюзеляж был незначительно доработан).</w:t>
      </w:r>
    </w:p>
    <w:p w14:paraId="67169700" w14:textId="684D129B"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Самолет построен заводом фирмы в Йохаништале и совершил первый полет летом 1917 г.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Его летные данные оказались незначительно ниже, чем у серийного Albatros D V, а стоимость производства и была выше из-за более сложной конструкции, потому на вооружение он принят не был (23171).</w:t>
      </w:r>
    </w:p>
    <w:p w14:paraId="68ABBF2D"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p>
    <w:p w14:paraId="1FD21BEF" w14:textId="0F73959F"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Весной 1917 г. с целью проверки возможности повышения ЛТХ самолета Т.34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за счет перехода на схему триплана на фирме DFW (Deutsche Flugzeugwerke G.m.b.H.) было начато проектирование опытного истребителя DFW T.34/II (Dr I). По конструкции и комплектации самолет первоначально полностью соответствовал биплану Т.34 с мотором Mercedes D I (100 л.с.), отличаясь лишь трипланной коробкой крыльев и системой управления элеронами (23144).</w:t>
      </w:r>
    </w:p>
    <w:p w14:paraId="5A865998"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p>
    <w:p w14:paraId="6F27F7C7"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 весны 1917 г. и до конца войны истребитель Авиатик – Берг D I выпускался серийно шестью предприятиями, причем наибольшее число было сдано частям ВВ Австро-Венгрии предположительно в 1918 г., причем во второй половине этого года.</w:t>
      </w:r>
    </w:p>
    <w:p w14:paraId="6B598C25" w14:textId="680463DE"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Всего построено 962 самолета этого типа (это наиболее достоверное значение, но есть и другие данные – от примерно 700 до 990 машин).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Выпуск вели 6 заводов: «Авиатик», Асперн – 390 самолетов, включая как минимум 6 опытных; «Лёнер», Асперн – 165 самолетов; «Ллойд» – 100 самолетов; WKF, Вена – 75 самолетов, включая 1 опытный; MAG, Будапешт – 172 самолета; Thöne und Fiala – 60 самолетов.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Самолет эксплуатировался в ВВ Австро-Венгрии с мая 1917 по октябрь 1918 г. в боевых условиях на Восточном, Итальянском и Балканском фронтах. Использовался он в основном как фронтовой истребитель, но также как перехватчик ПВО (в т.ч. для охраны морских баз) и разведчик (23146).</w:t>
      </w:r>
    </w:p>
    <w:p w14:paraId="65625536"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p>
    <w:p w14:paraId="6D5253D8"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Весной 1917 г. в Англии были организованы и проведены сравнительные испытания шести видов новой танковой трансмиссии — трех механических, двух электрических и одной гидравлической. Все их установили на шасси специально подготовленных танков Mk II. В электротрансмиссии Foster-Daimler Petroil Electric Tank двигатель приводил в действие электрогенератор, питавший два тяговых электродвигателя. Но электрические трансмиссии показались слишком громоздкими и недостаточно надежными. Военных также не впечатлила и гидравлическая трансмиссия William-Jenney Hydraulic.</w:t>
      </w:r>
    </w:p>
    <w:p w14:paraId="0A677351"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результате для будущего танка была выбрана одна из механических трансмиссий — Wilson Epicyclic Tank с планетарными механизмами поворота, конструкции майора У. Дж. Вильсона. Она обеспечивала наибольшие скорости хода при сравнительно небольших габаритах и, кроме того, отличалась надежностью работы, удобством управления и обслуживания (22790).</w:t>
      </w:r>
    </w:p>
    <w:p w14:paraId="3DBFA8FE"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p>
    <w:p w14:paraId="7CC2E572"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Весной 1917 г. опытная бронированная машина, сконструированная Тритоном, успешно выдержала испытания, после чего последовал заказ на 200 машин, которые получили обозначение «средний» Mk A. Правда, серийные танки отличались от опытного образца — из-за производственных сложностей пришлось отказаться от вращающейся башни, и вооружение — три 7,7-мм пулемета «Гочкис» Мк.I в шаровых установках — было размещено в неподвижной рубке в задней части корпуса. В рубке размещался и весь экипаж — водитель на сиденье справа, слева от него стоял командир, который мог вести огонь из лобовой пулеметной установки, два пулеметчика обслуживали бортовой и кормовой пулеметы. Как уже упоминалось, на танке были установлены два 45-сильных двигателя водяного охлаждения (марки «Тейлор» JB4). Они размещались рядом, параллельно оси машины, и каждый имел свою коробку передач, соединенную с одной из гусениц. Поворот танка осуществлялся изменением числа оборотов одного из двигателей или переключением передач в коробках. При включении одной гусеницы на прямой ход, а второй — на задний танк мог вращаться на месте. Для облегчения управления машиной регулирование заслонок карбюраторов обоих двигателей осуществлялось поворотом рулевого колеса (22840).</w:t>
      </w:r>
    </w:p>
    <w:p w14:paraId="5BE94A10" w14:textId="77777777" w:rsidR="00A423C1" w:rsidRPr="002F2FDF" w:rsidRDefault="00A423C1" w:rsidP="0083075A">
      <w:pPr>
        <w:shd w:val="clear" w:color="auto" w:fill="FFFFFF"/>
        <w:spacing w:after="0" w:line="240" w:lineRule="auto"/>
        <w:jc w:val="both"/>
        <w:rPr>
          <w:rFonts w:ascii="Times New Roman" w:hAnsi="Times New Roman" w:cs="Times New Roman"/>
          <w:color w:val="000000" w:themeColor="text1"/>
          <w:sz w:val="16"/>
          <w:szCs w:val="16"/>
        </w:rPr>
      </w:pPr>
    </w:p>
    <w:p w14:paraId="17B0FEE4" w14:textId="1CBA0199" w:rsidR="00D96056" w:rsidRPr="002F2FDF" w:rsidRDefault="00D96056" w:rsidP="0083075A">
      <w:pPr>
        <w:pStyle w:val="ae"/>
        <w:spacing w:before="0" w:after="0"/>
        <w:jc w:val="both"/>
        <w:rPr>
          <w:color w:val="000000" w:themeColor="text1"/>
          <w:sz w:val="16"/>
          <w:szCs w:val="16"/>
        </w:rPr>
      </w:pPr>
      <w:r w:rsidRPr="002F2FDF">
        <w:rPr>
          <w:color w:val="000000" w:themeColor="text1"/>
          <w:sz w:val="16"/>
          <w:szCs w:val="16"/>
        </w:rPr>
        <w:t>Весной 1917 года Франция и Англия готовили большое наступление на широком участке фронта. Планировалось сковать большую часть немецких сил на участке франко-британской атаки под Аррасом (150 км от Парижа), затем прорвать немецкий фронт в холмах Шампани и, развивая прорыв, продолжить наступление. Британские танки (60 машин) должны были поддерживать атаку под Аррасом, а французские (132 машины)</w:t>
      </w:r>
      <w:r w:rsidR="00E52569">
        <w:rPr>
          <w:color w:val="000000" w:themeColor="text1"/>
          <w:sz w:val="16"/>
          <w:szCs w:val="16"/>
        </w:rPr>
        <w:t xml:space="preserve"> </w:t>
      </w:r>
      <w:r w:rsidRPr="002F2FDF">
        <w:rPr>
          <w:color w:val="000000" w:themeColor="text1"/>
          <w:sz w:val="16"/>
          <w:szCs w:val="16"/>
        </w:rPr>
        <w:t>— под Берри-о-Баком (Berry-au-Bac). Такой мощной концентрации бронетанковых сил до сих пор не видело ни одно сражение в мировой истории.</w:t>
      </w:r>
    </w:p>
    <w:p w14:paraId="7C2F1C0F" w14:textId="77777777" w:rsidR="00D96056" w:rsidRPr="002F2FDF" w:rsidRDefault="00D96056" w:rsidP="0083075A">
      <w:pPr>
        <w:pStyle w:val="ae"/>
        <w:spacing w:before="0" w:after="0"/>
        <w:jc w:val="both"/>
        <w:rPr>
          <w:color w:val="000000" w:themeColor="text1"/>
          <w:sz w:val="16"/>
          <w:szCs w:val="16"/>
        </w:rPr>
      </w:pPr>
      <w:r w:rsidRPr="002F2FDF">
        <w:rPr>
          <w:color w:val="000000" w:themeColor="text1"/>
          <w:sz w:val="16"/>
          <w:szCs w:val="16"/>
        </w:rPr>
        <w:t>В первых числах апреля Антанта начала массированную артиллерийскую подготовку на вышеуказанном участке фронта. Работали более пяти тысяч орудий, перемалывая в кашу немецкие передовые оборонительные рубежи. В то время, если кто помнит, будущий рейхспрезидент Германии фельдмаршал и национальный герой Пауль фон Гиндербург был начальником Генерального штаба. Очень талантливый полководец. Пока развлекалась англо-французская артиллерия, он увеличил глубину обороны и нанес блестящий упреждающий контрудар, в результате которого немцы захватили множество пленных, в том числе штабных офицеров с документами, раскрывающими планы предстоящего наступления.</w:t>
      </w:r>
    </w:p>
    <w:p w14:paraId="3654643C" w14:textId="77777777" w:rsidR="00D96056" w:rsidRPr="002F2FDF" w:rsidRDefault="00D96056" w:rsidP="0083075A">
      <w:pPr>
        <w:pStyle w:val="ae"/>
        <w:spacing w:before="0" w:after="0"/>
        <w:jc w:val="both"/>
        <w:rPr>
          <w:color w:val="000000" w:themeColor="text1"/>
          <w:sz w:val="16"/>
          <w:szCs w:val="16"/>
        </w:rPr>
      </w:pPr>
      <w:r w:rsidRPr="002F2FDF">
        <w:rPr>
          <w:color w:val="000000" w:themeColor="text1"/>
          <w:sz w:val="16"/>
          <w:szCs w:val="16"/>
        </w:rPr>
        <w:t>Просто необходимо сказать несколько слов об этих планах, поскольку они напрямую касались взаимодействия танков, пехоты и артиллерии.</w:t>
      </w:r>
    </w:p>
    <w:p w14:paraId="5E962424" w14:textId="60E214CB" w:rsidR="00D96056" w:rsidRPr="002F2FDF" w:rsidRDefault="00D96056" w:rsidP="0083075A">
      <w:pPr>
        <w:pStyle w:val="ae"/>
        <w:spacing w:before="0" w:after="0"/>
        <w:jc w:val="both"/>
        <w:rPr>
          <w:color w:val="000000" w:themeColor="text1"/>
          <w:sz w:val="16"/>
          <w:szCs w:val="16"/>
        </w:rPr>
      </w:pPr>
      <w:r w:rsidRPr="002F2FDF">
        <w:rPr>
          <w:color w:val="000000" w:themeColor="text1"/>
          <w:sz w:val="16"/>
          <w:szCs w:val="16"/>
        </w:rPr>
        <w:t>По замыслу французского командования, во время наступления танковой атаке предшествует заградительный артиллерийский огонь, каждые пять минут переносимый в направлении противника на сто метров. За огневым валом двигается пехота. А за ней колонной по одному (!) танки. После преодоления первой линии обороны танки выстраиваются в колонну по два. После второй линии</w:t>
      </w:r>
      <w:r w:rsidR="00E52569">
        <w:rPr>
          <w:color w:val="000000" w:themeColor="text1"/>
          <w:sz w:val="16"/>
          <w:szCs w:val="16"/>
        </w:rPr>
        <w:t xml:space="preserve"> </w:t>
      </w:r>
      <w:r w:rsidRPr="002F2FDF">
        <w:rPr>
          <w:color w:val="000000" w:themeColor="text1"/>
          <w:sz w:val="16"/>
          <w:szCs w:val="16"/>
        </w:rPr>
        <w:t>— в цепь с дистанцией 45-50 метров между машинами. Танки открывают огонь с дистанции не более 200 метров для орудий и 300 метров для пулеметов, чтобы компенсировать слабеющий (из-за увеличения дистанции) огонь артиллерии (18519).</w:t>
      </w:r>
    </w:p>
    <w:p w14:paraId="40F56AD2" w14:textId="77777777" w:rsidR="00D96056" w:rsidRPr="002F2FDF" w:rsidRDefault="00D96056" w:rsidP="0083075A">
      <w:pPr>
        <w:pStyle w:val="ae"/>
        <w:spacing w:before="0" w:after="0"/>
        <w:jc w:val="both"/>
        <w:rPr>
          <w:color w:val="000000" w:themeColor="text1"/>
          <w:sz w:val="16"/>
          <w:szCs w:val="16"/>
        </w:rPr>
      </w:pPr>
    </w:p>
    <w:p w14:paraId="7801B197" w14:textId="7055F1D0" w:rsidR="00291B3A" w:rsidRDefault="00291B3A"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Авиапромышленность:</w:t>
      </w:r>
    </w:p>
    <w:p w14:paraId="47357AA6" w14:textId="77777777" w:rsidR="00291B3A" w:rsidRDefault="00291B3A"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69AF143C" w14:textId="77777777" w:rsidR="00291B3A" w:rsidRPr="00FB4F67" w:rsidRDefault="00291B3A"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Весной—летом 1917 г. заводу Матиаса были оформлены заказы на 300 самолетов-разведчиков: 100 «Фарман-30» и 200 «Спад-14». Получив несколько миллионов рублей аванса, Стефанович потратил их на техническое перевооружение производства. Инспекторы УВВС, посетившие завод в октябре 1917 г., признали его наиболее современным по оборудованию среди всех предприятий отрасли. Но руководство завода увязло в проблемах с получением материалов и конфликтах с революционно настроенными рабочими, и до конца 1917 г. акционерное общество «Вдова Матиас и сыновья» не выпустило ни одного самолета (23472).</w:t>
      </w:r>
    </w:p>
    <w:p w14:paraId="7CA82B25" w14:textId="77777777" w:rsidR="00291B3A" w:rsidRPr="00FB4F67" w:rsidRDefault="00291B3A" w:rsidP="0083075A">
      <w:pPr>
        <w:spacing w:after="0" w:line="240" w:lineRule="auto"/>
        <w:jc w:val="both"/>
        <w:rPr>
          <w:rFonts w:ascii="Times New Roman" w:hAnsi="Times New Roman" w:cs="Times New Roman"/>
          <w:color w:val="0070C0"/>
          <w:sz w:val="16"/>
          <w:szCs w:val="16"/>
        </w:rPr>
      </w:pPr>
    </w:p>
    <w:p w14:paraId="06EE7229" w14:textId="7406E2BE" w:rsidR="00155DD3" w:rsidRPr="002F2FDF" w:rsidRDefault="00155DD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049E4466" w14:textId="77777777" w:rsidR="00155DD3" w:rsidRPr="002F2FDF" w:rsidRDefault="00155DD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832E04" w14:textId="77777777" w:rsidR="00155DD3" w:rsidRPr="002F2FDF" w:rsidRDefault="00155DD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Весною-осенью 1917 г. в 12-м, 3-м корпусных и 19-м армейском воздухоплава</w:t>
      </w:r>
      <w:r w:rsidRPr="002F2FDF">
        <w:rPr>
          <w:rFonts w:ascii="Times New Roman" w:hAnsi="Times New Roman" w:cs="Times New Roman"/>
          <w:color w:val="000000" w:themeColor="text1"/>
          <w:sz w:val="16"/>
          <w:szCs w:val="16"/>
        </w:rPr>
        <w:softHyphen/>
        <w:t>тельных отрядах провели испытания «покрышки для аэростатов» — брезентовые полотнища, пристёгнутые по экватору оболочки и закрывавшие нижнюю часть аэростата, которыен дали замечательные результа</w:t>
      </w:r>
      <w:r w:rsidRPr="002F2FDF">
        <w:rPr>
          <w:rFonts w:ascii="Times New Roman" w:hAnsi="Times New Roman" w:cs="Times New Roman"/>
          <w:color w:val="000000" w:themeColor="text1"/>
          <w:sz w:val="16"/>
          <w:szCs w:val="16"/>
        </w:rPr>
        <w:softHyphen/>
        <w:t xml:space="preserve"> ты: даже при сильных ветрах аэростат устойчиво стоял на биваке, не требуя удержания его солда</w:t>
      </w:r>
      <w:r w:rsidRPr="002F2FDF">
        <w:rPr>
          <w:rFonts w:ascii="Times New Roman" w:hAnsi="Times New Roman" w:cs="Times New Roman"/>
          <w:color w:val="000000" w:themeColor="text1"/>
          <w:sz w:val="16"/>
          <w:szCs w:val="16"/>
        </w:rPr>
        <w:softHyphen/>
        <w:t>тами. В дождливую погоду такелаж привязного аэростата и подстилочный брезент оставались сухими, обеспечивая постоянную готовность аэростата к работе. Генерал-инспектор приказал «весьма срочно» снабдить такой защитой все воз</w:t>
      </w:r>
      <w:r w:rsidRPr="002F2FDF">
        <w:rPr>
          <w:rFonts w:ascii="Times New Roman" w:hAnsi="Times New Roman" w:cs="Times New Roman"/>
          <w:color w:val="000000" w:themeColor="text1"/>
          <w:sz w:val="16"/>
          <w:szCs w:val="16"/>
        </w:rPr>
        <w:softHyphen/>
        <w:t>духоплавательные отряды (20120).</w:t>
      </w:r>
    </w:p>
    <w:p w14:paraId="1D8905DA" w14:textId="77777777" w:rsidR="00155DD3" w:rsidRPr="002F2FDF" w:rsidRDefault="00155DD3" w:rsidP="0083075A">
      <w:pPr>
        <w:spacing w:after="0" w:line="240" w:lineRule="auto"/>
        <w:jc w:val="both"/>
        <w:rPr>
          <w:rFonts w:ascii="Times New Roman" w:hAnsi="Times New Roman" w:cs="Times New Roman"/>
          <w:color w:val="000000" w:themeColor="text1"/>
          <w:sz w:val="16"/>
          <w:szCs w:val="16"/>
        </w:rPr>
      </w:pPr>
    </w:p>
    <w:p w14:paraId="220FC9CA" w14:textId="77777777" w:rsidR="00EC0E98"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2BD1982" w14:textId="77777777" w:rsidR="00EC0E98" w:rsidRPr="002F2FDF" w:rsidRDefault="00EC0E9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8862E0" w14:textId="77777777" w:rsidR="00EC0E98" w:rsidRPr="002F2FDF" w:rsidRDefault="00EC0E98"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 xml:space="preserve">К лету 1917 г. строгая система распределения самолетов по нарядам еще продолжала действовать, составлялись списки имевшихся в парк-складе самолетов «заграничных» и «местного отдела» всех трех категорий, изредка на новые должности назначались некие «зауряд-военные чиновники». Но все ощутимее и непреодолимее становились политические проблемы. В приказах и донесениях все чаще попадались выражения «не сделано», «не исполнено» и тд. 4 июня 1917 г. </w:t>
      </w:r>
      <w:r w:rsidRPr="002F2FDF">
        <w:rPr>
          <w:b w:val="0"/>
          <w:color w:val="000000" w:themeColor="text1"/>
          <w:kern w:val="2"/>
          <w:sz w:val="16"/>
          <w:szCs w:val="16"/>
        </w:rPr>
        <w:lastRenderedPageBreak/>
        <w:t>УВВФ сообщил, что «испытание образцовой установки Виккерса (для «Моска-МБбис» — А.Д.) должно быть произведено к 10 июня сего года, но ввиду экономических конфликтов с рабочими этот срок не является точным» (15464).</w:t>
      </w:r>
    </w:p>
    <w:p w14:paraId="7A45EC42" w14:textId="77777777" w:rsidR="00EC0E98" w:rsidRPr="002F2FDF" w:rsidRDefault="00EC0E98" w:rsidP="0083075A">
      <w:pPr>
        <w:pStyle w:val="2"/>
        <w:spacing w:before="0" w:beforeAutospacing="0" w:after="0" w:afterAutospacing="0"/>
        <w:jc w:val="both"/>
        <w:rPr>
          <w:b w:val="0"/>
          <w:color w:val="000000" w:themeColor="text1"/>
          <w:kern w:val="2"/>
          <w:sz w:val="16"/>
          <w:szCs w:val="16"/>
        </w:rPr>
      </w:pPr>
    </w:p>
    <w:p w14:paraId="628E2D1F" w14:textId="77777777" w:rsidR="00782893" w:rsidRPr="002F2FDF" w:rsidRDefault="0078289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lang w:eastAsia="ru-RU" w:bidi="ru-RU"/>
        </w:rPr>
        <w:t>К лету 1917 года Святогор был восста</w:t>
      </w:r>
      <w:r w:rsidRPr="002F2FDF">
        <w:rPr>
          <w:rFonts w:ascii="Times New Roman" w:hAnsi="Times New Roman" w:cs="Times New Roman"/>
          <w:color w:val="000000" w:themeColor="text1"/>
          <w:sz w:val="16"/>
          <w:szCs w:val="16"/>
          <w:lang w:eastAsia="ru-RU" w:bidi="ru-RU"/>
        </w:rPr>
        <w:softHyphen/>
        <w:t>новлен на заводе Лебедева. При этом задние стойки шасси уси</w:t>
      </w:r>
      <w:r w:rsidRPr="002F2FDF">
        <w:rPr>
          <w:rFonts w:ascii="Times New Roman" w:hAnsi="Times New Roman" w:cs="Times New Roman"/>
          <w:color w:val="000000" w:themeColor="text1"/>
          <w:sz w:val="16"/>
          <w:szCs w:val="16"/>
          <w:lang w:eastAsia="ru-RU" w:bidi="ru-RU"/>
        </w:rPr>
        <w:softHyphen/>
        <w:t>лили, а в местах их крепления к фюзеляжу по</w:t>
      </w:r>
      <w:r w:rsidRPr="002F2FDF">
        <w:rPr>
          <w:rFonts w:ascii="Times New Roman" w:hAnsi="Times New Roman" w:cs="Times New Roman"/>
          <w:color w:val="000000" w:themeColor="text1"/>
          <w:sz w:val="16"/>
          <w:szCs w:val="16"/>
          <w:lang w:eastAsia="ru-RU" w:bidi="ru-RU"/>
        </w:rPr>
        <w:softHyphen/>
        <w:t>явились специальные наплывы. Но вот пред</w:t>
      </w:r>
      <w:r w:rsidRPr="002F2FDF">
        <w:rPr>
          <w:rFonts w:ascii="Times New Roman" w:hAnsi="Times New Roman" w:cs="Times New Roman"/>
          <w:color w:val="000000" w:themeColor="text1"/>
          <w:sz w:val="16"/>
          <w:szCs w:val="16"/>
          <w:lang w:eastAsia="ru-RU" w:bidi="ru-RU"/>
        </w:rPr>
        <w:softHyphen/>
        <w:t>принимались ли в 1917 году попытки взлета – неизвестно (21289).</w:t>
      </w:r>
    </w:p>
    <w:p w14:paraId="0365E6B7" w14:textId="77777777" w:rsidR="00782893" w:rsidRPr="002F2FDF" w:rsidRDefault="00782893" w:rsidP="0083075A">
      <w:pPr>
        <w:spacing w:after="0" w:line="240" w:lineRule="auto"/>
        <w:jc w:val="both"/>
        <w:rPr>
          <w:rFonts w:ascii="Times New Roman" w:hAnsi="Times New Roman" w:cs="Times New Roman"/>
          <w:color w:val="000000" w:themeColor="text1"/>
          <w:sz w:val="16"/>
          <w:szCs w:val="16"/>
        </w:rPr>
      </w:pPr>
    </w:p>
    <w:p w14:paraId="70111780" w14:textId="77777777" w:rsidR="00E804E9" w:rsidRPr="002F2FDF" w:rsidRDefault="00E804E9" w:rsidP="0083075A">
      <w:pPr>
        <w:shd w:val="clear" w:color="auto" w:fill="FFFFFF"/>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лету 1917 г. автопарк «Дукса» пополнился, еще двумя автомобилями. Весной Бутми продал заводу свой «Панар Левассер» (гор. № 967). Из Франции через Архангельск, Петроградский и Московский парк-склады авиационного имущества на завод прибыл новейший автомобиль «Альда-торпедо» фирмы «Фернанд Шарон». Объемистая переписка по его затянувшейся доставке, хранению и оплате визировалась военными приемщиками как военного имущества для нужд фронта (15221).</w:t>
      </w:r>
    </w:p>
    <w:p w14:paraId="5ABF8428" w14:textId="77777777" w:rsidR="00E804E9" w:rsidRPr="002F2FDF" w:rsidRDefault="00E804E9"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7A66A5B9" w14:textId="77777777" w:rsidR="00CA46D5" w:rsidRPr="00FB4F67" w:rsidRDefault="00CA46D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лету 1917 г. к сдаче предъявили только 25 МБ бис из 125, заказанных в октябре. На одной из этих машин воевал русский летчик-ас В.И. Янченко (23472).</w:t>
      </w:r>
    </w:p>
    <w:p w14:paraId="4EF09A86" w14:textId="77777777" w:rsidR="00CA46D5" w:rsidRPr="00FB4F67" w:rsidRDefault="00CA46D5" w:rsidP="0083075A">
      <w:pPr>
        <w:spacing w:after="0" w:line="240" w:lineRule="auto"/>
        <w:jc w:val="both"/>
        <w:rPr>
          <w:rFonts w:ascii="Times New Roman" w:hAnsi="Times New Roman" w:cs="Times New Roman"/>
          <w:color w:val="0070C0"/>
          <w:sz w:val="16"/>
          <w:szCs w:val="16"/>
        </w:rPr>
      </w:pPr>
    </w:p>
    <w:p w14:paraId="7F64EB4E" w14:textId="77777777" w:rsidR="00CA46D5" w:rsidRPr="00FB4F67" w:rsidRDefault="00CA46D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лету 1917 года Святогор был восста</w:t>
      </w:r>
      <w:r w:rsidRPr="00FB4F67">
        <w:rPr>
          <w:rFonts w:ascii="Times New Roman" w:hAnsi="Times New Roman" w:cs="Times New Roman"/>
          <w:color w:val="0070C0"/>
          <w:sz w:val="16"/>
          <w:szCs w:val="16"/>
        </w:rPr>
        <w:softHyphen/>
        <w:t>новлен. При этом задние стойки шасси уси</w:t>
      </w:r>
      <w:r w:rsidRPr="00FB4F67">
        <w:rPr>
          <w:rFonts w:ascii="Times New Roman" w:hAnsi="Times New Roman" w:cs="Times New Roman"/>
          <w:color w:val="0070C0"/>
          <w:sz w:val="16"/>
          <w:szCs w:val="16"/>
        </w:rPr>
        <w:softHyphen/>
        <w:t>лили, а в местах их крепления к фюзеляжу по</w:t>
      </w:r>
      <w:r w:rsidRPr="00FB4F67">
        <w:rPr>
          <w:rFonts w:ascii="Times New Roman" w:hAnsi="Times New Roman" w:cs="Times New Roman"/>
          <w:color w:val="0070C0"/>
          <w:sz w:val="16"/>
          <w:szCs w:val="16"/>
        </w:rPr>
        <w:softHyphen/>
        <w:t>явились специальные наплывы. Но вот пред</w:t>
      </w:r>
      <w:r w:rsidRPr="00FB4F67">
        <w:rPr>
          <w:rFonts w:ascii="Times New Roman" w:hAnsi="Times New Roman" w:cs="Times New Roman"/>
          <w:color w:val="0070C0"/>
          <w:sz w:val="16"/>
          <w:szCs w:val="16"/>
        </w:rPr>
        <w:softHyphen/>
        <w:t>принимались ли в 1917 году попытки взлета - неизвестно. Питер бурлил, события того лета и осени не благоприятствовали испытаниям, а потом и вовсе стало не до них. «Святогор» стоял в ангаре на национализированном за</w:t>
      </w:r>
      <w:r w:rsidRPr="00FB4F67">
        <w:rPr>
          <w:rFonts w:ascii="Times New Roman" w:hAnsi="Times New Roman" w:cs="Times New Roman"/>
          <w:color w:val="0070C0"/>
          <w:sz w:val="16"/>
          <w:szCs w:val="16"/>
        </w:rPr>
        <w:softHyphen/>
        <w:t>воде Лебедева и ветшал. Его конструктор, ви</w:t>
      </w:r>
      <w:r w:rsidRPr="00FB4F67">
        <w:rPr>
          <w:rFonts w:ascii="Times New Roman" w:hAnsi="Times New Roman" w:cs="Times New Roman"/>
          <w:color w:val="0070C0"/>
          <w:sz w:val="16"/>
          <w:szCs w:val="16"/>
        </w:rPr>
        <w:softHyphen/>
        <w:t>димо, полностью потерял интерес к своему детищу, как и вообще к постройке самолетов (21288).</w:t>
      </w:r>
    </w:p>
    <w:p w14:paraId="5DA40D5D" w14:textId="77777777" w:rsidR="00CA46D5" w:rsidRPr="00FB4F67" w:rsidRDefault="00CA46D5" w:rsidP="0083075A">
      <w:pPr>
        <w:spacing w:after="0" w:line="240" w:lineRule="auto"/>
        <w:jc w:val="both"/>
        <w:rPr>
          <w:rFonts w:ascii="Times New Roman" w:hAnsi="Times New Roman" w:cs="Times New Roman"/>
          <w:color w:val="0070C0"/>
          <w:sz w:val="16"/>
          <w:szCs w:val="16"/>
        </w:rPr>
      </w:pPr>
    </w:p>
    <w:p w14:paraId="4721CEED" w14:textId="77777777" w:rsidR="003875B3" w:rsidRPr="002F2FDF" w:rsidRDefault="003875B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лету 1917 г. на авиационных заводах Щетинина и Лебедева сокращалось производство самолетов, главным образом из-за нехватки авиационных двигателей, которые поставлялись из-за границы (9528).</w:t>
      </w:r>
    </w:p>
    <w:p w14:paraId="770C3548" w14:textId="77777777" w:rsidR="003875B3" w:rsidRPr="002F2FDF" w:rsidRDefault="003875B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85ABB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0E1982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B1DA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лету 1917 г. 90 % основных, каменных зданий Ярославского автозавода было закончено, от железнодорожной линии Ярославль-Вологда была проведена ветка, тянувшаяся вдоль всей территории завода; имелась хорошо оборудованная силовая станция. Сооружение автомобильного завода в Ярославле, строительный подряд на который получил один из акционеров о-ва “В.А. Лебедев” “Торговый дом А.В. Зобнин и Ко. Волжское строительное дело” шло достаточно успешно. Завод располагал запасами леса, арматуры, почти 9 тыс. пудов черного и цветного металлов, однако станочного парка было установлено только 25 %. Интенсивный процесс дооборудования предприятия, именовавшегося с августа 1918 г. 1-ым государственным авторемонтным заводом, продолжался в последующие годы несколькими путями. Прибыла из Архангельска и Владивостока часть станков, заказанных за рубежом, в распоряжение завода поступило оборудование авторемонтных тыловых мастерских Западного фронта, а позже закрытого недостроенного автомобильного завода в Рыбинске. С середины 1920-х гг. и до 1958 г. завод был ведущим предприятием отечественного тяжелого автомобилестроения; впоследствии входил в объединение «Автодизель» (11863).</w:t>
      </w:r>
    </w:p>
    <w:p w14:paraId="5905F5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AC75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лету 1917 года Петроградский Металлический завод закончил изготовление двух железнодорожных транспортеров, а в августе уже были сформированы две батареи. В конце 1916 года Морское Минис-терство поручило Петроградскому Металлическому заводу разработать проект первого русского железнодорожного транспортера. В основу проекта были взяты изготовленные в 1901 г. орудийные станки для броненосца «Ростислав», разработанные Обуховским заводом в 1898 году и замененные в последующем на орудийные станки Металлического завода, как более надежные и не имевшие недостатков станков Обуховской разработки (11871). </w:t>
      </w:r>
    </w:p>
    <w:p w14:paraId="771C1E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8DDBA6" w14:textId="77777777" w:rsidR="00782893" w:rsidRPr="002F2FDF" w:rsidRDefault="00782893" w:rsidP="0083075A">
      <w:pPr>
        <w:pStyle w:val="ae"/>
        <w:shd w:val="clear" w:color="auto" w:fill="FFFFFF"/>
        <w:spacing w:before="0" w:after="0"/>
        <w:jc w:val="both"/>
        <w:rPr>
          <w:color w:val="000000" w:themeColor="text1"/>
          <w:sz w:val="16"/>
          <w:szCs w:val="16"/>
        </w:rPr>
      </w:pPr>
      <w:r w:rsidRPr="002F2FDF">
        <w:rPr>
          <w:color w:val="000000" w:themeColor="text1"/>
          <w:sz w:val="16"/>
          <w:szCs w:val="16"/>
        </w:rPr>
        <w:t>К лету 1917 г. 90 % основных, каменных зданий автомобильного завода в Ярославле, строительный подряд на который получил один из акционеров о-ва “В.А. Лебедев” “Торговый дом А.В. Зобнин и К</w:t>
      </w:r>
      <w:r w:rsidRPr="002F2FDF">
        <w:rPr>
          <w:color w:val="000000" w:themeColor="text1"/>
          <w:sz w:val="16"/>
          <w:szCs w:val="16"/>
          <w:vertAlign w:val="superscript"/>
        </w:rPr>
        <w:t>о</w:t>
      </w:r>
      <w:r w:rsidRPr="002F2FDF">
        <w:rPr>
          <w:color w:val="000000" w:themeColor="text1"/>
          <w:sz w:val="16"/>
          <w:szCs w:val="16"/>
        </w:rPr>
        <w:t>. Волжское строительное дело”, было закончено, от железнодорожной линии Ярославль-Вологда была проведена ветка, тянувшаяся вдоль всей территории завода; имелась хорошо оборудованная силовая станция. Завод располагал запасами леса, арматуры, почти 9 тыс. пудов черного и цветного металлов, однако станочного парка было установлено только 25%. Интенсивный процесс дооборудования предприятия, именовавшегося с августа 1918 г. 1-ым государственным авторемонтным заводом, продолжался в последующие годы несколькими путями. Прибыла из Архангельска и Владивостока часть станков, заказанных за рубежом, в распоряжение завода поступило оборудование авторемонтных тыловых мастерских Западного фронта, а позже закрытого недостроенного автомобильного завода в Рыбинске. С середины 1920-х гг. и до 1958 г. завод был ведущим предприятием отечественного тяжелого автомобилестроения; впоследствии входил в объединение «Автодизель» (21552).</w:t>
      </w:r>
    </w:p>
    <w:p w14:paraId="6D303EF3" w14:textId="77777777" w:rsidR="00782893" w:rsidRPr="002F2FDF" w:rsidRDefault="00782893" w:rsidP="0083075A">
      <w:pPr>
        <w:pStyle w:val="ae"/>
        <w:shd w:val="clear" w:color="auto" w:fill="FFFFFF"/>
        <w:spacing w:before="0" w:after="0"/>
        <w:jc w:val="both"/>
        <w:rPr>
          <w:color w:val="000000" w:themeColor="text1"/>
          <w:sz w:val="16"/>
          <w:szCs w:val="16"/>
        </w:rPr>
      </w:pPr>
    </w:p>
    <w:p w14:paraId="0CCCE76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BD749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2B3B24" w14:textId="349EFCF1" w:rsidR="00A81F96" w:rsidRPr="002F2FDF" w:rsidRDefault="00A81F9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лету 1916 года насчитывалось 135 авиаотрядов, Из них три подчинялись непосредственно УВВФ, 4 были крепостными (базировались в Одессе, Петрограде, Кронштадте и Ревеле). На сухопутных театрах войны находилось 84 авиаотряда: 44 корпусных, 4 артиллерийских, 12 армейских и 24 истребительных. Армейские отряды выполняли примерно те же задачи, что и корпусные (только в масштабах армии). Они состояли из б разведчиков и 2 истребителей любых типов, базировались в тылу армий и занимались в основном дальней разведкой. Артиллерийские отряды были созданы уже в ходе войны, когда позиционный характер боев предопределил необходимость более точной корректировки артогня. Ранее применявшиеся для этой цели аэростаты стали слишком уязвимыми - противник попросту расстреливал их из пулеметов и орудий. На 20 июля </w:t>
      </w:r>
      <w:bookmarkStart w:id="138" w:name="YANDEX_6"/>
      <w:bookmarkEnd w:id="138"/>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1917</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года числилось три действующих и один формирующийся артиллерийский отряд. По штату в каждом из них полагалось по 22 самолета. Истребительные отряды образовывали 4 авиагруппы, где насчитывалось 196 машин (плюс 81 истребитель для прикрытия разведчиков). Из 6-8 отрядов разного назначения формировались авиадивизионы. На 1 </w:t>
      </w:r>
      <w:bookmarkStart w:id="139" w:name="YANDEX_7"/>
      <w:bookmarkEnd w:id="139"/>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июня</w:t>
      </w:r>
      <w:r w:rsidR="00E52569">
        <w:rPr>
          <w:rStyle w:val="highlight"/>
          <w:rFonts w:ascii="Times New Roman" w:hAnsi="Times New Roman" w:cs="Times New Roman"/>
          <w:color w:val="000000" w:themeColor="text1"/>
          <w:kern w:val="2"/>
          <w:sz w:val="16"/>
          <w:szCs w:val="16"/>
        </w:rPr>
        <w:t xml:space="preserve"> </w:t>
      </w:r>
      <w:bookmarkStart w:id="140" w:name="YANDEX_8"/>
      <w:bookmarkEnd w:id="140"/>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1917</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года действующая армия располагала 581 самолетом, в том числе: Северный фронт - 93, Западный - 125, Юго-Западный и Румынский - 259 и Кавказский – 104 (14027).</w:t>
      </w:r>
    </w:p>
    <w:p w14:paraId="7E88C225" w14:textId="77777777" w:rsidR="00A81F96" w:rsidRPr="002F2FDF" w:rsidRDefault="00A81F9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8CFF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лету 1917 г. на Румынском фронте была подготовлена наступательная операция и сосредоточены значительные силы русской авиации (12 авиаотрядов и 2 франко-румынские эскадрильи). Для усиления на участке прорыва 6-й армии была создана ударная «Временная авиагруппа» в составе 6-го и 36-го корпусных авиаотрядов и 10-го истребительного отряда. Для повышения эффективности несколько машин были оборудованы техническими новинками – радиостанциями. 20 июня начальником Временной авиагруппы был назначен штабс-капитан Каплин. До начала наступления она осуществила детальную воздушную разведку и аэрофотосьемку полосы прорыва, обнаружила работы по укреплению позиций противника в направлениях Быстрицы и Кедзи-Варгель. После начала наступления 7 июля 6-й и 36-й отряды под прикрытием истребителей 10-го отряда постоянно вели корректировку огня своей артиллерии, разведку и бомбардировку позиций. Австрийская авиация существенно превосходила по численности и качеству самолетов, почти ежедневно шли воздушные бои, в которых русские истребители из-за малочисленности с трудом противостояли противнику. Однако благодаря мастерству и мужеству военных летчиков, за время операции русские авиаотряды и франко-румынские эскадрильи совершили около 2 тыс. боевых вылетов, сбили 20 самолетов противника, потеряв при этом лишь 3 своих машины. Тем не менее, успешно начатое наступление Румынского фронта закончилось серьезной неудачей. Несмотря на прорыв русскими войсками австрийского фронта, 12 июля 1917 г. глава Временного Правительства А.Ф.Керенский, испуганный поражением под Тарнополем соседнего Юго-Западного фронта, самовольно заявил об отмене наступления, обратившись при этом напрямую к солдатам через голову командования. Это распоряжение сразу же вызвало деморализацию русских войск, дисциплина резко упала. Ссылаясь на Керенского, солдаты под влиянием пропаганды в массовом порядке стали отказываться наступать и подчиняться офицерам (12056).</w:t>
      </w:r>
    </w:p>
    <w:p w14:paraId="3F2727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8CB08C" w14:textId="77777777" w:rsidR="00130660" w:rsidRPr="002F2FDF" w:rsidRDefault="0013066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A5DDBC6" w14:textId="77777777" w:rsidR="00130660" w:rsidRPr="002F2FDF" w:rsidRDefault="0013066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C97E83" w14:textId="354F8E20" w:rsidR="00130660" w:rsidRPr="002F2FDF" w:rsidRDefault="00130660" w:rsidP="0083075A">
      <w:pPr>
        <w:pStyle w:val="ae"/>
        <w:shd w:val="clear" w:color="auto" w:fill="FFFFFF"/>
        <w:spacing w:before="0" w:after="0"/>
        <w:jc w:val="both"/>
        <w:rPr>
          <w:color w:val="000000" w:themeColor="text1"/>
          <w:sz w:val="16"/>
          <w:szCs w:val="16"/>
        </w:rPr>
      </w:pPr>
      <w:r w:rsidRPr="002F2FDF">
        <w:rPr>
          <w:color w:val="000000" w:themeColor="text1"/>
          <w:sz w:val="16"/>
          <w:szCs w:val="16"/>
        </w:rPr>
        <w:t>К лету 1917 г. французский танк, получивший индекс FCM 1A, был готов. Его внешний вид был весьма внушителен</w:t>
      </w:r>
      <w:r w:rsidR="00E52569">
        <w:rPr>
          <w:color w:val="000000" w:themeColor="text1"/>
          <w:sz w:val="16"/>
          <w:szCs w:val="16"/>
        </w:rPr>
        <w:t xml:space="preserve"> </w:t>
      </w:r>
      <w:r w:rsidRPr="002F2FDF">
        <w:rPr>
          <w:color w:val="000000" w:themeColor="text1"/>
          <w:sz w:val="16"/>
          <w:szCs w:val="16"/>
        </w:rPr>
        <w:t>— при длине в 8,27 м это был самый большой танк, построенный к тому моменту (длинный корпус считался необходимым, чтобы преодолевать траншеи). При этом по сравнению с британскими «ромбами» FCM 1A обладал более сильным бронированием</w:t>
      </w:r>
      <w:r w:rsidR="00E52569">
        <w:rPr>
          <w:color w:val="000000" w:themeColor="text1"/>
          <w:sz w:val="16"/>
          <w:szCs w:val="16"/>
        </w:rPr>
        <w:t xml:space="preserve"> </w:t>
      </w:r>
      <w:r w:rsidRPr="002F2FDF">
        <w:rPr>
          <w:color w:val="000000" w:themeColor="text1"/>
          <w:sz w:val="16"/>
          <w:szCs w:val="16"/>
        </w:rPr>
        <w:t>— лобовая часть корпуса и башня изготовлялась из 35-мм брони, борта и корма корпуса</w:t>
      </w:r>
      <w:r w:rsidR="00E52569">
        <w:rPr>
          <w:color w:val="000000" w:themeColor="text1"/>
          <w:sz w:val="16"/>
          <w:szCs w:val="16"/>
        </w:rPr>
        <w:t xml:space="preserve"> </w:t>
      </w:r>
      <w:r w:rsidRPr="002F2FDF">
        <w:rPr>
          <w:color w:val="000000" w:themeColor="text1"/>
          <w:sz w:val="16"/>
          <w:szCs w:val="16"/>
        </w:rPr>
        <w:t>— из 20-мм, крыша и днище</w:t>
      </w:r>
      <w:r w:rsidR="00E52569">
        <w:rPr>
          <w:color w:val="000000" w:themeColor="text1"/>
          <w:sz w:val="16"/>
          <w:szCs w:val="16"/>
        </w:rPr>
        <w:t xml:space="preserve"> </w:t>
      </w:r>
      <w:r w:rsidRPr="002F2FDF">
        <w:rPr>
          <w:color w:val="000000" w:themeColor="text1"/>
          <w:sz w:val="16"/>
          <w:szCs w:val="16"/>
        </w:rPr>
        <w:t>— из 15-мм, а его основное вооружение устанавливалось не в спонсонах, а в башне с круговым вращением.</w:t>
      </w:r>
    </w:p>
    <w:p w14:paraId="33072DF3" w14:textId="778AE99A" w:rsidR="00130660" w:rsidRPr="002F2FDF" w:rsidRDefault="00130660" w:rsidP="0083075A">
      <w:pPr>
        <w:pStyle w:val="ae"/>
        <w:shd w:val="clear" w:color="auto" w:fill="FFFFFF"/>
        <w:spacing w:before="0" w:after="0"/>
        <w:jc w:val="both"/>
        <w:rPr>
          <w:color w:val="000000" w:themeColor="text1"/>
          <w:sz w:val="16"/>
          <w:szCs w:val="16"/>
        </w:rPr>
      </w:pPr>
      <w:r w:rsidRPr="002F2FDF">
        <w:rPr>
          <w:color w:val="000000" w:themeColor="text1"/>
          <w:sz w:val="16"/>
          <w:szCs w:val="16"/>
        </w:rPr>
        <w:t>Прототип получил двигатель Renault мощностью 220 л. с., позволяющий танку развивать максимальную скорость до 6 км/ч. Подвеска опорных катков малого диаметра была блокированной, однако жесткость хода отчасти была компенсирована их количеством. Ведущие колеса находились впереди, направляющие колеса гребневого зацепления</w:t>
      </w:r>
      <w:r w:rsidR="00E52569">
        <w:rPr>
          <w:color w:val="000000" w:themeColor="text1"/>
          <w:sz w:val="16"/>
          <w:szCs w:val="16"/>
        </w:rPr>
        <w:t xml:space="preserve"> </w:t>
      </w:r>
      <w:r w:rsidRPr="002F2FDF">
        <w:rPr>
          <w:color w:val="000000" w:themeColor="text1"/>
          <w:sz w:val="16"/>
          <w:szCs w:val="16"/>
        </w:rPr>
        <w:t>— сзади. Все открытые элементы ходовой части были надежно прикрыты бронеэкранами. Благодаря высокой и длинной ходовой части FCM 1A легко преодолевал препятствия</w:t>
      </w:r>
      <w:r w:rsidR="00E52569">
        <w:rPr>
          <w:color w:val="000000" w:themeColor="text1"/>
          <w:sz w:val="16"/>
          <w:szCs w:val="16"/>
        </w:rPr>
        <w:t xml:space="preserve"> </w:t>
      </w:r>
      <w:r w:rsidRPr="002F2FDF">
        <w:rPr>
          <w:color w:val="000000" w:themeColor="text1"/>
          <w:sz w:val="16"/>
          <w:szCs w:val="16"/>
        </w:rPr>
        <w:t>— траншею шириной 2 м, вертикальную стенку высотой до 0,9</w:t>
      </w:r>
      <w:r w:rsidR="00E52569">
        <w:rPr>
          <w:color w:val="000000" w:themeColor="text1"/>
          <w:sz w:val="16"/>
          <w:szCs w:val="16"/>
        </w:rPr>
        <w:t xml:space="preserve"> </w:t>
      </w:r>
      <w:r w:rsidRPr="002F2FDF">
        <w:rPr>
          <w:color w:val="000000" w:themeColor="text1"/>
          <w:sz w:val="16"/>
          <w:szCs w:val="16"/>
        </w:rPr>
        <w:t>м, воронки диаметром до 3,5 м. Разогнавшись, танк мог свалить дерево диаметром до 0,35 м и без труда рвал проволочные заграждения (22875).</w:t>
      </w:r>
    </w:p>
    <w:p w14:paraId="357A8C42" w14:textId="77777777" w:rsidR="00130660" w:rsidRPr="002F2FDF" w:rsidRDefault="00130660" w:rsidP="0083075A">
      <w:pPr>
        <w:pStyle w:val="ae"/>
        <w:shd w:val="clear" w:color="auto" w:fill="FFFFFF"/>
        <w:spacing w:before="0" w:after="0"/>
        <w:jc w:val="both"/>
        <w:rPr>
          <w:color w:val="000000" w:themeColor="text1"/>
          <w:sz w:val="16"/>
          <w:szCs w:val="16"/>
        </w:rPr>
      </w:pPr>
    </w:p>
    <w:p w14:paraId="776401C7" w14:textId="2F1FA384" w:rsidR="00C53D87" w:rsidRPr="00C53D87" w:rsidRDefault="00C53D87"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C53D87">
        <w:rPr>
          <w:rFonts w:ascii="Times New Roman" w:hAnsi="Times New Roman" w:cs="Times New Roman"/>
          <w:i/>
          <w:iCs/>
          <w:color w:val="000000" w:themeColor="text1"/>
          <w:kern w:val="2"/>
          <w:sz w:val="16"/>
          <w:szCs w:val="16"/>
        </w:rPr>
        <w:t>Авиапромышленность:</w:t>
      </w:r>
    </w:p>
    <w:p w14:paraId="253BB6F9" w14:textId="77777777" w:rsidR="00C53D87" w:rsidRPr="00C53D87" w:rsidRDefault="00C53D87"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E980C1D" w14:textId="52A529A6" w:rsidR="00C53D87" w:rsidRPr="002F2FDF" w:rsidRDefault="00C53D8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К июню 1917 завод Анатра вместо заказ</w:t>
      </w:r>
      <w:r>
        <w:rPr>
          <w:color w:val="000000" w:themeColor="text1"/>
          <w:kern w:val="2"/>
          <w:sz w:val="16"/>
          <w:szCs w:val="16"/>
        </w:rPr>
        <w:t>а</w:t>
      </w:r>
      <w:r w:rsidRPr="002F2FDF">
        <w:rPr>
          <w:rFonts w:ascii="Times New Roman" w:hAnsi="Times New Roman" w:cs="Times New Roman"/>
          <w:color w:val="000000" w:themeColor="text1"/>
          <w:kern w:val="2"/>
          <w:sz w:val="16"/>
          <w:szCs w:val="16"/>
        </w:rPr>
        <w:t>нных 450 Анадэ сдал только 215 + по отдельному заказу 10 учебных (5151, 10).</w:t>
      </w:r>
    </w:p>
    <w:p w14:paraId="2A15AE38" w14:textId="77777777" w:rsidR="00C53D87" w:rsidRPr="002F2FDF" w:rsidRDefault="00C53D8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2F19B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15F9B8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4088BD" w14:textId="77777777" w:rsidR="00CA46D5" w:rsidRPr="00FB4F67" w:rsidRDefault="00CA46D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июню 1917 г. российская промышленная прибыль увеличилась на 72,5% с начала войны, в то время как индекс розничных цен вырос на 124%, а заработная плата выросла только на 50% (23525).</w:t>
      </w:r>
    </w:p>
    <w:p w14:paraId="1ECA9F11" w14:textId="77777777" w:rsidR="00CA46D5" w:rsidRPr="00FB4F67" w:rsidRDefault="00CA46D5" w:rsidP="0083075A">
      <w:pPr>
        <w:spacing w:after="0" w:line="240" w:lineRule="auto"/>
        <w:jc w:val="both"/>
        <w:rPr>
          <w:rFonts w:ascii="Times New Roman" w:hAnsi="Times New Roman" w:cs="Times New Roman"/>
          <w:color w:val="0070C0"/>
          <w:sz w:val="16"/>
          <w:szCs w:val="16"/>
        </w:rPr>
      </w:pPr>
    </w:p>
    <w:p w14:paraId="281F43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июню месяцу 1917 было закрыто 20% петроградских промышленных заведений. Вообще за первые месяцы революции зарегистрированный и, конечно, неполный мартиролог промышленности выражался в следующих цифрах: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1181"/>
        <w:gridCol w:w="4172"/>
        <w:gridCol w:w="4006"/>
      </w:tblGrid>
      <w:tr w:rsidR="002B1C74" w:rsidRPr="002F2FDF" w14:paraId="0FB60395" w14:textId="77777777">
        <w:tc>
          <w:tcPr>
            <w:tcW w:w="1181" w:type="dxa"/>
            <w:tcBorders>
              <w:top w:val="single" w:sz="12" w:space="0" w:color="000000"/>
            </w:tcBorders>
          </w:tcPr>
          <w:p w14:paraId="527BB8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Месяцы </w:t>
            </w:r>
          </w:p>
        </w:tc>
        <w:tc>
          <w:tcPr>
            <w:tcW w:w="4172" w:type="dxa"/>
            <w:tcBorders>
              <w:top w:val="single" w:sz="12" w:space="0" w:color="000000"/>
            </w:tcBorders>
          </w:tcPr>
          <w:p w14:paraId="6F555A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Число закрытых заведений </w:t>
            </w:r>
          </w:p>
        </w:tc>
        <w:tc>
          <w:tcPr>
            <w:tcW w:w="4006" w:type="dxa"/>
            <w:tcBorders>
              <w:top w:val="single" w:sz="12" w:space="0" w:color="000000"/>
            </w:tcBorders>
          </w:tcPr>
          <w:p w14:paraId="389037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Число уволенных рабочих </w:t>
            </w:r>
          </w:p>
        </w:tc>
      </w:tr>
      <w:tr w:rsidR="002B1C74" w:rsidRPr="002F2FDF" w14:paraId="75F26896" w14:textId="77777777">
        <w:tc>
          <w:tcPr>
            <w:tcW w:w="1181" w:type="dxa"/>
          </w:tcPr>
          <w:p w14:paraId="54B423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март </w:t>
            </w:r>
          </w:p>
        </w:tc>
        <w:tc>
          <w:tcPr>
            <w:tcW w:w="4172" w:type="dxa"/>
          </w:tcPr>
          <w:p w14:paraId="1DB08A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74 </w:t>
            </w:r>
          </w:p>
        </w:tc>
        <w:tc>
          <w:tcPr>
            <w:tcW w:w="4006" w:type="dxa"/>
          </w:tcPr>
          <w:p w14:paraId="18B86B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6644 </w:t>
            </w:r>
          </w:p>
        </w:tc>
      </w:tr>
      <w:tr w:rsidR="002B1C74" w:rsidRPr="002F2FDF" w14:paraId="2BD5133D" w14:textId="77777777">
        <w:tc>
          <w:tcPr>
            <w:tcW w:w="1181" w:type="dxa"/>
          </w:tcPr>
          <w:p w14:paraId="6FA34B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апрель </w:t>
            </w:r>
          </w:p>
        </w:tc>
        <w:tc>
          <w:tcPr>
            <w:tcW w:w="4172" w:type="dxa"/>
          </w:tcPr>
          <w:p w14:paraId="66818A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55 </w:t>
            </w:r>
          </w:p>
        </w:tc>
        <w:tc>
          <w:tcPr>
            <w:tcW w:w="4006" w:type="dxa"/>
          </w:tcPr>
          <w:p w14:paraId="129CFE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2816 </w:t>
            </w:r>
          </w:p>
        </w:tc>
      </w:tr>
      <w:tr w:rsidR="002B1C74" w:rsidRPr="002F2FDF" w14:paraId="094551B1" w14:textId="77777777">
        <w:tc>
          <w:tcPr>
            <w:tcW w:w="1181" w:type="dxa"/>
          </w:tcPr>
          <w:p w14:paraId="284FCC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май </w:t>
            </w:r>
          </w:p>
        </w:tc>
        <w:tc>
          <w:tcPr>
            <w:tcW w:w="4172" w:type="dxa"/>
          </w:tcPr>
          <w:p w14:paraId="185C6D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108 </w:t>
            </w:r>
          </w:p>
        </w:tc>
        <w:tc>
          <w:tcPr>
            <w:tcW w:w="4006" w:type="dxa"/>
          </w:tcPr>
          <w:p w14:paraId="2CDBD9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8701 </w:t>
            </w:r>
          </w:p>
        </w:tc>
      </w:tr>
      <w:tr w:rsidR="002B1C74" w:rsidRPr="002F2FDF" w14:paraId="0DF40DC9" w14:textId="77777777">
        <w:tc>
          <w:tcPr>
            <w:tcW w:w="1181" w:type="dxa"/>
          </w:tcPr>
          <w:p w14:paraId="435BA3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июнь </w:t>
            </w:r>
          </w:p>
        </w:tc>
        <w:tc>
          <w:tcPr>
            <w:tcW w:w="4172" w:type="dxa"/>
          </w:tcPr>
          <w:p w14:paraId="2DACB6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125 </w:t>
            </w:r>
          </w:p>
        </w:tc>
        <w:tc>
          <w:tcPr>
            <w:tcW w:w="4006" w:type="dxa"/>
          </w:tcPr>
          <w:p w14:paraId="55F0B2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38755 </w:t>
            </w:r>
          </w:p>
        </w:tc>
      </w:tr>
      <w:tr w:rsidR="002B1C74" w:rsidRPr="002F2FDF" w14:paraId="471899A7" w14:textId="77777777">
        <w:tc>
          <w:tcPr>
            <w:tcW w:w="1181" w:type="dxa"/>
          </w:tcPr>
          <w:p w14:paraId="66C190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июль </w:t>
            </w:r>
          </w:p>
        </w:tc>
        <w:tc>
          <w:tcPr>
            <w:tcW w:w="4172" w:type="dxa"/>
          </w:tcPr>
          <w:p w14:paraId="2AC390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206 </w:t>
            </w:r>
          </w:p>
        </w:tc>
        <w:tc>
          <w:tcPr>
            <w:tcW w:w="4006" w:type="dxa"/>
          </w:tcPr>
          <w:p w14:paraId="2B967B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47754 </w:t>
            </w:r>
          </w:p>
        </w:tc>
      </w:tr>
      <w:tr w:rsidR="002B1C74" w:rsidRPr="002F2FDF" w14:paraId="4628B10E" w14:textId="77777777">
        <w:tc>
          <w:tcPr>
            <w:tcW w:w="1181" w:type="dxa"/>
            <w:tcBorders>
              <w:bottom w:val="single" w:sz="12" w:space="0" w:color="000000"/>
            </w:tcBorders>
          </w:tcPr>
          <w:p w14:paraId="15CB73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Итого </w:t>
            </w:r>
          </w:p>
        </w:tc>
        <w:tc>
          <w:tcPr>
            <w:tcW w:w="4172" w:type="dxa"/>
            <w:tcBorders>
              <w:bottom w:val="single" w:sz="12" w:space="0" w:color="000000"/>
            </w:tcBorders>
          </w:tcPr>
          <w:p w14:paraId="391191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568 </w:t>
            </w:r>
          </w:p>
        </w:tc>
        <w:tc>
          <w:tcPr>
            <w:tcW w:w="4006" w:type="dxa"/>
            <w:tcBorders>
              <w:bottom w:val="single" w:sz="12" w:space="0" w:color="000000"/>
            </w:tcBorders>
          </w:tcPr>
          <w:p w14:paraId="721261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104670 </w:t>
            </w:r>
          </w:p>
        </w:tc>
      </w:tr>
    </w:tbl>
    <w:p w14:paraId="221D4E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боевом снабжении армии в течение летней кампании 1917 г. потрясения, переживаемые в промышленности, еще не успели сказаться. Ввиду невозможности вести с армией, не желавшей драться, военные операции в том же масштабе и того же напряжения, как это было в предыдущей кампании, расход в боевом снабжении значительно уменьшился. Запасы, созданные патриотическим подъемом и напряжением страны в конце 1915 г. и в течение 1916 г., удовлетворяли этим потребностям (11292).</w:t>
      </w:r>
    </w:p>
    <w:p w14:paraId="59691E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D371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июню 1917 г. на АМО было сооружено 95 % всех производственных зданий, имелся контингент, свыше 300 человек, квалифицированных цеховых рабочих и около 300 служащих, включая техников-специалистов. Сооружение «АМО» шло наиболее успешно среди частных заводов, чему способствовала, безусловно, предприимчивость его владельцев, в том числе добившихся перехода на свое предприятие квалифицированных инженеров и конструкторов автоотдела Русско-Балтийского вагонного завода. Осенью того же года завод был на 50-60 % оборудован, располагал запасами металла, топлива, инструментов, продолжал получать заказанное оборудование. Завод оценивался представителя ГВТУ как первоклассное производственное сооружение, к тому же рассчитанное на большую производительность, чем это предусматривалось контрактом. Последующая история 1-ого государственного автомобильного завода - ЗИС - ЗИЛа подтвердила эту оценку (11863).</w:t>
      </w:r>
    </w:p>
    <w:p w14:paraId="3AA64B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B61BFD" w14:textId="77777777" w:rsidR="00D96056" w:rsidRPr="002F2FDF" w:rsidRDefault="00D96056" w:rsidP="0083075A">
      <w:pPr>
        <w:pStyle w:val="ae"/>
        <w:spacing w:before="0" w:after="0"/>
        <w:jc w:val="both"/>
        <w:rPr>
          <w:color w:val="000000" w:themeColor="text1"/>
          <w:sz w:val="16"/>
          <w:szCs w:val="16"/>
        </w:rPr>
      </w:pPr>
      <w:r w:rsidRPr="002F2FDF">
        <w:rPr>
          <w:color w:val="000000" w:themeColor="text1"/>
          <w:sz w:val="16"/>
          <w:szCs w:val="16"/>
        </w:rPr>
        <w:t>К июню 1917 г. было сооружено 95 % всех производственных зданий«АМО», имелся контингент, свыше 300 человек, квалифицированных цеховых рабочих и около 300 служащих, включая техников-специалистов. Осенью того же года завод был на 50-60 % оборудован, располагал запасами металла, топлива, инструментов, продолжал получать заказанное оборудование. Завод оценивался представителя ГВТУ как первоклассное производственное сооружение, к тому же рассчитанное на большую производительность, чем это предусматривалось контрактом. Последующая история 1-ого государственного автомобильного завода - ЗИС - ЗИЛа подтвердила эту оценку (18369).</w:t>
      </w:r>
    </w:p>
    <w:p w14:paraId="1D5C74B5" w14:textId="77777777" w:rsidR="00D96056" w:rsidRPr="002F2FDF" w:rsidRDefault="00D96056" w:rsidP="0083075A">
      <w:pPr>
        <w:pStyle w:val="p1"/>
        <w:spacing w:before="0" w:beforeAutospacing="0" w:after="0" w:afterAutospacing="0"/>
        <w:jc w:val="both"/>
        <w:rPr>
          <w:color w:val="000000" w:themeColor="text1"/>
          <w:sz w:val="16"/>
          <w:szCs w:val="16"/>
        </w:rPr>
      </w:pPr>
      <w:r w:rsidRPr="002F2FDF">
        <w:rPr>
          <w:color w:val="000000" w:themeColor="text1"/>
          <w:sz w:val="16"/>
          <w:szCs w:val="16"/>
        </w:rPr>
        <w:t>16 июня 1917 г., несмотря на принятое за месяц до того решение комиссии Маниковского «постройку и оборудование завода продолжать», правление АМО объявило рабочим о расчете. Закрыть завод Рябушинским не удалось из-за сопротивления, оказанного рабочими и служащими, добивавшимися передачи предприятия в собственность военного ведомства; они захватили завод, и правление получило основание заявить, что «слагает с себя ответственность за возможные последствия». Г.Г. Кривошеий, ведавший в Военном министерстве постройкой автомобильных заводов, 13 июля 1917 г. уверял Подготовительную комиссию Особого совещания по обороне, что станки, отправленные из Америки, уже в пути, движутся из Владивостока, и что поэтому можно «ставить вопрос и об использовании завода для постройки новых автомобилей», но комиссия высказалась за «срочный пересмотр договора», заключенного с Товариществом 27 февраля 1916 г. Вместо постройки новых автомобилей комиссия отводила заводу роль «крупной ремонтной мастерской», что в тех условиях больше соответствовало интересам фронта. В августе 1917 г. был заключен договор с военным ведомством «о чистке, сборке и регулировании получаемых из-за границы авто различных марок», выпускать же собственные автомобили завод не мог. 14 октября на заседании Особого совещания по обороне директор завода утверждал, что на заводе получено «уже машин 60%, [еще] 20% — прибыло во Владивосток, а остальные 20% машин и запасных частей готовы к отправке в Америке». В конечном счете, поглотив технические средства и специалистов «Русско-Балтийского завода», АМО в 1917 г. все же начал сборку грузовиков «Фиат» (18366).</w:t>
      </w:r>
    </w:p>
    <w:p w14:paraId="7EF5F547" w14:textId="77777777" w:rsidR="00D96056" w:rsidRPr="002F2FDF" w:rsidRDefault="00D96056" w:rsidP="0083075A">
      <w:pPr>
        <w:pStyle w:val="p1"/>
        <w:spacing w:before="0" w:beforeAutospacing="0" w:after="0" w:afterAutospacing="0"/>
        <w:jc w:val="both"/>
        <w:rPr>
          <w:color w:val="000000" w:themeColor="text1"/>
          <w:sz w:val="16"/>
          <w:szCs w:val="16"/>
        </w:rPr>
      </w:pPr>
    </w:p>
    <w:p w14:paraId="770D295D" w14:textId="77777777" w:rsidR="00130660" w:rsidRPr="002F2FDF" w:rsidRDefault="00130660" w:rsidP="0083075A">
      <w:pPr>
        <w:pStyle w:val="ae"/>
        <w:shd w:val="clear" w:color="auto" w:fill="FFFFFF"/>
        <w:spacing w:before="0" w:after="0"/>
        <w:jc w:val="both"/>
        <w:rPr>
          <w:color w:val="000000" w:themeColor="text1"/>
          <w:sz w:val="16"/>
          <w:szCs w:val="16"/>
        </w:rPr>
      </w:pPr>
      <w:r w:rsidRPr="002F2FDF">
        <w:rPr>
          <w:color w:val="000000" w:themeColor="text1"/>
          <w:sz w:val="16"/>
          <w:szCs w:val="16"/>
        </w:rPr>
        <w:t>К июню 1917 г. было сооружено 95 % всех производственных зданий АМО, имелся контингент, свыше 300 человек, квалифицированных цеховых рабочих и около 300 служащих, включая техников-специалистов. Осенью того же года завод был на 50-60 % оборудован, располагал запасами металла, топлива, инструментов, продолжал получать заказанное оборудование. Завод оценивался представителя ГВТУ как первоклассное производственное сооружение, к тому же рассчитанное на большую производительность, чем это предусматривалось контрактом. Последующая история 1-ого государственного автомобильного завода - ЗИС - ЗИЛа подтвердила эту оценку (21552).</w:t>
      </w:r>
    </w:p>
    <w:p w14:paraId="4EF8BB23" w14:textId="77777777" w:rsidR="00130660" w:rsidRPr="002F2FDF" w:rsidRDefault="00130660" w:rsidP="0083075A">
      <w:pPr>
        <w:spacing w:after="0" w:line="240" w:lineRule="auto"/>
        <w:jc w:val="both"/>
        <w:rPr>
          <w:rFonts w:ascii="Times New Roman" w:hAnsi="Times New Roman" w:cs="Times New Roman"/>
          <w:color w:val="000000" w:themeColor="text1"/>
          <w:sz w:val="16"/>
          <w:szCs w:val="16"/>
        </w:rPr>
      </w:pPr>
    </w:p>
    <w:p w14:paraId="3CCFA77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55878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0202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июню 1917 г. воздушную дивизию Балтфлота удалось создать неполным штатом. В 1-ю бригаду вошло 54 гидросамолёта, во 2-ю - 48 (11928).</w:t>
      </w:r>
    </w:p>
    <w:p w14:paraId="1E2603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585F0F" w14:textId="77777777" w:rsidR="0073361C" w:rsidRPr="002F2FDF" w:rsidRDefault="0073361C" w:rsidP="0083075A">
      <w:pPr>
        <w:shd w:val="clear" w:color="auto" w:fill="FFFFFF"/>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июню 1917 года для радиоразведчиков разрабатывается «Программа для слухачей приемных станций». В ней определились нормативы приема на слух и другие требования к операторам станций радиоперехвата.</w:t>
      </w:r>
    </w:p>
    <w:p w14:paraId="604398FD" w14:textId="77777777" w:rsidR="0073361C" w:rsidRPr="002F2FDF" w:rsidRDefault="0073361C" w:rsidP="0083075A">
      <w:pPr>
        <w:shd w:val="clear" w:color="auto" w:fill="FFFFFF"/>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Интересно, что уже тогда к «слухачам» предъявлялись достаточно высокие требования. Так, по нормативам оператор должен был принимать на слух не менее 20 пятизначных цифровых групп в минуту, уметь различать по характеру работы радиостанцию противника и пеленговать ее в течение 2 минут, знать правила радиотелеграфной корреспонденции, порядка и приемов работы противника.</w:t>
      </w:r>
    </w:p>
    <w:p w14:paraId="1C511A3F" w14:textId="77777777" w:rsidR="0073361C" w:rsidRPr="002F2FDF" w:rsidRDefault="0073361C" w:rsidP="0083075A">
      <w:pPr>
        <w:shd w:val="clear" w:color="auto" w:fill="FFFFFF"/>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Требовалось также уметь осуществлять установку станции на местности, развертывание антенной сети и проверку правильности развертывания по компасу или буссоли, провести градуировку приемника, настроить генератор незатухающих колебаний, отрегулировать зуммер волномера.</w:t>
      </w:r>
    </w:p>
    <w:p w14:paraId="6E68B1C9" w14:textId="77777777" w:rsidR="0073361C" w:rsidRPr="002F2FDF" w:rsidRDefault="0073361C" w:rsidP="0083075A">
      <w:pPr>
        <w:shd w:val="clear" w:color="auto" w:fill="FFFFFF"/>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 что оператор радиоразведки того времени должен был многое знать и уметь. Только тогда удавалось ему выполнять сложные боевые задачи (12238).</w:t>
      </w:r>
    </w:p>
    <w:p w14:paraId="41795020" w14:textId="77777777" w:rsidR="0073361C" w:rsidRPr="002F2FDF" w:rsidRDefault="0073361C"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6603A8E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5727D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4A64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июня 1917 Д.П.Г. покинул завод Щетинина (99,75).</w:t>
      </w:r>
    </w:p>
    <w:p w14:paraId="35051C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EB3D60" w14:textId="3862CB60" w:rsidR="00FA35C4" w:rsidRPr="00FB4F67" w:rsidRDefault="00FA35C4" w:rsidP="0083075A">
      <w:pPr>
        <w:spacing w:after="0" w:line="240" w:lineRule="auto"/>
        <w:jc w:val="both"/>
        <w:rPr>
          <w:rFonts w:ascii="Times New Roman" w:hAnsi="Times New Roman" w:cs="Times New Roman"/>
          <w:color w:val="0070C0"/>
          <w:sz w:val="16"/>
          <w:szCs w:val="16"/>
        </w:rPr>
      </w:pPr>
      <w:bookmarkStart w:id="141" w:name="bookmark797"/>
      <w:bookmarkStart w:id="142" w:name="bookmark798"/>
      <w:r w:rsidRPr="00FB4F67">
        <w:rPr>
          <w:rFonts w:ascii="Times New Roman" w:hAnsi="Times New Roman" w:cs="Times New Roman"/>
          <w:color w:val="0070C0"/>
          <w:sz w:val="16"/>
          <w:szCs w:val="16"/>
        </w:rPr>
        <w:t xml:space="preserve">1 </w:t>
      </w:r>
      <w:r>
        <w:rPr>
          <w:rFonts w:ascii="Times New Roman" w:hAnsi="Times New Roman" w:cs="Times New Roman"/>
          <w:color w:val="0070C0"/>
          <w:sz w:val="16"/>
          <w:szCs w:val="16"/>
        </w:rPr>
        <w:t xml:space="preserve">(14) </w:t>
      </w:r>
      <w:r w:rsidRPr="00FB4F67">
        <w:rPr>
          <w:rFonts w:ascii="Times New Roman" w:hAnsi="Times New Roman" w:cs="Times New Roman"/>
          <w:color w:val="0070C0"/>
          <w:sz w:val="16"/>
          <w:szCs w:val="16"/>
        </w:rPr>
        <w:t>июня 1917 г. из-за постоянных споров со Щетининым и другими совладельцами завода на почве их нежелания вносить улучшения в конструкцию строящихся самолетов, Д.П. Григорович уволился и предпринял попытку организовать собственное производство летающих лодок в Петрограде, но безуспешно (23594).</w:t>
      </w:r>
    </w:p>
    <w:p w14:paraId="4A9E4CEA" w14:textId="77777777" w:rsidR="00FA35C4" w:rsidRPr="00FB4F67" w:rsidRDefault="00FA35C4" w:rsidP="0083075A">
      <w:pPr>
        <w:spacing w:after="0" w:line="240" w:lineRule="auto"/>
        <w:jc w:val="both"/>
        <w:rPr>
          <w:rFonts w:ascii="Times New Roman" w:hAnsi="Times New Roman" w:cs="Times New Roman"/>
          <w:color w:val="0070C0"/>
          <w:sz w:val="16"/>
          <w:szCs w:val="16"/>
        </w:rPr>
      </w:pPr>
    </w:p>
    <w:bookmarkEnd w:id="141"/>
    <w:bookmarkEnd w:id="142"/>
    <w:p w14:paraId="2030FFD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1 </w:t>
      </w:r>
      <w:r w:rsidR="00EC0E98" w:rsidRPr="002F2FDF">
        <w:rPr>
          <w:rFonts w:ascii="Times New Roman" w:hAnsi="Times New Roman" w:cs="Times New Roman"/>
          <w:color w:val="000000" w:themeColor="text1"/>
          <w:kern w:val="2"/>
          <w:sz w:val="16"/>
          <w:szCs w:val="16"/>
        </w:rPr>
        <w:t xml:space="preserve">(14) </w:t>
      </w:r>
      <w:r w:rsidRPr="002F2FDF">
        <w:rPr>
          <w:rFonts w:ascii="Times New Roman" w:hAnsi="Times New Roman" w:cs="Times New Roman"/>
          <w:color w:val="000000" w:themeColor="text1"/>
          <w:kern w:val="2"/>
          <w:sz w:val="16"/>
          <w:szCs w:val="16"/>
        </w:rPr>
        <w:t>июня 1917 г. балтийские моряки подготовили новый список желаемых пере</w:t>
      </w:r>
      <w:r w:rsidRPr="002F2FDF">
        <w:rPr>
          <w:rFonts w:ascii="Times New Roman" w:hAnsi="Times New Roman" w:cs="Times New Roman"/>
          <w:color w:val="000000" w:themeColor="text1"/>
          <w:kern w:val="2"/>
          <w:sz w:val="16"/>
          <w:szCs w:val="16"/>
        </w:rPr>
        <w:softHyphen/>
        <w:t>делок М-15 и, в частности, просили модернизи</w:t>
      </w:r>
      <w:r w:rsidRPr="002F2FDF">
        <w:rPr>
          <w:rFonts w:ascii="Times New Roman" w:hAnsi="Times New Roman" w:cs="Times New Roman"/>
          <w:color w:val="000000" w:themeColor="text1"/>
          <w:kern w:val="2"/>
          <w:sz w:val="16"/>
          <w:szCs w:val="16"/>
        </w:rPr>
        <w:softHyphen/>
        <w:t>ровать систему подачи топлива. Предлага</w:t>
      </w:r>
      <w:r w:rsidRPr="002F2FDF">
        <w:rPr>
          <w:rFonts w:ascii="Times New Roman" w:hAnsi="Times New Roman" w:cs="Times New Roman"/>
          <w:color w:val="000000" w:themeColor="text1"/>
          <w:kern w:val="2"/>
          <w:sz w:val="16"/>
          <w:szCs w:val="16"/>
        </w:rPr>
        <w:softHyphen/>
        <w:t>лось поднять крыльевые расходные баки на 100-120 мм вверх и экипировать их указа</w:t>
      </w:r>
      <w:r w:rsidRPr="002F2FDF">
        <w:rPr>
          <w:rFonts w:ascii="Times New Roman" w:hAnsi="Times New Roman" w:cs="Times New Roman"/>
          <w:color w:val="000000" w:themeColor="text1"/>
          <w:kern w:val="2"/>
          <w:sz w:val="16"/>
          <w:szCs w:val="16"/>
        </w:rPr>
        <w:softHyphen/>
        <w:t>телями наличия бензина, поместить все топ</w:t>
      </w:r>
      <w:r w:rsidRPr="002F2FDF">
        <w:rPr>
          <w:rFonts w:ascii="Times New Roman" w:hAnsi="Times New Roman" w:cs="Times New Roman"/>
          <w:color w:val="000000" w:themeColor="text1"/>
          <w:kern w:val="2"/>
          <w:sz w:val="16"/>
          <w:szCs w:val="16"/>
        </w:rPr>
        <w:softHyphen/>
        <w:t>ливные краны на одной доске под правой рукой пилота, заменить ручную топливную помпу насосом с ветрянкой, включаемой по желанию экипажа. Дополнительный 5-лит</w:t>
      </w:r>
      <w:r w:rsidRPr="002F2FDF">
        <w:rPr>
          <w:rFonts w:ascii="Times New Roman" w:hAnsi="Times New Roman" w:cs="Times New Roman"/>
          <w:color w:val="000000" w:themeColor="text1"/>
          <w:kern w:val="2"/>
          <w:sz w:val="16"/>
          <w:szCs w:val="16"/>
        </w:rPr>
        <w:softHyphen/>
        <w:t>ровый масляный резервуар завершал бы на</w:t>
      </w:r>
      <w:r w:rsidRPr="002F2FDF">
        <w:rPr>
          <w:rFonts w:ascii="Times New Roman" w:hAnsi="Times New Roman" w:cs="Times New Roman"/>
          <w:color w:val="000000" w:themeColor="text1"/>
          <w:kern w:val="2"/>
          <w:sz w:val="16"/>
          <w:szCs w:val="16"/>
        </w:rPr>
        <w:softHyphen/>
        <w:t>званный комплекс мероприятий в данной области, тогда как в сфере управления тре</w:t>
      </w:r>
      <w:r w:rsidRPr="002F2FDF">
        <w:rPr>
          <w:rFonts w:ascii="Times New Roman" w:hAnsi="Times New Roman" w:cs="Times New Roman"/>
          <w:color w:val="000000" w:themeColor="text1"/>
          <w:kern w:val="2"/>
          <w:sz w:val="16"/>
          <w:szCs w:val="16"/>
        </w:rPr>
        <w:softHyphen/>
        <w:t>бовалось сделать ножную педаль по типу аналогичной детали аппарата М-16 (см. следующий раздел) и усовершенствовать крепление тросов к рулю направления — ставить две пары рычагов высотой 265 мм: первую на первой верхней нервюре руля, а вторую — на первой нижней, считая от ко</w:t>
      </w:r>
      <w:r w:rsidRPr="002F2FDF">
        <w:rPr>
          <w:rFonts w:ascii="Times New Roman" w:hAnsi="Times New Roman" w:cs="Times New Roman"/>
          <w:color w:val="000000" w:themeColor="text1"/>
          <w:kern w:val="2"/>
          <w:sz w:val="16"/>
          <w:szCs w:val="16"/>
        </w:rPr>
        <w:softHyphen/>
        <w:t>робчатой. В заключение, все картеры мо</w:t>
      </w:r>
      <w:r w:rsidRPr="002F2FDF">
        <w:rPr>
          <w:rFonts w:ascii="Times New Roman" w:hAnsi="Times New Roman" w:cs="Times New Roman"/>
          <w:color w:val="000000" w:themeColor="text1"/>
          <w:kern w:val="2"/>
          <w:sz w:val="16"/>
          <w:szCs w:val="16"/>
        </w:rPr>
        <w:softHyphen/>
        <w:t>торов следовало осмотреть и промыть. На деле, в той или иной степени все сказанное в этом абзаце могло быть обнародовано еще в мае, подтверждением чему служит цитата из рапорта, посланного 16 числа начальни</w:t>
      </w:r>
      <w:r w:rsidRPr="002F2FDF">
        <w:rPr>
          <w:rFonts w:ascii="Times New Roman" w:hAnsi="Times New Roman" w:cs="Times New Roman"/>
          <w:color w:val="000000" w:themeColor="text1"/>
          <w:kern w:val="2"/>
          <w:sz w:val="16"/>
          <w:szCs w:val="16"/>
        </w:rPr>
        <w:softHyphen/>
        <w:t>ком Воздушной дивизии Балтийского моря 'капитаном 1 р. Б. П. Дудоровым в МГШ:</w:t>
      </w:r>
    </w:p>
    <w:p w14:paraId="12D46FE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“Прибывшие М-15 имеют недопустимую арматуру, трубки бензопровода разного диаметра соединены дюритом. Краники и нипеля &lt;...&gt; текут. Глушитель обжигает винт. Боковой радиатор на № 1101 (М-15 с заводским номером 1101. —А. А.) течет из-за тонкости стенок. Педали необхо</w:t>
      </w:r>
      <w:r w:rsidRPr="002F2FDF">
        <w:rPr>
          <w:rFonts w:ascii="Times New Roman" w:hAnsi="Times New Roman" w:cs="Times New Roman"/>
          <w:color w:val="000000" w:themeColor="text1"/>
          <w:kern w:val="2"/>
          <w:sz w:val="16"/>
          <w:szCs w:val="16"/>
        </w:rPr>
        <w:softHyphen/>
        <w:t>димо переделать как в М-9, удлинив плечи для ног и поставив второй кронштейн на руль. Все это убивает несомненно прекрасные летные качества аппарата &lt;...&gt;” (2807).</w:t>
      </w:r>
    </w:p>
    <w:p w14:paraId="7AD556E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744E16" w14:textId="77777777" w:rsidR="0073361C"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lastRenderedPageBreak/>
        <w:t>Другие оборонные отрасли:</w:t>
      </w:r>
    </w:p>
    <w:p w14:paraId="39E47E3B" w14:textId="77777777" w:rsidR="0073361C" w:rsidRPr="002F2FDF" w:rsidRDefault="0073361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CB67EA" w14:textId="77777777" w:rsidR="0073361C" w:rsidRPr="002F2FDF" w:rsidRDefault="0073361C"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1 </w:t>
      </w:r>
      <w:r w:rsidR="00EC0E98" w:rsidRPr="002F2FDF">
        <w:rPr>
          <w:color w:val="000000" w:themeColor="text1"/>
          <w:kern w:val="2"/>
          <w:sz w:val="16"/>
          <w:szCs w:val="16"/>
        </w:rPr>
        <w:t xml:space="preserve">(14) </w:t>
      </w:r>
      <w:r w:rsidRPr="002F2FDF">
        <w:rPr>
          <w:color w:val="000000" w:themeColor="text1"/>
          <w:kern w:val="2"/>
          <w:sz w:val="16"/>
          <w:szCs w:val="16"/>
        </w:rPr>
        <w:t>июня 1917 года правление Первого русского акционерного общества ружейных и пулеметных заводов удостоверило, что инженер Исидор Николаевич Квиль стоит строителем ружейно-пулеметвего завода в г. Коврове, согласно заключенному с ним договору от 11.08.1916 года.</w:t>
      </w:r>
    </w:p>
    <w:p w14:paraId="4F5E449D" w14:textId="77777777" w:rsidR="0073361C" w:rsidRPr="002F2FDF" w:rsidRDefault="0073361C" w:rsidP="0083075A">
      <w:pPr>
        <w:pStyle w:val="ae"/>
        <w:spacing w:before="0" w:after="0"/>
        <w:jc w:val="both"/>
        <w:rPr>
          <w:color w:val="000000" w:themeColor="text1"/>
          <w:kern w:val="2"/>
          <w:sz w:val="16"/>
          <w:szCs w:val="16"/>
        </w:rPr>
      </w:pPr>
      <w:r w:rsidRPr="002F2FDF">
        <w:rPr>
          <w:color w:val="000000" w:themeColor="text1"/>
          <w:kern w:val="2"/>
          <w:sz w:val="16"/>
          <w:szCs w:val="16"/>
        </w:rPr>
        <w:t>12 августа по соглашению с генералом Третьяковым состоялась приемка- первых четырех ружей-пулеметов Мадсена с запасными стволами Результаты приемных испьтаний неудовлетворительные. В периож гражданской войны русская армия так и не получила оружия от Ковровекого пулеметного завода.</w:t>
      </w:r>
    </w:p>
    <w:p w14:paraId="6E7B153F" w14:textId="77777777" w:rsidR="0073361C" w:rsidRPr="002F2FDF" w:rsidRDefault="0073361C" w:rsidP="0083075A">
      <w:pPr>
        <w:pStyle w:val="ae"/>
        <w:spacing w:before="0" w:after="0"/>
        <w:jc w:val="both"/>
        <w:rPr>
          <w:color w:val="000000" w:themeColor="text1"/>
          <w:kern w:val="2"/>
          <w:sz w:val="16"/>
          <w:szCs w:val="16"/>
        </w:rPr>
      </w:pPr>
      <w:r w:rsidRPr="002F2FDF">
        <w:rPr>
          <w:color w:val="000000" w:themeColor="text1"/>
          <w:kern w:val="2"/>
          <w:sz w:val="16"/>
          <w:szCs w:val="16"/>
        </w:rPr>
        <w:t>21 октября ГАУ корректирует заказ ружей-пулеметов Мадсена с 15000 до 10000 штук и заказывает 9000 ружей-пулеметов системы В.Г. Федорова.</w:t>
      </w:r>
    </w:p>
    <w:p w14:paraId="02EB0667" w14:textId="77777777" w:rsidR="0073361C" w:rsidRPr="002F2FDF" w:rsidRDefault="0073361C" w:rsidP="0083075A">
      <w:pPr>
        <w:pStyle w:val="ae"/>
        <w:spacing w:before="0" w:after="0"/>
        <w:jc w:val="both"/>
        <w:rPr>
          <w:color w:val="000000" w:themeColor="text1"/>
          <w:kern w:val="2"/>
          <w:sz w:val="16"/>
          <w:szCs w:val="16"/>
        </w:rPr>
      </w:pPr>
      <w:r w:rsidRPr="002F2FDF">
        <w:rPr>
          <w:color w:val="000000" w:themeColor="text1"/>
          <w:kern w:val="2"/>
          <w:sz w:val="16"/>
          <w:szCs w:val="16"/>
        </w:rPr>
        <w:t>Корпуса «А» и «Б» расположены в северной части заводской территории и ориентированы главными фасадами на север - в сторону старого города, находящегося за линией железной дороги. Они построены в 1916-1917 гг. по проекту Б.М. Великовского в стиле неоклассицизма, что придает комплексу завода им. Дегтярева дополнительное историческое архитектурное своеобразие (12221).</w:t>
      </w:r>
    </w:p>
    <w:p w14:paraId="0D616248" w14:textId="77777777" w:rsidR="0073361C" w:rsidRPr="002F2FDF" w:rsidRDefault="0073361C" w:rsidP="0083075A">
      <w:pPr>
        <w:pStyle w:val="ae"/>
        <w:spacing w:before="0" w:after="0"/>
        <w:jc w:val="both"/>
        <w:rPr>
          <w:color w:val="000000" w:themeColor="text1"/>
          <w:kern w:val="2"/>
          <w:sz w:val="16"/>
          <w:szCs w:val="16"/>
        </w:rPr>
      </w:pPr>
    </w:p>
    <w:p w14:paraId="6C0414DC"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июня 1917 Рапорт окружного инженера Екатерипославского горного округа Горному департаменту о недостатке подвижного состава для вывоза добытой руды с рудников и остановке металлургического производства на предприятиях округа вследствие нехватки топлива.</w:t>
      </w:r>
    </w:p>
    <w:p w14:paraId="73A12F4F"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104-105</w:t>
      </w:r>
    </w:p>
    <w:p w14:paraId="09A0DF6A"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37, оп. 58, д. 883, л. 54—54 об. Подлинник.</w:t>
      </w:r>
    </w:p>
    <w:p w14:paraId="7BA7A6C4"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Вследствие циркулярного предписания от 22 января 1910 г. за № 280 и от 22/25 августа 1914 г. за № 2658/2697 имею честь донести, что в истекшем июне месяце на ход производства горнопромышленных предприятий округа продолжали оказывать отрицательное влияние недоподвоз топлива и недолодача железной дорогой требуемого количества вагонов под нагрузку продуктов производства.</w:t>
      </w:r>
    </w:p>
    <w:p w14:paraId="69B5B56C"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заводах Днепровском Южно-Русского Днепровского металлургического об-ва и Александровском Брянского об-ва в последней трети июня месяца вследствие хронической недопоставки главным образом угля, а также кокса, нефти и смазочных веществ и истощения запасов, этих материалов на заводах остановлена большая часть (до 4/в) существенно важных производств, как-то: бессемеровское, мартеновское, прокатные мастерские и пр. — и создалась угроза, в случае непринятия экстренных мер к усилению подвоза топлива и смазочных, полной остановки действия заводов.</w:t>
      </w:r>
    </w:p>
    <w:p w14:paraId="7AFDD2C3"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железных рудниках Криворожского района и марганцевых рудниках Екатеринославского уезда при сравнительно достаточном подвозе топлива наблюдалась главнейше, как отрицательное явление, недопоставка вагонов иод нагрузку руды и отправку с рудничных складов руды, вызывающая переполнение эстакадой для выгрузки руды и уменьшение ее добычи. Невозможность своевременного вывоза руды и расчета за руду с покупателями вызвала финансовые затруднения и невозможность продолжения дела на железном руднике М. П. Коломойцевой в Александрийском уезде Херсонской губ., вследствие чего владелица рудника объявила о закрытии рудника и полном расчете рабочих с 1 июля т. г.</w:t>
      </w:r>
    </w:p>
    <w:p w14:paraId="768B7D92"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выдающихся явлений случайного характера на предприятиях округа следует отметить имевший место 13 июня т. г. конфликт между рабочими и администрацией на железном руднике при ст. Вечерний Кут Екатерининской ж. д. Анонимного об-ва рудников Дубовой Балки, в результате коего рабочие одной из шахт самовольно устранили от исполнения служебных обязанностей заведующего рудником инженера в. заведующего шахтой штейгера. Конфликт, однако, был через 2 дня, после переговоров администрации с рабочими, полностью ликвидирован с восстановлением нормального хода рудничных работ. 13 же июня т. г. имел место на руднике «С. Н. Колачевский» в аренде Русско-Бельгийского металлургического об-ва в Верхнеднепровском уезде пожар от случайной, причины, нанесший повреждения части электрической станции рудника, дающей энергию для рудничных машин. Последствием пожара была остановка на 2 недели (до исправления повреждений) части производств рудника.</w:t>
      </w:r>
    </w:p>
    <w:p w14:paraId="605D3842"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Как абсолютная производительность горнопромышленных предприятий округа, так и отнесенная к одному рабочему и одним суткам (или к одному выходу рабочего) в истекшем месяце продолжала быть, вообще говоря, пониженной.</w:t>
      </w:r>
    </w:p>
    <w:p w14:paraId="73441D4E"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окружного инженера Екатеринославского горного округа М.</w:t>
      </w:r>
    </w:p>
    <w:p w14:paraId="172537AB"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[подпись неразборчива] (15686).</w:t>
      </w:r>
    </w:p>
    <w:p w14:paraId="09D55831"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p>
    <w:p w14:paraId="2CCF4886" w14:textId="77777777" w:rsidR="00C61686" w:rsidRPr="002F2FDF" w:rsidRDefault="00C61686" w:rsidP="0083075A">
      <w:pPr>
        <w:pStyle w:val="ae"/>
        <w:spacing w:before="0" w:after="0"/>
        <w:jc w:val="both"/>
        <w:rPr>
          <w:color w:val="000000" w:themeColor="text1"/>
          <w:sz w:val="16"/>
          <w:szCs w:val="16"/>
        </w:rPr>
      </w:pPr>
      <w:r w:rsidRPr="002F2FDF">
        <w:rPr>
          <w:color w:val="000000" w:themeColor="text1"/>
          <w:sz w:val="16"/>
          <w:szCs w:val="16"/>
        </w:rPr>
        <w:t>На 1 (14) июня 1917 г. русские войска получили 11 446 огнеметов (Бескровный Л. Г., 1986). Всего за годы Первой мировой войны в России было изготовлено 10 тыс. ранцевых огнеметов, 200 траншейных и 362 СПС. Из-за границы было получено 86 огнеметов системы Винсента и 50 огнеметов системы Ливенса (20246).</w:t>
      </w:r>
    </w:p>
    <w:p w14:paraId="271E0CA1" w14:textId="77777777" w:rsidR="00C61686" w:rsidRPr="002F2FDF" w:rsidRDefault="00C61686" w:rsidP="0083075A">
      <w:pPr>
        <w:pStyle w:val="ae"/>
        <w:spacing w:before="0" w:after="0"/>
        <w:jc w:val="both"/>
        <w:rPr>
          <w:color w:val="000000" w:themeColor="text1"/>
          <w:sz w:val="16"/>
          <w:szCs w:val="16"/>
        </w:rPr>
      </w:pPr>
    </w:p>
    <w:p w14:paraId="58A504B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DB22A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0266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июня 1917 во всех авиачастях было 775 летчиков, включая 254 солдата (438,359).</w:t>
      </w:r>
    </w:p>
    <w:p w14:paraId="4224B7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AD88A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июня 1917 во всех авиачастях (без морских) насчитывалось 775 военных летчиков, из них 254 солдата. Число летчиков-солд</w:t>
      </w:r>
      <w:r w:rsidR="00A24FD8" w:rsidRPr="002F2FDF">
        <w:rPr>
          <w:rFonts w:ascii="Times New Roman" w:hAnsi="Times New Roman" w:cs="Times New Roman"/>
          <w:color w:val="000000" w:themeColor="text1"/>
          <w:kern w:val="2"/>
          <w:sz w:val="16"/>
          <w:szCs w:val="16"/>
        </w:rPr>
        <w:t>а</w:t>
      </w:r>
      <w:r w:rsidRPr="002F2FDF">
        <w:rPr>
          <w:rFonts w:ascii="Times New Roman" w:hAnsi="Times New Roman" w:cs="Times New Roman"/>
          <w:color w:val="000000" w:themeColor="text1"/>
          <w:kern w:val="2"/>
          <w:sz w:val="16"/>
          <w:szCs w:val="16"/>
        </w:rPr>
        <w:t>т непрерывно возрастало, что объясняется большой потреб</w:t>
      </w:r>
      <w:r w:rsidRPr="002F2FDF">
        <w:rPr>
          <w:rFonts w:ascii="Times New Roman" w:hAnsi="Times New Roman" w:cs="Times New Roman"/>
          <w:color w:val="000000" w:themeColor="text1"/>
          <w:kern w:val="2"/>
          <w:sz w:val="16"/>
          <w:szCs w:val="16"/>
        </w:rPr>
        <w:softHyphen/>
        <w:t>ностью в летчиках и расширенными возможностями для солдат обу</w:t>
      </w:r>
      <w:r w:rsidRPr="002F2FDF">
        <w:rPr>
          <w:rFonts w:ascii="Times New Roman" w:hAnsi="Times New Roman" w:cs="Times New Roman"/>
          <w:color w:val="000000" w:themeColor="text1"/>
          <w:kern w:val="2"/>
          <w:sz w:val="16"/>
          <w:szCs w:val="16"/>
        </w:rPr>
        <w:softHyphen/>
        <w:t xml:space="preserve">чаться летному долу. Общее число военнослужащих </w:t>
      </w:r>
      <w:r w:rsidRPr="002F2FDF">
        <w:rPr>
          <w:rFonts w:ascii="Times New Roman" w:hAnsi="Times New Roman" w:cs="Times New Roman"/>
          <w:smallCaps/>
          <w:color w:val="000000" w:themeColor="text1"/>
          <w:kern w:val="2"/>
          <w:sz w:val="16"/>
          <w:szCs w:val="16"/>
        </w:rPr>
        <w:t xml:space="preserve">б </w:t>
      </w:r>
      <w:r w:rsidRPr="002F2FDF">
        <w:rPr>
          <w:rFonts w:ascii="Times New Roman" w:hAnsi="Times New Roman" w:cs="Times New Roman"/>
          <w:color w:val="000000" w:themeColor="text1"/>
          <w:kern w:val="2"/>
          <w:sz w:val="16"/>
          <w:szCs w:val="16"/>
        </w:rPr>
        <w:t>авиации гместе с тыловыми учреждениями и школами достигало 35 тысяч человек (ЦГВИА. ф.2008, д 4З, лл. 215, 245, 314).</w:t>
      </w:r>
    </w:p>
    <w:p w14:paraId="3D6118F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E08CD8" w14:textId="77777777" w:rsidR="00683EB6" w:rsidRPr="00815ED5" w:rsidRDefault="00683EB6"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1 </w:t>
      </w:r>
      <w:r>
        <w:rPr>
          <w:rFonts w:ascii="Times New Roman" w:hAnsi="Times New Roman" w:cs="Times New Roman"/>
          <w:color w:val="0070C0"/>
          <w:sz w:val="16"/>
          <w:szCs w:val="16"/>
        </w:rPr>
        <w:t xml:space="preserve">(14) </w:t>
      </w:r>
      <w:r w:rsidRPr="00815ED5">
        <w:rPr>
          <w:rFonts w:ascii="Times New Roman" w:hAnsi="Times New Roman" w:cs="Times New Roman"/>
          <w:color w:val="0070C0"/>
          <w:sz w:val="16"/>
          <w:szCs w:val="16"/>
        </w:rPr>
        <w:t>июня</w:t>
      </w:r>
      <w:r>
        <w:rPr>
          <w:rFonts w:ascii="Times New Roman" w:hAnsi="Times New Roman" w:cs="Times New Roman"/>
          <w:color w:val="0070C0"/>
          <w:sz w:val="16"/>
          <w:szCs w:val="16"/>
        </w:rPr>
        <w:t xml:space="preserve"> 1917 г. в</w:t>
      </w:r>
      <w:r w:rsidRPr="00815ED5">
        <w:rPr>
          <w:rFonts w:ascii="Times New Roman" w:hAnsi="Times New Roman" w:cs="Times New Roman"/>
          <w:color w:val="0070C0"/>
          <w:sz w:val="16"/>
          <w:szCs w:val="16"/>
        </w:rPr>
        <w:t>о всех авиачастях /без морских/ насчитывалось 775 воен</w:t>
      </w:r>
      <w:r w:rsidRPr="00815ED5">
        <w:rPr>
          <w:rFonts w:ascii="Times New Roman" w:hAnsi="Times New Roman" w:cs="Times New Roman"/>
          <w:color w:val="0070C0"/>
          <w:sz w:val="16"/>
          <w:szCs w:val="16"/>
        </w:rPr>
        <w:softHyphen/>
        <w:t>ных летчиков, из них 254 солдата. Число летчиков-солдат непрерывно возр</w:t>
      </w:r>
      <w:r>
        <w:rPr>
          <w:rFonts w:ascii="Times New Roman" w:hAnsi="Times New Roman" w:cs="Times New Roman"/>
          <w:color w:val="0070C0"/>
          <w:sz w:val="16"/>
          <w:szCs w:val="16"/>
        </w:rPr>
        <w:t>а</w:t>
      </w:r>
      <w:r w:rsidRPr="00815ED5">
        <w:rPr>
          <w:rFonts w:ascii="Times New Roman" w:hAnsi="Times New Roman" w:cs="Times New Roman"/>
          <w:color w:val="0070C0"/>
          <w:sz w:val="16"/>
          <w:szCs w:val="16"/>
        </w:rPr>
        <w:t>стало,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что об”ясняется большой потребностью в летчиках и расши</w:t>
      </w:r>
      <w:r w:rsidRPr="00815ED5">
        <w:rPr>
          <w:rFonts w:ascii="Times New Roman" w:hAnsi="Times New Roman" w:cs="Times New Roman"/>
          <w:color w:val="0070C0"/>
          <w:sz w:val="16"/>
          <w:szCs w:val="16"/>
        </w:rPr>
        <w:softHyphen/>
        <w:t>ренными возможностями для солдат обучаться летному делу .Общее число</w:t>
      </w:r>
      <w:r>
        <w:rPr>
          <w:rFonts w:ascii="Times New Roman" w:hAnsi="Times New Roman" w:cs="Times New Roman"/>
          <w:color w:val="0070C0"/>
          <w:sz w:val="16"/>
          <w:szCs w:val="16"/>
        </w:rPr>
        <w:t xml:space="preserve"> в</w:t>
      </w:r>
      <w:r w:rsidRPr="00815ED5">
        <w:rPr>
          <w:rFonts w:ascii="Times New Roman" w:hAnsi="Times New Roman" w:cs="Times New Roman"/>
          <w:color w:val="0070C0"/>
          <w:sz w:val="16"/>
          <w:szCs w:val="16"/>
        </w:rPr>
        <w:t>оенно</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 xml:space="preserve">лужащих в авиации вместе с тыловыми учреждениями и </w:t>
      </w:r>
      <w:r>
        <w:rPr>
          <w:rFonts w:ascii="Times New Roman" w:hAnsi="Times New Roman" w:cs="Times New Roman"/>
          <w:color w:val="0070C0"/>
          <w:sz w:val="16"/>
          <w:szCs w:val="16"/>
        </w:rPr>
        <w:t>школами</w:t>
      </w:r>
      <w:r w:rsidRPr="00815ED5">
        <w:rPr>
          <w:rFonts w:ascii="Times New Roman" w:hAnsi="Times New Roman" w:cs="Times New Roman"/>
          <w:color w:val="0070C0"/>
          <w:sz w:val="16"/>
          <w:szCs w:val="16"/>
        </w:rPr>
        <w:t xml:space="preserve"> достигало 35 тысяч человек. '</w:t>
      </w:r>
    </w:p>
    <w:p w14:paraId="5887DA03" w14:textId="77777777" w:rsidR="00683EB6" w:rsidRDefault="00683EB6" w:rsidP="0083075A">
      <w:pPr>
        <w:spacing w:after="0"/>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/ЦГВПА,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 3003,</w:t>
      </w:r>
      <w:r>
        <w:rPr>
          <w:rFonts w:ascii="Times New Roman" w:hAnsi="Times New Roman" w:cs="Times New Roman"/>
          <w:color w:val="0070C0"/>
          <w:sz w:val="16"/>
          <w:szCs w:val="16"/>
        </w:rPr>
        <w:t xml:space="preserve"> д</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43,</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лл. 215,</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245, 314/</w:t>
      </w:r>
      <w:r>
        <w:rPr>
          <w:rFonts w:ascii="Times New Roman" w:hAnsi="Times New Roman" w:cs="Times New Roman"/>
          <w:color w:val="0070C0"/>
          <w:sz w:val="16"/>
          <w:szCs w:val="16"/>
        </w:rPr>
        <w:t xml:space="preserve"> (23320).</w:t>
      </w:r>
    </w:p>
    <w:p w14:paraId="6EC390FC" w14:textId="77777777" w:rsidR="00683EB6" w:rsidRPr="00815ED5" w:rsidRDefault="00683EB6" w:rsidP="0083075A">
      <w:pPr>
        <w:spacing w:after="0" w:line="240" w:lineRule="auto"/>
        <w:jc w:val="both"/>
        <w:rPr>
          <w:rFonts w:ascii="Times New Roman" w:hAnsi="Times New Roman" w:cs="Times New Roman"/>
          <w:color w:val="0070C0"/>
          <w:sz w:val="16"/>
          <w:szCs w:val="16"/>
        </w:rPr>
      </w:pPr>
    </w:p>
    <w:p w14:paraId="51074D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июня 1917 во всех авиачастях (без морских) было 775 военных л, в т.ч. 254 солдата, а общее число служащих в авиации - 35000 (3639).</w:t>
      </w:r>
    </w:p>
    <w:p w14:paraId="202630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29CA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1 (14) июня 1917 г. согласно “Выписки из ведомости самолетов в отрядах, дивизионах, базах, парках” наиболее насыщенными материальной частью были Юго-Западный и Румынский фронты - 259 самолетов, Западный фронт - 125 самолетов, Северный - 93, Кавказский фронт и другие насчитывали 104 самолета, но значительная часть этих машин была на базах. Всего на фронтах числился 1031 самолет, однако реально боеспособных среди них было меньше половины. Эти данные относятся к началу июньского наступления 1917 г. Уже к концу июля 1917 г. общее количество боевых самолетов резко сократилось. Фронт нуждался в самолетах-разведчиках (9705).</w:t>
      </w:r>
    </w:p>
    <w:p w14:paraId="024043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65A32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1 (14) июня 1917 была подготовлена “Выписка из ведомости самолетов в отря</w:t>
      </w:r>
      <w:r w:rsidRPr="002F2FDF">
        <w:rPr>
          <w:rFonts w:ascii="Times New Roman" w:hAnsi="Times New Roman" w:cs="Times New Roman"/>
          <w:color w:val="000000" w:themeColor="text1"/>
          <w:kern w:val="2"/>
          <w:sz w:val="16"/>
          <w:szCs w:val="16"/>
        </w:rPr>
        <w:softHyphen/>
        <w:t>дах, дивизионах, базах, парках на 1 июня 1917 г.” (ЦГВИА. Ф. 493. Оп. 5. Д. 490. Л. 1), которая отражает насыщенность фронтов авиацией</w:t>
      </w:r>
      <w:r w:rsidRPr="002F2FDF">
        <w:rPr>
          <w:rFonts w:ascii="Times New Roman" w:hAnsi="Times New Roman" w:cs="Times New Roman"/>
          <w:iCs/>
          <w:color w:val="000000" w:themeColor="text1"/>
          <w:kern w:val="2"/>
          <w:sz w:val="16"/>
          <w:szCs w:val="16"/>
        </w:rPr>
        <w:t xml:space="preserve">. </w:t>
      </w:r>
      <w:r w:rsidRPr="002F2FDF">
        <w:rPr>
          <w:rFonts w:ascii="Times New Roman" w:hAnsi="Times New Roman" w:cs="Times New Roman"/>
          <w:color w:val="000000" w:themeColor="text1"/>
          <w:kern w:val="2"/>
          <w:sz w:val="16"/>
          <w:szCs w:val="16"/>
        </w:rPr>
        <w:t>В табл. приведены некоторые данные из этой выписки (9705,92).</w:t>
      </w:r>
    </w:p>
    <w:p w14:paraId="3430CA8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Наличие исправных самолетов в отрядах, дивизионах, базах, парках на 1 июня 1917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98"/>
        <w:gridCol w:w="540"/>
        <w:gridCol w:w="540"/>
        <w:gridCol w:w="540"/>
        <w:gridCol w:w="540"/>
        <w:gridCol w:w="540"/>
        <w:gridCol w:w="540"/>
        <w:gridCol w:w="540"/>
        <w:gridCol w:w="540"/>
        <w:gridCol w:w="540"/>
        <w:gridCol w:w="540"/>
        <w:gridCol w:w="540"/>
        <w:gridCol w:w="450"/>
        <w:gridCol w:w="450"/>
        <w:gridCol w:w="450"/>
        <w:gridCol w:w="450"/>
        <w:gridCol w:w="450"/>
        <w:gridCol w:w="450"/>
        <w:gridCol w:w="450"/>
        <w:gridCol w:w="540"/>
        <w:gridCol w:w="516"/>
      </w:tblGrid>
      <w:tr w:rsidR="002B1C74" w:rsidRPr="002F2FDF" w14:paraId="08CB9D00" w14:textId="77777777">
        <w:tc>
          <w:tcPr>
            <w:tcW w:w="1098" w:type="dxa"/>
            <w:tcBorders>
              <w:top w:val="single" w:sz="12" w:space="0" w:color="auto"/>
            </w:tcBorders>
          </w:tcPr>
          <w:p w14:paraId="4ED5EF1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Фронт</w:t>
            </w:r>
          </w:p>
        </w:tc>
        <w:tc>
          <w:tcPr>
            <w:tcW w:w="540" w:type="dxa"/>
            <w:tcBorders>
              <w:top w:val="single" w:sz="12" w:space="0" w:color="auto"/>
            </w:tcBorders>
          </w:tcPr>
          <w:p w14:paraId="0042F81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“Ньюпор-9” и “-10”</w:t>
            </w:r>
          </w:p>
        </w:tc>
        <w:tc>
          <w:tcPr>
            <w:tcW w:w="540" w:type="dxa"/>
            <w:tcBorders>
              <w:top w:val="single" w:sz="12" w:space="0" w:color="auto"/>
            </w:tcBorders>
          </w:tcPr>
          <w:p w14:paraId="24353C7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“Ньюпор-11”</w:t>
            </w:r>
          </w:p>
        </w:tc>
        <w:tc>
          <w:tcPr>
            <w:tcW w:w="540" w:type="dxa"/>
            <w:tcBorders>
              <w:top w:val="single" w:sz="12" w:space="0" w:color="auto"/>
            </w:tcBorders>
          </w:tcPr>
          <w:p w14:paraId="295C6E9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“Ньюпор-12”</w:t>
            </w:r>
          </w:p>
        </w:tc>
        <w:tc>
          <w:tcPr>
            <w:tcW w:w="540" w:type="dxa"/>
            <w:tcBorders>
              <w:top w:val="single" w:sz="12" w:space="0" w:color="auto"/>
            </w:tcBorders>
          </w:tcPr>
          <w:p w14:paraId="5A0BF0F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“Ньюпор-21”</w:t>
            </w:r>
          </w:p>
        </w:tc>
        <w:tc>
          <w:tcPr>
            <w:tcW w:w="540" w:type="dxa"/>
            <w:tcBorders>
              <w:top w:val="single" w:sz="12" w:space="0" w:color="auto"/>
            </w:tcBorders>
          </w:tcPr>
          <w:p w14:paraId="172850E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“Ньюпор-22” и “-23”</w:t>
            </w:r>
          </w:p>
        </w:tc>
        <w:tc>
          <w:tcPr>
            <w:tcW w:w="540" w:type="dxa"/>
            <w:tcBorders>
              <w:top w:val="single" w:sz="12" w:space="0" w:color="auto"/>
            </w:tcBorders>
          </w:tcPr>
          <w:p w14:paraId="00B5977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“Пара</w:t>
            </w:r>
            <w:r w:rsidRPr="002F2FDF">
              <w:rPr>
                <w:rFonts w:ascii="Times New Roman" w:hAnsi="Times New Roman" w:cs="Times New Roman"/>
                <w:color w:val="000000" w:themeColor="text1"/>
                <w:kern w:val="2"/>
                <w:sz w:val="16"/>
                <w:szCs w:val="16"/>
              </w:rPr>
              <w:softHyphen/>
              <w:t>соль-21”</w:t>
            </w:r>
          </w:p>
        </w:tc>
        <w:tc>
          <w:tcPr>
            <w:tcW w:w="540" w:type="dxa"/>
            <w:tcBorders>
              <w:top w:val="single" w:sz="12" w:space="0" w:color="auto"/>
            </w:tcBorders>
          </w:tcPr>
          <w:p w14:paraId="517FDA3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“Моно-кок”</w:t>
            </w:r>
          </w:p>
        </w:tc>
        <w:tc>
          <w:tcPr>
            <w:tcW w:w="540" w:type="dxa"/>
            <w:tcBorders>
              <w:top w:val="single" w:sz="12" w:space="0" w:color="auto"/>
            </w:tcBorders>
          </w:tcPr>
          <w:p w14:paraId="30E335B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“Фарман-30”</w:t>
            </w:r>
          </w:p>
        </w:tc>
        <w:tc>
          <w:tcPr>
            <w:tcW w:w="540" w:type="dxa"/>
            <w:tcBorders>
              <w:top w:val="single" w:sz="12" w:space="0" w:color="auto"/>
            </w:tcBorders>
          </w:tcPr>
          <w:p w14:paraId="17917D1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“Морфар”</w:t>
            </w:r>
          </w:p>
        </w:tc>
        <w:tc>
          <w:tcPr>
            <w:tcW w:w="540" w:type="dxa"/>
            <w:tcBorders>
              <w:top w:val="single" w:sz="12" w:space="0" w:color="auto"/>
            </w:tcBorders>
          </w:tcPr>
          <w:p w14:paraId="43787E4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“Фарман-27”</w:t>
            </w:r>
          </w:p>
        </w:tc>
        <w:tc>
          <w:tcPr>
            <w:tcW w:w="540" w:type="dxa"/>
            <w:tcBorders>
              <w:top w:val="single" w:sz="12" w:space="0" w:color="auto"/>
            </w:tcBorders>
          </w:tcPr>
          <w:p w14:paraId="00910FA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“Сопвич”</w:t>
            </w:r>
          </w:p>
        </w:tc>
        <w:tc>
          <w:tcPr>
            <w:tcW w:w="450" w:type="dxa"/>
            <w:tcBorders>
              <w:top w:val="single" w:sz="12" w:space="0" w:color="auto"/>
            </w:tcBorders>
          </w:tcPr>
          <w:p w14:paraId="5811894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“Кодрон”</w:t>
            </w:r>
          </w:p>
        </w:tc>
        <w:tc>
          <w:tcPr>
            <w:tcW w:w="450" w:type="dxa"/>
            <w:tcBorders>
              <w:top w:val="single" w:sz="12" w:space="0" w:color="auto"/>
            </w:tcBorders>
          </w:tcPr>
          <w:p w14:paraId="33CC30F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“Спад”</w:t>
            </w:r>
          </w:p>
        </w:tc>
        <w:tc>
          <w:tcPr>
            <w:tcW w:w="450" w:type="dxa"/>
            <w:tcBorders>
              <w:top w:val="single" w:sz="12" w:space="0" w:color="auto"/>
            </w:tcBorders>
          </w:tcPr>
          <w:p w14:paraId="3B7EBC8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“Вуазен”</w:t>
            </w:r>
          </w:p>
        </w:tc>
        <w:tc>
          <w:tcPr>
            <w:tcW w:w="450" w:type="dxa"/>
            <w:tcBorders>
              <w:top w:val="single" w:sz="12" w:space="0" w:color="auto"/>
            </w:tcBorders>
          </w:tcPr>
          <w:p w14:paraId="0812A61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“ВИ”</w:t>
            </w:r>
          </w:p>
        </w:tc>
        <w:tc>
          <w:tcPr>
            <w:tcW w:w="450" w:type="dxa"/>
            <w:tcBorders>
              <w:top w:val="single" w:sz="12" w:space="0" w:color="auto"/>
            </w:tcBorders>
          </w:tcPr>
          <w:p w14:paraId="4E7A722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“Анаде”</w:t>
            </w:r>
          </w:p>
        </w:tc>
        <w:tc>
          <w:tcPr>
            <w:tcW w:w="450" w:type="dxa"/>
            <w:tcBorders>
              <w:top w:val="single" w:sz="12" w:space="0" w:color="auto"/>
            </w:tcBorders>
          </w:tcPr>
          <w:p w14:paraId="4A7B46E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“Лебедь”</w:t>
            </w:r>
          </w:p>
        </w:tc>
        <w:tc>
          <w:tcPr>
            <w:tcW w:w="450" w:type="dxa"/>
            <w:tcBorders>
              <w:top w:val="single" w:sz="12" w:space="0" w:color="auto"/>
            </w:tcBorders>
          </w:tcPr>
          <w:p w14:paraId="765BA68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Трофей</w:t>
            </w:r>
            <w:r w:rsidRPr="002F2FDF">
              <w:rPr>
                <w:rFonts w:ascii="Times New Roman" w:hAnsi="Times New Roman" w:cs="Times New Roman"/>
                <w:color w:val="000000" w:themeColor="text1"/>
                <w:kern w:val="2"/>
                <w:sz w:val="16"/>
                <w:szCs w:val="16"/>
              </w:rPr>
              <w:softHyphen/>
              <w:t>ные</w:t>
            </w:r>
          </w:p>
        </w:tc>
        <w:tc>
          <w:tcPr>
            <w:tcW w:w="540" w:type="dxa"/>
            <w:tcBorders>
              <w:top w:val="single" w:sz="12" w:space="0" w:color="auto"/>
            </w:tcBorders>
          </w:tcPr>
          <w:p w14:paraId="3510024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“Моран-Пара-соль”</w:t>
            </w:r>
          </w:p>
        </w:tc>
        <w:tc>
          <w:tcPr>
            <w:tcW w:w="516" w:type="dxa"/>
            <w:tcBorders>
              <w:top w:val="single" w:sz="12" w:space="0" w:color="auto"/>
            </w:tcBorders>
          </w:tcPr>
          <w:p w14:paraId="423510A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самолетов</w:t>
            </w:r>
          </w:p>
        </w:tc>
      </w:tr>
      <w:tr w:rsidR="002B1C74" w:rsidRPr="002F2FDF" w14:paraId="028B6951" w14:textId="77777777">
        <w:tc>
          <w:tcPr>
            <w:tcW w:w="1098" w:type="dxa"/>
          </w:tcPr>
          <w:p w14:paraId="0652B86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Северный</w:t>
            </w:r>
          </w:p>
        </w:tc>
        <w:tc>
          <w:tcPr>
            <w:tcW w:w="540" w:type="dxa"/>
          </w:tcPr>
          <w:p w14:paraId="2E7A2CF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540" w:type="dxa"/>
          </w:tcPr>
          <w:p w14:paraId="201C449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c>
          <w:tcPr>
            <w:tcW w:w="540" w:type="dxa"/>
          </w:tcPr>
          <w:p w14:paraId="777F4F0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40" w:type="dxa"/>
          </w:tcPr>
          <w:p w14:paraId="6A07D65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540" w:type="dxa"/>
          </w:tcPr>
          <w:p w14:paraId="49B7ED1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540" w:type="dxa"/>
          </w:tcPr>
          <w:p w14:paraId="300EE7B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40" w:type="dxa"/>
          </w:tcPr>
          <w:p w14:paraId="46DB397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40" w:type="dxa"/>
          </w:tcPr>
          <w:p w14:paraId="6338144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540" w:type="dxa"/>
          </w:tcPr>
          <w:p w14:paraId="796E81F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540" w:type="dxa"/>
          </w:tcPr>
          <w:p w14:paraId="1F7BE37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40" w:type="dxa"/>
          </w:tcPr>
          <w:p w14:paraId="6ED1980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450" w:type="dxa"/>
          </w:tcPr>
          <w:p w14:paraId="79C1476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450" w:type="dxa"/>
          </w:tcPr>
          <w:p w14:paraId="06DD7A7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450" w:type="dxa"/>
          </w:tcPr>
          <w:p w14:paraId="79AFC95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w:t>
            </w:r>
          </w:p>
        </w:tc>
        <w:tc>
          <w:tcPr>
            <w:tcW w:w="450" w:type="dxa"/>
          </w:tcPr>
          <w:p w14:paraId="67CB416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450" w:type="dxa"/>
          </w:tcPr>
          <w:p w14:paraId="7B99EF8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450" w:type="dxa"/>
          </w:tcPr>
          <w:p w14:paraId="5B85F9D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450" w:type="dxa"/>
          </w:tcPr>
          <w:p w14:paraId="3DCE55C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540" w:type="dxa"/>
          </w:tcPr>
          <w:p w14:paraId="2FBE186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516" w:type="dxa"/>
          </w:tcPr>
          <w:p w14:paraId="2ABBD29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93</w:t>
            </w:r>
          </w:p>
        </w:tc>
      </w:tr>
      <w:tr w:rsidR="002B1C74" w:rsidRPr="002F2FDF" w14:paraId="7198D7C3" w14:textId="77777777">
        <w:tc>
          <w:tcPr>
            <w:tcW w:w="1098" w:type="dxa"/>
          </w:tcPr>
          <w:p w14:paraId="3953F63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Западный</w:t>
            </w:r>
          </w:p>
        </w:tc>
        <w:tc>
          <w:tcPr>
            <w:tcW w:w="540" w:type="dxa"/>
          </w:tcPr>
          <w:p w14:paraId="6519286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540" w:type="dxa"/>
          </w:tcPr>
          <w:p w14:paraId="1130879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540" w:type="dxa"/>
          </w:tcPr>
          <w:p w14:paraId="0DCD480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540" w:type="dxa"/>
          </w:tcPr>
          <w:p w14:paraId="174FF3A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540" w:type="dxa"/>
          </w:tcPr>
          <w:p w14:paraId="71441F3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540" w:type="dxa"/>
          </w:tcPr>
          <w:p w14:paraId="5D6E8C5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40" w:type="dxa"/>
          </w:tcPr>
          <w:p w14:paraId="750B067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40" w:type="dxa"/>
          </w:tcPr>
          <w:p w14:paraId="43044F7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w:t>
            </w:r>
          </w:p>
        </w:tc>
        <w:tc>
          <w:tcPr>
            <w:tcW w:w="540" w:type="dxa"/>
          </w:tcPr>
          <w:p w14:paraId="176A27E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540" w:type="dxa"/>
          </w:tcPr>
          <w:p w14:paraId="5E88C8C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540" w:type="dxa"/>
          </w:tcPr>
          <w:p w14:paraId="408BD65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450" w:type="dxa"/>
          </w:tcPr>
          <w:p w14:paraId="4FAB4D4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450" w:type="dxa"/>
          </w:tcPr>
          <w:p w14:paraId="79BF9B8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450" w:type="dxa"/>
          </w:tcPr>
          <w:p w14:paraId="46BEF0A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c>
          <w:tcPr>
            <w:tcW w:w="450" w:type="dxa"/>
          </w:tcPr>
          <w:p w14:paraId="2623D3E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450" w:type="dxa"/>
          </w:tcPr>
          <w:p w14:paraId="4785CB9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450" w:type="dxa"/>
          </w:tcPr>
          <w:p w14:paraId="72E13FC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450" w:type="dxa"/>
          </w:tcPr>
          <w:p w14:paraId="46592EF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540" w:type="dxa"/>
          </w:tcPr>
          <w:p w14:paraId="666B292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516" w:type="dxa"/>
          </w:tcPr>
          <w:p w14:paraId="3817515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125</w:t>
            </w:r>
          </w:p>
        </w:tc>
      </w:tr>
      <w:tr w:rsidR="002B1C74" w:rsidRPr="002F2FDF" w14:paraId="181A9BF1" w14:textId="77777777">
        <w:tc>
          <w:tcPr>
            <w:tcW w:w="1098" w:type="dxa"/>
          </w:tcPr>
          <w:p w14:paraId="0F9A4D8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Юго-Западный и Румынский</w:t>
            </w:r>
          </w:p>
        </w:tc>
        <w:tc>
          <w:tcPr>
            <w:tcW w:w="540" w:type="dxa"/>
          </w:tcPr>
          <w:p w14:paraId="2D9CE6E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540" w:type="dxa"/>
          </w:tcPr>
          <w:p w14:paraId="7753AC0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540" w:type="dxa"/>
          </w:tcPr>
          <w:p w14:paraId="5FFB362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540" w:type="dxa"/>
          </w:tcPr>
          <w:p w14:paraId="435A27A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w:t>
            </w:r>
          </w:p>
        </w:tc>
        <w:tc>
          <w:tcPr>
            <w:tcW w:w="540" w:type="dxa"/>
          </w:tcPr>
          <w:p w14:paraId="74AFFA3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w:t>
            </w:r>
          </w:p>
        </w:tc>
        <w:tc>
          <w:tcPr>
            <w:tcW w:w="540" w:type="dxa"/>
          </w:tcPr>
          <w:p w14:paraId="1E1E49C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540" w:type="dxa"/>
          </w:tcPr>
          <w:p w14:paraId="0B01034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540" w:type="dxa"/>
          </w:tcPr>
          <w:p w14:paraId="40E7862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w:t>
            </w:r>
          </w:p>
        </w:tc>
        <w:tc>
          <w:tcPr>
            <w:tcW w:w="540" w:type="dxa"/>
          </w:tcPr>
          <w:p w14:paraId="0D13157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c>
          <w:tcPr>
            <w:tcW w:w="540" w:type="dxa"/>
          </w:tcPr>
          <w:p w14:paraId="302C052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40" w:type="dxa"/>
          </w:tcPr>
          <w:p w14:paraId="23CF3BA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450" w:type="dxa"/>
          </w:tcPr>
          <w:p w14:paraId="602F76B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450" w:type="dxa"/>
          </w:tcPr>
          <w:p w14:paraId="17EB160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w:t>
            </w:r>
          </w:p>
        </w:tc>
        <w:tc>
          <w:tcPr>
            <w:tcW w:w="450" w:type="dxa"/>
          </w:tcPr>
          <w:p w14:paraId="30B94E4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w:t>
            </w:r>
          </w:p>
        </w:tc>
        <w:tc>
          <w:tcPr>
            <w:tcW w:w="450" w:type="dxa"/>
          </w:tcPr>
          <w:p w14:paraId="4FFBFE8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450" w:type="dxa"/>
          </w:tcPr>
          <w:p w14:paraId="1160AF5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w:t>
            </w:r>
          </w:p>
        </w:tc>
        <w:tc>
          <w:tcPr>
            <w:tcW w:w="450" w:type="dxa"/>
          </w:tcPr>
          <w:p w14:paraId="4532F00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450" w:type="dxa"/>
          </w:tcPr>
          <w:p w14:paraId="4E2EED1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540" w:type="dxa"/>
          </w:tcPr>
          <w:p w14:paraId="794AA68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516" w:type="dxa"/>
          </w:tcPr>
          <w:p w14:paraId="3FE3901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259</w:t>
            </w:r>
          </w:p>
        </w:tc>
      </w:tr>
      <w:tr w:rsidR="002B1C74" w:rsidRPr="002F2FDF" w14:paraId="47C95A25" w14:textId="77777777">
        <w:tc>
          <w:tcPr>
            <w:tcW w:w="1098" w:type="dxa"/>
          </w:tcPr>
          <w:p w14:paraId="4FDD362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Кавказский</w:t>
            </w:r>
          </w:p>
        </w:tc>
        <w:tc>
          <w:tcPr>
            <w:tcW w:w="540" w:type="dxa"/>
          </w:tcPr>
          <w:p w14:paraId="7472781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540" w:type="dxa"/>
          </w:tcPr>
          <w:p w14:paraId="6674E31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540" w:type="dxa"/>
          </w:tcPr>
          <w:p w14:paraId="2D39BF8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40" w:type="dxa"/>
          </w:tcPr>
          <w:p w14:paraId="1B76734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540" w:type="dxa"/>
          </w:tcPr>
          <w:p w14:paraId="2A30D8E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540" w:type="dxa"/>
          </w:tcPr>
          <w:p w14:paraId="2EFD467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40" w:type="dxa"/>
          </w:tcPr>
          <w:p w14:paraId="45863B4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40" w:type="dxa"/>
          </w:tcPr>
          <w:p w14:paraId="499D9F3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540" w:type="dxa"/>
          </w:tcPr>
          <w:p w14:paraId="3EF0C05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40" w:type="dxa"/>
          </w:tcPr>
          <w:p w14:paraId="350FA38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540" w:type="dxa"/>
          </w:tcPr>
          <w:p w14:paraId="3400FDF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450" w:type="dxa"/>
          </w:tcPr>
          <w:p w14:paraId="251B754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450" w:type="dxa"/>
          </w:tcPr>
          <w:p w14:paraId="296ECD0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450" w:type="dxa"/>
          </w:tcPr>
          <w:p w14:paraId="1ABC742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w:t>
            </w:r>
          </w:p>
        </w:tc>
        <w:tc>
          <w:tcPr>
            <w:tcW w:w="450" w:type="dxa"/>
          </w:tcPr>
          <w:p w14:paraId="4AC0407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450" w:type="dxa"/>
          </w:tcPr>
          <w:p w14:paraId="4C755E8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450" w:type="dxa"/>
          </w:tcPr>
          <w:p w14:paraId="4DB870A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450" w:type="dxa"/>
          </w:tcPr>
          <w:p w14:paraId="37C7A4E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40" w:type="dxa"/>
          </w:tcPr>
          <w:p w14:paraId="010E9FD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516" w:type="dxa"/>
          </w:tcPr>
          <w:p w14:paraId="2915E39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104</w:t>
            </w:r>
          </w:p>
        </w:tc>
      </w:tr>
      <w:tr w:rsidR="002B1C74" w:rsidRPr="002F2FDF" w14:paraId="6B299E94" w14:textId="77777777">
        <w:tc>
          <w:tcPr>
            <w:tcW w:w="1098" w:type="dxa"/>
            <w:tcBorders>
              <w:bottom w:val="single" w:sz="12" w:space="0" w:color="auto"/>
            </w:tcBorders>
          </w:tcPr>
          <w:p w14:paraId="1294228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540" w:type="dxa"/>
            <w:tcBorders>
              <w:bottom w:val="single" w:sz="12" w:space="0" w:color="auto"/>
            </w:tcBorders>
          </w:tcPr>
          <w:p w14:paraId="57FE935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w:t>
            </w:r>
          </w:p>
        </w:tc>
        <w:tc>
          <w:tcPr>
            <w:tcW w:w="540" w:type="dxa"/>
            <w:tcBorders>
              <w:bottom w:val="single" w:sz="12" w:space="0" w:color="auto"/>
            </w:tcBorders>
          </w:tcPr>
          <w:p w14:paraId="5C66CD0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w:t>
            </w:r>
          </w:p>
        </w:tc>
        <w:tc>
          <w:tcPr>
            <w:tcW w:w="540" w:type="dxa"/>
            <w:tcBorders>
              <w:bottom w:val="single" w:sz="12" w:space="0" w:color="auto"/>
            </w:tcBorders>
          </w:tcPr>
          <w:p w14:paraId="6ED3E19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540" w:type="dxa"/>
            <w:tcBorders>
              <w:bottom w:val="single" w:sz="12" w:space="0" w:color="auto"/>
            </w:tcBorders>
          </w:tcPr>
          <w:p w14:paraId="5181BD6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w:t>
            </w:r>
          </w:p>
        </w:tc>
        <w:tc>
          <w:tcPr>
            <w:tcW w:w="540" w:type="dxa"/>
            <w:tcBorders>
              <w:bottom w:val="single" w:sz="12" w:space="0" w:color="auto"/>
            </w:tcBorders>
          </w:tcPr>
          <w:p w14:paraId="794C4C7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w:t>
            </w:r>
          </w:p>
        </w:tc>
        <w:tc>
          <w:tcPr>
            <w:tcW w:w="540" w:type="dxa"/>
            <w:tcBorders>
              <w:bottom w:val="single" w:sz="12" w:space="0" w:color="auto"/>
            </w:tcBorders>
          </w:tcPr>
          <w:p w14:paraId="7F1E83F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540" w:type="dxa"/>
            <w:tcBorders>
              <w:bottom w:val="single" w:sz="12" w:space="0" w:color="auto"/>
            </w:tcBorders>
          </w:tcPr>
          <w:p w14:paraId="50B8813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540" w:type="dxa"/>
            <w:tcBorders>
              <w:bottom w:val="single" w:sz="12" w:space="0" w:color="auto"/>
            </w:tcBorders>
          </w:tcPr>
          <w:p w14:paraId="51417AD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94</w:t>
            </w:r>
          </w:p>
        </w:tc>
        <w:tc>
          <w:tcPr>
            <w:tcW w:w="540" w:type="dxa"/>
            <w:tcBorders>
              <w:bottom w:val="single" w:sz="12" w:space="0" w:color="auto"/>
            </w:tcBorders>
          </w:tcPr>
          <w:p w14:paraId="5812408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w:t>
            </w:r>
          </w:p>
        </w:tc>
        <w:tc>
          <w:tcPr>
            <w:tcW w:w="540" w:type="dxa"/>
            <w:tcBorders>
              <w:bottom w:val="single" w:sz="12" w:space="0" w:color="auto"/>
            </w:tcBorders>
          </w:tcPr>
          <w:p w14:paraId="4F4169C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540" w:type="dxa"/>
            <w:tcBorders>
              <w:bottom w:val="single" w:sz="12" w:space="0" w:color="auto"/>
            </w:tcBorders>
          </w:tcPr>
          <w:p w14:paraId="1B83099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450" w:type="dxa"/>
            <w:tcBorders>
              <w:bottom w:val="single" w:sz="12" w:space="0" w:color="auto"/>
            </w:tcBorders>
          </w:tcPr>
          <w:p w14:paraId="0D140F6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c>
          <w:tcPr>
            <w:tcW w:w="450" w:type="dxa"/>
            <w:tcBorders>
              <w:bottom w:val="single" w:sz="12" w:space="0" w:color="auto"/>
            </w:tcBorders>
          </w:tcPr>
          <w:p w14:paraId="55A057B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w:t>
            </w:r>
          </w:p>
        </w:tc>
        <w:tc>
          <w:tcPr>
            <w:tcW w:w="450" w:type="dxa"/>
            <w:tcBorders>
              <w:bottom w:val="single" w:sz="12" w:space="0" w:color="auto"/>
            </w:tcBorders>
          </w:tcPr>
          <w:p w14:paraId="0352954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w:t>
            </w:r>
          </w:p>
        </w:tc>
        <w:tc>
          <w:tcPr>
            <w:tcW w:w="450" w:type="dxa"/>
            <w:tcBorders>
              <w:bottom w:val="single" w:sz="12" w:space="0" w:color="auto"/>
            </w:tcBorders>
          </w:tcPr>
          <w:p w14:paraId="123661D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450" w:type="dxa"/>
            <w:tcBorders>
              <w:bottom w:val="single" w:sz="12" w:space="0" w:color="auto"/>
            </w:tcBorders>
          </w:tcPr>
          <w:p w14:paraId="4B538DA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w:t>
            </w:r>
          </w:p>
        </w:tc>
        <w:tc>
          <w:tcPr>
            <w:tcW w:w="450" w:type="dxa"/>
            <w:tcBorders>
              <w:bottom w:val="single" w:sz="12" w:space="0" w:color="auto"/>
            </w:tcBorders>
          </w:tcPr>
          <w:p w14:paraId="5F6D503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450" w:type="dxa"/>
            <w:tcBorders>
              <w:bottom w:val="single" w:sz="12" w:space="0" w:color="auto"/>
            </w:tcBorders>
          </w:tcPr>
          <w:p w14:paraId="7FAC7D4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540" w:type="dxa"/>
            <w:tcBorders>
              <w:bottom w:val="single" w:sz="12" w:space="0" w:color="auto"/>
            </w:tcBorders>
          </w:tcPr>
          <w:p w14:paraId="174E87A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w:t>
            </w:r>
          </w:p>
        </w:tc>
        <w:tc>
          <w:tcPr>
            <w:tcW w:w="516" w:type="dxa"/>
            <w:tcBorders>
              <w:bottom w:val="single" w:sz="12" w:space="0" w:color="auto"/>
            </w:tcBorders>
          </w:tcPr>
          <w:p w14:paraId="3AB5CA9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581</w:t>
            </w:r>
          </w:p>
        </w:tc>
      </w:tr>
    </w:tbl>
    <w:p w14:paraId="36B5758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Наиболее насыщенными материальной частью были Юго-За</w:t>
      </w:r>
      <w:r w:rsidRPr="002F2FDF">
        <w:rPr>
          <w:rFonts w:ascii="Times New Roman" w:hAnsi="Times New Roman" w:cs="Times New Roman"/>
          <w:color w:val="000000" w:themeColor="text1"/>
          <w:kern w:val="2"/>
          <w:sz w:val="16"/>
          <w:szCs w:val="16"/>
        </w:rPr>
        <w:softHyphen/>
        <w:t>падный и Румынский фронты — 259 самолетов, Западный фронт — 125 самолетов, Северный — 93, Кавказский фронт и другие на</w:t>
      </w:r>
      <w:r w:rsidRPr="002F2FDF">
        <w:rPr>
          <w:rFonts w:ascii="Times New Roman" w:hAnsi="Times New Roman" w:cs="Times New Roman"/>
          <w:color w:val="000000" w:themeColor="text1"/>
          <w:kern w:val="2"/>
          <w:sz w:val="16"/>
          <w:szCs w:val="16"/>
        </w:rPr>
        <w:softHyphen/>
        <w:t>считывали 104 самолета, но значительная часть этих машин была на базах. Всего на фронтах числился 1031 самолет, однако реально боеспособных среди них было меньше половины. Эти данные относятся к началу июньского наступления 1917 г. Уже к концу июля 1917 г. общее количество боевых самолетов резко сократилось. Фронт нуждался в самолетах-разведчиках (9705,93).</w:t>
      </w:r>
    </w:p>
    <w:p w14:paraId="6A6B57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02C2D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По состоянию на 1 (14) июня 1917 года действующие армии располагали всего 581 аэропланом. Из них авиаотряды Северного фронта имели 93, Западного - 125, Юго-Западного и Румынского - 259 и Кавказского - 104 машины. Заявив союзникам о своем решении продолжать войну до победного конца, Временное правительство всячески поддер</w:t>
      </w:r>
      <w:r w:rsidRPr="002F2FDF">
        <w:rPr>
          <w:rFonts w:ascii="Times New Roman" w:hAnsi="Times New Roman" w:cs="Times New Roman"/>
          <w:color w:val="000000" w:themeColor="text1"/>
          <w:kern w:val="2"/>
          <w:sz w:val="16"/>
          <w:szCs w:val="16"/>
        </w:rPr>
        <w:softHyphen/>
        <w:t>живало развитие военной промышленности. Владельцы рос</w:t>
      </w:r>
      <w:r w:rsidRPr="002F2FDF">
        <w:rPr>
          <w:rFonts w:ascii="Times New Roman" w:hAnsi="Times New Roman" w:cs="Times New Roman"/>
          <w:color w:val="000000" w:themeColor="text1"/>
          <w:kern w:val="2"/>
          <w:sz w:val="16"/>
          <w:szCs w:val="16"/>
        </w:rPr>
        <w:softHyphen/>
        <w:t>сийских авиазаводов, ежемесячно производившие в целом 230-250 аэропланов (преимущественно для нужд армии), высказали уверенность, что после изготовления в минувшем году 1870 летательных аппаратов, способны в нынешне м увеличить их производство. Однако такие заверения не сбылись. Количество отправля</w:t>
      </w:r>
      <w:r w:rsidRPr="002F2FDF">
        <w:rPr>
          <w:rFonts w:ascii="Times New Roman" w:hAnsi="Times New Roman" w:cs="Times New Roman"/>
          <w:color w:val="000000" w:themeColor="text1"/>
          <w:kern w:val="2"/>
          <w:sz w:val="16"/>
          <w:szCs w:val="16"/>
        </w:rPr>
        <w:softHyphen/>
        <w:t>емых в действующие армии и флоты аэропланов разных ти</w:t>
      </w:r>
      <w:r w:rsidRPr="002F2FDF">
        <w:rPr>
          <w:rFonts w:ascii="Times New Roman" w:hAnsi="Times New Roman" w:cs="Times New Roman"/>
          <w:color w:val="000000" w:themeColor="text1"/>
          <w:kern w:val="2"/>
          <w:sz w:val="16"/>
          <w:szCs w:val="16"/>
        </w:rPr>
        <w:softHyphen/>
        <w:t>пов было явно недостаточным для удовлетворения текущих потребностей. С очевидной наглядностью эти нехватки про</w:t>
      </w:r>
      <w:r w:rsidRPr="002F2FDF">
        <w:rPr>
          <w:rFonts w:ascii="Times New Roman" w:hAnsi="Times New Roman" w:cs="Times New Roman"/>
          <w:color w:val="000000" w:themeColor="text1"/>
          <w:kern w:val="2"/>
          <w:sz w:val="16"/>
          <w:szCs w:val="16"/>
        </w:rPr>
        <w:softHyphen/>
        <w:t>явились в морской авиации (11283).</w:t>
      </w:r>
    </w:p>
    <w:p w14:paraId="0BFA17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51A48F" w14:textId="1FF57234" w:rsidR="005D46C8" w:rsidRPr="002F2FDF" w:rsidRDefault="005D46C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 1 </w:t>
      </w:r>
      <w:r w:rsidR="00FC0C6C">
        <w:rPr>
          <w:rFonts w:ascii="Times New Roman" w:hAnsi="Times New Roman" w:cs="Times New Roman"/>
          <w:color w:val="000000" w:themeColor="text1"/>
          <w:kern w:val="2"/>
          <w:sz w:val="16"/>
          <w:szCs w:val="16"/>
        </w:rPr>
        <w:t xml:space="preserve">(14) </w:t>
      </w:r>
      <w:r w:rsidRPr="002F2FDF">
        <w:rPr>
          <w:rStyle w:val="highlight"/>
          <w:rFonts w:ascii="Times New Roman" w:hAnsi="Times New Roman" w:cs="Times New Roman"/>
          <w:color w:val="000000" w:themeColor="text1"/>
          <w:kern w:val="2"/>
          <w:sz w:val="16"/>
          <w:szCs w:val="16"/>
        </w:rPr>
        <w:t>июня</w:t>
      </w:r>
      <w:r w:rsidR="00FC0C6C">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1917</w:t>
      </w:r>
      <w:r w:rsidRPr="002F2FDF">
        <w:rPr>
          <w:rFonts w:ascii="Times New Roman" w:hAnsi="Times New Roman" w:cs="Times New Roman"/>
          <w:color w:val="000000" w:themeColor="text1"/>
          <w:kern w:val="2"/>
          <w:sz w:val="16"/>
          <w:szCs w:val="16"/>
        </w:rPr>
        <w:t xml:space="preserve"> года действующая армия располагала 581 самолетом, в том числе: Северный фронт - 93, Западный - 125, Юго-Западный и Румынский - 259 и Кавказский – 104 (14027).</w:t>
      </w:r>
    </w:p>
    <w:p w14:paraId="1B22CCF4" w14:textId="77777777" w:rsidR="005D46C8" w:rsidRDefault="005D46C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152A0B" w14:textId="7638733A" w:rsidR="00A65C94" w:rsidRPr="00FB4F67" w:rsidRDefault="00A65C94" w:rsidP="0083075A">
      <w:pPr>
        <w:spacing w:after="0" w:line="240" w:lineRule="auto"/>
        <w:jc w:val="both"/>
        <w:rPr>
          <w:rFonts w:ascii="Times New Roman" w:hAnsi="Times New Roman" w:cs="Times New Roman"/>
          <w:color w:val="0070C0"/>
          <w:sz w:val="16"/>
          <w:szCs w:val="16"/>
        </w:rPr>
      </w:pPr>
      <w:bookmarkStart w:id="143" w:name="bookmark837"/>
      <w:r>
        <w:rPr>
          <w:rFonts w:ascii="Times New Roman" w:hAnsi="Times New Roman" w:cs="Times New Roman"/>
          <w:color w:val="0070C0"/>
          <w:sz w:val="16"/>
          <w:szCs w:val="16"/>
        </w:rPr>
        <w:t>1 (</w:t>
      </w:r>
      <w:r w:rsidRPr="00FB4F67">
        <w:rPr>
          <w:rFonts w:ascii="Times New Roman" w:hAnsi="Times New Roman" w:cs="Times New Roman"/>
          <w:color w:val="0070C0"/>
          <w:sz w:val="16"/>
          <w:szCs w:val="16"/>
        </w:rPr>
        <w:t>14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1917 г. военный летчик Гренадерского авиаотряда прапорщик А.В. Квасников во время проведения разведки атаковал и сжег неприятельский аэростат зажигательными ракетами типа «Ла-Приера» у д. Пенары. За этот подвиг позднее награжден орденом Святого Георгия IV степени (23405).</w:t>
      </w:r>
      <w:bookmarkEnd w:id="143"/>
    </w:p>
    <w:p w14:paraId="3EFAC761" w14:textId="77777777" w:rsidR="00A65C94" w:rsidRPr="00FB4F67" w:rsidRDefault="00A65C94" w:rsidP="0083075A">
      <w:pPr>
        <w:spacing w:after="0" w:line="240" w:lineRule="auto"/>
        <w:jc w:val="both"/>
        <w:rPr>
          <w:rFonts w:ascii="Times New Roman" w:hAnsi="Times New Roman" w:cs="Times New Roman"/>
          <w:color w:val="0070C0"/>
          <w:sz w:val="16"/>
          <w:szCs w:val="16"/>
        </w:rPr>
      </w:pPr>
    </w:p>
    <w:p w14:paraId="211D7F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июня 1917 командир 1 ио штабс-кап. К.К.Вакуловский во время фотографирования позиций был сбит зенитным снарядом. На высоте 500 м самолет загорелся, но л, получив ожоги, на горящем самолете пересек линию фронта и приземлился на своей территории, где был обстрелян немецкой артиллерией (438,359).</w:t>
      </w:r>
    </w:p>
    <w:p w14:paraId="03B75A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094E6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июня 1917 командир 1-го истребительного отряда штабс-капитэн К.К.Вакуловский во время фотографирования неприятель</w:t>
      </w:r>
      <w:r w:rsidRPr="002F2FDF">
        <w:rPr>
          <w:rFonts w:ascii="Times New Roman" w:hAnsi="Times New Roman" w:cs="Times New Roman"/>
          <w:color w:val="000000" w:themeColor="text1"/>
          <w:kern w:val="2"/>
          <w:sz w:val="16"/>
          <w:szCs w:val="16"/>
        </w:rPr>
        <w:softHyphen/>
        <w:t>ских позиций был сбит разорвавшимся под самым самолетом непри</w:t>
      </w:r>
      <w:r w:rsidRPr="002F2FDF">
        <w:rPr>
          <w:rFonts w:ascii="Times New Roman" w:hAnsi="Times New Roman" w:cs="Times New Roman"/>
          <w:color w:val="000000" w:themeColor="text1"/>
          <w:kern w:val="2"/>
          <w:sz w:val="16"/>
          <w:szCs w:val="16"/>
        </w:rPr>
        <w:softHyphen/>
        <w:t>ятельским снарядом. На высоте 500 м самолет был охвачен пламенем, но летчик, получивший сильные ожоги, на горящем само</w:t>
      </w:r>
      <w:r w:rsidRPr="002F2FDF">
        <w:rPr>
          <w:rFonts w:ascii="Times New Roman" w:hAnsi="Times New Roman" w:cs="Times New Roman"/>
          <w:color w:val="000000" w:themeColor="text1"/>
          <w:kern w:val="2"/>
          <w:sz w:val="16"/>
          <w:szCs w:val="16"/>
        </w:rPr>
        <w:softHyphen/>
        <w:t>лете с неработавшим двигателем пересек линию фронта и при</w:t>
      </w:r>
      <w:r w:rsidRPr="002F2FDF">
        <w:rPr>
          <w:rFonts w:ascii="Times New Roman" w:hAnsi="Times New Roman" w:cs="Times New Roman"/>
          <w:color w:val="000000" w:themeColor="text1"/>
          <w:kern w:val="2"/>
          <w:sz w:val="16"/>
          <w:szCs w:val="16"/>
        </w:rPr>
        <w:softHyphen/>
        <w:t>землился но своей территории, где был еще раз обстрелян не</w:t>
      </w:r>
      <w:r w:rsidRPr="002F2FDF">
        <w:rPr>
          <w:rFonts w:ascii="Times New Roman" w:hAnsi="Times New Roman" w:cs="Times New Roman"/>
          <w:color w:val="000000" w:themeColor="text1"/>
          <w:kern w:val="2"/>
          <w:sz w:val="16"/>
          <w:szCs w:val="16"/>
        </w:rPr>
        <w:softHyphen/>
        <w:t>мецкой артиллерией. (Приказ по войскам XII армии № 570 от 5 июня 1917 г.).</w:t>
      </w:r>
    </w:p>
    <w:p w14:paraId="7C11718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D1106D" w14:textId="358DE6F7" w:rsidR="00A65C94" w:rsidRPr="00815ED5" w:rsidRDefault="00A65C94"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1 </w:t>
      </w:r>
      <w:r>
        <w:rPr>
          <w:rFonts w:ascii="Times New Roman" w:hAnsi="Times New Roman" w:cs="Times New Roman"/>
          <w:color w:val="0070C0"/>
          <w:sz w:val="16"/>
          <w:szCs w:val="16"/>
        </w:rPr>
        <w:t xml:space="preserve">(14) </w:t>
      </w:r>
      <w:r w:rsidRPr="00815ED5">
        <w:rPr>
          <w:rFonts w:ascii="Times New Roman" w:hAnsi="Times New Roman" w:cs="Times New Roman"/>
          <w:color w:val="0070C0"/>
          <w:sz w:val="16"/>
          <w:szCs w:val="16"/>
        </w:rPr>
        <w:t>июня</w:t>
      </w:r>
      <w:r>
        <w:rPr>
          <w:rFonts w:ascii="Times New Roman" w:hAnsi="Times New Roman" w:cs="Times New Roman"/>
          <w:color w:val="0070C0"/>
          <w:sz w:val="16"/>
          <w:szCs w:val="16"/>
        </w:rPr>
        <w:t xml:space="preserve">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к</w:t>
      </w:r>
      <w:r w:rsidRPr="00815ED5">
        <w:rPr>
          <w:rFonts w:ascii="Times New Roman" w:hAnsi="Times New Roman" w:cs="Times New Roman"/>
          <w:color w:val="0070C0"/>
          <w:sz w:val="16"/>
          <w:szCs w:val="16"/>
        </w:rPr>
        <w:t>омандир 1-го истребительного отряда шт.-капитан К.К.Вакуловский во время фотографирования неприятельских позиций был сбит разорвавшимся под самым самолетом неприятельским снарядом.</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На высоте 500 м самолет был охвачен пламенем,</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но летчик,</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получивший сильные ожоги,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на горящем самолете с остановленным мотором перетянул линию фронта и приземлился на своей территории,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где был еще раз обстрелян немецкой артиллерией.</w:t>
      </w:r>
    </w:p>
    <w:p w14:paraId="0A6FFEC4" w14:textId="77777777" w:rsidR="00A65C94" w:rsidRDefault="00A65C94"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/Приказ по войскам XII армии № 570 от 5 июня 1917/</w:t>
      </w:r>
      <w:r>
        <w:rPr>
          <w:rFonts w:ascii="Times New Roman" w:hAnsi="Times New Roman" w:cs="Times New Roman"/>
          <w:color w:val="0070C0"/>
          <w:sz w:val="16"/>
          <w:szCs w:val="16"/>
        </w:rPr>
        <w:t xml:space="preserve"> (23320).</w:t>
      </w:r>
    </w:p>
    <w:p w14:paraId="058D5E87" w14:textId="77777777" w:rsidR="00A65C94" w:rsidRPr="00815ED5" w:rsidRDefault="00A65C94" w:rsidP="0083075A">
      <w:pPr>
        <w:spacing w:after="0" w:line="240" w:lineRule="auto"/>
        <w:jc w:val="both"/>
        <w:rPr>
          <w:rFonts w:ascii="Times New Roman" w:hAnsi="Times New Roman" w:cs="Times New Roman"/>
          <w:color w:val="0070C0"/>
          <w:sz w:val="16"/>
          <w:szCs w:val="16"/>
        </w:rPr>
      </w:pPr>
    </w:p>
    <w:p w14:paraId="443E07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1 июня по 1 октября </w:t>
      </w:r>
      <w:r w:rsidR="00EC0E98" w:rsidRPr="002F2FDF">
        <w:rPr>
          <w:rFonts w:ascii="Times New Roman" w:hAnsi="Times New Roman" w:cs="Times New Roman"/>
          <w:color w:val="000000" w:themeColor="text1"/>
          <w:kern w:val="2"/>
          <w:sz w:val="16"/>
          <w:szCs w:val="16"/>
        </w:rPr>
        <w:t xml:space="preserve">(14 июня – 14 октября) </w:t>
      </w:r>
      <w:r w:rsidRPr="002F2FDF">
        <w:rPr>
          <w:rFonts w:ascii="Times New Roman" w:hAnsi="Times New Roman" w:cs="Times New Roman"/>
          <w:color w:val="000000" w:themeColor="text1"/>
          <w:kern w:val="2"/>
          <w:sz w:val="16"/>
          <w:szCs w:val="16"/>
        </w:rPr>
        <w:t>1917 на Румынском фронте потери были незначительными: летчик-ас Григорий Сук из 9-го истребительного АО разбился на своем аэродроме, 4 человека получили ранения в воздушных боях, по различным причинам были разбиты 3 самолета. За это же время противник потерял в воздушных боях и в результате вынужденных посадок на русской территории 29 самолетов, из них 20 - от действий авиаторов, 4 - от огня зенитной артиллерии, 2 - от пулеметного обстрела и 3 - по другим причинам (11237).</w:t>
      </w:r>
    </w:p>
    <w:p w14:paraId="1AB400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7FCC35" w14:textId="10BAB552" w:rsidR="00945C28" w:rsidRPr="002F2FDF" w:rsidRDefault="00945C28" w:rsidP="0083075A">
      <w:pPr>
        <w:pStyle w:val="ae"/>
        <w:spacing w:before="0" w:after="0"/>
        <w:jc w:val="both"/>
        <w:rPr>
          <w:color w:val="000000" w:themeColor="text1"/>
          <w:kern w:val="2"/>
          <w:sz w:val="16"/>
          <w:szCs w:val="16"/>
        </w:rPr>
      </w:pPr>
      <w:r w:rsidRPr="002F2FDF">
        <w:rPr>
          <w:rStyle w:val="af0"/>
          <w:i w:val="0"/>
          <w:color w:val="000000" w:themeColor="text1"/>
          <w:kern w:val="2"/>
          <w:sz w:val="16"/>
          <w:szCs w:val="16"/>
        </w:rPr>
        <w:t>1 (14) июня 1917 г</w:t>
      </w:r>
      <w:r w:rsidRPr="002F2FDF">
        <w:rPr>
          <w:color w:val="000000" w:themeColor="text1"/>
          <w:kern w:val="2"/>
          <w:sz w:val="16"/>
          <w:szCs w:val="16"/>
        </w:rPr>
        <w:t>. Военная организация РСДРП(б) проголосовала за проведение 23 июня демонстрации у Мариинского дворца, в котором располагалось Временное правительство. 19 июня ЦК партии обсудил возможность вывода на улицы Петрограда 40</w:t>
      </w:r>
      <w:r w:rsidR="00E52569">
        <w:rPr>
          <w:color w:val="000000" w:themeColor="text1"/>
          <w:kern w:val="2"/>
          <w:sz w:val="16"/>
          <w:szCs w:val="16"/>
        </w:rPr>
        <w:t xml:space="preserve"> </w:t>
      </w:r>
      <w:r w:rsidRPr="002F2FDF">
        <w:rPr>
          <w:color w:val="000000" w:themeColor="text1"/>
          <w:kern w:val="2"/>
          <w:sz w:val="16"/>
          <w:szCs w:val="16"/>
        </w:rPr>
        <w:t>000 вооруженных солдат и красногвардейцев. Член РСДРП, «меньшевик» Николай Суханов так описывал планы демонстрации, полученные им от председателя Военной организации партии Владимира Невского: «Ударным пунктом манифестации, назначенной на 10 июня (по старому стилю — РП), был Мариинский дворец. Туда должны были отправиться рабочие отряды и верные большевикам полки. Особо назначенные лица должны были вызвать из дворца членов кабинета и предложить им вопросы. Особо назначенные группы должны были, во время министерских речей, выражать «народное недовольство» и поднимать настроение масс. При надлежащей температуре настроений Вр.Правительство должно было быть тут же арестовано. Столица, конечно, немедленно должна была на это реагировать. И в зависимости от реакции, Центральный Комитет большевиков, под тем или названием, должен был объявить себя властью».</w:t>
      </w:r>
    </w:p>
    <w:p w14:paraId="6FC9B27E" w14:textId="77777777" w:rsidR="00945C28" w:rsidRPr="002F2FDF" w:rsidRDefault="00945C28" w:rsidP="0083075A">
      <w:pPr>
        <w:pStyle w:val="ae"/>
        <w:spacing w:before="0" w:after="0"/>
        <w:jc w:val="both"/>
        <w:rPr>
          <w:color w:val="000000" w:themeColor="text1"/>
          <w:kern w:val="2"/>
          <w:sz w:val="16"/>
          <w:szCs w:val="16"/>
        </w:rPr>
      </w:pPr>
      <w:r w:rsidRPr="002F2FDF">
        <w:rPr>
          <w:color w:val="000000" w:themeColor="text1"/>
          <w:kern w:val="2"/>
          <w:sz w:val="16"/>
          <w:szCs w:val="16"/>
        </w:rPr>
        <w:t>Этот план не встретил одобрения всей партии. На совещании 19 июня против Ленина в очередной раз выступил член ЦК РСДРП(б) Лев Каменев, упрекнув его в «авантюризме». Тем не менее, 22 июня большевистские агитаторы отправились в казармы и на фабрики, чтобы подготовить рабочих к демонстрации, а газета «Солдатская правда» опубликовала статью, заканчивавшуюся словами: «Война до победного конца против империалистов». Благодаря этому намерения большевиков стали известны Петроградскому Совету и Съезду депутатов, пребывавшему в полном неведении о мероприятии, которое должно было проводиться от его лица и под лозунгом «Вся власть Советам!» (17045).</w:t>
      </w:r>
    </w:p>
    <w:p w14:paraId="27D1702E" w14:textId="77777777" w:rsidR="00945C28" w:rsidRPr="002F2FDF" w:rsidRDefault="00945C2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C9577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4F2D90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160C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июня 1917 американская миссия во главе с И.Рутом прибыла в Петроград, чтобы обеспечить дальнейшее участие России в войне (3907,90).</w:t>
      </w:r>
    </w:p>
    <w:p w14:paraId="42E10D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DF2D29"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1 (14) июня 1917 г</w:t>
      </w:r>
      <w:r w:rsidRPr="002F2FDF">
        <w:rPr>
          <w:rFonts w:ascii="Times New Roman" w:hAnsi="Times New Roman" w:cs="Times New Roman"/>
          <w:color w:val="000000" w:themeColor="text1"/>
          <w:kern w:val="2"/>
          <w:sz w:val="16"/>
          <w:szCs w:val="16"/>
        </w:rPr>
        <w:t>. Из телеграммы министра иностранных дел М. И. Терещенко послу Временного правительства в США В. А. Бахметьеву об экономическом положении в стране и о необходимости со действия скорейшему притоку иностранного капитала в Россию.</w:t>
      </w:r>
    </w:p>
    <w:p w14:paraId="62D45A5B" w14:textId="2D9EAC20"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460</w:t>
      </w:r>
    </w:p>
    <w:p w14:paraId="079B3472" w14:textId="5A2EFD0C"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АВПГ, ф. Секретного архива, д. 652/674, лл. 55—56. Копия.</w:t>
      </w:r>
    </w:p>
    <w:p w14:paraId="6837B5A7" w14:textId="77777777" w:rsidR="00AF6148" w:rsidRPr="002F2FDF" w:rsidRDefault="00AF6148" w:rsidP="0083075A">
      <w:pPr>
        <w:pStyle w:val="rtejustify"/>
        <w:spacing w:before="0" w:after="0"/>
        <w:rPr>
          <w:color w:val="000000" w:themeColor="text1"/>
          <w:kern w:val="2"/>
          <w:sz w:val="16"/>
          <w:szCs w:val="16"/>
        </w:rPr>
      </w:pPr>
      <w:r w:rsidRPr="002F2FDF">
        <w:rPr>
          <w:color w:val="000000" w:themeColor="text1"/>
          <w:kern w:val="2"/>
          <w:sz w:val="16"/>
          <w:szCs w:val="16"/>
        </w:rPr>
        <w:t>...</w:t>
      </w:r>
      <w:hyperlink r:id="rId197" w:anchor="_ftn1" w:history="1">
        <w:r w:rsidRPr="002F2FDF">
          <w:rPr>
            <w:rStyle w:val="a5"/>
            <w:color w:val="000000" w:themeColor="text1"/>
            <w:kern w:val="2"/>
            <w:sz w:val="16"/>
            <w:szCs w:val="16"/>
          </w:rPr>
          <w:t>[1]</w:t>
        </w:r>
      </w:hyperlink>
      <w:r w:rsidRPr="002F2FDF">
        <w:rPr>
          <w:color w:val="000000" w:themeColor="text1"/>
          <w:kern w:val="2"/>
          <w:sz w:val="16"/>
          <w:szCs w:val="16"/>
        </w:rPr>
        <w:t xml:space="preserve"> Экономическое, финансовое положение продолжает быть тяжелым. Промышленный кризис, вызвавший отставку Коновалова, трудно разрешим вследствие чрезмерных ожиданий рабочих [в] отношении повышения платы. Намечается путь разрешения посредством урегулирования производства государством по примеру других воюющих стран. Для нужд казны, находящейся вследствие больших эмиссий в трудном положении, предполагается обложение военной прибыли, а также повышение ставок прогрессивного подоходного и введение поимущественного налогов.</w:t>
      </w:r>
    </w:p>
    <w:p w14:paraId="3C40C95F" w14:textId="77777777" w:rsidR="00AF6148" w:rsidRPr="002F2FDF" w:rsidRDefault="00AF6148" w:rsidP="0083075A">
      <w:pPr>
        <w:pStyle w:val="rtejustify"/>
        <w:spacing w:before="0" w:after="0"/>
        <w:rPr>
          <w:color w:val="000000" w:themeColor="text1"/>
          <w:kern w:val="2"/>
          <w:sz w:val="16"/>
          <w:szCs w:val="16"/>
        </w:rPr>
      </w:pPr>
      <w:r w:rsidRPr="002F2FDF">
        <w:rPr>
          <w:color w:val="000000" w:themeColor="text1"/>
          <w:kern w:val="2"/>
          <w:sz w:val="16"/>
          <w:szCs w:val="16"/>
        </w:rPr>
        <w:t>Для Вашего личного сведения считаю долгом сообщить: общие причины, вызвавшие уход Коновалова, совершенно не затрагивают Вашего положения как товарища министра. Причины его ухода не чисто политические, а финансово-политические, связанные с тяжелым экономическим положением, и начавшиеся против Коновалова решительные нападки из промышленной среды. По моим впечатлениям, экономический кризис, являющийся естественным последствием политического переворота, даст остро себя чувствовать еще два или три месяца. Поэтому временная приостановка промышленного расширения не должна останавливать наших шагов, направленных к привлечению иностранных капиталов и подготовительных шагов к будущему развитию. О финансовом положении Вам посылается отдельная подробная телеграмма</w:t>
      </w:r>
      <w:hyperlink r:id="rId198" w:anchor="_ftn2" w:history="1">
        <w:r w:rsidRPr="002F2FDF">
          <w:rPr>
            <w:rStyle w:val="a5"/>
            <w:color w:val="000000" w:themeColor="text1"/>
            <w:kern w:val="2"/>
            <w:sz w:val="16"/>
            <w:szCs w:val="16"/>
          </w:rPr>
          <w:t>[2]</w:t>
        </w:r>
      </w:hyperlink>
      <w:r w:rsidRPr="002F2FDF">
        <w:rPr>
          <w:color w:val="000000" w:themeColor="text1"/>
          <w:kern w:val="2"/>
          <w:sz w:val="16"/>
          <w:szCs w:val="16"/>
        </w:rPr>
        <w:t>. Мне представляется, что в переговорах нам оказывается косвенное противодействие английским финансовым представителем Ливером, затрудняет также отсутствие точных указаний и неполная осведомленность Ону. Вчера приехала комиссия Рута, встреченная достаточно торжественно. Сегодня состоится представление Временному правительству. Общественное мнение оставляет миссию почти без внимания.</w:t>
      </w:r>
    </w:p>
    <w:p w14:paraId="1C7A0519" w14:textId="77777777" w:rsidR="00AF6148" w:rsidRPr="002F2FDF" w:rsidRDefault="00AF6148"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Терещенко.</w:t>
      </w:r>
    </w:p>
    <w:p w14:paraId="102263C8" w14:textId="77777777" w:rsidR="00AF6148" w:rsidRPr="002F2FDF" w:rsidRDefault="00000000" w:rsidP="0083075A">
      <w:pPr>
        <w:pStyle w:val="ae"/>
        <w:spacing w:before="0" w:after="0"/>
        <w:jc w:val="both"/>
        <w:rPr>
          <w:color w:val="000000" w:themeColor="text1"/>
          <w:kern w:val="2"/>
          <w:sz w:val="16"/>
          <w:szCs w:val="16"/>
        </w:rPr>
      </w:pPr>
      <w:hyperlink r:id="rId199" w:anchor="_ftnref1" w:history="1">
        <w:r w:rsidR="00AF6148" w:rsidRPr="002F2FDF">
          <w:rPr>
            <w:rStyle w:val="a5"/>
            <w:color w:val="000000" w:themeColor="text1"/>
            <w:kern w:val="2"/>
            <w:sz w:val="16"/>
            <w:szCs w:val="16"/>
          </w:rPr>
          <w:t>[1]</w:t>
        </w:r>
      </w:hyperlink>
      <w:r w:rsidR="00AF6148" w:rsidRPr="002F2FDF">
        <w:rPr>
          <w:color w:val="000000" w:themeColor="text1"/>
          <w:kern w:val="2"/>
          <w:sz w:val="16"/>
          <w:szCs w:val="16"/>
        </w:rPr>
        <w:t xml:space="preserve"> Опущены вопросы неэкономического характера.</w:t>
      </w:r>
    </w:p>
    <w:p w14:paraId="125A9F04" w14:textId="77777777" w:rsidR="00AF6148" w:rsidRPr="002F2FDF" w:rsidRDefault="00000000" w:rsidP="0083075A">
      <w:pPr>
        <w:pStyle w:val="ae"/>
        <w:spacing w:before="0" w:after="0"/>
        <w:jc w:val="both"/>
        <w:rPr>
          <w:color w:val="000000" w:themeColor="text1"/>
          <w:kern w:val="2"/>
          <w:sz w:val="16"/>
          <w:szCs w:val="16"/>
        </w:rPr>
      </w:pPr>
      <w:hyperlink r:id="rId200" w:anchor="_ftnref2" w:history="1">
        <w:r w:rsidR="00AF6148" w:rsidRPr="002F2FDF">
          <w:rPr>
            <w:rStyle w:val="a5"/>
            <w:color w:val="000000" w:themeColor="text1"/>
            <w:kern w:val="2"/>
            <w:sz w:val="16"/>
            <w:szCs w:val="16"/>
          </w:rPr>
          <w:t>[2]</w:t>
        </w:r>
      </w:hyperlink>
      <w:r w:rsidR="00AF6148" w:rsidRPr="002F2FDF">
        <w:rPr>
          <w:color w:val="000000" w:themeColor="text1"/>
          <w:kern w:val="2"/>
          <w:sz w:val="16"/>
          <w:szCs w:val="16"/>
        </w:rPr>
        <w:t xml:space="preserve"> См. док. № 538 «Телеграмма Министерства иностранных дел послам в Париже, Лондоне и Вашингтоне о финансовом положении России и финансовой политике правительства» (15204).</w:t>
      </w:r>
    </w:p>
    <w:p w14:paraId="39930823" w14:textId="77777777" w:rsidR="00AF6148" w:rsidRPr="002F2FDF" w:rsidRDefault="00AF6148"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58ABFC9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905C0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8F7170" w14:textId="77777777" w:rsidR="00C61686" w:rsidRPr="002F2FDF" w:rsidRDefault="00C61686" w:rsidP="0083075A">
      <w:pPr>
        <w:spacing w:after="0" w:line="240" w:lineRule="auto"/>
        <w:jc w:val="both"/>
        <w:rPr>
          <w:rFonts w:ascii="Times New Roman" w:hAnsi="Times New Roman" w:cs="Times New Roman"/>
          <w:color w:val="000000" w:themeColor="text1"/>
          <w:sz w:val="16"/>
          <w:szCs w:val="16"/>
        </w:rPr>
      </w:pPr>
      <w:bookmarkStart w:id="144" w:name="_Hlk53221257"/>
      <w:r w:rsidRPr="002F2FDF">
        <w:rPr>
          <w:rFonts w:ascii="Times New Roman" w:hAnsi="Times New Roman" w:cs="Times New Roman"/>
          <w:color w:val="000000" w:themeColor="text1"/>
          <w:sz w:val="16"/>
          <w:szCs w:val="16"/>
        </w:rPr>
        <w:t>С 1 (14) июня по 1 (14) августа 1917 аэростаты 4-го возду</w:t>
      </w:r>
      <w:r w:rsidRPr="002F2FDF">
        <w:rPr>
          <w:rFonts w:ascii="Times New Roman" w:hAnsi="Times New Roman" w:cs="Times New Roman"/>
          <w:color w:val="000000" w:themeColor="text1"/>
          <w:sz w:val="16"/>
          <w:szCs w:val="16"/>
        </w:rPr>
        <w:softHyphen/>
        <w:t>хоплавательного дивизиона в условиях интен</w:t>
      </w:r>
      <w:r w:rsidRPr="002F2FDF">
        <w:rPr>
          <w:rFonts w:ascii="Times New Roman" w:hAnsi="Times New Roman" w:cs="Times New Roman"/>
          <w:color w:val="000000" w:themeColor="text1"/>
          <w:sz w:val="16"/>
          <w:szCs w:val="16"/>
        </w:rPr>
        <w:softHyphen/>
        <w:t>сивного противодействия противника пробыли в воздухе 95 ч 5 мин, провели одну корректиров</w:t>
      </w:r>
      <w:r w:rsidRPr="002F2FDF">
        <w:rPr>
          <w:rFonts w:ascii="Times New Roman" w:hAnsi="Times New Roman" w:cs="Times New Roman"/>
          <w:color w:val="000000" w:themeColor="text1"/>
          <w:sz w:val="16"/>
          <w:szCs w:val="16"/>
        </w:rPr>
        <w:softHyphen/>
        <w:t>ку артиллерийского огня, 13 разведок тыла, обна</w:t>
      </w:r>
      <w:r w:rsidRPr="002F2FDF">
        <w:rPr>
          <w:rFonts w:ascii="Times New Roman" w:hAnsi="Times New Roman" w:cs="Times New Roman"/>
          <w:color w:val="000000" w:themeColor="text1"/>
          <w:sz w:val="16"/>
          <w:szCs w:val="16"/>
        </w:rPr>
        <w:softHyphen/>
        <w:t>ружили 23 батареи противника. С ростом напря</w:t>
      </w:r>
      <w:r w:rsidRPr="002F2FDF">
        <w:rPr>
          <w:rFonts w:ascii="Times New Roman" w:hAnsi="Times New Roman" w:cs="Times New Roman"/>
          <w:color w:val="000000" w:themeColor="text1"/>
          <w:sz w:val="16"/>
          <w:szCs w:val="16"/>
        </w:rPr>
        <w:softHyphen/>
        <w:t>жённости боёв аэростаты дивизиона с 16 августа по 1 сентября провели в воздухе 70 ч 32 мин. (20120)</w:t>
      </w:r>
    </w:p>
    <w:p w14:paraId="70FFB704" w14:textId="77777777" w:rsidR="00C61686" w:rsidRPr="002F2FDF" w:rsidRDefault="00C61686" w:rsidP="0083075A">
      <w:pPr>
        <w:spacing w:after="0" w:line="240" w:lineRule="auto"/>
        <w:jc w:val="both"/>
        <w:rPr>
          <w:rFonts w:ascii="Times New Roman" w:hAnsi="Times New Roman" w:cs="Times New Roman"/>
          <w:color w:val="000000" w:themeColor="text1"/>
          <w:sz w:val="16"/>
          <w:szCs w:val="16"/>
        </w:rPr>
      </w:pPr>
    </w:p>
    <w:bookmarkEnd w:id="144"/>
    <w:p w14:paraId="1D1D12C9" w14:textId="606A75AB" w:rsidR="00C61686" w:rsidRPr="002F2FDF" w:rsidRDefault="00C6168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(14) июня 1917 года — первый полёт истребителя</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Nieuport 28. /Франция/</w:t>
      </w:r>
    </w:p>
    <w:p w14:paraId="7F666615" w14:textId="3EB98838" w:rsidR="00C61686" w:rsidRPr="002F2FDF" w:rsidRDefault="00C6168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1917 году Имперские военно-воздушные силы Германии пополнились новыми моделями истребителей</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Albatros,</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Fokker</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Pfalz. Французские полуторопланы Nieuport стали проигрывать войну в воздухе. Конструктор</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Гюстав Деляж</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взялся за новый проект — создание достойного конкурента немецким истребителям.</w:t>
      </w:r>
    </w:p>
    <w:p w14:paraId="16673542" w14:textId="46E782F6" w:rsidR="00C61686" w:rsidRPr="002F2FDF" w:rsidRDefault="00C6168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Nieuport 28 стал развитием идей, заложенных в моделях 23/24/27. Представлял собой биплан с фюзеляжем округлого сечения. В носовой части фюзеляж обшивали фанерой, а в хвостовой части — полотном. Вооружение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2 × 7,7-мм</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пулемёта Vicker</w:t>
      </w:r>
    </w:p>
    <w:p w14:paraId="1072E1BF" w14:textId="776DAED4" w:rsidR="00C61686" w:rsidRPr="002F2FDF" w:rsidRDefault="00C6168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моменту начала производства, в ВВС Франции основным истребителем стал новый</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SPAD S.VII. К тому же, на Nieuport 28 обнаружились проблемы с мотором и топливной системой. Самолёт сняли с вооружения, но повоевать ему всё же удалось.</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297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из</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310</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построенных Nieuport 28 были проданы для</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ВВС Экспедиционного корпуса США. На сегодня в музеях сохранилось как минимум 5 оригинальных Nieuport 28 и с десяток летающих реплик (22300).</w:t>
      </w:r>
    </w:p>
    <w:p w14:paraId="224B1BC7" w14:textId="77777777" w:rsidR="00C61686" w:rsidRPr="002F2FDF" w:rsidRDefault="00C61686" w:rsidP="0083075A">
      <w:pPr>
        <w:spacing w:after="0" w:line="240" w:lineRule="auto"/>
        <w:jc w:val="both"/>
        <w:rPr>
          <w:rFonts w:ascii="Times New Roman" w:hAnsi="Times New Roman" w:cs="Times New Roman"/>
          <w:color w:val="000000" w:themeColor="text1"/>
          <w:sz w:val="16"/>
          <w:szCs w:val="16"/>
        </w:rPr>
      </w:pPr>
    </w:p>
    <w:p w14:paraId="36756E65" w14:textId="77777777" w:rsidR="00C61686" w:rsidRPr="002F2FDF" w:rsidRDefault="00C6168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1 (14) июня 1917 г. первый опытный Ньюпор 28 начал летные испытания. В отчетах фирмы было «все красиво», но военные приемщики на заводе «Ньюпор» в юго-западном предместье Парижа Исси-ле-Мулино доносили о постоянных поломках и недостатках. Командова</w:t>
      </w:r>
      <w:r w:rsidRPr="002F2FDF">
        <w:rPr>
          <w:rFonts w:ascii="Times New Roman" w:hAnsi="Times New Roman" w:cs="Times New Roman"/>
          <w:color w:val="000000" w:themeColor="text1"/>
          <w:sz w:val="16"/>
          <w:szCs w:val="16"/>
        </w:rPr>
        <w:softHyphen/>
        <w:t>ние Военной авиации Франции отне</w:t>
      </w:r>
      <w:r w:rsidRPr="002F2FDF">
        <w:rPr>
          <w:rFonts w:ascii="Times New Roman" w:hAnsi="Times New Roman" w:cs="Times New Roman"/>
          <w:color w:val="000000" w:themeColor="text1"/>
          <w:sz w:val="16"/>
          <w:szCs w:val="16"/>
        </w:rPr>
        <w:softHyphen/>
        <w:t>слось к нему сразу с явным предубе</w:t>
      </w:r>
      <w:r w:rsidRPr="002F2FDF">
        <w:rPr>
          <w:rFonts w:ascii="Times New Roman" w:hAnsi="Times New Roman" w:cs="Times New Roman"/>
          <w:color w:val="000000" w:themeColor="text1"/>
          <w:sz w:val="16"/>
          <w:szCs w:val="16"/>
        </w:rPr>
        <w:softHyphen/>
        <w:t>ждением, поскольку уже выбрало SPAD XIII в качестве стандартного истребителя (22876).</w:t>
      </w:r>
    </w:p>
    <w:p w14:paraId="5218EF02" w14:textId="77777777" w:rsidR="00C61686" w:rsidRPr="002F2FDF" w:rsidRDefault="00C61686" w:rsidP="0083075A">
      <w:pPr>
        <w:spacing w:after="0" w:line="240" w:lineRule="auto"/>
        <w:jc w:val="both"/>
        <w:rPr>
          <w:rFonts w:ascii="Times New Roman" w:hAnsi="Times New Roman" w:cs="Times New Roman"/>
          <w:color w:val="000000" w:themeColor="text1"/>
          <w:sz w:val="16"/>
          <w:szCs w:val="16"/>
        </w:rPr>
      </w:pPr>
    </w:p>
    <w:p w14:paraId="21960329" w14:textId="77777777" w:rsidR="00C61686" w:rsidRPr="002F2FDF" w:rsidRDefault="00C6168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(14) июня 1917 летающая лодка 8677 Curtiss H.12 Royal Naval Air Service сбивает немецкий дирижабль L.43 над Северным морем , с потерей всего экипажа (20341).</w:t>
      </w:r>
    </w:p>
    <w:p w14:paraId="1303F0CC" w14:textId="77777777" w:rsidR="00C61686" w:rsidRPr="002F2FDF" w:rsidRDefault="00C61686" w:rsidP="0083075A">
      <w:pPr>
        <w:spacing w:after="0" w:line="240" w:lineRule="auto"/>
        <w:jc w:val="both"/>
        <w:rPr>
          <w:rFonts w:ascii="Times New Roman" w:hAnsi="Times New Roman" w:cs="Times New Roman"/>
          <w:color w:val="000000" w:themeColor="text1"/>
          <w:sz w:val="16"/>
          <w:szCs w:val="16"/>
        </w:rPr>
      </w:pPr>
    </w:p>
    <w:p w14:paraId="19397EBB" w14:textId="77777777" w:rsidR="00C61686" w:rsidRPr="002F2FDF" w:rsidRDefault="00C6168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(14) июня 1917 Американский летчик, производитель самолетов и предприниматель Томас В. Бенуа погибает в результате аварии трамвая в Сандаски, штат Огайо . Его компания Benoist Aircraft вскоре прекращает производство и уходит из бизнеса (20341). </w:t>
      </w:r>
    </w:p>
    <w:p w14:paraId="4DBF7D63" w14:textId="77777777" w:rsidR="00C61686" w:rsidRPr="002F2FDF" w:rsidRDefault="00C61686" w:rsidP="0083075A">
      <w:pPr>
        <w:spacing w:after="0" w:line="240" w:lineRule="auto"/>
        <w:jc w:val="both"/>
        <w:rPr>
          <w:rFonts w:ascii="Times New Roman" w:hAnsi="Times New Roman" w:cs="Times New Roman"/>
          <w:color w:val="000000" w:themeColor="text1"/>
          <w:sz w:val="16"/>
          <w:szCs w:val="16"/>
        </w:rPr>
      </w:pPr>
    </w:p>
    <w:p w14:paraId="4CA7E6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июня 1917 Ллойд Джордж: "Очень участились налеты германских аэропланов на Лондон и юго-восточные графства; убытки и число человеческих жертв принимали серьезные размеры. Мы никак не могли воспрепятствовать этим неприятельским воздушным рейдам... Мы могли только создать сильный воздушный флот в самой Англии, который встречал бы неприятеля в воздухе, истреблял его машины и сделал бы для него воздушные рейды слишком дорогим предприятием; мы могли также производить карательные налеты на его города и доказать ему, что этот способ ведения войны нерентабелен. И в том и в другом случае нам нужно было иметь много аэропланов...</w:t>
      </w:r>
    </w:p>
    <w:p w14:paraId="603593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заседании военного кабинета, происходившего на другой день после серьезного рейда немецких аэропланов... мы решили сформировать сильный отряд лучших летчиков на лучших машинах, чтобы в следующий раз организовать "жаркую встречу" неприятелю. Мы отозвали для этой цели две эскадрильи из Франции и поместили их близ Кентербери и близ Кале.</w:t>
      </w:r>
    </w:p>
    <w:p w14:paraId="026D4E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Мы тщательно изучали вопрос о карательных рейдах на германские города... и пришли к заключению, что мы еще не располагаем достаточным числом хороших машин для того, чтобы начать регулярную бомбардировку германских городов... Случайные же рейды только раздразнят немцев..." (11999).</w:t>
      </w:r>
    </w:p>
    <w:p w14:paraId="3658E6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8CADEF" w14:textId="77777777" w:rsidR="00AF28C3" w:rsidRPr="002F2FDF" w:rsidRDefault="00AF28C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 (14) июня</w:t>
      </w:r>
      <w:r w:rsidRPr="002F2FDF">
        <w:rPr>
          <w:rFonts w:ascii="Times New Roman" w:hAnsi="Times New Roman" w:cs="Times New Roman"/>
          <w:color w:val="000000" w:themeColor="text1"/>
          <w:kern w:val="2"/>
          <w:sz w:val="16"/>
          <w:szCs w:val="16"/>
        </w:rPr>
        <w:t xml:space="preserve"> в 1917 году завершилось наступление английских войск в районе деревни Месен (французское название — Мессин) на западе Бельгии на границе с Францией, в 8 км к югу от города Ипр. Мессинская битва вошла в историю, в первую очередь, из-за произведенного в ее ходе одного из самых мощных за всю Первую мировую войну преднамеренных взрывов. Для взятия германских укреплений британцы сделали более 20 подземных тоннелей-подкопов, в которые заложили почти 600 тонн взрывчатки. Эти мины были подорваны в ночь на 7 июня, что послужило началом к наступлению английской пехоты и танков. Только в момент подземных взрывов погибли 10 00 тысяч германских солдат и офицеров, была полностью уничтожена их первая линия обороны и частично — вторая. Оставшиеся в живых были полностью деморализованы и в панике бежали либо сдались в плен.</w:t>
      </w:r>
    </w:p>
    <w:p w14:paraId="2EF95522" w14:textId="77777777" w:rsidR="00AF28C3" w:rsidRPr="002F2FDF" w:rsidRDefault="00AF28C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последующие дни наступления британцы закрепились уже на новых позициях, продвинувшись вглубь Бельгии на несколько километров. Помимо Месена им удалось также занять еще одну деревню неподалеку Вийчет (17045).</w:t>
      </w:r>
    </w:p>
    <w:p w14:paraId="2E43D2BE" w14:textId="77777777" w:rsidR="00AF28C3" w:rsidRPr="002F2FDF" w:rsidRDefault="00AF28C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F891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июня 1917 в Европу прибыл американский экспедиционный корпус под командованием Д.Д.Першинга (3907,90).</w:t>
      </w:r>
    </w:p>
    <w:p w14:paraId="2CE910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17C26B" w14:textId="77777777"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 (14) июня</w:t>
      </w:r>
      <w:r w:rsidRPr="002F2FDF">
        <w:rPr>
          <w:rFonts w:ascii="Times New Roman" w:hAnsi="Times New Roman" w:cs="Times New Roman"/>
          <w:color w:val="000000" w:themeColor="text1"/>
          <w:kern w:val="2"/>
          <w:sz w:val="16"/>
          <w:szCs w:val="16"/>
        </w:rPr>
        <w:t xml:space="preserve"> в 1917 году в Европу прибывает американский экспедиционный корпус под командованием генерала Джона Д.Першинга (14922).</w:t>
      </w:r>
    </w:p>
    <w:p w14:paraId="1E8A445C" w14:textId="77777777"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p>
    <w:p w14:paraId="396D4DD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июня 1917 из-за взрыва на военной фабрике в Ланкашире (Англия) погиб 41 человек (4962).</w:t>
      </w:r>
    </w:p>
    <w:p w14:paraId="314F474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6F694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225CE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6A80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июня 1917 Фан дёр Флит прислал в технический комитет УВВФ свое заключение по самолету унтер-офицера Рябоконь. По мнению профессора, аппарат летчика Рябоконя имел весьма важные и рациональные особенности:</w:t>
      </w:r>
    </w:p>
    <w:p w14:paraId="03E003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расширение расстояния между лонжеронами крыльев при приближении к фюзеляжу;</w:t>
      </w:r>
    </w:p>
    <w:p w14:paraId="43FF6A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возможность немного поворачивать крылья в их плоскости для отрегулирования аппарата;</w:t>
      </w:r>
    </w:p>
    <w:p w14:paraId="389EE6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суживающаяся книзу гондола, позволяющая через борт стрелять вниз и не бояться захождения неприятеля под хвост самолета;</w:t>
      </w:r>
    </w:p>
    <w:p w14:paraId="430113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придание прототипу “Спаду” формы угла небольшого поперечного V;</w:t>
      </w:r>
    </w:p>
    <w:p w14:paraId="1B4414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сбрасываемый бак с бензином;</w:t>
      </w:r>
    </w:p>
    <w:p w14:paraId="1DD2DF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восстановление фанерного разрегулируемого фюзеляжа;</w:t>
      </w:r>
    </w:p>
    <w:p w14:paraId="3DD6B3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удобное двойное управление, сцепляющееся по желанию, и близость летчика к наблюдателю;</w:t>
      </w:r>
    </w:p>
    <w:p w14:paraId="70A01E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круговой обстрел и двойной обстрел вперед;</w:t>
      </w:r>
    </w:p>
    <w:p w14:paraId="49CFCA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использование существующих моторов и достижение боевых качеств без особо сильного мотора” (9797).</w:t>
      </w:r>
    </w:p>
    <w:p w14:paraId="43A716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летчик-солдат на основании собственной боевой практики разработал самолет-разведчик, имевший серьезные преимущества перед принятыми на вооружение иностранными машинами. Многие из этих предложений - сбрасываемый бензиновый бак, двойное управление - были реализованы авиатехникой лишь много лет спустя. Профессор Фан дёр Флит ходатайствовал о “немедленном оказании летчику Рябоконь содействия в постройке аппарата в мастерских 3-го авиационного парка”. Вследствие такого благоприятного заключения начальник УВВФ приказал начать его постройку в мастерских авиапарка, выдать двигатель “Рон” мощностью 80 л. с. и 5 тыс. руб. на расходы. Однако постройка самолета велась крайне медленно “из-за загруженности мастерских парка... работой для нужд фронта” (9797).</w:t>
      </w:r>
    </w:p>
    <w:p w14:paraId="7C2809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FD4C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июня 1917 Ульянин вступил в должность. Приведем одну из телеграмм, подписанных им: “6 июня с.г. на фронте погиб доблестный командир 2-й боевой группы капитан Евграф Николаевич Крутень, который своей неутомимой боевой работой стяжал себе неувядаемую славу и бесспорно может считаться гордостью нашей родной авиации” (11221).</w:t>
      </w:r>
    </w:p>
    <w:p w14:paraId="5E6B7D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B1AC90" w14:textId="77777777" w:rsidR="00AF28C3"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735EAC1" w14:textId="77777777" w:rsidR="00AF28C3" w:rsidRPr="002F2FDF" w:rsidRDefault="00AF28C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7BAACE" w14:textId="77777777" w:rsidR="00AF28C3" w:rsidRPr="002F2FDF" w:rsidRDefault="00AF28C3" w:rsidP="0083075A">
      <w:pPr>
        <w:pStyle w:val="ae"/>
        <w:spacing w:before="0" w:after="0"/>
        <w:jc w:val="both"/>
        <w:rPr>
          <w:color w:val="000000" w:themeColor="text1"/>
          <w:kern w:val="2"/>
          <w:sz w:val="16"/>
          <w:szCs w:val="16"/>
        </w:rPr>
      </w:pPr>
      <w:r w:rsidRPr="002F2FDF">
        <w:rPr>
          <w:color w:val="000000" w:themeColor="text1"/>
          <w:kern w:val="2"/>
          <w:sz w:val="16"/>
          <w:szCs w:val="16"/>
        </w:rPr>
        <w:t>2 (15) июня 1917 немецкие самолеты совершили бомбардировочный налет на русские корабли в Рижском заливе и Рижский порт (17045).</w:t>
      </w:r>
    </w:p>
    <w:p w14:paraId="55547F9F" w14:textId="77777777" w:rsidR="00AF28C3" w:rsidRPr="002F2FDF" w:rsidRDefault="00AF28C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BC3EB8" w14:textId="417104BE" w:rsidR="00A65C94" w:rsidRPr="00FB4F67" w:rsidRDefault="00A65C94" w:rsidP="0083075A">
      <w:pPr>
        <w:spacing w:after="0" w:line="240" w:lineRule="auto"/>
        <w:jc w:val="both"/>
        <w:rPr>
          <w:rFonts w:ascii="Times New Roman" w:hAnsi="Times New Roman" w:cs="Times New Roman"/>
          <w:color w:val="0070C0"/>
          <w:sz w:val="16"/>
          <w:szCs w:val="16"/>
        </w:rPr>
      </w:pPr>
      <w:bookmarkStart w:id="145" w:name="bookmark811"/>
      <w:bookmarkStart w:id="146" w:name="bookmark812"/>
      <w:r>
        <w:rPr>
          <w:rFonts w:ascii="Times New Roman" w:hAnsi="Times New Roman" w:cs="Times New Roman"/>
          <w:color w:val="0070C0"/>
          <w:sz w:val="16"/>
          <w:szCs w:val="16"/>
        </w:rPr>
        <w:t>2 (</w:t>
      </w:r>
      <w:r w:rsidRPr="00FB4F67">
        <w:rPr>
          <w:rFonts w:ascii="Times New Roman" w:hAnsi="Times New Roman" w:cs="Times New Roman"/>
          <w:color w:val="0070C0"/>
          <w:sz w:val="16"/>
          <w:szCs w:val="16"/>
        </w:rPr>
        <w:t>15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1917 г. неприятельские аэропланы совершили налеты на о. Руно, сбросив на его объекты 15 бомб, которыми было разрушено лишь здание маяка. Другой германский авиаотряд (5 аппаратов) атаковал г. Аренсбург и Аренсбургский рейд, но «встреченный огнем судов флота и морских береговых батарей скрылся». Немецкие летчики сбросили 21 бомбу. В результате бомбардировки ранение получил один матрос.</w:t>
      </w:r>
      <w:bookmarkEnd w:id="145"/>
      <w:bookmarkEnd w:id="146"/>
    </w:p>
    <w:p w14:paraId="49BEFE2F" w14:textId="77777777" w:rsidR="00A65C94" w:rsidRPr="00FB4F67" w:rsidRDefault="00A65C94" w:rsidP="0083075A">
      <w:pPr>
        <w:spacing w:after="0" w:line="240" w:lineRule="auto"/>
        <w:jc w:val="both"/>
        <w:rPr>
          <w:rFonts w:ascii="Times New Roman" w:hAnsi="Times New Roman" w:cs="Times New Roman"/>
          <w:color w:val="0070C0"/>
          <w:sz w:val="16"/>
          <w:szCs w:val="16"/>
        </w:rPr>
      </w:pPr>
      <w:bookmarkStart w:id="147" w:name="bookmark813"/>
      <w:r w:rsidRPr="00FB4F67">
        <w:rPr>
          <w:rFonts w:ascii="Times New Roman" w:hAnsi="Times New Roman" w:cs="Times New Roman"/>
          <w:color w:val="0070C0"/>
          <w:sz w:val="16"/>
          <w:szCs w:val="16"/>
        </w:rPr>
        <w:t>В это время наши наблюдательные посты зафиксировали полет цеппелина, пролетавшего «мимо юго-западной оконечности Оландских шхер и затем мимо острова Эзеля».</w:t>
      </w:r>
      <w:bookmarkEnd w:id="147"/>
    </w:p>
    <w:p w14:paraId="3F2A1A6E" w14:textId="77777777" w:rsidR="00A65C94" w:rsidRPr="00FB4F67" w:rsidRDefault="00A65C94" w:rsidP="0083075A">
      <w:pPr>
        <w:spacing w:after="0" w:line="240" w:lineRule="auto"/>
        <w:jc w:val="both"/>
        <w:rPr>
          <w:rFonts w:ascii="Times New Roman" w:hAnsi="Times New Roman" w:cs="Times New Roman"/>
          <w:color w:val="0070C0"/>
          <w:sz w:val="16"/>
          <w:szCs w:val="16"/>
        </w:rPr>
      </w:pPr>
      <w:bookmarkStart w:id="148" w:name="bookmark814"/>
      <w:r w:rsidRPr="00FB4F67">
        <w:rPr>
          <w:rFonts w:ascii="Times New Roman" w:hAnsi="Times New Roman" w:cs="Times New Roman"/>
          <w:color w:val="0070C0"/>
          <w:sz w:val="16"/>
          <w:szCs w:val="16"/>
        </w:rPr>
        <w:t>По оценке наших специалистов, «несмотря на ежедневные массовые атаки неприятельских аппаратов и сброшенных ими сотни бомб, благодаря блестящему действию артиллерии судов флота и морских батарей, неприятелю до сих пор не удалось достичь никаких результатов» (23405).</w:t>
      </w:r>
      <w:bookmarkEnd w:id="148"/>
    </w:p>
    <w:p w14:paraId="4D44C121" w14:textId="77777777" w:rsidR="00A65C94" w:rsidRPr="00FB4F67" w:rsidRDefault="00A65C94" w:rsidP="0083075A">
      <w:pPr>
        <w:spacing w:after="0" w:line="240" w:lineRule="auto"/>
        <w:jc w:val="both"/>
        <w:rPr>
          <w:rFonts w:ascii="Times New Roman" w:hAnsi="Times New Roman" w:cs="Times New Roman"/>
          <w:color w:val="0070C0"/>
          <w:sz w:val="16"/>
          <w:szCs w:val="16"/>
        </w:rPr>
      </w:pPr>
      <w:bookmarkStart w:id="149" w:name="bookmark815"/>
    </w:p>
    <w:p w14:paraId="61B200A7" w14:textId="362B6E66" w:rsidR="00A65C94" w:rsidRPr="00FB4F67" w:rsidRDefault="00A65C9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 (</w:t>
      </w:r>
      <w:r w:rsidRPr="00FB4F67">
        <w:rPr>
          <w:rFonts w:ascii="Times New Roman" w:hAnsi="Times New Roman" w:cs="Times New Roman"/>
          <w:color w:val="0070C0"/>
          <w:sz w:val="16"/>
          <w:szCs w:val="16"/>
        </w:rPr>
        <w:t>15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1917 г. в районе имения Роскошь Новогрудского уезда германский аэроплан провел пулеметный обстрел отряда Всероссийского земского союза (над отрядом имелись знаки Красного Креста). В результате ранения получили два нижних чина и повреждены палатки (23405).</w:t>
      </w:r>
      <w:bookmarkEnd w:id="149"/>
    </w:p>
    <w:p w14:paraId="04CFF591" w14:textId="77777777" w:rsidR="00A65C94" w:rsidRPr="00FB4F67" w:rsidRDefault="00A65C94" w:rsidP="0083075A">
      <w:pPr>
        <w:spacing w:after="0" w:line="240" w:lineRule="auto"/>
        <w:jc w:val="both"/>
        <w:rPr>
          <w:rFonts w:ascii="Times New Roman" w:hAnsi="Times New Roman" w:cs="Times New Roman"/>
          <w:color w:val="0070C0"/>
          <w:sz w:val="16"/>
          <w:szCs w:val="16"/>
        </w:rPr>
      </w:pPr>
    </w:p>
    <w:p w14:paraId="081AF1EA" w14:textId="5C48A179" w:rsidR="00A65C94" w:rsidRPr="00FB4F67" w:rsidRDefault="00A65C9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 (</w:t>
      </w:r>
      <w:r w:rsidRPr="00FB4F67">
        <w:rPr>
          <w:rFonts w:ascii="Times New Roman" w:hAnsi="Times New Roman" w:cs="Times New Roman"/>
          <w:color w:val="0070C0"/>
          <w:sz w:val="16"/>
          <w:szCs w:val="16"/>
        </w:rPr>
        <w:t>15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1917 г. немцы сформировали Jasta Ober Ost в Брест-Литовске. В августе истребительная часть была переименована в Jagdfliegerstaffel Sud с Albatros D.III. 24 сентября 1917 года он был переименован в Jasta 81 (23525).</w:t>
      </w:r>
    </w:p>
    <w:p w14:paraId="0CBF5575" w14:textId="77777777" w:rsidR="00A65C94" w:rsidRPr="00FB4F67" w:rsidRDefault="00A65C94" w:rsidP="0083075A">
      <w:pPr>
        <w:spacing w:after="0" w:line="240" w:lineRule="auto"/>
        <w:jc w:val="both"/>
        <w:rPr>
          <w:rFonts w:ascii="Times New Roman" w:hAnsi="Times New Roman" w:cs="Times New Roman"/>
          <w:color w:val="0070C0"/>
          <w:sz w:val="16"/>
          <w:szCs w:val="16"/>
        </w:rPr>
      </w:pPr>
    </w:p>
    <w:p w14:paraId="25B0C7FC" w14:textId="77777777" w:rsidR="0061211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9F4E47E" w14:textId="77777777" w:rsidR="00612111" w:rsidRPr="002F2FDF" w:rsidRDefault="0061211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EE765D" w14:textId="77777777" w:rsidR="00612111" w:rsidRPr="002F2FDF" w:rsidRDefault="00612111" w:rsidP="0083075A">
      <w:pPr>
        <w:pStyle w:val="ae"/>
        <w:spacing w:before="0" w:after="0"/>
        <w:jc w:val="both"/>
        <w:rPr>
          <w:color w:val="000000" w:themeColor="text1"/>
          <w:kern w:val="2"/>
          <w:sz w:val="16"/>
          <w:szCs w:val="16"/>
        </w:rPr>
      </w:pPr>
      <w:r w:rsidRPr="002F2FDF">
        <w:rPr>
          <w:color w:val="000000" w:themeColor="text1"/>
          <w:kern w:val="2"/>
          <w:sz w:val="16"/>
          <w:szCs w:val="16"/>
        </w:rPr>
        <w:t>2 (15) июня 1917 в Москве открылся Первый всероссийский съезд духовенства и мирян, делегаты которого размышляли на тему, что может дать революция церкви. Священник-философ Сергей Булгаков в своем выступлении отметил, что «значение переворота, происшедшего в России, не ограничивается русской жизнью, он есть грандиозное событие и во всей мировой истории, ее всеобщий сдвиг. Весь мир изменился с русской революцией. Но если грядущая Россия станет строиться без имени Христа, если демократия российская окажется в духовном разрыве со святой Русью, то какую же цену она имеет, кому она нужна, кому из нас дорога будет отрекшаяся от Христа Россия?» (17045).</w:t>
      </w:r>
    </w:p>
    <w:p w14:paraId="613F974A" w14:textId="77777777" w:rsidR="00612111" w:rsidRPr="002F2FDF" w:rsidRDefault="0061211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9BD2F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lastRenderedPageBreak/>
        <w:t>За рубежом:</w:t>
      </w:r>
    </w:p>
    <w:p w14:paraId="77FA1D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B009F6" w14:textId="77777777" w:rsidR="00B76D7A" w:rsidRPr="002F2FDF" w:rsidRDefault="00B76D7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2-4 (16–17) июня (ночь) 1917 пять цеппелинов ВМС Германии пытаются совершить высотный рейд на Лондон и южную Англию. Только два достигают Англию. L 42 бомбит Рамсгит и взрывает склад боеприпасов, разрушая военно - морскую базу, нанося £ 29000 фунтов ущерба и убивает трех гражданских лиц, и ранит 14 гражданских лиц и два сотрудника Королевского флота, а затем возвращается благополучно в Германию. L-48 бомбит поля возле Харвича, прежде чем лейтенант Королевского летного корпуса Л. П. Уоткинс из 37-й эскадрильи сбивает его, убивая 14 из 17 человек на борту и смертельно ранив одного из выживших. Среди погибших - Виктор Шютце, заместитель командира службы дирижаблей ВМС Германии (20341).</w:t>
      </w:r>
    </w:p>
    <w:p w14:paraId="627AF0AA" w14:textId="77777777" w:rsidR="00B76D7A" w:rsidRPr="002F2FDF" w:rsidRDefault="00B76D7A" w:rsidP="0083075A">
      <w:pPr>
        <w:spacing w:after="0" w:line="240" w:lineRule="auto"/>
        <w:jc w:val="both"/>
        <w:rPr>
          <w:rFonts w:ascii="Times New Roman" w:hAnsi="Times New Roman" w:cs="Times New Roman"/>
          <w:color w:val="000000" w:themeColor="text1"/>
          <w:sz w:val="16"/>
          <w:szCs w:val="16"/>
        </w:rPr>
      </w:pPr>
    </w:p>
    <w:p w14:paraId="514435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июня 1917 британское правительство амнистировало всех, арестованных в ходе восстания на пасхальной неделе в Дублине в 1916 (3907,90).</w:t>
      </w:r>
    </w:p>
    <w:p w14:paraId="40C622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146A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июня 1917 в США был утвержден закон о шпионаже (3907,92).</w:t>
      </w:r>
    </w:p>
    <w:p w14:paraId="063D98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22ACB4" w14:textId="77777777"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 (15) июня</w:t>
      </w:r>
      <w:r w:rsidRPr="002F2FDF">
        <w:rPr>
          <w:rFonts w:ascii="Times New Roman" w:hAnsi="Times New Roman" w:cs="Times New Roman"/>
          <w:color w:val="000000" w:themeColor="text1"/>
          <w:kern w:val="2"/>
          <w:sz w:val="16"/>
          <w:szCs w:val="16"/>
        </w:rPr>
        <w:t xml:space="preserve"> в 1917 году в США утверждается Закон о шпионаже, устанавливающий, что противники правительственной военной программы могут быть взяты под стражу и привлечены к суду (14923).</w:t>
      </w:r>
    </w:p>
    <w:p w14:paraId="41482EDC" w14:textId="77777777"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p>
    <w:p w14:paraId="093A93F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74BA0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56882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июня 1917 г. В.П.Ветчинкин (который с помощником, сотрудником авиационного Расчетно-испытательного бюро (РИБ) при аэродинамической лабора</w:t>
      </w:r>
      <w:r w:rsidRPr="002F2FDF">
        <w:rPr>
          <w:rFonts w:ascii="Times New Roman" w:hAnsi="Times New Roman" w:cs="Times New Roman"/>
          <w:color w:val="000000" w:themeColor="text1"/>
          <w:kern w:val="2"/>
          <w:sz w:val="16"/>
          <w:szCs w:val="16"/>
        </w:rPr>
        <w:softHyphen/>
        <w:t>тории ИТУ осуществлял технический надзор за достройкой самолета после того, как петроградская комиссия по его приемке сложила с себя полномочия) написал Слесареву письмо, в котором речь шла о том, что только на про</w:t>
      </w:r>
      <w:r w:rsidRPr="002F2FDF">
        <w:rPr>
          <w:rFonts w:ascii="Times New Roman" w:hAnsi="Times New Roman" w:cs="Times New Roman"/>
          <w:color w:val="000000" w:themeColor="text1"/>
          <w:kern w:val="2"/>
          <w:sz w:val="16"/>
          <w:szCs w:val="16"/>
        </w:rPr>
        <w:softHyphen/>
        <w:t>ведение 10-часовых летных испытаний самолета (после завершения наземных) потребуется не менее 40-50 тыс.рублей. Это письмо - последний документ в дооктябрьской истории тяже</w:t>
      </w:r>
      <w:r w:rsidRPr="002F2FDF">
        <w:rPr>
          <w:rFonts w:ascii="Times New Roman" w:hAnsi="Times New Roman" w:cs="Times New Roman"/>
          <w:color w:val="000000" w:themeColor="text1"/>
          <w:kern w:val="2"/>
          <w:sz w:val="16"/>
          <w:szCs w:val="16"/>
        </w:rPr>
        <w:softHyphen/>
        <w:t>лого самолета В.А.Слесарева (11069).</w:t>
      </w:r>
    </w:p>
    <w:p w14:paraId="61B24B7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05BB0C" w14:textId="77777777" w:rsidR="00AF6148"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46E57248" w14:textId="77777777" w:rsidR="00AF6148" w:rsidRPr="002F2FDF" w:rsidRDefault="00AF614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5E1376"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июня 1917 г. Рапорт окружного инженера Г орловского горного округа В. Н. Белова Горному управлению Юга России о сокращении добычи угля на рудниках округа и закрытии мелких шахт вследствие экономической невыгодности и технических причин.</w:t>
      </w:r>
    </w:p>
    <w:p w14:paraId="131D97DF"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48-49</w:t>
      </w:r>
    </w:p>
    <w:p w14:paraId="7157FF2E"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37, оп. 58, д. 873, л. 459—459 об. Копия.</w:t>
      </w:r>
    </w:p>
    <w:p w14:paraId="57E57841"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предложение от 29 мая 1917 г. за № 4046</w:t>
      </w:r>
      <w:hyperlink r:id="rId201" w:anchor="_ftn1" w:history="1">
        <w:r w:rsidRPr="002F2FDF">
          <w:rPr>
            <w:rFonts w:ascii="Times New Roman" w:hAnsi="Times New Roman" w:cs="Times New Roman"/>
            <w:color w:val="000000" w:themeColor="text1"/>
            <w:kern w:val="2"/>
            <w:sz w:val="16"/>
            <w:szCs w:val="16"/>
          </w:rPr>
          <w:t>[1]</w:t>
        </w:r>
      </w:hyperlink>
      <w:r w:rsidRPr="002F2FDF">
        <w:rPr>
          <w:rFonts w:ascii="Times New Roman" w:hAnsi="Times New Roman" w:cs="Times New Roman"/>
          <w:color w:val="000000" w:themeColor="text1"/>
          <w:kern w:val="2"/>
          <w:sz w:val="16"/>
          <w:szCs w:val="16"/>
        </w:rPr>
        <w:t xml:space="preserve"> имею честь донести, что добыча на некоторых крупных каменноугольных рудниках сократилась приблизительно от 10 до 20% в связи с событиями переживаемого момента либо по другим причинам, например на Щербиновском руднике — благодаря значительному числу прогулов рабочих, например из '1600 рабочих прогулы делают около 500 чел., уменьшению интенсивности [труда] некоторых рабочих и пр. Что касается мелких шахт, то многие из них закрылись по причинам военного времени: трудности достать механизмы, например для откачки воды — насосы, котлы и т. п. или благодаря экономической невыгодности производства.</w:t>
      </w:r>
    </w:p>
    <w:p w14:paraId="194328DC"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Ниже приведен список закрывшихся шахт.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14"/>
        <w:gridCol w:w="2140"/>
        <w:gridCol w:w="6285"/>
      </w:tblGrid>
      <w:tr w:rsidR="002B1C74" w:rsidRPr="002F2FDF" w14:paraId="097BAFEF"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835232"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Название копи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50C94"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Месячная добыча (в тыс.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03706"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Причины закрытия</w:t>
            </w:r>
          </w:p>
        </w:tc>
      </w:tr>
      <w:tr w:rsidR="002B1C74" w:rsidRPr="002F2FDF" w14:paraId="2CBA7E2C"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1913A0"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Мошкевич</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2DCFC"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46CB1"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Затоплена</w:t>
            </w:r>
          </w:p>
        </w:tc>
      </w:tr>
      <w:tr w:rsidR="002B1C74" w:rsidRPr="002F2FDF" w14:paraId="4933EEBD"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872D7D"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Нейман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8BD2C"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E13A1"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Плохое качество угля</w:t>
            </w:r>
          </w:p>
        </w:tc>
      </w:tr>
      <w:tr w:rsidR="002B1C74" w:rsidRPr="002F2FDF" w14:paraId="20E747CF"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5AAE30"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Александровское 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945FE"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F2A52"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 же</w:t>
            </w:r>
          </w:p>
        </w:tc>
      </w:tr>
      <w:tr w:rsidR="002B1C74" w:rsidRPr="002F2FDF" w14:paraId="65B33947"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BA96A1"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Рабинович</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194CE"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64F0A"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Выработана</w:t>
            </w:r>
          </w:p>
        </w:tc>
      </w:tr>
      <w:tr w:rsidR="002B1C74" w:rsidRPr="002F2FDF" w14:paraId="54299358"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A9425E"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Сигалов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3E75E"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FC51C"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Затоплена</w:t>
            </w:r>
          </w:p>
        </w:tc>
      </w:tr>
      <w:tr w:rsidR="002B1C74" w:rsidRPr="002F2FDF" w14:paraId="274D2C8C"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067E72"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Каменосеекское 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DAF55"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C3A80"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24EC3F65"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B2CDDA"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Горловско-Анненская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FF99E"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7D892"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052EDE17"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48BDD1"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Герасимов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6B045"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553DC"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Перекрепление ствола</w:t>
            </w:r>
          </w:p>
        </w:tc>
      </w:tr>
      <w:tr w:rsidR="002B1C74" w:rsidRPr="002F2FDF" w14:paraId="4BFB3B68"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0AD08D"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 Романов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F93E8"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9E74D"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Болезнь хозяина</w:t>
            </w:r>
          </w:p>
        </w:tc>
      </w:tr>
      <w:tr w:rsidR="002B1C74" w:rsidRPr="002F2FDF" w14:paraId="527B8053"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22D4BC"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Бархмаи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7DC81"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32127"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Проходка</w:t>
            </w:r>
          </w:p>
        </w:tc>
      </w:tr>
      <w:tr w:rsidR="002B1C74" w:rsidRPr="002F2FDF" w14:paraId="2A8BDE73"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F6E1F7"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Ленке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7BD90"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00850"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751C48A2"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E19F25"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Брусиловский и Шахнович</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31F37"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15379"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Затоплена</w:t>
            </w:r>
          </w:p>
        </w:tc>
      </w:tr>
      <w:tr w:rsidR="002B1C74" w:rsidRPr="002F2FDF" w14:paraId="6F5C0E7A"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1B5C78"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Герцик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75DE9"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A5FDA"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3 шахт одна затоплена</w:t>
            </w:r>
          </w:p>
        </w:tc>
      </w:tr>
      <w:tr w:rsidR="002B1C74" w:rsidRPr="002F2FDF" w14:paraId="295AD6EE"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A447D2"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Романов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41389"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E5D38"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Ремонт котла</w:t>
            </w:r>
          </w:p>
        </w:tc>
      </w:tr>
      <w:tr w:rsidR="002B1C74" w:rsidRPr="002F2FDF" w14:paraId="3C4B4B70"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F43B09"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Зеленин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98230"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454F0" w14:textId="315DF754" w:rsidR="00AF6148"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4FEDB2F"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99CFC5"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Кулага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4885E"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042C9"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Перекрепление сбойки</w:t>
            </w:r>
          </w:p>
        </w:tc>
      </w:tr>
      <w:tr w:rsidR="002B1C74" w:rsidRPr="002F2FDF" w14:paraId="23253FB5"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2B5C76"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Пьянцев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6F228"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4D9D3"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Затоплена</w:t>
            </w:r>
          </w:p>
        </w:tc>
      </w:tr>
      <w:tr w:rsidR="002B1C74" w:rsidRPr="002F2FDF" w14:paraId="4F1B78AB"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09C43D"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Непомнящий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A4EEB"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289C1"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31EE85BD"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F123DE"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Дзевульский и Ланге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9DD22"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520F7"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564A441D"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8D6D9E"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Гескин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30497"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3E58D"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445084F3"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23E9F8"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Цейтин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3BC57"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D2927"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26B6A568"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093890"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Мухин (Соловьевка)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BE7CB"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83DC7"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3261177B"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F43D67"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Посредник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48237"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46419"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2C72D93D"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CEA206"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Ищенко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A9FEF"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69946"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Углубка шахты</w:t>
            </w:r>
          </w:p>
        </w:tc>
      </w:tr>
      <w:tr w:rsidR="002B1C74" w:rsidRPr="002F2FDF" w14:paraId="36C1464E"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04C596"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Гурарий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CEFD2"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92D72"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Ненахождение пласта</w:t>
            </w:r>
          </w:p>
        </w:tc>
      </w:tr>
      <w:tr w:rsidR="002B1C74" w:rsidRPr="002F2FDF" w14:paraId="2C7C932C"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B2FAA6"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Лысаков—Агароков.....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683C2"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94799"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Ремонт котлов</w:t>
            </w:r>
          </w:p>
        </w:tc>
      </w:tr>
      <w:tr w:rsidR="002B1C74" w:rsidRPr="002F2FDF" w14:paraId="6FF5DD7D"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26D800"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Александро-Борисовское 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949BF"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F04BF"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Ремонт котлов</w:t>
            </w:r>
          </w:p>
        </w:tc>
      </w:tr>
      <w:tr w:rsidR="002B1C74" w:rsidRPr="002F2FDF" w14:paraId="3EDCA5B6"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3EF6E7"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А.Агарков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2C45F"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46327"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Экономическая невыгодность благодаря предъявленным высоким ценам заработной платы</w:t>
            </w:r>
          </w:p>
        </w:tc>
      </w:tr>
    </w:tbl>
    <w:p w14:paraId="31CE0917"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 как, по заявлению мелких шахтовладельцев Щербиновского района, при высоких ценах, существовавших в этом районе до конферен-цпн, многие из них должны были закрыться вследствие экономической невыгодности при ценах, [установленных] на конференции 29 марта :. г.,</w:t>
      </w:r>
      <w:hyperlink r:id="rId202" w:anchor="_ftn2" w:history="1">
        <w:r w:rsidRPr="002F2FDF">
          <w:rPr>
            <w:rFonts w:ascii="Times New Roman" w:hAnsi="Times New Roman" w:cs="Times New Roman"/>
            <w:color w:val="000000" w:themeColor="text1"/>
            <w:kern w:val="2"/>
            <w:sz w:val="16"/>
            <w:szCs w:val="16"/>
          </w:rPr>
          <w:t>[2]</w:t>
        </w:r>
      </w:hyperlink>
      <w:r w:rsidRPr="002F2FDF">
        <w:rPr>
          <w:rFonts w:ascii="Times New Roman" w:hAnsi="Times New Roman" w:cs="Times New Roman"/>
          <w:color w:val="000000" w:themeColor="text1"/>
          <w:kern w:val="2"/>
          <w:sz w:val="16"/>
          <w:szCs w:val="16"/>
        </w:rPr>
        <w:t xml:space="preserve"> мной 30 мая с. г. собрано было общее совещание мелких шахтовладельцев этого района с выборными от рабочих, на котором обеими сторонами обещано прийти к миролюбивому соглашению, экономически необходимому для правильного функционирования предприятий.</w:t>
      </w:r>
    </w:p>
    <w:p w14:paraId="483F8641"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при существующем пока положении увеличения добычи пока нет. Но, принимая во внимание интенсивную работу Совета раьочих депутатов в смысле стремления поднять просветительный уровень товарищей и создать правильные профессиональные организации, можно полагать, что промышленная жизнь скоро должна войти в норму и поднять производительность по крайней мере на крупных предприятиях.</w:t>
      </w:r>
    </w:p>
    <w:p w14:paraId="480E4FB8"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сему имею честь присовокупить, что не только сокращению производства, но даже закрытию не только мелких, но даже и крупных предприятий, угрожает отсутствие бензина и смазочных веществ, как-то: олеонафта, нефти, мазута и др., — а равно отсутствие фуража для рабочих лошадей, в особенности на мелких шахтах, для лошадей конных подъемов.</w:t>
      </w:r>
    </w:p>
    <w:p w14:paraId="68151318"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Окружной инженер и районный инспектор</w:t>
      </w:r>
    </w:p>
    <w:p w14:paraId="0B8A63FA"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Белов</w:t>
      </w:r>
    </w:p>
    <w:p w14:paraId="572A22A5" w14:textId="77777777" w:rsidR="00AF6148"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203" w:anchor="_ftnref1" w:history="1">
        <w:r w:rsidR="00AF6148" w:rsidRPr="002F2FDF">
          <w:rPr>
            <w:rFonts w:ascii="Times New Roman" w:hAnsi="Times New Roman" w:cs="Times New Roman"/>
            <w:color w:val="000000" w:themeColor="text1"/>
            <w:kern w:val="2"/>
            <w:sz w:val="16"/>
            <w:szCs w:val="16"/>
          </w:rPr>
          <w:t>[1]</w:t>
        </w:r>
      </w:hyperlink>
      <w:r w:rsidR="00AF6148" w:rsidRPr="002F2FDF">
        <w:rPr>
          <w:rFonts w:ascii="Times New Roman" w:hAnsi="Times New Roman" w:cs="Times New Roman"/>
          <w:color w:val="000000" w:themeColor="text1"/>
          <w:kern w:val="2"/>
          <w:sz w:val="16"/>
          <w:szCs w:val="16"/>
        </w:rPr>
        <w:t xml:space="preserve"> В деле не имеется.</w:t>
      </w:r>
    </w:p>
    <w:p w14:paraId="067FEFF5" w14:textId="77777777" w:rsidR="00AF6148"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204" w:anchor="_ftnref2" w:history="1">
        <w:r w:rsidR="00AF6148" w:rsidRPr="002F2FDF">
          <w:rPr>
            <w:rFonts w:ascii="Times New Roman" w:hAnsi="Times New Roman" w:cs="Times New Roman"/>
            <w:color w:val="000000" w:themeColor="text1"/>
            <w:kern w:val="2"/>
            <w:sz w:val="16"/>
            <w:szCs w:val="16"/>
          </w:rPr>
          <w:t>[2]</w:t>
        </w:r>
      </w:hyperlink>
      <w:r w:rsidR="00AF6148" w:rsidRPr="002F2FDF">
        <w:rPr>
          <w:rFonts w:ascii="Times New Roman" w:hAnsi="Times New Roman" w:cs="Times New Roman"/>
          <w:color w:val="000000" w:themeColor="text1"/>
          <w:kern w:val="2"/>
          <w:sz w:val="16"/>
          <w:szCs w:val="16"/>
        </w:rPr>
        <w:t xml:space="preserve"> См. прим 1937 вышел приказ НКОП № 190х (15708).</w:t>
      </w:r>
    </w:p>
    <w:p w14:paraId="75253F93"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p>
    <w:p w14:paraId="3104E5B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3EE36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AF0C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июня 1917 Казаков из 1БАГ преследовал непри</w:t>
      </w:r>
      <w:r w:rsidRPr="002F2FDF">
        <w:rPr>
          <w:rFonts w:ascii="Times New Roman" w:hAnsi="Times New Roman" w:cs="Times New Roman"/>
          <w:color w:val="000000" w:themeColor="text1"/>
          <w:kern w:val="2"/>
          <w:sz w:val="16"/>
          <w:szCs w:val="16"/>
        </w:rPr>
        <w:softHyphen/>
        <w:t>ятельский “Альбатрос” южнее Бучач, заставив снизиться его с 4000 до 2000 м. Немецкие летчики стали пус</w:t>
      </w:r>
      <w:r w:rsidRPr="002F2FDF">
        <w:rPr>
          <w:rFonts w:ascii="Times New Roman" w:hAnsi="Times New Roman" w:cs="Times New Roman"/>
          <w:color w:val="000000" w:themeColor="text1"/>
          <w:kern w:val="2"/>
          <w:sz w:val="16"/>
          <w:szCs w:val="16"/>
        </w:rPr>
        <w:softHyphen/>
        <w:t>кать сигнальные ракеты и в районе юго-восточнее Большовце им на по</w:t>
      </w:r>
      <w:r w:rsidRPr="002F2FDF">
        <w:rPr>
          <w:rFonts w:ascii="Times New Roman" w:hAnsi="Times New Roman" w:cs="Times New Roman"/>
          <w:color w:val="000000" w:themeColor="text1"/>
          <w:kern w:val="2"/>
          <w:sz w:val="16"/>
          <w:szCs w:val="16"/>
        </w:rPr>
        <w:softHyphen/>
        <w:t>мощь пришли два “Фоккера”. У Казакова к тому времени закончились па</w:t>
      </w:r>
      <w:r w:rsidRPr="002F2FDF">
        <w:rPr>
          <w:rFonts w:ascii="Times New Roman" w:hAnsi="Times New Roman" w:cs="Times New Roman"/>
          <w:color w:val="000000" w:themeColor="text1"/>
          <w:kern w:val="2"/>
          <w:sz w:val="16"/>
          <w:szCs w:val="16"/>
        </w:rPr>
        <w:softHyphen/>
        <w:t>троны и пришлось прекратить бой (3954).</w:t>
      </w:r>
    </w:p>
    <w:p w14:paraId="4A7C5F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5E25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 </w:t>
      </w:r>
      <w:r w:rsidR="00EC0E98" w:rsidRPr="002F2FDF">
        <w:rPr>
          <w:rFonts w:ascii="Times New Roman" w:hAnsi="Times New Roman" w:cs="Times New Roman"/>
          <w:color w:val="000000" w:themeColor="text1"/>
          <w:kern w:val="2"/>
          <w:sz w:val="16"/>
          <w:szCs w:val="16"/>
        </w:rPr>
        <w:t xml:space="preserve">(16) </w:t>
      </w:r>
      <w:r w:rsidRPr="002F2FDF">
        <w:rPr>
          <w:rFonts w:ascii="Times New Roman" w:hAnsi="Times New Roman" w:cs="Times New Roman"/>
          <w:color w:val="000000" w:themeColor="text1"/>
          <w:kern w:val="2"/>
          <w:sz w:val="16"/>
          <w:szCs w:val="16"/>
        </w:rPr>
        <w:t>июня 1917 зажигательные бомбы были сброшены на склады у деревни Базар, что вызвало большой пожар. В тот же день летчики Гренадерского авиаотряда бомбили объекты севернее местечка Крево. Работа пилотов 3-й БАГ заключалась главным образом в патрулировании над линией фронта и охране самолетов-разведчиков. Всего за подготовительный период авиаотряды Х-й армии совершили 535 боевых вылетов, потеряли 13 летчиков и наблюдателей. Противник лишился одного самолета, сбитого зенитной артиллерией, и одного привязного аэростата, который сжег тремя ракетами Ле-Приера летчик Гренадерского АО Владимир Каминский. Наступление началось только 7-го июля. Русские войска, имевшие значительный численный перевес, быстро достигли успеха, однако из-за нежелания солдат воевать столь же быстро откатились назад. Авиация в этих условиях не оказала какого-либо влияния на развитие событий, а наиболее заметным явлением стал налет 19 июля двадцати четырех "Вуазенов" и "Фарманов" нескольких авиаотрядов Х-й армии на железнодорожную станцию Войгяны. В 4 ч 30 мин самолеты собрались над деревней Малиновщизна, разделились на две группы (по типам) и направились одна за другой в тыл противника. Над передовой к ним присоединились 11 истребителей, которые летели на 500 м выше строя бомбардировщиков. При подходе к цели было встречено два неприятельских самолета, один из которых немедленно ушел на свой аэродром у станции Войгяны, а другой был сбит пилотами 18-го КАО прапорщиками Андерсом и Филиным. Несмотря на сильный зенитный огонь, русские летчики сбросили на станцию 60 бомб общей массой более 500 кг и благополучно вернулись на свои аэродромы. Бомбардировка вызвала в районе станции Войгяны многочисленные пожары. Всего до 1 августа авиаотряды Х-й армии совершили 916 боевых вылетов (11237).</w:t>
      </w:r>
    </w:p>
    <w:p w14:paraId="56D7AC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FA9D28" w14:textId="77777777" w:rsidR="00053D91" w:rsidRPr="002F2FDF" w:rsidRDefault="00053D9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июня 1917 на Восточном фронте российский военный министр Керенский объявляет о начале наступления, однако серия ударов по германским позициям успешно отражена противником (боевые действия продолжались до 13 июля) (12629).</w:t>
      </w:r>
    </w:p>
    <w:p w14:paraId="6B6BD96D" w14:textId="77777777" w:rsidR="00053D91" w:rsidRPr="002F2FDF" w:rsidRDefault="00053D91"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A9634A" w14:textId="48F04C70" w:rsidR="00562E88" w:rsidRPr="00FB4F67" w:rsidRDefault="00562E88"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 (</w:t>
      </w:r>
      <w:r w:rsidRPr="00FB4F67">
        <w:rPr>
          <w:rFonts w:ascii="Times New Roman" w:hAnsi="Times New Roman" w:cs="Times New Roman"/>
          <w:color w:val="0070C0"/>
          <w:sz w:val="16"/>
          <w:szCs w:val="16"/>
        </w:rPr>
        <w:t>16</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1917 г. на Кавказском фронте произошел первый воздушный бой между одним турецким и двумя русскими самолетами в районе Хиниса, но безрезультатно. Одна российская машина бомбила турецкий аэродром Су-Шехир (23525).</w:t>
      </w:r>
    </w:p>
    <w:p w14:paraId="395309E4" w14:textId="77777777" w:rsidR="00562E88" w:rsidRPr="00FB4F67" w:rsidRDefault="00562E88" w:rsidP="0083075A">
      <w:pPr>
        <w:spacing w:after="0" w:line="240" w:lineRule="auto"/>
        <w:jc w:val="both"/>
        <w:rPr>
          <w:rFonts w:ascii="Times New Roman" w:hAnsi="Times New Roman" w:cs="Times New Roman"/>
          <w:color w:val="0070C0"/>
          <w:sz w:val="16"/>
          <w:szCs w:val="16"/>
        </w:rPr>
      </w:pPr>
    </w:p>
    <w:p w14:paraId="238118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 (16-17) июня 1917 быстроходные катера, доставленные эсминцами Счастливый и Пылкий у Зунгулака поставили 40 малых мин заграждения (3123).</w:t>
      </w:r>
    </w:p>
    <w:p w14:paraId="2AA4CB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0EA4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 </w:t>
      </w:r>
      <w:r w:rsidR="00EC0E98" w:rsidRPr="002F2FDF">
        <w:rPr>
          <w:rFonts w:ascii="Times New Roman" w:hAnsi="Times New Roman" w:cs="Times New Roman"/>
          <w:color w:val="000000" w:themeColor="text1"/>
          <w:kern w:val="2"/>
          <w:sz w:val="16"/>
          <w:szCs w:val="16"/>
        </w:rPr>
        <w:t xml:space="preserve">(16) </w:t>
      </w:r>
      <w:r w:rsidRPr="002F2FDF">
        <w:rPr>
          <w:rFonts w:ascii="Times New Roman" w:hAnsi="Times New Roman" w:cs="Times New Roman"/>
          <w:color w:val="000000" w:themeColor="text1"/>
          <w:kern w:val="2"/>
          <w:sz w:val="16"/>
          <w:szCs w:val="16"/>
        </w:rPr>
        <w:t>июня 1917 в Генштаб была отправлена телеграмма: "Положение в Севастополе резко ухудшается вследствие направленной сюда агитации большевизма". Черноморский флот вместе со всей Россией покатился к "светлому будущему". На эскадренном миноносце "Жаркий" команда отказалась выходить в море, потому, что его командир "слишком рискованно управляет миноносцем и часто подвергает опасности людей". Колчак, ещё пытавшийся остановить развал, приказал спустить на судне флаг, но это только подлило масла в огонь. Требование снять командиров выдвинули команды эсминца "Керчь" и авиатранспорта "Дакия", начались волнения матросов на броненосце "Три Святителя", линкоре "Синоп" и других кораблях. Уговаривать матросов не бунтовать прибыл лично военный министр А.Ф. Керенский. Он безуспешно пытался объяснить всем кому мог, как должны себя вести солдаты новой свободной России. Но в результате по требованию революционных моряков Временное правительство было вынуждено 18 июля отстранить от командования Черноморским флотом вице-адмирала А. Колчака и его начальника штаба контр-адмирала М. Смирнова, признанных реакционерами.</w:t>
      </w:r>
    </w:p>
    <w:p w14:paraId="3FDB59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середины 1917 г. черноморская авиация, особенно корабельная, участвовала в большинстве проводимых главными силами флота морских операций и предпринимались попытки возложить роль основной ударной силы на корабельные самолёты (11933).</w:t>
      </w:r>
    </w:p>
    <w:p w14:paraId="5CF7A9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3CAA2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65861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9B82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3-24 июня (16 июня по 7 июля) 1917 состоялся первый Всероссийский съезд Советов рабочих и солдатских депутатов в Петрограде (285 эсеров, 248 меньшевиков, 105 большевиков, всего 822) Поддержали идею коалиционного правительства. В.И.Л. выступил с идеей полновластия большевиков - видно "Есть такая партия" (1348,85). Большинство склонялось к коалиционному правительству. Избрали ВЦИК из меньшевиков и эсеров. Председатель - Н.С.Чхеидзе, замы - И.Г.Церетели и А.Р.Гоц (3908,258).</w:t>
      </w:r>
    </w:p>
    <w:p w14:paraId="33EE1D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F50D26" w14:textId="77777777" w:rsidR="00053D91" w:rsidRPr="002F2FDF" w:rsidRDefault="00053D9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 (16) июня 1917 начался Первый Всероссийский съезд Советов рабочих и солдатских депутатов (до 24 июня). Эсеры и меньшевики имели большинство. Большевики потребовали прекратить боевые действия и передать всю власть Советам. Их освистали (12629). </w:t>
      </w:r>
    </w:p>
    <w:p w14:paraId="64065773" w14:textId="77777777" w:rsidR="00053D91" w:rsidRPr="002F2FDF" w:rsidRDefault="00053D9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55BF27"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 (16) июня</w:t>
      </w:r>
      <w:r w:rsidRPr="002F2FDF">
        <w:rPr>
          <w:rFonts w:ascii="Times New Roman" w:hAnsi="Times New Roman" w:cs="Times New Roman"/>
          <w:color w:val="000000" w:themeColor="text1"/>
          <w:kern w:val="2"/>
          <w:sz w:val="16"/>
          <w:szCs w:val="16"/>
        </w:rPr>
        <w:t xml:space="preserve"> в 1917 году открывается I Съезд Советов (14911).</w:t>
      </w:r>
    </w:p>
    <w:p w14:paraId="0E9315FC"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p>
    <w:p w14:paraId="3BBF1DB8"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 (16) июня</w:t>
      </w:r>
      <w:r w:rsidRPr="002F2FDF">
        <w:rPr>
          <w:rFonts w:ascii="Times New Roman" w:hAnsi="Times New Roman" w:cs="Times New Roman"/>
          <w:color w:val="000000" w:themeColor="text1"/>
          <w:kern w:val="2"/>
          <w:sz w:val="16"/>
          <w:szCs w:val="16"/>
        </w:rPr>
        <w:t xml:space="preserve"> в 1917 году в Петрограде открывается I Всероссийский съезд советов рабочих и солдатских депутатов. На нем присутствуют свыше 1000 делегатов, из которых 822 с решающим голосом, а остальные — с совещательным. 285 мандатов принадлежат эсерам, 248 — меньшевикам и только 105 — большевикам. Большинство съезда отвергает мысль о переходе власти к Советам. Лидер меньшевиков И.Г.Цертели заявляет: «В настоящий момент в России нет политической партии, которая говорила бы: дайте в наши руки власть, уйдите, мы займем ваше место...» В ответ В.И.Ленин от имени большевиков бросает с места:</w:t>
      </w:r>
    </w:p>
    <w:p w14:paraId="2DE3E606"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Есть такая партия!</w:t>
      </w:r>
    </w:p>
    <w:p w14:paraId="1AFC4747"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Встреченное смехом и критическими замечаниями лидеров эсеро-меньшевиков, заявление Ленина находит отклик у рядовых депутатов — рабочих и солдат. Страна идет к революции (14924).</w:t>
      </w:r>
    </w:p>
    <w:p w14:paraId="5B473320"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p>
    <w:p w14:paraId="558145A4" w14:textId="77777777" w:rsidR="00AF28C3" w:rsidRPr="002F2FDF" w:rsidRDefault="00AF28C3" w:rsidP="0083075A">
      <w:pPr>
        <w:pStyle w:val="ae"/>
        <w:spacing w:before="0" w:after="0"/>
        <w:jc w:val="both"/>
        <w:rPr>
          <w:color w:val="000000" w:themeColor="text1"/>
          <w:kern w:val="2"/>
          <w:sz w:val="16"/>
          <w:szCs w:val="16"/>
        </w:rPr>
      </w:pPr>
      <w:r w:rsidRPr="002F2FDF">
        <w:rPr>
          <w:bCs/>
          <w:color w:val="000000" w:themeColor="text1"/>
          <w:kern w:val="2"/>
          <w:sz w:val="16"/>
          <w:szCs w:val="16"/>
        </w:rPr>
        <w:t>3 (16) июня</w:t>
      </w:r>
      <w:r w:rsidRPr="002F2FDF">
        <w:rPr>
          <w:color w:val="000000" w:themeColor="text1"/>
          <w:kern w:val="2"/>
          <w:sz w:val="16"/>
          <w:szCs w:val="16"/>
        </w:rPr>
        <w:t xml:space="preserve"> в 1917 году в Петрограде открылся Первый Всероссийский съезд Советов рабочих и солдатских депутатов. На нем присутствовало 1090 делегатов, представлявших 305 объединенных советов рабочих, солдатских и крестьянских депутатов, 53 областных, губернских и районных объединений советов и 34 военных организации (армии, флота и тыла). Львиную долю «партийных» собравшихся составляли эсеры и меньшевики, большевистских кандидатов было всего 13%. Однако это не помешало Владимиру Ленину сделать громкое заявление, ставшее впоследствии еще одним из «образов» революции. В ответ на слова меньшевика Ираклия Церетели о том, что «в настоящий момент в России нет политической партии, которая говорила бы: дайте в наши руки власть, уйдите, мы займем ваше место», Ленин выкрикнул с места: «Есть такая партия!», что, впрочем, вызвало смех со стороны эсеро-меньшевистского большинства.</w:t>
      </w:r>
    </w:p>
    <w:p w14:paraId="5B597773" w14:textId="77777777" w:rsidR="00AF28C3" w:rsidRPr="002F2FDF" w:rsidRDefault="00AF28C3" w:rsidP="0083075A">
      <w:pPr>
        <w:pStyle w:val="ae"/>
        <w:spacing w:before="0" w:after="0"/>
        <w:jc w:val="both"/>
        <w:rPr>
          <w:color w:val="000000" w:themeColor="text1"/>
          <w:kern w:val="2"/>
          <w:sz w:val="16"/>
          <w:szCs w:val="16"/>
        </w:rPr>
      </w:pPr>
      <w:r w:rsidRPr="002F2FDF">
        <w:rPr>
          <w:color w:val="000000" w:themeColor="text1"/>
          <w:kern w:val="2"/>
          <w:sz w:val="16"/>
          <w:szCs w:val="16"/>
        </w:rPr>
        <w:t>Чуть позже в своем выступлении Ленин предложил «арестовать 50-100 крупнейших миллионеров», ввести рабочий контроль в промышленности и заключить мир, но большинство кандидатов не поддержало эти тезисы. Напротив, была принята резолюция о поддержке министров-социалистов Временного правительства. Съезд избрал свой постоянный орган (ВЦИК) под председательством меньшевика Николая Чхеидзе. Большинство членов ВЦИК также составляли эсеры и меньшевики, но и большевикам удалось усилить в нем свою фракцию до 18% (17045).</w:t>
      </w:r>
    </w:p>
    <w:p w14:paraId="12484C93" w14:textId="77777777" w:rsidR="00AF28C3" w:rsidRPr="002F2FDF" w:rsidRDefault="00AF28C3" w:rsidP="0083075A">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p>
    <w:p w14:paraId="7AAE560D" w14:textId="77777777" w:rsidR="00612111" w:rsidRPr="002F2FDF" w:rsidRDefault="00612111"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 (16) июня</w:t>
      </w:r>
      <w:r w:rsidRPr="002F2FDF">
        <w:rPr>
          <w:rFonts w:ascii="Times New Roman" w:hAnsi="Times New Roman" w:cs="Times New Roman"/>
          <w:color w:val="000000" w:themeColor="text1"/>
          <w:kern w:val="2"/>
          <w:sz w:val="16"/>
          <w:szCs w:val="16"/>
        </w:rPr>
        <w:t xml:space="preserve"> в 1917 году Временное правительство, которое реагировало на украинские события с осторожностью, выпустило заявление, в котором говорилось: «Отрицательное решение по вопросу об издании акта об автономии Украины принято правительством единогласно» (17045).</w:t>
      </w:r>
    </w:p>
    <w:p w14:paraId="0D2828D6" w14:textId="77777777" w:rsidR="00612111" w:rsidRPr="002F2FDF" w:rsidRDefault="0061211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B353C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72A323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9AEC3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июня 1917 Временное правительство России предложило союзникам провести мирную конференцию для ревизии планов послевоенного устройства (4962).</w:t>
      </w:r>
    </w:p>
    <w:p w14:paraId="0D650F9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14C9D5"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3 (16) июня 1917 г.</w:t>
      </w:r>
      <w:r w:rsidRPr="002F2FDF">
        <w:rPr>
          <w:rFonts w:ascii="Times New Roman" w:hAnsi="Times New Roman" w:cs="Times New Roman"/>
          <w:color w:val="000000" w:themeColor="text1"/>
          <w:kern w:val="2"/>
          <w:sz w:val="16"/>
          <w:szCs w:val="16"/>
        </w:rPr>
        <w:t>Телеграмма Б. А. Бахметьева из Вашингтона английскому послу в Петрограде Д. Бьюкенену о целях прибывающей в Россию миссии Э. Рута</w:t>
      </w:r>
    </w:p>
    <w:p w14:paraId="2D8FDB61" w14:textId="24483D2C"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492-493</w:t>
      </w:r>
    </w:p>
    <w:p w14:paraId="02DFDA67" w14:textId="27CC2D73"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Секретного архива, д. 683/724, л. 15. Копия.</w:t>
      </w:r>
    </w:p>
    <w:p w14:paraId="60CA63CE" w14:textId="77777777" w:rsidR="00AF6148" w:rsidRPr="002F2FDF" w:rsidRDefault="00AF6148" w:rsidP="0083075A">
      <w:pPr>
        <w:pStyle w:val="ae"/>
        <w:spacing w:before="0" w:after="0"/>
        <w:jc w:val="both"/>
        <w:rPr>
          <w:color w:val="000000" w:themeColor="text1"/>
          <w:kern w:val="2"/>
          <w:sz w:val="16"/>
          <w:szCs w:val="16"/>
        </w:rPr>
      </w:pPr>
      <w:r w:rsidRPr="002F2FDF">
        <w:rPr>
          <w:rStyle w:val="af0"/>
          <w:i w:val="0"/>
          <w:color w:val="000000" w:themeColor="text1"/>
          <w:kern w:val="2"/>
          <w:sz w:val="16"/>
          <w:szCs w:val="16"/>
        </w:rPr>
        <w:t>Перевод с английского</w:t>
      </w:r>
    </w:p>
    <w:p w14:paraId="4F63AD21" w14:textId="77777777" w:rsidR="00AF6148" w:rsidRPr="002F2FDF" w:rsidRDefault="00AF6148" w:rsidP="0083075A">
      <w:pPr>
        <w:pStyle w:val="rtejustify"/>
        <w:spacing w:before="0" w:after="0"/>
        <w:rPr>
          <w:color w:val="000000" w:themeColor="text1"/>
          <w:kern w:val="2"/>
          <w:sz w:val="16"/>
          <w:szCs w:val="16"/>
        </w:rPr>
      </w:pPr>
      <w:r w:rsidRPr="002F2FDF">
        <w:rPr>
          <w:color w:val="000000" w:themeColor="text1"/>
          <w:kern w:val="2"/>
          <w:sz w:val="16"/>
          <w:szCs w:val="16"/>
        </w:rPr>
        <w:lastRenderedPageBreak/>
        <w:t>Цель миссии Рута состоит исключительно в том, чтобы поощрить русское правительство в его отношении к войне и предложить помощь, добрую волю и благожелательство. Кроме миссии Рута, существует железнодорожная техническая миссия. Мистер Рут перед своим отъездом говорил с Бальфуром по всем этим вопросам. Президент опубликовал свое послание русскому правительству, в котором излагается его точка зрения.</w:t>
      </w:r>
      <w:hyperlink r:id="rId205" w:anchor="_ftn1" w:history="1">
        <w:r w:rsidRPr="002F2FDF">
          <w:rPr>
            <w:rStyle w:val="a5"/>
            <w:bCs/>
            <w:iCs/>
            <w:color w:val="000000" w:themeColor="text1"/>
            <w:kern w:val="2"/>
            <w:sz w:val="16"/>
            <w:szCs w:val="16"/>
          </w:rPr>
          <w:t>[1]</w:t>
        </w:r>
      </w:hyperlink>
    </w:p>
    <w:p w14:paraId="3DF5ACEC" w14:textId="77777777" w:rsidR="00AF6148" w:rsidRPr="002F2FDF" w:rsidRDefault="00000000" w:rsidP="0083075A">
      <w:pPr>
        <w:pStyle w:val="rtejustify"/>
        <w:spacing w:before="0" w:after="0"/>
        <w:rPr>
          <w:color w:val="000000" w:themeColor="text1"/>
          <w:kern w:val="2"/>
          <w:sz w:val="16"/>
          <w:szCs w:val="16"/>
        </w:rPr>
      </w:pPr>
      <w:hyperlink r:id="rId206" w:anchor="_ftnref1" w:history="1">
        <w:r w:rsidR="00AF6148" w:rsidRPr="002F2FDF">
          <w:rPr>
            <w:rStyle w:val="a5"/>
            <w:color w:val="000000" w:themeColor="text1"/>
            <w:kern w:val="2"/>
            <w:sz w:val="16"/>
            <w:szCs w:val="16"/>
          </w:rPr>
          <w:t>[1]</w:t>
        </w:r>
      </w:hyperlink>
      <w:r w:rsidR="00AF6148" w:rsidRPr="002F2FDF">
        <w:rPr>
          <w:color w:val="000000" w:themeColor="text1"/>
          <w:kern w:val="2"/>
          <w:sz w:val="16"/>
          <w:szCs w:val="16"/>
        </w:rPr>
        <w:t xml:space="preserve"> По официальным данным, в состав миссии Э. Рута вошли следующие лица: Элью Рут — чрезвычайный посол Соединенных Штатов со специальной миссией; Джон Р. Мотт — генеральный секретарь международного комитета христианской ассоциации молодых людей; Чарльз Эдвард Россел — чрезвычайный посланник Соединенных Штатов со специальной миссией; ген.-майор Хью Л. Скотт — нач. штаба, военный представитель президента Соединенных Штатов со специальной миссией в ранге посланника; контр-адмирал Джамс X. Гленнон —военно-морской представитель президента Соединенных Штатов со специальной миссией; полк. Р. Е. Л. Мичи — пом. генерала Скотта; полк. Вильям В. Джадсон — военный атташе при специальной дипломатической миссии; полк. Бентли Т. Мотт — помощник Э. Рута; врач Холтон К. Курл — военно-морские силы Соединенных Штатов, в ранге пом. капитана 2-го ранга; лейтенант Алва Д. Берхерн — пом. адмирала Гленнона; Бэзил Майлз — секретарь миссии; майор Стэнли Уошборн — пом. секретари миссии; Ф. Юджин Принс — пом. по гражданским вопросам и переводник миссии; Джамс Е. Маккена, Клайд Стиллвел, Джамс Ф. С. Рурк, У эй Киген, Дьюн Е. Уошборн, Вальтер В. Кинг, Джордж Д. Грогорн — сотрудники миссии; сержант Пауль 3. Рэндольф</w:t>
      </w:r>
      <w:r w:rsidR="00AF6148" w:rsidRPr="002F2FDF">
        <w:rPr>
          <w:color w:val="000000" w:themeColor="text1"/>
          <w:kern w:val="2"/>
          <w:sz w:val="16"/>
          <w:szCs w:val="16"/>
          <w:lang w:val="en-US"/>
        </w:rPr>
        <w:t xml:space="preserve"> — </w:t>
      </w:r>
      <w:r w:rsidR="00AF6148" w:rsidRPr="002F2FDF">
        <w:rPr>
          <w:color w:val="000000" w:themeColor="text1"/>
          <w:kern w:val="2"/>
          <w:sz w:val="16"/>
          <w:szCs w:val="16"/>
        </w:rPr>
        <w:t>ординарец</w:t>
      </w:r>
      <w:r w:rsidR="00AF6148" w:rsidRPr="002F2FDF">
        <w:rPr>
          <w:color w:val="000000" w:themeColor="text1"/>
          <w:kern w:val="2"/>
          <w:sz w:val="16"/>
          <w:szCs w:val="16"/>
          <w:lang w:val="en-US"/>
        </w:rPr>
        <w:t>. (</w:t>
      </w:r>
      <w:r w:rsidR="00AF6148" w:rsidRPr="002F2FDF">
        <w:rPr>
          <w:color w:val="000000" w:themeColor="text1"/>
          <w:kern w:val="2"/>
          <w:sz w:val="16"/>
          <w:szCs w:val="16"/>
        </w:rPr>
        <w:t>АВПР</w:t>
      </w:r>
      <w:r w:rsidR="00AF6148" w:rsidRPr="002F2FDF">
        <w:rPr>
          <w:color w:val="000000" w:themeColor="text1"/>
          <w:kern w:val="2"/>
          <w:sz w:val="16"/>
          <w:szCs w:val="16"/>
          <w:lang w:val="en-US"/>
        </w:rPr>
        <w:t xml:space="preserve">, </w:t>
      </w:r>
      <w:r w:rsidR="00AF6148" w:rsidRPr="002F2FDF">
        <w:rPr>
          <w:color w:val="000000" w:themeColor="text1"/>
          <w:kern w:val="2"/>
          <w:sz w:val="16"/>
          <w:szCs w:val="16"/>
        </w:rPr>
        <w:t>ф</w:t>
      </w:r>
      <w:r w:rsidR="00AF6148" w:rsidRPr="002F2FDF">
        <w:rPr>
          <w:color w:val="000000" w:themeColor="text1"/>
          <w:kern w:val="2"/>
          <w:sz w:val="16"/>
          <w:szCs w:val="16"/>
          <w:lang w:val="en-US"/>
        </w:rPr>
        <w:t xml:space="preserve">. </w:t>
      </w:r>
      <w:r w:rsidR="00AF6148" w:rsidRPr="002F2FDF">
        <w:rPr>
          <w:color w:val="000000" w:themeColor="text1"/>
          <w:kern w:val="2"/>
          <w:sz w:val="16"/>
          <w:szCs w:val="16"/>
        </w:rPr>
        <w:t>Канцелярии</w:t>
      </w:r>
      <w:r w:rsidR="00AF6148" w:rsidRPr="002F2FDF">
        <w:rPr>
          <w:color w:val="000000" w:themeColor="text1"/>
          <w:kern w:val="2"/>
          <w:sz w:val="16"/>
          <w:szCs w:val="16"/>
          <w:lang w:val="en-US"/>
        </w:rPr>
        <w:t xml:space="preserve">, </w:t>
      </w:r>
      <w:r w:rsidR="00AF6148" w:rsidRPr="002F2FDF">
        <w:rPr>
          <w:color w:val="000000" w:themeColor="text1"/>
          <w:kern w:val="2"/>
          <w:sz w:val="16"/>
          <w:szCs w:val="16"/>
        </w:rPr>
        <w:t>д</w:t>
      </w:r>
      <w:r w:rsidR="00AF6148" w:rsidRPr="002F2FDF">
        <w:rPr>
          <w:color w:val="000000" w:themeColor="text1"/>
          <w:kern w:val="2"/>
          <w:sz w:val="16"/>
          <w:szCs w:val="16"/>
          <w:lang w:val="en-US"/>
        </w:rPr>
        <w:t xml:space="preserve">. 38, </w:t>
      </w:r>
      <w:r w:rsidR="00AF6148" w:rsidRPr="002F2FDF">
        <w:rPr>
          <w:color w:val="000000" w:themeColor="text1"/>
          <w:kern w:val="2"/>
          <w:sz w:val="16"/>
          <w:szCs w:val="16"/>
        </w:rPr>
        <w:t>л</w:t>
      </w:r>
      <w:r w:rsidR="00AF6148" w:rsidRPr="002F2FDF">
        <w:rPr>
          <w:color w:val="000000" w:themeColor="text1"/>
          <w:kern w:val="2"/>
          <w:sz w:val="16"/>
          <w:szCs w:val="16"/>
          <w:lang w:val="en-US"/>
        </w:rPr>
        <w:t xml:space="preserve">. 2; </w:t>
      </w:r>
      <w:r w:rsidR="00AF6148" w:rsidRPr="002F2FDF">
        <w:rPr>
          <w:color w:val="000000" w:themeColor="text1"/>
          <w:kern w:val="2"/>
          <w:sz w:val="16"/>
          <w:szCs w:val="16"/>
        </w:rPr>
        <w:t>см</w:t>
      </w:r>
      <w:r w:rsidR="00AF6148" w:rsidRPr="002F2FDF">
        <w:rPr>
          <w:color w:val="000000" w:themeColor="text1"/>
          <w:kern w:val="2"/>
          <w:sz w:val="16"/>
          <w:szCs w:val="16"/>
          <w:lang w:val="en-US"/>
        </w:rPr>
        <w:t xml:space="preserve">.: Papers relating to the Foreign Relations of the United States of America 1918, Russia, vol. </w:t>
      </w:r>
      <w:r w:rsidR="00AF6148" w:rsidRPr="002F2FDF">
        <w:rPr>
          <w:color w:val="000000" w:themeColor="text1"/>
          <w:kern w:val="2"/>
          <w:sz w:val="16"/>
          <w:szCs w:val="16"/>
        </w:rPr>
        <w:t>I, рр. 109—110) (15158).</w:t>
      </w:r>
    </w:p>
    <w:p w14:paraId="14F79CB9" w14:textId="77777777" w:rsidR="00AF6148" w:rsidRPr="002F2FDF" w:rsidRDefault="00AF6148"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7A44278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3ACE9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8C07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3 июня по 3 июля </w:t>
      </w:r>
      <w:r w:rsidR="00EC0E98" w:rsidRPr="002F2FDF">
        <w:rPr>
          <w:rFonts w:ascii="Times New Roman" w:hAnsi="Times New Roman" w:cs="Times New Roman"/>
          <w:color w:val="000000" w:themeColor="text1"/>
          <w:kern w:val="2"/>
          <w:sz w:val="16"/>
          <w:szCs w:val="16"/>
        </w:rPr>
        <w:t xml:space="preserve">(с 16 июня по 16 июля) </w:t>
      </w:r>
      <w:r w:rsidRPr="002F2FDF">
        <w:rPr>
          <w:rFonts w:ascii="Times New Roman" w:hAnsi="Times New Roman" w:cs="Times New Roman"/>
          <w:color w:val="000000" w:themeColor="text1"/>
          <w:kern w:val="2"/>
          <w:sz w:val="16"/>
          <w:szCs w:val="16"/>
        </w:rPr>
        <w:t>1917 г., то есть ровно за один месяц был спроектирован и изготовлен авиационный двигатель «Либерти». В США для разработки этого дви</w:t>
      </w:r>
      <w:r w:rsidRPr="002F2FDF">
        <w:rPr>
          <w:rFonts w:ascii="Times New Roman" w:hAnsi="Times New Roman" w:cs="Times New Roman"/>
          <w:color w:val="000000" w:themeColor="text1"/>
          <w:kern w:val="2"/>
          <w:sz w:val="16"/>
          <w:szCs w:val="16"/>
        </w:rPr>
        <w:softHyphen/>
        <w:t>гателя в 1917 г. привлекли лучших инженеров, которых буквально заперли в одной из ва</w:t>
      </w:r>
      <w:r w:rsidRPr="002F2FDF">
        <w:rPr>
          <w:rFonts w:ascii="Times New Roman" w:hAnsi="Times New Roman" w:cs="Times New Roman"/>
          <w:color w:val="000000" w:themeColor="text1"/>
          <w:kern w:val="2"/>
          <w:sz w:val="16"/>
          <w:szCs w:val="16"/>
        </w:rPr>
        <w:softHyphen/>
        <w:t>шингтонских гостиниц. Одновременно в по</w:t>
      </w:r>
      <w:r w:rsidRPr="002F2FDF">
        <w:rPr>
          <w:rFonts w:ascii="Times New Roman" w:hAnsi="Times New Roman" w:cs="Times New Roman"/>
          <w:color w:val="000000" w:themeColor="text1"/>
          <w:kern w:val="2"/>
          <w:sz w:val="16"/>
          <w:szCs w:val="16"/>
        </w:rPr>
        <w:softHyphen/>
        <w:t>мощь проектировщикам с различных пред</w:t>
      </w:r>
      <w:r w:rsidRPr="002F2FDF">
        <w:rPr>
          <w:rFonts w:ascii="Times New Roman" w:hAnsi="Times New Roman" w:cs="Times New Roman"/>
          <w:color w:val="000000" w:themeColor="text1"/>
          <w:kern w:val="2"/>
          <w:sz w:val="16"/>
          <w:szCs w:val="16"/>
        </w:rPr>
        <w:softHyphen/>
        <w:t>приятий Америки собрали наиболее опытных консультантов и чертежников. Работа велась практически круглосуточно. В конструкции и оборудовании двигателя использовались уже освоенные конструктив</w:t>
      </w:r>
      <w:r w:rsidRPr="002F2FDF">
        <w:rPr>
          <w:rFonts w:ascii="Times New Roman" w:hAnsi="Times New Roman" w:cs="Times New Roman"/>
          <w:color w:val="000000" w:themeColor="text1"/>
          <w:kern w:val="2"/>
          <w:sz w:val="16"/>
          <w:szCs w:val="16"/>
        </w:rPr>
        <w:softHyphen/>
        <w:t>ные элементы и технологические приемы, применявшиеся в автомобильной промыш</w:t>
      </w:r>
      <w:r w:rsidRPr="002F2FDF">
        <w:rPr>
          <w:rFonts w:ascii="Times New Roman" w:hAnsi="Times New Roman" w:cs="Times New Roman"/>
          <w:color w:val="000000" w:themeColor="text1"/>
          <w:kern w:val="2"/>
          <w:sz w:val="16"/>
          <w:szCs w:val="16"/>
        </w:rPr>
        <w:softHyphen/>
        <w:t>ленности того времени. При этом одним из ос</w:t>
      </w:r>
      <w:r w:rsidRPr="002F2FDF">
        <w:rPr>
          <w:rFonts w:ascii="Times New Roman" w:hAnsi="Times New Roman" w:cs="Times New Roman"/>
          <w:color w:val="000000" w:themeColor="text1"/>
          <w:kern w:val="2"/>
          <w:sz w:val="16"/>
          <w:szCs w:val="16"/>
        </w:rPr>
        <w:softHyphen/>
        <w:t>новных требований стала полная взаимозаме</w:t>
      </w:r>
      <w:r w:rsidRPr="002F2FDF">
        <w:rPr>
          <w:rFonts w:ascii="Times New Roman" w:hAnsi="Times New Roman" w:cs="Times New Roman"/>
          <w:color w:val="000000" w:themeColor="text1"/>
          <w:kern w:val="2"/>
          <w:sz w:val="16"/>
          <w:szCs w:val="16"/>
        </w:rPr>
        <w:softHyphen/>
        <w:t>няемость частей, позволявшая выпускать дви</w:t>
      </w:r>
      <w:r w:rsidRPr="002F2FDF">
        <w:rPr>
          <w:rFonts w:ascii="Times New Roman" w:hAnsi="Times New Roman" w:cs="Times New Roman"/>
          <w:color w:val="000000" w:themeColor="text1"/>
          <w:kern w:val="2"/>
          <w:sz w:val="16"/>
          <w:szCs w:val="16"/>
        </w:rPr>
        <w:softHyphen/>
        <w:t>гатель на различных предприятиях. Уже в 1917 г. массовое производство «Либерти» развернулось на заводах «Форд», «Паккард», «Линкольн»,«Кадиллак»,«Мармон» и «Трего». Позднее число предприятий, освоивших этот двигатель, возросло до 12. Всего в период 1917-1919 гг. американские заводы выпусти</w:t>
      </w:r>
      <w:r w:rsidRPr="002F2FDF">
        <w:rPr>
          <w:rFonts w:ascii="Times New Roman" w:hAnsi="Times New Roman" w:cs="Times New Roman"/>
          <w:color w:val="000000" w:themeColor="text1"/>
          <w:kern w:val="2"/>
          <w:sz w:val="16"/>
          <w:szCs w:val="16"/>
        </w:rPr>
        <w:softHyphen/>
        <w:t>ли более 20 тысяч экземпляров «Либерти», об</w:t>
      </w:r>
      <w:r w:rsidRPr="002F2FDF">
        <w:rPr>
          <w:rFonts w:ascii="Times New Roman" w:hAnsi="Times New Roman" w:cs="Times New Roman"/>
          <w:color w:val="000000" w:themeColor="text1"/>
          <w:kern w:val="2"/>
          <w:sz w:val="16"/>
          <w:szCs w:val="16"/>
        </w:rPr>
        <w:softHyphen/>
        <w:t>основанно считавшегося одним из самых мощ</w:t>
      </w:r>
      <w:r w:rsidRPr="002F2FDF">
        <w:rPr>
          <w:rFonts w:ascii="Times New Roman" w:hAnsi="Times New Roman" w:cs="Times New Roman"/>
          <w:color w:val="000000" w:themeColor="text1"/>
          <w:kern w:val="2"/>
          <w:sz w:val="16"/>
          <w:szCs w:val="16"/>
        </w:rPr>
        <w:softHyphen/>
        <w:t>ных и надежных авиационных двигателей своего времени (11974).</w:t>
      </w:r>
    </w:p>
    <w:p w14:paraId="060D77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A171A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59112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686B23" w14:textId="77777777" w:rsidR="00FA35C4" w:rsidRPr="00FB4F67" w:rsidRDefault="00FA35C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4 (17) июня 1917 г. переоборудованный корабль Г-36 (ИМ Г-36, ИМ-Г36 № 182 «Корабль Киевский 5-й») экз. № 36 совершил первый боевой вылет.</w:t>
      </w:r>
    </w:p>
    <w:p w14:paraId="3CE2D816" w14:textId="77777777" w:rsidR="00FA35C4" w:rsidRPr="00FB4F67" w:rsidRDefault="00FA35C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За июнь-июль 1917 г. корабль сделал 13 боевых вылетов – только он в это время работал в ЭВК интенсивно.</w:t>
      </w:r>
    </w:p>
    <w:p w14:paraId="65888A93" w14:textId="77777777" w:rsidR="00FA35C4" w:rsidRPr="00FB4F67" w:rsidRDefault="00FA35C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14.09.17 г. (27.0917 г. по н.ст.) корабль совершил последний боевой вылет.</w:t>
      </w:r>
    </w:p>
    <w:p w14:paraId="4239074A" w14:textId="77777777" w:rsidR="00FA35C4" w:rsidRPr="00FB4F67" w:rsidRDefault="00FA35C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Всего корабль совершил 42 боевых вылета (самое большое число из всех самолетов ИМ) и сбросил до 5232 кг (327 пудов) бомб, из них 21 вылет и 2560 кг – после доработки в Г-36.</w:t>
      </w:r>
    </w:p>
    <w:p w14:paraId="20D96C37" w14:textId="77777777" w:rsidR="00FA35C4" w:rsidRPr="00FB4F67" w:rsidRDefault="00FA35C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концу войны командир корабля – начальник 3-го боевого отряда ЭВК И.С. Башко был повышен в звании до полковника.</w:t>
      </w:r>
    </w:p>
    <w:p w14:paraId="501934A6" w14:textId="77777777" w:rsidR="00FA35C4" w:rsidRPr="00FB4F67" w:rsidRDefault="00FA35C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 день 25.10.17 г. (07.11.17 г.), когда состоялась Октябрьская революция, корабль оставался на базе отряда Станьково (23553).</w:t>
      </w:r>
    </w:p>
    <w:p w14:paraId="7205A6C2" w14:textId="77777777" w:rsidR="00FA35C4" w:rsidRPr="00FB4F67" w:rsidRDefault="00FA35C4" w:rsidP="0083075A">
      <w:pPr>
        <w:spacing w:after="0" w:line="240" w:lineRule="auto"/>
        <w:jc w:val="both"/>
        <w:rPr>
          <w:rFonts w:ascii="Times New Roman" w:hAnsi="Times New Roman" w:cs="Times New Roman"/>
          <w:color w:val="0070C0"/>
          <w:sz w:val="16"/>
          <w:szCs w:val="16"/>
        </w:rPr>
      </w:pPr>
    </w:p>
    <w:p w14:paraId="697F3F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июня 1917 летчик 2-го као 1БАГ прапорщик Крисанов заметил в рай</w:t>
      </w:r>
      <w:r w:rsidRPr="002F2FDF">
        <w:rPr>
          <w:rFonts w:ascii="Times New Roman" w:hAnsi="Times New Roman" w:cs="Times New Roman"/>
          <w:color w:val="000000" w:themeColor="text1"/>
          <w:kern w:val="2"/>
          <w:sz w:val="16"/>
          <w:szCs w:val="16"/>
        </w:rPr>
        <w:softHyphen/>
        <w:t>оне Заставчика самолет противника, догнал его у деревни Михайлувка и атаковал несколько раз. Расстреляв три патронных диска “Льюиса”, установленного над верхним крылом, лет</w:t>
      </w:r>
      <w:r w:rsidRPr="002F2FDF">
        <w:rPr>
          <w:rFonts w:ascii="Times New Roman" w:hAnsi="Times New Roman" w:cs="Times New Roman"/>
          <w:color w:val="000000" w:themeColor="text1"/>
          <w:kern w:val="2"/>
          <w:sz w:val="16"/>
          <w:szCs w:val="16"/>
        </w:rPr>
        <w:softHyphen/>
        <w:t>чик попытался снова перезарядить пу</w:t>
      </w:r>
      <w:r w:rsidRPr="002F2FDF">
        <w:rPr>
          <w:rFonts w:ascii="Times New Roman" w:hAnsi="Times New Roman" w:cs="Times New Roman"/>
          <w:color w:val="000000" w:themeColor="text1"/>
          <w:kern w:val="2"/>
          <w:sz w:val="16"/>
          <w:szCs w:val="16"/>
        </w:rPr>
        <w:softHyphen/>
        <w:t>лемет (а это была довольно сложная и рискованная процедура), но выронил последнюю обойму. Однако Крисанов атак не прекратил и, “... подходя к немцу метров на 50, стрелял в него из Маузера. Одни раз был атакован нем</w:t>
      </w:r>
      <w:r w:rsidRPr="002F2FDF">
        <w:rPr>
          <w:rFonts w:ascii="Times New Roman" w:hAnsi="Times New Roman" w:cs="Times New Roman"/>
          <w:color w:val="000000" w:themeColor="text1"/>
          <w:kern w:val="2"/>
          <w:sz w:val="16"/>
          <w:szCs w:val="16"/>
        </w:rPr>
        <w:softHyphen/>
        <w:t>цем сзади, он стрелял через винт. У Галича немец повернул к нам в тыл...” Тогда Крисанов пошел на та</w:t>
      </w:r>
      <w:r w:rsidRPr="002F2FDF">
        <w:rPr>
          <w:rFonts w:ascii="Times New Roman" w:hAnsi="Times New Roman" w:cs="Times New Roman"/>
          <w:color w:val="000000" w:themeColor="text1"/>
          <w:kern w:val="2"/>
          <w:sz w:val="16"/>
          <w:szCs w:val="16"/>
        </w:rPr>
        <w:softHyphen/>
        <w:t>ран. У немецкого летчика не выдержа</w:t>
      </w:r>
      <w:r w:rsidRPr="002F2FDF">
        <w:rPr>
          <w:rFonts w:ascii="Times New Roman" w:hAnsi="Times New Roman" w:cs="Times New Roman"/>
          <w:color w:val="000000" w:themeColor="text1"/>
          <w:kern w:val="2"/>
          <w:sz w:val="16"/>
          <w:szCs w:val="16"/>
        </w:rPr>
        <w:softHyphen/>
        <w:t>ли нервы, он отвернул и на полной скорости скрылся за линию фронта (3954).</w:t>
      </w:r>
    </w:p>
    <w:p w14:paraId="51C3F3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62AE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июня 1917 л 1 ио прап. Г.Гудков трижды атаковал немецкий самолет, сбил л-н. Противник стал уходить пикируя, но Гудков догнал и добил (3640).</w:t>
      </w:r>
    </w:p>
    <w:p w14:paraId="15CB70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9E5ED5" w14:textId="1E0C2BE9"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июня 1917 летчик 1-го истребительного отряда прапорщик Георгий Гудков трижды атакогэл немецкий самолет, убил его летчика/наблюдателя. Противник, пикируя, стал уходить к Митаге, но Гудков догнал ого и выпустил последнюю очередь. Самолет перешл в штопор и врезался в землю (Донесение командира 12 авиэдивизион</w:t>
      </w:r>
      <w:r w:rsidR="00683EB6">
        <w:rPr>
          <w:rFonts w:ascii="Times New Roman" w:hAnsi="Times New Roman" w:cs="Times New Roman"/>
          <w:color w:val="000000" w:themeColor="text1"/>
          <w:kern w:val="2"/>
          <w:sz w:val="16"/>
          <w:szCs w:val="16"/>
        </w:rPr>
        <w:t>а</w:t>
      </w:r>
      <w:r w:rsidRPr="002F2FDF">
        <w:rPr>
          <w:rFonts w:ascii="Times New Roman" w:hAnsi="Times New Roman" w:cs="Times New Roman"/>
          <w:color w:val="000000" w:themeColor="text1"/>
          <w:kern w:val="2"/>
          <w:sz w:val="16"/>
          <w:szCs w:val="16"/>
        </w:rPr>
        <w:t>,ЦГВИА.ф,2008, д. 852, л. 112).</w:t>
      </w:r>
    </w:p>
    <w:p w14:paraId="2EA8D67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3A3840" w14:textId="77777777" w:rsidR="00683EB6" w:rsidRPr="00815ED5" w:rsidRDefault="00683EB6"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4 </w:t>
      </w:r>
      <w:r>
        <w:rPr>
          <w:rFonts w:ascii="Times New Roman" w:hAnsi="Times New Roman" w:cs="Times New Roman"/>
          <w:color w:val="0070C0"/>
          <w:sz w:val="16"/>
          <w:szCs w:val="16"/>
        </w:rPr>
        <w:t xml:space="preserve">(17) </w:t>
      </w:r>
      <w:r w:rsidRPr="00815ED5">
        <w:rPr>
          <w:rFonts w:ascii="Times New Roman" w:hAnsi="Times New Roman" w:cs="Times New Roman"/>
          <w:color w:val="0070C0"/>
          <w:sz w:val="16"/>
          <w:szCs w:val="16"/>
        </w:rPr>
        <w:t xml:space="preserve">июня </w:t>
      </w:r>
      <w:r>
        <w:rPr>
          <w:rFonts w:ascii="Times New Roman" w:hAnsi="Times New Roman" w:cs="Times New Roman"/>
          <w:color w:val="0070C0"/>
          <w:sz w:val="16"/>
          <w:szCs w:val="16"/>
        </w:rPr>
        <w:t>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летчик </w:t>
      </w:r>
      <w:r>
        <w:rPr>
          <w:rFonts w:ascii="Times New Roman" w:hAnsi="Times New Roman" w:cs="Times New Roman"/>
          <w:color w:val="0070C0"/>
          <w:sz w:val="16"/>
          <w:szCs w:val="16"/>
        </w:rPr>
        <w:t>1</w:t>
      </w:r>
      <w:r w:rsidRPr="00815ED5">
        <w:rPr>
          <w:rFonts w:ascii="Times New Roman" w:hAnsi="Times New Roman" w:cs="Times New Roman"/>
          <w:color w:val="0070C0"/>
          <w:sz w:val="16"/>
          <w:szCs w:val="16"/>
        </w:rPr>
        <w:t>-го истребительного отряда прапорщик Георгий Г</w:t>
      </w:r>
      <w:r>
        <w:rPr>
          <w:rFonts w:ascii="Times New Roman" w:hAnsi="Times New Roman" w:cs="Times New Roman"/>
          <w:color w:val="0070C0"/>
          <w:sz w:val="16"/>
          <w:szCs w:val="16"/>
        </w:rPr>
        <w:t>уд</w:t>
      </w:r>
      <w:r w:rsidRPr="00815ED5">
        <w:rPr>
          <w:rFonts w:ascii="Times New Roman" w:hAnsi="Times New Roman" w:cs="Times New Roman"/>
          <w:color w:val="0070C0"/>
          <w:sz w:val="16"/>
          <w:szCs w:val="16"/>
        </w:rPr>
        <w:t>ков три</w:t>
      </w:r>
      <w:r>
        <w:rPr>
          <w:rFonts w:ascii="Times New Roman" w:hAnsi="Times New Roman" w:cs="Times New Roman"/>
          <w:color w:val="0070C0"/>
          <w:sz w:val="16"/>
          <w:szCs w:val="16"/>
        </w:rPr>
        <w:t>ж</w:t>
      </w:r>
      <w:r w:rsidRPr="00815ED5">
        <w:rPr>
          <w:rFonts w:ascii="Times New Roman" w:hAnsi="Times New Roman" w:cs="Times New Roman"/>
          <w:color w:val="0070C0"/>
          <w:sz w:val="16"/>
          <w:szCs w:val="16"/>
        </w:rPr>
        <w:t>ды атаковал немецкий самолет,</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убил его летнаба.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Противник</w:t>
      </w:r>
      <w:r>
        <w:rPr>
          <w:rFonts w:ascii="Times New Roman" w:hAnsi="Times New Roman" w:cs="Times New Roman"/>
          <w:color w:val="0070C0"/>
          <w:sz w:val="16"/>
          <w:szCs w:val="16"/>
        </w:rPr>
        <w:t xml:space="preserve"> пикируя</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стал уходить к Митаве,</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но Гудков догнал его и выпустил последнюю очередь. Само лет перешел в штопор и врезался в землю.</w:t>
      </w:r>
    </w:p>
    <w:p w14:paraId="218CAF64" w14:textId="77777777" w:rsidR="00683EB6" w:rsidRPr="00815ED5" w:rsidRDefault="00683EB6"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/Донесение командира 12 авиадивизиона,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ф</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2008,</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852,</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 112/</w:t>
      </w:r>
      <w:r>
        <w:rPr>
          <w:rFonts w:ascii="Times New Roman" w:hAnsi="Times New Roman" w:cs="Times New Roman"/>
          <w:color w:val="0070C0"/>
          <w:sz w:val="16"/>
          <w:szCs w:val="16"/>
        </w:rPr>
        <w:t xml:space="preserve"> (23320).</w:t>
      </w:r>
    </w:p>
    <w:p w14:paraId="58A58A6F" w14:textId="77777777" w:rsidR="00683EB6" w:rsidRDefault="00683EB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3858D7" w14:textId="2D315563"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июня 1917 при посадке погиб Е.Н.Крутень, лично сбивший 15 самолетов (271,72).</w:t>
      </w:r>
    </w:p>
    <w:p w14:paraId="72B500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другим данным 7 июня 1917.</w:t>
      </w:r>
    </w:p>
    <w:p w14:paraId="24D2CB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D6D6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июня 1917 года погиб при посадке с "сухими" баками Евграф Николаевич Крутень. К этому времени на его боевом счету числилось 16 самолетов врага. Пройдя в 50 - 100 м ниже противника, делал крутой боевой разворот и заходил ему хвост. Огонь открывал с дистанции 10 -15 м - практически "в упор" (3861).</w:t>
      </w:r>
    </w:p>
    <w:p w14:paraId="5DE752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59FF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июня 1917, совершая посадку без горючего на свой аэродром у деревни Плотычи возле Тарнополя, капитан Крутень на самолете "Ныопор-23" сделал разворот на небольшой высоте и, неожиданно потеряв скорость, разбился.</w:t>
      </w:r>
    </w:p>
    <w:p w14:paraId="2DB7F5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приказа: "Возвращаясь с боевого полета, разбился насмерть один из самых доблестных и отважных наших летчиков капитан Крутень".</w:t>
      </w:r>
    </w:p>
    <w:p w14:paraId="055224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газеты: "После великого Нестерова он был наиболее видным из боевых летчиков. Погибшему Крутеню шел всего лишь двадцать пятый год... Для характеристики боевой деятельности погибшего авиатора достаточно указать, что в одну последнюю неделю им было сбито три немецких самолета".</w:t>
      </w:r>
    </w:p>
    <w:p w14:paraId="3B3C72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воспоминаний корректировщика Брагина: "В одном из полетов капитан Крутень сбил на моих глазах самолет противника. Заметив немца, Крутень атаковал его сверху, со стороны солнца. Две-три коротких очереди из пулемета, и мы увидели, как немецкий самолет стал падать. Это была предпоследняя воздушная победа Крутеня. Через несколько дней, находясь на своем аэродроме (у деревни Денисув) вблизи Тарнополя, я услышал короткие пулеметные очереди. Бой шел в стороне от аэродрома на высоте 20002500 м. В синеве безоблачного неба, освещенного лучами летнего южного солнца, трудно было различить самолеты, ведущие воздушный бой.</w:t>
      </w:r>
    </w:p>
    <w:p w14:paraId="18F75E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Через час на аэродром пришла телефонограмма от капитана Крутеня с просьбой выслать в указанный им район самолет "Вуазен" с бидоном горючего и "мандолиной" (так назывался костыль самолета "Ньюпор-23" за его сходство с этим музыкальным инструментом). Кроме того, Крутень просил выслать санитара с перевязочными материалами. По приказанию командира авиаотряда я, несмотря на сильную болтанку, вылетел с санитаром в указанный район, где легко нашел два стоявших на земле самолета. Один из них - сбитый немецкий аэроплан, рядом - самолет Крутеня со сломанным костылем и без капли горючего.</w:t>
      </w:r>
    </w:p>
    <w:p w14:paraId="64E7EA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Пока санитар оказывал помощь раненым в бою немецким летчикам, мы с Крутенем произвели ремонт самолета. Сдав раненых в ближайшую воинскую часть, я вылетел на свой аэродром, а капитан Крутень, наполнив баки самолета бензином, вылетел в расположение своей истребительной группы".</w:t>
      </w:r>
    </w:p>
    <w:p w14:paraId="301B6F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момент гибели на счету выдающегося русского летчика Крутеня было официально зарегистрировано 15 (а по неподтвержденным данным - 20) сбитых самолетов противника, он был абсолютным лидером среди русских летчиков. Конечно же, ему было еще далеко до лидировавшего в этот момент и имевшего на счету 52 сбитых самолета противника Манфреда фон Рихтгофена. Однако, например, на счету второго (а по некоторым источникам - первого) по результативности аса Великой войны француза Рене Фонка на этот момент было всего 2 (5) зарегистрированных побед. Так что основная борьба за первенство была еще впереди.</w:t>
      </w:r>
    </w:p>
    <w:p w14:paraId="278189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Миф же об отсталости русских летчиков зиждется на трех основных предпосылках:</w:t>
      </w:r>
    </w:p>
    <w:p w14:paraId="2F7AD8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на пренебрежении русского командования к отечественным летчикам;</w:t>
      </w:r>
    </w:p>
    <w:p w14:paraId="16D943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на недостаточном количестве совершенной авиатехники;</w:t>
      </w:r>
    </w:p>
    <w:p w14:paraId="27F29C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на германской пропаганде.</w:t>
      </w:r>
    </w:p>
    <w:p w14:paraId="215DE5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Рихтгофен: "...нет ничего хуже, как совершить вынужденную посадку на чужой территории, особенно в России. Русские ненавидели летчиков, и если они их ловили, то убивали. Это был единственный риск войны в России, поскольку своих летчиков там не было... ну, скажем, почти не было".</w:t>
      </w:r>
    </w:p>
    <w:p w14:paraId="2A367A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Когда Рихтгофен был в России, он еще не был истребителем, а Крутень воевал на другом участке фронта. На Восточном фронте Крутеню не было равных. Лучшие летчики Германии и Австрии в схватках с ним неизменно терпели поражение. Так, австрийский ас обер-лейтенант Франк фон Линко-Кроуфорд (30 побед) трижды "скрещивал в воздухе шпаги" с Крутенем и, как отмечал сам австриец, каждый раз был вынужден "снижаться" (приземляться), спасая свою жизнь.</w:t>
      </w:r>
    </w:p>
    <w:p w14:paraId="070E46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Много приемов в арсенал воздушного боя внес Евграф Крутень. Его наиболее отработанные приемы - атака с преимуществом в высоте, проход со стороны солнца в 50-100 метрах ниже противника, крутой боевой разворот в хвост вражеского аэроплана. Огонь Крутень открывал с короткой дистанции - 15-20 метров.</w:t>
      </w:r>
    </w:p>
    <w:p w14:paraId="49C1C0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Он говорил: "Крайне необходимо первому обнаружить противника в воздухе, что даст возможность овладеть инициативой, а значит, принесет успех... "поймав" врага, летчик-истребитель не должен выпускать его из "захвата" до тех пор, пока не будет истрачен последний патрон, после чего полезно обозначить стремление таранить неприятельский аэроплан. Такой маневр часто вынуждает противника производить посадку на нашей территории" (11999).</w:t>
      </w:r>
    </w:p>
    <w:p w14:paraId="28F110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03B8C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0D52D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4119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июня 1917 прошла демонстрация матросов Кронштадта на Марсовом поле под лозунгами большевиков (3908,258).</w:t>
      </w:r>
    </w:p>
    <w:p w14:paraId="1580A0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94C6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июня 1917 Дума на секретном заседании проголосовала за немедленное наступление (2100).</w:t>
      </w:r>
    </w:p>
    <w:p w14:paraId="20853D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A4AA2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июня 1917 Временное правительство России декларировало введение земского самоуправления Сибири и Дальнего Востока (4962).</w:t>
      </w:r>
    </w:p>
    <w:p w14:paraId="7220DAE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7B60C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июня 1917 по инициативе Максима Горького в Петрограде создана Лига социального воспитания (4962).</w:t>
      </w:r>
    </w:p>
    <w:p w14:paraId="253C3D4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08CE27"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4 (17) июня</w:t>
      </w:r>
      <w:r w:rsidRPr="002F2FDF">
        <w:rPr>
          <w:rFonts w:ascii="Times New Roman" w:hAnsi="Times New Roman" w:cs="Times New Roman"/>
          <w:color w:val="000000" w:themeColor="text1"/>
          <w:kern w:val="2"/>
          <w:sz w:val="16"/>
          <w:szCs w:val="16"/>
        </w:rPr>
        <w:t xml:space="preserve"> в 1917 году закрывается III съезд партии эсеров в Москве (14912).</w:t>
      </w:r>
    </w:p>
    <w:p w14:paraId="53D96876" w14:textId="77777777" w:rsidR="00AF6148" w:rsidRPr="002F2FDF" w:rsidRDefault="00AF6148" w:rsidP="0083075A">
      <w:pPr>
        <w:spacing w:after="0" w:line="240" w:lineRule="auto"/>
        <w:jc w:val="both"/>
        <w:rPr>
          <w:rFonts w:ascii="Times New Roman" w:hAnsi="Times New Roman" w:cs="Times New Roman"/>
          <w:color w:val="000000" w:themeColor="text1"/>
          <w:kern w:val="2"/>
          <w:sz w:val="16"/>
          <w:szCs w:val="16"/>
        </w:rPr>
      </w:pPr>
    </w:p>
    <w:p w14:paraId="56895CD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EBBAC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D48E47" w14:textId="77463F49" w:rsidR="00807BD8" w:rsidRPr="002F2FDF" w:rsidRDefault="00807BD8"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В ночь на 4 (17) июня 1917 состоялся очередной рейд дирижаблей на Лондон. Его подробности и</w:t>
      </w:r>
      <w:r w:rsidR="00E52569">
        <w:rPr>
          <w:color w:val="000000" w:themeColor="text1"/>
          <w:sz w:val="16"/>
          <w:szCs w:val="16"/>
        </w:rPr>
        <w:t xml:space="preserve"> </w:t>
      </w:r>
      <w:hyperlink r:id="rId207" w:history="1">
        <w:r w:rsidRPr="002F2FDF">
          <w:rPr>
            <w:rStyle w:val="a5"/>
            <w:bCs/>
            <w:iCs/>
            <w:color w:val="000000" w:themeColor="text1"/>
            <w:sz w:val="16"/>
            <w:szCs w:val="16"/>
            <w:bdr w:val="none" w:sz="0" w:space="0" w:color="auto" w:frame="1"/>
          </w:rPr>
          <w:t>обстоятельства гибели L.48 изложены в отдельной статье</w:t>
        </w:r>
      </w:hyperlink>
      <w:r w:rsidRPr="002F2FDF">
        <w:rPr>
          <w:color w:val="000000" w:themeColor="text1"/>
          <w:sz w:val="16"/>
          <w:szCs w:val="16"/>
        </w:rPr>
        <w:t>, а здесь имеет смысл дополнить её только результатами действий L.42. Из-за неблагоприятного ветра капитан-лейтенант Дитрих так и не пошёл на столицу, зато очень удачно уложил одну из 300-кг бомб и буквально испепелил крупный флотский склад боеприпасов в Рамсгейте: англичане насчитали троих убитых, 16 раненых и 28 159 фунтов стерлингов ущерба.</w:t>
      </w:r>
    </w:p>
    <w:p w14:paraId="6562F80E" w14:textId="77777777" w:rsidR="00807BD8" w:rsidRPr="002F2FDF" w:rsidRDefault="00807BD8"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В своё время Штрассер спокойно воспринял гибель первых трёх «хайт-клаймеров», но ещё один, сбитый над Англией, да ещё и авиацией, вызвал у него шок. Через несколько дней лидер всё же пришёл в себя, и решил сыграть на опережение. 23 июня в письме командующему Флотом открытого моря адмиралу Рейнхарду Шееру (Reinhard Scheer) он высказал предположение, что сведения о низкой эффективности рейдов являются британской дезинформацией, рассчитанной именно на то, чтобы германское командование начало задумываться о прекращении налётов. В то же время, реальное отношение со стороны противника, по словам Штрассера, можно было понять по силам и средствам, затраченным на противодействие, и той радости, которую англичане демонстрировали при уничтожении дирижабля (19156).</w:t>
      </w:r>
    </w:p>
    <w:p w14:paraId="20D32F1E" w14:textId="77777777" w:rsidR="00807BD8" w:rsidRPr="002F2FDF" w:rsidRDefault="00807BD8" w:rsidP="0083075A">
      <w:pPr>
        <w:pStyle w:val="ae"/>
        <w:shd w:val="clear" w:color="auto" w:fill="FFFFFF"/>
        <w:spacing w:before="0" w:after="0"/>
        <w:jc w:val="both"/>
        <w:textAlignment w:val="baseline"/>
        <w:rPr>
          <w:color w:val="000000" w:themeColor="text1"/>
          <w:sz w:val="16"/>
          <w:szCs w:val="16"/>
        </w:rPr>
      </w:pPr>
    </w:p>
    <w:p w14:paraId="60C359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июня 1917 было осуществлено самое массированное применение итальянцами дирижаблей. Восемнадцать дирижаблей сбросили 12 т бомб на воинские цели в Пуле. Налеты продолжались в 1918 году, когда в июне и октябре дирижабли способствовали своими активными действиями наступлению итальянской армии. За время войны воздушные корабли совершили 235 боевых вылетов, сбросив 250 т бомб и 50 т листовок. Самым активным среди них стал М.11, который 53 раза поднимался навстречу смерти. Судьба была к нему благосклонна — корабль так и не был сбит (11324).</w:t>
      </w:r>
    </w:p>
    <w:p w14:paraId="4145E3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27EC2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июня 1917 во Фландрии впервые в первой мировой войне вступили в бой португальские части (4962).</w:t>
      </w:r>
    </w:p>
    <w:p w14:paraId="639BEC6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C95A39"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4 (17) июня</w:t>
      </w:r>
      <w:r w:rsidRPr="002F2FDF">
        <w:rPr>
          <w:rFonts w:ascii="Times New Roman" w:hAnsi="Times New Roman" w:cs="Times New Roman"/>
          <w:color w:val="000000" w:themeColor="text1"/>
          <w:kern w:val="2"/>
          <w:sz w:val="16"/>
          <w:szCs w:val="16"/>
        </w:rPr>
        <w:t xml:space="preserve"> в 1917 году британский король Георг V берет имя Виндзор (14925).</w:t>
      </w:r>
    </w:p>
    <w:p w14:paraId="1A9733FF"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p>
    <w:p w14:paraId="35B277B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июня 1917 в США состоялась премьера фильма Чарли Чаплина “Иммигрант” (4962).</w:t>
      </w:r>
    </w:p>
    <w:p w14:paraId="1AA72BD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492C0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42AAB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3EF5A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июня 1917 Дукс получил реальный заказ на 160 лл Телье, который был потом сокращен, но не выполнен даже в урезанном виде (2843,17).</w:t>
      </w:r>
    </w:p>
    <w:p w14:paraId="407CF8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5AB1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июня 1917 завод Дукс получил заказ № 6694 от УМА на 50 Теллье (9651,53).</w:t>
      </w:r>
    </w:p>
    <w:p w14:paraId="536498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4531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5 </w:t>
      </w:r>
      <w:r w:rsidR="00BA5C59" w:rsidRPr="002F2FDF">
        <w:rPr>
          <w:rFonts w:ascii="Times New Roman" w:hAnsi="Times New Roman" w:cs="Times New Roman"/>
          <w:color w:val="000000" w:themeColor="text1"/>
          <w:kern w:val="2"/>
          <w:sz w:val="16"/>
          <w:szCs w:val="16"/>
        </w:rPr>
        <w:t xml:space="preserve">(18) </w:t>
      </w:r>
      <w:r w:rsidRPr="002F2FDF">
        <w:rPr>
          <w:rFonts w:ascii="Times New Roman" w:hAnsi="Times New Roman" w:cs="Times New Roman"/>
          <w:color w:val="000000" w:themeColor="text1"/>
          <w:kern w:val="2"/>
          <w:sz w:val="16"/>
          <w:szCs w:val="16"/>
        </w:rPr>
        <w:t>июня 1917 г. "Дукс" наконец получил реальный наряд на 160 ле</w:t>
      </w:r>
      <w:r w:rsidRPr="002F2FDF">
        <w:rPr>
          <w:rFonts w:ascii="Times New Roman" w:hAnsi="Times New Roman" w:cs="Times New Roman"/>
          <w:color w:val="000000" w:themeColor="text1"/>
          <w:kern w:val="2"/>
          <w:sz w:val="16"/>
          <w:szCs w:val="16"/>
        </w:rPr>
        <w:softHyphen/>
        <w:t>тающих лодок "Теллье" который был потом сокращен, но не выполнен даже и в урезанном виде. Помимо этих машин, 3 августа компании поручили строительство 50 тренировочных "Ньюпоров" тип 10, 25 истребителей "Ньюпор" тип 17 и еще 10 истребителей "Спад" тип 7, под ротативные моторы "Рон" 110 л.с. и стационарные двигатели "Испано-Суиза" 150 л.с. Аппараты были изготовлены и часть из них успели принять до конца 1917 г. Таким обра</w:t>
      </w:r>
      <w:r w:rsidRPr="002F2FDF">
        <w:rPr>
          <w:rFonts w:ascii="Times New Roman" w:hAnsi="Times New Roman" w:cs="Times New Roman"/>
          <w:color w:val="000000" w:themeColor="text1"/>
          <w:kern w:val="2"/>
          <w:sz w:val="16"/>
          <w:szCs w:val="16"/>
        </w:rPr>
        <w:softHyphen/>
        <w:t>зом, "Дукс" все же вошел в список фирм, работавших на флот (2843).</w:t>
      </w:r>
    </w:p>
    <w:p w14:paraId="5A8EB21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2</w:t>
      </w:r>
    </w:p>
    <w:p w14:paraId="2F527E0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Некоторые статистические данные об авиационном отделении компании "Дукс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2F2FDF" w14:paraId="2C329557" w14:textId="77777777">
        <w:tc>
          <w:tcPr>
            <w:tcW w:w="4788" w:type="dxa"/>
            <w:tcBorders>
              <w:top w:val="single" w:sz="12" w:space="0" w:color="auto"/>
            </w:tcBorders>
            <w:shd w:val="clear" w:color="auto" w:fill="FFFFFF"/>
          </w:tcPr>
          <w:p w14:paraId="0AB8FD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 основания</w:t>
            </w:r>
          </w:p>
        </w:tc>
        <w:tc>
          <w:tcPr>
            <w:tcW w:w="4788" w:type="dxa"/>
            <w:tcBorders>
              <w:top w:val="single" w:sz="12" w:space="0" w:color="auto"/>
            </w:tcBorders>
            <w:shd w:val="clear" w:color="auto" w:fill="FFFFFF"/>
          </w:tcPr>
          <w:p w14:paraId="75D94B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1910</w:t>
            </w:r>
          </w:p>
        </w:tc>
      </w:tr>
      <w:tr w:rsidR="002B1C74" w:rsidRPr="002F2FDF" w14:paraId="44EBBB61" w14:textId="77777777">
        <w:tc>
          <w:tcPr>
            <w:tcW w:w="4788" w:type="dxa"/>
            <w:shd w:val="clear" w:color="auto" w:fill="FFFFFF"/>
          </w:tcPr>
          <w:p w14:paraId="2B97FF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строений к 1918 г., кв.м</w:t>
            </w:r>
          </w:p>
        </w:tc>
        <w:tc>
          <w:tcPr>
            <w:tcW w:w="4788" w:type="dxa"/>
            <w:shd w:val="clear" w:color="auto" w:fill="FFFFFF"/>
          </w:tcPr>
          <w:p w14:paraId="013763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36.472</w:t>
            </w:r>
          </w:p>
        </w:tc>
      </w:tr>
      <w:tr w:rsidR="002B1C74" w:rsidRPr="002F2FDF" w14:paraId="3BFEDCBF" w14:textId="77777777">
        <w:tc>
          <w:tcPr>
            <w:tcW w:w="4788" w:type="dxa"/>
            <w:shd w:val="clear" w:color="auto" w:fill="FFFFFF"/>
          </w:tcPr>
          <w:p w14:paraId="228054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территории, кв.м</w:t>
            </w:r>
          </w:p>
        </w:tc>
        <w:tc>
          <w:tcPr>
            <w:tcW w:w="4788" w:type="dxa"/>
            <w:shd w:val="clear" w:color="auto" w:fill="FFFFFF"/>
          </w:tcPr>
          <w:p w14:paraId="304401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59.950</w:t>
            </w:r>
          </w:p>
        </w:tc>
      </w:tr>
      <w:tr w:rsidR="002B1C74" w:rsidRPr="002F2FDF" w14:paraId="54EF0484" w14:textId="77777777">
        <w:tc>
          <w:tcPr>
            <w:tcW w:w="4788" w:type="dxa"/>
            <w:shd w:val="clear" w:color="auto" w:fill="FFFFFF"/>
          </w:tcPr>
          <w:p w14:paraId="3B6756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Мощность энергетических установок, л.с.</w:t>
            </w:r>
          </w:p>
        </w:tc>
        <w:tc>
          <w:tcPr>
            <w:tcW w:w="4788" w:type="dxa"/>
            <w:shd w:val="clear" w:color="auto" w:fill="FFFFFF"/>
          </w:tcPr>
          <w:p w14:paraId="06786C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480</w:t>
            </w:r>
          </w:p>
        </w:tc>
      </w:tr>
      <w:tr w:rsidR="002B1C74" w:rsidRPr="002F2FDF" w14:paraId="3CBED2E8" w14:textId="77777777">
        <w:tc>
          <w:tcPr>
            <w:tcW w:w="4788" w:type="dxa"/>
            <w:shd w:val="clear" w:color="auto" w:fill="FFFFFF"/>
          </w:tcPr>
          <w:p w14:paraId="708D0E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двигателей</w:t>
            </w:r>
          </w:p>
        </w:tc>
        <w:tc>
          <w:tcPr>
            <w:tcW w:w="4788" w:type="dxa"/>
            <w:shd w:val="clear" w:color="auto" w:fill="FFFFFF"/>
          </w:tcPr>
          <w:p w14:paraId="6E75EA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r>
      <w:tr w:rsidR="002B1C74" w:rsidRPr="002F2FDF" w14:paraId="557A295D" w14:textId="77777777">
        <w:tc>
          <w:tcPr>
            <w:tcW w:w="4788" w:type="dxa"/>
            <w:shd w:val="clear" w:color="auto" w:fill="FFFFFF"/>
          </w:tcPr>
          <w:p w14:paraId="7FADEC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станков</w:t>
            </w:r>
          </w:p>
        </w:tc>
        <w:tc>
          <w:tcPr>
            <w:tcW w:w="4788" w:type="dxa"/>
            <w:shd w:val="clear" w:color="auto" w:fill="FFFFFF"/>
          </w:tcPr>
          <w:p w14:paraId="4E66B6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195</w:t>
            </w:r>
          </w:p>
        </w:tc>
      </w:tr>
      <w:tr w:rsidR="002B1C74" w:rsidRPr="002F2FDF" w14:paraId="0C0DF820" w14:textId="77777777">
        <w:tc>
          <w:tcPr>
            <w:tcW w:w="4788" w:type="dxa"/>
            <w:shd w:val="clear" w:color="auto" w:fill="FFFFFF"/>
          </w:tcPr>
          <w:p w14:paraId="4A91C8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служащих в 1917</w:t>
            </w:r>
          </w:p>
        </w:tc>
        <w:tc>
          <w:tcPr>
            <w:tcW w:w="4788" w:type="dxa"/>
            <w:shd w:val="clear" w:color="auto" w:fill="FFFFFF"/>
          </w:tcPr>
          <w:p w14:paraId="55D5F4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300</w:t>
            </w:r>
          </w:p>
        </w:tc>
      </w:tr>
      <w:tr w:rsidR="002B1C74" w:rsidRPr="002F2FDF" w14:paraId="776DDB4A" w14:textId="77777777">
        <w:tc>
          <w:tcPr>
            <w:tcW w:w="4788" w:type="dxa"/>
            <w:shd w:val="clear" w:color="auto" w:fill="FFFFFF"/>
          </w:tcPr>
          <w:p w14:paraId="0EF49B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рабочих в</w:t>
            </w:r>
          </w:p>
        </w:tc>
        <w:tc>
          <w:tcPr>
            <w:tcW w:w="4788" w:type="dxa"/>
            <w:shd w:val="clear" w:color="auto" w:fill="FFFFFF"/>
          </w:tcPr>
          <w:p w14:paraId="590D89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3BFFAA16" w14:textId="77777777">
        <w:tc>
          <w:tcPr>
            <w:tcW w:w="4788" w:type="dxa"/>
            <w:shd w:val="clear" w:color="auto" w:fill="FFFFFF"/>
          </w:tcPr>
          <w:p w14:paraId="4C828C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 г.</w:t>
            </w:r>
          </w:p>
        </w:tc>
        <w:tc>
          <w:tcPr>
            <w:tcW w:w="4788" w:type="dxa"/>
            <w:shd w:val="clear" w:color="auto" w:fill="FFFFFF"/>
          </w:tcPr>
          <w:p w14:paraId="4744F8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725</w:t>
            </w:r>
          </w:p>
        </w:tc>
      </w:tr>
      <w:tr w:rsidR="002B1C74" w:rsidRPr="002F2FDF" w14:paraId="7A9F2ED5" w14:textId="77777777">
        <w:tc>
          <w:tcPr>
            <w:tcW w:w="4788" w:type="dxa"/>
            <w:shd w:val="clear" w:color="auto" w:fill="FFFFFF"/>
          </w:tcPr>
          <w:p w14:paraId="5A2CF3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w:t>
            </w:r>
          </w:p>
        </w:tc>
        <w:tc>
          <w:tcPr>
            <w:tcW w:w="4788" w:type="dxa"/>
            <w:shd w:val="clear" w:color="auto" w:fill="FFFFFF"/>
          </w:tcPr>
          <w:p w14:paraId="098CD3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850</w:t>
            </w:r>
          </w:p>
        </w:tc>
      </w:tr>
      <w:tr w:rsidR="002B1C74" w:rsidRPr="002F2FDF" w14:paraId="2A180C28" w14:textId="77777777">
        <w:tc>
          <w:tcPr>
            <w:tcW w:w="4788" w:type="dxa"/>
            <w:shd w:val="clear" w:color="auto" w:fill="FFFFFF"/>
          </w:tcPr>
          <w:p w14:paraId="47D4AA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4788" w:type="dxa"/>
            <w:shd w:val="clear" w:color="auto" w:fill="FFFFFF"/>
          </w:tcPr>
          <w:p w14:paraId="44A933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1575</w:t>
            </w:r>
          </w:p>
        </w:tc>
      </w:tr>
      <w:tr w:rsidR="002B1C74" w:rsidRPr="002F2FDF" w14:paraId="0288CC2E" w14:textId="77777777">
        <w:tc>
          <w:tcPr>
            <w:tcW w:w="4788" w:type="dxa"/>
            <w:shd w:val="clear" w:color="auto" w:fill="FFFFFF"/>
          </w:tcPr>
          <w:p w14:paraId="779728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4788" w:type="dxa"/>
            <w:shd w:val="clear" w:color="auto" w:fill="FFFFFF"/>
          </w:tcPr>
          <w:p w14:paraId="7CEF47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2120</w:t>
            </w:r>
          </w:p>
        </w:tc>
      </w:tr>
      <w:tr w:rsidR="002B1C74" w:rsidRPr="002F2FDF" w14:paraId="73EF5F00" w14:textId="77777777">
        <w:tc>
          <w:tcPr>
            <w:tcW w:w="4788" w:type="dxa"/>
            <w:shd w:val="clear" w:color="auto" w:fill="FFFFFF"/>
          </w:tcPr>
          <w:p w14:paraId="550DB8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сданных аппаратов за период</w:t>
            </w:r>
          </w:p>
        </w:tc>
        <w:tc>
          <w:tcPr>
            <w:tcW w:w="4788" w:type="dxa"/>
            <w:shd w:val="clear" w:color="auto" w:fill="FFFFFF"/>
          </w:tcPr>
          <w:p w14:paraId="0A72DF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407DC1F3" w14:textId="77777777">
        <w:tc>
          <w:tcPr>
            <w:tcW w:w="4788" w:type="dxa"/>
            <w:shd w:val="clear" w:color="auto" w:fill="FFFFFF"/>
          </w:tcPr>
          <w:p w14:paraId="411C85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1910-1913 г.г.</w:t>
            </w:r>
          </w:p>
        </w:tc>
        <w:tc>
          <w:tcPr>
            <w:tcW w:w="4788" w:type="dxa"/>
            <w:shd w:val="clear" w:color="auto" w:fill="FFFFFF"/>
          </w:tcPr>
          <w:p w14:paraId="7E2730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137</w:t>
            </w:r>
          </w:p>
        </w:tc>
      </w:tr>
      <w:tr w:rsidR="002B1C74" w:rsidRPr="002F2FDF" w14:paraId="23378D0D" w14:textId="77777777">
        <w:tc>
          <w:tcPr>
            <w:tcW w:w="4788" w:type="dxa"/>
            <w:tcBorders>
              <w:bottom w:val="single" w:sz="12" w:space="0" w:color="auto"/>
            </w:tcBorders>
            <w:shd w:val="clear" w:color="auto" w:fill="FFFFFF"/>
          </w:tcPr>
          <w:p w14:paraId="33865A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1914-1917 г.г.</w:t>
            </w:r>
          </w:p>
        </w:tc>
        <w:tc>
          <w:tcPr>
            <w:tcW w:w="4788" w:type="dxa"/>
            <w:tcBorders>
              <w:bottom w:val="single" w:sz="12" w:space="0" w:color="auto"/>
            </w:tcBorders>
            <w:shd w:val="clear" w:color="auto" w:fill="FFFFFF"/>
          </w:tcPr>
          <w:p w14:paraId="444B98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1569 (2843).</w:t>
            </w:r>
          </w:p>
        </w:tc>
      </w:tr>
    </w:tbl>
    <w:p w14:paraId="252AFF5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92A1B7" w14:textId="79730726" w:rsidR="00C472CB" w:rsidRPr="002F2FDF" w:rsidRDefault="00C472CB" w:rsidP="0083075A">
      <w:pPr>
        <w:shd w:val="clear" w:color="auto" w:fill="FFFFFF"/>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(18) июня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Меллер получил наряд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160 летающих лодок «Теллье» Т.3. 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реальном его выполнении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политической обстановке, наступившей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России 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лету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речи быть не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могло. Заказ сначала значительно сократили, но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таком урезанном виде он</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мог быть выполнен. 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тому</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же моторы «Испано-Сюиза»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200 л. с.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нужном количестве от</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союзников так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поступили (15219).</w:t>
      </w:r>
    </w:p>
    <w:p w14:paraId="7D52E602" w14:textId="77777777" w:rsidR="00C472CB" w:rsidRPr="002F2FDF" w:rsidRDefault="00C472CB"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704ED6BB" w14:textId="77777777" w:rsidR="00C472CB" w:rsidRPr="002F2FDF" w:rsidRDefault="00C472CB"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5 (18) июня 1917 г. Меллер получил наряд на 160 летающих лодок «Теллье» Т.З. О реальном его выполнении в политической обстановке, наступившей В Россми к лету 1917 г.. и речи быть не могло. Заказ сначала значительно сократили, но и в таком урезанном виде он не мог быть выполнен. К тому же моторы «Испано- Сюиза» в 200 ах. в нужном количестве от союзников так и не поступили.</w:t>
      </w:r>
    </w:p>
    <w:p w14:paraId="1B90B574" w14:textId="77777777" w:rsidR="00C472CB" w:rsidRPr="002F2FDF" w:rsidRDefault="00C472CB"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 xml:space="preserve">Когда «Дукс» готовился приступить к лицензионному выпуску лодок «Теллье» Т.З, при освоении производства применили методы, похожие на современные способы крупносерийной постройки. Полученныё1Г вьтущенные свои чертежи выполнили в натуральную" величину, на все детали изготовили проверочные шаблоны. Стали внедрять методы агрегатной сборки самолета: цеха работали по замкнутому циклу, выпуская законченную продукцию в виде отдельных агрегатов машин, поступавших </w:t>
      </w:r>
      <w:r w:rsidRPr="002F2FDF">
        <w:rPr>
          <w:b w:val="0"/>
          <w:color w:val="000000" w:themeColor="text1"/>
          <w:kern w:val="2"/>
          <w:sz w:val="16"/>
          <w:szCs w:val="16"/>
        </w:rPr>
        <w:lastRenderedPageBreak/>
        <w:t>затем на общую сборку. Еще с начала войны широкомасштабно стали применять ацетиленкислородную сварку основных узлов самолета, пайку медью и серебряным припоем. Не знаю, насколько здесь пригодился опыт АЛ Докучаева, «собственноручно» освоившего эти технологии еще в 1910 г.</w:t>
      </w:r>
    </w:p>
    <w:p w14:paraId="198DDDD0" w14:textId="77777777" w:rsidR="00C472CB" w:rsidRPr="002F2FDF" w:rsidRDefault="00C472CB"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Большое значение имел выбор древесины, технологии ее сушки и обработки. На лонжероны крыльев и фюзеляжа шла, в основном, недефицитная сосна и ясень, хотя это несколько увеличивало вес конструкции. На заводе построили сушильные камеры больших размеров, организовали всесторонние испытания древесины, освоили и начали широко применять новые способы склейки. Повышение долговечности деревянных деталей достигалось обработкой специальными лаками, обмоткой перкалем с последующей лакировкой. Еще на Московской выставке 1912 г. «Дукс» продемонстрировал французский нитроцеллюлозный аэролак «L’Emalite» («Эмалит») и одним из первых стал широко применять его для покрытия полотняной обтяжки крыльев. Несмотря на значительную дороговизну, эмалит обеспечивал очень высокое качество натяжки полотна на каркас крыльев, не допуская провисания.</w:t>
      </w:r>
    </w:p>
    <w:p w14:paraId="728330A7" w14:textId="77777777" w:rsidR="00C472CB" w:rsidRPr="002F2FDF" w:rsidRDefault="00C472CB"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В итоге на «Дуксе в 1917 г. ограничились производством 20 корпусов и наборов крыльев. Любопытно, что весь этот задел пролежал на заводе все годы гражданской войны и, счастливо избежав участи попасть на «растопку», в 1920 г. был передан в Петроград на завод «Красный летчик» (бывший РБВЗ). Там собрали около 10 лодок, но уже первую из них разбили во время испытаний весной 1921 г. в Ораниенбауме. Часть собранных лодок передали в авиашколы в качестве натурных экспонатов, некоторые использовали в качестве мишеней для испытаний шрапнельных снарядов противосамолетных артиллерийских установок на Ржевском артиллерийском полигоне в начале 20-х годов. В авиаотрядах самолет не применялся. (15464).</w:t>
      </w:r>
    </w:p>
    <w:p w14:paraId="2DEE6A6F" w14:textId="77777777" w:rsidR="00C472CB" w:rsidRPr="002F2FDF" w:rsidRDefault="00C472CB" w:rsidP="0083075A">
      <w:pPr>
        <w:pStyle w:val="2"/>
        <w:spacing w:before="0" w:beforeAutospacing="0" w:after="0" w:afterAutospacing="0"/>
        <w:jc w:val="both"/>
        <w:rPr>
          <w:b w:val="0"/>
          <w:color w:val="000000" w:themeColor="text1"/>
          <w:kern w:val="2"/>
          <w:sz w:val="16"/>
          <w:szCs w:val="16"/>
        </w:rPr>
      </w:pPr>
    </w:p>
    <w:p w14:paraId="2E75F03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D8DBA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4B2E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5-10 (18-23) июня 1917 был конфликт анархо-коммунистов, захвативших типографию газеты Русская воля, с Временным правительством и были забастовки и выступления матросов в поддержку анархистов (3908,258).</w:t>
      </w:r>
    </w:p>
    <w:p w14:paraId="7C37BC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521A3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июня 1917 русскими анархистами в Петрограде захвачена редакция газеты “Русская воля” (4962).</w:t>
      </w:r>
    </w:p>
    <w:p w14:paraId="45C4E75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EB6D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июня 1917 в Петрограде была крупная политическая демонстрация (66,13) - в поддержку наступления, но под большевистскими лозунгами (1348,85).</w:t>
      </w:r>
    </w:p>
    <w:p w14:paraId="3BD70F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84C5F8" w14:textId="77777777" w:rsidR="00AF28C3" w:rsidRPr="002F2FDF" w:rsidRDefault="00AF28C3" w:rsidP="0083075A">
      <w:pPr>
        <w:pStyle w:val="ae"/>
        <w:spacing w:before="0" w:after="0"/>
        <w:jc w:val="both"/>
        <w:rPr>
          <w:color w:val="000000" w:themeColor="text1"/>
          <w:kern w:val="2"/>
          <w:sz w:val="16"/>
          <w:szCs w:val="16"/>
        </w:rPr>
      </w:pPr>
      <w:r w:rsidRPr="002F2FDF">
        <w:rPr>
          <w:color w:val="000000" w:themeColor="text1"/>
          <w:kern w:val="2"/>
          <w:sz w:val="16"/>
          <w:szCs w:val="16"/>
        </w:rPr>
        <w:t>5 (18) июня 1917 в Петрограде по призыву съезда советов была проведена огромная демонстрация, на которую собралось до 400 тысяч человек. Основными ее лозунгами были «Долой войну!», «Долой десять министров-капиталистов!», «Вся власть Советам!» (17045).</w:t>
      </w:r>
    </w:p>
    <w:p w14:paraId="34AB86EC" w14:textId="77777777" w:rsidR="00AF28C3" w:rsidRPr="002F2FDF" w:rsidRDefault="00AF28C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63DE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июня 1917 А.Керенский обратился к солдатам (3481).</w:t>
      </w:r>
    </w:p>
    <w:p w14:paraId="196295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2046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Между 5 (18) и 11 (24) июня 1917. Из журнала заседаний Временного правительства № 99, 1917 г.</w:t>
      </w:r>
    </w:p>
    <w:p w14:paraId="4F37BC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 временном запрещении денежных переводов за границу </w:t>
      </w:r>
    </w:p>
    <w:p w14:paraId="28537A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I. Запрещаются денежные переводы за границу... и принятие на себя каких-либо обязательств, влекущих за собою упомянутые взносы и переводы, поскольку на то не будет изъявлено согласие Министерством финансов... </w:t>
      </w:r>
    </w:p>
    <w:p w14:paraId="259966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 За нарушение предусмотренного отделом I запрещения виновные подвергаются: первый раз — денежному взысканию в размере не свыше суммы перевода или взноса, во второй раз — сверх указанного денежного взыскания — заключению в тюрьме на время не свыше одного года и четырех месяцев... (11652).</w:t>
      </w:r>
    </w:p>
    <w:p w14:paraId="0905D5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D83A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Между 5 (18) и 11 (24) июня 1917. Из журнала заседаний Временного правительства № 103, 1917 г.</w:t>
      </w:r>
    </w:p>
    <w:p w14:paraId="654A98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 форме присяги вступающих в состав граждан Российского государства </w:t>
      </w:r>
    </w:p>
    <w:p w14:paraId="79C839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Для христиан, иудеев и магометан: "Я (имя и фамилия), вступая в состав граждан Российской державы, обещаюсь и клянусь пред Всемогущим Богом и своею совестью хранить свято и ненарушимо верность России, не зная отныне иного, кроме нее, отечества, исполнять неуклонно все обязанности российского гражданина и всемерно радеть о благе Российского государства, не щадя для него ни сил, ни достояния, ни даже, если потребуется, и самой жизни. В исполнении сей клятвы да поможет мне Бог"... (11652).</w:t>
      </w:r>
    </w:p>
    <w:p w14:paraId="115B00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31817B" w14:textId="77777777" w:rsidR="00612111" w:rsidRPr="002F2FDF" w:rsidRDefault="00612111" w:rsidP="0083075A">
      <w:pPr>
        <w:pStyle w:val="ae"/>
        <w:spacing w:before="0" w:after="0"/>
        <w:jc w:val="both"/>
        <w:rPr>
          <w:color w:val="000000" w:themeColor="text1"/>
          <w:kern w:val="2"/>
          <w:sz w:val="16"/>
          <w:szCs w:val="16"/>
        </w:rPr>
      </w:pPr>
      <w:r w:rsidRPr="002F2FDF">
        <w:rPr>
          <w:color w:val="000000" w:themeColor="text1"/>
          <w:kern w:val="2"/>
          <w:sz w:val="16"/>
          <w:szCs w:val="16"/>
        </w:rPr>
        <w:t>5 (18) июня 1917 открылся II Всеукраинский войсковой съезд, проведение которого Временное правительство пыталось запретить, так как на нем обсуждался вопрос о создании уже национальных украинских воинских частей (17045).</w:t>
      </w:r>
    </w:p>
    <w:p w14:paraId="65413E79" w14:textId="77777777" w:rsidR="00612111" w:rsidRPr="002F2FDF" w:rsidRDefault="0061211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068C4A" w14:textId="77777777" w:rsidR="00AF28C3"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D40AEAC" w14:textId="77777777" w:rsidR="00AF28C3" w:rsidRPr="002F2FDF" w:rsidRDefault="00AF28C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79FABD" w14:textId="77777777" w:rsidR="00AF28C3" w:rsidRPr="002F2FDF" w:rsidRDefault="00AF28C3" w:rsidP="0083075A">
      <w:pPr>
        <w:pStyle w:val="ae"/>
        <w:spacing w:before="0" w:after="0"/>
        <w:jc w:val="both"/>
        <w:rPr>
          <w:color w:val="000000" w:themeColor="text1"/>
          <w:kern w:val="2"/>
          <w:sz w:val="16"/>
          <w:szCs w:val="16"/>
        </w:rPr>
      </w:pPr>
      <w:r w:rsidRPr="002F2FDF">
        <w:rPr>
          <w:color w:val="000000" w:themeColor="text1"/>
          <w:kern w:val="2"/>
          <w:sz w:val="16"/>
          <w:szCs w:val="16"/>
        </w:rPr>
        <w:t>5 (18) июня 1917 германская артиллерия обстреляла французский город Реймс, в результате чего были многочисленные жертвы среди мирного населения (17045).</w:t>
      </w:r>
    </w:p>
    <w:p w14:paraId="2395010C" w14:textId="77777777" w:rsidR="00AF28C3" w:rsidRPr="002F2FDF" w:rsidRDefault="00AF28C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5601C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C8EEF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8CDA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июня 1917 подпор. Г.Э.Эрдели, наблюдавший за производством на заводе С.С.Щетинина, доносил в ГУК, что в Севастопольском отделении завода прошли испытания измененного М-11 с более мощным мотором (2807,56).</w:t>
      </w:r>
    </w:p>
    <w:p w14:paraId="10BA2F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C6745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июня 1917 г. наблю</w:t>
      </w:r>
      <w:r w:rsidRPr="002F2FDF">
        <w:rPr>
          <w:rFonts w:ascii="Times New Roman" w:hAnsi="Times New Roman" w:cs="Times New Roman"/>
          <w:color w:val="000000" w:themeColor="text1"/>
          <w:kern w:val="2"/>
          <w:sz w:val="16"/>
          <w:szCs w:val="16"/>
        </w:rPr>
        <w:softHyphen/>
        <w:t>дающий за производством офицер подпоручик Г. Я. Эрдели доносил в ГУК о том, что в Севастопольском отделении завода прошли испытания измененного аппарата данного типа, во время которых ненагруженная машина оторвалась от воды за 6 се</w:t>
      </w:r>
      <w:r w:rsidRPr="002F2FDF">
        <w:rPr>
          <w:rFonts w:ascii="Times New Roman" w:hAnsi="Times New Roman" w:cs="Times New Roman"/>
          <w:color w:val="000000" w:themeColor="text1"/>
          <w:kern w:val="2"/>
          <w:sz w:val="16"/>
          <w:szCs w:val="16"/>
        </w:rPr>
        <w:softHyphen/>
        <w:t>кунд, а со стандартной нагрузкой взлетела через 10 секунд и набрала высоту 1250 м за 4,5 минуты; отрыв с полоски земли (!) совер</w:t>
      </w:r>
      <w:r w:rsidRPr="002F2FDF">
        <w:rPr>
          <w:rFonts w:ascii="Times New Roman" w:hAnsi="Times New Roman" w:cs="Times New Roman"/>
          <w:color w:val="000000" w:themeColor="text1"/>
          <w:kern w:val="2"/>
          <w:sz w:val="16"/>
          <w:szCs w:val="16"/>
        </w:rPr>
        <w:softHyphen/>
        <w:t>шился за 12 секунд. К сожалению, тип двига</w:t>
      </w:r>
      <w:r w:rsidRPr="002F2FDF">
        <w:rPr>
          <w:rFonts w:ascii="Times New Roman" w:hAnsi="Times New Roman" w:cs="Times New Roman"/>
          <w:color w:val="000000" w:themeColor="text1"/>
          <w:kern w:val="2"/>
          <w:sz w:val="16"/>
          <w:szCs w:val="16"/>
        </w:rPr>
        <w:softHyphen/>
        <w:t>теля, использованного во время опытов, не указывался—возможно, аппарат летал с “Ро-ном” 125 л. с.; также не исключено, что речь в рапорте шла об упомянутой в книге В. Б. Шаврова летающей лодке с верхним крылом, увеличенным по размаху и хорде, и с нижним, уменьшенным по хорде. Скорее, все-таки, Эрдели сообщал о М-11 с более мощным “Ро-ном”, так как по Шаврову гидроаэроплан с модифицированной А. Н. Седельниковым бипланной коробкой опробовал авиационный унтер-офицер А. И. Томашевский, служив</w:t>
      </w:r>
      <w:r w:rsidRPr="002F2FDF">
        <w:rPr>
          <w:rFonts w:ascii="Times New Roman" w:hAnsi="Times New Roman" w:cs="Times New Roman"/>
          <w:color w:val="000000" w:themeColor="text1"/>
          <w:kern w:val="2"/>
          <w:sz w:val="16"/>
          <w:szCs w:val="16"/>
        </w:rPr>
        <w:softHyphen/>
        <w:t>ший на Балтике и в школе морской авиации (2807).</w:t>
      </w:r>
    </w:p>
    <w:p w14:paraId="456967F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C7854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C5158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ABC1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июня 1917 на аэродроме близ Тернополя, возвращаясь с боевого полета, разбился командир 2-й боевой авиагруппы кап. Е.Н.Крутень (438,360) на Ньюпоре и вероятно был ранен (5150, 7).</w:t>
      </w:r>
    </w:p>
    <w:p w14:paraId="3327DF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B2D28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июня 1917 года gогиб Крутень. Возвращаясь с боевого задания на аэродром 2-й боевой истребитель</w:t>
      </w:r>
      <w:r w:rsidRPr="002F2FDF">
        <w:rPr>
          <w:rFonts w:ascii="Times New Roman" w:hAnsi="Times New Roman" w:cs="Times New Roman"/>
          <w:color w:val="000000" w:themeColor="text1"/>
          <w:kern w:val="2"/>
          <w:sz w:val="16"/>
          <w:szCs w:val="16"/>
        </w:rPr>
        <w:softHyphen/>
        <w:t>ной авиагруппы, расположенный у села Плотыча под Тернополем, самолет Крутеня свалился в штопор с малой высоты и врезался в землю. Похоронили от</w:t>
      </w:r>
      <w:r w:rsidRPr="002F2FDF">
        <w:rPr>
          <w:rFonts w:ascii="Times New Roman" w:hAnsi="Times New Roman" w:cs="Times New Roman"/>
          <w:color w:val="000000" w:themeColor="text1"/>
          <w:kern w:val="2"/>
          <w:sz w:val="16"/>
          <w:szCs w:val="16"/>
        </w:rPr>
        <w:softHyphen/>
        <w:t>важного летчика в Киеве у стен Никольского воен</w:t>
      </w:r>
      <w:r w:rsidRPr="002F2FDF">
        <w:rPr>
          <w:rFonts w:ascii="Times New Roman" w:hAnsi="Times New Roman" w:cs="Times New Roman"/>
          <w:color w:val="000000" w:themeColor="text1"/>
          <w:kern w:val="2"/>
          <w:sz w:val="16"/>
          <w:szCs w:val="16"/>
        </w:rPr>
        <w:softHyphen/>
        <w:t>ного собора, а в 30-е годы его прах перенесли на Лукьяновское кладбище (553).</w:t>
      </w:r>
    </w:p>
    <w:p w14:paraId="364369E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4262C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июня 1917 на аэродроме близ Тернополя, возвращаясь с бое</w:t>
      </w:r>
      <w:r w:rsidRPr="002F2FDF">
        <w:rPr>
          <w:rFonts w:ascii="Times New Roman" w:hAnsi="Times New Roman" w:cs="Times New Roman"/>
          <w:color w:val="000000" w:themeColor="text1"/>
          <w:kern w:val="2"/>
          <w:sz w:val="16"/>
          <w:szCs w:val="16"/>
        </w:rPr>
        <w:softHyphen/>
        <w:t>вого полота, разбился выдающийся летчик-истребитель, коман</w:t>
      </w:r>
      <w:r w:rsidRPr="002F2FDF">
        <w:rPr>
          <w:rFonts w:ascii="Times New Roman" w:hAnsi="Times New Roman" w:cs="Times New Roman"/>
          <w:color w:val="000000" w:themeColor="text1"/>
          <w:kern w:val="2"/>
          <w:sz w:val="16"/>
          <w:szCs w:val="16"/>
        </w:rPr>
        <w:softHyphen/>
        <w:t>дир 2-й боевой авиагруппы капитан Евграф Николаевич Крутень (родился в 1890 г.), До авиации Крутень - артиллерийский офи</w:t>
      </w:r>
      <w:r w:rsidRPr="002F2FDF">
        <w:rPr>
          <w:rFonts w:ascii="Times New Roman" w:hAnsi="Times New Roman" w:cs="Times New Roman"/>
          <w:color w:val="000000" w:themeColor="text1"/>
          <w:kern w:val="2"/>
          <w:sz w:val="16"/>
          <w:szCs w:val="16"/>
        </w:rPr>
        <w:softHyphen/>
        <w:t>цер. В 1914 году окончил Гатчинскую авиашколу, после чего на фронте проявил себя отважным бойцом и способным команди</w:t>
      </w:r>
      <w:r w:rsidRPr="002F2FDF">
        <w:rPr>
          <w:rFonts w:ascii="Times New Roman" w:hAnsi="Times New Roman" w:cs="Times New Roman"/>
          <w:color w:val="000000" w:themeColor="text1"/>
          <w:kern w:val="2"/>
          <w:sz w:val="16"/>
          <w:szCs w:val="16"/>
        </w:rPr>
        <w:softHyphen/>
        <w:t>ром. Как только стали появляться самолеты-истребители, Кру</w:t>
      </w:r>
      <w:r w:rsidRPr="002F2FDF">
        <w:rPr>
          <w:rFonts w:ascii="Times New Roman" w:hAnsi="Times New Roman" w:cs="Times New Roman"/>
          <w:color w:val="000000" w:themeColor="text1"/>
          <w:kern w:val="2"/>
          <w:sz w:val="16"/>
          <w:szCs w:val="16"/>
        </w:rPr>
        <w:softHyphen/>
        <w:t>тонь добивался создания истребительных отрядов, а затем и авиагрупп, а добившись этого, стал командиром этих частой, Крутонь сбил свыше десятка неприятельских самолетов. Из них б официально за ним засчитанных над своей территорией, Кру</w:t>
      </w:r>
      <w:r w:rsidRPr="002F2FDF">
        <w:rPr>
          <w:rFonts w:ascii="Times New Roman" w:hAnsi="Times New Roman" w:cs="Times New Roman"/>
          <w:color w:val="000000" w:themeColor="text1"/>
          <w:kern w:val="2"/>
          <w:sz w:val="16"/>
          <w:szCs w:val="16"/>
        </w:rPr>
        <w:softHyphen/>
        <w:t>тонь - один из основоположников тактики воздушного боя и автор ряда брошюр по военному применению авиации. Гибель его - большая утрата для военной авиации. (Приложение № I к разведсводке штаба Юго-Западного фронта от 7 июня 1917 г. № 238).</w:t>
      </w:r>
    </w:p>
    <w:p w14:paraId="34D3B43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C79573" w14:textId="77777777" w:rsidR="00095EC7" w:rsidRPr="00815ED5" w:rsidRDefault="00095EC7"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б </w:t>
      </w:r>
      <w:r>
        <w:rPr>
          <w:rFonts w:ascii="Times New Roman" w:hAnsi="Times New Roman" w:cs="Times New Roman"/>
          <w:color w:val="0070C0"/>
          <w:sz w:val="16"/>
          <w:szCs w:val="16"/>
        </w:rPr>
        <w:t xml:space="preserve">(19) </w:t>
      </w:r>
      <w:r w:rsidRPr="00815ED5">
        <w:rPr>
          <w:rFonts w:ascii="Times New Roman" w:hAnsi="Times New Roman" w:cs="Times New Roman"/>
          <w:color w:val="0070C0"/>
          <w:sz w:val="16"/>
          <w:szCs w:val="16"/>
        </w:rPr>
        <w:t>июня</w:t>
      </w:r>
      <w:r>
        <w:rPr>
          <w:rFonts w:ascii="Times New Roman" w:hAnsi="Times New Roman" w:cs="Times New Roman"/>
          <w:color w:val="0070C0"/>
          <w:sz w:val="16"/>
          <w:szCs w:val="16"/>
        </w:rPr>
        <w:t xml:space="preserve">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w:t>
      </w:r>
      <w:r w:rsidRPr="00815ED5">
        <w:rPr>
          <w:rFonts w:ascii="Times New Roman" w:hAnsi="Times New Roman" w:cs="Times New Roman"/>
          <w:color w:val="0070C0"/>
          <w:sz w:val="16"/>
          <w:szCs w:val="16"/>
        </w:rPr>
        <w:t>а аэродроме близ Тернополя,</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возвращаясь с боевого полета, разбился выдающийся летчик-истребитель,</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командир 2-й боевой авиагруппы капитан Евграф Николаевич Крутень /род.1890/.</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До авиации Крутень - артиллерийский офицер, в </w:t>
      </w:r>
      <w:r>
        <w:rPr>
          <w:rFonts w:ascii="Times New Roman" w:hAnsi="Times New Roman" w:cs="Times New Roman"/>
          <w:color w:val="0070C0"/>
          <w:sz w:val="16"/>
          <w:szCs w:val="16"/>
        </w:rPr>
        <w:t>191</w:t>
      </w:r>
      <w:r w:rsidRPr="00815ED5">
        <w:rPr>
          <w:rFonts w:ascii="Times New Roman" w:hAnsi="Times New Roman" w:cs="Times New Roman"/>
          <w:color w:val="0070C0"/>
          <w:sz w:val="16"/>
          <w:szCs w:val="16"/>
        </w:rPr>
        <w:t>4 году окончил гатчинскую авиашколу,</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ле чего убыл на фронт,</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где проявил себя отважным бойцом и способным командиром.</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Как только стали появляться самолеты-истребители,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Крутень добивался создания истребительных отрядов,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 затем и авиагрупп,</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 до</w:t>
      </w:r>
      <w:r w:rsidRPr="00815ED5">
        <w:rPr>
          <w:rFonts w:ascii="Times New Roman" w:hAnsi="Times New Roman" w:cs="Times New Roman"/>
          <w:color w:val="0070C0"/>
          <w:sz w:val="16"/>
          <w:szCs w:val="16"/>
        </w:rPr>
        <w:softHyphen/>
        <w:t>бившись это го, становится командиром этих частей.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Крутень сбил свыше десятка неприятельских самолетов,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из коих </w:t>
      </w:r>
      <w:r>
        <w:rPr>
          <w:rFonts w:ascii="Times New Roman" w:hAnsi="Times New Roman" w:cs="Times New Roman"/>
          <w:color w:val="0070C0"/>
          <w:sz w:val="16"/>
          <w:szCs w:val="16"/>
        </w:rPr>
        <w:t>6</w:t>
      </w:r>
      <w:r w:rsidRPr="00815ED5">
        <w:rPr>
          <w:rFonts w:ascii="Times New Roman" w:hAnsi="Times New Roman" w:cs="Times New Roman"/>
          <w:color w:val="0070C0"/>
          <w:sz w:val="16"/>
          <w:szCs w:val="16"/>
        </w:rPr>
        <w:t xml:space="preserve"> над своей территорией, официально за ним засчитанных.</w:t>
      </w:r>
      <w:r>
        <w:rPr>
          <w:rFonts w:ascii="Times New Roman" w:hAnsi="Times New Roman" w:cs="Times New Roman"/>
          <w:color w:val="0070C0"/>
          <w:sz w:val="16"/>
          <w:szCs w:val="16"/>
        </w:rPr>
        <w:t xml:space="preserve"> К</w:t>
      </w:r>
      <w:r w:rsidRPr="00815ED5">
        <w:rPr>
          <w:rFonts w:ascii="Times New Roman" w:hAnsi="Times New Roman" w:cs="Times New Roman"/>
          <w:color w:val="0070C0"/>
          <w:sz w:val="16"/>
          <w:szCs w:val="16"/>
        </w:rPr>
        <w:t>рутень - один из основоположников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тактики воздушного боя и автор ряда брошюр по военному применению авиации.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Гибель его - большая утрата для военной авиации.</w:t>
      </w:r>
    </w:p>
    <w:p w14:paraId="68BD1DE3" w14:textId="77777777" w:rsidR="00095EC7" w:rsidRDefault="00095EC7"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/Приложение </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1 к разведсводке штаба ю</w:t>
      </w:r>
      <w:r>
        <w:rPr>
          <w:rFonts w:ascii="Times New Roman" w:hAnsi="Times New Roman" w:cs="Times New Roman"/>
          <w:color w:val="0070C0"/>
          <w:sz w:val="16"/>
          <w:szCs w:val="16"/>
        </w:rPr>
        <w:t>го</w:t>
      </w:r>
      <w:r w:rsidRPr="00815ED5">
        <w:rPr>
          <w:rFonts w:ascii="Times New Roman" w:hAnsi="Times New Roman" w:cs="Times New Roman"/>
          <w:color w:val="0070C0"/>
          <w:sz w:val="16"/>
          <w:szCs w:val="16"/>
        </w:rPr>
        <w:t>-зап.</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фронта от 7.5.17 </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238/</w:t>
      </w:r>
      <w:r>
        <w:rPr>
          <w:rFonts w:ascii="Times New Roman" w:hAnsi="Times New Roman" w:cs="Times New Roman"/>
          <w:color w:val="0070C0"/>
          <w:sz w:val="16"/>
          <w:szCs w:val="16"/>
        </w:rPr>
        <w:t xml:space="preserve"> (23320).</w:t>
      </w:r>
    </w:p>
    <w:p w14:paraId="3A3087C0" w14:textId="77777777" w:rsidR="00095EC7" w:rsidRDefault="00095EC7" w:rsidP="0083075A">
      <w:pPr>
        <w:spacing w:after="0" w:line="240" w:lineRule="auto"/>
        <w:jc w:val="both"/>
        <w:rPr>
          <w:rFonts w:ascii="Times New Roman" w:hAnsi="Times New Roman" w:cs="Times New Roman"/>
          <w:color w:val="0070C0"/>
          <w:sz w:val="16"/>
          <w:szCs w:val="16"/>
        </w:rPr>
      </w:pPr>
    </w:p>
    <w:p w14:paraId="78F65131" w14:textId="77777777" w:rsidR="00A65C94" w:rsidRPr="00FB4F67" w:rsidRDefault="00A65C9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 (</w:t>
      </w:r>
      <w:r w:rsidRPr="00FB4F67">
        <w:rPr>
          <w:rFonts w:ascii="Times New Roman" w:hAnsi="Times New Roman" w:cs="Times New Roman"/>
          <w:color w:val="0070C0"/>
          <w:sz w:val="16"/>
          <w:szCs w:val="16"/>
        </w:rPr>
        <w:t>19</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1917 г., возвращаясь из очередного боевого полета, разбился насмерть на подлете к своему аэродрому (в районе г. Тарнополь) капитан Е.Н. Крутень. По мнению его сослуживцев, Евграф Николаевич в последние дни до трагической катастрофы был вынужден работать на грани человеческих возможностей, вылетая на перехват самолетов противника по несколько раз в сутки (23405).</w:t>
      </w:r>
    </w:p>
    <w:p w14:paraId="1C95C382" w14:textId="77777777" w:rsidR="00A65C94" w:rsidRPr="00FB4F67" w:rsidRDefault="00A65C94" w:rsidP="0083075A">
      <w:pPr>
        <w:spacing w:after="0" w:line="240" w:lineRule="auto"/>
        <w:jc w:val="both"/>
        <w:rPr>
          <w:rFonts w:ascii="Times New Roman" w:hAnsi="Times New Roman" w:cs="Times New Roman"/>
          <w:color w:val="0070C0"/>
          <w:sz w:val="16"/>
          <w:szCs w:val="16"/>
        </w:rPr>
      </w:pPr>
    </w:p>
    <w:p w14:paraId="387A0BB3" w14:textId="77777777" w:rsidR="00A65C94" w:rsidRPr="00FB4F67" w:rsidRDefault="00A65C9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 (</w:t>
      </w:r>
      <w:r w:rsidRPr="00FB4F67">
        <w:rPr>
          <w:rFonts w:ascii="Times New Roman" w:hAnsi="Times New Roman" w:cs="Times New Roman"/>
          <w:color w:val="0070C0"/>
          <w:sz w:val="16"/>
          <w:szCs w:val="16"/>
        </w:rPr>
        <w:t>19</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1917 г. в Балтийском море российский гидроавианосец «Орлица» получил приказ перебраться в Раумо на финском побережье для создания авиабазы в Мантилуото с несколькими летающими лодками М-9 (23525).</w:t>
      </w:r>
    </w:p>
    <w:p w14:paraId="3D1F91B8" w14:textId="77777777" w:rsidR="00A65C94" w:rsidRPr="00FB4F67" w:rsidRDefault="00A65C94" w:rsidP="0083075A">
      <w:pPr>
        <w:spacing w:after="0" w:line="240" w:lineRule="auto"/>
        <w:jc w:val="both"/>
        <w:rPr>
          <w:rFonts w:ascii="Times New Roman" w:hAnsi="Times New Roman" w:cs="Times New Roman"/>
          <w:color w:val="0070C0"/>
          <w:sz w:val="16"/>
          <w:szCs w:val="16"/>
        </w:rPr>
      </w:pPr>
    </w:p>
    <w:p w14:paraId="38B6B3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июня 1917 по предложению военнослужащей Марии Бочкаревой был сформирован женский батальон смерти. Потом появился еще один и всего было 3 тыс. В январе 1918 формально распустили) (3481).</w:t>
      </w:r>
    </w:p>
    <w:p w14:paraId="541D5E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BD2F7B" w14:textId="77777777" w:rsidR="009042DF" w:rsidRPr="002F2FDF" w:rsidRDefault="009042DF" w:rsidP="0083075A">
      <w:pPr>
        <w:spacing w:after="0" w:line="240" w:lineRule="auto"/>
        <w:jc w:val="both"/>
        <w:rPr>
          <w:rFonts w:ascii="Times New Roman" w:hAnsi="Times New Roman" w:cs="Times New Roman"/>
          <w:bCs/>
          <w:color w:val="000000" w:themeColor="text1"/>
          <w:kern w:val="2"/>
          <w:sz w:val="16"/>
          <w:szCs w:val="16"/>
        </w:rPr>
      </w:pPr>
      <w:r w:rsidRPr="002F2FDF">
        <w:rPr>
          <w:rFonts w:ascii="Times New Roman" w:hAnsi="Times New Roman" w:cs="Times New Roman"/>
          <w:bCs/>
          <w:color w:val="000000" w:themeColor="text1"/>
          <w:kern w:val="2"/>
          <w:sz w:val="16"/>
          <w:szCs w:val="16"/>
        </w:rPr>
        <w:t xml:space="preserve">6 (19) июня </w:t>
      </w:r>
      <w:r w:rsidRPr="002F2FDF">
        <w:rPr>
          <w:rFonts w:ascii="Times New Roman" w:hAnsi="Times New Roman" w:cs="Times New Roman"/>
          <w:color w:val="000000" w:themeColor="text1"/>
          <w:kern w:val="2"/>
          <w:sz w:val="16"/>
          <w:szCs w:val="16"/>
        </w:rPr>
        <w:t>в 1917 году по предложению военнослужащей Марии Бочкаревой сформирован женский "батальон смерти". Верховный главнокомандующий Алексей Брусилов к этой идее отнесся настороженно. Он заметил, что подобного формирования нет еще нигде в мире. "Надеетесь ли вы на женщин?" - спросил он Бочкареву. "Ручаюсь, что мой батальон не осрамит России", - отвечала командир. В обращении Московского женского союза говорилось: "Ни один народ в мире не доходил до такого позора, чтобы вместо мужчин-дезертиров шли на фронт слабые женщины. Женская рать будет тою живою водой, которая заставит очнуться русского богатыря". Вместо кокарды на фуражках женщины носили изображение черепа со скрещенными костями. Всего было сформировано 2 женских пехотных "батальона смерти" и несколько команд. В них вошли более 3 тысяч женщин.</w:t>
      </w:r>
    </w:p>
    <w:p w14:paraId="45D34305"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Один из этих батальонов оказался в числе последних защитников Временного правительства в дни Октябрьского переворота в Петрограде. В январе 1918 года женские батальоны формально распустили, но многие их участницы продолжили службу в частях белогвардейских армий (14927).</w:t>
      </w:r>
    </w:p>
    <w:p w14:paraId="54BEFFA4"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p>
    <w:p w14:paraId="51FA8DC2" w14:textId="540F6E71" w:rsidR="00A65C94" w:rsidRPr="00FB4F67" w:rsidRDefault="00A65C9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 (</w:t>
      </w:r>
      <w:r w:rsidRPr="00FB4F67">
        <w:rPr>
          <w:rFonts w:ascii="Times New Roman" w:hAnsi="Times New Roman" w:cs="Times New Roman"/>
          <w:color w:val="0070C0"/>
          <w:sz w:val="16"/>
          <w:szCs w:val="16"/>
        </w:rPr>
        <w:t>19</w:t>
      </w:r>
      <w:r>
        <w:rPr>
          <w:rFonts w:ascii="Times New Roman" w:hAnsi="Times New Roman" w:cs="Times New Roman"/>
          <w:color w:val="0070C0"/>
          <w:sz w:val="16"/>
          <w:szCs w:val="16"/>
        </w:rPr>
        <w:t xml:space="preserve">) </w:t>
      </w:r>
      <w:r w:rsidRPr="00FB4F67">
        <w:rPr>
          <w:rFonts w:ascii="Times New Roman" w:hAnsi="Times New Roman" w:cs="Times New Roman"/>
          <w:color w:val="0070C0"/>
          <w:sz w:val="16"/>
          <w:szCs w:val="16"/>
        </w:rPr>
        <w:t>июня 1917 г. Севастопольский Совет отстранил вице-адмирала А. В. Колчака от должности командующего Черноморским флотом. В ответ он бросил свой Георгиевский золотой меч в море. Временное правительство отправило его в Америку в августе во главе морской миссии (23525).</w:t>
      </w:r>
    </w:p>
    <w:p w14:paraId="141D1A3B" w14:textId="77777777" w:rsidR="00A65C94" w:rsidRPr="00FB4F67" w:rsidRDefault="00A65C94" w:rsidP="0083075A">
      <w:pPr>
        <w:spacing w:after="0" w:line="240" w:lineRule="auto"/>
        <w:jc w:val="both"/>
        <w:rPr>
          <w:rFonts w:ascii="Times New Roman" w:hAnsi="Times New Roman" w:cs="Times New Roman"/>
          <w:color w:val="0070C0"/>
          <w:sz w:val="16"/>
          <w:szCs w:val="16"/>
        </w:rPr>
      </w:pPr>
    </w:p>
    <w:p w14:paraId="3E6214D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июня 1917 собрание севастопольских матросов приняло решение отстранить от должности командующего Черноморского флота адмирала А. Колчака (4962).</w:t>
      </w:r>
    </w:p>
    <w:p w14:paraId="53C642E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01D76E" w14:textId="77777777" w:rsidR="00D34991" w:rsidRPr="002F2FDF" w:rsidRDefault="00D34991"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июня 1917 г. адмирал Колчак швыряет в море саблю — награду за оборону Порт-Артура от японцевю</w:t>
      </w:r>
    </w:p>
    <w:p w14:paraId="79B2A1A6" w14:textId="77777777" w:rsidR="004734F2" w:rsidRPr="002F2FDF" w:rsidRDefault="00D34991" w:rsidP="0083075A">
      <w:pPr>
        <w:tabs>
          <w:tab w:val="left" w:pos="11199"/>
        </w:tabs>
        <w:autoSpaceDE w:val="0"/>
        <w:autoSpaceDN w:val="0"/>
        <w:adjustRightInd w:val="0"/>
        <w:spacing w:after="0" w:line="240" w:lineRule="auto"/>
        <w:jc w:val="both"/>
        <w:rPr>
          <w:rFonts w:ascii="Times New Roman" w:hAnsi="Times New Roman" w:cs="Times New Roman"/>
          <w:bCs/>
          <w:color w:val="000000" w:themeColor="text1"/>
          <w:kern w:val="2"/>
          <w:sz w:val="16"/>
          <w:szCs w:val="16"/>
        </w:rPr>
      </w:pPr>
      <w:r w:rsidRPr="002F2FDF">
        <w:rPr>
          <w:rFonts w:ascii="Times New Roman" w:hAnsi="Times New Roman" w:cs="Times New Roman"/>
          <w:bCs/>
          <w:color w:val="000000" w:themeColor="text1"/>
          <w:kern w:val="2"/>
          <w:sz w:val="16"/>
          <w:szCs w:val="16"/>
        </w:rPr>
        <w:t>Экстренное делегатское собрание 6 (</w:t>
      </w:r>
      <w:r w:rsidRPr="002F2FDF">
        <w:rPr>
          <w:rFonts w:ascii="Times New Roman" w:hAnsi="Times New Roman" w:cs="Times New Roman"/>
          <w:color w:val="000000" w:themeColor="text1"/>
          <w:kern w:val="2"/>
          <w:sz w:val="16"/>
          <w:szCs w:val="16"/>
        </w:rPr>
        <w:t>19) июня 1917 г.</w:t>
      </w:r>
      <w:r w:rsidRPr="002F2FDF">
        <w:rPr>
          <w:rFonts w:ascii="Times New Roman" w:hAnsi="Times New Roman" w:cs="Times New Roman"/>
          <w:bCs/>
          <w:color w:val="000000" w:themeColor="text1"/>
          <w:kern w:val="2"/>
          <w:sz w:val="16"/>
          <w:szCs w:val="16"/>
        </w:rPr>
        <w:t xml:space="preserve"> приняло постановление о сдаче оружия офицерами. В судовые и полковые комитеты сразу же была послана соответствующая телефонограмма. Затем встал вопрос о Колчаке и Смирнове. Большинство ораторов настаивало на их аресте. Этого же требовали на митинге, который с утра шумел в полуэкипаже. Делегатское собрание после долгих словопрений постановило отстранить обоих от должности. «Мы признаём мировую известность и колоссальные военные заслуги нашего адмирала, – говорил один из делегатов, – но он всё-таки не нужен. Нам нужен прапорщик, который командовал бы флотом и исполнял все наши требования». Вопрос же об аресте решили передать на рассмотрение судовых комитетов. Командующим избрали адмирала Лукина и для работы с ним назначили комиссию из 10 человек. Во избежание кровопролития Колчак призвал офицеров без сопротивления сдать оружие. Разоружение прошло более или менее спокойно, хотя один офицер в знак протеста застрелился. Должен был сдать личное оружие и Колчак. Когда пришло это время, он собрал на палубе команду «Георгия Победоносца» и произнёс речь. Он сказал, что офицеры всегда хранили верность правительству, выполняли его приказания, а потому разоружение является тяжким и незаслуженным для них оскорблением, которое он не может не принять и на свой счёт. «С этого момента я командовать вами не желаю и сейчас же об этом телеграфирую правительству», – с этими словами он спустился в свою каюту. Это был критический момент. Из речи Колчака судовой комитет понял, что командующий сдавать оружие не собирается. Смирнов, обеспокоенный за его жизнь, связался со Ставкой и попросил Бубнова устроить срочный вызов для Колчака в Могилёв или Петроград. Бубнов тотчас же позвонил в Петроград, но Керенского на месте не оказалось. Между тем </w:t>
      </w:r>
      <w:r w:rsidRPr="002F2FDF">
        <w:rPr>
          <w:rFonts w:ascii="Times New Roman" w:hAnsi="Times New Roman" w:cs="Times New Roman"/>
          <w:bCs/>
          <w:iCs/>
          <w:color w:val="000000" w:themeColor="text1"/>
          <w:kern w:val="2"/>
          <w:sz w:val="16"/>
          <w:szCs w:val="16"/>
        </w:rPr>
        <w:t>Колчак, в состоянии крайнего возбуждения</w:t>
      </w:r>
      <w:r w:rsidRPr="002F2FDF">
        <w:rPr>
          <w:rFonts w:ascii="Times New Roman" w:hAnsi="Times New Roman" w:cs="Times New Roman"/>
          <w:bCs/>
          <w:color w:val="000000" w:themeColor="text1"/>
          <w:kern w:val="2"/>
          <w:sz w:val="16"/>
          <w:szCs w:val="16"/>
        </w:rPr>
        <w:t>, ходил из угла в угол своей каюты, обдумывая решение. Наконец, он взял свою золотую саблю, пожалованную за Порт-Артур, выбежал вверх и крикнул слонявшимся по палубе матросам: «</w:t>
      </w:r>
      <w:r w:rsidRPr="002F2FDF">
        <w:rPr>
          <w:rFonts w:ascii="Times New Roman" w:hAnsi="Times New Roman" w:cs="Times New Roman"/>
          <w:bCs/>
          <w:iCs/>
          <w:color w:val="000000" w:themeColor="text1"/>
          <w:kern w:val="2"/>
          <w:sz w:val="16"/>
          <w:szCs w:val="16"/>
        </w:rPr>
        <w:t>Японцы, наши враги – и те оставили мне оружие. Не достанется оно и вам!</w:t>
      </w:r>
      <w:r w:rsidRPr="002F2FDF">
        <w:rPr>
          <w:rFonts w:ascii="Times New Roman" w:hAnsi="Times New Roman" w:cs="Times New Roman"/>
          <w:bCs/>
          <w:color w:val="000000" w:themeColor="text1"/>
          <w:kern w:val="2"/>
          <w:sz w:val="16"/>
          <w:szCs w:val="16"/>
        </w:rPr>
        <w:t>» С этими словами он швырнул саблю в море и вернулся в каюту</w:t>
      </w:r>
      <w:r w:rsidR="004734F2" w:rsidRPr="002F2FDF">
        <w:rPr>
          <w:rFonts w:ascii="Times New Roman" w:hAnsi="Times New Roman" w:cs="Times New Roman"/>
          <w:bCs/>
          <w:color w:val="000000" w:themeColor="text1"/>
          <w:kern w:val="2"/>
          <w:sz w:val="16"/>
          <w:szCs w:val="16"/>
        </w:rPr>
        <w:t>.</w:t>
      </w:r>
    </w:p>
    <w:p w14:paraId="54F065E6" w14:textId="77777777" w:rsidR="00D34991" w:rsidRPr="002F2FDF" w:rsidRDefault="004734F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По описанию В.В.Князева, в прошлом чинного адъютанта А.В.Колчака, матросы достали со дна саблю и вернули ее владельцу. В конце июня в Петрограде Союзом офицеров армии и флота Колчаку за мужество и патриотизм вручено «оружие храбрых» — золотой кортик и адрес в знак глубокого к нему уважения</w:t>
      </w:r>
      <w:r w:rsidR="00D34991" w:rsidRPr="002F2FDF">
        <w:rPr>
          <w:rFonts w:ascii="Times New Roman" w:hAnsi="Times New Roman" w:cs="Times New Roman"/>
          <w:color w:val="000000" w:themeColor="text1"/>
          <w:kern w:val="2"/>
          <w:sz w:val="16"/>
          <w:szCs w:val="16"/>
        </w:rPr>
        <w:t xml:space="preserve"> (17326).</w:t>
      </w:r>
    </w:p>
    <w:p w14:paraId="2582077E" w14:textId="77777777" w:rsidR="00D34991" w:rsidRPr="002F2FDF" w:rsidRDefault="00D34991"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662593" w14:textId="77777777" w:rsidR="00945C28"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r w:rsidR="00945C28" w:rsidRPr="002F2FDF">
        <w:rPr>
          <w:rFonts w:ascii="Times New Roman" w:hAnsi="Times New Roman" w:cs="Times New Roman"/>
          <w:iCs/>
          <w:color w:val="000000" w:themeColor="text1"/>
          <w:kern w:val="2"/>
          <w:sz w:val="16"/>
          <w:szCs w:val="16"/>
        </w:rPr>
        <w:t>:</w:t>
      </w:r>
    </w:p>
    <w:p w14:paraId="51BC1FBD" w14:textId="77777777" w:rsidR="00945C28" w:rsidRPr="002F2FDF" w:rsidRDefault="00945C2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1A7D5D" w14:textId="34F94758" w:rsidR="00945C28" w:rsidRPr="002F2FDF" w:rsidRDefault="00945C28" w:rsidP="0083075A">
      <w:pPr>
        <w:pStyle w:val="ae"/>
        <w:spacing w:before="0" w:after="0"/>
        <w:jc w:val="both"/>
        <w:rPr>
          <w:color w:val="000000" w:themeColor="text1"/>
          <w:kern w:val="2"/>
          <w:sz w:val="16"/>
          <w:szCs w:val="16"/>
        </w:rPr>
      </w:pPr>
      <w:r w:rsidRPr="002F2FDF">
        <w:rPr>
          <w:color w:val="000000" w:themeColor="text1"/>
          <w:kern w:val="2"/>
          <w:sz w:val="16"/>
          <w:szCs w:val="16"/>
        </w:rPr>
        <w:t>6 (19) июня 1917 ЦК партии обсудил возможность вывода на улицы Петрограда 40</w:t>
      </w:r>
      <w:r w:rsidR="00E52569">
        <w:rPr>
          <w:color w:val="000000" w:themeColor="text1"/>
          <w:kern w:val="2"/>
          <w:sz w:val="16"/>
          <w:szCs w:val="16"/>
        </w:rPr>
        <w:t xml:space="preserve"> </w:t>
      </w:r>
      <w:r w:rsidRPr="002F2FDF">
        <w:rPr>
          <w:color w:val="000000" w:themeColor="text1"/>
          <w:kern w:val="2"/>
          <w:sz w:val="16"/>
          <w:szCs w:val="16"/>
        </w:rPr>
        <w:t>000 вооруженных солдат и красногвардейцев 23 июня. Член РСДРП, «меньшевик» Николай Суханов так описывал планы демонстрации, полученные им от председателя Военной организации партии Владимира Невского: «Ударным пунктом манифестации, назначенной на 10 июня (по старому стилю — РП), был Мариинский дворец. Туда должны были отправиться рабочие отряды и верные большевикам полки. Особо назначенные лица должны были вызвать из дворца членов кабинета и предложить им вопросы. Особо назначенные группы должны были, во время министерских речей, выражать «народное недовольство» и поднимать настроение масс. При надлежащей температуре настроений Вр.Правительство должно было быть тут же арестовано. Столица, конечно, немедленно должна была на это реагировать. И в зависимости от реакции, Центральный Комитет большевиков, под тем или названием, должен был объявить себя властью». Этот план не встретил одобрения всей партии. На совещании 19 июня против Ленина в очередной раз выступил член ЦК РСДРП(б) Лев Каменев, упрекнув его в «авантюризме» (17045).</w:t>
      </w:r>
    </w:p>
    <w:p w14:paraId="48481B3F" w14:textId="77777777" w:rsidR="00945C28" w:rsidRPr="002F2FDF" w:rsidRDefault="00945C2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4A1E26" w14:textId="77777777" w:rsidR="0073216F"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63735E9C" w14:textId="77777777" w:rsidR="0073216F" w:rsidRPr="002F2FDF" w:rsidRDefault="0073216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017976" w14:textId="77777777" w:rsidR="0073216F" w:rsidRPr="002F2FDF" w:rsidRDefault="0073216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 xml:space="preserve">6 </w:t>
      </w:r>
      <w:r w:rsidR="00657464" w:rsidRPr="002F2FDF">
        <w:rPr>
          <w:rFonts w:ascii="Times New Roman" w:hAnsi="Times New Roman" w:cs="Times New Roman"/>
          <w:iCs/>
          <w:color w:val="000000" w:themeColor="text1"/>
          <w:kern w:val="2"/>
          <w:sz w:val="16"/>
          <w:szCs w:val="16"/>
        </w:rPr>
        <w:t xml:space="preserve">(19) </w:t>
      </w:r>
      <w:r w:rsidRPr="002F2FDF">
        <w:rPr>
          <w:rFonts w:ascii="Times New Roman" w:hAnsi="Times New Roman" w:cs="Times New Roman"/>
          <w:iCs/>
          <w:color w:val="000000" w:themeColor="text1"/>
          <w:kern w:val="2"/>
          <w:sz w:val="16"/>
          <w:szCs w:val="16"/>
        </w:rPr>
        <w:t>июня 1917</w:t>
      </w:r>
      <w:r w:rsidRPr="002F2FDF">
        <w:rPr>
          <w:rFonts w:ascii="Times New Roman" w:hAnsi="Times New Roman" w:cs="Times New Roman"/>
          <w:color w:val="000000" w:themeColor="text1"/>
          <w:kern w:val="2"/>
          <w:sz w:val="16"/>
          <w:szCs w:val="16"/>
        </w:rPr>
        <w:t xml:space="preserve"> г. Письмо и. д. британского генерального консула в Москве Локкарта Московскому губернскому комиссару А. А. Эйлеру с просьбой о защите английских акционеров фабрики «Вискоза».</w:t>
      </w:r>
    </w:p>
    <w:p w14:paraId="3F9D8832" w14:textId="685A9A8E" w:rsidR="0073216F" w:rsidRPr="002F2FDF" w:rsidRDefault="0073216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461</w:t>
      </w:r>
    </w:p>
    <w:p w14:paraId="197EC853" w14:textId="420159F7" w:rsidR="0073216F" w:rsidRPr="002F2FDF" w:rsidRDefault="0073216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ГАОРМО, ф. 176, оп. 3, д. 66, л. 14. Подлинник</w:t>
      </w:r>
    </w:p>
    <w:p w14:paraId="2FD7C9AE"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Милостивый государь.</w:t>
      </w:r>
    </w:p>
    <w:p w14:paraId="0460F487"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Ко мне поступила жалоба от правления фабрики «Вискоза» в Мытищах (Северная ж. д.), что работники самовольно удалили заведующего фабрикой и на его место назначили химика Барковского.</w:t>
      </w:r>
    </w:p>
    <w:p w14:paraId="16918A21"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Как мне сообщено, что по поводу недостатка некоторых материалов, денежных средств, а также по поводу плохого производства администрация принуждена была 2 июня объявить рабочим фабрики, что через две недели закроет фабрику.</w:t>
      </w:r>
    </w:p>
    <w:p w14:paraId="686CD878"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Районный Мытищинский рабочий комитет постановил взять фабрику под свой контроль и ввести там военный контроль.</w:t>
      </w:r>
    </w:p>
    <w:p w14:paraId="32B9748C"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При таких условиях нормального производства от фабрики трудно ожидать. Большая часть акций этой фабрики находится в руках английской компании (</w:t>
      </w:r>
      <w:r w:rsidRPr="002F2FDF">
        <w:rPr>
          <w:color w:val="000000" w:themeColor="text1"/>
          <w:kern w:val="2"/>
          <w:sz w:val="16"/>
          <w:szCs w:val="16"/>
          <w:lang w:val="en-US"/>
        </w:rPr>
        <w:t>CourtanldsLid</w:t>
      </w:r>
      <w:r w:rsidRPr="002F2FDF">
        <w:rPr>
          <w:color w:val="000000" w:themeColor="text1"/>
          <w:kern w:val="2"/>
          <w:sz w:val="16"/>
          <w:szCs w:val="16"/>
        </w:rPr>
        <w:t xml:space="preserve">, 19 </w:t>
      </w:r>
      <w:r w:rsidRPr="002F2FDF">
        <w:rPr>
          <w:color w:val="000000" w:themeColor="text1"/>
          <w:kern w:val="2"/>
          <w:sz w:val="16"/>
          <w:szCs w:val="16"/>
          <w:lang w:val="en-US"/>
        </w:rPr>
        <w:t>Aldermanbury</w:t>
      </w:r>
      <w:r w:rsidRPr="002F2FDF">
        <w:rPr>
          <w:color w:val="000000" w:themeColor="text1"/>
          <w:kern w:val="2"/>
          <w:sz w:val="16"/>
          <w:szCs w:val="16"/>
        </w:rPr>
        <w:t xml:space="preserve">, </w:t>
      </w:r>
      <w:r w:rsidRPr="002F2FDF">
        <w:rPr>
          <w:color w:val="000000" w:themeColor="text1"/>
          <w:kern w:val="2"/>
          <w:sz w:val="16"/>
          <w:szCs w:val="16"/>
          <w:lang w:val="en-US"/>
        </w:rPr>
        <w:t>LondonE</w:t>
      </w:r>
      <w:r w:rsidRPr="002F2FDF">
        <w:rPr>
          <w:color w:val="000000" w:themeColor="text1"/>
          <w:kern w:val="2"/>
          <w:sz w:val="16"/>
          <w:szCs w:val="16"/>
        </w:rPr>
        <w:t>.</w:t>
      </w:r>
      <w:r w:rsidRPr="002F2FDF">
        <w:rPr>
          <w:color w:val="000000" w:themeColor="text1"/>
          <w:kern w:val="2"/>
          <w:sz w:val="16"/>
          <w:szCs w:val="16"/>
          <w:lang w:val="en-US"/>
        </w:rPr>
        <w:t>C</w:t>
      </w:r>
      <w:r w:rsidRPr="002F2FDF">
        <w:rPr>
          <w:color w:val="000000" w:themeColor="text1"/>
          <w:kern w:val="2"/>
          <w:sz w:val="16"/>
          <w:szCs w:val="16"/>
        </w:rPr>
        <w:t>.), и ввиду убытков, могущих последовать, честь имею просить Вас не отказать принять надлежащие меры для защиты интересов английских подданных.</w:t>
      </w:r>
    </w:p>
    <w:p w14:paraId="0FB8E97E" w14:textId="77777777" w:rsidR="0073216F" w:rsidRPr="002F2FDF" w:rsidRDefault="0073216F"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И. д. генерального консула Локкарт (15203).</w:t>
      </w:r>
    </w:p>
    <w:p w14:paraId="43E236F4" w14:textId="77777777" w:rsidR="0073216F" w:rsidRPr="002F2FDF" w:rsidRDefault="0073216F"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5863009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91B55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BC95E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июня 1917 английский король Георг V повелел всем членам королевской фамилии исключить из своих титулов немецкие имена и названия (4962).</w:t>
      </w:r>
    </w:p>
    <w:p w14:paraId="55D098B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7F62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июня 1917 английская правящая династия изъяла из своих имен все немецкие титулы и вместо Сакс-Кобург-Готской династия стала Виндзорской (3481).</w:t>
      </w:r>
    </w:p>
    <w:p w14:paraId="37EDB1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C6FC0A"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6 (19) июня </w:t>
      </w:r>
      <w:r w:rsidRPr="002F2FDF">
        <w:rPr>
          <w:rFonts w:ascii="Times New Roman" w:hAnsi="Times New Roman" w:cs="Times New Roman"/>
          <w:color w:val="000000" w:themeColor="text1"/>
          <w:kern w:val="2"/>
          <w:sz w:val="16"/>
          <w:szCs w:val="16"/>
        </w:rPr>
        <w:t>в 1917 году члены британской правящей династии отказываются от германских титулов и фамилии и принимают новую фамилию - Виндзор (14927).</w:t>
      </w:r>
    </w:p>
    <w:p w14:paraId="50BFE792"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p>
    <w:p w14:paraId="6D23A101"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6 (19) июня </w:t>
      </w:r>
      <w:r w:rsidRPr="002F2FDF">
        <w:rPr>
          <w:rFonts w:ascii="Times New Roman" w:hAnsi="Times New Roman" w:cs="Times New Roman"/>
          <w:color w:val="000000" w:themeColor="text1"/>
          <w:kern w:val="2"/>
          <w:sz w:val="16"/>
          <w:szCs w:val="16"/>
        </w:rPr>
        <w:t>в 1917 году в ходе первой мировой войны король Великобритании Георг V издает указ об изъятии всех немецких титулов из имен членов королевской семьи. Королевская династия, ранее именовавшаяся Сакс-Кобург-Готской, становится Виндзорской (14927).</w:t>
      </w:r>
    </w:p>
    <w:p w14:paraId="0AE4A2D2"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p>
    <w:p w14:paraId="004704B8" w14:textId="77777777" w:rsidR="00657464" w:rsidRPr="002F2FDF" w:rsidRDefault="00657464" w:rsidP="0083075A">
      <w:pPr>
        <w:pStyle w:val="ae"/>
        <w:spacing w:before="0" w:after="0"/>
        <w:jc w:val="both"/>
        <w:rPr>
          <w:color w:val="000000" w:themeColor="text1"/>
          <w:kern w:val="2"/>
          <w:sz w:val="16"/>
          <w:szCs w:val="16"/>
        </w:rPr>
      </w:pPr>
      <w:r w:rsidRPr="002F2FDF">
        <w:rPr>
          <w:color w:val="000000" w:themeColor="text1"/>
          <w:kern w:val="2"/>
          <w:sz w:val="16"/>
          <w:szCs w:val="16"/>
        </w:rPr>
        <w:t>6-12 (19-25) июня 1917 германскими подводными лодками было потоплено и повреждено 87 кораблей стран Антанты и нейтральных государств, включая французскую подводную лодку «Арианна» (17045).</w:t>
      </w:r>
    </w:p>
    <w:p w14:paraId="3F8CC3B0" w14:textId="77777777" w:rsidR="00657464" w:rsidRPr="002F2FDF" w:rsidRDefault="0065746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C1D486"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lastRenderedPageBreak/>
        <w:t>Авиапромышленность:</w:t>
      </w:r>
    </w:p>
    <w:p w14:paraId="41031596"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5FED77" w14:textId="77777777" w:rsidR="00FC0C6C" w:rsidRPr="002F2FDF" w:rsidRDefault="00FC0C6C" w:rsidP="0083075A">
      <w:pPr>
        <w:pStyle w:val="rtejustify"/>
        <w:spacing w:before="0" w:after="0"/>
        <w:rPr>
          <w:color w:val="000000" w:themeColor="text1"/>
          <w:kern w:val="2"/>
          <w:sz w:val="16"/>
          <w:szCs w:val="16"/>
        </w:rPr>
      </w:pPr>
      <w:r w:rsidRPr="002F2FDF">
        <w:rPr>
          <w:color w:val="000000" w:themeColor="text1"/>
          <w:kern w:val="2"/>
          <w:sz w:val="16"/>
          <w:szCs w:val="16"/>
        </w:rPr>
        <w:t>7 (20) июня 1917 г. нач. УВВФ Д. В. Яковлев в дополнение к докладам от 23 и 25 мая 1917 г.  представил военному министру доклад об общем положении снабжения армии авиационным имуществ. ж в связи с «полным расстройством заграничного снабжения», в заключение котором писал: «При этих условиях, в совокупности со всеми обстоятельствами, доложенными в ранее сделанных представлениях, положение авиационного снабжения имеет характер не только катастрофический, но и просто безвыходный. Полагал бы необходимым просить как настоящий доклад, так и предыдущие довести до сведения верховного главнокомандующего, дабы поставить его в известность,что с осени текущего года авиациное снабжение, по всем вероятиям, сведется к высылке в армию случайных аппаратов которые будут прибывать единицами из-за границы, устаревающих Фарманов и Анаттра русской постройки и столь же случайных русских аппаратов новых типов, под который окажутся прибывшими или построенными в России моторы, всегда запаздывающие по мощности по сравнению с боевыми моторами союзников и противника» (ЦГВИА. ф. 493, оп. 4, д. 485, лл. 95—96. Заверенная копия).</w:t>
      </w:r>
    </w:p>
    <w:p w14:paraId="3125BD22" w14:textId="77777777" w:rsidR="00FC0C6C" w:rsidRPr="002F2FDF" w:rsidRDefault="00000000" w:rsidP="0083075A">
      <w:pPr>
        <w:pStyle w:val="rtejustify"/>
        <w:spacing w:before="0" w:after="0"/>
        <w:rPr>
          <w:color w:val="000000" w:themeColor="text1"/>
          <w:kern w:val="2"/>
          <w:sz w:val="16"/>
          <w:szCs w:val="16"/>
        </w:rPr>
      </w:pPr>
      <w:hyperlink r:id="rId208" w:anchor="_ftnref4" w:history="1">
        <w:r w:rsidR="00FC0C6C" w:rsidRPr="002F2FDF">
          <w:rPr>
            <w:rStyle w:val="a5"/>
            <w:color w:val="000000" w:themeColor="text1"/>
            <w:kern w:val="2"/>
            <w:sz w:val="16"/>
            <w:szCs w:val="16"/>
          </w:rPr>
          <w:t>[4]</w:t>
        </w:r>
      </w:hyperlink>
      <w:r w:rsidR="00FC0C6C" w:rsidRPr="002F2FDF">
        <w:rPr>
          <w:color w:val="000000" w:themeColor="text1"/>
          <w:kern w:val="2"/>
          <w:sz w:val="16"/>
          <w:szCs w:val="16"/>
        </w:rPr>
        <w:t xml:space="preserve"> 3 В указанном проекте доклада нач. УВВФ Д. В. Яковлев писал: «. . .ныне, исчерпав все доступные мне меры, получив официальные заверения союзников и тем неменее находясь перед положением, еще худшим, чем во время представления вышеприведенного доклада, я не вижу иного объяснения неисполнению заграничных заказов, кроме общеполитической обстановки» (разрядка автора). «Я не считаю возможным нести ответственность за хаотическую бесхозяйственность дела, изменение котор и лежит вне моей власти» (ЦГВИА, ф. 493, оп. 4, д. 611, лл. 1—6. Копия). Вопрос о состоянии авиационного снабжения армии по докладу ген. Яковлева обсуждался в Особом совещании по обороне 11 октября 1917 г. Совещание не вынесло никаких конкретных решений по обсуждавшемуся вопросу, решив довести до сведения Временного правительства высказанные в заседании суждения (ЦГВИА, ф. 369, оп. 1, д. обе л. 86) (15242).</w:t>
      </w:r>
    </w:p>
    <w:p w14:paraId="0FD57F19" w14:textId="77777777" w:rsidR="00FC0C6C" w:rsidRPr="002F2FDF" w:rsidRDefault="00FC0C6C" w:rsidP="0083075A">
      <w:pPr>
        <w:pStyle w:val="rteindent11"/>
        <w:shd w:val="clear" w:color="auto" w:fill="FFFFFF"/>
        <w:spacing w:before="0" w:beforeAutospacing="0" w:after="0"/>
        <w:ind w:left="0" w:firstLine="0"/>
        <w:rPr>
          <w:rStyle w:val="a7"/>
          <w:rFonts w:eastAsiaTheme="majorEastAsia"/>
          <w:b w:val="0"/>
          <w:color w:val="000000" w:themeColor="text1"/>
          <w:kern w:val="2"/>
          <w:sz w:val="16"/>
          <w:szCs w:val="16"/>
        </w:rPr>
      </w:pPr>
    </w:p>
    <w:p w14:paraId="0C7988F9"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D887659"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310F85"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7 (20) июля 1917 г. ВВС России насчитывали 91 авиаотряд, в том числе 4 крепостных, находившихся в Одессе, Ревеле, Кронштадте и Петрограде, и 3 авиаотряда (32 самолета) - в управлениях. Кроме того, было 5 авиаотрядов тяжелых многомоторных кораблей типа "Илья Муромец". Морская авиация располагала 32 авиаотрядами, в основном укомплектованными летающими лодками системы Григоровича, базировавшимися на Черном и Балтийском морях. Таким образом, всего было 135 авиаотрядов. Что касается авиации непосредственно приданной войскам, то она насчитывала 44 корпусных, 4 артиллерийских, 12 армейских и 24 истребительных авиаотряда.</w:t>
      </w:r>
    </w:p>
    <w:p w14:paraId="602D3D54"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состав каждого корпусного отряда входило 6 самолетов дальней и ближней разведки, 2 артиллерийских самолета и 2 истребителя. Следовательно, общее число самолетов, полагавшихся для этой группы по табели, должно было составлять 264 корпусных, 88 артиллерийских, 88 истребительных, всего 440 самолетов. Подавляющая часть (346 машин) предназначалась для ближней разведки. Между тем, к 20 июня 1917 г. все корпусные авиаотряды насчитывали только 144 самолета (11999).</w:t>
      </w:r>
    </w:p>
    <w:p w14:paraId="42969B74"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D6861C"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июня 1917 Казаков одержал очередную, 11-ю, победу: “Сего числа мною сбит неприятельский самолет. Около 9 час утра я настиг два неприятельских са</w:t>
      </w:r>
      <w:r w:rsidRPr="002F2FDF">
        <w:rPr>
          <w:rFonts w:ascii="Times New Roman" w:hAnsi="Times New Roman" w:cs="Times New Roman"/>
          <w:color w:val="000000" w:themeColor="text1"/>
          <w:kern w:val="2"/>
          <w:sz w:val="16"/>
          <w:szCs w:val="16"/>
        </w:rPr>
        <w:softHyphen/>
        <w:t>молета, шедших по Днестру через Бу</w:t>
      </w:r>
      <w:r w:rsidRPr="002F2FDF">
        <w:rPr>
          <w:rFonts w:ascii="Times New Roman" w:hAnsi="Times New Roman" w:cs="Times New Roman"/>
          <w:color w:val="000000" w:themeColor="text1"/>
          <w:kern w:val="2"/>
          <w:sz w:val="16"/>
          <w:szCs w:val="16"/>
        </w:rPr>
        <w:softHyphen/>
        <w:t>ча ч на Тарнополь и атаковал одного из них в районе местечка Микулинце на Ньюпоре тип X. Другой, буду</w:t>
      </w:r>
      <w:r w:rsidRPr="002F2FDF">
        <w:rPr>
          <w:rFonts w:ascii="Times New Roman" w:hAnsi="Times New Roman" w:cs="Times New Roman"/>
          <w:color w:val="000000" w:themeColor="text1"/>
          <w:kern w:val="2"/>
          <w:sz w:val="16"/>
          <w:szCs w:val="16"/>
        </w:rPr>
        <w:softHyphen/>
        <w:t>чи значительно выше, скрылся Неприятель отстреливаясь, ухо</w:t>
      </w:r>
      <w:r w:rsidRPr="002F2FDF">
        <w:rPr>
          <w:rFonts w:ascii="Times New Roman" w:hAnsi="Times New Roman" w:cs="Times New Roman"/>
          <w:color w:val="000000" w:themeColor="text1"/>
          <w:kern w:val="2"/>
          <w:sz w:val="16"/>
          <w:szCs w:val="16"/>
        </w:rPr>
        <w:softHyphen/>
        <w:t>дил на запад и после атаки с ближней дистанции опустился восточнее Подгайцы севернее дёр. Михаилувка. Самолет сис</w:t>
      </w:r>
      <w:r w:rsidRPr="002F2FDF">
        <w:rPr>
          <w:rFonts w:ascii="Times New Roman" w:hAnsi="Times New Roman" w:cs="Times New Roman"/>
          <w:color w:val="000000" w:themeColor="text1"/>
          <w:kern w:val="2"/>
          <w:sz w:val="16"/>
          <w:szCs w:val="16"/>
        </w:rPr>
        <w:softHyphen/>
        <w:t>темы “Румплер” №4739 с со</w:t>
      </w:r>
      <w:r w:rsidRPr="002F2FDF">
        <w:rPr>
          <w:rFonts w:ascii="Times New Roman" w:hAnsi="Times New Roman" w:cs="Times New Roman"/>
          <w:color w:val="000000" w:themeColor="text1"/>
          <w:kern w:val="2"/>
          <w:sz w:val="16"/>
          <w:szCs w:val="16"/>
        </w:rPr>
        <w:softHyphen/>
        <w:t>вершенно новым мотором “Опель” №349 в 200 л. с. повре</w:t>
      </w:r>
      <w:r w:rsidRPr="002F2FDF">
        <w:rPr>
          <w:rFonts w:ascii="Times New Roman" w:hAnsi="Times New Roman" w:cs="Times New Roman"/>
          <w:color w:val="000000" w:themeColor="text1"/>
          <w:kern w:val="2"/>
          <w:sz w:val="16"/>
          <w:szCs w:val="16"/>
        </w:rPr>
        <w:softHyphen/>
        <w:t>жден при посадке: поломаны шасси, винт, нижние поверхно</w:t>
      </w:r>
      <w:r w:rsidRPr="002F2FDF">
        <w:rPr>
          <w:rFonts w:ascii="Times New Roman" w:hAnsi="Times New Roman" w:cs="Times New Roman"/>
          <w:color w:val="000000" w:themeColor="text1"/>
          <w:kern w:val="2"/>
          <w:sz w:val="16"/>
          <w:szCs w:val="16"/>
        </w:rPr>
        <w:softHyphen/>
        <w:t>сти. Самолет имеет около 50 пулевых пробоин после моих атак. Летчик-наблюдатель офи</w:t>
      </w:r>
      <w:r w:rsidRPr="002F2FDF">
        <w:rPr>
          <w:rFonts w:ascii="Times New Roman" w:hAnsi="Times New Roman" w:cs="Times New Roman"/>
          <w:color w:val="000000" w:themeColor="text1"/>
          <w:kern w:val="2"/>
          <w:sz w:val="16"/>
          <w:szCs w:val="16"/>
        </w:rPr>
        <w:softHyphen/>
        <w:t>цер-гусар тяжело ранен, летчик унтер-офицер - легко. Оба гер</w:t>
      </w:r>
      <w:r w:rsidRPr="002F2FDF">
        <w:rPr>
          <w:rFonts w:ascii="Times New Roman" w:hAnsi="Times New Roman" w:cs="Times New Roman"/>
          <w:color w:val="000000" w:themeColor="text1"/>
          <w:kern w:val="2"/>
          <w:sz w:val="16"/>
          <w:szCs w:val="16"/>
        </w:rPr>
        <w:softHyphen/>
        <w:t>манцы. Я опустился рядом, от</w:t>
      </w:r>
      <w:r w:rsidRPr="002F2FDF">
        <w:rPr>
          <w:rFonts w:ascii="Times New Roman" w:hAnsi="Times New Roman" w:cs="Times New Roman"/>
          <w:color w:val="000000" w:themeColor="text1"/>
          <w:kern w:val="2"/>
          <w:sz w:val="16"/>
          <w:szCs w:val="16"/>
        </w:rPr>
        <w:softHyphen/>
        <w:t>правил летчиков (в штаб 7-й Си</w:t>
      </w:r>
      <w:r w:rsidRPr="002F2FDF">
        <w:rPr>
          <w:rFonts w:ascii="Times New Roman" w:hAnsi="Times New Roman" w:cs="Times New Roman"/>
          <w:color w:val="000000" w:themeColor="text1"/>
          <w:kern w:val="2"/>
          <w:sz w:val="16"/>
          <w:szCs w:val="16"/>
        </w:rPr>
        <w:softHyphen/>
        <w:t>бирского корпуса, на участке фрон</w:t>
      </w:r>
      <w:r w:rsidRPr="002F2FDF">
        <w:rPr>
          <w:rFonts w:ascii="Times New Roman" w:hAnsi="Times New Roman" w:cs="Times New Roman"/>
          <w:color w:val="000000" w:themeColor="text1"/>
          <w:kern w:val="2"/>
          <w:sz w:val="16"/>
          <w:szCs w:val="16"/>
        </w:rPr>
        <w:softHyphen/>
        <w:t>та которого упал самолет) и поставил караул. От сбитого самолета перелетел на свой аэро</w:t>
      </w:r>
      <w:r w:rsidRPr="002F2FDF">
        <w:rPr>
          <w:rFonts w:ascii="Times New Roman" w:hAnsi="Times New Roman" w:cs="Times New Roman"/>
          <w:color w:val="000000" w:themeColor="text1"/>
          <w:kern w:val="2"/>
          <w:sz w:val="16"/>
          <w:szCs w:val="16"/>
        </w:rPr>
        <w:softHyphen/>
        <w:t>дром”. Позже самолет был передан в 1-й артиллерийский авиаотряд. Ко</w:t>
      </w:r>
      <w:r w:rsidRPr="002F2FDF">
        <w:rPr>
          <w:rFonts w:ascii="Times New Roman" w:hAnsi="Times New Roman" w:cs="Times New Roman"/>
          <w:color w:val="000000" w:themeColor="text1"/>
          <w:kern w:val="2"/>
          <w:sz w:val="16"/>
          <w:szCs w:val="16"/>
        </w:rPr>
        <w:softHyphen/>
        <w:t>мандующий 7-й армии генерал-лейте</w:t>
      </w:r>
      <w:r w:rsidRPr="002F2FDF">
        <w:rPr>
          <w:rFonts w:ascii="Times New Roman" w:hAnsi="Times New Roman" w:cs="Times New Roman"/>
          <w:color w:val="000000" w:themeColor="text1"/>
          <w:kern w:val="2"/>
          <w:sz w:val="16"/>
          <w:szCs w:val="16"/>
        </w:rPr>
        <w:softHyphen/>
        <w:t>нант Белькович 8 июня наложил резо</w:t>
      </w:r>
      <w:r w:rsidRPr="002F2FDF">
        <w:rPr>
          <w:rFonts w:ascii="Times New Roman" w:hAnsi="Times New Roman" w:cs="Times New Roman"/>
          <w:color w:val="000000" w:themeColor="text1"/>
          <w:kern w:val="2"/>
          <w:sz w:val="16"/>
          <w:szCs w:val="16"/>
        </w:rPr>
        <w:softHyphen/>
        <w:t>люцию на телеграмме об успешном бое знаменитого русского летчика: “Благодарю славного и доблестного летчика Казакова. Наградить” (3954).</w:t>
      </w:r>
    </w:p>
    <w:p w14:paraId="0EE3B944"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01B02B" w14:textId="60A1CE2E" w:rsidR="00A65C94" w:rsidRPr="00FB4F67" w:rsidRDefault="00A65C94" w:rsidP="0083075A">
      <w:pPr>
        <w:spacing w:after="0" w:line="240" w:lineRule="auto"/>
        <w:jc w:val="both"/>
        <w:rPr>
          <w:rFonts w:ascii="Times New Roman" w:hAnsi="Times New Roman" w:cs="Times New Roman"/>
          <w:color w:val="0070C0"/>
          <w:sz w:val="16"/>
          <w:szCs w:val="16"/>
        </w:rPr>
      </w:pPr>
      <w:bookmarkStart w:id="150" w:name="bookmark803"/>
      <w:r>
        <w:rPr>
          <w:rFonts w:ascii="Times New Roman" w:hAnsi="Times New Roman" w:cs="Times New Roman"/>
          <w:color w:val="0070C0"/>
          <w:sz w:val="16"/>
          <w:szCs w:val="16"/>
        </w:rPr>
        <w:t>7 (</w:t>
      </w:r>
      <w:r w:rsidRPr="00FB4F67">
        <w:rPr>
          <w:rFonts w:ascii="Times New Roman" w:hAnsi="Times New Roman" w:cs="Times New Roman"/>
          <w:color w:val="0070C0"/>
          <w:sz w:val="16"/>
          <w:szCs w:val="16"/>
        </w:rPr>
        <w:t>20</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1917 г. штабс-ротмистр А.А. Козаков сбил очередной вражеский аэроплан, упавший в районе Подгайцы. Летчики офицер и солдаты ранены и пленены (23405).</w:t>
      </w:r>
      <w:bookmarkEnd w:id="150"/>
    </w:p>
    <w:p w14:paraId="76D0553C" w14:textId="77777777" w:rsidR="00A65C94" w:rsidRPr="00FB4F67" w:rsidRDefault="00A65C94" w:rsidP="0083075A">
      <w:pPr>
        <w:spacing w:after="0" w:line="240" w:lineRule="auto"/>
        <w:jc w:val="both"/>
        <w:rPr>
          <w:rFonts w:ascii="Times New Roman" w:hAnsi="Times New Roman" w:cs="Times New Roman"/>
          <w:color w:val="0070C0"/>
          <w:sz w:val="16"/>
          <w:szCs w:val="16"/>
        </w:rPr>
      </w:pPr>
    </w:p>
    <w:p w14:paraId="5147180E"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Вечером 7 (20) июня 1917 в 1БАГ произошел бой, едва не ставший последним для летчика 4-го као прапорщика Муром</w:t>
      </w:r>
      <w:r w:rsidRPr="002F2FDF">
        <w:rPr>
          <w:rFonts w:ascii="Times New Roman" w:hAnsi="Times New Roman" w:cs="Times New Roman"/>
          <w:color w:val="000000" w:themeColor="text1"/>
          <w:kern w:val="2"/>
          <w:sz w:val="16"/>
          <w:szCs w:val="16"/>
        </w:rPr>
        <w:softHyphen/>
        <w:t>цева. Он атаковал южнее Брзежан аэ</w:t>
      </w:r>
      <w:r w:rsidRPr="002F2FDF">
        <w:rPr>
          <w:rFonts w:ascii="Times New Roman" w:hAnsi="Times New Roman" w:cs="Times New Roman"/>
          <w:color w:val="000000" w:themeColor="text1"/>
          <w:kern w:val="2"/>
          <w:sz w:val="16"/>
          <w:szCs w:val="16"/>
        </w:rPr>
        <w:softHyphen/>
        <w:t>роплан противника, но тут же сам был атакован сзади снизу другим самоле</w:t>
      </w:r>
      <w:r w:rsidRPr="002F2FDF">
        <w:rPr>
          <w:rFonts w:ascii="Times New Roman" w:hAnsi="Times New Roman" w:cs="Times New Roman"/>
          <w:color w:val="000000" w:themeColor="text1"/>
          <w:kern w:val="2"/>
          <w:sz w:val="16"/>
          <w:szCs w:val="16"/>
        </w:rPr>
        <w:softHyphen/>
        <w:t>том, которого вовремя не заметил. Позднее Муромцев докладывал: “...услышав треск и будучи обрызган бензином, выключил мотор, сделал вираж и пошел к себе. Сел у леса за</w:t>
      </w:r>
      <w:r w:rsidRPr="002F2FDF">
        <w:rPr>
          <w:rFonts w:ascii="Times New Roman" w:hAnsi="Times New Roman" w:cs="Times New Roman"/>
          <w:color w:val="000000" w:themeColor="text1"/>
          <w:kern w:val="2"/>
          <w:sz w:val="16"/>
          <w:szCs w:val="16"/>
        </w:rPr>
        <w:softHyphen/>
        <w:t>паднее дёр. Литятин. При посадке на</w:t>
      </w:r>
      <w:r w:rsidRPr="002F2FDF">
        <w:rPr>
          <w:rFonts w:ascii="Times New Roman" w:hAnsi="Times New Roman" w:cs="Times New Roman"/>
          <w:color w:val="000000" w:themeColor="text1"/>
          <w:kern w:val="2"/>
          <w:sz w:val="16"/>
          <w:szCs w:val="16"/>
        </w:rPr>
        <w:softHyphen/>
        <w:t>ткнулся на телефонную веху и сломал правое нижнее крыло. Пулями проби</w:t>
      </w:r>
      <w:r w:rsidRPr="002F2FDF">
        <w:rPr>
          <w:rFonts w:ascii="Times New Roman" w:hAnsi="Times New Roman" w:cs="Times New Roman"/>
          <w:color w:val="000000" w:themeColor="text1"/>
          <w:kern w:val="2"/>
          <w:sz w:val="16"/>
          <w:szCs w:val="16"/>
        </w:rPr>
        <w:softHyphen/>
        <w:t>ты пулемет, бензобак, верхняя плос</w:t>
      </w:r>
      <w:r w:rsidRPr="002F2FDF">
        <w:rPr>
          <w:rFonts w:ascii="Times New Roman" w:hAnsi="Times New Roman" w:cs="Times New Roman"/>
          <w:color w:val="000000" w:themeColor="text1"/>
          <w:kern w:val="2"/>
          <w:sz w:val="16"/>
          <w:szCs w:val="16"/>
        </w:rPr>
        <w:softHyphen/>
        <w:t>кость и кожух мотора” (3954).</w:t>
      </w:r>
    </w:p>
    <w:p w14:paraId="2F72AD53"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7013A1"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июня 1917 из-за остановки мотора погиб Е.Н.Крутень - один из первых русских ассов (455,37).</w:t>
      </w:r>
    </w:p>
    <w:p w14:paraId="2FADF675"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другим данным 4 июня или 17 н.с. 1917</w:t>
      </w:r>
    </w:p>
    <w:p w14:paraId="3FD4C0B8"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F220FE"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июня 1917 г. капитан Крутень, совершая посадку без горючего на свой аэродром у деревни Плотычи возле Тарнополя, капитан Крутень на самолете “Ньюпор-23” сделал разворот на небольшой высоте и, потеряв скорость, разбился. В приказе командования было сказано: “Возвращаясь с боевого полета, разбился насмерть один из самых доблестных и отважных наших летчиков капитан Крутень”. В одной из газет того времени писали по поводу его гибели: “После великого Нестерова он был наиболее видным из боевых летчиков. Погибшему Крутеню шел всего лишь двадцать пятый год... Для характеристики боевой деятельности погибшего авиатора достаточно указать, что в одну последнюю неделю им было сбито три немецких самолета”. В России считался асом летчик, сбивший пять самолетов противника. Среди русских летчиков широко распространенной была тактика ведения боя парами. Часто вылетали звеном, при этом третья машина служила как бы приманкой. Летая над вражеским аэродромом, она старалась привлечь на себя внимание противника. Если это удавалось, и вражеский самолет поднимался в воздух, то на него неожиданно обрушивался ас со своим ведомым, решая исход боя в свою пользу. У каждого аса были свои отработанные приемы борьбы - свой “почерк”. Всякий поединок носил всегда индивидуальные черты противников, но в то же время основные приемы борьбы были выработаны твердо (9705).</w:t>
      </w:r>
    </w:p>
    <w:p w14:paraId="66E89B6B"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9F4E56"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r w:rsidRPr="002F2FDF">
        <w:rPr>
          <w:rFonts w:ascii="Times New Roman" w:hAnsi="Times New Roman" w:cs="Times New Roman"/>
          <w:iCs/>
          <w:color w:val="000000" w:themeColor="text1"/>
          <w:kern w:val="2"/>
          <w:sz w:val="16"/>
          <w:szCs w:val="16"/>
        </w:rPr>
        <w:t>:</w:t>
      </w:r>
    </w:p>
    <w:p w14:paraId="6E8CF362"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61F502" w14:textId="1C89D470" w:rsidR="00FC0C6C" w:rsidRPr="002F2FDF" w:rsidRDefault="00FC0C6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7 (20) июня</w:t>
      </w:r>
      <w:r w:rsidR="00E52569">
        <w:rPr>
          <w:rFonts w:ascii="Times New Roman" w:hAnsi="Times New Roman" w:cs="Times New Roman"/>
          <w:color w:val="000000" w:themeColor="text1"/>
          <w:kern w:val="2"/>
          <w:sz w:val="16"/>
          <w:szCs w:val="16"/>
        </w:rPr>
        <w:t xml:space="preserve"> </w:t>
      </w:r>
      <w:hyperlink r:id="rId209" w:tooltip="1917 год" w:history="1">
        <w:r w:rsidRPr="002F2FDF">
          <w:rPr>
            <w:rStyle w:val="a5"/>
            <w:rFonts w:ascii="Times New Roman" w:hAnsi="Times New Roman" w:cs="Times New Roman"/>
            <w:color w:val="000000" w:themeColor="text1"/>
            <w:kern w:val="2"/>
            <w:sz w:val="16"/>
            <w:szCs w:val="16"/>
            <w:u w:val="none"/>
          </w:rPr>
          <w:t>1917</w:t>
        </w:r>
      </w:hyperlink>
      <w:r w:rsidRPr="002F2FDF">
        <w:rPr>
          <w:rFonts w:ascii="Times New Roman" w:hAnsi="Times New Roman" w:cs="Times New Roman"/>
          <w:color w:val="000000" w:themeColor="text1"/>
          <w:kern w:val="2"/>
          <w:sz w:val="16"/>
          <w:szCs w:val="16"/>
        </w:rPr>
        <w:t xml:space="preserve"> была предпринята попытка выселения штаба анархистов с бывшей дачи Дурново. Так как в здании располагались, помимо анархистов, несколько общественных организаций, а сад при даче использовался рабочими Петроградской стороны как парк, действия властей на следующий день вызвали массовые забастовки. Распространились слухи о том, что </w:t>
      </w:r>
      <w:hyperlink r:id="rId210" w:tooltip="Временное правительство" w:history="1">
        <w:r w:rsidRPr="002F2FDF">
          <w:rPr>
            <w:rStyle w:val="a5"/>
            <w:rFonts w:ascii="Times New Roman" w:hAnsi="Times New Roman" w:cs="Times New Roman"/>
            <w:color w:val="000000" w:themeColor="text1"/>
            <w:kern w:val="2"/>
            <w:sz w:val="16"/>
            <w:szCs w:val="16"/>
            <w:u w:val="none"/>
          </w:rPr>
          <w:t>Временное правительство</w:t>
        </w:r>
      </w:hyperlink>
      <w:r w:rsidRPr="002F2FDF">
        <w:rPr>
          <w:rFonts w:ascii="Times New Roman" w:hAnsi="Times New Roman" w:cs="Times New Roman"/>
          <w:color w:val="000000" w:themeColor="text1"/>
          <w:kern w:val="2"/>
          <w:sz w:val="16"/>
          <w:szCs w:val="16"/>
        </w:rPr>
        <w:t xml:space="preserve"> якобы вызывает с фронта 20 тыс. казаков в качестве карательной экспедиции (17029).</w:t>
      </w:r>
    </w:p>
    <w:p w14:paraId="390111B0"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105D1C" w14:textId="2B93556E" w:rsidR="00FC0C6C" w:rsidRPr="002F2FDF" w:rsidRDefault="00FC0C6C" w:rsidP="0083075A">
      <w:pPr>
        <w:pStyle w:val="ae"/>
        <w:spacing w:before="0" w:after="0"/>
        <w:jc w:val="both"/>
        <w:rPr>
          <w:color w:val="000000" w:themeColor="text1"/>
          <w:kern w:val="2"/>
          <w:sz w:val="16"/>
          <w:szCs w:val="16"/>
        </w:rPr>
      </w:pPr>
      <w:r w:rsidRPr="002F2FDF">
        <w:rPr>
          <w:color w:val="000000" w:themeColor="text1"/>
          <w:kern w:val="2"/>
          <w:sz w:val="16"/>
          <w:szCs w:val="16"/>
        </w:rPr>
        <w:t>7 (20) июня</w:t>
      </w:r>
      <w:r w:rsidR="00E52569">
        <w:rPr>
          <w:color w:val="000000" w:themeColor="text1"/>
          <w:kern w:val="2"/>
          <w:sz w:val="16"/>
          <w:szCs w:val="16"/>
        </w:rPr>
        <w:t xml:space="preserve"> </w:t>
      </w:r>
      <w:hyperlink r:id="rId211" w:tooltip="1917 год" w:history="1">
        <w:r w:rsidRPr="002F2FDF">
          <w:rPr>
            <w:rStyle w:val="a5"/>
            <w:color w:val="000000" w:themeColor="text1"/>
            <w:kern w:val="2"/>
            <w:sz w:val="16"/>
            <w:szCs w:val="16"/>
            <w:u w:val="none"/>
          </w:rPr>
          <w:t>1917</w:t>
        </w:r>
      </w:hyperlink>
      <w:r w:rsidRPr="002F2FDF">
        <w:rPr>
          <w:color w:val="000000" w:themeColor="text1"/>
          <w:kern w:val="2"/>
          <w:sz w:val="16"/>
          <w:szCs w:val="16"/>
        </w:rPr>
        <w:t xml:space="preserve"> Газета «Русское слово» от цитировала текст листовки «Катехизис украинца», распространявшейся группой радикальных украинских националистов в войсках: «Все люди — твои братья, но только москали, ляхи, венгры и жиды — это враги нашего народа, пока они господствуют над нами и подавляют нас».</w:t>
      </w:r>
    </w:p>
    <w:p w14:paraId="03D0E2A7" w14:textId="77777777" w:rsidR="00FC0C6C" w:rsidRPr="002F2FDF" w:rsidRDefault="00FC0C6C" w:rsidP="0083075A">
      <w:pPr>
        <w:pStyle w:val="ae"/>
        <w:spacing w:before="0" w:after="0"/>
        <w:jc w:val="both"/>
        <w:rPr>
          <w:color w:val="000000" w:themeColor="text1"/>
          <w:kern w:val="2"/>
          <w:sz w:val="16"/>
          <w:szCs w:val="16"/>
        </w:rPr>
      </w:pPr>
      <w:r w:rsidRPr="002F2FDF">
        <w:rPr>
          <w:color w:val="000000" w:themeColor="text1"/>
          <w:kern w:val="2"/>
          <w:sz w:val="16"/>
          <w:szCs w:val="16"/>
        </w:rPr>
        <w:t>В то же время, и украинские лидеры не собирались ограничиваться одним лишь требованием автономии. Выступая еще 20 июня, Винниченко упрекнул Временное правительство в отсутствии «идеи, которая была бы в состоянии повести людей на смерть», и прямо заявил, что автономия и отказ от насильственных мер — это временный тактический ход. «Других требований в данное время мы не должны ставить, — заявил Винниченко. — &lt;...&gt; Если бы началось восстание, то наши большие города не пошли бы за нами. &lt;...&gt; Ради получения на один год раньше того, что все равно будет добыто, мы не пойдем на это» (17045).</w:t>
      </w:r>
    </w:p>
    <w:p w14:paraId="7F93CE4C"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5E2B33"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0BAC2B75"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0BD881" w14:textId="77777777" w:rsidR="00FC0C6C" w:rsidRPr="002F2FDF" w:rsidRDefault="00FC0C6C"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7 (20) июня 1917 г.</w:t>
      </w:r>
      <w:r w:rsidRPr="002F2FDF">
        <w:rPr>
          <w:rFonts w:ascii="Times New Roman" w:hAnsi="Times New Roman" w:cs="Times New Roman"/>
          <w:color w:val="000000" w:themeColor="text1"/>
          <w:kern w:val="2"/>
          <w:sz w:val="16"/>
          <w:szCs w:val="16"/>
        </w:rPr>
        <w:t>Телеграмма ген. Э. К. Гермониуса Военному министерству о большом проценте, получаемом английскими дельцами за посредничество при закупке станков.</w:t>
      </w:r>
    </w:p>
    <w:p w14:paraId="4C7DC51F" w14:textId="357BB82F" w:rsidR="00FC0C6C" w:rsidRPr="002F2FDF" w:rsidRDefault="00FC0C6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493</w:t>
      </w:r>
    </w:p>
    <w:p w14:paraId="1000248F" w14:textId="7E439C75" w:rsidR="00FC0C6C" w:rsidRPr="002F2FDF" w:rsidRDefault="00FC0C6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ЦГВИА, ф. 2000, оп. 1, д. 6122, л. 165—165 об. Заверенная копия.</w:t>
      </w:r>
    </w:p>
    <w:p w14:paraId="708743CF" w14:textId="77777777" w:rsidR="00FC0C6C" w:rsidRPr="002F2FDF" w:rsidRDefault="00FC0C6C" w:rsidP="0083075A">
      <w:pPr>
        <w:pStyle w:val="rtejustify"/>
        <w:spacing w:before="0" w:after="0"/>
        <w:rPr>
          <w:color w:val="000000" w:themeColor="text1"/>
          <w:kern w:val="2"/>
          <w:sz w:val="16"/>
          <w:szCs w:val="16"/>
        </w:rPr>
      </w:pPr>
      <w:r w:rsidRPr="002F2FDF">
        <w:rPr>
          <w:color w:val="000000" w:themeColor="text1"/>
          <w:kern w:val="2"/>
          <w:sz w:val="16"/>
          <w:szCs w:val="16"/>
        </w:rPr>
        <w:t>Примечание 2 § 6 подписки Бекоса</w:t>
      </w:r>
      <w:hyperlink r:id="rId212" w:anchor="_ftn1" w:history="1">
        <w:r w:rsidRPr="002F2FDF">
          <w:rPr>
            <w:rStyle w:val="a5"/>
            <w:color w:val="000000" w:themeColor="text1"/>
            <w:kern w:val="2"/>
            <w:sz w:val="16"/>
            <w:szCs w:val="16"/>
            <w:vertAlign w:val="superscript"/>
          </w:rPr>
          <w:t>[1]</w:t>
        </w:r>
      </w:hyperlink>
      <w:r w:rsidRPr="002F2FDF">
        <w:rPr>
          <w:color w:val="000000" w:themeColor="text1"/>
          <w:kern w:val="2"/>
          <w:sz w:val="16"/>
          <w:szCs w:val="16"/>
        </w:rPr>
        <w:t xml:space="preserve"> по организации ремонтных мастерских KZVS</w:t>
      </w:r>
      <w:hyperlink r:id="rId213" w:anchor="_ftn2" w:history="1">
        <w:r w:rsidRPr="002F2FDF">
          <w:rPr>
            <w:rStyle w:val="a5"/>
            <w:color w:val="000000" w:themeColor="text1"/>
            <w:kern w:val="2"/>
            <w:sz w:val="16"/>
            <w:szCs w:val="16"/>
            <w:vertAlign w:val="superscript"/>
          </w:rPr>
          <w:t>[2]</w:t>
        </w:r>
      </w:hyperlink>
      <w:r w:rsidRPr="002F2FDF">
        <w:rPr>
          <w:color w:val="000000" w:themeColor="text1"/>
          <w:kern w:val="2"/>
          <w:sz w:val="16"/>
          <w:szCs w:val="16"/>
        </w:rPr>
        <w:t xml:space="preserve">дает, казалось бы, возможность РУССКО произвести закупку станков и материалов для ремонтных мастерских непосредственно за свой счет с последующей передачей их Бекосу, чем сохранилось бы казне до 375 тыс. руб., которые придется уплатить Бекосу в виде 15% со стоимости этих станков, если приобретать их на имя Бекоса. Основанием 15% вознаграждения является предположение о труде, понесенном Бекосом при помещении заказов. В данном случае этот труд ничтожен. Ведомость станков была составлена инж. Костомаровым с незначительными дополнениями Бекоса. Все сношения по этим заказам ведутся комитетом. Делается непонятным, за что мы должны платить 375 тыс. Бекосу. Кроме того; есть данные за то, что непосредственно приобретение РУССКО станков для русского правительства облегчит помещение заказов. Бекосу сообщен наш взгляд на дело, он протестует и грозит разрывом контракта. Прошу вашего срочного заключения. Если признаете правильным наше толкование примечания второго, войдете в соглашение с Маршалом ввиду </w:t>
      </w:r>
      <w:r w:rsidRPr="002F2FDF">
        <w:rPr>
          <w:color w:val="000000" w:themeColor="text1"/>
          <w:kern w:val="2"/>
          <w:sz w:val="16"/>
          <w:szCs w:val="16"/>
        </w:rPr>
        <w:lastRenderedPageBreak/>
        <w:t>поддержки проекта ремонтных мастерских английской миссией в Петрограде. Я неофициально извещен, что английское правительство санкционирует заказы. Окончательный ответ ожидаю 25 июня. № 10615.</w:t>
      </w:r>
    </w:p>
    <w:p w14:paraId="10414F71" w14:textId="77777777" w:rsidR="00FC0C6C" w:rsidRPr="002F2FDF" w:rsidRDefault="00FC0C6C"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Гермониус.</w:t>
      </w:r>
    </w:p>
    <w:p w14:paraId="3491639D" w14:textId="77777777" w:rsidR="00FC0C6C" w:rsidRPr="002F2FDF" w:rsidRDefault="00000000" w:rsidP="0083075A">
      <w:pPr>
        <w:pStyle w:val="ae"/>
        <w:spacing w:before="0" w:after="0"/>
        <w:jc w:val="both"/>
        <w:rPr>
          <w:color w:val="000000" w:themeColor="text1"/>
          <w:kern w:val="2"/>
          <w:sz w:val="16"/>
          <w:szCs w:val="16"/>
        </w:rPr>
      </w:pPr>
      <w:hyperlink r:id="rId214" w:anchor="_ftnref1" w:history="1">
        <w:r w:rsidR="00FC0C6C" w:rsidRPr="002F2FDF">
          <w:rPr>
            <w:rStyle w:val="a5"/>
            <w:color w:val="000000" w:themeColor="text1"/>
            <w:kern w:val="2"/>
            <w:sz w:val="16"/>
            <w:szCs w:val="16"/>
          </w:rPr>
          <w:t>[1]</w:t>
        </w:r>
      </w:hyperlink>
      <w:r w:rsidR="00FC0C6C" w:rsidRPr="002F2FDF">
        <w:rPr>
          <w:color w:val="000000" w:themeColor="text1"/>
          <w:kern w:val="2"/>
          <w:sz w:val="16"/>
          <w:szCs w:val="16"/>
        </w:rPr>
        <w:t xml:space="preserve"> Бекос — посредническая организация по закупке станков для России.</w:t>
      </w:r>
    </w:p>
    <w:p w14:paraId="48A75567" w14:textId="77777777" w:rsidR="00FC0C6C" w:rsidRPr="002F2FDF" w:rsidRDefault="00000000" w:rsidP="0083075A">
      <w:pPr>
        <w:pStyle w:val="ae"/>
        <w:spacing w:before="0" w:after="0"/>
        <w:jc w:val="both"/>
        <w:rPr>
          <w:color w:val="000000" w:themeColor="text1"/>
          <w:kern w:val="2"/>
          <w:sz w:val="16"/>
          <w:szCs w:val="16"/>
        </w:rPr>
      </w:pPr>
      <w:hyperlink r:id="rId215" w:anchor="_ftnref2" w:history="1">
        <w:r w:rsidR="00FC0C6C" w:rsidRPr="002F2FDF">
          <w:rPr>
            <w:rStyle w:val="a5"/>
            <w:color w:val="000000" w:themeColor="text1"/>
            <w:kern w:val="2"/>
            <w:sz w:val="16"/>
            <w:szCs w:val="16"/>
          </w:rPr>
          <w:t>[2]</w:t>
        </w:r>
      </w:hyperlink>
      <w:r w:rsidR="00FC0C6C" w:rsidRPr="002F2FDF">
        <w:rPr>
          <w:color w:val="000000" w:themeColor="text1"/>
          <w:kern w:val="2"/>
          <w:sz w:val="16"/>
          <w:szCs w:val="16"/>
        </w:rPr>
        <w:t xml:space="preserve"> Имеются в виду ремонтные мастерские в Мытищах Московской губ. (15156).</w:t>
      </w:r>
    </w:p>
    <w:p w14:paraId="56842250" w14:textId="77777777" w:rsidR="00FC0C6C" w:rsidRPr="002F2FDF" w:rsidRDefault="00FC0C6C"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2625455C" w14:textId="77777777" w:rsidR="00FC0C6C" w:rsidRPr="002F2FDF" w:rsidRDefault="00FC0C6C"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июня 1917 английский шпион, будущий писатель Сомерсет Моэм получил задание на сбор агентурных данных в России (4962).</w:t>
      </w:r>
    </w:p>
    <w:p w14:paraId="7EE29C48" w14:textId="77777777" w:rsidR="00FC0C6C" w:rsidRPr="002F2FDF" w:rsidRDefault="00FC0C6C"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926965"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9E22F9E" w14:textId="77777777" w:rsidR="00FC0C6C" w:rsidRPr="002F2FDF" w:rsidRDefault="00FC0C6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4997C5" w14:textId="77777777" w:rsidR="00FC0C6C" w:rsidRPr="002F2FDF" w:rsidRDefault="00FC0C6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7 (20) июня 1917 британский военный кабинет принимает решение об увеличении численности Королевского летного корпуса со 108 до 200 эскадрилий, причем большая часть увеличения приходится на эскадрильи бомбардировщиков (20341).</w:t>
      </w:r>
    </w:p>
    <w:p w14:paraId="73500C19" w14:textId="77777777" w:rsidR="00FC0C6C" w:rsidRPr="002F2FDF" w:rsidRDefault="00FC0C6C" w:rsidP="0083075A">
      <w:pPr>
        <w:spacing w:after="0" w:line="240" w:lineRule="auto"/>
        <w:jc w:val="both"/>
        <w:rPr>
          <w:rFonts w:ascii="Times New Roman" w:hAnsi="Times New Roman" w:cs="Times New Roman"/>
          <w:color w:val="000000" w:themeColor="text1"/>
          <w:sz w:val="16"/>
          <w:szCs w:val="16"/>
        </w:rPr>
      </w:pPr>
    </w:p>
    <w:p w14:paraId="3954B6E9" w14:textId="1C14127C" w:rsidR="005241BF" w:rsidRDefault="005241BF"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68C0743F" w14:textId="77777777" w:rsidR="005241BF" w:rsidRDefault="005241BF"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A3876BF" w14:textId="77777777" w:rsidR="005241BF" w:rsidRPr="00FB4F67" w:rsidRDefault="005241B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июня 1917 г. на Румынском фронте румыны сформировали две новые части; ESC.F.9 с восемью Farman F.40; и ESC.C. 12 с семью Caudron G.4. Оба подразделения имели смешанный состав и базировались в Калматуи (23525).</w:t>
      </w:r>
    </w:p>
    <w:p w14:paraId="23305069" w14:textId="77777777" w:rsidR="005241BF" w:rsidRPr="00FB4F67" w:rsidRDefault="005241BF" w:rsidP="0083075A">
      <w:pPr>
        <w:spacing w:after="0" w:line="240" w:lineRule="auto"/>
        <w:jc w:val="both"/>
        <w:rPr>
          <w:rFonts w:ascii="Times New Roman" w:hAnsi="Times New Roman" w:cs="Times New Roman"/>
          <w:color w:val="0070C0"/>
          <w:sz w:val="16"/>
          <w:szCs w:val="16"/>
        </w:rPr>
      </w:pPr>
    </w:p>
    <w:p w14:paraId="545F7D27" w14:textId="01F9D72C"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E5134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BEB116" w14:textId="179D4883" w:rsidR="00B76D7A" w:rsidRPr="002F2FDF" w:rsidRDefault="00B76D7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начале июня 1917 Сопвич Дельфин попал на официальные испытанияя на базе RFC в Мартлешам-Хит, и хотя заказчик выставил много претензий, в том же месяце он начал выдавать контракты на серийный выпуск «Дельфинов». Томас Сопвич, всегда предпочитавший торговлю лицензиями грязной работе в цехах, на этот раз отхватил заказ сразу на 500 машин этого типа, а общий его «портфель» составил 1</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400 «Долфинов». Для сравнения, истребителей «Кэмел» он построил 554 из общего числа 5</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745 машин, а предыдущих типа «Пап»</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лишь 106 из 1</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586. Еще 200 штук должен был дать завод «Хупер» и 450</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английский филиал моторостроительной компании «Даррак». Все производство было сосредоточено вокруг Лондона (22853).</w:t>
      </w:r>
    </w:p>
    <w:p w14:paraId="689C5468" w14:textId="77777777" w:rsidR="00B76D7A" w:rsidRPr="002F2FDF" w:rsidRDefault="00B76D7A" w:rsidP="0083075A">
      <w:pPr>
        <w:spacing w:after="0" w:line="240" w:lineRule="auto"/>
        <w:jc w:val="both"/>
        <w:rPr>
          <w:rFonts w:ascii="Times New Roman" w:hAnsi="Times New Roman" w:cs="Times New Roman"/>
          <w:color w:val="000000" w:themeColor="text1"/>
          <w:sz w:val="16"/>
          <w:szCs w:val="16"/>
        </w:rPr>
      </w:pPr>
    </w:p>
    <w:p w14:paraId="3C5461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июня 1917 года командующий германскими воздушными силами обратился с подробным докладом к главному командованию, испрашивая его принципиального согласия по новой авиационной программе. Последнее согласилось с выводами, сделанными командующим воздушными силами из факта вступления в войну Америки, и приказало разработать необходимые мероприятия. Основываясь на этих предложениях, главное командование дало Военному министерству в конце июня более детальные указания. Они получили затем известность под названием “? программы”. Оставив без внимания менее важные нужды, решено было прежде всего удвоить имеющееся количество истребительных эскадрилий; это означало формирование сорока новых истребительных эскадрилий в течение немногих месяцев. Наряду с этим авиаотряды (А) должны были усилиться 18-ю новыми соединениями. Эти новые формирования возможно было осуществить, лишь опираясь на широкую базу в стране. В этих целях командующий воздушными силами поручил: сформировать 14-й запасный авиаотряд в Галле и открыть при нем авиашколу; расширить 13 существующих школ; учредить вторую школу летчиков-истребителей; расширить обе восточные школы артиллерийских летчиков. 24 000 новобранцев, необходимых для выполнения этих задач, должны были быть переданы воздушному флоту в кратчайшее время; было установлено два срока: 1 октября 1917 года и 1 января 1918 года. Дальнейшим серьезным затруднением было увеличение выпуска самолетов до 2000 и авиамоторов до 2500 штук в месяц. Для выполнения этих заказов авиационным заводам требовалось 2000, а моторным заводам — 5000 квалифицированных рабочих. В ведомостях срочности поставок железа и стали самолеты, авиамоторы и оборудование самолетов стояли вслед за подводными лодками. Основные работы по расширению авиапромышленности были перенесены в 1-й класс группы “„” ведомости срочности. Заводы необходимо было полностью обеспечить углем, коксом, газом, электрической энергией и газами для сварки; их потребность в станках и алюминии должна была удовлетворяться в первую очередь (11282).</w:t>
      </w:r>
    </w:p>
    <w:p w14:paraId="0C2F74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F89099" w14:textId="5501DF56" w:rsidR="00F55611" w:rsidRDefault="00F55611"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Авиапромвшленность:</w:t>
      </w:r>
    </w:p>
    <w:p w14:paraId="170A0C52" w14:textId="77777777" w:rsidR="00F55611" w:rsidRDefault="00F55611"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7875943" w14:textId="3074A34B" w:rsidR="00F55611" w:rsidRPr="00FB4F67" w:rsidRDefault="00F55611" w:rsidP="0083075A">
      <w:pPr>
        <w:spacing w:after="0" w:line="240" w:lineRule="auto"/>
        <w:jc w:val="both"/>
        <w:rPr>
          <w:rFonts w:ascii="Times New Roman" w:hAnsi="Times New Roman" w:cs="Times New Roman"/>
          <w:color w:val="0070C0"/>
          <w:sz w:val="16"/>
          <w:szCs w:val="16"/>
        </w:rPr>
      </w:pPr>
      <w:bookmarkStart w:id="151" w:name="bookmark800"/>
      <w:r w:rsidRPr="00FB4F67">
        <w:rPr>
          <w:rFonts w:ascii="Times New Roman" w:hAnsi="Times New Roman" w:cs="Times New Roman"/>
          <w:color w:val="0070C0"/>
          <w:sz w:val="16"/>
          <w:szCs w:val="16"/>
        </w:rPr>
        <w:t xml:space="preserve">8 </w:t>
      </w:r>
      <w:r>
        <w:rPr>
          <w:rFonts w:ascii="Times New Roman" w:hAnsi="Times New Roman" w:cs="Times New Roman"/>
          <w:color w:val="0070C0"/>
          <w:sz w:val="16"/>
          <w:szCs w:val="16"/>
        </w:rPr>
        <w:t xml:space="preserve">(20) </w:t>
      </w:r>
      <w:r w:rsidRPr="00FB4F67">
        <w:rPr>
          <w:rFonts w:ascii="Times New Roman" w:hAnsi="Times New Roman" w:cs="Times New Roman"/>
          <w:color w:val="0070C0"/>
          <w:sz w:val="16"/>
          <w:szCs w:val="16"/>
        </w:rPr>
        <w:t>июня 1917 г. в телефонограмме из УВВС говорилось: «На авиационных заводах Лебедева и Русско-Балтийском рабочими устранены директора и в связи с этим нарушен нормальный ход работы» (23472).</w:t>
      </w:r>
    </w:p>
    <w:p w14:paraId="1E785761" w14:textId="77777777" w:rsidR="00F55611" w:rsidRPr="00FB4F67" w:rsidRDefault="00F55611" w:rsidP="0083075A">
      <w:pPr>
        <w:spacing w:after="0" w:line="240" w:lineRule="auto"/>
        <w:jc w:val="both"/>
        <w:rPr>
          <w:rFonts w:ascii="Times New Roman" w:hAnsi="Times New Roman" w:cs="Times New Roman"/>
          <w:color w:val="0070C0"/>
          <w:sz w:val="16"/>
          <w:szCs w:val="16"/>
        </w:rPr>
      </w:pPr>
    </w:p>
    <w:bookmarkEnd w:id="151"/>
    <w:p w14:paraId="7D3F79E5" w14:textId="7ED04593" w:rsidR="0073216F"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07343CE2" w14:textId="77777777" w:rsidR="0073216F" w:rsidRPr="002F2FDF" w:rsidRDefault="0073216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1052C9" w14:textId="77777777" w:rsidR="0073216F" w:rsidRPr="002F2FDF" w:rsidRDefault="0073216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(20) июня 1917 Журнал № 16 заседания Особого совещания для разработки и проведения мероприятий, направленных к подъему горного промысла в России и о привлечении американского капитала в горную и горнозаводскую промышленность России.</w:t>
      </w:r>
    </w:p>
    <w:p w14:paraId="5F44DB0F" w14:textId="26AF5D35" w:rsidR="0073216F" w:rsidRPr="002F2FDF" w:rsidRDefault="0073216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461-465</w:t>
      </w:r>
    </w:p>
    <w:p w14:paraId="6F94B9F8" w14:textId="3EA3D639" w:rsidR="0073216F" w:rsidRPr="002F2FDF" w:rsidRDefault="0073216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ЦГАОР, ф. 3348, оп. № 1, д. 126, лл. 92—99. Копия.</w:t>
      </w:r>
    </w:p>
    <w:p w14:paraId="37AF5209"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Присутствовали под председательством С. Ф. Малявкина товарищ министра торговли и промышленности П. И. Пальчинский, члены Особого совещания — А. Л. Бабошин, В. Б. Ельяшевич, Б. Ф. Мефферт, Д. И. Мушкетов, С. Н. Петров, М. П. Рыбалкин, А. А. Снятков, секретарь</w:t>
      </w:r>
    </w:p>
    <w:p w14:paraId="5BEAEF52"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Н. И. Берлинг, пом. секретаря С. К. Шварсалон; особо приглашенные — Е. Г. Тягельский и Ф. Ф. Фосс.</w:t>
      </w:r>
    </w:p>
    <w:p w14:paraId="5EEC04A3"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На обсуждение временного Особого совещания был поставлен вопрос: что можно и следует сделать для привлечения в русскую горную промышленность американских капиталистов и что мы можем в настоящее время предложить американским капиталистам в области этой отрасли промышленности, куда до сих пор, как показывает опыт, американцы идут неохотно. Срочность означенного вопроса вызвана пребыванием сейчас в России Чрезвычайной американской миссии и предстоящим в скором времени отъездом в Северную Америку уполномоченных лиц, командируемых для усиления по горной части миссии Бахметьева.</w:t>
      </w:r>
    </w:p>
    <w:p w14:paraId="1F7AD7FA"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Докладывая по намеченным вопросам Особому совещанию, С. Ф. Малявкин предложил прежде всего выяснить, почему русская горная промышленность находится на столь низкой ступени развития, совершенно не соответствующей потребностям данного момента. Путем анализа условий, в которых существует русская промышленность, докладчик приходит к выводу, что тормозом к ее развитию служат следующие главные при чины:</w:t>
      </w:r>
    </w:p>
    <w:p w14:paraId="46BC67D7"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1) несоответствие требованиям времени периодических</w:t>
      </w:r>
      <w:hyperlink r:id="rId216" w:anchor="_ftn2" w:history="1">
        <w:r w:rsidRPr="002F2FDF">
          <w:rPr>
            <w:rStyle w:val="a5"/>
            <w:color w:val="000000" w:themeColor="text1"/>
            <w:kern w:val="2"/>
            <w:sz w:val="16"/>
            <w:szCs w:val="16"/>
          </w:rPr>
          <w:t>[2]</w:t>
        </w:r>
      </w:hyperlink>
      <w:r w:rsidRPr="002F2FDF">
        <w:rPr>
          <w:color w:val="000000" w:themeColor="text1"/>
          <w:kern w:val="2"/>
          <w:sz w:val="16"/>
          <w:szCs w:val="16"/>
        </w:rPr>
        <w:t xml:space="preserve"> норм и еще более</w:t>
      </w:r>
    </w:p>
    <w:p w14:paraId="44E86AA9"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2) политических условий страны;</w:t>
      </w:r>
    </w:p>
    <w:p w14:paraId="2350C125"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3) отсутствие общего плана экономического развития страны и</w:t>
      </w:r>
    </w:p>
    <w:p w14:paraId="6C0E638F"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4) вытекающее отсюда отсутствие капиталов внутри страны;</w:t>
      </w:r>
    </w:p>
    <w:p w14:paraId="7F0E4AD9"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5) как следствие п. 3 отсутствие твердой политики в области горной промышленности;</w:t>
      </w:r>
    </w:p>
    <w:p w14:paraId="625A683B"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6) слабая изученность минеральных ресурсов страны, и, наконец,</w:t>
      </w:r>
    </w:p>
    <w:p w14:paraId="415D93F3"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7) отсутствие соответствующего персонала, технического и рабочего. как следствие недостаточности профессионального образования, приспособленного для нужд горного промысла.</w:t>
      </w:r>
    </w:p>
    <w:p w14:paraId="3E019610"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Для поднятия на подобающую высоту горного промысла в России нужно, конечно, устранение всех, только что перечисленных недочетов, но в первую очередь для сколько-нибудь планомерного привлечения иностранного капитала, который пришел бы, не случайно покидая другие перегруженные рынки, а явился бы, так сказать, обдуманно и с точным расчетом, совершенно необходимо создать безусловную гарантию опреде ленной и твердой политики в области горной и горнозаводской промышленности в России.</w:t>
      </w:r>
    </w:p>
    <w:p w14:paraId="5DE6B3E9"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Однако, как отметил С. Ф. Малявкин, самое понятие о твердой горной политике представляется вопросом сложным, далеко не бесспорным, почти для всех продуктов горного промысла, за исключением, быть может, таких товаров, как например золото и платина, быстро реализуемых и всегда имеющих на рынке определенную цену.</w:t>
      </w:r>
    </w:p>
    <w:p w14:paraId="7690D226"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При отдаче иностранным капиталистам под разработку наших горных богатств следует различать между таковыми богатствами изученные и неизученные, причем если для первых может считаться подходящим способ аренды, для вторых желательнее применять порядок концессионный. Но, кроме того, при отдаче концессий было бы весьма полезно обуславливать, что известные затраты должны быть произведены концессионерами для исследований в еще не изученных областях наших горных богатств. Такое условие тем более необходимо, что оно обеспечивает образование для цел</w:t>
      </w:r>
      <w:r w:rsidR="00202F89" w:rsidRPr="002F2FDF">
        <w:rPr>
          <w:color w:val="000000" w:themeColor="text1"/>
          <w:kern w:val="2"/>
          <w:sz w:val="16"/>
          <w:szCs w:val="16"/>
        </w:rPr>
        <w:t>е</w:t>
      </w:r>
      <w:r w:rsidRPr="002F2FDF">
        <w:rPr>
          <w:color w:val="000000" w:themeColor="text1"/>
          <w:kern w:val="2"/>
          <w:sz w:val="16"/>
          <w:szCs w:val="16"/>
        </w:rPr>
        <w:t>й таковых исследований значительного денежного фонда, в то время как постановка этих разведочных работ в столь широком масштабе была бы не по средствам одной казне.</w:t>
      </w:r>
    </w:p>
    <w:p w14:paraId="2CDAFA36"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 xml:space="preserve">Обращаясь к тем конкретным предложениям, которые могли бы уже сейчас быть сделаны американским капиталистам, С. Ф. Малявкин останавливается прежде всего на дальневосточной и сибирской горнопромышленности. В этой области мы могли бы, по мнению докладчика, предложить американскому капиталу о. Сахалин — для нефти и угля (внедрение американцев на Сахалине было бы весьма полезно с политической точки зрения, в противовес японскому влиянию, однако при условии </w:t>
      </w:r>
      <w:r w:rsidRPr="002F2FDF">
        <w:rPr>
          <w:color w:val="000000" w:themeColor="text1"/>
          <w:kern w:val="2"/>
          <w:sz w:val="16"/>
          <w:szCs w:val="16"/>
        </w:rPr>
        <w:lastRenderedPageBreak/>
        <w:t>сохранения достаточно тесных связей острова с метрополией), некоторые районы Сибири, в особенности же Алтайский — для золоторудного дела, тощие угли в России, Урал для железнодорожного дела и Дашкесан — для магнитных железняков, вообще Кавказ — для медного дела, и т. д.</w:t>
      </w:r>
    </w:p>
    <w:p w14:paraId="67BDAD93"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Приведенный краткий перечень, как заметил С. Ф. Малявкин, не претендует, само собою, исчерпать все возможные предложения американскому капиталу в области горной и горнозаводской промышленности, но может служить как бы для примера и иллюстрации.</w:t>
      </w:r>
    </w:p>
    <w:p w14:paraId="72B8D6F0"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Доклад С. Ф. Малявкина вызвал весьма оживленный обмен мнений, выяснивший принципиальное согласие большинства присутствующих с основными положениями, выдвинутыми докладчиком для характеристики причин, тормозящих развитие горной промышленности и для возможного устранения этих причин.</w:t>
      </w:r>
    </w:p>
    <w:p w14:paraId="381A9CAA"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П. И. Нальчикский подчеркнул необходимость выработки совершенно определенного широкого плана экономического развития производительных сил России, в коем развитие горной промышленности составляет лишь часть общей программы.</w:t>
      </w:r>
    </w:p>
    <w:p w14:paraId="6FF8F9C0"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Выработанная под таким углом зрения программа может и должна дать достаточно конкретную горную политику, опираясь на которую государство сможет немедленно предпринять определенные шаги для развития отечественного горного промысла. Общая схема должна быть такова: что возможно и что желательно сделать сейчас же в интересующей нас области. Какое место отведено для данной отрасли промышленности в общей программе экономического развития страны, а затем уже, в частности, в плане развития именно горного промысла, какие можно сделать конкретные предложения иностранному, в том числе американскому, капиталу по принципу установления очередности, градации от 100 до 0% этих предположений. Точное знание наших первоочередных нужд в области горного дела необходимо не только для нас самих, оно важно также для иностранцев, желающих вложить в это дело свои капиталы. Без такого знания невозможно выяснить вопрос [о] взаимной выгоде и</w:t>
      </w:r>
    </w:p>
    <w:p w14:paraId="3D922C57"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0 согласовании интересов, если последние совпадают. Неправильно, по мнению П. И. Пальчинского, поддержанному большинством присутствующих, думать, что иностранные капиталисты охотнее пойдут в русское горное дело, если им будет предоставлена возможность быстрого и выгодного, без разбора и вне зависимости от общего плана, помещения капиталов. Такая выгода может оказаться только призрачной и во всяком случае временной, для русских же государственных интересов подобная постановка дела была бы совершенно недопустимой.</w:t>
      </w:r>
    </w:p>
    <w:p w14:paraId="2BBBED88"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Что касается, в частности, американских капиталов, то, вероятно, эти капиталы пойдут в русскую промышленность охотнее, чем французские и английские, так как опыт помещения первых в России оказался для них не всегда благоприятным, а Англия вообще опасается конкуренции русской обрабатывающей промышленности. Германских же капиталов, явных и скрытых под флагом нейтральных, должна избегать сама русская горная промышленность.</w:t>
      </w:r>
    </w:p>
    <w:p w14:paraId="639451C5"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Ввиду этого привлечение американского капитала, как чисто делового и аполитичного, в противовес европейским иностранным капиталам, является для России делом государственной мудрости и необходимости.</w:t>
      </w:r>
    </w:p>
    <w:p w14:paraId="4C11EAD3"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Размеры, в которых можно привлечь в русский горный промысел иностранные капиталы, громадны, но все же их можно указать вполне конкретно.</w:t>
      </w:r>
    </w:p>
    <w:p w14:paraId="666A8EF2"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Так, на основании точных вычислений — путем помножения на определенный коэффициент стоимости производства единицы количества данного продукта, которое необходимо стране, — П. И. Пальчинский приходит к выводу, что для ближайших 5—10 лет развитие металлургической промышленности потребует не менее 1 млрд. руб. (из них по 125 млн. на красный и белый металлы, и остальные — на черный), горючих ископаемых — 4 млрд. руб., из них 3 млрд на твердое минеральное топливо и 1 млрд. на жидкое — нефть.</w:t>
      </w:r>
    </w:p>
    <w:p w14:paraId="20FAC224"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Если же присчитать к горному промыслу тесно связанное с ним и с производимыми им продуктами железнодорожное дело, то следует еще прибавить по крайней мере 4 млрд., необходимых для намеченного развития железнодорожной сети, и, кроме того, 1 млрд. на карьеры и клинкерные заводы,</w:t>
      </w:r>
      <w:hyperlink r:id="rId217" w:anchor="_ftn3" w:history="1">
        <w:r w:rsidRPr="002F2FDF">
          <w:rPr>
            <w:rStyle w:val="a5"/>
            <w:color w:val="000000" w:themeColor="text1"/>
            <w:kern w:val="2"/>
            <w:sz w:val="16"/>
            <w:szCs w:val="16"/>
          </w:rPr>
          <w:t>[3]</w:t>
        </w:r>
      </w:hyperlink>
      <w:r w:rsidRPr="002F2FDF">
        <w:rPr>
          <w:color w:val="000000" w:themeColor="text1"/>
          <w:kern w:val="2"/>
          <w:sz w:val="16"/>
          <w:szCs w:val="16"/>
        </w:rPr>
        <w:t xml:space="preserve"> что, таким образом, доведет до 1.0 млрд ту минимальную сумму капиталов, которые нужны для подъема русского горного дела в течение ближайшего периода времени.</w:t>
      </w:r>
    </w:p>
    <w:p w14:paraId="4EF6ABF4"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В эту сумму, как она ни кажется великой, не включены ни расходы, необходимые для обучения технически подготовленного персонала, увеличение коего неизбежно, ни расходы на развитие целого ряда отраслей горнопромышленности как-то: золотого дела, соляной и химической промышленности п т. п.</w:t>
      </w:r>
    </w:p>
    <w:p w14:paraId="682F976A"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Положения, высказанные 11. И. Пальчинским, всецело поддерживали и другие члены Особого совещания, в том числе В. Б. Ельяшевич и Б. Ф. Мефферт. В. Б. Ельяшевич полагал, что правильнее было бы ставить вопрос не о «привлечении» во что бы то ни стало американских капиталов, а скорее об условиях, на которых мы можем пригласить или допустить эти капиталы в отечественную горнопромышленность.</w:t>
      </w:r>
    </w:p>
    <w:p w14:paraId="04D0AD4E"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Американский народ — народ практической, коммерческой складки ума, и, если капиталисты сейчас интересуются и желают вложить свои деньги в русские предприятия, то это доказывает, что создавшаяся у нас конъюнктура еще достаточно для них и для нас благоприятная, чтобы мы могли также и сами ставить известные необходимые условия.</w:t>
      </w:r>
    </w:p>
    <w:p w14:paraId="54953D1C"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Конечно, не следует упускать из виду, что финансовое положение России крайне тяжелое и что едва ли от кризиса можно спастись одним каким-либо финансовым планом: единственный выход можно видеть в быстром развитии русской промышленности, и поэтому ввиду крайней срочности означенного вопроса можно соглашаться на приемлемые для обеих сторон — государства и иностранных капиталистов — уступки, но при непременном условии обеспечения основных русских интересов.</w:t>
      </w:r>
    </w:p>
    <w:p w14:paraId="7C5648B7"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Мысль о необходимости оградить от американских капиталистов русские интересы еще более подчеркнул А. Л. Бабошин, который заметил, что, помимо вопроса политической роли иностранного капитала при его проникновении в новую страну, должно учитываться то культурное влияние — положительное или отрицательное, — которое несет с собою этот капитал, и что, только взвесив, каким будет — благотворным для России или нет — влияние американской культуры, следует вырешить вопрос о предоставлении каких-либо льгот для американского капитала.</w:t>
      </w:r>
    </w:p>
    <w:p w14:paraId="153083C0"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С другой стороны, однако, некоторые члены Особого совещания, в том числе Ф. Ф. Фосс, полагали, что современное положение России настолько серьезно, что ради избежания финансового кризиса следует идти на очень большие уступки и все сделать для привлечения американского капитала в различные, наиболее для него выгодные и заманчивые отрасли русской горной промышленности, так как только резкое немедленное оживление промышленной деятельности может вывести Россию из создавшегося финансового тупика. Ф. Ф. Фосс полагал, что многомиллиардные цифры, высчитанные П. И. Пальчинским и одобренные большинством собрания, являются, быть может, сами по себе и обоснованными, но в настоящее время следует спешить с предложениями менее крупного масштаба.</w:t>
      </w:r>
    </w:p>
    <w:p w14:paraId="013B2C8E"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Подводя итог состоявшимся прениям, председатель отметил, что большинство временного Особого совещания согласилось, что основой для привлечения в русскую горную промышленность иностранных капиталов, в частности американских, должна быть твердая горная политика, основанная на общем плане экономического развития производительных сил страны.</w:t>
      </w:r>
    </w:p>
    <w:p w14:paraId="5628E1DB"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При этом условия для привлечения этих капиталов в каждую отрасль промышленности должны быть индивидуальны и, в частности, должны быть приняты во внимание особые условия горного промысла в России, в силу которых американцы до сих пор шли в данную отрасль не особенно охотно.</w:t>
      </w:r>
    </w:p>
    <w:p w14:paraId="796D7715"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Для устранения неопределенности в основной части горной политики мы должны прежде всего, по мнению Особого совещания, ясно установить — какими горными богатствами располагает Россия и какие из этих ресурсов ей надо в первую очередь развивать.</w:t>
      </w:r>
    </w:p>
    <w:p w14:paraId="777E54D7"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В частности, по мнению Особого совещания, одно из необходимейших условий, которое следует поставить американским капиталистам, это — использование в горных предприятиях русского элемента в лице русских техников и рабочих.</w:t>
      </w:r>
    </w:p>
    <w:p w14:paraId="4489B1D1"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Далее, Совещание высказалось преимущественно за концессионный порядок сдачи иностранцам наших горных богатств, как почти единственный применимый тип для русского горного дела.</w:t>
      </w:r>
    </w:p>
    <w:p w14:paraId="7177868D"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Наконец, С. Ф. Малявкцн обратил также внимание Особого совещания на то, что государство не предполагает создавать для американского капитала монопольного права использования всей русской горнопромышленности.</w:t>
      </w:r>
    </w:p>
    <w:p w14:paraId="1171B115"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Государство желает для этой цели привлечь и прочие капиталы не только иностранные, но и внутренние, русские, не упуская, однако, из виду, что для некоторых определенных отраслей и районов наиболее подходящим является капитал американский.</w:t>
      </w:r>
    </w:p>
    <w:p w14:paraId="51A32ECC"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Переходя, таким образом, по предложению председателя собрания к конкретному вырешению вопроса, что именно мы можем немедленно, ѵже в настоящее время предложить американскому капиталу в области русской горной промышленности, временное Особое совещание пришло к следующему заключению.</w:t>
      </w:r>
    </w:p>
    <w:p w14:paraId="7C471C7A"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Двигаясь с Востока на Запад, желательно допустить американский капитал: 1) в нефтепромышленность на о. Сахалине, однако при условии непременного участия также русских капиталов, а также сохранения тесной связи острова с метрополией; 2) углепромышленность на Дальнем Востоке (Сахалин-Сучан) в связи с железнодорожным и портовым строительством; 3) дражное (крупное золотоносное) дело; 4) золоторудное дело на Алтае; 5) железорудное дело на Южном Урале в связи с углепромышленностью в Кузнецком бассейне; 6) низкосортные тощие угли и торф в Подмосковном районе в связи с электрификацией его; 7) постройку коксовальных печей и усиление добычи угля на Юге России; 8) карьерную и цементную промышленность; 9) на Кавказе — медь и белый уголь (гидротехнические сооружения), марганцы и ферромарганцы, курортное дело я т. п.</w:t>
      </w:r>
    </w:p>
    <w:p w14:paraId="4F1C6264" w14:textId="77777777" w:rsidR="0073216F" w:rsidRPr="002F2FDF" w:rsidRDefault="0073216F" w:rsidP="0083075A">
      <w:pPr>
        <w:pStyle w:val="rtejustify"/>
        <w:spacing w:before="0" w:after="0"/>
        <w:rPr>
          <w:color w:val="000000" w:themeColor="text1"/>
          <w:kern w:val="2"/>
          <w:sz w:val="16"/>
          <w:szCs w:val="16"/>
        </w:rPr>
      </w:pPr>
      <w:r w:rsidRPr="002F2FDF">
        <w:rPr>
          <w:color w:val="000000" w:themeColor="text1"/>
          <w:kern w:val="2"/>
          <w:sz w:val="16"/>
          <w:szCs w:val="16"/>
        </w:rPr>
        <w:t>Приведенный краткий перечень, одобренный временным Особым совещанием, не может, однако, по его мнению, считаться окончательным и исчерпывающим, а должен служить как бы примерным и иллюстрирующим, конкретным перечислением наличности, тот общий фон русских национальных горных богатств, планомерное развитие коих является одной из важных составных частей общей программы экономического развития производительных сил России.</w:t>
      </w:r>
    </w:p>
    <w:p w14:paraId="0EF769BA" w14:textId="77777777" w:rsidR="0073216F" w:rsidRPr="002F2FDF" w:rsidRDefault="00000000" w:rsidP="0083075A">
      <w:pPr>
        <w:pStyle w:val="ae"/>
        <w:spacing w:before="0" w:after="0"/>
        <w:jc w:val="both"/>
        <w:rPr>
          <w:color w:val="000000" w:themeColor="text1"/>
          <w:kern w:val="2"/>
          <w:sz w:val="16"/>
          <w:szCs w:val="16"/>
        </w:rPr>
      </w:pPr>
      <w:hyperlink r:id="rId218" w:anchor="_ftnref1" w:history="1">
        <w:r w:rsidR="0073216F" w:rsidRPr="002F2FDF">
          <w:rPr>
            <w:rStyle w:val="a5"/>
            <w:color w:val="000000" w:themeColor="text1"/>
            <w:kern w:val="2"/>
            <w:sz w:val="16"/>
            <w:szCs w:val="16"/>
          </w:rPr>
          <w:t>[1]</w:t>
        </w:r>
      </w:hyperlink>
      <w:r w:rsidR="0073216F" w:rsidRPr="002F2FDF">
        <w:rPr>
          <w:color w:val="000000" w:themeColor="text1"/>
          <w:kern w:val="2"/>
          <w:sz w:val="16"/>
          <w:szCs w:val="16"/>
        </w:rPr>
        <w:t xml:space="preserve"> Особое совещание для разработки и проведения мероприятий, направленных к подъему горного промысла в России, было образовано при Горном департаменте Министерства торговли и промышленности в апреле 1917 г.</w:t>
      </w:r>
    </w:p>
    <w:p w14:paraId="449FBE6A" w14:textId="77777777" w:rsidR="0073216F" w:rsidRPr="002F2FDF" w:rsidRDefault="00000000" w:rsidP="0083075A">
      <w:pPr>
        <w:pStyle w:val="ae"/>
        <w:spacing w:before="0" w:after="0"/>
        <w:jc w:val="both"/>
        <w:rPr>
          <w:color w:val="000000" w:themeColor="text1"/>
          <w:kern w:val="2"/>
          <w:sz w:val="16"/>
          <w:szCs w:val="16"/>
        </w:rPr>
      </w:pPr>
      <w:hyperlink r:id="rId219" w:anchor="_ftnref2" w:history="1">
        <w:r w:rsidR="0073216F" w:rsidRPr="002F2FDF">
          <w:rPr>
            <w:rStyle w:val="a5"/>
            <w:color w:val="000000" w:themeColor="text1"/>
            <w:kern w:val="2"/>
            <w:sz w:val="16"/>
            <w:szCs w:val="16"/>
          </w:rPr>
          <w:t>[2]</w:t>
        </w:r>
      </w:hyperlink>
      <w:r w:rsidR="0073216F" w:rsidRPr="002F2FDF">
        <w:rPr>
          <w:color w:val="000000" w:themeColor="text1"/>
          <w:kern w:val="2"/>
          <w:sz w:val="16"/>
          <w:szCs w:val="16"/>
        </w:rPr>
        <w:t xml:space="preserve"> Так в док.</w:t>
      </w:r>
    </w:p>
    <w:p w14:paraId="3F58CB0A" w14:textId="77777777" w:rsidR="0073216F" w:rsidRPr="002F2FDF" w:rsidRDefault="00000000" w:rsidP="0083075A">
      <w:pPr>
        <w:pStyle w:val="ae"/>
        <w:spacing w:before="0" w:after="0"/>
        <w:jc w:val="both"/>
        <w:rPr>
          <w:color w:val="000000" w:themeColor="text1"/>
          <w:kern w:val="2"/>
          <w:sz w:val="16"/>
          <w:szCs w:val="16"/>
        </w:rPr>
      </w:pPr>
      <w:hyperlink r:id="rId220" w:anchor="_ftnref3" w:history="1">
        <w:r w:rsidR="0073216F" w:rsidRPr="002F2FDF">
          <w:rPr>
            <w:rStyle w:val="a5"/>
            <w:color w:val="000000" w:themeColor="text1"/>
            <w:kern w:val="2"/>
            <w:sz w:val="16"/>
            <w:szCs w:val="16"/>
          </w:rPr>
          <w:t>[3]</w:t>
        </w:r>
      </w:hyperlink>
      <w:r w:rsidR="0073216F" w:rsidRPr="002F2FDF">
        <w:rPr>
          <w:color w:val="000000" w:themeColor="text1"/>
          <w:kern w:val="2"/>
          <w:sz w:val="16"/>
          <w:szCs w:val="16"/>
        </w:rPr>
        <w:t xml:space="preserve"> Клинкерные заводы — заводы по изготовлению искусственного камня большой прочности (15202).</w:t>
      </w:r>
    </w:p>
    <w:p w14:paraId="4C721300" w14:textId="77777777" w:rsidR="0073216F" w:rsidRPr="002F2FDF" w:rsidRDefault="0073216F"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4F4FD51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4ADE6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7E5F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8 (21) по 14 (17) июня 1917 летчики группы 1БАГ со</w:t>
      </w:r>
      <w:r w:rsidRPr="002F2FDF">
        <w:rPr>
          <w:rFonts w:ascii="Times New Roman" w:hAnsi="Times New Roman" w:cs="Times New Roman"/>
          <w:color w:val="000000" w:themeColor="text1"/>
          <w:kern w:val="2"/>
          <w:sz w:val="16"/>
          <w:szCs w:val="16"/>
        </w:rPr>
        <w:softHyphen/>
        <w:t>вершили 72 боевых вылета и 23 воз</w:t>
      </w:r>
      <w:r w:rsidRPr="002F2FDF">
        <w:rPr>
          <w:rFonts w:ascii="Times New Roman" w:hAnsi="Times New Roman" w:cs="Times New Roman"/>
          <w:color w:val="000000" w:themeColor="text1"/>
          <w:kern w:val="2"/>
          <w:sz w:val="16"/>
          <w:szCs w:val="16"/>
        </w:rPr>
        <w:softHyphen/>
        <w:t>душных боя (3954).</w:t>
      </w:r>
    </w:p>
    <w:p w14:paraId="31158E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0A64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июня 1917 при прыжке с парашютом машиниста лебедки змейкового аэростата Деревенко случилось несчастье: лопнувшая в воздухе стропа захлестнула остальные и не дала куполу наполниться воздухом. Деревенко разбился. Это была первая в России жертва при прыжках с пара шютом. Всего в этом году в России было совершено 62 прыжка (5 с парашютом Котельникова, остальные с парашютом Жюкмеса) и 17 из них закончились катастрофой.</w:t>
      </w:r>
    </w:p>
    <w:p w14:paraId="60CBF0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Гибли наблюдатели змейковых аэростатов не только по вине парашютов. Их также расстреливали во время снижения с парашютом германские истребители (11999).</w:t>
      </w:r>
    </w:p>
    <w:p w14:paraId="0AE136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05B947" w14:textId="77777777" w:rsidR="000F43BC" w:rsidRPr="002F2FDF" w:rsidRDefault="000F43B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8 июня по 4 октября </w:t>
      </w:r>
      <w:r w:rsidR="00BA5C59" w:rsidRPr="002F2FDF">
        <w:rPr>
          <w:rFonts w:ascii="Times New Roman" w:hAnsi="Times New Roman" w:cs="Times New Roman"/>
          <w:color w:val="000000" w:themeColor="text1"/>
          <w:kern w:val="2"/>
          <w:sz w:val="16"/>
          <w:szCs w:val="16"/>
        </w:rPr>
        <w:t xml:space="preserve">(с 21 июня по 17 октября) </w:t>
      </w:r>
      <w:r w:rsidRPr="002F2FDF">
        <w:rPr>
          <w:rFonts w:ascii="Times New Roman" w:hAnsi="Times New Roman" w:cs="Times New Roman"/>
          <w:color w:val="000000" w:themeColor="text1"/>
          <w:kern w:val="2"/>
          <w:sz w:val="16"/>
          <w:szCs w:val="16"/>
        </w:rPr>
        <w:t>1917 года погибли воспользовавшиеся парашютом "Жюкмесс" восемь офицеров. Считалось, что каждый третий прыжок на парашюте "Жюкмесс" заканчивался катастрофой. Столько же человек за этот период получили легкие повреждения. Между тем парашют Котельникова-дал лишь один не вполне благополучный спуск. 5 июля 1917 года прыгнувший с ним с зажженного неприятелем наблюдательного аэростата (высота 150 метров) старший унтер-офицер Кочмара при приземлении сильно ушиб ноги. Это единственный известный исследователям аварийный случай с парашютом Котельникова из изученных 57 случаев. Ни одной аварии, закончившейся смертью прыгавшего, парашют "РК-1" не дал (12234).</w:t>
      </w:r>
    </w:p>
    <w:p w14:paraId="5FA1D10D" w14:textId="77777777" w:rsidR="000F43BC" w:rsidRPr="002F2FDF" w:rsidRDefault="000F43BC" w:rsidP="0083075A">
      <w:pPr>
        <w:spacing w:after="0" w:line="240" w:lineRule="auto"/>
        <w:jc w:val="both"/>
        <w:rPr>
          <w:rFonts w:ascii="Times New Roman" w:hAnsi="Times New Roman" w:cs="Times New Roman"/>
          <w:color w:val="000000" w:themeColor="text1"/>
          <w:kern w:val="2"/>
          <w:sz w:val="16"/>
          <w:szCs w:val="16"/>
        </w:rPr>
      </w:pPr>
    </w:p>
    <w:p w14:paraId="0ECB652E" w14:textId="77777777" w:rsidR="00B76D7A" w:rsidRPr="002F2FDF" w:rsidRDefault="00B76D7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8 (21) июня 1917 г. из корзины аэростата выпрыгнул машинист лебёдки Деревенко (Деревенский). Лопнувшая стропа захлестнула другие стропы парашюта, и его купол не наполнился воздухом. Деревенко стал первой жертвой отечественного военного парашютизма (20120).</w:t>
      </w:r>
    </w:p>
    <w:p w14:paraId="2BF55361" w14:textId="77777777" w:rsidR="00B76D7A" w:rsidRPr="002F2FDF" w:rsidRDefault="00B76D7A" w:rsidP="0083075A">
      <w:pPr>
        <w:spacing w:after="0" w:line="240" w:lineRule="auto"/>
        <w:jc w:val="both"/>
        <w:rPr>
          <w:rFonts w:ascii="Times New Roman" w:hAnsi="Times New Roman" w:cs="Times New Roman"/>
          <w:color w:val="000000" w:themeColor="text1"/>
          <w:sz w:val="16"/>
          <w:szCs w:val="16"/>
        </w:rPr>
      </w:pPr>
    </w:p>
    <w:p w14:paraId="5DDDCE17" w14:textId="77777777" w:rsidR="00AF28C3" w:rsidRPr="002F2FDF" w:rsidRDefault="00AF28C3"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июня 1917 глава Временного правительства России А. Керенский провел смотр женского батальона смерти в Петрограде (4962).</w:t>
      </w:r>
    </w:p>
    <w:p w14:paraId="2138378D" w14:textId="77777777" w:rsidR="00AF28C3" w:rsidRPr="002F2FDF" w:rsidRDefault="00AF28C3"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B7E4FB" w14:textId="77777777" w:rsidR="00AF28C3" w:rsidRPr="002F2FDF" w:rsidRDefault="00AF28C3" w:rsidP="0083075A">
      <w:pPr>
        <w:pStyle w:val="ae"/>
        <w:spacing w:before="0" w:after="0"/>
        <w:jc w:val="both"/>
        <w:rPr>
          <w:color w:val="000000" w:themeColor="text1"/>
          <w:kern w:val="2"/>
          <w:sz w:val="16"/>
          <w:szCs w:val="16"/>
        </w:rPr>
      </w:pPr>
      <w:r w:rsidRPr="002F2FDF">
        <w:rPr>
          <w:color w:val="000000" w:themeColor="text1"/>
          <w:kern w:val="2"/>
          <w:sz w:val="16"/>
          <w:szCs w:val="16"/>
        </w:rPr>
        <w:t>8 (21) июня 1917 в Петрограде на площади у Исаакиевского собора состоялась торжественная церемония вручения знамени новой «ударной» воинской части, сформированной из женщин — «Первой женской военной команде смерти Марии Бочкаревой». Военное командование и Временное правительство рассчитывали, что пример женщин, идущих в атаку, должен будет устыдить солдат-мужчин, увлекшихся «митинговщиной», и вернуть боеспособность армии (17045).</w:t>
      </w:r>
    </w:p>
    <w:p w14:paraId="1DD832F9" w14:textId="77777777" w:rsidR="00AF28C3" w:rsidRPr="002F2FDF" w:rsidRDefault="00AF28C3" w:rsidP="0083075A">
      <w:pPr>
        <w:pStyle w:val="ae"/>
        <w:spacing w:before="0" w:after="0"/>
        <w:jc w:val="both"/>
        <w:rPr>
          <w:color w:val="000000" w:themeColor="text1"/>
          <w:kern w:val="2"/>
          <w:sz w:val="16"/>
          <w:szCs w:val="16"/>
        </w:rPr>
      </w:pPr>
    </w:p>
    <w:p w14:paraId="0A28405E" w14:textId="77777777" w:rsidR="00AF28C3" w:rsidRPr="002F2FDF" w:rsidRDefault="00AF28C3" w:rsidP="0083075A">
      <w:pPr>
        <w:pStyle w:val="ae"/>
        <w:spacing w:before="0" w:after="0"/>
        <w:jc w:val="both"/>
        <w:rPr>
          <w:color w:val="000000" w:themeColor="text1"/>
          <w:kern w:val="2"/>
          <w:sz w:val="16"/>
          <w:szCs w:val="16"/>
        </w:rPr>
      </w:pPr>
      <w:r w:rsidRPr="002F2FDF">
        <w:rPr>
          <w:color w:val="000000" w:themeColor="text1"/>
          <w:kern w:val="2"/>
          <w:sz w:val="16"/>
          <w:szCs w:val="16"/>
        </w:rPr>
        <w:t>8 (21) июня 1917 Донской войсковой круг выбрал своим войсковым наказным атаманом героя войны генерала Алексея Максимовича Каледина. Он стал первым выборным атаманом Войска Донского с 1709 года, когда эта должность была упразднена Петром I (17045).</w:t>
      </w:r>
    </w:p>
    <w:p w14:paraId="453A1BAF" w14:textId="77777777" w:rsidR="00AF28C3" w:rsidRPr="002F2FDF" w:rsidRDefault="00AF28C3"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44D1A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июня 1917 отстраненный от должности командующего Черноморского флота адмирал А. Колчак демонстративно выбросил свой кортик в море и уехал из Севастополя в Петроград (4962).</w:t>
      </w:r>
    </w:p>
    <w:p w14:paraId="282AEB2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8BEC98" w14:textId="77777777" w:rsidR="00053D9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r w:rsidR="00053D91" w:rsidRPr="002F2FDF">
        <w:rPr>
          <w:rFonts w:ascii="Times New Roman" w:hAnsi="Times New Roman" w:cs="Times New Roman"/>
          <w:iCs/>
          <w:color w:val="000000" w:themeColor="text1"/>
          <w:kern w:val="2"/>
          <w:sz w:val="16"/>
          <w:szCs w:val="16"/>
        </w:rPr>
        <w:t>:</w:t>
      </w:r>
    </w:p>
    <w:p w14:paraId="40004A40" w14:textId="77777777" w:rsidR="00053D91" w:rsidRPr="002F2FDF" w:rsidRDefault="00053D9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2D5A94" w14:textId="421B827B" w:rsidR="00BF13D4" w:rsidRPr="002F2FDF" w:rsidRDefault="00BF13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w:t>
      </w:r>
      <w:hyperlink r:id="rId221" w:tooltip="21 июня" w:history="1">
        <w:r w:rsidRPr="002F2FDF">
          <w:rPr>
            <w:rStyle w:val="a5"/>
            <w:rFonts w:ascii="Times New Roman" w:hAnsi="Times New Roman" w:cs="Times New Roman"/>
            <w:color w:val="000000" w:themeColor="text1"/>
            <w:kern w:val="2"/>
            <w:sz w:val="16"/>
            <w:szCs w:val="16"/>
            <w:u w:val="none"/>
          </w:rPr>
          <w:t>21</w:t>
        </w:r>
      </w:hyperlink>
      <w:r w:rsidRPr="002F2FDF">
        <w:rPr>
          <w:rFonts w:ascii="Times New Roman" w:hAnsi="Times New Roman" w:cs="Times New Roman"/>
          <w:color w:val="000000" w:themeColor="text1"/>
          <w:kern w:val="2"/>
          <w:sz w:val="16"/>
          <w:szCs w:val="16"/>
        </w:rPr>
        <w:t>)</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июня</w:t>
      </w:r>
      <w:r w:rsidR="00E52569">
        <w:rPr>
          <w:rFonts w:ascii="Times New Roman" w:hAnsi="Times New Roman" w:cs="Times New Roman"/>
          <w:color w:val="000000" w:themeColor="text1"/>
          <w:kern w:val="2"/>
          <w:sz w:val="16"/>
          <w:szCs w:val="16"/>
        </w:rPr>
        <w:t xml:space="preserve"> </w:t>
      </w:r>
      <w:hyperlink r:id="rId222" w:tooltip="1917 год" w:history="1">
        <w:r w:rsidRPr="002F2FDF">
          <w:rPr>
            <w:rStyle w:val="a5"/>
            <w:rFonts w:ascii="Times New Roman" w:hAnsi="Times New Roman" w:cs="Times New Roman"/>
            <w:color w:val="000000" w:themeColor="text1"/>
            <w:kern w:val="2"/>
            <w:sz w:val="16"/>
            <w:szCs w:val="16"/>
            <w:u w:val="none"/>
          </w:rPr>
          <w:t>1917</w:t>
        </w:r>
      </w:hyperlink>
      <w:r w:rsidRPr="002F2FDF">
        <w:rPr>
          <w:rFonts w:ascii="Times New Roman" w:hAnsi="Times New Roman" w:cs="Times New Roman"/>
          <w:color w:val="000000" w:themeColor="text1"/>
          <w:kern w:val="2"/>
          <w:sz w:val="16"/>
          <w:szCs w:val="16"/>
        </w:rPr>
        <w:t xml:space="preserve"> ЦК и ПК РСДРП (б) объявили о намерении провести 10</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w:t>
      </w:r>
      <w:hyperlink r:id="rId223" w:tooltip="23 июня" w:history="1">
        <w:r w:rsidRPr="002F2FDF">
          <w:rPr>
            <w:rStyle w:val="a5"/>
            <w:rFonts w:ascii="Times New Roman" w:hAnsi="Times New Roman" w:cs="Times New Roman"/>
            <w:color w:val="000000" w:themeColor="text1"/>
            <w:kern w:val="2"/>
            <w:sz w:val="16"/>
            <w:szCs w:val="16"/>
            <w:u w:val="none"/>
          </w:rPr>
          <w:t>23</w:t>
        </w:r>
      </w:hyperlink>
      <w:r w:rsidRPr="002F2FDF">
        <w:rPr>
          <w:rFonts w:ascii="Times New Roman" w:hAnsi="Times New Roman" w:cs="Times New Roman"/>
          <w:color w:val="000000" w:themeColor="text1"/>
          <w:kern w:val="2"/>
          <w:sz w:val="16"/>
          <w:szCs w:val="16"/>
        </w:rPr>
        <w:t>)</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июня</w:t>
      </w:r>
      <w:r w:rsidR="00E52569">
        <w:rPr>
          <w:rFonts w:ascii="Times New Roman" w:hAnsi="Times New Roman" w:cs="Times New Roman"/>
          <w:color w:val="000000" w:themeColor="text1"/>
          <w:kern w:val="2"/>
          <w:sz w:val="16"/>
          <w:szCs w:val="16"/>
        </w:rPr>
        <w:t xml:space="preserve"> </w:t>
      </w:r>
      <w:hyperlink r:id="rId224" w:tooltip="1917 год" w:history="1">
        <w:r w:rsidRPr="002F2FDF">
          <w:rPr>
            <w:rStyle w:val="a5"/>
            <w:rFonts w:ascii="Times New Roman" w:hAnsi="Times New Roman" w:cs="Times New Roman"/>
            <w:color w:val="000000" w:themeColor="text1"/>
            <w:kern w:val="2"/>
            <w:sz w:val="16"/>
            <w:szCs w:val="16"/>
            <w:u w:val="none"/>
          </w:rPr>
          <w:t>1917</w:t>
        </w:r>
      </w:hyperlink>
      <w:r w:rsidRPr="002F2FDF">
        <w:rPr>
          <w:rFonts w:ascii="Times New Roman" w:hAnsi="Times New Roman" w:cs="Times New Roman"/>
          <w:color w:val="000000" w:themeColor="text1"/>
          <w:kern w:val="2"/>
          <w:sz w:val="16"/>
          <w:szCs w:val="16"/>
        </w:rPr>
        <w:t xml:space="preserve"> мирную демонстрацию в поддержку требований бастующих рабочих. На другой день, однако, под давлением эсеро-меньшевистского большинства Съезда Советов, обвинившего большевиков в организации «военного заговора», ЦК РСДРП (б), не желая противопоставлять себя съезду, отменил свою демонстрацию. 12</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w:t>
      </w:r>
      <w:hyperlink r:id="rId225" w:tooltip="25 июня" w:history="1">
        <w:r w:rsidRPr="002F2FDF">
          <w:rPr>
            <w:rStyle w:val="a5"/>
            <w:rFonts w:ascii="Times New Roman" w:hAnsi="Times New Roman" w:cs="Times New Roman"/>
            <w:color w:val="000000" w:themeColor="text1"/>
            <w:kern w:val="2"/>
            <w:sz w:val="16"/>
            <w:szCs w:val="16"/>
            <w:u w:val="none"/>
          </w:rPr>
          <w:t>25</w:t>
        </w:r>
      </w:hyperlink>
      <w:r w:rsidRPr="002F2FDF">
        <w:rPr>
          <w:rFonts w:ascii="Times New Roman" w:hAnsi="Times New Roman" w:cs="Times New Roman"/>
          <w:color w:val="000000" w:themeColor="text1"/>
          <w:kern w:val="2"/>
          <w:sz w:val="16"/>
          <w:szCs w:val="16"/>
        </w:rPr>
        <w:t>)</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июня</w:t>
      </w:r>
      <w:r w:rsidR="00E52569">
        <w:rPr>
          <w:rFonts w:ascii="Times New Roman" w:hAnsi="Times New Roman" w:cs="Times New Roman"/>
          <w:color w:val="000000" w:themeColor="text1"/>
          <w:kern w:val="2"/>
          <w:sz w:val="16"/>
          <w:szCs w:val="16"/>
        </w:rPr>
        <w:t xml:space="preserve"> </w:t>
      </w:r>
      <w:hyperlink r:id="rId226" w:tooltip="1917 год" w:history="1">
        <w:r w:rsidRPr="002F2FDF">
          <w:rPr>
            <w:rStyle w:val="a5"/>
            <w:rFonts w:ascii="Times New Roman" w:hAnsi="Times New Roman" w:cs="Times New Roman"/>
            <w:color w:val="000000" w:themeColor="text1"/>
            <w:kern w:val="2"/>
            <w:sz w:val="16"/>
            <w:szCs w:val="16"/>
            <w:u w:val="none"/>
          </w:rPr>
          <w:t>1917</w:t>
        </w:r>
      </w:hyperlink>
      <w:r w:rsidRPr="002F2FDF">
        <w:rPr>
          <w:rFonts w:ascii="Times New Roman" w:hAnsi="Times New Roman" w:cs="Times New Roman"/>
          <w:color w:val="000000" w:themeColor="text1"/>
          <w:kern w:val="2"/>
          <w:sz w:val="16"/>
          <w:szCs w:val="16"/>
        </w:rPr>
        <w:t xml:space="preserve"> власти безуспешно попытались выселить уже самих большевиков из занимаемого ими особняка Кшесинской (17029).</w:t>
      </w:r>
    </w:p>
    <w:p w14:paraId="74F8DE18" w14:textId="77777777" w:rsidR="00BF13D4" w:rsidRPr="002F2FDF" w:rsidRDefault="00BF13D4" w:rsidP="0083075A">
      <w:pPr>
        <w:spacing w:after="0" w:line="240" w:lineRule="auto"/>
        <w:jc w:val="both"/>
        <w:rPr>
          <w:rFonts w:ascii="Times New Roman" w:hAnsi="Times New Roman" w:cs="Times New Roman"/>
          <w:color w:val="000000" w:themeColor="text1"/>
          <w:kern w:val="2"/>
          <w:sz w:val="16"/>
          <w:szCs w:val="16"/>
        </w:rPr>
      </w:pPr>
    </w:p>
    <w:p w14:paraId="0A6D2201" w14:textId="77777777" w:rsidR="00053D91" w:rsidRPr="002F2FDF" w:rsidRDefault="00053D9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июня 1917 забастовали рабочие 29 питерских заводов под антиправительственными лозунгами (до 17 июля). Большевики пытаются превратить их в восстание, но волна активности постепенно спадает (12629).</w:t>
      </w:r>
    </w:p>
    <w:p w14:paraId="17BE2767" w14:textId="77777777" w:rsidR="00053D91" w:rsidRPr="002F2FDF" w:rsidRDefault="00053D9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FA663E" w14:textId="77777777" w:rsidR="00053D9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453151D5" w14:textId="77777777" w:rsidR="00053D91" w:rsidRPr="002F2FDF" w:rsidRDefault="00053D9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1D3538" w14:textId="77777777" w:rsidR="00053D91" w:rsidRPr="002F2FDF" w:rsidRDefault="00053D9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июня) 1917 американская миссия во главе с сенатором И. Рутом прибывает в Петроград, чтобы обеспечить дальнейшее участие России в войне. Предоставление Соединенными Штатами займа Временному правительству России. Во всяком случае, американцы к перевороту рук не прикладывали. А еще американцы попросили консультаций у адмирала Колчака на тему: "Организация десантных операций на Босфоре". Колчак к этому времени уже подал в отставку, после того, как его попытались разоружить в Севастополе. И поехал в Америку (12629).</w:t>
      </w:r>
    </w:p>
    <w:p w14:paraId="4B8F5AD8" w14:textId="77777777" w:rsidR="00053D91" w:rsidRPr="002F2FDF" w:rsidRDefault="00053D9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DF3BBE" w14:textId="77777777" w:rsidR="00B76D7A" w:rsidRPr="002F2FDF" w:rsidRDefault="00B76D7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703AC35" w14:textId="77777777" w:rsidR="00B76D7A" w:rsidRPr="002F2FDF" w:rsidRDefault="00B76D7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842D9C" w14:textId="77777777" w:rsidR="00B76D7A" w:rsidRPr="002F2FDF" w:rsidRDefault="00B76D7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8 (21) июня 1917 г. совершил первый полет головной самолет Ганновер CL II W.Nr. C.4501/17. После коротких заводских испытаний опытные машины ушли на официальные типовые испытания на базу Инспекции ВВС в Адлерсхофе. Заказчик отметил, что летные данные высоки и позволяют вести воздушный бой с любым самолетом противника, включая истребители. В то же время были выявлены сильные вибрации растяжек бипланной коробки крыльев, недостаточная жесткость и тряска верхнего горизонтального оперения. Обзору воздушного пространства с места летчика мешало верхнее крыло, стоявшее чуть выше линии визирования. За простоту управления самолетом пришлось заплатить добавочным сопро тивлением внешних тросов, а проводка управления в фюзеляже двигалась так, что они терлись о ролики и «очки», сквозь которые выходили наружу к рулю направления. И главное — секторы обзора и обстрела назад оказались хуже, чем на самолетах с обычным оперением, но Инспекция ВВС разрешила оперение не переделывать, боясь ухудшения устойчивости и управляемости в остальном очень хорошего самолета (22847).</w:t>
      </w:r>
    </w:p>
    <w:p w14:paraId="1AD6B382" w14:textId="77777777" w:rsidR="00B76D7A" w:rsidRPr="002F2FDF" w:rsidRDefault="00B76D7A" w:rsidP="0083075A">
      <w:pPr>
        <w:spacing w:after="0" w:line="240" w:lineRule="auto"/>
        <w:jc w:val="both"/>
        <w:rPr>
          <w:rFonts w:ascii="Times New Roman" w:hAnsi="Times New Roman" w:cs="Times New Roman"/>
          <w:color w:val="000000" w:themeColor="text1"/>
          <w:sz w:val="16"/>
          <w:szCs w:val="16"/>
        </w:rPr>
      </w:pPr>
    </w:p>
    <w:p w14:paraId="559CDE7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E0F7E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807D2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июня 1917 Совещанием по судостро</w:t>
      </w:r>
      <w:r w:rsidRPr="002F2FDF">
        <w:rPr>
          <w:rFonts w:ascii="Times New Roman" w:hAnsi="Times New Roman" w:cs="Times New Roman"/>
          <w:color w:val="000000" w:themeColor="text1"/>
          <w:kern w:val="2"/>
          <w:sz w:val="16"/>
          <w:szCs w:val="16"/>
        </w:rPr>
        <w:softHyphen/>
        <w:t>ению, распределявшее заказы на поставки вооружения и техни</w:t>
      </w:r>
      <w:r w:rsidRPr="002F2FDF">
        <w:rPr>
          <w:rFonts w:ascii="Times New Roman" w:hAnsi="Times New Roman" w:cs="Times New Roman"/>
          <w:color w:val="000000" w:themeColor="text1"/>
          <w:kern w:val="2"/>
          <w:sz w:val="16"/>
          <w:szCs w:val="16"/>
        </w:rPr>
        <w:softHyphen/>
        <w:t>ки, был заключен контракт с таганрогским заводом Лебедева на изготовление 175 аэропла</w:t>
      </w:r>
      <w:r w:rsidRPr="002F2FDF">
        <w:rPr>
          <w:rFonts w:ascii="Times New Roman" w:hAnsi="Times New Roman" w:cs="Times New Roman"/>
          <w:color w:val="000000" w:themeColor="text1"/>
          <w:kern w:val="2"/>
          <w:sz w:val="16"/>
          <w:szCs w:val="16"/>
        </w:rPr>
        <w:softHyphen/>
        <w:t>нов “Альбатрос”, которые предстояло испытывать в Феодосии. Широко применявшиеся летаю</w:t>
      </w:r>
      <w:r w:rsidRPr="002F2FDF">
        <w:rPr>
          <w:rFonts w:ascii="Times New Roman" w:hAnsi="Times New Roman" w:cs="Times New Roman"/>
          <w:color w:val="000000" w:themeColor="text1"/>
          <w:kern w:val="2"/>
          <w:sz w:val="16"/>
          <w:szCs w:val="16"/>
        </w:rPr>
        <w:softHyphen/>
        <w:t>щие лодки разных модификаций конструкции Д. Григорови</w:t>
      </w:r>
      <w:r w:rsidRPr="002F2FDF">
        <w:rPr>
          <w:rFonts w:ascii="Times New Roman" w:hAnsi="Times New Roman" w:cs="Times New Roman"/>
          <w:color w:val="000000" w:themeColor="text1"/>
          <w:kern w:val="2"/>
          <w:sz w:val="16"/>
          <w:szCs w:val="16"/>
        </w:rPr>
        <w:softHyphen/>
        <w:t>ча, серийно изготавливаемые на заводе С. Щетинина с моторами недостаточной мощности для развития больших скоростей по</w:t>
      </w:r>
      <w:r w:rsidRPr="002F2FDF">
        <w:rPr>
          <w:rFonts w:ascii="Times New Roman" w:hAnsi="Times New Roman" w:cs="Times New Roman"/>
          <w:color w:val="000000" w:themeColor="text1"/>
          <w:kern w:val="2"/>
          <w:sz w:val="16"/>
          <w:szCs w:val="16"/>
        </w:rPr>
        <w:softHyphen/>
        <w:t>лета, перестали удовлетворять тактическим требованиям. Это стало одной из причин разрыва деловых отношений между управляющим и директором завода. Анализируя создавшееся в воздушных дивизиях флотов по</w:t>
      </w:r>
      <w:r w:rsidRPr="002F2FDF">
        <w:rPr>
          <w:rFonts w:ascii="Times New Roman" w:hAnsi="Times New Roman" w:cs="Times New Roman"/>
          <w:color w:val="000000" w:themeColor="text1"/>
          <w:kern w:val="2"/>
          <w:sz w:val="16"/>
          <w:szCs w:val="16"/>
        </w:rPr>
        <w:softHyphen/>
        <w:t>ложение, командный состав и авиационные специалисты при</w:t>
      </w:r>
      <w:r w:rsidRPr="002F2FDF">
        <w:rPr>
          <w:rFonts w:ascii="Times New Roman" w:hAnsi="Times New Roman" w:cs="Times New Roman"/>
          <w:color w:val="000000" w:themeColor="text1"/>
          <w:kern w:val="2"/>
          <w:sz w:val="16"/>
          <w:szCs w:val="16"/>
        </w:rPr>
        <w:softHyphen/>
        <w:t>шли к выводу о необходимости быстрого перехода к строи</w:t>
      </w:r>
      <w:r w:rsidRPr="002F2FDF">
        <w:rPr>
          <w:rFonts w:ascii="Times New Roman" w:hAnsi="Times New Roman" w:cs="Times New Roman"/>
          <w:color w:val="000000" w:themeColor="text1"/>
          <w:kern w:val="2"/>
          <w:sz w:val="16"/>
          <w:szCs w:val="16"/>
        </w:rPr>
        <w:softHyphen/>
        <w:t>тельству аэропланов лучших зарубежных типов - таких как французские летающие лодки “Телье” (по лицензированным чертежам) и германские поплавковые аэропланы “Альбатрос” (по трофейным образцам), что позволит удовлетворить воен</w:t>
      </w:r>
      <w:r w:rsidRPr="002F2FDF">
        <w:rPr>
          <w:rFonts w:ascii="Times New Roman" w:hAnsi="Times New Roman" w:cs="Times New Roman"/>
          <w:color w:val="000000" w:themeColor="text1"/>
          <w:kern w:val="2"/>
          <w:sz w:val="16"/>
          <w:szCs w:val="16"/>
        </w:rPr>
        <w:softHyphen/>
        <w:t>ные потребности. Кроме того, петроградский завод Щетинина добился получения заказа на поставку 35 “Щ-9” и 25 “Щ-5”, представлявших со</w:t>
      </w:r>
      <w:r w:rsidRPr="002F2FDF">
        <w:rPr>
          <w:rFonts w:ascii="Times New Roman" w:hAnsi="Times New Roman" w:cs="Times New Roman"/>
          <w:color w:val="000000" w:themeColor="text1"/>
          <w:kern w:val="2"/>
          <w:sz w:val="16"/>
          <w:szCs w:val="16"/>
        </w:rPr>
        <w:softHyphen/>
        <w:t>бой несколько улучшенные “М-9” и “М-5”. Общая стоимость заказов достигла восьми миллионов рублей (11283).</w:t>
      </w:r>
    </w:p>
    <w:p w14:paraId="634F07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D355C3" w14:textId="77777777" w:rsidR="00202F89" w:rsidRPr="002F2FDF" w:rsidRDefault="00CC1BE3"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B8E02D0" w14:textId="77777777" w:rsidR="00202F89" w:rsidRPr="002F2FDF" w:rsidRDefault="00202F89"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0ED1C2" w14:textId="77777777" w:rsidR="00202F89" w:rsidRPr="002F2FDF" w:rsidRDefault="00202F8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июня 1917 года, согласно рапорту Главного артиллерийского полигона (ГАП) в ГАУ от 28 июня 1917 г., на ГАП (Ржевке под Петроградом) была произведена стрельба из пушки Рябушинского. Сделано 19 выстрелов болванками весом 7 Уз фунта (около 3 кг) и зарядом дымного пороха. Снаряд и заряд, соединенные проводниками, вкладывались с дула. При этом снаряд удерживался в канале на месте упором шпенька снаряда в дульный срез стенки. Воспламенение заряда с помощью электричества. Вес пушки с треногой 19,25 фунтов (около 7,9 кг). Дальность стрельбы 149 сажень (318 м). Ствол при стрельбе слегка раздулся позади цапфенного кольца, то есть там, где находился заряд. Зажим на треноге слаб, пушка после выстрела часто принимала вертикальное положение (15117).</w:t>
      </w:r>
    </w:p>
    <w:p w14:paraId="4D91E468" w14:textId="77777777" w:rsidR="00202F89" w:rsidRPr="002F2FDF" w:rsidRDefault="00202F89" w:rsidP="0083075A">
      <w:pPr>
        <w:spacing w:after="0" w:line="240" w:lineRule="auto"/>
        <w:jc w:val="both"/>
        <w:rPr>
          <w:rFonts w:ascii="Times New Roman" w:hAnsi="Times New Roman" w:cs="Times New Roman"/>
          <w:color w:val="000000" w:themeColor="text1"/>
          <w:kern w:val="2"/>
          <w:sz w:val="16"/>
          <w:szCs w:val="16"/>
        </w:rPr>
      </w:pPr>
    </w:p>
    <w:p w14:paraId="70F436F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3ED32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D1E074" w14:textId="69874911" w:rsidR="00A65C94" w:rsidRPr="00FB4F67" w:rsidRDefault="00A65C9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9 (</w:t>
      </w:r>
      <w:r w:rsidRPr="00FB4F67">
        <w:rPr>
          <w:rFonts w:ascii="Times New Roman" w:hAnsi="Times New Roman" w:cs="Times New Roman"/>
          <w:color w:val="0070C0"/>
          <w:sz w:val="16"/>
          <w:szCs w:val="16"/>
        </w:rPr>
        <w:t>22</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1917 г. шесть неприятельских гидроаэропланов совершили два налета на южную оконечность о. Эзель, сбросив 33 бомбы на «находившиеся в рейдах корабли, береговые морские батареи. Потерь </w:t>
      </w:r>
      <w:bookmarkStart w:id="152" w:name="bookmark816"/>
      <w:r w:rsidRPr="00FB4F67">
        <w:rPr>
          <w:rFonts w:ascii="Times New Roman" w:hAnsi="Times New Roman" w:cs="Times New Roman"/>
          <w:color w:val="0070C0"/>
          <w:sz w:val="16"/>
          <w:szCs w:val="16"/>
        </w:rPr>
        <w:t>и повреждений нет. Атаки отражались судами флота морских батарей» (23405).</w:t>
      </w:r>
      <w:bookmarkEnd w:id="152"/>
    </w:p>
    <w:p w14:paraId="2D9C8C52" w14:textId="77777777" w:rsidR="00A65C94" w:rsidRPr="00FB4F67" w:rsidRDefault="00A65C94" w:rsidP="0083075A">
      <w:pPr>
        <w:spacing w:after="0" w:line="240" w:lineRule="auto"/>
        <w:jc w:val="both"/>
        <w:rPr>
          <w:rFonts w:ascii="Times New Roman" w:hAnsi="Times New Roman" w:cs="Times New Roman"/>
          <w:color w:val="0070C0"/>
          <w:sz w:val="16"/>
          <w:szCs w:val="16"/>
        </w:rPr>
      </w:pPr>
    </w:p>
    <w:p w14:paraId="69BFF8E2" w14:textId="4D6B1006" w:rsidR="00A65C94" w:rsidRPr="00FB4F67" w:rsidRDefault="00A65C9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9 (</w:t>
      </w:r>
      <w:r w:rsidRPr="00FB4F67">
        <w:rPr>
          <w:rFonts w:ascii="Times New Roman" w:hAnsi="Times New Roman" w:cs="Times New Roman"/>
          <w:color w:val="0070C0"/>
          <w:sz w:val="16"/>
          <w:szCs w:val="16"/>
        </w:rPr>
        <w:t>22</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1917 г. Полковник В.М. Ткачев принял командование Военно-воздушным флотом. Капитан Генерального штаба Михаил Строев занимал должность начальника административного отдела Полевой коллегии (23525).</w:t>
      </w:r>
    </w:p>
    <w:p w14:paraId="04BBE0CE" w14:textId="77777777" w:rsidR="00A65C94" w:rsidRPr="00FB4F67" w:rsidRDefault="00A65C94" w:rsidP="0083075A">
      <w:pPr>
        <w:spacing w:after="0" w:line="240" w:lineRule="auto"/>
        <w:jc w:val="both"/>
        <w:rPr>
          <w:rFonts w:ascii="Times New Roman" w:hAnsi="Times New Roman" w:cs="Times New Roman"/>
          <w:color w:val="0070C0"/>
          <w:sz w:val="16"/>
          <w:szCs w:val="16"/>
        </w:rPr>
      </w:pPr>
    </w:p>
    <w:p w14:paraId="1DAF20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9 (22) июня 1917 приказом Армии и Флоту Ульянин (по его просьбе) был назначен помощником УВВФ по школьной части, а В.М.Ткачев - начальником Управления. Чем был вызван отказ Сергея Алексеевича от столь высокой должности? С одной стороны изобретательская и конструкторская деятельность была ему больше по душе, а с другой стороны он был вызван из-за границы и “для организации авиационных школ по образцу французских” (11221).</w:t>
      </w:r>
    </w:p>
    <w:p w14:paraId="6275B3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6CB90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E0378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27D00A" w14:textId="77777777" w:rsidR="00945C28" w:rsidRPr="002F2FDF" w:rsidRDefault="00945C28" w:rsidP="0083075A">
      <w:pPr>
        <w:pStyle w:val="ae"/>
        <w:spacing w:before="0" w:after="0"/>
        <w:jc w:val="both"/>
        <w:rPr>
          <w:color w:val="000000" w:themeColor="text1"/>
          <w:kern w:val="2"/>
          <w:sz w:val="16"/>
          <w:szCs w:val="16"/>
        </w:rPr>
      </w:pPr>
      <w:r w:rsidRPr="002F2FDF">
        <w:rPr>
          <w:color w:val="000000" w:themeColor="text1"/>
          <w:kern w:val="2"/>
          <w:sz w:val="16"/>
          <w:szCs w:val="16"/>
        </w:rPr>
        <w:t>9 (22) июня 1917 большевистские агитаторы отправились в казармы и на фабрики, чтобы подготовить рабочих к демонстрации у Мариинского дворца, в котором располагалось Временное правительство, а газета «Солдатская правда» опубликовала статью, заканчивавшуюся словами: «Война до победного конца против империалистов». Благодаря этому намерения большевиков стали известны Петроградскому Совету и Съезду депутатов, пребывавшему в полном неведении о мероприятии, которое должно было проводиться от его лица и под лозунгом «Вся власть Советам!».</w:t>
      </w:r>
    </w:p>
    <w:p w14:paraId="0064E55B" w14:textId="77777777" w:rsidR="00945C28" w:rsidRPr="002F2FDF" w:rsidRDefault="00945C28" w:rsidP="0083075A">
      <w:pPr>
        <w:pStyle w:val="ae"/>
        <w:spacing w:before="0" w:after="0"/>
        <w:jc w:val="both"/>
        <w:rPr>
          <w:color w:val="000000" w:themeColor="text1"/>
          <w:kern w:val="2"/>
          <w:sz w:val="16"/>
          <w:szCs w:val="16"/>
        </w:rPr>
      </w:pPr>
      <w:r w:rsidRPr="002F2FDF">
        <w:rPr>
          <w:color w:val="000000" w:themeColor="text1"/>
          <w:kern w:val="2"/>
          <w:sz w:val="16"/>
          <w:szCs w:val="16"/>
        </w:rPr>
        <w:t>Еще весной Совет отказался провозглашать себя правительством и запретил вооруженные демонстрации, поэтому днем 22 июня представители всех партий в Петросовете (кроме большевиков) проголосовали за отмену демонстрации и отправили своих агитаторов в рабочие кварталы, чтобы сообщить гражданам об этом решении. Вечером 22 июня большевики приняли решение отложить демонстрацию и принять участие в мирной манифестации, назначенной Советом на 1 июля (17045).</w:t>
      </w:r>
    </w:p>
    <w:p w14:paraId="39BF7FBE" w14:textId="77777777" w:rsidR="00945C28" w:rsidRPr="002F2FDF" w:rsidRDefault="00945C28"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9471E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июня 1917 лидер кадетов П. Милюков на Казачьем съезде призвал поскорее покончить с Лениным и большевиками (4962).</w:t>
      </w:r>
    </w:p>
    <w:p w14:paraId="13E2263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E03B5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июня 1917 в Тифлисе прошел первый съезд армянских беженцев (4962).</w:t>
      </w:r>
    </w:p>
    <w:p w14:paraId="6652182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412984" w14:textId="77777777" w:rsidR="00B423F2" w:rsidRPr="002F2FDF" w:rsidRDefault="00B423F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1E2927B" w14:textId="77777777" w:rsidR="00B423F2" w:rsidRPr="002F2FDF" w:rsidRDefault="00B423F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97B294" w14:textId="77777777" w:rsidR="00B423F2" w:rsidRPr="002F2FDF" w:rsidRDefault="00B423F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9 (22) июня 1917 первый полет Порт Виктория PV7 (20341).</w:t>
      </w:r>
    </w:p>
    <w:p w14:paraId="5EAA9056" w14:textId="77777777" w:rsidR="00B423F2" w:rsidRPr="002F2FDF" w:rsidRDefault="00B423F2" w:rsidP="0083075A">
      <w:pPr>
        <w:spacing w:after="0" w:line="240" w:lineRule="auto"/>
        <w:jc w:val="both"/>
        <w:rPr>
          <w:rFonts w:ascii="Times New Roman" w:hAnsi="Times New Roman" w:cs="Times New Roman"/>
          <w:color w:val="000000" w:themeColor="text1"/>
          <w:sz w:val="16"/>
          <w:szCs w:val="16"/>
        </w:rPr>
      </w:pPr>
    </w:p>
    <w:p w14:paraId="50701267" w14:textId="50ACAA3C" w:rsidR="00B423F2" w:rsidRPr="002F2FDF" w:rsidRDefault="00B423F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9 (22) июня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Первый полет истребителя-перехватчика дирижаблей Port Victoria P.V.7 Grain Kitten. Это маленький и легкий биплан, предназначенный для полетов с платформ на эсминцах Британского флота, оказался неудачным, был построен только один прототип (22453).</w:t>
      </w:r>
    </w:p>
    <w:p w14:paraId="767EC71E" w14:textId="77777777" w:rsidR="00B423F2" w:rsidRPr="002F2FDF" w:rsidRDefault="00B423F2" w:rsidP="0083075A">
      <w:pPr>
        <w:spacing w:after="0" w:line="240" w:lineRule="auto"/>
        <w:jc w:val="both"/>
        <w:rPr>
          <w:rFonts w:ascii="Times New Roman" w:hAnsi="Times New Roman" w:cs="Times New Roman"/>
          <w:color w:val="000000" w:themeColor="text1"/>
          <w:sz w:val="16"/>
          <w:szCs w:val="16"/>
        </w:rPr>
      </w:pPr>
    </w:p>
    <w:p w14:paraId="78A9B199" w14:textId="5AA10AE4" w:rsidR="00B423F2" w:rsidRPr="002F2FDF" w:rsidRDefault="00B423F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9 (22) июня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Первый полет разведывательного гидросамолета Short S.6 Sturgeon.</w:t>
      </w:r>
    </w:p>
    <w:p w14:paraId="210F2369" w14:textId="77777777" w:rsidR="00B423F2" w:rsidRPr="002F2FDF" w:rsidRDefault="00B423F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Первоначально самолет был построен с колесным шасси, но практически сразу его переоборудовали в поплавковый. Второй прототип был изготовлен в январе следующего года.</w:t>
      </w:r>
    </w:p>
    <w:p w14:paraId="5CCE2B1D" w14:textId="7846E40F" w:rsidR="00B423F2" w:rsidRPr="002F2FDF" w:rsidRDefault="00B423F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shd w:val="clear" w:color="auto" w:fill="FFFFFF"/>
        </w:rPr>
        <w:t xml:space="preserve">В этом же году самолеты были переданы в MAEE (Marine Aircraft Experimental Establishment) для сравнительных испытаний. В </w:t>
      </w:r>
      <w:r w:rsidR="00E52569">
        <w:rPr>
          <w:rFonts w:ascii="Times New Roman" w:hAnsi="Times New Roman" w:cs="Times New Roman"/>
          <w:color w:val="000000" w:themeColor="text1"/>
          <w:sz w:val="16"/>
          <w:szCs w:val="16"/>
          <w:shd w:val="clear" w:color="auto" w:fill="FFFFFF"/>
        </w:rPr>
        <w:t xml:space="preserve"> </w:t>
      </w:r>
      <w:r w:rsidRPr="002F2FDF">
        <w:rPr>
          <w:rFonts w:ascii="Times New Roman" w:hAnsi="Times New Roman" w:cs="Times New Roman"/>
          <w:color w:val="000000" w:themeColor="text1"/>
          <w:sz w:val="16"/>
          <w:szCs w:val="16"/>
          <w:shd w:val="clear" w:color="auto" w:fill="FFFFFF"/>
        </w:rPr>
        <w:t>результате S.6 Sturgeon проиграли конкурс самолету Fairey IIIF. В дальнейшем его базовая конструкция использовалась при разработке S.10 Gurnard.</w:t>
      </w:r>
      <w:r w:rsidRPr="002F2FDF">
        <w:rPr>
          <w:rFonts w:ascii="Times New Roman" w:hAnsi="Times New Roman" w:cs="Times New Roman"/>
          <w:color w:val="000000" w:themeColor="text1"/>
          <w:sz w:val="16"/>
          <w:szCs w:val="16"/>
        </w:rPr>
        <w:t xml:space="preserve"> (22453).</w:t>
      </w:r>
    </w:p>
    <w:p w14:paraId="6C58EBAC" w14:textId="77777777" w:rsidR="00B423F2" w:rsidRPr="002F2FDF" w:rsidRDefault="00B423F2" w:rsidP="0083075A">
      <w:pPr>
        <w:spacing w:after="0" w:line="240" w:lineRule="auto"/>
        <w:jc w:val="both"/>
        <w:rPr>
          <w:rFonts w:ascii="Times New Roman" w:hAnsi="Times New Roman" w:cs="Times New Roman"/>
          <w:color w:val="000000" w:themeColor="text1"/>
          <w:sz w:val="16"/>
          <w:szCs w:val="16"/>
        </w:rPr>
      </w:pPr>
    </w:p>
    <w:p w14:paraId="029B4E7C" w14:textId="68E907BC" w:rsidR="00946AE8" w:rsidRDefault="00946AE8"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02C254B1" w14:textId="77777777" w:rsidR="00946AE8" w:rsidRDefault="00946AE8"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437BB14" w14:textId="3EB7EEB8" w:rsidR="00946AE8" w:rsidRPr="00FB4F67" w:rsidRDefault="00946AE8"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10 (</w:t>
      </w:r>
      <w:r w:rsidRPr="00FB4F67">
        <w:rPr>
          <w:rFonts w:ascii="Times New Roman" w:hAnsi="Times New Roman" w:cs="Times New Roman"/>
          <w:color w:val="0070C0"/>
          <w:sz w:val="16"/>
          <w:szCs w:val="16"/>
        </w:rPr>
        <w:t>23</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1917 года петроградская фирма АНДРЕЕВ, ЛАНСКАЯ КОМПАНИЯ получила заказ на 100 самолетов типа «Альбатрос». Заказ так и не был реализован (23525).</w:t>
      </w:r>
    </w:p>
    <w:p w14:paraId="1910D1A0" w14:textId="77777777" w:rsidR="00946AE8" w:rsidRPr="00FB4F67" w:rsidRDefault="00946AE8" w:rsidP="0083075A">
      <w:pPr>
        <w:spacing w:after="0" w:line="240" w:lineRule="auto"/>
        <w:jc w:val="both"/>
        <w:rPr>
          <w:rFonts w:ascii="Times New Roman" w:hAnsi="Times New Roman" w:cs="Times New Roman"/>
          <w:color w:val="0070C0"/>
          <w:sz w:val="16"/>
          <w:szCs w:val="16"/>
        </w:rPr>
      </w:pPr>
    </w:p>
    <w:p w14:paraId="76767BCB" w14:textId="1B1EAC3D"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A7807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D1AEEE" w14:textId="77777777" w:rsidR="00B25AF9" w:rsidRPr="002F2FDF" w:rsidRDefault="00B25AF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10 (23) июня</w:t>
      </w:r>
      <w:r w:rsidRPr="002F2FDF">
        <w:rPr>
          <w:rFonts w:ascii="Times New Roman" w:hAnsi="Times New Roman" w:cs="Times New Roman"/>
          <w:color w:val="000000" w:themeColor="text1"/>
          <w:kern w:val="2"/>
          <w:sz w:val="16"/>
          <w:szCs w:val="16"/>
        </w:rPr>
        <w:t xml:space="preserve"> в 1917 году в Петрограде под руководством В.И.Ленина прошла Конференция Фронтовых и тыловых организаций РСДРП(б). Она определила задачи военных организаций в борьбе за власть Советов, их участие в вооружении Красной Гвардии. Избрала Всероссийское бюро военных организаций (14931).</w:t>
      </w:r>
    </w:p>
    <w:p w14:paraId="6C30A28C" w14:textId="77777777" w:rsidR="00B25AF9" w:rsidRPr="002F2FDF" w:rsidRDefault="00B25AF9" w:rsidP="0083075A">
      <w:pPr>
        <w:spacing w:after="0" w:line="240" w:lineRule="auto"/>
        <w:jc w:val="both"/>
        <w:rPr>
          <w:rFonts w:ascii="Times New Roman" w:hAnsi="Times New Roman" w:cs="Times New Roman"/>
          <w:color w:val="000000" w:themeColor="text1"/>
          <w:kern w:val="2"/>
          <w:sz w:val="16"/>
          <w:szCs w:val="16"/>
        </w:rPr>
      </w:pPr>
    </w:p>
    <w:p w14:paraId="20D8B6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июня 1917 была провозглашена независимость Украины (1348,85).</w:t>
      </w:r>
    </w:p>
    <w:p w14:paraId="34E38D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A796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июня 1917 Центральная Рада приняла Первый Универсал "К украинскому народу на Украине и вне Украины сущему", в котором вопреки позиции временного правительства России провозгласила независимость Украины (3263,316). Учредили пост Генсекретаря, назначаемого радой (3908,258).</w:t>
      </w:r>
    </w:p>
    <w:p w14:paraId="704D1C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4A7126" w14:textId="77777777" w:rsidR="00B25AF9" w:rsidRPr="002F2FDF" w:rsidRDefault="00B25AF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10 (23) июня</w:t>
      </w:r>
      <w:r w:rsidRPr="002F2FDF">
        <w:rPr>
          <w:rFonts w:ascii="Times New Roman" w:hAnsi="Times New Roman" w:cs="Times New Roman"/>
          <w:color w:val="000000" w:themeColor="text1"/>
          <w:kern w:val="2"/>
          <w:sz w:val="16"/>
          <w:szCs w:val="16"/>
        </w:rPr>
        <w:t xml:space="preserve"> в 1917 году первый Универсал (основной закон) принят украинской Радой, им провозглашена независимость Украины (14931).</w:t>
      </w:r>
    </w:p>
    <w:p w14:paraId="17E3B053" w14:textId="77777777" w:rsidR="00B25AF9" w:rsidRPr="002F2FDF" w:rsidRDefault="00B25AF9" w:rsidP="0083075A">
      <w:pPr>
        <w:spacing w:after="0" w:line="240" w:lineRule="auto"/>
        <w:jc w:val="both"/>
        <w:rPr>
          <w:rFonts w:ascii="Times New Roman" w:hAnsi="Times New Roman" w:cs="Times New Roman"/>
          <w:color w:val="000000" w:themeColor="text1"/>
          <w:kern w:val="2"/>
          <w:sz w:val="16"/>
          <w:szCs w:val="16"/>
        </w:rPr>
      </w:pPr>
    </w:p>
    <w:p w14:paraId="14F01AC0" w14:textId="77777777" w:rsidR="00945C28" w:rsidRPr="002F2FDF" w:rsidRDefault="00AF28C3" w:rsidP="0083075A">
      <w:pPr>
        <w:pStyle w:val="ae"/>
        <w:spacing w:before="0" w:after="0"/>
        <w:jc w:val="both"/>
        <w:rPr>
          <w:color w:val="000000" w:themeColor="text1"/>
          <w:kern w:val="2"/>
          <w:sz w:val="16"/>
          <w:szCs w:val="16"/>
        </w:rPr>
      </w:pPr>
      <w:r w:rsidRPr="002F2FDF">
        <w:rPr>
          <w:bCs/>
          <w:color w:val="000000" w:themeColor="text1"/>
          <w:kern w:val="2"/>
          <w:sz w:val="16"/>
          <w:szCs w:val="16"/>
        </w:rPr>
        <w:t>10 (23) июня</w:t>
      </w:r>
      <w:r w:rsidRPr="002F2FDF">
        <w:rPr>
          <w:color w:val="000000" w:themeColor="text1"/>
          <w:kern w:val="2"/>
          <w:sz w:val="16"/>
          <w:szCs w:val="16"/>
        </w:rPr>
        <w:t xml:space="preserve"> в 1917 году Украинская Центральная Рада выпустила I Универсал (политико-правовой акт программного характера, получивший название по аналогии с названиями указов и грамот, издававшихся польскими королями и украинскими гетманами) под названием «К украинскому народу, на Украине и вне её сущему». Он был оглашен членом рады и лидером Украинской Социал Демократической народной партии Владимиром Винниченко на II Всеукраинском Военном Съезде. Документ был выдержан в духе «ни бунта, ни покорности» — в нем говорилось, что Украина должна остаться в составе России, но на условиях полной автономии во внутренней жизни: «не отделяясь от всей России народ украинский должен сам хозяйничать своей жизнью»</w:t>
      </w:r>
      <w:r w:rsidR="00945C28" w:rsidRPr="002F2FDF">
        <w:rPr>
          <w:color w:val="000000" w:themeColor="text1"/>
          <w:kern w:val="2"/>
          <w:sz w:val="16"/>
          <w:szCs w:val="16"/>
        </w:rPr>
        <w:t>.</w:t>
      </w:r>
    </w:p>
    <w:p w14:paraId="5A3EECDF" w14:textId="77777777" w:rsidR="00945C28" w:rsidRPr="002F2FDF" w:rsidRDefault="00945C28" w:rsidP="0083075A">
      <w:pPr>
        <w:pStyle w:val="ae"/>
        <w:spacing w:before="0" w:after="0"/>
        <w:jc w:val="both"/>
        <w:rPr>
          <w:color w:val="000000" w:themeColor="text1"/>
          <w:kern w:val="2"/>
          <w:sz w:val="16"/>
          <w:szCs w:val="16"/>
        </w:rPr>
      </w:pPr>
      <w:r w:rsidRPr="002F2FDF">
        <w:rPr>
          <w:color w:val="000000" w:themeColor="text1"/>
          <w:kern w:val="2"/>
          <w:sz w:val="16"/>
          <w:szCs w:val="16"/>
        </w:rPr>
        <w:t>Высшим законодательным органом страны, согласно Универсалу, должно было стать Всенародное Украинское Собрание (Сейм), избираемое всеобщим, равным, прямым, тайным голосованием, а все налоги, собираемые на территории страны, должны в ней и оставаться. Ответственность за текущее положение дел на территории Украины Центральная Рада также брала на себя, что, по сути, означало одностороннее объявление Радой автономии.</w:t>
      </w:r>
    </w:p>
    <w:p w14:paraId="3B121EE6" w14:textId="77777777" w:rsidR="00945C28" w:rsidRPr="002F2FDF" w:rsidRDefault="00945C28" w:rsidP="0083075A">
      <w:pPr>
        <w:pStyle w:val="ae"/>
        <w:spacing w:before="0" w:after="0"/>
        <w:jc w:val="both"/>
        <w:rPr>
          <w:color w:val="000000" w:themeColor="text1"/>
          <w:kern w:val="2"/>
          <w:sz w:val="16"/>
          <w:szCs w:val="16"/>
        </w:rPr>
      </w:pPr>
      <w:r w:rsidRPr="002F2FDF">
        <w:rPr>
          <w:color w:val="000000" w:themeColor="text1"/>
          <w:kern w:val="2"/>
          <w:sz w:val="16"/>
          <w:szCs w:val="16"/>
        </w:rPr>
        <w:t>Универсал также призывал граждан Украины к согласию и взаимопониманию. Последнее, правда, становилось все менее вероятным. Газета «Русское слово» от 20 июня цитировала текст листовки «Катехизис украинца», распространявшейся группой радикальных украинских националистов в войсках: «Все люди — твои братья, но только москали, ляхи, венгры и жиды — это враги нашего народа, пока они господствуют над нами и подавляют нас».</w:t>
      </w:r>
    </w:p>
    <w:p w14:paraId="41382902" w14:textId="77777777" w:rsidR="00AF28C3" w:rsidRPr="002F2FDF" w:rsidRDefault="00945C28" w:rsidP="0083075A">
      <w:pPr>
        <w:pStyle w:val="ae"/>
        <w:spacing w:before="0" w:after="0"/>
        <w:jc w:val="both"/>
        <w:rPr>
          <w:color w:val="000000" w:themeColor="text1"/>
          <w:kern w:val="2"/>
          <w:sz w:val="16"/>
          <w:szCs w:val="16"/>
        </w:rPr>
      </w:pPr>
      <w:r w:rsidRPr="002F2FDF">
        <w:rPr>
          <w:color w:val="000000" w:themeColor="text1"/>
          <w:kern w:val="2"/>
          <w:sz w:val="16"/>
          <w:szCs w:val="16"/>
        </w:rPr>
        <w:t>В то же время, и украинские лидеры не собирались ограничиваться одним лишь требованием автономии. Выступая еще 20 июня, Винниченко упрекнул Временное правительство в отсутствии «идеи, которая была бы в состоянии повести людей на смерть», и прямо заявил, что автономия и отказ от насильственных мер — это временный тактический ход. «Других требований в данное время мы не должны ставить, — заявил Винниченко. — &lt;...&gt; Если бы началось восстание, то наши большие города не пошли бы за нами. &lt;...&gt; Ради получения на один год раньше того, что все равно будет добыто, мы не пойдем на это»</w:t>
      </w:r>
      <w:r w:rsidR="00AF28C3" w:rsidRPr="002F2FDF">
        <w:rPr>
          <w:color w:val="000000" w:themeColor="text1"/>
          <w:kern w:val="2"/>
          <w:sz w:val="16"/>
          <w:szCs w:val="16"/>
        </w:rPr>
        <w:t xml:space="preserve"> (17045).</w:t>
      </w:r>
    </w:p>
    <w:p w14:paraId="228A0832" w14:textId="77777777" w:rsidR="00AF28C3" w:rsidRPr="002F2FDF" w:rsidRDefault="00AF28C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69312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29011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01A44F" w14:textId="77777777" w:rsidR="00B25AF9" w:rsidRPr="002F2FDF" w:rsidRDefault="00B25AF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10 (23) июня</w:t>
      </w:r>
      <w:r w:rsidRPr="002F2FDF">
        <w:rPr>
          <w:rFonts w:ascii="Times New Roman" w:hAnsi="Times New Roman" w:cs="Times New Roman"/>
          <w:color w:val="000000" w:themeColor="text1"/>
          <w:kern w:val="2"/>
          <w:sz w:val="16"/>
          <w:szCs w:val="16"/>
        </w:rPr>
        <w:t xml:space="preserve"> в 1917 году впервые поднялся в воздух самолет </w:t>
      </w:r>
      <w:hyperlink r:id="rId227" w:tgtFrame="_blank" w:history="1">
        <w:r w:rsidRPr="002F2FDF">
          <w:rPr>
            <w:rFonts w:ascii="Times New Roman" w:hAnsi="Times New Roman" w:cs="Times New Roman"/>
            <w:color w:val="000000" w:themeColor="text1"/>
            <w:kern w:val="2"/>
            <w:sz w:val="16"/>
            <w:szCs w:val="16"/>
          </w:rPr>
          <w:t xml:space="preserve">«Morane-Saulnie»r «Type AF» </w:t>
        </w:r>
      </w:hyperlink>
      <w:r w:rsidRPr="002F2FDF">
        <w:rPr>
          <w:rFonts w:ascii="Times New Roman" w:hAnsi="Times New Roman" w:cs="Times New Roman"/>
          <w:color w:val="000000" w:themeColor="text1"/>
          <w:kern w:val="2"/>
          <w:sz w:val="16"/>
          <w:szCs w:val="16"/>
        </w:rPr>
        <w:t>и представлял собой одноместный истребитель схемы биплан с крыльями неравного размаха и элеронами на каждом крыле; с шасси, главные колеса которого имели общую ось, и с вертикальным оперением, состоявшим из основного киля с секционированным рулем направления и маленьким подфюзеляжным килем. Синхронный пулемет «Vickers» калибра 7,7 мм был частично закрыт горбатым обтекателем. С ротативным двигателем «Gnome Monosoupape» мощностью 150 л.с. самолет развивал максимальную скорость 207 км/час. Несмотря на его отличные летные характеристики, он не выпускался в больших количествах. Амфибийный вариант «Тип AFH» предполагался для использования с борта кораблей и имел главный поплавок, дополненный хвостовым поплавком, и традиционное шасси (14931).</w:t>
      </w:r>
    </w:p>
    <w:p w14:paraId="06093B8D" w14:textId="77777777" w:rsidR="00B25AF9" w:rsidRPr="002F2FDF" w:rsidRDefault="00B25AF9" w:rsidP="0083075A">
      <w:pPr>
        <w:spacing w:after="0" w:line="240" w:lineRule="auto"/>
        <w:jc w:val="both"/>
        <w:rPr>
          <w:rFonts w:ascii="Times New Roman" w:hAnsi="Times New Roman" w:cs="Times New Roman"/>
          <w:color w:val="000000" w:themeColor="text1"/>
          <w:kern w:val="2"/>
          <w:sz w:val="16"/>
          <w:szCs w:val="16"/>
        </w:rPr>
      </w:pPr>
    </w:p>
    <w:p w14:paraId="7C21195A" w14:textId="72A6EEED" w:rsidR="00B423F2" w:rsidRPr="002F2FDF" w:rsidRDefault="00B423F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10 (23) июня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г. первым взлетел биплан MoS.28, обогнав по скорости все «Ньюпоры» на 5</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40 км/ч, но лучшим экземплярам SPAD VII он уступил 5</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15 км/ч, с первыми SPAD XIII выпуска середины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г. был примерно равен, существенно выигрывая в наборе высоты. Двенадцать стоек «кабана» и неудачная конструкция ветрового козырька затрудняли обзор вперед из кабины, в которую из-за отказа от коллектора-отражателя под капотом попадали выхлопные газы, а масло и копоть быстро загрязняли все внутри. Люки обслуживания мотора оказались маловаты, а чтобы снять новый капот, надо было снимать и винт. Наконец, устойчивость и управляемость были плохи (22877).</w:t>
      </w:r>
    </w:p>
    <w:p w14:paraId="1CD67A4C" w14:textId="77777777" w:rsidR="00B423F2" w:rsidRPr="002F2FDF" w:rsidRDefault="00B423F2" w:rsidP="0083075A">
      <w:pPr>
        <w:spacing w:after="0" w:line="240" w:lineRule="auto"/>
        <w:jc w:val="both"/>
        <w:rPr>
          <w:rFonts w:ascii="Times New Roman" w:hAnsi="Times New Roman" w:cs="Times New Roman"/>
          <w:color w:val="000000" w:themeColor="text1"/>
          <w:sz w:val="16"/>
          <w:szCs w:val="16"/>
        </w:rPr>
      </w:pPr>
    </w:p>
    <w:p w14:paraId="6B1E7EF6" w14:textId="014E4DCC" w:rsidR="00B423F2" w:rsidRPr="002F2FDF" w:rsidRDefault="00B423F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10 (23) июня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В Австро-Венгерской империи поднялся в воздух истребитель-триплан Type A (111.04) фирмы Lohnerwerke. Самолет имел схожий с 111.03 фюзеляж, хвостовую часть и соловую установку. Вооружение 111.04 так же было стандартным для всех истребителей Lohner - два передних пулемета.. В ходе испытания, проведенных в следующем месяце, были выявлены ряд недоделок и 111.04 вернули на завод Lohnerwerke. Вновь на войсковые испытания самолет вернули в сентябре, но результат оказался тем же - неудовлетворительные летные характеристики и плохая видимость из кабины пилота, поставили крест на дальнейшей судьбе самолета (22452).</w:t>
      </w:r>
    </w:p>
    <w:p w14:paraId="0BF99CE8" w14:textId="77777777" w:rsidR="00B423F2" w:rsidRPr="002F2FDF" w:rsidRDefault="00B423F2" w:rsidP="0083075A">
      <w:pPr>
        <w:spacing w:after="0" w:line="240" w:lineRule="auto"/>
        <w:jc w:val="both"/>
        <w:rPr>
          <w:rFonts w:ascii="Times New Roman" w:hAnsi="Times New Roman" w:cs="Times New Roman"/>
          <w:color w:val="000000" w:themeColor="text1"/>
          <w:sz w:val="16"/>
          <w:szCs w:val="16"/>
        </w:rPr>
      </w:pPr>
    </w:p>
    <w:p w14:paraId="02051560" w14:textId="25A5D2B5" w:rsidR="00B423F2" w:rsidRPr="002F2FDF" w:rsidRDefault="00B423F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10 (23) июня 1917 г. на заводе фирмы в Асперне были закончены (кроме установки вооружения), постройка и цеховая регулировка систем самолета Лёнер Тип А (Dr I), но по неизвестной причине летные испытания были отложены (возможно, из-за погоды). 7 июля 1917 г. заводской летчик-испытатель Карл Кригер выполнил на самолете первый полет с заводского аэродрома. Уже в первом полете были выявлены значительные недостатки конструкции и 8 июля самолет вернули в цех для доработок.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Хотя в ряде источников указано, что доработки были незначительными, но завершены они были только примерно через месяц – в августе 1917 г., хотя обострение обстановки и на Итальянском, и на Галицийском фронтах требовали срочной модернизации истребительной авиации Австро-Венгрии.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В первой половине августа 1917 г. ЗИ самолета были возобновлены. Хотя К. Кригер дал самолету высокую оценку, в целом результаты испытаний оказались неудовлетворительными и самолет не получил требуемого прироста скорости по сравнению с бипланами Тип А в последних вариантах (23143)</w:t>
      </w:r>
    </w:p>
    <w:p w14:paraId="1811B3FB" w14:textId="77777777" w:rsidR="00B423F2" w:rsidRPr="002F2FDF" w:rsidRDefault="00B423F2" w:rsidP="0083075A">
      <w:pPr>
        <w:spacing w:after="0" w:line="240" w:lineRule="auto"/>
        <w:jc w:val="both"/>
        <w:rPr>
          <w:rFonts w:ascii="Times New Roman" w:hAnsi="Times New Roman" w:cs="Times New Roman"/>
          <w:color w:val="000000" w:themeColor="text1"/>
          <w:sz w:val="16"/>
          <w:szCs w:val="16"/>
        </w:rPr>
      </w:pPr>
    </w:p>
    <w:p w14:paraId="2B3E4353" w14:textId="77777777" w:rsidR="00B25AF9" w:rsidRPr="002F2FDF" w:rsidRDefault="00B25AF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10 (23) июня</w:t>
      </w:r>
      <w:r w:rsidRPr="002F2FDF">
        <w:rPr>
          <w:rFonts w:ascii="Times New Roman" w:hAnsi="Times New Roman" w:cs="Times New Roman"/>
          <w:color w:val="000000" w:themeColor="text1"/>
          <w:kern w:val="2"/>
          <w:sz w:val="16"/>
          <w:szCs w:val="16"/>
        </w:rPr>
        <w:t xml:space="preserve"> в 1917 году поднялся в воздух истребитель- триплан </w:t>
      </w:r>
      <w:hyperlink r:id="rId228" w:tgtFrame="_blank" w:history="1">
        <w:r w:rsidRPr="002F2FDF">
          <w:rPr>
            <w:rFonts w:ascii="Times New Roman" w:hAnsi="Times New Roman" w:cs="Times New Roman"/>
            <w:color w:val="000000" w:themeColor="text1"/>
            <w:kern w:val="2"/>
            <w:sz w:val="16"/>
            <w:szCs w:val="16"/>
          </w:rPr>
          <w:t xml:space="preserve">«Lohner» «Type A» («111.04») </w:t>
        </w:r>
      </w:hyperlink>
      <w:r w:rsidRPr="002F2FDF">
        <w:rPr>
          <w:rFonts w:ascii="Times New Roman" w:hAnsi="Times New Roman" w:cs="Times New Roman"/>
          <w:color w:val="000000" w:themeColor="text1"/>
          <w:kern w:val="2"/>
          <w:sz w:val="16"/>
          <w:szCs w:val="16"/>
        </w:rPr>
        <w:t>фирмы «Lohnerwerke». Самолет имел схожий с «111.03» фюзеляж, хвостовую часть и соловую установку. Вооружение «111.04» так же было стандартным для всех истребителей «Lohner» - два передних пулемета.. В ходе испытания, проведенных в следующем месяце, были выявлены ряд недоделок и «111.04» вернули на завод «Lohnerwerke». Вновь на войсковые испытания самолет вернули в сентябре, но результат оказался тем же - неудовлетворительные летные характеристики и плохая видимость из кабины пилота, поставили крест на дальнейшей судьбе самолета (14931).</w:t>
      </w:r>
    </w:p>
    <w:p w14:paraId="0EA99C59" w14:textId="77777777" w:rsidR="00B25AF9" w:rsidRPr="002F2FDF" w:rsidRDefault="00B25AF9" w:rsidP="0083075A">
      <w:pPr>
        <w:spacing w:after="0" w:line="240" w:lineRule="auto"/>
        <w:jc w:val="both"/>
        <w:rPr>
          <w:rFonts w:ascii="Times New Roman" w:hAnsi="Times New Roman" w:cs="Times New Roman"/>
          <w:color w:val="000000" w:themeColor="text1"/>
          <w:kern w:val="2"/>
          <w:sz w:val="16"/>
          <w:szCs w:val="16"/>
        </w:rPr>
      </w:pPr>
    </w:p>
    <w:p w14:paraId="1BDFC9F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июня (3 июля) 1917 г. закончили (начали 21 мая (3 июня)), то есть ровно за один месяц был спроектирован и изгото</w:t>
      </w:r>
      <w:r w:rsidRPr="002F2FDF">
        <w:rPr>
          <w:rFonts w:ascii="Times New Roman" w:hAnsi="Times New Roman" w:cs="Times New Roman"/>
          <w:color w:val="000000" w:themeColor="text1"/>
          <w:kern w:val="2"/>
          <w:sz w:val="16"/>
          <w:szCs w:val="16"/>
        </w:rPr>
        <w:softHyphen/>
        <w:t>влен авиационный двигатель «Либерти». В США для разработ</w:t>
      </w:r>
      <w:r w:rsidRPr="002F2FDF">
        <w:rPr>
          <w:rFonts w:ascii="Times New Roman" w:hAnsi="Times New Roman" w:cs="Times New Roman"/>
          <w:color w:val="000000" w:themeColor="text1"/>
          <w:kern w:val="2"/>
          <w:sz w:val="16"/>
          <w:szCs w:val="16"/>
        </w:rPr>
        <w:softHyphen/>
        <w:t>ки этого двигателя в 1917 г. привлекли луч</w:t>
      </w:r>
      <w:r w:rsidRPr="002F2FDF">
        <w:rPr>
          <w:rFonts w:ascii="Times New Roman" w:hAnsi="Times New Roman" w:cs="Times New Roman"/>
          <w:color w:val="000000" w:themeColor="text1"/>
          <w:kern w:val="2"/>
          <w:sz w:val="16"/>
          <w:szCs w:val="16"/>
        </w:rPr>
        <w:softHyphen/>
        <w:t>ших инженеров, которых буквально заперли водной из вашингтонских гостиниц. Однов</w:t>
      </w:r>
      <w:r w:rsidRPr="002F2FDF">
        <w:rPr>
          <w:rFonts w:ascii="Times New Roman" w:hAnsi="Times New Roman" w:cs="Times New Roman"/>
          <w:color w:val="000000" w:themeColor="text1"/>
          <w:kern w:val="2"/>
          <w:sz w:val="16"/>
          <w:szCs w:val="16"/>
        </w:rPr>
        <w:softHyphen/>
        <w:t>ременно, в помощь проектировщикам, с раз</w:t>
      </w:r>
      <w:r w:rsidRPr="002F2FDF">
        <w:rPr>
          <w:rFonts w:ascii="Times New Roman" w:hAnsi="Times New Roman" w:cs="Times New Roman"/>
          <w:color w:val="000000" w:themeColor="text1"/>
          <w:kern w:val="2"/>
          <w:sz w:val="16"/>
          <w:szCs w:val="16"/>
        </w:rPr>
        <w:softHyphen/>
        <w:t>личных предприятий Америки собрали наи</w:t>
      </w:r>
      <w:r w:rsidRPr="002F2FDF">
        <w:rPr>
          <w:rFonts w:ascii="Times New Roman" w:hAnsi="Times New Roman" w:cs="Times New Roman"/>
          <w:color w:val="000000" w:themeColor="text1"/>
          <w:kern w:val="2"/>
          <w:sz w:val="16"/>
          <w:szCs w:val="16"/>
        </w:rPr>
        <w:softHyphen/>
        <w:t>более опытных консультантов и чертежни</w:t>
      </w:r>
      <w:r w:rsidRPr="002F2FDF">
        <w:rPr>
          <w:rFonts w:ascii="Times New Roman" w:hAnsi="Times New Roman" w:cs="Times New Roman"/>
          <w:color w:val="000000" w:themeColor="text1"/>
          <w:kern w:val="2"/>
          <w:sz w:val="16"/>
          <w:szCs w:val="16"/>
        </w:rPr>
        <w:softHyphen/>
        <w:t>ков. Работа велась практически круглосуточ</w:t>
      </w:r>
      <w:r w:rsidRPr="002F2FDF">
        <w:rPr>
          <w:rFonts w:ascii="Times New Roman" w:hAnsi="Times New Roman" w:cs="Times New Roman"/>
          <w:color w:val="000000" w:themeColor="text1"/>
          <w:kern w:val="2"/>
          <w:sz w:val="16"/>
          <w:szCs w:val="16"/>
        </w:rPr>
        <w:softHyphen/>
        <w:t>но. В конструкции и оборудовании двига</w:t>
      </w:r>
      <w:r w:rsidRPr="002F2FDF">
        <w:rPr>
          <w:rFonts w:ascii="Times New Roman" w:hAnsi="Times New Roman" w:cs="Times New Roman"/>
          <w:color w:val="000000" w:themeColor="text1"/>
          <w:kern w:val="2"/>
          <w:sz w:val="16"/>
          <w:szCs w:val="16"/>
        </w:rPr>
        <w:softHyphen/>
        <w:t>теля использовались уже освоенные кон</w:t>
      </w:r>
      <w:r w:rsidRPr="002F2FDF">
        <w:rPr>
          <w:rFonts w:ascii="Times New Roman" w:hAnsi="Times New Roman" w:cs="Times New Roman"/>
          <w:color w:val="000000" w:themeColor="text1"/>
          <w:kern w:val="2"/>
          <w:sz w:val="16"/>
          <w:szCs w:val="16"/>
        </w:rPr>
        <w:softHyphen/>
        <w:t>структивные элементы и технологические приемы, применявшиеся в автомобильной промышленности того времени. При этом одним из основных требований стала полная взаимозаменяемость частей, позволявшая выпускать двигатель на различных предпри</w:t>
      </w:r>
      <w:r w:rsidRPr="002F2FDF">
        <w:rPr>
          <w:rFonts w:ascii="Times New Roman" w:hAnsi="Times New Roman" w:cs="Times New Roman"/>
          <w:color w:val="000000" w:themeColor="text1"/>
          <w:kern w:val="2"/>
          <w:sz w:val="16"/>
          <w:szCs w:val="16"/>
        </w:rPr>
        <w:softHyphen/>
        <w:t>ятиях. Уже в 1917 году массовое производство «Либерти» развернулось на заводах «Форд», «Паккард», «Линкольн», «Кадиллак», «Мар- мон» и «Трего». Позднее число предприятий, освоивших этот двигатель, возросло до 12. Всего в период 1917-1919 гг. американские заводы выпустили более 20 000 экземпляров «Либерти», обоснованно считавшегося од</w:t>
      </w:r>
      <w:r w:rsidRPr="002F2FDF">
        <w:rPr>
          <w:rFonts w:ascii="Times New Roman" w:hAnsi="Times New Roman" w:cs="Times New Roman"/>
          <w:color w:val="000000" w:themeColor="text1"/>
          <w:kern w:val="2"/>
          <w:sz w:val="16"/>
          <w:szCs w:val="16"/>
        </w:rPr>
        <w:softHyphen/>
        <w:t>ним из самых мощных и надежных авиаци</w:t>
      </w:r>
      <w:r w:rsidRPr="002F2FDF">
        <w:rPr>
          <w:rFonts w:ascii="Times New Roman" w:hAnsi="Times New Roman" w:cs="Times New Roman"/>
          <w:color w:val="000000" w:themeColor="text1"/>
          <w:kern w:val="2"/>
          <w:sz w:val="16"/>
          <w:szCs w:val="16"/>
        </w:rPr>
        <w:softHyphen/>
        <w:t>онных двигателей своего времени (12295).</w:t>
      </w:r>
    </w:p>
    <w:p w14:paraId="7353D51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p w14:paraId="722263FD" w14:textId="100BF935" w:rsidR="00657464" w:rsidRPr="002F2FDF" w:rsidRDefault="00657464" w:rsidP="0083075A">
      <w:pPr>
        <w:pStyle w:val="ae"/>
        <w:spacing w:before="0" w:after="0"/>
        <w:jc w:val="both"/>
        <w:rPr>
          <w:color w:val="000000" w:themeColor="text1"/>
          <w:kern w:val="2"/>
          <w:sz w:val="16"/>
          <w:szCs w:val="16"/>
        </w:rPr>
      </w:pPr>
      <w:r w:rsidRPr="002F2FDF">
        <w:rPr>
          <w:bCs/>
          <w:color w:val="000000" w:themeColor="text1"/>
          <w:kern w:val="2"/>
          <w:sz w:val="16"/>
          <w:szCs w:val="16"/>
        </w:rPr>
        <w:t>10 (23) июня</w:t>
      </w:r>
      <w:r w:rsidRPr="002F2FDF">
        <w:rPr>
          <w:color w:val="000000" w:themeColor="text1"/>
          <w:kern w:val="2"/>
          <w:sz w:val="16"/>
          <w:szCs w:val="16"/>
        </w:rPr>
        <w:t xml:space="preserve"> в 1917 году итальянское командование</w:t>
      </w:r>
      <w:r w:rsidRPr="002F2FDF">
        <w:rPr>
          <w:rStyle w:val="a7"/>
          <w:rFonts w:eastAsiaTheme="majorEastAsia"/>
          <w:b w:val="0"/>
          <w:color w:val="000000" w:themeColor="text1"/>
          <w:kern w:val="2"/>
          <w:sz w:val="16"/>
          <w:szCs w:val="16"/>
        </w:rPr>
        <w:t>оста</w:t>
      </w:r>
      <w:r w:rsidRPr="002F2FDF">
        <w:rPr>
          <w:color w:val="000000" w:themeColor="text1"/>
          <w:kern w:val="2"/>
          <w:sz w:val="16"/>
          <w:szCs w:val="16"/>
        </w:rPr>
        <w:t>новило продолжавшееся почти две недели безуспешное наступление в районе горы Монте-Ортигара (на севере нынешней итальянской провинции Виченца) в Альпах. Элитным альпийским частям удалось взять вершину, но удержать там позиции они не смогли и вскоре отступили. При этом за 13 дней боев итальянцы потеряли убитыми, ранеными и пленными более 23</w:t>
      </w:r>
      <w:r w:rsidR="00E52569">
        <w:rPr>
          <w:color w:val="000000" w:themeColor="text1"/>
          <w:kern w:val="2"/>
          <w:sz w:val="16"/>
          <w:szCs w:val="16"/>
        </w:rPr>
        <w:t xml:space="preserve"> </w:t>
      </w:r>
      <w:r w:rsidRPr="002F2FDF">
        <w:rPr>
          <w:color w:val="000000" w:themeColor="text1"/>
          <w:kern w:val="2"/>
          <w:sz w:val="16"/>
          <w:szCs w:val="16"/>
        </w:rPr>
        <w:t>000 солдат и офицеров, потери австро-венгерской армии составили 9000 человек. Неудача в битве за Монте-Ортигара стала причиной отставок в командовании итальянской армии (17045).</w:t>
      </w:r>
    </w:p>
    <w:p w14:paraId="2C62C757" w14:textId="77777777" w:rsidR="00657464" w:rsidRPr="002F2FDF" w:rsidRDefault="00657464" w:rsidP="0083075A">
      <w:pPr>
        <w:spacing w:after="0" w:line="240" w:lineRule="auto"/>
        <w:jc w:val="both"/>
        <w:rPr>
          <w:rFonts w:ascii="Times New Roman" w:hAnsi="Times New Roman" w:cs="Times New Roman"/>
          <w:color w:val="000000" w:themeColor="text1"/>
          <w:kern w:val="2"/>
          <w:sz w:val="16"/>
          <w:szCs w:val="16"/>
        </w:rPr>
      </w:pPr>
    </w:p>
    <w:p w14:paraId="648613C5" w14:textId="77777777" w:rsidR="00B25AF9" w:rsidRPr="002F2FDF" w:rsidRDefault="00B25AF9"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июня 1917 из-за взрыва арсенала в Болевеге (Богемия) погибло около тысячи рабочих (4962).</w:t>
      </w:r>
    </w:p>
    <w:p w14:paraId="06B14B21" w14:textId="77777777" w:rsidR="00B25AF9" w:rsidRPr="002F2FDF" w:rsidRDefault="00B25AF9"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9BED4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AEBAB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249868" w14:textId="1F5701D0"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июня 1917 в Москве открылся Съезд деятелей авиации фронта и тыла. Привлек 200 делегатов, представляющих 90% фронтовых частей. не был всероссийским, т.к. проходил без санкции военного министра. Не было единства</w:t>
      </w:r>
      <w:r w:rsidR="00014CA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rPr>
        <w:t xml:space="preserve"> и многие депутаты не признали его законным. Принял резолюцию о выделении авиации в самостоятельный вид оружия и об открытии 8 июля Всероссийского съезда (3641).</w:t>
      </w:r>
    </w:p>
    <w:p w14:paraId="4CF7A1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08FA6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июня 1917 в Москве открылся "Съезд деятелей авиации фронта и тыла". Присутствовало 200 делегатов - представите</w:t>
      </w:r>
      <w:r w:rsidRPr="002F2FDF">
        <w:rPr>
          <w:rFonts w:ascii="Times New Roman" w:hAnsi="Times New Roman" w:cs="Times New Roman"/>
          <w:color w:val="000000" w:themeColor="text1"/>
          <w:kern w:val="2"/>
          <w:sz w:val="16"/>
          <w:szCs w:val="16"/>
        </w:rPr>
        <w:softHyphen/>
        <w:t>ли до 90% фронтовых авиачастей и многих тыловых. Съезд не был всероссийским, так как собрался без санкции военного министра. На нем но было единодушия и многие делегаты не признавали его законным. Все же съезд вынес важные резолю</w:t>
      </w:r>
      <w:r w:rsidRPr="002F2FDF">
        <w:rPr>
          <w:rFonts w:ascii="Times New Roman" w:hAnsi="Times New Roman" w:cs="Times New Roman"/>
          <w:color w:val="000000" w:themeColor="text1"/>
          <w:kern w:val="2"/>
          <w:sz w:val="16"/>
          <w:szCs w:val="16"/>
        </w:rPr>
        <w:softHyphen/>
        <w:t>ции о выделении авиации и_воздухоплэвония в самостоятельный род оружия, об открытии 8 июля Всероссийского авиацион</w:t>
      </w:r>
      <w:r w:rsidRPr="002F2FDF">
        <w:rPr>
          <w:rFonts w:ascii="Times New Roman" w:hAnsi="Times New Roman" w:cs="Times New Roman"/>
          <w:color w:val="000000" w:themeColor="text1"/>
          <w:kern w:val="2"/>
          <w:sz w:val="16"/>
          <w:szCs w:val="16"/>
        </w:rPr>
        <w:softHyphen/>
        <w:t>ного съезда и выпустил обращение с требованием "сказать правду о том, что у нес ость и в коком положении мы находимея, гыяснить, что должно быть и кок это сделать". (ЦГВИА. ф.493, оп.15, Д.8. лл, 11-16).</w:t>
      </w:r>
    </w:p>
    <w:p w14:paraId="1A7AB22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322FBC" w14:textId="3B285621" w:rsidR="008E7FAF" w:rsidRPr="00815ED5" w:rsidRDefault="008E7FAF"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11 </w:t>
      </w:r>
      <w:r>
        <w:rPr>
          <w:rFonts w:ascii="Times New Roman" w:hAnsi="Times New Roman" w:cs="Times New Roman"/>
          <w:color w:val="0070C0"/>
          <w:sz w:val="16"/>
          <w:szCs w:val="16"/>
        </w:rPr>
        <w:t>(24) июня 1917 г. в</w:t>
      </w:r>
      <w:r w:rsidRPr="00815ED5">
        <w:rPr>
          <w:rFonts w:ascii="Times New Roman" w:hAnsi="Times New Roman" w:cs="Times New Roman"/>
          <w:color w:val="0070C0"/>
          <w:sz w:val="16"/>
          <w:szCs w:val="16"/>
        </w:rPr>
        <w:t xml:space="preserve"> Москве открылся </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С</w:t>
      </w:r>
      <w:r>
        <w:rPr>
          <w:rFonts w:ascii="Times New Roman" w:hAnsi="Times New Roman" w:cs="Times New Roman"/>
          <w:color w:val="0070C0"/>
          <w:sz w:val="16"/>
          <w:szCs w:val="16"/>
        </w:rPr>
        <w:t>ъе</w:t>
      </w:r>
      <w:r w:rsidRPr="00815ED5">
        <w:rPr>
          <w:rFonts w:ascii="Times New Roman" w:hAnsi="Times New Roman" w:cs="Times New Roman"/>
          <w:color w:val="0070C0"/>
          <w:sz w:val="16"/>
          <w:szCs w:val="16"/>
        </w:rPr>
        <w:t xml:space="preserve">зд деятелей авиации фронта </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 xml:space="preserve"> тыла</w:t>
      </w:r>
      <w:r>
        <w:rPr>
          <w:rFonts w:ascii="Times New Roman" w:hAnsi="Times New Roman" w:cs="Times New Roman"/>
          <w:color w:val="0070C0"/>
          <w:sz w:val="16"/>
          <w:szCs w:val="16"/>
        </w:rPr>
        <w:t>». П</w:t>
      </w:r>
      <w:r w:rsidRPr="00815ED5">
        <w:rPr>
          <w:rFonts w:ascii="Times New Roman" w:hAnsi="Times New Roman" w:cs="Times New Roman"/>
          <w:color w:val="0070C0"/>
          <w:sz w:val="16"/>
          <w:szCs w:val="16"/>
        </w:rPr>
        <w:t>рисутствовало 200 делегатов - представителей до 90</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ф</w:t>
      </w:r>
      <w:r w:rsidRPr="00815ED5">
        <w:rPr>
          <w:rFonts w:ascii="Times New Roman" w:hAnsi="Times New Roman" w:cs="Times New Roman"/>
          <w:color w:val="0070C0"/>
          <w:sz w:val="16"/>
          <w:szCs w:val="16"/>
        </w:rPr>
        <w:t>ронтовых авиачастей и многих тыловых.</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С</w:t>
      </w:r>
      <w:r w:rsidR="004B7158">
        <w:rPr>
          <w:rFonts w:ascii="Times New Roman" w:hAnsi="Times New Roman" w:cs="Times New Roman"/>
          <w:color w:val="0070C0"/>
          <w:sz w:val="16"/>
          <w:szCs w:val="16"/>
        </w:rPr>
        <w:t>ъ</w:t>
      </w:r>
      <w:r w:rsidRPr="00815ED5">
        <w:rPr>
          <w:rFonts w:ascii="Times New Roman" w:hAnsi="Times New Roman" w:cs="Times New Roman"/>
          <w:color w:val="0070C0"/>
          <w:sz w:val="16"/>
          <w:szCs w:val="16"/>
        </w:rPr>
        <w:t>езд не был всероссийским,</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так как собрался без санкции военного министра.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На н</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м не было единодушия и м</w:t>
      </w:r>
      <w:r>
        <w:rPr>
          <w:rFonts w:ascii="Times New Roman" w:hAnsi="Times New Roman" w:cs="Times New Roman"/>
          <w:color w:val="0070C0"/>
          <w:sz w:val="16"/>
          <w:szCs w:val="16"/>
        </w:rPr>
        <w:t>ногие</w:t>
      </w:r>
      <w:r w:rsidRPr="00815ED5">
        <w:rPr>
          <w:rFonts w:ascii="Times New Roman" w:hAnsi="Times New Roman" w:cs="Times New Roman"/>
          <w:color w:val="0070C0"/>
          <w:sz w:val="16"/>
          <w:szCs w:val="16"/>
        </w:rPr>
        <w:t xml:space="preserve"> делегаты не признавали его законным.</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Все </w:t>
      </w:r>
      <w:r>
        <w:rPr>
          <w:rFonts w:ascii="Times New Roman" w:hAnsi="Times New Roman" w:cs="Times New Roman"/>
          <w:color w:val="0070C0"/>
          <w:sz w:val="16"/>
          <w:szCs w:val="16"/>
        </w:rPr>
        <w:t>ж</w:t>
      </w:r>
      <w:r w:rsidRPr="00815ED5">
        <w:rPr>
          <w:rFonts w:ascii="Times New Roman" w:hAnsi="Times New Roman" w:cs="Times New Roman"/>
          <w:color w:val="0070C0"/>
          <w:sz w:val="16"/>
          <w:szCs w:val="16"/>
        </w:rPr>
        <w:t>е с</w:t>
      </w:r>
      <w:r>
        <w:rPr>
          <w:rFonts w:ascii="Times New Roman" w:hAnsi="Times New Roman" w:cs="Times New Roman"/>
          <w:color w:val="0070C0"/>
          <w:sz w:val="16"/>
          <w:szCs w:val="16"/>
        </w:rPr>
        <w:t>ъ</w:t>
      </w:r>
      <w:r w:rsidRPr="00815ED5">
        <w:rPr>
          <w:rFonts w:ascii="Times New Roman" w:hAnsi="Times New Roman" w:cs="Times New Roman"/>
          <w:color w:val="0070C0"/>
          <w:sz w:val="16"/>
          <w:szCs w:val="16"/>
        </w:rPr>
        <w:t>езд вынес важные резо</w:t>
      </w:r>
      <w:r w:rsidRPr="00815ED5">
        <w:rPr>
          <w:rFonts w:ascii="Times New Roman" w:hAnsi="Times New Roman" w:cs="Times New Roman"/>
          <w:color w:val="0070C0"/>
          <w:sz w:val="16"/>
          <w:szCs w:val="16"/>
        </w:rPr>
        <w:softHyphen/>
        <w:t>люции о выделении авиации и воздухоплавания в самостоятельный род оружия,</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об открытии Всероссийского авиационного с</w:t>
      </w:r>
      <w:r>
        <w:rPr>
          <w:rFonts w:ascii="Times New Roman" w:hAnsi="Times New Roman" w:cs="Times New Roman"/>
          <w:color w:val="0070C0"/>
          <w:sz w:val="16"/>
          <w:szCs w:val="16"/>
        </w:rPr>
        <w:t>ъ</w:t>
      </w:r>
      <w:r w:rsidRPr="00815ED5">
        <w:rPr>
          <w:rFonts w:ascii="Times New Roman" w:hAnsi="Times New Roman" w:cs="Times New Roman"/>
          <w:color w:val="0070C0"/>
          <w:sz w:val="16"/>
          <w:szCs w:val="16"/>
        </w:rPr>
        <w:t>езда 8-го июля и выпустил обращение з требованием "сказать правду о том, что у нас есть и в каком положении мы находимся,</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выяснить,</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что должно быть и как это сделать"</w:t>
      </w:r>
    </w:p>
    <w:p w14:paraId="08AC4438" w14:textId="6CA6C48D" w:rsidR="008E7FAF" w:rsidRDefault="008E7FAF"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815ED5">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15,</w:t>
      </w:r>
      <w:r>
        <w:rPr>
          <w:rFonts w:ascii="Times New Roman" w:hAnsi="Times New Roman" w:cs="Times New Roman"/>
          <w:color w:val="0070C0"/>
          <w:sz w:val="16"/>
          <w:szCs w:val="16"/>
        </w:rPr>
        <w:t xml:space="preserve"> д</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8,</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лл. 11-16/</w:t>
      </w:r>
      <w:r>
        <w:rPr>
          <w:rFonts w:ascii="Times New Roman" w:hAnsi="Times New Roman" w:cs="Times New Roman"/>
          <w:color w:val="0070C0"/>
          <w:sz w:val="16"/>
          <w:szCs w:val="16"/>
        </w:rPr>
        <w:t xml:space="preserve"> (23320).</w:t>
      </w:r>
    </w:p>
    <w:p w14:paraId="4B5EF85A" w14:textId="77777777" w:rsidR="008E7FAF" w:rsidRDefault="008E7FAF"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0109A17" w14:textId="53C1C2E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7F459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0AC7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июня 1917 были волнения на ЧМФ в Севастополе (3907,90).</w:t>
      </w:r>
    </w:p>
    <w:p w14:paraId="2C968A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50CF27" w14:textId="77777777" w:rsidR="00B25AF9"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527D966" w14:textId="77777777" w:rsidR="00B25AF9" w:rsidRPr="002F2FDF" w:rsidRDefault="00B25AF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CBC371" w14:textId="77777777" w:rsidR="00B25AF9" w:rsidRPr="002F2FDF" w:rsidRDefault="00B25AF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11 (24) июня</w:t>
      </w:r>
      <w:r w:rsidRPr="002F2FDF">
        <w:rPr>
          <w:rFonts w:ascii="Times New Roman" w:hAnsi="Times New Roman" w:cs="Times New Roman"/>
          <w:color w:val="000000" w:themeColor="text1"/>
          <w:kern w:val="2"/>
          <w:sz w:val="16"/>
          <w:szCs w:val="16"/>
        </w:rPr>
        <w:t xml:space="preserve"> в 1917 году заканчивается I Съезд Советов (14932).</w:t>
      </w:r>
    </w:p>
    <w:p w14:paraId="7815B863" w14:textId="77777777" w:rsidR="00B25AF9" w:rsidRPr="002F2FDF" w:rsidRDefault="00B25AF9" w:rsidP="0083075A">
      <w:pPr>
        <w:spacing w:after="0" w:line="240" w:lineRule="auto"/>
        <w:jc w:val="both"/>
        <w:rPr>
          <w:rFonts w:ascii="Times New Roman" w:hAnsi="Times New Roman" w:cs="Times New Roman"/>
          <w:color w:val="000000" w:themeColor="text1"/>
          <w:kern w:val="2"/>
          <w:sz w:val="16"/>
          <w:szCs w:val="16"/>
        </w:rPr>
      </w:pPr>
    </w:p>
    <w:p w14:paraId="744FB535" w14:textId="77777777" w:rsidR="00B25AF9" w:rsidRPr="002F2FDF" w:rsidRDefault="00B25AF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11 (24) июня</w:t>
      </w:r>
      <w:r w:rsidRPr="002F2FDF">
        <w:rPr>
          <w:rFonts w:ascii="Times New Roman" w:hAnsi="Times New Roman" w:cs="Times New Roman"/>
          <w:color w:val="000000" w:themeColor="text1"/>
          <w:kern w:val="2"/>
          <w:sz w:val="16"/>
          <w:szCs w:val="16"/>
        </w:rPr>
        <w:t xml:space="preserve"> в 1917 году закончил работу 2-й съезд крестьянских депутатов Каинского уезда. Съезд выразил полное, единодушное доверие Временному правительству (14932).</w:t>
      </w:r>
    </w:p>
    <w:p w14:paraId="30E7AD36" w14:textId="77777777" w:rsidR="00B25AF9" w:rsidRPr="002F2FDF" w:rsidRDefault="00B25AF9" w:rsidP="0083075A">
      <w:pPr>
        <w:spacing w:after="0" w:line="240" w:lineRule="auto"/>
        <w:jc w:val="both"/>
        <w:rPr>
          <w:rFonts w:ascii="Times New Roman" w:hAnsi="Times New Roman" w:cs="Times New Roman"/>
          <w:color w:val="000000" w:themeColor="text1"/>
          <w:kern w:val="2"/>
          <w:sz w:val="16"/>
          <w:szCs w:val="16"/>
        </w:rPr>
      </w:pPr>
    </w:p>
    <w:p w14:paraId="42ECCD4E" w14:textId="77777777" w:rsidR="00B25AF9" w:rsidRPr="002F2FDF" w:rsidRDefault="00B25AF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11 (24) июня</w:t>
      </w:r>
      <w:r w:rsidRPr="002F2FDF">
        <w:rPr>
          <w:rFonts w:ascii="Times New Roman" w:hAnsi="Times New Roman" w:cs="Times New Roman"/>
          <w:color w:val="000000" w:themeColor="text1"/>
          <w:kern w:val="2"/>
          <w:sz w:val="16"/>
          <w:szCs w:val="16"/>
        </w:rPr>
        <w:t xml:space="preserve"> в 1917 году мятеж на кораблях Российского Черноморского флота в Севастополе (14932).</w:t>
      </w:r>
    </w:p>
    <w:p w14:paraId="118CF744" w14:textId="77777777" w:rsidR="00B25AF9" w:rsidRPr="002F2FDF" w:rsidRDefault="00B25AF9" w:rsidP="0083075A">
      <w:pPr>
        <w:spacing w:after="0" w:line="240" w:lineRule="auto"/>
        <w:jc w:val="both"/>
        <w:rPr>
          <w:rFonts w:ascii="Times New Roman" w:hAnsi="Times New Roman" w:cs="Times New Roman"/>
          <w:color w:val="000000" w:themeColor="text1"/>
          <w:kern w:val="2"/>
          <w:sz w:val="16"/>
          <w:szCs w:val="16"/>
        </w:rPr>
      </w:pPr>
    </w:p>
    <w:p w14:paraId="1DBFF06D" w14:textId="77777777" w:rsidR="00B423F2" w:rsidRPr="002F2FDF" w:rsidRDefault="00B423F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77737DF" w14:textId="77777777" w:rsidR="00B423F2" w:rsidRPr="002F2FDF" w:rsidRDefault="00B423F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68809F" w14:textId="77777777" w:rsidR="00B423F2" w:rsidRPr="002F2FDF" w:rsidRDefault="00B423F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11 (24) июня 1917 Воздушная служба Императорской немецкой армии, Luftstreitkräfte, объединяет четыре Jagdstaffeln (истребительные эскадрильи) - Jagstaffeln («Jastas») 4, 6, 10 и 11 - чтобы сформировать первый немецкий Jagdgeschwader (истребительное крыло). Рихтгофен становится комендантом Jagdgeshwader I. Jagdgeschwader I станет известен как «Летающий цирк» благодаря красочным схемам окраски самолетов и , возможно , потому что она часто переезжала с места на место и его действия были похожи на бродячий цирк (20341).</w:t>
      </w:r>
    </w:p>
    <w:p w14:paraId="261B2955" w14:textId="77777777" w:rsidR="00B423F2" w:rsidRPr="002F2FDF" w:rsidRDefault="00B423F2" w:rsidP="0083075A">
      <w:pPr>
        <w:spacing w:after="0" w:line="240" w:lineRule="auto"/>
        <w:jc w:val="both"/>
        <w:rPr>
          <w:rFonts w:ascii="Times New Roman" w:hAnsi="Times New Roman" w:cs="Times New Roman"/>
          <w:color w:val="000000" w:themeColor="text1"/>
          <w:sz w:val="16"/>
          <w:szCs w:val="16"/>
        </w:rPr>
      </w:pPr>
    </w:p>
    <w:p w14:paraId="7B0D65FC" w14:textId="77777777" w:rsidR="00B423F2" w:rsidRPr="002F2FDF" w:rsidRDefault="00B423F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11 (24) июня 1917 г. приказом по ВВС Германии для сосредоточения истребительной авиации было создано авиационное соединение нового типа — 1-я истребительная эскадра, по-немецки Jagdgeschwader I, или JG I. Как и слово Staffel (эскадрилья), новый термин позаимствовали у моряков. Он обозначал постоянное соединение эскадрилий, которое должно было действовать в интересах штабов полевых армий и армейских групп по единому плану, находясь в оперативном подчинении сухопутного командования, но сохраняя полную самостоятельность в выборе способа этих действий. В состав JG I в июне 1917 г. были переданы эскадрильи Jasta 4 и 10, а в следующем месяце — Jasta 6 и 11. Возглавил эскадру командир Jasta 11 Манфред фон Рихтгофен. Он был сторонником массированного применения истребителей, считая, что лучше один раз расчистить небо полностью и завоевать в нем полное господство, чем каждый день «подставляться поодиночке» и нести потери от превосходящих сил противника. Как моряки считали, что эскадра должна быть максимально однородной, так и Рихтгофен утверждал, что надо покончить с чрезмерным разнообразием типов истребителей, что мешает пилотам вести совместный воздушный бой. Он хотел создать монолитное соединение одинаково хороших бойцов на одинаково хороших самолетах. Пусть даже и не самых лучших, но одинаково сильных — без «слабых звеньев» (22781).</w:t>
      </w:r>
    </w:p>
    <w:p w14:paraId="4C0E7905" w14:textId="77777777" w:rsidR="00B423F2" w:rsidRPr="002F2FDF" w:rsidRDefault="00B423F2" w:rsidP="0083075A">
      <w:pPr>
        <w:spacing w:after="0" w:line="240" w:lineRule="auto"/>
        <w:jc w:val="both"/>
        <w:rPr>
          <w:rFonts w:ascii="Times New Roman" w:hAnsi="Times New Roman" w:cs="Times New Roman"/>
          <w:color w:val="000000" w:themeColor="text1"/>
          <w:sz w:val="16"/>
          <w:szCs w:val="16"/>
        </w:rPr>
      </w:pPr>
    </w:p>
    <w:p w14:paraId="67F69B95" w14:textId="77777777" w:rsidR="006E2BB0"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ABB7F96" w14:textId="77777777" w:rsidR="006E2BB0" w:rsidRPr="002F2FDF" w:rsidRDefault="006E2BB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1AA33E" w14:textId="77777777" w:rsidR="006E2BB0" w:rsidRPr="002F2FDF" w:rsidRDefault="006E2BB0" w:rsidP="0083075A">
      <w:pPr>
        <w:pStyle w:val="a3"/>
        <w:rPr>
          <w:color w:val="000000" w:themeColor="text1"/>
          <w:kern w:val="2"/>
          <w:lang w:val="ru-RU"/>
        </w:rPr>
      </w:pPr>
      <w:r w:rsidRPr="002F2FDF">
        <w:rPr>
          <w:color w:val="000000" w:themeColor="text1"/>
          <w:kern w:val="2"/>
          <w:lang w:val="ru-RU"/>
        </w:rPr>
        <w:t>12 (25) июня 1917 г. директор Товарищества «ЛАМ» Н.С. Саков сообщил На</w:t>
      </w:r>
      <w:r w:rsidRPr="002F2FDF">
        <w:rPr>
          <w:color w:val="000000" w:themeColor="text1"/>
          <w:kern w:val="2"/>
          <w:lang w:val="ru-RU"/>
        </w:rPr>
        <w:softHyphen/>
        <w:t>чальнику УВВФ о невозможно</w:t>
      </w:r>
      <w:r w:rsidRPr="002F2FDF">
        <w:rPr>
          <w:color w:val="000000" w:themeColor="text1"/>
          <w:kern w:val="2"/>
          <w:lang w:val="ru-RU"/>
        </w:rPr>
        <w:softHyphen/>
        <w:t>сти выполне</w:t>
      </w:r>
      <w:r w:rsidRPr="002F2FDF">
        <w:rPr>
          <w:color w:val="000000" w:themeColor="text1"/>
          <w:kern w:val="2"/>
          <w:lang w:val="ru-RU"/>
        </w:rPr>
        <w:softHyphen/>
        <w:t>ния заказа и просил УВВФ «...принять, ес</w:t>
      </w:r>
      <w:r w:rsidRPr="002F2FDF">
        <w:rPr>
          <w:color w:val="000000" w:themeColor="text1"/>
          <w:kern w:val="2"/>
          <w:lang w:val="ru-RU"/>
        </w:rPr>
        <w:softHyphen/>
        <w:t>ли это возмож</w:t>
      </w:r>
      <w:r w:rsidRPr="002F2FDF">
        <w:rPr>
          <w:color w:val="000000" w:themeColor="text1"/>
          <w:kern w:val="2"/>
          <w:lang w:val="ru-RU"/>
        </w:rPr>
        <w:softHyphen/>
        <w:t>но, всё... дело со всеми заго</w:t>
      </w:r>
      <w:r w:rsidRPr="002F2FDF">
        <w:rPr>
          <w:rStyle w:val="1pt6"/>
          <w:rFonts w:ascii="Times New Roman" w:hAnsi="Times New Roman" w:cs="Times New Roman"/>
          <w:color w:val="000000" w:themeColor="text1"/>
          <w:spacing w:val="0"/>
          <w:kern w:val="2"/>
          <w:sz w:val="16"/>
          <w:szCs w:val="16"/>
          <w:lang w:val="ru-RU"/>
        </w:rPr>
        <w:t xml:space="preserve">товленными </w:t>
      </w:r>
      <w:r w:rsidRPr="002F2FDF">
        <w:rPr>
          <w:color w:val="000000" w:themeColor="text1"/>
          <w:kern w:val="2"/>
          <w:lang w:val="ru-RU"/>
        </w:rPr>
        <w:t>частями аппа</w:t>
      </w:r>
      <w:r w:rsidRPr="002F2FDF">
        <w:rPr>
          <w:color w:val="000000" w:themeColor="text1"/>
          <w:kern w:val="2"/>
          <w:lang w:val="ru-RU"/>
        </w:rPr>
        <w:softHyphen/>
        <w:t>ратов, обору</w:t>
      </w:r>
      <w:r w:rsidRPr="002F2FDF">
        <w:rPr>
          <w:color w:val="000000" w:themeColor="text1"/>
          <w:kern w:val="2"/>
          <w:lang w:val="ru-RU"/>
        </w:rPr>
        <w:softHyphen/>
        <w:t>дованием и за</w:t>
      </w:r>
      <w:r w:rsidRPr="002F2FDF">
        <w:rPr>
          <w:color w:val="000000" w:themeColor="text1"/>
          <w:kern w:val="2"/>
          <w:lang w:val="ru-RU"/>
        </w:rPr>
        <w:softHyphen/>
        <w:t>пасами мате</w:t>
      </w:r>
      <w:r w:rsidRPr="002F2FDF">
        <w:rPr>
          <w:color w:val="000000" w:themeColor="text1"/>
          <w:kern w:val="2"/>
          <w:lang w:val="ru-RU"/>
        </w:rPr>
        <w:softHyphen/>
        <w:t>риалов по се</w:t>
      </w:r>
      <w:r w:rsidRPr="002F2FDF">
        <w:rPr>
          <w:color w:val="000000" w:themeColor="text1"/>
          <w:kern w:val="2"/>
          <w:lang w:val="ru-RU"/>
        </w:rPr>
        <w:softHyphen/>
        <w:t>бестоимости» (15817).</w:t>
      </w:r>
    </w:p>
    <w:p w14:paraId="46F53DD7" w14:textId="77777777" w:rsidR="006E2BB0" w:rsidRPr="002F2FDF" w:rsidRDefault="006E2BB0" w:rsidP="0083075A">
      <w:pPr>
        <w:pStyle w:val="a3"/>
        <w:rPr>
          <w:color w:val="000000" w:themeColor="text1"/>
          <w:kern w:val="2"/>
          <w:lang w:val="ru-RU"/>
        </w:rPr>
      </w:pPr>
    </w:p>
    <w:p w14:paraId="30D47BBA" w14:textId="27ED147D" w:rsidR="00F55611" w:rsidRPr="00FB4F67" w:rsidRDefault="00F5561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 xml:space="preserve">12 </w:t>
      </w:r>
      <w:r>
        <w:rPr>
          <w:rFonts w:ascii="Times New Roman" w:hAnsi="Times New Roman" w:cs="Times New Roman"/>
          <w:color w:val="0070C0"/>
          <w:sz w:val="16"/>
          <w:szCs w:val="16"/>
        </w:rPr>
        <w:t xml:space="preserve">(25) </w:t>
      </w:r>
      <w:r w:rsidRPr="00FB4F67">
        <w:rPr>
          <w:rFonts w:ascii="Times New Roman" w:hAnsi="Times New Roman" w:cs="Times New Roman"/>
          <w:color w:val="0070C0"/>
          <w:sz w:val="16"/>
          <w:szCs w:val="16"/>
        </w:rPr>
        <w:t>июня 1917 г. неутешительные выводы комис</w:t>
      </w:r>
      <w:r w:rsidRPr="00FB4F67">
        <w:rPr>
          <w:rFonts w:ascii="Times New Roman" w:hAnsi="Times New Roman" w:cs="Times New Roman"/>
          <w:color w:val="0070C0"/>
          <w:sz w:val="16"/>
          <w:szCs w:val="16"/>
        </w:rPr>
        <w:softHyphen/>
        <w:t>сии о недостаточной прочности бомбардировщиков «Илья Муро</w:t>
      </w:r>
      <w:r w:rsidRPr="00FB4F67">
        <w:rPr>
          <w:rFonts w:ascii="Times New Roman" w:hAnsi="Times New Roman" w:cs="Times New Roman"/>
          <w:color w:val="0070C0"/>
          <w:sz w:val="16"/>
          <w:szCs w:val="16"/>
        </w:rPr>
        <w:softHyphen/>
        <w:t>мец», которые были переданы в Эскадру, и послужили поводом проведения специального офи</w:t>
      </w:r>
      <w:r w:rsidRPr="00FB4F67">
        <w:rPr>
          <w:rFonts w:ascii="Times New Roman" w:hAnsi="Times New Roman" w:cs="Times New Roman"/>
          <w:color w:val="0070C0"/>
          <w:sz w:val="16"/>
          <w:szCs w:val="16"/>
        </w:rPr>
        <w:softHyphen/>
        <w:t>церского собрания. Решение со</w:t>
      </w:r>
      <w:r w:rsidRPr="00FB4F67">
        <w:rPr>
          <w:rFonts w:ascii="Times New Roman" w:hAnsi="Times New Roman" w:cs="Times New Roman"/>
          <w:color w:val="0070C0"/>
          <w:sz w:val="16"/>
          <w:szCs w:val="16"/>
        </w:rPr>
        <w:softHyphen/>
        <w:t>брания было неожиданным для за</w:t>
      </w:r>
      <w:r w:rsidRPr="00FB4F67">
        <w:rPr>
          <w:rFonts w:ascii="Times New Roman" w:hAnsi="Times New Roman" w:cs="Times New Roman"/>
          <w:color w:val="0070C0"/>
          <w:sz w:val="16"/>
          <w:szCs w:val="16"/>
        </w:rPr>
        <w:softHyphen/>
        <w:t>теявших возню вокруг «Муромцев». Лётчики Эскадры не выразили не</w:t>
      </w:r>
      <w:r w:rsidRPr="00FB4F67">
        <w:rPr>
          <w:rFonts w:ascii="Times New Roman" w:hAnsi="Times New Roman" w:cs="Times New Roman"/>
          <w:color w:val="0070C0"/>
          <w:sz w:val="16"/>
          <w:szCs w:val="16"/>
        </w:rPr>
        <w:softHyphen/>
        <w:t>доверия длинным формулам и рас</w:t>
      </w:r>
      <w:r w:rsidRPr="00FB4F67">
        <w:rPr>
          <w:rFonts w:ascii="Times New Roman" w:hAnsi="Times New Roman" w:cs="Times New Roman"/>
          <w:color w:val="0070C0"/>
          <w:sz w:val="16"/>
          <w:szCs w:val="16"/>
        </w:rPr>
        <w:softHyphen/>
        <w:t>суждениям, а просто уведомили пе</w:t>
      </w:r>
      <w:r w:rsidRPr="00FB4F67">
        <w:rPr>
          <w:rFonts w:ascii="Times New Roman" w:hAnsi="Times New Roman" w:cs="Times New Roman"/>
          <w:color w:val="0070C0"/>
          <w:sz w:val="16"/>
          <w:szCs w:val="16"/>
        </w:rPr>
        <w:softHyphen/>
        <w:t>троградских чиновников: «...учи</w:t>
      </w:r>
      <w:r w:rsidRPr="00FB4F67">
        <w:rPr>
          <w:rFonts w:ascii="Times New Roman" w:hAnsi="Times New Roman" w:cs="Times New Roman"/>
          <w:color w:val="0070C0"/>
          <w:sz w:val="16"/>
          <w:szCs w:val="16"/>
        </w:rPr>
        <w:softHyphen/>
        <w:t>тывая могущество и силу Муром</w:t>
      </w:r>
      <w:r w:rsidRPr="00FB4F67">
        <w:rPr>
          <w:rFonts w:ascii="Times New Roman" w:hAnsi="Times New Roman" w:cs="Times New Roman"/>
          <w:color w:val="0070C0"/>
          <w:sz w:val="16"/>
          <w:szCs w:val="16"/>
        </w:rPr>
        <w:softHyphen/>
        <w:t>цев в решении специальных задач и ту пользу, которую они могут принести, а равно и то обстоя</w:t>
      </w:r>
      <w:r w:rsidRPr="00FB4F67">
        <w:rPr>
          <w:rFonts w:ascii="Times New Roman" w:hAnsi="Times New Roman" w:cs="Times New Roman"/>
          <w:color w:val="0070C0"/>
          <w:sz w:val="16"/>
          <w:szCs w:val="16"/>
        </w:rPr>
        <w:softHyphen/>
        <w:t>тельство, что их ничем в настоя</w:t>
      </w:r>
      <w:r w:rsidRPr="00FB4F67">
        <w:rPr>
          <w:rFonts w:ascii="Times New Roman" w:hAnsi="Times New Roman" w:cs="Times New Roman"/>
          <w:color w:val="0070C0"/>
          <w:sz w:val="16"/>
          <w:szCs w:val="16"/>
        </w:rPr>
        <w:softHyphen/>
        <w:t>щее время заменить нельзя, при</w:t>
      </w:r>
      <w:r w:rsidRPr="00FB4F67">
        <w:rPr>
          <w:rFonts w:ascii="Times New Roman" w:hAnsi="Times New Roman" w:cs="Times New Roman"/>
          <w:color w:val="0070C0"/>
          <w:sz w:val="16"/>
          <w:szCs w:val="16"/>
        </w:rPr>
        <w:softHyphen/>
        <w:t>шли к заключению о необходимос</w:t>
      </w:r>
      <w:r w:rsidRPr="00FB4F67">
        <w:rPr>
          <w:rFonts w:ascii="Times New Roman" w:hAnsi="Times New Roman" w:cs="Times New Roman"/>
          <w:color w:val="0070C0"/>
          <w:sz w:val="16"/>
          <w:szCs w:val="16"/>
        </w:rPr>
        <w:softHyphen/>
        <w:t>ти работы Муромцев на фронте. Ввиду чего, и отдавая себе ясный отчет в рискованности полётов, командиры и офицеры всех имею</w:t>
      </w:r>
      <w:r w:rsidRPr="00FB4F67">
        <w:rPr>
          <w:rFonts w:ascii="Times New Roman" w:hAnsi="Times New Roman" w:cs="Times New Roman"/>
          <w:color w:val="0070C0"/>
          <w:sz w:val="16"/>
          <w:szCs w:val="16"/>
        </w:rPr>
        <w:softHyphen/>
        <w:t>щихся в настоящее время в Эскад</w:t>
      </w:r>
      <w:r w:rsidRPr="00FB4F67">
        <w:rPr>
          <w:rFonts w:ascii="Times New Roman" w:hAnsi="Times New Roman" w:cs="Times New Roman"/>
          <w:color w:val="0070C0"/>
          <w:sz w:val="16"/>
          <w:szCs w:val="16"/>
        </w:rPr>
        <w:softHyphen/>
        <w:t>ре Воздушных Кораблей боевых ко</w:t>
      </w:r>
      <w:r w:rsidRPr="00FB4F67">
        <w:rPr>
          <w:rFonts w:ascii="Times New Roman" w:hAnsi="Times New Roman" w:cs="Times New Roman"/>
          <w:color w:val="0070C0"/>
          <w:sz w:val="16"/>
          <w:szCs w:val="16"/>
        </w:rPr>
        <w:softHyphen/>
        <w:t>раблей в сознании и своего долга перед Родиной, признали необходи</w:t>
      </w:r>
      <w:r w:rsidRPr="00FB4F67">
        <w:rPr>
          <w:rFonts w:ascii="Times New Roman" w:hAnsi="Times New Roman" w:cs="Times New Roman"/>
          <w:color w:val="0070C0"/>
          <w:sz w:val="16"/>
          <w:szCs w:val="16"/>
        </w:rPr>
        <w:softHyphen/>
        <w:t>мым не прерывать боевой работы существующих кораблей и вырази</w:t>
      </w:r>
      <w:r w:rsidRPr="00FB4F67">
        <w:rPr>
          <w:rFonts w:ascii="Times New Roman" w:hAnsi="Times New Roman" w:cs="Times New Roman"/>
          <w:color w:val="0070C0"/>
          <w:sz w:val="16"/>
          <w:szCs w:val="16"/>
        </w:rPr>
        <w:softHyphen/>
        <w:t>ли лишь настойчивое желание в соответствующих улучшениях последующих кораблей».</w:t>
      </w:r>
    </w:p>
    <w:p w14:paraId="629B5E11" w14:textId="77777777" w:rsidR="00F55611" w:rsidRPr="00FB4F67" w:rsidRDefault="00F5561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Скандал нарушил всю систему снабжения ЭВК. Запланированный контракт РБВЗ на 40 «Муромцев» Е-2 и Г-Збис не состоялся. Переде</w:t>
      </w:r>
      <w:r w:rsidRPr="00FB4F67">
        <w:rPr>
          <w:rFonts w:ascii="Times New Roman" w:hAnsi="Times New Roman" w:cs="Times New Roman"/>
          <w:color w:val="0070C0"/>
          <w:sz w:val="16"/>
          <w:szCs w:val="16"/>
        </w:rPr>
        <w:softHyphen/>
        <w:t>ланный по требованию комиссии «Муромец» оказался столь тяжёл, что не смог поднимать полезную нагрузку. Собранные на РБВЗ «Му</w:t>
      </w:r>
      <w:r w:rsidRPr="00FB4F67">
        <w:rPr>
          <w:rFonts w:ascii="Times New Roman" w:hAnsi="Times New Roman" w:cs="Times New Roman"/>
          <w:color w:val="0070C0"/>
          <w:sz w:val="16"/>
          <w:szCs w:val="16"/>
        </w:rPr>
        <w:softHyphen/>
        <w:t>ромцы» так и простояли на заводе до весны 1918 г., когда их забрали в красную ЭВК (23469).</w:t>
      </w:r>
    </w:p>
    <w:p w14:paraId="7D74A7A9" w14:textId="77777777" w:rsidR="00F55611" w:rsidRPr="00FB4F67" w:rsidRDefault="00F55611" w:rsidP="0083075A">
      <w:pPr>
        <w:spacing w:after="0" w:line="240" w:lineRule="auto"/>
        <w:jc w:val="both"/>
        <w:rPr>
          <w:rFonts w:ascii="Times New Roman" w:hAnsi="Times New Roman" w:cs="Times New Roman"/>
          <w:color w:val="0070C0"/>
          <w:sz w:val="16"/>
          <w:szCs w:val="16"/>
        </w:rPr>
      </w:pPr>
    </w:p>
    <w:p w14:paraId="4952436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3F0F8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9CB88A" w14:textId="0DB9E8A0" w:rsidR="00946AE8" w:rsidRPr="00FB4F67" w:rsidRDefault="00946AE8"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12 (</w:t>
      </w:r>
      <w:r w:rsidRPr="00FB4F67">
        <w:rPr>
          <w:rFonts w:ascii="Times New Roman" w:hAnsi="Times New Roman" w:cs="Times New Roman"/>
          <w:color w:val="0070C0"/>
          <w:sz w:val="16"/>
          <w:szCs w:val="16"/>
        </w:rPr>
        <w:t>25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1917 г. в воздушном бою наш летчик сбил германский самолет, упавший в районе Чиуслея (Румыния). При падении один из членов экипажа разбился, летательный аппарат оказался сломан.</w:t>
      </w:r>
    </w:p>
    <w:p w14:paraId="4D605F5F" w14:textId="77777777" w:rsidR="00946AE8" w:rsidRPr="00FB4F67" w:rsidRDefault="00946AE8" w:rsidP="0083075A">
      <w:pPr>
        <w:spacing w:after="0" w:line="240" w:lineRule="auto"/>
        <w:jc w:val="both"/>
        <w:rPr>
          <w:rFonts w:ascii="Times New Roman" w:hAnsi="Times New Roman" w:cs="Times New Roman"/>
          <w:color w:val="0070C0"/>
          <w:sz w:val="16"/>
          <w:szCs w:val="16"/>
        </w:rPr>
      </w:pPr>
      <w:bookmarkStart w:id="153" w:name="bookmark818"/>
      <w:r w:rsidRPr="00FB4F67">
        <w:rPr>
          <w:rFonts w:ascii="Times New Roman" w:hAnsi="Times New Roman" w:cs="Times New Roman"/>
          <w:color w:val="0070C0"/>
          <w:sz w:val="16"/>
          <w:szCs w:val="16"/>
        </w:rPr>
        <w:t>В районе румынского с. Путны (Пунта) орудийными расчетами противоаэропланного взвода 4-й артиллерийской батареи был подбит германский аэроплан-разведчик. При снижении высоты над нашими передовыми позициями он попал зону плотного ружейного огня. Несмотря на серьезные повреждения, неприятельскому экипажу удалось посадить свою машину возле проволочных заграждений немецких войск. Вскоре самолет был обнаружен наблюдателями двух наших батарей, которые незамедлительно открыли беглый огонь. Летчик и наблюдатель успели благополучно эвакуироваться с подбитого аппарата</w:t>
      </w:r>
      <w:bookmarkEnd w:id="153"/>
      <w:r w:rsidRPr="00FB4F67">
        <w:rPr>
          <w:rFonts w:ascii="Times New Roman" w:hAnsi="Times New Roman" w:cs="Times New Roman"/>
          <w:color w:val="0070C0"/>
          <w:sz w:val="16"/>
          <w:szCs w:val="16"/>
        </w:rPr>
        <w:t xml:space="preserve"> (23405).</w:t>
      </w:r>
    </w:p>
    <w:p w14:paraId="0537A62B" w14:textId="77777777" w:rsidR="00946AE8" w:rsidRPr="00FB4F67" w:rsidRDefault="00946AE8" w:rsidP="0083075A">
      <w:pPr>
        <w:spacing w:after="0" w:line="240" w:lineRule="auto"/>
        <w:jc w:val="both"/>
        <w:rPr>
          <w:rFonts w:ascii="Times New Roman" w:hAnsi="Times New Roman" w:cs="Times New Roman"/>
          <w:color w:val="0070C0"/>
          <w:sz w:val="16"/>
          <w:szCs w:val="16"/>
        </w:rPr>
      </w:pPr>
    </w:p>
    <w:p w14:paraId="7E8C3C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12 </w:t>
      </w:r>
      <w:r w:rsidR="00BA5C59" w:rsidRPr="002F2FDF">
        <w:rPr>
          <w:rFonts w:ascii="Times New Roman" w:hAnsi="Times New Roman" w:cs="Times New Roman"/>
          <w:color w:val="000000" w:themeColor="text1"/>
          <w:kern w:val="2"/>
          <w:sz w:val="16"/>
          <w:szCs w:val="16"/>
        </w:rPr>
        <w:t xml:space="preserve">(25) </w:t>
      </w:r>
      <w:r w:rsidRPr="002F2FDF">
        <w:rPr>
          <w:rFonts w:ascii="Times New Roman" w:hAnsi="Times New Roman" w:cs="Times New Roman"/>
          <w:color w:val="000000" w:themeColor="text1"/>
          <w:kern w:val="2"/>
          <w:sz w:val="16"/>
          <w:szCs w:val="16"/>
        </w:rPr>
        <w:t>июня 1917, созданный 23 февраля 1917 г. и вклю</w:t>
      </w:r>
      <w:r w:rsidRPr="002F2FDF">
        <w:rPr>
          <w:rFonts w:ascii="Times New Roman" w:hAnsi="Times New Roman" w:cs="Times New Roman"/>
          <w:color w:val="000000" w:themeColor="text1"/>
          <w:kern w:val="2"/>
          <w:sz w:val="16"/>
          <w:szCs w:val="16"/>
        </w:rPr>
        <w:softHyphen/>
        <w:t>ченный 29 мая в состав частей ТАОН 3-й От</w:t>
      </w:r>
      <w:r w:rsidRPr="002F2FDF">
        <w:rPr>
          <w:rFonts w:ascii="Times New Roman" w:hAnsi="Times New Roman" w:cs="Times New Roman"/>
          <w:color w:val="000000" w:themeColor="text1"/>
          <w:kern w:val="2"/>
          <w:sz w:val="16"/>
          <w:szCs w:val="16"/>
        </w:rPr>
        <w:softHyphen/>
        <w:t>дельный тяжелый артиллерийский дивизи</w:t>
      </w:r>
      <w:r w:rsidRPr="002F2FDF">
        <w:rPr>
          <w:rFonts w:ascii="Times New Roman" w:hAnsi="Times New Roman" w:cs="Times New Roman"/>
          <w:color w:val="000000" w:themeColor="text1"/>
          <w:kern w:val="2"/>
          <w:sz w:val="16"/>
          <w:szCs w:val="16"/>
        </w:rPr>
        <w:softHyphen/>
        <w:t>он батарей литер «А», вооруженный 280-мм французскими гаубицами «Шней</w:t>
      </w:r>
      <w:r w:rsidRPr="002F2FDF">
        <w:rPr>
          <w:rFonts w:ascii="Times New Roman" w:hAnsi="Times New Roman" w:cs="Times New Roman"/>
          <w:color w:val="000000" w:themeColor="text1"/>
          <w:kern w:val="2"/>
          <w:sz w:val="16"/>
          <w:szCs w:val="16"/>
        </w:rPr>
        <w:softHyphen/>
        <w:t>дер», был переформирован в 3-й Отдельный тракторный тяжелый артил</w:t>
      </w:r>
      <w:r w:rsidRPr="002F2FDF">
        <w:rPr>
          <w:rFonts w:ascii="Times New Roman" w:hAnsi="Times New Roman" w:cs="Times New Roman"/>
          <w:color w:val="000000" w:themeColor="text1"/>
          <w:kern w:val="2"/>
          <w:sz w:val="16"/>
          <w:szCs w:val="16"/>
        </w:rPr>
        <w:softHyphen/>
        <w:t xml:space="preserve">лерийский дивизион батарей «А» (11874). </w:t>
      </w:r>
    </w:p>
    <w:p w14:paraId="64FAD9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729C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июня 1917 был бой линкора Свободная Россия и эсминцев с легким крейсером Бреслау (3123).</w:t>
      </w:r>
    </w:p>
    <w:p w14:paraId="75F57B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8145A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июня 1917 немецким крейсером “Бреслау” разрушен маяк Феодосии (Крым) (4962).</w:t>
      </w:r>
    </w:p>
    <w:p w14:paraId="2B59049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11B2D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F063B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2BE1F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июня 1917 Временное правительство России издало закон о повышении налога на прибыли предприятий (4962).</w:t>
      </w:r>
    </w:p>
    <w:p w14:paraId="7789A33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475B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июня 1917 был установлен чрезвычайный подоходный налог (1348,113).</w:t>
      </w:r>
    </w:p>
    <w:p w14:paraId="2A9EA9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D89C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июня 1917 была восстановлена смертная казнь на фронте (2565).</w:t>
      </w:r>
    </w:p>
    <w:p w14:paraId="47F65C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546A03" w14:textId="0A4DFE6A" w:rsidR="00BF13D4" w:rsidRPr="002F2FDF" w:rsidRDefault="00BF13D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w:t>
      </w:r>
      <w:hyperlink r:id="rId229" w:tooltip="25 июня" w:history="1">
        <w:r w:rsidRPr="002F2FDF">
          <w:rPr>
            <w:rStyle w:val="a5"/>
            <w:rFonts w:ascii="Times New Roman" w:hAnsi="Times New Roman" w:cs="Times New Roman"/>
            <w:color w:val="000000" w:themeColor="text1"/>
            <w:kern w:val="2"/>
            <w:sz w:val="16"/>
            <w:szCs w:val="16"/>
            <w:u w:val="none"/>
          </w:rPr>
          <w:t>25</w:t>
        </w:r>
      </w:hyperlink>
      <w:r w:rsidRPr="002F2FDF">
        <w:rPr>
          <w:rFonts w:ascii="Times New Roman" w:hAnsi="Times New Roman" w:cs="Times New Roman"/>
          <w:color w:val="000000" w:themeColor="text1"/>
          <w:kern w:val="2"/>
          <w:sz w:val="16"/>
          <w:szCs w:val="16"/>
        </w:rPr>
        <w:t>)</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июня</w:t>
      </w:r>
      <w:r w:rsidR="00E52569">
        <w:rPr>
          <w:rFonts w:ascii="Times New Roman" w:hAnsi="Times New Roman" w:cs="Times New Roman"/>
          <w:color w:val="000000" w:themeColor="text1"/>
          <w:kern w:val="2"/>
          <w:sz w:val="16"/>
          <w:szCs w:val="16"/>
        </w:rPr>
        <w:t xml:space="preserve"> </w:t>
      </w:r>
      <w:hyperlink r:id="rId230" w:tooltip="1917 год" w:history="1">
        <w:r w:rsidRPr="002F2FDF">
          <w:rPr>
            <w:rStyle w:val="a5"/>
            <w:rFonts w:ascii="Times New Roman" w:hAnsi="Times New Roman" w:cs="Times New Roman"/>
            <w:color w:val="000000" w:themeColor="text1"/>
            <w:kern w:val="2"/>
            <w:sz w:val="16"/>
            <w:szCs w:val="16"/>
            <w:u w:val="none"/>
          </w:rPr>
          <w:t>1917</w:t>
        </w:r>
      </w:hyperlink>
      <w:r w:rsidRPr="002F2FDF">
        <w:rPr>
          <w:rFonts w:ascii="Times New Roman" w:hAnsi="Times New Roman" w:cs="Times New Roman"/>
          <w:color w:val="000000" w:themeColor="text1"/>
          <w:kern w:val="2"/>
          <w:sz w:val="16"/>
          <w:szCs w:val="16"/>
        </w:rPr>
        <w:t xml:space="preserve"> власти безуспешно попытались выселить большевиков из занимаемого ими особняка Кшесинской (17029).</w:t>
      </w:r>
    </w:p>
    <w:p w14:paraId="2E73E0FD" w14:textId="77777777" w:rsidR="00BF13D4" w:rsidRPr="002F2FDF" w:rsidRDefault="00BF13D4" w:rsidP="0083075A">
      <w:pPr>
        <w:spacing w:after="0" w:line="240" w:lineRule="auto"/>
        <w:jc w:val="both"/>
        <w:rPr>
          <w:rFonts w:ascii="Times New Roman" w:hAnsi="Times New Roman" w:cs="Times New Roman"/>
          <w:color w:val="000000" w:themeColor="text1"/>
          <w:kern w:val="2"/>
          <w:sz w:val="16"/>
          <w:szCs w:val="16"/>
        </w:rPr>
      </w:pPr>
    </w:p>
    <w:p w14:paraId="2E8B12F7" w14:textId="71F7C1BB" w:rsidR="00945C28" w:rsidRPr="002F2FDF" w:rsidRDefault="00945C28" w:rsidP="0083075A">
      <w:pPr>
        <w:pStyle w:val="ae"/>
        <w:spacing w:before="0" w:after="0"/>
        <w:jc w:val="both"/>
        <w:rPr>
          <w:color w:val="000000" w:themeColor="text1"/>
          <w:kern w:val="2"/>
          <w:sz w:val="16"/>
          <w:szCs w:val="16"/>
        </w:rPr>
      </w:pPr>
      <w:r w:rsidRPr="002F2FDF">
        <w:rPr>
          <w:color w:val="000000" w:themeColor="text1"/>
          <w:kern w:val="2"/>
          <w:sz w:val="16"/>
          <w:szCs w:val="16"/>
        </w:rPr>
        <w:t>12</w:t>
      </w:r>
      <w:r w:rsidR="00E52569">
        <w:rPr>
          <w:color w:val="000000" w:themeColor="text1"/>
          <w:kern w:val="2"/>
          <w:sz w:val="16"/>
          <w:szCs w:val="16"/>
        </w:rPr>
        <w:t xml:space="preserve"> </w:t>
      </w:r>
      <w:r w:rsidRPr="002F2FDF">
        <w:rPr>
          <w:color w:val="000000" w:themeColor="text1"/>
          <w:kern w:val="2"/>
          <w:sz w:val="16"/>
          <w:szCs w:val="16"/>
        </w:rPr>
        <w:t>(</w:t>
      </w:r>
      <w:hyperlink r:id="rId231" w:tooltip="25 июня" w:history="1">
        <w:r w:rsidRPr="002F2FDF">
          <w:rPr>
            <w:rStyle w:val="a5"/>
            <w:color w:val="000000" w:themeColor="text1"/>
            <w:kern w:val="2"/>
            <w:sz w:val="16"/>
            <w:szCs w:val="16"/>
            <w:u w:val="none"/>
          </w:rPr>
          <w:t>25</w:t>
        </w:r>
      </w:hyperlink>
      <w:r w:rsidRPr="002F2FDF">
        <w:rPr>
          <w:color w:val="000000" w:themeColor="text1"/>
          <w:kern w:val="2"/>
          <w:sz w:val="16"/>
          <w:szCs w:val="16"/>
        </w:rPr>
        <w:t>)</w:t>
      </w:r>
      <w:r w:rsidR="00E52569">
        <w:rPr>
          <w:color w:val="000000" w:themeColor="text1"/>
          <w:kern w:val="2"/>
          <w:sz w:val="16"/>
          <w:szCs w:val="16"/>
        </w:rPr>
        <w:t xml:space="preserve"> </w:t>
      </w:r>
      <w:r w:rsidRPr="002F2FDF">
        <w:rPr>
          <w:color w:val="000000" w:themeColor="text1"/>
          <w:kern w:val="2"/>
          <w:sz w:val="16"/>
          <w:szCs w:val="16"/>
        </w:rPr>
        <w:t>июня</w:t>
      </w:r>
      <w:r w:rsidR="00E52569">
        <w:rPr>
          <w:color w:val="000000" w:themeColor="text1"/>
          <w:kern w:val="2"/>
          <w:sz w:val="16"/>
          <w:szCs w:val="16"/>
        </w:rPr>
        <w:t xml:space="preserve"> </w:t>
      </w:r>
      <w:hyperlink r:id="rId232" w:tooltip="1917 год" w:history="1">
        <w:r w:rsidRPr="002F2FDF">
          <w:rPr>
            <w:rStyle w:val="a5"/>
            <w:color w:val="000000" w:themeColor="text1"/>
            <w:kern w:val="2"/>
            <w:sz w:val="16"/>
            <w:szCs w:val="16"/>
            <w:u w:val="none"/>
          </w:rPr>
          <w:t>1917</w:t>
        </w:r>
      </w:hyperlink>
      <w:r w:rsidRPr="002F2FDF">
        <w:rPr>
          <w:color w:val="000000" w:themeColor="text1"/>
          <w:kern w:val="2"/>
          <w:sz w:val="16"/>
          <w:szCs w:val="16"/>
        </w:rPr>
        <w:t xml:space="preserve"> один из лидеров Петросовета Церетели, выступая перед коллегами, предложил принять против большевиков жесткие меры: «То, что произошло, является не чем иным, как заговором, заговором для низвержения правительства и захвата власти большевиками, которые знают, что другим путем эта власть им никогда не достанется. Заговор был обезврежен в момент, когда мы его раскрыли. Но завтра он может повториться. Говорят, что контрреволюция подняла голову. Это неверно. Контрреволюция не подняла голову, а поникла головой. Контрреволюция может проникнуть к нам только через одну дверь: через большевиков. &lt;…&gt; У тех революционеров, которые не умеют достойно держать в своих руках оружие, нужно это оружие отнять. Большевиков надо обезоружить. Нельзя оставить в их руках те слишком большие технические средства, которые они до сих пор имели. Нельзя оставить в их руках пулеметов и оружия».</w:t>
      </w:r>
    </w:p>
    <w:p w14:paraId="28636B65" w14:textId="77777777" w:rsidR="00945C28" w:rsidRPr="002F2FDF" w:rsidRDefault="00945C28" w:rsidP="0083075A">
      <w:pPr>
        <w:pStyle w:val="ae"/>
        <w:spacing w:before="0" w:after="0"/>
        <w:jc w:val="both"/>
        <w:rPr>
          <w:color w:val="000000" w:themeColor="text1"/>
          <w:kern w:val="2"/>
          <w:sz w:val="16"/>
          <w:szCs w:val="16"/>
        </w:rPr>
      </w:pPr>
      <w:r w:rsidRPr="002F2FDF">
        <w:rPr>
          <w:color w:val="000000" w:themeColor="text1"/>
          <w:kern w:val="2"/>
          <w:sz w:val="16"/>
          <w:szCs w:val="16"/>
        </w:rPr>
        <w:t>Однако предложение Церетели не было принято Советом, который ограничился ни к чему не обязывающей резолюцией: «Всероссийский съезд рабочих и солдатских депутатов решительно осуждает предпринятую устроить 9-10 июня (по старому стилю) попытку устроить в Петрограде демонстрацию в тайне от Совета». Как отмечает историк Ричард Пайпс: «Это было пагубным малодушием. Ленин бросил открытый вызов Советам, а Советы уступили»</w:t>
      </w:r>
      <w:r w:rsidR="00657464" w:rsidRPr="002F2FDF">
        <w:rPr>
          <w:color w:val="000000" w:themeColor="text1"/>
          <w:kern w:val="2"/>
          <w:sz w:val="16"/>
          <w:szCs w:val="16"/>
        </w:rPr>
        <w:t xml:space="preserve"> (17045)</w:t>
      </w:r>
      <w:r w:rsidRPr="002F2FDF">
        <w:rPr>
          <w:color w:val="000000" w:themeColor="text1"/>
          <w:kern w:val="2"/>
          <w:sz w:val="16"/>
          <w:szCs w:val="16"/>
        </w:rPr>
        <w:t>.</w:t>
      </w:r>
    </w:p>
    <w:p w14:paraId="091BB71E" w14:textId="77777777" w:rsidR="00945C28" w:rsidRPr="002F2FDF" w:rsidRDefault="00945C2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4CC0EF" w14:textId="77777777" w:rsidR="006E2BB0"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26924BCB" w14:textId="77777777" w:rsidR="006E2BB0" w:rsidRPr="002F2FDF" w:rsidRDefault="006E2BB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7282B6" w14:textId="77777777"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 xml:space="preserve">12 (25) июня 1917 г. </w:t>
      </w:r>
      <w:r w:rsidRPr="002F2FDF">
        <w:rPr>
          <w:rFonts w:ascii="Times New Roman" w:hAnsi="Times New Roman" w:cs="Times New Roman"/>
          <w:color w:val="000000" w:themeColor="text1"/>
          <w:kern w:val="2"/>
          <w:sz w:val="16"/>
          <w:szCs w:val="16"/>
        </w:rPr>
        <w:t>Телеграмма ген. Э.К. Гермониуса Главному управлению по заграничному снабжению об отказе английского правительства в отпуске кредитов России для закупки металлов в США.</w:t>
      </w:r>
    </w:p>
    <w:p w14:paraId="250D6366" w14:textId="6F90F91F"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540</w:t>
      </w:r>
    </w:p>
    <w:p w14:paraId="0DAB0D62" w14:textId="73585F76"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ЦГИАЛ, ф. 1525, оп. 1, д. 607, л. 712. Заверенная копия.</w:t>
      </w:r>
    </w:p>
    <w:p w14:paraId="762D2D75" w14:textId="77777777" w:rsidR="006E2BB0" w:rsidRPr="002F2FDF" w:rsidRDefault="006E2BB0" w:rsidP="0083075A">
      <w:pPr>
        <w:pStyle w:val="rtejustify"/>
        <w:spacing w:before="0" w:after="0"/>
        <w:rPr>
          <w:color w:val="000000" w:themeColor="text1"/>
          <w:kern w:val="2"/>
          <w:sz w:val="16"/>
          <w:szCs w:val="16"/>
        </w:rPr>
      </w:pPr>
      <w:r w:rsidRPr="002F2FDF">
        <w:rPr>
          <w:color w:val="000000" w:themeColor="text1"/>
          <w:kern w:val="2"/>
          <w:sz w:val="16"/>
          <w:szCs w:val="16"/>
        </w:rPr>
        <w:t>Англичане отказывают в кредите в долларах на медь, свинец, алюминий и ферросилиций, которые необходимо закупить в Америке для исполнения сокращенной программы потребностей в металлах. Необходимо поместить непосредственно в Америке из американского кредита следующие заказы (в тоннах): алюминий — 3000, стоимость 4400 тыс. дол., меди — 20 тыс., стоимость 11 500 тыс. дол., ферросилиция — 6000, стоимость 1 млн дол., свинца — 30 тыс., стоимость 6 млн дол. 10748 (15193).</w:t>
      </w:r>
    </w:p>
    <w:p w14:paraId="3E35DEEF" w14:textId="77777777" w:rsidR="006E2BB0" w:rsidRPr="002F2FDF" w:rsidRDefault="006E2BB0"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33B6535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4A8D6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4448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июня 1917 вышел приказ о том, что на немецких самолетах крест должен стать симметричным (4541, 5).</w:t>
      </w:r>
    </w:p>
    <w:p w14:paraId="329AE6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81B8A3" w14:textId="77777777" w:rsidR="00B25AF9" w:rsidRPr="002F2FDF" w:rsidRDefault="00B25AF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12 (25) июня</w:t>
      </w:r>
      <w:r w:rsidRPr="002F2FDF">
        <w:rPr>
          <w:rFonts w:ascii="Times New Roman" w:hAnsi="Times New Roman" w:cs="Times New Roman"/>
          <w:color w:val="000000" w:themeColor="text1"/>
          <w:kern w:val="2"/>
          <w:sz w:val="16"/>
          <w:szCs w:val="16"/>
        </w:rPr>
        <w:t xml:space="preserve"> в 1917 году немецкий ас барон Манфред фон Рихтгофен сбил английский самолёт «R.E.8», выполнявший артиллерийско-корректировочную миссию, одержав свою 55-ю победу. Пилот лейтенант Лесли Боуман и лётчик-наблюдатель 2-й лейтенант Дж. Э. Пауэр-Клаттербак погибли. Возвращаясь на аэродром немецкий ас в воздушном бою сбил «R.E.8», экскортировавший самолёт фоторазведывательной миссии. Пилот сержант Губерт Уэтли и лётчик-наблюдатель 2-й лейтенант Фрэнк Паско погибли (14933).</w:t>
      </w:r>
    </w:p>
    <w:p w14:paraId="3A954CE9" w14:textId="77777777" w:rsidR="00B25AF9" w:rsidRPr="002F2FDF" w:rsidRDefault="00B25AF9" w:rsidP="0083075A">
      <w:pPr>
        <w:spacing w:after="0" w:line="240" w:lineRule="auto"/>
        <w:jc w:val="both"/>
        <w:rPr>
          <w:rFonts w:ascii="Times New Roman" w:hAnsi="Times New Roman" w:cs="Times New Roman"/>
          <w:color w:val="000000" w:themeColor="text1"/>
          <w:kern w:val="2"/>
          <w:sz w:val="16"/>
          <w:szCs w:val="16"/>
        </w:rPr>
      </w:pPr>
    </w:p>
    <w:p w14:paraId="0CB45EB0" w14:textId="77777777" w:rsidR="00B25AF9" w:rsidRPr="002F2FDF" w:rsidRDefault="00B25AF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12 (25) июня</w:t>
      </w:r>
      <w:r w:rsidRPr="002F2FDF">
        <w:rPr>
          <w:rFonts w:ascii="Times New Roman" w:hAnsi="Times New Roman" w:cs="Times New Roman"/>
          <w:color w:val="000000" w:themeColor="text1"/>
          <w:kern w:val="2"/>
          <w:sz w:val="16"/>
          <w:szCs w:val="16"/>
        </w:rPr>
        <w:t xml:space="preserve"> в 1917 году была сформирована Манфредом фон Рихтгофеном Jagdgeschwader 1 - самое эффективное из всех истребительных подразделений Германии (14933).</w:t>
      </w:r>
    </w:p>
    <w:p w14:paraId="7EA149D2" w14:textId="77777777" w:rsidR="00B25AF9" w:rsidRPr="002F2FDF" w:rsidRDefault="00B25AF9" w:rsidP="0083075A">
      <w:pPr>
        <w:spacing w:after="0" w:line="240" w:lineRule="auto"/>
        <w:jc w:val="both"/>
        <w:rPr>
          <w:rFonts w:ascii="Times New Roman" w:hAnsi="Times New Roman" w:cs="Times New Roman"/>
          <w:color w:val="000000" w:themeColor="text1"/>
          <w:kern w:val="2"/>
          <w:sz w:val="16"/>
          <w:szCs w:val="16"/>
        </w:rPr>
      </w:pPr>
    </w:p>
    <w:p w14:paraId="0C99ECDC" w14:textId="77777777" w:rsidR="00657464" w:rsidRPr="002F2FDF" w:rsidRDefault="00657464" w:rsidP="0083075A">
      <w:pPr>
        <w:pStyle w:val="ae"/>
        <w:spacing w:before="0" w:after="0"/>
        <w:jc w:val="both"/>
        <w:rPr>
          <w:color w:val="000000" w:themeColor="text1"/>
          <w:kern w:val="2"/>
          <w:sz w:val="16"/>
          <w:szCs w:val="16"/>
        </w:rPr>
      </w:pPr>
      <w:r w:rsidRPr="002F2FDF">
        <w:rPr>
          <w:color w:val="000000" w:themeColor="text1"/>
          <w:kern w:val="2"/>
          <w:sz w:val="16"/>
          <w:szCs w:val="16"/>
        </w:rPr>
        <w:t>12 (25) июня 1917 в Дублине состоялась демонстрация ирландских националистов, в которой приняло участие 500 человек. Участники манифестации срывали британские флаги (17045).</w:t>
      </w:r>
    </w:p>
    <w:p w14:paraId="0820793C" w14:textId="77777777" w:rsidR="00657464" w:rsidRPr="002F2FDF" w:rsidRDefault="0065746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D7A6F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C2C7B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9B80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июня 1917 особая комиссия под председательством Г.А.Ботезата, назначенная для испытаний в связи с нареканиями фронтовых л, дала оценку самолету Лебедь-12 с Сальмсон 150 нр. Отметили склонность к переходу на снижение и утомительность полета. оказался мало пригодным в боевой обстановке. Признали нежелательным посылку машины на фронт, но указали на возможность использования ее в качестве учебного самолета. Представители завода и Л.М.Шкульник и л А.П.Гончаров и В.Я.Игнатьев - не согласились. 2 октября 1917 машину вообще забраковали (3642).</w:t>
      </w:r>
    </w:p>
    <w:p w14:paraId="25AAFC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B0CA2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w:t>
      </w:r>
      <w:r w:rsidR="00BA5C59" w:rsidRPr="002F2FDF">
        <w:rPr>
          <w:rFonts w:ascii="Times New Roman" w:hAnsi="Times New Roman" w:cs="Times New Roman"/>
          <w:color w:val="000000" w:themeColor="text1"/>
          <w:kern w:val="2"/>
          <w:sz w:val="16"/>
          <w:szCs w:val="16"/>
        </w:rPr>
        <w:t>6</w:t>
      </w:r>
      <w:r w:rsidRPr="002F2FDF">
        <w:rPr>
          <w:rFonts w:ascii="Times New Roman" w:hAnsi="Times New Roman" w:cs="Times New Roman"/>
          <w:color w:val="000000" w:themeColor="text1"/>
          <w:kern w:val="2"/>
          <w:sz w:val="16"/>
          <w:szCs w:val="16"/>
        </w:rPr>
        <w:t>) июня 1917 Особая комиссия под продседательством профес</w:t>
      </w:r>
      <w:r w:rsidRPr="002F2FDF">
        <w:rPr>
          <w:rFonts w:ascii="Times New Roman" w:hAnsi="Times New Roman" w:cs="Times New Roman"/>
          <w:color w:val="000000" w:themeColor="text1"/>
          <w:kern w:val="2"/>
          <w:sz w:val="16"/>
          <w:szCs w:val="16"/>
        </w:rPr>
        <w:softHyphen/>
        <w:t>сора Г.А.Ботезата, назначенная для испытаниясэмолото "Ле</w:t>
      </w:r>
      <w:r w:rsidRPr="002F2FDF">
        <w:rPr>
          <w:rFonts w:ascii="Times New Roman" w:hAnsi="Times New Roman" w:cs="Times New Roman"/>
          <w:color w:val="000000" w:themeColor="text1"/>
          <w:kern w:val="2"/>
          <w:sz w:val="16"/>
          <w:szCs w:val="16"/>
        </w:rPr>
        <w:softHyphen/>
        <w:t>бедь- 12", ввиду больших нареканий на него со стороны фронто</w:t>
      </w:r>
      <w:r w:rsidRPr="002F2FDF">
        <w:rPr>
          <w:rFonts w:ascii="Times New Roman" w:hAnsi="Times New Roman" w:cs="Times New Roman"/>
          <w:color w:val="000000" w:themeColor="text1"/>
          <w:kern w:val="2"/>
          <w:sz w:val="16"/>
          <w:szCs w:val="16"/>
        </w:rPr>
        <w:softHyphen/>
        <w:t>вых лстчиког дало токую оценку этому самолету: "Лебедъ-12”с мотором Сольмсон в 150 л.с. имеет склонность переходить нэ снижение. Полет на нем утомителен и для молоопытного летчике опасен. К боевой обстановке мело пригоден. Улуч</w:t>
      </w:r>
      <w:r w:rsidRPr="002F2FDF">
        <w:rPr>
          <w:rFonts w:ascii="Times New Roman" w:hAnsi="Times New Roman" w:cs="Times New Roman"/>
          <w:color w:val="000000" w:themeColor="text1"/>
          <w:kern w:val="2"/>
          <w:sz w:val="16"/>
          <w:szCs w:val="16"/>
        </w:rPr>
        <w:softHyphen/>
        <w:t>шение самолета без изменения сомого типа самолета произ</w:t>
      </w:r>
      <w:r w:rsidRPr="002F2FDF">
        <w:rPr>
          <w:rFonts w:ascii="Times New Roman" w:hAnsi="Times New Roman" w:cs="Times New Roman"/>
          <w:color w:val="000000" w:themeColor="text1"/>
          <w:kern w:val="2"/>
          <w:sz w:val="16"/>
          <w:szCs w:val="16"/>
        </w:rPr>
        <w:softHyphen/>
        <w:t>ведено быть не может. Посылка но фронт нежелательна, использовать в качестге тренировочного". Представители загвода Лебедега инженер Л.М.Шкульник и летчики-</w:t>
      </w:r>
      <w:r w:rsidRPr="002F2FDF">
        <w:rPr>
          <w:rFonts w:ascii="Times New Roman" w:hAnsi="Times New Roman" w:cs="Times New Roman"/>
          <w:color w:val="000000" w:themeColor="text1"/>
          <w:kern w:val="2"/>
          <w:sz w:val="16"/>
          <w:szCs w:val="16"/>
        </w:rPr>
        <w:lastRenderedPageBreak/>
        <w:t>сдатчики А.П. Гончарог и В.Я.Михайлов не согласились с оценкой комиссии и заявили, что “Лебедь-12" - "замечательно устойчивый г полете", 2 октября новая комиссия из представителей фронта, школ и завода вообще забраковала самолет. (ЦГВИА. ф.2008, д. 456, лл.24,62).</w:t>
      </w:r>
    </w:p>
    <w:p w14:paraId="3848A5F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9AE471" w14:textId="77777777" w:rsidR="004B7158" w:rsidRDefault="004B7158"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13 </w:t>
      </w:r>
      <w:r>
        <w:rPr>
          <w:rFonts w:ascii="Times New Roman" w:hAnsi="Times New Roman" w:cs="Times New Roman"/>
          <w:color w:val="0070C0"/>
          <w:sz w:val="16"/>
          <w:szCs w:val="16"/>
        </w:rPr>
        <w:t xml:space="preserve">(29) </w:t>
      </w:r>
      <w:r w:rsidRPr="00815ED5">
        <w:rPr>
          <w:rFonts w:ascii="Times New Roman" w:hAnsi="Times New Roman" w:cs="Times New Roman"/>
          <w:color w:val="0070C0"/>
          <w:sz w:val="16"/>
          <w:szCs w:val="16"/>
        </w:rPr>
        <w:t>июня</w:t>
      </w:r>
      <w:r>
        <w:rPr>
          <w:rFonts w:ascii="Times New Roman" w:hAnsi="Times New Roman" w:cs="Times New Roman"/>
          <w:color w:val="0070C0"/>
          <w:sz w:val="16"/>
          <w:szCs w:val="16"/>
        </w:rPr>
        <w:t xml:space="preserve">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Особая комиссия под председательством проф.Г.А.Ботезата, назначенная для испытания самолета </w:t>
      </w:r>
      <w:r>
        <w:rPr>
          <w:rFonts w:ascii="Times New Roman" w:hAnsi="Times New Roman" w:cs="Times New Roman"/>
          <w:color w:val="0070C0"/>
          <w:sz w:val="16"/>
          <w:szCs w:val="16"/>
        </w:rPr>
        <w:t>«Л</w:t>
      </w:r>
      <w:r w:rsidRPr="00815ED5">
        <w:rPr>
          <w:rFonts w:ascii="Times New Roman" w:hAnsi="Times New Roman" w:cs="Times New Roman"/>
          <w:color w:val="0070C0"/>
          <w:sz w:val="16"/>
          <w:szCs w:val="16"/>
        </w:rPr>
        <w:t>ебедь-12</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ввиду больших наре</w:t>
      </w:r>
      <w:r w:rsidRPr="00815ED5">
        <w:rPr>
          <w:rFonts w:ascii="Times New Roman" w:hAnsi="Times New Roman" w:cs="Times New Roman"/>
          <w:color w:val="0070C0"/>
          <w:sz w:val="16"/>
          <w:szCs w:val="16"/>
        </w:rPr>
        <w:softHyphen/>
        <w:t>каний на него со стороны фронтовых летчиков,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дала такую оценку этому самолету:</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"Лебедь-12” с мотором Сальмсон 150 л.с.</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имеет склонность переходить на снижение.</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Полет на нем утомителен и для малоопытного летчика опасен.</w:t>
      </w:r>
      <w:r>
        <w:rPr>
          <w:rFonts w:ascii="Times New Roman" w:hAnsi="Times New Roman" w:cs="Times New Roman"/>
          <w:color w:val="0070C0"/>
          <w:sz w:val="16"/>
          <w:szCs w:val="16"/>
        </w:rPr>
        <w:t xml:space="preserve"> В</w:t>
      </w:r>
      <w:r w:rsidRPr="00815ED5">
        <w:rPr>
          <w:rFonts w:ascii="Times New Roman" w:hAnsi="Times New Roman" w:cs="Times New Roman"/>
          <w:color w:val="0070C0"/>
          <w:sz w:val="16"/>
          <w:szCs w:val="16"/>
        </w:rPr>
        <w:t xml:space="preserve"> боевой обстановке мало пригоден.</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Улучшение самолета без изменения самого типа самолета произведено быть не может.</w:t>
      </w:r>
      <w:r>
        <w:rPr>
          <w:rFonts w:ascii="Times New Roman" w:hAnsi="Times New Roman" w:cs="Times New Roman"/>
          <w:color w:val="0070C0"/>
          <w:sz w:val="16"/>
          <w:szCs w:val="16"/>
        </w:rPr>
        <w:t xml:space="preserve"> П</w:t>
      </w:r>
      <w:r w:rsidRPr="00815ED5">
        <w:rPr>
          <w:rFonts w:ascii="Times New Roman" w:hAnsi="Times New Roman" w:cs="Times New Roman"/>
          <w:color w:val="0070C0"/>
          <w:sz w:val="16"/>
          <w:szCs w:val="16"/>
        </w:rPr>
        <w:t>осыл</w:t>
      </w:r>
      <w:r w:rsidRPr="00815ED5">
        <w:rPr>
          <w:rFonts w:ascii="Times New Roman" w:hAnsi="Times New Roman" w:cs="Times New Roman"/>
          <w:color w:val="0070C0"/>
          <w:sz w:val="16"/>
          <w:szCs w:val="16"/>
        </w:rPr>
        <w:softHyphen/>
        <w:t>ка на фронт не желательна,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использовать в качестве тренировочного"</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Представители завода Лебедева инж.</w:t>
      </w:r>
      <w:r>
        <w:rPr>
          <w:rFonts w:ascii="Times New Roman" w:hAnsi="Times New Roman" w:cs="Times New Roman"/>
          <w:color w:val="0070C0"/>
          <w:sz w:val="16"/>
          <w:szCs w:val="16"/>
        </w:rPr>
        <w:t xml:space="preserve"> Ш</w:t>
      </w:r>
      <w:r w:rsidRPr="00815ED5">
        <w:rPr>
          <w:rFonts w:ascii="Times New Roman" w:hAnsi="Times New Roman" w:cs="Times New Roman"/>
          <w:color w:val="0070C0"/>
          <w:sz w:val="16"/>
          <w:szCs w:val="16"/>
        </w:rPr>
        <w:t>кульник и летчики-сдатчики А.П. Гончаров и В.Я.Михайлов не согласились с оценкой комиссии и заявили что "Лебедь-12” -"замечательно устойчивый в полете".</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2—го октября новая комиссия из представителей фронта, школ и завода вообще забра</w:t>
      </w:r>
      <w:r w:rsidRPr="00815ED5">
        <w:rPr>
          <w:rFonts w:ascii="Times New Roman" w:hAnsi="Times New Roman" w:cs="Times New Roman"/>
          <w:color w:val="0070C0"/>
          <w:sz w:val="16"/>
          <w:szCs w:val="16"/>
        </w:rPr>
        <w:softHyphen/>
        <w:t>ковала само лет.</w:t>
      </w:r>
    </w:p>
    <w:p w14:paraId="4C3A9865" w14:textId="77777777" w:rsidR="004B7158" w:rsidRDefault="004B7158"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ф</w:t>
      </w:r>
      <w:r w:rsidRPr="00815ED5">
        <w:rPr>
          <w:rFonts w:ascii="Times New Roman" w:hAnsi="Times New Roman" w:cs="Times New Roman"/>
          <w:color w:val="0070C0"/>
          <w:sz w:val="16"/>
          <w:szCs w:val="16"/>
        </w:rPr>
        <w:t xml:space="preserve">. 2008, </w:t>
      </w:r>
      <w:r>
        <w:rPr>
          <w:rFonts w:ascii="Times New Roman" w:hAnsi="Times New Roman" w:cs="Times New Roman"/>
          <w:color w:val="0070C0"/>
          <w:sz w:val="16"/>
          <w:szCs w:val="16"/>
        </w:rPr>
        <w:t>д</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456, лл. 24,62/</w:t>
      </w:r>
      <w:r>
        <w:rPr>
          <w:rFonts w:ascii="Times New Roman" w:hAnsi="Times New Roman" w:cs="Times New Roman"/>
          <w:color w:val="0070C0"/>
          <w:sz w:val="16"/>
          <w:szCs w:val="16"/>
        </w:rPr>
        <w:t xml:space="preserve"> (23320).</w:t>
      </w:r>
    </w:p>
    <w:p w14:paraId="7EF53042" w14:textId="77777777" w:rsidR="004B7158" w:rsidRPr="00815ED5" w:rsidRDefault="004B7158" w:rsidP="0083075A">
      <w:pPr>
        <w:spacing w:after="0" w:line="240" w:lineRule="auto"/>
        <w:jc w:val="both"/>
        <w:rPr>
          <w:rFonts w:ascii="Times New Roman" w:hAnsi="Times New Roman" w:cs="Times New Roman"/>
          <w:color w:val="0070C0"/>
          <w:sz w:val="16"/>
          <w:szCs w:val="16"/>
        </w:rPr>
      </w:pPr>
    </w:p>
    <w:p w14:paraId="5613E67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июня 1917 г. Научно-техниче</w:t>
      </w:r>
      <w:r w:rsidRPr="002F2FDF">
        <w:rPr>
          <w:rFonts w:ascii="Times New Roman" w:hAnsi="Times New Roman" w:cs="Times New Roman"/>
          <w:color w:val="000000" w:themeColor="text1"/>
          <w:kern w:val="2"/>
          <w:sz w:val="16"/>
          <w:szCs w:val="16"/>
        </w:rPr>
        <w:softHyphen/>
        <w:t>ский комитет УВВФ в постановлении дал следующую оценку первого отечест</w:t>
      </w:r>
      <w:r w:rsidRPr="002F2FDF">
        <w:rPr>
          <w:rFonts w:ascii="Times New Roman" w:hAnsi="Times New Roman" w:cs="Times New Roman"/>
          <w:color w:val="000000" w:themeColor="text1"/>
          <w:kern w:val="2"/>
          <w:sz w:val="16"/>
          <w:szCs w:val="16"/>
        </w:rPr>
        <w:softHyphen/>
        <w:t>венного учебного самолета П-1У:</w:t>
      </w:r>
    </w:p>
    <w:p w14:paraId="547D7F7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Аппарат Пороховщикова является весьма хоро</w:t>
      </w:r>
      <w:r w:rsidRPr="002F2FDF">
        <w:rPr>
          <w:rFonts w:ascii="Times New Roman" w:hAnsi="Times New Roman" w:cs="Times New Roman"/>
          <w:color w:val="000000" w:themeColor="text1"/>
          <w:kern w:val="2"/>
          <w:sz w:val="16"/>
          <w:szCs w:val="16"/>
        </w:rPr>
        <w:softHyphen/>
        <w:t>шим учебным аппаратом, а потому заказ его для авиа</w:t>
      </w:r>
      <w:r w:rsidRPr="002F2FDF">
        <w:rPr>
          <w:rFonts w:ascii="Times New Roman" w:hAnsi="Times New Roman" w:cs="Times New Roman"/>
          <w:color w:val="000000" w:themeColor="text1"/>
          <w:kern w:val="2"/>
          <w:sz w:val="16"/>
          <w:szCs w:val="16"/>
        </w:rPr>
        <w:softHyphen/>
        <w:t>ционных школ желателен.</w:t>
      </w:r>
    </w:p>
    <w:p w14:paraId="6D8F7AA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Обязательство по постройке аппарата нового ти</w:t>
      </w:r>
      <w:r w:rsidRPr="002F2FDF">
        <w:rPr>
          <w:rFonts w:ascii="Times New Roman" w:hAnsi="Times New Roman" w:cs="Times New Roman"/>
          <w:color w:val="000000" w:themeColor="text1"/>
          <w:kern w:val="2"/>
          <w:sz w:val="16"/>
          <w:szCs w:val="16"/>
        </w:rPr>
        <w:softHyphen/>
        <w:t>па, принятое на себя г-ном Пороховщиковым, следует считать выполненным”.</w:t>
      </w:r>
    </w:p>
    <w:p w14:paraId="3460452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Серийная постройка П-1У развернулась с июня на эвакуированном из Риги заводе Пороховщикова. Он располагался в Петрограде на Песочной набережной Аптекарского острова. После революции завод был на</w:t>
      </w:r>
      <w:r w:rsidRPr="002F2FDF">
        <w:rPr>
          <w:rFonts w:ascii="Times New Roman" w:hAnsi="Times New Roman" w:cs="Times New Roman"/>
          <w:color w:val="000000" w:themeColor="text1"/>
          <w:kern w:val="2"/>
          <w:sz w:val="16"/>
          <w:szCs w:val="16"/>
        </w:rPr>
        <w:softHyphen/>
        <w:t>ционализирован, однако постройка П-1У продолжалась. Пороховщиков разработал несколько модификаций машины, в том числе с тянущим винтом (П-1У 2бис). В их создании принимал деятельное участие инженер А.Р.Рубенчик, впоследствии один из руководителей авиапромышленности СССР. Летчики высоко оценивали эти самолеты. В удосто</w:t>
      </w:r>
      <w:r w:rsidRPr="002F2FDF">
        <w:rPr>
          <w:rFonts w:ascii="Times New Roman" w:hAnsi="Times New Roman" w:cs="Times New Roman"/>
          <w:color w:val="000000" w:themeColor="text1"/>
          <w:kern w:val="2"/>
          <w:sz w:val="16"/>
          <w:szCs w:val="16"/>
        </w:rPr>
        <w:softHyphen/>
        <w:t>верении, выданном А.А.Пороховщикову 25 мая 1918 г. 1-й Народной социалистической школой авиации, гово</w:t>
      </w:r>
      <w:r w:rsidRPr="002F2FDF">
        <w:rPr>
          <w:rFonts w:ascii="Times New Roman" w:hAnsi="Times New Roman" w:cs="Times New Roman"/>
          <w:color w:val="000000" w:themeColor="text1"/>
          <w:kern w:val="2"/>
          <w:sz w:val="16"/>
          <w:szCs w:val="16"/>
        </w:rPr>
        <w:softHyphen/>
        <w:t>рилось: “Считать самолет системы “Пороховщиков IV” наилучшим учебным аппаратом данного времени и [его] применение в авиационных школах крайне потреб</w:t>
      </w:r>
      <w:r w:rsidRPr="002F2FDF">
        <w:rPr>
          <w:rFonts w:ascii="Times New Roman" w:hAnsi="Times New Roman" w:cs="Times New Roman"/>
          <w:color w:val="000000" w:themeColor="text1"/>
          <w:kern w:val="2"/>
          <w:sz w:val="16"/>
          <w:szCs w:val="16"/>
        </w:rPr>
        <w:softHyphen/>
        <w:t>ным” (10667).</w:t>
      </w:r>
    </w:p>
    <w:p w14:paraId="6C4910A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11A93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w:t>
      </w:r>
      <w:r w:rsidR="00BA5C59" w:rsidRPr="002F2FDF">
        <w:rPr>
          <w:rFonts w:ascii="Times New Roman" w:hAnsi="Times New Roman" w:cs="Times New Roman"/>
          <w:color w:val="000000" w:themeColor="text1"/>
          <w:kern w:val="2"/>
          <w:sz w:val="16"/>
          <w:szCs w:val="16"/>
        </w:rPr>
        <w:t>6</w:t>
      </w:r>
      <w:r w:rsidRPr="002F2FDF">
        <w:rPr>
          <w:rFonts w:ascii="Times New Roman" w:hAnsi="Times New Roman" w:cs="Times New Roman"/>
          <w:color w:val="000000" w:themeColor="text1"/>
          <w:kern w:val="2"/>
          <w:sz w:val="16"/>
          <w:szCs w:val="16"/>
        </w:rPr>
        <w:t>) июня 1917 был подписан контракт № 38231/17853 с заводом Матиас на общую сумму 3411780 руб., по которому в течение сентября-декабря 1917 г. следовало поставить 200 самолетов разведчик “Спад XIV” “Испано-Сюиза” с запчастями. Таким образом, объем твердых заказов для “Матиаса” составил 300 самоле</w:t>
      </w:r>
      <w:r w:rsidRPr="002F2FDF">
        <w:rPr>
          <w:rFonts w:ascii="Times New Roman" w:hAnsi="Times New Roman" w:cs="Times New Roman"/>
          <w:color w:val="000000" w:themeColor="text1"/>
          <w:kern w:val="2"/>
          <w:sz w:val="16"/>
          <w:szCs w:val="16"/>
        </w:rPr>
        <w:softHyphen/>
        <w:t>тов — вдвое меньше против изначально планируемого (11154).</w:t>
      </w:r>
    </w:p>
    <w:p w14:paraId="2294AFD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29B7C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47CE2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1990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июня 1917 года в своём рапорте на имя начальника Эскадры командир 4-го боевого отряда капитан Р.Л. Нижевский, в силу своего положения вынужденный несколько смягчать акценты, писал: "Начальнику Эскадры Воздушных Кораблей. Рапорт.</w:t>
      </w:r>
    </w:p>
    <w:p w14:paraId="5DD9F2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предписание Ваше от 9-го Июня за № МО (секретно) доношу, что продолжать боевую работу на существующих Воздушных кораблях безусловно возможно, но лишь на кораблях типа Г с моторами 150-160НР и при условии, если они построены по прочности не меньшей, чем строились таковые корабли до 1917 года, имея, главным образом, в виду качества материала и добросовестное выполнение самой постройки и если их авиационное качество будет не ниже. Этот тип корабля, если он, в силу обстоятельств последнего времени, построен не слабее построек до 1917 года, насколько мне пришлось убедиться на довольно многочисленных собственных полётах и быть свидетелем при полётах на них других лётчиков и моих учеников, является далеко не так опасным в полётах и далеко не так неуправляемым, как это говорится в журналах комиссии технического Комитета. Конечно, я не говорю, что на нём небезопасно делать с полной нагрузкой те фокусы, хотя бы и случайного характера, какие можно проделывать на малом аппарате, но и при этих случайных экспериментах (скольжение на крыло, падение на нос и на хвост) названный корабль выходил без каких-либо последствий, а это говорит уже за его прочность, которая нужна для данного корабля, и за его управляемость, но для этого, безусловно, необходима некоторая опытность пилота, и любого лётчика с "Фармана", "Вуазена" и им подобных аппаратов, конечно, нельзя сразу сажать на корабль. Во многих случаях он с ним не справится, как и со всяким другим, более строгим, малым быстроходным аппаратом.</w:t>
      </w:r>
    </w:p>
    <w:p w14:paraId="0D3BAB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Резюмирую - у опытного лётчика, который вообще желает летать, корабль типа Г с хорошими 4-мя моторами по 150-160 HP не так уЖ неуправляем, а отсюда и не так опасен, чтобы в настоящее время отказаться на нем летать.</w:t>
      </w:r>
    </w:p>
    <w:p w14:paraId="452B32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же типа Г с Рено-Балт, в силу его нерассчитанности под такую мощность (и тяжесть) моторов, является аппаратом трудноуправляемым и даже опасным, а потому дальнейшие полёты на нём, даже после усиления, должны быть прекращены.</w:t>
      </w:r>
    </w:p>
    <w:p w14:paraId="25301B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последней комбинации моторов Рено-Балт должен быть совершенно переконструирован корабль (перенесены тяга винта и центр тяжести, усилен фюзеляж и пр.).</w:t>
      </w:r>
    </w:p>
    <w:p w14:paraId="41897D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 же касается корабля типа Е, то этот корабль, с боевой точки зрения, является очень неудобным, в управлении очень строгим, высоту берёт слабо, конструкция крыльев для данной мощности моторов неудовлетворительна, и поэтому этот тип желательно переконструировать, приостановить дальнейшую постройку его в том виде, в каком он является в настоящее время.</w:t>
      </w:r>
    </w:p>
    <w:p w14:paraId="52A5A2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Кроме того, позволю себе ещё донести по поводу заявления некоторых членов комиссии технического комитета о том, что необходимо прекратить вообще дальнейшую постройку кораблей Илья Муромец и выработать совершенно другой тип.</w:t>
      </w:r>
    </w:p>
    <w:p w14:paraId="375792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Если бы действительность показала, что большой аппарат вообще легко можно было бы рассчитать и построить и что бы он, в тоже время, летал, то тогда, конечно, было бы гораздо целесообразнее прекратить постройку "Муромцев", и приступить к постройке этого нового типа. Но, на практике выходит, что это не так легко, для этого нужно и время, и терпение, и деньги, а мы, ведь, сейчас в состоянии войны, лёгкая авиация не в таком блестящем состоянии, чтобы лишать нашу армию гой, хотя бы, по мнению некоторых, и небольшой пользы, которую могут принести наши корабли в предстоящих операциях, подтверждением чего служит их двухлетняя полезная боевая работа. Поэтому желательно, пока что, остановиться на корабле типа Г с 4-мя моторами по 150-160HP и одновременно приступить к конструированию другого типа, и, на мой взгляд, было бы рациональнее выработать тип с 2-мя моторами, так как следующие два мотора уже приносят только отрицательные результаты с аэродинамической стороны и обслуживания корабля.</w:t>
      </w:r>
    </w:p>
    <w:p w14:paraId="358F3F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Как только этот новый тип корабля будет построен, испытан и даст хорошие результаты, то тогда, конечно, можно прекратить окончательно постройку "Муромца".</w:t>
      </w:r>
    </w:p>
    <w:p w14:paraId="5389E7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Наконец, преимущества большого аппарата перед малым, (вооружение, самозашита, бомбометание, рекогносцировка и проч.) тем, которые хоть раз совершали боевой полёг на корабле, слишком ясны, чтобы о них говорить.</w:t>
      </w:r>
    </w:p>
    <w:p w14:paraId="6C7666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Если в Эскадре будет решаться вопрос о существовании её, то прошу не отказать в вызове меня и Штабс-капитана Алехновича для подачи по этому вопросу своих мнений.</w:t>
      </w:r>
    </w:p>
    <w:p w14:paraId="1540EB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Подлинный подписал: Военный Летчик капитан Нижевский" (12041).</w:t>
      </w:r>
    </w:p>
    <w:p w14:paraId="76A6BD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18F9A7" w14:textId="7CF5B31B" w:rsidR="00C62DE7" w:rsidRPr="002F2FDF" w:rsidRDefault="00C62DE7"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hAnsi="Times New Roman" w:cs="Times New Roman"/>
          <w:color w:val="000000" w:themeColor="text1"/>
          <w:sz w:val="16"/>
          <w:szCs w:val="16"/>
          <w:shd w:val="clear" w:color="auto" w:fill="FFFFFF"/>
        </w:rPr>
        <w:t xml:space="preserve">13 </w:t>
      </w:r>
      <w:r w:rsidR="00DD4D0B">
        <w:rPr>
          <w:rFonts w:ascii="Times New Roman" w:hAnsi="Times New Roman" w:cs="Times New Roman"/>
          <w:color w:val="000000" w:themeColor="text1"/>
          <w:sz w:val="16"/>
          <w:szCs w:val="16"/>
          <w:shd w:val="clear" w:color="auto" w:fill="FFFFFF"/>
        </w:rPr>
        <w:t xml:space="preserve">(26) </w:t>
      </w:r>
      <w:r w:rsidRPr="002F2FDF">
        <w:rPr>
          <w:rFonts w:ascii="Times New Roman" w:hAnsi="Times New Roman" w:cs="Times New Roman"/>
          <w:color w:val="000000" w:themeColor="text1"/>
          <w:sz w:val="16"/>
          <w:szCs w:val="16"/>
          <w:shd w:val="clear" w:color="auto" w:fill="FFFFFF"/>
        </w:rPr>
        <w:t>июня 1917 поручик Нарбут в Киеве впервые в России прыгнул с аэроплана. Парашют Жюкмеса, по одним источникам, был подвешен под нижним крылом, по другим – между стойками шасси. Нарбут приземлился успешно, но реакция наверху оказалась неожиданной: командование Военного воздушного флота запретило применение парашютов на самолетах! Мотивировалось это опасением за увеличение потерь материальной части. Дескать, пилоты будут бросать поврежденные в бою аэропланы, не пытаясь их спасти (21605).</w:t>
      </w:r>
    </w:p>
    <w:p w14:paraId="022E5104" w14:textId="77777777" w:rsidR="00C62DE7" w:rsidRPr="002F2FDF" w:rsidRDefault="00C62DE7"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75C98D5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июня и 7 (20) июля 1917 состоялись еще две минно-заградительные операции для “закупорки” Босфора сперва под командованием вице-адмирала А. Колчака, затем контр</w:t>
      </w:r>
      <w:r w:rsidRPr="002F2FDF">
        <w:rPr>
          <w:rFonts w:ascii="Times New Roman" w:hAnsi="Times New Roman" w:cs="Times New Roman"/>
          <w:color w:val="000000" w:themeColor="text1"/>
          <w:kern w:val="2"/>
          <w:sz w:val="16"/>
          <w:szCs w:val="16"/>
        </w:rPr>
        <w:softHyphen/>
        <w:t>адмирала В. Лукина, находившимся на линкоре “Свободная Россия” (“Императрица Екатерина Великая”) в охранении крейсера “Память “Меркурия” и дивизиона эсминцев. В со</w:t>
      </w:r>
      <w:r w:rsidRPr="002F2FDF">
        <w:rPr>
          <w:rFonts w:ascii="Times New Roman" w:hAnsi="Times New Roman" w:cs="Times New Roman"/>
          <w:color w:val="000000" w:themeColor="text1"/>
          <w:kern w:val="2"/>
          <w:sz w:val="16"/>
          <w:szCs w:val="16"/>
        </w:rPr>
        <w:softHyphen/>
        <w:t>став заградительного отряда, поставившего возле Босфора со</w:t>
      </w:r>
      <w:r w:rsidRPr="002F2FDF">
        <w:rPr>
          <w:rFonts w:ascii="Times New Roman" w:hAnsi="Times New Roman" w:cs="Times New Roman"/>
          <w:color w:val="000000" w:themeColor="text1"/>
          <w:kern w:val="2"/>
          <w:sz w:val="16"/>
          <w:szCs w:val="16"/>
        </w:rPr>
        <w:softHyphen/>
        <w:t>ответственно 880 и 480 якорных мин, оба раза включался вспо</w:t>
      </w:r>
      <w:r w:rsidRPr="002F2FDF">
        <w:rPr>
          <w:rFonts w:ascii="Times New Roman" w:hAnsi="Times New Roman" w:cs="Times New Roman"/>
          <w:color w:val="000000" w:themeColor="text1"/>
          <w:kern w:val="2"/>
          <w:sz w:val="16"/>
          <w:szCs w:val="16"/>
        </w:rPr>
        <w:softHyphen/>
        <w:t>могательный крейсер “Король Карл” с двумя летающими лодками на борту, но в воздух они не поднимались. Обилие приведенных данных убедительно свидетельствует о том, что до середины 1917 года черноморская авиация, особен</w:t>
      </w:r>
      <w:r w:rsidRPr="002F2FDF">
        <w:rPr>
          <w:rFonts w:ascii="Times New Roman" w:hAnsi="Times New Roman" w:cs="Times New Roman"/>
          <w:color w:val="000000" w:themeColor="text1"/>
          <w:kern w:val="2"/>
          <w:sz w:val="16"/>
          <w:szCs w:val="16"/>
        </w:rPr>
        <w:softHyphen/>
        <w:t>но ее корабельные отряды, принимала активное участив в боль</w:t>
      </w:r>
      <w:r w:rsidRPr="002F2FDF">
        <w:rPr>
          <w:rFonts w:ascii="Times New Roman" w:hAnsi="Times New Roman" w:cs="Times New Roman"/>
          <w:color w:val="000000" w:themeColor="text1"/>
          <w:kern w:val="2"/>
          <w:sz w:val="16"/>
          <w:szCs w:val="16"/>
        </w:rPr>
        <w:softHyphen/>
        <w:t>шинстве проводимых главными силами флота морских опе</w:t>
      </w:r>
      <w:r w:rsidRPr="002F2FDF">
        <w:rPr>
          <w:rFonts w:ascii="Times New Roman" w:hAnsi="Times New Roman" w:cs="Times New Roman"/>
          <w:color w:val="000000" w:themeColor="text1"/>
          <w:kern w:val="2"/>
          <w:sz w:val="16"/>
          <w:szCs w:val="16"/>
        </w:rPr>
        <w:softHyphen/>
        <w:t>раций. Несомненно балтийская авиация, прежде всего ее прибрежные отряды, также действовали с большим напряже</w:t>
      </w:r>
      <w:r w:rsidRPr="002F2FDF">
        <w:rPr>
          <w:rFonts w:ascii="Times New Roman" w:hAnsi="Times New Roman" w:cs="Times New Roman"/>
          <w:color w:val="000000" w:themeColor="text1"/>
          <w:kern w:val="2"/>
          <w:sz w:val="16"/>
          <w:szCs w:val="16"/>
        </w:rPr>
        <w:softHyphen/>
        <w:t>нием, хотя, объективности ради, это следует показать на основе архивных материалов. Троекратная “демократизация” Временного правительства, перестановки лиц в Ставке Верховного Главнокомандования, Военном и Морском министерствах, на фронтах и флотах, в соединениях и штабах привели к неразберихе взглядов по опе</w:t>
      </w:r>
      <w:r w:rsidRPr="002F2FDF">
        <w:rPr>
          <w:rFonts w:ascii="Times New Roman" w:hAnsi="Times New Roman" w:cs="Times New Roman"/>
          <w:color w:val="000000" w:themeColor="text1"/>
          <w:kern w:val="2"/>
          <w:sz w:val="16"/>
          <w:szCs w:val="16"/>
        </w:rPr>
        <w:softHyphen/>
        <w:t>ративно-стратегическим вопросам - от принципов боевого применения вооруженных сил до проблем их дальнейшего раз</w:t>
      </w:r>
      <w:r w:rsidRPr="002F2FDF">
        <w:rPr>
          <w:rFonts w:ascii="Times New Roman" w:hAnsi="Times New Roman" w:cs="Times New Roman"/>
          <w:color w:val="000000" w:themeColor="text1"/>
          <w:kern w:val="2"/>
          <w:sz w:val="16"/>
          <w:szCs w:val="16"/>
        </w:rPr>
        <w:softHyphen/>
        <w:t>вития (11283).</w:t>
      </w:r>
    </w:p>
    <w:p w14:paraId="50403D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8C59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июня 1917 минные заградители Георгий, Алексей, Ксения, 4 тральщика и крейсер Память Меркурия поставили у Босфора 880 мин (3123).</w:t>
      </w:r>
    </w:p>
    <w:p w14:paraId="625B93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3E5D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13 июня и 7 июля </w:t>
      </w:r>
      <w:r w:rsidR="00BA5C59" w:rsidRPr="002F2FDF">
        <w:rPr>
          <w:rFonts w:ascii="Times New Roman" w:hAnsi="Times New Roman" w:cs="Times New Roman"/>
          <w:color w:val="000000" w:themeColor="text1"/>
          <w:kern w:val="2"/>
          <w:sz w:val="16"/>
          <w:szCs w:val="16"/>
        </w:rPr>
        <w:t xml:space="preserve">(с 26 июня по 20 июля) </w:t>
      </w:r>
      <w:r w:rsidRPr="002F2FDF">
        <w:rPr>
          <w:rFonts w:ascii="Times New Roman" w:hAnsi="Times New Roman" w:cs="Times New Roman"/>
          <w:color w:val="000000" w:themeColor="text1"/>
          <w:kern w:val="2"/>
          <w:sz w:val="16"/>
          <w:szCs w:val="16"/>
        </w:rPr>
        <w:t>1917 состоялись ещё две минно-заградительные операции для "закрытия" Босфора. В состав охранения входил авиатранспорт "Память Меркурия", а в заградительный отряд авиатранспорт "Король Карл", самолёты на воду не спускались (11933).</w:t>
      </w:r>
    </w:p>
    <w:p w14:paraId="699F3D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12E4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xml:space="preserve">13 </w:t>
      </w:r>
      <w:r w:rsidR="00BA5C59" w:rsidRPr="002F2FDF">
        <w:rPr>
          <w:rFonts w:ascii="Times New Roman" w:hAnsi="Times New Roman" w:cs="Times New Roman"/>
          <w:color w:val="000000" w:themeColor="text1"/>
          <w:kern w:val="2"/>
          <w:sz w:val="16"/>
          <w:szCs w:val="16"/>
        </w:rPr>
        <w:t xml:space="preserve">(26) </w:t>
      </w:r>
      <w:r w:rsidRPr="002F2FDF">
        <w:rPr>
          <w:rFonts w:ascii="Times New Roman" w:hAnsi="Times New Roman" w:cs="Times New Roman"/>
          <w:color w:val="000000" w:themeColor="text1"/>
          <w:kern w:val="2"/>
          <w:sz w:val="16"/>
          <w:szCs w:val="16"/>
        </w:rPr>
        <w:t>июня 1917 г. лётчик Фоловинский и наблюдатель матрос Пепешко вылетели из Батума на запад для воздушной разведки. У Карасунда самолёт получил сильное повреждение: "вырвало два цилиндра мотора и летчик спланировал в море. Из стоек аппарата летчики сделали вёсла и начали грести к берегу. 15 июня они были замечены с берегового поста и наше парусное судно доставило аппарат и лётчиков в Батум" (11933).</w:t>
      </w:r>
    </w:p>
    <w:p w14:paraId="78CFF6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3E5AC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C2D13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4C51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июня 1917 г Першинг (Black Jack) прибыл во Францию с американским экспедиционным корпусом (2100).</w:t>
      </w:r>
    </w:p>
    <w:p w14:paraId="12CFC0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1FF7E7" w14:textId="0B776088" w:rsidR="007325A2" w:rsidRPr="002F2FDF" w:rsidRDefault="007325A2"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С 13 по 20 июня (26 июня по 2 июля) </w:t>
      </w:r>
      <w:r w:rsidR="00DD4D0B">
        <w:rPr>
          <w:color w:val="000000" w:themeColor="text1"/>
          <w:kern w:val="2"/>
          <w:sz w:val="16"/>
          <w:szCs w:val="16"/>
        </w:rPr>
        <w:t xml:space="preserve">1917 г. </w:t>
      </w:r>
      <w:r w:rsidRPr="002F2FDF">
        <w:rPr>
          <w:color w:val="000000" w:themeColor="text1"/>
          <w:kern w:val="2"/>
          <w:sz w:val="16"/>
          <w:szCs w:val="16"/>
        </w:rPr>
        <w:t>германскими подводными лодками было потоплено и повреждено 90 кораблей стран Антанты и нейтральных держав, включая французский крейсер «Клебер» и британский эсминец «Чирфул» (17045).</w:t>
      </w:r>
    </w:p>
    <w:p w14:paraId="30763C33" w14:textId="77777777" w:rsidR="007325A2" w:rsidRPr="002F2FDF" w:rsidRDefault="007325A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F03DD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581BF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9942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июня 1917 заводу В.А.Лебедева в Таганроге был выдан заказ на 175 самолетов Альбатрос поплавковый (Фридрихсхафен, захваченный 20 сентября 1916 в Ревеле - 2843,53) Г.А.Фриде с ИС 200 нр. Первая машина была сдана в декабре 1917 (92,234).</w:t>
      </w:r>
    </w:p>
    <w:p w14:paraId="6BA9CD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4058D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июня 1917 г. Лебедев получил заказ от Морского ведомства на 175 машин типа трофейного немецкого "Бранденбурга" тип W. Однако выпустили только два экземпляра на заводе в Таганроге в декабре 1917 г. Этот аэроплан (серийный номер 269) совершил вынужденную посадку 28 сентября 1915 г. севернее Митавы вблизи озера Бабит и был доставлен впоследствии на завод Лебедева. Предполагалось установка на нем двигателя "Испано-Сюиза" 200 л.с. (11183).</w:t>
      </w:r>
    </w:p>
    <w:p w14:paraId="7B9C30A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0351B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июня 1917 был подписан контракт с Лебедевым морской службой, и по его усло</w:t>
      </w:r>
      <w:r w:rsidRPr="002F2FDF">
        <w:rPr>
          <w:rFonts w:ascii="Times New Roman" w:hAnsi="Times New Roman" w:cs="Times New Roman"/>
          <w:color w:val="000000" w:themeColor="text1"/>
          <w:kern w:val="2"/>
          <w:sz w:val="16"/>
          <w:szCs w:val="16"/>
        </w:rPr>
        <w:softHyphen/>
        <w:t>виям Лебедеву предстояло построить 175 поплавковых аэропланов по 20.000 руб. за каждый и в период с 31 июля по 31 декабря 1917 г. Уже очень скоро стало ясно, что заказчик поступил верно, не спеша давать поручений и брать обязательств на год 1918. Пока же спе</w:t>
      </w:r>
      <w:r w:rsidRPr="002F2FDF">
        <w:rPr>
          <w:rFonts w:ascii="Times New Roman" w:hAnsi="Times New Roman" w:cs="Times New Roman"/>
          <w:color w:val="000000" w:themeColor="text1"/>
          <w:kern w:val="2"/>
          <w:sz w:val="16"/>
          <w:szCs w:val="16"/>
        </w:rPr>
        <w:softHyphen/>
        <w:t>циалисты компании должны были организовать производство аппаратов, способных удовлет</w:t>
      </w:r>
      <w:r w:rsidRPr="002F2FDF">
        <w:rPr>
          <w:rFonts w:ascii="Times New Roman" w:hAnsi="Times New Roman" w:cs="Times New Roman"/>
          <w:color w:val="000000" w:themeColor="text1"/>
          <w:kern w:val="2"/>
          <w:sz w:val="16"/>
          <w:szCs w:val="16"/>
        </w:rPr>
        <w:softHyphen/>
        <w:t>ворить следующим требованиям: полезная нагрузка 470 кг, скорость около воды 150 км/ч, скороподъемность 3000 м за 30 минут, потолок 4000 м, легкий разбег и посадка при волнении высотой 1—2 м. Работа началась, но к 15 сентябрю морские авиаторы сочли как германский образец, так и его отечественное воспроизведение устаревшими и высказали потребность в более совершенной конструкции. 25 они сообщили фирме о том, что, хотя контракт и не подлежал расторжению, предварительные сравнительные испытания пленного "Фридрихсха</w:t>
      </w:r>
      <w:r w:rsidRPr="002F2FDF">
        <w:rPr>
          <w:rFonts w:ascii="Times New Roman" w:hAnsi="Times New Roman" w:cs="Times New Roman"/>
          <w:color w:val="000000" w:themeColor="text1"/>
          <w:kern w:val="2"/>
          <w:sz w:val="16"/>
          <w:szCs w:val="16"/>
        </w:rPr>
        <w:softHyphen/>
        <w:t>фена" и его копии с мотором "Испано-Суиза" были бы все же необходимы (2843).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2F2FDF" w14:paraId="7D54CB45" w14:textId="77777777">
        <w:tc>
          <w:tcPr>
            <w:tcW w:w="4788" w:type="dxa"/>
            <w:tcBorders>
              <w:top w:val="single" w:sz="12" w:space="0" w:color="auto"/>
            </w:tcBorders>
            <w:shd w:val="clear" w:color="auto" w:fill="FFFFFF"/>
          </w:tcPr>
          <w:p w14:paraId="44625A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0C463B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 14 1917</w:t>
            </w:r>
          </w:p>
        </w:tc>
      </w:tr>
      <w:tr w:rsidR="002B1C74" w:rsidRPr="002F2FDF" w14:paraId="24CBCA52" w14:textId="77777777">
        <w:tc>
          <w:tcPr>
            <w:tcW w:w="4788" w:type="dxa"/>
            <w:shd w:val="clear" w:color="auto" w:fill="FFFFFF"/>
          </w:tcPr>
          <w:p w14:paraId="39071C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заказанных аэропланов</w:t>
            </w:r>
          </w:p>
        </w:tc>
        <w:tc>
          <w:tcPr>
            <w:tcW w:w="4788" w:type="dxa"/>
            <w:shd w:val="clear" w:color="auto" w:fill="FFFFFF"/>
          </w:tcPr>
          <w:p w14:paraId="60EDFB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175</w:t>
            </w:r>
          </w:p>
        </w:tc>
      </w:tr>
      <w:tr w:rsidR="002B1C74" w:rsidRPr="002F2FDF" w14:paraId="30B9818F" w14:textId="77777777">
        <w:tc>
          <w:tcPr>
            <w:tcW w:w="4788" w:type="dxa"/>
            <w:shd w:val="clear" w:color="auto" w:fill="FFFFFF"/>
          </w:tcPr>
          <w:p w14:paraId="391D74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Заводские номера сданных аэропланов</w:t>
            </w:r>
          </w:p>
        </w:tc>
        <w:tc>
          <w:tcPr>
            <w:tcW w:w="4788" w:type="dxa"/>
            <w:shd w:val="clear" w:color="auto" w:fill="FFFFFF"/>
          </w:tcPr>
          <w:p w14:paraId="3A1E1F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5792E1D3" w14:textId="77777777">
        <w:tc>
          <w:tcPr>
            <w:tcW w:w="4788" w:type="dxa"/>
            <w:tcBorders>
              <w:bottom w:val="single" w:sz="12" w:space="0" w:color="auto"/>
            </w:tcBorders>
            <w:shd w:val="clear" w:color="auto" w:fill="FFFFFF"/>
          </w:tcPr>
          <w:p w14:paraId="57AC12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7F576A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20.000 руб. за аппарат без мотора, срок исполнения с 31 июля по 31 декабря 1917 г. Примечания: контракт был предположительно сначала сокращен до 100 аппаратов (дата неизвестна), а затем расторгнут 4 декабря 1917 г. (2 прототипа должны были быть проданы флоту, но и этого не случилось) (2843).</w:t>
            </w:r>
          </w:p>
        </w:tc>
      </w:tr>
    </w:tbl>
    <w:p w14:paraId="38EE42A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80DDB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июня 1917 г. вышел отчет военно</w:t>
      </w:r>
      <w:r w:rsidRPr="002F2FDF">
        <w:rPr>
          <w:rFonts w:ascii="Times New Roman" w:hAnsi="Times New Roman" w:cs="Times New Roman"/>
          <w:color w:val="000000" w:themeColor="text1"/>
          <w:kern w:val="2"/>
          <w:sz w:val="16"/>
          <w:szCs w:val="16"/>
        </w:rPr>
        <w:softHyphen/>
        <w:t>го представителя подпоручика Лаврова, согласно которому на заводе “Матиас” никакое производство не велось. Старый завод “весь пере</w:t>
      </w:r>
      <w:r w:rsidRPr="002F2FDF">
        <w:rPr>
          <w:rFonts w:ascii="Times New Roman" w:hAnsi="Times New Roman" w:cs="Times New Roman"/>
          <w:color w:val="000000" w:themeColor="text1"/>
          <w:kern w:val="2"/>
          <w:sz w:val="16"/>
          <w:szCs w:val="16"/>
        </w:rPr>
        <w:softHyphen/>
        <w:t>вернут”, часть зданий снесена, часть переоборудуется. Новая произ</w:t>
      </w:r>
      <w:r w:rsidRPr="002F2FDF">
        <w:rPr>
          <w:rFonts w:ascii="Times New Roman" w:hAnsi="Times New Roman" w:cs="Times New Roman"/>
          <w:color w:val="000000" w:themeColor="text1"/>
          <w:kern w:val="2"/>
          <w:sz w:val="16"/>
          <w:szCs w:val="16"/>
        </w:rPr>
        <w:softHyphen/>
        <w:t>водственная площадка представляла собой голую степь с кучами песка и щебня. Пригодным к использованию было только здание городской конторы. На эти упреки руководство предприятия ответило встречными обвинениями в неритмичных поставках и недостаточном “сортаменте” материалов и полуфабрикатов. Надо сказать, что эти претензии не бы</w:t>
      </w:r>
      <w:r w:rsidRPr="002F2FDF">
        <w:rPr>
          <w:rFonts w:ascii="Times New Roman" w:hAnsi="Times New Roman" w:cs="Times New Roman"/>
          <w:color w:val="000000" w:themeColor="text1"/>
          <w:kern w:val="2"/>
          <w:sz w:val="16"/>
          <w:szCs w:val="16"/>
        </w:rPr>
        <w:softHyphen/>
        <w:t>ли беспочвенными — военное ведомство во многих случаях не могло обеспечить поставку материалов. Например, до августа не удалось решить вопрос закупки труб, необходимых для выпуска “Фарманов”. В другом случае руководству “Матиаса” пришлось даже командиро</w:t>
      </w:r>
      <w:r w:rsidRPr="002F2FDF">
        <w:rPr>
          <w:rFonts w:ascii="Times New Roman" w:hAnsi="Times New Roman" w:cs="Times New Roman"/>
          <w:color w:val="000000" w:themeColor="text1"/>
          <w:kern w:val="2"/>
          <w:sz w:val="16"/>
          <w:szCs w:val="16"/>
        </w:rPr>
        <w:softHyphen/>
        <w:t>вать инженера Кузнецова в США для приобретения 800 кубометров спруса — ели особой породы, применяемой в авиастроении. А с внед</w:t>
      </w:r>
      <w:r w:rsidRPr="002F2FDF">
        <w:rPr>
          <w:rFonts w:ascii="Times New Roman" w:hAnsi="Times New Roman" w:cs="Times New Roman"/>
          <w:color w:val="000000" w:themeColor="text1"/>
          <w:kern w:val="2"/>
          <w:sz w:val="16"/>
          <w:szCs w:val="16"/>
        </w:rPr>
        <w:softHyphen/>
        <w:t>рением в производство “Спада” вообще вышел конфуз: уже после под</w:t>
      </w:r>
      <w:r w:rsidRPr="002F2FDF">
        <w:rPr>
          <w:rFonts w:ascii="Times New Roman" w:hAnsi="Times New Roman" w:cs="Times New Roman"/>
          <w:color w:val="000000" w:themeColor="text1"/>
          <w:kern w:val="2"/>
          <w:sz w:val="16"/>
          <w:szCs w:val="16"/>
        </w:rPr>
        <w:softHyphen/>
        <w:t>писания контракта выяснилось, что в России отсутствует техническая документация на этот самолет. Вместо чертежей двухместного развед</w:t>
      </w:r>
      <w:r w:rsidRPr="002F2FDF">
        <w:rPr>
          <w:rFonts w:ascii="Times New Roman" w:hAnsi="Times New Roman" w:cs="Times New Roman"/>
          <w:color w:val="000000" w:themeColor="text1"/>
          <w:kern w:val="2"/>
          <w:sz w:val="16"/>
          <w:szCs w:val="16"/>
        </w:rPr>
        <w:softHyphen/>
        <w:t>чика в Бердянск из Московского парка-склада прислали комплект доку</w:t>
      </w:r>
      <w:r w:rsidRPr="002F2FDF">
        <w:rPr>
          <w:rFonts w:ascii="Times New Roman" w:hAnsi="Times New Roman" w:cs="Times New Roman"/>
          <w:color w:val="000000" w:themeColor="text1"/>
          <w:kern w:val="2"/>
          <w:sz w:val="16"/>
          <w:szCs w:val="16"/>
        </w:rPr>
        <w:softHyphen/>
        <w:t>ментации по... одноместному истребителю “Спад VII”! (11154).</w:t>
      </w:r>
    </w:p>
    <w:p w14:paraId="15C55F9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EFDAB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FA7BD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1E02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июня 1917. Рано утром этого дня Казаков, летевший в паре с прапорщиком Леманом, заметил севернее Подгай</w:t>
      </w:r>
      <w:r w:rsidRPr="002F2FDF">
        <w:rPr>
          <w:rFonts w:ascii="Times New Roman" w:hAnsi="Times New Roman" w:cs="Times New Roman"/>
          <w:color w:val="000000" w:themeColor="text1"/>
          <w:kern w:val="2"/>
          <w:sz w:val="16"/>
          <w:szCs w:val="16"/>
        </w:rPr>
        <w:softHyphen/>
        <w:t>цы 3 неприятельских самолета. В 5 ч 25 мин он догнал и атаковал одного из них. После нескольких попаданий враг стал с большим снижением уходить в западном направлении. В своем доне</w:t>
      </w:r>
      <w:r w:rsidRPr="002F2FDF">
        <w:rPr>
          <w:rFonts w:ascii="Times New Roman" w:hAnsi="Times New Roman" w:cs="Times New Roman"/>
          <w:color w:val="000000" w:themeColor="text1"/>
          <w:kern w:val="2"/>
          <w:sz w:val="16"/>
          <w:szCs w:val="16"/>
        </w:rPr>
        <w:softHyphen/>
        <w:t>сении Казаков сообщал: “сейчас же атаковал второго, который после ко</w:t>
      </w:r>
      <w:r w:rsidRPr="002F2FDF">
        <w:rPr>
          <w:rFonts w:ascii="Times New Roman" w:hAnsi="Times New Roman" w:cs="Times New Roman"/>
          <w:color w:val="000000" w:themeColor="text1"/>
          <w:kern w:val="2"/>
          <w:sz w:val="16"/>
          <w:szCs w:val="16"/>
        </w:rPr>
        <w:softHyphen/>
        <w:t>роткого боя тоже стал быстро сни</w:t>
      </w:r>
      <w:r w:rsidRPr="002F2FDF">
        <w:rPr>
          <w:rFonts w:ascii="Times New Roman" w:hAnsi="Times New Roman" w:cs="Times New Roman"/>
          <w:color w:val="000000" w:themeColor="text1"/>
          <w:kern w:val="2"/>
          <w:sz w:val="16"/>
          <w:szCs w:val="16"/>
        </w:rPr>
        <w:softHyphen/>
        <w:t>жаться. Над лесом у Ставетын он был на высоте 200-300 м. По-видимому, неприятельский наблюдатель был убит или тяжело ранен, так как он не стрелял и, как я заметил, пулемет был наклоненным из самолета. Пилот уп</w:t>
      </w:r>
      <w:r w:rsidRPr="002F2FDF">
        <w:rPr>
          <w:rFonts w:ascii="Times New Roman" w:hAnsi="Times New Roman" w:cs="Times New Roman"/>
          <w:color w:val="000000" w:themeColor="text1"/>
          <w:kern w:val="2"/>
          <w:sz w:val="16"/>
          <w:szCs w:val="16"/>
        </w:rPr>
        <w:softHyphen/>
        <w:t>равлял самолетом крайне неуверенно тоже, по-видимому, сильно подбитым или будучи сильно ранен. Благодаря чему я их больше не обстреливал, но видя, что неприятельский самолет пытается пе</w:t>
      </w:r>
      <w:r w:rsidRPr="002F2FDF">
        <w:rPr>
          <w:rFonts w:ascii="Times New Roman" w:hAnsi="Times New Roman" w:cs="Times New Roman"/>
          <w:color w:val="000000" w:themeColor="text1"/>
          <w:kern w:val="2"/>
          <w:sz w:val="16"/>
          <w:szCs w:val="16"/>
        </w:rPr>
        <w:softHyphen/>
        <w:t>рейти линию окопов севернее Ставетына у фольварка Краснолесье я его атаковал еще раз над линией передо</w:t>
      </w:r>
      <w:r w:rsidRPr="002F2FDF">
        <w:rPr>
          <w:rFonts w:ascii="Times New Roman" w:hAnsi="Times New Roman" w:cs="Times New Roman"/>
          <w:color w:val="000000" w:themeColor="text1"/>
          <w:kern w:val="2"/>
          <w:sz w:val="16"/>
          <w:szCs w:val="16"/>
        </w:rPr>
        <w:softHyphen/>
        <w:t>вых окопов на высоте 200 м, но благо</w:t>
      </w:r>
      <w:r w:rsidRPr="002F2FDF">
        <w:rPr>
          <w:rFonts w:ascii="Times New Roman" w:hAnsi="Times New Roman" w:cs="Times New Roman"/>
          <w:color w:val="000000" w:themeColor="text1"/>
          <w:kern w:val="2"/>
          <w:sz w:val="16"/>
          <w:szCs w:val="16"/>
        </w:rPr>
        <w:softHyphen/>
        <w:t>даря порче пулемета стрельбу пре</w:t>
      </w:r>
      <w:r w:rsidRPr="002F2FDF">
        <w:rPr>
          <w:rFonts w:ascii="Times New Roman" w:hAnsi="Times New Roman" w:cs="Times New Roman"/>
          <w:color w:val="000000" w:themeColor="text1"/>
          <w:kern w:val="2"/>
          <w:sz w:val="16"/>
          <w:szCs w:val="16"/>
        </w:rPr>
        <w:softHyphen/>
        <w:t>кратил и повернул назад. Неприятель</w:t>
      </w:r>
      <w:r w:rsidRPr="002F2FDF">
        <w:rPr>
          <w:rFonts w:ascii="Times New Roman" w:hAnsi="Times New Roman" w:cs="Times New Roman"/>
          <w:color w:val="000000" w:themeColor="text1"/>
          <w:kern w:val="2"/>
          <w:sz w:val="16"/>
          <w:szCs w:val="16"/>
        </w:rPr>
        <w:softHyphen/>
        <w:t>ский самолет снижался, но его паде</w:t>
      </w:r>
      <w:r w:rsidRPr="002F2FDF">
        <w:rPr>
          <w:rFonts w:ascii="Times New Roman" w:hAnsi="Times New Roman" w:cs="Times New Roman"/>
          <w:color w:val="000000" w:themeColor="text1"/>
          <w:kern w:val="2"/>
          <w:sz w:val="16"/>
          <w:szCs w:val="16"/>
        </w:rPr>
        <w:softHyphen/>
        <w:t>ния или посадки не видел. Предпола</w:t>
      </w:r>
      <w:r w:rsidRPr="002F2FDF">
        <w:rPr>
          <w:rFonts w:ascii="Times New Roman" w:hAnsi="Times New Roman" w:cs="Times New Roman"/>
          <w:color w:val="000000" w:themeColor="text1"/>
          <w:kern w:val="2"/>
          <w:sz w:val="16"/>
          <w:szCs w:val="16"/>
        </w:rPr>
        <w:softHyphen/>
        <w:t>гаю, что это произошло сейчас же за передовой линией окопов. Полагаю, что войска видели бой и могут дать сведения. Мною выпущено 270 пуль”. Падение самолета противника под</w:t>
      </w:r>
      <w:r w:rsidRPr="002F2FDF">
        <w:rPr>
          <w:rFonts w:ascii="Times New Roman" w:hAnsi="Times New Roman" w:cs="Times New Roman"/>
          <w:color w:val="000000" w:themeColor="text1"/>
          <w:kern w:val="2"/>
          <w:sz w:val="16"/>
          <w:szCs w:val="16"/>
        </w:rPr>
        <w:softHyphen/>
        <w:t>твердил другой участник боя - пра</w:t>
      </w:r>
      <w:r w:rsidRPr="002F2FDF">
        <w:rPr>
          <w:rFonts w:ascii="Times New Roman" w:hAnsi="Times New Roman" w:cs="Times New Roman"/>
          <w:color w:val="000000" w:themeColor="text1"/>
          <w:kern w:val="2"/>
          <w:sz w:val="16"/>
          <w:szCs w:val="16"/>
        </w:rPr>
        <w:softHyphen/>
        <w:t>порщик Леман. По сообщениям ар</w:t>
      </w:r>
      <w:r w:rsidRPr="002F2FDF">
        <w:rPr>
          <w:rFonts w:ascii="Times New Roman" w:hAnsi="Times New Roman" w:cs="Times New Roman"/>
          <w:color w:val="000000" w:themeColor="text1"/>
          <w:kern w:val="2"/>
          <w:sz w:val="16"/>
          <w:szCs w:val="16"/>
        </w:rPr>
        <w:softHyphen/>
        <w:t>мейского командования: “...непри</w:t>
      </w:r>
      <w:r w:rsidRPr="002F2FDF">
        <w:rPr>
          <w:rFonts w:ascii="Times New Roman" w:hAnsi="Times New Roman" w:cs="Times New Roman"/>
          <w:color w:val="000000" w:themeColor="text1"/>
          <w:kern w:val="2"/>
          <w:sz w:val="16"/>
          <w:szCs w:val="16"/>
        </w:rPr>
        <w:softHyphen/>
        <w:t>ятельский самолет упал в ближнем тылу противника у Липица Дольна, что удостоверено показаниями войск”. Спустя два часа те же летчики “...поднялись на разрывы и встретили три неприятельских самолета, шед</w:t>
      </w:r>
      <w:r w:rsidRPr="002F2FDF">
        <w:rPr>
          <w:rFonts w:ascii="Times New Roman" w:hAnsi="Times New Roman" w:cs="Times New Roman"/>
          <w:color w:val="000000" w:themeColor="text1"/>
          <w:kern w:val="2"/>
          <w:sz w:val="16"/>
          <w:szCs w:val="16"/>
        </w:rPr>
        <w:softHyphen/>
        <w:t>ших через Ковалювку на Бучач, атако</w:t>
      </w:r>
      <w:r w:rsidRPr="002F2FDF">
        <w:rPr>
          <w:rFonts w:ascii="Times New Roman" w:hAnsi="Times New Roman" w:cs="Times New Roman"/>
          <w:color w:val="000000" w:themeColor="text1"/>
          <w:kern w:val="2"/>
          <w:sz w:val="16"/>
          <w:szCs w:val="16"/>
        </w:rPr>
        <w:softHyphen/>
        <w:t>вали их в верстах 15-20 юго-восточ</w:t>
      </w:r>
      <w:r w:rsidRPr="002F2FDF">
        <w:rPr>
          <w:rFonts w:ascii="Times New Roman" w:hAnsi="Times New Roman" w:cs="Times New Roman"/>
          <w:color w:val="000000" w:themeColor="text1"/>
          <w:kern w:val="2"/>
          <w:sz w:val="16"/>
          <w:szCs w:val="16"/>
        </w:rPr>
        <w:softHyphen/>
        <w:t>нее Монастыржеска. Неприятельских самолетов осталось только два, один покинул поле боя и ушел в сторону. В 9 ч 20 мин я (Казаков) атаковал заднего из двух шедших вместе неприятельских самолетов и после боя на ближней дистанции был ранен в правую руку, вследствие чего оставил бой и благополучно спустил</w:t>
      </w:r>
      <w:r w:rsidRPr="002F2FDF">
        <w:rPr>
          <w:rFonts w:ascii="Times New Roman" w:hAnsi="Times New Roman" w:cs="Times New Roman"/>
          <w:color w:val="000000" w:themeColor="text1"/>
          <w:kern w:val="2"/>
          <w:sz w:val="16"/>
          <w:szCs w:val="16"/>
        </w:rPr>
        <w:softHyphen/>
        <w:t>ся на свой аэродром”. Продолживший бой прапорщик Ле</w:t>
      </w:r>
      <w:r w:rsidRPr="002F2FDF">
        <w:rPr>
          <w:rFonts w:ascii="Times New Roman" w:hAnsi="Times New Roman" w:cs="Times New Roman"/>
          <w:color w:val="000000" w:themeColor="text1"/>
          <w:kern w:val="2"/>
          <w:sz w:val="16"/>
          <w:szCs w:val="16"/>
        </w:rPr>
        <w:softHyphen/>
        <w:t>ман позже доложил: “...я вступил в бой с задним, пикируя на него и прекратил огонь только тогда, когда подошел к нему вплотную. Из кабины самолета показался серый дым и аппарат по</w:t>
      </w:r>
      <w:r w:rsidRPr="002F2FDF">
        <w:rPr>
          <w:rFonts w:ascii="Times New Roman" w:hAnsi="Times New Roman" w:cs="Times New Roman"/>
          <w:color w:val="000000" w:themeColor="text1"/>
          <w:kern w:val="2"/>
          <w:sz w:val="16"/>
          <w:szCs w:val="16"/>
        </w:rPr>
        <w:softHyphen/>
        <w:t>шел книзу. В это время я был атакован другим и вступил с ним в бой, потеряв из виду первого. После короткой оче</w:t>
      </w:r>
      <w:r w:rsidRPr="002F2FDF">
        <w:rPr>
          <w:rFonts w:ascii="Times New Roman" w:hAnsi="Times New Roman" w:cs="Times New Roman"/>
          <w:color w:val="000000" w:themeColor="text1"/>
          <w:kern w:val="2"/>
          <w:sz w:val="16"/>
          <w:szCs w:val="16"/>
        </w:rPr>
        <w:softHyphen/>
        <w:t>реди у меня заело пулемет (...) пока исправлял задержку, противник с большим снижением ушел к себе. Возможно он упал в районе Тысменица или Нежнюв. У меня 4 пробоины..., мною выпущено 160 патронов”. Подбитый Леманом “Румп</w:t>
      </w:r>
      <w:r w:rsidRPr="002F2FDF">
        <w:rPr>
          <w:rFonts w:ascii="Times New Roman" w:hAnsi="Times New Roman" w:cs="Times New Roman"/>
          <w:color w:val="000000" w:themeColor="text1"/>
          <w:kern w:val="2"/>
          <w:sz w:val="16"/>
          <w:szCs w:val="16"/>
        </w:rPr>
        <w:softHyphen/>
        <w:t>лер” C.la совершил вынужден</w:t>
      </w:r>
      <w:r w:rsidRPr="002F2FDF">
        <w:rPr>
          <w:rFonts w:ascii="Times New Roman" w:hAnsi="Times New Roman" w:cs="Times New Roman"/>
          <w:color w:val="000000" w:themeColor="text1"/>
          <w:kern w:val="2"/>
          <w:sz w:val="16"/>
          <w:szCs w:val="16"/>
        </w:rPr>
        <w:softHyphen/>
        <w:t>ную посадку на аэродроме 8-го армейского авиаотряда. Коман</w:t>
      </w:r>
      <w:r w:rsidRPr="002F2FDF">
        <w:rPr>
          <w:rFonts w:ascii="Times New Roman" w:hAnsi="Times New Roman" w:cs="Times New Roman"/>
          <w:color w:val="000000" w:themeColor="text1"/>
          <w:kern w:val="2"/>
          <w:sz w:val="16"/>
          <w:szCs w:val="16"/>
        </w:rPr>
        <w:softHyphen/>
        <w:t>дир отряда поручик Ходорович, просивший оставить его отряду трофей, доложил, что на не</w:t>
      </w:r>
      <w:r w:rsidRPr="002F2FDF">
        <w:rPr>
          <w:rFonts w:ascii="Times New Roman" w:hAnsi="Times New Roman" w:cs="Times New Roman"/>
          <w:color w:val="000000" w:themeColor="text1"/>
          <w:kern w:val="2"/>
          <w:sz w:val="16"/>
          <w:szCs w:val="16"/>
        </w:rPr>
        <w:softHyphen/>
        <w:t>мецком самолете с мотором “Опель” 180 л. с. пробит радиа</w:t>
      </w:r>
      <w:r w:rsidRPr="002F2FDF">
        <w:rPr>
          <w:rFonts w:ascii="Times New Roman" w:hAnsi="Times New Roman" w:cs="Times New Roman"/>
          <w:color w:val="000000" w:themeColor="text1"/>
          <w:kern w:val="2"/>
          <w:sz w:val="16"/>
          <w:szCs w:val="16"/>
        </w:rPr>
        <w:softHyphen/>
        <w:t>тор, винт, лонжероны и стойки. Всего на самолете насчитали 62 пробоины. Наблюдатель тяжело ранен в ногу. Пленные немецкие летчики на допросе сообщили, что они из 29-го авиаотряда (FI.Abt.29), который расположен в дер. Вержбиловце у г. Рогатина. Казаков, несмотря на свое участие в этом бою, отнес сбитый самолет на счет прапорщика Лемана. Из-за ране</w:t>
      </w:r>
      <w:r w:rsidRPr="002F2FDF">
        <w:rPr>
          <w:rFonts w:ascii="Times New Roman" w:hAnsi="Times New Roman" w:cs="Times New Roman"/>
          <w:color w:val="000000" w:themeColor="text1"/>
          <w:kern w:val="2"/>
          <w:sz w:val="16"/>
          <w:szCs w:val="16"/>
        </w:rPr>
        <w:softHyphen/>
        <w:t>ния он был вынужден уехать в госпи</w:t>
      </w:r>
      <w:r w:rsidRPr="002F2FDF">
        <w:rPr>
          <w:rFonts w:ascii="Times New Roman" w:hAnsi="Times New Roman" w:cs="Times New Roman"/>
          <w:color w:val="000000" w:themeColor="text1"/>
          <w:kern w:val="2"/>
          <w:sz w:val="16"/>
          <w:szCs w:val="16"/>
        </w:rPr>
        <w:softHyphen/>
        <w:t>таль, группу временно возглавил его помощник, подъесаул И.А.Шангин (3954).</w:t>
      </w:r>
    </w:p>
    <w:p w14:paraId="1746BC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C355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июня 1917 в 6 часов вечера Циммерман в очередной раз атаковал русский привязной аэростат. В момент, когда германский авиатор приблизился к аэростату на 50 м, индуктор был приведен в действие, и шар взорвался. Силой взрыва из атакующего самолета вышибло мотор. Самолет, вместе с сидевшим в нем пилотом, рухнул неподалеку. Пилот погиб.</w:t>
      </w:r>
    </w:p>
    <w:p w14:paraId="53A8B5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Все большие трудности испытывали русские воздухоплаватели, работавшие наблюдателями на привязных аэростатах. Для борьбы с германскими истребителями их вооружили одиннадцатизарядными "Винчестерами". При помощи пулеметов и зенитной артиллерии, которыми были снабжены воздухоплавательные роты, а также "Винчестеров" и других средств самозащиты, воздухоплаватели в этом году сбили 15 германских истребителей. Однако, несмотря на все это германским авиаторам удалось уничтожить в этом году 48 змейковых аэростатов русских (41 из них в воздухе) . </w:t>
      </w:r>
    </w:p>
    <w:p w14:paraId="0A37D6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Особенно эффективно действовал против змейковых аэростатов германский авиатор Циммерман; ему удалось уничтожить в районе Тарнополя 15 русских аэростатов, корректировавших огонь артиллерии. Обычно Циммерман атаковал аэростат сверху, из-за облаков, скрытый от находящихся в корзине наблюдателей оболочкой аэростата. Поэтому русское командование установило дежурство двух истребителей для охраны работающего корректировщика. Тем не менее и эта мера ни к чему не привела. Прежде чем истребители успевали подняться в воздух, германский летчик расстреливал аэростат и скрывался.</w:t>
      </w:r>
    </w:p>
    <w:p w14:paraId="1B3B06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Тогда русские подготовили специальный змейковый аэростат, в корзину которого положили около 100 кг динамита и посадили чучело наблюдателя. Подрывной капсюль соединили проводником с индукторной машиной, которая приводилась в действие с земного поста. Аэростат был поднят на 1000 м (11999).</w:t>
      </w:r>
    </w:p>
    <w:p w14:paraId="4278F0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667718" w14:textId="7E05E22A" w:rsidR="00946AE8" w:rsidRPr="00FB4F67" w:rsidRDefault="00946AE8"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lastRenderedPageBreak/>
        <w:t>14 (</w:t>
      </w:r>
      <w:r w:rsidRPr="00FB4F67">
        <w:rPr>
          <w:rFonts w:ascii="Times New Roman" w:hAnsi="Times New Roman" w:cs="Times New Roman"/>
          <w:color w:val="0070C0"/>
          <w:sz w:val="16"/>
          <w:szCs w:val="16"/>
        </w:rPr>
        <w:t>27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1917 г. военный летчик 19-го корпусного авиаотряда прапорщик Леман «поднявшись на самолете истребителе с другим нашим истребителем для преследования 3 появившихся неприятельских самолетов, атаковал одного из них в районе Тлумача и после короткой лихой атаки сбил его пулеметным огнем, продолжая преследовать остальных за линию передовых окопов. Сбитый немецкий самолет опустился в нашем расположении. Два офицера германца захвачены нашими войсками. Самолет прапорщика Лемана получил несколько серьезных пулевых повреждений». Позднее за этот бой русский летчик награжден орденом Святого Георгия IV степени.</w:t>
      </w:r>
    </w:p>
    <w:p w14:paraId="2CF3A82A" w14:textId="77777777" w:rsidR="00946AE8" w:rsidRPr="00FB4F67" w:rsidRDefault="00946AE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тот же день личный состав 25-го армейского воздухоплавательного отряда проявили чудеса солдатской смекалки. В районе полета неприятельского аэроплана был поднят наш аэростат, начиненный динамитом. При приближении к нему вражеского летательного аппарата воздушный шар взорвали. «Самолет, обстрелянный пулеметным и ружейным огнем отряда, ушел в свое расположение без мотора и, по полученным сведениям, опустился у проволочных заграждений противника». В тот же день в районе местечка Тлумача (Восточная Галиция) был сбит аэроплан 29-го германского авиационного отряда, действовавшего ранее в районе г. Барановичи. Летчик попал в плен (23405).</w:t>
      </w:r>
    </w:p>
    <w:p w14:paraId="1A8721EF" w14:textId="77777777" w:rsidR="00946AE8" w:rsidRPr="00FB4F67" w:rsidRDefault="00946AE8" w:rsidP="0083075A">
      <w:pPr>
        <w:spacing w:after="0" w:line="240" w:lineRule="auto"/>
        <w:jc w:val="both"/>
        <w:rPr>
          <w:rFonts w:ascii="Times New Roman" w:hAnsi="Times New Roman" w:cs="Times New Roman"/>
          <w:color w:val="0070C0"/>
          <w:sz w:val="16"/>
          <w:szCs w:val="16"/>
        </w:rPr>
      </w:pPr>
    </w:p>
    <w:p w14:paraId="4D2D9D06" w14:textId="7BB266D6" w:rsidR="00946AE8" w:rsidRPr="00FB4F67" w:rsidRDefault="00946AE8"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К 14 (27) </w:t>
      </w:r>
      <w:r w:rsidRPr="00FB4F67">
        <w:rPr>
          <w:rFonts w:ascii="Times New Roman" w:hAnsi="Times New Roman" w:cs="Times New Roman"/>
          <w:color w:val="0070C0"/>
          <w:sz w:val="16"/>
          <w:szCs w:val="16"/>
        </w:rPr>
        <w:t>июня 1917 г. в полосе русского ЮЗФ противник располагал 206 (по другим данным - 226) боевыми самолетами, объединенными в 37 авиаотрядов и рот.</w:t>
      </w:r>
    </w:p>
    <w:p w14:paraId="69EDC8CB" w14:textId="77777777" w:rsidR="00946AE8" w:rsidRPr="00FB4F67" w:rsidRDefault="00946AE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Подавляющее большинство их было сосредоточено против русских 11-й, 7-й и частично Особой армий. В то же время на Карпатском участке 8-й армии действовало лишь 7 австро-германских авиационных рот. Таким образом, воздушные силы противоборствующих сторон в количественном соотношении были равноценны. При этом воздушный флот противника превосходил наш по качественным характеристикам своих боевых машин и их вооружением.</w:t>
      </w:r>
    </w:p>
    <w:p w14:paraId="623CF6E0" w14:textId="77777777" w:rsidR="00946AE8" w:rsidRPr="00FB4F67" w:rsidRDefault="00946AE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Вблизи линии фронта были развернуты передовые авиационные базы, каждая германская и австрийская армия обслуживалась авиапарками (передовыми парковыми колоннами) для ремонта и быстрого ввода в строй поврежденных летательных аппаратов. В глубоком авиационном тылу у противника имелся резерв (14 авиаотрядов), который при необходимости в срочном порядке мог быть переброшен в зону боевых действий.</w:t>
      </w:r>
    </w:p>
    <w:p w14:paraId="57D7D520" w14:textId="77777777" w:rsidR="00946AE8" w:rsidRPr="00FB4F67" w:rsidRDefault="00946AE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Общее состояние русской авиации желало лучшего. Многие авиаотряды не были доведены до штатной нормы (по военному времени), а некомплект самолетов только по Юго-Западному фронту составлял около 115 единиц.</w:t>
      </w:r>
    </w:p>
    <w:p w14:paraId="0E182018" w14:textId="77777777" w:rsidR="00946AE8" w:rsidRPr="00FB4F67" w:rsidRDefault="00946AE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Боевые машины оказались сильно изношенными и не соответствовали предъявляемым к ним требованиям. Отрицательно сказывалось и вооружение авиаотрядов разнотипной боевой техникой. От этой практики, например, немецкая сторона отказалась еще в 1915 г., что значительно повысило ее боеспособность.</w:t>
      </w:r>
    </w:p>
    <w:p w14:paraId="4E93E8AC" w14:textId="77777777" w:rsidR="00946AE8" w:rsidRPr="00FB4F67" w:rsidRDefault="00946AE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Несмотря на существовавшие проблемы, к началу проведения наступательной операции авиация Юго-Западного фронта была сконцентрирована в основных районах, соответственно тем заданиям, которые ей требовалось решать. Так, в составе 8-й армии имелось два истребительных авиаотряда (ИАО, один из которых был временно передан из состава 7-й армии). Основу истребительной авиации 11-й армии составляла 2-я боевая авиагруппа (капитан Е.Н. Крутень), действовавшая в интересах штаба армии на направлении главного удара. Остальная часть полосы армии оставалась в ведении двух корпусных и одного авиаотряда истребителей.</w:t>
      </w:r>
    </w:p>
    <w:p w14:paraId="1B51F1EB" w14:textId="77777777" w:rsidR="00946AE8" w:rsidRPr="00FB4F67" w:rsidRDefault="00946AE8" w:rsidP="0083075A">
      <w:pPr>
        <w:spacing w:after="0" w:line="240" w:lineRule="auto"/>
        <w:jc w:val="both"/>
        <w:rPr>
          <w:rFonts w:ascii="Times New Roman" w:hAnsi="Times New Roman" w:cs="Times New Roman"/>
          <w:color w:val="0070C0"/>
          <w:sz w:val="16"/>
          <w:szCs w:val="16"/>
        </w:rPr>
      </w:pPr>
      <w:bookmarkStart w:id="154" w:name="bookmark794"/>
      <w:r w:rsidRPr="00FB4F67">
        <w:rPr>
          <w:rFonts w:ascii="Times New Roman" w:hAnsi="Times New Roman" w:cs="Times New Roman"/>
          <w:color w:val="0070C0"/>
          <w:sz w:val="16"/>
          <w:szCs w:val="16"/>
        </w:rPr>
        <w:t>Активный участок фронта 7-й армии обслуживала специальная авиагруппа, с включением в ее состав 8-го ИАО. Также в ведении генерал-квартирмейстера армии имелся французский артдивизион (артиллерийский и истребительный АО), 1-я БАГ (ротмистр А.А. Козаков) и 7-й ИАО.</w:t>
      </w:r>
      <w:bookmarkEnd w:id="154"/>
    </w:p>
    <w:p w14:paraId="31BA7946" w14:textId="77777777" w:rsidR="00946AE8" w:rsidRPr="00FB4F67" w:rsidRDefault="00946AE8" w:rsidP="0083075A">
      <w:pPr>
        <w:spacing w:after="0" w:line="240" w:lineRule="auto"/>
        <w:jc w:val="both"/>
        <w:rPr>
          <w:rFonts w:ascii="Times New Roman" w:hAnsi="Times New Roman" w:cs="Times New Roman"/>
          <w:color w:val="0070C0"/>
          <w:sz w:val="16"/>
          <w:szCs w:val="16"/>
        </w:rPr>
      </w:pPr>
      <w:bookmarkStart w:id="155" w:name="bookmark795"/>
      <w:r w:rsidRPr="00FB4F67">
        <w:rPr>
          <w:rFonts w:ascii="Times New Roman" w:hAnsi="Times New Roman" w:cs="Times New Roman"/>
          <w:color w:val="0070C0"/>
          <w:sz w:val="16"/>
          <w:szCs w:val="16"/>
        </w:rPr>
        <w:t>Для ведения стратегической разведки и разрушения пунктов (объектов) глубокого тыла противника в районе г. Бучача были задействованы 1-й и 3-й боевые отряды ЭВК «Илья Муромец». Таким образом, на двух наиболее важных участках 7-й армии (общей протяженностью около 25-30 км) была сконцентрирована вся авиация армии, включая и отряды Эскадры. Наибольшая плотность воздушных сил противника отмечалась в тот период на Ковельском и Сакальском направлениях, а также в Южной Галиции между Бжежанами и Днестром (8 авиаотрядов и рот - 52 самолета: 1 аппарат на 1,4 км линии фронта), где австро-германское командование стремилось обеспечить господство своей авиации в воздухе.</w:t>
      </w:r>
      <w:bookmarkEnd w:id="155"/>
    </w:p>
    <w:p w14:paraId="59CB2F0C" w14:textId="77777777" w:rsidR="00946AE8" w:rsidRPr="00FB4F67" w:rsidRDefault="00946AE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полосе 4-й армии Румынского фронта авиаотряды (27-й корпусной, 4-й артиллерийский и 4-й истребительный) были сведены в одну группу, усилены двумя самолетами управления 4-го авиадивизиона (АД) и приданы 8-му армейскому корпусу, которому предстояло наступать в полосе фронта. В состав корпуса также была включена франко-румынская эскадрилья, действовавшая обособленно от русского 4-го АД.</w:t>
      </w:r>
    </w:p>
    <w:p w14:paraId="62D8B72C" w14:textId="77777777" w:rsidR="00946AE8" w:rsidRPr="00FB4F67" w:rsidRDefault="00946AE8" w:rsidP="0083075A">
      <w:pPr>
        <w:spacing w:after="0" w:line="240" w:lineRule="auto"/>
        <w:jc w:val="both"/>
        <w:rPr>
          <w:rFonts w:ascii="Times New Roman" w:hAnsi="Times New Roman" w:cs="Times New Roman"/>
          <w:color w:val="0070C0"/>
          <w:sz w:val="16"/>
          <w:szCs w:val="16"/>
        </w:rPr>
      </w:pPr>
      <w:bookmarkStart w:id="156" w:name="bookmark796"/>
      <w:r w:rsidRPr="00FB4F67">
        <w:rPr>
          <w:rFonts w:ascii="Times New Roman" w:hAnsi="Times New Roman" w:cs="Times New Roman"/>
          <w:color w:val="0070C0"/>
          <w:sz w:val="16"/>
          <w:szCs w:val="16"/>
        </w:rPr>
        <w:t>На активном участке 6-й армии создана «Временная ударная группа» (ВУГ) (6-й и 36-й корпусной и 10-й истребительный АО; штабс-капитан М.Л. Каплин), усиленная самолетами из числа других авиационных отрядов и франко-румынской эскадрильи. Для повышения эффективности несколько машин оборудовались техническими новинками - радиостанциями. До начала наступления ВУГ осуществила детальную воздушную разведку и аэрофотосьемку полосы прорыва, обнаружила ведение инженерных работ по укреплению позиций противника в направлениях Быстрицы и Кедзи- Варгель.</w:t>
      </w:r>
      <w:bookmarkEnd w:id="156"/>
    </w:p>
    <w:p w14:paraId="2EF80EB1" w14:textId="77777777" w:rsidR="00946AE8" w:rsidRPr="00FB4F67" w:rsidRDefault="00946AE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Командование авиагруппами обеих армий осуществлялось старшими командирами отрядов, а общее руководство находилось в руках командира 4-го АД. При этом авиаотряды 9-й армии оставались при соответствующих корпусах (23405).</w:t>
      </w:r>
    </w:p>
    <w:p w14:paraId="7D5871DE" w14:textId="77777777" w:rsidR="00946AE8" w:rsidRPr="00FB4F67" w:rsidRDefault="00946AE8" w:rsidP="0083075A">
      <w:pPr>
        <w:spacing w:after="0" w:line="240" w:lineRule="auto"/>
        <w:jc w:val="both"/>
        <w:rPr>
          <w:rFonts w:ascii="Times New Roman" w:hAnsi="Times New Roman" w:cs="Times New Roman"/>
          <w:color w:val="0070C0"/>
          <w:sz w:val="16"/>
          <w:szCs w:val="16"/>
        </w:rPr>
      </w:pPr>
    </w:p>
    <w:p w14:paraId="45153C1F" w14:textId="4A973576" w:rsidR="00946AE8" w:rsidRPr="00FB4F67" w:rsidRDefault="00946AE8"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14 (</w:t>
      </w:r>
      <w:r w:rsidRPr="00FB4F67">
        <w:rPr>
          <w:rFonts w:ascii="Times New Roman" w:hAnsi="Times New Roman" w:cs="Times New Roman"/>
          <w:color w:val="0070C0"/>
          <w:sz w:val="16"/>
          <w:szCs w:val="16"/>
        </w:rPr>
        <w:t>27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1917 г. германская морская авиация вновь предприняла попытку атаковать наши военные объекты на о. Эзель. Огнем береговой и корабельной артиллерии налет был успешно отражен (23405).</w:t>
      </w:r>
    </w:p>
    <w:p w14:paraId="5AB04F72" w14:textId="77777777" w:rsidR="00946AE8" w:rsidRPr="00FB4F67" w:rsidRDefault="00946AE8" w:rsidP="0083075A">
      <w:pPr>
        <w:spacing w:after="0" w:line="240" w:lineRule="auto"/>
        <w:jc w:val="both"/>
        <w:rPr>
          <w:rFonts w:ascii="Times New Roman" w:hAnsi="Times New Roman" w:cs="Times New Roman"/>
          <w:color w:val="0070C0"/>
          <w:sz w:val="16"/>
          <w:szCs w:val="16"/>
        </w:rPr>
      </w:pPr>
    </w:p>
    <w:p w14:paraId="34AB6A92" w14:textId="77777777" w:rsidR="00657464"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F2443FF" w14:textId="77777777" w:rsidR="00657464" w:rsidRPr="002F2FDF" w:rsidRDefault="0065746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516920" w14:textId="77777777" w:rsidR="00657464" w:rsidRPr="002F2FDF" w:rsidRDefault="00657464" w:rsidP="0083075A">
      <w:pPr>
        <w:pStyle w:val="ae"/>
        <w:spacing w:before="0" w:after="0"/>
        <w:jc w:val="both"/>
        <w:rPr>
          <w:color w:val="000000" w:themeColor="text1"/>
          <w:kern w:val="2"/>
          <w:sz w:val="16"/>
          <w:szCs w:val="16"/>
        </w:rPr>
      </w:pPr>
      <w:r w:rsidRPr="002F2FDF">
        <w:rPr>
          <w:color w:val="000000" w:themeColor="text1"/>
          <w:kern w:val="2"/>
          <w:sz w:val="16"/>
          <w:szCs w:val="16"/>
        </w:rPr>
        <w:t>14 (27) июня 1917 газета «Правда» опубликовала ответ партии большевиков на принятое неделей ранее решение Совета рабочих и солдатских депутатов о запрете вооруженных манифестаций без санкции Совета. Поводом для принятия этого решения стала попытка большевиков организовать в Петрограде вооруженную демонстрацию, а фактически военный переворот, используя лозунги Петросовета. Ответ был таким: «Мы считаем необходимым заявить, что, входя в Совет и борясь за переход в его руки всей власти, мы ни на минуту не отказывались в пользу принципиально враждебного нам большинства Совета от права самостоятельно и независимо пользоваться всеми свободами для мобилизации рабочих масс под знаменем нашей классовой пролетарской партии. Мы категорически отказываемся налагать на себя такие антидемократические ограничения и впредь. Если бы даже государственная власть целиком перешла в руки Совета, — а мы за это стоим, — и Совет попытался бы наложить оковы на нашу агитацию, это могло бы заставить нас не пассивно подчиниться, а пойти навстречу тюремным и иным карам во имя идей интернационального социализма, которые нас отделяют от вас». Как отметил историк Ричард Пайпс, «это было настоящее объявление войны Совету» (17045).</w:t>
      </w:r>
    </w:p>
    <w:p w14:paraId="573AC225" w14:textId="77777777" w:rsidR="00657464" w:rsidRPr="002F2FDF" w:rsidRDefault="0065746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36F743" w14:textId="77777777" w:rsidR="006E2BB0"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4BB87572" w14:textId="77777777" w:rsidR="006E2BB0" w:rsidRPr="002F2FDF" w:rsidRDefault="006E2BB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7E616A" w14:textId="77777777"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14 (27) июня 1917 г</w:t>
      </w:r>
      <w:r w:rsidRPr="002F2FDF">
        <w:rPr>
          <w:rFonts w:ascii="Times New Roman" w:hAnsi="Times New Roman" w:cs="Times New Roman"/>
          <w:bCs/>
          <w:color w:val="000000" w:themeColor="text1"/>
          <w:kern w:val="2"/>
          <w:sz w:val="16"/>
          <w:szCs w:val="16"/>
        </w:rPr>
        <w:t xml:space="preserve">. </w:t>
      </w:r>
      <w:r w:rsidRPr="002F2FDF">
        <w:rPr>
          <w:rFonts w:ascii="Times New Roman" w:hAnsi="Times New Roman" w:cs="Times New Roman"/>
          <w:color w:val="000000" w:themeColor="text1"/>
          <w:kern w:val="2"/>
          <w:sz w:val="16"/>
          <w:szCs w:val="16"/>
        </w:rPr>
        <w:t>Телеграмма К. Д. Набокова Министерству иностранных дел об отказе английского правительства предоставить Временному правительству аванс в 20 млн иен для оплаты размещенных в Японии русских военных заказов.</w:t>
      </w:r>
    </w:p>
    <w:p w14:paraId="516C18E4" w14:textId="2E6D7FA3"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5540-541</w:t>
      </w:r>
    </w:p>
    <w:p w14:paraId="3B03C68F" w14:textId="07BABC7C"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Канцелярии, д. 3, т. 2, лл. 353—354. Копия.</w:t>
      </w:r>
    </w:p>
    <w:p w14:paraId="1AE52CB9" w14:textId="77777777" w:rsidR="006E2BB0" w:rsidRPr="002F2FDF" w:rsidRDefault="006E2BB0" w:rsidP="0083075A">
      <w:pPr>
        <w:pStyle w:val="rtejustify"/>
        <w:spacing w:before="0" w:after="0"/>
        <w:rPr>
          <w:color w:val="000000" w:themeColor="text1"/>
          <w:kern w:val="2"/>
          <w:sz w:val="16"/>
          <w:szCs w:val="16"/>
        </w:rPr>
      </w:pPr>
      <w:r w:rsidRPr="002F2FDF">
        <w:rPr>
          <w:color w:val="000000" w:themeColor="text1"/>
          <w:kern w:val="2"/>
          <w:sz w:val="16"/>
          <w:szCs w:val="16"/>
        </w:rPr>
        <w:t>По вопросу об авансировании нам английским казначейством 20 млн иен для расплаты по помещенным в Японии русским военным заказам здешнее Министерство иностранных дел уведомляет, что предложение наше эыло подвергнуто тщательному обсуждению правительства совместно с лондонским биржевым комитетом в целях выяснения, представляется ли возможным снабдить нас в кратчайший по возможности срок столь значительной суммой в иностранной валюте. Ныне, согласно заключению здешнего Биржевого комитета, благоприятное для нас разрешение возбужденного вопроса признано неосуществимым. К сему английское правительство считает нужным добавить, что в настоящую минуту оно не располагает никакими свободными суммами в Японии и что оно, равно как и русское правительство, могло бы рассчитывать на получение таковых лишь путем новых переговоров с Японией. Ведение таких переговоров потребует, конечно, времени и во всяком случае явилось бы серьезной помехой к осуществлению планов Англии воспользоваться финансовой помощью Японии для своих собственных неотложных нужд.</w:t>
      </w:r>
    </w:p>
    <w:p w14:paraId="64F187B3" w14:textId="77777777" w:rsidR="006E2BB0" w:rsidRPr="002F2FDF" w:rsidRDefault="006E2BB0" w:rsidP="0083075A">
      <w:pPr>
        <w:pStyle w:val="rtejustify"/>
        <w:spacing w:before="0" w:after="0"/>
        <w:rPr>
          <w:color w:val="000000" w:themeColor="text1"/>
          <w:kern w:val="2"/>
          <w:sz w:val="16"/>
          <w:szCs w:val="16"/>
        </w:rPr>
      </w:pPr>
      <w:r w:rsidRPr="002F2FDF">
        <w:rPr>
          <w:color w:val="000000" w:themeColor="text1"/>
          <w:kern w:val="2"/>
          <w:sz w:val="16"/>
          <w:szCs w:val="16"/>
        </w:rPr>
        <w:t>Помимо сего, английское правительство полагает, что всякое помещение нами новых заказов в Япойии ныне не оправдывалось бы соображениями целесообразности, ибо грузы, уже сосредоточенные во Владивостоке, образовали такие залежи, что для перевозки их во внутрь России потребуется около 2 лет, принимая за норму нынешнюю среднюю провозоспособность наших железных дорог.</w:t>
      </w:r>
    </w:p>
    <w:p w14:paraId="20EFDDB5" w14:textId="77777777" w:rsidR="006E2BB0" w:rsidRPr="002F2FDF" w:rsidRDefault="006E2BB0" w:rsidP="0083075A">
      <w:pPr>
        <w:pStyle w:val="rtejustify"/>
        <w:spacing w:before="0" w:after="0"/>
        <w:rPr>
          <w:color w:val="000000" w:themeColor="text1"/>
          <w:kern w:val="2"/>
          <w:sz w:val="16"/>
          <w:szCs w:val="16"/>
        </w:rPr>
      </w:pPr>
      <w:r w:rsidRPr="002F2FDF">
        <w:rPr>
          <w:color w:val="000000" w:themeColor="text1"/>
          <w:kern w:val="2"/>
          <w:sz w:val="16"/>
          <w:szCs w:val="16"/>
        </w:rPr>
        <w:t>Поскольку же речь идет об уплатах по нашим прежним заказам и покупкам, то, предполагая, что таковые совершались если не с одобрения, то во всяком случае с ведома японского правительства, английское правительство считает, что на японское правительство ляжет доля ответственности за могущие произойти с нашей стороны задержки в платежах, вызываемые медленностью Японии в открытии российскому правительству новых кредитов.</w:t>
      </w:r>
    </w:p>
    <w:p w14:paraId="2D193003" w14:textId="77777777" w:rsidR="006E2BB0" w:rsidRPr="002F2FDF" w:rsidRDefault="006E2BB0" w:rsidP="0083075A">
      <w:pPr>
        <w:pStyle w:val="rtejustify"/>
        <w:spacing w:before="0" w:after="0"/>
        <w:rPr>
          <w:color w:val="000000" w:themeColor="text1"/>
          <w:kern w:val="2"/>
          <w:sz w:val="16"/>
          <w:szCs w:val="16"/>
        </w:rPr>
      </w:pPr>
      <w:r w:rsidRPr="002F2FDF">
        <w:rPr>
          <w:color w:val="000000" w:themeColor="text1"/>
          <w:kern w:val="2"/>
          <w:sz w:val="16"/>
          <w:szCs w:val="16"/>
        </w:rPr>
        <w:t>Прося меня привлечь внимание ваше на вышеизложенные соображения, Министерство иностранных дел в то же время заверяет меня, что английское правительство вполне отдает себе отчет, насколько тяжело в данном случае положение российского правительства, и что оно с радостью исполнило бы нашу просьбу, будь это в его силах. Английское правительство, однако, отмечает, что ответственность за оборот, который приняло это дело, падает не столько на него, сколько на японское правительство.</w:t>
      </w:r>
    </w:p>
    <w:p w14:paraId="3A53B2F7" w14:textId="77777777" w:rsidR="006E2BB0" w:rsidRPr="002F2FDF" w:rsidRDefault="006E2BB0"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Набоков (15182).</w:t>
      </w:r>
    </w:p>
    <w:p w14:paraId="38057955" w14:textId="77777777" w:rsidR="006E2BB0" w:rsidRPr="002F2FDF" w:rsidRDefault="006E2BB0"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450C9648" w14:textId="77777777" w:rsidR="0028644D"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EEE3149" w14:textId="77777777" w:rsidR="0028644D" w:rsidRPr="002F2FDF" w:rsidRDefault="0028644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E56AED"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14 (27) июня</w:t>
      </w:r>
      <w:r w:rsidRPr="002F2FDF">
        <w:rPr>
          <w:rFonts w:ascii="Times New Roman" w:hAnsi="Times New Roman" w:cs="Times New Roman"/>
          <w:color w:val="000000" w:themeColor="text1"/>
          <w:kern w:val="2"/>
          <w:sz w:val="16"/>
          <w:szCs w:val="16"/>
        </w:rPr>
        <w:t xml:space="preserve"> в 1917 году первый контингент Американского экспедиционного корпуса под командованием генерала Першинга прибыл во Францию (14935).</w:t>
      </w:r>
    </w:p>
    <w:p w14:paraId="1643E2C9"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p>
    <w:p w14:paraId="42560DF7" w14:textId="77777777" w:rsidR="00E12803" w:rsidRPr="002F2FDF" w:rsidRDefault="00E1280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14 (27) июня 1917 немецкий ас лейтенант Карл Альменредер сбит и погиб. Его 30 побед свяжут его с пятью другими пилотами в качестве 28-го по результативности немецкого аса Первой мировой войны (20341).</w:t>
      </w:r>
    </w:p>
    <w:p w14:paraId="7A629B96" w14:textId="77777777" w:rsidR="00E12803" w:rsidRPr="002F2FDF" w:rsidRDefault="00E12803" w:rsidP="0083075A">
      <w:pPr>
        <w:spacing w:after="0" w:line="240" w:lineRule="auto"/>
        <w:jc w:val="both"/>
        <w:rPr>
          <w:rFonts w:ascii="Times New Roman" w:hAnsi="Times New Roman" w:cs="Times New Roman"/>
          <w:color w:val="000000" w:themeColor="text1"/>
          <w:sz w:val="16"/>
          <w:szCs w:val="16"/>
        </w:rPr>
      </w:pPr>
    </w:p>
    <w:p w14:paraId="456006F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FF748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9802F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июня 1917 г. МГШ просил Управление воздушного флота (ведавшее сухопутной ави</w:t>
      </w:r>
      <w:r w:rsidRPr="002F2FDF">
        <w:rPr>
          <w:rFonts w:ascii="Times New Roman" w:hAnsi="Times New Roman" w:cs="Times New Roman"/>
          <w:color w:val="000000" w:themeColor="text1"/>
          <w:kern w:val="2"/>
          <w:sz w:val="16"/>
          <w:szCs w:val="16"/>
        </w:rPr>
        <w:softHyphen/>
        <w:t>ацией) о передаче трех находившихся в работе у Лебедева "Альбатросов" с мотором "Фиат" и 15 аппаратов "Лебедь 12" с "Сальмсонами" 150 л.с. Просьбу в отношении первых удов</w:t>
      </w:r>
      <w:r w:rsidRPr="002F2FDF">
        <w:rPr>
          <w:rFonts w:ascii="Times New Roman" w:hAnsi="Times New Roman" w:cs="Times New Roman"/>
          <w:color w:val="000000" w:themeColor="text1"/>
          <w:kern w:val="2"/>
          <w:sz w:val="16"/>
          <w:szCs w:val="16"/>
        </w:rPr>
        <w:softHyphen/>
        <w:t>летворили и аэропланы "Альбатрос" тип А.8 были доставлены в Школу воздушного боя в Красном селе в июле того же года. Они использовались там, но подробности их службы неизвестны.</w:t>
      </w:r>
    </w:p>
    <w:p w14:paraId="0EB7A9A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Будучи копией или развитием одной из немецких конструкций, "Альбатрос" тип А.8 не обладал выдающимися особенностями и лишь его необычный мотор заслуживает отдельного упоминания. Как следует из предыдущего абзаца, никакого контракта на поставку этих ма</w:t>
      </w:r>
      <w:r w:rsidRPr="002F2FDF">
        <w:rPr>
          <w:rFonts w:ascii="Times New Roman" w:hAnsi="Times New Roman" w:cs="Times New Roman"/>
          <w:color w:val="000000" w:themeColor="text1"/>
          <w:kern w:val="2"/>
          <w:sz w:val="16"/>
          <w:szCs w:val="16"/>
        </w:rPr>
        <w:softHyphen/>
        <w:t>шин с заводом В.А. Лебедева не заключалось. По Шаврову, модель испытывалась компанией в конце 1916 — начале 1917 гг. и была изготовлена только в трех экземплярах. Если так, то все они и достались флоту (2843).</w:t>
      </w:r>
    </w:p>
    <w:p w14:paraId="36F474A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2B6C8D" w14:textId="77777777" w:rsidR="003431D2" w:rsidRPr="002F2FDF" w:rsidRDefault="00CC1BE3"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BF0472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E736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15 </w:t>
      </w:r>
      <w:r w:rsidR="00BA5C59" w:rsidRPr="002F2FDF">
        <w:rPr>
          <w:rFonts w:ascii="Times New Roman" w:hAnsi="Times New Roman" w:cs="Times New Roman"/>
          <w:color w:val="000000" w:themeColor="text1"/>
          <w:kern w:val="2"/>
          <w:sz w:val="16"/>
          <w:szCs w:val="16"/>
        </w:rPr>
        <w:t xml:space="preserve">(28) </w:t>
      </w:r>
      <w:r w:rsidRPr="002F2FDF">
        <w:rPr>
          <w:rFonts w:ascii="Times New Roman" w:hAnsi="Times New Roman" w:cs="Times New Roman"/>
          <w:color w:val="000000" w:themeColor="text1"/>
          <w:kern w:val="2"/>
          <w:sz w:val="16"/>
          <w:szCs w:val="16"/>
        </w:rPr>
        <w:t>июня 1917 г. Линкор “Император Александр III ” вступил в строй. Июнь-ноябрь 1917 г. Участие линкора “Император Александр III ” в Первой мировой войне. В ноябре 1917 г. он выходил на перехват германского крейсера “Бреслау” (11454).</w:t>
      </w:r>
    </w:p>
    <w:p w14:paraId="302986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2A2A8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0AD93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F0DF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июня 1917 г. восемь “Фоккеров” напали на “Муромец”, которым командовал опытный летчик А. Н. Шаров. В воздушном бою были ранены командир, второй пилот А. Ю. Лутц, артиллерийский офицер и пулеметчик, но они сумели отбиться от “Фоккеров” и посадить самолет на свой аэродром (9705).</w:t>
      </w:r>
    </w:p>
    <w:p w14:paraId="5CC2CA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CCDC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июня 1917 всего в 79 русских отрядах (было еще 2 французских, один английский, 3 франко-румынских в ЮЗФ и РФ) было 419 летчиков вместо 712, положенных по штату, и 504 самолета, в т.ч. 340 исправных. В 6 иностранных было 48 летчиков и 50 самолетов (438,361).</w:t>
      </w:r>
    </w:p>
    <w:p w14:paraId="4927E4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6371B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июня 1917 к началу летних операций фронтовая авиация состояла из 85 сухопутных авиаотрядов, включая 2 французских, 1 английский и 3 франко-румынских, находившихся в распоря</w:t>
      </w:r>
      <w:r w:rsidRPr="002F2FDF">
        <w:rPr>
          <w:rFonts w:ascii="Times New Roman" w:hAnsi="Times New Roman" w:cs="Times New Roman"/>
          <w:color w:val="000000" w:themeColor="text1"/>
          <w:kern w:val="2"/>
          <w:sz w:val="16"/>
          <w:szCs w:val="16"/>
        </w:rPr>
        <w:softHyphen/>
        <w:t>жении Юго-Запэдного и Румынского фронтог. Во всех русских отрядах насчитывалось 419 летчиков вместо 712, положенных по штату, и 504 самолета, из них испрагных было 340. В ино</w:t>
      </w:r>
      <w:r w:rsidRPr="002F2FDF">
        <w:rPr>
          <w:rFonts w:ascii="Times New Roman" w:hAnsi="Times New Roman" w:cs="Times New Roman"/>
          <w:color w:val="000000" w:themeColor="text1"/>
          <w:kern w:val="2"/>
          <w:sz w:val="16"/>
          <w:szCs w:val="16"/>
        </w:rPr>
        <w:softHyphen/>
        <w:t>странных отрядах числилось 48 летчиков и 50 самолетов новых систем (По материалам А.В.Шиукова).</w:t>
      </w:r>
    </w:p>
    <w:p w14:paraId="740DD0B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C3D542" w14:textId="77777777" w:rsidR="003150CD" w:rsidRDefault="003150CD"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15 </w:t>
      </w:r>
      <w:r>
        <w:rPr>
          <w:rFonts w:ascii="Times New Roman" w:hAnsi="Times New Roman" w:cs="Times New Roman"/>
          <w:color w:val="0070C0"/>
          <w:sz w:val="16"/>
          <w:szCs w:val="16"/>
        </w:rPr>
        <w:t xml:space="preserve">(28) </w:t>
      </w:r>
      <w:r w:rsidRPr="00815ED5">
        <w:rPr>
          <w:rFonts w:ascii="Times New Roman" w:hAnsi="Times New Roman" w:cs="Times New Roman"/>
          <w:color w:val="0070C0"/>
          <w:sz w:val="16"/>
          <w:szCs w:val="16"/>
        </w:rPr>
        <w:t>июня</w:t>
      </w:r>
      <w:r>
        <w:rPr>
          <w:rFonts w:ascii="Times New Roman" w:hAnsi="Times New Roman" w:cs="Times New Roman"/>
          <w:color w:val="0070C0"/>
          <w:sz w:val="16"/>
          <w:szCs w:val="16"/>
        </w:rPr>
        <w:t xml:space="preserve">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к</w:t>
      </w:r>
      <w:r w:rsidRPr="00815ED5">
        <w:rPr>
          <w:rFonts w:ascii="Times New Roman" w:hAnsi="Times New Roman" w:cs="Times New Roman"/>
          <w:color w:val="0070C0"/>
          <w:sz w:val="16"/>
          <w:szCs w:val="16"/>
        </w:rPr>
        <w:t xml:space="preserve"> началу летних операций фронтовая авиация состояла из 85 сухопутных авиаотрядов,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включая 2 Французских, </w:t>
      </w:r>
      <w:r>
        <w:rPr>
          <w:rFonts w:ascii="Times New Roman" w:hAnsi="Times New Roman" w:cs="Times New Roman"/>
          <w:color w:val="0070C0"/>
          <w:sz w:val="16"/>
          <w:szCs w:val="16"/>
        </w:rPr>
        <w:t xml:space="preserve">1 </w:t>
      </w:r>
      <w:r w:rsidRPr="00815ED5">
        <w:rPr>
          <w:rFonts w:ascii="Times New Roman" w:hAnsi="Times New Roman" w:cs="Times New Roman"/>
          <w:color w:val="0070C0"/>
          <w:sz w:val="16"/>
          <w:szCs w:val="16"/>
        </w:rPr>
        <w:t xml:space="preserve">английский и </w:t>
      </w:r>
      <w:r>
        <w:rPr>
          <w:rFonts w:ascii="Times New Roman" w:hAnsi="Times New Roman" w:cs="Times New Roman"/>
          <w:color w:val="0070C0"/>
          <w:sz w:val="16"/>
          <w:szCs w:val="16"/>
        </w:rPr>
        <w:t>3</w:t>
      </w:r>
      <w:r w:rsidRPr="00815ED5">
        <w:rPr>
          <w:rFonts w:ascii="Times New Roman" w:hAnsi="Times New Roman" w:cs="Times New Roman"/>
          <w:color w:val="0070C0"/>
          <w:sz w:val="16"/>
          <w:szCs w:val="16"/>
        </w:rPr>
        <w:t xml:space="preserve"> Франко-румынских, находившихся в распоряжении юго-западного и Румын</w:t>
      </w:r>
      <w:r w:rsidRPr="00815ED5">
        <w:rPr>
          <w:rFonts w:ascii="Times New Roman" w:hAnsi="Times New Roman" w:cs="Times New Roman"/>
          <w:color w:val="0070C0"/>
          <w:sz w:val="16"/>
          <w:szCs w:val="16"/>
        </w:rPr>
        <w:softHyphen/>
        <w:t>ского фронтов.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Во всех русских отрядах насчитывалось 419 летчиков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вместо </w:t>
      </w:r>
      <w:r>
        <w:rPr>
          <w:rFonts w:ascii="Times New Roman" w:hAnsi="Times New Roman" w:cs="Times New Roman"/>
          <w:color w:val="0070C0"/>
          <w:sz w:val="16"/>
          <w:szCs w:val="16"/>
        </w:rPr>
        <w:t>712</w:t>
      </w:r>
      <w:r w:rsidRPr="00815ED5">
        <w:rPr>
          <w:rFonts w:ascii="Times New Roman" w:hAnsi="Times New Roman" w:cs="Times New Roman"/>
          <w:color w:val="0070C0"/>
          <w:sz w:val="16"/>
          <w:szCs w:val="16"/>
        </w:rPr>
        <w:t>, положенных по штату,</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и 504 самолета,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из коих исправных было 340.</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 иностранных отрядах числилось 48 летчиков и 50 самоле</w:t>
      </w:r>
      <w:r w:rsidRPr="00815ED5">
        <w:rPr>
          <w:rFonts w:ascii="Times New Roman" w:hAnsi="Times New Roman" w:cs="Times New Roman"/>
          <w:color w:val="0070C0"/>
          <w:sz w:val="16"/>
          <w:szCs w:val="16"/>
        </w:rPr>
        <w:softHyphen/>
        <w:t>тов нов</w:t>
      </w:r>
      <w:r>
        <w:rPr>
          <w:rFonts w:ascii="Times New Roman" w:hAnsi="Times New Roman" w:cs="Times New Roman"/>
          <w:color w:val="0070C0"/>
          <w:sz w:val="16"/>
          <w:szCs w:val="16"/>
        </w:rPr>
        <w:t>вых</w:t>
      </w:r>
      <w:r w:rsidRPr="00815ED5">
        <w:rPr>
          <w:rFonts w:ascii="Times New Roman" w:hAnsi="Times New Roman" w:cs="Times New Roman"/>
          <w:color w:val="0070C0"/>
          <w:sz w:val="16"/>
          <w:szCs w:val="16"/>
        </w:rPr>
        <w:t xml:space="preserve"> систем.</w:t>
      </w:r>
    </w:p>
    <w:p w14:paraId="70D90616" w14:textId="601D2D9A" w:rsidR="003150CD" w:rsidRDefault="003150CD"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/Цо. материалам А.В.</w:t>
      </w:r>
      <w:r>
        <w:rPr>
          <w:rFonts w:ascii="Times New Roman" w:hAnsi="Times New Roman" w:cs="Times New Roman"/>
          <w:color w:val="0070C0"/>
          <w:sz w:val="16"/>
          <w:szCs w:val="16"/>
        </w:rPr>
        <w:t>Ши</w:t>
      </w:r>
      <w:r w:rsidRPr="00815ED5">
        <w:rPr>
          <w:rFonts w:ascii="Times New Roman" w:hAnsi="Times New Roman" w:cs="Times New Roman"/>
          <w:color w:val="0070C0"/>
          <w:sz w:val="16"/>
          <w:szCs w:val="16"/>
        </w:rPr>
        <w:t>укова/</w:t>
      </w:r>
      <w:r>
        <w:rPr>
          <w:rFonts w:ascii="Times New Roman" w:hAnsi="Times New Roman" w:cs="Times New Roman"/>
          <w:color w:val="0070C0"/>
          <w:sz w:val="16"/>
          <w:szCs w:val="16"/>
        </w:rPr>
        <w:t xml:space="preserve"> (23320).</w:t>
      </w:r>
    </w:p>
    <w:p w14:paraId="50CB7446" w14:textId="77777777" w:rsidR="003150CD" w:rsidRPr="00815ED5" w:rsidRDefault="003150CD" w:rsidP="0083075A">
      <w:pPr>
        <w:spacing w:after="0" w:line="240" w:lineRule="auto"/>
        <w:jc w:val="both"/>
        <w:rPr>
          <w:rFonts w:ascii="Times New Roman" w:hAnsi="Times New Roman" w:cs="Times New Roman"/>
          <w:color w:val="0070C0"/>
          <w:sz w:val="16"/>
          <w:szCs w:val="16"/>
        </w:rPr>
      </w:pPr>
    </w:p>
    <w:p w14:paraId="35F355DB" w14:textId="51A3220E" w:rsidR="00E70609" w:rsidRPr="00FB4F67" w:rsidRDefault="00E70609"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15 (</w:t>
      </w:r>
      <w:r w:rsidRPr="00FB4F67">
        <w:rPr>
          <w:rFonts w:ascii="Times New Roman" w:hAnsi="Times New Roman" w:cs="Times New Roman"/>
          <w:color w:val="0070C0"/>
          <w:sz w:val="16"/>
          <w:szCs w:val="16"/>
        </w:rPr>
        <w:t>28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1917 г. шесть неприятельских аэропланов безуспешно бомбардировали город Текучиу (Румыния). Одновременно противник проводил интенсивную воздушную разведку </w:t>
      </w:r>
      <w:bookmarkStart w:id="157" w:name="bookmark808"/>
      <w:bookmarkStart w:id="158" w:name="bookmark809"/>
      <w:r w:rsidRPr="00FB4F67">
        <w:rPr>
          <w:rFonts w:ascii="Times New Roman" w:hAnsi="Times New Roman" w:cs="Times New Roman"/>
          <w:color w:val="0070C0"/>
          <w:sz w:val="16"/>
          <w:szCs w:val="16"/>
        </w:rPr>
        <w:t>в полосе Северного фронта, «систематически уклоняясь от встречи с нашими аэропланами, не прекращающими ни на минуту своей бдительной охранительной разведочной воздушной службы». Днем ранее противник совершил групповой налет на ст. Козова (сброшено около 20 бомб). В результате бомбардировки было убито и ранено 17 человек (23405).</w:t>
      </w:r>
      <w:bookmarkEnd w:id="157"/>
      <w:bookmarkEnd w:id="158"/>
    </w:p>
    <w:p w14:paraId="5331788A" w14:textId="77777777" w:rsidR="00E70609" w:rsidRPr="00FB4F67" w:rsidRDefault="00E70609" w:rsidP="0083075A">
      <w:pPr>
        <w:spacing w:after="0" w:line="240" w:lineRule="auto"/>
        <w:jc w:val="both"/>
        <w:rPr>
          <w:rFonts w:ascii="Times New Roman" w:hAnsi="Times New Roman" w:cs="Times New Roman"/>
          <w:color w:val="0070C0"/>
          <w:sz w:val="16"/>
          <w:szCs w:val="16"/>
        </w:rPr>
      </w:pPr>
    </w:p>
    <w:p w14:paraId="2BEA3900" w14:textId="0D66A442" w:rsidR="00E70609" w:rsidRPr="00FB4F67" w:rsidRDefault="00E70609" w:rsidP="0083075A">
      <w:pPr>
        <w:spacing w:after="0" w:line="240" w:lineRule="auto"/>
        <w:jc w:val="both"/>
        <w:rPr>
          <w:rFonts w:ascii="Times New Roman" w:hAnsi="Times New Roman" w:cs="Times New Roman"/>
          <w:color w:val="0070C0"/>
          <w:sz w:val="16"/>
          <w:szCs w:val="16"/>
        </w:rPr>
      </w:pPr>
      <w:bookmarkStart w:id="159" w:name="bookmark819"/>
      <w:r>
        <w:rPr>
          <w:rFonts w:ascii="Times New Roman" w:hAnsi="Times New Roman" w:cs="Times New Roman"/>
          <w:color w:val="0070C0"/>
          <w:sz w:val="16"/>
          <w:szCs w:val="16"/>
        </w:rPr>
        <w:t>15 (</w:t>
      </w:r>
      <w:r w:rsidRPr="00FB4F67">
        <w:rPr>
          <w:rFonts w:ascii="Times New Roman" w:hAnsi="Times New Roman" w:cs="Times New Roman"/>
          <w:color w:val="0070C0"/>
          <w:sz w:val="16"/>
          <w:szCs w:val="16"/>
        </w:rPr>
        <w:t>28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1917 г. противник подверг воздушной бомбардировке г. Венден (Цесис). С борта цеппелина на него было сброшено 12 бомб (23405).</w:t>
      </w:r>
      <w:bookmarkEnd w:id="159"/>
    </w:p>
    <w:p w14:paraId="539979EF" w14:textId="77777777" w:rsidR="00E70609" w:rsidRPr="00FB4F67" w:rsidRDefault="00E70609" w:rsidP="0083075A">
      <w:pPr>
        <w:spacing w:after="0" w:line="240" w:lineRule="auto"/>
        <w:jc w:val="both"/>
        <w:rPr>
          <w:rFonts w:ascii="Times New Roman" w:hAnsi="Times New Roman" w:cs="Times New Roman"/>
          <w:color w:val="0070C0"/>
          <w:sz w:val="16"/>
          <w:szCs w:val="16"/>
        </w:rPr>
      </w:pPr>
    </w:p>
    <w:p w14:paraId="510D03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июня 1917 МГШ просил Управление воздушного флота о передаче трех, находящихся в работе Альбатросов типа А.8 В.А.Лебедева с Фиат и 15 Лебедь 12 с Сальмсоном 150 нр. Известно, что Альбатросы поступили в Школу воздушного боя в Красном селе (2843,54).</w:t>
      </w:r>
    </w:p>
    <w:p w14:paraId="7B5A8A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3064C1" w14:textId="5076D50B" w:rsidR="00E70609" w:rsidRPr="00FB4F67" w:rsidRDefault="00E70609"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15 (</w:t>
      </w:r>
      <w:r w:rsidRPr="00FB4F67">
        <w:rPr>
          <w:rFonts w:ascii="Times New Roman" w:hAnsi="Times New Roman" w:cs="Times New Roman"/>
          <w:color w:val="0070C0"/>
          <w:sz w:val="16"/>
          <w:szCs w:val="16"/>
        </w:rPr>
        <w:t>28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1917 г. на Кавказском фронте российская авиация бомбила и обстреливала турецкий аэродром в Эрзинджане, снова поразив его 1 сентября (23525).</w:t>
      </w:r>
    </w:p>
    <w:p w14:paraId="2A9601D4" w14:textId="77777777" w:rsidR="00E70609" w:rsidRPr="00FB4F67" w:rsidRDefault="00E70609" w:rsidP="0083075A">
      <w:pPr>
        <w:spacing w:after="0" w:line="240" w:lineRule="auto"/>
        <w:jc w:val="both"/>
        <w:rPr>
          <w:rFonts w:ascii="Times New Roman" w:hAnsi="Times New Roman" w:cs="Times New Roman"/>
          <w:color w:val="0070C0"/>
          <w:sz w:val="16"/>
          <w:szCs w:val="16"/>
        </w:rPr>
      </w:pPr>
    </w:p>
    <w:p w14:paraId="57D0E0F4" w14:textId="44FD2A4D" w:rsidR="00E70609" w:rsidRPr="00FB4F67" w:rsidRDefault="00E70609"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15/16 (</w:t>
      </w:r>
      <w:r w:rsidRPr="00FB4F67">
        <w:rPr>
          <w:rFonts w:ascii="Times New Roman" w:hAnsi="Times New Roman" w:cs="Times New Roman"/>
          <w:color w:val="0070C0"/>
          <w:sz w:val="16"/>
          <w:szCs w:val="16"/>
        </w:rPr>
        <w:t>28/29</w:t>
      </w:r>
      <w:r>
        <w:rPr>
          <w:rFonts w:ascii="Times New Roman" w:hAnsi="Times New Roman" w:cs="Times New Roman"/>
          <w:color w:val="0070C0"/>
          <w:sz w:val="16"/>
          <w:szCs w:val="16"/>
        </w:rPr>
        <w:t>_</w:t>
      </w:r>
      <w:r w:rsidRPr="00FB4F67">
        <w:rPr>
          <w:rFonts w:ascii="Times New Roman" w:hAnsi="Times New Roman" w:cs="Times New Roman"/>
          <w:color w:val="0070C0"/>
          <w:sz w:val="16"/>
          <w:szCs w:val="16"/>
        </w:rPr>
        <w:t xml:space="preserve"> июня 1917 г. на Северном фронте немецкий самолет-гигант Staaken R.IV 12/15 бомбардировочной части Rfa.500, базирующейся в Альт-Аузе, нанес бомбовый удар по железнодорожной станции Вольмар, нанеся тяжелые повреждения^ 8 /9 июля 1500-кг бомбами нанесла удар по береговым батареям у Цереля на острове Эзель. Девять дней спустя подразделение было выведено в Добериц под Берлином (23525).</w:t>
      </w:r>
    </w:p>
    <w:p w14:paraId="0352E0AA" w14:textId="77777777" w:rsidR="00E70609" w:rsidRPr="00FB4F67" w:rsidRDefault="00E70609" w:rsidP="0083075A">
      <w:pPr>
        <w:spacing w:after="0" w:line="240" w:lineRule="auto"/>
        <w:jc w:val="both"/>
        <w:rPr>
          <w:rFonts w:ascii="Times New Roman" w:hAnsi="Times New Roman" w:cs="Times New Roman"/>
          <w:color w:val="0070C0"/>
          <w:sz w:val="16"/>
          <w:szCs w:val="16"/>
        </w:rPr>
      </w:pPr>
    </w:p>
    <w:p w14:paraId="5B8FBA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15 (28) июня 1917 года на всех фронтах состояло исправных 152-мм полевых гаубиц 242 (по штату положено 216) (3861).</w:t>
      </w:r>
    </w:p>
    <w:p w14:paraId="33F860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9BD5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15 (28) июня 1917 года на всех фронтах имелось 189 107-мм скорострельных пушек (кроме Кавказского фронта, где 107-мм пушек вообще не было) (3861).</w:t>
      </w:r>
    </w:p>
    <w:p w14:paraId="276B29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17D7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15 (28) июня 1917 года в действующей армии состояло 24 152-мм пушки обр. 1910 г., из них 6 на Западном фронте и 18 на Юго-западном фронте (3861).</w:t>
      </w:r>
    </w:p>
    <w:p w14:paraId="0EB230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F2B5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15 (28) июня 1917 в действующей армии было 8605 исправных 3-х дюймовых полевых пушек (7621 обр. 1902 и 984 обр. 1990) + 500 на складах (9598,459).</w:t>
      </w:r>
    </w:p>
    <w:p w14:paraId="4E35B1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85696F" w14:textId="4CB0C885" w:rsidR="00F55611" w:rsidRPr="00FB4F67" w:rsidRDefault="00F5561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На 15 </w:t>
      </w:r>
      <w:r>
        <w:rPr>
          <w:rFonts w:ascii="Times New Roman" w:hAnsi="Times New Roman" w:cs="Times New Roman"/>
          <w:color w:val="0070C0"/>
          <w:sz w:val="16"/>
          <w:szCs w:val="16"/>
        </w:rPr>
        <w:t xml:space="preserve">(28) </w:t>
      </w:r>
      <w:r w:rsidRPr="00FB4F67">
        <w:rPr>
          <w:rFonts w:ascii="Times New Roman" w:hAnsi="Times New Roman" w:cs="Times New Roman"/>
          <w:color w:val="0070C0"/>
          <w:sz w:val="16"/>
          <w:szCs w:val="16"/>
        </w:rPr>
        <w:t>июня 1917 года в действующей армии имелось 7621 исправная трехдюймовая пушка обр. 1902 г. Кроме того, на тыловых складах находилось не менее 500 таких орудий (23385).</w:t>
      </w:r>
    </w:p>
    <w:p w14:paraId="622AB77D" w14:textId="77777777" w:rsidR="00F55611" w:rsidRPr="00FB4F67" w:rsidRDefault="00F55611" w:rsidP="0083075A">
      <w:pPr>
        <w:spacing w:after="0" w:line="240" w:lineRule="auto"/>
        <w:jc w:val="both"/>
        <w:rPr>
          <w:rFonts w:ascii="Times New Roman" w:hAnsi="Times New Roman" w:cs="Times New Roman"/>
          <w:color w:val="0070C0"/>
          <w:sz w:val="16"/>
          <w:szCs w:val="16"/>
        </w:rPr>
      </w:pPr>
    </w:p>
    <w:p w14:paraId="7CF5928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40308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71BC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июня 1917 было заморожено дальнейшее проведение столыпинской земельной реформы (3186).</w:t>
      </w:r>
    </w:p>
    <w:p w14:paraId="2D4B16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AFF3C2" w14:textId="77777777" w:rsidR="00657464" w:rsidRPr="002F2FDF" w:rsidRDefault="00657464" w:rsidP="0083075A">
      <w:pPr>
        <w:pStyle w:val="ae"/>
        <w:spacing w:before="0" w:after="0"/>
        <w:jc w:val="both"/>
        <w:rPr>
          <w:color w:val="000000" w:themeColor="text1"/>
          <w:kern w:val="2"/>
          <w:sz w:val="16"/>
          <w:szCs w:val="16"/>
        </w:rPr>
      </w:pPr>
      <w:r w:rsidRPr="002F2FDF">
        <w:rPr>
          <w:color w:val="000000" w:themeColor="text1"/>
          <w:kern w:val="2"/>
          <w:sz w:val="16"/>
          <w:szCs w:val="16"/>
        </w:rPr>
        <w:t>15 (28) июня 1917 Украинская Центральная Рада создала правительство украинской автономии — Генеральный Секретариат. Этот орган не был признан Временным правительством, которое 29 июня опубликовало воззвание «Гражданам Украины». Временное правительство не признавало украинской автономии и призывало украинцев сконцентрироваться на развитии городского и земского самоуправления. Интересы же украинского народа должны были быть представлены украинскими представителями во Всероссийском Учредительном собрании. При этом в воззвании Временное правительство исказило суть некоторых требований Рады. Так, в нем утверждалось, что Рада требовала «послать на Украину особого областного комиссара», хотя речь шла о комиссаре, назначенном самими украинцами. Кроме того, в воззвании никак не упоминался выдвинутый Радой тезис об общеукраинском выборном представительстве. Такая позиция Временного правительства была воспринята Радой как неуважение, что укрепило позиции крайних националистов (17045).</w:t>
      </w:r>
    </w:p>
    <w:p w14:paraId="5D272813" w14:textId="77777777" w:rsidR="00657464" w:rsidRPr="002F2FDF" w:rsidRDefault="0065746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394F7F" w14:textId="77777777" w:rsidR="006E2BB0"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2BAB98E0" w14:textId="77777777" w:rsidR="006E2BB0" w:rsidRPr="002F2FDF" w:rsidRDefault="006E2BB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1485C4" w14:textId="77777777"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июня 1917 г. Телеграмма ген. Э. К. Гермониуса ген. А. А. Маниковскому о резком сокращении отпуска кредитов на русские заказы в Англии, о реквизиции станков и о прекращении поставок тяжелой артиллерии в Россию.</w:t>
      </w:r>
    </w:p>
    <w:p w14:paraId="3B5C997A" w14:textId="4A72A30D"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493-494</w:t>
      </w:r>
    </w:p>
    <w:p w14:paraId="6A78BF19" w14:textId="580BFB7D"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ЦГВИА, ф. 2000, оп. 1, д. 6122, л. 243—243 об. Заверенная копия.</w:t>
      </w:r>
    </w:p>
    <w:p w14:paraId="354823DC" w14:textId="77777777" w:rsidR="006E2BB0" w:rsidRPr="002F2FDF" w:rsidRDefault="006E2BB0" w:rsidP="0083075A">
      <w:pPr>
        <w:pStyle w:val="rtejustify"/>
        <w:spacing w:before="0" w:after="0"/>
        <w:rPr>
          <w:color w:val="000000" w:themeColor="text1"/>
          <w:kern w:val="2"/>
          <w:sz w:val="16"/>
          <w:szCs w:val="16"/>
        </w:rPr>
      </w:pPr>
      <w:r w:rsidRPr="002F2FDF">
        <w:rPr>
          <w:color w:val="000000" w:themeColor="text1"/>
          <w:kern w:val="2"/>
          <w:sz w:val="16"/>
          <w:szCs w:val="16"/>
        </w:rPr>
        <w:t xml:space="preserve">Доношу о положении нашего снабжения, о котором можно судить по следующим цифрам: за январь дано кредитов на сумму круглым счетом 12 млн ф., в феврале — 13 млн, в марте и апреле за два месяца — 8.5 млн, за май —1.2 млн, в июне с 1-го по 9-е — 63 тыс. ф., с 9-го по 16-е сумма отнятых кредитов превысила сумму данных кредитов на 58 тыс. ф. ст. Следовательно, в мае кредит уменьшен в 10 раз по сравнению с январем, а в первую неделю июня примерно в 50 раз меньше, нежели за одну </w:t>
      </w:r>
      <w:r w:rsidRPr="002F2FDF">
        <w:rPr>
          <w:color w:val="000000" w:themeColor="text1"/>
          <w:kern w:val="2"/>
          <w:sz w:val="16"/>
          <w:szCs w:val="16"/>
        </w:rPr>
        <w:lastRenderedPageBreak/>
        <w:t>неделю в январе. Для иллюстрации доношу, что на совещании в Лондоне в июле 1916 г.</w:t>
      </w:r>
      <w:hyperlink r:id="rId233" w:anchor="_ftn1" w:history="1">
        <w:r w:rsidRPr="002F2FDF">
          <w:rPr>
            <w:rStyle w:val="a5"/>
            <w:color w:val="000000" w:themeColor="text1"/>
            <w:kern w:val="2"/>
            <w:sz w:val="16"/>
            <w:szCs w:val="16"/>
          </w:rPr>
          <w:t>[1]</w:t>
        </w:r>
      </w:hyperlink>
      <w:r w:rsidRPr="002F2FDF">
        <w:rPr>
          <w:color w:val="000000" w:themeColor="text1"/>
          <w:kern w:val="2"/>
          <w:sz w:val="16"/>
          <w:szCs w:val="16"/>
        </w:rPr>
        <w:t xml:space="preserve"> установлено, что для снабжения нашей армии на заграничных рынках, кроме французского, необходим ежемесячный английский кредит по 25 млн ф.</w:t>
      </w:r>
    </w:p>
    <w:p w14:paraId="2B94797A" w14:textId="77777777" w:rsidR="006E2BB0" w:rsidRPr="002F2FDF" w:rsidRDefault="006E2BB0" w:rsidP="0083075A">
      <w:pPr>
        <w:pStyle w:val="rtejustify"/>
        <w:spacing w:before="0" w:after="0"/>
        <w:rPr>
          <w:color w:val="000000" w:themeColor="text1"/>
          <w:kern w:val="2"/>
          <w:sz w:val="16"/>
          <w:szCs w:val="16"/>
        </w:rPr>
      </w:pPr>
      <w:r w:rsidRPr="002F2FDF">
        <w:rPr>
          <w:color w:val="000000" w:themeColor="text1"/>
          <w:kern w:val="2"/>
          <w:sz w:val="16"/>
          <w:szCs w:val="16"/>
        </w:rPr>
        <w:t>Помимо недостаточного кредитования России для текущих заказов, за последнее время происходит явление, которого вовсе не было в первые два года войны. Это реквизиция станков, уже готовых для отсылки в Россию. Всего реквизировано свыше 80 станков.</w:t>
      </w:r>
    </w:p>
    <w:p w14:paraId="7A050CE4" w14:textId="77777777" w:rsidR="006E2BB0" w:rsidRPr="002F2FDF" w:rsidRDefault="006E2BB0" w:rsidP="0083075A">
      <w:pPr>
        <w:pStyle w:val="rtejustify"/>
        <w:spacing w:before="0" w:after="0"/>
        <w:rPr>
          <w:color w:val="000000" w:themeColor="text1"/>
          <w:kern w:val="2"/>
          <w:sz w:val="16"/>
          <w:szCs w:val="16"/>
        </w:rPr>
      </w:pPr>
      <w:r w:rsidRPr="002F2FDF">
        <w:rPr>
          <w:color w:val="000000" w:themeColor="text1"/>
          <w:kern w:val="2"/>
          <w:sz w:val="16"/>
          <w:szCs w:val="16"/>
        </w:rPr>
        <w:t>О тяжелой артиллерии доношу, что в течение первых двух месяцев навигации не отправлено ни одного орудия из числа обещанных.</w:t>
      </w:r>
    </w:p>
    <w:p w14:paraId="2ECC8349" w14:textId="77777777" w:rsidR="006E2BB0" w:rsidRPr="002F2FDF" w:rsidRDefault="006E2BB0" w:rsidP="0083075A">
      <w:pPr>
        <w:pStyle w:val="ae"/>
        <w:spacing w:before="0" w:after="0"/>
        <w:jc w:val="both"/>
        <w:rPr>
          <w:color w:val="000000" w:themeColor="text1"/>
          <w:kern w:val="2"/>
          <w:sz w:val="16"/>
          <w:szCs w:val="16"/>
        </w:rPr>
      </w:pPr>
      <w:r w:rsidRPr="002F2FDF">
        <w:rPr>
          <w:color w:val="000000" w:themeColor="text1"/>
          <w:kern w:val="2"/>
          <w:sz w:val="16"/>
          <w:szCs w:val="16"/>
        </w:rPr>
        <w:t>По указанным вопросам надеюсь в ближайшие дни сделать личный доклад Ллойд Джорджу и лорду Мильнеру. № 10693.</w:t>
      </w:r>
    </w:p>
    <w:p w14:paraId="76D5561E" w14:textId="77777777" w:rsidR="006E2BB0" w:rsidRPr="002F2FDF" w:rsidRDefault="006E2BB0"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Гермониус.</w:t>
      </w:r>
    </w:p>
    <w:p w14:paraId="7155AB7D" w14:textId="77777777" w:rsidR="006E2BB0" w:rsidRPr="002F2FDF" w:rsidRDefault="00000000" w:rsidP="0083075A">
      <w:pPr>
        <w:pStyle w:val="rtejustify"/>
        <w:spacing w:before="0" w:after="0"/>
        <w:rPr>
          <w:color w:val="000000" w:themeColor="text1"/>
          <w:kern w:val="2"/>
          <w:sz w:val="16"/>
          <w:szCs w:val="16"/>
        </w:rPr>
      </w:pPr>
      <w:hyperlink r:id="rId234" w:anchor="_ftnref1" w:history="1">
        <w:r w:rsidR="006E2BB0" w:rsidRPr="002F2FDF">
          <w:rPr>
            <w:rStyle w:val="a5"/>
            <w:color w:val="000000" w:themeColor="text1"/>
            <w:kern w:val="2"/>
            <w:sz w:val="16"/>
            <w:szCs w:val="16"/>
          </w:rPr>
          <w:t>[1]</w:t>
        </w:r>
      </w:hyperlink>
      <w:r w:rsidR="006E2BB0" w:rsidRPr="002F2FDF">
        <w:rPr>
          <w:color w:val="000000" w:themeColor="text1"/>
          <w:kern w:val="2"/>
          <w:sz w:val="16"/>
          <w:szCs w:val="16"/>
        </w:rPr>
        <w:t xml:space="preserve"> В июле 1916 г. велись переговоры между британским канцлером казначейства, русским министром финансов и начальником Генерального штаба ген. Беляевым, которые закончились выработкой проекта дополнительного финансового соглашения к соглашению от 30 сентября 1915 г. Эти финансовые переговоры послужили основой для русско-английского финансового соглашения 26 октября н. ст. 1916 г. Англия брала на себя обязательство открыть царскому правительству с октября 1916 г. по март 1917 г. включительно ежемесячный кредит в 25 млн. ф. ст. на условиях сентябрьского соглашения 1915 г. Кредит предназначался для оплаты заказов, размещаемых русским правительством в Британской империи, США и Италии. Взамен царское правительство обещало выслать Англии золота на 20 млн. ф. ст. (15156).</w:t>
      </w:r>
    </w:p>
    <w:p w14:paraId="7EA0DE81" w14:textId="77777777" w:rsidR="006E2BB0" w:rsidRPr="002F2FDF" w:rsidRDefault="006E2BB0"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7C85040E" w14:textId="77777777" w:rsidR="000F43BC"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5F97D68" w14:textId="77777777" w:rsidR="000F43BC" w:rsidRPr="002F2FDF" w:rsidRDefault="000F43B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4CBD0D"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15 (28) июня</w:t>
      </w:r>
      <w:r w:rsidRPr="002F2FDF">
        <w:rPr>
          <w:rFonts w:ascii="Times New Roman" w:hAnsi="Times New Roman" w:cs="Times New Roman"/>
          <w:color w:val="000000" w:themeColor="text1"/>
          <w:kern w:val="2"/>
          <w:sz w:val="16"/>
          <w:szCs w:val="16"/>
        </w:rPr>
        <w:t xml:space="preserve"> в 1917 году впервые поднялся в воздух истребитель </w:t>
      </w:r>
      <w:hyperlink r:id="rId235" w:tgtFrame="_blank" w:history="1">
        <w:r w:rsidRPr="002F2FDF">
          <w:rPr>
            <w:rFonts w:ascii="Times New Roman" w:hAnsi="Times New Roman" w:cs="Times New Roman"/>
            <w:color w:val="000000" w:themeColor="text1"/>
            <w:kern w:val="2"/>
            <w:sz w:val="16"/>
            <w:szCs w:val="16"/>
          </w:rPr>
          <w:t xml:space="preserve">«Lohner» «Type AA» – «111.03». </w:t>
        </w:r>
      </w:hyperlink>
      <w:r w:rsidRPr="002F2FDF">
        <w:rPr>
          <w:rFonts w:ascii="Times New Roman" w:hAnsi="Times New Roman" w:cs="Times New Roman"/>
          <w:color w:val="000000" w:themeColor="text1"/>
          <w:kern w:val="2"/>
          <w:sz w:val="16"/>
          <w:szCs w:val="16"/>
        </w:rPr>
        <w:t>Самолет отличался от своего предшественника «Lohner» «10.20B» новой конструкцией крыльев, рулей высоты и шасси, сохранив от «10.20B» двигатель «Austro-Daimler». Испытания «Lohner» «111.03» продолжились до октября. К этому времени на заводе «Lohner werke» начали разворачивать производство истребителя «Aviatik D.I», в результате чего дальнейшее развитие семейства «Type AA» было прекращено (14936).</w:t>
      </w:r>
    </w:p>
    <w:p w14:paraId="5DFD4D06"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p>
    <w:p w14:paraId="7080651A" w14:textId="77777777" w:rsidR="00E12803" w:rsidRPr="002F2FDF" w:rsidRDefault="00E1280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 (28) июня 1917 самолет впервые успешно взлетает с платформы, установленной на орудийной башне военного корабля. Royal Naval Service Air Flight Commander F. J. Ратленд взлетает с платформы на борту британского легкого крейсера HMS Ярмут в Sopwith Щенок (20341).</w:t>
      </w:r>
    </w:p>
    <w:p w14:paraId="08B37E3A" w14:textId="77777777" w:rsidR="00E12803" w:rsidRPr="002F2FDF" w:rsidRDefault="00E12803" w:rsidP="0083075A">
      <w:pPr>
        <w:spacing w:after="0" w:line="240" w:lineRule="auto"/>
        <w:jc w:val="both"/>
        <w:rPr>
          <w:rFonts w:ascii="Times New Roman" w:hAnsi="Times New Roman" w:cs="Times New Roman"/>
          <w:color w:val="000000" w:themeColor="text1"/>
          <w:sz w:val="16"/>
          <w:szCs w:val="16"/>
        </w:rPr>
      </w:pPr>
    </w:p>
    <w:p w14:paraId="68FE1A36" w14:textId="77777777" w:rsidR="00E12803" w:rsidRPr="002F2FDF" w:rsidRDefault="00E1280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 (28) июня 1917 г. первый «гигантский» бомбардировщик Цеппелин-Штаакен R VI был принят ВВС Германии, а в августе первый самолет прибыл на базу отряда тяжелых самолетов Rfa 500 в Альт-Ауце в Восточной Пруссии. Хотя боевые действия там уже почти кончились, в порядке войсковых испытаний сделали несколько полетов на бомбардировку с частичной боевой нагрузкой 770 кг продолжительностью 3-5 ч на далеких от максимальных высотах 2000…2400 м, поскольку противодействия русской авиации или зениток не отмечалось. Сведений о целях не найдено, но с учетом прекращения боев на этом участке, радиуса действия и изменений в тактике применения немецкой тяжелой авиации можно предположить, что это были налеты на железнодорожные станции и города в Прибалтике и на западе Белоруссии (23077).</w:t>
      </w:r>
    </w:p>
    <w:p w14:paraId="77406AB9" w14:textId="77777777" w:rsidR="00E12803" w:rsidRPr="002F2FDF" w:rsidRDefault="00E12803" w:rsidP="0083075A">
      <w:pPr>
        <w:spacing w:after="0" w:line="240" w:lineRule="auto"/>
        <w:jc w:val="both"/>
        <w:rPr>
          <w:rFonts w:ascii="Times New Roman" w:hAnsi="Times New Roman" w:cs="Times New Roman"/>
          <w:color w:val="000000" w:themeColor="text1"/>
          <w:sz w:val="16"/>
          <w:szCs w:val="16"/>
        </w:rPr>
      </w:pPr>
    </w:p>
    <w:p w14:paraId="5980CCF3" w14:textId="77777777" w:rsidR="000F43BC" w:rsidRPr="002F2FDF" w:rsidRDefault="000F43BC" w:rsidP="0083075A">
      <w:pPr>
        <w:spacing w:after="0" w:line="240" w:lineRule="auto"/>
        <w:jc w:val="both"/>
        <w:rPr>
          <w:rFonts w:ascii="Times New Roman" w:hAnsi="Times New Roman" w:cs="Times New Roman"/>
          <w:color w:val="000000" w:themeColor="text1"/>
          <w:kern w:val="2"/>
          <w:sz w:val="16"/>
          <w:szCs w:val="16"/>
          <w:u w:color="002060"/>
        </w:rPr>
      </w:pPr>
      <w:r w:rsidRPr="002F2FDF">
        <w:rPr>
          <w:rFonts w:ascii="Times New Roman" w:hAnsi="Times New Roman" w:cs="Times New Roman"/>
          <w:color w:val="000000" w:themeColor="text1"/>
          <w:kern w:val="2"/>
          <w:sz w:val="16"/>
          <w:szCs w:val="16"/>
          <w:u w:color="002060"/>
        </w:rPr>
        <w:t>15 (28) июня 1917 г. Военное министерство утвердило проект и выдало заказ на изготовление десяти образцов сверхтяжелого танка, получившего наименование «Колоссаль» (Kolossal-Wagen). Сборка осуществлялась на фирме «Вегманн» в Касселе (Wegmann, Kassel) 1* совместно с берлинской фирмой «Райбе» (Riebe, Berlin-Weissensee).</w:t>
      </w:r>
    </w:p>
    <w:p w14:paraId="3D436417" w14:textId="77777777" w:rsidR="000F43BC" w:rsidRPr="002F2FDF" w:rsidRDefault="000F43BC" w:rsidP="0083075A">
      <w:pPr>
        <w:spacing w:after="0" w:line="240" w:lineRule="auto"/>
        <w:jc w:val="both"/>
        <w:rPr>
          <w:rFonts w:ascii="Times New Roman" w:hAnsi="Times New Roman" w:cs="Times New Roman"/>
          <w:color w:val="000000" w:themeColor="text1"/>
          <w:kern w:val="2"/>
          <w:sz w:val="16"/>
          <w:szCs w:val="16"/>
          <w:u w:color="002060"/>
        </w:rPr>
      </w:pPr>
      <w:r w:rsidRPr="002F2FDF">
        <w:rPr>
          <w:rFonts w:ascii="Times New Roman" w:hAnsi="Times New Roman" w:cs="Times New Roman"/>
          <w:color w:val="000000" w:themeColor="text1"/>
          <w:kern w:val="2"/>
          <w:sz w:val="16"/>
          <w:szCs w:val="16"/>
          <w:u w:color="002060"/>
        </w:rPr>
        <w:t>Отводя главную роль на поле боя пехотным соединениям, отдельные представители высшего командования в Генеральном штабе посчитали необходимым создание особо тяжелого танка с усиленными броневой защитой и огневой мощью. По их мнению, он должен был способствовать выходу пехотных подразделений из окопов для нанесения удара по противнику. Эскизный проект такой машины, выполненный Вегнером (Wegner), предполагал боевую массу до 150т.</w:t>
      </w:r>
    </w:p>
    <w:p w14:paraId="5D6389B7" w14:textId="77777777" w:rsidR="000F43BC" w:rsidRPr="002F2FDF" w:rsidRDefault="000F43BC" w:rsidP="0083075A">
      <w:pPr>
        <w:spacing w:after="0" w:line="240" w:lineRule="auto"/>
        <w:jc w:val="both"/>
        <w:rPr>
          <w:rFonts w:ascii="Times New Roman" w:hAnsi="Times New Roman" w:cs="Times New Roman"/>
          <w:color w:val="000000" w:themeColor="text1"/>
          <w:kern w:val="2"/>
          <w:sz w:val="16"/>
          <w:szCs w:val="16"/>
          <w:u w:color="002060"/>
        </w:rPr>
      </w:pPr>
      <w:r w:rsidRPr="002F2FDF">
        <w:rPr>
          <w:rFonts w:ascii="Times New Roman" w:hAnsi="Times New Roman" w:cs="Times New Roman"/>
          <w:color w:val="000000" w:themeColor="text1"/>
          <w:kern w:val="2"/>
          <w:sz w:val="16"/>
          <w:szCs w:val="16"/>
          <w:u w:color="002060"/>
        </w:rPr>
        <w:t>Танк имел экипаж из 22 человек, электромеханическое управление и подрессоренную ходовую часть. При перевозке его предполагалось разбирать на составные части массой 15-20 т каждая. В боевых действиях «Колоссаль» участия не принимал, а два незавершенных образца были разобраны после поражения Германии в Первой мировой войне.</w:t>
      </w:r>
    </w:p>
    <w:p w14:paraId="4EA716A2" w14:textId="77777777" w:rsidR="000F43BC" w:rsidRPr="002F2FDF" w:rsidRDefault="000F43BC" w:rsidP="0083075A">
      <w:pPr>
        <w:spacing w:after="0" w:line="240" w:lineRule="auto"/>
        <w:jc w:val="both"/>
        <w:rPr>
          <w:rFonts w:ascii="Times New Roman" w:hAnsi="Times New Roman" w:cs="Times New Roman"/>
          <w:color w:val="000000" w:themeColor="text1"/>
          <w:kern w:val="2"/>
          <w:sz w:val="16"/>
          <w:szCs w:val="16"/>
          <w:u w:color="002060"/>
        </w:rPr>
      </w:pPr>
      <w:r w:rsidRPr="002F2FDF">
        <w:rPr>
          <w:rFonts w:ascii="Times New Roman" w:hAnsi="Times New Roman" w:cs="Times New Roman"/>
          <w:color w:val="000000" w:themeColor="text1"/>
          <w:kern w:val="2"/>
          <w:sz w:val="16"/>
          <w:szCs w:val="16"/>
          <w:u w:color="002060"/>
        </w:rPr>
        <w:t>После боев под Куэнтом (Quent) в апреле 1917 г. в Германии получили возможность детально ознакомиться с конструкцией нового британского танка Mk.IV. Выводы, сделанные на основании этого, позволили O.H.L. доложить генералу Людендорфу (Ludendorff) о необходимости создания боевой машины по аналогичной конструктивной схеме. Работы по новому танку, получившему условное обозначение A7VU (Umlaufendeketten – кругооборотные гусеницы), начались немедленно. Проведение ходовых испытаний планировалось уже на сентябрь 1917 г.</w:t>
      </w:r>
    </w:p>
    <w:p w14:paraId="7B1C26EE" w14:textId="77777777" w:rsidR="000F43BC" w:rsidRPr="002F2FDF" w:rsidRDefault="000F43BC" w:rsidP="0083075A">
      <w:pPr>
        <w:spacing w:after="0" w:line="240" w:lineRule="auto"/>
        <w:jc w:val="both"/>
        <w:rPr>
          <w:rFonts w:ascii="Times New Roman" w:hAnsi="Times New Roman" w:cs="Times New Roman"/>
          <w:color w:val="000000" w:themeColor="text1"/>
          <w:kern w:val="2"/>
          <w:sz w:val="16"/>
          <w:szCs w:val="16"/>
          <w:u w:color="002060"/>
        </w:rPr>
      </w:pPr>
      <w:r w:rsidRPr="002F2FDF">
        <w:rPr>
          <w:rFonts w:ascii="Times New Roman" w:hAnsi="Times New Roman" w:cs="Times New Roman"/>
          <w:color w:val="000000" w:themeColor="text1"/>
          <w:kern w:val="2"/>
          <w:sz w:val="16"/>
          <w:szCs w:val="16"/>
          <w:u w:color="002060"/>
        </w:rPr>
        <w:t>Анализ боев также подтверждал, что успеха можно достичь при массовом применении малых танков. Исходя из этого, Фольмер в инициативном порядке разработал конструктивные принципы легкой боевой машины с пулеметным вооружением и экипажем 2-3 человека. Считая, что в конструкции A7V достигнут рациональный предел соотношения боевой массы и мощности вооружения, в сентябре 1917 г. им был представлен к утверждению проект легкого танка LK. Особенностью его конструкции должно было стать широкое использование узлов и агрегатов изъятых из эксплуатации и находящихся на складах легковых автомобилей. Основная задача заключалась в ограничении боевой массы нового танка, что определялось наличием автомобилей в основном с двигателями мощностью 45-60 л .с.</w:t>
      </w:r>
    </w:p>
    <w:p w14:paraId="020E6FC0" w14:textId="77777777" w:rsidR="000F43BC" w:rsidRPr="002F2FDF" w:rsidRDefault="000F43BC" w:rsidP="0083075A">
      <w:pPr>
        <w:spacing w:after="0" w:line="240" w:lineRule="auto"/>
        <w:jc w:val="both"/>
        <w:rPr>
          <w:rFonts w:ascii="Times New Roman" w:hAnsi="Times New Roman" w:cs="Times New Roman"/>
          <w:color w:val="000000" w:themeColor="text1"/>
          <w:kern w:val="2"/>
          <w:sz w:val="16"/>
          <w:szCs w:val="16"/>
          <w:u w:color="002060"/>
        </w:rPr>
      </w:pPr>
      <w:r w:rsidRPr="002F2FDF">
        <w:rPr>
          <w:rFonts w:ascii="Times New Roman" w:hAnsi="Times New Roman" w:cs="Times New Roman"/>
          <w:color w:val="000000" w:themeColor="text1"/>
          <w:kern w:val="2"/>
          <w:sz w:val="16"/>
          <w:szCs w:val="16"/>
          <w:u w:color="002060"/>
        </w:rPr>
        <w:t>Первый образец LK изготовили к 1918 г. Для массового производства была предложена усовершенствованная конструкция – танк LK-II. Однако трудности войны не позволили развернуть массовое производство этих легких машин в Германии (12148).</w:t>
      </w:r>
    </w:p>
    <w:p w14:paraId="7EE1D2D1" w14:textId="77777777" w:rsidR="000F43BC" w:rsidRPr="002F2FDF" w:rsidRDefault="000F43BC" w:rsidP="0083075A">
      <w:pPr>
        <w:spacing w:after="0" w:line="240" w:lineRule="auto"/>
        <w:jc w:val="both"/>
        <w:rPr>
          <w:rFonts w:ascii="Times New Roman" w:hAnsi="Times New Roman" w:cs="Times New Roman"/>
          <w:color w:val="000000" w:themeColor="text1"/>
          <w:kern w:val="2"/>
          <w:sz w:val="16"/>
          <w:szCs w:val="16"/>
          <w:u w:color="002060"/>
        </w:rPr>
      </w:pPr>
    </w:p>
    <w:p w14:paraId="3861935D" w14:textId="77777777" w:rsidR="00CF76C4"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25F35DF" w14:textId="77777777" w:rsidR="00CF76C4" w:rsidRPr="002F2FDF" w:rsidRDefault="00CF76C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A272BE" w14:textId="6558F1ED" w:rsidR="00CF76C4" w:rsidRPr="002F2FDF" w:rsidRDefault="00CF76C4"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первой половине июня 1917 года затишье на Западном фронте было прервано оглушительным взрывом, считающимся одним из самых мощных за всю Первую мировую войну. Прогремел он в районе деревни Месен на франко-бельгийской границе, где британцы с помощью подкопов заложили под германские позиции более 600 тонн взрывчатки. В результате только в момент взрыва погибли более 10</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тысяч солдат (17045).</w:t>
      </w:r>
    </w:p>
    <w:p w14:paraId="1818CED9" w14:textId="77777777" w:rsidR="00CF76C4" w:rsidRPr="002F2FDF" w:rsidRDefault="00CF76C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C41CE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09645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E7C4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июня 1917 авиация ЮЗ фронта была сосредоточена в отдельных районах в соответствии с задачами наступления. VIII-ю армию, располагавшую 15-м, 16-м корпусными и 8-м армейским АО, усилили за счет VII-й армии тремя авиаотрядами: 2-м Сибирским, 3-м армейским и 8-м истребительным. Причем 3-й и 8-й армейские и 8-й истребительный АО были приданы 12-му корпусу, которому предстояло наступать на наиболее ответственном участке. В Особой армии насчитывалось пять авиаотрядов (9-й, 31 -и и 37-й корпусные, 4-й Сибирский и 6-й истребительный), которые дислоцировались в Луцке, Брише и Ольшанах. Из тринадцати отрядов ХI-й армии десять, в том числе 2-я Боевая группа, включавшая 3-й, 7-й и 8-й КАО, находились на активном участке фронта протяженностью 10 км. Большинство КАО армии располагались вблизи штабов корпусов в 12-15 км от передовой. Авиация УЦ-й армии была сосредоточена на самом активном участке фронта. 4-й артиллерийский, 9-й армейский и 8-й истребительный отряды обслуживали артиллерию 41-го корпуса и подчинялись инспектору артиллерии фронта. Французские артиллерийский и истребительный отряды были сосредоточены в районе фольварка Черемухов-Холхочи и состояли в распоряжении генерал-квартирмейстера армии. Ему же подчинялась стоявшая в местечке Доброводы 1-я БАГ (2-й, 4-й и 19- й КАО) и 7-й истребительный отряд, дислоцированный в местечке Козово.</w:t>
      </w:r>
    </w:p>
    <w:p w14:paraId="396D52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Западнее Монастыржеско находились 32-й и 12-й КАО, а в Мужилово - 1-й артиллерийский АО. На двух наиболее важных участках фронта общей протяженностью 25-30 км* сконцентрировали тринадцать авиаотрядов. На главных направлениях предполагаемого наступления плотность авиации достигала 1 самолет на 0,5 км фронта. Противник располагал 37 авиаотрядами и ротами, в которых насчитывалось 226 самолетов. В основном они были сосредоточены против ХI-й, VII-й и, частично, Особой армий. На карпатском участке авиации VIII-й армии противостояли 7 австрийских авиарот. На южно-галицийском участке неприятель обеспечил максимальную плотность своих авиационных средств: 1 самолет на 1,3 км фронта. Таким образом, воздушные силы обеих сторон количественно были равноценны при несомненном качественном превосходстве самолетов противника. Основные задачи русской авиации на период наступления заключались в корректировке артиллерийской стрельбы, разведке, бомбардировке тыла противника, борьбе с его самолетами. В подготовительный период отрядами фронта был сфотографирован весь район наступления. Данные аэрофотосъемки поступали в центральную лабораторию Северной авиагруппы и фотограмметрическое отделение Южной авиагруппы, образованное при французском артиллерийском авиаотряде. К ведению разведки привлекались все авиачасти фронта, в т.ч. истребительные отряды. Дальние полеты в тыл противника производили опытнейшие летчики на новейших аппаратах, однако в целом остро ощущался недостаток хороших самолетов-разведчиков. Значительные сложности в работу отрядов внесло отсутствие длиннофокусных фотоаппаратов, вследствие чего экипажи вынуждены были вести съемку с высот 700-1200м, подвергаясь ожесточенному огню зенитной артиллерии. Несмотря на эти обстоятельства, благодаря мастерству авиаторов, задания выполнялись с высоким качеством, и к началу операции армии были снабжены подробными картами районов предстоящих боев. В период наступления летчики фиксировал и появление новых окопов и укрепленных районов противника, крупные передвижения его войск. Так, на начальном этапе наступления Х1-й и У11-Й армий воздушная разведка установила отсутствие резервов в тылу неприятеля и отход его обозов к Золотой Липе (11237).</w:t>
      </w:r>
    </w:p>
    <w:p w14:paraId="3209D3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F62EE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871FC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E072E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июня 1917начальни</w:t>
      </w:r>
      <w:r w:rsidRPr="002F2FDF">
        <w:rPr>
          <w:rFonts w:ascii="Times New Roman" w:hAnsi="Times New Roman" w:cs="Times New Roman"/>
          <w:color w:val="000000" w:themeColor="text1"/>
          <w:kern w:val="2"/>
          <w:sz w:val="16"/>
          <w:szCs w:val="16"/>
        </w:rPr>
        <w:softHyphen/>
        <w:t>к Воздушной дивизии Балтийского моря капитаном 1 р. Б. П. Дудоров писал в МГШ:</w:t>
      </w:r>
    </w:p>
    <w:p w14:paraId="38A476A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“Прибывшие М-15 имеют недопустимую арматуру, трубки бензопровода разного диаметра соединены дюритом. Краники и нипеля &lt;...&gt; текут. Глушитель обжигает винт. Боковой радиатор на № 1101 (М-15 с заводским номером 1101) течет из-за тонкости стенок. Педали необхо</w:t>
      </w:r>
      <w:r w:rsidRPr="002F2FDF">
        <w:rPr>
          <w:rFonts w:ascii="Times New Roman" w:hAnsi="Times New Roman" w:cs="Times New Roman"/>
          <w:color w:val="000000" w:themeColor="text1"/>
          <w:kern w:val="2"/>
          <w:sz w:val="16"/>
          <w:szCs w:val="16"/>
        </w:rPr>
        <w:softHyphen/>
        <w:t>димо переделать как в М-9, удлинив плечи для ног и поставив второй кронштейн на руль. Все это убивает несомненно прекрасные летные качества аппарата &lt;...&gt;” (2807).</w:t>
      </w:r>
    </w:p>
    <w:p w14:paraId="1869F9F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A6F27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июня 1917 г. капитан 2р. А.А. Тучков из МГШ телеграфировал капитану А.В. Панкратьеву в ЭВК в Винницу:</w:t>
      </w:r>
    </w:p>
    <w:p w14:paraId="03AF82A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"Морской генеральный штаб просит прислать в Петроград истребитель Сикорский 20 на два дня для испытаний. Испытание является спешным и важным..."</w:t>
      </w:r>
    </w:p>
    <w:p w14:paraId="7F3379C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Скорее всего, просьбу не удовлетворили, тогда как сама она выражала стремление мор</w:t>
      </w:r>
      <w:r w:rsidRPr="002F2FDF">
        <w:rPr>
          <w:rFonts w:ascii="Times New Roman" w:hAnsi="Times New Roman" w:cs="Times New Roman"/>
          <w:color w:val="000000" w:themeColor="text1"/>
          <w:kern w:val="2"/>
          <w:sz w:val="16"/>
          <w:szCs w:val="16"/>
        </w:rPr>
        <w:softHyphen/>
        <w:t>ской авиации любым путем найти истребительные аэропланы, необходимые для противо</w:t>
      </w:r>
      <w:r w:rsidRPr="002F2FDF">
        <w:rPr>
          <w:rFonts w:ascii="Times New Roman" w:hAnsi="Times New Roman" w:cs="Times New Roman"/>
          <w:color w:val="000000" w:themeColor="text1"/>
          <w:kern w:val="2"/>
          <w:sz w:val="16"/>
          <w:szCs w:val="16"/>
        </w:rPr>
        <w:softHyphen/>
        <w:t>действия неприятельским летательным аппаратам во время сопровождения летающих лодок или при обороне своих баз (2843).</w:t>
      </w:r>
    </w:p>
    <w:p w14:paraId="74D3F44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50178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5A42D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64FC1A" w14:textId="3A029C66" w:rsidR="00EE4596" w:rsidRPr="002F2FDF" w:rsidRDefault="00EE459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июня 191</w:t>
      </w:r>
      <w:r w:rsidR="00B51D7D" w:rsidRPr="002F2FDF">
        <w:rPr>
          <w:rFonts w:ascii="Times New Roman" w:hAnsi="Times New Roman" w:cs="Times New Roman"/>
          <w:color w:val="000000" w:themeColor="text1"/>
          <w:kern w:val="2"/>
          <w:sz w:val="16"/>
          <w:szCs w:val="16"/>
        </w:rPr>
        <w:t>7</w:t>
      </w:r>
      <w:r w:rsidRPr="002F2FDF">
        <w:rPr>
          <w:rFonts w:ascii="Times New Roman" w:hAnsi="Times New Roman" w:cs="Times New Roman"/>
          <w:color w:val="000000" w:themeColor="text1"/>
          <w:kern w:val="2"/>
          <w:sz w:val="16"/>
          <w:szCs w:val="16"/>
        </w:rPr>
        <w:t xml:space="preserve"> года единственный построенный из 90 заказанных в феврале броневиков Поплавко бы отправлен в Запасной броневой дивизион. В начавшемся 16 июня 1917 года наступлении войск 11-й армии бронедивизион Особого назначения для прорыва проволочных заграждений не применялся. Однако, действуя как обычные броневики, «Джеффери» оказали большую помощь 17-му армейскому корпусу, прикрывая его отход во время прорыва немцев на Тарнополь. Так, 7 июля у урочища Лисьи Ямы (северо-восточнее Тарнополя) машины 1-го отделения под командованием хорунжего Иноземцева атаковали немцев и под сильным артиллерийским огнём, заполняя прорывы в наших пехотных цепях, задержали продвижение противника на 3,5 часа. В тот же день 2-е отделение штабс-капитана Алексеевцева и 3-е штабс-капитана Устинова с 16 часов вели бой под м. Езерна, прикрывая эвакуацию имущества. С наступлением темноты, прорвавшись через объятую огнём Езерну и уничтожив склад боеприпасов, который не сумели вывезти, машины отошли к Тарнополю. 8 июля 1916 года все 3 отделения прикрывали переправы на реке Сереет и шоссе Тарнополь – Ново-Заложице. Не имея связи с пехотой, отходившей, не оказывая никакого сопротивления, броневики с 8 утра до 8 вечера сдерживали немцев, непрерывно атакуя их, расстреливая в упор и не давая продвигаться. Кроме того, машины дивизиона вывозили из-под огня раненых, брошенные отступавшими войсками пулемёты и орудия.</w:t>
      </w:r>
    </w:p>
    <w:p w14:paraId="3B282E23" w14:textId="77777777" w:rsidR="00EE4596" w:rsidRPr="002F2FDF" w:rsidRDefault="00EE459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ходе непрерывных 2-дневных боёв 2 броневика были разбиты огнём немецкой артиллерии, а 3 машины подорваны экипажами (из-за поломок вывести их в тыл не представлялось возможным). 18 июля 1-е отделение поддерживало части 122-й пехотной дивизии при атаке города Гжималув. Машины ворвались в город, помогли пехоте выбить оттуда противника и 1,5 километра преследовали его. Основной причиной эффективных действий «Джеффери» в июльских боях являлась их повышенная проходимость и подвижность (за счёт поворота передних и задних колёс) по сравнению с другими типами броневых автомобилей. Особенно это было заметно в боях 7 – 8 июля 1917 года, когда из-за дождей грунтовые дороги стали практически непроходимыми для автомашин. Однако выявились и серьёзные недостатки в системе бронировки и вооружения «Джеффери». Так, боевое отделение сильно нагревалось от находившегося там двигателя, а горизонтальный обстрел пулемётов составлял всего 15 градусов. 2 октября 1917 года, после испытания «Джеффери», в присутствии членов штаба Юго-Западного фронта решено было «отказаться от применения этих машин для выполнения задачи особого назначения, а использовать их для выполнения задач обыкновенных броневых автомобилей, причём благодаря неудовлетворительному размещению и конструкции бойниц (пулемётных) лишь при условии совместной работы одновременно не менее 2-х таких броневиков». После октябрьского переворота 1917 года бронедивизион Особого назначения был «украинизирован» и включён в состав вооружённых сил Центральной Рады – правительства провозгласившей независимость Украины. Однако Центральная Рада не смогла долго удержаться у власти и бронеавтомобили «Джеффери» пошли по рукам. Большая их часть досталась Красной Армии и была передана во вновь сформированные бронеотряды (17005).</w:t>
      </w:r>
    </w:p>
    <w:p w14:paraId="0F7ED381" w14:textId="77777777" w:rsidR="00EE4596" w:rsidRPr="002F2FDF" w:rsidRDefault="00EE459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84A6BA" w14:textId="77777777"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июня 1917 Объявление директора Керченского завода Таганрогского металлургического об-ва В. А. Брандта о закрытии завода.</w:t>
      </w:r>
    </w:p>
    <w:p w14:paraId="6EFCDD26" w14:textId="77777777" w:rsidR="006E2BB0"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236" w:history="1">
        <w:r w:rsidR="006E2BB0" w:rsidRPr="002F2FDF">
          <w:rPr>
            <w:rFonts w:ascii="Times New Roman" w:hAnsi="Times New Roman" w:cs="Times New Roman"/>
            <w:color w:val="000000" w:themeColor="text1"/>
            <w:kern w:val="2"/>
            <w:sz w:val="16"/>
            <w:szCs w:val="16"/>
          </w:rPr>
          <w:t>Скрыть Реквизиты</w:t>
        </w:r>
      </w:hyperlink>
    </w:p>
    <w:p w14:paraId="75BCE1C1" w14:textId="77777777"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104</w:t>
      </w:r>
    </w:p>
    <w:p w14:paraId="6A2D9921" w14:textId="77777777"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37, оп. 58, д. 883, л. 25. Заверенная копия.</w:t>
      </w:r>
    </w:p>
    <w:p w14:paraId="7258761B" w14:textId="77777777"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Настоящим довожу до сведения всех служащих, мастеровых и рабочих Керченского металлургического завода Таганрогского об-ва, что, согласно решению г. министра торговли и промышленности и г. министра труда, наш завод по общегосударственным соображениям должен быть временно закрыт впредь до улучшения положения с транспортом. Об этом мною сделано официальное заявление на специально созванном 5 июня с. г. пленарном собрании Совета рабочих депутатов нашего завода, Совета старост и президиумов профессиональных союзов рабочих, служащих конторского труда и инженеров и техников.</w:t>
      </w:r>
      <w:hyperlink r:id="rId237" w:anchor="_ftn1" w:history="1">
        <w:r w:rsidRPr="002F2FDF">
          <w:rPr>
            <w:rFonts w:ascii="Times New Roman" w:hAnsi="Times New Roman" w:cs="Times New Roman"/>
            <w:color w:val="000000" w:themeColor="text1"/>
            <w:kern w:val="2"/>
            <w:sz w:val="16"/>
            <w:szCs w:val="16"/>
          </w:rPr>
          <w:t>[1]</w:t>
        </w:r>
      </w:hyperlink>
    </w:p>
    <w:p w14:paraId="46B7D1F5" w14:textId="77777777"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Керченского завода горный инженер В. Брандт.</w:t>
      </w:r>
    </w:p>
    <w:p w14:paraId="14FE906E" w14:textId="77777777"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Свидетельствую, что означенное объявление получено мною в Симферополе 10 июня с. г. и зарегистрировано под № 823.</w:t>
      </w:r>
    </w:p>
    <w:p w14:paraId="04F77912" w14:textId="77777777"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Окружной инженер Ил. Епифанов.</w:t>
      </w:r>
    </w:p>
    <w:p w14:paraId="24EC685B" w14:textId="77777777" w:rsidR="006E2BB0"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238" w:anchor="_ftnref1" w:history="1">
        <w:r w:rsidR="006E2BB0" w:rsidRPr="002F2FDF">
          <w:rPr>
            <w:rFonts w:ascii="Times New Roman" w:hAnsi="Times New Roman" w:cs="Times New Roman"/>
            <w:color w:val="000000" w:themeColor="text1"/>
            <w:kern w:val="2"/>
            <w:sz w:val="16"/>
            <w:szCs w:val="16"/>
          </w:rPr>
          <w:t>[1]</w:t>
        </w:r>
      </w:hyperlink>
      <w:r w:rsidR="006E2BB0" w:rsidRPr="002F2FDF">
        <w:rPr>
          <w:rFonts w:ascii="Times New Roman" w:hAnsi="Times New Roman" w:cs="Times New Roman"/>
          <w:color w:val="000000" w:themeColor="text1"/>
          <w:kern w:val="2"/>
          <w:sz w:val="16"/>
          <w:szCs w:val="16"/>
        </w:rPr>
        <w:t xml:space="preserve"> Вопрос о закрытии Керченского завода поднимался правлением Таганрогского металлургического об-ва неоднократно. 26 мая 1917 г. правление направило министру торговли и промышленности письмо, в котором сообщало о намерении закрыть завод ввиду невыгодности производства при наличии существующих цен на рельсы (ЦГАОР, ф. 3348, оп. 1, л. 39). Вопрос о закрытии завода был решен на совещаниях у П. И. Пальчинского в конце мая—начале июня. 3 июня совещание признало «необходимость немедленной полной приостановки Керченского завода, во имя государственных интересов для наилучшего использования освобождающегося топлива, перевозочных средств и рабочих в пунктах, ныне более благоприятно расположенных в отношении топлива и путей сообщения» (там же, лл. 29, а также 48—49). Рапортом от 5 июня на имя нач. Горного управления южной России окружной инженер Таврического округа донес, что Керченский металлургический завод приостановил вторую (последнюю) доменную печь за отсутствием топлива (ЦГИАЛ, ф. 37, он. 58, д. 873, л. 479) (15687).</w:t>
      </w:r>
    </w:p>
    <w:p w14:paraId="1C6C231C" w14:textId="77777777" w:rsidR="006E2BB0" w:rsidRPr="002F2FDF" w:rsidRDefault="006E2BB0" w:rsidP="0083075A">
      <w:pPr>
        <w:spacing w:after="0" w:line="240" w:lineRule="auto"/>
        <w:jc w:val="both"/>
        <w:rPr>
          <w:rFonts w:ascii="Times New Roman" w:hAnsi="Times New Roman" w:cs="Times New Roman"/>
          <w:color w:val="000000" w:themeColor="text1"/>
          <w:kern w:val="2"/>
          <w:sz w:val="16"/>
          <w:szCs w:val="16"/>
        </w:rPr>
      </w:pPr>
    </w:p>
    <w:p w14:paraId="7B8B978D" w14:textId="77777777" w:rsidR="00807BD8" w:rsidRPr="002F2FDF" w:rsidRDefault="00807BD8" w:rsidP="0083075A">
      <w:pPr>
        <w:pStyle w:val="p1"/>
        <w:spacing w:before="0" w:beforeAutospacing="0" w:after="0" w:afterAutospacing="0"/>
        <w:jc w:val="both"/>
        <w:rPr>
          <w:color w:val="000000" w:themeColor="text1"/>
          <w:sz w:val="16"/>
          <w:szCs w:val="16"/>
        </w:rPr>
      </w:pPr>
      <w:r w:rsidRPr="002F2FDF">
        <w:rPr>
          <w:color w:val="000000" w:themeColor="text1"/>
          <w:sz w:val="16"/>
          <w:szCs w:val="16"/>
        </w:rPr>
        <w:t>16 (29) июня 1917 г., несмотря на принятое за месяц до того решение комиссии Маниковского «постройку и оборудование завода продолжать», правление АМО объявило рабочим о расчете. Закрыть завод Рябушинским не удалось из-за сопротивления, оказанного рабочими и служащими, добивавшимися передачи предприятия в собственность военного ведомства; они захватили завод, и правление получило основание заявить, что «слагает с себя ответственность за возможные последствия». Г.Г. Кривошеий, ведавший в Военном министерстве постройкой автомобильных заводов, 13 июля 1917 г. уверял Подготовительную комиссию Особого совещания по обороне, что станки, отправленные из Америки, уже в пути, движутся из Владивостока, и что поэтому можно «ставить вопрос и об использовании завода для постройки новых автомобилей», но комиссия высказалась за «срочный пересмотр договора», заключенного с Товариществом 27 февраля 1916 г. Вместо постройки новых автомобилей комиссия отводила заводу роль «крупной ремонтной мастерской», что в тех условиях больше соответствовало интересам фронта. В августе 1917 г. был заключен договор с военным ведомством «о чистке, сборке и регулировании получаемых из-за границы авто различных марок», выпускать же собственные автомобили завод не мог. 14 октября на заседании Особого совещания по обороне директор завода утверждал, что на заводе получено «уже машин 60%, [еще] 20% — прибыло во Владивосток, а остальные 20% машин и запасных частей готовы к отправке в Америке». В конечном счете, поглотив технические средства и специалистов «Русско-Балтийского завода», АМО в 1917 г. все же начал сборку грузовиков «Фиат» (18409).</w:t>
      </w:r>
    </w:p>
    <w:p w14:paraId="3541E6C6" w14:textId="77777777" w:rsidR="00807BD8" w:rsidRPr="002F2FDF" w:rsidRDefault="00807BD8" w:rsidP="0083075A">
      <w:pPr>
        <w:pStyle w:val="p1"/>
        <w:spacing w:before="0" w:beforeAutospacing="0" w:after="0" w:afterAutospacing="0"/>
        <w:jc w:val="both"/>
        <w:rPr>
          <w:color w:val="000000" w:themeColor="text1"/>
          <w:sz w:val="16"/>
          <w:szCs w:val="16"/>
        </w:rPr>
      </w:pPr>
    </w:p>
    <w:p w14:paraId="5E6C80C5" w14:textId="04BFEB9A" w:rsidR="00562E88" w:rsidRPr="00FB4F67" w:rsidRDefault="00562E8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16 </w:t>
      </w:r>
      <w:r>
        <w:rPr>
          <w:rFonts w:ascii="Times New Roman" w:hAnsi="Times New Roman" w:cs="Times New Roman"/>
          <w:color w:val="0070C0"/>
          <w:sz w:val="16"/>
          <w:szCs w:val="16"/>
        </w:rPr>
        <w:t xml:space="preserve">(29) </w:t>
      </w:r>
      <w:r w:rsidRPr="00FB4F67">
        <w:rPr>
          <w:rFonts w:ascii="Times New Roman" w:hAnsi="Times New Roman" w:cs="Times New Roman"/>
          <w:color w:val="0070C0"/>
          <w:sz w:val="16"/>
          <w:szCs w:val="16"/>
        </w:rPr>
        <w:t>июня 1917 г., несмотря на принятое за месяц до того решение комиссии Маниковского «постройку и оборудова</w:t>
      </w:r>
      <w:r w:rsidRPr="00FB4F67">
        <w:rPr>
          <w:rFonts w:ascii="Times New Roman" w:hAnsi="Times New Roman" w:cs="Times New Roman"/>
          <w:color w:val="0070C0"/>
          <w:sz w:val="16"/>
          <w:szCs w:val="16"/>
        </w:rPr>
        <w:softHyphen/>
        <w:t>ние завода продолжать», правление объявило рабочим о расчете. Закрыть завод Рябушинским не удалось из-за со</w:t>
      </w:r>
      <w:r w:rsidRPr="00FB4F67">
        <w:rPr>
          <w:rFonts w:ascii="Times New Roman" w:hAnsi="Times New Roman" w:cs="Times New Roman"/>
          <w:color w:val="0070C0"/>
          <w:sz w:val="16"/>
          <w:szCs w:val="16"/>
        </w:rPr>
        <w:softHyphen/>
        <w:t>противления, оказанного рабочими и служащими, добивав</w:t>
      </w:r>
      <w:r w:rsidRPr="00FB4F67">
        <w:rPr>
          <w:rFonts w:ascii="Times New Roman" w:hAnsi="Times New Roman" w:cs="Times New Roman"/>
          <w:color w:val="0070C0"/>
          <w:sz w:val="16"/>
          <w:szCs w:val="16"/>
        </w:rPr>
        <w:softHyphen/>
        <w:t>шимися передачи предприятия в собственность военного ведомства; они захватили завод, и правление получило основание заявить, что «слагает с себя ответственность за возможные последствия». Г.Г. Кривошеин, ведавший в Во</w:t>
      </w:r>
      <w:r w:rsidRPr="00FB4F67">
        <w:rPr>
          <w:rFonts w:ascii="Times New Roman" w:hAnsi="Times New Roman" w:cs="Times New Roman"/>
          <w:color w:val="0070C0"/>
          <w:sz w:val="16"/>
          <w:szCs w:val="16"/>
        </w:rPr>
        <w:softHyphen/>
        <w:t>енном министерстве постройкой автомобильных заводов, 13 июля 1917 г. уверял Подготовительную комиссию Осо</w:t>
      </w:r>
      <w:r w:rsidRPr="00FB4F67">
        <w:rPr>
          <w:rFonts w:ascii="Times New Roman" w:hAnsi="Times New Roman" w:cs="Times New Roman"/>
          <w:color w:val="0070C0"/>
          <w:sz w:val="16"/>
          <w:szCs w:val="16"/>
        </w:rPr>
        <w:softHyphen/>
        <w:t>бого совещания по обороне, что станки, отправленные из Америки, уже в пути, движутся из Владивостока, и что поэтому можно «ставить вопрос и об использовании завода для постройки новых автомобилей», но комиссия высказа</w:t>
      </w:r>
      <w:r w:rsidRPr="00FB4F67">
        <w:rPr>
          <w:rFonts w:ascii="Times New Roman" w:hAnsi="Times New Roman" w:cs="Times New Roman"/>
          <w:color w:val="0070C0"/>
          <w:sz w:val="16"/>
          <w:szCs w:val="16"/>
        </w:rPr>
        <w:softHyphen/>
        <w:t>лась за «срочный пересмотр договора», заключенного с То</w:t>
      </w:r>
      <w:r w:rsidRPr="00FB4F67">
        <w:rPr>
          <w:rFonts w:ascii="Times New Roman" w:hAnsi="Times New Roman" w:cs="Times New Roman"/>
          <w:color w:val="0070C0"/>
          <w:sz w:val="16"/>
          <w:szCs w:val="16"/>
        </w:rPr>
        <w:softHyphen/>
        <w:t>вариществом 27 февраля 1916 г. Вместо постройки новых автомобилей комиссия отводила заводу роль «крупной ре</w:t>
      </w:r>
      <w:r w:rsidRPr="00FB4F67">
        <w:rPr>
          <w:rFonts w:ascii="Times New Roman" w:hAnsi="Times New Roman" w:cs="Times New Roman"/>
          <w:color w:val="0070C0"/>
          <w:sz w:val="16"/>
          <w:szCs w:val="16"/>
        </w:rPr>
        <w:softHyphen/>
        <w:t>монтной мастерской», что в тех условиях больше соответ</w:t>
      </w:r>
      <w:r w:rsidRPr="00FB4F67">
        <w:rPr>
          <w:rFonts w:ascii="Times New Roman" w:hAnsi="Times New Roman" w:cs="Times New Roman"/>
          <w:color w:val="0070C0"/>
          <w:sz w:val="16"/>
          <w:szCs w:val="16"/>
        </w:rPr>
        <w:softHyphen/>
        <w:t>ствовало интересам фронта. В августе 1917 г. был заключен договор с военным ведомством «о чистке, сборке и регули</w:t>
      </w:r>
      <w:r w:rsidRPr="00FB4F67">
        <w:rPr>
          <w:rFonts w:ascii="Times New Roman" w:hAnsi="Times New Roman" w:cs="Times New Roman"/>
          <w:color w:val="0070C0"/>
          <w:sz w:val="16"/>
          <w:szCs w:val="16"/>
        </w:rPr>
        <w:softHyphen/>
        <w:t>ровании получаемых из-за границы авто различных марок», выпускать же собственные автомобили завод не мог. 14 ок</w:t>
      </w:r>
      <w:r w:rsidRPr="00FB4F67">
        <w:rPr>
          <w:rFonts w:ascii="Times New Roman" w:hAnsi="Times New Roman" w:cs="Times New Roman"/>
          <w:color w:val="0070C0"/>
          <w:sz w:val="16"/>
          <w:szCs w:val="16"/>
        </w:rPr>
        <w:softHyphen/>
        <w:t>тября на заседании Особого совещания по обороне дирек</w:t>
      </w:r>
      <w:r w:rsidRPr="00FB4F67">
        <w:rPr>
          <w:rFonts w:ascii="Times New Roman" w:hAnsi="Times New Roman" w:cs="Times New Roman"/>
          <w:color w:val="0070C0"/>
          <w:sz w:val="16"/>
          <w:szCs w:val="16"/>
        </w:rPr>
        <w:softHyphen/>
        <w:t>тор завода утверждал, что на заводе получено «уже машин 60%, [еще] 20% — прибыло во Владивосток, а остальные 20% машин и запасных частей готовы к отправке в Амери</w:t>
      </w:r>
      <w:r w:rsidRPr="00FB4F67">
        <w:rPr>
          <w:rFonts w:ascii="Times New Roman" w:hAnsi="Times New Roman" w:cs="Times New Roman"/>
          <w:color w:val="0070C0"/>
          <w:sz w:val="16"/>
          <w:szCs w:val="16"/>
        </w:rPr>
        <w:softHyphen/>
        <w:t>ке». В конечном счете, поглотив технические средства и специалистов «Русско-Балтийского завода», АМО в 1917 г. все же начал сборку грузовиков «фиат» (23452).</w:t>
      </w:r>
    </w:p>
    <w:p w14:paraId="0394F450" w14:textId="77777777" w:rsidR="00562E88" w:rsidRPr="00FB4F67" w:rsidRDefault="00562E88" w:rsidP="0083075A">
      <w:pPr>
        <w:spacing w:after="0" w:line="240" w:lineRule="auto"/>
        <w:jc w:val="both"/>
        <w:rPr>
          <w:rFonts w:ascii="Times New Roman" w:hAnsi="Times New Roman" w:cs="Times New Roman"/>
          <w:color w:val="0070C0"/>
          <w:sz w:val="16"/>
          <w:szCs w:val="16"/>
        </w:rPr>
      </w:pPr>
    </w:p>
    <w:p w14:paraId="3C3EF8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16 </w:t>
      </w:r>
      <w:r w:rsidR="00BA5C59" w:rsidRPr="002F2FDF">
        <w:rPr>
          <w:rFonts w:ascii="Times New Roman" w:hAnsi="Times New Roman" w:cs="Times New Roman"/>
          <w:color w:val="000000" w:themeColor="text1"/>
          <w:kern w:val="2"/>
          <w:sz w:val="16"/>
          <w:szCs w:val="16"/>
        </w:rPr>
        <w:t xml:space="preserve">(29) </w:t>
      </w:r>
      <w:r w:rsidRPr="002F2FDF">
        <w:rPr>
          <w:rFonts w:ascii="Times New Roman" w:hAnsi="Times New Roman" w:cs="Times New Roman"/>
          <w:color w:val="000000" w:themeColor="text1"/>
          <w:kern w:val="2"/>
          <w:sz w:val="16"/>
          <w:szCs w:val="16"/>
        </w:rPr>
        <w:t>июня 1917 года головной корабль серии «Изяслав», построенный на верфи Акционерного общества «Беккер и К°» в Ревеле, где строилась серия из пяти кораблей этого типа: «Громоносец» (с 9 июня 1914 года — «Изяслав»), «Прямислав», «Брячислав», «Автроил», «Феодор Стратилат» с артиллерийским вооружением из пяти 102-мм орудий каждый — более сильным, чем на современных им английских миноносцах, заложенный 27 октября 1913 года и спущенны на воду 9 ноября 1914 года, ввели в строй (11866).</w:t>
      </w:r>
    </w:p>
    <w:p w14:paraId="56DB6C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E99AE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EE8BD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B8D8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июня 1917 полковник Г.Г.Горшков в рапорте писал "Отдавая себе ясный отчет в рискованности полетов на ИМ, командиры и офицеры всех, имеющихся в настоящее время в эскадре боевых кораблей, в осознании своего долга перед Родиной, признали необходимым не прерывать боевой работы" (237,129).</w:t>
      </w:r>
    </w:p>
    <w:p w14:paraId="1B5DD8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36CE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июня 1917 Военный совет Военного ведомства дал согласие на формирование войсковых частей из женщин-добровольцев - сформировали женский батальон смерти (3398,225).</w:t>
      </w:r>
    </w:p>
    <w:p w14:paraId="23AB6B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3E441B"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16 (29) июня</w:t>
      </w:r>
      <w:r w:rsidRPr="002F2FDF">
        <w:rPr>
          <w:rFonts w:ascii="Times New Roman" w:hAnsi="Times New Roman" w:cs="Times New Roman"/>
          <w:color w:val="000000" w:themeColor="text1"/>
          <w:kern w:val="2"/>
          <w:sz w:val="16"/>
          <w:szCs w:val="16"/>
        </w:rPr>
        <w:t xml:space="preserve"> в 1917 году военный совет Военного ведомства дал согласие на формирование войсковых частей из женщин-добровольцев в период Первой мировой войны 1914–1918 гг. («женский батальон смерти», позднее — женский батальон). Батальон в составе 1-го Сибирского корпуса участвовал в боях на Западном фронте. Первым командиром батальона стала полный Георгиевский кавалер прапорщик (позднее поручик) М.Л.Бочкарева (14937).</w:t>
      </w:r>
    </w:p>
    <w:p w14:paraId="29C768B9"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p>
    <w:p w14:paraId="62093B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июня 1917 началось русское наступление в Галиции по приказу А.И.К. армией под командованием А.Брусилова. В середине июля выдохлось и в ходе контрнаступления немцы 11 июля заняли Тернополь (3908,258).</w:t>
      </w:r>
    </w:p>
    <w:p w14:paraId="1739BA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5F50E4" w14:textId="77777777" w:rsidR="007E7643" w:rsidRPr="002F2FDF" w:rsidRDefault="007E764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16 (29) июня — 30 июня (13 июля) особенно интенсивно воздухоплаватель</w:t>
      </w:r>
      <w:r w:rsidRPr="002F2FDF">
        <w:rPr>
          <w:rFonts w:ascii="Times New Roman" w:hAnsi="Times New Roman" w:cs="Times New Roman"/>
          <w:color w:val="000000" w:themeColor="text1"/>
          <w:sz w:val="16"/>
          <w:szCs w:val="16"/>
        </w:rPr>
        <w:softHyphen/>
        <w:t>ные части использовались в ходе наступательной операции войск русского Юго-Западного фрон</w:t>
      </w:r>
      <w:r w:rsidRPr="002F2FDF">
        <w:rPr>
          <w:rFonts w:ascii="Times New Roman" w:hAnsi="Times New Roman" w:cs="Times New Roman"/>
          <w:color w:val="000000" w:themeColor="text1"/>
          <w:sz w:val="16"/>
          <w:szCs w:val="16"/>
        </w:rPr>
        <w:softHyphen/>
        <w:t>та, предпри</w:t>
      </w:r>
      <w:r w:rsidRPr="002F2FDF">
        <w:rPr>
          <w:rFonts w:ascii="Times New Roman" w:hAnsi="Times New Roman" w:cs="Times New Roman"/>
          <w:color w:val="000000" w:themeColor="text1"/>
          <w:sz w:val="16"/>
          <w:szCs w:val="16"/>
        </w:rPr>
        <w:softHyphen/>
        <w:t>нятой по требованию союзников России, что</w:t>
      </w:r>
      <w:r w:rsidRPr="002F2FDF">
        <w:rPr>
          <w:rFonts w:ascii="Times New Roman" w:hAnsi="Times New Roman" w:cs="Times New Roman"/>
          <w:color w:val="000000" w:themeColor="text1"/>
          <w:sz w:val="16"/>
          <w:szCs w:val="16"/>
        </w:rPr>
        <w:softHyphen/>
        <w:t>бы компенсировать последствия неудачной для войск Антанты «Операции Нивеля» в апреле-мае 1917 г. Временное правительство стремилось также решить внутренние проблемы: предотвра</w:t>
      </w:r>
      <w:r w:rsidRPr="002F2FDF">
        <w:rPr>
          <w:rFonts w:ascii="Times New Roman" w:hAnsi="Times New Roman" w:cs="Times New Roman"/>
          <w:color w:val="000000" w:themeColor="text1"/>
          <w:sz w:val="16"/>
          <w:szCs w:val="16"/>
        </w:rPr>
        <w:softHyphen/>
        <w:t>тить радикализацию народных масс России и по</w:t>
      </w:r>
      <w:r w:rsidRPr="002F2FDF">
        <w:rPr>
          <w:rFonts w:ascii="Times New Roman" w:hAnsi="Times New Roman" w:cs="Times New Roman"/>
          <w:color w:val="000000" w:themeColor="text1"/>
          <w:sz w:val="16"/>
          <w:szCs w:val="16"/>
        </w:rPr>
        <w:softHyphen/>
        <w:t>дорвать влияние большевиков, выступавших за окончание войны. План операции, разработан</w:t>
      </w:r>
      <w:r w:rsidRPr="002F2FDF">
        <w:rPr>
          <w:rFonts w:ascii="Times New Roman" w:hAnsi="Times New Roman" w:cs="Times New Roman"/>
          <w:color w:val="000000" w:themeColor="text1"/>
          <w:sz w:val="16"/>
          <w:szCs w:val="16"/>
        </w:rPr>
        <w:softHyphen/>
        <w:t>ный в Ставке ещё в конце 1916 — начале 1917 г., предусматривал нанесение главного удара сила</w:t>
      </w:r>
      <w:r w:rsidRPr="002F2FDF">
        <w:rPr>
          <w:rFonts w:ascii="Times New Roman" w:hAnsi="Times New Roman" w:cs="Times New Roman"/>
          <w:color w:val="000000" w:themeColor="text1"/>
          <w:sz w:val="16"/>
          <w:szCs w:val="16"/>
        </w:rPr>
        <w:softHyphen/>
        <w:t>ми 11-й и 7-й армии и вспомогательного удара 8-й армии Юго-Западного фронта в общем на</w:t>
      </w:r>
      <w:r w:rsidRPr="002F2FDF">
        <w:rPr>
          <w:rFonts w:ascii="Times New Roman" w:hAnsi="Times New Roman" w:cs="Times New Roman"/>
          <w:color w:val="000000" w:themeColor="text1"/>
          <w:sz w:val="16"/>
          <w:szCs w:val="16"/>
        </w:rPr>
        <w:softHyphen/>
        <w:t>правлении на Львов. Планировались также вспо</w:t>
      </w:r>
      <w:r w:rsidRPr="002F2FDF">
        <w:rPr>
          <w:rFonts w:ascii="Times New Roman" w:hAnsi="Times New Roman" w:cs="Times New Roman"/>
          <w:color w:val="000000" w:themeColor="text1"/>
          <w:sz w:val="16"/>
          <w:szCs w:val="16"/>
        </w:rPr>
        <w:softHyphen/>
        <w:t>могательные удары на других фронтах: 5-й арми</w:t>
      </w:r>
      <w:r w:rsidRPr="002F2FDF">
        <w:rPr>
          <w:rFonts w:ascii="Times New Roman" w:hAnsi="Times New Roman" w:cs="Times New Roman"/>
          <w:color w:val="000000" w:themeColor="text1"/>
          <w:sz w:val="16"/>
          <w:szCs w:val="16"/>
        </w:rPr>
        <w:softHyphen/>
        <w:t>ей Северного фронта из района Якобштадта на Ковно, 10-й армии Западного фронта из района Молодечно на Вильно, 4-й и 6-й русскими, 1-й и 2-й румынскими армиями Румынского фронта на Фокшаны, в Добруджу.</w:t>
      </w:r>
    </w:p>
    <w:p w14:paraId="67AF1B09" w14:textId="77777777" w:rsidR="007E7643" w:rsidRPr="002F2FDF" w:rsidRDefault="007E764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ходе начавшегося 16 (29) июня русского на</w:t>
      </w:r>
      <w:r w:rsidRPr="002F2FDF">
        <w:rPr>
          <w:rFonts w:ascii="Times New Roman" w:hAnsi="Times New Roman" w:cs="Times New Roman"/>
          <w:color w:val="000000" w:themeColor="text1"/>
          <w:sz w:val="16"/>
          <w:szCs w:val="16"/>
        </w:rPr>
        <w:softHyphen/>
        <w:t>ступления наибольшего успеха добилась 8-я ар</w:t>
      </w:r>
      <w:r w:rsidRPr="002F2FDF">
        <w:rPr>
          <w:rFonts w:ascii="Times New Roman" w:hAnsi="Times New Roman" w:cs="Times New Roman"/>
          <w:color w:val="000000" w:themeColor="text1"/>
          <w:sz w:val="16"/>
          <w:szCs w:val="16"/>
        </w:rPr>
        <w:softHyphen/>
        <w:t>мия (командующий генерал Л.Г. Корнилов), про</w:t>
      </w:r>
      <w:r w:rsidRPr="002F2FDF">
        <w:rPr>
          <w:rFonts w:ascii="Times New Roman" w:hAnsi="Times New Roman" w:cs="Times New Roman"/>
          <w:color w:val="000000" w:themeColor="text1"/>
          <w:sz w:val="16"/>
          <w:szCs w:val="16"/>
        </w:rPr>
        <w:softHyphen/>
        <w:t>рвавшая оборону противника и овладевшая городами Галич и Калуш. Не поддержанные 7-й и 11-й армиями войска 8-й армии остановились на рубеже Крапивник, р. Ломница. Обеспоко</w:t>
      </w:r>
      <w:r w:rsidRPr="002F2FDF">
        <w:rPr>
          <w:rFonts w:ascii="Times New Roman" w:hAnsi="Times New Roman" w:cs="Times New Roman"/>
          <w:color w:val="000000" w:themeColor="text1"/>
          <w:sz w:val="16"/>
          <w:szCs w:val="16"/>
        </w:rPr>
        <w:softHyphen/>
        <w:t>енное успехами русских войск (за 12 дней боёв войска Юго-Западного фронта взяли в плен свы</w:t>
      </w:r>
      <w:r w:rsidRPr="002F2FDF">
        <w:rPr>
          <w:rFonts w:ascii="Times New Roman" w:hAnsi="Times New Roman" w:cs="Times New Roman"/>
          <w:color w:val="000000" w:themeColor="text1"/>
          <w:sz w:val="16"/>
          <w:szCs w:val="16"/>
        </w:rPr>
        <w:softHyphen/>
        <w:t>ше 800 офицеров и около 36 тыс. солдат против</w:t>
      </w:r>
      <w:r w:rsidRPr="002F2FDF">
        <w:rPr>
          <w:rFonts w:ascii="Times New Roman" w:hAnsi="Times New Roman" w:cs="Times New Roman"/>
          <w:color w:val="000000" w:themeColor="text1"/>
          <w:sz w:val="16"/>
          <w:szCs w:val="16"/>
        </w:rPr>
        <w:softHyphen/>
        <w:t>ника, захватили 127 орудий и миномётов, 403 пулемёта и много другого ценного военного иму</w:t>
      </w:r>
      <w:r w:rsidRPr="002F2FDF">
        <w:rPr>
          <w:rFonts w:ascii="Times New Roman" w:hAnsi="Times New Roman" w:cs="Times New Roman"/>
          <w:color w:val="000000" w:themeColor="text1"/>
          <w:sz w:val="16"/>
          <w:szCs w:val="16"/>
        </w:rPr>
        <w:softHyphen/>
        <w:t>щества) и, пользуясь пассивностью союзников, германское командование перебросило с запада 13 германских и 3 австро-венгерских дивизий, и 6 (19) июля прорвало русский фронт в районе Тер- нополя. Потеряв на всех фронтах более 150 тыс. человек убитыми, раненными и пропавшими без вести, русские войска закрепились на рубеже Бро</w:t>
      </w:r>
      <w:r w:rsidRPr="002F2FDF">
        <w:rPr>
          <w:rFonts w:ascii="Times New Roman" w:hAnsi="Times New Roman" w:cs="Times New Roman"/>
          <w:color w:val="000000" w:themeColor="text1"/>
          <w:sz w:val="16"/>
          <w:szCs w:val="16"/>
        </w:rPr>
        <w:softHyphen/>
        <w:t>ды, Збараж, р. Збруч, проходившем значительно восточнее той линии, которую они занимали до наступления. Важнейшей из причин неудачи на</w:t>
      </w:r>
      <w:r w:rsidRPr="002F2FDF">
        <w:rPr>
          <w:rFonts w:ascii="Times New Roman" w:hAnsi="Times New Roman" w:cs="Times New Roman"/>
          <w:color w:val="000000" w:themeColor="text1"/>
          <w:sz w:val="16"/>
          <w:szCs w:val="16"/>
        </w:rPr>
        <w:softHyphen/>
        <w:t>ступления было нежелание солдатских масс сра</w:t>
      </w:r>
      <w:r w:rsidRPr="002F2FDF">
        <w:rPr>
          <w:rFonts w:ascii="Times New Roman" w:hAnsi="Times New Roman" w:cs="Times New Roman"/>
          <w:color w:val="000000" w:themeColor="text1"/>
          <w:sz w:val="16"/>
          <w:szCs w:val="16"/>
        </w:rPr>
        <w:softHyphen/>
        <w:t>жаться за чуждые им интересы.</w:t>
      </w:r>
    </w:p>
    <w:p w14:paraId="43AD0ACD" w14:textId="77777777" w:rsidR="007E7643" w:rsidRPr="002F2FDF" w:rsidRDefault="007E764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началу операции сложилась парадоксальная ситуация: «Впервые за время войны материаль</w:t>
      </w:r>
      <w:r w:rsidRPr="002F2FDF">
        <w:rPr>
          <w:rFonts w:ascii="Times New Roman" w:hAnsi="Times New Roman" w:cs="Times New Roman"/>
          <w:color w:val="000000" w:themeColor="text1"/>
          <w:sz w:val="16"/>
          <w:szCs w:val="16"/>
        </w:rPr>
        <w:softHyphen/>
        <w:t>но-техническое обеспечение, в том числе тяжё</w:t>
      </w:r>
      <w:r w:rsidRPr="002F2FDF">
        <w:rPr>
          <w:rFonts w:ascii="Times New Roman" w:hAnsi="Times New Roman" w:cs="Times New Roman"/>
          <w:color w:val="000000" w:themeColor="text1"/>
          <w:sz w:val="16"/>
          <w:szCs w:val="16"/>
        </w:rPr>
        <w:softHyphen/>
        <w:t>лой артиллерией, снарядами и т. д., не вызыва</w:t>
      </w:r>
      <w:r w:rsidRPr="002F2FDF">
        <w:rPr>
          <w:rFonts w:ascii="Times New Roman" w:hAnsi="Times New Roman" w:cs="Times New Roman"/>
          <w:color w:val="000000" w:themeColor="text1"/>
          <w:sz w:val="16"/>
          <w:szCs w:val="16"/>
        </w:rPr>
        <w:softHyphen/>
        <w:t>ло особых опасений, зато боеспособность войск, не желавших больше воевать, также впервые за время войны нельзя было признать удовлетво</w:t>
      </w:r>
      <w:r w:rsidRPr="002F2FDF">
        <w:rPr>
          <w:rFonts w:ascii="Times New Roman" w:hAnsi="Times New Roman" w:cs="Times New Roman"/>
          <w:color w:val="000000" w:themeColor="text1"/>
          <w:sz w:val="16"/>
          <w:szCs w:val="16"/>
        </w:rPr>
        <w:softHyphen/>
        <w:t>рительной»51.</w:t>
      </w:r>
    </w:p>
    <w:p w14:paraId="60842ED7" w14:textId="77777777" w:rsidR="007E7643" w:rsidRPr="002F2FDF" w:rsidRDefault="007E764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Действительно, для операции на Юго-За</w:t>
      </w:r>
      <w:r w:rsidRPr="002F2FDF">
        <w:rPr>
          <w:rFonts w:ascii="Times New Roman" w:hAnsi="Times New Roman" w:cs="Times New Roman"/>
          <w:color w:val="000000" w:themeColor="text1"/>
          <w:sz w:val="16"/>
          <w:szCs w:val="16"/>
        </w:rPr>
        <w:softHyphen/>
        <w:t>падном фронте привлекались 1113 (по другим сведениям — 1300) орудий. На участках про</w:t>
      </w:r>
      <w:r w:rsidRPr="002F2FDF">
        <w:rPr>
          <w:rFonts w:ascii="Times New Roman" w:hAnsi="Times New Roman" w:cs="Times New Roman"/>
          <w:color w:val="000000" w:themeColor="text1"/>
          <w:sz w:val="16"/>
          <w:szCs w:val="16"/>
        </w:rPr>
        <w:softHyphen/>
        <w:t>рыва (70 км) плотность артиллерии составляла 30-35 орудий на 1 км. Авиация фронта состояла из 36 авиационных отрядов, включая два фран</w:t>
      </w:r>
      <w:r w:rsidRPr="002F2FDF">
        <w:rPr>
          <w:rFonts w:ascii="Times New Roman" w:hAnsi="Times New Roman" w:cs="Times New Roman"/>
          <w:color w:val="000000" w:themeColor="text1"/>
          <w:sz w:val="16"/>
          <w:szCs w:val="16"/>
        </w:rPr>
        <w:softHyphen/>
        <w:t>цузских и один английский, на вооружении кото</w:t>
      </w:r>
      <w:r w:rsidRPr="002F2FDF">
        <w:rPr>
          <w:rFonts w:ascii="Times New Roman" w:hAnsi="Times New Roman" w:cs="Times New Roman"/>
          <w:color w:val="000000" w:themeColor="text1"/>
          <w:sz w:val="16"/>
          <w:szCs w:val="16"/>
        </w:rPr>
        <w:softHyphen/>
        <w:t>рых находилось 225 самолётов, а также 1-й и 3-й отряды ЭВК («Ильи Муромцы»).</w:t>
      </w:r>
    </w:p>
    <w:p w14:paraId="4A05DC2D" w14:textId="77777777" w:rsidR="007E7643" w:rsidRPr="002F2FDF" w:rsidRDefault="007E764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местах сосредоточения артиллерийских масс собиралось и большое число воздухопла</w:t>
      </w:r>
      <w:r w:rsidRPr="002F2FDF">
        <w:rPr>
          <w:rFonts w:ascii="Times New Roman" w:hAnsi="Times New Roman" w:cs="Times New Roman"/>
          <w:color w:val="000000" w:themeColor="text1"/>
          <w:sz w:val="16"/>
          <w:szCs w:val="16"/>
        </w:rPr>
        <w:softHyphen/>
        <w:t>вательных отрядов, количество которых исчис</w:t>
      </w:r>
      <w:r w:rsidRPr="002F2FDF">
        <w:rPr>
          <w:rFonts w:ascii="Times New Roman" w:hAnsi="Times New Roman" w:cs="Times New Roman"/>
          <w:color w:val="000000" w:themeColor="text1"/>
          <w:sz w:val="16"/>
          <w:szCs w:val="16"/>
        </w:rPr>
        <w:softHyphen/>
        <w:t>лялось примерно по одному отряду на две-три тяжёлые дальнобойные батареи. Более точный расчёт делался по изучению района работы ис</w:t>
      </w:r>
      <w:r w:rsidRPr="002F2FDF">
        <w:rPr>
          <w:rFonts w:ascii="Times New Roman" w:hAnsi="Times New Roman" w:cs="Times New Roman"/>
          <w:color w:val="000000" w:themeColor="text1"/>
          <w:sz w:val="16"/>
          <w:szCs w:val="16"/>
        </w:rPr>
        <w:softHyphen/>
        <w:t>ходя из количества участков наблюдения для аэростатов, числа дальнобойных батарей на данном участке и количества артиллерийских аэропланов. При хороших наблюдательных пунктах и большом числе аэропланов число аэростатов сокращалось.</w:t>
      </w:r>
    </w:p>
    <w:p w14:paraId="5DDC7DAB" w14:textId="77777777" w:rsidR="007E7643" w:rsidRPr="002F2FDF" w:rsidRDefault="007E764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Для наилучшего использования артиллерий</w:t>
      </w:r>
      <w:r w:rsidRPr="002F2FDF">
        <w:rPr>
          <w:rFonts w:ascii="Times New Roman" w:hAnsi="Times New Roman" w:cs="Times New Roman"/>
          <w:color w:val="000000" w:themeColor="text1"/>
          <w:sz w:val="16"/>
          <w:szCs w:val="16"/>
        </w:rPr>
        <w:softHyphen/>
        <w:t>ских батарей последние сводились в группы: про- тивоартиллерийскую, противоокопную и особую, которые могли находиться на одном фронтовом участке, иметь своих начальников, подчинявших</w:t>
      </w:r>
      <w:r w:rsidRPr="002F2FDF">
        <w:rPr>
          <w:rFonts w:ascii="Times New Roman" w:hAnsi="Times New Roman" w:cs="Times New Roman"/>
          <w:color w:val="000000" w:themeColor="text1"/>
          <w:sz w:val="16"/>
          <w:szCs w:val="16"/>
        </w:rPr>
        <w:softHyphen/>
        <w:t>ся инспектору артиллерии корпуса (инаркору). Хотя воздухоплавательные отряды могли вхо</w:t>
      </w:r>
      <w:r w:rsidRPr="002F2FDF">
        <w:rPr>
          <w:rFonts w:ascii="Times New Roman" w:hAnsi="Times New Roman" w:cs="Times New Roman"/>
          <w:color w:val="000000" w:themeColor="text1"/>
          <w:sz w:val="16"/>
          <w:szCs w:val="16"/>
        </w:rPr>
        <w:softHyphen/>
        <w:t>дить в каждую из этих артиллерийских групп, на практике все аэростаты участка оказалось целе</w:t>
      </w:r>
      <w:r w:rsidRPr="002F2FDF">
        <w:rPr>
          <w:rFonts w:ascii="Times New Roman" w:hAnsi="Times New Roman" w:cs="Times New Roman"/>
          <w:color w:val="000000" w:themeColor="text1"/>
          <w:sz w:val="16"/>
          <w:szCs w:val="16"/>
        </w:rPr>
        <w:softHyphen/>
        <w:t>сообразнее сводить в одну воздухоплавательную группу (воздухгруппу). При ограниченном чис</w:t>
      </w:r>
      <w:r w:rsidRPr="002F2FDF">
        <w:rPr>
          <w:rFonts w:ascii="Times New Roman" w:hAnsi="Times New Roman" w:cs="Times New Roman"/>
          <w:color w:val="000000" w:themeColor="text1"/>
          <w:sz w:val="16"/>
          <w:szCs w:val="16"/>
        </w:rPr>
        <w:softHyphen/>
        <w:t>ле воздухоплавательных отрядов такое решение диктовалось необходимостью исключения мёрт</w:t>
      </w:r>
      <w:r w:rsidRPr="002F2FDF">
        <w:rPr>
          <w:rFonts w:ascii="Times New Roman" w:hAnsi="Times New Roman" w:cs="Times New Roman"/>
          <w:color w:val="000000" w:themeColor="text1"/>
          <w:sz w:val="16"/>
          <w:szCs w:val="16"/>
        </w:rPr>
        <w:softHyphen/>
        <w:t>вых пространств и обеспечения непрерывности наблюдений при убыли аэростата.</w:t>
      </w:r>
    </w:p>
    <w:p w14:paraId="6ECDE25C" w14:textId="77777777" w:rsidR="007E7643" w:rsidRPr="002F2FDF" w:rsidRDefault="007E764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Образование четырёх воздухоплавательных групп (по две в 11-й и 7-й армиях) представляет собой характерную черту организации работы русских воздухоплавателей в ходе Июньского на</w:t>
      </w:r>
      <w:r w:rsidRPr="002F2FDF">
        <w:rPr>
          <w:rFonts w:ascii="Times New Roman" w:hAnsi="Times New Roman" w:cs="Times New Roman"/>
          <w:color w:val="000000" w:themeColor="text1"/>
          <w:sz w:val="16"/>
          <w:szCs w:val="16"/>
        </w:rPr>
        <w:softHyphen/>
        <w:t>ступления. Наиболее подробно описаны действия северной (Бжезанской) воздухгруппы 7-й армии её командующим капитаном Н.К. Микосом.</w:t>
      </w:r>
    </w:p>
    <w:p w14:paraId="6B71CA12" w14:textId="77777777" w:rsidR="007E7643" w:rsidRPr="002F2FDF" w:rsidRDefault="007E764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Северная воздухгруппа 7-й армии входила в противоартиллерийский отдел 41-го корпуса, состоявший из 13 тяжёлых дальнобойных бата</w:t>
      </w:r>
      <w:r w:rsidRPr="002F2FDF">
        <w:rPr>
          <w:rFonts w:ascii="Times New Roman" w:hAnsi="Times New Roman" w:cs="Times New Roman"/>
          <w:color w:val="000000" w:themeColor="text1"/>
          <w:sz w:val="16"/>
          <w:szCs w:val="16"/>
        </w:rPr>
        <w:softHyphen/>
        <w:t>рей, одной лёгкой бригады, трёх авиационных (4-й артиллерийский (корректирующий), 9-й ар</w:t>
      </w:r>
      <w:r w:rsidRPr="002F2FDF">
        <w:rPr>
          <w:rFonts w:ascii="Times New Roman" w:hAnsi="Times New Roman" w:cs="Times New Roman"/>
          <w:color w:val="000000" w:themeColor="text1"/>
          <w:sz w:val="16"/>
          <w:szCs w:val="16"/>
        </w:rPr>
        <w:softHyphen/>
        <w:t>мейский (фотографический) и 1-й истребитель</w:t>
      </w:r>
      <w:r w:rsidRPr="002F2FDF">
        <w:rPr>
          <w:rFonts w:ascii="Times New Roman" w:hAnsi="Times New Roman" w:cs="Times New Roman"/>
          <w:color w:val="000000" w:themeColor="text1"/>
          <w:sz w:val="16"/>
          <w:szCs w:val="16"/>
        </w:rPr>
        <w:softHyphen/>
        <w:t>ный) и семи воздухоплавательных отрядов, звукометрической станции и других вспомога</w:t>
      </w:r>
      <w:r w:rsidRPr="002F2FDF">
        <w:rPr>
          <w:rFonts w:ascii="Times New Roman" w:hAnsi="Times New Roman" w:cs="Times New Roman"/>
          <w:color w:val="000000" w:themeColor="text1"/>
          <w:sz w:val="16"/>
          <w:szCs w:val="16"/>
        </w:rPr>
        <w:softHyphen/>
        <w:t>тельных частей.</w:t>
      </w:r>
    </w:p>
    <w:p w14:paraId="07620F0D" w14:textId="77777777" w:rsidR="007E7643" w:rsidRPr="002F2FDF" w:rsidRDefault="007E764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состав воздухгруппы вошли 7-й, 17-й, 21-й, 23-й, 25-й, 26-й армейские и 41-й корпусной воз</w:t>
      </w:r>
      <w:r w:rsidRPr="002F2FDF">
        <w:rPr>
          <w:rFonts w:ascii="Times New Roman" w:hAnsi="Times New Roman" w:cs="Times New Roman"/>
          <w:color w:val="000000" w:themeColor="text1"/>
          <w:sz w:val="16"/>
          <w:szCs w:val="16"/>
        </w:rPr>
        <w:softHyphen/>
        <w:t>духоплавательные отряды. Шесть из них находи</w:t>
      </w:r>
      <w:r w:rsidRPr="002F2FDF">
        <w:rPr>
          <w:rFonts w:ascii="Times New Roman" w:hAnsi="Times New Roman" w:cs="Times New Roman"/>
          <w:color w:val="000000" w:themeColor="text1"/>
          <w:sz w:val="16"/>
          <w:szCs w:val="16"/>
        </w:rPr>
        <w:softHyphen/>
        <w:t>лись в боевой линии, а 17-й, за недостатком лю</w:t>
      </w:r>
      <w:r w:rsidRPr="002F2FDF">
        <w:rPr>
          <w:rFonts w:ascii="Times New Roman" w:hAnsi="Times New Roman" w:cs="Times New Roman"/>
          <w:color w:val="000000" w:themeColor="text1"/>
          <w:sz w:val="16"/>
          <w:szCs w:val="16"/>
        </w:rPr>
        <w:softHyphen/>
        <w:t>дей, оставался в резерве и доставлял газ. Каждые два отряда имели в газгольдерах водород на одно наполнение и запасной аэростат. «Снабжены от</w:t>
      </w:r>
      <w:r w:rsidRPr="002F2FDF">
        <w:rPr>
          <w:rFonts w:ascii="Times New Roman" w:hAnsi="Times New Roman" w:cs="Times New Roman"/>
          <w:color w:val="000000" w:themeColor="text1"/>
          <w:sz w:val="16"/>
          <w:szCs w:val="16"/>
        </w:rPr>
        <w:softHyphen/>
        <w:t>ряды были в общем довольно хорошо, не хвата</w:t>
      </w:r>
      <w:r w:rsidRPr="002F2FDF">
        <w:rPr>
          <w:rFonts w:ascii="Times New Roman" w:hAnsi="Times New Roman" w:cs="Times New Roman"/>
          <w:color w:val="000000" w:themeColor="text1"/>
          <w:sz w:val="16"/>
          <w:szCs w:val="16"/>
        </w:rPr>
        <w:softHyphen/>
        <w:t>ло только 40% парашютов, что, конечно, сильно повлияло на продуктивность работы» — отмечал Н.К. Микос 52.</w:t>
      </w:r>
    </w:p>
    <w:p w14:paraId="57E81899" w14:textId="77777777" w:rsidR="007E7643" w:rsidRPr="002F2FDF" w:rsidRDefault="007E764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Отряды поддерживали прямую двойную (через центральные станции — передовую в Дубче и при штабе в Козово) телефонную связь с начальником воздухгруппы. С батаре</w:t>
      </w:r>
      <w:r w:rsidRPr="002F2FDF">
        <w:rPr>
          <w:rFonts w:ascii="Times New Roman" w:hAnsi="Times New Roman" w:cs="Times New Roman"/>
          <w:color w:val="000000" w:themeColor="text1"/>
          <w:sz w:val="16"/>
          <w:szCs w:val="16"/>
        </w:rPr>
        <w:softHyphen/>
        <w:t>ями отряды соединялись телефонными сред</w:t>
      </w:r>
      <w:r w:rsidRPr="002F2FDF">
        <w:rPr>
          <w:rFonts w:ascii="Times New Roman" w:hAnsi="Times New Roman" w:cs="Times New Roman"/>
          <w:color w:val="000000" w:themeColor="text1"/>
          <w:sz w:val="16"/>
          <w:szCs w:val="16"/>
        </w:rPr>
        <w:softHyphen/>
        <w:t>ствами батарей, а некоторые воздухотряды имели свои линии.</w:t>
      </w:r>
    </w:p>
    <w:p w14:paraId="7E048C3B" w14:textId="77777777" w:rsidR="007E7643" w:rsidRPr="002F2FDF" w:rsidRDefault="007E764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Начальник воздухгруппы поддерживал двой</w:t>
      </w:r>
      <w:r w:rsidRPr="002F2FDF">
        <w:rPr>
          <w:rFonts w:ascii="Times New Roman" w:hAnsi="Times New Roman" w:cs="Times New Roman"/>
          <w:color w:val="000000" w:themeColor="text1"/>
          <w:sz w:val="16"/>
          <w:szCs w:val="16"/>
        </w:rPr>
        <w:softHyphen/>
        <w:t>ную прямую телефонную связь со всеми воз</w:t>
      </w:r>
      <w:r w:rsidRPr="002F2FDF">
        <w:rPr>
          <w:rFonts w:ascii="Times New Roman" w:hAnsi="Times New Roman" w:cs="Times New Roman"/>
          <w:color w:val="000000" w:themeColor="text1"/>
          <w:sz w:val="16"/>
          <w:szCs w:val="16"/>
        </w:rPr>
        <w:softHyphen/>
        <w:t>духоплавательными отрядами и с центральной телефонной станцией начальника противоартил- лерийского отдела, и ординарную — с инарко- ром, особой артиллерийской группой, противо- аэропланными взводами, аэродромом.</w:t>
      </w:r>
    </w:p>
    <w:p w14:paraId="0F84ADCB" w14:textId="77777777" w:rsidR="007E7643" w:rsidRPr="002F2FDF" w:rsidRDefault="007E764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Боевая работа отрядов в ходе операции ох</w:t>
      </w:r>
      <w:r w:rsidRPr="002F2FDF">
        <w:rPr>
          <w:rFonts w:ascii="Times New Roman" w:hAnsi="Times New Roman" w:cs="Times New Roman"/>
          <w:color w:val="000000" w:themeColor="text1"/>
          <w:sz w:val="16"/>
          <w:szCs w:val="16"/>
        </w:rPr>
        <w:softHyphen/>
        <w:t>ватывала три периода: подготовительный (1-15 июня), боевой (16-18 июня) и заключительный (до конца месяца).</w:t>
      </w:r>
    </w:p>
    <w:p w14:paraId="700C100C" w14:textId="77777777" w:rsidR="007E7643" w:rsidRPr="002F2FDF" w:rsidRDefault="007E764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подготовительный период каждому отряду дали свой ответственный участок работы. Каж</w:t>
      </w:r>
      <w:r w:rsidRPr="002F2FDF">
        <w:rPr>
          <w:rFonts w:ascii="Times New Roman" w:hAnsi="Times New Roman" w:cs="Times New Roman"/>
          <w:color w:val="000000" w:themeColor="text1"/>
          <w:sz w:val="16"/>
          <w:szCs w:val="16"/>
        </w:rPr>
        <w:softHyphen/>
        <w:t>дый отряд также ознакомился с двумя соседними участками (слева и справа) на случай выбытия из строя данного аэростата и принятия решения его задач на себя.</w:t>
      </w:r>
    </w:p>
    <w:p w14:paraId="19D08B42" w14:textId="77777777" w:rsidR="007E7643" w:rsidRPr="002F2FDF" w:rsidRDefault="007E764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Аэростаты изучали свои участки, аэропланы вели фотосъёмку и корректировку, звуковые станции — засечку отдельных батарей. Герман</w:t>
      </w:r>
      <w:r w:rsidRPr="002F2FDF">
        <w:rPr>
          <w:rFonts w:ascii="Times New Roman" w:hAnsi="Times New Roman" w:cs="Times New Roman"/>
          <w:color w:val="000000" w:themeColor="text1"/>
          <w:sz w:val="16"/>
          <w:szCs w:val="16"/>
        </w:rPr>
        <w:softHyphen/>
        <w:t>ская авиация почти ежедневно неоднократно ата</w:t>
      </w:r>
      <w:r w:rsidRPr="002F2FDF">
        <w:rPr>
          <w:rFonts w:ascii="Times New Roman" w:hAnsi="Times New Roman" w:cs="Times New Roman"/>
          <w:color w:val="000000" w:themeColor="text1"/>
          <w:sz w:val="16"/>
          <w:szCs w:val="16"/>
        </w:rPr>
        <w:softHyphen/>
        <w:t>ковала аэростаты группы и сожгла шесть из них.</w:t>
      </w:r>
    </w:p>
    <w:p w14:paraId="707B0FDB" w14:textId="77777777" w:rsidR="007E7643" w:rsidRPr="002F2FDF" w:rsidRDefault="007E764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Для охраны аэростатов приняли ряд мер: усилили наблюдение, быстро снижали аэроста</w:t>
      </w:r>
      <w:r w:rsidRPr="002F2FDF">
        <w:rPr>
          <w:rFonts w:ascii="Times New Roman" w:hAnsi="Times New Roman" w:cs="Times New Roman"/>
          <w:color w:val="000000" w:themeColor="text1"/>
          <w:sz w:val="16"/>
          <w:szCs w:val="16"/>
        </w:rPr>
        <w:softHyphen/>
        <w:t>ты, атаки аэропланов отражались стрельбой из пулемётов с привлечением зенитных автомо</w:t>
      </w:r>
      <w:r w:rsidRPr="002F2FDF">
        <w:rPr>
          <w:rFonts w:ascii="Times New Roman" w:hAnsi="Times New Roman" w:cs="Times New Roman"/>
          <w:color w:val="000000" w:themeColor="text1"/>
          <w:sz w:val="16"/>
          <w:szCs w:val="16"/>
        </w:rPr>
        <w:softHyphen/>
        <w:t>бильных пушек и противоаэропланных взводов. В ходе боёв аэростаты охранялись истребителя</w:t>
      </w:r>
      <w:r w:rsidRPr="002F2FDF">
        <w:rPr>
          <w:rFonts w:ascii="Times New Roman" w:hAnsi="Times New Roman" w:cs="Times New Roman"/>
          <w:color w:val="000000" w:themeColor="text1"/>
          <w:sz w:val="16"/>
          <w:szCs w:val="16"/>
        </w:rPr>
        <w:softHyphen/>
        <w:t>ми. В 41-м корпусном отряде подняли ложный аэростат, охранявшийся 8 пулемётами, 2 зенит</w:t>
      </w:r>
      <w:r w:rsidRPr="002F2FDF">
        <w:rPr>
          <w:rFonts w:ascii="Times New Roman" w:hAnsi="Times New Roman" w:cs="Times New Roman"/>
          <w:color w:val="000000" w:themeColor="text1"/>
          <w:sz w:val="16"/>
          <w:szCs w:val="16"/>
        </w:rPr>
        <w:softHyphen/>
        <w:t>ными пушками и 6 полевыми орудиями, заранее пристрелянными. Аэроплану противника, встре</w:t>
      </w:r>
      <w:r w:rsidRPr="002F2FDF">
        <w:rPr>
          <w:rFonts w:ascii="Times New Roman" w:hAnsi="Times New Roman" w:cs="Times New Roman"/>
          <w:color w:val="000000" w:themeColor="text1"/>
          <w:sz w:val="16"/>
          <w:szCs w:val="16"/>
        </w:rPr>
        <w:softHyphen/>
        <w:t>ченному сильным огнём, не удалось его сжечь, хотя он облетел аэростат дважды. В 25-м армей</w:t>
      </w:r>
      <w:r w:rsidRPr="002F2FDF">
        <w:rPr>
          <w:rFonts w:ascii="Times New Roman" w:hAnsi="Times New Roman" w:cs="Times New Roman"/>
          <w:color w:val="000000" w:themeColor="text1"/>
          <w:sz w:val="16"/>
          <w:szCs w:val="16"/>
        </w:rPr>
        <w:softHyphen/>
        <w:t>ском отряде в корзине аэростата подняли заряд взрывчатого вещества, взорванный при прибли</w:t>
      </w:r>
      <w:r w:rsidRPr="002F2FDF">
        <w:rPr>
          <w:rFonts w:ascii="Times New Roman" w:hAnsi="Times New Roman" w:cs="Times New Roman"/>
          <w:color w:val="000000" w:themeColor="text1"/>
          <w:sz w:val="16"/>
          <w:szCs w:val="16"/>
        </w:rPr>
        <w:softHyphen/>
        <w:t>жении неприятельского аэроплана. Уничтожить аэроплан не удалось, но авиация противника все-таки снизила активность и в дни боёв позво</w:t>
      </w:r>
      <w:r w:rsidRPr="002F2FDF">
        <w:rPr>
          <w:rFonts w:ascii="Times New Roman" w:hAnsi="Times New Roman" w:cs="Times New Roman"/>
          <w:color w:val="000000" w:themeColor="text1"/>
          <w:sz w:val="16"/>
          <w:szCs w:val="16"/>
        </w:rPr>
        <w:softHyphen/>
        <w:t>лила аэростатам работать (20120).</w:t>
      </w:r>
    </w:p>
    <w:p w14:paraId="3C1C3D32" w14:textId="77777777" w:rsidR="007E7643" w:rsidRPr="002F2FDF" w:rsidRDefault="007E7643" w:rsidP="0083075A">
      <w:pPr>
        <w:tabs>
          <w:tab w:val="left" w:pos="303"/>
        </w:tabs>
        <w:spacing w:after="0" w:line="240" w:lineRule="auto"/>
        <w:jc w:val="both"/>
        <w:rPr>
          <w:rFonts w:ascii="Times New Roman" w:hAnsi="Times New Roman" w:cs="Times New Roman"/>
          <w:color w:val="000000" w:themeColor="text1"/>
          <w:sz w:val="16"/>
          <w:szCs w:val="16"/>
        </w:rPr>
      </w:pPr>
    </w:p>
    <w:p w14:paraId="3CE5C237" w14:textId="404BED9D" w:rsidR="00E70609" w:rsidRPr="00FB4F67" w:rsidRDefault="00E70609"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16 (</w:t>
      </w:r>
      <w:r w:rsidRPr="00FB4F67">
        <w:rPr>
          <w:rFonts w:ascii="Times New Roman" w:hAnsi="Times New Roman" w:cs="Times New Roman"/>
          <w:color w:val="0070C0"/>
          <w:sz w:val="16"/>
          <w:szCs w:val="16"/>
        </w:rPr>
        <w:t>29</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w:t>
      </w:r>
      <w:r>
        <w:rPr>
          <w:rFonts w:ascii="Times New Roman" w:hAnsi="Times New Roman" w:cs="Times New Roman"/>
          <w:color w:val="0070C0"/>
          <w:sz w:val="16"/>
          <w:szCs w:val="16"/>
        </w:rPr>
        <w:t>21 июля (</w:t>
      </w:r>
      <w:r w:rsidRPr="00FB4F67">
        <w:rPr>
          <w:rFonts w:ascii="Times New Roman" w:hAnsi="Times New Roman" w:cs="Times New Roman"/>
          <w:color w:val="0070C0"/>
          <w:sz w:val="16"/>
          <w:szCs w:val="16"/>
        </w:rPr>
        <w:t>3 августа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ходе июльского наступления русской армии, план которого был разработан Ставкой Верховного главнокомандующего. Основная ставка, как в ходе Луцкого прорыва (1916 г.), делалась на командование Юго-Западного фронта. Предусматривалось нанесение основного удара силами 11-й и 7-й армий и вспомогательного удара - 8-й армии фронта в общем направлении на г. Львов. Особая армия должна была сковать противника, не допуская переброски его сил в район главного удара. Для обеспечения действий полевых частей руководство ЮЗФ задействовало 36 авиаотрядов (225 самолетов и 222 летчика). В качестве стратегического резерва в распоряжении командования фронта имелось два боевых отряда (1-й и 3-й) Эскадры воздушных кораблей «Илья Муромец».</w:t>
      </w:r>
    </w:p>
    <w:p w14:paraId="5558878E" w14:textId="77777777" w:rsidR="00E70609" w:rsidRPr="00FB4F67" w:rsidRDefault="00E7060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Также предусматривались вспомогательные удары на других фронтах действующей русской армии: 5-й армии (Северного фронта) и 10-й армии (Западного фронта) - в общем направлении на г. Вильна; русских 4-й и 6-й, румынской 2-й армий Румынского фронта - на Фокшаны. Накануне наступления в Румынии было сосредоточено 12 авиаотрядов (86 самолетов и 73 летчика). Их дополняли две франко</w:t>
      </w:r>
      <w:r w:rsidRPr="00FB4F67">
        <w:rPr>
          <w:rFonts w:ascii="Times New Roman" w:hAnsi="Times New Roman" w:cs="Times New Roman"/>
          <w:color w:val="0070C0"/>
          <w:sz w:val="16"/>
          <w:szCs w:val="16"/>
        </w:rPr>
        <w:softHyphen/>
        <w:t>румынские эскадрильи (отряды), приданные русским армиям.</w:t>
      </w:r>
    </w:p>
    <w:p w14:paraId="405528AE" w14:textId="77777777" w:rsidR="00E70609" w:rsidRPr="00FB4F67" w:rsidRDefault="00E7060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полосе наступления частей Западного фронта - 11 авиаотрядов (61 самолет), из них три истребительных АО были сведены в три боевые авиагруппы. Работа истребителей 3-й БАГ заключалась главным образом в барраже над линией фронта и в организации дежурства отдельных самолетов на аэродроме для вылетов «по требованию». Впоследствии, когда глубокие рейды наших воздушных разведчиков, ввиду сильного противодействия неприятельской авиации, сделались крайне рискованными, истребителям была поручена задача еще и охрана своих самолетов.</w:t>
      </w:r>
    </w:p>
    <w:p w14:paraId="1E0669BD" w14:textId="77777777" w:rsidR="00E70609" w:rsidRPr="00FB4F67" w:rsidRDefault="00E7060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 указанию командования для сопровождения одного нашего самолета-разведчика в глубокий тыл противника иногда требовалось до 2-3 истребителей из состава боевой авиагруппы. Это в скором времени сильно вымотало наших летчиков, а также негативно сказалось на техническом состоянии летательных аппаратов.</w:t>
      </w:r>
    </w:p>
    <w:p w14:paraId="771338EB" w14:textId="77777777" w:rsidR="00E70609" w:rsidRPr="00FB4F67" w:rsidRDefault="00E7060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Несмотря на качественное и количественное превосходство истребительной авиации противника, летчики боевой авиагруппы первыми совершали атаки неприятельских самолетов, заставляя последние обращаться в бегство. Крайняя изношенность техники и слабое вооружение не приносили успеха русским летчикам в многочисленных воздушных боях. Наоборот, с нашей стороны имелись значительные потери среди летного состава. Большинство самолетов, возвращавшихся с боевого задания на аэродромы, были основательно потрепаны вражеской авиацией и зенитной артиллерией.</w:t>
      </w:r>
    </w:p>
    <w:p w14:paraId="377B9797" w14:textId="77777777" w:rsidR="00E70609" w:rsidRPr="00FB4F67" w:rsidRDefault="00E7060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Помимо воздушных сил, в состав объединений, задействованных в операции, были включены дополнительные зенитные средства. Например, в состав ударных корпусов 10-й армии вошли вновь сформированные зенитные подразделения: 51, 52, 113-я штатные и две нештатные батареи (2-й Кавказский корпус); 115-я штатная и две нештатные батареи (1-й Сибирский корпус); 117, 118, 119-я и две нештатные батареи (38-й армейский корпус). При этом несколько зенитных батарей было выделено для охраны артиллерийских складов от воздушного нападения на станциях Пруды, Полочаны, железнодорожного разъезда 646-й версты и блокпоста 654-й версты железной дороги. Остальные 10 зенитных батарей (40 орудий) располагались на передовых позициях вышеназванных корпусов.</w:t>
      </w:r>
    </w:p>
    <w:p w14:paraId="1B735E64" w14:textId="77777777" w:rsidR="00E70609" w:rsidRPr="00FB4F67" w:rsidRDefault="00E70609" w:rsidP="0083075A">
      <w:pPr>
        <w:spacing w:after="0" w:line="240" w:lineRule="auto"/>
        <w:jc w:val="both"/>
        <w:rPr>
          <w:rFonts w:ascii="Times New Roman" w:hAnsi="Times New Roman" w:cs="Times New Roman"/>
          <w:color w:val="0070C0"/>
          <w:sz w:val="16"/>
          <w:szCs w:val="16"/>
        </w:rPr>
      </w:pPr>
      <w:bookmarkStart w:id="160" w:name="bookmark789"/>
      <w:r w:rsidRPr="00FB4F67">
        <w:rPr>
          <w:rFonts w:ascii="Times New Roman" w:hAnsi="Times New Roman" w:cs="Times New Roman"/>
          <w:color w:val="0070C0"/>
          <w:sz w:val="16"/>
          <w:szCs w:val="16"/>
        </w:rPr>
        <w:t>Кроме того, перед началом операции прибыли еще 98-я и 101-я штатные зенитные батареи (8 орудий), предназначенные для обороны от неприятельской авиации позиций артиллерии крупного калибра. Ранее фронт пополнился новыми средствами борьбы с воздушным противником (23405).</w:t>
      </w:r>
      <w:bookmarkEnd w:id="160"/>
    </w:p>
    <w:p w14:paraId="33F8D056" w14:textId="77777777" w:rsidR="00E70609" w:rsidRPr="00FB4F67" w:rsidRDefault="00E70609" w:rsidP="0083075A">
      <w:pPr>
        <w:spacing w:after="0" w:line="240" w:lineRule="auto"/>
        <w:jc w:val="both"/>
        <w:rPr>
          <w:rFonts w:ascii="Times New Roman" w:hAnsi="Times New Roman" w:cs="Times New Roman"/>
          <w:color w:val="0070C0"/>
          <w:sz w:val="16"/>
          <w:szCs w:val="16"/>
        </w:rPr>
      </w:pPr>
    </w:p>
    <w:p w14:paraId="4E8166F0" w14:textId="77777777" w:rsidR="007E7643" w:rsidRPr="002F2FDF" w:rsidRDefault="007E764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16 (29) июня 1917 в первый день наступления, ввиду небла</w:t>
      </w:r>
      <w:r w:rsidRPr="002F2FDF">
        <w:rPr>
          <w:rFonts w:ascii="Times New Roman" w:hAnsi="Times New Roman" w:cs="Times New Roman"/>
          <w:color w:val="000000" w:themeColor="text1"/>
          <w:sz w:val="16"/>
          <w:szCs w:val="16"/>
        </w:rPr>
        <w:softHyphen/>
        <w:t>гоприятной для наблюдателей погоды, задачи бить по окопам и бездействию нашей противоартиллерийской группы вследствие молчания неприятельских батарей аэростаты сделали мало (20120).</w:t>
      </w:r>
    </w:p>
    <w:p w14:paraId="5556E7B8" w14:textId="77777777" w:rsidR="007E7643" w:rsidRPr="002F2FDF" w:rsidRDefault="007E7643" w:rsidP="0083075A">
      <w:pPr>
        <w:spacing w:after="0" w:line="240" w:lineRule="auto"/>
        <w:jc w:val="both"/>
        <w:rPr>
          <w:rFonts w:ascii="Times New Roman" w:hAnsi="Times New Roman" w:cs="Times New Roman"/>
          <w:color w:val="000000" w:themeColor="text1"/>
          <w:sz w:val="16"/>
          <w:szCs w:val="16"/>
        </w:rPr>
      </w:pPr>
    </w:p>
    <w:p w14:paraId="1CB8CF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16 </w:t>
      </w:r>
      <w:r w:rsidR="00BA5C59" w:rsidRPr="002F2FDF">
        <w:rPr>
          <w:rFonts w:ascii="Times New Roman" w:hAnsi="Times New Roman" w:cs="Times New Roman"/>
          <w:color w:val="000000" w:themeColor="text1"/>
          <w:kern w:val="2"/>
          <w:sz w:val="16"/>
          <w:szCs w:val="16"/>
        </w:rPr>
        <w:t xml:space="preserve">(29) </w:t>
      </w:r>
      <w:r w:rsidRPr="002F2FDF">
        <w:rPr>
          <w:rFonts w:ascii="Times New Roman" w:hAnsi="Times New Roman" w:cs="Times New Roman"/>
          <w:color w:val="000000" w:themeColor="text1"/>
          <w:kern w:val="2"/>
          <w:sz w:val="16"/>
          <w:szCs w:val="16"/>
        </w:rPr>
        <w:t>июня 1917 сосредоточенная на основных направлениях тяжелая артиллерия обрушила огонь на позиции противника. Особое значение придавалось воздушной корректировке артогня. В подготовительный период с ее помощью были пристреляны наиболее важные цели. Артподготовка длилась два дня, летчики ее постоянно корректировали. В результате удалось подавить артиллерию противника и буквально вспахать снарядами неприятельские окопы. Когда пехота пошла в атаку, находившиеся в это время в воздухе отдельные экипажи обстреливали из пулеметов вражеские позиции и сбрасывали на них мелкие бомбы. При этом русские летчики снижались до 250-100м. Однако эти действия дали скорее психологический эффект, т.к. были не массовыми и носили неорганизованный характер. Авиаотряды также совершали групповые полеты на бомбардировку крупных резервов противника и железнодорожных узлов. Для прикрытия войск выделялись дежурные истребители. В среднем каждый день количество исправных машин этого класса составляло 30-35 единиц, что было недостаточно, но все же позволило добиться господства в воздухе на важнейших участках фронта и блокировать их от вторжения неприятельских аэропланов. Летчики работали с раннего утра до наступления сумерек, и некоторые совершали более четырех боевых вылетов за день. Атакуя самолеты противника, они, в большинстве случаев, заставляли их уходить со снижением. Особенно отличились летчики 1 -и БАГ, которой командовал Александр Козаков (11237).</w:t>
      </w:r>
    </w:p>
    <w:p w14:paraId="790629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7AA006" w14:textId="77777777" w:rsidR="007325A2" w:rsidRPr="002F2FDF" w:rsidRDefault="007325A2" w:rsidP="0083075A">
      <w:pPr>
        <w:pStyle w:val="ae"/>
        <w:spacing w:before="0" w:after="0"/>
        <w:jc w:val="both"/>
        <w:rPr>
          <w:color w:val="000000" w:themeColor="text1"/>
          <w:kern w:val="2"/>
          <w:sz w:val="16"/>
          <w:szCs w:val="16"/>
        </w:rPr>
      </w:pPr>
      <w:r w:rsidRPr="002F2FDF">
        <w:rPr>
          <w:color w:val="000000" w:themeColor="text1"/>
          <w:kern w:val="2"/>
          <w:sz w:val="16"/>
          <w:szCs w:val="16"/>
        </w:rPr>
        <w:t>16 (29) июня 1917 артиллерия Юго-Западного фронта открыла массированный огонь по позициям австро-венгерской армии, начав подготовку к последнему в Великой войне, так называемом Июньскому наступлению русской армии. «В военном отношении план Июньского наступления был разработан по указанию союзников еще до Февральской революции, т. е. царским правительством, — пишет военный историк генерал Андрей Зайончковский. — По этому плану основной удар предполагалось нанести армиями Юго-западного фронта, причем Северный и Западный фронты активными действиями должны были помогать наступлению Юго-западного фронта».</w:t>
      </w:r>
    </w:p>
    <w:p w14:paraId="075A0AE2" w14:textId="77777777" w:rsidR="007325A2" w:rsidRPr="002F2FDF" w:rsidRDefault="007325A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6C2E58" w14:textId="77777777" w:rsidR="00E70609" w:rsidRPr="00FB4F67" w:rsidRDefault="00E7060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ночь с 29 на 30 июня был совершен воздушный налет на г. Рига. В нем участвовали цеппелин и дирижабль (другой конструкции), зашедшие к городу со стороны Рижского залива. По ним незамедлительно был открыт зенитный артиллерийский огонь, «вследствие чего после полуторачасового полета [неприятельские аэронавты] направили курс [своих кораблей] обратно к Митаве, где находится немецкий аэродром». Позднее под огонь нашей артиллерии попал вражеский самолет, появившийся в небе Риги. Последний был вынужден «взять большую высоту и скрыться по направлению к Митаве».</w:t>
      </w:r>
    </w:p>
    <w:p w14:paraId="483AC8E5" w14:textId="77777777" w:rsidR="00E70609" w:rsidRPr="00FB4F67" w:rsidRDefault="00E70609" w:rsidP="0083075A">
      <w:pPr>
        <w:spacing w:after="0" w:line="240" w:lineRule="auto"/>
        <w:jc w:val="both"/>
        <w:rPr>
          <w:rFonts w:ascii="Times New Roman" w:hAnsi="Times New Roman" w:cs="Times New Roman"/>
          <w:color w:val="0070C0"/>
          <w:sz w:val="16"/>
          <w:szCs w:val="16"/>
        </w:rPr>
      </w:pPr>
      <w:bookmarkStart w:id="161" w:name="bookmark822"/>
      <w:r w:rsidRPr="00FB4F67">
        <w:rPr>
          <w:rFonts w:ascii="Times New Roman" w:hAnsi="Times New Roman" w:cs="Times New Roman"/>
          <w:color w:val="0070C0"/>
          <w:sz w:val="16"/>
          <w:szCs w:val="16"/>
        </w:rPr>
        <w:t>Днем ранее германская морская авиация вновь предприняла попытку атаковать наши военные объекты на о. Эзель. Огнем береговой и корабельной артиллерии налет был успешно отражен (23405).</w:t>
      </w:r>
      <w:bookmarkEnd w:id="161"/>
    </w:p>
    <w:p w14:paraId="1239C22D" w14:textId="77777777" w:rsidR="00E70609" w:rsidRPr="00FB4F67" w:rsidRDefault="00E70609" w:rsidP="0083075A">
      <w:pPr>
        <w:spacing w:after="0" w:line="240" w:lineRule="auto"/>
        <w:jc w:val="both"/>
        <w:rPr>
          <w:rFonts w:ascii="Times New Roman" w:hAnsi="Times New Roman" w:cs="Times New Roman"/>
          <w:color w:val="0070C0"/>
          <w:sz w:val="16"/>
          <w:szCs w:val="16"/>
        </w:rPr>
      </w:pPr>
    </w:p>
    <w:p w14:paraId="2460279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7DB9B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DB21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июня 1917 в день начала наступления в Петрограде Петросовет организовал демонстрацию в поддержку Временного правительства, но кончилась большевистскими антивоенными лозунгами (3908,258).</w:t>
      </w:r>
    </w:p>
    <w:p w14:paraId="17A3BD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985B7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июня 1917 в России увеличен на 30% налог на прибыли капиталистов (4962).</w:t>
      </w:r>
    </w:p>
    <w:p w14:paraId="12FA93F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0C3923" w14:textId="77777777" w:rsidR="00657464" w:rsidRPr="002F2FDF" w:rsidRDefault="00657464" w:rsidP="0083075A">
      <w:pPr>
        <w:pStyle w:val="ae"/>
        <w:spacing w:before="0" w:after="0"/>
        <w:jc w:val="both"/>
        <w:rPr>
          <w:color w:val="000000" w:themeColor="text1"/>
          <w:kern w:val="2"/>
          <w:sz w:val="16"/>
          <w:szCs w:val="16"/>
        </w:rPr>
      </w:pPr>
      <w:r w:rsidRPr="002F2FDF">
        <w:rPr>
          <w:color w:val="000000" w:themeColor="text1"/>
          <w:kern w:val="2"/>
          <w:sz w:val="16"/>
          <w:szCs w:val="16"/>
        </w:rPr>
        <w:t>16 (29) июня 1917 Временное правительство опубликовало воззвание «Гражданам Украины». Временное правительство не признавало украинской автономии и призывало украинцев сконцентрироваться на развитии городского и земского самоуправления. Интересы же украинского народа должны были быть представлены украинскими представителями во Всероссийском Учредительном собрании. При этом в воззвании Временное правительство исказило суть некоторых требований Рады. Так, в нем утверждалось, что Рада требовала «послать на Украину особого областного комиссара», хотя речь шла о комиссаре, назначенном самими украинцами. Кроме того, в воззвании никак не упоминался выдвинутый Радой тезис об общеукраинском выборном представительстве. Такая позиция Временного правительства была воспринята Радой как неуважение, что укрепило позиции крайних националистов (17045).</w:t>
      </w:r>
    </w:p>
    <w:p w14:paraId="19F8C098" w14:textId="77777777" w:rsidR="00657464" w:rsidRPr="002F2FDF" w:rsidRDefault="0065746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0148A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74C38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17FC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июня 1917 Греция вступила в войну на стороне Антанты (2443,387).</w:t>
      </w:r>
    </w:p>
    <w:p w14:paraId="3D36B6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0F52A6" w14:textId="77777777" w:rsidR="00657464" w:rsidRPr="002F2FDF" w:rsidRDefault="00657464" w:rsidP="0083075A">
      <w:pPr>
        <w:pStyle w:val="ae"/>
        <w:spacing w:before="0" w:after="0"/>
        <w:jc w:val="both"/>
        <w:rPr>
          <w:color w:val="000000" w:themeColor="text1"/>
          <w:kern w:val="2"/>
          <w:sz w:val="16"/>
          <w:szCs w:val="16"/>
        </w:rPr>
      </w:pPr>
      <w:r w:rsidRPr="002F2FDF">
        <w:rPr>
          <w:color w:val="000000" w:themeColor="text1"/>
          <w:kern w:val="2"/>
          <w:sz w:val="16"/>
          <w:szCs w:val="16"/>
        </w:rPr>
        <w:t>16 (29) июня 1917 греческое правительство при посредничестве Швейцарии поставило в известность правительства Германии, Австро-Венгрии, Болгарии и Турции о разрыве дипломатических отношений. 2 июля Греция официально объявила войну этим четырем государствам (17045).</w:t>
      </w:r>
    </w:p>
    <w:p w14:paraId="21E2A065" w14:textId="77777777" w:rsidR="00657464" w:rsidRPr="002F2FDF" w:rsidRDefault="0065746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30005C" w14:textId="77777777" w:rsidR="000F43BC"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28A8FB4" w14:textId="77777777" w:rsidR="000F43BC" w:rsidRPr="002F2FDF" w:rsidRDefault="000F43B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B7D4C3" w14:textId="77777777" w:rsidR="000F43BC" w:rsidRPr="002F2FDF" w:rsidRDefault="000F43B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17 </w:t>
      </w:r>
      <w:r w:rsidR="00BA5C59" w:rsidRPr="002F2FDF">
        <w:rPr>
          <w:rFonts w:ascii="Times New Roman" w:hAnsi="Times New Roman" w:cs="Times New Roman"/>
          <w:color w:val="000000" w:themeColor="text1"/>
          <w:kern w:val="2"/>
          <w:sz w:val="16"/>
          <w:szCs w:val="16"/>
        </w:rPr>
        <w:t xml:space="preserve">(30) </w:t>
      </w:r>
      <w:r w:rsidRPr="002F2FDF">
        <w:rPr>
          <w:rFonts w:ascii="Times New Roman" w:hAnsi="Times New Roman" w:cs="Times New Roman"/>
          <w:color w:val="000000" w:themeColor="text1"/>
          <w:kern w:val="2"/>
          <w:sz w:val="16"/>
          <w:szCs w:val="16"/>
        </w:rPr>
        <w:t>июня 1917 г. завершить изготовление ста «В.И.» (сер. №№ 527-626). К тому времени они уже считались морально устаревшими и непригодными к боевому применению. Представляет интерес своеобразие финансовых отношений фирмы и заказчика. А. Анатра, ссылаясь на внесенные в конструкцию изменения, требовал увеличения контрактной стоимости самолета «В.И.» на 1000 руб. по сравнению с базовым LAS. Военное ведомство признало факт потери фирмой 720 руб. на каждом «Вуазене Иванова», тем не менее, настояло на сохранении прежней стоимости (12252).</w:t>
      </w:r>
    </w:p>
    <w:p w14:paraId="3F6A3E04" w14:textId="77777777" w:rsidR="000F43BC" w:rsidRPr="002F2FDF" w:rsidRDefault="000F43BC" w:rsidP="0083075A">
      <w:pPr>
        <w:spacing w:after="0" w:line="240" w:lineRule="auto"/>
        <w:jc w:val="both"/>
        <w:rPr>
          <w:rFonts w:ascii="Times New Roman" w:hAnsi="Times New Roman" w:cs="Times New Roman"/>
          <w:color w:val="000000" w:themeColor="text1"/>
          <w:kern w:val="2"/>
          <w:sz w:val="16"/>
          <w:szCs w:val="16"/>
        </w:rPr>
      </w:pPr>
    </w:p>
    <w:p w14:paraId="648063B7"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17 (30) июня 1917 года. </w:t>
      </w:r>
    </w:p>
    <w:p w14:paraId="2C7E4185"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Совершенно секретно. </w:t>
      </w:r>
    </w:p>
    <w:p w14:paraId="02A448B0"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Журнал № 170 Особого Совещания для обсуждения и объединения мероприятий по обороне государства. </w:t>
      </w:r>
    </w:p>
    <w:p w14:paraId="73853258"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17 июня 1917 года. </w:t>
      </w:r>
    </w:p>
    <w:p w14:paraId="57E952D4"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Председательствовал . П. И. Пальчинский. </w:t>
      </w:r>
    </w:p>
    <w:p w14:paraId="2D1B7F56"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Присутствовали: Член Государственного Совета . С. И. Тимашев.</w:t>
      </w:r>
    </w:p>
    <w:p w14:paraId="12F0C470"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в. И. Тимирязев.</w:t>
      </w:r>
    </w:p>
    <w:p w14:paraId="39ACA706"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в. Ф. А. Иванов.</w:t>
      </w:r>
    </w:p>
    <w:p w14:paraId="2F905CB5"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в. И. Гурко. </w:t>
      </w:r>
    </w:p>
    <w:p w14:paraId="50416930"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Член Государственной Думы . Д. Н. Чихачев.</w:t>
      </w:r>
    </w:p>
    <w:p w14:paraId="786D43AE"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Н. В. Савич. </w:t>
      </w:r>
    </w:p>
    <w:p w14:paraId="12CA63F9"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военного министерства:</w:t>
      </w:r>
    </w:p>
    <w:p w14:paraId="796A0160"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 от артиллерии . А. А. Маниковский.</w:t>
      </w:r>
    </w:p>
    <w:p w14:paraId="72C3A95F"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Генерал-лейтенант . Н. А. Бабиков.</w:t>
      </w:r>
    </w:p>
    <w:p w14:paraId="5745981F"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Н. И. Богатко.</w:t>
      </w:r>
    </w:p>
    <w:p w14:paraId="23E9CBC8"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А. К. Овчинников. </w:t>
      </w:r>
    </w:p>
    <w:p w14:paraId="5B3B8E6C"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морского министерства:</w:t>
      </w:r>
    </w:p>
    <w:p w14:paraId="16D3AC1D"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Адмирал . В. А. Канин. </w:t>
      </w:r>
    </w:p>
    <w:p w14:paraId="517E9712"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министерства финансов:</w:t>
      </w:r>
    </w:p>
    <w:p w14:paraId="007672C5"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Действительный статский советник . А. И. Ефимович. </w:t>
      </w:r>
    </w:p>
    <w:p w14:paraId="5B1DB240"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Всероссийского городского союза: Уполномоченный союза . А. А. Давидов. </w:t>
      </w:r>
    </w:p>
    <w:p w14:paraId="1D4C346B"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Особо приглашенные в заседание:</w:t>
      </w:r>
    </w:p>
    <w:p w14:paraId="0F83B2C8"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 от инфантерии . А. А. Поливанов.</w:t>
      </w:r>
    </w:p>
    <w:p w14:paraId="4A6E6830"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Генерал-лейтенант . В. Н. Ипатьев.</w:t>
      </w:r>
    </w:p>
    <w:p w14:paraId="089FE8DC"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М. З. Шеманов.</w:t>
      </w:r>
    </w:p>
    <w:p w14:paraId="79B4F737"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А. А. Якимович.</w:t>
      </w:r>
    </w:p>
    <w:p w14:paraId="2E7CFB22"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Генерал-майоры . А. А. Саткевич.</w:t>
      </w:r>
    </w:p>
    <w:p w14:paraId="0BBB0E76"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А. А. Михельсон.</w:t>
      </w:r>
    </w:p>
    <w:p w14:paraId="222686CE"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М. Н. Орлов.</w:t>
      </w:r>
    </w:p>
    <w:p w14:paraId="3B0E60AE"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Полковник . Д. В. Яковлев.</w:t>
      </w:r>
    </w:p>
    <w:p w14:paraId="319FD6DE"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Капитан I-го ранга . И. Н. Дмитриев.</w:t>
      </w:r>
    </w:p>
    <w:p w14:paraId="5C02CC74"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Инженер . И. С. Каннегисер.</w:t>
      </w:r>
    </w:p>
    <w:p w14:paraId="726A54C1"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Заместитель председателя Центрального военно-промышленного комитета . Н. Н. Изнар.</w:t>
      </w:r>
    </w:p>
    <w:p w14:paraId="74426F6A"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Управляющий отделом промышленности . В. Г. Варзар. </w:t>
      </w:r>
    </w:p>
    <w:p w14:paraId="33B926BA"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Делопроизводитель Особого Совещания: Подполковник .  С. И. Качалов. </w:t>
      </w:r>
    </w:p>
    <w:p w14:paraId="610F72BA"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 открытии заседания управляющий делами Особого Совещания генерал-лейтенант Н. А. Бабиков огласил резолюцию по журналу от 14 июня 1917 года за № 169 и доложил о сделанных распоряжениях по исполнению этой резолюции. Засим Совещание одобряет доклад подготовительной комиссии по общим вопросам185 о заготовлении через фабрику «И. Гот» в Петрограде веревок и канатов для главного военно-технического управления на общую сумму 799 965 руб. 25 коп.</w:t>
      </w:r>
    </w:p>
    <w:p w14:paraId="28B13C83"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Приступив далее к обсуждению доклада той же комиссии о выдаче авансов без обеспечения по заказам главного морского хозяйственного управления заводу А. Эльрих и Ко в Нижнем Новгороде — смазочного масла и товариществу Нарвской льнопрядильной мануфактуры — парусины и ниток, </w:t>
      </w:r>
    </w:p>
    <w:p w14:paraId="326B397E"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Совещание приняло во внимание, что до настоящего времени морское ведомство не обращалось к Совещанию с представлениями о выдаче контрагентам ведомства авансов без обеспечения; при этом Совещанию вообще не известны заготовительные планы морского министерства. Хотя, по-видимому, никаких препятствий к выдаче авансов без обеспечения вышеозначенным фирмам ввиду их кредитоспособности не встречается, однако при неизвестности общих условий и размеров заказов министерства, а равно и применявшегося ведомством до сего времени порядка испрошения разрешений на выдачу таких авансов одобрение Особым Совещанием этих двух представлений ведомства вне связи с общим заготовительным планом едва ли допустимо.</w:t>
      </w:r>
    </w:p>
    <w:p w14:paraId="568970B0"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сему поводу представитель морского министерства адмирал Канин заявил, что со стороны ведомства не встречается препятствий к сообщению на обсуждение Совещания общего заготовительного плана морского министерства, а также всех данных, касающихся условий и порядка Вследствие сего Совещание признает необходимым отложить рассмотрение обсуждаемых докладов под представление ведомством соответственных сведений. Одобрив засим доклад той же комиссии186 о выдаче бар. В. Р. Штейнгелю дополнительного аванса в сумме 346 680 руб., по заказу главного интендантского управления галет, Совещание приняло во внимание, что означенная сумма нужна контрагенту для уплаты за получаемую от казны пшеницу. </w:t>
      </w:r>
    </w:p>
    <w:p w14:paraId="71B4E893"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Ввиду сего Совещание признало необходимым в целях сокращения оборота денежных знаков перечислить соответственную сумму в кредиты министерства продовольствия. Далее Совещание остановилось на докладе той же комиссии о порядке рассмотрения плановых предположений ведомства и разрешения выдачи заказов и о распределении соответствующих функций между совещанием товарищей министров по снабжению, Особым Совещанием по обороне с его подготовительными комиссиями и исполнительной комиссией при Военном министре. </w:t>
      </w:r>
    </w:p>
    <w:p w14:paraId="444B4B09"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подготовительной комиссии по общим вопросам и в прошлое время несколько раз затрагивался вопрос о недостаточно ясном разграничении функций подготовительных комиссий Особого Совещания по обороне и исполнительной при Военном министре комиссии. Вопрос этот за последнее время еще усложнился передачей некоторых дел ведению Совещания 4-х Товарищей Министров, и теперь является, по мнению подготовительной комиссии по общим вопросам, насущная необходимость точнее разграничить пределы ведения каждого из вышеуказанных органов во избежание несогласованности их работ и недоразумений на почве ответственности за принятые решения. До сего времени подготовительная комиссия по общим вопросам, усматривая назначение Особого Совещания по обороне главным образом в обеспечении снабжения фронтов предметами боевого и материального довольствия, считала своей основной задачей критическую оценку плановых заготовительных предположений довольствующих управлений и общее наблюдение за ходом осуществления этих предположений, при условии возложения всех хозяйственных действий, связанных с размещением и исполнением заказов, на довольствующие управления, обязанные испрашивать соответствующие разрешения через исполнительную комиссию, как то указывается статьями 1-й, 2-й и 6-й положения об этой комиссии, утвержденного 17 августа 1915 года. Некоторое исключение из такого порядка направления дел приходилось делать лишь в отношении вопросов о выдаче авансов без обеспечения по поставкам на оборону, так как разрешение таковых выходило за пределы полномочий исполнительной комиссии (что соответствует ст. ст. 7 и 8 указанного «Положения»). Вообще, при рассмотрении вопросов о выдаче авансов подготовительным комиссиям надлежало постоянно иметь в виду, что дела подлежат дальнейшему направлению в исполнительную комиссию (представления в каковую в большинстве случаев и прилагались к делам) — для об- суждения приемлемости контрактных условий и для оценки исполнения заказов с хозяйственной стороны, почему суждения в подготовительных комиссиях и выносившиеся ими проекты постановлений Особого Совещания должны были иметь не абсолютно окончательную форму, так как даже основной вопрос о ценах заказа затрагивался подготовительными комиссиями более в осведомительном порядке, для соображения о сравнительной выгодности различных предложений. Согласованию взглядов подготовительных комиссий Особого Совещания с взглядами исполнительной комиссии мешало то обстоятельство, что подготовительные комиссии совершенно не поставлялись в известность о постановлениях исполнительной комиссии, вопреки ст. 11-й «Положения» о последней. Названные постановления передавались, согласно пожеланию Особого Совещания, в наблюдательную комиссию, которая и должна была, согласно упомянутой ст. 11, доводить до сведения Особого Совещания. </w:t>
      </w:r>
    </w:p>
    <w:p w14:paraId="178A6706"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 другой стороны, уже в начале нынешнего года, еще до Государственного переворота, заготовительные планы ведомств на сроки до 1-го июля 1918 года были рассмотрены до обсуждения их в подготовительных комиссиях Особой временной комиссией с участием представителей Ставки, под председательством б. помощника Военного министра Н. П. Гари- 187 на , и это обстоятельство уже внесло некоторые затруднения в свободу суждений подготовительных комиссий, так как ведомства опирались в своих исполнительных действиях на планы, не санкционированные Особым Совещанием по докладу подготовительных комиссий. Ныне, с передачей многих вопросов о заготовительных предложениях ведомств в постоянное Совещание 4-х Товарищей Министров с участием ведомственных представителей, подготовительным комиссиям приходится выслушивать от ведомств заявления, что осуществление того или другого заготовления задерживается им до окончания рассмотрения новых заготовительных плановых предположений в Совещании под председательством генерала Маниковского, а затем — сообщения, что такие-то заготовительные предположения уже одобрены названным Совещанием. </w:t>
      </w:r>
    </w:p>
    <w:p w14:paraId="339F00FC"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сему поводу Председательствующий заявил, что возбужденный подготовительной комиссией вопрос представляется весьма существенным и целесообразное распределение обязанностей всех вышеупомянутых учреждений является совершенно неотложным. Распределение это должно основываться на нижеследующих общих соображениях: Совещание Товарищей Министров по снабжению является тем органом, который рассматривает планы заготовки всех ведомств с общегосударственной точки зрения — окончательно согласуя эти планы, с одной стороны, с наличностью металла, топлива и рабочих рук и, с другой стороны, с неотложностью удовлетворения тех или других нужд обороны и общих потребностей страны. Что касается Особого Совещания по обороне и его подготовительных комиссий, то таковые должны рассматривать планы заготовок с несколько более узкой точки зрения — их целесообразности и действительной неотложности в смысле нужд обороны, причем соответственные заключения Совещания, переходя на последующее рассмотрение совещания товарищей министров, дают последнему истинную картину и критическую оценку потребностей обороны. Наконец, исполнительная комиссия при Военном Министре должна лишь осуществлять решения Особого Совещания, прошедшие через совещание товарищей министров, давая довольствующим управлениям определенные указания относительно условий в порядке заключения контрактов. Вполне присоединяясь к такому распределению обязанностей, член Государственной Думы Н. В. Савич указывает, что исполнительная комиссия должна доводить до сведения Особого Совещания и его подготовительных комиссий о тех случаях, когда заключения Совещания не были приведены в исполнение, либо подверглись изменениям, сообщая при этом также и о тех соображениях, по коим Совещанием Товарищей Министров было принято соответственное решение. Совещание, одобряя вышеизложенные предположения, считает желательным просить совещание товарищей министров разработать соответственные правила о порядке деятельности отдельных учреждений, ведающих снабжением. </w:t>
      </w:r>
    </w:p>
    <w:p w14:paraId="75F59909"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Перейдя засим к рассмотрению доклада подготовительной комиссии по общим вопросам о выдаче аванса без обеспечения заводам боевых припасов Г. К. Питоева в Батуме, по заказу главного военно-технического управления минных аппаратов и мин, Совещание приняло во внимание, что, несмотря на отличное оборудование означенных заводов, крайне несовершенная администрация их и неумение правильно поставить работы привели к тому, что данный заводу Центральным военно-промышленным комитетом заказ на ручные гранаты был исполнен с большим запозданием, вызвал множество затруднений и нанес фирме значительные убытки, хотя другие предприятия, исполнявшие однородные заказы по тем же ценам, получили на них крупную прибыль. Едва ли при таких условиях целесообразно выдавать заводам Питоева какой-либо аванс, причем было бы желательно принять меры к ликвидации самого заказа, тем более что в потребной для него жести ощущается большой недостаток. Разделяя изложенное мнение, Совещание высказывается против выдачи фирме Г. И. Питоева аванса и выражает пожелание, чтобы главное военно-техническое управление вошло с фирмой в переговоры относительно ликвидации заказа, которого последняя, вероятно, окажется не в силах выполнить без получении аванса.</w:t>
      </w:r>
    </w:p>
    <w:p w14:paraId="69FCF823"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Далее Совещание переходит к обсуждению доклада той же комиссии об отклонении заказа на 42”’ стальные фугасные бомбы обществу Коломенского машиностроительного завода и о даче заказа на те же снаряды заводу «Сормово». Рассмотрев предложения Коломенского завода, подготовительная комиссия приняла во внимание, что по предыдущему контракту завод сдал к 1 мая сего года вместо следуемых 214 000 бомб лишь 54 657, ввиду чего является сомнительным, чтобы </w:t>
      </w:r>
      <w:r w:rsidRPr="002F2FDF">
        <w:rPr>
          <w:rFonts w:ascii="Times New Roman" w:hAnsi="Times New Roman" w:cs="Times New Roman"/>
          <w:color w:val="000000" w:themeColor="text1"/>
          <w:sz w:val="16"/>
          <w:szCs w:val="16"/>
        </w:rPr>
        <w:lastRenderedPageBreak/>
        <w:t xml:space="preserve">завод успел до 1 января 1918 года закончить всю поставку по этому контракту. При таких условиях выдача ему нового заказа на те же бомбы представляется ныне во всяком случае преждевременной. </w:t>
      </w:r>
    </w:p>
    <w:p w14:paraId="28C838F3"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Что касается Сормовского завода, то он ныне заканчивает поставку по предыдущему контракту и потому комиссия не встретила препятствий к выдаче ему нового заказа на 66 000 42”’ бомб, с выдачей аванса в 65 % стоимости поставки, по третям, на общих основаниях. </w:t>
      </w:r>
    </w:p>
    <w:p w14:paraId="243D7AC6"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поводу означенных предположений представитель Министерства Торговли и Промышленности В. Е. Варзар заметил, что оба означенные завода предполагают совершенно закрыть свое производство с 1 июня за неимением средств и потому выдача им каких-либо заказов не своевременна. Председательствующий указывает, что Правительство ни в коем случае не допустит закрытия этих заводов, имеющих исключительно важное государственное значение. Если же чрезвычайные обстоятельства лишат Правительство возможности принять необходимые в сем отношении меры, то это произойдет при таких крайних условиях, с коими Особому Совещанию считаться ныне совершенно невозможно, так как в таком случае пришлось бы вообще прекратить дачу всяких заказов. </w:t>
      </w:r>
    </w:p>
    <w:p w14:paraId="659BD61E"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Государственного Совета Ф. А. Иванов заявляет, что установленные Правительством новые налоги на промышленность вызовут неизбежное закрытие громадного большинства предприятий, которые лишаются не только всех своих оборотных средств, но и части основных капиталов. Не следует упускать из вида, что предположение мерами Правительства во всяком случае обеспечить дальнейшую деятельность Сормовского и Коломенского заводов едва ли осуществимо. Для этого было бы необходимо поддерживать работу целого ряда других предприятий, снабжающих Коломенские и Сормовские заводы материалами и топливом, что потребовало бы таких средств и сил, коими Правительство не располагает. </w:t>
      </w:r>
    </w:p>
    <w:p w14:paraId="26723516"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Государственного Совета В. И. Тимирязев отмечает, что на те, крайне отрицательные для промышленности, последствия, которые будут иметь новые налоговые законы, должно быть обращено внимание Особого Совещания, имеющего своей первой задачей обеспечение армии и флота предметами боевого и материального довольствия. Нет сомнения, что промышленность, потрясенная до оснований неумеренными требованиями рабочих, получает новый тяжкий удар от Правительства, ныне отнимающего у нее не только всю чистую прибыль, но и те незначительные остатки оборотных средств, коими она еще ныне располагает. Следует иметь в виду, что та налоговая прибыль, до 90 % коей подлежит обращению в казну, превышает действительную чистую прибыль и, таким образом, новые налоги, в сущности, устанавливают обложение, доходящее до 100–120 % последней. Меры эти представляются особенно отрицательными, с одной стороны, потому, что срок взноса первой половины налогов установлен слишком краткий — 1 августа сего года, и, с другой — потому, что обложению подлежат прибыли минувшего операционного года, которые почти всеми предприятиями уже выплачены акционерам и в распоряжении предприятий более на находятся. </w:t>
      </w:r>
    </w:p>
    <w:p w14:paraId="066B4DF5"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Если Правительство, считаясь с необходимостью, по государственным соображениям, во что бы то ни стало обеспечить дальнейшую работу важнейших отраслей промышленности, окажет им материальную поддержку из средств казны, в сознании, что без такого воспособления большинство предприятий закроется, то оно тем самым только подтвердит, что вновь предпринятые им налоговые мероприятия недостаточно продуманны и нецелесообразны. Действительно, вызываемые такой поддержкой промышленности расходы казны будут громадны и лишат ее значительной части поступлений от новых налогов, между тем вся промышленность испытает такие потрясения, которые на долгое время подорвут ее дальнейшее развитие и принесут государству в его целом неисчислимые потери. Нельзя не высказать глубочайшего сожаления, что Правительство, коему промышленность неоднократно заявляла о решимости своей в сознании долга перед отечеством временно отказаться от всяких прибылей, не сочло нужным привлечь к обсуждению своих налоговых предположений представителей промышленности, которые установили бы целесообразные способы и допустимые размеры обложения.</w:t>
      </w:r>
    </w:p>
    <w:p w14:paraId="5D9A75FC"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 от инфантерии А. А. Поливанов отмечает, что первостепенной важности соображения о нуждах обороны, тесно связанные с дальнейшей непрерывной деятельностью промышленности, не были в должной мере приняты во внимание при установлении обсуждаемых чрезмерных налогов, которые, несомненно, крайне печально отразятся на снабжении нашей армии и флота. Член Государственного Совета Ф. А. Иванов считает нужным пояснить, что промышленники, заявляя о своей решимости отказаться от всякой прибыли, имели в виду лишь прибыль текущего года. Между тем новые налоги облагают прибыли прошлого года, уже выданные акционерам, и, таким образом, ставят промышленность в совершенно безвыходное положение. Председательствующий, признавая справедливость высказанных соображений, сообщает, что на крайне отрицательные для промышленности последствия обсуждаемых мероприятий обратило уже внимание министерство торговли и промышленности, которое обсуждает ныне вопрос о способах предотвращения грозящей государству в сем отношении опасности , ввиду чего суждения Особого Совещания не вызывают необходимости каких-либо дальнейших распоряжений. Совещание, присоединившись к означенному заключению, не встречает засим препятствий к утверждению предположений подготовительной комиссии о выдаче заказа акционерному обществу «Сормово» на 42”’ стальные фугасные бомбы. </w:t>
      </w:r>
    </w:p>
    <w:p w14:paraId="09AD376A"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Совещание перешло к обсуждению доклада той же комиссии о заказе акционерному обществу Петроградского механического и литейного завода 3 000 щитовых листов к пулеметным станкам Соколова на сумму 143 850 рублей. Комиссия, приняв во внимание, что на весь заказ потребуется лишь 1 650 пудов металла, признала возможным предоставить обществу этот заказ, с выдачей аванса без обеспечения в 30 % его стоимости в два срока. Председательствующий замечает, что предоставление означенного заказа Петроградскому механическому и литейному заводу, до сего времени таких работ не исполнявшему, едва ли желательно, особенно ввиду необходимости всемерно сокращать производство на заводах в Петрограде. Генерал-майор М. Н. Орлов сообщает, что выдача заказа на щитовые листы Петроградскому механическому и литейному заводу объясняется тем, что другие заводы заявили более высокие цены; так, например, Сормовский завод установил цену на лист в 68 рублей, тогда как обсуждаемый заказ дается по цене 47 руб. 95 коп. Считаясь, однако, с тем, что, как выяснилось ныне, число пулеметов, которые будут изготовлены к 1 января 1918 года, будет несколько менее, чем это предполагалось ранее, дачу обсуждаемого заказа можно отложить. </w:t>
      </w:r>
    </w:p>
    <w:p w14:paraId="5533A271"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Совещание, приняв во внимание изложенное заявление представителя главного артиллерийского управления, высказывается за отклонение заказа и переходит к обсуждению доклада той же комиссии о заказе акционерному обществу завода Франц Крулль в Ревеле 1 000 штук железных цистерн для сжиженного газа на сумму 435 850 р. При обсуждении сего комиссия обратила внимание на нежелательность предоставления заказа в Ревеле. Однако представитель химического комитета, указав на настоятельность скорейшего изготовления цистерн, сообщил, что почти все потребное количество труб уже имеется на заводе и встречается лишь затруднение в получении железных днищ для цистерн. Комиссия высказалась ввиду сего за предоставление заказа, при условии, если будет выяснено, что завод получит металл. Председательствующий, указывая на крайнюю нежелательность исполнения каких-либо новых заказов в Ревеле, полагает, что имеющиеся на заводе Крулля трубы могли бы быть использованы при изготовлении цистерн на каком-либо другом заводе, находящемся в местности, более благоприятной в отношении получения металла, коего потребуется около 25 000 пудов, тем более что перевозка труб из Ревеля не вызовет никаких затруднений, так как в этом направлении вагоны в большинстве случаев идут без грузов. Совещание, присоединяясь к изложенному мнению Председательствующего, признает необходимым отложить рассмотрение этого дела, передав его на заключение химического комитета в целях выяснения вопроса об исполнении заказа на заводе, находящемся в более благоприятных условиях производства, с возможным использованием заготовленных на заводе Крулля труб. </w:t>
      </w:r>
    </w:p>
    <w:p w14:paraId="38EBA716"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Далее Совещание переходит к обсуждению доклада той же комиссии по ходатайству Л. А. Михельсона о выдаче ему дополнительного аванса в 4 800 000 рублей в размере до 85 % стоимости данного ему 26 мая 1916 года заказа на 2 000 000 3-дюйм. гранат. По этому заказу Л. А. Михельсону выдан аванс без обеспечения в 11 200 000 рублей, из коих погашено поставками 1 216 800 рублей; кроме того, по заказу на трубки ему выдан аванс без обеспечения в 6 666 666 рублей, и, таким образом, всего числится авансов без обеспечения 16 649 866 руб лей. Из подлежавших сдаче к 1 мая сего года 575 000 гранат сдано лишь 149 611 штук, причем нормальных дальнейших сдач гранат нельзя ожидать, так как производство их задерживается слабым поступлением металла. Комиссия, считая, что повышение аванса до 21 000 000 руб лей, нисколько не обеспечивая исправного выполнения контрактов, крайне нежелательно с точки зрения интересов Государственного казначейства, высказалась против удовлетворения ходатайства Л. А. Михельсона и полагала, что вопрос о финансовом положении предприятия и техническом его оборудовании требует ближайшего выяснения. Совещание, одобрив заключение комиссии, признало желательным поручить Московскому заводскому совещанию обследовать положение дел предприятия Л. А. Михельсона. Засим Совещание, одобрив доклад подготовительной комиссии по авиационным вопросам об образовании при высшем Московском Техническом училище высших авиационных курсов военного времени, признает необходимым в целях скорейшего осуществления этой весьма важной и полезной меры направить представление об учреждении курсов в виде временной меры и об отпуске средств из военного фонда на их содержание, в течение одного учебного 1917–1918 года, — в установленном порядке — в Военный Совет. Находя вместе с сим желательным, чтобы означенные курсы были превращены впоследствии в постоянное учреждение, Совещание полагало довести об этом до сведения Временного Правительства. </w:t>
      </w:r>
    </w:p>
    <w:p w14:paraId="4375CF42"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заключение Совещание остановилось на докладе той же комиссии по вопросу об образовании Особого правления на заводе В. В. Слюсаренко. Кризис, переживаемый ныне промышленностью, и в особенности требования рабочих и служащих о повышении заработной платы привели аэропланный завод Слюсаренко к положению, близкому к закрытию. Одно финансирование предприятия путем выдачи авансов создает лишь временную отсрочку в закрытии предприятия, увеличивая его задолженность казне, без всякой уверенности в том, что заказы на оборону будут выполнены. После переговоров с Слюсаренко и его рабочими управление военного воздушного флота признало наиболее целесообразным образовать для заведывания заводом, в порядке п. 4 ст. 10 Положения об Особом Совещании, особое управление в составе двух представителей управления военного воздушного флота, двух представителей рабочих, двух служащих и самого Слюсаренко. Подготовительная комиссия по авиационным вопросам нашла, что осуществление предположений управления военного воздушного флота могло бы явиться прецедентом для аналогичного разрешения вопросов, возникающих ныне во многих предприятиях в связи с переживаемым ныне промышленностью тяжким кризисом. Установив на заводе Слюсаренко, поставленном в безвыходное положение неумеренными требованиями рабочих, управление из их представителей с участием чинов ведомства, Правительство сделало бы первый, весьма опасный, шаг на пути к принятию в свое заведывание громадного количества разных предприятий, находящихся ныне в столь же тяжелом положении. Считая, что разрешение вопроса столь громадной важности по поводу частного случая представлялось бы в высшей степени опасным и недостаточно продуманным и во всяком случае выходящем из пределов ее ведения, комиссия постановила предложение управления военного воздушного флота отклонить.</w:t>
      </w:r>
    </w:p>
    <w:p w14:paraId="199CEFC5"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Член Государственного Совета Ф. А. Иванов, вполне присоединяясь к заключению комиссии, находит, что установление каких-либо соглашений между рабочими частных предприятий и управлениями военного ведомства крайне нежелательно. Последние должны иметь дело только с владельцами предприятий, которые уже должны сами договариваться с рабочими. Всякая иная точка зрения повела бы к неисчислимым расходам для казны, нисколько не улучшив дело снабжения армии. Если бы даже Правительство и признало нужным осуществлять в том или ином виде социализацию промышленности, то во всяком случае проведение подобных мер могло быть возложено на министерство труда или на какое-либо особое учреждение, но ни в коем случае не на военное ведомство, имеющее совершенно иные задачи и цели. В частности, если завод Слюсаренко будет принужден закрыться вследствие неумеренных требований рабочих, то это только послужит на пользу делу снабжения, так как рабочие других предприятий убедятся, что Особое Совещание никогда не пойдет на беспредельное увеличение цен, даже в тех отраслях производства, которые имеют важнейшее значение в деле обороны. </w:t>
      </w:r>
    </w:p>
    <w:p w14:paraId="34A71569"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Совещание, одобрив заключение комиссии, высказывается за передачу всего дела на усмотрение Министерства Труда. Наконец Совещание, согласно предложению председателя той же комиссии, высказывается за включение в состав образованной по распоряжению Председателя Особого Совещания комиссии для окончания расчетов с Русско-Балтийским заводом за поставленные им аэропланы системы «Илья Муромец» представителя министерства торговли и промышленности.</w:t>
      </w:r>
    </w:p>
    <w:p w14:paraId="08ED2382"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Подписи. </w:t>
      </w:r>
    </w:p>
    <w:p w14:paraId="0C77D4D9"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 Особого Совещания в отношении приведения в исполнение требующих того суждений Особого Совещания решил:</w:t>
      </w:r>
    </w:p>
    <w:p w14:paraId="6C2D3929"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Утвердить доклад подготовительной комиссии по общим вопросам о заготовлении главным военно-техническим управлением веревок и канатов. </w:t>
      </w:r>
    </w:p>
    <w:p w14:paraId="1DF6B9CE"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Отложить рассмотрение докладов той же комиссии о выдаче авансов без обеспечения по заказам главного морского хозяйственного управления — смазочных масел заводу «А. Эльрих и Ко» в Нижнем Новгороде и парусины и ниток — товариществу «Нарвской льнопрядильной мануфактуры» до представления морским ведомством своих заготовительных планов. </w:t>
      </w:r>
    </w:p>
    <w:p w14:paraId="1D42DA7F"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3) По докладу той же комиссии о выдаче барону В. Р. Штейнгелю дополнительного аванса в триста сорок шесть тысяч шестьсот восемьдесят (346 680) руб лей по заказам главного интендантского управления галет: разрешить выдачу аванса, с тем чтобы отпускаемые средства были перечислены в кредиты министерства продовольствия. </w:t>
      </w:r>
    </w:p>
    <w:p w14:paraId="28C4F8A1"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4) По докладу той же комиссии о порядке рассмотрения плановых предположений ведомств и разрешения дачи заказов и о распределении соответственных функций между совещанием товарищей министров по снабжению Особым Совещанием с его подготовительными комиссиями и исполнительной комиссией при Военном министре: просить совещание товарищей министров по снабжению выяснить распределение обязанностей означенных учреждений по рассмотрению плановых предположений ведомств и разрешению выдачи заказов при участии председателей указанных комиссий. </w:t>
      </w:r>
    </w:p>
    <w:p w14:paraId="2782FEB3"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5) По докладу той же комиссии о выдаче аванса без обеспечения заводам боевых припасов Г. К. Питоева в Батуме по заказу главного военно-технического управления минных аппаратов и мин: аванса заводам не выдавать; поручить главному военно-техническому управлению принять меры к ликвидации заказа. </w:t>
      </w:r>
    </w:p>
    <w:p w14:paraId="6771D412"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6) По докладу подготовительной комиссии по артиллерийским вопросам о заказе акционерному обществу Петроградского механического и литейного завода щитовых листов к пулеметным станкам Соколова: заказа не давать. </w:t>
      </w:r>
    </w:p>
    <w:p w14:paraId="14E1957A"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7) Утвердить доклад той же комиссии:</w:t>
      </w:r>
    </w:p>
    <w:p w14:paraId="2D30221E"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об отклонении заказа на 42”’ стальные фугасные бомбы обществу Коломенского машиностроительного завода и </w:t>
      </w:r>
    </w:p>
    <w:p w14:paraId="2A99A69A"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о даче заказа на те же снаряды заводу «Сормово». </w:t>
      </w:r>
    </w:p>
    <w:p w14:paraId="63992348"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8) По докладу той же комиссии о заказе акционерному обществу завода Ф. Крулль в Ревеле железных цистерн для сжиженного газа: передать дело на заключение химического комитета в целях выяснения вопроса о передаче означенного заказа заводу, находящемуся в более благоприятных условиях производства, с возможным использованием заготовленных на заводе Крулля труб. </w:t>
      </w:r>
    </w:p>
    <w:p w14:paraId="04EB69FC"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9) Утвердить доклад той же комиссии об отклонении ходатайства Л. А. Михельсона о выдаче ему дополнительного аванса по заказу 3” гранат; поручить местному заводскому совещанию обследовать положение дел на заводе Михельсона. </w:t>
      </w:r>
    </w:p>
    <w:p w14:paraId="564DA071"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10) По докладу подготовительной комиссии по авиационным вопросам об образовании высших </w:t>
      </w:r>
      <w:r w:rsidRPr="002F2FDF">
        <w:rPr>
          <w:rFonts w:ascii="Times New Roman" w:hAnsi="Times New Roman" w:cs="Times New Roman"/>
          <w:color w:val="000000" w:themeColor="text1"/>
          <w:sz w:val="16"/>
          <w:szCs w:val="16"/>
          <w:highlight w:val="yellow"/>
        </w:rPr>
        <w:t>авиационных курсов</w:t>
      </w:r>
      <w:r w:rsidRPr="002F2FDF">
        <w:rPr>
          <w:rFonts w:ascii="Times New Roman" w:hAnsi="Times New Roman" w:cs="Times New Roman"/>
          <w:color w:val="000000" w:themeColor="text1"/>
          <w:sz w:val="16"/>
          <w:szCs w:val="16"/>
        </w:rPr>
        <w:t xml:space="preserve"> при высшем Московском техническом училище: утвердить заключения комиссии; направить представление об учреждении курсов в виде временной меры и об отпуске средств на их содержание из военного фонда — в установленном порядке — в Военный Совет; сообщить Временному Правительству о желательности утверждения постоянных высших авиационных курсов при высшем Московском техническом училище.</w:t>
      </w:r>
    </w:p>
    <w:p w14:paraId="7B10FC38"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11) Утвердить заключения той же комиссии об отклонении намеченного управлением военного воздушного флота преобразования управления аэропланного завода В. В. Слюсаренко, передав это дело на рассмотрение министерства труда и министерства торговли и промышленности. </w:t>
      </w:r>
    </w:p>
    <w:p w14:paraId="55A8E322"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12) Включить в состав образованной по постановлению Председателя Особого Совещания комиссии для окончания расчетов с Русско-Балтийским заводом за поставленные им аэропланы системы «Илья Муромец» представителя министерства торговли и промышленности. </w:t>
      </w:r>
    </w:p>
    <w:p w14:paraId="4B1E73AE"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Верно: управляющий делами генерал-лейтенант [Бабиков] (20435). </w:t>
      </w:r>
    </w:p>
    <w:p w14:paraId="6A48BC5D" w14:textId="77777777" w:rsidR="00A531D8" w:rsidRPr="002F2FDF" w:rsidRDefault="00A531D8" w:rsidP="0083075A">
      <w:pPr>
        <w:spacing w:after="0" w:line="240" w:lineRule="auto"/>
        <w:jc w:val="both"/>
        <w:rPr>
          <w:rFonts w:ascii="Times New Roman" w:hAnsi="Times New Roman" w:cs="Times New Roman"/>
          <w:color w:val="000000" w:themeColor="text1"/>
          <w:sz w:val="16"/>
          <w:szCs w:val="16"/>
        </w:rPr>
      </w:pPr>
    </w:p>
    <w:p w14:paraId="69D9FEFC" w14:textId="77777777" w:rsidR="00396FE3"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B17FA16" w14:textId="77777777" w:rsidR="00396FE3" w:rsidRPr="002F2FDF" w:rsidRDefault="00396F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E21774"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июня 1917 Обзор производительности металлообрабатывающих предприятий Московского промышленного района, составленный Статистическим отделом Об-ва заводчиков и фабрикантов Московского промышленного района.</w:t>
      </w:r>
    </w:p>
    <w:p w14:paraId="29AA818D"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143-146</w:t>
      </w:r>
    </w:p>
    <w:p w14:paraId="0D38D1D9"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ЦГАОР, ф. Моск. об-ва заводчиков и фабрикантов, д. 7, лл. 33—37.</w:t>
      </w:r>
    </w:p>
    <w:p w14:paraId="57D71A38"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Отделом металлообрабатывающей промышленности Об-ва заводчиков и фабрикантов произведено обследование изменения производительности заводов в связи с изменением средней дневной интенсивности труда заводских рабочих, а также неудовлетворительным получением топлива, металла и сырых материалов. Для сравнения взяты для всех заводов Московского промышленного района, согласно предложению отдела металлообрабатывающей промышленности, февраль и апрель т. г. Несмотря на то что часть ответов, полученных отделом, не оценивает в отдельности степени влияния на изменение производительности каждого из отмеченных факторов, сведения, представляемые анкетой, дают достаточно определенный ответ для основной темы анкеты —- изменения за последнее время самой интенсивности труда рабочих.</w:t>
      </w:r>
    </w:p>
    <w:p w14:paraId="7215AC82"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Сокращенное явочным порядком рабочее время, вместе с обилием праздничных дней в апреле, понизило потребность в топливе и сырых материалах сравнительно с февралем и в известных случаях вызвало даже накопление запасов, хотя железнодорожный подвоз оставался и в апреле совершенно неудовлетворительным. С введением 8-часового рабочего дня почти нигде не связывается, по сведениям анкеты, повышение качества и интенсивности труда. Не только абсолютные цифры дневного выпуска изделий, но и подсчет производительности заводов на рабочий час отмечают понижение производительности значительно далее пределов сокращенного на 20% рабочего времени.</w:t>
      </w:r>
    </w:p>
    <w:p w14:paraId="4487F315"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отдельных заводах выпуск изделий в апреле колебался одинаково. Три-четыре завода констатировали, что у них выпуск изделий совершенно не сократился отчасти потому, что в феврале все заводы, как например Дорогомиловский завод Э. Прен, работали с сильно пониженной производительностью. Завод «Рои, Золинский и К°» отметил, что, несмотря на понижение рабочего времени на 20%, выпуск изделий этого завода упал только на 13% и 7% было наверстано повышенной интенсивностью труда рабочих. Во всех других ответах заводов мы. находим указание на понижение интенсивности труда. Более ясное представление о размерах явления получилось при подсчете числа рабочих в предприятиях, ответивших на анкету, когда оказалось, что более или менее значительное понижение интенсивности труда замечается в предприятиях, объединяющих до 96% этого числа рабочих. Московский арматурный завод Гакенталь, обеспеченный вполне металлом и топливом, перешедший с 10-часового рабочего дня на 8-часовой, отметил у себя понижение выпуска изделий на 35—45%, и, таким образом, интенсивность труда упала на этом заводе на 15—25%. На котельном и механическом заводе А. К. Дангауер и В. В. Кайзер несмотря на то, что расценки за обследуемый период были увеличены более чем вдвое, общая сумма выплаченного в апреле заработка не отличалась от выплаченной в феврале, потому, надо думать, что в этом случае имеется понижение производительности почти наполовину. В отдельных случаях. когда рабочим на этом заводе предъявлялись прежние сдельные листки, где была отмечена гораздо более значительная производительность, рабочие отвечали, что теперь они себя так «ломать» не станут. Вместе с тем лицам, сталкивающимся с вопросами заводской организации и управления, хорошо известно, какой невысокий коэффициент использования рабочего состава встречается в большинстве русских заводов.</w:t>
      </w:r>
    </w:p>
    <w:p w14:paraId="2E855036"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Такое же отношение рабочих отмечают и другие анкетные листы. Результатом этого является громадное понижение производительности отдельных цехов и категорий рабочих, далеко превосходящее всякие средние цифры понижения производительности. Московский металлический завод приводит следующую иллюстрацию нежелания рабочих повысить интенсивность труда при полной к тому возможности. На одном прокатном станке за 8 час. было прокатано 528 нуд. Считая два часа затраченными на перестановку вальцов, за час было прокатано 88 пуд. железа. В течение следующих 2 сверхурочных часов та же смена прокатала 342 пуда, т. е. в 1 час. по 171 пуд. Таким образом, усталость после 8-часовой работы не помешала рабочим повысить производительность на 100%. Лишь в немногих отдельных случаях на указанном заводе можно было констатировать сохранение прежней производительности, например в работе женщин в некоторых отделах. Вообще же говоря, тенденция не увеличивать а уменьшать производительность труда, компенсируя заработок повышением расценок, обрисовывается совершенно ясно в большей части производства завода. Завод не может организовать для повышения выпуска изделий сверхурочных работ, так как рабочие соглашаются на них лишь в редких случаях. А переход в непрерывных производствах от двух смен к трем при недостатке рабочих рук привел к тому, что выпуск изделий пришлось уменьшить, несмотря на то что наличность материалов позволяла увеличить производство. При этих обстоятельствах производительность, например, сталелитейного цеха понизилась в апреле </w:t>
      </w:r>
      <w:r w:rsidRPr="002F2FDF">
        <w:rPr>
          <w:rFonts w:ascii="Times New Roman" w:hAnsi="Times New Roman" w:cs="Times New Roman"/>
          <w:color w:val="000000" w:themeColor="text1"/>
          <w:kern w:val="2"/>
          <w:sz w:val="16"/>
          <w:szCs w:val="16"/>
        </w:rPr>
        <w:lastRenderedPageBreak/>
        <w:t>сравнительно с февралем на 45%. На аналогичное положение указывает завод «Дукс», понизивший производительность в апреле, хотя материалами он был обеспечен лучше, чем в феврале.</w:t>
      </w:r>
    </w:p>
    <w:p w14:paraId="4B62EA74"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сведениям, имеющимся в редакции «Торгово-промышленных известий» с большого завода массовых изделий близ Москвы, можно привести еще следующие примеры. В литейной этого завода рабочие в апреле потребовали сокращения плавки до половины нормального выпуска, причем остаток расплавленного металла пришлось вылить в день требования наружу. В кузнице на так называемой горячей половине рабочие на бульдозерах закладывают в горн 3—4 полосы, согнут их и идут в уборную, вместо того чтобы загрузить, по нормальному порядку работы.</w:t>
      </w:r>
    </w:p>
    <w:p w14:paraId="2CC93EE1"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штук 10 и непрерывно подкладывать по одной. Таким образом, рабочие борются за повышение расценок. В механическом цеху рабочий собирал несложную чугунную деталь. Надо было расклепать деталь и загнать в шпильку. В день средний рабочий должен делать 350 шт. и заработать на этой работе приблизительно 4 руб. 50 коп. Рабочий требовал увеличения расценки на 50%, и так как ответ заводской администрации не был получен в тот же день, он сделал на следующий день 300 шт. и из них 260 шт. браку, объяснив при этом, что каков расценок, так и работать будет. Данная работа относилась к категории работ, исполняющихся неквалифицированными рабочими. Примеров этого рода можно привести много. Волочильные станки, автоматы, мелкая и крупная сборка, формовка, инструментальные работы и пр. производятся с сокращенной от 25 до 70% производительностью. В цеху сплошь и рядом, когда надо просмотреть какую-нибудь работу, нет рабочего, один раз придешь — нет, другой раз — тоже, третий — тоже. Когда мастер вышел из цеха, рабочие идут курить. Заведующий производством гранат г. Б. . . находил своих рабочих в литейной, на другом конце двора, зашедших поговорить.</w:t>
      </w:r>
    </w:p>
    <w:p w14:paraId="3F7E164E"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Падение производительности на Коломенском машиностроительном заводе определяется следующими цифрами: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93"/>
        <w:gridCol w:w="2914"/>
      </w:tblGrid>
      <w:tr w:rsidR="002B1C74" w:rsidRPr="002F2FDF" w14:paraId="3CF9FE0B"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2A7CA2" w14:textId="3A40B216" w:rsidR="00396FE3"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C4BEF"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чугунолитейной мастерской</w:t>
            </w:r>
          </w:p>
        </w:tc>
      </w:tr>
      <w:tr w:rsidR="002B1C74" w:rsidRPr="002F2FDF" w14:paraId="44153CF7"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93CD54"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месяце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8E77C"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пуда 19 ф. на человека в 1 рабочий день</w:t>
            </w:r>
          </w:p>
        </w:tc>
      </w:tr>
      <w:tr w:rsidR="002B1C74" w:rsidRPr="002F2FDF" w14:paraId="19D966D8"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D09D0E"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60D4F"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 » » » » » »</w:t>
            </w:r>
          </w:p>
        </w:tc>
      </w:tr>
      <w:tr w:rsidR="002B1C74" w:rsidRPr="002F2FDF" w14:paraId="2FE2D3FF"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4B2976" w14:textId="22C3DB4E" w:rsidR="00396FE3"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2682A"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паровозной кузнице</w:t>
            </w:r>
          </w:p>
        </w:tc>
      </w:tr>
      <w:tr w:rsidR="002B1C74" w:rsidRPr="002F2FDF" w14:paraId="55957129"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EBB514"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месяце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E9922" w14:textId="5D1B711E" w:rsidR="00396FE3"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43760BF2"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231A7E"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C437E"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 4 ф. » » » » » »</w:t>
            </w:r>
          </w:p>
        </w:tc>
      </w:tr>
      <w:tr w:rsidR="002B1C74" w:rsidRPr="002F2FDF" w14:paraId="73E55E9E"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B50E38" w14:textId="330E0C56" w:rsidR="00396FE3"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F42E1"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вагонной кузнице</w:t>
            </w:r>
          </w:p>
        </w:tc>
      </w:tr>
      <w:tr w:rsidR="002B1C74" w:rsidRPr="002F2FDF" w14:paraId="2EDA5B93"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6BCC09"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месяце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F39D4"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пуда 23 ф. на человека в 1 рабочий день</w:t>
            </w:r>
          </w:p>
        </w:tc>
      </w:tr>
      <w:tr w:rsidR="002B1C74" w:rsidRPr="002F2FDF" w14:paraId="07293BC4"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F7DCEA"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2AD91"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пуд 30 ф. » » » » » »</w:t>
            </w:r>
          </w:p>
        </w:tc>
      </w:tr>
      <w:tr w:rsidR="002B1C74" w:rsidRPr="002F2FDF" w14:paraId="3D67788B"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E6887F" w14:textId="2DFC3C12" w:rsidR="00396FE3"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F561D"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гидравлическому пресс у</w:t>
            </w:r>
          </w:p>
        </w:tc>
      </w:tr>
      <w:tr w:rsidR="002B1C74" w:rsidRPr="002F2FDF" w14:paraId="5F9B9393"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883673"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месяце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DBE56" w14:textId="5564B878" w:rsidR="00396FE3"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FF0D287"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79604A"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FFAAF" w14:textId="3C5944C7" w:rsidR="00396FE3"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bl>
    <w:p w14:paraId="54C985C5"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свидетельству завода, недостаток топлива оказывал влияние на понижение производительности как в феврале, так и в апреле, но в феврале этот недостаток оказывался значительно сильнее. Если для этого завода взять его производительность за несколько больший период, за ноябрь, февраль и апрель, то получим следующие цифры: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38"/>
        <w:gridCol w:w="1049"/>
        <w:gridCol w:w="1126"/>
        <w:gridCol w:w="1068"/>
      </w:tblGrid>
      <w:tr w:rsidR="002B1C74" w:rsidRPr="002F2FDF" w14:paraId="71A61769"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1DB2CD"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Произведено изделий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15350"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61308"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4F41F"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 1917 г.</w:t>
            </w:r>
          </w:p>
        </w:tc>
      </w:tr>
      <w:tr w:rsidR="002B1C74" w:rsidRPr="002F2FDF" w14:paraId="73E56726"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DD024C"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Зарядных ящиков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DC77F"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B1B37"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00324"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w:t>
            </w:r>
          </w:p>
        </w:tc>
      </w:tr>
      <w:tr w:rsidR="002B1C74" w:rsidRPr="002F2FDF" w14:paraId="3A4C57B1"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B30C60"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Пулеметных двуколок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E842E"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1D996"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53985"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r>
      <w:tr w:rsidR="002B1C74" w:rsidRPr="002F2FDF" w14:paraId="538A85D1"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CCF9DE"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Походных кухонь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A87F2"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E47FF"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CEFDC"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w:t>
            </w:r>
          </w:p>
        </w:tc>
      </w:tr>
      <w:tr w:rsidR="002B1C74" w:rsidRPr="002F2FDF" w14:paraId="3845C12C"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3C73ED"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Вагонеток конной тяги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80C23"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667AA"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3D381"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390</w:t>
            </w:r>
          </w:p>
        </w:tc>
      </w:tr>
      <w:tr w:rsidR="002B1C74" w:rsidRPr="002F2FDF" w14:paraId="35D76BC8"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108F7F"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Вагонеток паровой тяги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DE52A"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D3090"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CAF8D"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r>
      <w:tr w:rsidR="002B1C74" w:rsidRPr="002F2FDF" w14:paraId="713E8E23"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4EB8A8"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Товарных единиц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EC16C"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F3583"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49E02"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w:t>
            </w:r>
          </w:p>
        </w:tc>
      </w:tr>
      <w:tr w:rsidR="002B1C74" w:rsidRPr="002F2FDF" w14:paraId="6B5DE753"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DFD406"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Паровозов больших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58EAC"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F2192"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7A3A6"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r>
      <w:tr w:rsidR="002B1C74" w:rsidRPr="002F2FDF" w14:paraId="038973B9"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805B0F"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Паровозов военных полевых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20453"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CAEA2"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44575"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r>
      <w:tr w:rsidR="002B1C74" w:rsidRPr="002F2FDF" w14:paraId="3C1FAC02"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2927FE"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Понтонов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0266D"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ECD56"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81663"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r>
      <w:tr w:rsidR="002B1C74" w:rsidRPr="002F2FDF" w14:paraId="70C0DEF5"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168C9D"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Австрийских вагонов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D2C3D"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70BC1"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AE506"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w:t>
            </w:r>
          </w:p>
        </w:tc>
      </w:tr>
      <w:tr w:rsidR="002B1C74" w:rsidRPr="002F2FDF" w14:paraId="62681662"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365DA8"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Шоссейных катков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3CB39"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837B5"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DC0BF" w14:textId="51FAC5D4" w:rsidR="00396FE3"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bl>
    <w:p w14:paraId="4E2F93E1"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Неуклонное понижение производительности составляет результат не только плохого снабжения заводов топливом и материалами, но п расстройства рабочего положения на заводах ввиду массового ухода тех-</w:t>
      </w:r>
    </w:p>
    <w:p w14:paraId="1248F642"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нического персонала и понижения интенсивности труда. Подводя общие итоги анкеты, произведенной Отделом металлообрабатывающей промышленности, можно сказать, что в среднем суточный выпуск изделий металлообрабатывающих заводов в апреле с. г. понизился сравнительно с февралем на 32% (15670).</w:t>
      </w:r>
    </w:p>
    <w:p w14:paraId="141BFB73" w14:textId="77777777" w:rsidR="00396FE3" w:rsidRPr="002F2FDF" w:rsidRDefault="00396FE3" w:rsidP="0083075A">
      <w:pPr>
        <w:spacing w:after="0" w:line="240" w:lineRule="auto"/>
        <w:jc w:val="both"/>
        <w:rPr>
          <w:rFonts w:ascii="Times New Roman" w:hAnsi="Times New Roman" w:cs="Times New Roman"/>
          <w:color w:val="000000" w:themeColor="text1"/>
          <w:kern w:val="2"/>
          <w:sz w:val="16"/>
          <w:szCs w:val="16"/>
        </w:rPr>
      </w:pPr>
    </w:p>
    <w:p w14:paraId="108A2A7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F8C00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4D3899" w14:textId="77777777" w:rsidR="00E97350" w:rsidRPr="00FB4F67" w:rsidRDefault="00E973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К </w:t>
      </w:r>
      <w:r>
        <w:rPr>
          <w:rFonts w:ascii="Times New Roman" w:hAnsi="Times New Roman" w:cs="Times New Roman"/>
          <w:color w:val="0070C0"/>
          <w:sz w:val="16"/>
          <w:szCs w:val="16"/>
        </w:rPr>
        <w:t>17 (</w:t>
      </w:r>
      <w:r w:rsidRPr="00FB4F67">
        <w:rPr>
          <w:rFonts w:ascii="Times New Roman" w:hAnsi="Times New Roman" w:cs="Times New Roman"/>
          <w:color w:val="0070C0"/>
          <w:sz w:val="16"/>
          <w:szCs w:val="16"/>
        </w:rPr>
        <w:t>30</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1917 г. Воздушный флот России получил из-за границы с начала войны около 500 самолетов и почти 1200 двигателей. К концу июня Воздушный флот имел на фронте 1031 самолет, из них 581 боевой (23525).</w:t>
      </w:r>
    </w:p>
    <w:p w14:paraId="2080EF9E" w14:textId="77777777" w:rsidR="00E97350" w:rsidRPr="00FB4F67" w:rsidRDefault="00E97350" w:rsidP="0083075A">
      <w:pPr>
        <w:spacing w:after="0" w:line="240" w:lineRule="auto"/>
        <w:jc w:val="both"/>
        <w:rPr>
          <w:rFonts w:ascii="Times New Roman" w:hAnsi="Times New Roman" w:cs="Times New Roman"/>
          <w:color w:val="0070C0"/>
          <w:sz w:val="16"/>
          <w:szCs w:val="16"/>
        </w:rPr>
      </w:pPr>
    </w:p>
    <w:p w14:paraId="58F0B7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июня 1917 в 1БАГ 2-го као прапорщик Криса</w:t>
      </w:r>
      <w:r w:rsidRPr="002F2FDF">
        <w:rPr>
          <w:rFonts w:ascii="Times New Roman" w:hAnsi="Times New Roman" w:cs="Times New Roman"/>
          <w:color w:val="000000" w:themeColor="text1"/>
          <w:kern w:val="2"/>
          <w:sz w:val="16"/>
          <w:szCs w:val="16"/>
        </w:rPr>
        <w:softHyphen/>
        <w:t>нов доложил, что во время атаки раз</w:t>
      </w:r>
      <w:r w:rsidRPr="002F2FDF">
        <w:rPr>
          <w:rFonts w:ascii="Times New Roman" w:hAnsi="Times New Roman" w:cs="Times New Roman"/>
          <w:color w:val="000000" w:themeColor="text1"/>
          <w:kern w:val="2"/>
          <w:sz w:val="16"/>
          <w:szCs w:val="16"/>
        </w:rPr>
        <w:softHyphen/>
        <w:t>ведчика он сам был атакован сверху истребителем противника, “который в последний момент стрельбы дымны</w:t>
      </w:r>
      <w:r w:rsidRPr="002F2FDF">
        <w:rPr>
          <w:rFonts w:ascii="Times New Roman" w:hAnsi="Times New Roman" w:cs="Times New Roman"/>
          <w:color w:val="000000" w:themeColor="text1"/>
          <w:kern w:val="2"/>
          <w:sz w:val="16"/>
          <w:szCs w:val="16"/>
        </w:rPr>
        <w:softHyphen/>
        <w:t>ми (трассирующими) пу</w:t>
      </w:r>
      <w:r w:rsidRPr="002F2FDF">
        <w:rPr>
          <w:rFonts w:ascii="Times New Roman" w:hAnsi="Times New Roman" w:cs="Times New Roman"/>
          <w:color w:val="000000" w:themeColor="text1"/>
          <w:kern w:val="2"/>
          <w:sz w:val="16"/>
          <w:szCs w:val="16"/>
        </w:rPr>
        <w:softHyphen/>
        <w:t>лями выпустил в меня ракету. Во вре</w:t>
      </w:r>
      <w:r w:rsidRPr="002F2FDF">
        <w:rPr>
          <w:rFonts w:ascii="Times New Roman" w:hAnsi="Times New Roman" w:cs="Times New Roman"/>
          <w:color w:val="000000" w:themeColor="text1"/>
          <w:kern w:val="2"/>
          <w:sz w:val="16"/>
          <w:szCs w:val="16"/>
        </w:rPr>
        <w:softHyphen/>
        <w:t>мя боя заметил на обоих крыльях ис</w:t>
      </w:r>
      <w:r w:rsidRPr="002F2FDF">
        <w:rPr>
          <w:rFonts w:ascii="Times New Roman" w:hAnsi="Times New Roman" w:cs="Times New Roman"/>
          <w:color w:val="000000" w:themeColor="text1"/>
          <w:kern w:val="2"/>
          <w:sz w:val="16"/>
          <w:szCs w:val="16"/>
        </w:rPr>
        <w:softHyphen/>
        <w:t>требителя ракеты с длинными хвоста</w:t>
      </w:r>
      <w:r w:rsidRPr="002F2FDF">
        <w:rPr>
          <w:rFonts w:ascii="Times New Roman" w:hAnsi="Times New Roman" w:cs="Times New Roman"/>
          <w:color w:val="000000" w:themeColor="text1"/>
          <w:kern w:val="2"/>
          <w:sz w:val="16"/>
          <w:szCs w:val="16"/>
        </w:rPr>
        <w:softHyphen/>
        <w:t>ми”. Возможно, немец решил попро</w:t>
      </w:r>
      <w:r w:rsidRPr="002F2FDF">
        <w:rPr>
          <w:rFonts w:ascii="Times New Roman" w:hAnsi="Times New Roman" w:cs="Times New Roman"/>
          <w:color w:val="000000" w:themeColor="text1"/>
          <w:kern w:val="2"/>
          <w:sz w:val="16"/>
          <w:szCs w:val="16"/>
        </w:rPr>
        <w:softHyphen/>
        <w:t>бовать стрельнуть по Крисанову противоаэростатной ракетой Ле Приера. Но попасть такой ракетой в быстро ма</w:t>
      </w:r>
      <w:r w:rsidRPr="002F2FDF">
        <w:rPr>
          <w:rFonts w:ascii="Times New Roman" w:hAnsi="Times New Roman" w:cs="Times New Roman"/>
          <w:color w:val="000000" w:themeColor="text1"/>
          <w:kern w:val="2"/>
          <w:sz w:val="16"/>
          <w:szCs w:val="16"/>
        </w:rPr>
        <w:softHyphen/>
        <w:t>неврирующий самолет почти невоз</w:t>
      </w:r>
      <w:r w:rsidRPr="002F2FDF">
        <w:rPr>
          <w:rFonts w:ascii="Times New Roman" w:hAnsi="Times New Roman" w:cs="Times New Roman"/>
          <w:color w:val="000000" w:themeColor="text1"/>
          <w:kern w:val="2"/>
          <w:sz w:val="16"/>
          <w:szCs w:val="16"/>
        </w:rPr>
        <w:softHyphen/>
        <w:t>можно (3954).</w:t>
      </w:r>
    </w:p>
    <w:p w14:paraId="25ACAB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4C49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июня 1917 в воздушном бою с четырьмя немецкими самолетами погиб командир 7 ио подпор. И.А.Орлов. Имел 4 Георгия и зимой 1916-1917 был на французском фронте (3643).</w:t>
      </w:r>
    </w:p>
    <w:p w14:paraId="45BC4C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E025D8" w14:textId="4FD0BB50"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июня 1917 в гоздушном бою с четырьмя немецкими самолетами погиб выдающийся летчик, командир 7-го истребительного отряде подпоручик Иван Александрович Орлов (родился 1895). В 1913 году, будучи еще лицеистом, Орлов построил самолет собстгенной конструкции с двигателем в35 л.с., лично его облетывал и одновременно учился сам летать. В 1914 году окончил школу ВАК и доброгольцем ушел на фронт, где вскоре получил известность как выдающийся разводчик, а затем и как истребитель, сбигший не менее дссяяи сэмолетог. Зимой 1916-17 гг;</w:t>
      </w:r>
      <w:r w:rsidR="00914D94">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Орлов сражался на французском фронте, где также отличился г воздушных боях. За боевые отличия имел четыре георгиегских креста и ряд орденов, в том числе и французский. В 1917 году написал брошюру "Приемы ведония воздушног боя" - одно из первых руководств по воздушному бою, где, между прочим, рекомендовал преднамеренный штопор как имитацию падения "сбитого" самолета. Похоронен г Царском Соле. ("Новое время", 1917, 27 июня;"Военный летчик".1917;№2; "Весь мир". 1918, № 16; ЦГВИА. ф.493, оп.З, д.155 и 142, л.115).</w:t>
      </w:r>
    </w:p>
    <w:p w14:paraId="2918B213" w14:textId="77777777" w:rsidR="003431D2" w:rsidRPr="00E97350" w:rsidRDefault="003431D2" w:rsidP="0083075A">
      <w:pPr>
        <w:spacing w:after="0" w:line="240" w:lineRule="auto"/>
        <w:jc w:val="both"/>
        <w:rPr>
          <w:rFonts w:ascii="Times New Roman" w:hAnsi="Times New Roman" w:cs="Times New Roman"/>
          <w:color w:val="0070C0"/>
          <w:sz w:val="16"/>
          <w:szCs w:val="16"/>
        </w:rPr>
      </w:pPr>
    </w:p>
    <w:p w14:paraId="6E252AAE" w14:textId="4410B3DB" w:rsidR="00914D94" w:rsidRPr="00E97350" w:rsidRDefault="00914D94" w:rsidP="0083075A">
      <w:pPr>
        <w:spacing w:after="0" w:line="240" w:lineRule="auto"/>
        <w:jc w:val="both"/>
        <w:rPr>
          <w:rFonts w:ascii="Times New Roman" w:hAnsi="Times New Roman" w:cs="Times New Roman"/>
          <w:color w:val="0070C0"/>
          <w:sz w:val="16"/>
          <w:szCs w:val="16"/>
        </w:rPr>
      </w:pPr>
      <w:r w:rsidRPr="00E97350">
        <w:rPr>
          <w:rFonts w:ascii="Times New Roman" w:hAnsi="Times New Roman" w:cs="Times New Roman"/>
          <w:color w:val="0070C0"/>
          <w:sz w:val="16"/>
          <w:szCs w:val="16"/>
        </w:rPr>
        <w:t>17 (30) июня 1917 г. в воздушном бою с четырьмя немецкими самолетами погиб выдающийся летчик, командир 7-го истребительного отряда подпоручик Иван Александрович Орлов /род .1895/. В 1913 году, будучи еще лицеи</w:t>
      </w:r>
      <w:r w:rsidRPr="00E97350">
        <w:rPr>
          <w:rFonts w:ascii="Times New Roman" w:hAnsi="Times New Roman" w:cs="Times New Roman"/>
          <w:color w:val="0070C0"/>
          <w:sz w:val="16"/>
          <w:szCs w:val="16"/>
        </w:rPr>
        <w:softHyphen/>
        <w:t>стом, Орлов построил самолет собственной конструкции с мотором 35 л.с. и лично его облетывал и одновременно учился сам летать. В 1914 году окончил школу ВАК и добровольцем убыл на фронт, где вскоре получил известность как выдающийся разведчик, а затем и как ист</w:t>
      </w:r>
      <w:r w:rsidRPr="00E97350">
        <w:rPr>
          <w:rFonts w:ascii="Times New Roman" w:hAnsi="Times New Roman" w:cs="Times New Roman"/>
          <w:color w:val="0070C0"/>
          <w:sz w:val="16"/>
          <w:szCs w:val="16"/>
        </w:rPr>
        <w:softHyphen/>
        <w:t>ребитель, сбивший не менее десяти самолетов. Зимой 1916-17 г. Орлов сражался на французском фронте, где также отличился в воздушных бо</w:t>
      </w:r>
      <w:r w:rsidRPr="00E97350">
        <w:rPr>
          <w:rFonts w:ascii="Times New Roman" w:hAnsi="Times New Roman" w:cs="Times New Roman"/>
          <w:color w:val="0070C0"/>
          <w:sz w:val="16"/>
          <w:szCs w:val="16"/>
        </w:rPr>
        <w:softHyphen/>
        <w:t>ях. За боевые отличия имел четыре георгиевских креста и ряд орденов, в том числе и французский. В 1917 году написал брошюру "Приемы ведения воздушного боя" - одно из первых руководств но воздушному бою, где, между прочим, рекомендовал преднамеренный штопор как ими</w:t>
      </w:r>
      <w:r w:rsidRPr="00E97350">
        <w:rPr>
          <w:rFonts w:ascii="Times New Roman" w:hAnsi="Times New Roman" w:cs="Times New Roman"/>
          <w:color w:val="0070C0"/>
          <w:sz w:val="16"/>
          <w:szCs w:val="16"/>
        </w:rPr>
        <w:softHyphen/>
        <w:t>тацию падения "сбитого» самолета". Похоронен в царском селе.</w:t>
      </w:r>
    </w:p>
    <w:p w14:paraId="22E348AD" w14:textId="3B4FDE17" w:rsidR="00914D94" w:rsidRPr="00E97350" w:rsidRDefault="00914D94" w:rsidP="0083075A">
      <w:pPr>
        <w:spacing w:after="0" w:line="240" w:lineRule="auto"/>
        <w:jc w:val="both"/>
        <w:rPr>
          <w:rFonts w:ascii="Times New Roman" w:hAnsi="Times New Roman" w:cs="Times New Roman"/>
          <w:color w:val="0070C0"/>
          <w:sz w:val="16"/>
          <w:szCs w:val="16"/>
        </w:rPr>
      </w:pPr>
      <w:r w:rsidRPr="00E97350">
        <w:rPr>
          <w:rFonts w:ascii="Times New Roman" w:hAnsi="Times New Roman" w:cs="Times New Roman"/>
          <w:color w:val="0070C0"/>
          <w:sz w:val="16"/>
          <w:szCs w:val="16"/>
        </w:rPr>
        <w:t>/«Новое время» за 27.6.17; «Военный, летчик» 1917 № 2: «Весь мир», 1918 № 16; ЦГВИА, ф. 493, оп. 3, д. 155 и 142, л. 115/ (23320).</w:t>
      </w:r>
    </w:p>
    <w:p w14:paraId="0467EB3E" w14:textId="77777777" w:rsidR="00914D94" w:rsidRPr="00E97350" w:rsidRDefault="00914D94" w:rsidP="0083075A">
      <w:pPr>
        <w:spacing w:after="0" w:line="240" w:lineRule="auto"/>
        <w:jc w:val="both"/>
        <w:rPr>
          <w:rFonts w:ascii="Times New Roman" w:hAnsi="Times New Roman" w:cs="Times New Roman"/>
          <w:color w:val="0070C0"/>
          <w:sz w:val="16"/>
          <w:szCs w:val="16"/>
        </w:rPr>
      </w:pPr>
    </w:p>
    <w:p w14:paraId="33745E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июня 1917 л 6 Сибирского а/о ст.уо Яковлев и н фон Шельтинг, возвращаясь с разведик утром атаковали немецкий самолет, но были побиты на Анадэ и хотя Яковлев машину посадил, но 22 июня умер (5151, 11).</w:t>
      </w:r>
    </w:p>
    <w:p w14:paraId="125034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EBE9DE"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17 (30) июня</w:t>
      </w:r>
      <w:r w:rsidRPr="002F2FDF">
        <w:rPr>
          <w:rFonts w:ascii="Times New Roman" w:hAnsi="Times New Roman" w:cs="Times New Roman"/>
          <w:color w:val="000000" w:themeColor="text1"/>
          <w:kern w:val="2"/>
          <w:sz w:val="16"/>
          <w:szCs w:val="16"/>
        </w:rPr>
        <w:t xml:space="preserve"> в 1917 году летчик 6-го Сибирского авиационного отряда старший унтер-офицер Яковлев и наблюдатель поручик фон Шельтинг возвращаясь утром с воздушной разведки, увидели кружившийся над станицей Осиповщина немецкий самолет, отважно бросились на него в атаку - невзирая на несовершенство своего самолета "Анаде", по техническим качествам во многом уступавшем противнику. После продолжительного воздушного боя пулемет нашего самолета отказал и в тоже самое время летчик Яковлев был тяжело ранен в бедро и таз навылет. Яковлев, несмотря на тяжелую рану, овладел собой, довел самолет до аэродрома и спланировал, после чего потерял сознание. 22 июня он скончался и посмертно был награжден Георгиевским крестом IV степени (14925).</w:t>
      </w:r>
    </w:p>
    <w:p w14:paraId="5A77BF5D"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p>
    <w:p w14:paraId="3EF54B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июня 1917 V-й корабль ИМ на Румынском фронте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635293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DF79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17 </w:t>
      </w:r>
      <w:r w:rsidR="00BA5C59" w:rsidRPr="002F2FDF">
        <w:rPr>
          <w:rFonts w:ascii="Times New Roman" w:hAnsi="Times New Roman" w:cs="Times New Roman"/>
          <w:color w:val="000000" w:themeColor="text1"/>
          <w:kern w:val="2"/>
          <w:sz w:val="16"/>
          <w:szCs w:val="16"/>
        </w:rPr>
        <w:t xml:space="preserve">(30) </w:t>
      </w:r>
      <w:r w:rsidRPr="002F2FDF">
        <w:rPr>
          <w:rFonts w:ascii="Times New Roman" w:hAnsi="Times New Roman" w:cs="Times New Roman"/>
          <w:color w:val="000000" w:themeColor="text1"/>
          <w:kern w:val="2"/>
          <w:sz w:val="16"/>
          <w:szCs w:val="16"/>
        </w:rPr>
        <w:t>июня 1917 на Румынском фронте V-й корабль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(12038).</w:t>
      </w:r>
    </w:p>
    <w:p w14:paraId="2553ED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229FCB" w14:textId="77777777" w:rsidR="001045FD" w:rsidRPr="002F2FDF" w:rsidRDefault="001045FD" w:rsidP="0083075A">
      <w:pPr>
        <w:tabs>
          <w:tab w:val="left" w:pos="303"/>
        </w:tabs>
        <w:spacing w:after="0" w:line="240" w:lineRule="auto"/>
        <w:jc w:val="both"/>
        <w:rPr>
          <w:rFonts w:ascii="Times New Roman" w:hAnsi="Times New Roman" w:cs="Times New Roman"/>
          <w:color w:val="000000" w:themeColor="text1"/>
          <w:sz w:val="16"/>
          <w:szCs w:val="16"/>
        </w:rPr>
      </w:pPr>
      <w:bookmarkStart w:id="162" w:name="_Hlk53221400"/>
      <w:r w:rsidRPr="002F2FDF">
        <w:rPr>
          <w:rFonts w:ascii="Times New Roman" w:hAnsi="Times New Roman" w:cs="Times New Roman"/>
          <w:color w:val="000000" w:themeColor="text1"/>
          <w:sz w:val="16"/>
          <w:szCs w:val="16"/>
        </w:rPr>
        <w:t>17 (30) июня 1917 в 16.00 назначили ложную атаку, чтобы вызвать огонь неприятельских батарей, а 18 июня началось настоящее наступление. За эти два дня аэростаты дали ценные наблюдения. Во время боя они выдвинулись на две версты вперёд, от</w:t>
      </w:r>
      <w:r w:rsidRPr="002F2FDF">
        <w:rPr>
          <w:rFonts w:ascii="Times New Roman" w:hAnsi="Times New Roman" w:cs="Times New Roman"/>
          <w:color w:val="000000" w:themeColor="text1"/>
          <w:sz w:val="16"/>
          <w:szCs w:val="16"/>
        </w:rPr>
        <w:softHyphen/>
        <w:t>крыли 10 новых батарей, всего же было обнару</w:t>
      </w:r>
      <w:r w:rsidRPr="002F2FDF">
        <w:rPr>
          <w:rFonts w:ascii="Times New Roman" w:hAnsi="Times New Roman" w:cs="Times New Roman"/>
          <w:color w:val="000000" w:themeColor="text1"/>
          <w:sz w:val="16"/>
          <w:szCs w:val="16"/>
        </w:rPr>
        <w:softHyphen/>
        <w:t>жено 48. Аэростаты корректировали стрельбу по 18 целям и доносили о передвижении и падении снарядов. В заключении начальника противоартиллерийского отдела в наградном листе на на</w:t>
      </w:r>
      <w:r w:rsidRPr="002F2FDF">
        <w:rPr>
          <w:rFonts w:ascii="Times New Roman" w:hAnsi="Times New Roman" w:cs="Times New Roman"/>
          <w:color w:val="000000" w:themeColor="text1"/>
          <w:sz w:val="16"/>
          <w:szCs w:val="16"/>
        </w:rPr>
        <w:softHyphen/>
        <w:t>чальника воздухгруппы капитана Н.К. Микоса отмечалось: «В боях под Бжезанами с 16-го июня по 1-е июля командовал воздухгруппой из шести аэростатов и своей полезной работой и распо</w:t>
      </w:r>
      <w:r w:rsidRPr="002F2FDF">
        <w:rPr>
          <w:rFonts w:ascii="Times New Roman" w:hAnsi="Times New Roman" w:cs="Times New Roman"/>
          <w:color w:val="000000" w:themeColor="text1"/>
          <w:sz w:val="16"/>
          <w:szCs w:val="16"/>
        </w:rPr>
        <w:softHyphen/>
        <w:t>рядительностью оказал громадную поддержку в деле наблюдения за стрельбой артиллерии про</w:t>
      </w:r>
      <w:r w:rsidRPr="002F2FDF">
        <w:rPr>
          <w:rFonts w:ascii="Times New Roman" w:hAnsi="Times New Roman" w:cs="Times New Roman"/>
          <w:color w:val="000000" w:themeColor="text1"/>
          <w:sz w:val="16"/>
          <w:szCs w:val="16"/>
        </w:rPr>
        <w:softHyphen/>
        <w:t>тивника, что способствовало разбитию несколь</w:t>
      </w:r>
      <w:r w:rsidRPr="002F2FDF">
        <w:rPr>
          <w:rFonts w:ascii="Times New Roman" w:hAnsi="Times New Roman" w:cs="Times New Roman"/>
          <w:color w:val="000000" w:themeColor="text1"/>
          <w:sz w:val="16"/>
          <w:szCs w:val="16"/>
        </w:rPr>
        <w:softHyphen/>
        <w:t>ких батарей противника и приведению к молча</w:t>
      </w:r>
      <w:r w:rsidRPr="002F2FDF">
        <w:rPr>
          <w:rFonts w:ascii="Times New Roman" w:hAnsi="Times New Roman" w:cs="Times New Roman"/>
          <w:color w:val="000000" w:themeColor="text1"/>
          <w:sz w:val="16"/>
          <w:szCs w:val="16"/>
        </w:rPr>
        <w:softHyphen/>
        <w:t>нию почти всех батарей 18-го июня».</w:t>
      </w:r>
    </w:p>
    <w:p w14:paraId="295912DA" w14:textId="77777777" w:rsidR="001045FD" w:rsidRPr="002F2FDF" w:rsidRDefault="001045F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Сам Микос так оценивал работу группы: «в подготовительно-заключительный период — малая продуктивность работы и большие поте</w:t>
      </w:r>
      <w:r w:rsidRPr="002F2FDF">
        <w:rPr>
          <w:rFonts w:ascii="Times New Roman" w:hAnsi="Times New Roman" w:cs="Times New Roman"/>
          <w:color w:val="000000" w:themeColor="text1"/>
          <w:sz w:val="16"/>
          <w:szCs w:val="16"/>
        </w:rPr>
        <w:softHyphen/>
        <w:t>ри; в боевой период — большая полезная рабо</w:t>
      </w:r>
      <w:r w:rsidRPr="002F2FDF">
        <w:rPr>
          <w:rFonts w:ascii="Times New Roman" w:hAnsi="Times New Roman" w:cs="Times New Roman"/>
          <w:color w:val="000000" w:themeColor="text1"/>
          <w:sz w:val="16"/>
          <w:szCs w:val="16"/>
        </w:rPr>
        <w:softHyphen/>
        <w:t>та и малые потери». В её работе он отметил ряд недочётов: ненадёжная связь батарея-аэростат (многие батареи связывались с аэростатом через центральную подгруппу), что вызывало потерю времени; воздухоплаватели, обслуживавшие по две батареи, поднимались поодиночке из-за не</w:t>
      </w:r>
      <w:r w:rsidRPr="002F2FDF">
        <w:rPr>
          <w:rFonts w:ascii="Times New Roman" w:hAnsi="Times New Roman" w:cs="Times New Roman"/>
          <w:color w:val="000000" w:themeColor="text1"/>
          <w:sz w:val="16"/>
          <w:szCs w:val="16"/>
        </w:rPr>
        <w:softHyphen/>
        <w:t>достатка парашютов; малая активность отрядов, дававших сводку только после прямого обраще</w:t>
      </w:r>
      <w:r w:rsidRPr="002F2FDF">
        <w:rPr>
          <w:rFonts w:ascii="Times New Roman" w:hAnsi="Times New Roman" w:cs="Times New Roman"/>
          <w:color w:val="000000" w:themeColor="text1"/>
          <w:sz w:val="16"/>
          <w:szCs w:val="16"/>
        </w:rPr>
        <w:softHyphen/>
        <w:t>ния начальника группы; недостаточные меры охраны (один истребительный отряд, несколько взводов малоэффективных полевых пушек на два авиационных и шесть воздухоплаватель</w:t>
      </w:r>
      <w:r w:rsidRPr="002F2FDF">
        <w:rPr>
          <w:rFonts w:ascii="Times New Roman" w:hAnsi="Times New Roman" w:cs="Times New Roman"/>
          <w:color w:val="000000" w:themeColor="text1"/>
          <w:sz w:val="16"/>
          <w:szCs w:val="16"/>
        </w:rPr>
        <w:softHyphen/>
        <w:t>ных отрядов); искусственное деление отрядов по группам артиллерии несмотря на разнообразие корректировок в бою.</w:t>
      </w:r>
    </w:p>
    <w:p w14:paraId="59350272" w14:textId="77777777" w:rsidR="001045FD" w:rsidRPr="002F2FDF" w:rsidRDefault="001045F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Боевое применение аэростатов в Июньском наступлении 1917 г. не исчерпывалось действи</w:t>
      </w:r>
      <w:r w:rsidRPr="002F2FDF">
        <w:rPr>
          <w:rFonts w:ascii="Times New Roman" w:hAnsi="Times New Roman" w:cs="Times New Roman"/>
          <w:color w:val="000000" w:themeColor="text1"/>
          <w:sz w:val="16"/>
          <w:szCs w:val="16"/>
        </w:rPr>
        <w:softHyphen/>
        <w:t>ями в составе воздухгрупп. В боях у Кухарского леса (на р. Стоходе) стрельба артиллерии, кор</w:t>
      </w:r>
      <w:r w:rsidRPr="002F2FDF">
        <w:rPr>
          <w:rFonts w:ascii="Times New Roman" w:hAnsi="Times New Roman" w:cs="Times New Roman"/>
          <w:color w:val="000000" w:themeColor="text1"/>
          <w:sz w:val="16"/>
          <w:szCs w:val="16"/>
        </w:rPr>
        <w:softHyphen/>
        <w:t>ректировавшаяся с аэростата 46-го корпусного воздухоплавательного отряда перед атакой рус</w:t>
      </w:r>
      <w:r w:rsidRPr="002F2FDF">
        <w:rPr>
          <w:rFonts w:ascii="Times New Roman" w:hAnsi="Times New Roman" w:cs="Times New Roman"/>
          <w:color w:val="000000" w:themeColor="text1"/>
          <w:sz w:val="16"/>
          <w:szCs w:val="16"/>
        </w:rPr>
        <w:softHyphen/>
        <w:t>ских войск буквально не позволяла батареям противника открыть огонь. 23 июня по коррек</w:t>
      </w:r>
      <w:r w:rsidRPr="002F2FDF">
        <w:rPr>
          <w:rFonts w:ascii="Times New Roman" w:hAnsi="Times New Roman" w:cs="Times New Roman"/>
          <w:color w:val="000000" w:themeColor="text1"/>
          <w:sz w:val="16"/>
          <w:szCs w:val="16"/>
        </w:rPr>
        <w:softHyphen/>
        <w:t>тировке с аэростата русские батареи выпустили за 1 ч 20 мин свыше 900 снарядов. При следую</w:t>
      </w:r>
      <w:r w:rsidRPr="002F2FDF">
        <w:rPr>
          <w:rFonts w:ascii="Times New Roman" w:hAnsi="Times New Roman" w:cs="Times New Roman"/>
          <w:color w:val="000000" w:themeColor="text1"/>
          <w:sz w:val="16"/>
          <w:szCs w:val="16"/>
        </w:rPr>
        <w:softHyphen/>
        <w:t>щем подъёме аэростата за 40 минут было выпу</w:t>
      </w:r>
      <w:r w:rsidRPr="002F2FDF">
        <w:rPr>
          <w:rFonts w:ascii="Times New Roman" w:hAnsi="Times New Roman" w:cs="Times New Roman"/>
          <w:color w:val="000000" w:themeColor="text1"/>
          <w:sz w:val="16"/>
          <w:szCs w:val="16"/>
        </w:rPr>
        <w:softHyphen/>
        <w:t>щено свыше 350 снарядов. В этот же день при содействии аэростата 5-го Сибирского корпуса проводился обстрел противника химическими снарядами (20120).</w:t>
      </w:r>
    </w:p>
    <w:p w14:paraId="61ABB3AB" w14:textId="77777777" w:rsidR="001045FD" w:rsidRPr="002F2FDF" w:rsidRDefault="001045FD" w:rsidP="0083075A">
      <w:pPr>
        <w:spacing w:after="0" w:line="240" w:lineRule="auto"/>
        <w:jc w:val="both"/>
        <w:rPr>
          <w:rFonts w:ascii="Times New Roman" w:hAnsi="Times New Roman" w:cs="Times New Roman"/>
          <w:color w:val="000000" w:themeColor="text1"/>
          <w:sz w:val="16"/>
          <w:szCs w:val="16"/>
        </w:rPr>
      </w:pPr>
    </w:p>
    <w:p w14:paraId="6662EC54" w14:textId="7449C87B" w:rsidR="00E97350" w:rsidRPr="00FB4F67" w:rsidRDefault="00E97350" w:rsidP="0083075A">
      <w:pPr>
        <w:spacing w:after="0" w:line="240" w:lineRule="auto"/>
        <w:jc w:val="both"/>
        <w:rPr>
          <w:rFonts w:ascii="Times New Roman" w:hAnsi="Times New Roman" w:cs="Times New Roman"/>
          <w:color w:val="0070C0"/>
          <w:sz w:val="16"/>
          <w:szCs w:val="16"/>
        </w:rPr>
      </w:pPr>
      <w:bookmarkStart w:id="163" w:name="bookmark823"/>
      <w:bookmarkEnd w:id="162"/>
      <w:r>
        <w:rPr>
          <w:rFonts w:ascii="Times New Roman" w:hAnsi="Times New Roman" w:cs="Times New Roman"/>
          <w:color w:val="0070C0"/>
          <w:sz w:val="16"/>
          <w:szCs w:val="16"/>
        </w:rPr>
        <w:t>17 (</w:t>
      </w:r>
      <w:r w:rsidRPr="00FB4F67">
        <w:rPr>
          <w:rFonts w:ascii="Times New Roman" w:hAnsi="Times New Roman" w:cs="Times New Roman"/>
          <w:color w:val="0070C0"/>
          <w:sz w:val="16"/>
          <w:szCs w:val="16"/>
        </w:rPr>
        <w:t>30</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1917 г. пулеметно-ружейным огнем 17-го воздухоплавательного отряда был сбит самолет противника, атаковавший наш аэростат. «Самолет упал за дер. Мшаны, с него взяты выбрасыватель ракет, 2 зажигательные ракеты и пулеметная лента с патронами. (23405).</w:t>
      </w:r>
      <w:bookmarkEnd w:id="163"/>
    </w:p>
    <w:p w14:paraId="7C115137" w14:textId="77777777" w:rsidR="00E97350" w:rsidRPr="00FB4F67" w:rsidRDefault="00E97350" w:rsidP="0083075A">
      <w:pPr>
        <w:spacing w:after="0" w:line="240" w:lineRule="auto"/>
        <w:jc w:val="both"/>
        <w:rPr>
          <w:rFonts w:ascii="Times New Roman" w:hAnsi="Times New Roman" w:cs="Times New Roman"/>
          <w:color w:val="0070C0"/>
          <w:sz w:val="16"/>
          <w:szCs w:val="16"/>
        </w:rPr>
      </w:pPr>
    </w:p>
    <w:p w14:paraId="3F65B11A" w14:textId="690A6FAB" w:rsidR="00E97350" w:rsidRPr="00FB4F67" w:rsidRDefault="00E9735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17 (</w:t>
      </w:r>
      <w:r w:rsidRPr="00FB4F67">
        <w:rPr>
          <w:rFonts w:ascii="Times New Roman" w:hAnsi="Times New Roman" w:cs="Times New Roman"/>
          <w:color w:val="0070C0"/>
          <w:sz w:val="16"/>
          <w:szCs w:val="16"/>
        </w:rPr>
        <w:t>30</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1917 г. в воздушном бою с двумя неприятельскими истребителями погиб другой отечественный летчик-ас - подпоручик И.А. Орлов. В тот же день зенитным огнем в районе северо-западнее Езерна был сбит самолет 47-й австрийской авиационной роты, действовавший в интересах 2-й австро-венгерской армии. Экипаж попал в плен (23405).</w:t>
      </w:r>
    </w:p>
    <w:p w14:paraId="3B4811AE" w14:textId="77777777" w:rsidR="00E97350" w:rsidRPr="00FB4F67" w:rsidRDefault="00E97350" w:rsidP="0083075A">
      <w:pPr>
        <w:spacing w:after="0" w:line="240" w:lineRule="auto"/>
        <w:jc w:val="both"/>
        <w:rPr>
          <w:rFonts w:ascii="Times New Roman" w:hAnsi="Times New Roman" w:cs="Times New Roman"/>
          <w:color w:val="0070C0"/>
          <w:sz w:val="16"/>
          <w:szCs w:val="16"/>
        </w:rPr>
      </w:pPr>
    </w:p>
    <w:p w14:paraId="56DB14E1" w14:textId="369D0536" w:rsidR="00E97350" w:rsidRPr="00FB4F67" w:rsidRDefault="00E9735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17 (</w:t>
      </w:r>
      <w:r w:rsidRPr="00FB4F67">
        <w:rPr>
          <w:rFonts w:ascii="Times New Roman" w:hAnsi="Times New Roman" w:cs="Times New Roman"/>
          <w:color w:val="0070C0"/>
          <w:sz w:val="16"/>
          <w:szCs w:val="16"/>
        </w:rPr>
        <w:t>30</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1917 г. на Юго-Западном фронте 7-я, 8-я и 9-я русские армии открыли массированный артиллерийский огонь по австро-немецким позициям в районе Зборов и Бжежаны, что означало начало злополучного «Керенского» наступления (23525).</w:t>
      </w:r>
    </w:p>
    <w:p w14:paraId="2DBCDF52" w14:textId="77777777" w:rsidR="00E97350" w:rsidRPr="00FB4F67" w:rsidRDefault="00E97350" w:rsidP="0083075A">
      <w:pPr>
        <w:spacing w:after="0" w:line="240" w:lineRule="auto"/>
        <w:jc w:val="both"/>
        <w:rPr>
          <w:rFonts w:ascii="Times New Roman" w:hAnsi="Times New Roman" w:cs="Times New Roman"/>
          <w:color w:val="0070C0"/>
          <w:sz w:val="16"/>
          <w:szCs w:val="16"/>
        </w:rPr>
      </w:pPr>
    </w:p>
    <w:p w14:paraId="41D00FA0" w14:textId="51A93230" w:rsidR="00E97350" w:rsidRPr="00FB4F67" w:rsidRDefault="00E9735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17 (</w:t>
      </w:r>
      <w:r w:rsidRPr="00FB4F67">
        <w:rPr>
          <w:rFonts w:ascii="Times New Roman" w:hAnsi="Times New Roman" w:cs="Times New Roman"/>
          <w:color w:val="0070C0"/>
          <w:sz w:val="16"/>
          <w:szCs w:val="16"/>
        </w:rPr>
        <w:t>30</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1917 на Юго-Западном фронте британская броневая дивизия РНАС проводила операции на участке Козова — Проскуров (23525).</w:t>
      </w:r>
    </w:p>
    <w:p w14:paraId="65F447DC" w14:textId="77777777" w:rsidR="00E97350" w:rsidRPr="00FB4F67" w:rsidRDefault="00E97350" w:rsidP="0083075A">
      <w:pPr>
        <w:spacing w:after="0" w:line="240" w:lineRule="auto"/>
        <w:jc w:val="both"/>
        <w:rPr>
          <w:rFonts w:ascii="Times New Roman" w:hAnsi="Times New Roman" w:cs="Times New Roman"/>
          <w:color w:val="0070C0"/>
          <w:sz w:val="16"/>
          <w:szCs w:val="16"/>
        </w:rPr>
      </w:pPr>
    </w:p>
    <w:p w14:paraId="6775C1D9" w14:textId="5404C3DF" w:rsidR="00E97350" w:rsidRPr="00FB4F67" w:rsidRDefault="00E9735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17 (</w:t>
      </w:r>
      <w:r w:rsidRPr="00FB4F67">
        <w:rPr>
          <w:rFonts w:ascii="Times New Roman" w:hAnsi="Times New Roman" w:cs="Times New Roman"/>
          <w:color w:val="0070C0"/>
          <w:sz w:val="16"/>
          <w:szCs w:val="16"/>
        </w:rPr>
        <w:t>30</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июня 1917 г. у австро-венгров были Fliks 1, 30, 38 и 40 с 7-й армией на Кайпатах; Фликс 7,22, 26 и 37 с З. Агентство в Восточной Галиции; Fliks 9, 11, 13 и 18 с немецкой Siidarmee в Восточной Галиции; Fliks 3, 8, 14, 20, 25, 27 и 47 с 2-й армией, Fliks 5 и 22 с немецкой армией Linsingen и Fliks 10 и 43 с 4-й армией, все на Юго-Восточной Волыни; в то время как Fliks 36, 29, 31, 33, 39 и 44 служили на румынском фронте (23525).</w:t>
      </w:r>
    </w:p>
    <w:p w14:paraId="2B9A967F" w14:textId="77777777" w:rsidR="00E97350" w:rsidRPr="00FB4F67" w:rsidRDefault="00E97350" w:rsidP="0083075A">
      <w:pPr>
        <w:spacing w:after="0" w:line="240" w:lineRule="auto"/>
        <w:jc w:val="both"/>
        <w:rPr>
          <w:rFonts w:ascii="Times New Roman" w:hAnsi="Times New Roman" w:cs="Times New Roman"/>
          <w:color w:val="0070C0"/>
          <w:sz w:val="16"/>
          <w:szCs w:val="16"/>
        </w:rPr>
      </w:pPr>
    </w:p>
    <w:p w14:paraId="1FC95BE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AD666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38A2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17-19 июня (30 июня - 2 июля) 1917 прошла Всероссийская конференция военных организаций большевиков, которая отвергла требование левых и представителей воинских частей о немедленном восстании (3908,259).</w:t>
      </w:r>
    </w:p>
    <w:p w14:paraId="3DCDCF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9112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июня 1917 в Петрограде была образована федерация анархистов-коммунистов (П.Аршинов, И.Блейхман, А.Карелин), опирающаяся в основном на матросов Кронштадта. Другое направление анархистов образовало Союз анархо-синдикалистской пропаганды (В.Волин, Е.Ярчук, Г.Максимов) (3908,259).</w:t>
      </w:r>
    </w:p>
    <w:p w14:paraId="278200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6452F8" w14:textId="056485E0" w:rsidR="007325A2" w:rsidRPr="002F2FDF" w:rsidRDefault="007325A2" w:rsidP="0083075A">
      <w:pPr>
        <w:pStyle w:val="ae"/>
        <w:spacing w:before="0" w:after="0"/>
        <w:jc w:val="both"/>
        <w:rPr>
          <w:color w:val="000000" w:themeColor="text1"/>
          <w:kern w:val="2"/>
          <w:sz w:val="16"/>
          <w:szCs w:val="16"/>
        </w:rPr>
      </w:pPr>
      <w:r w:rsidRPr="002F2FDF">
        <w:rPr>
          <w:color w:val="000000" w:themeColor="text1"/>
          <w:kern w:val="2"/>
          <w:sz w:val="16"/>
          <w:szCs w:val="16"/>
        </w:rPr>
        <w:t>17 (3</w:t>
      </w:r>
      <w:r w:rsidR="00C45699">
        <w:rPr>
          <w:color w:val="000000" w:themeColor="text1"/>
          <w:kern w:val="2"/>
          <w:sz w:val="16"/>
          <w:szCs w:val="16"/>
        </w:rPr>
        <w:t>0</w:t>
      </w:r>
      <w:r w:rsidRPr="002F2FDF">
        <w:rPr>
          <w:color w:val="000000" w:themeColor="text1"/>
          <w:kern w:val="2"/>
          <w:sz w:val="16"/>
          <w:szCs w:val="16"/>
        </w:rPr>
        <w:t>) июня 1917 вооруженные отряды анархистов осадили петроградские тюрьмы с требованием освободить своих товарищей, ранее арестованных по подозрению в шпионаже. При их освобождении также разбежались более 450 уголовников (170450.</w:t>
      </w:r>
    </w:p>
    <w:p w14:paraId="40CFBFEC" w14:textId="77777777" w:rsidR="007325A2" w:rsidRPr="002F2FDF" w:rsidRDefault="007325A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0293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июня 1917 А.М.Каледин был избран атаманом Войска Донского (3908,258).</w:t>
      </w:r>
    </w:p>
    <w:p w14:paraId="66E856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5D637F" w14:textId="77777777" w:rsidR="00D37E1F" w:rsidRPr="002F2FDF" w:rsidRDefault="00D37E1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BBF058E" w14:textId="77777777" w:rsidR="00D37E1F" w:rsidRPr="002F2FDF" w:rsidRDefault="00D37E1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4513B2" w14:textId="2DCF59F5" w:rsidR="00D37E1F" w:rsidRPr="002F2FDF" w:rsidRDefault="00D37E1F" w:rsidP="0083075A">
      <w:pPr>
        <w:spacing w:after="0" w:line="240" w:lineRule="auto"/>
        <w:jc w:val="both"/>
        <w:rPr>
          <w:rFonts w:ascii="Times New Roman" w:hAnsi="Times New Roman" w:cs="Times New Roman"/>
          <w:bCs/>
          <w:color w:val="000000" w:themeColor="text1"/>
          <w:sz w:val="16"/>
          <w:szCs w:val="16"/>
        </w:rPr>
      </w:pPr>
      <w:r w:rsidRPr="002F2FDF">
        <w:rPr>
          <w:rFonts w:ascii="Times New Roman" w:hAnsi="Times New Roman" w:cs="Times New Roman"/>
          <w:color w:val="000000" w:themeColor="text1"/>
          <w:sz w:val="16"/>
          <w:szCs w:val="16"/>
        </w:rPr>
        <w:t xml:space="preserve">18 июня </w:t>
      </w:r>
      <w:r w:rsidR="00C45699">
        <w:rPr>
          <w:rFonts w:ascii="Times New Roman" w:hAnsi="Times New Roman" w:cs="Times New Roman"/>
          <w:color w:val="000000" w:themeColor="text1"/>
          <w:sz w:val="16"/>
          <w:szCs w:val="16"/>
        </w:rPr>
        <w:t xml:space="preserve">(1 июля) </w:t>
      </w:r>
      <w:r w:rsidRPr="002F2FDF">
        <w:rPr>
          <w:rFonts w:ascii="Times New Roman" w:hAnsi="Times New Roman" w:cs="Times New Roman"/>
          <w:color w:val="000000" w:themeColor="text1"/>
          <w:sz w:val="16"/>
          <w:szCs w:val="16"/>
        </w:rPr>
        <w:t>1917 г.</w:t>
      </w:r>
    </w:p>
    <w:p w14:paraId="671157EC" w14:textId="77777777" w:rsidR="00D37E1F" w:rsidRPr="002F2FDF" w:rsidRDefault="00D37E1F" w:rsidP="0083075A">
      <w:pPr>
        <w:spacing w:after="0" w:line="240" w:lineRule="auto"/>
        <w:jc w:val="both"/>
        <w:rPr>
          <w:rFonts w:ascii="Times New Roman" w:hAnsi="Times New Roman" w:cs="Times New Roman"/>
          <w:bCs/>
          <w:color w:val="000000" w:themeColor="text1"/>
          <w:sz w:val="16"/>
          <w:szCs w:val="16"/>
        </w:rPr>
      </w:pPr>
      <w:r w:rsidRPr="002F2FDF">
        <w:rPr>
          <w:rFonts w:ascii="Times New Roman" w:hAnsi="Times New Roman" w:cs="Times New Roman"/>
          <w:color w:val="000000" w:themeColor="text1"/>
          <w:sz w:val="16"/>
          <w:szCs w:val="16"/>
        </w:rPr>
        <w:t>Сведения Кабинета военного министра о наличии боевого снаряжения армии к 18 июня 1917 г.</w:t>
      </w:r>
    </w:p>
    <w:p w14:paraId="1F66E4C9" w14:textId="16A850AC" w:rsidR="00D37E1F" w:rsidRPr="002F2FDF" w:rsidRDefault="00D37E1F" w:rsidP="0083075A">
      <w:pPr>
        <w:spacing w:after="0" w:line="240" w:lineRule="auto"/>
        <w:jc w:val="both"/>
        <w:rPr>
          <w:rFonts w:ascii="Times New Roman" w:hAnsi="Times New Roman" w:cs="Times New Roman"/>
          <w:bCs/>
          <w:color w:val="000000" w:themeColor="text1"/>
          <w:sz w:val="16"/>
          <w:szCs w:val="16"/>
        </w:rPr>
      </w:pPr>
      <w:r w:rsidRPr="002F2FDF">
        <w:rPr>
          <w:rFonts w:ascii="Times New Roman" w:hAnsi="Times New Roman" w:cs="Times New Roman"/>
          <w:bCs/>
          <w:color w:val="000000" w:themeColor="text1"/>
          <w:sz w:val="16"/>
          <w:szCs w:val="16"/>
        </w:rPr>
        <w:t>Источник:</w:t>
      </w:r>
      <w:r w:rsidR="00E52569">
        <w:rPr>
          <w:rFonts w:ascii="Times New Roman" w:hAnsi="Times New Roman" w:cs="Times New Roman"/>
          <w:bCs/>
          <w:color w:val="000000" w:themeColor="text1"/>
          <w:sz w:val="16"/>
          <w:szCs w:val="16"/>
        </w:rPr>
        <w:t xml:space="preserve"> </w:t>
      </w:r>
    </w:p>
    <w:p w14:paraId="4963A3A6" w14:textId="77777777" w:rsidR="00D37E1F" w:rsidRPr="002F2FDF" w:rsidRDefault="00D37E1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169-175</w:t>
      </w:r>
    </w:p>
    <w:p w14:paraId="0E89ECBA" w14:textId="6D77BB98" w:rsidR="00D37E1F" w:rsidRPr="002F2FDF" w:rsidRDefault="00D37E1F" w:rsidP="0083075A">
      <w:pPr>
        <w:spacing w:after="0" w:line="240" w:lineRule="auto"/>
        <w:jc w:val="both"/>
        <w:rPr>
          <w:rFonts w:ascii="Times New Roman" w:hAnsi="Times New Roman" w:cs="Times New Roman"/>
          <w:bCs/>
          <w:color w:val="000000" w:themeColor="text1"/>
          <w:sz w:val="16"/>
          <w:szCs w:val="16"/>
        </w:rPr>
      </w:pPr>
      <w:r w:rsidRPr="002F2FDF">
        <w:rPr>
          <w:rFonts w:ascii="Times New Roman" w:hAnsi="Times New Roman" w:cs="Times New Roman"/>
          <w:bCs/>
          <w:color w:val="000000" w:themeColor="text1"/>
          <w:sz w:val="16"/>
          <w:szCs w:val="16"/>
        </w:rPr>
        <w:t>Архив:</w:t>
      </w:r>
      <w:r w:rsidR="00E52569">
        <w:rPr>
          <w:rFonts w:ascii="Times New Roman" w:hAnsi="Times New Roman" w:cs="Times New Roman"/>
          <w:bCs/>
          <w:color w:val="000000" w:themeColor="text1"/>
          <w:sz w:val="16"/>
          <w:szCs w:val="16"/>
        </w:rPr>
        <w:t xml:space="preserve"> </w:t>
      </w:r>
    </w:p>
    <w:p w14:paraId="5C4B51BE" w14:textId="77777777" w:rsidR="00D37E1F" w:rsidRPr="002F2FDF" w:rsidRDefault="00D37E1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ЦГВИА, ф. 366, оп. 1, д. 215, лл. 232—237. Копия.</w:t>
      </w:r>
    </w:p>
    <w:p w14:paraId="508BCC60" w14:textId="77777777" w:rsidR="00D37E1F" w:rsidRPr="002F2FDF" w:rsidRDefault="00D37E1F" w:rsidP="0083075A">
      <w:pPr>
        <w:pStyle w:val="ae"/>
        <w:spacing w:before="0" w:after="0"/>
        <w:jc w:val="both"/>
        <w:rPr>
          <w:color w:val="000000" w:themeColor="text1"/>
          <w:sz w:val="16"/>
          <w:szCs w:val="16"/>
        </w:rPr>
      </w:pPr>
      <w:r w:rsidRPr="002F2FDF">
        <w:rPr>
          <w:rStyle w:val="af0"/>
          <w:i w:val="0"/>
          <w:color w:val="000000" w:themeColor="text1"/>
          <w:sz w:val="16"/>
          <w:szCs w:val="16"/>
        </w:rPr>
        <w:t>Не ранее 18 июня 1917 г.</w:t>
      </w:r>
      <w:hyperlink r:id="rId239" w:anchor="_ftn1" w:history="1">
        <w:r w:rsidRPr="002F2FDF">
          <w:rPr>
            <w:rStyle w:val="a7"/>
            <w:rFonts w:eastAsiaTheme="majorEastAsia"/>
            <w:b w:val="0"/>
            <w:iCs/>
            <w:color w:val="000000" w:themeColor="text1"/>
            <w:sz w:val="16"/>
            <w:szCs w:val="16"/>
          </w:rPr>
          <w:t>[1]</w:t>
        </w:r>
      </w:hyperlink>
    </w:p>
    <w:p w14:paraId="1E2C5D5D"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ПО АРТИЛЛЕРИЙСКОЙ ЧАСТИ</w:t>
      </w:r>
    </w:p>
    <w:p w14:paraId="27066E23"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lastRenderedPageBreak/>
        <w:t>I. СПРАВКА ИСТОРИЧЕСКАЯ</w:t>
      </w:r>
    </w:p>
    <w:p w14:paraId="3CBBF4C7"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Войну мы предполагали вести в расчете только на заготовленные в мирное время запасы. Плана и подготовки к систематическому пополнению расхода этих запасов во время самой войны не было.</w:t>
      </w:r>
    </w:p>
    <w:p w14:paraId="11AA5BC0"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Означенных запасов хватило на 4 месяца, и так как война продолжалась, то пришлось спешно, уже на третьем месяце войны, прибегнуть к мобилизации казенной и частной промышленности, чтобы готовить боевое снабжение для текущей потребности войны.</w:t>
      </w:r>
    </w:p>
    <w:p w14:paraId="4F8E85FA"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Всего запасов к началу войны оказалось в наличии:</w:t>
      </w:r>
    </w:p>
    <w:p w14:paraId="29B6AEA0"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A. Орудий легких калибров около 7200; орудий средних калибров около 700; орудий крупных калибров ни одного.</w:t>
      </w:r>
    </w:p>
    <w:p w14:paraId="6055EBB1"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Б. Выстрелов к ним: к легким — около 6.5 млн; к средним — около 650 тыс., т. е. примерно по 1000 выстрелов (на круг) на каждое орудие легкое и среднее. Эти выстрелы были запасены не в собранном виде, а в виде отдельных элементов, которые с начала мобилизации соединялись в «выстрелы» как самими артиллерийскими частями (возимый запас), так и артиллерийскими складами (местные парки).</w:t>
      </w:r>
    </w:p>
    <w:p w14:paraId="5B3FCEA6" w14:textId="743B8ED8"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Установить вполне точно время поступления всех означенных запасов на фронт не удалось, но по имеющимся в Главном артиллерийском управлении данным с достаточной достоверностью можно принять, что это поступление шло более или менее равномерно в течение времени с конца июля до начала декабря 1914 г. Так что ежемесячный расход выстрелов на этот период времени был в среднем: для легких калибров около 1.5 млн. (или около 250 выстрелов на пушку); для средних калибров — около</w:t>
      </w:r>
      <w:r w:rsidR="00E52569">
        <w:rPr>
          <w:color w:val="000000" w:themeColor="text1"/>
          <w:sz w:val="16"/>
          <w:szCs w:val="16"/>
        </w:rPr>
        <w:t xml:space="preserve"> </w:t>
      </w:r>
      <w:r w:rsidRPr="002F2FDF">
        <w:rPr>
          <w:rStyle w:val="af0"/>
          <w:i w:val="0"/>
          <w:color w:val="000000" w:themeColor="text1"/>
          <w:sz w:val="16"/>
          <w:szCs w:val="16"/>
          <w:vertAlign w:val="superscript"/>
        </w:rPr>
        <w:t>1</w:t>
      </w:r>
      <w:r w:rsidRPr="002F2FDF">
        <w:rPr>
          <w:rStyle w:val="af0"/>
          <w:i w:val="0"/>
          <w:color w:val="000000" w:themeColor="text1"/>
          <w:sz w:val="16"/>
          <w:szCs w:val="16"/>
        </w:rPr>
        <w:t>/</w:t>
      </w:r>
      <w:r w:rsidRPr="002F2FDF">
        <w:rPr>
          <w:rStyle w:val="af0"/>
          <w:i w:val="0"/>
          <w:color w:val="000000" w:themeColor="text1"/>
          <w:sz w:val="16"/>
          <w:szCs w:val="16"/>
          <w:vertAlign w:val="subscript"/>
        </w:rPr>
        <w:t>4</w:t>
      </w:r>
      <w:r w:rsidR="00E52569">
        <w:rPr>
          <w:color w:val="000000" w:themeColor="text1"/>
          <w:sz w:val="16"/>
          <w:szCs w:val="16"/>
        </w:rPr>
        <w:t xml:space="preserve"> </w:t>
      </w:r>
      <w:r w:rsidRPr="002F2FDF">
        <w:rPr>
          <w:color w:val="000000" w:themeColor="text1"/>
          <w:sz w:val="16"/>
          <w:szCs w:val="16"/>
        </w:rPr>
        <w:t>млн или около 350 выстрелов на орудие).</w:t>
      </w:r>
    </w:p>
    <w:p w14:paraId="39E79EFB"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B. Винтовок всех систем, кроме Бердана и австрийских, состояло 4124 тыс., пулеметов—4157, патронов к ним — 2 315 500 тыс., что составит в среднем на винтовку: по 800 патронов — на пехотную и 320 — на кавалерийскую.</w:t>
      </w:r>
    </w:p>
    <w:p w14:paraId="05CAD383"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За время с начала войны до 15 февраля 1915 г. израсходовано всего около 734 млн патронов, что составит 32% комплекта и 110 млн патронов в месяц. При этом, как известно, велись значительные боевые операции почти по всему фронту: и в Восточной Пруссии, и в Польше, и в Галиции, и притом войска не стеснялись в расходе боевых припасов.</w:t>
      </w:r>
    </w:p>
    <w:p w14:paraId="5120F146"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Результаты этого периода войны известны.</w:t>
      </w:r>
    </w:p>
    <w:p w14:paraId="77D4FC78"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II. НАЛИЧИЕ ЗАПАСОВ К 18 ИЮНЯ 1917 г.</w:t>
      </w:r>
    </w:p>
    <w:p w14:paraId="40E672F7"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А. Легкие орудия и их боевые комплекты</w:t>
      </w:r>
    </w:p>
    <w:p w14:paraId="63D552CF"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3'' полевые; 75 мм Арисака; 3" горные; противоштурмовые, траншейные и противоаэропланные).</w:t>
      </w:r>
    </w:p>
    <w:p w14:paraId="09D6AA51"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1. Всего таких орудий состоит на вооружении:</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4"/>
        <w:gridCol w:w="853"/>
      </w:tblGrid>
      <w:tr w:rsidR="002B1C74" w:rsidRPr="002F2FDF" w14:paraId="3EBDAC3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B50941C"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Фронтов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EAFDE"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7200</w:t>
            </w:r>
          </w:p>
        </w:tc>
      </w:tr>
      <w:tr w:rsidR="002B1C74" w:rsidRPr="002F2FDF" w14:paraId="01B46CD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D85A323"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03CAC"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2600</w:t>
            </w:r>
          </w:p>
        </w:tc>
      </w:tr>
      <w:tr w:rsidR="002B1C74" w:rsidRPr="002F2FDF" w14:paraId="16D379A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1C09CEC"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0C647"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10000</w:t>
            </w:r>
          </w:p>
        </w:tc>
      </w:tr>
    </w:tbl>
    <w:p w14:paraId="49EE5155"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2. К этим орудиям имеется комплектов: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93"/>
        <w:gridCol w:w="1093"/>
      </w:tblGrid>
      <w:tr w:rsidR="002B1C74" w:rsidRPr="002F2FDF" w14:paraId="36F2517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6B31207"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а) 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782D1"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24000000</w:t>
            </w:r>
          </w:p>
        </w:tc>
      </w:tr>
      <w:tr w:rsidR="002B1C74" w:rsidRPr="002F2FDF" w14:paraId="5B2D717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92BE4ED"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б) Отдельными элементами</w:t>
            </w:r>
            <w:hyperlink r:id="rId240" w:anchor="_ftn2" w:history="1">
              <w:r w:rsidRPr="002F2FDF">
                <w:rPr>
                  <w:rStyle w:val="a5"/>
                  <w:color w:val="000000" w:themeColor="text1"/>
                  <w:sz w:val="16"/>
                  <w:szCs w:val="16"/>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73FA0F64"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15000000</w:t>
            </w:r>
          </w:p>
        </w:tc>
      </w:tr>
      <w:tr w:rsidR="002B1C74" w:rsidRPr="002F2FDF" w14:paraId="2E51386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96742CA"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A27B0"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39000000</w:t>
            </w:r>
          </w:p>
        </w:tc>
      </w:tr>
    </w:tbl>
    <w:p w14:paraId="7CEE4486"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или около 5.5 тыс. выстрелов на действующую пушку.</w:t>
      </w:r>
      <w:hyperlink r:id="rId241" w:anchor="_ftn3" w:history="1">
        <w:r w:rsidRPr="002F2FDF">
          <w:rPr>
            <w:rStyle w:val="a5"/>
            <w:color w:val="000000" w:themeColor="text1"/>
            <w:sz w:val="16"/>
            <w:szCs w:val="16"/>
          </w:rPr>
          <w:t>[3]</w:t>
        </w:r>
      </w:hyperlink>
    </w:p>
    <w:p w14:paraId="5BC7B8D9"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3. Чего можно было бы ожидать в дальнейшем?</w:t>
      </w:r>
    </w:p>
    <w:p w14:paraId="180B3387"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Если бы можно было поддержать хотя бы январскую производительность отечественных заводов и среднюю прошлогоднюю получку из-за границы, то ежемесячно можно было бы рассчитывать на следующее поступление орудий и выстрелов: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72"/>
        <w:gridCol w:w="1013"/>
      </w:tblGrid>
      <w:tr w:rsidR="002B1C74" w:rsidRPr="002F2FDF" w14:paraId="265A847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0C47B98"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61684"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600</w:t>
            </w:r>
          </w:p>
        </w:tc>
      </w:tr>
      <w:tr w:rsidR="002B1C74" w:rsidRPr="002F2FDF" w14:paraId="068416D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997DB1F"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Орудий отремонтированных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E2451"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 300</w:t>
            </w:r>
          </w:p>
        </w:tc>
      </w:tr>
      <w:tr w:rsidR="002B1C74" w:rsidRPr="002F2FDF" w14:paraId="0359E0F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46BE5CF"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BEB2D"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900</w:t>
            </w:r>
          </w:p>
        </w:tc>
      </w:tr>
      <w:tr w:rsidR="002B1C74" w:rsidRPr="002F2FDF" w14:paraId="5913835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A170485"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53809"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3000000</w:t>
            </w:r>
          </w:p>
        </w:tc>
      </w:tr>
    </w:tbl>
    <w:p w14:paraId="5CA1904B"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4. А на что можно рассчитывать ныне?</w:t>
      </w:r>
    </w:p>
    <w:p w14:paraId="3D296D3B"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Если положение не улучшится (но и не ухудшится) против того, что мы имеем в настоящее время, то нельзя будет ожидать ежемесячно более чем:</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62"/>
        <w:gridCol w:w="1200"/>
      </w:tblGrid>
      <w:tr w:rsidR="002B1C74" w:rsidRPr="002F2FDF" w14:paraId="6E191FB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9503E0E"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а)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9A62F"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375</w:t>
            </w:r>
          </w:p>
        </w:tc>
      </w:tr>
      <w:tr w:rsidR="002B1C74" w:rsidRPr="002F2FDF" w14:paraId="4F05960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4E32DC9"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064BE"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2000000</w:t>
            </w:r>
            <w:hyperlink r:id="rId242" w:anchor="_ftn4" w:history="1">
              <w:r w:rsidRPr="002F2FDF">
                <w:rPr>
                  <w:rStyle w:val="a5"/>
                  <w:color w:val="000000" w:themeColor="text1"/>
                  <w:sz w:val="16"/>
                  <w:szCs w:val="16"/>
                </w:rPr>
                <w:t>[4]</w:t>
              </w:r>
            </w:hyperlink>
          </w:p>
        </w:tc>
      </w:tr>
    </w:tbl>
    <w:p w14:paraId="24587B0F"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т. е. понижение в орудиях и выстрелах — 33%.</w:t>
      </w:r>
    </w:p>
    <w:p w14:paraId="7175A7FE"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Ставка заявляет требование на ежемесячное поступление 300 пушек и 25 млн выстрелов.</w:t>
      </w:r>
    </w:p>
    <w:p w14:paraId="49BAA84B"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Б. Орудия среднего калибра и их боевые комплекты</w:t>
      </w:r>
    </w:p>
    <w:p w14:paraId="18D72A2D"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(42'' скорострельные; 42'" обр. 1877 г.; 45'" гаубицы; 48"' гаубицы; 6" полевые; 6" крепостные; 6" Шнейдер; 6" Канэ).</w:t>
      </w:r>
    </w:p>
    <w:p w14:paraId="1179CD87"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 Всего таких орудий состоит:</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76"/>
        <w:gridCol w:w="773"/>
      </w:tblGrid>
      <w:tr w:rsidR="002B1C74" w:rsidRPr="002F2FDF" w14:paraId="48330C4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8CE6AF8"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A6509"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2300</w:t>
            </w:r>
          </w:p>
        </w:tc>
      </w:tr>
      <w:tr w:rsidR="002B1C74" w:rsidRPr="002F2FDF" w14:paraId="2A83E6B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96A9299"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6E820"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 600</w:t>
            </w:r>
          </w:p>
        </w:tc>
      </w:tr>
      <w:tr w:rsidR="002B1C74" w:rsidRPr="002F2FDF" w14:paraId="6086A4A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1370B8B"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2A026"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2900</w:t>
            </w:r>
          </w:p>
        </w:tc>
      </w:tr>
    </w:tbl>
    <w:p w14:paraId="286856A4"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2. К этим орудиям имеется комплектов: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26"/>
        <w:gridCol w:w="1053"/>
      </w:tblGrid>
      <w:tr w:rsidR="002B1C74" w:rsidRPr="002F2FDF" w14:paraId="7407961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5D0AA98" w14:textId="13BDBA78"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 xml:space="preserve">а) </w:t>
            </w:r>
            <w:r w:rsidR="00E52569">
              <w:rPr>
                <w:color w:val="000000" w:themeColor="text1"/>
                <w:sz w:val="16"/>
                <w:szCs w:val="16"/>
              </w:rPr>
              <w:t xml:space="preserve">   </w:t>
            </w:r>
            <w:r w:rsidRPr="002F2FDF">
              <w:rPr>
                <w:color w:val="000000" w:themeColor="text1"/>
                <w:sz w:val="16"/>
                <w:szCs w:val="16"/>
              </w:rPr>
              <w:t>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D5AF6" w14:textId="5B52C2E4" w:rsidR="00D37E1F"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r w:rsidR="00D37E1F" w:rsidRPr="002F2FDF">
              <w:rPr>
                <w:color w:val="000000" w:themeColor="text1"/>
                <w:sz w:val="16"/>
                <w:szCs w:val="16"/>
              </w:rPr>
              <w:t>около 5000000</w:t>
            </w:r>
          </w:p>
        </w:tc>
      </w:tr>
      <w:tr w:rsidR="002B1C74" w:rsidRPr="002F2FDF" w14:paraId="2B520EB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215BA9C" w14:textId="1BCA051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 xml:space="preserve">б) </w:t>
            </w:r>
            <w:r w:rsidR="00E52569">
              <w:rPr>
                <w:color w:val="000000" w:themeColor="text1"/>
                <w:sz w:val="16"/>
                <w:szCs w:val="16"/>
              </w:rPr>
              <w:t xml:space="preserve">   </w:t>
            </w:r>
            <w:r w:rsidRPr="002F2FDF">
              <w:rPr>
                <w:color w:val="000000" w:themeColor="text1"/>
                <w:sz w:val="16"/>
                <w:szCs w:val="16"/>
              </w:rPr>
              <w:t>Отдельными элементами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4CCCF"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 1000000</w:t>
            </w:r>
          </w:p>
        </w:tc>
      </w:tr>
      <w:tr w:rsidR="002B1C74" w:rsidRPr="002F2FDF" w14:paraId="5C182BE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60C7E72"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B92B7"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6000000</w:t>
            </w:r>
          </w:p>
        </w:tc>
      </w:tr>
    </w:tbl>
    <w:p w14:paraId="26592A51"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или около 2.5 тыс. на действующее орудие.</w:t>
      </w:r>
    </w:p>
    <w:p w14:paraId="45B92065"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3. Чего бы можно было ожидать в дальнейшем?</w:t>
      </w:r>
    </w:p>
    <w:p w14:paraId="6A1C9AA8"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При январских данных можно было бы рассчитывать на следующее ежемесячное поступление: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72"/>
        <w:gridCol w:w="933"/>
      </w:tblGrid>
      <w:tr w:rsidR="002B1C74" w:rsidRPr="002F2FDF" w14:paraId="54AAB53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666024F"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38463" w14:textId="071F2355" w:rsidR="00D37E1F"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r w:rsidR="00D37E1F" w:rsidRPr="002F2FDF">
              <w:rPr>
                <w:color w:val="000000" w:themeColor="text1"/>
                <w:sz w:val="16"/>
                <w:szCs w:val="16"/>
              </w:rPr>
              <w:t>около 120</w:t>
            </w:r>
          </w:p>
        </w:tc>
      </w:tr>
      <w:tr w:rsidR="002B1C74" w:rsidRPr="002F2FDF" w14:paraId="63B4778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3F5C995"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Орудий отремонтированных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3161E"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 30</w:t>
            </w:r>
          </w:p>
        </w:tc>
      </w:tr>
      <w:tr w:rsidR="002B1C74" w:rsidRPr="002F2FDF" w14:paraId="191537F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D5B69C4"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53C40"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150</w:t>
            </w:r>
          </w:p>
        </w:tc>
      </w:tr>
      <w:tr w:rsidR="002B1C74" w:rsidRPr="002F2FDF" w14:paraId="7901174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E11F5D2"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05E5D"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700000</w:t>
            </w:r>
          </w:p>
        </w:tc>
      </w:tr>
    </w:tbl>
    <w:p w14:paraId="39E63A62"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4. А на что можно рассчитывать ныне?</w:t>
      </w:r>
    </w:p>
    <w:p w14:paraId="505AA1BC"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При условиях поступления, как было в мае и июне, можно рассчитывать получить не более: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62"/>
        <w:gridCol w:w="693"/>
      </w:tblGrid>
      <w:tr w:rsidR="002B1C74" w:rsidRPr="002F2FDF" w14:paraId="308FDDD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FFB84DC"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4C46A"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110</w:t>
            </w:r>
          </w:p>
        </w:tc>
      </w:tr>
      <w:tr w:rsidR="002B1C74" w:rsidRPr="002F2FDF" w14:paraId="537C134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A3E57F3"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0CCC2"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 600000</w:t>
            </w:r>
          </w:p>
        </w:tc>
      </w:tr>
    </w:tbl>
    <w:p w14:paraId="59FB8A37"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т. е. понижение в орудиях — 10% и выстрелах — 14%.</w:t>
      </w:r>
    </w:p>
    <w:p w14:paraId="21F24583"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Ставка заявляет ежемесячное требование на 84 орудия и 750 тыс. выстрелов.</w:t>
      </w:r>
    </w:p>
    <w:p w14:paraId="66616AC9"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В. Орудия крупного калибра и их боевые комплекты</w:t>
      </w:r>
    </w:p>
    <w:p w14:paraId="424A83B3"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(8" гаубицы; 9.2" гаубицы; 11" мортиры; 12" гаубицы).</w:t>
      </w:r>
    </w:p>
    <w:p w14:paraId="3FAB4C55"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 Всего таких орудий состоит:</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71"/>
      </w:tblGrid>
      <w:tr w:rsidR="002B1C74" w:rsidRPr="002F2FDF" w14:paraId="6A1E79D2" w14:textId="77777777" w:rsidTr="006514E2">
        <w:tc>
          <w:tcPr>
            <w:tcW w:w="1871" w:type="dxa"/>
            <w:tcBorders>
              <w:top w:val="outset" w:sz="6" w:space="0" w:color="auto"/>
              <w:left w:val="outset" w:sz="6" w:space="0" w:color="auto"/>
              <w:bottom w:val="outset" w:sz="6" w:space="0" w:color="auto"/>
              <w:right w:val="outset" w:sz="6" w:space="0" w:color="auto"/>
            </w:tcBorders>
            <w:vAlign w:val="center"/>
            <w:hideMark/>
          </w:tcPr>
          <w:p w14:paraId="299C3EB5" w14:textId="6A7868C8"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На вооружении около 62.</w:t>
            </w:r>
            <w:r w:rsidR="00E52569">
              <w:rPr>
                <w:color w:val="000000" w:themeColor="text1"/>
                <w:sz w:val="16"/>
                <w:szCs w:val="16"/>
              </w:rPr>
              <w:t xml:space="preserve"> </w:t>
            </w:r>
          </w:p>
        </w:tc>
      </w:tr>
    </w:tbl>
    <w:p w14:paraId="2E3465DA"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2. К этим орудиям имеется комплектов: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26"/>
        <w:gridCol w:w="889"/>
      </w:tblGrid>
      <w:tr w:rsidR="002B1C74" w:rsidRPr="002F2FDF" w14:paraId="092FDA6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B3419A3" w14:textId="004C9E26"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 xml:space="preserve">а) </w:t>
            </w:r>
            <w:r w:rsidR="00E52569">
              <w:rPr>
                <w:color w:val="000000" w:themeColor="text1"/>
                <w:sz w:val="16"/>
                <w:szCs w:val="16"/>
              </w:rPr>
              <w:t xml:space="preserve">   </w:t>
            </w:r>
            <w:r w:rsidRPr="002F2FDF">
              <w:rPr>
                <w:color w:val="000000" w:themeColor="text1"/>
                <w:sz w:val="16"/>
                <w:szCs w:val="16"/>
              </w:rPr>
              <w:t>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859F6"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19000</w:t>
            </w:r>
          </w:p>
        </w:tc>
      </w:tr>
      <w:tr w:rsidR="002B1C74" w:rsidRPr="002F2FDF" w14:paraId="081989C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BD994EE" w14:textId="41C5CE59"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 xml:space="preserve">б) </w:t>
            </w:r>
            <w:r w:rsidR="00E52569">
              <w:rPr>
                <w:color w:val="000000" w:themeColor="text1"/>
                <w:sz w:val="16"/>
                <w:szCs w:val="16"/>
              </w:rPr>
              <w:t xml:space="preserve">   </w:t>
            </w:r>
            <w:r w:rsidRPr="002F2FDF">
              <w:rPr>
                <w:color w:val="000000" w:themeColor="text1"/>
                <w:sz w:val="16"/>
                <w:szCs w:val="16"/>
              </w:rPr>
              <w:t>Отдельными элементами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33232"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 7700</w:t>
            </w:r>
          </w:p>
        </w:tc>
      </w:tr>
      <w:tr w:rsidR="002B1C74" w:rsidRPr="002F2FDF" w14:paraId="761122B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6C82496"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06149"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26700</w:t>
            </w:r>
          </w:p>
        </w:tc>
      </w:tr>
    </w:tbl>
    <w:p w14:paraId="0A6D56E5"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или около 430 на действующее орудие.</w:t>
      </w:r>
    </w:p>
    <w:p w14:paraId="1FAB3A47"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3. Чего бы можно было ожидать в дальнейшем?</w:t>
      </w:r>
    </w:p>
    <w:p w14:paraId="06E77A48"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При январских данных можно было бы рассчитывать на следующее ежемесячное поступление: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62"/>
        <w:gridCol w:w="613"/>
      </w:tblGrid>
      <w:tr w:rsidR="002B1C74" w:rsidRPr="002F2FDF" w14:paraId="2F7A4FF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94AD061"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90A3B"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11</w:t>
            </w:r>
          </w:p>
        </w:tc>
      </w:tr>
      <w:tr w:rsidR="002B1C74" w:rsidRPr="002F2FDF" w14:paraId="2E33C30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25AFBCC"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A69A4"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 13000</w:t>
            </w:r>
          </w:p>
        </w:tc>
      </w:tr>
    </w:tbl>
    <w:p w14:paraId="12CE87B1"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4. А на что можно рассчитывать ныне?</w:t>
      </w:r>
    </w:p>
    <w:p w14:paraId="18384D19"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lastRenderedPageBreak/>
        <w:t>При условиях поступления, как было в мае и июне, можно рассчитывать получить не более: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62"/>
        <w:gridCol w:w="569"/>
      </w:tblGrid>
      <w:tr w:rsidR="002B1C74" w:rsidRPr="002F2FDF" w14:paraId="371DD1F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2F2699C"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A61FB"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5</w:t>
            </w:r>
          </w:p>
        </w:tc>
      </w:tr>
      <w:tr w:rsidR="002B1C74" w:rsidRPr="002F2FDF" w14:paraId="6E95C0D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E0DE820"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EC7DA"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 7000</w:t>
            </w:r>
          </w:p>
        </w:tc>
      </w:tr>
    </w:tbl>
    <w:p w14:paraId="02133533"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т. е. понижение: 55% — в орудиях и 46% — в выстрелах.</w:t>
      </w:r>
    </w:p>
    <w:p w14:paraId="35EC9136"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Ставка заявляет ежемесячное требование на потребность в выстрелах в мае — 36 700.</w:t>
      </w:r>
    </w:p>
    <w:p w14:paraId="4F8B9A7D"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Г. Винтовки и пулеметы и патроны к ним</w:t>
      </w:r>
    </w:p>
    <w:p w14:paraId="39B27E09"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 Всего состоит:</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76"/>
        <w:gridCol w:w="1013"/>
        <w:gridCol w:w="760"/>
      </w:tblGrid>
      <w:tr w:rsidR="002B1C74" w:rsidRPr="002F2FDF" w14:paraId="6837FF8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F99E3D5" w14:textId="34F664D9" w:rsidR="00D37E1F"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61D93"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956E9"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Пулеметов</w:t>
            </w:r>
          </w:p>
        </w:tc>
      </w:tr>
      <w:tr w:rsidR="002B1C74" w:rsidRPr="002F2FDF" w14:paraId="6A0D6A9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75405C3"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DEA7E"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4815506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9F01C"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18269</w:t>
            </w:r>
          </w:p>
        </w:tc>
      </w:tr>
      <w:tr w:rsidR="002B1C74" w:rsidRPr="002F2FDF" w14:paraId="703F19D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FC00066"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C0A18"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105570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C07AB"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7017775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FD01EF5"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07798"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4921076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8CCD8"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18269</w:t>
            </w:r>
          </w:p>
        </w:tc>
      </w:tr>
    </w:tbl>
    <w:p w14:paraId="4F4B6FEC"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2. К этим винтовкам и пулеметам имеется патронов: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47"/>
        <w:gridCol w:w="815"/>
      </w:tblGrid>
      <w:tr w:rsidR="002B1C74" w:rsidRPr="002F2FDF" w14:paraId="06707DE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C1186AE" w14:textId="4983FD5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 xml:space="preserve">Всего около </w:t>
            </w:r>
            <w:r w:rsidR="00E52569">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881CC"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1491000000</w:t>
            </w:r>
          </w:p>
          <w:p w14:paraId="2F485EFB" w14:textId="3793CF3E" w:rsidR="00D37E1F"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bl>
    <w:p w14:paraId="249BD686"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или около 300 патронов на винтовку.</w:t>
      </w:r>
    </w:p>
    <w:p w14:paraId="09819BF7"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3. Чего бы можно было ожидать в дальнейшем?</w:t>
      </w:r>
    </w:p>
    <w:p w14:paraId="4C48F892"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При январских данных можно было бы рассчитывать на следующее ежемесячное поступление: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37"/>
        <w:gridCol w:w="853"/>
        <w:gridCol w:w="760"/>
      </w:tblGrid>
      <w:tr w:rsidR="002B1C74" w:rsidRPr="002F2FDF" w14:paraId="6C3895C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74C877" w14:textId="6FDCD6C4" w:rsidR="00D37E1F"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B4562"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1BDBC"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Пулеметов</w:t>
            </w:r>
          </w:p>
        </w:tc>
      </w:tr>
      <w:tr w:rsidR="002B1C74" w:rsidRPr="002F2FDF" w14:paraId="4696048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1D80F19"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8174F"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13000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31ABF"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1200</w:t>
            </w:r>
          </w:p>
        </w:tc>
      </w:tr>
      <w:tr w:rsidR="00474654" w:rsidRPr="002F2FDF" w14:paraId="46FA09C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4397609"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1DE75"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 62000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00845"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1100</w:t>
            </w:r>
          </w:p>
        </w:tc>
      </w:tr>
    </w:tbl>
    <w:p w14:paraId="0155A815" w14:textId="77777777" w:rsidR="00D37E1F" w:rsidRPr="002F2FDF" w:rsidRDefault="00D37E1F" w:rsidP="0083075A">
      <w:pPr>
        <w:pStyle w:val="ae"/>
        <w:spacing w:before="0" w:after="0"/>
        <w:jc w:val="both"/>
        <w:rPr>
          <w:color w:val="000000" w:themeColor="text1"/>
          <w:sz w:val="16"/>
          <w:szCs w:val="16"/>
        </w:rPr>
      </w:pP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37"/>
        <w:gridCol w:w="1173"/>
      </w:tblGrid>
      <w:tr w:rsidR="002B1C74" w:rsidRPr="002F2FDF" w14:paraId="489E170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E1DD51E" w14:textId="47BE616A" w:rsidR="00D37E1F"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5AF2C"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Патронов к ним</w:t>
            </w:r>
          </w:p>
        </w:tc>
      </w:tr>
      <w:tr w:rsidR="002B1C74" w:rsidRPr="002F2FDF" w14:paraId="34614CF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3E664E5"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9A0F9"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130000000</w:t>
            </w:r>
          </w:p>
        </w:tc>
      </w:tr>
      <w:tr w:rsidR="002B1C74" w:rsidRPr="002F2FDF" w14:paraId="217E566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3D392A1"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CE29C"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 50000000</w:t>
            </w:r>
          </w:p>
        </w:tc>
      </w:tr>
    </w:tbl>
    <w:p w14:paraId="06C4D408"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4. А на что можно рассчитывать ныне?</w:t>
      </w:r>
    </w:p>
    <w:p w14:paraId="4806F5FF"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При условиях поступления, как было в мае и июне, можно рассчитывать не более: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37"/>
        <w:gridCol w:w="933"/>
        <w:gridCol w:w="760"/>
      </w:tblGrid>
      <w:tr w:rsidR="002B1C74" w:rsidRPr="002F2FDF" w14:paraId="66E97CE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E180F3A" w14:textId="783F0BE0" w:rsidR="00D37E1F"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D0AE0"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6EEF1"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Пулеметов</w:t>
            </w:r>
          </w:p>
        </w:tc>
      </w:tr>
      <w:tr w:rsidR="002B1C74" w:rsidRPr="002F2FDF" w14:paraId="31109F2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696C62"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FA380"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110000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02C4F"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1100</w:t>
            </w:r>
          </w:p>
        </w:tc>
      </w:tr>
      <w:tr w:rsidR="00474654" w:rsidRPr="002F2FDF" w14:paraId="08261A6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5B572F4"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7DCCB"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 100000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E5600"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1100</w:t>
            </w:r>
          </w:p>
        </w:tc>
      </w:tr>
    </w:tbl>
    <w:p w14:paraId="38CF2062" w14:textId="77777777" w:rsidR="00D37E1F" w:rsidRPr="002F2FDF" w:rsidRDefault="00D37E1F" w:rsidP="0083075A">
      <w:pPr>
        <w:spacing w:after="0" w:line="240" w:lineRule="auto"/>
        <w:jc w:val="both"/>
        <w:rPr>
          <w:rFonts w:ascii="Times New Roman" w:hAnsi="Times New Roman" w:cs="Times New Roman"/>
          <w:color w:val="000000" w:themeColor="text1"/>
          <w:sz w:val="16"/>
          <w:szCs w:val="16"/>
        </w:rPr>
      </w:pP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37"/>
        <w:gridCol w:w="1173"/>
      </w:tblGrid>
      <w:tr w:rsidR="002B1C74" w:rsidRPr="002F2FDF" w14:paraId="0AC1E0E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D1A0FF6" w14:textId="0A6C7AF8" w:rsidR="00D37E1F"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351B1"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Патронов к ним</w:t>
            </w:r>
          </w:p>
        </w:tc>
      </w:tr>
      <w:tr w:rsidR="002B1C74" w:rsidRPr="002F2FDF" w14:paraId="0DDF7CB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ADE8DAF"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E4525"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130000000</w:t>
            </w:r>
          </w:p>
        </w:tc>
      </w:tr>
      <w:tr w:rsidR="002B1C74" w:rsidRPr="002F2FDF" w14:paraId="28EDBC7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1C0AEB5"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B2600"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 150000000</w:t>
            </w:r>
          </w:p>
        </w:tc>
      </w:tr>
    </w:tbl>
    <w:p w14:paraId="43633136"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т. е. понижение на наших заводах: до 15% — в винтовках и 10% — в пулеметах.</w:t>
      </w:r>
    </w:p>
    <w:p w14:paraId="4F63CF9D"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Ставка заявляет ежемесячное требование на 200 тыс. винтовок, 600 пулеметов и винтовочных патронов: 200 мли — 3'", 25 млн — австрийских и 45 млн — японских.</w:t>
      </w:r>
    </w:p>
    <w:p w14:paraId="4320A28F"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Д. Бомбометы и минометы</w:t>
      </w:r>
    </w:p>
    <w:p w14:paraId="560930B3"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 Всего таких орудий состоит:</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76"/>
        <w:gridCol w:w="800"/>
        <w:gridCol w:w="759"/>
      </w:tblGrid>
      <w:tr w:rsidR="002B1C74" w:rsidRPr="002F2FDF" w14:paraId="3FA8950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99E1A52" w14:textId="2FCFD441" w:rsidR="00D37E1F"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486B9"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Бомбометы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10CE6"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Минометы</w:t>
            </w:r>
          </w:p>
        </w:tc>
      </w:tr>
      <w:tr w:rsidR="002B1C74" w:rsidRPr="002F2FDF" w14:paraId="5521624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16AA2E5"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80FE5"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6920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6A2D3"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1514</w:t>
            </w:r>
          </w:p>
        </w:tc>
      </w:tr>
    </w:tbl>
    <w:p w14:paraId="7CC5024E"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2. К этим орудиям имеется:</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76"/>
        <w:gridCol w:w="575"/>
        <w:gridCol w:w="495"/>
      </w:tblGrid>
      <w:tr w:rsidR="002B1C74" w:rsidRPr="002F2FDF" w14:paraId="4B85836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CF65E7A" w14:textId="6F7D64B1" w:rsidR="00D37E1F"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336C8"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Бомб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93C91"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Мин</w:t>
            </w:r>
          </w:p>
        </w:tc>
      </w:tr>
      <w:tr w:rsidR="002B1C74" w:rsidRPr="002F2FDF" w14:paraId="29D96EB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C10145C"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A01DC"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1836000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63919"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376000</w:t>
            </w:r>
          </w:p>
        </w:tc>
      </w:tr>
    </w:tbl>
    <w:p w14:paraId="157A2FD7"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3. Чего бы можно было ожидать в дальнейшем?</w:t>
      </w:r>
    </w:p>
    <w:p w14:paraId="0B8A0328"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При январских данных можно было бы рассчитывать на следующее ежемесячное поступление: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71"/>
        <w:gridCol w:w="615"/>
      </w:tblGrid>
      <w:tr w:rsidR="002B1C74" w:rsidRPr="002F2FDF" w14:paraId="78C1B8E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8A7C3E9"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а) Минометов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3AC31"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80</w:t>
            </w:r>
          </w:p>
        </w:tc>
      </w:tr>
      <w:tr w:rsidR="002B1C74" w:rsidRPr="002F2FDF" w14:paraId="3E80BE3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ADE6ADA"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б) Мин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6023E"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 100000</w:t>
            </w:r>
          </w:p>
        </w:tc>
      </w:tr>
    </w:tbl>
    <w:p w14:paraId="6C0E3EF0"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Что же касается бомбометов и бомб к ним, то заявленная потребность удовлетворена полностью.</w:t>
      </w:r>
    </w:p>
    <w:p w14:paraId="799170CC"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4. А на что можно рассчитывать ныне?</w:t>
      </w:r>
    </w:p>
    <w:p w14:paraId="5BA14CCD"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При условиях поступления, как было в мае и июне, можно рассчитывать получить не более: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71"/>
        <w:gridCol w:w="613"/>
      </w:tblGrid>
      <w:tr w:rsidR="002B1C74" w:rsidRPr="002F2FDF" w14:paraId="40144D7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60C36B4"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а) Минометов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B7640"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80</w:t>
            </w:r>
          </w:p>
        </w:tc>
      </w:tr>
      <w:tr w:rsidR="002B1C74" w:rsidRPr="002F2FDF" w14:paraId="6FC2DA9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5EBB9DF"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б) Мин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68757"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 80000</w:t>
            </w:r>
          </w:p>
        </w:tc>
      </w:tr>
    </w:tbl>
    <w:p w14:paraId="21489F5C"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т. е. понижение до 20% на минах.</w:t>
      </w:r>
    </w:p>
    <w:p w14:paraId="7A16516D"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Ставка заявляет потребность довести число легких минометов до 3500, минометов Лихонина — до 1000 и тяжелых минометов — до 1500 и ежемесячную подачу мин — 145 тыс.</w:t>
      </w:r>
    </w:p>
    <w:p w14:paraId="453ECDF7"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ЗАКЛЮЧЕНИЕ</w:t>
      </w:r>
    </w:p>
    <w:p w14:paraId="157050E1"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А. Орудия малого калибра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55"/>
        <w:gridCol w:w="413"/>
        <w:gridCol w:w="335"/>
      </w:tblGrid>
      <w:tr w:rsidR="002B1C74" w:rsidRPr="002F2FDF" w14:paraId="275FC9D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0DB7A8B"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К началу войны состояло 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8DFD1"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F2D0B"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7200</w:t>
            </w:r>
          </w:p>
        </w:tc>
      </w:tr>
      <w:tr w:rsidR="002B1C74" w:rsidRPr="002F2FDF" w14:paraId="3DEA2D9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0CF7548"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310C4" w14:textId="0F6ACFD2" w:rsidR="00D37E1F"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6FF3A" w14:textId="6E80FFCC" w:rsidR="00D37E1F"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54192B7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BE495D5"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4F640"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7E857"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7200</w:t>
            </w:r>
          </w:p>
        </w:tc>
      </w:tr>
      <w:tr w:rsidR="002B1C74" w:rsidRPr="002F2FDF" w14:paraId="409BA4C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4A48616"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8D362" w14:textId="2EB19770" w:rsidR="00D37E1F"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224D4"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2600</w:t>
            </w:r>
          </w:p>
        </w:tc>
      </w:tr>
    </w:tbl>
    <w:p w14:paraId="2E0CE58C"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Новые артиллерийские формирования но распоряжению ГУГШ не производятся вследствие недостатка людей и лошадей, однако начатые уже формирования приказано закончить.</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91"/>
        <w:gridCol w:w="868"/>
      </w:tblGrid>
      <w:tr w:rsidR="002B1C74" w:rsidRPr="002F2FDF" w14:paraId="7729471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FCEE661"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За время войны изготовлено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8EBC1"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7800</w:t>
            </w:r>
          </w:p>
        </w:tc>
      </w:tr>
      <w:tr w:rsidR="002B1C74" w:rsidRPr="002F2FDF" w14:paraId="022DBA9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59A3B6B"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6328B"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3410</w:t>
            </w:r>
          </w:p>
        </w:tc>
      </w:tr>
      <w:tr w:rsidR="002B1C74" w:rsidRPr="002F2FDF" w14:paraId="6B9F5BC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F5C0042"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2AFCE"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7200 + 7800</w:t>
            </w:r>
          </w:p>
        </w:tc>
      </w:tr>
      <w:tr w:rsidR="002B1C74" w:rsidRPr="002F2FDF" w14:paraId="00A6ED3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B9101DD" w14:textId="49AA97EA" w:rsidR="00D37E1F"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15F03"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15000</w:t>
            </w:r>
          </w:p>
        </w:tc>
      </w:tr>
      <w:tr w:rsidR="002B1C74" w:rsidRPr="002F2FDF" w14:paraId="3E99C60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EE79C92"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Следовательно, с начала войны убыло...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E3FFE"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5000 орудий</w:t>
            </w:r>
          </w:p>
        </w:tc>
      </w:tr>
    </w:tbl>
    <w:p w14:paraId="2C4EFF78"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Для оставшихся пушек запасенных боевых комплектов около 40 млн, т. е. около 5.5 тыс. на пушку, можно признать достаточным, если бы даже встретились и существенные затруднения в дальнейшем производстве их.</w:t>
      </w:r>
    </w:p>
    <w:p w14:paraId="6DAB5AE9"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Б. Орудия среднего калибра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65"/>
        <w:gridCol w:w="773"/>
      </w:tblGrid>
      <w:tr w:rsidR="002B1C74" w:rsidRPr="002F2FDF" w14:paraId="54A6DDE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1CB7EF3"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К началу войны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2161B"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1031</w:t>
            </w:r>
          </w:p>
        </w:tc>
      </w:tr>
      <w:tr w:rsidR="002B1C74" w:rsidRPr="002F2FDF" w14:paraId="4B273E3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09AD2F0"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AFEA0" w14:textId="08AEB3AA" w:rsidR="00D37E1F"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7F5CC17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B8B2BE2"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па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F5DC2"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 2316</w:t>
            </w:r>
          </w:p>
        </w:tc>
      </w:tr>
      <w:tr w:rsidR="002B1C74" w:rsidRPr="002F2FDF" w14:paraId="14B1CF0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4766126"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9B8C2"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 558</w:t>
            </w:r>
          </w:p>
        </w:tc>
      </w:tr>
      <w:tr w:rsidR="002B1C74" w:rsidRPr="002F2FDF" w14:paraId="6DF5F9F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46036C2"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За время войны изготовлено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16393"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1966</w:t>
            </w:r>
          </w:p>
        </w:tc>
      </w:tr>
      <w:tr w:rsidR="002B1C74" w:rsidRPr="002F2FDF" w14:paraId="6A7329D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0831A14"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C1E4D"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496</w:t>
            </w:r>
          </w:p>
        </w:tc>
      </w:tr>
      <w:tr w:rsidR="002B1C74" w:rsidRPr="002F2FDF" w14:paraId="123E661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F181974"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Отпущено орудий 1877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571E0"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750</w:t>
            </w:r>
          </w:p>
        </w:tc>
      </w:tr>
      <w:tr w:rsidR="002B1C74" w:rsidRPr="002F2FDF" w14:paraId="0A81BBA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EDF06F2"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A7184"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4243</w:t>
            </w:r>
          </w:p>
        </w:tc>
      </w:tr>
      <w:tr w:rsidR="002B1C74" w:rsidRPr="002F2FDF" w14:paraId="27DB207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E09DD2D"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6CE74"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1369</w:t>
            </w:r>
          </w:p>
        </w:tc>
      </w:tr>
    </w:tbl>
    <w:p w14:paraId="1C7862E6"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Для оставшихся орудий запасенных боевых комплектов — около : млн, или около 2.5 тыс. на орудие, можно признать достаточным</w:t>
      </w:r>
    </w:p>
    <w:p w14:paraId="5176CED8"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lastRenderedPageBreak/>
        <w:t>только при условии, что ежемесячный прилив их будет не менее того, что было в январе месяце с. г.</w:t>
      </w:r>
    </w:p>
    <w:p w14:paraId="55EA24A3"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В. Орудия крупного калибра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91"/>
        <w:gridCol w:w="613"/>
      </w:tblGrid>
      <w:tr w:rsidR="002B1C74" w:rsidRPr="002F2FDF" w14:paraId="34DF979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28C57D6"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К началу войны не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25F52" w14:textId="7B722DC6" w:rsidR="00D37E1F"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64814BF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0C67A29"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91A42" w14:textId="1B79E9C5" w:rsidR="00D37E1F"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2F7C883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F4D116F"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2B813"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62</w:t>
            </w:r>
          </w:p>
        </w:tc>
      </w:tr>
      <w:tr w:rsidR="002B1C74" w:rsidRPr="002F2FDF" w14:paraId="6277BA6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781B117"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3B1C6"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23AB6F8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376B45"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За время войны изготовлено и доставлено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B0C16"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87</w:t>
            </w:r>
          </w:p>
        </w:tc>
      </w:tr>
      <w:tr w:rsidR="002B1C74" w:rsidRPr="002F2FDF" w14:paraId="5FC7BB4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2E3399C"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5D0CA"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87</w:t>
            </w:r>
          </w:p>
        </w:tc>
      </w:tr>
      <w:tr w:rsidR="002B1C74" w:rsidRPr="002F2FDF" w14:paraId="1F629CC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C68D190"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C4653"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около 25</w:t>
            </w:r>
          </w:p>
        </w:tc>
      </w:tr>
    </w:tbl>
    <w:p w14:paraId="2525EBE4"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Для пушек крупного калибра, в особенности 12" и 11'', как существующий запас, так и ежемесячное поступление совершенно недостаточны.</w:t>
      </w:r>
    </w:p>
    <w:p w14:paraId="3AD762FE"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Г. Пулеметы, ружья и патроны</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90"/>
        <w:gridCol w:w="712"/>
        <w:gridCol w:w="575"/>
        <w:gridCol w:w="815"/>
      </w:tblGrid>
      <w:tr w:rsidR="002B1C74" w:rsidRPr="002F2FDF" w14:paraId="2196742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3FD89F4" w14:textId="2D0D4A54" w:rsidR="00D37E1F"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2541E"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1F41D"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Ружья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EE7FB"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Патроны</w:t>
            </w:r>
          </w:p>
        </w:tc>
      </w:tr>
      <w:tr w:rsidR="002B1C74" w:rsidRPr="002F2FDF" w14:paraId="7C505BE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3F2F28F"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К началу войны состояло: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00B20"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4157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7A6CA"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4124000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5656E5"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2315000000</w:t>
            </w:r>
          </w:p>
        </w:tc>
      </w:tr>
      <w:tr w:rsidR="002B1C74" w:rsidRPr="002F2FDF" w14:paraId="71C964B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1E32036"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Теперь имеется: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7895C" w14:textId="1B408A51" w:rsidR="00D37E1F"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D9525" w14:textId="25A13AEB" w:rsidR="00D37E1F"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F76B2" w14:textId="746043FB" w:rsidR="00D37E1F"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07C9D55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62A1A25"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на вооружении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9F0E8"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18269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BCA99"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4065000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83302"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1490000000</w:t>
            </w:r>
          </w:p>
        </w:tc>
      </w:tr>
      <w:tr w:rsidR="002B1C74" w:rsidRPr="002F2FDF" w14:paraId="3174964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50AC0D3"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44467"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116E3"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59860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7B26A"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510E2CE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0B6E34F"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За время войны изготовлено и доставлено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B37A5"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30354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2AEFF"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5087850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068B8"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5346000000</w:t>
            </w:r>
          </w:p>
        </w:tc>
      </w:tr>
      <w:tr w:rsidR="002B1C74" w:rsidRPr="002F2FDF" w14:paraId="2A9A10C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7DCFCB3"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718A5"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965EE"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83C32"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0B84DAF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3814D45"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Таким образом, всего на фронты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E40C2"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34511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73383"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9211850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FE4AE"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7661000000</w:t>
            </w:r>
          </w:p>
        </w:tc>
      </w:tr>
      <w:tr w:rsidR="002B1C74" w:rsidRPr="002F2FDF" w14:paraId="5CA7D76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2D1801E"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CA377"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16172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7D849"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5086994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14103"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6171000000</w:t>
            </w:r>
          </w:p>
        </w:tc>
      </w:tr>
    </w:tbl>
    <w:p w14:paraId="2E002114"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Д. Бомбометы и миномёты</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76"/>
        <w:gridCol w:w="800"/>
        <w:gridCol w:w="604"/>
        <w:gridCol w:w="759"/>
        <w:gridCol w:w="575"/>
      </w:tblGrid>
      <w:tr w:rsidR="002B1C74" w:rsidRPr="002F2FDF" w14:paraId="6DC9D7C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601C3BF" w14:textId="6BC1A3C4" w:rsidR="00D37E1F"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F5B2B"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Бомбометы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93FDC"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Бомбы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3C074"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Минометы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ADA6A"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Мины</w:t>
            </w:r>
          </w:p>
        </w:tc>
      </w:tr>
      <w:tr w:rsidR="002B1C74" w:rsidRPr="002F2FDF" w14:paraId="08F7D81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36864EE"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К началу войны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4E4BE" w14:textId="6C187DB5" w:rsidR="00D37E1F"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7FE3F" w14:textId="22440360" w:rsidR="00D37E1F"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1C40C" w14:textId="577EB414" w:rsidR="00D37E1F"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B08A8" w14:textId="56FFDD18" w:rsidR="00D37E1F"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23555D1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729DA00"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на вооружении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CFE35"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6920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0E051"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1839000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A4B96"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269E5"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376000</w:t>
            </w:r>
          </w:p>
        </w:tc>
      </w:tr>
      <w:tr w:rsidR="002B1C74" w:rsidRPr="002F2FDF" w14:paraId="0C70F3E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CE03E14"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A4421"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48F0A"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03F70"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E6621"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7F2DC3B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449BEAE"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За время войны изготовлено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50A46"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13395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8234E"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8791000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F3530"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4095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841B7"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1340000</w:t>
            </w:r>
          </w:p>
        </w:tc>
      </w:tr>
      <w:tr w:rsidR="002B1C74" w:rsidRPr="002F2FDF" w14:paraId="49F5CDB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9B9890A"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Таким образом, всего на фронты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B0465"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13395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486A2"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8791000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DDD14"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4095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71537"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1340000</w:t>
            </w:r>
          </w:p>
        </w:tc>
      </w:tr>
      <w:tr w:rsidR="002B1C74" w:rsidRPr="002F2FDF" w14:paraId="79FA89B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5E21DE0"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11B40"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6475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F5047"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'6952000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7682B"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2581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41230" w14:textId="77777777" w:rsidR="00D37E1F" w:rsidRPr="002F2FDF" w:rsidRDefault="00D37E1F" w:rsidP="0083075A">
            <w:pPr>
              <w:pStyle w:val="ae"/>
              <w:spacing w:before="0" w:after="0"/>
              <w:jc w:val="both"/>
              <w:rPr>
                <w:color w:val="000000" w:themeColor="text1"/>
                <w:sz w:val="16"/>
                <w:szCs w:val="16"/>
              </w:rPr>
            </w:pPr>
            <w:r w:rsidRPr="002F2FDF">
              <w:rPr>
                <w:color w:val="000000" w:themeColor="text1"/>
                <w:sz w:val="16"/>
                <w:szCs w:val="16"/>
              </w:rPr>
              <w:t>964000</w:t>
            </w:r>
          </w:p>
        </w:tc>
      </w:tr>
    </w:tbl>
    <w:p w14:paraId="1B82EA62"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Учитывая значительное понижение продуктивности работы (почти на 30%), можно считать пополнение запасов фронта орудиями легкого калибра и выстрелами к ним обеспеченным. Необходимо только всемерно стараться усилить подачу горных и зенитных орудий.</w:t>
      </w:r>
    </w:p>
    <w:p w14:paraId="08667976"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Точно так же но внушает опасения пополнение орудий среднего калибра. Подача же выстрелов к ним понизилась против предположений значительно, почти на 50%. Причем понижение производства в 50% ложится на неподачу топлива и металла, а в остальных 50% понижение произошло исключительно от падения труда и дезорганизации производства.</w:t>
      </w:r>
    </w:p>
    <w:p w14:paraId="5E4E5EC2"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Удовлетворение потребности в орудиях крупного калибра и выстрелов к ним исключительно зависит от того, насколько союзники наши пожелают выполнить принятые ими на себя обязательства. Из обещанных ими 128 тяжелых орудий до 1 марта и 168 орудий в течение навигации с. г. прибыло всего 116 орудий, из них 8"—12" только 28, причем значительная часть не имеет еще весьма существенных частей, вроде прицелов.</w:t>
      </w:r>
    </w:p>
    <w:p w14:paraId="7F962FD5" w14:textId="77777777"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Готовые к погрузке еще в мае месяце 10 батарей 42"' пушек задержаны отправкой по распоряжению итальянского правительства.</w:t>
      </w:r>
    </w:p>
    <w:p w14:paraId="3FB60C25" w14:textId="7C9BC602" w:rsidR="00D37E1F" w:rsidRPr="002F2FDF" w:rsidRDefault="00D37E1F" w:rsidP="0083075A">
      <w:pPr>
        <w:pStyle w:val="rtejustify"/>
        <w:spacing w:before="0" w:after="0"/>
        <w:rPr>
          <w:color w:val="000000" w:themeColor="text1"/>
          <w:sz w:val="16"/>
          <w:szCs w:val="16"/>
        </w:rPr>
      </w:pPr>
      <w:r w:rsidRPr="002F2FDF">
        <w:rPr>
          <w:color w:val="000000" w:themeColor="text1"/>
          <w:sz w:val="16"/>
          <w:szCs w:val="16"/>
        </w:rPr>
        <w:t>За последние 4 месяца на фронт отправлено 42 тяжелых батареи и формируется 40 батарей, из которых 15 батарей будут готовы и отправлены на фронт в июле месяце. Что же касается выстрелов к ним, то тут также главная надежда на заграничную поставку, ибо русские заводы даже при введении стале-чугунных снарядов не могут дать свыше</w:t>
      </w:r>
      <w:r w:rsidR="00E52569">
        <w:rPr>
          <w:color w:val="000000" w:themeColor="text1"/>
          <w:sz w:val="16"/>
          <w:szCs w:val="16"/>
        </w:rPr>
        <w:t xml:space="preserve"> </w:t>
      </w:r>
      <w:r w:rsidRPr="002F2FDF">
        <w:rPr>
          <w:color w:val="000000" w:themeColor="text1"/>
          <w:sz w:val="16"/>
          <w:szCs w:val="16"/>
          <w:vertAlign w:val="superscript"/>
        </w:rPr>
        <w:t>1</w:t>
      </w:r>
      <w:r w:rsidRPr="002F2FDF">
        <w:rPr>
          <w:color w:val="000000" w:themeColor="text1"/>
          <w:sz w:val="16"/>
          <w:szCs w:val="16"/>
        </w:rPr>
        <w:t>/</w:t>
      </w:r>
      <w:r w:rsidRPr="002F2FDF">
        <w:rPr>
          <w:color w:val="000000" w:themeColor="text1"/>
          <w:sz w:val="16"/>
          <w:szCs w:val="16"/>
          <w:vertAlign w:val="subscript"/>
        </w:rPr>
        <w:t>5</w:t>
      </w:r>
      <w:r w:rsidRPr="002F2FDF">
        <w:rPr>
          <w:color w:val="000000" w:themeColor="text1"/>
          <w:sz w:val="16"/>
          <w:szCs w:val="16"/>
        </w:rPr>
        <w:t>всего потребного количества выстрелов к орудиям сверхтяжелого калибра.</w:t>
      </w:r>
    </w:p>
    <w:p w14:paraId="45FCB465" w14:textId="7B44FD22" w:rsidR="00D37E1F" w:rsidRPr="002F2FDF" w:rsidRDefault="00000000" w:rsidP="0083075A">
      <w:pPr>
        <w:pStyle w:val="rtejustify"/>
        <w:spacing w:before="0" w:after="0"/>
        <w:rPr>
          <w:color w:val="000000" w:themeColor="text1"/>
          <w:sz w:val="16"/>
          <w:szCs w:val="16"/>
        </w:rPr>
      </w:pPr>
      <w:hyperlink r:id="rId243" w:anchor="_ftnref1" w:history="1">
        <w:r w:rsidR="00D37E1F" w:rsidRPr="002F2FDF">
          <w:rPr>
            <w:rStyle w:val="a5"/>
            <w:rFonts w:eastAsiaTheme="majorEastAsia"/>
            <w:color w:val="000000" w:themeColor="text1"/>
            <w:sz w:val="16"/>
            <w:szCs w:val="16"/>
          </w:rPr>
          <w:t>[1]</w:t>
        </w:r>
      </w:hyperlink>
      <w:r w:rsidR="00E52569">
        <w:rPr>
          <w:color w:val="000000" w:themeColor="text1"/>
          <w:sz w:val="16"/>
          <w:szCs w:val="16"/>
        </w:rPr>
        <w:t xml:space="preserve"> </w:t>
      </w:r>
      <w:r w:rsidR="00D37E1F" w:rsidRPr="002F2FDF">
        <w:rPr>
          <w:color w:val="000000" w:themeColor="text1"/>
          <w:sz w:val="16"/>
          <w:szCs w:val="16"/>
        </w:rPr>
        <w:t>Датируется по содержанию док.</w:t>
      </w:r>
    </w:p>
    <w:p w14:paraId="0AA14F13" w14:textId="1B2CF6DA" w:rsidR="00D37E1F" w:rsidRPr="002F2FDF" w:rsidRDefault="00000000" w:rsidP="0083075A">
      <w:pPr>
        <w:pStyle w:val="rtejustify"/>
        <w:spacing w:before="0" w:after="0"/>
        <w:rPr>
          <w:color w:val="000000" w:themeColor="text1"/>
          <w:sz w:val="16"/>
          <w:szCs w:val="16"/>
        </w:rPr>
      </w:pPr>
      <w:hyperlink r:id="rId244" w:anchor="_ftnref2" w:history="1">
        <w:r w:rsidR="00D37E1F" w:rsidRPr="002F2FDF">
          <w:rPr>
            <w:rStyle w:val="a5"/>
            <w:rFonts w:eastAsiaTheme="majorEastAsia"/>
            <w:color w:val="000000" w:themeColor="text1"/>
            <w:sz w:val="16"/>
            <w:szCs w:val="16"/>
          </w:rPr>
          <w:t>[2]</w:t>
        </w:r>
      </w:hyperlink>
      <w:r w:rsidR="00E52569">
        <w:rPr>
          <w:color w:val="000000" w:themeColor="text1"/>
          <w:sz w:val="16"/>
          <w:szCs w:val="16"/>
        </w:rPr>
        <w:t xml:space="preserve"> </w:t>
      </w:r>
      <w:r w:rsidR="00D37E1F" w:rsidRPr="002F2FDF">
        <w:rPr>
          <w:color w:val="000000" w:themeColor="text1"/>
          <w:sz w:val="16"/>
          <w:szCs w:val="16"/>
        </w:rPr>
        <w:t>За исключением гильз, коих хватает не на все число выстрелов. (Прим. док.).</w:t>
      </w:r>
    </w:p>
    <w:p w14:paraId="69635135" w14:textId="4BF35C74" w:rsidR="00D37E1F" w:rsidRPr="002F2FDF" w:rsidRDefault="00000000" w:rsidP="0083075A">
      <w:pPr>
        <w:pStyle w:val="rtejustify"/>
        <w:spacing w:before="0" w:after="0"/>
        <w:rPr>
          <w:color w:val="000000" w:themeColor="text1"/>
          <w:sz w:val="16"/>
          <w:szCs w:val="16"/>
        </w:rPr>
      </w:pPr>
      <w:hyperlink r:id="rId245" w:anchor="_ftnref3" w:history="1">
        <w:r w:rsidR="00D37E1F" w:rsidRPr="002F2FDF">
          <w:rPr>
            <w:rStyle w:val="a5"/>
            <w:rFonts w:eastAsiaTheme="majorEastAsia"/>
            <w:color w:val="000000" w:themeColor="text1"/>
            <w:sz w:val="16"/>
            <w:szCs w:val="16"/>
          </w:rPr>
          <w:t>[3]</w:t>
        </w:r>
      </w:hyperlink>
      <w:r w:rsidR="00E52569">
        <w:rPr>
          <w:color w:val="000000" w:themeColor="text1"/>
          <w:sz w:val="16"/>
          <w:szCs w:val="16"/>
        </w:rPr>
        <w:t xml:space="preserve"> </w:t>
      </w:r>
      <w:r w:rsidR="00D37E1F" w:rsidRPr="002F2FDF">
        <w:rPr>
          <w:color w:val="000000" w:themeColor="text1"/>
          <w:sz w:val="16"/>
          <w:szCs w:val="16"/>
        </w:rPr>
        <w:t>За исключением гильз, коих хватает не на все число выстрелов. (Прим. док.).</w:t>
      </w:r>
    </w:p>
    <w:p w14:paraId="222F5F22" w14:textId="62FD7935" w:rsidR="00D37E1F" w:rsidRPr="002F2FDF" w:rsidRDefault="00000000" w:rsidP="0083075A">
      <w:pPr>
        <w:pStyle w:val="rtejustify"/>
        <w:spacing w:before="0" w:after="0"/>
        <w:rPr>
          <w:color w:val="000000" w:themeColor="text1"/>
          <w:sz w:val="16"/>
          <w:szCs w:val="16"/>
        </w:rPr>
      </w:pPr>
      <w:hyperlink r:id="rId246" w:anchor="_ftnref4" w:history="1">
        <w:r w:rsidR="00D37E1F" w:rsidRPr="002F2FDF">
          <w:rPr>
            <w:rStyle w:val="a5"/>
            <w:rFonts w:eastAsiaTheme="majorEastAsia"/>
            <w:color w:val="000000" w:themeColor="text1"/>
            <w:sz w:val="16"/>
            <w:szCs w:val="16"/>
          </w:rPr>
          <w:t>[4]</w:t>
        </w:r>
      </w:hyperlink>
      <w:r w:rsidR="00E52569">
        <w:rPr>
          <w:color w:val="000000" w:themeColor="text1"/>
          <w:sz w:val="16"/>
          <w:szCs w:val="16"/>
        </w:rPr>
        <w:t xml:space="preserve"> </w:t>
      </w:r>
      <w:r w:rsidR="00D37E1F" w:rsidRPr="002F2FDF">
        <w:rPr>
          <w:color w:val="000000" w:themeColor="text1"/>
          <w:sz w:val="16"/>
          <w:szCs w:val="16"/>
        </w:rPr>
        <w:t>За исключением гильз, коих хватает не на все число выстрелов. (Прим. док.) (18365).</w:t>
      </w:r>
    </w:p>
    <w:p w14:paraId="0E615F04" w14:textId="77777777" w:rsidR="00D37E1F" w:rsidRPr="002F2FDF" w:rsidRDefault="00D37E1F" w:rsidP="0083075A">
      <w:pPr>
        <w:spacing w:after="0" w:line="240" w:lineRule="auto"/>
        <w:jc w:val="both"/>
        <w:rPr>
          <w:rFonts w:ascii="Times New Roman" w:hAnsi="Times New Roman" w:cs="Times New Roman"/>
          <w:color w:val="000000" w:themeColor="text1"/>
          <w:sz w:val="16"/>
          <w:szCs w:val="16"/>
        </w:rPr>
      </w:pPr>
    </w:p>
    <w:p w14:paraId="4886D0C1"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ранее 18 июня (1 июля) 1917 г.</w:t>
      </w:r>
      <w:hyperlink r:id="rId247" w:anchor="_ftn1" w:history="1">
        <w:r w:rsidRPr="002F2FDF">
          <w:rPr>
            <w:rFonts w:ascii="Times New Roman" w:hAnsi="Times New Roman" w:cs="Times New Roman"/>
            <w:color w:val="000000" w:themeColor="text1"/>
            <w:kern w:val="2"/>
            <w:sz w:val="16"/>
            <w:szCs w:val="16"/>
          </w:rPr>
          <w:t>[1]</w:t>
        </w:r>
      </w:hyperlink>
      <w:r w:rsidRPr="002F2FDF">
        <w:rPr>
          <w:rFonts w:ascii="Times New Roman" w:hAnsi="Times New Roman" w:cs="Times New Roman"/>
          <w:color w:val="000000" w:themeColor="text1"/>
          <w:kern w:val="2"/>
          <w:sz w:val="16"/>
          <w:szCs w:val="16"/>
        </w:rPr>
        <w:t xml:space="preserve"> Сведения Кабинета военного министра о наличии боевого снаряжения армии к 18 июня 1917 г.</w:t>
      </w:r>
    </w:p>
    <w:p w14:paraId="77034DB5"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366, оп. 1, д. 215, лл. 232—237. Копия.</w:t>
      </w:r>
    </w:p>
    <w:p w14:paraId="54C9118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АРТИЛЛЕРИЙСКОЙ ЧАСТИ</w:t>
      </w:r>
    </w:p>
    <w:p w14:paraId="40B2AD7B"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СПРАВКА ИСТОРИЧЕСКАЯ</w:t>
      </w:r>
    </w:p>
    <w:p w14:paraId="21B6131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Войну мы предполагали вести в расчете только на заготовленные в мирное время запасы. Плана и подготовки к систематическому пополнению расхода этих запасов во время самой войны не было.</w:t>
      </w:r>
    </w:p>
    <w:p w14:paraId="61061C4F"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Означенных запасов хватило на 4 месяца, и так как война продолжалась, то пришлось спешно, уже на третьем месяце войны, прибегнуть к мобилизации казенной и частной промышленности, чтобы готовить боевое снабжение для текущей потребности войны.</w:t>
      </w:r>
    </w:p>
    <w:p w14:paraId="4278F83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запасов к началу войны оказалось в наличии:</w:t>
      </w:r>
    </w:p>
    <w:p w14:paraId="35D61C16"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A. Орудий легких калибров около 7200; орудий средних калибров около 700; орудий крупных калибров ни одного.</w:t>
      </w:r>
    </w:p>
    <w:p w14:paraId="720038E1"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Выстрелов к ним: к легким — около 6.5 млн; к средним — около 650 тыс., т. е. примерно по 1000 выстрелов (на круг) на каждое орудие легкое и среднее. Эти выстрелы были запасены не в собранном виде, а в виде отдельных элементов, которые с начала мобилизации соединялись в «выстрелы» как самими артиллерийскими частями (возимый запас), так и артиллерийскими складами (местные парки).</w:t>
      </w:r>
    </w:p>
    <w:p w14:paraId="0D92F51F"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Установить вполне точно время поступления всех означенных запасов на фронт не удалось, но по имеющимся в Главном артиллерийском управлении данным с достаточной достоверностью можно принять, что это поступление шло более или менее равномерно в течение времени с конца июля до начала декабря 1914 г. Так что ежемесячный расход выстрелов на этот период времени был в среднем: для легких калибров около 1.5 млн. (или около 250 выстрелов на пушку); для средних калибров — около 1/4 млн или около 350 выстрелов на орудие).</w:t>
      </w:r>
    </w:p>
    <w:p w14:paraId="59D25098"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B. Винтовок всех систем, кроме Бердана и австрийских, состояло 4124 тыс., пулеметов—4157, патронов к ним — 2 315 500 тыс., что составит в среднем на винтовку: по 800 патронов — на пехотную и 320 — на кавалерийскую.</w:t>
      </w:r>
    </w:p>
    <w:p w14:paraId="746AC91B"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время с начала войны до 15 февраля 1915 г. израсходовано всего около 734 млн патронов, что составит 32% комплекта и 110 млн патронов в месяц. При этом, как известно, велись значительные боевые операции почти по всему фронту: и в Восточной Пруссии, и в Польше, и в Галиции, и притом войска не стеснялись в расходе боевых припасов.</w:t>
      </w:r>
    </w:p>
    <w:p w14:paraId="3FB2149C"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Результаты этого периода войны известны.</w:t>
      </w:r>
    </w:p>
    <w:p w14:paraId="2DCD6BA1"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НАЛИЧИЕ ЗАПАСОВ К 18 ИЮНЯ 1917 г.</w:t>
      </w:r>
    </w:p>
    <w:p w14:paraId="3CA6D9D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Легкие орудия и их боевые комплекты</w:t>
      </w:r>
    </w:p>
    <w:p w14:paraId="68005C48"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полевые; 75 мм Арисака; 3" горные; противоштурмовые, траншейные и противоаэропланные).</w:t>
      </w:r>
    </w:p>
    <w:p w14:paraId="70E1190F"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Всего таких орудий состоит на вооружении: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5"/>
        <w:gridCol w:w="903"/>
      </w:tblGrid>
      <w:tr w:rsidR="002B1C74" w:rsidRPr="002F2FDF" w14:paraId="11538BFD"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8B4BA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Фронтов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26BF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7200</w:t>
            </w:r>
          </w:p>
        </w:tc>
      </w:tr>
      <w:tr w:rsidR="002B1C74" w:rsidRPr="002F2FDF" w14:paraId="45B7723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2E2C6C"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AF7F5"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2600</w:t>
            </w:r>
          </w:p>
        </w:tc>
      </w:tr>
      <w:tr w:rsidR="002B1C74" w:rsidRPr="002F2FDF" w14:paraId="0FF1488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A52D01"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C395C"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10000</w:t>
            </w:r>
          </w:p>
        </w:tc>
      </w:tr>
    </w:tbl>
    <w:p w14:paraId="36782F2C"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К этим орудиям имеется комплектов: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50"/>
        <w:gridCol w:w="1143"/>
      </w:tblGrid>
      <w:tr w:rsidR="002B1C74" w:rsidRPr="002F2FDF" w14:paraId="40CFA6E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B67371"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78253"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24000000</w:t>
            </w:r>
          </w:p>
        </w:tc>
      </w:tr>
      <w:tr w:rsidR="002B1C74" w:rsidRPr="002F2FDF" w14:paraId="6C9D3E1F"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42FCAD"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Отдельными элементами</w:t>
            </w:r>
            <w:hyperlink r:id="rId248" w:anchor="_ftn2" w:history="1">
              <w:r w:rsidRPr="002F2FDF">
                <w:rPr>
                  <w:rFonts w:ascii="Times New Roman" w:hAnsi="Times New Roman" w:cs="Times New Roman"/>
                  <w:color w:val="000000" w:themeColor="text1"/>
                  <w:kern w:val="2"/>
                  <w:sz w:val="16"/>
                  <w:szCs w:val="16"/>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19E4765B"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15000000</w:t>
            </w:r>
          </w:p>
        </w:tc>
      </w:tr>
      <w:tr w:rsidR="002B1C74" w:rsidRPr="002F2FDF" w14:paraId="256323F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652CE3"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7E399"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39000000</w:t>
            </w:r>
          </w:p>
        </w:tc>
      </w:tr>
    </w:tbl>
    <w:p w14:paraId="6767D48E"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или около 5.5 тыс. выстрелов на действующую пушку.</w:t>
      </w:r>
      <w:hyperlink r:id="rId249" w:anchor="_ftn3" w:history="1">
        <w:r w:rsidRPr="002F2FDF">
          <w:rPr>
            <w:rFonts w:ascii="Times New Roman" w:hAnsi="Times New Roman" w:cs="Times New Roman"/>
            <w:color w:val="000000" w:themeColor="text1"/>
            <w:kern w:val="2"/>
            <w:sz w:val="16"/>
            <w:szCs w:val="16"/>
          </w:rPr>
          <w:t>[3]</w:t>
        </w:r>
      </w:hyperlink>
    </w:p>
    <w:p w14:paraId="15524845"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3. Чего можно было бы ожидать в дальнейшем?</w:t>
      </w:r>
    </w:p>
    <w:p w14:paraId="10AB3C23"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Если бы можно было поддержать хотя бы январскую производительность отечественных заводов и среднюю прошлогоднюю получку из-за границы, то ежемесячно можно было бы рассчитывать на следующее поступление орудий и выстрелов: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18"/>
        <w:gridCol w:w="1063"/>
      </w:tblGrid>
      <w:tr w:rsidR="002B1C74" w:rsidRPr="002F2FDF" w14:paraId="3BBAEA4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2EBF9E"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9CD04"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600</w:t>
            </w:r>
          </w:p>
        </w:tc>
      </w:tr>
      <w:tr w:rsidR="002B1C74" w:rsidRPr="002F2FDF" w14:paraId="7632FB9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BA2E6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Орудий отремонтированных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347B6"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300</w:t>
            </w:r>
          </w:p>
        </w:tc>
      </w:tr>
      <w:tr w:rsidR="002B1C74" w:rsidRPr="002F2FDF" w14:paraId="6CD7C76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EAADF8"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0BBF6"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900</w:t>
            </w:r>
          </w:p>
        </w:tc>
      </w:tr>
      <w:tr w:rsidR="002B1C74" w:rsidRPr="002F2FDF" w14:paraId="7B8A601C"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0977C9"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52ADE"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3000000</w:t>
            </w:r>
          </w:p>
        </w:tc>
      </w:tr>
    </w:tbl>
    <w:p w14:paraId="06960DBC"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А на что можно рассчитывать ныне?</w:t>
      </w:r>
    </w:p>
    <w:p w14:paraId="459986A4"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Если положение не улучшится (но и не ухудшится) против того, что мы имеем в настоящее время, то нельзя будет ожидать ежемесячно более чем: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1249"/>
      </w:tblGrid>
      <w:tr w:rsidR="002B1C74" w:rsidRPr="002F2FDF" w14:paraId="4696166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CF14E6"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194C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375</w:t>
            </w:r>
          </w:p>
        </w:tc>
      </w:tr>
      <w:tr w:rsidR="002B1C74" w:rsidRPr="002F2FDF" w14:paraId="6DC101FB"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E61B34"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E4CB1"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2000000</w:t>
            </w:r>
            <w:hyperlink r:id="rId250" w:anchor="_ftn4" w:history="1">
              <w:r w:rsidRPr="002F2FDF">
                <w:rPr>
                  <w:rFonts w:ascii="Times New Roman" w:hAnsi="Times New Roman" w:cs="Times New Roman"/>
                  <w:color w:val="000000" w:themeColor="text1"/>
                  <w:kern w:val="2"/>
                  <w:sz w:val="16"/>
                  <w:szCs w:val="16"/>
                </w:rPr>
                <w:t>[4]</w:t>
              </w:r>
            </w:hyperlink>
          </w:p>
        </w:tc>
      </w:tr>
    </w:tbl>
    <w:p w14:paraId="2075F8A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 е. понижение в орудиях и выстрелах — 33%.</w:t>
      </w:r>
    </w:p>
    <w:p w14:paraId="68D15C9C"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Ставка заявляет требование на ежемесячное поступление 300 пушек и 25 млн выстрелов.</w:t>
      </w:r>
    </w:p>
    <w:p w14:paraId="42DAB81F"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Орудия среднего калибра и их боевые комплекты</w:t>
      </w:r>
    </w:p>
    <w:p w14:paraId="5BD642DE"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 скорострельные; 42'" обр. 1877 г.; 45'" гаубицы; 48"' гаубицы; 6" полевые; 6" крепостные; 6" Шнейдер; 6" Канэ).</w:t>
      </w:r>
    </w:p>
    <w:p w14:paraId="45D03509" w14:textId="0B0AE238"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Всего таких орудий состоит: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823"/>
      </w:tblGrid>
      <w:tr w:rsidR="002B1C74" w:rsidRPr="002F2FDF" w14:paraId="39F9BB4C"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8F73CF"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AA85D"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2300</w:t>
            </w:r>
          </w:p>
        </w:tc>
      </w:tr>
      <w:tr w:rsidR="002B1C74" w:rsidRPr="002F2FDF" w14:paraId="13DDF74E"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931F56"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60014"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600</w:t>
            </w:r>
          </w:p>
        </w:tc>
      </w:tr>
      <w:tr w:rsidR="002B1C74" w:rsidRPr="002F2FDF" w14:paraId="4E0FA6A0"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651E83"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063C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2900</w:t>
            </w:r>
          </w:p>
        </w:tc>
      </w:tr>
    </w:tbl>
    <w:p w14:paraId="497814D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К этим орудиям имеется комплектов: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83"/>
        <w:gridCol w:w="1103"/>
      </w:tblGrid>
      <w:tr w:rsidR="002B1C74" w:rsidRPr="002F2FDF" w14:paraId="717909F0"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C4C909" w14:textId="74A2D54F"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а)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12FF0" w14:textId="59B4636C"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D074D0" w:rsidRPr="002F2FDF">
              <w:rPr>
                <w:rFonts w:ascii="Times New Roman" w:hAnsi="Times New Roman" w:cs="Times New Roman"/>
                <w:color w:val="000000" w:themeColor="text1"/>
                <w:kern w:val="2"/>
                <w:sz w:val="16"/>
                <w:szCs w:val="16"/>
              </w:rPr>
              <w:t>около 5000000</w:t>
            </w:r>
          </w:p>
        </w:tc>
      </w:tr>
      <w:tr w:rsidR="002B1C74" w:rsidRPr="002F2FDF" w14:paraId="3893F81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7F30DA" w14:textId="64BA0768"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б)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Отдельными элементами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1EDFD"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1000000</w:t>
            </w:r>
          </w:p>
        </w:tc>
      </w:tr>
      <w:tr w:rsidR="002B1C74" w:rsidRPr="002F2FDF" w14:paraId="1B94E55D"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A1B438"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B99B8"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6000000</w:t>
            </w:r>
          </w:p>
        </w:tc>
      </w:tr>
    </w:tbl>
    <w:p w14:paraId="3A2FD922"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или около 2.5 тыс. на действующее орудие.</w:t>
      </w:r>
    </w:p>
    <w:p w14:paraId="58A9B79B"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Чего бы можно было ожидать в дальнейшем?</w:t>
      </w:r>
    </w:p>
    <w:p w14:paraId="01F58F6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18"/>
        <w:gridCol w:w="983"/>
      </w:tblGrid>
      <w:tr w:rsidR="002B1C74" w:rsidRPr="002F2FDF" w14:paraId="0605BEF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8A1617"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E3D63" w14:textId="5746A83B"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D074D0" w:rsidRPr="002F2FDF">
              <w:rPr>
                <w:rFonts w:ascii="Times New Roman" w:hAnsi="Times New Roman" w:cs="Times New Roman"/>
                <w:color w:val="000000" w:themeColor="text1"/>
                <w:kern w:val="2"/>
                <w:sz w:val="16"/>
                <w:szCs w:val="16"/>
              </w:rPr>
              <w:t>около 120</w:t>
            </w:r>
          </w:p>
        </w:tc>
      </w:tr>
      <w:tr w:rsidR="002B1C74" w:rsidRPr="002F2FDF" w14:paraId="6F565FCF"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7B7521"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Орудий отремонтированных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933D6"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30</w:t>
            </w:r>
          </w:p>
        </w:tc>
      </w:tr>
      <w:tr w:rsidR="002B1C74" w:rsidRPr="002F2FDF" w14:paraId="7F05D5A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A68032"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0E74B"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150</w:t>
            </w:r>
          </w:p>
        </w:tc>
      </w:tr>
      <w:tr w:rsidR="002B1C74" w:rsidRPr="002F2FDF" w14:paraId="1F4B8DAA"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E2445B"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5251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700000</w:t>
            </w:r>
          </w:p>
        </w:tc>
      </w:tr>
    </w:tbl>
    <w:p w14:paraId="308664BC"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А на что можно рассчитывать ныне?</w:t>
      </w:r>
    </w:p>
    <w:p w14:paraId="2ED3600E"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условиях поступления, как было в мае и июне, можно рассчитывать получить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737"/>
      </w:tblGrid>
      <w:tr w:rsidR="002B1C74" w:rsidRPr="002F2FDF" w14:paraId="521F164D"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18D82B"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9D6B8"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110</w:t>
            </w:r>
          </w:p>
        </w:tc>
      </w:tr>
      <w:tr w:rsidR="002B1C74" w:rsidRPr="002F2FDF" w14:paraId="2B4991DE"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A7706D"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0C103"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600000</w:t>
            </w:r>
          </w:p>
        </w:tc>
      </w:tr>
    </w:tbl>
    <w:p w14:paraId="406DBC34"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 е. понижение в орудиях — 10% и выстрелах — 14%.</w:t>
      </w:r>
    </w:p>
    <w:p w14:paraId="4CD9E677"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Ставка заявляет ежемесячное требование на 84 орудия и 750 тыс. выстрелов.</w:t>
      </w:r>
    </w:p>
    <w:p w14:paraId="5E6B3952"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Орудия крупного калибра и их боевые комплекты</w:t>
      </w:r>
    </w:p>
    <w:p w14:paraId="5282F3AD"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гаубицы; 9.2" гаубицы; 11" мортиры; 12" гаубицы).</w:t>
      </w:r>
    </w:p>
    <w:p w14:paraId="04CB1B7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Всего таких орудий состоит:</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51"/>
      </w:tblGrid>
      <w:tr w:rsidR="002B1C74" w:rsidRPr="002F2FDF" w14:paraId="77BFA56B" w14:textId="77777777" w:rsidTr="00D074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E9D2CF"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вооружении около 62.</w:t>
            </w:r>
          </w:p>
          <w:p w14:paraId="6B4957F1" w14:textId="317BB2B7"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bl>
    <w:p w14:paraId="0E39F73B"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К этим орудиям имеется комплектов: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83"/>
        <w:gridCol w:w="938"/>
      </w:tblGrid>
      <w:tr w:rsidR="002B1C74" w:rsidRPr="002F2FDF" w14:paraId="5B497828"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CE4190" w14:textId="56435FEE"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а)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614D1"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19000</w:t>
            </w:r>
          </w:p>
        </w:tc>
      </w:tr>
      <w:tr w:rsidR="002B1C74" w:rsidRPr="002F2FDF" w14:paraId="3DDCA123"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937564" w14:textId="0C286D4E"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б)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Отдельными элементами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B5585"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7700</w:t>
            </w:r>
          </w:p>
        </w:tc>
      </w:tr>
      <w:tr w:rsidR="002B1C74" w:rsidRPr="002F2FDF" w14:paraId="5AB643AF"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1EA30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1A2FB"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26700</w:t>
            </w:r>
          </w:p>
        </w:tc>
      </w:tr>
    </w:tbl>
    <w:p w14:paraId="1D4F7BE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или около 430 на действующее орудие.</w:t>
      </w:r>
    </w:p>
    <w:p w14:paraId="0D4FF80D"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Чего бы можно было ожидать в дальнейшем?</w:t>
      </w:r>
    </w:p>
    <w:p w14:paraId="4FEBBCA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657"/>
      </w:tblGrid>
      <w:tr w:rsidR="002B1C74" w:rsidRPr="002F2FDF" w14:paraId="7526365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B01EEB"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EDA36"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11</w:t>
            </w:r>
          </w:p>
        </w:tc>
      </w:tr>
      <w:tr w:rsidR="002B1C74" w:rsidRPr="002F2FDF" w14:paraId="4E7691BE"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FF70A9"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1E121"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13000</w:t>
            </w:r>
          </w:p>
        </w:tc>
      </w:tr>
    </w:tbl>
    <w:p w14:paraId="35C20F4C"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А на что можно рассчитывать ныне?</w:t>
      </w:r>
    </w:p>
    <w:p w14:paraId="70D1B85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условиях поступления, как было в мае и июне, можно рассчитывать получить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618"/>
      </w:tblGrid>
      <w:tr w:rsidR="002B1C74" w:rsidRPr="002F2FDF" w14:paraId="09384B03"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98CFDF"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B6CC3"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5</w:t>
            </w:r>
          </w:p>
        </w:tc>
      </w:tr>
      <w:tr w:rsidR="002B1C74" w:rsidRPr="002F2FDF" w14:paraId="618D5B10"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A26138"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884D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7000</w:t>
            </w:r>
          </w:p>
        </w:tc>
      </w:tr>
    </w:tbl>
    <w:p w14:paraId="06EB53AD"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 е. понижение: 55% — в орудиях и 46% — в выстрелах.</w:t>
      </w:r>
    </w:p>
    <w:p w14:paraId="0CF5C5AE"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Ставка заявляет ежемесячное требование на потребность в выстрелах в мае — 36 700.</w:t>
      </w:r>
    </w:p>
    <w:p w14:paraId="4BAD4FAB"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 Винтовки и пулеметы и патроны к ним</w:t>
      </w:r>
    </w:p>
    <w:p w14:paraId="52D63A72"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Всего состоит: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1048"/>
        <w:gridCol w:w="810"/>
      </w:tblGrid>
      <w:tr w:rsidR="002B1C74" w:rsidRPr="002F2FDF" w14:paraId="40204BD3"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8D13C2" w14:textId="48CE0AC9"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BEC57"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6B0FB"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Пулеметов</w:t>
            </w:r>
          </w:p>
        </w:tc>
      </w:tr>
      <w:tr w:rsidR="002B1C74" w:rsidRPr="002F2FDF" w14:paraId="11EA71A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09B1CC"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6B846"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4815506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8351C"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18269</w:t>
            </w:r>
          </w:p>
        </w:tc>
      </w:tr>
      <w:tr w:rsidR="002B1C74" w:rsidRPr="002F2FDF" w14:paraId="18B4C69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16DE85"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37FC4"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105570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947D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0FDDAE74"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334207"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90911"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4921076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5DBB0C"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18269</w:t>
            </w:r>
          </w:p>
        </w:tc>
      </w:tr>
    </w:tbl>
    <w:p w14:paraId="467A4B9E"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К этим винтовкам и пулеметам имеется патронов:</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50"/>
        <w:gridCol w:w="830"/>
      </w:tblGrid>
      <w:tr w:rsidR="002B1C74" w:rsidRPr="002F2FDF" w14:paraId="71589CB0" w14:textId="77777777" w:rsidTr="00B25AF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B3BE12" w14:textId="7365FF63"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Всего около </w:t>
            </w:r>
            <w:r w:rsidR="00E52569">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F91ED"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1491000000</w:t>
            </w:r>
          </w:p>
          <w:p w14:paraId="7CDE25AF" w14:textId="3FF8B09C"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bl>
    <w:p w14:paraId="6F7FFE5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или около 300 патронов на винтовку.</w:t>
      </w:r>
    </w:p>
    <w:p w14:paraId="1C4DAAA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Чего бы можно было ожидать в дальнейшем?</w:t>
      </w:r>
    </w:p>
    <w:p w14:paraId="6A976D33"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888"/>
        <w:gridCol w:w="810"/>
      </w:tblGrid>
      <w:tr w:rsidR="002B1C74" w:rsidRPr="002F2FDF" w14:paraId="7002759D"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453CC1" w14:textId="7A82677E"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8A249"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6B32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Пулеметов</w:t>
            </w:r>
          </w:p>
        </w:tc>
      </w:tr>
      <w:tr w:rsidR="002B1C74" w:rsidRPr="002F2FDF" w14:paraId="00EBFEAE"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670192"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4097D"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13000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CFD3D"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1200</w:t>
            </w:r>
          </w:p>
        </w:tc>
      </w:tr>
      <w:tr w:rsidR="00474654" w:rsidRPr="002F2FDF" w14:paraId="5B244A41"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9613CD"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2A153"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62000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73CA4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1100</w:t>
            </w:r>
          </w:p>
        </w:tc>
      </w:tr>
    </w:tbl>
    <w:p w14:paraId="1A41837F"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1223"/>
      </w:tblGrid>
      <w:tr w:rsidR="002B1C74" w:rsidRPr="002F2FDF" w14:paraId="44E5360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5E577B" w14:textId="01613B93"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EFA4D"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Патронов к ним</w:t>
            </w:r>
          </w:p>
        </w:tc>
      </w:tr>
      <w:tr w:rsidR="002B1C74" w:rsidRPr="002F2FDF" w14:paraId="6506B94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56DDD9"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99ADC"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130000000</w:t>
            </w:r>
          </w:p>
        </w:tc>
      </w:tr>
      <w:tr w:rsidR="002B1C74" w:rsidRPr="002F2FDF" w14:paraId="483C8A0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FE739E"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64F4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50000000</w:t>
            </w:r>
          </w:p>
        </w:tc>
      </w:tr>
    </w:tbl>
    <w:p w14:paraId="5587CE3D"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А на что можно рассчитывать ныне?</w:t>
      </w:r>
    </w:p>
    <w:p w14:paraId="55FFCDA1"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условиях поступления, как было в мае и июне, можно рассчитывать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962"/>
        <w:gridCol w:w="810"/>
      </w:tblGrid>
      <w:tr w:rsidR="002B1C74" w:rsidRPr="002F2FDF" w14:paraId="1114E05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8080AA" w14:textId="7EE18A58"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4D82B"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5BE5E"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Пулеметов</w:t>
            </w:r>
          </w:p>
        </w:tc>
      </w:tr>
      <w:tr w:rsidR="002B1C74" w:rsidRPr="002F2FDF" w14:paraId="7BF6CB9B"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EF01F4"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AEF1E"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110000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426F1"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1100</w:t>
            </w:r>
          </w:p>
        </w:tc>
      </w:tr>
      <w:tr w:rsidR="00474654" w:rsidRPr="002F2FDF" w14:paraId="77BB8F42"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EDF46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67121"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EEB09"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1100</w:t>
            </w:r>
          </w:p>
        </w:tc>
      </w:tr>
    </w:tbl>
    <w:p w14:paraId="7173D2C1"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1223"/>
      </w:tblGrid>
      <w:tr w:rsidR="002B1C74" w:rsidRPr="002F2FDF" w14:paraId="4DE2C368"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693904" w14:textId="6BC16575"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D0E84"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Патронов к ним</w:t>
            </w:r>
          </w:p>
        </w:tc>
      </w:tr>
      <w:tr w:rsidR="002B1C74" w:rsidRPr="002F2FDF" w14:paraId="5743CDC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6F4487"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4970E"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130000000</w:t>
            </w:r>
          </w:p>
        </w:tc>
      </w:tr>
      <w:tr w:rsidR="002B1C74" w:rsidRPr="002F2FDF" w14:paraId="531FC8D3"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3A0F07"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F612C"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150000000</w:t>
            </w:r>
          </w:p>
        </w:tc>
      </w:tr>
    </w:tbl>
    <w:p w14:paraId="05681974"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 е. понижение на наших заводах: до 15% — в винтовках и 10% — в пулеметах.</w:t>
      </w:r>
    </w:p>
    <w:p w14:paraId="05A51F9B"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Станка заявляет ежемесячное требование на 200 тыс. винтовок, 600 пулеметов и винтовочных патронов: 200 мли — 3'", 25 млн — австрийских и 45 млн — японских.</w:t>
      </w:r>
    </w:p>
    <w:p w14:paraId="2ABA3415"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 Бомбометы и минометы</w:t>
      </w:r>
    </w:p>
    <w:p w14:paraId="446CDB0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Всего таких орудий состоит: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839"/>
        <w:gridCol w:w="816"/>
      </w:tblGrid>
      <w:tr w:rsidR="002B1C74" w:rsidRPr="002F2FDF" w14:paraId="4AC03AF8"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1A72E2" w14:textId="3680387A"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60072"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Бомбометы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C0608"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Минометы</w:t>
            </w:r>
          </w:p>
        </w:tc>
      </w:tr>
      <w:tr w:rsidR="002B1C74" w:rsidRPr="002F2FDF" w14:paraId="3229A3BD"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A322AC"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5ED83"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589F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1514</w:t>
            </w:r>
          </w:p>
        </w:tc>
      </w:tr>
    </w:tbl>
    <w:p w14:paraId="027B648D"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К этим орудиям имеется: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620"/>
        <w:gridCol w:w="555"/>
      </w:tblGrid>
      <w:tr w:rsidR="002B1C74" w:rsidRPr="002F2FDF" w14:paraId="5C5749A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CD355C" w14:textId="4DEE6589"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4F6D9"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Бомб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EA6F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Мин</w:t>
            </w:r>
          </w:p>
        </w:tc>
      </w:tr>
      <w:tr w:rsidR="002B1C74" w:rsidRPr="002F2FDF" w14:paraId="58CF255F"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B1B7A2"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E7029"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1836000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1921C"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376000</w:t>
            </w:r>
          </w:p>
        </w:tc>
      </w:tr>
    </w:tbl>
    <w:p w14:paraId="1DD98841"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Чего бы можно было ожидать в дальнейшем?</w:t>
      </w:r>
    </w:p>
    <w:p w14:paraId="3D4CD7D1"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26"/>
        <w:gridCol w:w="675"/>
      </w:tblGrid>
      <w:tr w:rsidR="002B1C74" w:rsidRPr="002F2FDF" w14:paraId="5C2B1D9A"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003B3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Минометов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CF2C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80</w:t>
            </w:r>
          </w:p>
        </w:tc>
      </w:tr>
      <w:tr w:rsidR="002B1C74" w:rsidRPr="002F2FDF" w14:paraId="094928F2"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1B7E33"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Мин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561E4"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100000</w:t>
            </w:r>
          </w:p>
        </w:tc>
      </w:tr>
    </w:tbl>
    <w:p w14:paraId="56B47978"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 же касается бомбометов и бомб к ним, то заявленная потребность удовлетворена полностью.</w:t>
      </w:r>
    </w:p>
    <w:p w14:paraId="64A4DB37"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А на что можно рассчитывать ныне?</w:t>
      </w:r>
    </w:p>
    <w:p w14:paraId="237AB907"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условиях поступления, как было в мае и июне, можно рассчитывать получить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26"/>
        <w:gridCol w:w="663"/>
      </w:tblGrid>
      <w:tr w:rsidR="002B1C74" w:rsidRPr="002F2FDF" w14:paraId="526CAEF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191889"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Минометов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F152F"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80</w:t>
            </w:r>
          </w:p>
        </w:tc>
      </w:tr>
      <w:tr w:rsidR="002B1C74" w:rsidRPr="002F2FDF" w14:paraId="106AC22E"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816CE3"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Мин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AFF8E"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80000</w:t>
            </w:r>
          </w:p>
        </w:tc>
      </w:tr>
    </w:tbl>
    <w:p w14:paraId="6AA81F26"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 е. понижение до 20% на минах.</w:t>
      </w:r>
    </w:p>
    <w:p w14:paraId="4EBFD6BC"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Ставка заявляет потребность довести число легких минометов до 3500, минометов Лихонина — до 1000 и тяжелых минометов — до 1500 и ежемесячную подачу мин — 145 тыс.</w:t>
      </w:r>
    </w:p>
    <w:p w14:paraId="309DD3A6"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ЗАКЛЮЧЕНИЕ</w:t>
      </w:r>
    </w:p>
    <w:p w14:paraId="31CD499E"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Орудия малого калибра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08"/>
        <w:gridCol w:w="448"/>
        <w:gridCol w:w="395"/>
      </w:tblGrid>
      <w:tr w:rsidR="002B1C74" w:rsidRPr="002F2FDF" w14:paraId="78EE570A"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8E02B9"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войны состояло 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B4243"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9A9A8"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7200</w:t>
            </w:r>
          </w:p>
        </w:tc>
      </w:tr>
      <w:tr w:rsidR="002B1C74" w:rsidRPr="002F2FDF" w14:paraId="521DDE9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8E16A1"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700B8" w14:textId="76B938B8"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371B3" w14:textId="3C463E66"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4E49E9F3"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F0CC06"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FF079"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93A3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7200</w:t>
            </w:r>
          </w:p>
        </w:tc>
      </w:tr>
      <w:tr w:rsidR="002B1C74" w:rsidRPr="002F2FDF" w14:paraId="530E7B5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A0F70F"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2B485" w14:textId="13C77AB3"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42363"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2600</w:t>
            </w:r>
          </w:p>
        </w:tc>
      </w:tr>
    </w:tbl>
    <w:p w14:paraId="6D9E5B12"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Новые артиллерийские формирования но распоряжению ГУГШ не производятся вследствие недостатка людей и лошадей, однако начатые уже формирования приказано закончить.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24"/>
        <w:gridCol w:w="916"/>
      </w:tblGrid>
      <w:tr w:rsidR="002B1C74" w:rsidRPr="002F2FDF" w14:paraId="635C81ED"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18B0A8"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время войны изготовлено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E0542"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7800</w:t>
            </w:r>
          </w:p>
        </w:tc>
      </w:tr>
      <w:tr w:rsidR="002B1C74" w:rsidRPr="002F2FDF" w14:paraId="618C6AE1"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F14FD7"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0D6C7"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3410</w:t>
            </w:r>
          </w:p>
        </w:tc>
      </w:tr>
      <w:tr w:rsidR="002B1C74" w:rsidRPr="002F2FDF" w14:paraId="23D7004B"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ED2AB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D1E7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7200 + 7800</w:t>
            </w:r>
          </w:p>
        </w:tc>
      </w:tr>
      <w:tr w:rsidR="002B1C74" w:rsidRPr="002F2FDF" w14:paraId="533E871C"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330C26" w14:textId="2C4C794A"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5CB8B"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15000</w:t>
            </w:r>
          </w:p>
        </w:tc>
      </w:tr>
      <w:tr w:rsidR="002B1C74" w:rsidRPr="002F2FDF" w14:paraId="503E5408"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D2216E"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Следовательно, с начала войны убыло...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92DC9"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5000 орудий</w:t>
            </w:r>
          </w:p>
        </w:tc>
      </w:tr>
    </w:tbl>
    <w:p w14:paraId="022A92D9"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оставшихся пушек запасенных боевых комплектов около 40 млн, т. е. около 5.5 тыс. на пушку, можно признать достаточным, если бы даже встретились и существенные затруднения в дальнейшем производстве их.</w:t>
      </w:r>
    </w:p>
    <w:p w14:paraId="36503D7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Орудия среднего калибра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09"/>
        <w:gridCol w:w="823"/>
      </w:tblGrid>
      <w:tr w:rsidR="002B1C74" w:rsidRPr="002F2FDF" w14:paraId="21BB5A43"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51CAC8"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войны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D2403"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1031</w:t>
            </w:r>
          </w:p>
        </w:tc>
      </w:tr>
      <w:tr w:rsidR="002B1C74" w:rsidRPr="002F2FDF" w14:paraId="49322E34"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8287A5"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A8D79" w14:textId="05257885"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F5011BD"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23532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A36AB"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2316</w:t>
            </w:r>
          </w:p>
        </w:tc>
      </w:tr>
      <w:tr w:rsidR="002B1C74" w:rsidRPr="002F2FDF" w14:paraId="4B7CC28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C574C5"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DA62C"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558</w:t>
            </w:r>
          </w:p>
        </w:tc>
      </w:tr>
      <w:tr w:rsidR="002B1C74" w:rsidRPr="002F2FDF" w14:paraId="3B1E1A0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3F4EAC"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время войны изготовлено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9D49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1966</w:t>
            </w:r>
          </w:p>
        </w:tc>
      </w:tr>
      <w:tr w:rsidR="002B1C74" w:rsidRPr="002F2FDF" w14:paraId="0267396A"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D9183F"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3E7F9"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496</w:t>
            </w:r>
          </w:p>
        </w:tc>
      </w:tr>
      <w:tr w:rsidR="002B1C74" w:rsidRPr="002F2FDF" w14:paraId="2C6D88B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125805"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Отпущено орудий 1877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7A0B8"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750</w:t>
            </w:r>
          </w:p>
        </w:tc>
      </w:tr>
      <w:tr w:rsidR="002B1C74" w:rsidRPr="002F2FDF" w14:paraId="43AA184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228E1B"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24913"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4243</w:t>
            </w:r>
          </w:p>
        </w:tc>
      </w:tr>
      <w:tr w:rsidR="002B1C74" w:rsidRPr="002F2FDF" w14:paraId="33AA3B6F"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720783"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71917"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1369</w:t>
            </w:r>
          </w:p>
        </w:tc>
      </w:tr>
    </w:tbl>
    <w:p w14:paraId="24B6CE05"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оставшихся орудий запасенных боевых комплектов — около : млн, или около 2.5 тыс. на орудие, можно признать достаточным</w:t>
      </w:r>
    </w:p>
    <w:p w14:paraId="140A4E3E"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только при условии, что ежемесячный прилив их будет не менее того, что было в январе месяце с. г.</w:t>
      </w:r>
    </w:p>
    <w:p w14:paraId="6A684B61"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Орудия крупного калибра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31"/>
        <w:gridCol w:w="663"/>
      </w:tblGrid>
      <w:tr w:rsidR="002B1C74" w:rsidRPr="002F2FDF" w14:paraId="2C8ED84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20C48B"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войны не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0EF74" w14:textId="0B0E657D"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DF0EA8F"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0C2343"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1AAC4" w14:textId="4B3648D7"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87ECE3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63431F"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2C791"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62</w:t>
            </w:r>
          </w:p>
        </w:tc>
      </w:tr>
      <w:tr w:rsidR="002B1C74" w:rsidRPr="002F2FDF" w14:paraId="5F365A5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B99A8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8F2C6"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65ACB874"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348F3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время войны изготовлено и доставлено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772D2"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w:t>
            </w:r>
          </w:p>
        </w:tc>
      </w:tr>
      <w:tr w:rsidR="002B1C74" w:rsidRPr="002F2FDF" w14:paraId="3F1E564F"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2D360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D5B25"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w:t>
            </w:r>
          </w:p>
        </w:tc>
      </w:tr>
      <w:tr w:rsidR="002B1C74" w:rsidRPr="002F2FDF" w14:paraId="6CB86FE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E1F39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98D24"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25</w:t>
            </w:r>
          </w:p>
        </w:tc>
      </w:tr>
    </w:tbl>
    <w:p w14:paraId="7AA9B1E1"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пушек крупного калибра, в особенности 12" и 11'', как существующий запас, так и ежемесячное поступление совершенно недостаточны.</w:t>
      </w:r>
    </w:p>
    <w:p w14:paraId="5B19F128"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 Пулеметы, ружья и патроны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42"/>
        <w:gridCol w:w="750"/>
        <w:gridCol w:w="620"/>
        <w:gridCol w:w="875"/>
      </w:tblGrid>
      <w:tr w:rsidR="002B1C74" w:rsidRPr="002F2FDF" w14:paraId="3A0D5C30"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458571" w14:textId="0677AC96"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D07D5"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250AB"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Ружья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D853D"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Патроны</w:t>
            </w:r>
          </w:p>
        </w:tc>
      </w:tr>
      <w:tr w:rsidR="002B1C74" w:rsidRPr="002F2FDF" w14:paraId="5A00178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966DE9"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войны состояло: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360A1"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EEA4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4124000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EDEA4"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2315000000</w:t>
            </w:r>
          </w:p>
        </w:tc>
      </w:tr>
      <w:tr w:rsidR="002B1C74" w:rsidRPr="002F2FDF" w14:paraId="2962E2EB"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93DA6E"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Теперь имеется: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F8ADF" w14:textId="7200DC1B"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F6FD7" w14:textId="41D194D2"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27B59" w14:textId="5F57421F"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49A9F210"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A8263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вооружении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DF0F4"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1A19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4065000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14612"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1490000000</w:t>
            </w:r>
          </w:p>
        </w:tc>
      </w:tr>
      <w:tr w:rsidR="002B1C74" w:rsidRPr="002F2FDF" w14:paraId="4E2EFA31"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B81B45"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AD62C"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720FE"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59860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95CEE"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5B9FE1D4"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40FA92"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время войны изготовлено и доставлено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9ABE7"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46FF1"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5087850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76524"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5346000000</w:t>
            </w:r>
          </w:p>
        </w:tc>
      </w:tr>
      <w:tr w:rsidR="002B1C74" w:rsidRPr="002F2FDF" w14:paraId="363E832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A7745C"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7A7F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29D11"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0912E"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68CB663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3A4929"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всего на фронты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56324"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34511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92D39"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9211850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8D90C"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7661000000</w:t>
            </w:r>
          </w:p>
        </w:tc>
      </w:tr>
      <w:tr w:rsidR="002B1C74" w:rsidRPr="002F2FDF" w14:paraId="5007496A"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1D4969"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61D88"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7C2D3"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5086994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9D905"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6171000000</w:t>
            </w:r>
          </w:p>
        </w:tc>
      </w:tr>
    </w:tbl>
    <w:p w14:paraId="429854F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 Бомбометы и миномёты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20"/>
        <w:gridCol w:w="839"/>
        <w:gridCol w:w="649"/>
        <w:gridCol w:w="801"/>
        <w:gridCol w:w="635"/>
      </w:tblGrid>
      <w:tr w:rsidR="002B1C74" w:rsidRPr="002F2FDF" w14:paraId="3846424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00E31E" w14:textId="0E3ACF5B"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5F01B"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Бомбометы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91F76"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Бомбы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8E209"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Минометы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449F5"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Мины</w:t>
            </w:r>
          </w:p>
        </w:tc>
      </w:tr>
      <w:tr w:rsidR="002B1C74" w:rsidRPr="002F2FDF" w14:paraId="3752261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696472"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войны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F74A2" w14:textId="62961409"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A3135" w14:textId="30BAACE1"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EAD9A" w14:textId="4AB688BB"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69D6D" w14:textId="70D8A5F1" w:rsidR="00D074D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809A558"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8BB20B"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вооружении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A3599"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7141C"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1839000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B54BB"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E6C9C"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376000</w:t>
            </w:r>
          </w:p>
        </w:tc>
      </w:tr>
      <w:tr w:rsidR="002B1C74" w:rsidRPr="002F2FDF" w14:paraId="2708957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18E07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6D664"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BB2E3"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A9259"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D18AD"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6510D95E"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5AD05F"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время войны изготовлено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893B2"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6DC92"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8791000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89CC2"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2C8DF"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1340000</w:t>
            </w:r>
          </w:p>
        </w:tc>
      </w:tr>
      <w:tr w:rsidR="002B1C74" w:rsidRPr="002F2FDF" w14:paraId="0F1A2161"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6FDA7E"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всего на фронты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DEA78"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8B724"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8791000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6A6BD"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75F27"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1340000</w:t>
            </w:r>
          </w:p>
        </w:tc>
      </w:tr>
      <w:tr w:rsidR="002B1C74" w:rsidRPr="002F2FDF" w14:paraId="1E8D7D2E"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7F4147"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84617"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5BF98"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'6952000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3D887"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67042"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964000</w:t>
            </w:r>
          </w:p>
        </w:tc>
      </w:tr>
    </w:tbl>
    <w:p w14:paraId="35080216"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Учитывая значительное понижение продуктивности работы (почти на 30%), можно считать пополнение запасов фронта орудиями легкого калибра и выстрелами к ним обеспеченным. Необходимо только всемерно стараться усилить подачу горных и зенитных орудий.</w:t>
      </w:r>
    </w:p>
    <w:p w14:paraId="0F44DE9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Точно так же но внушает опасения пополнение орудий среднего калибра. Подача же выстрелов к ним понизилась против предположений значительно, почти на 50%. Причем понижение производства в 50% ложится на неподачу топлива и металла, а в остальных 50% понижение произошло исключительно от падения труда и дезорганизации производства.</w:t>
      </w:r>
    </w:p>
    <w:p w14:paraId="601AE23F"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Удовлетворение потребности в орудиях крупного калибра и выстрелов к ним исключительно зависит от того, насколько союзники наши пожелают выполнить принятые ими на себя обязательства. Из обещанных ими 128 тяжелых орудий до 1 марта и 168 орудий в течение навигации с. г. прибыло всего 116 орудий, из них 8"—12" только 28, причем значительная часть не имеет еще весьма существенных частей, вроде прицелов.</w:t>
      </w:r>
    </w:p>
    <w:p w14:paraId="026683FA"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Готовые к погрузке еще в мае месяце 10 батарей 42"' пушек задержаны отправкой по распоряжению итальянского правительства.</w:t>
      </w:r>
    </w:p>
    <w:p w14:paraId="31E1AF50"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последние 4 месяца на фронт отправлено 42 тяжелых батареи и формируется 40 батарей, из которых 15 батарей будут готовы и отправлены на фронт в июле месяце. Что же касается выстрелов к ним, то тут также главная надежда на заграничную поставку, ибо русские заводы даже при введении стале-чугунных снарядов не могут дать свыше 1/5 всего потребного количества выстрелов к орудиям сверхтяжелого калибра.</w:t>
      </w:r>
    </w:p>
    <w:p w14:paraId="3A0F7153" w14:textId="77777777" w:rsidR="00D074D0"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251" w:anchor="_ftnref1" w:history="1">
        <w:r w:rsidR="00D074D0" w:rsidRPr="002F2FDF">
          <w:rPr>
            <w:rFonts w:ascii="Times New Roman" w:hAnsi="Times New Roman" w:cs="Times New Roman"/>
            <w:color w:val="000000" w:themeColor="text1"/>
            <w:kern w:val="2"/>
            <w:sz w:val="16"/>
            <w:szCs w:val="16"/>
          </w:rPr>
          <w:t>[1]</w:t>
        </w:r>
      </w:hyperlink>
      <w:r w:rsidR="00D074D0" w:rsidRPr="002F2FDF">
        <w:rPr>
          <w:rFonts w:ascii="Times New Roman" w:hAnsi="Times New Roman" w:cs="Times New Roman"/>
          <w:color w:val="000000" w:themeColor="text1"/>
          <w:kern w:val="2"/>
          <w:sz w:val="16"/>
          <w:szCs w:val="16"/>
        </w:rPr>
        <w:t xml:space="preserve"> Датируется по содержанию док.</w:t>
      </w:r>
    </w:p>
    <w:p w14:paraId="7D7B3EC9" w14:textId="77777777" w:rsidR="00D074D0"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252" w:anchor="_ftnref2" w:history="1">
        <w:r w:rsidR="00D074D0" w:rsidRPr="002F2FDF">
          <w:rPr>
            <w:rFonts w:ascii="Times New Roman" w:hAnsi="Times New Roman" w:cs="Times New Roman"/>
            <w:color w:val="000000" w:themeColor="text1"/>
            <w:kern w:val="2"/>
            <w:sz w:val="16"/>
            <w:szCs w:val="16"/>
          </w:rPr>
          <w:t>[2]</w:t>
        </w:r>
      </w:hyperlink>
      <w:r w:rsidR="00D074D0" w:rsidRPr="002F2FDF">
        <w:rPr>
          <w:rFonts w:ascii="Times New Roman" w:hAnsi="Times New Roman" w:cs="Times New Roman"/>
          <w:color w:val="000000" w:themeColor="text1"/>
          <w:kern w:val="2"/>
          <w:sz w:val="16"/>
          <w:szCs w:val="16"/>
        </w:rPr>
        <w:t xml:space="preserve"> За исключением гильз, коих хватает не на все число выстрелов. (Прим. док.).</w:t>
      </w:r>
    </w:p>
    <w:p w14:paraId="7C24A9B7" w14:textId="77777777" w:rsidR="00D074D0"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253" w:anchor="_ftnref3" w:history="1">
        <w:r w:rsidR="00D074D0" w:rsidRPr="002F2FDF">
          <w:rPr>
            <w:rFonts w:ascii="Times New Roman" w:hAnsi="Times New Roman" w:cs="Times New Roman"/>
            <w:color w:val="000000" w:themeColor="text1"/>
            <w:kern w:val="2"/>
            <w:sz w:val="16"/>
            <w:szCs w:val="16"/>
          </w:rPr>
          <w:t>[3]</w:t>
        </w:r>
      </w:hyperlink>
      <w:r w:rsidR="00D074D0" w:rsidRPr="002F2FDF">
        <w:rPr>
          <w:rFonts w:ascii="Times New Roman" w:hAnsi="Times New Roman" w:cs="Times New Roman"/>
          <w:color w:val="000000" w:themeColor="text1"/>
          <w:kern w:val="2"/>
          <w:sz w:val="16"/>
          <w:szCs w:val="16"/>
        </w:rPr>
        <w:t xml:space="preserve"> За исключением гильз, коих хватает не на все число выстрелов. (Прим. док.).</w:t>
      </w:r>
    </w:p>
    <w:p w14:paraId="258FC5B2" w14:textId="77777777" w:rsidR="00D074D0"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254" w:anchor="_ftnref4" w:history="1">
        <w:r w:rsidR="00D074D0" w:rsidRPr="002F2FDF">
          <w:rPr>
            <w:rFonts w:ascii="Times New Roman" w:hAnsi="Times New Roman" w:cs="Times New Roman"/>
            <w:color w:val="000000" w:themeColor="text1"/>
            <w:kern w:val="2"/>
            <w:sz w:val="16"/>
            <w:szCs w:val="16"/>
          </w:rPr>
          <w:t>[4]</w:t>
        </w:r>
      </w:hyperlink>
      <w:r w:rsidR="00D074D0" w:rsidRPr="002F2FDF">
        <w:rPr>
          <w:rFonts w:ascii="Times New Roman" w:hAnsi="Times New Roman" w:cs="Times New Roman"/>
          <w:color w:val="000000" w:themeColor="text1"/>
          <w:kern w:val="2"/>
          <w:sz w:val="16"/>
          <w:szCs w:val="16"/>
        </w:rPr>
        <w:t xml:space="preserve"> За исключением гильз, коих хватает не на все число выстрелов. (Прим. док.) (15512).</w:t>
      </w:r>
    </w:p>
    <w:p w14:paraId="17A00D04" w14:textId="77777777" w:rsidR="00D074D0" w:rsidRPr="002F2FDF" w:rsidRDefault="00D074D0" w:rsidP="0083075A">
      <w:pPr>
        <w:spacing w:after="0" w:line="240" w:lineRule="auto"/>
        <w:jc w:val="both"/>
        <w:rPr>
          <w:rFonts w:ascii="Times New Roman" w:hAnsi="Times New Roman" w:cs="Times New Roman"/>
          <w:color w:val="000000" w:themeColor="text1"/>
          <w:kern w:val="2"/>
          <w:sz w:val="16"/>
          <w:szCs w:val="16"/>
        </w:rPr>
      </w:pPr>
    </w:p>
    <w:p w14:paraId="722013A3" w14:textId="77777777" w:rsidR="00D37E1F" w:rsidRPr="002F2FDF" w:rsidRDefault="00D37E1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39E5577" w14:textId="77777777" w:rsidR="00D37E1F" w:rsidRPr="002F2FDF" w:rsidRDefault="00D37E1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419CCE" w14:textId="77777777" w:rsidR="00D37E1F" w:rsidRPr="002F2FDF" w:rsidRDefault="00D37E1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июня (1 июля) 1917 после артподготовки, продолжавшейся 2 дня с 16 (1 июля) июня и корректировавшейся с самолетов, Авиация Юго-Западного фронта летала штурмовать вражеские позиции прямо перед нашими цепями с высоты 100-250 м. Применение штурмовой авиации не было массовым и предпочитали бомбардировку резервов (2569,35).</w:t>
      </w:r>
    </w:p>
    <w:p w14:paraId="7C297E39" w14:textId="77777777" w:rsidR="00D37E1F" w:rsidRPr="002F2FDF" w:rsidRDefault="00D37E1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DC466B" w14:textId="77777777" w:rsidR="00D37E1F" w:rsidRPr="002F2FDF" w:rsidRDefault="00D37E1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июня (1 июля) 1917 ИМ-4 под управлением пор. Я.Н.Шарова во время бомбардировки ближних резервов подвергся нападению 3-х немецких самолетов, но отбил атаку. Поднялось еще пять, но и от них не отступили. Атаки длились 20 мин. При первой же атаке шаров был ранен и управление взял пор. А.Ю.Лутц. Он также был ранен во второй атаке, но продолжал маневрировать и лишь при возвращении его сменил пришедший в себя Шаров, который и привел самолет на свой аэродром. были ранены и пул. Редько и артофицер А.П.Барбович, продолжавший руководить обороной корабля. Во время полета обстреливали и окопы, помогая русскому наступлению (438,363).</w:t>
      </w:r>
    </w:p>
    <w:p w14:paraId="43865E7F" w14:textId="77777777" w:rsidR="00D37E1F" w:rsidRPr="002F2FDF" w:rsidRDefault="00D37E1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E40FFF" w14:textId="77777777" w:rsidR="00D37E1F" w:rsidRPr="002F2FDF" w:rsidRDefault="00D37E1F"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июня (1 июля) 1917 воздушный корабль "Илья Муромец -4" под управ</w:t>
      </w:r>
      <w:r w:rsidRPr="002F2FDF">
        <w:rPr>
          <w:rFonts w:ascii="Times New Roman" w:hAnsi="Times New Roman" w:cs="Times New Roman"/>
          <w:color w:val="000000" w:themeColor="text1"/>
          <w:kern w:val="2"/>
          <w:sz w:val="16"/>
          <w:szCs w:val="16"/>
        </w:rPr>
        <w:softHyphen/>
        <w:t>лением поручика Якова Никендровича Шарова во время бомбарди</w:t>
      </w:r>
      <w:r w:rsidRPr="002F2FDF">
        <w:rPr>
          <w:rFonts w:ascii="Times New Roman" w:hAnsi="Times New Roman" w:cs="Times New Roman"/>
          <w:color w:val="000000" w:themeColor="text1"/>
          <w:kern w:val="2"/>
          <w:sz w:val="16"/>
          <w:szCs w:val="16"/>
        </w:rPr>
        <w:softHyphen/>
        <w:t>ровки ближних резервов противнике подвергся нападению трех немецких истребителей, но умелой обороной отбил атаку. Немедленно поднялось еще пять истребителей, но и от них корабль не повернул. Последовал ряд яростных атак, продол</w:t>
      </w:r>
      <w:r w:rsidRPr="002F2FDF">
        <w:rPr>
          <w:rFonts w:ascii="Times New Roman" w:hAnsi="Times New Roman" w:cs="Times New Roman"/>
          <w:color w:val="000000" w:themeColor="text1"/>
          <w:kern w:val="2"/>
          <w:sz w:val="16"/>
          <w:szCs w:val="16"/>
        </w:rPr>
        <w:softHyphen/>
        <w:t>жавшихся 20 минут. При первой этэко был тяжело ранен Шаров. Управление кораблем взял порой пилот поручик А.Ю.Лутц, но при повторной атаке и он б:ш рснен г плечо и, несмотря на это, продолжал маневрировать и лишь при возвращении был сме</w:t>
      </w:r>
      <w:r w:rsidRPr="002F2FDF">
        <w:rPr>
          <w:rFonts w:ascii="Times New Roman" w:hAnsi="Times New Roman" w:cs="Times New Roman"/>
          <w:color w:val="000000" w:themeColor="text1"/>
          <w:kern w:val="2"/>
          <w:sz w:val="16"/>
          <w:szCs w:val="16"/>
        </w:rPr>
        <w:softHyphen/>
        <w:t xml:space="preserve">нен пришедшим г чувство Шэровьш, который и пригел корабль на </w:t>
      </w:r>
      <w:r w:rsidRPr="002F2FDF">
        <w:rPr>
          <w:rFonts w:ascii="Times New Roman" w:hAnsi="Times New Roman" w:cs="Times New Roman"/>
          <w:smallCaps/>
          <w:color w:val="000000" w:themeColor="text1"/>
          <w:kern w:val="2"/>
          <w:sz w:val="16"/>
          <w:szCs w:val="16"/>
        </w:rPr>
        <w:t xml:space="preserve">сбой </w:t>
      </w:r>
      <w:r w:rsidRPr="002F2FDF">
        <w:rPr>
          <w:rFonts w:ascii="Times New Roman" w:hAnsi="Times New Roman" w:cs="Times New Roman"/>
          <w:color w:val="000000" w:themeColor="text1"/>
          <w:kern w:val="2"/>
          <w:sz w:val="16"/>
          <w:szCs w:val="16"/>
        </w:rPr>
        <w:t>аэродром. В бою были также ранены пулеметчик Редько и артиллерийский офицер капитан А.П.Барбогич, продолжавший гее громя руководить обороной корабля. Во время полета корабль обстрелигэл и неприятельские окопы, что способствовало наступ</w:t>
      </w:r>
      <w:r w:rsidRPr="002F2FDF">
        <w:rPr>
          <w:rFonts w:ascii="Times New Roman" w:hAnsi="Times New Roman" w:cs="Times New Roman"/>
          <w:color w:val="000000" w:themeColor="text1"/>
          <w:kern w:val="2"/>
          <w:sz w:val="16"/>
          <w:szCs w:val="16"/>
        </w:rPr>
        <w:softHyphen/>
        <w:t>лению нашей пехаты. (Приказ по эскадре воздушных кораблей от 23 июня 1917 г. № 54).</w:t>
      </w:r>
    </w:p>
    <w:p w14:paraId="0C4665A8" w14:textId="77777777" w:rsidR="00D37E1F" w:rsidRPr="002F2FDF" w:rsidRDefault="00D37E1F"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DD7DED" w14:textId="77777777" w:rsidR="00914D94" w:rsidRPr="00815ED5" w:rsidRDefault="00914D94"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18 июня</w:t>
      </w:r>
      <w:r>
        <w:rPr>
          <w:rFonts w:ascii="Times New Roman" w:hAnsi="Times New Roman" w:cs="Times New Roman"/>
          <w:color w:val="0070C0"/>
          <w:sz w:val="16"/>
          <w:szCs w:val="16"/>
        </w:rPr>
        <w:t xml:space="preserve"> (1 июля)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815ED5">
        <w:rPr>
          <w:rFonts w:ascii="Times New Roman" w:hAnsi="Times New Roman" w:cs="Times New Roman"/>
          <w:color w:val="0070C0"/>
          <w:sz w:val="16"/>
          <w:szCs w:val="16"/>
        </w:rPr>
        <w:t xml:space="preserve">оздушный корабль "Илья </w:t>
      </w:r>
      <w:r>
        <w:rPr>
          <w:rFonts w:ascii="Times New Roman" w:hAnsi="Times New Roman" w:cs="Times New Roman"/>
          <w:color w:val="0070C0"/>
          <w:sz w:val="16"/>
          <w:szCs w:val="16"/>
        </w:rPr>
        <w:t>М</w:t>
      </w:r>
      <w:r w:rsidRPr="00815ED5">
        <w:rPr>
          <w:rFonts w:ascii="Times New Roman" w:hAnsi="Times New Roman" w:cs="Times New Roman"/>
          <w:color w:val="0070C0"/>
          <w:sz w:val="16"/>
          <w:szCs w:val="16"/>
        </w:rPr>
        <w:t>уромец-4» под управлением пору</w:t>
      </w:r>
      <w:r w:rsidRPr="00815ED5">
        <w:rPr>
          <w:rFonts w:ascii="Times New Roman" w:hAnsi="Times New Roman" w:cs="Times New Roman"/>
          <w:color w:val="0070C0"/>
          <w:sz w:val="16"/>
          <w:szCs w:val="16"/>
        </w:rPr>
        <w:softHyphen/>
        <w:t xml:space="preserve">чика Якова Никандровича Жарова во время бомбардировки </w:t>
      </w:r>
      <w:r>
        <w:rPr>
          <w:rFonts w:ascii="Times New Roman" w:hAnsi="Times New Roman" w:cs="Times New Roman"/>
          <w:color w:val="0070C0"/>
          <w:sz w:val="16"/>
          <w:szCs w:val="16"/>
        </w:rPr>
        <w:t xml:space="preserve">ближних </w:t>
      </w:r>
      <w:r w:rsidRPr="00815ED5">
        <w:rPr>
          <w:rFonts w:ascii="Times New Roman" w:hAnsi="Times New Roman" w:cs="Times New Roman"/>
          <w:color w:val="0070C0"/>
          <w:sz w:val="16"/>
          <w:szCs w:val="16"/>
        </w:rPr>
        <w:t>резе</w:t>
      </w:r>
      <w:r w:rsidRPr="00815ED5">
        <w:rPr>
          <w:rFonts w:ascii="Times New Roman" w:hAnsi="Times New Roman" w:cs="Times New Roman"/>
          <w:color w:val="0070C0"/>
          <w:sz w:val="16"/>
          <w:szCs w:val="16"/>
        </w:rPr>
        <w:softHyphen/>
        <w:t>рвов противника подвергся нападению трех немецких истребителей,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но умелой обороной отбил атаку.</w:t>
      </w:r>
      <w:r>
        <w:rPr>
          <w:rFonts w:ascii="Times New Roman" w:hAnsi="Times New Roman" w:cs="Times New Roman"/>
          <w:color w:val="0070C0"/>
          <w:sz w:val="16"/>
          <w:szCs w:val="16"/>
        </w:rPr>
        <w:t xml:space="preserve"> Н</w:t>
      </w:r>
      <w:r w:rsidRPr="00815ED5">
        <w:rPr>
          <w:rFonts w:ascii="Times New Roman" w:hAnsi="Times New Roman" w:cs="Times New Roman"/>
          <w:color w:val="0070C0"/>
          <w:sz w:val="16"/>
          <w:szCs w:val="16"/>
        </w:rPr>
        <w:t>емедленно поднялось еще пять истреби</w:t>
      </w:r>
      <w:r w:rsidRPr="00815ED5">
        <w:rPr>
          <w:rFonts w:ascii="Times New Roman" w:hAnsi="Times New Roman" w:cs="Times New Roman"/>
          <w:color w:val="0070C0"/>
          <w:sz w:val="16"/>
          <w:szCs w:val="16"/>
        </w:rPr>
        <w:softHyphen/>
        <w:t>телей, но и от них корабль не отвернул.</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Последовал ряд яростных атак, продолжавшийся 20 минут.</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При первой атаке был тяжело ранен </w:t>
      </w:r>
      <w:r>
        <w:rPr>
          <w:rFonts w:ascii="Times New Roman" w:hAnsi="Times New Roman" w:cs="Times New Roman"/>
          <w:color w:val="0070C0"/>
          <w:sz w:val="16"/>
          <w:szCs w:val="16"/>
        </w:rPr>
        <w:t>Жа</w:t>
      </w:r>
      <w:r w:rsidRPr="00815ED5">
        <w:rPr>
          <w:rFonts w:ascii="Times New Roman" w:hAnsi="Times New Roman" w:cs="Times New Roman"/>
          <w:color w:val="0070C0"/>
          <w:sz w:val="16"/>
          <w:szCs w:val="16"/>
        </w:rPr>
        <w:t>ро</w:t>
      </w: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 Управление кораблем взял второй пилот поручик А</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Ю.Лутц,</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но при пов</w:t>
      </w:r>
      <w:r w:rsidRPr="00815ED5">
        <w:rPr>
          <w:rFonts w:ascii="Times New Roman" w:hAnsi="Times New Roman" w:cs="Times New Roman"/>
          <w:color w:val="0070C0"/>
          <w:sz w:val="16"/>
          <w:szCs w:val="16"/>
        </w:rPr>
        <w:softHyphen/>
        <w:t>торной атаке и он был ранен в плечо и несмотря на это продолжал маневрировать и лишь при возвращении был сменен пришедшим в чувство Жаровым,</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который и привел корабль на свой аэродром.</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бою были также ранены пулеметчик Редько и артиллерийский офицер капитан А.П.Барбов</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ч, продолжавший все время руководить обороной корабля.</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Во время полета корабль обстреливал и неприятельские окопы,</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что способство</w:t>
      </w:r>
      <w:r w:rsidRPr="00815ED5">
        <w:rPr>
          <w:rFonts w:ascii="Times New Roman" w:hAnsi="Times New Roman" w:cs="Times New Roman"/>
          <w:color w:val="0070C0"/>
          <w:sz w:val="16"/>
          <w:szCs w:val="16"/>
        </w:rPr>
        <w:softHyphen/>
        <w:t>вало наступлению нашей пехоте.</w:t>
      </w:r>
    </w:p>
    <w:p w14:paraId="6C34BAB9" w14:textId="77777777" w:rsidR="00914D94" w:rsidRPr="00815ED5" w:rsidRDefault="00914D94"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/Приказ по эскадре воздушных кораблей от 23 июня 191</w:t>
      </w:r>
      <w:r>
        <w:rPr>
          <w:rFonts w:ascii="Times New Roman" w:hAnsi="Times New Roman" w:cs="Times New Roman"/>
          <w:color w:val="0070C0"/>
          <w:sz w:val="16"/>
          <w:szCs w:val="16"/>
        </w:rPr>
        <w:t>7</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54/</w:t>
      </w:r>
      <w:r>
        <w:rPr>
          <w:rFonts w:ascii="Times New Roman" w:hAnsi="Times New Roman" w:cs="Times New Roman"/>
          <w:color w:val="0070C0"/>
          <w:sz w:val="16"/>
          <w:szCs w:val="16"/>
        </w:rPr>
        <w:t xml:space="preserve"> (23320).</w:t>
      </w:r>
    </w:p>
    <w:p w14:paraId="3DEC2BF1" w14:textId="77777777" w:rsidR="00914D94" w:rsidRDefault="00914D94" w:rsidP="0083075A">
      <w:pPr>
        <w:spacing w:after="0" w:line="240" w:lineRule="auto"/>
        <w:jc w:val="both"/>
        <w:rPr>
          <w:rFonts w:ascii="Times New Roman" w:hAnsi="Times New Roman" w:cs="Times New Roman"/>
          <w:color w:val="0070C0"/>
          <w:sz w:val="16"/>
          <w:szCs w:val="16"/>
        </w:rPr>
      </w:pPr>
    </w:p>
    <w:p w14:paraId="03B6A478" w14:textId="77777777" w:rsidR="00D37E1F" w:rsidRPr="002F2FDF" w:rsidRDefault="00D37E1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июня (1 июля) 1917 г. экипаж капитана Шарова отбивался от восьми вражеских истребителей и сбил из них пять! Но с середины сентября боевые вылеты прекратились. Деморализованная армия постепенно разбегалась, солдаты убивали офицеров и дезертировали.</w:t>
      </w:r>
    </w:p>
    <w:p w14:paraId="10D0392F" w14:textId="77777777" w:rsidR="00D37E1F" w:rsidRPr="002F2FDF" w:rsidRDefault="00D37E1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развала фронта часть самолетов эскадры сожгли при отступлении, часть досталась войскам гетмана Скоро- падского. Офицеры разделились: большинство пошло к белым, кто-то к красным, а кое-кто вообще эмигрировал. То же самое относилось и к наземному составу.</w:t>
      </w:r>
    </w:p>
    <w:p w14:paraId="1F2E6C49" w14:textId="77777777" w:rsidR="00D37E1F" w:rsidRPr="002F2FDF" w:rsidRDefault="00D37E1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 большевиков оказались недостроенные "Муромцы" и задел узлов, сделанный РБВЗ. Всего из них собрали около двух десятков машин, в основном, с упрощенным оборудованием и вооружением. Их разбросали по разным авиачастям, самой крупной из которых стал Дивизион воздушных кораблей, имевший пять самолетов "типа Г-3". Они немного повоевали против конницы Мамонтова, поляков и Врангеля. Последний боевой вылет красный "Муромец" совершил 21 ноября 1920 г. - с него обстреляли несколько сел, занятых махновцами (12036).</w:t>
      </w:r>
    </w:p>
    <w:p w14:paraId="52FCE670" w14:textId="77777777" w:rsidR="00D37E1F" w:rsidRPr="002F2FDF" w:rsidRDefault="00D37E1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214030" w14:textId="77777777" w:rsidR="00D37E1F" w:rsidRPr="002F2FDF" w:rsidRDefault="00D37E1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июня (1 июля) 1917 корабль ИМ IV-й (после ремонта он действовал в составе 3-го отряда) возвращавшийся с боевого задания атаковали 8 неприятельских истребителей. На "муромце" были ранены штабс-капитан Я.Н.Шаров, капитан А.П.Барбович, поручик А.Ю.Лутц и рядовой Редько. Несмотря на это, корабль выдержал упорный воздушный бой, свалив несколько аппаратов противника и благополучно опустился на своей территории (12038).</w:t>
      </w:r>
    </w:p>
    <w:p w14:paraId="55A841AF" w14:textId="77777777" w:rsidR="00D37E1F" w:rsidRPr="002F2FDF" w:rsidRDefault="00D37E1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ECC505" w14:textId="77777777" w:rsidR="00D37E1F" w:rsidRPr="002F2FDF" w:rsidRDefault="00D37E1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июня (1 июля) 1917 корабль IV (после ремонта он действовал в составе 3-го отряда), возвращавшийся с боевого задания, атаковали сначала три, а потом четыре или пять неприятельских истребителей. Первую атаку удалось отбить, но когда истребители противника стали нападать с разных сторон, кораблю сильно досталось. На "Муромце" был ранен весь экипаж: штабс-капитан Я.Н. Шаров (в живот и ногу), капитан А.П. Барбович (в ноги), поручик А.Ю. Лутц (в плечо) и рядовой Редько.</w:t>
      </w:r>
    </w:p>
    <w:p w14:paraId="404F209E" w14:textId="77777777" w:rsidR="00D37E1F" w:rsidRPr="002F2FDF" w:rsidRDefault="00D37E1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Несмотря на это, корабль выдержал упорный воздушный бой, свалив несколько аппаратов противника (по словам членов экипажа) и благополучно опустился на своей территории у Подгайцы. В тот день истребители 1-й боевой авиагруппы ротмистра А.А. Козакова не смогли сопровождать "Муромца".</w:t>
      </w:r>
    </w:p>
    <w:p w14:paraId="36A31209" w14:textId="77777777" w:rsidR="00D37E1F" w:rsidRPr="002F2FDF" w:rsidRDefault="00D37E1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этот смертельно опасный бой три члена экипажа IV корабля были награждены Георгиевским оружием: командир корабля штабс-капитан Шаров, артофицер капитан Барбович ("будучи ранен одновременно с экипажем корабля, нанёс серьёзные повреждения неприятельским истребителям настолько сильные, что вывел их всех из строя на всё время боя") и помощник командира поручик Лутц ("будучи ранен, не оставил штурвала и вывел свой корабль из расположения противника, хотя от потери крови и не мог довести корабль до своего аэродрома. Потеряв сознание, был у штурвала, пока его не заменил командир корабля") (12041).</w:t>
      </w:r>
    </w:p>
    <w:p w14:paraId="28F7A56F" w14:textId="77777777" w:rsidR="00D37E1F" w:rsidRPr="002F2FDF" w:rsidRDefault="00D37E1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9255B6"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18 июня</w:t>
      </w:r>
      <w:r w:rsidRPr="002F2FDF">
        <w:rPr>
          <w:rFonts w:ascii="Times New Roman" w:hAnsi="Times New Roman" w:cs="Times New Roman"/>
          <w:color w:val="000000" w:themeColor="text1"/>
          <w:kern w:val="2"/>
          <w:sz w:val="16"/>
          <w:szCs w:val="16"/>
        </w:rPr>
        <w:t xml:space="preserve"> (1 июля) в 1917 году на Восточном фронте российский военный министр Керенский объявляет о начале наступления, однако серия ударов по германским позициям успешно отражается противником (боевые действия будут продолжаться до 13 июля) (14926).</w:t>
      </w:r>
    </w:p>
    <w:p w14:paraId="6BEEFE68"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p>
    <w:p w14:paraId="4AA2CD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июня (1 июля) 1917 началось наступление Юго-западного фронта. Основной удар на</w:t>
      </w:r>
      <w:r w:rsidRPr="002F2FDF">
        <w:rPr>
          <w:rFonts w:ascii="Times New Roman" w:hAnsi="Times New Roman" w:cs="Times New Roman"/>
          <w:color w:val="000000" w:themeColor="text1"/>
          <w:kern w:val="2"/>
          <w:sz w:val="16"/>
          <w:szCs w:val="16"/>
        </w:rPr>
        <w:softHyphen/>
        <w:t>носили 7-я и 11 -я армии. Однако, про</w:t>
      </w:r>
      <w:r w:rsidRPr="002F2FDF">
        <w:rPr>
          <w:rFonts w:ascii="Times New Roman" w:hAnsi="Times New Roman" w:cs="Times New Roman"/>
          <w:color w:val="000000" w:themeColor="text1"/>
          <w:kern w:val="2"/>
          <w:sz w:val="16"/>
          <w:szCs w:val="16"/>
        </w:rPr>
        <w:softHyphen/>
        <w:t>двинувшись на 2 км, солдаты замитинговали, а стоит ли идти дальше. Большинством голосов решили, что не стоит. Таковы были плоды “демо</w:t>
      </w:r>
      <w:r w:rsidRPr="002F2FDF">
        <w:rPr>
          <w:rFonts w:ascii="Times New Roman" w:hAnsi="Times New Roman" w:cs="Times New Roman"/>
          <w:color w:val="000000" w:themeColor="text1"/>
          <w:kern w:val="2"/>
          <w:sz w:val="16"/>
          <w:szCs w:val="16"/>
        </w:rPr>
        <w:softHyphen/>
        <w:t>кратизации”. Спустя три дня началось наступление 8-й армии (командую</w:t>
      </w:r>
      <w:r w:rsidRPr="002F2FDF">
        <w:rPr>
          <w:rFonts w:ascii="Times New Roman" w:hAnsi="Times New Roman" w:cs="Times New Roman"/>
          <w:color w:val="000000" w:themeColor="text1"/>
          <w:kern w:val="2"/>
          <w:sz w:val="16"/>
          <w:szCs w:val="16"/>
        </w:rPr>
        <w:softHyphen/>
        <w:t>щий - генерал Корнилов), которая действовала на второстепенном направлении. За 6 дней она прорвала фронт и углубилась на 18-20 км, овла</w:t>
      </w:r>
      <w:r w:rsidRPr="002F2FDF">
        <w:rPr>
          <w:rFonts w:ascii="Times New Roman" w:hAnsi="Times New Roman" w:cs="Times New Roman"/>
          <w:color w:val="000000" w:themeColor="text1"/>
          <w:kern w:val="2"/>
          <w:sz w:val="16"/>
          <w:szCs w:val="16"/>
        </w:rPr>
        <w:softHyphen/>
        <w:t>дев городом Калуш. Было захвачено 800 офицеров и 36 тысяч солдат про</w:t>
      </w:r>
      <w:r w:rsidRPr="002F2FDF">
        <w:rPr>
          <w:rFonts w:ascii="Times New Roman" w:hAnsi="Times New Roman" w:cs="Times New Roman"/>
          <w:color w:val="000000" w:themeColor="text1"/>
          <w:kern w:val="2"/>
          <w:sz w:val="16"/>
          <w:szCs w:val="16"/>
        </w:rPr>
        <w:softHyphen/>
        <w:t>тивника, 127 орудий и минометов. Не</w:t>
      </w:r>
      <w:r w:rsidRPr="002F2FDF">
        <w:rPr>
          <w:rFonts w:ascii="Times New Roman" w:hAnsi="Times New Roman" w:cs="Times New Roman"/>
          <w:color w:val="000000" w:themeColor="text1"/>
          <w:kern w:val="2"/>
          <w:sz w:val="16"/>
          <w:szCs w:val="16"/>
        </w:rPr>
        <w:softHyphen/>
        <w:t>ожиданный успех заставил командо</w:t>
      </w:r>
      <w:r w:rsidRPr="002F2FDF">
        <w:rPr>
          <w:rFonts w:ascii="Times New Roman" w:hAnsi="Times New Roman" w:cs="Times New Roman"/>
          <w:color w:val="000000" w:themeColor="text1"/>
          <w:kern w:val="2"/>
          <w:sz w:val="16"/>
          <w:szCs w:val="16"/>
        </w:rPr>
        <w:softHyphen/>
        <w:t>вание перебросить в район прорыва наиболее боеспособные части (3954).</w:t>
      </w:r>
    </w:p>
    <w:p w14:paraId="62A21D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64017F" w14:textId="77777777" w:rsidR="007325A2" w:rsidRPr="002F2FDF" w:rsidRDefault="007325A2" w:rsidP="0083075A">
      <w:pPr>
        <w:pStyle w:val="ae"/>
        <w:spacing w:before="0" w:after="0"/>
        <w:jc w:val="both"/>
        <w:rPr>
          <w:color w:val="000000" w:themeColor="text1"/>
          <w:kern w:val="2"/>
          <w:sz w:val="16"/>
          <w:szCs w:val="16"/>
        </w:rPr>
      </w:pPr>
      <w:r w:rsidRPr="002F2FDF">
        <w:rPr>
          <w:color w:val="000000" w:themeColor="text1"/>
          <w:kern w:val="2"/>
          <w:sz w:val="16"/>
          <w:szCs w:val="16"/>
        </w:rPr>
        <w:t>18 июня (1 июля) 1917 после двухдневной артподготовки пехотные части 11-й и 8-й армий перешли в наступление в районе городов Злочев и Бржезаны (ныне город Золочев и село Бережаны в Львовской области Украины — РП), двигаясь в сторону Львова. В этот же день военный и морской министр Александр Керенский, находившийся на фронте, телеграфировал Временному правительству: «Сегодня великое торжество революции, Русская революционная армия с огромным воодушевлением перешла в наступление». 3 июля было опубликовано воззвание Керенского к гражданам России: «Во имя свободы и чести России, во имя скорого и прочного мира русская армия на фронте готова выполнить свой долг перед страной. В эту минуту великих жертв и страданий я призываю всех к сознанию ответственности перед революционной армией, ибо только усилиями всех от мала до велика может быть облегчена боевая страда ее. &lt;…&gt; Пусть армия знает, что она не покинута, что за ней дружно, непоколебимой стеной стоит весь народ. &lt;…&gt; Пусть каждый несет все, что может, в общий пламенный порыв освобожденного и освобождающего народа. К напряжению всей мощи и единению всех творческих сил я от имени армии призываю страну».</w:t>
      </w:r>
    </w:p>
    <w:p w14:paraId="179A0F2D" w14:textId="77777777" w:rsidR="007325A2" w:rsidRPr="002F2FDF" w:rsidRDefault="007325A2" w:rsidP="0083075A">
      <w:pPr>
        <w:pStyle w:val="ae"/>
        <w:spacing w:before="0" w:after="0"/>
        <w:jc w:val="both"/>
        <w:rPr>
          <w:color w:val="000000" w:themeColor="text1"/>
          <w:kern w:val="2"/>
          <w:sz w:val="16"/>
          <w:szCs w:val="16"/>
        </w:rPr>
      </w:pPr>
      <w:r w:rsidRPr="002F2FDF">
        <w:rPr>
          <w:color w:val="000000" w:themeColor="text1"/>
          <w:kern w:val="2"/>
          <w:sz w:val="16"/>
          <w:szCs w:val="16"/>
        </w:rPr>
        <w:t>В течение первых двух дней наступления русским войскам удалось достичь тактического успеха и захватить первую и вторую линии германских траншей. Однако уже к вечеру 2 июля наступление остановилось. Так называемые «ударные» части, состоявшие из патриотично настроенных солдат и офицеров, наступавшие в первых рядах, понесли тяжелые потери. Обычные же пехотные подразделения наступать просто отказались. Сказалось действие антивоенной пропаганды большевиков и Приказа №1, выпущенного Петроградским Советом 14 марта, и разрушившего единоначалие в армии. Офицеры не могли добиться от солдат повиновения, поскольку последние стали обсуждать приказы в солдатских комитетах и митинговать. Предлоги для отказа идти в атаку могли быть самыми разными, включая и такие, что «своя артиллерия так хорошо поработала, что на захваченных позициях противника ночевать негде».</w:t>
      </w:r>
    </w:p>
    <w:p w14:paraId="0C44E102" w14:textId="689F48E2" w:rsidR="007325A2" w:rsidRPr="002F2FDF" w:rsidRDefault="007325A2" w:rsidP="0083075A">
      <w:pPr>
        <w:pStyle w:val="ae"/>
        <w:spacing w:before="0" w:after="0"/>
        <w:jc w:val="both"/>
        <w:rPr>
          <w:color w:val="000000" w:themeColor="text1"/>
          <w:kern w:val="2"/>
          <w:sz w:val="16"/>
          <w:szCs w:val="16"/>
        </w:rPr>
      </w:pPr>
      <w:r w:rsidRPr="002F2FDF">
        <w:rPr>
          <w:color w:val="000000" w:themeColor="text1"/>
          <w:kern w:val="2"/>
          <w:sz w:val="16"/>
          <w:szCs w:val="16"/>
        </w:rPr>
        <w:t>Еще 1 июля комиссар Временного правительства Борис Савинков отправил в Петроград телеграмму об инциденте в одной из дивизий, дающую представление о глубине кризиса, поразившего русскую армию: «Отказавшихся подчиниться приказу наступать было сначала около 10</w:t>
      </w:r>
      <w:r w:rsidR="00E52569">
        <w:rPr>
          <w:color w:val="000000" w:themeColor="text1"/>
          <w:kern w:val="2"/>
          <w:sz w:val="16"/>
          <w:szCs w:val="16"/>
        </w:rPr>
        <w:t xml:space="preserve"> </w:t>
      </w:r>
      <w:r w:rsidRPr="002F2FDF">
        <w:rPr>
          <w:color w:val="000000" w:themeColor="text1"/>
          <w:kern w:val="2"/>
          <w:sz w:val="16"/>
          <w:szCs w:val="16"/>
        </w:rPr>
        <w:t>000 человек, но затем под влиянием уговоров цифра эта понизилась до 4000. Тогда было решено силой разоружить бунтарей. Разоружение было поручено произвести конному корпусу князя Туманова. Взбунтовавшимся сибирцам был дан срок в 2 часа на добровольную выдачу оружия. Срок истек, а войска отказывались подчиниться. Тогда было приказано открыть по ним орудийный огонь. Офицеры батарей отказались отдать приказ об открытии огня. Наступил критический момент, когда авторитет власти висел на волоске. Помощник военного комиссара доктор Григорьев не растерялся и заявил артиллеристам, что он сам лично берет на себя командование батареей и имен временного правительства приказывает открыть огонь по бунтовщикам огонь. Батарея подчинилась. Грянуло несколько залпов в воздух. Над окопавшимися сибиряками просвистели шрапнели. В то же время кн.Туманов во главе сильного кавалерийского отряда атаковал сибиряков в конном строю. Едва кавалеристы приблизились к возмутившимся войскам, те побросали оружие и подняли руки. Главари взбунтовавшихся частей арестованы. Остальные раскассированы (расформированы и распределены по другим частям)» (17045).</w:t>
      </w:r>
    </w:p>
    <w:p w14:paraId="4978B949" w14:textId="77777777" w:rsidR="007325A2" w:rsidRPr="002F2FDF" w:rsidRDefault="007325A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6914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July 1, 1917 Russians begin offensive in Gallicia, Kerensky, Minister of War, leading in person (1036).</w:t>
      </w:r>
    </w:p>
    <w:p w14:paraId="553D61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EE2E6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18 июня по 15 июля (с 1 июля по 28 июля) 1917 состоялось наступление русских войск опять под командованием А.А.Брусилова, предпринятое Временным правительством. Понесли поражение и потеряли еще несколько городов (1348,44).</w:t>
      </w:r>
    </w:p>
    <w:p w14:paraId="51C457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613A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июня (1 июля) 1917 началось русское наступление в Галиции под руководством А.Керенского, военного министра (1036).</w:t>
      </w:r>
    </w:p>
    <w:p w14:paraId="5107C0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6144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июня (1 июля) 1917 после двухдневной артиллерийской подготовки войска 7-й и 11-й армий Юго-Западного фронта перешли в наступление на Львовском направлении и заняли несколько участков австро-германских позиций. Однако в последующие дни наступление застопорилось.</w:t>
      </w:r>
    </w:p>
    <w:p w14:paraId="7B83CB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летней операции Юго-Западного фронта активно участвовала авиация. Поскольку личный состав авиационных частей состоял большей частью из офицеров, он не подвергся еще революционному разложению.  Авиационные средства фронта к началу операции составляли 36 авиаотрядов, насчитывавших 225 аэропланов (Особая армия - 36,11-я - 86,7-я - 72,8-я - 31). Кроме того, имелось два отряда ЭВК. Австро-германский фронт к этому моменту насчитывал 37 авиаотрядов и рот, имевших 226 аэропланов. Авиации Юго-Западного фронта были поставлены следующие задачи: корректирование артиллерийской стрельбы, фотографирование позиций и артиллерийских целей, охрана фотографирующих и корректировщиков, разведка тыла противника, отражение самолетов противника по вызову корпусов, фотографирование в бою произведенных своей артиллерией разрушений в укреплениях противника, связь с пехотой и бомбардирование тыла противника (11999).</w:t>
      </w:r>
    </w:p>
    <w:p w14:paraId="0A1370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F5095D" w14:textId="21F1FDD6" w:rsidR="00B52344" w:rsidRPr="00FB4F67" w:rsidRDefault="00B52344" w:rsidP="0083075A">
      <w:pPr>
        <w:spacing w:after="0" w:line="240" w:lineRule="auto"/>
        <w:jc w:val="both"/>
        <w:rPr>
          <w:rFonts w:ascii="Times New Roman" w:hAnsi="Times New Roman" w:cs="Times New Roman"/>
          <w:color w:val="0070C0"/>
          <w:sz w:val="16"/>
          <w:szCs w:val="16"/>
        </w:rPr>
      </w:pPr>
      <w:bookmarkStart w:id="164" w:name="bookmark829"/>
      <w:r>
        <w:rPr>
          <w:rFonts w:ascii="Times New Roman" w:hAnsi="Times New Roman" w:cs="Times New Roman"/>
          <w:color w:val="0070C0"/>
          <w:sz w:val="16"/>
          <w:szCs w:val="16"/>
        </w:rPr>
        <w:t>18 июня (</w:t>
      </w:r>
      <w:r w:rsidRPr="00FB4F67">
        <w:rPr>
          <w:rFonts w:ascii="Times New Roman" w:hAnsi="Times New Roman" w:cs="Times New Roman"/>
          <w:color w:val="0070C0"/>
          <w:sz w:val="16"/>
          <w:szCs w:val="16"/>
        </w:rPr>
        <w:t>1 июля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после артиллерийской подготовки с рубежа, восточнее Поморжаны, Бережаны, русские 11-я и 7-я армии Юго</w:t>
      </w:r>
      <w:r w:rsidRPr="00FB4F67">
        <w:rPr>
          <w:rFonts w:ascii="Times New Roman" w:hAnsi="Times New Roman" w:cs="Times New Roman"/>
          <w:color w:val="0070C0"/>
          <w:sz w:val="16"/>
          <w:szCs w:val="16"/>
        </w:rPr>
        <w:softHyphen/>
        <w:t>Западного фронта нанесли удар противнику на Львовском направлении. Истребительная авиация (две БАГ и пять ИАО), обеспечивала воздушную охрану линии фронта и перехват вражеских самолетов, выполняя одновременно задачи воздушной разведки, фотографирования неприятельских объектов и позиций и прикрытия бомбардировочной деятельности нашей авиации. В момент начала наступления русских войск часть самолетов (в 7-й армии - 32-й корпусной, 9-й армейский и французский АО), находившихся на тот момент в воздухе, нанесла бомбоштурмовые удары по передовым вражеским позициям. Многие летчики снижались до высоты 250</w:t>
      </w:r>
      <w:r w:rsidRPr="00FB4F67">
        <w:rPr>
          <w:rFonts w:ascii="Times New Roman" w:hAnsi="Times New Roman" w:cs="Times New Roman"/>
          <w:color w:val="0070C0"/>
          <w:sz w:val="16"/>
          <w:szCs w:val="16"/>
        </w:rPr>
        <w:softHyphen/>
        <w:t>100 м и «проносясь над окопами третьей линии, пытались вносить смятение в ряды отступающего противника</w:t>
      </w:r>
      <w:hyperlink w:anchor="bookmark1872" w:tooltip="Current Document">
        <w:r w:rsidRPr="00FB4F67">
          <w:rPr>
            <w:rStyle w:val="a5"/>
            <w:rFonts w:ascii="Times New Roman" w:hAnsi="Times New Roman" w:cs="Times New Roman"/>
            <w:color w:val="0070C0"/>
            <w:sz w:val="16"/>
            <w:szCs w:val="16"/>
          </w:rPr>
          <w:t>»—]</w:t>
        </w:r>
      </w:hyperlink>
      <w:r w:rsidRPr="00FB4F67">
        <w:rPr>
          <w:rFonts w:ascii="Times New Roman" w:hAnsi="Times New Roman" w:cs="Times New Roman"/>
          <w:color w:val="0070C0"/>
          <w:sz w:val="16"/>
          <w:szCs w:val="16"/>
        </w:rPr>
        <w:t xml:space="preserve">. Однако вследствие </w:t>
      </w:r>
      <w:bookmarkStart w:id="165" w:name="bookmark830"/>
      <w:bookmarkEnd w:id="164"/>
      <w:r w:rsidRPr="00FB4F67">
        <w:rPr>
          <w:rFonts w:ascii="Times New Roman" w:hAnsi="Times New Roman" w:cs="Times New Roman"/>
          <w:color w:val="0070C0"/>
          <w:sz w:val="16"/>
          <w:szCs w:val="16"/>
        </w:rPr>
        <w:t>своей малочисленности русская авиация не смогла до конца решить поставленные перед ней задачи по дезорганизации ближнего тыла неприятельских войск. Тем не менее сам факт наличия своих самолетов над полем боя заметно воодушевило наступавшие русские части. Одновременно командование корпусов и армий получило возможность оперативно получать информацию о состоянии войск противника и наличии его резервов на направлениях главного удара, благодаря хорошо организованной воздушной разведке. Выявленные места крупных скоплений вражеских войск и узловые железнодорожные станции неоднократно подвергались воздушным бомбардировкам со стороны нашей авиации. В полосе наступления 7-й армии ЮЗФ были привлечены 1-й и 3-й боевые отряды ЭВК «Илья Муромец» в составе шести воздушных кораблей. В первый день операции от их налетов серьезно пострадали тыловые армейские склады австро-венгерских войск, линия железной дороги между Рогатиным и Хуциско, а также узловая станция Хиновица. Групповым налетам нашей авиации подверглись также тыловые объекты противника и в полосе наступления частей 11-й армий Юго-Западного фронта. Большую помощь воздушные корректировщики (артиллерийские АО) оказали командованию Северной группы артиллерии и Южной противобатарейной группы 7-й армии в своевременном выявлении вражеских огневых точек и корректировании стрельбы нашей артиллерии в их подавлении. В лучшую сторону была отмечена боевая работа летчиков и наблюдателей 1, 2 и 4-го артиллерийских авиаотрядов. Несмотря на заметные успехи в воздухе, русские войска вскоре столкнулись с серьезным сопротивлением противника. Через два дня наступление 7</w:t>
      </w:r>
      <w:r w:rsidRPr="00FB4F67">
        <w:rPr>
          <w:rFonts w:ascii="Times New Roman" w:hAnsi="Times New Roman" w:cs="Times New Roman"/>
          <w:color w:val="0070C0"/>
          <w:sz w:val="16"/>
          <w:szCs w:val="16"/>
        </w:rPr>
        <w:softHyphen/>
        <w:t>й и 11-й армий фронта было приостановлено. Все последующие попытки возобновить активные действия не дали положительных результатов. В первый день наступления в районе д. Конюхи нашими истребителями был подбит неприятельский самолет, совершивший вынужденную посадку на территории своих войск (23405).</w:t>
      </w:r>
      <w:bookmarkEnd w:id="165"/>
    </w:p>
    <w:p w14:paraId="7374E9C2" w14:textId="77777777" w:rsidR="00B52344" w:rsidRPr="00FB4F67" w:rsidRDefault="00B52344" w:rsidP="0083075A">
      <w:pPr>
        <w:spacing w:after="0" w:line="240" w:lineRule="auto"/>
        <w:jc w:val="both"/>
        <w:rPr>
          <w:rFonts w:ascii="Times New Roman" w:hAnsi="Times New Roman" w:cs="Times New Roman"/>
          <w:color w:val="0070C0"/>
          <w:sz w:val="16"/>
          <w:szCs w:val="16"/>
        </w:rPr>
      </w:pPr>
    </w:p>
    <w:p w14:paraId="26C9E05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9AF89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36DF34" w14:textId="3FA18BF2" w:rsidR="00BF13D4" w:rsidRPr="002F2FDF" w:rsidRDefault="00BF13D4"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18</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июня</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w:t>
      </w:r>
      <w:hyperlink r:id="rId255" w:tooltip="1 июля" w:history="1">
        <w:r w:rsidRPr="002F2FDF">
          <w:rPr>
            <w:rFonts w:ascii="Times New Roman" w:eastAsia="Times New Roman" w:hAnsi="Times New Roman" w:cs="Times New Roman"/>
            <w:color w:val="000000" w:themeColor="text1"/>
            <w:kern w:val="2"/>
            <w:sz w:val="16"/>
            <w:szCs w:val="16"/>
            <w:lang w:eastAsia="ru-RU"/>
          </w:rPr>
          <w:t>1</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июля</w:t>
        </w:r>
      </w:hyperlink>
      <w:r w:rsidRPr="002F2FDF">
        <w:rPr>
          <w:rFonts w:ascii="Times New Roman" w:eastAsia="Times New Roman" w:hAnsi="Times New Roman" w:cs="Times New Roman"/>
          <w:color w:val="000000" w:themeColor="text1"/>
          <w:kern w:val="2"/>
          <w:sz w:val="16"/>
          <w:szCs w:val="16"/>
          <w:lang w:eastAsia="ru-RU"/>
        </w:rPr>
        <w:t>)</w:t>
      </w:r>
      <w:r w:rsidR="00E52569">
        <w:rPr>
          <w:rFonts w:ascii="Times New Roman" w:eastAsia="Times New Roman" w:hAnsi="Times New Roman" w:cs="Times New Roman"/>
          <w:color w:val="000000" w:themeColor="text1"/>
          <w:kern w:val="2"/>
          <w:sz w:val="16"/>
          <w:szCs w:val="16"/>
          <w:lang w:eastAsia="ru-RU"/>
        </w:rPr>
        <w:t xml:space="preserve"> </w:t>
      </w:r>
      <w:hyperlink r:id="rId256" w:tooltip="1917 год" w:history="1">
        <w:r w:rsidRPr="002F2FDF">
          <w:rPr>
            <w:rFonts w:ascii="Times New Roman" w:eastAsia="Times New Roman" w:hAnsi="Times New Roman" w:cs="Times New Roman"/>
            <w:color w:val="000000" w:themeColor="text1"/>
            <w:kern w:val="2"/>
            <w:sz w:val="16"/>
            <w:szCs w:val="16"/>
            <w:lang w:eastAsia="ru-RU"/>
          </w:rPr>
          <w:t>1917</w:t>
        </w:r>
      </w:hyperlink>
      <w:r w:rsidRPr="002F2FDF">
        <w:rPr>
          <w:rFonts w:ascii="Times New Roman" w:eastAsia="Times New Roman" w:hAnsi="Times New Roman" w:cs="Times New Roman"/>
          <w:color w:val="000000" w:themeColor="text1"/>
          <w:kern w:val="2"/>
          <w:sz w:val="16"/>
          <w:szCs w:val="16"/>
          <w:lang w:eastAsia="ru-RU"/>
        </w:rPr>
        <w:t xml:space="preserve"> в Петрограде на </w:t>
      </w:r>
      <w:hyperlink r:id="rId257" w:tooltip="Марсово поле (Санкт-Петербург)" w:history="1">
        <w:r w:rsidRPr="002F2FDF">
          <w:rPr>
            <w:rFonts w:ascii="Times New Roman" w:eastAsia="Times New Roman" w:hAnsi="Times New Roman" w:cs="Times New Roman"/>
            <w:color w:val="000000" w:themeColor="text1"/>
            <w:kern w:val="2"/>
            <w:sz w:val="16"/>
            <w:szCs w:val="16"/>
            <w:lang w:eastAsia="ru-RU"/>
          </w:rPr>
          <w:t>Марсовом поле</w:t>
        </w:r>
      </w:hyperlink>
      <w:r w:rsidRPr="002F2FDF">
        <w:rPr>
          <w:rFonts w:ascii="Times New Roman" w:eastAsia="Times New Roman" w:hAnsi="Times New Roman" w:cs="Times New Roman"/>
          <w:color w:val="000000" w:themeColor="text1"/>
          <w:kern w:val="2"/>
          <w:sz w:val="16"/>
          <w:szCs w:val="16"/>
          <w:lang w:eastAsia="ru-RU"/>
        </w:rPr>
        <w:t xml:space="preserve"> состоялась массовая демонстрация, организованная Съездом Советов. Однако, вопреки ожиданиям организаторов, планировавших провести общеполитическую демонстрацию доверия Временному правительству, акция, в которой участвовало около 500 тыс. чел., </w:t>
      </w:r>
      <w:r w:rsidRPr="002F2FDF">
        <w:rPr>
          <w:rFonts w:ascii="Times New Roman" w:eastAsia="Times New Roman" w:hAnsi="Times New Roman" w:cs="Times New Roman"/>
          <w:color w:val="000000" w:themeColor="text1"/>
          <w:kern w:val="2"/>
          <w:sz w:val="16"/>
          <w:szCs w:val="16"/>
          <w:lang w:eastAsia="ru-RU"/>
        </w:rPr>
        <w:lastRenderedPageBreak/>
        <w:t>прошла под большевистскими лозунгами «Долой десять министров-капиталистов!», «Пора кончать войну!», «Вся власть Советам!», что свидетельствовало о разрыве между настроениями масс столицы и политикой Временного правительства и руководства Советов.</w:t>
      </w:r>
    </w:p>
    <w:p w14:paraId="2A1D9CDE" w14:textId="066C9282" w:rsidR="00BF13D4" w:rsidRPr="002F2FDF" w:rsidRDefault="00BF13D4"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Присоединившаяся к манифестации группа вооружённых анархистов во время митинга совершила налёт на тюрьму «</w:t>
      </w:r>
      <w:hyperlink r:id="rId258" w:tooltip="Кресты" w:history="1">
        <w:r w:rsidRPr="002F2FDF">
          <w:rPr>
            <w:rFonts w:ascii="Times New Roman" w:eastAsia="Times New Roman" w:hAnsi="Times New Roman" w:cs="Times New Roman"/>
            <w:color w:val="000000" w:themeColor="text1"/>
            <w:kern w:val="2"/>
            <w:sz w:val="16"/>
            <w:szCs w:val="16"/>
            <w:lang w:eastAsia="ru-RU"/>
          </w:rPr>
          <w:t>Кресты</w:t>
        </w:r>
      </w:hyperlink>
      <w:r w:rsidRPr="002F2FDF">
        <w:rPr>
          <w:rFonts w:ascii="Times New Roman" w:eastAsia="Times New Roman" w:hAnsi="Times New Roman" w:cs="Times New Roman"/>
          <w:color w:val="000000" w:themeColor="text1"/>
          <w:kern w:val="2"/>
          <w:sz w:val="16"/>
          <w:szCs w:val="16"/>
          <w:lang w:eastAsia="ru-RU"/>
        </w:rPr>
        <w:t>», освободив шестерых своих сторонников и члена Военной организации РСДРП(б), редактора большевистской «Окопной правды» Ф.</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П.</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Хаустова. Воспользовавшись ситуацией, из тюрьмы бежало и около 400 уголовников (17029).</w:t>
      </w:r>
    </w:p>
    <w:p w14:paraId="4D17B55B" w14:textId="77777777" w:rsidR="00BF13D4" w:rsidRPr="002F2FDF" w:rsidRDefault="00BF13D4"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95538E" w14:textId="77777777" w:rsidR="00BF13D4" w:rsidRPr="002F2FDF" w:rsidRDefault="00BF13D4"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B32CD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июня (1 июля) 1917 Ленин заявил своим единомышленникам, что власть Советам можно передать только не мирным путем (4962).</w:t>
      </w:r>
    </w:p>
    <w:p w14:paraId="0CCC7ED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2BAB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июня (1 июля) 1917 Петросовет организовал демонстрацию в поддержку Временного правительства, но прошла она под большевистскими лозунгами (1348,85).</w:t>
      </w:r>
    </w:p>
    <w:p w14:paraId="526C42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4D86A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F3480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3C20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июня (1 июля) 1917 на ипрском участке фронта немцы вновь применили химическое оружие - газ иприт (3186).</w:t>
      </w:r>
    </w:p>
    <w:p w14:paraId="69C2B3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6B73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июня (1 июля) 1917 11 летний Пу И был провозглашен императором Китая, однако, был свергнут через 2 недели и Китай был провозглашен республикой (3186).</w:t>
      </w:r>
    </w:p>
    <w:p w14:paraId="4E41D4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E36FDC" w14:textId="77777777" w:rsidR="004F30FB" w:rsidRPr="002F2FDF" w:rsidRDefault="004F30F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9470344" w14:textId="77777777" w:rsidR="004F30FB" w:rsidRPr="002F2FDF" w:rsidRDefault="004F30F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233D1F"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19 июня (2 июля) 1917 года.</w:t>
      </w:r>
    </w:p>
    <w:p w14:paraId="22ECB3CB"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Журнал № 179 Особого Совещания для обсуждения и объединения мероприятий по обороне государства. </w:t>
      </w:r>
    </w:p>
    <w:p w14:paraId="6DBA2AF1"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19 июня 1917 года. </w:t>
      </w:r>
    </w:p>
    <w:p w14:paraId="1A0E423C"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Председательствовал . П. И. Пальчинский. </w:t>
      </w:r>
    </w:p>
    <w:p w14:paraId="300FB3D1"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Присутствовали: Член Государственного Совета .В. И. Тимирязев.</w:t>
      </w:r>
    </w:p>
    <w:p w14:paraId="65721F5B"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В. И. Гурко. </w:t>
      </w:r>
    </w:p>
    <w:p w14:paraId="6629DC5E"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военного министерства: </w:t>
      </w:r>
    </w:p>
    <w:p w14:paraId="6EF7FB15"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 от артиллерии . А. А. Маниковский.</w:t>
      </w:r>
    </w:p>
    <w:p w14:paraId="3A6834EA"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Генерал-лейтенант . Н. А. Бабиков.</w:t>
      </w:r>
    </w:p>
    <w:p w14:paraId="4AC2B838"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Н. И. Богатко. </w:t>
      </w:r>
    </w:p>
    <w:p w14:paraId="2B221390"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морского министерства: Адмирал . В. А. Канин. </w:t>
      </w:r>
    </w:p>
    <w:p w14:paraId="55553F46"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министерства финансов: Действительный статский советник . А. И. Ефимович. </w:t>
      </w:r>
    </w:p>
    <w:p w14:paraId="4269309A"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Государственного контроля: Действительный статский советник . И. В. Разумовский. </w:t>
      </w:r>
    </w:p>
    <w:p w14:paraId="587A6B6C"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министерства торговли и промышленности: Управляющий отделом промышленности . В. Е. Варзар.</w:t>
      </w:r>
    </w:p>
    <w:p w14:paraId="6B77E227"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Всероссийского городского союза: Член главного комитета «Земгора» профессор . А. И. Астров. </w:t>
      </w:r>
    </w:p>
    <w:p w14:paraId="712BDCCA"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Особо приглашенные в заседание:</w:t>
      </w:r>
    </w:p>
    <w:p w14:paraId="3AC21D81"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 от инфантерии . А. А. Поливанов.</w:t>
      </w:r>
    </w:p>
    <w:p w14:paraId="43F2BBE6"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Член Государственного Совета генерал-лейтенант . А. К. Рвчинников.</w:t>
      </w:r>
    </w:p>
    <w:p w14:paraId="521F3ED2"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Инженер путей сообщения . И. С. Каннегисер.</w:t>
      </w:r>
    </w:p>
    <w:p w14:paraId="13B9D715"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Генерал-майор . А. А. Саткевич.</w:t>
      </w:r>
    </w:p>
    <w:p w14:paraId="5B7CFD78"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М. Н. Орлов.</w:t>
      </w:r>
    </w:p>
    <w:p w14:paraId="6514D150"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С. М. Чаплин.</w:t>
      </w:r>
    </w:p>
    <w:p w14:paraId="6AAED967"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В. С. Михайлов.</w:t>
      </w:r>
    </w:p>
    <w:p w14:paraId="50D74179"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Действительный статский советник . В. П. Литвинов-Фалинский.</w:t>
      </w:r>
    </w:p>
    <w:p w14:paraId="6CF79EDD"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Отставной полковник . Н. Е. Понафидин.</w:t>
      </w:r>
    </w:p>
    <w:p w14:paraId="7296714E"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Подполковник . Б. Ф. Гончаров.</w:t>
      </w:r>
    </w:p>
    <w:p w14:paraId="1085A244"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Заместитель председателя центрального военно-промышленного комитета . Н. Н. Изнар.</w:t>
      </w:r>
    </w:p>
    <w:p w14:paraId="71AED7F4"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Управляющий делами центрального военно-промышленного комитета . К. Н. Клопотов.</w:t>
      </w:r>
    </w:p>
    <w:p w14:paraId="5B9F8FE5"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Управляющий отделом машиностроения . А. Я. Глаголев. </w:t>
      </w:r>
    </w:p>
    <w:p w14:paraId="13601F88"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Делопроизводитель Особого Совещания: Надворный советник . В. Е. Дзердзеевский. </w:t>
      </w:r>
    </w:p>
    <w:p w14:paraId="69A667FD"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открытии заседания управляющий делами Особого Совещания генерал-лейтенант Н. А. Бабиков огласил резолюцию по журналу Совещания от 15 июля 1917 года за № 178 и сообщил о сделанных распоряжениях по исполнению этой резолюции. </w:t>
      </w:r>
    </w:p>
    <w:p w14:paraId="2FF04EF8"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Совещание заслушало доклад подготовительной комиссии по артиллерийским вопросам об увеличении цен на тяжелые снаряды, 6” гаубицы и 3” полевые пушки, заказанные Пермским пушечным заводам. При рассмотрении этого дела комиссия признала, что вопрос об увеличении цен по означенным заказам может быть разрешен без участия комиссии для руководства делом пересмотра контрактов, тем более что устанавливаемые ныне цены значительно ниже цен частных заводов. Против дополнительных ассигнований не возражали в комиссии и представители министерства финансов и контроля, находившие, что отпуск кредитов в распоряжение горного департамента не нарушает интересов Государственного казначейства и установление той или иной цены за изделия казенного завода, работающего по себестоимости, значения не имеет. В виде сего подготовительная комиссия, не входя в подробное обсуждение цен, заявленных горным департаментом, не встретила возражений против ассигнования из военного фонда в распоряжение названного департамента дополнительных кредитов, соответственно заявленным ныне ценам изделий, всего на сумму 22.565.512 рублей. Председательствующий П. И. Пальчинский указывает, что цены на тяжелые снаряды и орудия, заказанные Пермским пушечным заводам, не изменялись с 1915 года и посему вопрос об их увеличении должен быть разрешен в благоприятном смысле в связи с возрастающей дороговизной на материалы и рабочие руки. Однако не следует упускать из виду, что частные заводы при заключении договоров пользуются теми расценками, которые установлены для казенных заводов, учитывая при этом еще те расходы, которые казенные заводы не несут. Ввиду сего вопрос об увеличении цен на упомянутые заказы Пермским пушечным заводам, каковое увеличение будет принято во внимание и частными заводами, подлежит тщательному рассмотрению в комиссии В. И. Гурко или в другой ведомственной комиссии по пересмотру контрактов, которая и внесет свои предположения на одобрение Особого Совещания. Теперь же, впредь до разрешения этого вопроса соответствующими органами, представлялось бы возможным открыть горному департаменту министерства торговли и промышленности кредит для названных заводов из военного фонда на сумму, однако, не свыше двадцати миллионов рублей в счет расходов по означенным заказам. </w:t>
      </w:r>
    </w:p>
    <w:p w14:paraId="311255D0"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Разделяя изложенные соображения Председательствующего, Совещание переходит, далее, к обсуждению доклада той же комиссии о выдаче секвестрованному заводу бр. Тильманс и Ко ссуды в размере 600 000 рублей для поддержания непрерывной деятельности завода, с отпуском немедленно в счет просимой ссуды 300 000 рублей. Из представленных управляющим заводом данных усматривается, что месячная потребность в средствах для ведения дела выражается в сумме 360 000 рублей, поступления же от дебиторов завода не превышают 250 000 рублей, ввиду чего ежемесячный недобор равняется 110 000 рублей. Причинами, вызывающими указанный недобор, являются, с одной стороны, все повышающиеся в зависимости от переживаемого момента требования со стороны рабочих и служащих и, с другой стороны, задержки в уплате заводу заказчиками по счетам за исполненные и сданные уже заготовления. </w:t>
      </w:r>
    </w:p>
    <w:p w14:paraId="2772DE9C"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Подготовительная комиссия, заслушав означенное дело, не могла обсудить вопрос об удовлетворении в полном объеме ходатайства завода о выдаче ссуды в 600.000 рублей, так как в ее распоряжении не было необходимых сведений о финансовом положении предприятия. Ввиду сего комиссия постановила поручить управляющему означенным секвестрованным заводом представить финансовый план и сведения о положении дел на заводе. Вместе с тем, принимая во внимание острую нужду этого предприятия в оборотных средствах, комиссия полагала незамедлительно отпустить в распоряжение управляющего заводом теперь лишь 300 000 рублей в виде краткосрочной ссуды, с тем чтобы засим были представлены соображения о порядке погашения этой суммы; вопрос же о выдаче остальных 300 000 рублей отложить рассмотрением до представления финансового плана. По поводу заслушанного доклада председательствующий П. И. Пальчинский заметил, что, вполне присоединяясь к заключению подготовительной комиссии по делу о выдаче секвестрованному заводу бр. Тильманс и Ко краткосрочной ссуды в размере трехсот тысяч рублей, на изложенных в докладе основаниях, он, однако, [ ] просит также и Московское заводское совещание произвести обследование этого завода. Вместе с сим следует издать циркулярное распоряжение правлениям секвестрованных и находящихся в казенном управлении заводов, чтобы ими при возбуждении ходатайств о выдаче авансов или ссуд представлялись как финансовый план предприятий, так и соображения о дальнейшей их деятельности. </w:t>
      </w:r>
    </w:p>
    <w:p w14:paraId="7CD2DC89"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Совещание не встречает препятствий к принятию предположений Председательствующего и одобряет засим доклады той же комиссии о заказе акционерному обществу «Перун» кислорода и о дополнительном заказе акционерному обществу «Николаевских заводов и верфей» 3-дм. шрапнелей, на упомянутых в докладе </w:t>
      </w:r>
      <w:r w:rsidRPr="002F2FDF">
        <w:rPr>
          <w:rFonts w:ascii="Times New Roman" w:hAnsi="Times New Roman" w:cs="Times New Roman"/>
          <w:color w:val="000000" w:themeColor="text1"/>
          <w:sz w:val="16"/>
          <w:szCs w:val="16"/>
        </w:rPr>
        <w:lastRenderedPageBreak/>
        <w:t xml:space="preserve">основаниях. Затем Член Государственного Совета Н. Ф. фон Дитмар довел до сведения Совещания о том тяжелом положении, в коем ныне находится промышленность южного района и Донецкого бассейна. Многие из военнопленных ныне отпущены в отпуск местными комитетами солдатских и рабочих депутатов, вследствие чего число рабочих рук уменьшилось; рабочие удаляют лиц административного и технического персонала и угрозами лишения жизни заставляют директоров предприятий подписывать договоры об увеличении им заработной платы, считая начальным сроком этого увеличения нередко март–июнь 1916 года. Местные же власти бездействуют и не принимают никаких мер противодействия царящей дезорганизации. При таких условиях промышленники принуждены будут отказаться от дальнейшего ведения дела, что равносильно разорению страны и отказу от снабжения армии боевым снаряжением. Со своей стороны председательствующий П. И. Пальчинский, разделяя справедливость высказанных Н. Ф. фон Дитмаром соображений, указал, что им на днях будет представлен Временному Правительству доклад об угрожающем положении дела в Донецком бассейне. Разве возможно было ожидать даже значительного улучшения в добыче угля в этом бассейне, так как в апреле месяце сего года производительность добычи угля в Донецком каменноугольном бассейне была на 11 миллионов пудов больше прежнего года, но за последние месяцы положение резко ухудшилось, и в июне названный бассейн дал только половину обычной добычи. Это угрожающее явление находится в прямой зависимости от совершающихся событий, и несомненно, что многие из рабочих действуют по указанию партии большевиков. Подобное явление не может быть допустимым, так как в Донецком бассейне имеются 5–6 крупных рудников, на которых добывается до 30 % угля, расходуемого на всех фабриках и заводах, и прекращение работ на таких рудниках грозит русской промышленности. </w:t>
      </w:r>
    </w:p>
    <w:p w14:paraId="40637A1E"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Поэтому Особое Совещание со своей стороны должно довести до сведения Временного Правительства о необходимости принятия экстренных мер к восстановлению нормального хода работ в Донецком бассейне. Совещание соглашается с предложением Председательствующего и останавливается далее на обсуждении доклада образованной Особым Совещанием комиссии по выработке мероприятий к поднятию производительности заводов , имеющих особо важное значение для государственной обороны. Названная комиссия признала необходимым для означенных предприятий ввести некоторые исключительные меры, сводящиеся к нижеследующему: на заводы и предприятия, признанные Особым Совещанием по обороне исключительно важными для обороны государства, будут назначены Председателем Особого Совещания по обороне, по представлению начальников довольствующих учреждений, особые военноуполномоченные с широкими правами и компетенцией. На них будет возложено общее урегулирование взаимоотношений между рабочими, служащими и администрацией данного предприятия; в этих целях военноуполномоченный будет входить в рассмотрение всех вопросов, связанных с заработной платой, рабочим временем и производительностью труда; на него же возлагается также и разрешение всех недоразумений, возникающих на заводе между рабочими и администрацией. Кроме того, военноуполномоченный будет иметь право увольнять своею властью со службы рабочих, служащих и лиц низшей администрации, не исключая и входящих в состав заводского комитета, если пребывание их в предприятии будет признано им вредным; равным образом никакое увольнение с завода не может состояться без его ведома; относительно же действия лиц высшей администрации, признаваемых им неправильными, военноуполномоченный докладывает Председателю Особого Совещания по обороне. Вмешательство третейских, примирительных и иного рода учреждений не может приостанавливать или изменять распоряжений военноуполномоченного. Наконец, он имеет право в необходимых случаях прибегать к содействию военной силы и возбуждать судебное преследование против лиц, виновных в нарушении установленных законов. Кроме этих мер принудительного характера необходимо предписать лицам и учреждениям, ведающим снабжением промышленных предприятий, работающих на оборону, принять особые меры к преимущественному снабжению топливом, металлом и иными сырыми материалами тех заводов и фабрик, кои будут Особым Совещанием по обороне отнесены к разряду исключительно важных. Действие этих правил распространяется на следующие категории предприятий:</w:t>
      </w:r>
    </w:p>
    <w:p w14:paraId="43509E99"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w:t>
      </w:r>
      <w:r w:rsidRPr="002F2FDF">
        <w:rPr>
          <w:rFonts w:ascii="Times New Roman" w:hAnsi="Times New Roman" w:cs="Times New Roman"/>
          <w:color w:val="000000" w:themeColor="text1"/>
          <w:sz w:val="16"/>
          <w:szCs w:val="16"/>
          <w:highlight w:val="yellow"/>
        </w:rPr>
        <w:t>заводы, изготовляющие аэропланы</w:t>
      </w:r>
      <w:r w:rsidRPr="002F2FDF">
        <w:rPr>
          <w:rFonts w:ascii="Times New Roman" w:hAnsi="Times New Roman" w:cs="Times New Roman"/>
          <w:color w:val="000000" w:themeColor="text1"/>
          <w:sz w:val="16"/>
          <w:szCs w:val="16"/>
        </w:rPr>
        <w:t>, авиационные двигатели и принадлежности авиационного имущества;</w:t>
      </w:r>
    </w:p>
    <w:p w14:paraId="06E13B49"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заводы, изготовляющие, применяющие и хранящие взрывчатые вещества и порох, а равно и снаряжательные заводы и склады;</w:t>
      </w:r>
    </w:p>
    <w:p w14:paraId="09AC21FC"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3) заводы, изготовляющие противогазные респираторы. </w:t>
      </w:r>
    </w:p>
    <w:p w14:paraId="2BA07872"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Поименный список заводов составляется начальниками ведомств и учреждений и утверждается Председателем Особого Совещания по обороне государства. По поводу заслушанного доклада В. П. Литвинов-Фалинский указывает, что предлагаемые мероприятия — историческое развитие программ работ, которые осуществляются Особым Совещанием по обороне. В начале войны все заводы и предприятия были разделены на две категории: на работающие и не работающие на оборону. Однако война приняла затяжной характер, и ныне, по современным условиям, из первой из указанных категорий предприятий представляется необходимым выделить те из них, которые имеют исключительно важное значение для снабжения армии и флота. Мероприятия, выработанные комиссией по отношению к этим заводам, вполне приемлемы и оправдываются государственной необходимостью — обороной страны. Со своей стороны член Государственного Совета Н. Ф. фон Дитмар, признавая необходимость одобрения Особым Совещанием энергичных мер к поднятию производительности заводов, замечает, что военноуполномоченные должны ввиду недостатка в служебном персонале назначаться заведующими не отдельными заводами, а целыми группами предприятий. Независимо сего, необходимо, чтобы чины фабричной инспекции со своей стороны и при современных тяжелых условиях исполняли возложенные на них обязанности, а не проявляли замечающееся ныне полное бездействие власти. Кроме того, надлежит озаботиться, чтобы вновь назначаемые комиссары министерства труда в своей деятельности руководствовались началами законности, а не способствовали бы удовлетворению неправомерных и чрезмерных требований, заявляемых рабочими. Состояние промышленности — катастрофическое, и посему во избежание прекращения работ на оборону следует распространять предлагаемые комиссией мероприятия не только на перечисленные категории предприятий, но и на другие, к каковым в первую очередь надо отнести предприятия Донецкого каменноугольного бассейна, где положение внушает самое серьезное опасение. Председательствующий П. И. Пальчинский отмечает, что промышленники также не обнаружили достаточной стойкости в борьбе с царящей дезорганизацией и не приняли никаких решительных мер противодействия незакономерным требованиям рабочих. Промышленники по примеру рабочих должны сорганизоваться и только в этом случае возможно реальное соотношение сил. Власть может опираться лишь на организованные общественные круги, а не на отдельных лиц. До какой степени вызывается необходимость этой соорганизованности промышленности, видно из того, что в социалистических кругах и в Министерстве Труда возникло предположение о принудительном синдицировании промышленности , с чем раньше велась борьба. Что же касается деятельности вновь назначенных комиссаров Министерства Труда, то функции их определяются утвержденным Временным Правительством положением 11 июля 1917 года «о местных комиссарах Министерства Труда», и посему промышленники могут не исполнять требований названных комиссаров, выходящих за пределы предоставленных им полномочий. Обращаясь далее к рассмотрению представленных комиссиею предположений о принятии исключительных мер к поднятию производительности заводов, имеющих особо важное значение для государственной обороны, надлежит заметить, что эти мероприятия могут быть распространены и на другие отрасли промышленности, признанные необходимыми для обороны. Ныне же достаточно ограничиться принятием предложенного комиссией списка категорий предприятий, на которые распространяются упомянутые мероприятия. Засим, следует издать специальный закон, который предусматривал бы порчу оборудования предприятий, имеющих особо важное значение для обороны. Член Государственного Совета Н. Ф. фон Дитмар высказал, что промышленники не могут почитаться и до некоторой степени ответственными за разруху на заводах, так как нет никакой власти, которая могла бы заставить рабочих исполнять закономерные требования, предъявляемые к ним со стороны чинов заводской администрации. И если промышленность до сего времени еще не пришла в окончательный упадок, то лишь благодаря энергии руководящих промышленных кругов. Со своей стороны член Государственного Совета В. И. Гурко, разделяя мнение Н. Ф. фон Дитмара, указывает, что, под влиянием господствовавших идей, Правительство не шло навстречу промышленникам, а лишь удовлетворяло все требования рабочих. Затем Совещание перешло к постатейному чтению выработанных комиссией указанных правил и, по введении некоторых изменений, постановило внести их на рассмотрение Временного Правительства, а также довести до его сведения о необходимости издания специального закона, карающего с достаточной строгостью порчу оборудования предприятий, имеющих особо важное значение для обороны. Засим Совещание одобрило доклад комиссии для руководства делом пересмотра контрактов по поводу возбужденного морским ведомством вопроса о выдаче заказов частным заводам по себестоимости и, в заключение, избрало своим представителем в Особое Совещание по топливу члена Государственного Совета генерала от инфантерии А. А. Поливанова. </w:t>
      </w:r>
    </w:p>
    <w:p w14:paraId="46397439"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Подписи. </w:t>
      </w:r>
    </w:p>
    <w:p w14:paraId="252C7B23"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367CABAE"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По докладу подготовительной комиссии по артиллерийским вопросам об увеличении цен на тяжелые снаряды, 6” гаубицы и 3” полевые пушки, заказанные Пермским пушечным заводам: </w:t>
      </w:r>
    </w:p>
    <w:p w14:paraId="67D3145D"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открыть горному ведомству для названных заводов из военного фонда кредит на сумму не свыше двадцати миллионов (20 000 000) рублей в счет расходов по казенным заказам и </w:t>
      </w:r>
    </w:p>
    <w:p w14:paraId="27C1320B"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отложить рассмотрение вопроса об увеличении цен на упомянутые заказы впредь до выработки порядка разрешения этого вопроса соответствующими органами. </w:t>
      </w:r>
    </w:p>
    <w:p w14:paraId="39A985F2"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По докладу той же комиссии о выдаче секвестрованному заводу бр. Тильманс и Ко ссуды: </w:t>
      </w:r>
    </w:p>
    <w:p w14:paraId="3784665D"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отпустить в распоряжение управляющего заводом краткосрочную ссуду в размере трехсот тысяч (300 000) руб лей, на изложенных в докладе основаниях; </w:t>
      </w:r>
    </w:p>
    <w:p w14:paraId="6D57C244"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просить Московское заводское совещание произвести обследование этого завода и </w:t>
      </w:r>
    </w:p>
    <w:p w14:paraId="5AC4ABA7"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сообщить правлениям секвестрованных и находящихся в казенном управлении заводов, чтобы при возбуждении ходатайств о выдаче авансов или ссуд ими представлялись как финансовый план предприятий, так и соображения о дальнейшей их деятельности. </w:t>
      </w:r>
    </w:p>
    <w:p w14:paraId="45FA16BC"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3) Одобрить доклад той же комиссии о заказе акционерному обществу «Перун» кислорода, на упомянутых в докладе основаниях. </w:t>
      </w:r>
    </w:p>
    <w:p w14:paraId="264707CF"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4) Одобрить доклад той же комиссии о дополнительном заказе акционерному обществу Николаевских заводов и верфей 3-дм. шрапнелей, на основаниях, принятых комиссией. </w:t>
      </w:r>
    </w:p>
    <w:p w14:paraId="0E035E0E"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5) Довести до сведения Временного Правительства о необходимости принятия экстренных мер к восстановлению нормального хода работ в Донецком бассейне. </w:t>
      </w:r>
    </w:p>
    <w:p w14:paraId="323BE7FF"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6) По докладу образованной Особым Совещанием комиссии по выработке мероприятий к поднятию производительности заводов, имеющих особо важное значение для государственной обороны:</w:t>
      </w:r>
    </w:p>
    <w:p w14:paraId="3F400238"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внести на рассмотрение Временного Правительства выработанные комиссией правила, коим подчиняются на время войны упомянутые заводы, с принятыми в Совещании изменениями, и </w:t>
      </w:r>
    </w:p>
    <w:p w14:paraId="15A1FD5B"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довести до сведения Временного Правительства о необходимости издания специального закона, карающего с достаточной строгостью порчу оборудования предприятий, имеющих особо важное значение для обороны. </w:t>
      </w:r>
    </w:p>
    <w:p w14:paraId="02814BD4"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7) Одобрить доклад «комиссии для руководства делом пересмотра контрактов» по поводу возбужденного морским ведомством вопроса о выдаче заказов частным заводам по себестоимости. </w:t>
      </w:r>
    </w:p>
    <w:p w14:paraId="3546A73C"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8) Назначить, согласно избранию, представителем Особого Совещания в Особое Совещание по топливу генерала от инфантерии А. А. Поливанова. </w:t>
      </w:r>
    </w:p>
    <w:p w14:paraId="728A6A82"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Верно: управляющий делами генерал-лейтенант Бабиков (20459). </w:t>
      </w:r>
    </w:p>
    <w:p w14:paraId="4324F988" w14:textId="77777777" w:rsidR="004F30FB" w:rsidRPr="002F2FDF" w:rsidRDefault="004F30FB" w:rsidP="0083075A">
      <w:pPr>
        <w:spacing w:after="0" w:line="240" w:lineRule="auto"/>
        <w:jc w:val="both"/>
        <w:rPr>
          <w:rFonts w:ascii="Times New Roman" w:hAnsi="Times New Roman" w:cs="Times New Roman"/>
          <w:color w:val="000000" w:themeColor="text1"/>
          <w:sz w:val="16"/>
          <w:szCs w:val="16"/>
        </w:rPr>
      </w:pPr>
    </w:p>
    <w:p w14:paraId="4E8D4FE1" w14:textId="77777777" w:rsidR="009042DF"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1E3E464E" w14:textId="77777777" w:rsidR="009042DF" w:rsidRPr="002F2FDF" w:rsidRDefault="009042D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1BD076"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июня (2 июля) 1917 г. Рапорт и. о. окружного инженера Макеевского горного округа Б. В. Белавенцева Горному департаменту о падении добычи угля на шахтах округа в январе—июне 1917 г.</w:t>
      </w:r>
    </w:p>
    <w:p w14:paraId="04192C91"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49-52</w:t>
      </w:r>
    </w:p>
    <w:p w14:paraId="54CF6727"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37, от. 58, д. 883, лл. 28—29. Подлинник.</w:t>
      </w:r>
    </w:p>
    <w:p w14:paraId="33B53104"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Настоящим имею честь сообщить нижеследующие сведения о ходе добычи по Макеевскому горному округу за первые шесть месяцев этого года: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1604"/>
        <w:gridCol w:w="635"/>
      </w:tblGrid>
      <w:tr w:rsidR="002B1C74" w:rsidRPr="002F2FDF" w14:paraId="70DD6ADA"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2624DE"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13E40"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Предположено добыть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E02C7"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Добыто</w:t>
            </w:r>
          </w:p>
        </w:tc>
      </w:tr>
      <w:tr w:rsidR="002B1C74" w:rsidRPr="002F2FDF" w14:paraId="6E4AA876"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590FDF"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2E6C1"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7470000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B66FD"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7500000</w:t>
            </w:r>
          </w:p>
        </w:tc>
      </w:tr>
      <w:tr w:rsidR="002B1C74" w:rsidRPr="002F2FDF" w14:paraId="07E4AA07"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2DABAE"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012F2"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6700000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3947F"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6825000</w:t>
            </w:r>
          </w:p>
        </w:tc>
      </w:tr>
      <w:tr w:rsidR="002B1C74" w:rsidRPr="002F2FDF" w14:paraId="22F4D3BA"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5B7282"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4C642"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8460000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6B46E"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7800000</w:t>
            </w:r>
          </w:p>
        </w:tc>
      </w:tr>
      <w:tr w:rsidR="002B1C74" w:rsidRPr="002F2FDF" w14:paraId="6E648FBB"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6B5266"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4E601"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5440000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86AC2"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6490000</w:t>
            </w:r>
          </w:p>
        </w:tc>
      </w:tr>
      <w:tr w:rsidR="002B1C74" w:rsidRPr="002F2FDF" w14:paraId="311EE67E"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EAF17F"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F52A8"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6300000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2AF60"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6060000</w:t>
            </w:r>
          </w:p>
        </w:tc>
      </w:tr>
      <w:tr w:rsidR="002B1C74" w:rsidRPr="002F2FDF" w14:paraId="796E4446"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7D49D7"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67D52"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5800000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27FD2"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6000000</w:t>
            </w:r>
          </w:p>
        </w:tc>
      </w:tr>
    </w:tbl>
    <w:p w14:paraId="163E18FC"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этой таблицы следует, что добыча за апрель по сравнению с мартом понизилась на 1310 тыс. пуд., за май по сравнению с апрелем на 430 тыс. пуд. В июне, по имеющимся уже данным, добыча будет такая же, как в мае, и повышения не даст.</w:t>
      </w:r>
    </w:p>
    <w:p w14:paraId="67513038"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указанных месяцев наибольшая добыча падает на март, но, принимая во внимание, что март наиболее полный месяц ввиду отсутствия праздников, приходится признать, что за этот месяц добыча также понизилась и не достигла той величины, какой могла бы достигнуть. Это видно также из того, что за этот месяц было предположено добыть 8460 тыс. пуд., т. е. на этот месяц возлагались большие надежды. Предполагаемая же добыча рудниками обычно указывается верно, как это видно по всем месяцам, кроме марта. Число рабочих в районе в январе, феврале и марте было в среднем 13 100 чел., в апреле, мае и июне — 12 500, т. е. понизилось всего на 600 чел., тогда как добыча понизилась на 1800 тыс. пуд. Таким образом, констатируя понижение добычи и притом регулярное по месяцам, приходится признать, что это понижение не соответствует понижению числа людей, а значительно больше и превосходит всякую пропорцию.</w:t>
      </w:r>
    </w:p>
    <w:p w14:paraId="30B3C8C9"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Такое же понижение добычи наблюдается в северной части Кальмиусского горного округа, находящейся в моем ведении.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1071"/>
        <w:gridCol w:w="635"/>
      </w:tblGrid>
      <w:tr w:rsidR="002B1C74" w:rsidRPr="002F2FDF" w14:paraId="205F824E"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2A84D5"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6D9F7"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Предположено</w:t>
            </w:r>
          </w:p>
          <w:p w14:paraId="01549281"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[добыть]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51410"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Добыто</w:t>
            </w:r>
          </w:p>
        </w:tc>
      </w:tr>
      <w:tr w:rsidR="002B1C74" w:rsidRPr="002F2FDF" w14:paraId="2F99ED86"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16BD2C"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4001E"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5975000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5206E"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6229000</w:t>
            </w:r>
          </w:p>
        </w:tc>
      </w:tr>
      <w:tr w:rsidR="002B1C74" w:rsidRPr="002F2FDF" w14:paraId="1D7C85F0"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3A0067"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E3747"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5140000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B59B0"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5592000</w:t>
            </w:r>
          </w:p>
        </w:tc>
      </w:tr>
      <w:tr w:rsidR="002B1C74" w:rsidRPr="002F2FDF" w14:paraId="26B3AA9F"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2B093A"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DC307"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6290000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F8590"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6052000</w:t>
            </w:r>
          </w:p>
        </w:tc>
      </w:tr>
      <w:tr w:rsidR="002B1C74" w:rsidRPr="002F2FDF" w14:paraId="13358B70"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A57046"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11774"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4020000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D97CD"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4655000</w:t>
            </w:r>
          </w:p>
        </w:tc>
      </w:tr>
      <w:tr w:rsidR="002B1C74" w:rsidRPr="002F2FDF" w14:paraId="087FEF5A"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32F3C0"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DB8BC"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5395000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4CFAC"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4646000</w:t>
            </w:r>
          </w:p>
        </w:tc>
      </w:tr>
      <w:tr w:rsidR="002B1C74" w:rsidRPr="002F2FDF" w14:paraId="0CDD2EAC"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0DF888"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45305"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5293000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1C9F3"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4800000</w:t>
            </w:r>
          </w:p>
        </w:tc>
      </w:tr>
    </w:tbl>
    <w:p w14:paraId="1C54233A"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этом надо заметить, что рудники, учитывая обстановку, в которой теперь приходится работать, предполагают значительно меньше того, что могут дать, но действительность дает еще более плохие результаты. Соответственно понижению добычи падает отправка угля. Именно: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1305"/>
        <w:gridCol w:w="2186"/>
      </w:tblGrid>
      <w:tr w:rsidR="002B1C74" w:rsidRPr="002F2FDF" w14:paraId="434C6BCE"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D81806"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E819D"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Макеевский округ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F18F0"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Северная часть Кальмиусского</w:t>
            </w:r>
          </w:p>
        </w:tc>
      </w:tr>
      <w:tr w:rsidR="002B1C74" w:rsidRPr="002F2FDF" w14:paraId="1049E482"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D095A6"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9FD04"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C31A9"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4092000</w:t>
            </w:r>
          </w:p>
        </w:tc>
      </w:tr>
      <w:tr w:rsidR="002B1C74" w:rsidRPr="002F2FDF" w14:paraId="33B6A48C"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D006F8"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85DB1"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F240B"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2971000</w:t>
            </w:r>
          </w:p>
        </w:tc>
      </w:tr>
      <w:tr w:rsidR="002B1C74" w:rsidRPr="002F2FDF" w14:paraId="09B9C12A"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D34D94"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3DB84"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92C00"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3909000</w:t>
            </w:r>
          </w:p>
        </w:tc>
      </w:tr>
      <w:tr w:rsidR="002B1C74" w:rsidRPr="002F2FDF" w14:paraId="7F0D3261"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340E79"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C03DD"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3080000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CE8D5"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2938000</w:t>
            </w:r>
          </w:p>
        </w:tc>
      </w:tr>
      <w:tr w:rsidR="002B1C74" w:rsidRPr="002F2FDF" w14:paraId="6681A288"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52AEF2"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E4F8E"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EEC07"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2533000</w:t>
            </w:r>
          </w:p>
        </w:tc>
      </w:tr>
    </w:tbl>
    <w:p w14:paraId="16451B05"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улучшение добычи и отправки в ближайшем будущем рассчитывать совершенно не приходится и более того — больше оснований имеется ожидать дальнейшего понижения, и будет хорошо, если добыча останется на существующей теперь, хотя и весьма пониженной, высоте. Такое понижение нельзя объяснить уменьшением подготовки, так как она почти не изменилась и не могла измениться значительно за два-три месяца. Нельзя также объяснить это явление ухудшением технической части предприятий. Если эта последняя была слаба вообще, то за два месяца она не|могла прпйти в такое состояние, чтобы могла колебать добычу.</w:t>
      </w:r>
    </w:p>
    <w:p w14:paraId="742A3999"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Это падение добычи можно объяснить нижеследующим: уменьшением числа выходов рабочих на работу, в частности в настоящее время почти прекратились выходы под праздник и после праздника, хотя ранее они п были. Понижением производительности рабочих, отвлечением рабочих на съезды и общественною службою их в Советах, съездах, комиссиях и комитетах, частые собрания рабочих для выборов и для обсужденияхвоих нужд.</w:t>
      </w:r>
    </w:p>
    <w:p w14:paraId="12F097EC"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 касается лиц технического персонала, т. е. руководителей предприятий, то приходится констатировать, что интерес их к ведению дела значительно ослаб, работу свою они производят не с тою энергиею и на нее затрачивают не то количество времени, знаний и труда, какое могли бы затратить, благодаря тому главным образом, что они весьма часто отвлекаются от своих прямых обязанностей разными требованиями рабочих, и еще потому, что ни один из них не уверен в прочности своего существования на данном предприятии ввиду бывшего целого ряда смещений лиц. технического персонала по требованию рабочих. Так, не считая лиц низшей администрации, в Макеевском горном округе смещены заведующий шахтою «Иван» об-ва «Унион» инж. Пржебышевский, заведующий шахтою «Капитальная» того же об-ва инж. Колаковский (обе шахты III категории по газу), заведующему шахтою «Ломбардо» штейгеру Бабкову предложено в 2-недельный срок оставить рудник. Такое же требование было предъявлено рабочими заведующему шахтою Щегловка штейгеру Липову, который, впрочем, остался после разбора дела в примирительной камере. Удалены также заведующий строительной частью об-ва «Унион»-Образцов и заведующий техническою частью Пешванов.</w:t>
      </w:r>
    </w:p>
    <w:p w14:paraId="3300FD98"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северной части Кальмиусского округа удалены по требованию рабочих управляющий Рыковским рудником инж. Стецкий, управляющий Берестово-Богодуховским рудником инж. Шадлун, заведующий Богодухово-Ларинским рудником штейгер Зверюга, была сделана попытка: удаления управляющего рудником «Александровская Гора» инж. Калина.</w:t>
      </w:r>
    </w:p>
    <w:p w14:paraId="480D8749"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Всякого рода обыски, произведенные по инициативе рабочих у заведующих цехами и имевшие место на многих рудниках, всякого рода ультимативные требования, вмешательства в технические распоряжения постепенно сводят к нулю влияние руководителей и способствуют падении дисциплины. Вмешательство в условия жизни п оплаты труда военнопленных действуют разлагающе и на этих последних, результатом чего начались усиленные побеги военнопленных с места работ. Так, в северной части Кальмиусского округа военнопленных было: в январе — 4142,. в феврале — 3991, в марте — 3945, в апреле — 3639, в мае — 3523 и в июне — 3470.</w:t>
      </w:r>
    </w:p>
    <w:p w14:paraId="4A0BD7E8"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указанные явления, конечно, не могут способствовать увеличению добычи, но, кроме того, создают серьезную угрозу самому существованию, предприятий, особенно газовых и опасных по пыли, так как лиц, провинившихся в исполнениях правил внутреннего распорядка и правил безопасности, не бывает возможным подвергнуть дисциплинарным взысканиям.</w:t>
      </w:r>
    </w:p>
    <w:p w14:paraId="4366B7B2"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Вследствие требований рабочих о повышении заработной платы и частичного их удовлетворения себестоимость угля значительно повысилась и превзошла предельные цены на пуд угля, вследствие чего, помимо всего прочего, перед рудниками очень остро встал финансовый вопрос и многие, если не все, предприятия через месяц, самое большое через два, не будут уже в состоянии произвести уплату заработной платы.</w:t>
      </w:r>
    </w:p>
    <w:p w14:paraId="56A20E64"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Оставшись недовольными прибавкою, сделанною рудниками на основании постановлений Харьковской конференции от 29 марта</w:t>
      </w:r>
      <w:hyperlink r:id="rId259" w:anchor="_ftn1" w:history="1">
        <w:r w:rsidRPr="002F2FDF">
          <w:rPr>
            <w:rFonts w:ascii="Times New Roman" w:hAnsi="Times New Roman" w:cs="Times New Roman"/>
            <w:color w:val="000000" w:themeColor="text1"/>
            <w:kern w:val="2"/>
            <w:sz w:val="16"/>
            <w:szCs w:val="16"/>
          </w:rPr>
          <w:t>[1]</w:t>
        </w:r>
      </w:hyperlink>
      <w:r w:rsidRPr="002F2FDF">
        <w:rPr>
          <w:rFonts w:ascii="Times New Roman" w:hAnsi="Times New Roman" w:cs="Times New Roman"/>
          <w:color w:val="000000" w:themeColor="text1"/>
          <w:kern w:val="2"/>
          <w:sz w:val="16"/>
          <w:szCs w:val="16"/>
        </w:rPr>
        <w:t>, и не дожидаясь результатов, которые даст комиссия, образованная Временным правительством для выяснения себестоимости угля и долженствующая начать свои работы с 5 июня</w:t>
      </w:r>
      <w:hyperlink r:id="rId260" w:anchor="_ftn2" w:history="1">
        <w:r w:rsidRPr="002F2FDF">
          <w:rPr>
            <w:rFonts w:ascii="Times New Roman" w:hAnsi="Times New Roman" w:cs="Times New Roman"/>
            <w:color w:val="000000" w:themeColor="text1"/>
            <w:kern w:val="2"/>
            <w:sz w:val="16"/>
            <w:szCs w:val="16"/>
          </w:rPr>
          <w:t>[2]</w:t>
        </w:r>
      </w:hyperlink>
      <w:r w:rsidRPr="002F2FDF">
        <w:rPr>
          <w:rFonts w:ascii="Times New Roman" w:hAnsi="Times New Roman" w:cs="Times New Roman"/>
          <w:color w:val="000000" w:themeColor="text1"/>
          <w:kern w:val="2"/>
          <w:sz w:val="16"/>
          <w:szCs w:val="16"/>
        </w:rPr>
        <w:t>, рабочими некоторых рудников был поднят вопрос о повышении заработной платы за 1916 г. и о немедленной уплате этой разницы.</w:t>
      </w:r>
    </w:p>
    <w:p w14:paraId="220EED4B"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исполнение этого 7 июня на Рыковском руднике рабочими было предъявлено требование к дирекции Екатериновского об-ва уплатить 20% за 1916 г. Директору об-ва, протестовавшему против этой надбавки, было заявлено, что он не будет выпущен из собрания и будет арестован, если немедленно не даст своего согласия на прибавку. Просьба директора указать в протоколе собрания, что он подписывает под давлением большинства, собранием не была уважена.</w:t>
      </w:r>
    </w:p>
    <w:p w14:paraId="31B21D5B"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основании этой прибавки и основываясь на ней рабочими Берестовского рудника Об-ва Сулинского завода было предъявлено к администрации рудника требование об уплате 50% с 1 марта 1916 г. по 1 марта с. г. Предъявления таких требований надо ожидать и на следующих рудниках.</w:t>
      </w:r>
    </w:p>
    <w:p w14:paraId="191CEE00"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Считая своим долгом сообщить вышеизложенное, полагаю, что дальнейшее промедление в устроении рабочего вопроса поведет к катастрофе.</w:t>
      </w:r>
    </w:p>
    <w:p w14:paraId="05E3237C"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Необходимо скорейшее урегулирование этого вопроса, введение его в рамки законности и главнейшее — урегулирование вопроса о компетентности местных рабочих организаций и о пределах этой компетентности, чтобы эти организации являлись представительными органами для управлений предприятий, распорядительными для рабочих, но не вмешивались в дела управления предприятиями и в технические распоряжения лиц администрации.</w:t>
      </w:r>
    </w:p>
    <w:p w14:paraId="75D50956"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Это важнейшее условие повлечет за собою порядок, который создаст и нормальные условия работ.</w:t>
      </w:r>
    </w:p>
    <w:p w14:paraId="08D4186A"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 о. окружной инженер Макеевского горного округа Белавенцев.</w:t>
      </w:r>
    </w:p>
    <w:p w14:paraId="4BB94AD6" w14:textId="77777777" w:rsidR="009042DF"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261" w:anchor="_ftnref1" w:history="1">
        <w:r w:rsidR="009042DF" w:rsidRPr="002F2FDF">
          <w:rPr>
            <w:rFonts w:ascii="Times New Roman" w:hAnsi="Times New Roman" w:cs="Times New Roman"/>
            <w:color w:val="000000" w:themeColor="text1"/>
            <w:kern w:val="2"/>
            <w:sz w:val="16"/>
            <w:szCs w:val="16"/>
          </w:rPr>
          <w:t>[1]</w:t>
        </w:r>
      </w:hyperlink>
      <w:r w:rsidR="009042DF" w:rsidRPr="002F2FDF">
        <w:rPr>
          <w:rFonts w:ascii="Times New Roman" w:hAnsi="Times New Roman" w:cs="Times New Roman"/>
          <w:color w:val="000000" w:themeColor="text1"/>
          <w:kern w:val="2"/>
          <w:sz w:val="16"/>
          <w:szCs w:val="16"/>
        </w:rPr>
        <w:t xml:space="preserve"> См. прим 1937 вышел приказ НКОП № 190</w:t>
      </w:r>
    </w:p>
    <w:p w14:paraId="1E78D3A7" w14:textId="77777777" w:rsidR="009042DF"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262" w:anchor="_ftnref2" w:history="1">
        <w:r w:rsidR="009042DF" w:rsidRPr="002F2FDF">
          <w:rPr>
            <w:rFonts w:ascii="Times New Roman" w:hAnsi="Times New Roman" w:cs="Times New Roman"/>
            <w:color w:val="000000" w:themeColor="text1"/>
            <w:kern w:val="2"/>
            <w:sz w:val="16"/>
            <w:szCs w:val="16"/>
          </w:rPr>
          <w:t>[2]</w:t>
        </w:r>
      </w:hyperlink>
      <w:r w:rsidR="009042DF" w:rsidRPr="002F2FDF">
        <w:rPr>
          <w:rFonts w:ascii="Times New Roman" w:hAnsi="Times New Roman" w:cs="Times New Roman"/>
          <w:color w:val="000000" w:themeColor="text1"/>
          <w:kern w:val="2"/>
          <w:sz w:val="16"/>
          <w:szCs w:val="16"/>
        </w:rPr>
        <w:t xml:space="preserve"> Речь идет, повидимому, о следственно-технической комиссии Временного правительства под председательством И. Ф. Сипайло по обследованию условий труда и себестоимости производства, приступившей к работе 15 июня 1917 г. См. прим 1937 вышел приказ НКОП № 707 (15707).</w:t>
      </w:r>
    </w:p>
    <w:p w14:paraId="1C5C7454"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p>
    <w:p w14:paraId="21E7790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81A07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AF3D3C" w14:textId="77777777" w:rsidR="000F43BC" w:rsidRPr="002F2FDF" w:rsidRDefault="000F43BC" w:rsidP="0083075A">
      <w:pPr>
        <w:pStyle w:val="83"/>
        <w:shd w:val="clear" w:color="auto" w:fill="auto"/>
        <w:spacing w:after="0" w:line="240" w:lineRule="auto"/>
        <w:ind w:firstLine="0"/>
        <w:jc w:val="both"/>
        <w:rPr>
          <w:rFonts w:ascii="Times New Roman" w:hAnsi="Times New Roman"/>
          <w:color w:val="000000" w:themeColor="text1"/>
          <w:kern w:val="2"/>
          <w:sz w:val="16"/>
          <w:szCs w:val="16"/>
        </w:rPr>
      </w:pPr>
      <w:r w:rsidRPr="002F2FDF">
        <w:rPr>
          <w:rFonts w:ascii="Times New Roman" w:hAnsi="Times New Roman"/>
          <w:color w:val="000000" w:themeColor="text1"/>
          <w:kern w:val="2"/>
          <w:sz w:val="16"/>
          <w:szCs w:val="16"/>
        </w:rPr>
        <w:t xml:space="preserve">19 июня </w:t>
      </w:r>
      <w:r w:rsidR="00BA5C59" w:rsidRPr="002F2FDF">
        <w:rPr>
          <w:rFonts w:ascii="Times New Roman" w:hAnsi="Times New Roman"/>
          <w:color w:val="000000" w:themeColor="text1"/>
          <w:kern w:val="2"/>
          <w:sz w:val="16"/>
          <w:szCs w:val="16"/>
        </w:rPr>
        <w:t xml:space="preserve">(2 июля) </w:t>
      </w:r>
      <w:r w:rsidRPr="002F2FDF">
        <w:rPr>
          <w:rFonts w:ascii="Times New Roman" w:hAnsi="Times New Roman"/>
          <w:color w:val="000000" w:themeColor="text1"/>
          <w:kern w:val="2"/>
          <w:sz w:val="16"/>
          <w:szCs w:val="16"/>
        </w:rPr>
        <w:t>1917 г. погиб на</w:t>
      </w:r>
      <w:r w:rsidRPr="002F2FDF">
        <w:rPr>
          <w:rFonts w:ascii="Times New Roman" w:hAnsi="Times New Roman"/>
          <w:color w:val="000000" w:themeColor="text1"/>
          <w:kern w:val="2"/>
          <w:sz w:val="16"/>
          <w:szCs w:val="16"/>
        </w:rPr>
        <w:softHyphen/>
        <w:t>блюдатель Самгин, у которо</w:t>
      </w:r>
      <w:r w:rsidRPr="002F2FDF">
        <w:rPr>
          <w:rFonts w:ascii="Times New Roman" w:hAnsi="Times New Roman"/>
          <w:color w:val="000000" w:themeColor="text1"/>
          <w:kern w:val="2"/>
          <w:sz w:val="16"/>
          <w:szCs w:val="16"/>
        </w:rPr>
        <w:softHyphen/>
        <w:t>го парашют по какой-то при</w:t>
      </w:r>
      <w:r w:rsidRPr="002F2FDF">
        <w:rPr>
          <w:rFonts w:ascii="Times New Roman" w:hAnsi="Times New Roman"/>
          <w:color w:val="000000" w:themeColor="text1"/>
          <w:kern w:val="2"/>
          <w:sz w:val="16"/>
          <w:szCs w:val="16"/>
        </w:rPr>
        <w:softHyphen/>
        <w:t>чине не раскрылся. Неделю спустя разбился штабс-капи</w:t>
      </w:r>
      <w:r w:rsidRPr="002F2FDF">
        <w:rPr>
          <w:rFonts w:ascii="Times New Roman" w:hAnsi="Times New Roman"/>
          <w:color w:val="000000" w:themeColor="text1"/>
          <w:kern w:val="2"/>
          <w:sz w:val="16"/>
          <w:szCs w:val="16"/>
        </w:rPr>
        <w:softHyphen/>
        <w:t>тан Некрасов, покинувший корзину аэростата слишком поздно, на высоте всего 40 м, и парашют просто не успел раскрыться. Погиб 6 июля командир 18-го ар</w:t>
      </w:r>
      <w:r w:rsidRPr="002F2FDF">
        <w:rPr>
          <w:rFonts w:ascii="Times New Roman" w:hAnsi="Times New Roman"/>
          <w:color w:val="000000" w:themeColor="text1"/>
          <w:kern w:val="2"/>
          <w:sz w:val="16"/>
          <w:szCs w:val="16"/>
        </w:rPr>
        <w:softHyphen/>
        <w:t>мейского воздухоплавательно</w:t>
      </w:r>
      <w:r w:rsidRPr="002F2FDF">
        <w:rPr>
          <w:rFonts w:ascii="Times New Roman" w:hAnsi="Times New Roman"/>
          <w:color w:val="000000" w:themeColor="text1"/>
          <w:kern w:val="2"/>
          <w:sz w:val="16"/>
          <w:szCs w:val="16"/>
        </w:rPr>
        <w:softHyphen/>
        <w:t>го отряда Бонет, парашют ко</w:t>
      </w:r>
      <w:r w:rsidRPr="002F2FDF">
        <w:rPr>
          <w:rFonts w:ascii="Times New Roman" w:hAnsi="Times New Roman"/>
          <w:color w:val="000000" w:themeColor="text1"/>
          <w:kern w:val="2"/>
          <w:sz w:val="16"/>
          <w:szCs w:val="16"/>
        </w:rPr>
        <w:softHyphen/>
        <w:t>торого был подожжен пода</w:t>
      </w:r>
      <w:r w:rsidRPr="002F2FDF">
        <w:rPr>
          <w:rFonts w:ascii="Times New Roman" w:hAnsi="Times New Roman"/>
          <w:color w:val="000000" w:themeColor="text1"/>
          <w:kern w:val="2"/>
          <w:sz w:val="16"/>
          <w:szCs w:val="16"/>
        </w:rPr>
        <w:softHyphen/>
        <w:t>ющим горящим аэростатом. Всего за время Первой миро</w:t>
      </w:r>
      <w:r w:rsidRPr="002F2FDF">
        <w:rPr>
          <w:rFonts w:ascii="Times New Roman" w:hAnsi="Times New Roman"/>
          <w:color w:val="000000" w:themeColor="text1"/>
          <w:kern w:val="2"/>
          <w:sz w:val="16"/>
          <w:szCs w:val="16"/>
        </w:rPr>
        <w:softHyphen/>
        <w:t>вой войны погибли, прыгая с парашютом Жюкмеса, восемь русских воздухоплавателей. Два из них прыгали доброволь</w:t>
      </w:r>
      <w:r w:rsidRPr="002F2FDF">
        <w:rPr>
          <w:rFonts w:ascii="Times New Roman" w:hAnsi="Times New Roman"/>
          <w:color w:val="000000" w:themeColor="text1"/>
          <w:kern w:val="2"/>
          <w:sz w:val="16"/>
          <w:szCs w:val="16"/>
        </w:rPr>
        <w:softHyphen/>
        <w:t>но, для испытаний. И все-таки эти трагические происшествия не могли подо</w:t>
      </w:r>
      <w:r w:rsidRPr="002F2FDF">
        <w:rPr>
          <w:rFonts w:ascii="Times New Roman" w:hAnsi="Times New Roman"/>
          <w:color w:val="000000" w:themeColor="text1"/>
          <w:kern w:val="2"/>
          <w:sz w:val="16"/>
          <w:szCs w:val="16"/>
        </w:rPr>
        <w:softHyphen/>
        <w:t>рвать веру в парашют, «пос</w:t>
      </w:r>
      <w:r w:rsidRPr="002F2FDF">
        <w:rPr>
          <w:rFonts w:ascii="Times New Roman" w:hAnsi="Times New Roman"/>
          <w:color w:val="000000" w:themeColor="text1"/>
          <w:kern w:val="2"/>
          <w:sz w:val="16"/>
          <w:szCs w:val="16"/>
        </w:rPr>
        <w:softHyphen/>
        <w:t>леднюю надежду воздухопла</w:t>
      </w:r>
      <w:r w:rsidRPr="002F2FDF">
        <w:rPr>
          <w:rFonts w:ascii="Times New Roman" w:hAnsi="Times New Roman"/>
          <w:color w:val="000000" w:themeColor="text1"/>
          <w:kern w:val="2"/>
          <w:sz w:val="16"/>
          <w:szCs w:val="16"/>
        </w:rPr>
        <w:softHyphen/>
        <w:t>вателя». Ведь если посмотреть внимательно, то большей час</w:t>
      </w:r>
      <w:r w:rsidRPr="002F2FDF">
        <w:rPr>
          <w:rFonts w:ascii="Times New Roman" w:hAnsi="Times New Roman"/>
          <w:color w:val="000000" w:themeColor="text1"/>
          <w:kern w:val="2"/>
          <w:sz w:val="16"/>
          <w:szCs w:val="16"/>
        </w:rPr>
        <w:softHyphen/>
        <w:t>тью причиной катастроф был не сам парашют, а не</w:t>
      </w:r>
      <w:r w:rsidRPr="002F2FDF">
        <w:rPr>
          <w:rFonts w:ascii="Times New Roman" w:hAnsi="Times New Roman"/>
          <w:color w:val="000000" w:themeColor="text1"/>
          <w:kern w:val="2"/>
          <w:sz w:val="16"/>
          <w:szCs w:val="16"/>
        </w:rPr>
        <w:softHyphen/>
        <w:t>умелое им пользование, ошиб</w:t>
      </w:r>
      <w:r w:rsidRPr="002F2FDF">
        <w:rPr>
          <w:rFonts w:ascii="Times New Roman" w:hAnsi="Times New Roman"/>
          <w:color w:val="000000" w:themeColor="text1"/>
          <w:kern w:val="2"/>
          <w:sz w:val="16"/>
          <w:szCs w:val="16"/>
        </w:rPr>
        <w:softHyphen/>
        <w:t>ки воздухоплавателей или ро</w:t>
      </w:r>
      <w:r w:rsidRPr="002F2FDF">
        <w:rPr>
          <w:rFonts w:ascii="Times New Roman" w:hAnsi="Times New Roman"/>
          <w:color w:val="000000" w:themeColor="text1"/>
          <w:kern w:val="2"/>
          <w:sz w:val="16"/>
          <w:szCs w:val="16"/>
        </w:rPr>
        <w:softHyphen/>
        <w:t>ковое стечение обстоятельств. Подсчитано, что до октября 1917 г. русские воздухопла</w:t>
      </w:r>
      <w:r w:rsidRPr="002F2FDF">
        <w:rPr>
          <w:rFonts w:ascii="Times New Roman" w:hAnsi="Times New Roman"/>
          <w:color w:val="000000" w:themeColor="text1"/>
          <w:kern w:val="2"/>
          <w:sz w:val="16"/>
          <w:szCs w:val="16"/>
        </w:rPr>
        <w:softHyphen/>
        <w:t>ватели привязных аэростатов совершили 65 парашютных прыжков. Из них пять — с па</w:t>
      </w:r>
      <w:r w:rsidRPr="002F2FDF">
        <w:rPr>
          <w:rFonts w:ascii="Times New Roman" w:hAnsi="Times New Roman"/>
          <w:color w:val="000000" w:themeColor="text1"/>
          <w:kern w:val="2"/>
          <w:sz w:val="16"/>
          <w:szCs w:val="16"/>
        </w:rPr>
        <w:softHyphen/>
        <w:t>рашютом Котельникова, ос</w:t>
      </w:r>
      <w:r w:rsidRPr="002F2FDF">
        <w:rPr>
          <w:rFonts w:ascii="Times New Roman" w:hAnsi="Times New Roman"/>
          <w:color w:val="000000" w:themeColor="text1"/>
          <w:kern w:val="2"/>
          <w:sz w:val="16"/>
          <w:szCs w:val="16"/>
        </w:rPr>
        <w:softHyphen/>
        <w:t>тальные — с жюкмесовским (12120).</w:t>
      </w:r>
    </w:p>
    <w:p w14:paraId="42CCDF5E" w14:textId="77777777" w:rsidR="000F43BC" w:rsidRPr="002F2FDF" w:rsidRDefault="000F43BC" w:rsidP="0083075A">
      <w:pPr>
        <w:spacing w:after="0" w:line="240" w:lineRule="auto"/>
        <w:jc w:val="both"/>
        <w:rPr>
          <w:rFonts w:ascii="Times New Roman" w:hAnsi="Times New Roman" w:cs="Times New Roman"/>
          <w:color w:val="000000" w:themeColor="text1"/>
          <w:kern w:val="2"/>
          <w:sz w:val="16"/>
          <w:szCs w:val="16"/>
        </w:rPr>
      </w:pPr>
    </w:p>
    <w:p w14:paraId="48A1F8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 июня </w:t>
      </w:r>
      <w:r w:rsidR="00BA5C59" w:rsidRPr="002F2FDF">
        <w:rPr>
          <w:rFonts w:ascii="Times New Roman" w:hAnsi="Times New Roman" w:cs="Times New Roman"/>
          <w:color w:val="000000" w:themeColor="text1"/>
          <w:kern w:val="2"/>
          <w:sz w:val="16"/>
          <w:szCs w:val="16"/>
        </w:rPr>
        <w:t xml:space="preserve">(2 июля) </w:t>
      </w:r>
      <w:r w:rsidRPr="002F2FDF">
        <w:rPr>
          <w:rFonts w:ascii="Times New Roman" w:hAnsi="Times New Roman" w:cs="Times New Roman"/>
          <w:color w:val="000000" w:themeColor="text1"/>
          <w:kern w:val="2"/>
          <w:sz w:val="16"/>
          <w:szCs w:val="16"/>
        </w:rPr>
        <w:t>1917 в 15:20 командир 7 сибирского ао ш-к Шноор и н п/п Куликовский в р-не м. Вишнево были атакованы на Анадэ и в коротком бою сбиты (5151, 11).</w:t>
      </w:r>
    </w:p>
    <w:p w14:paraId="08BFBC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AB7CC1"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19 июня (2 июля) </w:t>
      </w:r>
      <w:r w:rsidRPr="002F2FDF">
        <w:rPr>
          <w:rFonts w:ascii="Times New Roman" w:hAnsi="Times New Roman" w:cs="Times New Roman"/>
          <w:color w:val="000000" w:themeColor="text1"/>
          <w:kern w:val="2"/>
          <w:sz w:val="16"/>
          <w:szCs w:val="16"/>
        </w:rPr>
        <w:t>в 1917 году в 15 ч 20 мин командир 7-го Сибирского авиационного отряда военный летчик штабс-капитан Шноор и летнаб подпоручик Куликовский в районе мемтечка Вишнево атакованы неприятельским самолетом и после короткого боя сбиты и упали в нашем расположении - разбились насмерть. Возвращались с разведки преследуемые немецким истребителем. При подходе к нашим линиям, под огнем истребителя перешли в крутое пикирование, на высоте 500-600 м отлетело крыло и аппарат разбился, летчики погибли (14927).</w:t>
      </w:r>
    </w:p>
    <w:p w14:paraId="53DDE0F0"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p>
    <w:p w14:paraId="020B357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30E43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439D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июня (2 июля) 1917 после насильственного освобождения анархистами-коммунистами из тюрьмы своих товарищей, по приказу Временного правительства была захвачена резиденция анархистов и произведены аресты (3908,259).</w:t>
      </w:r>
    </w:p>
    <w:p w14:paraId="1E0E3B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15137A" w14:textId="68E4C43C" w:rsidR="00597FF8" w:rsidRPr="002F2FDF" w:rsidRDefault="00597FF8" w:rsidP="0083075A">
      <w:pPr>
        <w:pStyle w:val="ae"/>
        <w:spacing w:before="0" w:after="0"/>
        <w:jc w:val="both"/>
        <w:rPr>
          <w:color w:val="000000" w:themeColor="text1"/>
          <w:kern w:val="2"/>
          <w:sz w:val="16"/>
          <w:szCs w:val="16"/>
        </w:rPr>
      </w:pPr>
      <w:r w:rsidRPr="002F2FDF">
        <w:rPr>
          <w:color w:val="000000" w:themeColor="text1"/>
          <w:kern w:val="2"/>
          <w:sz w:val="16"/>
          <w:szCs w:val="16"/>
        </w:rPr>
        <w:t>19</w:t>
      </w:r>
      <w:r w:rsidR="00E52569">
        <w:rPr>
          <w:color w:val="000000" w:themeColor="text1"/>
          <w:kern w:val="2"/>
          <w:sz w:val="16"/>
          <w:szCs w:val="16"/>
        </w:rPr>
        <w:t xml:space="preserve"> </w:t>
      </w:r>
      <w:r w:rsidRPr="002F2FDF">
        <w:rPr>
          <w:color w:val="000000" w:themeColor="text1"/>
          <w:kern w:val="2"/>
          <w:sz w:val="16"/>
          <w:szCs w:val="16"/>
        </w:rPr>
        <w:t>июня</w:t>
      </w:r>
      <w:r w:rsidR="00E52569">
        <w:rPr>
          <w:color w:val="000000" w:themeColor="text1"/>
          <w:kern w:val="2"/>
          <w:sz w:val="16"/>
          <w:szCs w:val="16"/>
        </w:rPr>
        <w:t xml:space="preserve"> </w:t>
      </w:r>
      <w:r w:rsidRPr="002F2FDF">
        <w:rPr>
          <w:color w:val="000000" w:themeColor="text1"/>
          <w:kern w:val="2"/>
          <w:sz w:val="16"/>
          <w:szCs w:val="16"/>
        </w:rPr>
        <w:t>(</w:t>
      </w:r>
      <w:hyperlink r:id="rId263" w:tooltip="2 июля" w:history="1">
        <w:r w:rsidRPr="002F2FDF">
          <w:rPr>
            <w:rStyle w:val="a5"/>
            <w:color w:val="000000" w:themeColor="text1"/>
            <w:kern w:val="2"/>
            <w:sz w:val="16"/>
            <w:szCs w:val="16"/>
            <w:u w:val="none"/>
          </w:rPr>
          <w:t>2</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июля</w:t>
        </w:r>
      </w:hyperlink>
      <w:r w:rsidRPr="002F2FDF">
        <w:rPr>
          <w:color w:val="000000" w:themeColor="text1"/>
          <w:kern w:val="2"/>
          <w:sz w:val="16"/>
          <w:szCs w:val="16"/>
        </w:rPr>
        <w:t>)</w:t>
      </w:r>
      <w:r w:rsidR="00E52569">
        <w:rPr>
          <w:color w:val="000000" w:themeColor="text1"/>
          <w:kern w:val="2"/>
          <w:sz w:val="16"/>
          <w:szCs w:val="16"/>
        </w:rPr>
        <w:t xml:space="preserve"> </w:t>
      </w:r>
      <w:hyperlink r:id="rId264" w:tooltip="1917 год" w:history="1">
        <w:r w:rsidRPr="002F2FDF">
          <w:rPr>
            <w:rStyle w:val="a5"/>
            <w:color w:val="000000" w:themeColor="text1"/>
            <w:kern w:val="2"/>
            <w:sz w:val="16"/>
            <w:szCs w:val="16"/>
            <w:u w:val="none"/>
          </w:rPr>
          <w:t>1917</w:t>
        </w:r>
      </w:hyperlink>
      <w:r w:rsidRPr="002F2FDF">
        <w:rPr>
          <w:color w:val="000000" w:themeColor="text1"/>
          <w:kern w:val="2"/>
          <w:sz w:val="16"/>
          <w:szCs w:val="16"/>
        </w:rPr>
        <w:t xml:space="preserve"> власти очистили дачу Дурново от анархистов. При этом произошло вооружённое столкновение, в результате которого был убит один из лидеров анархистов</w:t>
      </w:r>
      <w:r w:rsidR="00E52569">
        <w:rPr>
          <w:color w:val="000000" w:themeColor="text1"/>
          <w:kern w:val="2"/>
          <w:sz w:val="16"/>
          <w:szCs w:val="16"/>
        </w:rPr>
        <w:t xml:space="preserve"> </w:t>
      </w:r>
      <w:r w:rsidRPr="002F2FDF">
        <w:rPr>
          <w:color w:val="000000" w:themeColor="text1"/>
          <w:kern w:val="2"/>
          <w:sz w:val="16"/>
          <w:szCs w:val="16"/>
        </w:rPr>
        <w:t>— Аснин</w:t>
      </w:r>
      <w:r w:rsidR="00E52569">
        <w:rPr>
          <w:color w:val="000000" w:themeColor="text1"/>
          <w:kern w:val="2"/>
          <w:sz w:val="16"/>
          <w:szCs w:val="16"/>
        </w:rPr>
        <w:t xml:space="preserve"> </w:t>
      </w:r>
      <w:r w:rsidRPr="002F2FDF">
        <w:rPr>
          <w:color w:val="000000" w:themeColor="text1"/>
          <w:kern w:val="2"/>
          <w:sz w:val="16"/>
          <w:szCs w:val="16"/>
        </w:rPr>
        <w:t>— и ранен другой анархист</w:t>
      </w:r>
      <w:r w:rsidR="00E52569">
        <w:rPr>
          <w:color w:val="000000" w:themeColor="text1"/>
          <w:kern w:val="2"/>
          <w:sz w:val="16"/>
          <w:szCs w:val="16"/>
        </w:rPr>
        <w:t xml:space="preserve"> </w:t>
      </w:r>
      <w:r w:rsidRPr="002F2FDF">
        <w:rPr>
          <w:color w:val="000000" w:themeColor="text1"/>
          <w:kern w:val="2"/>
          <w:sz w:val="16"/>
          <w:szCs w:val="16"/>
        </w:rPr>
        <w:t xml:space="preserve">— матрос </w:t>
      </w:r>
      <w:hyperlink r:id="rId265" w:tooltip="Анатолий Железняков" w:history="1">
        <w:r w:rsidRPr="002F2FDF">
          <w:rPr>
            <w:rStyle w:val="a5"/>
            <w:color w:val="000000" w:themeColor="text1"/>
            <w:kern w:val="2"/>
            <w:sz w:val="16"/>
            <w:szCs w:val="16"/>
            <w:u w:val="none"/>
          </w:rPr>
          <w:t>Анатолий Железняков</w:t>
        </w:r>
      </w:hyperlink>
      <w:r w:rsidRPr="002F2FDF">
        <w:rPr>
          <w:color w:val="000000" w:themeColor="text1"/>
          <w:kern w:val="2"/>
          <w:sz w:val="16"/>
          <w:szCs w:val="16"/>
        </w:rPr>
        <w:t>. Более 60 рабочих, солдат и матросов были арестованы.</w:t>
      </w:r>
    </w:p>
    <w:p w14:paraId="7A98F3CD" w14:textId="77777777" w:rsidR="00597FF8" w:rsidRPr="002F2FDF" w:rsidRDefault="00597FF8" w:rsidP="0083075A">
      <w:pPr>
        <w:pStyle w:val="ae"/>
        <w:spacing w:before="0" w:after="0"/>
        <w:jc w:val="both"/>
        <w:rPr>
          <w:color w:val="000000" w:themeColor="text1"/>
          <w:kern w:val="2"/>
          <w:sz w:val="16"/>
          <w:szCs w:val="16"/>
        </w:rPr>
      </w:pPr>
      <w:r w:rsidRPr="002F2FDF">
        <w:rPr>
          <w:color w:val="000000" w:themeColor="text1"/>
          <w:kern w:val="2"/>
          <w:sz w:val="16"/>
          <w:szCs w:val="16"/>
        </w:rPr>
        <w:t>Агитаторы анархистов, не пожелавших «оставлять эту акцию правительства без последствий», направились на предприятия и в казармы, и «уже 19-го на заводах Выборгского района начались стачки протеста. Но особый успех призыв к выступлению имел в 1-м Пулеметном полку…».</w:t>
      </w:r>
    </w:p>
    <w:p w14:paraId="58CE006C" w14:textId="77777777" w:rsidR="00597FF8" w:rsidRPr="002F2FDF" w:rsidRDefault="00597FF8"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Первый пулёмётный полк насчитывал 11 340 солдат и около 300 офицеров, что фактически соответствовало численности дивизии. Полк представлял собой самую крупную воинскую часть гарнизона. Во время </w:t>
      </w:r>
      <w:hyperlink r:id="rId266" w:tooltip="Февральская революция" w:history="1">
        <w:r w:rsidRPr="002F2FDF">
          <w:rPr>
            <w:rStyle w:val="a5"/>
            <w:color w:val="000000" w:themeColor="text1"/>
            <w:kern w:val="2"/>
            <w:sz w:val="16"/>
            <w:szCs w:val="16"/>
            <w:u w:val="none"/>
          </w:rPr>
          <w:t>Февральской революции</w:t>
        </w:r>
      </w:hyperlink>
      <w:r w:rsidRPr="002F2FDF">
        <w:rPr>
          <w:color w:val="000000" w:themeColor="text1"/>
          <w:kern w:val="2"/>
          <w:sz w:val="16"/>
          <w:szCs w:val="16"/>
        </w:rPr>
        <w:t xml:space="preserve"> три его батальона самовольно перебазировались из </w:t>
      </w:r>
      <w:hyperlink r:id="rId267" w:tooltip="Ломоносов (город)" w:history="1">
        <w:r w:rsidRPr="002F2FDF">
          <w:rPr>
            <w:rStyle w:val="a5"/>
            <w:color w:val="000000" w:themeColor="text1"/>
            <w:kern w:val="2"/>
            <w:sz w:val="16"/>
            <w:szCs w:val="16"/>
            <w:u w:val="none"/>
          </w:rPr>
          <w:t>Ораниенбаума</w:t>
        </w:r>
      </w:hyperlink>
      <w:r w:rsidRPr="002F2FDF">
        <w:rPr>
          <w:color w:val="000000" w:themeColor="text1"/>
          <w:kern w:val="2"/>
          <w:sz w:val="16"/>
          <w:szCs w:val="16"/>
        </w:rPr>
        <w:t xml:space="preserve"> в Петроград, привлечённые решением о невыводе частей Петроградского гарнизона на фронт.</w:t>
      </w:r>
    </w:p>
    <w:p w14:paraId="71F3204C" w14:textId="3F7B9010" w:rsidR="00597FF8" w:rsidRPr="002F2FDF" w:rsidRDefault="00597FF8"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Полк дислоцировался на </w:t>
      </w:r>
      <w:hyperlink r:id="rId268" w:tooltip="Выборгская сторона" w:history="1">
        <w:r w:rsidRPr="002F2FDF">
          <w:rPr>
            <w:rStyle w:val="a5"/>
            <w:color w:val="000000" w:themeColor="text1"/>
            <w:kern w:val="2"/>
            <w:sz w:val="16"/>
            <w:szCs w:val="16"/>
            <w:u w:val="none"/>
          </w:rPr>
          <w:t>Выборгской стороне</w:t>
        </w:r>
      </w:hyperlink>
      <w:r w:rsidRPr="002F2FDF">
        <w:rPr>
          <w:color w:val="000000" w:themeColor="text1"/>
          <w:kern w:val="2"/>
          <w:sz w:val="16"/>
          <w:szCs w:val="16"/>
        </w:rPr>
        <w:t xml:space="preserve"> среди заводов. Как в июле 1917 года выразился французский журналист Клод Анэ, «Ленин и Троцкий царят здесь, как господа». В силу многочисленных контактов с петроградскими рабочими полк постоянно подвергался социалистической, большевистской агитации. Кроме того, ставшая штабом анархистов </w:t>
      </w:r>
      <w:hyperlink r:id="rId269" w:tooltip="Дача Дурново" w:history="1">
        <w:r w:rsidRPr="002F2FDF">
          <w:rPr>
            <w:rStyle w:val="a5"/>
            <w:color w:val="000000" w:themeColor="text1"/>
            <w:kern w:val="2"/>
            <w:sz w:val="16"/>
            <w:szCs w:val="16"/>
            <w:u w:val="none"/>
          </w:rPr>
          <w:t>дача Дурново</w:t>
        </w:r>
      </w:hyperlink>
      <w:r w:rsidRPr="002F2FDF">
        <w:rPr>
          <w:color w:val="000000" w:themeColor="text1"/>
          <w:kern w:val="2"/>
          <w:sz w:val="16"/>
          <w:szCs w:val="16"/>
        </w:rPr>
        <w:t xml:space="preserve"> находилась непосредственно вблизи заводов Металлический и Промет, что способствовало распространению в районе анархистской агитации. Полк первоначально был сформирован как одна большая учебная команда, раз в неделю отправлявшая на фронт маршевую роту, поэтому солдаты полка особенно болезненно относились к возможной отправке на фронт. С началом </w:t>
      </w:r>
      <w:hyperlink r:id="rId270" w:tooltip="Июньское наступление" w:history="1">
        <w:r w:rsidRPr="002F2FDF">
          <w:rPr>
            <w:rStyle w:val="a5"/>
            <w:color w:val="000000" w:themeColor="text1"/>
            <w:kern w:val="2"/>
            <w:sz w:val="16"/>
            <w:szCs w:val="16"/>
            <w:u w:val="none"/>
          </w:rPr>
          <w:t>июньского наступления</w:t>
        </w:r>
      </w:hyperlink>
      <w:r w:rsidRPr="002F2FDF">
        <w:rPr>
          <w:color w:val="000000" w:themeColor="text1"/>
          <w:kern w:val="2"/>
          <w:sz w:val="16"/>
          <w:szCs w:val="16"/>
        </w:rPr>
        <w:t xml:space="preserve"> Ставка приказала полку отправить на фронт сразу 30 пулемётных команд, однако 21</w:t>
      </w:r>
      <w:r w:rsidR="00E52569">
        <w:rPr>
          <w:color w:val="000000" w:themeColor="text1"/>
          <w:kern w:val="2"/>
          <w:sz w:val="16"/>
          <w:szCs w:val="16"/>
        </w:rPr>
        <w:t xml:space="preserve"> </w:t>
      </w:r>
      <w:r w:rsidRPr="002F2FDF">
        <w:rPr>
          <w:color w:val="000000" w:themeColor="text1"/>
          <w:kern w:val="2"/>
          <w:sz w:val="16"/>
          <w:szCs w:val="16"/>
        </w:rPr>
        <w:t>июня</w:t>
      </w:r>
      <w:r w:rsidR="00E52569">
        <w:rPr>
          <w:color w:val="000000" w:themeColor="text1"/>
          <w:kern w:val="2"/>
          <w:sz w:val="16"/>
          <w:szCs w:val="16"/>
        </w:rPr>
        <w:t xml:space="preserve"> </w:t>
      </w:r>
      <w:r w:rsidRPr="002F2FDF">
        <w:rPr>
          <w:color w:val="000000" w:themeColor="text1"/>
          <w:kern w:val="2"/>
          <w:sz w:val="16"/>
          <w:szCs w:val="16"/>
        </w:rPr>
        <w:t>(</w:t>
      </w:r>
      <w:hyperlink r:id="rId271" w:tooltip="4 июля" w:history="1">
        <w:r w:rsidRPr="002F2FDF">
          <w:rPr>
            <w:rStyle w:val="a5"/>
            <w:color w:val="000000" w:themeColor="text1"/>
            <w:kern w:val="2"/>
            <w:sz w:val="16"/>
            <w:szCs w:val="16"/>
            <w:u w:val="none"/>
          </w:rPr>
          <w:t>4</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июля</w:t>
        </w:r>
      </w:hyperlink>
      <w:r w:rsidRPr="002F2FDF">
        <w:rPr>
          <w:color w:val="000000" w:themeColor="text1"/>
          <w:kern w:val="2"/>
          <w:sz w:val="16"/>
          <w:szCs w:val="16"/>
        </w:rPr>
        <w:t>)</w:t>
      </w:r>
      <w:r w:rsidR="00E52569">
        <w:rPr>
          <w:color w:val="000000" w:themeColor="text1"/>
          <w:kern w:val="2"/>
          <w:sz w:val="16"/>
          <w:szCs w:val="16"/>
        </w:rPr>
        <w:t xml:space="preserve"> </w:t>
      </w:r>
      <w:hyperlink r:id="rId272" w:tooltip="1917 год" w:history="1">
        <w:r w:rsidRPr="002F2FDF">
          <w:rPr>
            <w:rStyle w:val="a5"/>
            <w:color w:val="000000" w:themeColor="text1"/>
            <w:kern w:val="2"/>
            <w:sz w:val="16"/>
            <w:szCs w:val="16"/>
            <w:u w:val="none"/>
          </w:rPr>
          <w:t>1917</w:t>
        </w:r>
      </w:hyperlink>
      <w:r w:rsidRPr="002F2FDF">
        <w:rPr>
          <w:color w:val="000000" w:themeColor="text1"/>
          <w:kern w:val="2"/>
          <w:sz w:val="16"/>
          <w:szCs w:val="16"/>
        </w:rPr>
        <w:t xml:space="preserve"> полковой комитет постановил маршевые роты не отправлять, «пока война не примет революционный характер».</w:t>
      </w:r>
    </w:p>
    <w:p w14:paraId="172B077C" w14:textId="77777777" w:rsidR="00597FF8" w:rsidRPr="002F2FDF" w:rsidRDefault="00597FF8"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Большую активность в гарнизоне развила Военная организация </w:t>
      </w:r>
      <w:hyperlink r:id="rId273" w:tooltip="РСДРП(б)" w:history="1">
        <w:r w:rsidRPr="002F2FDF">
          <w:rPr>
            <w:rStyle w:val="a5"/>
            <w:color w:val="000000" w:themeColor="text1"/>
            <w:kern w:val="2"/>
            <w:sz w:val="16"/>
            <w:szCs w:val="16"/>
            <w:u w:val="none"/>
          </w:rPr>
          <w:t>РСДРП(б)</w:t>
        </w:r>
      </w:hyperlink>
      <w:r w:rsidRPr="002F2FDF">
        <w:rPr>
          <w:color w:val="000000" w:themeColor="text1"/>
          <w:kern w:val="2"/>
          <w:sz w:val="16"/>
          <w:szCs w:val="16"/>
        </w:rPr>
        <w:t>, к июлю склонившая в свою сторону, помимо 1-го Пулемётного полка, также и целый ряд других частей (17029).</w:t>
      </w:r>
    </w:p>
    <w:p w14:paraId="68CAEDE5" w14:textId="77777777" w:rsidR="00597FF8" w:rsidRPr="002F2FDF" w:rsidRDefault="00597FF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155FD4" w14:textId="77777777" w:rsidR="003552A0" w:rsidRPr="002F2FDF" w:rsidRDefault="003552A0" w:rsidP="0083075A">
      <w:pPr>
        <w:pStyle w:val="ae"/>
        <w:spacing w:before="0" w:after="0"/>
        <w:jc w:val="both"/>
        <w:rPr>
          <w:color w:val="000000" w:themeColor="text1"/>
          <w:kern w:val="2"/>
          <w:sz w:val="16"/>
          <w:szCs w:val="16"/>
        </w:rPr>
      </w:pPr>
      <w:r w:rsidRPr="002F2FDF">
        <w:rPr>
          <w:color w:val="000000" w:themeColor="text1"/>
          <w:kern w:val="2"/>
          <w:sz w:val="16"/>
          <w:szCs w:val="16"/>
        </w:rPr>
        <w:t>19 июня (2 июля) 1917 власти силой выселили группу их активистов из самовольно захваченной дачи дворянского рода Дурново. При этом в стычке был застрелен один из лидеров анархистов Аснин и ранен другой — матрос Анатолий Железняков. Также были арестованы более 60 рабочих, солдат и матросов (17045).</w:t>
      </w:r>
    </w:p>
    <w:p w14:paraId="6B0A2899" w14:textId="77777777" w:rsidR="003552A0" w:rsidRPr="002F2FDF" w:rsidRDefault="003552A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C45496" w14:textId="77777777" w:rsidR="009042DF"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29EE0AFC" w14:textId="77777777" w:rsidR="009042DF" w:rsidRPr="002F2FDF" w:rsidRDefault="009042D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282F34" w14:textId="77777777" w:rsidR="009042DF" w:rsidRPr="002F2FDF" w:rsidRDefault="009042DF" w:rsidP="0083075A">
      <w:pPr>
        <w:pStyle w:val="rtecenter"/>
        <w:spacing w:before="0" w:after="0"/>
        <w:jc w:val="both"/>
        <w:rPr>
          <w:color w:val="000000" w:themeColor="text1"/>
          <w:kern w:val="2"/>
          <w:sz w:val="16"/>
          <w:szCs w:val="16"/>
        </w:rPr>
      </w:pPr>
      <w:r w:rsidRPr="002F2FDF">
        <w:rPr>
          <w:rStyle w:val="af0"/>
          <w:i w:val="0"/>
          <w:color w:val="000000" w:themeColor="text1"/>
          <w:kern w:val="2"/>
          <w:sz w:val="16"/>
          <w:szCs w:val="16"/>
        </w:rPr>
        <w:t>19 июня (2 июля) 1917 г. Донесение пом. начальника Генерального штаба ген. Г. Д. Романовского начальнику Генерального штаба с изложением телеграммы представителя Временного правительства при французской армии ген. М. И. Занкевича о сотрудничестве между Францией, Англией и Соединенными Штатами в деле распределения сил и средств союзников.</w:t>
      </w:r>
    </w:p>
    <w:p w14:paraId="1CA7A693" w14:textId="32A5FF21"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495</w:t>
      </w:r>
    </w:p>
    <w:p w14:paraId="66AE1038" w14:textId="240DA9D8"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ЦГВИА, ф. 2003, оп. 2, д. 71, л. 200—200 об. Подлинник.</w:t>
      </w:r>
    </w:p>
    <w:p w14:paraId="3EB124BD" w14:textId="291E965C" w:rsidR="009042DF" w:rsidRPr="002F2FDF" w:rsidRDefault="009042DF" w:rsidP="0083075A">
      <w:pPr>
        <w:pStyle w:val="rtejustify"/>
        <w:spacing w:before="0" w:after="0"/>
        <w:rPr>
          <w:color w:val="000000" w:themeColor="text1"/>
          <w:kern w:val="2"/>
          <w:sz w:val="16"/>
          <w:szCs w:val="16"/>
        </w:rPr>
      </w:pPr>
      <w:r w:rsidRPr="002F2FDF">
        <w:rPr>
          <w:color w:val="000000" w:themeColor="text1"/>
          <w:kern w:val="2"/>
          <w:sz w:val="16"/>
          <w:szCs w:val="16"/>
        </w:rPr>
        <w:t>Ген. Заикевич в телеграмме от 12 сего июня из Парижа</w:t>
      </w:r>
      <w:hyperlink r:id="rId274" w:anchor="_ftn1" w:history="1">
        <w:r w:rsidRPr="002F2FDF">
          <w:rPr>
            <w:rStyle w:val="a5"/>
            <w:color w:val="000000" w:themeColor="text1"/>
            <w:kern w:val="2"/>
            <w:sz w:val="16"/>
            <w:szCs w:val="16"/>
          </w:rPr>
          <w:t>[1]</w:t>
        </w:r>
      </w:hyperlink>
      <w:r w:rsidR="00E52569">
        <w:rPr>
          <w:color w:val="000000" w:themeColor="text1"/>
          <w:kern w:val="2"/>
          <w:sz w:val="16"/>
          <w:szCs w:val="16"/>
        </w:rPr>
        <w:t xml:space="preserve"> </w:t>
      </w:r>
      <w:r w:rsidRPr="002F2FDF">
        <w:rPr>
          <w:color w:val="000000" w:themeColor="text1"/>
          <w:kern w:val="2"/>
          <w:sz w:val="16"/>
          <w:szCs w:val="16"/>
        </w:rPr>
        <w:t>отмечает тесное единение, установившееся между Францией, Англией и Соединенными Штатами в отношении распределения сил и средств союзников.</w:t>
      </w:r>
    </w:p>
    <w:p w14:paraId="2CDB2BD2" w14:textId="77777777" w:rsidR="009042DF" w:rsidRPr="002F2FDF" w:rsidRDefault="009042DF" w:rsidP="0083075A">
      <w:pPr>
        <w:pStyle w:val="rtejustify"/>
        <w:spacing w:before="0" w:after="0"/>
        <w:rPr>
          <w:color w:val="000000" w:themeColor="text1"/>
          <w:kern w:val="2"/>
          <w:sz w:val="16"/>
          <w:szCs w:val="16"/>
        </w:rPr>
      </w:pPr>
      <w:r w:rsidRPr="002F2FDF">
        <w:rPr>
          <w:color w:val="000000" w:themeColor="text1"/>
          <w:kern w:val="2"/>
          <w:sz w:val="16"/>
          <w:szCs w:val="16"/>
        </w:rPr>
        <w:t>Американцы дают войска и деньги, англичане — тоннаж и расширяют свой фронт, освобождая часть французских войск, французы получают право постепенной демобилизации старейших классов, но зато обязуются частичным снабжением американцев артиллерией.</w:t>
      </w:r>
    </w:p>
    <w:p w14:paraId="6F2CE3DD" w14:textId="77777777" w:rsidR="009042DF" w:rsidRPr="002F2FDF" w:rsidRDefault="009042DF" w:rsidP="0083075A">
      <w:pPr>
        <w:pStyle w:val="rtejustify"/>
        <w:spacing w:before="0" w:after="0"/>
        <w:rPr>
          <w:color w:val="000000" w:themeColor="text1"/>
          <w:kern w:val="2"/>
          <w:sz w:val="16"/>
          <w:szCs w:val="16"/>
        </w:rPr>
      </w:pPr>
      <w:r w:rsidRPr="002F2FDF">
        <w:rPr>
          <w:color w:val="000000" w:themeColor="text1"/>
          <w:kern w:val="2"/>
          <w:sz w:val="16"/>
          <w:szCs w:val="16"/>
        </w:rPr>
        <w:t>Ввиду сего представляется крайне желательным, чтобы и Россия вошла в это соглашение в целях закрепления за собой возможности получения в достаточном размере артиллерии во Франции, тоннажа в Англии и авиационных средств в Америке.</w:t>
      </w:r>
    </w:p>
    <w:p w14:paraId="282E878D" w14:textId="77777777" w:rsidR="009042DF" w:rsidRPr="002F2FDF" w:rsidRDefault="009042DF"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Ген.-майор Романовский (17026).</w:t>
      </w:r>
    </w:p>
    <w:p w14:paraId="1C130637" w14:textId="77777777" w:rsidR="009042DF" w:rsidRPr="002F2FDF" w:rsidRDefault="009042DF"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20E2253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EBAF3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117A5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июня (2 июля) 1917 Греция объявила войну Германии и Австрии (4962).</w:t>
      </w:r>
    </w:p>
    <w:p w14:paraId="0A8E608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18D7A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июня (2 июля) 1917 польский генерал Й. Пилсудский (будущий диктатор Польши) отказался принимать присягу на верность Германии (4962).</w:t>
      </w:r>
    </w:p>
    <w:p w14:paraId="3B15201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7DF6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июня (2 июля) 1917 Форд начал производство грузовиков (2566).</w:t>
      </w:r>
    </w:p>
    <w:p w14:paraId="5F68E0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696370" w14:textId="5D0943FF" w:rsidR="003431D2" w:rsidRPr="002F2FDF" w:rsidRDefault="00C4569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Pr>
          <w:rFonts w:ascii="Times New Roman" w:hAnsi="Times New Roman" w:cs="Times New Roman"/>
          <w:color w:val="000000" w:themeColor="text1"/>
          <w:kern w:val="2"/>
          <w:sz w:val="16"/>
          <w:szCs w:val="16"/>
          <w:lang w:val="en-US"/>
        </w:rPr>
        <w:t>June 19 (</w:t>
      </w:r>
      <w:r w:rsidR="003431D2" w:rsidRPr="002F2FDF">
        <w:rPr>
          <w:rFonts w:ascii="Times New Roman" w:hAnsi="Times New Roman" w:cs="Times New Roman"/>
          <w:color w:val="000000" w:themeColor="text1"/>
          <w:kern w:val="2"/>
          <w:sz w:val="16"/>
          <w:szCs w:val="16"/>
          <w:lang w:val="en-US"/>
        </w:rPr>
        <w:t>July 2</w:t>
      </w:r>
      <w:r>
        <w:rPr>
          <w:rFonts w:ascii="Times New Roman" w:hAnsi="Times New Roman" w:cs="Times New Roman"/>
          <w:color w:val="000000" w:themeColor="text1"/>
          <w:kern w:val="2"/>
          <w:sz w:val="16"/>
          <w:szCs w:val="16"/>
          <w:lang w:val="en-US"/>
        </w:rPr>
        <w:t>)</w:t>
      </w:r>
      <w:r w:rsidR="003431D2" w:rsidRPr="002F2FDF">
        <w:rPr>
          <w:rFonts w:ascii="Times New Roman" w:hAnsi="Times New Roman" w:cs="Times New Roman"/>
          <w:color w:val="000000" w:themeColor="text1"/>
          <w:kern w:val="2"/>
          <w:sz w:val="16"/>
          <w:szCs w:val="16"/>
          <w:lang w:val="en-US"/>
        </w:rPr>
        <w:t>, 1917 Small force of Arabs led by British Captain T.E. Lawrence (Lawrence of Arabia) capture Akaba from the Turks, by attacking across the desert against the undefended back side of the city (1769).</w:t>
      </w:r>
    </w:p>
    <w:p w14:paraId="4718A9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182806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июня (2 июля) 1917 небольшой отряд под командованием британского капитана Лоуренса Аравийского захватила Akaba у турков атаковав со стороны пустыни, где не было обороны (1769).</w:t>
      </w:r>
    </w:p>
    <w:p w14:paraId="528673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111E3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AC151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52A3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период с 10 (23) июня 1915 по 20 июня (3 июля) 1917 ЧФ принял 71 лл М-5 Д.П.Г. завода С.С.Щетинина, 50 машин пошли в авиашколы. Всего по декабрь 1917 было поставлено 183 М-5 (2808,11).</w:t>
      </w:r>
    </w:p>
    <w:p w14:paraId="5E49D72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D0A22D" w14:textId="1FE473CB"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период по 20 июня </w:t>
      </w:r>
      <w:r w:rsidR="00C45699" w:rsidRPr="00C45699">
        <w:rPr>
          <w:rFonts w:ascii="Times New Roman" w:hAnsi="Times New Roman" w:cs="Times New Roman"/>
          <w:color w:val="000000" w:themeColor="text1"/>
          <w:kern w:val="2"/>
          <w:sz w:val="16"/>
          <w:szCs w:val="16"/>
        </w:rPr>
        <w:t xml:space="preserve">(3 </w:t>
      </w:r>
      <w:r w:rsidR="00C45699">
        <w:rPr>
          <w:rFonts w:ascii="Times New Roman" w:hAnsi="Times New Roman" w:cs="Times New Roman"/>
          <w:color w:val="000000" w:themeColor="text1"/>
          <w:kern w:val="2"/>
          <w:sz w:val="16"/>
          <w:szCs w:val="16"/>
        </w:rPr>
        <w:t>июля</w:t>
      </w:r>
      <w:r w:rsidR="00C45699" w:rsidRPr="00C4569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1917 г. с 10 </w:t>
      </w:r>
      <w:r w:rsidR="00C45699" w:rsidRPr="00C45699">
        <w:rPr>
          <w:rFonts w:ascii="Times New Roman" w:hAnsi="Times New Roman" w:cs="Times New Roman"/>
          <w:color w:val="000000" w:themeColor="text1"/>
          <w:kern w:val="2"/>
          <w:sz w:val="16"/>
          <w:szCs w:val="16"/>
        </w:rPr>
        <w:t xml:space="preserve">(23) </w:t>
      </w:r>
      <w:r w:rsidRPr="002F2FDF">
        <w:rPr>
          <w:rFonts w:ascii="Times New Roman" w:hAnsi="Times New Roman" w:cs="Times New Roman"/>
          <w:color w:val="000000" w:themeColor="text1"/>
          <w:kern w:val="2"/>
          <w:sz w:val="16"/>
          <w:szCs w:val="16"/>
        </w:rPr>
        <w:t>июля 1915 г. на Черноморский флот поступила 71 летающая лодка М-5 и около 60 в учебные заведения, а всего морское ведомство приобрё- ло 183 самолёта (11872).</w:t>
      </w:r>
    </w:p>
    <w:p w14:paraId="4BEA87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5BC861" w14:textId="36D7130A"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период с 10 </w:t>
      </w:r>
      <w:r w:rsidR="00C45699">
        <w:rPr>
          <w:rFonts w:ascii="Times New Roman" w:hAnsi="Times New Roman" w:cs="Times New Roman"/>
          <w:color w:val="000000" w:themeColor="text1"/>
          <w:kern w:val="2"/>
          <w:sz w:val="16"/>
          <w:szCs w:val="16"/>
        </w:rPr>
        <w:t xml:space="preserve">(23) </w:t>
      </w:r>
      <w:r w:rsidRPr="002F2FDF">
        <w:rPr>
          <w:rFonts w:ascii="Times New Roman" w:hAnsi="Times New Roman" w:cs="Times New Roman"/>
          <w:color w:val="000000" w:themeColor="text1"/>
          <w:kern w:val="2"/>
          <w:sz w:val="16"/>
          <w:szCs w:val="16"/>
        </w:rPr>
        <w:t xml:space="preserve">июля 1915 г. по 20 июня </w:t>
      </w:r>
      <w:r w:rsidR="00C45699" w:rsidRPr="00C45699">
        <w:rPr>
          <w:rFonts w:ascii="Times New Roman" w:hAnsi="Times New Roman" w:cs="Times New Roman"/>
          <w:color w:val="000000" w:themeColor="text1"/>
          <w:kern w:val="2"/>
          <w:sz w:val="16"/>
          <w:szCs w:val="16"/>
        </w:rPr>
        <w:t xml:space="preserve">(3 </w:t>
      </w:r>
      <w:r w:rsidR="00C45699">
        <w:rPr>
          <w:rFonts w:ascii="Times New Roman" w:hAnsi="Times New Roman" w:cs="Times New Roman"/>
          <w:color w:val="000000" w:themeColor="text1"/>
          <w:kern w:val="2"/>
          <w:sz w:val="16"/>
          <w:szCs w:val="16"/>
        </w:rPr>
        <w:t>июля</w:t>
      </w:r>
      <w:r w:rsidR="00C45699" w:rsidRPr="00C4569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1917 г. Черномор</w:t>
      </w:r>
      <w:r w:rsidRPr="002F2FDF">
        <w:rPr>
          <w:rFonts w:ascii="Times New Roman" w:hAnsi="Times New Roman" w:cs="Times New Roman"/>
          <w:color w:val="000000" w:themeColor="text1"/>
          <w:kern w:val="2"/>
          <w:sz w:val="16"/>
          <w:szCs w:val="16"/>
        </w:rPr>
        <w:softHyphen/>
        <w:t>ский флот принял 71 летающую лодку М-5, а около 60 машин данного типа достались морским авиашко</w:t>
      </w:r>
      <w:r w:rsidRPr="002F2FDF">
        <w:rPr>
          <w:rFonts w:ascii="Times New Roman" w:hAnsi="Times New Roman" w:cs="Times New Roman"/>
          <w:color w:val="000000" w:themeColor="text1"/>
          <w:kern w:val="2"/>
          <w:sz w:val="16"/>
          <w:szCs w:val="16"/>
        </w:rPr>
        <w:softHyphen/>
        <w:t>лам; с июня 1915 г. по декабрь 1917 г. полное число принятых военно-морскими силами М-5 составило, по крайней мере, 1?3 аппарата, но некоторые из них изначально изготовлялись как запасные.</w:t>
      </w:r>
    </w:p>
    <w:p w14:paraId="7F231D8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2B1C74" w:rsidRPr="002F2FDF" w14:paraId="22072065" w14:textId="77777777">
        <w:tc>
          <w:tcPr>
            <w:tcW w:w="1548" w:type="dxa"/>
            <w:tcBorders>
              <w:top w:val="single" w:sz="12" w:space="0" w:color="auto"/>
            </w:tcBorders>
            <w:shd w:val="clear" w:color="auto" w:fill="FFFFFF"/>
          </w:tcPr>
          <w:p w14:paraId="012FF0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Дата контракта</w:t>
            </w:r>
          </w:p>
        </w:tc>
        <w:tc>
          <w:tcPr>
            <w:tcW w:w="1170" w:type="dxa"/>
            <w:tcBorders>
              <w:top w:val="single" w:sz="12" w:space="0" w:color="auto"/>
            </w:tcBorders>
            <w:shd w:val="clear" w:color="auto" w:fill="FFFFFF"/>
          </w:tcPr>
          <w:p w14:paraId="271EA4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заказанных аэропланов</w:t>
            </w:r>
          </w:p>
        </w:tc>
        <w:tc>
          <w:tcPr>
            <w:tcW w:w="6858" w:type="dxa"/>
            <w:tcBorders>
              <w:top w:val="single" w:sz="12" w:space="0" w:color="auto"/>
            </w:tcBorders>
            <w:shd w:val="clear" w:color="auto" w:fill="FFFFFF"/>
          </w:tcPr>
          <w:p w14:paraId="5D9E6E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Условия</w:t>
            </w:r>
          </w:p>
        </w:tc>
      </w:tr>
      <w:tr w:rsidR="002B1C74" w:rsidRPr="002F2FDF" w14:paraId="24E22697" w14:textId="77777777">
        <w:tc>
          <w:tcPr>
            <w:tcW w:w="1548" w:type="dxa"/>
            <w:shd w:val="clear" w:color="auto" w:fill="FFFFFF"/>
          </w:tcPr>
          <w:p w14:paraId="067295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 27 1915</w:t>
            </w:r>
          </w:p>
        </w:tc>
        <w:tc>
          <w:tcPr>
            <w:tcW w:w="1170" w:type="dxa"/>
            <w:shd w:val="clear" w:color="auto" w:fill="FFFFFF"/>
          </w:tcPr>
          <w:p w14:paraId="74D50B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c>
          <w:tcPr>
            <w:tcW w:w="6858" w:type="dxa"/>
            <w:shd w:val="clear" w:color="auto" w:fill="FFFFFF"/>
          </w:tcPr>
          <w:p w14:paraId="2C2BBC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тыс. 500 руб. за аппарат без мотора, срок исполнения с 30 мая по 15 июля 1915 г. (выполнен к 20 июля 1915 г.)</w:t>
            </w:r>
          </w:p>
        </w:tc>
      </w:tr>
      <w:tr w:rsidR="002B1C74" w:rsidRPr="002F2FDF" w14:paraId="5AB47705" w14:textId="77777777">
        <w:tc>
          <w:tcPr>
            <w:tcW w:w="1548" w:type="dxa"/>
            <w:shd w:val="clear" w:color="auto" w:fill="FFFFFF"/>
          </w:tcPr>
          <w:p w14:paraId="12EF36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 17 1915</w:t>
            </w:r>
          </w:p>
        </w:tc>
        <w:tc>
          <w:tcPr>
            <w:tcW w:w="1170" w:type="dxa"/>
            <w:shd w:val="clear" w:color="auto" w:fill="FFFFFF"/>
          </w:tcPr>
          <w:p w14:paraId="7E1B64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6858" w:type="dxa"/>
            <w:shd w:val="clear" w:color="auto" w:fill="FFFFFF"/>
          </w:tcPr>
          <w:p w14:paraId="7BFE02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выполнен к 10 сентября 1915 г.</w:t>
            </w:r>
          </w:p>
        </w:tc>
      </w:tr>
      <w:tr w:rsidR="002B1C74" w:rsidRPr="002F2FDF" w14:paraId="1FC94B70" w14:textId="77777777">
        <w:tc>
          <w:tcPr>
            <w:tcW w:w="1548" w:type="dxa"/>
            <w:shd w:val="clear" w:color="auto" w:fill="FFFFFF"/>
          </w:tcPr>
          <w:p w14:paraId="5846E3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 10 1915</w:t>
            </w:r>
          </w:p>
        </w:tc>
        <w:tc>
          <w:tcPr>
            <w:tcW w:w="1170" w:type="dxa"/>
            <w:shd w:val="clear" w:color="auto" w:fill="FFFFFF"/>
          </w:tcPr>
          <w:p w14:paraId="3297E8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6858" w:type="dxa"/>
            <w:shd w:val="clear" w:color="auto" w:fill="FFFFFF"/>
          </w:tcPr>
          <w:p w14:paraId="08CC46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выполнен к 20 июля 1915 г.</w:t>
            </w:r>
          </w:p>
        </w:tc>
      </w:tr>
      <w:tr w:rsidR="002B1C74" w:rsidRPr="002F2FDF" w14:paraId="539E8FCF" w14:textId="77777777">
        <w:tc>
          <w:tcPr>
            <w:tcW w:w="1548" w:type="dxa"/>
            <w:shd w:val="clear" w:color="auto" w:fill="FFFFFF"/>
          </w:tcPr>
          <w:p w14:paraId="085FC5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 12 1915</w:t>
            </w:r>
          </w:p>
        </w:tc>
        <w:tc>
          <w:tcPr>
            <w:tcW w:w="1170" w:type="dxa"/>
            <w:shd w:val="clear" w:color="auto" w:fill="FFFFFF"/>
          </w:tcPr>
          <w:p w14:paraId="5D2E79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w:t>
            </w:r>
          </w:p>
        </w:tc>
        <w:tc>
          <w:tcPr>
            <w:tcW w:w="6858" w:type="dxa"/>
            <w:shd w:val="clear" w:color="auto" w:fill="FFFFFF"/>
          </w:tcPr>
          <w:p w14:paraId="5B046B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тыс. 500 руб. за аппарат без мотора, срок исполнения ноябрь 1915-март 1916 гг. (выполнен к 27 мая 1916 г.) ПРИМЕЧАНИЯ: аппараты с номерами 440 и 441 имели депердюссеновскую систему управления</w:t>
            </w:r>
          </w:p>
        </w:tc>
      </w:tr>
      <w:tr w:rsidR="002B1C74" w:rsidRPr="002F2FDF" w14:paraId="701F0F15" w14:textId="77777777">
        <w:tc>
          <w:tcPr>
            <w:tcW w:w="1548" w:type="dxa"/>
            <w:shd w:val="clear" w:color="auto" w:fill="FFFFFF"/>
          </w:tcPr>
          <w:p w14:paraId="04FFC9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Декабрь 21 1915</w:t>
            </w:r>
          </w:p>
        </w:tc>
        <w:tc>
          <w:tcPr>
            <w:tcW w:w="1170" w:type="dxa"/>
            <w:shd w:val="clear" w:color="auto" w:fill="FFFFFF"/>
          </w:tcPr>
          <w:p w14:paraId="63E7A9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6858" w:type="dxa"/>
            <w:shd w:val="clear" w:color="auto" w:fill="FFFFFF"/>
          </w:tcPr>
          <w:p w14:paraId="496984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корпусов без хвостовых оперений и мотора, но с сиденьями, по цене 4 тыс. 750 руб. за каждый</w:t>
            </w:r>
          </w:p>
        </w:tc>
      </w:tr>
      <w:tr w:rsidR="002B1C74" w:rsidRPr="002F2FDF" w14:paraId="6B2B20AC" w14:textId="77777777">
        <w:tc>
          <w:tcPr>
            <w:tcW w:w="1548" w:type="dxa"/>
            <w:shd w:val="clear" w:color="auto" w:fill="FFFFFF"/>
          </w:tcPr>
          <w:p w14:paraId="729295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 1 1916</w:t>
            </w:r>
          </w:p>
        </w:tc>
        <w:tc>
          <w:tcPr>
            <w:tcW w:w="1170" w:type="dxa"/>
            <w:shd w:val="clear" w:color="auto" w:fill="FFFFFF"/>
          </w:tcPr>
          <w:p w14:paraId="7C7F7A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w:t>
            </w:r>
          </w:p>
        </w:tc>
        <w:tc>
          <w:tcPr>
            <w:tcW w:w="6858" w:type="dxa"/>
            <w:shd w:val="clear" w:color="auto" w:fill="FFFFFF"/>
          </w:tcPr>
          <w:p w14:paraId="419779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выполнен к 23 сентября 1916 г.</w:t>
            </w:r>
          </w:p>
        </w:tc>
      </w:tr>
      <w:tr w:rsidR="002B1C74" w:rsidRPr="002F2FDF" w14:paraId="449A4758" w14:textId="77777777">
        <w:tc>
          <w:tcPr>
            <w:tcW w:w="1548" w:type="dxa"/>
            <w:shd w:val="clear" w:color="auto" w:fill="FFFFFF"/>
          </w:tcPr>
          <w:p w14:paraId="70915D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 16 1916</w:t>
            </w:r>
          </w:p>
        </w:tc>
        <w:tc>
          <w:tcPr>
            <w:tcW w:w="1170" w:type="dxa"/>
            <w:shd w:val="clear" w:color="auto" w:fill="FFFFFF"/>
          </w:tcPr>
          <w:p w14:paraId="13B5EF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6858" w:type="dxa"/>
            <w:shd w:val="clear" w:color="auto" w:fill="FFFFFF"/>
          </w:tcPr>
          <w:p w14:paraId="45C228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тыс. 500 руб. за аппарат без мотора, срок исполнения июль-август 1916 г. (выполнен к 20 мая 1917 г.)</w:t>
            </w:r>
          </w:p>
        </w:tc>
      </w:tr>
      <w:tr w:rsidR="002B1C74" w:rsidRPr="002F2FDF" w14:paraId="14763DAC" w14:textId="77777777">
        <w:tc>
          <w:tcPr>
            <w:tcW w:w="1548" w:type="dxa"/>
            <w:shd w:val="clear" w:color="auto" w:fill="FFFFFF"/>
          </w:tcPr>
          <w:p w14:paraId="6DAFD5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Июнь </w:t>
            </w:r>
            <w:r w:rsidRPr="002F2FDF">
              <w:rPr>
                <w:rFonts w:ascii="Times New Roman" w:hAnsi="Times New Roman" w:cs="Times New Roman"/>
                <w:iCs/>
                <w:color w:val="000000" w:themeColor="text1"/>
                <w:kern w:val="2"/>
                <w:sz w:val="16"/>
                <w:szCs w:val="16"/>
              </w:rPr>
              <w:t xml:space="preserve">1 </w:t>
            </w:r>
            <w:r w:rsidRPr="002F2FDF">
              <w:rPr>
                <w:rFonts w:ascii="Times New Roman" w:hAnsi="Times New Roman" w:cs="Times New Roman"/>
                <w:color w:val="000000" w:themeColor="text1"/>
                <w:kern w:val="2"/>
                <w:sz w:val="16"/>
                <w:szCs w:val="16"/>
              </w:rPr>
              <w:t>1916</w:t>
            </w:r>
          </w:p>
        </w:tc>
        <w:tc>
          <w:tcPr>
            <w:tcW w:w="1170" w:type="dxa"/>
            <w:shd w:val="clear" w:color="auto" w:fill="FFFFFF"/>
          </w:tcPr>
          <w:p w14:paraId="0DA099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6858" w:type="dxa"/>
            <w:shd w:val="clear" w:color="auto" w:fill="FFFFFF"/>
          </w:tcPr>
          <w:p w14:paraId="653099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заказ на 20 запасных аппаратов, но затем некоторые из них все же использовались как боевые; контракт выполнен к апрелю 1917 г.</w:t>
            </w:r>
          </w:p>
        </w:tc>
      </w:tr>
      <w:tr w:rsidR="002B1C74" w:rsidRPr="002F2FDF" w14:paraId="1925449F" w14:textId="77777777">
        <w:tc>
          <w:tcPr>
            <w:tcW w:w="1548" w:type="dxa"/>
            <w:shd w:val="clear" w:color="auto" w:fill="FFFFFF"/>
          </w:tcPr>
          <w:p w14:paraId="1728BE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 22 1916</w:t>
            </w:r>
          </w:p>
        </w:tc>
        <w:tc>
          <w:tcPr>
            <w:tcW w:w="1170" w:type="dxa"/>
            <w:shd w:val="clear" w:color="auto" w:fill="FFFFFF"/>
          </w:tcPr>
          <w:p w14:paraId="111C99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6858" w:type="dxa"/>
            <w:shd w:val="clear" w:color="auto" w:fill="FFFFFF"/>
          </w:tcPr>
          <w:p w14:paraId="114182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тыс. руб. за аппарат без мотора; полезная нагрузкасниже-на до 275 кг; срок исполнения с 1 октября по 1 декабря 1916 г. (выполнен к концу августа 1917 г.)</w:t>
            </w:r>
          </w:p>
        </w:tc>
      </w:tr>
      <w:tr w:rsidR="002B1C74" w:rsidRPr="002F2FDF" w14:paraId="0E6F5B25" w14:textId="77777777">
        <w:tc>
          <w:tcPr>
            <w:tcW w:w="1548" w:type="dxa"/>
            <w:shd w:val="clear" w:color="auto" w:fill="FFFFFF"/>
          </w:tcPr>
          <w:p w14:paraId="45C63C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 27 1917</w:t>
            </w:r>
          </w:p>
        </w:tc>
        <w:tc>
          <w:tcPr>
            <w:tcW w:w="1170" w:type="dxa"/>
            <w:shd w:val="clear" w:color="auto" w:fill="FFFFFF"/>
          </w:tcPr>
          <w:p w14:paraId="610F22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w:t>
            </w:r>
          </w:p>
        </w:tc>
        <w:tc>
          <w:tcPr>
            <w:tcW w:w="6858" w:type="dxa"/>
            <w:shd w:val="clear" w:color="auto" w:fill="FFFFFF"/>
          </w:tcPr>
          <w:p w14:paraId="1CAB8A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тыс. руб. за аппарат без мотора, с уплатой 10% лицензион</w:t>
            </w:r>
            <w:r w:rsidRPr="002F2FDF">
              <w:rPr>
                <w:rFonts w:ascii="Times New Roman" w:hAnsi="Times New Roman" w:cs="Times New Roman"/>
                <w:color w:val="000000" w:themeColor="text1"/>
                <w:kern w:val="2"/>
                <w:sz w:val="16"/>
                <w:szCs w:val="16"/>
              </w:rPr>
              <w:softHyphen/>
              <w:t>ной стоимости ПРТВ; аппараты под мотор “Рон” 110 л. с. или “Гном-Моносупап”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7BF8AF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ПРИМЕЧАНИЯ: условный контракт, данный компании Ф. Мельцера в Петрограде</w:t>
            </w:r>
          </w:p>
        </w:tc>
      </w:tr>
      <w:tr w:rsidR="002B1C74" w:rsidRPr="002F2FDF" w14:paraId="46BAF65A" w14:textId="77777777">
        <w:tc>
          <w:tcPr>
            <w:tcW w:w="1548" w:type="dxa"/>
            <w:shd w:val="clear" w:color="auto" w:fill="FFFFFF"/>
          </w:tcPr>
          <w:p w14:paraId="61084C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 29 1917</w:t>
            </w:r>
          </w:p>
        </w:tc>
        <w:tc>
          <w:tcPr>
            <w:tcW w:w="1170" w:type="dxa"/>
            <w:shd w:val="clear" w:color="auto" w:fill="FFFFFF"/>
          </w:tcPr>
          <w:p w14:paraId="1679C3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6858" w:type="dxa"/>
            <w:shd w:val="clear" w:color="auto" w:fill="FFFFFF"/>
          </w:tcPr>
          <w:p w14:paraId="585B6E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ПРИМЕЧАНИЯ: 10 запасных корпусов; выполнен к 25 мая 1917 г.; возможно, помимо корпусов поставлено и 20 запасных нижних крыльев</w:t>
            </w:r>
          </w:p>
        </w:tc>
      </w:tr>
      <w:tr w:rsidR="002B1C74" w:rsidRPr="002F2FDF" w14:paraId="5D4EA1D5" w14:textId="77777777">
        <w:tc>
          <w:tcPr>
            <w:tcW w:w="1548" w:type="dxa"/>
            <w:shd w:val="clear" w:color="auto" w:fill="FFFFFF"/>
          </w:tcPr>
          <w:p w14:paraId="0D89B1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 26 1917</w:t>
            </w:r>
          </w:p>
        </w:tc>
        <w:tc>
          <w:tcPr>
            <w:tcW w:w="1170" w:type="dxa"/>
            <w:shd w:val="clear" w:color="auto" w:fill="FFFFFF"/>
          </w:tcPr>
          <w:p w14:paraId="766702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6858" w:type="dxa"/>
            <w:shd w:val="clear" w:color="auto" w:fill="FFFFFF"/>
          </w:tcPr>
          <w:p w14:paraId="68E612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2B1C74" w:rsidRPr="002F2FDF" w14:paraId="45C275FB" w14:textId="77777777">
        <w:tc>
          <w:tcPr>
            <w:tcW w:w="1548" w:type="dxa"/>
            <w:shd w:val="clear" w:color="auto" w:fill="FFFFFF"/>
          </w:tcPr>
          <w:p w14:paraId="2CA35B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 28 1917</w:t>
            </w:r>
          </w:p>
        </w:tc>
        <w:tc>
          <w:tcPr>
            <w:tcW w:w="1170" w:type="dxa"/>
            <w:shd w:val="clear" w:color="auto" w:fill="FFFFFF"/>
          </w:tcPr>
          <w:p w14:paraId="120A23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c>
          <w:tcPr>
            <w:tcW w:w="6858" w:type="dxa"/>
            <w:shd w:val="clear" w:color="auto" w:fill="FFFFFF"/>
          </w:tcPr>
          <w:p w14:paraId="2A06C3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тыс. руб. за аппарат под мотор “Рон” 125 л.с., срок исполнения с 1 сентября 1917 г. по 1 января 1918 г. (не выполнен)</w:t>
            </w:r>
          </w:p>
          <w:p w14:paraId="6080BC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ПРИМЕЧАНИЯ: заказ дан Опытному заводу Д. П. Григоровича (см. главу 2 и раздел М-20)</w:t>
            </w:r>
          </w:p>
        </w:tc>
      </w:tr>
      <w:tr w:rsidR="002B1C74" w:rsidRPr="002F2FDF" w14:paraId="32868E4D" w14:textId="77777777">
        <w:tc>
          <w:tcPr>
            <w:tcW w:w="1548" w:type="dxa"/>
            <w:tcBorders>
              <w:bottom w:val="single" w:sz="12" w:space="0" w:color="auto"/>
            </w:tcBorders>
            <w:shd w:val="clear" w:color="auto" w:fill="FFFFFF"/>
          </w:tcPr>
          <w:p w14:paraId="503507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 31 1917</w:t>
            </w:r>
          </w:p>
        </w:tc>
        <w:tc>
          <w:tcPr>
            <w:tcW w:w="1170" w:type="dxa"/>
            <w:tcBorders>
              <w:bottom w:val="single" w:sz="12" w:space="0" w:color="auto"/>
            </w:tcBorders>
            <w:shd w:val="clear" w:color="auto" w:fill="FFFFFF"/>
          </w:tcPr>
          <w:p w14:paraId="1D7774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6858" w:type="dxa"/>
            <w:tcBorders>
              <w:bottom w:val="single" w:sz="12" w:space="0" w:color="auto"/>
            </w:tcBorders>
            <w:shd w:val="clear" w:color="auto" w:fill="FFFFFF"/>
          </w:tcPr>
          <w:p w14:paraId="0AC494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контракт на ранее приобретенные аппараты (2807)</w:t>
            </w:r>
          </w:p>
        </w:tc>
      </w:tr>
    </w:tbl>
    <w:p w14:paraId="6F0DE11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80DCE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4A7C1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AE39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июня (3 июля) 1917 на Бельбекском аэродроме л Севастопольской авиашколы штабс-капитан Н.И.Белоусович совершил впервые в России фигурный полет в виде буквы S в вертикальной плоскости, т.е. повторил маневр француза А.Пегу (3644).</w:t>
      </w:r>
    </w:p>
    <w:p w14:paraId="00EA68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C133B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20 июня </w:t>
      </w:r>
      <w:r w:rsidR="00BA5C59" w:rsidRPr="002F2FDF">
        <w:rPr>
          <w:rFonts w:ascii="Times New Roman" w:hAnsi="Times New Roman" w:cs="Times New Roman"/>
          <w:color w:val="000000" w:themeColor="text1"/>
          <w:kern w:val="2"/>
          <w:sz w:val="16"/>
          <w:szCs w:val="16"/>
        </w:rPr>
        <w:t xml:space="preserve">(3 июля) </w:t>
      </w:r>
      <w:r w:rsidRPr="002F2FDF">
        <w:rPr>
          <w:rFonts w:ascii="Times New Roman" w:hAnsi="Times New Roman" w:cs="Times New Roman"/>
          <w:color w:val="000000" w:themeColor="text1"/>
          <w:kern w:val="2"/>
          <w:sz w:val="16"/>
          <w:szCs w:val="16"/>
        </w:rPr>
        <w:t>1917 на Бельбекском аэродроме летчик Севастопольской авиашколы штабс-капитан Николай Иванович Белоусович совершил впервые в России фигурный полет в виде буквы S в вертикальном плоскости, т.е. повторил маневр француза А.Пегу, показанный последним в 1913 воду (ЦГВИА.ф.493, оп.8, д.93, л.85, рапорт н-ка Бельбекского отделения).</w:t>
      </w:r>
    </w:p>
    <w:p w14:paraId="7DEAB70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8C0F44" w14:textId="77777777" w:rsidR="00880BED" w:rsidRPr="00815ED5" w:rsidRDefault="00880BED"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20 июня</w:t>
      </w:r>
      <w:r>
        <w:rPr>
          <w:rFonts w:ascii="Times New Roman" w:hAnsi="Times New Roman" w:cs="Times New Roman"/>
          <w:color w:val="0070C0"/>
          <w:sz w:val="16"/>
          <w:szCs w:val="16"/>
        </w:rPr>
        <w:t xml:space="preserve"> (3 июля)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815ED5">
        <w:rPr>
          <w:rFonts w:ascii="Times New Roman" w:hAnsi="Times New Roman" w:cs="Times New Roman"/>
          <w:color w:val="0070C0"/>
          <w:sz w:val="16"/>
          <w:szCs w:val="16"/>
        </w:rPr>
        <w:t>а Бельбекском аэродроме летчик Севастопольской авиа</w:t>
      </w:r>
      <w:r w:rsidRPr="00815ED5">
        <w:rPr>
          <w:rFonts w:ascii="Times New Roman" w:hAnsi="Times New Roman" w:cs="Times New Roman"/>
          <w:color w:val="0070C0"/>
          <w:sz w:val="16"/>
          <w:szCs w:val="16"/>
        </w:rPr>
        <w:softHyphen/>
        <w:t xml:space="preserve">школы </w:t>
      </w:r>
      <w:r>
        <w:rPr>
          <w:rFonts w:ascii="Times New Roman" w:hAnsi="Times New Roman" w:cs="Times New Roman"/>
          <w:color w:val="0070C0"/>
          <w:sz w:val="16"/>
          <w:szCs w:val="16"/>
        </w:rPr>
        <w:t>ш</w:t>
      </w:r>
      <w:r w:rsidRPr="00815ED5">
        <w:rPr>
          <w:rFonts w:ascii="Times New Roman" w:hAnsi="Times New Roman" w:cs="Times New Roman"/>
          <w:color w:val="0070C0"/>
          <w:sz w:val="16"/>
          <w:szCs w:val="16"/>
        </w:rPr>
        <w:t>т.-капитан Николай Иванович Белоусович совершил впервые в России фигурный полет в виде буквы в вертикальной плоскости,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т.е. повторил маневр француза А.Пегу,</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показанный последним в 1913 году.</w:t>
      </w:r>
    </w:p>
    <w:p w14:paraId="0A326E8F" w14:textId="77777777" w:rsidR="00880BED" w:rsidRDefault="00880BED"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8,</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93,</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л.85,</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рапорт н-ка Бельбекского отделения/</w:t>
      </w:r>
      <w:r>
        <w:rPr>
          <w:rFonts w:ascii="Times New Roman" w:hAnsi="Times New Roman" w:cs="Times New Roman"/>
          <w:color w:val="0070C0"/>
          <w:sz w:val="16"/>
          <w:szCs w:val="16"/>
        </w:rPr>
        <w:t xml:space="preserve"> (23320).</w:t>
      </w:r>
    </w:p>
    <w:p w14:paraId="4BC82908" w14:textId="77777777" w:rsidR="00880BED" w:rsidRPr="00815ED5" w:rsidRDefault="00880BED" w:rsidP="0083075A">
      <w:pPr>
        <w:spacing w:after="0" w:line="240" w:lineRule="auto"/>
        <w:jc w:val="both"/>
        <w:rPr>
          <w:rFonts w:ascii="Times New Roman" w:hAnsi="Times New Roman" w:cs="Times New Roman"/>
          <w:color w:val="0070C0"/>
          <w:sz w:val="16"/>
          <w:szCs w:val="16"/>
        </w:rPr>
      </w:pPr>
    </w:p>
    <w:p w14:paraId="307C2C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июня (3 июля) 1917 согласно телеграмме Авиадарма (авиации действующей армии) полковника В.М.Ткачева "В Эскадре воздушных кораблей по штату 30 кораблей. В ближайшем времени штат будет сокращен до 16 кораблей" (237,129).</w:t>
      </w:r>
    </w:p>
    <w:p w14:paraId="26C639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2F0866" w14:textId="54BD7E84" w:rsidR="00B52344" w:rsidRPr="00FB4F67" w:rsidRDefault="00B5234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20 июня (</w:t>
      </w:r>
      <w:r w:rsidRPr="00FB4F67">
        <w:rPr>
          <w:rFonts w:ascii="Times New Roman" w:hAnsi="Times New Roman" w:cs="Times New Roman"/>
          <w:color w:val="0070C0"/>
          <w:sz w:val="16"/>
          <w:szCs w:val="16"/>
        </w:rPr>
        <w:t>3 июля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девять немецких гидроаэропланов совершили два налета на южную оконечность о. Эзель, сбросив 24 бомбы на позиции батарей, </w:t>
      </w:r>
      <w:bookmarkStart w:id="166" w:name="bookmark824"/>
      <w:bookmarkStart w:id="167" w:name="bookmark825"/>
      <w:r w:rsidRPr="00FB4F67">
        <w:rPr>
          <w:rFonts w:ascii="Times New Roman" w:hAnsi="Times New Roman" w:cs="Times New Roman"/>
          <w:color w:val="0070C0"/>
          <w:sz w:val="16"/>
          <w:szCs w:val="16"/>
        </w:rPr>
        <w:t>ангары и здания нашей воздушной станции. Благодаря своевременно созданной зенитной завесе, результаты бомбардировки оказались минимальны. Один из воздушных налетов был совершен во время посещения острова Моонзундского архипелага американского адмирала Джеймса Гленнона со своим штабом (обошлось без жертв) (23405).</w:t>
      </w:r>
      <w:bookmarkEnd w:id="166"/>
      <w:bookmarkEnd w:id="167"/>
    </w:p>
    <w:p w14:paraId="2161F89D" w14:textId="77777777" w:rsidR="00B52344" w:rsidRPr="00FB4F67" w:rsidRDefault="00B52344" w:rsidP="0083075A">
      <w:pPr>
        <w:spacing w:after="0" w:line="240" w:lineRule="auto"/>
        <w:jc w:val="both"/>
        <w:rPr>
          <w:rFonts w:ascii="Times New Roman" w:hAnsi="Times New Roman" w:cs="Times New Roman"/>
          <w:color w:val="0070C0"/>
          <w:sz w:val="16"/>
          <w:szCs w:val="16"/>
        </w:rPr>
      </w:pPr>
    </w:p>
    <w:p w14:paraId="1D9C7F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20 июня </w:t>
      </w:r>
      <w:r w:rsidR="00BA5C59" w:rsidRPr="002F2FDF">
        <w:rPr>
          <w:rFonts w:ascii="Times New Roman" w:hAnsi="Times New Roman" w:cs="Times New Roman"/>
          <w:color w:val="000000" w:themeColor="text1"/>
          <w:kern w:val="2"/>
          <w:sz w:val="16"/>
          <w:szCs w:val="16"/>
        </w:rPr>
        <w:t xml:space="preserve">(3 июля) </w:t>
      </w:r>
      <w:r w:rsidRPr="002F2FDF">
        <w:rPr>
          <w:rFonts w:ascii="Times New Roman" w:hAnsi="Times New Roman" w:cs="Times New Roman"/>
          <w:color w:val="000000" w:themeColor="text1"/>
          <w:kern w:val="2"/>
          <w:sz w:val="16"/>
          <w:szCs w:val="16"/>
        </w:rPr>
        <w:t>1917 г. при посадке было потеряно сразу 2 корабля. В этот день было облачно и "Муромцы", не выполнив задания повернули обратно. XVIII-й корабль ротмистра А.В.Се- редницкого был сильно поврежден при приземлении. Корабль XIV-й гвардии штабс-капитана С.Н.Никольского зацепил верхушки деревьев, из-за утечки бензина произошло возгорание, затем сдетонировали бомбы. Экипаж остался невредим, а корабль разнесло в щепы. Этот "Муромец" успел совершить всего 2 боевых полета (12038).</w:t>
      </w:r>
    </w:p>
    <w:p w14:paraId="17D9A7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F5C2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20 июня </w:t>
      </w:r>
      <w:r w:rsidR="00BA5C59" w:rsidRPr="002F2FDF">
        <w:rPr>
          <w:rFonts w:ascii="Times New Roman" w:hAnsi="Times New Roman" w:cs="Times New Roman"/>
          <w:color w:val="000000" w:themeColor="text1"/>
          <w:kern w:val="2"/>
          <w:sz w:val="16"/>
          <w:szCs w:val="16"/>
        </w:rPr>
        <w:t xml:space="preserve">(3 июля) </w:t>
      </w:r>
      <w:r w:rsidRPr="002F2FDF">
        <w:rPr>
          <w:rFonts w:ascii="Times New Roman" w:hAnsi="Times New Roman" w:cs="Times New Roman"/>
          <w:color w:val="000000" w:themeColor="text1"/>
          <w:kern w:val="2"/>
          <w:sz w:val="16"/>
          <w:szCs w:val="16"/>
        </w:rPr>
        <w:t>1917 года при посадке было потеряно сразу два корабля. В этот день было облачно и "Муромцы", не выполнив задания, повернули обратно. XVIII корабль ротмистра А.В. Середницкого был сильно повреждён при приземлении. "Илья Муромец XIV" гвардии штабс-капитана С.Н. Никольского при посадке зацепил верхушки деревьев, упал. Из-за утечки бензина произошло возгорание, затем сдетонировали бомбы. Экипаж остался невредим, а аэроплан разнесло в щепы. Этот корабль успел совершить всего два боевых полёта.</w:t>
      </w:r>
    </w:p>
    <w:p w14:paraId="564582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этот день генерал-майор Шидловский (телеграфно "Начмуромец") покинул пост начальника ЭВК и его сменил полковник Г.Г. Горшков. Оценка деятельности Шидловского на этом посту весьма неоднозначна и давать её можно только обладая всей полнотой картины. Но вот, например, авиадарм (начальник полевого управления авиации и воздухоплавания при штабе Верховного главнокомандующего, телеграфно - "авиадарм") В.М. Ткачёв в своих мемуарах полагал, что деятельность Шидловского причинила больше вреда нашей авиации, чем принесла ей пользы (12041).</w:t>
      </w:r>
    </w:p>
    <w:p w14:paraId="43A983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2FB1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20-25 июня (3 - 8 июля) 1917 г. под Конюхами Русская авиация сыграла исключительную роль в прорыве германского фронта. Участок передовой линии окопов противника перед фронтом 11-й армии был полностью заснят на пленку фотоаппаратом “Потте” с высоты 1000-1200 м. На одном снимке помещались как свои окопы, так и противника. Вся лента была затем развернута в карту и передана артиллерийскому командованию с приложением фотоснимков. Это позволило частям тяжелой артиллерии обрушить прицельный огонь на укрепленную полосу противника. Стрельба велась в течение нескольких дней и ночей. Окопы первой линии противника вместе с проволочными заграждениями были смешаны с землей, пулеметные гнезда и ходы сообщений ликвидированы. Успех артиллерии был бы невозможен без корректирования стрельбы авиаотрядами.</w:t>
      </w:r>
    </w:p>
    <w:p w14:paraId="15CB35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Артиллерийская подготовка позволила русской пехоте при наступлении за сутки занять первую, вторую и третью линии окопов противника. Там, где не было хорошей артподготовки, пехота понесла тяжелые потери. Участник этой операции Н. М. Брагин в своих неопубликованных воспоминаниях пишет:</w:t>
      </w:r>
    </w:p>
    <w:p w14:paraId="2FCDC1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“Отдельные фотоснимки, произведенные до начала артиллерийской подготовки, а затем после нее давали наглядную картину, с какой точностью ложились наши снаряды на окопы, батареи и другие объекты противника. Фотоснимки наглядно характеризовали разрушительное действие нашей артиллерии. На некоторых снимках воронки от снарядов буквально перекрывали друг друга. Снимки, произведенные мной в полдень, в ясные дни июньского наступления, были особенно четки, на них легко можно было различать не только разбитые нашей артиллерией батареи, окопы и ходы сообщений противника, а даже отдельные повозки или артиллерийские патронные ящики, стоявшие во дворе какого-либо деревенского дома” (9705).</w:t>
      </w:r>
    </w:p>
    <w:p w14:paraId="0396BD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F68DDA" w14:textId="77777777" w:rsidR="007325A2" w:rsidRPr="002F2FDF" w:rsidRDefault="007325A2" w:rsidP="0083075A">
      <w:pPr>
        <w:pStyle w:val="ae"/>
        <w:spacing w:before="0" w:after="0"/>
        <w:jc w:val="both"/>
        <w:rPr>
          <w:color w:val="000000" w:themeColor="text1"/>
          <w:kern w:val="2"/>
          <w:sz w:val="16"/>
          <w:szCs w:val="16"/>
        </w:rPr>
      </w:pPr>
      <w:r w:rsidRPr="002F2FDF">
        <w:rPr>
          <w:color w:val="000000" w:themeColor="text1"/>
          <w:kern w:val="2"/>
          <w:sz w:val="16"/>
          <w:szCs w:val="16"/>
        </w:rPr>
        <w:t>20 июня (3 июля) 1917 было опубликовано воззвание Керенского к гражданам России: «Во имя свободы и чести России, во имя скорого и прочного мира русская армия на фронте готова выполнить свой долг перед страной. В эту минуту великих жертв и страданий я призываю всех к сознанию ответственности перед революционной армией, ибо только усилиями всех от мала до велика может быть облегчена боевая страда ее. &lt;…&gt; Пусть армия знает, что она не покинута, что за ней дружно, непоколебимой стеной стоит весь народ. &lt;…&gt; Пусть каждый несет все, что может, в общий пламенный порыв освобожденного и освобождающего народа. К напряжению всей мощи и единению всех творческих сил я от имени армии призываю страну» (17045).</w:t>
      </w:r>
    </w:p>
    <w:p w14:paraId="35ACCA66" w14:textId="77777777" w:rsidR="007325A2" w:rsidRPr="002F2FDF" w:rsidRDefault="007325A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DD7B9A" w14:textId="77777777" w:rsidR="003552A0" w:rsidRPr="002F2FDF" w:rsidRDefault="003552A0" w:rsidP="0083075A">
      <w:pPr>
        <w:pStyle w:val="ae"/>
        <w:spacing w:before="0" w:after="0"/>
        <w:jc w:val="both"/>
        <w:rPr>
          <w:color w:val="000000" w:themeColor="text1"/>
          <w:kern w:val="2"/>
          <w:sz w:val="16"/>
          <w:szCs w:val="16"/>
        </w:rPr>
      </w:pPr>
      <w:r w:rsidRPr="002F2FDF">
        <w:rPr>
          <w:color w:val="000000" w:themeColor="text1"/>
          <w:kern w:val="2"/>
          <w:sz w:val="16"/>
          <w:szCs w:val="16"/>
        </w:rPr>
        <w:t>20 июня (3 июля) 1917 окончательно остановилось начатое двумя днями ранее наступление войск русского Юго-западного фронта в направлении Львова. Двигавшиеся впереди отборные «ударные части» взломали оборону немцев и австрийцев, но понесли ощутимые потери. Развивать наступление должны были шедшие следом обычные пехотные части, но они часто отказывались идти в атаку, обсуждая приказы офицеров в солдатских комитетах и на митингах. В итоге, несмотря на прорыв обороны врага и на значительное превосходство в живой силе и артиллерии, наступление к исходу 3 июля было приостановлено.</w:t>
      </w:r>
    </w:p>
    <w:p w14:paraId="0BDBA6E7" w14:textId="77777777" w:rsidR="003552A0" w:rsidRPr="002F2FDF" w:rsidRDefault="003552A0" w:rsidP="0083075A">
      <w:pPr>
        <w:pStyle w:val="ae"/>
        <w:spacing w:before="0" w:after="0"/>
        <w:jc w:val="both"/>
        <w:rPr>
          <w:color w:val="000000" w:themeColor="text1"/>
          <w:kern w:val="2"/>
          <w:sz w:val="16"/>
          <w:szCs w:val="16"/>
        </w:rPr>
      </w:pPr>
      <w:r w:rsidRPr="002F2FDF">
        <w:rPr>
          <w:color w:val="000000" w:themeColor="text1"/>
          <w:kern w:val="2"/>
          <w:sz w:val="16"/>
          <w:szCs w:val="16"/>
        </w:rPr>
        <w:t>6 июля, когда командование смогло собрать более-менее боеспособные части, атаки продолжились, но были настолько вялыми, что уже не принесли результатов.</w:t>
      </w:r>
    </w:p>
    <w:p w14:paraId="049EAB3D" w14:textId="77777777" w:rsidR="003552A0" w:rsidRPr="002F2FDF" w:rsidRDefault="003552A0" w:rsidP="0083075A">
      <w:pPr>
        <w:pStyle w:val="ae"/>
        <w:spacing w:before="0" w:after="0"/>
        <w:jc w:val="both"/>
        <w:rPr>
          <w:color w:val="000000" w:themeColor="text1"/>
          <w:kern w:val="2"/>
          <w:sz w:val="16"/>
          <w:szCs w:val="16"/>
        </w:rPr>
      </w:pPr>
      <w:r w:rsidRPr="002F2FDF">
        <w:rPr>
          <w:color w:val="000000" w:themeColor="text1"/>
          <w:kern w:val="2"/>
          <w:sz w:val="16"/>
          <w:szCs w:val="16"/>
        </w:rPr>
        <w:t>Более удачно развивалось наступление на южном участке фронта, в направлении городов Станислав (ныне — украинский областной центр Ивано-Франковск) и Галич (город в Ивано-Франковской области). Там действовала 8-я ударная армия под командованием «железного» генерала Лавра Корнилова, которой, к тому же, противостояли не германские, а отличавшиеся куда меньшей стойкостью австрийские части. Армии Корнилова удалось сходу прорвать оборону противника, при этом были взяты более 7000 вражеских солдат и офицеров и захвачены 48 артиллерийских орудий. Город Станислав был взят в первые же дни. Военный историк генерал Андрей Зайончковский так писал о «Наступлении Керенского»: «Этот удар произвел сильное впечатление на германское командование. К месту прорыва начали сосредоточиваться резервы сначала с Русского, а потом и с Французского фронтов. Легкости перекидывания способствовало поведение французского командования и правительства. Его официальное заявление об отказе на ближайшее время от наступательных операций развязывали руки германскому командованию, и оно широко этим воспользовалось. В первую очередь было брошено шесть дивизий, из них две гвардейские» (17045).</w:t>
      </w:r>
    </w:p>
    <w:p w14:paraId="561BE2EE" w14:textId="77777777" w:rsidR="003552A0" w:rsidRPr="002F2FDF" w:rsidRDefault="003552A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DD9EE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F25C0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5AFF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июня (3 июля) 1917 окончило свою деятельность первое коалиционное правительство (3481).</w:t>
      </w:r>
    </w:p>
    <w:p w14:paraId="4C06FC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1D21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20-21 июня (3-4 июля) 1917 были волнения рабочих, матросов и солдат в Петрограде и Кронштадте в связи с арестами анархистов. Требование немедленного восстания (3908,259).</w:t>
      </w:r>
    </w:p>
    <w:p w14:paraId="4F968F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095F34" w14:textId="77777777" w:rsidR="0014789E" w:rsidRPr="002F2FDF" w:rsidRDefault="0014789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20 июня</w:t>
      </w:r>
      <w:r w:rsidRPr="002F2FDF">
        <w:rPr>
          <w:rFonts w:ascii="Times New Roman" w:hAnsi="Times New Roman" w:cs="Times New Roman"/>
          <w:color w:val="000000" w:themeColor="text1"/>
          <w:kern w:val="2"/>
          <w:sz w:val="16"/>
          <w:szCs w:val="16"/>
        </w:rPr>
        <w:t xml:space="preserve"> (3 июля) в 1917 году временное правительство передает церковно-приходские и все остальные церковные школы в ведение Министерства просвещения. Полная реорганизация церковно-приходских школ (14928).</w:t>
      </w:r>
    </w:p>
    <w:p w14:paraId="28962B7A" w14:textId="77777777" w:rsidR="0014789E" w:rsidRPr="002F2FDF" w:rsidRDefault="0014789E" w:rsidP="0083075A">
      <w:pPr>
        <w:spacing w:after="0" w:line="240" w:lineRule="auto"/>
        <w:jc w:val="both"/>
        <w:rPr>
          <w:rFonts w:ascii="Times New Roman" w:hAnsi="Times New Roman" w:cs="Times New Roman"/>
          <w:color w:val="000000" w:themeColor="text1"/>
          <w:kern w:val="2"/>
          <w:sz w:val="16"/>
          <w:szCs w:val="16"/>
        </w:rPr>
      </w:pPr>
    </w:p>
    <w:p w14:paraId="240EBC24" w14:textId="77777777" w:rsidR="009042DF"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64547C3B" w14:textId="77777777" w:rsidR="009042DF" w:rsidRPr="002F2FDF" w:rsidRDefault="009042D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2EC465" w14:textId="7777777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июня (3 июля) 1917 г. Телеграмма военного министра А. Ф. Керенского из действующей армии М. И. Терещенко о значительном браке в присланной из-за границы тяжелой артиллерии.</w:t>
      </w:r>
    </w:p>
    <w:p w14:paraId="55310BD1" w14:textId="2E0E6C2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495-495</w:t>
      </w:r>
    </w:p>
    <w:p w14:paraId="559F2272" w14:textId="19ABDBE7" w:rsidR="009042DF" w:rsidRPr="002F2FDF" w:rsidRDefault="009042D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Секретного архива, д. 662/674, л. 73. Копия. Сб. секретных документов из архива бывшего МИД, изд. НКИД, 1917, док. № 44.</w:t>
      </w:r>
    </w:p>
    <w:p w14:paraId="54F9613B" w14:textId="77777777" w:rsidR="009042DF" w:rsidRPr="002F2FDF" w:rsidRDefault="009042DF" w:rsidP="0083075A">
      <w:pPr>
        <w:pStyle w:val="rtejustify"/>
        <w:spacing w:before="0" w:after="0"/>
        <w:rPr>
          <w:color w:val="000000" w:themeColor="text1"/>
          <w:kern w:val="2"/>
          <w:sz w:val="16"/>
          <w:szCs w:val="16"/>
        </w:rPr>
      </w:pPr>
      <w:r w:rsidRPr="002F2FDF">
        <w:rPr>
          <w:color w:val="000000" w:themeColor="text1"/>
          <w:kern w:val="2"/>
          <w:sz w:val="16"/>
          <w:szCs w:val="16"/>
        </w:rPr>
        <w:t>Укажите соответствующим послам, что тяжелая артиллерия, присланная их правительствами, видимо, в значительной части из брака, так как 35% не выдержали двухдневной умеренной стрельбы. Настойте</w:t>
      </w:r>
      <w:hyperlink r:id="rId275" w:anchor="_ftn1" w:history="1">
        <w:r w:rsidRPr="002F2FDF">
          <w:rPr>
            <w:rStyle w:val="a5"/>
            <w:color w:val="000000" w:themeColor="text1"/>
            <w:kern w:val="2"/>
            <w:sz w:val="16"/>
            <w:szCs w:val="16"/>
            <w:vertAlign w:val="superscript"/>
          </w:rPr>
          <w:t>[1]</w:t>
        </w:r>
      </w:hyperlink>
      <w:r w:rsidRPr="002F2FDF">
        <w:rPr>
          <w:color w:val="000000" w:themeColor="text1"/>
          <w:kern w:val="2"/>
          <w:sz w:val="16"/>
          <w:szCs w:val="16"/>
        </w:rPr>
        <w:t xml:space="preserve"> на внеочередной присылке авиационных аппаратов, материальной части на смену убывшей. Добейтесь отозвания с фронта полк. Нокса, продолжающего фрондировать. Ускорьте созыв союзной конференции. Крайне необходимо ускорение темпа и большей ясности работы союзнической дипломатии. Напряжение фронта нужно использовать всемерно ввиду известного вам положения страны и армии. Помните, что каждый шаг фронта дается нам с огромным трудом. Только комбинированными и своевременными действиями дипломатии с армией мы закрепим положение и избежим срыва.</w:t>
      </w:r>
    </w:p>
    <w:p w14:paraId="7E13EAE6" w14:textId="77777777" w:rsidR="009042DF" w:rsidRPr="002F2FDF" w:rsidRDefault="009042DF" w:rsidP="0083075A">
      <w:pPr>
        <w:pStyle w:val="rtejustify"/>
        <w:spacing w:before="0" w:after="0"/>
        <w:rPr>
          <w:color w:val="000000" w:themeColor="text1"/>
          <w:kern w:val="2"/>
          <w:sz w:val="16"/>
          <w:szCs w:val="16"/>
        </w:rPr>
      </w:pPr>
      <w:r w:rsidRPr="002F2FDF">
        <w:rPr>
          <w:color w:val="000000" w:themeColor="text1"/>
          <w:kern w:val="2"/>
          <w:sz w:val="16"/>
          <w:szCs w:val="16"/>
        </w:rPr>
        <w:t>Телеграфируйте положение.</w:t>
      </w:r>
      <w:hyperlink r:id="rId276" w:anchor="_ftn2" w:history="1">
        <w:r w:rsidRPr="002F2FDF">
          <w:rPr>
            <w:rStyle w:val="a5"/>
            <w:color w:val="000000" w:themeColor="text1"/>
            <w:kern w:val="2"/>
            <w:sz w:val="16"/>
            <w:szCs w:val="16"/>
            <w:vertAlign w:val="superscript"/>
          </w:rPr>
          <w:t>[2]</w:t>
        </w:r>
      </w:hyperlink>
      <w:r w:rsidRPr="002F2FDF">
        <w:rPr>
          <w:color w:val="000000" w:themeColor="text1"/>
          <w:kern w:val="2"/>
          <w:sz w:val="16"/>
          <w:szCs w:val="16"/>
        </w:rPr>
        <w:t xml:space="preserve"> Привет.</w:t>
      </w:r>
    </w:p>
    <w:p w14:paraId="5D276AEB" w14:textId="77777777" w:rsidR="009042DF" w:rsidRPr="002F2FDF" w:rsidRDefault="009042DF"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Керенский.</w:t>
      </w:r>
    </w:p>
    <w:p w14:paraId="4C3DB2D4" w14:textId="77777777" w:rsidR="009042DF" w:rsidRPr="002F2FDF" w:rsidRDefault="00000000" w:rsidP="0083075A">
      <w:pPr>
        <w:pStyle w:val="ae"/>
        <w:spacing w:before="0" w:after="0"/>
        <w:jc w:val="both"/>
        <w:rPr>
          <w:color w:val="000000" w:themeColor="text1"/>
          <w:kern w:val="2"/>
          <w:sz w:val="16"/>
          <w:szCs w:val="16"/>
        </w:rPr>
      </w:pPr>
      <w:hyperlink r:id="rId277" w:anchor="_ftnref1" w:history="1">
        <w:r w:rsidR="009042DF" w:rsidRPr="002F2FDF">
          <w:rPr>
            <w:rStyle w:val="a5"/>
            <w:color w:val="000000" w:themeColor="text1"/>
            <w:kern w:val="2"/>
            <w:sz w:val="16"/>
            <w:szCs w:val="16"/>
          </w:rPr>
          <w:t>[1]</w:t>
        </w:r>
      </w:hyperlink>
      <w:r w:rsidR="009042DF" w:rsidRPr="002F2FDF">
        <w:rPr>
          <w:color w:val="000000" w:themeColor="text1"/>
          <w:kern w:val="2"/>
          <w:sz w:val="16"/>
          <w:szCs w:val="16"/>
        </w:rPr>
        <w:t xml:space="preserve"> Так в док.</w:t>
      </w:r>
    </w:p>
    <w:p w14:paraId="760259B6" w14:textId="77777777" w:rsidR="009042DF" w:rsidRPr="002F2FDF" w:rsidRDefault="00000000" w:rsidP="0083075A">
      <w:pPr>
        <w:pStyle w:val="rtejustify"/>
        <w:spacing w:before="0" w:after="0"/>
        <w:rPr>
          <w:color w:val="000000" w:themeColor="text1"/>
          <w:kern w:val="2"/>
          <w:sz w:val="16"/>
          <w:szCs w:val="16"/>
        </w:rPr>
      </w:pPr>
      <w:hyperlink r:id="rId278" w:anchor="_ftnref2" w:history="1">
        <w:r w:rsidR="009042DF" w:rsidRPr="002F2FDF">
          <w:rPr>
            <w:rStyle w:val="a5"/>
            <w:color w:val="000000" w:themeColor="text1"/>
            <w:kern w:val="2"/>
            <w:sz w:val="16"/>
            <w:szCs w:val="16"/>
          </w:rPr>
          <w:t>[2]</w:t>
        </w:r>
      </w:hyperlink>
      <w:r w:rsidR="009042DF" w:rsidRPr="002F2FDF">
        <w:rPr>
          <w:color w:val="000000" w:themeColor="text1"/>
          <w:kern w:val="2"/>
          <w:sz w:val="16"/>
          <w:szCs w:val="16"/>
        </w:rPr>
        <w:t xml:space="preserve"> В ответной телеграмме Керенскому от 22 июня 1917 г. М. И. Терещенко писал: «О браке артиллерии заявил англичанину и французу сегодня, которые телеграфно сообщили своим правительствам. Комиссия от англичан для выяснения дефектов командируется завтра. Ноксу указана необходимость вернуться в Петроград к началу будущей недели... Настойчивый тон возможен только благодаря нашей боевой активности» (АВГ1Р, ф. Секретного архива, д. 652/674, л. 78) (15154).</w:t>
      </w:r>
    </w:p>
    <w:p w14:paraId="53388E22" w14:textId="77777777" w:rsidR="009042DF" w:rsidRPr="002F2FDF" w:rsidRDefault="009042DF"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3BB1814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3BA1D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059A6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июня (3 июля) 1917 в США отменено положение о том, что смотровыми офицерами на американских кораблях могут быть только граждане США (4962).</w:t>
      </w:r>
    </w:p>
    <w:p w14:paraId="100159E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E2CFC2" w14:textId="77777777" w:rsidR="003552A0" w:rsidRPr="002F2FDF" w:rsidRDefault="003552A0" w:rsidP="0083075A">
      <w:pPr>
        <w:pStyle w:val="ae"/>
        <w:spacing w:before="0" w:after="0"/>
        <w:jc w:val="both"/>
        <w:rPr>
          <w:color w:val="000000" w:themeColor="text1"/>
          <w:kern w:val="2"/>
          <w:sz w:val="16"/>
          <w:szCs w:val="16"/>
        </w:rPr>
      </w:pPr>
      <w:r w:rsidRPr="002F2FDF">
        <w:rPr>
          <w:color w:val="000000" w:themeColor="text1"/>
          <w:kern w:val="2"/>
          <w:sz w:val="16"/>
          <w:szCs w:val="16"/>
        </w:rPr>
        <w:t>В период с 20 по 26 июня (3 по 9 июля) 1917 немецкие подводные лодки затопили 79 судов стран Антанты и нейтральных государств (17045).</w:t>
      </w:r>
    </w:p>
    <w:p w14:paraId="7E48FAF9" w14:textId="77777777" w:rsidR="003552A0" w:rsidRPr="002F2FDF" w:rsidRDefault="003552A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D116D2" w14:textId="77777777" w:rsidR="00060FC5"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0655394" w14:textId="77777777" w:rsidR="00060FC5" w:rsidRPr="002F2FDF" w:rsidRDefault="00060FC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440DB6" w14:textId="77777777" w:rsidR="00060FC5" w:rsidRPr="002F2FDF" w:rsidRDefault="00060FC5"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21 июня (4 июля)</w:t>
      </w:r>
      <w:r w:rsidRPr="002F2FDF">
        <w:rPr>
          <w:rFonts w:ascii="Times New Roman" w:hAnsi="Times New Roman" w:cs="Times New Roman"/>
          <w:color w:val="000000" w:themeColor="text1"/>
          <w:kern w:val="2"/>
          <w:sz w:val="16"/>
          <w:szCs w:val="16"/>
        </w:rPr>
        <w:t xml:space="preserve"> в 1917 году на основании Распоряжения Управления Военно-воздушного флота создан ОАО "Казанский завод "Электроприбор" как Московский казенный завод авиационных измерительных приборов. В 1918, 1933 годах происходит смены наименований предприятий. В 1937 году предприятие было переименовано в «Завод «230». В 1941 году предприятие было эвакуировано из Москвы в Казань. В годы Великой Отечественной войны на предприятии выпускались узлы и детали предназначенные для военной авиационной техники. В 1965 году предприятие получило очередное название завод «Электроприбор». В 1999 году завод получил ГУП «Казанский завод «Электроприбор». На основание Постановления Кабинетов министра Республики Татарстан от 19 ноября 2003 г. №591 «О внесении дополнения в постановление Кабинета Министров республике Татарстан в 20023 году» и Распоряжения Министерства земельных и имущественных отношений Республики Татарстан от 4 апреля 2003 г. № 600-р "О подготовке к приватизации ГУП Казанский завод "Электроприбор" был составлен план приватизации и утвержден Постановлением Министерства земельных и имущественных отношений Республики Татарстан от 28 июня 2004 г. № 76. В соответствии с этим постановлением ГУП Казанский завод «Электроприбор» реорганизован в форме преобразования в открытое акционерное общество Казанский завод "Электроприбор". Сегодня на «Электроприборе» производится более 700 наименований изделий, предназначенных для оборонного комплекса страны и машиностроения (14942).</w:t>
      </w:r>
    </w:p>
    <w:p w14:paraId="2FCEDAC2" w14:textId="77777777" w:rsidR="00060FC5" w:rsidRPr="002F2FDF" w:rsidRDefault="00060FC5" w:rsidP="0083075A">
      <w:pPr>
        <w:spacing w:after="0" w:line="240" w:lineRule="auto"/>
        <w:jc w:val="both"/>
        <w:rPr>
          <w:rFonts w:ascii="Times New Roman" w:hAnsi="Times New Roman" w:cs="Times New Roman"/>
          <w:color w:val="000000" w:themeColor="text1"/>
          <w:kern w:val="2"/>
          <w:sz w:val="16"/>
          <w:szCs w:val="16"/>
        </w:rPr>
      </w:pPr>
    </w:p>
    <w:p w14:paraId="6F602B6E"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21 июня (4 июля) 1917 года </w:t>
      </w:r>
    </w:p>
    <w:p w14:paraId="576F0FFF"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Совершенно секретно. </w:t>
      </w:r>
    </w:p>
    <w:p w14:paraId="5AC59F59"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Журнал № 171 Особого Совещания для обсуждения и объединения мероприятий по обороне государства. </w:t>
      </w:r>
    </w:p>
    <w:p w14:paraId="6A7F00E1"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21 июня 1917 года. </w:t>
      </w:r>
    </w:p>
    <w:p w14:paraId="2551B8FE"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Председательствовал . П. И. Пальчинский. </w:t>
      </w:r>
    </w:p>
    <w:p w14:paraId="4B32A869"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Присутствовали: Член Государственного Совета . С. И. Тимашев.</w:t>
      </w:r>
    </w:p>
    <w:p w14:paraId="7173B090"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в. И. Тимирязев.</w:t>
      </w:r>
    </w:p>
    <w:p w14:paraId="7E497E24"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в. И. Карпов.</w:t>
      </w:r>
    </w:p>
    <w:p w14:paraId="647938C4"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в. И. Гурко.</w:t>
      </w:r>
    </w:p>
    <w:p w14:paraId="1983A3A1"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Ф. И. Иванов.</w:t>
      </w:r>
    </w:p>
    <w:p w14:paraId="6A290498"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Член Государственной Думы . А. А. Добровольский.</w:t>
      </w:r>
    </w:p>
    <w:p w14:paraId="42A22265"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Н. В. Савич.</w:t>
      </w:r>
    </w:p>
    <w:p w14:paraId="610E5B19"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Д. Н. Чихачев. </w:t>
      </w:r>
    </w:p>
    <w:p w14:paraId="7EC9C930"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военного министерства:</w:t>
      </w:r>
    </w:p>
    <w:p w14:paraId="1E3820FD"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 от артиллерии . А. А. Маниковский.</w:t>
      </w:r>
    </w:p>
    <w:p w14:paraId="6A5648C6"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Генерал-лейтенант . Н. А. Бабиков.</w:t>
      </w:r>
    </w:p>
    <w:p w14:paraId="0B32BCFC"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в. А. Лехович.</w:t>
      </w:r>
    </w:p>
    <w:p w14:paraId="3488B5FC"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Н. И. Богатко.</w:t>
      </w:r>
    </w:p>
    <w:p w14:paraId="7BBA655A"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А. К. Овчинников.</w:t>
      </w:r>
    </w:p>
    <w:p w14:paraId="38CF219C"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Генерал-майор . А. В. Шварц.</w:t>
      </w:r>
    </w:p>
    <w:p w14:paraId="7D493782"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От морского министерства: Адмирал . В. А. Канин. </w:t>
      </w:r>
    </w:p>
    <w:p w14:paraId="7CE36E42"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министерства финансов: Действительный статский советник . А. И. Ефимович. </w:t>
      </w:r>
    </w:p>
    <w:p w14:paraId="3C09D9E1"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министерства торговли и промышленности: Управляющий отделом промышленности .В. Е. Варзар. </w:t>
      </w:r>
    </w:p>
    <w:p w14:paraId="60F868F9"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Всероссийского городского союза: Уполномоченный союза . А. А. Давидов. </w:t>
      </w:r>
    </w:p>
    <w:p w14:paraId="34E0094D"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Центрального военно-промышленного комитета: Горный инженер . П. П. Козакевич. </w:t>
      </w:r>
    </w:p>
    <w:p w14:paraId="11D19795"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Особо приглашенные в заседание:</w:t>
      </w:r>
    </w:p>
    <w:p w14:paraId="30B0E2FB"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 от инфантерии . А. А. Поливанов.</w:t>
      </w:r>
    </w:p>
    <w:p w14:paraId="0D008556"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Генерал-лейтенант . А. А. Якимович.</w:t>
      </w:r>
    </w:p>
    <w:p w14:paraId="6807F906"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А. К. Овчинников.</w:t>
      </w:r>
    </w:p>
    <w:p w14:paraId="14E951A5"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В. Н. Ипатьев.</w:t>
      </w:r>
    </w:p>
    <w:p w14:paraId="55EDE116"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Н. Ф. Дроздов.</w:t>
      </w:r>
    </w:p>
    <w:p w14:paraId="21E0E109"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Генерал-майор . А. А. Саткевич.</w:t>
      </w:r>
    </w:p>
    <w:p w14:paraId="4B25DA27"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М. Н. Орлов.</w:t>
      </w:r>
    </w:p>
    <w:p w14:paraId="062EF9BD"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Действительный статский советник . в. П. Литвинов-Фалинский.</w:t>
      </w:r>
    </w:p>
    <w:p w14:paraId="532F8CE5"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Заместитель председателя Центрального военно-промышленного комитета . Н. Н. Изнар.</w:t>
      </w:r>
    </w:p>
    <w:p w14:paraId="623D00BC"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Тайный советник . И. К. Христофоров.</w:t>
      </w:r>
    </w:p>
    <w:p w14:paraId="59521A71"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П. Д. Блинов.</w:t>
      </w:r>
    </w:p>
    <w:p w14:paraId="3DCD3B57"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Управляющий хозяйств. отделом управления железных дорог . Е. П. Иванов.</w:t>
      </w:r>
    </w:p>
    <w:p w14:paraId="056A4DBA"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Генерал-лейтенант корпуса морской артиллерии . М. З. Шеманов.</w:t>
      </w:r>
    </w:p>
    <w:p w14:paraId="5A34993B"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Полковник . Б. Ф. Гончаров.</w:t>
      </w:r>
    </w:p>
    <w:p w14:paraId="2EE76345"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 . А. Ю. Грот.</w:t>
      </w:r>
    </w:p>
    <w:p w14:paraId="7DD82B0D"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Профессор . А. С. Ломшаков.</w:t>
      </w:r>
    </w:p>
    <w:p w14:paraId="68F87B85"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А. И. Астров.</w:t>
      </w:r>
    </w:p>
    <w:p w14:paraId="1FA78971"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Полковник . Д. Н. Швецов. </w:t>
      </w:r>
    </w:p>
    <w:p w14:paraId="79506BA5"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Делопроизводитель Особого Совещания: Подполковник . С. И. Качалов. </w:t>
      </w:r>
    </w:p>
    <w:p w14:paraId="1D3E909B"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 открытии заседания член Государственного Совета В. И. Карпов внес предложение о желательности приветствовать от Особого Совещания по обороне вождей народной армии по случаю перехода в наст…</w:t>
      </w:r>
    </w:p>
    <w:p w14:paraId="043E40EF"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Особое Совещание единодушно присоединилось к предложению В. И. Карпова и постановило послать приветственные телеграммы Военному министру А. Ф. Керенскому, Верховному Главнокомандующему, генералу от кавалерии Брусилову и Главнокомандующему армиями юго-западного фронта, генералу от инфантерии Гутору. В связи с принятым постановлением был одобрен нижеследующий текст телеграмм: «Военному министру Александру Федоровичу Керенскому. Особое Совещание по обороне государства, приветствуя пробуждение боевой мощи славной русской армии, чествует в Вашем лице вдохновителя блестяще начавшегося наступления. Родина оценит боевой подвиг армий Юго-Западного фронта, за самоотверженным почином которых, несомненно, последуют столь же доблестные действия всего русского воинства». «Верховному Главнокомандующему генералу Брусилову. Блестящие под верховным Вашим водительством действия армий Юго-Западного фронта убеждают Родину, что жив и ярким пламенем горит ныне боевой дух русского воинства. Особое Совещание по обороне государства приветствует в Вашем лице покрывшие себя неувядаемой славой полки 18 июня и твердо уверено, что пример этих полков вдохновит все русское воинство на новые подвиги, которые ускорят победоносное окончание войны». «Главнокомандующему Юго-Западным фронтом генералу Гутору. Славные полки 18 июня воскресили веру Родины в боевую мощь русской армии. Особое Совещание по обороне государства, восхищаясь геройским духом начавших наступление армий, твердо верит, что доблестный почин состоящих под Вашим главным командованием войск одушевит все русское воинство и ускорит победное окончание войны». </w:t>
      </w:r>
    </w:p>
    <w:p w14:paraId="634DD442"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Совещание переходит к рассмотрению очередных дел. Управляющий делами Совещания генерал-лейтенант Н. А. Бабиков огласил резолюцию по журналу от 17 июня 1917 года за № 170 и доложил о сделанных распоряжениях по исполнению этой резолюции. </w:t>
      </w:r>
    </w:p>
    <w:p w14:paraId="3BD4D419"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Далее, Совещание, утвердив заключение председателя химического комитета генерал-лейтенанта В. Н. Ипатьева о передаче акционерному обществу завода «Ф. Крулль» в Ревеле заказа на железные цистерны для сжиженного газа, заслушивает доклад подготовительной комиссии по артиллерийским вопросам193 о рассмотрении финансового плана Русско-Балтийского судостроительного и механического общества в связи с вопросом о выдаче ссуды. Означенный финансовый план представлен правительственным правлением названного общества во исполнение постановления Особого Совещания от 20 мая с. г., по ближайшем обследовании дел на Ревельском и Таганрогском заводах общества. В объяснительной записке, приложенной к плану, правление указывает, что, независимо от общих причин, неблагоприятно влияющих на нашу промышленность, расстройство дел предприятий общества обусловливается избытком на Таганрогском заводе рабочей силы и слабой производительностью труда при постоянно возрастающих требованиях рабочих; расход на плату последним и служащим достиг по Ревельскому заводу 2 500 000 рублей, а по Таганрогскому — 1 700 000 рублей, причем некоторые мастера получают до 800 руб. в месяц, что вызывает, в свою очередь, повышенные требования со стороны инженеров. При таких условиях дальнейший отпуск средств заводам общества может принести только ущерб государственному казначейству; между тем общество, при задолженности правительству в 56,3 млн руб. и годовым дефицитом в 12,7 млн руб., никакими средствами не располагает, и для покрытия расходов в ближайшее время необходима ссуда в 11 1/ миллионов руб лей. Означенный аванс может быть выдан лишь при условии упорядочения дела, для чего требуется ряд мер, к каковым надлежит отнести:</w:t>
      </w:r>
    </w:p>
    <w:p w14:paraId="6ED9A10A"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понижение цеховой платы,</w:t>
      </w:r>
    </w:p>
    <w:p w14:paraId="2E03F44B"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переход с поденной на сдельную плату и </w:t>
      </w:r>
    </w:p>
    <w:p w14:paraId="68BFBE3B"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 соответственное сокращение числа рабочих Таганрогского завода.</w:t>
      </w:r>
    </w:p>
    <w:p w14:paraId="1EF1C73C"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Однако эти мероприятия могут быть достигнуты лишь путем переговоров с рабочими при участии представителей министерств труда, торговли и промышленности и общественных организаций. Независимо сего, правление завода должно быть преобразовано, с устранением всех частных директоров и увеличением числа правительственных до 9. В частности, представлялась бы желательн[ой] эвакуация отдела Ревельского завода по изготовлению 42”’ бомб, которая осуществима или 1) перенесением в Таганрог имеющихся свободных прессов и станков, что дало бы возможность в этом году изготовить в Таганроге до 73 тысяч названных бомб, или 2) перенесением в Таганрог до 700 станков и сверх того других оборудований, что дало бы возможность развить производство 42”’ бомб к маю 1918 г. до 65 тысяч в месяц; при первом варианте эвакуация отдела Ревельского завода обойдется всего в 685 000 руб., при втором, требующем сооружения новых зданий, — в 5 220 000 рублей. Подготовительная комиссия, ознакомившись со всеми приведенными данными, присоединилась к заключению правительственных директоров о полной невозможности правильного функционирования заводов при создавшихся условиях работы и признавая целесообразным принятие вышеупомянутых мер, остановилась на предпочтительности первого варианта. </w:t>
      </w:r>
    </w:p>
    <w:p w14:paraId="3C750E8E"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По поводу заслушанного доклада приглашенный в заседание Особого Совещания директор правительственного правления общества И. К. Христофоров объяснил, что в настоящее время акционерного капитала у общества не имеется, ввиду чего присутствие в составе правления частных директоров не вызывается какой-либо необходимостью. Посему желательно устранение на основании п. 4 ст. 10 положения об Особом Совещании членов правления общества по избранию от акционеров и замена их директорами по назначению ведомств из лиц, могущих посвятить делам правления достаточное количество времени. Что же касается вопроса об отпуске средств обществу, то это возможно лишь при том условии, что на предприятия общества будет наложен секвестр, предоставляющий правительственному правлению временно приостановить уплату платежей впредь до выяснения положения дел. Со своей стороны член Государственной Думы Н. В. Савич отметил, что секвестр, могущий быть наложенным на предприятия общества, на основании п. 3 ст. 10 положения об Особом Совещании, может быть лишь временной мерой и по выяснении финансового положения дела в связи с разрешением рабочего вопроса подлежит отмене или в случае необходимости замене администрацией пли конкурсным управлением. По сему поводу Председатель Государственной Думы М. В. Родзянко указывает, что в настоящее время достаточно ограничиться назначением правительственного правления общества, от коего и будет зависеть, засим, обратиться в Особое Совещание с ходатайством о применении к предприятиям общества п. 3 ст. 10 положения об Особом Совещании; ныне же, впредь до урегулирования вопроса с рабочими, секвестр является преждевременным и нежелательным. Председательствующий П. И. Пальчинский, вполне присоединяясь к мнению М. В. Родзянко, замечает, что по отношению к </w:t>
      </w:r>
      <w:r w:rsidRPr="002F2FDF">
        <w:rPr>
          <w:rFonts w:ascii="Times New Roman" w:hAnsi="Times New Roman" w:cs="Times New Roman"/>
          <w:color w:val="000000" w:themeColor="text1"/>
          <w:sz w:val="16"/>
          <w:szCs w:val="16"/>
          <w:highlight w:val="yellow"/>
        </w:rPr>
        <w:t>Русско-Балтийскому</w:t>
      </w:r>
      <w:r w:rsidRPr="002F2FDF">
        <w:rPr>
          <w:rFonts w:ascii="Times New Roman" w:hAnsi="Times New Roman" w:cs="Times New Roman"/>
          <w:color w:val="000000" w:themeColor="text1"/>
          <w:sz w:val="16"/>
          <w:szCs w:val="16"/>
        </w:rPr>
        <w:t xml:space="preserve"> судостроительному и механическому обществу надлежит, прежде всего, принять мероприятия, обеспечивающие правильное функционирование завода общества на ближайшее время. С этой точки зрения, наиболее правильным разрешением вопроса было бы, прежде всего, урегулирование рабочего вопроса, на основаниях, принятых подготовительной комиссией, засим устранение членов правления общества по избранию акционеров и пополнение этого предприятия четырьмя членами от правительства, чтобы обеспечить единство действий, которое отсутствовало при смешанном правлении. Этому новому правлению надлежит предложить незамедлительно представить Особому Совещанию доклад о положении дел общества и о дальнейшем направлении его деятельности в связи с вопросом о возможности наложения на предприятия общества секвестра, или учреждения администрации, или конкурсного управления.</w:t>
      </w:r>
    </w:p>
    <w:p w14:paraId="71BC3B8B"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правительственному правлению следует выдать краткосрочную ссуду, исходя притом из расчета, что неотложными расходами является уплата рабочим жалованья в сумме 4 200 000 рублей и по текущим счетам — 3 000 000 руб., всего же около 7 000 000 руб лей; оплата же по векселям на 2 1/ миллионов, из коих большинство просрочено, следует отложить до обследования положения дел. В соответствии с сим, обществу могла бы быть выдана ссуда в размере 7 миллионов рублей. Что же касается вопроса об эвакуации отдела Ревельского завода, то первый вариант таковой эвакуации является вполне приемлемым. Совещание, разделяя приведенные соображения, присоединилось к заключению Председательствующего. В связи с настоящим докладом, помощник Военного министра генерал от артиллерии А. А. Маниковский замечает, что среди членов правления Русско-Балтийского судостроительного и механического общества находился и г. Овчаров, привлекаемый к ответственности за допущенные им преступные деяния; необходимо ныне вновь принять меры к скорейшему разрешению его дела в судебном порядке ввиду важности означенного дела с точки зрения государственной обороны. Совещание, одобрив означенное предположение, переходит к обсуждению доклада той же комиссии194 по вопросу о выдаче обществу Брянских заводов дополнительных авансов по заказам артиллерийского ведомства ввиду тяжелого финансового положения предприятия. По представленным данным, общая сумма заказов на снаряды, лафеты и орудия, данные обществу Брянских заводов, определяется правлением в 42,1 млн рублей, и по этим заказам должен был разрешен аванс в размере до 30 % от подрядной суммы. Ныне правление ходатайствует об увеличении аванса по всем контрактам на 30 % от общей суммы, всего в размере 11,2 млн рублей, указывая при этом, что в июне месяце образовался дефицит в 3 млн рублей. Последний произошел, главным образом, вследствие убытка по изготовлению с 1 марта по 1 июня снарядов по контрактным ценам на сумму 5 млн рублей, причем убыток по этим заказам составил 1 767 000 рублей. Подготовительная комиссия, принимая во внимание, что хотя ожидаемый по плану выход изделий общества значительно превышает фактический, тем не менее ввиду крайней важности заводов общества для нужд обороны признавала возможным выдать аванс, согласно заключению главного артиллерийского управления, лишь в размере 7,9 млн руб., каковая сумма подлежала бы сокращению по расчету на сданные изделия. По поводу означенного заключения подготовительной комиссии, генерал от инфантерии А. А. Поливанов замечает, что главное артиллерийское управление уменьшило просимый обществом аванс с 11,2 млн рублей до 7,9 млн руб., так как названное управление не находило возможным выдать аванс по контракту на заказы 12” бомб стоимостью 11 128 руб лей, по которому разрешен аванс в размере 65 % годовой поставки, а не с общей суммы поставки. Эту сумму в 7,9 млн руб. при условии учета уже принятых изделий по заказам артиллерийского ведомства и подлежит выдать правлению общества, причем, согласно финансовому плану, на июль может быть отпущено 3,6 млн руб. Со своей стороны председательствующий П. И. Пальчинский, считая возможным разрешить выдачу аванса без обеспечения на расходы общества в ближайшие три месяца, полагает таковой определить в размере семи миллионов девятисот тысяч рублей, при условии учета уже принятых изделий по заказам артиллерийского ведомства. При этом, согласно принятому Особым Совещанием решению по делу общества «Динамо», из этой суммы следует теперь же выдать три миллиона шестьсот тысяч рублей, потребные на покрытие расходов общества в июле месяце с. г., согласно финансовому плану, с тем чтобы дальнейшие ежемесячные выдачи производить распоряжением Председателя Особого Совещания по непосредственному докладу начальником главного артиллерийского управления. Совещание, одобрив предположения Председательствующего, переходит к обсуждению доклада той же комиссии о выдаче заводу К. Г. Шиманского дополнительного аванса без обеспечения на сумму 600 000 рублей по контракту на поставку взрывателей 4 ГТ. Подготовительная комиссия, принимая во внимание неблагоприятный отзыв о кредитоспособности названной фирмы, не признала возможным выдать на руки поставщику дополнительно испрашиваемого аванса. Однако, считаясь с заключением Харьковского заводского совещания о том, что это крайне необходимое производство налаживается, комиссия полагала означенный аванс для названной фирмы перевести в распоряжение председателя названного заводского совещания. Совещание присоединяется к изложенному заключению подготовительной комиссии. Засим Совещание заслушивает сообщение Председателя Государственной Думы М. В. Родзянко о желательности представления Особому Совещанию доклада о том, в какой мере расстройство промышленности, вызванное современными тяжелыми обстоятельствами, является угрожающим для обороны и какие меры могут быть приняты во избежание прекращения уменьшения производства материалов, необходимых для армии. Несомненно, что временное затишье на фронте способствовало накоплению запасов боевого снаряжения, но при наступлении, уже начавшемся, эти запасы могут быстро истощиться, тем более, что, по имеющимся сведениям, предметы снабжения из-за границы получаются в крайне незначительном количестве. Независимо сего, такие же доклады необходимо представить Особому Совещанию о положении транспортного дела и о продовольствии, затребовать для сего самые подробные сведения от министерств путей сообщения и продовольствия. Страна должна знать, что Особое Совещание, сознавая свою ответственность перед родиной, со своей стороны приняло все необходимые меры к тому, чтобы доблестные армии оказались обеспеченными всем необходимым. По сему поводу помощник Военного министра генерал от артиллерии А. А. Маниковский указывает, что им уже сделаны распоряжения о собрании необходимых сведений к выяснению современного положения дела снабжения армии боевыми материалами. По имеющимся у него данным, наличность запасов в снарядах рассчитана на 6 месяцев, но при чрезмерной их трате, какая наблюдается в настоящее время, возникает некоторое опасение за будущее. Однако при этом нельзя упускать из виду, что доставка предметов боевого снаряжения поступала из-за границы в незначительном количестве лишь потому, что русская армия бездействовала и у союзников вследствие этого не было уверенности в возможности перехода ее в наступление; ныне же, когда армия вновь начала действия, не подлежит сомнению, что как наши союзники, так и русские промышленники приложат все усилия, всю энергию к тому, чтобы армия оказалась обеспеченной всем необходимым. Вполне присоединяясь к заявлению А. А. Маниковского, В. П. Литвинов-Фалинский, однако, отмечает, что промышленность едва ли в состоянии исполнить возложенные на нее задачи ввиду тех тяжелых условий, в коих она находится. Положение промышленности — катастрофическое, между тем Временное Правительство не только не принимает мер борьбы с неумеренными требованиями рабочих, но само изданными последними налоговыми законами ее разрушает. Посему Военному Министру и Особому Совещанию надлежит довести до сведения Правительства о необходимости принятия самых решительных мер для обеспечения дальнейших работ важнейших отраслей промышленности, без коих невозможна оборона государства; если же Правительство и впредь будет пассивно относиться ко все возрастающим требованиям рабочих и к дезорганизации, царящей на заводах, то промышленники прибегнут к последнему и крайнему средству — будут просить армию прислать делегатов на заводы в целях внесения успокоения. Со своей стороны начальник главного артиллерийского управления генерал-лейтенант В. А. Лехович указывает, что ныне на артиллерийских складах замечается понижение производительности, что объясняется устранением рабочими чинов администрации. Однако, несмотря на тяжелые условия, за последние месяцы было отправлено на фронт большое количество парков, как легких, так и тяжелых. Член Государственного Совета В. И. Карпов замечает, что Временное Правительство ставит промышленность установленными новыми налогами в безвыходное положение. Многие предприятия лишатся всех своих оборотных средств и принуждены будут в недалеком будущем прекратить свою дальнейшую деятельность. Надлежит поэтому, не прибегая к апелляции армии, обратить внимание Правительства на те гибельные последствия, кои вызваны новыми налоговыми законами в связи с печальным положением дел на заводах. Присоединяясь к изложенным соображениям В. И. Карпова, член Государственного Совета В. И. Гурко выражает пожелание, чтобы министерства путей сообщения и труда ознакомили Особое Совещание с современным состоянием транспорта и с положением рабочего вопроса, с указанием мероприятий, которые надлежит принять с точки зрения обороны страны. Председательствующий П. И. Пальчинский указывает, что переход русской армии в наступление, несомненно, отразится самым благоприятным образом на общем положении страны, и в частности на промышленности. Однако и в настоящее время нельзя упускать из виду, что Правительством принимается ряд мер к улучшению транспортного и продовольственного дела и в сем отношении достигнуты некоторые успехи, — упорядочивается дело правильной перевозки грузов, увеличивается подвижной состав и т. п. Кроме сего, добыча угля и производство чугуна не только не уменьшилось, но за май месяц увеличилось. Эти данные, доложенные в Совещании товарищей министров по снабжению, дают основания надеяться на улучшение в будущем положения страны и дела снабжения армии. Однако Особое Совещание со своей стороны должно обратить внимание Временного Правительства на те мероприятия, кои им будут признаны необходимыми, после ознакомления с положением промышленности и транспортного и продовольственного дела. Посему желательно просить помощника Военного министра генерала от артиллерии А. А. Маниковского ознакомить Особое Совещание с современным состоянием работ по заказам на оборону и с ходом доставок из-за границы предметов снабжения, а Министров Путей Сообщения и Труда — с современным состоянием транспорта и положением рабочего вопроса. Совещание, присоединяясь к означенному </w:t>
      </w:r>
      <w:r w:rsidRPr="002F2FDF">
        <w:rPr>
          <w:rFonts w:ascii="Times New Roman" w:hAnsi="Times New Roman" w:cs="Times New Roman"/>
          <w:color w:val="000000" w:themeColor="text1"/>
          <w:sz w:val="16"/>
          <w:szCs w:val="16"/>
        </w:rPr>
        <w:lastRenderedPageBreak/>
        <w:t xml:space="preserve">заключению, переходит к рассмотрению ходатайства акционерного общества Российской писчебумажной фабрики об освобождении части аванса от обеспечения процентными бумагами и не встречает препятствий к освобождению от обеспечения части первоначально выданного аванса в размере одного миллиона пятисот тысяч (1 500 000) рублей, отложив разрешение вопроса об освобождении остальной части аванса впредь до выяснения обследования предприятий общества особой комиссией, образованной для сего главным артиллерийским управлением, в составе представителей министерства торговли и промышленности, министерства труда, центрального комитета по восстановлению и поддержанию нормального хода работ в промышленных предприятиях и общественных организациях. </w:t>
      </w:r>
    </w:p>
    <w:p w14:paraId="5D453B28"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заключение Совещание, заслушав доклад председателя заводского совещания Петроградского района И. С. Каннегисера о произведенном им обследовании механических заводов товарищества Бенуа и Ко, обнаружившем крайне неудовлетворительную постановку дела на заводах и несдачу до сего времени заказов артиллерийского ведомства на головные ударные трубки, в соответствии с сим признало ходатайство означенного товарищества о выдаче дополнительного аванса в размере 30 % по заказам названного ведомства подлежащим отклонению. </w:t>
      </w:r>
    </w:p>
    <w:p w14:paraId="43FB4A84"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Подписи. </w:t>
      </w:r>
    </w:p>
    <w:p w14:paraId="1A6693C1"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6C3F18DF"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Согласно заключению председателя химического комитета, передать акционерному обществу завода Ф. Крулль в Ревеле заказ на железные цистерны для сжиженного газа. </w:t>
      </w:r>
    </w:p>
    <w:p w14:paraId="4BAA00F9"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По докладу подготовительной комиссии по артиллерийским вопросам о рассмотрении финансового плана Русско-Балтийского судостроительного и механического общества в связи с вопросом о выдаче ссуды:</w:t>
      </w:r>
    </w:p>
    <w:p w14:paraId="53F421E7"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а) устранить, на основании п. 4 ст. 10 Положения об Особом Совещании, членов правления общества по избранию акционеров;</w:t>
      </w:r>
    </w:p>
    <w:p w14:paraId="57C585C4"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б) пополнить правительственное правление общества четырьмя членами по назначению с тем, чтобы в состав правления вошли: по 2 члена от министерств труда и торговли и промышленности, морского ведомства и главного артиллерийского управления и один — от министерства финансов;</w:t>
      </w:r>
    </w:p>
    <w:p w14:paraId="4FA98ACA"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 выдать теперь же правительственному правлению общества краткосрочную ссуду в семь миллионов (7 000 000) рублей для покрытия неотложных расходов предприятия по уплате рабочим, оплате счетов и на текущие расходы, кроме оплаты векселей, — на условиях, подписанных обществом при получении краткосрочной ссуды в 11 250 000 рублей, разрешенных Председателем Особого Совещания 26-го ноября 1916 года в сумме 5 000 000 и 9 декабря того же года — в сумме 6 250 000 рублей;</w:t>
      </w:r>
    </w:p>
    <w:p w14:paraId="363E5860"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 одобрить предположение о частичной (первый вариант) эвакуации Ревельского завода общества в Таганрог;</w:t>
      </w:r>
    </w:p>
    <w:p w14:paraId="10D1316C"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 предложить правительственному правлению нового состава незамедлительно представить Особому Совещанию доклад о положении дел общества и о дальнейшем направлении его деятельности. </w:t>
      </w:r>
    </w:p>
    <w:p w14:paraId="4461A7D8"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 По докладу той же комиссии о выдаче обществу Брянских заводов дополнительных авансов по заказам артиллерийского ведомства:</w:t>
      </w:r>
    </w:p>
    <w:p w14:paraId="7170D85E"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а) разрешить выдачу аванса на расходы общества на ближайшие три месяца в размере семи миллионов девятисот тысяч (7 900 000) руб лей без обеспечения при условии учета уже принятых изделий по заказам артиллерийского ведомства;</w:t>
      </w:r>
    </w:p>
    <w:p w14:paraId="11297241"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б) из этой суммы выдать теперь же три миллиона шестьсот тысяч (3 600 000) рублей, потребные на покрытие расходов общества в июле месяце сего года, согласно финансовому плану;</w:t>
      </w:r>
    </w:p>
    <w:p w14:paraId="7E10F4DC"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 дальнейшие месячные выдачи производить распоряжением Председателя Особого Совещания, по непосредственному докладу начальника главного артиллерийского управления.</w:t>
      </w:r>
    </w:p>
    <w:p w14:paraId="6B8EA689"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4) Утвердить доклад той же комиссии об отклонении ходатайства завода К. Г. Шиманского о выдаче дополнительного аванса без обеспечения по контракту на поставку взрывателей 4 ГТ. </w:t>
      </w:r>
    </w:p>
    <w:p w14:paraId="5A97D778"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5) По ходатайству акционерного общества Российской писчебумажной фабрики об освобождении части аванса от обеспечения процентными бумагами: впредь до выяснения результатов обследования особой комиссией предприятий общества освободить от обеспечения часть первоначально выданного аванса в размере одного миллиона пятисот тысяч (1 500 000) рублей. </w:t>
      </w:r>
    </w:p>
    <w:p w14:paraId="0E32009F"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6) Отклонить ходатайство товарищества механических заводов Бенуа и Ко о выдаче дополнительного аванса в размере 30 % по заказам артиллерийского ведомства.</w:t>
      </w:r>
    </w:p>
    <w:p w14:paraId="2F4E8810"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7) Просить помощника Военного министра генерала от артиллерии А. А. Маниковского ознакомить Особое Совещание с современным состоянием работ по заказам на оборону и с ходом доставок из-за границы предметов снабжения. 8) Просить министра путей сообщения и министра труда ознакомить Особое Совещание с современным состоянием транспорта и с положением рабочего вопроса. </w:t>
      </w:r>
    </w:p>
    <w:p w14:paraId="72C69F68"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Верно: управляющий делами генерал-лейтенант [Бабиков]. </w:t>
      </w:r>
    </w:p>
    <w:p w14:paraId="48DE5191"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 Особого Совещания, в разъяснение п. 4 резолюции по журналу Особого Совещания от 21 июня 1917 года за № 171, решил: По докладу подготовительной комиссии по артиллерийским вопросам о выдаче заводу К. Г. Шиманского дополнительного аванса без обеспечения по контракту на поставку взрывателей 4 ГТ: выдать дополнительный аванс названной фирме в сумме шестисот тысяч (600 000) рублей, лишь при условии перевода такового в распоряжение председателя заводского совещания Харьковского района, согласно докладу главного артиллерийского управления от 8 июня сего года за № 98473. </w:t>
      </w:r>
    </w:p>
    <w:p w14:paraId="13EBFA06"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Верно: управляющий делами генерал-лейтенант Бабиков (20452). </w:t>
      </w:r>
    </w:p>
    <w:p w14:paraId="5EE3838E" w14:textId="77777777" w:rsidR="009C6F0C" w:rsidRPr="002F2FDF" w:rsidRDefault="009C6F0C" w:rsidP="0083075A">
      <w:pPr>
        <w:spacing w:after="0" w:line="240" w:lineRule="auto"/>
        <w:jc w:val="both"/>
        <w:rPr>
          <w:rFonts w:ascii="Times New Roman" w:hAnsi="Times New Roman" w:cs="Times New Roman"/>
          <w:color w:val="000000" w:themeColor="text1"/>
          <w:sz w:val="16"/>
          <w:szCs w:val="16"/>
        </w:rPr>
      </w:pPr>
    </w:p>
    <w:p w14:paraId="2DAB0BF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5F69A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6D7DB0" w14:textId="77777777" w:rsidR="00880BED" w:rsidRPr="00815ED5" w:rsidRDefault="00880BED"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21 июня</w:t>
      </w:r>
      <w:r>
        <w:rPr>
          <w:rFonts w:ascii="Times New Roman" w:hAnsi="Times New Roman" w:cs="Times New Roman"/>
          <w:color w:val="0070C0"/>
          <w:sz w:val="16"/>
          <w:szCs w:val="16"/>
        </w:rPr>
        <w:t xml:space="preserve"> (4 июля)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815ED5">
        <w:rPr>
          <w:rFonts w:ascii="Times New Roman" w:hAnsi="Times New Roman" w:cs="Times New Roman"/>
          <w:color w:val="0070C0"/>
          <w:sz w:val="16"/>
          <w:szCs w:val="16"/>
        </w:rPr>
        <w:t xml:space="preserve"> приказе ВГК № 12861 дана оценка состоянию авиации: "Кризис наступил,</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больше ждать нельзя.. .</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считаю,</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что если немедленно не будут приняты экстренные меры,</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то через два месяца наша авиация будет сведена к нулю,</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 без ее полного содействия на успех операции в современной войне ра</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считывать нельзя"</w:t>
      </w:r>
      <w:r>
        <w:rPr>
          <w:rFonts w:ascii="Times New Roman" w:hAnsi="Times New Roman" w:cs="Times New Roman"/>
          <w:color w:val="0070C0"/>
          <w:sz w:val="16"/>
          <w:szCs w:val="16"/>
        </w:rPr>
        <w:t xml:space="preserve"> (23320)</w:t>
      </w:r>
      <w:r w:rsidRPr="00815ED5">
        <w:rPr>
          <w:rFonts w:ascii="Times New Roman" w:hAnsi="Times New Roman" w:cs="Times New Roman"/>
          <w:color w:val="0070C0"/>
          <w:sz w:val="16"/>
          <w:szCs w:val="16"/>
        </w:rPr>
        <w:t xml:space="preserve">. </w:t>
      </w:r>
    </w:p>
    <w:p w14:paraId="107BBD61" w14:textId="77777777" w:rsidR="00880BED" w:rsidRDefault="00880BED" w:rsidP="0083075A">
      <w:pPr>
        <w:spacing w:after="0"/>
        <w:jc w:val="both"/>
        <w:rPr>
          <w:rFonts w:ascii="Times New Roman" w:hAnsi="Times New Roman" w:cs="Times New Roman"/>
          <w:color w:val="0070C0"/>
          <w:sz w:val="16"/>
          <w:szCs w:val="16"/>
        </w:rPr>
      </w:pPr>
    </w:p>
    <w:p w14:paraId="2D27ED67" w14:textId="77777777" w:rsidR="00880BED" w:rsidRPr="002F2FDF" w:rsidRDefault="00880BE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июня (4 июля) 1917 подполковник, военный летчик В.М.Ткачев сменил полковник С.А.Немченко, которого, в свою очередь, 9 апреля 1917 сменил ВК Александра Михайловича в качестве генерал-инспектора (66,11).</w:t>
      </w:r>
    </w:p>
    <w:p w14:paraId="6FCB4C4D" w14:textId="77777777" w:rsidR="00880BED" w:rsidRPr="002F2FDF" w:rsidRDefault="00880BE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9CD043" w14:textId="703245E0" w:rsidR="004B5C1B" w:rsidRPr="002F2FDF" w:rsidRDefault="004B5C1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shd w:val="clear" w:color="auto" w:fill="FFFFFF"/>
        </w:rPr>
        <w:t>21 июня (</w:t>
      </w:r>
      <w:r w:rsidR="00C45699">
        <w:rPr>
          <w:rFonts w:ascii="Times New Roman" w:hAnsi="Times New Roman" w:cs="Times New Roman"/>
          <w:color w:val="000000" w:themeColor="text1"/>
          <w:sz w:val="16"/>
          <w:szCs w:val="16"/>
          <w:shd w:val="clear" w:color="auto" w:fill="FFFFFF"/>
        </w:rPr>
        <w:t>4</w:t>
      </w:r>
      <w:r w:rsidRPr="002F2FDF">
        <w:rPr>
          <w:rFonts w:ascii="Times New Roman" w:hAnsi="Times New Roman" w:cs="Times New Roman"/>
          <w:color w:val="000000" w:themeColor="text1"/>
          <w:sz w:val="16"/>
          <w:szCs w:val="16"/>
          <w:shd w:val="clear" w:color="auto" w:fill="FFFFFF"/>
        </w:rPr>
        <w:t xml:space="preserve"> июля) 1917 начальник отдела УПВОСО на Театре военных действий подполковник Есаулов приказал установить на бронедрезину 2-й Заамур-ской железнодорожной бригадой бронедрезины, построенной в Киеве, 100-сильный двигатель с бронемашины Бенц, который поступил в Савелово для переделки на железнодорожный ход (Бенц забронировали на Ижорском заводе в 1915 году, но в ходе боевых действий его шасси оказалось слабым, так как это был легковой автомобиль). 25 сентября начальник мастерских 2-го коренного парка направил в ГВТУ доклад о ходе работ, где среди прочего было следующее: «В настоящее время мотор с автомобиля Бенц снят, и вместе с дрезиной отправлен в город Рыбинск на завод «Русский Рено». Броня и шасси находятся в парке».</w:t>
      </w:r>
      <w:r w:rsidR="00E52569">
        <w:rPr>
          <w:rFonts w:ascii="Times New Roman" w:hAnsi="Times New Roman" w:cs="Times New Roman"/>
          <w:color w:val="000000" w:themeColor="text1"/>
          <w:sz w:val="16"/>
          <w:szCs w:val="16"/>
          <w:shd w:val="clear" w:color="auto" w:fill="FFFFFF"/>
        </w:rPr>
        <w:t xml:space="preserve"> </w:t>
      </w:r>
    </w:p>
    <w:p w14:paraId="0AEE5982" w14:textId="13C35C1A" w:rsidR="004B5C1B" w:rsidRPr="002F2FDF" w:rsidRDefault="004B5C1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shd w:val="clear" w:color="auto" w:fill="FFFFFF"/>
        </w:rPr>
        <w:t>Дальнейшую судьбу бронедрезины установить не удалось, но есть большая вероятность того, что двигатель на нее так и не поставили, а впоследствии разобрали.</w:t>
      </w:r>
      <w:r w:rsidR="00E52569">
        <w:rPr>
          <w:rFonts w:ascii="Times New Roman" w:hAnsi="Times New Roman" w:cs="Times New Roman"/>
          <w:color w:val="000000" w:themeColor="text1"/>
          <w:sz w:val="16"/>
          <w:szCs w:val="16"/>
          <w:shd w:val="clear" w:color="auto" w:fill="FFFFFF"/>
        </w:rPr>
        <w:t xml:space="preserve"> </w:t>
      </w:r>
    </w:p>
    <w:p w14:paraId="74EC886B" w14:textId="77777777" w:rsidR="004B5C1B" w:rsidRPr="002F2FDF" w:rsidRDefault="004B5C1B" w:rsidP="0083075A">
      <w:pPr>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shd w:val="clear" w:color="auto" w:fill="FFFFFF"/>
        </w:rPr>
        <w:t>Судьба бронедрезин одесской постройки оказалась длиннее. Обе они использовались для работы на головных участках батальонов 2-й Заамурской железнодорожной бригады вплоть до лета 1917 года. В июне одна из них вошла в состав броневого ударного железнодорожного отряда полковника Кондырина, действовавшего на Юго-Западном фронте. В ходе начавшейся Гражданской войны одна из них попала в руки красных и действовала под Царицыным до лета 1919 года. Ее дальнейший боевой путь и судьба второй дрезины автору неизвестны (18626).</w:t>
      </w:r>
    </w:p>
    <w:p w14:paraId="313A79EB" w14:textId="77777777" w:rsidR="004B5C1B" w:rsidRPr="002F2FDF" w:rsidRDefault="004B5C1B" w:rsidP="0083075A">
      <w:pPr>
        <w:spacing w:after="0" w:line="240" w:lineRule="auto"/>
        <w:jc w:val="both"/>
        <w:rPr>
          <w:rFonts w:ascii="Times New Roman" w:hAnsi="Times New Roman" w:cs="Times New Roman"/>
          <w:color w:val="000000" w:themeColor="text1"/>
          <w:sz w:val="16"/>
          <w:szCs w:val="16"/>
        </w:rPr>
      </w:pPr>
    </w:p>
    <w:p w14:paraId="7EC4AAC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21 июня </w:t>
      </w:r>
      <w:r w:rsidR="00BA5C59" w:rsidRPr="002F2FDF">
        <w:rPr>
          <w:rFonts w:ascii="Times New Roman" w:hAnsi="Times New Roman" w:cs="Times New Roman"/>
          <w:color w:val="000000" w:themeColor="text1"/>
          <w:kern w:val="2"/>
          <w:sz w:val="16"/>
          <w:szCs w:val="16"/>
        </w:rPr>
        <w:t xml:space="preserve">(4 июля) </w:t>
      </w:r>
      <w:r w:rsidRPr="002F2FDF">
        <w:rPr>
          <w:rFonts w:ascii="Times New Roman" w:hAnsi="Times New Roman" w:cs="Times New Roman"/>
          <w:color w:val="000000" w:themeColor="text1"/>
          <w:kern w:val="2"/>
          <w:sz w:val="16"/>
          <w:szCs w:val="16"/>
        </w:rPr>
        <w:t>1917 Особое совещание по обороне государств одобрило предложение образовать Высшие авиационные курсы военного времени и сообщить временному правительству о желателъности учреждения постоянных Высших авиационных курсов при МВТУ. с целью "подготовки для военного и морского ведомств, а так</w:t>
      </w:r>
      <w:r w:rsidRPr="002F2FDF">
        <w:rPr>
          <w:rFonts w:ascii="Times New Roman" w:hAnsi="Times New Roman" w:cs="Times New Roman"/>
          <w:color w:val="000000" w:themeColor="text1"/>
          <w:kern w:val="2"/>
          <w:sz w:val="16"/>
          <w:szCs w:val="16"/>
        </w:rPr>
        <w:softHyphen/>
        <w:t>же для частной промышленности инженеров-конструкторов по аэропланам и легким двигателям, по оборудованию и эксплуатации заводов (ЦГАСА.ф 29, оп.И, д.1, лл.360-369).</w:t>
      </w:r>
    </w:p>
    <w:p w14:paraId="59D8D9F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8AB879" w14:textId="77777777" w:rsidR="0066178E" w:rsidRPr="00815ED5" w:rsidRDefault="0066178E"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21 июня</w:t>
      </w:r>
      <w:r>
        <w:rPr>
          <w:rFonts w:ascii="Times New Roman" w:hAnsi="Times New Roman" w:cs="Times New Roman"/>
          <w:color w:val="0070C0"/>
          <w:sz w:val="16"/>
          <w:szCs w:val="16"/>
        </w:rPr>
        <w:t xml:space="preserve"> (4 июля)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Особое совещание по обороне государства одобрило предложе</w:t>
      </w:r>
      <w:r w:rsidRPr="00815ED5">
        <w:rPr>
          <w:rFonts w:ascii="Times New Roman" w:hAnsi="Times New Roman" w:cs="Times New Roman"/>
          <w:color w:val="0070C0"/>
          <w:sz w:val="16"/>
          <w:szCs w:val="16"/>
        </w:rPr>
        <w:softHyphen/>
        <w:t>ние об образовании Высших авиационных курсов военного времени и сообщить временному правительству о желательности учреждения посто</w:t>
      </w:r>
      <w:r w:rsidRPr="00815ED5">
        <w:rPr>
          <w:rFonts w:ascii="Times New Roman" w:hAnsi="Times New Roman" w:cs="Times New Roman"/>
          <w:color w:val="0070C0"/>
          <w:sz w:val="16"/>
          <w:szCs w:val="16"/>
        </w:rPr>
        <w:softHyphen/>
        <w:t>янных Высших авиационных курсов при ИВТУуо целью «подготовки для военного и морского ведомству также для частной промышленности инженеров-конструкторов по аэропланам и легким двигателям, по обору</w:t>
      </w:r>
      <w:r w:rsidRPr="00815ED5">
        <w:rPr>
          <w:rFonts w:ascii="Times New Roman" w:hAnsi="Times New Roman" w:cs="Times New Roman"/>
          <w:color w:val="0070C0"/>
          <w:sz w:val="16"/>
          <w:szCs w:val="16"/>
        </w:rPr>
        <w:softHyphen/>
        <w:t>дованию и эксплуатации авиационных заводов".</w:t>
      </w:r>
    </w:p>
    <w:p w14:paraId="73D3DFDB" w14:textId="77777777" w:rsidR="0066178E" w:rsidRDefault="0066178E"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ф, 29, </w:t>
      </w:r>
      <w:r>
        <w:rPr>
          <w:rFonts w:ascii="Times New Roman" w:hAnsi="Times New Roman" w:cs="Times New Roman"/>
          <w:color w:val="0070C0"/>
          <w:sz w:val="16"/>
          <w:szCs w:val="16"/>
        </w:rPr>
        <w:t>оп</w:t>
      </w:r>
      <w:r w:rsidRPr="00815ED5">
        <w:rPr>
          <w:rFonts w:ascii="Times New Roman" w:hAnsi="Times New Roman" w:cs="Times New Roman"/>
          <w:color w:val="0070C0"/>
          <w:sz w:val="16"/>
          <w:szCs w:val="16"/>
        </w:rPr>
        <w:t xml:space="preserve">. 11, </w:t>
      </w:r>
      <w:r>
        <w:rPr>
          <w:rFonts w:ascii="Times New Roman" w:hAnsi="Times New Roman" w:cs="Times New Roman"/>
          <w:color w:val="0070C0"/>
          <w:sz w:val="16"/>
          <w:szCs w:val="16"/>
        </w:rPr>
        <w:t>д</w:t>
      </w:r>
      <w:r w:rsidRPr="00815ED5">
        <w:rPr>
          <w:rFonts w:ascii="Times New Roman" w:hAnsi="Times New Roman" w:cs="Times New Roman"/>
          <w:color w:val="0070C0"/>
          <w:sz w:val="16"/>
          <w:szCs w:val="16"/>
        </w:rPr>
        <w:t xml:space="preserve">. 1, </w:t>
      </w:r>
      <w:r>
        <w:rPr>
          <w:rFonts w:ascii="Times New Roman" w:hAnsi="Times New Roman" w:cs="Times New Roman"/>
          <w:color w:val="0070C0"/>
          <w:sz w:val="16"/>
          <w:szCs w:val="16"/>
        </w:rPr>
        <w:t>лл</w:t>
      </w:r>
      <w:r w:rsidRPr="00815ED5">
        <w:rPr>
          <w:rFonts w:ascii="Times New Roman" w:hAnsi="Times New Roman" w:cs="Times New Roman"/>
          <w:color w:val="0070C0"/>
          <w:sz w:val="16"/>
          <w:szCs w:val="16"/>
        </w:rPr>
        <w:t>. 360-369/</w:t>
      </w:r>
      <w:r>
        <w:rPr>
          <w:rFonts w:ascii="Times New Roman" w:hAnsi="Times New Roman" w:cs="Times New Roman"/>
          <w:color w:val="0070C0"/>
          <w:sz w:val="16"/>
          <w:szCs w:val="16"/>
        </w:rPr>
        <w:t xml:space="preserve"> (23320).</w:t>
      </w:r>
    </w:p>
    <w:p w14:paraId="223FD5F6" w14:textId="77777777" w:rsidR="0066178E" w:rsidRPr="00815ED5" w:rsidRDefault="0066178E" w:rsidP="0083075A">
      <w:pPr>
        <w:spacing w:after="0" w:line="240" w:lineRule="auto"/>
        <w:jc w:val="both"/>
        <w:rPr>
          <w:rFonts w:ascii="Times New Roman" w:hAnsi="Times New Roman" w:cs="Times New Roman"/>
          <w:color w:val="0070C0"/>
          <w:sz w:val="16"/>
          <w:szCs w:val="16"/>
        </w:rPr>
      </w:pPr>
    </w:p>
    <w:p w14:paraId="6F2E461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21 июня </w:t>
      </w:r>
      <w:r w:rsidR="00BA5C59" w:rsidRPr="002F2FDF">
        <w:rPr>
          <w:rFonts w:ascii="Times New Roman" w:hAnsi="Times New Roman" w:cs="Times New Roman"/>
          <w:color w:val="000000" w:themeColor="text1"/>
          <w:kern w:val="2"/>
          <w:sz w:val="16"/>
          <w:szCs w:val="16"/>
        </w:rPr>
        <w:t xml:space="preserve">(4 июля) </w:t>
      </w:r>
      <w:r w:rsidRPr="002F2FDF">
        <w:rPr>
          <w:rFonts w:ascii="Times New Roman" w:hAnsi="Times New Roman" w:cs="Times New Roman"/>
          <w:color w:val="000000" w:themeColor="text1"/>
          <w:kern w:val="2"/>
          <w:sz w:val="16"/>
          <w:szCs w:val="16"/>
        </w:rPr>
        <w:t>1917 подпоручик 5 КАО французский летчик Луи Линъяк, бывший инструктор Севастопольской зшашколы, с летчиком-наб</w:t>
      </w:r>
      <w:r w:rsidRPr="002F2FDF">
        <w:rPr>
          <w:rFonts w:ascii="Times New Roman" w:hAnsi="Times New Roman" w:cs="Times New Roman"/>
          <w:color w:val="000000" w:themeColor="text1"/>
          <w:kern w:val="2"/>
          <w:sz w:val="16"/>
          <w:szCs w:val="16"/>
        </w:rPr>
        <w:softHyphen/>
        <w:t>людателем Добриневским не гернулся с боевого задания. По уточненным впоследствии сведениям летчики были сбиты над Карпатами неприятельской артиллерией. ("Новое время"”1917 г., 21 июня).</w:t>
      </w:r>
    </w:p>
    <w:p w14:paraId="5D4317F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809F0C" w14:textId="77777777" w:rsidR="006627A3" w:rsidRPr="00815ED5" w:rsidRDefault="006627A3"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21 июня</w:t>
      </w:r>
      <w:r>
        <w:rPr>
          <w:rFonts w:ascii="Times New Roman" w:hAnsi="Times New Roman" w:cs="Times New Roman"/>
          <w:color w:val="0070C0"/>
          <w:sz w:val="16"/>
          <w:szCs w:val="16"/>
        </w:rPr>
        <w:t xml:space="preserve"> (4 июля)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815ED5">
        <w:rPr>
          <w:rFonts w:ascii="Times New Roman" w:hAnsi="Times New Roman" w:cs="Times New Roman"/>
          <w:color w:val="0070C0"/>
          <w:sz w:val="16"/>
          <w:szCs w:val="16"/>
        </w:rPr>
        <w:t xml:space="preserve">одпоручик 5 КАО французский летчик </w:t>
      </w:r>
      <w:r>
        <w:rPr>
          <w:rFonts w:ascii="Times New Roman" w:hAnsi="Times New Roman" w:cs="Times New Roman"/>
          <w:color w:val="0070C0"/>
          <w:sz w:val="16"/>
          <w:szCs w:val="16"/>
        </w:rPr>
        <w:t>Л</w:t>
      </w:r>
      <w:r w:rsidRPr="00815ED5">
        <w:rPr>
          <w:rFonts w:ascii="Times New Roman" w:hAnsi="Times New Roman" w:cs="Times New Roman"/>
          <w:color w:val="0070C0"/>
          <w:sz w:val="16"/>
          <w:szCs w:val="16"/>
        </w:rPr>
        <w:t xml:space="preserve">уи </w:t>
      </w:r>
      <w:r>
        <w:rPr>
          <w:rFonts w:ascii="Times New Roman" w:hAnsi="Times New Roman" w:cs="Times New Roman"/>
          <w:color w:val="0070C0"/>
          <w:sz w:val="16"/>
          <w:szCs w:val="16"/>
        </w:rPr>
        <w:t>Л</w:t>
      </w:r>
      <w:r w:rsidRPr="00815ED5">
        <w:rPr>
          <w:rFonts w:ascii="Times New Roman" w:hAnsi="Times New Roman" w:cs="Times New Roman"/>
          <w:color w:val="0070C0"/>
          <w:sz w:val="16"/>
          <w:szCs w:val="16"/>
        </w:rPr>
        <w:t>иньяк,</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бывший инструк</w:t>
      </w:r>
      <w:r>
        <w:rPr>
          <w:rFonts w:ascii="Times New Roman" w:hAnsi="Times New Roman" w:cs="Times New Roman"/>
          <w:color w:val="0070C0"/>
          <w:sz w:val="16"/>
          <w:szCs w:val="16"/>
        </w:rPr>
        <w:t>тор</w:t>
      </w:r>
      <w:r w:rsidRPr="00815ED5">
        <w:rPr>
          <w:rFonts w:ascii="Times New Roman" w:hAnsi="Times New Roman" w:cs="Times New Roman"/>
          <w:color w:val="0070C0"/>
          <w:sz w:val="16"/>
          <w:szCs w:val="16"/>
        </w:rPr>
        <w:t xml:space="preserve"> севастопольской авиашколы,</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с летнабом Добриневоким не вернулся </w:t>
      </w:r>
      <w:r>
        <w:rPr>
          <w:rFonts w:ascii="Times New Roman" w:hAnsi="Times New Roman" w:cs="Times New Roman"/>
          <w:color w:val="0070C0"/>
          <w:sz w:val="16"/>
          <w:szCs w:val="16"/>
        </w:rPr>
        <w:t xml:space="preserve">с </w:t>
      </w:r>
      <w:r w:rsidRPr="00815ED5">
        <w:rPr>
          <w:rFonts w:ascii="Times New Roman" w:hAnsi="Times New Roman" w:cs="Times New Roman"/>
          <w:color w:val="0070C0"/>
          <w:sz w:val="16"/>
          <w:szCs w:val="16"/>
        </w:rPr>
        <w:t>боевого задания.</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 уточненным впоследствии введениям летчики бы</w:t>
      </w:r>
      <w:r w:rsidRPr="00815ED5">
        <w:rPr>
          <w:rFonts w:ascii="Times New Roman" w:hAnsi="Times New Roman" w:cs="Times New Roman"/>
          <w:color w:val="0070C0"/>
          <w:sz w:val="16"/>
          <w:szCs w:val="16"/>
        </w:rPr>
        <w:softHyphen/>
        <w:t>ли сбиты над Карпатами неприятельской артиллерией</w:t>
      </w:r>
      <w:r>
        <w:rPr>
          <w:rFonts w:ascii="Times New Roman" w:hAnsi="Times New Roman" w:cs="Times New Roman"/>
          <w:color w:val="0070C0"/>
          <w:sz w:val="16"/>
          <w:szCs w:val="16"/>
        </w:rPr>
        <w:t>.</w:t>
      </w:r>
    </w:p>
    <w:p w14:paraId="226270B1" w14:textId="77777777" w:rsidR="006627A3" w:rsidRDefault="006627A3"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lastRenderedPageBreak/>
        <w:t>/"Повое время" за 21 июня 1917/</w:t>
      </w:r>
      <w:r>
        <w:rPr>
          <w:rFonts w:ascii="Times New Roman" w:hAnsi="Times New Roman" w:cs="Times New Roman"/>
          <w:color w:val="0070C0"/>
          <w:sz w:val="16"/>
          <w:szCs w:val="16"/>
        </w:rPr>
        <w:t xml:space="preserve"> (23320).</w:t>
      </w:r>
    </w:p>
    <w:p w14:paraId="358A0E44" w14:textId="77777777" w:rsidR="006627A3" w:rsidRPr="00815ED5" w:rsidRDefault="006627A3" w:rsidP="0083075A">
      <w:pPr>
        <w:spacing w:after="0" w:line="240" w:lineRule="auto"/>
        <w:jc w:val="both"/>
        <w:rPr>
          <w:rFonts w:ascii="Times New Roman" w:hAnsi="Times New Roman" w:cs="Times New Roman"/>
          <w:color w:val="0070C0"/>
          <w:sz w:val="16"/>
          <w:szCs w:val="16"/>
        </w:rPr>
      </w:pPr>
    </w:p>
    <w:p w14:paraId="71FB99F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C4EE2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577B84"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июня (4 июля) 1917 г. Рапорт окружного инженера Алмазного горного округа А. П. Колодяжного Горному департаменту о падении производительности труда рабочих, сокращении и остановках работ на шахтах округа и прекращении притока новых капиталов в Донецкий бассейн.</w:t>
      </w:r>
    </w:p>
    <w:p w14:paraId="0C2A6DCB"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53</w:t>
      </w:r>
    </w:p>
    <w:p w14:paraId="52C2BB5E"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37, оп. 58, д. 883, л. 62—62 об. Подлинник.</w:t>
      </w:r>
    </w:p>
    <w:p w14:paraId="139AEEF3"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Вследствие циркуляра Горного департамента от 9 ноября 1910 г. за № 3898 честь имею доложить, что сравнительно с апрелем текущего года добыча угля на рудниках вверенного мне округа в мае месяце увеличилась на 2 млн пуд. (почти на 15%), оставшись на том же уровне, что в мае месяце прошлого года — 15 1/2 млн пуд. Однако число рабочих г мае прошлого года было меньше на 7027 чел., чем в мае текущего года, из чего следует, что производительность рабочих уменьшилась на 26%. Вывоз угля уменьшился на 2 млн вследствие плохой подачи железнодорожных вагонов.</w:t>
      </w:r>
    </w:p>
    <w:p w14:paraId="39CDA60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По-прежнему чувствуется недостаток на рудниках вообще железа; замечается некоторое улучшение в доставке продовольствия, хотя белый хлеб и мука уже исчезли из употребления.</w:t>
      </w:r>
    </w:p>
    <w:p w14:paraId="2167853B"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связи со все увеличивающимися требованиями рабочих начинают останавливаться мелкие предприятия, а средние и даже крупные сокращают подготовительные работы. По словам предпринимателей, они не имеют возможности платить теперь 100 руб. за ту работу, которая стоила в феврале всего лишь 20 руб., по этой же причине не производятся очередные ремонты.</w:t>
      </w:r>
    </w:p>
    <w:p w14:paraId="1B6EF9BC"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Вообще должен сказать, что решение вопроса о минимуме—максимуме заработной платы необходимо ускорить, ибо иначе при создавшихся условиях мы очутимся в ближайшем времени перед грозным явлением угольного голода, так как, не принимая во внимание патриотических соображений, можно сказать, что навряд ли удастся справиться с капиталом крутыми мерами, если предпринимателям придется работать в убыток. Необходимо выработать не общие твердые цифры заработка, а гибкие, именно максимум—минимум, так как не все предприятия находятся в одинаковых условиях, и что для одного много — для другого будет мало, а наоборот.</w:t>
      </w:r>
    </w:p>
    <w:p w14:paraId="0B6F57D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Считаю необходимым сказать, что приток капитала в Донецкий бассейн вовсе прекратился и охотников вложить свои деньги в угольные предприятия, как это наблюдалось в больших размерах в прошлых годах, нет.</w:t>
      </w:r>
    </w:p>
    <w:p w14:paraId="4989DC4D"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Вместе с тем честь имею доложить, вследствие циркуляра Горного департамента от 9 марта прошлого года за № 634, что на подземных работах и в ночное время задолжено было женщин 407 и малолетних 525, что составляет 2.74% общего числа задолжавшихся по округу рабочих.</w:t>
      </w:r>
    </w:p>
    <w:p w14:paraId="48D53FDA"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Некоторое запоздание настоящего рапорта явилось следствием отсутствия моего на Съезде фабричных инспекторов в Москве.</w:t>
      </w:r>
    </w:p>
    <w:p w14:paraId="37FF6BC8"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Окружной инженер Алмазного горного округа</w:t>
      </w:r>
    </w:p>
    <w:p w14:paraId="5CD6AC7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Колодяжный (15706).</w:t>
      </w:r>
    </w:p>
    <w:p w14:paraId="32A38F7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p>
    <w:p w14:paraId="47C3F5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июня (4 июля) 1917 был образован Экономсовет и Главный экономкомитет для координации экономической жизни страны (1348,113).</w:t>
      </w:r>
    </w:p>
    <w:p w14:paraId="43BDED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4CF2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21-28 июня (4-11 июля) 1917 проходила Всероссийская конференция профсоюзов в Петрограде (1348,113).</w:t>
      </w:r>
    </w:p>
    <w:p w14:paraId="6B0608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8E434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июня (4 июля) 1917 в Хельсинки экипаж русского дредноута “Петропавловск” издал ультиматум Временному правительству с угрозой обстрелять Петроград (4962).</w:t>
      </w:r>
    </w:p>
    <w:p w14:paraId="29B8AC2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B0289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2F2FDF">
        <w:rPr>
          <w:rFonts w:ascii="Times New Roman" w:hAnsi="Times New Roman" w:cs="Times New Roman"/>
          <w:i/>
          <w:iCs/>
          <w:color w:val="000000" w:themeColor="text1"/>
          <w:kern w:val="2"/>
          <w:sz w:val="16"/>
          <w:szCs w:val="16"/>
        </w:rPr>
        <w:t>За</w:t>
      </w:r>
      <w:r w:rsidRPr="002F2FDF">
        <w:rPr>
          <w:rFonts w:ascii="Times New Roman" w:hAnsi="Times New Roman" w:cs="Times New Roman"/>
          <w:i/>
          <w:iCs/>
          <w:color w:val="000000" w:themeColor="text1"/>
          <w:kern w:val="2"/>
          <w:sz w:val="16"/>
          <w:szCs w:val="16"/>
          <w:lang w:val="en-US"/>
        </w:rPr>
        <w:t xml:space="preserve"> </w:t>
      </w:r>
      <w:r w:rsidRPr="002F2FDF">
        <w:rPr>
          <w:rFonts w:ascii="Times New Roman" w:hAnsi="Times New Roman" w:cs="Times New Roman"/>
          <w:i/>
          <w:iCs/>
          <w:color w:val="000000" w:themeColor="text1"/>
          <w:kern w:val="2"/>
          <w:sz w:val="16"/>
          <w:szCs w:val="16"/>
        </w:rPr>
        <w:t>рубежом</w:t>
      </w:r>
      <w:r w:rsidRPr="002F2FDF">
        <w:rPr>
          <w:rFonts w:ascii="Times New Roman" w:hAnsi="Times New Roman" w:cs="Times New Roman"/>
          <w:i/>
          <w:iCs/>
          <w:color w:val="000000" w:themeColor="text1"/>
          <w:kern w:val="2"/>
          <w:sz w:val="16"/>
          <w:szCs w:val="16"/>
          <w:lang w:val="en-US"/>
        </w:rPr>
        <w:t>:</w:t>
      </w:r>
    </w:p>
    <w:p w14:paraId="7D11B7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2BBDF9EC" w14:textId="3B8901BD" w:rsidR="003431D2" w:rsidRPr="002F2FDF" w:rsidRDefault="00C4569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Pr>
          <w:rFonts w:ascii="Times New Roman" w:hAnsi="Times New Roman" w:cs="Times New Roman"/>
          <w:color w:val="000000" w:themeColor="text1"/>
          <w:kern w:val="2"/>
          <w:sz w:val="16"/>
          <w:szCs w:val="16"/>
          <w:lang w:val="en-US"/>
        </w:rPr>
        <w:t>June 21 (</w:t>
      </w:r>
      <w:r w:rsidR="003431D2" w:rsidRPr="002F2FDF">
        <w:rPr>
          <w:rFonts w:ascii="Times New Roman" w:hAnsi="Times New Roman" w:cs="Times New Roman"/>
          <w:color w:val="000000" w:themeColor="text1"/>
          <w:kern w:val="2"/>
          <w:sz w:val="16"/>
          <w:szCs w:val="16"/>
          <w:lang w:val="en-US"/>
        </w:rPr>
        <w:t>July 4</w:t>
      </w:r>
      <w:r>
        <w:rPr>
          <w:rFonts w:ascii="Times New Roman" w:hAnsi="Times New Roman" w:cs="Times New Roman"/>
          <w:color w:val="000000" w:themeColor="text1"/>
          <w:kern w:val="2"/>
          <w:sz w:val="16"/>
          <w:szCs w:val="16"/>
          <w:lang w:val="en-US"/>
        </w:rPr>
        <w:t>)</w:t>
      </w:r>
      <w:r w:rsidR="003431D2" w:rsidRPr="002F2FDF">
        <w:rPr>
          <w:rFonts w:ascii="Times New Roman" w:hAnsi="Times New Roman" w:cs="Times New Roman"/>
          <w:color w:val="000000" w:themeColor="text1"/>
          <w:kern w:val="2"/>
          <w:sz w:val="16"/>
          <w:szCs w:val="16"/>
          <w:lang w:val="en-US"/>
        </w:rPr>
        <w:t>, 1917 The first eight-cylinder Liberty motor arrived in Washington, D.C., for test by the Bureau of Standards, having been assembled at the Packard Motor Car Company from parts made by manufacturers in plants scattered from Philadelphia, Pa., to Berkeley, Calif. Design, manufacture, and assembly of this motor had required less than 6 weeks (1090).</w:t>
      </w:r>
    </w:p>
    <w:p w14:paraId="32299E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01A66D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июня (4 июля) 1917 первый 8-цилиндровый мотор Либерти прибыл в Вашингтон для испытаний в Bureau of Standards. Он был собран на Packard Motor Car Company из частей, изготовленных заводами, разбросанными от Филадельфии до Беркли. Разработка, производство и сборка мотора заняли менее 6 недель (1090).</w:t>
      </w:r>
    </w:p>
    <w:p w14:paraId="68D328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BD4B8C" w14:textId="77777777" w:rsidR="009D3057"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0407DC55" w14:textId="77777777" w:rsidR="009D3057" w:rsidRPr="002F2FDF" w:rsidRDefault="009D305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9C4B46"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22 июня </w:t>
      </w:r>
      <w:r w:rsidR="003552A0" w:rsidRPr="002F2FDF">
        <w:rPr>
          <w:rFonts w:ascii="Times New Roman" w:hAnsi="Times New Roman" w:cs="Times New Roman"/>
          <w:color w:val="000000" w:themeColor="text1"/>
          <w:kern w:val="2"/>
          <w:sz w:val="16"/>
          <w:szCs w:val="16"/>
        </w:rPr>
        <w:t xml:space="preserve">(5 июля) </w:t>
      </w:r>
      <w:r w:rsidRPr="002F2FDF">
        <w:rPr>
          <w:rFonts w:ascii="Times New Roman" w:hAnsi="Times New Roman" w:cs="Times New Roman"/>
          <w:color w:val="000000" w:themeColor="text1"/>
          <w:kern w:val="2"/>
          <w:sz w:val="16"/>
          <w:szCs w:val="16"/>
        </w:rPr>
        <w:t>1917 г. Особый журнал Подготовительной комиссии по артиллерийским вопросам при Особом совещании по обороне о снабжении армии снарядами разных калибров и взрывателями с января по май 1917 г.</w:t>
      </w:r>
    </w:p>
    <w:p w14:paraId="53007E37"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175-179</w:t>
      </w:r>
    </w:p>
    <w:p w14:paraId="54F6F040"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Архив:ЦГВИА, ф. 369, оп. 3, д. 189, лл. 386—390. Заверенная копия.</w:t>
      </w:r>
    </w:p>
    <w:p w14:paraId="206BB326"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3" СНАРЯДЫ</w:t>
      </w:r>
    </w:p>
    <w:p w14:paraId="5EC481DC"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Гранаты полевые и горные: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77"/>
        <w:gridCol w:w="684"/>
      </w:tblGrid>
      <w:tr w:rsidR="002B1C74" w:rsidRPr="002F2FDF" w14:paraId="79CDD366"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B6B295"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DD9EC"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 тыс</w:t>
            </w:r>
          </w:p>
        </w:tc>
      </w:tr>
      <w:tr w:rsidR="002B1C74" w:rsidRPr="002F2FDF" w14:paraId="212EC00F"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33F7C0"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измененная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46FB8"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1200 »</w:t>
            </w:r>
          </w:p>
        </w:tc>
      </w:tr>
      <w:tr w:rsidR="002B1C74" w:rsidRPr="002F2FDF" w14:paraId="43924308"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8ACD9A"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вновь пониженная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E51BA"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1000 »</w:t>
            </w:r>
          </w:p>
        </w:tc>
      </w:tr>
      <w:tr w:rsidR="002B1C74" w:rsidRPr="002F2FDF" w14:paraId="44BB1B00"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226A7D"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Сверх того 225 тыс. горных и 20 тыс. химических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C1C6C" w14:textId="4BEB2E53"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6381669"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079894"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Поступило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54DD8" w14:textId="4595C543"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3E47159"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C083CE"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D1826"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1521 »</w:t>
            </w:r>
          </w:p>
        </w:tc>
      </w:tr>
      <w:tr w:rsidR="002B1C74" w:rsidRPr="002F2FDF" w14:paraId="3BF3AE90"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DD5F56"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низшая цифра (апрель)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F57AF"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1031 »</w:t>
            </w:r>
          </w:p>
        </w:tc>
      </w:tr>
      <w:tr w:rsidR="002B1C74" w:rsidRPr="002F2FDF" w14:paraId="22291414"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7CA9ED"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F93E1"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1077 »</w:t>
            </w:r>
          </w:p>
        </w:tc>
      </w:tr>
    </w:tbl>
    <w:p w14:paraId="1CF407FA"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производительность отечественных заводов по изготовлению 3" гранат понизилась примерно на 30 %, притом исключительно на заводах частных, тогда как казенные в мае почти приблизились к сдаче е январе (50 тыс. против 51 тыс.). Из частных заводов следует в особенности отметить неисправность завода Сименс—Шуккерт, который ставил от 5 до 8 тыс. в месяц против нормы 80 тыс., а в мае не сдал ничего.</w:t>
      </w:r>
    </w:p>
    <w:p w14:paraId="58E2CAF3"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районам на Петроградский (включая Финляндию и Ревель) падает по 332 тыс. (замай), или несколько менее 1/3 общего количества изготовленных гранат.</w:t>
      </w:r>
    </w:p>
    <w:p w14:paraId="0F90B0E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недостатка металла предполагается, как известно, значительно понизить производство 3" снарядов в Петроградском районе, доведя его до 25% против поставок в январе. При этом условии изготовление 3" гранат будет ниже последней установленной нормы в 1 млн штук, но недостаток этот пополняется заграничными заказами; в мае принято на иностранных заводах 810 тыс. гранат, в Россию прибыло 90.7 тыс.</w:t>
      </w:r>
    </w:p>
    <w:p w14:paraId="3CDF8BF3"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Шрапнели полевые: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72"/>
        <w:gridCol w:w="555"/>
      </w:tblGrid>
      <w:tr w:rsidR="002B1C74" w:rsidRPr="002F2FDF" w14:paraId="657B2453"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08B0AF"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 та же, что и гранат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F0762" w14:textId="065F6D3E"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9E254C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2D694E"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Поступило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DB76B" w14:textId="7DF5833A"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D57F807"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DBD02D"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E45C9" w14:textId="0F910D8E"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FFABCA3"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D2ED60"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низшая цифра (февраль)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944A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574.2 »</w:t>
            </w:r>
          </w:p>
        </w:tc>
      </w:tr>
      <w:tr w:rsidR="002B1C74" w:rsidRPr="002F2FDF" w14:paraId="237019F9"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23A57D"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071F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649.7 »</w:t>
            </w:r>
          </w:p>
        </w:tc>
      </w:tr>
    </w:tbl>
    <w:p w14:paraId="1EA11CC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Казенные заводы дали увеличение, а на частных производство упало с 662 до 454 тыс., т. е. около 30%. Особенно неисправен Парвиайнен, который вместо 200 тыс. сдает в месяц 13—20 тыс. Таким образом, потребность в шрапнелях далеко не покрывается отечественными заводами.</w:t>
      </w:r>
    </w:p>
    <w:p w14:paraId="25D8F3E7"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Вывод этот усугубляется, если принять во внимание, что в Петроградском районе, подлежащем сокращению, изготовляется до 390 тыс. снарядов, т. е. около 60%.</w:t>
      </w:r>
    </w:p>
    <w:p w14:paraId="0F11ABF4"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 касается заграничных заказов, то крупная поставка из Японии уже закончена. Из западных государств прибыло в мае 444 тыс. (принято на месте 1110 тыс.). Так как исправное поступление шрапнелей по заграничным заказам не представляется обеспеченным, то надо считаться с тем, что установленная потребность остается непокрытой текущим поступлением.</w:t>
      </w:r>
    </w:p>
    <w:p w14:paraId="33FE6A9C"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Впрочем, отмеченное неблагоприятное положение снабжения 3" шрапнелей ослабляется наличностью огромного запаса 3" снарядов, цифра коего будет изустно доложена Особому совещанию.</w:t>
      </w:r>
    </w:p>
    <w:p w14:paraId="424CBAA3"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Горная шрапнель: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31"/>
        <w:gridCol w:w="300"/>
        <w:gridCol w:w="364"/>
      </w:tblGrid>
      <w:tr w:rsidR="002B1C74" w:rsidRPr="002F2FDF" w14:paraId="14FDE28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A0E27F"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DEF76"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86D17"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тыс.</w:t>
            </w:r>
          </w:p>
        </w:tc>
      </w:tr>
      <w:tr w:rsidR="002B1C74" w:rsidRPr="002F2FDF" w14:paraId="6B78211A"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E7057D"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сокращенная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A8711"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C7E5A"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611B54D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ADD8D"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Боступление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254D9" w14:textId="05D7A7F6"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DCE96" w14:textId="3BD58E88"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7857375"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91A75F"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ED25D"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8EE28"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7FF0FD34"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AB4451"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8B82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DC37B"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474654" w:rsidRPr="002F2FDF" w14:paraId="7FDCA618"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2EA495"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CC92A"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E0C5A"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bl>
    <w:p w14:paraId="097A3598"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Главным поставщиком являются петроградские заводы; сокращение их производительности не предполагается. Потребность, таким образом, далеко не покрывается, но имеются значительные запасы.</w:t>
      </w:r>
    </w:p>
    <w:p w14:paraId="3066BE9E"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42"' бомба:</w:t>
      </w:r>
    </w:p>
    <w:p w14:paraId="70AB884A" w14:textId="3A9DD1A5"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СРЕД</w:t>
      </w:r>
      <w:r w:rsidR="00C45699">
        <w:rPr>
          <w:rFonts w:ascii="Times New Roman" w:hAnsi="Times New Roman" w:cs="Times New Roman"/>
          <w:color w:val="000000" w:themeColor="text1"/>
          <w:kern w:val="2"/>
          <w:sz w:val="16"/>
          <w:szCs w:val="16"/>
        </w:rPr>
        <w:t>Н</w:t>
      </w:r>
      <w:r w:rsidRPr="002F2FDF">
        <w:rPr>
          <w:rFonts w:ascii="Times New Roman" w:hAnsi="Times New Roman" w:cs="Times New Roman"/>
          <w:color w:val="000000" w:themeColor="text1"/>
          <w:kern w:val="2"/>
          <w:sz w:val="16"/>
          <w:szCs w:val="16"/>
        </w:rPr>
        <w:t>ИЕ КАЛИБРЫ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38"/>
        <w:gridCol w:w="953"/>
      </w:tblGrid>
      <w:tr w:rsidR="002B1C74" w:rsidRPr="002F2FDF" w14:paraId="7B78F87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98775D"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 постоянно возрастающая, определяется на 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82DFD"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 тыс. штук</w:t>
            </w:r>
          </w:p>
        </w:tc>
      </w:tr>
      <w:tr w:rsidR="002B1C74" w:rsidRPr="002F2FDF" w14:paraId="53FEE907"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E18203"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Поступление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5ACB1" w14:textId="7A1CDEB0"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F158B4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3E8C81" w14:textId="028339B9" w:rsidR="009D3057" w:rsidRPr="002F2FDF" w:rsidRDefault="00C456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w:t>
            </w:r>
            <w:r w:rsidR="009D3057" w:rsidRPr="002F2FDF">
              <w:rPr>
                <w:rFonts w:ascii="Times New Roman" w:hAnsi="Times New Roman" w:cs="Times New Roman"/>
                <w:color w:val="000000" w:themeColor="text1"/>
                <w:kern w:val="2"/>
                <w:sz w:val="16"/>
                <w:szCs w:val="16"/>
              </w:rPr>
              <w:t>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11E55"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64.6 тыс.</w:t>
            </w:r>
          </w:p>
        </w:tc>
      </w:tr>
      <w:tr w:rsidR="002B1C74" w:rsidRPr="002F2FDF" w14:paraId="24CE7C4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8C1781"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E7014"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 »</w:t>
            </w:r>
          </w:p>
        </w:tc>
      </w:tr>
      <w:tr w:rsidR="002B1C74" w:rsidRPr="002F2FDF" w14:paraId="7A9A6E74"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831899" w14:textId="58AAB761" w:rsidR="009D3057" w:rsidRPr="002F2FDF" w:rsidRDefault="00C456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w:t>
            </w:r>
            <w:r w:rsidR="009D3057" w:rsidRPr="002F2FDF">
              <w:rPr>
                <w:rFonts w:ascii="Times New Roman" w:hAnsi="Times New Roman" w:cs="Times New Roman"/>
                <w:color w:val="000000" w:themeColor="text1"/>
                <w:kern w:val="2"/>
                <w:sz w:val="16"/>
                <w:szCs w:val="16"/>
              </w:rPr>
              <w:t>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366C5"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 »</w:t>
            </w:r>
          </w:p>
        </w:tc>
      </w:tr>
    </w:tbl>
    <w:p w14:paraId="118C3EA5"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 покрывается даже при сокращенном производстве; сверх того имеется некоторый запас.</w:t>
      </w:r>
    </w:p>
    <w:p w14:paraId="4C4C0600"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42"' шрапнель: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74"/>
        <w:gridCol w:w="684"/>
      </w:tblGrid>
      <w:tr w:rsidR="002B1C74" w:rsidRPr="002F2FDF" w14:paraId="00F346F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8F017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 та же, что и бомб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83FC5" w14:textId="20A3E21C"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4BB5EF8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F6B991"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9B3DE" w14:textId="30F25C47"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7C37503"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B1EB44" w14:textId="35BF6C98" w:rsidR="009D3057" w:rsidRPr="002F2FDF" w:rsidRDefault="00C456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w:t>
            </w:r>
            <w:r w:rsidR="009D3057" w:rsidRPr="002F2FDF">
              <w:rPr>
                <w:rFonts w:ascii="Times New Roman" w:hAnsi="Times New Roman" w:cs="Times New Roman"/>
                <w:color w:val="000000" w:themeColor="text1"/>
                <w:kern w:val="2"/>
                <w:sz w:val="16"/>
                <w:szCs w:val="16"/>
              </w:rPr>
              <w:t>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B3EC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23.7 тыс.</w:t>
            </w:r>
          </w:p>
        </w:tc>
      </w:tr>
      <w:tr w:rsidR="002B1C74" w:rsidRPr="002F2FDF" w14:paraId="39CC067C"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6CDA7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4FF88"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10.3 »</w:t>
            </w:r>
          </w:p>
        </w:tc>
      </w:tr>
      <w:tr w:rsidR="002B1C74" w:rsidRPr="002F2FDF" w14:paraId="2026BAE1"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218EA6" w14:textId="57734236" w:rsidR="009D3057" w:rsidRPr="002F2FDF" w:rsidRDefault="00C456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w:t>
            </w:r>
            <w:r w:rsidR="009D3057" w:rsidRPr="002F2FDF">
              <w:rPr>
                <w:rFonts w:ascii="Times New Roman" w:hAnsi="Times New Roman" w:cs="Times New Roman"/>
                <w:color w:val="000000" w:themeColor="text1"/>
                <w:kern w:val="2"/>
                <w:sz w:val="16"/>
                <w:szCs w:val="16"/>
              </w:rPr>
              <w:t>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A5AB6"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15.3 »</w:t>
            </w:r>
          </w:p>
        </w:tc>
      </w:tr>
    </w:tbl>
    <w:p w14:paraId="08DC1D83"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Хотя потребность далеко не покрывается, но требования на этот род снарядов не особенно значительны, так что, несмотря на слабое производство, запас их больше, чем 42"' бомб.</w:t>
      </w:r>
    </w:p>
    <w:p w14:paraId="7F64E0E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48"' бомба: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14"/>
        <w:gridCol w:w="604"/>
      </w:tblGrid>
      <w:tr w:rsidR="002B1C74" w:rsidRPr="002F2FDF" w14:paraId="71F9C1A2"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153EEF"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C2D11"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340 тыс</w:t>
            </w:r>
          </w:p>
        </w:tc>
      </w:tr>
      <w:tr w:rsidR="002B1C74" w:rsidRPr="002F2FDF" w14:paraId="4106EDA5"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86699A"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DF543" w14:textId="6C66C091"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FF50C68"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D7B8C5"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831A4"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332.8 »</w:t>
            </w:r>
          </w:p>
        </w:tc>
      </w:tr>
      <w:tr w:rsidR="002B1C74" w:rsidRPr="002F2FDF" w14:paraId="2CC39B45"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E9FBF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37106"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245.9 »</w:t>
            </w:r>
          </w:p>
        </w:tc>
      </w:tr>
      <w:tr w:rsidR="002B1C74" w:rsidRPr="002F2FDF" w14:paraId="575B1E0F"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28605C" w14:textId="0E62260A" w:rsidR="009D3057" w:rsidRPr="002F2FDF" w:rsidRDefault="00C456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w:t>
            </w:r>
            <w:r w:rsidR="009D3057" w:rsidRPr="002F2FDF">
              <w:rPr>
                <w:rFonts w:ascii="Times New Roman" w:hAnsi="Times New Roman" w:cs="Times New Roman"/>
                <w:color w:val="000000" w:themeColor="text1"/>
                <w:kern w:val="2"/>
                <w:sz w:val="16"/>
                <w:szCs w:val="16"/>
              </w:rPr>
              <w:t>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58F67"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271.6 »</w:t>
            </w:r>
          </w:p>
        </w:tc>
      </w:tr>
    </w:tbl>
    <w:p w14:paraId="5D9D15C4"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Казенные заводы не сократили производства, частные дали 204 тыс. в мае против 273 тыс. в январе. Неисправными являются целый ряд заводов.</w:t>
      </w:r>
    </w:p>
    <w:p w14:paraId="6E58E4C1"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Как известно, рассматриваемый калибр имеет большое применение в боях, и при возрастающем числе соответственных орудий желательно усиление производства сих снарядов. Впрочем, имеющийся их запас значительно превышает месячную потребность.</w:t>
      </w:r>
    </w:p>
    <w:p w14:paraId="634CB72C"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48"' шрапнель: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57"/>
        <w:gridCol w:w="564"/>
      </w:tblGrid>
      <w:tr w:rsidR="002B1C74" w:rsidRPr="002F2FDF" w14:paraId="67977655"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1C04F4"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6C2AE"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 тыс.</w:t>
            </w:r>
          </w:p>
        </w:tc>
      </w:tr>
      <w:tr w:rsidR="002B1C74" w:rsidRPr="002F2FDF" w14:paraId="3F71BA1C"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A39516"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B50A5" w14:textId="576774F7"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E4D74D1"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FD9ADE"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AF033"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36.5 »</w:t>
            </w:r>
          </w:p>
        </w:tc>
      </w:tr>
      <w:tr w:rsidR="002B1C74" w:rsidRPr="002F2FDF" w14:paraId="387A3787"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878124"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22ECC"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3.5.9 »</w:t>
            </w:r>
          </w:p>
        </w:tc>
      </w:tr>
    </w:tbl>
    <w:p w14:paraId="43B113C7"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Особого значения для обороны этот снаряд не имеет.</w:t>
      </w:r>
    </w:p>
    <w:p w14:paraId="7B509C0C"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120 мм бомба: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3"/>
        <w:gridCol w:w="644"/>
      </w:tblGrid>
      <w:tr w:rsidR="002B1C74" w:rsidRPr="002F2FDF" w14:paraId="1734D344"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7F61A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165A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10.8 тыс</w:t>
            </w:r>
          </w:p>
        </w:tc>
      </w:tr>
      <w:tr w:rsidR="002B1C74" w:rsidRPr="002F2FDF" w14:paraId="742D305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99A241"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Покрывает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28D8E"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w:t>
            </w:r>
          </w:p>
        </w:tc>
      </w:tr>
    </w:tbl>
    <w:p w14:paraId="04A361F5"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 же бомбы к французским пушкам у нас не изготовляются я доставляются из Франции; количество поступающих снарядов менее обещанной месячной нормы (45 тыс.), но на фронте имеется некоторый их запас.</w:t>
      </w:r>
    </w:p>
    <w:p w14:paraId="0AF19A7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6"снаряды:</w:t>
      </w:r>
    </w:p>
    <w:p w14:paraId="71BEC1DB"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гаубичная бомба: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16"/>
        <w:gridCol w:w="420"/>
        <w:gridCol w:w="364"/>
      </w:tblGrid>
      <w:tr w:rsidR="002B1C74" w:rsidRPr="002F2FDF" w14:paraId="3F71460C"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1FE27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015CB"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236.8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104C7"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тыс.</w:t>
            </w:r>
          </w:p>
        </w:tc>
      </w:tr>
      <w:tr w:rsidR="002B1C74" w:rsidRPr="002F2FDF" w14:paraId="5213395F"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9908A8"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E0E1E" w14:textId="6F31381D"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05CC0" w14:textId="6F57F645"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A652CD7"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8CC2A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49C5F"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FAD3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2A2346B6"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75F25E"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наименьшее (февраль)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FFE2D"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6F21F"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04646C8F"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5C777B"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0687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4CC0A"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bl>
    <w:p w14:paraId="1BA56405"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Хотя производство этих снарядов и возрастает, но оно но докрывает потребности и далеко не достигает установленной по контрактам производительности заводов (на май 379 тыс.). Имеется запас.</w:t>
      </w:r>
    </w:p>
    <w:p w14:paraId="32FAE4E4"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бомбы к пушкам Шнейдера и 200 пуд.:</w:t>
      </w:r>
    </w:p>
    <w:p w14:paraId="5E2BC6D5"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 28 тыс., поставка 10 тыс., при небольшом запасе.</w:t>
      </w:r>
    </w:p>
    <w:p w14:paraId="5077C89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шрапнель:</w:t>
      </w:r>
    </w:p>
    <w:p w14:paraId="1E56782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 12 тыс., поступление в январе 6.2 тыс., в мае всего 2 тыс. вследствие неисправности Пермского завода и пожара на Олонецком заводе. Снаряд особого значения не имеет.</w:t>
      </w:r>
    </w:p>
    <w:p w14:paraId="764C7EAE"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КРУПНЫЕ КАЛИБРЫ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3"/>
        <w:gridCol w:w="942"/>
        <w:gridCol w:w="642"/>
        <w:gridCol w:w="657"/>
      </w:tblGrid>
      <w:tr w:rsidR="002B1C74" w:rsidRPr="002F2FDF" w14:paraId="7A16662D"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A4C57B" w14:textId="4DDCA466"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8EBA8"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55C21"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C3E7E"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r>
      <w:tr w:rsidR="002B1C74" w:rsidRPr="002F2FDF" w14:paraId="3EB8B144"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5AB6AC"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бомба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EB4BB"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21500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85861"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4843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3510A"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5033 шт.</w:t>
            </w:r>
          </w:p>
        </w:tc>
      </w:tr>
      <w:tr w:rsidR="002B1C74" w:rsidRPr="002F2FDF" w14:paraId="365E9881"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75663A"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DFA7D3"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5FA96"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506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AF10F"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5211 »</w:t>
            </w:r>
          </w:p>
        </w:tc>
      </w:tr>
      <w:tr w:rsidR="002B1C74" w:rsidRPr="002F2FDF" w14:paraId="7BE628BA"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0D4E5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3A318"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8400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4A5BE"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3599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70B38"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575 »</w:t>
            </w:r>
          </w:p>
        </w:tc>
      </w:tr>
    </w:tbl>
    <w:p w14:paraId="47B556B0"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Снаряды получаются главным образом с заграничных заводов (8" и 12" — из Англии, 11" — из Франции); производительность отечественных заводов выражается незначительными цифрами. Должно иметь ввиду, что по заграничным поставкам цифры означают не прибытие снарядов в Россию, а прием их на месте. Несмотря на наличность некоторого запаса, потребность в крупных калибрах остается необеспеченной.</w:t>
      </w:r>
    </w:p>
    <w:p w14:paraId="12CB862A"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ВЗРЫВАТЕЛИ И ДИСТАНЦИОННЫЕ ТРУБКИ</w:t>
      </w:r>
    </w:p>
    <w:p w14:paraId="24E6C623"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Взрыватели.</w:t>
      </w:r>
    </w:p>
    <w:p w14:paraId="444BEE21"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Потребность во взрывателях для 3" и 42" гранат определяется на"май в 1900 тыс.'</w:t>
      </w:r>
    </w:p>
    <w:p w14:paraId="2FFB316B"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Поступление взрывателей:</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46"/>
        <w:gridCol w:w="1015"/>
        <w:gridCol w:w="749"/>
        <w:gridCol w:w="1030"/>
      </w:tblGrid>
      <w:tr w:rsidR="002B1C74" w:rsidRPr="002F2FDF" w14:paraId="6FEF39B4"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A3B00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г.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42A45"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68855"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91B0B"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r>
      <w:tr w:rsidR="002B1C74" w:rsidRPr="002F2FDF" w14:paraId="66A1253F"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859DE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6CBBA"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396.6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29C9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320.3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E8780"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440 тыс.</w:t>
            </w:r>
          </w:p>
        </w:tc>
      </w:tr>
      <w:tr w:rsidR="002B1C74" w:rsidRPr="002F2FDF" w14:paraId="7E49372F"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1EC35E"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9D30C"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500.4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274C3"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62AEB"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150.1 »</w:t>
            </w:r>
          </w:p>
        </w:tc>
      </w:tr>
      <w:tr w:rsidR="002B1C74" w:rsidRPr="002F2FDF" w14:paraId="1FA7E6FE"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D700A8"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10D2B"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897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2DFD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495.4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153C8"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591.1 тыс.</w:t>
            </w:r>
            <w:hyperlink r:id="rId279" w:anchor="_ftn1" w:history="1">
              <w:r w:rsidRPr="002F2FDF">
                <w:rPr>
                  <w:rFonts w:ascii="Times New Roman" w:hAnsi="Times New Roman" w:cs="Times New Roman"/>
                  <w:color w:val="000000" w:themeColor="text1"/>
                  <w:kern w:val="2"/>
                  <w:sz w:val="16"/>
                  <w:szCs w:val="16"/>
                </w:rPr>
                <w:t>[1]</w:t>
              </w:r>
            </w:hyperlink>
          </w:p>
        </w:tc>
      </w:tr>
      <w:tr w:rsidR="002B1C74" w:rsidRPr="002F2FDF" w14:paraId="7FC1858E"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554EC1"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Г.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B0998"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BF100" w14:textId="06E9482A"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94C5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275 »</w:t>
            </w:r>
          </w:p>
        </w:tc>
      </w:tr>
      <w:tr w:rsidR="002B1C74" w:rsidRPr="002F2FDF" w14:paraId="3ADB61AC"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2D9964"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25BBB"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.125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5FCEF"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52.5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53B2A"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252.7 »</w:t>
            </w:r>
          </w:p>
        </w:tc>
      </w:tr>
      <w:tr w:rsidR="002B1C74" w:rsidRPr="002F2FDF" w14:paraId="412A7723"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3ECBCB"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Французского образца: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CF48D" w14:textId="24C98CCE"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E9BD8" w14:textId="14C65E24"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D600B" w14:textId="0858DD82"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3DA9FDE5"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295E3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русского изготовления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F6DE4"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480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7B9D7"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142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14A3D"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689.8 тыс.</w:t>
            </w:r>
          </w:p>
        </w:tc>
      </w:tr>
      <w:tr w:rsidR="002B1C74" w:rsidRPr="002F2FDF" w14:paraId="4B829CAD"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7E1E1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Франции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47740"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381.8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F9C8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3DAEE"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6E3E4E2D"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C165DF"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E11B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2033.8 тыс.</w:t>
            </w:r>
            <w:hyperlink r:id="rId280" w:anchor="_ftn2" w:history="1">
              <w:r w:rsidRPr="002F2FDF">
                <w:rPr>
                  <w:rFonts w:ascii="Times New Roman" w:hAnsi="Times New Roman" w:cs="Times New Roman"/>
                  <w:color w:val="000000" w:themeColor="text1"/>
                  <w:kern w:val="2"/>
                  <w:sz w:val="16"/>
                  <w:szCs w:val="16"/>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63AACDD5"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689.9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7463D"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1808.6 тыс.</w:t>
            </w:r>
            <w:hyperlink r:id="rId281" w:anchor="_ftn3" w:history="1">
              <w:r w:rsidRPr="002F2FDF">
                <w:rPr>
                  <w:rFonts w:ascii="Times New Roman" w:hAnsi="Times New Roman" w:cs="Times New Roman"/>
                  <w:color w:val="000000" w:themeColor="text1"/>
                  <w:kern w:val="2"/>
                  <w:sz w:val="16"/>
                  <w:szCs w:val="16"/>
                </w:rPr>
                <w:t>[3]</w:t>
              </w:r>
            </w:hyperlink>
          </w:p>
        </w:tc>
      </w:tr>
    </w:tbl>
    <w:p w14:paraId="674A0124"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этих данных видно, что производство взрывателей на отечественных заводах за истекшие 5 месяцев с. г. усилилось (значительное падение было в марте), но обнаружилось большое сокращение заграничных поставок. В общем результате изготовление взрывателей за май близко к потребности; если же считаться со значительной недопоставкой гранат и 42"' бомб (1077 тыс. плюс 57 тыс. = 1134 тыс.), то получается избыток взрывателей для этого рода снарядов.</w:t>
      </w:r>
    </w:p>
    <w:p w14:paraId="1D1AB864"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Менее благоприятно положение дела с изготовлением на отечественных заводах взрывателей к 48"' и 6" бомбам. Потребность в них определяется в 950 тыс., а поставки составляли: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5"/>
        <w:gridCol w:w="2998"/>
      </w:tblGrid>
      <w:tr w:rsidR="002B1C74" w:rsidRPr="002F2FDF" w14:paraId="1D79EC3E"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20A6E7"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FA5D6"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672 тыс., в том числе заграничных 175 тыс</w:t>
            </w:r>
          </w:p>
        </w:tc>
      </w:tr>
      <w:tr w:rsidR="002B1C74" w:rsidRPr="002F2FDF" w14:paraId="19FF6CE4"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68D6C5"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4320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902 » » » » 400^»</w:t>
            </w:r>
          </w:p>
        </w:tc>
      </w:tr>
    </w:tbl>
    <w:p w14:paraId="77012B8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Заграничные взрыватели только приняты на месте; подвоз их в Россию замедляется. Впрочем, должно иметь в виду, что действительная потребность по числу изготовленных снарядов значительно ниже вышеуказанной (271.6+197=468 тыс.); с другой стороны, для снарядов 48’" и 6" калибров могут быть использованы трубки 1915 г. изготовленные для 3" гранат.</w:t>
      </w:r>
    </w:p>
    <w:p w14:paraId="02F01644"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Дистанционные трубки.</w:t>
      </w:r>
    </w:p>
    <w:p w14:paraId="4F92ECF8"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 в дистанционных трубках 22 и 34 сек. исчисляется в 2100 тыс. в месяц.</w:t>
      </w:r>
    </w:p>
    <w:p w14:paraId="5299BDC3"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Изготовлено: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5"/>
        <w:gridCol w:w="709"/>
        <w:gridCol w:w="1726"/>
        <w:gridCol w:w="644"/>
      </w:tblGrid>
      <w:tr w:rsidR="002B1C74" w:rsidRPr="002F2FDF" w14:paraId="0FAB4528"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11C03F" w14:textId="4853294C"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92BFF"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сек.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999E5"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том числе 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1D23C"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 сек.</w:t>
            </w:r>
          </w:p>
        </w:tc>
      </w:tr>
      <w:tr w:rsidR="002B1C74" w:rsidRPr="002F2FDF" w14:paraId="5F4365CC"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88BEA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73CE6"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1998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825C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651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E6EF4"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74.7 тыс</w:t>
            </w:r>
          </w:p>
        </w:tc>
      </w:tr>
      <w:tr w:rsidR="002B1C74" w:rsidRPr="002F2FDF" w14:paraId="6C8D293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A5372D"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27AAF"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1749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97467"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614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34B51"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 »</w:t>
            </w:r>
          </w:p>
        </w:tc>
      </w:tr>
    </w:tbl>
    <w:p w14:paraId="7E73AF38"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значительном недопоступлении корпусов шрапнелей потребность в 22 сек. трубках покрывается с избытком, но имеется недостаток в 34 сек. трубках.</w:t>
      </w:r>
    </w:p>
    <w:p w14:paraId="3716020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 касается 45 сек. трубок, то при потребности в 170 тыс. изготовлялось: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7"/>
        <w:gridCol w:w="340"/>
        <w:gridCol w:w="324"/>
      </w:tblGrid>
      <w:tr w:rsidR="002B1C74" w:rsidRPr="002F2FDF" w14:paraId="6A9ED3D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58F580"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F0E5D"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6B79C"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тыс</w:t>
            </w:r>
          </w:p>
        </w:tc>
      </w:tr>
      <w:tr w:rsidR="002B1C74" w:rsidRPr="002F2FDF" w14:paraId="3D42EC17"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325FE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марте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54D73"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90147"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67840001"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680C64"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1B03097"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51003"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bl>
    <w:p w14:paraId="4E011A0D"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числу изготовленных в мае корпусов (15.3 + 36 + 2 = 53.3 тыс.) это количество достаточно.</w:t>
      </w:r>
    </w:p>
    <w:p w14:paraId="1B514FF3"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Вообще, по удостоверению артиллерийского ведомства, изготовление взрывателей и дистанционных трубок не задерживает сдачу снарядов, но неблагоприятно влияют на нее две другие причины: во-первых, замедление в снаряжении и, во-вторых, недостаток в гильзах.</w:t>
      </w:r>
    </w:p>
    <w:p w14:paraId="1974CDFC"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Производительность артиллерийских складов за последние месяцы понизилась, требования рабочих возрастают, продуктивность работы ухудшилась. С другой стороны, возникают большие затруднения с получением гильз.</w:t>
      </w:r>
    </w:p>
    <w:p w14:paraId="310EF29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продолжительного затишья' на фронтах возврата гильз почти нет, а между тем в расчет входит получение с фронтов до % потребности. Одновременно упало производство гильз на отечественных заводах; так, гильз было изготовлено: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4"/>
        <w:gridCol w:w="749"/>
        <w:gridCol w:w="709"/>
        <w:gridCol w:w="709"/>
        <w:gridCol w:w="644"/>
      </w:tblGrid>
      <w:tr w:rsidR="002B1C74" w:rsidRPr="002F2FDF" w14:paraId="6D2CDE15"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7CA375" w14:textId="4FAA5D0C"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77FDE"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1429E"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54825"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D756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r>
      <w:tr w:rsidR="002B1C74" w:rsidRPr="002F2FDF" w14:paraId="4B614D79" w14:textId="77777777" w:rsidTr="009D3057">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D50AF48"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r>
      <w:tr w:rsidR="002B1C74" w:rsidRPr="002F2FDF" w14:paraId="56CBA8CC"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E5FF95"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AF52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491.4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5EBED73"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26.7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7014086"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127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15362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90.8 тыс</w:t>
            </w:r>
          </w:p>
        </w:tc>
      </w:tr>
      <w:tr w:rsidR="002B1C74" w:rsidRPr="002F2FDF" w14:paraId="3AC6EF79"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177525"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600E1"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97.6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C8C9BEB"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9465A98"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B0E32FE"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641F7C1B" w14:textId="77777777" w:rsidTr="009D3057">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CDDCD7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r>
      <w:tr w:rsidR="002B1C74" w:rsidRPr="002F2FDF" w14:paraId="55D8EF86"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E91504"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801EF"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239.8 » 1</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7CF129B"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17.6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E09838D"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86.2.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E08776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56.3 тыс</w:t>
            </w:r>
          </w:p>
        </w:tc>
      </w:tr>
      <w:tr w:rsidR="002B1C74" w:rsidRPr="002F2FDF" w14:paraId="534FC65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69CA8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ACD78"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6F95254"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5D84346"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4999757"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p>
        </w:tc>
      </w:tr>
    </w:tbl>
    <w:p w14:paraId="3677BF8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Обстоятельства эти влияют крайне неблагоприятно на снаряжение парков, как это видно из нижеследующего сопоставления: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64"/>
        <w:gridCol w:w="1293"/>
        <w:gridCol w:w="1308"/>
      </w:tblGrid>
      <w:tr w:rsidR="002B1C74" w:rsidRPr="002F2FDF" w14:paraId="2946FD84" w14:textId="77777777" w:rsidTr="009D305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AFAACE7" w14:textId="520C6DFC"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DC7E91D"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Отправлено парков</w:t>
            </w:r>
          </w:p>
        </w:tc>
      </w:tr>
      <w:tr w:rsidR="002B1C74" w:rsidRPr="002F2FDF" w14:paraId="1D9DFAE5" w14:textId="77777777" w:rsidTr="009D305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3786DB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161198"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DE7B0"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r>
      <w:tr w:rsidR="002B1C74" w:rsidRPr="002F2FDF" w14:paraId="1A661EE6"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AEE042"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E1F3D"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80+ 7 химических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14A23"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38+ 3 химических</w:t>
            </w:r>
          </w:p>
        </w:tc>
      </w:tr>
      <w:tr w:rsidR="002B1C74" w:rsidRPr="002F2FDF" w14:paraId="2CDD04A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BC0C8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горные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9B956"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802B6"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r>
      <w:tr w:rsidR="002B1C74" w:rsidRPr="002F2FDF" w14:paraId="12DFAB4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08D40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B34CA"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4E2DB"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r>
      <w:tr w:rsidR="002B1C74" w:rsidRPr="002F2FDF" w14:paraId="77EAE53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B978DD"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E7C1E"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2CC6FD5" w14:textId="6AD0A817"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D95AE91"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676618"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4504D"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992E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r>
      <w:tr w:rsidR="002B1C74" w:rsidRPr="002F2FDF" w14:paraId="338F62BE"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56B3D1"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D02D0"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1ADA4"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 химических</w:t>
            </w:r>
          </w:p>
        </w:tc>
      </w:tr>
      <w:tr w:rsidR="002B1C74" w:rsidRPr="002F2FDF" w14:paraId="354C2ABD"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CBD7BC"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крепостные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0106E"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30A3A"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 химических</w:t>
            </w:r>
          </w:p>
        </w:tc>
      </w:tr>
      <w:tr w:rsidR="002B1C74" w:rsidRPr="002F2FDF" w14:paraId="72FE524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105C11"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8D5FC" w14:textId="230EAFD5" w:rsidR="009D305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9D3057" w:rsidRPr="002F2FDF">
              <w:rPr>
                <w:rFonts w:ascii="Times New Roman" w:hAnsi="Times New Roman" w:cs="Times New Roman"/>
                <w:color w:val="000000" w:themeColor="text1"/>
                <w:kern w:val="2"/>
                <w:sz w:val="16"/>
                <w:szCs w:val="16"/>
              </w:rPr>
              <w:t>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60E45"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99</w:t>
            </w:r>
          </w:p>
        </w:tc>
      </w:tr>
    </w:tbl>
    <w:p w14:paraId="21A7F05F"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всех вышеприведенных данных обращает на себя особое внимание нижеследующее:</w:t>
      </w:r>
    </w:p>
    <w:p w14:paraId="42BD405B"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Количество 3" шрапнелей весьма недостаточно, особенно если произойдет сокращение их изготовления в Петрограде.</w:t>
      </w:r>
    </w:p>
    <w:p w14:paraId="715AC6B6"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Производство снарядов средних калибров увеличивается, но продолжает отставать от предположенных норм.</w:t>
      </w:r>
    </w:p>
    <w:p w14:paraId="42862449"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Количество снарядов крупных калибров совершенно недостаточно.</w:t>
      </w:r>
    </w:p>
    <w:p w14:paraId="2F2ADB37"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Ход снаряжения неудовлетворительный.</w:t>
      </w:r>
    </w:p>
    <w:p w14:paraId="1A288687"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Недостаток гильз угрожает правильному ходу снабжения армии выстрелами.</w:t>
      </w:r>
    </w:p>
    <w:p w14:paraId="1FBDAFB4"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Подлинный за надлежащими подписями.</w:t>
      </w:r>
    </w:p>
    <w:p w14:paraId="4B0A4AE1"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Верно: и. д. делопроизводителя подполковник [подпись неразборчива].</w:t>
      </w:r>
    </w:p>
    <w:p w14:paraId="64E7864F" w14:textId="77777777" w:rsidR="009D3057"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282" w:anchor="_ftnref1" w:history="1">
        <w:r w:rsidR="009D3057" w:rsidRPr="002F2FDF">
          <w:rPr>
            <w:rFonts w:ascii="Times New Roman" w:hAnsi="Times New Roman" w:cs="Times New Roman"/>
            <w:color w:val="000000" w:themeColor="text1"/>
            <w:kern w:val="2"/>
            <w:sz w:val="16"/>
            <w:szCs w:val="16"/>
          </w:rPr>
          <w:t>[1]</w:t>
        </w:r>
      </w:hyperlink>
      <w:r w:rsidR="009D3057" w:rsidRPr="002F2FDF">
        <w:rPr>
          <w:rFonts w:ascii="Times New Roman" w:hAnsi="Times New Roman" w:cs="Times New Roman"/>
          <w:color w:val="000000" w:themeColor="text1"/>
          <w:kern w:val="2"/>
          <w:sz w:val="16"/>
          <w:szCs w:val="16"/>
        </w:rPr>
        <w:t xml:space="preserve"> Так в док.; следует: 590.1</w:t>
      </w:r>
    </w:p>
    <w:p w14:paraId="2118661C" w14:textId="77777777" w:rsidR="009D3057"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283" w:anchor="_ftnref2" w:history="1">
        <w:r w:rsidR="009D3057" w:rsidRPr="002F2FDF">
          <w:rPr>
            <w:rFonts w:ascii="Times New Roman" w:hAnsi="Times New Roman" w:cs="Times New Roman"/>
            <w:color w:val="000000" w:themeColor="text1"/>
            <w:kern w:val="2"/>
            <w:sz w:val="16"/>
            <w:szCs w:val="16"/>
          </w:rPr>
          <w:t>[2]</w:t>
        </w:r>
      </w:hyperlink>
      <w:r w:rsidR="009D3057" w:rsidRPr="002F2FDF">
        <w:rPr>
          <w:rFonts w:ascii="Times New Roman" w:hAnsi="Times New Roman" w:cs="Times New Roman"/>
          <w:color w:val="000000" w:themeColor="text1"/>
          <w:kern w:val="2"/>
          <w:sz w:val="16"/>
          <w:szCs w:val="16"/>
        </w:rPr>
        <w:t xml:space="preserve"> Так в док.; следует; 2083.8</w:t>
      </w:r>
    </w:p>
    <w:p w14:paraId="4011F8BE" w14:textId="77777777" w:rsidR="009D3057"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284" w:anchor="_ftnref3" w:history="1">
        <w:r w:rsidR="009D3057" w:rsidRPr="002F2FDF">
          <w:rPr>
            <w:rFonts w:ascii="Times New Roman" w:hAnsi="Times New Roman" w:cs="Times New Roman"/>
            <w:color w:val="000000" w:themeColor="text1"/>
            <w:kern w:val="2"/>
            <w:sz w:val="16"/>
            <w:szCs w:val="16"/>
          </w:rPr>
          <w:t>[3]</w:t>
        </w:r>
      </w:hyperlink>
      <w:r w:rsidR="009D3057" w:rsidRPr="002F2FDF">
        <w:rPr>
          <w:rFonts w:ascii="Times New Roman" w:hAnsi="Times New Roman" w:cs="Times New Roman"/>
          <w:color w:val="000000" w:themeColor="text1"/>
          <w:kern w:val="2"/>
          <w:sz w:val="16"/>
          <w:szCs w:val="16"/>
        </w:rPr>
        <w:t xml:space="preserve"> Так в док.; следует: 1807.8 (15513),</w:t>
      </w:r>
    </w:p>
    <w:p w14:paraId="0C807030"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p>
    <w:p w14:paraId="365C88C7" w14:textId="7F302AE0" w:rsidR="004B5C1B" w:rsidRPr="002F2FDF" w:rsidRDefault="004B5C1B" w:rsidP="0083075A">
      <w:pPr>
        <w:spacing w:after="0" w:line="240" w:lineRule="auto"/>
        <w:jc w:val="both"/>
        <w:rPr>
          <w:rStyle w:val="af0"/>
          <w:rFonts w:ascii="Times New Roman" w:hAnsi="Times New Roman" w:cs="Times New Roman"/>
          <w:i w:val="0"/>
          <w:color w:val="000000" w:themeColor="text1"/>
          <w:sz w:val="16"/>
          <w:szCs w:val="16"/>
        </w:rPr>
      </w:pPr>
      <w:r w:rsidRPr="002F2FDF">
        <w:rPr>
          <w:rStyle w:val="af0"/>
          <w:rFonts w:ascii="Times New Roman" w:hAnsi="Times New Roman" w:cs="Times New Roman"/>
          <w:i w:val="0"/>
          <w:color w:val="000000" w:themeColor="text1"/>
          <w:sz w:val="16"/>
          <w:szCs w:val="16"/>
        </w:rPr>
        <w:t>22 июня (</w:t>
      </w:r>
      <w:r w:rsidR="00C45699">
        <w:rPr>
          <w:rStyle w:val="af0"/>
          <w:rFonts w:ascii="Times New Roman" w:hAnsi="Times New Roman" w:cs="Times New Roman"/>
          <w:i w:val="0"/>
          <w:color w:val="000000" w:themeColor="text1"/>
          <w:sz w:val="16"/>
          <w:szCs w:val="16"/>
        </w:rPr>
        <w:t xml:space="preserve">5 </w:t>
      </w:r>
      <w:r w:rsidRPr="002F2FDF">
        <w:rPr>
          <w:rStyle w:val="af0"/>
          <w:rFonts w:ascii="Times New Roman" w:hAnsi="Times New Roman" w:cs="Times New Roman"/>
          <w:i w:val="0"/>
          <w:color w:val="000000" w:themeColor="text1"/>
          <w:sz w:val="16"/>
          <w:szCs w:val="16"/>
        </w:rPr>
        <w:t>июля) 1917 г.</w:t>
      </w:r>
    </w:p>
    <w:p w14:paraId="16F7FBA2" w14:textId="77777777" w:rsidR="004B5C1B" w:rsidRPr="002F2FDF" w:rsidRDefault="004B5C1B" w:rsidP="0083075A">
      <w:pPr>
        <w:spacing w:after="0" w:line="240" w:lineRule="auto"/>
        <w:jc w:val="both"/>
        <w:rPr>
          <w:rFonts w:ascii="Times New Roman" w:hAnsi="Times New Roman" w:cs="Times New Roman"/>
          <w:bCs/>
          <w:color w:val="000000" w:themeColor="text1"/>
          <w:sz w:val="16"/>
          <w:szCs w:val="16"/>
        </w:rPr>
      </w:pPr>
      <w:r w:rsidRPr="002F2FDF">
        <w:rPr>
          <w:rFonts w:ascii="Times New Roman" w:hAnsi="Times New Roman" w:cs="Times New Roman"/>
          <w:color w:val="000000" w:themeColor="text1"/>
          <w:sz w:val="16"/>
          <w:szCs w:val="16"/>
        </w:rPr>
        <w:lastRenderedPageBreak/>
        <w:t>Особый журнал Подготовительной комиссии по артиллерийским вопросам при Особом совещании по обороне о снабжении армии снарядами разных калибров и взрывателями с января по май 1917 г.</w:t>
      </w:r>
    </w:p>
    <w:p w14:paraId="427D3850" w14:textId="0CD2DF38" w:rsidR="004B5C1B" w:rsidRPr="002F2FDF" w:rsidRDefault="004B5C1B" w:rsidP="0083075A">
      <w:pPr>
        <w:spacing w:after="0" w:line="240" w:lineRule="auto"/>
        <w:jc w:val="both"/>
        <w:rPr>
          <w:rFonts w:ascii="Times New Roman" w:hAnsi="Times New Roman" w:cs="Times New Roman"/>
          <w:bCs/>
          <w:color w:val="000000" w:themeColor="text1"/>
          <w:sz w:val="16"/>
          <w:szCs w:val="16"/>
        </w:rPr>
      </w:pPr>
      <w:r w:rsidRPr="002F2FDF">
        <w:rPr>
          <w:rFonts w:ascii="Times New Roman" w:hAnsi="Times New Roman" w:cs="Times New Roman"/>
          <w:bCs/>
          <w:color w:val="000000" w:themeColor="text1"/>
          <w:sz w:val="16"/>
          <w:szCs w:val="16"/>
        </w:rPr>
        <w:t>Источник:</w:t>
      </w:r>
      <w:r w:rsidR="00E52569">
        <w:rPr>
          <w:rFonts w:ascii="Times New Roman" w:hAnsi="Times New Roman" w:cs="Times New Roman"/>
          <w:bCs/>
          <w:color w:val="000000" w:themeColor="text1"/>
          <w:sz w:val="16"/>
          <w:szCs w:val="16"/>
        </w:rPr>
        <w:t xml:space="preserve"> </w:t>
      </w:r>
    </w:p>
    <w:p w14:paraId="58E63352" w14:textId="77777777" w:rsidR="004B5C1B" w:rsidRPr="002F2FDF" w:rsidRDefault="004B5C1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175-179</w:t>
      </w:r>
    </w:p>
    <w:p w14:paraId="124BBDF6" w14:textId="360909BA" w:rsidR="004B5C1B" w:rsidRPr="002F2FDF" w:rsidRDefault="004B5C1B" w:rsidP="0083075A">
      <w:pPr>
        <w:spacing w:after="0" w:line="240" w:lineRule="auto"/>
        <w:jc w:val="both"/>
        <w:rPr>
          <w:rFonts w:ascii="Times New Roman" w:hAnsi="Times New Roman" w:cs="Times New Roman"/>
          <w:bCs/>
          <w:color w:val="000000" w:themeColor="text1"/>
          <w:sz w:val="16"/>
          <w:szCs w:val="16"/>
        </w:rPr>
      </w:pPr>
      <w:r w:rsidRPr="002F2FDF">
        <w:rPr>
          <w:rFonts w:ascii="Times New Roman" w:hAnsi="Times New Roman" w:cs="Times New Roman"/>
          <w:bCs/>
          <w:color w:val="000000" w:themeColor="text1"/>
          <w:sz w:val="16"/>
          <w:szCs w:val="16"/>
        </w:rPr>
        <w:t>Архив:</w:t>
      </w:r>
      <w:r w:rsidR="00E52569">
        <w:rPr>
          <w:rFonts w:ascii="Times New Roman" w:hAnsi="Times New Roman" w:cs="Times New Roman"/>
          <w:bCs/>
          <w:color w:val="000000" w:themeColor="text1"/>
          <w:sz w:val="16"/>
          <w:szCs w:val="16"/>
        </w:rPr>
        <w:t xml:space="preserve"> </w:t>
      </w:r>
    </w:p>
    <w:p w14:paraId="7EC352CA" w14:textId="77777777" w:rsidR="004B5C1B" w:rsidRPr="002F2FDF" w:rsidRDefault="004B5C1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ЦГВИА, ф. 369, оп. 3, д. 189, лл. 386—390. Заверенная копия.</w:t>
      </w:r>
    </w:p>
    <w:p w14:paraId="264C1A14" w14:textId="77777777" w:rsidR="004B5C1B" w:rsidRPr="002F2FDF" w:rsidRDefault="004B5C1B" w:rsidP="0083075A">
      <w:pPr>
        <w:pStyle w:val="ae"/>
        <w:spacing w:before="0" w:after="0"/>
        <w:jc w:val="both"/>
        <w:rPr>
          <w:color w:val="000000" w:themeColor="text1"/>
          <w:sz w:val="16"/>
          <w:szCs w:val="16"/>
        </w:rPr>
      </w:pPr>
      <w:r w:rsidRPr="002F2FDF">
        <w:rPr>
          <w:rStyle w:val="af0"/>
          <w:i w:val="0"/>
          <w:color w:val="000000" w:themeColor="text1"/>
          <w:sz w:val="16"/>
          <w:szCs w:val="16"/>
        </w:rPr>
        <w:t>22 июня 1917 г.</w:t>
      </w:r>
    </w:p>
    <w:p w14:paraId="50912D22"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А. 3" СНАРЯДЫ</w:t>
      </w:r>
    </w:p>
    <w:p w14:paraId="6C7D5035"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1) Гранаты полевые и горные: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24"/>
        <w:gridCol w:w="624"/>
      </w:tblGrid>
      <w:tr w:rsidR="002B1C74" w:rsidRPr="002F2FDF" w14:paraId="79BCD90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E7AFFCF"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47A18"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1500 тыс</w:t>
            </w:r>
          </w:p>
        </w:tc>
      </w:tr>
      <w:tr w:rsidR="002B1C74" w:rsidRPr="002F2FDF" w14:paraId="6AAE319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CDE3050"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 измененная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06060"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1200 »</w:t>
            </w:r>
          </w:p>
        </w:tc>
      </w:tr>
      <w:tr w:rsidR="002B1C74" w:rsidRPr="002F2FDF" w14:paraId="49032BB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7B26612"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 вновь пониженная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29B0D"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1000 »</w:t>
            </w:r>
          </w:p>
        </w:tc>
      </w:tr>
      <w:tr w:rsidR="002B1C74" w:rsidRPr="002F2FDF" w14:paraId="70D8F13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9B2190D"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Сверх того 225 тыс. горных и 20 тыс. химических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7D951" w14:textId="5331FE4A" w:rsidR="004B5C1B"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3EDABA8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DAA76F6"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Поступило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2AD30" w14:textId="4137DB3A" w:rsidR="004B5C1B"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6045A80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833317F"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ECE86"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1521 »</w:t>
            </w:r>
          </w:p>
        </w:tc>
      </w:tr>
      <w:tr w:rsidR="002B1C74" w:rsidRPr="002F2FDF" w14:paraId="0969ED3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B4CA521"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низшая цифра (апрель)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7DBD8"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1031 »</w:t>
            </w:r>
          </w:p>
        </w:tc>
      </w:tr>
      <w:tr w:rsidR="002B1C74" w:rsidRPr="002F2FDF" w14:paraId="162DC8A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FBE7202"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88973"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1077 »</w:t>
            </w:r>
          </w:p>
        </w:tc>
      </w:tr>
    </w:tbl>
    <w:p w14:paraId="7576D01B"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Таким образом, производительность отечественных заводов по изготовлению 3" гранат понизилась примерно на 30 %, притом исключительно на заводах частных, тогда как казенные в мае почти приблизились к сдаче е январе (50 тыс. против 51 тыс.). Из частных заводов следует в особенности отметить неисправность завода Сименс—Шуккерт, который ставил от 5 до 8 тыс. в месяц против нормы 80 тыс., а в мае не сдал ничего.</w:t>
      </w:r>
    </w:p>
    <w:p w14:paraId="6A1A932B" w14:textId="7B6D6CC9"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По районам на Петроградский (включая Финляндию и Ревель) падает по 332 тыс. (замай), или несколько менее</w:t>
      </w:r>
      <w:r w:rsidR="00E52569">
        <w:rPr>
          <w:color w:val="000000" w:themeColor="text1"/>
          <w:sz w:val="16"/>
          <w:szCs w:val="16"/>
        </w:rPr>
        <w:t xml:space="preserve"> </w:t>
      </w:r>
      <w:r w:rsidRPr="002F2FDF">
        <w:rPr>
          <w:color w:val="000000" w:themeColor="text1"/>
          <w:sz w:val="16"/>
          <w:szCs w:val="16"/>
          <w:vertAlign w:val="superscript"/>
        </w:rPr>
        <w:t>1</w:t>
      </w:r>
      <w:r w:rsidRPr="002F2FDF">
        <w:rPr>
          <w:color w:val="000000" w:themeColor="text1"/>
          <w:sz w:val="16"/>
          <w:szCs w:val="16"/>
        </w:rPr>
        <w:t>/</w:t>
      </w:r>
      <w:r w:rsidRPr="002F2FDF">
        <w:rPr>
          <w:color w:val="000000" w:themeColor="text1"/>
          <w:sz w:val="16"/>
          <w:szCs w:val="16"/>
          <w:vertAlign w:val="subscript"/>
        </w:rPr>
        <w:t>3</w:t>
      </w:r>
      <w:r w:rsidRPr="002F2FDF">
        <w:rPr>
          <w:color w:val="000000" w:themeColor="text1"/>
          <w:sz w:val="16"/>
          <w:szCs w:val="16"/>
        </w:rPr>
        <w:t>общего количества изготовленных гранат.</w:t>
      </w:r>
    </w:p>
    <w:p w14:paraId="188CC01A"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Ввиду недостатка металла предполагается, как известно, значительно понизить производство 3" снарядов в Петроградском районе, доведя его до 25% против поставок в январе. При этом условии изготовление 3" гранат будет ниже последней установленной нормы в 1 млн штук, но недостаток этот пополняется заграничными заказами; в мае принято на иностранных заводах 810 тыс. гранат, в Россию прибыло 90.7 тыс.</w:t>
      </w:r>
    </w:p>
    <w:p w14:paraId="6AB25300"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2) Шрапнели полевые: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15"/>
        <w:gridCol w:w="495"/>
      </w:tblGrid>
      <w:tr w:rsidR="002B1C74" w:rsidRPr="002F2FDF" w14:paraId="1718983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627119F"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Потребность та же, что и гранат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BECCF" w14:textId="274FBC40" w:rsidR="004B5C1B"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46B22B1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5936539"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Поступило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29EF1E2" w14:textId="430E3370" w:rsidR="004B5C1B"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2A4FC65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C2BEFD7" w14:textId="77777777" w:rsidR="004B5C1B" w:rsidRPr="002F2FDF" w:rsidRDefault="004B5C1B"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CE6D0" w14:textId="091FD8D5" w:rsidR="004B5C1B"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57C4086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1795039" w14:textId="77777777" w:rsidR="004B5C1B" w:rsidRPr="002F2FDF" w:rsidRDefault="004B5C1B"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низшая цифра (февраль)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77944"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574.2 »</w:t>
            </w:r>
          </w:p>
        </w:tc>
      </w:tr>
      <w:tr w:rsidR="002B1C74" w:rsidRPr="002F2FDF" w14:paraId="5563C93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68279E9" w14:textId="77777777" w:rsidR="004B5C1B" w:rsidRPr="002F2FDF" w:rsidRDefault="004B5C1B"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B9F1C"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649.7 »</w:t>
            </w:r>
          </w:p>
        </w:tc>
      </w:tr>
    </w:tbl>
    <w:p w14:paraId="702C21B8"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Казенные заводы дали увеличение, а на частных производство упало с 662 до 454 тыс., т. е. около 30%. Особенно неисправен Парвиайнен, который вместо 200 тыс. сдает в месяц 13—20 тыс. Таким образом, потребность в шрапнелях далеко не покрывается отечественными заводами.</w:t>
      </w:r>
    </w:p>
    <w:p w14:paraId="681673A5"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Вывод этот усугубляется, если принять во внимание, что в Петроградском районе, подлежащем сокращению, изготовляется до 390 тыс. снарядов, т. е. около 60%.</w:t>
      </w:r>
    </w:p>
    <w:p w14:paraId="405F7F0C"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Что касается заграничных заказов, то крупная поставка из Японии уже закончена. Из западных государств прибыло в мае 444 тыс. (принято на месте 1110 тыс.). Так как исправное поступление шрапнелей по заграничным заказам не представляется обеспеченным, то надо считаться с тем, что установленная потребность остается непокрытой текущим поступлением.</w:t>
      </w:r>
    </w:p>
    <w:p w14:paraId="2A99BDBC"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Впрочем, отмеченное неблагоприятное положение снабжения 3" шрапнелей ослабляется наличностью огромного запаса 3" снарядов, цифра коего будет изустно доложена Особому совещанию.</w:t>
      </w:r>
    </w:p>
    <w:p w14:paraId="6710AEFC"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3) Горная шрапнель:</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2"/>
        <w:gridCol w:w="255"/>
        <w:gridCol w:w="304"/>
      </w:tblGrid>
      <w:tr w:rsidR="002B1C74" w:rsidRPr="002F2FDF" w14:paraId="2C08B08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615E3A6"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B1294"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45EE1"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тыс.</w:t>
            </w:r>
          </w:p>
        </w:tc>
      </w:tr>
      <w:tr w:rsidR="002B1C74" w:rsidRPr="002F2FDF" w14:paraId="42BFA5D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4694698" w14:textId="77777777" w:rsidR="004B5C1B" w:rsidRPr="002F2FDF" w:rsidRDefault="004B5C1B"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сокращенная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6125B"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AFE6F"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w:t>
            </w:r>
          </w:p>
        </w:tc>
      </w:tr>
      <w:tr w:rsidR="002B1C74" w:rsidRPr="002F2FDF" w14:paraId="46C2B78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D4A07D0"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Поступление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AA72E" w14:textId="6DB74815" w:rsidR="004B5C1B"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C69C7" w14:textId="00C32B23" w:rsidR="004B5C1B"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51E6014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706C341" w14:textId="77777777" w:rsidR="004B5C1B" w:rsidRPr="002F2FDF" w:rsidRDefault="004B5C1B"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D63F7"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0BBEA"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w:t>
            </w:r>
          </w:p>
        </w:tc>
      </w:tr>
      <w:tr w:rsidR="002B1C74" w:rsidRPr="002F2FDF" w14:paraId="19084C2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FCB278D" w14:textId="77777777" w:rsidR="004B5C1B" w:rsidRPr="002F2FDF" w:rsidRDefault="004B5C1B"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93F9D"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A3962"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w:t>
            </w:r>
          </w:p>
        </w:tc>
      </w:tr>
      <w:tr w:rsidR="002B1C74" w:rsidRPr="002F2FDF" w14:paraId="436714A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E5E4F34" w14:textId="77777777" w:rsidR="004B5C1B" w:rsidRPr="002F2FDF" w:rsidRDefault="004B5C1B"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17255"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BE4D8"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w:t>
            </w:r>
          </w:p>
        </w:tc>
      </w:tr>
    </w:tbl>
    <w:p w14:paraId="648F1604"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Главным поставщиком являются петроградские заводы; сокращение их производительности не предполагается. Потребность, таким образом, далеко не покрывается, но имеются значительные запасы.</w:t>
      </w:r>
    </w:p>
    <w:p w14:paraId="604C73C3"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1) 42"' бомба:</w:t>
      </w:r>
    </w:p>
    <w:p w14:paraId="7001F7A6"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Б. СРЕДБИЕ КАЛИБРЫ</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76"/>
        <w:gridCol w:w="895"/>
      </w:tblGrid>
      <w:tr w:rsidR="002B1C74" w:rsidRPr="002F2FDF" w14:paraId="31F37CD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6868628"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Потребность, постоянно возрастающая, определяется на 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560E8"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45 тыс. штук</w:t>
            </w:r>
          </w:p>
        </w:tc>
      </w:tr>
      <w:tr w:rsidR="002B1C74" w:rsidRPr="002F2FDF" w14:paraId="39F296C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5095F21"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Поступление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36E13" w14:textId="5C9E17B6" w:rsidR="004B5C1B"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70CDC6A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A8E71BC" w14:textId="77777777" w:rsidR="004B5C1B" w:rsidRPr="002F2FDF" w:rsidRDefault="004B5C1B"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E0A4C"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64.6 тыс.</w:t>
            </w:r>
          </w:p>
        </w:tc>
      </w:tr>
      <w:tr w:rsidR="002B1C74" w:rsidRPr="002F2FDF" w14:paraId="2CE49D9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14A9B42" w14:textId="77777777" w:rsidR="004B5C1B" w:rsidRPr="002F2FDF" w:rsidRDefault="004B5C1B"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2FB6F"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46 »</w:t>
            </w:r>
          </w:p>
        </w:tc>
      </w:tr>
      <w:tr w:rsidR="002B1C74" w:rsidRPr="002F2FDF" w14:paraId="1306AEB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97EF356" w14:textId="77777777" w:rsidR="004B5C1B" w:rsidRPr="002F2FDF" w:rsidRDefault="004B5C1B"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A14A3"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57 »</w:t>
            </w:r>
          </w:p>
        </w:tc>
      </w:tr>
    </w:tbl>
    <w:p w14:paraId="0269AC47"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Потребность покрывается даже при сокращенном производстве; сверх того имеется некоторый запас.</w:t>
      </w:r>
    </w:p>
    <w:p w14:paraId="2B02D4B2"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2) 42"' шрапнель:</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15"/>
        <w:gridCol w:w="624"/>
      </w:tblGrid>
      <w:tr w:rsidR="002B1C74" w:rsidRPr="002F2FDF" w14:paraId="0244B01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A66D49"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Потребность та же, что и бомб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B51F9" w14:textId="04DEA1AA" w:rsidR="004B5C1B"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7F075A3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024857A"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15D5C" w14:textId="70151F6F" w:rsidR="004B5C1B"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624B0FE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81C572E" w14:textId="77777777" w:rsidR="004B5C1B" w:rsidRPr="002F2FDF" w:rsidRDefault="004B5C1B"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954E7"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23.7 тыс.</w:t>
            </w:r>
          </w:p>
        </w:tc>
      </w:tr>
      <w:tr w:rsidR="002B1C74" w:rsidRPr="002F2FDF" w14:paraId="6669FD1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4AE505B" w14:textId="77777777" w:rsidR="004B5C1B" w:rsidRPr="002F2FDF" w:rsidRDefault="004B5C1B"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DB6C8"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10.3 »</w:t>
            </w:r>
          </w:p>
        </w:tc>
      </w:tr>
      <w:tr w:rsidR="002B1C74" w:rsidRPr="002F2FDF" w14:paraId="70E3C82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B1EF416" w14:textId="77777777" w:rsidR="004B5C1B" w:rsidRPr="002F2FDF" w:rsidRDefault="004B5C1B"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6A138"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15.3 »</w:t>
            </w:r>
          </w:p>
        </w:tc>
      </w:tr>
    </w:tbl>
    <w:p w14:paraId="6D82155F"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Хотя потребность далеко не покрывается, но требования на этот род снарядов не особенно значительны, так что, несмотря на слабое производство, запас их больше, чем 42"' бомб.</w:t>
      </w:r>
    </w:p>
    <w:p w14:paraId="327AC6F0"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3) 48"' бомба: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48"/>
        <w:gridCol w:w="544"/>
      </w:tblGrid>
      <w:tr w:rsidR="002B1C74" w:rsidRPr="002F2FDF" w14:paraId="2546B46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B2EAE8B"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Потребность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ADDAB"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340 тыс</w:t>
            </w:r>
          </w:p>
        </w:tc>
      </w:tr>
      <w:tr w:rsidR="002B1C74" w:rsidRPr="002F2FDF" w14:paraId="11CC731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4848221"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0FF3D" w14:textId="121358B1" w:rsidR="004B5C1B"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5A38544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B673DF2" w14:textId="77777777" w:rsidR="004B5C1B" w:rsidRPr="002F2FDF" w:rsidRDefault="004B5C1B"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066E5"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332.8 »</w:t>
            </w:r>
          </w:p>
        </w:tc>
      </w:tr>
      <w:tr w:rsidR="002B1C74" w:rsidRPr="002F2FDF" w14:paraId="06350C7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E070A94" w14:textId="77777777" w:rsidR="004B5C1B" w:rsidRPr="002F2FDF" w:rsidRDefault="004B5C1B"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DAC3A"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245.9 »</w:t>
            </w:r>
          </w:p>
        </w:tc>
      </w:tr>
      <w:tr w:rsidR="002B1C74" w:rsidRPr="002F2FDF" w14:paraId="74B6952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C2BA0BF" w14:textId="77777777" w:rsidR="004B5C1B" w:rsidRPr="002F2FDF" w:rsidRDefault="004B5C1B"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29AB9"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271.6 »</w:t>
            </w:r>
          </w:p>
        </w:tc>
      </w:tr>
    </w:tbl>
    <w:p w14:paraId="1B84F361"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Казенные заводы не сократили производства, частные дали 204 тыс. в мае против 273 тыс. в январе. Неисправными являются целый ряд заводов.</w:t>
      </w:r>
    </w:p>
    <w:p w14:paraId="56798D9A"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Как известно, рассматриваемый калибр имеет большое применение в боях, и при возрастающем числе соответственных орудий желательно усиление производства сих снарядов. Впрочем, имеющийся их запас значительно превышает месячную потребность.</w:t>
      </w:r>
    </w:p>
    <w:p w14:paraId="103A4416"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4) 48"' шрапнель:</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3"/>
        <w:gridCol w:w="504"/>
      </w:tblGrid>
      <w:tr w:rsidR="002B1C74" w:rsidRPr="002F2FDF" w14:paraId="02D684D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52AC20"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220F0"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60 тыс.</w:t>
            </w:r>
          </w:p>
        </w:tc>
      </w:tr>
      <w:tr w:rsidR="002B1C74" w:rsidRPr="002F2FDF" w14:paraId="5022B54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AB1C912"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Поставлено: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BA983" w14:textId="6EFF4ED2" w:rsidR="004B5C1B"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5D2718F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E90F81F" w14:textId="77777777" w:rsidR="004B5C1B" w:rsidRPr="002F2FDF" w:rsidRDefault="004B5C1B"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BB837"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36.5 »</w:t>
            </w:r>
          </w:p>
        </w:tc>
      </w:tr>
      <w:tr w:rsidR="002B1C74" w:rsidRPr="002F2FDF" w14:paraId="2809FA0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FF535F6" w14:textId="77777777" w:rsidR="004B5C1B" w:rsidRPr="002F2FDF" w:rsidRDefault="004B5C1B"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3F8BB"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3.5.9 »</w:t>
            </w:r>
          </w:p>
        </w:tc>
      </w:tr>
    </w:tbl>
    <w:p w14:paraId="21C974B9"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Особого значения для обороны этот снаряд не имеет.</w:t>
      </w:r>
    </w:p>
    <w:p w14:paraId="488FAE0E"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5) 120 мм бомба: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51"/>
        <w:gridCol w:w="584"/>
      </w:tblGrid>
      <w:tr w:rsidR="002B1C74" w:rsidRPr="002F2FDF" w14:paraId="6B1B968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B15288D"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17E6C"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10.8 тыс</w:t>
            </w:r>
          </w:p>
        </w:tc>
      </w:tr>
      <w:tr w:rsidR="002B1C74" w:rsidRPr="002F2FDF" w14:paraId="7E1A75C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C699F38"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Покрывает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DDE6B"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9 »</w:t>
            </w:r>
          </w:p>
        </w:tc>
      </w:tr>
    </w:tbl>
    <w:p w14:paraId="58244082"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lastRenderedPageBreak/>
        <w:t>Те же бомбы к французским пушкам у нас не изготовляются я доставляются из Франции; количество поступающих снарядов менее обещанной месячной нормы (45 тыс.), но на фронте имеется некоторый их запас.</w:t>
      </w:r>
    </w:p>
    <w:p w14:paraId="01CB9B83"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6) 6"снаряды:</w:t>
      </w:r>
    </w:p>
    <w:p w14:paraId="7B19B3B9" w14:textId="77777777" w:rsidR="004B5C1B" w:rsidRPr="002F2FDF" w:rsidRDefault="004B5C1B" w:rsidP="0083075A">
      <w:pPr>
        <w:pStyle w:val="ae"/>
        <w:spacing w:before="0" w:after="0"/>
        <w:jc w:val="both"/>
        <w:rPr>
          <w:color w:val="000000" w:themeColor="text1"/>
          <w:sz w:val="16"/>
          <w:szCs w:val="16"/>
        </w:rPr>
      </w:pPr>
      <w:r w:rsidRPr="002F2FDF">
        <w:rPr>
          <w:rStyle w:val="af0"/>
          <w:i w:val="0"/>
          <w:color w:val="000000" w:themeColor="text1"/>
          <w:sz w:val="16"/>
          <w:szCs w:val="16"/>
        </w:rPr>
        <w:t>6" гаубичная бомба: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54"/>
        <w:gridCol w:w="375"/>
        <w:gridCol w:w="304"/>
      </w:tblGrid>
      <w:tr w:rsidR="002B1C74" w:rsidRPr="002F2FDF" w14:paraId="3BA6E82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410B6D3"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27560"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236.8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DAA9D"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тыс.</w:t>
            </w:r>
          </w:p>
        </w:tc>
      </w:tr>
      <w:tr w:rsidR="002B1C74" w:rsidRPr="002F2FDF" w14:paraId="7A519F8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D242271"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A0FEF" w14:textId="66FF6217" w:rsidR="004B5C1B"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21738" w14:textId="667B976D" w:rsidR="004B5C1B"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18A2337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862C6C1" w14:textId="77777777" w:rsidR="004B5C1B" w:rsidRPr="002F2FDF" w:rsidRDefault="004B5C1B"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FAE8E"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184.9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872A1"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w:t>
            </w:r>
          </w:p>
        </w:tc>
      </w:tr>
      <w:tr w:rsidR="002B1C74" w:rsidRPr="002F2FDF" w14:paraId="46217EB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19D9083" w14:textId="77777777" w:rsidR="004B5C1B" w:rsidRPr="002F2FDF" w:rsidRDefault="004B5C1B"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наименьшее (февраль)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DA61E"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147.5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A8D09"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w:t>
            </w:r>
          </w:p>
        </w:tc>
      </w:tr>
      <w:tr w:rsidR="002B1C74" w:rsidRPr="002F2FDF" w14:paraId="716D791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E061FC6" w14:textId="77777777" w:rsidR="004B5C1B" w:rsidRPr="002F2FDF" w:rsidRDefault="004B5C1B"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DAFBF"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BEA6E"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w:t>
            </w:r>
          </w:p>
        </w:tc>
      </w:tr>
    </w:tbl>
    <w:p w14:paraId="0FCA6BCD"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Хотя производство этих снарядов и возрастает, но оно но докрывает потребности и далеко не достигает установленной по контрактам производительности заводов (на май 379 тыс.). Имеется запас.</w:t>
      </w:r>
    </w:p>
    <w:p w14:paraId="63965D3B" w14:textId="77777777" w:rsidR="004B5C1B" w:rsidRPr="002F2FDF" w:rsidRDefault="004B5C1B" w:rsidP="0083075A">
      <w:pPr>
        <w:pStyle w:val="rtejustify"/>
        <w:spacing w:before="0" w:after="0"/>
        <w:rPr>
          <w:color w:val="000000" w:themeColor="text1"/>
          <w:sz w:val="16"/>
          <w:szCs w:val="16"/>
        </w:rPr>
      </w:pPr>
      <w:r w:rsidRPr="002F2FDF">
        <w:rPr>
          <w:rStyle w:val="af0"/>
          <w:i w:val="0"/>
          <w:color w:val="000000" w:themeColor="text1"/>
          <w:sz w:val="16"/>
          <w:szCs w:val="16"/>
        </w:rPr>
        <w:t>6" бомбы к пушкам Шнейдера и 200 пуд.:</w:t>
      </w:r>
    </w:p>
    <w:p w14:paraId="1A837E65"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Потребность 28 тыс., поставка 10 тыс., при небольшом запасе.</w:t>
      </w:r>
    </w:p>
    <w:p w14:paraId="4194B9FD" w14:textId="77777777" w:rsidR="004B5C1B" w:rsidRPr="002F2FDF" w:rsidRDefault="004B5C1B" w:rsidP="0083075A">
      <w:pPr>
        <w:pStyle w:val="rtejustify"/>
        <w:spacing w:before="0" w:after="0"/>
        <w:rPr>
          <w:color w:val="000000" w:themeColor="text1"/>
          <w:sz w:val="16"/>
          <w:szCs w:val="16"/>
        </w:rPr>
      </w:pPr>
      <w:r w:rsidRPr="002F2FDF">
        <w:rPr>
          <w:rStyle w:val="af0"/>
          <w:i w:val="0"/>
          <w:color w:val="000000" w:themeColor="text1"/>
          <w:sz w:val="16"/>
          <w:szCs w:val="16"/>
        </w:rPr>
        <w:t>6" шрапнель:</w:t>
      </w:r>
    </w:p>
    <w:p w14:paraId="01AFFBD3"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Потребность 12 тыс., поступление в январе 6.2 тыс., в мае всего 2 тыс. вследствие неисправности Пермского завода и пожара на Олонецком заводе. Снаряд особого значения не имеет.</w:t>
      </w:r>
    </w:p>
    <w:p w14:paraId="575C8A1E"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В. КРУПНЫЕ КАЛИБРЫ</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6"/>
        <w:gridCol w:w="893"/>
        <w:gridCol w:w="609"/>
        <w:gridCol w:w="609"/>
      </w:tblGrid>
      <w:tr w:rsidR="002B1C74" w:rsidRPr="002F2FDF" w14:paraId="36B5479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42B9125" w14:textId="28B4B6AC" w:rsidR="004B5C1B"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C06AA"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899DF"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3F25A"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Май</w:t>
            </w:r>
          </w:p>
        </w:tc>
      </w:tr>
      <w:tr w:rsidR="002B1C74" w:rsidRPr="002F2FDF" w14:paraId="5A3DA0C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387CD48"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8" бомба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B3F29"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21500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2F956"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4843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43261"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5033 шт.</w:t>
            </w:r>
          </w:p>
        </w:tc>
      </w:tr>
      <w:tr w:rsidR="002B1C74" w:rsidRPr="002F2FDF" w14:paraId="7498FCE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94E07EE"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11"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2DED3"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6800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B0251"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506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4CA12"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5211 »</w:t>
            </w:r>
          </w:p>
        </w:tc>
      </w:tr>
      <w:tr w:rsidR="002B1C74" w:rsidRPr="002F2FDF" w14:paraId="2C59BC3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C2B77E6"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12"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372C5"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8400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6BC99"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3599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DE291"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575 »</w:t>
            </w:r>
          </w:p>
        </w:tc>
      </w:tr>
    </w:tbl>
    <w:p w14:paraId="0996D7F6"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Снаряды получаются главным образом с заграничных заводов (8" и 12" — из Англии, 11" — из Франции); производительность отечественных заводов выражается незначительными цифрами. Должно иметь ввиду, что по заграничным поставкам цифры означают не прибытие снарядов в Россию, а прием их на месте. Несмотря на наличность некоторого запаса, потребность в крупных калибрах остается необеспеченной.</w:t>
      </w:r>
    </w:p>
    <w:p w14:paraId="7AE7B881"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ВЗРЫВАТЕЛИ И ДИСТАНЦИОННЫЕ ТРУБКИ</w:t>
      </w:r>
    </w:p>
    <w:p w14:paraId="269E1949"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1) Взрыватели.</w:t>
      </w:r>
    </w:p>
    <w:p w14:paraId="1A3CD911"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Потребность во взрывателях для 3" и 42" гранат определяется на"май в 1900 тыс.'</w:t>
      </w:r>
    </w:p>
    <w:p w14:paraId="2B6028F5"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Поступление взрывателей:</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98"/>
        <w:gridCol w:w="970"/>
        <w:gridCol w:w="704"/>
        <w:gridCol w:w="970"/>
      </w:tblGrid>
      <w:tr w:rsidR="002B1C74" w:rsidRPr="002F2FDF" w14:paraId="293C8B4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310194B"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3. г.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A7275D"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E01D0"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85909"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Май</w:t>
            </w:r>
          </w:p>
        </w:tc>
      </w:tr>
      <w:tr w:rsidR="002B1C74" w:rsidRPr="002F2FDF" w14:paraId="7E29811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2B7266A"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Русские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97645"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396.6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AECA9"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320.3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6070D"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440 тыс.</w:t>
            </w:r>
          </w:p>
        </w:tc>
      </w:tr>
      <w:tr w:rsidR="002B1C74" w:rsidRPr="002F2FDF" w14:paraId="5109B70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949796A"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3A44F"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500.4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34B82"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175.1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487C7"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150.1 »</w:t>
            </w:r>
          </w:p>
        </w:tc>
      </w:tr>
      <w:tr w:rsidR="002B1C74" w:rsidRPr="002F2FDF" w14:paraId="588D401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CC08526"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106AF"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 897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A0F11"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495.4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0A816"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591.1 тыс.</w:t>
            </w:r>
            <w:hyperlink r:id="rId285" w:anchor="_ftn1" w:history="1">
              <w:r w:rsidRPr="002F2FDF">
                <w:rPr>
                  <w:rStyle w:val="a5"/>
                  <w:color w:val="000000" w:themeColor="text1"/>
                  <w:sz w:val="16"/>
                  <w:szCs w:val="16"/>
                </w:rPr>
                <w:t>[1]</w:t>
              </w:r>
            </w:hyperlink>
          </w:p>
        </w:tc>
      </w:tr>
      <w:tr w:rsidR="002B1C74" w:rsidRPr="002F2FDF" w14:paraId="2212DE9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DE00699"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13 Г.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9F26C"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200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60714" w14:textId="59E3B8B5" w:rsidR="004B5C1B"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A6F0B"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275 »</w:t>
            </w:r>
          </w:p>
        </w:tc>
      </w:tr>
      <w:tr w:rsidR="002B1C74" w:rsidRPr="002F2FDF" w14:paraId="45C9556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8F2791C"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D05BC"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.125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1B99E"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52.5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A9E57"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252.7 »</w:t>
            </w:r>
          </w:p>
        </w:tc>
      </w:tr>
      <w:tr w:rsidR="002B1C74" w:rsidRPr="002F2FDF" w14:paraId="6EAB53F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7DF5778"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Французского образца: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B6FC3" w14:textId="65AC5E93" w:rsidR="004B5C1B"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B4529" w14:textId="5DCC5135" w:rsidR="004B5C1B"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90E02" w14:textId="78261247" w:rsidR="004B5C1B"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5125AE7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DC03000"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русского изготовления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E35C3"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 480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13171"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142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266FC"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689.8 тыс.</w:t>
            </w:r>
          </w:p>
        </w:tc>
      </w:tr>
      <w:tr w:rsidR="002B1C74" w:rsidRPr="002F2FDF" w14:paraId="5FC30AD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DA2A156"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из Франции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42A1F"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381.8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0C4D9"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C8DA6"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3C67A81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882FB52"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Всего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05B3F"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2033.8 тыс.</w:t>
            </w:r>
            <w:hyperlink r:id="rId286" w:anchor="_ftn2" w:history="1">
              <w:r w:rsidRPr="002F2FDF">
                <w:rPr>
                  <w:rStyle w:val="a5"/>
                  <w:color w:val="000000" w:themeColor="text1"/>
                  <w:sz w:val="16"/>
                  <w:szCs w:val="16"/>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26E94D4A"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689.9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6DBB5"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1808.6 тыс.</w:t>
            </w:r>
            <w:hyperlink r:id="rId287" w:anchor="_ftn3" w:history="1">
              <w:r w:rsidRPr="002F2FDF">
                <w:rPr>
                  <w:rStyle w:val="a5"/>
                  <w:color w:val="000000" w:themeColor="text1"/>
                  <w:sz w:val="16"/>
                  <w:szCs w:val="16"/>
                </w:rPr>
                <w:t>[3]</w:t>
              </w:r>
            </w:hyperlink>
          </w:p>
        </w:tc>
      </w:tr>
    </w:tbl>
    <w:p w14:paraId="6FA74A92"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Из этих данных видно, что производство взрывателей на отечественных заводах за истекшие 5 месяцев с. г. усилилось (значительное падение было в марте), но обнаружилось большое сокращение заграничных поставок. В общем результате изготовление взрывателей за май близко к потребности; если же считаться со значительной недопоставкой гранат и 42"' бомб (1077 тыс. плюс 57 тыс. = 1134 тыс.), то получается избыток взрывателей для этого рода снарядов.</w:t>
      </w:r>
    </w:p>
    <w:p w14:paraId="7FE4BE4B"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Менее благоприятно положение дела с изготовлением на отечественных заводах взрывателей к 48"' и 6" бомбам. Потребность в них определяется в 950 тыс., а поставки составляли:</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7"/>
        <w:gridCol w:w="624"/>
        <w:gridCol w:w="2294"/>
      </w:tblGrid>
      <w:tr w:rsidR="002B1C74" w:rsidRPr="002F2FDF" w14:paraId="2780DA0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5653BCF"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431B8" w14:textId="5451B680"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672 тыс.,</w:t>
            </w:r>
            <w:r w:rsidR="00E52569">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41830" w14:textId="77777777" w:rsidR="004B5C1B" w:rsidRPr="002F2FDF" w:rsidRDefault="004B5C1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том числе заграничных 175 тыс</w:t>
            </w:r>
          </w:p>
        </w:tc>
      </w:tr>
      <w:tr w:rsidR="002B1C74" w:rsidRPr="002F2FDF" w14:paraId="45B15D1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53A253A"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2E940" w14:textId="09DFB8DB"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902 »</w:t>
            </w:r>
            <w:r w:rsidR="00E52569">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B2B85" w14:textId="77777777" w:rsidR="004B5C1B" w:rsidRPr="002F2FDF" w:rsidRDefault="004B5C1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400»</w:t>
            </w:r>
          </w:p>
        </w:tc>
      </w:tr>
    </w:tbl>
    <w:p w14:paraId="404E0C88"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Заграничные взрыватели только приняты на месте; подвоз их в Россию замедляется. Впрочем, должно иметь в виду, что действительная потребность по числу изготовленных снарядов значительно ниже вышеуказанной (271.6+197=468 тыс.); с другой стороны, для снарядов 48’" и 6" калибров могут быть использованы трубки 1915 г. изготовленные для 3" гранат.</w:t>
      </w:r>
    </w:p>
    <w:p w14:paraId="0D43A5EF"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2) Дистанционные трубки.</w:t>
      </w:r>
    </w:p>
    <w:p w14:paraId="77418435"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Потребность в дистанционных трубках 22 и 34 сек. исчисляется в 2100 тыс. в месяц.</w:t>
      </w:r>
    </w:p>
    <w:p w14:paraId="2779E2E9"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Изготовлено:</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7"/>
        <w:gridCol w:w="664"/>
        <w:gridCol w:w="1686"/>
        <w:gridCol w:w="584"/>
      </w:tblGrid>
      <w:tr w:rsidR="002B1C74" w:rsidRPr="002F2FDF" w14:paraId="0149430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A02CFA7" w14:textId="71D1BD0C" w:rsidR="004B5C1B"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4E654"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22 сек.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4E1E1"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В том числе 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A6BDF"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34 сек.</w:t>
            </w:r>
          </w:p>
        </w:tc>
      </w:tr>
      <w:tr w:rsidR="002B1C74" w:rsidRPr="002F2FDF" w14:paraId="676113F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29CFE11"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BB78F"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1998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D9ED3"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651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2CF22"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74.7 тыс</w:t>
            </w:r>
          </w:p>
        </w:tc>
      </w:tr>
      <w:tr w:rsidR="002B1C74" w:rsidRPr="002F2FDF" w14:paraId="160942E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2477838"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BCA7E"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1749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42EEC"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614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8E3D4"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50 »</w:t>
            </w:r>
          </w:p>
        </w:tc>
      </w:tr>
    </w:tbl>
    <w:p w14:paraId="7C57D681"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При значительном недопоступлении корпусов шрапнелей потребность в 22 сек. трубках покрывается с избытком, но имеется недостаток в 34 сек. трубках.</w:t>
      </w:r>
    </w:p>
    <w:p w14:paraId="50CCFD1C"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Что касается 45 сек. трубок, то при потребности в 170 тыс. изготовлялось:</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9"/>
        <w:gridCol w:w="295"/>
        <w:gridCol w:w="264"/>
      </w:tblGrid>
      <w:tr w:rsidR="002B1C74" w:rsidRPr="002F2FDF" w14:paraId="0D8ED7D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3170AE3"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9A001"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BEB4E"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тыс</w:t>
            </w:r>
          </w:p>
        </w:tc>
      </w:tr>
      <w:tr w:rsidR="002B1C74" w:rsidRPr="002F2FDF" w14:paraId="2ACF713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BFC32E5"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В марте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94D76"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D92A5"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w:t>
            </w:r>
          </w:p>
        </w:tc>
      </w:tr>
      <w:tr w:rsidR="002B1C74" w:rsidRPr="002F2FDF" w14:paraId="1180C62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3368046"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3F9F7"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70.6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92803"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w:t>
            </w:r>
          </w:p>
        </w:tc>
      </w:tr>
    </w:tbl>
    <w:p w14:paraId="143F399D"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По числу изготовленных в мае корпусов (15.3 + 36 + 2 = 53.3 тыс.) это количество достаточно.</w:t>
      </w:r>
    </w:p>
    <w:p w14:paraId="5891F547"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Вообще, по удостоверению артиллерийского ведомства, изготовление взрывателей и дистанционных трубок не задерживает сдачу снарядов, но неблагоприятно влияют на нее две другие причины: во-первых, замедление в снаряжении и, во-вторых, недостаток в гильзах.</w:t>
      </w:r>
    </w:p>
    <w:p w14:paraId="727B9C4D"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Производительность артиллерийских складов за последние месяцы понизилась, требования рабочих возрастают, продуктивность работы ухудшилась. С другой стороны, возникают большие затруднения с получением гильз.</w:t>
      </w:r>
    </w:p>
    <w:p w14:paraId="0B282B50" w14:textId="68EAC88E"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Ввиду продолжительного затишья на фронтах возврата гильз почти нет, а между тем в расчет входит получение с фронтов до</w:t>
      </w:r>
      <w:r w:rsidR="00E52569">
        <w:rPr>
          <w:color w:val="000000" w:themeColor="text1"/>
          <w:sz w:val="16"/>
          <w:szCs w:val="16"/>
        </w:rPr>
        <w:t xml:space="preserve"> </w:t>
      </w:r>
      <w:r w:rsidRPr="002F2FDF">
        <w:rPr>
          <w:color w:val="000000" w:themeColor="text1"/>
          <w:sz w:val="16"/>
          <w:szCs w:val="16"/>
          <w:vertAlign w:val="superscript"/>
        </w:rPr>
        <w:t>1</w:t>
      </w:r>
      <w:r w:rsidRPr="002F2FDF">
        <w:rPr>
          <w:color w:val="000000" w:themeColor="text1"/>
          <w:sz w:val="16"/>
          <w:szCs w:val="16"/>
        </w:rPr>
        <w:t>/</w:t>
      </w:r>
      <w:r w:rsidRPr="002F2FDF">
        <w:rPr>
          <w:color w:val="000000" w:themeColor="text1"/>
          <w:sz w:val="16"/>
          <w:szCs w:val="16"/>
          <w:vertAlign w:val="subscript"/>
        </w:rPr>
        <w:t>2</w:t>
      </w:r>
      <w:r w:rsidR="00E52569">
        <w:rPr>
          <w:color w:val="000000" w:themeColor="text1"/>
          <w:sz w:val="16"/>
          <w:szCs w:val="16"/>
        </w:rPr>
        <w:t xml:space="preserve"> </w:t>
      </w:r>
      <w:r w:rsidRPr="002F2FDF">
        <w:rPr>
          <w:color w:val="000000" w:themeColor="text1"/>
          <w:sz w:val="16"/>
          <w:szCs w:val="16"/>
        </w:rPr>
        <w:t>потребности. Одновременно упало производство гильз на отечественных заводах; так, гильз было изготовлено:</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86"/>
        <w:gridCol w:w="704"/>
        <w:gridCol w:w="664"/>
        <w:gridCol w:w="664"/>
        <w:gridCol w:w="584"/>
      </w:tblGrid>
      <w:tr w:rsidR="002B1C74" w:rsidRPr="002F2FDF" w14:paraId="4A31920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F1260ED" w14:textId="7A44D445" w:rsidR="004B5C1B"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D14CE"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3D8DC"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34856"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AF1F9"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6"</w:t>
            </w:r>
          </w:p>
        </w:tc>
      </w:tr>
      <w:tr w:rsidR="002B1C74" w:rsidRPr="002F2FDF" w14:paraId="7230FFE2" w14:textId="77777777" w:rsidTr="006514E2">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ABD108E"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Январь:</w:t>
            </w:r>
          </w:p>
        </w:tc>
      </w:tr>
      <w:tr w:rsidR="002B1C74" w:rsidRPr="002F2FDF" w14:paraId="31A9E11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CD57B4F"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8696F"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491.4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32171BB"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26.7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5150BCC"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127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372440F"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90.8 тыс</w:t>
            </w:r>
          </w:p>
        </w:tc>
      </w:tr>
      <w:tr w:rsidR="002B1C74" w:rsidRPr="002F2FDF" w14:paraId="090C5D4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D2C3F69"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горные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9911D"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97.6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990C394" w14:textId="77777777" w:rsidR="004B5C1B" w:rsidRPr="002F2FDF" w:rsidRDefault="004B5C1B" w:rsidP="0083075A">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1ABC788" w14:textId="77777777" w:rsidR="004B5C1B" w:rsidRPr="002F2FDF" w:rsidRDefault="004B5C1B" w:rsidP="0083075A">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61259D1" w14:textId="77777777" w:rsidR="004B5C1B" w:rsidRPr="002F2FDF" w:rsidRDefault="004B5C1B" w:rsidP="0083075A">
            <w:pPr>
              <w:spacing w:after="0" w:line="240" w:lineRule="auto"/>
              <w:jc w:val="both"/>
              <w:rPr>
                <w:rFonts w:ascii="Times New Roman" w:hAnsi="Times New Roman" w:cs="Times New Roman"/>
                <w:color w:val="000000" w:themeColor="text1"/>
                <w:sz w:val="16"/>
                <w:szCs w:val="16"/>
              </w:rPr>
            </w:pPr>
          </w:p>
        </w:tc>
      </w:tr>
      <w:tr w:rsidR="002B1C74" w:rsidRPr="002F2FDF" w14:paraId="63924A97" w14:textId="77777777" w:rsidTr="006514E2">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A622E2D"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Май:</w:t>
            </w:r>
          </w:p>
        </w:tc>
      </w:tr>
      <w:tr w:rsidR="002B1C74" w:rsidRPr="002F2FDF" w14:paraId="12FBF3B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E445F50"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985D0"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239.8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5F38E2"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17.6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15F20B"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86.2.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CF375D3"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56.3 тыс</w:t>
            </w:r>
          </w:p>
        </w:tc>
      </w:tr>
      <w:tr w:rsidR="002B1C74" w:rsidRPr="002F2FDF" w14:paraId="425CF9A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6C1D267"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горные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19D39"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73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CE96B73" w14:textId="77777777" w:rsidR="004B5C1B" w:rsidRPr="002F2FDF" w:rsidRDefault="004B5C1B" w:rsidP="0083075A">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CBE927" w14:textId="77777777" w:rsidR="004B5C1B" w:rsidRPr="002F2FDF" w:rsidRDefault="004B5C1B" w:rsidP="0083075A">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6BC56DB" w14:textId="77777777" w:rsidR="004B5C1B" w:rsidRPr="002F2FDF" w:rsidRDefault="004B5C1B" w:rsidP="0083075A">
            <w:pPr>
              <w:spacing w:after="0" w:line="240" w:lineRule="auto"/>
              <w:jc w:val="both"/>
              <w:rPr>
                <w:rFonts w:ascii="Times New Roman" w:hAnsi="Times New Roman" w:cs="Times New Roman"/>
                <w:color w:val="000000" w:themeColor="text1"/>
                <w:sz w:val="16"/>
                <w:szCs w:val="16"/>
              </w:rPr>
            </w:pPr>
          </w:p>
        </w:tc>
      </w:tr>
    </w:tbl>
    <w:p w14:paraId="03E283AB"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Обстоятельства эти влияют крайне неблагоприятно на снаряжение парков, как это видно из нижеследующего сопоставления:</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00"/>
        <w:gridCol w:w="1244"/>
        <w:gridCol w:w="1244"/>
      </w:tblGrid>
      <w:tr w:rsidR="002B1C74" w:rsidRPr="002F2FDF" w14:paraId="3E2D740B" w14:textId="77777777" w:rsidTr="006514E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3E1DE3C" w14:textId="6304FAAD" w:rsidR="004B5C1B"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B177698"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Отправлено парков</w:t>
            </w:r>
          </w:p>
        </w:tc>
      </w:tr>
      <w:tr w:rsidR="002B1C74" w:rsidRPr="002F2FDF" w14:paraId="34A22772" w14:textId="77777777" w:rsidTr="006514E2">
        <w:tc>
          <w:tcPr>
            <w:tcW w:w="0" w:type="auto"/>
            <w:vMerge/>
            <w:tcBorders>
              <w:top w:val="outset" w:sz="6" w:space="0" w:color="auto"/>
              <w:left w:val="outset" w:sz="6" w:space="0" w:color="auto"/>
              <w:bottom w:val="outset" w:sz="6" w:space="0" w:color="auto"/>
              <w:right w:val="outset" w:sz="6" w:space="0" w:color="auto"/>
            </w:tcBorders>
            <w:vAlign w:val="center"/>
            <w:hideMark/>
          </w:tcPr>
          <w:p w14:paraId="70C9A721" w14:textId="77777777" w:rsidR="004B5C1B" w:rsidRPr="002F2FDF" w:rsidRDefault="004B5C1B" w:rsidP="0083075A">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1D94BA"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F613D"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май</w:t>
            </w:r>
          </w:p>
        </w:tc>
      </w:tr>
      <w:tr w:rsidR="002B1C74" w:rsidRPr="002F2FDF" w14:paraId="710C14A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BD0196E"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3" 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C62B6"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80+ 7 химических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39A1D"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38+ 3 химических</w:t>
            </w:r>
          </w:p>
        </w:tc>
      </w:tr>
      <w:tr w:rsidR="002B1C74" w:rsidRPr="002F2FDF" w14:paraId="19F2D57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780A3B4"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3" горные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51F36"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B26F8"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4</w:t>
            </w:r>
          </w:p>
        </w:tc>
      </w:tr>
      <w:tr w:rsidR="002B1C74" w:rsidRPr="002F2FDF" w14:paraId="56F0662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3F3A96C"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74564"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DC6CC"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15</w:t>
            </w:r>
          </w:p>
        </w:tc>
      </w:tr>
      <w:tr w:rsidR="002B1C74" w:rsidRPr="002F2FDF" w14:paraId="0707A43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F8C1BDE"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5FFD9"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4E665" w14:textId="77777777" w:rsidR="004B5C1B" w:rsidRPr="002F2FDF" w:rsidRDefault="004B5C1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w:t>
            </w:r>
          </w:p>
        </w:tc>
      </w:tr>
      <w:tr w:rsidR="002B1C74" w:rsidRPr="002F2FDF" w14:paraId="23524FB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B3448DE"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C59E5"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17996"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9</w:t>
            </w:r>
          </w:p>
        </w:tc>
      </w:tr>
      <w:tr w:rsidR="002B1C74" w:rsidRPr="002F2FDF" w14:paraId="128AE27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7C8688F"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lastRenderedPageBreak/>
              <w:t>6" 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00A51"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8B37F"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8+ 2 химических</w:t>
            </w:r>
          </w:p>
        </w:tc>
      </w:tr>
      <w:tr w:rsidR="002B1C74" w:rsidRPr="002F2FDF" w14:paraId="7315A76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51E7BBE"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6" крепостные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E0EAD"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5D6FE"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17+ 3 химических</w:t>
            </w:r>
          </w:p>
        </w:tc>
      </w:tr>
      <w:tr w:rsidR="002B1C74" w:rsidRPr="002F2FDF" w14:paraId="486510F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0C55360" w14:textId="77777777" w:rsidR="004B5C1B" w:rsidRPr="002F2FDF" w:rsidRDefault="004B5C1B" w:rsidP="0083075A">
            <w:pPr>
              <w:pStyle w:val="ae"/>
              <w:spacing w:before="0" w:after="0"/>
              <w:jc w:val="both"/>
              <w:rPr>
                <w:color w:val="000000" w:themeColor="text1"/>
                <w:sz w:val="16"/>
                <w:szCs w:val="16"/>
              </w:rPr>
            </w:pPr>
            <w:r w:rsidRPr="002F2FDF">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C3BB4" w14:textId="2C887930" w:rsidR="004B5C1B" w:rsidRPr="002F2FDF" w:rsidRDefault="00E52569" w:rsidP="0083075A">
            <w:pPr>
              <w:pStyle w:val="rtecenter"/>
              <w:spacing w:before="0" w:after="0"/>
              <w:jc w:val="both"/>
              <w:rPr>
                <w:color w:val="000000" w:themeColor="text1"/>
                <w:sz w:val="16"/>
                <w:szCs w:val="16"/>
              </w:rPr>
            </w:pPr>
            <w:r>
              <w:rPr>
                <w:color w:val="000000" w:themeColor="text1"/>
                <w:sz w:val="16"/>
                <w:szCs w:val="16"/>
              </w:rPr>
              <w:t xml:space="preserve"> </w:t>
            </w:r>
            <w:r w:rsidR="004B5C1B" w:rsidRPr="002F2FDF">
              <w:rPr>
                <w:color w:val="000000" w:themeColor="text1"/>
                <w:sz w:val="16"/>
                <w:szCs w:val="16"/>
              </w:rPr>
              <w:t>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B3A36" w14:textId="77777777" w:rsidR="004B5C1B" w:rsidRPr="002F2FDF" w:rsidRDefault="004B5C1B" w:rsidP="0083075A">
            <w:pPr>
              <w:pStyle w:val="rtecenter"/>
              <w:spacing w:before="0" w:after="0"/>
              <w:jc w:val="both"/>
              <w:rPr>
                <w:color w:val="000000" w:themeColor="text1"/>
                <w:sz w:val="16"/>
                <w:szCs w:val="16"/>
              </w:rPr>
            </w:pPr>
            <w:r w:rsidRPr="002F2FDF">
              <w:rPr>
                <w:color w:val="000000" w:themeColor="text1"/>
                <w:sz w:val="16"/>
                <w:szCs w:val="16"/>
              </w:rPr>
              <w:t>99</w:t>
            </w:r>
          </w:p>
        </w:tc>
      </w:tr>
    </w:tbl>
    <w:p w14:paraId="6847D9E5"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Из всех вышеприведенных данных обращает на себя особое внимание нижеследующее:</w:t>
      </w:r>
    </w:p>
    <w:p w14:paraId="277F190F"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1) Количество 3" шрапнелей весьма недостаточно, особенно если произойдет сокращение их изготовления в Петрограде.</w:t>
      </w:r>
    </w:p>
    <w:p w14:paraId="51F11962"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2) Производство снарядов средних калибров увеличивается, но продолжает отставать от предположенных норм.</w:t>
      </w:r>
    </w:p>
    <w:p w14:paraId="2967A2A3"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3) Количество снарядов крупных калибров совершенно недостаточно.</w:t>
      </w:r>
    </w:p>
    <w:p w14:paraId="07D71F7C"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4) Ход снаряжения неудовлетворительный.</w:t>
      </w:r>
    </w:p>
    <w:p w14:paraId="62DF8A79"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5) Недостаток гильз угрожает правильному ходу снабжения армии выстрелами.</w:t>
      </w:r>
    </w:p>
    <w:p w14:paraId="34D0272A"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Подлинный за надлежащими подписями.</w:t>
      </w:r>
    </w:p>
    <w:p w14:paraId="307B3C9E" w14:textId="77777777" w:rsidR="004B5C1B" w:rsidRPr="002F2FDF" w:rsidRDefault="004B5C1B" w:rsidP="0083075A">
      <w:pPr>
        <w:pStyle w:val="rtejustify"/>
        <w:spacing w:before="0" w:after="0"/>
        <w:rPr>
          <w:color w:val="000000" w:themeColor="text1"/>
          <w:sz w:val="16"/>
          <w:szCs w:val="16"/>
        </w:rPr>
      </w:pPr>
      <w:r w:rsidRPr="002F2FDF">
        <w:rPr>
          <w:color w:val="000000" w:themeColor="text1"/>
          <w:sz w:val="16"/>
          <w:szCs w:val="16"/>
        </w:rPr>
        <w:t>Верно: и. д. делопроизводителя подполковник [подпись неразборчива].</w:t>
      </w:r>
    </w:p>
    <w:p w14:paraId="02D14262" w14:textId="66BA80C9" w:rsidR="004B5C1B" w:rsidRPr="002F2FDF" w:rsidRDefault="00000000" w:rsidP="0083075A">
      <w:pPr>
        <w:pStyle w:val="ae"/>
        <w:spacing w:before="0" w:after="0"/>
        <w:jc w:val="both"/>
        <w:rPr>
          <w:color w:val="000000" w:themeColor="text1"/>
          <w:sz w:val="16"/>
          <w:szCs w:val="16"/>
        </w:rPr>
      </w:pPr>
      <w:hyperlink r:id="rId288" w:anchor="_ftnref1" w:history="1">
        <w:r w:rsidR="004B5C1B" w:rsidRPr="002F2FDF">
          <w:rPr>
            <w:rStyle w:val="a5"/>
            <w:color w:val="000000" w:themeColor="text1"/>
            <w:sz w:val="16"/>
            <w:szCs w:val="16"/>
          </w:rPr>
          <w:t>[1]</w:t>
        </w:r>
      </w:hyperlink>
      <w:r w:rsidR="00E52569">
        <w:rPr>
          <w:color w:val="000000" w:themeColor="text1"/>
          <w:sz w:val="16"/>
          <w:szCs w:val="16"/>
        </w:rPr>
        <w:t xml:space="preserve"> </w:t>
      </w:r>
      <w:r w:rsidR="004B5C1B" w:rsidRPr="002F2FDF">
        <w:rPr>
          <w:color w:val="000000" w:themeColor="text1"/>
          <w:sz w:val="16"/>
          <w:szCs w:val="16"/>
        </w:rPr>
        <w:t>Так в док.; следует: 590.1</w:t>
      </w:r>
    </w:p>
    <w:p w14:paraId="30EC59EE" w14:textId="3922C110" w:rsidR="004B5C1B" w:rsidRPr="002F2FDF" w:rsidRDefault="00000000" w:rsidP="0083075A">
      <w:pPr>
        <w:pStyle w:val="ae"/>
        <w:spacing w:before="0" w:after="0"/>
        <w:jc w:val="both"/>
        <w:rPr>
          <w:color w:val="000000" w:themeColor="text1"/>
          <w:sz w:val="16"/>
          <w:szCs w:val="16"/>
        </w:rPr>
      </w:pPr>
      <w:hyperlink r:id="rId289" w:anchor="_ftnref2" w:history="1">
        <w:r w:rsidR="004B5C1B" w:rsidRPr="002F2FDF">
          <w:rPr>
            <w:rStyle w:val="a5"/>
            <w:color w:val="000000" w:themeColor="text1"/>
            <w:sz w:val="16"/>
            <w:szCs w:val="16"/>
          </w:rPr>
          <w:t>[2]</w:t>
        </w:r>
      </w:hyperlink>
      <w:r w:rsidR="00E52569">
        <w:rPr>
          <w:color w:val="000000" w:themeColor="text1"/>
          <w:sz w:val="16"/>
          <w:szCs w:val="16"/>
        </w:rPr>
        <w:t xml:space="preserve"> </w:t>
      </w:r>
      <w:r w:rsidR="004B5C1B" w:rsidRPr="002F2FDF">
        <w:rPr>
          <w:color w:val="000000" w:themeColor="text1"/>
          <w:sz w:val="16"/>
          <w:szCs w:val="16"/>
        </w:rPr>
        <w:t>Так в док.; следует; 2083.8</w:t>
      </w:r>
    </w:p>
    <w:p w14:paraId="7642DF5E" w14:textId="3346CD14" w:rsidR="004B5C1B" w:rsidRPr="002F2FDF" w:rsidRDefault="00000000" w:rsidP="0083075A">
      <w:pPr>
        <w:pStyle w:val="ae"/>
        <w:spacing w:before="0" w:after="0"/>
        <w:jc w:val="both"/>
        <w:rPr>
          <w:color w:val="000000" w:themeColor="text1"/>
          <w:sz w:val="16"/>
          <w:szCs w:val="16"/>
        </w:rPr>
      </w:pPr>
      <w:hyperlink r:id="rId290" w:anchor="_ftnref3" w:history="1">
        <w:r w:rsidR="004B5C1B" w:rsidRPr="002F2FDF">
          <w:rPr>
            <w:rStyle w:val="a5"/>
            <w:color w:val="000000" w:themeColor="text1"/>
            <w:sz w:val="16"/>
            <w:szCs w:val="16"/>
          </w:rPr>
          <w:t>[3]</w:t>
        </w:r>
      </w:hyperlink>
      <w:r w:rsidR="00E52569">
        <w:rPr>
          <w:color w:val="000000" w:themeColor="text1"/>
          <w:sz w:val="16"/>
          <w:szCs w:val="16"/>
        </w:rPr>
        <w:t xml:space="preserve"> </w:t>
      </w:r>
      <w:r w:rsidR="004B5C1B" w:rsidRPr="002F2FDF">
        <w:rPr>
          <w:color w:val="000000" w:themeColor="text1"/>
          <w:sz w:val="16"/>
          <w:szCs w:val="16"/>
        </w:rPr>
        <w:t>Так в док.; следует: 1807.8 (18364).</w:t>
      </w:r>
    </w:p>
    <w:p w14:paraId="7E801D2B" w14:textId="77777777" w:rsidR="004B5C1B" w:rsidRPr="002F2FDF" w:rsidRDefault="004B5C1B" w:rsidP="0083075A">
      <w:pPr>
        <w:spacing w:after="0" w:line="240" w:lineRule="auto"/>
        <w:jc w:val="both"/>
        <w:rPr>
          <w:rFonts w:ascii="Times New Roman" w:hAnsi="Times New Roman" w:cs="Times New Roman"/>
          <w:color w:val="000000" w:themeColor="text1"/>
          <w:sz w:val="16"/>
          <w:szCs w:val="16"/>
        </w:rPr>
      </w:pPr>
    </w:p>
    <w:p w14:paraId="13EBFCE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F52BE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5D4CE1" w14:textId="1F456E02" w:rsidR="00212426" w:rsidRPr="00FB4F67" w:rsidRDefault="0021242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В течение </w:t>
      </w:r>
      <w:r>
        <w:rPr>
          <w:rFonts w:ascii="Times New Roman" w:hAnsi="Times New Roman" w:cs="Times New Roman"/>
          <w:color w:val="0070C0"/>
          <w:sz w:val="16"/>
          <w:szCs w:val="16"/>
        </w:rPr>
        <w:t>22-23 июня (</w:t>
      </w:r>
      <w:r w:rsidRPr="00FB4F67">
        <w:rPr>
          <w:rFonts w:ascii="Times New Roman" w:hAnsi="Times New Roman" w:cs="Times New Roman"/>
          <w:color w:val="0070C0"/>
          <w:sz w:val="16"/>
          <w:szCs w:val="16"/>
        </w:rPr>
        <w:t>5-6 июля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орудийные расчеты 2-го взвода 3-й отдельной бронированной зенитной батареи (подпоручик Новиков) подбили два неприятельских самолета (23405).</w:t>
      </w:r>
    </w:p>
    <w:p w14:paraId="6B5B2D20" w14:textId="77777777" w:rsidR="00212426" w:rsidRPr="00FB4F67" w:rsidRDefault="00212426" w:rsidP="0083075A">
      <w:pPr>
        <w:spacing w:after="0" w:line="240" w:lineRule="auto"/>
        <w:jc w:val="both"/>
        <w:rPr>
          <w:rFonts w:ascii="Times New Roman" w:hAnsi="Times New Roman" w:cs="Times New Roman"/>
          <w:color w:val="0070C0"/>
          <w:sz w:val="16"/>
          <w:szCs w:val="16"/>
        </w:rPr>
      </w:pPr>
      <w:bookmarkStart w:id="168" w:name="bookmark832"/>
      <w:bookmarkStart w:id="169" w:name="bookmark833"/>
    </w:p>
    <w:p w14:paraId="23DF1937" w14:textId="032B86C6" w:rsidR="00212426" w:rsidRPr="00FB4F67" w:rsidRDefault="0021242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22 июня (</w:t>
      </w:r>
      <w:r w:rsidRPr="00FB4F67">
        <w:rPr>
          <w:rFonts w:ascii="Times New Roman" w:hAnsi="Times New Roman" w:cs="Times New Roman"/>
          <w:color w:val="0070C0"/>
          <w:sz w:val="16"/>
          <w:szCs w:val="16"/>
        </w:rPr>
        <w:t>5 июля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на Ковельском направлении, в районе Градыски, огнем нашей артиллерии был сбит германский самолет, принадлежавший 283-му артиллерийскому авиаотряду. При падении летательный аппарат разбился, летчики погибли (23405).</w:t>
      </w:r>
      <w:bookmarkEnd w:id="168"/>
      <w:bookmarkEnd w:id="169"/>
    </w:p>
    <w:p w14:paraId="40D71EBC" w14:textId="77777777" w:rsidR="00212426" w:rsidRPr="00FB4F67" w:rsidRDefault="00212426" w:rsidP="0083075A">
      <w:pPr>
        <w:spacing w:after="0" w:line="240" w:lineRule="auto"/>
        <w:jc w:val="both"/>
        <w:rPr>
          <w:rFonts w:ascii="Times New Roman" w:hAnsi="Times New Roman" w:cs="Times New Roman"/>
          <w:color w:val="0070C0"/>
          <w:sz w:val="16"/>
          <w:szCs w:val="16"/>
        </w:rPr>
      </w:pPr>
    </w:p>
    <w:p w14:paraId="17C2DE47" w14:textId="6ABC2239" w:rsidR="00212426" w:rsidRPr="00FB4F67" w:rsidRDefault="00212426" w:rsidP="0083075A">
      <w:pPr>
        <w:spacing w:after="0" w:line="240" w:lineRule="auto"/>
        <w:jc w:val="both"/>
        <w:rPr>
          <w:rFonts w:ascii="Times New Roman" w:hAnsi="Times New Roman" w:cs="Times New Roman"/>
          <w:color w:val="0070C0"/>
          <w:sz w:val="16"/>
          <w:szCs w:val="16"/>
        </w:rPr>
      </w:pPr>
      <w:bookmarkStart w:id="170" w:name="bookmark835"/>
      <w:r w:rsidRPr="00FB4F67">
        <w:rPr>
          <w:rFonts w:ascii="Times New Roman" w:hAnsi="Times New Roman" w:cs="Times New Roman"/>
          <w:color w:val="0070C0"/>
          <w:sz w:val="16"/>
          <w:szCs w:val="16"/>
        </w:rPr>
        <w:t>В ночь</w:t>
      </w:r>
      <w:r>
        <w:rPr>
          <w:rFonts w:ascii="Times New Roman" w:hAnsi="Times New Roman" w:cs="Times New Roman"/>
          <w:color w:val="0070C0"/>
          <w:sz w:val="16"/>
          <w:szCs w:val="16"/>
        </w:rPr>
        <w:t xml:space="preserve">22 на 23 июня </w:t>
      </w:r>
      <w:r w:rsidRPr="00FB4F67">
        <w:rPr>
          <w:rFonts w:ascii="Times New Roman" w:hAnsi="Times New Roman" w:cs="Times New Roman"/>
          <w:color w:val="0070C0"/>
          <w:sz w:val="16"/>
          <w:szCs w:val="16"/>
        </w:rPr>
        <w:t xml:space="preserve"> </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с 5 на 6 июля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три наших быстроходных катера в Драновском канале подверглись атаке со стороны неприятельского гидроаэроплана.</w:t>
      </w:r>
      <w:bookmarkEnd w:id="170"/>
    </w:p>
    <w:p w14:paraId="29D60450" w14:textId="77777777" w:rsidR="00212426" w:rsidRPr="00FB4F67" w:rsidRDefault="0021242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Через день над юго-западной оконечностью Аландских шхер был отмечен разведывательный полет цеппелина. 9 июля германская </w:t>
      </w:r>
      <w:bookmarkStart w:id="171" w:name="bookmark836"/>
      <w:r w:rsidRPr="00FB4F67">
        <w:rPr>
          <w:rFonts w:ascii="Times New Roman" w:hAnsi="Times New Roman" w:cs="Times New Roman"/>
          <w:color w:val="0070C0"/>
          <w:sz w:val="16"/>
          <w:szCs w:val="16"/>
        </w:rPr>
        <w:t>авиация совершила три налета на г. Аренсбург и район Цереля (Моонзундский архипелаг), сбросив около 30 бомб на позиции батарей и сооружения. По нашим данным, «бомбы упали безрезультатно, не причинив потерь и повреждений. Обстрелянные огнем судов флота и морских батарей неприятельские аппараты скрылись».</w:t>
      </w:r>
      <w:bookmarkEnd w:id="171"/>
    </w:p>
    <w:p w14:paraId="12704596" w14:textId="77777777" w:rsidR="00212426" w:rsidRPr="00FB4F67" w:rsidRDefault="0021242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Значительный вклад в борьбу с воздушным противником продолжали вносить наши летчики и воздухоплаватели (23405).</w:t>
      </w:r>
    </w:p>
    <w:p w14:paraId="782A3AC5" w14:textId="77777777" w:rsidR="00212426" w:rsidRPr="00FB4F67" w:rsidRDefault="00212426" w:rsidP="0083075A">
      <w:pPr>
        <w:spacing w:after="0" w:line="240" w:lineRule="auto"/>
        <w:jc w:val="both"/>
        <w:rPr>
          <w:rFonts w:ascii="Times New Roman" w:hAnsi="Times New Roman" w:cs="Times New Roman"/>
          <w:color w:val="0070C0"/>
          <w:sz w:val="16"/>
          <w:szCs w:val="16"/>
        </w:rPr>
      </w:pPr>
    </w:p>
    <w:p w14:paraId="046DB85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июня (5 июля) 1917 на фронт начали отбывать первые русские “батальоны смерти” (4962).</w:t>
      </w:r>
    </w:p>
    <w:p w14:paraId="0046294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AAD87F" w14:textId="77777777" w:rsidR="009D3057"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1B404719" w14:textId="77777777" w:rsidR="009D3057" w:rsidRPr="002F2FDF" w:rsidRDefault="009D305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F44C79" w14:textId="77777777" w:rsidR="009D3057" w:rsidRPr="002F2FDF" w:rsidRDefault="009D3057" w:rsidP="0083075A">
      <w:pPr>
        <w:pStyle w:val="rteright"/>
        <w:spacing w:before="0" w:beforeAutospacing="0" w:after="0" w:afterAutospacing="0"/>
        <w:jc w:val="both"/>
        <w:rPr>
          <w:color w:val="000000" w:themeColor="text1"/>
          <w:kern w:val="2"/>
          <w:sz w:val="16"/>
          <w:szCs w:val="16"/>
        </w:rPr>
      </w:pPr>
      <w:r w:rsidRPr="002F2FDF">
        <w:rPr>
          <w:rStyle w:val="af0"/>
          <w:i w:val="0"/>
          <w:color w:val="000000" w:themeColor="text1"/>
          <w:kern w:val="2"/>
          <w:sz w:val="16"/>
          <w:szCs w:val="16"/>
        </w:rPr>
        <w:t>Не ранее 22 июня (5 июля) 1917 г.</w:t>
      </w:r>
      <w:hyperlink r:id="rId291" w:anchor="_ftn1" w:history="1">
        <w:r w:rsidRPr="002F2FDF">
          <w:rPr>
            <w:rStyle w:val="a7"/>
            <w:rFonts w:eastAsiaTheme="majorEastAsia"/>
            <w:b w:val="0"/>
            <w:iCs/>
            <w:color w:val="000000" w:themeColor="text1"/>
            <w:kern w:val="2"/>
            <w:sz w:val="16"/>
            <w:szCs w:val="16"/>
          </w:rPr>
          <w:t>[1]</w:t>
        </w:r>
      </w:hyperlink>
      <w:r w:rsidRPr="002F2FDF">
        <w:rPr>
          <w:color w:val="000000" w:themeColor="text1"/>
          <w:kern w:val="2"/>
          <w:sz w:val="16"/>
          <w:szCs w:val="16"/>
        </w:rPr>
        <w:t>Записка с изложением решения совещания союзных представителей в Петрограде под председательством А. Гендерсона по вопросам снабжения русской армии.</w:t>
      </w:r>
    </w:p>
    <w:p w14:paraId="36266EE3" w14:textId="43F8D2FE"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495-498</w:t>
      </w:r>
    </w:p>
    <w:p w14:paraId="7B78C564" w14:textId="481B0C15"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ЛВПР, ф. Экономического деп-та, 1-е дел-во, д. 160, лл. 211—213. Подлинник.</w:t>
      </w:r>
    </w:p>
    <w:p w14:paraId="63397FBE" w14:textId="77777777" w:rsidR="009D3057" w:rsidRPr="002F2FDF" w:rsidRDefault="009D3057" w:rsidP="0083075A">
      <w:pPr>
        <w:pStyle w:val="ae"/>
        <w:spacing w:before="0" w:after="0"/>
        <w:jc w:val="both"/>
        <w:rPr>
          <w:color w:val="000000" w:themeColor="text1"/>
          <w:kern w:val="2"/>
          <w:sz w:val="16"/>
          <w:szCs w:val="16"/>
        </w:rPr>
      </w:pPr>
      <w:r w:rsidRPr="002F2FDF">
        <w:rPr>
          <w:rStyle w:val="af0"/>
          <w:i w:val="0"/>
          <w:color w:val="000000" w:themeColor="text1"/>
          <w:kern w:val="2"/>
          <w:sz w:val="16"/>
          <w:szCs w:val="16"/>
        </w:rPr>
        <w:t>Перевод с английского</w:t>
      </w:r>
    </w:p>
    <w:p w14:paraId="2FE683F3"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22 июня/5 июля в здании английского посольства состоялось совещание союзных представителей под председательством министра Гендерсона с целью обсуждения вопроса о дальнейших мероприятиях, необходимых для продолжения и усиления, если это возможно, поставок для русской армии. Совещание единодушно пришло к мнению, что потери в тоннаже из-за активности вражеских подводных лодок</w:t>
      </w:r>
      <w:hyperlink r:id="rId292" w:anchor="_ftn2" w:history="1">
        <w:r w:rsidRPr="002F2FDF">
          <w:rPr>
            <w:rStyle w:val="a5"/>
            <w:color w:val="000000" w:themeColor="text1"/>
            <w:kern w:val="2"/>
            <w:sz w:val="16"/>
            <w:szCs w:val="16"/>
          </w:rPr>
          <w:t>[2]</w:t>
        </w:r>
      </w:hyperlink>
      <w:r w:rsidRPr="002F2FDF">
        <w:rPr>
          <w:color w:val="000000" w:themeColor="text1"/>
          <w:kern w:val="2"/>
          <w:sz w:val="16"/>
          <w:szCs w:val="16"/>
        </w:rPr>
        <w:t xml:space="preserve"> сделали невозможным для союзников полностью выполнить взятые на себя обязательства. Было решено просить Г. Г. Гендерсона и Рута сообщить о создавшемся положении русскому правительству, одновременно заверив его, что решимость союзников сделать все от них зависящее для оказания помощи русской армии во время участия ее в настоящей боевой кампании и операциях, могущих последовать до заключения мира, ни в коей мере не будет ослаблена из-за трудностей, которые сделали невозможным полное осуществление их намерений.</w:t>
      </w:r>
    </w:p>
    <w:p w14:paraId="3960D8A5"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Союзники признают, что их неудача в бесперебойном обеспечении поставок, на что рассчитывали как они, так и русское правительство, должна еще более обременить промышленность России. В подобных обстоятельствах они нарушили бы свой союзнический долг, если бы не представили, в духе самого искреннего расположения, русскому правительству каких-либо предложений относительно усиления производительности таких отраслей промышленности, которые, как представляется, заслуживают внимания правительства. В этом духе совещание предложило г. Гендерсону л г. Руту изложить русскому правительству следующие наблюдения, которые, будучи основаны на опыте, могут быть ему полезны в выработке мер, которых, по-видимому, требует существующее положение.</w:t>
      </w:r>
    </w:p>
    <w:p w14:paraId="536403D6" w14:textId="77777777" w:rsidR="009D3057" w:rsidRPr="002F2FDF" w:rsidRDefault="009D3057" w:rsidP="0083075A">
      <w:pPr>
        <w:pStyle w:val="ae"/>
        <w:spacing w:before="0" w:after="0"/>
        <w:jc w:val="both"/>
        <w:rPr>
          <w:color w:val="000000" w:themeColor="text1"/>
          <w:kern w:val="2"/>
          <w:sz w:val="16"/>
          <w:szCs w:val="16"/>
        </w:rPr>
      </w:pPr>
      <w:r w:rsidRPr="002F2FDF">
        <w:rPr>
          <w:color w:val="000000" w:themeColor="text1"/>
          <w:kern w:val="2"/>
          <w:sz w:val="16"/>
          <w:szCs w:val="16"/>
        </w:rPr>
        <w:t>1. Перевозки</w:t>
      </w:r>
    </w:p>
    <w:p w14:paraId="3EF41709"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Максимальное количество паровозов и вагонов, которые могут быть изготовлены или доставлены в Россию Соединенными Штатами к концу этого года, даже если русским заказам будет дано наибольшее предпочтение, составит соответственно 850 паровозов и 20 тыс. вагонов. Поскольку, как заявляет русское правительство, фактическая потребность составляет не меньше чем 2000 паровозов и 40 тыс. вагонов, очевидно, что нужда в транспорте в России может быть покрыта только путем более эффективной мобилизации и использования местных ресурсов в области труда, материала и машинного оборудования.</w:t>
      </w:r>
    </w:p>
    <w:p w14:paraId="35249C7F"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Возможно, что одной из наиболее эффективных мер для исправления положения было бы расширение существующих ремонтных мастерских, открытие тех мастерских, которые были полностью или частично закрыты, сооружение новых в подходящих пунктах и, кроме того, удлинение работы предприятий до двух или трех смен в день.</w:t>
      </w:r>
    </w:p>
    <w:p w14:paraId="58948103"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Русское правительство могло бы немедленно организовать проверку нынешних возможностей заводского оборудования, и союзники охотно сделали бы все от них зависящее для возмещения каких-либо выявленных таким образом недостатков в отношении квалифицированного труда и материалов.</w:t>
      </w:r>
    </w:p>
    <w:p w14:paraId="542637DD"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Исчерпывающая проверка возможностей речного транспорта, возможно, могла бы выявить средства для уменьшения перегрузки железных дорог в летние месяцы.</w:t>
      </w:r>
    </w:p>
    <w:p w14:paraId="593A0914"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План ликвидации параллельных перевозок, разработанный, как стало известно, русским Министерством торговли и промышленности, должен в случае энергичного проведения его в жизнь быть очень эффективным в устранении излишних перегонов.</w:t>
      </w:r>
    </w:p>
    <w:p w14:paraId="227B1E68"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Автомобильный транспорт. Поскольку ожидается, что снабжение автомобильным транспортом из-за границы будет сопряжено в течение следующих нескольких месяцев с величайшими трудностями, желательно, чтобы были приняты меры для улучшения организации существующего автообслуживания, особенно имея в виду удаление изношенных машин и быстрого производства ремонта. Союзники будут рады предоставить в распоряжение связанного с этой реорганизацией учреждения любую дополнительную квалифицированную рабочую силу или материал, в которых может оказаться нужда. Следует надеяться, что в качестве безотлагательной меры будут предприняты шаги для предотвращения перегрузки и небрежного обращения с имеющимся в наличии автомобильным транспортом.</w:t>
      </w:r>
    </w:p>
    <w:p w14:paraId="684A42F6" w14:textId="77777777" w:rsidR="009D3057" w:rsidRPr="002F2FDF" w:rsidRDefault="009D3057" w:rsidP="0083075A">
      <w:pPr>
        <w:pStyle w:val="ae"/>
        <w:spacing w:before="0" w:after="0"/>
        <w:jc w:val="both"/>
        <w:rPr>
          <w:color w:val="000000" w:themeColor="text1"/>
          <w:kern w:val="2"/>
          <w:sz w:val="16"/>
          <w:szCs w:val="16"/>
        </w:rPr>
      </w:pPr>
      <w:r w:rsidRPr="002F2FDF">
        <w:rPr>
          <w:color w:val="000000" w:themeColor="text1"/>
          <w:kern w:val="2"/>
          <w:sz w:val="16"/>
          <w:szCs w:val="16"/>
        </w:rPr>
        <w:t>2. Кризис в промышленности</w:t>
      </w:r>
    </w:p>
    <w:p w14:paraId="03F7C6A4"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Проблема поддержания производства необходимых предметов потребления становится особенно затруднительной из-за переживаемого Россией кризиса в промышленности. Этот кризис в значительной мере является результатом продолжающего-: .в роста цен на все материалы и безграничных требований рабочих, отказывающих:в даже принимать решения арбитражных органов.</w:t>
      </w:r>
    </w:p>
    <w:p w14:paraId="538C2AF0"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Русское правительство, как полагают, предпримет шаги для фиксирования дев на основные материалы, а в отношении угля — закупит всю продукцию, а затем будет продавать его по установленным ценам. Как стало известно, с этой целью будут созданы комиссии, которые могли бы с успехом действовать одновременно как арбитражные органы для разрешения вопросов заработной платы. Кроме того, стало известно, что правительство предпринимает шаги к созданию аппарата для разрешены конфликтов в промышленности и что государство, будучи главной стороной, заинтересованной в бесперебойной работе промышленности, будет в будущем более непосредственно вникать в регулирование промышленных вопросов. Представляется вероятным, что взятые вместе две эти предложенные меры окажутся эффективными в восстановлении устойчивости русской промышленности, от которой в конечном счете должы зависеть ее производительная способность.</w:t>
      </w:r>
    </w:p>
    <w:p w14:paraId="43581D38"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До союзных представителей дошли сведения, что в некоторых случаях затруднения в промышленности усугублялись вражескими агентами из среды работаюшжх на фабриках военнопленных, чье передвижение, казалось, не подлежало достаточному контролю.</w:t>
      </w:r>
    </w:p>
    <w:p w14:paraId="2665B3A1" w14:textId="77777777" w:rsidR="009D3057" w:rsidRPr="002F2FDF" w:rsidRDefault="009D3057" w:rsidP="0083075A">
      <w:pPr>
        <w:pStyle w:val="ae"/>
        <w:spacing w:before="0" w:after="0"/>
        <w:jc w:val="both"/>
        <w:rPr>
          <w:color w:val="000000" w:themeColor="text1"/>
          <w:kern w:val="2"/>
          <w:sz w:val="16"/>
          <w:szCs w:val="16"/>
        </w:rPr>
      </w:pPr>
      <w:r w:rsidRPr="002F2FDF">
        <w:rPr>
          <w:color w:val="000000" w:themeColor="text1"/>
          <w:kern w:val="2"/>
          <w:sz w:val="16"/>
          <w:szCs w:val="16"/>
        </w:rPr>
        <w:t>3. Союзный комитет</w:t>
      </w:r>
      <w:hyperlink r:id="rId293" w:anchor="_ftn3" w:history="1">
        <w:r w:rsidRPr="002F2FDF">
          <w:rPr>
            <w:rStyle w:val="a5"/>
            <w:color w:val="000000" w:themeColor="text1"/>
            <w:kern w:val="2"/>
            <w:sz w:val="16"/>
            <w:szCs w:val="16"/>
          </w:rPr>
          <w:t>[3]</w:t>
        </w:r>
      </w:hyperlink>
    </w:p>
    <w:p w14:paraId="26A8E981"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Совещание решило создать в Петрограде объединенный комитет союзных представителей, для того чтобы сноситься с русским правительством по всем вопросам касающимся дальнейшего снабжения, и выражается надежда, что русское правительство будет свободно сноситься с этим комитетом и не станет колебаться в деле максимального его использования.</w:t>
      </w:r>
      <w:hyperlink r:id="rId294" w:anchor="_ftn4" w:history="1">
        <w:r w:rsidRPr="002F2FDF">
          <w:rPr>
            <w:rStyle w:val="a5"/>
            <w:color w:val="000000" w:themeColor="text1"/>
            <w:kern w:val="2"/>
            <w:sz w:val="16"/>
            <w:szCs w:val="16"/>
          </w:rPr>
          <w:t>[4]</w:t>
        </w:r>
      </w:hyperlink>
    </w:p>
    <w:p w14:paraId="3912AE50" w14:textId="77777777" w:rsidR="009D3057" w:rsidRPr="002F2FDF" w:rsidRDefault="00000000"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pict w14:anchorId="5CD28733">
          <v:rect id="_x0000_i1026" style="width:154.35pt;height:0" o:hrpct="330" o:hrstd="t" o:hr="t" fillcolor="#a0a0a0" stroked="f"/>
        </w:pict>
      </w:r>
    </w:p>
    <w:p w14:paraId="1CB61299" w14:textId="77777777" w:rsidR="009D3057" w:rsidRPr="002F2FDF" w:rsidRDefault="00000000" w:rsidP="0083075A">
      <w:pPr>
        <w:pStyle w:val="ae"/>
        <w:spacing w:before="0" w:after="0"/>
        <w:jc w:val="both"/>
        <w:rPr>
          <w:color w:val="000000" w:themeColor="text1"/>
          <w:kern w:val="2"/>
          <w:sz w:val="16"/>
          <w:szCs w:val="16"/>
        </w:rPr>
      </w:pPr>
      <w:hyperlink r:id="rId295" w:anchor="_ftnref1" w:history="1">
        <w:r w:rsidR="009D3057" w:rsidRPr="002F2FDF">
          <w:rPr>
            <w:rStyle w:val="a5"/>
            <w:color w:val="000000" w:themeColor="text1"/>
            <w:kern w:val="2"/>
            <w:sz w:val="16"/>
            <w:szCs w:val="16"/>
          </w:rPr>
          <w:t>[1]</w:t>
        </w:r>
      </w:hyperlink>
      <w:r w:rsidR="009D3057" w:rsidRPr="002F2FDF">
        <w:rPr>
          <w:color w:val="000000" w:themeColor="text1"/>
          <w:kern w:val="2"/>
          <w:sz w:val="16"/>
          <w:szCs w:val="16"/>
        </w:rPr>
        <w:t xml:space="preserve"> Датируется по содержанию документа</w:t>
      </w:r>
    </w:p>
    <w:p w14:paraId="0FF441C4" w14:textId="77777777" w:rsidR="009D3057" w:rsidRPr="002F2FDF" w:rsidRDefault="00000000" w:rsidP="0083075A">
      <w:pPr>
        <w:pStyle w:val="ae"/>
        <w:spacing w:before="0" w:after="0"/>
        <w:jc w:val="both"/>
        <w:rPr>
          <w:color w:val="000000" w:themeColor="text1"/>
          <w:kern w:val="2"/>
          <w:sz w:val="16"/>
          <w:szCs w:val="16"/>
        </w:rPr>
      </w:pPr>
      <w:hyperlink r:id="rId296" w:anchor="_ftnref2" w:history="1">
        <w:r w:rsidR="009D3057" w:rsidRPr="002F2FDF">
          <w:rPr>
            <w:rStyle w:val="a5"/>
            <w:color w:val="000000" w:themeColor="text1"/>
            <w:kern w:val="2"/>
            <w:sz w:val="16"/>
            <w:szCs w:val="16"/>
          </w:rPr>
          <w:t>[2]</w:t>
        </w:r>
      </w:hyperlink>
      <w:r w:rsidR="009D3057" w:rsidRPr="002F2FDF">
        <w:rPr>
          <w:color w:val="000000" w:themeColor="text1"/>
          <w:kern w:val="2"/>
          <w:sz w:val="16"/>
          <w:szCs w:val="16"/>
        </w:rPr>
        <w:t xml:space="preserve"> 9 января 1917 г. Вильгельм II дал согласие на неограниченную подводную войну. В течение февраля подводными лодками было потоплено 86 английских судов водоизмещением в 256 394 т, в марте — 103 судна общим водоизмещением в 283 647 т, в апреле—155 судов водоизмещением в 516 394 т. (Р. Гибсон и М. Прондергаст. Германская подводная война 1914—1918 гг. Перевод с английского. 3-е изд., М., 1938, стр. 159).</w:t>
      </w:r>
    </w:p>
    <w:p w14:paraId="288BA8F0" w14:textId="77777777" w:rsidR="009D3057" w:rsidRPr="002F2FDF" w:rsidRDefault="00000000" w:rsidP="0083075A">
      <w:pPr>
        <w:pStyle w:val="ae"/>
        <w:spacing w:before="0" w:after="0"/>
        <w:jc w:val="both"/>
        <w:rPr>
          <w:color w:val="000000" w:themeColor="text1"/>
          <w:kern w:val="2"/>
          <w:sz w:val="16"/>
          <w:szCs w:val="16"/>
        </w:rPr>
      </w:pPr>
      <w:hyperlink r:id="rId297" w:anchor="_ftnref3" w:history="1">
        <w:r w:rsidR="009D3057" w:rsidRPr="002F2FDF">
          <w:rPr>
            <w:rStyle w:val="a5"/>
            <w:color w:val="000000" w:themeColor="text1"/>
            <w:kern w:val="2"/>
            <w:sz w:val="16"/>
            <w:szCs w:val="16"/>
          </w:rPr>
          <w:t>[3]</w:t>
        </w:r>
      </w:hyperlink>
      <w:r w:rsidR="009D3057" w:rsidRPr="002F2FDF">
        <w:rPr>
          <w:color w:val="000000" w:themeColor="text1"/>
          <w:kern w:val="2"/>
          <w:sz w:val="16"/>
          <w:szCs w:val="16"/>
        </w:rPr>
        <w:t xml:space="preserve"> известно, г. министр категорически отклонил эту мысль в подобной форме и высказал мысль о возможности устройства русско-союзного комитета под своим председательством. А. 8.</w:t>
      </w:r>
    </w:p>
    <w:p w14:paraId="10DCC386" w14:textId="77777777" w:rsidR="009D3057" w:rsidRPr="002F2FDF" w:rsidRDefault="00000000" w:rsidP="0083075A">
      <w:pPr>
        <w:pStyle w:val="ae"/>
        <w:spacing w:before="0" w:after="0"/>
        <w:jc w:val="both"/>
        <w:rPr>
          <w:color w:val="000000" w:themeColor="text1"/>
          <w:kern w:val="2"/>
          <w:sz w:val="16"/>
          <w:szCs w:val="16"/>
        </w:rPr>
      </w:pPr>
      <w:hyperlink r:id="rId298" w:anchor="_ftnref4" w:history="1">
        <w:r w:rsidR="009D3057" w:rsidRPr="002F2FDF">
          <w:rPr>
            <w:rStyle w:val="a5"/>
            <w:color w:val="000000" w:themeColor="text1"/>
            <w:kern w:val="2"/>
            <w:sz w:val="16"/>
            <w:szCs w:val="16"/>
          </w:rPr>
          <w:t>[4]</w:t>
        </w:r>
      </w:hyperlink>
      <w:r w:rsidR="009D3057" w:rsidRPr="002F2FDF">
        <w:rPr>
          <w:color w:val="000000" w:themeColor="text1"/>
          <w:kern w:val="2"/>
          <w:sz w:val="16"/>
          <w:szCs w:val="16"/>
        </w:rPr>
        <w:t xml:space="preserve"> Речь идет о созданном впоследствии междусоюзническом комитете по снабжению, фактически контролировавшем деятельность Комитета по заграничному снабжению (15153).</w:t>
      </w:r>
    </w:p>
    <w:p w14:paraId="0045B856" w14:textId="77777777" w:rsidR="009D3057" w:rsidRPr="002F2FDF" w:rsidRDefault="009D3057"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0DBD67C1" w14:textId="77777777"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22 июня (5 июля) 1917 г. </w:t>
      </w:r>
      <w:r w:rsidRPr="002F2FDF">
        <w:rPr>
          <w:rFonts w:ascii="Times New Roman" w:hAnsi="Times New Roman" w:cs="Times New Roman"/>
          <w:color w:val="000000" w:themeColor="text1"/>
          <w:kern w:val="2"/>
          <w:sz w:val="16"/>
          <w:szCs w:val="16"/>
        </w:rPr>
        <w:t>Записка министров иностранных дел и финансов Временного правительства английскому правительству о предоставлении кредитов России до заключения нового русско-английского финансового соглашения.</w:t>
      </w:r>
    </w:p>
    <w:p w14:paraId="3642068C" w14:textId="57BE8954"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542-548</w:t>
      </w:r>
    </w:p>
    <w:p w14:paraId="1E01E9E1" w14:textId="7FC82076" w:rsidR="009D3057" w:rsidRPr="002F2FDF" w:rsidRDefault="009D305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Второго деп-та, 1—5, «Война», д. 192, лл. 430—432. Копия.</w:t>
      </w:r>
    </w:p>
    <w:p w14:paraId="4A76318F" w14:textId="77777777" w:rsidR="009D3057" w:rsidRPr="002F2FDF" w:rsidRDefault="009D3057" w:rsidP="0083075A">
      <w:pPr>
        <w:pStyle w:val="ae"/>
        <w:spacing w:before="0" w:after="0"/>
        <w:jc w:val="both"/>
        <w:rPr>
          <w:color w:val="000000" w:themeColor="text1"/>
          <w:kern w:val="2"/>
          <w:sz w:val="16"/>
          <w:szCs w:val="16"/>
        </w:rPr>
      </w:pPr>
      <w:r w:rsidRPr="002F2FDF">
        <w:rPr>
          <w:rStyle w:val="af0"/>
          <w:i w:val="0"/>
          <w:color w:val="000000" w:themeColor="text1"/>
          <w:kern w:val="2"/>
          <w:sz w:val="16"/>
          <w:szCs w:val="16"/>
        </w:rPr>
        <w:t>Перевод с английского</w:t>
      </w:r>
    </w:p>
    <w:p w14:paraId="3358061A"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После начала военных действий Великобритания была первой страной, к которой русское правительство обратилось за финансовой помощью.</w:t>
      </w:r>
    </w:p>
    <w:p w14:paraId="52EEF467"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Первый кредит был открыт английским казначейством российскому Министерству финансов в октябре 1914 г. и равпялся 12 млн ф. ст.; поскольку русское правительство послало английскому банку 8 млн ф. ст. золотыми монетами и слитками, эта последняя сумма также была зачислена в кредит счета России. Названный кредит был в основном использован для оплаты заказов и закупок военных материалов, и только часть его была употреблена на нужды русской промышленности, выпускающей товары коммерческого значения.</w:t>
      </w:r>
    </w:p>
    <w:p w14:paraId="3422EEE8"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В начале января 1915 г. английское правительство предоставило России кредит в 20 млн ф. ст.</w:t>
      </w:r>
      <w:hyperlink r:id="rId299" w:anchor="_ftn2" w:history="1">
        <w:r w:rsidRPr="002F2FDF">
          <w:rPr>
            <w:rStyle w:val="a5"/>
            <w:color w:val="000000" w:themeColor="text1"/>
            <w:kern w:val="2"/>
            <w:sz w:val="16"/>
            <w:szCs w:val="16"/>
          </w:rPr>
          <w:t>[2]</w:t>
        </w:r>
      </w:hyperlink>
    </w:p>
    <w:p w14:paraId="3B340BCE"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В феврале 1915 г. состоялась первая финансовая конференция союзных правительств Великобритании, Франции и России, и 5 февраля 1915 г. было подписано соглашение, содержащее условия взаимной финансовой помощи названных трех держав и условия поддержки малых союзных государств, а именно Сербии, Бельгии, Черногории ит. д., ссуды которым ложились поровну на каждую из трех великих союзных держав.</w:t>
      </w:r>
    </w:p>
    <w:p w14:paraId="56B5A94A"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Необходимая России финансовая помощь была установлена в 100 млн [ф. ст.], из которых половина должна была предоставляться Францией. Выполняя названное соглашение, английское казначейство ссудило 25 млн ф. ст. в июне и еще 2і&gt; млн ф. ст. в июле 1915 г.</w:t>
      </w:r>
    </w:p>
    <w:p w14:paraId="122C525A"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В сентябре 1915 г. открытые ранее английским казначейством кредиты были полностью исчерпаны, и на состоявшемся в Лондоне новом совещании было подписано (30 сентября 1915 г.) новое финансовое соглашение на следующих основах:</w:t>
      </w:r>
    </w:p>
    <w:p w14:paraId="496011B3"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1. На срок в один год (до 1 октября 1916 г.) английское правительство открывает России кредит в 25 млн ф. ст. ежемесячно, реализуемый учетом облигаций русского казначейства. Этот кредит предназначается для закупок военных материалов в Великобритании и других странах, за исключением Франции. Все заказы на военные материалы и их оплата предварительно утверждаются английским правительством. Русское правительство обязалось поставлять золото по просьбе английского правительства с тем, чтобы последнее могло производить платежи в Соединенных Штатах на сумму до 40 млн ф, ст.</w:t>
      </w:r>
      <w:hyperlink r:id="rId300" w:anchor="_ftn3" w:history="1">
        <w:r w:rsidRPr="002F2FDF">
          <w:rPr>
            <w:rStyle w:val="a5"/>
            <w:color w:val="000000" w:themeColor="text1"/>
            <w:kern w:val="2"/>
            <w:sz w:val="16"/>
            <w:szCs w:val="16"/>
          </w:rPr>
          <w:t>[3]</w:t>
        </w:r>
      </w:hyperlink>
      <w:r w:rsidRPr="002F2FDF">
        <w:rPr>
          <w:color w:val="000000" w:themeColor="text1"/>
          <w:kern w:val="2"/>
          <w:sz w:val="16"/>
          <w:szCs w:val="16"/>
        </w:rPr>
        <w:t xml:space="preserve"> при условии, что английское казначейство выдаст за это золото казначейские векселя, оплачиваемые в золоте по истечении 3—5 лет. С целью удовлетворения нужд российской торговли английским банком был открыт специальный кредит для облегчения учета векселей, полученных русскими банками и индоссированных Государственным банком России (сумма названного кредита позднее зафиксирована в 7.5 млн ф. ст.).</w:t>
      </w:r>
    </w:p>
    <w:p w14:paraId="0593D30D"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Ранее выпущенные обязательства русского казначейства должны были переучиваться по ставке на 1% выше официальной учетной ставки английского банка.</w:t>
      </w:r>
      <w:hyperlink r:id="rId301" w:anchor="_ftn4" w:history="1">
        <w:r w:rsidRPr="002F2FDF">
          <w:rPr>
            <w:rStyle w:val="a5"/>
            <w:color w:val="000000" w:themeColor="text1"/>
            <w:kern w:val="2"/>
            <w:sz w:val="16"/>
            <w:szCs w:val="16"/>
          </w:rPr>
          <w:t>[4]</w:t>
        </w:r>
      </w:hyperlink>
    </w:p>
    <w:p w14:paraId="13145718"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В течение нескольких месяцев, последовавших за заключением вышеупомянутого соглашения, английское правительство, принимая во внимание трудности, возникшие в связи с необходимостью информировать казначейство о каждой выплате из английских кредитов, дало согласие о переводе на счет русского правительства в его полное распоряжение ежемесячно суммы в 2 млн из ежемесячного кредита в 25 млнф. ст. Названная сумма затрачивается на покупку сырья, продовольствия и товаров коммерческого значения, личные и благотворительные платежи и т. д., за исключением всех тех контрактов для закупки металлов, заводского оборудования, лекарств и каучука, которые могут быть централизованы в Лондоне.</w:t>
      </w:r>
    </w:p>
    <w:p w14:paraId="0E5DDE22"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В июле 1916 г. представители союзных правительств созвали в Лондоне другую конференцию, результаты которой были соответственным образом отражены в подписанном 27 октября 1916 г. финансовом соглашении, содержащем следующие условия:</w:t>
      </w:r>
    </w:p>
    <w:p w14:paraId="421F6A7C"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1. Ежемесячные кредиты в 25 млн ф. ст. были предоставлены на новый срок в 6 месяцев (с октября 1916 г. по март 1917 г.) на тех же условиях, что и предыдущие, за исключением того, что обязательства русского казначейства должны были учитываться по официальной учетной ставке английского банка, если названная ставка превышала 5%.</w:t>
      </w:r>
    </w:p>
    <w:p w14:paraId="4A44F05C" w14:textId="76635DB2"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В счет названных кредитов должны были быть даны новые заказы</w:t>
      </w:r>
      <w:hyperlink r:id="rId302" w:anchor="_ftn5" w:history="1">
        <w:r w:rsidRPr="002F2FDF">
          <w:rPr>
            <w:rStyle w:val="a5"/>
            <w:color w:val="000000" w:themeColor="text1"/>
            <w:kern w:val="2"/>
            <w:sz w:val="16"/>
            <w:szCs w:val="16"/>
          </w:rPr>
          <w:t>[5]</w:t>
        </w:r>
      </w:hyperlink>
      <w:r w:rsidRPr="002F2FDF">
        <w:rPr>
          <w:color w:val="000000" w:themeColor="text1"/>
          <w:kern w:val="2"/>
          <w:sz w:val="16"/>
          <w:szCs w:val="16"/>
        </w:rPr>
        <w:t xml:space="preserve"> русского правительства в Великобритании и других странах</w:t>
      </w:r>
      <w:hyperlink r:id="rId303" w:anchor="_ftn6" w:history="1">
        <w:r w:rsidRPr="002F2FDF">
          <w:rPr>
            <w:rStyle w:val="a5"/>
            <w:color w:val="000000" w:themeColor="text1"/>
            <w:kern w:val="2"/>
            <w:sz w:val="16"/>
            <w:szCs w:val="16"/>
          </w:rPr>
          <w:t>[6]</w:t>
        </w:r>
      </w:hyperlink>
      <w:r w:rsidR="00E52569">
        <w:rPr>
          <w:color w:val="000000" w:themeColor="text1"/>
          <w:kern w:val="2"/>
          <w:sz w:val="16"/>
          <w:szCs w:val="16"/>
        </w:rPr>
        <w:t xml:space="preserve"> </w:t>
      </w:r>
      <w:r w:rsidRPr="002F2FDF">
        <w:rPr>
          <w:color w:val="000000" w:themeColor="text1"/>
          <w:kern w:val="2"/>
          <w:sz w:val="16"/>
          <w:szCs w:val="16"/>
        </w:rPr>
        <w:t>(за исключением Франции), и выплаты по займу. Из той же ежемесячной суммы в 4 млн ф. ст. в свободное распоряжение русского правительства давалось 2.5 млн ф. ст. на приобретение сырья, продовольствия и товаров, за исключением централизованных закупок металлов, заводского оборудования, лекарств и каучука для покрытия личных, также благотворительных платежей и т. д., и 1.5 млн ф. ст. для поддержания курса рубля под контролем Министерства финансов. Все обязательства, учтенные согласно этому и предшествующим соглашениям, должны были быть возобновлены по истечении одного года после заключения мира, и английское правительство обещало облегчить выпуск консолидационного займа для их окончательного погашения.</w:t>
      </w:r>
    </w:p>
    <w:p w14:paraId="51C5E70B" w14:textId="0C9650F3"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Со своей стороны русское правительство обязалось отправить 20 млн ф. ст. золотом</w:t>
      </w:r>
      <w:hyperlink r:id="rId304" w:anchor="_ftn7" w:history="1">
        <w:r w:rsidRPr="002F2FDF">
          <w:rPr>
            <w:rStyle w:val="a5"/>
            <w:color w:val="000000" w:themeColor="text1"/>
            <w:kern w:val="2"/>
            <w:sz w:val="16"/>
            <w:szCs w:val="16"/>
          </w:rPr>
          <w:t>[7]</w:t>
        </w:r>
      </w:hyperlink>
      <w:r w:rsidR="00E52569">
        <w:rPr>
          <w:color w:val="000000" w:themeColor="text1"/>
          <w:kern w:val="2"/>
          <w:sz w:val="16"/>
          <w:szCs w:val="16"/>
        </w:rPr>
        <w:t xml:space="preserve"> </w:t>
      </w:r>
      <w:r w:rsidRPr="002F2FDF">
        <w:rPr>
          <w:color w:val="000000" w:themeColor="text1"/>
          <w:kern w:val="2"/>
          <w:sz w:val="16"/>
          <w:szCs w:val="16"/>
        </w:rPr>
        <w:t>в случае, если английский золотой запас английского банка и текущего денежного счета падет ниже 85 млн ф. ст.</w:t>
      </w:r>
    </w:p>
    <w:p w14:paraId="303D60DF"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Ввиду истечения срока вышеназванного соглашения в январе 1917 г. в Петрограде состоялась новая конференция, и финансовые нужды российского правительства были отражены в подписанном 7/20 февраля 1917 г. меморандуме, который английские делегаты по своему возвращению в Англию представили своему правительству. Его основное содержание состоит в следующем:</w:t>
      </w:r>
    </w:p>
    <w:p w14:paraId="3DBA169D"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1. Товарные поставки военных материалов должны оплачиваться простыми взносами обязательств российского казначейства (следуя прецеденту, установленному для тяжелой артиллерии).</w:t>
      </w:r>
    </w:p>
    <w:p w14:paraId="27026971"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2. Новые закупки и заказы на военные материалы в Европе и Америке, ограниченные программой, рассмотренной подкомиссией по вопросам снабжения этой конференции, должны быть оплачены за счет английских кредитов.</w:t>
      </w:r>
    </w:p>
    <w:p w14:paraId="2293D6D0"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3. Должно быть выработано положение о платежах по русскому внешнему долгу в 1917 г. и об учете и переучете обязательств русского казначейства в течение этого же периода.</w:t>
      </w:r>
    </w:p>
    <w:p w14:paraId="1CA4BD56"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4. Свободный кредит для гражданских нужд должен быть увеличен с 2.5 млн ф. ст. до 5.5 млн ф. ст. ежемесячно.</w:t>
      </w:r>
    </w:p>
    <w:p w14:paraId="77004290"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5. Кредит для поддержания курса рубля за границей должен быть увеличен с 1.5 млн ф. ст. ежемесячно до 12 млн ф. ст. (на три месяца, начиная с 1 апреля 1917 г.).</w:t>
      </w:r>
    </w:p>
    <w:p w14:paraId="60068299"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6. Должна быть предоставлена сумма в 4 млн ф. ст. для закупки серебра на нужды русских экспедиционных сил в Персии.</w:t>
      </w:r>
    </w:p>
    <w:p w14:paraId="74CD242F"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7. Была принята во внимание возможность совместного займа Великобритании, Франции и Японии.</w:t>
      </w:r>
    </w:p>
    <w:p w14:paraId="7CF221E5"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Последующие политические события послужили причиной того, что окончательное и официальное соглашение в соответствии с названными выше пожеланиями не было подписано, и с 1 апреля 1917 г. предоставление ежемесячных кредитов прекратилось.</w:t>
      </w:r>
    </w:p>
    <w:p w14:paraId="700B5416"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В апреле этого года английское правительство определило оставшуюся сумму кредитов, не ассигнованных на частные заказы, в 10—15 млн ф. ст. Эта сумма осталась неиспользованной благодаря тому, что английское правительство не всегда санкционировало наши запланированные заказы в той мере, в какой мы этого требовали. В счет этой суммы и сумм, оставшихся от еще неоплаченных заказов, английское правительство открыло нам дополнительные кредиты для платежей по ранее размещенным заказам и авансировало в течение апреля, мая и июня 1917 г. ежемесячную сумму в 4 млн ф. ст. в наше полное распоряжение («сотріе сіеих»).</w:t>
      </w:r>
    </w:p>
    <w:p w14:paraId="7DA5C09B"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В этих условиях и благодаря размещенным в Англии с апреля нескольким новым небольшим заказам вся наша наличность английской валюты к началу июля была исчерпана.</w:t>
      </w:r>
    </w:p>
    <w:p w14:paraId="5ADAFACF"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С другой стороны, в то же самое время возникли значительные трудности в отношении оплаты по заказам в Америке, принимая во внимание, что со времени объявления Америкой войны Германии и открытия названной страной кредитов союзным державам английское правительство настояло на передаче федеральному правительству платежей по размещенным в Соединенных Штатах русским заказам, которые производились ранее из английских кредитов. В числе прочих английское казначейство прекратило оплачивать русские заказы, практически размещенные через Д. П. Моргана и Ко, контракты по которым не были, однако, подписаны ввиду значительной потери времени из-за установленных английским правительством формальностей при размещении русских заказов.</w:t>
      </w:r>
    </w:p>
    <w:p w14:paraId="1DD4C4D2"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Совсем недавно английское казначейство категорически отказалось производить для нас какие-либо платежи в Америке, ссылаясь на отсутствие в его распоряжении американской валюты.</w:t>
      </w:r>
    </w:p>
    <w:p w14:paraId="068F7C2B"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Прекращение наших платежей в Америке сделало наше положение весьма затруднительным, так как американское правительство предоставило нам всего 100 млн дол. для платежей по заказам, которые будут размещены через названное правительство. Вывоз золота в Америку не мог быть осуществлен, принимая во внимание, что мы уже предоставили в распоряжение английского правительства на 60 млн ф. ст. золота для облегчения производства британским казначейством платежей в иностранной валюте за наш счет.</w:t>
      </w:r>
    </w:p>
    <w:p w14:paraId="499B22DC"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lastRenderedPageBreak/>
        <w:t>При таких обстоятельствах мы считаем себя обязанными повторить английскому правительств}» нашу самую настоятельную просьбу о предоставлении 25 млн ф. ст. на июль до того, как будет подписано новое соглашение на условиях, выработанных на состоявшейся в январе конференции, и предоставлены новые кредиты.</w:t>
      </w:r>
    </w:p>
    <w:p w14:paraId="5F953653"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Открытие подобного кредита не было бы тяжелым бременем для английского казначейства, принимая во внимание, что после отнесения оплаты наших американских заказов на американские кредиты — о чем принципиальная договоренность уже достигнута, а окончательно урегулировано это будет только после возвращения в США американской делегации, которая это рекомендовала,— английское казначейство сэкономит около 40 млн. ф. ст.</w:t>
      </w:r>
    </w:p>
    <w:p w14:paraId="7A51F746"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В требуемую сумму в 25 млн. ф. ст. включены 4 млн. ф. ст., которые должны быть предоставлены в наше полное распоряжение, из коих 3 млн. ф. ст. за июль 1917 г. уже предоставлены.</w:t>
      </w:r>
    </w:p>
    <w:p w14:paraId="35883290"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Что касается расходования упомянутого кредита в 25 млн. ф. ст., мы считаем нужным указать, что было бы необходимо в какой-то степени увеличить кредит, открытый английским казначейством для оплаты заказов в Скандинавии. В течение последних нескольких месяцев мы не полностью расходовали 275 тыс. ф. ст., предоставляемых ежемесячно в наше распоряжение для платежей в этих странах, так как сумма свободных кредитов в нашем распоряжении была настолько незначительной, что мы были вынуждены использовать их для других целей и начать закупку крон, платя за них американской валютой, которая была в нашем свободном распоряжении, а в настоящее время исчерпана.</w:t>
      </w:r>
    </w:p>
    <w:p w14:paraId="45089B26"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В дальнейшем для нас было бы абсолютно необходимым получить за счет английских кредитов сумму для платежей в Японии, так как для наиболее важных платежей в названной стране требуется примерно 20 млн иен, а возможности для размещения займа в Японии в ближайшем будущем не существует.</w:t>
      </w:r>
    </w:p>
    <w:p w14:paraId="7634DCAA"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Что касается наших общих потребностей в английской валюте, то было бы необходимо отметить следующее.</w:t>
      </w:r>
    </w:p>
    <w:p w14:paraId="65025A1F"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По сравнению с представленной конференции в январе информацией положение несколько изменилось. Ввиду возросших трудностей с тоннажем мы уменьшили наши заказы в Англии по сравнению с ранее предполагавшимися, и ввиду получения новых американских кредитов часть их была перенесена на американский рынок.</w:t>
      </w:r>
    </w:p>
    <w:p w14:paraId="2648348D"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Поэтому мы проектируем очень мало новых заказов и просим главным образом суммы для оплаты заказов, необеспеченных английскими кредитами.</w:t>
      </w:r>
    </w:p>
    <w:p w14:paraId="3B14BE2B"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Что касается кредита для поддержания курса рубля на Лондонской бирже, который был ранее установлен в 4 млн. ф. ст. ежемесячно, то необходимо учесть, что он может быть уменьшен в с.чучае предоставления подобного кредита Америкой.</w:t>
      </w:r>
    </w:p>
    <w:p w14:paraId="25D05343"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Рекомендованные последней конференцией в Петрограде меры по поддержания курса рубля уже предприняты — дано предписание ограничить выпуск рублей н иностранные рынки и импорт товаров из-за границы.</w:t>
      </w:r>
    </w:p>
    <w:p w14:paraId="4416EA6F" w14:textId="77777777" w:rsidR="009D3057" w:rsidRPr="002F2FDF" w:rsidRDefault="009D3057" w:rsidP="0083075A">
      <w:pPr>
        <w:pStyle w:val="rtejustify"/>
        <w:spacing w:before="0" w:after="0"/>
        <w:rPr>
          <w:color w:val="000000" w:themeColor="text1"/>
          <w:kern w:val="2"/>
          <w:sz w:val="16"/>
          <w:szCs w:val="16"/>
        </w:rPr>
      </w:pPr>
      <w:r w:rsidRPr="002F2FDF">
        <w:rPr>
          <w:color w:val="000000" w:themeColor="text1"/>
          <w:kern w:val="2"/>
          <w:sz w:val="16"/>
          <w:szCs w:val="16"/>
        </w:rPr>
        <w:t>Программа наших потребностей в английских кредитах и производимых в соответствии с ней платежей прилагается.</w:t>
      </w:r>
      <w:hyperlink r:id="rId305" w:anchor="_ftn8" w:history="1">
        <w:r w:rsidRPr="002F2FDF">
          <w:rPr>
            <w:rStyle w:val="a5"/>
            <w:color w:val="000000" w:themeColor="text1"/>
            <w:kern w:val="2"/>
            <w:sz w:val="16"/>
            <w:szCs w:val="16"/>
          </w:rPr>
          <w:t>[8]</w:t>
        </w:r>
      </w:hyperlink>
    </w:p>
    <w:p w14:paraId="3E2C8DE6" w14:textId="77777777" w:rsidR="009D3057" w:rsidRPr="002F2FDF" w:rsidRDefault="00000000" w:rsidP="0083075A">
      <w:pPr>
        <w:pStyle w:val="rtejustify"/>
        <w:spacing w:before="0" w:after="0"/>
        <w:rPr>
          <w:color w:val="000000" w:themeColor="text1"/>
          <w:kern w:val="2"/>
          <w:sz w:val="16"/>
          <w:szCs w:val="16"/>
        </w:rPr>
      </w:pPr>
      <w:hyperlink r:id="rId306" w:anchor="_ftnref1" w:history="1">
        <w:r w:rsidR="009D3057" w:rsidRPr="002F2FDF">
          <w:rPr>
            <w:rStyle w:val="a5"/>
            <w:color w:val="000000" w:themeColor="text1"/>
            <w:kern w:val="2"/>
            <w:sz w:val="16"/>
            <w:szCs w:val="16"/>
          </w:rPr>
          <w:t>[1]</w:t>
        </w:r>
      </w:hyperlink>
      <w:r w:rsidR="009D3057" w:rsidRPr="002F2FDF">
        <w:rPr>
          <w:color w:val="000000" w:themeColor="text1"/>
          <w:kern w:val="2"/>
          <w:sz w:val="16"/>
          <w:szCs w:val="16"/>
        </w:rPr>
        <w:t xml:space="preserve"> Датируется по док. № 660 "</w:t>
      </w:r>
      <w:hyperlink r:id="rId307" w:history="1">
        <w:r w:rsidR="009D3057" w:rsidRPr="002F2FDF">
          <w:rPr>
            <w:rStyle w:val="a5"/>
            <w:color w:val="000000" w:themeColor="text1"/>
            <w:kern w:val="2"/>
            <w:sz w:val="16"/>
            <w:szCs w:val="16"/>
          </w:rPr>
          <w:t>Памятная записка английского посольства Министерству иностранных дел с изложением ответа английских министров иностранных дел и финансов на записку Временного правительства от 22 июня 1917 г.</w:t>
        </w:r>
      </w:hyperlink>
      <w:r w:rsidR="009D3057" w:rsidRPr="002F2FDF">
        <w:rPr>
          <w:color w:val="000000" w:themeColor="text1"/>
          <w:kern w:val="2"/>
          <w:sz w:val="16"/>
          <w:szCs w:val="16"/>
        </w:rPr>
        <w:t xml:space="preserve">" и 663 </w:t>
      </w:r>
      <w:hyperlink r:id="rId308" w:history="1">
        <w:r w:rsidR="009D3057" w:rsidRPr="002F2FDF">
          <w:rPr>
            <w:rStyle w:val="a5"/>
            <w:color w:val="000000" w:themeColor="text1"/>
            <w:kern w:val="2"/>
            <w:sz w:val="16"/>
            <w:szCs w:val="16"/>
          </w:rPr>
          <w:t>"Записка товарища министра иностранных дел А. М. Петряева английскому послу в Петрограде Д. Бьюкенену с изложением ответа на памятную записку от 7 июля 1917 г."</w:t>
        </w:r>
      </w:hyperlink>
    </w:p>
    <w:p w14:paraId="4E4C87C5" w14:textId="77777777" w:rsidR="009D3057" w:rsidRPr="002F2FDF" w:rsidRDefault="00000000" w:rsidP="0083075A">
      <w:pPr>
        <w:pStyle w:val="rtejustify"/>
        <w:spacing w:before="0" w:after="0"/>
        <w:rPr>
          <w:color w:val="000000" w:themeColor="text1"/>
          <w:kern w:val="2"/>
          <w:sz w:val="16"/>
          <w:szCs w:val="16"/>
        </w:rPr>
      </w:pPr>
      <w:hyperlink r:id="rId309" w:anchor="_ftnref2" w:history="1">
        <w:r w:rsidR="009D3057" w:rsidRPr="002F2FDF">
          <w:rPr>
            <w:rStyle w:val="a5"/>
            <w:color w:val="000000" w:themeColor="text1"/>
            <w:kern w:val="2"/>
            <w:sz w:val="16"/>
            <w:szCs w:val="16"/>
          </w:rPr>
          <w:t>[2]</w:t>
        </w:r>
      </w:hyperlink>
      <w:r w:rsidR="009D3057" w:rsidRPr="002F2FDF">
        <w:rPr>
          <w:color w:val="000000" w:themeColor="text1"/>
          <w:kern w:val="2"/>
          <w:sz w:val="16"/>
          <w:szCs w:val="16"/>
        </w:rPr>
        <w:t xml:space="preserve"> Последующая сумма в 10 млн. ф. ст. была получена в феврале 1915 г. путем выпуска обязательств казначейства через английский банк, и в мае 1915 г. названный банк учел еще на 10 млн. ф. ст. облигаций российского казначейства, предназначенных для выкупа русских облигаций, принадлежащих английскому банку и представляющих довоенную задолженность русских фирм английским кредиторам. (Прим. док.).</w:t>
      </w:r>
    </w:p>
    <w:p w14:paraId="69017AE3" w14:textId="77777777" w:rsidR="009D3057" w:rsidRPr="002F2FDF" w:rsidRDefault="00000000" w:rsidP="0083075A">
      <w:pPr>
        <w:pStyle w:val="rtejustify"/>
        <w:spacing w:before="0" w:after="0"/>
        <w:rPr>
          <w:color w:val="000000" w:themeColor="text1"/>
          <w:kern w:val="2"/>
          <w:sz w:val="16"/>
          <w:szCs w:val="16"/>
        </w:rPr>
      </w:pPr>
      <w:hyperlink r:id="rId310" w:anchor="_ftnref3" w:history="1">
        <w:r w:rsidR="009D3057" w:rsidRPr="002F2FDF">
          <w:rPr>
            <w:rStyle w:val="a5"/>
            <w:color w:val="000000" w:themeColor="text1"/>
            <w:kern w:val="2"/>
            <w:sz w:val="16"/>
            <w:szCs w:val="16"/>
          </w:rPr>
          <w:t>[3]</w:t>
        </w:r>
      </w:hyperlink>
      <w:r w:rsidR="009D3057" w:rsidRPr="002F2FDF">
        <w:rPr>
          <w:color w:val="000000" w:themeColor="text1"/>
          <w:kern w:val="2"/>
          <w:sz w:val="16"/>
          <w:szCs w:val="16"/>
        </w:rPr>
        <w:t xml:space="preserve"> 10 млн ф. ст. переправлены в декабре 1915, 10 млн ф. ст. — в июне 1916 г.. 20 млн ф. ст. — в ноябре 1916 г. (Прим. док.).</w:t>
      </w:r>
    </w:p>
    <w:p w14:paraId="78D44D00" w14:textId="77777777" w:rsidR="009D3057" w:rsidRPr="002F2FDF" w:rsidRDefault="00000000" w:rsidP="0083075A">
      <w:pPr>
        <w:pStyle w:val="rtejustify"/>
        <w:spacing w:before="0" w:after="0"/>
        <w:rPr>
          <w:color w:val="000000" w:themeColor="text1"/>
          <w:kern w:val="2"/>
          <w:sz w:val="16"/>
          <w:szCs w:val="16"/>
        </w:rPr>
      </w:pPr>
      <w:hyperlink r:id="rId311" w:anchor="_ftnref4" w:history="1">
        <w:r w:rsidR="009D3057" w:rsidRPr="002F2FDF">
          <w:rPr>
            <w:rStyle w:val="a5"/>
            <w:color w:val="000000" w:themeColor="text1"/>
            <w:kern w:val="2"/>
            <w:sz w:val="16"/>
            <w:szCs w:val="16"/>
          </w:rPr>
          <w:t>[4]</w:t>
        </w:r>
      </w:hyperlink>
      <w:r w:rsidR="009D3057" w:rsidRPr="002F2FDF">
        <w:rPr>
          <w:color w:val="000000" w:themeColor="text1"/>
          <w:kern w:val="2"/>
          <w:sz w:val="16"/>
          <w:szCs w:val="16"/>
        </w:rPr>
        <w:t xml:space="preserve"> В соглашении далее содержалась специальная договоренность об облегчении выпуска банковских билетов русского Государственного банка, в соответствии с которой английское казначейство открывало специальный беспроцентный счет в 200 млн. ф. ст., который должен быть закрыт через год после заключения мира. (Прим. док.).</w:t>
      </w:r>
    </w:p>
    <w:p w14:paraId="039AE07B" w14:textId="77777777" w:rsidR="009D3057" w:rsidRPr="002F2FDF" w:rsidRDefault="00000000" w:rsidP="0083075A">
      <w:pPr>
        <w:pStyle w:val="rtejustify"/>
        <w:spacing w:before="0" w:after="0"/>
        <w:rPr>
          <w:color w:val="000000" w:themeColor="text1"/>
          <w:kern w:val="2"/>
          <w:sz w:val="16"/>
          <w:szCs w:val="16"/>
        </w:rPr>
      </w:pPr>
      <w:hyperlink r:id="rId312" w:anchor="_ftnref5" w:history="1">
        <w:r w:rsidR="009D3057" w:rsidRPr="002F2FDF">
          <w:rPr>
            <w:rStyle w:val="a5"/>
            <w:color w:val="000000" w:themeColor="text1"/>
            <w:kern w:val="2"/>
            <w:sz w:val="16"/>
            <w:szCs w:val="16"/>
          </w:rPr>
          <w:t>[5]</w:t>
        </w:r>
      </w:hyperlink>
      <w:r w:rsidR="009D3057" w:rsidRPr="002F2FDF">
        <w:rPr>
          <w:color w:val="000000" w:themeColor="text1"/>
          <w:kern w:val="2"/>
          <w:sz w:val="16"/>
          <w:szCs w:val="16"/>
        </w:rPr>
        <w:t xml:space="preserve"> За исключением платы за тяжелую артиллерию и снаряды, поставляемые английским Военным министерством, которые должны быть оплачиваемы из депозита обязательств российского казначейства на сумму до 30 млн. ф. ст. (Прим. док.).</w:t>
      </w:r>
    </w:p>
    <w:p w14:paraId="67A27C50" w14:textId="77777777" w:rsidR="009D3057" w:rsidRPr="002F2FDF" w:rsidRDefault="00000000" w:rsidP="0083075A">
      <w:pPr>
        <w:pStyle w:val="rtejustify"/>
        <w:spacing w:before="0" w:after="0"/>
        <w:rPr>
          <w:color w:val="000000" w:themeColor="text1"/>
          <w:kern w:val="2"/>
          <w:sz w:val="16"/>
          <w:szCs w:val="16"/>
        </w:rPr>
      </w:pPr>
      <w:hyperlink r:id="rId313" w:anchor="_ftnref6" w:history="1">
        <w:r w:rsidR="009D3057" w:rsidRPr="002F2FDF">
          <w:rPr>
            <w:rStyle w:val="a5"/>
            <w:color w:val="000000" w:themeColor="text1"/>
            <w:kern w:val="2"/>
            <w:sz w:val="16"/>
            <w:szCs w:val="16"/>
          </w:rPr>
          <w:t>[6]</w:t>
        </w:r>
      </w:hyperlink>
      <w:r w:rsidR="009D3057" w:rsidRPr="002F2FDF">
        <w:rPr>
          <w:color w:val="000000" w:themeColor="text1"/>
          <w:kern w:val="2"/>
          <w:sz w:val="16"/>
          <w:szCs w:val="16"/>
        </w:rPr>
        <w:t xml:space="preserve"> Ежемесячно 275 тыс. за заказы в Скандинавии. (Прим. док.).</w:t>
      </w:r>
    </w:p>
    <w:p w14:paraId="5F87FAA7" w14:textId="77777777" w:rsidR="009D3057" w:rsidRPr="002F2FDF" w:rsidRDefault="00000000" w:rsidP="0083075A">
      <w:pPr>
        <w:pStyle w:val="rtejustify"/>
        <w:spacing w:before="0" w:after="0"/>
        <w:rPr>
          <w:color w:val="000000" w:themeColor="text1"/>
          <w:kern w:val="2"/>
          <w:sz w:val="16"/>
          <w:szCs w:val="16"/>
        </w:rPr>
      </w:pPr>
      <w:hyperlink r:id="rId314" w:anchor="_ftnref7" w:history="1">
        <w:r w:rsidR="009D3057" w:rsidRPr="002F2FDF">
          <w:rPr>
            <w:rStyle w:val="a5"/>
            <w:color w:val="000000" w:themeColor="text1"/>
            <w:kern w:val="2"/>
            <w:sz w:val="16"/>
            <w:szCs w:val="16"/>
          </w:rPr>
          <w:t>[7]</w:t>
        </w:r>
      </w:hyperlink>
      <w:r w:rsidR="009D3057" w:rsidRPr="002F2FDF">
        <w:rPr>
          <w:color w:val="000000" w:themeColor="text1"/>
          <w:kern w:val="2"/>
          <w:sz w:val="16"/>
          <w:szCs w:val="16"/>
        </w:rPr>
        <w:t xml:space="preserve"> Отправлено в феврале 1917 г. Соответственно общее количество золота, присланное Россией по требованию Великобритании с начала войны, достигает 68 млн ф. ст. (Прим. док.).</w:t>
      </w:r>
    </w:p>
    <w:p w14:paraId="7EA7C097" w14:textId="77777777" w:rsidR="009D3057" w:rsidRPr="002F2FDF" w:rsidRDefault="00000000" w:rsidP="0083075A">
      <w:pPr>
        <w:shd w:val="clear" w:color="auto" w:fill="FFFFFF"/>
        <w:spacing w:after="0" w:line="240" w:lineRule="auto"/>
        <w:jc w:val="both"/>
        <w:rPr>
          <w:rFonts w:ascii="Times New Roman" w:hAnsi="Times New Roman" w:cs="Times New Roman"/>
          <w:color w:val="000000" w:themeColor="text1"/>
          <w:kern w:val="2"/>
          <w:sz w:val="16"/>
          <w:szCs w:val="16"/>
        </w:rPr>
      </w:pPr>
      <w:hyperlink r:id="rId315" w:anchor="_ftnref8" w:history="1">
        <w:r w:rsidR="009D3057" w:rsidRPr="002F2FDF">
          <w:rPr>
            <w:rStyle w:val="a5"/>
            <w:rFonts w:ascii="Times New Roman" w:hAnsi="Times New Roman" w:cs="Times New Roman"/>
            <w:color w:val="000000" w:themeColor="text1"/>
            <w:kern w:val="2"/>
            <w:sz w:val="16"/>
            <w:szCs w:val="16"/>
          </w:rPr>
          <w:t>[8]</w:t>
        </w:r>
      </w:hyperlink>
      <w:r w:rsidR="009D3057" w:rsidRPr="002F2FDF">
        <w:rPr>
          <w:rFonts w:ascii="Times New Roman" w:hAnsi="Times New Roman" w:cs="Times New Roman"/>
          <w:color w:val="000000" w:themeColor="text1"/>
          <w:kern w:val="2"/>
          <w:sz w:val="16"/>
          <w:szCs w:val="16"/>
        </w:rPr>
        <w:t xml:space="preserve"> В деле не имеется (15181).</w:t>
      </w:r>
    </w:p>
    <w:p w14:paraId="04945E97" w14:textId="77777777" w:rsidR="009D3057" w:rsidRPr="002F2FDF" w:rsidRDefault="009D3057"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4AFD728A" w14:textId="77777777" w:rsidR="00A8785D"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81FEDFF" w14:textId="77777777" w:rsidR="00A8785D" w:rsidRPr="002F2FDF" w:rsidRDefault="00A8785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FA55FB" w14:textId="77777777" w:rsidR="00A8785D" w:rsidRPr="002F2FDF" w:rsidRDefault="00A878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22 июня (5 июля)</w:t>
      </w:r>
      <w:r w:rsidRPr="002F2FDF">
        <w:rPr>
          <w:rFonts w:ascii="Times New Roman" w:hAnsi="Times New Roman" w:cs="Times New Roman"/>
          <w:color w:val="000000" w:themeColor="text1"/>
          <w:kern w:val="2"/>
          <w:sz w:val="16"/>
          <w:szCs w:val="16"/>
        </w:rPr>
        <w:t xml:space="preserve"> в 1917 году совершил первый полет опытный образец «Вариант S.XII» французского истребителя </w:t>
      </w:r>
      <w:hyperlink r:id="rId316" w:tgtFrame="_blank" w:history="1">
        <w:r w:rsidRPr="002F2FDF">
          <w:rPr>
            <w:rFonts w:ascii="Times New Roman" w:hAnsi="Times New Roman" w:cs="Times New Roman"/>
            <w:color w:val="000000" w:themeColor="text1"/>
            <w:kern w:val="2"/>
            <w:sz w:val="16"/>
            <w:szCs w:val="16"/>
          </w:rPr>
          <w:t xml:space="preserve">«SPAD» «S.XII», </w:t>
        </w:r>
      </w:hyperlink>
      <w:r w:rsidRPr="002F2FDF">
        <w:rPr>
          <w:rFonts w:ascii="Times New Roman" w:hAnsi="Times New Roman" w:cs="Times New Roman"/>
          <w:color w:val="000000" w:themeColor="text1"/>
          <w:kern w:val="2"/>
          <w:sz w:val="16"/>
          <w:szCs w:val="16"/>
        </w:rPr>
        <w:t>разработанный французской фирмой «Sociйtй Anonyme Pour L'Aviation et ses Dйrives» («SPAD») на базе истребителя «SPAD» «S.VII». «S.XII» - последний вариант модификации самолета S.VII, после установки на него 37-мм пушки в дополнение к стандартному пулемету Vickers. SPAD S.VII был построен в количестве 300 экземпляров. Некоторые из них имели двигатель «Hispano-Suiza» «8Вес», остальные – «Hispano-Suiza» «8Сb» мощностью 220 л.с. Небольшое количество поплавковых вариантов применялось ВМС Великобритании. Самолеты «S.VII» продолжали применяться после окончания Первой мировой войны в качестве учебно-тренировочных, некоторые - до 1928 года (14943).</w:t>
      </w:r>
    </w:p>
    <w:p w14:paraId="4DC1723F" w14:textId="77777777" w:rsidR="00A8785D" w:rsidRPr="002F2FDF" w:rsidRDefault="00A8785D" w:rsidP="0083075A">
      <w:pPr>
        <w:spacing w:after="0" w:line="240" w:lineRule="auto"/>
        <w:jc w:val="both"/>
        <w:rPr>
          <w:rFonts w:ascii="Times New Roman" w:hAnsi="Times New Roman" w:cs="Times New Roman"/>
          <w:color w:val="000000" w:themeColor="text1"/>
          <w:kern w:val="2"/>
          <w:sz w:val="16"/>
          <w:szCs w:val="16"/>
        </w:rPr>
      </w:pPr>
    </w:p>
    <w:p w14:paraId="1972EFFD" w14:textId="77777777" w:rsidR="004963BB" w:rsidRPr="002F2FDF" w:rsidRDefault="004963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22 июня (5 июля) 1917 года — первый полёт истребителя Fokker Dr.I. /Германия/</w:t>
      </w:r>
    </w:p>
    <w:p w14:paraId="696D879D" w14:textId="77777777" w:rsidR="004963BB" w:rsidRPr="002F2FDF" w:rsidRDefault="004963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Британские истребители Sopwith Triplane, появившиеся на фронте в феврале 1917 года, стали с успехом противостоять германской авиации. Возникла необходимость в боевом самолёте аналогичного класса. В ответ на это Fokker разработала один из самых успешных истребителей Первой мировой войны — Dr.I (от Dreidecker — «триплан»).</w:t>
      </w:r>
    </w:p>
    <w:p w14:paraId="29F86F8C" w14:textId="77777777" w:rsidR="004963BB" w:rsidRPr="002F2FDF" w:rsidRDefault="004963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Самолёт представлял собой триплан с ротативным двигателем. Каркас фюзеляжа из стальных труб был обшит фанерой, крылья обтянуты полотном. Вооружение состояло из 2 × 7,92-мм пулемётов MG-08. Максимальная скорость — 185 км/ч.</w:t>
      </w:r>
    </w:p>
    <w:p w14:paraId="3ADC1BB6" w14:textId="77777777" w:rsidR="004963BB" w:rsidRPr="002F2FDF" w:rsidRDefault="004963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У Dr.I хватало проблем — плохой обзор при взлёте и посадке, ослабевание креплений крыльев, отказы двигателя. Но, несмотря на всё это, было выпущено 320 истребителей. Fokker Dr.I широко известен как последний самолёт лучшего аса Первой мировой войны немецкого лётчика Манфреда фон Рихтгофена по прозвищу «Красный барон» — на нём он одержал свои последние 20 побед (22300).</w:t>
      </w:r>
    </w:p>
    <w:p w14:paraId="291FE465" w14:textId="77777777" w:rsidR="004963BB" w:rsidRPr="002F2FDF" w:rsidRDefault="004963BB" w:rsidP="0083075A">
      <w:pPr>
        <w:spacing w:after="0" w:line="240" w:lineRule="auto"/>
        <w:jc w:val="both"/>
        <w:rPr>
          <w:rFonts w:ascii="Times New Roman" w:hAnsi="Times New Roman" w:cs="Times New Roman"/>
          <w:color w:val="000000" w:themeColor="text1"/>
          <w:sz w:val="16"/>
          <w:szCs w:val="16"/>
        </w:rPr>
      </w:pPr>
    </w:p>
    <w:p w14:paraId="4789B0E9" w14:textId="77777777" w:rsidR="004963BB" w:rsidRPr="002F2FDF" w:rsidRDefault="004963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22 июня (5 июля) 1917 первый полет Fairey N.9 (20341).</w:t>
      </w:r>
    </w:p>
    <w:p w14:paraId="0854B9A8" w14:textId="77777777" w:rsidR="004963BB" w:rsidRPr="002F2FDF" w:rsidRDefault="004963BB" w:rsidP="0083075A">
      <w:pPr>
        <w:spacing w:after="0" w:line="240" w:lineRule="auto"/>
        <w:jc w:val="both"/>
        <w:rPr>
          <w:rFonts w:ascii="Times New Roman" w:hAnsi="Times New Roman" w:cs="Times New Roman"/>
          <w:color w:val="000000" w:themeColor="text1"/>
          <w:sz w:val="16"/>
          <w:szCs w:val="16"/>
        </w:rPr>
      </w:pPr>
    </w:p>
    <w:p w14:paraId="356321CC" w14:textId="545814C6" w:rsidR="004963BB" w:rsidRPr="002F2FDF" w:rsidRDefault="004963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22 июня (5 июля)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Первый полёт британского гидросамолёта-разведчика Fairey N.9.</w:t>
      </w:r>
    </w:p>
    <w:p w14:paraId="371458B1" w14:textId="77777777" w:rsidR="004963BB" w:rsidRPr="002F2FDF" w:rsidRDefault="004963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Испытания прототипа на катапультный старт начались на гидроавиатранспорте "Слингер" в июле 1918 года; по результатам испытаний усилили стойки бипланной коробки. Испытания на "Слингере" стали первыми в Великобритании взлетами гидросамолета с корабельной катапульты.В серии не строился (22439).</w:t>
      </w:r>
    </w:p>
    <w:p w14:paraId="229B4004" w14:textId="77777777" w:rsidR="004963BB" w:rsidRPr="002F2FDF" w:rsidRDefault="004963BB" w:rsidP="0083075A">
      <w:pPr>
        <w:spacing w:after="0" w:line="240" w:lineRule="auto"/>
        <w:jc w:val="both"/>
        <w:rPr>
          <w:rFonts w:ascii="Times New Roman" w:hAnsi="Times New Roman" w:cs="Times New Roman"/>
          <w:color w:val="000000" w:themeColor="text1"/>
          <w:sz w:val="16"/>
          <w:szCs w:val="16"/>
        </w:rPr>
      </w:pPr>
    </w:p>
    <w:p w14:paraId="38F39865" w14:textId="73C52D91" w:rsidR="004963BB" w:rsidRPr="002F2FDF" w:rsidRDefault="004963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22 июня (5 июля)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Cовершил первый полёт опытный образец «Вариант S.XII» французского истребителя SPAD S.XII, разработанный французской фирмой Société Anonyme Pour L'Aviation et ses Dérives (SPAD) на базе истребителя SPAD S.VII. S.XII - последний вариант модификации самолёта S.VII, после установки на него 37-мм пушки в дополнение к стандартному пулемету Vickers. SPAD S.VII был построен в количестве 300 экземпляров. Некоторые из них имели двигатель Hispano-Suiza 8Вес, остальные - Hispano-Suiza 8Сb мощностью 220 л.с. Небольшое количество поплавковых вариантов применялось ВМС Великобритании. Самолеты S.VII продолжали применяться после окончания Первой мировой войны в качестве учебно-тренировочных, некоторые - до 1928 года (22439).</w:t>
      </w:r>
    </w:p>
    <w:p w14:paraId="742A2458" w14:textId="77777777" w:rsidR="004963BB" w:rsidRPr="002F2FDF" w:rsidRDefault="004963BB" w:rsidP="0083075A">
      <w:pPr>
        <w:spacing w:after="0" w:line="240" w:lineRule="auto"/>
        <w:jc w:val="both"/>
        <w:rPr>
          <w:rFonts w:ascii="Times New Roman" w:hAnsi="Times New Roman" w:cs="Times New Roman"/>
          <w:color w:val="000000" w:themeColor="text1"/>
          <w:sz w:val="16"/>
          <w:szCs w:val="16"/>
        </w:rPr>
      </w:pPr>
    </w:p>
    <w:p w14:paraId="5665872F" w14:textId="77777777" w:rsidR="00C45699" w:rsidRPr="002F2FDF" w:rsidRDefault="00C45699"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2</w:t>
      </w:r>
      <w:r>
        <w:rPr>
          <w:color w:val="000000" w:themeColor="text1"/>
          <w:sz w:val="16"/>
          <w:szCs w:val="16"/>
        </w:rPr>
        <w:t>2</w:t>
      </w:r>
      <w:r w:rsidRPr="002F2FDF">
        <w:rPr>
          <w:color w:val="000000" w:themeColor="text1"/>
          <w:sz w:val="16"/>
          <w:szCs w:val="16"/>
        </w:rPr>
        <w:t xml:space="preserve"> июня (5 июля) 1917 в письме командующему Флотом открытого моря адмиралу Рейнхарду Шееру (Reinhard Scheer) Штрассер высказал предположение, что сведения о низкой эффективности рейдов являются британской дезинформацией, рассчитанной именно на то, чтобы германское командование начало задумываться о прекращении налётов. В то же время, реальное отношение со стороны противника, по словам Штрассера, можно было понять по силам и средствам, затраченным на противодействие, и той радости, которую англичане демонстрировали при уничтожении дирижабля. Неизвестно, сработали ли эти доводы, или же Шеер изначально не воспринимал потерю L.48 как свидетельство провала концепции высотных бомбардировок, но никаких пожеланий на сворачивание воздушного наступления штаб флота не высказал (19156).</w:t>
      </w:r>
    </w:p>
    <w:p w14:paraId="10000605" w14:textId="77777777" w:rsidR="00C45699" w:rsidRPr="002F2FDF" w:rsidRDefault="00C45699" w:rsidP="0083075A">
      <w:pPr>
        <w:pStyle w:val="ae"/>
        <w:shd w:val="clear" w:color="auto" w:fill="FFFFFF"/>
        <w:spacing w:before="0" w:after="0"/>
        <w:jc w:val="both"/>
        <w:textAlignment w:val="baseline"/>
        <w:rPr>
          <w:color w:val="000000" w:themeColor="text1"/>
          <w:sz w:val="16"/>
          <w:szCs w:val="16"/>
        </w:rPr>
      </w:pPr>
    </w:p>
    <w:p w14:paraId="1148C2A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F60BD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46B4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23-28 июня (6 по 11 июля) 1917 в Москве на Моска испытывали отклонитель пуль В.С.Кулебакина для стрельбы через винт. Одобрили (3645).</w:t>
      </w:r>
    </w:p>
    <w:p w14:paraId="0C8A58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832B2F" w14:textId="27B41783"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23-28 июня</w:t>
      </w:r>
      <w:r w:rsidR="00C45699" w:rsidRPr="002F2FDF">
        <w:rPr>
          <w:rFonts w:ascii="Times New Roman" w:hAnsi="Times New Roman" w:cs="Times New Roman"/>
          <w:color w:val="000000" w:themeColor="text1"/>
          <w:kern w:val="2"/>
          <w:sz w:val="16"/>
          <w:szCs w:val="16"/>
        </w:rPr>
        <w:t xml:space="preserve"> (6 по 11 июля)</w:t>
      </w:r>
      <w:r w:rsidRPr="002F2FDF">
        <w:rPr>
          <w:rFonts w:ascii="Times New Roman" w:hAnsi="Times New Roman" w:cs="Times New Roman"/>
          <w:color w:val="000000" w:themeColor="text1"/>
          <w:kern w:val="2"/>
          <w:sz w:val="16"/>
          <w:szCs w:val="16"/>
        </w:rPr>
        <w:t xml:space="preserve"> 1917 в Москве испытывался "отклонитель" пуль, сконструированный инженером Виктором Сергеевичем Кулебакиным, для стрельбы через винт. Сущность изобретения состояла </w:t>
      </w:r>
      <w:r w:rsidRPr="002F2FDF">
        <w:rPr>
          <w:rFonts w:ascii="Times New Roman" w:hAnsi="Times New Roman" w:cs="Times New Roman"/>
          <w:smallCaps/>
          <w:color w:val="000000" w:themeColor="text1"/>
          <w:kern w:val="2"/>
          <w:sz w:val="16"/>
          <w:szCs w:val="16"/>
        </w:rPr>
        <w:t xml:space="preserve">б </w:t>
      </w:r>
      <w:r w:rsidRPr="002F2FDF">
        <w:rPr>
          <w:rFonts w:ascii="Times New Roman" w:hAnsi="Times New Roman" w:cs="Times New Roman"/>
          <w:color w:val="000000" w:themeColor="text1"/>
          <w:kern w:val="2"/>
          <w:sz w:val="16"/>
          <w:szCs w:val="16"/>
        </w:rPr>
        <w:t>том, что лопасти гинте при прохождении линии полета пули заслоня</w:t>
      </w:r>
      <w:r w:rsidRPr="002F2FDF">
        <w:rPr>
          <w:rFonts w:ascii="Times New Roman" w:hAnsi="Times New Roman" w:cs="Times New Roman"/>
          <w:color w:val="000000" w:themeColor="text1"/>
          <w:kern w:val="2"/>
          <w:sz w:val="16"/>
          <w:szCs w:val="16"/>
        </w:rPr>
        <w:softHyphen/>
        <w:t xml:space="preserve">лись кулачком "отклонитсля", выступавшим г этот момент </w:t>
      </w:r>
      <w:r w:rsidRPr="002F2FDF">
        <w:rPr>
          <w:rFonts w:ascii="Times New Roman" w:hAnsi="Times New Roman" w:cs="Times New Roman"/>
          <w:color w:val="000000" w:themeColor="text1"/>
          <w:kern w:val="2"/>
          <w:sz w:val="16"/>
          <w:szCs w:val="16"/>
        </w:rPr>
        <w:lastRenderedPageBreak/>
        <w:t>из-под .капота мотора. "Отклонитолъ" испытывался на самолете "Москэ", но мог быть установлен и на других самолетах. Отклонитель был одобрен. (Акт комиссии № 6094, ЦГВИА. Ф. 4545, кор.6, л.13).</w:t>
      </w:r>
    </w:p>
    <w:p w14:paraId="6D1C79C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EFBB39" w14:textId="77777777" w:rsidR="001C52E7" w:rsidRPr="00815ED5" w:rsidRDefault="001C52E7"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23-28 июня (6-11 июля) 1917 г. в М</w:t>
      </w:r>
      <w:r w:rsidRPr="00815ED5">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кв</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 xml:space="preserve"> испытывался "отклонитель" пуль,</w:t>
      </w:r>
      <w:r>
        <w:rPr>
          <w:rFonts w:ascii="Times New Roman" w:hAnsi="Times New Roman" w:cs="Times New Roman"/>
          <w:color w:val="0070C0"/>
          <w:sz w:val="16"/>
          <w:szCs w:val="16"/>
        </w:rPr>
        <w:t xml:space="preserve"> с</w:t>
      </w:r>
      <w:r w:rsidRPr="00815ED5">
        <w:rPr>
          <w:rFonts w:ascii="Times New Roman" w:hAnsi="Times New Roman" w:cs="Times New Roman"/>
          <w:color w:val="0070C0"/>
          <w:sz w:val="16"/>
          <w:szCs w:val="16"/>
        </w:rPr>
        <w:t>кон</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труир</w:t>
      </w:r>
      <w:r>
        <w:rPr>
          <w:rFonts w:ascii="Times New Roman" w:hAnsi="Times New Roman" w:cs="Times New Roman"/>
          <w:color w:val="0070C0"/>
          <w:sz w:val="16"/>
          <w:szCs w:val="16"/>
        </w:rPr>
        <w:t>о</w:t>
      </w:r>
      <w:r w:rsidRPr="00815ED5">
        <w:rPr>
          <w:rFonts w:ascii="Times New Roman" w:hAnsi="Times New Roman" w:cs="Times New Roman"/>
          <w:color w:val="0070C0"/>
          <w:sz w:val="16"/>
          <w:szCs w:val="16"/>
        </w:rPr>
        <w:t xml:space="preserve">ваимый инженером </w:t>
      </w: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 xml:space="preserve">иктором Сергеевичем Кулебакиным для стрельбы черев </w:t>
      </w: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и</w:t>
      </w:r>
      <w:r>
        <w:rPr>
          <w:rFonts w:ascii="Times New Roman" w:hAnsi="Times New Roman" w:cs="Times New Roman"/>
          <w:color w:val="0070C0"/>
          <w:sz w:val="16"/>
          <w:szCs w:val="16"/>
        </w:rPr>
        <w:t>н</w:t>
      </w:r>
      <w:r w:rsidRPr="00815ED5">
        <w:rPr>
          <w:rFonts w:ascii="Times New Roman" w:hAnsi="Times New Roman" w:cs="Times New Roman"/>
          <w:color w:val="0070C0"/>
          <w:sz w:val="16"/>
          <w:szCs w:val="16"/>
        </w:rPr>
        <w:t>т.</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Сущность изобретения состояла в том, что лопасти винта при прохождении линии полота пули заслонялись кулачком </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отклонителя»,</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выступавшим в то</w:t>
      </w:r>
      <w:r>
        <w:rPr>
          <w:rFonts w:ascii="Times New Roman" w:hAnsi="Times New Roman" w:cs="Times New Roman"/>
          <w:color w:val="0070C0"/>
          <w:sz w:val="16"/>
          <w:szCs w:val="16"/>
        </w:rPr>
        <w:t>т</w:t>
      </w:r>
      <w:r w:rsidRPr="00815ED5">
        <w:rPr>
          <w:rFonts w:ascii="Times New Roman" w:hAnsi="Times New Roman" w:cs="Times New Roman"/>
          <w:color w:val="0070C0"/>
          <w:sz w:val="16"/>
          <w:szCs w:val="16"/>
        </w:rPr>
        <w:t xml:space="preserve"> момент из под капота мотора.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Отклонитель» испытывался на самолете </w:t>
      </w:r>
      <w:r>
        <w:rPr>
          <w:rFonts w:ascii="Times New Roman" w:hAnsi="Times New Roman" w:cs="Times New Roman"/>
          <w:color w:val="0070C0"/>
          <w:sz w:val="16"/>
          <w:szCs w:val="16"/>
        </w:rPr>
        <w:t>«М</w:t>
      </w:r>
      <w:r w:rsidRPr="00815ED5">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ка»,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 мог б</w:t>
      </w:r>
      <w:r>
        <w:rPr>
          <w:rFonts w:ascii="Times New Roman" w:hAnsi="Times New Roman" w:cs="Times New Roman"/>
          <w:color w:val="0070C0"/>
          <w:sz w:val="16"/>
          <w:szCs w:val="16"/>
        </w:rPr>
        <w:t>ы</w:t>
      </w:r>
      <w:r w:rsidRPr="00815ED5">
        <w:rPr>
          <w:rFonts w:ascii="Times New Roman" w:hAnsi="Times New Roman" w:cs="Times New Roman"/>
          <w:color w:val="0070C0"/>
          <w:sz w:val="16"/>
          <w:szCs w:val="16"/>
        </w:rPr>
        <w:t xml:space="preserve">ть установлен и на других </w:t>
      </w:r>
      <w:r>
        <w:rPr>
          <w:rFonts w:ascii="Times New Roman" w:hAnsi="Times New Roman" w:cs="Times New Roman"/>
          <w:color w:val="0070C0"/>
          <w:sz w:val="16"/>
          <w:szCs w:val="16"/>
        </w:rPr>
        <w:t xml:space="preserve">самолетах </w:t>
      </w:r>
      <w:r w:rsidRPr="00815ED5">
        <w:rPr>
          <w:rFonts w:ascii="Times New Roman" w:hAnsi="Times New Roman" w:cs="Times New Roman"/>
          <w:color w:val="0070C0"/>
          <w:sz w:val="16"/>
          <w:szCs w:val="16"/>
        </w:rPr>
        <w:t>.Отклонитель был одобрен.</w:t>
      </w:r>
    </w:p>
    <w:p w14:paraId="43EE7DBB" w14:textId="77777777" w:rsidR="001C52E7" w:rsidRDefault="001C52E7" w:rsidP="0083075A">
      <w:pPr>
        <w:spacing w:after="0"/>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/АКТ КОМИССИИ </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609</w:t>
      </w:r>
      <w:r w:rsidRPr="00815ED5">
        <w:rPr>
          <w:rFonts w:ascii="Times New Roman" w:hAnsi="Times New Roman" w:cs="Times New Roman"/>
          <w:color w:val="0070C0"/>
          <w:sz w:val="16"/>
          <w:szCs w:val="16"/>
        </w:rPr>
        <w:t>4,</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ф.454б,</w:t>
      </w:r>
      <w:r>
        <w:rPr>
          <w:rFonts w:ascii="Times New Roman" w:hAnsi="Times New Roman" w:cs="Times New Roman"/>
          <w:color w:val="0070C0"/>
          <w:sz w:val="16"/>
          <w:szCs w:val="16"/>
        </w:rPr>
        <w:t xml:space="preserve"> кор</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6, л</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13/ </w:t>
      </w:r>
      <w:r>
        <w:rPr>
          <w:rFonts w:ascii="Times New Roman" w:hAnsi="Times New Roman" w:cs="Times New Roman"/>
          <w:color w:val="0070C0"/>
          <w:sz w:val="16"/>
          <w:szCs w:val="16"/>
        </w:rPr>
        <w:t>(23320).</w:t>
      </w:r>
    </w:p>
    <w:p w14:paraId="2F5A4ADF" w14:textId="77777777" w:rsidR="001C52E7" w:rsidRPr="00815ED5" w:rsidRDefault="001C52E7" w:rsidP="0083075A">
      <w:pPr>
        <w:spacing w:after="0" w:line="240" w:lineRule="auto"/>
        <w:jc w:val="both"/>
        <w:rPr>
          <w:rFonts w:ascii="Times New Roman" w:hAnsi="Times New Roman" w:cs="Times New Roman"/>
          <w:color w:val="0070C0"/>
          <w:sz w:val="16"/>
          <w:szCs w:val="16"/>
        </w:rPr>
      </w:pPr>
    </w:p>
    <w:p w14:paraId="1BB634E2" w14:textId="0A021BE5" w:rsidR="00562E88" w:rsidRPr="00FB4F67" w:rsidRDefault="00562E88" w:rsidP="0083075A">
      <w:pPr>
        <w:spacing w:after="0" w:line="240" w:lineRule="auto"/>
        <w:jc w:val="both"/>
        <w:rPr>
          <w:rFonts w:ascii="Times New Roman" w:hAnsi="Times New Roman" w:cs="Times New Roman"/>
          <w:color w:val="0070C0"/>
          <w:sz w:val="16"/>
          <w:szCs w:val="16"/>
        </w:rPr>
      </w:pPr>
      <w:bookmarkStart w:id="172" w:name="bookmark804"/>
      <w:bookmarkStart w:id="173" w:name="bookmark805"/>
      <w:bookmarkStart w:id="174" w:name="bookmark806"/>
      <w:bookmarkStart w:id="175" w:name="bookmark817"/>
      <w:r w:rsidRPr="00FB4F67">
        <w:rPr>
          <w:rFonts w:ascii="Times New Roman" w:hAnsi="Times New Roman" w:cs="Times New Roman"/>
          <w:color w:val="0070C0"/>
          <w:sz w:val="16"/>
          <w:szCs w:val="16"/>
        </w:rPr>
        <w:t xml:space="preserve">В период 23—28 июня </w:t>
      </w:r>
      <w:r>
        <w:rPr>
          <w:rFonts w:ascii="Times New Roman" w:hAnsi="Times New Roman" w:cs="Times New Roman"/>
          <w:color w:val="0070C0"/>
          <w:sz w:val="16"/>
          <w:szCs w:val="16"/>
        </w:rPr>
        <w:t xml:space="preserve">(6-11 июля) </w:t>
      </w:r>
      <w:r w:rsidRPr="00FB4F67">
        <w:rPr>
          <w:rFonts w:ascii="Times New Roman" w:hAnsi="Times New Roman" w:cs="Times New Roman"/>
          <w:color w:val="0070C0"/>
          <w:sz w:val="16"/>
          <w:szCs w:val="16"/>
        </w:rPr>
        <w:t>1917 г. «от</w:t>
      </w:r>
      <w:r w:rsidRPr="00FB4F67">
        <w:rPr>
          <w:rFonts w:ascii="Times New Roman" w:hAnsi="Times New Roman" w:cs="Times New Roman"/>
          <w:color w:val="0070C0"/>
          <w:sz w:val="16"/>
          <w:szCs w:val="16"/>
        </w:rPr>
        <w:softHyphen/>
        <w:t>клонитель» Кулебакина, адаптированный под пулемет «Кольт» и смонтированный на МБ бис, был испытан на Ходынском стрельбище. Согласно подготовленному акту (№ 6094) вес устройства составлял около 12 фунтов. В акте указывалось, что «отклонитель» не ведет к уменьшению оборотов двигателя, при стрельбе из пулемета число отклоненных пуль составляло 10— 12% от общего расхода патронов, «работа отклонителя была безупречна; ни винт, ни аппарат, ни летчик повреждений не имели; после спуска на аэродром отклонитель и передача остались в нормальном состоя</w:t>
      </w:r>
      <w:r w:rsidRPr="00FB4F67">
        <w:rPr>
          <w:rFonts w:ascii="Times New Roman" w:hAnsi="Times New Roman" w:cs="Times New Roman"/>
          <w:color w:val="0070C0"/>
          <w:sz w:val="16"/>
          <w:szCs w:val="16"/>
        </w:rPr>
        <w:softHyphen/>
        <w:t>нии». Впрочем, несмотря на столь положи</w:t>
      </w:r>
      <w:r w:rsidRPr="00FB4F67">
        <w:rPr>
          <w:rFonts w:ascii="Times New Roman" w:hAnsi="Times New Roman" w:cs="Times New Roman"/>
          <w:color w:val="0070C0"/>
          <w:sz w:val="16"/>
          <w:szCs w:val="16"/>
        </w:rPr>
        <w:softHyphen/>
        <w:t>тельные отзывы сведений о внедрении изобретения Кулебакина в практическую жизнь не обнаружено. (23370).</w:t>
      </w:r>
    </w:p>
    <w:p w14:paraId="38179460" w14:textId="77777777" w:rsidR="00562E88" w:rsidRPr="00FB4F67" w:rsidRDefault="00562E88" w:rsidP="0083075A">
      <w:pPr>
        <w:spacing w:after="0" w:line="240" w:lineRule="auto"/>
        <w:jc w:val="both"/>
        <w:rPr>
          <w:rFonts w:ascii="Times New Roman" w:hAnsi="Times New Roman" w:cs="Times New Roman"/>
          <w:color w:val="0070C0"/>
          <w:sz w:val="16"/>
          <w:szCs w:val="16"/>
        </w:rPr>
      </w:pPr>
    </w:p>
    <w:bookmarkEnd w:id="172"/>
    <w:bookmarkEnd w:id="173"/>
    <w:bookmarkEnd w:id="174"/>
    <w:bookmarkEnd w:id="175"/>
    <w:p w14:paraId="78796B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25 и 28 июня (6, 8, 11 июня) 1917 г. состоялся АКТ ИСПЫТАНИЯ ОТКЛОНИТЕЛЯ ДЛЯ СТРЕЛЬБЫ ЧЕРЕЗ ВИНТ СИСТЕМЫ ИНЖЕНЕР-МЕХАНИКА КУЛЕБАКИНА</w:t>
      </w:r>
    </w:p>
    <w:p w14:paraId="65100A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Акт № 6094</w:t>
      </w:r>
    </w:p>
    <w:p w14:paraId="336D33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 Москва, 23, 25 и 28 июня 1917 г. Мы, нижеподписавшиеся, осматривали и испытывали на Ходынском стрельбище отклонитель для стрельбы через винт системы инженер-механика Кулебакина, изготовленный на аэропланном заводе</w:t>
      </w:r>
    </w:p>
    <w:p w14:paraId="7F66DD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Заведующему авиационно-воздухоплавательными приемками</w:t>
      </w:r>
    </w:p>
    <w:p w14:paraId="28535E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 Моска и установленный на самолете М. Б. Бис; при этом были получены</w:t>
      </w:r>
    </w:p>
    <w:p w14:paraId="2157DC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следующие результаты:</w:t>
      </w:r>
    </w:p>
    <w:p w14:paraId="42C1FF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Вес отклонителя с передачей и установкой около 12 фунтов.</w:t>
      </w:r>
    </w:p>
    <w:p w14:paraId="276568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Расход мощности на вращение его ничтожный и не влечет за собой уменьшения числа оборотов мотора.</w:t>
      </w:r>
    </w:p>
    <w:p w14:paraId="787397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После выпуска на месте 500 патронов из пулемета Кольта ни тело отклонителя, ни передача для вращения его никаких деформаций и расшатываний не имели.</w:t>
      </w:r>
    </w:p>
    <w:p w14:paraId="0575FE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При стрельбе на месте винт и аппарат никаких повреждений от осколков и брызг пуль не имел.</w:t>
      </w:r>
    </w:p>
    <w:p w14:paraId="1AA0F5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При стрельбе из пулемета на месте число попавших пуль в отклонитель составляет около 10-12 % общего расхода патронов.</w:t>
      </w:r>
    </w:p>
    <w:p w14:paraId="2BFAA8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При стрельбе во время полета было выпущено 220 патронов; при этом, как и в предыдущих случаях, работа отклонителя была безупречная; ни винт, ни аппарат, ни летчик повреждений не имели; после спуска отклонитель и передача остались в нормальном состоянии.</w:t>
      </w:r>
    </w:p>
    <w:p w14:paraId="4A10C0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Механизм передачи к отклонителю работал в течение около двух часов при стрельбе в общей сложности 1500 патронов и изнашивании не имел.</w:t>
      </w:r>
    </w:p>
    <w:p w14:paraId="7FBB5E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Младшие авиационно-воздухоплавательные приемщики:</w:t>
      </w:r>
    </w:p>
    <w:p w14:paraId="52307E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военный летчик, поручик Соколов</w:t>
      </w:r>
    </w:p>
    <w:p w14:paraId="296ACA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военный летчик, инженер-технолог прапорщик Ляхов</w:t>
      </w:r>
    </w:p>
    <w:p w14:paraId="00F70C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флаг-капитан воздушной бригады особого назначения, старший</w:t>
      </w:r>
    </w:p>
    <w:p w14:paraId="209B42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лейтенант Н. Андреев</w:t>
      </w:r>
    </w:p>
    <w:p w14:paraId="7F4420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военный летчик, мичман Прокофьев-Северский</w:t>
      </w:r>
    </w:p>
    <w:p w14:paraId="73A3F0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завода “Моска” С. Мамонтов</w:t>
      </w:r>
    </w:p>
    <w:p w14:paraId="73488F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Пилот завода “Моска” (подпись)</w:t>
      </w:r>
    </w:p>
    <w:p w14:paraId="41BCB7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Приложение: 6 снимков установок. М. В.</w:t>
      </w:r>
    </w:p>
    <w:p w14:paraId="7FE1AA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Управ. Воен. Воздуш. Флота Приемочная часть Старший район. приемщик Центр, района 5 июня 1917 г. № 6095</w:t>
      </w:r>
    </w:p>
    <w:p w14:paraId="0F4566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Представляя при сем акт от 23 июня с. г. за № 6094 об испытании отклонителя пуль системы прапорщика Кулебакина, доношу, что прекрасные результаты, полученные при вышеупомянутом испытании, заставляют считать весьма желательным применение вышеназванного отклонителя при установке пулеметов на самолетах, так как преимущества такового слишком очевидны:</w:t>
      </w:r>
    </w:p>
    <w:p w14:paraId="7484A0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невозможность попадания в винт при любом изменении числа оборотов;</w:t>
      </w:r>
    </w:p>
    <w:p w14:paraId="1F1427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легкость установки и приспособляемость;</w:t>
      </w:r>
    </w:p>
    <w:p w14:paraId="634F28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простота конструкции и доступность;</w:t>
      </w:r>
    </w:p>
    <w:p w14:paraId="6EE0A9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установка не отнимает места;</w:t>
      </w:r>
    </w:p>
    <w:p w14:paraId="3BC2BC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дешевле всех существующих;</w:t>
      </w:r>
    </w:p>
    <w:p w14:paraId="38D102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полная безопасность для летчика, что повышает моральный элемент стрелка (весьма осторожный пилот при испытании охотно открывал огонь на высоте около 1000 метров, причем было выпущено около 250 пуль);</w:t>
      </w:r>
    </w:p>
    <w:p w14:paraId="45642F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независимость действия пулемета;</w:t>
      </w:r>
    </w:p>
    <w:p w14:paraId="2F8536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установка отклонителя весьма простая и пригодна для любого самолета, мотора и пулемета;</w:t>
      </w:r>
    </w:p>
    <w:p w14:paraId="247721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регулировка отклонителя выполняется весьма просто и быстро;</w:t>
      </w:r>
    </w:p>
    <w:p w14:paraId="093C06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пулемет, будучи механически не связан с отклонителем, при открытии огня работает равномерно, независимо от числа оборотов мотора;</w:t>
      </w:r>
    </w:p>
    <w:p w14:paraId="5EDFC1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кулачок отклонителя, показываясь из-под капота в момент прохождения лопасти винта через линию полета пули, заслоняется им, почему лобового сопротивления своей поверхностью аппарата не увеличивает;</w:t>
      </w:r>
    </w:p>
    <w:p w14:paraId="490379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установка отклонителя не требует никаких изменений и переделок</w:t>
      </w:r>
    </w:p>
    <w:p w14:paraId="2558F1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ни в моторе, ни в самолете, ни в пулемете, никаких применений специальных</w:t>
      </w:r>
    </w:p>
    <w:p w14:paraId="602CF9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винтов и может быть выполнена средствами отрядов.</w:t>
      </w:r>
    </w:p>
    <w:p w14:paraId="385D18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основании сего считаем, что отклонитель системы инженер-механика Кулебакина является:</w:t>
      </w:r>
    </w:p>
    <w:p w14:paraId="668CB5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вполне безопасным для пилота и вполне гарантирует целость винта и самолета (даже при затяжных выстрелах),</w:t>
      </w:r>
    </w:p>
    <w:p w14:paraId="3F21B1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очень простым по установке и регулировке,</w:t>
      </w:r>
    </w:p>
    <w:p w14:paraId="0A9C4E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легковесным и не требующим почти никакой затраты мощности на вращение,</w:t>
      </w:r>
    </w:p>
    <w:p w14:paraId="29809C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пригодным для каждого истребительного и разведывательного самолета и пулемента,</w:t>
      </w:r>
    </w:p>
    <w:p w14:paraId="460F0D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безукоризненным и вполне надежным при работе, что подписями своими удостоверяем:</w:t>
      </w:r>
    </w:p>
    <w:p w14:paraId="4A95FA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Старший авиационно-воздухоплавательный приемщик Центрального района УВВ Флота, военный летчик, капитан Прищепов (9788)</w:t>
      </w:r>
    </w:p>
    <w:p w14:paraId="76BF17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F9CE89" w14:textId="77777777" w:rsidR="00642623" w:rsidRPr="002F2FDF" w:rsidRDefault="0064262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97511D8" w14:textId="77777777" w:rsidR="00642623" w:rsidRPr="002F2FDF" w:rsidRDefault="0064262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3A6E85" w14:textId="10E39EC7" w:rsidR="00642623" w:rsidRPr="002F2FDF" w:rsidRDefault="00642623" w:rsidP="0083075A">
      <w:pPr>
        <w:pStyle w:val="p1"/>
        <w:spacing w:before="0" w:beforeAutospacing="0" w:after="0" w:afterAutospacing="0"/>
        <w:jc w:val="both"/>
        <w:rPr>
          <w:color w:val="000000" w:themeColor="text1"/>
          <w:sz w:val="16"/>
          <w:szCs w:val="16"/>
        </w:rPr>
      </w:pPr>
      <w:r w:rsidRPr="002F2FDF">
        <w:rPr>
          <w:color w:val="000000" w:themeColor="text1"/>
          <w:sz w:val="16"/>
          <w:szCs w:val="16"/>
        </w:rPr>
        <w:t>23 июня (</w:t>
      </w:r>
      <w:r w:rsidR="00C45699">
        <w:rPr>
          <w:color w:val="000000" w:themeColor="text1"/>
          <w:sz w:val="16"/>
          <w:szCs w:val="16"/>
        </w:rPr>
        <w:t>6</w:t>
      </w:r>
      <w:r w:rsidRPr="002F2FDF">
        <w:rPr>
          <w:color w:val="000000" w:themeColor="text1"/>
          <w:sz w:val="16"/>
          <w:szCs w:val="16"/>
        </w:rPr>
        <w:t xml:space="preserve"> июля) 1917 г. Маниковский докладывал правительству, что в январе 1917 г. на конференции с союзниками они «категорически отказались дать нам легкие орудия». Тем не менее, как признавал Ф.Ф. Палицын, «Англия и Франция в период конца 1916 и начала 1917 г. дали столько, сколько мы в организационной работе на месте не могли переработать» (то есть не успевали формировать новые батареи и дивизионы) (18409).</w:t>
      </w:r>
    </w:p>
    <w:p w14:paraId="0BAEE978" w14:textId="77777777" w:rsidR="00642623" w:rsidRPr="002F2FDF" w:rsidRDefault="00642623" w:rsidP="0083075A">
      <w:pPr>
        <w:pStyle w:val="p1"/>
        <w:spacing w:before="0" w:beforeAutospacing="0" w:after="0" w:afterAutospacing="0"/>
        <w:jc w:val="both"/>
        <w:rPr>
          <w:color w:val="000000" w:themeColor="text1"/>
          <w:sz w:val="16"/>
          <w:szCs w:val="16"/>
        </w:rPr>
      </w:pPr>
    </w:p>
    <w:p w14:paraId="503F4B8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74156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F92DE8" w14:textId="77777777" w:rsidR="005B524F" w:rsidRDefault="005B524F"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23 июня (6 июля) 1917 г. летчики 34 КАО п</w:t>
      </w:r>
      <w:r w:rsidRPr="00815ED5">
        <w:rPr>
          <w:rFonts w:ascii="Times New Roman" w:hAnsi="Times New Roman" w:cs="Times New Roman"/>
          <w:color w:val="0070C0"/>
          <w:sz w:val="16"/>
          <w:szCs w:val="16"/>
        </w:rPr>
        <w:t>одлор</w:t>
      </w:r>
      <w:r>
        <w:rPr>
          <w:rFonts w:ascii="Times New Roman" w:hAnsi="Times New Roman" w:cs="Times New Roman"/>
          <w:color w:val="0070C0"/>
          <w:sz w:val="16"/>
          <w:szCs w:val="16"/>
        </w:rPr>
        <w:t>у</w:t>
      </w:r>
      <w:r w:rsidRPr="00815ED5">
        <w:rPr>
          <w:rFonts w:ascii="Times New Roman" w:hAnsi="Times New Roman" w:cs="Times New Roman"/>
          <w:color w:val="0070C0"/>
          <w:sz w:val="16"/>
          <w:szCs w:val="16"/>
        </w:rPr>
        <w:t>чики Р.А,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Питурин,</w:t>
      </w:r>
      <w:r>
        <w:rPr>
          <w:rFonts w:ascii="Times New Roman" w:hAnsi="Times New Roman" w:cs="Times New Roman"/>
          <w:color w:val="0070C0"/>
          <w:sz w:val="16"/>
          <w:szCs w:val="16"/>
        </w:rPr>
        <w:t xml:space="preserve"> С</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Ф.</w:t>
      </w:r>
      <w:r w:rsidRPr="00815ED5">
        <w:rPr>
          <w:rFonts w:ascii="Times New Roman" w:hAnsi="Times New Roman" w:cs="Times New Roman"/>
          <w:color w:val="0070C0"/>
          <w:sz w:val="16"/>
          <w:szCs w:val="16"/>
        </w:rPr>
        <w:t xml:space="preserve">Ермилов и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т</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у</w:t>
      </w:r>
      <w:r>
        <w:rPr>
          <w:rFonts w:ascii="Times New Roman" w:hAnsi="Times New Roman" w:cs="Times New Roman"/>
          <w:color w:val="0070C0"/>
          <w:sz w:val="16"/>
          <w:szCs w:val="16"/>
        </w:rPr>
        <w:t>н</w:t>
      </w:r>
      <w:r w:rsidRPr="00815ED5">
        <w:rPr>
          <w:rFonts w:ascii="Times New Roman" w:hAnsi="Times New Roman" w:cs="Times New Roman"/>
          <w:color w:val="0070C0"/>
          <w:sz w:val="16"/>
          <w:szCs w:val="16"/>
        </w:rPr>
        <w:t xml:space="preserve">тер-офицер </w:t>
      </w:r>
      <w:r>
        <w:rPr>
          <w:rFonts w:ascii="Times New Roman" w:hAnsi="Times New Roman" w:cs="Times New Roman"/>
          <w:color w:val="0070C0"/>
          <w:sz w:val="16"/>
          <w:szCs w:val="16"/>
        </w:rPr>
        <w:t>Ю</w:t>
      </w:r>
      <w:r w:rsidRPr="00815ED5">
        <w:rPr>
          <w:rFonts w:ascii="Times New Roman" w:hAnsi="Times New Roman" w:cs="Times New Roman"/>
          <w:color w:val="0070C0"/>
          <w:sz w:val="16"/>
          <w:szCs w:val="16"/>
        </w:rPr>
        <w:t>.Я</w:t>
      </w:r>
      <w:r>
        <w:rPr>
          <w:rFonts w:ascii="Times New Roman" w:hAnsi="Times New Roman" w:cs="Times New Roman"/>
          <w:color w:val="0070C0"/>
          <w:sz w:val="16"/>
          <w:szCs w:val="16"/>
        </w:rPr>
        <w:t>.Римша на</w:t>
      </w:r>
      <w:r w:rsidRPr="00815ED5">
        <w:rPr>
          <w:rFonts w:ascii="Times New Roman" w:hAnsi="Times New Roman" w:cs="Times New Roman"/>
          <w:color w:val="0070C0"/>
          <w:sz w:val="16"/>
          <w:szCs w:val="16"/>
        </w:rPr>
        <w:t xml:space="preserve"> трех самолетах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 xml:space="preserve"> летнабами совершили ночь</w:t>
      </w:r>
      <w:r>
        <w:rPr>
          <w:rFonts w:ascii="Times New Roman" w:hAnsi="Times New Roman" w:cs="Times New Roman"/>
          <w:color w:val="0070C0"/>
          <w:sz w:val="16"/>
          <w:szCs w:val="16"/>
        </w:rPr>
        <w:t>ю</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от</w:t>
      </w:r>
      <w:r w:rsidRPr="00815ED5">
        <w:rPr>
          <w:rFonts w:ascii="Times New Roman" w:hAnsi="Times New Roman" w:cs="Times New Roman"/>
          <w:color w:val="0070C0"/>
          <w:sz w:val="16"/>
          <w:szCs w:val="16"/>
        </w:rPr>
        <w:t>ва</w:t>
      </w:r>
      <w:r>
        <w:rPr>
          <w:rFonts w:ascii="Times New Roman" w:hAnsi="Times New Roman" w:cs="Times New Roman"/>
          <w:color w:val="0070C0"/>
          <w:sz w:val="16"/>
          <w:szCs w:val="16"/>
        </w:rPr>
        <w:t>жны</w:t>
      </w:r>
      <w:r w:rsidRPr="00815ED5">
        <w:rPr>
          <w:rFonts w:ascii="Times New Roman" w:hAnsi="Times New Roman" w:cs="Times New Roman"/>
          <w:color w:val="0070C0"/>
          <w:sz w:val="16"/>
          <w:szCs w:val="16"/>
        </w:rPr>
        <w:t>й налет на г</w:t>
      </w:r>
      <w:r>
        <w:rPr>
          <w:rFonts w:ascii="Times New Roman" w:hAnsi="Times New Roman" w:cs="Times New Roman"/>
          <w:color w:val="0070C0"/>
          <w:sz w:val="16"/>
          <w:szCs w:val="16"/>
        </w:rPr>
        <w:t>. П</w:t>
      </w:r>
      <w:r w:rsidRPr="00815ED5">
        <w:rPr>
          <w:rFonts w:ascii="Times New Roman" w:hAnsi="Times New Roman" w:cs="Times New Roman"/>
          <w:color w:val="0070C0"/>
          <w:sz w:val="16"/>
          <w:szCs w:val="16"/>
        </w:rPr>
        <w:t>инс</w:t>
      </w:r>
      <w:r>
        <w:rPr>
          <w:rFonts w:ascii="Times New Roman" w:hAnsi="Times New Roman" w:cs="Times New Roman"/>
          <w:color w:val="0070C0"/>
          <w:sz w:val="16"/>
          <w:szCs w:val="16"/>
        </w:rPr>
        <w:t>к. С</w:t>
      </w:r>
      <w:r w:rsidRPr="00815ED5">
        <w:rPr>
          <w:rFonts w:ascii="Times New Roman" w:hAnsi="Times New Roman" w:cs="Times New Roman"/>
          <w:color w:val="0070C0"/>
          <w:sz w:val="16"/>
          <w:szCs w:val="16"/>
        </w:rPr>
        <w:t xml:space="preserve">низившись </w:t>
      </w:r>
      <w:r>
        <w:rPr>
          <w:rFonts w:ascii="Times New Roman" w:hAnsi="Times New Roman" w:cs="Times New Roman"/>
          <w:color w:val="0070C0"/>
          <w:sz w:val="16"/>
          <w:szCs w:val="16"/>
        </w:rPr>
        <w:t>н</w:t>
      </w:r>
      <w:r w:rsidRPr="00815ED5">
        <w:rPr>
          <w:rFonts w:ascii="Times New Roman" w:hAnsi="Times New Roman" w:cs="Times New Roman"/>
          <w:color w:val="0070C0"/>
          <w:sz w:val="16"/>
          <w:szCs w:val="16"/>
        </w:rPr>
        <w:t xml:space="preserve">ад городом на </w:t>
      </w:r>
      <w:r>
        <w:rPr>
          <w:rFonts w:ascii="Times New Roman" w:hAnsi="Times New Roman" w:cs="Times New Roman"/>
          <w:color w:val="0070C0"/>
          <w:sz w:val="16"/>
          <w:szCs w:val="16"/>
        </w:rPr>
        <w:t>200</w:t>
      </w:r>
      <w:r w:rsidRPr="00815ED5">
        <w:rPr>
          <w:rFonts w:ascii="Times New Roman" w:hAnsi="Times New Roman" w:cs="Times New Roman"/>
          <w:color w:val="0070C0"/>
          <w:sz w:val="16"/>
          <w:szCs w:val="16"/>
        </w:rPr>
        <w:t xml:space="preserve"> м летчики сбросили </w:t>
      </w:r>
      <w:r>
        <w:rPr>
          <w:rFonts w:ascii="Times New Roman" w:hAnsi="Times New Roman" w:cs="Times New Roman"/>
          <w:color w:val="0070C0"/>
          <w:sz w:val="16"/>
          <w:szCs w:val="16"/>
        </w:rPr>
        <w:t>н</w:t>
      </w:r>
      <w:r w:rsidRPr="00815ED5">
        <w:rPr>
          <w:rFonts w:ascii="Times New Roman" w:hAnsi="Times New Roman" w:cs="Times New Roman"/>
          <w:color w:val="0070C0"/>
          <w:sz w:val="16"/>
          <w:szCs w:val="16"/>
        </w:rPr>
        <w:t xml:space="preserve">а вокзал и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клад</w:t>
      </w:r>
      <w:r>
        <w:rPr>
          <w:rFonts w:ascii="Times New Roman" w:hAnsi="Times New Roman" w:cs="Times New Roman"/>
          <w:color w:val="0070C0"/>
          <w:sz w:val="16"/>
          <w:szCs w:val="16"/>
        </w:rPr>
        <w:t>ы 9</w:t>
      </w:r>
      <w:r w:rsidRPr="00815ED5">
        <w:rPr>
          <w:rFonts w:ascii="Times New Roman" w:hAnsi="Times New Roman" w:cs="Times New Roman"/>
          <w:color w:val="0070C0"/>
          <w:sz w:val="16"/>
          <w:szCs w:val="16"/>
        </w:rPr>
        <w:t xml:space="preserve"> зажигательных и </w:t>
      </w:r>
      <w:r>
        <w:rPr>
          <w:rFonts w:ascii="Times New Roman" w:hAnsi="Times New Roman" w:cs="Times New Roman"/>
          <w:color w:val="0070C0"/>
          <w:sz w:val="16"/>
          <w:szCs w:val="16"/>
        </w:rPr>
        <w:t>6</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ф</w:t>
      </w:r>
      <w:r w:rsidRPr="00815ED5">
        <w:rPr>
          <w:rFonts w:ascii="Times New Roman" w:hAnsi="Times New Roman" w:cs="Times New Roman"/>
          <w:color w:val="0070C0"/>
          <w:sz w:val="16"/>
          <w:szCs w:val="16"/>
        </w:rPr>
        <w:t>угасных бомб,</w:t>
      </w:r>
      <w:r>
        <w:rPr>
          <w:rFonts w:ascii="Times New Roman" w:hAnsi="Times New Roman" w:cs="Times New Roman"/>
          <w:color w:val="0070C0"/>
          <w:sz w:val="16"/>
          <w:szCs w:val="16"/>
        </w:rPr>
        <w:t xml:space="preserve"> в</w:t>
      </w:r>
      <w:r w:rsidRPr="00815ED5">
        <w:rPr>
          <w:rFonts w:ascii="Times New Roman" w:hAnsi="Times New Roman" w:cs="Times New Roman"/>
          <w:color w:val="0070C0"/>
          <w:sz w:val="16"/>
          <w:szCs w:val="16"/>
        </w:rPr>
        <w:t>ы</w:t>
      </w:r>
      <w:r>
        <w:rPr>
          <w:rFonts w:ascii="Times New Roman" w:hAnsi="Times New Roman" w:cs="Times New Roman"/>
          <w:color w:val="0070C0"/>
          <w:sz w:val="16"/>
          <w:szCs w:val="16"/>
        </w:rPr>
        <w:t>звав</w:t>
      </w:r>
      <w:r w:rsidRPr="00815ED5">
        <w:rPr>
          <w:rFonts w:ascii="Times New Roman" w:hAnsi="Times New Roman" w:cs="Times New Roman"/>
          <w:color w:val="0070C0"/>
          <w:sz w:val="16"/>
          <w:szCs w:val="16"/>
        </w:rPr>
        <w:t xml:space="preserve"> в трех м</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 xml:space="preserve">стах </w:t>
      </w:r>
      <w:r>
        <w:rPr>
          <w:rFonts w:ascii="Times New Roman" w:hAnsi="Times New Roman" w:cs="Times New Roman"/>
          <w:color w:val="0070C0"/>
          <w:sz w:val="16"/>
          <w:szCs w:val="16"/>
        </w:rPr>
        <w:t>п</w:t>
      </w:r>
      <w:r w:rsidRPr="00815ED5">
        <w:rPr>
          <w:rFonts w:ascii="Times New Roman" w:hAnsi="Times New Roman" w:cs="Times New Roman"/>
          <w:color w:val="0070C0"/>
          <w:sz w:val="16"/>
          <w:szCs w:val="16"/>
        </w:rPr>
        <w:t>ожары. Оставаясь и</w:t>
      </w:r>
      <w:r>
        <w:rPr>
          <w:rFonts w:ascii="Times New Roman" w:hAnsi="Times New Roman" w:cs="Times New Roman"/>
          <w:color w:val="0070C0"/>
          <w:sz w:val="16"/>
          <w:szCs w:val="16"/>
        </w:rPr>
        <w:t>а</w:t>
      </w:r>
      <w:r w:rsidRPr="00815ED5">
        <w:rPr>
          <w:rFonts w:ascii="Times New Roman" w:hAnsi="Times New Roman" w:cs="Times New Roman"/>
          <w:color w:val="0070C0"/>
          <w:sz w:val="16"/>
          <w:szCs w:val="16"/>
        </w:rPr>
        <w:t xml:space="preserve"> той </w:t>
      </w:r>
      <w:r>
        <w:rPr>
          <w:rFonts w:ascii="Times New Roman" w:hAnsi="Times New Roman" w:cs="Times New Roman"/>
          <w:color w:val="0070C0"/>
          <w:sz w:val="16"/>
          <w:szCs w:val="16"/>
        </w:rPr>
        <w:t>же</w:t>
      </w:r>
      <w:r w:rsidRPr="00815ED5">
        <w:rPr>
          <w:rFonts w:ascii="Times New Roman" w:hAnsi="Times New Roman" w:cs="Times New Roman"/>
          <w:color w:val="0070C0"/>
          <w:sz w:val="16"/>
          <w:szCs w:val="16"/>
        </w:rPr>
        <w:t xml:space="preserve"> высоте, они обстреляли из пулеметов город,</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 при возвращении - еще три деревни» /Приказ по войскам 2-</w:t>
      </w:r>
      <w:r>
        <w:rPr>
          <w:rFonts w:ascii="Times New Roman" w:hAnsi="Times New Roman" w:cs="Times New Roman"/>
          <w:color w:val="0070C0"/>
          <w:sz w:val="16"/>
          <w:szCs w:val="16"/>
        </w:rPr>
        <w:t>й</w:t>
      </w:r>
      <w:r w:rsidRPr="00815ED5">
        <w:rPr>
          <w:rFonts w:ascii="Times New Roman" w:hAnsi="Times New Roman" w:cs="Times New Roman"/>
          <w:color w:val="0070C0"/>
          <w:sz w:val="16"/>
          <w:szCs w:val="16"/>
        </w:rPr>
        <w:t xml:space="preserve"> армии от 20 июня 1917 </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1020/</w:t>
      </w:r>
      <w:r>
        <w:rPr>
          <w:rFonts w:ascii="Times New Roman" w:hAnsi="Times New Roman" w:cs="Times New Roman"/>
          <w:color w:val="0070C0"/>
          <w:sz w:val="16"/>
          <w:szCs w:val="16"/>
        </w:rPr>
        <w:t xml:space="preserve"> (23320).</w:t>
      </w:r>
    </w:p>
    <w:p w14:paraId="46630FFF" w14:textId="77777777" w:rsidR="005B524F" w:rsidRPr="00815ED5" w:rsidRDefault="005B524F" w:rsidP="0083075A">
      <w:pPr>
        <w:spacing w:after="0" w:line="240" w:lineRule="auto"/>
        <w:jc w:val="both"/>
        <w:rPr>
          <w:rFonts w:ascii="Times New Roman" w:hAnsi="Times New Roman" w:cs="Times New Roman"/>
          <w:color w:val="0070C0"/>
          <w:sz w:val="16"/>
          <w:szCs w:val="16"/>
        </w:rPr>
      </w:pPr>
    </w:p>
    <w:p w14:paraId="7B7BA5E0" w14:textId="77777777" w:rsidR="00C34BC2" w:rsidRPr="002F2FDF" w:rsidRDefault="00C34BC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июня (6 июля) 1917 русские войска генерала Л. Корнилова начали наступление в Галиции, захватив до 7 тыс. пленных (4962).</w:t>
      </w:r>
    </w:p>
    <w:p w14:paraId="519770AB" w14:textId="77777777" w:rsidR="00C34BC2" w:rsidRPr="002F2FDF" w:rsidRDefault="00C34BC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AD5AEC" w14:textId="795DF13E" w:rsidR="00212426" w:rsidRPr="00FB4F67" w:rsidRDefault="0021242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23 июня (</w:t>
      </w:r>
      <w:r w:rsidRPr="00FB4F67">
        <w:rPr>
          <w:rFonts w:ascii="Times New Roman" w:hAnsi="Times New Roman" w:cs="Times New Roman"/>
          <w:color w:val="0070C0"/>
          <w:sz w:val="16"/>
          <w:szCs w:val="16"/>
        </w:rPr>
        <w:t>6 июля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из района Станислав в направлении Калуш и Болехов перешла в наступление 8-я армия Юго-Западного фронта, прорвав оборону противника на всю тактическую глубину. Овладев городами Галич и Калуш, армия к 13 июля вышла на рубеж Кропивник - р. Ломница.</w:t>
      </w:r>
    </w:p>
    <w:p w14:paraId="0485DCEA" w14:textId="77777777" w:rsidR="00212426" w:rsidRPr="00FB4F67" w:rsidRDefault="0021242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Имея лишь 30-35 исправных летательных аппаратов, истребительная авиация фронта была не в состоянии в полной мере обеспечивать воздушное прикрытие наступавших русских войск и ближнего тыла армий. Наиболее распространенным способом отражения налетов вражеских самолетов стало «дежурство на аэродроме» истребителей. По команде штабов армейских корпусов, получив предварительные сведения (от передовых наблюдательных постов) о появлении воздушного противника в зоне их ответственности, экипажи дежурных истребителей совершали вылеты на перехват. Однако вследствие запаздывания поступления информации от этого способа вызова самолетов вскоре пришлось отказаться. Наиболее оптимальным был признан барраж наиболее активных участков фронта. Для его осуществления русские летчики совершали в течение светлого времени суток от двух и более боевых вылетов. В дальнейшем (из-за недостатков средств) воздушная охрана участков фронта осуществлялась преимущественно утром и под вечер (пик активности неприятельской авиации). В этой связи пришлось отказаться от барража в ближнем тылу противника. Он продолжал сохраняться в маневренной зоне наших войск (3-8 км от линии фронта), направленный против неприятельских самолетов- разведчиков.</w:t>
      </w:r>
    </w:p>
    <w:p w14:paraId="1E78B3EF" w14:textId="77777777" w:rsidR="00212426" w:rsidRPr="00FB4F67" w:rsidRDefault="0021242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Борьба с воздушным противником одновременно велась в двух воздушных зонах. Первая зона ограничивалась линией фронта и ближнем тылом русских войск (до 8 км), где концентрировались основные силы зенитной артиллерии при взаимодействии с истребительной авиацией. Вторая воздушная зона охватывала ближний тыл противника. В ней осуществлялись периодические полеты наших истребителей (одиночные или звеньями) с целью затруднения деятельности неприятельской охранной авиации.</w:t>
      </w:r>
    </w:p>
    <w:p w14:paraId="179B90C6" w14:textId="77777777" w:rsidR="00212426" w:rsidRPr="00FB4F67" w:rsidRDefault="0021242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 наиболее важных участках фронта силами армейской авиации периодически организовывалась воздушная завеса в широком диапазоне высот. В этих случаях одиночные самолеты-разведчики противника старались не рисковать пересекать линию фронта, а бомбардировочная авиация, проникая в ближний тыл русских войск, дополнительно усиливалась самолетами прикрытия. В конечном счете установка воздушных завес заметно снижала результативность работы германской и австро-венгерской авиации.</w:t>
      </w:r>
    </w:p>
    <w:p w14:paraId="460DB134" w14:textId="77777777" w:rsidR="00212426" w:rsidRPr="00FB4F67" w:rsidRDefault="0021242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Заметную роль наши истребители сыграли в организации защиты воздухоплавательных аппаратов (аэростатов), используемых для ведения воздушной разведки передовых позиций противника и корректировки огня нашей дальнобойной артиллерии. Слабо защищенные змейковые аэростаты являлись удобной мишенью для нападения со стороны неприятельской авиации. В иные дни вражеские летчики уничтожали сразу по несколько воздушных шаров, что серьезно осложняло работу воздухоплавателей. Придание им для защиты в воздухе самолетов истребительного типа позволило свести такие атаки до минимума.</w:t>
      </w:r>
    </w:p>
    <w:p w14:paraId="1653F75A" w14:textId="77777777" w:rsidR="00212426" w:rsidRPr="00FB4F67" w:rsidRDefault="0021242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результате грамотно построенной тактики действий наших истребительных авиаотрядов на отдельных участках Юго-Западного и Румынского фронтов в весенне-летний период удалось добиться завоевания оперативного господства в воздухе. С этой целью только в полосе Румынского фронта русско-франко-румынской авиацией совершено около двух тысяч боевых вылетов, сбито 20 самолетов противника. С нашей стороны общие потери (включая союзников) составили лишь три боевые машины (23405).</w:t>
      </w:r>
    </w:p>
    <w:p w14:paraId="2E44FAE8" w14:textId="77777777" w:rsidR="00212426" w:rsidRPr="00FB4F67" w:rsidRDefault="00212426" w:rsidP="0083075A">
      <w:pPr>
        <w:spacing w:after="0" w:line="240" w:lineRule="auto"/>
        <w:jc w:val="both"/>
        <w:rPr>
          <w:rFonts w:ascii="Times New Roman" w:hAnsi="Times New Roman" w:cs="Times New Roman"/>
          <w:color w:val="0070C0"/>
          <w:sz w:val="16"/>
          <w:szCs w:val="16"/>
        </w:rPr>
      </w:pPr>
      <w:bookmarkStart w:id="176" w:name="bookmark831"/>
    </w:p>
    <w:p w14:paraId="275A6D80" w14:textId="62C35B8A" w:rsidR="00212426" w:rsidRPr="00FB4F67" w:rsidRDefault="00212426" w:rsidP="0083075A">
      <w:pPr>
        <w:spacing w:after="0" w:line="240" w:lineRule="auto"/>
        <w:jc w:val="both"/>
        <w:rPr>
          <w:rFonts w:ascii="Times New Roman" w:hAnsi="Times New Roman" w:cs="Times New Roman"/>
          <w:color w:val="0070C0"/>
          <w:sz w:val="16"/>
          <w:szCs w:val="16"/>
        </w:rPr>
      </w:pPr>
      <w:bookmarkStart w:id="177" w:name="bookmark838"/>
      <w:bookmarkStart w:id="178" w:name="bookmark839"/>
      <w:bookmarkStart w:id="179" w:name="bookmark840"/>
      <w:bookmarkEnd w:id="176"/>
      <w:r>
        <w:rPr>
          <w:rFonts w:ascii="Times New Roman" w:hAnsi="Times New Roman" w:cs="Times New Roman"/>
          <w:color w:val="0070C0"/>
          <w:sz w:val="16"/>
          <w:szCs w:val="16"/>
        </w:rPr>
        <w:t>23 июня (</w:t>
      </w:r>
      <w:r w:rsidRPr="00FB4F67">
        <w:rPr>
          <w:rFonts w:ascii="Times New Roman" w:hAnsi="Times New Roman" w:cs="Times New Roman"/>
          <w:color w:val="0070C0"/>
          <w:sz w:val="16"/>
          <w:szCs w:val="16"/>
        </w:rPr>
        <w:t>6 июля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на Барановическом направлении пулеметным огнем был уничтожен самолет противника, который ранее сжег в воздухе наш аэростат (9-й корпусной воздухоплавательный отряд). В результате «сил[ы] вышедшего водорода (из оболочки горящего аэростата) [неприятельский аппарат] был опрокинут и упал в 150 шагах от горевшего аэростата. Оба неприятельских летчика оказались мертвыми, с пулевыми ранами. Аппарат системы „Румплер“ разбит». Это был второй вражеский самолет на счету воздухоплавательного отряда. Свою первую победу воздухоплаватели одержали 26 марта того же года, подбив неприятельский самолет, который также сжег в воздухе наш аэростат. В плен попали два немецких летчика, которые при посадке на землю были тяжело ранены (23405).</w:t>
      </w:r>
      <w:bookmarkEnd w:id="177"/>
      <w:bookmarkEnd w:id="178"/>
      <w:bookmarkEnd w:id="179"/>
    </w:p>
    <w:p w14:paraId="53278B76" w14:textId="77777777" w:rsidR="00212426" w:rsidRPr="00FB4F67" w:rsidRDefault="00212426" w:rsidP="0083075A">
      <w:pPr>
        <w:spacing w:after="0" w:line="240" w:lineRule="auto"/>
        <w:jc w:val="both"/>
        <w:rPr>
          <w:rFonts w:ascii="Times New Roman" w:hAnsi="Times New Roman" w:cs="Times New Roman"/>
          <w:color w:val="0070C0"/>
          <w:sz w:val="16"/>
          <w:szCs w:val="16"/>
        </w:rPr>
      </w:pPr>
    </w:p>
    <w:p w14:paraId="39CA3859" w14:textId="77777777" w:rsidR="00C34BC2" w:rsidRPr="002F2FDF" w:rsidRDefault="00C34BC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июня (6 июля) 1917 г. в 4 часа 30 мин утра на "Фармане-27" №994/23 (из 21-го корпусного авиаотряда) вылетели летчик ефрейтор Савватеев и наблюдатель подпоручик Троицкий. Они получили задание провести разведку района Волошин - Куценята - р. Березина - Вишнево. Однако закончить ее не удалось из-за боя с немецким истребителем в районе деревни Бортонишки. В этой схватке Троицкий был убит в воздухе двумя пулями в голову, а его самолет перешел в штопор и упал в районе фольварка Плавнино. Летчик Савватеев получил тяжелые ранения при падении и скончался в перевязочном пункте 17-го стрелкового полка (11237).</w:t>
      </w:r>
    </w:p>
    <w:p w14:paraId="1DE07B36" w14:textId="77777777" w:rsidR="00C34BC2" w:rsidRPr="002F2FDF" w:rsidRDefault="00C34BC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E38808" w14:textId="77777777" w:rsidR="00C34BC2" w:rsidRPr="002F2FDF" w:rsidRDefault="00C34BC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июня (6 июля) 1917 г., когда двухместный немецкий самолет пытался поджечь аэростат 9-го корпусного отряда, он был сбит с земли огнем пулеметчиков отряда (11238).</w:t>
      </w:r>
    </w:p>
    <w:p w14:paraId="7EE66455" w14:textId="77777777" w:rsidR="00C34BC2" w:rsidRPr="002F2FDF" w:rsidRDefault="00C34BC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A00F6A" w14:textId="77777777" w:rsidR="00C34BC2" w:rsidRPr="002F2FDF" w:rsidRDefault="00C34BC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23 июня (6 июля) 1917 по коррек</w:t>
      </w:r>
      <w:r w:rsidRPr="002F2FDF">
        <w:rPr>
          <w:rFonts w:ascii="Times New Roman" w:hAnsi="Times New Roman" w:cs="Times New Roman"/>
          <w:color w:val="000000" w:themeColor="text1"/>
          <w:sz w:val="16"/>
          <w:szCs w:val="16"/>
        </w:rPr>
        <w:softHyphen/>
        <w:t>тировке с аэростата 46-го корпусного воздухоплавательного отряда русские батареи выпустили за 1 ч 20 мин свыше 900 снарядов. При следую</w:t>
      </w:r>
      <w:r w:rsidRPr="002F2FDF">
        <w:rPr>
          <w:rFonts w:ascii="Times New Roman" w:hAnsi="Times New Roman" w:cs="Times New Roman"/>
          <w:color w:val="000000" w:themeColor="text1"/>
          <w:sz w:val="16"/>
          <w:szCs w:val="16"/>
        </w:rPr>
        <w:softHyphen/>
        <w:t>щем подъёме аэростата за 40 минут было выпу</w:t>
      </w:r>
      <w:r w:rsidRPr="002F2FDF">
        <w:rPr>
          <w:rFonts w:ascii="Times New Roman" w:hAnsi="Times New Roman" w:cs="Times New Roman"/>
          <w:color w:val="000000" w:themeColor="text1"/>
          <w:sz w:val="16"/>
          <w:szCs w:val="16"/>
        </w:rPr>
        <w:softHyphen/>
        <w:t>щено свыше 350 снарядов. В этот же день при содействии аэростата 5-го Сибирского корпуса проводился обстрел противника химическими снарядами (20120).</w:t>
      </w:r>
    </w:p>
    <w:p w14:paraId="307C582F" w14:textId="77777777" w:rsidR="00C34BC2" w:rsidRPr="002F2FDF" w:rsidRDefault="00C34BC2" w:rsidP="0083075A">
      <w:pPr>
        <w:spacing w:after="0" w:line="240" w:lineRule="auto"/>
        <w:jc w:val="both"/>
        <w:rPr>
          <w:rFonts w:ascii="Times New Roman" w:hAnsi="Times New Roman" w:cs="Times New Roman"/>
          <w:color w:val="000000" w:themeColor="text1"/>
          <w:sz w:val="16"/>
          <w:szCs w:val="16"/>
        </w:rPr>
      </w:pPr>
    </w:p>
    <w:p w14:paraId="10B1B1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июня (6 июля) 1917 началось наступление немцев, известное как Тарнопольский прорыв. Русские части стали отступать. На Тарнопольском аэродроме скопилось б. 50 самолетов и 7 авиаотрядов. Немцы пытались разбомбить вечером 7 июля и 8 самолетами 5 истребителей вылетели на перехват (3223,7).</w:t>
      </w:r>
    </w:p>
    <w:p w14:paraId="0BF238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3F1964" w14:textId="77777777" w:rsidR="00B25AF9"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0ABDE3AE" w14:textId="77777777" w:rsidR="00B25AF9" w:rsidRPr="002F2FDF" w:rsidRDefault="00B25AF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D42F3A" w14:textId="34D124B8" w:rsidR="00B25AF9" w:rsidRPr="002F2FDF" w:rsidRDefault="00B25AF9"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23 июня (</w:t>
      </w:r>
      <w:r w:rsidR="006A795C">
        <w:rPr>
          <w:rStyle w:val="af0"/>
          <w:rFonts w:ascii="Times New Roman" w:hAnsi="Times New Roman" w:cs="Times New Roman"/>
          <w:i w:val="0"/>
          <w:color w:val="000000" w:themeColor="text1"/>
          <w:kern w:val="2"/>
          <w:sz w:val="16"/>
          <w:szCs w:val="16"/>
        </w:rPr>
        <w:t>6</w:t>
      </w:r>
      <w:r w:rsidRPr="002F2FDF">
        <w:rPr>
          <w:rStyle w:val="af0"/>
          <w:rFonts w:ascii="Times New Roman" w:hAnsi="Times New Roman" w:cs="Times New Roman"/>
          <w:i w:val="0"/>
          <w:color w:val="000000" w:themeColor="text1"/>
          <w:kern w:val="2"/>
          <w:sz w:val="16"/>
          <w:szCs w:val="16"/>
        </w:rPr>
        <w:t xml:space="preserve"> июля) 1917 г. </w:t>
      </w:r>
      <w:r w:rsidRPr="002F2FDF">
        <w:rPr>
          <w:rFonts w:ascii="Times New Roman" w:hAnsi="Times New Roman" w:cs="Times New Roman"/>
          <w:color w:val="000000" w:themeColor="text1"/>
          <w:kern w:val="2"/>
          <w:sz w:val="16"/>
          <w:szCs w:val="16"/>
        </w:rPr>
        <w:t>Представление Министерства иностранных дел Временному правительству об издании временного закона по охране интересов бельгийских акционерных обществ.</w:t>
      </w:r>
    </w:p>
    <w:p w14:paraId="34249392" w14:textId="25E5195B" w:rsidR="00B25AF9" w:rsidRPr="002F2FDF" w:rsidRDefault="00B25AF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466-467</w:t>
      </w:r>
    </w:p>
    <w:p w14:paraId="7A3E1729" w14:textId="6878B0AE" w:rsidR="00B25AF9" w:rsidRPr="002F2FDF" w:rsidRDefault="00B25AF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ЦГАОР ф.6 оп. 1 д. 1494 лл. 1-2 Типогр. экз.</w:t>
      </w:r>
    </w:p>
    <w:p w14:paraId="3B0B78E8" w14:textId="77777777" w:rsidR="00B25AF9" w:rsidRPr="002F2FDF" w:rsidRDefault="00B25AF9" w:rsidP="0083075A">
      <w:pPr>
        <w:pStyle w:val="rtejustify"/>
        <w:spacing w:before="0" w:after="0"/>
        <w:rPr>
          <w:color w:val="000000" w:themeColor="text1"/>
          <w:kern w:val="2"/>
          <w:sz w:val="16"/>
          <w:szCs w:val="16"/>
        </w:rPr>
      </w:pPr>
      <w:r w:rsidRPr="002F2FDF">
        <w:rPr>
          <w:color w:val="000000" w:themeColor="text1"/>
          <w:kern w:val="2"/>
          <w:sz w:val="16"/>
          <w:szCs w:val="16"/>
        </w:rPr>
        <w:t>Представители бельгийских акционерных обществ трамваев и электрического освещения, работающих в 25 городах и представляющих в общем свыше 250 млн фр. затраченных в России капиталов, обратились с ходатайством об издании Временным правительством временного закона для защиты интересов указанных обществ.</w:t>
      </w:r>
      <w:hyperlink r:id="rId317" w:anchor="_ftn1" w:history="1">
        <w:r w:rsidRPr="002F2FDF">
          <w:rPr>
            <w:rStyle w:val="a5"/>
            <w:color w:val="000000" w:themeColor="text1"/>
            <w:kern w:val="2"/>
            <w:sz w:val="16"/>
            <w:szCs w:val="16"/>
          </w:rPr>
          <w:t>[1]</w:t>
        </w:r>
      </w:hyperlink>
    </w:p>
    <w:p w14:paraId="422A1D3F" w14:textId="77777777" w:rsidR="00B25AF9" w:rsidRPr="002F2FDF" w:rsidRDefault="00B25AF9" w:rsidP="0083075A">
      <w:pPr>
        <w:pStyle w:val="rtejustify"/>
        <w:spacing w:before="0" w:after="0"/>
        <w:rPr>
          <w:color w:val="000000" w:themeColor="text1"/>
          <w:kern w:val="2"/>
          <w:sz w:val="16"/>
          <w:szCs w:val="16"/>
        </w:rPr>
      </w:pPr>
      <w:r w:rsidRPr="002F2FDF">
        <w:rPr>
          <w:color w:val="000000" w:themeColor="text1"/>
          <w:kern w:val="2"/>
          <w:sz w:val="16"/>
          <w:szCs w:val="16"/>
        </w:rPr>
        <w:t>В означенном ходатайстве указывается, что в настоящее время в России не существует ни одного вида торговли или промышленности, в котором в той или иной степени под давлением условий производительности и труда не были бы увеличены продажные цены на предметы производства торговли или поставок.</w:t>
      </w:r>
    </w:p>
    <w:p w14:paraId="64B0BFDE" w14:textId="77777777" w:rsidR="00B25AF9" w:rsidRPr="002F2FDF" w:rsidRDefault="00B25AF9" w:rsidP="0083075A">
      <w:pPr>
        <w:pStyle w:val="rtejustify"/>
        <w:spacing w:before="0" w:after="0"/>
        <w:rPr>
          <w:color w:val="000000" w:themeColor="text1"/>
          <w:kern w:val="2"/>
          <w:sz w:val="16"/>
          <w:szCs w:val="16"/>
        </w:rPr>
      </w:pPr>
      <w:r w:rsidRPr="002F2FDF">
        <w:rPr>
          <w:color w:val="000000" w:themeColor="text1"/>
          <w:kern w:val="2"/>
          <w:sz w:val="16"/>
          <w:szCs w:val="16"/>
        </w:rPr>
        <w:t>Исключением являются электрические предприятия, действующие на основании концессионных или частных договоров, заключенных до войны и определяющих предельные цены по трамвайным перевозкам и по снабжению потребителей электрической энергией.</w:t>
      </w:r>
    </w:p>
    <w:p w14:paraId="6BBD9A83" w14:textId="77777777" w:rsidR="00B25AF9" w:rsidRPr="002F2FDF" w:rsidRDefault="00B25AF9" w:rsidP="0083075A">
      <w:pPr>
        <w:pStyle w:val="rtejustify"/>
        <w:spacing w:before="0" w:after="0"/>
        <w:rPr>
          <w:color w:val="000000" w:themeColor="text1"/>
          <w:kern w:val="2"/>
          <w:sz w:val="16"/>
          <w:szCs w:val="16"/>
        </w:rPr>
      </w:pPr>
      <w:r w:rsidRPr="002F2FDF">
        <w:rPr>
          <w:color w:val="000000" w:themeColor="text1"/>
          <w:kern w:val="2"/>
          <w:sz w:val="16"/>
          <w:szCs w:val="16"/>
        </w:rPr>
        <w:t>Просьбы бельгийских обществ об увеличении тарифов, обращенные к городским управлениям, последними систематически отклоняются, но одновременно городские трамвайные предприятия в целом ряде городов (Петроград, Москва, Тифлис, Екатеринослав, Нахичевань, Николаев) свои тарифы увеличили в размере, значительно превышающем увеличение, о котором ходатайствуют общества.</w:t>
      </w:r>
    </w:p>
    <w:p w14:paraId="63DD7EE3" w14:textId="77777777" w:rsidR="00B25AF9" w:rsidRPr="002F2FDF" w:rsidRDefault="00B25AF9" w:rsidP="0083075A">
      <w:pPr>
        <w:pStyle w:val="rtejustify"/>
        <w:spacing w:before="0" w:after="0"/>
        <w:rPr>
          <w:color w:val="000000" w:themeColor="text1"/>
          <w:kern w:val="2"/>
          <w:sz w:val="16"/>
          <w:szCs w:val="16"/>
        </w:rPr>
      </w:pPr>
      <w:r w:rsidRPr="002F2FDF">
        <w:rPr>
          <w:color w:val="000000" w:themeColor="text1"/>
          <w:kern w:val="2"/>
          <w:sz w:val="16"/>
          <w:szCs w:val="16"/>
        </w:rPr>
        <w:t>Со своей стороны правление Союза электрических станций общественного пользования, исполняя постановление Всероссийского съезда союза. имевшего место в Москве 18 мая с. г., обратилось в Министерство торговли и промышленности с ходатайством о наискорейшем издании временного закона, коим всем электрическим станциям общественного пользования было бы разрешено увеличить впредь до отмены основные тарифные ставки в размере от 50 до 200%.</w:t>
      </w:r>
    </w:p>
    <w:p w14:paraId="4359A880" w14:textId="77777777" w:rsidR="00B25AF9" w:rsidRPr="002F2FDF" w:rsidRDefault="00B25AF9" w:rsidP="0083075A">
      <w:pPr>
        <w:pStyle w:val="rtejustify"/>
        <w:spacing w:before="0" w:after="0"/>
        <w:rPr>
          <w:color w:val="000000" w:themeColor="text1"/>
          <w:kern w:val="2"/>
          <w:sz w:val="16"/>
          <w:szCs w:val="16"/>
        </w:rPr>
      </w:pPr>
      <w:r w:rsidRPr="002F2FDF">
        <w:rPr>
          <w:color w:val="000000" w:themeColor="text1"/>
          <w:kern w:val="2"/>
          <w:sz w:val="16"/>
          <w:szCs w:val="16"/>
        </w:rPr>
        <w:t>Наконец, само Временное правительство признало необходимым повысить тарифы на железнодорожной сети и издало соответствующие распоряжения, изменяющие договорные цены по обязательствам между частными лицами и казной и городскими управлениями, касающимся предметов первой необходимости, напр[имер] угля.</w:t>
      </w:r>
    </w:p>
    <w:p w14:paraId="61A20EC4" w14:textId="77777777" w:rsidR="00B25AF9" w:rsidRPr="002F2FDF" w:rsidRDefault="00B25AF9" w:rsidP="0083075A">
      <w:pPr>
        <w:pStyle w:val="rtejustify"/>
        <w:spacing w:before="0" w:after="0"/>
        <w:rPr>
          <w:color w:val="000000" w:themeColor="text1"/>
          <w:kern w:val="2"/>
          <w:sz w:val="16"/>
          <w:szCs w:val="16"/>
        </w:rPr>
      </w:pPr>
      <w:r w:rsidRPr="002F2FDF">
        <w:rPr>
          <w:color w:val="000000" w:themeColor="text1"/>
          <w:kern w:val="2"/>
          <w:sz w:val="16"/>
          <w:szCs w:val="16"/>
        </w:rPr>
        <w:t>Таким образом, в том обстоятельстве, что городские управления, совершенно не считаясь с громадными затруднениями концессионеров, отклоняют просьбы бельгийских обществ об увеличении тарифов, нельзя не усмотреть того, что муниципалитеты видят в этих затруднениях благоприятный момент для отобрания предприятий на разорительных для бельгийских обществ условиях.</w:t>
      </w:r>
    </w:p>
    <w:p w14:paraId="211D4DFF" w14:textId="77777777" w:rsidR="00B25AF9" w:rsidRPr="002F2FDF" w:rsidRDefault="00B25AF9" w:rsidP="0083075A">
      <w:pPr>
        <w:pStyle w:val="rtejustify"/>
        <w:spacing w:before="0" w:after="0"/>
        <w:rPr>
          <w:color w:val="000000" w:themeColor="text1"/>
          <w:kern w:val="2"/>
          <w:sz w:val="16"/>
          <w:szCs w:val="16"/>
        </w:rPr>
      </w:pPr>
      <w:r w:rsidRPr="002F2FDF">
        <w:rPr>
          <w:color w:val="000000" w:themeColor="text1"/>
          <w:kern w:val="2"/>
          <w:sz w:val="16"/>
          <w:szCs w:val="16"/>
        </w:rPr>
        <w:t>Исключительные условия переживаемого времени, растущая дороговизна и экономические требования, беспрестанно предъявляемые со стороны рабочих и служащих, ставят в тем более критическое положение бельгийские общества, что, будучи отрезаны от своих правлений, находящихся в Бельгии, они фактически лишены всякой помощи и содействия последних.</w:t>
      </w:r>
    </w:p>
    <w:p w14:paraId="7C45EC7A" w14:textId="77777777" w:rsidR="00B25AF9" w:rsidRPr="002F2FDF" w:rsidRDefault="00B25AF9" w:rsidP="0083075A">
      <w:pPr>
        <w:pStyle w:val="rtejustify"/>
        <w:spacing w:before="0" w:after="0"/>
        <w:rPr>
          <w:color w:val="000000" w:themeColor="text1"/>
          <w:kern w:val="2"/>
          <w:sz w:val="16"/>
          <w:szCs w:val="16"/>
        </w:rPr>
      </w:pPr>
      <w:r w:rsidRPr="002F2FDF">
        <w:rPr>
          <w:color w:val="000000" w:themeColor="text1"/>
          <w:kern w:val="2"/>
          <w:sz w:val="16"/>
          <w:szCs w:val="16"/>
        </w:rPr>
        <w:t>В силу изложенного бельгийские общества ходатайствуют об издании временного закона, согласно которому:</w:t>
      </w:r>
    </w:p>
    <w:p w14:paraId="218DF10B" w14:textId="77777777" w:rsidR="00B25AF9" w:rsidRPr="002F2FDF" w:rsidRDefault="00B25AF9" w:rsidP="0083075A">
      <w:pPr>
        <w:pStyle w:val="rtejustify"/>
        <w:spacing w:before="0" w:after="0"/>
        <w:rPr>
          <w:color w:val="000000" w:themeColor="text1"/>
          <w:kern w:val="2"/>
          <w:sz w:val="16"/>
          <w:szCs w:val="16"/>
        </w:rPr>
      </w:pPr>
      <w:r w:rsidRPr="002F2FDF">
        <w:rPr>
          <w:color w:val="000000" w:themeColor="text1"/>
          <w:kern w:val="2"/>
          <w:sz w:val="16"/>
          <w:szCs w:val="16"/>
        </w:rPr>
        <w:t>1) трамвайные тарифы могли бы быть увеличены до 31 декабря 1918 г., но не более чем на 75%;</w:t>
      </w:r>
    </w:p>
    <w:p w14:paraId="5D64FC0D" w14:textId="77777777" w:rsidR="00B25AF9" w:rsidRPr="002F2FDF" w:rsidRDefault="00B25AF9" w:rsidP="0083075A">
      <w:pPr>
        <w:pStyle w:val="rtejustify"/>
        <w:spacing w:before="0" w:after="0"/>
        <w:rPr>
          <w:color w:val="000000" w:themeColor="text1"/>
          <w:kern w:val="2"/>
          <w:sz w:val="16"/>
          <w:szCs w:val="16"/>
        </w:rPr>
      </w:pPr>
      <w:r w:rsidRPr="002F2FDF">
        <w:rPr>
          <w:color w:val="000000" w:themeColor="text1"/>
          <w:kern w:val="2"/>
          <w:sz w:val="16"/>
          <w:szCs w:val="16"/>
        </w:rPr>
        <w:t>2) цены за отпуск электрической энергии могли бы быть увеличены до 31 декабря 1918 г. в размерах, указанных в прошении, поданном в Министерство торговли правлением Всероссийского съезда Союза электрических станций общественного пользования;</w:t>
      </w:r>
    </w:p>
    <w:p w14:paraId="06265C63" w14:textId="77777777" w:rsidR="00B25AF9" w:rsidRPr="002F2FDF" w:rsidRDefault="00B25AF9" w:rsidP="0083075A">
      <w:pPr>
        <w:pStyle w:val="rtejustify"/>
        <w:spacing w:before="0" w:after="0"/>
        <w:rPr>
          <w:color w:val="000000" w:themeColor="text1"/>
          <w:kern w:val="2"/>
          <w:sz w:val="16"/>
          <w:szCs w:val="16"/>
        </w:rPr>
      </w:pPr>
      <w:r w:rsidRPr="002F2FDF">
        <w:rPr>
          <w:color w:val="000000" w:themeColor="text1"/>
          <w:kern w:val="2"/>
          <w:sz w:val="16"/>
          <w:szCs w:val="16"/>
        </w:rPr>
        <w:t>3) прибыль, подлежащая выдаче в дивиденд, нормируется 6%;</w:t>
      </w:r>
    </w:p>
    <w:p w14:paraId="08B2F764" w14:textId="77777777" w:rsidR="00B25AF9" w:rsidRPr="002F2FDF" w:rsidRDefault="00B25AF9" w:rsidP="0083075A">
      <w:pPr>
        <w:pStyle w:val="rtejustify"/>
        <w:spacing w:before="0" w:after="0"/>
        <w:rPr>
          <w:color w:val="000000" w:themeColor="text1"/>
          <w:kern w:val="2"/>
          <w:sz w:val="16"/>
          <w:szCs w:val="16"/>
        </w:rPr>
      </w:pPr>
      <w:r w:rsidRPr="002F2FDF">
        <w:rPr>
          <w:color w:val="000000" w:themeColor="text1"/>
          <w:kern w:val="2"/>
          <w:sz w:val="16"/>
          <w:szCs w:val="16"/>
        </w:rPr>
        <w:t>4) излишек свыше 6% вносится в полное распоряжение казны.</w:t>
      </w:r>
    </w:p>
    <w:p w14:paraId="54C97E5C" w14:textId="77777777" w:rsidR="00B25AF9" w:rsidRPr="002F2FDF" w:rsidRDefault="00B25AF9" w:rsidP="0083075A">
      <w:pPr>
        <w:pStyle w:val="rtejustify"/>
        <w:spacing w:before="0" w:after="0"/>
        <w:rPr>
          <w:color w:val="000000" w:themeColor="text1"/>
          <w:kern w:val="2"/>
          <w:sz w:val="16"/>
          <w:szCs w:val="16"/>
        </w:rPr>
      </w:pPr>
      <w:r w:rsidRPr="002F2FDF">
        <w:rPr>
          <w:color w:val="000000" w:themeColor="text1"/>
          <w:kern w:val="2"/>
          <w:sz w:val="16"/>
          <w:szCs w:val="16"/>
        </w:rPr>
        <w:t>Рассмотрев ходатайство бельгийских обществ, поддержанное бельгийским посланником, Министерство иностранных дел считает долгом высказать по сему поводу следующие соображения.</w:t>
      </w:r>
    </w:p>
    <w:p w14:paraId="510170C1" w14:textId="77777777" w:rsidR="00B25AF9" w:rsidRPr="002F2FDF" w:rsidRDefault="00B25AF9" w:rsidP="0083075A">
      <w:pPr>
        <w:pStyle w:val="rtejustify"/>
        <w:spacing w:before="0" w:after="0"/>
        <w:rPr>
          <w:color w:val="000000" w:themeColor="text1"/>
          <w:kern w:val="2"/>
          <w:sz w:val="16"/>
          <w:szCs w:val="16"/>
        </w:rPr>
      </w:pPr>
      <w:r w:rsidRPr="002F2FDF">
        <w:rPr>
          <w:color w:val="000000" w:themeColor="text1"/>
          <w:kern w:val="2"/>
          <w:sz w:val="16"/>
          <w:szCs w:val="16"/>
        </w:rPr>
        <w:t>Предварительно обращения к правительству бельгийские общества ходатайствовали об обеспечении своих интересов непосредственно перед подлежащими городскими управлениями.</w:t>
      </w:r>
    </w:p>
    <w:p w14:paraId="3F4F7414" w14:textId="77777777" w:rsidR="00B25AF9" w:rsidRPr="002F2FDF" w:rsidRDefault="00B25AF9" w:rsidP="0083075A">
      <w:pPr>
        <w:pStyle w:val="rtejustify"/>
        <w:spacing w:before="0" w:after="0"/>
        <w:rPr>
          <w:color w:val="000000" w:themeColor="text1"/>
          <w:kern w:val="2"/>
          <w:sz w:val="16"/>
          <w:szCs w:val="16"/>
        </w:rPr>
      </w:pPr>
      <w:r w:rsidRPr="002F2FDF">
        <w:rPr>
          <w:color w:val="000000" w:themeColor="text1"/>
          <w:kern w:val="2"/>
          <w:sz w:val="16"/>
          <w:szCs w:val="16"/>
        </w:rPr>
        <w:t xml:space="preserve">Не вдаваясь в мотивы отказов, последовавших со стороны заинтересованных муниципалитетов, Министерство иностранных дел считает своим долгом отметить, что оно приняло в мае месяце участие в переговорах, которые имели место по поводу выкупа, вследствие окончания контракта Петроградским общественным управлением </w:t>
      </w:r>
      <w:r w:rsidRPr="002F2FDF">
        <w:rPr>
          <w:color w:val="000000" w:themeColor="text1"/>
          <w:kern w:val="2"/>
          <w:sz w:val="16"/>
          <w:szCs w:val="16"/>
        </w:rPr>
        <w:lastRenderedPageBreak/>
        <w:t>двух бельгийских обществ электрического освещения и сочло справедливым ввиду условий настоящего времени оказать поддержку бельгийским обществам, предложив бельгийскому правительству создать согласительную комиссию по делам ликвидации этих обществ.</w:t>
      </w:r>
    </w:p>
    <w:p w14:paraId="6625068B" w14:textId="77777777" w:rsidR="00B25AF9" w:rsidRPr="002F2FDF" w:rsidRDefault="00B25AF9" w:rsidP="0083075A">
      <w:pPr>
        <w:pStyle w:val="rtejustify"/>
        <w:spacing w:before="0" w:after="0"/>
        <w:rPr>
          <w:color w:val="000000" w:themeColor="text1"/>
          <w:kern w:val="2"/>
          <w:sz w:val="16"/>
          <w:szCs w:val="16"/>
        </w:rPr>
      </w:pPr>
      <w:r w:rsidRPr="002F2FDF">
        <w:rPr>
          <w:color w:val="000000" w:themeColor="text1"/>
          <w:kern w:val="2"/>
          <w:sz w:val="16"/>
          <w:szCs w:val="16"/>
        </w:rPr>
        <w:t>В настоящем же вопросе, касающемся столь крупных бельгийских капиталов, вложенных в русские предприятия, Министерство иностранных дел полагает необходимым урегулировать его мерой общего порядка.</w:t>
      </w:r>
    </w:p>
    <w:p w14:paraId="3578F630" w14:textId="77777777" w:rsidR="00B25AF9" w:rsidRPr="002F2FDF" w:rsidRDefault="00B25AF9" w:rsidP="0083075A">
      <w:pPr>
        <w:pStyle w:val="rtejustify"/>
        <w:spacing w:before="0" w:after="0"/>
        <w:rPr>
          <w:color w:val="000000" w:themeColor="text1"/>
          <w:kern w:val="2"/>
          <w:sz w:val="16"/>
          <w:szCs w:val="16"/>
        </w:rPr>
      </w:pPr>
      <w:r w:rsidRPr="002F2FDF">
        <w:rPr>
          <w:color w:val="000000" w:themeColor="text1"/>
          <w:kern w:val="2"/>
          <w:sz w:val="16"/>
          <w:szCs w:val="16"/>
        </w:rPr>
        <w:t>Не вдаваясь в детали пожеланий, выдвинутых бельгийскими обществами и имеющих быть разработанными ведомствами, более непосредственно заинтересованными, Министерство иностранных дел полагает, однако, необходимым высказать, что положение, в котором находится в настоящее время Бельгия, обязывает относиться с особой внимательностью к тем ее финансовым интересам, кои существуют в России и уберечь кои можно, не нарушая своих собственных.</w:t>
      </w:r>
    </w:p>
    <w:p w14:paraId="7C89544B" w14:textId="77777777" w:rsidR="00B25AF9" w:rsidRPr="002F2FDF" w:rsidRDefault="00B25AF9" w:rsidP="0083075A">
      <w:pPr>
        <w:pStyle w:val="rtejustify"/>
        <w:spacing w:before="0" w:after="0"/>
        <w:rPr>
          <w:color w:val="000000" w:themeColor="text1"/>
          <w:kern w:val="2"/>
          <w:sz w:val="16"/>
          <w:szCs w:val="16"/>
        </w:rPr>
      </w:pPr>
      <w:r w:rsidRPr="002F2FDF">
        <w:rPr>
          <w:color w:val="000000" w:themeColor="text1"/>
          <w:kern w:val="2"/>
          <w:sz w:val="16"/>
          <w:szCs w:val="16"/>
        </w:rPr>
        <w:t>Это совершенно необходимо так же, как и в целях привлечения в будущем в Россию иностранных капиталов, так как только при наличии законной охраны капиталам, уже работающим в России, можно надеяться на дальнейший приток заграничных капиталов в нашу промышленность и торговлю.</w:t>
      </w:r>
    </w:p>
    <w:p w14:paraId="3B73BEAD" w14:textId="77777777" w:rsidR="00B25AF9" w:rsidRPr="002F2FDF" w:rsidRDefault="00B25AF9" w:rsidP="0083075A">
      <w:pPr>
        <w:pStyle w:val="rtejustify"/>
        <w:spacing w:before="0" w:after="0"/>
        <w:rPr>
          <w:color w:val="000000" w:themeColor="text1"/>
          <w:kern w:val="2"/>
          <w:sz w:val="16"/>
          <w:szCs w:val="16"/>
        </w:rPr>
      </w:pPr>
      <w:r w:rsidRPr="002F2FDF">
        <w:rPr>
          <w:color w:val="000000" w:themeColor="text1"/>
          <w:kern w:val="2"/>
          <w:sz w:val="16"/>
          <w:szCs w:val="16"/>
        </w:rPr>
        <w:t>Вследствие вышеизложенного Министерство иностранных дел полагало бы желательным издание временного закона, согласно которому были бы охранены законные интересы указанных бельгийских обществ. Выработку такого закона министерство считало бы правильным поручить по принадлежности Министерству торговли и промышленности по соглашению с заинтересованными ведомствами.</w:t>
      </w:r>
    </w:p>
    <w:p w14:paraId="6266CF62" w14:textId="77777777" w:rsidR="00B25AF9" w:rsidRPr="002F2FDF" w:rsidRDefault="00B25AF9" w:rsidP="0083075A">
      <w:pPr>
        <w:pStyle w:val="rtejustify"/>
        <w:spacing w:before="0" w:after="0"/>
        <w:rPr>
          <w:color w:val="000000" w:themeColor="text1"/>
          <w:kern w:val="2"/>
          <w:sz w:val="16"/>
          <w:szCs w:val="16"/>
        </w:rPr>
      </w:pPr>
      <w:r w:rsidRPr="002F2FDF">
        <w:rPr>
          <w:color w:val="000000" w:themeColor="text1"/>
          <w:kern w:val="2"/>
          <w:sz w:val="16"/>
          <w:szCs w:val="16"/>
        </w:rPr>
        <w:t>Докладная записка общества при сем представляется.</w:t>
      </w:r>
    </w:p>
    <w:p w14:paraId="1D2EC8F5" w14:textId="77777777" w:rsidR="00B25AF9" w:rsidRPr="002F2FDF" w:rsidRDefault="00B25AF9"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Подписал министр иностранных дел М. И. Терещенко (15201).</w:t>
      </w:r>
    </w:p>
    <w:p w14:paraId="26E01721" w14:textId="77777777" w:rsidR="00B25AF9" w:rsidRPr="002F2FDF" w:rsidRDefault="00B25AF9"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2A04031E" w14:textId="77777777" w:rsidR="00642623" w:rsidRPr="002F2FDF" w:rsidRDefault="0064262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6F85FC6" w14:textId="77777777" w:rsidR="00642623" w:rsidRPr="002F2FDF" w:rsidRDefault="0064262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7F32E1" w14:textId="2F6680AB" w:rsidR="00642623" w:rsidRPr="002F2FDF" w:rsidRDefault="00642623" w:rsidP="0083075A">
      <w:pPr>
        <w:pStyle w:val="p1"/>
        <w:spacing w:before="0" w:beforeAutospacing="0" w:after="0" w:afterAutospacing="0"/>
        <w:jc w:val="both"/>
        <w:rPr>
          <w:color w:val="000000" w:themeColor="text1"/>
          <w:sz w:val="16"/>
          <w:szCs w:val="16"/>
        </w:rPr>
      </w:pPr>
      <w:r w:rsidRPr="002F2FDF">
        <w:rPr>
          <w:color w:val="000000" w:themeColor="text1"/>
          <w:sz w:val="16"/>
          <w:szCs w:val="16"/>
        </w:rPr>
        <w:t>24 июня (</w:t>
      </w:r>
      <w:r w:rsidR="00C45699">
        <w:rPr>
          <w:color w:val="000000" w:themeColor="text1"/>
          <w:sz w:val="16"/>
          <w:szCs w:val="16"/>
        </w:rPr>
        <w:t>7</w:t>
      </w:r>
      <w:r w:rsidRPr="002F2FDF">
        <w:rPr>
          <w:color w:val="000000" w:themeColor="text1"/>
          <w:sz w:val="16"/>
          <w:szCs w:val="16"/>
        </w:rPr>
        <w:t xml:space="preserve"> июля) 1917 г. ГАУ предписало остановить исполнение проекта строительства завода взрывателей в Воронеже, закончив лишь главное здание, и представить план ликвидации (в этот же момент ГАУ распорядилось закрыть в Воронеже трубочный завод товарищества «Столль»), но 4 августа Маниковский, в то время помощник военного министра, утвердил журнал Ликвидационной комиссии (общей) Покровского (заседание 31 июля), которая постановила продолжить постройку. 16 августа воронежская комиссия просила прикомандировать для железобетонных работ военнопленных, по мере их высвобождения, со стройки Пензенского трубочного завода, где они занимались такими же работами более года, и доставка их оттуда продолжалась до ноября (18409).</w:t>
      </w:r>
    </w:p>
    <w:p w14:paraId="77CFB6A1" w14:textId="77777777" w:rsidR="00642623" w:rsidRPr="002F2FDF" w:rsidRDefault="00642623" w:rsidP="0083075A">
      <w:pPr>
        <w:pStyle w:val="p1"/>
        <w:spacing w:before="0" w:beforeAutospacing="0" w:after="0" w:afterAutospacing="0"/>
        <w:jc w:val="both"/>
        <w:rPr>
          <w:color w:val="000000" w:themeColor="text1"/>
          <w:sz w:val="16"/>
          <w:szCs w:val="16"/>
        </w:rPr>
      </w:pPr>
    </w:p>
    <w:p w14:paraId="769E36F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EAFCB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16D8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июня (7 июля) 1917 наступавшие на Южном направлении корпуса 8-й русской армии под командованием генерала Корнилова прорвали австро-венгерский фронт и захватили большое количество пленных.</w:t>
      </w:r>
    </w:p>
    <w:p w14:paraId="6C7058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Наземным войскам очень активно помогала авиация. Взаимодействие наземных войск с авиацией, являвшееся слабым местом русских армий, продолжало развиваться и совершенствоваться опять же прежде всего на Юго-Западном фронте. В телеграмме инспектора авиации фронта, разосланной всем авиаотрядам во время боев летом 1917 г., говорилось, что на фронте 7-й и 11-й армий в период артиллерийской подготовки и первых дней наступления впервые русская авиация работала в полной тесной связи с артиллерией и наступающей пехотой и принесла неоценимую поддержку наземным родам оружия.</w:t>
      </w:r>
    </w:p>
    <w:p w14:paraId="2CEE77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Например, во время боя под Конюхами военный летчик 2-го артиллерийского авиаотряда 11-го дивизиона, входившего в состав 11-й армии, прапорщик Андреев вместе с летчиком-наблюдателем Ермоловым, выполняя боевое задание на самолете "Вуазен", обнаружили, что на одном из участков фронта идет горячий бой. Пехота противника вела наступление. Летчики по собственной инициативе решили обстрелять из пулемета германскую пехоту. Андреев, переведя машину в крутое пикирование, повел ее на наступающие колонны немцев. Стрельба велась с высоты 30-50 м. В первый заход летчик-наблюдатель, стоя в гондоле, выпустил три обоймы, во второй заход - еще несколько обойм.</w:t>
      </w:r>
    </w:p>
    <w:p w14:paraId="535B5F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Русская пехота, заметив смятение в рядах наступавших германских войск, пошла в контратаку и захватила первый оборонительный рубеж германцев.</w:t>
      </w:r>
    </w:p>
    <w:p w14:paraId="73765E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втором заходе аппарат был обстрелян из винтовок и пулеметов, в результате чего летчики стали ощущать тряску двигателя и были вынуждены вернуться на свой аэродром, расположенный у деревни Деница. Одна из бронебойных пуль попала в гайку крепления винта и там застряла. При осмотре самолета было обнаружено до 30 пробоин. Тем не менее, летчики сделали в этот день три боевых вылета, производя разведку и корректируя огонь артиллерии, в результате чего было уничтожено несколько германских батарей.</w:t>
      </w:r>
    </w:p>
    <w:p w14:paraId="1F220A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Воевавшие на русском Юго-Западном фронте в английском авиационном отряде летчики Смит, Аберкрамби и Невилл, повторили в районе Бржезан у деревни Подгайцы подобные атаки на самолетах "Сопвич" с пулеметами "Вик- керс", стрелявшими через винт (11999).</w:t>
      </w:r>
    </w:p>
    <w:p w14:paraId="77FF24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E19687" w14:textId="632AD307" w:rsidR="009E604C" w:rsidRPr="00FB4F67" w:rsidRDefault="009E604C" w:rsidP="0083075A">
      <w:pPr>
        <w:spacing w:after="0" w:line="240" w:lineRule="auto"/>
        <w:jc w:val="both"/>
        <w:rPr>
          <w:rFonts w:ascii="Times New Roman" w:hAnsi="Times New Roman" w:cs="Times New Roman"/>
          <w:color w:val="0070C0"/>
          <w:sz w:val="16"/>
          <w:szCs w:val="16"/>
        </w:rPr>
      </w:pPr>
      <w:bookmarkStart w:id="180" w:name="bookmark842"/>
      <w:r>
        <w:rPr>
          <w:rFonts w:ascii="Times New Roman" w:hAnsi="Times New Roman" w:cs="Times New Roman"/>
          <w:color w:val="0070C0"/>
          <w:sz w:val="16"/>
          <w:szCs w:val="16"/>
        </w:rPr>
        <w:t>24 июня (</w:t>
      </w:r>
      <w:r w:rsidRPr="00FB4F67">
        <w:rPr>
          <w:rFonts w:ascii="Times New Roman" w:hAnsi="Times New Roman" w:cs="Times New Roman"/>
          <w:color w:val="0070C0"/>
          <w:sz w:val="16"/>
          <w:szCs w:val="16"/>
        </w:rPr>
        <w:t>7 июля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наши летчики уничтожили в районе Пресовце (Тарнопольская губ.) германский самолет</w:t>
      </w:r>
      <w:hyperlink w:anchor="bookmark1885" w:tooltip="Current Document"/>
      <w:r w:rsidRPr="00FB4F67">
        <w:rPr>
          <w:rFonts w:ascii="Times New Roman" w:hAnsi="Times New Roman" w:cs="Times New Roman"/>
          <w:color w:val="0070C0"/>
          <w:sz w:val="16"/>
          <w:szCs w:val="16"/>
        </w:rPr>
        <w:t xml:space="preserve"> (23405).</w:t>
      </w:r>
      <w:bookmarkEnd w:id="180"/>
    </w:p>
    <w:p w14:paraId="7E587E46" w14:textId="77777777" w:rsidR="009E604C" w:rsidRPr="00FB4F67" w:rsidRDefault="009E604C" w:rsidP="0083075A">
      <w:pPr>
        <w:spacing w:after="0" w:line="240" w:lineRule="auto"/>
        <w:jc w:val="both"/>
        <w:rPr>
          <w:rFonts w:ascii="Times New Roman" w:hAnsi="Times New Roman" w:cs="Times New Roman"/>
          <w:color w:val="0070C0"/>
          <w:sz w:val="16"/>
          <w:szCs w:val="16"/>
        </w:rPr>
      </w:pPr>
    </w:p>
    <w:p w14:paraId="123B284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285C7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E5F70B" w14:textId="33322971" w:rsidR="00091580" w:rsidRPr="002F2FDF" w:rsidRDefault="00091580" w:rsidP="0083075A">
      <w:pPr>
        <w:spacing w:after="0" w:line="240" w:lineRule="auto"/>
        <w:jc w:val="both"/>
        <w:rPr>
          <w:rFonts w:ascii="Times New Roman" w:hAnsi="Times New Roman" w:cs="Times New Roman"/>
          <w:color w:val="000000" w:themeColor="text1"/>
          <w:sz w:val="16"/>
          <w:szCs w:val="16"/>
        </w:rPr>
      </w:pPr>
      <w:bookmarkStart w:id="181" w:name="_Hlk53221313"/>
      <w:r w:rsidRPr="002F2FDF">
        <w:rPr>
          <w:rFonts w:ascii="Times New Roman" w:hAnsi="Times New Roman" w:cs="Times New Roman"/>
          <w:color w:val="000000" w:themeColor="text1"/>
          <w:sz w:val="16"/>
          <w:szCs w:val="16"/>
        </w:rPr>
        <w:t xml:space="preserve">24 июня (7 июля) 1917 г. заводской летчик-испытатель Карл Кригер выполнил на самолете Лёнер Тип А (Dr I) первый полет с заводского аэродрома. Уже в первом полете были выявлены значительные недостатки конструкции и 8 июля самолет вернули в цех для доработок.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Хотя в ряде источников указано, что доработки были незначительными, но завершены они были только примерно через месяц – в августе 1917 г., хотя обострение обстановки и на Итальянском, и на Галицийском фронтах требовали срочной модернизации истребительной авиации Австро-Венгрии.  В первой половине августа 1917 г. ЗИ самолета были возобновлены. Хотя К. Кригер дал самолету высокую оценку, в целом результаты испытаний оказались неудовлетворительными и самолет не получил требуемого прироста скорости по сравнению с бипланами Тип А в последних вариантах (23143)</w:t>
      </w:r>
    </w:p>
    <w:p w14:paraId="52433810"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p>
    <w:bookmarkEnd w:id="181"/>
    <w:p w14:paraId="77CA9A32"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24 июня (7 июля) 1917 днем 22 немецких бомбардировщика Gotha G.IV совершают четвертую атаку на Соединенное Королевство в ходе операции Türkenkreuz, в результате чего погибли от 57 до 65 человек и получили ранения от 193 до 245 человек (источники различаются по количеству жертв). Британские самолеты совершили 100 боевых вылетов на перехват немецких бомбардировщиков, сбив один и повредив три других; бомбардировщики сбили два перехватывающих британских самолета (20341).</w:t>
      </w:r>
    </w:p>
    <w:p w14:paraId="328A6EF2"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p>
    <w:p w14:paraId="61451A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июня (7 июля) 1917 погода позволила повторить налет на Лондон. Он был еще более мощным: даже главный телеграф получил тяжелое повреждение (11282).</w:t>
      </w:r>
    </w:p>
    <w:p w14:paraId="332310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2DCB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июня (7 июля) 1917 Лондон вновь бомбили 24 "Гота", которые сбросили в общей сложности 4 т бомб. Это был второй групповой налет германской авиации на британскую столицу. На этот раз им пришлось натолкнуться на противовоздушную оборону британской столицы, состоящую из эскадрильи истребителей. В результате 5 гигантов не вернулись на базу. В Лондоне после налета было 57 убитых и 1913 раненых.</w:t>
      </w:r>
    </w:p>
    <w:p w14:paraId="6EE5CD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Прибывшие с Западного фронта эскадрильи около трех недель несли сторожевую службу в небе Англии. Однако за весь этот период по случаю плохой погоды налетов германских бомбардировщиков не было. 6 июля, согласно предварительной договоренности генерал Дуглас Хэйг отозвал прибывшие из Франции для защиты городов Англии две эскадрильи истребителей и вновь отправил их на Западный фронт. По странной иронии судьбы на следующий же день наступила ясная погода. </w:t>
      </w:r>
    </w:p>
    <w:p w14:paraId="00FE82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Ллойд Джордж: "На следующий день погода была хорошей и ясной, и рано утром целая эскадра германских аэропланов появилась над центральной частью Лондона и сбросила огромное количество бомб на Сити и на южный берег Темзы, убила и ранила множество народа и причинила нам большой материальный ущерб. Ист-Энд, которому пришлось перенести всю тяжесть этого налета, был охвачен паникой. Паника росла с каждым днем. При первых же слухах о приближении аэропланов мужчины, женщины и дети устремлялись в туннели метро. В ясную погоду каждую ночь дороги и пригороды были черны от беженцев из столицы. Надо отметить, что страх перед беспощадным небом не вырвал у населения ни одной жалобы, ни одной мольбы о мире. Напротив, эти налеты только ожесточили население пораженных городов и вызвали энергичные призывы к возмездию" .</w:t>
      </w:r>
    </w:p>
    <w:p w14:paraId="3ED8F3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с мая месяца германские авиаторы провели семь (только два из них групповых) воздушных нападений на Лондон. Однако они оказались для англичан очень чувствительными (11999).</w:t>
      </w:r>
    </w:p>
    <w:p w14:paraId="23F3EC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D1CDB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ECDEE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55AC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25-27 июня (8-10 июля) 1917 по результатам испытаний двухмоторного биплана двухбалочной схемы "Анадва" (Хиони-4) Техком УВВФ признал его "одним из лучших больших аппаратов, которыми располагает русская авиация" (237,129).</w:t>
      </w:r>
    </w:p>
    <w:p w14:paraId="2ABC60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Это была двухвостка с 2хСальмсон 150 нр с полезной нагрузкой 680 кг. испытывали две комиссии: от УВВС и Эскадры воздушных кораблей (3646).</w:t>
      </w:r>
    </w:p>
    <w:p w14:paraId="17D749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другим данным это было 18 июля 1917, но на самом деле в этот день Техком УВВФ рассмотрел материалы испытаний и признал Хиони-4 "одним из лучших больших аппаратов, которыми располагает русская авиация" (3646).</w:t>
      </w:r>
    </w:p>
    <w:p w14:paraId="391E8D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20846A" w14:textId="0189C446"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25-27</w:t>
      </w:r>
      <w:r w:rsidR="00C53D87" w:rsidRPr="002F2FDF">
        <w:rPr>
          <w:rFonts w:ascii="Times New Roman" w:hAnsi="Times New Roman" w:cs="Times New Roman"/>
          <w:color w:val="000000" w:themeColor="text1"/>
          <w:kern w:val="2"/>
          <w:sz w:val="16"/>
          <w:szCs w:val="16"/>
        </w:rPr>
        <w:t xml:space="preserve"> (8-10 июля)</w:t>
      </w:r>
      <w:r w:rsidRPr="002F2FDF">
        <w:rPr>
          <w:rFonts w:ascii="Times New Roman" w:hAnsi="Times New Roman" w:cs="Times New Roman"/>
          <w:color w:val="000000" w:themeColor="text1"/>
          <w:kern w:val="2"/>
          <w:sz w:val="16"/>
          <w:szCs w:val="16"/>
        </w:rPr>
        <w:t xml:space="preserve"> июня 1917 в Одессе испытывался новый двухмоторный самолет "Анадва” (Хиони-А), построенный зоводом Анатра по проекту летчика-конструктора В.Н.Хиони, "Анадва" - биплан двухбалочной схемы ("двухвостка") с двигателями "Сальмсон" по 150 л.с., полезной нагрузкой 680 кг , скоростью полета 140 км/час. Испытания проводились двумя комиссиями - от УВВФ и от Эскадры воздушных кораблей. 18 июля Технический комитет УВВФ, рассмотрев материалы этих комиссий, признал самолет Хиони "одним из лучших больших аппаратов, которыми располагает русская авиация". (ЦГВИА. ф.493, оп. 10, д.117, л.331).</w:t>
      </w:r>
    </w:p>
    <w:p w14:paraId="4E84B97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A15195" w14:textId="77777777" w:rsidR="001C52E7" w:rsidRDefault="001C52E7"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2</w:t>
      </w:r>
      <w:r>
        <w:rPr>
          <w:rFonts w:ascii="Times New Roman" w:hAnsi="Times New Roman" w:cs="Times New Roman"/>
          <w:color w:val="0070C0"/>
          <w:sz w:val="16"/>
          <w:szCs w:val="16"/>
        </w:rPr>
        <w:t>5</w:t>
      </w:r>
      <w:r w:rsidRPr="00815ED5">
        <w:rPr>
          <w:rFonts w:ascii="Times New Roman" w:hAnsi="Times New Roman" w:cs="Times New Roman"/>
          <w:color w:val="0070C0"/>
          <w:sz w:val="16"/>
          <w:szCs w:val="16"/>
        </w:rPr>
        <w:t xml:space="preserve">-27 </w:t>
      </w:r>
      <w:r>
        <w:rPr>
          <w:rFonts w:ascii="Times New Roman" w:hAnsi="Times New Roman" w:cs="Times New Roman"/>
          <w:color w:val="0070C0"/>
          <w:sz w:val="16"/>
          <w:szCs w:val="16"/>
        </w:rPr>
        <w:t>июня (8-10 июля) 1917 г. в</w:t>
      </w:r>
      <w:r w:rsidRPr="00815ED5">
        <w:rPr>
          <w:rFonts w:ascii="Times New Roman" w:hAnsi="Times New Roman" w:cs="Times New Roman"/>
          <w:color w:val="0070C0"/>
          <w:sz w:val="16"/>
          <w:szCs w:val="16"/>
        </w:rPr>
        <w:t xml:space="preserve"> Одессе испытывался новый двухмоторный самолет "Анад</w:t>
      </w: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а» /</w:t>
      </w:r>
      <w:r>
        <w:rPr>
          <w:rFonts w:ascii="Times New Roman" w:hAnsi="Times New Roman" w:cs="Times New Roman"/>
          <w:color w:val="0070C0"/>
          <w:sz w:val="16"/>
          <w:szCs w:val="16"/>
        </w:rPr>
        <w:t>Х</w:t>
      </w:r>
      <w:r w:rsidRPr="00815ED5">
        <w:rPr>
          <w:rFonts w:ascii="Times New Roman" w:hAnsi="Times New Roman" w:cs="Times New Roman"/>
          <w:color w:val="0070C0"/>
          <w:sz w:val="16"/>
          <w:szCs w:val="16"/>
        </w:rPr>
        <w:t>иони-4/,</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построенный заводом </w:t>
      </w:r>
      <w:r>
        <w:rPr>
          <w:rFonts w:ascii="Times New Roman" w:hAnsi="Times New Roman" w:cs="Times New Roman"/>
          <w:color w:val="0070C0"/>
          <w:sz w:val="16"/>
          <w:szCs w:val="16"/>
        </w:rPr>
        <w:t>А</w:t>
      </w:r>
      <w:r w:rsidRPr="00815ED5">
        <w:rPr>
          <w:rFonts w:ascii="Times New Roman" w:hAnsi="Times New Roman" w:cs="Times New Roman"/>
          <w:color w:val="0070C0"/>
          <w:sz w:val="16"/>
          <w:szCs w:val="16"/>
        </w:rPr>
        <w:t>натра по проекту летчика-кон</w:t>
      </w:r>
      <w:r w:rsidRPr="00815ED5">
        <w:rPr>
          <w:rFonts w:ascii="Times New Roman" w:hAnsi="Times New Roman" w:cs="Times New Roman"/>
          <w:color w:val="0070C0"/>
          <w:sz w:val="16"/>
          <w:szCs w:val="16"/>
        </w:rPr>
        <w:softHyphen/>
        <w:t>структора Я.П.Хиони,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Анидна» - биплан двухбалочной схемы /</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двухво</w:t>
      </w:r>
      <w:r w:rsidRPr="00815ED5">
        <w:rPr>
          <w:rFonts w:ascii="Times New Roman" w:hAnsi="Times New Roman" w:cs="Times New Roman"/>
          <w:color w:val="0070C0"/>
          <w:sz w:val="16"/>
          <w:szCs w:val="16"/>
        </w:rPr>
        <w:softHyphen/>
        <w:t xml:space="preserve">стка»/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 xml:space="preserve"> моторами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альмсон по 1</w:t>
      </w:r>
      <w:r>
        <w:rPr>
          <w:rFonts w:ascii="Times New Roman" w:hAnsi="Times New Roman" w:cs="Times New Roman"/>
          <w:color w:val="0070C0"/>
          <w:sz w:val="16"/>
          <w:szCs w:val="16"/>
        </w:rPr>
        <w:t>50</w:t>
      </w:r>
      <w:r w:rsidRPr="00815ED5">
        <w:rPr>
          <w:rFonts w:ascii="Times New Roman" w:hAnsi="Times New Roman" w:cs="Times New Roman"/>
          <w:color w:val="0070C0"/>
          <w:sz w:val="16"/>
          <w:szCs w:val="16"/>
        </w:rPr>
        <w:t xml:space="preserve"> л.</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полезной нагрузкой 6</w:t>
      </w:r>
      <w:r>
        <w:rPr>
          <w:rFonts w:ascii="Times New Roman" w:hAnsi="Times New Roman" w:cs="Times New Roman"/>
          <w:color w:val="0070C0"/>
          <w:sz w:val="16"/>
          <w:szCs w:val="16"/>
        </w:rPr>
        <w:t>50</w:t>
      </w:r>
      <w:r w:rsidRPr="00815ED5">
        <w:rPr>
          <w:rFonts w:ascii="Times New Roman" w:hAnsi="Times New Roman" w:cs="Times New Roman"/>
          <w:color w:val="0070C0"/>
          <w:sz w:val="16"/>
          <w:szCs w:val="16"/>
        </w:rPr>
        <w:t xml:space="preserve"> кг, скоростью полота 140 км/час.</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Испытания проводились двумя комиссиями от УВ</w:t>
      </w:r>
      <w:r>
        <w:rPr>
          <w:rFonts w:ascii="Times New Roman" w:hAnsi="Times New Roman" w:cs="Times New Roman"/>
          <w:color w:val="0070C0"/>
          <w:sz w:val="16"/>
          <w:szCs w:val="16"/>
        </w:rPr>
        <w:t>ВС</w:t>
      </w:r>
      <w:r w:rsidRPr="00815ED5">
        <w:rPr>
          <w:rFonts w:ascii="Times New Roman" w:hAnsi="Times New Roman" w:cs="Times New Roman"/>
          <w:color w:val="0070C0"/>
          <w:sz w:val="16"/>
          <w:szCs w:val="16"/>
        </w:rPr>
        <w:t xml:space="preserve"> и от </w:t>
      </w:r>
      <w:r>
        <w:rPr>
          <w:rFonts w:ascii="Times New Roman" w:hAnsi="Times New Roman" w:cs="Times New Roman"/>
          <w:color w:val="0070C0"/>
          <w:sz w:val="16"/>
          <w:szCs w:val="16"/>
        </w:rPr>
        <w:t>э</w:t>
      </w:r>
      <w:r w:rsidRPr="00815ED5">
        <w:rPr>
          <w:rFonts w:ascii="Times New Roman" w:hAnsi="Times New Roman" w:cs="Times New Roman"/>
          <w:color w:val="0070C0"/>
          <w:sz w:val="16"/>
          <w:szCs w:val="16"/>
        </w:rPr>
        <w:t>окадры воздушных кораблей. 18-го июля технический комитет У</w:t>
      </w:r>
      <w:r>
        <w:rPr>
          <w:rFonts w:ascii="Times New Roman" w:hAnsi="Times New Roman" w:cs="Times New Roman"/>
          <w:color w:val="0070C0"/>
          <w:sz w:val="16"/>
          <w:szCs w:val="16"/>
        </w:rPr>
        <w:t>ВВФ</w:t>
      </w:r>
      <w:r w:rsidRPr="00815ED5">
        <w:rPr>
          <w:rFonts w:ascii="Times New Roman" w:hAnsi="Times New Roman" w:cs="Times New Roman"/>
          <w:color w:val="0070C0"/>
          <w:sz w:val="16"/>
          <w:szCs w:val="16"/>
        </w:rPr>
        <w:t xml:space="preserve">, рассмотрев материалы </w:t>
      </w:r>
      <w:r>
        <w:rPr>
          <w:rFonts w:ascii="Times New Roman" w:hAnsi="Times New Roman" w:cs="Times New Roman"/>
          <w:color w:val="0070C0"/>
          <w:sz w:val="16"/>
          <w:szCs w:val="16"/>
        </w:rPr>
        <w:t>э</w:t>
      </w:r>
      <w:r w:rsidRPr="00815ED5">
        <w:rPr>
          <w:rFonts w:ascii="Times New Roman" w:hAnsi="Times New Roman" w:cs="Times New Roman"/>
          <w:color w:val="0070C0"/>
          <w:sz w:val="16"/>
          <w:szCs w:val="16"/>
        </w:rPr>
        <w:t xml:space="preserve">тих комиссии, приз нал самолет </w:t>
      </w:r>
      <w:r>
        <w:rPr>
          <w:rFonts w:ascii="Times New Roman" w:hAnsi="Times New Roman" w:cs="Times New Roman"/>
          <w:color w:val="0070C0"/>
          <w:sz w:val="16"/>
          <w:szCs w:val="16"/>
        </w:rPr>
        <w:t>Х</w:t>
      </w:r>
      <w:r w:rsidRPr="00815ED5">
        <w:rPr>
          <w:rFonts w:ascii="Times New Roman" w:hAnsi="Times New Roman" w:cs="Times New Roman"/>
          <w:color w:val="0070C0"/>
          <w:sz w:val="16"/>
          <w:szCs w:val="16"/>
        </w:rPr>
        <w:t>иони «одним из лучших больших аппаратов,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которыми располагает русская авиация».</w:t>
      </w:r>
    </w:p>
    <w:p w14:paraId="79C3ACB9" w14:textId="77777777" w:rsidR="001C52E7" w:rsidRPr="00815ED5" w:rsidRDefault="001C52E7"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Ц</w:t>
      </w:r>
      <w:r w:rsidRPr="00815ED5">
        <w:rPr>
          <w:rFonts w:ascii="Times New Roman" w:hAnsi="Times New Roman" w:cs="Times New Roman"/>
          <w:color w:val="0070C0"/>
          <w:sz w:val="16"/>
          <w:szCs w:val="16"/>
        </w:rPr>
        <w:t>ГВИ</w:t>
      </w:r>
      <w:r>
        <w:rPr>
          <w:rFonts w:ascii="Times New Roman" w:hAnsi="Times New Roman" w:cs="Times New Roman"/>
          <w:color w:val="0070C0"/>
          <w:sz w:val="16"/>
          <w:szCs w:val="16"/>
        </w:rPr>
        <w:t>А</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ф</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403, оп. 10,</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117, л</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331/</w:t>
      </w:r>
      <w:r>
        <w:rPr>
          <w:rFonts w:ascii="Times New Roman" w:hAnsi="Times New Roman" w:cs="Times New Roman"/>
          <w:color w:val="0070C0"/>
          <w:sz w:val="16"/>
          <w:szCs w:val="16"/>
        </w:rPr>
        <w:t xml:space="preserve"> (23320)</w:t>
      </w:r>
    </w:p>
    <w:p w14:paraId="62C62F1D" w14:textId="77777777" w:rsidR="001C52E7" w:rsidRDefault="001C52E7" w:rsidP="0083075A">
      <w:pPr>
        <w:spacing w:after="0" w:line="240" w:lineRule="auto"/>
        <w:jc w:val="both"/>
        <w:rPr>
          <w:rFonts w:ascii="Times New Roman" w:hAnsi="Times New Roman" w:cs="Times New Roman"/>
          <w:color w:val="0070C0"/>
          <w:sz w:val="16"/>
          <w:szCs w:val="16"/>
        </w:rPr>
      </w:pPr>
    </w:p>
    <w:p w14:paraId="54CCC83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июня (8 июля) 1917 г. в докладной начальника 8-го отделения Управления Военного воздушного флота Военному министру (Доклады военному министру, в Военный Совет и главному началь</w:t>
      </w:r>
      <w:r w:rsidRPr="002F2FDF">
        <w:rPr>
          <w:rFonts w:ascii="Times New Roman" w:hAnsi="Times New Roman" w:cs="Times New Roman"/>
          <w:color w:val="000000" w:themeColor="text1"/>
          <w:kern w:val="2"/>
          <w:sz w:val="16"/>
          <w:szCs w:val="16"/>
        </w:rPr>
        <w:softHyphen/>
        <w:t>нику снабжения о мероприятиях по организации завода авиацион</w:t>
      </w:r>
      <w:r w:rsidRPr="002F2FDF">
        <w:rPr>
          <w:rFonts w:ascii="Times New Roman" w:hAnsi="Times New Roman" w:cs="Times New Roman"/>
          <w:color w:val="000000" w:themeColor="text1"/>
          <w:kern w:val="2"/>
          <w:sz w:val="16"/>
          <w:szCs w:val="16"/>
        </w:rPr>
        <w:softHyphen/>
        <w:t>ных измерительных приборов, комплектовании его рабочей силой и предоставлении заказов по" изготовлению измерительных при</w:t>
      </w:r>
      <w:r w:rsidRPr="002F2FDF">
        <w:rPr>
          <w:rFonts w:ascii="Times New Roman" w:hAnsi="Times New Roman" w:cs="Times New Roman"/>
          <w:color w:val="000000" w:themeColor="text1"/>
          <w:kern w:val="2"/>
          <w:sz w:val="16"/>
          <w:szCs w:val="16"/>
        </w:rPr>
        <w:softHyphen/>
        <w:t>боров. Отчеты о состоянии технической и научно-технической части завода. 25 июня - 23 августа 1917 г. - ЦГВИА, ф.493, оп.9, ед. хр.81.) сказано, что открытие первой очереди завода Авиаприбор запланировано на середину июля 1917 г., в связи с чем необходимо решить вопрос о назначении руководителя этого предприятия: "... представляется необ</w:t>
      </w:r>
      <w:r w:rsidRPr="002F2FDF">
        <w:rPr>
          <w:rFonts w:ascii="Times New Roman" w:hAnsi="Times New Roman" w:cs="Times New Roman"/>
          <w:color w:val="000000" w:themeColor="text1"/>
          <w:kern w:val="2"/>
          <w:sz w:val="16"/>
          <w:szCs w:val="16"/>
        </w:rPr>
        <w:softHyphen/>
        <w:t>ходимым теперь же назначить для временного заведования этим отде</w:t>
      </w:r>
      <w:r w:rsidRPr="002F2FDF">
        <w:rPr>
          <w:rFonts w:ascii="Times New Roman" w:hAnsi="Times New Roman" w:cs="Times New Roman"/>
          <w:color w:val="000000" w:themeColor="text1"/>
          <w:kern w:val="2"/>
          <w:sz w:val="16"/>
          <w:szCs w:val="16"/>
        </w:rPr>
        <w:softHyphen/>
        <w:t>лением /первой очередью завода / лицо с из</w:t>
      </w:r>
      <w:r w:rsidRPr="002F2FDF">
        <w:rPr>
          <w:rFonts w:ascii="Times New Roman" w:hAnsi="Times New Roman" w:cs="Times New Roman"/>
          <w:color w:val="000000" w:themeColor="text1"/>
          <w:kern w:val="2"/>
          <w:sz w:val="16"/>
          <w:szCs w:val="16"/>
        </w:rPr>
        <w:softHyphen/>
        <w:t>вестными полномочиями, поручив ему попутно вести организацию все</w:t>
      </w:r>
      <w:r w:rsidRPr="002F2FDF">
        <w:rPr>
          <w:rFonts w:ascii="Times New Roman" w:hAnsi="Times New Roman" w:cs="Times New Roman"/>
          <w:color w:val="000000" w:themeColor="text1"/>
          <w:kern w:val="2"/>
          <w:sz w:val="16"/>
          <w:szCs w:val="16"/>
        </w:rPr>
        <w:softHyphen/>
        <w:t>го завода с расчетом, что с 1-го января 1918 г. завод в полном объеме будет пущен в ход. Вследствие сего полагал бы поручить временное заведование вновь открываемым отделением магистранту чистой и прикладной математики Петроградского университета летчику-наблюдателю прапор</w:t>
      </w:r>
      <w:r w:rsidRPr="002F2FDF">
        <w:rPr>
          <w:rFonts w:ascii="Times New Roman" w:hAnsi="Times New Roman" w:cs="Times New Roman"/>
          <w:color w:val="000000" w:themeColor="text1"/>
          <w:kern w:val="2"/>
          <w:sz w:val="16"/>
          <w:szCs w:val="16"/>
        </w:rPr>
        <w:softHyphen/>
        <w:t>щику Фридману" (11077).</w:t>
      </w:r>
    </w:p>
    <w:p w14:paraId="4F2A2E6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436E14" w14:textId="144D3CB7" w:rsidR="007325A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5E2B960" w14:textId="77777777" w:rsidR="007325A2" w:rsidRPr="002F2FDF" w:rsidRDefault="007325A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EE75FB" w14:textId="77777777" w:rsidR="007325A2" w:rsidRPr="002F2FDF" w:rsidRDefault="007325A2" w:rsidP="0083075A">
      <w:pPr>
        <w:pStyle w:val="ae"/>
        <w:spacing w:before="0" w:after="0"/>
        <w:jc w:val="both"/>
        <w:rPr>
          <w:color w:val="000000" w:themeColor="text1"/>
          <w:kern w:val="2"/>
          <w:sz w:val="16"/>
          <w:szCs w:val="16"/>
        </w:rPr>
      </w:pPr>
      <w:r w:rsidRPr="002F2FDF">
        <w:rPr>
          <w:color w:val="000000" w:themeColor="text1"/>
          <w:kern w:val="2"/>
          <w:sz w:val="16"/>
          <w:szCs w:val="16"/>
        </w:rPr>
        <w:t>25 июня (8 июля) 1917 Временное правительство издало постановление о создании «Комиссий о дезертирах, «белобилетниках» и отсрочках» в целях мобилизации в армию свежих подкреплений и борьбы с дезертирами. Но на практике выполнять его получалось далеко не везде. Эффект давали лишь облавы на дезертиров, проводившиеся по городам силами верных Временному правительству полков (17045).</w:t>
      </w:r>
    </w:p>
    <w:p w14:paraId="583123C8" w14:textId="77777777" w:rsidR="007325A2" w:rsidRPr="002F2FDF" w:rsidRDefault="007325A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36846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68227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3624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июня (8 июля) 1917 в Скапа-Флоу взорвался британский военный корабли Авангард и погибло 804 чел. (3481).</w:t>
      </w:r>
    </w:p>
    <w:p w14:paraId="0A1695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63270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9DCA8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2A03F9"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июня (9 июля) в 1917 году в Москве создан завод «Авиаприбор» - первое советское предприятие авиаприборостроения (сейчас Корпорация «Фазотрон» - НИИР, Россия). С 1942 г. работает в области радиолокации, с 1962 г. - институт, с 1969 г. - производственное объединение. Акционировалось в 1993 г. Сейчас носит название ОАО Корпорация «Фазотрон-НИИР». Сегодня «Фазотрон-НИИР» - лидер разработки и производитель радаров и радиолокационных систем управления вооружением различного типа самолетов и вертолетов, а также ракетно-пушечных, наземных и корабельных комплексов ПВО, средств отображения информации о состоянии систем космического корабля и космонавтов, метеорадаров и продукции гражданского назначения (14947).</w:t>
      </w:r>
    </w:p>
    <w:p w14:paraId="23E76471"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p w14:paraId="7F04F5A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26 июня </w:t>
      </w:r>
      <w:r w:rsidR="00BA5C59" w:rsidRPr="002F2FDF">
        <w:rPr>
          <w:rFonts w:ascii="Times New Roman" w:hAnsi="Times New Roman" w:cs="Times New Roman"/>
          <w:color w:val="000000" w:themeColor="text1"/>
          <w:kern w:val="2"/>
          <w:sz w:val="16"/>
          <w:szCs w:val="16"/>
        </w:rPr>
        <w:t xml:space="preserve">(9 июля) </w:t>
      </w:r>
      <w:r w:rsidRPr="002F2FDF">
        <w:rPr>
          <w:rFonts w:ascii="Times New Roman" w:hAnsi="Times New Roman" w:cs="Times New Roman"/>
          <w:color w:val="000000" w:themeColor="text1"/>
          <w:kern w:val="2"/>
          <w:sz w:val="16"/>
          <w:szCs w:val="16"/>
        </w:rPr>
        <w:t>1917 г. приказом Военного Министра заведующим Первым отделением был назначен магистр чистое и прикладной математики "Петро</w:t>
      </w:r>
      <w:r w:rsidRPr="002F2FDF">
        <w:rPr>
          <w:rFonts w:ascii="Times New Roman" w:hAnsi="Times New Roman" w:cs="Times New Roman"/>
          <w:color w:val="000000" w:themeColor="text1"/>
          <w:kern w:val="2"/>
          <w:sz w:val="16"/>
          <w:szCs w:val="16"/>
        </w:rPr>
        <w:softHyphen/>
        <w:t>градского Университета, лётчик-наблюдатель прапорщик А.А.Фридман. В соответствии с этим же приказом, работа Первого отделения по иссле</w:t>
      </w:r>
      <w:r w:rsidRPr="002F2FDF">
        <w:rPr>
          <w:rFonts w:ascii="Times New Roman" w:hAnsi="Times New Roman" w:cs="Times New Roman"/>
          <w:color w:val="000000" w:themeColor="text1"/>
          <w:kern w:val="2"/>
          <w:sz w:val="16"/>
          <w:szCs w:val="16"/>
        </w:rPr>
        <w:softHyphen/>
        <w:t>дованию, конструированию и ремонту приборов была начата в июле 1917 г</w:t>
      </w:r>
    </w:p>
    <w:p w14:paraId="7C4FEC4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Какие же -задачи ставились перед заводом? Один из -инициаторов создания завода (ставший крупным ученым) А.А.Фриджан в памятной записке определил их следующим образом: "Основная задача завода авиа</w:t>
      </w:r>
      <w:r w:rsidRPr="002F2FDF">
        <w:rPr>
          <w:rFonts w:ascii="Times New Roman" w:hAnsi="Times New Roman" w:cs="Times New Roman"/>
          <w:color w:val="000000" w:themeColor="text1"/>
          <w:kern w:val="2"/>
          <w:sz w:val="16"/>
          <w:szCs w:val="16"/>
        </w:rPr>
        <w:softHyphen/>
        <w:t>ционных измерительных приборов - организовать производство приборов на началах массового производства, при условии стройной и планомер</w:t>
      </w:r>
      <w:r w:rsidRPr="002F2FDF">
        <w:rPr>
          <w:rFonts w:ascii="Times New Roman" w:hAnsi="Times New Roman" w:cs="Times New Roman"/>
          <w:color w:val="000000" w:themeColor="text1"/>
          <w:kern w:val="2"/>
          <w:sz w:val="16"/>
          <w:szCs w:val="16"/>
        </w:rPr>
        <w:softHyphen/>
        <w:t>ной организации этого производства. Выполнение только что приведен</w:t>
      </w:r>
      <w:r w:rsidRPr="002F2FDF">
        <w:rPr>
          <w:rFonts w:ascii="Times New Roman" w:hAnsi="Times New Roman" w:cs="Times New Roman"/>
          <w:color w:val="000000" w:themeColor="text1"/>
          <w:kern w:val="2"/>
          <w:sz w:val="16"/>
          <w:szCs w:val="16"/>
        </w:rPr>
        <w:softHyphen/>
        <w:t>ной задачи, во-первых, доведёт тип и изготовление приборов до воз</w:t>
      </w:r>
      <w:r w:rsidRPr="002F2FDF">
        <w:rPr>
          <w:rFonts w:ascii="Times New Roman" w:hAnsi="Times New Roman" w:cs="Times New Roman"/>
          <w:color w:val="000000" w:themeColor="text1"/>
          <w:kern w:val="2"/>
          <w:sz w:val="16"/>
          <w:szCs w:val="16"/>
        </w:rPr>
        <w:softHyphen/>
        <w:t>можного совершенства и, во-вторых, удешевит до сих пор весьма доро</w:t>
      </w:r>
      <w:r w:rsidRPr="002F2FDF">
        <w:rPr>
          <w:rFonts w:ascii="Times New Roman" w:hAnsi="Times New Roman" w:cs="Times New Roman"/>
          <w:color w:val="000000" w:themeColor="text1"/>
          <w:kern w:val="2"/>
          <w:sz w:val="16"/>
          <w:szCs w:val="16"/>
        </w:rPr>
        <w:softHyphen/>
        <w:t>гие авиационные измерительные приборы".</w:t>
      </w:r>
    </w:p>
    <w:p w14:paraId="2127D15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организаторами завода ставилась задача создать завод в миниатюре, названный Первым отделением. А.А.Фридман так сформули</w:t>
      </w:r>
      <w:r w:rsidRPr="002F2FDF">
        <w:rPr>
          <w:rFonts w:ascii="Times New Roman" w:hAnsi="Times New Roman" w:cs="Times New Roman"/>
          <w:color w:val="000000" w:themeColor="text1"/>
          <w:kern w:val="2"/>
          <w:sz w:val="16"/>
          <w:szCs w:val="16"/>
        </w:rPr>
        <w:softHyphen/>
        <w:t>ровал назначение этого отделения: "1-е отделение должно быть не клоч</w:t>
      </w:r>
      <w:r w:rsidRPr="002F2FDF">
        <w:rPr>
          <w:rFonts w:ascii="Times New Roman" w:hAnsi="Times New Roman" w:cs="Times New Roman"/>
          <w:color w:val="000000" w:themeColor="text1"/>
          <w:kern w:val="2"/>
          <w:sz w:val="16"/>
          <w:szCs w:val="16"/>
        </w:rPr>
        <w:softHyphen/>
        <w:t>ком завода, не отдельной мастерской, а фигурой, подобной целому за</w:t>
      </w:r>
      <w:r w:rsidRPr="002F2FDF">
        <w:rPr>
          <w:rFonts w:ascii="Times New Roman" w:hAnsi="Times New Roman" w:cs="Times New Roman"/>
          <w:color w:val="000000" w:themeColor="text1"/>
          <w:kern w:val="2"/>
          <w:sz w:val="16"/>
          <w:szCs w:val="16"/>
        </w:rPr>
        <w:softHyphen/>
        <w:t>воду". В Первое отделение входили: научно-технический отдел с вычислительной, поверочной и физической лабораториями, библи</w:t>
      </w:r>
      <w:r w:rsidRPr="002F2FDF">
        <w:rPr>
          <w:rFonts w:ascii="Times New Roman" w:hAnsi="Times New Roman" w:cs="Times New Roman"/>
          <w:color w:val="000000" w:themeColor="text1"/>
          <w:kern w:val="2"/>
          <w:sz w:val="16"/>
          <w:szCs w:val="16"/>
        </w:rPr>
        <w:softHyphen/>
        <w:t>отека, технический отдел и производственные мастерские.</w:t>
      </w:r>
    </w:p>
    <w:p w14:paraId="0F9681A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Большой вклад в дело становления и развития "Авиаприбора" внес</w:t>
      </w:r>
      <w:r w:rsidRPr="002F2FDF">
        <w:rPr>
          <w:rFonts w:ascii="Times New Roman" w:hAnsi="Times New Roman" w:cs="Times New Roman"/>
          <w:color w:val="000000" w:themeColor="text1"/>
          <w:kern w:val="2"/>
          <w:sz w:val="16"/>
          <w:szCs w:val="16"/>
        </w:rPr>
        <w:softHyphen/>
        <w:t>ли следующие специалисты:</w:t>
      </w:r>
    </w:p>
    <w:p w14:paraId="1BF77F2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С.Д.Богословский - поступил на завод в июле 1917 г. в качестве начальника отдела войсковой техники; в 1918 г. стал заместителем на</w:t>
      </w:r>
      <w:r w:rsidRPr="002F2FDF">
        <w:rPr>
          <w:rFonts w:ascii="Times New Roman" w:hAnsi="Times New Roman" w:cs="Times New Roman"/>
          <w:color w:val="000000" w:themeColor="text1"/>
          <w:kern w:val="2"/>
          <w:sz w:val="16"/>
          <w:szCs w:val="16"/>
        </w:rPr>
        <w:softHyphen/>
        <w:t>чальника завода по технической части; с мая 1919 г. до начала 1922 г. был директором завода;</w:t>
      </w:r>
    </w:p>
    <w:p w14:paraId="00D53B6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В.Ф.Комовский - со дня организации руководил научно-техкйчес-ким отделом;</w:t>
      </w:r>
    </w:p>
    <w:p w14:paraId="0F54C88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Б.Н.Финогеев - физик по образованию, проработал на заводе со дня организации больше 20 лет, руководя исследовательской лаборато</w:t>
      </w:r>
      <w:r w:rsidRPr="002F2FDF">
        <w:rPr>
          <w:rFonts w:ascii="Times New Roman" w:hAnsi="Times New Roman" w:cs="Times New Roman"/>
          <w:color w:val="000000" w:themeColor="text1"/>
          <w:kern w:val="2"/>
          <w:sz w:val="16"/>
          <w:szCs w:val="16"/>
        </w:rPr>
        <w:softHyphen/>
        <w:t>рией;</w:t>
      </w:r>
    </w:p>
    <w:p w14:paraId="429D519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Б.М.Баранов - на завол поступил в 1918 г., работал техником, заведующим чертёжным бюро, начальником производства и главным инже</w:t>
      </w:r>
      <w:r w:rsidRPr="002F2FDF">
        <w:rPr>
          <w:rFonts w:ascii="Times New Roman" w:hAnsi="Times New Roman" w:cs="Times New Roman"/>
          <w:color w:val="000000" w:themeColor="text1"/>
          <w:kern w:val="2"/>
          <w:sz w:val="16"/>
          <w:szCs w:val="16"/>
        </w:rPr>
        <w:softHyphen/>
        <w:t>нером завода.</w:t>
      </w:r>
    </w:p>
    <w:p w14:paraId="284FC07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Ум, воля, энтузиазм, инициативность, организаторские способ</w:t>
      </w:r>
      <w:r w:rsidRPr="002F2FDF">
        <w:rPr>
          <w:rFonts w:ascii="Times New Roman" w:hAnsi="Times New Roman" w:cs="Times New Roman"/>
          <w:color w:val="000000" w:themeColor="text1"/>
          <w:kern w:val="2"/>
          <w:sz w:val="16"/>
          <w:szCs w:val="16"/>
        </w:rPr>
        <w:softHyphen/>
        <w:t>ности этих и многих других работников завода, направленные на созда</w:t>
      </w:r>
      <w:r w:rsidRPr="002F2FDF">
        <w:rPr>
          <w:rFonts w:ascii="Times New Roman" w:hAnsi="Times New Roman" w:cs="Times New Roman"/>
          <w:color w:val="000000" w:themeColor="text1"/>
          <w:kern w:val="2"/>
          <w:sz w:val="16"/>
          <w:szCs w:val="16"/>
        </w:rPr>
        <w:softHyphen/>
        <w:t>ние завода, сделали своё дело. Хотя завод до конца 1917 г. был введён в строй не полностью, основы, заложенные тогда, сослужили добрую (11109).</w:t>
      </w:r>
    </w:p>
    <w:p w14:paraId="16979D0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организаторами завода Авиаприбор ставилась задача создать завод в миниатюре, названный Первым отделением. А.А.Фридман так сформули</w:t>
      </w:r>
      <w:r w:rsidRPr="002F2FDF">
        <w:rPr>
          <w:rFonts w:ascii="Times New Roman" w:hAnsi="Times New Roman" w:cs="Times New Roman"/>
          <w:color w:val="000000" w:themeColor="text1"/>
          <w:kern w:val="2"/>
          <w:sz w:val="16"/>
          <w:szCs w:val="16"/>
        </w:rPr>
        <w:softHyphen/>
        <w:t>ровал назначение этого отделения: "1-е отделение должно быть не клоч</w:t>
      </w:r>
      <w:r w:rsidRPr="002F2FDF">
        <w:rPr>
          <w:rFonts w:ascii="Times New Roman" w:hAnsi="Times New Roman" w:cs="Times New Roman"/>
          <w:color w:val="000000" w:themeColor="text1"/>
          <w:kern w:val="2"/>
          <w:sz w:val="16"/>
          <w:szCs w:val="16"/>
        </w:rPr>
        <w:softHyphen/>
        <w:t>ком завода, не отдельной мастерской, а фигурой, подобной целому за</w:t>
      </w:r>
      <w:r w:rsidRPr="002F2FDF">
        <w:rPr>
          <w:rFonts w:ascii="Times New Roman" w:hAnsi="Times New Roman" w:cs="Times New Roman"/>
          <w:color w:val="000000" w:themeColor="text1"/>
          <w:kern w:val="2"/>
          <w:sz w:val="16"/>
          <w:szCs w:val="16"/>
        </w:rPr>
        <w:softHyphen/>
        <w:t>воду" /6, л.188 об./. В Первое отделение входили: научно-технический отдел с вычислительной, поверочной и физической лабораториями, библи</w:t>
      </w:r>
      <w:r w:rsidRPr="002F2FDF">
        <w:rPr>
          <w:rFonts w:ascii="Times New Roman" w:hAnsi="Times New Roman" w:cs="Times New Roman"/>
          <w:color w:val="000000" w:themeColor="text1"/>
          <w:kern w:val="2"/>
          <w:sz w:val="16"/>
          <w:szCs w:val="16"/>
        </w:rPr>
        <w:softHyphen/>
        <w:t>отека, технический отдел и производственные мастерские. Хотя завод до конца 1917 г. был введён в строй не полностью, основы, заложенные тогда, сослужили добрую службу (11109).</w:t>
      </w:r>
    </w:p>
    <w:p w14:paraId="516EE7E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C49AFC" w14:textId="77777777" w:rsidR="00B25AF9"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5F7A833F" w14:textId="77777777" w:rsidR="00B25AF9" w:rsidRPr="002F2FDF" w:rsidRDefault="00B25AF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09EF96" w14:textId="77777777" w:rsidR="00B25AF9" w:rsidRPr="002F2FDF" w:rsidRDefault="00B25AF9" w:rsidP="0083075A">
      <w:pPr>
        <w:pStyle w:val="rteright"/>
        <w:spacing w:before="0" w:beforeAutospacing="0" w:after="0" w:afterAutospacing="0"/>
        <w:jc w:val="both"/>
        <w:rPr>
          <w:color w:val="000000" w:themeColor="text1"/>
          <w:kern w:val="2"/>
          <w:sz w:val="16"/>
          <w:szCs w:val="16"/>
        </w:rPr>
      </w:pPr>
      <w:r w:rsidRPr="002F2FDF">
        <w:rPr>
          <w:rStyle w:val="af0"/>
          <w:i w:val="0"/>
          <w:color w:val="000000" w:themeColor="text1"/>
          <w:kern w:val="2"/>
          <w:sz w:val="16"/>
          <w:szCs w:val="16"/>
        </w:rPr>
        <w:t xml:space="preserve">26 июня </w:t>
      </w:r>
      <w:r w:rsidR="0028644D" w:rsidRPr="002F2FDF">
        <w:rPr>
          <w:rStyle w:val="af0"/>
          <w:i w:val="0"/>
          <w:color w:val="000000" w:themeColor="text1"/>
          <w:kern w:val="2"/>
          <w:sz w:val="16"/>
          <w:szCs w:val="16"/>
        </w:rPr>
        <w:t xml:space="preserve">(9 июля) </w:t>
      </w:r>
      <w:r w:rsidRPr="002F2FDF">
        <w:rPr>
          <w:rStyle w:val="af0"/>
          <w:i w:val="0"/>
          <w:color w:val="000000" w:themeColor="text1"/>
          <w:kern w:val="2"/>
          <w:sz w:val="16"/>
          <w:szCs w:val="16"/>
        </w:rPr>
        <w:t xml:space="preserve">1917 г. </w:t>
      </w:r>
      <w:r w:rsidRPr="002F2FDF">
        <w:rPr>
          <w:color w:val="000000" w:themeColor="text1"/>
          <w:kern w:val="2"/>
          <w:sz w:val="16"/>
          <w:szCs w:val="16"/>
        </w:rPr>
        <w:t>Телеграмма ген. Э. К. Гермониуса ген. А. А. Маникоескому о ходе поставок патронов.</w:t>
      </w:r>
    </w:p>
    <w:p w14:paraId="6A393651" w14:textId="6FBAD974" w:rsidR="00B25AF9" w:rsidRPr="002F2FDF" w:rsidRDefault="00B25AF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498-499</w:t>
      </w:r>
    </w:p>
    <w:p w14:paraId="2FE59FC3" w14:textId="088534B8" w:rsidR="00B25AF9" w:rsidRPr="002F2FDF" w:rsidRDefault="00B25AF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ЦГИАЛ, ф. 1525, оп. 1, д. 607, л. 758. Заверенная копия.</w:t>
      </w:r>
    </w:p>
    <w:p w14:paraId="172EC99E" w14:textId="77777777" w:rsidR="00B25AF9" w:rsidRPr="002F2FDF" w:rsidRDefault="00B25AF9" w:rsidP="0083075A">
      <w:pPr>
        <w:pStyle w:val="rtejustify"/>
        <w:spacing w:before="0" w:after="0"/>
        <w:rPr>
          <w:color w:val="000000" w:themeColor="text1"/>
          <w:kern w:val="2"/>
          <w:sz w:val="16"/>
          <w:szCs w:val="16"/>
        </w:rPr>
      </w:pPr>
      <w:r w:rsidRPr="002F2FDF">
        <w:rPr>
          <w:color w:val="000000" w:themeColor="text1"/>
          <w:kern w:val="2"/>
          <w:sz w:val="16"/>
          <w:szCs w:val="16"/>
        </w:rPr>
        <w:t>К 10450.</w:t>
      </w:r>
      <w:hyperlink r:id="rId318" w:anchor="_ftn1" w:history="1">
        <w:r w:rsidRPr="002F2FDF">
          <w:rPr>
            <w:rStyle w:val="a5"/>
            <w:color w:val="000000" w:themeColor="text1"/>
            <w:kern w:val="2"/>
            <w:sz w:val="16"/>
            <w:szCs w:val="16"/>
          </w:rPr>
          <w:t>[1]</w:t>
        </w:r>
      </w:hyperlink>
      <w:r w:rsidRPr="002F2FDF">
        <w:rPr>
          <w:color w:val="000000" w:themeColor="text1"/>
          <w:kern w:val="2"/>
          <w:sz w:val="16"/>
          <w:szCs w:val="16"/>
        </w:rPr>
        <w:t xml:space="preserve"> С 1 января по 31 мая н. ст. было предположено к сдаче заводами 298 млн. русских патронов. Фактически сдано по 31 мая 178 млв. причем за май сдано 96 млн. С июня месяца сдачи заводами должны пойти по прежней схеме, т. е. июнь — 146, июль — 156, август — 168, сентябрь — 182, октябрь — 190, ноябрь — 196 и декабрь — 203. Приемка патронов теперь лучше поспевает за сдачами, и, как донесено, по 10—23 июня принято 198 225 800. Отправка патронов в течение мая и июня шла удовлетворительно. За июль, август и сентябрь предположено перевезти епк около 500 млн. После 30 сентября отправка патронов пойдет значительно медленнее, вероятно, удастся отправить из 600 млн. следуемых в октябре, ноябре и декабре, лишь 100 млн. Ввиду крайней ограниченности тоннажа прошу указаний: 1) следует ли настаивать на том, чтобы заводы шли полным ходом с октября 1917 по апрель 1918 г., 2) какое количество 3-линейных патронов потребуется в 1918 г. по навигационным периодам, т. е. с 1 января по 1 мая, с 1 мая по 30 сентября и с 1 октября по 31 декабря. 10798.</w:t>
      </w:r>
    </w:p>
    <w:p w14:paraId="78F97AB3" w14:textId="77777777" w:rsidR="00B25AF9" w:rsidRPr="002F2FDF" w:rsidRDefault="00B25AF9"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Гермониус (15152).</w:t>
      </w:r>
    </w:p>
    <w:p w14:paraId="15E53019" w14:textId="77777777" w:rsidR="00B25AF9" w:rsidRPr="002F2FDF" w:rsidRDefault="00B25AF9"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1472E75B" w14:textId="77777777" w:rsidR="003552A0"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7225159" w14:textId="77777777" w:rsidR="003552A0" w:rsidRPr="002F2FDF" w:rsidRDefault="003552A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977B28" w14:textId="77777777" w:rsidR="007325A2" w:rsidRPr="002F2FDF" w:rsidRDefault="007325A2" w:rsidP="0083075A">
      <w:pPr>
        <w:pStyle w:val="ae"/>
        <w:spacing w:before="0" w:after="0"/>
        <w:jc w:val="both"/>
        <w:rPr>
          <w:color w:val="000000" w:themeColor="text1"/>
          <w:kern w:val="2"/>
          <w:sz w:val="16"/>
          <w:szCs w:val="16"/>
        </w:rPr>
      </w:pPr>
      <w:r w:rsidRPr="002F2FDF">
        <w:rPr>
          <w:rStyle w:val="af0"/>
          <w:i w:val="0"/>
          <w:color w:val="000000" w:themeColor="text1"/>
          <w:kern w:val="2"/>
          <w:sz w:val="16"/>
          <w:szCs w:val="16"/>
        </w:rPr>
        <w:t xml:space="preserve">26 июня (9 июля) 1917 г. </w:t>
      </w:r>
      <w:r w:rsidRPr="002F2FDF">
        <w:rPr>
          <w:color w:val="000000" w:themeColor="text1"/>
          <w:kern w:val="2"/>
          <w:sz w:val="16"/>
          <w:szCs w:val="16"/>
        </w:rPr>
        <w:t>бывший император Николай II и его семья, находящиеся под домашним арестом в Царском селе, изъявили желание подписаться на облигации «Займа свободы» Временного правительства в сумме 500 тысяч рублей</w:t>
      </w:r>
      <w:r w:rsidR="003552A0" w:rsidRPr="002F2FDF">
        <w:rPr>
          <w:color w:val="000000" w:themeColor="text1"/>
          <w:kern w:val="2"/>
          <w:sz w:val="16"/>
          <w:szCs w:val="16"/>
        </w:rPr>
        <w:t xml:space="preserve"> (17045)</w:t>
      </w:r>
      <w:r w:rsidRPr="002F2FDF">
        <w:rPr>
          <w:color w:val="000000" w:themeColor="text1"/>
          <w:kern w:val="2"/>
          <w:sz w:val="16"/>
          <w:szCs w:val="16"/>
        </w:rPr>
        <w:t>.</w:t>
      </w:r>
    </w:p>
    <w:p w14:paraId="405C6D5F" w14:textId="77777777" w:rsidR="007325A2" w:rsidRPr="002F2FDF" w:rsidRDefault="007325A2" w:rsidP="0083075A">
      <w:pPr>
        <w:pStyle w:val="ae"/>
        <w:spacing w:before="0" w:after="0"/>
        <w:jc w:val="both"/>
        <w:rPr>
          <w:color w:val="000000" w:themeColor="text1"/>
          <w:kern w:val="2"/>
          <w:sz w:val="16"/>
          <w:szCs w:val="16"/>
        </w:rPr>
      </w:pPr>
    </w:p>
    <w:p w14:paraId="34DCA610" w14:textId="77777777" w:rsidR="007325A2" w:rsidRPr="002F2FDF" w:rsidRDefault="003552A0" w:rsidP="0083075A">
      <w:pPr>
        <w:pStyle w:val="ae"/>
        <w:spacing w:before="0" w:after="0"/>
        <w:jc w:val="both"/>
        <w:rPr>
          <w:color w:val="000000" w:themeColor="text1"/>
          <w:kern w:val="2"/>
          <w:sz w:val="16"/>
          <w:szCs w:val="16"/>
        </w:rPr>
      </w:pPr>
      <w:r w:rsidRPr="002F2FDF">
        <w:rPr>
          <w:rStyle w:val="af0"/>
          <w:i w:val="0"/>
          <w:color w:val="000000" w:themeColor="text1"/>
          <w:kern w:val="2"/>
          <w:sz w:val="16"/>
          <w:szCs w:val="16"/>
        </w:rPr>
        <w:t xml:space="preserve">26 июня (9 июля) 1917 г. </w:t>
      </w:r>
      <w:r w:rsidR="007325A2" w:rsidRPr="002F2FDF">
        <w:rPr>
          <w:color w:val="000000" w:themeColor="text1"/>
          <w:kern w:val="2"/>
          <w:sz w:val="16"/>
          <w:szCs w:val="16"/>
        </w:rPr>
        <w:t>в Баку были введены карточки на чай — по полфунта на человека в месяц. Тем временем, в Астрахани продовольственный комитет издал постановление о запрете вывоза из города овощей</w:t>
      </w:r>
      <w:r w:rsidRPr="002F2FDF">
        <w:rPr>
          <w:color w:val="000000" w:themeColor="text1"/>
          <w:kern w:val="2"/>
          <w:sz w:val="16"/>
          <w:szCs w:val="16"/>
        </w:rPr>
        <w:t xml:space="preserve"> (17045)</w:t>
      </w:r>
      <w:r w:rsidR="007325A2" w:rsidRPr="002F2FDF">
        <w:rPr>
          <w:color w:val="000000" w:themeColor="text1"/>
          <w:kern w:val="2"/>
          <w:sz w:val="16"/>
          <w:szCs w:val="16"/>
        </w:rPr>
        <w:t>.</w:t>
      </w:r>
    </w:p>
    <w:p w14:paraId="0FDB7168" w14:textId="77777777" w:rsidR="007325A2" w:rsidRPr="002F2FDF" w:rsidRDefault="007325A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9A621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DB21F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580CCF"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26 июня (9 июля) 1917 г. Инспекция заказала шесть опытных истребителей-трипланов фирмам «Сименс Шукерт» и «Пфальц», но Фоккера «обошла», и лишь 14 июля ему удалось показать 2-й и 3-й опытные самолеты V.5, и они вместе с V.4 были приняты на баланс ВВС, а 26-го военные забрали и V.4 (22781).</w:t>
      </w:r>
    </w:p>
    <w:p w14:paraId="3CF01E7E"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p>
    <w:p w14:paraId="65645B6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июня (9 июля) 1917 кайзер Германии Вильгельм отверг план заключения мира без аннексий и контрибуций (4962).</w:t>
      </w:r>
    </w:p>
    <w:p w14:paraId="5613FB0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9114C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июня (9 июля) 1917 после взрыва боеприпасов затонул английский линкор “Вангвард”, в результате чего погибли 804 человека (4962).</w:t>
      </w:r>
    </w:p>
    <w:p w14:paraId="73D5FD3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B86210"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ночь на 26 июня (9 июля) 1917 Лякманн решил, наконец, попытать сча</w:t>
      </w:r>
      <w:r w:rsidRPr="002F2FDF">
        <w:rPr>
          <w:rFonts w:ascii="Times New Roman" w:hAnsi="Times New Roman" w:cs="Times New Roman"/>
          <w:color w:val="000000" w:themeColor="text1"/>
          <w:sz w:val="16"/>
          <w:szCs w:val="16"/>
        </w:rPr>
        <w:softHyphen/>
        <w:t>стья. Накануне он обнаружил вражеский аэростат, находивший</w:t>
      </w:r>
      <w:r w:rsidRPr="002F2FDF">
        <w:rPr>
          <w:rFonts w:ascii="Times New Roman" w:hAnsi="Times New Roman" w:cs="Times New Roman"/>
          <w:color w:val="000000" w:themeColor="text1"/>
          <w:sz w:val="16"/>
          <w:szCs w:val="16"/>
        </w:rPr>
        <w:softHyphen/>
        <w:t>ся у хорошо заметного даже в ночное время ориентира — озера. Около 2 часов ночи лейтенант поднялся в воздух на своем SPAD, вооруженном шестью зажигательными ракетами «Ле Приё». Пытаясь сориентироваться в условиях низкой облачности, он поднялся на высоту 1400 м. Наконец-то, заметив цель, Лякманн спикировал и выпустил залпом все 6 ракет. Прицел оказался точным — «зажигалки» поразили цель. Внезапно пилот увидел перед собой холм. Запаса высоты не хватило, чтобы перелететь его, и SPAD врезался в деревья. Пилота от удара выбросило из кабины, и он очутился в 30 м от обломков своего аэроплана. На удивление, травмы Лякманна были минимальными — перелом левой руки и несколько сломанных ребер. К нему подбежали солдаты, и Лякманн услышал русскую речь. Оказалось, в темно</w:t>
      </w:r>
      <w:r w:rsidRPr="002F2FDF">
        <w:rPr>
          <w:rFonts w:ascii="Times New Roman" w:hAnsi="Times New Roman" w:cs="Times New Roman"/>
          <w:color w:val="000000" w:themeColor="text1"/>
          <w:sz w:val="16"/>
          <w:szCs w:val="16"/>
        </w:rPr>
        <w:softHyphen/>
        <w:t>те он заблудился, перепутал ориентиры и сбил русский аэро</w:t>
      </w:r>
      <w:r w:rsidRPr="002F2FDF">
        <w:rPr>
          <w:rFonts w:ascii="Times New Roman" w:hAnsi="Times New Roman" w:cs="Times New Roman"/>
          <w:color w:val="000000" w:themeColor="text1"/>
          <w:sz w:val="16"/>
          <w:szCs w:val="16"/>
        </w:rPr>
        <w:softHyphen/>
        <w:t>стат, также находившийся у озера, но совершенно другого...(22287).</w:t>
      </w:r>
    </w:p>
    <w:p w14:paraId="4596B11E"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p>
    <w:p w14:paraId="735FFD4C" w14:textId="77777777" w:rsidR="003552A0" w:rsidRPr="002F2FDF" w:rsidRDefault="003552A0" w:rsidP="0083075A">
      <w:pPr>
        <w:pStyle w:val="ae"/>
        <w:spacing w:before="0" w:after="0"/>
        <w:jc w:val="both"/>
        <w:rPr>
          <w:color w:val="000000" w:themeColor="text1"/>
          <w:kern w:val="2"/>
          <w:sz w:val="16"/>
          <w:szCs w:val="16"/>
        </w:rPr>
      </w:pPr>
      <w:r w:rsidRPr="002F2FDF">
        <w:rPr>
          <w:color w:val="000000" w:themeColor="text1"/>
          <w:kern w:val="2"/>
          <w:sz w:val="16"/>
          <w:szCs w:val="16"/>
        </w:rPr>
        <w:t>В ночь на 26 июня (9 июля) 1917 на базе британского флота в Скапа-Флоу (на Оркнейских островах к северу от Шотландии) произошел мощный взрыв на борту английского линкора «Вэнгард». Согласно официальной версии, его причиной стало непроизвольное возгорание в одном из угольных бункеров или артпогребов. Корабль практически мгновенно ушел под воду, унеся жизни большей части экипажа, — погибли 804 человека, выжить удалось лишь двоим морякам. Эта трагедия до сих считается одной из крупнейших за всю историю британского флота (17045).</w:t>
      </w:r>
    </w:p>
    <w:p w14:paraId="4485300A" w14:textId="77777777" w:rsidR="003552A0" w:rsidRPr="002F2FDF" w:rsidRDefault="003552A0"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90CAF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июня (9 июля) 1917 в США введено эмбарго на экспорт продовольствия, металлов и горючего (4962).</w:t>
      </w:r>
    </w:p>
    <w:p w14:paraId="01C7760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0857B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718F7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C963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июня (10 июля) 1917 Беккер предложил идею нагнетателя - вентилятор на входе в карбюратор (1137,365). Техком одобрил один из первых в мире нагнетателей (3647).</w:t>
      </w:r>
    </w:p>
    <w:p w14:paraId="000908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96049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27 июня </w:t>
      </w:r>
      <w:r w:rsidR="00BA5C59" w:rsidRPr="002F2FDF">
        <w:rPr>
          <w:rFonts w:ascii="Times New Roman" w:hAnsi="Times New Roman" w:cs="Times New Roman"/>
          <w:color w:val="000000" w:themeColor="text1"/>
          <w:kern w:val="2"/>
          <w:sz w:val="16"/>
          <w:szCs w:val="16"/>
        </w:rPr>
        <w:t xml:space="preserve">(10 июля) </w:t>
      </w:r>
      <w:r w:rsidRPr="002F2FDF">
        <w:rPr>
          <w:rFonts w:ascii="Times New Roman" w:hAnsi="Times New Roman" w:cs="Times New Roman"/>
          <w:color w:val="000000" w:themeColor="text1"/>
          <w:kern w:val="2"/>
          <w:sz w:val="16"/>
          <w:szCs w:val="16"/>
        </w:rPr>
        <w:t>1917 Технический комитет УВВФ рассмотрел проект нагнетателя, предложенный инженером Беккером для "принуди</w:t>
      </w:r>
      <w:r w:rsidRPr="002F2FDF">
        <w:rPr>
          <w:rFonts w:ascii="Times New Roman" w:hAnsi="Times New Roman" w:cs="Times New Roman"/>
          <w:color w:val="000000" w:themeColor="text1"/>
          <w:kern w:val="2"/>
          <w:sz w:val="16"/>
          <w:szCs w:val="16"/>
        </w:rPr>
        <w:softHyphen/>
        <w:t>тельной подачи воздуха к авиационному двигателю в целях, повышения его мощности и высотности", нагнетатель представ</w:t>
      </w:r>
      <w:r w:rsidRPr="002F2FDF">
        <w:rPr>
          <w:rFonts w:ascii="Times New Roman" w:hAnsi="Times New Roman" w:cs="Times New Roman"/>
          <w:color w:val="000000" w:themeColor="text1"/>
          <w:kern w:val="2"/>
          <w:sz w:val="16"/>
          <w:szCs w:val="16"/>
        </w:rPr>
        <w:softHyphen/>
        <w:t>лял собой цетробежный вентилятор, нагнетающий воздух к карбю</w:t>
      </w:r>
      <w:r w:rsidRPr="002F2FDF">
        <w:rPr>
          <w:rFonts w:ascii="Times New Roman" w:hAnsi="Times New Roman" w:cs="Times New Roman"/>
          <w:color w:val="000000" w:themeColor="text1"/>
          <w:kern w:val="2"/>
          <w:sz w:val="16"/>
          <w:szCs w:val="16"/>
        </w:rPr>
        <w:softHyphen/>
        <w:t>ратору. Техком одобрил идею и признал желательным построить пробный экземпляр для лабораторных испытаний. Это был один из первых в мире проектов нагнетателей, получивших впослед</w:t>
      </w:r>
      <w:r w:rsidRPr="002F2FDF">
        <w:rPr>
          <w:rFonts w:ascii="Times New Roman" w:hAnsi="Times New Roman" w:cs="Times New Roman"/>
          <w:color w:val="000000" w:themeColor="text1"/>
          <w:kern w:val="2"/>
          <w:sz w:val="16"/>
          <w:szCs w:val="16"/>
        </w:rPr>
        <w:softHyphen/>
        <w:t>ствии широкое применение (ЦГВИА. ф.493, оп. 10, д.46, л.272).</w:t>
      </w:r>
    </w:p>
    <w:p w14:paraId="173ABC0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010017" w14:textId="77777777" w:rsidR="00230BC3" w:rsidRPr="00815ED5" w:rsidRDefault="00230BC3"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27 июня </w:t>
      </w:r>
      <w:r>
        <w:rPr>
          <w:rFonts w:ascii="Times New Roman" w:hAnsi="Times New Roman" w:cs="Times New Roman"/>
          <w:color w:val="0070C0"/>
          <w:sz w:val="16"/>
          <w:szCs w:val="16"/>
        </w:rPr>
        <w:t>(10 июля)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Тохничоокий комитет УВ</w:t>
      </w:r>
      <w:r>
        <w:rPr>
          <w:rFonts w:ascii="Times New Roman" w:hAnsi="Times New Roman" w:cs="Times New Roman"/>
          <w:color w:val="0070C0"/>
          <w:sz w:val="16"/>
          <w:szCs w:val="16"/>
        </w:rPr>
        <w:t>ВФ</w:t>
      </w:r>
      <w:r w:rsidRPr="00815ED5">
        <w:rPr>
          <w:rFonts w:ascii="Times New Roman" w:hAnsi="Times New Roman" w:cs="Times New Roman"/>
          <w:color w:val="0070C0"/>
          <w:sz w:val="16"/>
          <w:szCs w:val="16"/>
        </w:rPr>
        <w:t xml:space="preserve"> рассмотрел проект нагнетателя, предлож</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нн</w:t>
      </w:r>
      <w:r>
        <w:rPr>
          <w:rFonts w:ascii="Times New Roman" w:hAnsi="Times New Roman" w:cs="Times New Roman"/>
          <w:color w:val="0070C0"/>
          <w:sz w:val="16"/>
          <w:szCs w:val="16"/>
        </w:rPr>
        <w:t>ы</w:t>
      </w:r>
      <w:r w:rsidRPr="00815ED5">
        <w:rPr>
          <w:rFonts w:ascii="Times New Roman" w:hAnsi="Times New Roman" w:cs="Times New Roman"/>
          <w:color w:val="0070C0"/>
          <w:sz w:val="16"/>
          <w:szCs w:val="16"/>
        </w:rPr>
        <w:t>й инж</w:t>
      </w:r>
      <w:r>
        <w:rPr>
          <w:rFonts w:ascii="Times New Roman" w:hAnsi="Times New Roman" w:cs="Times New Roman"/>
          <w:color w:val="0070C0"/>
          <w:sz w:val="16"/>
          <w:szCs w:val="16"/>
        </w:rPr>
        <w:t>ене</w:t>
      </w:r>
      <w:r w:rsidRPr="00815ED5">
        <w:rPr>
          <w:rFonts w:ascii="Times New Roman" w:hAnsi="Times New Roman" w:cs="Times New Roman"/>
          <w:color w:val="0070C0"/>
          <w:sz w:val="16"/>
          <w:szCs w:val="16"/>
        </w:rPr>
        <w:t xml:space="preserve">ром </w:t>
      </w:r>
      <w:r>
        <w:rPr>
          <w:rFonts w:ascii="Times New Roman" w:hAnsi="Times New Roman" w:cs="Times New Roman"/>
          <w:color w:val="0070C0"/>
          <w:sz w:val="16"/>
          <w:szCs w:val="16"/>
        </w:rPr>
        <w:t>Бекке</w:t>
      </w:r>
      <w:r w:rsidRPr="00815ED5">
        <w:rPr>
          <w:rFonts w:ascii="Times New Roman" w:hAnsi="Times New Roman" w:cs="Times New Roman"/>
          <w:color w:val="0070C0"/>
          <w:sz w:val="16"/>
          <w:szCs w:val="16"/>
        </w:rPr>
        <w:t>ром для "принудительной подачи воздуха к авиационному двигателю в целях повышения его мощности и высотно</w:t>
      </w:r>
      <w:r>
        <w:rPr>
          <w:rFonts w:ascii="Times New Roman" w:hAnsi="Times New Roman" w:cs="Times New Roman"/>
          <w:color w:val="0070C0"/>
          <w:sz w:val="16"/>
          <w:szCs w:val="16"/>
        </w:rPr>
        <w:t>сти</w:t>
      </w:r>
      <w:r w:rsidRPr="00815ED5">
        <w:rPr>
          <w:rFonts w:ascii="Times New Roman" w:hAnsi="Times New Roman" w:cs="Times New Roman"/>
          <w:color w:val="0070C0"/>
          <w:sz w:val="16"/>
          <w:szCs w:val="16"/>
        </w:rPr>
        <w:t>.</w:t>
      </w:r>
      <w:r w:rsidRPr="0033462D">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Нагнетатель продст</w:t>
      </w:r>
      <w:r>
        <w:rPr>
          <w:rFonts w:ascii="Times New Roman" w:hAnsi="Times New Roman" w:cs="Times New Roman"/>
          <w:color w:val="0070C0"/>
          <w:sz w:val="16"/>
          <w:szCs w:val="16"/>
        </w:rPr>
        <w:t>ав</w:t>
      </w:r>
      <w:r w:rsidRPr="00815ED5">
        <w:rPr>
          <w:rFonts w:ascii="Times New Roman" w:hAnsi="Times New Roman" w:cs="Times New Roman"/>
          <w:color w:val="0070C0"/>
          <w:sz w:val="16"/>
          <w:szCs w:val="16"/>
        </w:rPr>
        <w:t>лял собой центробежный вентилятор,</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нагнетагющий воздух и карбюратору.</w:t>
      </w:r>
      <w:r>
        <w:rPr>
          <w:rFonts w:ascii="Times New Roman" w:hAnsi="Times New Roman" w:cs="Times New Roman"/>
          <w:color w:val="0070C0"/>
          <w:sz w:val="16"/>
          <w:szCs w:val="16"/>
        </w:rPr>
        <w:t xml:space="preserve"> Т</w:t>
      </w:r>
      <w:r w:rsidRPr="00815ED5">
        <w:rPr>
          <w:rFonts w:ascii="Times New Roman" w:hAnsi="Times New Roman" w:cs="Times New Roman"/>
          <w:color w:val="0070C0"/>
          <w:sz w:val="16"/>
          <w:szCs w:val="16"/>
        </w:rPr>
        <w:t>ехком одобрил идеи и признал желатель</w:t>
      </w:r>
      <w:r w:rsidRPr="00815ED5">
        <w:rPr>
          <w:rFonts w:ascii="Times New Roman" w:hAnsi="Times New Roman" w:cs="Times New Roman"/>
          <w:color w:val="0070C0"/>
          <w:sz w:val="16"/>
          <w:szCs w:val="16"/>
        </w:rPr>
        <w:softHyphen/>
        <w:t>ный построить пробный экземпляр для лабораторных испытаний.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Это был одним из первых в мире проектов нагнетателей,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получивших впоследст</w:t>
      </w:r>
      <w:r w:rsidRPr="00815ED5">
        <w:rPr>
          <w:rFonts w:ascii="Times New Roman" w:hAnsi="Times New Roman" w:cs="Times New Roman"/>
          <w:color w:val="0070C0"/>
          <w:sz w:val="16"/>
          <w:szCs w:val="16"/>
        </w:rPr>
        <w:softHyphen/>
        <w:t>вии широкое применение.</w:t>
      </w:r>
    </w:p>
    <w:p w14:paraId="4F6D5137" w14:textId="77777777" w:rsidR="00230BC3" w:rsidRDefault="00230BC3"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ф</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493, </w:t>
      </w:r>
      <w:r>
        <w:rPr>
          <w:rFonts w:ascii="Times New Roman" w:hAnsi="Times New Roman" w:cs="Times New Roman"/>
          <w:color w:val="0070C0"/>
          <w:sz w:val="16"/>
          <w:szCs w:val="16"/>
        </w:rPr>
        <w:t>оп</w:t>
      </w:r>
      <w:r w:rsidRPr="00815ED5">
        <w:rPr>
          <w:rFonts w:ascii="Times New Roman" w:hAnsi="Times New Roman" w:cs="Times New Roman"/>
          <w:color w:val="0070C0"/>
          <w:sz w:val="16"/>
          <w:szCs w:val="16"/>
        </w:rPr>
        <w:t xml:space="preserve">.10, </w:t>
      </w:r>
      <w:r>
        <w:rPr>
          <w:rFonts w:ascii="Times New Roman" w:hAnsi="Times New Roman" w:cs="Times New Roman"/>
          <w:color w:val="0070C0"/>
          <w:sz w:val="16"/>
          <w:szCs w:val="16"/>
        </w:rPr>
        <w:t>д</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46, </w:t>
      </w:r>
      <w:r>
        <w:rPr>
          <w:rFonts w:ascii="Times New Roman" w:hAnsi="Times New Roman" w:cs="Times New Roman"/>
          <w:color w:val="0070C0"/>
          <w:sz w:val="16"/>
          <w:szCs w:val="16"/>
        </w:rPr>
        <w:t>л</w:t>
      </w:r>
      <w:r w:rsidRPr="00815ED5">
        <w:rPr>
          <w:rFonts w:ascii="Times New Roman" w:hAnsi="Times New Roman" w:cs="Times New Roman"/>
          <w:color w:val="0070C0"/>
          <w:sz w:val="16"/>
          <w:szCs w:val="16"/>
        </w:rPr>
        <w:t>. 272/</w:t>
      </w:r>
      <w:r>
        <w:rPr>
          <w:rFonts w:ascii="Times New Roman" w:hAnsi="Times New Roman" w:cs="Times New Roman"/>
          <w:color w:val="0070C0"/>
          <w:sz w:val="16"/>
          <w:szCs w:val="16"/>
        </w:rPr>
        <w:t xml:space="preserve"> (23320).</w:t>
      </w:r>
    </w:p>
    <w:p w14:paraId="2FD1832C" w14:textId="77777777" w:rsidR="00230BC3" w:rsidRPr="00815ED5" w:rsidRDefault="00230BC3" w:rsidP="0083075A">
      <w:pPr>
        <w:spacing w:after="0" w:line="240" w:lineRule="auto"/>
        <w:jc w:val="both"/>
        <w:rPr>
          <w:rFonts w:ascii="Times New Roman" w:hAnsi="Times New Roman" w:cs="Times New Roman"/>
          <w:color w:val="0070C0"/>
          <w:sz w:val="16"/>
          <w:szCs w:val="16"/>
        </w:rPr>
      </w:pPr>
    </w:p>
    <w:p w14:paraId="434CD9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июня (10 июля) 1917 Нач. Воздухоплавательного отделения МГШ А.А.Тучков телеграфировал Д.П.Г. о необходимости срочно сконструировать разносные баки для М-11 для дополнительной работы мотора в течение 30 мин. (2807,56).</w:t>
      </w:r>
    </w:p>
    <w:p w14:paraId="763FCA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56DE0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июня (10 июля) 1917 г., когда начальник Возду</w:t>
      </w:r>
      <w:r w:rsidRPr="002F2FDF">
        <w:rPr>
          <w:rFonts w:ascii="Times New Roman" w:hAnsi="Times New Roman" w:cs="Times New Roman"/>
          <w:color w:val="000000" w:themeColor="text1"/>
          <w:kern w:val="2"/>
          <w:sz w:val="16"/>
          <w:szCs w:val="16"/>
        </w:rPr>
        <w:softHyphen/>
        <w:t>хоплавательного отделения МГШ А. А. Тучков телеграфировал, обращаясь к Д. П. Григоровичу: “Прошу срочно сконструировать разносные баки для М-11, для (дополнительной) работы мотора не менее 30 минут”. Увы, подобные полумеры безнадежно запоздали</w:t>
      </w:r>
      <w:r w:rsidRPr="002F2FDF">
        <w:rPr>
          <w:rFonts w:ascii="Times New Roman" w:hAnsi="Times New Roman" w:cs="Times New Roman"/>
          <w:color w:val="000000" w:themeColor="text1"/>
          <w:kern w:val="2"/>
          <w:sz w:val="16"/>
          <w:szCs w:val="16"/>
          <w:vertAlign w:val="superscript"/>
        </w:rPr>
        <w:t>1</w:t>
      </w:r>
      <w:r w:rsidRPr="002F2FDF">
        <w:rPr>
          <w:rFonts w:ascii="Times New Roman" w:hAnsi="Times New Roman" w:cs="Times New Roman"/>
          <w:color w:val="000000" w:themeColor="text1"/>
          <w:kern w:val="2"/>
          <w:sz w:val="16"/>
          <w:szCs w:val="16"/>
        </w:rPr>
        <w:t>, тем более, что окончательные выво</w:t>
      </w:r>
      <w:r w:rsidRPr="002F2FDF">
        <w:rPr>
          <w:rFonts w:ascii="Times New Roman" w:hAnsi="Times New Roman" w:cs="Times New Roman"/>
          <w:color w:val="000000" w:themeColor="text1"/>
          <w:kern w:val="2"/>
          <w:sz w:val="16"/>
          <w:szCs w:val="16"/>
        </w:rPr>
        <w:softHyphen/>
        <w:t>ды касательно свойств как М-11, так и М-12 уже сформировались, по крайней мере на Черном море. Еще 23 марта в своем докладе, посвященном флотской авиации, командующий вице-адмирал А. В. Колчак зафиксировал мнение авиаторов о том, что “из-за совершенно неудовлетворительных качеств” и одно</w:t>
      </w:r>
      <w:r w:rsidRPr="002F2FDF">
        <w:rPr>
          <w:rFonts w:ascii="Times New Roman" w:hAnsi="Times New Roman" w:cs="Times New Roman"/>
          <w:color w:val="000000" w:themeColor="text1"/>
          <w:kern w:val="2"/>
          <w:sz w:val="16"/>
          <w:szCs w:val="16"/>
        </w:rPr>
        <w:softHyphen/>
        <w:t>местные, и двухместные аппараты могли взлетать только в тихих бухтах, а “неправильное расположе</w:t>
      </w:r>
      <w:r w:rsidRPr="002F2FDF">
        <w:rPr>
          <w:rFonts w:ascii="Times New Roman" w:hAnsi="Times New Roman" w:cs="Times New Roman"/>
          <w:color w:val="000000" w:themeColor="text1"/>
          <w:kern w:val="2"/>
          <w:sz w:val="16"/>
          <w:szCs w:val="16"/>
        </w:rPr>
        <w:softHyphen/>
        <w:t>ние центра тяжести, мотора и плохо развитая несущая поверхность” делали самолеты опасно неустойчи</w:t>
      </w:r>
      <w:r w:rsidRPr="002F2FDF">
        <w:rPr>
          <w:rFonts w:ascii="Times New Roman" w:hAnsi="Times New Roman" w:cs="Times New Roman"/>
          <w:color w:val="000000" w:themeColor="text1"/>
          <w:kern w:val="2"/>
          <w:sz w:val="16"/>
          <w:szCs w:val="16"/>
        </w:rPr>
        <w:softHyphen/>
        <w:t>выми в воздухе. Скорость в 130-140 км/ч и скороподъемность 2000 м за 15-20 минут признавались недостаточными. Как бы споря с А. В. Колчаком и всеми предшествовавшими замечаниями, примерно в то же самое время “Наставление для боевых действий” Воздушной дивизии Балтийского моря сообщало об М-11:</w:t>
      </w:r>
    </w:p>
    <w:p w14:paraId="078F6BC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“&lt;...&gt; Истребитель поставлен на лыжи для использования его в зимний период года, данные полета те же. В гондоле должны находиться: ручной компас, авиационные приборы и освещение. Полет ночью требует большого навыка и очень труден. Этот аппарат благодаря своей вертикальной и горизонтальной скорости и хорошей управляемости предназначен для атак неприятельских аппаратов в районе своих баз и для воздушного боя. В исключительных случаях в зависимости от обстоятельств места боя может преследовать противника до 25 миль. Для боя над территорией противника аппарат может быть употреблен в исключительных слу</w:t>
      </w:r>
      <w:r w:rsidRPr="002F2FDF">
        <w:rPr>
          <w:rFonts w:ascii="Times New Roman" w:hAnsi="Times New Roman" w:cs="Times New Roman"/>
          <w:color w:val="000000" w:themeColor="text1"/>
          <w:kern w:val="2"/>
          <w:sz w:val="16"/>
          <w:szCs w:val="16"/>
        </w:rPr>
        <w:softHyphen/>
        <w:t xml:space="preserve">чаях, так как запас горючего очень мал (вспомним просьбу от 27 июня! — </w:t>
      </w:r>
      <w:r w:rsidRPr="002F2FDF">
        <w:rPr>
          <w:rFonts w:ascii="Times New Roman" w:hAnsi="Times New Roman" w:cs="Times New Roman"/>
          <w:iCs/>
          <w:color w:val="000000" w:themeColor="text1"/>
          <w:kern w:val="2"/>
          <w:sz w:val="16"/>
          <w:szCs w:val="16"/>
        </w:rPr>
        <w:t xml:space="preserve">А. А.). </w:t>
      </w:r>
      <w:r w:rsidRPr="002F2FDF">
        <w:rPr>
          <w:rFonts w:ascii="Times New Roman" w:hAnsi="Times New Roman" w:cs="Times New Roman"/>
          <w:color w:val="000000" w:themeColor="text1"/>
          <w:kern w:val="2"/>
          <w:sz w:val="16"/>
          <w:szCs w:val="16"/>
        </w:rPr>
        <w:t>Пулемет укреплен неподвижно и линия наводки совмещена с осью полета и слегка приподнята. В срав нении с сухопутными истребителями аппарат типа М-11 не в полной мере отвечает своему назначению, а потому для боя с сухопутными истребителями может быть употреблен только в исключительных случаях. На этот аппарат при наличии зажигательных пуль для пулемета и стрел (реактивных) должна быть возложена атака цеппелина”.</w:t>
      </w:r>
    </w:p>
    <w:p w14:paraId="2425CF7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Очевидно разноречивая, эта информация преследовала целью укрепление боевого духа морских летчиков, вынужденных воевать на несовершенной технике, уступавшей неприятельской. Что они и делали, хотя каких-то значительных, весомых эпизодов, связанных с аппаратами модели М-11/М-12, не приключилось, что дает основание говорить о сравнительно ограниченном применении этих летающих лодок. Судьба, однако, распорядилась, чтобы одна из них — возможно, с флотским номером 4, принесла единственную, скорее всего, воздушную победу русской черноморской авиации. Третьего декабря 1916 г., отражая налет на Сулин вражеских гидроаэроплана и истребителя, лейтенант Н. А. Рагозин подбил последний, и тот упал или вынужденно сел в море. Успех дался нелегко и стоил 8 пулевых пробоин в нашем самолете (2807).</w:t>
      </w:r>
    </w:p>
    <w:p w14:paraId="5993CCF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2BBC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июня (10 июля) 1917 г. начальник Воздухоплавательного отделения Морского генерального штаба А. А. Тучков доложил Д. П. Григорови</w:t>
      </w:r>
      <w:r w:rsidRPr="002F2FDF">
        <w:rPr>
          <w:rFonts w:ascii="Times New Roman" w:hAnsi="Times New Roman" w:cs="Times New Roman"/>
          <w:color w:val="000000" w:themeColor="text1"/>
          <w:kern w:val="2"/>
          <w:sz w:val="16"/>
          <w:szCs w:val="16"/>
        </w:rPr>
        <w:softHyphen/>
        <w:t>чу: «Прошу срочно сконструировать разносные баки для М-11, для (до</w:t>
      </w:r>
      <w:r w:rsidRPr="002F2FDF">
        <w:rPr>
          <w:rFonts w:ascii="Times New Roman" w:hAnsi="Times New Roman" w:cs="Times New Roman"/>
          <w:color w:val="000000" w:themeColor="text1"/>
          <w:kern w:val="2"/>
          <w:sz w:val="16"/>
          <w:szCs w:val="16"/>
        </w:rPr>
        <w:softHyphen/>
        <w:t>полнительной) работы мотора не менее 30 минут». Но вряд ли это могло улучшить положение, посколь</w:t>
      </w:r>
      <w:r w:rsidRPr="002F2FDF">
        <w:rPr>
          <w:rFonts w:ascii="Times New Roman" w:hAnsi="Times New Roman" w:cs="Times New Roman"/>
          <w:color w:val="000000" w:themeColor="text1"/>
          <w:kern w:val="2"/>
          <w:sz w:val="16"/>
          <w:szCs w:val="16"/>
        </w:rPr>
        <w:softHyphen/>
        <w:t>ку выводы о возможностях как М-11, (а впоследствии и М-12) уже сфор</w:t>
      </w:r>
      <w:r w:rsidRPr="002F2FDF">
        <w:rPr>
          <w:rFonts w:ascii="Times New Roman" w:hAnsi="Times New Roman" w:cs="Times New Roman"/>
          <w:color w:val="000000" w:themeColor="text1"/>
          <w:kern w:val="2"/>
          <w:sz w:val="16"/>
          <w:szCs w:val="16"/>
        </w:rPr>
        <w:softHyphen/>
        <w:t>мировались. В докладе, посвящен</w:t>
      </w:r>
      <w:r w:rsidRPr="002F2FDF">
        <w:rPr>
          <w:rFonts w:ascii="Times New Roman" w:hAnsi="Times New Roman" w:cs="Times New Roman"/>
          <w:color w:val="000000" w:themeColor="text1"/>
          <w:kern w:val="2"/>
          <w:sz w:val="16"/>
          <w:szCs w:val="16"/>
        </w:rPr>
        <w:softHyphen/>
        <w:t>ном флотской авиации, вице-адми</w:t>
      </w:r>
      <w:r w:rsidRPr="002F2FDF">
        <w:rPr>
          <w:rFonts w:ascii="Times New Roman" w:hAnsi="Times New Roman" w:cs="Times New Roman"/>
          <w:color w:val="000000" w:themeColor="text1"/>
          <w:kern w:val="2"/>
          <w:sz w:val="16"/>
          <w:szCs w:val="16"/>
        </w:rPr>
        <w:softHyphen/>
        <w:t>рал А.В.Колчак отметил, что «из-за совершенно неудовлетворительных качеств» и одноместные, и двухмес</w:t>
      </w:r>
      <w:r w:rsidRPr="002F2FDF">
        <w:rPr>
          <w:rFonts w:ascii="Times New Roman" w:hAnsi="Times New Roman" w:cs="Times New Roman"/>
          <w:color w:val="000000" w:themeColor="text1"/>
          <w:kern w:val="2"/>
          <w:sz w:val="16"/>
          <w:szCs w:val="16"/>
        </w:rPr>
        <w:softHyphen/>
        <w:t>тные аппараты могли взлетать толь</w:t>
      </w:r>
      <w:r w:rsidRPr="002F2FDF">
        <w:rPr>
          <w:rFonts w:ascii="Times New Roman" w:hAnsi="Times New Roman" w:cs="Times New Roman"/>
          <w:color w:val="000000" w:themeColor="text1"/>
          <w:kern w:val="2"/>
          <w:sz w:val="16"/>
          <w:szCs w:val="16"/>
        </w:rPr>
        <w:softHyphen/>
        <w:t>ко в тихих бухтах, а «неправильное расположение центра тяжести и плохо развитая несущая поверх</w:t>
      </w:r>
      <w:r w:rsidRPr="002F2FDF">
        <w:rPr>
          <w:rFonts w:ascii="Times New Roman" w:hAnsi="Times New Roman" w:cs="Times New Roman"/>
          <w:color w:val="000000" w:themeColor="text1"/>
          <w:kern w:val="2"/>
          <w:sz w:val="16"/>
          <w:szCs w:val="16"/>
        </w:rPr>
        <w:softHyphen/>
        <w:t>ность» делали самолеты опасно неустойчивыми в воздухе. Скорость в 130-140 км/ч и скороподъемность 2000 м за 15-20 минут признава</w:t>
      </w:r>
      <w:r w:rsidRPr="002F2FDF">
        <w:rPr>
          <w:rFonts w:ascii="Times New Roman" w:hAnsi="Times New Roman" w:cs="Times New Roman"/>
          <w:color w:val="000000" w:themeColor="text1"/>
          <w:kern w:val="2"/>
          <w:sz w:val="16"/>
          <w:szCs w:val="16"/>
        </w:rPr>
        <w:softHyphen/>
        <w:t>лись неудовлетворительными. Разноречивая информация не позволяет оценить истинные боевые возможности самолёта М-11, так как известен только один бой на Чёрном море 3 декабря 1916 г., когда лейтенант Н.А.Рогозин при отражении атаки на Сулин подбил самолёт противника (11872).</w:t>
      </w:r>
    </w:p>
    <w:p w14:paraId="26E9B7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2B281E" w14:textId="77777777" w:rsidR="0028644D"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5AF0AD8" w14:textId="77777777" w:rsidR="0028644D" w:rsidRPr="002F2FDF" w:rsidRDefault="0028644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3FFBBB"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июня (10 июля) 1917 Сообщение газеты «Известия Петроградского Совета рабочих и солдатских депутатов» о развале производства и злоупотреблениях администрации на заводе «Светлана».</w:t>
      </w:r>
    </w:p>
    <w:p w14:paraId="3CA8E0B1"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146-147</w:t>
      </w:r>
    </w:p>
    <w:p w14:paraId="35C0C323"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 предложению Отдела труда Совета рабочих и солдатских депутатов начальником Главного артиллерийского управления с согласия военного министра была организована комиссия по обследованию завода «Светлана» и «Пелла», в которую по желанию Отдела труда вошли 3 представителя общественных организаций: Отдела труда, Комитета военно-технической помощи и Центрального военно-промышленного комитета. От Отдела труда в комиссию был делегирован т. Г. И. Жижин. Ознакомившись с документами и заявлениями рабочих и администрации, члены комиссии посетили завод «Светлана». Обследовав обстановку работ на заводе, комиссия констатировала крайнюю неорганизованность производства и недопустимую небрежность в ведении его. Так, комиссия признала угрожающую опасность в пожарном отношении от куч пороховой мякоты, сваливаемой вместе с опилками и прочими материалами, полную неудовлетворительность сборочной мастерской в противопожарном отношении. Комиссия обратила внимание на крайне небрежное устройство бараков для снаряжения факелов — отсутствие отопления и антигигиенические условия работы, на исключительное по безхозяйствевности отношение к материалам: кучи железных корпусов свалены под открытым небом, кучи </w:t>
      </w:r>
      <w:r w:rsidRPr="002F2FDF">
        <w:rPr>
          <w:rFonts w:ascii="Times New Roman" w:hAnsi="Times New Roman" w:cs="Times New Roman"/>
          <w:color w:val="000000" w:themeColor="text1"/>
          <w:kern w:val="2"/>
          <w:sz w:val="16"/>
          <w:szCs w:val="16"/>
        </w:rPr>
        <w:lastRenderedPageBreak/>
        <w:t>обрезков войлока гниют на земле и т. п. Комиссия констатировала техническую неподготовленность и беспечность администрации. Цапример, заведующий заводом и его помощники не догадались хотя бы исследовать полученную на заводе селитру, результатом чего явилась приемка натриевой селитры вместо калиевой. Крупнейшими недостатками являются: отсутствие организационного плана при начале работы, вследствие чего помещение не было правильно использовано и даже не было приспособлено в санитарно-гигиеническом отношении (плохая вентиляция и освещение и т. п.); недостаток и неподготовленность технического надзора; полное пренебрежение администрации к указаниям на недостатки производства, делавшиеся компетентными лицами из состава специальных комиссий для обследования заводов. Большое число отказов при стрельбе комиссия в значительной мере ставит в зависимость от неудовлетворительной постановки дела. Небрежное отношение к хозяйственной стороне дела обратило на себя внимание комиссии, тем более, что при получении заказа цена снаряда была заявлена заведомо преувеличенной. Г. Гукасовым принимались во внимание в самой широкой мере интересы целого ряда комиссионеров и спекулянтов, рвавших за счет казны непомерно высокие «комиссионные». Так, например, вознаграждение изобретателя — около 50 коп. со снаряда — и суммированная заработная плата рабочим — 65 коп. со снаряда — являются более чем низкими по сравнению с «комиссионными» в пользу некоего и неизвестно за что получавшего 45 коп.</w:t>
      </w:r>
    </w:p>
    <w:p w14:paraId="3F0AF19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кн. Мышецкого и инженера К. за содействие в покупке металла — 30 коп. с корпуса снаряда (при заготовительной стоимости этого корпуса всего в 55 коп.). Если к этому прибавить еще «комиссионное» познаграждение целого ряда лиц, в деле никакого участия не принимавших, то картина ажиотажа, развернувшегося около заказа на светящиеся снаряды, конечно еще неполная, будет достаточно показательной для отношения г. Гукасова к интересам обороны. Комиссия, не высказываясь сколько-нибудь определенно относительно наличия злого умысла как причины описанного состояния завода и работ по исполнению заказа, считает долгом отметить, что она, не являясь органом юридической власти, ограничивается констатированием фактов и высказывает предположения, направленные к улучшению дела, если бы его понадобилось восстановить, или к прекращению его, если будет решено окончательно его ликвидировать. Комиссия обращает особое внимание на возмутительное бездействие завода, взявшегося за выполнение заказа на оборону. В эпоху величайшего испытания, постигшего нашу родину, 21/2 млн руб. оставались для государства мертвым капиталом, сотни рабочих рук в течение двух лет были оторваны от продуктивного труда, необходимые для обороны материалы в течение этого же периода времени лежали под спудом. Таковы заключения комиссии по делу завода «Светлана».</w:t>
      </w:r>
    </w:p>
    <w:p w14:paraId="21E288C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Газ. «Известия Петроградского Совета рабочих и солдатских депутатов», № 92, 15 июля 1917 г. (15669).</w:t>
      </w:r>
    </w:p>
    <w:p w14:paraId="0AA5A46B"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p>
    <w:p w14:paraId="0FA14ED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A5ABA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B511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июня (10 июля) 1917 из госпиталя вернулся Казаков, а уже на следующий день командир 7-го авиадивизиона капи</w:t>
      </w:r>
      <w:r w:rsidRPr="002F2FDF">
        <w:rPr>
          <w:rFonts w:ascii="Times New Roman" w:hAnsi="Times New Roman" w:cs="Times New Roman"/>
          <w:color w:val="000000" w:themeColor="text1"/>
          <w:kern w:val="2"/>
          <w:sz w:val="16"/>
          <w:szCs w:val="16"/>
        </w:rPr>
        <w:softHyphen/>
        <w:t>тан Баранов сообщил, что для под</w:t>
      </w:r>
      <w:r w:rsidRPr="002F2FDF">
        <w:rPr>
          <w:rFonts w:ascii="Times New Roman" w:hAnsi="Times New Roman" w:cs="Times New Roman"/>
          <w:color w:val="000000" w:themeColor="text1"/>
          <w:kern w:val="2"/>
          <w:sz w:val="16"/>
          <w:szCs w:val="16"/>
        </w:rPr>
        <w:softHyphen/>
        <w:t>держки наступления 8-й армии 1-я БАГ переходит в ее состав. Штаб ар</w:t>
      </w:r>
      <w:r w:rsidRPr="002F2FDF">
        <w:rPr>
          <w:rFonts w:ascii="Times New Roman" w:hAnsi="Times New Roman" w:cs="Times New Roman"/>
          <w:color w:val="000000" w:themeColor="text1"/>
          <w:kern w:val="2"/>
          <w:sz w:val="16"/>
          <w:szCs w:val="16"/>
        </w:rPr>
        <w:softHyphen/>
        <w:t>мии, сразу поставил группе задачу по охране фронта в районе Большовце-Калуш-Богородчаны. Определено было и место новой стоянки -Станислав. Осуществить передислокацию трех отрядов в кратчайшие сроки, как того требовало командование, было невоз</w:t>
      </w:r>
      <w:r w:rsidRPr="002F2FDF">
        <w:rPr>
          <w:rFonts w:ascii="Times New Roman" w:hAnsi="Times New Roman" w:cs="Times New Roman"/>
          <w:color w:val="000000" w:themeColor="text1"/>
          <w:kern w:val="2"/>
          <w:sz w:val="16"/>
          <w:szCs w:val="16"/>
        </w:rPr>
        <w:softHyphen/>
        <w:t>можно. Всё техническое имущество и большая часть личного состава отпра</w:t>
      </w:r>
      <w:r w:rsidRPr="002F2FDF">
        <w:rPr>
          <w:rFonts w:ascii="Times New Roman" w:hAnsi="Times New Roman" w:cs="Times New Roman"/>
          <w:color w:val="000000" w:themeColor="text1"/>
          <w:kern w:val="2"/>
          <w:sz w:val="16"/>
          <w:szCs w:val="16"/>
        </w:rPr>
        <w:softHyphen/>
        <w:t>вилась 1 июля к месту нового назначе</w:t>
      </w:r>
      <w:r w:rsidRPr="002F2FDF">
        <w:rPr>
          <w:rFonts w:ascii="Times New Roman" w:hAnsi="Times New Roman" w:cs="Times New Roman"/>
          <w:color w:val="000000" w:themeColor="text1"/>
          <w:kern w:val="2"/>
          <w:sz w:val="16"/>
          <w:szCs w:val="16"/>
        </w:rPr>
        <w:softHyphen/>
        <w:t>ния на обозах. Летчики, которым уже 29 июня был назначен новый район по</w:t>
      </w:r>
      <w:r w:rsidRPr="002F2FDF">
        <w:rPr>
          <w:rFonts w:ascii="Times New Roman" w:hAnsi="Times New Roman" w:cs="Times New Roman"/>
          <w:color w:val="000000" w:themeColor="text1"/>
          <w:kern w:val="2"/>
          <w:sz w:val="16"/>
          <w:szCs w:val="16"/>
        </w:rPr>
        <w:softHyphen/>
        <w:t>летов, из-за непогоды сумели переле</w:t>
      </w:r>
      <w:r w:rsidRPr="002F2FDF">
        <w:rPr>
          <w:rFonts w:ascii="Times New Roman" w:hAnsi="Times New Roman" w:cs="Times New Roman"/>
          <w:color w:val="000000" w:themeColor="text1"/>
          <w:kern w:val="2"/>
          <w:sz w:val="16"/>
          <w:szCs w:val="16"/>
        </w:rPr>
        <w:softHyphen/>
        <w:t>теть в Станислав только к вечеру 2 ию</w:t>
      </w:r>
      <w:r w:rsidRPr="002F2FDF">
        <w:rPr>
          <w:rFonts w:ascii="Times New Roman" w:hAnsi="Times New Roman" w:cs="Times New Roman"/>
          <w:color w:val="000000" w:themeColor="text1"/>
          <w:kern w:val="2"/>
          <w:sz w:val="16"/>
          <w:szCs w:val="16"/>
        </w:rPr>
        <w:softHyphen/>
        <w:t>ля. Еще два дня ушло на установку па</w:t>
      </w:r>
      <w:r w:rsidRPr="002F2FDF">
        <w:rPr>
          <w:rFonts w:ascii="Times New Roman" w:hAnsi="Times New Roman" w:cs="Times New Roman"/>
          <w:color w:val="000000" w:themeColor="text1"/>
          <w:kern w:val="2"/>
          <w:sz w:val="16"/>
          <w:szCs w:val="16"/>
        </w:rPr>
        <w:softHyphen/>
        <w:t>латок, проводку телефонной связи, подготовку нового аэродрома. Лишь к вечеру 5 июля группа была приведена в боевую готовность (3954).</w:t>
      </w:r>
    </w:p>
    <w:p w14:paraId="4E7E11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69E2FA" w14:textId="77777777" w:rsidR="005E2948" w:rsidRPr="002F2FDF" w:rsidRDefault="005E2948" w:rsidP="0083075A">
      <w:pPr>
        <w:pStyle w:val="ae"/>
        <w:spacing w:before="0" w:after="0"/>
        <w:jc w:val="both"/>
        <w:rPr>
          <w:color w:val="000000" w:themeColor="text1"/>
          <w:kern w:val="2"/>
          <w:sz w:val="16"/>
          <w:szCs w:val="16"/>
        </w:rPr>
      </w:pPr>
      <w:r w:rsidRPr="002F2FDF">
        <w:rPr>
          <w:color w:val="000000" w:themeColor="text1"/>
          <w:kern w:val="2"/>
          <w:sz w:val="16"/>
          <w:szCs w:val="16"/>
        </w:rPr>
        <w:t>27 июня (10 июля) 1917 части 8-й армии генерала Корнилова, успешно продолжавшие наступление, взяли город Галич (на территории нынешней Ивано-Франковской области). К 13 июля войска Корнилова заняли позиции в районе реки Ломница (правый приток Днестра). Меньше чем за две недели боев они захватили свыше 7 тысяч пленных и 48 орудий. Однако продвигаться дальше у 8-й армии сил уже не было — шедшие впереди ударные части, первые поднимавшиеся в атаки, понесли тяжелые потери, а остальные подразделения отказывались выполнять приказы офицеров. К 15 июля наступление 8-й армии окончательно остановилось. Тем не менее, это был несомненный успех, поскольку на остальных участках Юго-Западного фронта в ходе Июньского наступления русским войскам вообще практически не удалось продвинуться по тем же самым причинам — из-за отказа большинства подразделений подчиняться приказам офицеров (17045).</w:t>
      </w:r>
    </w:p>
    <w:p w14:paraId="5A357945" w14:textId="77777777" w:rsidR="005E2948" w:rsidRPr="002F2FDF" w:rsidRDefault="005E294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7A2DD9" w14:textId="77777777" w:rsidR="0028644D"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7A3DB93E" w14:textId="77777777" w:rsidR="0028644D" w:rsidRPr="002F2FDF" w:rsidRDefault="0028644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F87071"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июня</w:t>
      </w:r>
      <w:r w:rsidR="00A8785D" w:rsidRPr="002F2FDF">
        <w:rPr>
          <w:rFonts w:ascii="Times New Roman" w:hAnsi="Times New Roman" w:cs="Times New Roman"/>
          <w:color w:val="000000" w:themeColor="text1"/>
          <w:kern w:val="2"/>
          <w:sz w:val="16"/>
          <w:szCs w:val="16"/>
        </w:rPr>
        <w:t xml:space="preserve"> (10 июля)</w:t>
      </w:r>
      <w:r w:rsidRPr="002F2FDF">
        <w:rPr>
          <w:rFonts w:ascii="Times New Roman" w:hAnsi="Times New Roman" w:cs="Times New Roman"/>
          <w:color w:val="000000" w:themeColor="text1"/>
          <w:kern w:val="2"/>
          <w:sz w:val="16"/>
          <w:szCs w:val="16"/>
        </w:rPr>
        <w:t xml:space="preserve"> 1917 из журнала заседания Временного правительства о разрешении французскому Электрохимическому анонимному обществу производить операции в России.</w:t>
      </w:r>
    </w:p>
    <w:p w14:paraId="51FE6EB3" w14:textId="4865CE75"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468</w:t>
      </w:r>
    </w:p>
    <w:p w14:paraId="28E9A617" w14:textId="2DC236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ЦГАОР, ф. 6, пп. 2, д.18, ч. 2, л. 78. Типогр. экз.</w:t>
      </w:r>
    </w:p>
    <w:p w14:paraId="26958AC3" w14:textId="77777777" w:rsidR="0028644D" w:rsidRPr="002F2FDF" w:rsidRDefault="0028644D" w:rsidP="0083075A">
      <w:pPr>
        <w:pStyle w:val="rtejustify"/>
        <w:spacing w:before="0" w:after="0"/>
        <w:rPr>
          <w:color w:val="000000" w:themeColor="text1"/>
          <w:kern w:val="2"/>
          <w:sz w:val="16"/>
          <w:szCs w:val="16"/>
        </w:rPr>
      </w:pPr>
      <w:r w:rsidRPr="002F2FDF">
        <w:rPr>
          <w:color w:val="000000" w:themeColor="text1"/>
          <w:kern w:val="2"/>
          <w:sz w:val="16"/>
          <w:szCs w:val="16"/>
        </w:rPr>
        <w:t xml:space="preserve">... </w:t>
      </w:r>
      <w:hyperlink r:id="rId319" w:anchor="_ftn1" w:history="1">
        <w:r w:rsidRPr="002F2FDF">
          <w:rPr>
            <w:rStyle w:val="a5"/>
            <w:color w:val="000000" w:themeColor="text1"/>
            <w:kern w:val="2"/>
            <w:sz w:val="16"/>
            <w:szCs w:val="16"/>
          </w:rPr>
          <w:t>[1]</w:t>
        </w:r>
      </w:hyperlink>
      <w:r w:rsidRPr="002F2FDF">
        <w:rPr>
          <w:color w:val="000000" w:themeColor="text1"/>
          <w:kern w:val="2"/>
          <w:sz w:val="16"/>
          <w:szCs w:val="16"/>
        </w:rPr>
        <w:t>Слушали. в) О разрешении французскому Электрохимическому анонимному об-ву производить операции в России.</w:t>
      </w:r>
    </w:p>
    <w:p w14:paraId="51F91C7A" w14:textId="77777777" w:rsidR="0028644D" w:rsidRPr="002F2FDF" w:rsidRDefault="0028644D" w:rsidP="0083075A">
      <w:pPr>
        <w:pStyle w:val="rtejustify"/>
        <w:spacing w:before="0" w:after="0"/>
        <w:rPr>
          <w:color w:val="000000" w:themeColor="text1"/>
          <w:kern w:val="2"/>
          <w:sz w:val="16"/>
          <w:szCs w:val="16"/>
        </w:rPr>
      </w:pPr>
      <w:r w:rsidRPr="002F2FDF">
        <w:rPr>
          <w:color w:val="000000" w:themeColor="text1"/>
          <w:kern w:val="2"/>
          <w:sz w:val="16"/>
          <w:szCs w:val="16"/>
        </w:rPr>
        <w:t>Постановили.</w:t>
      </w:r>
    </w:p>
    <w:p w14:paraId="5CC652A7" w14:textId="77777777" w:rsidR="0028644D" w:rsidRPr="002F2FDF" w:rsidRDefault="0028644D" w:rsidP="0083075A">
      <w:pPr>
        <w:pStyle w:val="rtejustify"/>
        <w:spacing w:before="0" w:after="0"/>
        <w:rPr>
          <w:color w:val="000000" w:themeColor="text1"/>
          <w:kern w:val="2"/>
          <w:sz w:val="16"/>
          <w:szCs w:val="16"/>
        </w:rPr>
      </w:pPr>
      <w:r w:rsidRPr="002F2FDF">
        <w:rPr>
          <w:color w:val="000000" w:themeColor="text1"/>
          <w:kern w:val="2"/>
          <w:sz w:val="16"/>
          <w:szCs w:val="16"/>
        </w:rPr>
        <w:t>I. Разрешить французскому акц. об-ву под наименованием «Электрохимическое анонимное об-во» (Societe Anonyme d’Electro-Chrimie) производить операции в Россия на прилагаемых при сем условиях.</w:t>
      </w:r>
      <w:hyperlink r:id="rId320" w:anchor="_ftn2" w:history="1">
        <w:r w:rsidRPr="002F2FDF">
          <w:rPr>
            <w:rStyle w:val="a5"/>
            <w:color w:val="000000" w:themeColor="text1"/>
            <w:kern w:val="2"/>
            <w:sz w:val="16"/>
            <w:szCs w:val="16"/>
          </w:rPr>
          <w:t>[2]</w:t>
        </w:r>
      </w:hyperlink>
    </w:p>
    <w:p w14:paraId="3F5DC4CF" w14:textId="77777777" w:rsidR="0028644D" w:rsidRPr="002F2FDF" w:rsidRDefault="0028644D" w:rsidP="0083075A">
      <w:pPr>
        <w:pStyle w:val="rtejustify"/>
        <w:spacing w:before="0" w:after="0"/>
        <w:rPr>
          <w:color w:val="000000" w:themeColor="text1"/>
          <w:kern w:val="2"/>
          <w:sz w:val="16"/>
          <w:szCs w:val="16"/>
        </w:rPr>
      </w:pPr>
      <w:r w:rsidRPr="002F2FDF">
        <w:rPr>
          <w:color w:val="000000" w:themeColor="text1"/>
          <w:kern w:val="2"/>
          <w:sz w:val="16"/>
          <w:szCs w:val="16"/>
        </w:rPr>
        <w:t>II. Предоставить министру торговли и промышленности допускать иностранные торгово-промышленные акционерные компании к деятельности в России на условиях применительно к вышеупомянутым (отд. I) условиях, а равно изменять правила действующих уже в России такого рода иностранных компания применительно к тем же/условиям...</w:t>
      </w:r>
      <w:hyperlink r:id="rId321" w:anchor="_ftn3" w:history="1">
        <w:r w:rsidRPr="002F2FDF">
          <w:rPr>
            <w:rStyle w:val="a5"/>
            <w:color w:val="000000" w:themeColor="text1"/>
            <w:kern w:val="2"/>
            <w:sz w:val="16"/>
            <w:szCs w:val="16"/>
          </w:rPr>
          <w:t>[3]</w:t>
        </w:r>
      </w:hyperlink>
    </w:p>
    <w:p w14:paraId="0B540182" w14:textId="77777777" w:rsidR="0028644D" w:rsidRPr="002F2FDF" w:rsidRDefault="00000000" w:rsidP="0083075A">
      <w:pPr>
        <w:pStyle w:val="ae"/>
        <w:spacing w:before="0" w:after="0"/>
        <w:jc w:val="both"/>
        <w:rPr>
          <w:color w:val="000000" w:themeColor="text1"/>
          <w:kern w:val="2"/>
          <w:sz w:val="16"/>
          <w:szCs w:val="16"/>
        </w:rPr>
      </w:pPr>
      <w:hyperlink r:id="rId322" w:anchor="_ftnref1" w:history="1">
        <w:r w:rsidR="0028644D" w:rsidRPr="002F2FDF">
          <w:rPr>
            <w:rStyle w:val="a5"/>
            <w:color w:val="000000" w:themeColor="text1"/>
            <w:kern w:val="2"/>
            <w:sz w:val="16"/>
            <w:szCs w:val="16"/>
          </w:rPr>
          <w:t>[1]</w:t>
        </w:r>
      </w:hyperlink>
      <w:r w:rsidR="0028644D" w:rsidRPr="002F2FDF">
        <w:rPr>
          <w:color w:val="000000" w:themeColor="text1"/>
          <w:kern w:val="2"/>
          <w:sz w:val="16"/>
          <w:szCs w:val="16"/>
        </w:rPr>
        <w:t xml:space="preserve"> В том же деле, лл. 79-81.</w:t>
      </w:r>
    </w:p>
    <w:p w14:paraId="30CA9691" w14:textId="77777777" w:rsidR="0028644D" w:rsidRPr="002F2FDF" w:rsidRDefault="00000000" w:rsidP="0083075A">
      <w:pPr>
        <w:pStyle w:val="ae"/>
        <w:spacing w:before="0" w:after="0"/>
        <w:jc w:val="both"/>
        <w:rPr>
          <w:color w:val="000000" w:themeColor="text1"/>
          <w:kern w:val="2"/>
          <w:sz w:val="16"/>
          <w:szCs w:val="16"/>
        </w:rPr>
      </w:pPr>
      <w:hyperlink r:id="rId323" w:anchor="_ftnref2" w:history="1">
        <w:r w:rsidR="0028644D" w:rsidRPr="002F2FDF">
          <w:rPr>
            <w:rStyle w:val="a5"/>
            <w:color w:val="000000" w:themeColor="text1"/>
            <w:kern w:val="2"/>
            <w:sz w:val="16"/>
            <w:szCs w:val="16"/>
          </w:rPr>
          <w:t>[2]</w:t>
        </w:r>
      </w:hyperlink>
      <w:r w:rsidR="0028644D" w:rsidRPr="002F2FDF">
        <w:rPr>
          <w:color w:val="000000" w:themeColor="text1"/>
          <w:kern w:val="2"/>
          <w:sz w:val="16"/>
          <w:szCs w:val="16"/>
        </w:rPr>
        <w:t xml:space="preserve"> В том же деле, лл. 79-81.</w:t>
      </w:r>
    </w:p>
    <w:p w14:paraId="66FF174F" w14:textId="77777777" w:rsidR="0028644D" w:rsidRPr="002F2FDF" w:rsidRDefault="00000000" w:rsidP="0083075A">
      <w:pPr>
        <w:pStyle w:val="ae"/>
        <w:spacing w:before="0" w:after="0"/>
        <w:jc w:val="both"/>
        <w:rPr>
          <w:color w:val="000000" w:themeColor="text1"/>
          <w:kern w:val="2"/>
          <w:sz w:val="16"/>
          <w:szCs w:val="16"/>
        </w:rPr>
      </w:pPr>
      <w:hyperlink r:id="rId324" w:anchor="_ftnref3" w:history="1">
        <w:r w:rsidR="0028644D" w:rsidRPr="002F2FDF">
          <w:rPr>
            <w:rStyle w:val="a5"/>
            <w:color w:val="000000" w:themeColor="text1"/>
            <w:kern w:val="2"/>
            <w:sz w:val="16"/>
            <w:szCs w:val="16"/>
          </w:rPr>
          <w:t>[3]</w:t>
        </w:r>
      </w:hyperlink>
      <w:r w:rsidR="0028644D" w:rsidRPr="002F2FDF">
        <w:rPr>
          <w:color w:val="000000" w:themeColor="text1"/>
          <w:kern w:val="2"/>
          <w:sz w:val="16"/>
          <w:szCs w:val="16"/>
        </w:rPr>
        <w:t xml:space="preserve"> Опущены другие вопросы повестки дня (15200).</w:t>
      </w:r>
    </w:p>
    <w:p w14:paraId="632E1B59" w14:textId="77777777" w:rsidR="0028644D" w:rsidRPr="002F2FDF" w:rsidRDefault="0028644D"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7ADC038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57FC5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BB60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июня (10 июля) 1917 г. состоялось первое применение в годы первой мировой войны дифенилхлорарсина - ОВ раздражающего действия. Артиллерийский обстрел осуществила германская армия (см. также 22 апреля 1915 г., 31 мая 1915 г., 1 июля 1916 г., 12-13 июля 1917 г.) (9067).</w:t>
      </w:r>
    </w:p>
    <w:p w14:paraId="3C61C3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8B21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июля (10 июля) 1917 года немцами на Западном фронте был впервые применён дифенилхлорарсин, вызывающий сильный кашель даже через противогаз, в те годы имевший плохой противодымный фильтр. Поэтому в дальнейшем для поражения живой силы противника дифенилхлорарсин стали применять вместе с фосгеном или дифосгеном.Новый этап применения химического оружия начался с применения стойкого отравляющего вещества кожно-нарывного действия (В, В -дихлордиэтилсульфида). Примененного впервые немецкими войсками под бельгийским городом Ипр. 12 июля 1917 года в течение 4 часов по позициям союзников было выпущено 50 тысяч снарядов, содержащих 125 тонн В, В-дихлордиэтилсульфида. Поражения различной степени получили 2490 человек. Французами новое ОВ было названо "ипритом", по месту первого применения, а англичанами "горчичным газом" из-за сильного специфического запаха (11416).</w:t>
      </w:r>
    </w:p>
    <w:p w14:paraId="2D8469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BF10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июня (10 июля) 1917 в ходе наступления на побережье впервые эскадрилья 1-й боевой эскадры сопровождала в групповом полете и на небольшой высоте немецкую наступающую пехоту. Здесь летчики получили возможность вести бой в тесном взаимодействии с наземными войсками, оказывая им поддержку всей мощью собственного оружия (11282).</w:t>
      </w:r>
    </w:p>
    <w:p w14:paraId="7BE07D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C36451" w14:textId="1B364C79"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27 июня (10 июля)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В ходе сражения во Фландрии, известного как «третья битва под Ипром», один из "пехотных" авиаотрядов немецкой 1-боевой эскадры впервые непосредственно сопровождал поднимающуюся в атаку пехоту, поддерживая её огнём. Результаты оказались ошеломляющими - как в отношении материального урона, нанесённого противнику, так в отношении оказанного на врага морального воздействия. После такого успешного дебюта германское командование приняло вполне логичное решение поставить непосредственную авиационную поддержку пехоты на более организованную основу и значительно расширить масштабы такой поддержки (22434).</w:t>
      </w:r>
    </w:p>
    <w:p w14:paraId="41EC5A8E"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p>
    <w:p w14:paraId="66E24828" w14:textId="77777777" w:rsidR="00D81820" w:rsidRPr="00FB4F67" w:rsidRDefault="00D8182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27 июня (10 июля) 1917 г. в ходе сражения во Фландрии, известного как «третья битва под Ипром», один из авиаотрядов 1-й боевой эскадры впервые непосредственно сопровождал поднима</w:t>
      </w:r>
      <w:r w:rsidRPr="00FB4F67">
        <w:rPr>
          <w:rFonts w:ascii="Times New Roman" w:hAnsi="Times New Roman" w:cs="Times New Roman"/>
          <w:color w:val="0070C0"/>
          <w:sz w:val="16"/>
          <w:szCs w:val="16"/>
        </w:rPr>
        <w:softHyphen/>
        <w:t>ющуюся в атаку пехоту, поддерживая её огнем. Результаты оказались ошеломляю</w:t>
      </w:r>
      <w:r w:rsidRPr="00FB4F67">
        <w:rPr>
          <w:rFonts w:ascii="Times New Roman" w:hAnsi="Times New Roman" w:cs="Times New Roman"/>
          <w:color w:val="0070C0"/>
          <w:sz w:val="16"/>
          <w:szCs w:val="16"/>
        </w:rPr>
        <w:softHyphen/>
        <w:t>щими - как в отношении урона, нанесен</w:t>
      </w:r>
      <w:r w:rsidRPr="00FB4F67">
        <w:rPr>
          <w:rFonts w:ascii="Times New Roman" w:hAnsi="Times New Roman" w:cs="Times New Roman"/>
          <w:color w:val="0070C0"/>
          <w:sz w:val="16"/>
          <w:szCs w:val="16"/>
        </w:rPr>
        <w:softHyphen/>
        <w:t>ного противнику, так и в отношении ока</w:t>
      </w:r>
      <w:r w:rsidRPr="00FB4F67">
        <w:rPr>
          <w:rFonts w:ascii="Times New Roman" w:hAnsi="Times New Roman" w:cs="Times New Roman"/>
          <w:color w:val="0070C0"/>
          <w:sz w:val="16"/>
          <w:szCs w:val="16"/>
        </w:rPr>
        <w:softHyphen/>
        <w:t>занного на врага морального воздейст</w:t>
      </w:r>
      <w:r w:rsidRPr="00FB4F67">
        <w:rPr>
          <w:rFonts w:ascii="Times New Roman" w:hAnsi="Times New Roman" w:cs="Times New Roman"/>
          <w:color w:val="0070C0"/>
          <w:sz w:val="16"/>
          <w:szCs w:val="16"/>
        </w:rPr>
        <w:softHyphen/>
        <w:t>вия.</w:t>
      </w:r>
    </w:p>
    <w:p w14:paraId="11F7265D" w14:textId="77777777" w:rsidR="00D81820" w:rsidRPr="00FB4F67" w:rsidRDefault="00D8182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Во время битвы на Сомме в 1916 г. само</w:t>
      </w:r>
      <w:r w:rsidRPr="00FB4F67">
        <w:rPr>
          <w:rFonts w:ascii="Times New Roman" w:hAnsi="Times New Roman" w:cs="Times New Roman"/>
          <w:color w:val="0070C0"/>
          <w:sz w:val="16"/>
          <w:szCs w:val="16"/>
        </w:rPr>
        <w:softHyphen/>
        <w:t>леты пехотных отрядов впервые исполь</w:t>
      </w:r>
      <w:r w:rsidRPr="00FB4F67">
        <w:rPr>
          <w:rFonts w:ascii="Times New Roman" w:hAnsi="Times New Roman" w:cs="Times New Roman"/>
          <w:color w:val="0070C0"/>
          <w:sz w:val="16"/>
          <w:szCs w:val="16"/>
        </w:rPr>
        <w:softHyphen/>
        <w:t>зовались в качестве штурмовиков, нанося удары по вражеским траншеям, пулемет</w:t>
      </w:r>
      <w:r w:rsidRPr="00FB4F67">
        <w:rPr>
          <w:rFonts w:ascii="Times New Roman" w:hAnsi="Times New Roman" w:cs="Times New Roman"/>
          <w:color w:val="0070C0"/>
          <w:sz w:val="16"/>
          <w:szCs w:val="16"/>
        </w:rPr>
        <w:softHyphen/>
        <w:t>ным гнездам, артбатареям, резервам. Но по-настоящему тесное взаимодействие авиации с пехотой удалось организовать лишь в следующем году.</w:t>
      </w:r>
    </w:p>
    <w:p w14:paraId="51876C9D" w14:textId="77777777" w:rsidR="00D81820" w:rsidRPr="00FB4F67" w:rsidRDefault="00D8182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Германское командование после такого успешного дебюта приняло реше</w:t>
      </w:r>
      <w:r w:rsidRPr="00FB4F67">
        <w:rPr>
          <w:rFonts w:ascii="Times New Roman" w:hAnsi="Times New Roman" w:cs="Times New Roman"/>
          <w:color w:val="0070C0"/>
          <w:sz w:val="16"/>
          <w:szCs w:val="16"/>
        </w:rPr>
        <w:softHyphen/>
        <w:t>ние поставить непосредственную авиаци</w:t>
      </w:r>
      <w:r w:rsidRPr="00FB4F67">
        <w:rPr>
          <w:rFonts w:ascii="Times New Roman" w:hAnsi="Times New Roman" w:cs="Times New Roman"/>
          <w:color w:val="0070C0"/>
          <w:sz w:val="16"/>
          <w:szCs w:val="16"/>
        </w:rPr>
        <w:softHyphen/>
        <w:t>онную поддержку пехоты на более орга</w:t>
      </w:r>
      <w:r w:rsidRPr="00FB4F67">
        <w:rPr>
          <w:rFonts w:ascii="Times New Roman" w:hAnsi="Times New Roman" w:cs="Times New Roman"/>
          <w:color w:val="0070C0"/>
          <w:sz w:val="16"/>
          <w:szCs w:val="16"/>
        </w:rPr>
        <w:softHyphen/>
        <w:t>низованную основу и значительно расши</w:t>
      </w:r>
      <w:r w:rsidRPr="00FB4F67">
        <w:rPr>
          <w:rFonts w:ascii="Times New Roman" w:hAnsi="Times New Roman" w:cs="Times New Roman"/>
          <w:color w:val="0070C0"/>
          <w:sz w:val="16"/>
          <w:szCs w:val="16"/>
        </w:rPr>
        <w:softHyphen/>
        <w:t>рить масштабы такой поддержки. Первым шагом в этом направлении стала реорга</w:t>
      </w:r>
      <w:r w:rsidRPr="00FB4F67">
        <w:rPr>
          <w:rFonts w:ascii="Times New Roman" w:hAnsi="Times New Roman" w:cs="Times New Roman"/>
          <w:color w:val="0070C0"/>
          <w:sz w:val="16"/>
          <w:szCs w:val="16"/>
        </w:rPr>
        <w:softHyphen/>
        <w:t>низация формируемых с 1916 г. отрядов сопровождения (Schutzstaffeln) в штурмо</w:t>
      </w:r>
      <w:r w:rsidRPr="00FB4F67">
        <w:rPr>
          <w:rFonts w:ascii="Times New Roman" w:hAnsi="Times New Roman" w:cs="Times New Roman"/>
          <w:color w:val="0070C0"/>
          <w:sz w:val="16"/>
          <w:szCs w:val="16"/>
        </w:rPr>
        <w:softHyphen/>
        <w:t>вые отряды (Schlachtstaffeln). Первона</w:t>
      </w:r>
      <w:r w:rsidRPr="00FB4F67">
        <w:rPr>
          <w:rFonts w:ascii="Times New Roman" w:hAnsi="Times New Roman" w:cs="Times New Roman"/>
          <w:color w:val="0070C0"/>
          <w:sz w:val="16"/>
          <w:szCs w:val="16"/>
        </w:rPr>
        <w:softHyphen/>
        <w:t>чально задачей отрядов сопровождения было прикрытие разведчиков, а вооружа</w:t>
      </w:r>
      <w:r w:rsidRPr="00FB4F67">
        <w:rPr>
          <w:rFonts w:ascii="Times New Roman" w:hAnsi="Times New Roman" w:cs="Times New Roman"/>
          <w:color w:val="0070C0"/>
          <w:sz w:val="16"/>
          <w:szCs w:val="16"/>
        </w:rPr>
        <w:softHyphen/>
        <w:t>лись они легкими двухместными самоле</w:t>
      </w:r>
      <w:r w:rsidRPr="00FB4F67">
        <w:rPr>
          <w:rFonts w:ascii="Times New Roman" w:hAnsi="Times New Roman" w:cs="Times New Roman"/>
          <w:color w:val="0070C0"/>
          <w:sz w:val="16"/>
          <w:szCs w:val="16"/>
        </w:rPr>
        <w:softHyphen/>
        <w:t>тами «Ганновер» CI.IV и «Хальберштадт» Cl.ll и СЫН. Все эти аэропланы оборудова</w:t>
      </w:r>
      <w:r w:rsidRPr="00FB4F67">
        <w:rPr>
          <w:rFonts w:ascii="Times New Roman" w:hAnsi="Times New Roman" w:cs="Times New Roman"/>
          <w:color w:val="0070C0"/>
          <w:sz w:val="16"/>
          <w:szCs w:val="16"/>
        </w:rPr>
        <w:softHyphen/>
        <w:t>лись 160-сильными двигателями, облада</w:t>
      </w:r>
      <w:r w:rsidRPr="00FB4F67">
        <w:rPr>
          <w:rFonts w:ascii="Times New Roman" w:hAnsi="Times New Roman" w:cs="Times New Roman"/>
          <w:color w:val="0070C0"/>
          <w:sz w:val="16"/>
          <w:szCs w:val="16"/>
        </w:rPr>
        <w:softHyphen/>
        <w:t xml:space="preserve">ли максимальной </w:t>
      </w:r>
      <w:r w:rsidRPr="00FB4F67">
        <w:rPr>
          <w:rFonts w:ascii="Times New Roman" w:hAnsi="Times New Roman" w:cs="Times New Roman"/>
          <w:color w:val="0070C0"/>
          <w:sz w:val="16"/>
          <w:szCs w:val="16"/>
        </w:rPr>
        <w:lastRenderedPageBreak/>
        <w:t>скоростью примерно 165 км/ч и продолжительностью полета около 3 часов. Вооружение их состояло из трех 7,92-мм пулеметов (двух синхронных и одного турельного) и мелких бомб. При реорганизации отрядов в штурмовые, их материальная часть оставалась прежней, хотя задачи кардинально изменились. И, надо сказать, самолеты класса «С1» в об</w:t>
      </w:r>
      <w:r w:rsidRPr="00FB4F67">
        <w:rPr>
          <w:rFonts w:ascii="Times New Roman" w:hAnsi="Times New Roman" w:cs="Times New Roman"/>
          <w:color w:val="0070C0"/>
          <w:sz w:val="16"/>
          <w:szCs w:val="16"/>
        </w:rPr>
        <w:softHyphen/>
        <w:t>щем, неплохо справлялись с новыми за</w:t>
      </w:r>
      <w:r w:rsidRPr="00FB4F67">
        <w:rPr>
          <w:rFonts w:ascii="Times New Roman" w:hAnsi="Times New Roman" w:cs="Times New Roman"/>
          <w:color w:val="0070C0"/>
          <w:sz w:val="16"/>
          <w:szCs w:val="16"/>
        </w:rPr>
        <w:softHyphen/>
        <w:t>дачами - хотя они были совершенно не защищены броней, небольшие размеры и высокая маневренность делали их весьма трудными целями для зенитного огня (21189).</w:t>
      </w:r>
    </w:p>
    <w:p w14:paraId="535EB107" w14:textId="77777777" w:rsidR="00D81820" w:rsidRPr="00FB4F67" w:rsidRDefault="00D81820" w:rsidP="0083075A">
      <w:pPr>
        <w:spacing w:after="0" w:line="240" w:lineRule="auto"/>
        <w:jc w:val="both"/>
        <w:rPr>
          <w:rFonts w:ascii="Times New Roman" w:hAnsi="Times New Roman" w:cs="Times New Roman"/>
          <w:color w:val="0070C0"/>
          <w:sz w:val="16"/>
          <w:szCs w:val="16"/>
        </w:rPr>
      </w:pPr>
    </w:p>
    <w:p w14:paraId="6E4D1E1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F88E6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EE7E19" w14:textId="298316C6" w:rsidR="00C53D87" w:rsidRDefault="00C53D87"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28 и</w:t>
      </w:r>
      <w:r w:rsidRPr="002F2FDF">
        <w:rPr>
          <w:rFonts w:ascii="Times New Roman" w:hAnsi="Times New Roman" w:cs="Times New Roman"/>
          <w:color w:val="000000" w:themeColor="text1"/>
          <w:kern w:val="2"/>
          <w:sz w:val="16"/>
          <w:szCs w:val="16"/>
        </w:rPr>
        <w:t>ю</w:t>
      </w:r>
      <w:r>
        <w:rPr>
          <w:rFonts w:ascii="Times New Roman" w:hAnsi="Times New Roman" w:cs="Times New Roman"/>
          <w:color w:val="000000" w:themeColor="text1"/>
          <w:kern w:val="2"/>
          <w:sz w:val="16"/>
          <w:szCs w:val="16"/>
        </w:rPr>
        <w:t>ня</w:t>
      </w:r>
      <w:r w:rsidRPr="002F2FDF">
        <w:rPr>
          <w:rFonts w:ascii="Times New Roman" w:hAnsi="Times New Roman" w:cs="Times New Roman"/>
          <w:color w:val="000000" w:themeColor="text1"/>
          <w:kern w:val="2"/>
          <w:sz w:val="16"/>
          <w:szCs w:val="16"/>
        </w:rPr>
        <w:t xml:space="preserve"> </w:t>
      </w:r>
      <w:r>
        <w:rPr>
          <w:rFonts w:ascii="Times New Roman" w:hAnsi="Times New Roman" w:cs="Times New Roman"/>
          <w:color w:val="000000" w:themeColor="text1"/>
          <w:kern w:val="2"/>
          <w:sz w:val="16"/>
          <w:szCs w:val="16"/>
        </w:rPr>
        <w:t xml:space="preserve">(11 июля) </w:t>
      </w:r>
      <w:r w:rsidRPr="002F2FDF">
        <w:rPr>
          <w:rFonts w:ascii="Times New Roman" w:hAnsi="Times New Roman" w:cs="Times New Roman"/>
          <w:color w:val="000000" w:themeColor="text1"/>
          <w:kern w:val="2"/>
          <w:sz w:val="16"/>
          <w:szCs w:val="16"/>
        </w:rPr>
        <w:t>1917</w:t>
      </w:r>
      <w:r>
        <w:rPr>
          <w:rFonts w:ascii="Times New Roman" w:hAnsi="Times New Roman" w:cs="Times New Roman"/>
          <w:color w:val="000000" w:themeColor="text1"/>
          <w:kern w:val="2"/>
          <w:sz w:val="16"/>
          <w:szCs w:val="16"/>
        </w:rPr>
        <w:t xml:space="preserve"> г.</w:t>
      </w:r>
    </w:p>
    <w:p w14:paraId="6204427E" w14:textId="09A8DB3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2B1C74" w:rsidRPr="002F2FDF" w14:paraId="6BD1535F" w14:textId="77777777">
        <w:tc>
          <w:tcPr>
            <w:tcW w:w="1548" w:type="dxa"/>
            <w:tcBorders>
              <w:top w:val="single" w:sz="12" w:space="0" w:color="auto"/>
            </w:tcBorders>
            <w:shd w:val="clear" w:color="auto" w:fill="FFFFFF"/>
          </w:tcPr>
          <w:p w14:paraId="5877C8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Дата контракта</w:t>
            </w:r>
          </w:p>
        </w:tc>
        <w:tc>
          <w:tcPr>
            <w:tcW w:w="1170" w:type="dxa"/>
            <w:tcBorders>
              <w:top w:val="single" w:sz="12" w:space="0" w:color="auto"/>
            </w:tcBorders>
            <w:shd w:val="clear" w:color="auto" w:fill="FFFFFF"/>
          </w:tcPr>
          <w:p w14:paraId="065C18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заказанных аэропланов</w:t>
            </w:r>
          </w:p>
        </w:tc>
        <w:tc>
          <w:tcPr>
            <w:tcW w:w="6858" w:type="dxa"/>
            <w:tcBorders>
              <w:top w:val="single" w:sz="12" w:space="0" w:color="auto"/>
            </w:tcBorders>
            <w:shd w:val="clear" w:color="auto" w:fill="FFFFFF"/>
          </w:tcPr>
          <w:p w14:paraId="162D88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Условия</w:t>
            </w:r>
          </w:p>
        </w:tc>
      </w:tr>
      <w:tr w:rsidR="002B1C74" w:rsidRPr="002F2FDF" w14:paraId="0446FB05" w14:textId="77777777">
        <w:tc>
          <w:tcPr>
            <w:tcW w:w="1548" w:type="dxa"/>
            <w:shd w:val="clear" w:color="auto" w:fill="FFFFFF"/>
          </w:tcPr>
          <w:p w14:paraId="587845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 28 1917</w:t>
            </w:r>
          </w:p>
        </w:tc>
        <w:tc>
          <w:tcPr>
            <w:tcW w:w="1170" w:type="dxa"/>
            <w:shd w:val="clear" w:color="auto" w:fill="FFFFFF"/>
          </w:tcPr>
          <w:p w14:paraId="192108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c>
          <w:tcPr>
            <w:tcW w:w="6858" w:type="dxa"/>
            <w:shd w:val="clear" w:color="auto" w:fill="FFFFFF"/>
          </w:tcPr>
          <w:p w14:paraId="23557B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тыс. руб. за аппарат под мотор “Рон” 125 л.с., срок исполнения с 1 сентября 1917 г. по 1 января 1918 г. (не выполнен)</w:t>
            </w:r>
          </w:p>
          <w:p w14:paraId="217799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ПРИМЕЧАНИЯ: заказ дан Опытному заводу Д. П. Григоровича (см. главу 2 и раздел М-20)</w:t>
            </w:r>
          </w:p>
        </w:tc>
      </w:tr>
      <w:tr w:rsidR="002B1C74" w:rsidRPr="002F2FDF" w14:paraId="4791DEB2" w14:textId="77777777">
        <w:tc>
          <w:tcPr>
            <w:tcW w:w="1548" w:type="dxa"/>
            <w:tcBorders>
              <w:bottom w:val="single" w:sz="12" w:space="0" w:color="auto"/>
            </w:tcBorders>
            <w:shd w:val="clear" w:color="auto" w:fill="FFFFFF"/>
          </w:tcPr>
          <w:p w14:paraId="321896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 31 1917</w:t>
            </w:r>
          </w:p>
        </w:tc>
        <w:tc>
          <w:tcPr>
            <w:tcW w:w="1170" w:type="dxa"/>
            <w:tcBorders>
              <w:bottom w:val="single" w:sz="12" w:space="0" w:color="auto"/>
            </w:tcBorders>
            <w:shd w:val="clear" w:color="auto" w:fill="FFFFFF"/>
          </w:tcPr>
          <w:p w14:paraId="744AFD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6858" w:type="dxa"/>
            <w:tcBorders>
              <w:bottom w:val="single" w:sz="12" w:space="0" w:color="auto"/>
            </w:tcBorders>
            <w:shd w:val="clear" w:color="auto" w:fill="FFFFFF"/>
          </w:tcPr>
          <w:p w14:paraId="7BF02A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контракт на ранее приобретенные аппараты (2807)</w:t>
            </w:r>
          </w:p>
        </w:tc>
      </w:tr>
    </w:tbl>
    <w:p w14:paraId="42193FD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E6A352" w14:textId="77777777" w:rsidR="00094F32" w:rsidRPr="00815ED5" w:rsidRDefault="00094F32"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28 июня</w:t>
      </w:r>
      <w:r>
        <w:rPr>
          <w:rFonts w:ascii="Times New Roman" w:hAnsi="Times New Roman" w:cs="Times New Roman"/>
          <w:color w:val="0070C0"/>
          <w:sz w:val="16"/>
          <w:szCs w:val="16"/>
        </w:rPr>
        <w:t xml:space="preserve"> (11 июля)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815ED5">
        <w:rPr>
          <w:rFonts w:ascii="Times New Roman" w:hAnsi="Times New Roman" w:cs="Times New Roman"/>
          <w:color w:val="0070C0"/>
          <w:sz w:val="16"/>
          <w:szCs w:val="16"/>
        </w:rPr>
        <w:t xml:space="preserve">етчик 29 КАО прапорщик Иван Христофорович Базилевич-Княжиковокий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 xml:space="preserve"> механиком Королем на самолете </w:t>
      </w:r>
      <w:r>
        <w:rPr>
          <w:rFonts w:ascii="Times New Roman" w:hAnsi="Times New Roman" w:cs="Times New Roman"/>
          <w:color w:val="0070C0"/>
          <w:sz w:val="16"/>
          <w:szCs w:val="16"/>
        </w:rPr>
        <w:t>«Л</w:t>
      </w:r>
      <w:r w:rsidRPr="00815ED5">
        <w:rPr>
          <w:rFonts w:ascii="Times New Roman" w:hAnsi="Times New Roman" w:cs="Times New Roman"/>
          <w:color w:val="0070C0"/>
          <w:sz w:val="16"/>
          <w:szCs w:val="16"/>
        </w:rPr>
        <w:t>ебедь-12</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предпри</w:t>
      </w:r>
      <w:r w:rsidRPr="00815ED5">
        <w:rPr>
          <w:rFonts w:ascii="Times New Roman" w:hAnsi="Times New Roman" w:cs="Times New Roman"/>
          <w:color w:val="0070C0"/>
          <w:sz w:val="16"/>
          <w:szCs w:val="16"/>
        </w:rPr>
        <w:softHyphen/>
        <w:t>нял на собственные средства перелет Петроград-</w:t>
      </w:r>
      <w:r>
        <w:rPr>
          <w:rFonts w:ascii="Times New Roman" w:hAnsi="Times New Roman" w:cs="Times New Roman"/>
          <w:color w:val="0070C0"/>
          <w:sz w:val="16"/>
          <w:szCs w:val="16"/>
        </w:rPr>
        <w:t>М</w:t>
      </w:r>
      <w:r w:rsidRPr="00815ED5">
        <w:rPr>
          <w:rFonts w:ascii="Times New Roman" w:hAnsi="Times New Roman" w:cs="Times New Roman"/>
          <w:color w:val="0070C0"/>
          <w:sz w:val="16"/>
          <w:szCs w:val="16"/>
        </w:rPr>
        <w:t>осква-</w:t>
      </w:r>
      <w:r>
        <w:rPr>
          <w:rFonts w:ascii="Times New Roman" w:hAnsi="Times New Roman" w:cs="Times New Roman"/>
          <w:color w:val="0070C0"/>
          <w:sz w:val="16"/>
          <w:szCs w:val="16"/>
        </w:rPr>
        <w:t>П</w:t>
      </w:r>
      <w:r w:rsidRPr="00815ED5">
        <w:rPr>
          <w:rFonts w:ascii="Times New Roman" w:hAnsi="Times New Roman" w:cs="Times New Roman"/>
          <w:color w:val="0070C0"/>
          <w:sz w:val="16"/>
          <w:szCs w:val="16"/>
        </w:rPr>
        <w:t>енза с целью проверки самолета в длительном полете,</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но долетев до Москвы,</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отказал</w:t>
      </w:r>
      <w:r w:rsidRPr="00815ED5">
        <w:rPr>
          <w:rFonts w:ascii="Times New Roman" w:hAnsi="Times New Roman" w:cs="Times New Roman"/>
          <w:color w:val="0070C0"/>
          <w:sz w:val="16"/>
          <w:szCs w:val="16"/>
        </w:rPr>
        <w:softHyphen/>
        <w:t>ся от продолжения полета ввиду дороговизны бензина и вообще переле</w:t>
      </w:r>
      <w:r w:rsidRPr="00815ED5">
        <w:rPr>
          <w:rFonts w:ascii="Times New Roman" w:hAnsi="Times New Roman" w:cs="Times New Roman"/>
          <w:color w:val="0070C0"/>
          <w:sz w:val="16"/>
          <w:szCs w:val="16"/>
        </w:rPr>
        <w:softHyphen/>
        <w:t>та /истратил своих 300 руб./.</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Фирма же </w:t>
      </w:r>
      <w:r>
        <w:rPr>
          <w:rFonts w:ascii="Times New Roman" w:hAnsi="Times New Roman" w:cs="Times New Roman"/>
          <w:color w:val="0070C0"/>
          <w:sz w:val="16"/>
          <w:szCs w:val="16"/>
        </w:rPr>
        <w:t>Л</w:t>
      </w:r>
      <w:r w:rsidRPr="00815ED5">
        <w:rPr>
          <w:rFonts w:ascii="Times New Roman" w:hAnsi="Times New Roman" w:cs="Times New Roman"/>
          <w:color w:val="0070C0"/>
          <w:sz w:val="16"/>
          <w:szCs w:val="16"/>
        </w:rPr>
        <w:t>ебедев и К</w:t>
      </w:r>
      <w:r>
        <w:rPr>
          <w:rFonts w:ascii="Times New Roman" w:hAnsi="Times New Roman" w:cs="Times New Roman"/>
          <w:color w:val="0070C0"/>
          <w:sz w:val="16"/>
          <w:szCs w:val="16"/>
        </w:rPr>
        <w:t>о</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выпускавшая самолеты “Лебедь-12“,</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не финансировала перелет</w:t>
      </w:r>
      <w:r>
        <w:rPr>
          <w:rFonts w:ascii="Times New Roman" w:hAnsi="Times New Roman" w:cs="Times New Roman"/>
          <w:color w:val="0070C0"/>
          <w:sz w:val="16"/>
          <w:szCs w:val="16"/>
        </w:rPr>
        <w:t>.</w:t>
      </w:r>
    </w:p>
    <w:p w14:paraId="1A144F3E" w14:textId="77777777" w:rsidR="00094F32" w:rsidRDefault="00094F32" w:rsidP="0083075A">
      <w:pPr>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ф</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493, оп. 10, </w:t>
      </w:r>
      <w:r>
        <w:rPr>
          <w:rFonts w:ascii="Times New Roman" w:hAnsi="Times New Roman" w:cs="Times New Roman"/>
          <w:color w:val="0070C0"/>
          <w:sz w:val="16"/>
          <w:szCs w:val="16"/>
        </w:rPr>
        <w:t>д</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42, </w:t>
      </w:r>
      <w:r>
        <w:rPr>
          <w:rFonts w:ascii="Times New Roman" w:hAnsi="Times New Roman" w:cs="Times New Roman"/>
          <w:color w:val="0070C0"/>
          <w:sz w:val="16"/>
          <w:szCs w:val="16"/>
        </w:rPr>
        <w:t>лл</w:t>
      </w:r>
      <w:r w:rsidRPr="00815ED5">
        <w:rPr>
          <w:rFonts w:ascii="Times New Roman" w:hAnsi="Times New Roman" w:cs="Times New Roman"/>
          <w:color w:val="0070C0"/>
          <w:sz w:val="16"/>
          <w:szCs w:val="16"/>
        </w:rPr>
        <w:t>. 258-259/</w:t>
      </w:r>
      <w:r>
        <w:rPr>
          <w:rFonts w:ascii="Times New Roman" w:hAnsi="Times New Roman" w:cs="Times New Roman"/>
          <w:color w:val="0070C0"/>
          <w:sz w:val="16"/>
          <w:szCs w:val="16"/>
        </w:rPr>
        <w:t xml:space="preserve"> (23320).</w:t>
      </w:r>
    </w:p>
    <w:p w14:paraId="1830C349" w14:textId="77777777" w:rsidR="00094F32" w:rsidRPr="00815ED5" w:rsidRDefault="00094F32" w:rsidP="0083075A">
      <w:pPr>
        <w:spacing w:after="0" w:line="240" w:lineRule="auto"/>
        <w:jc w:val="both"/>
        <w:rPr>
          <w:rFonts w:ascii="Times New Roman" w:hAnsi="Times New Roman" w:cs="Times New Roman"/>
          <w:color w:val="0070C0"/>
          <w:sz w:val="16"/>
          <w:szCs w:val="16"/>
        </w:rPr>
      </w:pPr>
    </w:p>
    <w:p w14:paraId="5DB2C12B" w14:textId="77777777" w:rsidR="0028644D"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DA972F4" w14:textId="77777777" w:rsidR="0028644D" w:rsidRPr="002F2FDF" w:rsidRDefault="0028644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ABB66F"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июня (11 июля) 1917 г. вышел рапорт Главного артиллерийского полигона (ГАП), согласно которому в ГАУ 9 июня того же года на ГАП (Ржевке под Петроградом) была произведена стрельба из пушки Рябушинского. Сделано 19 выстрелов болванками весом 7 Уз фунта (около 3 кг) и зарядом дымного пороха. Снаряд и заряд, соединенные проводниками, вкладывались с дула. При этом снаряд удерживался в канале на месте упором шпенька снаряда в дульный срез стенки.</w:t>
      </w:r>
    </w:p>
    <w:p w14:paraId="4E829837"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Воспламенение заряда с помощью электричества.</w:t>
      </w:r>
    </w:p>
    <w:p w14:paraId="0316524C"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 пушки с треногой 19,25 фунтов (около 7,9 кг). Дальность стрельбы 149 сажень (318 м).</w:t>
      </w:r>
    </w:p>
    <w:p w14:paraId="0A5FD8B2"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Ствол при стрельбе слегка раздулся позади цапфенного кольца, то есть там, где находился заряд. Зажим на треноге слаб, пушка после выстрела часто принимала вертикальное положение (15117).</w:t>
      </w:r>
    </w:p>
    <w:p w14:paraId="1A08E927"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p>
    <w:p w14:paraId="62E5486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116D6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353D7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июня (11 июля) 1917 русские войска генерала Корнилова заняли Калуш (Галиция) (4962).</w:t>
      </w:r>
    </w:p>
    <w:p w14:paraId="79843A5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014127" w14:textId="55E2A5DE" w:rsidR="004E5432" w:rsidRPr="00FB4F67" w:rsidRDefault="004E543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28 июня </w:t>
      </w:r>
      <w:r>
        <w:rPr>
          <w:rFonts w:ascii="Times New Roman" w:hAnsi="Times New Roman" w:cs="Times New Roman"/>
          <w:color w:val="0070C0"/>
          <w:sz w:val="16"/>
          <w:szCs w:val="16"/>
        </w:rPr>
        <w:t xml:space="preserve">(11 июля) </w:t>
      </w:r>
      <w:r w:rsidRPr="00FB4F67">
        <w:rPr>
          <w:rFonts w:ascii="Times New Roman" w:hAnsi="Times New Roman" w:cs="Times New Roman"/>
          <w:color w:val="0070C0"/>
          <w:sz w:val="16"/>
          <w:szCs w:val="16"/>
        </w:rPr>
        <w:t>1917 г. Морское министерство приказало реорганизовать Черноморскую авиадивизию. К сентябрю в его состав входили 1-й авиационный батальон, корабельный базируется в бухте Нахимова, с 1-й и 2-й частями, обе в строю (ее 3-я и 4-я части еще не сформированы); 2-й авиабатальон, базирующийся в бухте Круглая, в составе 5-й и 6-й частей (обе в строю) и 7-й формируемой части; 3-й авиабатальон, базирующийся в Одессе, в составе 8-й, 9-й и 10-й частей (две бывших в строю); 4-й авиабатальон, базирующийся в Батуме, с 11-й и 12-й частями. 13-й отряд сухопутных истребителей, входивший в состав 4-го авиационного батальона, должен был действовать в Сулине и Килии на румынском побережье .</w:t>
      </w:r>
    </w:p>
    <w:p w14:paraId="332D2054" w14:textId="77777777" w:rsidR="004E5432" w:rsidRPr="00FB4F67" w:rsidRDefault="004E5432" w:rsidP="0083075A">
      <w:pPr>
        <w:spacing w:after="0" w:line="240" w:lineRule="auto"/>
        <w:jc w:val="both"/>
        <w:rPr>
          <w:rFonts w:ascii="Times New Roman" w:hAnsi="Times New Roman" w:cs="Times New Roman"/>
          <w:color w:val="0070C0"/>
          <w:sz w:val="16"/>
          <w:szCs w:val="16"/>
        </w:rPr>
      </w:pPr>
    </w:p>
    <w:p w14:paraId="60C0528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D2B2D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854D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июня (11 июля) 1917 Ллойд Джордж: "...на тайном заседании... я обрисовал парламенту положение дел...</w:t>
      </w:r>
    </w:p>
    <w:p w14:paraId="71038B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Первая обязанность правительства - обеспечить достаточным количеством аэропланов нашу армию во Франции. Достаточное количество аэропланов имеет решающее значение. Аэропланы - глаза армии, без них она не может продвигаться. При помощи аэропланов армия нащупывает местоположение неприятельских траншей, орудий, пулеметов; для того, чтобы сфотографировать все это, надо иметь первенство в воздухе, и бросать войска в наступление, не имея такого первенства, значит посылать их просто на убой... Малейший промах в работе воздушных разведчиков, какой-нибудь незамеченный пулемет может обречь на гибель тысячи отважных сердец...</w:t>
      </w:r>
    </w:p>
    <w:p w14:paraId="3003BB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Если немцы узнают, что, бомбардируя наши города, они действительно могут заставить нас ослабить наши авиасилы во Франции, они преисполнятся величайшего воодушевления... Когда мы сможем обеспечить аэропланами и фронт и наши противовоздушные силы в Англии, мы конечно это сделаем. Пока это еще невозможно, на первом месте - фронт. И очень важно, чтобы немцы узнали, что это так, и не иначе".</w:t>
      </w:r>
    </w:p>
    <w:p w14:paraId="1A363B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Военный кабинет Англии постановил создать Комитет по руководству воздушными силами страны в составе Ллойд Джорджа и генерала Смутса (11999).</w:t>
      </w:r>
    </w:p>
    <w:p w14:paraId="2D9135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CA0ECE" w14:textId="77777777" w:rsidR="005E2948" w:rsidRPr="002F2FDF" w:rsidRDefault="005E2948" w:rsidP="0083075A">
      <w:pPr>
        <w:pStyle w:val="ae"/>
        <w:spacing w:before="0" w:after="0"/>
        <w:jc w:val="both"/>
        <w:rPr>
          <w:color w:val="000000" w:themeColor="text1"/>
          <w:kern w:val="2"/>
          <w:sz w:val="16"/>
          <w:szCs w:val="16"/>
        </w:rPr>
      </w:pPr>
      <w:r w:rsidRPr="002F2FDF">
        <w:rPr>
          <w:color w:val="000000" w:themeColor="text1"/>
          <w:kern w:val="2"/>
          <w:sz w:val="16"/>
          <w:szCs w:val="16"/>
        </w:rPr>
        <w:t>28 июня (11 июля) 1917 британская артиллерия начала массированные артобстрелы и бомбардировки германских позиций в районе города Ипр на юго-западе Бельгии в рамках подготовки к новому крупному наступлению. Ожесточенные бои продолжались в этом районе с небольшими перерывами до ноября и вошли в историю как «Битва при Пашендейле» (по названию небольшой деревни в 8 километрах к северо-западу от Ипра).</w:t>
      </w:r>
    </w:p>
    <w:p w14:paraId="00A6CF0E" w14:textId="77777777" w:rsidR="005E2948" w:rsidRPr="002F2FDF" w:rsidRDefault="005E2948" w:rsidP="0083075A">
      <w:pPr>
        <w:pStyle w:val="ae"/>
        <w:spacing w:before="0" w:after="0"/>
        <w:jc w:val="both"/>
        <w:rPr>
          <w:color w:val="000000" w:themeColor="text1"/>
          <w:kern w:val="2"/>
          <w:sz w:val="16"/>
          <w:szCs w:val="16"/>
        </w:rPr>
      </w:pPr>
      <w:r w:rsidRPr="002F2FDF">
        <w:rPr>
          <w:color w:val="000000" w:themeColor="text1"/>
          <w:kern w:val="2"/>
          <w:sz w:val="16"/>
          <w:szCs w:val="16"/>
        </w:rPr>
        <w:t>Наступление предполагалось проводить в основном силами британских дивизий согласно плану, разработанному командующим Британскими экспедиционными силами во Франции фельдмаршалом Дугласом Хейгом. Главной его целью был прорыв немецкой обороны и захват всех портовых городов Бельгии, где размещались базы немецких подводных лодок, от которых страдал в первую очередь британский флот.</w:t>
      </w:r>
    </w:p>
    <w:p w14:paraId="1A61F3E0" w14:textId="77777777" w:rsidR="005E2948" w:rsidRPr="002F2FDF" w:rsidRDefault="005E2948" w:rsidP="0083075A">
      <w:pPr>
        <w:pStyle w:val="ae"/>
        <w:spacing w:before="0" w:after="0"/>
        <w:jc w:val="both"/>
        <w:rPr>
          <w:color w:val="000000" w:themeColor="text1"/>
          <w:kern w:val="2"/>
          <w:sz w:val="16"/>
          <w:szCs w:val="16"/>
        </w:rPr>
      </w:pPr>
      <w:r w:rsidRPr="002F2FDF">
        <w:rPr>
          <w:color w:val="000000" w:themeColor="text1"/>
          <w:kern w:val="2"/>
          <w:sz w:val="16"/>
          <w:szCs w:val="16"/>
        </w:rPr>
        <w:t>Сразу после начала артподготовки немцы во избежание потерь отвели большую часть войск с передовой в ближний тыл. А 13 июля они ответили англичанам химической атакой, в ходе которой впервые применили новое смертельно опасное отравляющее вещество кожно-нарывного действия. Изначально оно имел кодовое обозначение «желтый крест», а позже стало известно в силу характерного запаха как «горчичный газ» и по названию города Ипр — как иприт. Иприт поражал легкие, носоглотку и глаза солдат, вызывал страшные язвы при попадании на кожу. Антидот от этого газа не создан по сей день.</w:t>
      </w:r>
    </w:p>
    <w:p w14:paraId="3AD59D29" w14:textId="77777777" w:rsidR="005E2948" w:rsidRPr="002F2FDF" w:rsidRDefault="005E2948" w:rsidP="0083075A">
      <w:pPr>
        <w:pStyle w:val="ae"/>
        <w:spacing w:before="0" w:after="0"/>
        <w:jc w:val="both"/>
        <w:rPr>
          <w:color w:val="000000" w:themeColor="text1"/>
          <w:kern w:val="2"/>
          <w:sz w:val="16"/>
          <w:szCs w:val="16"/>
        </w:rPr>
      </w:pPr>
      <w:r w:rsidRPr="002F2FDF">
        <w:rPr>
          <w:color w:val="000000" w:themeColor="text1"/>
          <w:kern w:val="2"/>
          <w:sz w:val="16"/>
          <w:szCs w:val="16"/>
        </w:rPr>
        <w:t>В 1917 году иприт использовался немцами на протяжении двух месяцев, и потери от него армий союзников по Антанте превысили потери от применения других отравляющих газов в 8 раз. Лишь в результате первой атаки 13 июля, когда немцы обстреляли химическими минами небольшой участок вражеских траншей, британцы потеряли более 2100 солдат, из которых 66 погибли, а остальные были отправлены в госпитали со страшными ранами и мучительными болями.</w:t>
      </w:r>
    </w:p>
    <w:p w14:paraId="2FFB097F" w14:textId="77777777" w:rsidR="005E2948" w:rsidRPr="002F2FDF" w:rsidRDefault="005E294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A815F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75F93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B7D3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июня (12 июля) 1917 был вторично предъявлен на испытания самолет Терещенко и Григорьева (Терещенко N 7) с Гном-Моносупан в 100 нр - двухместный одностоечный биплан с крылом большой стреловидностью и изменяемым в полете углом установки, построенный в КПИ. Машину 29 августа 1916 отправляли в Москву на испытания и она была вновь отправлена в Киев в январе 1917 (92,185).</w:t>
      </w:r>
    </w:p>
    <w:p w14:paraId="1F4C30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A42DBA" w14:textId="01737778" w:rsidR="004E5432" w:rsidRPr="00FB4F67" w:rsidRDefault="004E5432" w:rsidP="0083075A">
      <w:pPr>
        <w:spacing w:after="0" w:line="240" w:lineRule="auto"/>
        <w:jc w:val="both"/>
        <w:rPr>
          <w:rFonts w:ascii="Times New Roman" w:hAnsi="Times New Roman" w:cs="Times New Roman"/>
          <w:color w:val="0070C0"/>
          <w:sz w:val="16"/>
          <w:szCs w:val="16"/>
        </w:rPr>
      </w:pPr>
      <w:bookmarkStart w:id="182" w:name="bookmark787"/>
      <w:bookmarkStart w:id="183" w:name="bookmark788"/>
      <w:bookmarkStart w:id="184" w:name="bookmark820"/>
      <w:bookmarkStart w:id="185" w:name="bookmark821"/>
      <w:r w:rsidRPr="00FB4F67">
        <w:rPr>
          <w:rFonts w:ascii="Times New Roman" w:hAnsi="Times New Roman" w:cs="Times New Roman"/>
          <w:color w:val="0070C0"/>
          <w:sz w:val="16"/>
          <w:szCs w:val="16"/>
        </w:rPr>
        <w:t xml:space="preserve">29 июня </w:t>
      </w:r>
      <w:r>
        <w:rPr>
          <w:rFonts w:ascii="Times New Roman" w:hAnsi="Times New Roman" w:cs="Times New Roman"/>
          <w:color w:val="0070C0"/>
          <w:sz w:val="16"/>
          <w:szCs w:val="16"/>
        </w:rPr>
        <w:t xml:space="preserve">(12 июля) </w:t>
      </w:r>
      <w:r w:rsidRPr="00FB4F67">
        <w:rPr>
          <w:rFonts w:ascii="Times New Roman" w:hAnsi="Times New Roman" w:cs="Times New Roman"/>
          <w:color w:val="0070C0"/>
          <w:sz w:val="16"/>
          <w:szCs w:val="16"/>
        </w:rPr>
        <w:t>1917 г. Ильин получил заказ на двадцать двигателей Hispano-Suiza мощностью 200 л.с. Производственные данные по последним двум заказам не известны (23625).</w:t>
      </w:r>
    </w:p>
    <w:p w14:paraId="0B7B249F" w14:textId="77777777" w:rsidR="004E5432" w:rsidRPr="00FB4F67" w:rsidRDefault="004E5432" w:rsidP="0083075A">
      <w:pPr>
        <w:spacing w:after="0" w:line="240" w:lineRule="auto"/>
        <w:jc w:val="both"/>
        <w:rPr>
          <w:rFonts w:ascii="Times New Roman" w:hAnsi="Times New Roman" w:cs="Times New Roman"/>
          <w:color w:val="0070C0"/>
          <w:sz w:val="16"/>
          <w:szCs w:val="16"/>
        </w:rPr>
      </w:pPr>
    </w:p>
    <w:bookmarkEnd w:id="182"/>
    <w:bookmarkEnd w:id="183"/>
    <w:bookmarkEnd w:id="184"/>
    <w:bookmarkEnd w:id="185"/>
    <w:p w14:paraId="389678B4" w14:textId="5E273108" w:rsidR="00091580" w:rsidRPr="002F2FDF" w:rsidRDefault="0009158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FA157F8" w14:textId="77777777" w:rsidR="00091580" w:rsidRPr="002F2FDF" w:rsidRDefault="0009158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056D0D"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29 июня (12 июля) 1917 г.</w:t>
      </w:r>
    </w:p>
    <w:p w14:paraId="54359285"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Особый журнал Подготовителъной комиссии но артиллерийским вопросам при Особом совещании по обороне о ходе поставок артиллерийских орудий всех калибров, пулеметов, винтовок и винтовочных патронов с января по май 1917 г.</w:t>
      </w:r>
    </w:p>
    <w:p w14:paraId="2642C977"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29 июня 1917 г.</w:t>
      </w:r>
    </w:p>
    <w:p w14:paraId="6B37A934"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Комиссия рассмотрела ход поставок артиллерийских орудии всех калибров, пулеметов, винтовок и винтовочных патронов за четыре месяца, с января по май 1917 г.</w:t>
      </w:r>
    </w:p>
    <w:p w14:paraId="51631AF6"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Результаты доложенных сведений и суждений сводятся к нижеследующему:</w:t>
      </w:r>
    </w:p>
    <w:p w14:paraId="620E3EEF"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w:t>
      </w:r>
      <w:r w:rsidRPr="002F2FDF">
        <w:rPr>
          <w:rFonts w:ascii="Times New Roman" w:hAnsi="Times New Roman" w:cs="Times New Roman"/>
          <w:color w:val="000000" w:themeColor="text1"/>
          <w:sz w:val="16"/>
          <w:szCs w:val="16"/>
        </w:rPr>
        <w:tab/>
        <w:t>Орудия</w:t>
      </w:r>
    </w:p>
    <w:p w14:paraId="5791426C"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w:t>
      </w:r>
      <w:r w:rsidRPr="002F2FDF">
        <w:rPr>
          <w:rFonts w:ascii="Times New Roman" w:hAnsi="Times New Roman" w:cs="Times New Roman"/>
          <w:color w:val="000000" w:themeColor="text1"/>
          <w:sz w:val="16"/>
          <w:szCs w:val="16"/>
        </w:rPr>
        <w:tab/>
        <w:t>3" волевые пушки:</w:t>
      </w:r>
    </w:p>
    <w:p w14:paraId="7AADFCC7"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Потребность первоначальная</w:t>
      </w:r>
      <w:r w:rsidRPr="002F2FDF">
        <w:rPr>
          <w:rFonts w:ascii="Times New Roman" w:hAnsi="Times New Roman" w:cs="Times New Roman"/>
          <w:color w:val="000000" w:themeColor="text1"/>
          <w:sz w:val="16"/>
          <w:szCs w:val="16"/>
        </w:rPr>
        <w:tab/>
        <w:t>ежемесячно................... 490</w:t>
      </w:r>
      <w:r w:rsidRPr="002F2FDF">
        <w:rPr>
          <w:rFonts w:ascii="Times New Roman" w:hAnsi="Times New Roman" w:cs="Times New Roman"/>
          <w:color w:val="000000" w:themeColor="text1"/>
          <w:sz w:val="16"/>
          <w:szCs w:val="16"/>
        </w:rPr>
        <w:tab/>
        <w:t>шт.</w:t>
      </w:r>
    </w:p>
    <w:p w14:paraId="7FC74C6F"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измененная с мая...............................175</w:t>
      </w:r>
      <w:r w:rsidRPr="002F2FDF">
        <w:rPr>
          <w:rFonts w:ascii="Times New Roman" w:hAnsi="Times New Roman" w:cs="Times New Roman"/>
          <w:color w:val="000000" w:themeColor="text1"/>
          <w:sz w:val="16"/>
          <w:szCs w:val="16"/>
        </w:rPr>
        <w:tab/>
        <w:t>»</w:t>
      </w:r>
    </w:p>
    <w:p w14:paraId="1BCC3F21"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Поступило орудий:</w:t>
      </w:r>
    </w:p>
    <w:p w14:paraId="059E91C2"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январе.............................................. 407</w:t>
      </w:r>
      <w:r w:rsidRPr="002F2FDF">
        <w:rPr>
          <w:rFonts w:ascii="Times New Roman" w:hAnsi="Times New Roman" w:cs="Times New Roman"/>
          <w:color w:val="000000" w:themeColor="text1"/>
          <w:sz w:val="16"/>
          <w:szCs w:val="16"/>
        </w:rPr>
        <w:tab/>
        <w:t>»</w:t>
      </w:r>
    </w:p>
    <w:p w14:paraId="2F4A7EDE"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мае..................................................316</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p>
    <w:p w14:paraId="57F1D7C0"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Таким образом, производительность заводов понизилась примерно на 25%, притом исключительно на заводах частных (Путиловском и Царицынской группы), тогда как казенные заводы (Пермский) увеличили свою производительность.</w:t>
      </w:r>
    </w:p>
    <w:p w14:paraId="73EEB711"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 заявлению начальника Главного артиллерийского управления. Путиловскому заводу предложено усилить производство 3" горных пушек за счет сокращения поставки 3" полевых пушек на этом заводе. Царицынская группа 1 сдала в мае 110 пушек при 75 лафетах, против 150 в январе и 200 в феврале.</w:t>
      </w:r>
    </w:p>
    <w:p w14:paraId="27F1EA9C"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Ремонт 3" полевых пушек в мае месяце незначителен — всего 45 шт.. так как за последнее время орудия для ремонта не поступали в больших количествах.</w:t>
      </w:r>
    </w:p>
    <w:p w14:paraId="06C217A6"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 имеющимся в Главном артиллерийском управлении сведениям, в резервах фронтов состоит в запасе 2357 орудий, из коих 1213 без лафетов.</w:t>
      </w:r>
    </w:p>
    <w:p w14:paraId="5F11FEE3"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w:t>
      </w:r>
      <w:r w:rsidRPr="002F2FDF">
        <w:rPr>
          <w:rFonts w:ascii="Times New Roman" w:hAnsi="Times New Roman" w:cs="Times New Roman"/>
          <w:color w:val="000000" w:themeColor="text1"/>
          <w:sz w:val="16"/>
          <w:szCs w:val="16"/>
        </w:rPr>
        <w:tab/>
        <w:t>3" горные пушки и 3" короткие пушки:</w:t>
      </w:r>
    </w:p>
    <w:p w14:paraId="506C4486"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Потребность</w:t>
      </w:r>
      <w:r w:rsidRPr="002F2FDF">
        <w:rPr>
          <w:rFonts w:ascii="Times New Roman" w:hAnsi="Times New Roman" w:cs="Times New Roman"/>
          <w:color w:val="000000" w:themeColor="text1"/>
          <w:sz w:val="16"/>
          <w:szCs w:val="16"/>
        </w:rPr>
        <w:tab/>
        <w:t>первоначальная</w:t>
      </w:r>
      <w:r w:rsidRPr="002F2FDF">
        <w:rPr>
          <w:rFonts w:ascii="Times New Roman" w:hAnsi="Times New Roman" w:cs="Times New Roman"/>
          <w:color w:val="000000" w:themeColor="text1"/>
          <w:sz w:val="16"/>
          <w:szCs w:val="16"/>
        </w:rPr>
        <w:tab/>
        <w:t>в месяц ..........................70</w:t>
      </w:r>
      <w:r w:rsidRPr="002F2FDF">
        <w:rPr>
          <w:rFonts w:ascii="Times New Roman" w:hAnsi="Times New Roman" w:cs="Times New Roman"/>
          <w:color w:val="000000" w:themeColor="text1"/>
          <w:sz w:val="16"/>
          <w:szCs w:val="16"/>
        </w:rPr>
        <w:tab/>
        <w:t>шт.</w:t>
      </w:r>
    </w:p>
    <w:p w14:paraId="648D9E65"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измененная с .мая..................................40 »</w:t>
      </w:r>
    </w:p>
    <w:p w14:paraId="2802811A"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Поступило орудий:</w:t>
      </w:r>
    </w:p>
    <w:p w14:paraId="031F9851"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январе</w:t>
      </w:r>
      <w:r w:rsidRPr="002F2FDF">
        <w:rPr>
          <w:rFonts w:ascii="Times New Roman" w:hAnsi="Times New Roman" w:cs="Times New Roman"/>
          <w:color w:val="000000" w:themeColor="text1"/>
          <w:sz w:val="16"/>
          <w:szCs w:val="16"/>
        </w:rPr>
        <w:tab/>
        <w:t>..........................................46</w:t>
      </w:r>
      <w:r w:rsidRPr="002F2FDF">
        <w:rPr>
          <w:rFonts w:ascii="Times New Roman" w:hAnsi="Times New Roman" w:cs="Times New Roman"/>
          <w:color w:val="000000" w:themeColor="text1"/>
          <w:sz w:val="16"/>
          <w:szCs w:val="16"/>
        </w:rPr>
        <w:tab/>
        <w:t>»</w:t>
      </w:r>
    </w:p>
    <w:p w14:paraId="6E23150B"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низшая цифра</w:t>
      </w:r>
      <w:r w:rsidRPr="002F2FDF">
        <w:rPr>
          <w:rFonts w:ascii="Times New Roman" w:hAnsi="Times New Roman" w:cs="Times New Roman"/>
          <w:color w:val="000000" w:themeColor="text1"/>
          <w:sz w:val="16"/>
          <w:szCs w:val="16"/>
        </w:rPr>
        <w:tab/>
        <w:t>(в</w:t>
      </w:r>
      <w:r w:rsidRPr="002F2FDF">
        <w:rPr>
          <w:rFonts w:ascii="Times New Roman" w:hAnsi="Times New Roman" w:cs="Times New Roman"/>
          <w:color w:val="000000" w:themeColor="text1"/>
          <w:sz w:val="16"/>
          <w:szCs w:val="16"/>
        </w:rPr>
        <w:tab/>
        <w:t>феврале).................................. 1</w:t>
      </w:r>
      <w:r w:rsidRPr="002F2FDF">
        <w:rPr>
          <w:rFonts w:ascii="Times New Roman" w:hAnsi="Times New Roman" w:cs="Times New Roman"/>
          <w:color w:val="000000" w:themeColor="text1"/>
          <w:sz w:val="16"/>
          <w:szCs w:val="16"/>
        </w:rPr>
        <w:tab/>
        <w:t>»</w:t>
      </w:r>
    </w:p>
    <w:p w14:paraId="52EB3AFD"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мае .....................................................20</w:t>
      </w:r>
      <w:r w:rsidRPr="002F2FDF">
        <w:rPr>
          <w:rFonts w:ascii="Times New Roman" w:hAnsi="Times New Roman" w:cs="Times New Roman"/>
          <w:color w:val="000000" w:themeColor="text1"/>
          <w:sz w:val="16"/>
          <w:szCs w:val="16"/>
        </w:rPr>
        <w:tab/>
        <w:t>»</w:t>
      </w:r>
    </w:p>
    <w:p w14:paraId="2542CD5C"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Производительность в мае более чем на 50% понизилась по сравнению с январем. Казенный орудийный завод в феврале и марте ничего не сдал, в мае сдал 10, как и предположено было; Путиловский завод вместо 30 горных и 10 коротких сдал в мае всего 10 коротких. Причины недопоставки на Путиловском заводе: недостаток топлива п материалов и слабая интенсивность работ.</w:t>
      </w:r>
    </w:p>
    <w:p w14:paraId="0ECD06E9"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Ремонт в мае 10 орудий.</w:t>
      </w:r>
    </w:p>
    <w:p w14:paraId="6A8ECCDE"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запасах фронтов 211 пушек, из коих 120 без лафетов.</w:t>
      </w:r>
    </w:p>
    <w:p w14:paraId="035651A5"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w:t>
      </w:r>
      <w:r w:rsidRPr="002F2FDF">
        <w:rPr>
          <w:rFonts w:ascii="Times New Roman" w:hAnsi="Times New Roman" w:cs="Times New Roman"/>
          <w:color w:val="000000" w:themeColor="text1"/>
          <w:sz w:val="16"/>
          <w:szCs w:val="16"/>
        </w:rPr>
        <w:tab/>
        <w:t>48"' гаубицы:</w:t>
      </w:r>
    </w:p>
    <w:p w14:paraId="2186D71F"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Потребность</w:t>
      </w:r>
      <w:r w:rsidRPr="002F2FDF">
        <w:rPr>
          <w:rFonts w:ascii="Times New Roman" w:hAnsi="Times New Roman" w:cs="Times New Roman"/>
          <w:color w:val="000000" w:themeColor="text1"/>
          <w:sz w:val="16"/>
          <w:szCs w:val="16"/>
        </w:rPr>
        <w:tab/>
        <w:t>первоначальная</w:t>
      </w:r>
      <w:r w:rsidRPr="002F2FDF">
        <w:rPr>
          <w:rFonts w:ascii="Times New Roman" w:hAnsi="Times New Roman" w:cs="Times New Roman"/>
          <w:color w:val="000000" w:themeColor="text1"/>
          <w:sz w:val="16"/>
          <w:szCs w:val="16"/>
        </w:rPr>
        <w:tab/>
        <w:t>ежемесячно................... 108</w:t>
      </w:r>
      <w:r w:rsidRPr="002F2FDF">
        <w:rPr>
          <w:rFonts w:ascii="Times New Roman" w:hAnsi="Times New Roman" w:cs="Times New Roman"/>
          <w:color w:val="000000" w:themeColor="text1"/>
          <w:sz w:val="16"/>
          <w:szCs w:val="16"/>
        </w:rPr>
        <w:tab/>
        <w:t>шт.</w:t>
      </w:r>
    </w:p>
    <w:p w14:paraId="4CF7923C"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измененная с мая.................................30 »</w:t>
      </w:r>
    </w:p>
    <w:p w14:paraId="50B1D6B2"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Поступило орудий:</w:t>
      </w:r>
    </w:p>
    <w:p w14:paraId="51864EC4"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январе................................................62</w:t>
      </w:r>
      <w:r w:rsidRPr="002F2FDF">
        <w:rPr>
          <w:rFonts w:ascii="Times New Roman" w:hAnsi="Times New Roman" w:cs="Times New Roman"/>
          <w:color w:val="000000" w:themeColor="text1"/>
          <w:sz w:val="16"/>
          <w:szCs w:val="16"/>
        </w:rPr>
        <w:tab/>
        <w:t>»</w:t>
      </w:r>
    </w:p>
    <w:p w14:paraId="2888A8D2"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нашшзшая</w:t>
      </w:r>
      <w:r w:rsidRPr="002F2FDF">
        <w:rPr>
          <w:rFonts w:ascii="Times New Roman" w:hAnsi="Times New Roman" w:cs="Times New Roman"/>
          <w:color w:val="000000" w:themeColor="text1"/>
          <w:sz w:val="16"/>
          <w:szCs w:val="16"/>
        </w:rPr>
        <w:tab/>
        <w:t>цифра</w:t>
      </w:r>
      <w:r w:rsidRPr="002F2FDF">
        <w:rPr>
          <w:rFonts w:ascii="Times New Roman" w:hAnsi="Times New Roman" w:cs="Times New Roman"/>
          <w:color w:val="000000" w:themeColor="text1"/>
          <w:sz w:val="16"/>
          <w:szCs w:val="16"/>
        </w:rPr>
        <w:tab/>
        <w:t>(в</w:t>
      </w:r>
      <w:r w:rsidRPr="002F2FDF">
        <w:rPr>
          <w:rFonts w:ascii="Times New Roman" w:hAnsi="Times New Roman" w:cs="Times New Roman"/>
          <w:color w:val="000000" w:themeColor="text1"/>
          <w:sz w:val="16"/>
          <w:szCs w:val="16"/>
        </w:rPr>
        <w:tab/>
        <w:t>феврале).............................10</w:t>
      </w:r>
      <w:r w:rsidRPr="002F2FDF">
        <w:rPr>
          <w:rFonts w:ascii="Times New Roman" w:hAnsi="Times New Roman" w:cs="Times New Roman"/>
          <w:color w:val="000000" w:themeColor="text1"/>
          <w:sz w:val="16"/>
          <w:szCs w:val="16"/>
        </w:rPr>
        <w:tab/>
        <w:t>»</w:t>
      </w:r>
    </w:p>
    <w:p w14:paraId="1DC13E2F"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мае...................................................43</w:t>
      </w:r>
      <w:r w:rsidRPr="002F2FDF">
        <w:rPr>
          <w:rFonts w:ascii="Times New Roman" w:hAnsi="Times New Roman" w:cs="Times New Roman"/>
          <w:color w:val="000000" w:themeColor="text1"/>
          <w:sz w:val="16"/>
          <w:szCs w:val="16"/>
        </w:rPr>
        <w:tab/>
        <w:t>»</w:t>
      </w:r>
    </w:p>
    <w:p w14:paraId="197B45E7"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Производительность а мао на 30% понизилась против январской как</w:t>
      </w:r>
    </w:p>
    <w:p w14:paraId="29356491"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казенных заводах, так и на частных (Путиловский).</w:t>
      </w:r>
    </w:p>
    <w:p w14:paraId="005FEA9E"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Ремонт в мае по числу предъявленных к исправлению 14 гаубин.</w:t>
      </w:r>
    </w:p>
    <w:p w14:paraId="7AB85E00"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резервах фронтов 310 орудий, из коих (17 без лафетов.</w:t>
      </w:r>
    </w:p>
    <w:p w14:paraId="0DFB2575"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w:t>
      </w:r>
      <w:r w:rsidRPr="002F2FDF">
        <w:rPr>
          <w:rFonts w:ascii="Times New Roman" w:hAnsi="Times New Roman" w:cs="Times New Roman"/>
          <w:color w:val="000000" w:themeColor="text1"/>
          <w:sz w:val="16"/>
          <w:szCs w:val="16"/>
        </w:rPr>
        <w:tab/>
        <w:t>42"' скорострельные п 120 мм пушки:</w:t>
      </w:r>
    </w:p>
    <w:p w14:paraId="76D8BA50"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Потребность первоначальная ежемесячно » увеличенная с мая ....</w:t>
      </w:r>
    </w:p>
    <w:p w14:paraId="737093D5"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Поступило 42"' орудий:</w:t>
      </w:r>
    </w:p>
    <w:p w14:paraId="40E44D7D"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январе {</w:t>
      </w:r>
      <w:r w:rsidRPr="002F2FDF">
        <w:rPr>
          <w:rFonts w:ascii="Times New Roman" w:hAnsi="Times New Roman" w:cs="Times New Roman"/>
          <w:color w:val="000000" w:themeColor="text1"/>
          <w:sz w:val="16"/>
          <w:szCs w:val="16"/>
        </w:rPr>
        <w:tab/>
        <w:t>' ' ( ) ) ; )</w:t>
      </w:r>
      <w:r w:rsidRPr="002F2FDF">
        <w:rPr>
          <w:rFonts w:ascii="Times New Roman" w:hAnsi="Times New Roman" w:cs="Times New Roman"/>
          <w:color w:val="000000" w:themeColor="text1"/>
          <w:sz w:val="16"/>
          <w:szCs w:val="16"/>
        </w:rPr>
        <w:tab/>
        <w:t>)</w:t>
      </w:r>
    </w:p>
    <w:p w14:paraId="117D78AC"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тел......................</w:t>
      </w:r>
    </w:p>
    <w:p w14:paraId="158B242C"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 МНИ &gt;</w:t>
      </w:r>
      <w:r w:rsidRPr="002F2FDF">
        <w:rPr>
          <w:rFonts w:ascii="Times New Roman" w:hAnsi="Times New Roman" w:cs="Times New Roman"/>
          <w:color w:val="000000" w:themeColor="text1"/>
          <w:sz w:val="16"/>
          <w:szCs w:val="16"/>
        </w:rPr>
        <w:tab/>
        <w:t>v</w:t>
      </w:r>
    </w:p>
    <w:p w14:paraId="15F75C9E"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лафетов .................</w:t>
      </w:r>
    </w:p>
    <w:p w14:paraId="4DA8C874"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18 шт.</w:t>
      </w:r>
    </w:p>
    <w:p w14:paraId="5F1EE6AD"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24 »</w:t>
      </w:r>
    </w:p>
    <w:p w14:paraId="3F846133"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30 »</w:t>
      </w:r>
    </w:p>
    <w:p w14:paraId="5491C003"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12 »</w:t>
      </w:r>
    </w:p>
    <w:p w14:paraId="76800ECD"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26 »</w:t>
      </w:r>
    </w:p>
    <w:p w14:paraId="29C4B4E7"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22 »</w:t>
      </w:r>
    </w:p>
    <w:p w14:paraId="7A5CC114"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Таким образом, производительность отечественных заводов но телам понизилась на 13%; лафетов в мае поставлено больше. Обращает на себя внимание Киевский арсенал, который совершенно не изготовляет лафетов.</w:t>
      </w:r>
    </w:p>
    <w:p w14:paraId="53682130"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Из-за границы от Шнейдера в апреле и мае ничего не поступило, сдано на месте в марте 16, апреле 4 и мае 28; из Италии от Ансальдо к апрелю было готово к отправке 10 батарей, но отправка была задержана; но последним сведениям в июле будет выслано 7 батарей; из Японии в мае орудия прибыли; заказ 120 мм во Франции окончен последним получением в марте.</w:t>
      </w:r>
    </w:p>
    <w:p w14:paraId="5CCE1144"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Исправлений 42'" орудий в мае не было.</w:t>
      </w:r>
    </w:p>
    <w:p w14:paraId="68794DF2"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резервах фронтов находится 68 штук 42'" пушек, из коих 30 без лафетов.</w:t>
      </w:r>
    </w:p>
    <w:p w14:paraId="10B01A81"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w:t>
      </w:r>
      <w:r w:rsidRPr="002F2FDF">
        <w:rPr>
          <w:rFonts w:ascii="Times New Roman" w:hAnsi="Times New Roman" w:cs="Times New Roman"/>
          <w:color w:val="000000" w:themeColor="text1"/>
          <w:sz w:val="16"/>
          <w:szCs w:val="16"/>
        </w:rPr>
        <w:tab/>
        <w:t>6” полевые и крепостные и 5" английские гаубицы:</w:t>
      </w:r>
    </w:p>
    <w:p w14:paraId="4EF57551"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Потребность первоначальная ежемесячно .....................36 шт.</w:t>
      </w:r>
    </w:p>
    <w:p w14:paraId="39A295F1"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w:t>
      </w:r>
      <w:r w:rsidRPr="002F2FDF">
        <w:rPr>
          <w:rFonts w:ascii="Times New Roman" w:hAnsi="Times New Roman" w:cs="Times New Roman"/>
          <w:color w:val="000000" w:themeColor="text1"/>
          <w:sz w:val="16"/>
          <w:szCs w:val="16"/>
        </w:rPr>
        <w:tab/>
        <w:t>измененная с мая.............................25 »</w:t>
      </w:r>
    </w:p>
    <w:p w14:paraId="2D5F1F82"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Поступило гаубиц:</w:t>
      </w:r>
    </w:p>
    <w:p w14:paraId="354899B7"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с отечественных заводов ......................17 »</w:t>
      </w:r>
    </w:p>
    <w:p w14:paraId="3D3DD301"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январе. &lt; из_за границы прибыло.........................24 »</w:t>
      </w:r>
    </w:p>
    <w:p w14:paraId="07D498D2"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41 шт.</w:t>
      </w:r>
    </w:p>
    <w:p w14:paraId="01F76066"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f с отечественных заводов ........................13 шт.</w:t>
      </w:r>
    </w:p>
    <w:p w14:paraId="0A39CDB3"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w:t>
      </w:r>
      <w:r w:rsidRPr="002F2FDF">
        <w:rPr>
          <w:rFonts w:ascii="Times New Roman" w:hAnsi="Times New Roman" w:cs="Times New Roman"/>
          <w:color w:val="000000" w:themeColor="text1"/>
          <w:sz w:val="16"/>
          <w:szCs w:val="16"/>
        </w:rPr>
        <w:tab/>
        <w:t>| из-за границы прибыло ...........................14 »</w:t>
      </w:r>
    </w:p>
    <w:p w14:paraId="6694F8AF"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27 шт.</w:t>
      </w:r>
    </w:p>
    <w:p w14:paraId="7C154C4B"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Исправлено в мае 6" полевых 6 и 6" крепостных — 3. 6" гаубиц Пермский завод в мае сдал 7 (январь 8, март 14). На Путиловском заводе производство понизилось: в мае 6 против 9 в январе и 10 в апреле, в феврале 3, и марте 0.</w:t>
      </w:r>
    </w:p>
    <w:p w14:paraId="581CDE64"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6.</w:t>
      </w:r>
      <w:r w:rsidRPr="002F2FDF">
        <w:rPr>
          <w:rFonts w:ascii="Times New Roman" w:hAnsi="Times New Roman" w:cs="Times New Roman"/>
          <w:color w:val="000000" w:themeColor="text1"/>
          <w:sz w:val="16"/>
          <w:szCs w:val="16"/>
        </w:rPr>
        <w:tab/>
        <w:t>6" осадные пушки Шнейдера и 155 мм французские:</w:t>
      </w:r>
    </w:p>
    <w:p w14:paraId="668C99FD"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Потребность первоначальная ежемесячная....................25 шт.</w:t>
      </w:r>
    </w:p>
    <w:p w14:paraId="3AFC5BD2"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измененная с мая..................................5 »</w:t>
      </w:r>
    </w:p>
    <w:p w14:paraId="7E5B6A1E"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Поступило 6" пушек от Путиловикого завода в мае 6, против 2 в январе; </w:t>
      </w:r>
    </w:p>
    <w:p w14:paraId="1402F125"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из Франции в мае ничего не получено (принято на месте 18).</w:t>
      </w:r>
    </w:p>
    <w:p w14:paraId="4FE9CFD0"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7. Орудия крупных калибров:</w:t>
      </w:r>
    </w:p>
    <w:p w14:paraId="57D64151"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Потребность единовременная:</w:t>
      </w:r>
      <w:r w:rsidRPr="002F2FDF">
        <w:rPr>
          <w:rFonts w:ascii="Times New Roman" w:hAnsi="Times New Roman" w:cs="Times New Roman"/>
          <w:color w:val="000000" w:themeColor="text1"/>
          <w:sz w:val="16"/>
          <w:szCs w:val="16"/>
        </w:rPr>
        <w:tab/>
        <w:t>Первоначальная</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Измененная</w:t>
      </w:r>
    </w:p>
    <w:p w14:paraId="5194A9B3"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8" гаубицы</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163</w:t>
      </w:r>
      <w:r w:rsidRPr="002F2FDF">
        <w:rPr>
          <w:rFonts w:ascii="Times New Roman" w:hAnsi="Times New Roman" w:cs="Times New Roman"/>
          <w:color w:val="000000" w:themeColor="text1"/>
          <w:sz w:val="16"/>
          <w:szCs w:val="16"/>
        </w:rPr>
        <w:tab/>
        <w:t>196</w:t>
      </w:r>
    </w:p>
    <w:p w14:paraId="4F3F19BC"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9.2" гаубицы</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136</w:t>
      </w:r>
      <w:r w:rsidRPr="002F2FDF">
        <w:rPr>
          <w:rFonts w:ascii="Times New Roman" w:hAnsi="Times New Roman" w:cs="Times New Roman"/>
          <w:color w:val="000000" w:themeColor="text1"/>
          <w:sz w:val="16"/>
          <w:szCs w:val="16"/>
        </w:rPr>
        <w:tab/>
        <w:t>44</w:t>
      </w:r>
    </w:p>
    <w:p w14:paraId="42CB15BE"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 мортиры</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120</w:t>
      </w:r>
      <w:r w:rsidRPr="002F2FDF">
        <w:rPr>
          <w:rFonts w:ascii="Times New Roman" w:hAnsi="Times New Roman" w:cs="Times New Roman"/>
          <w:color w:val="000000" w:themeColor="text1"/>
          <w:sz w:val="16"/>
          <w:szCs w:val="16"/>
        </w:rPr>
        <w:tab/>
        <w:t>46</w:t>
      </w:r>
    </w:p>
    <w:p w14:paraId="040DE8B4"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12" гаубицы</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55</w:t>
      </w:r>
      <w:r w:rsidRPr="002F2FDF">
        <w:rPr>
          <w:rFonts w:ascii="Times New Roman" w:hAnsi="Times New Roman" w:cs="Times New Roman"/>
          <w:color w:val="000000" w:themeColor="text1"/>
          <w:sz w:val="16"/>
          <w:szCs w:val="16"/>
        </w:rPr>
        <w:tab/>
        <w:t>42</w:t>
      </w:r>
    </w:p>
    <w:p w14:paraId="24A4EA3B"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ab/>
        <w:t>8"</w:t>
      </w:r>
      <w:r w:rsidRPr="002F2FDF">
        <w:rPr>
          <w:rFonts w:ascii="Times New Roman" w:hAnsi="Times New Roman" w:cs="Times New Roman"/>
          <w:color w:val="000000" w:themeColor="text1"/>
          <w:sz w:val="16"/>
          <w:szCs w:val="16"/>
        </w:rPr>
        <w:tab/>
        <w:t>9.2" 1 1"</w:t>
      </w:r>
      <w:r w:rsidRPr="002F2FDF">
        <w:rPr>
          <w:rFonts w:ascii="Times New Roman" w:hAnsi="Times New Roman" w:cs="Times New Roman"/>
          <w:color w:val="000000" w:themeColor="text1"/>
          <w:sz w:val="16"/>
          <w:szCs w:val="16"/>
        </w:rPr>
        <w:tab/>
        <w:t>14"</w:t>
      </w:r>
    </w:p>
    <w:p w14:paraId="65BA8CAF"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Поступило в январе ....</w:t>
      </w:r>
      <w:r w:rsidRPr="002F2FDF">
        <w:rPr>
          <w:rFonts w:ascii="Times New Roman" w:hAnsi="Times New Roman" w:cs="Times New Roman"/>
          <w:color w:val="000000" w:themeColor="text1"/>
          <w:sz w:val="16"/>
          <w:szCs w:val="16"/>
        </w:rPr>
        <w:tab/>
        <w:t>. . . 0</w:t>
      </w:r>
      <w:r w:rsidRPr="002F2FDF">
        <w:rPr>
          <w:rFonts w:ascii="Times New Roman" w:hAnsi="Times New Roman" w:cs="Times New Roman"/>
          <w:color w:val="000000" w:themeColor="text1"/>
          <w:sz w:val="16"/>
          <w:szCs w:val="16"/>
        </w:rPr>
        <w:tab/>
        <w:t>1 0</w:t>
      </w:r>
      <w:r w:rsidRPr="002F2FDF">
        <w:rPr>
          <w:rFonts w:ascii="Times New Roman" w:hAnsi="Times New Roman" w:cs="Times New Roman"/>
          <w:color w:val="000000" w:themeColor="text1"/>
          <w:sz w:val="16"/>
          <w:szCs w:val="16"/>
        </w:rPr>
        <w:tab/>
        <w:t>0</w:t>
      </w:r>
    </w:p>
    <w:p w14:paraId="40B3F8B4"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в мае</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 . . 0</w:t>
      </w:r>
      <w:r w:rsidRPr="002F2FDF">
        <w:rPr>
          <w:rFonts w:ascii="Times New Roman" w:hAnsi="Times New Roman" w:cs="Times New Roman"/>
          <w:color w:val="000000" w:themeColor="text1"/>
          <w:sz w:val="16"/>
          <w:szCs w:val="16"/>
        </w:rPr>
        <w:tab/>
        <w:t>0 4</w:t>
      </w:r>
      <w:r w:rsidRPr="002F2FDF">
        <w:rPr>
          <w:rFonts w:ascii="Times New Roman" w:hAnsi="Times New Roman" w:cs="Times New Roman"/>
          <w:color w:val="000000" w:themeColor="text1"/>
          <w:sz w:val="16"/>
          <w:szCs w:val="16"/>
        </w:rPr>
        <w:tab/>
        <w:t>1</w:t>
      </w:r>
    </w:p>
    <w:p w14:paraId="5358F724"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8" гаубицы заказаны заводу Мидвалв в Америке и уступлены английским правительством, 9.2" уступлены английским правительством.</w:t>
      </w:r>
    </w:p>
    <w:p w14:paraId="170E138C"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11" заказаны Шнейдеру, 12" заказаны Обуховскому заводу (в мае поставлена 1) и Виккерсу.</w:t>
      </w:r>
    </w:p>
    <w:p w14:paraId="121091D1"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Таким образом, снабжение орудиями крупных калибров всецело зависит от поступления из-за границы и находится в крайне неудовлетворительном состоянии. Тем не менее из поступивших за истекшее время орудий произведены формирования осадных батарей.</w:t>
      </w:r>
    </w:p>
    <w:p w14:paraId="20B6BBFF"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8.</w:t>
      </w:r>
      <w:r w:rsidRPr="002F2FDF">
        <w:rPr>
          <w:rFonts w:ascii="Times New Roman" w:hAnsi="Times New Roman" w:cs="Times New Roman"/>
          <w:color w:val="000000" w:themeColor="text1"/>
          <w:sz w:val="16"/>
          <w:szCs w:val="16"/>
        </w:rPr>
        <w:tab/>
        <w:t>3" и 75 мм зенитные орудия.</w:t>
      </w:r>
    </w:p>
    <w:p w14:paraId="1D56DA8A"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Потребность первоначальная ежемесячно....................... 36</w:t>
      </w:r>
      <w:r w:rsidRPr="002F2FDF">
        <w:rPr>
          <w:rFonts w:ascii="Times New Roman" w:hAnsi="Times New Roman" w:cs="Times New Roman"/>
          <w:color w:val="000000" w:themeColor="text1"/>
          <w:sz w:val="16"/>
          <w:szCs w:val="16"/>
        </w:rPr>
        <w:tab/>
        <w:t>шт.</w:t>
      </w:r>
    </w:p>
    <w:p w14:paraId="280A9CC0"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измененная ....................................... 14 »</w:t>
      </w:r>
    </w:p>
    <w:p w14:paraId="3A2C4991"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Поступило орудий:</w:t>
      </w:r>
    </w:p>
    <w:p w14:paraId="500F1505"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январе (Путпловского завода).............................12</w:t>
      </w:r>
      <w:r w:rsidRPr="002F2FDF">
        <w:rPr>
          <w:rFonts w:ascii="Times New Roman" w:hAnsi="Times New Roman" w:cs="Times New Roman"/>
          <w:color w:val="000000" w:themeColor="text1"/>
          <w:sz w:val="16"/>
          <w:szCs w:val="16"/>
        </w:rPr>
        <w:tab/>
        <w:t>»</w:t>
      </w:r>
    </w:p>
    <w:p w14:paraId="6DA63662"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мае......................................................10</w:t>
      </w:r>
      <w:r w:rsidRPr="002F2FDF">
        <w:rPr>
          <w:rFonts w:ascii="Times New Roman" w:hAnsi="Times New Roman" w:cs="Times New Roman"/>
          <w:color w:val="000000" w:themeColor="text1"/>
          <w:sz w:val="16"/>
          <w:szCs w:val="16"/>
        </w:rPr>
        <w:tab/>
        <w:t>»</w:t>
      </w:r>
    </w:p>
    <w:p w14:paraId="1C813814"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Из-за границы за 4 месяца ничего не поставлено. Снабжение орудиями этого типа представляется в безнадежном состоянии.</w:t>
      </w:r>
    </w:p>
    <w:p w14:paraId="24510F17"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Относительно измененной потребности в артиллерийских орудиях, каковая потребность ежемесячная почти по всем калибрам значительно уменьшена ввиду отмены новых формирований. Начальник Главного артиллерийского управления заявил, что новые нормы заявлены Ставкой; задания же эти не отразятся на наивысшем напряжении всех возможных средств для получения наибольшего количества орудий но степени их важности, ставя на первое место орудия средних и крупных калибров.</w:t>
      </w:r>
    </w:p>
    <w:p w14:paraId="54BCA532"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Понижение производительности отечественных заводов по сравнению е январем объясняется общими причинами, каковыми являются понижение интенсивности труда и недостаток топлива и материалов, последнее — как следствие ослабления перевозок по железным дорогам.</w:t>
      </w:r>
    </w:p>
    <w:p w14:paraId="641A3FB6"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Б. В и и т о в к и</w:t>
      </w:r>
    </w:p>
    <w:p w14:paraId="5E0B0D12"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Ежемесячная потребность............................. 200000 шт.</w:t>
      </w:r>
    </w:p>
    <w:p w14:paraId="69015137"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Поступило винтовок:</w:t>
      </w:r>
    </w:p>
    <w:p w14:paraId="72959779"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 'nihil i ( с казенных заводов.................. 128920 шт.</w:t>
      </w:r>
    </w:p>
    <w:p w14:paraId="6FE0FDC2"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j из-за границы прибыло.................. 24600 »</w:t>
      </w:r>
    </w:p>
    <w:p w14:paraId="2573DE9C"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Всего ....</w:t>
      </w:r>
      <w:r w:rsidRPr="002F2FDF">
        <w:rPr>
          <w:rFonts w:ascii="Times New Roman" w:hAnsi="Times New Roman" w:cs="Times New Roman"/>
          <w:color w:val="000000" w:themeColor="text1"/>
          <w:sz w:val="16"/>
          <w:szCs w:val="16"/>
        </w:rPr>
        <w:tab/>
        <w:t>153520 шт.</w:t>
      </w:r>
    </w:p>
    <w:p w14:paraId="692FC622"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(с казенных заводов............................. 115436 шт.</w:t>
      </w:r>
    </w:p>
    <w:p w14:paraId="68D100C8"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из-за границы приоыло..................... о7«ЗМ »</w:t>
      </w:r>
    </w:p>
    <w:p w14:paraId="3517F138"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Всего ....</w:t>
      </w:r>
      <w:r w:rsidRPr="002F2FDF">
        <w:rPr>
          <w:rFonts w:ascii="Times New Roman" w:hAnsi="Times New Roman" w:cs="Times New Roman"/>
          <w:color w:val="000000" w:themeColor="text1"/>
          <w:sz w:val="16"/>
          <w:szCs w:val="16"/>
        </w:rPr>
        <w:tab/>
        <w:t>152787 шт.</w:t>
      </w:r>
    </w:p>
    <w:p w14:paraId="728DAEC8"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Казенные заводы собственно незначительно понизили производство, в частности Сестрорецкий завод сдал в мае 9850 против 11140 в январе: по заграничным заказам завод Винчестера заказ окончил; следует отметить, что с 1 по 24 июня прибыло из Америки 210 тыс. 3'" винтовок, что сразу делает значительный запас.</w:t>
      </w:r>
    </w:p>
    <w:p w14:paraId="40772CC3"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П у л е м е т ы</w:t>
      </w:r>
    </w:p>
    <w:p w14:paraId="36FD034A"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[Потребность прежняя ежемесячно.......................... 600 шт.</w:t>
      </w:r>
    </w:p>
    <w:p w14:paraId="23740E8B"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Поступило:</w:t>
      </w:r>
    </w:p>
    <w:p w14:paraId="365EAA1C"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 январе / с Тульского завода.......................... 1200 шт.</w:t>
      </w:r>
    </w:p>
    <w:p w14:paraId="68B0D62D"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r j из-за границы прибыло ...................... 767</w:t>
      </w:r>
      <w:r w:rsidRPr="002F2FDF">
        <w:rPr>
          <w:rFonts w:ascii="Times New Roman" w:hAnsi="Times New Roman" w:cs="Times New Roman"/>
          <w:color w:val="000000" w:themeColor="text1"/>
          <w:sz w:val="16"/>
          <w:szCs w:val="16"/>
        </w:rPr>
        <w:tab/>
        <w:t>»</w:t>
      </w:r>
    </w:p>
    <w:p w14:paraId="63156CAA"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Нсего ....</w:t>
      </w:r>
      <w:r w:rsidRPr="002F2FDF">
        <w:rPr>
          <w:rFonts w:ascii="Times New Roman" w:hAnsi="Times New Roman" w:cs="Times New Roman"/>
          <w:color w:val="000000" w:themeColor="text1"/>
          <w:sz w:val="16"/>
          <w:szCs w:val="16"/>
        </w:rPr>
        <w:tab/>
        <w:t>1967 шт.</w:t>
      </w:r>
    </w:p>
    <w:p w14:paraId="47F69A50"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мае / 0 Тульского завода..........................1160 шт.</w:t>
      </w:r>
    </w:p>
    <w:p w14:paraId="5A8ABFC2"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из-за границы прибыло...................... 3000 »</w:t>
      </w:r>
    </w:p>
    <w:p w14:paraId="17EB675F"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Всего ....</w:t>
      </w:r>
      <w:r w:rsidRPr="002F2FDF">
        <w:rPr>
          <w:rFonts w:ascii="Times New Roman" w:hAnsi="Times New Roman" w:cs="Times New Roman"/>
          <w:color w:val="000000" w:themeColor="text1"/>
          <w:sz w:val="16"/>
          <w:szCs w:val="16"/>
        </w:rPr>
        <w:tab/>
        <w:t>4160 шт.</w:t>
      </w:r>
    </w:p>
    <w:p w14:paraId="3CE95E96"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Таким образом, снабжение пулеметами при некотором понижении производительности казенного завода представляется в благоприятном положении.</w:t>
      </w:r>
    </w:p>
    <w:p w14:paraId="5FDE675F"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 Ружья- п у л е м е т ы</w:t>
      </w:r>
    </w:p>
    <w:p w14:paraId="7230A144"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Единовременпая потребность........................... 110000 шт.</w:t>
      </w:r>
    </w:p>
    <w:p w14:paraId="4EA7B446"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январе поступило из-за границы..................... 142 »</w:t>
      </w:r>
    </w:p>
    <w:p w14:paraId="12BBC3F7"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мае</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 3543</w:t>
      </w:r>
      <w:r w:rsidRPr="002F2FDF">
        <w:rPr>
          <w:rFonts w:ascii="Times New Roman" w:hAnsi="Times New Roman" w:cs="Times New Roman"/>
          <w:color w:val="000000" w:themeColor="text1"/>
          <w:sz w:val="16"/>
          <w:szCs w:val="16"/>
        </w:rPr>
        <w:tab/>
        <w:t>»</w:t>
      </w:r>
    </w:p>
    <w:p w14:paraId="485988BC"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Первая поставка на Ковровском заводе (ружья-пулеметы Мадсена) ожидается в июне.</w:t>
      </w:r>
    </w:p>
    <w:p w14:paraId="2DDF825E"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 1) и итов о ч и ы е патрон</w:t>
      </w:r>
    </w:p>
    <w:p w14:paraId="72992377"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Ежемесячная потребность 3"' . . . .</w:t>
      </w:r>
    </w:p>
    <w:p w14:paraId="77F28BD5"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Австрийских, японских 45 мм .Нобеля</w:t>
      </w:r>
    </w:p>
    <w:p w14:paraId="2EEB511B"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Поступило:</w:t>
      </w:r>
    </w:p>
    <w:p w14:paraId="149353D9"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январе</w:t>
      </w:r>
    </w:p>
    <w:p w14:paraId="730479E8"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w:t>
      </w:r>
    </w:p>
    <w:p w14:paraId="0DC59D77"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 с отечественных заводов</w:t>
      </w:r>
    </w:p>
    <w:p w14:paraId="71368C29"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из-за границы прибыло . .</w:t>
      </w:r>
    </w:p>
    <w:p w14:paraId="54ABE7FF"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мае</w:t>
      </w:r>
    </w:p>
    <w:p w14:paraId="61EFF914"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Итого . .</w:t>
      </w:r>
    </w:p>
    <w:p w14:paraId="4E334D21"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I 3"' с отечественных заводов</w:t>
      </w:r>
    </w:p>
    <w:p w14:paraId="2122D52A"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из-за границы прибыло . .</w:t>
      </w:r>
    </w:p>
    <w:p w14:paraId="50586E7E"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Итого</w:t>
      </w:r>
    </w:p>
    <w:p w14:paraId="6B93C77D"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225 млв</w:t>
      </w:r>
    </w:p>
    <w:p w14:paraId="1F58FFF2"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7</w:t>
      </w:r>
      <w:r w:rsidRPr="002F2FDF">
        <w:rPr>
          <w:rFonts w:ascii="Times New Roman" w:hAnsi="Times New Roman" w:cs="Times New Roman"/>
          <w:color w:val="000000" w:themeColor="text1"/>
          <w:sz w:val="16"/>
          <w:szCs w:val="16"/>
        </w:rPr>
        <w:tab/>
        <w:t>»</w:t>
      </w:r>
    </w:p>
    <w:p w14:paraId="345FB25E"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143.3 млн</w:t>
      </w:r>
    </w:p>
    <w:p w14:paraId="564A969D"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56.2 »</w:t>
      </w:r>
    </w:p>
    <w:p w14:paraId="0680F668"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199.5 млн</w:t>
      </w:r>
    </w:p>
    <w:p w14:paraId="1C79A071"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134.1 млн</w:t>
      </w:r>
    </w:p>
    <w:p w14:paraId="010CCC6C"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110 »</w:t>
      </w:r>
    </w:p>
    <w:p w14:paraId="630AF5A4"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244.1 млн</w:t>
      </w:r>
    </w:p>
    <w:p w14:paraId="367E8D71"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Отечественные заводы поставили в мае меньше, чем в январе, причем Петроградский казенный завод увеличил производство, Луганский недопоставил 5 млн против января, так что общее понижение произошло блаодаря уменьшению производства на Тульском частном заводе более чем вдвое, что объясняется большим количеством брака.</w:t>
      </w:r>
    </w:p>
    <w:p w14:paraId="3004E678"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 обсуждении всех вышеприведенных данных, Комиссия пришла к следующим заключениям:</w:t>
      </w:r>
    </w:p>
    <w:p w14:paraId="470A48D5"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w:t>
      </w:r>
      <w:r w:rsidRPr="002F2FDF">
        <w:rPr>
          <w:rFonts w:ascii="Times New Roman" w:hAnsi="Times New Roman" w:cs="Times New Roman"/>
          <w:color w:val="000000" w:themeColor="text1"/>
          <w:sz w:val="16"/>
          <w:szCs w:val="16"/>
        </w:rPr>
        <w:tab/>
        <w:t>Вновь установленная, значительно пониженная потребность в оруднях не должна служить основанием к уменьшению производительности отечественных заводов и к ослаблению усилий, направленных к получению из-за границы в отношении к крупным и средним калибрам.</w:t>
      </w:r>
    </w:p>
    <w:p w14:paraId="7098F8E7"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w:t>
      </w:r>
      <w:r w:rsidRPr="002F2FDF">
        <w:rPr>
          <w:rFonts w:ascii="Times New Roman" w:hAnsi="Times New Roman" w:cs="Times New Roman"/>
          <w:color w:val="000000" w:themeColor="text1"/>
          <w:sz w:val="16"/>
          <w:szCs w:val="16"/>
        </w:rPr>
        <w:tab/>
        <w:t>Следует признать, что на понижение производительности отечественных заводов влияние оказали не только обстоятельства, связанные с уменьшением интенсивности труда на самих заводах, но и недоставка топлива и металла.</w:t>
      </w:r>
    </w:p>
    <w:p w14:paraId="3791BAD7"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w:t>
      </w:r>
      <w:r w:rsidRPr="002F2FDF">
        <w:rPr>
          <w:rFonts w:ascii="Times New Roman" w:hAnsi="Times New Roman" w:cs="Times New Roman"/>
          <w:color w:val="000000" w:themeColor="text1"/>
          <w:sz w:val="16"/>
          <w:szCs w:val="16"/>
        </w:rPr>
        <w:tab/>
        <w:t>На поставках орудий из-за границы неблагоприятно отразилась задержка в отправке союзниками готовых орудий, что, но-виднмому, устраняется в настоящее время; необходимы энергичные настояния о скорейших отправках орудий крупных калибров.</w:t>
      </w:r>
    </w:p>
    <w:p w14:paraId="6CB9ACEF"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w:t>
      </w:r>
      <w:r w:rsidRPr="002F2FDF">
        <w:rPr>
          <w:rFonts w:ascii="Times New Roman" w:hAnsi="Times New Roman" w:cs="Times New Roman"/>
          <w:color w:val="000000" w:themeColor="text1"/>
          <w:sz w:val="16"/>
          <w:szCs w:val="16"/>
        </w:rPr>
        <w:tab/>
        <w:t>Значительное сокращение поставок 3" полевых орудий при отмене новых формирований и наличии значительного запаса значения не имеет.</w:t>
      </w:r>
    </w:p>
    <w:p w14:paraId="2A2C3D12"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w:t>
      </w:r>
      <w:r w:rsidRPr="002F2FDF">
        <w:rPr>
          <w:rFonts w:ascii="Times New Roman" w:hAnsi="Times New Roman" w:cs="Times New Roman"/>
          <w:color w:val="000000" w:themeColor="text1"/>
          <w:sz w:val="16"/>
          <w:szCs w:val="16"/>
        </w:rPr>
        <w:tab/>
        <w:t>Производство 3" горных орудий необходимо усилить.</w:t>
      </w:r>
    </w:p>
    <w:p w14:paraId="7E2F92E8"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6. Снабжение зенитными орудиями представляется в безнадежном положении.</w:t>
      </w:r>
    </w:p>
    <w:p w14:paraId="0223D767"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7.</w:t>
      </w:r>
      <w:r w:rsidRPr="002F2FDF">
        <w:rPr>
          <w:rFonts w:ascii="Times New Roman" w:hAnsi="Times New Roman" w:cs="Times New Roman"/>
          <w:color w:val="000000" w:themeColor="text1"/>
          <w:sz w:val="16"/>
          <w:szCs w:val="16"/>
        </w:rPr>
        <w:tab/>
        <w:t>Положение но снабжению пулеметами удовлетворительно.</w:t>
      </w:r>
    </w:p>
    <w:p w14:paraId="340B4D7B"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8.</w:t>
      </w:r>
      <w:r w:rsidRPr="002F2FDF">
        <w:rPr>
          <w:rFonts w:ascii="Times New Roman" w:hAnsi="Times New Roman" w:cs="Times New Roman"/>
          <w:color w:val="000000" w:themeColor="text1"/>
          <w:sz w:val="16"/>
          <w:szCs w:val="16"/>
        </w:rPr>
        <w:tab/>
        <w:t>Необходимо усилить производство 3'" винтовочных патронов.</w:t>
      </w:r>
    </w:p>
    <w:p w14:paraId="30A830F8"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Подлинный за надлежащими подписями.</w:t>
      </w:r>
    </w:p>
    <w:p w14:paraId="3F6B56F0"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Верно: и. д. делопроизводителя,</w:t>
      </w:r>
    </w:p>
    <w:p w14:paraId="13F2FB8C"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подполковник [подпись неразборчива).</w:t>
      </w:r>
    </w:p>
    <w:p w14:paraId="6BA8F2D6"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ЦГВИА, ф. 369, он. 3, д. 189, лл. 447—451. Копия (20763).</w:t>
      </w:r>
    </w:p>
    <w:p w14:paraId="4B78F8CC" w14:textId="77777777" w:rsidR="00091580" w:rsidRPr="002F2FDF" w:rsidRDefault="00091580" w:rsidP="0083075A">
      <w:pPr>
        <w:spacing w:after="0" w:line="240" w:lineRule="auto"/>
        <w:jc w:val="both"/>
        <w:rPr>
          <w:rFonts w:ascii="Times New Roman" w:hAnsi="Times New Roman" w:cs="Times New Roman"/>
          <w:color w:val="000000" w:themeColor="text1"/>
          <w:sz w:val="16"/>
          <w:szCs w:val="16"/>
        </w:rPr>
      </w:pPr>
    </w:p>
    <w:p w14:paraId="6113C236" w14:textId="192E1ECE" w:rsidR="009B647F" w:rsidRPr="002F2FDF" w:rsidRDefault="009B647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E0E8E72" w14:textId="77777777" w:rsidR="009B647F" w:rsidRPr="002F2FDF" w:rsidRDefault="009B647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1AC479" w14:textId="0ED90F89" w:rsidR="009B647F" w:rsidRPr="002F2FDF" w:rsidRDefault="009B647F" w:rsidP="0083075A">
      <w:pPr>
        <w:tabs>
          <w:tab w:val="left" w:pos="572"/>
        </w:tabs>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29 июня (1</w:t>
      </w:r>
      <w:r w:rsidR="00C53D87">
        <w:rPr>
          <w:rFonts w:ascii="Times New Roman" w:hAnsi="Times New Roman" w:cs="Times New Roman"/>
          <w:color w:val="000000" w:themeColor="text1"/>
          <w:sz w:val="16"/>
          <w:szCs w:val="16"/>
        </w:rPr>
        <w:t>2</w:t>
      </w:r>
      <w:r w:rsidRPr="002F2FDF">
        <w:rPr>
          <w:rFonts w:ascii="Times New Roman" w:hAnsi="Times New Roman" w:cs="Times New Roman"/>
          <w:color w:val="000000" w:themeColor="text1"/>
          <w:sz w:val="16"/>
          <w:szCs w:val="16"/>
        </w:rPr>
        <w:t xml:space="preserve"> июля) 1917 г. в Киеве на аэродроме Военной школы лётчиков-наблюдателей воздухоплава</w:t>
      </w:r>
      <w:r w:rsidRPr="002F2FDF">
        <w:rPr>
          <w:rFonts w:ascii="Times New Roman" w:hAnsi="Times New Roman" w:cs="Times New Roman"/>
          <w:color w:val="000000" w:themeColor="text1"/>
          <w:sz w:val="16"/>
          <w:szCs w:val="16"/>
        </w:rPr>
        <w:softHyphen/>
        <w:t>тель 5-го Сибирского корпусного отряда пору</w:t>
      </w:r>
      <w:r w:rsidRPr="002F2FDF">
        <w:rPr>
          <w:rFonts w:ascii="Times New Roman" w:hAnsi="Times New Roman" w:cs="Times New Roman"/>
          <w:color w:val="000000" w:themeColor="text1"/>
          <w:sz w:val="16"/>
          <w:szCs w:val="16"/>
        </w:rPr>
        <w:softHyphen/>
        <w:t>чик Нарбут совершил удачный парашютный прыжок с биплана «Вуазен» (20120).</w:t>
      </w:r>
    </w:p>
    <w:p w14:paraId="36F0363E" w14:textId="77777777" w:rsidR="009B647F" w:rsidRPr="002F2FDF" w:rsidRDefault="009B647F" w:rsidP="0083075A">
      <w:pPr>
        <w:spacing w:after="0" w:line="240" w:lineRule="auto"/>
        <w:jc w:val="both"/>
        <w:rPr>
          <w:rFonts w:ascii="Times New Roman" w:hAnsi="Times New Roman" w:cs="Times New Roman"/>
          <w:color w:val="000000" w:themeColor="text1"/>
          <w:sz w:val="16"/>
          <w:szCs w:val="16"/>
        </w:rPr>
      </w:pPr>
    </w:p>
    <w:p w14:paraId="48EBBE0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6E64E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6593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июня (12 июля) 1917 Украина объявила независимость от России (2100).</w:t>
      </w:r>
    </w:p>
    <w:p w14:paraId="7FDC30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38738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9B57C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B346D3" w14:textId="77777777" w:rsidR="009B647F" w:rsidRPr="002F2FDF" w:rsidRDefault="009B647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29 июня (12 июля) 1917 лейтенант Королевской военно-морской авиации О.А. Батчер, управляя воздушным змеем, запущенным эсминцем HMS Patriot у Шетландских островов , нацеливает артиллерию на немецкую подводную лодку U-69 на дальности 28 морских миль (52 км), позволяя « Патриоту» осуществить перехват. U-69 и потопить ее глубинными бомбами (20341).</w:t>
      </w:r>
    </w:p>
    <w:p w14:paraId="03B0CAB2" w14:textId="77777777" w:rsidR="009B647F" w:rsidRPr="002F2FDF" w:rsidRDefault="009B647F" w:rsidP="0083075A">
      <w:pPr>
        <w:spacing w:after="0" w:line="240" w:lineRule="auto"/>
        <w:jc w:val="both"/>
        <w:rPr>
          <w:rFonts w:ascii="Times New Roman" w:hAnsi="Times New Roman" w:cs="Times New Roman"/>
          <w:color w:val="000000" w:themeColor="text1"/>
          <w:sz w:val="16"/>
          <w:szCs w:val="16"/>
        </w:rPr>
      </w:pPr>
    </w:p>
    <w:p w14:paraId="0282A8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июня (12 июля) 1917 в ходе битвы за Ипр германская армия впервые применила горчичный газ - иприт (3481).</w:t>
      </w:r>
    </w:p>
    <w:p w14:paraId="699988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150A8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июня (12 июля) 1917 во Фландрии немецкими войсками впервые применен горчичный газ (4962). во время сражения у города Ипра в Бельгии немецкие войска впервые применили боевое отравляющее вещество кожно-нарывного действия , так называемый горчичный газ. Впоследствии это ОВ было названо ипритом (по месту первого применения ) (4963 ).</w:t>
      </w:r>
    </w:p>
    <w:p w14:paraId="3C42EBD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5D58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29-20 июня (12-13 июля) 1917 г. состоялось первое применение немецкими войсками иприта (горчичного газа) - стойкого ОВ кожно-нарывного действия - в боях под г. Ипр (Бельгия) в годы первой мировой войны. Было выпущено 50 тысяч снарядов, содержащих 125 т иприта. Поражение различной степени получили 2490 человек. В общей сложности за годы первой мировой войны обеими сторонами было применено 12 тысяч тонн иприта, пострадало около 400 тысяч человек (см. также 22 апреля 1915 г., 31 мая 1915 г., 1 июля 1916 г., 10 июля 1917 г.) (9067).</w:t>
      </w:r>
    </w:p>
    <w:p w14:paraId="0E1B69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AC1205" w14:textId="77777777" w:rsidR="00880559" w:rsidRPr="002F2FDF" w:rsidRDefault="0088055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июня (12 июля) в 1917 году в ходе Ипрского сражения германская армия впервые применила в качестве боевого отравляющего вещества горчичный газ (C4H8SCl2), который по месту боев получил название иприт. Разработан концерном Штольценберга. Очень удобен в применении, до сих пор состоит на вооружении многих стран мира. Последнее (зарегистрированное) боевое применение - Ирако-Иранская война. В СССР поставлен на поток в 1924 г. В истории создания первого нашего иприта были весьма забавные моменты. Вот акт с отчетом о расходах материалов на производство 1 пуда вещества "Н" (так кодировали иприт): "Спирта 95% 2,006 ведра из коего 15 л расход на продувку этиленового аппарата". "Продувка этиленового аппарата" тут выступает синонимом "промывки оптической оси" или "продувки двигателя" у авиаторов. Антидота против иприта не существует (14950).</w:t>
      </w:r>
    </w:p>
    <w:p w14:paraId="003C2994" w14:textId="77777777" w:rsidR="00880559" w:rsidRPr="002F2FDF" w:rsidRDefault="00880559" w:rsidP="0083075A">
      <w:pPr>
        <w:spacing w:after="0" w:line="240" w:lineRule="auto"/>
        <w:jc w:val="both"/>
        <w:rPr>
          <w:rFonts w:ascii="Times New Roman" w:hAnsi="Times New Roman" w:cs="Times New Roman"/>
          <w:color w:val="000000" w:themeColor="text1"/>
          <w:kern w:val="2"/>
          <w:sz w:val="16"/>
          <w:szCs w:val="16"/>
        </w:rPr>
      </w:pPr>
    </w:p>
    <w:p w14:paraId="1F13CB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июня (12 июля) 1917 Дуань Цижуй вновь занимает пост премьер-министра Китая (3907,90).</w:t>
      </w:r>
    </w:p>
    <w:p w14:paraId="557241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C668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июня (12 июля) 1917 года в течение 4 часов по позициям союзников было выпущено 50 тысяч снарядов, содержащих 125 тонн В, В-дихлордиэтилсульфида. Поражения различной степени получили 2490 человек. Французами новое ОВ было названо "ипритом", по месту первого применения, а англичанами "горчичным газом" из-за сильного специфического запаха (11416).</w:t>
      </w:r>
    </w:p>
    <w:p w14:paraId="699676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57D5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ночь с 29 на 30 июня (12 на 13 июля) 1917 г. началось боевое применение так называемых долгоживущих стойких химических отравляющих веществ, обладающих как общеядовитым, так и кожно-нарывным действием, к примеру, иприта, поражающее воздействие которого было расширено за счет проникновения ОВ через кожные покровы в обход противогаза. Это потребовало, в свою очередь, создания специальной защитной одежды, других мер, включая процессы (и продукты) для дегазации и спецобработки. В Первую мировую войн общие потери от применения химического оружия составили свыше 1,3 млн. человек, из которых, по разным оценкам, от 30 до 100 тыс. безвозвратные (11633).</w:t>
      </w:r>
    </w:p>
    <w:p w14:paraId="60B809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43B4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июня (12 июля) 1917 года Британский сторожевой корабль "Пэтриот", оборудованный привязным аэростатом, обнаружил германскую подводную лодку на расстоянии около 52 км. Лодка погрузилась на дно и скрылась из поля зрения привязного аэростата. Когда наблюдатели приблизились на 11 км, лодка всплыла, но тут же вновь погрузилась. Сторожевой корабль атаковал лодку, пользуясь наведением с аэростата и повредил ее корпус.</w:t>
      </w:r>
    </w:p>
    <w:p w14:paraId="33808B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этом году практически все флагманские корабли британского флота были снабжены привязными аэростатами, имевшими телефон и поднимавшими на высоту 120-200 м одного-двух наблюдателей (11999).</w:t>
      </w:r>
    </w:p>
    <w:p w14:paraId="657323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344BCD" w14:textId="77777777" w:rsidR="000F43BC"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A4CC1E1" w14:textId="77777777" w:rsidR="000F43BC" w:rsidRPr="002F2FDF" w:rsidRDefault="000F43B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B69660"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июня (13 июля) 1917 г. Справка Подготовительной комиссии по авиационным вопросам при Особом совещании по обороне о поступлении в действующую армию самолетов, моторов и авиационного имуѵцества с 1 января по 1 июня 1917 г.</w:t>
      </w:r>
      <w:hyperlink r:id="rId325" w:anchor="_ftn1" w:history="1">
        <w:r w:rsidRPr="002F2FDF">
          <w:rPr>
            <w:rFonts w:ascii="Times New Roman" w:hAnsi="Times New Roman" w:cs="Times New Roman"/>
            <w:color w:val="000000" w:themeColor="text1"/>
            <w:kern w:val="2"/>
            <w:sz w:val="16"/>
            <w:szCs w:val="16"/>
          </w:rPr>
          <w:t>[1]</w:t>
        </w:r>
      </w:hyperlink>
    </w:p>
    <w:p w14:paraId="40B3BF36"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184-186</w:t>
      </w:r>
    </w:p>
    <w:p w14:paraId="4ABB486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369, оп. 8, д. 60, лл. 3-5—37. Копия.</w:t>
      </w:r>
    </w:p>
    <w:p w14:paraId="0DD51300"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Согласно представляемым в Подготовительную комиссию по авиационным вопросам УВВФ еженедельным сведениям, за время с 1 января 1917 г. но 1 июня того же года было отправлено на фронт и выдано различным учреждениям: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52"/>
        <w:gridCol w:w="1786"/>
        <w:gridCol w:w="1693"/>
        <w:gridCol w:w="453"/>
        <w:gridCol w:w="1268"/>
      </w:tblGrid>
      <w:tr w:rsidR="002B1C74" w:rsidRPr="002F2FDF" w14:paraId="0D027563"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46A557" w14:textId="347DD507" w:rsidR="0028644D"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1D93E"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 января по 24 февраля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7E2D0"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24 февраля по 1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4FD63"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97ECD"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Остаток к 1 июня</w:t>
            </w:r>
          </w:p>
        </w:tc>
      </w:tr>
      <w:tr w:rsidR="002B1C74" w:rsidRPr="002F2FDF" w14:paraId="05D4C3F0"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5E148F"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77143"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103D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D032E"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FDED8"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213</w:t>
            </w:r>
          </w:p>
        </w:tc>
      </w:tr>
      <w:tr w:rsidR="002B1C74" w:rsidRPr="002F2FDF" w14:paraId="68BFB797"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6D7BE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6D263"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203C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7744F"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5C913"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1869</w:t>
            </w:r>
          </w:p>
        </w:tc>
      </w:tr>
      <w:tr w:rsidR="002B1C74" w:rsidRPr="002F2FDF" w14:paraId="1365B95D"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F305F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Воздушных винтов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84347"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9A1E7"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51413"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0122B"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1837</w:t>
            </w:r>
          </w:p>
        </w:tc>
      </w:tr>
      <w:tr w:rsidR="002B1C74" w:rsidRPr="002F2FDF" w14:paraId="711D46D8"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84F209"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Палаток для аэропланов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62786"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71ADD"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E92A9"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D3956"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221</w:t>
            </w:r>
          </w:p>
        </w:tc>
      </w:tr>
      <w:tr w:rsidR="002B1C74" w:rsidRPr="002F2FDF" w14:paraId="4228FA8B"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33CBED"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Змейковых аэростатов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2F586"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1F8E3"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5E2D3"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B81A1"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125</w:t>
            </w:r>
          </w:p>
        </w:tc>
      </w:tr>
      <w:tr w:rsidR="002B1C74" w:rsidRPr="002F2FDF" w14:paraId="1781238C"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208668"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Газодобывательных аппаратов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10A71"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___</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A4F8C"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A4DB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3D3CD"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r>
      <w:tr w:rsidR="002B1C74" w:rsidRPr="002F2FDF" w14:paraId="75BC9582"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3D7957"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Лебедок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4E362"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40C3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50C6B"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A4382"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r>
      <w:tr w:rsidR="002B1C74" w:rsidRPr="002F2FDF" w14:paraId="371D8EEF"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C0A0C6"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Фотографических аппаратов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4B236"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572C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0CF66"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1621C"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107</w:t>
            </w:r>
          </w:p>
        </w:tc>
      </w:tr>
    </w:tbl>
    <w:p w14:paraId="04013A99"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Обращаясь к исполнению плана снабжения армии самолетами и моторами, а равно и к поступлению аэропланов и моторов с комплектами запасных для них частей, а равно и воздушных винтов. Подготовительная комиссия считала долгом отметить нижеследующее.</w:t>
      </w:r>
    </w:p>
    <w:p w14:paraId="3E31B5E8"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Самолеты</w:t>
      </w:r>
    </w:p>
    <w:p w14:paraId="141C5336"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 но плану снабжения действующей армии самолетами на срок с 1 января 1917 г. по 1 июля 1918 г. составляет: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13"/>
        <w:gridCol w:w="475"/>
      </w:tblGrid>
      <w:tr w:rsidR="002B1C74" w:rsidRPr="002F2FDF" w14:paraId="33327EF8"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B0EE80"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Самолеты армейские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A5A9A"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895</w:t>
            </w:r>
          </w:p>
        </w:tc>
      </w:tr>
      <w:tr w:rsidR="002B1C74" w:rsidRPr="002F2FDF" w14:paraId="5D1929B6"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3DAC56"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Корпусные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93A9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4351</w:t>
            </w:r>
          </w:p>
        </w:tc>
      </w:tr>
      <w:tr w:rsidR="002B1C74" w:rsidRPr="002F2FDF" w14:paraId="67842F38"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62252D"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Истребители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90511"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4214</w:t>
            </w:r>
          </w:p>
        </w:tc>
      </w:tr>
      <w:tr w:rsidR="002B1C74" w:rsidRPr="002F2FDF" w14:paraId="5808D997"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147393"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Учебные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2AE6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485</w:t>
            </w:r>
          </w:p>
        </w:tc>
      </w:tr>
      <w:tr w:rsidR="002B1C74" w:rsidRPr="002F2FDF" w14:paraId="79159792"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905696"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«Илья Муромец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6A570"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w:t>
            </w:r>
          </w:p>
        </w:tc>
      </w:tr>
      <w:tr w:rsidR="002B1C74" w:rsidRPr="002F2FDF" w14:paraId="2D388030"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64ACBB"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362F7"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10065</w:t>
            </w:r>
          </w:p>
        </w:tc>
      </w:tr>
    </w:tbl>
    <w:p w14:paraId="6B9A7ED6"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исполнение сего плана на і июня 1917 г. дано было заказов: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05"/>
        <w:gridCol w:w="689"/>
        <w:gridCol w:w="882"/>
        <w:gridCol w:w="480"/>
      </w:tblGrid>
      <w:tr w:rsidR="002B1C74" w:rsidRPr="002F2FDF" w14:paraId="38A9A744"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00C9EF" w14:textId="0445AFB6" w:rsidR="0028644D"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FA8C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A6A5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DED6A"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r>
      <w:tr w:rsidR="002B1C74" w:rsidRPr="002F2FDF" w14:paraId="391718F0"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82B88A"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На самолеты армейские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E61FF"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241A3"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CE76C"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75ED4BEE"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248F0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Корпусные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F98DF"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865A0"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F70F6"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1790</w:t>
            </w:r>
          </w:p>
        </w:tc>
      </w:tr>
      <w:tr w:rsidR="002B1C74" w:rsidRPr="002F2FDF" w14:paraId="122CAB5A"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86DD00"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Истребители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9266F"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45D91"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67D9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1071</w:t>
            </w:r>
          </w:p>
        </w:tc>
      </w:tr>
      <w:tr w:rsidR="002B1C74" w:rsidRPr="002F2FDF" w14:paraId="70B8EF26"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B65697"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Учебные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4AFDB"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B2599"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E2B89"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280</w:t>
            </w:r>
          </w:p>
        </w:tc>
      </w:tr>
      <w:tr w:rsidR="002B1C74" w:rsidRPr="002F2FDF" w14:paraId="3CC7F8BA"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BB707B"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«Илья Муромец»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6D2E9"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5FF46"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F0DF9"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w:t>
            </w:r>
          </w:p>
        </w:tc>
      </w:tr>
      <w:tr w:rsidR="002B1C74" w:rsidRPr="002F2FDF" w14:paraId="1FDCC8FA"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9DC75E"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64C2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40FF8"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55F7B"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3179</w:t>
            </w:r>
          </w:p>
        </w:tc>
      </w:tr>
    </w:tbl>
    <w:p w14:paraId="7416E9BF"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остается дозаказать: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67"/>
        <w:gridCol w:w="689"/>
        <w:gridCol w:w="882"/>
        <w:gridCol w:w="480"/>
      </w:tblGrid>
      <w:tr w:rsidR="002B1C74" w:rsidRPr="002F2FDF" w14:paraId="5CE89348"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1236CE" w14:textId="47F558F5" w:rsidR="0028644D"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D3E67"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FA66B"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04F22"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r>
      <w:tr w:rsidR="002B1C74" w:rsidRPr="002F2FDF" w14:paraId="5AE268BA"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671961"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Самолетов армейских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5917A"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ADD19"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0D183"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895</w:t>
            </w:r>
          </w:p>
        </w:tc>
      </w:tr>
      <w:tr w:rsidR="002B1C74" w:rsidRPr="002F2FDF" w14:paraId="50047677"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D8951E"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Корпусных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D68CE"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A768F"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32FFB"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2561</w:t>
            </w:r>
          </w:p>
        </w:tc>
      </w:tr>
      <w:tr w:rsidR="002B1C74" w:rsidRPr="002F2FDF" w14:paraId="4CBDEDFA"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419B9B"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Истребителей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B6420"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CD8CC"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5D44A"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3143</w:t>
            </w:r>
          </w:p>
        </w:tc>
      </w:tr>
      <w:tr w:rsidR="002B1C74" w:rsidRPr="002F2FDF" w14:paraId="43B9DAC5"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5F7A8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 чебных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C0CF8"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A58F6" w14:textId="1FEC71D5" w:rsidR="0028644D"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3D186"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205</w:t>
            </w:r>
          </w:p>
        </w:tc>
      </w:tr>
      <w:tr w:rsidR="002B1C74" w:rsidRPr="002F2FDF" w14:paraId="33093E12"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0A9048"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«Илья Муромец»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DF66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24B2B"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A9F98"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82</w:t>
            </w:r>
          </w:p>
        </w:tc>
      </w:tr>
      <w:tr w:rsidR="002B1C74" w:rsidRPr="002F2FDF" w14:paraId="71341953"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9F06B1"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0791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21117"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67FDC"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6886</w:t>
            </w:r>
          </w:p>
        </w:tc>
      </w:tr>
    </w:tbl>
    <w:p w14:paraId="76BC6F66"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Поступление самолетов за истекшее время выражается помесячно в нижеследующих цифрах:</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606"/>
        <w:gridCol w:w="927"/>
        <w:gridCol w:w="606"/>
        <w:gridCol w:w="927"/>
        <w:gridCol w:w="606"/>
        <w:gridCol w:w="927"/>
        <w:gridCol w:w="606"/>
        <w:gridCol w:w="927"/>
        <w:gridCol w:w="326"/>
      </w:tblGrid>
      <w:tr w:rsidR="002B1C74" w:rsidRPr="002F2FDF" w14:paraId="3BA3820B" w14:textId="77777777" w:rsidTr="0028644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0A8BC6" w14:textId="0C557ACA" w:rsidR="0028644D"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A0FE2D"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Корпусные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443D69F"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Истребители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98D562C"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Учебные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2FA99B"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58A6E0E"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w:t>
            </w:r>
          </w:p>
          <w:p w14:paraId="5AAD0B9E"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w:t>
            </w:r>
          </w:p>
        </w:tc>
      </w:tr>
      <w:tr w:rsidR="002B1C74" w:rsidRPr="002F2FDF" w14:paraId="5CA22766" w14:textId="77777777" w:rsidTr="0028644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AC0AB1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6FD1E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8D3F771"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854D6"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B64B8"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3AB8E"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92FB8"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8641C"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55DD7"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заграничные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1DC883"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7CFBA244"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CE5DC7"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08073"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C777E"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1140F"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B63E2"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3A62C"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AD45A" w14:textId="2C133CB9" w:rsidR="0028644D"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16FF7"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1267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D142B"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186</w:t>
            </w:r>
          </w:p>
        </w:tc>
      </w:tr>
      <w:tr w:rsidR="002B1C74" w:rsidRPr="002F2FDF" w14:paraId="4610EA87"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8CF33A"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BE0E6"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F8F7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F1BF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005B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7AEB9"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6AB00"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AF6E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E652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AE787"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w:t>
            </w:r>
          </w:p>
        </w:tc>
      </w:tr>
      <w:tr w:rsidR="002B1C74" w:rsidRPr="002F2FDF" w14:paraId="391931E3"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0217A2"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16C7A"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B813A"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9601D"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934C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A2330"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4B623"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C446B"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97F56"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6BE2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116</w:t>
            </w:r>
          </w:p>
        </w:tc>
      </w:tr>
      <w:tr w:rsidR="002B1C74" w:rsidRPr="002F2FDF" w14:paraId="6FEC00EE"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9BA96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E544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3A6F8"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9521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ECF3D"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12850"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42DAD"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90A8E"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6D91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2B8E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158</w:t>
            </w:r>
          </w:p>
        </w:tc>
      </w:tr>
      <w:tr w:rsidR="002B1C74" w:rsidRPr="002F2FDF" w14:paraId="5387CA5A"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EC9F46"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72129"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00ED7"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62BFD"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2799B"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FE9FB"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FFE48"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ACE33"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53D4A"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D13A8"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167</w:t>
            </w:r>
          </w:p>
        </w:tc>
      </w:tr>
      <w:tr w:rsidR="002B1C74" w:rsidRPr="002F2FDF" w14:paraId="3025A2DC" w14:textId="77777777" w:rsidTr="0028644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B6AD2FD"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CEF40"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36510"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8BF33"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BDDB2"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4CB29"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2A10A"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8B880"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AE55C"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11DD29D"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777</w:t>
            </w:r>
          </w:p>
        </w:tc>
      </w:tr>
      <w:tr w:rsidR="002B1C74" w:rsidRPr="002F2FDF" w14:paraId="5D350B02" w14:textId="77777777" w:rsidTr="0028644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EE592E3"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40D473"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230C48"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D9AEB18"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39AF6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777</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F0A6798"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p>
        </w:tc>
      </w:tr>
    </w:tbl>
    <w:p w14:paraId="56F42EEE"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Поступление комплектов запасных к самолетам частей за это время было следующее: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315"/>
      </w:tblGrid>
      <w:tr w:rsidR="002B1C74" w:rsidRPr="002F2FDF" w14:paraId="251168EE"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B94D2E"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2CD0F"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w:t>
            </w:r>
          </w:p>
        </w:tc>
      </w:tr>
      <w:tr w:rsidR="002B1C74" w:rsidRPr="002F2FDF" w14:paraId="383FF71F"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F339F2"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2B75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124</w:t>
            </w:r>
          </w:p>
        </w:tc>
      </w:tr>
      <w:tr w:rsidR="002B1C74" w:rsidRPr="002F2FDF" w14:paraId="251A1C37"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F81F6E"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A7729"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w:t>
            </w:r>
          </w:p>
        </w:tc>
      </w:tr>
      <w:tr w:rsidR="002B1C74" w:rsidRPr="002F2FDF" w14:paraId="5F4BCC75"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B925EC"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0B490"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125</w:t>
            </w:r>
          </w:p>
        </w:tc>
      </w:tr>
      <w:tr w:rsidR="002B1C74" w:rsidRPr="002F2FDF" w14:paraId="7E53FF06"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EF7DAA"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4E8CD"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124</w:t>
            </w:r>
          </w:p>
        </w:tc>
      </w:tr>
    </w:tbl>
    <w:p w14:paraId="776B8170"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 по плану снабжения действующей армии моторами на срок с 1 января 1917 г. по 1 июля 1918 г. составляет 14 910 шт. Во исполнение сего плана разновременно русским заводам к 1 июня 1917 г. дано заказов на 3203 мотора, а за границей на 9100 моторов, всего 12 303 мотора, и предполагается заказать еще за границею 1548 моторов. На 1 января 1917 г. на складах имелось 1105 моторов.</w:t>
      </w:r>
    </w:p>
    <w:p w14:paraId="7251940E"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Поступление моторов за время с 1 января 1917 г. было следующим образом: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615"/>
        <w:gridCol w:w="1140"/>
        <w:gridCol w:w="468"/>
      </w:tblGrid>
      <w:tr w:rsidR="002B1C74" w:rsidRPr="002F2FDF" w14:paraId="0898ECED"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A9CC5B" w14:textId="0EEA9938" w:rsidR="0028644D"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18EDC"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2528F"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Заграничных</w:t>
            </w:r>
            <w:hyperlink r:id="rId326" w:anchor="_ftn2" w:history="1">
              <w:r w:rsidRPr="002F2FDF">
                <w:rPr>
                  <w:rFonts w:ascii="Times New Roman" w:hAnsi="Times New Roman" w:cs="Times New Roman"/>
                  <w:color w:val="000000" w:themeColor="text1"/>
                  <w:kern w:val="2"/>
                  <w:sz w:val="16"/>
                  <w:szCs w:val="16"/>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2545FA1D"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r>
      <w:tr w:rsidR="002B1C74" w:rsidRPr="002F2FDF" w14:paraId="0673B42B"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C5F106"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C6478"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74203"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C2E93"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202</w:t>
            </w:r>
          </w:p>
        </w:tc>
      </w:tr>
      <w:tr w:rsidR="002B1C74" w:rsidRPr="002F2FDF" w14:paraId="6DC56349"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D38547"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CBC5A"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28E1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176BF"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w:t>
            </w:r>
          </w:p>
        </w:tc>
      </w:tr>
      <w:tr w:rsidR="002B1C74" w:rsidRPr="002F2FDF" w14:paraId="7824B1D6"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7EE8EC"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A73E2"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C903F"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6B759"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246</w:t>
            </w:r>
          </w:p>
        </w:tc>
      </w:tr>
      <w:tr w:rsidR="002B1C74" w:rsidRPr="002F2FDF" w14:paraId="37C44F9E"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C75D26"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D3EC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DB561"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40B5A"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205</w:t>
            </w:r>
          </w:p>
        </w:tc>
      </w:tr>
      <w:tr w:rsidR="002B1C74" w:rsidRPr="002F2FDF" w14:paraId="43385757"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2F24AA"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E2D1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42F42"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5D7E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147</w:t>
            </w:r>
          </w:p>
        </w:tc>
      </w:tr>
    </w:tbl>
    <w:p w14:paraId="637B74B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Комплекты запасных частей поступили: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235"/>
      </w:tblGrid>
      <w:tr w:rsidR="002B1C74" w:rsidRPr="002F2FDF" w14:paraId="25950978"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38FDE7"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13899"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w:t>
            </w:r>
          </w:p>
        </w:tc>
      </w:tr>
      <w:tr w:rsidR="002B1C74" w:rsidRPr="002F2FDF" w14:paraId="424F6D4D"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9909CC"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9C2B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w:t>
            </w:r>
          </w:p>
        </w:tc>
      </w:tr>
      <w:tr w:rsidR="002B1C74" w:rsidRPr="002F2FDF" w14:paraId="0546EC9E"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20EAC0"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AC868"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w:t>
            </w:r>
          </w:p>
        </w:tc>
      </w:tr>
      <w:tr w:rsidR="002B1C74" w:rsidRPr="002F2FDF" w14:paraId="01F61552"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F00AAC"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60E78"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w:t>
            </w:r>
          </w:p>
        </w:tc>
      </w:tr>
      <w:tr w:rsidR="002B1C74" w:rsidRPr="002F2FDF" w14:paraId="509698E6"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9CAADA"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352A7"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w:t>
            </w:r>
          </w:p>
        </w:tc>
      </w:tr>
    </w:tbl>
    <w:p w14:paraId="3C748D4A"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Винты</w:t>
      </w:r>
    </w:p>
    <w:p w14:paraId="5E5D32A3"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Поступление с русских заводов винтов было: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395"/>
      </w:tblGrid>
      <w:tr w:rsidR="002B1C74" w:rsidRPr="002F2FDF" w14:paraId="0E8BDC59"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6C807D"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A1D1E"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635</w:t>
            </w:r>
          </w:p>
        </w:tc>
      </w:tr>
      <w:tr w:rsidR="002B1C74" w:rsidRPr="002F2FDF" w14:paraId="6494BDB1"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90EAA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68B2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512</w:t>
            </w:r>
          </w:p>
        </w:tc>
      </w:tr>
      <w:tr w:rsidR="002B1C74" w:rsidRPr="002F2FDF" w14:paraId="04409896"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3E126F"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5EBB7"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799</w:t>
            </w:r>
          </w:p>
        </w:tc>
      </w:tr>
      <w:tr w:rsidR="002B1C74" w:rsidRPr="002F2FDF" w14:paraId="568143BB"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2A6272"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F92D9"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539</w:t>
            </w:r>
          </w:p>
        </w:tc>
      </w:tr>
      <w:tr w:rsidR="002B1C74" w:rsidRPr="002F2FDF" w14:paraId="1C483300"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103FEA"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0CBD2"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677</w:t>
            </w:r>
          </w:p>
        </w:tc>
      </w:tr>
      <w:tr w:rsidR="002B1C74" w:rsidRPr="002F2FDF" w14:paraId="2DE7F4E6"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D9363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1535D"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3162</w:t>
            </w:r>
          </w:p>
        </w:tc>
      </w:tr>
    </w:tbl>
    <w:p w14:paraId="36AAD46D"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Означенные сведения Подготовительная комиссия постановила доложить Особому совещанию по обороне государства.</w:t>
      </w:r>
    </w:p>
    <w:p w14:paraId="52A42E44"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Председатель комиссии В, Гурко.</w:t>
      </w:r>
    </w:p>
    <w:p w14:paraId="7F8FCA47" w14:textId="77777777" w:rsidR="0028644D"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327" w:anchor="_ftnref1" w:history="1">
        <w:r w:rsidR="0028644D" w:rsidRPr="002F2FDF">
          <w:rPr>
            <w:rFonts w:ascii="Times New Roman" w:hAnsi="Times New Roman" w:cs="Times New Roman"/>
            <w:color w:val="000000" w:themeColor="text1"/>
            <w:kern w:val="2"/>
            <w:sz w:val="16"/>
            <w:szCs w:val="16"/>
          </w:rPr>
          <w:t>[1]</w:t>
        </w:r>
      </w:hyperlink>
      <w:r w:rsidR="0028644D" w:rsidRPr="002F2FDF">
        <w:rPr>
          <w:rFonts w:ascii="Times New Roman" w:hAnsi="Times New Roman" w:cs="Times New Roman"/>
          <w:color w:val="000000" w:themeColor="text1"/>
          <w:kern w:val="2"/>
          <w:sz w:val="16"/>
          <w:szCs w:val="16"/>
        </w:rPr>
        <w:t xml:space="preserve"> См. док 1937 вышел приказ НКОП № 409.</w:t>
      </w:r>
    </w:p>
    <w:p w14:paraId="4A50155B" w14:textId="77777777" w:rsidR="0028644D"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328" w:anchor="_ftnref2" w:history="1">
        <w:r w:rsidR="0028644D" w:rsidRPr="002F2FDF">
          <w:rPr>
            <w:rFonts w:ascii="Times New Roman" w:hAnsi="Times New Roman" w:cs="Times New Roman"/>
            <w:color w:val="000000" w:themeColor="text1"/>
            <w:kern w:val="2"/>
            <w:sz w:val="16"/>
            <w:szCs w:val="16"/>
          </w:rPr>
          <w:t>[2]</w:t>
        </w:r>
      </w:hyperlink>
      <w:r w:rsidR="0028644D" w:rsidRPr="002F2FDF">
        <w:rPr>
          <w:rFonts w:ascii="Times New Roman" w:hAnsi="Times New Roman" w:cs="Times New Roman"/>
          <w:color w:val="000000" w:themeColor="text1"/>
          <w:kern w:val="2"/>
          <w:sz w:val="16"/>
          <w:szCs w:val="16"/>
        </w:rPr>
        <w:t xml:space="preserve"> Считая и моторы на самолетах. {Прим. док.) (15524).</w:t>
      </w:r>
    </w:p>
    <w:p w14:paraId="7D501ECB"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p>
    <w:p w14:paraId="05BA50AE" w14:textId="77777777" w:rsidR="00642623" w:rsidRPr="002F2FDF" w:rsidRDefault="0064262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30 июня (12 июля ) 1917 г.</w:t>
      </w:r>
    </w:p>
    <w:p w14:paraId="57B5CB4C" w14:textId="77777777" w:rsidR="00642623" w:rsidRPr="002F2FDF" w:rsidRDefault="00642623" w:rsidP="0083075A">
      <w:pPr>
        <w:spacing w:after="0" w:line="240" w:lineRule="auto"/>
        <w:jc w:val="both"/>
        <w:rPr>
          <w:rFonts w:ascii="Times New Roman" w:hAnsi="Times New Roman" w:cs="Times New Roman"/>
          <w:bCs/>
          <w:color w:val="000000" w:themeColor="text1"/>
          <w:sz w:val="16"/>
          <w:szCs w:val="16"/>
        </w:rPr>
      </w:pPr>
      <w:r w:rsidRPr="002F2FDF">
        <w:rPr>
          <w:rFonts w:ascii="Times New Roman" w:hAnsi="Times New Roman" w:cs="Times New Roman"/>
          <w:color w:val="000000" w:themeColor="text1"/>
          <w:sz w:val="16"/>
          <w:szCs w:val="16"/>
        </w:rPr>
        <w:t>Справка Подготовительной комиссии по авиационным вопросам при Особом совещании по обороне...</w:t>
      </w:r>
    </w:p>
    <w:p w14:paraId="74450344" w14:textId="23D9C0CA" w:rsidR="00642623" w:rsidRPr="002F2FDF" w:rsidRDefault="00642623" w:rsidP="0083075A">
      <w:pPr>
        <w:spacing w:after="0" w:line="240" w:lineRule="auto"/>
        <w:jc w:val="both"/>
        <w:rPr>
          <w:rFonts w:ascii="Times New Roman" w:hAnsi="Times New Roman" w:cs="Times New Roman"/>
          <w:bCs/>
          <w:color w:val="000000" w:themeColor="text1"/>
          <w:sz w:val="16"/>
          <w:szCs w:val="16"/>
        </w:rPr>
      </w:pPr>
      <w:r w:rsidRPr="002F2FDF">
        <w:rPr>
          <w:rFonts w:ascii="Times New Roman" w:hAnsi="Times New Roman" w:cs="Times New Roman"/>
          <w:bCs/>
          <w:color w:val="000000" w:themeColor="text1"/>
          <w:sz w:val="16"/>
          <w:szCs w:val="16"/>
        </w:rPr>
        <w:t>Источник:</w:t>
      </w:r>
      <w:r w:rsidR="00E52569">
        <w:rPr>
          <w:rFonts w:ascii="Times New Roman" w:hAnsi="Times New Roman" w:cs="Times New Roman"/>
          <w:bCs/>
          <w:color w:val="000000" w:themeColor="text1"/>
          <w:sz w:val="16"/>
          <w:szCs w:val="16"/>
        </w:rPr>
        <w:t xml:space="preserve"> </w:t>
      </w:r>
    </w:p>
    <w:p w14:paraId="169B2DAF" w14:textId="77777777" w:rsidR="00642623" w:rsidRPr="002F2FDF" w:rsidRDefault="0064262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184-186</w:t>
      </w:r>
    </w:p>
    <w:p w14:paraId="5A344E4A" w14:textId="074B33D1" w:rsidR="00642623" w:rsidRPr="002F2FDF" w:rsidRDefault="00642623" w:rsidP="0083075A">
      <w:pPr>
        <w:spacing w:after="0" w:line="240" w:lineRule="auto"/>
        <w:jc w:val="both"/>
        <w:rPr>
          <w:rFonts w:ascii="Times New Roman" w:hAnsi="Times New Roman" w:cs="Times New Roman"/>
          <w:bCs/>
          <w:color w:val="000000" w:themeColor="text1"/>
          <w:sz w:val="16"/>
          <w:szCs w:val="16"/>
        </w:rPr>
      </w:pPr>
      <w:r w:rsidRPr="002F2FDF">
        <w:rPr>
          <w:rFonts w:ascii="Times New Roman" w:hAnsi="Times New Roman" w:cs="Times New Roman"/>
          <w:bCs/>
          <w:color w:val="000000" w:themeColor="text1"/>
          <w:sz w:val="16"/>
          <w:szCs w:val="16"/>
        </w:rPr>
        <w:t>Архив:</w:t>
      </w:r>
      <w:r w:rsidR="00E52569">
        <w:rPr>
          <w:rFonts w:ascii="Times New Roman" w:hAnsi="Times New Roman" w:cs="Times New Roman"/>
          <w:bCs/>
          <w:color w:val="000000" w:themeColor="text1"/>
          <w:sz w:val="16"/>
          <w:szCs w:val="16"/>
        </w:rPr>
        <w:t xml:space="preserve"> </w:t>
      </w:r>
    </w:p>
    <w:p w14:paraId="23AC642C" w14:textId="77777777" w:rsidR="00642623" w:rsidRPr="002F2FDF" w:rsidRDefault="0064262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ЦГВИА, ф. 369, оп. 8, д. 60, лл. 3-5—37. Копия.</w:t>
      </w:r>
    </w:p>
    <w:p w14:paraId="278BA60E" w14:textId="77777777" w:rsidR="00642623" w:rsidRPr="002F2FDF" w:rsidRDefault="00642623" w:rsidP="0083075A">
      <w:pPr>
        <w:pStyle w:val="rtecenter"/>
        <w:spacing w:before="0" w:after="0"/>
        <w:jc w:val="both"/>
        <w:rPr>
          <w:color w:val="000000" w:themeColor="text1"/>
          <w:sz w:val="16"/>
          <w:szCs w:val="16"/>
        </w:rPr>
      </w:pPr>
      <w:r w:rsidRPr="002F2FDF">
        <w:rPr>
          <w:rStyle w:val="a7"/>
          <w:rFonts w:eastAsiaTheme="majorEastAsia"/>
          <w:b w:val="0"/>
          <w:iCs/>
          <w:color w:val="000000" w:themeColor="text1"/>
          <w:sz w:val="16"/>
          <w:szCs w:val="16"/>
        </w:rPr>
        <w:t>Справка Подготовительной комиссии по авиационным вопросам при Особом совещании по обороне о поступлении в действующую армию самолетов, моторов и авиационного имуѵцества с 1 января по 1 июня 1917 г.</w:t>
      </w:r>
      <w:hyperlink r:id="rId329" w:anchor="_ftn1" w:history="1">
        <w:r w:rsidRPr="002F2FDF">
          <w:rPr>
            <w:rStyle w:val="a5"/>
            <w:rFonts w:eastAsiaTheme="majorEastAsia"/>
            <w:bCs/>
            <w:iCs/>
            <w:color w:val="000000" w:themeColor="text1"/>
            <w:sz w:val="16"/>
            <w:szCs w:val="16"/>
            <w:vertAlign w:val="superscript"/>
          </w:rPr>
          <w:t>[1]</w:t>
        </w:r>
      </w:hyperlink>
    </w:p>
    <w:p w14:paraId="336E3829" w14:textId="4E509FAD" w:rsidR="00642623" w:rsidRPr="002F2FDF" w:rsidRDefault="00E52569" w:rsidP="0083075A">
      <w:pPr>
        <w:pStyle w:val="rteright"/>
        <w:spacing w:before="0" w:beforeAutospacing="0" w:after="0" w:afterAutospacing="0"/>
        <w:jc w:val="both"/>
        <w:rPr>
          <w:color w:val="000000" w:themeColor="text1"/>
          <w:sz w:val="16"/>
          <w:szCs w:val="16"/>
        </w:rPr>
      </w:pPr>
      <w:r>
        <w:rPr>
          <w:color w:val="000000" w:themeColor="text1"/>
          <w:sz w:val="16"/>
          <w:szCs w:val="16"/>
        </w:rPr>
        <w:t xml:space="preserve"> </w:t>
      </w:r>
      <w:r w:rsidR="00642623" w:rsidRPr="002F2FDF">
        <w:rPr>
          <w:color w:val="000000" w:themeColor="text1"/>
          <w:sz w:val="16"/>
          <w:szCs w:val="16"/>
        </w:rPr>
        <w:t>30 июня 1917 г.</w:t>
      </w:r>
    </w:p>
    <w:p w14:paraId="266D44E7" w14:textId="77777777" w:rsidR="00642623" w:rsidRPr="002F2FDF" w:rsidRDefault="00642623" w:rsidP="0083075A">
      <w:pPr>
        <w:pStyle w:val="rtejustify"/>
        <w:spacing w:before="0" w:after="0"/>
        <w:rPr>
          <w:color w:val="000000" w:themeColor="text1"/>
          <w:sz w:val="16"/>
          <w:szCs w:val="16"/>
        </w:rPr>
      </w:pPr>
      <w:r w:rsidRPr="002F2FDF">
        <w:rPr>
          <w:color w:val="000000" w:themeColor="text1"/>
          <w:sz w:val="16"/>
          <w:szCs w:val="16"/>
        </w:rPr>
        <w:lastRenderedPageBreak/>
        <w:t>Согласно представляемым в Подготовительную комиссию по авиационным вопросам УВВФ еженедельным сведениям, за время с 1 января 1917 г. но 1 июня того же года было отправлено на фронт и выдано различным учреждениям:</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16"/>
        <w:gridCol w:w="1742"/>
        <w:gridCol w:w="1647"/>
        <w:gridCol w:w="410"/>
        <w:gridCol w:w="1213"/>
      </w:tblGrid>
      <w:tr w:rsidR="002B1C74" w:rsidRPr="002F2FDF" w14:paraId="355A9BD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8F91AC0" w14:textId="5E1FED4C" w:rsidR="00642623"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40082" w14:textId="77777777" w:rsidR="00642623" w:rsidRPr="002F2FDF" w:rsidRDefault="00642623" w:rsidP="0083075A">
            <w:pPr>
              <w:pStyle w:val="ae"/>
              <w:spacing w:before="0" w:after="0"/>
              <w:jc w:val="both"/>
              <w:rPr>
                <w:color w:val="000000" w:themeColor="text1"/>
                <w:sz w:val="16"/>
                <w:szCs w:val="16"/>
              </w:rPr>
            </w:pPr>
            <w:r w:rsidRPr="002F2FDF">
              <w:rPr>
                <w:color w:val="000000" w:themeColor="text1"/>
                <w:sz w:val="16"/>
                <w:szCs w:val="16"/>
              </w:rPr>
              <w:t>С 1 января по 24 февраля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43D04" w14:textId="77777777" w:rsidR="00642623" w:rsidRPr="002F2FDF" w:rsidRDefault="00642623" w:rsidP="0083075A">
            <w:pPr>
              <w:pStyle w:val="ae"/>
              <w:spacing w:before="0" w:after="0"/>
              <w:jc w:val="both"/>
              <w:rPr>
                <w:color w:val="000000" w:themeColor="text1"/>
                <w:sz w:val="16"/>
                <w:szCs w:val="16"/>
              </w:rPr>
            </w:pPr>
            <w:r w:rsidRPr="002F2FDF">
              <w:rPr>
                <w:color w:val="000000" w:themeColor="text1"/>
                <w:sz w:val="16"/>
                <w:szCs w:val="16"/>
              </w:rPr>
              <w:t>С 24 февраля по 1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5885D" w14:textId="77777777" w:rsidR="00642623" w:rsidRPr="002F2FDF" w:rsidRDefault="00642623" w:rsidP="0083075A">
            <w:pPr>
              <w:pStyle w:val="ae"/>
              <w:spacing w:before="0" w:after="0"/>
              <w:jc w:val="both"/>
              <w:rPr>
                <w:color w:val="000000" w:themeColor="text1"/>
                <w:sz w:val="16"/>
                <w:szCs w:val="16"/>
              </w:rPr>
            </w:pPr>
            <w:r w:rsidRPr="002F2FDF">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D1D52" w14:textId="77777777" w:rsidR="00642623" w:rsidRPr="002F2FDF" w:rsidRDefault="00642623" w:rsidP="0083075A">
            <w:pPr>
              <w:pStyle w:val="ae"/>
              <w:spacing w:before="0" w:after="0"/>
              <w:jc w:val="both"/>
              <w:rPr>
                <w:color w:val="000000" w:themeColor="text1"/>
                <w:sz w:val="16"/>
                <w:szCs w:val="16"/>
              </w:rPr>
            </w:pPr>
            <w:r w:rsidRPr="002F2FDF">
              <w:rPr>
                <w:color w:val="000000" w:themeColor="text1"/>
                <w:sz w:val="16"/>
                <w:szCs w:val="16"/>
              </w:rPr>
              <w:t>Остаток к 1 июня</w:t>
            </w:r>
          </w:p>
        </w:tc>
      </w:tr>
      <w:tr w:rsidR="002B1C74" w:rsidRPr="002F2FDF" w14:paraId="5AB9E19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0198B20"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B4CC7"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D3567"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529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6725B"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803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DE0E8"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213</w:t>
            </w:r>
          </w:p>
        </w:tc>
      </w:tr>
      <w:tr w:rsidR="002B1C74" w:rsidRPr="002F2FDF" w14:paraId="20F5785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80F8E35"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F5DDE"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10CF3"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AB77E"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893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E4838"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1869</w:t>
            </w:r>
          </w:p>
        </w:tc>
      </w:tr>
      <w:tr w:rsidR="002B1C74" w:rsidRPr="002F2FDF" w14:paraId="2AD8D83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4158B74"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Воздушных винтов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39451"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772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DC397"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53B5E"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2964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351DF"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1837</w:t>
            </w:r>
          </w:p>
        </w:tc>
      </w:tr>
      <w:tr w:rsidR="002B1C74" w:rsidRPr="002F2FDF" w14:paraId="69EC826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BEB87BA"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Палаток для аэропланов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2CAED"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FD691"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744E1"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309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A3B2A"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221</w:t>
            </w:r>
          </w:p>
        </w:tc>
      </w:tr>
      <w:tr w:rsidR="002B1C74" w:rsidRPr="002F2FDF" w14:paraId="22208A1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153F347"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Змейковых аэростатов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8AB4E"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0B83C"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8BB07"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BBE4D"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125</w:t>
            </w:r>
          </w:p>
        </w:tc>
      </w:tr>
      <w:tr w:rsidR="002B1C74" w:rsidRPr="002F2FDF" w14:paraId="58C265F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55F0AA5"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Газодобывательных аппаратов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837CE"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1A7D6"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099F4"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EFDFA"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3</w:t>
            </w:r>
          </w:p>
        </w:tc>
      </w:tr>
      <w:tr w:rsidR="002B1C74" w:rsidRPr="002F2FDF" w14:paraId="7C251AE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4CDADC9"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Лебедок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0CCB0"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95F85"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23426"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796E7"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4</w:t>
            </w:r>
          </w:p>
        </w:tc>
      </w:tr>
      <w:tr w:rsidR="002B1C74" w:rsidRPr="002F2FDF" w14:paraId="60220F1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686A514"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Фотографических аппаратов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7C5E8"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046BA"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60132"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8BAC7"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107</w:t>
            </w:r>
          </w:p>
        </w:tc>
      </w:tr>
    </w:tbl>
    <w:p w14:paraId="15A9413E" w14:textId="77777777" w:rsidR="00642623" w:rsidRPr="002F2FDF" w:rsidRDefault="00642623" w:rsidP="0083075A">
      <w:pPr>
        <w:pStyle w:val="rtejustify"/>
        <w:spacing w:before="0" w:after="0"/>
        <w:rPr>
          <w:color w:val="000000" w:themeColor="text1"/>
          <w:sz w:val="16"/>
          <w:szCs w:val="16"/>
        </w:rPr>
      </w:pPr>
      <w:r w:rsidRPr="002F2FDF">
        <w:rPr>
          <w:color w:val="000000" w:themeColor="text1"/>
          <w:sz w:val="16"/>
          <w:szCs w:val="16"/>
        </w:rPr>
        <w:t>Обращаясь к исполнению плана снабжения армии самолетами и моторами, а равно и к поступлению аэропланов и моторов с комплектами запасных для них частей, а равно и воздушных винтов. Подготовительная комиссия считала долгом отметить нижеследующее.</w:t>
      </w:r>
    </w:p>
    <w:p w14:paraId="1938AC3C" w14:textId="77777777" w:rsidR="00642623" w:rsidRPr="002F2FDF" w:rsidRDefault="00642623" w:rsidP="0083075A">
      <w:pPr>
        <w:pStyle w:val="ae"/>
        <w:spacing w:before="0" w:after="0"/>
        <w:jc w:val="both"/>
        <w:rPr>
          <w:color w:val="000000" w:themeColor="text1"/>
          <w:sz w:val="16"/>
          <w:szCs w:val="16"/>
        </w:rPr>
      </w:pPr>
      <w:r w:rsidRPr="002F2FDF">
        <w:rPr>
          <w:color w:val="000000" w:themeColor="text1"/>
          <w:sz w:val="16"/>
          <w:szCs w:val="16"/>
        </w:rPr>
        <w:t>Самолеты</w:t>
      </w:r>
    </w:p>
    <w:p w14:paraId="2E3442EE" w14:textId="77777777" w:rsidR="00642623" w:rsidRPr="002F2FDF" w:rsidRDefault="00642623" w:rsidP="0083075A">
      <w:pPr>
        <w:pStyle w:val="rtejustify"/>
        <w:spacing w:before="0" w:after="0"/>
        <w:rPr>
          <w:color w:val="000000" w:themeColor="text1"/>
          <w:sz w:val="16"/>
          <w:szCs w:val="16"/>
        </w:rPr>
      </w:pPr>
      <w:r w:rsidRPr="002F2FDF">
        <w:rPr>
          <w:color w:val="000000" w:themeColor="text1"/>
          <w:sz w:val="16"/>
          <w:szCs w:val="16"/>
        </w:rPr>
        <w:t>Потребность но плану снабжения действующей армии самолетами на срок с 1 января 1917 г. по 1 июля 1918 г. составляет:</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57"/>
        <w:gridCol w:w="415"/>
      </w:tblGrid>
      <w:tr w:rsidR="002B1C74" w:rsidRPr="002F2FDF" w14:paraId="5269589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5F862BA"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Самолеты армейские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0513D"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895</w:t>
            </w:r>
          </w:p>
        </w:tc>
      </w:tr>
      <w:tr w:rsidR="002B1C74" w:rsidRPr="002F2FDF" w14:paraId="537F40B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E77907D"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Корпусные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ECEC5"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4351</w:t>
            </w:r>
          </w:p>
        </w:tc>
      </w:tr>
      <w:tr w:rsidR="002B1C74" w:rsidRPr="002F2FDF" w14:paraId="301DD54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3E2B4ED"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Истребители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3B905"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4214</w:t>
            </w:r>
          </w:p>
        </w:tc>
      </w:tr>
      <w:tr w:rsidR="002B1C74" w:rsidRPr="002F2FDF" w14:paraId="66E916B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38AC954"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Учебные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A3D28"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485</w:t>
            </w:r>
          </w:p>
        </w:tc>
      </w:tr>
      <w:tr w:rsidR="002B1C74" w:rsidRPr="002F2FDF" w14:paraId="230EC43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719A654"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«Илья Муромец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EA64D"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120</w:t>
            </w:r>
          </w:p>
        </w:tc>
      </w:tr>
      <w:tr w:rsidR="002B1C74" w:rsidRPr="002F2FDF" w14:paraId="7A26468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88B6A6D"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E7A4A"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10065</w:t>
            </w:r>
          </w:p>
        </w:tc>
      </w:tr>
    </w:tbl>
    <w:p w14:paraId="296D1E49" w14:textId="77777777" w:rsidR="00642623" w:rsidRPr="002F2FDF" w:rsidRDefault="00642623" w:rsidP="0083075A">
      <w:pPr>
        <w:pStyle w:val="ae"/>
        <w:spacing w:before="0" w:after="0"/>
        <w:jc w:val="both"/>
        <w:rPr>
          <w:color w:val="000000" w:themeColor="text1"/>
          <w:sz w:val="16"/>
          <w:szCs w:val="16"/>
        </w:rPr>
      </w:pPr>
      <w:r w:rsidRPr="002F2FDF">
        <w:rPr>
          <w:color w:val="000000" w:themeColor="text1"/>
          <w:sz w:val="16"/>
          <w:szCs w:val="16"/>
        </w:rPr>
        <w:t>Во исполнение сего плана на 1 июня 1917 г. дано было заказов: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48"/>
        <w:gridCol w:w="644"/>
        <w:gridCol w:w="837"/>
        <w:gridCol w:w="427"/>
      </w:tblGrid>
      <w:tr w:rsidR="002B1C74" w:rsidRPr="002F2FDF" w14:paraId="51A8DB6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A2F9DA0" w14:textId="5979FAA3" w:rsidR="00642623"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EEB6C"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A8872"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13AC8"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Итого</w:t>
            </w:r>
          </w:p>
        </w:tc>
      </w:tr>
      <w:tr w:rsidR="002B1C74" w:rsidRPr="002F2FDF" w14:paraId="538402C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5F6DD75"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На самолеты армейские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AAAD1"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8018C"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027CF"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w:t>
            </w:r>
          </w:p>
        </w:tc>
      </w:tr>
      <w:tr w:rsidR="002B1C74" w:rsidRPr="002F2FDF" w14:paraId="14053E5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A6B1FDA"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Корпусные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1B155"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CDA21"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8EC12"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1790</w:t>
            </w:r>
          </w:p>
        </w:tc>
      </w:tr>
      <w:tr w:rsidR="002B1C74" w:rsidRPr="002F2FDF" w14:paraId="34CE2D5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835543E"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Истребители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D90B0"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47253"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574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2B171"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1071</w:t>
            </w:r>
          </w:p>
        </w:tc>
      </w:tr>
      <w:tr w:rsidR="002B1C74" w:rsidRPr="002F2FDF" w14:paraId="623976C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4AE5505"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Учебные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088AC"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7D885"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A3C55"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280</w:t>
            </w:r>
          </w:p>
        </w:tc>
      </w:tr>
      <w:tr w:rsidR="002B1C74" w:rsidRPr="002F2FDF" w14:paraId="0D19844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18F5BDB"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«Илья Муромец»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3C20B"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7DF8A"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765CF"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38</w:t>
            </w:r>
          </w:p>
        </w:tc>
      </w:tr>
      <w:tr w:rsidR="002B1C74" w:rsidRPr="002F2FDF" w14:paraId="4DE29DF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F4559C"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515E5"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5ABF6"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906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2D7EF"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3179</w:t>
            </w:r>
          </w:p>
        </w:tc>
      </w:tr>
    </w:tbl>
    <w:p w14:paraId="09D260FA" w14:textId="77777777" w:rsidR="00642623" w:rsidRPr="002F2FDF" w:rsidRDefault="00642623" w:rsidP="0083075A">
      <w:pPr>
        <w:pStyle w:val="ae"/>
        <w:spacing w:before="0" w:after="0"/>
        <w:jc w:val="both"/>
        <w:rPr>
          <w:color w:val="000000" w:themeColor="text1"/>
          <w:sz w:val="16"/>
          <w:szCs w:val="16"/>
        </w:rPr>
      </w:pPr>
      <w:r w:rsidRPr="002F2FDF">
        <w:rPr>
          <w:color w:val="000000" w:themeColor="text1"/>
          <w:sz w:val="16"/>
          <w:szCs w:val="16"/>
        </w:rPr>
        <w:t>Таким образом, остается дозаказать:</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14"/>
        <w:gridCol w:w="644"/>
        <w:gridCol w:w="837"/>
        <w:gridCol w:w="427"/>
      </w:tblGrid>
      <w:tr w:rsidR="002B1C74" w:rsidRPr="002F2FDF" w14:paraId="560F5B7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6DF12C3" w14:textId="549D7E34" w:rsidR="00642623"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FA8AC"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67C31"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73600"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Итого</w:t>
            </w:r>
          </w:p>
        </w:tc>
      </w:tr>
      <w:tr w:rsidR="002B1C74" w:rsidRPr="002F2FDF" w14:paraId="416CBD8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33D5CB"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Самолетов армейских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D9B1F"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4CDF4"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DCD60"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895</w:t>
            </w:r>
          </w:p>
        </w:tc>
      </w:tr>
      <w:tr w:rsidR="002B1C74" w:rsidRPr="002F2FDF" w14:paraId="275FC1B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3AEF1B5"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Корпусных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B592F"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95543"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8C87A"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2561</w:t>
            </w:r>
          </w:p>
        </w:tc>
      </w:tr>
      <w:tr w:rsidR="002B1C74" w:rsidRPr="002F2FDF" w14:paraId="053D906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F96872F"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Истребителей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CCE6B"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1509</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7CF7E"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1634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FC88D"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3143</w:t>
            </w:r>
          </w:p>
        </w:tc>
      </w:tr>
      <w:tr w:rsidR="002B1C74" w:rsidRPr="002F2FDF" w14:paraId="7494971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5D9AEB0"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У чебных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F65AA"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BE86D" w14:textId="77777777" w:rsidR="00642623" w:rsidRPr="002F2FDF" w:rsidRDefault="0064262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063E2"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205</w:t>
            </w:r>
          </w:p>
        </w:tc>
      </w:tr>
      <w:tr w:rsidR="002B1C74" w:rsidRPr="002F2FDF" w14:paraId="2541C9D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3760E5A"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«Илья Муромец»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14BDD"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84DD4"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E911C"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82</w:t>
            </w:r>
          </w:p>
        </w:tc>
      </w:tr>
      <w:tr w:rsidR="002B1C74" w:rsidRPr="002F2FDF" w14:paraId="43FD3EB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7EA3CA9"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618A1"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4287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BAE47"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2599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9D92C"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6886</w:t>
            </w:r>
          </w:p>
        </w:tc>
      </w:tr>
    </w:tbl>
    <w:p w14:paraId="655C6C4A" w14:textId="77777777" w:rsidR="00642623" w:rsidRPr="002F2FDF" w:rsidRDefault="00642623" w:rsidP="0083075A">
      <w:pPr>
        <w:pStyle w:val="rtejustify"/>
        <w:spacing w:before="0" w:after="0"/>
        <w:rPr>
          <w:color w:val="000000" w:themeColor="text1"/>
          <w:sz w:val="16"/>
          <w:szCs w:val="16"/>
        </w:rPr>
      </w:pPr>
      <w:r w:rsidRPr="002F2FDF">
        <w:rPr>
          <w:color w:val="000000" w:themeColor="text1"/>
          <w:sz w:val="16"/>
          <w:szCs w:val="16"/>
        </w:rPr>
        <w:t>Поступление самолетов за истекшее время выражается помесячно в нижеследующих цифрах:</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2"/>
        <w:gridCol w:w="561"/>
        <w:gridCol w:w="882"/>
        <w:gridCol w:w="561"/>
        <w:gridCol w:w="882"/>
        <w:gridCol w:w="561"/>
        <w:gridCol w:w="882"/>
        <w:gridCol w:w="561"/>
        <w:gridCol w:w="882"/>
        <w:gridCol w:w="410"/>
      </w:tblGrid>
      <w:tr w:rsidR="002B1C74" w:rsidRPr="002F2FDF" w14:paraId="494344D4" w14:textId="77777777" w:rsidTr="006514E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5B3435A" w14:textId="3DB36B4F" w:rsidR="00642623"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92B9FD2"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Корпусные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99F2A1C"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Истребители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1F4072"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Учебные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BF8522C"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Итого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0752619"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Всего</w:t>
            </w:r>
          </w:p>
        </w:tc>
      </w:tr>
      <w:tr w:rsidR="002B1C74" w:rsidRPr="002F2FDF" w14:paraId="6E2AA866" w14:textId="77777777" w:rsidTr="006514E2">
        <w:tc>
          <w:tcPr>
            <w:tcW w:w="0" w:type="auto"/>
            <w:vMerge/>
            <w:tcBorders>
              <w:top w:val="outset" w:sz="6" w:space="0" w:color="auto"/>
              <w:left w:val="outset" w:sz="6" w:space="0" w:color="auto"/>
              <w:bottom w:val="outset" w:sz="6" w:space="0" w:color="auto"/>
              <w:right w:val="outset" w:sz="6" w:space="0" w:color="auto"/>
            </w:tcBorders>
            <w:vAlign w:val="center"/>
            <w:hideMark/>
          </w:tcPr>
          <w:p w14:paraId="34B45840" w14:textId="77777777" w:rsidR="00642623" w:rsidRPr="002F2FDF" w:rsidRDefault="00642623" w:rsidP="0083075A">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AA63EC"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811F3"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5807A"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EA30F"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24F03"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E1AC2"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530D5"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F4999"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заграничные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7D76AD8" w14:textId="77777777" w:rsidR="00642623" w:rsidRPr="002F2FDF" w:rsidRDefault="00642623" w:rsidP="0083075A">
            <w:pPr>
              <w:spacing w:after="0" w:line="240" w:lineRule="auto"/>
              <w:jc w:val="both"/>
              <w:rPr>
                <w:rFonts w:ascii="Times New Roman" w:hAnsi="Times New Roman" w:cs="Times New Roman"/>
                <w:color w:val="000000" w:themeColor="text1"/>
                <w:sz w:val="16"/>
                <w:szCs w:val="16"/>
              </w:rPr>
            </w:pPr>
          </w:p>
        </w:tc>
      </w:tr>
      <w:tr w:rsidR="002B1C74" w:rsidRPr="002F2FDF" w14:paraId="4532622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58B3947"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14C1B"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196A2"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C6AD7"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B9777"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E9681"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0D0BF" w14:textId="77777777" w:rsidR="00642623" w:rsidRPr="002F2FDF" w:rsidRDefault="0064262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4E8DC"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5FF9C"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BECA5"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186</w:t>
            </w:r>
          </w:p>
        </w:tc>
      </w:tr>
      <w:tr w:rsidR="002B1C74" w:rsidRPr="002F2FDF" w14:paraId="2318164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8EBBDA5"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7301E"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DCC2F"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F0662"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4B93E"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3389E"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FEEF9"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F9DC0"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399AD"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зо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B7443"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150</w:t>
            </w:r>
          </w:p>
        </w:tc>
      </w:tr>
      <w:tr w:rsidR="002B1C74" w:rsidRPr="002F2FDF" w14:paraId="2C6879A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E1B0611"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4B270"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E3AB2"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E877F"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0DBE4"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0A1FA"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2E018"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BBE53"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16C8B"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DC3AC"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116</w:t>
            </w:r>
          </w:p>
        </w:tc>
      </w:tr>
      <w:tr w:rsidR="002B1C74" w:rsidRPr="002F2FDF" w14:paraId="65FA8BB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F0F98D1"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656A7"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71E81"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A32E7"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F7B19"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223E1"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7589D"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F4BD7"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D318C"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2BBC7"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158</w:t>
            </w:r>
          </w:p>
        </w:tc>
      </w:tr>
      <w:tr w:rsidR="002B1C74" w:rsidRPr="002F2FDF" w14:paraId="56F555E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7CE13AA"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Маи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53F18"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2497E"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A5572"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CB4D5"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20E9E"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7A8EE"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86AA7"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091B7"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2D580"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167</w:t>
            </w:r>
          </w:p>
        </w:tc>
      </w:tr>
      <w:tr w:rsidR="002B1C74" w:rsidRPr="002F2FDF" w14:paraId="65830CE6" w14:textId="77777777" w:rsidTr="006514E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CEE81C6"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55B81"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41DC8"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76B28"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6ADC8"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9599BD"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7B775"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5EE81"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586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B8D06"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191</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FE07EF"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777</w:t>
            </w:r>
          </w:p>
        </w:tc>
      </w:tr>
      <w:tr w:rsidR="002B1C74" w:rsidRPr="002F2FDF" w14:paraId="42E0BBD4" w14:textId="77777777" w:rsidTr="006514E2">
        <w:tc>
          <w:tcPr>
            <w:tcW w:w="0" w:type="auto"/>
            <w:vMerge/>
            <w:tcBorders>
              <w:top w:val="outset" w:sz="6" w:space="0" w:color="auto"/>
              <w:left w:val="outset" w:sz="6" w:space="0" w:color="auto"/>
              <w:bottom w:val="outset" w:sz="6" w:space="0" w:color="auto"/>
              <w:right w:val="outset" w:sz="6" w:space="0" w:color="auto"/>
            </w:tcBorders>
            <w:vAlign w:val="center"/>
            <w:hideMark/>
          </w:tcPr>
          <w:p w14:paraId="6F92D2C8" w14:textId="77777777" w:rsidR="00642623" w:rsidRPr="002F2FDF" w:rsidRDefault="00642623" w:rsidP="0083075A">
            <w:pPr>
              <w:spacing w:after="0" w:line="240" w:lineRule="auto"/>
              <w:jc w:val="both"/>
              <w:rPr>
                <w:rFonts w:ascii="Times New Roman" w:hAnsi="Times New Roman" w:cs="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AD2CD4"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485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49DA9B2"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265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F83BBB3"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27</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BC4980B"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777</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09CBEA" w14:textId="77777777" w:rsidR="00642623" w:rsidRPr="002F2FDF" w:rsidRDefault="00642623" w:rsidP="0083075A">
            <w:pPr>
              <w:spacing w:after="0" w:line="240" w:lineRule="auto"/>
              <w:jc w:val="both"/>
              <w:rPr>
                <w:rFonts w:ascii="Times New Roman" w:hAnsi="Times New Roman" w:cs="Times New Roman"/>
                <w:color w:val="000000" w:themeColor="text1"/>
                <w:sz w:val="16"/>
                <w:szCs w:val="16"/>
              </w:rPr>
            </w:pPr>
          </w:p>
        </w:tc>
      </w:tr>
    </w:tbl>
    <w:p w14:paraId="42929C8A" w14:textId="77777777" w:rsidR="00642623" w:rsidRPr="002F2FDF" w:rsidRDefault="00642623" w:rsidP="0083075A">
      <w:pPr>
        <w:pStyle w:val="rtejustify"/>
        <w:spacing w:before="0" w:after="0"/>
        <w:rPr>
          <w:color w:val="000000" w:themeColor="text1"/>
          <w:sz w:val="16"/>
          <w:szCs w:val="16"/>
        </w:rPr>
      </w:pPr>
      <w:r w:rsidRPr="002F2FDF">
        <w:rPr>
          <w:color w:val="000000" w:themeColor="text1"/>
          <w:sz w:val="16"/>
          <w:szCs w:val="16"/>
        </w:rPr>
        <w:t>Поступление комплектов запасных к самолетам частей за это время было следующее: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2"/>
        <w:gridCol w:w="255"/>
      </w:tblGrid>
      <w:tr w:rsidR="002B1C74" w:rsidRPr="002F2FDF" w14:paraId="57CB809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D8C42E3"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EAF64"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74</w:t>
            </w:r>
          </w:p>
        </w:tc>
      </w:tr>
      <w:tr w:rsidR="002B1C74" w:rsidRPr="002F2FDF" w14:paraId="320EF0E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5121FD1"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B566B"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124</w:t>
            </w:r>
          </w:p>
        </w:tc>
      </w:tr>
      <w:tr w:rsidR="002B1C74" w:rsidRPr="002F2FDF" w14:paraId="67D92DC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23CCA4E"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9B387"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42</w:t>
            </w:r>
          </w:p>
        </w:tc>
      </w:tr>
      <w:tr w:rsidR="002B1C74" w:rsidRPr="002F2FDF" w14:paraId="4F6F9DC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1BE96F2"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17F5B"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125</w:t>
            </w:r>
          </w:p>
        </w:tc>
      </w:tr>
      <w:tr w:rsidR="002B1C74" w:rsidRPr="002F2FDF" w14:paraId="4E80456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8058FDA"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C5185"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124</w:t>
            </w:r>
          </w:p>
        </w:tc>
      </w:tr>
    </w:tbl>
    <w:p w14:paraId="29F3D524" w14:textId="77777777" w:rsidR="00642623" w:rsidRPr="002F2FDF" w:rsidRDefault="00642623" w:rsidP="0083075A">
      <w:pPr>
        <w:pStyle w:val="rtejustify"/>
        <w:spacing w:before="0" w:after="0"/>
        <w:rPr>
          <w:color w:val="000000" w:themeColor="text1"/>
          <w:sz w:val="16"/>
          <w:szCs w:val="16"/>
        </w:rPr>
      </w:pPr>
      <w:r w:rsidRPr="002F2FDF">
        <w:rPr>
          <w:color w:val="000000" w:themeColor="text1"/>
          <w:sz w:val="16"/>
          <w:szCs w:val="16"/>
        </w:rPr>
        <w:t>Потребность по плану снабжения действующей армии моторами на срок с 1 января 1917 г. по 1 июля 1918 г. составляет 14 910 шт. Во исполнение сего плана разновременно русским заводам к 1 июня 1917 г. дано заказов на 3203 мотора, а за границей на 9100 моторов, всего 12 303 мотора, и предполагается заказать еще за границею 1548 моторов. На 1 января 1917 г. на складах имелось 1105 моторов.</w:t>
      </w:r>
    </w:p>
    <w:p w14:paraId="0A44938F" w14:textId="77777777" w:rsidR="00642623" w:rsidRPr="002F2FDF" w:rsidRDefault="00642623" w:rsidP="0083075A">
      <w:pPr>
        <w:pStyle w:val="rtejustify"/>
        <w:spacing w:before="0" w:after="0"/>
        <w:rPr>
          <w:color w:val="000000" w:themeColor="text1"/>
          <w:sz w:val="16"/>
          <w:szCs w:val="16"/>
        </w:rPr>
      </w:pPr>
      <w:r w:rsidRPr="002F2FDF">
        <w:rPr>
          <w:color w:val="000000" w:themeColor="text1"/>
          <w:sz w:val="16"/>
          <w:szCs w:val="16"/>
        </w:rPr>
        <w:t>Поступление моторов за время с 1 января 1917 г. было следующим образом:</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2"/>
        <w:gridCol w:w="570"/>
        <w:gridCol w:w="1025"/>
        <w:gridCol w:w="410"/>
      </w:tblGrid>
      <w:tr w:rsidR="002B1C74" w:rsidRPr="002F2FDF" w14:paraId="772575F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3DD8163" w14:textId="576591D7" w:rsidR="00642623"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95B6D"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Русских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541BB"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Заграничных</w:t>
            </w:r>
            <w:hyperlink r:id="rId330" w:anchor="_ftn2" w:history="1">
              <w:r w:rsidRPr="002F2FDF">
                <w:rPr>
                  <w:rStyle w:val="a5"/>
                  <w:rFonts w:eastAsiaTheme="majorEastAsia"/>
                  <w:color w:val="000000" w:themeColor="text1"/>
                  <w:sz w:val="16"/>
                  <w:szCs w:val="16"/>
                  <w:vertAlign w:val="superscript"/>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53E79AAB"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Всего</w:t>
            </w:r>
          </w:p>
        </w:tc>
      </w:tr>
      <w:tr w:rsidR="002B1C74" w:rsidRPr="002F2FDF" w14:paraId="514AFF1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32CBCB5"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05C60"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482A7"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507D9"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202</w:t>
            </w:r>
          </w:p>
        </w:tc>
      </w:tr>
      <w:tr w:rsidR="002B1C74" w:rsidRPr="002F2FDF" w14:paraId="0B182FD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529583E"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B2D85"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E2FD8"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E33DB"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200</w:t>
            </w:r>
          </w:p>
        </w:tc>
      </w:tr>
      <w:tr w:rsidR="002B1C74" w:rsidRPr="002F2FDF" w14:paraId="7184A29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9F08920"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95CAD"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540B2"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FE36E"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246</w:t>
            </w:r>
          </w:p>
        </w:tc>
      </w:tr>
      <w:tr w:rsidR="002B1C74" w:rsidRPr="002F2FDF" w14:paraId="067146B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85F4EF5"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4D276"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AE150"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2C235"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205</w:t>
            </w:r>
          </w:p>
        </w:tc>
      </w:tr>
      <w:tr w:rsidR="002B1C74" w:rsidRPr="002F2FDF" w14:paraId="4A104C2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2B3B88C"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B9E51"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53987"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CE168"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147</w:t>
            </w:r>
          </w:p>
        </w:tc>
      </w:tr>
    </w:tbl>
    <w:p w14:paraId="6E46CAFC" w14:textId="77777777" w:rsidR="00642623" w:rsidRPr="002F2FDF" w:rsidRDefault="00642623" w:rsidP="0083075A">
      <w:pPr>
        <w:pStyle w:val="ae"/>
        <w:spacing w:before="0" w:after="0"/>
        <w:jc w:val="both"/>
        <w:rPr>
          <w:color w:val="000000" w:themeColor="text1"/>
          <w:sz w:val="16"/>
          <w:szCs w:val="16"/>
        </w:rPr>
      </w:pPr>
      <w:r w:rsidRPr="002F2FDF">
        <w:rPr>
          <w:color w:val="000000" w:themeColor="text1"/>
          <w:sz w:val="16"/>
          <w:szCs w:val="16"/>
        </w:rPr>
        <w:t>Комплекты запасных частей поступили:</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2"/>
        <w:gridCol w:w="175"/>
      </w:tblGrid>
      <w:tr w:rsidR="002B1C74" w:rsidRPr="002F2FDF" w14:paraId="4B64A39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CE61CAF"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73839"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41</w:t>
            </w:r>
          </w:p>
        </w:tc>
      </w:tr>
      <w:tr w:rsidR="002B1C74" w:rsidRPr="002F2FDF" w14:paraId="2F91F6D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EE4E398"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C3534"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21</w:t>
            </w:r>
          </w:p>
        </w:tc>
      </w:tr>
      <w:tr w:rsidR="002B1C74" w:rsidRPr="002F2FDF" w14:paraId="4C993E7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DB66B1F"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84AC5"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16</w:t>
            </w:r>
          </w:p>
        </w:tc>
      </w:tr>
      <w:tr w:rsidR="002B1C74" w:rsidRPr="002F2FDF" w14:paraId="585C8AB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DFEE980"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08DCC"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33</w:t>
            </w:r>
          </w:p>
        </w:tc>
      </w:tr>
      <w:tr w:rsidR="002B1C74" w:rsidRPr="002F2FDF" w14:paraId="46CDA57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142BD36"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1B0F0"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24</w:t>
            </w:r>
          </w:p>
        </w:tc>
      </w:tr>
    </w:tbl>
    <w:p w14:paraId="5A512ACE" w14:textId="77777777" w:rsidR="00642623" w:rsidRPr="002F2FDF" w:rsidRDefault="00642623" w:rsidP="0083075A">
      <w:pPr>
        <w:pStyle w:val="ae"/>
        <w:spacing w:before="0" w:after="0"/>
        <w:jc w:val="both"/>
        <w:rPr>
          <w:color w:val="000000" w:themeColor="text1"/>
          <w:sz w:val="16"/>
          <w:szCs w:val="16"/>
        </w:rPr>
      </w:pPr>
      <w:r w:rsidRPr="002F2FDF">
        <w:rPr>
          <w:color w:val="000000" w:themeColor="text1"/>
          <w:sz w:val="16"/>
          <w:szCs w:val="16"/>
        </w:rPr>
        <w:t>Винты</w:t>
      </w:r>
    </w:p>
    <w:p w14:paraId="76E40E9A" w14:textId="77777777" w:rsidR="00642623" w:rsidRPr="002F2FDF" w:rsidRDefault="00642623" w:rsidP="0083075A">
      <w:pPr>
        <w:pStyle w:val="ae"/>
        <w:spacing w:before="0" w:after="0"/>
        <w:jc w:val="both"/>
        <w:rPr>
          <w:color w:val="000000" w:themeColor="text1"/>
          <w:sz w:val="16"/>
          <w:szCs w:val="16"/>
        </w:rPr>
      </w:pPr>
      <w:r w:rsidRPr="002F2FDF">
        <w:rPr>
          <w:color w:val="000000" w:themeColor="text1"/>
          <w:sz w:val="16"/>
          <w:szCs w:val="16"/>
        </w:rPr>
        <w:t>Поступление с русских заводов винтов было:</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2"/>
        <w:gridCol w:w="335"/>
      </w:tblGrid>
      <w:tr w:rsidR="002B1C74" w:rsidRPr="002F2FDF" w14:paraId="6A5A9EE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112E1F"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31E9E"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635</w:t>
            </w:r>
          </w:p>
        </w:tc>
      </w:tr>
      <w:tr w:rsidR="002B1C74" w:rsidRPr="002F2FDF" w14:paraId="5BC0900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18F593D"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F5804"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512</w:t>
            </w:r>
          </w:p>
        </w:tc>
      </w:tr>
      <w:tr w:rsidR="002B1C74" w:rsidRPr="002F2FDF" w14:paraId="37A46F6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5616E8D"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AD830"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799</w:t>
            </w:r>
          </w:p>
        </w:tc>
      </w:tr>
      <w:tr w:rsidR="002B1C74" w:rsidRPr="002F2FDF" w14:paraId="10793E4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A534EBD"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06D99"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539</w:t>
            </w:r>
          </w:p>
        </w:tc>
      </w:tr>
      <w:tr w:rsidR="002B1C74" w:rsidRPr="002F2FDF" w14:paraId="24F5A14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6561BE2"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85F88"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677</w:t>
            </w:r>
          </w:p>
        </w:tc>
      </w:tr>
      <w:tr w:rsidR="002B1C74" w:rsidRPr="002F2FDF" w14:paraId="52E4288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E37DA9B"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A6727" w14:textId="77777777" w:rsidR="00642623" w:rsidRPr="002F2FDF" w:rsidRDefault="00642623" w:rsidP="0083075A">
            <w:pPr>
              <w:pStyle w:val="rtecenter"/>
              <w:spacing w:before="0" w:after="0"/>
              <w:jc w:val="both"/>
              <w:rPr>
                <w:color w:val="000000" w:themeColor="text1"/>
                <w:sz w:val="16"/>
                <w:szCs w:val="16"/>
              </w:rPr>
            </w:pPr>
            <w:r w:rsidRPr="002F2FDF">
              <w:rPr>
                <w:color w:val="000000" w:themeColor="text1"/>
                <w:sz w:val="16"/>
                <w:szCs w:val="16"/>
              </w:rPr>
              <w:t>3162</w:t>
            </w:r>
          </w:p>
        </w:tc>
      </w:tr>
    </w:tbl>
    <w:p w14:paraId="15F4537C" w14:textId="77777777" w:rsidR="00642623" w:rsidRPr="002F2FDF" w:rsidRDefault="00642623" w:rsidP="0083075A">
      <w:pPr>
        <w:pStyle w:val="ae"/>
        <w:spacing w:before="0" w:after="0"/>
        <w:jc w:val="both"/>
        <w:rPr>
          <w:color w:val="000000" w:themeColor="text1"/>
          <w:sz w:val="16"/>
          <w:szCs w:val="16"/>
        </w:rPr>
      </w:pPr>
      <w:r w:rsidRPr="002F2FDF">
        <w:rPr>
          <w:color w:val="000000" w:themeColor="text1"/>
          <w:sz w:val="16"/>
          <w:szCs w:val="16"/>
        </w:rPr>
        <w:t>Означенные сведения Подготовительная комиссия постановила доложить Особому совещанию по обороне государства.</w:t>
      </w:r>
    </w:p>
    <w:p w14:paraId="5933809B" w14:textId="77777777" w:rsidR="00642623" w:rsidRPr="002F2FDF" w:rsidRDefault="00642623" w:rsidP="0083075A">
      <w:pPr>
        <w:pStyle w:val="ae"/>
        <w:spacing w:before="0" w:after="0"/>
        <w:jc w:val="both"/>
        <w:rPr>
          <w:color w:val="000000" w:themeColor="text1"/>
          <w:sz w:val="16"/>
          <w:szCs w:val="16"/>
        </w:rPr>
      </w:pPr>
      <w:r w:rsidRPr="002F2FDF">
        <w:rPr>
          <w:color w:val="000000" w:themeColor="text1"/>
          <w:sz w:val="16"/>
          <w:szCs w:val="16"/>
        </w:rPr>
        <w:t>Председатель комиссии В. Гурко.</w:t>
      </w:r>
    </w:p>
    <w:p w14:paraId="27D99BDE" w14:textId="794EA8A1" w:rsidR="00642623" w:rsidRPr="002F2FDF" w:rsidRDefault="00000000" w:rsidP="0083075A">
      <w:pPr>
        <w:pStyle w:val="ae"/>
        <w:spacing w:before="0" w:after="0"/>
        <w:jc w:val="both"/>
        <w:rPr>
          <w:color w:val="000000" w:themeColor="text1"/>
          <w:sz w:val="16"/>
          <w:szCs w:val="16"/>
        </w:rPr>
      </w:pPr>
      <w:hyperlink r:id="rId331" w:anchor="_ftnref1" w:history="1">
        <w:r w:rsidR="00642623" w:rsidRPr="002F2FDF">
          <w:rPr>
            <w:rStyle w:val="a5"/>
            <w:color w:val="000000" w:themeColor="text1"/>
            <w:sz w:val="16"/>
            <w:szCs w:val="16"/>
          </w:rPr>
          <w:t>[1]</w:t>
        </w:r>
      </w:hyperlink>
      <w:r w:rsidR="00E52569">
        <w:rPr>
          <w:color w:val="000000" w:themeColor="text1"/>
          <w:sz w:val="16"/>
          <w:szCs w:val="16"/>
        </w:rPr>
        <w:t xml:space="preserve"> </w:t>
      </w:r>
      <w:r w:rsidR="00642623" w:rsidRPr="002F2FDF">
        <w:rPr>
          <w:rStyle w:val="af0"/>
          <w:i w:val="0"/>
          <w:color w:val="000000" w:themeColor="text1"/>
          <w:sz w:val="16"/>
          <w:szCs w:val="16"/>
        </w:rPr>
        <w:t>См. док. № 409.</w:t>
      </w:r>
    </w:p>
    <w:p w14:paraId="623D5A27" w14:textId="213F764B" w:rsidR="00642623" w:rsidRPr="002F2FDF" w:rsidRDefault="00000000" w:rsidP="0083075A">
      <w:pPr>
        <w:pStyle w:val="ae"/>
        <w:spacing w:before="0" w:after="0"/>
        <w:jc w:val="both"/>
        <w:rPr>
          <w:color w:val="000000" w:themeColor="text1"/>
          <w:sz w:val="16"/>
          <w:szCs w:val="16"/>
        </w:rPr>
      </w:pPr>
      <w:hyperlink r:id="rId332" w:anchor="_ftnref2" w:history="1">
        <w:r w:rsidR="00642623" w:rsidRPr="002F2FDF">
          <w:rPr>
            <w:rStyle w:val="a5"/>
            <w:color w:val="000000" w:themeColor="text1"/>
            <w:sz w:val="16"/>
            <w:szCs w:val="16"/>
          </w:rPr>
          <w:t>[2]</w:t>
        </w:r>
      </w:hyperlink>
      <w:r w:rsidR="00E52569">
        <w:rPr>
          <w:color w:val="000000" w:themeColor="text1"/>
          <w:sz w:val="16"/>
          <w:szCs w:val="16"/>
        </w:rPr>
        <w:t xml:space="preserve"> </w:t>
      </w:r>
      <w:r w:rsidR="00642623" w:rsidRPr="002F2FDF">
        <w:rPr>
          <w:color w:val="000000" w:themeColor="text1"/>
          <w:sz w:val="16"/>
          <w:szCs w:val="16"/>
        </w:rPr>
        <w:t>Считая и моторы на самолетах. {Прим. док.) (18360).</w:t>
      </w:r>
    </w:p>
    <w:p w14:paraId="66B88772" w14:textId="77777777" w:rsidR="00642623" w:rsidRPr="002F2FDF" w:rsidRDefault="00642623" w:rsidP="0083075A">
      <w:pPr>
        <w:spacing w:after="0" w:line="240" w:lineRule="auto"/>
        <w:jc w:val="both"/>
        <w:rPr>
          <w:rFonts w:ascii="Times New Roman" w:hAnsi="Times New Roman" w:cs="Times New Roman"/>
          <w:color w:val="000000" w:themeColor="text1"/>
          <w:sz w:val="16"/>
          <w:szCs w:val="16"/>
        </w:rPr>
      </w:pPr>
    </w:p>
    <w:p w14:paraId="2D13FF9B"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30 июня (13 июля) 1917 г.</w:t>
      </w:r>
    </w:p>
    <w:p w14:paraId="7341AAA2"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Справка Подготовительной комиссии по авиационным вопросам при Особом совещании по обороне о поступлении в действующую армию самолетов, моторов и авиационного имущества с 1 января по 1 июня 1917 г.</w:t>
      </w:r>
    </w:p>
    <w:p w14:paraId="393BF413"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30 июня 1917 г.</w:t>
      </w:r>
    </w:p>
    <w:p w14:paraId="4C0F540B"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Согласно представляемым в Подготовительную комиссию по авиационным вопросам УВВФ еженедельным сведениям, за время с 1 января 1917 г. но 1 июня того же года было отправлено на фронт и выдано различным учреждениям:</w:t>
      </w:r>
    </w:p>
    <w:p w14:paraId="03180D5B"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ab/>
        <w:t>С 1 янва- ря по 24 февраля</w:t>
      </w:r>
      <w:r w:rsidRPr="002F2FDF">
        <w:rPr>
          <w:rFonts w:ascii="Times New Roman" w:hAnsi="Times New Roman" w:cs="Times New Roman"/>
          <w:color w:val="000000" w:themeColor="text1"/>
          <w:sz w:val="16"/>
          <w:szCs w:val="16"/>
        </w:rPr>
        <w:tab/>
        <w:t>С 24 фев- раля по 1 июня</w:t>
      </w:r>
      <w:r w:rsidRPr="002F2FDF">
        <w:rPr>
          <w:rFonts w:ascii="Times New Roman" w:hAnsi="Times New Roman" w:cs="Times New Roman"/>
          <w:color w:val="000000" w:themeColor="text1"/>
          <w:sz w:val="16"/>
          <w:szCs w:val="16"/>
        </w:rPr>
        <w:tab/>
        <w:t>Всего</w:t>
      </w:r>
      <w:r w:rsidRPr="002F2FDF">
        <w:rPr>
          <w:rFonts w:ascii="Times New Roman" w:hAnsi="Times New Roman" w:cs="Times New Roman"/>
          <w:color w:val="000000" w:themeColor="text1"/>
          <w:sz w:val="16"/>
          <w:szCs w:val="16"/>
        </w:rPr>
        <w:tab/>
        <w:t>Остаток к 1 июня</w:t>
      </w:r>
    </w:p>
    <w:p w14:paraId="4CC509FD"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Самолетов</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274</w:t>
      </w:r>
      <w:r w:rsidRPr="002F2FDF">
        <w:rPr>
          <w:rFonts w:ascii="Times New Roman" w:hAnsi="Times New Roman" w:cs="Times New Roman"/>
          <w:color w:val="000000" w:themeColor="text1"/>
          <w:sz w:val="16"/>
          <w:szCs w:val="16"/>
        </w:rPr>
        <w:tab/>
        <w:t>529</w:t>
      </w:r>
      <w:r w:rsidRPr="002F2FDF">
        <w:rPr>
          <w:rFonts w:ascii="Times New Roman" w:hAnsi="Times New Roman" w:cs="Times New Roman"/>
          <w:color w:val="000000" w:themeColor="text1"/>
          <w:sz w:val="16"/>
          <w:szCs w:val="16"/>
        </w:rPr>
        <w:tab/>
        <w:t>803</w:t>
      </w:r>
      <w:r w:rsidRPr="002F2FDF">
        <w:rPr>
          <w:rFonts w:ascii="Times New Roman" w:hAnsi="Times New Roman" w:cs="Times New Roman"/>
          <w:color w:val="000000" w:themeColor="text1"/>
          <w:sz w:val="16"/>
          <w:szCs w:val="16"/>
        </w:rPr>
        <w:tab/>
        <w:t>213</w:t>
      </w:r>
    </w:p>
    <w:p w14:paraId="3E1D1604"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Моторов</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283</w:t>
      </w:r>
      <w:r w:rsidRPr="002F2FDF">
        <w:rPr>
          <w:rFonts w:ascii="Times New Roman" w:hAnsi="Times New Roman" w:cs="Times New Roman"/>
          <w:color w:val="000000" w:themeColor="text1"/>
          <w:sz w:val="16"/>
          <w:szCs w:val="16"/>
        </w:rPr>
        <w:tab/>
        <w:t>610</w:t>
      </w:r>
      <w:r w:rsidRPr="002F2FDF">
        <w:rPr>
          <w:rFonts w:ascii="Times New Roman" w:hAnsi="Times New Roman" w:cs="Times New Roman"/>
          <w:color w:val="000000" w:themeColor="text1"/>
          <w:sz w:val="16"/>
          <w:szCs w:val="16"/>
        </w:rPr>
        <w:tab/>
        <w:t>893</w:t>
      </w:r>
      <w:r w:rsidRPr="002F2FDF">
        <w:rPr>
          <w:rFonts w:ascii="Times New Roman" w:hAnsi="Times New Roman" w:cs="Times New Roman"/>
          <w:color w:val="000000" w:themeColor="text1"/>
          <w:sz w:val="16"/>
          <w:szCs w:val="16"/>
        </w:rPr>
        <w:tab/>
        <w:t>1869</w:t>
      </w:r>
    </w:p>
    <w:p w14:paraId="7CE25F88"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Воздушных винтов</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772</w:t>
      </w:r>
      <w:r w:rsidRPr="002F2FDF">
        <w:rPr>
          <w:rFonts w:ascii="Times New Roman" w:hAnsi="Times New Roman" w:cs="Times New Roman"/>
          <w:color w:val="000000" w:themeColor="text1"/>
          <w:sz w:val="16"/>
          <w:szCs w:val="16"/>
        </w:rPr>
        <w:tab/>
        <w:t>2192</w:t>
      </w:r>
      <w:r w:rsidRPr="002F2FDF">
        <w:rPr>
          <w:rFonts w:ascii="Times New Roman" w:hAnsi="Times New Roman" w:cs="Times New Roman"/>
          <w:color w:val="000000" w:themeColor="text1"/>
          <w:sz w:val="16"/>
          <w:szCs w:val="16"/>
        </w:rPr>
        <w:tab/>
        <w:t>2964</w:t>
      </w:r>
      <w:r w:rsidRPr="002F2FDF">
        <w:rPr>
          <w:rFonts w:ascii="Times New Roman" w:hAnsi="Times New Roman" w:cs="Times New Roman"/>
          <w:color w:val="000000" w:themeColor="text1"/>
          <w:sz w:val="16"/>
          <w:szCs w:val="16"/>
        </w:rPr>
        <w:tab/>
        <w:t>1837</w:t>
      </w:r>
    </w:p>
    <w:p w14:paraId="1377DA92"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Палаток для аэропланов</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119</w:t>
      </w:r>
      <w:r w:rsidRPr="002F2FDF">
        <w:rPr>
          <w:rFonts w:ascii="Times New Roman" w:hAnsi="Times New Roman" w:cs="Times New Roman"/>
          <w:color w:val="000000" w:themeColor="text1"/>
          <w:sz w:val="16"/>
          <w:szCs w:val="16"/>
        </w:rPr>
        <w:tab/>
        <w:t>190</w:t>
      </w:r>
      <w:r w:rsidRPr="002F2FDF">
        <w:rPr>
          <w:rFonts w:ascii="Times New Roman" w:hAnsi="Times New Roman" w:cs="Times New Roman"/>
          <w:color w:val="000000" w:themeColor="text1"/>
          <w:sz w:val="16"/>
          <w:szCs w:val="16"/>
        </w:rPr>
        <w:tab/>
        <w:t>309</w:t>
      </w:r>
      <w:r w:rsidRPr="002F2FDF">
        <w:rPr>
          <w:rFonts w:ascii="Times New Roman" w:hAnsi="Times New Roman" w:cs="Times New Roman"/>
          <w:color w:val="000000" w:themeColor="text1"/>
          <w:sz w:val="16"/>
          <w:szCs w:val="16"/>
        </w:rPr>
        <w:tab/>
        <w:t>221</w:t>
      </w:r>
    </w:p>
    <w:p w14:paraId="7808D7BF"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Змейковых аэростатов</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114</w:t>
      </w:r>
      <w:r w:rsidRPr="002F2FDF">
        <w:rPr>
          <w:rFonts w:ascii="Times New Roman" w:hAnsi="Times New Roman" w:cs="Times New Roman"/>
          <w:color w:val="000000" w:themeColor="text1"/>
          <w:sz w:val="16"/>
          <w:szCs w:val="16"/>
        </w:rPr>
        <w:tab/>
        <w:t>106</w:t>
      </w:r>
      <w:r w:rsidRPr="002F2FDF">
        <w:rPr>
          <w:rFonts w:ascii="Times New Roman" w:hAnsi="Times New Roman" w:cs="Times New Roman"/>
          <w:color w:val="000000" w:themeColor="text1"/>
          <w:sz w:val="16"/>
          <w:szCs w:val="16"/>
        </w:rPr>
        <w:tab/>
        <w:t>220</w:t>
      </w:r>
      <w:r w:rsidRPr="002F2FDF">
        <w:rPr>
          <w:rFonts w:ascii="Times New Roman" w:hAnsi="Times New Roman" w:cs="Times New Roman"/>
          <w:color w:val="000000" w:themeColor="text1"/>
          <w:sz w:val="16"/>
          <w:szCs w:val="16"/>
        </w:rPr>
        <w:tab/>
        <w:t>125</w:t>
      </w:r>
    </w:p>
    <w:p w14:paraId="0649A9E2"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Газодобывателышх аппаратов . ■ .</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14</w:t>
      </w:r>
      <w:r w:rsidRPr="002F2FDF">
        <w:rPr>
          <w:rFonts w:ascii="Times New Roman" w:hAnsi="Times New Roman" w:cs="Times New Roman"/>
          <w:color w:val="000000" w:themeColor="text1"/>
          <w:sz w:val="16"/>
          <w:szCs w:val="16"/>
        </w:rPr>
        <w:tab/>
        <w:t>14</w:t>
      </w:r>
      <w:r w:rsidRPr="002F2FDF">
        <w:rPr>
          <w:rFonts w:ascii="Times New Roman" w:hAnsi="Times New Roman" w:cs="Times New Roman"/>
          <w:color w:val="000000" w:themeColor="text1"/>
          <w:sz w:val="16"/>
          <w:szCs w:val="16"/>
        </w:rPr>
        <w:tab/>
        <w:t>3</w:t>
      </w:r>
    </w:p>
    <w:p w14:paraId="5307015E"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Лебедок</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3</w:t>
      </w:r>
      <w:r w:rsidRPr="002F2FDF">
        <w:rPr>
          <w:rFonts w:ascii="Times New Roman" w:hAnsi="Times New Roman" w:cs="Times New Roman"/>
          <w:color w:val="000000" w:themeColor="text1"/>
          <w:sz w:val="16"/>
          <w:szCs w:val="16"/>
        </w:rPr>
        <w:tab/>
        <w:t>1</w:t>
      </w:r>
      <w:r w:rsidRPr="002F2FDF">
        <w:rPr>
          <w:rFonts w:ascii="Times New Roman" w:hAnsi="Times New Roman" w:cs="Times New Roman"/>
          <w:color w:val="000000" w:themeColor="text1"/>
          <w:sz w:val="16"/>
          <w:szCs w:val="16"/>
        </w:rPr>
        <w:tab/>
        <w:t>10</w:t>
      </w:r>
      <w:r w:rsidRPr="002F2FDF">
        <w:rPr>
          <w:rFonts w:ascii="Times New Roman" w:hAnsi="Times New Roman" w:cs="Times New Roman"/>
          <w:color w:val="000000" w:themeColor="text1"/>
          <w:sz w:val="16"/>
          <w:szCs w:val="16"/>
        </w:rPr>
        <w:tab/>
        <w:t>4</w:t>
      </w:r>
    </w:p>
    <w:p w14:paraId="4ECC4AD0"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Фотографических аппаратов ....</w:t>
      </w:r>
      <w:r w:rsidRPr="002F2FDF">
        <w:rPr>
          <w:rFonts w:ascii="Times New Roman" w:hAnsi="Times New Roman" w:cs="Times New Roman"/>
          <w:color w:val="000000" w:themeColor="text1"/>
          <w:sz w:val="16"/>
          <w:szCs w:val="16"/>
        </w:rPr>
        <w:tab/>
        <w:t>134  1</w:t>
      </w:r>
      <w:r w:rsidRPr="002F2FDF">
        <w:rPr>
          <w:rFonts w:ascii="Times New Roman" w:hAnsi="Times New Roman" w:cs="Times New Roman"/>
          <w:color w:val="000000" w:themeColor="text1"/>
          <w:sz w:val="16"/>
          <w:szCs w:val="16"/>
        </w:rPr>
        <w:tab/>
        <w:t>29</w:t>
      </w:r>
      <w:r w:rsidRPr="002F2FDF">
        <w:rPr>
          <w:rFonts w:ascii="Times New Roman" w:hAnsi="Times New Roman" w:cs="Times New Roman"/>
          <w:color w:val="000000" w:themeColor="text1"/>
          <w:sz w:val="16"/>
          <w:szCs w:val="16"/>
        </w:rPr>
        <w:tab/>
        <w:t>163</w:t>
      </w:r>
      <w:r w:rsidRPr="002F2FDF">
        <w:rPr>
          <w:rFonts w:ascii="Times New Roman" w:hAnsi="Times New Roman" w:cs="Times New Roman"/>
          <w:color w:val="000000" w:themeColor="text1"/>
          <w:sz w:val="16"/>
          <w:szCs w:val="16"/>
        </w:rPr>
        <w:tab/>
        <w:t>107</w:t>
      </w:r>
    </w:p>
    <w:p w14:paraId="0E5EFB56"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Обращаясь к исполнению плана снабжения армии самолетами и моторами, а равно и к поступлению аэропланов и моторов с комплектами запасных для них частей, а равно и воздушных винтов. Подготовительная комиссия считала долгом отметить нижеследующее.</w:t>
      </w:r>
    </w:p>
    <w:p w14:paraId="6CDCC9B0"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 а м о л е т ы</w:t>
      </w:r>
    </w:p>
    <w:p w14:paraId="6D324EA9"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Потребность по плану снабжения действующей армии самолетами на срок с 1 января 1917 г. по 1 июля 1918 г. составляет:</w:t>
      </w:r>
    </w:p>
    <w:p w14:paraId="3E008EA0"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Самолеты армейские ....</w:t>
      </w:r>
      <w:r w:rsidRPr="002F2FDF">
        <w:rPr>
          <w:rFonts w:ascii="Times New Roman" w:hAnsi="Times New Roman" w:cs="Times New Roman"/>
          <w:color w:val="000000" w:themeColor="text1"/>
          <w:sz w:val="16"/>
          <w:szCs w:val="16"/>
        </w:rPr>
        <w:tab/>
        <w:t>895</w:t>
      </w:r>
    </w:p>
    <w:p w14:paraId="366C52E3"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Корпусные................ 4351</w:t>
      </w:r>
    </w:p>
    <w:p w14:paraId="74B4A23B"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Истребители ..............4214</w:t>
      </w:r>
    </w:p>
    <w:p w14:paraId="50C0B47C"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Учебные ...................485</w:t>
      </w:r>
    </w:p>
    <w:p w14:paraId="0BD8C70D"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«Илья Муромец».............120</w:t>
      </w:r>
    </w:p>
    <w:p w14:paraId="1658F493"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Всего........... 10065</w:t>
      </w:r>
    </w:p>
    <w:p w14:paraId="6DAB5D61"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Во исполнение сего плана на 1 нюня 1917 г. дано было заказов:</w:t>
      </w:r>
    </w:p>
    <w:p w14:paraId="622A31FF"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w:t>
      </w:r>
      <w:r w:rsidRPr="002F2FDF">
        <w:rPr>
          <w:rFonts w:ascii="Times New Roman" w:hAnsi="Times New Roman" w:cs="Times New Roman"/>
          <w:color w:val="000000" w:themeColor="text1"/>
          <w:sz w:val="16"/>
          <w:szCs w:val="16"/>
        </w:rPr>
        <w:tab/>
        <w:t>В России</w:t>
      </w:r>
      <w:r w:rsidRPr="002F2FDF">
        <w:rPr>
          <w:rFonts w:ascii="Times New Roman" w:hAnsi="Times New Roman" w:cs="Times New Roman"/>
          <w:color w:val="000000" w:themeColor="text1"/>
          <w:sz w:val="16"/>
          <w:szCs w:val="16"/>
        </w:rPr>
        <w:tab/>
        <w:t>За границей</w:t>
      </w:r>
      <w:r w:rsidRPr="002F2FDF">
        <w:rPr>
          <w:rFonts w:ascii="Times New Roman" w:hAnsi="Times New Roman" w:cs="Times New Roman"/>
          <w:color w:val="000000" w:themeColor="text1"/>
          <w:sz w:val="16"/>
          <w:szCs w:val="16"/>
        </w:rPr>
        <w:tab/>
        <w:t>Итого</w:t>
      </w:r>
    </w:p>
    <w:p w14:paraId="07CCE2E0"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самолеты армейские . . .</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p>
    <w:p w14:paraId="5A2859AE"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Корпусные </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1458</w:t>
      </w:r>
      <w:r w:rsidRPr="002F2FDF">
        <w:rPr>
          <w:rFonts w:ascii="Times New Roman" w:hAnsi="Times New Roman" w:cs="Times New Roman"/>
          <w:color w:val="000000" w:themeColor="text1"/>
          <w:sz w:val="16"/>
          <w:szCs w:val="16"/>
        </w:rPr>
        <w:tab/>
        <w:t>332</w:t>
      </w:r>
      <w:r w:rsidRPr="002F2FDF">
        <w:rPr>
          <w:rFonts w:ascii="Times New Roman" w:hAnsi="Times New Roman" w:cs="Times New Roman"/>
          <w:color w:val="000000" w:themeColor="text1"/>
          <w:sz w:val="16"/>
          <w:szCs w:val="16"/>
        </w:rPr>
        <w:tab/>
        <w:t>1790</w:t>
      </w:r>
    </w:p>
    <w:p w14:paraId="59054BCA"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Истребители</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497</w:t>
      </w:r>
      <w:r w:rsidRPr="002F2FDF">
        <w:rPr>
          <w:rFonts w:ascii="Times New Roman" w:hAnsi="Times New Roman" w:cs="Times New Roman"/>
          <w:color w:val="000000" w:themeColor="text1"/>
          <w:sz w:val="16"/>
          <w:szCs w:val="16"/>
        </w:rPr>
        <w:tab/>
        <w:t>574</w:t>
      </w:r>
      <w:r w:rsidRPr="002F2FDF">
        <w:rPr>
          <w:rFonts w:ascii="Times New Roman" w:hAnsi="Times New Roman" w:cs="Times New Roman"/>
          <w:color w:val="000000" w:themeColor="text1"/>
          <w:sz w:val="16"/>
          <w:szCs w:val="16"/>
        </w:rPr>
        <w:tab/>
        <w:t>1071</w:t>
      </w:r>
    </w:p>
    <w:p w14:paraId="3B396D95"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Учебные</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280</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280</w:t>
      </w:r>
    </w:p>
    <w:p w14:paraId="252DC7DE"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«Илья Муромец»</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38</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38</w:t>
      </w:r>
    </w:p>
    <w:p w14:paraId="68596836"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Всего . .</w:t>
      </w:r>
      <w:r w:rsidRPr="002F2FDF">
        <w:rPr>
          <w:rFonts w:ascii="Times New Roman" w:hAnsi="Times New Roman" w:cs="Times New Roman"/>
          <w:color w:val="000000" w:themeColor="text1"/>
          <w:sz w:val="16"/>
          <w:szCs w:val="16"/>
        </w:rPr>
        <w:tab/>
        <w:t>2273</w:t>
      </w:r>
      <w:r w:rsidRPr="002F2FDF">
        <w:rPr>
          <w:rFonts w:ascii="Times New Roman" w:hAnsi="Times New Roman" w:cs="Times New Roman"/>
          <w:color w:val="000000" w:themeColor="text1"/>
          <w:sz w:val="16"/>
          <w:szCs w:val="16"/>
        </w:rPr>
        <w:tab/>
        <w:t>906</w:t>
      </w:r>
      <w:r w:rsidRPr="002F2FDF">
        <w:rPr>
          <w:rFonts w:ascii="Times New Roman" w:hAnsi="Times New Roman" w:cs="Times New Roman"/>
          <w:color w:val="000000" w:themeColor="text1"/>
          <w:sz w:val="16"/>
          <w:szCs w:val="16"/>
        </w:rPr>
        <w:tab/>
        <w:t>3179</w:t>
      </w:r>
    </w:p>
    <w:p w14:paraId="48FFD448"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Таким образом, остается дозаказать:</w:t>
      </w:r>
    </w:p>
    <w:p w14:paraId="197FA0E1"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ab/>
        <w:t>В России</w:t>
      </w:r>
      <w:r w:rsidRPr="002F2FDF">
        <w:rPr>
          <w:rFonts w:ascii="Times New Roman" w:hAnsi="Times New Roman" w:cs="Times New Roman"/>
          <w:color w:val="000000" w:themeColor="text1"/>
          <w:sz w:val="16"/>
          <w:szCs w:val="16"/>
        </w:rPr>
        <w:tab/>
        <w:t>За границей</w:t>
      </w:r>
      <w:r w:rsidRPr="002F2FDF">
        <w:rPr>
          <w:rFonts w:ascii="Times New Roman" w:hAnsi="Times New Roman" w:cs="Times New Roman"/>
          <w:color w:val="000000" w:themeColor="text1"/>
          <w:sz w:val="16"/>
          <w:szCs w:val="16"/>
        </w:rPr>
        <w:tab/>
        <w:t>Итого</w:t>
      </w:r>
    </w:p>
    <w:p w14:paraId="504B9F98"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амолетов армейских ....</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895</w:t>
      </w:r>
      <w:r w:rsidRPr="002F2FDF">
        <w:rPr>
          <w:rFonts w:ascii="Times New Roman" w:hAnsi="Times New Roman" w:cs="Times New Roman"/>
          <w:color w:val="000000" w:themeColor="text1"/>
          <w:sz w:val="16"/>
          <w:szCs w:val="16"/>
        </w:rPr>
        <w:tab/>
        <w:t>895</w:t>
      </w:r>
    </w:p>
    <w:p w14:paraId="00366B7B"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Корпусных </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2491</w:t>
      </w:r>
      <w:r w:rsidRPr="002F2FDF">
        <w:rPr>
          <w:rFonts w:ascii="Times New Roman" w:hAnsi="Times New Roman" w:cs="Times New Roman"/>
          <w:color w:val="000000" w:themeColor="text1"/>
          <w:sz w:val="16"/>
          <w:szCs w:val="16"/>
        </w:rPr>
        <w:tab/>
        <w:t>70</w:t>
      </w:r>
      <w:r w:rsidRPr="002F2FDF">
        <w:rPr>
          <w:rFonts w:ascii="Times New Roman" w:hAnsi="Times New Roman" w:cs="Times New Roman"/>
          <w:color w:val="000000" w:themeColor="text1"/>
          <w:sz w:val="16"/>
          <w:szCs w:val="16"/>
        </w:rPr>
        <w:tab/>
        <w:t>2561</w:t>
      </w:r>
    </w:p>
    <w:p w14:paraId="42C5F851"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Истребителей</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1509</w:t>
      </w:r>
      <w:r w:rsidRPr="002F2FDF">
        <w:rPr>
          <w:rFonts w:ascii="Times New Roman" w:hAnsi="Times New Roman" w:cs="Times New Roman"/>
          <w:color w:val="000000" w:themeColor="text1"/>
          <w:sz w:val="16"/>
          <w:szCs w:val="16"/>
        </w:rPr>
        <w:tab/>
        <w:t>1634</w:t>
      </w:r>
      <w:r w:rsidRPr="002F2FDF">
        <w:rPr>
          <w:rFonts w:ascii="Times New Roman" w:hAnsi="Times New Roman" w:cs="Times New Roman"/>
          <w:color w:val="000000" w:themeColor="text1"/>
          <w:sz w:val="16"/>
          <w:szCs w:val="16"/>
        </w:rPr>
        <w:tab/>
        <w:t>3143</w:t>
      </w:r>
    </w:p>
    <w:p w14:paraId="3FD422D4"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Учебных</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205</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205</w:t>
      </w:r>
    </w:p>
    <w:p w14:paraId="4848FA5A"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«Илья Муромец»</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82</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82</w:t>
      </w:r>
    </w:p>
    <w:p w14:paraId="32B938A5"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Всего . .</w:t>
      </w:r>
      <w:r w:rsidRPr="002F2FDF">
        <w:rPr>
          <w:rFonts w:ascii="Times New Roman" w:hAnsi="Times New Roman" w:cs="Times New Roman"/>
          <w:color w:val="000000" w:themeColor="text1"/>
          <w:sz w:val="16"/>
          <w:szCs w:val="16"/>
        </w:rPr>
        <w:tab/>
        <w:t>4287</w:t>
      </w:r>
      <w:r w:rsidRPr="002F2FDF">
        <w:rPr>
          <w:rFonts w:ascii="Times New Roman" w:hAnsi="Times New Roman" w:cs="Times New Roman"/>
          <w:color w:val="000000" w:themeColor="text1"/>
          <w:sz w:val="16"/>
          <w:szCs w:val="16"/>
        </w:rPr>
        <w:tab/>
        <w:t>2599</w:t>
      </w:r>
      <w:r w:rsidRPr="002F2FDF">
        <w:rPr>
          <w:rFonts w:ascii="Times New Roman" w:hAnsi="Times New Roman" w:cs="Times New Roman"/>
          <w:color w:val="000000" w:themeColor="text1"/>
          <w:sz w:val="16"/>
          <w:szCs w:val="16"/>
        </w:rPr>
        <w:tab/>
        <w:t>6886</w:t>
      </w:r>
    </w:p>
    <w:p w14:paraId="06BEE5A4"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Поступление самолетов за истекшее время выражается помесячно в нижеследующих цифрах:</w:t>
      </w:r>
    </w:p>
    <w:p w14:paraId="647C73EE"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ab/>
        <w:t>Корпусные</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Истребители</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Учебные</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Итого</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Все-  го</w:t>
      </w:r>
    </w:p>
    <w:p w14:paraId="157869E0"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ab/>
        <w:t>рус-  ские</w:t>
      </w:r>
      <w:r w:rsidRPr="002F2FDF">
        <w:rPr>
          <w:rFonts w:ascii="Times New Roman" w:hAnsi="Times New Roman" w:cs="Times New Roman"/>
          <w:color w:val="000000" w:themeColor="text1"/>
          <w:sz w:val="16"/>
          <w:szCs w:val="16"/>
        </w:rPr>
        <w:tab/>
        <w:t>загра-  ничные</w:t>
      </w:r>
      <w:r w:rsidRPr="002F2FDF">
        <w:rPr>
          <w:rFonts w:ascii="Times New Roman" w:hAnsi="Times New Roman" w:cs="Times New Roman"/>
          <w:color w:val="000000" w:themeColor="text1"/>
          <w:sz w:val="16"/>
          <w:szCs w:val="16"/>
        </w:rPr>
        <w:tab/>
        <w:t>Рус-  ские</w:t>
      </w:r>
      <w:r w:rsidRPr="002F2FDF">
        <w:rPr>
          <w:rFonts w:ascii="Times New Roman" w:hAnsi="Times New Roman" w:cs="Times New Roman"/>
          <w:color w:val="000000" w:themeColor="text1"/>
          <w:sz w:val="16"/>
          <w:szCs w:val="16"/>
        </w:rPr>
        <w:tab/>
        <w:t>загра-  ничные</w:t>
      </w:r>
      <w:r w:rsidRPr="002F2FDF">
        <w:rPr>
          <w:rFonts w:ascii="Times New Roman" w:hAnsi="Times New Roman" w:cs="Times New Roman"/>
          <w:color w:val="000000" w:themeColor="text1"/>
          <w:sz w:val="16"/>
          <w:szCs w:val="16"/>
        </w:rPr>
        <w:tab/>
        <w:t>Рус-  ские</w:t>
      </w:r>
      <w:r w:rsidRPr="002F2FDF">
        <w:rPr>
          <w:rFonts w:ascii="Times New Roman" w:hAnsi="Times New Roman" w:cs="Times New Roman"/>
          <w:color w:val="000000" w:themeColor="text1"/>
          <w:sz w:val="16"/>
          <w:szCs w:val="16"/>
        </w:rPr>
        <w:tab/>
        <w:t>загра-  ничные</w:t>
      </w:r>
      <w:r w:rsidRPr="002F2FDF">
        <w:rPr>
          <w:rFonts w:ascii="Times New Roman" w:hAnsi="Times New Roman" w:cs="Times New Roman"/>
          <w:color w:val="000000" w:themeColor="text1"/>
          <w:sz w:val="16"/>
          <w:szCs w:val="16"/>
        </w:rPr>
        <w:tab/>
        <w:t>Рус-  ские</w:t>
      </w:r>
      <w:r w:rsidRPr="002F2FDF">
        <w:rPr>
          <w:rFonts w:ascii="Times New Roman" w:hAnsi="Times New Roman" w:cs="Times New Roman"/>
          <w:color w:val="000000" w:themeColor="text1"/>
          <w:sz w:val="16"/>
          <w:szCs w:val="16"/>
        </w:rPr>
        <w:tab/>
        <w:t>загра-  ничные</w:t>
      </w:r>
      <w:r w:rsidRPr="002F2FDF">
        <w:rPr>
          <w:rFonts w:ascii="Times New Roman" w:hAnsi="Times New Roman" w:cs="Times New Roman"/>
          <w:color w:val="000000" w:themeColor="text1"/>
          <w:sz w:val="16"/>
          <w:szCs w:val="16"/>
        </w:rPr>
        <w:tab/>
      </w:r>
    </w:p>
    <w:p w14:paraId="478265E1"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1нварь . .</w:t>
      </w:r>
      <w:r w:rsidRPr="002F2FDF">
        <w:rPr>
          <w:rFonts w:ascii="Times New Roman" w:hAnsi="Times New Roman" w:cs="Times New Roman"/>
          <w:color w:val="000000" w:themeColor="text1"/>
          <w:sz w:val="16"/>
          <w:szCs w:val="16"/>
        </w:rPr>
        <w:tab/>
        <w:t>69</w:t>
      </w:r>
      <w:r w:rsidRPr="002F2FDF">
        <w:rPr>
          <w:rFonts w:ascii="Times New Roman" w:hAnsi="Times New Roman" w:cs="Times New Roman"/>
          <w:color w:val="000000" w:themeColor="text1"/>
          <w:sz w:val="16"/>
          <w:szCs w:val="16"/>
        </w:rPr>
        <w:tab/>
        <w:t>24</w:t>
      </w:r>
      <w:r w:rsidRPr="002F2FDF">
        <w:rPr>
          <w:rFonts w:ascii="Times New Roman" w:hAnsi="Times New Roman" w:cs="Times New Roman"/>
          <w:color w:val="000000" w:themeColor="text1"/>
          <w:sz w:val="16"/>
          <w:szCs w:val="16"/>
        </w:rPr>
        <w:tab/>
        <w:t>51</w:t>
      </w:r>
      <w:r w:rsidRPr="002F2FDF">
        <w:rPr>
          <w:rFonts w:ascii="Times New Roman" w:hAnsi="Times New Roman" w:cs="Times New Roman"/>
          <w:color w:val="000000" w:themeColor="text1"/>
          <w:sz w:val="16"/>
          <w:szCs w:val="16"/>
        </w:rPr>
        <w:tab/>
        <w:t>41</w:t>
      </w:r>
      <w:r w:rsidRPr="002F2FDF">
        <w:rPr>
          <w:rFonts w:ascii="Times New Roman" w:hAnsi="Times New Roman" w:cs="Times New Roman"/>
          <w:color w:val="000000" w:themeColor="text1"/>
          <w:sz w:val="16"/>
          <w:szCs w:val="16"/>
        </w:rPr>
        <w:tab/>
        <w:t>1</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121</w:t>
      </w:r>
      <w:r w:rsidRPr="002F2FDF">
        <w:rPr>
          <w:rFonts w:ascii="Times New Roman" w:hAnsi="Times New Roman" w:cs="Times New Roman"/>
          <w:color w:val="000000" w:themeColor="text1"/>
          <w:sz w:val="16"/>
          <w:szCs w:val="16"/>
        </w:rPr>
        <w:tab/>
        <w:t>65</w:t>
      </w:r>
      <w:r w:rsidRPr="002F2FDF">
        <w:rPr>
          <w:rFonts w:ascii="Times New Roman" w:hAnsi="Times New Roman" w:cs="Times New Roman"/>
          <w:color w:val="000000" w:themeColor="text1"/>
          <w:sz w:val="16"/>
          <w:szCs w:val="16"/>
        </w:rPr>
        <w:tab/>
        <w:t>186</w:t>
      </w:r>
    </w:p>
    <w:p w14:paraId="708B48B8"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Февраль . .</w:t>
      </w:r>
      <w:r w:rsidRPr="002F2FDF">
        <w:rPr>
          <w:rFonts w:ascii="Times New Roman" w:hAnsi="Times New Roman" w:cs="Times New Roman"/>
          <w:color w:val="000000" w:themeColor="text1"/>
          <w:sz w:val="16"/>
          <w:szCs w:val="16"/>
        </w:rPr>
        <w:tab/>
        <w:t>85</w:t>
      </w:r>
      <w:r w:rsidRPr="002F2FDF">
        <w:rPr>
          <w:rFonts w:ascii="Times New Roman" w:hAnsi="Times New Roman" w:cs="Times New Roman"/>
          <w:color w:val="000000" w:themeColor="text1"/>
          <w:sz w:val="16"/>
          <w:szCs w:val="16"/>
        </w:rPr>
        <w:tab/>
        <w:t>26</w:t>
      </w:r>
      <w:r w:rsidRPr="002F2FDF">
        <w:rPr>
          <w:rFonts w:ascii="Times New Roman" w:hAnsi="Times New Roman" w:cs="Times New Roman"/>
          <w:color w:val="000000" w:themeColor="text1"/>
          <w:sz w:val="16"/>
          <w:szCs w:val="16"/>
        </w:rPr>
        <w:tab/>
        <w:t>32</w:t>
      </w:r>
      <w:r w:rsidRPr="002F2FDF">
        <w:rPr>
          <w:rFonts w:ascii="Times New Roman" w:hAnsi="Times New Roman" w:cs="Times New Roman"/>
          <w:color w:val="000000" w:themeColor="text1"/>
          <w:sz w:val="16"/>
          <w:szCs w:val="16"/>
        </w:rPr>
        <w:tab/>
        <w:t>1</w:t>
      </w:r>
      <w:r w:rsidRPr="002F2FDF">
        <w:rPr>
          <w:rFonts w:ascii="Times New Roman" w:hAnsi="Times New Roman" w:cs="Times New Roman"/>
          <w:color w:val="000000" w:themeColor="text1"/>
          <w:sz w:val="16"/>
          <w:szCs w:val="16"/>
        </w:rPr>
        <w:tab/>
        <w:t>3</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120</w:t>
      </w:r>
      <w:r w:rsidRPr="002F2FDF">
        <w:rPr>
          <w:rFonts w:ascii="Times New Roman" w:hAnsi="Times New Roman" w:cs="Times New Roman"/>
          <w:color w:val="000000" w:themeColor="text1"/>
          <w:sz w:val="16"/>
          <w:szCs w:val="16"/>
        </w:rPr>
        <w:tab/>
        <w:t>30</w:t>
      </w:r>
      <w:r w:rsidRPr="002F2FDF">
        <w:rPr>
          <w:rFonts w:ascii="Times New Roman" w:hAnsi="Times New Roman" w:cs="Times New Roman"/>
          <w:color w:val="000000" w:themeColor="text1"/>
          <w:sz w:val="16"/>
          <w:szCs w:val="16"/>
        </w:rPr>
        <w:tab/>
        <w:t>150</w:t>
      </w:r>
    </w:p>
    <w:p w14:paraId="2A71AED6"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Март ....</w:t>
      </w:r>
      <w:r w:rsidRPr="002F2FDF">
        <w:rPr>
          <w:rFonts w:ascii="Times New Roman" w:hAnsi="Times New Roman" w:cs="Times New Roman"/>
          <w:color w:val="000000" w:themeColor="text1"/>
          <w:sz w:val="16"/>
          <w:szCs w:val="16"/>
        </w:rPr>
        <w:tab/>
        <w:t>58</w:t>
      </w:r>
      <w:r w:rsidRPr="002F2FDF">
        <w:rPr>
          <w:rFonts w:ascii="Times New Roman" w:hAnsi="Times New Roman" w:cs="Times New Roman"/>
          <w:color w:val="000000" w:themeColor="text1"/>
          <w:sz w:val="16"/>
          <w:szCs w:val="16"/>
        </w:rPr>
        <w:tab/>
        <w:t>3</w:t>
      </w:r>
      <w:r w:rsidRPr="002F2FDF">
        <w:rPr>
          <w:rFonts w:ascii="Times New Roman" w:hAnsi="Times New Roman" w:cs="Times New Roman"/>
          <w:color w:val="000000" w:themeColor="text1"/>
          <w:sz w:val="16"/>
          <w:szCs w:val="16"/>
        </w:rPr>
        <w:tab/>
        <w:t>18</w:t>
      </w:r>
      <w:r w:rsidRPr="002F2FDF">
        <w:rPr>
          <w:rFonts w:ascii="Times New Roman" w:hAnsi="Times New Roman" w:cs="Times New Roman"/>
          <w:color w:val="000000" w:themeColor="text1"/>
          <w:sz w:val="16"/>
          <w:szCs w:val="16"/>
        </w:rPr>
        <w:tab/>
        <w:t>33</w:t>
      </w:r>
      <w:r w:rsidRPr="002F2FDF">
        <w:rPr>
          <w:rFonts w:ascii="Times New Roman" w:hAnsi="Times New Roman" w:cs="Times New Roman"/>
          <w:color w:val="000000" w:themeColor="text1"/>
          <w:sz w:val="16"/>
          <w:szCs w:val="16"/>
        </w:rPr>
        <w:tab/>
        <w:t>4</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80</w:t>
      </w:r>
      <w:r w:rsidRPr="002F2FDF">
        <w:rPr>
          <w:rFonts w:ascii="Times New Roman" w:hAnsi="Times New Roman" w:cs="Times New Roman"/>
          <w:color w:val="000000" w:themeColor="text1"/>
          <w:sz w:val="16"/>
          <w:szCs w:val="16"/>
        </w:rPr>
        <w:tab/>
        <w:t>36</w:t>
      </w:r>
      <w:r w:rsidRPr="002F2FDF">
        <w:rPr>
          <w:rFonts w:ascii="Times New Roman" w:hAnsi="Times New Roman" w:cs="Times New Roman"/>
          <w:color w:val="000000" w:themeColor="text1"/>
          <w:sz w:val="16"/>
          <w:szCs w:val="16"/>
        </w:rPr>
        <w:tab/>
        <w:t>116</w:t>
      </w:r>
    </w:p>
    <w:p w14:paraId="664D021C"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Апрель .</w:t>
      </w:r>
      <w:r w:rsidRPr="002F2FDF">
        <w:rPr>
          <w:rFonts w:ascii="Times New Roman" w:hAnsi="Times New Roman" w:cs="Times New Roman"/>
          <w:color w:val="000000" w:themeColor="text1"/>
          <w:sz w:val="16"/>
          <w:szCs w:val="16"/>
        </w:rPr>
        <w:tab/>
        <w:t>63</w:t>
      </w:r>
      <w:r w:rsidRPr="002F2FDF">
        <w:rPr>
          <w:rFonts w:ascii="Times New Roman" w:hAnsi="Times New Roman" w:cs="Times New Roman"/>
          <w:color w:val="000000" w:themeColor="text1"/>
          <w:sz w:val="16"/>
          <w:szCs w:val="16"/>
        </w:rPr>
        <w:tab/>
        <w:t>22</w:t>
      </w:r>
      <w:r w:rsidRPr="002F2FDF">
        <w:rPr>
          <w:rFonts w:ascii="Times New Roman" w:hAnsi="Times New Roman" w:cs="Times New Roman"/>
          <w:color w:val="000000" w:themeColor="text1"/>
          <w:sz w:val="16"/>
          <w:szCs w:val="16"/>
        </w:rPr>
        <w:tab/>
        <w:t>31</w:t>
      </w:r>
      <w:r w:rsidRPr="002F2FDF">
        <w:rPr>
          <w:rFonts w:ascii="Times New Roman" w:hAnsi="Times New Roman" w:cs="Times New Roman"/>
          <w:color w:val="000000" w:themeColor="text1"/>
          <w:sz w:val="16"/>
          <w:szCs w:val="16"/>
        </w:rPr>
        <w:tab/>
        <w:t>34</w:t>
      </w:r>
      <w:r w:rsidRPr="002F2FDF">
        <w:rPr>
          <w:rFonts w:ascii="Times New Roman" w:hAnsi="Times New Roman" w:cs="Times New Roman"/>
          <w:color w:val="000000" w:themeColor="text1"/>
          <w:sz w:val="16"/>
          <w:szCs w:val="16"/>
        </w:rPr>
        <w:tab/>
        <w:t>8</w:t>
      </w:r>
      <w:r w:rsidRPr="002F2FDF">
        <w:rPr>
          <w:rFonts w:ascii="Times New Roman" w:hAnsi="Times New Roman" w:cs="Times New Roman"/>
          <w:color w:val="000000" w:themeColor="text1"/>
          <w:sz w:val="16"/>
          <w:szCs w:val="16"/>
        </w:rPr>
        <w:tab/>
        <w:t>' —</w:t>
      </w:r>
      <w:r w:rsidRPr="002F2FDF">
        <w:rPr>
          <w:rFonts w:ascii="Times New Roman" w:hAnsi="Times New Roman" w:cs="Times New Roman"/>
          <w:color w:val="000000" w:themeColor="text1"/>
          <w:sz w:val="16"/>
          <w:szCs w:val="16"/>
        </w:rPr>
        <w:tab/>
        <w:t>102</w:t>
      </w:r>
      <w:r w:rsidRPr="002F2FDF">
        <w:rPr>
          <w:rFonts w:ascii="Times New Roman" w:hAnsi="Times New Roman" w:cs="Times New Roman"/>
          <w:color w:val="000000" w:themeColor="text1"/>
          <w:sz w:val="16"/>
          <w:szCs w:val="16"/>
        </w:rPr>
        <w:tab/>
        <w:t>56</w:t>
      </w:r>
      <w:r w:rsidRPr="002F2FDF">
        <w:rPr>
          <w:rFonts w:ascii="Times New Roman" w:hAnsi="Times New Roman" w:cs="Times New Roman"/>
          <w:color w:val="000000" w:themeColor="text1"/>
          <w:sz w:val="16"/>
          <w:szCs w:val="16"/>
        </w:rPr>
        <w:tab/>
        <w:t>158</w:t>
      </w:r>
    </w:p>
    <w:p w14:paraId="3356D91E"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Маи ....</w:t>
      </w:r>
      <w:r w:rsidRPr="002F2FDF">
        <w:rPr>
          <w:rFonts w:ascii="Times New Roman" w:hAnsi="Times New Roman" w:cs="Times New Roman"/>
          <w:color w:val="000000" w:themeColor="text1"/>
          <w:sz w:val="16"/>
          <w:szCs w:val="16"/>
        </w:rPr>
        <w:tab/>
        <w:t>131</w:t>
      </w:r>
      <w:r w:rsidRPr="002F2FDF">
        <w:rPr>
          <w:rFonts w:ascii="Times New Roman" w:hAnsi="Times New Roman" w:cs="Times New Roman"/>
          <w:color w:val="000000" w:themeColor="text1"/>
          <w:sz w:val="16"/>
          <w:szCs w:val="16"/>
        </w:rPr>
        <w:tab/>
        <w:t>4</w:t>
      </w:r>
      <w:r w:rsidRPr="002F2FDF">
        <w:rPr>
          <w:rFonts w:ascii="Times New Roman" w:hAnsi="Times New Roman" w:cs="Times New Roman"/>
          <w:color w:val="000000" w:themeColor="text1"/>
          <w:sz w:val="16"/>
          <w:szCs w:val="16"/>
        </w:rPr>
        <w:tab/>
        <w:t>21</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11</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163</w:t>
      </w:r>
      <w:r w:rsidRPr="002F2FDF">
        <w:rPr>
          <w:rFonts w:ascii="Times New Roman" w:hAnsi="Times New Roman" w:cs="Times New Roman"/>
          <w:color w:val="000000" w:themeColor="text1"/>
          <w:sz w:val="16"/>
          <w:szCs w:val="16"/>
        </w:rPr>
        <w:tab/>
        <w:t>4</w:t>
      </w:r>
      <w:r w:rsidRPr="002F2FDF">
        <w:rPr>
          <w:rFonts w:ascii="Times New Roman" w:hAnsi="Times New Roman" w:cs="Times New Roman"/>
          <w:color w:val="000000" w:themeColor="text1"/>
          <w:sz w:val="16"/>
          <w:szCs w:val="16"/>
        </w:rPr>
        <w:tab/>
        <w:t>167</w:t>
      </w:r>
    </w:p>
    <w:p w14:paraId="25D431C9"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Итого .</w:t>
      </w:r>
      <w:r w:rsidRPr="002F2FDF">
        <w:rPr>
          <w:rFonts w:ascii="Times New Roman" w:hAnsi="Times New Roman" w:cs="Times New Roman"/>
          <w:color w:val="000000" w:themeColor="text1"/>
          <w:sz w:val="16"/>
          <w:szCs w:val="16"/>
        </w:rPr>
        <w:tab/>
        <w:t>406</w:t>
      </w:r>
      <w:r w:rsidRPr="002F2FDF">
        <w:rPr>
          <w:rFonts w:ascii="Times New Roman" w:hAnsi="Times New Roman" w:cs="Times New Roman"/>
          <w:color w:val="000000" w:themeColor="text1"/>
          <w:sz w:val="16"/>
          <w:szCs w:val="16"/>
        </w:rPr>
        <w:tab/>
        <w:t>79</w:t>
      </w:r>
      <w:r w:rsidRPr="002F2FDF">
        <w:rPr>
          <w:rFonts w:ascii="Times New Roman" w:hAnsi="Times New Roman" w:cs="Times New Roman"/>
          <w:color w:val="000000" w:themeColor="text1"/>
          <w:sz w:val="16"/>
          <w:szCs w:val="16"/>
        </w:rPr>
        <w:tab/>
        <w:t>153</w:t>
      </w:r>
      <w:r w:rsidRPr="002F2FDF">
        <w:rPr>
          <w:rFonts w:ascii="Times New Roman" w:hAnsi="Times New Roman" w:cs="Times New Roman"/>
          <w:color w:val="000000" w:themeColor="text1"/>
          <w:sz w:val="16"/>
          <w:szCs w:val="16"/>
        </w:rPr>
        <w:tab/>
        <w:t>112</w:t>
      </w:r>
      <w:r w:rsidRPr="002F2FDF">
        <w:rPr>
          <w:rFonts w:ascii="Times New Roman" w:hAnsi="Times New Roman" w:cs="Times New Roman"/>
          <w:color w:val="000000" w:themeColor="text1"/>
          <w:sz w:val="16"/>
          <w:szCs w:val="16"/>
        </w:rPr>
        <w:tab/>
        <w:t>27</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586</w:t>
      </w:r>
      <w:r w:rsidRPr="002F2FDF">
        <w:rPr>
          <w:rFonts w:ascii="Times New Roman" w:hAnsi="Times New Roman" w:cs="Times New Roman"/>
          <w:color w:val="000000" w:themeColor="text1"/>
          <w:sz w:val="16"/>
          <w:szCs w:val="16"/>
        </w:rPr>
        <w:tab/>
        <w:t>191</w:t>
      </w:r>
      <w:r w:rsidRPr="002F2FDF">
        <w:rPr>
          <w:rFonts w:ascii="Times New Roman" w:hAnsi="Times New Roman" w:cs="Times New Roman"/>
          <w:color w:val="000000" w:themeColor="text1"/>
          <w:sz w:val="16"/>
          <w:szCs w:val="16"/>
        </w:rPr>
        <w:tab/>
        <w:t>777</w:t>
      </w:r>
    </w:p>
    <w:p w14:paraId="5886B659"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ab/>
        <w:t>485</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265</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27</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77</w:t>
      </w:r>
      <w:r w:rsidRPr="002F2FDF">
        <w:rPr>
          <w:rFonts w:ascii="Times New Roman" w:hAnsi="Times New Roman" w:cs="Times New Roman"/>
          <w:color w:val="000000" w:themeColor="text1"/>
          <w:sz w:val="16"/>
          <w:szCs w:val="16"/>
        </w:rPr>
        <w:tab/>
      </w:r>
    </w:p>
    <w:p w14:paraId="430E555D"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Поступление комплектов запасных к самолетам частей за это время было следующее:</w:t>
      </w:r>
    </w:p>
    <w:p w14:paraId="17EDB33E"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Январь</w:t>
      </w:r>
    </w:p>
    <w:p w14:paraId="15021EED"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Февраль</w:t>
      </w:r>
    </w:p>
    <w:p w14:paraId="0D6935EE"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Март .</w:t>
      </w:r>
    </w:p>
    <w:p w14:paraId="1846980C"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Апрель</w:t>
      </w:r>
    </w:p>
    <w:p w14:paraId="6743BAC1"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Май . .</w:t>
      </w:r>
    </w:p>
    <w:p w14:paraId="2C60795F"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w:t>
      </w:r>
      <w:r w:rsidRPr="002F2FDF">
        <w:rPr>
          <w:rFonts w:ascii="Times New Roman" w:hAnsi="Times New Roman" w:cs="Times New Roman"/>
          <w:color w:val="000000" w:themeColor="text1"/>
          <w:sz w:val="16"/>
          <w:szCs w:val="16"/>
        </w:rPr>
        <w:tab/>
        <w:t>74</w:t>
      </w:r>
    </w:p>
    <w:p w14:paraId="0C1D03A3"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124</w:t>
      </w:r>
    </w:p>
    <w:p w14:paraId="50213AB0"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w:t>
      </w:r>
      <w:r w:rsidRPr="002F2FDF">
        <w:rPr>
          <w:rFonts w:ascii="Times New Roman" w:hAnsi="Times New Roman" w:cs="Times New Roman"/>
          <w:color w:val="000000" w:themeColor="text1"/>
          <w:sz w:val="16"/>
          <w:szCs w:val="16"/>
        </w:rPr>
        <w:tab/>
        <w:t>42</w:t>
      </w:r>
    </w:p>
    <w:p w14:paraId="25D54DCD"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125</w:t>
      </w:r>
    </w:p>
    <w:p w14:paraId="03167F7A"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124</w:t>
      </w:r>
    </w:p>
    <w:p w14:paraId="1125222C"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 о т о р ы</w:t>
      </w:r>
    </w:p>
    <w:p w14:paraId="589CA3F6"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Потребность по плану снабжения действующей армии моторами на срок с 1 января 1917 г. по 1 июля 1918 г. составляет 14 910 шт. Во исполнение сего плана разновременно русским заводам к 1 июня 1917 г. дано заказов на 3203 мотора, а за границей на 9100 моторов, всего 12 303 ротора, и предполагается заказать еще за границею 1548 моторов. На 1 января 1917 г. на складах имелось 1105 моторов.</w:t>
      </w:r>
    </w:p>
    <w:p w14:paraId="0C4B0B22"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Поступление моторов за время с 1 января 1917 г. было следующим образом:</w:t>
      </w:r>
    </w:p>
    <w:p w14:paraId="35F6C702"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ab/>
        <w:t>Русских</w:t>
      </w:r>
      <w:r w:rsidRPr="002F2FDF">
        <w:rPr>
          <w:rFonts w:ascii="Times New Roman" w:hAnsi="Times New Roman" w:cs="Times New Roman"/>
          <w:color w:val="000000" w:themeColor="text1"/>
          <w:sz w:val="16"/>
          <w:szCs w:val="16"/>
        </w:rPr>
        <w:tab/>
        <w:t>Заграничных *</w:t>
      </w:r>
      <w:r w:rsidRPr="002F2FDF">
        <w:rPr>
          <w:rFonts w:ascii="Times New Roman" w:hAnsi="Times New Roman" w:cs="Times New Roman"/>
          <w:color w:val="000000" w:themeColor="text1"/>
          <w:sz w:val="16"/>
          <w:szCs w:val="16"/>
        </w:rPr>
        <w:tab/>
        <w:t>Всего</w:t>
      </w:r>
    </w:p>
    <w:p w14:paraId="573D5F48"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Январь </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62</w:t>
      </w:r>
      <w:r w:rsidRPr="002F2FDF">
        <w:rPr>
          <w:rFonts w:ascii="Times New Roman" w:hAnsi="Times New Roman" w:cs="Times New Roman"/>
          <w:color w:val="000000" w:themeColor="text1"/>
          <w:sz w:val="16"/>
          <w:szCs w:val="16"/>
        </w:rPr>
        <w:tab/>
        <w:t>140</w:t>
      </w:r>
      <w:r w:rsidRPr="002F2FDF">
        <w:rPr>
          <w:rFonts w:ascii="Times New Roman" w:hAnsi="Times New Roman" w:cs="Times New Roman"/>
          <w:color w:val="000000" w:themeColor="text1"/>
          <w:sz w:val="16"/>
          <w:szCs w:val="16"/>
        </w:rPr>
        <w:tab/>
        <w:t>202</w:t>
      </w:r>
    </w:p>
    <w:p w14:paraId="687D38E7"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Февраль </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52</w:t>
      </w:r>
      <w:r w:rsidRPr="002F2FDF">
        <w:rPr>
          <w:rFonts w:ascii="Times New Roman" w:hAnsi="Times New Roman" w:cs="Times New Roman"/>
          <w:color w:val="000000" w:themeColor="text1"/>
          <w:sz w:val="16"/>
          <w:szCs w:val="16"/>
        </w:rPr>
        <w:tab/>
        <w:t>148</w:t>
      </w:r>
      <w:r w:rsidRPr="002F2FDF">
        <w:rPr>
          <w:rFonts w:ascii="Times New Roman" w:hAnsi="Times New Roman" w:cs="Times New Roman"/>
          <w:color w:val="000000" w:themeColor="text1"/>
          <w:sz w:val="16"/>
          <w:szCs w:val="16"/>
        </w:rPr>
        <w:tab/>
        <w:t>200</w:t>
      </w:r>
    </w:p>
    <w:p w14:paraId="26FCD767"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Март</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93</w:t>
      </w:r>
      <w:r w:rsidRPr="002F2FDF">
        <w:rPr>
          <w:rFonts w:ascii="Times New Roman" w:hAnsi="Times New Roman" w:cs="Times New Roman"/>
          <w:color w:val="000000" w:themeColor="text1"/>
          <w:sz w:val="16"/>
          <w:szCs w:val="16"/>
        </w:rPr>
        <w:tab/>
        <w:t>153</w:t>
      </w:r>
      <w:r w:rsidRPr="002F2FDF">
        <w:rPr>
          <w:rFonts w:ascii="Times New Roman" w:hAnsi="Times New Roman" w:cs="Times New Roman"/>
          <w:color w:val="000000" w:themeColor="text1"/>
          <w:sz w:val="16"/>
          <w:szCs w:val="16"/>
        </w:rPr>
        <w:tab/>
        <w:t>246</w:t>
      </w:r>
    </w:p>
    <w:p w14:paraId="4CE049F5"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Апрель </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42</w:t>
      </w:r>
      <w:r w:rsidRPr="002F2FDF">
        <w:rPr>
          <w:rFonts w:ascii="Times New Roman" w:hAnsi="Times New Roman" w:cs="Times New Roman"/>
          <w:color w:val="000000" w:themeColor="text1"/>
          <w:sz w:val="16"/>
          <w:szCs w:val="16"/>
        </w:rPr>
        <w:tab/>
        <w:t>163</w:t>
      </w:r>
      <w:r w:rsidRPr="002F2FDF">
        <w:rPr>
          <w:rFonts w:ascii="Times New Roman" w:hAnsi="Times New Roman" w:cs="Times New Roman"/>
          <w:color w:val="000000" w:themeColor="text1"/>
          <w:sz w:val="16"/>
          <w:szCs w:val="16"/>
        </w:rPr>
        <w:tab/>
        <w:t>205</w:t>
      </w:r>
    </w:p>
    <w:p w14:paraId="5382170A"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Май ... ....</w:t>
      </w:r>
      <w:r w:rsidRPr="002F2FDF">
        <w:rPr>
          <w:rFonts w:ascii="Times New Roman" w:hAnsi="Times New Roman" w:cs="Times New Roman"/>
          <w:color w:val="000000" w:themeColor="text1"/>
          <w:sz w:val="16"/>
          <w:szCs w:val="16"/>
        </w:rPr>
        <w:tab/>
        <w:t>42</w:t>
      </w:r>
      <w:r w:rsidRPr="002F2FDF">
        <w:rPr>
          <w:rFonts w:ascii="Times New Roman" w:hAnsi="Times New Roman" w:cs="Times New Roman"/>
          <w:color w:val="000000" w:themeColor="text1"/>
          <w:sz w:val="16"/>
          <w:szCs w:val="16"/>
        </w:rPr>
        <w:tab/>
        <w:t>105</w:t>
      </w:r>
      <w:r w:rsidRPr="002F2FDF">
        <w:rPr>
          <w:rFonts w:ascii="Times New Roman" w:hAnsi="Times New Roman" w:cs="Times New Roman"/>
          <w:color w:val="000000" w:themeColor="text1"/>
          <w:sz w:val="16"/>
          <w:szCs w:val="16"/>
        </w:rPr>
        <w:tab/>
        <w:t>147</w:t>
      </w:r>
    </w:p>
    <w:p w14:paraId="40BACF12"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Комплекты запасных частей поступили:</w:t>
      </w:r>
    </w:p>
    <w:p w14:paraId="59A6C9B8"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Январь......................41</w:t>
      </w:r>
    </w:p>
    <w:p w14:paraId="6E956C10"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Февраль.....................21</w:t>
      </w:r>
    </w:p>
    <w:p w14:paraId="755F81F1"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Март........................16</w:t>
      </w:r>
    </w:p>
    <w:p w14:paraId="6C08FC8D"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Апрель......................33</w:t>
      </w:r>
    </w:p>
    <w:p w14:paraId="2FCD8CC2"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Май.........................24</w:t>
      </w:r>
    </w:p>
    <w:p w14:paraId="7B9DB8BA"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Винты</w:t>
      </w:r>
    </w:p>
    <w:p w14:paraId="6CC4B7FF"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Поступление с русских заводов винтов было:</w:t>
      </w:r>
    </w:p>
    <w:p w14:paraId="51D3985D"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Январь </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635</w:t>
      </w:r>
    </w:p>
    <w:p w14:paraId="3D8902D3"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Февраль </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512</w:t>
      </w:r>
    </w:p>
    <w:p w14:paraId="4C3E26BA"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Март</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799</w:t>
      </w:r>
    </w:p>
    <w:p w14:paraId="076091C1"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Апрель </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539</w:t>
      </w:r>
    </w:p>
    <w:p w14:paraId="1EC446F9"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Май</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677</w:t>
      </w:r>
    </w:p>
    <w:p w14:paraId="6AE37839"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Всего </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3162</w:t>
      </w:r>
    </w:p>
    <w:p w14:paraId="338824A2"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Означенные сведения Подготовительная комиссия постановила доложить Особому совещанию по обороне государства.</w:t>
      </w:r>
    </w:p>
    <w:p w14:paraId="08F2337F"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 комиссии В. Гурко.</w:t>
      </w:r>
    </w:p>
    <w:p w14:paraId="4EAE3E0B"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ЦГВИА, ф. 369, on. 8, д. 60, лл. 35—37. Копия (20621).</w:t>
      </w:r>
    </w:p>
    <w:p w14:paraId="0D8EFA99"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Из журнала № 178 заседания Особого совещания по обороне — обсуждение доклада Подготовителъной комиссии по авиационным</w:t>
      </w:r>
    </w:p>
    <w:p w14:paraId="413087D0"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вопросам о поступлении авиационного имущества в армию с 1 января по 1 июня 1917 г.</w:t>
      </w:r>
    </w:p>
    <w:p w14:paraId="7DD7144B"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 июля 1917 г. (20621).</w:t>
      </w:r>
    </w:p>
    <w:p w14:paraId="3F328A5E" w14:textId="77777777" w:rsidR="00EA3234" w:rsidRPr="002F2FDF" w:rsidRDefault="00EA3234" w:rsidP="0083075A">
      <w:pPr>
        <w:spacing w:after="0" w:line="240" w:lineRule="auto"/>
        <w:jc w:val="both"/>
        <w:rPr>
          <w:rFonts w:ascii="Times New Roman" w:hAnsi="Times New Roman" w:cs="Times New Roman"/>
          <w:color w:val="000000" w:themeColor="text1"/>
          <w:sz w:val="16"/>
          <w:szCs w:val="16"/>
        </w:rPr>
      </w:pPr>
    </w:p>
    <w:p w14:paraId="5031153A" w14:textId="77777777" w:rsidR="00D50B49" w:rsidRPr="002F2FDF" w:rsidRDefault="00D50B49"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июня (13 июля) 1917 г. предприятие Адаменко в Карасубазаре посетила комиссия в составе главного военного приемщика УВВФ полковника гвардии Мезенцева и на</w:t>
      </w:r>
      <w:r w:rsidRPr="002F2FDF">
        <w:rPr>
          <w:rFonts w:ascii="Times New Roman" w:hAnsi="Times New Roman" w:cs="Times New Roman"/>
          <w:color w:val="000000" w:themeColor="text1"/>
          <w:kern w:val="2"/>
          <w:sz w:val="16"/>
          <w:szCs w:val="16"/>
        </w:rPr>
        <w:softHyphen/>
        <w:t>чальника Симферопольского отделения Севастопольской авиа</w:t>
      </w:r>
      <w:r w:rsidRPr="002F2FDF">
        <w:rPr>
          <w:rFonts w:ascii="Times New Roman" w:hAnsi="Times New Roman" w:cs="Times New Roman"/>
          <w:color w:val="000000" w:themeColor="text1"/>
          <w:kern w:val="2"/>
          <w:sz w:val="16"/>
          <w:szCs w:val="16"/>
        </w:rPr>
        <w:softHyphen/>
        <w:t>школы. Итоги проверки оказались неутешительными. Было отмече</w:t>
      </w:r>
      <w:r w:rsidRPr="002F2FDF">
        <w:rPr>
          <w:rFonts w:ascii="Times New Roman" w:hAnsi="Times New Roman" w:cs="Times New Roman"/>
          <w:color w:val="000000" w:themeColor="text1"/>
          <w:kern w:val="2"/>
          <w:sz w:val="16"/>
          <w:szCs w:val="16"/>
        </w:rPr>
        <w:softHyphen/>
        <w:t>но, что обтяжка поверхностей строящихся “Фарманов” слаба, ка</w:t>
      </w:r>
      <w:r w:rsidRPr="002F2FDF">
        <w:rPr>
          <w:rFonts w:ascii="Times New Roman" w:hAnsi="Times New Roman" w:cs="Times New Roman"/>
          <w:color w:val="000000" w:themeColor="text1"/>
          <w:kern w:val="2"/>
          <w:sz w:val="16"/>
          <w:szCs w:val="16"/>
        </w:rPr>
        <w:softHyphen/>
        <w:t>чество лакировки неудовлетворительное, а используемая древесина значительно тяжелее, чем необходимо. Кроме того, вы</w:t>
      </w:r>
      <w:r w:rsidRPr="002F2FDF">
        <w:rPr>
          <w:rFonts w:ascii="Times New Roman" w:hAnsi="Times New Roman" w:cs="Times New Roman"/>
          <w:color w:val="000000" w:themeColor="text1"/>
          <w:kern w:val="2"/>
          <w:sz w:val="16"/>
          <w:szCs w:val="16"/>
        </w:rPr>
        <w:softHyphen/>
        <w:t>яснилось, что самолеты не вполне отвечают стандарту, поскольку строились “Фарманы XVI” в Карасубазаре не по чертежам, а по об</w:t>
      </w:r>
      <w:r w:rsidRPr="002F2FDF">
        <w:rPr>
          <w:rFonts w:ascii="Times New Roman" w:hAnsi="Times New Roman" w:cs="Times New Roman"/>
          <w:color w:val="000000" w:themeColor="text1"/>
          <w:kern w:val="2"/>
          <w:sz w:val="16"/>
          <w:szCs w:val="16"/>
        </w:rPr>
        <w:softHyphen/>
        <w:t>разцу — поврежденному аппарату такого типа постройки завода Терещенко, чьи машины отличались многочисленными отклонени</w:t>
      </w:r>
      <w:r w:rsidRPr="002F2FDF">
        <w:rPr>
          <w:rFonts w:ascii="Times New Roman" w:hAnsi="Times New Roman" w:cs="Times New Roman"/>
          <w:color w:val="000000" w:themeColor="text1"/>
          <w:kern w:val="2"/>
          <w:sz w:val="16"/>
          <w:szCs w:val="16"/>
        </w:rPr>
        <w:softHyphen/>
        <w:t>ями от оригинала. Наконец, Адаменко обвинили в первоочередном исполнении заказов Черноморской гидроавиации в ущерб интере</w:t>
      </w:r>
      <w:r w:rsidRPr="002F2FDF">
        <w:rPr>
          <w:rFonts w:ascii="Times New Roman" w:hAnsi="Times New Roman" w:cs="Times New Roman"/>
          <w:color w:val="000000" w:themeColor="text1"/>
          <w:kern w:val="2"/>
          <w:sz w:val="16"/>
          <w:szCs w:val="16"/>
        </w:rPr>
        <w:softHyphen/>
        <w:t>сам УВВФ. Вероятно, выводы комиссии возымели “воспитательное воздействие”, ибо 25 июля 1917 г. Адаменко наконец-то сдал заказ</w:t>
      </w:r>
      <w:r w:rsidRPr="002F2FDF">
        <w:rPr>
          <w:rFonts w:ascii="Times New Roman" w:hAnsi="Times New Roman" w:cs="Times New Roman"/>
          <w:color w:val="000000" w:themeColor="text1"/>
          <w:kern w:val="2"/>
          <w:sz w:val="16"/>
          <w:szCs w:val="16"/>
        </w:rPr>
        <w:softHyphen/>
        <w:t>чику первую пятерку “Фарманов XVI”. 5 октября сдали еще 5 аппа</w:t>
      </w:r>
      <w:r w:rsidRPr="002F2FDF">
        <w:rPr>
          <w:rFonts w:ascii="Times New Roman" w:hAnsi="Times New Roman" w:cs="Times New Roman"/>
          <w:color w:val="000000" w:themeColor="text1"/>
          <w:kern w:val="2"/>
          <w:sz w:val="16"/>
          <w:szCs w:val="16"/>
        </w:rPr>
        <w:softHyphen/>
        <w:t>ратов, но судьба остальных пятнадцати повисла в воздухе. Несмот</w:t>
      </w:r>
      <w:r w:rsidRPr="002F2FDF">
        <w:rPr>
          <w:rFonts w:ascii="Times New Roman" w:hAnsi="Times New Roman" w:cs="Times New Roman"/>
          <w:color w:val="000000" w:themeColor="text1"/>
          <w:kern w:val="2"/>
          <w:sz w:val="16"/>
          <w:szCs w:val="16"/>
        </w:rPr>
        <w:softHyphen/>
        <w:t>ря на нараставший революционный бардак, некоторые государст</w:t>
      </w:r>
      <w:r w:rsidRPr="002F2FDF">
        <w:rPr>
          <w:rFonts w:ascii="Times New Roman" w:hAnsi="Times New Roman" w:cs="Times New Roman"/>
          <w:color w:val="000000" w:themeColor="text1"/>
          <w:kern w:val="2"/>
          <w:sz w:val="16"/>
          <w:szCs w:val="16"/>
        </w:rPr>
        <w:softHyphen/>
        <w:t>венные структуры, в том числе и УВВФ, продолжали работать как бы по инерции, и 23 ноября начальник этого ведомства разрешил Адаменко поставить оставшиеся “Фарманы XVI” до 20 апреля 1918 г. с удержанием причитающейся по контракту неустойки (11124).</w:t>
      </w:r>
    </w:p>
    <w:p w14:paraId="060832BB" w14:textId="77777777" w:rsidR="00D50B49" w:rsidRPr="002F2FDF" w:rsidRDefault="00D50B49"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8EEF8D" w14:textId="77777777" w:rsidR="000F43BC" w:rsidRPr="002F2FDF" w:rsidRDefault="000F43BC" w:rsidP="0083075A">
      <w:pPr>
        <w:pStyle w:val="1c"/>
        <w:spacing w:before="0" w:after="0"/>
        <w:jc w:val="both"/>
        <w:rPr>
          <w:color w:val="000000" w:themeColor="text1"/>
          <w:kern w:val="2"/>
          <w:sz w:val="16"/>
          <w:szCs w:val="16"/>
        </w:rPr>
      </w:pPr>
      <w:r w:rsidRPr="002F2FDF">
        <w:rPr>
          <w:color w:val="000000" w:themeColor="text1"/>
          <w:kern w:val="2"/>
          <w:sz w:val="16"/>
          <w:szCs w:val="16"/>
        </w:rPr>
        <w:t>30 июня (13 июля) 1917 г. предприятие Адаменко в Карасубазаре посетила комиссия в составе главного военного приемщика УВВФ полковника гвардии Мезенцева и начальника Симферопольского отделения Севастопольской авиашколы. Итоги проверки оказались неутешительными. Было отмечено, что обтяжка поверхностей строящихся «Фарманов» слаба, качество лакировки неудовлетворительное, а используемая древесина значительно тяжелее, чем необходимо. Кроме того, выяснилось, что самолеты не вполне отвечают стандарту, поскольку строились «Фарманы XVI» в Карасубазаре не по чертежам, а по образцу — поврежденному аппарату такого типа постройки завода Терещенко, чьи машины отличались многочисленными отклонениями от оригинала. Наконец, Адаменко обвинили в первоочередном исполнении заказов Черноморской гидроавиации в ущерб интересам УВВФ. Вероятно, выводы комиссии возымели «воспитательное воздействие», ибо 25 июля 1917 г. Адаменко наконец-то сдал заказчику первую пятерку «Фарманов XVI». 5 октября сдали еще 5 аппаратов, но судьба остальных пятнадцати повисла в воздухе. Несмотря на нараставший революционный бардак, некоторые государственные структуры, в том числе и УВВФ, продолжали работать как бы по инерции, и 23 ноября начальник этого ведомства разрешил Адаменко поставить оставшиеся «Фарманы XVI» до 20 апреля 1918 г. с удержанием причитающейся по контракту неустойки (12252).</w:t>
      </w:r>
    </w:p>
    <w:p w14:paraId="1D88AFDE" w14:textId="77777777" w:rsidR="000F43BC" w:rsidRPr="002F2FDF" w:rsidRDefault="000F43BC" w:rsidP="0083075A">
      <w:pPr>
        <w:pStyle w:val="1c"/>
        <w:spacing w:before="0" w:after="0"/>
        <w:jc w:val="both"/>
        <w:rPr>
          <w:color w:val="000000" w:themeColor="text1"/>
          <w:kern w:val="2"/>
          <w:sz w:val="16"/>
          <w:szCs w:val="16"/>
        </w:rPr>
      </w:pPr>
    </w:p>
    <w:p w14:paraId="1FCFA19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B7775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FDBEE7" w14:textId="77777777" w:rsidR="00CB1135" w:rsidRPr="00815ED5" w:rsidRDefault="00CB1135"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30 июня</w:t>
      </w:r>
      <w:r>
        <w:rPr>
          <w:rFonts w:ascii="Times New Roman" w:hAnsi="Times New Roman" w:cs="Times New Roman"/>
          <w:color w:val="0070C0"/>
          <w:sz w:val="16"/>
          <w:szCs w:val="16"/>
        </w:rPr>
        <w:t xml:space="preserve"> (13 июля)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815ED5">
        <w:rPr>
          <w:rFonts w:ascii="Times New Roman" w:hAnsi="Times New Roman" w:cs="Times New Roman"/>
          <w:color w:val="0070C0"/>
          <w:sz w:val="16"/>
          <w:szCs w:val="16"/>
        </w:rPr>
        <w:t>етчик 13 истребительного отряда шт.-капитан Николай Владимирович Косс</w:t>
      </w:r>
      <w:r>
        <w:rPr>
          <w:rFonts w:ascii="Times New Roman" w:hAnsi="Times New Roman" w:cs="Times New Roman"/>
          <w:color w:val="0070C0"/>
          <w:sz w:val="16"/>
          <w:szCs w:val="16"/>
        </w:rPr>
        <w:t>о</w:t>
      </w:r>
      <w:r w:rsidRPr="00815ED5">
        <w:rPr>
          <w:rFonts w:ascii="Times New Roman" w:hAnsi="Times New Roman" w:cs="Times New Roman"/>
          <w:color w:val="0070C0"/>
          <w:sz w:val="16"/>
          <w:szCs w:val="16"/>
        </w:rPr>
        <w:t>вский в одном полете провел</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два воздушных боя в районе озер Цедум и Дрисвяты и в обоих боях вынудил противника круто снизиться в свой тыл,</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причем второго преследовал до аэродрома, пока не расстрелял все патроны.</w:t>
      </w:r>
    </w:p>
    <w:p w14:paraId="35916D59" w14:textId="77777777" w:rsidR="00CB1135" w:rsidRDefault="00CB1135"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8,</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28,</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469,</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донесение к-ра 5 авиадивизиона/</w:t>
      </w:r>
      <w:r>
        <w:rPr>
          <w:rFonts w:ascii="Times New Roman" w:hAnsi="Times New Roman" w:cs="Times New Roman"/>
          <w:color w:val="0070C0"/>
          <w:sz w:val="16"/>
          <w:szCs w:val="16"/>
        </w:rPr>
        <w:t xml:space="preserve"> (23320).</w:t>
      </w:r>
    </w:p>
    <w:p w14:paraId="271CC979" w14:textId="77777777" w:rsidR="00CB1135" w:rsidRPr="00815ED5" w:rsidRDefault="00CB1135" w:rsidP="0083075A">
      <w:pPr>
        <w:spacing w:after="0" w:line="240" w:lineRule="auto"/>
        <w:jc w:val="both"/>
        <w:rPr>
          <w:rFonts w:ascii="Times New Roman" w:hAnsi="Times New Roman" w:cs="Times New Roman"/>
          <w:color w:val="0070C0"/>
          <w:sz w:val="16"/>
          <w:szCs w:val="16"/>
        </w:rPr>
      </w:pPr>
    </w:p>
    <w:p w14:paraId="76A20049" w14:textId="77777777" w:rsidR="00CB1135" w:rsidRPr="002F2FDF" w:rsidRDefault="00CB1135" w:rsidP="0083075A">
      <w:pPr>
        <w:pStyle w:val="83"/>
        <w:shd w:val="clear" w:color="auto" w:fill="auto"/>
        <w:spacing w:after="0" w:line="240" w:lineRule="auto"/>
        <w:ind w:firstLine="0"/>
        <w:jc w:val="both"/>
        <w:rPr>
          <w:rFonts w:ascii="Times New Roman" w:hAnsi="Times New Roman"/>
          <w:color w:val="000000" w:themeColor="text1"/>
          <w:kern w:val="2"/>
          <w:sz w:val="16"/>
          <w:szCs w:val="16"/>
        </w:rPr>
      </w:pPr>
      <w:r w:rsidRPr="002F2FDF">
        <w:rPr>
          <w:rFonts w:ascii="Times New Roman" w:hAnsi="Times New Roman"/>
          <w:color w:val="000000" w:themeColor="text1"/>
          <w:kern w:val="2"/>
          <w:sz w:val="16"/>
          <w:szCs w:val="16"/>
        </w:rPr>
        <w:t>30 июня (13 июля) 1917 г. с высоты 850 м был выполнен прыжок с парашютом Жюкмеса не с аэростата, а с само</w:t>
      </w:r>
      <w:r w:rsidRPr="002F2FDF">
        <w:rPr>
          <w:rFonts w:ascii="Times New Roman" w:hAnsi="Times New Roman"/>
          <w:color w:val="000000" w:themeColor="text1"/>
          <w:kern w:val="2"/>
          <w:sz w:val="16"/>
          <w:szCs w:val="16"/>
        </w:rPr>
        <w:softHyphen/>
        <w:t>лета, двухместного биплана «Вуазен», стоявшего тогда на вооружении русской армии. Было это на</w:t>
      </w:r>
      <w:r w:rsidRPr="002F2FDF">
        <w:rPr>
          <w:rStyle w:val="14pt"/>
          <w:rFonts w:ascii="Times New Roman" w:hAnsi="Times New Roman" w:cs="Times New Roman"/>
          <w:color w:val="000000" w:themeColor="text1"/>
          <w:kern w:val="2"/>
          <w:sz w:val="16"/>
          <w:szCs w:val="16"/>
        </w:rPr>
        <w:t xml:space="preserve"> аэродроме</w:t>
      </w:r>
      <w:r w:rsidRPr="002F2FDF">
        <w:rPr>
          <w:rFonts w:ascii="Times New Roman" w:hAnsi="Times New Roman"/>
          <w:color w:val="000000" w:themeColor="text1"/>
          <w:kern w:val="2"/>
          <w:sz w:val="16"/>
          <w:szCs w:val="16"/>
        </w:rPr>
        <w:t xml:space="preserve"> Воен</w:t>
      </w:r>
      <w:r w:rsidRPr="002F2FDF">
        <w:rPr>
          <w:rFonts w:ascii="Times New Roman" w:hAnsi="Times New Roman"/>
          <w:color w:val="000000" w:themeColor="text1"/>
          <w:kern w:val="2"/>
          <w:sz w:val="16"/>
          <w:szCs w:val="16"/>
        </w:rPr>
        <w:softHyphen/>
        <w:t>ной школы летчиков-наблюда</w:t>
      </w:r>
      <w:r w:rsidRPr="002F2FDF">
        <w:rPr>
          <w:rFonts w:ascii="Times New Roman" w:hAnsi="Times New Roman"/>
          <w:color w:val="000000" w:themeColor="text1"/>
          <w:kern w:val="2"/>
          <w:sz w:val="16"/>
          <w:szCs w:val="16"/>
        </w:rPr>
        <w:softHyphen/>
        <w:t>телей близ станции Пост-Во</w:t>
      </w:r>
      <w:r w:rsidRPr="002F2FDF">
        <w:rPr>
          <w:rFonts w:ascii="Times New Roman" w:hAnsi="Times New Roman"/>
          <w:color w:val="000000" w:themeColor="text1"/>
          <w:kern w:val="2"/>
          <w:sz w:val="16"/>
          <w:szCs w:val="16"/>
        </w:rPr>
        <w:softHyphen/>
        <w:t>лынский под Киевом.</w:t>
      </w:r>
    </w:p>
    <w:p w14:paraId="3FF1E110" w14:textId="77777777" w:rsidR="00CB1135" w:rsidRPr="002F2FDF" w:rsidRDefault="00CB1135" w:rsidP="0083075A">
      <w:pPr>
        <w:pStyle w:val="83"/>
        <w:shd w:val="clear" w:color="auto" w:fill="auto"/>
        <w:spacing w:after="0" w:line="240" w:lineRule="auto"/>
        <w:ind w:firstLine="0"/>
        <w:jc w:val="both"/>
        <w:rPr>
          <w:rFonts w:ascii="Times New Roman" w:hAnsi="Times New Roman"/>
          <w:color w:val="000000" w:themeColor="text1"/>
          <w:kern w:val="2"/>
          <w:sz w:val="16"/>
          <w:szCs w:val="16"/>
        </w:rPr>
      </w:pPr>
      <w:r w:rsidRPr="002F2FDF">
        <w:rPr>
          <w:rFonts w:ascii="Times New Roman" w:hAnsi="Times New Roman"/>
          <w:color w:val="000000" w:themeColor="text1"/>
          <w:kern w:val="2"/>
          <w:sz w:val="16"/>
          <w:szCs w:val="16"/>
        </w:rPr>
        <w:t>Прыгнул для выяснения при</w:t>
      </w:r>
      <w:r w:rsidRPr="002F2FDF">
        <w:rPr>
          <w:rFonts w:ascii="Times New Roman" w:hAnsi="Times New Roman"/>
          <w:color w:val="000000" w:themeColor="text1"/>
          <w:kern w:val="2"/>
          <w:sz w:val="16"/>
          <w:szCs w:val="16"/>
        </w:rPr>
        <w:softHyphen/>
        <w:t>годности парашюта Жюкмеса в авиации воздухоплаватель 5-го Сибирского корпусного отряда поручик Бронислав Фаддеевич Нарбут. Парашют в чехле был подвешен под ка</w:t>
      </w:r>
      <w:r w:rsidRPr="002F2FDF">
        <w:rPr>
          <w:rFonts w:ascii="Times New Roman" w:hAnsi="Times New Roman"/>
          <w:color w:val="000000" w:themeColor="text1"/>
          <w:kern w:val="2"/>
          <w:sz w:val="16"/>
          <w:szCs w:val="16"/>
        </w:rPr>
        <w:softHyphen/>
        <w:t>биной самолета. Так что смельчаку пришлось сначала выбраться на крыло и уже от</w:t>
      </w:r>
      <w:r w:rsidRPr="002F2FDF">
        <w:rPr>
          <w:rFonts w:ascii="Times New Roman" w:hAnsi="Times New Roman"/>
          <w:color w:val="000000" w:themeColor="text1"/>
          <w:kern w:val="2"/>
          <w:sz w:val="16"/>
          <w:szCs w:val="16"/>
        </w:rPr>
        <w:softHyphen/>
        <w:t>туда броситься вниз. Впрочем, все закончилось нормально. Прыжок Нарбута был первым парашютным прыжком с само</w:t>
      </w:r>
      <w:r w:rsidRPr="002F2FDF">
        <w:rPr>
          <w:rFonts w:ascii="Times New Roman" w:hAnsi="Times New Roman"/>
          <w:color w:val="000000" w:themeColor="text1"/>
          <w:kern w:val="2"/>
          <w:sz w:val="16"/>
          <w:szCs w:val="16"/>
        </w:rPr>
        <w:softHyphen/>
        <w:t>лета в России (12120).</w:t>
      </w:r>
    </w:p>
    <w:p w14:paraId="3D53F60F" w14:textId="77777777" w:rsidR="00CB1135" w:rsidRPr="002F2FDF" w:rsidRDefault="00CB1135" w:rsidP="0083075A">
      <w:pPr>
        <w:pStyle w:val="83"/>
        <w:shd w:val="clear" w:color="auto" w:fill="auto"/>
        <w:spacing w:after="0" w:line="240" w:lineRule="auto"/>
        <w:ind w:firstLine="0"/>
        <w:jc w:val="both"/>
        <w:rPr>
          <w:rFonts w:ascii="Times New Roman" w:hAnsi="Times New Roman"/>
          <w:color w:val="000000" w:themeColor="text1"/>
          <w:kern w:val="2"/>
          <w:sz w:val="16"/>
          <w:szCs w:val="16"/>
        </w:rPr>
      </w:pPr>
    </w:p>
    <w:p w14:paraId="30E380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июня (13 июля) 1917 Русское командование пыталось перегруппировать войска для возобновления выдохшегося наступления в Галиции. Солдатские митинги сорвали эти планы (2569,34).</w:t>
      </w:r>
    </w:p>
    <w:p w14:paraId="22B9F0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56DB51" w14:textId="703E9331" w:rsidR="00B51D7D" w:rsidRPr="002F2FDF" w:rsidRDefault="00B51D7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июня (13 июля) 1917 наступление Юго-Западного фронта, встретив серьезное сопротивление, прекратилось. Русское командование пыталось перегруппировать войска и снова перейти к активным действиям. Однако бесконечные митинги солдат и самовольное покидание ими позиций сорвали эти планы. В такой обстановке авиационные части сохранили боеспособность и гарантировали надежную дальнейшую работу. Основная роль в предстоящем наступлении отводилась VIII-й армии, авиацию которой усилили 1-й БАГ, 12-м КАО и 1-м артиллерийским АО, вскоре, впрочем, отправленным в тыл на переформирование (11237).</w:t>
      </w:r>
    </w:p>
    <w:p w14:paraId="0F287B2F" w14:textId="77777777" w:rsidR="00B51D7D" w:rsidRPr="002F2FDF" w:rsidRDefault="00B51D7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5F1CE8" w14:textId="77777777" w:rsidR="005E2948" w:rsidRPr="002F2FDF" w:rsidRDefault="005E2948" w:rsidP="0083075A">
      <w:pPr>
        <w:pStyle w:val="ae"/>
        <w:spacing w:before="0" w:after="0"/>
        <w:jc w:val="both"/>
        <w:rPr>
          <w:color w:val="000000" w:themeColor="text1"/>
          <w:kern w:val="2"/>
          <w:sz w:val="16"/>
          <w:szCs w:val="16"/>
        </w:rPr>
      </w:pPr>
      <w:r w:rsidRPr="002F2FDF">
        <w:rPr>
          <w:color w:val="000000" w:themeColor="text1"/>
          <w:kern w:val="2"/>
          <w:sz w:val="16"/>
          <w:szCs w:val="16"/>
        </w:rPr>
        <w:t>К 30 июня (13 июля) 1917 войска Корнилова заняли позиции в районе реки Ломница (правый приток Днестра). Меньше чем за две недели боев они захватили свыше 7 тысяч пленных и 48 орудий. Однако продвигаться дальше у 8-й армии сил уже не было — шедшие впереди ударные части, первые поднимавшиеся в атаки, понесли тяжелые потери, а остальные подразделения отказывались выполнять приказы офицеров. К 15 июля наступление 8-й армии окончательно остановилось. Тем не менее, это был несомненный успех, поскольку на остальных участках Юго-Западного фронта в ходе Июньского наступления русским войскам вообще практически не удалось продвинуться по тем же самым причинам — из-за отказа большинства подразделений подчиняться приказам офицеров.</w:t>
      </w:r>
    </w:p>
    <w:p w14:paraId="2EE4F355" w14:textId="77777777" w:rsidR="005E2948" w:rsidRPr="002F2FDF" w:rsidRDefault="005E2948" w:rsidP="0083075A">
      <w:pPr>
        <w:pStyle w:val="ae"/>
        <w:spacing w:before="0" w:after="0"/>
        <w:jc w:val="both"/>
        <w:rPr>
          <w:color w:val="000000" w:themeColor="text1"/>
          <w:kern w:val="2"/>
          <w:sz w:val="16"/>
          <w:szCs w:val="16"/>
        </w:rPr>
      </w:pPr>
      <w:r w:rsidRPr="002F2FDF">
        <w:rPr>
          <w:color w:val="000000" w:themeColor="text1"/>
          <w:kern w:val="2"/>
          <w:sz w:val="16"/>
          <w:szCs w:val="16"/>
        </w:rPr>
        <w:t>Потери всех наступавших армий Юго-Западного фронта к этому моменту были относительно невелики и составили 1222 офицера и 37 500 солдат убитыми и ранеными. Однако, как отмечает военный историк Николай Головин, в той ситуации это стало почти катастрофой: «Дело в том, что эти потери должны быть отнесены всецело на долю отборных частей и тех немногочисленных полков пехоты, которые устояли еще от заразы разложения. В этом случае приведенные выше цифры велики, ибо они означают почти полное уничтожение всех элементов долга и порядка, посредством которых командный состав мог еще кое-как поддерживать в армии хотя бы небольшой порядок».</w:t>
      </w:r>
    </w:p>
    <w:p w14:paraId="2057D1E2" w14:textId="77777777" w:rsidR="005E2948" w:rsidRPr="002F2FDF" w:rsidRDefault="005E2948" w:rsidP="0083075A">
      <w:pPr>
        <w:pStyle w:val="ae"/>
        <w:spacing w:before="0" w:after="0"/>
        <w:jc w:val="both"/>
        <w:rPr>
          <w:color w:val="000000" w:themeColor="text1"/>
          <w:kern w:val="2"/>
          <w:sz w:val="16"/>
          <w:szCs w:val="16"/>
        </w:rPr>
      </w:pPr>
      <w:r w:rsidRPr="002F2FDF">
        <w:rPr>
          <w:color w:val="000000" w:themeColor="text1"/>
          <w:kern w:val="2"/>
          <w:sz w:val="16"/>
          <w:szCs w:val="16"/>
        </w:rPr>
        <w:t>В отсутствии «здорового» элемента управление остальными войсками стало практически невозможным, так как большая часть солдат превратилась в почти неуправляемую вооруженную массу, отступавшую при малейшей опасности. Генерал Михаил Алексеев в письме председателю Временного комитета Государственной Думы так охарактеризовал использование ударных батальонов во время июньского наступления: «Считаю большой ошибкой генерала Брусилова и других начальников, что бесполезно погубили лучших людей и массу офицеров, пустив ударные батальоны вперёд; за ними никто не пошёл. Ударные батальоны должны были составить резерв и гнать перед собою малодушных, забывших совесть» (17045).</w:t>
      </w:r>
    </w:p>
    <w:p w14:paraId="641B81F2" w14:textId="77777777" w:rsidR="005E2948" w:rsidRPr="002F2FDF" w:rsidRDefault="005E294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7A0D35"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30 июня</w:t>
      </w:r>
      <w:r w:rsidRPr="002F2FDF">
        <w:rPr>
          <w:rFonts w:ascii="Times New Roman" w:hAnsi="Times New Roman" w:cs="Times New Roman"/>
          <w:color w:val="000000" w:themeColor="text1"/>
          <w:kern w:val="2"/>
          <w:sz w:val="16"/>
          <w:szCs w:val="16"/>
        </w:rPr>
        <w:t xml:space="preserve"> (13 июля) в 1917 году подорвался на германской мине и погиб эскадренный миноносец </w:t>
      </w:r>
      <w:hyperlink r:id="rId333" w:anchor="104340" w:tgtFrame="_blank" w:history="1">
        <w:r w:rsidRPr="002F2FDF">
          <w:rPr>
            <w:rFonts w:ascii="Times New Roman" w:hAnsi="Times New Roman" w:cs="Times New Roman"/>
            <w:color w:val="000000" w:themeColor="text1"/>
            <w:kern w:val="2"/>
            <w:sz w:val="16"/>
            <w:szCs w:val="16"/>
          </w:rPr>
          <w:t>«Лейтенант Зацаренный»</w:t>
        </w:r>
        <w:r w:rsidR="00372D9A" w:rsidRPr="002F2FDF">
          <w:rPr>
            <w:rFonts w:ascii="Times New Roman" w:hAnsi="Times New Roman" w:cs="Times New Roman"/>
            <w:color w:val="000000" w:themeColor="text1"/>
            <w:kern w:val="2"/>
            <w:sz w:val="16"/>
            <w:szCs w:val="16"/>
          </w:rPr>
          <w:t xml:space="preserve"> (14935)</w:t>
        </w:r>
        <w:r w:rsidRPr="002F2FDF">
          <w:rPr>
            <w:rFonts w:ascii="Times New Roman" w:hAnsi="Times New Roman" w:cs="Times New Roman"/>
            <w:color w:val="000000" w:themeColor="text1"/>
            <w:kern w:val="2"/>
            <w:sz w:val="16"/>
            <w:szCs w:val="16"/>
          </w:rPr>
          <w:t>.</w:t>
        </w:r>
      </w:hyperlink>
    </w:p>
    <w:p w14:paraId="125976AF"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p>
    <w:p w14:paraId="0D2AD58B" w14:textId="77777777" w:rsidR="0028644D"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3F4EF14A" w14:textId="77777777" w:rsidR="0028644D" w:rsidRPr="002F2FDF" w:rsidRDefault="0028644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8B7BC6" w14:textId="77777777"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30 июня (13 июля) 1917 </w:t>
      </w:r>
      <w:r w:rsidRPr="002F2FDF">
        <w:rPr>
          <w:rFonts w:ascii="Times New Roman" w:hAnsi="Times New Roman" w:cs="Times New Roman"/>
          <w:color w:val="000000" w:themeColor="text1"/>
          <w:kern w:val="2"/>
          <w:sz w:val="16"/>
          <w:szCs w:val="16"/>
        </w:rPr>
        <w:t>Телеграмма Б. А. Бахметьева М. И. Терещенко о предоставлении Соединенными Штатами Временному правительству кредита в 75 млн. дол.</w:t>
      </w:r>
    </w:p>
    <w:p w14:paraId="4C18373E" w14:textId="0323D613"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548</w:t>
      </w:r>
    </w:p>
    <w:p w14:paraId="580C16F8" w14:textId="57258055" w:rsidR="0028644D" w:rsidRPr="002F2FDF" w:rsidRDefault="0028644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Канцелярии, д. 61, л. 257. Копия.</w:t>
      </w:r>
    </w:p>
    <w:p w14:paraId="62DA12F1" w14:textId="77777777" w:rsidR="0028644D" w:rsidRPr="002F2FDF" w:rsidRDefault="0028644D" w:rsidP="0083075A">
      <w:pPr>
        <w:pStyle w:val="rtejustify"/>
        <w:spacing w:before="0" w:after="0"/>
        <w:rPr>
          <w:color w:val="000000" w:themeColor="text1"/>
          <w:kern w:val="2"/>
          <w:sz w:val="16"/>
          <w:szCs w:val="16"/>
        </w:rPr>
      </w:pPr>
      <w:r w:rsidRPr="002F2FDF">
        <w:rPr>
          <w:color w:val="000000" w:themeColor="text1"/>
          <w:kern w:val="2"/>
          <w:sz w:val="16"/>
          <w:szCs w:val="16"/>
        </w:rPr>
        <w:t>Ссыпаюсь на вашу телеграмму № 2931</w:t>
      </w:r>
      <w:hyperlink r:id="rId334" w:anchor="_ftn1" w:history="1">
        <w:r w:rsidRPr="002F2FDF">
          <w:rPr>
            <w:rStyle w:val="a5"/>
            <w:color w:val="000000" w:themeColor="text1"/>
            <w:kern w:val="2"/>
            <w:sz w:val="16"/>
            <w:szCs w:val="16"/>
          </w:rPr>
          <w:t>[1]</w:t>
        </w:r>
      </w:hyperlink>
    </w:p>
    <w:p w14:paraId="63158223" w14:textId="77777777" w:rsidR="0028644D" w:rsidRPr="002F2FDF" w:rsidRDefault="0028644D" w:rsidP="0083075A">
      <w:pPr>
        <w:pStyle w:val="rtejustify"/>
        <w:spacing w:before="0" w:after="0"/>
        <w:rPr>
          <w:color w:val="000000" w:themeColor="text1"/>
          <w:kern w:val="2"/>
          <w:sz w:val="16"/>
          <w:szCs w:val="16"/>
        </w:rPr>
      </w:pPr>
      <w:r w:rsidRPr="002F2FDF">
        <w:rPr>
          <w:color w:val="000000" w:themeColor="text1"/>
          <w:kern w:val="2"/>
          <w:sz w:val="16"/>
          <w:szCs w:val="16"/>
        </w:rPr>
        <w:t>Американское правительство открывает нам немедленно кредит в 75млн. Однако нам удалось добиться полной свободы в определении сроков и сумм постепенного расходования, а также мест платежа. Условие использования кредита и начисление процентов телеграфируются одновременно министру финансов. Что касается мотивировки и цели настоящего кредита то Рут, настойчиво телеграфировавший о необходимости его предоставит; указал, что он вызывается нуждой Балтийского флота и Варшавского района.</w:t>
      </w:r>
      <w:hyperlink r:id="rId335" w:anchor="_ftn2" w:history="1">
        <w:r w:rsidRPr="002F2FDF">
          <w:rPr>
            <w:rStyle w:val="a5"/>
            <w:color w:val="000000" w:themeColor="text1"/>
            <w:kern w:val="2"/>
            <w:sz w:val="16"/>
            <w:szCs w:val="16"/>
          </w:rPr>
          <w:t>[2]</w:t>
        </w:r>
      </w:hyperlink>
      <w:r w:rsidRPr="002F2FDF">
        <w:rPr>
          <w:color w:val="000000" w:themeColor="text1"/>
          <w:kern w:val="2"/>
          <w:sz w:val="16"/>
          <w:szCs w:val="16"/>
        </w:rPr>
        <w:t xml:space="preserve"> Со своей стороны, считая политически неудобным пока подробно разъяснять американскому правительству настоящие причины, ограничился заявлением, что потребность в кредите действительно связана с Балтийским флотом, прибавив, что платежи будут преимущественно производиться в Финляндии. Такое объяснение признано достаточным. Одна? должен высказать убеждение, что в данном вопросе мне необходимо знать, в какой мере Рут поставлен </w:t>
      </w:r>
      <w:r w:rsidRPr="002F2FDF">
        <w:rPr>
          <w:color w:val="000000" w:themeColor="text1"/>
          <w:kern w:val="2"/>
          <w:sz w:val="16"/>
          <w:szCs w:val="16"/>
        </w:rPr>
        <w:lastRenderedPageBreak/>
        <w:t>в известность о назначении денег. Всякое несоответствие объяснений, даваемых Руту в Петрограде и мною здесь могло бы создать впечатление о неискренности и недостатке прямоты, что отразилось бы невыгодным образом на будущих финансовых переговорах.</w:t>
      </w:r>
    </w:p>
    <w:p w14:paraId="4B2E69B5" w14:textId="77777777" w:rsidR="0028644D" w:rsidRPr="002F2FDF" w:rsidRDefault="0028644D" w:rsidP="0083075A">
      <w:pPr>
        <w:pStyle w:val="rtejustify"/>
        <w:spacing w:before="0" w:after="0"/>
        <w:rPr>
          <w:color w:val="000000" w:themeColor="text1"/>
          <w:kern w:val="2"/>
          <w:sz w:val="16"/>
          <w:szCs w:val="16"/>
        </w:rPr>
      </w:pPr>
      <w:r w:rsidRPr="002F2FDF">
        <w:rPr>
          <w:color w:val="000000" w:themeColor="text1"/>
          <w:kern w:val="2"/>
          <w:sz w:val="16"/>
          <w:szCs w:val="16"/>
        </w:rPr>
        <w:t>Вообще я придаю значение самому строгому проведению принципа, чтобы кредиты расходовались на те назначения, которые указывают американскому правительству при их испрашивании. Какое бы то не было отступление в этом отношении могло бы поколебать то личное доверие, которое удалось здесь установить и которое является непременным условием достигаемых финансовых успехов.</w:t>
      </w:r>
    </w:p>
    <w:p w14:paraId="4E9A1B4C" w14:textId="77777777" w:rsidR="0028644D" w:rsidRPr="002F2FDF" w:rsidRDefault="0028644D"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Бахметьев</w:t>
      </w:r>
    </w:p>
    <w:p w14:paraId="09160496" w14:textId="77777777" w:rsidR="0028644D" w:rsidRPr="002F2FDF" w:rsidRDefault="00000000" w:rsidP="0083075A">
      <w:pPr>
        <w:pStyle w:val="rtejustify"/>
        <w:spacing w:before="0" w:after="0"/>
        <w:rPr>
          <w:color w:val="000000" w:themeColor="text1"/>
          <w:kern w:val="2"/>
          <w:sz w:val="16"/>
          <w:szCs w:val="16"/>
        </w:rPr>
      </w:pPr>
      <w:hyperlink r:id="rId336" w:anchor="_ftnref1" w:history="1">
        <w:r w:rsidR="0028644D" w:rsidRPr="002F2FDF">
          <w:rPr>
            <w:rStyle w:val="a5"/>
            <w:color w:val="000000" w:themeColor="text1"/>
            <w:kern w:val="2"/>
            <w:sz w:val="16"/>
            <w:szCs w:val="16"/>
          </w:rPr>
          <w:t>[1]</w:t>
        </w:r>
      </w:hyperlink>
      <w:r w:rsidR="0028644D" w:rsidRPr="002F2FDF">
        <w:rPr>
          <w:color w:val="000000" w:themeColor="text1"/>
          <w:kern w:val="2"/>
          <w:sz w:val="16"/>
          <w:szCs w:val="16"/>
        </w:rPr>
        <w:t xml:space="preserve"> Телеграмма не обнаружена.</w:t>
      </w:r>
    </w:p>
    <w:p w14:paraId="2CBA9708" w14:textId="77777777" w:rsidR="0028644D" w:rsidRPr="002F2FDF" w:rsidRDefault="00000000" w:rsidP="0083075A">
      <w:pPr>
        <w:pStyle w:val="rtejustify"/>
        <w:spacing w:before="0" w:after="0"/>
        <w:rPr>
          <w:color w:val="000000" w:themeColor="text1"/>
          <w:kern w:val="2"/>
          <w:sz w:val="16"/>
          <w:szCs w:val="16"/>
        </w:rPr>
      </w:pPr>
      <w:hyperlink r:id="rId337" w:anchor="_ftnref2" w:history="1">
        <w:r w:rsidR="0028644D" w:rsidRPr="002F2FDF">
          <w:rPr>
            <w:rStyle w:val="a5"/>
            <w:color w:val="000000" w:themeColor="text1"/>
            <w:kern w:val="2"/>
            <w:sz w:val="16"/>
            <w:szCs w:val="16"/>
          </w:rPr>
          <w:t>[2]</w:t>
        </w:r>
      </w:hyperlink>
      <w:r w:rsidR="0028644D" w:rsidRPr="002F2FDF">
        <w:rPr>
          <w:color w:val="000000" w:themeColor="text1"/>
          <w:kern w:val="2"/>
          <w:sz w:val="16"/>
          <w:szCs w:val="16"/>
        </w:rPr>
        <w:t xml:space="preserve"> В телеграмме от 25 июня 1917 г. М. И. Терещенко сообщал Б. Бахметьеву, что «вопрос о валютном займе в Финляндии принял острый оборот ввиду, с одной стороны, отказа сейма, а с другой, вследствие необходимости немедленных платежей в Финляндии. Дальнейшая задержка в разрешении вопроса поставила бы наши войска в Финляндии в тяжелое положение и неминуемо вызвала бы серьезные осложнения» (АВГІР, ф. Посольства в Вашингтоне, д. 80, л. 42). Как выясняется из телеграммы М. И. Терещенко, Временному правительству в случае неполучения валюты для Финляндии пришлось бы ввести там принудительный курс рубля, что «повело бы к объявлению военного положения и могло бы вызвать в Финляндии восстание». Э. Рут поспешил выручить Временное правительство и обратился с этой целью в Вашингтон с ходатайством о предоставлении России кредита в 75 млн. долл. В сообщении Рута не упоминалось о Финляндии, а указывалось, что указанная сумма срочно нужна России для армии и флота и должна расходоваться вне территории Соединенных Штатов (15180).</w:t>
      </w:r>
    </w:p>
    <w:p w14:paraId="0D40CBA7" w14:textId="77777777" w:rsidR="0028644D" w:rsidRPr="002F2FDF" w:rsidRDefault="0028644D"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09D16C8F" w14:textId="77777777" w:rsidR="005E2948"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23E67D7" w14:textId="77777777" w:rsidR="005E2948" w:rsidRPr="002F2FDF" w:rsidRDefault="005E294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227E4A" w14:textId="77777777" w:rsidR="005E2948" w:rsidRPr="002F2FDF" w:rsidRDefault="005E2948" w:rsidP="0083075A">
      <w:pPr>
        <w:pStyle w:val="ae"/>
        <w:spacing w:before="0" w:after="0"/>
        <w:jc w:val="both"/>
        <w:rPr>
          <w:color w:val="000000" w:themeColor="text1"/>
          <w:kern w:val="2"/>
          <w:sz w:val="16"/>
          <w:szCs w:val="16"/>
        </w:rPr>
      </w:pPr>
      <w:r w:rsidRPr="002F2FDF">
        <w:rPr>
          <w:color w:val="000000" w:themeColor="text1"/>
          <w:kern w:val="2"/>
          <w:sz w:val="16"/>
          <w:szCs w:val="16"/>
        </w:rPr>
        <w:t>30 июня (13 июля) 1917 немцы ответили англичанам химической атакой, в ходе которой впервые применили новое смертельно опасное отравляющее вещество кожно-нарывного действия. Изначально оно имел кодовое обозначение «желтый крест», а позже стало известно в силу характерного запаха как «горчичный газ» и по названию города Ипр — как иприт. Иприт поражал легкие, носоглотку и глаза солдат, вызывал страшные язвы при попадании на кожу. Антидот от этого газа не создан по сей день.</w:t>
      </w:r>
    </w:p>
    <w:p w14:paraId="1953DF43" w14:textId="77777777" w:rsidR="005E2948" w:rsidRPr="002F2FDF" w:rsidRDefault="005E2948" w:rsidP="0083075A">
      <w:pPr>
        <w:pStyle w:val="ae"/>
        <w:spacing w:before="0" w:after="0"/>
        <w:jc w:val="both"/>
        <w:rPr>
          <w:color w:val="000000" w:themeColor="text1"/>
          <w:kern w:val="2"/>
          <w:sz w:val="16"/>
          <w:szCs w:val="16"/>
        </w:rPr>
      </w:pPr>
      <w:r w:rsidRPr="002F2FDF">
        <w:rPr>
          <w:color w:val="000000" w:themeColor="text1"/>
          <w:kern w:val="2"/>
          <w:sz w:val="16"/>
          <w:szCs w:val="16"/>
        </w:rPr>
        <w:t>В 1917 году иприт использовался немцами на протяжении двух месяцев, и потери от него армий союзников по Антанте превысили потери от применения других отравляющих газов в 8 раз. Лишь в результате первой атаки 13 июля, когда немцы обстреляли химическими минами небольшой участок вражеских траншей, британцы потеряли более 2100 солдат, из которых 66 погибли, а остальные были отправлены в госпитали со страшными ранами и мучительными болями (17045).</w:t>
      </w:r>
    </w:p>
    <w:p w14:paraId="41A8C2EA" w14:textId="77777777" w:rsidR="005E2948" w:rsidRPr="002F2FDF" w:rsidRDefault="005E294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4A5FFB" w14:textId="77777777" w:rsidR="00927133"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A50D2E8" w14:textId="77777777" w:rsidR="00927133" w:rsidRPr="002F2FDF" w:rsidRDefault="0092713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B80D5E" w14:textId="77777777" w:rsidR="00927133" w:rsidRPr="002F2FDF" w:rsidRDefault="00927133"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К концу июня 1917 Дукс отчитался о готовности первых 15 «Ньюпоров-XVII» по майскому контракту № 5583 с Авиационным отделом Главного управления кораблестроения. «Дукс», хотя по документам они поступили на аэродром только через месяц. Два первых самолета были сданы в полете 4 августа, сдача всей партии продолжалась до 23 сентября. Отправка по назначению (нарядам) и на склад проходила в период с 9 августа по 27 сентября (15464).</w:t>
      </w:r>
    </w:p>
    <w:p w14:paraId="74E575BC" w14:textId="77777777" w:rsidR="00927133" w:rsidRPr="002F2FDF" w:rsidRDefault="00927133" w:rsidP="0083075A">
      <w:pPr>
        <w:pStyle w:val="2"/>
        <w:spacing w:before="0" w:beforeAutospacing="0" w:after="0" w:afterAutospacing="0"/>
        <w:jc w:val="both"/>
        <w:rPr>
          <w:b w:val="0"/>
          <w:color w:val="000000" w:themeColor="text1"/>
          <w:kern w:val="2"/>
          <w:sz w:val="16"/>
          <w:szCs w:val="16"/>
        </w:rPr>
      </w:pPr>
    </w:p>
    <w:p w14:paraId="21E29C0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D8917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B3A7DA" w14:textId="77777777" w:rsidR="0056617B" w:rsidRPr="00FB4F67" w:rsidRDefault="0056617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конце июня 1917 г. к моменту летнего наступле</w:t>
      </w:r>
      <w:r w:rsidRPr="00FB4F67">
        <w:rPr>
          <w:rFonts w:ascii="Times New Roman" w:hAnsi="Times New Roman" w:cs="Times New Roman"/>
          <w:color w:val="0070C0"/>
          <w:sz w:val="16"/>
          <w:szCs w:val="16"/>
        </w:rPr>
        <w:softHyphen/>
        <w:t>ния 1917 г. тяжелая артиллерия особого назначения (ТАОН) располагала 632 орудиями и минометами, но лишь малая их часть поступила с русских заводов: 258 пу</w:t>
      </w:r>
      <w:r w:rsidRPr="00FB4F67">
        <w:rPr>
          <w:rFonts w:ascii="Times New Roman" w:hAnsi="Times New Roman" w:cs="Times New Roman"/>
          <w:color w:val="0070C0"/>
          <w:sz w:val="16"/>
          <w:szCs w:val="16"/>
        </w:rPr>
        <w:softHyphen/>
        <w:t>шек и 56 минометов предоставили союзники в 1917 г., а до того — они же еще почти столько же (Павлов А.Ю. Скованные одной целью. Стратегическое взаимодей</w:t>
      </w:r>
      <w:r w:rsidRPr="00FB4F67">
        <w:rPr>
          <w:rFonts w:ascii="Times New Roman" w:hAnsi="Times New Roman" w:cs="Times New Roman"/>
          <w:color w:val="0070C0"/>
          <w:sz w:val="16"/>
          <w:szCs w:val="16"/>
        </w:rPr>
        <w:softHyphen/>
        <w:t>ствие России и ее союзников в годы Первой мировой войны. СПб., 2008. С. 152; Белаш Е. Указ. соч. С. 236—238). Всего за 1915, 1916 и 1917 гг. тяжелых и осадных орудий разных калибров рус</w:t>
      </w:r>
      <w:r w:rsidRPr="00FB4F67">
        <w:rPr>
          <w:rFonts w:ascii="Times New Roman" w:hAnsi="Times New Roman" w:cs="Times New Roman"/>
          <w:color w:val="0070C0"/>
          <w:sz w:val="16"/>
          <w:szCs w:val="16"/>
        </w:rPr>
        <w:softHyphen/>
        <w:t>ская артиллерия получила 1448 стволов, в том числе 602 было изготовлено в России и 846 у союзников; если же взять только полученные до 1917 г. 685 орудий, то 283 и 402, соответственно. Формируемым для операций 1917 г. мортирным батальонам поступили 4,5-дм гаубицы из Ан</w:t>
      </w:r>
      <w:r w:rsidRPr="00FB4F67">
        <w:rPr>
          <w:rFonts w:ascii="Times New Roman" w:hAnsi="Times New Roman" w:cs="Times New Roman"/>
          <w:color w:val="0070C0"/>
          <w:sz w:val="16"/>
          <w:szCs w:val="16"/>
        </w:rPr>
        <w:softHyphen/>
        <w:t>глии. «Основной тип принятой у нас гаубицы — 48-линей- ный, но, — по свидетельству Маниковского, — ввиду обна</w:t>
      </w:r>
      <w:r w:rsidRPr="00FB4F67">
        <w:rPr>
          <w:rFonts w:ascii="Times New Roman" w:hAnsi="Times New Roman" w:cs="Times New Roman"/>
          <w:color w:val="0070C0"/>
          <w:sz w:val="16"/>
          <w:szCs w:val="16"/>
        </w:rPr>
        <w:softHyphen/>
        <w:t>ружившегося недостатка их и невозможности изготовления (как и 6-дм гаубиц. — В. П.) в достаточном количестве при</w:t>
      </w:r>
      <w:r w:rsidRPr="00FB4F67">
        <w:rPr>
          <w:rFonts w:ascii="Times New Roman" w:hAnsi="Times New Roman" w:cs="Times New Roman"/>
          <w:color w:val="0070C0"/>
          <w:sz w:val="16"/>
          <w:szCs w:val="16"/>
        </w:rPr>
        <w:softHyphen/>
        <w:t>шлось пойти на подкрепление нас 45-лин. английской гау</w:t>
      </w:r>
      <w:r w:rsidRPr="00FB4F67">
        <w:rPr>
          <w:rFonts w:ascii="Times New Roman" w:hAnsi="Times New Roman" w:cs="Times New Roman"/>
          <w:color w:val="0070C0"/>
          <w:sz w:val="16"/>
          <w:szCs w:val="16"/>
        </w:rPr>
        <w:softHyphen/>
        <w:t>бицей» (23452).</w:t>
      </w:r>
    </w:p>
    <w:p w14:paraId="113B1BE2" w14:textId="77777777" w:rsidR="0056617B" w:rsidRPr="00FB4F67" w:rsidRDefault="0056617B" w:rsidP="0083075A">
      <w:pPr>
        <w:spacing w:after="0" w:line="240" w:lineRule="auto"/>
        <w:jc w:val="both"/>
        <w:rPr>
          <w:rFonts w:ascii="Times New Roman" w:hAnsi="Times New Roman" w:cs="Times New Roman"/>
          <w:color w:val="0070C0"/>
          <w:sz w:val="16"/>
          <w:szCs w:val="16"/>
        </w:rPr>
      </w:pPr>
    </w:p>
    <w:p w14:paraId="5F55A5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июня 1917 при Управлении главного полевого санитарного инспектора был образован Главный врачебно-санитарный совет фронтов. Однако, опять же по свидетельству Н.Н. Бурденко, и эта мера не смогла достичь целей консолидации усилий различных руководящих органов, причастных к медицинскому обеспечению войск (9090).</w:t>
      </w:r>
    </w:p>
    <w:p w14:paraId="73BE73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670FA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8CF5E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FACAF8" w14:textId="5AC92C9A" w:rsidR="00220D1F" w:rsidRPr="002F2FDF" w:rsidRDefault="00220D1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конце июня 1917 г. фирме «Сопвич» был выдан первый серийный заказ сразу на 500 истребителей 5F.1 Dolphin, а вскоре заказ на 200 самолетов с выпуском их по лицензии и РКД разработчика получили фирмы «Хупер» и «Даррак». Все занятые в выпуске самолета находились в районе Большого Лондона, что было удобно для их снабжения и приемки продукции.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Но выпуск требовалось вести по измененным чертежам – с новой силовой установкой с боковыми радиаторами.</w:t>
      </w:r>
    </w:p>
    <w:p w14:paraId="59495D04" w14:textId="77777777" w:rsidR="00220D1F" w:rsidRPr="002F2FDF" w:rsidRDefault="00220D1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двух заводах фирмы «Сопвич» с конца 1917 и по конец 1918 г. было построено 1400 самолетов «Долфин» – больше, чем любого другого типа (для сравнения, самолетов Тип 9400 «Полуторастоечный» именно на фирме «Сопвич» было сделано вероятно менее 500, а остальные были продукцией др. предприятий, «Пап» – 116, «Кэмел» – 554). При этом они оказались невостребованы, и хотя были оплачены, это нанесло тяжелый удар по репутации фирмы (23128).</w:t>
      </w:r>
    </w:p>
    <w:p w14:paraId="6E8242E2" w14:textId="77777777" w:rsidR="00220D1F" w:rsidRPr="002F2FDF" w:rsidRDefault="00220D1F" w:rsidP="0083075A">
      <w:pPr>
        <w:spacing w:after="0" w:line="240" w:lineRule="auto"/>
        <w:jc w:val="both"/>
        <w:rPr>
          <w:rFonts w:ascii="Times New Roman" w:hAnsi="Times New Roman" w:cs="Times New Roman"/>
          <w:color w:val="000000" w:themeColor="text1"/>
          <w:sz w:val="16"/>
          <w:szCs w:val="16"/>
        </w:rPr>
      </w:pPr>
    </w:p>
    <w:p w14:paraId="56579B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июня 1917 германское главное командование дало Военному министерству более детальные указания. Они получили затем известность под названием “? программы”. Оставив без внимания менее важные нужды, решено было прежде всего удвоить имеющееся количество истребительных эскадрилий; это означало формирование сорока новых истребительных эскадрилий в течение немногих месяцев. Наряду с этим авиаотряды (А) должны были усилиться 18-ю новыми соединениями. Эти новые формирования возможно было осуществить, лишь опираясь на широкую базу в стране. В этих целях командующий воздушными силами поручил: сформировать 14-й запасный авиаотряд в Галле и открыть при нем авиашколу; расширить 13 существующих школ; учредить вторую школу летчиков-истребителей; расширить обе восточные школы артиллерийских летчиков. 24 000 новобранцев, необходимых для выполнения этих задач, должны были быть переданы воздушному флоту в кратчайшее время; было установлено два срока: 1 октября 1917 года и 1 января 1918 года. Дальнейшим серьезным затруднением было увеличение выпуска самолетов до 2000 и авиамоторов до 2500 штук в месяц. Для выполнения этих заказов авиационным заводам требовалось 2000, а моторным заводам — 5000 квалифицированных рабочих. В ведомостях срочности поставок железа и стали самолеты, авиамоторы и оборудование самолетов стояли вслед за подводными лодками. Основные работы по расширению авиапромышленности были перенесены в 1-й класс группы “„” ведомости срочности. Заводы необходимо было полностью обеспечить углем, коксом, газом, электрической энергией и газами для сварки; их потребность в станках и алюминии должна была удовлетворяться в первую очередь (11282).</w:t>
      </w:r>
    </w:p>
    <w:p w14:paraId="79FAE6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567EC5" w14:textId="77777777" w:rsidR="00D90A50" w:rsidRPr="002F2FDF" w:rsidRDefault="00D90A50"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В конце июня 1917 верховное командование приняло предложенную командующим ВВС генералом Эрнстом фон Хёпнером (Ernst Wilhelm Arnold Hoeppner) «Американскую программу» — план развития ВВС, парирующий возможный эффект от вступления США в войну и предусматривающий резкое увеличение выпуска самолётов и числа авиачастей, в первую очередь истребительных. Напрямую воздухоплавание эта программа не затрагивала, но у Германии уже не оставалось ресурсов на выполнение всех намеченных планов — необходимо было чем-то жертвовать. Самолёты поставили вторым номером очерёдности после подводных лодок, а значит «ужиматься» пришлось всем остальным (19156).</w:t>
      </w:r>
    </w:p>
    <w:p w14:paraId="764A0D47" w14:textId="77777777" w:rsidR="00D90A50" w:rsidRPr="002F2FDF" w:rsidRDefault="00D90A50" w:rsidP="0083075A">
      <w:pPr>
        <w:pStyle w:val="ae"/>
        <w:shd w:val="clear" w:color="auto" w:fill="FFFFFF"/>
        <w:spacing w:before="0" w:after="0"/>
        <w:jc w:val="both"/>
        <w:textAlignment w:val="baseline"/>
        <w:rPr>
          <w:color w:val="000000" w:themeColor="text1"/>
          <w:sz w:val="16"/>
          <w:szCs w:val="16"/>
        </w:rPr>
      </w:pPr>
    </w:p>
    <w:p w14:paraId="11EC421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FB082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945558" w14:textId="77777777" w:rsidR="00D50B49" w:rsidRPr="002F2FDF" w:rsidRDefault="00D50B4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6 (19) ноября 1916 по июнь 1917 БФ принял не менее 36 М-16 Д.П.Г., изготовленных на ПРТВ (2807,72).</w:t>
      </w:r>
    </w:p>
    <w:p w14:paraId="529ACBC9" w14:textId="77777777" w:rsidR="00D50B49" w:rsidRPr="002F2FDF" w:rsidRDefault="00D50B4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D8D5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 1917 г. рабочий комитет завода Анатра вновь запрашивал УВВФ, “почему не приезжает комиссия для испытания двухмоторного самолета”. Изобретатель попытался поставить свой двухмоторный самолет на поплавки и превратить его в гидросамолет, но при одной из грубых посадок на воду самолет разбился, механик погиб. Впоследствии его восстановили. Во время одного из учебных полетов машина была разбита, после чего не осталось больше ни одного экземпляра самолета такого типа. Этот сухопутный самолет представлял большой интерес. Машины такого типа стали строить только много лет спустя (9776).</w:t>
      </w:r>
    </w:p>
    <w:p w14:paraId="568B00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025405" w14:textId="77777777" w:rsidR="004E5432" w:rsidRPr="00FB4F67" w:rsidRDefault="004E543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В июне 1917 г. на 4-м артиллерийском АО шесть вновь поставленных Anatra D разбились при посадке или взлете из-за плохой остойчивости. Этот тип также страдал от плохого охлаждения двигателя. Около двадцати четырех самолетов Anatra D (Anakler или Anakle, что указывает на двигатели Clerget) были построены с двигателями Clerget мощностью 110 и 130 л.с. (23525)</w:t>
      </w:r>
    </w:p>
    <w:p w14:paraId="7F5DF21E" w14:textId="77777777" w:rsidR="004E5432" w:rsidRPr="00FB4F67" w:rsidRDefault="004E5432" w:rsidP="0083075A">
      <w:pPr>
        <w:spacing w:after="0" w:line="240" w:lineRule="auto"/>
        <w:jc w:val="both"/>
        <w:rPr>
          <w:rFonts w:ascii="Times New Roman" w:hAnsi="Times New Roman" w:cs="Times New Roman"/>
          <w:color w:val="0070C0"/>
          <w:sz w:val="16"/>
          <w:szCs w:val="16"/>
        </w:rPr>
      </w:pPr>
    </w:p>
    <w:p w14:paraId="521E72D7" w14:textId="77777777" w:rsidR="004E5432" w:rsidRPr="00FB4F67" w:rsidRDefault="004E543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июне 1917 г. на заводе Анатра работало 1380 рабочих. В Анатре работали французский инженер А. Декан (EA Des Campes) (отсюда и обозначение самолета D) и В.Н. Хиони, который разделял обязанности заводского пилота (24525).</w:t>
      </w:r>
    </w:p>
    <w:p w14:paraId="75288B60" w14:textId="77777777" w:rsidR="004E5432" w:rsidRPr="00FB4F67" w:rsidRDefault="004E543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течение июня 1917 г. австро-венгры имели аэростатные роты № 6, 24, 20, 23, 17, 2, 19, 3, 10, 21 и 15 (с севера на юг), служившие на Русском фронте, а на Румынском фронте — № .22 и 16 служили в немецкой Зидарми, а № 18, 5, 14 и 7 служили в австро-венгерских войсках на этом театре военных действий (23525).</w:t>
      </w:r>
    </w:p>
    <w:p w14:paraId="2F77E9F2" w14:textId="77777777" w:rsidR="004E5432" w:rsidRPr="00FB4F67" w:rsidRDefault="004E5432" w:rsidP="0083075A">
      <w:pPr>
        <w:spacing w:after="0" w:line="240" w:lineRule="auto"/>
        <w:jc w:val="both"/>
        <w:rPr>
          <w:rFonts w:ascii="Times New Roman" w:hAnsi="Times New Roman" w:cs="Times New Roman"/>
          <w:color w:val="0070C0"/>
          <w:sz w:val="16"/>
          <w:szCs w:val="16"/>
        </w:rPr>
      </w:pPr>
    </w:p>
    <w:p w14:paraId="2D8EE7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июне 1917 г. после того, как многочисленные происшествия с аэропланами "Лебедь"-ХII повлекли за собой временное прекращение снабжения авиаотрядов самолетами этого типа, была создана особая комиссия под председательством профессора Георгия Ботезата, в которую вошли фронтовые летчики - прапорщик Базилевич-Княжковский из 29-го корпусного авиаотряда и поручик Левченко из 13-го. После испытательных полетов комиссия сделала неутешительные выводы: "Лебедь"-ХII улучшить невозможно, отправка этих машин на фронт нежелательна, можно использовать их только в качестве тренировочных. Учебный вариант обладает худшими данными, чем военный, опасен и непригоден для полетов даже в авиашколах. </w:t>
      </w:r>
    </w:p>
    <w:p w14:paraId="5E453A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Заводские летчики А.Гончаров и В.Михайлов, инженеры Л.Шкульник и Л.Колпаков в специальном акте от 6 июля 1917 г. выразили свое несогласие с выводами комиссии. Каждый из пилотов имел общий налет в 250 чacов на самолете "Лебедь"-ХII, оба провели испытания 160 самолетов этого типа и считали его хорошим разведчиком с небольшими, легко устрaнимыми недостатками... В общем, все представители фирмы с Лебедевым во главе сочли выводы особой комиссии субъективными. </w:t>
      </w:r>
    </w:p>
    <w:p w14:paraId="20DA4B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Для разрешенения спорных вопросов была создана еще одна комиссия из пилотов фронтовых авиачастей, инструкторов Гатчинской авиашколы, представителей Управления Военно-Воздушного флота и завода Лебедева. Актом от 2 октября 1917 г. она подтвердила непригодность самолета "Лебедь"-ХII как устаревшего типа с малой грузоподъемностью и недостаточной скоростью, обладающего рядом конструктивных недостатаков в топливной и охладительной системах двигателя. Вывод комиссии был однозначен: </w:t>
      </w:r>
      <w:r w:rsidRPr="002F2FDF">
        <w:rPr>
          <w:rFonts w:ascii="Times New Roman" w:hAnsi="Times New Roman" w:cs="Times New Roman"/>
          <w:iCs/>
          <w:color w:val="000000" w:themeColor="text1"/>
          <w:kern w:val="2"/>
          <w:sz w:val="16"/>
          <w:szCs w:val="16"/>
        </w:rPr>
        <w:t>"дальнейшая постройка нежелательна"</w:t>
      </w:r>
      <w:r w:rsidRPr="002F2FDF">
        <w:rPr>
          <w:rFonts w:ascii="Times New Roman" w:hAnsi="Times New Roman" w:cs="Times New Roman"/>
          <w:color w:val="000000" w:themeColor="text1"/>
          <w:kern w:val="2"/>
          <w:sz w:val="16"/>
          <w:szCs w:val="16"/>
        </w:rPr>
        <w:t xml:space="preserve">. </w:t>
      </w:r>
    </w:p>
    <w:p w14:paraId="719427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результате серийное производство было значительно сокращено. И все же, несмотря на серьезные недостатки, особенно заметные и недопустимые в 1917 г., "Лебедь"-ХII оставался в действующей армии до окончания войны. Учебный вариант использовался в школе авиации Императорского Всероссийского Аэро-Клуба (зав. №№ 442, 449, 450), Гатчинской военной авиашколе (399, 439, 456, 466), школе Московского общества воздухоплавания (446, 452, 454), Одесской авиашколе (448 и 455), Киевской школе летчиков-наблюдателей (447 и 458) и Кавказской авиашколе (451, 453 и 480). Более полусотни самолетов "Лебедь"-ХII во второй половине 1917 г. поступило в Школу воздушного боя в Красном Селе (заказ Морского ведомства), часть из них была имела двойное управление. </w:t>
      </w:r>
    </w:p>
    <w:p w14:paraId="5BAABC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Несколько иные выводы сделала испытательная комиссия, созданная предписанием начальника Управления ВВФ для сравнительных испытаний самолетов "Лебедь"-XII, "Анасаль" и "Фарман"-30. Полеты проходили с 31 октября по 20 ноября 1917 г. на Главном аэродроме. Комиисия признала прочность и тщательность конструкции разведчика 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 </w:t>
      </w:r>
    </w:p>
    <w:p w14:paraId="4017A6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гидроавиаотряда,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 </w:t>
      </w:r>
    </w:p>
    <w:p w14:paraId="666148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3D2776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E793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 1917 Я.И.Нагурский испытал Лебедь-12 и сделал вывод, что “аппарат для боевой работы не пригоден вследствие малой нагрузки и плохой аэродинамики (4572, 32).</w:t>
      </w:r>
    </w:p>
    <w:p w14:paraId="27FF6A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A581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 1917 года аэроплан Лебедь 11 Монокок поступил в Гатчинскую авиашколу. Согласно технической описи, по которой аппарат был принят на баланс школы, "Монокок №11" имел мотор "Гном-Моносупап" 100 л.с. (зав. № 5556) и пропеллер типа "Интеграл" № 8470. Машина комплектовалась запасными крыльями и лыжами для полетов зимой (11183).</w:t>
      </w:r>
    </w:p>
    <w:p w14:paraId="44742B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C4A8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 1917 г. был заключен котракт на поставку 175 "Альбатросов" с августа 1917 по июнь 1918 г. Образец ("Фридрихсхафен") разобрали и доставили сначала на Комендантский аэродром в Петроград, а затем в Таганрог. Там построили два опытных образца, но этим и ограничились, так как нужные двигатели отсутствовали. К тому же стало ясно, что этот устаревший самолет требует усовершенствования конструкции и непригоден для боевого применения (11183).</w:t>
      </w:r>
    </w:p>
    <w:p w14:paraId="0E8280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84300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период с 6 ноября 1916 г. и по июнь 1917 г. Балтийский флот принял не менее 36 М-16, причем один из них тяжело пострадал от пожара на ПРТВ, случившегося в ночь с 6 на 7 января 1917 г., а другой вовсе сгорел (заводские номера аппаратов, соответственно, 1205 и 1206). Черноморская авиация не испытывала нужды в данной модели по причине более благоприятных климатических условий театра (2807).</w:t>
      </w:r>
    </w:p>
    <w:p w14:paraId="4D33631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6E694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период с 6 ноября 1916 г. и по июнь 1917 г. Балтийский флот принял не менее 36 М-16, причем один из них тяжело пострадал от пожара на ПРТВ, случившегося в ночь с 6 на 7 января 1917 г., а другой вовсе сгорел (заводские номера аппаратов, соответственно, 1205 и 1206). Черноморская авиация не испытывала нужды в данной модели по причине более благоприятных климатических условий театра (2807).</w:t>
      </w:r>
    </w:p>
    <w:p w14:paraId="71CA0B3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контрактах на аппараты М-16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tblGrid>
      <w:tr w:rsidR="002B1C74" w:rsidRPr="002F2FDF" w14:paraId="371660AB" w14:textId="77777777">
        <w:tc>
          <w:tcPr>
            <w:tcW w:w="1915" w:type="dxa"/>
            <w:tcBorders>
              <w:top w:val="single" w:sz="12" w:space="0" w:color="auto"/>
            </w:tcBorders>
            <w:shd w:val="clear" w:color="auto" w:fill="FFFFFF"/>
          </w:tcPr>
          <w:p w14:paraId="6F1DBD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Дата контракта</w:t>
            </w:r>
          </w:p>
        </w:tc>
        <w:tc>
          <w:tcPr>
            <w:tcW w:w="1915" w:type="dxa"/>
            <w:tcBorders>
              <w:top w:val="single" w:sz="12" w:space="0" w:color="auto"/>
            </w:tcBorders>
            <w:shd w:val="clear" w:color="auto" w:fill="FFFFFF"/>
          </w:tcPr>
          <w:p w14:paraId="630E47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заказанных аэропланов</w:t>
            </w:r>
          </w:p>
        </w:tc>
        <w:tc>
          <w:tcPr>
            <w:tcW w:w="1915" w:type="dxa"/>
            <w:tcBorders>
              <w:top w:val="single" w:sz="12" w:space="0" w:color="auto"/>
            </w:tcBorders>
            <w:shd w:val="clear" w:color="auto" w:fill="FFFFFF"/>
          </w:tcPr>
          <w:p w14:paraId="35DD13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Заводские номера сданных аэропланов</w:t>
            </w:r>
          </w:p>
        </w:tc>
        <w:tc>
          <w:tcPr>
            <w:tcW w:w="1915" w:type="dxa"/>
            <w:tcBorders>
              <w:top w:val="single" w:sz="12" w:space="0" w:color="auto"/>
            </w:tcBorders>
            <w:shd w:val="clear" w:color="auto" w:fill="FFFFFF"/>
          </w:tcPr>
          <w:p w14:paraId="7D4765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Условия</w:t>
            </w:r>
          </w:p>
        </w:tc>
      </w:tr>
      <w:tr w:rsidR="002B1C74" w:rsidRPr="002F2FDF" w14:paraId="125271BF" w14:textId="77777777">
        <w:tc>
          <w:tcPr>
            <w:tcW w:w="1915" w:type="dxa"/>
            <w:shd w:val="clear" w:color="auto" w:fill="FFFFFF"/>
          </w:tcPr>
          <w:p w14:paraId="708760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 24 1916</w:t>
            </w:r>
          </w:p>
        </w:tc>
        <w:tc>
          <w:tcPr>
            <w:tcW w:w="1915" w:type="dxa"/>
            <w:shd w:val="clear" w:color="auto" w:fill="FFFFFF"/>
          </w:tcPr>
          <w:p w14:paraId="1495B8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40+ 10</w:t>
            </w:r>
          </w:p>
        </w:tc>
        <w:tc>
          <w:tcPr>
            <w:tcW w:w="1915" w:type="dxa"/>
            <w:shd w:val="clear" w:color="auto" w:fill="FFFFFF"/>
          </w:tcPr>
          <w:p w14:paraId="4ED007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1201-1232, 1242-1245</w:t>
            </w:r>
          </w:p>
        </w:tc>
        <w:tc>
          <w:tcPr>
            <w:tcW w:w="1915" w:type="dxa"/>
            <w:shd w:val="clear" w:color="auto" w:fill="FFFFFF"/>
          </w:tcPr>
          <w:p w14:paraId="1DB05F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тыс. руб. за боевой аппарат под мотор “Сальмсон” 150 л. с. и 17 тыс. 700 руб. за запасной аппарат, 3 тыс. 150 руб. за комплект запасных поплавков, срок исполнения с 10 декабря 1916 г. по 1 февраля 1917 г. (частично выполнен к марту-июню 1917 г.)</w:t>
            </w:r>
          </w:p>
        </w:tc>
      </w:tr>
      <w:tr w:rsidR="002B1C74" w:rsidRPr="002F2FDF" w14:paraId="233D9E79" w14:textId="77777777">
        <w:tc>
          <w:tcPr>
            <w:tcW w:w="1915" w:type="dxa"/>
            <w:shd w:val="clear" w:color="auto" w:fill="FFFFFF"/>
          </w:tcPr>
          <w:p w14:paraId="7FE26B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15" w:type="dxa"/>
            <w:shd w:val="clear" w:color="auto" w:fill="FFFFFF"/>
          </w:tcPr>
          <w:p w14:paraId="2C3C3F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15" w:type="dxa"/>
            <w:shd w:val="clear" w:color="auto" w:fill="FFFFFF"/>
          </w:tcPr>
          <w:p w14:paraId="1E5043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15" w:type="dxa"/>
            <w:shd w:val="clear" w:color="auto" w:fill="FFFFFF"/>
          </w:tcPr>
          <w:p w14:paraId="084391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ПРИМЕЧАНИЯ: 40 боевых и 10 запасных аппаратов, плюс комплекты запасных поплавков</w:t>
            </w:r>
          </w:p>
        </w:tc>
      </w:tr>
      <w:tr w:rsidR="002B1C74" w:rsidRPr="002F2FDF" w14:paraId="7B3E3D3E" w14:textId="77777777">
        <w:tc>
          <w:tcPr>
            <w:tcW w:w="1915" w:type="dxa"/>
            <w:tcBorders>
              <w:bottom w:val="single" w:sz="12" w:space="0" w:color="auto"/>
            </w:tcBorders>
            <w:shd w:val="clear" w:color="auto" w:fill="FFFFFF"/>
          </w:tcPr>
          <w:p w14:paraId="0DF54D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 30 1917</w:t>
            </w:r>
          </w:p>
        </w:tc>
        <w:tc>
          <w:tcPr>
            <w:tcW w:w="1915" w:type="dxa"/>
            <w:tcBorders>
              <w:bottom w:val="single" w:sz="12" w:space="0" w:color="auto"/>
            </w:tcBorders>
            <w:shd w:val="clear" w:color="auto" w:fill="FFFFFF"/>
          </w:tcPr>
          <w:p w14:paraId="16AAA3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1915" w:type="dxa"/>
            <w:tcBorders>
              <w:bottom w:val="single" w:sz="12" w:space="0" w:color="auto"/>
            </w:tcBorders>
            <w:shd w:val="clear" w:color="auto" w:fill="FFFFFF"/>
          </w:tcPr>
          <w:p w14:paraId="2B5BD9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1080</w:t>
            </w:r>
          </w:p>
        </w:tc>
        <w:tc>
          <w:tcPr>
            <w:tcW w:w="1915" w:type="dxa"/>
            <w:tcBorders>
              <w:bottom w:val="single" w:sz="12" w:space="0" w:color="auto"/>
            </w:tcBorders>
            <w:shd w:val="clear" w:color="auto" w:fill="FFFFFF"/>
          </w:tcPr>
          <w:p w14:paraId="7DBA9D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контракт на покупку прототипа Тыловой базой и штабом 1-й </w:t>
            </w:r>
            <w:r w:rsidRPr="002F2FDF">
              <w:rPr>
                <w:rFonts w:ascii="Times New Roman" w:hAnsi="Times New Roman" w:cs="Times New Roman"/>
                <w:color w:val="000000" w:themeColor="text1"/>
                <w:kern w:val="2"/>
                <w:sz w:val="16"/>
                <w:szCs w:val="16"/>
              </w:rPr>
              <w:lastRenderedPageBreak/>
              <w:t>Воздушной бригады был Ревель (2807).</w:t>
            </w:r>
          </w:p>
        </w:tc>
      </w:tr>
    </w:tbl>
    <w:p w14:paraId="1DC07B3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43EB62" w14:textId="77777777" w:rsidR="00927133" w:rsidRPr="002F2FDF" w:rsidRDefault="00927133"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 1917 Р. Ф. Мельцеру удалось уговорить рабочих возобновить производ</w:t>
      </w:r>
      <w:r w:rsidRPr="002F2FDF">
        <w:rPr>
          <w:rFonts w:ascii="Times New Roman" w:hAnsi="Times New Roman" w:cs="Times New Roman"/>
          <w:color w:val="000000" w:themeColor="text1"/>
          <w:kern w:val="2"/>
          <w:sz w:val="16"/>
          <w:szCs w:val="16"/>
        </w:rPr>
        <w:softHyphen/>
        <w:t>ство винтов и ценой неимоверных усилий поддерживать его до декабря на уровне 380 винтов в месяц. Планировавшееся производство 35 летающих ло</w:t>
      </w:r>
      <w:r w:rsidRPr="002F2FDF">
        <w:rPr>
          <w:rFonts w:ascii="Times New Roman" w:hAnsi="Times New Roman" w:cs="Times New Roman"/>
          <w:color w:val="000000" w:themeColor="text1"/>
          <w:kern w:val="2"/>
          <w:sz w:val="16"/>
          <w:szCs w:val="16"/>
        </w:rPr>
        <w:softHyphen/>
        <w:t>док в месяц так наладить и не удалось. Строительство бердянского филиала было заброшено (15740).</w:t>
      </w:r>
    </w:p>
    <w:p w14:paraId="54A9F8D9" w14:textId="77777777" w:rsidR="00927133" w:rsidRPr="002F2FDF" w:rsidRDefault="00927133"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2C61682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 1917 г. на основе проводимых в АИС исследований Г. Г. Ростовцевым была подготовлена к печати работа “Вопросы прочности” (11425).</w:t>
      </w:r>
    </w:p>
    <w:p w14:paraId="2FE60CD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8872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 1917 г. Технический комитет УВВФ в составе профессоров Ботезата, Фан дёр Флита, генерал-лейтенанта Кованько и других крупных специалистов одобрил производство и условия приемки таких лыж завода Аэротехнический. После этого решения завод получил крупный заказ на производство самолетных лыж. Лыжи, выпускавшиеся Аэротехническим заводом, были заимствованы и заграничными самолетостроительными фирмами (9755).</w:t>
      </w:r>
    </w:p>
    <w:p w14:paraId="38AD8C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319ABC" w14:textId="77777777" w:rsidR="00E519A0" w:rsidRPr="002F2FDF" w:rsidRDefault="00E519A0" w:rsidP="0083075A">
      <w:pPr>
        <w:pStyle w:val="ae"/>
        <w:spacing w:before="0" w:after="0"/>
        <w:jc w:val="both"/>
        <w:rPr>
          <w:color w:val="000000" w:themeColor="text1"/>
          <w:sz w:val="16"/>
          <w:szCs w:val="16"/>
        </w:rPr>
      </w:pPr>
      <w:r w:rsidRPr="002F2FDF">
        <w:rPr>
          <w:color w:val="000000" w:themeColor="text1"/>
          <w:sz w:val="16"/>
          <w:szCs w:val="16"/>
        </w:rPr>
        <w:t>В июне 1917 г. в подготовительной комиссии по авиационным вопросам рассматривался план заготовок авиационно-воздухоплавательного имущества с 1 января 1917 г. по 1 октября 1918 г., представленный управлением военно-воздушного флота. Этот план свидетельствовал о возросшей потребности действующей армии в самолетах и моторах. В этот период требовалось построить самолетов: боевых — 9034, учебных — 665, самолетов типа «Илья Муромец» — 120, авиационных моторов — 14 910 (20065).</w:t>
      </w:r>
    </w:p>
    <w:p w14:paraId="0109F811" w14:textId="77777777" w:rsidR="00E519A0" w:rsidRPr="002F2FDF" w:rsidRDefault="00E519A0" w:rsidP="0083075A">
      <w:pPr>
        <w:spacing w:after="0" w:line="240" w:lineRule="auto"/>
        <w:jc w:val="both"/>
        <w:rPr>
          <w:rFonts w:ascii="Times New Roman" w:hAnsi="Times New Roman" w:cs="Times New Roman"/>
          <w:color w:val="000000" w:themeColor="text1"/>
          <w:sz w:val="16"/>
          <w:szCs w:val="16"/>
        </w:rPr>
      </w:pPr>
    </w:p>
    <w:p w14:paraId="767E4883" w14:textId="77777777" w:rsidR="00E519A0" w:rsidRPr="002F2FDF" w:rsidRDefault="00E519A0"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186" w:name="_Hlk80696871"/>
      <w:r w:rsidRPr="002F2FDF">
        <w:rPr>
          <w:rFonts w:ascii="Times New Roman" w:eastAsia="Times New Roman" w:hAnsi="Times New Roman" w:cs="Times New Roman"/>
          <w:color w:val="000000" w:themeColor="text1"/>
          <w:sz w:val="16"/>
          <w:szCs w:val="16"/>
          <w:lang w:eastAsia="ru-RU"/>
        </w:rPr>
        <w:t>С июня 1917 г. парашюты Жюкмеса начали изготавливать мастерские воздухоплавательного дивизиона Юго-Западного фронта, затем подключились завод «Треугольник» и Баллонная мастерская. До ноября 1917 г., когда производство остановилось, успели сделать около 400 штук.</w:t>
      </w:r>
    </w:p>
    <w:p w14:paraId="65B0CD76" w14:textId="77777777" w:rsidR="00E519A0" w:rsidRPr="002F2FDF" w:rsidRDefault="00E519A0"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Парашют Жюкмеса имел купол намного большей площади, чем у «спасательного прибора» Котельникова – 85 м2. Это обеспечивало меньшую скорость спуска и более мягкое приземление. Правда, выигрыш несколько уменьшался тем, что французский конструктор использовал хлопчатобумажную ткань, которая уступала шелку в плотности. Парашют Жюкмеса был более громоздким и тяжелым (он весил 11,6 кг). Но это не имело особого значения для аэронавтов, поскольку он подвешивался в чехле, напоминавшем продолговатое ведро из прорезиненной ткани, на борту корзины воздушного шара (21505).</w:t>
      </w:r>
    </w:p>
    <w:p w14:paraId="4AC7279F" w14:textId="77777777" w:rsidR="00E519A0" w:rsidRPr="002F2FDF" w:rsidRDefault="00E519A0" w:rsidP="0083075A">
      <w:pPr>
        <w:spacing w:after="0" w:line="240" w:lineRule="auto"/>
        <w:jc w:val="both"/>
        <w:rPr>
          <w:rFonts w:ascii="Times New Roman" w:hAnsi="Times New Roman" w:cs="Times New Roman"/>
          <w:color w:val="000000" w:themeColor="text1"/>
          <w:sz w:val="16"/>
          <w:szCs w:val="16"/>
          <w:shd w:val="clear" w:color="auto" w:fill="FBFCFC"/>
        </w:rPr>
      </w:pPr>
    </w:p>
    <w:bookmarkEnd w:id="186"/>
    <w:p w14:paraId="74E63B0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3F74A3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B3A1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 1917 г. на Главном артиллерийском полигоне (под Петроградом) начались полигонные испытания пушки Рябушинского. Но революция не дала возможности довести пушку до войсковых испытаний. 70-мм пушка Рябушинского имела гладкий ненагруженный ствол с толщиной стенок всего 2,5 мм и весила всего 7 кг, ствол был помещен на легкую складную треногу. Снаряд калиберный массой 3 кг, заряжание производилось с казенной части. Патрон унитарный, заряд помещался в гильзу из сгорающей ткани с деревянным или цинковым поддоном. Дальность стрельбы была невелика, всего 300 метров, но для позиционной войны этого хватало. Дальность стрельбы многих бомбометов того времени вообще не превышала 300 м (12091).</w:t>
      </w:r>
    </w:p>
    <w:p w14:paraId="1E49A1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B428E6" w14:textId="77777777" w:rsidR="00927133" w:rsidRPr="002F2FDF" w:rsidRDefault="0092713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 1917 г. на Главном артиллерийском полигоне (под Петроградом) начались полигонные испытания пушки Рябушинского. Но революция не дала возможности довести пушку до войсковых испытаний. Согласно рапорту Главного артиллерийского полигона (ГАП) в ГАУ от 28 июня 1917 г., 9 июня того же года на ГАП (Ржевке под Петроградом) была произведена стрельба из пушки Рябушинского. Сделано 19 выстрелов болванками весом 7 Уз фунта (около 3 кг) и зарядом дымного пороха. Снаряд и заряд, соединенные проводниками, вкладывались с дула. При этом снаряд удерживался в канале на месте упором шпенька снаряда в дульный срез стенки. Воспламенение заряда с помощью электричества. Вес пушки с треногой 19,25 фунтов (около 7,9 кг). Дальность стрельбы 149 сажень (318 м). Ствол при стрельбе слегка раздулся позади цапфенного кольца, то есть там, где находился заряд. Зажим на треноге слаб, пушка после выстрела часто принимала вертикальное положение (15117).</w:t>
      </w:r>
    </w:p>
    <w:p w14:paraId="5F91A35E" w14:textId="77777777" w:rsidR="00927133" w:rsidRPr="002F2FDF" w:rsidRDefault="00927133" w:rsidP="0083075A">
      <w:pPr>
        <w:spacing w:after="0" w:line="240" w:lineRule="auto"/>
        <w:jc w:val="both"/>
        <w:rPr>
          <w:rFonts w:ascii="Times New Roman" w:hAnsi="Times New Roman" w:cs="Times New Roman"/>
          <w:color w:val="000000" w:themeColor="text1"/>
          <w:kern w:val="2"/>
          <w:sz w:val="16"/>
          <w:szCs w:val="16"/>
        </w:rPr>
      </w:pPr>
    </w:p>
    <w:p w14:paraId="7135469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3E293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2E80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 1917 учредили Управление морской авиации (УМА) в системе ВМФ (438,365).</w:t>
      </w:r>
    </w:p>
    <w:p w14:paraId="00FFDC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ABF3F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 1917 было учреждено Управление морской авиации (УМА) в сис</w:t>
      </w:r>
      <w:r w:rsidRPr="002F2FDF">
        <w:rPr>
          <w:rFonts w:ascii="Times New Roman" w:hAnsi="Times New Roman" w:cs="Times New Roman"/>
          <w:color w:val="000000" w:themeColor="text1"/>
          <w:kern w:val="2"/>
          <w:sz w:val="16"/>
          <w:szCs w:val="16"/>
        </w:rPr>
        <w:softHyphen/>
        <w:t>теме морскто флота для решения всех вопросов, связанных с применением авиации и воздухоплавания в морском флоте.</w:t>
      </w:r>
    </w:p>
    <w:p w14:paraId="49BB23B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15994D" w14:textId="77777777" w:rsidR="00CB1135" w:rsidRPr="00815ED5" w:rsidRDefault="00CB1135"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 и</w:t>
      </w:r>
      <w:r w:rsidRPr="00815ED5">
        <w:rPr>
          <w:rFonts w:ascii="Times New Roman" w:hAnsi="Times New Roman" w:cs="Times New Roman"/>
          <w:color w:val="0070C0"/>
          <w:sz w:val="16"/>
          <w:szCs w:val="16"/>
        </w:rPr>
        <w:t>юн</w:t>
      </w:r>
      <w:r>
        <w:rPr>
          <w:rFonts w:ascii="Times New Roman" w:hAnsi="Times New Roman" w:cs="Times New Roman"/>
          <w:color w:val="0070C0"/>
          <w:sz w:val="16"/>
          <w:szCs w:val="16"/>
        </w:rPr>
        <w:t>е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было у</w:t>
      </w:r>
      <w:r w:rsidRPr="00815ED5">
        <w:rPr>
          <w:rFonts w:ascii="Times New Roman" w:hAnsi="Times New Roman" w:cs="Times New Roman"/>
          <w:color w:val="0070C0"/>
          <w:sz w:val="16"/>
          <w:szCs w:val="16"/>
        </w:rPr>
        <w:t>чреждено Управление морской авиации /УМА/ в системе мор</w:t>
      </w:r>
      <w:r>
        <w:rPr>
          <w:rFonts w:ascii="Times New Roman" w:hAnsi="Times New Roman" w:cs="Times New Roman"/>
          <w:color w:val="0070C0"/>
          <w:sz w:val="16"/>
          <w:szCs w:val="16"/>
        </w:rPr>
        <w:t>ск</w:t>
      </w:r>
      <w:r w:rsidRPr="00815ED5">
        <w:rPr>
          <w:rFonts w:ascii="Times New Roman" w:hAnsi="Times New Roman" w:cs="Times New Roman"/>
          <w:color w:val="0070C0"/>
          <w:sz w:val="16"/>
          <w:szCs w:val="16"/>
        </w:rPr>
        <w:t>ого флота для решения всех вопросов,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связанных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 xml:space="preserve"> применением авиации и воздухоплавания в морском флоте</w:t>
      </w:r>
      <w:r>
        <w:rPr>
          <w:rFonts w:ascii="Times New Roman" w:hAnsi="Times New Roman" w:cs="Times New Roman"/>
          <w:color w:val="0070C0"/>
          <w:sz w:val="16"/>
          <w:szCs w:val="16"/>
        </w:rPr>
        <w:t xml:space="preserve"> (23320)</w:t>
      </w:r>
      <w:r w:rsidRPr="00815ED5">
        <w:rPr>
          <w:rFonts w:ascii="Times New Roman" w:hAnsi="Times New Roman" w:cs="Times New Roman"/>
          <w:color w:val="0070C0"/>
          <w:sz w:val="16"/>
          <w:szCs w:val="16"/>
        </w:rPr>
        <w:t>.</w:t>
      </w:r>
    </w:p>
    <w:p w14:paraId="68A70313" w14:textId="77777777" w:rsidR="00CB1135" w:rsidRDefault="00CB1135" w:rsidP="0083075A">
      <w:pPr>
        <w:spacing w:after="0" w:line="240" w:lineRule="auto"/>
        <w:jc w:val="both"/>
        <w:rPr>
          <w:rFonts w:ascii="Times New Roman" w:hAnsi="Times New Roman" w:cs="Times New Roman"/>
          <w:color w:val="0070C0"/>
          <w:sz w:val="16"/>
          <w:szCs w:val="16"/>
        </w:rPr>
      </w:pPr>
    </w:p>
    <w:p w14:paraId="7DD8245C" w14:textId="77777777" w:rsidR="0056617B" w:rsidRPr="00FB4F67" w:rsidRDefault="0056617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июне 1917 г. Ставка издала приказ о преобразовании 1-го АО Ставки в 38-й КАО. 2-й АО в Ставке был преобразован в 15-й ФАО (23525).</w:t>
      </w:r>
    </w:p>
    <w:p w14:paraId="67F7E065" w14:textId="77777777" w:rsidR="0056617B" w:rsidRPr="00FB4F67" w:rsidRDefault="0056617B" w:rsidP="0083075A">
      <w:pPr>
        <w:spacing w:after="0" w:line="240" w:lineRule="auto"/>
        <w:jc w:val="both"/>
        <w:rPr>
          <w:rFonts w:ascii="Times New Roman" w:hAnsi="Times New Roman" w:cs="Times New Roman"/>
          <w:color w:val="0070C0"/>
          <w:sz w:val="16"/>
          <w:szCs w:val="16"/>
        </w:rPr>
      </w:pPr>
    </w:p>
    <w:p w14:paraId="20D430E6" w14:textId="77777777" w:rsidR="0056617B" w:rsidRPr="00FB4F67" w:rsidRDefault="0056617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течение июня 1917 г. российские военные нереалистично разрабатывали планы формирования новых авиационных частей. В их число входили ФАО с 1-го по 4-й для «Стражей фронта» (для патрулирования за линией фронта); 14-я армия АО; с 49-го по 59-й КАО; 5-й и 6-й Кавказские КАО; 2-й Туркестанский КАО; а также с 1-го по 4-й «бомбардировочные авиаотряды» (специализированные бомбардировочные части). Эти планы так и не были реализованы из-за невозможности поставить самолеты и персонал (23525).</w:t>
      </w:r>
    </w:p>
    <w:p w14:paraId="0764B02A" w14:textId="77777777" w:rsidR="0056617B" w:rsidRPr="00FB4F67" w:rsidRDefault="0056617B" w:rsidP="0083075A">
      <w:pPr>
        <w:spacing w:after="0" w:line="240" w:lineRule="auto"/>
        <w:jc w:val="both"/>
        <w:rPr>
          <w:rFonts w:ascii="Times New Roman" w:hAnsi="Times New Roman" w:cs="Times New Roman"/>
          <w:color w:val="0070C0"/>
          <w:sz w:val="16"/>
          <w:szCs w:val="16"/>
        </w:rPr>
      </w:pPr>
    </w:p>
    <w:p w14:paraId="2B5733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 1917 подводя итоги работы 1-й БАГ за два месяца (с 1.04 по 29.05), Казаков заявил о 9 сбитых самолетах и сооб</w:t>
      </w:r>
      <w:r w:rsidRPr="002F2FDF">
        <w:rPr>
          <w:rFonts w:ascii="Times New Roman" w:hAnsi="Times New Roman" w:cs="Times New Roman"/>
          <w:color w:val="000000" w:themeColor="text1"/>
          <w:kern w:val="2"/>
          <w:sz w:val="16"/>
          <w:szCs w:val="16"/>
        </w:rPr>
        <w:softHyphen/>
        <w:t>щил: “кроме того, 5-6 самолетов по</w:t>
      </w:r>
      <w:r w:rsidRPr="002F2FDF">
        <w:rPr>
          <w:rFonts w:ascii="Times New Roman" w:hAnsi="Times New Roman" w:cs="Times New Roman"/>
          <w:color w:val="000000" w:themeColor="text1"/>
          <w:kern w:val="2"/>
          <w:sz w:val="16"/>
          <w:szCs w:val="16"/>
        </w:rPr>
        <w:softHyphen/>
        <w:t>лагаю упавшими после боя в своем расположении. Показания у войск за трудностью не брались” (3954).</w:t>
      </w:r>
    </w:p>
    <w:p w14:paraId="4B662C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D143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 1917 1БАГ продолжала вое</w:t>
      </w:r>
      <w:r w:rsidRPr="002F2FDF">
        <w:rPr>
          <w:rFonts w:ascii="Times New Roman" w:hAnsi="Times New Roman" w:cs="Times New Roman"/>
          <w:color w:val="000000" w:themeColor="text1"/>
          <w:kern w:val="2"/>
          <w:sz w:val="16"/>
          <w:szCs w:val="16"/>
        </w:rPr>
        <w:softHyphen/>
        <w:t>вать на фронте 7-й армии. На Юго-Западном фронте готовилось наступле</w:t>
      </w:r>
      <w:r w:rsidRPr="002F2FDF">
        <w:rPr>
          <w:rFonts w:ascii="Times New Roman" w:hAnsi="Times New Roman" w:cs="Times New Roman"/>
          <w:color w:val="000000" w:themeColor="text1"/>
          <w:kern w:val="2"/>
          <w:sz w:val="16"/>
          <w:szCs w:val="16"/>
        </w:rPr>
        <w:softHyphen/>
        <w:t>ние русских войск, однако “революци</w:t>
      </w:r>
      <w:r w:rsidRPr="002F2FDF">
        <w:rPr>
          <w:rFonts w:ascii="Times New Roman" w:hAnsi="Times New Roman" w:cs="Times New Roman"/>
          <w:color w:val="000000" w:themeColor="text1"/>
          <w:kern w:val="2"/>
          <w:sz w:val="16"/>
          <w:szCs w:val="16"/>
        </w:rPr>
        <w:softHyphen/>
        <w:t>онные” настроения солдат и катастро</w:t>
      </w:r>
      <w:r w:rsidRPr="002F2FDF">
        <w:rPr>
          <w:rFonts w:ascii="Times New Roman" w:hAnsi="Times New Roman" w:cs="Times New Roman"/>
          <w:color w:val="000000" w:themeColor="text1"/>
          <w:kern w:val="2"/>
          <w:sz w:val="16"/>
          <w:szCs w:val="16"/>
        </w:rPr>
        <w:softHyphen/>
        <w:t>фическое падение дисциплины не ос</w:t>
      </w:r>
      <w:r w:rsidRPr="002F2FDF">
        <w:rPr>
          <w:rFonts w:ascii="Times New Roman" w:hAnsi="Times New Roman" w:cs="Times New Roman"/>
          <w:color w:val="000000" w:themeColor="text1"/>
          <w:kern w:val="2"/>
          <w:sz w:val="16"/>
          <w:szCs w:val="16"/>
        </w:rPr>
        <w:softHyphen/>
        <w:t>тавляли шансов на успех. Но разруши</w:t>
      </w:r>
      <w:r w:rsidRPr="002F2FDF">
        <w:rPr>
          <w:rFonts w:ascii="Times New Roman" w:hAnsi="Times New Roman" w:cs="Times New Roman"/>
          <w:color w:val="000000" w:themeColor="text1"/>
          <w:kern w:val="2"/>
          <w:sz w:val="16"/>
          <w:szCs w:val="16"/>
        </w:rPr>
        <w:softHyphen/>
        <w:t>тельное влияние “митинговщины” по</w:t>
      </w:r>
      <w:r w:rsidRPr="002F2FDF">
        <w:rPr>
          <w:rFonts w:ascii="Times New Roman" w:hAnsi="Times New Roman" w:cs="Times New Roman"/>
          <w:color w:val="000000" w:themeColor="text1"/>
          <w:kern w:val="2"/>
          <w:sz w:val="16"/>
          <w:szCs w:val="16"/>
        </w:rPr>
        <w:softHyphen/>
        <w:t>ка не коснулось ни 1-й БАГ, ни других авиационных частей фронта (3954).</w:t>
      </w:r>
    </w:p>
    <w:p w14:paraId="5C12E6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10B7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июне-июле 1917 года на фронте работал Башко со своим "Киевским", сделав 13 полётов. "Необстрелянная молодежь" (новые пилоты кораблей) вылетали по одному разу, да и то возвращались, так и не выполнив задания. Например, корабль XI поручика Грека "был встречен таким ураганом снарядов, что не выдержал и повернул, получив массу пробоин, одна даже цельным снарядом" (12041).</w:t>
      </w:r>
    </w:p>
    <w:p w14:paraId="084A38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6265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июня по сентябрь 1917 г. на фронте 7-й русской армии в Южной Галиции (100-верстная полоса от Гржимайлова до Днестра) действовали 1-й (с августа был переименован во 2-й) и 3-й боевые отряды (12038).</w:t>
      </w:r>
    </w:p>
    <w:p w14:paraId="33CA1A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6C53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июня по сентябрь 1917 года на фронте 7-й русской армии в Южной Галиции (100- верстная полоса от Гржимайлова до Днестра) действовали 1-й (22 июля был переименован во 2-й) и 3-й боевые отряды (12041).</w:t>
      </w:r>
    </w:p>
    <w:p w14:paraId="35D00E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D71EE9" w14:textId="77777777" w:rsidR="00927133" w:rsidRPr="002F2FDF" w:rsidRDefault="0092713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 1917 г. летчику Туманскому из 34-го корпусного авиаотряда удалось на Фармане сбить неприятельский аппарат. Популярным долгожителем в семействе стал самолет "Фарман-30", использовавшийся в России как разведчик до 1921 г. и как учебный самолет - до 1925 г., во многом благодаря надежному серийному мотору "Сальмсон". Внешне "тридцатый" отличался собратьев гондолой, установленной между крыльев, и коротким шасси. В руках опытного пилота это был неплохой боевой самолет. Иллюстрацией к сказанному может служить эпизод из хроники боевой работы 5-го армейского авиаотряда: 2 апреля 1917 г. летчик старший унтер-офицер Василий Смирнов и наблюдатель прапорщик Афанасьев вылетели на "Фармане-30" при крайне неблагоприятных атмосферных условиях для фотографирования позиций противника. На высоте 1800 м наш самолет был неожиданно атакован истребителем "Фоккер" и, не смотря на неравенство сил, вступил с ним в бой. Крайне рискованными маневрами летчик ставил аэроплан в такое положение, чтобы дать возможность наблюдателю открыть огонь по противнику. После взаимной перестрелки немецкий самолет улетел, а летчики, хотя "Фарман" и получил около 50 пробоин, продолжили фотографирование. За этот бой летчик Смирнов был награжден Георгиевским Крестом 2-й степени № 26645 приказом по войскам 1-й армии за №2859 от 27 мая 1917 г. (11237).</w:t>
      </w:r>
    </w:p>
    <w:p w14:paraId="1CC99655" w14:textId="77777777" w:rsidR="00927133" w:rsidRPr="002F2FDF" w:rsidRDefault="0092713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98EB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июне 1917 г. во время боев под Конюхами военный летчик 2-го артиллерийского авиаотряда 11-го дивизиона, входившего в состав 11-й армии, прапорщик Андреев вместе с летчиком-наблюдателем Ермоловым, выполняя боевое задание на самолете “Вуазен”, обнаружил, что на одном из участков фронта идет горячий бой. Пехота противника вела наступление. Летчики по собственной инициативе решили обстрелять пулеметным огнем войска противника. Андреев, переведя машину в крутое планирование, повел ее на наступавшие колонны немцев. Стрельба велась с высоты 30-50 м. В первый заход летчик-наблюдатель, стоя в гондоле, выпустил три обоймы, во второй заход - еще несколько обойм. Наземные войска, видя смятение в рядах немцев в результате штурма с воздуха, возобновили наступление и добились победы. При втором заходе машина была обстреляна немцами из винтовок и пулеметов, в результате чего летчики стали ощущать сильную тряску двигателя и вынуждены были вернуться на свой аэродром у деревни Дсннца. При осмотре самолета на нем было обнаружено до 30-ти пробоин. Одна из бронебойных пуль попала в гайку крепления винта и там осталась.</w:t>
      </w:r>
    </w:p>
    <w:p w14:paraId="118FAF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этот день экипаж самолета сделал три вылета на разведку и корректирование артиллерийской стрельбы, благодаря чему удалось уничтожить несколько батарей противника. Описанный случай не был исключением в боевой работе русских летчиков (9705).</w:t>
      </w:r>
    </w:p>
    <w:p w14:paraId="505229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0E13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 1917 г. в УВВФ Мацевичем была направлена телеграмма: “Десятый армотряд, не имея соответственных своему названию самолетов, не может выполнять армейских заданий на фронте с значительным превосходством неприятельских истребителей, и потому вновь усердно ходатайствую о наряде отряду находящихся ныне на Московском складе шести “Сопвичей”... и о скорейшем наряде других самолетов... Командарм настойчиво ходатайствует перед Главкозапом о незамедлительном снабжении новейшими самолетами, указывая, что без таковых не может соответственно подготовить операции” (9749).</w:t>
      </w:r>
    </w:p>
    <w:p w14:paraId="66158B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A784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 1917 г. в 4-м артиллерийском авиаотряде Юго-Западного фронта в течение месяца выбыли из строя шесть только что полученных самолетов Анатра-Д, что в значительной степени являлось результатом предубежденности против продукции завода Анатра. Бесспорно, качество самолетов этого предприятия было ниже, чем у “Дукса” или РБВЗ, однако объективно летные качества самолета “Анатра-Д” были удовлетворительными. Запас прочности был тройным.</w:t>
      </w:r>
    </w:p>
    <w:p w14:paraId="2CA199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Чтобы рассеять недоверчивое отношение летного состава к машине, командир 11-го армейского авиационного отряда штабскапитан Макаров решил выполнить на ней фигуры высшего пилотажа. Для этой цели был взят боевой самолет нормальной регулировки “Анатра-Д” с двигателем “Гном-Моносупап” мощностью 100 л. с. с несколько увеличенным углом установки, налетавший в отряде около 60 ч. Вместо пассажира был положен добавочный груз (мешок с песком). Полезная нагрузка составляла 249 кг (9705).</w:t>
      </w:r>
    </w:p>
    <w:p w14:paraId="4E7C8E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7AA78B" w14:textId="77777777" w:rsidR="00D90A50" w:rsidRPr="002F2FDF" w:rsidRDefault="00D90A5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июне 1917 г. произошло второе расширение аэрофотопарка. В конце августа 1917 г. командир АФП вновь обратился к Начальнику УВВФ с предложением об увеличении штатов и табельных средств парка, однако в письме от 20 сентября 1917 г. Начальник Увофлота указал на отсутствие в этом необходимости. Осенью 1917 г. в АФП состояло 118 и 100 человек постоянного и переменного состава соответственно. Назначение АФП оставалось прежним: снабжение частей фотоимуществом, его изготовление и обучение специалистов (19566).</w:t>
      </w:r>
    </w:p>
    <w:p w14:paraId="4B7A3C6A" w14:textId="77777777" w:rsidR="00D90A50" w:rsidRPr="002F2FDF" w:rsidRDefault="00D90A50" w:rsidP="0083075A">
      <w:pPr>
        <w:spacing w:after="0" w:line="240" w:lineRule="auto"/>
        <w:jc w:val="both"/>
        <w:rPr>
          <w:rFonts w:ascii="Times New Roman" w:hAnsi="Times New Roman" w:cs="Times New Roman"/>
          <w:color w:val="000000" w:themeColor="text1"/>
          <w:sz w:val="16"/>
          <w:szCs w:val="16"/>
        </w:rPr>
      </w:pPr>
    </w:p>
    <w:p w14:paraId="2B6C7BD6" w14:textId="77777777" w:rsidR="00CD47B4" w:rsidRPr="002F2FDF" w:rsidRDefault="00CD47B4" w:rsidP="0083075A">
      <w:pPr>
        <w:pStyle w:val="83"/>
        <w:shd w:val="clear" w:color="auto" w:fill="auto"/>
        <w:spacing w:after="0" w:line="240" w:lineRule="auto"/>
        <w:ind w:firstLine="0"/>
        <w:jc w:val="both"/>
        <w:rPr>
          <w:rFonts w:ascii="Times New Roman" w:hAnsi="Times New Roman"/>
          <w:color w:val="000000" w:themeColor="text1"/>
          <w:kern w:val="2"/>
          <w:sz w:val="16"/>
          <w:szCs w:val="16"/>
        </w:rPr>
      </w:pPr>
      <w:r w:rsidRPr="002F2FDF">
        <w:rPr>
          <w:rFonts w:ascii="Times New Roman" w:hAnsi="Times New Roman"/>
          <w:color w:val="000000" w:themeColor="text1"/>
          <w:kern w:val="2"/>
          <w:sz w:val="16"/>
          <w:szCs w:val="16"/>
        </w:rPr>
        <w:t>В течение только одного июня 1917 г. в русской армии парашют Жюкмеса спас жизнь одиннадцати воздушным разведчикам. На неко</w:t>
      </w:r>
      <w:r w:rsidRPr="002F2FDF">
        <w:rPr>
          <w:rFonts w:ascii="Times New Roman" w:hAnsi="Times New Roman"/>
          <w:color w:val="000000" w:themeColor="text1"/>
          <w:kern w:val="2"/>
          <w:sz w:val="16"/>
          <w:szCs w:val="16"/>
        </w:rPr>
        <w:softHyphen/>
        <w:t>торые дни приходилось по два, по три спасения. Наблюдатель А. Во</w:t>
      </w:r>
      <w:r w:rsidRPr="002F2FDF">
        <w:rPr>
          <w:rFonts w:ascii="Times New Roman" w:hAnsi="Times New Roman"/>
          <w:color w:val="000000" w:themeColor="text1"/>
          <w:kern w:val="2"/>
          <w:sz w:val="16"/>
          <w:szCs w:val="16"/>
        </w:rPr>
        <w:softHyphen/>
        <w:t>ронцов так описывал свои ощуще</w:t>
      </w:r>
      <w:r w:rsidRPr="002F2FDF">
        <w:rPr>
          <w:rFonts w:ascii="Times New Roman" w:hAnsi="Times New Roman"/>
          <w:color w:val="000000" w:themeColor="text1"/>
          <w:kern w:val="2"/>
          <w:sz w:val="16"/>
          <w:szCs w:val="16"/>
        </w:rPr>
        <w:softHyphen/>
        <w:t>ния: «Я встал на борт корзины и, сделав шаг в воздухе, прыгнул в про</w:t>
      </w:r>
      <w:r w:rsidRPr="002F2FDF">
        <w:rPr>
          <w:rFonts w:ascii="Times New Roman" w:hAnsi="Times New Roman"/>
          <w:color w:val="000000" w:themeColor="text1"/>
          <w:kern w:val="2"/>
          <w:sz w:val="16"/>
          <w:szCs w:val="16"/>
        </w:rPr>
        <w:softHyphen/>
        <w:t>пасть. Я чувствовал, с какой страш</w:t>
      </w:r>
      <w:r w:rsidRPr="002F2FDF">
        <w:rPr>
          <w:rFonts w:ascii="Times New Roman" w:hAnsi="Times New Roman"/>
          <w:color w:val="000000" w:themeColor="text1"/>
          <w:kern w:val="2"/>
          <w:sz w:val="16"/>
          <w:szCs w:val="16"/>
        </w:rPr>
        <w:softHyphen/>
        <w:t>ной быстротой падаю. Рубашку вет</w:t>
      </w:r>
      <w:r w:rsidRPr="002F2FDF">
        <w:rPr>
          <w:rFonts w:ascii="Times New Roman" w:hAnsi="Times New Roman"/>
          <w:color w:val="000000" w:themeColor="text1"/>
          <w:kern w:val="2"/>
          <w:sz w:val="16"/>
          <w:szCs w:val="16"/>
        </w:rPr>
        <w:softHyphen/>
        <w:t>ром задирало кверху. Мелькнула мысль: неужели парашют не развер</w:t>
      </w:r>
      <w:r w:rsidRPr="002F2FDF">
        <w:rPr>
          <w:rFonts w:ascii="Times New Roman" w:hAnsi="Times New Roman"/>
          <w:color w:val="000000" w:themeColor="text1"/>
          <w:kern w:val="2"/>
          <w:sz w:val="16"/>
          <w:szCs w:val="16"/>
        </w:rPr>
        <w:softHyphen/>
        <w:t>нется? Однако уже в следующий момент услышал шум развернувше</w:t>
      </w:r>
      <w:r w:rsidRPr="002F2FDF">
        <w:rPr>
          <w:rFonts w:ascii="Times New Roman" w:hAnsi="Times New Roman"/>
          <w:color w:val="000000" w:themeColor="text1"/>
          <w:kern w:val="2"/>
          <w:sz w:val="16"/>
          <w:szCs w:val="16"/>
        </w:rPr>
        <w:softHyphen/>
        <w:t>гося шелкового купола и ощутил рез</w:t>
      </w:r>
      <w:r w:rsidRPr="002F2FDF">
        <w:rPr>
          <w:rFonts w:ascii="Times New Roman" w:hAnsi="Times New Roman"/>
          <w:color w:val="000000" w:themeColor="text1"/>
          <w:kern w:val="2"/>
          <w:sz w:val="16"/>
          <w:szCs w:val="16"/>
        </w:rPr>
        <w:softHyphen/>
        <w:t>кий толчок. Взглянув вверх, увидел над собой красивый кремовый па</w:t>
      </w:r>
      <w:r w:rsidRPr="002F2FDF">
        <w:rPr>
          <w:rFonts w:ascii="Times New Roman" w:hAnsi="Times New Roman"/>
          <w:color w:val="000000" w:themeColor="text1"/>
          <w:kern w:val="2"/>
          <w:sz w:val="16"/>
          <w:szCs w:val="16"/>
        </w:rPr>
        <w:softHyphen/>
        <w:t>рашют, медленно опускавший меня на землю.</w:t>
      </w:r>
    </w:p>
    <w:p w14:paraId="7BD78599" w14:textId="77777777" w:rsidR="00CD47B4" w:rsidRPr="002F2FDF" w:rsidRDefault="00CD47B4" w:rsidP="0083075A">
      <w:pPr>
        <w:pStyle w:val="83"/>
        <w:shd w:val="clear" w:color="auto" w:fill="auto"/>
        <w:spacing w:after="0" w:line="240" w:lineRule="auto"/>
        <w:ind w:firstLine="0"/>
        <w:jc w:val="both"/>
        <w:rPr>
          <w:rFonts w:ascii="Times New Roman" w:hAnsi="Times New Roman"/>
          <w:color w:val="000000" w:themeColor="text1"/>
          <w:kern w:val="2"/>
          <w:sz w:val="16"/>
          <w:szCs w:val="16"/>
        </w:rPr>
      </w:pPr>
      <w:r w:rsidRPr="002F2FDF">
        <w:rPr>
          <w:rFonts w:ascii="Times New Roman" w:hAnsi="Times New Roman"/>
          <w:color w:val="000000" w:themeColor="text1"/>
          <w:kern w:val="2"/>
          <w:sz w:val="16"/>
          <w:szCs w:val="16"/>
        </w:rPr>
        <w:t>Но каков же был мой ужас, ког</w:t>
      </w:r>
      <w:r w:rsidRPr="002F2FDF">
        <w:rPr>
          <w:rFonts w:ascii="Times New Roman" w:hAnsi="Times New Roman"/>
          <w:color w:val="000000" w:themeColor="text1"/>
          <w:kern w:val="2"/>
          <w:sz w:val="16"/>
          <w:szCs w:val="16"/>
        </w:rPr>
        <w:softHyphen/>
        <w:t>да я заметил, что меня настигает го</w:t>
      </w:r>
      <w:r w:rsidRPr="002F2FDF">
        <w:rPr>
          <w:rFonts w:ascii="Times New Roman" w:hAnsi="Times New Roman"/>
          <w:color w:val="000000" w:themeColor="text1"/>
          <w:kern w:val="2"/>
          <w:sz w:val="16"/>
          <w:szCs w:val="16"/>
        </w:rPr>
        <w:softHyphen/>
        <w:t>рящий аэростат. К счастью, нордвест отнес парашют в сторону, и вся го</w:t>
      </w:r>
      <w:r w:rsidRPr="002F2FDF">
        <w:rPr>
          <w:rFonts w:ascii="Times New Roman" w:hAnsi="Times New Roman"/>
          <w:color w:val="000000" w:themeColor="text1"/>
          <w:kern w:val="2"/>
          <w:sz w:val="16"/>
          <w:szCs w:val="16"/>
        </w:rPr>
        <w:softHyphen/>
        <w:t>ревшая бесформенная масса с шу</w:t>
      </w:r>
      <w:r w:rsidRPr="002F2FDF">
        <w:rPr>
          <w:rFonts w:ascii="Times New Roman" w:hAnsi="Times New Roman"/>
          <w:color w:val="000000" w:themeColor="text1"/>
          <w:kern w:val="2"/>
          <w:sz w:val="16"/>
          <w:szCs w:val="16"/>
        </w:rPr>
        <w:softHyphen/>
        <w:t>мом пронеслась мимо. Я был на седь</w:t>
      </w:r>
      <w:r w:rsidRPr="002F2FDF">
        <w:rPr>
          <w:rFonts w:ascii="Times New Roman" w:hAnsi="Times New Roman"/>
          <w:color w:val="000000" w:themeColor="text1"/>
          <w:kern w:val="2"/>
          <w:sz w:val="16"/>
          <w:szCs w:val="16"/>
        </w:rPr>
        <w:softHyphen/>
        <w:t>мом небе от радости. Я был спасен!» (12120).</w:t>
      </w:r>
    </w:p>
    <w:p w14:paraId="162D3C04" w14:textId="77777777" w:rsidR="00CD47B4" w:rsidRPr="002F2FDF" w:rsidRDefault="00CD47B4" w:rsidP="0083075A">
      <w:pPr>
        <w:spacing w:after="0" w:line="240" w:lineRule="auto"/>
        <w:jc w:val="both"/>
        <w:rPr>
          <w:rFonts w:ascii="Times New Roman" w:hAnsi="Times New Roman" w:cs="Times New Roman"/>
          <w:color w:val="000000" w:themeColor="text1"/>
          <w:kern w:val="2"/>
          <w:sz w:val="16"/>
          <w:szCs w:val="16"/>
        </w:rPr>
      </w:pPr>
    </w:p>
    <w:p w14:paraId="60641BA0" w14:textId="77777777" w:rsidR="00672EDF" w:rsidRPr="002F2FDF" w:rsidRDefault="00672ED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июне 1917 г. летчики-солдаты и мотористы созвали свой съезд в Петрограде. В противовес ему 8 июля 1917 г. открылся Всероссийский авиационный съезд в Москве, на котором были представлены не только солдаты, но и офицеры. Оба съезда провозгласили своей целью улучшение положения дел в авиации. Этого же желало и руководство авиацией. Так, начальник Полевого управления авиацией и воздухоплаванием В.М. Ткачев, возлагал надежды на съезд авиаторов. Всероссийский авиасъезд закончил свою работу в конце августа 1917 г., оставив свой постоянный орган – Совет авиации. Летно-подъемный состав в 1917 г. составлял около 10% от всего личного состава авиачастей (19566).</w:t>
      </w:r>
    </w:p>
    <w:p w14:paraId="7B84AF79" w14:textId="77777777" w:rsidR="00672EDF" w:rsidRPr="002F2FDF" w:rsidRDefault="00672EDF" w:rsidP="0083075A">
      <w:pPr>
        <w:spacing w:after="0" w:line="240" w:lineRule="auto"/>
        <w:jc w:val="both"/>
        <w:rPr>
          <w:rFonts w:ascii="Times New Roman" w:hAnsi="Times New Roman" w:cs="Times New Roman"/>
          <w:color w:val="000000" w:themeColor="text1"/>
          <w:sz w:val="16"/>
          <w:szCs w:val="16"/>
        </w:rPr>
      </w:pPr>
    </w:p>
    <w:p w14:paraId="2C4CB9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 1917 года отдельные 8-орудийные траншейные батареи № 3, 7, 8, 10 и 13 были перевооружены 3-дюймовыми короткими пушками обр. 1913 г. вместо 3-дюймовых противоштурмовых пушек обр. 1910 г., а 19-я батарея, сформированная в ноябре 1917 года, сразу получила короткие пушки (3861).</w:t>
      </w:r>
    </w:p>
    <w:p w14:paraId="1680EF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759428" w14:textId="77777777" w:rsidR="00CD1F09" w:rsidRPr="002F2FDF" w:rsidRDefault="00CD1F0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8C1A3DE" w14:textId="77777777" w:rsidR="00CD1F09" w:rsidRPr="002F2FDF" w:rsidRDefault="00CD1F0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B82D53" w14:textId="77777777" w:rsidR="00CD1F09" w:rsidRPr="002F2FDF" w:rsidRDefault="00CD1F09" w:rsidP="0083075A">
      <w:pPr>
        <w:pStyle w:val="a3"/>
        <w:rPr>
          <w:color w:val="000000" w:themeColor="text1"/>
          <w:lang w:val="ru-RU"/>
        </w:rPr>
      </w:pPr>
      <w:r w:rsidRPr="002F2FDF">
        <w:rPr>
          <w:color w:val="000000" w:themeColor="text1"/>
          <w:lang w:val="ru-RU"/>
        </w:rPr>
        <w:t>В июне 1917 на 30% повысили подоходный налог, прежде всего на имущие классы, с трудом разместили внутренние "займы свободы" на 3,1 млрд руб., взяли небольшие кредиты у союзников и снова занялись эмиссией бумажных денег. В начале октября 1917 г. в обращении находилось "керенок" на 16 млрд руб. при золотом запасе на 1,3 млрд. Номинальный объем наличных денег в обращении при значительном сокращении товарной массы увеличился в 2,4 раза по сравнению с 1 марта того же года (18078).</w:t>
      </w:r>
    </w:p>
    <w:p w14:paraId="4FAFB366" w14:textId="77777777" w:rsidR="00CD1F09" w:rsidRPr="002F2FDF" w:rsidRDefault="00CD1F09" w:rsidP="0083075A">
      <w:pPr>
        <w:pStyle w:val="a3"/>
        <w:rPr>
          <w:color w:val="000000" w:themeColor="text1"/>
          <w:lang w:val="ru-RU"/>
        </w:rPr>
      </w:pPr>
    </w:p>
    <w:p w14:paraId="22823FA0" w14:textId="77777777" w:rsidR="00CD1F09" w:rsidRPr="002F2FDF" w:rsidRDefault="00CD1F09" w:rsidP="0083075A">
      <w:pPr>
        <w:pStyle w:val="a3"/>
        <w:rPr>
          <w:color w:val="000000" w:themeColor="text1"/>
          <w:lang w:val="ru-RU"/>
        </w:rPr>
      </w:pPr>
      <w:r w:rsidRPr="002F2FDF">
        <w:rPr>
          <w:color w:val="000000" w:themeColor="text1"/>
          <w:lang w:val="ru-RU"/>
        </w:rPr>
        <w:t xml:space="preserve">В июне 1917 г. на </w:t>
      </w:r>
      <w:r w:rsidRPr="002F2FDF">
        <w:rPr>
          <w:color w:val="000000" w:themeColor="text1"/>
        </w:rPr>
        <w:t>I</w:t>
      </w:r>
      <w:r w:rsidRPr="002F2FDF">
        <w:rPr>
          <w:color w:val="000000" w:themeColor="text1"/>
          <w:lang w:val="ru-RU"/>
        </w:rPr>
        <w:t xml:space="preserve"> Всероссийском съезде Советов рабочих и солдатских депутатов:</w:t>
      </w:r>
    </w:p>
    <w:p w14:paraId="79CFA25B" w14:textId="77777777" w:rsidR="00CD1F09" w:rsidRPr="002F2FDF" w:rsidRDefault="00CD1F09" w:rsidP="0083075A">
      <w:pPr>
        <w:pStyle w:val="a3"/>
        <w:rPr>
          <w:color w:val="000000" w:themeColor="text1"/>
          <w:lang w:val="ru-RU"/>
        </w:rPr>
      </w:pPr>
      <w:r w:rsidRPr="002F2FDF">
        <w:rPr>
          <w:color w:val="000000" w:themeColor="text1"/>
          <w:lang w:val="ru-RU"/>
        </w:rPr>
        <w:t>Рассматривая финансовую политику царского правительства, Министр труда М. И. Скобелев утверждал, что основным источником покрытия расходов, связанных с войной за пределами России, являлись внешние займы, для расходов внутри страны - внутренние займы, "а главным образом этим источником служил выпуск бумажных денег". Надолго эмиссии приходилось иногда до 40% средств, получаемых царским правительством на ведение боевых действий".</w:t>
      </w:r>
    </w:p>
    <w:p w14:paraId="2D9476F8" w14:textId="77777777" w:rsidR="00CD1F09" w:rsidRPr="002F2FDF" w:rsidRDefault="00CD1F09" w:rsidP="0083075A">
      <w:pPr>
        <w:pStyle w:val="a3"/>
        <w:rPr>
          <w:color w:val="000000" w:themeColor="text1"/>
          <w:lang w:val="ru-RU"/>
        </w:rPr>
      </w:pPr>
      <w:r w:rsidRPr="002F2FDF">
        <w:rPr>
          <w:color w:val="000000" w:themeColor="text1"/>
          <w:lang w:val="ru-RU"/>
        </w:rPr>
        <w:t>Министр продовольствия А. В. Пешехонов утверждал, что если изъять весь доход предпринимателей, то это дало бы только 3 млрд рублей. Но, по данным министра, война требовала сначала 7 млрд рублей в год, потом 10-15 млрд, в 1917 г. - 20 млрд. Таким образом, с учетом инфляции, половину национального дохода Россия тратила на ведение боевых действий (18085)</w:t>
      </w:r>
    </w:p>
    <w:p w14:paraId="33A4CFF3" w14:textId="77777777" w:rsidR="00CD1F09" w:rsidRPr="002F2FDF" w:rsidRDefault="00CD1F09" w:rsidP="0083075A">
      <w:pPr>
        <w:pStyle w:val="a3"/>
        <w:rPr>
          <w:color w:val="000000" w:themeColor="text1"/>
          <w:lang w:val="ru-RU"/>
        </w:rPr>
      </w:pPr>
    </w:p>
    <w:p w14:paraId="54CA7E8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7651E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0AEB38" w14:textId="77777777" w:rsidR="00763B8F" w:rsidRPr="002F2FDF" w:rsidRDefault="00763B8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июне 1917 Бердсай Б. Льюис и Воут вошли Льюис &amp; Vought Corporation, которая впоследствии станет самой Воут корпорацией (20341).</w:t>
      </w:r>
    </w:p>
    <w:p w14:paraId="0CEE8283" w14:textId="77777777" w:rsidR="00763B8F" w:rsidRPr="002F2FDF" w:rsidRDefault="00763B8F" w:rsidP="0083075A">
      <w:pPr>
        <w:spacing w:after="0" w:line="240" w:lineRule="auto"/>
        <w:jc w:val="both"/>
        <w:rPr>
          <w:rFonts w:ascii="Times New Roman" w:hAnsi="Times New Roman" w:cs="Times New Roman"/>
          <w:color w:val="000000" w:themeColor="text1"/>
          <w:sz w:val="16"/>
          <w:szCs w:val="16"/>
        </w:rPr>
      </w:pPr>
    </w:p>
    <w:p w14:paraId="351193C9" w14:textId="77777777" w:rsidR="00763B8F" w:rsidRPr="002F2FDF" w:rsidRDefault="00763B8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июне 1917 г. фирме «Анрио» удалось заключить большой контракт на поставку HD.1 в Бельгию, которой тоже не хватало денег на более совершенные истребители. С августа по декабрь 1917 г. ей сдали 125 самолетов для трех эскадрилий Военной авиации этой страны. В августе первые HD.1 пришли в 1-ю эскадрилью, а в конце года — в 5-ю, в ходе организации Истребительной группы 1 марта следующего года они были переименованы в 9-ю и 10-ю соответственно и в дополнение к ним сформировали 11-ю эскадрилью сразу на HD.1.</w:t>
      </w:r>
    </w:p>
    <w:p w14:paraId="7E5F68B2" w14:textId="77777777" w:rsidR="00763B8F" w:rsidRPr="002F2FDF" w:rsidRDefault="00763B8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Всего построили 160 серийных Анрио HD.1 во Франции и 901 в Италии, еще 10 переделал из гидропланов HD.2 американский государственный завод NAF в Филадельфии для ВМС США. Они служили до конца 1920-х гг. в Швейцарии, Эквадоре и в Парагвае, но в развитых странах их предпочли быстрее списать (22789).</w:t>
      </w:r>
    </w:p>
    <w:p w14:paraId="2D407D56" w14:textId="77777777" w:rsidR="00763B8F" w:rsidRPr="002F2FDF" w:rsidRDefault="00763B8F" w:rsidP="0083075A">
      <w:pPr>
        <w:spacing w:after="0" w:line="240" w:lineRule="auto"/>
        <w:jc w:val="both"/>
        <w:rPr>
          <w:rFonts w:ascii="Times New Roman" w:hAnsi="Times New Roman" w:cs="Times New Roman"/>
          <w:color w:val="000000" w:themeColor="text1"/>
          <w:sz w:val="16"/>
          <w:szCs w:val="16"/>
        </w:rPr>
      </w:pPr>
    </w:p>
    <w:p w14:paraId="43665AD9" w14:textId="53527A76" w:rsidR="00763B8F" w:rsidRPr="002F2FDF" w:rsidRDefault="00763B8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июне 1917 г. первый серийный SPAD XII был вручен Жоржу Гинемеру, а в следующем месяце им впервые в истории был сбит самолет противника в воздушном бою пушечным выстрелом. На этой машине он одержал, по разным данным, от двух до четырех воздушных побед. Некоторые историки пишут, что Гинемер быстро разочаровался в пушке и пересел на двухпулеметный S.XIII, но не приводят такой перемене настроений аса никаких подтверждений. Зато известно, что войсковые испытания S.XIII он проводил по приказу командования, а пушечный S.XII называл «волшебным самолетом»</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avion magique</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до самой своей гибели, причем она случилась именно на «чертовой дюжине».</w:t>
      </w:r>
    </w:p>
    <w:p w14:paraId="48B81AA3" w14:textId="77777777" w:rsidR="00763B8F" w:rsidRPr="002F2FDF" w:rsidRDefault="00763B8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Точных данных нет, но по косвенным можно предположить, что успели построить 140 серийных истребителей этого типа, которые, кроме французской авиации, были в штучных образцах в Англии, Италии, США, Югославии, царской, а затем советской России. Кроме того, мотор-пушками оснастили 40 поплавковых SPAD XIV для Авиации ВМС Франции и 20 сухопутных S.XVIICa1на базе типа XIII, но с более мощным мотором H.S.8FC (22861).</w:t>
      </w:r>
    </w:p>
    <w:p w14:paraId="59E2B6F4" w14:textId="77777777" w:rsidR="00763B8F" w:rsidRPr="002F2FDF" w:rsidRDefault="00763B8F" w:rsidP="0083075A">
      <w:pPr>
        <w:spacing w:after="0" w:line="240" w:lineRule="auto"/>
        <w:jc w:val="both"/>
        <w:rPr>
          <w:rFonts w:ascii="Times New Roman" w:hAnsi="Times New Roman" w:cs="Times New Roman"/>
          <w:color w:val="000000" w:themeColor="text1"/>
          <w:sz w:val="16"/>
          <w:szCs w:val="16"/>
        </w:rPr>
      </w:pPr>
    </w:p>
    <w:p w14:paraId="6991A360" w14:textId="0B521FCF" w:rsidR="00763B8F" w:rsidRPr="002F2FDF" w:rsidRDefault="00763B8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июне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г. головной Мартинсайд F.3 совершил первый полет. В новом проекте Мартинсайд F.3 они «подчистили» аэродинамику и поставили опытный V-образный 12-цилиндровый редукторный мотор водяного охлаждения РоллсРойс «Фалкон» Mk.III, форсированный до 285</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л.</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с. Три из положенных семи самолетов установочной серии пришлось делать за свой счет. Он показал скорость 229</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км/ч, и хотя превосходство перед S.E.5a в 3</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было получено приростом мощности на 40</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разработчик соблазнил военных быстротой освоения производства самолета. Он как из «кубиков» собирался из деталей и узлов предыдущих машин и, по словам </w:t>
      </w:r>
      <w:r w:rsidRPr="002F2FDF">
        <w:rPr>
          <w:rFonts w:ascii="Times New Roman" w:hAnsi="Times New Roman" w:cs="Times New Roman"/>
          <w:color w:val="000000" w:themeColor="text1"/>
          <w:sz w:val="16"/>
          <w:szCs w:val="16"/>
        </w:rPr>
        <w:lastRenderedPageBreak/>
        <w:t>конструктора, почти не требовал новой производственной оснастки. В конце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г. Военное министерство заказало 150 машин, но потребовало заменить дефицитный «Фалкон», шедший на двухместные истребители Бристоль F.2B «Файтер», и улучшить обзор. С коммерческой точки зрения, это сулило новые расходы, но льстило директорам и основателям фирмы, которые сами в прошлом были конструкторами и хотели строить свои, а не чужие самолеты.</w:t>
      </w:r>
    </w:p>
    <w:p w14:paraId="133599EE" w14:textId="342370D6" w:rsidR="00763B8F" w:rsidRPr="002F2FDF" w:rsidRDefault="00763B8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«Фалкон» заменили на французский мотор Испано-Сюиза H.S.8Fb. Он давал на 25 сил больше, тоже был V-образный, но безредукторный 8-цилидровый</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пришлось переделывать всю мотоустановку, и для ее рамы впервые на фирме использовали дюраль, немецкую новинку, о которой скажем ниже. Больше стало канадских ореха и ели вместо английского ясеня и стальных труб вместо дерева. Изменения были велики, и разработчик потребовал считать самолет не модификацией F.3, а новым типом, обозначив его F.4 «Базед» (Buzzard</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ястреб, в русскоязычной литературе закрепилось прочтение «Буззард»). Заказчик согласился при условии постройки за счет фирмы (22886).</w:t>
      </w:r>
    </w:p>
    <w:p w14:paraId="0A5F0333" w14:textId="77777777" w:rsidR="00763B8F" w:rsidRPr="002F2FDF" w:rsidRDefault="00763B8F" w:rsidP="0083075A">
      <w:pPr>
        <w:spacing w:after="0" w:line="240" w:lineRule="auto"/>
        <w:jc w:val="both"/>
        <w:rPr>
          <w:rFonts w:ascii="Times New Roman" w:hAnsi="Times New Roman" w:cs="Times New Roman"/>
          <w:color w:val="000000" w:themeColor="text1"/>
          <w:sz w:val="16"/>
          <w:szCs w:val="16"/>
        </w:rPr>
      </w:pPr>
    </w:p>
    <w:p w14:paraId="7A0A76CB" w14:textId="7DFFE7B9" w:rsidR="00763B8F" w:rsidRPr="002F2FDF" w:rsidRDefault="00763B8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июне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г. на заводе в Итаке был построен биплан S.4 без вооружения и в том же месяце испытан летчиком П. Вильсоном. Устойчивость, управляемость и обзор были хороши, а скорость 153 км/ч сочли достаточной. Испытания не выявили каких-либо существенных недостатков по технике пилотирования, прочности и надежности и самолет приняли на снабжение учебных частей армейского Дивизиона аэронавтики и Авиации ВМС. Завод «Томас-Морзе» построил 12 серийных S-4 в первом варианте, 110 модифицированных S-4B с мотором Гном В-9 («Моносупап» 9В американского производства), 471 облегченный S-4C с 80-сильным Рон 9-С, шесть поплавковых S-5 и один гражданский S-4E для тренировки спортсменов. Итого фирма сделала 601 самолет, цена самого массового и дешевого варианта 5</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400 долл. (сегодня это более 85</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тысяч за маленький фанерно-полотняный самолетик) была выгодной, но фирма хотела большего</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«Скаут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4» был всего лишь учебной машиной (22949).</w:t>
      </w:r>
    </w:p>
    <w:p w14:paraId="7E7C3D95" w14:textId="77777777" w:rsidR="00763B8F" w:rsidRPr="002F2FDF" w:rsidRDefault="00763B8F" w:rsidP="0083075A">
      <w:pPr>
        <w:spacing w:after="0" w:line="240" w:lineRule="auto"/>
        <w:jc w:val="both"/>
        <w:rPr>
          <w:rFonts w:ascii="Times New Roman" w:hAnsi="Times New Roman" w:cs="Times New Roman"/>
          <w:color w:val="000000" w:themeColor="text1"/>
          <w:sz w:val="16"/>
          <w:szCs w:val="16"/>
        </w:rPr>
      </w:pPr>
    </w:p>
    <w:p w14:paraId="7D5A2C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 1917 года N.S.1 продержался в воздухе 49,5 часов, а дирижабль N.S.11 в 1919 году установил мировой рекорд — 101 час полета на расстояние 6400 км. При большой продолжительности [277] полета экипаж работал в две смены. Начало карьеры типа “N.S.” омрачалось частыми авариями, вызванными малой живучестью (200 часов) длинных приводных валов воздушных винтов, но после того как винты стали устанавливаться непосредственно на вал двигателя, все пришло в норму (11324).</w:t>
      </w:r>
    </w:p>
    <w:p w14:paraId="076E03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7FE9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июня 1917 года до октября 1918 года 56 английских дирижаблей совершили 9059 вылетов на патрулирование и 2210 — на сопровождение как транспортных конвоев, так и одиночных кораблей. С января 1918 года по ноябрь 1918 года только в течение девяти дней дирижабли не выполняли боевых заданий по причине нелетной погоды. Деятельность воздушных кораблей в борьбе с подводными лодками за 1917 год характеризуется следующими цифрами: в июле воздушными кораблями, предназначенными для противолодочного патрулирования, покрыто 53 000 миль, причем обнаружена и атакована 1 подводная лодка; в сентябре покрыто 83 000 миль — обнаружено 8 лодок, из них атаковано 5; за ноябрь пройдено 50 000 миль — обнаружено 6 лодок, из них атаковано 5. За весь 1917 год обнаружено 26 лодок, из них атаковано 15. </w:t>
      </w:r>
    </w:p>
    <w:p w14:paraId="203903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Потери британских дирижаблей были в целом невелики. Среди дирижаблей S.S.P. один был потерян над морем и еще один над материком; два N.S. потеряны над Северным морем и два потерпели крушение. Много боевых столкновений с неприятелем имели дирижабли типа “С”. Так, С. 17 был [278] сбит немцами в апреле, а С.27 — в декабре 1917 года. При розыске С.27 был потерян и С.26. Остальные британские мягкие дирижабли, после выработки налета, разобрали. </w:t>
      </w:r>
    </w:p>
    <w:p w14:paraId="4643C3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30AA64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13DCB3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14E4A4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227FCB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подлодки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1BBE44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платформе. Подготовкой офицерских кадров британская служба воздухоплавания занималась основательно. Вначале курсанты летали на воздушных шарах воздухоплавательной станции Уормвуд Скреббе, а затем изучали навигацию в Портсмуте. И только закончив эту часть курса подготовки, приступали к обучению полетам на дирижаблях (11324).</w:t>
      </w:r>
    </w:p>
    <w:p w14:paraId="6D444B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07FB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 1917 и октябре 1917 итальянские дирижабли способствовали своими активными действиями наступлению итальянской армии. За время войны воздушные корабли совершили 235 боевых вылетов, сбросив 250 т бомб и 50 т листовок. Самым активным среди них стал М.11, который 53 раза поднимался навстречу смерти. Судьба была к нему благосклонна — корабль так и не был сбит (11324).</w:t>
      </w:r>
    </w:p>
    <w:p w14:paraId="7D5551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120449" w14:textId="77777777" w:rsidR="004B3576" w:rsidRPr="002F2FDF" w:rsidRDefault="004B3576" w:rsidP="0083075A">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r w:rsidRPr="002F2FDF">
        <w:rPr>
          <w:rFonts w:ascii="Times New Roman" w:eastAsia="TimesNewRoman" w:hAnsi="Times New Roman" w:cs="Times New Roman"/>
          <w:color w:val="000000" w:themeColor="text1"/>
          <w:sz w:val="16"/>
          <w:szCs w:val="16"/>
        </w:rPr>
        <w:t xml:space="preserve">С июня </w:t>
      </w:r>
      <w:r w:rsidRPr="002F2FDF">
        <w:rPr>
          <w:rFonts w:ascii="Times New Roman" w:eastAsia="Times-Roman" w:hAnsi="Times New Roman" w:cs="Times New Roman"/>
          <w:color w:val="000000" w:themeColor="text1"/>
          <w:sz w:val="16"/>
          <w:szCs w:val="16"/>
        </w:rPr>
        <w:t xml:space="preserve">1917 </w:t>
      </w:r>
      <w:r w:rsidRPr="002F2FDF">
        <w:rPr>
          <w:rFonts w:ascii="Times New Roman" w:eastAsia="TimesNewRoman" w:hAnsi="Times New Roman" w:cs="Times New Roman"/>
          <w:color w:val="000000" w:themeColor="text1"/>
          <w:sz w:val="16"/>
          <w:szCs w:val="16"/>
        </w:rPr>
        <w:t xml:space="preserve">года в английской армии из </w:t>
      </w:r>
      <w:r w:rsidRPr="002F2FDF">
        <w:rPr>
          <w:rFonts w:ascii="Times New Roman" w:eastAsia="Times-Roman" w:hAnsi="Times New Roman" w:cs="Times New Roman"/>
          <w:color w:val="000000" w:themeColor="text1"/>
          <w:sz w:val="16"/>
          <w:szCs w:val="16"/>
        </w:rPr>
        <w:t xml:space="preserve">160970 </w:t>
      </w:r>
      <w:r w:rsidRPr="002F2FDF">
        <w:rPr>
          <w:rFonts w:ascii="Times New Roman" w:eastAsia="TimesNewRoman" w:hAnsi="Times New Roman" w:cs="Times New Roman"/>
          <w:color w:val="000000" w:themeColor="text1"/>
          <w:sz w:val="16"/>
          <w:szCs w:val="16"/>
        </w:rPr>
        <w:t>человек</w:t>
      </w:r>
      <w:r w:rsidRPr="002F2FDF">
        <w:rPr>
          <w:rFonts w:ascii="Times New Roman" w:eastAsia="Times-Roman" w:hAnsi="Times New Roman" w:cs="Times New Roman"/>
          <w:color w:val="000000" w:themeColor="text1"/>
          <w:sz w:val="16"/>
          <w:szCs w:val="16"/>
        </w:rPr>
        <w:t xml:space="preserve">, </w:t>
      </w:r>
      <w:r w:rsidRPr="002F2FDF">
        <w:rPr>
          <w:rFonts w:ascii="Times New Roman" w:eastAsia="TimesNewRoman" w:hAnsi="Times New Roman" w:cs="Times New Roman"/>
          <w:color w:val="000000" w:themeColor="text1"/>
          <w:sz w:val="16"/>
          <w:szCs w:val="16"/>
        </w:rPr>
        <w:t>пораженных ипритом</w:t>
      </w:r>
      <w:r w:rsidRPr="002F2FDF">
        <w:rPr>
          <w:rFonts w:ascii="Times New Roman" w:eastAsia="Times-Roman" w:hAnsi="Times New Roman" w:cs="Times New Roman"/>
          <w:color w:val="000000" w:themeColor="text1"/>
          <w:sz w:val="16"/>
          <w:szCs w:val="16"/>
        </w:rPr>
        <w:t xml:space="preserve">, </w:t>
      </w:r>
      <w:r w:rsidRPr="002F2FDF">
        <w:rPr>
          <w:rFonts w:ascii="Times New Roman" w:eastAsia="TimesNewRoman" w:hAnsi="Times New Roman" w:cs="Times New Roman"/>
          <w:color w:val="000000" w:themeColor="text1"/>
          <w:sz w:val="16"/>
          <w:szCs w:val="16"/>
        </w:rPr>
        <w:t xml:space="preserve">умерло </w:t>
      </w:r>
      <w:r w:rsidRPr="002F2FDF">
        <w:rPr>
          <w:rFonts w:ascii="Times New Roman" w:eastAsia="Times-Roman" w:hAnsi="Times New Roman" w:cs="Times New Roman"/>
          <w:color w:val="000000" w:themeColor="text1"/>
          <w:sz w:val="16"/>
          <w:szCs w:val="16"/>
        </w:rPr>
        <w:t xml:space="preserve">4157, </w:t>
      </w:r>
      <w:r w:rsidRPr="002F2FDF">
        <w:rPr>
          <w:rFonts w:ascii="Times New Roman" w:eastAsia="TimesNewRoman" w:hAnsi="Times New Roman" w:cs="Times New Roman"/>
          <w:color w:val="000000" w:themeColor="text1"/>
          <w:sz w:val="16"/>
          <w:szCs w:val="16"/>
        </w:rPr>
        <w:t>т</w:t>
      </w:r>
      <w:r w:rsidRPr="002F2FDF">
        <w:rPr>
          <w:rFonts w:ascii="Times New Roman" w:eastAsia="Times-Roman" w:hAnsi="Times New Roman" w:cs="Times New Roman"/>
          <w:color w:val="000000" w:themeColor="text1"/>
          <w:sz w:val="16"/>
          <w:szCs w:val="16"/>
        </w:rPr>
        <w:t xml:space="preserve">. </w:t>
      </w:r>
      <w:r w:rsidRPr="002F2FDF">
        <w:rPr>
          <w:rFonts w:ascii="Times New Roman" w:eastAsia="TimesNewRoman" w:hAnsi="Times New Roman" w:cs="Times New Roman"/>
          <w:color w:val="000000" w:themeColor="text1"/>
          <w:sz w:val="16"/>
          <w:szCs w:val="16"/>
        </w:rPr>
        <w:t>е</w:t>
      </w:r>
      <w:r w:rsidRPr="002F2FDF">
        <w:rPr>
          <w:rFonts w:ascii="Times New Roman" w:eastAsia="Times-Roman" w:hAnsi="Times New Roman" w:cs="Times New Roman"/>
          <w:color w:val="000000" w:themeColor="text1"/>
          <w:sz w:val="16"/>
          <w:szCs w:val="16"/>
        </w:rPr>
        <w:t xml:space="preserve">. 2,6 %. </w:t>
      </w:r>
      <w:r w:rsidRPr="002F2FDF">
        <w:rPr>
          <w:rFonts w:ascii="Times New Roman" w:eastAsia="TimesNewRoman" w:hAnsi="Times New Roman" w:cs="Times New Roman"/>
          <w:color w:val="000000" w:themeColor="text1"/>
          <w:sz w:val="16"/>
          <w:szCs w:val="16"/>
        </w:rPr>
        <w:t xml:space="preserve">Инвалидность от отравления была в </w:t>
      </w:r>
      <w:r w:rsidRPr="002F2FDF">
        <w:rPr>
          <w:rFonts w:ascii="Times New Roman" w:eastAsia="Times-Roman" w:hAnsi="Times New Roman" w:cs="Times New Roman"/>
          <w:color w:val="000000" w:themeColor="text1"/>
          <w:sz w:val="16"/>
          <w:szCs w:val="16"/>
        </w:rPr>
        <w:t xml:space="preserve">3-4 </w:t>
      </w:r>
      <w:r w:rsidRPr="002F2FDF">
        <w:rPr>
          <w:rFonts w:ascii="Times New Roman" w:eastAsia="TimesNewRoman" w:hAnsi="Times New Roman" w:cs="Times New Roman"/>
          <w:color w:val="000000" w:themeColor="text1"/>
          <w:sz w:val="16"/>
          <w:szCs w:val="16"/>
        </w:rPr>
        <w:t>раза была ниже</w:t>
      </w:r>
      <w:r w:rsidRPr="002F2FDF">
        <w:rPr>
          <w:rFonts w:ascii="Times New Roman" w:eastAsia="Times-Roman" w:hAnsi="Times New Roman" w:cs="Times New Roman"/>
          <w:color w:val="000000" w:themeColor="text1"/>
          <w:sz w:val="16"/>
          <w:szCs w:val="16"/>
        </w:rPr>
        <w:t xml:space="preserve">, </w:t>
      </w:r>
      <w:r w:rsidRPr="002F2FDF">
        <w:rPr>
          <w:rFonts w:ascii="Times New Roman" w:eastAsia="TimesNewRoman" w:hAnsi="Times New Roman" w:cs="Times New Roman"/>
          <w:color w:val="000000" w:themeColor="text1"/>
          <w:sz w:val="16"/>
          <w:szCs w:val="16"/>
        </w:rPr>
        <w:t>чем от ранений (20240)</w:t>
      </w:r>
      <w:r w:rsidRPr="002F2FDF">
        <w:rPr>
          <w:rFonts w:ascii="Times New Roman" w:eastAsia="Times-Roman" w:hAnsi="Times New Roman" w:cs="Times New Roman"/>
          <w:color w:val="000000" w:themeColor="text1"/>
          <w:sz w:val="16"/>
          <w:szCs w:val="16"/>
        </w:rPr>
        <w:t>.</w:t>
      </w:r>
    </w:p>
    <w:p w14:paraId="043B3A2B" w14:textId="77777777" w:rsidR="004B3576" w:rsidRPr="002F2FDF" w:rsidRDefault="004B3576" w:rsidP="0083075A">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p>
    <w:p w14:paraId="6F332855" w14:textId="77777777" w:rsidR="004B3576" w:rsidRPr="002F2FDF" w:rsidRDefault="004B3576" w:rsidP="0083075A">
      <w:pPr>
        <w:pStyle w:val="ae"/>
        <w:spacing w:before="0" w:after="0"/>
        <w:jc w:val="both"/>
        <w:rPr>
          <w:color w:val="000000" w:themeColor="text1"/>
          <w:sz w:val="16"/>
          <w:szCs w:val="16"/>
        </w:rPr>
      </w:pPr>
      <w:r w:rsidRPr="002F2FDF">
        <w:rPr>
          <w:color w:val="000000" w:themeColor="text1"/>
          <w:sz w:val="16"/>
          <w:szCs w:val="16"/>
        </w:rPr>
        <w:t>С июня 1917 г. в английской армии из 160970 человек, пораженных ипритом, умерло 4157, т. е. 2,6 %. Инвалидность от газоотравления была в 3-4 раза ниже, чем от ранений. Отсюда в 1920-е гг. в военных кругах стран-победительниц было распространено мнение о необычайной гуманности химического оружия при его весьма высокой действенности на поле боя. При этом как бы не принималось во внимание следующее: 1) химическое оружие применялось не для непосредственного истребления противника, а для решения конкретных боевых задач. С его помощью, прежде всего, создавались условия для разгрома противника (деморализация, выведение из строя и изнурение личного состава, заражение местности и др.). Истребление же противника достигалось другими видами оружия (артиллерия, авиация, танки) и при применении химического оружия, оно было более успешным; 2) в будущей войне могут быть применены более опасные ОВ, которые в прошлую войну не использовались; 3) изменился сам характер химической войны. Теперь основная роль в применении ОВ будет отведена не артиллерии, а авиации, способной поражать ОВ население городов, расположенных далеко от линии фронта и беззащитного в отношении такого нападения (20246).</w:t>
      </w:r>
    </w:p>
    <w:p w14:paraId="189F453C" w14:textId="77777777" w:rsidR="004B3576" w:rsidRPr="002F2FDF" w:rsidRDefault="004B3576" w:rsidP="0083075A">
      <w:pPr>
        <w:pStyle w:val="ae"/>
        <w:spacing w:before="0" w:after="0"/>
        <w:jc w:val="both"/>
        <w:rPr>
          <w:color w:val="000000" w:themeColor="text1"/>
          <w:sz w:val="16"/>
          <w:szCs w:val="16"/>
        </w:rPr>
      </w:pPr>
    </w:p>
    <w:p w14:paraId="2F35E821" w14:textId="77777777" w:rsidR="00763B8F" w:rsidRPr="002F2FDF" w:rsidRDefault="00763B8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июне 1917 г. в Германии был утвержден проект сверхтяжелого танка весом около 150 т, который получил символическое имя — Kolossal-Wagen. Были выданы контракты на постройку 10 машин. В апреле 1918 г. началось их изготовление, и к осени 1918 г. один танк «Колоссаль» был почти закончен, а для второго были готовы бронекорпус и комплект основных агрегатов и узлов (кроме двигателей). Масса танка составляла 150 т, длина — 12,8 м, высота — 3,3 м. Вооружение включало четыре 77-мм капонирные пушки и шесть-семь 7,92-мм пулеметов MG.08. Из-за больших габаритов танк нужно было перевозить в разобранном виде и собирать уже в месте его применения. Корпус танка имел ромбовидный профиль с гусеницами, охватывающими корпус, толщина его броневых листов достигала 30 мм. Основное вооружение устанавливалось в широких спонсонах и бортовых амбразурах. Спонсоны сложной формы были съемными. В передней и задней стенках спонсона были сделаны амбразуры для установки двух пушек, кроме того в передней стенке спонсона имелась и пулеметная амбразура. Для наведения пушки служил телескопический прицел. Танк обслуживали 22 члена экипажа, среди них два водителя и радист! Механики, следившие за состоянием двигателей, должны были также вести огонь из пулеметов в корме танка. В качестве силовой установки использовались два двигателя «Даймлер» мощностью по 650 л. с. каждый. Благодаря им танк должен был развивать скорость до 7,5 км/ч по шоссе. Однако из-за своих громадных размеров «Колоссаль» был неповоротлив, а обзор из башни управления оказался неудовлетворительным. В конце концов военные признали, что его можно использовать только как передвижную батарею или «подвижный форт» в условиях позиционной войны. Однако ни одного сверхтяжелого танка до окончания войны немцы достроить так и не успели (22831).</w:t>
      </w:r>
    </w:p>
    <w:p w14:paraId="42170E5C" w14:textId="77777777" w:rsidR="00763B8F" w:rsidRPr="002F2FDF" w:rsidRDefault="00763B8F" w:rsidP="0083075A">
      <w:pPr>
        <w:spacing w:after="0" w:line="240" w:lineRule="auto"/>
        <w:jc w:val="both"/>
        <w:rPr>
          <w:rFonts w:ascii="Times New Roman" w:hAnsi="Times New Roman" w:cs="Times New Roman"/>
          <w:color w:val="000000" w:themeColor="text1"/>
          <w:sz w:val="16"/>
          <w:szCs w:val="16"/>
        </w:rPr>
      </w:pPr>
    </w:p>
    <w:p w14:paraId="3807BE31" w14:textId="77777777" w:rsidR="00763B8F" w:rsidRPr="002F2FDF" w:rsidRDefault="00763B8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В июне 1917 г. прототип № 1, по сути, шасси будущего танка Fiat 2000, поступил на испытания. Бронекорпуса в тот момент еще не было, поэтому шасси сначала каталось с брезентовым навесом над рабочей платформой. Первый вариант корпуса установили только к февралю 1918 г. Машина уже стала походить на будущий танк, однако вместо полусферической орудийной башни имела башню с плоским верхом, а пулеметное вооружение вообще не устанавливалось.</w:t>
      </w:r>
    </w:p>
    <w:p w14:paraId="1C1835EB" w14:textId="77777777" w:rsidR="00763B8F" w:rsidRPr="002F2FDF" w:rsidRDefault="00763B8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Производство бронекорпуса для Fiat 2000 оказалось связано с немалыми проблемами. Предполагалось, что он будет изготавливаться из высококачественных листов лучшей из доступной на то время ванадиевой стали, изготавливавшихся на заводе компании Ansaldo в Терни (первоначально подобная броня предназначалась для заказанного в 1914 г., но так и не достроенного линкора Cristoforo Colombo), но у Ansaldo не было официального контракта с армией на производство броневой плиты, а проект выходил довольно дорогой. В конце концов, хоть и с задержкой, но поставки брони согласовали, и на заводе Fiat San Giorgio в Сести-Леванте был собран первый корпус.</w:t>
      </w:r>
    </w:p>
    <w:p w14:paraId="67D94339" w14:textId="77777777" w:rsidR="00763B8F" w:rsidRPr="002F2FDF" w:rsidRDefault="00763B8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Компоновка танка Fiat 2000 была простой, но в то же время рациональной. Двигатель, транс миссия и вся ходовая часть были скомпонованы в нижней части машины, которая была отделена от верхней части специальной переборкой, благодаря чему двигатель оказывался изолирован от отсека экипажа. Такое решение позволяло существенно снизить риск отравления экипажа выхлопными газами, повышало пожаробезопасность, а также позволяло изготавливать танк по частям, в отдельных цехах, и производить полную сборку уже на заключительном этапе. В отличие от современных ему британских танков, в ходовой Fiat 2000 решили не использовать для повышения проходимости гусеничную ленту, охватывающую весь корпус, ограничившись более традиционной формой гусеничного обвода. Правда, спереди и сзади он значительно выступал за пределы корпуса, а ведущие и направляющие колеса имели большой диаметр и были приподняты над поверхностью земли. Все это вкупе с широкими гусеницами обеспечивало танку неплохую проходимость даже на слабых грунтах. Танк преодолевал вертикальные препятствия до 1 м, рвы шириной 3–3,5 м и склоны в 35–40°. Водителя разместили спереди по центральной оси танка в специальной выступающей «будке», благодаря чему обеспечивался очень хороший обзор вперед. Вести наблюдение за дорогой можно было через зеркальный перископ или большой люк, открывающийся для улучшения видимости или проветривания. Прототип № 1 первоначально имел круглую башню с плоским верхом (скорее всего, это был просто макет), а пулеметные установки размещались только в переднем и заднем листах корпуса. Прототип № 2 уже получил заложенную по проекту сферическую артиллерийскую башню, а также пулеметные установки в углах корпуса. Всего в корпусе, по углам и посередине бортов и кормы можно было установить до восьми 6,5-мм пулеметов Fiat модели 1914 г. с водяным охлаждением. Кроме того, для стрельбы из личного оружия служили расположенные между установками вооружения прямоугольные бойницы (окошки) со сдвижными вертикальными внутренними бронезаслонками. В сферической башне на крыше корпуса монтировалась 65-миллиметровая горная пушка Туринского арсенала M.1910/M.1913. На раннем этапе рассматривались также варианты вооружения танка 75-мм или 76-мм пушкой (вероятно, 75/27CK), но в конце концов была выбрана именно 65-мм горная пушка. В ее боекомплекте имелись бронебойные, фугасные и шрапнельные снаряды, кроме того, горная пушка могла вести огонь как прямой наводкой, так и с большими углами возвышения. Это было важно ввиду того, что расположение башни оставляло вокруг танка большую мертвую зону. Поворот башни и наведение пушки производились вручную. В конструкции корпуса использовались листы катанной брони толщиной от 20 (передние, задние, бортовые) до 15 мм (крыша) с наклоном лобового, бортовых и кормового листов. Дополнительно ходовая часть прикрывалась большими экранами. В результате была обеспечена хорошая защита механизмов и экипажа. Последний включал 10 человек, но благодаря тому, что Fiat 2000 был значительно более просторным, чем те же британские «ромбы», итальянскому экипажу были обеспечены более комфортные условия для обслуживания вооружения. В большинстве случаев итальянцы могли вести огонь стоя, а не в очень неудобном полуприседе, как их британские коллеги. Для посадки и высадки служила большая дверь в левом борту (22859).</w:t>
      </w:r>
    </w:p>
    <w:p w14:paraId="14F4CD28" w14:textId="77777777" w:rsidR="00763B8F" w:rsidRPr="002F2FDF" w:rsidRDefault="00763B8F" w:rsidP="0083075A">
      <w:pPr>
        <w:spacing w:after="0" w:line="240" w:lineRule="auto"/>
        <w:jc w:val="both"/>
        <w:rPr>
          <w:rFonts w:ascii="Times New Roman" w:hAnsi="Times New Roman" w:cs="Times New Roman"/>
          <w:color w:val="000000" w:themeColor="text1"/>
          <w:sz w:val="16"/>
          <w:szCs w:val="16"/>
        </w:rPr>
      </w:pPr>
    </w:p>
    <w:p w14:paraId="3EC81C25" w14:textId="26D3D1ED" w:rsidR="0056617B" w:rsidRDefault="0056617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Авиапромышленность:</w:t>
      </w:r>
    </w:p>
    <w:p w14:paraId="17C7C63F" w14:textId="77777777" w:rsidR="0056617B" w:rsidRDefault="0056617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660D0C37" w14:textId="77777777" w:rsidR="0056617B" w:rsidRPr="00FB4F67" w:rsidRDefault="0056617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июне — июле 1917 г. испытывался ИМ серии Г-4, позднее построили несколько экземпляров данной модификации (23374).</w:t>
      </w:r>
    </w:p>
    <w:p w14:paraId="1D9A9610" w14:textId="77777777" w:rsidR="0056617B" w:rsidRPr="00FB4F67" w:rsidRDefault="0056617B" w:rsidP="0083075A">
      <w:pPr>
        <w:spacing w:after="0" w:line="240" w:lineRule="auto"/>
        <w:jc w:val="both"/>
        <w:rPr>
          <w:rFonts w:ascii="Times New Roman" w:hAnsi="Times New Roman" w:cs="Times New Roman"/>
          <w:color w:val="0070C0"/>
          <w:sz w:val="16"/>
          <w:szCs w:val="16"/>
        </w:rPr>
      </w:pPr>
    </w:p>
    <w:p w14:paraId="4D21B935" w14:textId="1DEC92C8"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1CB14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E8C6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июне-июле 1917 худо-бедно на фронте работал Башко со своим "Киевским" сделав 13 полетов. Необстрелянная молодежь (новые пилоты кораблей) вообще вылетели по разу, да и то вернулись не выполнив задания. Например: "Корабль XI-й поручика Грек был встречен таким ураганом снарядов, что не выдержал и повернул, получив массу пробоин, одна даже цельным снарядом" (12038).</w:t>
      </w:r>
    </w:p>
    <w:p w14:paraId="2B1B81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E7F377" w14:textId="77777777" w:rsidR="0056617B" w:rsidRPr="00FB4F67" w:rsidRDefault="0056617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период с июня по август 1917 г. 2-й и 3-й боевые отряды ЭВК, имевшие в своем составе 5–8 кораблей, действовали в составе 7-й армии на Юго-Западном фронте. В конце августа 2-й и 3-й боевые отряды двинулись к Стриховцам, также на Юго-Западном фронте. Их прикрывала 1-я боевая авиагруппа Козакова в составе 2-й КАО, 4-й КАО и 19-й КАО с истребителями Ньюпор, которые совершили семнадцать полетов прикрытия больших кораблей (23525).</w:t>
      </w:r>
    </w:p>
    <w:p w14:paraId="78740CFF" w14:textId="77777777" w:rsidR="0056617B" w:rsidRPr="00FB4F67" w:rsidRDefault="0056617B" w:rsidP="0083075A">
      <w:pPr>
        <w:spacing w:after="0" w:line="240" w:lineRule="auto"/>
        <w:jc w:val="both"/>
        <w:rPr>
          <w:rFonts w:ascii="Times New Roman" w:hAnsi="Times New Roman" w:cs="Times New Roman"/>
          <w:color w:val="0070C0"/>
          <w:sz w:val="16"/>
          <w:szCs w:val="16"/>
        </w:rPr>
      </w:pPr>
    </w:p>
    <w:p w14:paraId="17237AA4" w14:textId="77777777" w:rsidR="0056617B" w:rsidRPr="00FB4F67" w:rsidRDefault="0056617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течение июня-августа 1917 г. на Кавказском фронте две русские летающие лодки Бакинского военно-морского авиационного училища были приданы временной части под названием «Ван» и Озеро Урмия Военно-морской отряд. В ходе своих операций они обнаружили турецкие войска в зданиях на озере Ван. В результате русские направили для их уничтожения три вооруженных моторных катера (23525).</w:t>
      </w:r>
    </w:p>
    <w:p w14:paraId="47249D8D" w14:textId="77777777" w:rsidR="0056617B" w:rsidRPr="00FB4F67" w:rsidRDefault="0056617B" w:rsidP="0083075A">
      <w:pPr>
        <w:spacing w:after="0" w:line="240" w:lineRule="auto"/>
        <w:jc w:val="both"/>
        <w:rPr>
          <w:rFonts w:ascii="Times New Roman" w:hAnsi="Times New Roman" w:cs="Times New Roman"/>
          <w:color w:val="0070C0"/>
          <w:sz w:val="16"/>
          <w:szCs w:val="16"/>
        </w:rPr>
      </w:pPr>
    </w:p>
    <w:p w14:paraId="5945740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8813C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31BC669" w14:textId="77777777" w:rsidR="00E61A30" w:rsidRPr="00FB4F67" w:rsidRDefault="00E61A3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середине 1917 г. закончен по сборке и облетан «Илья Муромец» Г-78 (ИМ Г-78, ИМ Г-3 № 243). На заводских испытаниях самолет показал скорость 129,4 км/ч, что для кораблей ИМ было не лучшим, но хорошим результатом.</w:t>
      </w:r>
    </w:p>
    <w:p w14:paraId="0B97A687" w14:textId="77777777" w:rsidR="00E61A30" w:rsidRPr="00FB4F67" w:rsidRDefault="00E61A3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«Илья Муромец» Г-78 (ИМ Г-78, ИМ Г-3 № 243) строился сразу как опытный (головной) корабль серии Г-3 (см. выше) согласно составленным в начале 1917 г. ТУ. Сведения о выполнении этого документа противоречивы. Некоторые источники утверждают, что в таком виде не было собрано и облетано ни одного самолета, другие говорят о том, что в виде Г-3 все же был построен по меньшей мере один из самолетов, но не называют его номера – сказывается дезорганизация производства и документации на РБВЗ, явившаяся следствием как упущений его руководства и того, что Председатель правления предприятия Шидловский, а часто и Главный инженер Сикорский на месте постоянно отсутствовали, находясь в действующей армии при ЭВК, так и с общей предреволюционной обстановкой в стране, вызванной кризисом центральной царской власти, имевшем место уже в конце 1916 г.</w:t>
      </w:r>
    </w:p>
    <w:p w14:paraId="53DC5099" w14:textId="77777777" w:rsidR="00E61A30" w:rsidRPr="00FB4F67" w:rsidRDefault="00E61A3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Не известно точно, что из этих новых требований (кроме тех, где отметка о выполнении указана в скобках в приведенных выше сведениях о ТУ на самолет) было внедрено, но внедрена по крайней мере основная часть нововведений, кроме того по отношению к типовой конструкции и комплектации самолета ИМ Г-2 введены следующие доработки:</w:t>
      </w:r>
    </w:p>
    <w:p w14:paraId="460CE954" w14:textId="77777777" w:rsidR="00E61A30" w:rsidRPr="00FB4F67" w:rsidRDefault="00E61A3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усилены стойки и растяжки бипланной коробки крыльев;</w:t>
      </w:r>
    </w:p>
    <w:p w14:paraId="78601CFF" w14:textId="77777777" w:rsidR="00E61A30" w:rsidRPr="00FB4F67" w:rsidRDefault="00E61A3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добавлен нижний средний киль (по данным В. Шаврова РН остались без изменений, по работам М. Хайрулина «установлены вертикальные кили и боковые рули направления»);</w:t>
      </w:r>
    </w:p>
    <w:p w14:paraId="1A45488B" w14:textId="77777777" w:rsidR="00E61A30" w:rsidRPr="00FB4F67" w:rsidRDefault="00E61A3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усилено шасси;</w:t>
      </w:r>
    </w:p>
    <w:p w14:paraId="6EFCB12B" w14:textId="77777777" w:rsidR="00E61A30" w:rsidRPr="00FB4F67" w:rsidRDefault="00E61A3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в дверях и окнах были установлены пулеметные шкворни (оружие устанавливалось на них при стрельбе);</w:t>
      </w:r>
    </w:p>
    <w:p w14:paraId="6F25B30F" w14:textId="77777777" w:rsidR="00E61A30" w:rsidRPr="00FB4F67" w:rsidRDefault="00E61A3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сделана нижняя (люковая) пулеметная установка;</w:t>
      </w:r>
    </w:p>
    <w:p w14:paraId="14532AC8" w14:textId="77777777" w:rsidR="00E61A30" w:rsidRPr="00FB4F67" w:rsidRDefault="00E61A3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бомбовая кассета с вертикальной укладкой АБ могла заменяться «шкафом» с горизонтальной укладкой бомб.</w:t>
      </w:r>
    </w:p>
    <w:p w14:paraId="559CF686" w14:textId="77777777" w:rsidR="00E61A30" w:rsidRPr="00FB4F67" w:rsidRDefault="00E61A3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Самолет был построен с 2 внутренними моторами «Рено» (предп. Renault 8Gd 200 л.с. на взлете, 196 на боевом и 192 на крейсерском режимах) и 2 внешними моторами РБЗ-6 по 150 л.с. (23553).</w:t>
      </w:r>
    </w:p>
    <w:p w14:paraId="01AA518B" w14:textId="77777777" w:rsidR="00E61A30" w:rsidRPr="00FB4F67" w:rsidRDefault="00E61A30" w:rsidP="0083075A">
      <w:pPr>
        <w:spacing w:after="0" w:line="240" w:lineRule="auto"/>
        <w:jc w:val="both"/>
        <w:rPr>
          <w:rFonts w:ascii="Times New Roman" w:hAnsi="Times New Roman" w:cs="Times New Roman"/>
          <w:color w:val="0070C0"/>
          <w:sz w:val="16"/>
          <w:szCs w:val="16"/>
        </w:rPr>
      </w:pPr>
    </w:p>
    <w:p w14:paraId="7E06F352" w14:textId="77777777" w:rsidR="00E61A30" w:rsidRPr="00FB4F67" w:rsidRDefault="00E61A3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середине 1917 г. на РБВЗ были проработаны пути повышения высотно-скоростных качеств самолета «Илья Муромец», что к тому времени стало совершенно необходимо в условиях значительного улучшения авиации и зенитной артиллерии противника. Как единственный вариант решения этой задачи было предложено сделать модификацию с установкой новейших французских V-образных 12-цилиндровых моторов водяного охлаждения Renault V-12Fe мощностью 300 л.с., которые имели вес 350 кг и применялись на одномоторных ближних разведчиках и бомбардировщиках Breguet 14B.2. Однако к осени 1917 г. в условиях неспособности Временного правительства наладить работу оборонной промышленности и стабилизировать ситуацию хотя бы в столице завод остановился и это предложение воплощено не было (24094).</w:t>
      </w:r>
    </w:p>
    <w:p w14:paraId="6BB188F9" w14:textId="77777777" w:rsidR="00E61A30" w:rsidRPr="00FB4F67" w:rsidRDefault="00E61A30" w:rsidP="0083075A">
      <w:pPr>
        <w:spacing w:after="0" w:line="240" w:lineRule="auto"/>
        <w:jc w:val="both"/>
        <w:rPr>
          <w:rFonts w:ascii="Times New Roman" w:hAnsi="Times New Roman" w:cs="Times New Roman"/>
          <w:color w:val="0070C0"/>
          <w:sz w:val="16"/>
          <w:szCs w:val="16"/>
        </w:rPr>
      </w:pPr>
    </w:p>
    <w:p w14:paraId="2C1507CB" w14:textId="77777777" w:rsidR="00DF4D53" w:rsidRPr="002F2FDF" w:rsidRDefault="00DF4D5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 учитывая успешный опыт применения “Муромцев” на фронте, была предпринята попытка расширить область применения этих кораблей. В интересах Морского ведомства один из них был оборудован минным аппаратом для применения в качестве торпедоносца. Испытания прервала революция (11196).</w:t>
      </w:r>
    </w:p>
    <w:p w14:paraId="3DD8AF51" w14:textId="77777777" w:rsidR="00DF4D53" w:rsidRPr="002F2FDF" w:rsidRDefault="00DF4D5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BD124D" w14:textId="77777777" w:rsidR="00856C3A" w:rsidRPr="002F2FDF" w:rsidRDefault="00856C3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 на РБВЗ вернулся М.Ф.Климиксеев, на</w:t>
      </w:r>
      <w:r w:rsidRPr="002F2FDF">
        <w:rPr>
          <w:rFonts w:ascii="Times New Roman" w:hAnsi="Times New Roman" w:cs="Times New Roman"/>
          <w:color w:val="000000" w:themeColor="text1"/>
          <w:kern w:val="2"/>
          <w:sz w:val="16"/>
          <w:szCs w:val="16"/>
        </w:rPr>
        <w:softHyphen/>
        <w:t>значенный главным инженером РБВЗ. УВВФ прислало нового наблюдающего офицера - штабс-капитана Арсе-ньева (10667).</w:t>
      </w:r>
    </w:p>
    <w:p w14:paraId="5673E485" w14:textId="77777777" w:rsidR="00856C3A" w:rsidRPr="002F2FDF" w:rsidRDefault="00856C3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12A646" w14:textId="77777777" w:rsidR="00856C3A" w:rsidRPr="002F2FDF" w:rsidRDefault="00856C3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Летом 1917 г. на завод Авиабалт вернулся М. Ф. Климиксеев, назначенный главным инженером РБВЗ. УВВФ прислало нового наблюдающего офицера — штабс-капитана Арсеньева (15125).</w:t>
      </w:r>
    </w:p>
    <w:p w14:paraId="61818ABE" w14:textId="77777777" w:rsidR="00856C3A" w:rsidRPr="002F2FDF" w:rsidRDefault="00856C3A" w:rsidP="0083075A">
      <w:pPr>
        <w:spacing w:after="0" w:line="240" w:lineRule="auto"/>
        <w:jc w:val="both"/>
        <w:rPr>
          <w:rFonts w:ascii="Times New Roman" w:hAnsi="Times New Roman" w:cs="Times New Roman"/>
          <w:color w:val="000000" w:themeColor="text1"/>
          <w:kern w:val="2"/>
          <w:sz w:val="16"/>
          <w:szCs w:val="16"/>
        </w:rPr>
      </w:pPr>
    </w:p>
    <w:p w14:paraId="41B48785" w14:textId="77777777" w:rsidR="00856C3A" w:rsidRPr="002F2FDF" w:rsidRDefault="00856C3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 учитывая успешный опыт применения “Муромцев” на фронте, была предпринята попытка расширить область применения этих кораблей. В интересах Морского ведомства один из них был оборудован минным аппаратом для применения в качестве торпедоносца. Испытания прервала революция (11196).</w:t>
      </w:r>
    </w:p>
    <w:p w14:paraId="45BFD3C1" w14:textId="77777777" w:rsidR="00856C3A" w:rsidRPr="002F2FDF" w:rsidRDefault="00856C3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2B762B" w14:textId="77777777" w:rsidR="00856C3A" w:rsidRPr="002F2FDF" w:rsidRDefault="00856C3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Летом 1917 г.</w:t>
      </w:r>
      <w:bookmarkStart w:id="187" w:name="_Hlk51508561"/>
      <w:r w:rsidRPr="002F2FDF">
        <w:rPr>
          <w:rFonts w:ascii="Times New Roman" w:hAnsi="Times New Roman" w:cs="Times New Roman"/>
          <w:color w:val="000000" w:themeColor="text1"/>
          <w:sz w:val="16"/>
          <w:szCs w:val="16"/>
        </w:rPr>
        <w:t>, несмотря на возрастающий хаос, на заводе РБВЗ как-то пытались вести экспериментальную работу</w:t>
      </w:r>
      <w:bookmarkEnd w:id="187"/>
      <w:r w:rsidRPr="002F2FDF">
        <w:rPr>
          <w:rFonts w:ascii="Times New Roman" w:hAnsi="Times New Roman" w:cs="Times New Roman"/>
          <w:color w:val="000000" w:themeColor="text1"/>
          <w:sz w:val="16"/>
          <w:szCs w:val="16"/>
        </w:rPr>
        <w:t>. Учитывая успешный опыт применения «Муромцев» на фронте, была предпринята попытка расширить область применения этих кораблей. В интересах Морского ведомства один из них был оборудован минным аппаратом для применения в качестве торпедоносца. Испытания прервала революция (19963).</w:t>
      </w:r>
    </w:p>
    <w:p w14:paraId="7D612E67" w14:textId="77777777" w:rsidR="00856C3A" w:rsidRPr="002F2FDF" w:rsidRDefault="00856C3A" w:rsidP="0083075A">
      <w:pPr>
        <w:spacing w:after="0" w:line="240" w:lineRule="auto"/>
        <w:jc w:val="both"/>
        <w:rPr>
          <w:rFonts w:ascii="Times New Roman" w:hAnsi="Times New Roman" w:cs="Times New Roman"/>
          <w:color w:val="000000" w:themeColor="text1"/>
          <w:sz w:val="16"/>
          <w:szCs w:val="16"/>
          <w:shd w:val="clear" w:color="auto" w:fill="FFFFFF"/>
        </w:rPr>
      </w:pPr>
    </w:p>
    <w:p w14:paraId="70ECCD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на заводе В.В.Слюсаренко и Л.В.Зверевой в Петрограде в постройке были 20 Лебедь-XII, 45 Моран-Ж 16-метровых, 28 Моран-Ж 14-метровых, 20 Фарман IV, и 4 Фарман XVI. Все сдал, но в конце 1918 закрылся (92,169).</w:t>
      </w:r>
    </w:p>
    <w:p w14:paraId="4790B5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98408B"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3BF0E066"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Ранее, 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Renault мощностью 220 л.с. были установлены в январе 1916 года.</w:t>
      </w:r>
    </w:p>
    <w:p w14:paraId="22DD82F9"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26F63CBC"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4F84CD91"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FBA с двигателем Gnome мощностью 100 л.с.; один тип «ГФ» Лебедева и конструктора Г.А. Фриде, модифицированный Morane Saulnier тип L, переделанный в летающую лодку; одна летающая лодка «Виллиш ВМ-2»; а в декабре 1916 года одна летающая лодка Villish VM-4 с двигателем Rhone HOhp,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34CF0247"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04972607"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1917 году Лебедев получил британскую лицензию на производство Sopwith Pup и Sopwith Camel, но производство так и не началось. Однако известно, что в 1917 году на заводе в Петрограде было построено пять самолетов Sopwith 1 1/2 Strutters.</w:t>
      </w:r>
    </w:p>
    <w:p w14:paraId="359A91EA"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Rumpier и LVG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05DCA0C4"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Лебедь-17 с двигателем Salmson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(Lebed Le Grand), со- Совместно с Колпаковым-Мирошниченко был разработан большой трехстоечный биплан с двумя двигателями Salmson мощностью 15 Ом.</w:t>
      </w:r>
    </w:p>
    <w:p w14:paraId="7C10421C"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16C5343F"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1917 г. был испытан трехместный биплан «Лебедь-16» с двумя двигателями «Рона» мощностью 80 л. Лебедь-17, разработанный совместно с Гуревичем, с одним двигателем Salmson мощностью 150 л.с. Летные испытания он прошел в августе 1917 года. Было построено несколько самолетов, но в серийное производство он так и не пошел.</w:t>
      </w:r>
    </w:p>
    <w:p w14:paraId="267202F8"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Salmson мощностью 150 л.с. Лебедь 24 остался проектом из-за непоставки ожидаемых двигателей Fiat и Hispano-Suiza.</w:t>
      </w:r>
    </w:p>
    <w:p w14:paraId="7EE8B2C4"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Nieuport X; 10 марта 1917 г. - 15 из 60 Nieuport X; 30 мая 1917 г. - ни одного из 200 Лебедей 24; 1917 г., 5 июля - заказ на 140 Sopwith 1/2 Страттерс и 60 Лебедей для школы, неизвестно, были ли они построены.</w:t>
      </w:r>
    </w:p>
    <w:p w14:paraId="401EFEC4"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00207EE6"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79B0DAEC" w14:textId="77777777" w:rsidR="003875B3" w:rsidRPr="00FB4F67" w:rsidRDefault="003875B3" w:rsidP="0083075A">
      <w:pPr>
        <w:spacing w:after="0" w:line="240" w:lineRule="auto"/>
        <w:jc w:val="both"/>
        <w:rPr>
          <w:rFonts w:ascii="Times New Roman" w:hAnsi="Times New Roman" w:cs="Times New Roman"/>
          <w:color w:val="0070C0"/>
          <w:sz w:val="16"/>
          <w:szCs w:val="16"/>
        </w:rPr>
      </w:pPr>
    </w:p>
    <w:p w14:paraId="51DD0AF1" w14:textId="77777777" w:rsidR="00DF4D53" w:rsidRPr="00FB4F67" w:rsidRDefault="00DF4D5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Летом 1917 г. в отчете об осмотре завода Моска говорилось: «Рабочий вопрос стоит, как и везде, плохо: производительность упала очень значительно... Отношения между рабочими и администрацией удовлетворительные, а по отношению к самому Моска даже хорошие, т. к. рабочие уважают его как хорошего мастера, но служебной дисциплины, конечно, почти нет, и в этом не последнюю роль играют большевики» (23472).</w:t>
      </w:r>
    </w:p>
    <w:p w14:paraId="27F99845" w14:textId="77777777" w:rsidR="00DF4D53" w:rsidRPr="00FB4F67" w:rsidRDefault="00DF4D53" w:rsidP="0083075A">
      <w:pPr>
        <w:spacing w:after="0" w:line="240" w:lineRule="auto"/>
        <w:jc w:val="both"/>
        <w:rPr>
          <w:rFonts w:ascii="Times New Roman" w:hAnsi="Times New Roman" w:cs="Times New Roman"/>
          <w:color w:val="0070C0"/>
          <w:sz w:val="16"/>
          <w:szCs w:val="16"/>
        </w:rPr>
      </w:pPr>
    </w:p>
    <w:p w14:paraId="2D5344F1" w14:textId="77777777" w:rsidR="00DF4D53" w:rsidRPr="00FB4F67" w:rsidRDefault="00DF4D5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Летом 1917 г. начавшиеся волнения и за</w:t>
      </w:r>
      <w:r w:rsidRPr="00FB4F67">
        <w:rPr>
          <w:rFonts w:ascii="Times New Roman" w:hAnsi="Times New Roman" w:cs="Times New Roman"/>
          <w:color w:val="0070C0"/>
          <w:sz w:val="16"/>
          <w:szCs w:val="16"/>
        </w:rPr>
        <w:softHyphen/>
        <w:t>бастовки, а также отсутствие оборотных средств, сырья и комплектующих изделий (в основном двигателей) поставили щпредприя</w:t>
      </w:r>
      <w:r w:rsidRPr="00FB4F67">
        <w:rPr>
          <w:rFonts w:ascii="Times New Roman" w:hAnsi="Times New Roman" w:cs="Times New Roman"/>
          <w:color w:val="0070C0"/>
          <w:sz w:val="16"/>
          <w:szCs w:val="16"/>
        </w:rPr>
        <w:softHyphen/>
        <w:t>тие на грань краха. Конструктор и глава предприятия Франческо Моска вынужден был вернуться на родину. Какое-то время все хозяйство находилось под присмотром механика Котильона, однако вскоре вынуж</w:t>
      </w:r>
      <w:r w:rsidRPr="00FB4F67">
        <w:rPr>
          <w:rFonts w:ascii="Times New Roman" w:hAnsi="Times New Roman" w:cs="Times New Roman"/>
          <w:color w:val="0070C0"/>
          <w:sz w:val="16"/>
          <w:szCs w:val="16"/>
        </w:rPr>
        <w:softHyphen/>
        <w:t>ден был уехать и он. Задел производства использовали в 1917—18 гг. уже революци</w:t>
      </w:r>
      <w:r w:rsidRPr="00FB4F67">
        <w:rPr>
          <w:rFonts w:ascii="Times New Roman" w:hAnsi="Times New Roman" w:cs="Times New Roman"/>
          <w:color w:val="0070C0"/>
          <w:sz w:val="16"/>
          <w:szCs w:val="16"/>
        </w:rPr>
        <w:softHyphen/>
        <w:t>онные власти. Точное количество сданных самолетов неизвестно, однако можно пред</w:t>
      </w:r>
      <w:r w:rsidRPr="00FB4F67">
        <w:rPr>
          <w:rFonts w:ascii="Times New Roman" w:hAnsi="Times New Roman" w:cs="Times New Roman"/>
          <w:color w:val="0070C0"/>
          <w:sz w:val="16"/>
          <w:szCs w:val="16"/>
        </w:rPr>
        <w:softHyphen/>
        <w:t>положить, что на этом этапе их построили порядка полутора десятков, доведя, таким образом, суммарный выпуск самолетов Моска в двухместном и одноместном вари</w:t>
      </w:r>
      <w:r w:rsidRPr="00FB4F67">
        <w:rPr>
          <w:rFonts w:ascii="Times New Roman" w:hAnsi="Times New Roman" w:cs="Times New Roman"/>
          <w:color w:val="0070C0"/>
          <w:sz w:val="16"/>
          <w:szCs w:val="16"/>
        </w:rPr>
        <w:softHyphen/>
        <w:t>анте до 50 экземпляров. Имеются сведения, что испытаниями последних выпущенных аппаратов занимался летчик Г. Братолюбов. Заводские мощности после национали</w:t>
      </w:r>
      <w:r w:rsidRPr="00FB4F67">
        <w:rPr>
          <w:rFonts w:ascii="Times New Roman" w:hAnsi="Times New Roman" w:cs="Times New Roman"/>
          <w:color w:val="0070C0"/>
          <w:sz w:val="16"/>
          <w:szCs w:val="16"/>
        </w:rPr>
        <w:softHyphen/>
        <w:t>зации использовались для производства учебных самолетов А.А. Пороховщикова. Впоследствии завод Франческо Моска получил наименование Государственного авиазавода (ГАЗ) №25. В 1926—28 гг. там работал конструктор Н.Н.Поликарпов (23374).</w:t>
      </w:r>
    </w:p>
    <w:p w14:paraId="6E889C07" w14:textId="77777777" w:rsidR="00DF4D53" w:rsidRPr="00FB4F67" w:rsidRDefault="00DF4D53" w:rsidP="0083075A">
      <w:pPr>
        <w:spacing w:after="0" w:line="240" w:lineRule="auto"/>
        <w:jc w:val="both"/>
        <w:rPr>
          <w:rFonts w:ascii="Times New Roman" w:hAnsi="Times New Roman" w:cs="Times New Roman"/>
          <w:color w:val="0070C0"/>
          <w:sz w:val="16"/>
          <w:szCs w:val="16"/>
        </w:rPr>
      </w:pPr>
    </w:p>
    <w:p w14:paraId="158506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М-15 Д.П.Г. - М-9 уменьшенный по размерам - применялся как тренировочный (1085,44).</w:t>
      </w:r>
    </w:p>
    <w:p w14:paraId="2B4CB3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927D8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лета 1917 г. самолет М-15, который оказалась удачей конструктора на пути раз</w:t>
      </w:r>
      <w:r w:rsidRPr="002F2FDF">
        <w:rPr>
          <w:rFonts w:ascii="Times New Roman" w:hAnsi="Times New Roman" w:cs="Times New Roman"/>
          <w:color w:val="000000" w:themeColor="text1"/>
          <w:kern w:val="2"/>
          <w:sz w:val="16"/>
          <w:szCs w:val="16"/>
        </w:rPr>
        <w:softHyphen/>
        <w:t>вития многофункционального лодоч</w:t>
      </w:r>
      <w:r w:rsidRPr="002F2FDF">
        <w:rPr>
          <w:rFonts w:ascii="Times New Roman" w:hAnsi="Times New Roman" w:cs="Times New Roman"/>
          <w:color w:val="000000" w:themeColor="text1"/>
          <w:kern w:val="2"/>
          <w:sz w:val="16"/>
          <w:szCs w:val="16"/>
        </w:rPr>
        <w:softHyphen/>
        <w:t>ного аэроплана, однако из-за ог</w:t>
      </w:r>
      <w:r w:rsidRPr="002F2FDF">
        <w:rPr>
          <w:rFonts w:ascii="Times New Roman" w:hAnsi="Times New Roman" w:cs="Times New Roman"/>
          <w:color w:val="000000" w:themeColor="text1"/>
          <w:kern w:val="2"/>
          <w:sz w:val="16"/>
          <w:szCs w:val="16"/>
        </w:rPr>
        <w:softHyphen/>
        <w:t>раниченного количества двигателей «Испано-Сюиза» мощностью 110 л.с. выпускался малой серией, применялся в ос</w:t>
      </w:r>
      <w:r w:rsidRPr="002F2FDF">
        <w:rPr>
          <w:rFonts w:ascii="Times New Roman" w:hAnsi="Times New Roman" w:cs="Times New Roman"/>
          <w:color w:val="000000" w:themeColor="text1"/>
          <w:kern w:val="2"/>
          <w:sz w:val="16"/>
          <w:szCs w:val="16"/>
        </w:rPr>
        <w:softHyphen/>
        <w:t>новном как тренировочный (11872).</w:t>
      </w:r>
    </w:p>
    <w:p w14:paraId="66E5629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03A1C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 начальник VI Воздушного дивизиона Воздушной дивизии Бал</w:t>
      </w:r>
      <w:r w:rsidRPr="002F2FDF">
        <w:rPr>
          <w:rFonts w:ascii="Times New Roman" w:hAnsi="Times New Roman" w:cs="Times New Roman"/>
          <w:color w:val="000000" w:themeColor="text1"/>
          <w:kern w:val="2"/>
          <w:sz w:val="16"/>
          <w:szCs w:val="16"/>
        </w:rPr>
        <w:softHyphen/>
        <w:t>тийского моря лейтенант А. И. Макаревич модифицировал один из гидро М-16 по собственному соображе</w:t>
      </w:r>
      <w:r w:rsidRPr="002F2FDF">
        <w:rPr>
          <w:rFonts w:ascii="Times New Roman" w:hAnsi="Times New Roman" w:cs="Times New Roman"/>
          <w:color w:val="000000" w:themeColor="text1"/>
          <w:kern w:val="2"/>
          <w:sz w:val="16"/>
          <w:szCs w:val="16"/>
        </w:rPr>
        <w:softHyphen/>
        <w:t>нию и дабы улучшить летные характеристики машины. Переделка происходила на базе 2-й Воздушной бригады дивизии в Або, и, вероятно, в результате ее офицер ожидал получить аэроплан с “нормальным” колесным шасси. Увы, ему не довелось увидеть плоды работы. Находясь в плену высоких революцион</w:t>
      </w:r>
      <w:r w:rsidRPr="002F2FDF">
        <w:rPr>
          <w:rFonts w:ascii="Times New Roman" w:hAnsi="Times New Roman" w:cs="Times New Roman"/>
          <w:color w:val="000000" w:themeColor="text1"/>
          <w:kern w:val="2"/>
          <w:sz w:val="16"/>
          <w:szCs w:val="16"/>
        </w:rPr>
        <w:softHyphen/>
        <w:t>ных идей, команда морской авиастанции Або деградировала до такой степени, что уже 18 июля коман</w:t>
      </w:r>
      <w:r w:rsidRPr="002F2FDF">
        <w:rPr>
          <w:rFonts w:ascii="Times New Roman" w:hAnsi="Times New Roman" w:cs="Times New Roman"/>
          <w:color w:val="000000" w:themeColor="text1"/>
          <w:kern w:val="2"/>
          <w:sz w:val="16"/>
          <w:szCs w:val="16"/>
        </w:rPr>
        <w:softHyphen/>
        <w:t>дующий Балтийским флотом приказал расформировать ее; к сожалению, процесс затянулся, а 30 августа обозленные матросы, собравшись между станционными ангарами, убили Макаревича. В середине нояб</w:t>
      </w:r>
      <w:r w:rsidRPr="002F2FDF">
        <w:rPr>
          <w:rFonts w:ascii="Times New Roman" w:hAnsi="Times New Roman" w:cs="Times New Roman"/>
          <w:color w:val="000000" w:themeColor="text1"/>
          <w:kern w:val="2"/>
          <w:sz w:val="16"/>
          <w:szCs w:val="16"/>
        </w:rPr>
        <w:softHyphen/>
        <w:t xml:space="preserve">ря его аппарат все-таки почти закончили в местных авиамастерских и намеревались испытать; в начале декабря речь шла уже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w:t>
      </w:r>
      <w:r w:rsidRPr="002F2FDF">
        <w:rPr>
          <w:rFonts w:ascii="Times New Roman" w:hAnsi="Times New Roman" w:cs="Times New Roman"/>
          <w:color w:val="000000" w:themeColor="text1"/>
          <w:kern w:val="2"/>
          <w:sz w:val="16"/>
          <w:szCs w:val="16"/>
        </w:rPr>
        <w:lastRenderedPageBreak/>
        <w:t>самолет; в конце концов, это был единствен</w:t>
      </w:r>
      <w:r w:rsidRPr="002F2FDF">
        <w:rPr>
          <w:rFonts w:ascii="Times New Roman" w:hAnsi="Times New Roman" w:cs="Times New Roman"/>
          <w:color w:val="000000" w:themeColor="text1"/>
          <w:kern w:val="2"/>
          <w:sz w:val="16"/>
          <w:szCs w:val="16"/>
        </w:rPr>
        <w:softHyphen/>
        <w:t>ный способ существенно продлить карьеру модели, или даже вдохнуть в нее новую жизнь, после того, как 20 сентября 1917 г. в докладе Управления морской авиации и воздухоплавания (УМАиВ) говори</w:t>
      </w:r>
      <w:r w:rsidRPr="002F2FDF">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6B6148B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2FB2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 начальник VI Воздушного дивизио</w:t>
      </w:r>
      <w:r w:rsidRPr="002F2FDF">
        <w:rPr>
          <w:rFonts w:ascii="Times New Roman" w:hAnsi="Times New Roman" w:cs="Times New Roman"/>
          <w:color w:val="000000" w:themeColor="text1"/>
          <w:kern w:val="2"/>
          <w:sz w:val="16"/>
          <w:szCs w:val="16"/>
        </w:rPr>
        <w:softHyphen/>
        <w:t>на воздушной дивизии Балтийского моря лейтенант А. И. Макаревич, предпринял попытку улучшить лёт</w:t>
      </w:r>
      <w:r w:rsidRPr="002F2FDF">
        <w:rPr>
          <w:rFonts w:ascii="Times New Roman" w:hAnsi="Times New Roman" w:cs="Times New Roman"/>
          <w:color w:val="000000" w:themeColor="text1"/>
          <w:kern w:val="2"/>
          <w:sz w:val="16"/>
          <w:szCs w:val="16"/>
        </w:rPr>
        <w:softHyphen/>
        <w:t>ные характеристики, оборудовав самолёт М-16 колёсным шасси. Переделка происходила на базе 2-й Воздушной бригады дивизии в Або и осталась незавершённой по трагическим обстоятельствам, так как 30 августа 1917 г. взбунтовав</w:t>
      </w:r>
      <w:r w:rsidRPr="002F2FDF">
        <w:rPr>
          <w:rFonts w:ascii="Times New Roman" w:hAnsi="Times New Roman" w:cs="Times New Roman"/>
          <w:color w:val="000000" w:themeColor="text1"/>
          <w:kern w:val="2"/>
          <w:sz w:val="16"/>
          <w:szCs w:val="16"/>
        </w:rPr>
        <w:softHyphen/>
        <w:t>шиеся матросы убили своего зас</w:t>
      </w:r>
      <w:r w:rsidRPr="002F2FDF">
        <w:rPr>
          <w:rFonts w:ascii="Times New Roman" w:hAnsi="Times New Roman" w:cs="Times New Roman"/>
          <w:color w:val="000000" w:themeColor="text1"/>
          <w:kern w:val="2"/>
          <w:sz w:val="16"/>
          <w:szCs w:val="16"/>
        </w:rPr>
        <w:softHyphen/>
        <w:t>луженного командира, награждён</w:t>
      </w:r>
      <w:r w:rsidRPr="002F2FDF">
        <w:rPr>
          <w:rFonts w:ascii="Times New Roman" w:hAnsi="Times New Roman" w:cs="Times New Roman"/>
          <w:color w:val="000000" w:themeColor="text1"/>
          <w:kern w:val="2"/>
          <w:sz w:val="16"/>
          <w:szCs w:val="16"/>
        </w:rPr>
        <w:softHyphen/>
        <w:t>ного орденами: св. Станислава 3-й степени; св. Анны 4-й степени с надписью «За храбрость»; св. Ан</w:t>
      </w:r>
      <w:r w:rsidRPr="002F2FDF">
        <w:rPr>
          <w:rFonts w:ascii="Times New Roman" w:hAnsi="Times New Roman" w:cs="Times New Roman"/>
          <w:color w:val="000000" w:themeColor="text1"/>
          <w:kern w:val="2"/>
          <w:sz w:val="16"/>
          <w:szCs w:val="16"/>
        </w:rPr>
        <w:softHyphen/>
        <w:t>ны - 3 -йстепени с мечами и бан</w:t>
      </w:r>
      <w:r w:rsidRPr="002F2FDF">
        <w:rPr>
          <w:rFonts w:ascii="Times New Roman" w:hAnsi="Times New Roman" w:cs="Times New Roman"/>
          <w:color w:val="000000" w:themeColor="text1"/>
          <w:kern w:val="2"/>
          <w:sz w:val="16"/>
          <w:szCs w:val="16"/>
        </w:rPr>
        <w:softHyphen/>
        <w:t>тами (11872).</w:t>
      </w:r>
    </w:p>
    <w:p w14:paraId="56DA1C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7529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на ПРТВ был готов (завершена сборка) первый ГАСН - двухмоторный трехстоечный биплан с Рено 220 нр. Срок был еще в апреле, но не успевали из-за отсутствия сухого дерева, политических беспорядков и т.п. (2807,82).</w:t>
      </w:r>
    </w:p>
    <w:p w14:paraId="11D355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7890E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 на ПРТВ завершили сборку первого прототипа ГАСН. Аппарат представ</w:t>
      </w:r>
      <w:r w:rsidRPr="002F2FDF">
        <w:rPr>
          <w:rFonts w:ascii="Times New Roman" w:hAnsi="Times New Roman" w:cs="Times New Roman"/>
          <w:color w:val="000000" w:themeColor="text1"/>
          <w:kern w:val="2"/>
          <w:sz w:val="16"/>
          <w:szCs w:val="16"/>
        </w:rPr>
        <w:softHyphen/>
        <w:t>лял собой двухмоторный трехстоечный биплан с двумя большими поплавками. Его фюзеляж с обшивкой из фанеры и полотна (в хвосте) обладал открытой двухместной пилотской кабиной и двумя пулеметными ячейками в носовой и средней частях и вмещал боевой экипаж из трех человек. Оперение бипланного типа состояло из небольшого киля, трех рулей направления и двух рулей глубины, собранных воедино при помощи стоек и растяжек. Главные двухлонжеронные несущие поверхности не отличались какими-либо особенностями, если не считать таковыми дополнительные, призванные для навешивания элеро</w:t>
      </w:r>
      <w:r w:rsidRPr="002F2FDF">
        <w:rPr>
          <w:rFonts w:ascii="Times New Roman" w:hAnsi="Times New Roman" w:cs="Times New Roman"/>
          <w:color w:val="000000" w:themeColor="text1"/>
          <w:kern w:val="2"/>
          <w:sz w:val="16"/>
          <w:szCs w:val="16"/>
        </w:rPr>
        <w:softHyphen/>
        <w:t>нов, лонжероны верхних крыльев. Последние соединялись с нижними посредством сделанных из сталь</w:t>
      </w:r>
      <w:r w:rsidRPr="002F2FDF">
        <w:rPr>
          <w:rFonts w:ascii="Times New Roman" w:hAnsi="Times New Roman" w:cs="Times New Roman"/>
          <w:color w:val="000000" w:themeColor="text1"/>
          <w:kern w:val="2"/>
          <w:sz w:val="16"/>
          <w:szCs w:val="16"/>
        </w:rPr>
        <w:softHyphen/>
        <w:t>ных труб и закрытых полотняными обтекателями стоек и проволочных расчалок; стойки моторных рам обтекателей не имели. Деревянные поплавки располагались под двигателями, крепясь снабженными резиновой амортизацией стойками из стальных труб к силовому набору нижних крыльев. По Шаврову, машина двигалась благодаря двум 220-сильным моторам “Рено”, пришедшим на замену “Роллс-Рой-сам”, опоздавшим, очевидно, поставкой. Тот же источник называет 24 августа 1917 г. днем первого вылета прототипа, якобы совершенного в Петрограде А. Е. Грузиновым, к этому времени старшим лейтенантом военно-морских сил. Итогом августовских испытаний явились некоторые изменения в конструкции, бывшие следствием стремления улучшить, во-первых, центровку аппарата, сделав ее более передней путем перемещения двигателей и прочих грузов и придания небольшой стреловидности крыльям, и, во-вторых, его управляемость в воз</w:t>
      </w:r>
      <w:r w:rsidRPr="002F2FDF">
        <w:rPr>
          <w:rFonts w:ascii="Times New Roman" w:hAnsi="Times New Roman" w:cs="Times New Roman"/>
          <w:color w:val="000000" w:themeColor="text1"/>
          <w:kern w:val="2"/>
          <w:sz w:val="16"/>
          <w:szCs w:val="16"/>
        </w:rPr>
        <w:softHyphen/>
        <w:t>духе — за счет увеличения площади рулей. При том ГАСН продемонстрировал хорошую мореходность и достаточную управляемость на воде, но доработки все же требовали времени, и опыты возобновились только после 17 сентября, проходя на Опытном аэродроме Петроградской школы морской авиации (2807).</w:t>
      </w:r>
    </w:p>
    <w:p w14:paraId="735B75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CF15C3"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середине 1917 г. на заводе Щетинина построили МК-1 и до глубокой осени готовили к спуску на воду.</w:t>
      </w:r>
    </w:p>
    <w:p w14:paraId="4F82A524"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«Морской крейсер» отличался простор</w:t>
      </w:r>
      <w:r w:rsidRPr="00FB4F67">
        <w:rPr>
          <w:rFonts w:ascii="Times New Roman" w:hAnsi="Times New Roman" w:cs="Times New Roman"/>
          <w:color w:val="0070C0"/>
          <w:sz w:val="16"/>
          <w:szCs w:val="16"/>
        </w:rPr>
        <w:softHyphen/>
        <w:t>ной, застекленной четырехместной каби</w:t>
      </w:r>
      <w:r w:rsidRPr="00FB4F67">
        <w:rPr>
          <w:rFonts w:ascii="Times New Roman" w:hAnsi="Times New Roman" w:cs="Times New Roman"/>
          <w:color w:val="0070C0"/>
          <w:sz w:val="16"/>
          <w:szCs w:val="16"/>
        </w:rPr>
        <w:softHyphen/>
        <w:t>ной пилотов, которая была приподнята над корпусом лодки. Значительные размеры гидросамолета позволили его разработчи</w:t>
      </w:r>
      <w:r w:rsidRPr="00FB4F67">
        <w:rPr>
          <w:rFonts w:ascii="Times New Roman" w:hAnsi="Times New Roman" w:cs="Times New Roman"/>
          <w:color w:val="0070C0"/>
          <w:sz w:val="16"/>
          <w:szCs w:val="16"/>
        </w:rPr>
        <w:softHyphen/>
        <w:t>кам даже предполагать в носовой части лодки установку 76 мм пушки.</w:t>
      </w:r>
    </w:p>
    <w:p w14:paraId="620644F8"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Силовая установка должна была состоять из двух двигателей «Роллс-Ройс» мощнос</w:t>
      </w:r>
      <w:r w:rsidRPr="00FB4F67">
        <w:rPr>
          <w:rFonts w:ascii="Times New Roman" w:hAnsi="Times New Roman" w:cs="Times New Roman"/>
          <w:color w:val="0070C0"/>
          <w:sz w:val="16"/>
          <w:szCs w:val="16"/>
        </w:rPr>
        <w:softHyphen/>
        <w:t>тью по 300 л.с., но их к моменту заверше</w:t>
      </w:r>
      <w:r w:rsidRPr="00FB4F67">
        <w:rPr>
          <w:rFonts w:ascii="Times New Roman" w:hAnsi="Times New Roman" w:cs="Times New Roman"/>
          <w:color w:val="0070C0"/>
          <w:sz w:val="16"/>
          <w:szCs w:val="16"/>
        </w:rPr>
        <w:softHyphen/>
        <w:t>ния постройки МК-1 в Россию не достави</w:t>
      </w:r>
      <w:r w:rsidRPr="00FB4F67">
        <w:rPr>
          <w:rFonts w:ascii="Times New Roman" w:hAnsi="Times New Roman" w:cs="Times New Roman"/>
          <w:color w:val="0070C0"/>
          <w:sz w:val="16"/>
          <w:szCs w:val="16"/>
        </w:rPr>
        <w:softHyphen/>
        <w:t>ли. Пришлось использовать два двигателя «Рено» по 220 л.с., размещенных в прост</w:t>
      </w:r>
      <w:r w:rsidRPr="00FB4F67">
        <w:rPr>
          <w:rFonts w:ascii="Times New Roman" w:hAnsi="Times New Roman" w:cs="Times New Roman"/>
          <w:color w:val="0070C0"/>
          <w:sz w:val="16"/>
          <w:szCs w:val="16"/>
        </w:rPr>
        <w:softHyphen/>
        <w:t>ранстве между крыльями, а на верхнем крыле установить дополнительный третий двигатель «Испано-Сюиза» мощностью 140 л.с. Превышение суммарной мощности двигателей над ранее принятыми значени</w:t>
      </w:r>
      <w:r w:rsidRPr="00FB4F67">
        <w:rPr>
          <w:rFonts w:ascii="Times New Roman" w:hAnsi="Times New Roman" w:cs="Times New Roman"/>
          <w:color w:val="0070C0"/>
          <w:sz w:val="16"/>
          <w:szCs w:val="16"/>
        </w:rPr>
        <w:softHyphen/>
        <w:t>ями должно было компенсировать несколь</w:t>
      </w:r>
      <w:r w:rsidRPr="00FB4F67">
        <w:rPr>
          <w:rFonts w:ascii="Times New Roman" w:hAnsi="Times New Roman" w:cs="Times New Roman"/>
          <w:color w:val="0070C0"/>
          <w:sz w:val="16"/>
          <w:szCs w:val="16"/>
        </w:rPr>
        <w:softHyphen/>
        <w:t>ко возросший полетный вес.</w:t>
      </w:r>
    </w:p>
    <w:p w14:paraId="2590D7B4"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уверенности на благоприятное заверше</w:t>
      </w:r>
      <w:r w:rsidRPr="00FB4F67">
        <w:rPr>
          <w:rFonts w:ascii="Times New Roman" w:hAnsi="Times New Roman" w:cs="Times New Roman"/>
          <w:color w:val="0070C0"/>
          <w:sz w:val="16"/>
          <w:szCs w:val="16"/>
        </w:rPr>
        <w:softHyphen/>
        <w:t>ние испытаний, в первый полет в ноябре 1917 г. кроме летчика Я.И. Седова-Серова на борту МК-1 разместились еще несколь</w:t>
      </w:r>
      <w:r w:rsidRPr="00FB4F67">
        <w:rPr>
          <w:rFonts w:ascii="Times New Roman" w:hAnsi="Times New Roman" w:cs="Times New Roman"/>
          <w:color w:val="0070C0"/>
          <w:sz w:val="16"/>
          <w:szCs w:val="16"/>
        </w:rPr>
        <w:softHyphen/>
        <w:t>ко человек. Между тем волнение моря в день испытаний оказалось значительным. При резкой даче газа верхний двигатель, размещенный достаточно далеко от центра тяжести, и большое сопротивление по</w:t>
      </w:r>
      <w:r w:rsidRPr="00FB4F67">
        <w:rPr>
          <w:rFonts w:ascii="Times New Roman" w:hAnsi="Times New Roman" w:cs="Times New Roman"/>
          <w:color w:val="0070C0"/>
          <w:sz w:val="16"/>
          <w:szCs w:val="16"/>
        </w:rPr>
        <w:softHyphen/>
        <w:t>плавка создали значительный пикирующий момент. Носовая часть самолета еще на рулении «зарылась» в воду, которая в зна</w:t>
      </w:r>
      <w:r w:rsidRPr="00FB4F67">
        <w:rPr>
          <w:rFonts w:ascii="Times New Roman" w:hAnsi="Times New Roman" w:cs="Times New Roman"/>
          <w:color w:val="0070C0"/>
          <w:sz w:val="16"/>
          <w:szCs w:val="16"/>
        </w:rPr>
        <w:softHyphen/>
        <w:t>чительном количестве поступила внутрь. Затем «крейсер» перевернулся и затонул. Экипаж и пассажиры смогли спастись (23374).</w:t>
      </w:r>
    </w:p>
    <w:p w14:paraId="40AFE6AA" w14:textId="77777777" w:rsidR="003875B3" w:rsidRPr="00FB4F67" w:rsidRDefault="003875B3" w:rsidP="0083075A">
      <w:pPr>
        <w:spacing w:after="0" w:line="240" w:lineRule="auto"/>
        <w:jc w:val="both"/>
        <w:rPr>
          <w:rFonts w:ascii="Times New Roman" w:hAnsi="Times New Roman" w:cs="Times New Roman"/>
          <w:color w:val="0070C0"/>
          <w:sz w:val="16"/>
          <w:szCs w:val="16"/>
        </w:rPr>
      </w:pPr>
    </w:p>
    <w:p w14:paraId="7430D005"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Летом 1917 г. изготовили торпедоносец АИС, после чего морской летчик А.Е. Грузинов выполнил на нем три вполне ус</w:t>
      </w:r>
      <w:r w:rsidRPr="00FB4F67">
        <w:rPr>
          <w:rFonts w:ascii="Times New Roman" w:hAnsi="Times New Roman" w:cs="Times New Roman"/>
          <w:color w:val="0070C0"/>
          <w:sz w:val="16"/>
          <w:szCs w:val="16"/>
        </w:rPr>
        <w:softHyphen/>
        <w:t>пешных полета.</w:t>
      </w:r>
    </w:p>
    <w:p w14:paraId="0FA94CBA"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самолет представлял собой поплав</w:t>
      </w:r>
      <w:r w:rsidRPr="00FB4F67">
        <w:rPr>
          <w:rFonts w:ascii="Times New Roman" w:hAnsi="Times New Roman" w:cs="Times New Roman"/>
          <w:color w:val="0070C0"/>
          <w:sz w:val="16"/>
          <w:szCs w:val="16"/>
        </w:rPr>
        <w:softHyphen/>
        <w:t>ковый биплан с двигателем «Клерже» 130 л.с., оснащенным толкающим воздушным винтом. Общая схема стандартная, экипаж из двух человек в передней части фюзеля</w:t>
      </w:r>
      <w:r w:rsidRPr="00FB4F67">
        <w:rPr>
          <w:rFonts w:ascii="Times New Roman" w:hAnsi="Times New Roman" w:cs="Times New Roman"/>
          <w:color w:val="0070C0"/>
          <w:sz w:val="16"/>
          <w:szCs w:val="16"/>
        </w:rPr>
        <w:softHyphen/>
        <w:t>жа с размещением друг за другом. Мор</w:t>
      </w:r>
      <w:r w:rsidRPr="00FB4F67">
        <w:rPr>
          <w:rFonts w:ascii="Times New Roman" w:hAnsi="Times New Roman" w:cs="Times New Roman"/>
          <w:color w:val="0070C0"/>
          <w:sz w:val="16"/>
          <w:szCs w:val="16"/>
        </w:rPr>
        <w:softHyphen/>
        <w:t>ское шасси включало два основных по</w:t>
      </w:r>
      <w:r w:rsidRPr="00FB4F67">
        <w:rPr>
          <w:rFonts w:ascii="Times New Roman" w:hAnsi="Times New Roman" w:cs="Times New Roman"/>
          <w:color w:val="0070C0"/>
          <w:sz w:val="16"/>
          <w:szCs w:val="16"/>
        </w:rPr>
        <w:softHyphen/>
        <w:t>плавка коробчатого сечения с закруглен</w:t>
      </w:r>
      <w:r w:rsidRPr="00FB4F67">
        <w:rPr>
          <w:rFonts w:ascii="Times New Roman" w:hAnsi="Times New Roman" w:cs="Times New Roman"/>
          <w:color w:val="0070C0"/>
          <w:sz w:val="16"/>
          <w:szCs w:val="16"/>
        </w:rPr>
        <w:softHyphen/>
        <w:t>ной верхней частью и небольшой третий поплавок в районе хвостового оперения.</w:t>
      </w:r>
    </w:p>
    <w:p w14:paraId="6CF12740"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Основным оружием данного аппарата должна была стать несамоходная торпеда длиной около 3-х метров, размещенная в фюзеляже, за кабиной пилотов. По замыс</w:t>
      </w:r>
      <w:r w:rsidRPr="00FB4F67">
        <w:rPr>
          <w:rFonts w:ascii="Times New Roman" w:hAnsi="Times New Roman" w:cs="Times New Roman"/>
          <w:color w:val="0070C0"/>
          <w:sz w:val="16"/>
          <w:szCs w:val="16"/>
        </w:rPr>
        <w:softHyphen/>
        <w:t>лу, перед сбросом торпеда должна была раскручиваться от двигателя самолета. Механизмов или каких-либо других движи</w:t>
      </w:r>
      <w:r w:rsidRPr="00FB4F67">
        <w:rPr>
          <w:rFonts w:ascii="Times New Roman" w:hAnsi="Times New Roman" w:cs="Times New Roman"/>
          <w:color w:val="0070C0"/>
          <w:sz w:val="16"/>
          <w:szCs w:val="16"/>
        </w:rPr>
        <w:softHyphen/>
        <w:t>телей торпеда не имела</w:t>
      </w:r>
    </w:p>
    <w:p w14:paraId="7A7BBE7A"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Каких-либо дополнительных подробнос</w:t>
      </w:r>
      <w:r w:rsidRPr="00FB4F67">
        <w:rPr>
          <w:rFonts w:ascii="Times New Roman" w:hAnsi="Times New Roman" w:cs="Times New Roman"/>
          <w:color w:val="0070C0"/>
          <w:sz w:val="16"/>
          <w:szCs w:val="16"/>
        </w:rPr>
        <w:softHyphen/>
        <w:t>тей существования этого аппарата не об</w:t>
      </w:r>
      <w:r w:rsidRPr="00FB4F67">
        <w:rPr>
          <w:rFonts w:ascii="Times New Roman" w:hAnsi="Times New Roman" w:cs="Times New Roman"/>
          <w:color w:val="0070C0"/>
          <w:sz w:val="16"/>
          <w:szCs w:val="16"/>
        </w:rPr>
        <w:softHyphen/>
        <w:t>наружено.</w:t>
      </w:r>
    </w:p>
    <w:p w14:paraId="784754D0"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Летные и технические характеристики «Аист» (расчетные)</w:t>
      </w:r>
    </w:p>
    <w:tbl>
      <w:tblPr>
        <w:tblOverlap w:val="never"/>
        <w:tblW w:w="0" w:type="auto"/>
        <w:tblLayout w:type="fixed"/>
        <w:tblCellMar>
          <w:left w:w="10" w:type="dxa"/>
          <w:right w:w="10" w:type="dxa"/>
        </w:tblCellMar>
        <w:tblLook w:val="0000" w:firstRow="0" w:lastRow="0" w:firstColumn="0" w:lastColumn="0" w:noHBand="0" w:noVBand="0"/>
      </w:tblPr>
      <w:tblGrid>
        <w:gridCol w:w="3715"/>
        <w:gridCol w:w="1934"/>
      </w:tblGrid>
      <w:tr w:rsidR="000D6ECB" w:rsidRPr="00FB4F67" w14:paraId="68B00F02" w14:textId="77777777" w:rsidTr="00B85784">
        <w:trPr>
          <w:trHeight w:val="245"/>
        </w:trPr>
        <w:tc>
          <w:tcPr>
            <w:tcW w:w="3715" w:type="dxa"/>
            <w:tcBorders>
              <w:top w:val="single" w:sz="4" w:space="0" w:color="auto"/>
              <w:left w:val="single" w:sz="4" w:space="0" w:color="auto"/>
            </w:tcBorders>
            <w:shd w:val="clear" w:color="auto" w:fill="auto"/>
            <w:vAlign w:val="bottom"/>
          </w:tcPr>
          <w:p w14:paraId="638DB190"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Размах верхнего крыла (м)</w:t>
            </w:r>
          </w:p>
        </w:tc>
        <w:tc>
          <w:tcPr>
            <w:tcW w:w="1934" w:type="dxa"/>
            <w:tcBorders>
              <w:top w:val="single" w:sz="4" w:space="0" w:color="auto"/>
              <w:right w:val="single" w:sz="4" w:space="0" w:color="auto"/>
            </w:tcBorders>
            <w:shd w:val="clear" w:color="auto" w:fill="auto"/>
            <w:vAlign w:val="bottom"/>
          </w:tcPr>
          <w:p w14:paraId="4DE1C0D8"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10,84</w:t>
            </w:r>
          </w:p>
        </w:tc>
      </w:tr>
      <w:tr w:rsidR="000D6ECB" w:rsidRPr="00FB4F67" w14:paraId="200ABA95" w14:textId="77777777" w:rsidTr="00B85784">
        <w:trPr>
          <w:trHeight w:val="192"/>
        </w:trPr>
        <w:tc>
          <w:tcPr>
            <w:tcW w:w="3715" w:type="dxa"/>
            <w:tcBorders>
              <w:left w:val="single" w:sz="4" w:space="0" w:color="auto"/>
            </w:tcBorders>
            <w:shd w:val="clear" w:color="auto" w:fill="auto"/>
          </w:tcPr>
          <w:p w14:paraId="453CB92F"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Размах нижнего крыла (м)</w:t>
            </w:r>
          </w:p>
        </w:tc>
        <w:tc>
          <w:tcPr>
            <w:tcW w:w="1934" w:type="dxa"/>
            <w:tcBorders>
              <w:right w:val="single" w:sz="4" w:space="0" w:color="auto"/>
            </w:tcBorders>
            <w:shd w:val="clear" w:color="auto" w:fill="auto"/>
          </w:tcPr>
          <w:p w14:paraId="45992AC6"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9,50</w:t>
            </w:r>
          </w:p>
        </w:tc>
      </w:tr>
      <w:tr w:rsidR="000D6ECB" w:rsidRPr="00FB4F67" w14:paraId="015CE6C4" w14:textId="77777777" w:rsidTr="00B85784">
        <w:trPr>
          <w:trHeight w:val="202"/>
        </w:trPr>
        <w:tc>
          <w:tcPr>
            <w:tcW w:w="3715" w:type="dxa"/>
            <w:tcBorders>
              <w:left w:val="single" w:sz="4" w:space="0" w:color="auto"/>
            </w:tcBorders>
            <w:shd w:val="clear" w:color="auto" w:fill="auto"/>
          </w:tcPr>
          <w:p w14:paraId="56A4B900"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Площадь крыльев (м2)</w:t>
            </w:r>
          </w:p>
        </w:tc>
        <w:tc>
          <w:tcPr>
            <w:tcW w:w="1934" w:type="dxa"/>
            <w:tcBorders>
              <w:right w:val="single" w:sz="4" w:space="0" w:color="auto"/>
            </w:tcBorders>
            <w:shd w:val="clear" w:color="auto" w:fill="auto"/>
          </w:tcPr>
          <w:p w14:paraId="085A0ACC"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37,0</w:t>
            </w:r>
          </w:p>
        </w:tc>
      </w:tr>
      <w:tr w:rsidR="000D6ECB" w:rsidRPr="00FB4F67" w14:paraId="36458AC4" w14:textId="77777777" w:rsidTr="00B85784">
        <w:trPr>
          <w:trHeight w:val="187"/>
        </w:trPr>
        <w:tc>
          <w:tcPr>
            <w:tcW w:w="3715" w:type="dxa"/>
            <w:tcBorders>
              <w:left w:val="single" w:sz="4" w:space="0" w:color="auto"/>
            </w:tcBorders>
            <w:shd w:val="clear" w:color="auto" w:fill="auto"/>
            <w:vAlign w:val="bottom"/>
          </w:tcPr>
          <w:p w14:paraId="640D9896"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Длина в линии полета (м)</w:t>
            </w:r>
          </w:p>
        </w:tc>
        <w:tc>
          <w:tcPr>
            <w:tcW w:w="1934" w:type="dxa"/>
            <w:tcBorders>
              <w:right w:val="single" w:sz="4" w:space="0" w:color="auto"/>
            </w:tcBorders>
            <w:shd w:val="clear" w:color="auto" w:fill="auto"/>
            <w:vAlign w:val="bottom"/>
          </w:tcPr>
          <w:p w14:paraId="78A392D9"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9,70</w:t>
            </w:r>
          </w:p>
        </w:tc>
      </w:tr>
      <w:tr w:rsidR="000D6ECB" w:rsidRPr="00FB4F67" w14:paraId="2E420700" w14:textId="77777777" w:rsidTr="00B85784">
        <w:trPr>
          <w:trHeight w:val="202"/>
        </w:trPr>
        <w:tc>
          <w:tcPr>
            <w:tcW w:w="3715" w:type="dxa"/>
            <w:tcBorders>
              <w:left w:val="single" w:sz="4" w:space="0" w:color="auto"/>
            </w:tcBorders>
            <w:shd w:val="clear" w:color="auto" w:fill="auto"/>
          </w:tcPr>
          <w:p w14:paraId="24E94577"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Вес пустого (кг)</w:t>
            </w:r>
          </w:p>
        </w:tc>
        <w:tc>
          <w:tcPr>
            <w:tcW w:w="1934" w:type="dxa"/>
            <w:tcBorders>
              <w:right w:val="single" w:sz="4" w:space="0" w:color="auto"/>
            </w:tcBorders>
            <w:shd w:val="clear" w:color="auto" w:fill="auto"/>
          </w:tcPr>
          <w:p w14:paraId="241AABEA"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850</w:t>
            </w:r>
          </w:p>
        </w:tc>
      </w:tr>
      <w:tr w:rsidR="000D6ECB" w:rsidRPr="00FB4F67" w14:paraId="21B00D23" w14:textId="77777777" w:rsidTr="00B85784">
        <w:trPr>
          <w:trHeight w:val="192"/>
        </w:trPr>
        <w:tc>
          <w:tcPr>
            <w:tcW w:w="3715" w:type="dxa"/>
            <w:tcBorders>
              <w:left w:val="single" w:sz="4" w:space="0" w:color="auto"/>
            </w:tcBorders>
            <w:shd w:val="clear" w:color="auto" w:fill="auto"/>
          </w:tcPr>
          <w:p w14:paraId="3613606B"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Полезная нагрузка (кг)</w:t>
            </w:r>
          </w:p>
        </w:tc>
        <w:tc>
          <w:tcPr>
            <w:tcW w:w="1934" w:type="dxa"/>
            <w:tcBorders>
              <w:right w:val="single" w:sz="4" w:space="0" w:color="auto"/>
            </w:tcBorders>
            <w:shd w:val="clear" w:color="auto" w:fill="auto"/>
          </w:tcPr>
          <w:p w14:paraId="2066C569"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450</w:t>
            </w:r>
          </w:p>
        </w:tc>
      </w:tr>
      <w:tr w:rsidR="000D6ECB" w:rsidRPr="00FB4F67" w14:paraId="1CEEC892" w14:textId="77777777" w:rsidTr="00B85784">
        <w:trPr>
          <w:trHeight w:val="192"/>
        </w:trPr>
        <w:tc>
          <w:tcPr>
            <w:tcW w:w="3715" w:type="dxa"/>
            <w:tcBorders>
              <w:left w:val="single" w:sz="4" w:space="0" w:color="auto"/>
            </w:tcBorders>
            <w:shd w:val="clear" w:color="auto" w:fill="auto"/>
          </w:tcPr>
          <w:p w14:paraId="79F4AFD5"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Полетная скорость (км/ч)</w:t>
            </w:r>
          </w:p>
        </w:tc>
        <w:tc>
          <w:tcPr>
            <w:tcW w:w="1934" w:type="dxa"/>
            <w:tcBorders>
              <w:right w:val="single" w:sz="4" w:space="0" w:color="auto"/>
            </w:tcBorders>
            <w:shd w:val="clear" w:color="auto" w:fill="auto"/>
          </w:tcPr>
          <w:p w14:paraId="3B0A8074"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140-150</w:t>
            </w:r>
          </w:p>
        </w:tc>
      </w:tr>
      <w:tr w:rsidR="000D6ECB" w:rsidRPr="00FB4F67" w14:paraId="47A8A191" w14:textId="77777777" w:rsidTr="00B85784">
        <w:trPr>
          <w:trHeight w:val="202"/>
        </w:trPr>
        <w:tc>
          <w:tcPr>
            <w:tcW w:w="3715" w:type="dxa"/>
            <w:tcBorders>
              <w:left w:val="single" w:sz="4" w:space="0" w:color="auto"/>
            </w:tcBorders>
            <w:shd w:val="clear" w:color="auto" w:fill="auto"/>
          </w:tcPr>
          <w:p w14:paraId="0F914822"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Время набора 3000 м (мин)</w:t>
            </w:r>
          </w:p>
        </w:tc>
        <w:tc>
          <w:tcPr>
            <w:tcW w:w="1934" w:type="dxa"/>
            <w:tcBorders>
              <w:right w:val="single" w:sz="4" w:space="0" w:color="auto"/>
            </w:tcBorders>
            <w:shd w:val="clear" w:color="auto" w:fill="auto"/>
          </w:tcPr>
          <w:p w14:paraId="5388F194"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30-40</w:t>
            </w:r>
          </w:p>
        </w:tc>
      </w:tr>
      <w:tr w:rsidR="000D6ECB" w:rsidRPr="00FB4F67" w14:paraId="6AE46DB4" w14:textId="77777777" w:rsidTr="00B85784">
        <w:trPr>
          <w:trHeight w:val="259"/>
        </w:trPr>
        <w:tc>
          <w:tcPr>
            <w:tcW w:w="3715" w:type="dxa"/>
            <w:tcBorders>
              <w:left w:val="single" w:sz="4" w:space="0" w:color="auto"/>
              <w:bottom w:val="single" w:sz="4" w:space="0" w:color="auto"/>
            </w:tcBorders>
            <w:shd w:val="clear" w:color="auto" w:fill="auto"/>
          </w:tcPr>
          <w:p w14:paraId="2B4B199C"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Потолок (м)</w:t>
            </w:r>
          </w:p>
        </w:tc>
        <w:tc>
          <w:tcPr>
            <w:tcW w:w="1934" w:type="dxa"/>
            <w:tcBorders>
              <w:bottom w:val="single" w:sz="4" w:space="0" w:color="auto"/>
              <w:right w:val="single" w:sz="4" w:space="0" w:color="auto"/>
            </w:tcBorders>
            <w:shd w:val="clear" w:color="auto" w:fill="auto"/>
          </w:tcPr>
          <w:p w14:paraId="7B2238A8"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4000</w:t>
            </w:r>
          </w:p>
        </w:tc>
      </w:tr>
    </w:tbl>
    <w:p w14:paraId="58518927" w14:textId="77777777" w:rsidR="000D6ECB" w:rsidRPr="00FB4F67" w:rsidRDefault="000D6EC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(23374).</w:t>
      </w:r>
    </w:p>
    <w:p w14:paraId="4B077343" w14:textId="77777777" w:rsidR="000D6ECB" w:rsidRPr="00FB4F67" w:rsidRDefault="000D6ECB" w:rsidP="0083075A">
      <w:pPr>
        <w:spacing w:after="0" w:line="240" w:lineRule="auto"/>
        <w:jc w:val="both"/>
        <w:rPr>
          <w:rFonts w:ascii="Times New Roman" w:hAnsi="Times New Roman" w:cs="Times New Roman"/>
          <w:color w:val="0070C0"/>
          <w:sz w:val="16"/>
          <w:szCs w:val="16"/>
        </w:rPr>
      </w:pPr>
    </w:p>
    <w:p w14:paraId="16B13D7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 закончилось строительство прототипа МК, а в августе самолет подготовили к заводским испытаниям, продолжавшимся до ноября, до того несчастливого дня, когда пилот Я. И. Седов-Серов и его пассажиры пережили аварию, случившуюся при попытке взлета. При разбеге нос машины “зарыл</w:t>
      </w:r>
      <w:r w:rsidRPr="002F2FDF">
        <w:rPr>
          <w:rFonts w:ascii="Times New Roman" w:hAnsi="Times New Roman" w:cs="Times New Roman"/>
          <w:color w:val="000000" w:themeColor="text1"/>
          <w:kern w:val="2"/>
          <w:sz w:val="16"/>
          <w:szCs w:val="16"/>
        </w:rPr>
        <w:softHyphen/>
        <w:t>ся” в воду, которая быстро проникла внутрь корпуса сквозь открытый носовой отсек; аэроплан перевер</w:t>
      </w:r>
      <w:r w:rsidRPr="002F2FDF">
        <w:rPr>
          <w:rFonts w:ascii="Times New Roman" w:hAnsi="Times New Roman" w:cs="Times New Roman"/>
          <w:color w:val="000000" w:themeColor="text1"/>
          <w:kern w:val="2"/>
          <w:sz w:val="16"/>
          <w:szCs w:val="16"/>
        </w:rPr>
        <w:softHyphen/>
        <w:t>нулся и затонул; его извлекли на сушу, но уже не ремонтировали. Сама концепция МК вовсе не устарела к 1917 г., но “моторный голод” и массовые политические беспорядки не оставляли проекту шансов на будущее. К тому же, по всей видимости, уже с конца 1915 г. или начала 1916 г. по какой-то причине руководство морской авиации не строило больших планов в отношении данной модели, а потому произ</w:t>
      </w:r>
      <w:r w:rsidRPr="002F2FDF">
        <w:rPr>
          <w:rFonts w:ascii="Times New Roman" w:hAnsi="Times New Roman" w:cs="Times New Roman"/>
          <w:color w:val="000000" w:themeColor="text1"/>
          <w:kern w:val="2"/>
          <w:sz w:val="16"/>
          <w:szCs w:val="16"/>
        </w:rPr>
        <w:softHyphen/>
        <w:t>водитель в своей работе над ней не получал от флота должной моральной и материальной поддержки. На упоминавшемся в предыдущей главе совещании 20 сентября 1916 г. заседавшие констатировали:</w:t>
      </w:r>
    </w:p>
    <w:p w14:paraId="28907E6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“&lt;...&gt; Морской самолет большой, грузоподъемность 1500-1750 килограммов (речь шла о ГАСН. —А. А.), должен быть снабжен специальными приспособлениями по указаниям Мор</w:t>
      </w:r>
      <w:r w:rsidRPr="002F2FDF">
        <w:rPr>
          <w:rFonts w:ascii="Times New Roman" w:hAnsi="Times New Roman" w:cs="Times New Roman"/>
          <w:color w:val="000000" w:themeColor="text1"/>
          <w:kern w:val="2"/>
          <w:sz w:val="16"/>
          <w:szCs w:val="16"/>
        </w:rPr>
        <w:softHyphen/>
        <w:t>ского ведомства. Аппарат переходного типа к большому, в настоящее время разрабатывается заводом Щетинина, но на него нельзя возлагать надежд. &lt;...”&gt; (2807).</w:t>
      </w:r>
    </w:p>
    <w:p w14:paraId="4A4E5D1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33F8D2" w14:textId="77777777" w:rsidR="00E61A30" w:rsidRPr="00FB4F67" w:rsidRDefault="00E61A3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Летом 1917 г. приемка готовой продукции практически на ПРТВ прекратилась, а затем вообще начался открытый саботаж.</w:t>
      </w:r>
    </w:p>
    <w:p w14:paraId="14DD84BB" w14:textId="77777777" w:rsidR="00E61A30" w:rsidRPr="00FB4F67" w:rsidRDefault="00E61A3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До прекращения работы, завод ПРТВ построил менее 300 самолетов М-5, из которых было облетано и сдано, вероятно, немногим более 250, а остальные остались на территории предприятия и постепенно оказались разукомплектованы или пришли в негодность и требовали ремонта и замены отдельных частей и агрегатов, что делалось уже в советское время на заводе ГАЗ-3, см. ниже.</w:t>
      </w:r>
    </w:p>
    <w:p w14:paraId="1139B7E7" w14:textId="77777777" w:rsidR="00E61A30" w:rsidRPr="00FB4F67" w:rsidRDefault="00E61A3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Руководство заводом ПРТВ к середине 1917 г. было нарушено, тем не менее, задел готовой полностью или частично продукции удалось сохранить в т.ч. и благодаря усилиям управляющего заводом Д.П. Григоровича (23594).</w:t>
      </w:r>
    </w:p>
    <w:p w14:paraId="6E50D4B5" w14:textId="77777777" w:rsidR="00E61A30" w:rsidRPr="00FB4F67" w:rsidRDefault="00E61A30" w:rsidP="0083075A">
      <w:pPr>
        <w:spacing w:after="0" w:line="240" w:lineRule="auto"/>
        <w:jc w:val="both"/>
        <w:rPr>
          <w:rFonts w:ascii="Times New Roman" w:hAnsi="Times New Roman" w:cs="Times New Roman"/>
          <w:color w:val="0070C0"/>
          <w:sz w:val="16"/>
          <w:szCs w:val="16"/>
        </w:rPr>
      </w:pPr>
    </w:p>
    <w:p w14:paraId="3B56C24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лета 1917 г. Воздушной дивизией Балтийского моря командовал капитан 1 р. Ковалевский, который разработал аэроплановые мины (2807).</w:t>
      </w:r>
    </w:p>
    <w:p w14:paraId="0A68061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BE9A90" w14:textId="77777777" w:rsidR="00927133" w:rsidRPr="002F2FDF" w:rsidRDefault="0092713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Летом 1917 г., поняв, что земли </w:t>
      </w:r>
      <w:r w:rsidRPr="002F2FDF">
        <w:rPr>
          <w:rStyle w:val="10pt0"/>
          <w:rFonts w:ascii="Times New Roman" w:hAnsi="Times New Roman" w:cs="Times New Roman"/>
          <w:b w:val="0"/>
          <w:color w:val="000000" w:themeColor="text1"/>
          <w:kern w:val="2"/>
          <w:sz w:val="16"/>
          <w:szCs w:val="16"/>
        </w:rPr>
        <w:t>им всё</w:t>
      </w:r>
      <w:r w:rsidRPr="002F2FDF">
        <w:rPr>
          <w:rFonts w:ascii="Times New Roman" w:hAnsi="Times New Roman" w:cs="Times New Roman"/>
          <w:color w:val="000000" w:themeColor="text1"/>
          <w:kern w:val="2"/>
          <w:sz w:val="16"/>
          <w:szCs w:val="16"/>
        </w:rPr>
        <w:t xml:space="preserve"> равно не сохранить</w:t>
      </w:r>
      <w:r w:rsidRPr="002F2FDF">
        <w:rPr>
          <w:rStyle w:val="10pt0"/>
          <w:rFonts w:ascii="Times New Roman" w:hAnsi="Times New Roman" w:cs="Times New Roman"/>
          <w:b w:val="0"/>
          <w:color w:val="000000" w:themeColor="text1"/>
          <w:kern w:val="2"/>
          <w:sz w:val="16"/>
          <w:szCs w:val="16"/>
        </w:rPr>
        <w:t>,</w:t>
      </w:r>
      <w:r w:rsidRPr="002F2FDF">
        <w:rPr>
          <w:rFonts w:ascii="Times New Roman" w:hAnsi="Times New Roman" w:cs="Times New Roman"/>
          <w:color w:val="000000" w:themeColor="text1"/>
          <w:kern w:val="2"/>
          <w:sz w:val="16"/>
          <w:szCs w:val="16"/>
        </w:rPr>
        <w:t xml:space="preserve"> ямщики продали участки заводу и, даже успели пропить </w:t>
      </w:r>
      <w:r w:rsidRPr="002F2FDF">
        <w:rPr>
          <w:rStyle w:val="10pt0"/>
          <w:rFonts w:ascii="Times New Roman" w:hAnsi="Times New Roman" w:cs="Times New Roman"/>
          <w:b w:val="0"/>
          <w:color w:val="000000" w:themeColor="text1"/>
          <w:kern w:val="2"/>
          <w:sz w:val="16"/>
          <w:szCs w:val="16"/>
        </w:rPr>
        <w:t>деньги</w:t>
      </w:r>
      <w:r w:rsidRPr="002F2FDF">
        <w:rPr>
          <w:rFonts w:ascii="Times New Roman" w:hAnsi="Times New Roman" w:cs="Times New Roman"/>
          <w:color w:val="000000" w:themeColor="text1"/>
          <w:kern w:val="2"/>
          <w:sz w:val="16"/>
          <w:szCs w:val="16"/>
        </w:rPr>
        <w:t xml:space="preserve"> до инфляции (15761).</w:t>
      </w:r>
    </w:p>
    <w:p w14:paraId="523C69F7" w14:textId="77777777" w:rsidR="00927133" w:rsidRPr="002F2FDF" w:rsidRDefault="00927133" w:rsidP="0083075A">
      <w:pPr>
        <w:spacing w:after="0" w:line="240" w:lineRule="auto"/>
        <w:jc w:val="both"/>
        <w:rPr>
          <w:rFonts w:ascii="Times New Roman" w:hAnsi="Times New Roman" w:cs="Times New Roman"/>
          <w:color w:val="000000" w:themeColor="text1"/>
          <w:kern w:val="2"/>
          <w:sz w:val="16"/>
          <w:szCs w:val="16"/>
        </w:rPr>
      </w:pPr>
    </w:p>
    <w:p w14:paraId="72BA18E5" w14:textId="77777777" w:rsidR="00927133" w:rsidRPr="002F2FDF" w:rsidRDefault="00927133" w:rsidP="0083075A">
      <w:pPr>
        <w:spacing w:after="0" w:line="240" w:lineRule="auto"/>
        <w:jc w:val="both"/>
        <w:rPr>
          <w:rFonts w:ascii="Times New Roman" w:hAnsi="Times New Roman" w:cs="Times New Roman"/>
          <w:color w:val="000000" w:themeColor="text1"/>
          <w:kern w:val="2"/>
          <w:sz w:val="16"/>
          <w:szCs w:val="16"/>
        </w:rPr>
      </w:pPr>
      <w:r w:rsidRPr="002F2FDF">
        <w:rPr>
          <w:rStyle w:val="aff8"/>
          <w:rFonts w:ascii="Times New Roman" w:eastAsiaTheme="minorHAnsi" w:hAnsi="Times New Roman" w:cs="Times New Roman"/>
          <w:b w:val="0"/>
          <w:color w:val="000000" w:themeColor="text1"/>
          <w:spacing w:val="0"/>
          <w:kern w:val="2"/>
          <w:sz w:val="16"/>
          <w:szCs w:val="16"/>
        </w:rPr>
        <w:t>В середине</w:t>
      </w:r>
      <w:r w:rsidRPr="002F2FDF">
        <w:rPr>
          <w:rFonts w:ascii="Times New Roman" w:hAnsi="Times New Roman" w:cs="Times New Roman"/>
          <w:color w:val="000000" w:themeColor="text1"/>
          <w:kern w:val="2"/>
          <w:sz w:val="16"/>
          <w:szCs w:val="16"/>
        </w:rPr>
        <w:t xml:space="preserve"> 1917 г. «Дукс» стал крупнейшим в России хорошо отлаженным крупносерийным производством. Общая площадь промышленной «империи» «Дукс» составляла </w:t>
      </w:r>
      <w:r w:rsidRPr="002F2FDF">
        <w:rPr>
          <w:rStyle w:val="10pt0"/>
          <w:rFonts w:ascii="Times New Roman" w:hAnsi="Times New Roman" w:cs="Times New Roman"/>
          <w:b w:val="0"/>
          <w:color w:val="000000" w:themeColor="text1"/>
          <w:kern w:val="2"/>
          <w:sz w:val="16"/>
          <w:szCs w:val="16"/>
        </w:rPr>
        <w:t>10980</w:t>
      </w:r>
      <w:r w:rsidRPr="002F2FDF">
        <w:rPr>
          <w:rStyle w:val="aff8"/>
          <w:rFonts w:ascii="Times New Roman" w:eastAsiaTheme="minorHAnsi" w:hAnsi="Times New Roman" w:cs="Times New Roman"/>
          <w:b w:val="0"/>
          <w:color w:val="000000" w:themeColor="text1"/>
          <w:spacing w:val="0"/>
          <w:kern w:val="2"/>
          <w:sz w:val="16"/>
          <w:szCs w:val="16"/>
        </w:rPr>
        <w:t xml:space="preserve"> кв.</w:t>
      </w:r>
      <w:r w:rsidRPr="002F2FDF">
        <w:rPr>
          <w:rFonts w:ascii="Times New Roman" w:hAnsi="Times New Roman" w:cs="Times New Roman"/>
          <w:color w:val="000000" w:themeColor="text1"/>
          <w:kern w:val="2"/>
          <w:sz w:val="16"/>
          <w:szCs w:val="16"/>
        </w:rPr>
        <w:t xml:space="preserve"> саженей (около 4 гектаров), из них площадь каменных строений — 3680 кв. </w:t>
      </w:r>
      <w:r w:rsidRPr="002F2FDF">
        <w:rPr>
          <w:rStyle w:val="115pt0pt"/>
          <w:rFonts w:ascii="Times New Roman" w:hAnsi="Times New Roman" w:cs="Times New Roman"/>
          <w:b w:val="0"/>
          <w:color w:val="000000" w:themeColor="text1"/>
          <w:spacing w:val="0"/>
          <w:kern w:val="2"/>
          <w:sz w:val="16"/>
          <w:szCs w:val="16"/>
        </w:rPr>
        <w:t>«ней,</w:t>
      </w:r>
      <w:r w:rsidRPr="002F2FDF">
        <w:rPr>
          <w:rFonts w:ascii="Times New Roman" w:hAnsi="Times New Roman" w:cs="Times New Roman"/>
          <w:color w:val="000000" w:themeColor="text1"/>
          <w:kern w:val="2"/>
          <w:sz w:val="16"/>
          <w:szCs w:val="16"/>
        </w:rPr>
        <w:t xml:space="preserve"> деревянных — 3000 кв. саженей. В среднем по всем авиазаводам средняя рговооруженность составляла 330 л.е., а на «Дуксе» она была в полтора раза выше – 480 л.с.</w:t>
      </w:r>
      <w:r w:rsidRPr="002F2FDF">
        <w:rPr>
          <w:rStyle w:val="aff8"/>
          <w:rFonts w:ascii="Times New Roman" w:eastAsiaTheme="minorHAnsi" w:hAnsi="Times New Roman" w:cs="Times New Roman"/>
          <w:b w:val="0"/>
          <w:color w:val="000000" w:themeColor="text1"/>
          <w:spacing w:val="0"/>
          <w:kern w:val="2"/>
          <w:sz w:val="16"/>
          <w:szCs w:val="16"/>
        </w:rPr>
        <w:t>, это</w:t>
      </w:r>
      <w:r w:rsidRPr="002F2FDF">
        <w:rPr>
          <w:rFonts w:ascii="Times New Roman" w:hAnsi="Times New Roman" w:cs="Times New Roman"/>
          <w:color w:val="000000" w:themeColor="text1"/>
          <w:kern w:val="2"/>
          <w:sz w:val="16"/>
          <w:szCs w:val="16"/>
        </w:rPr>
        <w:t xml:space="preserve"> общая мощность 40 двигателей, вращавших 195 станков. Если в начале века</w:t>
      </w:r>
      <w:r w:rsidRPr="002F2FDF">
        <w:rPr>
          <w:rStyle w:val="aff8"/>
          <w:rFonts w:ascii="Times New Roman" w:eastAsiaTheme="minorHAnsi" w:hAnsi="Times New Roman" w:cs="Times New Roman"/>
          <w:b w:val="0"/>
          <w:color w:val="000000" w:themeColor="text1"/>
          <w:spacing w:val="0"/>
          <w:kern w:val="2"/>
          <w:sz w:val="16"/>
          <w:szCs w:val="16"/>
        </w:rPr>
        <w:t xml:space="preserve"> на</w:t>
      </w:r>
      <w:r w:rsidRPr="002F2FDF">
        <w:rPr>
          <w:rFonts w:ascii="Times New Roman" w:hAnsi="Times New Roman" w:cs="Times New Roman"/>
          <w:color w:val="000000" w:themeColor="text1"/>
          <w:kern w:val="2"/>
          <w:sz w:val="16"/>
          <w:szCs w:val="16"/>
        </w:rPr>
        <w:t xml:space="preserve"> заводе работало 115 человек, то к концу 1909 г. это количество значительно воз</w:t>
      </w:r>
      <w:r w:rsidRPr="002F2FDF">
        <w:rPr>
          <w:rStyle w:val="aff8"/>
          <w:rFonts w:ascii="Times New Roman" w:eastAsiaTheme="minorHAnsi" w:hAnsi="Times New Roman" w:cs="Times New Roman"/>
          <w:b w:val="0"/>
          <w:color w:val="000000" w:themeColor="text1"/>
          <w:spacing w:val="0"/>
          <w:kern w:val="2"/>
          <w:sz w:val="16"/>
          <w:szCs w:val="16"/>
        </w:rPr>
        <w:t>росло, а</w:t>
      </w:r>
      <w:r w:rsidRPr="002F2FDF">
        <w:rPr>
          <w:rFonts w:ascii="Times New Roman" w:hAnsi="Times New Roman" w:cs="Times New Roman"/>
          <w:color w:val="000000" w:themeColor="text1"/>
          <w:kern w:val="2"/>
          <w:sz w:val="16"/>
          <w:szCs w:val="16"/>
        </w:rPr>
        <w:t xml:space="preserve"> за годы войны число рабочих выросло с 725 человек в 1914 г. до 2120 в 1917 </w:t>
      </w:r>
      <w:r w:rsidRPr="002F2FDF">
        <w:rPr>
          <w:rStyle w:val="10pt0"/>
          <w:rFonts w:ascii="Times New Roman" w:hAnsi="Times New Roman" w:cs="Times New Roman"/>
          <w:b w:val="0"/>
          <w:color w:val="000000" w:themeColor="text1"/>
          <w:kern w:val="2"/>
          <w:sz w:val="16"/>
          <w:szCs w:val="16"/>
        </w:rPr>
        <w:t>г.,</w:t>
      </w:r>
      <w:r w:rsidRPr="002F2FDF">
        <w:rPr>
          <w:rFonts w:ascii="Times New Roman" w:hAnsi="Times New Roman" w:cs="Times New Roman"/>
          <w:color w:val="000000" w:themeColor="text1"/>
          <w:kern w:val="2"/>
          <w:sz w:val="16"/>
          <w:szCs w:val="16"/>
        </w:rPr>
        <w:t xml:space="preserve"> не считая 300 служащих (15761).</w:t>
      </w:r>
    </w:p>
    <w:p w14:paraId="685A062B" w14:textId="77777777" w:rsidR="00927133" w:rsidRPr="002F2FDF" w:rsidRDefault="00927133" w:rsidP="0083075A">
      <w:pPr>
        <w:spacing w:after="0" w:line="240" w:lineRule="auto"/>
        <w:jc w:val="both"/>
        <w:rPr>
          <w:rFonts w:ascii="Times New Roman" w:hAnsi="Times New Roman" w:cs="Times New Roman"/>
          <w:color w:val="000000" w:themeColor="text1"/>
          <w:kern w:val="2"/>
          <w:sz w:val="16"/>
          <w:szCs w:val="16"/>
        </w:rPr>
      </w:pPr>
    </w:p>
    <w:p w14:paraId="60AB9E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лету 1917 Дукс стал крупнейшим в России хорошо отлаженным серийным авиационным заводом. Площадь территории достигала 11 тыс. кв. саженей, а каменные и деревянные сооружения занимали 3680 и 3000 кв. саженей. Работало 2000 руб. и 300 служащих (9651,27). По числу двигателей (40) “Дукс” лишь немного уступал петроградским авиазаводам, по сум</w:t>
      </w:r>
      <w:r w:rsidRPr="002F2FDF">
        <w:rPr>
          <w:rFonts w:ascii="Times New Roman" w:hAnsi="Times New Roman" w:cs="Times New Roman"/>
          <w:color w:val="000000" w:themeColor="text1"/>
          <w:kern w:val="2"/>
          <w:sz w:val="16"/>
          <w:szCs w:val="16"/>
        </w:rPr>
        <w:softHyphen/>
        <w:t>марной мощности (480 л.с.) значительно их превосходил. Наибольшим среди всех заводов было и количество стан</w:t>
      </w:r>
      <w:r w:rsidRPr="002F2FDF">
        <w:rPr>
          <w:rFonts w:ascii="Times New Roman" w:hAnsi="Times New Roman" w:cs="Times New Roman"/>
          <w:color w:val="000000" w:themeColor="text1"/>
          <w:kern w:val="2"/>
          <w:sz w:val="16"/>
          <w:szCs w:val="16"/>
        </w:rPr>
        <w:softHyphen/>
        <w:t>ков — 195. За годы войны выпустили около 30% от всех постро</w:t>
      </w:r>
      <w:r w:rsidRPr="002F2FDF">
        <w:rPr>
          <w:rFonts w:ascii="Times New Roman" w:hAnsi="Times New Roman" w:cs="Times New Roman"/>
          <w:color w:val="000000" w:themeColor="text1"/>
          <w:kern w:val="2"/>
          <w:sz w:val="16"/>
          <w:szCs w:val="16"/>
        </w:rPr>
        <w:softHyphen/>
        <w:t>енных в России аэропланов (9651,27).</w:t>
      </w:r>
    </w:p>
    <w:p w14:paraId="32FCB4E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B3D9D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преддверии летней компании 1917 г. Фирме "Дукс" заказы Морского ведомства принесли лицензию на производство летающих лодок Теллье, тогда как предприятие Лебедева получило право на копирование "Фридрихсхафена", по старой традиции названного "Альбатросом". Предварительные перего</w:t>
      </w:r>
      <w:r w:rsidRPr="002F2FDF">
        <w:rPr>
          <w:rFonts w:ascii="Times New Roman" w:hAnsi="Times New Roman" w:cs="Times New Roman"/>
          <w:color w:val="000000" w:themeColor="text1"/>
          <w:kern w:val="2"/>
          <w:sz w:val="16"/>
          <w:szCs w:val="16"/>
        </w:rPr>
        <w:softHyphen/>
        <w:t>воры об этом начались в апреле 1917 г. и в тот же период было заявлено, что любой вновь сконструированный гидроаэроплан "германского типа" должен проектироваться с расчетом на шестимесячный срок службы. Его двигатель марки "Испано-Суиза" мощностью 200 л.с. дол</w:t>
      </w:r>
      <w:r w:rsidRPr="002F2FDF">
        <w:rPr>
          <w:rFonts w:ascii="Times New Roman" w:hAnsi="Times New Roman" w:cs="Times New Roman"/>
          <w:color w:val="000000" w:themeColor="text1"/>
          <w:kern w:val="2"/>
          <w:sz w:val="16"/>
          <w:szCs w:val="16"/>
        </w:rPr>
        <w:softHyphen/>
        <w:t>жен иметь 200-часовой рабочий ресурс, т.е. такой же, как у 165-сильного "Бенца" с трофей</w:t>
      </w:r>
      <w:r w:rsidRPr="002F2FDF">
        <w:rPr>
          <w:rFonts w:ascii="Times New Roman" w:hAnsi="Times New Roman" w:cs="Times New Roman"/>
          <w:color w:val="000000" w:themeColor="text1"/>
          <w:kern w:val="2"/>
          <w:sz w:val="16"/>
          <w:szCs w:val="16"/>
        </w:rPr>
        <w:softHyphen/>
        <w:t>ного аппарата. Как обычно, представители компании Лебедева без промедления и смело за</w:t>
      </w:r>
      <w:r w:rsidRPr="002F2FDF">
        <w:rPr>
          <w:rFonts w:ascii="Times New Roman" w:hAnsi="Times New Roman" w:cs="Times New Roman"/>
          <w:color w:val="000000" w:themeColor="text1"/>
          <w:kern w:val="2"/>
          <w:sz w:val="16"/>
          <w:szCs w:val="16"/>
        </w:rPr>
        <w:softHyphen/>
        <w:t>верили заказчика в своей готовности принять контракт на постройку 275 машин типа "Аль</w:t>
      </w:r>
      <w:r w:rsidRPr="002F2FDF">
        <w:rPr>
          <w:rFonts w:ascii="Times New Roman" w:hAnsi="Times New Roman" w:cs="Times New Roman"/>
          <w:color w:val="000000" w:themeColor="text1"/>
          <w:kern w:val="2"/>
          <w:sz w:val="16"/>
          <w:szCs w:val="16"/>
        </w:rPr>
        <w:softHyphen/>
        <w:t>батрос" ("Фридрихсхафен" на деле), каждая из которых стоила бы 16.000 руб. без мотора. Предполагаемый срок исполнения лежал между 20 августом 1917 г. и 20 июня 1918 г. Каж</w:t>
      </w:r>
      <w:r w:rsidRPr="002F2FDF">
        <w:rPr>
          <w:rFonts w:ascii="Times New Roman" w:hAnsi="Times New Roman" w:cs="Times New Roman"/>
          <w:color w:val="000000" w:themeColor="text1"/>
          <w:kern w:val="2"/>
          <w:sz w:val="16"/>
          <w:szCs w:val="16"/>
        </w:rPr>
        <w:softHyphen/>
        <w:t>дый самолет серии планировалось вооружить двумя пулеметами: неподвижным системы "Вик-керс" спереди и подвижным системы "Льюис" сзади (2843).</w:t>
      </w:r>
    </w:p>
    <w:p w14:paraId="45B9704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1596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был выпущен поплавковый самолет Анадва (438,364) В.Н.Хиони (92,234).</w:t>
      </w:r>
    </w:p>
    <w:p w14:paraId="353CBC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17122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года В.Н.Хиони установил одну из “Двухвосток” на поплавки и провел испытания. В одном из полетов 11 августа при посадке на поверх</w:t>
      </w:r>
      <w:r w:rsidRPr="002F2FDF">
        <w:rPr>
          <w:rFonts w:ascii="Times New Roman" w:hAnsi="Times New Roman" w:cs="Times New Roman"/>
          <w:color w:val="000000" w:themeColor="text1"/>
          <w:kern w:val="2"/>
          <w:sz w:val="16"/>
          <w:szCs w:val="16"/>
        </w:rPr>
        <w:softHyphen/>
        <w:t>ность моря самолет потерпел аварию, при этом по</w:t>
      </w:r>
      <w:r w:rsidRPr="002F2FDF">
        <w:rPr>
          <w:rFonts w:ascii="Times New Roman" w:hAnsi="Times New Roman" w:cs="Times New Roman"/>
          <w:color w:val="000000" w:themeColor="text1"/>
          <w:kern w:val="2"/>
          <w:sz w:val="16"/>
          <w:szCs w:val="16"/>
        </w:rPr>
        <w:softHyphen/>
        <w:t>гиб стрелок верхней гондолы (553).</w:t>
      </w:r>
    </w:p>
    <w:p w14:paraId="6E200B6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615E7B" w14:textId="77777777" w:rsidR="00CD47B4" w:rsidRPr="002F2FDF" w:rsidRDefault="00CD47B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 Хиони оборудовал опытный экземпляр поплавковым шасси. Но 11 августа машина, управляемая самим конструктором, потерпела аварию при посадке на воду в районе Одессы, что поставило крест на ее морской карьере (12252).</w:t>
      </w:r>
    </w:p>
    <w:p w14:paraId="58727138" w14:textId="77777777" w:rsidR="00CD47B4" w:rsidRPr="002F2FDF" w:rsidRDefault="00CD47B4" w:rsidP="0083075A">
      <w:pPr>
        <w:spacing w:after="0" w:line="240" w:lineRule="auto"/>
        <w:jc w:val="both"/>
        <w:rPr>
          <w:rFonts w:ascii="Times New Roman" w:hAnsi="Times New Roman" w:cs="Times New Roman"/>
          <w:color w:val="000000" w:themeColor="text1"/>
          <w:kern w:val="2"/>
          <w:sz w:val="16"/>
          <w:szCs w:val="16"/>
        </w:rPr>
      </w:pPr>
    </w:p>
    <w:p w14:paraId="396E57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Летом 1917 года В. Хиони поставил свой самолет на поплавки, превратив его в один из первых гидросамолетов. Прапорщик Погорелицкий из 7-го авиационного дивизиона на "Анатра-Д" без всяких добавочных креплений сделал подряд три петли и один переворот через крыло. В истории русской авиации это были первые сложные полеты, выполненные на серийной машине, не рассчитанной на высший пилотаж. Война требовала резко увеличить выпуск самолетов и запасных частей к ним. Анатра обязался приступить к изготовлению мощных авиадвигателей. Механическое отделение на Французском бульваре, так называемый болтовой </w:t>
      </w:r>
      <w:r w:rsidR="004A1FB3" w:rsidRPr="002F2FDF">
        <w:rPr>
          <w:rFonts w:ascii="Times New Roman" w:hAnsi="Times New Roman" w:cs="Times New Roman"/>
          <w:color w:val="000000" w:themeColor="text1"/>
          <w:kern w:val="2"/>
          <w:sz w:val="16"/>
          <w:szCs w:val="16"/>
        </w:rPr>
        <w:fldChar w:fldCharType="begin"/>
      </w:r>
      <w:r w:rsidRPr="002F2FDF">
        <w:rPr>
          <w:rFonts w:ascii="Times New Roman" w:hAnsi="Times New Roman" w:cs="Times New Roman"/>
          <w:color w:val="000000" w:themeColor="text1"/>
          <w:kern w:val="2"/>
          <w:sz w:val="16"/>
          <w:szCs w:val="16"/>
        </w:rPr>
        <w:instrText>ref HYPERLINK "http://hghltd.yandex.net/yandbtm?fmode=inject&amp;url=http%3A%2F%2F4friends.od.ua%2F~porto-fr%2Findex.php%3Fart_num%3Dart031%26year%3D2005%26nnumb%3D34&amp;text=%D0%B1%D0%BE%D0%BB%D1%82%D0%BE%D0%B2%D0%BE%D0%B9%20%D0%B7%D0%B0%D0%B2%D0%BE%D0%B4%20%D0%B2%D0%BE%D0%B9%D0%BD%D0%B0&amp;l10n=ru&amp;mime=html&amp;sign=cf6baba758f3a9ce37dad53d7725e66b&amp;keyno=0" \l "YANDEX_1"</w:instrText>
      </w:r>
      <w:r w:rsidR="00387F6A" w:rsidRPr="002F2FDF">
        <w:rPr>
          <w:rFonts w:ascii="Times New Roman" w:hAnsi="Times New Roman" w:cs="Times New Roman"/>
          <w:color w:val="000000" w:themeColor="text1"/>
          <w:kern w:val="2"/>
          <w:sz w:val="16"/>
          <w:szCs w:val="16"/>
        </w:rPr>
        <w:instrText xml:space="preserve"> \* MERGEFORMAT </w:instrText>
      </w:r>
      <w:r w:rsidR="004A1FB3" w:rsidRPr="002F2FDF">
        <w:rPr>
          <w:rFonts w:ascii="Times New Roman" w:hAnsi="Times New Roman" w:cs="Times New Roman"/>
          <w:color w:val="000000" w:themeColor="text1"/>
          <w:kern w:val="2"/>
          <w:sz w:val="16"/>
          <w:szCs w:val="16"/>
        </w:rPr>
        <w:fldChar w:fldCharType="end"/>
      </w:r>
      <w:r w:rsidR="004A1FB3" w:rsidRPr="002F2FDF">
        <w:rPr>
          <w:rFonts w:ascii="Times New Roman" w:hAnsi="Times New Roman" w:cs="Times New Roman"/>
          <w:color w:val="000000" w:themeColor="text1"/>
          <w:kern w:val="2"/>
          <w:sz w:val="16"/>
          <w:szCs w:val="16"/>
        </w:rPr>
        <w:fldChar w:fldCharType="begin"/>
      </w:r>
      <w:r w:rsidRPr="002F2FDF">
        <w:rPr>
          <w:rFonts w:ascii="Times New Roman" w:hAnsi="Times New Roman" w:cs="Times New Roman"/>
          <w:color w:val="000000" w:themeColor="text1"/>
          <w:kern w:val="2"/>
          <w:sz w:val="16"/>
          <w:szCs w:val="16"/>
        </w:rPr>
        <w:instrText>ref HYPERLINK "http://hghltd.yandex.net/yandbtm?fmode=inject&amp;url=http%3A%2F%2F4friends.od.ua%2F~porto-fr%2Findex.php%3Fart_num%3Dart031%26year%3D2005%26nnumb%3D34&amp;text=%D0%B1%D0%BE%D0%BB%D1%82%D0%BE%D0%B2%D0%BE%D0%B9%20%D0%B7%D0%B0%D0%B2%D0%BE%D0%B4%20%D0%B2%D0%BE%D0%B9%D0%BD%D0%B0&amp;l10n=ru&amp;mime=html&amp;sign=cf6baba758f3a9ce37dad53d7725e66b&amp;keyno=0" \l "YANDEX_0"</w:instrText>
      </w:r>
      <w:r w:rsidR="00387F6A" w:rsidRPr="002F2FDF">
        <w:rPr>
          <w:rFonts w:ascii="Times New Roman" w:hAnsi="Times New Roman" w:cs="Times New Roman"/>
          <w:color w:val="000000" w:themeColor="text1"/>
          <w:kern w:val="2"/>
          <w:sz w:val="16"/>
          <w:szCs w:val="16"/>
        </w:rPr>
        <w:instrText xml:space="preserve"> \* MERGEFORMAT </w:instrText>
      </w:r>
      <w:r w:rsidR="004A1FB3" w:rsidRPr="002F2FDF">
        <w:rPr>
          <w:rFonts w:ascii="Times New Roman" w:hAnsi="Times New Roman" w:cs="Times New Roman"/>
          <w:color w:val="000000" w:themeColor="text1"/>
          <w:kern w:val="2"/>
          <w:sz w:val="16"/>
          <w:szCs w:val="16"/>
        </w:rPr>
        <w:fldChar w:fldCharType="end"/>
      </w:r>
      <w:r w:rsidRPr="002F2FDF">
        <w:rPr>
          <w:rFonts w:ascii="Times New Roman" w:hAnsi="Times New Roman" w:cs="Times New Roman"/>
          <w:color w:val="000000" w:themeColor="text1"/>
          <w:kern w:val="2"/>
          <w:sz w:val="16"/>
          <w:szCs w:val="16"/>
        </w:rPr>
        <w:t>завод , переоборудовалось для снабжения резьбовыми узлами всех авиазаводов в России. Анатра командирует представителей в Париж для создания там своего филиала. Накануне Октябрьской революции Одесский авиазавод был третьим по мощности в России. На нем работали до 2 тысяч рабочих и более 230 служащих. Завод выпускал два самолета в день, в основном оригинальных конструкций (11880).</w:t>
      </w:r>
    </w:p>
    <w:p w14:paraId="592726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201EFD"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До середины 1917 г. про</w:t>
      </w:r>
      <w:r w:rsidRPr="00FB4F67">
        <w:rPr>
          <w:rFonts w:ascii="Times New Roman" w:hAnsi="Times New Roman" w:cs="Times New Roman"/>
          <w:color w:val="0070C0"/>
          <w:sz w:val="16"/>
          <w:szCs w:val="16"/>
        </w:rPr>
        <w:softHyphen/>
        <w:t>должалось производство самолетов «Анаде» и состави</w:t>
      </w:r>
      <w:r w:rsidRPr="00FB4F67">
        <w:rPr>
          <w:rFonts w:ascii="Times New Roman" w:hAnsi="Times New Roman" w:cs="Times New Roman"/>
          <w:color w:val="0070C0"/>
          <w:sz w:val="16"/>
          <w:szCs w:val="16"/>
        </w:rPr>
        <w:softHyphen/>
        <w:t>ло 215 экземпляров, т.е. меньше половины заказанных. Самолеты состояли на воору</w:t>
      </w:r>
      <w:r w:rsidRPr="00FB4F67">
        <w:rPr>
          <w:rFonts w:ascii="Times New Roman" w:hAnsi="Times New Roman" w:cs="Times New Roman"/>
          <w:color w:val="0070C0"/>
          <w:sz w:val="16"/>
          <w:szCs w:val="16"/>
        </w:rPr>
        <w:softHyphen/>
        <w:t>жении 2-го Гвардейского, 1, 3, 9, 12, 16, 17, 20, 28 и 36-го корпусных авиаотрядов, 1,2,3, 6, 7-го Сибирскихавиаотрядов. Отдельные машины этого типа принимали участие в гражданской войне на стороне различных противоборствующих сторон. С учетом дополнительно изготовленных до весны 1918 г., общее количество постро</w:t>
      </w:r>
      <w:r w:rsidRPr="00FB4F67">
        <w:rPr>
          <w:rFonts w:ascii="Times New Roman" w:hAnsi="Times New Roman" w:cs="Times New Roman"/>
          <w:color w:val="0070C0"/>
          <w:sz w:val="16"/>
          <w:szCs w:val="16"/>
        </w:rPr>
        <w:softHyphen/>
        <w:t>енных «Анаде» составило около 300 эк</w:t>
      </w:r>
      <w:r w:rsidRPr="00FB4F67">
        <w:rPr>
          <w:rFonts w:ascii="Times New Roman" w:hAnsi="Times New Roman" w:cs="Times New Roman"/>
          <w:color w:val="0070C0"/>
          <w:sz w:val="16"/>
          <w:szCs w:val="16"/>
        </w:rPr>
        <w:softHyphen/>
        <w:t>земпляров (23374).</w:t>
      </w:r>
    </w:p>
    <w:p w14:paraId="0C518064" w14:textId="77777777" w:rsidR="003875B3" w:rsidRPr="00FB4F67" w:rsidRDefault="003875B3" w:rsidP="0083075A">
      <w:pPr>
        <w:spacing w:after="0" w:line="240" w:lineRule="auto"/>
        <w:jc w:val="both"/>
        <w:rPr>
          <w:rFonts w:ascii="Times New Roman" w:hAnsi="Times New Roman" w:cs="Times New Roman"/>
          <w:color w:val="0070C0"/>
          <w:sz w:val="16"/>
          <w:szCs w:val="16"/>
        </w:rPr>
      </w:pPr>
    </w:p>
    <w:p w14:paraId="2DB743D0"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До середины 1917 г. завод Анатра выпус</w:t>
      </w:r>
      <w:r w:rsidRPr="00FB4F67">
        <w:rPr>
          <w:rFonts w:ascii="Times New Roman" w:hAnsi="Times New Roman" w:cs="Times New Roman"/>
          <w:color w:val="0070C0"/>
          <w:sz w:val="16"/>
          <w:szCs w:val="16"/>
        </w:rPr>
        <w:softHyphen/>
        <w:t>тил 24 экземпляра «Анаклер». Дальнейшее увеличение производства этого типа сковы</w:t>
      </w:r>
      <w:r w:rsidRPr="00FB4F67">
        <w:rPr>
          <w:rFonts w:ascii="Times New Roman" w:hAnsi="Times New Roman" w:cs="Times New Roman"/>
          <w:color w:val="0070C0"/>
          <w:sz w:val="16"/>
          <w:szCs w:val="16"/>
        </w:rPr>
        <w:softHyphen/>
        <w:t>валось недостатком двигателей «Клерже» (23374).</w:t>
      </w:r>
    </w:p>
    <w:p w14:paraId="6AB140FA" w14:textId="77777777" w:rsidR="003875B3" w:rsidRPr="00FB4F67" w:rsidRDefault="003875B3" w:rsidP="0083075A">
      <w:pPr>
        <w:spacing w:after="0" w:line="240" w:lineRule="auto"/>
        <w:jc w:val="both"/>
        <w:rPr>
          <w:rFonts w:ascii="Times New Roman" w:hAnsi="Times New Roman" w:cs="Times New Roman"/>
          <w:color w:val="0070C0"/>
          <w:sz w:val="16"/>
          <w:szCs w:val="16"/>
        </w:rPr>
      </w:pPr>
    </w:p>
    <w:p w14:paraId="2D169C6D"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середине 1917 г. «Дву</w:t>
      </w:r>
      <w:r w:rsidRPr="00FB4F67">
        <w:rPr>
          <w:rFonts w:ascii="Times New Roman" w:hAnsi="Times New Roman" w:cs="Times New Roman"/>
          <w:color w:val="0070C0"/>
          <w:sz w:val="16"/>
          <w:szCs w:val="16"/>
        </w:rPr>
        <w:softHyphen/>
        <w:t>хвостку» Хиони оборудовали поплавковым шасси и испытали на Черном море в районе Одессы. 11 августа 1917 г. самолет, управ</w:t>
      </w:r>
      <w:r w:rsidRPr="00FB4F67">
        <w:rPr>
          <w:rFonts w:ascii="Times New Roman" w:hAnsi="Times New Roman" w:cs="Times New Roman"/>
          <w:color w:val="0070C0"/>
          <w:sz w:val="16"/>
          <w:szCs w:val="16"/>
        </w:rPr>
        <w:softHyphen/>
        <w:t>ляемый конструктором, потерпел аварию при посадке на воду, при этом пассажир, находящийся в верхней кабине, выпал из нее и утонул. Не смотря на значительный интерес к «Двухвостке» в морском вариан</w:t>
      </w:r>
      <w:r w:rsidRPr="00FB4F67">
        <w:rPr>
          <w:rFonts w:ascii="Times New Roman" w:hAnsi="Times New Roman" w:cs="Times New Roman"/>
          <w:color w:val="0070C0"/>
          <w:sz w:val="16"/>
          <w:szCs w:val="16"/>
        </w:rPr>
        <w:softHyphen/>
        <w:t>те, дальнейшего продолжения эти опыты не имели (23374).</w:t>
      </w:r>
    </w:p>
    <w:p w14:paraId="577BC0C3" w14:textId="77777777" w:rsidR="003875B3" w:rsidRPr="00FB4F67" w:rsidRDefault="003875B3" w:rsidP="0083075A">
      <w:pPr>
        <w:spacing w:after="0" w:line="240" w:lineRule="auto"/>
        <w:jc w:val="both"/>
        <w:rPr>
          <w:rFonts w:ascii="Times New Roman" w:hAnsi="Times New Roman" w:cs="Times New Roman"/>
          <w:color w:val="0070C0"/>
          <w:sz w:val="16"/>
          <w:szCs w:val="16"/>
        </w:rPr>
      </w:pPr>
    </w:p>
    <w:p w14:paraId="419ED766"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 се</w:t>
      </w:r>
      <w:r w:rsidRPr="00FB4F67">
        <w:rPr>
          <w:rFonts w:ascii="Times New Roman" w:hAnsi="Times New Roman" w:cs="Times New Roman"/>
          <w:color w:val="0070C0"/>
          <w:sz w:val="16"/>
          <w:szCs w:val="16"/>
        </w:rPr>
        <w:softHyphen/>
        <w:t>редины 1917 года в 3-м авиапарке в Киеве началось изготовление двухместного моноплана, проект кото</w:t>
      </w:r>
      <w:r w:rsidRPr="00FB4F67">
        <w:rPr>
          <w:rFonts w:ascii="Times New Roman" w:hAnsi="Times New Roman" w:cs="Times New Roman"/>
          <w:color w:val="0070C0"/>
          <w:sz w:val="16"/>
          <w:szCs w:val="16"/>
        </w:rPr>
        <w:softHyphen/>
        <w:t>рого предложил в 1917 г. военный летчик Иван Рябоконь. Самолет отличался возможностью регулировки стреловиднос</w:t>
      </w:r>
      <w:r w:rsidRPr="00FB4F67">
        <w:rPr>
          <w:rFonts w:ascii="Times New Roman" w:hAnsi="Times New Roman" w:cs="Times New Roman"/>
          <w:color w:val="0070C0"/>
          <w:sz w:val="16"/>
          <w:szCs w:val="16"/>
        </w:rPr>
        <w:softHyphen/>
        <w:t>ти крыла (23374).</w:t>
      </w:r>
    </w:p>
    <w:p w14:paraId="05BA46BD" w14:textId="77777777" w:rsidR="003875B3" w:rsidRPr="00FB4F67" w:rsidRDefault="003875B3" w:rsidP="0083075A">
      <w:pPr>
        <w:spacing w:after="0" w:line="240" w:lineRule="auto"/>
        <w:jc w:val="both"/>
        <w:rPr>
          <w:rFonts w:ascii="Times New Roman" w:hAnsi="Times New Roman" w:cs="Times New Roman"/>
          <w:color w:val="0070C0"/>
          <w:sz w:val="16"/>
          <w:szCs w:val="16"/>
        </w:rPr>
      </w:pPr>
    </w:p>
    <w:p w14:paraId="7C7153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был построен и выведен на аэродром автоматически устойчивый (с гироскопом) биплан Г.А.Ботезата - Фарман XVI с большой закрытой кабиной. При взлете потерпел аварию (сломалось шасси) и не восстанавливался (92,186).</w:t>
      </w:r>
    </w:p>
    <w:p w14:paraId="22AE8A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01B9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был построен самолет С.К.Модраха - военного ли. Обнаружили в одном из ящиков, доставленных в Егорьевскую теоретическую школу авиации из Гатчины. Летать не стали, но оставили в качестве учебного пособия (92,187).</w:t>
      </w:r>
    </w:p>
    <w:p w14:paraId="663993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E021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ввиду трудностей из-за низкой мореходности лл истребителей появился проект контристребителя - сухопутного фюзеляжного самолета, взлетающего с берега, сбрасывающего шасси и садящегося на воду. По заданию Управления морской авиации (УМА) началось проектирование. Сначала предлагали Д.П.Г., КБ АИС и А.Ю.Виллишу, но взялся только А.Ю.Виллиш (92,231).</w:t>
      </w:r>
    </w:p>
    <w:p w14:paraId="367ECC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7D3E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из-за угрозы захвата Моонзундского архипелага приняли решение заказать 20 торпедоносцев и начали строить аэродром для них на о. Эзель (Сааремаа) близ Аренсбурга (потом оттуда бомбили в 1941 Берлин (1337,20).</w:t>
      </w:r>
    </w:p>
    <w:p w14:paraId="14C1E1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ED36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1917-го было принято решение заказать 20 самолетов-торпедоносцев. Началось строительство аэродромов для их базирования, в том числе и на острове Эзель (ныне-Сааремаа) близ Аренсбурга, где предполагалось разместить первое боевое подразделение. Его собирались использовать против немецких кораблей и возможного десанта. (Странны и неожиданны повороты истории. Летом 1941-го именно с этого аэродрома летчики 1-го минно-торпедного полка авиации Балтийского флота совершали полеты на Берлин). Голенищев-Кутузов предпринимал энергичные усилия для изготовления торпедных аппаратов и оборудования ими "Муромцев". Испытания первой машины начались в конце июля 1917-го. Мятеж генерала Корнилова, сложная внутриполитическая обстановка не способствовали скорейшему их завершению. В начале октября после захвата немцами Моонзунда вновь встал вопрос о базировании торпедоносцев, окончательно зашедший в тупик в конце месяца (11240).</w:t>
      </w:r>
    </w:p>
    <w:p w14:paraId="576394ED" w14:textId="5D6FD37E"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F08D84" w14:textId="77777777" w:rsidR="000814A4" w:rsidRPr="002F2FDF" w:rsidRDefault="000814A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Летом 1917 г. завод «Моска» встал. К тому времени было готово не менее 12 самолетов МБ-бис серии 1, десяток машин 2-й серии и, возможно, еще пара «бисов» серии 3 с «Кольтом» и синхронизаторомотсекателем (22754).</w:t>
      </w:r>
    </w:p>
    <w:p w14:paraId="26117F03" w14:textId="77777777" w:rsidR="000814A4" w:rsidRPr="002F2FDF" w:rsidRDefault="000814A4"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97D528" w14:textId="77777777" w:rsidR="000814A4" w:rsidRPr="002F2FDF" w:rsidRDefault="000814A4" w:rsidP="0083075A">
      <w:pPr>
        <w:spacing w:after="0" w:line="240" w:lineRule="auto"/>
        <w:jc w:val="both"/>
        <w:rPr>
          <w:rFonts w:ascii="Times New Roman" w:hAnsi="Times New Roman" w:cs="Times New Roman"/>
          <w:color w:val="000000" w:themeColor="text1"/>
          <w:sz w:val="16"/>
          <w:szCs w:val="16"/>
        </w:rPr>
      </w:pPr>
      <w:bookmarkStart w:id="188" w:name="_Hlk92717113"/>
      <w:bookmarkStart w:id="189" w:name="_Hlk93569128"/>
      <w:r w:rsidRPr="002F2FDF">
        <w:rPr>
          <w:rFonts w:ascii="Times New Roman" w:hAnsi="Times New Roman" w:cs="Times New Roman"/>
          <w:color w:val="000000" w:themeColor="text1"/>
          <w:sz w:val="16"/>
          <w:szCs w:val="16"/>
        </w:rPr>
        <w:t xml:space="preserve">Летом 1917 г. в мастерских Гатчинской летной школы построили СКМ (Сергей Карлович Модрах), правда, без вооружения. Его сразу же его облетал сам конструктор. Скорость была хорошей, на уровне самолетов Ньюпор 17 выпуска 1916 г., но для 1917 г. не лучшей — по этому показателю СКМ уступал русским истребителям С-20 и С-22. </w:t>
      </w:r>
    </w:p>
    <w:p w14:paraId="4DD92C68" w14:textId="77777777" w:rsidR="000814A4" w:rsidRPr="002F2FDF" w:rsidRDefault="000814A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Достичь большего при очень хорошей обтекаемости самолета помешали его большие размеры, определившие сопротивление трения. При этом СКМ имел очень маленькую нагрузку на крыло и соответственно хорошую горизонтальную маневренность. Но малые ходы командных рычагов управления определили слишком высокую чувствительность самолета к их движениям — он явно не был доступен летчику со средним уровнем подготовки. Хотя это можно было легко исправить, истребитель СКМ Военному министерству Временного правительства оказался не нужен.</w:t>
      </w:r>
    </w:p>
    <w:p w14:paraId="1F89798F" w14:textId="77777777" w:rsidR="000814A4" w:rsidRPr="002F2FDF" w:rsidRDefault="000814A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Самолет СКМ в 1921 г. был обнаружен в ящике на территории авиашколы в Егорьевске в Московской области. Как он туда попал и когда неясно, так как это не по пути ни к месту назначения Модраха в 3-ю БАГ в Белоруссии, ни на Север, куда он бежал. В ящике не было никаких документов, на нем лишь была написана фамилия «Модрах». Самолет собрали, но облетывать не рискнули, а использовали СКМ как нелетное учебное пособие в Егорьевской теоретической авиашколе, пока не списали (22826).</w:t>
      </w:r>
    </w:p>
    <w:p w14:paraId="78092C60" w14:textId="77777777" w:rsidR="000814A4" w:rsidRPr="002F2FDF" w:rsidRDefault="000814A4" w:rsidP="0083075A">
      <w:pPr>
        <w:spacing w:after="0" w:line="240" w:lineRule="auto"/>
        <w:jc w:val="both"/>
        <w:rPr>
          <w:rFonts w:ascii="Times New Roman" w:hAnsi="Times New Roman" w:cs="Times New Roman"/>
          <w:color w:val="000000" w:themeColor="text1"/>
          <w:sz w:val="16"/>
          <w:szCs w:val="16"/>
        </w:rPr>
      </w:pPr>
    </w:p>
    <w:bookmarkEnd w:id="188"/>
    <w:p w14:paraId="3A173565" w14:textId="77777777" w:rsidR="000814A4" w:rsidRPr="002F2FDF" w:rsidRDefault="000814A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До лета 1917 завод ДЕКА в Александровске еще работал, а потом без видимых причин начались простои, перебои с материалами, с цехов начало пропадать оборудование, а из заводских архивов — документы, в том числе ценные чертежи, созданные конструкторской группой завода. Были случаи, когда приходили приказы о сжигании действующей производственной документации. В коллективе, причем не только среди пролетариев, зрело недовольство политикой правления АО, которое </w:t>
      </w:r>
      <w:r w:rsidRPr="002F2FDF">
        <w:rPr>
          <w:rFonts w:ascii="Times New Roman" w:hAnsi="Times New Roman" w:cs="Times New Roman"/>
          <w:color w:val="000000" w:themeColor="text1"/>
          <w:sz w:val="16"/>
          <w:szCs w:val="16"/>
        </w:rPr>
        <w:lastRenderedPageBreak/>
        <w:t>пошло на постепенное сворачивание производства в Александровске. Срывались военные заказы, начались перебои с зарплатой и снабжением работников завода, а надвигалась осень и зима. Новая Октябрьская революция в Петрограде пока мало что изменила в далеком Александровске, хотя именно на заводе «ДЕКА» в начале 1917 года была создана первая в городе ячейка Российской социал-демократической партии большевиков, силами которой эта революция и была проведена (22898).</w:t>
      </w:r>
    </w:p>
    <w:bookmarkEnd w:id="189"/>
    <w:p w14:paraId="27682EEC" w14:textId="77777777" w:rsidR="000814A4" w:rsidRPr="002F2FDF" w:rsidRDefault="000814A4" w:rsidP="0083075A">
      <w:pPr>
        <w:spacing w:after="0" w:line="240" w:lineRule="auto"/>
        <w:jc w:val="both"/>
        <w:rPr>
          <w:rFonts w:ascii="Times New Roman" w:hAnsi="Times New Roman" w:cs="Times New Roman"/>
          <w:color w:val="000000" w:themeColor="text1"/>
          <w:sz w:val="16"/>
          <w:szCs w:val="16"/>
        </w:rPr>
      </w:pPr>
    </w:p>
    <w:p w14:paraId="22551C3F" w14:textId="77777777" w:rsidR="00910F46" w:rsidRPr="002F2FDF" w:rsidRDefault="00910F46"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 морскими летчиками были проведены сравнительные испы</w:t>
      </w:r>
      <w:r w:rsidRPr="002F2FDF">
        <w:rPr>
          <w:rFonts w:ascii="Times New Roman" w:hAnsi="Times New Roman" w:cs="Times New Roman"/>
          <w:color w:val="000000" w:themeColor="text1"/>
          <w:kern w:val="2"/>
          <w:sz w:val="16"/>
          <w:szCs w:val="16"/>
        </w:rPr>
        <w:softHyphen/>
        <w:t>тания винтов Григорашвили с винтами Шовьера на летающих лодках М-5 с мотором «Гном-Моносупапп» в 100 л. с. и «Рон» в 125 л. е., а также М-9 с «Сальмсон» в 150 л. с. Проводились они знаменитыми летчиками Бал</w:t>
      </w:r>
      <w:r w:rsidRPr="002F2FDF">
        <w:rPr>
          <w:rFonts w:ascii="Times New Roman" w:hAnsi="Times New Roman" w:cs="Times New Roman"/>
          <w:color w:val="000000" w:themeColor="text1"/>
          <w:kern w:val="2"/>
          <w:sz w:val="16"/>
          <w:szCs w:val="16"/>
        </w:rPr>
        <w:softHyphen/>
        <w:t>тийского флота мичманом Прокофьевым-Северским, подпоручиком Алферьевым и лейтенантом Седовым. Григорашвили лично принимал участие в лет</w:t>
      </w:r>
      <w:r w:rsidRPr="002F2FDF">
        <w:rPr>
          <w:rFonts w:ascii="Times New Roman" w:hAnsi="Times New Roman" w:cs="Times New Roman"/>
          <w:color w:val="000000" w:themeColor="text1"/>
          <w:kern w:val="2"/>
          <w:sz w:val="16"/>
          <w:szCs w:val="16"/>
        </w:rPr>
        <w:softHyphen/>
        <w:t>ных испытаниях в качестве летнаба. Средняя скорость полета, достигнутая на летающих лодках с винтами типа «Г», оказалась на несколько километров в час больше, чем с винтами Шовье</w:t>
      </w:r>
      <w:r w:rsidRPr="002F2FDF">
        <w:rPr>
          <w:rFonts w:ascii="Times New Roman" w:hAnsi="Times New Roman" w:cs="Times New Roman"/>
          <w:color w:val="000000" w:themeColor="text1"/>
          <w:kern w:val="2"/>
          <w:sz w:val="16"/>
          <w:szCs w:val="16"/>
        </w:rPr>
        <w:softHyphen/>
        <w:t>ра. Высота в 500 м достигалась за пять минут вместо пяти с половиной. За</w:t>
      </w:r>
      <w:r w:rsidRPr="002F2FDF">
        <w:rPr>
          <w:rFonts w:ascii="Times New Roman" w:hAnsi="Times New Roman" w:cs="Times New Roman"/>
          <w:color w:val="000000" w:themeColor="text1"/>
          <w:kern w:val="2"/>
          <w:sz w:val="16"/>
          <w:szCs w:val="16"/>
        </w:rPr>
        <w:softHyphen/>
        <w:t>ключение морских летчиков гласило: «Винт инженера Григорашвили не ус</w:t>
      </w:r>
      <w:r w:rsidRPr="002F2FDF">
        <w:rPr>
          <w:rFonts w:ascii="Times New Roman" w:hAnsi="Times New Roman" w:cs="Times New Roman"/>
          <w:color w:val="000000" w:themeColor="text1"/>
          <w:kern w:val="2"/>
          <w:sz w:val="16"/>
          <w:szCs w:val="16"/>
        </w:rPr>
        <w:softHyphen/>
        <w:t>тупает по своим качествам Шовьеру». Так морская авиация вслед за армей</w:t>
      </w:r>
      <w:r w:rsidRPr="002F2FDF">
        <w:rPr>
          <w:rFonts w:ascii="Times New Roman" w:hAnsi="Times New Roman" w:cs="Times New Roman"/>
          <w:color w:val="000000" w:themeColor="text1"/>
          <w:kern w:val="2"/>
          <w:sz w:val="16"/>
          <w:szCs w:val="16"/>
        </w:rPr>
        <w:softHyphen/>
        <w:t>ской официально приняла винты М. Л. Григорашвили на вооружение (15740).</w:t>
      </w:r>
    </w:p>
    <w:p w14:paraId="36294FB0" w14:textId="77777777" w:rsidR="00910F46" w:rsidRPr="002F2FDF" w:rsidRDefault="00910F46"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69E2F29E" w14:textId="77777777" w:rsidR="00910F46" w:rsidRPr="002F2FDF" w:rsidRDefault="00910F4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 Ижорский завод получил благодарственное письмо помощника военного министра за миномёты, в котором говорилось, что «глубоко тронул поступок сотрудника Ижорского завода – капитана Лихонина, который, ввиду тяжёлого переживаемого Россией времени забыл о своих личных интересах и отказался от денежного вознаграждения… за свою плодотворную деятельность» (15122).</w:t>
      </w:r>
    </w:p>
    <w:p w14:paraId="428295E1" w14:textId="77777777" w:rsidR="00910F46" w:rsidRPr="002F2FDF" w:rsidRDefault="00910F46" w:rsidP="0083075A">
      <w:pPr>
        <w:spacing w:after="0" w:line="240" w:lineRule="auto"/>
        <w:jc w:val="both"/>
        <w:rPr>
          <w:rFonts w:ascii="Times New Roman" w:hAnsi="Times New Roman" w:cs="Times New Roman"/>
          <w:color w:val="000000" w:themeColor="text1"/>
          <w:kern w:val="2"/>
          <w:sz w:val="16"/>
          <w:szCs w:val="16"/>
        </w:rPr>
      </w:pPr>
    </w:p>
    <w:p w14:paraId="6D783EE2" w14:textId="77777777" w:rsidR="000814A4" w:rsidRPr="002F2FDF" w:rsidRDefault="000814A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самый горячий период боёв летом 1917 г. снабжение парашютами воздухоплавательных частей прекратилось, так как иностранные не поступали, а отечественные не были ещё гото</w:t>
      </w:r>
      <w:r w:rsidRPr="002F2FDF">
        <w:rPr>
          <w:rFonts w:ascii="Times New Roman" w:hAnsi="Times New Roman" w:cs="Times New Roman"/>
          <w:color w:val="000000" w:themeColor="text1"/>
          <w:sz w:val="16"/>
          <w:szCs w:val="16"/>
        </w:rPr>
        <w:softHyphen/>
        <w:t>вы. Изготовленные по французскому образцу на заводе «Треугольник» и в ОВШ парашюты в количестве 70 штук поступили на фронт лишь к концу лета 1917 г. Английские парашюты си</w:t>
      </w:r>
      <w:r w:rsidRPr="002F2FDF">
        <w:rPr>
          <w:rFonts w:ascii="Times New Roman" w:hAnsi="Times New Roman" w:cs="Times New Roman"/>
          <w:color w:val="000000" w:themeColor="text1"/>
          <w:sz w:val="16"/>
          <w:szCs w:val="16"/>
        </w:rPr>
        <w:softHyphen/>
        <w:t>стемы Кальтропа получили в конце ноября 1917 г. и передали на фронт, когда боевые дей</w:t>
      </w:r>
      <w:r w:rsidRPr="002F2FDF">
        <w:rPr>
          <w:rFonts w:ascii="Times New Roman" w:hAnsi="Times New Roman" w:cs="Times New Roman"/>
          <w:color w:val="000000" w:themeColor="text1"/>
          <w:sz w:val="16"/>
          <w:szCs w:val="16"/>
        </w:rPr>
        <w:softHyphen/>
        <w:t>ствия уже закончились.</w:t>
      </w:r>
    </w:p>
    <w:p w14:paraId="391160B5" w14:textId="77777777" w:rsidR="000814A4" w:rsidRPr="002F2FDF" w:rsidRDefault="000814A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Несмотря на то, что применявшиеся в годы Первой мировой войны в русской армии пара</w:t>
      </w:r>
      <w:r w:rsidRPr="002F2FDF">
        <w:rPr>
          <w:rFonts w:ascii="Times New Roman" w:hAnsi="Times New Roman" w:cs="Times New Roman"/>
          <w:color w:val="000000" w:themeColor="text1"/>
          <w:sz w:val="16"/>
          <w:szCs w:val="16"/>
        </w:rPr>
        <w:softHyphen/>
        <w:t>шюты (Котельникова и Жюкмесса) имели ряд конструктивных недостатков, они спасли жизнь десяткам наблюдателей привязных аэростатов. Полученный при этом опыт позднее использо</w:t>
      </w:r>
      <w:r w:rsidRPr="002F2FDF">
        <w:rPr>
          <w:rFonts w:ascii="Times New Roman" w:hAnsi="Times New Roman" w:cs="Times New Roman"/>
          <w:color w:val="000000" w:themeColor="text1"/>
          <w:sz w:val="16"/>
          <w:szCs w:val="16"/>
        </w:rPr>
        <w:softHyphen/>
        <w:t>вался для создания более совершенных авиаци</w:t>
      </w:r>
      <w:r w:rsidRPr="002F2FDF">
        <w:rPr>
          <w:rFonts w:ascii="Times New Roman" w:hAnsi="Times New Roman" w:cs="Times New Roman"/>
          <w:color w:val="000000" w:themeColor="text1"/>
          <w:sz w:val="16"/>
          <w:szCs w:val="16"/>
        </w:rPr>
        <w:softHyphen/>
        <w:t>онных парашютов (20120).</w:t>
      </w:r>
    </w:p>
    <w:p w14:paraId="6AB7DC4A" w14:textId="77777777" w:rsidR="000814A4" w:rsidRPr="002F2FDF" w:rsidRDefault="000814A4" w:rsidP="0083075A">
      <w:pPr>
        <w:spacing w:after="0" w:line="240" w:lineRule="auto"/>
        <w:jc w:val="both"/>
        <w:rPr>
          <w:rFonts w:ascii="Times New Roman" w:hAnsi="Times New Roman" w:cs="Times New Roman"/>
          <w:color w:val="000000" w:themeColor="text1"/>
          <w:sz w:val="16"/>
          <w:szCs w:val="16"/>
        </w:rPr>
      </w:pPr>
    </w:p>
    <w:p w14:paraId="26BCA3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 на пути в Архангельск был потоплен английский пароход “Буревестник”, на котором находились самолеты “Сопвич” и сорок ящиков инструмента для авиамехаников. Вместе с английским пароходом “Вариоль” пошли ко дну двигатели “Клерже”, свечи “Рев”, 100 бомбовых прицелов “Трамбани”, оптические прицелы для бомбометания, воздушные винты. На пущенном ко дну французском пароходе “Кинг Давид” находилось 46 самолетов типа “Ньюпор-21” и “-24” и “Фарман-40”, запасные части для двигателей, четыре ящика образцов для постройки самолетов “Спад”, много авиационных приборов (9759).</w:t>
      </w:r>
    </w:p>
    <w:p w14:paraId="2DDCC3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3D4CF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 в Филях, где РБВЗ организовал многопрофильное предприятие, включав</w:t>
      </w:r>
      <w:r w:rsidRPr="002F2FDF">
        <w:rPr>
          <w:rFonts w:ascii="Times New Roman" w:hAnsi="Times New Roman" w:cs="Times New Roman"/>
          <w:color w:val="000000" w:themeColor="text1"/>
          <w:kern w:val="2"/>
          <w:sz w:val="16"/>
          <w:szCs w:val="16"/>
        </w:rPr>
        <w:softHyphen/>
        <w:t>шее автомобильное, моторное и самолетостроительное производство, начали сборку моторов из привозных деталей. Всего со</w:t>
      </w:r>
      <w:r w:rsidRPr="002F2FDF">
        <w:rPr>
          <w:rFonts w:ascii="Times New Roman" w:hAnsi="Times New Roman" w:cs="Times New Roman"/>
          <w:color w:val="000000" w:themeColor="text1"/>
          <w:kern w:val="2"/>
          <w:sz w:val="16"/>
          <w:szCs w:val="16"/>
        </w:rPr>
        <w:softHyphen/>
        <w:t>брали около 20 штук. После Гражданской войны завод в Филях передали в концессию фирме «Юнкере», а затем он превратился в известный само</w:t>
      </w:r>
      <w:r w:rsidRPr="002F2FDF">
        <w:rPr>
          <w:rFonts w:ascii="Times New Roman" w:hAnsi="Times New Roman" w:cs="Times New Roman"/>
          <w:color w:val="000000" w:themeColor="text1"/>
          <w:kern w:val="2"/>
          <w:sz w:val="16"/>
          <w:szCs w:val="16"/>
        </w:rPr>
        <w:softHyphen/>
        <w:t>летостроительный завод № 22. Но моторов там больше не делали. Ныне завод имени Хруничева занимается исключительно космической техникой (11852).</w:t>
      </w:r>
    </w:p>
    <w:p w14:paraId="0FBDAF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2143A5" w14:textId="77777777" w:rsidR="000814A4" w:rsidRPr="002F2FDF" w:rsidRDefault="000814A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Летом 1917 г., когда в рас</w:t>
      </w:r>
      <w:r w:rsidRPr="002F2FDF">
        <w:rPr>
          <w:rFonts w:ascii="Times New Roman" w:hAnsi="Times New Roman" w:cs="Times New Roman"/>
          <w:color w:val="000000" w:themeColor="text1"/>
          <w:sz w:val="16"/>
          <w:szCs w:val="16"/>
        </w:rPr>
        <w:softHyphen/>
        <w:t>поряжении появились французские зажигатель</w:t>
      </w:r>
      <w:r w:rsidRPr="002F2FDF">
        <w:rPr>
          <w:rFonts w:ascii="Times New Roman" w:hAnsi="Times New Roman" w:cs="Times New Roman"/>
          <w:color w:val="000000" w:themeColor="text1"/>
          <w:sz w:val="16"/>
          <w:szCs w:val="16"/>
        </w:rPr>
        <w:softHyphen/>
        <w:t>ные ракеты Русские аэропланы начали атаки на аэростаты противника, нередко поднимавшиеся в четырё</w:t>
      </w:r>
      <w:r w:rsidRPr="002F2FDF">
        <w:rPr>
          <w:rFonts w:ascii="Times New Roman" w:hAnsi="Times New Roman" w:cs="Times New Roman"/>
          <w:color w:val="000000" w:themeColor="text1"/>
          <w:sz w:val="16"/>
          <w:szCs w:val="16"/>
        </w:rPr>
        <w:softHyphen/>
        <w:t>хугольнике зенитных батарей, к которым часто добавлялись ещё одно-два 37-мм скорострель</w:t>
      </w:r>
      <w:r w:rsidRPr="002F2FDF">
        <w:rPr>
          <w:rFonts w:ascii="Times New Roman" w:hAnsi="Times New Roman" w:cs="Times New Roman"/>
          <w:color w:val="000000" w:themeColor="text1"/>
          <w:sz w:val="16"/>
          <w:szCs w:val="16"/>
        </w:rPr>
        <w:softHyphen/>
        <w:t>ных орудия.</w:t>
      </w:r>
    </w:p>
    <w:p w14:paraId="2A2CE829" w14:textId="77777777" w:rsidR="000814A4" w:rsidRPr="002F2FDF" w:rsidRDefault="000814A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Первые три года войны германские аэростаты на Восточном фронте несли потери либо по ме</w:t>
      </w:r>
      <w:r w:rsidRPr="002F2FDF">
        <w:rPr>
          <w:rFonts w:ascii="Times New Roman" w:hAnsi="Times New Roman" w:cs="Times New Roman"/>
          <w:color w:val="000000" w:themeColor="text1"/>
          <w:sz w:val="16"/>
          <w:szCs w:val="16"/>
        </w:rPr>
        <w:softHyphen/>
        <w:t>теорологическим причинам, залетая при срыве за линию фронта (6-8 января 1916 г. северо-запад</w:t>
      </w:r>
      <w:r w:rsidRPr="002F2FDF">
        <w:rPr>
          <w:rFonts w:ascii="Times New Roman" w:hAnsi="Times New Roman" w:cs="Times New Roman"/>
          <w:color w:val="000000" w:themeColor="text1"/>
          <w:sz w:val="16"/>
          <w:szCs w:val="16"/>
        </w:rPr>
        <w:softHyphen/>
        <w:t>нее Збаража, 25-26 апреля 1916 г. в районе Сред</w:t>
      </w:r>
      <w:r w:rsidRPr="002F2FDF">
        <w:rPr>
          <w:rFonts w:ascii="Times New Roman" w:hAnsi="Times New Roman" w:cs="Times New Roman"/>
          <w:color w:val="000000" w:themeColor="text1"/>
          <w:sz w:val="16"/>
          <w:szCs w:val="16"/>
        </w:rPr>
        <w:softHyphen/>
        <w:t>ней Стрыпы, и 16-17 мая 1916 г. в районе Тукку- ма), либо от огня артиллерии (6-7 июля 1916 г. в районе Любешова) (20120).</w:t>
      </w:r>
    </w:p>
    <w:p w14:paraId="17D330DB" w14:textId="77777777" w:rsidR="000814A4" w:rsidRPr="002F2FDF" w:rsidRDefault="000814A4" w:rsidP="0083075A">
      <w:pPr>
        <w:spacing w:after="0" w:line="240" w:lineRule="auto"/>
        <w:jc w:val="both"/>
        <w:rPr>
          <w:rFonts w:ascii="Times New Roman" w:hAnsi="Times New Roman" w:cs="Times New Roman"/>
          <w:color w:val="000000" w:themeColor="text1"/>
          <w:sz w:val="16"/>
          <w:szCs w:val="16"/>
        </w:rPr>
      </w:pPr>
    </w:p>
    <w:p w14:paraId="7B1363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лету 1917 г. С.В.Ильюшин, сравнительно быстро освоив управление самолетом, стал неплохо пилотировать, чувствовал себя в воздухе уверенно. Сдавая экзамен на звание летчика, или как тогда говорили, пилота-авиатора, С.В.Ильюшин набрал на “Вуазене” высоту 2000 м, а потом продемонстрировал выполнение на нем виражей, горок, построил заход на посадку и плавно приземлился. Однако, став летчиком, С.В.Ильюшин продолжал выполнять на аэродроме свои прежние обязанности старшего моториста, а несколько позже - браковщика-контролера (9528).</w:t>
      </w:r>
    </w:p>
    <w:p w14:paraId="31E5B2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0699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Летом 1917 г. центральная аэронавигационная станция ВВФ переведена в Москву и размещена в здании бывшей бани Соколовского в Грузинах. Руководителем назначен А.А. Фридман. Началось формирование Казенного завода, который вскоре получил название “Авиаприбор”. На заводе организована опытная база авиаприборов (действовала недолго) и ремонт авиационных измерительных приборов (1919-20 г.). </w:t>
      </w:r>
    </w:p>
    <w:p w14:paraId="1C4D26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период 1920-30 г. завод изготовлял различные металлические изделия гражданского приборостроения: медицинский инструмент, манометры, расходомеры, часы. С 1920 г. предприятие было переоборудовано, вступили в строй отдельные цеха как 1-е отделение завода по авиаприборам.</w:t>
      </w:r>
    </w:p>
    <w:p w14:paraId="56D13F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непрерывного расширения деятельности и специализации производство часов в 1930 г. выделено в отдельное предприятие (2-й часовой завод). Далее производство теплоприборов выделилось в самостоятельный Владимирский теплоприборный завод.</w:t>
      </w:r>
    </w:p>
    <w:p w14:paraId="348648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1932 г. завод "Авиаприбор" был еще раз разделен: производство механических авиационных приборов было выделено в самостоятельный завод № 213 и переведено на новую территорию. Затем вскоре изготовление чертежных принадлежностей выделено в завод “Готовальня”. Оставшаяся часть завода получила название завод “Тизприбор”, позже переименованный в завод № 230. </w:t>
      </w:r>
    </w:p>
    <w:p w14:paraId="1E8F2B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Работы по авиационным и теплоизмерительным приборам, приборам автоматики прямоточных котлов. В 1938 г. налажено производство авиационных электроизмерительных приборов: гальванометров, электротахометров, автоматов курса, манометров. Мощности по теплоизмерительным приборам планировалось в середине 1941 г. перевести в другое место.</w:t>
      </w:r>
    </w:p>
    <w:p w14:paraId="75735D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начала войны было приято решение об организации дублера завода № 230. Для этого по приказу № 894сс от 22.08.1941 г. завод № 230 5ГУ НКАП эвакуирован (сначала 30% мощностей и персонала) в Казань на площади ветеринарного института и ветеринарного техникума. Планировалось сюда же полностью эвакуировать завод № 278 НКАП из Ленинграда, но это не было выполнено. По приказу № 1050сс от 8.10.1941 г. оставшаяся часть завода № 230 также эвакуирована в Казань.</w:t>
      </w:r>
    </w:p>
    <w:p w14:paraId="65C77D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Москве на старом месте в конце 1941 г. действовал филиал завода № 230. Затем по приказу № 63с от 25.01.1942 г. началось формирование Ремонтных мастерских по приборам при 5ГУ НКАП, а позже был образован новый приборостроительный завод № 339 НКАП.</w:t>
      </w:r>
    </w:p>
    <w:p w14:paraId="31377C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приказу № 339с от 15.08.1945 г. часть личного состава, материалов и оборудования расформированного завода № 279 НКАП переданы заводу № 230.</w:t>
      </w:r>
    </w:p>
    <w:p w14:paraId="38A13E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1957 г. на заводе № 230 МАП действовал филиал ОКБ-12 МАП.</w:t>
      </w:r>
    </w:p>
    <w:p w14:paraId="1CDA1A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Указу Президента РФ № 1009 от 4.08.2004 г. вошло в число стратегических оборонных предприятий.</w:t>
      </w:r>
    </w:p>
    <w:p w14:paraId="764828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2004 г.: разработка и производство продукции для авиакосмической промышленности (датчиков температуры термоэлектрических и резистивных; датчиков частоты вращения магнитоиндукционных приводных и бесприводных; датчиков крутящего момента магнитоиндукционных бесприводных; вторичной аппаратуры контроля, индикации и регулирования температуры, оборотов и крутящего момента; систем безопасности и сервисных систем); медицинской аппаратуры; контрольно-проверочной аппаратуры общепромышленного применения.</w:t>
      </w:r>
    </w:p>
    <w:p w14:paraId="494982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(-03.1940 г.)- П.А. Пушкин, (03.1940-41 г.-)- Романов, (1943-45 г.)- А.Н. Соколовский, (-2004-06 г.-)- И.Е. Ефимов.</w:t>
      </w:r>
    </w:p>
    <w:p w14:paraId="242E55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1-й зам. директора (-2004-06 г.-)- В.Ф. Сучинский.</w:t>
      </w:r>
    </w:p>
    <w:p w14:paraId="20814B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инженер (1940 г.)- Воробьев.</w:t>
      </w:r>
    </w:p>
    <w:p w14:paraId="1B2849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тахометры (1946); автопилоты: АП-15 (1954-), АП-39 (1960).</w:t>
      </w:r>
    </w:p>
    <w:p w14:paraId="738734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 230 НКАП, МАП, Завод “Авиаприбор”, "Тизприбор", ФГУП “Казанское Приборостроительное КБ” (КПКБ)</w:t>
      </w:r>
    </w:p>
    <w:p w14:paraId="24FE24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 Москва Электрический пер., 1 (1940 г.); г. Казань поле Ершова, 20 (1947 г.)</w:t>
      </w:r>
    </w:p>
    <w:p w14:paraId="44D5A7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Татарстан 420061 г. Казань Сибирский тракт, 1 тел. 72-62-63 kpkb.maks.ru</w:t>
      </w:r>
    </w:p>
    <w:p w14:paraId="537895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ОКБ завода № 230 НКАП, ОКБ-230 НКАП </w:t>
      </w:r>
    </w:p>
    <w:p w14:paraId="54015A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 Москва; г. Казань</w:t>
      </w:r>
    </w:p>
    <w:p w14:paraId="52E9E8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ОКБ образовано при заводе в 1935(3)г. для работ по авиационным приборам.</w:t>
      </w:r>
    </w:p>
    <w:p w14:paraId="728ADB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1941-44 г. работало в Казани вместе с заводом. Создан ряд стрелочных приборов, расходомеров.</w:t>
      </w:r>
    </w:p>
    <w:p w14:paraId="540881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приказу № 641с от 5.11.1944 г. ОКБ-230 5ГУ НКАП переведено на площадку завода № 149 ОКБ и влито в состав ОКБ-149 НКАП.</w:t>
      </w:r>
    </w:p>
    <w:p w14:paraId="6565B7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Руководитель- Любарский.</w:t>
      </w:r>
    </w:p>
    <w:p w14:paraId="0A4FD1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2-й Московский часовой завод, Второй часовой завод (ВЧЗ), завод “Слава”, Московское ОАО “Слава” </w:t>
      </w:r>
    </w:p>
    <w:p w14:paraId="333379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 Москва Ленинградский пр., 8 тел. 251-29-37</w:t>
      </w:r>
    </w:p>
    <w:p w14:paraId="58C28E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 1: г. Москва Научный пр., 20 тел. 332-83-11 (2002 г.)</w:t>
      </w:r>
    </w:p>
    <w:p w14:paraId="3AE13E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1930 г. производство часов завода “Авиаприбор” выделено в самостоятельное предприятие.</w:t>
      </w:r>
    </w:p>
    <w:p w14:paraId="6E3066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xml:space="preserve">В годы ВОВ эвакуирован в г. Чистополь (Татария), где на его базе основан Чистопольский часовой завод. </w:t>
      </w:r>
    </w:p>
    <w:p w14:paraId="51D14D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ОАО “Слава” было в 2004 г. Производство будильников, наручных часов “Слава” (2005 г.). В 2005 г. планируется все производственные мощности с Ленинградского пр. перевести на Научный пр., производство часов прекратить.</w:t>
      </w:r>
    </w:p>
    <w:p w14:paraId="659E88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Гендиректор (2002 г.)- В.М. Королев (10776).</w:t>
      </w:r>
    </w:p>
    <w:p w14:paraId="0DECF9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365C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Летом 1917 г. Центральная Аэронавигационная станция была переведена из г.Киева в г.Москву и размещена в здании бывшей бани Соколовского в Грузинах. Руководителем назначен А.А.Фридман. Началось формирование Казенного завода, получившего вскоре название "Авиаприбор". Организована опытная база авиаприборов, проводился ремонт авиаизмерительных приборов (в 1919-20 гг.). </w:t>
      </w:r>
    </w:p>
    <w:p w14:paraId="5B93B9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период с 1920 г. по 1930 г. завод изготовлял разнообразные металлические изделия гражданского приборостроения, такие как мединструмент, манометры, расходомеры, часы. С к. 1919 г. предприятие было переоборудовано, вступили в строй отдельные цеха как 1-е отделение завода по авиаприборам. </w:t>
      </w:r>
    </w:p>
    <w:p w14:paraId="4D4DF1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виду непрерывного расширения деятельности и специализации производство часов в 1930 г. было выделено в отдельное производство (теперь - 2-й Часовой завод), далее выделилось производство теплоприборов (далее это Владимирский теплоприборный завод). В 1932 г. завод "Авиаприбор" был еще раз разделен: производство механических авиаприборов было выделено в самостоятельный завод №213 и переведено на новую территорию. Вскоре было проведено последнее 4-ое разделение. Изготовление чертежных принадлежностей преобразовано в завод "Готовальня". Остались три основные темы: авиационные и теплоизмерительные приборы, приборы автоматики прямоточных котлов. В таком составе завод получила наименование завод "Тизприбор", а позже - завод №230. </w:t>
      </w:r>
    </w:p>
    <w:p w14:paraId="42249E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1938 г. налажено производство электроизмерительных авиаприборов. Шло изготовление гальванометров, электротахометров, автоматов курса и манометров. Мощности по теплоизмерительным приборам планировалось в сер. 1941 г. перевести с завода в другое место. </w:t>
      </w:r>
    </w:p>
    <w:p w14:paraId="11CEDE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Директор завода - П.А.Пушкин (до .3.40 г.), далее Н.А.Романов (1940-1941 гг.). </w:t>
      </w:r>
    </w:p>
    <w:p w14:paraId="4841DA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довоенные годы и в период ВОВ на заводе работало ОКБ. Это ОКБ завода №230 НКАП (ОКБ-230) было образовано в 1935-36гг. и проводило работы по авиационным приборам. В 1941-44гг. ОКБ работало в эвакуации вместе с заводом. Создан ряд стрелочных приборов, расходомеров. Руководил работами Любарский. Далее (по приказу НКАП №641 от 5.11.44 г.) ОКБ-230 переведено из г.Казани на завод №149 НКАП в г.Раменское (см. Раменский приборостроительный завод). </w:t>
      </w:r>
    </w:p>
    <w:p w14:paraId="216C4F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к. 1941 г. завод был эвакуирован (приказ №894 от 22.8.41 г. и приказ №1050 от 8.10.41 г.) из г.Москвы в г.Казань. После этого в Москве в к. 1941 г. был образован и действовал филиал завода №230 НКАП. Потом на тех же площадях началось формирование Ремонтных мастерских по приборам при 5ГУ НКАП (приказ №63 от 25.1.42 г.) и позже - образован новый приборостроительный завод №339 НКАП. </w:t>
      </w:r>
    </w:p>
    <w:p w14:paraId="5341A0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Завод №339 формировался в системе 5ГУ НКАП в соответствии с решением ГКО №ГОКО-1543 от 5.4.42 г. и приказом НКАП №269 от 10.4.42 г. для дублирования производства и ремонта электрических и манометрических авиаприборов. </w:t>
      </w:r>
    </w:p>
    <w:p w14:paraId="17BD74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 приказу №667 от 5.11.43 г. началось производство РЛ систем опознавания "свой-чужой" СЧ-2 (1942г), далее СЧ-3 (1945г), наземной РЛС обнаружения и опознавания "Пегматит-3" (1944г), авиационной РЛС "Гнейс-5с" (1945г). В связи с этим работы по приборам переданы (приказ №169 о 8.3.44 г.) вместе с занятыми этим специалистами и оборудованием заводу №157 НКАП (г.Харьков). Далее завод был передан из приборного 5ГУ в радиолокационное 17ГУ НКАП (приказ №605 от 23.10.44 г.). </w:t>
      </w:r>
    </w:p>
    <w:p w14:paraId="5A2B04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Директорами завода были Домбровский, Волаев, Федосов (1951 г.). </w:t>
      </w:r>
    </w:p>
    <w:p w14:paraId="3F603B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После образования Министерства оборонной промышленности из МВ и МАП, приказом МОП №415 от 26.6.53 г. серийный завод №339 подчинен 4ГУ МОП, а вскоре, с восстановлением МАП, с августа 1953 г. передан в 4ГУ МАП, с августа 1955 г. - в 11ГУ МАП (как опытный завод). С августа 1957 г. при реорганизации аппарата МАП (после передачи серийных заводов в СНХ) завод №339 передан в новое 4ГУ (приборостроение и радиолокация). </w:t>
      </w:r>
    </w:p>
    <w:p w14:paraId="69DEC8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1946 г. при заводе работало ОКБ. Особое КБ №339 образовано по приказу МАП №247 от 26.4.46 г. в системе 17ГУ для работ по самолетным РЛ системам опознавания (тип "СЧ"). Начальником назначен Е.А.Левитин. И.о. гл.к. был Б.А.Веселов (на 1948г). </w:t>
      </w:r>
    </w:p>
    <w:p w14:paraId="22AC56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После образования МОП (в .3.1953 г.) ОКБ-339 подчинено 4ГУ этого мин-ва, а с восстановлением МАП с августа 1953 г. передано в систему 4ГУ МАП. </w:t>
      </w:r>
    </w:p>
    <w:p w14:paraId="486D78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к. 1940-х / н. 1950-х гг. в ОКБ продолжались работы по станциям "Барий", "Барий-М" (1950 г.), "Магний-М" (1950 г.). "Ротор-С", "Протон", отрабатывалась станция разведки и помех ПР-1 (создана в ЦНИИ-108 ВМ). </w:t>
      </w:r>
    </w:p>
    <w:p w14:paraId="2AB5A4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ОКБ-339 под руководством гл.к. В.А.Малахи проводились в 1954 г. работы по системе наведения Г-301 для управляемого снаряда "воздух-воздух" "211". </w:t>
      </w:r>
    </w:p>
    <w:p w14:paraId="1562FB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 приказу МАП №511 от 2.8.55 г. организовано 11ГУ по опытному ради- и приборостроению для самолетов. В 1955 г. на базе завода и небольшого ОКБ-339 на некоторое время образовано объединенное ОКБ-339 под руководством гл.к. Г.М.Кунявского для расширения опытных работ по самолетным РЛС. ОКБ передано из 4ГУ в 11ГУ МАП. Сюда была выделена из НИИ-17 тематика БРЛС типа "Сокол" с частью коллектива, во главе с Г.М.Кунявским. Работали ведущие специалисты - Ю.П.Кирпичев, Ю.Н.Гуськов и др. </w:t>
      </w:r>
    </w:p>
    <w:p w14:paraId="114555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середине 1950-х гг. образован филиал ОКБ при серийном заводе №463 МАП (г.Рязань, см. ФГУП "ГРПЗ") для решения вопросов, связанных с серийным изготовлением БРЛС. </w:t>
      </w:r>
    </w:p>
    <w:p w14:paraId="2BE334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.8.1957 г. при реорганизации аппарата МАП ОКБ-339 вместе с филиалом на заводе №463 и сам завод №339 переданы во вновь образованное 4ГУ. </w:t>
      </w:r>
    </w:p>
    <w:p w14:paraId="46521B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Среди созданных в 1950-х гг. изделий были: БРЛС "Сокол-2" (серия шла на з-де) и "Сокол-2К", "Пантера-2" (для комплекса Як-35МВ), РГС "Магнит" (для ЗУР сист."Даль"), система углового сопровождения "Орел" для ракет, РЛ дальномер СРД-3, БРЛС "Орел". </w:t>
      </w:r>
    </w:p>
    <w:p w14:paraId="56FC23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 заводе в эти годы осуществлялось серийное производство станций "Барий-М", "Магний-М", "Ротор-С" (1950 г.), БРЛС "Сокол" (с 1954 г.). </w:t>
      </w:r>
    </w:p>
    <w:p w14:paraId="21E1F8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связи с прекращением в 1958 г. работ по авиационной радиолокации в ОСКБ-15 (см. НИИ Приборостроения им. В.В.Тихомирова), работы по тематике системы "Ураган-5Б-80" переданы вместе с занятым коллективом во главе с гл.к. Ф.Ф.Волковым на завод №339. Планировалось на базе завода, ОКБ, рязанского филиала и московской группы ОСКБ-15 образовать Государственный Союзный опытный завод №339 как головной по разработке систем РЛ управления ракетным вооружением класса "воздух=воздух". Таким образом с 1958 г. в ОКБ завода работало два конструкторских коллектива. Под рук. гл.к. Ф.Ф.Волкова созданы БРЛС "Смерч" для Ту-28-80 на основе "Ураган-5Б-80", "Тайфун" (как вариант "Смерча"), "Сапфир-21". Под руководством гл.к. Г.М.Кунявского (после него гл.к. был В.К.Гришин) разработаны БРЛС "Орел-Д" и др. </w:t>
      </w:r>
    </w:p>
    <w:p w14:paraId="74F765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.12.58 г. ОКБ вместе с заводом №339 переданы в ведение ГКРЭ СССР. </w:t>
      </w:r>
    </w:p>
    <w:p w14:paraId="51EB42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составе ОКБ в 1960 г. был образован коллектив по разработке РЛ ГСН для управляемых ракет класса "воздух-воздух". Возглавлял его гл.к. Е.Н.Геништа. Коллектив получил название НИО-4. Первыми работами были: ПАРГС-12ВВ (ПАРГ-12) для ракеты Р-40Р и РГС-23 для ракеты Р-23. Далее созданы РГС-24 для ракеты Р-24, РГС-27 для ракеты Р-27Р1. В 1986 г. НИО выделено в самостоятельный МНИИ "Агат", объединившись с такой же группой из НИИ Приборостроения. </w:t>
      </w:r>
    </w:p>
    <w:p w14:paraId="495FAF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1962 г. на базе опытного завода №339 и ОКБ-339 образован научно-конструкторский институт НИИ-339. Руководителем назначен М.И.Коммисаров, научным руководителем - Ф.Ф.Волков. С к. 1960-х гг. НИИ-399 переименован в НИИ радиостроения (НИИР). </w:t>
      </w:r>
    </w:p>
    <w:p w14:paraId="76C992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Объединение продолжилось. В 1969 г. образовано Научно-конструкторское объединение (НКО) "Фазотрон" путем объединения НИИР и КБ радиостроения (см. НИИ Приборостроения). Позже присоединился Рязанский приборный завод (ГРПЗ) и образовано НПО "Фазотрон". Первым ген.к. был Ю.Н.Фигуровский. Далее руководителями были: В.К.Гришин (в 1978-82гг), А.Г.Невоструев (в 1982-85гг.), А.И.Канащенков (с 1985 г., из ГРПЗ). </w:t>
      </w:r>
    </w:p>
    <w:p w14:paraId="2E0CE4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начале 1990-х гг. НПО распалось. Сначала отделился НИИ Приборостроения, потом Государственный Рязанский приборный завод В настоящее время основу Концерна "Ф." представляет НИИР (А.О.НИИР). В наст. вр. ген.дир. НИИР (президент и ген.к. НПК "Ф.") А.И.Канащенков. </w:t>
      </w:r>
    </w:p>
    <w:p w14:paraId="3FA59F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последующие годы на предприятии созданы БРЛС: "Сапфир-23" (гл.к. Ю.П.Кирпичев), "Сапфир-25" (гл.к. Ю.П.Кирпичев), Н019 (гл.к. Ю.П.Кирпичев), Н019М, Н010 "Жук", "Копье", М002 (для "48М"). Позже ряд их модификаций "Жук-МЭ", "Жук-МСЭ", "Жук-МФЭ", "Копье-М", "Копье-Ф" и другие, которые могут быть использованы для модернизации истребителей МиГ-21, МиГ-23, МиГ-23МЛ, МиГ-25, МиГ-29, МиГ-29С, МиГ-33, Су-22, Су-24, Су-25, Су-27, Су-30, Су-35 и других самолетов, существенно повышая их многофункциональность, в частности обеспечивая работу по наземным и надводным целям. В то же время созданы три модификации вертолетных РЛС для вертолетов Ка-52, Ка-27. Продолжается проектирование перспективной АФАР для самолетов 5-го поколения. </w:t>
      </w:r>
    </w:p>
    <w:p w14:paraId="4FE66A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Генеральный директор и Генеральный конструктор - А.И.Канащенков, заместитель генерального директора, первый заместитель генерального конструктора - Ю.Гуськов. </w:t>
      </w:r>
    </w:p>
    <w:p w14:paraId="557FEE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Фазотрон - Научно-исследовательский институт радиостроения, Корпорация, ОАО (ОАО "Корпорация "Фазотрон-НИИР", Концерн "Фазотрон") </w:t>
      </w:r>
    </w:p>
    <w:p w14:paraId="27EBE8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Ранее: Завод "Авиаприбор", Завод "Тизприбор", Завод №230, Завод №339 и ОКБ-339, НИИ-339, ГосНИИР, НКО "Фазотрон" МРП, НПО "Фазотрон", МПК "Фазотрон", Научно-производственная компания (НПК) "Фазотрон", А.О. НИИР </w:t>
      </w:r>
    </w:p>
    <w:p w14:paraId="20303E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Адрес: Россия, 123557, Москва, Электрический переулок, 1, Тел.: 253-5613. Факс: 253-0495. E-mail: phaza@aha.ru </w:t>
      </w:r>
    </w:p>
    <w:p w14:paraId="75DED5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Ведущее предприятие России в области разработки и производства радаров и радиолокационных систем управления вооружением различного типа самолетов и вертолетов, а также ракетно-пушечных, наземных и корабельных комплексов ПВО, средств отображения информации о состоянии систем космического корабля и космонавтов, метеорадаров (10778).</w:t>
      </w:r>
    </w:p>
    <w:p w14:paraId="00A2AF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3B2AB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04E35D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91FE8D" w14:textId="77777777" w:rsidR="00672EDF" w:rsidRPr="002F2FDF" w:rsidRDefault="00672EDF"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lastRenderedPageBreak/>
        <w:t>Летом 1917 г. четыре батареи 12-дюймовых гаубиц "Виккерс" (по две гаубицы в каждой) были отправлены на фронт вместе с паровыми тракторами "Фоулер" . Для перевозки одной такой гаубицы в разобранном виде требовалось шесть тракторных поездов с прицепами. Пять паровых "Фоулеров" тогда же направили в Черновцы в распоряжение инженерных частей для перевозки электрического кабеля (18380).</w:t>
      </w:r>
    </w:p>
    <w:p w14:paraId="78DF3DD6" w14:textId="77777777" w:rsidR="00672EDF" w:rsidRPr="002F2FDF" w:rsidRDefault="00672EDF" w:rsidP="0083075A">
      <w:pPr>
        <w:spacing w:after="0" w:line="240" w:lineRule="auto"/>
        <w:jc w:val="both"/>
        <w:rPr>
          <w:rFonts w:ascii="Times New Roman" w:eastAsia="Times New Roman" w:hAnsi="Times New Roman" w:cs="Times New Roman"/>
          <w:color w:val="000000" w:themeColor="text1"/>
          <w:sz w:val="16"/>
          <w:szCs w:val="16"/>
          <w:lang w:eastAsia="ru-RU"/>
        </w:rPr>
      </w:pPr>
    </w:p>
    <w:p w14:paraId="27543A0C" w14:textId="77777777" w:rsidR="00672EDF" w:rsidRPr="002F2FDF" w:rsidRDefault="00672EDF" w:rsidP="0083075A">
      <w:pPr>
        <w:pStyle w:val="ae"/>
        <w:spacing w:before="0" w:after="0"/>
        <w:jc w:val="both"/>
        <w:rPr>
          <w:color w:val="000000" w:themeColor="text1"/>
          <w:sz w:val="16"/>
          <w:szCs w:val="16"/>
        </w:rPr>
      </w:pPr>
      <w:r w:rsidRPr="002F2FDF">
        <w:rPr>
          <w:color w:val="000000" w:themeColor="text1"/>
          <w:sz w:val="16"/>
          <w:szCs w:val="16"/>
        </w:rPr>
        <w:t>К лету 1917 г. 90 % основных, каменных зданий автомобильного завода в Ярославле было закончено, от железнодорожной линии Ярославль-Вологда была проведена ветка, тянувшаяся вдоль всей территории завода; имелась хорошо оборудованная силовая станция. Строительный подряд на который получил один из акционеров о-ва “В.А. Лебедев” “Торговый дом А.В. Зобнин и К</w:t>
      </w:r>
      <w:r w:rsidRPr="002F2FDF">
        <w:rPr>
          <w:color w:val="000000" w:themeColor="text1"/>
          <w:sz w:val="16"/>
          <w:szCs w:val="16"/>
          <w:vertAlign w:val="superscript"/>
        </w:rPr>
        <w:t>о</w:t>
      </w:r>
      <w:r w:rsidRPr="002F2FDF">
        <w:rPr>
          <w:color w:val="000000" w:themeColor="text1"/>
          <w:sz w:val="16"/>
          <w:szCs w:val="16"/>
        </w:rPr>
        <w:t>. Волжское строительное дело”. Завод располагал запасами леса, арматуры, почти 9 тыс. пудов черного и цветного металлов, однако станочного парка было установлено только 25 % . Интенсивный процесс дооборудования предприятия, именовавшегося с августа 1918 г. 1-ым государственным авторемонтным заводом, продолжался в последующие годы несколькими путями. Прибыла из Архангельска и Владивостока часть станков, заказанных за рубежом, в распоряжение завода поступило оборудование авторемонтных тыловых мастерских Западного фронта, а позже закрытого недостроенного автомобильного завода в Рыбинске. С середины 1920-х гг. и до 1958 г. завод был ведущим предприятием отечественного тяжелого автомобилестроения; впоследствии входил в объединение «Автодизель» (18369).</w:t>
      </w:r>
    </w:p>
    <w:p w14:paraId="6543A936" w14:textId="77777777" w:rsidR="00672EDF" w:rsidRPr="002F2FDF" w:rsidRDefault="00672EDF" w:rsidP="0083075A">
      <w:pPr>
        <w:pStyle w:val="ae"/>
        <w:spacing w:before="0" w:after="0"/>
        <w:jc w:val="both"/>
        <w:rPr>
          <w:color w:val="000000" w:themeColor="text1"/>
          <w:sz w:val="16"/>
          <w:szCs w:val="16"/>
        </w:rPr>
      </w:pPr>
    </w:p>
    <w:p w14:paraId="6FBF6810" w14:textId="77777777" w:rsidR="00672EDF" w:rsidRPr="002F2FDF" w:rsidRDefault="00672EDF" w:rsidP="0083075A">
      <w:pPr>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shd w:val="clear" w:color="auto" w:fill="FFFFFF"/>
        </w:rPr>
        <w:t>Летом 1917 года после ремонта двигателей «Заамурец» вошел в состав Броневого железнодорожного ударного отряда под командованием полковника Кондырина, куда, помимо него, были включены бронепоезд «Генерал Анненков», бронедрезина и два броневых автомобиля. Этот отряд действовал на Юго-Западном фронте в ходе летней кампании 1917 года.</w:t>
      </w:r>
    </w:p>
    <w:p w14:paraId="1D0819C9" w14:textId="77777777" w:rsidR="00672EDF" w:rsidRPr="002F2FDF" w:rsidRDefault="00672EDF" w:rsidP="0083075A">
      <w:pPr>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shd w:val="clear" w:color="auto" w:fill="FFFFFF"/>
        </w:rPr>
        <w:t>Боевое применение мотоброневагона выявило и ряд недоработок, в частности, недостаточную мощность и неудовлетворительное охлаждение двигателей и тесноту орудийных башен. Поэтому в сентябре 1917 года «Заамурец» направили в Одессу, где ему увеличили размер башен, приклепав к полусферич-ской части броневые кольца высотой около 400 мм. Кроме того, на башнях смонтировали броневые будки для командиров орудий, установили новые радиаторы большего размера. Для улучшения вентиляции центрального каземата в крыше прорезали три вентиляционных отверстия, закрытых броневыми колпаками. Кроме того, на «Заамурце» планировалось установить более мощные двигатели в 80-100 л.с. и электромоторы для вращения башен, однако события октября 1917 года и последовавший за этим развал страны и армии не позволили осуществить эти работы (18626).</w:t>
      </w:r>
    </w:p>
    <w:p w14:paraId="5AD2041E" w14:textId="77777777" w:rsidR="00672EDF" w:rsidRPr="002F2FDF" w:rsidRDefault="00672EDF" w:rsidP="0083075A">
      <w:pPr>
        <w:spacing w:after="0" w:line="240" w:lineRule="auto"/>
        <w:jc w:val="both"/>
        <w:rPr>
          <w:rFonts w:ascii="Times New Roman" w:hAnsi="Times New Roman" w:cs="Times New Roman"/>
          <w:color w:val="000000" w:themeColor="text1"/>
          <w:sz w:val="16"/>
          <w:szCs w:val="16"/>
        </w:rPr>
      </w:pPr>
    </w:p>
    <w:p w14:paraId="45F4D36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 Временная техническая комиссия при Главном военно-техническом управлении, направленная в Великобританию для закупки легковых, грузовых и бронированных ма</w:t>
      </w:r>
      <w:r w:rsidRPr="002F2FDF">
        <w:rPr>
          <w:rFonts w:ascii="Times New Roman" w:hAnsi="Times New Roman" w:cs="Times New Roman"/>
          <w:color w:val="000000" w:themeColor="text1"/>
          <w:kern w:val="2"/>
          <w:sz w:val="16"/>
          <w:szCs w:val="16"/>
        </w:rPr>
        <w:softHyphen/>
        <w:t>шин, сообщила, что “новый тип тяжелых по</w:t>
      </w:r>
      <w:r w:rsidRPr="002F2FDF">
        <w:rPr>
          <w:rFonts w:ascii="Times New Roman" w:hAnsi="Times New Roman" w:cs="Times New Roman"/>
          <w:color w:val="000000" w:themeColor="text1"/>
          <w:kern w:val="2"/>
          <w:sz w:val="16"/>
          <w:szCs w:val="16"/>
        </w:rPr>
        <w:softHyphen/>
        <w:t>левых крейсеров английской армии номер 2 (видимо, речь идет о танках Мк. IV, или даже Мк. V) значительно у совершенст</w:t>
      </w:r>
      <w:r w:rsidRPr="002F2FDF">
        <w:rPr>
          <w:rFonts w:ascii="Times New Roman" w:hAnsi="Times New Roman" w:cs="Times New Roman"/>
          <w:color w:val="000000" w:themeColor="text1"/>
          <w:kern w:val="2"/>
          <w:sz w:val="16"/>
          <w:szCs w:val="16"/>
        </w:rPr>
        <w:softHyphen/>
        <w:t>вован, как в отношении скорости движения, так и в отноше</w:t>
      </w:r>
      <w:r w:rsidRPr="002F2FDF">
        <w:rPr>
          <w:rFonts w:ascii="Times New Roman" w:hAnsi="Times New Roman" w:cs="Times New Roman"/>
          <w:color w:val="000000" w:themeColor="text1"/>
          <w:kern w:val="2"/>
          <w:sz w:val="16"/>
          <w:szCs w:val="16"/>
        </w:rPr>
        <w:softHyphen/>
        <w:t>нии внутреннего устройства”. Комиссия также отметила превосходство английских танков над французскими (10733,33).</w:t>
      </w:r>
    </w:p>
    <w:p w14:paraId="5C5F14D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AEA6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лета 1917 г. нап АМО начался ремонт автомобилей. 5 августа 1917 г. подписывается договор с главным военно-техническим управлением сроком до 1 марта 1918 г. о просмотре, чистке, сборке и регулировке получаемых из-за границ автомобилей (кроме "Рено"), а также их ремонте. Подтверждает такой вывод и записка ГВТУ военного ведомства в Особое совещание по обороне государства, направленная в сентябре 1917 г. В ней говорилось:</w:t>
      </w:r>
    </w:p>
    <w:p w14:paraId="3537C5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Постройка всех зданий, необходимых для осуществления всей предположенной по первоначальному договору производительности завода АМО, является вполне законченной, так как недостающие 5% постройки падают на здания второстепенного и третьестепенного значения. Поэтому никакой поддержки предприятию АМО не требуется.</w:t>
      </w:r>
    </w:p>
    <w:p w14:paraId="379A5F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Оборудование завода АМО обстоит вполне удовлетворительно, так как фактически в распоряжении завода АМО имеется вполне готового оборудования 85%. Не остающие 15% оборудования падают на станки и приспособления второстепенного значения, кои на выпуск предполагаемого годового количества автомобилей влиять не могут. ...</w:t>
      </w:r>
    </w:p>
    <w:p w14:paraId="385B8E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Завод АМО, вступивший в особые договорные отношения с итальянским заводом ФИАТ и получивший от последнего лицензию на право пользования его патентами и чертежами, находится в обладании прекрасно разработанного во всех отношениях типа грузового автомобиля 1,5 т, который единогласно признается автомобильными авторитетами наилучшим для условий работ в русской армии".</w:t>
      </w:r>
    </w:p>
    <w:p w14:paraId="2B7C64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Можно, разумеется, говорить о степени объективности составленной записки. Выгодно или невыгодно кому-то было так утверждать - неизвестно. Но сейчас, по прошествии многих лет, ясно, что прежде всего причины социально-экономические, а потом уже технические не позволили в более ранние сроки начать производство первых автомобилей. Не хватало оборотных средств, мешали общая производственная анархия, подрыв авторитета специалистов, рабочая вольница, война. После гражданской - половина рабочих не имели квалификации и прогуливали. Сказалась нехватка производственного опыта у оставшихся на заводе старых специалистов. Но в тех условиях и Г. Форд ничего бы не сделал. Попытки организовать производство АМО-Ф-15 делались в 1918 г. и начиная с 1921 г. Технические ресурсы завода позволяли строить полуторатонные грузовики, но нужно было создавать школу своего автомобилестроения. Она создавалась постепенно - в процессе восстановления "Уайтов", через крупный ремонт (11195).</w:t>
      </w:r>
    </w:p>
    <w:p w14:paraId="5E266A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BFE3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года после ремонта двигателей "Заамурец" вошел в состав Броневого железнодорожного ударного отряда под командованием полковника Кондырина, куда, помимо него, были включены бронепоезд "Генерал Анненков", бронедрезина и два броневых автомобиля. Этот отряд доблестно сражался во время летнего наступления 1917 года. Боевое применение мотовагона выявило и ряд недоработок, в частности, недостаточную мощность моторов и тесноту орудийных башен (9643).</w:t>
      </w:r>
    </w:p>
    <w:p w14:paraId="167F9B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749C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года по приглашению правительства с инспекционной поездкой на Урале и в Сибири побывали американские специалисты, которые, однако, из-за отсутствия подробной информации о запасах сырья для металлургии не сумели разобраться в перспективности проекта развития металлургии в регионе. Добыча каменного угля в Кузнецком бассейне началась еще до Первой мировой войны и это открыло новые перспективы по снабжению уральской металлургии, тогда прозябавшей на фоне южнорусских заводов. Как оказалось, Кузбасс был богат не только углем, но и железной рудой, хотя тогда этого точно еще не знали: Салаирские и Тельбесские группы месторождений руды были известны с XVII-XVIII веков, но к концу 20-х годов у большевиков там под рукой не было ни одного крупного разработанного рудного месторождения. При большевиках попытки разработать проект по освоению этих запасов были продолжены (11539).</w:t>
      </w:r>
    </w:p>
    <w:p w14:paraId="6CB43D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B7CE0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B6736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93B5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 на русском фронте имелся лишь 461 исправный самолет. На вооружении состояло, прежде всего: 70 - "Ньюпор- 11-Бебе", 68 - "Ныопор-21",43 - "СПАД", 70 - "Фарман-30", 39 - "Морис-Фарман-40", 37 - "Код- рон", 150 - "Вуазен", 76 - "Анатра-Д", 41 - "Лебедь-12", 25 - "СПАД" с кабиной. Всех прочих в незначительном количестве; всего имелось не менее 30 типов.</w:t>
      </w:r>
    </w:p>
    <w:p w14:paraId="5A9493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Такая многотипность самолетов являлась бичом для русской армии. Трудно было не только наладить массовое производство самолетов, но и переучивать в боевых условиях личный состав. В довершение всего нехватка запчастей крайне усложняла эксплуатацию этой массы разнотипных самолетов.</w:t>
      </w:r>
    </w:p>
    <w:p w14:paraId="10FACD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Подполковник Ткачев, инспектируя авиацию Юго-Западного фронта в начале 1917 г. вынужден был признать, что "лучшими из имеющихся сейчас на фронте систем являются истребители французских заводов".</w:t>
      </w:r>
    </w:p>
    <w:p w14:paraId="00B9C7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За время войны импорт в Россию составил: из Франции - 65% самолетов и 90% двигателей, из Италии - 25% самолетов и из Англии - 10% самолетов и 10% двигателей. В 1917 г. в Италии были размещены заказы на 1700 двигателей (20 млн. руб.), которые, однако не были реализованы. </w:t>
      </w:r>
    </w:p>
    <w:p w14:paraId="721D9B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Многое из посланного в Россию союзниками не доходило до места назначения. Летом 1917 г. на пути в Архангельск был потоплен английский пароход "Буревестник", на борту которого находились самолеты "Сопвич" и сорок ящиков инструментов для авиамехаников. Вместе с английским пароходом "Вариоль" пошли ко дну двигатели "Клер- же", свечи "Рев", 100 бомбовых прицелов и др. На потопленном французском корабле "Кинг Давид" находилось 46 самолетов типа "Ньюпор" ("21" и "24") и "Фарман-40" с запасными частями для двигателей, а также 4 ящика образцов для постройки самолета "СПАД".</w:t>
      </w:r>
    </w:p>
    <w:p w14:paraId="74EEA7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Наиболее ценными на данный момент аппаратами являлись "Ньюпор-17" (всего 14 машин) и "СПАД".</w:t>
      </w:r>
    </w:p>
    <w:p w14:paraId="02A6FA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в России все еще продолжали строить самолеты типа "Фарман" и "Вуазен", в то время как во Франции и в Англии они уже были сняты с производства. Однако в этом году в авиаотряды начали поступать самолеты отечественного производства "Декан" одесского завода "Анатра", а также "Фарман-30" с двигателем "Сальмсон" мощностью 160 л. е., "Сопвич" с двигателями "Клерже" мощностью 130 л. е., "СПАД" с двигателями "Рон" мощностью 120 л. с. и др.</w:t>
      </w:r>
    </w:p>
    <w:p w14:paraId="5AEB64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Наиболее насыщенными материальной частью были Юго-Западный и Румынский фронты - 259 самолетов, Западный фронт - 125 самолетов, Северный - 93, Кавказский фронт и другие - 104 самолета, но значительная часть этих машин была на базах. Всего на фронтах числился 1031 самолет, однако реально боеспособных из них было меньше половины. Эти данные относятся к началу июньского наступления 1917 года.</w:t>
      </w:r>
    </w:p>
    <w:p w14:paraId="138283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истребительные группы была возложена задача прикрывать корректировщиков от нападения неприятельских истребителей. Такая охрана называлась среди истребителей барражированием. Из-за небольшого запаса горючего каждый истребитель нес вахту не более полутора часов. Затем, слегка покачав крыльями, - как бы говоря своему подзащитному: "я ухожу, смотри в оба" - возвращался на аэродром, и на охрану вылетала другая машина. Однако были в это время в России и такие истребители, которые могли летать гораздо дольше.</w:t>
      </w:r>
    </w:p>
    <w:p w14:paraId="10F665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Участник войны русский летчик Северский писал, что в 1917 г. во время полетов "Муромцев" над Рижским заливом и нанесения ударов по военно-морским базам врага русские истребители сопровождали бомбардировщиков на всем протяжении их пути, позволяя им беспрепятственно производить бомбардировку Этими истребителями были "Ньюпоры" и "СПАДы", построенные в России. Прежние истребители не могли соперничать с "Муромцами" в дальности полета.</w:t>
      </w:r>
    </w:p>
    <w:p w14:paraId="57B1C2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активнее начинали использоваться самолеты в морских условиях (11999).</w:t>
      </w:r>
    </w:p>
    <w:p w14:paraId="5983E8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845D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 на фронте 7 и 11 армий в период артиллерийской подготовки и первых дней наступления впервые русская авиация работала в полной и тесной связи с артиллерией и наступающей пехотой и принесла неоценимую поддержку наземным родам оружия. Помощь сухопутным войскам, о которой идет речь, состояла в штурмовых действиях авиации. Русская авиация может гордиться тем, что она первой открыла новую форму боевого использования самолета, раньше военно-воздушных сил других воюющих стран стала штурмовать неприятельские войска. Военно-воздушный флот России, как и авиация других стран, не имел на вооружении хорошо вооруженного и бронированного штурмовика. Правда, еще накануне войны в России был создан опытный образец штурмового самолета, имевшего бронированное днище и пулеметную установку, но он не был принят на вооружение (9705).</w:t>
      </w:r>
    </w:p>
    <w:p w14:paraId="54F54C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10138A" w14:textId="77777777" w:rsidR="003875B3" w:rsidRPr="00FB4F67" w:rsidRDefault="003875B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Летом 1917 г. Воз</w:t>
      </w:r>
      <w:r w:rsidRPr="00FB4F67">
        <w:rPr>
          <w:rFonts w:ascii="Times New Roman" w:hAnsi="Times New Roman" w:cs="Times New Roman"/>
          <w:color w:val="0070C0"/>
          <w:sz w:val="16"/>
          <w:szCs w:val="16"/>
        </w:rPr>
        <w:softHyphen/>
        <w:t>душная дивизия Балтийского моря дели</w:t>
      </w:r>
      <w:r w:rsidRPr="00FB4F67">
        <w:rPr>
          <w:rFonts w:ascii="Times New Roman" w:hAnsi="Times New Roman" w:cs="Times New Roman"/>
          <w:color w:val="0070C0"/>
          <w:sz w:val="16"/>
          <w:szCs w:val="16"/>
        </w:rPr>
        <w:softHyphen/>
        <w:t>лась на две воздушные бригады: 1-ю (юж</w:t>
      </w:r>
      <w:r w:rsidRPr="00FB4F67">
        <w:rPr>
          <w:rFonts w:ascii="Times New Roman" w:hAnsi="Times New Roman" w:cs="Times New Roman"/>
          <w:color w:val="0070C0"/>
          <w:sz w:val="16"/>
          <w:szCs w:val="16"/>
        </w:rPr>
        <w:softHyphen/>
        <w:t>ный берег Финского залива и острова Моонзунда) и 2-ю (побережье Финляндии и Аланские острова) (23374).</w:t>
      </w:r>
    </w:p>
    <w:p w14:paraId="40CA8826" w14:textId="77777777" w:rsidR="003875B3" w:rsidRPr="00FB4F67" w:rsidRDefault="003875B3" w:rsidP="0083075A">
      <w:pPr>
        <w:spacing w:after="0" w:line="240" w:lineRule="auto"/>
        <w:jc w:val="both"/>
        <w:rPr>
          <w:rFonts w:ascii="Times New Roman" w:hAnsi="Times New Roman" w:cs="Times New Roman"/>
          <w:color w:val="0070C0"/>
          <w:sz w:val="16"/>
          <w:szCs w:val="16"/>
        </w:rPr>
      </w:pPr>
    </w:p>
    <w:p w14:paraId="618577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года в полосе Юго-Западного фронта действовал английский корпусный, а также французские истребительный и артиллерийский отряды. Кроме того, английские отряды базировались в Мурманске и Архангельске, а составе Румынского фронта действовали две франко-румынские эскадрильи (11184).</w:t>
      </w:r>
    </w:p>
    <w:p w14:paraId="5845C2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5070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авиации Западного фронта в летней операции по плану Ставки Верховного Главнокомандующего Западному фронту в летней кампании отводилась второстепенная роль. Его усиленной Х-й армии предстояло наносить отвлекающий удар в направлении Молодечно-Виленск. Наступление намечалось на 15 июня, но этот срок переносился дважды из-за отказа солдат идти в атаку. Авиационные средства Х-й армии состояли из 11 отрядов: три - истребительных, сведенных в 3-ю БАГ, шесть - корпусных, один - армейский и один -артиллерийский. В общей сложности-61 самолет, 59 летчиков и 36 наблюдателей. Большинство авиачастей находилось в более-менее удовлетворительном состоянии. Однако в 10-м армейском авиаотряде не хватало летчиков и самолетов, и он принял участие только в конце операции. 7-й Сибирский КАО почти все время пребывал на стадии формирования, и его участие ограничилось лишь несколькими боевыми вылетами. В подготовительный период отряды успешно вели систематическую разведку. Так, летчиками была зафиксирована усилившаяся активность противника на железных дорогах, подход больших пехотных колонн и т.д. Позиции фотографировались два раза в месяц, а участки предполагаемой атаки - еженедельно с высот 1500-2500 м. Дальняя разведка производилась периодически на отдельных направлениях из-за недостатка соответствующих самолетов. К началу операции штаб армии располагал фотопланшетами первой и второй линий окопов и наиболее важных тыловых пунктов неприятеля (станции Солы, Вильно и Войляны). Корректирование стрельбы было возложено на артиллерийские отделения авиаотрядов, приданных к ударным корпусам. .К началу операции при участии экипажей 1-го Сибирского, Гренадерского и 34-го корпусного авиаотрядов была закончена пристрелка всех обнаруженных целей. Авиаторы бомбили продовольственные и артиллерийские склады противника. Так, 3 июня зажигательные бомбы были сброшены на склады у деревни Базар, что вызвало большой пожар. В тот же день летчики Гренадерского авиаотряда бомбили объекты севернее местечка Крево. Работа пилотов 3-й БАГ заключалась главным образом в патрулировании над линией фронта и охране самолетов-разведчиков. Всего за подготовительный период авиаотряды Х-й армии совершили 535 боевых вылетов, потеряли 13 летчиков и наблюдателей. Противник лишился одного самолета, сбитого зенитной артиллерией, и одного привязного аэростата, который сжег тремя ракетами Ле-Приера летчик Гренадерского АО Владимир Каминский. Наступление началось только 7-го июля. Русские войска, имевшие значительный численный перевес, быстро достигли успеха, однако из-за нежелания солдат воевать столь же быстро откатились назад. Авиация в этих условиях не оказала какого-либо влияния на развитие событий, а наиболее заметным явлением стал налет 19 июля двадцати четырех "Вуазенов" и "Фарманов" нескольких авиаотрядов Х-й армии на железнодорожную станцию Войгяны. В 4 ч 30 мин самолеты собрались над деревней Малиновщизна, разделились на две группы (по типам) и направились одна за другой в тыл противника. Над передовой к ним присоединились 11 истребителей, которые летели на 500 м выше строя бомбардировщиков. При подходе к цели было встречено два неприятельских самолета, один из которых немедленно ушел на свой аэродром у станции Войгяны, а другой был сбит пилотами 18-го КАО прапорщиками Андерсом и Филиным. Несмотря на сильный зенитный огонь, русские летчики сбросили на станцию 60 бомб общей массой более 500 кг и благополучно вернулись на свои аэродромы. Бомбардировка вызвала в районе станции Войгяны многочисленные пожары. Всего до 1 августа авиаотряды Х-й армии совершили 916 боевых вылетов (11237).</w:t>
      </w:r>
    </w:p>
    <w:p w14:paraId="33E844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A038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авиации Румынского фронта в летней операции Румынскому фронту, как и Западному, отводилась вспомогательная роль. Он располагал двенадцатью русскими авиаотрядами и двумя франко-румынскими эскадрильями. Непосредственно в операции задействовались авиационные силы только IV-й и VI-и армий. За две недели до наступления 27-й корпусной, 4-й артиллерийский и 4-й истребительный отряды IV-го авиадивизиона были сведены в одну группу и усилены двумя самолетами из управления дивизиона. Эта группа была придана 8-му армейскому корпусу, которому отводилась важная роль в наступлении. В ту же группу планировали включить франко-румынскую эскадрилью. Однако эта часть действовала на участке 8-го корпуса самостоятельно, и управление ею приносило проблемы русскому командованию. Для усиления авиасредств на активном участке VI-й армии была создана ударная группа, в которую вошли 36-й корпусной, 10-й истребительный АО, четыре самолета из других русских авиаотрядов и франко-румынская эскадрилья. В подготовительный период летчики активно вели корректировку стрельбы батарей и разведку. В IV-й армии к обслуживанию артиллерии были привлечены все отряды, кроме истребительного, а во время наступления еще и франко-румынская эскадрилья. Для корректировки артогня в корпусных авиаотрядах VI-й армии имелось по два и более самолетов, оснащенных радиостанциями. Выполняя разведку, авиаторы обнаружили работы по укреплению тыловых позиций противника в направлениях Быстрицы и Кедзи-Варгель, скопление обозов у Ойтоз в долине реки Ус и неприятельские суда в порту Браилов. Позиции противника фотографировались, как правило, с высоты 1800-2000 м. 17 июня во время одного из таких вылетов экипаж из 30-го КАО на "Спаде" фотографировал с высоты 2600 м артиллерийские позиции в районе Якобени и был атакован самолетом противника. После короткой перестрелки неприятель с большим пикированием вышел из боя, но русский аэроплан тут же подвергся атаке другого самолета, в результате которой получил повреждения мотора и управления. Летчик прапорщик Недзевецкий смог совершить вынужденную посадку на своей территории недалеко от передовой, однако на пробеге самолет скапотировал. Наблюдатель подпоручик Стругальский был ранен и получил "контузию тела". Ситуацию осложнил начавшийся артобстрел, но с помощью пехотинцев раненого летнаба все же удалось вынести в безопасное место. Из-за все тех же проблем, связанных с общим разложением армии, войска Румынского фронта начали наступать только 7 июля. Наибольших успехов достигла IV-я армия, и ее авиация приняла деятельное участие в наступлении. 4-й армейский АО обеспечивал связь по радио и вымпелами между командованием и пехотными частями. Однако последние оказались плохо подготовленными к этому, так, 14 дивизия вообще не располагала сигнальными полотнищами, имели место случаи, когда войска яростно обстреливали свои самолеты при их снижении. С 6 по 12 июля русские летчики неоднократно вылетали для атак неприятельских объектов. Так, 6 июля более 210 кг бомб было сброшено на Бельбор и на станцию Троян. 10 июля состоялся большой налет на Роману, в ходе которого авиаторы израсходовали 120 бомб. В предпоследний день наступления 11 июля около 200 бомб было сброшено в районе деревень Домница и Раковица. Весь период наступления русские истребители несли постоянное дежурство на ответственных участках фронта, однако из-за малочисленности с трудом могли противостоять неприятельской авиации, которая проявляла большую активность. При сопровождении разведчиков и корректировщиков многим истребителям не хватало боевого опыта и, ввязавшись в бой, они часто бросали охраняемый самолет, что вело к потерям. Воздушные бои происходили почти ежедневно, большинство из них носило индивидуальный характер, хотя происходили и групповые схватки с участием двух-трех пар. Всего за этот период было сбито 20 самолетов, из них 8 - летчиками франко-румынских эскадрилий. Быстро оправившись от удара, австро-германские войска 25 июля перешли в наступление в направлении Фокшаны-Окна. Эта внезапная активизация стала неожиданностью для русского командования, хотя еще 20 июля воздушная разведка доставила сведения о подготовке наступления. Управление авиацией было частично нарушено, однако летчики проявили энергичную деятельность по всему фронту, в том числе во время контратак они поддерживали пулеметным огнем пехоту, снижаясь над полем боя до 500-300 м. 28 июля был произведен групповой налет на Радауц - восемь самолетов сбросили на скопления неприятельских войск 260 кг бомб. За восемь дней противнику удалось лишь незначительно потеснить русские войска, и 30 июля фронт стабилизировался. К этому времени истребители сбили в воздушных боях 5 самолетов. 27 августа IV-й армией было предпринято еще одно наступление в направлении Окна, но оно не дало нужного эффекта. В этот период удачно проявила себя авиация IV-го дивизиона. Когда пехота пошла в наступление, 11 самолетов атаковали ближайший тыл противника, используя свои пулеметы и сбросив 110 бомб. Взятые пленные показали, что воздушные атаки привели к значительным потерям и оказали сильный деморализующий эффект. Производились и удачные групповые бомбардировки. Так, во время ночного налета на станцию Фокшаны было сброшено около 1000 кг бомб. Поданным разведки, в пределах Румынского фронта находилось до 20 австрийских авиарот. Количественно и качественно противник превосходил русскую авиацию. Особенно интенсивно австрийские летчики работали во время наступления своих войск. 8 районах Фокшаны, Текучио, реки Серет и др. отмечались полеты 5-6 самолетов ежедневно на высотах 3500-4000 м. Дальние разведчики неприятеля достигали района Ясс. 18 и 23 июля противник бомбил объекты в Кемпуриле, а 24 июля во время отхода русских артиллеристов из р-на Чиуслей на бреющем полете расстреливал их позиции. 25 июля 8 самолетов совершили налет на станцию Аджуд, где взорвали русский поезд с боеприпасами. Излюбленной целью неприятельских истребителей были привязные аэростаты: с 10 июня по 18 июля они уничтожили 9 баллонов из 11 потерянных русскими за тот период (11237).</w:t>
      </w:r>
    </w:p>
    <w:p w14:paraId="4DA67B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EBF8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Летом 1917 на Румынском фронте русскими авиаотрядами было совершено 2000 боевых вылетов общей продолжительностью 3800 ч. С 1 июня по 1 октября потери были незначительными: летчик-ас Григорий Сук из 9-го истребительного АО разбился на своем аэродроме, 4 человека получили ранения в воздушных боях, по различным причинам были разбиты 3 самолета. За это же время противник потерял в воздушных боях и в результате вынужденных посадок на русской территории 29 самолетов, из них 20 - от действий авиаторов, 4 - от огня зенитной артиллерии, 2 - от пулеметного обстрела и 3 - по другим причинам (11237).</w:t>
      </w:r>
    </w:p>
    <w:p w14:paraId="259602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F819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Лето 1917 года характеризовалось усилением охоты немецких летчиков за русскими привязными аэростатами, которые фактически были беззащитными, так как воздухоплаватели имели в корзине один карабин и личное оружие. Поэтому участившиеся на фронте воздушные бои между немецкими летчиками и русскими воздухоплавателями носили весьма своеобразный характер. </w:t>
      </w:r>
    </w:p>
    <w:p w14:paraId="76F40E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Вспоминается нападение немецкого самолета типа “Шнейдер” на змейковый аэростат 3-й наблюдательной станции, поднятый на высоту около 400 метров в районе Двинска 6 июля 1916 года. </w:t>
      </w:r>
    </w:p>
    <w:p w14:paraId="0BEB0A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Я и наблюдатель, находившиеся в корзине, а также наземные наблюдатели и пулеметчики не заметили приближения вражеского самолета, так как он вынырнул из-за облаков со стороны солнца и планировал к аэростату с выключенным мотором. Самолет противника был обнаружен по дымному следу зажигательных ракет (ракет Ле Приера), протянувшемуся к корзине аэростата, а также по пулеметным очередям. По свисту пуль было ясно, что враг сначала стрелял по корзине, а потом начал стрелять по оболочке аэростата. </w:t>
      </w:r>
    </w:p>
    <w:p w14:paraId="530B39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Из карабина было сделано по самолету лишь несколько безрезультатных выстрелов, так как он быстро скрылся за огромным телом аэростата и мы его больше не видели. Четыре пулемета “Максим”, охранявшие аэростат с земли, открыли огонь по самолету противника. Воздушный враг улетел восвояси, а мы продолжали работать в воздухе до позднего вечера без помех. </w:t>
      </w:r>
    </w:p>
    <w:p w14:paraId="7098F0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осмотра аэростата на биваке в его оболочке было обнаружено 39 пробоин. Заклеив их, воздухоплаватели на следующее утро снова поднялись в воздух для ведения разведки (11334).</w:t>
      </w:r>
    </w:p>
    <w:p w14:paraId="365623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550123" w14:textId="77777777" w:rsidR="00DD3C22" w:rsidRPr="002F2FDF" w:rsidRDefault="00DD3C2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Летом 1917 г. напряжённую боевую работу вели и воздухоплавательные отряды, находив</w:t>
      </w:r>
      <w:r w:rsidRPr="002F2FDF">
        <w:rPr>
          <w:rFonts w:ascii="Times New Roman" w:hAnsi="Times New Roman" w:cs="Times New Roman"/>
          <w:color w:val="000000" w:themeColor="text1"/>
          <w:sz w:val="16"/>
          <w:szCs w:val="16"/>
        </w:rPr>
        <w:softHyphen/>
        <w:t>шиеся в стороне от направлений главного удара. 9 (22) июля попытку наступления предпринял Западный, а 10 (23) июля Северный фронты (20120).</w:t>
      </w:r>
    </w:p>
    <w:p w14:paraId="0E195F61" w14:textId="77777777" w:rsidR="00DD3C22" w:rsidRPr="002F2FDF" w:rsidRDefault="00DD3C22" w:rsidP="0083075A">
      <w:pPr>
        <w:spacing w:after="0" w:line="240" w:lineRule="auto"/>
        <w:jc w:val="both"/>
        <w:rPr>
          <w:rFonts w:ascii="Times New Roman" w:hAnsi="Times New Roman" w:cs="Times New Roman"/>
          <w:color w:val="000000" w:themeColor="text1"/>
          <w:sz w:val="16"/>
          <w:szCs w:val="16"/>
        </w:rPr>
      </w:pPr>
    </w:p>
    <w:p w14:paraId="219102D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 в структуре ЗАО Двинска произошли существенные из</w:t>
      </w:r>
      <w:r w:rsidRPr="002F2FDF">
        <w:rPr>
          <w:rFonts w:ascii="Times New Roman" w:hAnsi="Times New Roman" w:cs="Times New Roman"/>
          <w:color w:val="000000" w:themeColor="text1"/>
          <w:kern w:val="2"/>
          <w:sz w:val="16"/>
          <w:szCs w:val="16"/>
        </w:rPr>
        <w:softHyphen/>
        <w:t>менения. В соответствии с приказом ВГ №236, были сформированы на постоянной основе Курсы стрельбы по воздушному фло</w:t>
      </w:r>
      <w:r w:rsidRPr="002F2FDF">
        <w:rPr>
          <w:rFonts w:ascii="Times New Roman" w:hAnsi="Times New Roman" w:cs="Times New Roman"/>
          <w:color w:val="000000" w:themeColor="text1"/>
          <w:kern w:val="2"/>
          <w:sz w:val="16"/>
          <w:szCs w:val="16"/>
        </w:rPr>
        <w:softHyphen/>
        <w:t>ту СФ. Инициатором их создания и бессмен</w:t>
      </w:r>
      <w:r w:rsidRPr="002F2FDF">
        <w:rPr>
          <w:rFonts w:ascii="Times New Roman" w:hAnsi="Times New Roman" w:cs="Times New Roman"/>
          <w:color w:val="000000" w:themeColor="text1"/>
          <w:kern w:val="2"/>
          <w:sz w:val="16"/>
          <w:szCs w:val="16"/>
        </w:rPr>
        <w:softHyphen/>
        <w:t>ным руководителем стал подполковник В.В.Тарновский. В учебном процессе была задействована часть зенитных и полевых артиллерийских батарей СФ, ЗФ и ЮЗФ (включая французскую зенитную автомо</w:t>
      </w:r>
      <w:r w:rsidRPr="002F2FDF">
        <w:rPr>
          <w:rFonts w:ascii="Times New Roman" w:hAnsi="Times New Roman" w:cs="Times New Roman"/>
          <w:color w:val="000000" w:themeColor="text1"/>
          <w:kern w:val="2"/>
          <w:sz w:val="16"/>
          <w:szCs w:val="16"/>
        </w:rPr>
        <w:softHyphen/>
        <w:t>бильную команду лейтенанта Вильема). Уже 23 июля того же года состоялся первый вы</w:t>
      </w:r>
      <w:r w:rsidRPr="002F2FDF">
        <w:rPr>
          <w:rFonts w:ascii="Times New Roman" w:hAnsi="Times New Roman" w:cs="Times New Roman"/>
          <w:color w:val="000000" w:themeColor="text1"/>
          <w:kern w:val="2"/>
          <w:sz w:val="16"/>
          <w:szCs w:val="16"/>
        </w:rPr>
        <w:softHyphen/>
        <w:t>пуск дипломированных зенитчиков (42 офи</w:t>
      </w:r>
      <w:r w:rsidRPr="002F2FDF">
        <w:rPr>
          <w:rFonts w:ascii="Times New Roman" w:hAnsi="Times New Roman" w:cs="Times New Roman"/>
          <w:color w:val="000000" w:themeColor="text1"/>
          <w:kern w:val="2"/>
          <w:sz w:val="16"/>
          <w:szCs w:val="16"/>
        </w:rPr>
        <w:softHyphen/>
        <w:t>цера и 149 нижних чинов). Одновременно на</w:t>
      </w:r>
      <w:r w:rsidRPr="002F2FDF">
        <w:rPr>
          <w:rFonts w:ascii="Times New Roman" w:hAnsi="Times New Roman" w:cs="Times New Roman"/>
          <w:color w:val="000000" w:themeColor="text1"/>
          <w:kern w:val="2"/>
          <w:sz w:val="16"/>
          <w:szCs w:val="16"/>
        </w:rPr>
        <w:softHyphen/>
        <w:t>чался эксперимент по объединению объек</w:t>
      </w:r>
      <w:r w:rsidRPr="002F2FDF">
        <w:rPr>
          <w:rFonts w:ascii="Times New Roman" w:hAnsi="Times New Roman" w:cs="Times New Roman"/>
          <w:color w:val="000000" w:themeColor="text1"/>
          <w:kern w:val="2"/>
          <w:sz w:val="16"/>
          <w:szCs w:val="16"/>
        </w:rPr>
        <w:softHyphen/>
        <w:t>товой и войсковой зенитной артиллерии в рамках 5-й армии. В новом виде она охва</w:t>
      </w:r>
      <w:r w:rsidRPr="002F2FDF">
        <w:rPr>
          <w:rFonts w:ascii="Times New Roman" w:hAnsi="Times New Roman" w:cs="Times New Roman"/>
          <w:color w:val="000000" w:themeColor="text1"/>
          <w:kern w:val="2"/>
          <w:sz w:val="16"/>
          <w:szCs w:val="16"/>
        </w:rPr>
        <w:softHyphen/>
        <w:t>тывала ЗАО Двинска, 1-го, 12-го и 14-го ар</w:t>
      </w:r>
      <w:r w:rsidRPr="002F2FDF">
        <w:rPr>
          <w:rFonts w:ascii="Times New Roman" w:hAnsi="Times New Roman" w:cs="Times New Roman"/>
          <w:color w:val="000000" w:themeColor="text1"/>
          <w:kern w:val="2"/>
          <w:sz w:val="16"/>
          <w:szCs w:val="16"/>
        </w:rPr>
        <w:softHyphen/>
        <w:t>мейских корпусов (13 зенитных подразделе</w:t>
      </w:r>
      <w:r w:rsidRPr="002F2FDF">
        <w:rPr>
          <w:rFonts w:ascii="Times New Roman" w:hAnsi="Times New Roman" w:cs="Times New Roman"/>
          <w:color w:val="000000" w:themeColor="text1"/>
          <w:kern w:val="2"/>
          <w:sz w:val="16"/>
          <w:szCs w:val="16"/>
        </w:rPr>
        <w:softHyphen/>
        <w:t>ний, 53 орудия) и действовала в соответст</w:t>
      </w:r>
      <w:r w:rsidRPr="002F2FDF">
        <w:rPr>
          <w:rFonts w:ascii="Times New Roman" w:hAnsi="Times New Roman" w:cs="Times New Roman"/>
          <w:color w:val="000000" w:themeColor="text1"/>
          <w:kern w:val="2"/>
          <w:sz w:val="16"/>
          <w:szCs w:val="16"/>
        </w:rPr>
        <w:softHyphen/>
        <w:t>вии с “планом воздушной артиллерийской обороны 5-й армии”. Позже в её состав во</w:t>
      </w:r>
      <w:r w:rsidRPr="002F2FDF">
        <w:rPr>
          <w:rFonts w:ascii="Times New Roman" w:hAnsi="Times New Roman" w:cs="Times New Roman"/>
          <w:color w:val="000000" w:themeColor="text1"/>
          <w:kern w:val="2"/>
          <w:sz w:val="16"/>
          <w:szCs w:val="16"/>
        </w:rPr>
        <w:softHyphen/>
        <w:t>шла 4-я Кубанская казачья батарея. В каче</w:t>
      </w:r>
      <w:r w:rsidRPr="002F2FDF">
        <w:rPr>
          <w:rFonts w:ascii="Times New Roman" w:hAnsi="Times New Roman" w:cs="Times New Roman"/>
          <w:color w:val="000000" w:themeColor="text1"/>
          <w:kern w:val="2"/>
          <w:sz w:val="16"/>
          <w:szCs w:val="16"/>
        </w:rPr>
        <w:softHyphen/>
        <w:t>стве переменного состава использовали офицеров и нижние чины артиллерийских подразделений СФ и ЗФ, проходивших двух</w:t>
      </w:r>
      <w:r w:rsidRPr="002F2FDF">
        <w:rPr>
          <w:rFonts w:ascii="Times New Roman" w:hAnsi="Times New Roman" w:cs="Times New Roman"/>
          <w:color w:val="000000" w:themeColor="text1"/>
          <w:kern w:val="2"/>
          <w:sz w:val="16"/>
          <w:szCs w:val="16"/>
        </w:rPr>
        <w:softHyphen/>
        <w:t>месячное обучение на Курсах стрельбы по воздушному флоту (Двинск).</w:t>
      </w:r>
    </w:p>
    <w:p w14:paraId="5327BFF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воздуха объекты армии прикрывала 4-я боевая авиагруппа, созданная на базе авиа</w:t>
      </w:r>
      <w:r w:rsidRPr="002F2FDF">
        <w:rPr>
          <w:rFonts w:ascii="Times New Roman" w:hAnsi="Times New Roman" w:cs="Times New Roman"/>
          <w:color w:val="000000" w:themeColor="text1"/>
          <w:kern w:val="2"/>
          <w:sz w:val="16"/>
          <w:szCs w:val="16"/>
        </w:rPr>
        <w:softHyphen/>
        <w:t>ционного дивизиона по охране Ставки ВГ В ходе борьбы с воздушным флотом против</w:t>
      </w:r>
      <w:r w:rsidRPr="002F2FDF">
        <w:rPr>
          <w:rFonts w:ascii="Times New Roman" w:hAnsi="Times New Roman" w:cs="Times New Roman"/>
          <w:color w:val="000000" w:themeColor="text1"/>
          <w:kern w:val="2"/>
          <w:sz w:val="16"/>
          <w:szCs w:val="16"/>
        </w:rPr>
        <w:softHyphen/>
        <w:t>ника истребительные авиаотряды одновременно охраняли весь фронт армии путём создания кратковременной “воздушной за</w:t>
      </w:r>
      <w:r w:rsidRPr="002F2FDF">
        <w:rPr>
          <w:rFonts w:ascii="Times New Roman" w:hAnsi="Times New Roman" w:cs="Times New Roman"/>
          <w:color w:val="000000" w:themeColor="text1"/>
          <w:kern w:val="2"/>
          <w:sz w:val="16"/>
          <w:szCs w:val="16"/>
        </w:rPr>
        <w:softHyphen/>
        <w:t>весы”. Это исключало доступ неприятель</w:t>
      </w:r>
      <w:r w:rsidRPr="002F2FDF">
        <w:rPr>
          <w:rFonts w:ascii="Times New Roman" w:hAnsi="Times New Roman" w:cs="Times New Roman"/>
          <w:color w:val="000000" w:themeColor="text1"/>
          <w:kern w:val="2"/>
          <w:sz w:val="16"/>
          <w:szCs w:val="16"/>
        </w:rPr>
        <w:softHyphen/>
        <w:t>ским лётчикам в район расположения рус</w:t>
      </w:r>
      <w:r w:rsidRPr="002F2FDF">
        <w:rPr>
          <w:rFonts w:ascii="Times New Roman" w:hAnsi="Times New Roman" w:cs="Times New Roman"/>
          <w:color w:val="000000" w:themeColor="text1"/>
          <w:kern w:val="2"/>
          <w:sz w:val="16"/>
          <w:szCs w:val="16"/>
        </w:rPr>
        <w:softHyphen/>
        <w:t>ских войск. Особое внимание обращалось; на совместные действия зенитной артиллерии, истребительной авиации, наблюдательных постов и воздухоплавательных станций в районе армии, вытекающие из общего пла</w:t>
      </w:r>
      <w:r w:rsidRPr="002F2FDF">
        <w:rPr>
          <w:rFonts w:ascii="Times New Roman" w:hAnsi="Times New Roman" w:cs="Times New Roman"/>
          <w:color w:val="000000" w:themeColor="text1"/>
          <w:kern w:val="2"/>
          <w:sz w:val="16"/>
          <w:szCs w:val="16"/>
        </w:rPr>
        <w:softHyphen/>
        <w:t>на ПВО, разрабатываемого её штабом.</w:t>
      </w:r>
    </w:p>
    <w:p w14:paraId="36FD0F5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Основной задачей ЗАО Двинска было соз</w:t>
      </w:r>
      <w:r w:rsidRPr="002F2FDF">
        <w:rPr>
          <w:rFonts w:ascii="Times New Roman" w:hAnsi="Times New Roman" w:cs="Times New Roman"/>
          <w:color w:val="000000" w:themeColor="text1"/>
          <w:kern w:val="2"/>
          <w:sz w:val="16"/>
          <w:szCs w:val="16"/>
        </w:rPr>
        <w:softHyphen/>
        <w:t>дание на пути вражеских аэропланов “огне</w:t>
      </w:r>
      <w:r w:rsidRPr="002F2FDF">
        <w:rPr>
          <w:rFonts w:ascii="Times New Roman" w:hAnsi="Times New Roman" w:cs="Times New Roman"/>
          <w:color w:val="000000" w:themeColor="text1"/>
          <w:kern w:val="2"/>
          <w:sz w:val="16"/>
          <w:szCs w:val="16"/>
        </w:rPr>
        <w:softHyphen/>
        <w:t>вой завесы”, с целью исключения прорыва последних в черту города. Но для этого тре</w:t>
      </w:r>
      <w:r w:rsidRPr="002F2FDF">
        <w:rPr>
          <w:rFonts w:ascii="Times New Roman" w:hAnsi="Times New Roman" w:cs="Times New Roman"/>
          <w:color w:val="000000" w:themeColor="text1"/>
          <w:kern w:val="2"/>
          <w:sz w:val="16"/>
          <w:szCs w:val="16"/>
        </w:rPr>
        <w:softHyphen/>
        <w:t>бовался большой расход артснарядов. Так, по оценке специалистов, зенитные батареи, защищавшие в 1917 г. Двинск, расходовали по германскому разведывательному аэро</w:t>
      </w:r>
      <w:r w:rsidRPr="002F2FDF">
        <w:rPr>
          <w:rFonts w:ascii="Times New Roman" w:hAnsi="Times New Roman" w:cs="Times New Roman"/>
          <w:color w:val="000000" w:themeColor="text1"/>
          <w:kern w:val="2"/>
          <w:sz w:val="16"/>
          <w:szCs w:val="16"/>
        </w:rPr>
        <w:softHyphen/>
        <w:t>плану, прилетавшему неоднократно осмат</w:t>
      </w:r>
      <w:r w:rsidRPr="002F2FDF">
        <w:rPr>
          <w:rFonts w:ascii="Times New Roman" w:hAnsi="Times New Roman" w:cs="Times New Roman"/>
          <w:color w:val="000000" w:themeColor="text1"/>
          <w:kern w:val="2"/>
          <w:sz w:val="16"/>
          <w:szCs w:val="16"/>
        </w:rPr>
        <w:softHyphen/>
        <w:t>ривать городской вокзал, до нескольких ты</w:t>
      </w:r>
      <w:r w:rsidRPr="002F2FDF">
        <w:rPr>
          <w:rFonts w:ascii="Times New Roman" w:hAnsi="Times New Roman" w:cs="Times New Roman"/>
          <w:color w:val="000000" w:themeColor="text1"/>
          <w:kern w:val="2"/>
          <w:sz w:val="16"/>
          <w:szCs w:val="16"/>
        </w:rPr>
        <w:softHyphen/>
        <w:t>сяч снарядов (11391).</w:t>
      </w:r>
    </w:p>
    <w:p w14:paraId="25438D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A2ABBD" w14:textId="77777777" w:rsidR="00910F46" w:rsidRPr="002F2FDF" w:rsidRDefault="00910F4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 четыре батареи двенадцати</w:t>
      </w:r>
      <w:r w:rsidRPr="002F2FDF">
        <w:rPr>
          <w:rFonts w:ascii="Times New Roman" w:hAnsi="Times New Roman" w:cs="Times New Roman"/>
          <w:color w:val="000000" w:themeColor="text1"/>
          <w:kern w:val="2"/>
          <w:sz w:val="16"/>
          <w:szCs w:val="16"/>
        </w:rPr>
        <w:softHyphen/>
        <w:t>дюймовых гаубиц «Виккерс» (по две гаубицы в каждой) были отправлены на фронт вместе с паровыми тракторами «Фоулер». Для перевозки одной такой гаубицы в разобранном виде тре</w:t>
      </w:r>
      <w:r w:rsidRPr="002F2FDF">
        <w:rPr>
          <w:rFonts w:ascii="Times New Roman" w:hAnsi="Times New Roman" w:cs="Times New Roman"/>
          <w:color w:val="000000" w:themeColor="text1"/>
          <w:kern w:val="2"/>
          <w:sz w:val="16"/>
          <w:szCs w:val="16"/>
        </w:rPr>
        <w:softHyphen/>
        <w:t>бовались шесть тракторных поездов с прицепа</w:t>
      </w:r>
      <w:r w:rsidRPr="002F2FDF">
        <w:rPr>
          <w:rFonts w:ascii="Times New Roman" w:hAnsi="Times New Roman" w:cs="Times New Roman"/>
          <w:color w:val="000000" w:themeColor="text1"/>
          <w:kern w:val="2"/>
          <w:sz w:val="16"/>
          <w:szCs w:val="16"/>
        </w:rPr>
        <w:softHyphen/>
        <w:t>ми. Пять паровых «Фоулеров» тогда же отпра</w:t>
      </w:r>
      <w:r w:rsidRPr="002F2FDF">
        <w:rPr>
          <w:rFonts w:ascii="Times New Roman" w:hAnsi="Times New Roman" w:cs="Times New Roman"/>
          <w:color w:val="000000" w:themeColor="text1"/>
          <w:kern w:val="2"/>
          <w:sz w:val="16"/>
          <w:szCs w:val="16"/>
        </w:rPr>
        <w:softHyphen/>
        <w:t>вили в Черновцы в распоряжение инженерных частей для перевозки электрического кабеля. Хотя громоздкие паровые тягачи - ан</w:t>
      </w:r>
      <w:r w:rsidRPr="002F2FDF">
        <w:rPr>
          <w:rFonts w:ascii="Times New Roman" w:hAnsi="Times New Roman" w:cs="Times New Roman"/>
          <w:color w:val="000000" w:themeColor="text1"/>
          <w:kern w:val="2"/>
          <w:sz w:val="16"/>
          <w:szCs w:val="16"/>
        </w:rPr>
        <w:softHyphen/>
        <w:t>глийские «Фоулер», «Маршал» и «Мак-Ларен» применялись вплоть до конца войны, их ис</w:t>
      </w:r>
      <w:r w:rsidRPr="002F2FDF">
        <w:rPr>
          <w:rFonts w:ascii="Times New Roman" w:hAnsi="Times New Roman" w:cs="Times New Roman"/>
          <w:color w:val="000000" w:themeColor="text1"/>
          <w:kern w:val="2"/>
          <w:sz w:val="16"/>
          <w:szCs w:val="16"/>
        </w:rPr>
        <w:softHyphen/>
        <w:t>пользование в артиллерии являлось вынужден</w:t>
      </w:r>
      <w:r w:rsidRPr="002F2FDF">
        <w:rPr>
          <w:rFonts w:ascii="Times New Roman" w:hAnsi="Times New Roman" w:cs="Times New Roman"/>
          <w:color w:val="000000" w:themeColor="text1"/>
          <w:kern w:val="2"/>
          <w:sz w:val="16"/>
          <w:szCs w:val="16"/>
        </w:rPr>
        <w:softHyphen/>
        <w:t>ным шагом и себя не оправдало. Наибольшее распространение получили паровые тракто</w:t>
      </w:r>
      <w:r w:rsidRPr="002F2FDF">
        <w:rPr>
          <w:rFonts w:ascii="Times New Roman" w:hAnsi="Times New Roman" w:cs="Times New Roman"/>
          <w:color w:val="000000" w:themeColor="text1"/>
          <w:kern w:val="2"/>
          <w:sz w:val="16"/>
          <w:szCs w:val="16"/>
        </w:rPr>
        <w:softHyphen/>
        <w:t>ры с топкой на сырой нефти производства английской фирмы «Фоулер». Многие из них приобретались через торговую агентуру фир</w:t>
      </w:r>
      <w:r w:rsidRPr="002F2FDF">
        <w:rPr>
          <w:rFonts w:ascii="Times New Roman" w:hAnsi="Times New Roman" w:cs="Times New Roman"/>
          <w:color w:val="000000" w:themeColor="text1"/>
          <w:kern w:val="2"/>
          <w:sz w:val="16"/>
          <w:szCs w:val="16"/>
        </w:rPr>
        <w:softHyphen/>
        <w:t>мы «Виккерс-Армстронг» для перевозки тяже</w:t>
      </w:r>
      <w:r w:rsidRPr="002F2FDF">
        <w:rPr>
          <w:rFonts w:ascii="Times New Roman" w:hAnsi="Times New Roman" w:cs="Times New Roman"/>
          <w:color w:val="000000" w:themeColor="text1"/>
          <w:kern w:val="2"/>
          <w:sz w:val="16"/>
          <w:szCs w:val="16"/>
        </w:rPr>
        <w:softHyphen/>
        <w:t>лых гаубиц производства этой же фирмы и в русских документах проходили под названием «Виккерс». Всего за годы войны в Русскую ар</w:t>
      </w:r>
      <w:r w:rsidRPr="002F2FDF">
        <w:rPr>
          <w:rFonts w:ascii="Times New Roman" w:hAnsi="Times New Roman" w:cs="Times New Roman"/>
          <w:color w:val="000000" w:themeColor="text1"/>
          <w:kern w:val="2"/>
          <w:sz w:val="16"/>
          <w:szCs w:val="16"/>
        </w:rPr>
        <w:softHyphen/>
        <w:t>мию было поставлено около 200 паровых тя</w:t>
      </w:r>
      <w:r w:rsidRPr="002F2FDF">
        <w:rPr>
          <w:rFonts w:ascii="Times New Roman" w:hAnsi="Times New Roman" w:cs="Times New Roman"/>
          <w:color w:val="000000" w:themeColor="text1"/>
          <w:kern w:val="2"/>
          <w:sz w:val="16"/>
          <w:szCs w:val="16"/>
        </w:rPr>
        <w:softHyphen/>
        <w:t>гачей, в том числе и несколько отечественных производства Коломенского машинострои</w:t>
      </w:r>
      <w:r w:rsidRPr="002F2FDF">
        <w:rPr>
          <w:rFonts w:ascii="Times New Roman" w:hAnsi="Times New Roman" w:cs="Times New Roman"/>
          <w:color w:val="000000" w:themeColor="text1"/>
          <w:kern w:val="2"/>
          <w:sz w:val="16"/>
          <w:szCs w:val="16"/>
        </w:rPr>
        <w:softHyphen/>
        <w:t>тельного завода с двигателями Штумпфа мощ</w:t>
      </w:r>
      <w:r w:rsidRPr="002F2FDF">
        <w:rPr>
          <w:rFonts w:ascii="Times New Roman" w:hAnsi="Times New Roman" w:cs="Times New Roman"/>
          <w:color w:val="000000" w:themeColor="text1"/>
          <w:kern w:val="2"/>
          <w:sz w:val="16"/>
          <w:szCs w:val="16"/>
        </w:rPr>
        <w:softHyphen/>
        <w:t>ностью 110 л.с. Все они эксплуатировались до конца войны, а некоторые достались в наслед</w:t>
      </w:r>
      <w:r w:rsidRPr="002F2FDF">
        <w:rPr>
          <w:rFonts w:ascii="Times New Roman" w:hAnsi="Times New Roman" w:cs="Times New Roman"/>
          <w:color w:val="000000" w:themeColor="text1"/>
          <w:kern w:val="2"/>
          <w:sz w:val="16"/>
          <w:szCs w:val="16"/>
        </w:rPr>
        <w:softHyphen/>
        <w:t>ство Красной армий (15775).</w:t>
      </w:r>
    </w:p>
    <w:p w14:paraId="1AA33E17" w14:textId="77777777" w:rsidR="00910F46" w:rsidRPr="002F2FDF" w:rsidRDefault="00910F46" w:rsidP="0083075A">
      <w:pPr>
        <w:spacing w:after="0" w:line="240" w:lineRule="auto"/>
        <w:jc w:val="both"/>
        <w:rPr>
          <w:rFonts w:ascii="Times New Roman" w:hAnsi="Times New Roman" w:cs="Times New Roman"/>
          <w:color w:val="000000" w:themeColor="text1"/>
          <w:kern w:val="2"/>
          <w:sz w:val="16"/>
          <w:szCs w:val="16"/>
        </w:rPr>
      </w:pPr>
    </w:p>
    <w:p w14:paraId="0391B6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 на линкоре “Император Александр III ” команда подняла флаг Украины. Офицеры отказались вести корабль в Севастополь и “жовто-блакитные” стяги были заменены на Андреевские (11454).</w:t>
      </w:r>
    </w:p>
    <w:p w14:paraId="080C49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7DA0C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08EDB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5E0F32" w14:textId="5E760A4D" w:rsidR="00DD3C22" w:rsidRPr="002F2FDF" w:rsidRDefault="00DD3C2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Летом 1917 года в Германии был объявлен конкурс на разработку бортовых самолетов-разведчи</w:t>
      </w:r>
      <w:r w:rsidRPr="002F2FDF">
        <w:rPr>
          <w:rFonts w:ascii="Times New Roman" w:hAnsi="Times New Roman" w:cs="Times New Roman"/>
          <w:color w:val="000000" w:themeColor="text1"/>
          <w:sz w:val="16"/>
          <w:szCs w:val="16"/>
        </w:rPr>
        <w:softHyphen/>
        <w:t>ков, размещающихся в специальных ангарах на крупных подводных крейсерах (U-142</w:t>
      </w:r>
      <w:r w:rsidR="006E5CD0">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150) полным водоизмещени</w:t>
      </w:r>
      <w:r w:rsidRPr="002F2FDF">
        <w:rPr>
          <w:rFonts w:ascii="Times New Roman" w:hAnsi="Times New Roman" w:cs="Times New Roman"/>
          <w:color w:val="000000" w:themeColor="text1"/>
          <w:sz w:val="16"/>
          <w:szCs w:val="16"/>
        </w:rPr>
        <w:softHyphen/>
        <w:t>ем в 2760 т, в котором принял участие и знаменитый в будущем авиаконс</w:t>
      </w:r>
      <w:r w:rsidRPr="002F2FDF">
        <w:rPr>
          <w:rFonts w:ascii="Times New Roman" w:hAnsi="Times New Roman" w:cs="Times New Roman"/>
          <w:color w:val="000000" w:themeColor="text1"/>
          <w:sz w:val="16"/>
          <w:szCs w:val="16"/>
        </w:rPr>
        <w:softHyphen/>
        <w:t>труктор Эрнст Хейнкель. До конца войны п/л войти в строй они так и не успели, хотя U-142 и прошла ходо</w:t>
      </w:r>
      <w:r w:rsidRPr="002F2FDF">
        <w:rPr>
          <w:rFonts w:ascii="Times New Roman" w:hAnsi="Times New Roman" w:cs="Times New Roman"/>
          <w:color w:val="000000" w:themeColor="text1"/>
          <w:sz w:val="16"/>
          <w:szCs w:val="16"/>
        </w:rPr>
        <w:softHyphen/>
        <w:t>вые испытания, результаты которых оказались неутешительными — лод</w:t>
      </w:r>
      <w:r w:rsidRPr="002F2FDF">
        <w:rPr>
          <w:rFonts w:ascii="Times New Roman" w:hAnsi="Times New Roman" w:cs="Times New Roman"/>
          <w:color w:val="000000" w:themeColor="text1"/>
          <w:sz w:val="16"/>
          <w:szCs w:val="16"/>
        </w:rPr>
        <w:softHyphen/>
        <w:t>ка продемонстрировала чрезвычай</w:t>
      </w:r>
      <w:r w:rsidRPr="002F2FDF">
        <w:rPr>
          <w:rFonts w:ascii="Times New Roman" w:hAnsi="Times New Roman" w:cs="Times New Roman"/>
          <w:color w:val="000000" w:themeColor="text1"/>
          <w:sz w:val="16"/>
          <w:szCs w:val="16"/>
        </w:rPr>
        <w:softHyphen/>
        <w:t>но низкую остойчивость и плохую управляемость как в надводном, так и в подводном положении (22804).</w:t>
      </w:r>
    </w:p>
    <w:p w14:paraId="1D79DDD0" w14:textId="77777777" w:rsidR="00DD3C22" w:rsidRPr="002F2FDF" w:rsidRDefault="00DD3C22" w:rsidP="0083075A">
      <w:pPr>
        <w:spacing w:after="0" w:line="240" w:lineRule="auto"/>
        <w:jc w:val="both"/>
        <w:rPr>
          <w:rFonts w:ascii="Times New Roman" w:hAnsi="Times New Roman" w:cs="Times New Roman"/>
          <w:color w:val="000000" w:themeColor="text1"/>
          <w:sz w:val="16"/>
          <w:szCs w:val="16"/>
        </w:rPr>
      </w:pPr>
    </w:p>
    <w:p w14:paraId="673F36B9" w14:textId="77777777" w:rsidR="00DD3C22" w:rsidRPr="002F2FDF" w:rsidRDefault="00DD3C2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Летом 1917 г. на венском филиале «Альбатроса», а с января 1917 заводе «Феникс Флюгцойгверке» для летных испытаний переделали три готовых Бранденбурга D I в самолет Феникс D I, которые доработки получали постепенно — как предусмотренные изначально, так и набиравшиеся по опыту испытаний. К последним относились фанерные передние кромки крыла, взявшие на себя большую часть изгибных и крутильных нагрузок, а также уменьшение высоты капота, чтобы летчик мог видеть хоть что-то прямо перед собой и целиться. Было смонтировано новое вооружение — два Шварлозе М16 с австрийскими синхронизаторами системы Цаппарка. Хотя проект очень долго делался и слегка опоздал, не показав со своей скоростью порядка 180 км/ч особо выдающихся летных данных, осенью 1917 г. Авиационный арсенал выдал фирме заказ на 150 серийных истребителей (22825).</w:t>
      </w:r>
    </w:p>
    <w:p w14:paraId="7F233FF4" w14:textId="77777777" w:rsidR="00DD3C22" w:rsidRPr="002F2FDF" w:rsidRDefault="00DD3C22" w:rsidP="0083075A">
      <w:pPr>
        <w:spacing w:after="0" w:line="240" w:lineRule="auto"/>
        <w:jc w:val="both"/>
        <w:rPr>
          <w:rFonts w:ascii="Times New Roman" w:hAnsi="Times New Roman" w:cs="Times New Roman"/>
          <w:color w:val="000000" w:themeColor="text1"/>
          <w:sz w:val="16"/>
          <w:szCs w:val="16"/>
        </w:rPr>
      </w:pPr>
    </w:p>
    <w:p w14:paraId="0659714D" w14:textId="09838F01" w:rsidR="00DD3C22" w:rsidRPr="002F2FDF" w:rsidRDefault="00DD3C2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Летом 1917 г. одобрили проект Роланд D VI, который как и D III имел мотор Мерседес D III мощностью 160</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л.</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с. И хотя на этом их сходство заканчивалось, ничего более ничего революционного, кроме фюзеляжа и крепления крыла, в его конструкции не было, но поскольку новая технология «Клинкеррумпф» была пока не отработана, решили строить не три опытных образца, положенных по процедуре типовых испытаний, а только один. Завод LFG в Шарлоттенбурге сдал его к началу второй декады октября и 13-го числа Роланд D VI совершил первый полет (22862).</w:t>
      </w:r>
    </w:p>
    <w:p w14:paraId="305C3B9D" w14:textId="77777777" w:rsidR="00DD3C22" w:rsidRPr="002F2FDF" w:rsidRDefault="00DD3C22" w:rsidP="0083075A">
      <w:pPr>
        <w:spacing w:after="0" w:line="240" w:lineRule="auto"/>
        <w:jc w:val="both"/>
        <w:rPr>
          <w:rFonts w:ascii="Times New Roman" w:hAnsi="Times New Roman" w:cs="Times New Roman"/>
          <w:color w:val="000000" w:themeColor="text1"/>
          <w:sz w:val="16"/>
          <w:szCs w:val="16"/>
        </w:rPr>
      </w:pPr>
    </w:p>
    <w:p w14:paraId="5D67C90E" w14:textId="1FE565C2" w:rsidR="00DD3C22" w:rsidRPr="002F2FDF" w:rsidRDefault="00DD3C2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Летом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г. главный конструктор фирмы «Ньюпор» Густав Деляж поставил задачу получить 10</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прироста скорости нового истребителя лишь за счет аэродинамики, без повышения мощности. Путь к этому он видел в улучшении обтекаемости отдельных частей самолета и в дальнейшем уменьшении разницы площадей крыльев. На завершившем первую его линию истребителей-полуторапланов Ньюпоре 27 верхнее было больше нижнего в 2,1 раза, на начавшем следующую ветвь 28-м типе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лишь в 1,4 раза, а в проектируемом Ньюпоре 29 они должны были сравняться. Чтобы в ожидании неизбежного увеличения веса не допустить роста удельной нагрузки на крыло, общую несущую площадь увеличили на четверть, но бипланная коробка осталась, как у Ньюпора 28, одностоечной. Главным новшеством был гладкий как яичко сигарообразный фюзеляж, обшивка которого не обтягивалась полотном, а выклеивалась из полос шпона крест-накрест. Идею подсмотрели в трофейном немецком истребителе Пфальц D III, о котором мы рассказали в 140-м выпуске «Авиакаталога». Заменили только материал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тюльпанного дерева, которое везли из США, самолетостроители Германии позволить себе не могли. Оперение типа «хвост лосося» тоже походило на немецкое, но выпуклые дуги передних кромок стабилизатора и киля сопрягались с фюзеляжем вогнутыми дугами больших радиусов. Новый проект возглавили сам Деляж и инженер Андре Мари (22890).</w:t>
      </w:r>
    </w:p>
    <w:p w14:paraId="719901D0" w14:textId="77777777" w:rsidR="00DD3C22" w:rsidRPr="002F2FDF" w:rsidRDefault="00DD3C22" w:rsidP="0083075A">
      <w:pPr>
        <w:spacing w:after="0" w:line="240" w:lineRule="auto"/>
        <w:jc w:val="both"/>
        <w:rPr>
          <w:rFonts w:ascii="Times New Roman" w:hAnsi="Times New Roman" w:cs="Times New Roman"/>
          <w:color w:val="000000" w:themeColor="text1"/>
          <w:sz w:val="16"/>
          <w:szCs w:val="16"/>
        </w:rPr>
      </w:pPr>
    </w:p>
    <w:p w14:paraId="15E77FB4" w14:textId="77777777" w:rsidR="00DD3C22" w:rsidRPr="002F2FDF" w:rsidRDefault="00DD3C2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Летом 1917 г. для восполнения убыли фирме «Гота» заказали еще три самолета WD 11, а сразу за ними – еще 8 машин. Они были построены очень быстро – последний самолет этого типа был сдан по производству в июле 1917 г. и дальше берлинский завод «Гота» строил новые тяжелые гидропланы WD 14. К сентябрю 1917 г. обе эти серии были приняты Флотом под номерами с 1211 по 1213 и с 1372 по 1379. Последние 8 самолетов Гота WD 11 были переданы на перевооружение I эскадрильи торпедоносцев, которая в то время также базировалась в Зебрюгге, но к осени была переброшена на Восточный фронт (23073).</w:t>
      </w:r>
    </w:p>
    <w:p w14:paraId="6D1AC8AC" w14:textId="77777777" w:rsidR="00DD3C22" w:rsidRPr="002F2FDF" w:rsidRDefault="00DD3C22" w:rsidP="0083075A">
      <w:pPr>
        <w:spacing w:after="0" w:line="240" w:lineRule="auto"/>
        <w:jc w:val="both"/>
        <w:rPr>
          <w:rFonts w:ascii="Times New Roman" w:hAnsi="Times New Roman" w:cs="Times New Roman"/>
          <w:color w:val="000000" w:themeColor="text1"/>
          <w:sz w:val="16"/>
          <w:szCs w:val="16"/>
        </w:rPr>
      </w:pPr>
    </w:p>
    <w:p w14:paraId="423C4553" w14:textId="6FD5EE77" w:rsidR="00DD3C22" w:rsidRPr="002F2FDF" w:rsidRDefault="00DD3C2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Летом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г., чтобы узаконить продвинувшуюся уже далеко разработку нового истребителя Сопвич «Снайп», Министерство снабжения выпустило тактико-технические требования Air Board A.I(a). На объявленный конкурс были представлены самолеты Армстронг-Уитворт «Армадилло», Остин «Оспри», Болтон-Пол «Боболинк» и Бритиш Ньюпор B.N.1, который стал первой работой Фолланда на новом месте (создатель S.E.5 Генри Фолланд покинул институтом RAE и перешел на «Британский Ньюпор» (22890).</w:t>
      </w:r>
    </w:p>
    <w:p w14:paraId="1D3C4F9B" w14:textId="77777777" w:rsidR="00DD3C22" w:rsidRPr="002F2FDF" w:rsidRDefault="00DD3C22" w:rsidP="0083075A">
      <w:pPr>
        <w:spacing w:after="0" w:line="240" w:lineRule="auto"/>
        <w:jc w:val="both"/>
        <w:rPr>
          <w:rFonts w:ascii="Times New Roman" w:hAnsi="Times New Roman" w:cs="Times New Roman"/>
          <w:color w:val="000000" w:themeColor="text1"/>
          <w:sz w:val="16"/>
          <w:szCs w:val="16"/>
        </w:rPr>
      </w:pPr>
    </w:p>
    <w:p w14:paraId="2DC6A79B" w14:textId="55CE6A6C" w:rsidR="00DD3C22" w:rsidRPr="002F2FDF" w:rsidRDefault="00DD3C2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Летом 1917 г. на фирме «Венгерский самолето- и моторостроительный завод Ллойд» (по-немецки она именовалась Ungarische Lloyd Flugzeug und Motoren Fabrik, по-венгерски Magyar Lloyd Repülőgép- és Motorgyár) в г. Асод (Aszód, ныне – север Венгрии, обл. Пешт) было начато проектирование истребителя-триплана. Не известно, было ли это ее частной инициативой или же поручением Императорского и Королевского Авиационного арсенала (K.u.K. Fliegerarsenal, Flars), но проект был им утвержден и самолету был присвоен регистрационный номер Военно-воздушных сил Императорской и Королевской Армии Австро-Венгрии (Luftstreitkräfte der k.u.k. Armee) 40.15. Обозначения самолета, присвоенные разработчиком и заказчиком, пока не найдены.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Проектирование вели главный инженер предприятия доктор Тибор фон Мельцер (Dr. Ing. Tibor von Melczer) и конструктор инженер Ханнс Визина (Ing. Hanns Wizina) (23133).</w:t>
      </w:r>
    </w:p>
    <w:p w14:paraId="3918A4EC" w14:textId="77777777" w:rsidR="00DD3C22" w:rsidRPr="002F2FDF" w:rsidRDefault="00DD3C22" w:rsidP="0083075A">
      <w:pPr>
        <w:spacing w:after="0" w:line="240" w:lineRule="auto"/>
        <w:jc w:val="both"/>
        <w:rPr>
          <w:rFonts w:ascii="Times New Roman" w:hAnsi="Times New Roman" w:cs="Times New Roman"/>
          <w:color w:val="000000" w:themeColor="text1"/>
          <w:sz w:val="16"/>
          <w:szCs w:val="16"/>
        </w:rPr>
      </w:pPr>
    </w:p>
    <w:p w14:paraId="017BD3BF" w14:textId="40565A20" w:rsidR="00DD3C22" w:rsidRPr="002F2FDF" w:rsidRDefault="00DD3C2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Летом 1917 г. А. Эйлером и Ю. Громадником на фирме «Эйлер» (фирма Reichsamt für Luft- und Kraftfahrwesen) начато проектирование Эйлер Dr II (Тип 3) (Euler Dr II, Dreidecker Type 3) как альтернативы проекту Dr Тип 2, который Громадник как раз заканчивал.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данном истребителе были использованы не «французские» решения, перешедшие из проекта Эйлер Тип 1 (D I), который был создан фирмой на основе французского истребителя Nieuport 11, а собственные по типу самолета Euler D Type 3.</w:t>
      </w:r>
    </w:p>
    <w:p w14:paraId="0676E9FB" w14:textId="77777777" w:rsidR="00DD3C22" w:rsidRPr="002F2FDF" w:rsidRDefault="00DD3C2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Самолет построен заводом фирмы и совершил первый полет в ноябре 1917 г. Он испытывался очень долго (не менее 5 месяцев) на заводе и в IdFlieg, в мае 1918 г. прошел сравнительные испытания в рамках проводимого IdFlieg, но на вооружение принять не был в силу низких ТТХ (23169).</w:t>
      </w:r>
    </w:p>
    <w:p w14:paraId="1AFB0061" w14:textId="77777777" w:rsidR="00DD3C22" w:rsidRPr="002F2FDF" w:rsidRDefault="00DD3C22" w:rsidP="0083075A">
      <w:pPr>
        <w:spacing w:after="0" w:line="240" w:lineRule="auto"/>
        <w:jc w:val="both"/>
        <w:rPr>
          <w:rFonts w:ascii="Times New Roman" w:hAnsi="Times New Roman" w:cs="Times New Roman"/>
          <w:color w:val="000000" w:themeColor="text1"/>
          <w:sz w:val="16"/>
          <w:szCs w:val="16"/>
        </w:rPr>
      </w:pPr>
    </w:p>
    <w:p w14:paraId="2A4A3F12" w14:textId="760E26E3" w:rsidR="00DD3C22" w:rsidRPr="002F2FDF" w:rsidRDefault="00DD3C2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Летом 1917 г. на фирме AEG (Allgemeine Elektrizitäts-Gesellschaft, Abteilung Flugzeugbau) на базе конструкции строившегося в то время 3-го опытного самолета AEG D I начались проектирование и постройка</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опытного истребителя-триплана AEG Dr I. Работа вероятно выполнялась по инициативе фирмы с целью поиска путей повышения летных данных за счет изменения аэродинамической схемы.</w:t>
      </w:r>
    </w:p>
    <w:p w14:paraId="7D626812" w14:textId="71534F01" w:rsidR="00DD3C22" w:rsidRPr="002F2FDF" w:rsidRDefault="00DD3C2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Самолет был построен заводом фирмы и совершил первый полет в октябре 1917 г.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Первые полеты показали, что все летные данные по сравнению с прототипом AEG D I ухудшились, и в октябре 1917 г. дальнейшие полеты прекратили, а самолет списали (23172).</w:t>
      </w:r>
    </w:p>
    <w:p w14:paraId="433F6A85" w14:textId="77777777" w:rsidR="00DD3C22" w:rsidRPr="002F2FDF" w:rsidRDefault="00DD3C22" w:rsidP="0083075A">
      <w:pPr>
        <w:spacing w:after="0" w:line="240" w:lineRule="auto"/>
        <w:jc w:val="both"/>
        <w:rPr>
          <w:rFonts w:ascii="Times New Roman" w:hAnsi="Times New Roman" w:cs="Times New Roman"/>
          <w:color w:val="000000" w:themeColor="text1"/>
          <w:sz w:val="16"/>
          <w:szCs w:val="16"/>
        </w:rPr>
      </w:pPr>
    </w:p>
    <w:p w14:paraId="237A12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года, по многочисленным сообщениям английской и французской прессы, можно было видеть, что в обеих этих странах развитию военно-воздушного флота стало придаваться решающее значение в достижении окончательной победы. Так, газета “Дейлиy Мейл” от 20 июля 1917 года писала: “Kаждый должен признать, что будущее нашей страны и всех союзников находится в руках тех, кому поручено создание и развитие нашего и союзного военно-воздушного флота. Каков бы ни был исход войны, она закончится в воздухе. Или мы совершим победоносный налет на противника, или последний опрокинет и раздавит нас натиском своей авиации” (11282).</w:t>
      </w:r>
    </w:p>
    <w:p w14:paraId="1D1B0C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ABF5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англичане в ответ на триплан Фоккер Dr.1 выпустили Сопвич триплан и немцы опять не смогли взять инициативу в свои руки, хотя и выпустили Пфальц Dr.1 с двигателем в 160 нр (88,73).</w:t>
      </w:r>
    </w:p>
    <w:p w14:paraId="2CFC92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7E391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лета 1917 г. вопросам про</w:t>
      </w:r>
      <w:r w:rsidRPr="002F2FDF">
        <w:rPr>
          <w:rFonts w:ascii="Times New Roman" w:hAnsi="Times New Roman" w:cs="Times New Roman"/>
          <w:color w:val="000000" w:themeColor="text1"/>
          <w:kern w:val="2"/>
          <w:sz w:val="16"/>
          <w:szCs w:val="16"/>
        </w:rPr>
        <w:softHyphen/>
        <w:t>тивовоздушной обороны огневыми средствами пехотных подразделений в войсках стало уделяться самое серьез</w:t>
      </w:r>
      <w:r w:rsidRPr="002F2FDF">
        <w:rPr>
          <w:rFonts w:ascii="Times New Roman" w:hAnsi="Times New Roman" w:cs="Times New Roman"/>
          <w:color w:val="000000" w:themeColor="text1"/>
          <w:kern w:val="2"/>
          <w:sz w:val="16"/>
          <w:szCs w:val="16"/>
        </w:rPr>
        <w:softHyphen/>
        <w:t>ное внимание. Например, в немецких войсках на каждом дивизионном участке фронта для защиты от атак низколетящих са</w:t>
      </w:r>
      <w:r w:rsidRPr="002F2FDF">
        <w:rPr>
          <w:rFonts w:ascii="Times New Roman" w:hAnsi="Times New Roman" w:cs="Times New Roman"/>
          <w:color w:val="000000" w:themeColor="text1"/>
          <w:kern w:val="2"/>
          <w:sz w:val="16"/>
          <w:szCs w:val="16"/>
        </w:rPr>
        <w:softHyphen/>
        <w:t>молетов стали предусматриваться не менее трех пулеметных гнезд, каждое из которых состояло из трех и более пулеметов. Располагались такие пуле</w:t>
      </w:r>
      <w:r w:rsidRPr="002F2FDF">
        <w:rPr>
          <w:rFonts w:ascii="Times New Roman" w:hAnsi="Times New Roman" w:cs="Times New Roman"/>
          <w:color w:val="000000" w:themeColor="text1"/>
          <w:kern w:val="2"/>
          <w:sz w:val="16"/>
          <w:szCs w:val="16"/>
        </w:rPr>
        <w:softHyphen/>
        <w:t>метные гнезда на удалении не более 1000-1200 м от передовой линии, ис</w:t>
      </w:r>
      <w:r w:rsidRPr="002F2FDF">
        <w:rPr>
          <w:rFonts w:ascii="Times New Roman" w:hAnsi="Times New Roman" w:cs="Times New Roman"/>
          <w:color w:val="000000" w:themeColor="text1"/>
          <w:kern w:val="2"/>
          <w:sz w:val="16"/>
          <w:szCs w:val="16"/>
        </w:rPr>
        <w:softHyphen/>
        <w:t>ходя из требования ведения сосредо</w:t>
      </w:r>
      <w:r w:rsidRPr="002F2FDF">
        <w:rPr>
          <w:rFonts w:ascii="Times New Roman" w:hAnsi="Times New Roman" w:cs="Times New Roman"/>
          <w:color w:val="000000" w:themeColor="text1"/>
          <w:kern w:val="2"/>
          <w:sz w:val="16"/>
          <w:szCs w:val="16"/>
        </w:rPr>
        <w:softHyphen/>
        <w:t>точенного огня одновременно по одно</w:t>
      </w:r>
      <w:r w:rsidRPr="002F2FDF">
        <w:rPr>
          <w:rFonts w:ascii="Times New Roman" w:hAnsi="Times New Roman" w:cs="Times New Roman"/>
          <w:color w:val="000000" w:themeColor="text1"/>
          <w:kern w:val="2"/>
          <w:sz w:val="16"/>
          <w:szCs w:val="16"/>
        </w:rPr>
        <w:softHyphen/>
        <w:t>му самолету "как можно большего числа пулеметов". С этой целью в полках в каждой роте выделялось по одному пулеметному взводу и, кроме того. на каждые 100 м фронта выделя</w:t>
      </w:r>
      <w:r w:rsidRPr="002F2FDF">
        <w:rPr>
          <w:rFonts w:ascii="Times New Roman" w:hAnsi="Times New Roman" w:cs="Times New Roman"/>
          <w:color w:val="000000" w:themeColor="text1"/>
          <w:kern w:val="2"/>
          <w:sz w:val="16"/>
          <w:szCs w:val="16"/>
        </w:rPr>
        <w:softHyphen/>
        <w:t>лось по одному пулемету для стрельбы по самолетам. Подобным образом дей</w:t>
      </w:r>
      <w:r w:rsidRPr="002F2FDF">
        <w:rPr>
          <w:rFonts w:ascii="Times New Roman" w:hAnsi="Times New Roman" w:cs="Times New Roman"/>
          <w:color w:val="000000" w:themeColor="text1"/>
          <w:kern w:val="2"/>
          <w:sz w:val="16"/>
          <w:szCs w:val="16"/>
        </w:rPr>
        <w:softHyphen/>
        <w:t>ствовала и пехота союзных войск. Соответственно, потери штурмови</w:t>
      </w:r>
      <w:r w:rsidRPr="002F2FDF">
        <w:rPr>
          <w:rFonts w:ascii="Times New Roman" w:hAnsi="Times New Roman" w:cs="Times New Roman"/>
          <w:color w:val="000000" w:themeColor="text1"/>
          <w:kern w:val="2"/>
          <w:sz w:val="16"/>
          <w:szCs w:val="16"/>
        </w:rPr>
        <w:softHyphen/>
        <w:t>ков от ружейно-пулеметного огня с земли возросли (5999).</w:t>
      </w:r>
    </w:p>
    <w:p w14:paraId="3560863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Анализ имеющихся данных о бое</w:t>
      </w:r>
      <w:r w:rsidRPr="002F2FDF">
        <w:rPr>
          <w:rFonts w:ascii="Times New Roman" w:hAnsi="Times New Roman" w:cs="Times New Roman"/>
          <w:color w:val="000000" w:themeColor="text1"/>
          <w:kern w:val="2"/>
          <w:sz w:val="16"/>
          <w:szCs w:val="16"/>
        </w:rPr>
        <w:softHyphen/>
        <w:t>вой деятельности немецкой и англо</w:t>
      </w:r>
      <w:r w:rsidRPr="002F2FDF">
        <w:rPr>
          <w:rFonts w:ascii="Times New Roman" w:hAnsi="Times New Roman" w:cs="Times New Roman"/>
          <w:color w:val="000000" w:themeColor="text1"/>
          <w:kern w:val="2"/>
          <w:sz w:val="16"/>
          <w:szCs w:val="16"/>
        </w:rPr>
        <w:softHyphen/>
        <w:t>французской авиации показывает, что несмотря на использование сторонами для штурмовых действий на поле боя различных типов самолетов (специаль</w:t>
      </w:r>
      <w:r w:rsidRPr="002F2FDF">
        <w:rPr>
          <w:rFonts w:ascii="Times New Roman" w:hAnsi="Times New Roman" w:cs="Times New Roman"/>
          <w:color w:val="000000" w:themeColor="text1"/>
          <w:kern w:val="2"/>
          <w:sz w:val="16"/>
          <w:szCs w:val="16"/>
        </w:rPr>
        <w:softHyphen/>
        <w:t>ный бронированный самолет - у нем</w:t>
      </w:r>
      <w:r w:rsidRPr="002F2FDF">
        <w:rPr>
          <w:rFonts w:ascii="Times New Roman" w:hAnsi="Times New Roman" w:cs="Times New Roman"/>
          <w:color w:val="000000" w:themeColor="text1"/>
          <w:kern w:val="2"/>
          <w:sz w:val="16"/>
          <w:szCs w:val="16"/>
        </w:rPr>
        <w:softHyphen/>
        <w:t>цев, и истребитель или многоцелевой самолет - у союзников), безвозвратные потери штурмовиков за день, как у тех, так и у других, были примерно одина</w:t>
      </w:r>
      <w:r w:rsidRPr="002F2FDF">
        <w:rPr>
          <w:rFonts w:ascii="Times New Roman" w:hAnsi="Times New Roman" w:cs="Times New Roman"/>
          <w:color w:val="000000" w:themeColor="text1"/>
          <w:kern w:val="2"/>
          <w:sz w:val="16"/>
          <w:szCs w:val="16"/>
        </w:rPr>
        <w:softHyphen/>
        <w:t>ковыми и составляли в среднем около 30-35 % от числа применяемых само</w:t>
      </w:r>
      <w:r w:rsidRPr="002F2FDF">
        <w:rPr>
          <w:rFonts w:ascii="Times New Roman" w:hAnsi="Times New Roman" w:cs="Times New Roman"/>
          <w:color w:val="000000" w:themeColor="text1"/>
          <w:kern w:val="2"/>
          <w:sz w:val="16"/>
          <w:szCs w:val="16"/>
        </w:rPr>
        <w:softHyphen/>
        <w:t>летов. Последнее объясняется довольно просто. Отсутствие бронирования у истребителей и многоцелевых самоле</w:t>
      </w:r>
      <w:r w:rsidRPr="002F2FDF">
        <w:rPr>
          <w:rFonts w:ascii="Times New Roman" w:hAnsi="Times New Roman" w:cs="Times New Roman"/>
          <w:color w:val="000000" w:themeColor="text1"/>
          <w:kern w:val="2"/>
          <w:sz w:val="16"/>
          <w:szCs w:val="16"/>
        </w:rPr>
        <w:softHyphen/>
        <w:t>тов союзников в типовых условиях боев 1-й Мировой войны вполне компенси</w:t>
      </w:r>
      <w:r w:rsidRPr="002F2FDF">
        <w:rPr>
          <w:rFonts w:ascii="Times New Roman" w:hAnsi="Times New Roman" w:cs="Times New Roman"/>
          <w:color w:val="000000" w:themeColor="text1"/>
          <w:kern w:val="2"/>
          <w:sz w:val="16"/>
          <w:szCs w:val="16"/>
        </w:rPr>
        <w:softHyphen/>
        <w:t>ровалось высокими скоростью и манев</w:t>
      </w:r>
      <w:r w:rsidRPr="002F2FDF">
        <w:rPr>
          <w:rFonts w:ascii="Times New Roman" w:hAnsi="Times New Roman" w:cs="Times New Roman"/>
          <w:color w:val="000000" w:themeColor="text1"/>
          <w:kern w:val="2"/>
          <w:sz w:val="16"/>
          <w:szCs w:val="16"/>
        </w:rPr>
        <w:softHyphen/>
        <w:t>ренностью машин. Кроме того, к не</w:t>
      </w:r>
      <w:r w:rsidRPr="002F2FDF">
        <w:rPr>
          <w:rFonts w:ascii="Times New Roman" w:hAnsi="Times New Roman" w:cs="Times New Roman"/>
          <w:color w:val="000000" w:themeColor="text1"/>
          <w:kern w:val="2"/>
          <w:sz w:val="16"/>
          <w:szCs w:val="16"/>
        </w:rPr>
        <w:softHyphen/>
        <w:t>сомненным достоинствам союзных са</w:t>
      </w:r>
      <w:r w:rsidRPr="002F2FDF">
        <w:rPr>
          <w:rFonts w:ascii="Times New Roman" w:hAnsi="Times New Roman" w:cs="Times New Roman"/>
          <w:color w:val="000000" w:themeColor="text1"/>
          <w:kern w:val="2"/>
          <w:sz w:val="16"/>
          <w:szCs w:val="16"/>
        </w:rPr>
        <w:softHyphen/>
        <w:t>молетов-штурмовиков можно отнести наличие у большинства из них мото</w:t>
      </w:r>
      <w:r w:rsidRPr="002F2FDF">
        <w:rPr>
          <w:rFonts w:ascii="Times New Roman" w:hAnsi="Times New Roman" w:cs="Times New Roman"/>
          <w:color w:val="000000" w:themeColor="text1"/>
          <w:kern w:val="2"/>
          <w:sz w:val="16"/>
          <w:szCs w:val="16"/>
        </w:rPr>
        <w:softHyphen/>
        <w:t>ров воздушного охлаждения, значи</w:t>
      </w:r>
      <w:r w:rsidRPr="002F2FDF">
        <w:rPr>
          <w:rFonts w:ascii="Times New Roman" w:hAnsi="Times New Roman" w:cs="Times New Roman"/>
          <w:color w:val="000000" w:themeColor="text1"/>
          <w:kern w:val="2"/>
          <w:sz w:val="16"/>
          <w:szCs w:val="16"/>
        </w:rPr>
        <w:softHyphen/>
        <w:t>тельно лучше "державших" удары пуль нормального калибра и осколков зенит</w:t>
      </w:r>
      <w:r w:rsidRPr="002F2FDF">
        <w:rPr>
          <w:rFonts w:ascii="Times New Roman" w:hAnsi="Times New Roman" w:cs="Times New Roman"/>
          <w:color w:val="000000" w:themeColor="text1"/>
          <w:kern w:val="2"/>
          <w:sz w:val="16"/>
          <w:szCs w:val="16"/>
        </w:rPr>
        <w:softHyphen/>
        <w:t>ных снарядов, чем моторы жидкостно</w:t>
      </w:r>
      <w:r w:rsidRPr="002F2FDF">
        <w:rPr>
          <w:rFonts w:ascii="Times New Roman" w:hAnsi="Times New Roman" w:cs="Times New Roman"/>
          <w:color w:val="000000" w:themeColor="text1"/>
          <w:kern w:val="2"/>
          <w:sz w:val="16"/>
          <w:szCs w:val="16"/>
        </w:rPr>
        <w:softHyphen/>
        <w:t>го охлаждения, которыми оснащались штурмовики немецкого происхождения. В свою очередь, пулестойкостъ брони немецких штурмовиков, в сочетании с более низкими скоростными и манев</w:t>
      </w:r>
      <w:r w:rsidRPr="002F2FDF">
        <w:rPr>
          <w:rFonts w:ascii="Times New Roman" w:hAnsi="Times New Roman" w:cs="Times New Roman"/>
          <w:color w:val="000000" w:themeColor="text1"/>
          <w:kern w:val="2"/>
          <w:sz w:val="16"/>
          <w:szCs w:val="16"/>
        </w:rPr>
        <w:softHyphen/>
        <w:t>ренными качествами самолетов, также не обеспечивала требуемую живучесть в бою (5999).</w:t>
      </w:r>
    </w:p>
    <w:p w14:paraId="530AA13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Действительно, полигонные испыта</w:t>
      </w:r>
      <w:r w:rsidRPr="002F2FDF">
        <w:rPr>
          <w:rFonts w:ascii="Times New Roman" w:hAnsi="Times New Roman" w:cs="Times New Roman"/>
          <w:color w:val="000000" w:themeColor="text1"/>
          <w:kern w:val="2"/>
          <w:sz w:val="16"/>
          <w:szCs w:val="16"/>
        </w:rPr>
        <w:softHyphen/>
        <w:t>ния немецкой брони толщиной 5,1 мм, установленной на самолете-штурмови</w:t>
      </w:r>
      <w:r w:rsidRPr="002F2FDF">
        <w:rPr>
          <w:rFonts w:ascii="Times New Roman" w:hAnsi="Times New Roman" w:cs="Times New Roman"/>
          <w:color w:val="000000" w:themeColor="text1"/>
          <w:kern w:val="2"/>
          <w:sz w:val="16"/>
          <w:szCs w:val="16"/>
        </w:rPr>
        <w:softHyphen/>
        <w:t>ке A.E.G. J.I показали, что последняя пробивалась английской бронебойной пулей типа MR.VII.Р с дистанции до 600 м в случае нормального попадания и до 200 м в случае попадания под углом 30° к нормали. Обычная английская пуля пробивала такую броню с дистан</w:t>
      </w:r>
      <w:r w:rsidRPr="002F2FDF">
        <w:rPr>
          <w:rFonts w:ascii="Times New Roman" w:hAnsi="Times New Roman" w:cs="Times New Roman"/>
          <w:color w:val="000000" w:themeColor="text1"/>
          <w:kern w:val="2"/>
          <w:sz w:val="16"/>
          <w:szCs w:val="16"/>
        </w:rPr>
        <w:softHyphen/>
        <w:t>ции до 45 м под углом до 30° к нормали (5999).</w:t>
      </w:r>
    </w:p>
    <w:p w14:paraId="59D7604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тоже время, согласно результатов полигонных испытаний, проведенных в США уже после окончания войны, дей</w:t>
      </w:r>
      <w:r w:rsidRPr="002F2FDF">
        <w:rPr>
          <w:rFonts w:ascii="Times New Roman" w:hAnsi="Times New Roman" w:cs="Times New Roman"/>
          <w:color w:val="000000" w:themeColor="text1"/>
          <w:kern w:val="2"/>
          <w:sz w:val="16"/>
          <w:szCs w:val="16"/>
        </w:rPr>
        <w:softHyphen/>
        <w:t>ствительная стрельба обученных сол</w:t>
      </w:r>
      <w:r w:rsidRPr="002F2FDF">
        <w:rPr>
          <w:rFonts w:ascii="Times New Roman" w:hAnsi="Times New Roman" w:cs="Times New Roman"/>
          <w:color w:val="000000" w:themeColor="text1"/>
          <w:kern w:val="2"/>
          <w:sz w:val="16"/>
          <w:szCs w:val="16"/>
        </w:rPr>
        <w:softHyphen/>
        <w:t>дат по буксируемому рукаву с площа</w:t>
      </w:r>
      <w:r w:rsidRPr="002F2FDF">
        <w:rPr>
          <w:rFonts w:ascii="Times New Roman" w:hAnsi="Times New Roman" w:cs="Times New Roman"/>
          <w:color w:val="000000" w:themeColor="text1"/>
          <w:kern w:val="2"/>
          <w:sz w:val="16"/>
          <w:szCs w:val="16"/>
        </w:rPr>
        <w:softHyphen/>
        <w:t>дью равной половине площади боко</w:t>
      </w:r>
      <w:r w:rsidRPr="002F2FDF">
        <w:rPr>
          <w:rFonts w:ascii="Times New Roman" w:hAnsi="Times New Roman" w:cs="Times New Roman"/>
          <w:color w:val="000000" w:themeColor="text1"/>
          <w:kern w:val="2"/>
          <w:sz w:val="16"/>
          <w:szCs w:val="16"/>
        </w:rPr>
        <w:softHyphen/>
        <w:t>вой проекции фюзеляжа самолета типа DH.4 в типовых условиях атак назем</w:t>
      </w:r>
      <w:r w:rsidRPr="002F2FDF">
        <w:rPr>
          <w:rFonts w:ascii="Times New Roman" w:hAnsi="Times New Roman" w:cs="Times New Roman"/>
          <w:color w:val="000000" w:themeColor="text1"/>
          <w:kern w:val="2"/>
          <w:sz w:val="16"/>
          <w:szCs w:val="16"/>
        </w:rPr>
        <w:softHyphen/>
        <w:t>ных целей на поле боя (высота полета 25-100 м) в среднем давала 9% попа</w:t>
      </w:r>
      <w:r w:rsidRPr="002F2FDF">
        <w:rPr>
          <w:rFonts w:ascii="Times New Roman" w:hAnsi="Times New Roman" w:cs="Times New Roman"/>
          <w:color w:val="000000" w:themeColor="text1"/>
          <w:kern w:val="2"/>
          <w:sz w:val="16"/>
          <w:szCs w:val="16"/>
        </w:rPr>
        <w:softHyphen/>
        <w:t>даний из винтовки и 5% - из пулеме</w:t>
      </w:r>
      <w:r w:rsidRPr="002F2FDF">
        <w:rPr>
          <w:rFonts w:ascii="Times New Roman" w:hAnsi="Times New Roman" w:cs="Times New Roman"/>
          <w:color w:val="000000" w:themeColor="text1"/>
          <w:kern w:val="2"/>
          <w:sz w:val="16"/>
          <w:szCs w:val="16"/>
        </w:rPr>
        <w:softHyphen/>
        <w:t>та. Пересчет применительно к штур</w:t>
      </w:r>
      <w:r w:rsidRPr="002F2FDF">
        <w:rPr>
          <w:rFonts w:ascii="Times New Roman" w:hAnsi="Times New Roman" w:cs="Times New Roman"/>
          <w:color w:val="000000" w:themeColor="text1"/>
          <w:kern w:val="2"/>
          <w:sz w:val="16"/>
          <w:szCs w:val="16"/>
        </w:rPr>
        <w:softHyphen/>
        <w:t>мовику A.E.G. J.I с учетом разницы в скорости и наличия у "немца" брони</w:t>
      </w:r>
      <w:r w:rsidRPr="002F2FDF">
        <w:rPr>
          <w:rFonts w:ascii="Times New Roman" w:hAnsi="Times New Roman" w:cs="Times New Roman"/>
          <w:color w:val="000000" w:themeColor="text1"/>
          <w:kern w:val="2"/>
          <w:sz w:val="16"/>
          <w:szCs w:val="16"/>
        </w:rPr>
        <w:softHyphen/>
        <w:t>рования показывает, что вероятность попадания бронебойной пули с проби</w:t>
      </w:r>
      <w:r w:rsidRPr="002F2FDF">
        <w:rPr>
          <w:rFonts w:ascii="Times New Roman" w:hAnsi="Times New Roman" w:cs="Times New Roman"/>
          <w:color w:val="000000" w:themeColor="text1"/>
          <w:kern w:val="2"/>
          <w:sz w:val="16"/>
          <w:szCs w:val="16"/>
        </w:rPr>
        <w:softHyphen/>
        <w:t>тием брони составляет примерно 7% при обстреле из винтовки и 4% - при обстреле из пулемета. То есть, в типовых условиях боев система бронирования немецких штур</w:t>
      </w:r>
      <w:r w:rsidRPr="002F2FDF">
        <w:rPr>
          <w:rFonts w:ascii="Times New Roman" w:hAnsi="Times New Roman" w:cs="Times New Roman"/>
          <w:color w:val="000000" w:themeColor="text1"/>
          <w:kern w:val="2"/>
          <w:sz w:val="16"/>
          <w:szCs w:val="16"/>
        </w:rPr>
        <w:softHyphen/>
        <w:t>мовиков при обстреле бронебойными пулями не обеспечивала им явных пре</w:t>
      </w:r>
      <w:r w:rsidRPr="002F2FDF">
        <w:rPr>
          <w:rFonts w:ascii="Times New Roman" w:hAnsi="Times New Roman" w:cs="Times New Roman"/>
          <w:color w:val="000000" w:themeColor="text1"/>
          <w:kern w:val="2"/>
          <w:sz w:val="16"/>
          <w:szCs w:val="16"/>
        </w:rPr>
        <w:softHyphen/>
        <w:t>имуществ перед небронированными истребителями и легкими бомбардиров</w:t>
      </w:r>
      <w:r w:rsidRPr="002F2FDF">
        <w:rPr>
          <w:rFonts w:ascii="Times New Roman" w:hAnsi="Times New Roman" w:cs="Times New Roman"/>
          <w:color w:val="000000" w:themeColor="text1"/>
          <w:kern w:val="2"/>
          <w:sz w:val="16"/>
          <w:szCs w:val="16"/>
        </w:rPr>
        <w:softHyphen/>
        <w:t>щиками англичан и французов. Броня защищала лишь от поражения нормаль</w:t>
      </w:r>
      <w:r w:rsidRPr="002F2FDF">
        <w:rPr>
          <w:rFonts w:ascii="Times New Roman" w:hAnsi="Times New Roman" w:cs="Times New Roman"/>
          <w:color w:val="000000" w:themeColor="text1"/>
          <w:kern w:val="2"/>
          <w:sz w:val="16"/>
          <w:szCs w:val="16"/>
        </w:rPr>
        <w:softHyphen/>
        <w:t>ными пулями (5999).</w:t>
      </w:r>
    </w:p>
    <w:p w14:paraId="3696089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1-я Мировая война определила основные пути развития самолетов поля боя и оформилась цен</w:t>
      </w:r>
      <w:r w:rsidRPr="002F2FDF">
        <w:rPr>
          <w:rFonts w:ascii="Times New Roman" w:hAnsi="Times New Roman" w:cs="Times New Roman"/>
          <w:color w:val="000000" w:themeColor="text1"/>
          <w:kern w:val="2"/>
          <w:sz w:val="16"/>
          <w:szCs w:val="16"/>
        </w:rPr>
        <w:softHyphen/>
        <w:t>тральная концепция авиационной сис</w:t>
      </w:r>
      <w:r w:rsidRPr="002F2FDF">
        <w:rPr>
          <w:rFonts w:ascii="Times New Roman" w:hAnsi="Times New Roman" w:cs="Times New Roman"/>
          <w:color w:val="000000" w:themeColor="text1"/>
          <w:kern w:val="2"/>
          <w:sz w:val="16"/>
          <w:szCs w:val="16"/>
        </w:rPr>
        <w:softHyphen/>
        <w:t>темы вооружения для решения всего круга задач непосредственной авиаци</w:t>
      </w:r>
      <w:r w:rsidRPr="002F2FDF">
        <w:rPr>
          <w:rFonts w:ascii="Times New Roman" w:hAnsi="Times New Roman" w:cs="Times New Roman"/>
          <w:color w:val="000000" w:themeColor="text1"/>
          <w:kern w:val="2"/>
          <w:sz w:val="16"/>
          <w:szCs w:val="16"/>
        </w:rPr>
        <w:softHyphen/>
        <w:t>онной поддержки войск в наступлении (контрнаступлении) и в обороне, а именно: в составе воздушных сил не</w:t>
      </w:r>
      <w:r w:rsidRPr="002F2FDF">
        <w:rPr>
          <w:rFonts w:ascii="Times New Roman" w:hAnsi="Times New Roman" w:cs="Times New Roman"/>
          <w:color w:val="000000" w:themeColor="text1"/>
          <w:kern w:val="2"/>
          <w:sz w:val="16"/>
          <w:szCs w:val="16"/>
        </w:rPr>
        <w:softHyphen/>
        <w:t>обходимо иметь два типа штурмовых самолетов - легкого маневренного и тяжелого бронированного, взаимно до</w:t>
      </w:r>
      <w:r w:rsidRPr="002F2FDF">
        <w:rPr>
          <w:rFonts w:ascii="Times New Roman" w:hAnsi="Times New Roman" w:cs="Times New Roman"/>
          <w:color w:val="000000" w:themeColor="text1"/>
          <w:kern w:val="2"/>
          <w:sz w:val="16"/>
          <w:szCs w:val="16"/>
        </w:rPr>
        <w:softHyphen/>
        <w:t>полняющих друг друга при решении боевых задач (5999).</w:t>
      </w:r>
    </w:p>
    <w:p w14:paraId="34D57A6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C5958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 Юнкере вернулся к концепции J3, низкоплану из лёг</w:t>
      </w:r>
      <w:r w:rsidRPr="002F2FDF">
        <w:rPr>
          <w:rFonts w:ascii="Times New Roman" w:hAnsi="Times New Roman" w:cs="Times New Roman"/>
          <w:color w:val="000000" w:themeColor="text1"/>
          <w:kern w:val="2"/>
          <w:sz w:val="16"/>
          <w:szCs w:val="16"/>
        </w:rPr>
        <w:softHyphen/>
        <w:t>кого дюралюминия с крылом относительно большого удлинения. Незаконченный J3 превратился в J7, и после масштабных испытаний и последующих доработок стал наи</w:t>
      </w:r>
      <w:r w:rsidRPr="002F2FDF">
        <w:rPr>
          <w:rFonts w:ascii="Times New Roman" w:hAnsi="Times New Roman" w:cs="Times New Roman"/>
          <w:color w:val="000000" w:themeColor="text1"/>
          <w:kern w:val="2"/>
          <w:sz w:val="16"/>
          <w:szCs w:val="16"/>
        </w:rPr>
        <w:softHyphen/>
        <w:t>более пригодной в те годы для фронта машиной Юнкерса, достаточно широко изве</w:t>
      </w:r>
      <w:r w:rsidRPr="002F2FDF">
        <w:rPr>
          <w:rFonts w:ascii="Times New Roman" w:hAnsi="Times New Roman" w:cs="Times New Roman"/>
          <w:color w:val="000000" w:themeColor="text1"/>
          <w:kern w:val="2"/>
          <w:sz w:val="16"/>
          <w:szCs w:val="16"/>
        </w:rPr>
        <w:softHyphen/>
        <w:t>стной под обозначением J.1.</w:t>
      </w:r>
    </w:p>
    <w:p w14:paraId="43078E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 Юнкере на свой страх и риск начал работу над проектом J7 еще до получения кон</w:t>
      </w:r>
      <w:r w:rsidRPr="002F2FDF">
        <w:rPr>
          <w:rFonts w:ascii="Times New Roman" w:hAnsi="Times New Roman" w:cs="Times New Roman"/>
          <w:color w:val="000000" w:themeColor="text1"/>
          <w:kern w:val="2"/>
          <w:sz w:val="16"/>
          <w:szCs w:val="16"/>
        </w:rPr>
        <w:softHyphen/>
        <w:t>тракта, ставя своей целью закончить легкий маневренный самолет из лёгкого металлам переубедить всех скептиков, несмотря на отсутствие подходящего двигателя. Основная мысль, пронизы</w:t>
      </w:r>
      <w:r w:rsidRPr="002F2FDF">
        <w:rPr>
          <w:rFonts w:ascii="Times New Roman" w:hAnsi="Times New Roman" w:cs="Times New Roman"/>
          <w:color w:val="000000" w:themeColor="text1"/>
          <w:kern w:val="2"/>
          <w:sz w:val="16"/>
          <w:szCs w:val="16"/>
        </w:rPr>
        <w:softHyphen/>
        <w:t>вавшая  все лучшие умы его фир</w:t>
      </w:r>
      <w:r w:rsidRPr="002F2FDF">
        <w:rPr>
          <w:rFonts w:ascii="Times New Roman" w:hAnsi="Times New Roman" w:cs="Times New Roman"/>
          <w:color w:val="000000" w:themeColor="text1"/>
          <w:kern w:val="2"/>
          <w:sz w:val="16"/>
          <w:szCs w:val="16"/>
        </w:rPr>
        <w:softHyphen/>
        <w:t>мы в то время - “Конструкция должна  быть легче, легче и еще раз легче!”   На  этот раз он полностьюисчерпал все потенциальные конструктивные и технологические возможности дюралюминиевого самолёта. В результате появилась машина с каркасом крыльев и фюзеляжа из дюралюминиевых труб, обшитых тонкими листами из того же металла. Консоли крыльев подстыковывались к центральной секции, проходившей сквозь фюзеляж.</w:t>
      </w:r>
    </w:p>
    <w:p w14:paraId="13F1BE2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Первый полёт J7 состоялся в сентябре 1917 г., затем создали ещё несколько модифи</w:t>
      </w:r>
      <w:r w:rsidRPr="002F2FDF">
        <w:rPr>
          <w:rFonts w:ascii="Times New Roman" w:hAnsi="Times New Roman" w:cs="Times New Roman"/>
          <w:color w:val="000000" w:themeColor="text1"/>
          <w:kern w:val="2"/>
          <w:sz w:val="16"/>
          <w:szCs w:val="16"/>
        </w:rPr>
        <w:softHyphen/>
        <w:t>каций. На испытаниях J7 достиг вертикальной скорости 7,2 м/с, набирал высоту 5000 м за 23,7 минуты. Эти данные были лучше, чем у участвовавших в “Конкурсе одноместных истребителей” аэропланов “Фоккер”, “Румплер”, “Альбатрос”, LVG “Rоland” с аналогич</w:t>
      </w:r>
      <w:r w:rsidRPr="002F2FDF">
        <w:rPr>
          <w:rFonts w:ascii="Times New Roman" w:hAnsi="Times New Roman" w:cs="Times New Roman"/>
          <w:color w:val="000000" w:themeColor="text1"/>
          <w:kern w:val="2"/>
          <w:sz w:val="16"/>
          <w:szCs w:val="16"/>
        </w:rPr>
        <w:softHyphen/>
        <w:t>ным двигателем Мерседес, но несколько хуже, чем у самолёта фирмы “Pfalz und Siemense” с собственным лёгким ротативным двигателем (11696).</w:t>
      </w:r>
    </w:p>
    <w:p w14:paraId="3C18C43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2C81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бои во Фландрии расширили возможность применения самолетов в направлении, имевшем большое значение для дальнейшей эволюции этого боевого средства. Показания пленных подтвердили, что пулеметный огонь по наземным целям с низко летящих самолетов производит очень сильное угнетающее и запугивающее действие. Эти налеты, которые до тех пор производились только от случая к случаю отдельными самолетами, отныне стали проводиться планомерно. В ходе наступления на побережье 10 июля впервые эскадрилья 1-й боевой эскадры сопровождала в групповом полете и на небольшой высоте нашу наступающую пехоту. Здесь летчики получили возможность вести бой в тесном взаимодействии с наземными войсками, оказывая им поддержку всей мощью собственного оружия (11282).</w:t>
      </w:r>
    </w:p>
    <w:p w14:paraId="4F69EC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D6654D" w14:textId="77777777" w:rsidR="00DD3C22" w:rsidRPr="002F2FDF" w:rsidRDefault="00DD3C2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Летом 1917 г. началось проектирование англоамериканский тяжелый танк Mk VIII и до конца 1918 г. предполагалось построить 1 500 танков Mk VIII, получивших название International («Международный») или Liberty — по марке двигателя (должен был поставляться из США). Однако до заключения перемирия в Британии </w:t>
      </w:r>
      <w:r w:rsidRPr="002F2FDF">
        <w:rPr>
          <w:rFonts w:ascii="Times New Roman" w:hAnsi="Times New Roman" w:cs="Times New Roman"/>
          <w:color w:val="000000" w:themeColor="text1"/>
          <w:sz w:val="16"/>
          <w:szCs w:val="16"/>
        </w:rPr>
        <w:lastRenderedPageBreak/>
        <w:t>успели собрать всего пять машин. В боях Mk VIII поучаствовать не успел, уже после окончания войны 100 танков этого типа достроили в США. Их собирали в арсенале Рок-Айлэнд (с июля 1919 г. по июнь 1920 г.), используя комплекты узлов и деталей, доставленные из Англии. Mk VIII отличался целым рядом серьезных усовершенствований, став логическим завершением развития английских тяжелых ромбовидных танков. Он являлся наиболее сильным в плане вооружения и наиболее рациональным в плане размещения оружия. В каждом спонсоне устанавливалась одна 57-мм пушка «Гочкис», которой был обеспечен сектор обстрела в 100°. Все пять пулеметов располагались в боевой башне на крыше корпуса — два пулемета в шаровых установках в лобовых стенках башни и по одному — в бортовых и кормовых стенках. Угол горизонтального обстрела каждого пулемета составлял 30°. При необходимости часть пулеметов из башни можно было снять и установить в шаровых установках на боковых дверях (сектор обстрела 45°). Над боевой башней располагалась небольшая смотровая башенка со щелями для наблюдения. Для самообороны в бортах имелись лючки с поворотными заслонками для стрельбы из личного оружия экипажа.</w:t>
      </w:r>
    </w:p>
    <w:p w14:paraId="16F8F6EB" w14:textId="77777777" w:rsidR="00DD3C22" w:rsidRPr="002F2FDF" w:rsidRDefault="00DD3C2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Корпус Mk VIII имел клепаную конструкцию с толщиной бронирования в передней части до 16 мм и 10 мм — в бортах. В передней части корпуса располагалось отделение управления, переходящее в боевое (боевая башня и пушечные спонсоны). Двигатель был наконец перенесен в корму и отделен от обитаемого отделения перегородкой, что благоприятно сказалось на условиях работы экипажа. Кроме того, боевое отделение получило систему создания повышенного давления, которая способствовала уменьшению задымления и понижению температуры. В состав экипажа входило восемь человек — водитель, командир, два орудийных наводчика, три пулеметчика и инженер-механик. Последний размещался в силовом отделении, за перегородкой. Доступ в танк осуществлялся через бортовые двери и люк в боевой башне. На танке устанавливался авиационный 12-цилиндровый V-образный мотор Liberty жидкостного охлаждения, который развивал мощность в 343 л. с. при 1 400 об/мин. Правда, с системой охлаждения для такого мощного двигателя конструкторы промахнулись — она работала неудовлетворительно, и из-за перегрева двигателя танк не мог долго двигаться с большими скоростями. От мотора крутящий момент передавался на два поперечных вала через коробку скоростей конструкции У. Дж. Вильсона. Передача вращения с поперечных валов на ведущие колеса осуществлялась при помощи цепей Галля через бортовые передаточные колеса. Последний ромбовидный танк Mk VIII Liberty благополучно прослужил в армии США до 1932 г, но его пушки так никогда и не стреляли на поле боя (22790).</w:t>
      </w:r>
    </w:p>
    <w:p w14:paraId="682554D5" w14:textId="77777777" w:rsidR="00DD3C22" w:rsidRPr="002F2FDF" w:rsidRDefault="00DD3C22" w:rsidP="0083075A">
      <w:pPr>
        <w:spacing w:after="0" w:line="240" w:lineRule="auto"/>
        <w:jc w:val="both"/>
        <w:rPr>
          <w:rFonts w:ascii="Times New Roman" w:hAnsi="Times New Roman" w:cs="Times New Roman"/>
          <w:color w:val="000000" w:themeColor="text1"/>
          <w:sz w:val="16"/>
          <w:szCs w:val="16"/>
        </w:rPr>
      </w:pPr>
    </w:p>
    <w:p w14:paraId="2DA774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года, в Германии в целях создания более стройной организации и повышения эффективности, прожекторы сводились по 2 во взводы; осенью там, где обстоятельства этого требовали, проводилось сведение прожекторов в батареи из 4-х единиц. Наблюдение ночью приобретало все большее значение; оно неустанно совершенствовалось в результате тщательного обучения, возраставшей практики в наблюдении ночью и внедрения улучшенных биноклей. Фронт получил бинокли на штативах с градусным делением по вертикали и горизонтали; наблюдатели сообщали направление полета замеченного самолета прожекторной прислуге по предварительному установлению общего основного (северного) направления. Увеличение количества неприятельских налетов с бомбардировкой и пулеметным обстрелом с малых высот пехотных укрытий, артиллерийских позиций, аэростатов, колонн на марше, убежищ и т.д. вынудило шире применять пулеметы, которыми пришлось снабдить каждую батарею, каждое место подъема аэростатов, каж170 дый аэродром и поезд. Для этого оказался пригодным пулемет “08”; с помощью лафета его можно легко устанавливать на пнях и армейских повозках, его обслуживание не составляло труда. Для охраны тыловых сооружений главное командование предписало сформировать 25 противовоздушных пулеметных отрядов по 3 роты с 12-ю пулеметами в каждой. Вначале самостоятельные, они впоследствии были; подчинены зенитным батареям, однако, к сожалению, не для подготовки их к стрельбе по воздушным целям (11282).</w:t>
      </w:r>
    </w:p>
    <w:p w14:paraId="0C3477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D8609B"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к сербской армии присое</w:t>
      </w:r>
      <w:r w:rsidRPr="002F2FDF">
        <w:rPr>
          <w:rFonts w:ascii="Times New Roman" w:hAnsi="Times New Roman" w:cs="Times New Roman"/>
          <w:color w:val="000000" w:themeColor="text1"/>
          <w:kern w:val="2"/>
          <w:sz w:val="16"/>
          <w:szCs w:val="16"/>
        </w:rPr>
        <w:softHyphen/>
        <w:t>динилось большое количество рус</w:t>
      </w:r>
      <w:r w:rsidRPr="002F2FDF">
        <w:rPr>
          <w:rFonts w:ascii="Times New Roman" w:hAnsi="Times New Roman" w:cs="Times New Roman"/>
          <w:color w:val="000000" w:themeColor="text1"/>
          <w:kern w:val="2"/>
          <w:sz w:val="16"/>
          <w:szCs w:val="16"/>
        </w:rPr>
        <w:softHyphen/>
        <w:t>ских (точнее граждан России), ра</w:t>
      </w:r>
      <w:r w:rsidRPr="002F2FDF">
        <w:rPr>
          <w:rFonts w:ascii="Times New Roman" w:hAnsi="Times New Roman" w:cs="Times New Roman"/>
          <w:color w:val="000000" w:themeColor="text1"/>
          <w:kern w:val="2"/>
          <w:sz w:val="16"/>
          <w:szCs w:val="16"/>
        </w:rPr>
        <w:softHyphen/>
        <w:t>зочарованных ситуацией на соб</w:t>
      </w:r>
      <w:r w:rsidRPr="002F2FDF">
        <w:rPr>
          <w:rFonts w:ascii="Times New Roman" w:hAnsi="Times New Roman" w:cs="Times New Roman"/>
          <w:color w:val="000000" w:themeColor="text1"/>
          <w:kern w:val="2"/>
          <w:sz w:val="16"/>
          <w:szCs w:val="16"/>
        </w:rPr>
        <w:softHyphen/>
        <w:t>ственной Родине. Русских привели к присяге королю Сербии, но эта присяга не противоречила данной ранее присяге служить «за Веру, царя и Отечество». Русским было разрешено продолжать носить во</w:t>
      </w:r>
      <w:r w:rsidRPr="002F2FDF">
        <w:rPr>
          <w:rFonts w:ascii="Times New Roman" w:hAnsi="Times New Roman" w:cs="Times New Roman"/>
          <w:color w:val="000000" w:themeColor="text1"/>
          <w:kern w:val="2"/>
          <w:sz w:val="16"/>
          <w:szCs w:val="16"/>
        </w:rPr>
        <w:softHyphen/>
        <w:t>енную форму Российской империи. Так, в боях особо отличились По</w:t>
      </w:r>
      <w:r w:rsidRPr="002F2FDF">
        <w:rPr>
          <w:rFonts w:ascii="Times New Roman" w:hAnsi="Times New Roman" w:cs="Times New Roman"/>
          <w:color w:val="000000" w:themeColor="text1"/>
          <w:kern w:val="2"/>
          <w:sz w:val="16"/>
          <w:szCs w:val="16"/>
        </w:rPr>
        <w:softHyphen/>
        <w:t>вел Янковский и Константин Руси- ян, ранее служившие во 2-й пехот</w:t>
      </w:r>
      <w:r w:rsidRPr="002F2FDF">
        <w:rPr>
          <w:rFonts w:ascii="Times New Roman" w:hAnsi="Times New Roman" w:cs="Times New Roman"/>
          <w:color w:val="000000" w:themeColor="text1"/>
          <w:kern w:val="2"/>
          <w:sz w:val="16"/>
          <w:szCs w:val="16"/>
        </w:rPr>
        <w:softHyphen/>
        <w:t>ной дивизии царской армии, а с 5 августа 1917 г. продолжившие служ</w:t>
      </w:r>
      <w:r w:rsidRPr="002F2FDF">
        <w:rPr>
          <w:rFonts w:ascii="Times New Roman" w:hAnsi="Times New Roman" w:cs="Times New Roman"/>
          <w:color w:val="000000" w:themeColor="text1"/>
          <w:kern w:val="2"/>
          <w:sz w:val="16"/>
          <w:szCs w:val="16"/>
        </w:rPr>
        <w:softHyphen/>
        <w:t>бу в сербских эскадрильях. В нача</w:t>
      </w:r>
      <w:r w:rsidRPr="002F2FDF">
        <w:rPr>
          <w:rFonts w:ascii="Times New Roman" w:hAnsi="Times New Roman" w:cs="Times New Roman"/>
          <w:color w:val="000000" w:themeColor="text1"/>
          <w:kern w:val="2"/>
          <w:sz w:val="16"/>
          <w:szCs w:val="16"/>
        </w:rPr>
        <w:softHyphen/>
        <w:t>ле 1918 г. после завершения обу</w:t>
      </w:r>
      <w:r w:rsidRPr="002F2FDF">
        <w:rPr>
          <w:rFonts w:ascii="Times New Roman" w:hAnsi="Times New Roman" w:cs="Times New Roman"/>
          <w:color w:val="000000" w:themeColor="text1"/>
          <w:kern w:val="2"/>
          <w:sz w:val="16"/>
          <w:szCs w:val="16"/>
        </w:rPr>
        <w:softHyphen/>
        <w:t>чения из Франции в Сербию прибыло еще 12 русских летчиков и кадетов. В учеб</w:t>
      </w:r>
      <w:r w:rsidRPr="002F2FDF">
        <w:rPr>
          <w:rFonts w:ascii="Times New Roman" w:hAnsi="Times New Roman" w:cs="Times New Roman"/>
          <w:color w:val="000000" w:themeColor="text1"/>
          <w:kern w:val="2"/>
          <w:sz w:val="16"/>
          <w:szCs w:val="16"/>
        </w:rPr>
        <w:softHyphen/>
        <w:t>ном полете на самолете «ОогапсЬ АР.1 из 1-й серьской эскадрильи 26 июля 1918 г. разбился (вместе с сербским летчиком) уроженец Грузиии Исидор Дмитриевич Какиашвили. Одним из самых успешных боевых вылетов русских летчиков стал полет 26 сентября 1918 г. эки</w:t>
      </w:r>
      <w:r w:rsidRPr="002F2FDF">
        <w:rPr>
          <w:rFonts w:ascii="Times New Roman" w:hAnsi="Times New Roman" w:cs="Times New Roman"/>
          <w:color w:val="000000" w:themeColor="text1"/>
          <w:kern w:val="2"/>
          <w:sz w:val="16"/>
          <w:szCs w:val="16"/>
        </w:rPr>
        <w:softHyphen/>
        <w:t>пажа в составе Иосифа Антонови</w:t>
      </w:r>
      <w:r w:rsidRPr="002F2FDF">
        <w:rPr>
          <w:rFonts w:ascii="Times New Roman" w:hAnsi="Times New Roman" w:cs="Times New Roman"/>
          <w:color w:val="000000" w:themeColor="text1"/>
          <w:kern w:val="2"/>
          <w:sz w:val="16"/>
          <w:szCs w:val="16"/>
        </w:rPr>
        <w:softHyphen/>
        <w:t>ча и Михаила Кудинова, атаковав</w:t>
      </w:r>
      <w:r w:rsidRPr="002F2FDF">
        <w:rPr>
          <w:rFonts w:ascii="Times New Roman" w:hAnsi="Times New Roman" w:cs="Times New Roman"/>
          <w:color w:val="000000" w:themeColor="text1"/>
          <w:kern w:val="2"/>
          <w:sz w:val="16"/>
          <w:szCs w:val="16"/>
        </w:rPr>
        <w:softHyphen/>
        <w:t>шего колонну болгарской пехоты на дороге Велес - Свети Никола. Кудинов получил ранение, но зада</w:t>
      </w:r>
      <w:r w:rsidRPr="002F2FDF">
        <w:rPr>
          <w:rFonts w:ascii="Times New Roman" w:hAnsi="Times New Roman" w:cs="Times New Roman"/>
          <w:color w:val="000000" w:themeColor="text1"/>
          <w:kern w:val="2"/>
          <w:sz w:val="16"/>
          <w:szCs w:val="16"/>
        </w:rPr>
        <w:softHyphen/>
        <w:t xml:space="preserve">ние было выполнено полностью. 13 октября на 5РАЭ </w:t>
      </w:r>
      <w:r w:rsidRPr="002F2FDF">
        <w:rPr>
          <w:rFonts w:ascii="Times New Roman" w:hAnsi="Times New Roman" w:cs="Times New Roman"/>
          <w:color w:val="000000" w:themeColor="text1"/>
          <w:kern w:val="2"/>
          <w:sz w:val="16"/>
          <w:szCs w:val="16"/>
          <w:lang w:val="en-US"/>
        </w:rPr>
        <w:t>VII</w:t>
      </w:r>
      <w:r w:rsidRPr="002F2FDF">
        <w:rPr>
          <w:rFonts w:ascii="Times New Roman" w:hAnsi="Times New Roman" w:cs="Times New Roman"/>
          <w:color w:val="000000" w:themeColor="text1"/>
          <w:kern w:val="2"/>
          <w:sz w:val="16"/>
          <w:szCs w:val="16"/>
        </w:rPr>
        <w:t xml:space="preserve"> погиб Богда</w:t>
      </w:r>
      <w:r w:rsidRPr="002F2FDF">
        <w:rPr>
          <w:rFonts w:ascii="Times New Roman" w:hAnsi="Times New Roman" w:cs="Times New Roman"/>
          <w:color w:val="000000" w:themeColor="text1"/>
          <w:kern w:val="2"/>
          <w:sz w:val="16"/>
          <w:szCs w:val="16"/>
        </w:rPr>
        <w:softHyphen/>
        <w:t>нович. Зная об угрозе гибели на роди</w:t>
      </w:r>
      <w:r w:rsidRPr="002F2FDF">
        <w:rPr>
          <w:rFonts w:ascii="Times New Roman" w:hAnsi="Times New Roman" w:cs="Times New Roman"/>
          <w:color w:val="000000" w:themeColor="text1"/>
          <w:kern w:val="2"/>
          <w:sz w:val="16"/>
          <w:szCs w:val="16"/>
        </w:rPr>
        <w:softHyphen/>
        <w:t>не, король Сербии предложил рус</w:t>
      </w:r>
      <w:r w:rsidRPr="002F2FDF">
        <w:rPr>
          <w:rFonts w:ascii="Times New Roman" w:hAnsi="Times New Roman" w:cs="Times New Roman"/>
          <w:color w:val="000000" w:themeColor="text1"/>
          <w:kern w:val="2"/>
          <w:sz w:val="16"/>
          <w:szCs w:val="16"/>
        </w:rPr>
        <w:softHyphen/>
        <w:t>ским остаться в сербской армии, но многие предпочли вернуться в Россию, к Деникину. Позже в Сер</w:t>
      </w:r>
      <w:r w:rsidRPr="002F2FDF">
        <w:rPr>
          <w:rFonts w:ascii="Times New Roman" w:hAnsi="Times New Roman" w:cs="Times New Roman"/>
          <w:color w:val="000000" w:themeColor="text1"/>
          <w:kern w:val="2"/>
          <w:sz w:val="16"/>
          <w:szCs w:val="16"/>
        </w:rPr>
        <w:softHyphen/>
        <w:t>бию вернулись Сергей Урвачев и Михаил Кудинов (12104).</w:t>
      </w:r>
    </w:p>
    <w:p w14:paraId="2EFEF9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BAFE0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EB07E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FA8F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года еще Временное правительство начало борьбу с мешочничеством путем установления заградительных кордонов и принятия других мер. В еще более жестокой форме, доходившей до арестов и расстрелов, ее продолжило советское правительство. Аналогично Временному правительству действовала новая власть и в сфере товарообмена с деревней, стремясь при этом к изъятию денежных накоплений у ее имущих слоев. Был установлен порядок, по которому обменивать сельскохозяйственные продукты на промышленные товары могли лишь деревенские бедняки, остальные крестьяне, имевшие излишки, обязаны были продавать их государству по твердым ценам за денежные знаки. Декрет СНК “Об организации товарообмена для усиления хлебных заготовок” поручал Наркомпроду разработку мер, “способствующих извлечению возможно большего количества денежных знаков от деревенской буржуазии” (СУ. 1918. № 30. Ст. 398.). Такой товарообмен не мог разрешить продовольственный кризис и имел скорее политический, чем экономический характер (11172).</w:t>
      </w:r>
    </w:p>
    <w:p w14:paraId="1E5255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ACF85A" w14:textId="72DB8E4F" w:rsidR="00392894" w:rsidRPr="002F2FDF" w:rsidRDefault="0039289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 xml:space="preserve">Летом </w:t>
      </w:r>
      <w:bookmarkStart w:id="190" w:name="YANDEX_4"/>
      <w:bookmarkEnd w:id="190"/>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1917</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года по решению Временного правительства проводится Всероссийская сельскохозяйственная и поземельная перепись. Одновременно проводилась и перепись населения в городах и поселениях городского типа. В подворной карточке имелись следующие разделы: фамилия, имя домохозяина, его возраст, семейное состояние, землевладение, сельскохозяйственный инвентарь, скот, торгово-промышленные заведения, количество найма сельскохозяйственных рабочих — всего 187 пунктов (17028).</w:t>
      </w:r>
    </w:p>
    <w:p w14:paraId="21C08B3C" w14:textId="77777777" w:rsidR="00392894" w:rsidRPr="002F2FDF" w:rsidRDefault="0039289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DBA168" w14:textId="77777777" w:rsidR="00484235" w:rsidRPr="002F2FDF" w:rsidRDefault="0048423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ACC0425" w14:textId="77777777" w:rsidR="00484235" w:rsidRPr="002F2FDF" w:rsidRDefault="0048423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C7F8E6" w14:textId="77777777" w:rsidR="00484235" w:rsidRPr="002F2FDF" w:rsidRDefault="0048423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Летом - осенью 1917 г. РБВЗ все еще работал, но если в 1916 г. он построил 39 «Муромцев», 15 С-16, два С-17 и пять С-20, то в этом году дал всего пять «Муромцев» и один С-22, а к зиме встал (22826).</w:t>
      </w:r>
    </w:p>
    <w:p w14:paraId="35A47A54" w14:textId="77777777" w:rsidR="00484235" w:rsidRPr="002F2FDF" w:rsidRDefault="00484235" w:rsidP="0083075A">
      <w:pPr>
        <w:spacing w:after="0" w:line="240" w:lineRule="auto"/>
        <w:jc w:val="both"/>
        <w:rPr>
          <w:rFonts w:ascii="Times New Roman" w:hAnsi="Times New Roman" w:cs="Times New Roman"/>
          <w:color w:val="000000" w:themeColor="text1"/>
          <w:sz w:val="16"/>
          <w:szCs w:val="16"/>
        </w:rPr>
      </w:pPr>
    </w:p>
    <w:p w14:paraId="72AA3DE8" w14:textId="77777777" w:rsidR="00672EDF" w:rsidRPr="002F2FDF" w:rsidRDefault="00672ED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815E791" w14:textId="77777777" w:rsidR="00672EDF" w:rsidRPr="002F2FDF" w:rsidRDefault="00672ED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6169EF" w14:textId="77777777" w:rsidR="00672EDF" w:rsidRPr="002F2FDF" w:rsidRDefault="00672ED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Летом и осенью 1917 г. дублирование управленческих функций, введенное в свое время Александром Михайловичем имело отрицательные последствия. Из-за этого на практике возникали недоразумения. Так, 25 сентября 1917 г. командир 6-го авиадивизиона писал начальнику ПУАВ В.М. Ткачеву (он был назначен вместо С.А. Ульянина 21 июня 1917 г.), что «штаб-офицер по авиации при штабе армии дублирует функции командира дивизиона, чему способствует приказ командующего 6-й армией от 10 сентября 1917 г. № 495, предоставлявший штаб-офицеру по авиации право сношения с командирами авиаотрядов, минуя авиадивизион» (19566).</w:t>
      </w:r>
    </w:p>
    <w:p w14:paraId="7329E1DE" w14:textId="77777777" w:rsidR="00672EDF" w:rsidRPr="002F2FDF" w:rsidRDefault="00672EDF" w:rsidP="0083075A">
      <w:pPr>
        <w:spacing w:after="0" w:line="240" w:lineRule="auto"/>
        <w:jc w:val="both"/>
        <w:rPr>
          <w:rFonts w:ascii="Times New Roman" w:hAnsi="Times New Roman" w:cs="Times New Roman"/>
          <w:color w:val="000000" w:themeColor="text1"/>
          <w:sz w:val="16"/>
          <w:szCs w:val="16"/>
        </w:rPr>
      </w:pPr>
    </w:p>
    <w:p w14:paraId="28CAFF01" w14:textId="77777777" w:rsidR="00672EDF" w:rsidRPr="002F2FDF" w:rsidRDefault="00672ED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Летом и осенью 1917 г. работа ПУАВ происходила непосредственно в Ставке в г. Могилеве, что, по мнению В.М. Ткачева, делало ее планомернее и продуктивнее. Начальник ПУАВ отмечал: «Раньше была рассогласованность между Ставкой и Великим князем даже в вопросах организации. Теперь авиация приблизилась к войскам, у Полевого управления авиацией и воздухоплаванием появилась возможность пользования узлом связи Ставки. Планирование боевых действий авиации могло осуществляться впервые за войну в масштабах всей авиации действующей армии и в соответствии с планами Ставки». Новые штат ПУАВ и Положение о нем были утверждены приказом ВГК от 24 октября 1917 г. № 796 (за день до Октябрьской революции). По новому штату в ПУАВ находилось в распоряжении не НШ ВГК, а непосредственно – Верховного Главнокомандующего. Оно имело шесть отделений (организационно-оперативное, инспекторское, по сбору и обработке боевого материала, по снабжению и учету имущества, по вооружению и воздушной артиллерии и радиотелеграфное). Сношения ПУАВ с Увофлотом (о нем пойдет речь ниже) осуществлялись через подачу (19566).</w:t>
      </w:r>
    </w:p>
    <w:p w14:paraId="0EA59EDC" w14:textId="77777777" w:rsidR="00672EDF" w:rsidRPr="002F2FDF" w:rsidRDefault="00672EDF" w:rsidP="0083075A">
      <w:pPr>
        <w:spacing w:after="0" w:line="240" w:lineRule="auto"/>
        <w:jc w:val="both"/>
        <w:rPr>
          <w:rFonts w:ascii="Times New Roman" w:hAnsi="Times New Roman" w:cs="Times New Roman"/>
          <w:color w:val="000000" w:themeColor="text1"/>
          <w:sz w:val="16"/>
          <w:szCs w:val="16"/>
        </w:rPr>
      </w:pPr>
    </w:p>
    <w:p w14:paraId="02CC1B11" w14:textId="77777777" w:rsidR="00672EDF" w:rsidRPr="002F2FDF" w:rsidRDefault="00672ED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B37170B" w14:textId="77777777" w:rsidR="00672EDF" w:rsidRPr="002F2FDF" w:rsidRDefault="00672ED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7BDFDC" w14:textId="77777777" w:rsidR="00672EDF" w:rsidRPr="002F2FDF" w:rsidRDefault="00672ED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первое полугодие 1917 г. фирме «Эриксона» Военным ведомством было заказано 50000 телефонных аппаратов, 2850 комму</w:t>
      </w:r>
      <w:r w:rsidRPr="002F2FDF">
        <w:rPr>
          <w:rFonts w:ascii="Times New Roman" w:hAnsi="Times New Roman" w:cs="Times New Roman"/>
          <w:color w:val="000000" w:themeColor="text1"/>
          <w:sz w:val="16"/>
          <w:szCs w:val="16"/>
        </w:rPr>
        <w:softHyphen/>
        <w:t>таторов, 80000 микротелефонных капсюлей, 9000 зуммеров, запчасти к аппара</w:t>
      </w:r>
      <w:r w:rsidRPr="002F2FDF">
        <w:rPr>
          <w:rFonts w:ascii="Times New Roman" w:hAnsi="Times New Roman" w:cs="Times New Roman"/>
          <w:color w:val="000000" w:themeColor="text1"/>
          <w:sz w:val="16"/>
          <w:szCs w:val="16"/>
        </w:rPr>
        <w:softHyphen/>
        <w:t>туре и другое имущество (19098).</w:t>
      </w:r>
    </w:p>
    <w:p w14:paraId="1A47C3D4" w14:textId="77777777" w:rsidR="00672EDF" w:rsidRPr="002F2FDF" w:rsidRDefault="00672EDF" w:rsidP="0083075A">
      <w:pPr>
        <w:spacing w:after="0" w:line="240" w:lineRule="auto"/>
        <w:jc w:val="both"/>
        <w:rPr>
          <w:rFonts w:ascii="Times New Roman" w:hAnsi="Times New Roman" w:cs="Times New Roman"/>
          <w:color w:val="000000" w:themeColor="text1"/>
          <w:sz w:val="16"/>
          <w:szCs w:val="16"/>
        </w:rPr>
      </w:pPr>
    </w:p>
    <w:p w14:paraId="6F9C6CBF" w14:textId="77777777" w:rsidR="00BB12B7" w:rsidRPr="002F2FDF" w:rsidRDefault="00BB12B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bookmarkStart w:id="191" w:name="_Hlk92717145"/>
      <w:r w:rsidRPr="002F2FDF">
        <w:rPr>
          <w:rFonts w:ascii="Times New Roman" w:hAnsi="Times New Roman" w:cs="Times New Roman"/>
          <w:i/>
          <w:iCs/>
          <w:color w:val="000000" w:themeColor="text1"/>
          <w:kern w:val="2"/>
          <w:sz w:val="16"/>
          <w:szCs w:val="16"/>
        </w:rPr>
        <w:t>Армия:</w:t>
      </w:r>
    </w:p>
    <w:p w14:paraId="5F04DBBD" w14:textId="77777777" w:rsidR="00BB12B7" w:rsidRPr="002F2FDF" w:rsidRDefault="00BB12B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F33869" w14:textId="77777777" w:rsidR="00BB12B7" w:rsidRPr="002F2FDF" w:rsidRDefault="00BB12B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первой половине 1917 г. воздухоплавательные роты были переформированы в армейские и корпусные воздухоплавательные отряды, сведенные в 14 воздухоплавательных дивизионов. На каждом фронте организован воздухоплавательный парк, осуществлявший ремонт материальной части и снабжение </w:t>
      </w:r>
      <w:r w:rsidRPr="002F2FDF">
        <w:rPr>
          <w:rFonts w:ascii="Times New Roman" w:hAnsi="Times New Roman" w:cs="Times New Roman"/>
          <w:color w:val="000000" w:themeColor="text1"/>
          <w:sz w:val="16"/>
          <w:szCs w:val="16"/>
        </w:rPr>
        <w:lastRenderedPageBreak/>
        <w:t>воздухоплавательных дивизионов химическими материалами. Для военных воздухоплавателей принята та же организационная структура, что и для авиаторов. В действующей армии было 88 воздухоплавательных отрядов (59 корпусных и 29 армейских), 2 крепостные воздухоплавательные роты (Ревельская и Свеаборгская), каждая с тремя наблюдательными станциями. Всего на вооружении состояло около 200 змейковых аэростатов. Воздухоплавательные части и парки насчитывали 700 офицеров, 28 тыс. солдат. Число воздухоплавательных аппаратов не удовлетворяло потребностей русской армии, отставало как от противника, так и от своих союзников. Во французской армии, например, на каждый километр фронта приходился один аэростат. У союзников станции со змейковыми аэростатами надежно прикрывались огнем зенитной артиллерии и истребительной авиацией.</w:t>
      </w:r>
    </w:p>
    <w:p w14:paraId="6BC8153E" w14:textId="77777777" w:rsidR="00BB12B7" w:rsidRPr="002F2FDF" w:rsidRDefault="00BB12B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Русское армейское командование требовало придать каждой пехотной дивизии по одному воздухоплавательному отряду, однако нехватка лебедок и тросов к ним не позволила удовлетворить эти запросы. Большим недостатком была оторванность фронтовых воздухоплавательных частей от парков. Зачастую химические материалы, горючее, смазочные масла приходилось подвозить к месту боевой работы за 300-500 км. После реорганизации воздухоплавания в начале 1917 г. снабжением и ремонтом стали заниматься управления воздухоплавательных дивизионов. Однако и после этого базы для обслуживания воздухоплавателей на передовой так и не были созданы. Все это, естественно, ухудшало боевую работу привязных аэростатов (22857).</w:t>
      </w:r>
    </w:p>
    <w:p w14:paraId="75E3EA86" w14:textId="77777777" w:rsidR="00BB12B7" w:rsidRPr="002F2FDF" w:rsidRDefault="00BB12B7" w:rsidP="0083075A">
      <w:pPr>
        <w:spacing w:after="0" w:line="240" w:lineRule="auto"/>
        <w:jc w:val="both"/>
        <w:rPr>
          <w:rFonts w:ascii="Times New Roman" w:hAnsi="Times New Roman" w:cs="Times New Roman"/>
          <w:color w:val="000000" w:themeColor="text1"/>
          <w:sz w:val="16"/>
          <w:szCs w:val="16"/>
        </w:rPr>
      </w:pPr>
    </w:p>
    <w:p w14:paraId="1B6DACFA" w14:textId="77777777" w:rsidR="009D465F" w:rsidRPr="002F2FDF" w:rsidRDefault="009D465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991A7CB" w14:textId="77777777" w:rsidR="009D465F" w:rsidRPr="002F2FDF" w:rsidRDefault="009D465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72F668" w14:textId="77777777" w:rsidR="009D465F" w:rsidRPr="002F2FDF" w:rsidRDefault="009D465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первой половине 1917 г., когда многие немецкие фирмы получили задание на разработку истребителей-трипланов на фирме LFG «Роланд» (Luftfahrzeug-Gesellschaft, Roland) был выполнен проект истребителя LFG Роланд D IV (Dr I). В конструкции самолета были использованы те же принципы, что и в предыдущих проектах LFG Roland C II Wallfisch и LFG Roland D I Haifisch, D II и D III (самолет в некоторых документах также называли Haifisch – «Акула»), направленных на максимальное улучшение аэродинамики, но технология изготовления фюзеляжа и его конструкция были другими.</w:t>
      </w:r>
    </w:p>
    <w:p w14:paraId="0F63B246" w14:textId="22AC78A8" w:rsidR="009D465F" w:rsidRPr="002F2FDF" w:rsidRDefault="009D465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сентябре 1917 г. передан на официальные (типовые) испытания в IdFlieg.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В конце сентября 1917 г. самолет потерпел тяжелую аварию – фюзеляж ремонту не подлежал. Тем не менее, самолет восстановили, изготовив фюзеляж заново (в большинстве источников указывается, что фюзеляж был взят от серийного самолета LFG Roland D VI, но опытный его экземпляр с подобным, но меньшей длины фюзеляжем совершил первый полет только в ноябре 1917 г., а в серию был запущен в 1918 г.).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В конце осени 1917 г. самолет испытания возобновил, но на вооружение принят не был, т.к. интерес к трипланам у командования ВВС Германии пропал, а его летные данные были слабы.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Технология и силовая схема фюзеляжа, отработанная на этом самолете, были использованы в проекте LFG Roland D VI (с изменениями в размерах) (23168).</w:t>
      </w:r>
    </w:p>
    <w:p w14:paraId="7EBAEDA3" w14:textId="77777777" w:rsidR="009D465F" w:rsidRPr="002F2FDF" w:rsidRDefault="009D465F" w:rsidP="0083075A">
      <w:pPr>
        <w:spacing w:after="0" w:line="240" w:lineRule="auto"/>
        <w:jc w:val="both"/>
        <w:rPr>
          <w:rFonts w:ascii="Times New Roman" w:hAnsi="Times New Roman" w:cs="Times New Roman"/>
          <w:color w:val="000000" w:themeColor="text1"/>
          <w:sz w:val="16"/>
          <w:szCs w:val="16"/>
        </w:rPr>
      </w:pPr>
    </w:p>
    <w:bookmarkEnd w:id="191"/>
    <w:p w14:paraId="4E306BB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2A215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26ED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середине 1917 г. двигатели РБВЗ по своим конструктивным и эксплуатационным качествам уже представляли собой далеко не последнее слово авиационной техники. Англия уже располагала авиадвигателями “Роллс-Ройс” мощностью 270 и 360 л. с. Во Франции создали 8-цилиндро-вые двигатели “Испано-Сюиза” мощностью 300 л. с. Наконец, появились американские 12-цилиндровые двигатели “Либерти” мощностью 400 л. с. Все они - рядные двигатели жидкостного охлаждения, причем масса наиболее тяжелого из них не превышала 420 кг, т. е. веса двигателей “Рено”, уже применявшихся на “Муромцах”.</w:t>
      </w:r>
    </w:p>
    <w:p w14:paraId="637555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Если бы военное ведомство сумело снабдить эскадру двигателями типа “Роллс-Ройс” (360х4 == 1440л. с.), то скорость “Муромца” при неизменной конструкции составила бы не менее 160 км/ч. Но завод, строивший “Муромцы”, не располагал такого рода двигателями и не смог существенно улучшить летные качества выпускаемого превосходного тяжелого самолета.</w:t>
      </w:r>
    </w:p>
    <w:p w14:paraId="275E10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Была еще одна возможность усовершенствовать корабль, улучшив его аэродинамику. За время войны она не претерпела существенных изменений. Конструкторы не имели возможности в условиях фронта улучшать аэродинамические качества своих кораблей и вести лабораторные испытания моделей. Общая аэродинамика самолета с современной точки зрения представляется далеко не совершенной. Незакапотированные (открытые) двигатели, многочисленные расчалки и тросы, несовершенная форма фюзеляжа, громоздкое неубирающееся шасси значительно (не менее чем на 200 %) повышали коэффициент лобового сопротивления самолета. Аэродинамическое качество “Муромца” не превышало 8-9. При относительно небольшой нагрузке на единицу площади несущих поверхностей, равной примерно 28 кг/м2, скорость полета “Муромца” была незначительной. Кроме того, малый избыток мощности обусловил и небольшую скороподъемность самолета - время набора высоты 3000 м превышало 40 мин. В то же время нагрузка на 1 л. с. мощности двигателя составляла у “Муромца” 5,5 кг. Весовая отдача “Муромца” доходила до 35 %, что следует считать выдающимся достижением того времени (9705).</w:t>
      </w:r>
    </w:p>
    <w:p w14:paraId="5EB29C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2625C9" w14:textId="77777777" w:rsidR="00927133" w:rsidRPr="002F2FDF" w:rsidRDefault="00927133"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К середине 1917 г. «Дукс» превратился в весьма хорошо отлаженное крупносерийное авиационное производство, крупнейшее в России, но плановых показателей в 100 самолетов в месяц не достигли ни разу. Самолеты строили сериями от 10—15 до 40—50 экземпляров, максимальный месячный выпуск в 1917 г. составил 76 машин в январе. Но в целом государственная программа поставки на фронт современных боевых самолетов оказалась сорванной из-за отсутствия сырья и комплектующих, транспортных проблем, лавинообразно нараставшего политического кризиса...(15464).</w:t>
      </w:r>
    </w:p>
    <w:p w14:paraId="23843CC1" w14:textId="77777777" w:rsidR="00927133" w:rsidRPr="002F2FDF" w:rsidRDefault="00927133" w:rsidP="0083075A">
      <w:pPr>
        <w:pStyle w:val="2"/>
        <w:spacing w:before="0" w:beforeAutospacing="0" w:after="0" w:afterAutospacing="0"/>
        <w:jc w:val="both"/>
        <w:rPr>
          <w:b w:val="0"/>
          <w:color w:val="000000" w:themeColor="text1"/>
          <w:kern w:val="2"/>
          <w:sz w:val="16"/>
          <w:szCs w:val="16"/>
        </w:rPr>
      </w:pPr>
    </w:p>
    <w:p w14:paraId="231B7C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1917 Морской штаб решил остановиться на лл Телье (чертежи которой в конце 1916 прибыли на Дукс и было начато освоение машины) и поплавковом биплане Альбатрос с двигателями ИС по 200 нр для замены М-9. Заводы Дукс, В.А.Лебедева и Ф.Мельнера получили большие заказы, но их не выполнили, так как союзники не дали двигатели (92,288).</w:t>
      </w:r>
    </w:p>
    <w:p w14:paraId="708214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5692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1917 А.А.Анатра стараясь установить отношения с Морским ведомством и получить заказы оснастил двухвостку Хиони поплавками и испытал ее в Одессе (2843,14).</w:t>
      </w:r>
    </w:p>
    <w:p w14:paraId="194BCB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C3EF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1917 завод Анатра выпускал по 100 самолетов в месяц (5151, 8).</w:t>
      </w:r>
    </w:p>
    <w:p w14:paraId="76D115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33BD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середины 1917-го Производство самолетов "Анаде" продолжалось и составило 215 экземпляров, т.е. меньше половины заказанных. Самолеты состояли на вооружении 2-го гвардейского, 1, 3, 9,12, 16, 17, 20, 28 и 36 корпусных авиаотрядов, 1, 2, 3, 6, 7-го Сибирских авиаотрядов. Отдельные машины этого типа участвовали в гражданской войне на стороне различных противоборствующих сторон. С учетом дополнительно изготовленных до весны 1918-го самолетов, общее количество построенных "Анаде" составило около 300 экземпляров (9806).</w:t>
      </w:r>
    </w:p>
    <w:p w14:paraId="31EC44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0254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1917-го ежедневно на заводе Анатра в Одессе выпускалось до двух-трех аппаратов, что позволило определять одесский завод как наиболее развитое и мощное авиапроизводство на юге России (9806).</w:t>
      </w:r>
    </w:p>
    <w:p w14:paraId="0478BC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EB55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середины 1917-го завод Анатра выпустил 24 "Анаклера". Дальнейшее же его производство сковывалось недостатком двигателей "Клерже" (9806).</w:t>
      </w:r>
    </w:p>
    <w:p w14:paraId="2D28A9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EE3A4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середине 1917 года Симферо</w:t>
      </w:r>
      <w:r w:rsidRPr="002F2FDF">
        <w:rPr>
          <w:rFonts w:ascii="Times New Roman" w:hAnsi="Times New Roman" w:cs="Times New Roman"/>
          <w:color w:val="000000" w:themeColor="text1"/>
          <w:kern w:val="2"/>
          <w:sz w:val="16"/>
          <w:szCs w:val="16"/>
        </w:rPr>
        <w:softHyphen/>
        <w:t>польское отделение завода Анатра ос</w:t>
      </w:r>
      <w:r w:rsidRPr="002F2FDF">
        <w:rPr>
          <w:rFonts w:ascii="Times New Roman" w:hAnsi="Times New Roman" w:cs="Times New Roman"/>
          <w:color w:val="000000" w:themeColor="text1"/>
          <w:kern w:val="2"/>
          <w:sz w:val="16"/>
          <w:szCs w:val="16"/>
        </w:rPr>
        <w:softHyphen/>
        <w:t>воило выпуск 20 машин в месяц. Главным образом изготавливались летающие лодки Д.П.Григоровича. К началу 1918 года на заводе работало около 700 че</w:t>
      </w:r>
      <w:r w:rsidRPr="002F2FDF">
        <w:rPr>
          <w:rFonts w:ascii="Times New Roman" w:hAnsi="Times New Roman" w:cs="Times New Roman"/>
          <w:color w:val="000000" w:themeColor="text1"/>
          <w:kern w:val="2"/>
          <w:sz w:val="16"/>
          <w:szCs w:val="16"/>
        </w:rPr>
        <w:softHyphen/>
        <w:t>ловек. Всего Крымским филиалом завода Анатра вы</w:t>
      </w:r>
      <w:r w:rsidRPr="002F2FDF">
        <w:rPr>
          <w:rFonts w:ascii="Times New Roman" w:hAnsi="Times New Roman" w:cs="Times New Roman"/>
          <w:color w:val="000000" w:themeColor="text1"/>
          <w:kern w:val="2"/>
          <w:sz w:val="16"/>
          <w:szCs w:val="16"/>
        </w:rPr>
        <w:softHyphen/>
        <w:t>пущено 50 самолетов. На этом же предприятии А.А.Анатра обязался наладить выпуск авиадвигателей водяного охлажде</w:t>
      </w:r>
      <w:r w:rsidRPr="002F2FDF">
        <w:rPr>
          <w:rFonts w:ascii="Times New Roman" w:hAnsi="Times New Roman" w:cs="Times New Roman"/>
          <w:color w:val="000000" w:themeColor="text1"/>
          <w:kern w:val="2"/>
          <w:sz w:val="16"/>
          <w:szCs w:val="16"/>
        </w:rPr>
        <w:softHyphen/>
        <w:t>ния “Испано-Сюиза” мощностью 200 л.с. В конце 1916 года в Париже и Барселоне закупили оборудование для производства 30 двигателей в месяц. Однако ре</w:t>
      </w:r>
      <w:r w:rsidRPr="002F2FDF">
        <w:rPr>
          <w:rFonts w:ascii="Times New Roman" w:hAnsi="Times New Roman" w:cs="Times New Roman"/>
          <w:color w:val="000000" w:themeColor="text1"/>
          <w:kern w:val="2"/>
          <w:sz w:val="16"/>
          <w:szCs w:val="16"/>
        </w:rPr>
        <w:softHyphen/>
        <w:t>волюционные события 1917 года не дали завершить строительство отделения по производству двигателей. Кроме заказов на поставку самолетов, завод Анат</w:t>
      </w:r>
      <w:r w:rsidRPr="002F2FDF">
        <w:rPr>
          <w:rFonts w:ascii="Times New Roman" w:hAnsi="Times New Roman" w:cs="Times New Roman"/>
          <w:color w:val="000000" w:themeColor="text1"/>
          <w:kern w:val="2"/>
          <w:sz w:val="16"/>
          <w:szCs w:val="16"/>
        </w:rPr>
        <w:softHyphen/>
        <w:t>ра выполнял заказы на изготовление отдельных частей самолетов, в частности 50 пар усовершенствован</w:t>
      </w:r>
      <w:r w:rsidRPr="002F2FDF">
        <w:rPr>
          <w:rFonts w:ascii="Times New Roman" w:hAnsi="Times New Roman" w:cs="Times New Roman"/>
          <w:color w:val="000000" w:themeColor="text1"/>
          <w:kern w:val="2"/>
          <w:sz w:val="16"/>
          <w:szCs w:val="16"/>
        </w:rPr>
        <w:softHyphen/>
        <w:t>ных крыльев для “Ньюпора-4” (553).</w:t>
      </w:r>
    </w:p>
    <w:p w14:paraId="4D3F5C7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CBE9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середине 1917 г. за счет использования внутризаводских резервов и установки нового оборудования удалось довести производительность завода Лебедева до 40-50 самолетов в месяц. Следует учитывать и тот факт, что завод Лебедева наряду с основной продукцией - самолетами изготовлял также лыжи как для своих машин, так и для заводов "Дукс" и "Анатра" в Одессе, выполнял заказы на пропеллеры и запасные части. Все эти обстоятельства требовали расширения производственных мощностей. </w:t>
      </w:r>
    </w:p>
    <w:p w14:paraId="33DACE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реализации заказов Военного и Морского ведомств заводу Лебедева было необходимо значительно увеличить производственные мощности. Если месячный выпуск продукции в 1914 году составлял 6 самолетов, то уже в 1916 году - 30. На заводской территории в 1916 году находились деревообделочный, сушильный, механический, слесарный, сварочный, малярный и сборочный цехи и столярная мастерская. Штат насчитывал 1500 рабочих, в конструкторском бюро завода работали десятки инженеров, среди которых Шкульник, Колпаков и Ребиков были авторами многих интересных проектов. Для выполнения контрактов требовалось вдвое увеличить месячный выпуск аэропланов.</w:t>
      </w:r>
    </w:p>
    <w:p w14:paraId="6C2324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Однако расширить территорию Петроградского авиазавода не представлялось возможным, поэтому "АО воздухоплавания В.А.Лебедева" спешно приступило к постройке отделений завода в Таганроге и Пензе. </w:t>
      </w:r>
    </w:p>
    <w:p w14:paraId="1B2DD2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xml:space="preserve">Проектная мощность Таганрогского отделения к концу 1917 г должна была составить 30-40 самолетов ежемесячно, в дальнейшем - до 70. Сборочный цех построили для двух паралельных потоков - один для сухопутных самолетов, другой - для гидропланов. К зданию цеха примыкали два корпуса, где изготовлялись узлы и детали самолетов. Практически это была поточная система, присутствующая на любом современном авиационном заводе. Благодаря усилиям рабочих и инженеров удалось довести производство самолетов в Таганроге до 25 штук в месяц. </w:t>
      </w:r>
    </w:p>
    <w:p w14:paraId="47FC70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Близость Азовского моря, возможности расширения территории, наличие металлургической и топливных баз, водные и железнодорожные пути сообщения, квалифицированные рабочие - все это открывало перед новым заводом широкие перспективы. Однако разруха и транспортный паралич военного времени, а потом и революционный хаос не позволили реализовать намеченные планы.</w:t>
      </w:r>
    </w:p>
    <w:p w14:paraId="3A6BB5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Строительство Пензенского отделения, производственная мощность которого к концу 1917 года планировалась в более чем 20 самолетов в месяц, пришлось приостановить из-за трудностей военного времени и революции. Главная тяжесть выполнения заказов Военного и Морского ведомств по-прежнему лежала на петроградском заводе. </w:t>
      </w:r>
    </w:p>
    <w:p w14:paraId="511421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"Акционерное общество воздухоплавания В.А.Лебедева" выпустило за годы своего существования около 700 самолетов русских и иностранных конструкций. В КБ завода русские инженеры создали около 20 интересных конструкций, особое место среди которых занимает разведчик "Лебедь"-ХII. В истории отечественного авиационного производства в годы Первой Мировой войны завод Лебедева сыграл значительную роль, он дал Военно-Воздушному флоту России целый ряд боевых самолетов, оставивших заметный след в истории русской авиации (11183).</w:t>
      </w:r>
    </w:p>
    <w:p w14:paraId="0C5044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8B1F24" w14:textId="77777777" w:rsidR="009D465F" w:rsidRPr="002F2FDF" w:rsidRDefault="009D465F" w:rsidP="0083075A">
      <w:pPr>
        <w:pStyle w:val="ae"/>
        <w:shd w:val="clear" w:color="auto" w:fill="FFFFFF"/>
        <w:spacing w:before="0" w:after="0"/>
        <w:jc w:val="both"/>
        <w:rPr>
          <w:color w:val="000000" w:themeColor="text1"/>
          <w:sz w:val="16"/>
          <w:szCs w:val="16"/>
        </w:rPr>
      </w:pPr>
      <w:r w:rsidRPr="002F2FDF">
        <w:rPr>
          <w:color w:val="000000" w:themeColor="text1"/>
          <w:sz w:val="16"/>
          <w:szCs w:val="16"/>
        </w:rPr>
        <w:t>К середине 1917 г. производительность завода Лебедев достигла 40-50 аппаратов в месяц (против 10 до войны), однако и при этом общество имело задолженность по выполнению контрактов (21552).</w:t>
      </w:r>
    </w:p>
    <w:p w14:paraId="6E367A1F" w14:textId="77777777" w:rsidR="009D465F" w:rsidRPr="002F2FDF" w:rsidRDefault="009D465F" w:rsidP="0083075A">
      <w:pPr>
        <w:spacing w:after="0" w:line="240" w:lineRule="auto"/>
        <w:jc w:val="both"/>
        <w:rPr>
          <w:rFonts w:ascii="Times New Roman" w:hAnsi="Times New Roman" w:cs="Times New Roman"/>
          <w:color w:val="000000" w:themeColor="text1"/>
          <w:sz w:val="16"/>
          <w:szCs w:val="16"/>
        </w:rPr>
      </w:pPr>
    </w:p>
    <w:p w14:paraId="7E6B39E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середины 1917 г. продолжалось производство М-5, которое началось в июне 1915. Общее количество изготовленных М-5 составило около 200 экземпляров, большинство построили на заводе Ще</w:t>
      </w:r>
      <w:r w:rsidRPr="002F2FDF">
        <w:rPr>
          <w:rFonts w:ascii="Times New Roman" w:hAnsi="Times New Roman" w:cs="Times New Roman"/>
          <w:color w:val="000000" w:themeColor="text1"/>
          <w:kern w:val="2"/>
          <w:sz w:val="16"/>
          <w:szCs w:val="16"/>
        </w:rPr>
        <w:softHyphen/>
        <w:t>тинина в Петрограде и некоторое количество - на заводе Анатра в Одессе. Наиболее активно М-5 использовались в авиации Чер</w:t>
      </w:r>
      <w:r w:rsidRPr="002F2FDF">
        <w:rPr>
          <w:rFonts w:ascii="Times New Roman" w:hAnsi="Times New Roman" w:cs="Times New Roman"/>
          <w:color w:val="000000" w:themeColor="text1"/>
          <w:kern w:val="2"/>
          <w:sz w:val="16"/>
          <w:szCs w:val="16"/>
        </w:rPr>
        <w:softHyphen/>
        <w:t>номорского флота, получившей в свое пользование за весь период 71 такой гидроплан. Вооружение боевых М-5 состояло из одного пулемета “Максим”, “Виккерс” или “Льюис”, установленного на треноге перед правым чле</w:t>
      </w:r>
      <w:r w:rsidRPr="002F2FDF">
        <w:rPr>
          <w:rFonts w:ascii="Times New Roman" w:hAnsi="Times New Roman" w:cs="Times New Roman"/>
          <w:color w:val="000000" w:themeColor="text1"/>
          <w:kern w:val="2"/>
          <w:sz w:val="16"/>
          <w:szCs w:val="16"/>
        </w:rPr>
        <w:softHyphen/>
        <w:t>ном экипажа, нескольких восьми- или двух 50-фунтовых бомб (11107).</w:t>
      </w:r>
    </w:p>
    <w:p w14:paraId="7299CBF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48610D" w14:textId="77777777" w:rsidR="00F93F9D" w:rsidRPr="00FB4F67" w:rsidRDefault="00F93F9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середине 1917 г. состоялись испытания первого экземпляра учебной летающей лодки под двигатель «Рон». По сути, это были прежние М-5 с небольшими изменениями конструкции с двигателем мощнос</w:t>
      </w:r>
      <w:r w:rsidRPr="00FB4F67">
        <w:rPr>
          <w:rFonts w:ascii="Times New Roman" w:hAnsi="Times New Roman" w:cs="Times New Roman"/>
          <w:color w:val="0070C0"/>
          <w:sz w:val="16"/>
          <w:szCs w:val="16"/>
        </w:rPr>
        <w:softHyphen/>
        <w:t>тью 125 л.с. Позднее серийные экземпля</w:t>
      </w:r>
      <w:r w:rsidRPr="00FB4F67">
        <w:rPr>
          <w:rFonts w:ascii="Times New Roman" w:hAnsi="Times New Roman" w:cs="Times New Roman"/>
          <w:color w:val="0070C0"/>
          <w:sz w:val="16"/>
          <w:szCs w:val="16"/>
        </w:rPr>
        <w:softHyphen/>
        <w:t>ры стали обозначаться М-20. Их производ</w:t>
      </w:r>
      <w:r w:rsidRPr="00FB4F67">
        <w:rPr>
          <w:rFonts w:ascii="Times New Roman" w:hAnsi="Times New Roman" w:cs="Times New Roman"/>
          <w:color w:val="0070C0"/>
          <w:sz w:val="16"/>
          <w:szCs w:val="16"/>
        </w:rPr>
        <w:softHyphen/>
        <w:t>ство продолжалось до 1920 г. и составило, в общем, около 80 экземпляров.</w:t>
      </w:r>
    </w:p>
    <w:p w14:paraId="35BFE7FF" w14:textId="77777777" w:rsidR="00F93F9D" w:rsidRPr="00FB4F67" w:rsidRDefault="00F93F9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Летные и технические характеристики М-20</w:t>
      </w:r>
    </w:p>
    <w:p w14:paraId="1E33E4ED" w14:textId="77777777" w:rsidR="00F93F9D" w:rsidRPr="00FB4F67" w:rsidRDefault="00F93F9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Размах верхнего крыла (м)</w:t>
      </w:r>
      <w:r w:rsidRPr="00FB4F67">
        <w:rPr>
          <w:rFonts w:ascii="Times New Roman" w:hAnsi="Times New Roman" w:cs="Times New Roman"/>
          <w:color w:val="0070C0"/>
          <w:sz w:val="16"/>
          <w:szCs w:val="16"/>
        </w:rPr>
        <w:tab/>
        <w:t>13,62</w:t>
      </w:r>
    </w:p>
    <w:p w14:paraId="47E20FEB" w14:textId="77777777" w:rsidR="00F93F9D" w:rsidRPr="00FB4F67" w:rsidRDefault="00F93F9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Длина в линии полета (м)</w:t>
      </w:r>
      <w:r w:rsidRPr="00FB4F67">
        <w:rPr>
          <w:rFonts w:ascii="Times New Roman" w:hAnsi="Times New Roman" w:cs="Times New Roman"/>
          <w:color w:val="0070C0"/>
          <w:sz w:val="16"/>
          <w:szCs w:val="16"/>
        </w:rPr>
        <w:tab/>
        <w:t>8,22</w:t>
      </w:r>
    </w:p>
    <w:p w14:paraId="46899093" w14:textId="77777777" w:rsidR="00F93F9D" w:rsidRPr="00FB4F67" w:rsidRDefault="00F93F9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Площадь крыльев (м2)</w:t>
      </w:r>
      <w:r w:rsidRPr="00FB4F67">
        <w:rPr>
          <w:rFonts w:ascii="Times New Roman" w:hAnsi="Times New Roman" w:cs="Times New Roman"/>
          <w:color w:val="0070C0"/>
          <w:sz w:val="16"/>
          <w:szCs w:val="16"/>
        </w:rPr>
        <w:tab/>
        <w:t>37,96</w:t>
      </w:r>
    </w:p>
    <w:p w14:paraId="267C27F4" w14:textId="77777777" w:rsidR="00F93F9D" w:rsidRPr="00FB4F67" w:rsidRDefault="00F93F9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Вес пустого (кг)</w:t>
      </w:r>
      <w:r w:rsidRPr="00FB4F67">
        <w:rPr>
          <w:rFonts w:ascii="Times New Roman" w:hAnsi="Times New Roman" w:cs="Times New Roman"/>
          <w:color w:val="0070C0"/>
          <w:sz w:val="16"/>
          <w:szCs w:val="16"/>
        </w:rPr>
        <w:tab/>
        <w:t>660</w:t>
      </w:r>
    </w:p>
    <w:p w14:paraId="0415793C" w14:textId="77777777" w:rsidR="00F93F9D" w:rsidRPr="00FB4F67" w:rsidRDefault="00F93F9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Полетный вес (кг)</w:t>
      </w:r>
      <w:r w:rsidRPr="00FB4F67">
        <w:rPr>
          <w:rFonts w:ascii="Times New Roman" w:hAnsi="Times New Roman" w:cs="Times New Roman"/>
          <w:color w:val="0070C0"/>
          <w:sz w:val="16"/>
          <w:szCs w:val="16"/>
        </w:rPr>
        <w:tab/>
        <w:t>960</w:t>
      </w:r>
    </w:p>
    <w:p w14:paraId="46D8B21C" w14:textId="77777777" w:rsidR="00F93F9D" w:rsidRPr="00FB4F67" w:rsidRDefault="00F93F9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Скорость у земли (км/ч)</w:t>
      </w:r>
      <w:r w:rsidRPr="00FB4F67">
        <w:rPr>
          <w:rFonts w:ascii="Times New Roman" w:hAnsi="Times New Roman" w:cs="Times New Roman"/>
          <w:color w:val="0070C0"/>
          <w:sz w:val="16"/>
          <w:szCs w:val="16"/>
        </w:rPr>
        <w:tab/>
        <w:t>115</w:t>
      </w:r>
    </w:p>
    <w:p w14:paraId="0235C8AC" w14:textId="77777777" w:rsidR="00F93F9D" w:rsidRPr="00FB4F67" w:rsidRDefault="00F93F9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Потолок(м)</w:t>
      </w:r>
      <w:r w:rsidRPr="00FB4F67">
        <w:rPr>
          <w:rFonts w:ascii="Times New Roman" w:hAnsi="Times New Roman" w:cs="Times New Roman"/>
          <w:color w:val="0070C0"/>
          <w:sz w:val="16"/>
          <w:szCs w:val="16"/>
        </w:rPr>
        <w:tab/>
        <w:t>3500</w:t>
      </w:r>
    </w:p>
    <w:p w14:paraId="6460228F" w14:textId="77777777" w:rsidR="00F93F9D" w:rsidRPr="00FB4F67" w:rsidRDefault="00F93F9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Время набора высоты 2000 м (мин)</w:t>
      </w:r>
      <w:r w:rsidRPr="00FB4F67">
        <w:rPr>
          <w:rFonts w:ascii="Times New Roman" w:hAnsi="Times New Roman" w:cs="Times New Roman"/>
          <w:color w:val="0070C0"/>
          <w:sz w:val="16"/>
          <w:szCs w:val="16"/>
        </w:rPr>
        <w:tab/>
        <w:t>22</w:t>
      </w:r>
    </w:p>
    <w:p w14:paraId="571AAB01" w14:textId="77777777" w:rsidR="00F93F9D" w:rsidRPr="00FB4F67" w:rsidRDefault="00F93F9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Продолжительность полета (час)</w:t>
      </w:r>
      <w:r w:rsidRPr="00FB4F67">
        <w:rPr>
          <w:rFonts w:ascii="Times New Roman" w:hAnsi="Times New Roman" w:cs="Times New Roman"/>
          <w:color w:val="0070C0"/>
          <w:sz w:val="16"/>
          <w:szCs w:val="16"/>
        </w:rPr>
        <w:tab/>
        <w:t>4</w:t>
      </w:r>
    </w:p>
    <w:p w14:paraId="351F3B27" w14:textId="77777777" w:rsidR="00F93F9D" w:rsidRPr="00FB4F67" w:rsidRDefault="00F93F9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Большинство М-20 принимало участие в гражданской войне на стороне красных. Летали на Балтике, Каспийском море, Вол</w:t>
      </w:r>
      <w:r w:rsidRPr="00FB4F67">
        <w:rPr>
          <w:rFonts w:ascii="Times New Roman" w:hAnsi="Times New Roman" w:cs="Times New Roman"/>
          <w:color w:val="0070C0"/>
          <w:sz w:val="16"/>
          <w:szCs w:val="16"/>
        </w:rPr>
        <w:softHyphen/>
        <w:t>ге, Днепре и Северной Двине. В качестве вооружения имели один пулемет на трено</w:t>
      </w:r>
      <w:r w:rsidRPr="00FB4F67">
        <w:rPr>
          <w:rFonts w:ascii="Times New Roman" w:hAnsi="Times New Roman" w:cs="Times New Roman"/>
          <w:color w:val="0070C0"/>
          <w:sz w:val="16"/>
          <w:szCs w:val="16"/>
        </w:rPr>
        <w:softHyphen/>
        <w:t>ге и бомбы до 32 кг. Отдельные экземпля</w:t>
      </w:r>
      <w:r w:rsidRPr="00FB4F67">
        <w:rPr>
          <w:rFonts w:ascii="Times New Roman" w:hAnsi="Times New Roman" w:cs="Times New Roman"/>
          <w:color w:val="0070C0"/>
          <w:sz w:val="16"/>
          <w:szCs w:val="16"/>
        </w:rPr>
        <w:softHyphen/>
        <w:t>ры встречались в начале 1920-х годов (23374).</w:t>
      </w:r>
    </w:p>
    <w:p w14:paraId="0A2D0F54" w14:textId="77777777" w:rsidR="00F93F9D" w:rsidRPr="00FB4F67" w:rsidRDefault="00F93F9D" w:rsidP="0083075A">
      <w:pPr>
        <w:spacing w:after="0" w:line="240" w:lineRule="auto"/>
        <w:jc w:val="both"/>
        <w:rPr>
          <w:rFonts w:ascii="Times New Roman" w:hAnsi="Times New Roman" w:cs="Times New Roman"/>
          <w:color w:val="0070C0"/>
          <w:sz w:val="16"/>
          <w:szCs w:val="16"/>
        </w:rPr>
      </w:pPr>
    </w:p>
    <w:p w14:paraId="7DB1B9EA" w14:textId="77777777" w:rsidR="00F93F9D" w:rsidRPr="00FB4F67" w:rsidRDefault="00F93F9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До середины 1917 г. чуть более 100 М-9 получила авиация Черного моря и не менее 86 экземпляров поступи</w:t>
      </w:r>
      <w:r w:rsidRPr="00FB4F67">
        <w:rPr>
          <w:rFonts w:ascii="Times New Roman" w:hAnsi="Times New Roman" w:cs="Times New Roman"/>
          <w:color w:val="0070C0"/>
          <w:sz w:val="16"/>
          <w:szCs w:val="16"/>
        </w:rPr>
        <w:softHyphen/>
        <w:t>ло на Балтику.</w:t>
      </w:r>
    </w:p>
    <w:p w14:paraId="26365340" w14:textId="77777777" w:rsidR="00F93F9D" w:rsidRPr="00FB4F67" w:rsidRDefault="00F93F9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Черноморские «девятки» входили в со</w:t>
      </w:r>
      <w:r w:rsidRPr="00FB4F67">
        <w:rPr>
          <w:rFonts w:ascii="Times New Roman" w:hAnsi="Times New Roman" w:cs="Times New Roman"/>
          <w:color w:val="0070C0"/>
          <w:sz w:val="16"/>
          <w:szCs w:val="16"/>
        </w:rPr>
        <w:softHyphen/>
        <w:t>став Воздушной дивизии с базированием в Одессе и Севастополе, были приписаны к корабельным авиаотрядам на гидрокрей</w:t>
      </w:r>
      <w:r w:rsidRPr="00FB4F67">
        <w:rPr>
          <w:rFonts w:ascii="Times New Roman" w:hAnsi="Times New Roman" w:cs="Times New Roman"/>
          <w:color w:val="0070C0"/>
          <w:sz w:val="16"/>
          <w:szCs w:val="16"/>
        </w:rPr>
        <w:softHyphen/>
        <w:t>серах «Александр I» и «Николай I». Боевое использование осуществлялось у берегов Болгарии и Румынии.</w:t>
      </w:r>
    </w:p>
    <w:p w14:paraId="0D2480DD" w14:textId="77777777" w:rsidR="00F93F9D" w:rsidRPr="00FB4F67" w:rsidRDefault="00F93F9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После событий 1917 г. черноморские М-9 неоднократно меняли владельцев с постоянным количественным уменьшени</w:t>
      </w:r>
      <w:r w:rsidRPr="00FB4F67">
        <w:rPr>
          <w:rFonts w:ascii="Times New Roman" w:hAnsi="Times New Roman" w:cs="Times New Roman"/>
          <w:color w:val="0070C0"/>
          <w:sz w:val="16"/>
          <w:szCs w:val="16"/>
        </w:rPr>
        <w:softHyphen/>
        <w:t>ем. Весной 1918 г., к моменту австро-не</w:t>
      </w:r>
      <w:r w:rsidRPr="00FB4F67">
        <w:rPr>
          <w:rFonts w:ascii="Times New Roman" w:hAnsi="Times New Roman" w:cs="Times New Roman"/>
          <w:color w:val="0070C0"/>
          <w:sz w:val="16"/>
          <w:szCs w:val="16"/>
        </w:rPr>
        <w:softHyphen/>
        <w:t>мецкой оккупации на Черном море насчи</w:t>
      </w:r>
      <w:r w:rsidRPr="00FB4F67">
        <w:rPr>
          <w:rFonts w:ascii="Times New Roman" w:hAnsi="Times New Roman" w:cs="Times New Roman"/>
          <w:color w:val="0070C0"/>
          <w:sz w:val="16"/>
          <w:szCs w:val="16"/>
        </w:rPr>
        <w:softHyphen/>
        <w:t>тывалось до 60 аппаратов этого типа. До 1919 г. эксплуатация самолетов практичес</w:t>
      </w:r>
      <w:r w:rsidRPr="00FB4F67">
        <w:rPr>
          <w:rFonts w:ascii="Times New Roman" w:hAnsi="Times New Roman" w:cs="Times New Roman"/>
          <w:color w:val="0070C0"/>
          <w:sz w:val="16"/>
          <w:szCs w:val="16"/>
        </w:rPr>
        <w:softHyphen/>
        <w:t>ки не осуществлялась и, спустя год, в ра</w:t>
      </w:r>
      <w:r w:rsidRPr="00FB4F67">
        <w:rPr>
          <w:rFonts w:ascii="Times New Roman" w:hAnsi="Times New Roman" w:cs="Times New Roman"/>
          <w:color w:val="0070C0"/>
          <w:sz w:val="16"/>
          <w:szCs w:val="16"/>
        </w:rPr>
        <w:softHyphen/>
        <w:t>ботоспособном состоянии оставались от</w:t>
      </w:r>
      <w:r w:rsidRPr="00FB4F67">
        <w:rPr>
          <w:rFonts w:ascii="Times New Roman" w:hAnsi="Times New Roman" w:cs="Times New Roman"/>
          <w:color w:val="0070C0"/>
          <w:sz w:val="16"/>
          <w:szCs w:val="16"/>
        </w:rPr>
        <w:softHyphen/>
        <w:t>дельные экземпляры. Добровольческая бе</w:t>
      </w:r>
      <w:r w:rsidRPr="00FB4F67">
        <w:rPr>
          <w:rFonts w:ascii="Times New Roman" w:hAnsi="Times New Roman" w:cs="Times New Roman"/>
          <w:color w:val="0070C0"/>
          <w:sz w:val="16"/>
          <w:szCs w:val="16"/>
        </w:rPr>
        <w:softHyphen/>
        <w:t>лая армия использовала эпизодически 5 М-9 летом-осенью 1919 г., еще три аппа</w:t>
      </w:r>
      <w:r w:rsidRPr="00FB4F67">
        <w:rPr>
          <w:rFonts w:ascii="Times New Roman" w:hAnsi="Times New Roman" w:cs="Times New Roman"/>
          <w:color w:val="0070C0"/>
          <w:sz w:val="16"/>
          <w:szCs w:val="16"/>
        </w:rPr>
        <w:softHyphen/>
        <w:t>рата в этот период восстановили в Дон</w:t>
      </w:r>
      <w:r w:rsidRPr="00FB4F67">
        <w:rPr>
          <w:rFonts w:ascii="Times New Roman" w:hAnsi="Times New Roman" w:cs="Times New Roman"/>
          <w:color w:val="0070C0"/>
          <w:sz w:val="16"/>
          <w:szCs w:val="16"/>
        </w:rPr>
        <w:softHyphen/>
        <w:t>ском гидродивизионе (23374).</w:t>
      </w:r>
    </w:p>
    <w:p w14:paraId="4C70641E" w14:textId="77777777" w:rsidR="00F93F9D" w:rsidRPr="00FB4F67" w:rsidRDefault="00F93F9D" w:rsidP="0083075A">
      <w:pPr>
        <w:spacing w:after="0" w:line="240" w:lineRule="auto"/>
        <w:jc w:val="both"/>
        <w:rPr>
          <w:rFonts w:ascii="Times New Roman" w:hAnsi="Times New Roman" w:cs="Times New Roman"/>
          <w:color w:val="0070C0"/>
          <w:sz w:val="16"/>
          <w:szCs w:val="16"/>
        </w:rPr>
      </w:pPr>
    </w:p>
    <w:p w14:paraId="11332D56" w14:textId="77777777" w:rsidR="003431D2" w:rsidRPr="002F2FDF" w:rsidRDefault="003431D2" w:rsidP="0083075A">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2F2FDF">
        <w:rPr>
          <w:rFonts w:ascii="Times New Roman" w:eastAsia="Arial Unicode MS" w:hAnsi="Times New Roman" w:cs="Times New Roman"/>
          <w:color w:val="000000" w:themeColor="text1"/>
          <w:kern w:val="2"/>
          <w:sz w:val="16"/>
          <w:szCs w:val="16"/>
        </w:rPr>
        <w:t>В середине 1917 г. построили МК-1 и до глубокой осени готовили к спуску на воду. В уверенности на благоприятное завершение испыта</w:t>
      </w:r>
      <w:r w:rsidRPr="002F2FDF">
        <w:rPr>
          <w:rFonts w:ascii="Times New Roman" w:eastAsia="Arial Unicode MS" w:hAnsi="Times New Roman" w:cs="Times New Roman"/>
          <w:color w:val="000000" w:themeColor="text1"/>
          <w:kern w:val="2"/>
          <w:sz w:val="16"/>
          <w:szCs w:val="16"/>
        </w:rPr>
        <w:softHyphen/>
        <w:t>ний, в первый полет в ноябре 1917 г. кроме летчика Я.И. Седова-Серова на борту МК-1 разместились еще несколько человек. Между тем, волнение моря в день испытаний оказалось значительным. При рез</w:t>
      </w:r>
      <w:r w:rsidRPr="002F2FDF">
        <w:rPr>
          <w:rFonts w:ascii="Times New Roman" w:eastAsia="Arial Unicode MS" w:hAnsi="Times New Roman" w:cs="Times New Roman"/>
          <w:color w:val="000000" w:themeColor="text1"/>
          <w:kern w:val="2"/>
          <w:sz w:val="16"/>
          <w:szCs w:val="16"/>
        </w:rPr>
        <w:softHyphen/>
        <w:t>кой даче газа верхний двигатель, размещенный достаточно далеко от центра тяжести, и большое сопро</w:t>
      </w:r>
      <w:r w:rsidRPr="002F2FDF">
        <w:rPr>
          <w:rFonts w:ascii="Times New Roman" w:eastAsia="Arial Unicode MS" w:hAnsi="Times New Roman" w:cs="Times New Roman"/>
          <w:color w:val="000000" w:themeColor="text1"/>
          <w:kern w:val="2"/>
          <w:sz w:val="16"/>
          <w:szCs w:val="16"/>
        </w:rPr>
        <w:softHyphen/>
        <w:t>тивление поплавка создали значи</w:t>
      </w:r>
      <w:r w:rsidRPr="002F2FDF">
        <w:rPr>
          <w:rFonts w:ascii="Times New Roman" w:eastAsia="Arial Unicode MS" w:hAnsi="Times New Roman" w:cs="Times New Roman"/>
          <w:color w:val="000000" w:themeColor="text1"/>
          <w:kern w:val="2"/>
          <w:sz w:val="16"/>
          <w:szCs w:val="16"/>
        </w:rPr>
        <w:softHyphen/>
        <w:t>тельный пикирующий момент. Но</w:t>
      </w:r>
      <w:r w:rsidRPr="002F2FDF">
        <w:rPr>
          <w:rFonts w:ascii="Times New Roman" w:eastAsia="Arial Unicode MS" w:hAnsi="Times New Roman" w:cs="Times New Roman"/>
          <w:color w:val="000000" w:themeColor="text1"/>
          <w:kern w:val="2"/>
          <w:sz w:val="16"/>
          <w:szCs w:val="16"/>
        </w:rPr>
        <w:softHyphen/>
        <w:t>совая часть самолета еще на ру</w:t>
      </w:r>
      <w:r w:rsidRPr="002F2FDF">
        <w:rPr>
          <w:rFonts w:ascii="Times New Roman" w:eastAsia="Arial Unicode MS" w:hAnsi="Times New Roman" w:cs="Times New Roman"/>
          <w:color w:val="000000" w:themeColor="text1"/>
          <w:kern w:val="2"/>
          <w:sz w:val="16"/>
          <w:szCs w:val="16"/>
        </w:rPr>
        <w:softHyphen/>
        <w:t>лении «зарылась» в воду, которая в значительном количестве поступи</w:t>
      </w:r>
      <w:r w:rsidRPr="002F2FDF">
        <w:rPr>
          <w:rFonts w:ascii="Times New Roman" w:eastAsia="Arial Unicode MS" w:hAnsi="Times New Roman" w:cs="Times New Roman"/>
          <w:color w:val="000000" w:themeColor="text1"/>
          <w:kern w:val="2"/>
          <w:sz w:val="16"/>
          <w:szCs w:val="16"/>
        </w:rPr>
        <w:softHyphen/>
        <w:t>ла внутрь. В результате «крейсер» перевернулся и затонул. Экипаж и пассажиры смогли спастись.</w:t>
      </w:r>
    </w:p>
    <w:p w14:paraId="735EE4ED" w14:textId="77777777" w:rsidR="003431D2" w:rsidRPr="002F2FDF" w:rsidRDefault="003431D2" w:rsidP="0083075A">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2F2FDF">
        <w:rPr>
          <w:rFonts w:ascii="Times New Roman" w:eastAsia="Arial Unicode MS" w:hAnsi="Times New Roman" w:cs="Times New Roman"/>
          <w:color w:val="000000" w:themeColor="text1"/>
          <w:kern w:val="2"/>
          <w:sz w:val="16"/>
          <w:szCs w:val="16"/>
        </w:rPr>
        <w:t>Позднее гидросамолет со зна</w:t>
      </w:r>
      <w:r w:rsidRPr="002F2FDF">
        <w:rPr>
          <w:rFonts w:ascii="Times New Roman" w:eastAsia="Arial Unicode MS" w:hAnsi="Times New Roman" w:cs="Times New Roman"/>
          <w:color w:val="000000" w:themeColor="text1"/>
          <w:kern w:val="2"/>
          <w:sz w:val="16"/>
          <w:szCs w:val="16"/>
        </w:rPr>
        <w:softHyphen/>
        <w:t>чительными повреждениями вытащи</w:t>
      </w:r>
      <w:r w:rsidRPr="002F2FDF">
        <w:rPr>
          <w:rFonts w:ascii="Times New Roman" w:eastAsia="Arial Unicode MS" w:hAnsi="Times New Roman" w:cs="Times New Roman"/>
          <w:color w:val="000000" w:themeColor="text1"/>
          <w:kern w:val="2"/>
          <w:sz w:val="16"/>
          <w:szCs w:val="16"/>
        </w:rPr>
        <w:softHyphen/>
        <w:t>ли на берег. Считалось, что следу</w:t>
      </w:r>
      <w:r w:rsidRPr="002F2FDF">
        <w:rPr>
          <w:rFonts w:ascii="Times New Roman" w:eastAsia="Arial Unicode MS" w:hAnsi="Times New Roman" w:cs="Times New Roman"/>
          <w:color w:val="000000" w:themeColor="text1"/>
          <w:kern w:val="2"/>
          <w:sz w:val="16"/>
          <w:szCs w:val="16"/>
        </w:rPr>
        <w:softHyphen/>
        <w:t>ет увеличить длину носовой части для получения удовлетворительных результатов, или поставить два мотора увеличенной мощности, однако далее работ с МК-1 не ве</w:t>
      </w:r>
      <w:r w:rsidRPr="002F2FDF">
        <w:rPr>
          <w:rFonts w:ascii="Times New Roman" w:eastAsia="Arial Unicode MS" w:hAnsi="Times New Roman" w:cs="Times New Roman"/>
          <w:color w:val="000000" w:themeColor="text1"/>
          <w:kern w:val="2"/>
          <w:sz w:val="16"/>
          <w:szCs w:val="16"/>
        </w:rPr>
        <w:softHyphen/>
        <w:t>лось.</w:t>
      </w:r>
    </w:p>
    <w:p w14:paraId="1A814A24" w14:textId="77777777" w:rsidR="003431D2" w:rsidRPr="002F2FDF" w:rsidRDefault="003431D2" w:rsidP="0083075A">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2F2FDF">
        <w:rPr>
          <w:rFonts w:ascii="Times New Roman" w:eastAsia="Arial Unicode MS" w:hAnsi="Times New Roman" w:cs="Times New Roman"/>
          <w:color w:val="000000" w:themeColor="text1"/>
          <w:kern w:val="2"/>
          <w:sz w:val="16"/>
          <w:szCs w:val="16"/>
        </w:rPr>
        <w:t>Основные данные МК-1</w:t>
      </w:r>
    </w:p>
    <w:p w14:paraId="6D060C3C" w14:textId="77777777" w:rsidR="003431D2" w:rsidRPr="002F2FDF" w:rsidRDefault="003431D2" w:rsidP="0083075A">
      <w:pPr>
        <w:tabs>
          <w:tab w:val="right" w:leader="dot" w:pos="497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Розмах верхнего крыла, м</w:t>
      </w:r>
      <w:r w:rsidRPr="002F2FDF">
        <w:rPr>
          <w:rFonts w:ascii="Times New Roman" w:hAnsi="Times New Roman" w:cs="Times New Roman"/>
          <w:color w:val="000000" w:themeColor="text1"/>
          <w:kern w:val="2"/>
          <w:sz w:val="16"/>
          <w:szCs w:val="16"/>
        </w:rPr>
        <w:tab/>
        <w:t>30,0</w:t>
      </w:r>
    </w:p>
    <w:p w14:paraId="1C104CBD" w14:textId="77777777" w:rsidR="003431D2" w:rsidRPr="002F2FDF" w:rsidRDefault="003431D2" w:rsidP="0083075A">
      <w:pPr>
        <w:tabs>
          <w:tab w:val="right" w:leader="dot" w:pos="497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Длина, м</w:t>
      </w:r>
      <w:r w:rsidRPr="002F2FDF">
        <w:rPr>
          <w:rFonts w:ascii="Times New Roman" w:hAnsi="Times New Roman" w:cs="Times New Roman"/>
          <w:color w:val="000000" w:themeColor="text1"/>
          <w:kern w:val="2"/>
          <w:sz w:val="16"/>
          <w:szCs w:val="16"/>
        </w:rPr>
        <w:tab/>
        <w:t xml:space="preserve"> 16,50</w:t>
      </w:r>
    </w:p>
    <w:p w14:paraId="385CBAB7" w14:textId="77777777" w:rsidR="003431D2" w:rsidRPr="002F2FDF" w:rsidRDefault="003431D2" w:rsidP="0083075A">
      <w:pPr>
        <w:tabs>
          <w:tab w:val="right" w:leader="dot" w:pos="497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Высота, м</w:t>
      </w:r>
      <w:r w:rsidRPr="002F2FDF">
        <w:rPr>
          <w:rFonts w:ascii="Times New Roman" w:hAnsi="Times New Roman" w:cs="Times New Roman"/>
          <w:color w:val="000000" w:themeColor="text1"/>
          <w:kern w:val="2"/>
          <w:sz w:val="16"/>
          <w:szCs w:val="16"/>
        </w:rPr>
        <w:tab/>
        <w:t>4,50 (12086).</w:t>
      </w:r>
    </w:p>
    <w:p w14:paraId="5873BF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985D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1917-го "Двухвостку" оборудовали поплавковым шасси и испытали на Черном море в районе Одессы (9806).</w:t>
      </w:r>
    </w:p>
    <w:p w14:paraId="4F4780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24B34E" w14:textId="77777777" w:rsidR="003431D2" w:rsidRPr="002F2FDF" w:rsidRDefault="003431D2" w:rsidP="0083075A">
      <w:pPr>
        <w:tabs>
          <w:tab w:val="left" w:pos="44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1917 г. «Двухвостку» обору</w:t>
      </w:r>
      <w:r w:rsidRPr="002F2FDF">
        <w:rPr>
          <w:rFonts w:ascii="Times New Roman" w:hAnsi="Times New Roman" w:cs="Times New Roman"/>
          <w:color w:val="000000" w:themeColor="text1"/>
          <w:kern w:val="2"/>
          <w:sz w:val="16"/>
          <w:szCs w:val="16"/>
        </w:rPr>
        <w:softHyphen/>
        <w:t>довали поплавковым шасси и испытали на Черном море в районе Одессы. 11 августа 1917 г. самолет, управляемый конструктором, потерпел аварию при посадке на воду, при этом пассажир, находящийся в верхней каби</w:t>
      </w:r>
      <w:r w:rsidRPr="002F2FDF">
        <w:rPr>
          <w:rFonts w:ascii="Times New Roman" w:hAnsi="Times New Roman" w:cs="Times New Roman"/>
          <w:color w:val="000000" w:themeColor="text1"/>
          <w:kern w:val="2"/>
          <w:sz w:val="16"/>
          <w:szCs w:val="16"/>
        </w:rPr>
        <w:softHyphen/>
        <w:t>не, выпал из нее и утонул. Не смотря на значи</w:t>
      </w:r>
      <w:r w:rsidRPr="002F2FDF">
        <w:rPr>
          <w:rFonts w:ascii="Times New Roman" w:hAnsi="Times New Roman" w:cs="Times New Roman"/>
          <w:color w:val="000000" w:themeColor="text1"/>
          <w:kern w:val="2"/>
          <w:sz w:val="16"/>
          <w:szCs w:val="16"/>
        </w:rPr>
        <w:softHyphen/>
        <w:t>тельный интерес к «Двухвостке» в морском варианте, дальнейшего продолжения эти опыты не имели (11973).</w:t>
      </w:r>
    </w:p>
    <w:p w14:paraId="6BFF7C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6080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середине 1917 г. за счет использования внутризаводских резервов и установки нового оборудования завод Лебедева довел производительность до 40-50 машин в месяц (9705).</w:t>
      </w:r>
    </w:p>
    <w:p w14:paraId="6827D6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4E91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1917 г. Симферопольский авиазавод с опозданием из-за несвоевременной доставки оборудования только начал давать продукцию - 15-20 машин ежемесячно. Это были, главным образом, летающие лодки. Завод располагал большими механическим, сборочным и деревообделочным цехами. На нем было занято около тысячи рабочих и служащих. Качество производившихся самолетов было удовлетворительным, хотя вследствие крайней спешки при выполнении заказов обнаружился ряд дефектов - плохая клейка обшивки крыльев, неудовлетворительное крепление стоек, небрежная сборка. Подполковник Ткачев, инспектируя авиаотряды Юго-Западного фронта, доносил в ставку: “Самолет Анаде 2, по заявлению всех командиров отрядов, вполне удовлетворительный. Большим недостатком сейчас является только неполная тяга мотора в полете, что объясняют слабой вентиляцией в месте помещения мотора, почему возможно всасывание мотором части отработанных и уже выброшенных газов” (9737).</w:t>
      </w:r>
    </w:p>
    <w:p w14:paraId="7043AD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675E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1917 г. правительство России сделало за</w:t>
      </w:r>
      <w:r w:rsidRPr="002F2FDF">
        <w:rPr>
          <w:rFonts w:ascii="Times New Roman" w:hAnsi="Times New Roman" w:cs="Times New Roman"/>
          <w:color w:val="000000" w:themeColor="text1"/>
          <w:kern w:val="2"/>
          <w:sz w:val="16"/>
          <w:szCs w:val="16"/>
        </w:rPr>
        <w:softHyphen/>
        <w:t>каз на 50 экземпляров ДН-4, но поставлены они не бы</w:t>
      </w:r>
      <w:r w:rsidRPr="002F2FDF">
        <w:rPr>
          <w:rFonts w:ascii="Times New Roman" w:hAnsi="Times New Roman" w:cs="Times New Roman"/>
          <w:color w:val="000000" w:themeColor="text1"/>
          <w:kern w:val="2"/>
          <w:sz w:val="16"/>
          <w:szCs w:val="16"/>
        </w:rPr>
        <w:softHyphen/>
        <w:t>ли. Велись переговоры и о лицензии. Неполный комплект чертежей и конструкторской документации прибыл в Москву на завод “Дукс” в августе 1917 г., но начавшиеся революционные события помешали внед</w:t>
      </w:r>
      <w:r w:rsidRPr="002F2FDF">
        <w:rPr>
          <w:rFonts w:ascii="Times New Roman" w:hAnsi="Times New Roman" w:cs="Times New Roman"/>
          <w:color w:val="000000" w:themeColor="text1"/>
          <w:kern w:val="2"/>
          <w:sz w:val="16"/>
          <w:szCs w:val="16"/>
        </w:rPr>
        <w:softHyphen/>
        <w:t>рению ДН-4 в производство. Только в сентябре 1918 г. “Дукс” получил заказ на изготовление 70 самолетов. Подготовку конструкторской документации возложили на коллектив Технического отдела (10667).</w:t>
      </w:r>
    </w:p>
    <w:p w14:paraId="6B9DB2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E893D1" w14:textId="77777777" w:rsidR="00927133" w:rsidRPr="002F2FDF" w:rsidRDefault="0092713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w:t>
      </w:r>
      <w:r w:rsidRPr="002F2FDF">
        <w:rPr>
          <w:rFonts w:ascii="Times New Roman" w:hAnsi="Times New Roman" w:cs="Times New Roman"/>
          <w:color w:val="000000" w:themeColor="text1"/>
          <w:kern w:val="2"/>
          <w:sz w:val="16"/>
          <w:szCs w:val="16"/>
        </w:rPr>
        <w:softHyphen/>
        <w:t>дине 1917г. был собран фюзеляж, крылья и ряд других частей самолета Ижорского завода. Готовность его оценивалась на 40-50 %. Грандиозная программа, как и многие другие, была сорвана большевистским переворотом. Попытка возобновить сборку бомбар</w:t>
      </w:r>
      <w:r w:rsidRPr="002F2FDF">
        <w:rPr>
          <w:rFonts w:ascii="Times New Roman" w:hAnsi="Times New Roman" w:cs="Times New Roman"/>
          <w:color w:val="000000" w:themeColor="text1"/>
          <w:kern w:val="2"/>
          <w:sz w:val="16"/>
          <w:szCs w:val="16"/>
        </w:rPr>
        <w:softHyphen/>
        <w:t>дировщика в годы Гражданской войны не увенчалась успехом из-за бегства к белым инженера Н. А. Флорина со всем комплектом чертежей самолета (15740).</w:t>
      </w:r>
    </w:p>
    <w:p w14:paraId="447B6ECD" w14:textId="77777777" w:rsidR="00927133" w:rsidRPr="002F2FDF" w:rsidRDefault="00927133" w:rsidP="0083075A">
      <w:pPr>
        <w:spacing w:after="0" w:line="240" w:lineRule="auto"/>
        <w:jc w:val="both"/>
        <w:rPr>
          <w:rFonts w:ascii="Times New Roman" w:hAnsi="Times New Roman" w:cs="Times New Roman"/>
          <w:color w:val="000000" w:themeColor="text1"/>
          <w:kern w:val="2"/>
          <w:sz w:val="16"/>
          <w:szCs w:val="16"/>
        </w:rPr>
      </w:pPr>
    </w:p>
    <w:p w14:paraId="4E5678F3" w14:textId="4C53D7ED" w:rsidR="00672EDF" w:rsidRPr="002F2FDF" w:rsidRDefault="00672EDF" w:rsidP="0083075A">
      <w:pPr>
        <w:pStyle w:val="ae"/>
        <w:spacing w:before="0" w:after="0"/>
        <w:jc w:val="both"/>
        <w:rPr>
          <w:color w:val="000000" w:themeColor="text1"/>
          <w:sz w:val="16"/>
          <w:szCs w:val="16"/>
        </w:rPr>
      </w:pPr>
      <w:r w:rsidRPr="002F2FDF">
        <w:rPr>
          <w:color w:val="000000" w:themeColor="text1"/>
          <w:sz w:val="16"/>
          <w:szCs w:val="16"/>
        </w:rPr>
        <w:lastRenderedPageBreak/>
        <w:t>К середине 1917 г. Производительность завода «В. А. Лебедев», учрежденного в 1913 г. одним из первых авиаторов России, достигла 40-50 аппаратов в месяц (против 10 до войны), однако и при этом общество имело задолженность по выполнению контрактов.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w:t>
      </w:r>
      <w:bookmarkStart w:id="192" w:name="_ednref42"/>
      <w:r w:rsidR="004A1FB3" w:rsidRPr="002F2FDF">
        <w:rPr>
          <w:color w:val="000000" w:themeColor="text1"/>
          <w:sz w:val="16"/>
          <w:szCs w:val="16"/>
        </w:rPr>
        <w:fldChar w:fldCharType="begin"/>
      </w:r>
      <w:r w:rsidRPr="002F2FDF">
        <w:rPr>
          <w:color w:val="000000" w:themeColor="text1"/>
          <w:sz w:val="16"/>
          <w:szCs w:val="16"/>
        </w:rPr>
        <w:instrText xml:space="preserve"> HYPERLINK "http://economicarggu.ru/2002_5/01.shtml" \l "_edn42" \o "" </w:instrText>
      </w:r>
      <w:r w:rsidR="004A1FB3" w:rsidRPr="002F2FDF">
        <w:rPr>
          <w:color w:val="000000" w:themeColor="text1"/>
          <w:sz w:val="16"/>
          <w:szCs w:val="16"/>
        </w:rPr>
      </w:r>
      <w:r w:rsidR="004A1FB3" w:rsidRPr="002F2FDF">
        <w:rPr>
          <w:color w:val="000000" w:themeColor="text1"/>
          <w:sz w:val="16"/>
          <w:szCs w:val="16"/>
        </w:rPr>
        <w:fldChar w:fldCharType="separate"/>
      </w:r>
      <w:r w:rsidRPr="002F2FDF">
        <w:rPr>
          <w:rStyle w:val="a5"/>
          <w:color w:val="000000" w:themeColor="text1"/>
          <w:sz w:val="16"/>
          <w:szCs w:val="16"/>
        </w:rPr>
        <w:t>[42]</w:t>
      </w:r>
      <w:r w:rsidR="004A1FB3" w:rsidRPr="002F2FDF">
        <w:rPr>
          <w:color w:val="000000" w:themeColor="text1"/>
          <w:sz w:val="16"/>
          <w:szCs w:val="16"/>
        </w:rPr>
        <w:fldChar w:fldCharType="end"/>
      </w:r>
      <w:bookmarkEnd w:id="192"/>
      <w:r w:rsidR="00E52569">
        <w:rPr>
          <w:color w:val="000000" w:themeColor="text1"/>
          <w:sz w:val="16"/>
          <w:szCs w:val="16"/>
        </w:rPr>
        <w:t xml:space="preserve"> </w:t>
      </w:r>
      <w:r w:rsidRPr="002F2FDF">
        <w:rPr>
          <w:color w:val="000000" w:themeColor="text1"/>
          <w:sz w:val="16"/>
          <w:szCs w:val="16"/>
        </w:rPr>
        <w:t>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Моран-Солье, Депердюссен) с применением двигателя «Сальмсон».</w:t>
      </w:r>
    </w:p>
    <w:p w14:paraId="666AF13E" w14:textId="677E1114" w:rsidR="00672EDF" w:rsidRPr="002F2FDF" w:rsidRDefault="00672EDF" w:rsidP="0083075A">
      <w:pPr>
        <w:pStyle w:val="ae"/>
        <w:spacing w:before="0" w:after="0"/>
        <w:jc w:val="both"/>
        <w:rPr>
          <w:color w:val="000000" w:themeColor="text1"/>
          <w:sz w:val="16"/>
          <w:szCs w:val="16"/>
        </w:rPr>
      </w:pPr>
      <w:r w:rsidRPr="002F2FDF">
        <w:rPr>
          <w:color w:val="000000" w:themeColor="text1"/>
          <w:sz w:val="16"/>
          <w:szCs w:val="16"/>
        </w:rPr>
        <w:t>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w:t>
      </w:r>
      <w:r w:rsidRPr="002F2FDF">
        <w:rPr>
          <w:color w:val="000000" w:themeColor="text1"/>
          <w:sz w:val="16"/>
          <w:szCs w:val="16"/>
          <w:vertAlign w:val="superscript"/>
        </w:rPr>
        <w:t>2</w:t>
      </w:r>
      <w:r w:rsidRPr="002F2FDF">
        <w:rPr>
          <w:color w:val="000000" w:themeColor="text1"/>
          <w:sz w:val="16"/>
          <w:szCs w:val="16"/>
        </w:rPr>
        <w:t>. Экономический кризис 1917 г. не позволил полностью закончить строительство и особенно оборудование новых филиалов.</w:t>
      </w:r>
      <w:r w:rsidR="00E52569">
        <w:rPr>
          <w:color w:val="000000" w:themeColor="text1"/>
          <w:sz w:val="16"/>
          <w:szCs w:val="16"/>
        </w:rPr>
        <w:t xml:space="preserve"> </w:t>
      </w:r>
      <w:r w:rsidRPr="002F2FDF">
        <w:rPr>
          <w:color w:val="000000" w:themeColor="text1"/>
          <w:sz w:val="16"/>
          <w:szCs w:val="16"/>
        </w:rPr>
        <w:t xml:space="preserve"> Наиболее законченный из них, Таганрогский стал впоследствии основой крупнейшего авиационного завода им. Димитрова (18369).</w:t>
      </w:r>
    </w:p>
    <w:p w14:paraId="2FB5D81A" w14:textId="77777777" w:rsidR="00672EDF" w:rsidRPr="002F2FDF" w:rsidRDefault="00672EDF" w:rsidP="0083075A">
      <w:pPr>
        <w:pStyle w:val="ae"/>
        <w:spacing w:before="0" w:after="0"/>
        <w:jc w:val="both"/>
        <w:rPr>
          <w:color w:val="000000" w:themeColor="text1"/>
          <w:sz w:val="16"/>
          <w:szCs w:val="16"/>
        </w:rPr>
      </w:pPr>
    </w:p>
    <w:p w14:paraId="0A40157B" w14:textId="77777777" w:rsidR="00F93F9D" w:rsidRPr="00FB4F67" w:rsidRDefault="00F93F9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те</w:t>
      </w:r>
      <w:r w:rsidRPr="00FB4F67">
        <w:rPr>
          <w:rFonts w:ascii="Times New Roman" w:hAnsi="Times New Roman" w:cs="Times New Roman"/>
          <w:color w:val="0070C0"/>
          <w:sz w:val="16"/>
          <w:szCs w:val="16"/>
        </w:rPr>
        <w:softHyphen/>
        <w:t>чение первой половины 1917 г. изготовили еще 150 самолетов «Лебедь-XII», общее количество произведенных составило 216 аппаратов, из них военной приемке сдали 192 экземпляра. Заметное расхождение указанных цифр объясняется дополнитель</w:t>
      </w:r>
      <w:r w:rsidRPr="00FB4F67">
        <w:rPr>
          <w:rFonts w:ascii="Times New Roman" w:hAnsi="Times New Roman" w:cs="Times New Roman"/>
          <w:color w:val="0070C0"/>
          <w:sz w:val="16"/>
          <w:szCs w:val="16"/>
        </w:rPr>
        <w:softHyphen/>
        <w:t>ной сдачей восстановленных и отремонти</w:t>
      </w:r>
      <w:r w:rsidRPr="00FB4F67">
        <w:rPr>
          <w:rFonts w:ascii="Times New Roman" w:hAnsi="Times New Roman" w:cs="Times New Roman"/>
          <w:color w:val="0070C0"/>
          <w:sz w:val="16"/>
          <w:szCs w:val="16"/>
        </w:rPr>
        <w:softHyphen/>
        <w:t>рованных образцов. Кроме этого количест</w:t>
      </w:r>
      <w:r w:rsidRPr="00FB4F67">
        <w:rPr>
          <w:rFonts w:ascii="Times New Roman" w:hAnsi="Times New Roman" w:cs="Times New Roman"/>
          <w:color w:val="0070C0"/>
          <w:sz w:val="16"/>
          <w:szCs w:val="16"/>
        </w:rPr>
        <w:softHyphen/>
        <w:t>ва, 20 машин заказали заводу Слюсаренко, из которых было построено 4 экземпляра.</w:t>
      </w:r>
    </w:p>
    <w:p w14:paraId="5784D810" w14:textId="77777777" w:rsidR="00F93F9D" w:rsidRPr="00FB4F67" w:rsidRDefault="00F93F9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 появлением на фронте разведчиков «Лебедь-XII» командование связывало оп</w:t>
      </w:r>
      <w:r w:rsidRPr="00FB4F67">
        <w:rPr>
          <w:rFonts w:ascii="Times New Roman" w:hAnsi="Times New Roman" w:cs="Times New Roman"/>
          <w:color w:val="0070C0"/>
          <w:sz w:val="16"/>
          <w:szCs w:val="16"/>
        </w:rPr>
        <w:softHyphen/>
        <w:t>ределенные надежды, рассчитывали, в ча</w:t>
      </w:r>
      <w:r w:rsidRPr="00FB4F67">
        <w:rPr>
          <w:rFonts w:ascii="Times New Roman" w:hAnsi="Times New Roman" w:cs="Times New Roman"/>
          <w:color w:val="0070C0"/>
          <w:sz w:val="16"/>
          <w:szCs w:val="16"/>
        </w:rPr>
        <w:softHyphen/>
        <w:t>стности, произвести замену устаревших «Вуазенов». Однако при всех своих недо</w:t>
      </w:r>
      <w:r w:rsidRPr="00FB4F67">
        <w:rPr>
          <w:rFonts w:ascii="Times New Roman" w:hAnsi="Times New Roman" w:cs="Times New Roman"/>
          <w:color w:val="0070C0"/>
          <w:sz w:val="16"/>
          <w:szCs w:val="16"/>
        </w:rPr>
        <w:softHyphen/>
        <w:t>статках, французский биплан с толкающим винтом оказался на редкость прочным, жи</w:t>
      </w:r>
      <w:r w:rsidRPr="00FB4F67">
        <w:rPr>
          <w:rFonts w:ascii="Times New Roman" w:hAnsi="Times New Roman" w:cs="Times New Roman"/>
          <w:color w:val="0070C0"/>
          <w:sz w:val="16"/>
          <w:szCs w:val="16"/>
        </w:rPr>
        <w:softHyphen/>
        <w:t>вучим и заслужил неплохую репутацию у летчиков. Чего нельзя было сказать о по</w:t>
      </w:r>
      <w:r w:rsidRPr="00FB4F67">
        <w:rPr>
          <w:rFonts w:ascii="Times New Roman" w:hAnsi="Times New Roman" w:cs="Times New Roman"/>
          <w:color w:val="0070C0"/>
          <w:sz w:val="16"/>
          <w:szCs w:val="16"/>
        </w:rPr>
        <w:softHyphen/>
        <w:t>явившемся «Лебеде».</w:t>
      </w:r>
    </w:p>
    <w:p w14:paraId="1E61C97D" w14:textId="77777777" w:rsidR="00F93F9D" w:rsidRPr="00FB4F67" w:rsidRDefault="00F93F9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 фронте выяснилось, что, несмотря на принятые меры, характерные недостатки самолета — стремление к пикированию и загазованность кабины экипажа сохрани</w:t>
      </w:r>
      <w:r w:rsidRPr="00FB4F67">
        <w:rPr>
          <w:rFonts w:ascii="Times New Roman" w:hAnsi="Times New Roman" w:cs="Times New Roman"/>
          <w:color w:val="0070C0"/>
          <w:sz w:val="16"/>
          <w:szCs w:val="16"/>
        </w:rPr>
        <w:softHyphen/>
        <w:t>лись. Более того, в процессе серийной по</w:t>
      </w:r>
      <w:r w:rsidRPr="00FB4F67">
        <w:rPr>
          <w:rFonts w:ascii="Times New Roman" w:hAnsi="Times New Roman" w:cs="Times New Roman"/>
          <w:color w:val="0070C0"/>
          <w:sz w:val="16"/>
          <w:szCs w:val="16"/>
        </w:rPr>
        <w:softHyphen/>
        <w:t>стройки эти дефекты усугубились, что ста</w:t>
      </w:r>
      <w:r w:rsidRPr="00FB4F67">
        <w:rPr>
          <w:rFonts w:ascii="Times New Roman" w:hAnsi="Times New Roman" w:cs="Times New Roman"/>
          <w:color w:val="0070C0"/>
          <w:sz w:val="16"/>
          <w:szCs w:val="16"/>
        </w:rPr>
        <w:softHyphen/>
        <w:t>ло причиной летных происшествий, в том числе пожаров из-за причины подсасыва</w:t>
      </w:r>
      <w:r w:rsidRPr="00FB4F67">
        <w:rPr>
          <w:rFonts w:ascii="Times New Roman" w:hAnsi="Times New Roman" w:cs="Times New Roman"/>
          <w:color w:val="0070C0"/>
          <w:sz w:val="16"/>
          <w:szCs w:val="16"/>
        </w:rPr>
        <w:softHyphen/>
        <w:t>ния горячих выхлопных газов в щели между нижним крылом и фюзеляжем.</w:t>
      </w:r>
    </w:p>
    <w:p w14:paraId="287B7490" w14:textId="77777777" w:rsidR="00F93F9D" w:rsidRPr="00FB4F67" w:rsidRDefault="00F93F9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Фронтовая эксплуатация выявила недо</w:t>
      </w:r>
      <w:r w:rsidRPr="00FB4F67">
        <w:rPr>
          <w:rFonts w:ascii="Times New Roman" w:hAnsi="Times New Roman" w:cs="Times New Roman"/>
          <w:color w:val="0070C0"/>
          <w:sz w:val="16"/>
          <w:szCs w:val="16"/>
        </w:rPr>
        <w:softHyphen/>
        <w:t>статки вооружения самолета. Бомбометы системы Шкульника — цилиндрические пе</w:t>
      </w:r>
      <w:r w:rsidRPr="00FB4F67">
        <w:rPr>
          <w:rFonts w:ascii="Times New Roman" w:hAnsi="Times New Roman" w:cs="Times New Roman"/>
          <w:color w:val="0070C0"/>
          <w:sz w:val="16"/>
          <w:szCs w:val="16"/>
        </w:rPr>
        <w:softHyphen/>
        <w:t>налы для размещения бомб, выполненные из фанеры, которые в полевых условиях короби</w:t>
      </w:r>
      <w:r w:rsidRPr="00FB4F67">
        <w:rPr>
          <w:rFonts w:ascii="Times New Roman" w:hAnsi="Times New Roman" w:cs="Times New Roman"/>
          <w:color w:val="0070C0"/>
          <w:sz w:val="16"/>
          <w:szCs w:val="16"/>
        </w:rPr>
        <w:softHyphen/>
        <w:t>лись, теряли форму и выходили из строя, заменили на бомбодержатели конструкции Колпакова-</w:t>
      </w:r>
      <w:bookmarkStart w:id="193" w:name="_Hlk120001763"/>
      <w:r w:rsidRPr="00FB4F67">
        <w:rPr>
          <w:rFonts w:ascii="Times New Roman" w:hAnsi="Times New Roman" w:cs="Times New Roman"/>
          <w:color w:val="0070C0"/>
          <w:sz w:val="16"/>
          <w:szCs w:val="16"/>
        </w:rPr>
        <w:t>Мирошниченко показали лучшие результа</w:t>
      </w:r>
      <w:r w:rsidRPr="00FB4F67">
        <w:rPr>
          <w:rFonts w:ascii="Times New Roman" w:hAnsi="Times New Roman" w:cs="Times New Roman"/>
          <w:color w:val="0070C0"/>
          <w:sz w:val="16"/>
          <w:szCs w:val="16"/>
        </w:rPr>
        <w:softHyphen/>
        <w:t>ты, поэтому впоследствии большинство машин оборудовали ими. При этом само</w:t>
      </w:r>
      <w:r w:rsidRPr="00FB4F67">
        <w:rPr>
          <w:rFonts w:ascii="Times New Roman" w:hAnsi="Times New Roman" w:cs="Times New Roman"/>
          <w:color w:val="0070C0"/>
          <w:sz w:val="16"/>
          <w:szCs w:val="16"/>
        </w:rPr>
        <w:softHyphen/>
        <w:t>лет нес две однопудовые и две двадцати</w:t>
      </w:r>
      <w:r w:rsidRPr="00FB4F67">
        <w:rPr>
          <w:rFonts w:ascii="Times New Roman" w:hAnsi="Times New Roman" w:cs="Times New Roman"/>
          <w:color w:val="0070C0"/>
          <w:sz w:val="16"/>
          <w:szCs w:val="16"/>
        </w:rPr>
        <w:softHyphen/>
        <w:t>фунтовые бомбы системы капитана Орановского общим весом 48 кг. Бомбовая подвеска оборудовалась под центропла</w:t>
      </w:r>
      <w:r w:rsidRPr="00FB4F67">
        <w:rPr>
          <w:rFonts w:ascii="Times New Roman" w:hAnsi="Times New Roman" w:cs="Times New Roman"/>
          <w:color w:val="0070C0"/>
          <w:sz w:val="16"/>
          <w:szCs w:val="16"/>
        </w:rPr>
        <w:softHyphen/>
        <w:t xml:space="preserve">ном нижнего крыла. </w:t>
      </w:r>
      <w:bookmarkEnd w:id="193"/>
      <w:r w:rsidRPr="00FB4F67">
        <w:rPr>
          <w:rFonts w:ascii="Times New Roman" w:hAnsi="Times New Roman" w:cs="Times New Roman"/>
          <w:color w:val="0070C0"/>
          <w:sz w:val="16"/>
          <w:szCs w:val="16"/>
        </w:rPr>
        <w:t>Оборонительные установки для пулемета «Кольт» конструкции инженера Шкульника оказались не вполне надежными в эксплуа</w:t>
      </w:r>
      <w:r w:rsidRPr="00FB4F67">
        <w:rPr>
          <w:rFonts w:ascii="Times New Roman" w:hAnsi="Times New Roman" w:cs="Times New Roman"/>
          <w:color w:val="0070C0"/>
          <w:sz w:val="16"/>
          <w:szCs w:val="16"/>
        </w:rPr>
        <w:softHyphen/>
        <w:t>тации, поэтому впоследствии часть само</w:t>
      </w:r>
      <w:r w:rsidRPr="00FB4F67">
        <w:rPr>
          <w:rFonts w:ascii="Times New Roman" w:hAnsi="Times New Roman" w:cs="Times New Roman"/>
          <w:color w:val="0070C0"/>
          <w:sz w:val="16"/>
          <w:szCs w:val="16"/>
        </w:rPr>
        <w:softHyphen/>
        <w:t>летов оборудовалось системами Колпако</w:t>
      </w:r>
      <w:r w:rsidRPr="00FB4F67">
        <w:rPr>
          <w:rFonts w:ascii="Times New Roman" w:hAnsi="Times New Roman" w:cs="Times New Roman"/>
          <w:color w:val="0070C0"/>
          <w:sz w:val="16"/>
          <w:szCs w:val="16"/>
        </w:rPr>
        <w:softHyphen/>
        <w:t>ва-Мирошниченко (23374).</w:t>
      </w:r>
    </w:p>
    <w:p w14:paraId="23337BFA" w14:textId="77777777" w:rsidR="00F93F9D" w:rsidRPr="00FB4F67" w:rsidRDefault="00F93F9D" w:rsidP="0083075A">
      <w:pPr>
        <w:spacing w:after="0" w:line="240" w:lineRule="auto"/>
        <w:jc w:val="both"/>
        <w:rPr>
          <w:rFonts w:ascii="Times New Roman" w:hAnsi="Times New Roman" w:cs="Times New Roman"/>
          <w:color w:val="0070C0"/>
          <w:sz w:val="16"/>
          <w:szCs w:val="16"/>
        </w:rPr>
      </w:pPr>
    </w:p>
    <w:p w14:paraId="6E302B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середине 1917 г. двигатели РБВЗ-6 по своим конструктивным и эксплуатационным качествам уже представляли собой далеко не последнее слово авиационной техники. К указанному периоду королевские ВВС Великобритании уже располагали моторами "Роллс-Ройс" мощностью 270 и 360 л.с. Во Франции создали 8-цилиндровые двигатели "Испано-Сюиза" мощностью 300 л.с. Наконец, появились американские 12-цилиндровые моторы "Либерти" мощностью 400 л.с. Все эти двигатели были построены по V-образной схеме, имели жидкостное охлаждение, причем масса наиболее тяжелого из них не превышала 420 кг. Если бы военное ведомство сумело снабдить Эскадру двигателями типа "Роллс-Ройс", то скорость "Муромца" при неизменной конструкции составила бы не менее 160 км/ч. Но завод, строивший "Муромцы", не располагал такого рода двигателями и не смог существенно улучшить летные качества выпускавшегося тяжелого самолета. Была еще одна возможность усовершенствовать корабль, улучшив его аэродинамику. За время войны она не претерпела существенных изменений. Общая аэродинамика "Муромца" с современной точки зрения представляется далеко не совершенной. Незакапотированные двигатели, многочисленные расчалки и тросы, несовершенная форма фюзеляжа, громоздкое неубирающееся шасси значительно (не менее чем на 200 %) повышали коэффициент лобового сопротивления самолета. Аэродинамическое качество "Муромца" не превышало 8...9. При относительно небольшой нагрузке на единицу площади несущих поверхностей, равной примерно 28 кгс/м2, скорость полета "Муромца", по меркам 1917 г., была уже невысокой. В то же время типовая нагрузка на 1 л.с. составляла у 5,5 кг. Весовая отдача "Муромца" доходила до 35 %, что следует считать выдающимся достижением для того времени. Однако в аэродинамике и прочности первых многомоторных самолетов имелись и существенные недостатки. Прежде всего, "Муромцы" не обладали достаточной поперечной устойчивостью, имели тенденцию при небольшом крене скользить на крыло. Для предотвращения этого в кабине пилота устанавливался креномер, который состоял из двух стеклянных V-образных трубочек с шариком. В горизонтальном полете шарик должен был оставаться в середине прибора (11276).</w:t>
      </w:r>
    </w:p>
    <w:p w14:paraId="490551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0F53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1917 в УВВФ в связи с разработкой общего вопроса о снабжении Эскадры большими самолетами технический комитет привлек для аэродинамической оценки "Муромца" типа Г и определения его прочности ученых. Комиссия в составе С.П. Тимошенко, Г.А. Ботезата и А.П. Фан дер Флита отметила в своем заключении, что у этого типа воздушных кораблей "управление в горизонтальной плоскости благодаря принятому устройству рулей и киля является весьма грубым и может быть причиной неблагоприятных явлений". В связи с оценкой прочности самолета комиссия утверждала: "Проверочный расчет прочности аэроплана показал, что наиболее слабыми частями его являются диагональные растяжки и средние стойки главной коробки, а также шасси". Ученые рассчитали, что общий запас прочности "Муромца" в два раза меньше, чем у аппарата типа "Фарман-30", коэффициент безопасности составляет 1,5 вместо 3 для малых аппаратов. Комиссия утверждала, что "всякие резкие эволюции на "Муромцах" уже являются для него опасными и поэтому совершенно недопустимыми". Вывод гласил, что "аппарат с точки зрения прочности в полете опасен", заказов больше делать не следует и что "лучше выработать новый тип, чем заниматься улучшением "Ильи Муромца". С мнением профессоров ни конструктор, ни летчики эскадры не согласились, считая, что запас прочности у растяжек значительно выше, чем указано комиссией. Капитан А.Н. Журавченко, летавший на тяжелых кораблях в качестве штурмана, заявил в своем докладе, что на "Муромцах" возможно выполнение некоторых необходимых маневров. Если можно согласиться, что комиссия к оценке запаса прочности самолета подошла чрезмерно осторожно, то все же нельзя не признать, что общий коэффициент безопасности "Муромцев" был небольшим и, во всяком случае, не превышал 2. Справедливым можно рассматривать требование комиссии усилить стойки, растяжки и шасси. Однако И.И. Сикорский понимал, что всякое увеличение запаса прочности отдельных частей самолета вызовет увеличение веса и, следовательно, ухудшение летных качеств самолета. Как уже отмечалось, требованиям грузоподъемности и дальности полета в то время придавалось первостепенное значение по сравнению с другими характеристиками. Все улучшения в отношении прочности деталей самолета становились невозможными из-за недостаточной мощности силовых установок. Между тем запас прочности действительно был незначительным и крайне осложнял пилотирование корабля. По словам летчиков, всякий разворот на "Муромце" приходилось делать осторожно, так как при большом крене длинный и недостаточно жесткий фюзеляж скручивался и стабилизатор получал меньший угол крена, чем крылья. При резком крене существовала даже опасность разрушения самолета. Вызванный на заседание комиссии военный летчик эскадры подпоручик Г.В. Янковский доложил комитету о проблемах с управлением самолетом "Илья Муромец". Он указал на то, что при посадке приходилось давать команду экипажу перемещаться в хвост корабля, что смещало его центровку. Из-за больших нагрузок на рули давление на штурвал достигало 70…80 кгс, поэтому руль в момент посадки помимо летчика тянул также механик или второй пилот. Так приходилось поступать из-за отсутствия компенсации на рулях высоты; в то время еще не знали способа борьбы с этим явлением. Управление режимом работы двигателей целиком возлагалось на бортмеханика, что в ряде случаев было неудобно. Второй пилот являлся запасным, так как второй штурвал на самолете отсутствовал (11276).</w:t>
      </w:r>
    </w:p>
    <w:p w14:paraId="22FF38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1966AA" w14:textId="77777777" w:rsidR="00927133" w:rsidRPr="002F2FDF" w:rsidRDefault="00927133"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В середине 1917 г. завод «Сальмсон» серьезно пострадал от пожара, а в конце года был полностью дезорганизован отъездом на родину французского персонала (15464).</w:t>
      </w:r>
    </w:p>
    <w:p w14:paraId="4D845A54" w14:textId="77777777" w:rsidR="00927133" w:rsidRPr="002F2FDF" w:rsidRDefault="00927133" w:rsidP="0083075A">
      <w:pPr>
        <w:pStyle w:val="2"/>
        <w:spacing w:before="0" w:beforeAutospacing="0" w:after="0" w:afterAutospacing="0"/>
        <w:jc w:val="both"/>
        <w:rPr>
          <w:b w:val="0"/>
          <w:color w:val="000000" w:themeColor="text1"/>
          <w:kern w:val="2"/>
          <w:sz w:val="16"/>
          <w:szCs w:val="16"/>
        </w:rPr>
      </w:pPr>
    </w:p>
    <w:p w14:paraId="698A28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середины 1917 г. поставки зарубежных двигателей в Россию почти полностью прекратились, а своих авиамоторов Россия практически не выпускала. Сказывалось также отсутствие производства высококачественных сталей, магнето, авиационных свечей зажигания, топливной аппаратуры, различных приборов (9528).</w:t>
      </w:r>
    </w:p>
    <w:p w14:paraId="744C03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3347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середине 1917 г. на «Русском Рено» в Рыбинске были готовы два корпуса и еще два не достроены. Первые цеха в Рыбинске начали работать лишь в апреле 1918 г. — там ремонтиро</w:t>
      </w:r>
      <w:r w:rsidRPr="002F2FDF">
        <w:rPr>
          <w:rFonts w:ascii="Times New Roman" w:hAnsi="Times New Roman" w:cs="Times New Roman"/>
          <w:color w:val="000000" w:themeColor="text1"/>
          <w:kern w:val="2"/>
          <w:sz w:val="16"/>
          <w:szCs w:val="16"/>
        </w:rPr>
        <w:softHyphen/>
        <w:t>вали автомобили и броневики. Но с 1928 г. этот завод стал специализиро</w:t>
      </w:r>
      <w:r w:rsidRPr="002F2FDF">
        <w:rPr>
          <w:rFonts w:ascii="Times New Roman" w:hAnsi="Times New Roman" w:cs="Times New Roman"/>
          <w:color w:val="000000" w:themeColor="text1"/>
          <w:kern w:val="2"/>
          <w:sz w:val="16"/>
          <w:szCs w:val="16"/>
        </w:rPr>
        <w:softHyphen/>
        <w:t>ваться на авиационном моторостроении. Сейчас это головное предприятие объединения «Люлька-Сатурн» (11852).</w:t>
      </w:r>
    </w:p>
    <w:p w14:paraId="015AF0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D8319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38F37B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C63C1E" w14:textId="77777777" w:rsidR="00672EDF" w:rsidRPr="002F2FDF" w:rsidRDefault="00672ED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К середине 1917 года были полностью готовы 6 корпусов артиллерийского завода в Юзовке площадью 40080 квадратных метров – производственные здания новейшей конструкции (по тому времени) с бетонными полами, большим количеством света и воздуха, приспособленные для калориферного отопления. В корпусе № 1 находилась ремонтная паровозо-вагонная мастерская Новороссийского общества, в корпусах №№ 2,5,7 – склады, в корпусе № 8 – мастерская для производства 6-ти дюймовых фугасных снарядов.</w:t>
      </w:r>
    </w:p>
    <w:p w14:paraId="22FD3EBD" w14:textId="77777777" w:rsidR="00672EDF" w:rsidRPr="002F2FDF" w:rsidRDefault="00672ED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Рядом вырос новый поселок. Было построено около 150 шлакоблочных домов из 418, которые планировалось построить. О поселке более подробно можно прочитать в статье [3].</w:t>
      </w:r>
    </w:p>
    <w:p w14:paraId="685CAB9B" w14:textId="77777777" w:rsidR="00672EDF" w:rsidRPr="002F2FDF" w:rsidRDefault="00672ED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Тянулись водопроводная и электрическая линии. На заводе работало 13 телефонных аппаратов. На «Ветке» сооружались электростанция и котловое здание. Во временных постройках разместилась камнедробилка, склады, сушильня досок, столовая, рынок, конюшня. Рядом с песчаным карьером построили кирпичный завод. Строились: школа, больница, бани, прачечная, продовольственный магазин с хлебопекарней, гостиница, домашняя церковь, оранжерея, главная контора.</w:t>
      </w:r>
    </w:p>
    <w:p w14:paraId="46303612" w14:textId="77777777" w:rsidR="00672EDF" w:rsidRPr="002F2FDF" w:rsidRDefault="00672ED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Был построен в лесопосадке, недалеко от завода, Зеленый театр, упоминание о котором относится к 1917 году. Вокруг него был устроен небольшой парк для отдыха рабочих завода.</w:t>
      </w:r>
    </w:p>
    <w:p w14:paraId="4297256F" w14:textId="77777777" w:rsidR="00672EDF" w:rsidRPr="002F2FDF" w:rsidRDefault="00672ED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Строительство завода велось до 1917 года, а потом было прекращено до весны 1918 г. вследствие тяжелого финансового положения общества и общего расстройства промышленной жизни России. Однако, в уже построенной части завода, продолжалось производство 6 дюймовых боеприпасов (18630).</w:t>
      </w:r>
    </w:p>
    <w:p w14:paraId="3B83E572" w14:textId="77777777" w:rsidR="00672EDF" w:rsidRPr="002F2FDF" w:rsidRDefault="00672EDF" w:rsidP="0083075A">
      <w:pPr>
        <w:spacing w:after="0" w:line="240" w:lineRule="auto"/>
        <w:jc w:val="both"/>
        <w:rPr>
          <w:rFonts w:ascii="Times New Roman" w:hAnsi="Times New Roman" w:cs="Times New Roman"/>
          <w:color w:val="000000" w:themeColor="text1"/>
          <w:sz w:val="16"/>
          <w:szCs w:val="16"/>
        </w:rPr>
      </w:pPr>
    </w:p>
    <w:p w14:paraId="4E062340" w14:textId="77777777" w:rsidR="00672EDF" w:rsidRPr="002F2FDF" w:rsidRDefault="00672EDF" w:rsidP="0083075A">
      <w:pPr>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shd w:val="clear" w:color="auto" w:fill="FFFFFF"/>
        </w:rPr>
        <w:t>К середине 1917 года Севастьян Севастьянович Вальднер (1882-1945 гг.) вместе с командиром автомобильной роты Маттиссоном усовершенствовали свою конструкцию, запатентованную изобретателями как «Система Матваль» - по первым слогам своих фамилий «МАТтиссон - ВАЛЬднер», разработали несколько новых проектов, имевших одну общую черту - для их изготовления использовались автомобильные агрегаты (18626).</w:t>
      </w:r>
    </w:p>
    <w:p w14:paraId="5C832A1C" w14:textId="77777777" w:rsidR="00672EDF" w:rsidRPr="002F2FDF" w:rsidRDefault="00672EDF" w:rsidP="0083075A">
      <w:pPr>
        <w:spacing w:after="0" w:line="240" w:lineRule="auto"/>
        <w:jc w:val="both"/>
        <w:rPr>
          <w:rFonts w:ascii="Times New Roman" w:hAnsi="Times New Roman" w:cs="Times New Roman"/>
          <w:color w:val="000000" w:themeColor="text1"/>
          <w:sz w:val="16"/>
          <w:szCs w:val="16"/>
          <w:shd w:val="clear" w:color="auto" w:fill="FFFFFF"/>
        </w:rPr>
      </w:pPr>
    </w:p>
    <w:p w14:paraId="2EF36889" w14:textId="77777777" w:rsidR="00672EDF" w:rsidRPr="002F2FDF" w:rsidRDefault="00672EDF"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К середине 1917 г. общее количество заводов, работавших по заказам Ванкова, насчитывалось уже около 300 по срвнению 110, в 1915 г. Особенно важную роль в организации Ванкова играли заводы крупнейшего московского капиталиста Н. А. Второва. На этих заводах (в Москве и Богородске) происходили сборка и снаряжение взрывчатыми веществами изготовленных снарядов. В письменных инструкциях, которые Банков получил от военного министерства, указывалось, что цены, по которым должны "быть заготовлены снаряды, не фиксируются Главным артиллерийским управлением заранее, а устанавливаются по представлению Ванкова лишь после того, как последний в результате переговоров с промышленниками выяснит их уровень. Другими словами, Ванкову фактически была предоставлена возможность заказывать снаряды по складывающимся и наиболее высоким ценам. Выполнение заказов Ванкова оказалось настолько прибыльным делом, что этим стали заниматься также и текстильные фабрики. Ситценабивные, многие ткацкие фабрики Московской и Ивановской губерний (Прохорова, Коншина, Гарелина, Гандурина и др.) создали у себя небольшие снарядные мастерские и принялись выполнять заказы Ванкова. Общие масштабы работы организации Ванкова определяются такими данными: на 1/VI 1918 г. эта организация изготовила 18 млн. снарядов на сумму в 470 млн. рублей (18381).</w:t>
      </w:r>
    </w:p>
    <w:p w14:paraId="4AFE2CFB" w14:textId="77777777" w:rsidR="00672EDF" w:rsidRPr="002F2FDF" w:rsidRDefault="00672EDF" w:rsidP="0083075A">
      <w:pPr>
        <w:spacing w:after="0" w:line="240" w:lineRule="auto"/>
        <w:jc w:val="both"/>
        <w:rPr>
          <w:rFonts w:ascii="Times New Roman" w:eastAsia="Times New Roman" w:hAnsi="Times New Roman" w:cs="Times New Roman"/>
          <w:color w:val="000000" w:themeColor="text1"/>
          <w:sz w:val="16"/>
          <w:szCs w:val="16"/>
          <w:lang w:eastAsia="ru-RU"/>
        </w:rPr>
      </w:pPr>
    </w:p>
    <w:p w14:paraId="141071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середине 1917 года первая российская артиллерийская установка на основе французского железнодорожного 50-тонного транспортера была изготовлена (11454).</w:t>
      </w:r>
    </w:p>
    <w:p w14:paraId="55E001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A404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середине 1917 г. Царицынский завод уже смог начать производить некоторые ремонтные работы, но к самостоятельному выпуску орудий еще не приступил, хотя основная часть оборудования технологического цикла производства орудий большого калибра уже была завезена. </w:t>
      </w:r>
    </w:p>
    <w:p w14:paraId="6857E6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Необходимо отметить, что несмотря на все трудности руководство РАОАЗ с самого начала войны предпринимало попытки наладить производство вооружений для фронта даже на недостроенном заводе. Общество попыталось получить заказ Главного артиллерийского управления (ГАУ) на 3000 штук 3-дюймовых полевых пушек. Но на предприятии не было предусмотрено мастерской малых орудий, так как здесь планировался выпуск морских орудий только крупного и среднего калибров. Тогда у специалистов РАОАЗ появился план соорудить к средней орудийной мастерской пристройку, а состав оборудования для выделки полевых пушек согласовать с инженерами &lt;Виккерс&gt;. В Англии заказали 54 новых металлообрабатывающих станка, но позже выяснилось, что их целесообразнее будет использовать на других заводах, и станки раскидали по этим предприятиям. </w:t>
      </w:r>
    </w:p>
    <w:p w14:paraId="0F38CD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конечном счете, предполагавшийся заказ был передан на Пермский сталелитейный пушечный завод, а Обществу поручили изготовить 2500 орудий на сумму в 23,7 млн. рублей. Поскольку Царицынский завод полностью самостоятельно приступить к исполнению заказа еще не мог, то в РАОАЗ приняли решение задействовать для этой цели производственные мощности других заводов, связанных с Царицынским личными договорами руководства и производственными связями (1448).</w:t>
      </w:r>
    </w:p>
    <w:p w14:paraId="11259F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6220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1917 общее количество созданных областных и местных военно-промышленных комитетов по подсчетам М.Ф.Юрия — 242: 36 областных и 206 местных. Практическая задача и деятельность ВПК заключались в мобилизации промышленности на нужды обороны, но у ВПК собственных предприятий не было, а также не было капиталов для реконструкции предприятий. Поэтому фактически вся деятельность ВПК сводилась к простому распределению заказов среди предприятий. Распределяя заказы, тот или иной отдел Комитета командировал на завод своих агентов для выяснения пригодности предприятия к исполнению поставки, заинтересованности в кредите, в получении материалов и для обследования общего положения предприятия. Заказы были весьма важным рычагом, при помощи которого военно-промышленные комитеты могли влиять на промышленное производство посредством ограничения или льготами в выдаче недостающего сырья (металла, хлопка, шелка и т.п.), ходатайствами Центрального комитета об отсрочках мобилизованным рабочим заинтересованного предприятия, оказанием различных выгод в финансировании. Имея в своем составе ряд деловых комиссий, ЦВПК участвовал через своих представителей в правительственных учреждениях и регулирующих органах, куда вносил немало инициативы, критики, добивался от государственных органов удовлетворения частно-хозяйственных интересов промышленности. Но основные правительственные заказы военно-промышленные комитеты получали из рук Особого совещания по обороне и его местных органов — заводских совещаний, попытки же “предоставления ему … непосредственного надзора за исполнением всех заказов для нужд обороны” по решению Особого совещания по обороне от 2 декабря 1915 г. были отклонены. Так же как не удалась Военно-промышленным комитетам попытка превратиться в главный хозяйственный штаб страны, который распределял бы среди предприятий металл, топливо, рабочую силу, финансировал бы заводы, работавшие на оборону, устанавливал бы цены на промышленные изделия (11270).</w:t>
      </w:r>
    </w:p>
    <w:p w14:paraId="2E8EF4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4437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середине 1917 года, в российской армии оставалось всего семь бронепоездов, остальные были потеряны в боях или находились в ремонте. При поиске путей повышения эффективности боевого применения бронированных составов была высказана мысль о целесообразности перехода к бронированным мотовагонам, приводившимся в движение двигателем внутреннего сгорания. Разработчики считали, что неоценимые преимущества такой вариант будет иметь вследствие меньших размеров, а значит, меньшей заметности, отсутствия пара, дыма и шума при движении, лучшей управляемости ("начальник поезда все видит и всем распоряжается: личным составом, движением вагона, работой орудий и пулеметов") (11406).</w:t>
      </w:r>
    </w:p>
    <w:p w14:paraId="7D0815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1E362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4112A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A974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1917 г., т. е. через год, число отрядов истребителей увеличилось вдвое. В каждом отряде насчитывалось уже по восемь машин; таким образом, все истребительные отряды насчитывали 192 истребителя (9705).</w:t>
      </w:r>
    </w:p>
    <w:p w14:paraId="2CE77C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B1CC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1917 года в полосе Юго-Западного фронта 225 росийских самолетов противостояло 226 вражеским самолетам, при этом они нанесли противнику урон (сбив в воздушных боях 23 неприятельских аппарата), в три раза превосходящий собственные потери (11184).</w:t>
      </w:r>
    </w:p>
    <w:p w14:paraId="0AF0AA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CB2B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1917 тоду в одном из донесений с фронта говорилось: “Кризис насту</w:t>
      </w:r>
      <w:r w:rsidRPr="002F2FDF">
        <w:rPr>
          <w:rFonts w:ascii="Times New Roman" w:hAnsi="Times New Roman" w:cs="Times New Roman"/>
          <w:color w:val="000000" w:themeColor="text1"/>
          <w:kern w:val="2"/>
          <w:sz w:val="16"/>
          <w:szCs w:val="16"/>
        </w:rPr>
        <w:softHyphen/>
        <w:t>пил, больше ждать нельзя... Считаю, что если немедленно не будут приняты экстренные меры, то через 2 месяца наша авиация будет сведена к нулю, а без её полного содей</w:t>
      </w:r>
      <w:r w:rsidRPr="002F2FDF">
        <w:rPr>
          <w:rFonts w:ascii="Times New Roman" w:hAnsi="Times New Roman" w:cs="Times New Roman"/>
          <w:color w:val="000000" w:themeColor="text1"/>
          <w:kern w:val="2"/>
          <w:sz w:val="16"/>
          <w:szCs w:val="16"/>
        </w:rPr>
        <w:softHyphen/>
        <w:t>ствия на успех операций в современной войне рассчиты</w:t>
      </w:r>
      <w:r w:rsidRPr="002F2FDF">
        <w:rPr>
          <w:rFonts w:ascii="Times New Roman" w:hAnsi="Times New Roman" w:cs="Times New Roman"/>
          <w:color w:val="000000" w:themeColor="text1"/>
          <w:kern w:val="2"/>
          <w:sz w:val="16"/>
          <w:szCs w:val="16"/>
        </w:rPr>
        <w:softHyphen/>
        <w:t>вать нельзя” (11096).</w:t>
      </w:r>
    </w:p>
    <w:p w14:paraId="064FBBC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E31CE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середины 1917 года черноморская авиация, особен</w:t>
      </w:r>
      <w:r w:rsidRPr="002F2FDF">
        <w:rPr>
          <w:rFonts w:ascii="Times New Roman" w:hAnsi="Times New Roman" w:cs="Times New Roman"/>
          <w:color w:val="000000" w:themeColor="text1"/>
          <w:kern w:val="2"/>
          <w:sz w:val="16"/>
          <w:szCs w:val="16"/>
        </w:rPr>
        <w:softHyphen/>
        <w:t>но ее корабельные отряды, принимала активное участив в боль</w:t>
      </w:r>
      <w:r w:rsidRPr="002F2FDF">
        <w:rPr>
          <w:rFonts w:ascii="Times New Roman" w:hAnsi="Times New Roman" w:cs="Times New Roman"/>
          <w:color w:val="000000" w:themeColor="text1"/>
          <w:kern w:val="2"/>
          <w:sz w:val="16"/>
          <w:szCs w:val="16"/>
        </w:rPr>
        <w:softHyphen/>
        <w:t>шинстве проводимых главными силами флота морских опе</w:t>
      </w:r>
      <w:r w:rsidRPr="002F2FDF">
        <w:rPr>
          <w:rFonts w:ascii="Times New Roman" w:hAnsi="Times New Roman" w:cs="Times New Roman"/>
          <w:color w:val="000000" w:themeColor="text1"/>
          <w:kern w:val="2"/>
          <w:sz w:val="16"/>
          <w:szCs w:val="16"/>
        </w:rPr>
        <w:softHyphen/>
        <w:t>раций. Несомненно балтийская авиация, прежде всего ее прибрежные отряды, также действовали с большим напряже</w:t>
      </w:r>
      <w:r w:rsidRPr="002F2FDF">
        <w:rPr>
          <w:rFonts w:ascii="Times New Roman" w:hAnsi="Times New Roman" w:cs="Times New Roman"/>
          <w:color w:val="000000" w:themeColor="text1"/>
          <w:kern w:val="2"/>
          <w:sz w:val="16"/>
          <w:szCs w:val="16"/>
        </w:rPr>
        <w:softHyphen/>
        <w:t>нием, хотя, объективности ради, это следует показать на основе архивных материалов. Троекратная “демократизация” Временного правительства, перестановки лиц в Ставке Верховного Главнокомандования, Военном и Морском министерствах, на фронтах и флотах, в соединениях и штабах привели к неразберихе взглядов по опе</w:t>
      </w:r>
      <w:r w:rsidRPr="002F2FDF">
        <w:rPr>
          <w:rFonts w:ascii="Times New Roman" w:hAnsi="Times New Roman" w:cs="Times New Roman"/>
          <w:color w:val="000000" w:themeColor="text1"/>
          <w:kern w:val="2"/>
          <w:sz w:val="16"/>
          <w:szCs w:val="16"/>
        </w:rPr>
        <w:softHyphen/>
        <w:t>ративно-стратегическим вопросам - от принципов боевого применения вооруженных сил до проблем их дальнейшего раз</w:t>
      </w:r>
      <w:r w:rsidRPr="002F2FDF">
        <w:rPr>
          <w:rFonts w:ascii="Times New Roman" w:hAnsi="Times New Roman" w:cs="Times New Roman"/>
          <w:color w:val="000000" w:themeColor="text1"/>
          <w:kern w:val="2"/>
          <w:sz w:val="16"/>
          <w:szCs w:val="16"/>
        </w:rPr>
        <w:softHyphen/>
        <w:t>вития (11283).</w:t>
      </w:r>
    </w:p>
    <w:p w14:paraId="12D7B2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F87A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1917 г. общее коли</w:t>
      </w:r>
      <w:r w:rsidRPr="002F2FDF">
        <w:rPr>
          <w:rFonts w:ascii="Times New Roman" w:hAnsi="Times New Roman" w:cs="Times New Roman"/>
          <w:color w:val="000000" w:themeColor="text1"/>
          <w:kern w:val="2"/>
          <w:sz w:val="16"/>
          <w:szCs w:val="16"/>
        </w:rPr>
        <w:softHyphen/>
        <w:t>чество М-9 на Черном море дове</w:t>
      </w:r>
      <w:r w:rsidRPr="002F2FDF">
        <w:rPr>
          <w:rFonts w:ascii="Times New Roman" w:hAnsi="Times New Roman" w:cs="Times New Roman"/>
          <w:color w:val="000000" w:themeColor="text1"/>
          <w:kern w:val="2"/>
          <w:sz w:val="16"/>
          <w:szCs w:val="16"/>
        </w:rPr>
        <w:softHyphen/>
        <w:t>ли до 48 экземпляров. Однако на</w:t>
      </w:r>
      <w:r w:rsidRPr="002F2FDF">
        <w:rPr>
          <w:rFonts w:ascii="Times New Roman" w:hAnsi="Times New Roman" w:cs="Times New Roman"/>
          <w:color w:val="000000" w:themeColor="text1"/>
          <w:kern w:val="2"/>
          <w:sz w:val="16"/>
          <w:szCs w:val="16"/>
        </w:rPr>
        <w:softHyphen/>
        <w:t>чиная с осени 1917 г., по причине неоднократной смены власти на юге России, черноморские М-9 меняли своих владельцев, что вело к неук</w:t>
      </w:r>
      <w:r w:rsidRPr="002F2FDF">
        <w:rPr>
          <w:rFonts w:ascii="Times New Roman" w:hAnsi="Times New Roman" w:cs="Times New Roman"/>
          <w:color w:val="000000" w:themeColor="text1"/>
          <w:kern w:val="2"/>
          <w:sz w:val="16"/>
          <w:szCs w:val="16"/>
        </w:rPr>
        <w:softHyphen/>
        <w:t>лонному уменьшению их численно</w:t>
      </w:r>
      <w:r w:rsidRPr="002F2FDF">
        <w:rPr>
          <w:rFonts w:ascii="Times New Roman" w:hAnsi="Times New Roman" w:cs="Times New Roman"/>
          <w:color w:val="000000" w:themeColor="text1"/>
          <w:kern w:val="2"/>
          <w:sz w:val="16"/>
          <w:szCs w:val="16"/>
        </w:rPr>
        <w:softHyphen/>
        <w:t>сти. Весной 1918 г., к моменту ав</w:t>
      </w:r>
      <w:r w:rsidRPr="002F2FDF">
        <w:rPr>
          <w:rFonts w:ascii="Times New Roman" w:hAnsi="Times New Roman" w:cs="Times New Roman"/>
          <w:color w:val="000000" w:themeColor="text1"/>
          <w:kern w:val="2"/>
          <w:sz w:val="16"/>
          <w:szCs w:val="16"/>
        </w:rPr>
        <w:softHyphen/>
        <w:t>стро-немецкой оккупации, на Чер</w:t>
      </w:r>
      <w:r w:rsidRPr="002F2FDF">
        <w:rPr>
          <w:rFonts w:ascii="Times New Roman" w:hAnsi="Times New Roman" w:cs="Times New Roman"/>
          <w:color w:val="000000" w:themeColor="text1"/>
          <w:kern w:val="2"/>
          <w:sz w:val="16"/>
          <w:szCs w:val="16"/>
        </w:rPr>
        <w:softHyphen/>
        <w:t>ном море оставалось около четы</w:t>
      </w:r>
      <w:r w:rsidRPr="002F2FDF">
        <w:rPr>
          <w:rFonts w:ascii="Times New Roman" w:hAnsi="Times New Roman" w:cs="Times New Roman"/>
          <w:color w:val="000000" w:themeColor="text1"/>
          <w:kern w:val="2"/>
          <w:sz w:val="16"/>
          <w:szCs w:val="16"/>
        </w:rPr>
        <w:softHyphen/>
        <w:t>рех десятков «девяток». До 1919 г. эксплуатация самолетов практичес</w:t>
      </w:r>
      <w:r w:rsidRPr="002F2FDF">
        <w:rPr>
          <w:rFonts w:ascii="Times New Roman" w:hAnsi="Times New Roman" w:cs="Times New Roman"/>
          <w:color w:val="000000" w:themeColor="text1"/>
          <w:kern w:val="2"/>
          <w:sz w:val="16"/>
          <w:szCs w:val="16"/>
        </w:rPr>
        <w:softHyphen/>
        <w:t>ки не осуществлялась и, спустя год, в работоспособном состоянии ос</w:t>
      </w:r>
      <w:r w:rsidRPr="002F2FDF">
        <w:rPr>
          <w:rFonts w:ascii="Times New Roman" w:hAnsi="Times New Roman" w:cs="Times New Roman"/>
          <w:color w:val="000000" w:themeColor="text1"/>
          <w:kern w:val="2"/>
          <w:sz w:val="16"/>
          <w:szCs w:val="16"/>
        </w:rPr>
        <w:softHyphen/>
        <w:t>тавались отдельные экземпляры. Добровольческая Белая армия эпизодически использовала до пяти М-9 летом-осенью 1919 г., еще три таких самолета в этот период вос</w:t>
      </w:r>
      <w:r w:rsidRPr="002F2FDF">
        <w:rPr>
          <w:rFonts w:ascii="Times New Roman" w:hAnsi="Times New Roman" w:cs="Times New Roman"/>
          <w:color w:val="000000" w:themeColor="text1"/>
          <w:kern w:val="2"/>
          <w:sz w:val="16"/>
          <w:szCs w:val="16"/>
        </w:rPr>
        <w:softHyphen/>
        <w:t>становили в Донском гидроавиади- визионе (12088).</w:t>
      </w:r>
    </w:p>
    <w:p w14:paraId="128BED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2712C6" w14:textId="77777777" w:rsidR="00927133"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7F0809FF" w14:textId="77777777" w:rsidR="00927133" w:rsidRPr="002F2FDF" w:rsidRDefault="0092713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747432" w14:textId="77777777" w:rsidR="00927133" w:rsidRPr="002F2FDF" w:rsidRDefault="00927133"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К середине 1917 г. поставки морем из Франции через Мурманск и Архангельск самолетов и моторов и достигли максимума.</w:t>
      </w:r>
    </w:p>
    <w:p w14:paraId="789A860A" w14:textId="77777777" w:rsidR="00927133" w:rsidRPr="002F2FDF" w:rsidRDefault="00927133"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О том, что творилось в эти годы во Франции, написал русский военный агент (атташе) в Париже полковник граф А.А.Игнатьев: «Когда с начала моей работы по оказанию материальной помощи русской армии я занялся вопросом о перевозках, то с великим изумлением узнал, что первый пароход с автомобилями и самолетами был направлен по распоряжению из Петрограда кружным путем вокруг Африки на Владивосток. Несчастные ящики, погруженные на палубе, сперва рассыхались под тропиками, а в конце плавания покрылись толстой ледяной корой. Надо было изыскивать другой кратчайший путь.» Некоторые грузы, в том числе и самолеты в ящиках под видом молотилок, используя в первые месяцы войны нейтралитет ряда средиземноморских стран, удалось протолкнуть на русско-румынскую границу уже через две—три недели после отправки парохода из Марселя. Но несмотря на все усилия и к огромному возмущению Игнатьева, срочные военные грузы «затерялись» в самой России: новейшие артиллерийские орудия вместо фронтовой Восточной Пруссии загнали на запасные пути в Ростове-на-Дону! Вскоре граф организовал морские перевозки в Архангельск и Мурманск. Однако «перевозка по железным дорогам из Архангельска на Петроград и Москву была так плохо налажена, что, по свидетельству французов, побывавших в этом порту, они в 1916 году проезжали на санях по крышкам ящиков с французскими самолетами, занесенными снегом и высланных мною еще летом 1915 года! Между тем авиационные грузы как раз требовали скорейшей доставки. Авиационная техника развивалась такими быстрыми темпами, что самолеты за время пути от Парижа до русского фронта уже оказывались устаревшими, и германские аппараты неизменно превосходили их в скорости.» Игнатьев просто негодовал: «К чему мы с Антоновым тратили столько времени для доказательства непригодности пятидесятисильных моторов «клерже», на хлопоты о получении восьмидесятисильных моторов «гном и рон», на замену полагавшихся нам устарелых «морис фарманов» современными «вуазенами»!» Тем не менее, «когда же после долгих усилий удавалось получить от французов новейшие модели и быстро доставить их в Россию, то и это не гарантировало возможности использовать самолеты на нашем фронте: «Все прибывающие от вас самолеты и автомобили оказались без магнето», — гласила лаконическая телеграмма начальника технического управления генерала Миллеанта... После всех затруднений, связанных с доставкой самолетов, отсутствие магнето на высылавшихся из Франции моторах сводило к нулю всю нашу работу в Париже.» Игнатьев подробно описал все меры предосторожности, связанные с доставкой драгоценных магнето в Россию. Но ни «казенная», ни семейная печать с фамильным графским гербом Игнатьевых не спасали от хищения: «Когда и эта мера не возымела действия, я распорядился принести и разложить на моем письменном столе всю партию магнето с аппаратов, отправляющихся на очередном пароходе. Их упаковали в особый ящик, проставили номер по морскому коносаменту, и мне казалось, что уж на этот раз мы могли быть покойны за доставку этого драгоценного груза по назначению. Но ответ главного технического управления на телеграмму об отправке был еще более лаконичен: «Ящика за номером таким-то не оказалось». Из тысяч ящиков, отправленных на ста двадцати пароходах из Франции в Россию во время войны, это был первый и единственный пропавший в пути ящик.» Зато приехавшие из России французские офицеры рассказали Игнатьеву, что магнето «Бош» продавал по баснословной цене Северный банк на Невском проспекте (15464). Коррупция и спекуляция процветали не только в России, но и во Франции. Одну из «заграничных авиационных комиссий» возглавил пионер русской авиации полковник С.А.Ульянин, по определению А.А.Игнатьева «человек чистой души, но увлеченный исключительно техникой, в частности моторами». Пользуясь статусом «заграничной», его комиссия стремилась стать «самостоятельной», а по существу дублировала работу и в итоге приняла дела у «исполнительного» полковника Антонова, ведавшего приемкой самолетов и моторов. Но и в этой комиссии, как и везде во Франции, подвизалось много всякого рода дельцов. Помощником Ульянина был некий капитан Быстрицкий. Как писал Игнатьев, «летчиком Быстрицкий не был, но в делах снабжения оказался большим ловкачом... Как человек пронырливый, [он] нашел новые средства для получения разрешения на заказы от французского правительства, до которых мы с Антоновым, признаться, не додумались». По настойчивой просьбе Быстрицкого в комиссию откомандировали французского летчика капитана Фландэна: «Только тогда для меня открылся секрет Быстрицкого: как депутат и богатейший человек, связанный с авиационной промышленностью, Фландэн имел возможность выхлопотать для нас то, чего нельзя было получить от французского правительства законными путями... С приходом в нашу комиссию Фландэна многие вопросы стали разрешаться сами собой.» (15464).</w:t>
      </w:r>
    </w:p>
    <w:p w14:paraId="5B1532C7" w14:textId="77777777" w:rsidR="00927133" w:rsidRPr="002F2FDF" w:rsidRDefault="00927133" w:rsidP="0083075A">
      <w:pPr>
        <w:pStyle w:val="2"/>
        <w:spacing w:before="0" w:beforeAutospacing="0" w:after="0" w:afterAutospacing="0"/>
        <w:jc w:val="both"/>
        <w:rPr>
          <w:b w:val="0"/>
          <w:color w:val="000000" w:themeColor="text1"/>
          <w:kern w:val="2"/>
          <w:sz w:val="16"/>
          <w:szCs w:val="16"/>
        </w:rPr>
      </w:pPr>
    </w:p>
    <w:p w14:paraId="5749F3F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B20B4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489D28" w14:textId="04B1FF28" w:rsidR="009D465F" w:rsidRPr="002F2FDF" w:rsidRDefault="009D465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середине 1918 г. в дополнение к уже данным заказам на SPAD XIII сразу несколько заводов в США получили контракты на выпуск еще 6</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000 таких истребителей. И хотя они не смогли сделать ни одного, а французы постоянно опаздывали и их «долг», включая заказанное на 1919 г., ко дню подписания перемирия 11 ноября 1918 г. достиг гигантской цифры в 10</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000 самолетов, SPAD XIII остался самым массовым истребителем времен Империалистической войны. Ламбертон пишет о 8</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472 сданных самолетах этого типа, а по другим данным</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их сделали и вовсе 9</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272! (22874).</w:t>
      </w:r>
    </w:p>
    <w:p w14:paraId="00C1D9A8" w14:textId="77777777" w:rsidR="009D465F" w:rsidRPr="002F2FDF" w:rsidRDefault="009D465F" w:rsidP="0083075A">
      <w:pPr>
        <w:spacing w:after="0" w:line="240" w:lineRule="auto"/>
        <w:jc w:val="both"/>
        <w:rPr>
          <w:rFonts w:ascii="Times New Roman" w:hAnsi="Times New Roman" w:cs="Times New Roman"/>
          <w:color w:val="000000" w:themeColor="text1"/>
          <w:sz w:val="16"/>
          <w:szCs w:val="16"/>
        </w:rPr>
      </w:pPr>
    </w:p>
    <w:p w14:paraId="27C7B882" w14:textId="77777777" w:rsidR="009D465F" w:rsidRPr="002F2FDF" w:rsidRDefault="009D465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середине 1917 г. Альбатросы D III смотрелись на фоне и своих, и чужих истребителей просто чудом техники: обтекаемые формы, хорошее сочетание мощности, веса, силовой установки и вооружения. Внешний вид самолета и его внутренняя конструкция вроде бы говорили об использовании в проекте всех новейших достижений науки и технологии, но на деле все было несколько проще — чуть большее интуиции, чем знания, и все меньше из месяца в месяц качественных материалов — Германия погружалась в пучину тотального дефицита. Но в конце 1916 г. он еще не достиг критического значения, а конструкция Альбатроса D III еще не показала всех своих дефектов, выдерживая 160 сил мотора, 180 км/ч максимальной скорости и перегрузку под пять единиц. Заказчик в лице Инспекции авиации (IdFlieg) был доволен машиной, которая со своим сигарообразным фюзеляжем и овальным «рыбьим» оперением выглядела куда элегантнее угловатых «Ньюпоров» и «Сопвичей» и как минимум не хуже, чем лучший вражеский истребитель SPAD VII (22792).</w:t>
      </w:r>
    </w:p>
    <w:p w14:paraId="33FE08BA" w14:textId="77777777" w:rsidR="009D465F" w:rsidRPr="002F2FDF" w:rsidRDefault="009D465F" w:rsidP="0083075A">
      <w:pPr>
        <w:spacing w:after="0" w:line="240" w:lineRule="auto"/>
        <w:jc w:val="both"/>
        <w:rPr>
          <w:rFonts w:ascii="Times New Roman" w:hAnsi="Times New Roman" w:cs="Times New Roman"/>
          <w:color w:val="000000" w:themeColor="text1"/>
          <w:sz w:val="16"/>
          <w:szCs w:val="16"/>
        </w:rPr>
      </w:pPr>
    </w:p>
    <w:p w14:paraId="33A1A113" w14:textId="77777777" w:rsidR="009D465F" w:rsidRPr="002F2FDF" w:rsidRDefault="009D465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середине 1917 г. был предложен проект Румплер 6В2 с гораздо более мощным мотором Мерседес D IVa в 260 сил. Фирма обещала улучшить все летные данные, а на деле хотела приблизить его конструкцию истребителя к новому типу массового сухопутного самолета-разведчика Румплер C IV, который готовился к запуску в большую серию. Заказчика соблазняли простым путем решения проблемы нехватки летных данных, и он «клюнул на приманку». Новый «Мерседес» был не только мощнее «тройки», но и тяжелее, и длиннее, имея восемь цилиндров вместо шести. Пришлось усиливать каркас и увеличивать размеры не только фюзеляжа, но и крыльев. Сообразно росту веса самолета были установлены поплавки с увеличенной длиной.</w:t>
      </w:r>
    </w:p>
    <w:p w14:paraId="5AAD1B66" w14:textId="77777777" w:rsidR="009D465F" w:rsidRPr="002F2FDF" w:rsidRDefault="009D465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Производство Румплеров 6В2 начали в середине 1917 г., сдав головной в октябре, причем из первых пяти машин одну так и не закончили. Далее, к январю 1918 г. немецкая морская авиация получила еще две серии в 20 и 25 самолетов, которые пошли уже в основном на второстепенные фронты. Хотя они и дожили до самого конца войны, а в финской авиации даже до 1927 г., никаких особых заслуг за ними больше не было (22841).</w:t>
      </w:r>
    </w:p>
    <w:p w14:paraId="3E00F0CF" w14:textId="77777777" w:rsidR="009D465F" w:rsidRPr="002F2FDF" w:rsidRDefault="009D465F" w:rsidP="0083075A">
      <w:pPr>
        <w:spacing w:after="0" w:line="240" w:lineRule="auto"/>
        <w:jc w:val="both"/>
        <w:rPr>
          <w:rFonts w:ascii="Times New Roman" w:hAnsi="Times New Roman" w:cs="Times New Roman"/>
          <w:color w:val="000000" w:themeColor="text1"/>
          <w:sz w:val="16"/>
          <w:szCs w:val="16"/>
        </w:rPr>
      </w:pPr>
    </w:p>
    <w:p w14:paraId="452301C7" w14:textId="14414F10" w:rsidR="009D465F" w:rsidRPr="002F2FDF" w:rsidRDefault="009D465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середине 1917 г. фирме «Шютте-Ланц» (Luftschiffbau Schütte-Lanz, Finnforest Schütte-Lanz GmbH) IdFlieg и было было задано проектирование истребителя-триплана. Выполнено под руководством Х. Беккера. Как основу он взял истребитель-биплан Schutte-Lanz D III c мотором Mercedes</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III (160 л.с.), в который внес изменения. Шютте-Ланц Dr I совершил первый полет в ноябре 1917 г. На самолете представителем IdFlieg был выявлен ряд дальнейших дефектов, которые фирма попыталась устранить.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Самолет не показал высоких летных данных, кроме того, установка радиаторов охлаждения мотора ниже рубашки охлаждения цилиндров не соответствовала ОТТ ВВС (при простреле радиатора или рубашки охлаждения вода слишком быстро вытекала и мотор заклинивал).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На вооружение принят не был и в серию не запускался (23166).</w:t>
      </w:r>
    </w:p>
    <w:p w14:paraId="6B07FB31" w14:textId="77777777" w:rsidR="009D465F" w:rsidRPr="002F2FDF" w:rsidRDefault="009D465F" w:rsidP="0083075A">
      <w:pPr>
        <w:spacing w:after="0" w:line="240" w:lineRule="auto"/>
        <w:jc w:val="both"/>
        <w:rPr>
          <w:rFonts w:ascii="Times New Roman" w:hAnsi="Times New Roman" w:cs="Times New Roman"/>
          <w:color w:val="000000" w:themeColor="text1"/>
          <w:sz w:val="16"/>
          <w:szCs w:val="16"/>
        </w:rPr>
      </w:pPr>
    </w:p>
    <w:p w14:paraId="2C3C8714" w14:textId="77777777" w:rsidR="009D465F" w:rsidRPr="002F2FDF" w:rsidRDefault="009D465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середине 1917 г. на базе самолета Euler D II с мотором Oberursel U I (100 л.с.) на фирме «Эйлер» (фирма Reichsamt für Luft- und Kraftfahrwesen) Ю. Громадником было начато проектирование Эйлер «Вирдеккер» (Vierdecker – «квадриплан») с целью повышения ТТХ за счет перехода на схему кадриплана.</w:t>
      </w:r>
    </w:p>
    <w:p w14:paraId="2916E2E8" w14:textId="3D513FA4" w:rsidR="009D465F" w:rsidRPr="002F2FDF" w:rsidRDefault="009D465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1-й опытный истребитель был построен на заводе фирмы без вооружения и совершил первый полет в конце 1917 г.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ТТХ самолета оказались низкими и на типовые испытания в IdFlieg он принят не был (23167).</w:t>
      </w:r>
    </w:p>
    <w:p w14:paraId="6E0BB38C" w14:textId="77777777" w:rsidR="009D465F" w:rsidRPr="002F2FDF" w:rsidRDefault="009D465F" w:rsidP="0083075A">
      <w:pPr>
        <w:spacing w:after="0" w:line="240" w:lineRule="auto"/>
        <w:jc w:val="both"/>
        <w:rPr>
          <w:rFonts w:ascii="Times New Roman" w:hAnsi="Times New Roman" w:cs="Times New Roman"/>
          <w:color w:val="000000" w:themeColor="text1"/>
          <w:sz w:val="16"/>
          <w:szCs w:val="16"/>
        </w:rPr>
      </w:pPr>
    </w:p>
    <w:p w14:paraId="51F3F6D2" w14:textId="77777777" w:rsidR="009D465F" w:rsidRPr="002F2FDF" w:rsidRDefault="009D465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середине 1917 г. поступил заказ на гидросамолет с большей продолжительностью полета, что заставило увеличить размерность и поставить особо мощный мотор Майбах Mb IV в 240 сил, тоже рядный 6-цилиндровый, но крупнее. Под него нос переделали и поставили увеличенный радиатор над верхним крылом. Ганза-Бранденбург W 19 стал двухстоечным «правильным» бипланом с упрощенным скруглением законцовок одинаковыми радиусами по передней и задней кромкам. На удлиненный фюзеляж поставили руль направления чуть большей площади. Поплавки увеличили, усилив крепление, в остальном самолет не отличался от W 12 серии 1. Командование Морской авиации Германии заказало три опытных образца (22843).</w:t>
      </w:r>
    </w:p>
    <w:p w14:paraId="1750C4F6" w14:textId="77777777" w:rsidR="009D465F" w:rsidRPr="002F2FDF" w:rsidRDefault="009D465F" w:rsidP="0083075A">
      <w:pPr>
        <w:spacing w:after="0" w:line="240" w:lineRule="auto"/>
        <w:jc w:val="both"/>
        <w:rPr>
          <w:rFonts w:ascii="Times New Roman" w:hAnsi="Times New Roman" w:cs="Times New Roman"/>
          <w:color w:val="000000" w:themeColor="text1"/>
          <w:sz w:val="16"/>
          <w:szCs w:val="16"/>
        </w:rPr>
      </w:pPr>
    </w:p>
    <w:p w14:paraId="10A0CFB6" w14:textId="77777777" w:rsidR="009D465F" w:rsidRPr="002F2FDF" w:rsidRDefault="009D465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середине 1917 г. в Англии построили свой первый тяже</w:t>
      </w:r>
      <w:r w:rsidRPr="002F2FDF">
        <w:rPr>
          <w:rFonts w:ascii="Times New Roman" w:hAnsi="Times New Roman" w:cs="Times New Roman"/>
          <w:color w:val="000000" w:themeColor="text1"/>
          <w:sz w:val="16"/>
          <w:szCs w:val="16"/>
        </w:rPr>
        <w:softHyphen/>
        <w:t>лый бомбардировщик «Хендли-Пейдж 12» (0/400), но он в первом же боевом полете ошибочно сел на немецкой территории, чем тайна его и была раскрыта. Другая фирма «Виккерс» построила свой первый тяжелый бомбардировщик «ФБ-27» только в конце 1917 года. Самой удачной оказалась четвертая его модификация «Вими IV», которая и была принята на вооружение под названием «Мк II». Первый заказ на изготовление для королевских ВВС та</w:t>
      </w:r>
      <w:r w:rsidRPr="002F2FDF">
        <w:rPr>
          <w:rFonts w:ascii="Times New Roman" w:hAnsi="Times New Roman" w:cs="Times New Roman"/>
          <w:color w:val="000000" w:themeColor="text1"/>
          <w:sz w:val="16"/>
          <w:szCs w:val="16"/>
        </w:rPr>
        <w:softHyphen/>
        <w:t>ких самолетов был подписан 26 марта 1918 г. (23011).</w:t>
      </w:r>
    </w:p>
    <w:p w14:paraId="044D3164" w14:textId="77777777" w:rsidR="009D465F" w:rsidRPr="002F2FDF" w:rsidRDefault="009D465F" w:rsidP="0083075A">
      <w:pPr>
        <w:spacing w:after="0" w:line="240" w:lineRule="auto"/>
        <w:jc w:val="both"/>
        <w:rPr>
          <w:rFonts w:ascii="Times New Roman" w:hAnsi="Times New Roman" w:cs="Times New Roman"/>
          <w:color w:val="000000" w:themeColor="text1"/>
          <w:sz w:val="16"/>
          <w:szCs w:val="16"/>
        </w:rPr>
      </w:pPr>
    </w:p>
    <w:p w14:paraId="206C8C9E" w14:textId="26A6F0C1" w:rsidR="009D465F" w:rsidRPr="002F2FDF" w:rsidRDefault="009D465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В середине 1917 г. Рихардом Кноллером было начато проектирования Кноллер «Доппельдеккер» (Knoller Doppeldecker и не опиралось на его предыдущие конструкции. Оно велось не на его фирме, а на базе Авиационного арсенала Императорских и Королевских ВВС Австро-Венгрии (Flars) в Асперне (Aspern, в то время – восточное предместье Вены, штабной аэродром, ремонтная база, место показа авиатехники руководству ВС и страны, иностранным делегациям) и Фишаменде (Fischamend Markt, Нижняя Австрия, южнее Вены, научная, основная ремонтная и вспомогательная испытательная база).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Основной идеей самолета был «гибкий» профиль верхнего крыла – с набором скорости под действием аэродинамических сил и моментов его кривизна должна была уменьшаться, что дало бы снижение сопротивления в меньшей мере, чем подъемной силы, и аэродинамическое качество самолета росло бы. Это было проверено продувкой модели крыла в АДТ и подтвердилось.</w:t>
      </w:r>
    </w:p>
    <w:p w14:paraId="7F5B4137" w14:textId="4FF91BB3" w:rsidR="009D465F" w:rsidRPr="002F2FDF" w:rsidRDefault="009D465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Поскольку самолет формально считался разработкой Flars, а ВВС находящейся в глубоком финансовом кризисе Австро-Венгрии остро нуждались в истребителях собственной конструкции и постройки, использующих отечественные комплектующие, проект быстро получил одобрение. Было решено строить два летных образца самолета, которым были присвоены регистрационные номера ВВС 70.01 и 70.02.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Хотя к тому времени принятые на вооружение самолеты Р. Кноллера (его конструкции и выпускаемые по лицензиям с изменениями) имели стандартные обозначения В I и B II (биплан – разведчик) и С I (вооруженный биплан – разведчик), этому самолету обозначение присвоено официально не было. В документах он именовался номером, реже «биплан Кноллера» (Knoller Doppeldecker), Кноллер D или D I.</w:t>
      </w:r>
    </w:p>
    <w:p w14:paraId="6AE1E78B" w14:textId="77777777" w:rsidR="009D465F" w:rsidRPr="002F2FDF" w:rsidRDefault="009D465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Постройка начата в мастерских Flars в Асперне в середине 1917 г. и шла одновременно с проектированием и была закончена в последнюю декаду ноября 1917 г. Вооружение установлено не было (23139).</w:t>
      </w:r>
    </w:p>
    <w:p w14:paraId="777CB667" w14:textId="77777777" w:rsidR="009D465F" w:rsidRPr="002F2FDF" w:rsidRDefault="009D465F" w:rsidP="0083075A">
      <w:pPr>
        <w:spacing w:after="0" w:line="240" w:lineRule="auto"/>
        <w:jc w:val="both"/>
        <w:rPr>
          <w:rFonts w:ascii="Times New Roman" w:hAnsi="Times New Roman" w:cs="Times New Roman"/>
          <w:color w:val="000000" w:themeColor="text1"/>
          <w:sz w:val="16"/>
          <w:szCs w:val="16"/>
        </w:rPr>
      </w:pPr>
    </w:p>
    <w:p w14:paraId="40BB680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середины 1917 г. отмечается весь</w:t>
      </w:r>
      <w:r w:rsidRPr="002F2FDF">
        <w:rPr>
          <w:rFonts w:ascii="Times New Roman" w:hAnsi="Times New Roman" w:cs="Times New Roman"/>
          <w:color w:val="000000" w:themeColor="text1"/>
          <w:kern w:val="2"/>
          <w:sz w:val="16"/>
          <w:szCs w:val="16"/>
        </w:rPr>
        <w:softHyphen/>
        <w:t>ма успешное применение французами на поле боя для нанесения бомбоштурмовых ударов частично бронированных (общий вес брони 128 кг) двухмоторных легких бомбардировщиков типа Caudron G.4. Вооружение бронированного "фран</w:t>
      </w:r>
      <w:r w:rsidRPr="002F2FDF">
        <w:rPr>
          <w:rFonts w:ascii="Times New Roman" w:hAnsi="Times New Roman" w:cs="Times New Roman"/>
          <w:color w:val="000000" w:themeColor="text1"/>
          <w:kern w:val="2"/>
          <w:sz w:val="16"/>
          <w:szCs w:val="16"/>
        </w:rPr>
        <w:softHyphen/>
        <w:t>цуза" состояло из одного пулемета Vickers Mk.I, одного Lewis на турели и до 120 кг бомб. При взлетном весе 1440 кг максимальная скорость самолета с моторами в 120 л.с. составляла 145 км/ ч. Время подъема на высоту 2000 м - 8 минут. Применение, наряду с бронировани</w:t>
      </w:r>
      <w:r w:rsidRPr="002F2FDF">
        <w:rPr>
          <w:rFonts w:ascii="Times New Roman" w:hAnsi="Times New Roman" w:cs="Times New Roman"/>
          <w:color w:val="000000" w:themeColor="text1"/>
          <w:kern w:val="2"/>
          <w:sz w:val="16"/>
          <w:szCs w:val="16"/>
        </w:rPr>
        <w:softHyphen/>
        <w:t>ем экипажа, бензо- и маслобаков, двух моторов воздушного охлаждения суще</w:t>
      </w:r>
      <w:r w:rsidRPr="002F2FDF">
        <w:rPr>
          <w:rFonts w:ascii="Times New Roman" w:hAnsi="Times New Roman" w:cs="Times New Roman"/>
          <w:color w:val="000000" w:themeColor="text1"/>
          <w:kern w:val="2"/>
          <w:sz w:val="16"/>
          <w:szCs w:val="16"/>
        </w:rPr>
        <w:softHyphen/>
        <w:t>ственно повышало боевую живучесть "Кодрона". В этом плане бронирован</w:t>
      </w:r>
      <w:r w:rsidRPr="002F2FDF">
        <w:rPr>
          <w:rFonts w:ascii="Times New Roman" w:hAnsi="Times New Roman" w:cs="Times New Roman"/>
          <w:color w:val="000000" w:themeColor="text1"/>
          <w:kern w:val="2"/>
          <w:sz w:val="16"/>
          <w:szCs w:val="16"/>
        </w:rPr>
        <w:softHyphen/>
        <w:t>ный Caudron G.4 выделялся в лучшую сторону в сравнении с немецкими специальными штурмовиками, оснащен</w:t>
      </w:r>
      <w:r w:rsidRPr="002F2FDF">
        <w:rPr>
          <w:rFonts w:ascii="Times New Roman" w:hAnsi="Times New Roman" w:cs="Times New Roman"/>
          <w:color w:val="000000" w:themeColor="text1"/>
          <w:kern w:val="2"/>
          <w:sz w:val="16"/>
          <w:szCs w:val="16"/>
        </w:rPr>
        <w:softHyphen/>
        <w:t>ными моторами водяного охлаждения. Действительно, отсутствие рубаш</w:t>
      </w:r>
      <w:r w:rsidRPr="002F2FDF">
        <w:rPr>
          <w:rFonts w:ascii="Times New Roman" w:hAnsi="Times New Roman" w:cs="Times New Roman"/>
          <w:color w:val="000000" w:themeColor="text1"/>
          <w:kern w:val="2"/>
          <w:sz w:val="16"/>
          <w:szCs w:val="16"/>
        </w:rPr>
        <w:softHyphen/>
        <w:t>ки с охлаждающей жидкостью, радиа</w:t>
      </w:r>
      <w:r w:rsidRPr="002F2FDF">
        <w:rPr>
          <w:rFonts w:ascii="Times New Roman" w:hAnsi="Times New Roman" w:cs="Times New Roman"/>
          <w:color w:val="000000" w:themeColor="text1"/>
          <w:kern w:val="2"/>
          <w:sz w:val="16"/>
          <w:szCs w:val="16"/>
        </w:rPr>
        <w:softHyphen/>
        <w:t>торов и соответствующих трубопрово</w:t>
      </w:r>
      <w:r w:rsidRPr="002F2FDF">
        <w:rPr>
          <w:rFonts w:ascii="Times New Roman" w:hAnsi="Times New Roman" w:cs="Times New Roman"/>
          <w:color w:val="000000" w:themeColor="text1"/>
          <w:kern w:val="2"/>
          <w:sz w:val="16"/>
          <w:szCs w:val="16"/>
        </w:rPr>
        <w:softHyphen/>
        <w:t>дов у мотора воздушного охлаждения существенно уменьшало его уязвимую площадь. В ряде случаев такой мотор продолжал работать при сквозных про</w:t>
      </w:r>
      <w:r w:rsidRPr="002F2FDF">
        <w:rPr>
          <w:rFonts w:ascii="Times New Roman" w:hAnsi="Times New Roman" w:cs="Times New Roman"/>
          <w:color w:val="000000" w:themeColor="text1"/>
          <w:kern w:val="2"/>
          <w:sz w:val="16"/>
          <w:szCs w:val="16"/>
        </w:rPr>
        <w:softHyphen/>
        <w:t>стрелах и даже при разрушении одно</w:t>
      </w:r>
      <w:r w:rsidRPr="002F2FDF">
        <w:rPr>
          <w:rFonts w:ascii="Times New Roman" w:hAnsi="Times New Roman" w:cs="Times New Roman"/>
          <w:color w:val="000000" w:themeColor="text1"/>
          <w:kern w:val="2"/>
          <w:sz w:val="16"/>
          <w:szCs w:val="16"/>
        </w:rPr>
        <w:softHyphen/>
        <w:t>го из цилиндров. Наличие же двух мо</w:t>
      </w:r>
      <w:r w:rsidRPr="002F2FDF">
        <w:rPr>
          <w:rFonts w:ascii="Times New Roman" w:hAnsi="Times New Roman" w:cs="Times New Roman"/>
          <w:color w:val="000000" w:themeColor="text1"/>
          <w:kern w:val="2"/>
          <w:sz w:val="16"/>
          <w:szCs w:val="16"/>
        </w:rPr>
        <w:softHyphen/>
        <w:t>торов, вместо одного у "немцев", су</w:t>
      </w:r>
      <w:r w:rsidRPr="002F2FDF">
        <w:rPr>
          <w:rFonts w:ascii="Times New Roman" w:hAnsi="Times New Roman" w:cs="Times New Roman"/>
          <w:color w:val="000000" w:themeColor="text1"/>
          <w:kern w:val="2"/>
          <w:sz w:val="16"/>
          <w:szCs w:val="16"/>
        </w:rPr>
        <w:softHyphen/>
        <w:t>щественно повышало шансы экипажа выжить в случае выхода из строя од</w:t>
      </w:r>
      <w:r w:rsidRPr="002F2FDF">
        <w:rPr>
          <w:rFonts w:ascii="Times New Roman" w:hAnsi="Times New Roman" w:cs="Times New Roman"/>
          <w:color w:val="000000" w:themeColor="text1"/>
          <w:kern w:val="2"/>
          <w:sz w:val="16"/>
          <w:szCs w:val="16"/>
        </w:rPr>
        <w:softHyphen/>
        <w:t>ного из моторов над полем боя. Собственно, и по боевой мощи "Кодрон" превосходил своих бронированных немецких собратьев (согласно резуль</w:t>
      </w:r>
      <w:r w:rsidRPr="002F2FDF">
        <w:rPr>
          <w:rFonts w:ascii="Times New Roman" w:hAnsi="Times New Roman" w:cs="Times New Roman"/>
          <w:color w:val="000000" w:themeColor="text1"/>
          <w:kern w:val="2"/>
          <w:sz w:val="16"/>
          <w:szCs w:val="16"/>
        </w:rPr>
        <w:softHyphen/>
        <w:t>татам полигонных испытаниях главное поражение пехоте наносилось в основ</w:t>
      </w:r>
      <w:r w:rsidRPr="002F2FDF">
        <w:rPr>
          <w:rFonts w:ascii="Times New Roman" w:hAnsi="Times New Roman" w:cs="Times New Roman"/>
          <w:color w:val="000000" w:themeColor="text1"/>
          <w:kern w:val="2"/>
          <w:sz w:val="16"/>
          <w:szCs w:val="16"/>
        </w:rPr>
        <w:softHyphen/>
        <w:t>ном осколочными авиабомбами), незна</w:t>
      </w:r>
      <w:r w:rsidRPr="002F2FDF">
        <w:rPr>
          <w:rFonts w:ascii="Times New Roman" w:hAnsi="Times New Roman" w:cs="Times New Roman"/>
          <w:color w:val="000000" w:themeColor="text1"/>
          <w:kern w:val="2"/>
          <w:sz w:val="16"/>
          <w:szCs w:val="16"/>
        </w:rPr>
        <w:softHyphen/>
        <w:t>чительно уступая последним лишь в максимальной скорости полета (5999).</w:t>
      </w:r>
    </w:p>
    <w:p w14:paraId="7093AAF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12A3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середины 1917 г. отмечается весьма успешное применение французами на поле боя частично бронированных двухмоторных легких бомбардировщиков Caudron G.4. Использование, наряду с бронированием экипажа, бензо- и маслобаков, двух моторов воздушного охлаждения существенно повышало боевую живучесть “Кодрона”. В этом плане бронированный Caudron G.4 выделялся в лучшую сторону в сравнении с немецкими специальными штурмовиками с моторами водяного охлаждения (9649).</w:t>
      </w:r>
    </w:p>
    <w:p w14:paraId="22102F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F42EF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официальным немецким данным, их потери в привязных аэро</w:t>
      </w:r>
      <w:r w:rsidRPr="002F2FDF">
        <w:rPr>
          <w:rFonts w:ascii="Times New Roman" w:hAnsi="Times New Roman" w:cs="Times New Roman"/>
          <w:color w:val="000000" w:themeColor="text1"/>
          <w:kern w:val="2"/>
          <w:sz w:val="16"/>
          <w:szCs w:val="16"/>
        </w:rPr>
        <w:softHyphen/>
        <w:t>статах до средины 1917 года, без Баварии, выразились в следую</w:t>
      </w:r>
      <w:r w:rsidRPr="002F2FDF">
        <w:rPr>
          <w:rFonts w:ascii="Times New Roman" w:hAnsi="Times New Roman" w:cs="Times New Roman"/>
          <w:color w:val="000000" w:themeColor="text1"/>
          <w:kern w:val="2"/>
          <w:sz w:val="16"/>
          <w:szCs w:val="16"/>
        </w:rPr>
        <w:softHyphen/>
        <w:t>щих цифрах: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630"/>
        <w:gridCol w:w="720"/>
        <w:gridCol w:w="749"/>
        <w:gridCol w:w="730"/>
        <w:gridCol w:w="730"/>
        <w:gridCol w:w="739"/>
      </w:tblGrid>
      <w:tr w:rsidR="002B1C74" w:rsidRPr="002F2FDF" w14:paraId="6890C55C" w14:textId="77777777">
        <w:trPr>
          <w:trHeight w:val="614"/>
        </w:trPr>
        <w:tc>
          <w:tcPr>
            <w:tcW w:w="2630" w:type="dxa"/>
            <w:tcBorders>
              <w:top w:val="single" w:sz="12" w:space="0" w:color="auto"/>
            </w:tcBorders>
          </w:tcPr>
          <w:p w14:paraId="6FBB5D5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ПРИЧИНА ПОТЕРИ.</w:t>
            </w:r>
          </w:p>
          <w:p w14:paraId="01F91D7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Borders>
              <w:top w:val="single" w:sz="12" w:space="0" w:color="auto"/>
            </w:tcBorders>
          </w:tcPr>
          <w:p w14:paraId="4CEB202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 1915 г.</w:t>
            </w:r>
          </w:p>
          <w:p w14:paraId="733CBF5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49" w:type="dxa"/>
            <w:tcBorders>
              <w:top w:val="single" w:sz="12" w:space="0" w:color="auto"/>
            </w:tcBorders>
          </w:tcPr>
          <w:p w14:paraId="7C869C7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p w14:paraId="532E66B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Borders>
              <w:top w:val="single" w:sz="12" w:space="0" w:color="auto"/>
            </w:tcBorders>
          </w:tcPr>
          <w:p w14:paraId="3627455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p w14:paraId="1B9BB95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Borders>
              <w:top w:val="single" w:sz="12" w:space="0" w:color="auto"/>
            </w:tcBorders>
          </w:tcPr>
          <w:p w14:paraId="4021912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1918 г.</w:t>
            </w:r>
          </w:p>
          <w:p w14:paraId="62C948A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9" w:type="dxa"/>
            <w:tcBorders>
              <w:top w:val="single" w:sz="12" w:space="0" w:color="auto"/>
            </w:tcBorders>
          </w:tcPr>
          <w:p w14:paraId="5EF4E1D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p w14:paraId="7388F7A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266400E8" w14:textId="77777777">
        <w:trPr>
          <w:trHeight w:val="499"/>
        </w:trPr>
        <w:tc>
          <w:tcPr>
            <w:tcW w:w="2630" w:type="dxa"/>
          </w:tcPr>
          <w:p w14:paraId="14F04D9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Уничтожено летчиками</w:t>
            </w:r>
          </w:p>
          <w:p w14:paraId="61DD544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Pr>
          <w:p w14:paraId="02F7DB8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p w14:paraId="79AD7D7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49" w:type="dxa"/>
          </w:tcPr>
          <w:p w14:paraId="0FB2492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w:t>
            </w:r>
          </w:p>
          <w:p w14:paraId="45ABF86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Pr>
          <w:p w14:paraId="7165BF4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116</w:t>
            </w:r>
          </w:p>
          <w:p w14:paraId="6768705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Pr>
          <w:p w14:paraId="2CAAC08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315</w:t>
            </w:r>
          </w:p>
          <w:p w14:paraId="2DA9C03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9" w:type="dxa"/>
          </w:tcPr>
          <w:p w14:paraId="64407D8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471</w:t>
            </w:r>
          </w:p>
          <w:p w14:paraId="191DC6E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24442990" w14:textId="77777777">
        <w:trPr>
          <w:trHeight w:val="365"/>
        </w:trPr>
        <w:tc>
          <w:tcPr>
            <w:tcW w:w="2630" w:type="dxa"/>
          </w:tcPr>
          <w:p w14:paraId="6583833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Уничтожено артиллерией</w:t>
            </w:r>
          </w:p>
          <w:p w14:paraId="014DEB5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Pr>
          <w:p w14:paraId="254B177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p w14:paraId="4CD0116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49" w:type="dxa"/>
          </w:tcPr>
          <w:p w14:paraId="6538E50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p w14:paraId="52B7846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Pr>
          <w:p w14:paraId="655F401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p w14:paraId="122B19B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Pr>
          <w:p w14:paraId="1A87178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w:t>
            </w:r>
          </w:p>
          <w:p w14:paraId="4B9EE59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9" w:type="dxa"/>
          </w:tcPr>
          <w:p w14:paraId="29DAD79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w:t>
            </w:r>
          </w:p>
          <w:p w14:paraId="4B8E118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620649DE" w14:textId="77777777">
        <w:trPr>
          <w:trHeight w:val="442"/>
        </w:trPr>
        <w:tc>
          <w:tcPr>
            <w:tcW w:w="2630" w:type="dxa"/>
          </w:tcPr>
          <w:p w14:paraId="65FB3CE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Погибло от других причин</w:t>
            </w:r>
          </w:p>
          <w:p w14:paraId="725C173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Pr>
          <w:p w14:paraId="51F4C7F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p w14:paraId="36A8472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49" w:type="dxa"/>
          </w:tcPr>
          <w:p w14:paraId="70BE05F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p w14:paraId="44F6F4E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Pr>
          <w:p w14:paraId="511DE94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w:t>
            </w:r>
          </w:p>
          <w:p w14:paraId="038A4A5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Pr>
          <w:p w14:paraId="6B51C7E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w:t>
            </w:r>
          </w:p>
          <w:p w14:paraId="3B6E2DB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9" w:type="dxa"/>
          </w:tcPr>
          <w:p w14:paraId="0CDCFF8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109</w:t>
            </w:r>
          </w:p>
          <w:p w14:paraId="1543B86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3A6BBD08" w14:textId="77777777">
        <w:trPr>
          <w:trHeight w:val="538"/>
        </w:trPr>
        <w:tc>
          <w:tcPr>
            <w:tcW w:w="2630" w:type="dxa"/>
            <w:tcBorders>
              <w:bottom w:val="single" w:sz="12" w:space="0" w:color="auto"/>
            </w:tcBorders>
          </w:tcPr>
          <w:p w14:paraId="264CAC8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p w14:paraId="6684946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Borders>
              <w:bottom w:val="single" w:sz="12" w:space="0" w:color="auto"/>
            </w:tcBorders>
          </w:tcPr>
          <w:p w14:paraId="073F3FC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p w14:paraId="207EFD9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49" w:type="dxa"/>
            <w:tcBorders>
              <w:bottom w:val="single" w:sz="12" w:space="0" w:color="auto"/>
            </w:tcBorders>
          </w:tcPr>
          <w:p w14:paraId="42D2DE6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w:t>
            </w:r>
          </w:p>
          <w:p w14:paraId="2EAABB6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Borders>
              <w:bottom w:val="single" w:sz="12" w:space="0" w:color="auto"/>
            </w:tcBorders>
          </w:tcPr>
          <w:p w14:paraId="66E4622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168</w:t>
            </w:r>
          </w:p>
          <w:p w14:paraId="6295E55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Borders>
              <w:bottom w:val="single" w:sz="12" w:space="0" w:color="auto"/>
            </w:tcBorders>
          </w:tcPr>
          <w:p w14:paraId="2B8CAB9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401</w:t>
            </w:r>
          </w:p>
          <w:p w14:paraId="4E9F063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9" w:type="dxa"/>
            <w:tcBorders>
              <w:bottom w:val="single" w:sz="12" w:space="0" w:color="auto"/>
            </w:tcBorders>
          </w:tcPr>
          <w:p w14:paraId="45BF11D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655</w:t>
            </w:r>
          </w:p>
          <w:p w14:paraId="4E1C9AC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523FC0D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Кроме того, за этот период пришло в негодность от естествен</w:t>
      </w:r>
      <w:r w:rsidRPr="002F2FDF">
        <w:rPr>
          <w:rFonts w:ascii="Times New Roman" w:hAnsi="Times New Roman" w:cs="Times New Roman"/>
          <w:color w:val="000000" w:themeColor="text1"/>
          <w:kern w:val="2"/>
          <w:sz w:val="16"/>
          <w:szCs w:val="16"/>
        </w:rPr>
        <w:softHyphen/>
        <w:t>ного износа еще 505 аэростатов, а всего за всю войну одни только немцы потеряли 1.160 привязных аэростатов (всего было вы</w:t>
      </w:r>
      <w:r w:rsidRPr="002F2FDF">
        <w:rPr>
          <w:rFonts w:ascii="Times New Roman" w:hAnsi="Times New Roman" w:cs="Times New Roman"/>
          <w:color w:val="000000" w:themeColor="text1"/>
          <w:kern w:val="2"/>
          <w:sz w:val="16"/>
          <w:szCs w:val="16"/>
        </w:rPr>
        <w:softHyphen/>
        <w:t>строено 1.870) (11099).</w:t>
      </w:r>
    </w:p>
    <w:p w14:paraId="72D59E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3E7A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середине 1917 г. арабские партизаны очистили все красноморское побережье и смогли перенести боевые действия в Заиорданье, угрожая тылу турецких войск, которые сдерживали натиск британских войск в Палестине (3871).</w:t>
      </w:r>
    </w:p>
    <w:p w14:paraId="5FF45E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D6EB1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C0692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3D5E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июлю 1917 в Петрограде на Комендантском аэродроме был испытан новый тип ИМ - заложенная серия Г-1 была переделана по типу Г-3 (NN 236-245) (2669,41).</w:t>
      </w:r>
    </w:p>
    <w:p w14:paraId="2470D7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F756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июлю 1917 г. в Петрограде на Комендантском аэродроме был испытан новый тип корабля. Заложенная серия из 10 кораблей типа Г-1 была переделана по типу Г-3 (№№236- 245). Опытный "Муромец" №243 имел следующие изменения в главных частях:</w:t>
      </w:r>
    </w:p>
    <w:p w14:paraId="06BF71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стабилизаторы увеличены на 4 м;</w:t>
      </w:r>
    </w:p>
    <w:p w14:paraId="797045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поставлены вертикальные кили;</w:t>
      </w:r>
    </w:p>
    <w:p w14:paraId="63143D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поставлены боковые рули направления;</w:t>
      </w:r>
    </w:p>
    <w:p w14:paraId="1A903C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помещен пулеметчик в хвост;</w:t>
      </w:r>
    </w:p>
    <w:p w14:paraId="2A7A05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установлены бензобаки на верхней плоскости;</w:t>
      </w:r>
    </w:p>
    <w:p w14:paraId="2636B3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усилены моторные стойки, шасси, растяжка.</w:t>
      </w:r>
    </w:p>
    <w:p w14:paraId="1BA24F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вооружение: 4 пулеметные установки</w:t>
      </w:r>
    </w:p>
    <w:p w14:paraId="3CD227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моторы 2 х "Рено" 225 л.с., 2 х РБ3.6 150 л.с.</w:t>
      </w:r>
    </w:p>
    <w:p w14:paraId="655314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испытании машина показала среднюю скорость 129,4 км/ч (12038).</w:t>
      </w:r>
    </w:p>
    <w:p w14:paraId="3F589F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DE56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июлю 1917 года в Петрограде на Комендантском аэродроме был испытан новый тип корабля. Заложенная серия из 10 кораблей типа Г-1 была переделана по типу Г-3 (№№ 236-245). Опытный "Муромец" Г-3 № 243 имел следующие изменения в главных частях: </w:t>
      </w:r>
    </w:p>
    <w:p w14:paraId="7DBAF3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стабилизаторы увеличены на 4 кв. м;</w:t>
      </w:r>
    </w:p>
    <w:p w14:paraId="081307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поставлены вертикальные кили;</w:t>
      </w:r>
    </w:p>
    <w:p w14:paraId="5D0B73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поставлены боковые рули направления;</w:t>
      </w:r>
    </w:p>
    <w:p w14:paraId="1B5448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помещён пулемётчик в хвост;</w:t>
      </w:r>
    </w:p>
    <w:p w14:paraId="0B68F2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установлены бензобаки на верхней плоскости;</w:t>
      </w:r>
    </w:p>
    <w:p w14:paraId="542717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усилены моторные стойки, шасси, растяжка.</w:t>
      </w:r>
    </w:p>
    <w:p w14:paraId="7ABD86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вооружение: четыре пулемётные установки</w:t>
      </w:r>
    </w:p>
    <w:p w14:paraId="53DA15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моторы 2 х "Рено" 225 л.с., 2 х РБ3.6 150 л.с.</w:t>
      </w:r>
    </w:p>
    <w:p w14:paraId="70815C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испытании машина показала среднюю скорость 129,4 км/ч (12041).</w:t>
      </w:r>
    </w:p>
    <w:p w14:paraId="2DB982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E0F6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июлю 1917 завод Акционерного общества "Дека" (бывшее товарищество "Дюфлон-Константинович и К°"), которому в начале 1917 г ода было заказано 400 тыс. "пуль для метания с аэропланов" , сдал этот заказ армии (9705).</w:t>
      </w:r>
    </w:p>
    <w:p w14:paraId="115780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F936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июлю 1917 завод Дека (бывшее товарищество “Дюфлон-Константинович и К°) сдал армии заказ на 400 тыс. “пуль для метания с аэропланов” (9771).</w:t>
      </w:r>
    </w:p>
    <w:p w14:paraId="47AE72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75EE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июлю 1917 Акционерное общество "Дека" (бывшее товарищество "Дюфлон-Константинович и К°") сдало армии заказ военного ведомства на 400 тыс. "пуль для метания с аэропланов", полученный в начале года (11237).</w:t>
      </w:r>
    </w:p>
    <w:p w14:paraId="694E2C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06A14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466CF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27DB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июлю 1917 года основные корпуса завода Лебедева в Ярославле были готовы на 90 процентов, их оснащение оборудованием планировалось закончить к ноябрю. Четверть станков уже была на месте, поставка остальных задерживалась из-за трудностей морских перевозок в условиях войны и паралича транспортной системы России.</w:t>
      </w:r>
    </w:p>
    <w:p w14:paraId="1F216B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Сразу после свершения октябрьской революции 1917 года директор Карпов уехал в Петроград, объявив всех рабочих, за исключением 42 человек – охраны, конюхов, подсобных рабочих и нескольких специалистов, уволенными. Автозаводцы считали, что администрация устроила саботаж. Не менее реальная причина закрытия предприятия 15 ноября 1917 года – в кассе правления отсутствовали деньги. Положенной третьей части аванса акционерному обществу Лебедева Главное Военно-техническое управление так и не выдало.</w:t>
      </w:r>
    </w:p>
    <w:p w14:paraId="603480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Рабочие и служащие взяли инициативу в свои руки. Созданная ими техническая комиссия после осмотра завода пришла к выводу, что состояние предприятия позволяет использовать его для капитального ремонта автомобилей в широком масштабе. </w:t>
      </w:r>
    </w:p>
    <w:p w14:paraId="591FD4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336A8E" w14:textId="77777777" w:rsidR="00672EDF" w:rsidRPr="002F2FDF" w:rsidRDefault="00672EDF"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К июлю 1917 г. на строительстве Симбирского патронного были полностью готовы часть мастерских, бараки для рабочих, баня, склады, часть флигелей для заводской администрации, железнодорожные ветки. Оставались недостроенными электростанция, помещения для гильзового производства, кузница, железобетонные складские сооружения и 15 флигелей для администрации. Ряд объектов только начали возводить. Было завезено много материалов; работы вели 3419 человек (в том числе 309 — по монтажу оборудования), включая 622 военнопленных.</w:t>
      </w:r>
    </w:p>
    <w:p w14:paraId="108B9844" w14:textId="77777777" w:rsidR="00672EDF" w:rsidRPr="002F2FDF" w:rsidRDefault="00672EDF"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Но в этот момент судьба предприятия оказалась под вопросом. Правительственная комиссия, осмотревшая объект, решила приостановить сооружение помещений для пушечно-гильзового производства (к такому концу пришел замысел, продвинуть который ГАУ пыталось с конца XIX в.) и латунно-мельхиорового, а патронный завод строить и дальше, но не в полном объеме, поставив задачей, чтобы к началу 1918 г. при двухсменной работе он выпускал по 15–17 млн. патронов в месяц (19409).</w:t>
      </w:r>
    </w:p>
    <w:p w14:paraId="565D118A" w14:textId="77777777" w:rsidR="00672EDF" w:rsidRPr="002F2FDF" w:rsidRDefault="00672EDF" w:rsidP="0083075A">
      <w:pPr>
        <w:pStyle w:val="p1"/>
        <w:spacing w:before="0" w:beforeAutospacing="0" w:after="0" w:afterAutospacing="0"/>
        <w:jc w:val="both"/>
        <w:rPr>
          <w:color w:val="000000" w:themeColor="text1"/>
          <w:sz w:val="16"/>
          <w:szCs w:val="16"/>
        </w:rPr>
      </w:pPr>
    </w:p>
    <w:p w14:paraId="4B76B4B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400E6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983B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июлю 1917 г. общее число корпусных авиаотрядов дошло до 44. Каждый корпусный авиаотряд насчитывал шесть корпусных самолетов, шесть артиллерийских и два истребителя. На вооружении в основном состояли самолеты “Лебедь”, “Анаде”, “Кодрон”, “Вуазен”, “Спад” и “Ньюпор”. Число армейских отрядов достигло 12. Каждый отряд состоял из шести армейских самолетов и двух истребителей, в основном это были “Фарман-30”, “Фарман-27”, “Морис-Фарман-40” (9705).</w:t>
      </w:r>
    </w:p>
    <w:p w14:paraId="58375B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CBB6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июлю 1917 г. в Петрограде на Комендантском аэродроме был испытан новый тип ко­рабля. Заложенная серия из 10 кораблей типа Г-1 была переделана по типу Г-3 (№№236-245). Опытный "Муромец" №243 имел следующие изменения в главных частях: </w:t>
      </w:r>
    </w:p>
    <w:p w14:paraId="483392CE" w14:textId="77777777" w:rsidR="003431D2" w:rsidRPr="002F2FDF" w:rsidRDefault="003431D2" w:rsidP="0083075A">
      <w:pPr>
        <w:tabs>
          <w:tab w:val="left" w:pos="72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стабилизаторы увеличены на 4 м; </w:t>
      </w:r>
    </w:p>
    <w:p w14:paraId="7D93C418" w14:textId="77777777" w:rsidR="003431D2" w:rsidRPr="002F2FDF" w:rsidRDefault="003431D2" w:rsidP="0083075A">
      <w:pPr>
        <w:tabs>
          <w:tab w:val="left" w:pos="72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поставлены вертикальные кили; </w:t>
      </w:r>
    </w:p>
    <w:p w14:paraId="28D6D610" w14:textId="77777777" w:rsidR="003431D2" w:rsidRPr="002F2FDF" w:rsidRDefault="003431D2" w:rsidP="0083075A">
      <w:pPr>
        <w:tabs>
          <w:tab w:val="left" w:pos="72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поставлены боковые рули направления; </w:t>
      </w:r>
    </w:p>
    <w:p w14:paraId="54DEFBB4" w14:textId="77777777" w:rsidR="003431D2" w:rsidRPr="002F2FDF" w:rsidRDefault="003431D2" w:rsidP="0083075A">
      <w:pPr>
        <w:tabs>
          <w:tab w:val="left" w:pos="72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помещен пулеметчик в хвост; </w:t>
      </w:r>
    </w:p>
    <w:p w14:paraId="096B04B5" w14:textId="77777777" w:rsidR="003431D2" w:rsidRPr="002F2FDF" w:rsidRDefault="003431D2" w:rsidP="0083075A">
      <w:pPr>
        <w:tabs>
          <w:tab w:val="left" w:pos="72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установлены бензобаки на верхней плоскости; </w:t>
      </w:r>
    </w:p>
    <w:p w14:paraId="69A03ED6" w14:textId="77777777" w:rsidR="003431D2" w:rsidRPr="002F2FDF" w:rsidRDefault="003431D2" w:rsidP="0083075A">
      <w:pPr>
        <w:tabs>
          <w:tab w:val="left" w:pos="72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усилены моторные стойки, шасси, растяжка. </w:t>
      </w:r>
    </w:p>
    <w:p w14:paraId="43978297" w14:textId="77777777" w:rsidR="003431D2" w:rsidRPr="002F2FDF" w:rsidRDefault="003431D2" w:rsidP="0083075A">
      <w:pPr>
        <w:tabs>
          <w:tab w:val="left" w:pos="72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вооружение: 4 пулеметные установки </w:t>
      </w:r>
    </w:p>
    <w:p w14:paraId="2679B572" w14:textId="77777777" w:rsidR="003431D2" w:rsidRPr="002F2FDF" w:rsidRDefault="003431D2" w:rsidP="0083075A">
      <w:pPr>
        <w:tabs>
          <w:tab w:val="left" w:pos="72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моторы 2 х “Рено” 225 л.с., 2 х РБ3.6 150 л.с. </w:t>
      </w:r>
    </w:p>
    <w:p w14:paraId="2632A1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При испытании машина показала среднюю скорость 129,4 км/ч. </w:t>
      </w:r>
    </w:p>
    <w:p w14:paraId="7F58F9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июля 1917 г. ст.лейтенант Голенищев-Кутузов узнал, что на РБВЗ производятся испытания нового "Муромца". С согласия конструктора на испытываемом №243 установили минный аппарат и назначено было произвести сбрасывание болванки, а затем и мин. Заводские испытания и прием аппаратов Военным Ведомством затянулись и эти опыты не были произведены. 6 сентября 1917 г. состоялось Заседание Центрального авиакомитета о выделении из Эскадры отряда воздушных кораблей в Морское Ведомство. На нем было предложено вооружить "Муромцы" съемными минными аппаратами и "использовать его для минных атак (самодвижущиеся мины)". Этот вопрос так и остался открытым. Осенью 1917 г. новые корабли №236, 237, 238 и 243 отправили в Винницу, но они уже не успели принять участия в боях (11277).</w:t>
      </w:r>
    </w:p>
    <w:p w14:paraId="1369F5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ECDBD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3BB52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5CA2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июля 1917 совершил первый полет и сломался самолет Киевского политехнического института КПИ-5 "Торпеда" А. Касьяненко (355,47).</w:t>
      </w:r>
    </w:p>
    <w:p w14:paraId="60E44F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Сломался при посадке после подлета, а испытывался с конца июня 1917 (92,185).</w:t>
      </w:r>
    </w:p>
    <w:p w14:paraId="31D041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5DC22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 </w:t>
      </w:r>
      <w:r w:rsidR="00392894" w:rsidRPr="002F2FDF">
        <w:rPr>
          <w:rFonts w:ascii="Times New Roman" w:hAnsi="Times New Roman" w:cs="Times New Roman"/>
          <w:color w:val="000000" w:themeColor="text1"/>
          <w:kern w:val="2"/>
          <w:sz w:val="16"/>
          <w:szCs w:val="16"/>
        </w:rPr>
        <w:t xml:space="preserve">(14) </w:t>
      </w:r>
      <w:r w:rsidRPr="002F2FDF">
        <w:rPr>
          <w:rFonts w:ascii="Times New Roman" w:hAnsi="Times New Roman" w:cs="Times New Roman"/>
          <w:color w:val="000000" w:themeColor="text1"/>
          <w:kern w:val="2"/>
          <w:sz w:val="16"/>
          <w:szCs w:val="16"/>
        </w:rPr>
        <w:t>ию</w:t>
      </w:r>
      <w:r w:rsidRPr="002F2FDF">
        <w:rPr>
          <w:rFonts w:ascii="Times New Roman" w:hAnsi="Times New Roman" w:cs="Times New Roman"/>
          <w:color w:val="000000" w:themeColor="text1"/>
          <w:kern w:val="2"/>
          <w:sz w:val="16"/>
          <w:szCs w:val="16"/>
        </w:rPr>
        <w:softHyphen/>
        <w:t>ля 1917 г. при очередной посадке у истреби</w:t>
      </w:r>
      <w:r w:rsidRPr="002F2FDF">
        <w:rPr>
          <w:rFonts w:ascii="Times New Roman" w:hAnsi="Times New Roman" w:cs="Times New Roman"/>
          <w:color w:val="000000" w:themeColor="text1"/>
          <w:kern w:val="2"/>
          <w:sz w:val="16"/>
          <w:szCs w:val="16"/>
        </w:rPr>
        <w:softHyphen/>
        <w:t>теля “Касяненко № 5” сломался хвостовой костыль, в резуль</w:t>
      </w:r>
      <w:r w:rsidRPr="002F2FDF">
        <w:rPr>
          <w:rFonts w:ascii="Times New Roman" w:hAnsi="Times New Roman" w:cs="Times New Roman"/>
          <w:color w:val="000000" w:themeColor="text1"/>
          <w:kern w:val="2"/>
          <w:sz w:val="16"/>
          <w:szCs w:val="16"/>
        </w:rPr>
        <w:softHyphen/>
        <w:t>тате повреждения получили воздушный винт и оперение. Каких-либо сведений о его даль</w:t>
      </w:r>
      <w:r w:rsidRPr="002F2FDF">
        <w:rPr>
          <w:rFonts w:ascii="Times New Roman" w:hAnsi="Times New Roman" w:cs="Times New Roman"/>
          <w:color w:val="000000" w:themeColor="text1"/>
          <w:kern w:val="2"/>
          <w:sz w:val="16"/>
          <w:szCs w:val="16"/>
        </w:rPr>
        <w:softHyphen/>
        <w:t>нейшей судьбе пока обнаружить не удалось. В мастерских КПИ было завершено также соз</w:t>
      </w:r>
      <w:r w:rsidRPr="002F2FDF">
        <w:rPr>
          <w:rFonts w:ascii="Times New Roman" w:hAnsi="Times New Roman" w:cs="Times New Roman"/>
          <w:color w:val="000000" w:themeColor="text1"/>
          <w:kern w:val="2"/>
          <w:sz w:val="16"/>
          <w:szCs w:val="16"/>
        </w:rPr>
        <w:softHyphen/>
        <w:t>дание самолета “Терещенко-7” по проекту конструктора В.П. Григорьева (подробнее см. в“АиВ”, № 1'2007, стр. 20) (11285).</w:t>
      </w:r>
    </w:p>
    <w:p w14:paraId="30EE583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BB0E19" w14:textId="77777777" w:rsidR="00394BC0" w:rsidRPr="002F2FDF" w:rsidRDefault="00394BC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 (14) июля</w:t>
      </w:r>
      <w:r w:rsidRPr="002F2FDF">
        <w:rPr>
          <w:rFonts w:ascii="Times New Roman" w:hAnsi="Times New Roman" w:cs="Times New Roman"/>
          <w:color w:val="000000" w:themeColor="text1"/>
          <w:kern w:val="2"/>
          <w:sz w:val="16"/>
          <w:szCs w:val="16"/>
        </w:rPr>
        <w:t xml:space="preserve"> в 1917 году при совершении первого подлета был сломан костыль и хвостовое оперение </w:t>
      </w:r>
      <w:hyperlink r:id="rId338" w:tgtFrame="_blank" w:history="1">
        <w:r w:rsidRPr="002F2FDF">
          <w:rPr>
            <w:rFonts w:ascii="Times New Roman" w:hAnsi="Times New Roman" w:cs="Times New Roman"/>
            <w:color w:val="000000" w:themeColor="text1"/>
            <w:kern w:val="2"/>
            <w:sz w:val="16"/>
            <w:szCs w:val="16"/>
          </w:rPr>
          <w:t xml:space="preserve">самолета №5 братьев Касяненко. </w:t>
        </w:r>
      </w:hyperlink>
      <w:r w:rsidRPr="002F2FDF">
        <w:rPr>
          <w:rFonts w:ascii="Times New Roman" w:hAnsi="Times New Roman" w:cs="Times New Roman"/>
          <w:color w:val="000000" w:themeColor="text1"/>
          <w:kern w:val="2"/>
          <w:sz w:val="16"/>
          <w:szCs w:val="16"/>
        </w:rPr>
        <w:t>Самолет резко ударился хвостом, при этом был сломан костыль, затем винт и хвост фюзеляжа. Разбегаясь, естественно, по прямой Андрей Касяненко, по-видимому, очень резко поставил бипланную коробку в положение "на взлет". Сбалансировать машину цельноповоротным стабилизатором не удалось. Летчик не пострадал. Другие сведения пока не найдены (14939).</w:t>
      </w:r>
    </w:p>
    <w:p w14:paraId="1D189FF0" w14:textId="77777777" w:rsidR="00394BC0" w:rsidRPr="002F2FDF" w:rsidRDefault="00394BC0" w:rsidP="0083075A">
      <w:pPr>
        <w:spacing w:after="0" w:line="240" w:lineRule="auto"/>
        <w:jc w:val="both"/>
        <w:rPr>
          <w:rFonts w:ascii="Times New Roman" w:hAnsi="Times New Roman" w:cs="Times New Roman"/>
          <w:color w:val="000000" w:themeColor="text1"/>
          <w:kern w:val="2"/>
          <w:sz w:val="16"/>
          <w:szCs w:val="16"/>
        </w:rPr>
      </w:pPr>
    </w:p>
    <w:p w14:paraId="03C6220B" w14:textId="44071C78" w:rsidR="00271E93" w:rsidRPr="002F2FDF" w:rsidRDefault="00271E93" w:rsidP="0083075A">
      <w:pPr>
        <w:spacing w:after="0" w:line="240" w:lineRule="auto"/>
        <w:jc w:val="both"/>
        <w:rPr>
          <w:rFonts w:ascii="Times New Roman" w:hAnsi="Times New Roman" w:cs="Times New Roman"/>
          <w:color w:val="000000" w:themeColor="text1"/>
          <w:sz w:val="16"/>
          <w:szCs w:val="16"/>
        </w:rPr>
      </w:pPr>
      <w:bookmarkStart w:id="194" w:name="_Hlk92717176"/>
      <w:r w:rsidRPr="002F2FDF">
        <w:rPr>
          <w:rFonts w:ascii="Times New Roman" w:hAnsi="Times New Roman" w:cs="Times New Roman"/>
          <w:color w:val="000000" w:themeColor="text1"/>
          <w:sz w:val="16"/>
          <w:szCs w:val="16"/>
        </w:rPr>
        <w:t xml:space="preserve">1 </w:t>
      </w:r>
      <w:r w:rsidR="006E5CD0">
        <w:rPr>
          <w:rFonts w:ascii="Times New Roman" w:hAnsi="Times New Roman" w:cs="Times New Roman"/>
          <w:color w:val="000000" w:themeColor="text1"/>
          <w:sz w:val="16"/>
          <w:szCs w:val="16"/>
        </w:rPr>
        <w:t xml:space="preserve">(14) </w:t>
      </w:r>
      <w:r w:rsidRPr="002F2FDF">
        <w:rPr>
          <w:rFonts w:ascii="Times New Roman" w:hAnsi="Times New Roman" w:cs="Times New Roman"/>
          <w:color w:val="000000" w:themeColor="text1"/>
          <w:sz w:val="16"/>
          <w:szCs w:val="16"/>
        </w:rPr>
        <w:t>июля 1917 г. А. И. Касяненко на Сырецком аэродроме в Киеве попытался на своем «Торпедо» взлететь. Самолет оторвался от земли, но вдруг опустил хвост и грохнулся вниз, сломав костыль шасси, нижний киль, винт и хвостовую часть. Летчик отделался легким испугом и решил машину не ремонтировать.</w:t>
      </w:r>
    </w:p>
    <w:p w14:paraId="6314B92A" w14:textId="77777777" w:rsidR="00271E93" w:rsidRPr="002F2FDF" w:rsidRDefault="00271E9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Машина строилась со второй половины 1914 г. студентами Киевского политехнического института — братьями Андреем Ивановичем, Евгением Ивановичем и Иванном Ивановичем Касяненко как их 5-й проект самолета — теперь военного назначения. Точно оно определено пока не было, но аэроплан должен был быть быстрее и маневреннее вражеских, потому был сделан весьма необычно. «Касяненко № 5» проектировался «по науке» — с расчетом аэродинамики, прочности и веса, а также возможных летных данных и даже оптимальных траекторий полета.</w:t>
      </w:r>
    </w:p>
    <w:p w14:paraId="2D1070CD" w14:textId="77777777" w:rsidR="00271E93" w:rsidRPr="002F2FDF" w:rsidRDefault="00271E9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ходе этих исследований конструкторы пришли к идее «погони за противником в полярной системе координат, внезапной атаки с выходом на позицию стрельбы в ортогональной системе координат и ухода от контратаки противника или от преследования снова в полярных координатах». Это означало, что на большой скорости самолет летел с нормальном положением крыла, а маневрировал, увеличивая угол его установки, или, наоборот, уменьшал до отрицательного. При этом крутизна наклона траектории получалась необычно большой при почти горизонтальном положении фюзеляжа, что считалось авторами удобным для атаки. Это была идея Е. И. Касяненко. Фюзеляж представлял собой обтекаемую «идеальную сигару», за что самолет назвали «Торпедо». Это был гладкий деревянный монокок из двух соединенных стальными трубами секций, между которыми стоял ротативный мотор Гном «Моносупап-В» мощностью 100 л. с., вращавший через длинный вал деревянный трехлопастный воздушный винт. Такой, вероятно, был впервые применен в российской авиации, чтобы обеспечить нужную тягу и не увеличивать высоту шасси — лишняя лопасть позволяла уменьшить диаметр. В работе участвовали и другие студенты и преподаватели КПИ, но руководили всем, видимо, Е. И. и А. И. Касяненко — именно их компоновка и пошла в постройку. К тому времени братья построили четыре самолета, три из которых считались успешными, потому что смогли взлететь. Самолет вышел очень сложным, и то, что у братьев Касяненко нашлось много помощников, не всегда ускоряло дело — проект частенько погрязал в спорах. Да и работать в мастерских КПИ оказалось хуже, чем на каком-нибудь самом захудалом заводе — все же институт имел свои, чисто учебные задачи, и эти мастерские должны были обеспечивать подготовку студентов.</w:t>
      </w:r>
    </w:p>
    <w:p w14:paraId="6AC43B91" w14:textId="77777777" w:rsidR="00271E93" w:rsidRPr="002F2FDF" w:rsidRDefault="00271E9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Потому строительство шло долго, а тем временем задача уничтожения воздушного противника, о которой конструкторы думали с самого начала, обрела вид требования фронта, поэтому в носовой части поставили пулемет «Льюис», благо стрелять вперед винт не мешал. Правда, его диск вмещал только 47 патронов, заменить его в полете было невозможно, а Виккерс Mk.I с ленточным питанием в тесный нос «Торпеды» не вписался.</w:t>
      </w:r>
    </w:p>
    <w:p w14:paraId="052E1461" w14:textId="77777777" w:rsidR="00271E93" w:rsidRPr="002F2FDF" w:rsidRDefault="00271E9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Самолет «Касяненко № 5» был намного дороже и сложнее в производстве и в обслуживании, чем типовой истребитель тех лет с таким же мотором, например Ньюпор 11. Неизбежное коробление деревянного фюзеляжа постепенно вызвало бы изгиб вала, соединяющего мотор и винт, и дополнительные нагрузки на фюзеляж, подверженный его вибрациям. Выбранный способ управления по тангажу определял дополнительные и немалые нагрузки на ручке управления, к которым добавлялась бы еще и тряска. Отличия в способе управления по тангажу неизбежно делали самолет «Касяненко № 5» трудным в освоении. Просто удивительно, как много вроде бы передовых, продуманных и даже в какой-то мере научно обоснованных каждое само по себе решений могли быть соединены столь неудачным образом (22826).</w:t>
      </w:r>
    </w:p>
    <w:p w14:paraId="53D07387" w14:textId="77777777" w:rsidR="00271E93" w:rsidRPr="002F2FDF" w:rsidRDefault="00271E93" w:rsidP="0083075A">
      <w:pPr>
        <w:spacing w:after="0" w:line="240" w:lineRule="auto"/>
        <w:jc w:val="both"/>
        <w:rPr>
          <w:rFonts w:ascii="Times New Roman" w:hAnsi="Times New Roman" w:cs="Times New Roman"/>
          <w:color w:val="000000" w:themeColor="text1"/>
          <w:sz w:val="16"/>
          <w:szCs w:val="16"/>
        </w:rPr>
      </w:pPr>
    </w:p>
    <w:bookmarkEnd w:id="194"/>
    <w:p w14:paraId="2C125A4E" w14:textId="10CD43B3" w:rsidR="00DE1F21" w:rsidRPr="00FB4F67" w:rsidRDefault="00DE1F2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1 </w:t>
      </w:r>
      <w:r>
        <w:rPr>
          <w:rFonts w:ascii="Times New Roman" w:hAnsi="Times New Roman" w:cs="Times New Roman"/>
          <w:color w:val="0070C0"/>
          <w:sz w:val="16"/>
          <w:szCs w:val="16"/>
        </w:rPr>
        <w:t xml:space="preserve">(14) </w:t>
      </w:r>
      <w:r w:rsidRPr="00FB4F67">
        <w:rPr>
          <w:rFonts w:ascii="Times New Roman" w:hAnsi="Times New Roman" w:cs="Times New Roman"/>
          <w:color w:val="0070C0"/>
          <w:sz w:val="16"/>
          <w:szCs w:val="16"/>
        </w:rPr>
        <w:t>июля 1917 г. при совершении первого под</w:t>
      </w:r>
      <w:r w:rsidRPr="00FB4F67">
        <w:rPr>
          <w:rFonts w:ascii="Times New Roman" w:hAnsi="Times New Roman" w:cs="Times New Roman"/>
          <w:color w:val="0070C0"/>
          <w:sz w:val="16"/>
          <w:szCs w:val="16"/>
        </w:rPr>
        <w:softHyphen/>
        <w:t>лета самолет №5 братьев Касьяненко, который построили в мастерских Киевского политехнического института, был сломан костыль и хвостовое опе</w:t>
      </w:r>
      <w:r w:rsidRPr="00FB4F67">
        <w:rPr>
          <w:rFonts w:ascii="Times New Roman" w:hAnsi="Times New Roman" w:cs="Times New Roman"/>
          <w:color w:val="0070C0"/>
          <w:sz w:val="16"/>
          <w:szCs w:val="16"/>
        </w:rPr>
        <w:softHyphen/>
        <w:t>рение с воздушным винтом. Дальнейших сведений о судьбе самолета не имеется.</w:t>
      </w:r>
    </w:p>
    <w:p w14:paraId="571F3F8C" w14:textId="77777777" w:rsidR="00DE1F21" w:rsidRPr="00FB4F67" w:rsidRDefault="00DE1F2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1916 г. братья спроектировали и построи</w:t>
      </w:r>
      <w:r w:rsidRPr="00FB4F67">
        <w:rPr>
          <w:rFonts w:ascii="Times New Roman" w:hAnsi="Times New Roman" w:cs="Times New Roman"/>
          <w:color w:val="0070C0"/>
          <w:sz w:val="16"/>
          <w:szCs w:val="16"/>
        </w:rPr>
        <w:softHyphen/>
        <w:t>ли весьма оригинальный самолет, который предполагался в качестве истребителя, с размещением одного пулемета перед лет</w:t>
      </w:r>
      <w:r w:rsidRPr="00FB4F67">
        <w:rPr>
          <w:rFonts w:ascii="Times New Roman" w:hAnsi="Times New Roman" w:cs="Times New Roman"/>
          <w:color w:val="0070C0"/>
          <w:sz w:val="16"/>
          <w:szCs w:val="16"/>
        </w:rPr>
        <w:softHyphen/>
        <w:t>чиком. Ротативный двигатель «Гном-Моносупап» 100 л.с. размещался в центральной части фюзеляжа и имел удлиненный вал к хвостовой части, где был установлен тол</w:t>
      </w:r>
      <w:r w:rsidRPr="00FB4F67">
        <w:rPr>
          <w:rFonts w:ascii="Times New Roman" w:hAnsi="Times New Roman" w:cs="Times New Roman"/>
          <w:color w:val="0070C0"/>
          <w:sz w:val="16"/>
          <w:szCs w:val="16"/>
        </w:rPr>
        <w:softHyphen/>
        <w:t>кающий трехлопастной деревянный винт. Для защиты воздушного винта вертикаль</w:t>
      </w:r>
      <w:r w:rsidRPr="00FB4F67">
        <w:rPr>
          <w:rFonts w:ascii="Times New Roman" w:hAnsi="Times New Roman" w:cs="Times New Roman"/>
          <w:color w:val="0070C0"/>
          <w:sz w:val="16"/>
          <w:szCs w:val="16"/>
        </w:rPr>
        <w:softHyphen/>
        <w:t>ное оперение было продолжено книзу и за</w:t>
      </w:r>
      <w:r w:rsidRPr="00FB4F67">
        <w:rPr>
          <w:rFonts w:ascii="Times New Roman" w:hAnsi="Times New Roman" w:cs="Times New Roman"/>
          <w:color w:val="0070C0"/>
          <w:sz w:val="16"/>
          <w:szCs w:val="16"/>
        </w:rPr>
        <w:softHyphen/>
        <w:t>канчивалось усиленным костылем. Указан</w:t>
      </w:r>
      <w:r w:rsidRPr="00FB4F67">
        <w:rPr>
          <w:rFonts w:ascii="Times New Roman" w:hAnsi="Times New Roman" w:cs="Times New Roman"/>
          <w:color w:val="0070C0"/>
          <w:sz w:val="16"/>
          <w:szCs w:val="16"/>
        </w:rPr>
        <w:softHyphen/>
        <w:t>ная компоновка позволяла разместить лет</w:t>
      </w:r>
      <w:r w:rsidRPr="00FB4F67">
        <w:rPr>
          <w:rFonts w:ascii="Times New Roman" w:hAnsi="Times New Roman" w:cs="Times New Roman"/>
          <w:color w:val="0070C0"/>
          <w:sz w:val="16"/>
          <w:szCs w:val="16"/>
        </w:rPr>
        <w:softHyphen/>
        <w:t>чика в носовой части фюзеляжа, обеспечив ему наиболее благоприятный обзор. Фю</w:t>
      </w:r>
      <w:r w:rsidRPr="00FB4F67">
        <w:rPr>
          <w:rFonts w:ascii="Times New Roman" w:hAnsi="Times New Roman" w:cs="Times New Roman"/>
          <w:color w:val="0070C0"/>
          <w:sz w:val="16"/>
          <w:szCs w:val="16"/>
        </w:rPr>
        <w:softHyphen/>
        <w:t>зеляж представлял собой выклеенный из шпона деревянный монокок очень чистых аэродинамических форм.</w:t>
      </w:r>
    </w:p>
    <w:p w14:paraId="64D5B633" w14:textId="77777777" w:rsidR="00DE1F21" w:rsidRPr="00FB4F67" w:rsidRDefault="00DE1F2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Коробка крыльев крепилась на особом узле по бортам фюзеляжа, позволяющем осуществлять изменение угла установки крыльев в полете.</w:t>
      </w:r>
    </w:p>
    <w:p w14:paraId="75BBA248" w14:textId="77777777" w:rsidR="00DE1F21" w:rsidRPr="00FB4F67" w:rsidRDefault="00DE1F2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Самолет №5 является не последней кон</w:t>
      </w:r>
      <w:r w:rsidRPr="00FB4F67">
        <w:rPr>
          <w:rFonts w:ascii="Times New Roman" w:hAnsi="Times New Roman" w:cs="Times New Roman"/>
          <w:color w:val="0070C0"/>
          <w:sz w:val="16"/>
          <w:szCs w:val="16"/>
        </w:rPr>
        <w:softHyphen/>
        <w:t>струкцией братьев Касяненко. В 1921 г. на базе ремонтного авиазавода №6 в Киеве строился небольшой самолет, называемый «Касяненко №6». Аппарат предполагалось использовать в кавалерии в качестве раз</w:t>
      </w:r>
      <w:r w:rsidRPr="00FB4F67">
        <w:rPr>
          <w:rFonts w:ascii="Times New Roman" w:hAnsi="Times New Roman" w:cs="Times New Roman"/>
          <w:color w:val="0070C0"/>
          <w:sz w:val="16"/>
          <w:szCs w:val="16"/>
        </w:rPr>
        <w:softHyphen/>
        <w:t>ведчика, для чего он делался разборным и, по возможности, максимально легким (23374).</w:t>
      </w:r>
    </w:p>
    <w:p w14:paraId="3A4DA99B" w14:textId="77777777" w:rsidR="00DE1F21" w:rsidRPr="00FB4F67" w:rsidRDefault="00DE1F21" w:rsidP="0083075A">
      <w:pPr>
        <w:spacing w:after="0" w:line="240" w:lineRule="auto"/>
        <w:jc w:val="both"/>
        <w:rPr>
          <w:rFonts w:ascii="Times New Roman" w:hAnsi="Times New Roman" w:cs="Times New Roman"/>
          <w:color w:val="0070C0"/>
          <w:sz w:val="16"/>
          <w:szCs w:val="16"/>
        </w:rPr>
      </w:pPr>
    </w:p>
    <w:p w14:paraId="54BC7F4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июля 1917 г.-постройка второго самолета Ботезата была заморожена. Технический комитет УВВФ весной, рассмотрев проекты Ботезата, постановил фи</w:t>
      </w:r>
      <w:r w:rsidRPr="002F2FDF">
        <w:rPr>
          <w:rFonts w:ascii="Times New Roman" w:hAnsi="Times New Roman" w:cs="Times New Roman"/>
          <w:color w:val="000000" w:themeColor="text1"/>
          <w:kern w:val="2"/>
          <w:sz w:val="16"/>
          <w:szCs w:val="16"/>
        </w:rPr>
        <w:softHyphen/>
        <w:t>нансировать постройку «бомбометателя» только в случае успешного испыта</w:t>
      </w:r>
      <w:r w:rsidRPr="002F2FDF">
        <w:rPr>
          <w:rFonts w:ascii="Times New Roman" w:hAnsi="Times New Roman" w:cs="Times New Roman"/>
          <w:color w:val="000000" w:themeColor="text1"/>
          <w:kern w:val="2"/>
          <w:sz w:val="16"/>
          <w:szCs w:val="16"/>
        </w:rPr>
        <w:softHyphen/>
        <w:t>ния «истребителя» (15740).</w:t>
      </w:r>
    </w:p>
    <w:p w14:paraId="5E6B660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p w14:paraId="59365D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июля 1917 Д.П.Г., ушедший от Т.Т.Щетинина с 1 июня, организовал свой собственный авиазавод, арендовав мебельную фабрику (449).</w:t>
      </w:r>
    </w:p>
    <w:p w14:paraId="15B3CF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2EF03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9C1BE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B242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 </w:t>
      </w:r>
      <w:r w:rsidR="00392894" w:rsidRPr="002F2FDF">
        <w:rPr>
          <w:rFonts w:ascii="Times New Roman" w:hAnsi="Times New Roman" w:cs="Times New Roman"/>
          <w:color w:val="000000" w:themeColor="text1"/>
          <w:kern w:val="2"/>
          <w:sz w:val="16"/>
          <w:szCs w:val="16"/>
        </w:rPr>
        <w:t xml:space="preserve">(14) </w:t>
      </w:r>
      <w:r w:rsidRPr="002F2FDF">
        <w:rPr>
          <w:rFonts w:ascii="Times New Roman" w:hAnsi="Times New Roman" w:cs="Times New Roman"/>
          <w:color w:val="000000" w:themeColor="text1"/>
          <w:kern w:val="2"/>
          <w:sz w:val="16"/>
          <w:szCs w:val="16"/>
        </w:rPr>
        <w:t>июля 1917. Потребность в самоходах на начало второго полугодия 1917 года определялась автоотделением ГВТУ в 32450 штук (11201).</w:t>
      </w:r>
    </w:p>
    <w:p w14:paraId="69A05F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741EE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ранее 1 (14) июля 1917 г. Доклад зам. главноуполномоченного по снабжению металлами ген. С. И. Чердынцева о работе металлургической промышленности России за годы войны (до середины 1917 г.).</w:t>
      </w:r>
    </w:p>
    <w:p w14:paraId="29D2644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104-124</w:t>
      </w:r>
    </w:p>
    <w:p w14:paraId="075DC1E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ЦГАОР, ф. 3348, оп. 1, д. 118, лл. 1—12. Подлинник.</w:t>
      </w:r>
    </w:p>
    <w:p w14:paraId="32E460A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ЧУГУНОПЛАВИЛЬНОЕ ПРОИЗВОДСТВО</w:t>
      </w:r>
    </w:p>
    <w:p w14:paraId="7E5DE20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Война застала металлургическую промышленность России в полном расцвете, за последнее десятилетие перед войной общее производство чугуна, по данным Центральной статистики Министерства финансов,, иллюстрируется следующей таблицей (по годам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613"/>
        <w:gridCol w:w="1604"/>
        <w:gridCol w:w="598"/>
        <w:gridCol w:w="1619"/>
      </w:tblGrid>
      <w:tr w:rsidR="002B1C74" w:rsidRPr="002F2FDF" w14:paraId="2893F69E" w14:textId="77777777" w:rsidTr="00392894">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2B5192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1</w:t>
            </w:r>
          </w:p>
        </w:tc>
      </w:tr>
      <w:tr w:rsidR="002B1C74" w:rsidRPr="002F2FDF" w14:paraId="75FB821F"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68DD7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4344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чугуна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68E2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7C8B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чугуна</w:t>
            </w:r>
          </w:p>
        </w:tc>
      </w:tr>
      <w:tr w:rsidR="002B1C74" w:rsidRPr="002F2FDF" w14:paraId="0E1F0A6D"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BBCC3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5EB4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165874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04E2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2E09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185595</w:t>
            </w:r>
          </w:p>
        </w:tc>
      </w:tr>
      <w:tr w:rsidR="002B1C74" w:rsidRPr="002F2FDF" w14:paraId="15F79F33"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DFBDF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728F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164026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C223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A5E1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219362</w:t>
            </w:r>
          </w:p>
        </w:tc>
      </w:tr>
      <w:tr w:rsidR="002B1C74" w:rsidRPr="002F2FDF" w14:paraId="19F7442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A3261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933E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172153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8B57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6E8A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256265</w:t>
            </w:r>
          </w:p>
        </w:tc>
      </w:tr>
      <w:tr w:rsidR="002B1C74" w:rsidRPr="002F2FDF" w14:paraId="2EA8529A"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FD5F1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5923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171073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6AC1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5722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282960</w:t>
            </w:r>
          </w:p>
        </w:tc>
      </w:tr>
      <w:tr w:rsidR="002B1C74" w:rsidRPr="002F2FDF" w14:paraId="1A19D659"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75A60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F2A5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175295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8369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39A7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264251 (война)</w:t>
            </w:r>
          </w:p>
        </w:tc>
      </w:tr>
    </w:tbl>
    <w:p w14:paraId="6C40C54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причем за первую половину 1914 г. выплавлено было чугуна 144 438, что давало надежду получить за год около 300 тыс. пуд., но начавшаяся война, а за ней революция тяжело отозвались на добыче этого необходимого для нужд войны основного продукта.</w:t>
      </w:r>
    </w:p>
    <w:p w14:paraId="0BDC664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момента объявления мобилизации выплавка чугуна значительно падает, дав в 1-е полугодие текущего года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508"/>
        <w:gridCol w:w="1093"/>
        <w:gridCol w:w="1093"/>
        <w:gridCol w:w="975"/>
        <w:gridCol w:w="4964"/>
      </w:tblGrid>
      <w:tr w:rsidR="002B1C74" w:rsidRPr="002F2FDF" w14:paraId="030533C1" w14:textId="77777777" w:rsidTr="00392894">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214C311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2</w:t>
            </w:r>
          </w:p>
        </w:tc>
      </w:tr>
      <w:tr w:rsidR="002B1C74" w:rsidRPr="002F2FDF" w14:paraId="3D27230A"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9F1D2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E10D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84D4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9D32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6F6C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Примечание</w:t>
            </w:r>
          </w:p>
        </w:tc>
      </w:tr>
      <w:tr w:rsidR="002B1C74" w:rsidRPr="002F2FDF" w14:paraId="5F51A8B3"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78072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853A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144438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E866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119813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83CD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264251</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FB21EB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данным Центральной статистики Министерства финансов</w:t>
            </w:r>
          </w:p>
        </w:tc>
      </w:tr>
      <w:tr w:rsidR="002B1C74" w:rsidRPr="002F2FDF" w14:paraId="67EAFCCD"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C1C0C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D85C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115297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139C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110066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3042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225363</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0E40D9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3CBB533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F12A3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DC02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111843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22E4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7236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231864</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44601A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0B586903"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7356B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1A09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114088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B787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118522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9F18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232610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A53C92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данным статистики Управления главноуполномоченного (Расмеко)</w:t>
            </w:r>
          </w:p>
        </w:tc>
      </w:tr>
      <w:tr w:rsidR="002B1C74" w:rsidRPr="002F2FDF" w14:paraId="08D726A8"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C1400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21F4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101135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63B8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7BE3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268C84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r>
    </w:tbl>
    <w:p w14:paraId="40F2A19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районам выплавка чугуна распределяется но годам, по данным Центральной статистики Министерства финансов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615"/>
        <w:gridCol w:w="630"/>
        <w:gridCol w:w="550"/>
        <w:gridCol w:w="575"/>
        <w:gridCol w:w="986"/>
        <w:gridCol w:w="832"/>
      </w:tblGrid>
      <w:tr w:rsidR="002B1C74" w:rsidRPr="002F2FDF" w14:paraId="28568209" w14:textId="77777777" w:rsidTr="00392894">
        <w:trPr>
          <w:tblCellSpacing w:w="15"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372F302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3</w:t>
            </w:r>
          </w:p>
        </w:tc>
      </w:tr>
      <w:tr w:rsidR="002B1C74" w:rsidRPr="002F2FDF" w14:paraId="5FD96EBE"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C76C8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A9DE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794B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1BB8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3EB9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 Польское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270A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r>
      <w:tr w:rsidR="002B1C74" w:rsidRPr="002F2FDF" w14:paraId="4C824066"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7A5D5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AD4A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189162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CD78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5D76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6219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3E2D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12E4DE45"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ED714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FA40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186205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4AEA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E390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DB58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8DD0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13D2B857"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2FA66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087A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167540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FF1D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DDAD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0344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1818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224970</w:t>
            </w:r>
            <w:hyperlink r:id="rId339" w:anchor="_ftn2" w:history="1">
              <w:r w:rsidRPr="002F2FDF">
                <w:rPr>
                  <w:rFonts w:ascii="Times New Roman" w:hAnsi="Times New Roman" w:cs="Times New Roman"/>
                  <w:color w:val="000000" w:themeColor="text1"/>
                  <w:kern w:val="2"/>
                  <w:sz w:val="16"/>
                  <w:szCs w:val="16"/>
                </w:rPr>
                <w:t>[2]</w:t>
              </w:r>
            </w:hyperlink>
          </w:p>
        </w:tc>
      </w:tr>
      <w:tr w:rsidR="002B1C74" w:rsidRPr="002F2FDF" w14:paraId="06DBFE0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F6A01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8A54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176148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9E94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79AD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9699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B231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DD0B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231865</w:t>
            </w:r>
            <w:hyperlink r:id="rId340" w:anchor="_ftn3" w:history="1">
              <w:r w:rsidRPr="002F2FDF">
                <w:rPr>
                  <w:rFonts w:ascii="Times New Roman" w:hAnsi="Times New Roman" w:cs="Times New Roman"/>
                  <w:color w:val="000000" w:themeColor="text1"/>
                  <w:kern w:val="2"/>
                  <w:sz w:val="16"/>
                  <w:szCs w:val="16"/>
                </w:rPr>
                <w:t>[3]</w:t>
              </w:r>
            </w:hyperlink>
          </w:p>
        </w:tc>
      </w:tr>
    </w:tbl>
    <w:p w14:paraId="40AC2ED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за время войны, по полугодиям, по данным Расмеко:</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485"/>
        <w:gridCol w:w="1093"/>
        <w:gridCol w:w="630"/>
        <w:gridCol w:w="550"/>
        <w:gridCol w:w="575"/>
        <w:gridCol w:w="986"/>
        <w:gridCol w:w="832"/>
      </w:tblGrid>
      <w:tr w:rsidR="002B1C74" w:rsidRPr="002F2FDF" w14:paraId="783D7B59"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8D32EA" w14:textId="33A7D0B4"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4BE701D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4</w:t>
            </w:r>
          </w:p>
        </w:tc>
      </w:tr>
      <w:tr w:rsidR="002B1C74" w:rsidRPr="002F2FDF" w14:paraId="3FABC8B8"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B21006" w14:textId="01FB8519"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D986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CD30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7A5B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CCA2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3F2E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 Польское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9DBA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r>
      <w:tr w:rsidR="002B1C74" w:rsidRPr="002F2FDF" w14:paraId="2F4019F4" w14:textId="77777777" w:rsidTr="00392894">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3FFFC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4535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D95C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82899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A7F29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25552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2A25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B87E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972A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114088</w:t>
            </w:r>
          </w:p>
        </w:tc>
      </w:tr>
      <w:tr w:rsidR="002B1C74" w:rsidRPr="002F2FDF" w14:paraId="5E63A330" w14:textId="77777777" w:rsidTr="00392894">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93082B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12FDC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F3CC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92744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A49B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20862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B0BF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78ADA" w14:textId="5A0AA9C3"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6B1E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118522</w:t>
            </w:r>
            <w:hyperlink r:id="rId341" w:anchor="_ftn4" w:history="1">
              <w:r w:rsidRPr="002F2FDF">
                <w:rPr>
                  <w:rFonts w:ascii="Times New Roman" w:hAnsi="Times New Roman" w:cs="Times New Roman"/>
                  <w:color w:val="000000" w:themeColor="text1"/>
                  <w:kern w:val="2"/>
                  <w:sz w:val="16"/>
                  <w:szCs w:val="16"/>
                </w:rPr>
                <w:t>[4]</w:t>
              </w:r>
            </w:hyperlink>
          </w:p>
        </w:tc>
      </w:tr>
      <w:tr w:rsidR="002B1C74" w:rsidRPr="002F2FDF" w14:paraId="3BAD0D0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785216" w14:textId="630ADFA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lastRenderedPageBreak/>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1F42E" w14:textId="6BEE847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1488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175643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919C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E7E8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899F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891C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232610</w:t>
            </w:r>
            <w:hyperlink r:id="rId342" w:anchor="_ftn5" w:history="1">
              <w:r w:rsidRPr="002F2FDF">
                <w:rPr>
                  <w:rFonts w:ascii="Times New Roman" w:hAnsi="Times New Roman" w:cs="Times New Roman"/>
                  <w:color w:val="000000" w:themeColor="text1"/>
                  <w:kern w:val="2"/>
                  <w:sz w:val="16"/>
                  <w:szCs w:val="16"/>
                </w:rPr>
                <w:t>[5]</w:t>
              </w:r>
            </w:hyperlink>
          </w:p>
        </w:tc>
      </w:tr>
      <w:tr w:rsidR="002B1C74" w:rsidRPr="002F2FDF" w14:paraId="7F42B2F2" w14:textId="77777777" w:rsidTr="00392894">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8D8C27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A418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0A54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70504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2128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25685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C93B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AA2F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A203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101135</w:t>
            </w:r>
          </w:p>
        </w:tc>
      </w:tr>
      <w:tr w:rsidR="002B1C74" w:rsidRPr="002F2FDF" w14:paraId="30719A0D" w14:textId="77777777" w:rsidTr="00392894">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CD7ED5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BA07F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2-е »</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5CF656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получено данных</w:t>
            </w:r>
          </w:p>
        </w:tc>
      </w:tr>
    </w:tbl>
    <w:p w14:paraId="112FADC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Приведенные данные указывают, что учет Центральной статистики Министерства финансов и Статистического отдела Управления главно-уполномоченного по снабжению металлами совпадает, обнимая работу одних и тех же заводов; за время 1913 г. учитывалось заводов:</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508"/>
        <w:gridCol w:w="381"/>
        <w:gridCol w:w="575"/>
        <w:gridCol w:w="482"/>
        <w:gridCol w:w="986"/>
        <w:gridCol w:w="543"/>
        <w:gridCol w:w="381"/>
        <w:gridCol w:w="575"/>
        <w:gridCol w:w="482"/>
        <w:gridCol w:w="986"/>
        <w:gridCol w:w="558"/>
      </w:tblGrid>
      <w:tr w:rsidR="002B1C74" w:rsidRPr="002F2FDF" w14:paraId="13D4D46E" w14:textId="77777777" w:rsidTr="00392894">
        <w:trPr>
          <w:tblCellSpacing w:w="15"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6D2A88F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5</w:t>
            </w:r>
          </w:p>
        </w:tc>
      </w:tr>
      <w:tr w:rsidR="002B1C74" w:rsidRPr="002F2FDF" w14:paraId="343D82DD" w14:textId="77777777" w:rsidTr="00392894">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E6471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B413F7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Действующие заводы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12CFF2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645D1E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действующие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2C7D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D0858A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r>
      <w:tr w:rsidR="002B1C74" w:rsidRPr="002F2FDF" w14:paraId="68E225B6" w14:textId="77777777" w:rsidTr="00392894">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6D238B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D6BBE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3EE6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CC81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4234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 Польское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FAADC6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D5FAF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99B4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648C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2182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 Польское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B14D2A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733A9E2C"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CD974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04DD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5FD0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9C96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0E4B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307F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54D2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D6A0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A0D8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5AC5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062C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w:t>
            </w:r>
          </w:p>
        </w:tc>
      </w:tr>
      <w:tr w:rsidR="002B1C74" w:rsidRPr="002F2FDF" w14:paraId="21FF8AA9"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D2E01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ABD2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8286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22AE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541C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84E6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55FD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9EC4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A5CB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310F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FFBE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w:t>
            </w:r>
          </w:p>
        </w:tc>
      </w:tr>
      <w:tr w:rsidR="002B1C74" w:rsidRPr="002F2FDF" w14:paraId="35C540CD"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7742A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4983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F915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805C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2ACA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5C11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E051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747B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6D5A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02F6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76F4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w:t>
            </w:r>
          </w:p>
        </w:tc>
      </w:tr>
      <w:tr w:rsidR="002B1C74" w:rsidRPr="002F2FDF" w14:paraId="53F7DEF3"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53C6E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32C6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ADE7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4F81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E25D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F0F7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FFD1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D97E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8468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5FD2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CF09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w:t>
            </w:r>
          </w:p>
        </w:tc>
      </w:tr>
      <w:tr w:rsidR="002B1C74" w:rsidRPr="002F2FDF" w14:paraId="0D3F5D35"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30EC4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5AED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0834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8541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DE8E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C4F1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209B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C1A8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1C37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4AF0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C8B7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w:t>
            </w:r>
          </w:p>
        </w:tc>
      </w:tr>
    </w:tbl>
    <w:p w14:paraId="52E75FD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учете Расмеко состоят: 18 заводов Юга России, а именно — Александровский, Гданцевский, Днепровский, Дружковский, Донецко-Юрьевский, Кадиевский, Керченский, Конетантиновский, Краматорский, Макеввский, Никополь-Мариупольский, Ольховский, Петровский, «Русский Провиданс», Сулинский, Таганрогский, Юзовский;</w:t>
      </w:r>
      <w:hyperlink r:id="rId343" w:anchor="_ftn6" w:history="1">
        <w:r w:rsidRPr="002F2FDF">
          <w:rPr>
            <w:rFonts w:ascii="Times New Roman" w:hAnsi="Times New Roman" w:cs="Times New Roman"/>
            <w:color w:val="000000" w:themeColor="text1"/>
            <w:kern w:val="2"/>
            <w:sz w:val="16"/>
            <w:szCs w:val="16"/>
          </w:rPr>
          <w:t>[6]</w:t>
        </w:r>
      </w:hyperlink>
      <w:r w:rsidRPr="002F2FDF">
        <w:rPr>
          <w:rFonts w:ascii="Times New Roman" w:hAnsi="Times New Roman" w:cs="Times New Roman"/>
          <w:color w:val="000000" w:themeColor="text1"/>
          <w:kern w:val="2"/>
          <w:sz w:val="16"/>
          <w:szCs w:val="16"/>
        </w:rPr>
        <w:t xml:space="preserve"> 17 заводов Центра России, а именно — Бушуевский, Верхне-Выксунский, Дубенский, Дугнен-кий, Думенический, Кулебакский, «Лашма», Людиновский, Песоченский, Хотьковский, Сокольский, Сынтульский, Судаковский, Ташинский, Черепетский, Песочинский и Ханинский; 52 завода "Урала, а именно — Абаканский, Авзяно-Петровский, Иейво-Алапаевский, Балашевский, Ба-ранчинский, Билимбаевский, Белорецкий, Бисерский, Бисертский, Берх-Исетский, Верхне-Синячихинский, Верхне-Тагильский, Верхне-Туринский, Зигазинский, Златоустовский, Инзерский, Каменский, Катав-Ивановский, Кизеловский, Кусинский, Кушвинский, Кыштымский, Кусье-Александровский, Климковский, Лапыштинский, Надеждинский, Невьянский, Нижне-Тагильский, Пижне-Салдинский, Никитинский, Никольский, Омутнинский, Песковский, Пашийский, Петровский, Нейво-Рудянский, Режевский, Ревдинский, Сосьвинский, Саткинский, Симский, Сысертский, Северский, Теплогорский, Ново-Уткинский, Узянский,Уткин-скнй, Уральского электрометаллургического т-ва, Чусовской и Нейво-Шайтанский, Администрации по делам Сергинско-Уфалейских горных заводов и Акц. об-ва ПІайтанских горных заводов.</w:t>
      </w:r>
    </w:p>
    <w:p w14:paraId="1155A88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Теоретическая мощность доменного оборудования указанных заводов при наличии всех благоприятных условий снабжения может быть оценена по годам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163"/>
        <w:gridCol w:w="670"/>
        <w:gridCol w:w="630"/>
        <w:gridCol w:w="630"/>
        <w:gridCol w:w="832"/>
      </w:tblGrid>
      <w:tr w:rsidR="002B1C74" w:rsidRPr="002F2FDF" w14:paraId="156782BE" w14:textId="77777777" w:rsidTr="00392894">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E2F3DE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6</w:t>
            </w:r>
          </w:p>
        </w:tc>
      </w:tr>
      <w:tr w:rsidR="002B1C74" w:rsidRPr="002F2FDF" w14:paraId="4EB82D08"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0F7E1A" w14:textId="761C9CCB"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5856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CD2E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4EBF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D7E6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r>
      <w:tr w:rsidR="002B1C74" w:rsidRPr="002F2FDF" w14:paraId="5489F2CA"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A47B6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Южный район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EDCA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.229870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4FD3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246740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3FAE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238970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E5A4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229890</w:t>
            </w:r>
          </w:p>
        </w:tc>
      </w:tr>
      <w:tr w:rsidR="002B1C74" w:rsidRPr="002F2FDF" w14:paraId="6DC4148D"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34149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78DB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76815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4BF0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78768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0908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83766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5A55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74318</w:t>
            </w:r>
          </w:p>
        </w:tc>
      </w:tr>
      <w:tr w:rsidR="002B1C74" w:rsidRPr="002F2FDF" w14:paraId="40AE8202"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55564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C3E0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32447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3A67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32447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732D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34347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5969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24441</w:t>
            </w:r>
          </w:p>
        </w:tc>
      </w:tr>
      <w:tr w:rsidR="002B1C74" w:rsidRPr="002F2FDF" w14:paraId="4FC6637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BE633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007D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339132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8E5E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357955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8749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357083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E462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328709</w:t>
            </w:r>
            <w:hyperlink r:id="rId344" w:anchor="_ftn7" w:history="1">
              <w:r w:rsidRPr="002F2FDF">
                <w:rPr>
                  <w:rFonts w:ascii="Times New Roman" w:hAnsi="Times New Roman" w:cs="Times New Roman"/>
                  <w:color w:val="000000" w:themeColor="text1"/>
                  <w:kern w:val="2"/>
                  <w:sz w:val="16"/>
                  <w:szCs w:val="16"/>
                </w:rPr>
                <w:t>[7]</w:t>
              </w:r>
            </w:hyperlink>
          </w:p>
        </w:tc>
      </w:tr>
    </w:tbl>
    <w:p w14:paraId="08E1CA0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Сравнивая среднюю месячную теоретическую производительность, с действительной, получаем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3943"/>
        <w:gridCol w:w="990"/>
        <w:gridCol w:w="990"/>
        <w:gridCol w:w="990"/>
        <w:gridCol w:w="990"/>
        <w:gridCol w:w="1005"/>
      </w:tblGrid>
      <w:tr w:rsidR="002B1C74" w:rsidRPr="002F2FDF" w14:paraId="3FFD6221" w14:textId="77777777" w:rsidTr="00392894">
        <w:trPr>
          <w:tblCellSpacing w:w="15"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590F6E0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7</w:t>
            </w:r>
          </w:p>
        </w:tc>
      </w:tr>
      <w:tr w:rsidR="002B1C74" w:rsidRPr="002F2FDF" w14:paraId="30AFE65B"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AA666C" w14:textId="27B2E2A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846A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B539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31A1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D628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91A3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r>
      <w:tr w:rsidR="002B1C74" w:rsidRPr="002F2FDF" w14:paraId="2B7D81AB"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250F3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Месячная теоретическая производительность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6A3B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3E71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64DD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29757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589E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26559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71C8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29800</w:t>
            </w:r>
          </w:p>
        </w:tc>
      </w:tr>
      <w:tr w:rsidR="002B1C74" w:rsidRPr="002F2FDF" w14:paraId="400D6A2F"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E439D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Месячная средняя действительная производительность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ABF5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23580 (83%)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B8A8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22021 (73%)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F3F8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18780 (63%)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504F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19322 (72%)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D742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16856 (54%)</w:t>
            </w:r>
          </w:p>
        </w:tc>
      </w:tr>
    </w:tbl>
    <w:p w14:paraId="5DAF767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 есть, несмотря на увеличение мощности оборудования, действительная производительность заводов за этот период по разным причинам, понижается.</w:t>
      </w:r>
    </w:p>
    <w:p w14:paraId="2F61D5C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Изменение доменного оборудования [количество печей] указанных заводов не подвергалось значительному колебанию:</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615"/>
        <w:gridCol w:w="381"/>
        <w:gridCol w:w="482"/>
        <w:gridCol w:w="575"/>
        <w:gridCol w:w="1864"/>
      </w:tblGrid>
      <w:tr w:rsidR="002B1C74" w:rsidRPr="002F2FDF" w14:paraId="2BE03859" w14:textId="77777777" w:rsidTr="00392894">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575325D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8</w:t>
            </w:r>
          </w:p>
        </w:tc>
      </w:tr>
      <w:tr w:rsidR="002B1C74" w:rsidRPr="002F2FDF" w14:paraId="6A02A7D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DE767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4702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0553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2549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4A38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(без Ц. Польского)</w:t>
            </w:r>
          </w:p>
        </w:tc>
      </w:tr>
      <w:tr w:rsidR="002B1C74" w:rsidRPr="002F2FDF" w14:paraId="13040B45"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ECF01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3832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BAFD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488F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753B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181</w:t>
            </w:r>
          </w:p>
        </w:tc>
      </w:tr>
      <w:tr w:rsidR="002B1C74" w:rsidRPr="002F2FDF" w14:paraId="743126CD"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3123D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8DDC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0D9A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9FA7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B5C4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184</w:t>
            </w:r>
          </w:p>
        </w:tc>
      </w:tr>
      <w:tr w:rsidR="002B1C74" w:rsidRPr="002F2FDF" w14:paraId="1C3C9E4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AA7A1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A825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665F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1CCC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AD72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182</w:t>
            </w:r>
          </w:p>
        </w:tc>
      </w:tr>
      <w:tr w:rsidR="002B1C74" w:rsidRPr="002F2FDF" w14:paraId="6BCA4D0F"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8FE81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7E1A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94E1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6851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C223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180</w:t>
            </w:r>
          </w:p>
        </w:tc>
      </w:tr>
      <w:tr w:rsidR="002B1C74" w:rsidRPr="002F2FDF" w14:paraId="204009B2"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FB1C8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8340D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B35F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352D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D44A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177</w:t>
            </w:r>
          </w:p>
        </w:tc>
      </w:tr>
    </w:tbl>
    <w:p w14:paraId="53C0C6A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 работа этих печей за обследуемый период подверглась значительным изменениям:</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108"/>
        <w:gridCol w:w="381"/>
        <w:gridCol w:w="482"/>
        <w:gridCol w:w="575"/>
        <w:gridCol w:w="511"/>
        <w:gridCol w:w="381"/>
        <w:gridCol w:w="482"/>
        <w:gridCol w:w="575"/>
        <w:gridCol w:w="540"/>
        <w:gridCol w:w="381"/>
        <w:gridCol w:w="482"/>
        <w:gridCol w:w="575"/>
        <w:gridCol w:w="526"/>
      </w:tblGrid>
      <w:tr w:rsidR="002B1C74" w:rsidRPr="002F2FDF" w14:paraId="48D0AF44" w14:textId="77777777" w:rsidTr="00392894">
        <w:trPr>
          <w:tblCellSpacing w:w="15" w:type="dxa"/>
        </w:trPr>
        <w:tc>
          <w:tcPr>
            <w:tcW w:w="0" w:type="auto"/>
            <w:gridSpan w:val="13"/>
            <w:tcBorders>
              <w:top w:val="outset" w:sz="6" w:space="0" w:color="auto"/>
              <w:left w:val="outset" w:sz="6" w:space="0" w:color="auto"/>
              <w:bottom w:val="outset" w:sz="6" w:space="0" w:color="auto"/>
              <w:right w:val="outset" w:sz="6" w:space="0" w:color="auto"/>
            </w:tcBorders>
            <w:vAlign w:val="center"/>
            <w:hideMark/>
          </w:tcPr>
          <w:p w14:paraId="25910DF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9</w:t>
            </w:r>
          </w:p>
        </w:tc>
      </w:tr>
      <w:tr w:rsidR="002B1C74" w:rsidRPr="002F2FDF" w14:paraId="75423FB1" w14:textId="77777777" w:rsidTr="00392894">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E09FF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C64AB0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Действующих печей</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D021A8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Остановленных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FEDC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печей</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212C5F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ремонте</w:t>
            </w:r>
            <w:hyperlink r:id="rId345" w:anchor="_ftn8" w:history="1">
              <w:r w:rsidRPr="002F2FDF">
                <w:rPr>
                  <w:rFonts w:ascii="Times New Roman" w:hAnsi="Times New Roman" w:cs="Times New Roman"/>
                  <w:color w:val="000000" w:themeColor="text1"/>
                  <w:kern w:val="2"/>
                  <w:sz w:val="16"/>
                  <w:szCs w:val="16"/>
                </w:rPr>
                <w:t>[8]</w:t>
              </w:r>
            </w:hyperlink>
          </w:p>
        </w:tc>
      </w:tr>
      <w:tr w:rsidR="002B1C74" w:rsidRPr="002F2FDF" w14:paraId="7E89A5E4" w14:textId="77777777" w:rsidTr="00392894">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9925FC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709C6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DBA3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EC2A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E4A4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33AF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9D4A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0942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FF1D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D608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D075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E73F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36D6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r>
      <w:tr w:rsidR="002B1C74" w:rsidRPr="002F2FDF" w14:paraId="14F20A5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AE1DF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0ED4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C182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8ADE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5117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C278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50DF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628F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EF40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3CDD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D68A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4D8E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2415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w:t>
            </w:r>
          </w:p>
        </w:tc>
      </w:tr>
      <w:tr w:rsidR="002B1C74" w:rsidRPr="002F2FDF" w14:paraId="1A3944B9"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82792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DA73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442E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800B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hyperlink r:id="rId346" w:anchor="_ftn9" w:history="1">
              <w:r w:rsidRPr="002F2FDF">
                <w:rPr>
                  <w:rFonts w:ascii="Times New Roman" w:hAnsi="Times New Roman" w:cs="Times New Roman"/>
                  <w:color w:val="000000" w:themeColor="text1"/>
                  <w:kern w:val="2"/>
                  <w:sz w:val="16"/>
                  <w:szCs w:val="16"/>
                </w:rPr>
                <w:t>[9]</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39C07A6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44FB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3870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F3BE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A078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E99A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8B76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135F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1655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w:t>
            </w:r>
          </w:p>
        </w:tc>
      </w:tr>
      <w:tr w:rsidR="002B1C74" w:rsidRPr="002F2FDF" w14:paraId="1CEFBA04"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0E34B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828B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EDA1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13D2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4061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A830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1D29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8373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BA68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F750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AA44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C295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B566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w:t>
            </w:r>
          </w:p>
        </w:tc>
      </w:tr>
      <w:tr w:rsidR="002B1C74" w:rsidRPr="002F2FDF" w14:paraId="53638DF7"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BFEF3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7E61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20E0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0823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1A01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6D60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E0F0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27D4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BA0B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0991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DEBB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77AB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C2FD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w:t>
            </w:r>
          </w:p>
        </w:tc>
      </w:tr>
      <w:tr w:rsidR="002B1C74" w:rsidRPr="002F2FDF" w14:paraId="306AFAFF"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4A0E2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EBF33" w14:textId="1CDBCAC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9BBC2" w14:textId="0C2E303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4A5BF" w14:textId="2D74FE90"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74091" w14:textId="254CEDB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4CCA5" w14:textId="5411686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BCB35" w14:textId="4B21F438"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F6E12" w14:textId="349AED70"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E7CC3" w14:textId="5849ACD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5159C" w14:textId="508F502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AFA87" w14:textId="26CE648A"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A0CCB" w14:textId="622889B3"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9BC55" w14:textId="146288F1"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397113B"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2BD49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86BE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A0EAE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0027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BA71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6BE3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BB35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C2AE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5F9D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F848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B0E0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5C8C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3866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w:t>
            </w:r>
          </w:p>
        </w:tc>
      </w:tr>
      <w:tr w:rsidR="002B1C74" w:rsidRPr="002F2FDF" w14:paraId="67D0B0C7"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7CBDA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58D5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CD17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CDAA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C643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DC3B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9F14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9708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DE48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5A6F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38FA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BBBE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5A2B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bl>
    <w:p w14:paraId="4C1AC21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Особенно значительному изменению работа доменных печей подверглась в первой половине т. г.</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22"/>
        <w:gridCol w:w="1460"/>
        <w:gridCol w:w="1187"/>
        <w:gridCol w:w="1459"/>
        <w:gridCol w:w="1187"/>
        <w:gridCol w:w="1459"/>
        <w:gridCol w:w="1187"/>
        <w:gridCol w:w="1459"/>
        <w:gridCol w:w="1202"/>
      </w:tblGrid>
      <w:tr w:rsidR="002B1C74" w:rsidRPr="002F2FDF" w14:paraId="48CFF423" w14:textId="77777777" w:rsidTr="00394BC0">
        <w:trPr>
          <w:tblCellSpacing w:w="15" w:type="dxa"/>
          <w:jc w:val="center"/>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3995F47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10</w:t>
            </w:r>
          </w:p>
        </w:tc>
      </w:tr>
      <w:tr w:rsidR="002B1C74" w:rsidRPr="002F2FDF" w14:paraId="187E4C38"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CD5AF10" w14:textId="7301CE4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9FC8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Южный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9FA3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район</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110359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Уральский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5E5C5F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Центральный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AE9701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всем районам</w:t>
            </w:r>
          </w:p>
        </w:tc>
      </w:tr>
      <w:tr w:rsidR="002B1C74" w:rsidRPr="002F2FDF" w14:paraId="28765061"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03ED1C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031D3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готовых печей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53B0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них работало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61FC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готовых печей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F1EB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них работало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B310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готовых печей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3758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них работало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0ECE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готовых печей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C1AA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них работало</w:t>
            </w:r>
          </w:p>
        </w:tc>
      </w:tr>
      <w:tr w:rsidR="002B1C74" w:rsidRPr="002F2FDF" w14:paraId="52DD559C" w14:textId="77777777" w:rsidTr="00394BC0">
        <w:trPr>
          <w:tblCellSpacing w:w="15" w:type="dxa"/>
          <w:jc w:val="center"/>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5DF6746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r>
      <w:tr w:rsidR="002B1C74" w:rsidRPr="002F2FDF" w14:paraId="0187895D"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02A1D9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EBEA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472A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FE2D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E07F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4F2A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E2C8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E85B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D8FE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128</w:t>
            </w:r>
          </w:p>
        </w:tc>
      </w:tr>
      <w:tr w:rsidR="002B1C74" w:rsidRPr="002F2FDF" w14:paraId="3B2AC456"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7AD577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1C0F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5446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F3BB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2390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2130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03BB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FF5A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10D5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126</w:t>
            </w:r>
          </w:p>
        </w:tc>
      </w:tr>
      <w:tr w:rsidR="002B1C74" w:rsidRPr="002F2FDF" w14:paraId="4B1DC26F"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2BAF46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DFE9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D8AB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EE1A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46BD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AB1B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158D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9AD8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41A3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127</w:t>
            </w:r>
          </w:p>
        </w:tc>
      </w:tr>
      <w:tr w:rsidR="002B1C74" w:rsidRPr="002F2FDF" w14:paraId="22EFFAA1"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FB9071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21DB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A512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7A83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E4E6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1C2B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8D54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9FD7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DE32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w:t>
            </w:r>
          </w:p>
        </w:tc>
      </w:tr>
      <w:tr w:rsidR="002B1C74" w:rsidRPr="002F2FDF" w14:paraId="3C3825B4"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6EB37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72F2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7AB4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295A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4708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EAA3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5B7E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D1FA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3A0B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w:t>
            </w:r>
          </w:p>
        </w:tc>
      </w:tr>
      <w:tr w:rsidR="002B1C74" w:rsidRPr="002F2FDF" w14:paraId="3651FF98"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10B32D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A7B1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1B79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BF9B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7924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2D15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57E5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C04D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2083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w:t>
            </w:r>
          </w:p>
        </w:tc>
      </w:tr>
    </w:tbl>
    <w:p w14:paraId="02C74D5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Причем состояние печей было:</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21"/>
        <w:gridCol w:w="543"/>
        <w:gridCol w:w="1167"/>
        <w:gridCol w:w="1553"/>
        <w:gridCol w:w="3961"/>
        <w:gridCol w:w="840"/>
      </w:tblGrid>
      <w:tr w:rsidR="002B1C74" w:rsidRPr="002F2FDF" w14:paraId="1DD45A19" w14:textId="77777777" w:rsidTr="00206E0B">
        <w:trPr>
          <w:tblCellSpacing w:w="15"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32EF351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11</w:t>
            </w:r>
          </w:p>
        </w:tc>
      </w:tr>
      <w:tr w:rsidR="002B1C74" w:rsidRPr="002F2FDF" w14:paraId="3AF6DEDB"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6913809" w14:textId="64B0B884"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1FB1F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6FC5FE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них</w:t>
            </w:r>
          </w:p>
        </w:tc>
      </w:tr>
      <w:tr w:rsidR="002B1C74" w:rsidRPr="002F2FDF" w14:paraId="04B885D9"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BD0402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F3A657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53A11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работало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958740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остановлено по недостатку топлива и другим причинам</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1682DF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ремонте</w:t>
            </w:r>
          </w:p>
        </w:tc>
      </w:tr>
      <w:tr w:rsidR="002B1C74" w:rsidRPr="002F2FDF" w14:paraId="77AC5E06"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5F387E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AB0CFD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21D2F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Полным ходом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7AE4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сокращенным ходом</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3D6352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C31FE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39C1E98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9FFC5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0B906" w14:textId="1E643CD3"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6FB16" w14:textId="2F9E866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B6804" w14:textId="31D46F51"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22005" w14:textId="6BAB7E1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32CFF" w14:textId="7EE90877"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D2C134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29F24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FA99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ACB7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D8A5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14F8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5982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w:t>
            </w:r>
          </w:p>
        </w:tc>
      </w:tr>
      <w:tr w:rsidR="002B1C74" w:rsidRPr="002F2FDF" w14:paraId="11770EF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EB565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D1F0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B2E7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1B76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520F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F637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w:t>
            </w:r>
          </w:p>
        </w:tc>
      </w:tr>
      <w:tr w:rsidR="002B1C74" w:rsidRPr="002F2FDF" w14:paraId="397EE8F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84F71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6ED8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3A0F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3422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CC56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CE87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r>
      <w:tr w:rsidR="002B1C74" w:rsidRPr="002F2FDF" w14:paraId="097712B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BCD79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7F06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FA2B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2694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E7D8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158C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w:t>
            </w:r>
          </w:p>
        </w:tc>
      </w:tr>
      <w:tr w:rsidR="002B1C74" w:rsidRPr="002F2FDF" w14:paraId="67B686C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15193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4678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4BA7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2ADA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C45D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F499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w:t>
            </w:r>
          </w:p>
        </w:tc>
      </w:tr>
      <w:tr w:rsidR="002B1C74" w:rsidRPr="002F2FDF" w14:paraId="7306DB1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5CB21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81E1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7A2D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DD77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F91C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9275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r>
    </w:tbl>
    <w:p w14:paraId="6910F5A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 влиянии различных обстоятельств на неправильный ход доменных лечей:</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71"/>
        <w:gridCol w:w="355"/>
        <w:gridCol w:w="310"/>
        <w:gridCol w:w="306"/>
        <w:gridCol w:w="355"/>
        <w:gridCol w:w="310"/>
        <w:gridCol w:w="310"/>
        <w:gridCol w:w="355"/>
        <w:gridCol w:w="310"/>
        <w:gridCol w:w="306"/>
        <w:gridCol w:w="355"/>
        <w:gridCol w:w="278"/>
        <w:gridCol w:w="306"/>
        <w:gridCol w:w="869"/>
        <w:gridCol w:w="753"/>
        <w:gridCol w:w="753"/>
        <w:gridCol w:w="762"/>
        <w:gridCol w:w="659"/>
        <w:gridCol w:w="659"/>
        <w:gridCol w:w="355"/>
        <w:gridCol w:w="310"/>
        <w:gridCol w:w="325"/>
      </w:tblGrid>
      <w:tr w:rsidR="002B1C74" w:rsidRPr="002F2FDF" w14:paraId="055FD8CE" w14:textId="77777777" w:rsidTr="00206E0B">
        <w:trPr>
          <w:tblCellSpacing w:w="15" w:type="dxa"/>
        </w:trPr>
        <w:tc>
          <w:tcPr>
            <w:tcW w:w="0" w:type="auto"/>
            <w:gridSpan w:val="22"/>
            <w:tcBorders>
              <w:top w:val="outset" w:sz="6" w:space="0" w:color="auto"/>
              <w:left w:val="outset" w:sz="6" w:space="0" w:color="auto"/>
              <w:bottom w:val="outset" w:sz="6" w:space="0" w:color="auto"/>
              <w:right w:val="outset" w:sz="6" w:space="0" w:color="auto"/>
            </w:tcBorders>
            <w:vAlign w:val="center"/>
            <w:hideMark/>
          </w:tcPr>
          <w:p w14:paraId="4AADB75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12</w:t>
            </w:r>
            <w:hyperlink r:id="rId347" w:anchor="_ftn10" w:history="1">
              <w:r w:rsidRPr="002F2FDF">
                <w:rPr>
                  <w:rFonts w:ascii="Times New Roman" w:hAnsi="Times New Roman" w:cs="Times New Roman"/>
                  <w:color w:val="000000" w:themeColor="text1"/>
                  <w:kern w:val="2"/>
                  <w:sz w:val="16"/>
                  <w:szCs w:val="16"/>
                </w:rPr>
                <w:t>[10]</w:t>
              </w:r>
            </w:hyperlink>
          </w:p>
        </w:tc>
      </w:tr>
      <w:tr w:rsidR="002B1C74" w:rsidRPr="002F2FDF" w14:paraId="2C94BEF2"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90D19E6" w14:textId="2FE5479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gridSpan w:val="21"/>
            <w:tcBorders>
              <w:top w:val="outset" w:sz="6" w:space="0" w:color="auto"/>
              <w:left w:val="outset" w:sz="6" w:space="0" w:color="auto"/>
              <w:bottom w:val="outset" w:sz="6" w:space="0" w:color="auto"/>
              <w:right w:val="outset" w:sz="6" w:space="0" w:color="auto"/>
            </w:tcBorders>
            <w:vAlign w:val="center"/>
            <w:hideMark/>
          </w:tcPr>
          <w:p w14:paraId="16A755D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остановок или сокращений домен, вызванных недостатком</w:t>
            </w:r>
          </w:p>
        </w:tc>
      </w:tr>
      <w:tr w:rsidR="002B1C74" w:rsidRPr="002F2FDF" w14:paraId="3DA56AB4"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16E195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7CEE6C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Руды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7779D9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флюса</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2E62A3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топлива</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2ED35F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рабочих</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13C76A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техническими обстоятельствами</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7A217A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хозяйственными причинами</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0713F4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другими</w:t>
            </w:r>
          </w:p>
          <w:p w14:paraId="73962F3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причи</w:t>
            </w:r>
          </w:p>
          <w:p w14:paraId="639DF3F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нами</w:t>
            </w:r>
          </w:p>
        </w:tc>
      </w:tr>
      <w:tr w:rsidR="002B1C74" w:rsidRPr="002F2FDF" w14:paraId="656CF8F0"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DFB4DA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DF372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4403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1594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AA89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2CB1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57B6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C270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17D0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62E5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CA46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B293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8956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9086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546A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3E3F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D1AC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9FA6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8D3E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545F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AEBC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483B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w:t>
            </w:r>
          </w:p>
        </w:tc>
      </w:tr>
      <w:tr w:rsidR="002B1C74" w:rsidRPr="002F2FDF" w14:paraId="6D6A865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96EEA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E1984" w14:textId="42E21A20"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5B42C" w14:textId="663F5C15"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DBFF2" w14:textId="0359A1E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97717" w14:textId="0C92252B"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A6E78" w14:textId="293C7B9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CC584" w14:textId="2A751019"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21D37" w14:textId="19C5F44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78CAA" w14:textId="01A62D14"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C2CC1" w14:textId="5473AD3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D972B" w14:textId="07CC9F23"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D2927" w14:textId="6C96AA3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0C9E1" w14:textId="65BFAE09"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DC1BD" w14:textId="47647EF1"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E3305" w14:textId="028AAAD9"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82BF8" w14:textId="6496819D"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BAB2E" w14:textId="3785C41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2AE45" w14:textId="6A181F80"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46D7F" w14:textId="74ABCFAB"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299893" w14:textId="18A25D01"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F078F" w14:textId="71DB50A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1CFB8" w14:textId="7FE9BFE1"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C0EF08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B139F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9513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E2D7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3BAF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9B76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CEFE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C982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6208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BC24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7E2D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6714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39CF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954B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4F2E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6BD9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41C8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641D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827F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3548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D9DC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B792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358B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6F6F4F3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2EE7B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BAAC0" w14:textId="6D2DB217"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250B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FECA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5960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99DE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C71F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C640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і</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51CF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59FE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3344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99B2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2F23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27B1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94F7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B4D5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3082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BA7D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2B26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213D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F3E4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5CFB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75D6948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3FBF3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8462D" w14:textId="20FCB22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8FCF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DA10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6F81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8317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E9B6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C1A2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4274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4ACB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27FA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7489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7869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242B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7333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5783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098C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23E9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741E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9079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5650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0AAD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785EDC2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0DE9F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6B06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963C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5FB1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EC93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9583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9C96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FB69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D117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465D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4A26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64DE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8BCD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156F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28A9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C8D8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DCAA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56B3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F46D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D9DE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004D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7204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4A996AA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3178A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E4B1B" w14:textId="24CC49F4"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3F344" w14:textId="7E9D78EA"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87B34" w14:textId="4F0A886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B4B56" w14:textId="228D748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60D18" w14:textId="1D57BAB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105F1" w14:textId="30BAB68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DDF8A" w14:textId="2654F10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5AE09" w14:textId="7AEA4FD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287AE" w14:textId="49E0669D"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BF427" w14:textId="22D8C7E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2631E" w14:textId="00275EA9"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165C5" w14:textId="6F4AEC0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9F162" w14:textId="2D6A7098"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E2CFE" w14:textId="0BC439A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0F7CC" w14:textId="4F86CDB4"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F19B0" w14:textId="4C206FD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940D6" w14:textId="19E69BEA"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95205" w14:textId="52183F4A"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C6275" w14:textId="5F76F5D0"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9F7C7" w14:textId="1904E237"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33587" w14:textId="6F4B69D7"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42292F9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CD86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7353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28A8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9326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ED59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58CC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57BB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8E14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6E53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43E0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C849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733A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55A3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3EEC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C955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B3D1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49F6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44E1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5C01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83C5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F3EE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CFC5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3E5E85A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14284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9CC8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88C1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2626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52D4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606C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EFD4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73F5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6EA4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6FD8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8624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E53C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0299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795B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65E1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3D04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9F150" w14:textId="14AD872D"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B427B" w14:textId="672B8DF8"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26046" w14:textId="44774A3A"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40D02" w14:textId="30567AF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3ECAD" w14:textId="2CFE822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B98B7" w14:textId="162243FA"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7B946F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3A94C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ACE8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2771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EDFC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CBBB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B8D6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C0A9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F5E2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CF94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5031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3AC4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5A28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8AA0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F7CA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CD4C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C8BA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71F1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0E53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62E5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DBF9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CC05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C202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70FA90A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E4355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2DE381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BD2F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9B93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3E24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D841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1DB5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9A40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581B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D608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C22B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C5E8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36D0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9CB4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75B2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189A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B211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048A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F8FA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6A58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8034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39F1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w:t>
            </w:r>
          </w:p>
        </w:tc>
      </w:tr>
      <w:tr w:rsidR="002B1C74" w:rsidRPr="002F2FDF" w14:paraId="0D73678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8BBD4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8C3E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F50F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2502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AA18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3369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33A4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0227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80E0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FA6C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DA73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3AB3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B269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4DDC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DE4F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62D0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B2A9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D6E5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E119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6750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3470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9DDE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3FB556E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58444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FDFD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9F2B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і</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26E7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4A65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E530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37A2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і</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1D86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79DB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B4FF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6F386" w14:textId="1BA84738"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911C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BDEA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A757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8BE7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0385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E62A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AB27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CB84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62EB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C1CA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3CCD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bl>
    <w:p w14:paraId="2AD3A1D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Наиболее часто повторялись остановки заводов, происходившие вследствие неподвоза сырья и топлива, благодаря чему начало отчетного года совпало с наивысшим кризисом в области металлургической промышленности. Результаты [работы] доменных печей за этот период указывает [в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407"/>
        <w:gridCol w:w="950"/>
        <w:gridCol w:w="870"/>
        <w:gridCol w:w="870"/>
        <w:gridCol w:w="1034"/>
      </w:tblGrid>
      <w:tr w:rsidR="002B1C74" w:rsidRPr="002F2FDF" w14:paraId="13D27548"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3F4078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13</w:t>
            </w:r>
          </w:p>
        </w:tc>
      </w:tr>
      <w:tr w:rsidR="002B1C74" w:rsidRPr="002F2FDF" w14:paraId="5C76FD3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EA0275" w14:textId="0109759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CF7E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02C7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7BF1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B46C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r>
      <w:tr w:rsidR="002B1C74" w:rsidRPr="002F2FDF" w14:paraId="5BC2A7F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DCDC5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D68F1" w14:textId="69528035"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FCB02" w14:textId="264AF840"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BBCF5" w14:textId="3429801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CC372" w14:textId="1FEB6AA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1F2F65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B3318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0171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13949218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250F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4341482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86FB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1028438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1A4F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19319133</w:t>
            </w:r>
          </w:p>
        </w:tc>
      </w:tr>
      <w:tr w:rsidR="002B1C74" w:rsidRPr="002F2FDF" w14:paraId="22847FF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E15A8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B78E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13453943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A6A7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4413884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45A8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907409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20FC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18775236</w:t>
            </w:r>
          </w:p>
        </w:tc>
      </w:tr>
      <w:tr w:rsidR="002B1C74" w:rsidRPr="002F2FDF" w14:paraId="55697A2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2D05E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9834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14910846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F2D3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4673057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7583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844472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F6A9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20428875</w:t>
            </w:r>
          </w:p>
        </w:tc>
      </w:tr>
      <w:tr w:rsidR="002B1C74" w:rsidRPr="002F2FDF" w14:paraId="4A01507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7EF1D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0CB9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12041063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FAE8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4150528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689B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744943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E362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16936534</w:t>
            </w:r>
          </w:p>
        </w:tc>
      </w:tr>
      <w:tr w:rsidR="002B1C74" w:rsidRPr="002F2FDF" w14:paraId="0A5BC93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7993B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4B82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14033730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AC1B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4088627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6266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1059621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C1B9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19181978</w:t>
            </w:r>
          </w:p>
        </w:tc>
      </w:tr>
      <w:tr w:rsidR="002B1C74" w:rsidRPr="002F2FDF" w14:paraId="39A01B9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43673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BD58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14505518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BF54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3884645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CD4F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1052026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4035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19442189</w:t>
            </w:r>
          </w:p>
        </w:tc>
      </w:tr>
      <w:tr w:rsidR="002B1C74" w:rsidRPr="002F2FDF" w14:paraId="0EBEA5C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4FF9B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B338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15395390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574C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3429735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EA88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917210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4048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19742335</w:t>
            </w:r>
          </w:p>
        </w:tc>
      </w:tr>
      <w:tr w:rsidR="002B1C74" w:rsidRPr="002F2FDF" w14:paraId="3659C1F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EBA5D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68A1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15680711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D664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3428510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9B9A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906042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3881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20015263</w:t>
            </w:r>
          </w:p>
        </w:tc>
      </w:tr>
      <w:tr w:rsidR="002B1C74" w:rsidRPr="002F2FDF" w14:paraId="56B04D0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71E24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2088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16254452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DAA8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3219053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429E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855254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85E8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20328759</w:t>
            </w:r>
          </w:p>
        </w:tc>
      </w:tr>
      <w:tr w:rsidR="002B1C74" w:rsidRPr="002F2FDF" w14:paraId="63C7DD7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88889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C204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16415392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E47F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3436412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A925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718050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DBAE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20569854</w:t>
            </w:r>
          </w:p>
        </w:tc>
      </w:tr>
      <w:tr w:rsidR="002B1C74" w:rsidRPr="002F2FDF" w14:paraId="6A0E473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88559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811D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15003463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04CD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3420299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11D7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861918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32E2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192856821</w:t>
            </w:r>
          </w:p>
        </w:tc>
      </w:tr>
      <w:tr w:rsidR="002B1C74" w:rsidRPr="002F2FDF" w14:paraId="47460CC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CDDF0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2845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13995417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B9AD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3928362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F8AB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656755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93DD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18580534</w:t>
            </w:r>
          </w:p>
        </w:tc>
      </w:tr>
      <w:tr w:rsidR="002B1C74" w:rsidRPr="002F2FDF" w14:paraId="497E5BC8"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565775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Средняя месячная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F921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1756441452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4DF5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464145953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7E12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10552133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6238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2326108734</w:t>
            </w:r>
          </w:p>
        </w:tc>
      </w:tr>
      <w:tr w:rsidR="002B1C74" w:rsidRPr="002F2FDF" w14:paraId="4828D85E"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F93E65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F96E6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14600000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D3F7B" w14:textId="25786D28"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93842" w14:textId="607DC40D"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02F71" w14:textId="79DBAA61"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D67C40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01719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F1607" w14:textId="385E1798"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CED85" w14:textId="2265A143"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10593" w14:textId="7D97D967"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F8E6D" w14:textId="48E8F5F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41B568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D78DD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865E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12961453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9A2F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4424875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C9E9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877223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CD2A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182685525</w:t>
            </w:r>
          </w:p>
        </w:tc>
      </w:tr>
      <w:tr w:rsidR="002B1C74" w:rsidRPr="002F2FDF" w14:paraId="1302398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D3091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0192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9761409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20C0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4290800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3D24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583169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73CB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146350786</w:t>
            </w:r>
          </w:p>
        </w:tc>
      </w:tr>
      <w:tr w:rsidR="002B1C74" w:rsidRPr="002F2FDF" w14:paraId="0DC7D2D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6627E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6327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10051231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B061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4637154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5EB7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838467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7DE4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155238527</w:t>
            </w:r>
          </w:p>
        </w:tc>
      </w:tr>
      <w:tr w:rsidR="002B1C74" w:rsidRPr="002F2FDF" w14:paraId="7FE60C2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EF612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F357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12469418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1F7D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4180174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D80A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744516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DF53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173441088</w:t>
            </w:r>
          </w:p>
        </w:tc>
      </w:tr>
      <w:tr w:rsidR="002B1C74" w:rsidRPr="002F2FDF" w14:paraId="70C424B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6E5DF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8709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13672414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3A40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4263039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948B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860713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82F1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18796166</w:t>
            </w:r>
          </w:p>
        </w:tc>
      </w:tr>
      <w:tr w:rsidR="002B1C74" w:rsidRPr="002F2FDF" w14:paraId="202919E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C0FDE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A8D1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11588041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2BDC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3934802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898F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1045167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15C2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16568010</w:t>
            </w:r>
          </w:p>
        </w:tc>
      </w:tr>
      <w:tr w:rsidR="002B1C74" w:rsidRPr="002F2FDF" w14:paraId="75CD4E0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D2EB82" w14:textId="62F547F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1D67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70503966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D267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256855449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A570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494625510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9D50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10113576511</w:t>
            </w:r>
          </w:p>
        </w:tc>
      </w:tr>
      <w:tr w:rsidR="002B1C74" w:rsidRPr="002F2FDF" w14:paraId="74614D8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36FAA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Средняя месячная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B5ED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11750000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24D73" w14:textId="459D9828"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20B78" w14:textId="266DE465"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EDA81" w14:textId="0064BBBA"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7682560"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53E7CC2B" w14:textId="30FD5573"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392894" w:rsidRPr="002F2FDF">
              <w:rPr>
                <w:rFonts w:ascii="Times New Roman" w:hAnsi="Times New Roman" w:cs="Times New Roman"/>
                <w:color w:val="000000" w:themeColor="text1"/>
                <w:kern w:val="2"/>
                <w:sz w:val="16"/>
                <w:szCs w:val="16"/>
              </w:rPr>
              <w:t xml:space="preserve"> 1.Так в док.; следует: 19285680</w:t>
            </w:r>
          </w:p>
          <w:p w14:paraId="7E907A57" w14:textId="5155510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392894" w:rsidRPr="002F2FDF">
              <w:rPr>
                <w:rFonts w:ascii="Times New Roman" w:hAnsi="Times New Roman" w:cs="Times New Roman"/>
                <w:color w:val="000000" w:themeColor="text1"/>
                <w:kern w:val="2"/>
                <w:sz w:val="16"/>
                <w:szCs w:val="16"/>
              </w:rPr>
              <w:t xml:space="preserve"> 2.Так в док.; следует: 175639143</w:t>
            </w:r>
          </w:p>
          <w:p w14:paraId="07B24AF4" w14:textId="7610A22D"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392894" w:rsidRPr="002F2FDF">
              <w:rPr>
                <w:rFonts w:ascii="Times New Roman" w:hAnsi="Times New Roman" w:cs="Times New Roman"/>
                <w:color w:val="000000" w:themeColor="text1"/>
                <w:kern w:val="2"/>
                <w:sz w:val="16"/>
                <w:szCs w:val="16"/>
              </w:rPr>
              <w:t xml:space="preserve"> 3. Так в док.; следует: 46414594</w:t>
            </w:r>
          </w:p>
          <w:p w14:paraId="5DF2231E" w14:textId="34233953"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392894" w:rsidRPr="002F2FDF">
              <w:rPr>
                <w:rFonts w:ascii="Times New Roman" w:hAnsi="Times New Roman" w:cs="Times New Roman"/>
                <w:color w:val="000000" w:themeColor="text1"/>
                <w:kern w:val="2"/>
                <w:sz w:val="16"/>
                <w:szCs w:val="16"/>
              </w:rPr>
              <w:t xml:space="preserve"> 4. Так в док.; следует: 232605870</w:t>
            </w:r>
          </w:p>
          <w:p w14:paraId="2D3A23BF" w14:textId="2965C56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392894" w:rsidRPr="002F2FDF">
              <w:rPr>
                <w:rFonts w:ascii="Times New Roman" w:hAnsi="Times New Roman" w:cs="Times New Roman"/>
                <w:color w:val="000000" w:themeColor="text1"/>
                <w:kern w:val="2"/>
                <w:sz w:val="16"/>
                <w:szCs w:val="16"/>
              </w:rPr>
              <w:t xml:space="preserve"> 5. Так в док.; следует: 18263551</w:t>
            </w:r>
          </w:p>
          <w:p w14:paraId="2A7A14CE" w14:textId="708D3854"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392894" w:rsidRPr="002F2FDF">
              <w:rPr>
                <w:rFonts w:ascii="Times New Roman" w:hAnsi="Times New Roman" w:cs="Times New Roman"/>
                <w:color w:val="000000" w:themeColor="text1"/>
                <w:kern w:val="2"/>
                <w:sz w:val="16"/>
                <w:szCs w:val="16"/>
              </w:rPr>
              <w:t xml:space="preserve"> 6. Так в док.; следует: 14635378</w:t>
            </w:r>
          </w:p>
          <w:p w14:paraId="287CE214" w14:textId="266CF790"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392894" w:rsidRPr="002F2FDF">
              <w:rPr>
                <w:rFonts w:ascii="Times New Roman" w:hAnsi="Times New Roman" w:cs="Times New Roman"/>
                <w:color w:val="000000" w:themeColor="text1"/>
                <w:kern w:val="2"/>
                <w:sz w:val="16"/>
                <w:szCs w:val="16"/>
              </w:rPr>
              <w:t xml:space="preserve"> 7. Так в док.; следует: 15526852</w:t>
            </w:r>
          </w:p>
          <w:p w14:paraId="59F9D86E" w14:textId="756AC188"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392894" w:rsidRPr="002F2FDF">
              <w:rPr>
                <w:rFonts w:ascii="Times New Roman" w:hAnsi="Times New Roman" w:cs="Times New Roman"/>
                <w:color w:val="000000" w:themeColor="text1"/>
                <w:kern w:val="2"/>
                <w:sz w:val="16"/>
                <w:szCs w:val="16"/>
              </w:rPr>
              <w:t xml:space="preserve"> 8. Так в док.; следует: 17394108</w:t>
            </w:r>
          </w:p>
          <w:p w14:paraId="60F0D285" w14:textId="6B88B1F3"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392894" w:rsidRPr="002F2FDF">
              <w:rPr>
                <w:rFonts w:ascii="Times New Roman" w:hAnsi="Times New Roman" w:cs="Times New Roman"/>
                <w:color w:val="000000" w:themeColor="text1"/>
                <w:kern w:val="2"/>
                <w:sz w:val="16"/>
                <w:szCs w:val="16"/>
              </w:rPr>
              <w:t xml:space="preserve"> 9. Так в док.; следует: 25730844</w:t>
            </w:r>
          </w:p>
          <w:p w14:paraId="11C91B00" w14:textId="38A6A8AD"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392894" w:rsidRPr="002F2FDF">
              <w:rPr>
                <w:rFonts w:ascii="Times New Roman" w:hAnsi="Times New Roman" w:cs="Times New Roman"/>
                <w:color w:val="000000" w:themeColor="text1"/>
                <w:kern w:val="2"/>
                <w:sz w:val="16"/>
                <w:szCs w:val="16"/>
              </w:rPr>
              <w:t xml:space="preserve"> 10. Так в док.; следует: 4949255</w:t>
            </w:r>
          </w:p>
          <w:p w14:paraId="6B1D8AF1" w14:textId="16D383F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392894" w:rsidRPr="002F2FDF">
              <w:rPr>
                <w:rFonts w:ascii="Times New Roman" w:hAnsi="Times New Roman" w:cs="Times New Roman"/>
                <w:color w:val="000000" w:themeColor="text1"/>
                <w:kern w:val="2"/>
                <w:sz w:val="16"/>
                <w:szCs w:val="16"/>
              </w:rPr>
              <w:t xml:space="preserve"> 11. Так в док.; следует: 101184065</w:t>
            </w:r>
          </w:p>
        </w:tc>
      </w:tr>
    </w:tbl>
    <w:p w14:paraId="216ECE6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Выплавка чугуна текущего года делится по сортам:</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21"/>
        <w:gridCol w:w="1070"/>
        <w:gridCol w:w="850"/>
        <w:gridCol w:w="961"/>
        <w:gridCol w:w="1215"/>
        <w:gridCol w:w="1171"/>
        <w:gridCol w:w="1089"/>
        <w:gridCol w:w="667"/>
      </w:tblGrid>
      <w:tr w:rsidR="002B1C74" w:rsidRPr="002F2FDF" w14:paraId="4A7064E3" w14:textId="77777777" w:rsidTr="00206E0B">
        <w:trPr>
          <w:tblCellSpacing w:w="15"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32F05EC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14</w:t>
            </w:r>
          </w:p>
        </w:tc>
      </w:tr>
      <w:tr w:rsidR="002B1C74" w:rsidRPr="002F2FDF" w14:paraId="1489EF5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DB3094" w14:textId="563E4A75"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38EF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Передельный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11EA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Литейный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0F29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Зеркальный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828B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Ферромарганец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E800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Ферросилиций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2189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Специальный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6D58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Разный</w:t>
            </w:r>
          </w:p>
        </w:tc>
      </w:tr>
      <w:tr w:rsidR="002B1C74" w:rsidRPr="002F2FDF" w14:paraId="4190C43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AE991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4F18F" w14:textId="60597FBA"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3D6BC" w14:textId="0081E18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1D7B0" w14:textId="639277C5"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C82A2" w14:textId="60567CC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C58E4" w14:textId="7E57F2A1"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B0D14" w14:textId="28A7FF39"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18178" w14:textId="4FD89AD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684F9C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C35F5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DA11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13815037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AAFD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3614005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806C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186301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89A9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135692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F89C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114305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5082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36823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6CC3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336388</w:t>
            </w:r>
          </w:p>
        </w:tc>
      </w:tr>
      <w:tr w:rsidR="002B1C74" w:rsidRPr="002F2FDF" w14:paraId="3F0B4DC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6E153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FB57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10919687</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2818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2724626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11C2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477857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299E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165930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8000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6BC3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FDE2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328062</w:t>
            </w:r>
          </w:p>
        </w:tc>
      </w:tr>
      <w:tr w:rsidR="002B1C74" w:rsidRPr="002F2FDF" w14:paraId="462E550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B36E3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7D9D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11425101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C1CB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2777112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660A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623F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216382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F3B1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209329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9975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0168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282685</w:t>
            </w:r>
          </w:p>
        </w:tc>
      </w:tr>
      <w:tr w:rsidR="002B1C74" w:rsidRPr="002F2FDF" w14:paraId="1670DF3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7FADC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B724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13879032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C01B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2691218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A568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292686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5F72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84769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8181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0304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30796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9B1A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280237</w:t>
            </w:r>
          </w:p>
        </w:tc>
      </w:tr>
      <w:tr w:rsidR="002B1C74" w:rsidRPr="002F2FDF" w14:paraId="50E54CA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2FCD0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A023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14358813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34B4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3612996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AB63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249307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DE96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82054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0B4F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130247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B54A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C4EB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346430</w:t>
            </w:r>
          </w:p>
        </w:tc>
      </w:tr>
      <w:tr w:rsidR="002B1C74" w:rsidRPr="002F2FDF" w14:paraId="013E064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B9772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D1BF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12782399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7865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3131870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876F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151867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8BBA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144571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3819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F066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545A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352484</w:t>
            </w:r>
          </w:p>
        </w:tc>
      </w:tr>
    </w:tbl>
    <w:p w14:paraId="4383161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Вся выплавка была распределена: во-первых, на переделе в железо» на собственных заводах; во-вторых, на переделе в железо на заводах,, не имеющих своего доменного производства; в-третьих, в распределение ведомствам и металлообрабатывающим заводам.</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21"/>
        <w:gridCol w:w="2170"/>
        <w:gridCol w:w="2250"/>
        <w:gridCol w:w="1299"/>
        <w:gridCol w:w="2539"/>
      </w:tblGrid>
      <w:tr w:rsidR="002B1C74" w:rsidRPr="002F2FDF" w14:paraId="78C956C4"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6F2B9A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15</w:t>
            </w:r>
          </w:p>
        </w:tc>
      </w:tr>
      <w:tr w:rsidR="002B1C74" w:rsidRPr="002F2FDF" w14:paraId="67B45FD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129D41" w14:textId="27E839FB"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7B0C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переделе на своих заводах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5F79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переделе на других заводах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9581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распределение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64A1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Запасы на последнее число месяца</w:t>
            </w:r>
          </w:p>
        </w:tc>
      </w:tr>
      <w:tr w:rsidR="002B1C74" w:rsidRPr="002F2FDF" w14:paraId="44CC01C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CDAA0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F953F" w14:textId="46B36828"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D6428" w14:textId="4AD097E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83D4D" w14:textId="50D9F61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4ACF5" w14:textId="75A1E72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268B27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6C1F4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8E2A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14892957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BDDC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1681447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9306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2338439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3CAD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18417375</w:t>
            </w:r>
          </w:p>
        </w:tc>
      </w:tr>
      <w:tr w:rsidR="002B1C74" w:rsidRPr="002F2FDF" w14:paraId="17C6CBF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93EA8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83E3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10558550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6A3C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1348278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6228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3050225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733B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19792589</w:t>
            </w:r>
          </w:p>
        </w:tc>
      </w:tr>
      <w:tr w:rsidR="002B1C74" w:rsidRPr="002F2FDF" w14:paraId="595462B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8AB0B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975D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11326914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A25B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1244416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51C2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2829497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5824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20492550</w:t>
            </w:r>
          </w:p>
        </w:tc>
      </w:tr>
      <w:tr w:rsidR="002B1C74" w:rsidRPr="002F2FDF" w14:paraId="7812814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5B17C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BE5A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12636590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58ED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2106213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55B7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4080213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1E4C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19781479</w:t>
            </w:r>
          </w:p>
        </w:tc>
      </w:tr>
      <w:tr w:rsidR="002B1C74" w:rsidRPr="002F2FDF" w14:paraId="45D1FF5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F5881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2760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14442344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5DF4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1307753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280D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3502280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5120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20271268</w:t>
            </w:r>
          </w:p>
        </w:tc>
      </w:tr>
      <w:tr w:rsidR="002B1C74" w:rsidRPr="002F2FDF" w14:paraId="7A28C88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3DBA8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95B3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12742987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CC06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1666707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DA8C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2741157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FA13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20833235</w:t>
            </w:r>
          </w:p>
        </w:tc>
      </w:tr>
    </w:tbl>
    <w:p w14:paraId="09A174B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Порядок распределения чугуна</w:t>
      </w:r>
    </w:p>
    <w:p w14:paraId="1207D85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Из общей массы выплавленного чугуна отчисляется надлежащее количество самим металлургическим заводам до полного насыщения их передельных цехов.</w:t>
      </w:r>
    </w:p>
    <w:p w14:paraId="52025F9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ІІо расчету около 1200 тыс. пуд. чугуна распределялись между группой передельных заводов, не имеющих своих доменных цехов, для переработки в железо.</w:t>
      </w:r>
    </w:p>
    <w:p w14:paraId="401AC8C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Весь остаток чугуна распределяется между металлообрабатывающими и литейными заводами, причем до мая т. г. это распределение производилось Управлением главноуполномоченного согласно получаемым, заявкам ведомств, в мае же ввиду громадной недопоставки чугуна контрагентам ведомств распределение чугуна не производилось, а удовлетворялись имеющиеся недопоставки; с июня же месяца чугун вошел в общую программу распределения металлов и в определенной на каждую четверть года норме назначается ведомствам и организациям для удовлетворения ими своих клиентов.</w:t>
      </w:r>
    </w:p>
    <w:p w14:paraId="5E9448D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ПРОИЗВОДСТВО ПРОКАТНОГО МЕТАЛЛА</w:t>
      </w:r>
    </w:p>
    <w:p w14:paraId="79BC1B5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Весь чугун, выплавляемый ежемесячно, распределяется, как выше указано, на три категории, из которых две первые подвергаются переделу в сортовое железо.</w:t>
      </w:r>
    </w:p>
    <w:p w14:paraId="4071459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Мощность оборудования заводов, по данным Центральной статистики Министерства финансов, с 1915 г. была:</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508"/>
        <w:gridCol w:w="381"/>
        <w:gridCol w:w="482"/>
        <w:gridCol w:w="575"/>
        <w:gridCol w:w="381"/>
        <w:gridCol w:w="482"/>
        <w:gridCol w:w="615"/>
        <w:gridCol w:w="381"/>
        <w:gridCol w:w="482"/>
        <w:gridCol w:w="575"/>
        <w:gridCol w:w="381"/>
        <w:gridCol w:w="482"/>
        <w:gridCol w:w="575"/>
        <w:gridCol w:w="390"/>
        <w:gridCol w:w="482"/>
        <w:gridCol w:w="575"/>
        <w:gridCol w:w="1626"/>
      </w:tblGrid>
      <w:tr w:rsidR="002B1C74" w:rsidRPr="002F2FDF" w14:paraId="57448EFD" w14:textId="77777777" w:rsidTr="00206E0B">
        <w:trPr>
          <w:tblCellSpacing w:w="15" w:type="dxa"/>
        </w:trPr>
        <w:tc>
          <w:tcPr>
            <w:tcW w:w="0" w:type="auto"/>
            <w:gridSpan w:val="17"/>
            <w:tcBorders>
              <w:top w:val="outset" w:sz="6" w:space="0" w:color="auto"/>
              <w:left w:val="outset" w:sz="6" w:space="0" w:color="auto"/>
              <w:bottom w:val="outset" w:sz="6" w:space="0" w:color="auto"/>
              <w:right w:val="outset" w:sz="6" w:space="0" w:color="auto"/>
            </w:tcBorders>
            <w:vAlign w:val="center"/>
            <w:hideMark/>
          </w:tcPr>
          <w:p w14:paraId="5486ED2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16</w:t>
            </w:r>
          </w:p>
        </w:tc>
      </w:tr>
      <w:tr w:rsidR="002B1C74" w:rsidRPr="002F2FDF" w14:paraId="729F1C9E"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C2E64F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AE5190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Мартеновский</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1FDD03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Тигельный</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129FAC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Конверторный</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28605C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Пудлинговый</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A993FB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Вагранки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42E632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учтено заводов</w:t>
            </w:r>
          </w:p>
        </w:tc>
      </w:tr>
      <w:tr w:rsidR="002B1C74" w:rsidRPr="002F2FDF" w14:paraId="03E7D2B3"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D19DBD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13F6D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0616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49B9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178B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02F2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D2FD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090E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3292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DE0E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AF3A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2752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471E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312D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5E2F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043E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92963D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60B5366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8ADB3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8C40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5A59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EC2F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B26A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7684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7624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2F1F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9BAA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B0A7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D30A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F493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8635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8392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575B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0F00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5FA04" w14:textId="13243FF3"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4FF6F59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F419A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9038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8D5B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BA38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C2D0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95DD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195D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EFEE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59F8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7214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4124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D3EA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A3E7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AA62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61BD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6B49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AC226" w14:textId="145E3A39"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A1D3C6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39384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147D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D346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1447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B6CC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9044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7016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D877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298C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CCFA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6478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3D3E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5ED8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7653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28F6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5150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46B83" w14:textId="70620F00"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972EE7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A2537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9E51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64E7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C098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6A78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4FEC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F800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01F1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5307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1E64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D0F5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2174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3F21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BF00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3AD1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4D4F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B5184" w14:textId="2BBC933B"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FDBD43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346B2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FC26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1162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C776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D1643" w14:textId="65201AC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BE78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CE73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E773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0D4E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4338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98FD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F339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B32E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D665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D0DC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7294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80887" w14:textId="339985E4"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bl>
    <w:p w14:paraId="0F68620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статистическим данным Расмеко, в текущем году учтено заводов и оборудование их:</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2157"/>
        <w:gridCol w:w="879"/>
        <w:gridCol w:w="808"/>
        <w:gridCol w:w="1095"/>
        <w:gridCol w:w="1134"/>
        <w:gridCol w:w="1168"/>
        <w:gridCol w:w="1150"/>
        <w:gridCol w:w="867"/>
        <w:gridCol w:w="1006"/>
        <w:gridCol w:w="1058"/>
      </w:tblGrid>
      <w:tr w:rsidR="002B1C74" w:rsidRPr="002F2FDF" w14:paraId="1A719DEA" w14:textId="77777777" w:rsidTr="00394BC0">
        <w:trPr>
          <w:tblCellSpacing w:w="15" w:type="dxa"/>
          <w:jc w:val="center"/>
        </w:trPr>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328459B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17</w:t>
            </w:r>
          </w:p>
        </w:tc>
      </w:tr>
      <w:tr w:rsidR="002B1C74" w:rsidRPr="002F2FDF" w14:paraId="704A1255"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3C3DFD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Районы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C6F200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учтено заводов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E2CC67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учтено печей</w:t>
            </w:r>
          </w:p>
        </w:tc>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06C5E0B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них:</w:t>
            </w:r>
          </w:p>
        </w:tc>
      </w:tr>
      <w:tr w:rsidR="002B1C74" w:rsidRPr="002F2FDF" w14:paraId="245C5D72"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4AE48E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D2EBF4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6CAA9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D9F5C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мартеновских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64AE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Плавильных «мечта»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44C9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бессмеровских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A4FF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электрических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B534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тигельных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7D29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томасовских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6E35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пудлинговых</w:t>
            </w:r>
          </w:p>
        </w:tc>
      </w:tr>
      <w:tr w:rsidR="002B1C74" w:rsidRPr="002F2FDF" w14:paraId="508406C6"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7993E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Южный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C460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697F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FAA8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DE84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5BFA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6D9F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4A03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31C6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5344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1D44FF02"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04B87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6761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D32B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0432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D9F8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E56A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2F6FF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6C65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31A1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CF08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r>
      <w:tr w:rsidR="002B1C74" w:rsidRPr="002F2FDF" w14:paraId="26913BC8"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AF7A28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2F4B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35BC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419A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94FB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4323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64E4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6CB4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0F41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161C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09710837"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CAF206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Поволжский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9EFF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7E8E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F417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F074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756E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ED96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62DD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85AA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AAD8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_</w:t>
            </w:r>
          </w:p>
        </w:tc>
      </w:tr>
      <w:tr w:rsidR="002B1C74" w:rsidRPr="002F2FDF" w14:paraId="036C75CD"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054E17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Северный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AC15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7ED0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D689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1EEB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F294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0A54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145A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9B54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BC1F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407174F9"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2EFE9E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C1D4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B093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DBBF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151B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8C8E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FFD3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202C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1069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6FCE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r>
      <w:tr w:rsidR="002B1C74" w:rsidRPr="002F2FDF" w14:paraId="226DE24F"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BA157B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общей теоретической производительностью в сутки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FBAFC" w14:textId="07EFBC71"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540C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29CA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849000</w:t>
            </w:r>
          </w:p>
          <w:p w14:paraId="282FCF3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E2F9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500</w:t>
            </w:r>
          </w:p>
          <w:p w14:paraId="7FE4012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C29F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140000</w:t>
            </w:r>
          </w:p>
          <w:p w14:paraId="12B23CE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7136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800</w:t>
            </w:r>
          </w:p>
          <w:p w14:paraId="08112E9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42EB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3430</w:t>
            </w:r>
          </w:p>
          <w:p w14:paraId="6AF10B9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C570D1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D951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bl>
    <w:p w14:paraId="6C8FBED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того что существует разница в учете печей Центральной статистики Министерства финансов и Расмеко, все данные по 1916 г. включительно будут взяты из сведений Центральной статистики Министерства финансов, а за 1917 г. из сведений Расмеко.</w:t>
      </w:r>
    </w:p>
    <w:p w14:paraId="619975F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Работа перечисленного выше оборудования заводов выразилась в изготовлении полупродуктов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585"/>
        <w:gridCol w:w="630"/>
        <w:gridCol w:w="550"/>
        <w:gridCol w:w="575"/>
        <w:gridCol w:w="645"/>
      </w:tblGrid>
      <w:tr w:rsidR="002B1C74" w:rsidRPr="002F2FDF" w14:paraId="307AE068"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574FEE6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18</w:t>
            </w:r>
          </w:p>
        </w:tc>
      </w:tr>
      <w:tr w:rsidR="002B1C74" w:rsidRPr="002F2FDF" w14:paraId="2232E9B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FFC59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BA9C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C865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B868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50D1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r>
      <w:tr w:rsidR="002B1C74" w:rsidRPr="002F2FDF" w14:paraId="0276A1E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3DEA1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9C2C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166575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1368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55346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5159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41996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AC93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263917</w:t>
            </w:r>
          </w:p>
        </w:tc>
      </w:tr>
      <w:tr w:rsidR="002B1C74" w:rsidRPr="002F2FDF" w14:paraId="0659B95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2D904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4D59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171369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25AD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56768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2EBC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C01B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272424</w:t>
            </w:r>
          </w:p>
        </w:tc>
      </w:tr>
      <w:tr w:rsidR="002B1C74" w:rsidRPr="002F2FDF" w14:paraId="111EC2A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27465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289B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151703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A12F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64D5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42057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20B0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251288</w:t>
            </w:r>
          </w:p>
        </w:tc>
      </w:tr>
      <w:tr w:rsidR="002B1C74" w:rsidRPr="002F2FDF" w14:paraId="16AB00D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1E145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077F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161639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66D4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59911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B526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41336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5EF5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262886</w:t>
            </w:r>
          </w:p>
        </w:tc>
      </w:tr>
      <w:tr w:rsidR="002B1C74" w:rsidRPr="002F2FDF" w14:paraId="1B95E2D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4B3E9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Средняя в месяц .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C4F6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13568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F705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4D95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20F6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21885</w:t>
            </w:r>
          </w:p>
        </w:tc>
      </w:tr>
      <w:tr w:rsidR="002B1C74" w:rsidRPr="002F2FDF" w14:paraId="07709A3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2C5F0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 за 4 месяца .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71C6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38678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8D15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17847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2D19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04EE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67083</w:t>
            </w:r>
          </w:p>
        </w:tc>
      </w:tr>
      <w:tr w:rsidR="002B1C74" w:rsidRPr="002F2FDF" w14:paraId="4AEA25B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D9DC3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Средняя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223D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9669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4C9B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C361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3254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16770*</w:t>
            </w:r>
          </w:p>
        </w:tc>
      </w:tr>
      <w:tr w:rsidR="002B1C74" w:rsidRPr="002F2FDF" w14:paraId="2DB689B5"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3B54F7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 в док.; следует: 16771</w:t>
            </w:r>
          </w:p>
        </w:tc>
      </w:tr>
    </w:tbl>
    <w:p w14:paraId="4ECDB9C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сортам полупродукты в виде стальной и железной болванки за первую половину текущего года были изготовлены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39"/>
        <w:gridCol w:w="1172"/>
        <w:gridCol w:w="1291"/>
        <w:gridCol w:w="1056"/>
        <w:gridCol w:w="919"/>
        <w:gridCol w:w="1117"/>
        <w:gridCol w:w="1106"/>
        <w:gridCol w:w="907"/>
      </w:tblGrid>
      <w:tr w:rsidR="002B1C74" w:rsidRPr="002F2FDF" w14:paraId="34E2F137" w14:textId="77777777" w:rsidTr="00206E0B">
        <w:trPr>
          <w:tblCellSpacing w:w="15"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455DA72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19</w:t>
            </w:r>
          </w:p>
        </w:tc>
      </w:tr>
      <w:tr w:rsidR="002B1C74" w:rsidRPr="002F2FDF" w14:paraId="3EE3F85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4CA799" w14:textId="558A9EA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6392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Мартеновский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C4DB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Бессемеровский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E26B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Томасовский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128F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Тигельный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D01F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Специальный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22F9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Пудлинговый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85DD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r>
      <w:tr w:rsidR="002B1C74" w:rsidRPr="002F2FDF" w14:paraId="03C3A09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BBCEA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457E8" w14:textId="74F8B070"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D1455" w14:textId="1EC97845"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1CB6E" w14:textId="5477E9FB"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630E6" w14:textId="2A184547"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EBDCB" w14:textId="5D75057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41793" w14:textId="24317CFA"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91B92" w14:textId="68F6309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D78040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F452B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50C9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1EBB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C554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1169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C212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1AD7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87A4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20619*</w:t>
            </w:r>
          </w:p>
        </w:tc>
      </w:tr>
      <w:tr w:rsidR="002B1C74" w:rsidRPr="002F2FDF" w14:paraId="099012B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3E914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80E6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12149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CAB4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3AF4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8845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920E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0BD1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441E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14440**</w:t>
            </w:r>
          </w:p>
        </w:tc>
      </w:tr>
      <w:tr w:rsidR="002B1C74" w:rsidRPr="002F2FDF" w14:paraId="3838923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2A658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683C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9392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1CC2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0F4B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8EB7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D3B8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1459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15349 </w:t>
            </w:r>
            <w:hyperlink r:id="rId348" w:anchor="bookmark103" w:history="1">
              <w:r w:rsidRPr="002F2FDF">
                <w:rPr>
                  <w:rFonts w:ascii="Times New Roman" w:hAnsi="Times New Roman" w:cs="Times New Roman"/>
                  <w:color w:val="000000" w:themeColor="text1"/>
                  <w:kern w:val="2"/>
                  <w:sz w:val="16"/>
                  <w:szCs w:val="16"/>
                </w:rPr>
                <w:t>***</w:t>
              </w:r>
            </w:hyperlink>
          </w:p>
        </w:tc>
      </w:tr>
      <w:tr w:rsidR="002B1C74" w:rsidRPr="002F2FDF" w14:paraId="4FE8BC9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4F382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B068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12906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5CCA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8B5D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532D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CBA0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A4AE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96DD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16585</w:t>
            </w:r>
          </w:p>
        </w:tc>
      </w:tr>
      <w:tr w:rsidR="002B1C74" w:rsidRPr="002F2FDF" w14:paraId="2979DEE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977F4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B0796" w14:textId="6505A16D"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EC6D5" w14:textId="6228144A"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E9BD8" w14:textId="16431D09"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D655D" w14:textId="3018073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68DF5" w14:textId="2F55B15D"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0BC81" w14:textId="6A37CEF8"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C8C28" w14:textId="3558249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80362E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6A28C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C203B" w14:textId="302DF2E0"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D5685" w14:textId="2824639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CF30C" w14:textId="129A6DCA"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4FF2F" w14:textId="4A2D43C9"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E7029" w14:textId="7F4A003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1B6AD" w14:textId="2653E54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9E643" w14:textId="6B608C2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F84148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F5BAC5" w14:textId="742E6BEB"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AC74B" w14:textId="7419EFFA"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C7D22" w14:textId="17AEC795"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968FA" w14:textId="47AD4C35"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D20AD" w14:textId="7599221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B6F61" w14:textId="4A81AD6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CB09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Средняя .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0186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16740****</w:t>
            </w:r>
          </w:p>
        </w:tc>
      </w:tr>
      <w:tr w:rsidR="002B1C74" w:rsidRPr="002F2FDF" w14:paraId="7A899716" w14:textId="77777777" w:rsidTr="00206E0B">
        <w:trPr>
          <w:tblCellSpacing w:w="15"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69158B3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 в док.; следует: 20617;** Т ак в док.; следует: 14438;***Т ак в док.; следует: 15348;****Так в док.; следует: 16747</w:t>
            </w:r>
          </w:p>
        </w:tc>
      </w:tr>
    </w:tbl>
    <w:p w14:paraId="0B76215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Сравнивая среднюю месячную работу текущего года с предыдущими годами, получаем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508"/>
        <w:gridCol w:w="2088"/>
      </w:tblGrid>
      <w:tr w:rsidR="002B1C74" w:rsidRPr="002F2FDF" w14:paraId="2F65D988" w14:textId="77777777" w:rsidTr="00206E0B">
        <w:trPr>
          <w:tblCellSpacing w:w="15"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EA44F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20</w:t>
            </w:r>
          </w:p>
        </w:tc>
      </w:tr>
      <w:tr w:rsidR="002B1C74" w:rsidRPr="002F2FDF" w14:paraId="0BFB6B1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5709A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A1DF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Средняя месячная выплавка</w:t>
            </w:r>
          </w:p>
        </w:tc>
      </w:tr>
      <w:tr w:rsidR="002B1C74" w:rsidRPr="002F2FDF" w14:paraId="6827E3F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48F2B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4B67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21992</w:t>
            </w:r>
          </w:p>
        </w:tc>
      </w:tr>
      <w:tr w:rsidR="002B1C74" w:rsidRPr="002F2FDF" w14:paraId="08A2A62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616F8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1082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22700</w:t>
            </w:r>
          </w:p>
        </w:tc>
      </w:tr>
      <w:tr w:rsidR="002B1C74" w:rsidRPr="002F2FDF" w14:paraId="15E2F86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CCBB8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2D49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20940</w:t>
            </w:r>
          </w:p>
        </w:tc>
      </w:tr>
      <w:tr w:rsidR="002B1C74" w:rsidRPr="002F2FDF" w14:paraId="67678E5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5F725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12F1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21900</w:t>
            </w:r>
          </w:p>
        </w:tc>
      </w:tr>
      <w:tr w:rsidR="002B1C74" w:rsidRPr="002F2FDF" w14:paraId="4BFF027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CD9B4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A67D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16740</w:t>
            </w:r>
          </w:p>
        </w:tc>
      </w:tr>
    </w:tbl>
    <w:p w14:paraId="110E7B2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Такое понижение выпуска полупродуктов не может быть объяснено техническими затруднениями, так как, согласно данным Центральной статистики Министерства финансов, производительная способность заводского оборудования районов печами оценивалась возможным выпуском болванки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918"/>
        <w:gridCol w:w="630"/>
        <w:gridCol w:w="630"/>
        <w:gridCol w:w="630"/>
        <w:gridCol w:w="645"/>
      </w:tblGrid>
      <w:tr w:rsidR="002B1C74" w:rsidRPr="002F2FDF" w14:paraId="6C6F05A7"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3966A0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21</w:t>
            </w:r>
          </w:p>
        </w:tc>
      </w:tr>
      <w:tr w:rsidR="002B1C74" w:rsidRPr="002F2FDF" w14:paraId="7E78754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38D9F7" w14:textId="20CFCB11"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ED42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D22D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EBA7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46D0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r>
      <w:tr w:rsidR="002B1C74" w:rsidRPr="002F2FDF" w14:paraId="563BE3F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38BBD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A77F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210900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9821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217300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FB49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216100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1078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221500</w:t>
            </w:r>
          </w:p>
        </w:tc>
      </w:tr>
      <w:tr w:rsidR="002B1C74" w:rsidRPr="002F2FDF" w14:paraId="4770A15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A4A37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EE87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67974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7E7F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B531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04B9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70790</w:t>
            </w:r>
          </w:p>
        </w:tc>
      </w:tr>
      <w:tr w:rsidR="002B1C74" w:rsidRPr="002F2FDF" w14:paraId="5DA45E3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EA7D8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E14E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4EDF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9BC8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154F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55970</w:t>
            </w:r>
          </w:p>
        </w:tc>
      </w:tr>
      <w:tr w:rsidR="002B1C74" w:rsidRPr="002F2FDF" w14:paraId="399058E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C04F5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F5AE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328399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FE5A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338205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B04C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345175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3F5F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348260</w:t>
            </w:r>
          </w:p>
        </w:tc>
      </w:tr>
    </w:tbl>
    <w:p w14:paraId="71B0658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Откуда видно, что с каждым годом производительная способность заводов увеличивалась, в действительности же выпуск металла начиная с 1914 г. падает и в 1917 г. по отношению к 1914 г. уменьшается на 26% ; причины падения работы печей те же самые, что и в доменном производстве, т. е. частые остановки печей по недостатку главным образом топлива, отчасти чугуна, а последнее время значительное понижение продуктивности работы.</w:t>
      </w:r>
    </w:p>
    <w:p w14:paraId="17338EF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Простой печей за конец 1916 г. и начало 1917 г., выраженный числом днейXпечей, был:</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71"/>
        <w:gridCol w:w="1663"/>
      </w:tblGrid>
      <w:tr w:rsidR="002B1C74" w:rsidRPr="002F2FDF" w14:paraId="14995335" w14:textId="77777777" w:rsidTr="00206E0B">
        <w:trPr>
          <w:tblCellSpacing w:w="15"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003FB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22</w:t>
            </w:r>
          </w:p>
        </w:tc>
      </w:tr>
      <w:tr w:rsidR="002B1C74" w:rsidRPr="002F2FDF" w14:paraId="7FAC3B8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19D82B" w14:textId="56D23E8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6C12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Простой дней х печей</w:t>
            </w:r>
          </w:p>
        </w:tc>
      </w:tr>
      <w:tr w:rsidR="002B1C74" w:rsidRPr="002F2FDF" w14:paraId="324A075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754FE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786C4" w14:textId="017FBEB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DAB5E3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084AE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F5A6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1232</w:t>
            </w:r>
          </w:p>
        </w:tc>
      </w:tr>
      <w:tr w:rsidR="002B1C74" w:rsidRPr="002F2FDF" w14:paraId="256A0AE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49F3B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792D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1394</w:t>
            </w:r>
          </w:p>
        </w:tc>
      </w:tr>
      <w:tr w:rsidR="002B1C74" w:rsidRPr="002F2FDF" w14:paraId="6399EA7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30BF2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2B58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1446</w:t>
            </w:r>
          </w:p>
        </w:tc>
      </w:tr>
      <w:tr w:rsidR="002B1C74" w:rsidRPr="002F2FDF" w14:paraId="25F19BE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C4671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4B0D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1390</w:t>
            </w:r>
          </w:p>
        </w:tc>
      </w:tr>
      <w:tr w:rsidR="002B1C74" w:rsidRPr="002F2FDF" w14:paraId="4975260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F788D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8C331" w14:textId="5A39A498"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E83C02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401AA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A6EA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1638</w:t>
            </w:r>
          </w:p>
        </w:tc>
      </w:tr>
      <w:tr w:rsidR="002B1C74" w:rsidRPr="002F2FDF" w14:paraId="4AEFE97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70718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F8F7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2034</w:t>
            </w:r>
          </w:p>
        </w:tc>
      </w:tr>
      <w:tr w:rsidR="002B1C74" w:rsidRPr="002F2FDF" w14:paraId="3766075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DCC2F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048C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2165</w:t>
            </w:r>
          </w:p>
        </w:tc>
      </w:tr>
      <w:tr w:rsidR="002B1C74" w:rsidRPr="002F2FDF" w14:paraId="731A6F9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345BC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21D4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2385</w:t>
            </w:r>
          </w:p>
        </w:tc>
      </w:tr>
      <w:tr w:rsidR="002B1C74" w:rsidRPr="002F2FDF" w14:paraId="0709B8B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38715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0DCF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341BBDD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FFF4D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F891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bl>
    <w:p w14:paraId="274E52D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III. ПРОКАТКА МЕТАЛЛА</w:t>
      </w:r>
    </w:p>
    <w:p w14:paraId="02CDFB3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Почти та же картина постепенного роста оборудования заводов и падения производительности их наблюдается и в прокатном деле, так как причины, влияющие на это производство, те же самые. По данным Центральной статистики Министерства финансов, производительная способность заводов по изготовлению всех сортов железа и стали определялась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407"/>
        <w:gridCol w:w="630"/>
        <w:gridCol w:w="630"/>
        <w:gridCol w:w="630"/>
        <w:gridCol w:w="645"/>
      </w:tblGrid>
      <w:tr w:rsidR="002B1C74" w:rsidRPr="002F2FDF" w14:paraId="4A8D215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2B74C0" w14:textId="05150161"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AC8B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1D7B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E324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C4FC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1016 г.</w:t>
            </w:r>
          </w:p>
        </w:tc>
      </w:tr>
      <w:tr w:rsidR="002B1C74" w:rsidRPr="002F2FDF" w14:paraId="1D5A2FF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43F7B8" w14:textId="3C555CFB"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18318C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техническая мощность</w:t>
            </w:r>
          </w:p>
        </w:tc>
      </w:tr>
      <w:tr w:rsidR="002B1C74" w:rsidRPr="002F2FDF" w14:paraId="71B3272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EF980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86D2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177660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0EF4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185340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8B1D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BD0B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191080</w:t>
            </w:r>
          </w:p>
        </w:tc>
      </w:tr>
      <w:tr w:rsidR="002B1C74" w:rsidRPr="002F2FDF" w14:paraId="633A964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F26DE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FB8E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511F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E2D6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56982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FD27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65252</w:t>
            </w:r>
          </w:p>
        </w:tc>
      </w:tr>
      <w:tr w:rsidR="002B1C74" w:rsidRPr="002F2FDF" w14:paraId="41D092D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A3A9E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9349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4725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52673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3E8B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2D41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58427</w:t>
            </w:r>
          </w:p>
        </w:tc>
      </w:tr>
      <w:tr w:rsidR="002B1C74" w:rsidRPr="002F2FDF" w14:paraId="17A898D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9DF30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16B3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280205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A4F9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292323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BC89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304689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C25F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314759</w:t>
            </w:r>
          </w:p>
        </w:tc>
      </w:tr>
      <w:tr w:rsidR="002B1C74" w:rsidRPr="002F2FDF" w14:paraId="4D81DDB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FD625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Средняя месячная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1F6A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018B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2141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9223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26230</w:t>
            </w:r>
          </w:p>
        </w:tc>
      </w:tr>
    </w:tbl>
    <w:p w14:paraId="0A2276A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Действительная же прокатка за тот же период была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407"/>
        <w:gridCol w:w="630"/>
        <w:gridCol w:w="630"/>
        <w:gridCol w:w="630"/>
        <w:gridCol w:w="645"/>
      </w:tblGrid>
      <w:tr w:rsidR="002B1C74" w:rsidRPr="002F2FDF" w14:paraId="726423D4"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72E32E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24</w:t>
            </w:r>
          </w:p>
        </w:tc>
      </w:tr>
      <w:tr w:rsidR="002B1C74" w:rsidRPr="002F2FDF" w14:paraId="7B4B02D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BF80A4" w14:textId="02DE64C5"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6DA8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A942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1B89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3435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r>
      <w:tr w:rsidR="002B1C74" w:rsidRPr="002F2FDF" w14:paraId="4CC04AA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B9190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2AF8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3F95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143916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2A7F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125649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2DC0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130303</w:t>
            </w:r>
          </w:p>
        </w:tc>
      </w:tr>
      <w:tr w:rsidR="002B1C74" w:rsidRPr="002F2FDF" w14:paraId="01C7559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FC5BB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6F85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40812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1BCF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AC20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20A7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40987</w:t>
            </w:r>
          </w:p>
        </w:tc>
      </w:tr>
      <w:tr w:rsidR="002B1C74" w:rsidRPr="002F2FDF" w14:paraId="0118BAE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2C233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054F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78F7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37858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7DA5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01D1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34572</w:t>
            </w:r>
          </w:p>
        </w:tc>
      </w:tr>
      <w:tr w:rsidR="002B1C74" w:rsidRPr="002F2FDF" w14:paraId="3F644FF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C6BE3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CAB8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219414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C89E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222390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36C2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199337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A3E4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205862</w:t>
            </w:r>
          </w:p>
        </w:tc>
      </w:tr>
      <w:tr w:rsidR="002B1C74" w:rsidRPr="002F2FDF" w14:paraId="0653A04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5D4BB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Средняя месячная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F7FA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11C6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AB8F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69BC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17155</w:t>
            </w:r>
          </w:p>
        </w:tc>
      </w:tr>
    </w:tbl>
    <w:p w14:paraId="51387BF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за первую половину текущего года, но данным Расмеко, действительная прокатка была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407"/>
        <w:gridCol w:w="710"/>
        <w:gridCol w:w="875"/>
        <w:gridCol w:w="1079"/>
        <w:gridCol w:w="885"/>
      </w:tblGrid>
      <w:tr w:rsidR="002B1C74" w:rsidRPr="002F2FDF" w14:paraId="44073229"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EF97B9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25</w:t>
            </w:r>
          </w:p>
        </w:tc>
      </w:tr>
      <w:tr w:rsidR="002B1C74" w:rsidRPr="002F2FDF" w14:paraId="78098C1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1C34B8" w14:textId="480CCA89"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F714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Южный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982F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307B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BCF3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r>
      <w:tr w:rsidR="002B1C74" w:rsidRPr="002F2FDF" w14:paraId="72DA94A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4FDB5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D9C9A" w14:textId="24416490"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D822F" w14:textId="6768852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80E6E" w14:textId="492427D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E6521" w14:textId="5BD7AB8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6802A1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85B99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C9C9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9593807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EEC3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2591711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90B1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934150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C518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13119668</w:t>
            </w:r>
          </w:p>
        </w:tc>
      </w:tr>
      <w:tr w:rsidR="002B1C74" w:rsidRPr="002F2FDF" w14:paraId="5F51A24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DAA45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F997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5597839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F275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2353161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649B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833432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7DCE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8784432</w:t>
            </w:r>
          </w:p>
        </w:tc>
      </w:tr>
      <w:tr w:rsidR="002B1C74" w:rsidRPr="002F2FDF" w14:paraId="50F92B2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CBE91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9188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7177976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DD2D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2610624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E9B7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856596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FB6E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10645196</w:t>
            </w:r>
          </w:p>
        </w:tc>
      </w:tr>
      <w:tr w:rsidR="002B1C74" w:rsidRPr="002F2FDF" w14:paraId="2A093B8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F9C35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8060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7976298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CD69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2148174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18D1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768824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D84B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10893296</w:t>
            </w:r>
          </w:p>
        </w:tc>
      </w:tr>
      <w:tr w:rsidR="002B1C74" w:rsidRPr="002F2FDF" w14:paraId="1C053C9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3D2B6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67F8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8907580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6727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2384999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15F8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863858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B598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12155887*</w:t>
            </w:r>
          </w:p>
        </w:tc>
      </w:tr>
      <w:tr w:rsidR="002B1C74" w:rsidRPr="002F2FDF" w14:paraId="7BFC91F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F27CC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A4EF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41DB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3DF7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10C9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3F72F59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7952E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Средняя месячная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F3AF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6130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2417000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4288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4224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11119000</w:t>
            </w:r>
          </w:p>
        </w:tc>
      </w:tr>
      <w:tr w:rsidR="002B1C74" w:rsidRPr="002F2FDF" w14:paraId="1E0384F1"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843D9B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 в док.; следует; 12155937</w:t>
            </w:r>
          </w:p>
        </w:tc>
      </w:tr>
    </w:tbl>
    <w:p w14:paraId="080FCE0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Приведенные данные указывают на страшное падение [выработки готового сортового металла вследствие указанных выше причин неполной деятельности заводов, а также вследствие недостатка квалифицированных рабочих на заводах.</w:t>
      </w:r>
    </w:p>
    <w:p w14:paraId="615F5FB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процентном отношении по отношению к'году перед войной (1913 г.) уменьшение производительности выразится:</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590"/>
        <w:gridCol w:w="2539"/>
        <w:gridCol w:w="939"/>
        <w:gridCol w:w="939"/>
        <w:gridCol w:w="939"/>
        <w:gridCol w:w="954"/>
      </w:tblGrid>
      <w:tr w:rsidR="002B1C74" w:rsidRPr="002F2FDF" w14:paraId="0A57DD43"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2E70D40" w14:textId="7A3B4857"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4251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 год</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53EEEB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Прокатано в процентном отношении к работе 1913 г.</w:t>
            </w:r>
          </w:p>
        </w:tc>
      </w:tr>
      <w:tr w:rsidR="002B1C74" w:rsidRPr="002F2FDF" w14:paraId="7534865C"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7D0089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E74E7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средняя месячная прокатка [в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B215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B2A8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C273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8064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r>
      <w:tr w:rsidR="002B1C74" w:rsidRPr="002F2FDF" w14:paraId="3345420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1371B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DF10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10750000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3EC3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9B19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E4C1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8DEB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w:t>
            </w:r>
          </w:p>
        </w:tc>
      </w:tr>
      <w:tr w:rsidR="002B1C74" w:rsidRPr="002F2FDF" w14:paraId="0115CC6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03438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1D62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3401000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2512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0C0C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06A2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6696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w:t>
            </w:r>
          </w:p>
        </w:tc>
      </w:tr>
      <w:tr w:rsidR="002B1C74" w:rsidRPr="002F2FDF" w14:paraId="31AB446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4FC2F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864D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3134000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2486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F7FC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5437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A0E1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w:t>
            </w:r>
          </w:p>
        </w:tc>
      </w:tr>
    </w:tbl>
    <w:p w14:paraId="126ADD5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Необходимо указать, что в рассматриваемый период в общем число рабочих не только не уменьшилось, но даже возросло. По данным Центральной статистики Министерства финансов, имеем:</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615"/>
        <w:gridCol w:w="643"/>
        <w:gridCol w:w="643"/>
        <w:gridCol w:w="643"/>
        <w:gridCol w:w="658"/>
      </w:tblGrid>
      <w:tr w:rsidR="002B1C74" w:rsidRPr="002F2FDF" w14:paraId="59CE85E0"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28B8EFA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27</w:t>
            </w:r>
          </w:p>
        </w:tc>
      </w:tr>
      <w:tr w:rsidR="002B1C74" w:rsidRPr="002F2FDF" w14:paraId="470F81A8"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2F2C2A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622908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Рабочих металлургических заводов</w:t>
            </w:r>
          </w:p>
        </w:tc>
      </w:tr>
      <w:tr w:rsidR="002B1C74" w:rsidRPr="002F2FDF" w14:paraId="3ED89D80"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8EDD21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A2725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911E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FA6E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2AE6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r>
      <w:tr w:rsidR="002B1C74" w:rsidRPr="002F2FDF" w14:paraId="1368CA9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1EFE5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F002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79393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4CD4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2F33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9F63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221501</w:t>
            </w:r>
          </w:p>
        </w:tc>
      </w:tr>
      <w:tr w:rsidR="002B1C74" w:rsidRPr="002F2FDF" w14:paraId="4B67E83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30FEC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B4F7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572E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80007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5275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75958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2E2E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236048</w:t>
            </w:r>
          </w:p>
        </w:tc>
      </w:tr>
      <w:tr w:rsidR="002B1C74" w:rsidRPr="002F2FDF" w14:paraId="1D18595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44BBF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C6DE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94907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0984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96641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E841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89411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ECF0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280959</w:t>
            </w:r>
          </w:p>
        </w:tc>
      </w:tr>
      <w:tr w:rsidR="002B1C74" w:rsidRPr="002F2FDF" w14:paraId="6F106DF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2841B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EAF0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E52D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121778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C3EF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105563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8938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350561</w:t>
            </w:r>
          </w:p>
        </w:tc>
      </w:tr>
    </w:tbl>
    <w:p w14:paraId="6456B6D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за первую половину текущего года по месяцам значилось на Юге:</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21"/>
        <w:gridCol w:w="1165"/>
        <w:gridCol w:w="1749"/>
      </w:tblGrid>
      <w:tr w:rsidR="002B1C74" w:rsidRPr="002F2FDF" w14:paraId="301BF14D" w14:textId="77777777" w:rsidTr="00206E0B">
        <w:trPr>
          <w:tblCellSpacing w:w="15"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DB0BBA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28</w:t>
            </w:r>
          </w:p>
        </w:tc>
      </w:tr>
      <w:tr w:rsidR="002B1C74" w:rsidRPr="002F2FDF" w14:paraId="2CBA11A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04E5B9" w14:textId="46799AA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DC06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9F85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них военнопленных</w:t>
            </w:r>
          </w:p>
        </w:tc>
      </w:tr>
      <w:tr w:rsidR="002B1C74" w:rsidRPr="002F2FDF" w14:paraId="0A9DE59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4415E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8F76A" w14:textId="7F10E521"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875DA" w14:textId="330ABE4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4758945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7DB0F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9D44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127782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1B9F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34284</w:t>
            </w:r>
          </w:p>
        </w:tc>
      </w:tr>
      <w:tr w:rsidR="002B1C74" w:rsidRPr="002F2FDF" w14:paraId="722550F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3FDCB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3562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128495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C47A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35246</w:t>
            </w:r>
          </w:p>
        </w:tc>
      </w:tr>
      <w:tr w:rsidR="002B1C74" w:rsidRPr="002F2FDF" w14:paraId="55FA77F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A1082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191C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125600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3986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35000</w:t>
            </w:r>
          </w:p>
        </w:tc>
      </w:tr>
      <w:tr w:rsidR="002B1C74" w:rsidRPr="002F2FDF" w14:paraId="5F3111D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D922B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4794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129848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C78B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34293</w:t>
            </w:r>
          </w:p>
        </w:tc>
      </w:tr>
      <w:tr w:rsidR="002B1C74" w:rsidRPr="002F2FDF" w14:paraId="7E9B4FD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85AEB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C348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8636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32252</w:t>
            </w:r>
          </w:p>
        </w:tc>
      </w:tr>
    </w:tbl>
    <w:p w14:paraId="275400D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Доминирующее значение в расстройстве железопрокатных заводов имеет все-таки недостаток сырья и топлива, что видно из [табл. 29].</w:t>
      </w:r>
    </w:p>
    <w:p w14:paraId="5CB1286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Согласно данным Центрального военно-промышленного комитета, спрос на топливо возрос более чем в два раза по сравнению со спросом мирного времени, так как донецкое топливо начало идти в новые районы, ранее снабжавшиеся английским, силезским и Домбровским углем [табл. 30]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2967"/>
        <w:gridCol w:w="575"/>
        <w:gridCol w:w="792"/>
        <w:gridCol w:w="682"/>
        <w:gridCol w:w="621"/>
        <w:gridCol w:w="713"/>
        <w:gridCol w:w="607"/>
        <w:gridCol w:w="706"/>
        <w:gridCol w:w="598"/>
        <w:gridCol w:w="624"/>
      </w:tblGrid>
      <w:tr w:rsidR="002B1C74" w:rsidRPr="002F2FDF" w14:paraId="2F2D6515" w14:textId="77777777" w:rsidTr="00206E0B">
        <w:trPr>
          <w:tblCellSpacing w:w="15" w:type="dxa"/>
        </w:trPr>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13689BC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Таблица 29</w:t>
            </w:r>
          </w:p>
        </w:tc>
      </w:tr>
      <w:tr w:rsidR="002B1C74" w:rsidRPr="002F2FDF" w14:paraId="7EC07715"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B8BA227" w14:textId="2E1F8701"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D8B5F8" w14:textId="13A3F6C8"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32C9B20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заводов, сокративших прокатку</w:t>
            </w:r>
          </w:p>
        </w:tc>
      </w:tr>
      <w:tr w:rsidR="002B1C74" w:rsidRPr="002F2FDF" w14:paraId="5C2EF57A"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8A5631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BD6D93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591DB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w:t>
            </w:r>
          </w:p>
          <w:p w14:paraId="41D557B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39CD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октябрь</w:t>
            </w:r>
          </w:p>
          <w:p w14:paraId="29F5B4C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4549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w:t>
            </w:r>
          </w:p>
          <w:p w14:paraId="56CDDDB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FFD3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Декабрь</w:t>
            </w:r>
          </w:p>
          <w:p w14:paraId="0A62F0B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A6BD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p w14:paraId="5AC8B1A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478F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p w14:paraId="23B143A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DC9D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p w14:paraId="0EB52B5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BF06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p w14:paraId="1752BD2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r>
      <w:tr w:rsidR="002B1C74" w:rsidRPr="002F2FDF" w14:paraId="3CB02512"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08C3CA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Недостаток топлива и сырых материалов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F019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D0FE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7786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36B8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FE40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C4BF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B382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5AF1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BFD4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r>
      <w:tr w:rsidR="002B1C74" w:rsidRPr="002F2FDF" w14:paraId="5584BE19"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C8AF7A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4CCDB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DAB5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3271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F41D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DE6E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08AF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08F3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2BDC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7F0F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r>
      <w:tr w:rsidR="002B1C74" w:rsidRPr="002F2FDF" w14:paraId="518E37F1"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07DBB1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7F64C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A170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3827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0541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7AA5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D875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F05D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05AD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960A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r>
      <w:tr w:rsidR="002B1C74" w:rsidRPr="002F2FDF" w14:paraId="4F4CC005"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804FEC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Недостаток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E02A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8F15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FC90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F3E4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5CB0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A376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BB02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0895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D11CD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r>
      <w:tr w:rsidR="002B1C74" w:rsidRPr="002F2FDF" w14:paraId="3E35450F"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E6F5E2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7BCBF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BCB3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0080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192F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103E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052E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9E79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5C2F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4C84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r>
      <w:tr w:rsidR="002B1C74" w:rsidRPr="002F2FDF" w14:paraId="47C042B8"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CA7198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8A478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6BB7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2B1A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5287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DE88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F06C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2969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80A7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5D7B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r>
      <w:tr w:rsidR="002B1C74" w:rsidRPr="002F2FDF" w14:paraId="4AE9CE76"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5CC672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Технические условия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D587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7DA9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AD64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C78A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D847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0D03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0537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E469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699D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3120FF87"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6A2658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1DABA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F2E0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5FF9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B020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A570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AA5F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E454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3BBF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D9A2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60EC0451"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9F79AA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F51D3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E75F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033F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5427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2FB7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5B4D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8315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9B32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A528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00A8AF4D"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96E6F0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Хозяйственные условия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5D34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6468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D2BE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AC60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B5F2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E31B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5E52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5522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C759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139846A4"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259D75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A7118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9379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5C4B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870C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C5DE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A992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1E57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C51C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A39C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4F28F60F"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3DABAE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40E1A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E4E5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024B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C5FE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83DA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2A2A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7098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6767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B599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5158C385"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1746F1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[Прочие причины]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7D1A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2C1F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819D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32EC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68FF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EB4E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DD8C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3322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8ABE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r>
      <w:tr w:rsidR="002B1C74" w:rsidRPr="002F2FDF" w14:paraId="7BFD2B0E"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5519B0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B57A5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24B4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F5C3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2112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82D0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5348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DBD1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D151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E1FF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43459C82"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A69C0A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11B22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C149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F25A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412B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EE64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4E59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7D93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5289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3DEC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bl>
    <w:p w14:paraId="6091ED82" w14:textId="5188AB1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158"/>
        <w:gridCol w:w="630"/>
        <w:gridCol w:w="630"/>
        <w:gridCol w:w="710"/>
        <w:gridCol w:w="725"/>
      </w:tblGrid>
      <w:tr w:rsidR="002B1C74" w:rsidRPr="002F2FDF" w14:paraId="2625FAC3"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59517C9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30</w:t>
            </w:r>
          </w:p>
        </w:tc>
      </w:tr>
      <w:tr w:rsidR="002B1C74" w:rsidRPr="002F2FDF" w14:paraId="71F67EE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11C403" w14:textId="046F2FB0"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99714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B372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00A9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335E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r>
      <w:tr w:rsidR="002B1C74" w:rsidRPr="002F2FDF" w14:paraId="2C004F1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6E79E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71F48" w14:textId="671139D1"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7E5E0" w14:textId="385155E7"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A783F" w14:textId="35B49BE4"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3F9BA" w14:textId="1AC227C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4F90A2E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E68B8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затребовано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2BA8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596119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A2DF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777126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18E8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1693705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4DE4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1870164</w:t>
            </w:r>
          </w:p>
        </w:tc>
      </w:tr>
      <w:tr w:rsidR="002B1C74" w:rsidRPr="002F2FDF" w14:paraId="03BB697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C793C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сокращено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DE54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2C64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16678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CEBE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785929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1F40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948138</w:t>
            </w:r>
          </w:p>
        </w:tc>
      </w:tr>
      <w:tr w:rsidR="002B1C74" w:rsidRPr="002F2FDF" w14:paraId="55E7A81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CABC0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сокращения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CF7D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BF67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C63B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A4DC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50.7</w:t>
            </w:r>
          </w:p>
        </w:tc>
      </w:tr>
      <w:tr w:rsidR="002B1C74" w:rsidRPr="002F2FDF" w14:paraId="7053BE5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281C1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9D4B4" w14:textId="5AEFDE29"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1C206" w14:textId="62604D9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D48B4" w14:textId="69CBFA2A"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B0A38" w14:textId="7A2D69D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4FC0598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B8F73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затребовано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04E5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650364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A789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977598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1CF3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1322706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742F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03FEDE8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37E75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сокращено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1BC4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0F64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217696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5508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541406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EDDC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7713E9E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AAD21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сокращения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A339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9F80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D0C0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2EFBD" w14:textId="235AAC4A"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bl>
    <w:p w14:paraId="5201C86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Необходимо указать, что с такими же затруднениями происходил подвоз и других необходимых металлургическим заводам сырых продуктов, и указанное расстройство транспорта резко заметно на протяжении даже годичного периода, так как, по данным журнала «Горно-заводское дело» (№№ 24, 25 с. г.), сопоставляя вывоз топлива и сырья с Юга России, дает [табл. 31] (в тыс. пуд).</w:t>
      </w:r>
    </w:p>
    <w:p w14:paraId="2972880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Главной причиной понижения вывоза считается расстройство транспорта.</w:t>
      </w:r>
    </w:p>
    <w:p w14:paraId="29D8BE7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IV. РАСПРЕДЕЛЕНИЕ МЕТАЛЛОВ</w:t>
      </w:r>
    </w:p>
    <w:p w14:paraId="7B0EEFB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октября 1916 г. весь металл, изготовляемый металлургическими заводами, был поставлен под учет и распределение главного уполномоченного по снабжению металлами. Порядок распределения заключался:</w:t>
      </w:r>
    </w:p>
    <w:p w14:paraId="070ED9D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в выяснении потребностей ведомств, 2) в выяснении возможной производительности металлургических заводов на тот же период, 3) в назначении ведомствам определенной месячной нормы металла, 4) в разверстке этой нормы но заводам и 5) в составлении заводами под руководством районных уполномоченных программ прокатки.</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44"/>
        <w:gridCol w:w="638"/>
        <w:gridCol w:w="638"/>
        <w:gridCol w:w="598"/>
        <w:gridCol w:w="598"/>
        <w:gridCol w:w="598"/>
        <w:gridCol w:w="598"/>
        <w:gridCol w:w="598"/>
        <w:gridCol w:w="598"/>
        <w:gridCol w:w="598"/>
        <w:gridCol w:w="598"/>
        <w:gridCol w:w="598"/>
        <w:gridCol w:w="613"/>
      </w:tblGrid>
      <w:tr w:rsidR="002B1C74" w:rsidRPr="002F2FDF" w14:paraId="29969EDE" w14:textId="77777777" w:rsidTr="00206E0B">
        <w:trPr>
          <w:tblCellSpacing w:w="15" w:type="dxa"/>
        </w:trPr>
        <w:tc>
          <w:tcPr>
            <w:tcW w:w="0" w:type="auto"/>
            <w:gridSpan w:val="13"/>
            <w:tcBorders>
              <w:top w:val="outset" w:sz="6" w:space="0" w:color="auto"/>
              <w:left w:val="outset" w:sz="6" w:space="0" w:color="auto"/>
              <w:bottom w:val="outset" w:sz="6" w:space="0" w:color="auto"/>
              <w:right w:val="outset" w:sz="6" w:space="0" w:color="auto"/>
            </w:tcBorders>
            <w:vAlign w:val="center"/>
            <w:hideMark/>
          </w:tcPr>
          <w:p w14:paraId="5FC87E0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31</w:t>
            </w:r>
          </w:p>
        </w:tc>
      </w:tr>
      <w:tr w:rsidR="002B1C74" w:rsidRPr="002F2FDF" w14:paraId="1142A7A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596E76" w14:textId="064BF688"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BEF671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Каменный уголь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53402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Антрацит</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6D15E6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Кокс</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9206D6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Руда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C1251F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Чугун</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DFAED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Флюсы</w:t>
            </w:r>
          </w:p>
        </w:tc>
      </w:tr>
      <w:tr w:rsidR="002B1C74" w:rsidRPr="002F2FDF" w14:paraId="73D6936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275537" w14:textId="6F58FAAD"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CEFC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6919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CE6F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63F2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2247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EE7B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D221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0A8E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DD2F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2DDB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F9D4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2702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r>
      <w:tr w:rsidR="002B1C74" w:rsidRPr="002F2FDF" w14:paraId="0F7AA77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E2294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5F4F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26FD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A082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70FE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A5EC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19DF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567F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15B4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7544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955C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C844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BF24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7.10</w:t>
            </w:r>
          </w:p>
        </w:tc>
      </w:tr>
      <w:tr w:rsidR="002B1C74" w:rsidRPr="002F2FDF" w14:paraId="333F8AF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77956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BCFC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F289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3EE4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9356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32DF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79D1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19FC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C20E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830A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F025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98BE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94E5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6.30</w:t>
            </w:r>
          </w:p>
        </w:tc>
      </w:tr>
      <w:tr w:rsidR="002B1C74" w:rsidRPr="002F2FDF" w14:paraId="4EEF5DF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C30F7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4BA4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BB15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EB47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D189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4FB8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3079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734F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27.03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681DE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F306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FEBC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60D4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78B7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5.00</w:t>
            </w:r>
          </w:p>
        </w:tc>
      </w:tr>
      <w:tr w:rsidR="002B1C74" w:rsidRPr="002F2FDF" w14:paraId="7E66EBB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F52DA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5B78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BEE86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56A0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1E03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29A7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D42F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FC9B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B2BC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C570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27AA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963B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2482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11.20</w:t>
            </w:r>
          </w:p>
        </w:tc>
      </w:tr>
      <w:tr w:rsidR="002B1C74" w:rsidRPr="002F2FDF" w14:paraId="186A67D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6CB1E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0D0C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6BD3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6773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78F4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FA58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D071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7388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1890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2015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B65D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FACA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F1C3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7.20</w:t>
            </w:r>
          </w:p>
        </w:tc>
      </w:tr>
    </w:tbl>
    <w:p w14:paraId="451F42C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Распределительные периоды установлены: 1) октябрь—ноябрь 1916 г., 2) декабрь—февраль [1917 г.], 3) март—июнь 1917 г.</w:t>
      </w:r>
    </w:p>
    <w:p w14:paraId="5B50CC2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Первый распределительный период, октябрь—ноябрь 1916 г., как по заявке ведомств, так и по назначенной норме металла ведомствам и по выполнению этих норм, следует признать самым благоприятным: при суммарной заявке всех ведомств в 19 095 569 пуд. в месяц и при назначении после сокращения нормы в 15 260 тыс. пуд. фактическое выполнение нормы было в октябре 14 741 846 пуд., а в ноябре 15 235 215 пуд.</w:t>
      </w:r>
    </w:p>
    <w:p w14:paraId="45B5503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Второй распределительный период, декабрь—февраль, дал заявки ведомств повышенными на 32%, а потому ожидаемая прокатка была искусственно увеличена более чем на 10%, исполнение же программ совпало с общим расстройством железнодорожного транспорта, а потому в феврале составляло всего 30% заявки.</w:t>
      </w:r>
    </w:p>
    <w:p w14:paraId="57D3D3A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Третий распределительный период еще более осложнился увеличением заявки ведомств еще на 24% по сравнению с предыдущим периодом и на 63% по сравнению с первым распределительным периодом; удовлетворение возможно было не более как в 60.9% ; нормы были установлены в предположении возможного увеличения на 20% прокатки.</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829"/>
        <w:gridCol w:w="2567"/>
        <w:gridCol w:w="2454"/>
        <w:gridCol w:w="1491"/>
        <w:gridCol w:w="2094"/>
        <w:gridCol w:w="1887"/>
      </w:tblGrid>
      <w:tr w:rsidR="002B1C74" w:rsidRPr="002F2FDF" w14:paraId="3B65520C" w14:textId="77777777" w:rsidTr="00394BC0">
        <w:trPr>
          <w:tblCellSpacing w:w="15" w:type="dxa"/>
          <w:jc w:val="center"/>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46AAC6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32</w:t>
            </w:r>
          </w:p>
        </w:tc>
      </w:tr>
      <w:tr w:rsidR="002B1C74" w:rsidRPr="002F2FDF" w14:paraId="6B4B74A3"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90973CC" w14:textId="6150D8B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C1FF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Заявлена потребность ведомств в месяц [в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426A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Установлена норма удовлетворения [в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C4E5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Процентное отношение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5CF0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Действительно изготовлено [в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4D3B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Процентное отношение к заявке</w:t>
            </w:r>
          </w:p>
        </w:tc>
      </w:tr>
      <w:tr w:rsidR="002B1C74" w:rsidRPr="002F2FDF" w14:paraId="19E7DE42"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8C68AE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B72CC" w14:textId="5EFA47AA"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FBC66" w14:textId="7F452C17"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B690D" w14:textId="30FED64A"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9E2F4" w14:textId="42309330"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46C33" w14:textId="6B614E5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0C7F093"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465C0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5280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19095569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E347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15260000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0A16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79.9</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D18A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14741846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8956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71.2</w:t>
            </w:r>
          </w:p>
        </w:tc>
      </w:tr>
      <w:tr w:rsidR="002B1C74" w:rsidRPr="002F2FDF" w14:paraId="6ABA47B3"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6509A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0F64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[19095569]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4159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[15260000]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D5D5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[79.9]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25C0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15235215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20DD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5CC22E39"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75D804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E42D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[19095569]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6E3E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[15260000]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319A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BB64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12385236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C3B0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49.6</w:t>
            </w:r>
          </w:p>
        </w:tc>
      </w:tr>
      <w:tr w:rsidR="002B1C74" w:rsidRPr="002F2FDF" w14:paraId="7BA0ADCB"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742C0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90066" w14:textId="1F6AE7D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12151" w14:textId="7C3FAA4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81F95" w14:textId="515B76C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0540C" w14:textId="71C8EEFA"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51DB0" w14:textId="3A88B0B9"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462F413"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38422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F94E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F887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18377740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2A8A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BDDD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13119668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A412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52.5</w:t>
            </w:r>
          </w:p>
        </w:tc>
      </w:tr>
      <w:tr w:rsidR="002B1C74" w:rsidRPr="002F2FDF" w14:paraId="5F475C2A"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33A547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84C9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E855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[18377740]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DF73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254B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8784432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9F3B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35.2</w:t>
            </w:r>
          </w:p>
        </w:tc>
      </w:tr>
      <w:tr w:rsidR="002B1C74" w:rsidRPr="002F2FDF" w14:paraId="20865F9F"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FA7A94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6B3F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3892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[18377740]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2CA9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28F5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2EFC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67189366"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0F09A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198D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250A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[18377470]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C952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3918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10645196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39C8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34.1</w:t>
            </w:r>
          </w:p>
        </w:tc>
      </w:tr>
      <w:tr w:rsidR="002B1C74" w:rsidRPr="002F2FDF" w14:paraId="1B52B9A0"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4DB9E4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3C4A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D64E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19319654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60C3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FDA0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10893296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BE08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34.9</w:t>
            </w:r>
          </w:p>
        </w:tc>
      </w:tr>
      <w:tr w:rsidR="002B1C74" w:rsidRPr="002F2FDF" w14:paraId="27AAAB15"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FA7E34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6DE7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0E2C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[19319654]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9CA9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[60.9]</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D967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12155887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3038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38.9</w:t>
            </w:r>
          </w:p>
        </w:tc>
      </w:tr>
    </w:tbl>
    <w:p w14:paraId="5972189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отдельным районам назначение и исполнение прокатки по месяцам были [в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99"/>
        <w:gridCol w:w="891"/>
        <w:gridCol w:w="1150"/>
        <w:gridCol w:w="891"/>
        <w:gridCol w:w="1150"/>
        <w:gridCol w:w="891"/>
        <w:gridCol w:w="1085"/>
      </w:tblGrid>
      <w:tr w:rsidR="002B1C74" w:rsidRPr="002F2FDF" w14:paraId="4B00CD9F" w14:textId="77777777" w:rsidTr="00206E0B">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09277D5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33</w:t>
            </w:r>
          </w:p>
        </w:tc>
      </w:tr>
      <w:tr w:rsidR="002B1C74" w:rsidRPr="002F2FDF" w14:paraId="6B336F23"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8DD2420" w14:textId="2D30DCE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6BFD7E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Южный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8C9E77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Уральский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4C1D5C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Центральный</w:t>
            </w:r>
          </w:p>
        </w:tc>
      </w:tr>
      <w:tr w:rsidR="002B1C74" w:rsidRPr="002F2FDF" w14:paraId="0BDC56D4"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F3B79D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BEFFB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включение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4963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исполнение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3EFE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включение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68F8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исполнение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C695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включение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1CC6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исполнение</w:t>
            </w:r>
          </w:p>
        </w:tc>
      </w:tr>
      <w:tr w:rsidR="002B1C74" w:rsidRPr="002F2FDF" w14:paraId="3BDF3710" w14:textId="77777777" w:rsidTr="00206E0B">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1EFBC5C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r>
      <w:tr w:rsidR="002B1C74" w:rsidRPr="002F2FDF" w14:paraId="1A72483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503D7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4256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12892957</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C9CD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9593807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9C09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3286042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D5A1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2591711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4D40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1414713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7F86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934150</w:t>
            </w:r>
          </w:p>
        </w:tc>
      </w:tr>
      <w:tr w:rsidR="002B1C74" w:rsidRPr="002F2FDF" w14:paraId="55C12BD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48241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C76B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12227243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342D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5597839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71AD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3115578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CF4C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2353161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683B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1634146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85AD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833432</w:t>
            </w:r>
          </w:p>
        </w:tc>
      </w:tr>
      <w:tr w:rsidR="002B1C74" w:rsidRPr="002F2FDF" w14:paraId="5F1D446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BBB31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361D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13118155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D23C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7117976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2B61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3510970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FF1D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2610624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E618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1149231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08BB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856596</w:t>
            </w:r>
          </w:p>
        </w:tc>
      </w:tr>
      <w:tr w:rsidR="002B1C74" w:rsidRPr="002F2FDF" w14:paraId="115BCA0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D7410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64FD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12313590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1714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7976298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2858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3392042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89D3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2148174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47B1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1073017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A3AE2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768824</w:t>
            </w:r>
          </w:p>
        </w:tc>
      </w:tr>
      <w:tr w:rsidR="002B1C74" w:rsidRPr="002F2FDF" w14:paraId="696EE2B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61740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D57C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12154142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D7DA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8907530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B56F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3510970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380D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2384999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2ACC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792220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AD44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863358</w:t>
            </w:r>
          </w:p>
        </w:tc>
      </w:tr>
      <w:tr w:rsidR="002B1C74" w:rsidRPr="002F2FDF" w14:paraId="5C15291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FD4DE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3015E" w14:textId="52F60E77"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85A8C" w14:textId="420C25D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6A02C" w14:textId="7D5F6D14"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BA6BA" w14:textId="0481B8B0"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81964" w14:textId="5DE01B83"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2F9C7" w14:textId="17F8D9A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492716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D5995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782F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62706087</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8A6C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39193450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2369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16815602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44D9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12088669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074F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6063327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2FD0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4256360</w:t>
            </w:r>
          </w:p>
        </w:tc>
      </w:tr>
      <w:tr w:rsidR="002B1C74" w:rsidRPr="002F2FDF" w14:paraId="6C5797F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145CA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месяц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4026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12541200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E2EE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7840000 (63%)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9E77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3363000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1F67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2419000 (72%)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8B6C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1212000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7D23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851000 (70%)</w:t>
            </w:r>
          </w:p>
        </w:tc>
      </w:tr>
    </w:tbl>
    <w:p w14:paraId="776DA35D" w14:textId="0167E239"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2927"/>
        <w:gridCol w:w="845"/>
        <w:gridCol w:w="903"/>
        <w:gridCol w:w="2912"/>
        <w:gridCol w:w="845"/>
        <w:gridCol w:w="918"/>
      </w:tblGrid>
      <w:tr w:rsidR="002B1C74" w:rsidRPr="002F2FDF" w14:paraId="43553286" w14:textId="77777777" w:rsidTr="00206E0B">
        <w:trPr>
          <w:tblCellSpacing w:w="15"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44210F4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34</w:t>
            </w:r>
          </w:p>
        </w:tc>
      </w:tr>
      <w:tr w:rsidR="002B1C74" w:rsidRPr="002F2FDF" w14:paraId="2ADC029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801CF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Сорта и месячное исполнение [в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3105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Включено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765D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B1A2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Сорта и месячное исполнение [в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7790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Включено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BCB1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Исполнено</w:t>
            </w:r>
          </w:p>
        </w:tc>
      </w:tr>
      <w:tr w:rsidR="002B1C74" w:rsidRPr="002F2FDF" w14:paraId="102F330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5CE3C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C2B1A" w14:textId="039212F1"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E7968" w14:textId="4C8C4B81"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4796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1359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1789338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2846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987896</w:t>
            </w:r>
          </w:p>
        </w:tc>
      </w:tr>
      <w:tr w:rsidR="002B1C74" w:rsidRPr="002F2FDF" w14:paraId="66D0947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C5368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9F8F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0010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100595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359D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A0B6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1861681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381A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1149593</w:t>
            </w:r>
          </w:p>
        </w:tc>
      </w:tr>
      <w:tr w:rsidR="002B1C74" w:rsidRPr="002F2FDF" w14:paraId="5589F32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DD768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9AB5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F9B7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B590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2471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1870880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F15F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1220349</w:t>
            </w:r>
          </w:p>
        </w:tc>
      </w:tr>
      <w:tr w:rsidR="002B1C74" w:rsidRPr="002F2FDF" w14:paraId="1D678B7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41096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1F0F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6BB1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4C03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Рельсы легкие: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DF949" w14:textId="6141DC5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1250E" w14:textId="15B3B24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55C944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5F087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5613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116700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FC24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126026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CD710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58217" w14:textId="650C15A9"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C8BD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295760</w:t>
            </w:r>
          </w:p>
        </w:tc>
      </w:tr>
      <w:tr w:rsidR="002B1C74" w:rsidRPr="002F2FDF" w14:paraId="3127506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B199A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13D9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116240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3B49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295191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4320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F949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597067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4A6F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203477</w:t>
            </w:r>
          </w:p>
        </w:tc>
      </w:tr>
      <w:tr w:rsidR="002B1C74" w:rsidRPr="002F2FDF" w14:paraId="2AE45607"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C43D86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Заготовка и болванка: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1D0E916" w14:textId="11C78CA4"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68AE7C1" w14:textId="3E4349B4"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9AD2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3B8E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488800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9880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265762</w:t>
            </w:r>
          </w:p>
        </w:tc>
      </w:tr>
      <w:tr w:rsidR="002B1C74" w:rsidRPr="002F2FDF" w14:paraId="1E19BF9B"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4C50A1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620A2A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D0D483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978A5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3263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580700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CDF9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318755</w:t>
            </w:r>
          </w:p>
        </w:tc>
      </w:tr>
      <w:tr w:rsidR="002B1C74" w:rsidRPr="002F2FDF" w14:paraId="7EDFC90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D84F6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C430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5684161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3EDA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4750296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133F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2DD0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516040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610C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465105</w:t>
            </w:r>
          </w:p>
        </w:tc>
      </w:tr>
      <w:tr w:rsidR="002B1C74" w:rsidRPr="002F2FDF" w14:paraId="651CC6C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30579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CA59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5577063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9E0C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3684487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2333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Балки и швеллера: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308BD" w14:textId="68A4209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31301" w14:textId="6D1A4D90"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92794D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01DF9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A5E0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5476018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6B7D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3797717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6B55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905A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564782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AD98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316836</w:t>
            </w:r>
          </w:p>
        </w:tc>
      </w:tr>
      <w:tr w:rsidR="002B1C74" w:rsidRPr="002F2FDF" w14:paraId="3576295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85C78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58F6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5287674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BC6D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4075304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9527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DB05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343273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3D9C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174696</w:t>
            </w:r>
          </w:p>
        </w:tc>
      </w:tr>
      <w:tr w:rsidR="002B1C74" w:rsidRPr="002F2FDF" w14:paraId="4AF318A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1BF59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9BB0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5161113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8200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3454473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29B5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D514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469070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435D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214660</w:t>
            </w:r>
          </w:p>
        </w:tc>
      </w:tr>
      <w:tr w:rsidR="002B1C74" w:rsidRPr="002F2FDF" w14:paraId="4C4D918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06AA4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Сортовое: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FEC57" w14:textId="1BEF0354"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DAB16D" w14:textId="5851BCD4"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58B2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70D0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536946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B036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296493</w:t>
            </w:r>
          </w:p>
        </w:tc>
      </w:tr>
      <w:tr w:rsidR="002B1C74" w:rsidRPr="002F2FDF" w14:paraId="0921CA2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D4DA7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DA25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4660849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A4D7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3333266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A578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C773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493611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7248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432394</w:t>
            </w:r>
          </w:p>
        </w:tc>
      </w:tr>
      <w:tr w:rsidR="002B1C74" w:rsidRPr="002F2FDF" w14:paraId="7C62575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54218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784E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4572562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2366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2338926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E1F3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0E00A" w14:textId="0EB87AC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FD605" w14:textId="752C4A4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79C085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BE1A3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0C05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5112009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0B0D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3009824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BED2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6105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CC5C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79576</w:t>
            </w:r>
          </w:p>
        </w:tc>
      </w:tr>
      <w:tr w:rsidR="002B1C74" w:rsidRPr="002F2FDF" w14:paraId="5A004C5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F78E3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709A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4470624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A1E5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2570860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9CA5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3449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B336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126398</w:t>
            </w:r>
          </w:p>
        </w:tc>
      </w:tr>
      <w:tr w:rsidR="002B1C74" w:rsidRPr="002F2FDF" w14:paraId="6D97397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7D6F7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AC5A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4345364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CACA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3654774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A90DA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D072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128800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8FE7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84529</w:t>
            </w:r>
          </w:p>
        </w:tc>
      </w:tr>
      <w:tr w:rsidR="002B1C74" w:rsidRPr="002F2FDF" w14:paraId="56B347E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84EF2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Трубы железные: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6E842" w14:textId="7B44612B"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8FDF4" w14:textId="781BBD4A"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3222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2FC7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ABD26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83569</w:t>
            </w:r>
          </w:p>
        </w:tc>
      </w:tr>
      <w:tr w:rsidR="002B1C74" w:rsidRPr="002F2FDF" w14:paraId="1C83172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D95EC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4C7B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66726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D7FE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0C05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0D53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0EE4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113835</w:t>
            </w:r>
          </w:p>
        </w:tc>
      </w:tr>
      <w:tr w:rsidR="002B1C74" w:rsidRPr="002F2FDF" w14:paraId="7074A28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1D087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AA56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766A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A34D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Проволока катаная: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AE976" w14:textId="4FF5900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B3248" w14:textId="2205D339"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6DF82B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8C4C5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8A4A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183B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6F6A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0F8C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1318371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3AB4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1136934</w:t>
            </w:r>
          </w:p>
        </w:tc>
      </w:tr>
      <w:tr w:rsidR="002B1C74" w:rsidRPr="002F2FDF" w14:paraId="6996D1C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A76E7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4C08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250060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B3FB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139514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8BB6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B444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1241610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72A8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796134</w:t>
            </w:r>
          </w:p>
        </w:tc>
      </w:tr>
      <w:tr w:rsidR="002B1C74" w:rsidRPr="002F2FDF" w14:paraId="0BB0CE8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FBD37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C008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C15E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10BD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1327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1772300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9F1D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1152854</w:t>
            </w:r>
          </w:p>
        </w:tc>
      </w:tr>
      <w:tr w:rsidR="002B1C74" w:rsidRPr="002F2FDF" w14:paraId="5081F1A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F0EF8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Кровельное железо: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30FD9" w14:textId="0CC5C64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3DBEF" w14:textId="577AFB5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9537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2D3F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1250330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99FB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950899</w:t>
            </w:r>
          </w:p>
        </w:tc>
      </w:tr>
      <w:tr w:rsidR="002B1C74" w:rsidRPr="002F2FDF" w14:paraId="4E47E9A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212F6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5173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261313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7FEF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268189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DBBE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E42C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1457640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5303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1129064</w:t>
            </w:r>
          </w:p>
        </w:tc>
      </w:tr>
      <w:tr w:rsidR="002B1C74" w:rsidRPr="002F2FDF" w14:paraId="4CC50D5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DC6C2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D4FD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207805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C856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6B74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Рельсы тяжелые: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11599" w14:textId="2B7A5BFB"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67862" w14:textId="57BD80C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3884C34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9E606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460E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422170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6347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160394</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79C1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ADBB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1437989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AF2E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791870</w:t>
            </w:r>
          </w:p>
        </w:tc>
      </w:tr>
      <w:tr w:rsidR="002B1C74" w:rsidRPr="002F2FDF" w14:paraId="768D4BD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4492A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BB17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289325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3178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119682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ADAA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32A7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1482000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1AD9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261145</w:t>
            </w:r>
          </w:p>
        </w:tc>
      </w:tr>
      <w:tr w:rsidR="002B1C74" w:rsidRPr="002F2FDF" w14:paraId="0A5A0EB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A2D2E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23F2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415603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EE8A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196646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0552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007D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8DBE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629355</w:t>
            </w:r>
          </w:p>
        </w:tc>
      </w:tr>
      <w:tr w:rsidR="002B1C74" w:rsidRPr="002F2FDF" w14:paraId="0FEF0DE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F3EAA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Жесть: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F11BF" w14:textId="4739C1A0"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87B85" w14:textId="7E07A1E8"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75A7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61CB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942A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712904</w:t>
            </w:r>
          </w:p>
        </w:tc>
      </w:tr>
      <w:tr w:rsidR="002B1C74" w:rsidRPr="002F2FDF" w14:paraId="680EFA2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F3F65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EF2C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276400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571F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192391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22C9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522C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1367000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3ED2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737452</w:t>
            </w:r>
          </w:p>
        </w:tc>
      </w:tr>
      <w:tr w:rsidR="002B1C74" w:rsidRPr="002F2FDF" w14:paraId="4976717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A0122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4FD1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D570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0B04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Бандажи: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7CD52" w14:textId="47ED5DE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C6C5F" w14:textId="1C3C7C2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97807E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EB02B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3502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225855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72B8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98805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CE24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2C07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430116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FB32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297720</w:t>
            </w:r>
          </w:p>
        </w:tc>
      </w:tr>
      <w:tr w:rsidR="002B1C74" w:rsidRPr="002F2FDF" w14:paraId="02D05EA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D3052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88AE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6419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155233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F577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B0B4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C929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195540</w:t>
            </w:r>
          </w:p>
        </w:tc>
      </w:tr>
      <w:tr w:rsidR="002B1C74" w:rsidRPr="002F2FDF" w14:paraId="2551F32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CB340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8062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218500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1D31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114708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B5AD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9BDE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332025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73D2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201217</w:t>
            </w:r>
          </w:p>
        </w:tc>
      </w:tr>
      <w:tr w:rsidR="002B1C74" w:rsidRPr="002F2FDF" w14:paraId="68F443E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E943C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Листовое: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92C3D" w14:textId="05B34777"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2F3EE" w14:textId="4D2F865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4CE2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555B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6BD2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194444</w:t>
            </w:r>
          </w:p>
        </w:tc>
      </w:tr>
      <w:tr w:rsidR="002B1C74" w:rsidRPr="002F2FDF" w14:paraId="7EEDEF5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DD1B7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326A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2147194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DC12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1484772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71C9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1255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342541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1B1C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298714</w:t>
            </w:r>
          </w:p>
        </w:tc>
      </w:tr>
      <w:tr w:rsidR="002B1C74" w:rsidRPr="002F2FDF" w14:paraId="3FA1570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043FF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5B7E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2120242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DBB7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713273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E93B0" w14:textId="586C2285"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49949" w14:textId="7829F678"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950E5" w14:textId="6C5B778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bl>
    <w:p w14:paraId="2B95833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Распределение того же металла по ведомствам [в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2792"/>
        <w:gridCol w:w="868"/>
        <w:gridCol w:w="918"/>
      </w:tblGrid>
      <w:tr w:rsidR="002B1C74" w:rsidRPr="002F2FDF" w14:paraId="19CF3A6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D78144" w14:textId="7723C87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6CE9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05C3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Исполнено</w:t>
            </w:r>
          </w:p>
        </w:tc>
      </w:tr>
      <w:tr w:rsidR="002B1C74" w:rsidRPr="002F2FDF" w14:paraId="7559A16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0105C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81E4D" w14:textId="18C81565"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F5CD9" w14:textId="6DDB1AC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4C4D6D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91216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Морское министерство: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BC03D" w14:textId="5B539CEA"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AD11B" w14:textId="6C05EA49"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0B42EE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72F4B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3A91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1302064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A943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845407</w:t>
            </w:r>
          </w:p>
        </w:tc>
      </w:tr>
      <w:tr w:rsidR="002B1C74" w:rsidRPr="002F2FDF" w14:paraId="299A736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77837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A831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1203149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482C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478994</w:t>
            </w:r>
          </w:p>
        </w:tc>
      </w:tr>
      <w:tr w:rsidR="002B1C74" w:rsidRPr="002F2FDF" w14:paraId="5622B11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48E43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90B7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1651530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9D87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776626</w:t>
            </w:r>
          </w:p>
        </w:tc>
      </w:tr>
      <w:tr w:rsidR="002B1C74" w:rsidRPr="002F2FDF" w14:paraId="7FC8684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F0811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44E7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1818962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38E5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1049073</w:t>
            </w:r>
          </w:p>
        </w:tc>
      </w:tr>
      <w:tr w:rsidR="002B1C74" w:rsidRPr="002F2FDF" w14:paraId="3382152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5599B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6587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1452950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DCC4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835140</w:t>
            </w:r>
          </w:p>
        </w:tc>
      </w:tr>
      <w:tr w:rsidR="002B1C74" w:rsidRPr="002F2FDF" w14:paraId="2B80D5C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72924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ГУКВ: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1583F" w14:textId="420475DB"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34F2A" w14:textId="2F269D8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59CB5B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95ECC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8DAE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245C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14615</w:t>
            </w:r>
          </w:p>
        </w:tc>
      </w:tr>
      <w:tr w:rsidR="002B1C74" w:rsidRPr="002F2FDF" w14:paraId="3B79C7C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F525E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C97C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7FE0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16224</w:t>
            </w:r>
          </w:p>
        </w:tc>
      </w:tr>
      <w:tr w:rsidR="002B1C74" w:rsidRPr="002F2FDF" w14:paraId="0F6DCC2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F2310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0A10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F6E0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4963</w:t>
            </w:r>
          </w:p>
        </w:tc>
      </w:tr>
      <w:tr w:rsidR="002B1C74" w:rsidRPr="002F2FDF" w14:paraId="4CA3DC7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3DCF6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B91F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AA25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4935</w:t>
            </w:r>
          </w:p>
        </w:tc>
      </w:tr>
      <w:tr w:rsidR="002B1C74" w:rsidRPr="002F2FDF" w14:paraId="73A0CD7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4EC0A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1188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637A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3962</w:t>
            </w:r>
          </w:p>
        </w:tc>
      </w:tr>
      <w:tr w:rsidR="002B1C74" w:rsidRPr="002F2FDF" w14:paraId="144187B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F72DF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ГУВУЗ:</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C2224" w14:textId="6CE2E121"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6BA30" w14:textId="763DCE2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F9AFC6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FFA3B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8541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F8B9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3597</w:t>
            </w:r>
          </w:p>
        </w:tc>
      </w:tr>
      <w:tr w:rsidR="002B1C74" w:rsidRPr="002F2FDF" w14:paraId="662F104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D16EA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FE7B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8736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5840</w:t>
            </w:r>
          </w:p>
        </w:tc>
      </w:tr>
      <w:tr w:rsidR="002B1C74" w:rsidRPr="002F2FDF" w14:paraId="4B224E1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913F6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B102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8E83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4D57306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1AB1B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02F1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A6F9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29002</w:t>
            </w:r>
          </w:p>
        </w:tc>
      </w:tr>
      <w:tr w:rsidR="002B1C74" w:rsidRPr="002F2FDF" w14:paraId="7F3FFF7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E966C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93F2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8905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7B67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8741</w:t>
            </w:r>
          </w:p>
        </w:tc>
      </w:tr>
      <w:tr w:rsidR="002B1C74" w:rsidRPr="002F2FDF" w14:paraId="6549919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39862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ГИДР Северного фронта: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D3A80" w14:textId="489CBE05"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A0549" w14:textId="73F5413D"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4AC0CAD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643AE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4AE5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06A0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5772</w:t>
            </w:r>
          </w:p>
        </w:tc>
      </w:tr>
      <w:tr w:rsidR="002B1C74" w:rsidRPr="002F2FDF" w14:paraId="42AB640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325F5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0772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7F83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782</w:t>
            </w:r>
          </w:p>
        </w:tc>
      </w:tr>
      <w:tr w:rsidR="002B1C74" w:rsidRPr="002F2FDF" w14:paraId="17E70BD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28290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B6B0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6CCA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11900</w:t>
            </w:r>
          </w:p>
        </w:tc>
      </w:tr>
      <w:tr w:rsidR="002B1C74" w:rsidRPr="002F2FDF" w14:paraId="6DF60DF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BD649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98F0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1285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5083</w:t>
            </w:r>
          </w:p>
        </w:tc>
      </w:tr>
      <w:tr w:rsidR="002B1C74" w:rsidRPr="002F2FDF" w14:paraId="12330E0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828D9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E404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5CC8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11540</w:t>
            </w:r>
          </w:p>
        </w:tc>
      </w:tr>
      <w:tr w:rsidR="002B1C74" w:rsidRPr="002F2FDF" w14:paraId="36D946C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AD55D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Фронтометалл: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20CC4" w14:textId="57303CC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08CE0" w14:textId="21ECBD0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5F9878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7C9B6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396B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9B67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147070</w:t>
            </w:r>
          </w:p>
        </w:tc>
      </w:tr>
      <w:tr w:rsidR="002B1C74" w:rsidRPr="002F2FDF" w14:paraId="26FA41F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D1753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AFF7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353101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790C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122559</w:t>
            </w:r>
          </w:p>
        </w:tc>
      </w:tr>
      <w:tr w:rsidR="002B1C74" w:rsidRPr="002F2FDF" w14:paraId="6DACE85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C17D7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81FA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848430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3B53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143061</w:t>
            </w:r>
          </w:p>
        </w:tc>
      </w:tr>
      <w:tr w:rsidR="002B1C74" w:rsidRPr="002F2FDF" w14:paraId="3292752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5AED4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DD7A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337920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7A64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153363</w:t>
            </w:r>
          </w:p>
        </w:tc>
      </w:tr>
      <w:tr w:rsidR="002B1C74" w:rsidRPr="002F2FDF" w14:paraId="119C345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A5ACD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4931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313040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CA5A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213475</w:t>
            </w:r>
          </w:p>
        </w:tc>
      </w:tr>
      <w:tr w:rsidR="002B1C74" w:rsidRPr="002F2FDF" w14:paraId="1903CDC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90AF5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ГАУ: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2A73B" w14:textId="11BD89C3"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65ABD" w14:textId="43A7D53D"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4E6D9E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FAA30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C81C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5968883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AB6E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5247273</w:t>
            </w:r>
          </w:p>
        </w:tc>
      </w:tr>
      <w:tr w:rsidR="002B1C74" w:rsidRPr="002F2FDF" w14:paraId="0EC9860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42A95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8604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6155345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34C0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4037568</w:t>
            </w:r>
          </w:p>
        </w:tc>
      </w:tr>
      <w:tr w:rsidR="002B1C74" w:rsidRPr="002F2FDF" w14:paraId="42BF3C4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26DB2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284F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5896709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3E61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4436588</w:t>
            </w:r>
          </w:p>
        </w:tc>
      </w:tr>
      <w:tr w:rsidR="002B1C74" w:rsidRPr="002F2FDF" w14:paraId="5B9BCD8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78388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E3B0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5649735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AA7F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4091971</w:t>
            </w:r>
          </w:p>
        </w:tc>
      </w:tr>
      <w:tr w:rsidR="002B1C74" w:rsidRPr="002F2FDF" w14:paraId="6C914A3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28C9D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3815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5644342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4B5D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3566441</w:t>
            </w:r>
          </w:p>
        </w:tc>
      </w:tr>
      <w:tr w:rsidR="002B1C74" w:rsidRPr="002F2FDF" w14:paraId="23780B7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D991B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ГИУ: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758F7" w14:textId="271E9C2D"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CECDF" w14:textId="0978EAD8"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31C2D1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5DAA8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2E68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882238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20CA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638210</w:t>
            </w:r>
          </w:p>
        </w:tc>
      </w:tr>
      <w:tr w:rsidR="002B1C74" w:rsidRPr="002F2FDF" w14:paraId="35FF2D1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F9F38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0D37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818494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D875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428211</w:t>
            </w:r>
          </w:p>
        </w:tc>
      </w:tr>
      <w:tr w:rsidR="002B1C74" w:rsidRPr="002F2FDF" w14:paraId="34EDD41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72971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A1F5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815790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2623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409656</w:t>
            </w:r>
          </w:p>
        </w:tc>
      </w:tr>
      <w:tr w:rsidR="002B1C74" w:rsidRPr="002F2FDF" w14:paraId="16E59C4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EEF5A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2424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727515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5BCB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390038</w:t>
            </w:r>
          </w:p>
        </w:tc>
      </w:tr>
      <w:tr w:rsidR="002B1C74" w:rsidRPr="002F2FDF" w14:paraId="446FB12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A9744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DFCB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806103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4D22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1054371</w:t>
            </w:r>
          </w:p>
        </w:tc>
      </w:tr>
      <w:tr w:rsidR="002B1C74" w:rsidRPr="002F2FDF" w14:paraId="72C7148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ED31B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ГВТУ: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81012" w14:textId="7588BF6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D41ED" w14:textId="0FD7CAF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49D74D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6CAEA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439E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1771422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EC7A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1295655</w:t>
            </w:r>
          </w:p>
        </w:tc>
      </w:tr>
      <w:tr w:rsidR="002B1C74" w:rsidRPr="002F2FDF" w14:paraId="5A76F41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97E73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D3E8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2045062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3D6D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1058309</w:t>
            </w:r>
          </w:p>
        </w:tc>
      </w:tr>
      <w:tr w:rsidR="002B1C74" w:rsidRPr="002F2FDF" w14:paraId="7C1D9CF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7EF05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73F9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2678937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EE1E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1396033</w:t>
            </w:r>
          </w:p>
        </w:tc>
      </w:tr>
      <w:tr w:rsidR="002B1C74" w:rsidRPr="002F2FDF" w14:paraId="4FDF133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1C344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D912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2181952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77D5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1265303</w:t>
            </w:r>
          </w:p>
        </w:tc>
      </w:tr>
      <w:tr w:rsidR="002B1C74" w:rsidRPr="002F2FDF" w14:paraId="5238035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F21FA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5BD6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2255194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03A4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1484924</w:t>
            </w:r>
          </w:p>
        </w:tc>
      </w:tr>
      <w:tr w:rsidR="002B1C74" w:rsidRPr="002F2FDF" w14:paraId="7F64DD3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E5FD9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Управление водных путей: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F99C0" w14:textId="362ACDF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A1E2F" w14:textId="1FEF795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34621DD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86A53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C6DD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51263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FBD6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29196</w:t>
            </w:r>
          </w:p>
        </w:tc>
      </w:tr>
      <w:tr w:rsidR="002B1C74" w:rsidRPr="002F2FDF" w14:paraId="77AD455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20946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9391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93900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EDCE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22187</w:t>
            </w:r>
          </w:p>
        </w:tc>
      </w:tr>
      <w:tr w:rsidR="002B1C74" w:rsidRPr="002F2FDF" w14:paraId="1E303E4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49CFA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02A9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E8C1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1800</w:t>
            </w:r>
          </w:p>
        </w:tc>
      </w:tr>
      <w:tr w:rsidR="002B1C74" w:rsidRPr="002F2FDF" w14:paraId="075FBFA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D1AB9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0A77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5FB8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5C9B55A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48B12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006B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DAE0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69AE528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31F09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УВВФ:</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698AE" w14:textId="5194EF89"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C3947" w14:textId="3E3DF425"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AD1362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A1CB6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61D7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162212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63F2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72898</w:t>
            </w:r>
          </w:p>
        </w:tc>
      </w:tr>
      <w:tr w:rsidR="002B1C74" w:rsidRPr="002F2FDF" w14:paraId="2239B22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17232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B5BD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178293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013E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58628</w:t>
            </w:r>
          </w:p>
        </w:tc>
      </w:tr>
      <w:tr w:rsidR="002B1C74" w:rsidRPr="002F2FDF" w14:paraId="75290ED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75806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AD1C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154195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E45D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64750</w:t>
            </w:r>
          </w:p>
        </w:tc>
      </w:tr>
      <w:tr w:rsidR="002B1C74" w:rsidRPr="002F2FDF" w14:paraId="48147B6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2AEC2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267D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193573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75F0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58924</w:t>
            </w:r>
          </w:p>
        </w:tc>
      </w:tr>
      <w:tr w:rsidR="002B1C74" w:rsidRPr="002F2FDF" w14:paraId="6905D9C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CF410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DF01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161480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FD68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95381</w:t>
            </w:r>
          </w:p>
        </w:tc>
      </w:tr>
      <w:tr w:rsidR="002B1C74" w:rsidRPr="002F2FDF" w14:paraId="536CC9A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806DE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Министерство земледелия: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41F43" w14:textId="547B7618"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034F8" w14:textId="667FAAD5"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51AF0B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8141B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3FEB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189988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EE95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135084</w:t>
            </w:r>
          </w:p>
        </w:tc>
      </w:tr>
      <w:tr w:rsidR="002B1C74" w:rsidRPr="002F2FDF" w14:paraId="4643773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929B1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3A05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246621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ACFD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125015</w:t>
            </w:r>
          </w:p>
        </w:tc>
      </w:tr>
      <w:tr w:rsidR="002B1C74" w:rsidRPr="002F2FDF" w14:paraId="23C7CB0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406CB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7811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60035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1578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22830</w:t>
            </w:r>
          </w:p>
        </w:tc>
      </w:tr>
      <w:tr w:rsidR="002B1C74" w:rsidRPr="002F2FDF" w14:paraId="2ACF5FE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C3D3F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73BB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220403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BA46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99550</w:t>
            </w:r>
          </w:p>
        </w:tc>
      </w:tr>
      <w:tr w:rsidR="002B1C74" w:rsidRPr="002F2FDF" w14:paraId="6F3A92F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A01D1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9610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125294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B7F9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136701</w:t>
            </w:r>
          </w:p>
        </w:tc>
      </w:tr>
      <w:tr w:rsidR="002B1C74" w:rsidRPr="002F2FDF" w14:paraId="7E4FC74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2579D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Сахарная 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FA157" w14:textId="36291DE5"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D72F4" w14:textId="009F38E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0D706F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9D5B1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D63D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C160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4160</w:t>
            </w:r>
          </w:p>
        </w:tc>
      </w:tr>
      <w:tr w:rsidR="002B1C74" w:rsidRPr="002F2FDF" w14:paraId="354D7DE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329FB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74BD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43F4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6400</w:t>
            </w:r>
          </w:p>
        </w:tc>
      </w:tr>
      <w:tr w:rsidR="002B1C74" w:rsidRPr="002F2FDF" w14:paraId="05B326B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E32C2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2BBD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C62B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686B92A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E15BC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BA41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2A6F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7916A5C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E579A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951A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EB79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68D8680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E28F6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Румынский фронт: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4EAB1" w14:textId="009CE84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C54A6" w14:textId="6FB7AC0B"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8CED59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1BBAF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0A18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24F7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314F4B8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E470B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4460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EC9C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3BF3D11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11666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1D6D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B6E5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555EA4F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A9845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7231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B3F7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60E2CE6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EAED9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AC37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9190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760</w:t>
            </w:r>
          </w:p>
        </w:tc>
      </w:tr>
      <w:tr w:rsidR="002B1C74" w:rsidRPr="002F2FDF" w14:paraId="5B7AE6A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14441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Горные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512ED" w14:textId="3FBFF173"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3EF94" w14:textId="7AEBBA6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19C96A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F0092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C37F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C094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69942</w:t>
            </w:r>
          </w:p>
        </w:tc>
      </w:tr>
      <w:tr w:rsidR="002B1C74" w:rsidRPr="002F2FDF" w14:paraId="36108D6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4C3E7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42A3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99350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5B1B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88461</w:t>
            </w:r>
          </w:p>
        </w:tc>
      </w:tr>
      <w:tr w:rsidR="002B1C74" w:rsidRPr="002F2FDF" w14:paraId="37C9C85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0E92C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1794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6F10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1480</w:t>
            </w:r>
          </w:p>
        </w:tc>
      </w:tr>
      <w:tr w:rsidR="002B1C74" w:rsidRPr="002F2FDF" w14:paraId="62F1F42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17F59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68ED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2527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77239</w:t>
            </w:r>
          </w:p>
        </w:tc>
      </w:tr>
      <w:tr w:rsidR="002B1C74" w:rsidRPr="002F2FDF" w14:paraId="63ADD3A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301EA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41BF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14686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1E15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9262</w:t>
            </w:r>
          </w:p>
        </w:tc>
      </w:tr>
      <w:tr w:rsidR="002B1C74" w:rsidRPr="002F2FDF" w14:paraId="7F308EB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9E08B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Управление военно-санитарной части: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FF8F1" w14:textId="2AA30473"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E0772" w14:textId="393F854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8845A6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DF9DF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C732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9CE1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4427</w:t>
            </w:r>
          </w:p>
        </w:tc>
      </w:tr>
      <w:tr w:rsidR="002B1C74" w:rsidRPr="002F2FDF" w14:paraId="286D4E4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8C88D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A8A2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1EEA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375</w:t>
            </w:r>
          </w:p>
        </w:tc>
      </w:tr>
      <w:tr w:rsidR="002B1C74" w:rsidRPr="002F2FDF" w14:paraId="0789B26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60592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7F2F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105D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5000</w:t>
            </w:r>
          </w:p>
        </w:tc>
      </w:tr>
      <w:tr w:rsidR="002B1C74" w:rsidRPr="002F2FDF" w14:paraId="0254CD2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8D836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65DB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6B6E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4445</w:t>
            </w:r>
          </w:p>
        </w:tc>
      </w:tr>
      <w:tr w:rsidR="002B1C74" w:rsidRPr="002F2FDF" w14:paraId="0FAD1DF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4F6BA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26DC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ADA1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499EDA0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62CBF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Коллегия по эвакуации Петрограда: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8AB83" w14:textId="2DF6D794"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88B24" w14:textId="61FC395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070C41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1EA1B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E062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71745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DD92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35489</w:t>
            </w:r>
          </w:p>
        </w:tc>
      </w:tr>
      <w:tr w:rsidR="002B1C74" w:rsidRPr="002F2FDF" w14:paraId="7DD1FB0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1EDFF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4245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2C3E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20129</w:t>
            </w:r>
          </w:p>
        </w:tc>
      </w:tr>
      <w:tr w:rsidR="002B1C74" w:rsidRPr="002F2FDF" w14:paraId="690CDC1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996AC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1552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C16A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52100</w:t>
            </w:r>
          </w:p>
        </w:tc>
      </w:tr>
      <w:tr w:rsidR="002B1C74" w:rsidRPr="002F2FDF" w14:paraId="6D77AD2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63D0F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39A0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998C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34435</w:t>
            </w:r>
          </w:p>
        </w:tc>
      </w:tr>
      <w:tr w:rsidR="002B1C74" w:rsidRPr="002F2FDF" w14:paraId="7F65D15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3B030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08E4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39688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FB02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24121</w:t>
            </w:r>
          </w:p>
        </w:tc>
      </w:tr>
      <w:tr w:rsidR="002B1C74" w:rsidRPr="002F2FDF" w14:paraId="315CF3B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1DA6A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МВД: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FA57F" w14:textId="5E3F8000"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CB587" w14:textId="383B60D9"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3B7464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FDC15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FF47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321D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1109</w:t>
            </w:r>
          </w:p>
        </w:tc>
      </w:tr>
      <w:tr w:rsidR="002B1C74" w:rsidRPr="002F2FDF" w14:paraId="184598D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0FC93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812E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94D4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3576</w:t>
            </w:r>
          </w:p>
        </w:tc>
      </w:tr>
      <w:tr w:rsidR="002B1C74" w:rsidRPr="002F2FDF" w14:paraId="7D1C22B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05755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2EFB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2C49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2D31DA8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6D25E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Управление Красного Креста: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47505" w14:textId="5164F18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A3A0C" w14:textId="452CD68B"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4DF5D48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98D30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525B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4935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65B870D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E77AB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C7EE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C258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072983A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CD454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709C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F33F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5650</w:t>
            </w:r>
          </w:p>
        </w:tc>
      </w:tr>
      <w:tr w:rsidR="002B1C74" w:rsidRPr="002F2FDF" w14:paraId="6A934A0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ACF10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7F62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A469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4680</w:t>
            </w:r>
          </w:p>
        </w:tc>
      </w:tr>
      <w:tr w:rsidR="002B1C74" w:rsidRPr="002F2FDF" w14:paraId="7F48BA5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8BBE5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1FA9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24453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7CE7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21392</w:t>
            </w:r>
          </w:p>
        </w:tc>
      </w:tr>
      <w:tr w:rsidR="002B1C74" w:rsidRPr="002F2FDF" w14:paraId="6A4FC1A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21994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Отдел торговых портов: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16A58" w14:textId="0CAC1647"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984FE" w14:textId="5208130D"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41469F2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C4815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32C3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32D1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6561</w:t>
            </w:r>
          </w:p>
        </w:tc>
      </w:tr>
      <w:tr w:rsidR="002B1C74" w:rsidRPr="002F2FDF" w14:paraId="3EDDD17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54916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B0E6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3AA0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6304</w:t>
            </w:r>
          </w:p>
        </w:tc>
      </w:tr>
      <w:tr w:rsidR="002B1C74" w:rsidRPr="002F2FDF" w14:paraId="69FDD16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BA7C2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ADBC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E772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19393</w:t>
            </w:r>
          </w:p>
        </w:tc>
      </w:tr>
      <w:tr w:rsidR="002B1C74" w:rsidRPr="002F2FDF" w14:paraId="205553B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58671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6C58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58BE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20147</w:t>
            </w:r>
          </w:p>
        </w:tc>
      </w:tr>
      <w:tr w:rsidR="002B1C74" w:rsidRPr="002F2FDF" w14:paraId="3FEDDA1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7A81A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CD78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64685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4690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22835</w:t>
            </w:r>
          </w:p>
        </w:tc>
      </w:tr>
      <w:tr w:rsidR="002B1C74" w:rsidRPr="002F2FDF" w14:paraId="5C1676E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D4155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МПС: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4AAC3" w14:textId="2B903F5A"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7DF19" w14:textId="0BDFC0A0"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30A5F63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DC7E4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5DF2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4497594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FE30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2869223</w:t>
            </w:r>
          </w:p>
        </w:tc>
      </w:tr>
      <w:tr w:rsidR="002B1C74" w:rsidRPr="002F2FDF" w14:paraId="7D4D2EF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E4427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620C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4022695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4347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1436172</w:t>
            </w:r>
          </w:p>
        </w:tc>
      </w:tr>
      <w:tr w:rsidR="002B1C74" w:rsidRPr="002F2FDF" w14:paraId="033E7D3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0F97F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6B23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3952869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05BC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2090212</w:t>
            </w:r>
          </w:p>
        </w:tc>
      </w:tr>
      <w:tr w:rsidR="002B1C74" w:rsidRPr="002F2FDF" w14:paraId="53FA297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55CA1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5E56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3910325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DF76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2153008</w:t>
            </w:r>
          </w:p>
        </w:tc>
      </w:tr>
      <w:tr w:rsidR="002B1C74" w:rsidRPr="002F2FDF" w14:paraId="0913497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150F9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42CD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3336470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9CA5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2481694</w:t>
            </w:r>
          </w:p>
        </w:tc>
      </w:tr>
      <w:tr w:rsidR="002B1C74" w:rsidRPr="002F2FDF" w14:paraId="3624A0D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F60B0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Управление почт и телеграфа: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12F15" w14:textId="2AA9D49B"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80CED" w14:textId="5AB16D23"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4A5D70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3B092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C28F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B695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2241</w:t>
            </w:r>
          </w:p>
        </w:tc>
      </w:tr>
      <w:tr w:rsidR="002B1C74" w:rsidRPr="002F2FDF" w14:paraId="4AE57E1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36CA8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4BCF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134D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3902</w:t>
            </w:r>
          </w:p>
        </w:tc>
      </w:tr>
      <w:tr w:rsidR="002B1C74" w:rsidRPr="002F2FDF" w14:paraId="570E14B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230B9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ЦВПК: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0E538" w14:textId="276B167B"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659C1" w14:textId="05D3DC1D"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20AA84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3E3F0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5858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634122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0618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436513</w:t>
            </w:r>
          </w:p>
        </w:tc>
      </w:tr>
      <w:tr w:rsidR="002B1C74" w:rsidRPr="002F2FDF" w14:paraId="07A3808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E667A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39D5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293276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77EA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188778</w:t>
            </w:r>
          </w:p>
        </w:tc>
      </w:tr>
      <w:tr w:rsidR="002B1C74" w:rsidRPr="002F2FDF" w14:paraId="66ACB09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87629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CF0C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380050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DBA3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264105</w:t>
            </w:r>
          </w:p>
        </w:tc>
      </w:tr>
      <w:tr w:rsidR="002B1C74" w:rsidRPr="002F2FDF" w14:paraId="090153D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001D1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92C6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174856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99A4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154150</w:t>
            </w:r>
          </w:p>
        </w:tc>
      </w:tr>
      <w:tr w:rsidR="002B1C74" w:rsidRPr="002F2FDF" w14:paraId="7CE87E1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FB21A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79BE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391799</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4AD4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310614</w:t>
            </w:r>
          </w:p>
        </w:tc>
      </w:tr>
      <w:tr w:rsidR="002B1C74" w:rsidRPr="002F2FDF" w14:paraId="7D82DC2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3B325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Зернохранилища Госбанка: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82886" w14:textId="1B48800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77792" w14:textId="1505F8AD"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A926CB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4596C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5D71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A3B5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1786</w:t>
            </w:r>
          </w:p>
        </w:tc>
      </w:tr>
      <w:tr w:rsidR="002B1C74" w:rsidRPr="002F2FDF" w14:paraId="6DB5FA5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617D9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C3D9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45A3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566</w:t>
            </w:r>
          </w:p>
        </w:tc>
      </w:tr>
      <w:tr w:rsidR="002B1C74" w:rsidRPr="002F2FDF" w14:paraId="4CE26BF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52FB2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A160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CFFE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5800291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5549F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32AA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8ED3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2230</w:t>
            </w:r>
          </w:p>
        </w:tc>
      </w:tr>
      <w:tr w:rsidR="002B1C74" w:rsidRPr="002F2FDF" w14:paraId="03A0554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34813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CECA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E75F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2160</w:t>
            </w:r>
          </w:p>
        </w:tc>
      </w:tr>
      <w:tr w:rsidR="002B1C74" w:rsidRPr="002F2FDF" w14:paraId="31A5F02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F468C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Нефтяная 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34D11" w14:textId="271EC903"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04B4F" w14:textId="51006795"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47741F5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FA51C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FD15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418720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F3AE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294481</w:t>
            </w:r>
          </w:p>
        </w:tc>
      </w:tr>
      <w:tr w:rsidR="002B1C74" w:rsidRPr="002F2FDF" w14:paraId="6CB058C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E2271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26DD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353180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C3B0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88524</w:t>
            </w:r>
          </w:p>
        </w:tc>
      </w:tr>
      <w:tr w:rsidR="002B1C74" w:rsidRPr="002F2FDF" w14:paraId="6A07E2B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4B763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3937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D3AD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166880</w:t>
            </w:r>
          </w:p>
        </w:tc>
      </w:tr>
      <w:tr w:rsidR="002B1C74" w:rsidRPr="002F2FDF" w14:paraId="227CEEB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91435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08D8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273550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1A39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202261</w:t>
            </w:r>
          </w:p>
        </w:tc>
      </w:tr>
      <w:tr w:rsidR="002B1C74" w:rsidRPr="002F2FDF" w14:paraId="3BE3F90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DF5BD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3342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231475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3947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235767</w:t>
            </w:r>
          </w:p>
        </w:tc>
      </w:tr>
      <w:tr w:rsidR="002B1C74" w:rsidRPr="002F2FDF" w14:paraId="723E065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D5E40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Электрические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AA462" w14:textId="6C4887A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11F63" w14:textId="0C0BB94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29A681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86D8C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63C2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E8E6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3947518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978C8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5DE0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43A2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6502B42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0F180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8E38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CE9C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13880</w:t>
            </w:r>
          </w:p>
        </w:tc>
      </w:tr>
      <w:tr w:rsidR="002B1C74" w:rsidRPr="002F2FDF" w14:paraId="336A8BF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C5B25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8086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32078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72BD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29144</w:t>
            </w:r>
          </w:p>
        </w:tc>
      </w:tr>
      <w:tr w:rsidR="002B1C74" w:rsidRPr="002F2FDF" w14:paraId="158A35D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882B9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C334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32926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8810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15179</w:t>
            </w:r>
          </w:p>
        </w:tc>
      </w:tr>
      <w:tr w:rsidR="002B1C74" w:rsidRPr="002F2FDF" w14:paraId="6FA50FA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406C9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Румынское правительство: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1F35C" w14:textId="29BBDCE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1CD7C" w14:textId="195E12F7"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99FB76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571C9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198D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23551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22A5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6223</w:t>
            </w:r>
          </w:p>
        </w:tc>
      </w:tr>
      <w:tr w:rsidR="002B1C74" w:rsidRPr="002F2FDF" w14:paraId="0A79919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4BDC2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9E06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251D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3000</w:t>
            </w:r>
          </w:p>
        </w:tc>
      </w:tr>
      <w:tr w:rsidR="002B1C74" w:rsidRPr="002F2FDF" w14:paraId="7842FF2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D2754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A7D4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4440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0963B7E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43A55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A74D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1101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476AA24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92AF1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422E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CDDE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07212E0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E0F5E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Земгор: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5A263" w14:textId="290A04B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38E26" w14:textId="06F95223"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BB4F94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EED34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C086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275281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A7D4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178851</w:t>
            </w:r>
          </w:p>
        </w:tc>
      </w:tr>
      <w:tr w:rsidR="002B1C74" w:rsidRPr="002F2FDF" w14:paraId="3F8141D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CC665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E3AD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225170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44F4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128055</w:t>
            </w:r>
          </w:p>
        </w:tc>
      </w:tr>
      <w:tr w:rsidR="002B1C74" w:rsidRPr="002F2FDF" w14:paraId="6C16040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C784A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A148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133475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2488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61295</w:t>
            </w:r>
          </w:p>
        </w:tc>
      </w:tr>
      <w:tr w:rsidR="002B1C74" w:rsidRPr="002F2FDF" w14:paraId="786613F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A5E40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9A5B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203647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6B6F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131707</w:t>
            </w:r>
          </w:p>
        </w:tc>
      </w:tr>
      <w:tr w:rsidR="002B1C74" w:rsidRPr="002F2FDF" w14:paraId="4FE3910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19F78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AB4D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132950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957A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89451</w:t>
            </w:r>
          </w:p>
        </w:tc>
      </w:tr>
      <w:tr w:rsidR="002B1C74" w:rsidRPr="002F2FDF" w14:paraId="24E6103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40B08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Осотоп: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23C10" w14:textId="53FBA1E9"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6EAAE" w14:textId="6729DD64"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248044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09FE4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BD46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FAC7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1862CD2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D8263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E64A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7D9F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4574526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64150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75D3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F351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555649D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890E5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89EF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71E6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700</w:t>
            </w:r>
          </w:p>
        </w:tc>
      </w:tr>
      <w:tr w:rsidR="002B1C74" w:rsidRPr="002F2FDF" w14:paraId="62FF19A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5C3AB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638E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0EFD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650</w:t>
            </w:r>
          </w:p>
        </w:tc>
      </w:tr>
      <w:tr w:rsidR="002B1C74" w:rsidRPr="002F2FDF" w14:paraId="0FD5BE7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87D4D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Заводские потребности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D0649" w14:textId="617A009A"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6F1C4" w14:textId="68B1385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41F4726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F912B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0638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302192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80D5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309555</w:t>
            </w:r>
          </w:p>
        </w:tc>
      </w:tr>
      <w:tr w:rsidR="002B1C74" w:rsidRPr="002F2FDF" w14:paraId="54C1EFC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D5FBA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37FB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7981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123152</w:t>
            </w:r>
          </w:p>
        </w:tc>
      </w:tr>
      <w:tr w:rsidR="002B1C74" w:rsidRPr="002F2FDF" w14:paraId="138BB29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17EF7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BA4F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3882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37144</w:t>
            </w:r>
          </w:p>
        </w:tc>
      </w:tr>
      <w:tr w:rsidR="002B1C74" w:rsidRPr="002F2FDF" w14:paraId="34CF137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4E091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F9BD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170629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A2A8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447734</w:t>
            </w:r>
          </w:p>
        </w:tc>
      </w:tr>
      <w:tr w:rsidR="002B1C74" w:rsidRPr="002F2FDF" w14:paraId="6A63AEF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2B084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8BD1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257991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C0C6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529431</w:t>
            </w:r>
          </w:p>
        </w:tc>
      </w:tr>
      <w:tr w:rsidR="002B1C74" w:rsidRPr="002F2FDF" w14:paraId="590F79B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3C2FB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Районный уполномоченный: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06915" w14:textId="3CDCE3B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C3B64" w14:textId="1253794B"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3EDD18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BC59A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78FF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262108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BCB9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168629</w:t>
            </w:r>
          </w:p>
        </w:tc>
      </w:tr>
      <w:tr w:rsidR="002B1C74" w:rsidRPr="002F2FDF" w14:paraId="50F6A44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8CA71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34F9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291074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1F23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160123</w:t>
            </w:r>
          </w:p>
        </w:tc>
      </w:tr>
      <w:tr w:rsidR="002B1C74" w:rsidRPr="002F2FDF" w14:paraId="2947312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088E9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2C7B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281710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48C4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110354</w:t>
            </w:r>
          </w:p>
        </w:tc>
      </w:tr>
      <w:tr w:rsidR="002B1C74" w:rsidRPr="002F2FDF" w14:paraId="4D07333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34799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9249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298907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E92E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240280</w:t>
            </w:r>
          </w:p>
        </w:tc>
      </w:tr>
      <w:tr w:rsidR="002B1C74" w:rsidRPr="002F2FDF" w14:paraId="39E175D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438EE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E254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135390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79348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119084</w:t>
            </w:r>
          </w:p>
        </w:tc>
      </w:tr>
      <w:tr w:rsidR="002B1C74" w:rsidRPr="002F2FDF" w14:paraId="55AA00F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73702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Южная горная 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1A1D0" w14:textId="4E4AE57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9A41E" w14:textId="5157D397"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A14A58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F3FD6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DA4C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285666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61A1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209957</w:t>
            </w:r>
          </w:p>
        </w:tc>
      </w:tr>
      <w:tr w:rsidR="002B1C74" w:rsidRPr="002F2FDF" w14:paraId="58BDBF9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1DE69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4B09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211780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8248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91097</w:t>
            </w:r>
          </w:p>
        </w:tc>
      </w:tr>
      <w:tr w:rsidR="002B1C74" w:rsidRPr="002F2FDF" w14:paraId="7288B2C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6C8D7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C57F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259043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66B2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129053</w:t>
            </w:r>
          </w:p>
        </w:tc>
      </w:tr>
      <w:tr w:rsidR="002B1C74" w:rsidRPr="002F2FDF" w14:paraId="01BC4A5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3F0AF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509B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206551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3673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136353</w:t>
            </w:r>
          </w:p>
        </w:tc>
      </w:tr>
      <w:tr w:rsidR="002B1C74" w:rsidRPr="002F2FDF" w14:paraId="6C780A7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7D4BB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E905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246260 .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4107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235177</w:t>
            </w:r>
          </w:p>
        </w:tc>
      </w:tr>
    </w:tbl>
    <w:p w14:paraId="5436F07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Такое незначительное удовлетворение ведомств вынудило прибегнуть к частичному внепрограммному удовлетворению экстренных нужд путем выдач из имевшейся, не вывезенной с заводов, наличности металла.</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21"/>
        <w:gridCol w:w="3824"/>
        <w:gridCol w:w="4551"/>
      </w:tblGrid>
      <w:tr w:rsidR="002B1C74" w:rsidRPr="002F2FDF" w14:paraId="1FD20B31" w14:textId="77777777" w:rsidTr="00206E0B">
        <w:trPr>
          <w:tblCellSpacing w:w="15"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AB2FE4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35</w:t>
            </w:r>
          </w:p>
        </w:tc>
      </w:tr>
      <w:tr w:rsidR="002B1C74" w:rsidRPr="002F2FDF" w14:paraId="2F8EA15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041404" w14:textId="60BF4ED9"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0C6A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Определено распоряжением главно-уполномоченного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1CF6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Отпущено распоряжением южного районного уполномоченного</w:t>
            </w:r>
          </w:p>
        </w:tc>
      </w:tr>
      <w:tr w:rsidR="002B1C74" w:rsidRPr="002F2FDF" w14:paraId="787F5EA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D0A1C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B5651" w14:textId="1B93B9D5"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B210A" w14:textId="57B8C69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076B39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5E838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8DD0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479F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362182</w:t>
            </w:r>
          </w:p>
        </w:tc>
      </w:tr>
      <w:tr w:rsidR="002B1C74" w:rsidRPr="002F2FDF" w14:paraId="38C9D6A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D4AC0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8724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47FD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393169</w:t>
            </w:r>
          </w:p>
        </w:tc>
      </w:tr>
      <w:tr w:rsidR="002B1C74" w:rsidRPr="002F2FDF" w14:paraId="17FD649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3C228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468E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670812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A69E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262254</w:t>
            </w:r>
          </w:p>
        </w:tc>
      </w:tr>
      <w:tr w:rsidR="002B1C74" w:rsidRPr="002F2FDF" w14:paraId="01C8B08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07B13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6811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1541636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24D3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389124</w:t>
            </w:r>
          </w:p>
        </w:tc>
      </w:tr>
      <w:tr w:rsidR="002B1C74" w:rsidRPr="002F2FDF" w14:paraId="04ECDCE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29602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A51C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1747113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F304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293911</w:t>
            </w:r>
          </w:p>
        </w:tc>
      </w:tr>
      <w:tr w:rsidR="002B1C74" w:rsidRPr="002F2FDF" w14:paraId="72EBB72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E2749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F77F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433008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9C73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364292</w:t>
            </w:r>
          </w:p>
        </w:tc>
      </w:tr>
    </w:tbl>
    <w:p w14:paraId="57DE6C3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Главное внимание при этих назначениях было обращено на экстренные нужды Министерства путей сообщения, Фронтометалла и Министерства земледелия.</w:t>
      </w:r>
    </w:p>
    <w:p w14:paraId="0AEB8A5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Распределение южным уполномоченным и выдача по ведомствам видна из следующей таблицы [данные за 1917 г.]:</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869"/>
        <w:gridCol w:w="640"/>
        <w:gridCol w:w="729"/>
        <w:gridCol w:w="710"/>
        <w:gridCol w:w="670"/>
      </w:tblGrid>
      <w:tr w:rsidR="002B1C74" w:rsidRPr="002F2FDF" w14:paraId="1F3281AB"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0926590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36</w:t>
            </w:r>
          </w:p>
        </w:tc>
      </w:tr>
      <w:tr w:rsidR="002B1C74" w:rsidRPr="002F2FDF" w14:paraId="7738D5E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A536F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Ведомства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A844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0D2C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337B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C76D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r>
      <w:tr w:rsidR="002B1C74" w:rsidRPr="002F2FDF" w14:paraId="2EE95C1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72BBA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Морское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70E6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0597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14986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5E2C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8F7D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5926</w:t>
            </w:r>
          </w:p>
        </w:tc>
      </w:tr>
      <w:tr w:rsidR="002B1C74" w:rsidRPr="002F2FDF" w14:paraId="4687F90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D919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ГАУ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6A45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64009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BAC0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95981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4076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BBE8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11807</w:t>
            </w:r>
          </w:p>
        </w:tc>
      </w:tr>
      <w:tr w:rsidR="002B1C74" w:rsidRPr="002F2FDF" w14:paraId="56F0F2E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6A960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ГИУ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9913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581B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E17E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8E61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935</w:t>
            </w:r>
          </w:p>
        </w:tc>
      </w:tr>
      <w:tr w:rsidR="002B1C74" w:rsidRPr="002F2FDF" w14:paraId="477209E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A25D6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ГИТУ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5428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24684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7263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52888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1E3A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71EB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6941</w:t>
            </w:r>
          </w:p>
        </w:tc>
      </w:tr>
      <w:tr w:rsidR="002B1C74" w:rsidRPr="002F2FDF" w14:paraId="20FA15C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F3B2D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УВВФ</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0077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A5C4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3150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A12A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3389</w:t>
            </w:r>
          </w:p>
        </w:tc>
      </w:tr>
      <w:tr w:rsidR="002B1C74" w:rsidRPr="002F2FDF" w14:paraId="71F76A0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21C12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МПС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C549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23747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68AC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8129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32343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D501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56342</w:t>
            </w:r>
          </w:p>
        </w:tc>
      </w:tr>
      <w:tr w:rsidR="002B1C74" w:rsidRPr="002F2FDF" w14:paraId="0B486CB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AACA2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Мин. земледелия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95A7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1229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9932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F799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6154</w:t>
            </w:r>
          </w:p>
        </w:tc>
      </w:tr>
      <w:tr w:rsidR="002B1C74" w:rsidRPr="002F2FDF" w14:paraId="482EDAB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7ED68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ЦВПК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81E0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15271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3F20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9562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A0A6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4357</w:t>
            </w:r>
          </w:p>
        </w:tc>
      </w:tr>
      <w:tr w:rsidR="002B1C74" w:rsidRPr="002F2FDF" w14:paraId="6FCD8F5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89F75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Земгор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1F84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DABE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9ACE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A821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7890</w:t>
            </w:r>
          </w:p>
        </w:tc>
      </w:tr>
      <w:tr w:rsidR="002B1C74" w:rsidRPr="002F2FDF" w14:paraId="2BC9282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00B9A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Нефтепром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FD6D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1203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E97D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4994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1034</w:t>
            </w:r>
          </w:p>
        </w:tc>
      </w:tr>
      <w:tr w:rsidR="002B1C74" w:rsidRPr="002F2FDF" w14:paraId="140CA62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159D6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Горная 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47EB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22988</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D12F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D25D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22F4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13405</w:t>
            </w:r>
          </w:p>
        </w:tc>
      </w:tr>
      <w:tr w:rsidR="002B1C74" w:rsidRPr="002F2FDF" w14:paraId="0EFE346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4E636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Казенные горные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86CB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E88F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903D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5D52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73957</w:t>
            </w:r>
          </w:p>
        </w:tc>
      </w:tr>
      <w:tr w:rsidR="002B1C74" w:rsidRPr="002F2FDF" w14:paraId="7065788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2CE5A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Отдел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20A4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15346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1603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52C0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78AD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18694</w:t>
            </w:r>
          </w:p>
        </w:tc>
      </w:tr>
      <w:tr w:rsidR="002B1C74" w:rsidRPr="002F2FDF" w14:paraId="1CF0A02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CE800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Фронтометалл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27F6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EA42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C512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2D92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111975</w:t>
            </w:r>
          </w:p>
        </w:tc>
      </w:tr>
      <w:tr w:rsidR="002B1C74" w:rsidRPr="002F2FDF" w14:paraId="1AAEA57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3CD7D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Нужды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19E4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54744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32DE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33481</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5558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94389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F0EF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23641</w:t>
            </w:r>
          </w:p>
        </w:tc>
      </w:tr>
      <w:tr w:rsidR="002B1C74" w:rsidRPr="002F2FDF" w14:paraId="2A64A31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0E06C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Фронт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66CC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938B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16D1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2F66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37060</w:t>
            </w:r>
          </w:p>
        </w:tc>
      </w:tr>
      <w:tr w:rsidR="002B1C74" w:rsidRPr="002F2FDF" w14:paraId="36C5653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D18DF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0D43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33775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A098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CB88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F817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5617</w:t>
            </w:r>
          </w:p>
        </w:tc>
      </w:tr>
      <w:tr w:rsidR="002B1C74" w:rsidRPr="002F2FDF" w14:paraId="1069B63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C93D1C" w14:textId="5C0A3C8E"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A293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362182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D3A1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393169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9726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262251*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66CD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389124</w:t>
            </w:r>
          </w:p>
        </w:tc>
      </w:tr>
      <w:tr w:rsidR="002B1C74" w:rsidRPr="002F2FDF" w14:paraId="4B69CD4A"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4280347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 в док.; следует: 262256</w:t>
            </w:r>
          </w:p>
        </w:tc>
      </w:tr>
    </w:tbl>
    <w:p w14:paraId="34F566B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Продолжение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3279"/>
        <w:gridCol w:w="1652"/>
        <w:gridCol w:w="1874"/>
        <w:gridCol w:w="2172"/>
      </w:tblGrid>
      <w:tr w:rsidR="002B1C74" w:rsidRPr="002F2FDF" w14:paraId="22F63D0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72B50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Ведомства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C98988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F4C1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766F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r>
      <w:tr w:rsidR="002B1C74" w:rsidRPr="002F2FDF" w14:paraId="7ABA093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8FA548" w14:textId="1E1A3C2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4AB66" w14:textId="5CD50D37"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045A5" w14:textId="781F2BEB"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C796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99198</w:t>
            </w:r>
          </w:p>
        </w:tc>
      </w:tr>
      <w:tr w:rsidR="002B1C74" w:rsidRPr="002F2FDF" w14:paraId="2029667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00173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Морское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74E4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1F31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6E34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249352</w:t>
            </w:r>
          </w:p>
        </w:tc>
      </w:tr>
      <w:tr w:rsidR="002B1C74" w:rsidRPr="002F2FDF" w14:paraId="5E309D7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4DD1D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ГАУ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88F7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21885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5421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24049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649F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11735</w:t>
            </w:r>
          </w:p>
        </w:tc>
      </w:tr>
      <w:tr w:rsidR="002B1C74" w:rsidRPr="002F2FDF" w14:paraId="73C59A5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15A71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ГИУ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6D99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577D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292C61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117784**</w:t>
            </w:r>
          </w:p>
        </w:tc>
      </w:tr>
      <w:tr w:rsidR="002B1C74" w:rsidRPr="002F2FDF" w14:paraId="141FCFF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C015A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ГВТУ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CDF6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13817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40E0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AC33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19668</w:t>
            </w:r>
          </w:p>
        </w:tc>
      </w:tr>
      <w:tr w:rsidR="002B1C74" w:rsidRPr="002F2FDF" w14:paraId="127697F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79753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УВВФ</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3AEC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5E22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22A1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320803</w:t>
            </w:r>
          </w:p>
        </w:tc>
      </w:tr>
      <w:tr w:rsidR="002B1C74" w:rsidRPr="002F2FDF" w14:paraId="417A567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B0BB1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МПС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7465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79421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151C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86354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B8D5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94225</w:t>
            </w:r>
          </w:p>
        </w:tc>
      </w:tr>
      <w:tr w:rsidR="002B1C74" w:rsidRPr="002F2FDF" w14:paraId="54F64C2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52EEF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Мин. земледелия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733C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18784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956C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28D5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42168</w:t>
            </w:r>
          </w:p>
        </w:tc>
      </w:tr>
      <w:tr w:rsidR="002B1C74" w:rsidRPr="002F2FDF" w14:paraId="07A8465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D366E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ЦВПК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0833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10249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79FA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4205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62084</w:t>
            </w:r>
          </w:p>
        </w:tc>
      </w:tr>
      <w:tr w:rsidR="002B1C74" w:rsidRPr="002F2FDF" w14:paraId="5B8C8E0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9FA16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Земгор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F811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81F0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A466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55970</w:t>
            </w:r>
          </w:p>
        </w:tc>
      </w:tr>
      <w:tr w:rsidR="002B1C74" w:rsidRPr="002F2FDF" w14:paraId="1203DEB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307E0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Нефтепром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EA45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3450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B994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121692</w:t>
            </w:r>
          </w:p>
        </w:tc>
      </w:tr>
      <w:tr w:rsidR="002B1C74" w:rsidRPr="002F2FDF" w14:paraId="4C9D3D1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839C2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Горная 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A38D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3848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0ACA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73957</w:t>
            </w:r>
          </w:p>
        </w:tc>
      </w:tr>
      <w:tr w:rsidR="002B1C74" w:rsidRPr="002F2FDF" w14:paraId="159937E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3C954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Казенные горные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8D34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D89D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D77C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85190</w:t>
            </w:r>
          </w:p>
        </w:tc>
      </w:tr>
      <w:tr w:rsidR="002B1C74" w:rsidRPr="002F2FDF" w14:paraId="3F60A4A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02899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Отдел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606B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C09D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2973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185821</w:t>
            </w:r>
          </w:p>
        </w:tc>
      </w:tr>
      <w:tr w:rsidR="002B1C74" w:rsidRPr="002F2FDF" w14:paraId="54B4FE2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98611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Фронтометалл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0CC4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33362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A7B0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19433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E288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241565***</w:t>
            </w:r>
          </w:p>
        </w:tc>
      </w:tr>
      <w:tr w:rsidR="002B1C74" w:rsidRPr="002F2FDF" w14:paraId="2E429E7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882DB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Нужды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D7FE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04E8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24547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279A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192287</w:t>
            </w:r>
          </w:p>
        </w:tc>
      </w:tr>
      <w:tr w:rsidR="002B1C74" w:rsidRPr="002F2FDF" w14:paraId="28CF096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C6130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Фронт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588B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14898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A36F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44646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B3F7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91433</w:t>
            </w:r>
          </w:p>
        </w:tc>
      </w:tr>
      <w:tr w:rsidR="002B1C74" w:rsidRPr="002F2FDF" w14:paraId="36739D8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A9A03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372D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938F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11745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AF847" w14:textId="0A98A7B5"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3050C51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6E0BF3" w14:textId="7F8F9467"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D119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293911****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89D0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361292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DFBC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2064932 ******</w:t>
            </w:r>
          </w:p>
        </w:tc>
      </w:tr>
      <w:tr w:rsidR="002B1C74" w:rsidRPr="002F2FDF" w14:paraId="61C86FF2" w14:textId="77777777" w:rsidTr="00206E0B">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5A65F0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 в док.; следует: 117724;*** Так в док.; следует: 241567;**** Так в док.; следует: 293851;***** Так в док.; следует: 364292;</w:t>
            </w:r>
          </w:p>
          <w:p w14:paraId="7A992FB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Так в док.; следует: 2064874</w:t>
            </w:r>
          </w:p>
        </w:tc>
      </w:tr>
    </w:tbl>
    <w:p w14:paraId="617B897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Порядок распределения металла ведомствам на период июль—сентябрь был установлен другой, а именно:</w:t>
      </w:r>
    </w:p>
    <w:p w14:paraId="5B56031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Заявки ведомств, как это было установлено в предыдущем распределении, сокращены путем процентных назначений металла по каждой работе, указанной в планах ведомств.</w:t>
      </w:r>
    </w:p>
    <w:p w14:paraId="0DC2115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Ожидаемая выработка металла разбита по трем районам: Южному, Уральскому и Центральному — и принята близкой к возможной действительной.</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807"/>
        <w:gridCol w:w="1034"/>
        <w:gridCol w:w="886"/>
        <w:gridCol w:w="1541"/>
        <w:gridCol w:w="824"/>
        <w:gridCol w:w="1511"/>
        <w:gridCol w:w="796"/>
        <w:gridCol w:w="1511"/>
        <w:gridCol w:w="886"/>
        <w:gridCol w:w="1526"/>
      </w:tblGrid>
      <w:tr w:rsidR="002B1C74" w:rsidRPr="002F2FDF" w14:paraId="7C6EA308" w14:textId="77777777" w:rsidTr="00394BC0">
        <w:trPr>
          <w:tblCellSpacing w:w="15" w:type="dxa"/>
          <w:jc w:val="center"/>
        </w:trPr>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691F9A4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37*</w:t>
            </w:r>
          </w:p>
        </w:tc>
      </w:tr>
      <w:tr w:rsidR="002B1C74" w:rsidRPr="002F2FDF" w14:paraId="37C6BDA9"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7152CE" w14:textId="4333F270"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28E11" w14:textId="08AB6E77"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0E4D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8BF1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к назначенному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78FE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758E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к назначенному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A1ED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DC2E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к назначенному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AAC3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DE92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к назначенному</w:t>
            </w:r>
          </w:p>
        </w:tc>
      </w:tr>
      <w:tr w:rsidR="002B1C74" w:rsidRPr="002F2FDF" w14:paraId="1FEBA026"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66C83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C05A8" w14:textId="6F4A0B65"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1B46E" w14:textId="61B24024"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3B4DC" w14:textId="36DC50A7"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E07AE" w14:textId="7FB4EDD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97B0D" w14:textId="567673BA"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2659C" w14:textId="2764AC65"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0DAE1" w14:textId="2F9E37E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9AEF9" w14:textId="22FCD22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A5A00" w14:textId="31318B2D"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4C71D81"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D6B85B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62C0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4D5C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8F73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122B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CCA1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20D3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__</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161E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6997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19095569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93D7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125</w:t>
            </w:r>
          </w:p>
        </w:tc>
      </w:tr>
      <w:tr w:rsidR="002B1C74" w:rsidRPr="002F2FDF" w14:paraId="33EA745C"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5C37E3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CE894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46B1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11083996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C269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170A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1291645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AC16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A825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2934359</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7B34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66D6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15260000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11AB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r>
      <w:tr w:rsidR="002B1C74" w:rsidRPr="002F2FDF" w14:paraId="13DEE2A5"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47EC8C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E8A46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8BD4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10876195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2BBF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1C4C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1213234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6DC2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8F0E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2652417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DB57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6716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14741846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8CBC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w:t>
            </w:r>
          </w:p>
        </w:tc>
      </w:tr>
      <w:tr w:rsidR="002B1C74" w:rsidRPr="002F2FDF" w14:paraId="1573EAE6"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A99AB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2842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596A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24D0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0F76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014A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5AD5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734D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25D2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19095569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CFE4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125</w:t>
            </w:r>
          </w:p>
        </w:tc>
      </w:tr>
      <w:tr w:rsidR="002B1C74" w:rsidRPr="002F2FDF" w14:paraId="1CAA7217"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B072BC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267FC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0C80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11097789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6094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FFCF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1413753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813F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42B6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2748458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1DB5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993E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15260000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B7D8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r>
      <w:tr w:rsidR="002B1C74" w:rsidRPr="002F2FDF" w14:paraId="432F8781"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1E7A6F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FDE81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D8C5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11400666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D416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3639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1225222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14B4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213C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2609327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D6E4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C10A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15235215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7AA5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99</w:t>
            </w:r>
          </w:p>
        </w:tc>
      </w:tr>
      <w:tr w:rsidR="002B1C74" w:rsidRPr="002F2FDF" w14:paraId="77F61380"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16E31E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D8D8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ABA9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4670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1584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4627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1BAB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47F0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92D9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7E19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136</w:t>
            </w:r>
          </w:p>
        </w:tc>
      </w:tr>
      <w:tr w:rsidR="002B1C74" w:rsidRPr="002F2FDF" w14:paraId="4C4E9650"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65717C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38E88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CF00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13344400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077B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C513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1942500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3656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5AE0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3090840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32B2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C19E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18377740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A10A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r>
      <w:tr w:rsidR="002B1C74" w:rsidRPr="002F2FDF" w14:paraId="41FFCAE3"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DE9504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B8BB9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21C0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8912291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9EF9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A474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1156071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D688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0C96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2316874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C637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1AD3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12385236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F0C1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w:t>
            </w:r>
          </w:p>
        </w:tc>
      </w:tr>
      <w:tr w:rsidR="002B1C74" w:rsidRPr="002F2FDF" w14:paraId="5BE48A79"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173BF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40982" w14:textId="3E8A292D"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DA275" w14:textId="0A1FDC05"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E415D" w14:textId="0BA4A49A"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E64FA" w14:textId="538F0BF1"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49CA5" w14:textId="2F1D480C"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A26E8" w14:textId="70E843EB"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35844" w14:textId="414B27A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DF535" w14:textId="69D6721F"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4B731" w14:textId="04A6C6E9"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CEADA61"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9A11C3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48F7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1DE5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B9C5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90B7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ADDD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CEDE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063C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FC7F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73B4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136</w:t>
            </w:r>
          </w:p>
        </w:tc>
      </w:tr>
      <w:tr w:rsidR="002B1C74" w:rsidRPr="002F2FDF" w14:paraId="40627D57"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8C89A2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CF693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45E0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13344400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77CA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6955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1942500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B458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7249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3090840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4432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FDCE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18377740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B095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r>
      <w:tr w:rsidR="002B1C74" w:rsidRPr="002F2FDF" w14:paraId="486A6933"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D6F3C9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731E8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60B9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9593807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65ED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13B8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934150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560A7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BDE8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2592711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3D6F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A0B3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13119668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BDAE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w:t>
            </w:r>
          </w:p>
        </w:tc>
      </w:tr>
      <w:tr w:rsidR="002B1C74" w:rsidRPr="002F2FDF" w14:paraId="2E61AA06"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5529ED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5A69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4663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3104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4064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28CA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9A532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50EB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2F6A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DFD0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136</w:t>
            </w:r>
          </w:p>
        </w:tc>
      </w:tr>
      <w:tr w:rsidR="002B1C74" w:rsidRPr="002F2FDF" w14:paraId="2817BC6A"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3C47AE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ABB7C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6084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13344400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7CA4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8F5C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1942500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93B7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B273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3090840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C1A6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EE9A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18377740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71AB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r>
      <w:tr w:rsidR="002B1C74" w:rsidRPr="002F2FDF" w14:paraId="712C31E9"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1A3E64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C52AD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99B8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5597839</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F613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1E53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833432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2F4C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4432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2353161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08A4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69E1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8784432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BA45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w:t>
            </w:r>
          </w:p>
        </w:tc>
      </w:tr>
      <w:tr w:rsidR="002B1C74" w:rsidRPr="002F2FDF" w14:paraId="032A981A"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7839A2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E84C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92E6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6B46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4DFF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FDD5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A522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F7BC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DB0E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796A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161</w:t>
            </w:r>
          </w:p>
        </w:tc>
      </w:tr>
      <w:tr w:rsidR="002B1C74" w:rsidRPr="002F2FDF" w14:paraId="1CD255D2"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419C95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4E6C7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4223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13956674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1840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2D78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1298280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3783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6A5F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4064700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A27C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60EB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19319654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E2B5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r>
      <w:tr w:rsidR="002B1C74" w:rsidRPr="002F2FDF" w14:paraId="132337B7"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C33144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9CFFF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3A3D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7177976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0EFB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8B79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856591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8D91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D96D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2610624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041C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8EF7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10645196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7CFF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w:t>
            </w:r>
          </w:p>
        </w:tc>
      </w:tr>
      <w:tr w:rsidR="002B1C74" w:rsidRPr="002F2FDF" w14:paraId="15E849A8"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E326891" w14:textId="5FDBF84A"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280E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906D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88B5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5B67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6A0F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A0F8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37CB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5942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0DA0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161</w:t>
            </w:r>
          </w:p>
        </w:tc>
      </w:tr>
      <w:tr w:rsidR="002B1C74" w:rsidRPr="002F2FDF" w14:paraId="03ECC7AF"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B5E7E1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17D37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8E61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13956674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F89A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06CD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1298280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D1FA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4C49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4064700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744D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9312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19319654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0190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r>
      <w:tr w:rsidR="002B1C74" w:rsidRPr="002F2FDF" w14:paraId="5BB741A0"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DB5498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1DE4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8889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7976298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D7B1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58515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768824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62A1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A5F6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2148174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A7CC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0FAD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10893296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4C8C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w:t>
            </w:r>
          </w:p>
        </w:tc>
      </w:tr>
      <w:tr w:rsidR="002B1C74" w:rsidRPr="002F2FDF" w14:paraId="58D32CE6"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05D6DF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08A9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10E2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9E05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F429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BA796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0BA3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3A5B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A4FD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6324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161</w:t>
            </w:r>
          </w:p>
        </w:tc>
      </w:tr>
      <w:tr w:rsidR="002B1C74" w:rsidRPr="002F2FDF" w14:paraId="2F6A20D9"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86E62F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D7C81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502A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13956674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4E10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A4B4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1298280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7767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823C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4064700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212E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C71B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19319654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2BFE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r>
      <w:tr w:rsidR="002B1C74" w:rsidRPr="002F2FDF" w14:paraId="3860D362"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57AE35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6FAD5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5A83D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8907530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03AF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25B6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863358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AA56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7AEB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2384999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7787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4D44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12155887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0956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w:t>
            </w:r>
          </w:p>
        </w:tc>
      </w:tr>
      <w:tr w:rsidR="002B1C74" w:rsidRPr="002F2FDF" w14:paraId="397A994C"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59A223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F094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46B6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7EF4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379D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6386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E6E3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7AAB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D342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697C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161</w:t>
            </w:r>
          </w:p>
        </w:tc>
      </w:tr>
      <w:tr w:rsidR="002B1C74" w:rsidRPr="002F2FDF" w14:paraId="6BB078CD"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F57BBD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CD3E8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3C53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13956674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0929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5522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1298280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D4FB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856D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4064700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7EF0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B0FF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19319654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FE71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r>
      <w:tr w:rsidR="002B1C74" w:rsidRPr="002F2FDF" w14:paraId="697EB2AB"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C17337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1DC10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32C4A" w14:textId="10137A5D"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711AA" w14:textId="71A5B6BB"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D671F" w14:textId="67B11A00"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9EB3A" w14:textId="6B01DE19"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1D72D" w14:textId="713E11C9"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8C1A5" w14:textId="48E1B837"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9D126" w14:textId="376E32B0"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98276" w14:textId="798358A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055FCC4"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99471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9896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865B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40E8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D349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77AD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173B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0D7A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EB10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30671020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B62B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0524275C"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DCEA43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7F015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2356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11927000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7740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A1E3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1117500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5BAE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0469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2723700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1402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64F9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15768200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720D9" w14:textId="088C4A37"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37D0D84B" w14:textId="77777777" w:rsidTr="00394BC0">
        <w:trPr>
          <w:tblCellSpacing w:w="15" w:type="dxa"/>
          <w:jc w:val="center"/>
        </w:trPr>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5706B81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*Назначено — по данным Расмеко; исполнено — по данным заводов и районных уполномоченных. (Прим. док.);** Центр вместе с Петроградским районом. (Прим. док.).</w:t>
            </w:r>
          </w:p>
        </w:tc>
      </w:tr>
    </w:tbl>
    <w:p w14:paraId="620686D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Ведомства получают нормы не по заводам, а по районам.</w:t>
      </w:r>
    </w:p>
    <w:p w14:paraId="2F6FDEE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Районные организации на месте распределяют ведомственные нормы по заводам-производителям и составляют программы прокатки.</w:t>
      </w:r>
    </w:p>
    <w:p w14:paraId="71C6A32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Наконец: 5) установлен новый принцип назначения перевозок металла путем истребования вагонов производителями металла под исполняемый заказ, а не заказчиками.</w:t>
      </w:r>
    </w:p>
    <w:p w14:paraId="6C6EC0B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Новый распределительный период установлен на период июль—сентябрь, в распределение вошел весь баланс металла: чугун, болванка, заготовка, литье, трубы, сортовой и другой прокатный металл, а не только один прокатный, как раньше.</w:t>
      </w:r>
    </w:p>
    <w:p w14:paraId="6FE46F3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Заявки ведомств выразились в сумме 30 671 020 [пуд],, а общая норма ведомств предоставлена в сумме 15 768 200 [пуд.] прокатного металла, с чугуном 20 060 200 [пуд.] при общей заявке на металл с чугуном в 37 152 910 [пуд.] в месяц.</w:t>
      </w:r>
    </w:p>
    <w:p w14:paraId="298B947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Утвержденные правила распределения металла и схема производства этих работ центральными и местными органами при сем прилагаются.</w:t>
      </w:r>
      <w:hyperlink r:id="rId349" w:anchor="_ftn11" w:history="1">
        <w:r w:rsidRPr="002F2FDF">
          <w:rPr>
            <w:rFonts w:ascii="Times New Roman" w:hAnsi="Times New Roman" w:cs="Times New Roman"/>
            <w:color w:val="000000" w:themeColor="text1"/>
            <w:kern w:val="2"/>
            <w:sz w:val="16"/>
            <w:szCs w:val="16"/>
          </w:rPr>
          <w:t>[11]</w:t>
        </w:r>
      </w:hyperlink>
    </w:p>
    <w:p w14:paraId="6ACC042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Процентное отношение исполнения программ прокатки по месяцам и районам и заявок ведомств к назначенным нормам видно из табл. 37.</w:t>
      </w:r>
    </w:p>
    <w:p w14:paraId="2FC750D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Общее же исполнение программ прокатки к заявленной ведомствами потребности видно:</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155"/>
        <w:gridCol w:w="2121"/>
        <w:gridCol w:w="2348"/>
        <w:gridCol w:w="1424"/>
      </w:tblGrid>
      <w:tr w:rsidR="002B1C74" w:rsidRPr="002F2FDF" w14:paraId="43E30C8D" w14:textId="77777777" w:rsidTr="00206E0B">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C74FC7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38</w:t>
            </w:r>
          </w:p>
          <w:p w14:paraId="7F06D33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Процентное исполнение программы прокатки к заявленной потребности ведомств в черном металле</w:t>
            </w:r>
          </w:p>
        </w:tc>
      </w:tr>
      <w:tr w:rsidR="002B1C74" w:rsidRPr="002F2FDF" w14:paraId="2C08BE3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655004" w14:textId="0D36967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B9EA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Заявлено [в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1D6B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Исполнено [в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6FBD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к заявке</w:t>
            </w:r>
          </w:p>
        </w:tc>
      </w:tr>
      <w:tr w:rsidR="002B1C74" w:rsidRPr="002F2FDF" w14:paraId="2312C89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767D5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3CE11" w14:textId="77B4C5B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5635B" w14:textId="60926CA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1533A" w14:textId="7C24F7D0"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3FD850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A7024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F566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19095569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37E5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14741846</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3D63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77.2</w:t>
            </w:r>
          </w:p>
        </w:tc>
      </w:tr>
      <w:tr w:rsidR="002B1C74" w:rsidRPr="002F2FDF" w14:paraId="207F634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E5F66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992A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19095569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ABE1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15235215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C755E"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79.71</w:t>
            </w:r>
          </w:p>
        </w:tc>
      </w:tr>
      <w:tr w:rsidR="002B1C74" w:rsidRPr="002F2FDF" w14:paraId="522D875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10633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C5A8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9C37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12385236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B63B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502</w:t>
            </w:r>
          </w:p>
        </w:tc>
      </w:tr>
      <w:tr w:rsidR="002B1C74" w:rsidRPr="002F2FDF" w14:paraId="14AC297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AE44B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DE83C" w14:textId="1457C632"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30688" w14:textId="71EABBF6"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E8D37" w14:textId="242ABD11" w:rsidR="0039289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47C5F7C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C03DDC"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1FA2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6DD8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13119668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E17D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52.5</w:t>
            </w:r>
          </w:p>
        </w:tc>
      </w:tr>
      <w:tr w:rsidR="002B1C74" w:rsidRPr="002F2FDF" w14:paraId="55D1D2A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BFC1F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0384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BF40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8784432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E850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35.13</w:t>
            </w:r>
          </w:p>
        </w:tc>
      </w:tr>
      <w:tr w:rsidR="002B1C74" w:rsidRPr="002F2FDF" w14:paraId="0DA85A5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8C2A1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775C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DD01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10645196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423A5"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34.1</w:t>
            </w:r>
          </w:p>
        </w:tc>
      </w:tr>
      <w:tr w:rsidR="002B1C74" w:rsidRPr="002F2FDF" w14:paraId="081A6CB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9F916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AF52A"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C1BAF"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10893296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ED0BB"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34.9</w:t>
            </w:r>
          </w:p>
        </w:tc>
      </w:tr>
      <w:tr w:rsidR="002B1C74" w:rsidRPr="002F2FDF" w14:paraId="6E1E202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C8F5E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E87D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D422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12155887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FBB3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38.94</w:t>
            </w:r>
          </w:p>
        </w:tc>
      </w:tr>
      <w:tr w:rsidR="002B1C74" w:rsidRPr="002F2FDF" w14:paraId="67EAD3C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C40C4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6C0C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F523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2B8DD"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73E8F10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CC06F6"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3DAA4"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30671020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7A628"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E51E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59EDB1AB" w14:textId="77777777" w:rsidTr="00206E0B">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A7422F0"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Так в док.; следует: 79.8</w:t>
            </w:r>
          </w:p>
          <w:p w14:paraId="646D3969"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2.Так в док.; следует: 49.6</w:t>
            </w:r>
          </w:p>
          <w:p w14:paraId="4D406462"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Так в док.; следует: 35.2</w:t>
            </w:r>
          </w:p>
          <w:p w14:paraId="3A57EB61"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Так в док.; следует: 39.0</w:t>
            </w:r>
          </w:p>
        </w:tc>
      </w:tr>
    </w:tbl>
    <w:p w14:paraId="0EC5C743"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Заместитель главного уполномоченного ген.-майор Чердынцев.</w:t>
      </w:r>
    </w:p>
    <w:p w14:paraId="547A1C85" w14:textId="77777777" w:rsidR="00392894"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350" w:anchor="_ftnref1" w:history="1">
        <w:r w:rsidR="00392894" w:rsidRPr="002F2FDF">
          <w:rPr>
            <w:rFonts w:ascii="Times New Roman" w:hAnsi="Times New Roman" w:cs="Times New Roman"/>
            <w:color w:val="000000" w:themeColor="text1"/>
            <w:kern w:val="2"/>
            <w:sz w:val="16"/>
            <w:szCs w:val="16"/>
          </w:rPr>
          <w:t>[1]</w:t>
        </w:r>
      </w:hyperlink>
      <w:r w:rsidR="00392894" w:rsidRPr="002F2FDF">
        <w:rPr>
          <w:rFonts w:ascii="Times New Roman" w:hAnsi="Times New Roman" w:cs="Times New Roman"/>
          <w:color w:val="000000" w:themeColor="text1"/>
          <w:kern w:val="2"/>
          <w:sz w:val="16"/>
          <w:szCs w:val="16"/>
        </w:rPr>
        <w:t xml:space="preserve"> Датируется по содержанию док.</w:t>
      </w:r>
    </w:p>
    <w:p w14:paraId="6BA50995" w14:textId="77777777" w:rsidR="00392894"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351" w:anchor="_ftnref2" w:history="1">
        <w:r w:rsidR="00392894" w:rsidRPr="002F2FDF">
          <w:rPr>
            <w:rFonts w:ascii="Times New Roman" w:hAnsi="Times New Roman" w:cs="Times New Roman"/>
            <w:color w:val="000000" w:themeColor="text1"/>
            <w:kern w:val="2"/>
            <w:sz w:val="16"/>
            <w:szCs w:val="16"/>
          </w:rPr>
          <w:t>[2]</w:t>
        </w:r>
      </w:hyperlink>
      <w:r w:rsidR="00392894" w:rsidRPr="002F2FDF">
        <w:rPr>
          <w:rFonts w:ascii="Times New Roman" w:hAnsi="Times New Roman" w:cs="Times New Roman"/>
          <w:color w:val="000000" w:themeColor="text1"/>
          <w:kern w:val="2"/>
          <w:sz w:val="16"/>
          <w:szCs w:val="16"/>
        </w:rPr>
        <w:t xml:space="preserve"> Так в док.; данные расходятся с табл. 2.</w:t>
      </w:r>
    </w:p>
    <w:p w14:paraId="356D8F38" w14:textId="77777777" w:rsidR="00392894"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352" w:anchor="_ftnref3" w:history="1">
        <w:r w:rsidR="00392894" w:rsidRPr="002F2FDF">
          <w:rPr>
            <w:rFonts w:ascii="Times New Roman" w:hAnsi="Times New Roman" w:cs="Times New Roman"/>
            <w:color w:val="000000" w:themeColor="text1"/>
            <w:kern w:val="2"/>
            <w:sz w:val="16"/>
            <w:szCs w:val="16"/>
          </w:rPr>
          <w:t>[3]</w:t>
        </w:r>
      </w:hyperlink>
      <w:r w:rsidR="00392894" w:rsidRPr="002F2FDF">
        <w:rPr>
          <w:rFonts w:ascii="Times New Roman" w:hAnsi="Times New Roman" w:cs="Times New Roman"/>
          <w:color w:val="000000" w:themeColor="text1"/>
          <w:kern w:val="2"/>
          <w:sz w:val="16"/>
          <w:szCs w:val="16"/>
        </w:rPr>
        <w:t xml:space="preserve"> Так в док.; данные расходятся с табл. 2.</w:t>
      </w:r>
    </w:p>
    <w:p w14:paraId="471C1502" w14:textId="77777777" w:rsidR="00392894"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353" w:anchor="_ftnref4" w:history="1">
        <w:r w:rsidR="00392894" w:rsidRPr="002F2FDF">
          <w:rPr>
            <w:rFonts w:ascii="Times New Roman" w:hAnsi="Times New Roman" w:cs="Times New Roman"/>
            <w:color w:val="000000" w:themeColor="text1"/>
            <w:kern w:val="2"/>
            <w:sz w:val="16"/>
            <w:szCs w:val="16"/>
          </w:rPr>
          <w:t>[4]</w:t>
        </w:r>
      </w:hyperlink>
      <w:r w:rsidR="00392894" w:rsidRPr="002F2FDF">
        <w:rPr>
          <w:rFonts w:ascii="Times New Roman" w:hAnsi="Times New Roman" w:cs="Times New Roman"/>
          <w:color w:val="000000" w:themeColor="text1"/>
          <w:kern w:val="2"/>
          <w:sz w:val="16"/>
          <w:szCs w:val="16"/>
        </w:rPr>
        <w:t xml:space="preserve"> Так в док.; следует: 118521</w:t>
      </w:r>
    </w:p>
    <w:p w14:paraId="1B5EDA60" w14:textId="77777777" w:rsidR="00392894"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354" w:anchor="_ftnref5" w:history="1">
        <w:r w:rsidR="00392894" w:rsidRPr="002F2FDF">
          <w:rPr>
            <w:rFonts w:ascii="Times New Roman" w:hAnsi="Times New Roman" w:cs="Times New Roman"/>
            <w:color w:val="000000" w:themeColor="text1"/>
            <w:kern w:val="2"/>
            <w:sz w:val="16"/>
            <w:szCs w:val="16"/>
          </w:rPr>
          <w:t>[5]</w:t>
        </w:r>
      </w:hyperlink>
      <w:r w:rsidR="00392894" w:rsidRPr="002F2FDF">
        <w:rPr>
          <w:rFonts w:ascii="Times New Roman" w:hAnsi="Times New Roman" w:cs="Times New Roman"/>
          <w:color w:val="000000" w:themeColor="text1"/>
          <w:kern w:val="2"/>
          <w:sz w:val="16"/>
          <w:szCs w:val="16"/>
        </w:rPr>
        <w:t xml:space="preserve"> Так в док.; следует: 282609</w:t>
      </w:r>
    </w:p>
    <w:p w14:paraId="20EC56E4" w14:textId="77777777" w:rsidR="00392894"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355" w:anchor="_ftnref6" w:history="1">
        <w:r w:rsidR="00392894" w:rsidRPr="002F2FDF">
          <w:rPr>
            <w:rFonts w:ascii="Times New Roman" w:hAnsi="Times New Roman" w:cs="Times New Roman"/>
            <w:color w:val="000000" w:themeColor="text1"/>
            <w:kern w:val="2"/>
            <w:sz w:val="16"/>
            <w:szCs w:val="16"/>
          </w:rPr>
          <w:t>[6]</w:t>
        </w:r>
      </w:hyperlink>
      <w:r w:rsidR="00392894" w:rsidRPr="002F2FDF">
        <w:rPr>
          <w:rFonts w:ascii="Times New Roman" w:hAnsi="Times New Roman" w:cs="Times New Roman"/>
          <w:color w:val="000000" w:themeColor="text1"/>
          <w:kern w:val="2"/>
          <w:sz w:val="16"/>
          <w:szCs w:val="16"/>
        </w:rPr>
        <w:t xml:space="preserve"> В док. не упомянут Екагперинославский завод (вШодуар»).</w:t>
      </w:r>
    </w:p>
    <w:p w14:paraId="25CE1D48" w14:textId="77777777" w:rsidR="00392894"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356" w:anchor="_ftnref7" w:history="1">
        <w:r w:rsidR="00392894" w:rsidRPr="002F2FDF">
          <w:rPr>
            <w:rFonts w:ascii="Times New Roman" w:hAnsi="Times New Roman" w:cs="Times New Roman"/>
            <w:color w:val="000000" w:themeColor="text1"/>
            <w:kern w:val="2"/>
            <w:sz w:val="16"/>
            <w:szCs w:val="16"/>
          </w:rPr>
          <w:t>[7]</w:t>
        </w:r>
      </w:hyperlink>
      <w:r w:rsidR="00392894" w:rsidRPr="002F2FDF">
        <w:rPr>
          <w:rFonts w:ascii="Times New Roman" w:hAnsi="Times New Roman" w:cs="Times New Roman"/>
          <w:color w:val="000000" w:themeColor="text1"/>
          <w:kern w:val="2"/>
          <w:sz w:val="16"/>
          <w:szCs w:val="16"/>
        </w:rPr>
        <w:t xml:space="preserve"> Так в док.; следует: 328649.</w:t>
      </w:r>
    </w:p>
    <w:p w14:paraId="6F460C53" w14:textId="77777777" w:rsidR="00392894"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357" w:anchor="_ftnref8" w:history="1">
        <w:r w:rsidR="00392894" w:rsidRPr="002F2FDF">
          <w:rPr>
            <w:rFonts w:ascii="Times New Roman" w:hAnsi="Times New Roman" w:cs="Times New Roman"/>
            <w:color w:val="000000" w:themeColor="text1"/>
            <w:kern w:val="2"/>
            <w:sz w:val="16"/>
            <w:szCs w:val="16"/>
          </w:rPr>
          <w:t>[8]</w:t>
        </w:r>
      </w:hyperlink>
      <w:r w:rsidR="00392894" w:rsidRPr="002F2FDF">
        <w:rPr>
          <w:rFonts w:ascii="Times New Roman" w:hAnsi="Times New Roman" w:cs="Times New Roman"/>
          <w:color w:val="000000" w:themeColor="text1"/>
          <w:kern w:val="2"/>
          <w:sz w:val="16"/>
          <w:szCs w:val="16"/>
        </w:rPr>
        <w:t xml:space="preserve"> Данные, относящиеся к первому полугодию 1917 г., по-видимому, ошибочны</w:t>
      </w:r>
    </w:p>
    <w:p w14:paraId="6D53BCB1" w14:textId="77777777" w:rsidR="00392894"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358" w:anchor="_ftnref9" w:history="1">
        <w:r w:rsidR="00392894" w:rsidRPr="002F2FDF">
          <w:rPr>
            <w:rFonts w:ascii="Times New Roman" w:hAnsi="Times New Roman" w:cs="Times New Roman"/>
            <w:color w:val="000000" w:themeColor="text1"/>
            <w:kern w:val="2"/>
            <w:sz w:val="16"/>
            <w:szCs w:val="16"/>
          </w:rPr>
          <w:t>[9]</w:t>
        </w:r>
      </w:hyperlink>
      <w:r w:rsidR="00392894" w:rsidRPr="002F2FDF">
        <w:rPr>
          <w:rFonts w:ascii="Times New Roman" w:hAnsi="Times New Roman" w:cs="Times New Roman"/>
          <w:color w:val="000000" w:themeColor="text1"/>
          <w:kern w:val="2"/>
          <w:sz w:val="16"/>
          <w:szCs w:val="16"/>
        </w:rPr>
        <w:t xml:space="preserve"> В док. ошибочно 44</w:t>
      </w:r>
    </w:p>
    <w:p w14:paraId="407ACBE9" w14:textId="77777777" w:rsidR="00392894"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359" w:anchor="_ftnref10" w:history="1">
        <w:r w:rsidR="00392894" w:rsidRPr="002F2FDF">
          <w:rPr>
            <w:rFonts w:ascii="Times New Roman" w:hAnsi="Times New Roman" w:cs="Times New Roman"/>
            <w:color w:val="000000" w:themeColor="text1"/>
            <w:kern w:val="2"/>
            <w:sz w:val="16"/>
            <w:szCs w:val="16"/>
          </w:rPr>
          <w:t>[10]</w:t>
        </w:r>
      </w:hyperlink>
      <w:r w:rsidR="00392894" w:rsidRPr="002F2FDF">
        <w:rPr>
          <w:rFonts w:ascii="Times New Roman" w:hAnsi="Times New Roman" w:cs="Times New Roman"/>
          <w:color w:val="000000" w:themeColor="text1"/>
          <w:kern w:val="2"/>
          <w:sz w:val="16"/>
          <w:szCs w:val="16"/>
        </w:rPr>
        <w:t xml:space="preserve"> Сокращения: Ю. — Юг, У. — Урал, Ц. — Центр</w:t>
      </w:r>
    </w:p>
    <w:p w14:paraId="41ED7BFE" w14:textId="77777777" w:rsidR="00392894"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360" w:anchor="_ftnref11" w:history="1">
        <w:r w:rsidR="00392894" w:rsidRPr="002F2FDF">
          <w:rPr>
            <w:rFonts w:ascii="Times New Roman" w:hAnsi="Times New Roman" w:cs="Times New Roman"/>
            <w:color w:val="000000" w:themeColor="text1"/>
            <w:kern w:val="2"/>
            <w:sz w:val="16"/>
            <w:szCs w:val="16"/>
          </w:rPr>
          <w:t>[11]</w:t>
        </w:r>
      </w:hyperlink>
      <w:r w:rsidR="00392894" w:rsidRPr="002F2FDF">
        <w:rPr>
          <w:rFonts w:ascii="Times New Roman" w:hAnsi="Times New Roman" w:cs="Times New Roman"/>
          <w:color w:val="000000" w:themeColor="text1"/>
          <w:kern w:val="2"/>
          <w:sz w:val="16"/>
          <w:szCs w:val="16"/>
        </w:rPr>
        <w:t xml:space="preserve"> См. в том же деле, л л . 13— 15 (15685).</w:t>
      </w:r>
    </w:p>
    <w:p w14:paraId="4EBA8AA7" w14:textId="77777777" w:rsidR="00392894" w:rsidRPr="002F2FDF" w:rsidRDefault="00392894" w:rsidP="0083075A">
      <w:pPr>
        <w:spacing w:after="0" w:line="240" w:lineRule="auto"/>
        <w:jc w:val="both"/>
        <w:rPr>
          <w:rFonts w:ascii="Times New Roman" w:hAnsi="Times New Roman" w:cs="Times New Roman"/>
          <w:color w:val="000000" w:themeColor="text1"/>
          <w:kern w:val="2"/>
          <w:sz w:val="16"/>
          <w:szCs w:val="16"/>
        </w:rPr>
      </w:pPr>
    </w:p>
    <w:p w14:paraId="6565F82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3EE58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CF6A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июля 1917 русские авиаразведчики сообщили о начавшейся переброске в район прорыва германских войск.</w:t>
      </w:r>
    </w:p>
    <w:p w14:paraId="65239C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боях под Конюхами русская авиация, несмотря, а, возможно, благодаря своей малочисленности, работала с полной отдачей и стремилась сделать все, на что только была способна, часто по собственной инициативе. Одни и те же "Вуазены" вели разведку, атаковали пехоту с воздуха и занимались бомбардировочной деятельностью.</w:t>
      </w:r>
    </w:p>
    <w:p w14:paraId="222A8F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Брагин: "По своей инициативе я начал разговоры с командиром авиаотряда Вамелкиным о разрешении совершить ночной полет в тыл противника с целью бомбометания. Случай скоро представился. Был июнь 1917 г., шли бои под Конюхами. 2-й артиллерийский авиаотряд стоял в деревне Денисув вблизи Тарнополя. Аэродром был достаточно хорошим. К концу июня, когда развернулось наступление наших войск, из штаба 11-й армии поступили сведения, что немецкое командование перебрасывает войска и боеприпасы к фронту. Это подтвердила и авиаразведка. Переброска шла на грузовиках по шоссе и по железной дороге Львов - Злочув - Тарнополь. Воздушная разведка установила, что железнодорожная станция Злочув забита железнодорожными составами. У меня появилась мысль подвергнуть эту станцию ночной бомбардировке. Изложив свои соображения в докладной записке на имя командования, я получил разрешение на полет" (11999).</w:t>
      </w:r>
    </w:p>
    <w:p w14:paraId="55DFAE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5D9F60" w14:textId="6658D985" w:rsidR="00E879F2" w:rsidRPr="00FB4F67" w:rsidRDefault="00E879F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 (</w:t>
      </w:r>
      <w:r w:rsidRPr="00FB4F67">
        <w:rPr>
          <w:rFonts w:ascii="Times New Roman" w:hAnsi="Times New Roman" w:cs="Times New Roman"/>
          <w:color w:val="0070C0"/>
          <w:sz w:val="16"/>
          <w:szCs w:val="16"/>
        </w:rPr>
        <w:t>14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июля 1917 г. личный состав 45-го корпусного воздухоплавательного отряда подбил пулеметным огнем вражеский летательный аппарат после того, как тот сумел сжечь в воздухе наш привязной аэростат. Подбитый самолет опустился на нейтральной полосе в районе расположения 3-го румынского корпуса (23405).</w:t>
      </w:r>
    </w:p>
    <w:p w14:paraId="18B81A17" w14:textId="77777777" w:rsidR="00E879F2" w:rsidRPr="00FB4F67" w:rsidRDefault="00E879F2" w:rsidP="0083075A">
      <w:pPr>
        <w:spacing w:after="0" w:line="240" w:lineRule="auto"/>
        <w:jc w:val="both"/>
        <w:rPr>
          <w:rFonts w:ascii="Times New Roman" w:hAnsi="Times New Roman" w:cs="Times New Roman"/>
          <w:color w:val="0070C0"/>
          <w:sz w:val="16"/>
          <w:szCs w:val="16"/>
        </w:rPr>
      </w:pPr>
    </w:p>
    <w:p w14:paraId="012D51A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2A148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6E28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июля 1917 в Смольный переехал ЦИК и Петросовет. Три этажа здания Смольного института благородных девиц были по вертикали разделены на две половины между институтом и Петроградским Советом и ЦИК, которые переехали в Смольный из Таврического дворца в середине августа (10739).</w:t>
      </w:r>
    </w:p>
    <w:p w14:paraId="5D04900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1589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июля 1917 Временное правительство ввело земства в западных и южных областях (3908,259).</w:t>
      </w:r>
    </w:p>
    <w:p w14:paraId="3C49A9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FD580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июля 1917 Временное правительство арестовало последнего военного министра царской России Михаила Беляева (4962).</w:t>
      </w:r>
    </w:p>
    <w:p w14:paraId="422817B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234A8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июля 1917 Финляндия провозгласила свою автономию (4962).</w:t>
      </w:r>
    </w:p>
    <w:p w14:paraId="3FEE347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5EBD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июля 1917 Временное правительство подписало компромиссный договор с украинской Радой и фактически признало автономию Украины (3908,259).</w:t>
      </w:r>
    </w:p>
    <w:p w14:paraId="3D93DC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6D9FD5"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июля в 1917 году Временное правительство публикует декларацию о национальной автономии Украины. Об этом до недавних времен в советских, так называемых исторических, трудах вообще не упоминалось. Неизвестно, вылилось бы это в полную независимость или нет, так как большевики, захватив власть, сперва отдали большую часть Украины немцам по Брестскому миру, а потом полностью завладели Украиной сами. Сейчас это, как известно, самостоятельное государство, самое большое из всех, расположенных целиком на европейской территории (14952).</w:t>
      </w:r>
    </w:p>
    <w:p w14:paraId="4499A8A9"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p>
    <w:p w14:paraId="55E84604" w14:textId="77777777" w:rsidR="00394BC0" w:rsidRPr="002F2FDF" w:rsidRDefault="00394BC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 (14) июля</w:t>
      </w:r>
      <w:r w:rsidRPr="002F2FDF">
        <w:rPr>
          <w:rFonts w:ascii="Times New Roman" w:hAnsi="Times New Roman" w:cs="Times New Roman"/>
          <w:color w:val="000000" w:themeColor="text1"/>
          <w:kern w:val="2"/>
          <w:sz w:val="16"/>
          <w:szCs w:val="16"/>
        </w:rPr>
        <w:t xml:space="preserve"> в 1917 году в России впервые осуществлен переход с зимнего на летнее время. В настоящее время режим перевода стрелок на «летнее» время применяется более чем в 110 странах на всех широтах от Канады до Австралии и во всех европейских государствах. В России впервые этот переход был осуществлен 1 июля 1917 года, когда в соответствии с декретом Временного правительства стрелки всех часов в России были переведены на один час вперед, а назад их переводили уже по декрету Совнаркома, который был принят 16 июня 1930 года. Тогда стрелки часов были переведены на час вперед относительно поясного времени. После этого стрелки назад не перевели, и страна круглый год жила и работала, на один час опережая естественный суточный цикл. Установленное время приобрело название «декретного», поскольку было введено декретом Совета народных комиссаров СССР. СССР более 50 лет жил по «декретному» времени. Лишь с 1981 года страна вернулась к сезонному времени. Переход на летнее время в СССР возобновился 1 апреля 1981 года, но уже по отношению к «декретному». То есть с этого времени летом мы стали жить уже на два часа опережая природный цикл. Это значит, что для всей России и сейчас «правильное» время стрелки часов показывают зимой. В своем нынешнем виде система перехода на разное время, при которой переход на «летнее» время осуществляется в начале апреля, а на «зимнее» - в конце октября, действует с 1997 года (14939).</w:t>
      </w:r>
    </w:p>
    <w:p w14:paraId="4AD2F380" w14:textId="77777777" w:rsidR="00394BC0" w:rsidRPr="002F2FDF" w:rsidRDefault="00394BC0" w:rsidP="0083075A">
      <w:pPr>
        <w:spacing w:after="0" w:line="240" w:lineRule="auto"/>
        <w:jc w:val="both"/>
        <w:rPr>
          <w:rFonts w:ascii="Times New Roman" w:hAnsi="Times New Roman" w:cs="Times New Roman"/>
          <w:color w:val="000000" w:themeColor="text1"/>
          <w:kern w:val="2"/>
          <w:sz w:val="16"/>
          <w:szCs w:val="16"/>
        </w:rPr>
      </w:pPr>
    </w:p>
    <w:p w14:paraId="19D44C7F" w14:textId="77777777" w:rsidR="00392894"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00875332" w14:textId="77777777" w:rsidR="00392894" w:rsidRPr="002F2FDF" w:rsidRDefault="0039289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8F5B56" w14:textId="77777777" w:rsidR="00392894" w:rsidRPr="002F2FDF" w:rsidRDefault="00392894" w:rsidP="0083075A">
      <w:pPr>
        <w:pStyle w:val="ae"/>
        <w:spacing w:before="0" w:after="0"/>
        <w:jc w:val="both"/>
        <w:rPr>
          <w:color w:val="000000" w:themeColor="text1"/>
          <w:kern w:val="2"/>
          <w:sz w:val="16"/>
          <w:szCs w:val="16"/>
        </w:rPr>
      </w:pPr>
      <w:r w:rsidRPr="002F2FDF">
        <w:rPr>
          <w:color w:val="000000" w:themeColor="text1"/>
          <w:kern w:val="2"/>
          <w:sz w:val="16"/>
          <w:szCs w:val="16"/>
        </w:rPr>
        <w:t>1 (14) июля 1917 г. Особое совещание по обороне в заседании обсуждало вопрос о ходе поставок артиллерийского имущества из-за границы за март-июнь 1917 г. Доклад по этому вопросу был сделан ген. А. А. Маниковским, предложивши.» «довести через министра иностранных дел от имени Особого совещания до сведения правительств тех союзных держав, которые доставляют России артиллерию тяжелых калибров и ружейные патроны, о настоятельной и срочной потребности русской армия в упомянутых предметах снабжения и о том, что неполучение в обусловленные сроки орудий, выстрелов к ним и ружейных патронов поставит армию в весьма тяжелые условия и уменьшит ее способность к активным действиям» (ЦГВИА, ф. 369, оп. 1. д. 380, л. 88). Предложение Маниковского было одобрено Особым совещанием по обороне (15148).</w:t>
      </w:r>
    </w:p>
    <w:p w14:paraId="30AFD899" w14:textId="77777777" w:rsidR="00392894" w:rsidRPr="002F2FDF" w:rsidRDefault="00392894"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6515292A" w14:textId="77777777" w:rsidR="00394BC0" w:rsidRPr="002F2FDF" w:rsidRDefault="00394BC0"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1 (14) июля 1917 г. </w:t>
      </w:r>
      <w:r w:rsidRPr="002F2FDF">
        <w:rPr>
          <w:rFonts w:ascii="Times New Roman" w:hAnsi="Times New Roman" w:cs="Times New Roman"/>
          <w:color w:val="000000" w:themeColor="text1"/>
          <w:kern w:val="2"/>
          <w:sz w:val="16"/>
          <w:szCs w:val="16"/>
        </w:rPr>
        <w:t>Телеграмма ген. Э. К. Гермониуса ген. А. А. Маниловскому о сокращении тоннажа и отказе союзников в предоставлении России артиллерии.</w:t>
      </w:r>
    </w:p>
    <w:p w14:paraId="77D92A50" w14:textId="2E5F83F2" w:rsidR="00394BC0" w:rsidRPr="002F2FDF" w:rsidRDefault="00394BC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499</w:t>
      </w:r>
    </w:p>
    <w:p w14:paraId="61393B24" w14:textId="6EFE8D8D" w:rsidR="00394BC0" w:rsidRPr="002F2FDF" w:rsidRDefault="00394BC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ЦГВИА, ф. 2000, оп. 1, д. 6123, л. 8. Заверенная копия.</w:t>
      </w:r>
    </w:p>
    <w:p w14:paraId="6B9ECC7C" w14:textId="77777777" w:rsidR="00394BC0" w:rsidRPr="002F2FDF" w:rsidRDefault="00394BC0" w:rsidP="0083075A">
      <w:pPr>
        <w:pStyle w:val="rtejustify"/>
        <w:spacing w:before="0" w:after="0"/>
        <w:rPr>
          <w:color w:val="000000" w:themeColor="text1"/>
          <w:kern w:val="2"/>
          <w:sz w:val="16"/>
          <w:szCs w:val="16"/>
        </w:rPr>
      </w:pPr>
      <w:r w:rsidRPr="002F2FDF">
        <w:rPr>
          <w:color w:val="000000" w:themeColor="text1"/>
          <w:kern w:val="2"/>
          <w:sz w:val="16"/>
          <w:szCs w:val="16"/>
        </w:rPr>
        <w:t>Ген. Маниковскому. Сокращение тоннажа, сокращение ввоза угля и отказ в немедленном отпуске для нас обещанной тяжелой артиллерии возбуждает во мне и ближайших сотрудниках опасения, не потребуют ли эти новые факты пересмотра планов войны. Такое мнение я сообщал английскому правительству. В видах давления на английское правительство и для разъяснения положения я считал бы крайне полезным немедленное созвание союзнической конференции по вопросам стратегическим п снабжения.</w:t>
      </w:r>
    </w:p>
    <w:p w14:paraId="4617AD47" w14:textId="77777777" w:rsidR="00394BC0" w:rsidRPr="002F2FDF" w:rsidRDefault="00394BC0" w:rsidP="0083075A">
      <w:pPr>
        <w:pStyle w:val="rtejustify"/>
        <w:spacing w:before="0" w:after="0"/>
        <w:rPr>
          <w:color w:val="000000" w:themeColor="text1"/>
          <w:kern w:val="2"/>
          <w:sz w:val="16"/>
          <w:szCs w:val="16"/>
        </w:rPr>
      </w:pPr>
      <w:r w:rsidRPr="002F2FDF">
        <w:rPr>
          <w:color w:val="000000" w:themeColor="text1"/>
          <w:kern w:val="2"/>
          <w:sz w:val="16"/>
          <w:szCs w:val="16"/>
        </w:rPr>
        <w:t>Прошу указаний. На днях представлю письмо Lloyd George Военного кабинета по вопросам артиллерии, угля и тоннажа. № 10817 (15151).</w:t>
      </w:r>
    </w:p>
    <w:p w14:paraId="155F5CEE" w14:textId="77777777" w:rsidR="00394BC0" w:rsidRPr="002F2FDF" w:rsidRDefault="00394BC0"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067CCBA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C9DEA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48CDCC"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 (14) июля в 1917 году Германское Техническое ведомство выдало «Фоккеру» заказ на серию из двадцати </w:t>
      </w:r>
      <w:hyperlink r:id="rId361" w:tgtFrame="_blank" w:history="1">
        <w:r w:rsidRPr="002F2FDF">
          <w:rPr>
            <w:rFonts w:ascii="Times New Roman" w:hAnsi="Times New Roman" w:cs="Times New Roman"/>
            <w:color w:val="000000" w:themeColor="text1"/>
            <w:kern w:val="2"/>
            <w:sz w:val="16"/>
            <w:szCs w:val="16"/>
          </w:rPr>
          <w:t xml:space="preserve">«Fokker» „Dreidecker». </w:t>
        </w:r>
      </w:hyperlink>
      <w:r w:rsidRPr="002F2FDF">
        <w:rPr>
          <w:rFonts w:ascii="Times New Roman" w:hAnsi="Times New Roman" w:cs="Times New Roman"/>
          <w:color w:val="000000" w:themeColor="text1"/>
          <w:kern w:val="2"/>
          <w:sz w:val="16"/>
          <w:szCs w:val="16"/>
        </w:rPr>
        <w:t>Самолетам этой серии присваивалось временное войсковое обозначение "F", как классу трипланов (14952).</w:t>
      </w:r>
    </w:p>
    <w:p w14:paraId="710BE1F3"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p>
    <w:p w14:paraId="28200A31"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(14) июля 1917 г. Фоккер получил первый серийный заказ на 20 истребителей по типу самолета V.5 со всеми доработками, требуемыми ВВС. Из них 16 надо было построить, а четыре — уже оплаченные казной опытные образцы V.4 и V.5. Первоначально они были обозначены Фоккер F I, чтобы отличать от истребителеймонопланов Е и бипланов D. На фирме самолет считали квадрипланом, рассматривая обтекатель оси колес как четвертое крыло, но озабоченное трипланами руководство IdFlieg записало самолет в этот класс, и вскоре обозначение было заменено на Фоккер Dr I — слово Dreidecker означало «триплан» (22781).</w:t>
      </w:r>
    </w:p>
    <w:p w14:paraId="7033CFE4"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p>
    <w:p w14:paraId="6FE815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июля 1917 Г.Михаэлис сменил Т. фон Бетманн-Хольвег на посту канцлера Германии (3907,90).</w:t>
      </w:r>
    </w:p>
    <w:p w14:paraId="357F2B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A8C40D" w14:textId="77777777" w:rsidR="00D0336F"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7760AFA" w14:textId="77777777" w:rsidR="00D0336F" w:rsidRPr="002F2FDF" w:rsidRDefault="00D0336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8FF402" w14:textId="77777777" w:rsidR="00D0336F" w:rsidRPr="002F2FDF" w:rsidRDefault="00D0336F"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2 (15) июля 1917 по хорошо освоенному первыми русскими летчиками маршруту Москва—Тверь—Москва пролетел инструктор московской авиашколы Россинский с пассажиром, перелет назвали «рекордным для московских авиаторов». Летели 3 час 15 мин, из них не менее 2 час на высоте свыше 2000 м. Россинский взлетел с Ходынки в 4 час 15 мин на «Ньюпоре» с общей нагрузкой 290 кг (18 пудов) и позже делился впечатлениями: «Поднявшись с Ходынки и взяв должную высоту, я начал поглядывать вниз. Московские окрестности скрывались в утреннем тумане. Вдруг что-то сверкнуло мне в глаза, — это было Сенежское озеро, горевшее на утренней заре всеми цветами радуги, гладкое как зеркало. Показался город Клин. С высоты я видел его целиком, он казался не более тарелки, на которой кто-то рассыпал золоченые точечки — главы церквей. Тверская губерния определилась для меня сверкающей справа лентой реки, — это играла на солнце Волга. Повернув к Волге и держась в дальнейшем ее русла, я долетел до Твери.</w:t>
      </w:r>
    </w:p>
    <w:p w14:paraId="4B90CCBD" w14:textId="77777777" w:rsidR="00D0336F" w:rsidRPr="002F2FDF" w:rsidRDefault="00D0336F"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Иллюстрацией служила барограмма, зафиксировавшая высоту более 2000 м в течение 2 часов. Цель «длительно-высотного» полета неясна. Возможно, испытывали двухместный «Ньюпор» в полете с полной нагрузкой выше ружейно-пулеметного огня. Но, возможно, Россинский просто напомнил о себе, пока другие летчики воевали на фронтах, и к ним было приковано основное внимание общества (15464).</w:t>
      </w:r>
    </w:p>
    <w:p w14:paraId="0D0B4A9A" w14:textId="77777777" w:rsidR="00D0336F" w:rsidRPr="002F2FDF" w:rsidRDefault="00D0336F" w:rsidP="0083075A">
      <w:pPr>
        <w:pStyle w:val="2"/>
        <w:spacing w:before="0" w:beforeAutospacing="0" w:after="0" w:afterAutospacing="0"/>
        <w:jc w:val="both"/>
        <w:rPr>
          <w:b w:val="0"/>
          <w:color w:val="000000" w:themeColor="text1"/>
          <w:kern w:val="2"/>
          <w:sz w:val="16"/>
          <w:szCs w:val="16"/>
        </w:rPr>
      </w:pPr>
    </w:p>
    <w:p w14:paraId="0539A48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F6A8E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E26B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июля 1917 в ночь состоялся налет русского бомбардировщика на одно из мест скопления прибывающих по ночам германских подкреплений.</w:t>
      </w:r>
    </w:p>
    <w:p w14:paraId="5A4D8D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Брагин: "Самолет "Вуазен" имел максимальный запас горючего 256 кг. Мною было налито только 130 кг, а за счет облегчения решено было взять груз бомб. На примитивных ухватках около бортов гондолы, ближе к крыльям самолета, были укреплены две пудовые бомбы. Одну двухпудовую бомбу и две двадцатифунтовых разместили в гондоле. Общая бомбовая нагрузка составляла 80 кг. Моим товарищем в полете был летчик-наблюдатель штабс-капитан Бонч-Бруевич. Вместе с нами на втором самолете "Вуазен" должен был лететь прапорщик Н.А. Андреев. Его самолет имел такую же бомбовую нагрузку, как и моя машина. Вылететь мы решили около часа ночи, чтобы произвести посадку самолетов на рассвете.</w:t>
      </w:r>
    </w:p>
    <w:p w14:paraId="6C3B64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Стояли летние июньские лунные ночи. Взлет со знакомого аэродрома не представлял трудностей. Освещение кабины я сделал от двух сухих батарей и маленькой елочной электролампочки. Горизонт при лунном освещении был достаточно хорошо виден, и вести самолет в горизонтальном полете не представляло затруднений. Сделав круг над аэродромом, я увидел, что самолет Андреева не взлетел - как потом выяснилось, из-за неисправности мотора. Мы взяли курс на высоте 800-1000 м. Залитая лунным светом местность, знакомая по многочисленным дневным полетам, облегчала ориентировку в ночном полете. Шоссе и реки были видны отчетливо. Перед Езерней я повернул самолет в тыл противника и повел его по линии железной дороги на станцию Злочув, которая являлась целью нашего полета. Пройдя линию своих и неприятельских окопов, мы оказались вблизи станции Злочув.</w:t>
      </w:r>
    </w:p>
    <w:p w14:paraId="3D9A21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время полета я заметил, что иду с тенденцией сноса вправо, о чем поставил в известность штабс-капитана Бонч- Бруевича. От него последовало указание подвести самолет к станции Злочув, ориентируясь по окну самолета, расположенному в передней части кабины под ножным управлением. Я должен был держаться линии железной дороги по правому борту окантовки окна. Когда мы подлетели к станции на высоте 800 м, штабс-капитан Бонч-Бруевич бросил друг за другом две двадцатифунтовые бомбы. Обе бомбы разорвались от станции справа. Тогда мы сделали второй заход много левее, ориентируясь по окну и поглядывая через борт кабины. Штабс-капитан Бонч-Бруевич бросил пудовые бомбы, укрепленные на бортах кабины. Обе бомбы упали на железнодорожные пути, забитые поездными составами. Раздались два взрыва. От одной из бомб загорелся, по- видимому, вагон в составе одного из товарных поездов. Уйдя за территорию станции, чтобы сделать третий заход, мы услышали сильный взрыв и увидели, как пламя бушует среди железнодорожных составов. Очевидно, взорвался один из вагонов со снарядами. Бонч-Бруевич выбросил оставшийся груз бомб за борт самолета, и мы полетели обратно. При уходе со станции Злочув отдельные зенитные батареи открыли по нас огонь, но снаряды рвались беспорядочно. Мы заметили два прожектора, в лучц которых наш самолет не попал, хотя работа их началась после нашего первого захода. Обратный полет замедлял боковой встречный ветер. Я хорошо помнил, что имею только один бак горючего. Глядя на бензомер, Бонч-Бруевич сделал заключение, что до своего аэродрома нам не дотянуть. К счастью, мы уже прошли линию фронта и решили сесть на аэродроме в Езерне. Там стоял 35-й корпусной авиаотряд, которым командовал в то время летчик Святогор.</w:t>
      </w:r>
    </w:p>
    <w:p w14:paraId="5CF389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Аэродром в Езерне мне тоже был знаком по дневным полетам, и я не раз совершал на нем посадки. Восток начинал светлеть, ночь подходила к концу. Земля стала видна лучше. Зайдя за Езерню, я повел самолет на посадку со стороны видневшихся зданий. Вдруг летчик-наблюдатель заметил, что из нескольких дворов по нашему самолету ведется не только винтовочный, но и пулеметный огонь. Когда я совершил посадку и осмотрел самолет, то обнаружил восемь пулевых пробоин в крыльях, оперении и гондоле. Пробоины тотчас же были заклеены кусочками перкаля и покрыты эмалитом. Обстрел нашего самолета был произведен пехотными частями, расположенными в Езерне, которые приняли наш самолет за неприятельский.</w:t>
      </w:r>
    </w:p>
    <w:p w14:paraId="05FB5F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 решил дожидаться полного рассвета и отдал распоряжение залить бензином оба бака. Не прошло и получаса, как мы услышали на аэродроме тревогу. Оказывается, два немецких самолета довольно низко сделали круг над аэродромом и ушли к себе в тыл. Воспользовавшись свободным временем, я сделал донесение в штаб 11-го авиадивизиона о совершенном полете. Связаться со своим отрядом мне не удалось, что вызвало тревогу всех ожидавших нашего возвращения. Когда совсем рассвело, мы взлетели с аэродрома 35-го корпусного авиаотряда и вскоре благополучно приземлились на своем аэродроме. Солдаты и офицеры уже знали через 11-й авиадивизион о нашем удачном полете. Как только я подрулил к ангару, и мы вышли из самолета, нас подхватили и на руках донесли /до беседки, расположенной у радиостанции.</w:t>
      </w:r>
    </w:p>
    <w:p w14:paraId="177D82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Произведенная днем фотосъемка станции Злочув подтвердила наши предположения о разрушениях после бомбометания. К вечеру я узнал, что аэродром 35-го корпусного авиаотряда днем был подвергнут немецкими летчиками бомбежке и обстрелу палаток, в которых находились самолеты. В результате этого два самолета выбыли из строя, а несколько оказались поврежденными. При первой же встрече со мной командир 35-го корпусного авиаотряда Свято- гор сказал мне, чтобы после ночных полетов я возвращался на свой аэродром, так как немцы отомстили ему за меня и исковыряли бомбами его аэродром" (11999).</w:t>
      </w:r>
    </w:p>
    <w:p w14:paraId="44FF93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D28A1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июля 1917 четыре новые германские дивизии остановили наступление русских войск генерала Корнилова в Галиции (4962).</w:t>
      </w:r>
    </w:p>
    <w:p w14:paraId="7708F13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1BC3A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D2D6E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3074515" w14:textId="66C22EF2" w:rsidR="00597FF8" w:rsidRPr="002F2FDF" w:rsidRDefault="00597F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июля 1917, протестуя против заключения делегатами Временного правительства (</w:t>
      </w:r>
      <w:hyperlink r:id="rId362" w:tooltip="Керенский, Александр Фёдорович" w:history="1">
        <w:r w:rsidRPr="002F2FDF">
          <w:rPr>
            <w:rFonts w:ascii="Times New Roman" w:hAnsi="Times New Roman" w:cs="Times New Roman"/>
            <w:color w:val="000000" w:themeColor="text1"/>
            <w:kern w:val="2"/>
            <w:sz w:val="16"/>
            <w:szCs w:val="16"/>
          </w:rPr>
          <w:t>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Ф.</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Керенский</w:t>
        </w:r>
      </w:hyperlink>
      <w:r w:rsidRPr="002F2FDF">
        <w:rPr>
          <w:rFonts w:ascii="Times New Roman" w:hAnsi="Times New Roman" w:cs="Times New Roman"/>
          <w:color w:val="000000" w:themeColor="text1"/>
          <w:kern w:val="2"/>
          <w:sz w:val="16"/>
          <w:szCs w:val="16"/>
        </w:rPr>
        <w:t xml:space="preserve">, </w:t>
      </w:r>
      <w:hyperlink r:id="rId363" w:tooltip="Терещенко, Михаил Иванович" w:history="1">
        <w:r w:rsidRPr="002F2FDF">
          <w:rPr>
            <w:rFonts w:ascii="Times New Roman" w:hAnsi="Times New Roman" w:cs="Times New Roman"/>
            <w:color w:val="000000" w:themeColor="text1"/>
            <w:kern w:val="2"/>
            <w:sz w:val="16"/>
            <w:szCs w:val="16"/>
          </w:rPr>
          <w:t>М.</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Терещенко</w:t>
        </w:r>
      </w:hyperlink>
      <w:r w:rsidRPr="002F2FDF">
        <w:rPr>
          <w:rFonts w:ascii="Times New Roman" w:hAnsi="Times New Roman" w:cs="Times New Roman"/>
          <w:color w:val="000000" w:themeColor="text1"/>
          <w:kern w:val="2"/>
          <w:sz w:val="16"/>
          <w:szCs w:val="16"/>
        </w:rPr>
        <w:t xml:space="preserve"> и </w:t>
      </w:r>
      <w:hyperlink r:id="rId364" w:tooltip="Церетели, Ираклий Георгиевич" w:history="1">
        <w:r w:rsidRPr="002F2FDF">
          <w:rPr>
            <w:rFonts w:ascii="Times New Roman" w:hAnsi="Times New Roman" w:cs="Times New Roman"/>
            <w:color w:val="000000" w:themeColor="text1"/>
            <w:kern w:val="2"/>
            <w:sz w:val="16"/>
            <w:szCs w:val="16"/>
          </w:rPr>
          <w:t>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Церетели</w:t>
        </w:r>
      </w:hyperlink>
      <w:r w:rsidRPr="002F2FDF">
        <w:rPr>
          <w:rFonts w:ascii="Times New Roman" w:hAnsi="Times New Roman" w:cs="Times New Roman"/>
          <w:color w:val="000000" w:themeColor="text1"/>
          <w:kern w:val="2"/>
          <w:sz w:val="16"/>
          <w:szCs w:val="16"/>
        </w:rPr>
        <w:t>) соглашения с Украинской центральной радой и опубликования Временным правительством декларации по украинскому вопросу (в которой говорилось о признании Временным правительством Генерального секретариата как высшего распорядительного органа Украины, а также о том, что правительство благосклонно отнесётся к разработке Украинской радой проекта национально-политического статута Украины), в отставку ушли члены правительства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кадеты </w:t>
      </w:r>
      <w:hyperlink r:id="rId365" w:tooltip="Шаховской, Дмитрий Иванович" w:history="1">
        <w:r w:rsidRPr="002F2FDF">
          <w:rPr>
            <w:rFonts w:ascii="Times New Roman" w:hAnsi="Times New Roman" w:cs="Times New Roman"/>
            <w:color w:val="000000" w:themeColor="text1"/>
            <w:kern w:val="2"/>
            <w:sz w:val="16"/>
            <w:szCs w:val="16"/>
          </w:rPr>
          <w:t>Д.</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Шаховской</w:t>
        </w:r>
      </w:hyperlink>
      <w:r w:rsidRPr="002F2FDF">
        <w:rPr>
          <w:rFonts w:ascii="Times New Roman" w:hAnsi="Times New Roman" w:cs="Times New Roman"/>
          <w:color w:val="000000" w:themeColor="text1"/>
          <w:kern w:val="2"/>
          <w:sz w:val="16"/>
          <w:szCs w:val="16"/>
        </w:rPr>
        <w:t xml:space="preserve">, </w:t>
      </w:r>
      <w:hyperlink r:id="rId366" w:tooltip="Мануйлов, Александр Аполлонович" w:history="1">
        <w:r w:rsidRPr="002F2FDF">
          <w:rPr>
            <w:rFonts w:ascii="Times New Roman" w:hAnsi="Times New Roman" w:cs="Times New Roman"/>
            <w:color w:val="000000" w:themeColor="text1"/>
            <w:kern w:val="2"/>
            <w:sz w:val="16"/>
            <w:szCs w:val="16"/>
          </w:rPr>
          <w:t>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Мануйлов</w:t>
        </w:r>
      </w:hyperlink>
      <w:r w:rsidRPr="002F2FDF">
        <w:rPr>
          <w:rFonts w:ascii="Times New Roman" w:hAnsi="Times New Roman" w:cs="Times New Roman"/>
          <w:color w:val="000000" w:themeColor="text1"/>
          <w:kern w:val="2"/>
          <w:sz w:val="16"/>
          <w:szCs w:val="16"/>
        </w:rPr>
        <w:t xml:space="preserve">, </w:t>
      </w:r>
      <w:hyperlink r:id="rId367" w:tooltip="Шингарёв, Андрей Иванович" w:history="1">
        <w:r w:rsidRPr="002F2FDF">
          <w:rPr>
            <w:rFonts w:ascii="Times New Roman" w:hAnsi="Times New Roman" w:cs="Times New Roman"/>
            <w:color w:val="000000" w:themeColor="text1"/>
            <w:kern w:val="2"/>
            <w:sz w:val="16"/>
            <w:szCs w:val="16"/>
          </w:rPr>
          <w:t>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Шингарёв</w:t>
        </w:r>
      </w:hyperlink>
      <w:r w:rsidRPr="002F2FDF">
        <w:rPr>
          <w:rFonts w:ascii="Times New Roman" w:hAnsi="Times New Roman" w:cs="Times New Roman"/>
          <w:color w:val="000000" w:themeColor="text1"/>
          <w:kern w:val="2"/>
          <w:sz w:val="16"/>
          <w:szCs w:val="16"/>
        </w:rPr>
        <w:t xml:space="preserve">. Информацию о том, что из состава кабинета вышли </w:t>
      </w:r>
      <w:r w:rsidRPr="002F2FDF">
        <w:rPr>
          <w:rFonts w:ascii="Times New Roman" w:hAnsi="Times New Roman" w:cs="Times New Roman"/>
          <w:bCs/>
          <w:color w:val="000000" w:themeColor="text1"/>
          <w:kern w:val="2"/>
          <w:sz w:val="16"/>
          <w:szCs w:val="16"/>
        </w:rPr>
        <w:t>пять</w:t>
      </w:r>
      <w:r w:rsidRPr="002F2FDF">
        <w:rPr>
          <w:rFonts w:ascii="Times New Roman" w:hAnsi="Times New Roman" w:cs="Times New Roman"/>
          <w:color w:val="000000" w:themeColor="text1"/>
          <w:kern w:val="2"/>
          <w:sz w:val="16"/>
          <w:szCs w:val="16"/>
        </w:rPr>
        <w:t xml:space="preserve"> министров (включая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Степанова и Н.</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Некрасова, «который, впрочем, покинув партию кадетов, в правительстве остался») прессе сообщил глава правительства князь </w:t>
      </w:r>
      <w:hyperlink r:id="rId368" w:tooltip="Львов, Георгий Евгеньевич" w:history="1">
        <w:r w:rsidRPr="002F2FDF">
          <w:rPr>
            <w:rFonts w:ascii="Times New Roman" w:hAnsi="Times New Roman" w:cs="Times New Roman"/>
            <w:color w:val="000000" w:themeColor="text1"/>
            <w:kern w:val="2"/>
            <w:sz w:val="16"/>
            <w:szCs w:val="16"/>
          </w:rPr>
          <w:t>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Львов</w:t>
        </w:r>
      </w:hyperlink>
      <w:r w:rsidRPr="002F2FDF">
        <w:rPr>
          <w:rFonts w:ascii="Times New Roman" w:hAnsi="Times New Roman" w:cs="Times New Roman"/>
          <w:color w:val="000000" w:themeColor="text1"/>
          <w:kern w:val="2"/>
          <w:sz w:val="16"/>
          <w:szCs w:val="16"/>
        </w:rPr>
        <w:t xml:space="preserve"> днём 3 (16) июля. Некоторые наблюдатели считали, что последовавшие события были непосредственно связаны с этим распадом правительственной коалиции. Как пишет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Т.</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Логинов, из информации о правительственном кризисе рабочие и солдаты сделали свой вывод: прежде в правительстве было 10 «министров-капиталистов», «которые, якобы, и являлись причиной всех зол», теперь их осталось только пять</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осталось сбросить и их, «</w:t>
      </w:r>
      <w:r w:rsidRPr="002F2FDF">
        <w:rPr>
          <w:rFonts w:ascii="Times New Roman" w:hAnsi="Times New Roman" w:cs="Times New Roman"/>
          <w:iCs/>
          <w:color w:val="000000" w:themeColor="text1"/>
          <w:kern w:val="2"/>
          <w:sz w:val="16"/>
          <w:szCs w:val="16"/>
        </w:rPr>
        <w:t>и</w:t>
      </w:r>
      <w:r w:rsidR="00E52569">
        <w:rPr>
          <w:rFonts w:ascii="Times New Roman" w:hAnsi="Times New Roman" w:cs="Times New Roman"/>
          <w:iCs/>
          <w:color w:val="000000" w:themeColor="text1"/>
          <w:kern w:val="2"/>
          <w:sz w:val="16"/>
          <w:szCs w:val="16"/>
        </w:rPr>
        <w:t xml:space="preserve"> </w:t>
      </w:r>
      <w:r w:rsidRPr="002F2FDF">
        <w:rPr>
          <w:rFonts w:ascii="Times New Roman" w:hAnsi="Times New Roman" w:cs="Times New Roman"/>
          <w:iCs/>
          <w:color w:val="000000" w:themeColor="text1"/>
          <w:kern w:val="2"/>
          <w:sz w:val="16"/>
          <w:szCs w:val="16"/>
        </w:rPr>
        <w:t>— если как следует нажать на „соглашателей“</w:t>
      </w:r>
      <w:r w:rsidR="00E52569">
        <w:rPr>
          <w:rFonts w:ascii="Times New Roman" w:hAnsi="Times New Roman" w:cs="Times New Roman"/>
          <w:iCs/>
          <w:color w:val="000000" w:themeColor="text1"/>
          <w:kern w:val="2"/>
          <w:sz w:val="16"/>
          <w:szCs w:val="16"/>
        </w:rPr>
        <w:t xml:space="preserve"> </w:t>
      </w:r>
      <w:r w:rsidRPr="002F2FDF">
        <w:rPr>
          <w:rFonts w:ascii="Times New Roman" w:hAnsi="Times New Roman" w:cs="Times New Roman"/>
          <w:iCs/>
          <w:color w:val="000000" w:themeColor="text1"/>
          <w:kern w:val="2"/>
          <w:sz w:val="16"/>
          <w:szCs w:val="16"/>
        </w:rPr>
        <w:t>— власть перейдёт к Советам. Важно лишь не упустить момент. Может быть, столь определённо масса и не формулировала свою задачу, но вновь поднявшаяся революционная волна имела именно такой вектор движения</w:t>
      </w:r>
      <w:r w:rsidRPr="002F2FDF">
        <w:rPr>
          <w:rFonts w:ascii="Times New Roman" w:hAnsi="Times New Roman" w:cs="Times New Roman"/>
          <w:color w:val="000000" w:themeColor="text1"/>
          <w:kern w:val="2"/>
          <w:sz w:val="16"/>
          <w:szCs w:val="16"/>
        </w:rPr>
        <w:t>». Указывается также, что июльские события отчасти были обусловлены предшествовавшей им агитаторской деятельностью радикальных большевиков и анархистов (17029).</w:t>
      </w:r>
    </w:p>
    <w:p w14:paraId="78F235C7" w14:textId="77777777" w:rsidR="00597FF8" w:rsidRPr="002F2FDF" w:rsidRDefault="00597F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061C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июля 1917 произошел новый правительственный кризис из-за отставки кадетов, несогласных с курсом в отношении Украины (1348,85).</w:t>
      </w:r>
    </w:p>
    <w:p w14:paraId="2890F0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6A9CC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июля 1917 кадеты вышли из Временного правительства России из-за намерения левых министров признать автономию Украины (4962).</w:t>
      </w:r>
    </w:p>
    <w:p w14:paraId="240C986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3F0CF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7E15B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7ACD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июля 1917 Д.П.Г. уже в качестве заводчика предложил Морскому ведомству построить 50 лл школьного типа под мотор Рон 110 или 125 нр (2808,23).</w:t>
      </w:r>
    </w:p>
    <w:p w14:paraId="712617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54B6E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5F978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8C37D9" w14:textId="77777777" w:rsidR="00053D91" w:rsidRPr="002F2FDF" w:rsidRDefault="00053D9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июля 1917 ввели смертную казнь на фронте за дезертирство</w:t>
      </w:r>
      <w:r w:rsidR="00135C75" w:rsidRPr="002F2FDF">
        <w:rPr>
          <w:rFonts w:ascii="Times New Roman" w:hAnsi="Times New Roman" w:cs="Times New Roman"/>
          <w:color w:val="000000" w:themeColor="text1"/>
          <w:kern w:val="2"/>
          <w:sz w:val="16"/>
          <w:szCs w:val="16"/>
        </w:rPr>
        <w:t xml:space="preserve"> (12629)</w:t>
      </w:r>
      <w:r w:rsidRPr="002F2FDF">
        <w:rPr>
          <w:rFonts w:ascii="Times New Roman" w:hAnsi="Times New Roman" w:cs="Times New Roman"/>
          <w:color w:val="000000" w:themeColor="text1"/>
          <w:kern w:val="2"/>
          <w:sz w:val="16"/>
          <w:szCs w:val="16"/>
        </w:rPr>
        <w:t>.</w:t>
      </w:r>
    </w:p>
    <w:p w14:paraId="0447370F" w14:textId="77777777" w:rsidR="00053D91" w:rsidRPr="002F2FDF" w:rsidRDefault="00053D91"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17E8E8" w14:textId="2CEECFE6" w:rsidR="003431D2" w:rsidRPr="002F2FDF" w:rsidRDefault="006E5CD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6E5CD0">
        <w:rPr>
          <w:rFonts w:ascii="Times New Roman" w:hAnsi="Times New Roman" w:cs="Times New Roman"/>
          <w:color w:val="000000" w:themeColor="text1"/>
          <w:kern w:val="2"/>
          <w:sz w:val="16"/>
          <w:szCs w:val="16"/>
          <w:lang w:val="en-US"/>
        </w:rPr>
        <w:t>3-(</w:t>
      </w:r>
      <w:r w:rsidR="003431D2" w:rsidRPr="002F2FDF">
        <w:rPr>
          <w:rFonts w:ascii="Times New Roman" w:hAnsi="Times New Roman" w:cs="Times New Roman"/>
          <w:color w:val="000000" w:themeColor="text1"/>
          <w:kern w:val="2"/>
          <w:sz w:val="16"/>
          <w:szCs w:val="16"/>
          <w:lang w:val="en-US"/>
        </w:rPr>
        <w:t>16-23</w:t>
      </w:r>
      <w:r w:rsidRPr="006E5CD0">
        <w:rPr>
          <w:rFonts w:ascii="Times New Roman" w:hAnsi="Times New Roman" w:cs="Times New Roman"/>
          <w:color w:val="000000" w:themeColor="text1"/>
          <w:kern w:val="2"/>
          <w:sz w:val="16"/>
          <w:szCs w:val="16"/>
          <w:lang w:val="en-US"/>
        </w:rPr>
        <w:t>)</w:t>
      </w:r>
      <w:r w:rsidR="003431D2" w:rsidRPr="002F2FDF">
        <w:rPr>
          <w:rFonts w:ascii="Times New Roman" w:hAnsi="Times New Roman" w:cs="Times New Roman"/>
          <w:color w:val="000000" w:themeColor="text1"/>
          <w:kern w:val="2"/>
          <w:sz w:val="16"/>
          <w:szCs w:val="16"/>
          <w:lang w:val="en-US"/>
        </w:rPr>
        <w:t xml:space="preserve"> July, 1917 Retreat of Russians on a front of 155 miles (1036).</w:t>
      </w:r>
    </w:p>
    <w:p w14:paraId="1F4ED7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EAB9E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3-10 (16-23) июля 1917 состоялось отступление российских частей на фронте в 155 миль (1036).</w:t>
      </w:r>
    </w:p>
    <w:p w14:paraId="08E40B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9F8A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июля 1917 г Корнилова назначили ГК (3481).</w:t>
      </w:r>
    </w:p>
    <w:p w14:paraId="168FC2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2C8A0B"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июля в 1917 году генерал Корнилов назначается главнокомандующим (14954).</w:t>
      </w:r>
    </w:p>
    <w:p w14:paraId="5BB892FF"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p>
    <w:p w14:paraId="52EC3A0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B7AB5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938CA2" w14:textId="4B4C8EB5" w:rsidR="00026D63" w:rsidRPr="002F2FDF" w:rsidRDefault="00026D63"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3 (16) июля </w:t>
      </w:r>
      <w:r w:rsidR="006B559B" w:rsidRPr="002F2FDF">
        <w:rPr>
          <w:color w:val="000000" w:themeColor="text1"/>
          <w:kern w:val="2"/>
          <w:sz w:val="16"/>
          <w:szCs w:val="16"/>
        </w:rPr>
        <w:t xml:space="preserve">1917 утром </w:t>
      </w:r>
      <w:r w:rsidRPr="002F2FDF">
        <w:rPr>
          <w:color w:val="000000" w:themeColor="text1"/>
          <w:kern w:val="2"/>
          <w:sz w:val="16"/>
          <w:szCs w:val="16"/>
        </w:rPr>
        <w:t>в расположении 1-го пулемётного полка начался митинг. На нём выступил анархист Блейхман. «Его решение всегда было при нём: надо выходить с оружием в руках. Организация? „Нас организует улица“. Задача? „свергнуть Временное правительство…“»,</w:t>
      </w:r>
      <w:r w:rsidR="00E52569">
        <w:rPr>
          <w:color w:val="000000" w:themeColor="text1"/>
          <w:kern w:val="2"/>
          <w:sz w:val="16"/>
          <w:szCs w:val="16"/>
        </w:rPr>
        <w:t xml:space="preserve"> </w:t>
      </w:r>
      <w:r w:rsidRPr="002F2FDF">
        <w:rPr>
          <w:color w:val="000000" w:themeColor="text1"/>
          <w:kern w:val="2"/>
          <w:sz w:val="16"/>
          <w:szCs w:val="16"/>
        </w:rPr>
        <w:t>— писал Л.</w:t>
      </w:r>
      <w:r w:rsidR="00E52569">
        <w:rPr>
          <w:color w:val="000000" w:themeColor="text1"/>
          <w:kern w:val="2"/>
          <w:sz w:val="16"/>
          <w:szCs w:val="16"/>
        </w:rPr>
        <w:t xml:space="preserve"> </w:t>
      </w:r>
      <w:r w:rsidRPr="002F2FDF">
        <w:rPr>
          <w:color w:val="000000" w:themeColor="text1"/>
          <w:kern w:val="2"/>
          <w:sz w:val="16"/>
          <w:szCs w:val="16"/>
        </w:rPr>
        <w:t>Д.</w:t>
      </w:r>
      <w:r w:rsidR="00E52569">
        <w:rPr>
          <w:color w:val="000000" w:themeColor="text1"/>
          <w:kern w:val="2"/>
          <w:sz w:val="16"/>
          <w:szCs w:val="16"/>
        </w:rPr>
        <w:t xml:space="preserve"> </w:t>
      </w:r>
      <w:r w:rsidRPr="002F2FDF">
        <w:rPr>
          <w:color w:val="000000" w:themeColor="text1"/>
          <w:kern w:val="2"/>
          <w:sz w:val="16"/>
          <w:szCs w:val="16"/>
        </w:rPr>
        <w:t>Троцкий. Выступали также анархисты П. Колобушкин и Н. Павлов.</w:t>
      </w:r>
    </w:p>
    <w:p w14:paraId="6086F559" w14:textId="2D8E9558" w:rsidR="00026D63" w:rsidRPr="002F2FDF" w:rsidRDefault="00026D63"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По свидетельству </w:t>
      </w:r>
      <w:hyperlink r:id="rId369" w:tooltip="Ф.Ф. Раскольников" w:history="1">
        <w:r w:rsidRPr="002F2FDF">
          <w:rPr>
            <w:rStyle w:val="a5"/>
            <w:color w:val="000000" w:themeColor="text1"/>
            <w:kern w:val="2"/>
            <w:sz w:val="16"/>
            <w:szCs w:val="16"/>
            <w:u w:val="none"/>
          </w:rPr>
          <w:t>Ф.Ф. Раскольникова</w:t>
        </w:r>
      </w:hyperlink>
      <w:r w:rsidRPr="002F2FDF">
        <w:rPr>
          <w:color w:val="000000" w:themeColor="text1"/>
          <w:kern w:val="2"/>
          <w:sz w:val="16"/>
          <w:szCs w:val="16"/>
        </w:rPr>
        <w:t xml:space="preserve">, 1-й пулемётный полк направил своих делегатов в </w:t>
      </w:r>
      <w:hyperlink r:id="rId370" w:tooltip="Кронштадт" w:history="1">
        <w:r w:rsidRPr="002F2FDF">
          <w:rPr>
            <w:rStyle w:val="a5"/>
            <w:color w:val="000000" w:themeColor="text1"/>
            <w:kern w:val="2"/>
            <w:sz w:val="16"/>
            <w:szCs w:val="16"/>
          </w:rPr>
          <w:t>Кронштадт</w:t>
        </w:r>
      </w:hyperlink>
      <w:r w:rsidRPr="002F2FDF">
        <w:rPr>
          <w:color w:val="000000" w:themeColor="text1"/>
          <w:kern w:val="2"/>
          <w:sz w:val="16"/>
          <w:szCs w:val="16"/>
        </w:rPr>
        <w:t>, призывая вооружиться и двинуться на Петроград. По его оценке, прибывшие делегаты находились под влиянием анархистов. В Кронштадте была создана организационная комиссия по руководству демонстрацией, в которую вошли Ф.</w:t>
      </w:r>
      <w:r w:rsidR="00E52569">
        <w:rPr>
          <w:color w:val="000000" w:themeColor="text1"/>
          <w:kern w:val="2"/>
          <w:sz w:val="16"/>
          <w:szCs w:val="16"/>
        </w:rPr>
        <w:t xml:space="preserve"> </w:t>
      </w:r>
      <w:r w:rsidRPr="002F2FDF">
        <w:rPr>
          <w:color w:val="000000" w:themeColor="text1"/>
          <w:kern w:val="2"/>
          <w:sz w:val="16"/>
          <w:szCs w:val="16"/>
        </w:rPr>
        <w:t>Ф.</w:t>
      </w:r>
      <w:r w:rsidR="00E52569">
        <w:rPr>
          <w:color w:val="000000" w:themeColor="text1"/>
          <w:kern w:val="2"/>
          <w:sz w:val="16"/>
          <w:szCs w:val="16"/>
        </w:rPr>
        <w:t xml:space="preserve"> </w:t>
      </w:r>
      <w:r w:rsidRPr="002F2FDF">
        <w:rPr>
          <w:color w:val="000000" w:themeColor="text1"/>
          <w:kern w:val="2"/>
          <w:sz w:val="16"/>
          <w:szCs w:val="16"/>
        </w:rPr>
        <w:t>Раскольников (большевик), С.</w:t>
      </w:r>
      <w:r w:rsidR="00E52569">
        <w:rPr>
          <w:color w:val="000000" w:themeColor="text1"/>
          <w:kern w:val="2"/>
          <w:sz w:val="16"/>
          <w:szCs w:val="16"/>
        </w:rPr>
        <w:t xml:space="preserve"> </w:t>
      </w:r>
      <w:r w:rsidRPr="002F2FDF">
        <w:rPr>
          <w:color w:val="000000" w:themeColor="text1"/>
          <w:kern w:val="2"/>
          <w:sz w:val="16"/>
          <w:szCs w:val="16"/>
        </w:rPr>
        <w:t>С.</w:t>
      </w:r>
      <w:r w:rsidR="00E52569">
        <w:rPr>
          <w:color w:val="000000" w:themeColor="text1"/>
          <w:kern w:val="2"/>
          <w:sz w:val="16"/>
          <w:szCs w:val="16"/>
        </w:rPr>
        <w:t xml:space="preserve"> </w:t>
      </w:r>
      <w:r w:rsidRPr="002F2FDF">
        <w:rPr>
          <w:color w:val="000000" w:themeColor="text1"/>
          <w:kern w:val="2"/>
          <w:sz w:val="16"/>
          <w:szCs w:val="16"/>
        </w:rPr>
        <w:t xml:space="preserve">Гредюшко, </w:t>
      </w:r>
      <w:hyperlink r:id="rId371" w:tooltip="Рошаль, Семён Григорьевич" w:history="1">
        <w:r w:rsidRPr="002F2FDF">
          <w:rPr>
            <w:rStyle w:val="a5"/>
            <w:color w:val="000000" w:themeColor="text1"/>
            <w:kern w:val="2"/>
            <w:sz w:val="16"/>
            <w:szCs w:val="16"/>
          </w:rPr>
          <w:t>С.</w:t>
        </w:r>
        <w:r w:rsidR="00E52569">
          <w:rPr>
            <w:rStyle w:val="a5"/>
            <w:color w:val="000000" w:themeColor="text1"/>
            <w:kern w:val="2"/>
            <w:sz w:val="16"/>
            <w:szCs w:val="16"/>
          </w:rPr>
          <w:t xml:space="preserve"> </w:t>
        </w:r>
        <w:r w:rsidRPr="002F2FDF">
          <w:rPr>
            <w:rStyle w:val="a5"/>
            <w:color w:val="000000" w:themeColor="text1"/>
            <w:kern w:val="2"/>
            <w:sz w:val="16"/>
            <w:szCs w:val="16"/>
          </w:rPr>
          <w:t>М.</w:t>
        </w:r>
        <w:r w:rsidR="00E52569">
          <w:rPr>
            <w:rStyle w:val="a5"/>
            <w:color w:val="000000" w:themeColor="text1"/>
            <w:kern w:val="2"/>
            <w:sz w:val="16"/>
            <w:szCs w:val="16"/>
          </w:rPr>
          <w:t xml:space="preserve"> </w:t>
        </w:r>
        <w:r w:rsidRPr="002F2FDF">
          <w:rPr>
            <w:rStyle w:val="a5"/>
            <w:color w:val="000000" w:themeColor="text1"/>
            <w:kern w:val="2"/>
            <w:sz w:val="16"/>
            <w:szCs w:val="16"/>
          </w:rPr>
          <w:t>Рошаль</w:t>
        </w:r>
      </w:hyperlink>
      <w:r w:rsidRPr="002F2FDF">
        <w:rPr>
          <w:color w:val="000000" w:themeColor="text1"/>
          <w:kern w:val="2"/>
          <w:sz w:val="16"/>
          <w:szCs w:val="16"/>
        </w:rPr>
        <w:t xml:space="preserve"> (большевик), П.</w:t>
      </w:r>
      <w:r w:rsidR="00E52569">
        <w:rPr>
          <w:color w:val="000000" w:themeColor="text1"/>
          <w:kern w:val="2"/>
          <w:sz w:val="16"/>
          <w:szCs w:val="16"/>
        </w:rPr>
        <w:t xml:space="preserve"> </w:t>
      </w:r>
      <w:r w:rsidRPr="002F2FDF">
        <w:rPr>
          <w:color w:val="000000" w:themeColor="text1"/>
          <w:kern w:val="2"/>
          <w:sz w:val="16"/>
          <w:szCs w:val="16"/>
        </w:rPr>
        <w:t>Н.</w:t>
      </w:r>
      <w:r w:rsidR="00E52569">
        <w:rPr>
          <w:color w:val="000000" w:themeColor="text1"/>
          <w:kern w:val="2"/>
          <w:sz w:val="16"/>
          <w:szCs w:val="16"/>
        </w:rPr>
        <w:t xml:space="preserve"> </w:t>
      </w:r>
      <w:r w:rsidRPr="002F2FDF">
        <w:rPr>
          <w:color w:val="000000" w:themeColor="text1"/>
          <w:kern w:val="2"/>
          <w:sz w:val="16"/>
          <w:szCs w:val="16"/>
        </w:rPr>
        <w:t>Беляевский (эсер), А. Павлов, А.</w:t>
      </w:r>
      <w:r w:rsidR="00E52569">
        <w:rPr>
          <w:color w:val="000000" w:themeColor="text1"/>
          <w:kern w:val="2"/>
          <w:sz w:val="16"/>
          <w:szCs w:val="16"/>
        </w:rPr>
        <w:t xml:space="preserve"> </w:t>
      </w:r>
      <w:r w:rsidRPr="002F2FDF">
        <w:rPr>
          <w:color w:val="000000" w:themeColor="text1"/>
          <w:kern w:val="2"/>
          <w:sz w:val="16"/>
          <w:szCs w:val="16"/>
        </w:rPr>
        <w:t>К.</w:t>
      </w:r>
      <w:r w:rsidR="00E52569">
        <w:rPr>
          <w:color w:val="000000" w:themeColor="text1"/>
          <w:kern w:val="2"/>
          <w:sz w:val="16"/>
          <w:szCs w:val="16"/>
        </w:rPr>
        <w:t xml:space="preserve"> </w:t>
      </w:r>
      <w:r w:rsidRPr="002F2FDF">
        <w:rPr>
          <w:color w:val="000000" w:themeColor="text1"/>
          <w:kern w:val="2"/>
          <w:sz w:val="16"/>
          <w:szCs w:val="16"/>
        </w:rPr>
        <w:t>Самоуков, Г. Попуриди (эсер), М.</w:t>
      </w:r>
      <w:r w:rsidR="00E52569">
        <w:rPr>
          <w:color w:val="000000" w:themeColor="text1"/>
          <w:kern w:val="2"/>
          <w:sz w:val="16"/>
          <w:szCs w:val="16"/>
        </w:rPr>
        <w:t xml:space="preserve"> </w:t>
      </w:r>
      <w:r w:rsidRPr="002F2FDF">
        <w:rPr>
          <w:color w:val="000000" w:themeColor="text1"/>
          <w:kern w:val="2"/>
          <w:sz w:val="16"/>
          <w:szCs w:val="16"/>
        </w:rPr>
        <w:t>М.</w:t>
      </w:r>
      <w:r w:rsidR="00E52569">
        <w:rPr>
          <w:color w:val="000000" w:themeColor="text1"/>
          <w:kern w:val="2"/>
          <w:sz w:val="16"/>
          <w:szCs w:val="16"/>
        </w:rPr>
        <w:t xml:space="preserve"> </w:t>
      </w:r>
      <w:r w:rsidRPr="002F2FDF">
        <w:rPr>
          <w:color w:val="000000" w:themeColor="text1"/>
          <w:kern w:val="2"/>
          <w:sz w:val="16"/>
          <w:szCs w:val="16"/>
        </w:rPr>
        <w:t>Мартынов, А.</w:t>
      </w:r>
      <w:r w:rsidR="00E52569">
        <w:rPr>
          <w:color w:val="000000" w:themeColor="text1"/>
          <w:kern w:val="2"/>
          <w:sz w:val="16"/>
          <w:szCs w:val="16"/>
        </w:rPr>
        <w:t xml:space="preserve"> </w:t>
      </w:r>
      <w:r w:rsidRPr="002F2FDF">
        <w:rPr>
          <w:color w:val="000000" w:themeColor="text1"/>
          <w:kern w:val="2"/>
          <w:sz w:val="16"/>
          <w:szCs w:val="16"/>
        </w:rPr>
        <w:t>И.</w:t>
      </w:r>
      <w:r w:rsidR="00E52569">
        <w:rPr>
          <w:color w:val="000000" w:themeColor="text1"/>
          <w:kern w:val="2"/>
          <w:sz w:val="16"/>
          <w:szCs w:val="16"/>
        </w:rPr>
        <w:t xml:space="preserve"> </w:t>
      </w:r>
      <w:r w:rsidRPr="002F2FDF">
        <w:rPr>
          <w:color w:val="000000" w:themeColor="text1"/>
          <w:kern w:val="2"/>
          <w:sz w:val="16"/>
          <w:szCs w:val="16"/>
        </w:rPr>
        <w:t>Ремнев.</w:t>
      </w:r>
    </w:p>
    <w:p w14:paraId="347F30A6" w14:textId="77777777" w:rsidR="00026D63" w:rsidRPr="002F2FDF" w:rsidRDefault="00026D63" w:rsidP="0083075A">
      <w:pPr>
        <w:pStyle w:val="ae"/>
        <w:spacing w:before="0" w:after="0"/>
        <w:jc w:val="both"/>
        <w:rPr>
          <w:color w:val="000000" w:themeColor="text1"/>
          <w:kern w:val="2"/>
          <w:sz w:val="16"/>
          <w:szCs w:val="16"/>
        </w:rPr>
      </w:pPr>
      <w:r w:rsidRPr="002F2FDF">
        <w:rPr>
          <w:color w:val="000000" w:themeColor="text1"/>
          <w:kern w:val="2"/>
          <w:sz w:val="16"/>
          <w:szCs w:val="16"/>
        </w:rPr>
        <w:t>В ЦК большевиков информацию о развитии событий получили около 4 часов дня. Члены ЦК высказались против участия в демонстрации, на что впоследствии лидеры большевиков указывали как на доказательство непричастности к произошедшим событиям. Соответствующее обращение было решено опубликовать в «Правде». Однако, когда о решении ЦК сообщили делегатам пулемётчиков, те заявили, что «лучше выйдут из партии, но не пойдут против постановления полка».</w:t>
      </w:r>
    </w:p>
    <w:p w14:paraId="0E7A1791" w14:textId="533873C8" w:rsidR="00026D63" w:rsidRPr="002F2FDF" w:rsidRDefault="00026D63" w:rsidP="0083075A">
      <w:pPr>
        <w:pStyle w:val="ae"/>
        <w:spacing w:before="0" w:after="0"/>
        <w:jc w:val="both"/>
        <w:rPr>
          <w:color w:val="000000" w:themeColor="text1"/>
          <w:kern w:val="2"/>
          <w:sz w:val="16"/>
          <w:szCs w:val="16"/>
        </w:rPr>
      </w:pPr>
      <w:r w:rsidRPr="002F2FDF">
        <w:rPr>
          <w:color w:val="000000" w:themeColor="text1"/>
          <w:kern w:val="2"/>
          <w:sz w:val="16"/>
          <w:szCs w:val="16"/>
        </w:rPr>
        <w:t>Каменев, дозвонившись до Кронштадта, сказал Раскольникову, что партия не дала санкции на выступление и нужно удержать кронштадтцев. «А как сдержать их?</w:t>
      </w:r>
      <w:r w:rsidR="00E52569">
        <w:rPr>
          <w:color w:val="000000" w:themeColor="text1"/>
          <w:kern w:val="2"/>
          <w:sz w:val="16"/>
          <w:szCs w:val="16"/>
        </w:rPr>
        <w:t xml:space="preserve"> </w:t>
      </w:r>
      <w:r w:rsidRPr="002F2FDF">
        <w:rPr>
          <w:color w:val="000000" w:themeColor="text1"/>
          <w:kern w:val="2"/>
          <w:sz w:val="16"/>
          <w:szCs w:val="16"/>
        </w:rPr>
        <w:t>— пишет очевидец.</w:t>
      </w:r>
      <w:r w:rsidR="00E52569">
        <w:rPr>
          <w:color w:val="000000" w:themeColor="text1"/>
          <w:kern w:val="2"/>
          <w:sz w:val="16"/>
          <w:szCs w:val="16"/>
        </w:rPr>
        <w:t xml:space="preserve"> </w:t>
      </w:r>
      <w:r w:rsidRPr="002F2FDF">
        <w:rPr>
          <w:color w:val="000000" w:themeColor="text1"/>
          <w:kern w:val="2"/>
          <w:sz w:val="16"/>
          <w:szCs w:val="16"/>
        </w:rPr>
        <w:t xml:space="preserve">— Кто сдержит катящуюся с вершин Альп лавину?..» </w:t>
      </w:r>
    </w:p>
    <w:p w14:paraId="7CE6BF2F" w14:textId="77777777" w:rsidR="00026D63" w:rsidRPr="002F2FDF" w:rsidRDefault="00026D63"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Согласно Р. Пайпсу, большевики, узнав о начале волнений в воинских частях, предприняли попытку провести через рабочую секцию </w:t>
      </w:r>
      <w:hyperlink r:id="rId372" w:tooltip="Петроградский совет рабочих и солдатских депутатов" w:history="1">
        <w:r w:rsidRPr="002F2FDF">
          <w:rPr>
            <w:rStyle w:val="a5"/>
            <w:color w:val="000000" w:themeColor="text1"/>
            <w:kern w:val="2"/>
            <w:sz w:val="16"/>
            <w:szCs w:val="16"/>
          </w:rPr>
          <w:t>Петроградского Совета</w:t>
        </w:r>
      </w:hyperlink>
      <w:r w:rsidRPr="002F2FDF">
        <w:rPr>
          <w:color w:val="000000" w:themeColor="text1"/>
          <w:kern w:val="2"/>
          <w:sz w:val="16"/>
          <w:szCs w:val="16"/>
        </w:rPr>
        <w:t xml:space="preserve"> резолюцию о необходимости передачи власти Советам и тем поставить солдатскую секцию, Исполком Совета и Пленум перед свершившимся фактом, произошедшим якобы под непреодолимым давлением масс. Для этого большевики потребовали от Исполкома созыва немедленной чрезвычайной сессии рабочей секции на три часа дня; при этом времени на оповещение меньшевиков и эсеров не оставалось. Большевики же явились на заседание в полном составе, получив таким образом на сессии временное большинство.</w:t>
      </w:r>
    </w:p>
    <w:p w14:paraId="3B41600A" w14:textId="77777777" w:rsidR="00026D63" w:rsidRPr="002F2FDF" w:rsidRDefault="00026D63"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Зиновьев, открывая заседание Петроградского Совета, потребовал, чтобы Совет взял в свои руки всю полноту власти. Присутствовавшие меньшевики и эсеры, не соглашаясь с ним, со своей стороны требовали, чтобы большевики помогли остановить выступление 1-го пулемётного полка. Когда же те, как утверждает Р. Пайпс, отказались выполнить это требование, меньшевики и эсеры покинули заседание, дав своим оппонентам свободу действий. После этого было избрано Бюро рабочей секции, которое сразу одобрило резолюцию, начинавшуюся словами: «Ввиду кризиса власти рабочая секция считает необходимым настаивать на том, чтобы Всер. съезд СРС и К. Деп. взял в свои руки всю власть». Этот призыв означал, как пишет Пайпс, что Временное правительство должно быть свергнуто. </w:t>
      </w:r>
    </w:p>
    <w:p w14:paraId="560E441C" w14:textId="77777777" w:rsidR="00026D63" w:rsidRPr="002F2FDF" w:rsidRDefault="00026D63"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Военный министр Временного правительства </w:t>
      </w:r>
      <w:hyperlink r:id="rId373" w:tooltip="Керенский, Александр Фёдорович" w:history="1">
        <w:r w:rsidRPr="002F2FDF">
          <w:rPr>
            <w:rStyle w:val="a5"/>
            <w:color w:val="000000" w:themeColor="text1"/>
            <w:kern w:val="2"/>
            <w:sz w:val="16"/>
            <w:szCs w:val="16"/>
          </w:rPr>
          <w:t>Керенский А. Ф.</w:t>
        </w:r>
      </w:hyperlink>
      <w:r w:rsidRPr="002F2FDF">
        <w:rPr>
          <w:color w:val="000000" w:themeColor="text1"/>
          <w:kern w:val="2"/>
          <w:sz w:val="16"/>
          <w:szCs w:val="16"/>
        </w:rPr>
        <w:t xml:space="preserve"> в этот день выехал на фронт, где впоследствии и узнал о событиях в Петрограде.</w:t>
      </w:r>
    </w:p>
    <w:p w14:paraId="7C57D643" w14:textId="77777777" w:rsidR="00026D63" w:rsidRPr="002F2FDF" w:rsidRDefault="00026D63" w:rsidP="0083075A">
      <w:pPr>
        <w:pStyle w:val="ae"/>
        <w:spacing w:before="0" w:after="0"/>
        <w:jc w:val="both"/>
        <w:rPr>
          <w:color w:val="000000" w:themeColor="text1"/>
          <w:kern w:val="2"/>
          <w:sz w:val="16"/>
          <w:szCs w:val="16"/>
        </w:rPr>
      </w:pPr>
      <w:r w:rsidRPr="002F2FDF">
        <w:rPr>
          <w:color w:val="000000" w:themeColor="text1"/>
          <w:kern w:val="2"/>
          <w:sz w:val="16"/>
          <w:szCs w:val="16"/>
        </w:rPr>
        <w:t>Выступление пулемётчиков началось около 7 часов вечера. В 8 часов, по воспоминаниям Подвойского, их полк был уже у дворца Кшесинской.</w:t>
      </w:r>
    </w:p>
    <w:p w14:paraId="50C3BE5A" w14:textId="150D578B" w:rsidR="00026D63" w:rsidRPr="002F2FDF" w:rsidRDefault="00026D63" w:rsidP="0083075A">
      <w:pPr>
        <w:pStyle w:val="ae"/>
        <w:spacing w:before="0" w:after="0"/>
        <w:jc w:val="both"/>
        <w:rPr>
          <w:color w:val="000000" w:themeColor="text1"/>
          <w:kern w:val="2"/>
          <w:sz w:val="16"/>
          <w:szCs w:val="16"/>
        </w:rPr>
      </w:pPr>
      <w:r w:rsidRPr="002F2FDF">
        <w:rPr>
          <w:color w:val="000000" w:themeColor="text1"/>
          <w:kern w:val="2"/>
          <w:sz w:val="16"/>
          <w:szCs w:val="16"/>
        </w:rPr>
        <w:t>Около 8 часов вечера начальник контрразведки Петроградского военного округа Б.</w:t>
      </w:r>
      <w:r w:rsidR="00E52569">
        <w:rPr>
          <w:color w:val="000000" w:themeColor="text1"/>
          <w:kern w:val="2"/>
          <w:sz w:val="16"/>
          <w:szCs w:val="16"/>
        </w:rPr>
        <w:t xml:space="preserve"> </w:t>
      </w:r>
      <w:r w:rsidRPr="002F2FDF">
        <w:rPr>
          <w:color w:val="000000" w:themeColor="text1"/>
          <w:kern w:val="2"/>
          <w:sz w:val="16"/>
          <w:szCs w:val="16"/>
        </w:rPr>
        <w:t>В.</w:t>
      </w:r>
      <w:r w:rsidR="00E52569">
        <w:rPr>
          <w:color w:val="000000" w:themeColor="text1"/>
          <w:kern w:val="2"/>
          <w:sz w:val="16"/>
          <w:szCs w:val="16"/>
        </w:rPr>
        <w:t xml:space="preserve"> </w:t>
      </w:r>
      <w:r w:rsidRPr="002F2FDF">
        <w:rPr>
          <w:color w:val="000000" w:themeColor="text1"/>
          <w:kern w:val="2"/>
          <w:sz w:val="16"/>
          <w:szCs w:val="16"/>
        </w:rPr>
        <w:t>Никитин, по его воспоминаниям, на встрече с секретным агентом, бывавшим в доме Кшесинской, получил сведения, что большевики на следующий день собираются поднять вооружённое восстание. «Большевики, игнорируя Временное правительство, пойдут на Таврический дворец, разгонят ту часть депутатов, которая поддерживает Временное прави</w:t>
      </w:r>
      <w:r w:rsidRPr="002F2FDF">
        <w:rPr>
          <w:color w:val="000000" w:themeColor="text1"/>
          <w:kern w:val="2"/>
          <w:sz w:val="16"/>
          <w:szCs w:val="16"/>
        </w:rPr>
        <w:softHyphen/>
        <w:t>тельство, объявят о передаче верховной власти Советам и составят новое правительство».</w:t>
      </w:r>
    </w:p>
    <w:p w14:paraId="006A5FD6" w14:textId="77777777" w:rsidR="00026D63" w:rsidRPr="002F2FDF" w:rsidRDefault="00026D63" w:rsidP="0083075A">
      <w:pPr>
        <w:pStyle w:val="ae"/>
        <w:spacing w:before="0" w:after="0"/>
        <w:jc w:val="both"/>
        <w:rPr>
          <w:color w:val="000000" w:themeColor="text1"/>
          <w:kern w:val="2"/>
          <w:sz w:val="16"/>
          <w:szCs w:val="16"/>
        </w:rPr>
      </w:pPr>
      <w:r w:rsidRPr="002F2FDF">
        <w:rPr>
          <w:color w:val="000000" w:themeColor="text1"/>
          <w:kern w:val="2"/>
          <w:sz w:val="16"/>
          <w:szCs w:val="16"/>
        </w:rPr>
        <w:t>Около 11 часов вечера, когда демонстранты проходили мимо Гостиного двора, впереди раздался взрыв гранаты и началась стрельба. Солдаты открыли ответный огонь. Не обошлось без убитых и раненых.</w:t>
      </w:r>
    </w:p>
    <w:p w14:paraId="0BEB3FC1" w14:textId="47C9D222" w:rsidR="00026D63" w:rsidRPr="002F2FDF" w:rsidRDefault="00026D63" w:rsidP="0083075A">
      <w:pPr>
        <w:pStyle w:val="ae"/>
        <w:spacing w:before="0" w:after="0"/>
        <w:jc w:val="both"/>
        <w:rPr>
          <w:color w:val="000000" w:themeColor="text1"/>
          <w:kern w:val="2"/>
          <w:sz w:val="16"/>
          <w:szCs w:val="16"/>
        </w:rPr>
      </w:pPr>
      <w:r w:rsidRPr="002F2FDF">
        <w:rPr>
          <w:color w:val="000000" w:themeColor="text1"/>
          <w:kern w:val="2"/>
          <w:sz w:val="16"/>
          <w:szCs w:val="16"/>
        </w:rPr>
        <w:t>К полуночи демонстранты заполнили улицы вокруг Таврического дворца. «Положение скверное,</w:t>
      </w:r>
      <w:r w:rsidR="00E52569">
        <w:rPr>
          <w:color w:val="000000" w:themeColor="text1"/>
          <w:kern w:val="2"/>
          <w:sz w:val="16"/>
          <w:szCs w:val="16"/>
        </w:rPr>
        <w:t xml:space="preserve"> </w:t>
      </w:r>
      <w:r w:rsidRPr="002F2FDF">
        <w:rPr>
          <w:color w:val="000000" w:themeColor="text1"/>
          <w:kern w:val="2"/>
          <w:sz w:val="16"/>
          <w:szCs w:val="16"/>
        </w:rPr>
        <w:t xml:space="preserve">— вспоминал член ВЦИК </w:t>
      </w:r>
      <w:hyperlink r:id="rId374" w:tooltip="Войтинский, Владимир Савельевич" w:history="1">
        <w:r w:rsidRPr="002F2FDF">
          <w:rPr>
            <w:rStyle w:val="a5"/>
            <w:color w:val="000000" w:themeColor="text1"/>
            <w:kern w:val="2"/>
            <w:sz w:val="16"/>
            <w:szCs w:val="16"/>
          </w:rPr>
          <w:t>Владимир Войтинский</w:t>
        </w:r>
      </w:hyperlink>
      <w:r w:rsidRPr="002F2FDF">
        <w:rPr>
          <w:color w:val="000000" w:themeColor="text1"/>
          <w:kern w:val="2"/>
          <w:sz w:val="16"/>
          <w:szCs w:val="16"/>
        </w:rPr>
        <w:t>.</w:t>
      </w:r>
      <w:r w:rsidR="00E52569">
        <w:rPr>
          <w:color w:val="000000" w:themeColor="text1"/>
          <w:kern w:val="2"/>
          <w:sz w:val="16"/>
          <w:szCs w:val="16"/>
        </w:rPr>
        <w:t xml:space="preserve"> </w:t>
      </w:r>
      <w:r w:rsidRPr="002F2FDF">
        <w:rPr>
          <w:color w:val="000000" w:themeColor="text1"/>
          <w:kern w:val="2"/>
          <w:sz w:val="16"/>
          <w:szCs w:val="16"/>
        </w:rPr>
        <w:t>— Кучка вооружённых людей, человек 200, могла без труда овладеть Таврическим дворцом, разогнать Центральный Исполнительный Комитет и арестовать его членов». Этого, однако, не произошло.</w:t>
      </w:r>
    </w:p>
    <w:p w14:paraId="5AF98CA1" w14:textId="572DFE28" w:rsidR="00026D63" w:rsidRPr="002F2FDF" w:rsidRDefault="00026D63" w:rsidP="0083075A">
      <w:pPr>
        <w:pStyle w:val="ae"/>
        <w:spacing w:before="0" w:after="0"/>
        <w:jc w:val="both"/>
        <w:rPr>
          <w:color w:val="000000" w:themeColor="text1"/>
          <w:kern w:val="2"/>
          <w:sz w:val="16"/>
          <w:szCs w:val="16"/>
        </w:rPr>
      </w:pPr>
      <w:r w:rsidRPr="002F2FDF">
        <w:rPr>
          <w:color w:val="000000" w:themeColor="text1"/>
          <w:kern w:val="2"/>
          <w:sz w:val="16"/>
          <w:szCs w:val="16"/>
        </w:rPr>
        <w:t>Опасаясь надвигающихся событий, Петроградский Совет вечером предложил приехавшему в Совет командующему войсками округа П.</w:t>
      </w:r>
      <w:r w:rsidR="00E52569">
        <w:rPr>
          <w:color w:val="000000" w:themeColor="text1"/>
          <w:kern w:val="2"/>
          <w:sz w:val="16"/>
          <w:szCs w:val="16"/>
        </w:rPr>
        <w:t xml:space="preserve"> </w:t>
      </w:r>
      <w:r w:rsidRPr="002F2FDF">
        <w:rPr>
          <w:color w:val="000000" w:themeColor="text1"/>
          <w:kern w:val="2"/>
          <w:sz w:val="16"/>
          <w:szCs w:val="16"/>
        </w:rPr>
        <w:t>А.</w:t>
      </w:r>
      <w:r w:rsidR="00E52569">
        <w:rPr>
          <w:color w:val="000000" w:themeColor="text1"/>
          <w:kern w:val="2"/>
          <w:sz w:val="16"/>
          <w:szCs w:val="16"/>
        </w:rPr>
        <w:t xml:space="preserve"> </w:t>
      </w:r>
      <w:r w:rsidRPr="002F2FDF">
        <w:rPr>
          <w:color w:val="000000" w:themeColor="text1"/>
          <w:kern w:val="2"/>
          <w:sz w:val="16"/>
          <w:szCs w:val="16"/>
        </w:rPr>
        <w:t xml:space="preserve">Половцову перенести свой штаб в </w:t>
      </w:r>
      <w:hyperlink r:id="rId375" w:tooltip="Таврический дворец" w:history="1">
        <w:r w:rsidRPr="002F2FDF">
          <w:rPr>
            <w:rStyle w:val="a5"/>
            <w:color w:val="000000" w:themeColor="text1"/>
            <w:kern w:val="2"/>
            <w:sz w:val="16"/>
            <w:szCs w:val="16"/>
          </w:rPr>
          <w:t>Таврический дворец</w:t>
        </w:r>
      </w:hyperlink>
      <w:r w:rsidRPr="002F2FDF">
        <w:rPr>
          <w:color w:val="000000" w:themeColor="text1"/>
          <w:kern w:val="2"/>
          <w:sz w:val="16"/>
          <w:szCs w:val="16"/>
        </w:rPr>
        <w:t>, где располагался Совет, но тот отказался, считая, что в случае опасности Совет легче будет спасти со стороны. Половцов оставил в Совете для связи Б.</w:t>
      </w:r>
      <w:r w:rsidR="00E52569">
        <w:rPr>
          <w:color w:val="000000" w:themeColor="text1"/>
          <w:kern w:val="2"/>
          <w:sz w:val="16"/>
          <w:szCs w:val="16"/>
        </w:rPr>
        <w:t xml:space="preserve"> </w:t>
      </w:r>
      <w:r w:rsidRPr="002F2FDF">
        <w:rPr>
          <w:color w:val="000000" w:themeColor="text1"/>
          <w:kern w:val="2"/>
          <w:sz w:val="16"/>
          <w:szCs w:val="16"/>
        </w:rPr>
        <w:t>В.</w:t>
      </w:r>
      <w:r w:rsidR="00E52569">
        <w:rPr>
          <w:color w:val="000000" w:themeColor="text1"/>
          <w:kern w:val="2"/>
          <w:sz w:val="16"/>
          <w:szCs w:val="16"/>
        </w:rPr>
        <w:t xml:space="preserve"> </w:t>
      </w:r>
      <w:r w:rsidRPr="002F2FDF">
        <w:rPr>
          <w:color w:val="000000" w:themeColor="text1"/>
          <w:kern w:val="2"/>
          <w:sz w:val="16"/>
          <w:szCs w:val="16"/>
        </w:rPr>
        <w:t>Никитина, в свою очередь попросив назначить дежурство из членов Совета в штабе округа. Половцовым были вызваны к штабу округа и Зимнему дворцу казаки, два эскадрона 9-го запасного кавалерийского полка и гвардейские конноартиллеристы из Павловска. Пехотным частям было приказано оставаться в казармах и быть в боевой готовности (17029).</w:t>
      </w:r>
    </w:p>
    <w:p w14:paraId="3294E6B3" w14:textId="77777777" w:rsidR="00026D63" w:rsidRPr="002F2FDF" w:rsidRDefault="00026D6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6339E5" w14:textId="77777777" w:rsidR="003552A0" w:rsidRPr="002F2FDF" w:rsidRDefault="003552A0" w:rsidP="0083075A">
      <w:pPr>
        <w:pStyle w:val="ae"/>
        <w:spacing w:before="0" w:after="0"/>
        <w:jc w:val="both"/>
        <w:rPr>
          <w:color w:val="000000" w:themeColor="text1"/>
          <w:kern w:val="2"/>
          <w:sz w:val="16"/>
          <w:szCs w:val="16"/>
        </w:rPr>
      </w:pPr>
      <w:r w:rsidRPr="002F2FDF">
        <w:rPr>
          <w:color w:val="000000" w:themeColor="text1"/>
          <w:kern w:val="2"/>
          <w:sz w:val="16"/>
          <w:szCs w:val="16"/>
        </w:rPr>
        <w:t>3 (16) июля 1917 в Петрограде начались антиправительственные беспорядки, инспирированные большевиками. Это была уже третья с их стороны попытка захвата власти. Главной ударной силой большевиков стал Первый пулеметный полк — самая большая часть петроградского гарнизона, в которой служили множество офицеров, придерживавшихся радикальных взглядов и переведенных из других соединений за несоответствие должности, некомпетентность и неповиновение. Благодаря этому большевикам удалось наладить в полку активную пропагандистскую работу и создать постоянно действующую ячейку из 30 человек.</w:t>
      </w:r>
    </w:p>
    <w:p w14:paraId="1AB0CA01" w14:textId="77777777" w:rsidR="003552A0" w:rsidRPr="002F2FDF" w:rsidRDefault="003552A0" w:rsidP="0083075A">
      <w:pPr>
        <w:pStyle w:val="ae"/>
        <w:spacing w:before="0" w:after="0"/>
        <w:jc w:val="both"/>
        <w:rPr>
          <w:color w:val="000000" w:themeColor="text1"/>
          <w:kern w:val="2"/>
          <w:sz w:val="16"/>
          <w:szCs w:val="16"/>
        </w:rPr>
      </w:pPr>
      <w:r w:rsidRPr="002F2FDF">
        <w:rPr>
          <w:color w:val="000000" w:themeColor="text1"/>
          <w:kern w:val="2"/>
          <w:sz w:val="16"/>
          <w:szCs w:val="16"/>
        </w:rPr>
        <w:t>Еще 3 июля полк получил приказ отправить на фронт 500 пулеметных расчетов. Временное правительство при этом действительно преследовало не только сугубо военные цели, но и рассчитывало, таким образом, очистить Петроград от наиболее разложившихся и представлявших особую опасность подразделений. Для большевиков же отправка этого полка на фронт означала потерю их ударной силы, в связи с чем они с удвоенной энергией принялись агитировать солдат уже под открыто антиправительственными лозунгами, призывая прекратить «империалистическую войну». В итоге значительная часть солдат и офицеров полка приказу об отправке на фронт не подчинилась, решив подготовить вооруженное выступление против Временного правительства. Делегаты полка были направлены и в Кронштадт, гарнизон которого находился под влиянием анархистов и еще с весны отказывался подчинятся Временному правительству. Как отмечал историк Ричард Пайпс, «ни одна страна даже с демократическими традициями не потерпела бы подобного призыва к мятежу во время войны».</w:t>
      </w:r>
    </w:p>
    <w:p w14:paraId="0B424A9A" w14:textId="77777777" w:rsidR="003552A0" w:rsidRPr="002F2FDF" w:rsidRDefault="003552A0" w:rsidP="0083075A">
      <w:pPr>
        <w:pStyle w:val="ae"/>
        <w:spacing w:before="0" w:after="0"/>
        <w:jc w:val="both"/>
        <w:rPr>
          <w:color w:val="000000" w:themeColor="text1"/>
          <w:kern w:val="2"/>
          <w:sz w:val="16"/>
          <w:szCs w:val="16"/>
        </w:rPr>
      </w:pPr>
      <w:r w:rsidRPr="002F2FDF">
        <w:rPr>
          <w:color w:val="000000" w:themeColor="text1"/>
          <w:kern w:val="2"/>
          <w:sz w:val="16"/>
          <w:szCs w:val="16"/>
        </w:rPr>
        <w:t>Матросы-анархисты с готовностью поддержали инициативу пулеметчиков-большевиков, имея к Временному правительству свои счеты. После того, как анархисты разгромили тюрьму «Кресты» и из нее бежало более 400 уголовников, 2 июля власти силой выселили группу их активистов из самовольно захваченной дачи дворянского рода Дурново. При этом в стычке был застрелен один из лидеров анархистов Аснин и ранен другой — матрос Анатолий Железняков. Также были арестованы более 60 рабочих, солдат и матросов.</w:t>
      </w:r>
    </w:p>
    <w:p w14:paraId="0934BF4E" w14:textId="77777777" w:rsidR="003552A0" w:rsidRPr="002F2FDF" w:rsidRDefault="003552A0" w:rsidP="0083075A">
      <w:pPr>
        <w:pStyle w:val="ae"/>
        <w:spacing w:before="0" w:after="0"/>
        <w:jc w:val="both"/>
        <w:rPr>
          <w:color w:val="000000" w:themeColor="text1"/>
          <w:kern w:val="2"/>
          <w:sz w:val="16"/>
          <w:szCs w:val="16"/>
        </w:rPr>
      </w:pPr>
      <w:r w:rsidRPr="002F2FDF">
        <w:rPr>
          <w:color w:val="000000" w:themeColor="text1"/>
          <w:kern w:val="2"/>
          <w:sz w:val="16"/>
          <w:szCs w:val="16"/>
        </w:rPr>
        <w:t>В результате после недолгих переговоров 15 июля руководство объединившихся анархистов-коммунистов решило на следующее же утро, опираясь на 1-й Пулеметный полк, призвать солдат гарнизона к восстанию.</w:t>
      </w:r>
    </w:p>
    <w:p w14:paraId="479BC025" w14:textId="77777777" w:rsidR="003552A0" w:rsidRPr="002F2FDF" w:rsidRDefault="003552A0" w:rsidP="0083075A">
      <w:pPr>
        <w:pStyle w:val="ae"/>
        <w:spacing w:before="0" w:after="0"/>
        <w:jc w:val="both"/>
        <w:rPr>
          <w:color w:val="000000" w:themeColor="text1"/>
          <w:kern w:val="2"/>
          <w:sz w:val="16"/>
          <w:szCs w:val="16"/>
        </w:rPr>
      </w:pPr>
      <w:r w:rsidRPr="002F2FDF">
        <w:rPr>
          <w:color w:val="000000" w:themeColor="text1"/>
          <w:kern w:val="2"/>
          <w:sz w:val="16"/>
          <w:szCs w:val="16"/>
        </w:rPr>
        <w:t>По стечению обстоятельств, в этот же день 15 июля очередной кризис случился во Временном правительстве. В знак протеста против заключенного чуть ранее соглашения с Украинской Радой о предоставлении ей автономии в отставку ушли три министра, представлявших партию кадетов — Д. И. Шаховской, А. А. Мануйлов, А. И. Шингарёв. Прессе сообщили об этом 16 июля.</w:t>
      </w:r>
    </w:p>
    <w:p w14:paraId="3D2716BF" w14:textId="77777777" w:rsidR="003552A0" w:rsidRPr="002F2FDF" w:rsidRDefault="003552A0" w:rsidP="0083075A">
      <w:pPr>
        <w:pStyle w:val="ae"/>
        <w:spacing w:before="0" w:after="0"/>
        <w:jc w:val="both"/>
        <w:rPr>
          <w:color w:val="000000" w:themeColor="text1"/>
          <w:kern w:val="2"/>
          <w:sz w:val="16"/>
          <w:szCs w:val="16"/>
        </w:rPr>
      </w:pPr>
      <w:r w:rsidRPr="002F2FDF">
        <w:rPr>
          <w:color w:val="000000" w:themeColor="text1"/>
          <w:kern w:val="2"/>
          <w:sz w:val="16"/>
          <w:szCs w:val="16"/>
        </w:rPr>
        <w:t>Историк В. Т. Логинов, считает, что из информации о правительственном кризисе рабочие и солдаты сделали свой вывод — о необходимости еще более решительных мер: «Если как следует нажать на «соглашателей» — власть перейдет к Советам [рабочих и солдатских депутатов, которые отнюдь не все симпатизировали большевикам]. Важно лишь не упустить момент. Может быть, столь определенно масса и не формулировала свою задачу, но вновь поднявшаяся революционная волна имела именно такой вектор движения».</w:t>
      </w:r>
    </w:p>
    <w:p w14:paraId="1FA065EB" w14:textId="77777777" w:rsidR="003552A0" w:rsidRPr="002F2FDF" w:rsidRDefault="003552A0" w:rsidP="0083075A">
      <w:pPr>
        <w:pStyle w:val="ae"/>
        <w:spacing w:before="0" w:after="0"/>
        <w:jc w:val="both"/>
        <w:rPr>
          <w:color w:val="000000" w:themeColor="text1"/>
          <w:kern w:val="2"/>
          <w:sz w:val="16"/>
          <w:szCs w:val="16"/>
        </w:rPr>
      </w:pPr>
      <w:r w:rsidRPr="002F2FDF">
        <w:rPr>
          <w:color w:val="000000" w:themeColor="text1"/>
          <w:kern w:val="2"/>
          <w:sz w:val="16"/>
          <w:szCs w:val="16"/>
        </w:rPr>
        <w:t>Днем 16 июля на чрезвычайном заседании рабочей секции Петроградского Совета, куда фракция большевиков, в отличие от других партий, пришла в полном составе и получила временное большинство, соратники Ленина потребовали, чтобы Совет взял в свои руки всю полноту власти. Меньшевики и эсеры выступили категорически против и, в свою очередь, потребовали от большевиков помощи в предотвращении выступления 1-го Пулемётного полка. Большевики, естественно, отказались подчиниться, и тогда меньшевики и эсеры покинули заседание, дав своим оппонентам свободу действий. После этого большевистская рабочая секция сформулировала требование: «Ввиду кризиса власти рабочая секция считает необходимым настаивать на том, чтобы Всероссийский съезд СРС и К. Деп. (советов рабочих, солдатских и крестьянских депутатов — РП) взял в свои руки всю власть». Это был прямой призыв к свержению Временного правительство. Сложившуюся ситуацию осложнял тот факт, что 16 июля военный министр Временного правительства Александр Керенский, который обладал достаточной популярностью и мог бы выступить перед солдатами, выехал на фронт.</w:t>
      </w:r>
    </w:p>
    <w:p w14:paraId="6772BB9D" w14:textId="77777777" w:rsidR="003552A0" w:rsidRPr="002F2FDF" w:rsidRDefault="003552A0" w:rsidP="0083075A">
      <w:pPr>
        <w:pStyle w:val="ae"/>
        <w:spacing w:before="0" w:after="0"/>
        <w:jc w:val="both"/>
        <w:rPr>
          <w:color w:val="000000" w:themeColor="text1"/>
          <w:kern w:val="2"/>
          <w:sz w:val="16"/>
          <w:szCs w:val="16"/>
        </w:rPr>
      </w:pPr>
      <w:r w:rsidRPr="002F2FDF">
        <w:rPr>
          <w:color w:val="000000" w:themeColor="text1"/>
          <w:kern w:val="2"/>
          <w:sz w:val="16"/>
          <w:szCs w:val="16"/>
        </w:rPr>
        <w:t>Начальник контрразведки Петроградского военного округа Борис Никитин позже вспоминал, что в 8 часов вечера 16 июля он получил следующее донесение: «Большевики, игнорируя Временное правительство, пойдут на Таврический дворец [где в те дни заседал Петросовет], разгонят ту часть депутатов, которая поддерживает Временное правительство, объявят о передаче верховной власти Советам и составят новое правительство».</w:t>
      </w:r>
    </w:p>
    <w:p w14:paraId="37946EAC" w14:textId="77777777" w:rsidR="003552A0" w:rsidRPr="002F2FDF" w:rsidRDefault="003552A0"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Выступление пулеметчиков началось 16 июля около 7 часов вечера, а в 8 часов они уже были у штаба большевиков, располагавшегося в особняке Кшесинской на Большой дворянской улице (ныне улица Куйбышева), откуда, перейдя Неву, двинулись на Невский проспект и к Таврическому дворцу. По пути, в районе Гостиного двора, одно из верных Временному правительству подразделений около 11 часов вечера пыталось остановить «вооруженных демонстрантов», как называли себя солдаты-большевики, но после спорадической перестрелки было вынуждено отступить в силу явного численного перевеса противника. К полуночи «демонстранты» </w:t>
      </w:r>
      <w:r w:rsidRPr="002F2FDF">
        <w:rPr>
          <w:color w:val="000000" w:themeColor="text1"/>
          <w:kern w:val="2"/>
          <w:sz w:val="16"/>
          <w:szCs w:val="16"/>
        </w:rPr>
        <w:lastRenderedPageBreak/>
        <w:t>окружили Таврический дворец, который занимал Петроградский совет. Положение в Петрограде стало критическим, но захватить власть большевикам пока не удастся — через два Временное правительство подавит путч.</w:t>
      </w:r>
    </w:p>
    <w:p w14:paraId="546680E5" w14:textId="77777777" w:rsidR="003552A0" w:rsidRPr="002F2FDF" w:rsidRDefault="003552A0" w:rsidP="0083075A">
      <w:pPr>
        <w:pStyle w:val="ae"/>
        <w:spacing w:before="0" w:after="0"/>
        <w:jc w:val="both"/>
        <w:rPr>
          <w:color w:val="000000" w:themeColor="text1"/>
          <w:kern w:val="2"/>
          <w:sz w:val="16"/>
          <w:szCs w:val="16"/>
        </w:rPr>
      </w:pPr>
      <w:r w:rsidRPr="002F2FDF">
        <w:rPr>
          <w:color w:val="000000" w:themeColor="text1"/>
          <w:kern w:val="2"/>
          <w:sz w:val="16"/>
          <w:szCs w:val="16"/>
        </w:rPr>
        <w:t>16 июля в Киеве по итогам переговоров делегации Временного правительства и Центральной Рады был опубликован так называемый II Универсал (так в Украине стали называть законы по аналогии с названиями указов и грамот, издававшихся польскими королями и украинскими гетманами), в котором утверждалось, что «мы, Центральная Рада, &lt;…&gt; всегда стояли за то, чтобы не отделять Украину от России», а генеральный Секретариат объявлялся «органом Временного правительства». Временное правительство согласилось с возможностью получения Украиной автономии, а Рада обязалась не объявлять эту автономию без решения Всероссийского Учредительного собрания. Кроме того, Временное правительство согласилось с созданием в будущем украинских национальных воинских частей, которые, однако, должны были войти в состав единой российской армии. Именно в знак протеста против этого соглашения подали в отставку три министра Временного правительства.</w:t>
      </w:r>
    </w:p>
    <w:p w14:paraId="7B6BA4CF" w14:textId="77777777" w:rsidR="003552A0" w:rsidRPr="002F2FDF" w:rsidRDefault="003552A0"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 (16045).</w:t>
      </w:r>
    </w:p>
    <w:p w14:paraId="6B9E8E4F" w14:textId="77777777" w:rsidR="003552A0" w:rsidRPr="002F2FDF" w:rsidRDefault="003552A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C669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(4 - 70,54) (16-17) июля 1917 в Петрограде была крупная политическая демонстрация (66,13), которую расстреляли из пулеметов (70,54) - против Временного правительства и поддержавшего его Совета и из-за срыва наступления (1348,85).</w:t>
      </w:r>
    </w:p>
    <w:p w14:paraId="22C2B1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разгона демонстрации начинаются преследования организаторов и Временное правительство объявило В.И.Л. и Г.Е.Зиновьева германскими агентами. Перешли на нелегальное положение - и в Разлив (1348,85).</w:t>
      </w:r>
    </w:p>
    <w:p w14:paraId="222E9E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7E34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 (16-17) июля 1917 была попытка восстания 1-го пулеметного полка и бурные демонстрации рабочих, солдат и матросов против Временного правительства и Совета. Большевики после колебаний решили поддержать восстание. В Петроград из Кронштадта прибыла красная флотилия во главе с Ф.Раскольниковым. В.И.Л. призвал вооруженную колонну солдат и матросов к выдержке. Выступления были подавлены войсками, верными Временному правительству. Началось преследование большевиков. В.И.Л. переходит на нелегальное положение и переезжает в Финляндию (3908,260).</w:t>
      </w:r>
    </w:p>
    <w:p w14:paraId="11A816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7EB6B8" w14:textId="77777777" w:rsidR="00C06ECB" w:rsidRPr="002F2FDF" w:rsidRDefault="00C06EC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июля в 1917 году (по 18 июля) Массовые демонстрации в Петрограде под лозунгом "Вся власть Советам", инспирированные леворадикальными партиями перерастают в вооруженные столкновения (будут убиты 18 человек, 6 умрут от ран, получают ранения и увечья около 700 человек). Первая попытка большевиков воспользоваться кризисом демократии (14954).</w:t>
      </w:r>
    </w:p>
    <w:p w14:paraId="3034964C" w14:textId="77777777" w:rsidR="00C06ECB" w:rsidRPr="002F2FDF" w:rsidRDefault="00C06ECB" w:rsidP="0083075A">
      <w:pPr>
        <w:spacing w:after="0" w:line="240" w:lineRule="auto"/>
        <w:jc w:val="both"/>
        <w:rPr>
          <w:rFonts w:ascii="Times New Roman" w:hAnsi="Times New Roman" w:cs="Times New Roman"/>
          <w:color w:val="000000" w:themeColor="text1"/>
          <w:kern w:val="2"/>
          <w:sz w:val="16"/>
          <w:szCs w:val="16"/>
        </w:rPr>
      </w:pPr>
    </w:p>
    <w:p w14:paraId="6C76B95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июля 1917 в Петрограде по призыву анархистов солдаты 1-го пулеметного полка приняли постановление о немедленном вооруженном восстании (4962).</w:t>
      </w:r>
    </w:p>
    <w:p w14:paraId="21B1801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8B0C61"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июля в 1917 году второй универсал Центральной рады, в котором она фактически отказывается от автономии Украины, откладывая ее осуществление до созыва Всероссийского Учредительного собрания (14954).</w:t>
      </w:r>
    </w:p>
    <w:p w14:paraId="3E66B6E9"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p>
    <w:p w14:paraId="0583E20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июля 1917 Центральная Рада наделила себя полномочиями правительства Украины (4962).</w:t>
      </w:r>
    </w:p>
    <w:p w14:paraId="2F83417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7470E3" w14:textId="77777777" w:rsidR="00053D91" w:rsidRPr="002F2FDF" w:rsidRDefault="00053D9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июля 1917 делегация Временного правительства, возглавляемая министрами Терещенко и Церетели, признала автономию Украинской Центральной Рады. При этом делегация без согласования с Правительством очертила географические рамки полномочий УЦР, включив в них несколько юго-западных губерний России. В знак протеста против этих действий министры-кадеты ушли в отставку. Принят II Универсал рады, в котором утверждалось, что «мы, Центральная рада,… всегда стояли за то, чтобы не отделять Украину от России». Генеральный секретариат объявлялся «органом Временного правительства», его состав утверждает Временное Правительство (12629).</w:t>
      </w:r>
    </w:p>
    <w:p w14:paraId="631BA6CE" w14:textId="77777777" w:rsidR="00053D91" w:rsidRPr="002F2FDF" w:rsidRDefault="00053D9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DB0DB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CAA20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A865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июля 1917 германский самолет "Волчонок" привел к "Волку" четырехмачтовый американский бриг "Вайслоу" (567 т) с углем, съестными припасами, бензином и дровами. В этот раз "Волчонок" дважды не смог попасть "кисой" на палубу и пригнал судно прямыми угрозами.На следующий день, в виду установившейся плохой погоды, самолет был разобран и укрыт внутри судна (11999).</w:t>
      </w:r>
    </w:p>
    <w:p w14:paraId="5847F8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0371C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B3080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AFA1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4-11 (17-28) июля 1917 л 10 ио прап. А.М.Пишванов в течение недели провел на Румынском фронте несколько воздушных боев, закончившихся победами. 4 провел с пятью и последнего сбил. 7-го отогнал неприятельского корректировщика, а потом атаковал с высоты. 11 провел еще один бой. Понял, что стрелять надо с ближней дистанции (3648).</w:t>
      </w:r>
    </w:p>
    <w:p w14:paraId="12D13B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EEFEF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4-11 (17-24) июля 1917. Летчик 10-го истребительного отряда пра</w:t>
      </w:r>
      <w:r w:rsidRPr="002F2FDF">
        <w:rPr>
          <w:rFonts w:ascii="Times New Roman" w:hAnsi="Times New Roman" w:cs="Times New Roman"/>
          <w:color w:val="000000" w:themeColor="text1"/>
          <w:kern w:val="2"/>
          <w:sz w:val="16"/>
          <w:szCs w:val="16"/>
        </w:rPr>
        <w:softHyphen/>
        <w:t>порщик Александр Михайлович Пишванов в течение недели провел на Румынском фронте несколько воздушных боев, закончивших</w:t>
      </w:r>
      <w:r w:rsidRPr="002F2FDF">
        <w:rPr>
          <w:rFonts w:ascii="Times New Roman" w:hAnsi="Times New Roman" w:cs="Times New Roman"/>
          <w:color w:val="000000" w:themeColor="text1"/>
          <w:kern w:val="2"/>
          <w:sz w:val="16"/>
          <w:szCs w:val="16"/>
        </w:rPr>
        <w:softHyphen/>
        <w:t>ся его победами, 4-го он провел бои последовательно с пятью самолетами, причем последнего из них сбил, обстреляв с самой короткой дистанции, 7-го июля Пишванов отогнал непри</w:t>
      </w:r>
      <w:r w:rsidRPr="002F2FDF">
        <w:rPr>
          <w:rFonts w:ascii="Times New Roman" w:hAnsi="Times New Roman" w:cs="Times New Roman"/>
          <w:color w:val="000000" w:themeColor="text1"/>
          <w:kern w:val="2"/>
          <w:sz w:val="16"/>
          <w:szCs w:val="16"/>
        </w:rPr>
        <w:softHyphen/>
        <w:t>ятельского корректировщика, корректировавшего стрельбу сво</w:t>
      </w:r>
      <w:r w:rsidRPr="002F2FDF">
        <w:rPr>
          <w:rFonts w:ascii="Times New Roman" w:hAnsi="Times New Roman" w:cs="Times New Roman"/>
          <w:color w:val="000000" w:themeColor="text1"/>
          <w:kern w:val="2"/>
          <w:sz w:val="16"/>
          <w:szCs w:val="16"/>
        </w:rPr>
        <w:softHyphen/>
        <w:t>ей артиллерии, а потом, поднявшись на высоту 4400 м, атако</w:t>
      </w:r>
      <w:r w:rsidRPr="002F2FDF">
        <w:rPr>
          <w:rFonts w:ascii="Times New Roman" w:hAnsi="Times New Roman" w:cs="Times New Roman"/>
          <w:color w:val="000000" w:themeColor="text1"/>
          <w:kern w:val="2"/>
          <w:sz w:val="16"/>
          <w:szCs w:val="16"/>
        </w:rPr>
        <w:softHyphen/>
        <w:t xml:space="preserve">вал двухместный самолет,вынудив его бежать с пикированием. Проследуя врага на пикировании, Пишванов снизил его до 1200м и расстрелял с короткой дистанции. 11-го Пишванов провел еще один воздушный бой. Атаковав противника с короткой дистанции, Пишвановоткрыл оронъ, но пулемет дал осечку. Этим восполъзовался противник, который, в свою очередь, обстрелял и ранил его в правую руку. Несмотря на ранение, </w:t>
      </w:r>
      <w:r w:rsidRPr="002F2FDF">
        <w:rPr>
          <w:rFonts w:ascii="Times New Roman" w:hAnsi="Times New Roman" w:cs="Times New Roman"/>
          <w:smallCaps/>
          <w:color w:val="000000" w:themeColor="text1"/>
          <w:kern w:val="2"/>
          <w:sz w:val="16"/>
          <w:szCs w:val="16"/>
        </w:rPr>
        <w:t xml:space="preserve">пишеэное </w:t>
      </w:r>
      <w:r w:rsidRPr="002F2FDF">
        <w:rPr>
          <w:rFonts w:ascii="Times New Roman" w:hAnsi="Times New Roman" w:cs="Times New Roman"/>
          <w:color w:val="000000" w:themeColor="text1"/>
          <w:kern w:val="2"/>
          <w:sz w:val="16"/>
          <w:szCs w:val="16"/>
        </w:rPr>
        <w:t xml:space="preserve">устранил неиспраЕность и снова атаковал противника, заставив его бежать </w:t>
      </w:r>
      <w:r w:rsidRPr="002F2FDF">
        <w:rPr>
          <w:rFonts w:ascii="Times New Roman" w:hAnsi="Times New Roman" w:cs="Times New Roman"/>
          <w:smallCaps/>
          <w:color w:val="000000" w:themeColor="text1"/>
          <w:kern w:val="2"/>
          <w:sz w:val="16"/>
          <w:szCs w:val="16"/>
        </w:rPr>
        <w:t xml:space="preserve">е </w:t>
      </w:r>
      <w:r w:rsidRPr="002F2FDF">
        <w:rPr>
          <w:rFonts w:ascii="Times New Roman" w:hAnsi="Times New Roman" w:cs="Times New Roman"/>
          <w:color w:val="000000" w:themeColor="text1"/>
          <w:kern w:val="2"/>
          <w:sz w:val="16"/>
          <w:szCs w:val="16"/>
        </w:rPr>
        <w:t>свой тыл, и только после этого, управляя легой рукой, вернулся на свой аэродром. (Рапорт командира 10 истребительного отряда, ЦГВИА, ф. 493, оп. 3, д.109, л.25-27).</w:t>
      </w:r>
    </w:p>
    <w:p w14:paraId="0EB7E9A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AA7DE0" w14:textId="77777777" w:rsidR="006E5CD0" w:rsidRPr="00815ED5" w:rsidRDefault="006E5CD0"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4-11 </w:t>
      </w:r>
      <w:r>
        <w:rPr>
          <w:rFonts w:ascii="Times New Roman" w:hAnsi="Times New Roman" w:cs="Times New Roman"/>
          <w:color w:val="0070C0"/>
          <w:sz w:val="16"/>
          <w:szCs w:val="16"/>
        </w:rPr>
        <w:t xml:space="preserve">(17-24) </w:t>
      </w:r>
      <w:r w:rsidRPr="00815ED5">
        <w:rPr>
          <w:rFonts w:ascii="Times New Roman" w:hAnsi="Times New Roman" w:cs="Times New Roman"/>
          <w:color w:val="0070C0"/>
          <w:sz w:val="16"/>
          <w:szCs w:val="16"/>
        </w:rPr>
        <w:t>июля</w:t>
      </w:r>
      <w:r>
        <w:rPr>
          <w:rFonts w:ascii="Times New Roman" w:hAnsi="Times New Roman" w:cs="Times New Roman"/>
          <w:color w:val="0070C0"/>
          <w:sz w:val="16"/>
          <w:szCs w:val="16"/>
        </w:rPr>
        <w:t xml:space="preserve">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815ED5">
        <w:rPr>
          <w:rFonts w:ascii="Times New Roman" w:hAnsi="Times New Roman" w:cs="Times New Roman"/>
          <w:color w:val="0070C0"/>
          <w:sz w:val="16"/>
          <w:szCs w:val="16"/>
        </w:rPr>
        <w:t>етчик 10-го истребительного отряда прапорщик Алек</w:t>
      </w:r>
      <w:r w:rsidRPr="00815ED5">
        <w:rPr>
          <w:rFonts w:ascii="Times New Roman" w:hAnsi="Times New Roman" w:cs="Times New Roman"/>
          <w:color w:val="0070C0"/>
          <w:sz w:val="16"/>
          <w:szCs w:val="16"/>
        </w:rPr>
        <w:softHyphen/>
        <w:t>сандр Михайлович Пишванов в течение недели пров</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л на Румынском фронте несколько воздушных боев,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закончившихся его победой.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4-го </w:t>
      </w:r>
      <w:r>
        <w:rPr>
          <w:rFonts w:ascii="Times New Roman" w:hAnsi="Times New Roman" w:cs="Times New Roman"/>
          <w:color w:val="0070C0"/>
          <w:sz w:val="16"/>
          <w:szCs w:val="16"/>
        </w:rPr>
        <w:t>июл</w:t>
      </w:r>
      <w:r w:rsidRPr="00815ED5">
        <w:rPr>
          <w:rFonts w:ascii="Times New Roman" w:hAnsi="Times New Roman" w:cs="Times New Roman"/>
          <w:color w:val="0070C0"/>
          <w:sz w:val="16"/>
          <w:szCs w:val="16"/>
        </w:rPr>
        <w:t xml:space="preserve"> провел бои последовательно с пятью самолетами,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причем последнего из них сбил,</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обстреляв с самой короткой дистанции.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7-го </w:t>
      </w:r>
      <w:r>
        <w:rPr>
          <w:rFonts w:ascii="Times New Roman" w:hAnsi="Times New Roman" w:cs="Times New Roman"/>
          <w:color w:val="0070C0"/>
          <w:sz w:val="16"/>
          <w:szCs w:val="16"/>
        </w:rPr>
        <w:t>П</w:t>
      </w:r>
      <w:r w:rsidRPr="00815ED5">
        <w:rPr>
          <w:rFonts w:ascii="Times New Roman" w:hAnsi="Times New Roman" w:cs="Times New Roman"/>
          <w:color w:val="0070C0"/>
          <w:sz w:val="16"/>
          <w:szCs w:val="16"/>
        </w:rPr>
        <w:t>ишванов отогнал неприятельского корректировщика,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корректировавпего стрельбу своей артиллерии,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а потом, забравшись иа высоту </w:t>
      </w:r>
      <w:r>
        <w:rPr>
          <w:rFonts w:ascii="Times New Roman" w:hAnsi="Times New Roman" w:cs="Times New Roman"/>
          <w:color w:val="0070C0"/>
          <w:sz w:val="16"/>
          <w:szCs w:val="16"/>
        </w:rPr>
        <w:t>4</w:t>
      </w:r>
      <w:r w:rsidRPr="00815ED5">
        <w:rPr>
          <w:rFonts w:ascii="Times New Roman" w:hAnsi="Times New Roman" w:cs="Times New Roman"/>
          <w:color w:val="0070C0"/>
          <w:sz w:val="16"/>
          <w:szCs w:val="16"/>
        </w:rPr>
        <w:t>400 м,</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атаковал двухместный самолет и вынудил его бежать с пикированием.</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Преследуя вра</w:t>
      </w:r>
      <w:r w:rsidRPr="00815ED5">
        <w:rPr>
          <w:rFonts w:ascii="Times New Roman" w:hAnsi="Times New Roman" w:cs="Times New Roman"/>
          <w:color w:val="0070C0"/>
          <w:sz w:val="16"/>
          <w:szCs w:val="16"/>
        </w:rPr>
        <w:softHyphen/>
        <w:t>га на пикировании,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Пишванов снизил его до 1200 и расстрелял </w:t>
      </w:r>
      <w:r>
        <w:rPr>
          <w:rFonts w:ascii="Times New Roman" w:hAnsi="Times New Roman" w:cs="Times New Roman"/>
          <w:color w:val="0070C0"/>
          <w:sz w:val="16"/>
          <w:szCs w:val="16"/>
        </w:rPr>
        <w:t xml:space="preserve">с </w:t>
      </w:r>
      <w:r w:rsidRPr="00815ED5">
        <w:rPr>
          <w:rFonts w:ascii="Times New Roman" w:hAnsi="Times New Roman" w:cs="Times New Roman"/>
          <w:color w:val="0070C0"/>
          <w:sz w:val="16"/>
          <w:szCs w:val="16"/>
        </w:rPr>
        <w:t>короткой дистанции.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11-го Пишванов провел еще воздушный бой.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Атаковав противника с короткой дистанции,</w:t>
      </w:r>
      <w:r>
        <w:rPr>
          <w:rFonts w:ascii="Times New Roman" w:hAnsi="Times New Roman" w:cs="Times New Roman"/>
          <w:color w:val="0070C0"/>
          <w:sz w:val="16"/>
          <w:szCs w:val="16"/>
        </w:rPr>
        <w:t xml:space="preserve"> П</w:t>
      </w:r>
      <w:r w:rsidRPr="00815ED5">
        <w:rPr>
          <w:rFonts w:ascii="Times New Roman" w:hAnsi="Times New Roman" w:cs="Times New Roman"/>
          <w:color w:val="0070C0"/>
          <w:sz w:val="16"/>
          <w:szCs w:val="16"/>
        </w:rPr>
        <w:t>ишванов открыл огонь,</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но пулемет дал осечку.</w:t>
      </w:r>
      <w:r>
        <w:rPr>
          <w:rFonts w:ascii="Times New Roman" w:hAnsi="Times New Roman" w:cs="Times New Roman"/>
          <w:color w:val="0070C0"/>
          <w:sz w:val="16"/>
          <w:szCs w:val="16"/>
        </w:rPr>
        <w:t xml:space="preserve"> Э</w:t>
      </w:r>
      <w:r w:rsidRPr="00815ED5">
        <w:rPr>
          <w:rFonts w:ascii="Times New Roman" w:hAnsi="Times New Roman" w:cs="Times New Roman"/>
          <w:color w:val="0070C0"/>
          <w:sz w:val="16"/>
          <w:szCs w:val="16"/>
        </w:rPr>
        <w:t>тим воспользовался противник,</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который в свою очередь</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обстрелял Пишванова и ранил его в правую руку.</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Несмотря на ранение, Пишванов устранил задержку и снова атаковал противника,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заставив его бежать в свой т</w:t>
      </w:r>
      <w:r>
        <w:rPr>
          <w:rFonts w:ascii="Times New Roman" w:hAnsi="Times New Roman" w:cs="Times New Roman"/>
          <w:color w:val="0070C0"/>
          <w:sz w:val="16"/>
          <w:szCs w:val="16"/>
        </w:rPr>
        <w:t>ы</w:t>
      </w:r>
      <w:r w:rsidRPr="00815ED5">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и только после этого,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управляя самолет левой рукой,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вернулся на свой аэродром.</w:t>
      </w:r>
    </w:p>
    <w:p w14:paraId="07ABD39E" w14:textId="77777777" w:rsidR="006E5CD0" w:rsidRDefault="006E5CD0"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/Рапорт к-ра 10 истр.</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отряда;</w:t>
      </w:r>
      <w:r>
        <w:rPr>
          <w:rFonts w:ascii="Times New Roman" w:hAnsi="Times New Roman" w:cs="Times New Roman"/>
          <w:color w:val="0070C0"/>
          <w:sz w:val="16"/>
          <w:szCs w:val="16"/>
        </w:rPr>
        <w:t xml:space="preserve"> Ц</w:t>
      </w:r>
      <w:r w:rsidRPr="00815ED5">
        <w:rPr>
          <w:rFonts w:ascii="Times New Roman" w:hAnsi="Times New Roman" w:cs="Times New Roman"/>
          <w:color w:val="0070C0"/>
          <w:sz w:val="16"/>
          <w:szCs w:val="16"/>
        </w:rPr>
        <w:t>ГВИА,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w:t>
      </w:r>
      <w:r>
        <w:rPr>
          <w:rFonts w:ascii="Times New Roman" w:hAnsi="Times New Roman" w:cs="Times New Roman"/>
          <w:color w:val="0070C0"/>
          <w:sz w:val="16"/>
          <w:szCs w:val="16"/>
        </w:rPr>
        <w:t>9</w:t>
      </w:r>
      <w:r w:rsidRPr="00815ED5">
        <w:rPr>
          <w:rFonts w:ascii="Times New Roman" w:hAnsi="Times New Roman" w:cs="Times New Roman"/>
          <w:color w:val="0070C0"/>
          <w:sz w:val="16"/>
          <w:szCs w:val="16"/>
        </w:rPr>
        <w:t>3,</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3,</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 109,</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25-27/</w:t>
      </w:r>
      <w:r>
        <w:rPr>
          <w:rFonts w:ascii="Times New Roman" w:hAnsi="Times New Roman" w:cs="Times New Roman"/>
          <w:color w:val="0070C0"/>
          <w:sz w:val="16"/>
          <w:szCs w:val="16"/>
        </w:rPr>
        <w:t xml:space="preserve"> (23320).</w:t>
      </w:r>
    </w:p>
    <w:p w14:paraId="65E214AF" w14:textId="77777777" w:rsidR="006E5CD0" w:rsidRPr="00815ED5" w:rsidRDefault="006E5CD0" w:rsidP="0083075A">
      <w:pPr>
        <w:spacing w:after="0" w:line="240" w:lineRule="auto"/>
        <w:jc w:val="both"/>
        <w:rPr>
          <w:rFonts w:ascii="Times New Roman" w:hAnsi="Times New Roman" w:cs="Times New Roman"/>
          <w:color w:val="0070C0"/>
          <w:sz w:val="16"/>
          <w:szCs w:val="16"/>
        </w:rPr>
      </w:pPr>
    </w:p>
    <w:p w14:paraId="408B6DD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июля 1917 командующий Балтфлотом адмирал Д. Вердеревский отказался исполнять приказ Временного правительства отправить корабли против кронштадтских моряков (4962).</w:t>
      </w:r>
    </w:p>
    <w:p w14:paraId="400146C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04A48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92767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A9C33A" w14:textId="77777777" w:rsidR="006B559B" w:rsidRPr="002F2FDF" w:rsidRDefault="006B559B"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С 3 на 4 июля (16-17) 1917 около часа ночи в Таврическом дворце, в комнате большевистской фракции Совета, состоялось совещание членов ЦК, ПК, Военной организации большевиков и Межрайонного комитета РСДРП. Обсуждался вопрос о демонстрации. И только после того, как к 2 часам ночи к Таврическому дворцу подошло около 30 тысяч рабочих Путиловского завода, а из Кронштадта тогда же позвонил Раскольников и сообщил, что помешать выступлению матросов невозможно и утром они уже будут в Питере, ЦК и ПК РСДРП(б), Военная организация при ЦК партии, Межрайонный комитет РСДРП приняли решение об участии в вооружённом движении солдат и матросов — «ЦК принял решение — возглавить „мирную, но вооружённую демонстрацию“ с утра 4 июля». Ричард Пайпс, называя время принятия этой резолюции как 23 часа 40 минут 3 июля, привёл её полностью: «Обсудив происходящие сейчас в Петербурге события, заседание находит: создавшийся кризис власти не будет разрешён в интересах народа, если революционный пролетариат и гарнизон твёрдо и определенно немедленно не заявит о том, что он за переход власти к С. Р. и Кр. Деп. С этой целью рекомендуется немедленное выступление рабочих и солдат на улицу для того, чтобы продемонстрировать выявление своей воли». Пайпс квалифицировал эту резолюцию как призыв вооружённой силой свергнуть Временное правительство. Тогда же послали за Лениным, который в это время находился в Финляндии и не знал о начавшихся массовых выступлениях в столице. Из набора «Правды» было изъято обращение ЦК с призывом к сдерживанию масс, и на следующее утро газета вышла с белой «дырой» в тексте. Ленин позднее объяснял, что решение принять участие в вооружённой демонстрации было принято исключительно «для того, чтобы придать ему мирный и организованный характер». </w:t>
      </w:r>
    </w:p>
    <w:p w14:paraId="76B36FEB" w14:textId="544302A0" w:rsidR="006B559B" w:rsidRPr="002F2FDF" w:rsidRDefault="006B559B"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Утром 4 июля в Кронштадте на Якорной площади собрались матросы и, сев на буксирные и пассажирские пароходы, двинулись в Петроград. Пройдя морским каналом </w:t>
      </w:r>
      <w:r w:rsidRPr="002F2FDF">
        <w:rPr>
          <w:color w:val="000000" w:themeColor="text1"/>
          <w:kern w:val="2"/>
          <w:sz w:val="16"/>
          <w:szCs w:val="16"/>
        </w:rPr>
        <w:lastRenderedPageBreak/>
        <w:t xml:space="preserve">и устьем Невы, матросы высадились на пристани </w:t>
      </w:r>
      <w:hyperlink r:id="rId376" w:tooltip="Васильевский остров" w:history="1">
        <w:r w:rsidRPr="002F2FDF">
          <w:rPr>
            <w:rStyle w:val="a5"/>
            <w:color w:val="000000" w:themeColor="text1"/>
            <w:kern w:val="2"/>
            <w:sz w:val="16"/>
            <w:szCs w:val="16"/>
            <w:u w:val="none"/>
          </w:rPr>
          <w:t>Васильевского острова</w:t>
        </w:r>
      </w:hyperlink>
      <w:r w:rsidRPr="002F2FDF">
        <w:rPr>
          <w:color w:val="000000" w:themeColor="text1"/>
          <w:kern w:val="2"/>
          <w:sz w:val="16"/>
          <w:szCs w:val="16"/>
        </w:rPr>
        <w:t xml:space="preserve"> и </w:t>
      </w:r>
      <w:hyperlink r:id="rId377" w:tooltip="Английская набережная" w:history="1">
        <w:r w:rsidRPr="002F2FDF">
          <w:rPr>
            <w:rStyle w:val="a5"/>
            <w:color w:val="000000" w:themeColor="text1"/>
            <w:kern w:val="2"/>
            <w:sz w:val="16"/>
            <w:szCs w:val="16"/>
            <w:u w:val="none"/>
          </w:rPr>
          <w:t>Английской набережной</w:t>
        </w:r>
      </w:hyperlink>
      <w:r w:rsidRPr="002F2FDF">
        <w:rPr>
          <w:color w:val="000000" w:themeColor="text1"/>
          <w:kern w:val="2"/>
          <w:sz w:val="16"/>
          <w:szCs w:val="16"/>
        </w:rPr>
        <w:t>. По воспоминаниям Раскольникова, к нему подбежал большевик И.</w:t>
      </w:r>
      <w:r w:rsidR="00E52569">
        <w:rPr>
          <w:color w:val="000000" w:themeColor="text1"/>
          <w:kern w:val="2"/>
          <w:sz w:val="16"/>
          <w:szCs w:val="16"/>
        </w:rPr>
        <w:t xml:space="preserve"> </w:t>
      </w:r>
      <w:r w:rsidRPr="002F2FDF">
        <w:rPr>
          <w:color w:val="000000" w:themeColor="text1"/>
          <w:kern w:val="2"/>
          <w:sz w:val="16"/>
          <w:szCs w:val="16"/>
        </w:rPr>
        <w:t>П.</w:t>
      </w:r>
      <w:r w:rsidR="00E52569">
        <w:rPr>
          <w:color w:val="000000" w:themeColor="text1"/>
          <w:kern w:val="2"/>
          <w:sz w:val="16"/>
          <w:szCs w:val="16"/>
        </w:rPr>
        <w:t xml:space="preserve"> </w:t>
      </w:r>
      <w:r w:rsidRPr="002F2FDF">
        <w:rPr>
          <w:color w:val="000000" w:themeColor="text1"/>
          <w:kern w:val="2"/>
          <w:sz w:val="16"/>
          <w:szCs w:val="16"/>
        </w:rPr>
        <w:t xml:space="preserve">Флеровский и сообщил маршрут дальнейшего шествия. «Мы прежде всего должны были идти к </w:t>
      </w:r>
      <w:hyperlink r:id="rId378" w:tooltip="Особняк Кшесинской" w:history="1">
        <w:r w:rsidRPr="002F2FDF">
          <w:rPr>
            <w:rStyle w:val="a5"/>
            <w:color w:val="000000" w:themeColor="text1"/>
            <w:kern w:val="2"/>
            <w:sz w:val="16"/>
            <w:szCs w:val="16"/>
            <w:u w:val="none"/>
          </w:rPr>
          <w:t>дому Кшесинской</w:t>
        </w:r>
      </w:hyperlink>
      <w:r w:rsidRPr="002F2FDF">
        <w:rPr>
          <w:color w:val="000000" w:themeColor="text1"/>
          <w:kern w:val="2"/>
          <w:sz w:val="16"/>
          <w:szCs w:val="16"/>
        </w:rPr>
        <w:t>, где тогда сосредотачивались все наши партийные учреждения».</w:t>
      </w:r>
    </w:p>
    <w:p w14:paraId="5CD98122" w14:textId="77777777" w:rsidR="006B559B" w:rsidRPr="002F2FDF" w:rsidRDefault="006B559B"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Пройдя по университетской набережной, </w:t>
      </w:r>
      <w:hyperlink r:id="rId379" w:tooltip="Биржевой мост" w:history="1">
        <w:r w:rsidRPr="002F2FDF">
          <w:rPr>
            <w:rStyle w:val="a5"/>
            <w:color w:val="000000" w:themeColor="text1"/>
            <w:kern w:val="2"/>
            <w:sz w:val="16"/>
            <w:szCs w:val="16"/>
            <w:u w:val="none"/>
          </w:rPr>
          <w:t>Биржевому мосту</w:t>
        </w:r>
      </w:hyperlink>
      <w:r w:rsidRPr="002F2FDF">
        <w:rPr>
          <w:color w:val="000000" w:themeColor="text1"/>
          <w:kern w:val="2"/>
          <w:sz w:val="16"/>
          <w:szCs w:val="16"/>
        </w:rPr>
        <w:t xml:space="preserve">, матросы перешли на Петербургскую сторону и, пройдя через Александровский парк, прибыли к большевистскому штабу в особняке Кшесинской. С балкона особняка перед демонстрантами выступали большевистские ораторы, в том числе Свердлов, Луначарский и </w:t>
      </w:r>
      <w:hyperlink r:id="rId380" w:tooltip="Ленин, Владимир Ильич" w:history="1">
        <w:r w:rsidRPr="002F2FDF">
          <w:rPr>
            <w:rStyle w:val="a5"/>
            <w:color w:val="000000" w:themeColor="text1"/>
            <w:kern w:val="2"/>
            <w:sz w:val="16"/>
            <w:szCs w:val="16"/>
            <w:u w:val="none"/>
          </w:rPr>
          <w:t>Ленин</w:t>
        </w:r>
      </w:hyperlink>
      <w:r w:rsidRPr="002F2FDF">
        <w:rPr>
          <w:color w:val="000000" w:themeColor="text1"/>
          <w:kern w:val="2"/>
          <w:sz w:val="16"/>
          <w:szCs w:val="16"/>
        </w:rPr>
        <w:t xml:space="preserve"> (это было его последнее публичное выступление «до победы Октябрьской революции»). Свердлов призывал демонстрантов требовать «изгнания министров-капиталистов из правительства» и передачи власти Советам.</w:t>
      </w:r>
    </w:p>
    <w:p w14:paraId="1F3BCB72" w14:textId="77777777" w:rsidR="006B559B" w:rsidRPr="002F2FDF" w:rsidRDefault="006B559B"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По описанию Суханова Н. Н., утром 4 июля Луначарский заявил ему в здании ВЦИК, что «только что привёл из Кронштадта двадцать тысяч </w:t>
      </w:r>
      <w:r w:rsidRPr="002F2FDF">
        <w:rPr>
          <w:iCs/>
          <w:color w:val="000000" w:themeColor="text1"/>
          <w:kern w:val="2"/>
          <w:sz w:val="16"/>
          <w:szCs w:val="16"/>
        </w:rPr>
        <w:t>совершенно мирного населения</w:t>
      </w:r>
      <w:r w:rsidRPr="002F2FDF">
        <w:rPr>
          <w:color w:val="000000" w:themeColor="text1"/>
          <w:kern w:val="2"/>
          <w:sz w:val="16"/>
          <w:szCs w:val="16"/>
        </w:rPr>
        <w:t>».</w:t>
      </w:r>
    </w:p>
    <w:p w14:paraId="53F8A2F0" w14:textId="77777777" w:rsidR="006B559B" w:rsidRPr="002F2FDF" w:rsidRDefault="006B559B" w:rsidP="0083075A">
      <w:pPr>
        <w:pStyle w:val="ae"/>
        <w:spacing w:before="0" w:after="0"/>
        <w:jc w:val="both"/>
        <w:rPr>
          <w:color w:val="000000" w:themeColor="text1"/>
          <w:kern w:val="2"/>
          <w:sz w:val="16"/>
          <w:szCs w:val="16"/>
        </w:rPr>
      </w:pPr>
      <w:r w:rsidRPr="002F2FDF">
        <w:rPr>
          <w:color w:val="000000" w:themeColor="text1"/>
          <w:kern w:val="2"/>
          <w:sz w:val="16"/>
          <w:szCs w:val="16"/>
        </w:rPr>
        <w:t>В 10 утра прибыл из Ораниенбаума большевизированный 2-й пулемётный полк.</w:t>
      </w:r>
    </w:p>
    <w:p w14:paraId="048FB8D1" w14:textId="77777777" w:rsidR="006B559B" w:rsidRPr="002F2FDF" w:rsidRDefault="006B559B"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Параллельно анархисты выдвинули лозунги «Долой Временное правительство!», «Безвластие и самоустройство». Итогом стало то, что выступление приняло форму так называемой «вооружённой демонстрации»: никем не управляемая толпа численностью, по разным оценкам, от нескольких десятков до пятисот тысяч (по большевистским источникам) человек двинулась вперёд. </w:t>
      </w:r>
      <w:hyperlink r:id="rId381" w:tooltip="Раскольников, Фёдор Фёдорович" w:history="1">
        <w:r w:rsidRPr="002F2FDF">
          <w:rPr>
            <w:rStyle w:val="a5"/>
            <w:color w:val="000000" w:themeColor="text1"/>
            <w:kern w:val="2"/>
            <w:sz w:val="16"/>
            <w:szCs w:val="16"/>
            <w:u w:val="none"/>
          </w:rPr>
          <w:t>Раскольников Ф. Ф.</w:t>
        </w:r>
      </w:hyperlink>
      <w:r w:rsidRPr="002F2FDF">
        <w:rPr>
          <w:color w:val="000000" w:themeColor="text1"/>
          <w:kern w:val="2"/>
          <w:sz w:val="16"/>
          <w:szCs w:val="16"/>
        </w:rPr>
        <w:t xml:space="preserve"> впоследствии заявил на допросе следователю Временного правительства, что оружие было взято демонстрантами «для защиты от контрреволюции».</w:t>
      </w:r>
    </w:p>
    <w:p w14:paraId="18B1E56C" w14:textId="77777777" w:rsidR="006B559B" w:rsidRPr="002F2FDF" w:rsidRDefault="006B559B"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Вооружённая демонстрация прошла по Троицкому мосту, Садовой улице, Невскому проспекту и </w:t>
      </w:r>
      <w:hyperlink r:id="rId382" w:tooltip="Литейный проспект" w:history="1">
        <w:r w:rsidRPr="002F2FDF">
          <w:rPr>
            <w:rStyle w:val="a5"/>
            <w:color w:val="000000" w:themeColor="text1"/>
            <w:kern w:val="2"/>
            <w:sz w:val="16"/>
            <w:szCs w:val="16"/>
            <w:u w:val="none"/>
          </w:rPr>
          <w:t>Литейному проспекту</w:t>
        </w:r>
      </w:hyperlink>
      <w:r w:rsidRPr="002F2FDF">
        <w:rPr>
          <w:color w:val="000000" w:themeColor="text1"/>
          <w:kern w:val="2"/>
          <w:sz w:val="16"/>
          <w:szCs w:val="16"/>
        </w:rPr>
        <w:t xml:space="preserve">, двигаясь к Таврическому дворцу. На углу Литейного проспекта и </w:t>
      </w:r>
      <w:hyperlink r:id="rId383" w:tooltip="Улица Пестеля (Санкт-Петербург)" w:history="1">
        <w:r w:rsidRPr="002F2FDF">
          <w:rPr>
            <w:rStyle w:val="a5"/>
            <w:color w:val="000000" w:themeColor="text1"/>
            <w:kern w:val="2"/>
            <w:sz w:val="16"/>
            <w:szCs w:val="16"/>
            <w:u w:val="none"/>
          </w:rPr>
          <w:t>Пантелеймоновской улицы</w:t>
        </w:r>
      </w:hyperlink>
      <w:r w:rsidRPr="002F2FDF">
        <w:rPr>
          <w:color w:val="000000" w:themeColor="text1"/>
          <w:kern w:val="2"/>
          <w:sz w:val="16"/>
          <w:szCs w:val="16"/>
        </w:rPr>
        <w:t xml:space="preserve"> отряд матросов подвергся пулемётному обстрелу из окон одного из домов; трое кронштадтцев были убиты и более 10 ранены. Матросы схватились за винтовки и стали беспорядочно стрелять во все стороны. Стычки и перестрелки происходили у Николаевского вокзала, на Садовой улице, на углу Невского проспекта и Садовой, на Знаменской площади, на Обводном канале и др. Историк Ю. Кириенко писал, что начало кровопролития, вероятно, спровоцировали участники правых экстремистских организаций, открывшие стрельбу с крыш и окон домов. С ним не соглашался историк В. Родионов, который писал, что столкновения были спровоцированы большевиками, которые заранее разместили на крышах своих стрелков, начавших пальбу из </w:t>
      </w:r>
      <w:hyperlink r:id="rId384" w:tooltip="Пулемёт" w:history="1">
        <w:r w:rsidRPr="002F2FDF">
          <w:rPr>
            <w:rStyle w:val="a5"/>
            <w:color w:val="000000" w:themeColor="text1"/>
            <w:kern w:val="2"/>
            <w:sz w:val="16"/>
            <w:szCs w:val="16"/>
            <w:u w:val="none"/>
          </w:rPr>
          <w:t>пулемётов</w:t>
        </w:r>
      </w:hyperlink>
      <w:r w:rsidRPr="002F2FDF">
        <w:rPr>
          <w:color w:val="000000" w:themeColor="text1"/>
          <w:kern w:val="2"/>
          <w:sz w:val="16"/>
          <w:szCs w:val="16"/>
        </w:rPr>
        <w:t xml:space="preserve"> по демонстрантам, причём пострадали как казаки, так и демонстранты. Согласно исследованию историка </w:t>
      </w:r>
      <w:hyperlink r:id="rId385" w:tooltip="Рабинович, Александр Евгеньевич" w:history="1">
        <w:r w:rsidRPr="002F2FDF">
          <w:rPr>
            <w:rStyle w:val="a5"/>
            <w:color w:val="000000" w:themeColor="text1"/>
            <w:kern w:val="2"/>
            <w:sz w:val="16"/>
            <w:szCs w:val="16"/>
            <w:u w:val="none"/>
          </w:rPr>
          <w:t>А. Рабиновича</w:t>
        </w:r>
      </w:hyperlink>
      <w:r w:rsidRPr="002F2FDF">
        <w:rPr>
          <w:color w:val="000000" w:themeColor="text1"/>
          <w:kern w:val="2"/>
          <w:sz w:val="16"/>
          <w:szCs w:val="16"/>
        </w:rPr>
        <w:t>, изучение всего объёма противоречащих друг другу газетных сообщений, документов и воспоминаний позволяет полагать, что, скорее всего, в вооружённом столкновении в равной мере повинны «все — воинственно настроенные демонстранты, провокаторы, правые элементы, а подчас и просто паника и неразбериха».</w:t>
      </w:r>
    </w:p>
    <w:p w14:paraId="7BBB1C40" w14:textId="77777777" w:rsidR="006B559B" w:rsidRPr="002F2FDF" w:rsidRDefault="006B559B" w:rsidP="0083075A">
      <w:pPr>
        <w:pStyle w:val="ae"/>
        <w:spacing w:before="0" w:after="0"/>
        <w:jc w:val="both"/>
        <w:rPr>
          <w:color w:val="000000" w:themeColor="text1"/>
          <w:kern w:val="2"/>
          <w:sz w:val="16"/>
          <w:szCs w:val="16"/>
        </w:rPr>
      </w:pPr>
      <w:r w:rsidRPr="002F2FDF">
        <w:rPr>
          <w:color w:val="000000" w:themeColor="text1"/>
          <w:kern w:val="2"/>
          <w:sz w:val="16"/>
          <w:szCs w:val="16"/>
        </w:rPr>
        <w:t>Дважды за день подверглось нападению здание контрразведки на Воскресенской набережной. В итоге здание было целиком разгромлено, многие досье были уничтожены. Сотрудники разбежались, вернувшись лишь через несколько дней.</w:t>
      </w:r>
    </w:p>
    <w:p w14:paraId="5437B00C" w14:textId="77777777" w:rsidR="006B559B" w:rsidRPr="002F2FDF" w:rsidRDefault="006B559B"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В течение дня произошёл целый ряд актов мародёрства в частных квартирах на Литейном проспекте и Жуковской улице, были ограблены магазины Гостиного двора, Апраксина двора, Невского проспекта и Садовой улицы. В ходе событий неизвестными была предпринята неудачная попытка ареста </w:t>
      </w:r>
      <w:hyperlink r:id="rId386" w:tooltip="Громан, Владимир Густавович" w:history="1">
        <w:r w:rsidRPr="002F2FDF">
          <w:rPr>
            <w:rStyle w:val="a5"/>
            <w:color w:val="000000" w:themeColor="text1"/>
            <w:kern w:val="2"/>
            <w:sz w:val="16"/>
            <w:szCs w:val="16"/>
            <w:u w:val="none"/>
          </w:rPr>
          <w:t>В. Г. Громана</w:t>
        </w:r>
      </w:hyperlink>
      <w:r w:rsidRPr="002F2FDF">
        <w:rPr>
          <w:color w:val="000000" w:themeColor="text1"/>
          <w:kern w:val="2"/>
          <w:sz w:val="16"/>
          <w:szCs w:val="16"/>
        </w:rPr>
        <w:t xml:space="preserve">, у </w:t>
      </w:r>
      <w:hyperlink r:id="rId387" w:tooltip="Церетели, Ираклий Георгиевич" w:history="1">
        <w:r w:rsidRPr="002F2FDF">
          <w:rPr>
            <w:rStyle w:val="a5"/>
            <w:color w:val="000000" w:themeColor="text1"/>
            <w:kern w:val="2"/>
            <w:sz w:val="16"/>
            <w:szCs w:val="16"/>
            <w:u w:val="none"/>
          </w:rPr>
          <w:t>И. Г. Церетели</w:t>
        </w:r>
      </w:hyperlink>
      <w:r w:rsidRPr="002F2FDF">
        <w:rPr>
          <w:color w:val="000000" w:themeColor="text1"/>
          <w:kern w:val="2"/>
          <w:sz w:val="16"/>
          <w:szCs w:val="16"/>
        </w:rPr>
        <w:t xml:space="preserve"> был угнан автомобиль.</w:t>
      </w:r>
    </w:p>
    <w:p w14:paraId="77698C4E" w14:textId="77777777" w:rsidR="006B559B" w:rsidRPr="002F2FDF" w:rsidRDefault="006B559B" w:rsidP="0083075A">
      <w:pPr>
        <w:pStyle w:val="ae"/>
        <w:spacing w:before="0" w:after="0"/>
        <w:jc w:val="both"/>
        <w:rPr>
          <w:color w:val="000000" w:themeColor="text1"/>
          <w:kern w:val="2"/>
          <w:sz w:val="16"/>
          <w:szCs w:val="16"/>
        </w:rPr>
      </w:pPr>
      <w:r w:rsidRPr="002F2FDF">
        <w:rPr>
          <w:color w:val="000000" w:themeColor="text1"/>
          <w:kern w:val="2"/>
          <w:sz w:val="16"/>
          <w:szCs w:val="16"/>
        </w:rPr>
        <w:t>Матросы во главе с Ф. Ф. Раскольниковым прибыли к Таврическому дворцу. К середине дня площадь перед дворцом заполнилась многотысячной толпой солдат семи полков петроградского гарнизона, кронштадтских матросов, рабочих Путиловского завода и Выборгской стороны, которую в целом не контролировали ни Совет, ни штаб округа, ни большевики.</w:t>
      </w:r>
    </w:p>
    <w:p w14:paraId="27388546" w14:textId="105C72FD" w:rsidR="006B559B" w:rsidRPr="002F2FDF" w:rsidRDefault="006B559B"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Очевидец событий, исполняющий должность начальника контрразведки Петроградского военного округа капитан </w:t>
      </w:r>
      <w:hyperlink r:id="rId388" w:tooltip="Никитин, Борис Владимирович" w:history="1">
        <w:r w:rsidRPr="002F2FDF">
          <w:rPr>
            <w:rStyle w:val="a5"/>
            <w:color w:val="000000" w:themeColor="text1"/>
            <w:kern w:val="2"/>
            <w:sz w:val="16"/>
            <w:szCs w:val="16"/>
            <w:u w:val="none"/>
          </w:rPr>
          <w:t>Никитин Б. В.</w:t>
        </w:r>
      </w:hyperlink>
      <w:r w:rsidRPr="002F2FDF">
        <w:rPr>
          <w:color w:val="000000" w:themeColor="text1"/>
          <w:kern w:val="2"/>
          <w:sz w:val="16"/>
          <w:szCs w:val="16"/>
        </w:rPr>
        <w:t xml:space="preserve"> так охарактеризовал происходившее</w:t>
      </w:r>
      <w:r w:rsidR="00E52569">
        <w:rPr>
          <w:color w:val="000000" w:themeColor="text1"/>
          <w:kern w:val="2"/>
          <w:sz w:val="16"/>
          <w:szCs w:val="16"/>
        </w:rPr>
        <w:t xml:space="preserve"> </w:t>
      </w:r>
      <w:r w:rsidRPr="002F2FDF">
        <w:rPr>
          <w:color w:val="000000" w:themeColor="text1"/>
          <w:kern w:val="2"/>
          <w:sz w:val="16"/>
          <w:szCs w:val="16"/>
        </w:rPr>
        <w:t>: «Нас окружала тесным поясом лавина в несколько десят</w:t>
      </w:r>
      <w:r w:rsidRPr="002F2FDF">
        <w:rPr>
          <w:color w:val="000000" w:themeColor="text1"/>
          <w:kern w:val="2"/>
          <w:sz w:val="16"/>
          <w:szCs w:val="16"/>
        </w:rPr>
        <w:softHyphen/>
        <w:t>ков тысяч человек. Большевики действительно постарались нагнать возможно больше народа, но именно такое число уча</w:t>
      </w:r>
      <w:r w:rsidRPr="002F2FDF">
        <w:rPr>
          <w:color w:val="000000" w:themeColor="text1"/>
          <w:kern w:val="2"/>
          <w:sz w:val="16"/>
          <w:szCs w:val="16"/>
        </w:rPr>
        <w:softHyphen/>
        <w:t>стников обрекло их сегодня на неудачу… они потеря</w:t>
      </w:r>
      <w:r w:rsidRPr="002F2FDF">
        <w:rPr>
          <w:color w:val="000000" w:themeColor="text1"/>
          <w:kern w:val="2"/>
          <w:sz w:val="16"/>
          <w:szCs w:val="16"/>
        </w:rPr>
        <w:softHyphen/>
        <w:t>ли друг друга, сами потерялись в этой чудовищной толпе из бесчисленных голов. Большевики прежде всего завязли. По мере того, как прибывали новые люди, они теряли управление. Уже к полудню было заметно, как рвались цепочки и исчеза</w:t>
      </w:r>
      <w:r w:rsidRPr="002F2FDF">
        <w:rPr>
          <w:color w:val="000000" w:themeColor="text1"/>
          <w:kern w:val="2"/>
          <w:sz w:val="16"/>
          <w:szCs w:val="16"/>
        </w:rPr>
        <w:softHyphen/>
        <w:t>ло оцепление. А во вторую половину дня технические средства управления были окончательно раздавлены массой, что было видно по всем её бестолковым передвижениям».</w:t>
      </w:r>
    </w:p>
    <w:p w14:paraId="3E5D8880" w14:textId="77777777" w:rsidR="006B559B" w:rsidRPr="002F2FDF" w:rsidRDefault="006B559B" w:rsidP="0083075A">
      <w:pPr>
        <w:pStyle w:val="ae"/>
        <w:spacing w:before="0" w:after="0"/>
        <w:jc w:val="both"/>
        <w:rPr>
          <w:color w:val="000000" w:themeColor="text1"/>
          <w:kern w:val="2"/>
          <w:sz w:val="16"/>
          <w:szCs w:val="16"/>
        </w:rPr>
      </w:pPr>
      <w:r w:rsidRPr="002F2FDF">
        <w:rPr>
          <w:color w:val="000000" w:themeColor="text1"/>
          <w:kern w:val="2"/>
          <w:sz w:val="16"/>
          <w:szCs w:val="16"/>
        </w:rPr>
        <w:t>4 июля Всероссийский Центральный Исполнительный Комитет вызвал Волынский полк для защиты Таврического дворца от предполагаемого нападения большевиков, в ночь с 4 на 5 июля ВЦИК объявил военное положение.</w:t>
      </w:r>
    </w:p>
    <w:p w14:paraId="254A6793" w14:textId="77777777" w:rsidR="006B559B" w:rsidRPr="002F2FDF" w:rsidRDefault="006B559B"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Демонстранты выделили 5 делегатов для переговоров с ВЦИК. Рабочие требовали, чтобы он немедленно взял всю власть в свои руки, тем более что </w:t>
      </w:r>
      <w:hyperlink r:id="rId389" w:tooltip="Временное правительство России" w:history="1">
        <w:r w:rsidRPr="002F2FDF">
          <w:rPr>
            <w:rStyle w:val="a5"/>
            <w:color w:val="000000" w:themeColor="text1"/>
            <w:kern w:val="2"/>
            <w:sz w:val="16"/>
            <w:szCs w:val="16"/>
            <w:u w:val="none"/>
          </w:rPr>
          <w:t>Временное правительство</w:t>
        </w:r>
      </w:hyperlink>
      <w:r w:rsidRPr="002F2FDF">
        <w:rPr>
          <w:color w:val="000000" w:themeColor="text1"/>
          <w:kern w:val="2"/>
          <w:sz w:val="16"/>
          <w:szCs w:val="16"/>
        </w:rPr>
        <w:t xml:space="preserve"> фактически </w:t>
      </w:r>
      <w:hyperlink r:id="rId390" w:tooltip="Июльский кризис Временного правительства России (страница отсутствует)" w:history="1">
        <w:r w:rsidRPr="002F2FDF">
          <w:rPr>
            <w:rStyle w:val="a5"/>
            <w:color w:val="000000" w:themeColor="text1"/>
            <w:kern w:val="2"/>
            <w:sz w:val="16"/>
            <w:szCs w:val="16"/>
            <w:u w:val="none"/>
          </w:rPr>
          <w:t>распалось</w:t>
        </w:r>
      </w:hyperlink>
      <w:r w:rsidRPr="002F2FDF">
        <w:rPr>
          <w:color w:val="000000" w:themeColor="text1"/>
          <w:kern w:val="2"/>
          <w:sz w:val="16"/>
          <w:szCs w:val="16"/>
        </w:rPr>
        <w:t xml:space="preserve">. Лидеры </w:t>
      </w:r>
      <w:hyperlink r:id="rId391" w:tooltip="Меньшевики" w:history="1">
        <w:r w:rsidRPr="002F2FDF">
          <w:rPr>
            <w:rStyle w:val="a5"/>
            <w:color w:val="000000" w:themeColor="text1"/>
            <w:kern w:val="2"/>
            <w:sz w:val="16"/>
            <w:szCs w:val="16"/>
            <w:u w:val="none"/>
          </w:rPr>
          <w:t>меньшевиков</w:t>
        </w:r>
      </w:hyperlink>
      <w:r w:rsidRPr="002F2FDF">
        <w:rPr>
          <w:color w:val="000000" w:themeColor="text1"/>
          <w:kern w:val="2"/>
          <w:sz w:val="16"/>
          <w:szCs w:val="16"/>
        </w:rPr>
        <w:t xml:space="preserve"> и </w:t>
      </w:r>
      <w:hyperlink r:id="rId392" w:tooltip="Эсеры" w:history="1">
        <w:r w:rsidRPr="002F2FDF">
          <w:rPr>
            <w:rStyle w:val="a5"/>
            <w:color w:val="000000" w:themeColor="text1"/>
            <w:kern w:val="2"/>
            <w:sz w:val="16"/>
            <w:szCs w:val="16"/>
            <w:u w:val="none"/>
          </w:rPr>
          <w:t>эсеров</w:t>
        </w:r>
      </w:hyperlink>
      <w:r w:rsidRPr="002F2FDF">
        <w:rPr>
          <w:color w:val="000000" w:themeColor="text1"/>
          <w:kern w:val="2"/>
          <w:sz w:val="16"/>
          <w:szCs w:val="16"/>
        </w:rPr>
        <w:t xml:space="preserve"> пообещали через 2 недели созвать новый </w:t>
      </w:r>
      <w:hyperlink r:id="rId393" w:tooltip="Съезды Советов" w:history="1">
        <w:r w:rsidRPr="002F2FDF">
          <w:rPr>
            <w:rStyle w:val="a5"/>
            <w:color w:val="000000" w:themeColor="text1"/>
            <w:kern w:val="2"/>
            <w:sz w:val="16"/>
            <w:szCs w:val="16"/>
            <w:u w:val="none"/>
          </w:rPr>
          <w:t>Всероссийский Съезд Советов</w:t>
        </w:r>
      </w:hyperlink>
      <w:r w:rsidRPr="002F2FDF">
        <w:rPr>
          <w:color w:val="000000" w:themeColor="text1"/>
          <w:kern w:val="2"/>
          <w:sz w:val="16"/>
          <w:szCs w:val="16"/>
        </w:rPr>
        <w:t xml:space="preserve"> и, если не будет иного выхода, передать всю власть ему.</w:t>
      </w:r>
    </w:p>
    <w:p w14:paraId="32743A69" w14:textId="77777777" w:rsidR="0096208F" w:rsidRPr="002F2FDF" w:rsidRDefault="006B559B"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Основные переговоры между большевиками и меньшевистско-эсеровским ВЦИК во время июльских событий шли через </w:t>
      </w:r>
      <w:hyperlink r:id="rId394" w:tooltip="Сталин" w:history="1">
        <w:r w:rsidRPr="002F2FDF">
          <w:rPr>
            <w:rStyle w:val="a5"/>
            <w:color w:val="000000" w:themeColor="text1"/>
            <w:kern w:val="2"/>
            <w:sz w:val="16"/>
            <w:szCs w:val="16"/>
            <w:u w:val="none"/>
          </w:rPr>
          <w:t>Сталина</w:t>
        </w:r>
      </w:hyperlink>
      <w:r w:rsidRPr="002F2FDF">
        <w:rPr>
          <w:color w:val="000000" w:themeColor="text1"/>
          <w:kern w:val="2"/>
          <w:sz w:val="16"/>
          <w:szCs w:val="16"/>
        </w:rPr>
        <w:t xml:space="preserve">, который тогда имел среди меньшевиков репутацию «умеренного». Этим объясняется и то, что Сталин не попал в список большевиков, подлежавших аресту, хотя он и входил в ЦК РСДРП(б). Кроме того, председатель исполкома Петросовета </w:t>
      </w:r>
      <w:hyperlink r:id="rId395" w:tooltip="Чхеидзе, Николай Семёнович" w:history="1">
        <w:r w:rsidRPr="002F2FDF">
          <w:rPr>
            <w:rStyle w:val="a5"/>
            <w:color w:val="000000" w:themeColor="text1"/>
            <w:kern w:val="2"/>
            <w:sz w:val="16"/>
            <w:szCs w:val="16"/>
            <w:u w:val="none"/>
          </w:rPr>
          <w:t>Н. С. Чхеидзе</w:t>
        </w:r>
      </w:hyperlink>
      <w:r w:rsidRPr="002F2FDF">
        <w:rPr>
          <w:color w:val="000000" w:themeColor="text1"/>
          <w:kern w:val="2"/>
          <w:sz w:val="16"/>
          <w:szCs w:val="16"/>
        </w:rPr>
        <w:t xml:space="preserve"> был, так же, как и Сталин, грузином, что облегчало им общение</w:t>
      </w:r>
      <w:r w:rsidR="0096208F" w:rsidRPr="002F2FDF">
        <w:rPr>
          <w:color w:val="000000" w:themeColor="text1"/>
          <w:kern w:val="2"/>
          <w:sz w:val="16"/>
          <w:szCs w:val="16"/>
        </w:rPr>
        <w:t>.</w:t>
      </w:r>
    </w:p>
    <w:p w14:paraId="2FF196FA" w14:textId="77777777" w:rsidR="00403653" w:rsidRPr="002F2FDF" w:rsidRDefault="00403653"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Зашедшая в Таврический дворец группа людей искала министра юстиции </w:t>
      </w:r>
      <w:hyperlink r:id="rId396" w:tooltip="Переверзев, Павел Николаевич" w:history="1">
        <w:r w:rsidRPr="002F2FDF">
          <w:rPr>
            <w:rStyle w:val="a5"/>
            <w:color w:val="000000" w:themeColor="text1"/>
            <w:kern w:val="2"/>
            <w:sz w:val="16"/>
            <w:szCs w:val="16"/>
            <w:u w:val="none"/>
          </w:rPr>
          <w:t>П. Н. Переверзева</w:t>
        </w:r>
      </w:hyperlink>
      <w:r w:rsidRPr="002F2FDF">
        <w:rPr>
          <w:color w:val="000000" w:themeColor="text1"/>
          <w:kern w:val="2"/>
          <w:sz w:val="16"/>
          <w:szCs w:val="16"/>
        </w:rPr>
        <w:t xml:space="preserve">, но вместо него забрала министра земледелия </w:t>
      </w:r>
      <w:hyperlink r:id="rId397" w:tooltip="Чернов, Виктор Михайлович" w:history="1">
        <w:r w:rsidRPr="002F2FDF">
          <w:rPr>
            <w:rStyle w:val="a5"/>
            <w:color w:val="000000" w:themeColor="text1"/>
            <w:kern w:val="2"/>
            <w:sz w:val="16"/>
            <w:szCs w:val="16"/>
            <w:u w:val="none"/>
          </w:rPr>
          <w:t>В. М. Чернова</w:t>
        </w:r>
      </w:hyperlink>
      <w:r w:rsidRPr="002F2FDF">
        <w:rPr>
          <w:color w:val="000000" w:themeColor="text1"/>
          <w:kern w:val="2"/>
          <w:sz w:val="16"/>
          <w:szCs w:val="16"/>
        </w:rPr>
        <w:t xml:space="preserve">. </w:t>
      </w:r>
    </w:p>
    <w:p w14:paraId="6239BD93" w14:textId="5B7F0CF5" w:rsidR="00403653" w:rsidRPr="002F2FDF" w:rsidRDefault="00403653" w:rsidP="0083075A">
      <w:pPr>
        <w:pStyle w:val="ae"/>
        <w:spacing w:before="0" w:after="0"/>
        <w:jc w:val="both"/>
        <w:rPr>
          <w:color w:val="000000" w:themeColor="text1"/>
          <w:kern w:val="2"/>
          <w:sz w:val="16"/>
          <w:szCs w:val="16"/>
        </w:rPr>
      </w:pPr>
      <w:r w:rsidRPr="002F2FDF">
        <w:rPr>
          <w:color w:val="000000" w:themeColor="text1"/>
          <w:kern w:val="2"/>
          <w:sz w:val="16"/>
          <w:szCs w:val="16"/>
        </w:rPr>
        <w:t>Члены ВЦИК Д.</w:t>
      </w:r>
      <w:r w:rsidR="00E52569">
        <w:rPr>
          <w:color w:val="000000" w:themeColor="text1"/>
          <w:kern w:val="2"/>
          <w:sz w:val="16"/>
          <w:szCs w:val="16"/>
        </w:rPr>
        <w:t xml:space="preserve"> </w:t>
      </w:r>
      <w:r w:rsidRPr="002F2FDF">
        <w:rPr>
          <w:color w:val="000000" w:themeColor="text1"/>
          <w:kern w:val="2"/>
          <w:sz w:val="16"/>
          <w:szCs w:val="16"/>
        </w:rPr>
        <w:t>Б.</w:t>
      </w:r>
      <w:r w:rsidR="00E52569">
        <w:rPr>
          <w:color w:val="000000" w:themeColor="text1"/>
          <w:kern w:val="2"/>
          <w:sz w:val="16"/>
          <w:szCs w:val="16"/>
        </w:rPr>
        <w:t xml:space="preserve"> </w:t>
      </w:r>
      <w:r w:rsidRPr="002F2FDF">
        <w:rPr>
          <w:color w:val="000000" w:themeColor="text1"/>
          <w:kern w:val="2"/>
          <w:sz w:val="16"/>
          <w:szCs w:val="16"/>
        </w:rPr>
        <w:t>Рязанов и Ю.</w:t>
      </w:r>
      <w:r w:rsidR="00E52569">
        <w:rPr>
          <w:color w:val="000000" w:themeColor="text1"/>
          <w:kern w:val="2"/>
          <w:sz w:val="16"/>
          <w:szCs w:val="16"/>
        </w:rPr>
        <w:t xml:space="preserve"> </w:t>
      </w:r>
      <w:r w:rsidRPr="002F2FDF">
        <w:rPr>
          <w:color w:val="000000" w:themeColor="text1"/>
          <w:kern w:val="2"/>
          <w:sz w:val="16"/>
          <w:szCs w:val="16"/>
        </w:rPr>
        <w:t>М.</w:t>
      </w:r>
      <w:r w:rsidR="00E52569">
        <w:rPr>
          <w:color w:val="000000" w:themeColor="text1"/>
          <w:kern w:val="2"/>
          <w:sz w:val="16"/>
          <w:szCs w:val="16"/>
        </w:rPr>
        <w:t xml:space="preserve"> </w:t>
      </w:r>
      <w:r w:rsidRPr="002F2FDF">
        <w:rPr>
          <w:color w:val="000000" w:themeColor="text1"/>
          <w:kern w:val="2"/>
          <w:sz w:val="16"/>
          <w:szCs w:val="16"/>
        </w:rPr>
        <w:t>Стеклов пробовали образумить матросов, окруживших Чернова, но подверглись оскорблениям, получив ряд увесистых пинков.</w:t>
      </w:r>
      <w:hyperlink r:id="rId398" w:anchor="cite_note-26" w:history="1">
        <w:r w:rsidRPr="002F2FDF">
          <w:rPr>
            <w:rStyle w:val="a5"/>
            <w:color w:val="000000" w:themeColor="text1"/>
            <w:kern w:val="2"/>
            <w:sz w:val="16"/>
            <w:szCs w:val="16"/>
            <w:u w:val="none"/>
            <w:vertAlign w:val="superscript"/>
          </w:rPr>
          <w:t>[26]</w:t>
        </w:r>
      </w:hyperlink>
      <w:r w:rsidRPr="002F2FDF">
        <w:rPr>
          <w:color w:val="000000" w:themeColor="text1"/>
          <w:kern w:val="2"/>
          <w:sz w:val="16"/>
          <w:szCs w:val="16"/>
        </w:rPr>
        <w:t xml:space="preserve"> Затем подошли другие участники заседания, которых кронштадтские матросы отталкивали уже прикладами. Чернова посадили в автомобиль, порвав при этом пиджак, и заявили, что не отпустят, «пока Совет не возьмёт власть». По свидетельству очевидцев, неизвестный рабочий, поднеся к лицу министра кулак, заорал: «ну бери власть, коли дают!»</w:t>
      </w:r>
    </w:p>
    <w:p w14:paraId="5C2A988D" w14:textId="77777777" w:rsidR="00403653" w:rsidRPr="002F2FDF" w:rsidRDefault="00403653" w:rsidP="0083075A">
      <w:pPr>
        <w:pStyle w:val="ae"/>
        <w:spacing w:before="0" w:after="0"/>
        <w:jc w:val="both"/>
        <w:rPr>
          <w:color w:val="000000" w:themeColor="text1"/>
          <w:kern w:val="2"/>
          <w:sz w:val="16"/>
          <w:szCs w:val="16"/>
        </w:rPr>
      </w:pPr>
      <w:r w:rsidRPr="002F2FDF">
        <w:rPr>
          <w:color w:val="000000" w:themeColor="text1"/>
          <w:kern w:val="2"/>
          <w:sz w:val="16"/>
          <w:szCs w:val="16"/>
        </w:rPr>
        <w:t>Благодаря вмешательству Троцкого, выступившего с речью перед толпой, Чернов был освобождён. Толпа с недовольным видом расступилась; Троцкий, схватив Чернова за рукав, быстро увёл его. Также успокоить толпу попытался, но безуспешно, Раскольников.</w:t>
      </w:r>
    </w:p>
    <w:p w14:paraId="692B457E" w14:textId="77777777" w:rsidR="00403653" w:rsidRPr="002F2FDF" w:rsidRDefault="00403653" w:rsidP="0083075A">
      <w:pPr>
        <w:pStyle w:val="ae"/>
        <w:spacing w:before="0" w:after="0"/>
        <w:jc w:val="both"/>
        <w:rPr>
          <w:color w:val="000000" w:themeColor="text1"/>
          <w:kern w:val="2"/>
          <w:sz w:val="16"/>
          <w:szCs w:val="16"/>
        </w:rPr>
      </w:pPr>
      <w:r w:rsidRPr="002F2FDF">
        <w:rPr>
          <w:color w:val="000000" w:themeColor="text1"/>
          <w:kern w:val="2"/>
          <w:sz w:val="16"/>
          <w:szCs w:val="16"/>
        </w:rPr>
        <w:t>Действиям Троцкого в эти дни была присуща значительная дерзость: он один выступил перед толпой практически никем не контролируемых кронштадтских матросов, к тому времени уже ограбивших в Петрограде до трёхсот «буржуев», и отбил у них Чернова. В своей речи Троцкий заявил: «Товарищи кронштадтцы, краса и гордость русской революции! Я убеждён, что никто не омрачит нашего сегодняшнего праздника, нашего торжественного смотра сил революции, ненужными арестами. Кто тут за насилие, пусть поднимет руку!»</w:t>
      </w:r>
    </w:p>
    <w:p w14:paraId="3C15DEAC" w14:textId="77777777" w:rsidR="00403653" w:rsidRPr="002F2FDF" w:rsidRDefault="00403653" w:rsidP="0083075A">
      <w:pPr>
        <w:pStyle w:val="ae"/>
        <w:spacing w:before="0" w:after="0"/>
        <w:jc w:val="both"/>
        <w:rPr>
          <w:color w:val="000000" w:themeColor="text1"/>
          <w:kern w:val="2"/>
          <w:sz w:val="16"/>
          <w:szCs w:val="16"/>
        </w:rPr>
      </w:pPr>
      <w:r w:rsidRPr="002F2FDF">
        <w:rPr>
          <w:color w:val="000000" w:themeColor="text1"/>
          <w:kern w:val="2"/>
          <w:sz w:val="16"/>
          <w:szCs w:val="16"/>
        </w:rPr>
        <w:t>По мнению Троцкого, Чернов был арестован «десятком субъектов полууголовного, провокаторского типа». Версия Троцкого, однако, опровергается большевиком Раскольниковым, который подтверждает, что Чернов был арестован пробольшевистскими кронштадтскими матросами.</w:t>
      </w:r>
    </w:p>
    <w:p w14:paraId="2E0C358A" w14:textId="77777777" w:rsidR="00403653" w:rsidRPr="002F2FDF" w:rsidRDefault="00403653" w:rsidP="0083075A">
      <w:pPr>
        <w:pStyle w:val="ae"/>
        <w:spacing w:before="0" w:after="0"/>
        <w:jc w:val="both"/>
        <w:rPr>
          <w:color w:val="000000" w:themeColor="text1"/>
          <w:kern w:val="2"/>
          <w:sz w:val="16"/>
          <w:szCs w:val="16"/>
        </w:rPr>
      </w:pPr>
      <w:r w:rsidRPr="002F2FDF">
        <w:rPr>
          <w:color w:val="000000" w:themeColor="text1"/>
          <w:kern w:val="2"/>
          <w:sz w:val="16"/>
          <w:szCs w:val="16"/>
        </w:rPr>
        <w:t>По мнению капитана Никитина Б. В., во время событий исполнявшего должность начальника контрразведки Петроградского военного округа, схвативший Чернова матрос «был обыкновенный уголовный пре</w:t>
      </w:r>
      <w:r w:rsidRPr="002F2FDF">
        <w:rPr>
          <w:color w:val="000000" w:themeColor="text1"/>
          <w:kern w:val="2"/>
          <w:sz w:val="16"/>
          <w:szCs w:val="16"/>
        </w:rPr>
        <w:softHyphen/>
        <w:t>ступник, который уже раньше сидел в Крестах за кражу».</w:t>
      </w:r>
    </w:p>
    <w:p w14:paraId="256ECCCC" w14:textId="25B53EB7" w:rsidR="0096208F" w:rsidRPr="002F2FDF" w:rsidRDefault="0096208F"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Узнав по телефону об аресте Чернова и насилиях моряков в Таврическом дворце, командующий войсками военного округа </w:t>
      </w:r>
      <w:hyperlink r:id="rId399" w:tooltip="Половцов, Пётр Александрович" w:history="1">
        <w:r w:rsidRPr="002F2FDF">
          <w:rPr>
            <w:rStyle w:val="a5"/>
            <w:color w:val="000000" w:themeColor="text1"/>
            <w:kern w:val="2"/>
            <w:sz w:val="16"/>
            <w:szCs w:val="16"/>
            <w:u w:val="none"/>
          </w:rPr>
          <w:t>П.</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А.</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Половцов</w:t>
        </w:r>
      </w:hyperlink>
      <w:r w:rsidRPr="002F2FDF">
        <w:rPr>
          <w:color w:val="000000" w:themeColor="text1"/>
          <w:kern w:val="2"/>
          <w:sz w:val="16"/>
          <w:szCs w:val="16"/>
        </w:rPr>
        <w:t xml:space="preserve"> решил, что пора перейти к активным действиям, выступив в роли спасителя Совета. Половцов приказал полковнику </w:t>
      </w:r>
      <w:hyperlink r:id="rId400" w:tooltip="Лейб-гвардии Конная артиллерия" w:history="1">
        <w:r w:rsidRPr="002F2FDF">
          <w:rPr>
            <w:rStyle w:val="a5"/>
            <w:color w:val="000000" w:themeColor="text1"/>
            <w:kern w:val="2"/>
            <w:sz w:val="16"/>
            <w:szCs w:val="16"/>
            <w:u w:val="none"/>
          </w:rPr>
          <w:t>конноартиллерийского</w:t>
        </w:r>
      </w:hyperlink>
      <w:r w:rsidRPr="002F2FDF">
        <w:rPr>
          <w:color w:val="000000" w:themeColor="text1"/>
          <w:kern w:val="2"/>
          <w:sz w:val="16"/>
          <w:szCs w:val="16"/>
        </w:rPr>
        <w:t xml:space="preserve"> полка Ребиндеру с двумя орудиями и под прикрытием </w:t>
      </w:r>
      <w:hyperlink r:id="rId401" w:tooltip="Казачья сотня" w:history="1">
        <w:r w:rsidRPr="002F2FDF">
          <w:rPr>
            <w:rStyle w:val="a5"/>
            <w:color w:val="000000" w:themeColor="text1"/>
            <w:kern w:val="2"/>
            <w:sz w:val="16"/>
            <w:szCs w:val="16"/>
            <w:u w:val="none"/>
          </w:rPr>
          <w:t>сотни</w:t>
        </w:r>
      </w:hyperlink>
      <w:r w:rsidRPr="002F2FDF">
        <w:rPr>
          <w:color w:val="000000" w:themeColor="text1"/>
          <w:kern w:val="2"/>
          <w:sz w:val="16"/>
          <w:szCs w:val="16"/>
        </w:rPr>
        <w:t xml:space="preserve"> казаков </w:t>
      </w:r>
      <w:hyperlink r:id="rId402" w:tooltip="Донской 1-й казачий полк" w:history="1">
        <w:r w:rsidRPr="002F2FDF">
          <w:rPr>
            <w:rStyle w:val="a5"/>
            <w:color w:val="000000" w:themeColor="text1"/>
            <w:kern w:val="2"/>
            <w:sz w:val="16"/>
            <w:szCs w:val="16"/>
            <w:u w:val="none"/>
          </w:rPr>
          <w:t>1-го Донского полка</w:t>
        </w:r>
      </w:hyperlink>
      <w:r w:rsidRPr="002F2FDF">
        <w:rPr>
          <w:color w:val="000000" w:themeColor="text1"/>
          <w:kern w:val="2"/>
          <w:sz w:val="16"/>
          <w:szCs w:val="16"/>
        </w:rPr>
        <w:t xml:space="preserve"> двинуться на рысях по набережной и по Шпалерной к Таврическому дворцу и после краткого предупреждения, или даже без него, открыть огонь по толпе, собравшейся перед Таврическим дворцом.</w:t>
      </w:r>
    </w:p>
    <w:p w14:paraId="26B36389" w14:textId="77777777" w:rsidR="0096208F" w:rsidRPr="002F2FDF" w:rsidRDefault="0096208F"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Ребиндер, достигнув пересечения Шпалерной с Литейным проспектом, был обстрелян с двух сторон. На </w:t>
      </w:r>
      <w:hyperlink r:id="rId403" w:tooltip="Литейный мост" w:history="1">
        <w:r w:rsidRPr="002F2FDF">
          <w:rPr>
            <w:rStyle w:val="a5"/>
            <w:color w:val="000000" w:themeColor="text1"/>
            <w:kern w:val="2"/>
            <w:sz w:val="16"/>
            <w:szCs w:val="16"/>
            <w:u w:val="none"/>
          </w:rPr>
          <w:t>Литейном мосту</w:t>
        </w:r>
      </w:hyperlink>
      <w:r w:rsidRPr="002F2FDF">
        <w:rPr>
          <w:color w:val="000000" w:themeColor="text1"/>
          <w:kern w:val="2"/>
          <w:sz w:val="16"/>
          <w:szCs w:val="16"/>
        </w:rPr>
        <w:t xml:space="preserve"> ему противостоял десяток каких-то личностей в арестантских халатах с пулемётом. Ребиндер снялся с передков и открыл по ним огонь. Один снаряд разорвался у Петропавловской крепости, негативно повлияв на настрой находившихся в доме Кшесинской, другой разогнал митинг у </w:t>
      </w:r>
      <w:hyperlink r:id="rId404" w:tooltip="Михайловское артиллерийское училище" w:history="1">
        <w:r w:rsidRPr="002F2FDF">
          <w:rPr>
            <w:rStyle w:val="a5"/>
            <w:color w:val="000000" w:themeColor="text1"/>
            <w:kern w:val="2"/>
            <w:sz w:val="16"/>
            <w:szCs w:val="16"/>
            <w:u w:val="none"/>
          </w:rPr>
          <w:t>Михайловского артиллерийского училища</w:t>
        </w:r>
      </w:hyperlink>
      <w:r w:rsidRPr="002F2FDF">
        <w:rPr>
          <w:color w:val="000000" w:themeColor="text1"/>
          <w:kern w:val="2"/>
          <w:sz w:val="16"/>
          <w:szCs w:val="16"/>
        </w:rPr>
        <w:t>, а третий попал в самую середину арестантов-пулемётчиков, окруживших в тот момент отставшее первое орудие отряда Ребиндера, и, уложив 8 человек на месте, рассеял остальных.</w:t>
      </w:r>
    </w:p>
    <w:p w14:paraId="4AFE45CD" w14:textId="6618CED2" w:rsidR="0096208F" w:rsidRPr="002F2FDF" w:rsidRDefault="0096208F" w:rsidP="0083075A">
      <w:pPr>
        <w:pStyle w:val="ae"/>
        <w:spacing w:before="0" w:after="0"/>
        <w:jc w:val="both"/>
        <w:rPr>
          <w:color w:val="000000" w:themeColor="text1"/>
          <w:kern w:val="2"/>
          <w:sz w:val="16"/>
          <w:szCs w:val="16"/>
        </w:rPr>
      </w:pPr>
      <w:r w:rsidRPr="002F2FDF">
        <w:rPr>
          <w:color w:val="000000" w:themeColor="text1"/>
          <w:kern w:val="2"/>
          <w:sz w:val="16"/>
          <w:szCs w:val="16"/>
        </w:rPr>
        <w:t>По воспоминаниям П.</w:t>
      </w:r>
      <w:r w:rsidR="00E52569">
        <w:rPr>
          <w:color w:val="000000" w:themeColor="text1"/>
          <w:kern w:val="2"/>
          <w:sz w:val="16"/>
          <w:szCs w:val="16"/>
        </w:rPr>
        <w:t xml:space="preserve"> </w:t>
      </w:r>
      <w:r w:rsidRPr="002F2FDF">
        <w:rPr>
          <w:color w:val="000000" w:themeColor="text1"/>
          <w:kern w:val="2"/>
          <w:sz w:val="16"/>
          <w:szCs w:val="16"/>
        </w:rPr>
        <w:t>А.</w:t>
      </w:r>
      <w:r w:rsidR="00E52569">
        <w:rPr>
          <w:color w:val="000000" w:themeColor="text1"/>
          <w:kern w:val="2"/>
          <w:sz w:val="16"/>
          <w:szCs w:val="16"/>
        </w:rPr>
        <w:t xml:space="preserve"> </w:t>
      </w:r>
      <w:r w:rsidRPr="002F2FDF">
        <w:rPr>
          <w:color w:val="000000" w:themeColor="text1"/>
          <w:kern w:val="2"/>
          <w:sz w:val="16"/>
          <w:szCs w:val="16"/>
        </w:rPr>
        <w:t xml:space="preserve">Половцова, толпа у Таврического дворца, услышав близкий артиллерийский огонь, панически разбежалась во все стороны. Во время этой перестрелки было убито 6 казаков, 4 конноартиллериста, было много раненых и было убито много лошадей. </w:t>
      </w:r>
    </w:p>
    <w:p w14:paraId="17C8AACF" w14:textId="36711134" w:rsidR="006B559B" w:rsidRPr="002F2FDF" w:rsidRDefault="0096208F" w:rsidP="0083075A">
      <w:pPr>
        <w:pStyle w:val="ae"/>
        <w:spacing w:before="0" w:after="0"/>
        <w:jc w:val="both"/>
        <w:rPr>
          <w:color w:val="000000" w:themeColor="text1"/>
          <w:kern w:val="2"/>
          <w:sz w:val="16"/>
          <w:szCs w:val="16"/>
        </w:rPr>
      </w:pPr>
      <w:r w:rsidRPr="002F2FDF">
        <w:rPr>
          <w:color w:val="000000" w:themeColor="text1"/>
          <w:kern w:val="2"/>
          <w:sz w:val="16"/>
          <w:szCs w:val="16"/>
        </w:rPr>
        <w:t>По воспоминаниям же Б.</w:t>
      </w:r>
      <w:r w:rsidR="00E52569">
        <w:rPr>
          <w:color w:val="000000" w:themeColor="text1"/>
          <w:kern w:val="2"/>
          <w:sz w:val="16"/>
          <w:szCs w:val="16"/>
        </w:rPr>
        <w:t xml:space="preserve"> </w:t>
      </w:r>
      <w:r w:rsidRPr="002F2FDF">
        <w:rPr>
          <w:color w:val="000000" w:themeColor="text1"/>
          <w:kern w:val="2"/>
          <w:sz w:val="16"/>
          <w:szCs w:val="16"/>
        </w:rPr>
        <w:t>Н.</w:t>
      </w:r>
      <w:r w:rsidR="00E52569">
        <w:rPr>
          <w:color w:val="000000" w:themeColor="text1"/>
          <w:kern w:val="2"/>
          <w:sz w:val="16"/>
          <w:szCs w:val="16"/>
        </w:rPr>
        <w:t xml:space="preserve"> </w:t>
      </w:r>
      <w:r w:rsidRPr="002F2FDF">
        <w:rPr>
          <w:color w:val="000000" w:themeColor="text1"/>
          <w:kern w:val="2"/>
          <w:sz w:val="16"/>
          <w:szCs w:val="16"/>
        </w:rPr>
        <w:t xml:space="preserve">Никитина, находившегося в Таврическом дворце, донским казакам в районе Литейного моста противостояли большевизированные солдаты 1-го Запасного полка, а пулемёт на Литейном мосту был поставлен солдатами Финляндского полка. Заслугу в том, что, попав под пулемётный огонь, артиллеристы смогли ответить огнём из одного орудия (другое было захвачено восставшими), Никитин отдаёт добровольцу Конной артиллерии </w:t>
      </w:r>
      <w:hyperlink r:id="rId405" w:tooltip="Табель о рангах" w:history="1">
        <w:r w:rsidRPr="002F2FDF">
          <w:rPr>
            <w:rStyle w:val="a5"/>
            <w:color w:val="000000" w:themeColor="text1"/>
            <w:kern w:val="2"/>
            <w:sz w:val="16"/>
            <w:szCs w:val="16"/>
            <w:u w:val="none"/>
          </w:rPr>
          <w:t>штабс-капитану</w:t>
        </w:r>
      </w:hyperlink>
      <w:r w:rsidRPr="002F2FDF">
        <w:rPr>
          <w:color w:val="000000" w:themeColor="text1"/>
          <w:kern w:val="2"/>
          <w:sz w:val="16"/>
          <w:szCs w:val="16"/>
        </w:rPr>
        <w:t xml:space="preserve"> Цагурия, приехавшему в Петроград с Кавказа в командировку, и вызвавшемуся идти с отрядом. Цагурия не растерялся, в одиночку (так как конные казаки, попав под пулемётный огонь, бросились врассыпную по соседним улицам) смог сняться с передка, развернуть орудие и дать первый выстрел, обескураживший противника. Последовавшая же паника среди толпы, окружавшей Таврический дворец, возникла не из-за артиллерийских выстрелов отряда Ребиндера, а из-за беспорядочных винтовочных выстрелов из самой толпы по дворцу, в результате которых были ранены люди в первых рядах возле дворца </w:t>
      </w:r>
      <w:r w:rsidR="006B559B" w:rsidRPr="002F2FDF">
        <w:rPr>
          <w:color w:val="000000" w:themeColor="text1"/>
          <w:kern w:val="2"/>
          <w:sz w:val="16"/>
          <w:szCs w:val="16"/>
        </w:rPr>
        <w:t>(17029).</w:t>
      </w:r>
    </w:p>
    <w:p w14:paraId="084D78CE" w14:textId="77777777" w:rsidR="006B559B" w:rsidRPr="002F2FDF" w:rsidRDefault="006B559B"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2033C1" w14:textId="77777777" w:rsidR="005E2948" w:rsidRPr="002F2FDF" w:rsidRDefault="005E2948" w:rsidP="0083075A">
      <w:pPr>
        <w:pStyle w:val="ae"/>
        <w:spacing w:before="0" w:after="0"/>
        <w:jc w:val="both"/>
        <w:rPr>
          <w:color w:val="000000" w:themeColor="text1"/>
          <w:kern w:val="2"/>
          <w:sz w:val="16"/>
          <w:szCs w:val="16"/>
        </w:rPr>
      </w:pPr>
      <w:r w:rsidRPr="002F2FDF">
        <w:rPr>
          <w:color w:val="000000" w:themeColor="text1"/>
          <w:kern w:val="2"/>
          <w:sz w:val="16"/>
          <w:szCs w:val="16"/>
        </w:rPr>
        <w:t>В ночь на 4 (17) июля 1917 в Петрограде в Таврическом дворце, где располагался Петросовет, состоялось экстренное совещание членов ЦК и Военной организации РСДРП (б) — партии большевиков и поддерживающего их Межрайонного комитета РСДРП, возглавляемого Львом Троцким. На повестке был один вопрос — дальнейшие действия на фоне состоявшегося накануне выступления «сагитированных» бойцов 1-го Пулеметного полка, решивших ответить на приказ об отправке на фронт «вооруженной демонстрацией» против Временного правительства. Выяснив, что солдаты пулеметного полка, справедливо опасаясь расформирования части, намерены выступить в любом случае и уже вызвали на подмогу матросов-анархистов из Кронштадта, большевики приняли решение возглавить мирную, но при этом вооруженную демонстрацию, что по факту было очередной попыткой захвата власти.</w:t>
      </w:r>
    </w:p>
    <w:p w14:paraId="316E4071" w14:textId="77777777" w:rsidR="005E2948" w:rsidRPr="002F2FDF" w:rsidRDefault="005E2948" w:rsidP="0083075A">
      <w:pPr>
        <w:pStyle w:val="ae"/>
        <w:spacing w:before="0" w:after="0"/>
        <w:jc w:val="both"/>
        <w:rPr>
          <w:color w:val="000000" w:themeColor="text1"/>
          <w:kern w:val="2"/>
          <w:sz w:val="16"/>
          <w:szCs w:val="16"/>
        </w:rPr>
      </w:pPr>
      <w:r w:rsidRPr="002F2FDF">
        <w:rPr>
          <w:color w:val="000000" w:themeColor="text1"/>
          <w:kern w:val="2"/>
          <w:sz w:val="16"/>
          <w:szCs w:val="16"/>
        </w:rPr>
        <w:t>К ночи большевистские агитаторы стянули на площадь перед Таврическим дворцом для поддержки «майдан» из 30 тысяч рабочих с городских окраин. К утру в Петрограде высадились революционные кронштадтские матросы (в основном, анархисты и частично большевики), а из Ораниенбаума (ныне город Ломоносов на юго-</w:t>
      </w:r>
      <w:r w:rsidRPr="002F2FDF">
        <w:rPr>
          <w:color w:val="000000" w:themeColor="text1"/>
          <w:kern w:val="2"/>
          <w:sz w:val="16"/>
          <w:szCs w:val="16"/>
        </w:rPr>
        <w:lastRenderedPageBreak/>
        <w:t>западной окраине Санкт-Петербурга) прибыл «большевизированный» 2-й Пулеметный полк. Численность толпы, выплеснувшейся днем 17 июля на улицы Петрограда, очевидцы оценивали по-разному — от нескольких десятков тысяч до полумиллиона человек. Простые рабочие, мирные обыватели, зеваки перемежались с хорошо вооруженными участниками «демонстрации» — солдатами, матросами и красногвардейцами.</w:t>
      </w:r>
    </w:p>
    <w:p w14:paraId="6DAAF3E8" w14:textId="77777777" w:rsidR="005E2948" w:rsidRPr="002F2FDF" w:rsidRDefault="005E2948" w:rsidP="0083075A">
      <w:pPr>
        <w:pStyle w:val="ae"/>
        <w:spacing w:before="0" w:after="0"/>
        <w:jc w:val="both"/>
        <w:rPr>
          <w:color w:val="000000" w:themeColor="text1"/>
          <w:kern w:val="2"/>
          <w:sz w:val="16"/>
          <w:szCs w:val="16"/>
        </w:rPr>
      </w:pPr>
      <w:r w:rsidRPr="002F2FDF">
        <w:rPr>
          <w:color w:val="000000" w:themeColor="text1"/>
          <w:kern w:val="2"/>
          <w:sz w:val="16"/>
          <w:szCs w:val="16"/>
        </w:rPr>
        <w:t>На углу Литейного проспекта и Пантелеймоновской улицы (ныне улица Пестеля) отряд матросов-анархистов был обстрелян из пулемета, установленного в окне жилого дома, было убито три матроса и 10 получили ранения. Кто именно стрелял, так и не было достоверно установлено. Предполагается, что это были активисты правых полувоенных организаций. Стычки с ними происходили и в других районах Петрограда – вблизи Николаевского (ныне Московского) вокзала и на прилегающей к нему Знаменской площади (ныне площадь Восстания), на Садовой улице, на углу Невского проспекта и Садовой (у Гостиного двора), на пересечении Невского и Литейного проспектов, на Обводном канале. При этом некоторые историки полагают, что эти инциденты были провокациями самих большевиков.</w:t>
      </w:r>
    </w:p>
    <w:p w14:paraId="525C08B6" w14:textId="77777777" w:rsidR="005E2948" w:rsidRPr="002F2FDF" w:rsidRDefault="005E2948" w:rsidP="0083075A">
      <w:pPr>
        <w:pStyle w:val="ae"/>
        <w:spacing w:before="0" w:after="0"/>
        <w:jc w:val="both"/>
        <w:rPr>
          <w:color w:val="000000" w:themeColor="text1"/>
          <w:kern w:val="2"/>
          <w:sz w:val="16"/>
          <w:szCs w:val="16"/>
        </w:rPr>
      </w:pPr>
      <w:r w:rsidRPr="002F2FDF">
        <w:rPr>
          <w:color w:val="000000" w:themeColor="text1"/>
          <w:kern w:val="2"/>
          <w:sz w:val="16"/>
          <w:szCs w:val="16"/>
        </w:rPr>
        <w:t>Немногочисленные фотографии, сделанные в местах стычек, в советские времена пропаганда выдавала за расстрел буржуазным правительством мирной рабочей демонстрации. Самая известная сделана на пересечении Невского проспекта и Садовой улицы, но на ней изображены не лежащие убитые мирные рабочие, а вооруженные солдаты и матросы, которые с началом стрельбы залегли на мостовую, ведя ответный огонь. В отместку матросы атаковали здание контрразведки на Воскресенской набережной. Оно было полностью разгромлено, были уничтожены многие досье, работа службы оказалась парализована. Ситуацией в городе тут же воспользовались уголовники — было разграблено множество богатых квартир, магазины Гостиного и Апраксина двора, Невского проспекта и Садовой улицы. Около 300 квартир «буржуев» разграбили сами матросы.</w:t>
      </w:r>
    </w:p>
    <w:p w14:paraId="2FC70AA8" w14:textId="77777777" w:rsidR="005E2948" w:rsidRPr="002F2FDF" w:rsidRDefault="005E2948" w:rsidP="0083075A">
      <w:pPr>
        <w:pStyle w:val="ae"/>
        <w:spacing w:before="0" w:after="0"/>
        <w:jc w:val="both"/>
        <w:rPr>
          <w:color w:val="000000" w:themeColor="text1"/>
          <w:kern w:val="2"/>
          <w:sz w:val="16"/>
          <w:szCs w:val="16"/>
        </w:rPr>
      </w:pPr>
      <w:r w:rsidRPr="002F2FDF">
        <w:rPr>
          <w:color w:val="000000" w:themeColor="text1"/>
          <w:kern w:val="2"/>
          <w:sz w:val="16"/>
          <w:szCs w:val="16"/>
        </w:rPr>
        <w:t>Несколько десятков тысяч человек у Таврического дворца, разгоряченные митингами, со временем пришли в полную неуправляемость, что и предопределило неудачу большевистского путча. Отдельные группы мятежников вошли в Таврический дворец и схватили министра земледелия Виктора Чернова, — его пришлось спасать из рук толпы самому Льву Троцкому. Петросовет отказался брать власть в свои руки и сам вызвал Волынский полк для защиты Таврического дворца, а в ночь на 18 июля объявил военное положение. Узнав о задержании Чернова и насилии со стороны моряков, командующий войсками Петроградского военного округа Петр Половцов приказал конноартиллерийскому полку с двумя орудиями и сотне казаков выдвинуться к Таврическому дворцу и открыть огонь в случае, если толпа откажется расходиться. Одновременно в город были вызваны подразделения других верных правительству полков.</w:t>
      </w:r>
    </w:p>
    <w:p w14:paraId="01F08F06" w14:textId="77777777" w:rsidR="005E2948" w:rsidRPr="002F2FDF" w:rsidRDefault="005E2948" w:rsidP="0083075A">
      <w:pPr>
        <w:pStyle w:val="ae"/>
        <w:spacing w:before="0" w:after="0"/>
        <w:jc w:val="both"/>
        <w:rPr>
          <w:color w:val="000000" w:themeColor="text1"/>
          <w:kern w:val="2"/>
          <w:sz w:val="16"/>
          <w:szCs w:val="16"/>
        </w:rPr>
      </w:pPr>
      <w:r w:rsidRPr="002F2FDF">
        <w:rPr>
          <w:color w:val="000000" w:themeColor="text1"/>
          <w:kern w:val="2"/>
          <w:sz w:val="16"/>
          <w:szCs w:val="16"/>
        </w:rPr>
        <w:t>По воспоминаниям Половцова, «толпа большевиков у Таврического дворца, услышав близкий артиллерийский огонь, панически разбежалась во все стороны». Впрочем, многие матросы оказывали сопротивление, убив 10 «правительственных» солдат. Число жертв среди мирных граждан, попавших под шальные пули, составляло как минимум десятки.</w:t>
      </w:r>
    </w:p>
    <w:p w14:paraId="04AB914E" w14:textId="77777777" w:rsidR="005E2948" w:rsidRPr="002F2FDF" w:rsidRDefault="005E2948" w:rsidP="0083075A">
      <w:pPr>
        <w:pStyle w:val="ae"/>
        <w:spacing w:before="0" w:after="0"/>
        <w:jc w:val="both"/>
        <w:rPr>
          <w:color w:val="000000" w:themeColor="text1"/>
          <w:kern w:val="2"/>
          <w:sz w:val="16"/>
          <w:szCs w:val="16"/>
        </w:rPr>
      </w:pPr>
      <w:r w:rsidRPr="002F2FDF">
        <w:rPr>
          <w:color w:val="000000" w:themeColor="text1"/>
          <w:kern w:val="2"/>
          <w:sz w:val="16"/>
          <w:szCs w:val="16"/>
        </w:rPr>
        <w:t>18 июля сводные отряды, сформированные по приказу Временного правительства из числа георгиевских кавалеров и юнкеров, начали аресты большевиков (всего было арестовано до 800 человек). Их лидер Владимир Ленин лишь чудом избежал ареста, уйдя из типографии газеты «Правда» на пять минут раньше, чем туда вошли юнкера. Как впоследствии утверждала «Петроградская газета», при обыске в типографии было обнаружено письмо на немецком языке, свидетельствующее о контактах большевиков с германским Генштабом. О том, что Ленин и большевики финансируются немецким правительством, еще 17 июля писала и газета «Единство», контролируемая старейшим русским марксистом Георгием Плехановым.</w:t>
      </w:r>
    </w:p>
    <w:p w14:paraId="44F212B0" w14:textId="77777777" w:rsidR="005E2948" w:rsidRPr="002F2FDF" w:rsidRDefault="005E2948" w:rsidP="0083075A">
      <w:pPr>
        <w:pStyle w:val="ae"/>
        <w:spacing w:before="0" w:after="0"/>
        <w:jc w:val="both"/>
        <w:rPr>
          <w:color w:val="000000" w:themeColor="text1"/>
          <w:kern w:val="2"/>
          <w:sz w:val="16"/>
          <w:szCs w:val="16"/>
        </w:rPr>
      </w:pPr>
      <w:r w:rsidRPr="002F2FDF">
        <w:rPr>
          <w:color w:val="000000" w:themeColor="text1"/>
          <w:kern w:val="2"/>
          <w:sz w:val="16"/>
          <w:szCs w:val="16"/>
        </w:rPr>
        <w:t>Можно услышать любопытный факт, что ордер на арест Ленина якобы выписал будущий сталинский генпрокурор Андрей Вышинский. Но на самом деле Вышинский, который в те годы был комиссаром милиции Якиманского района Москвы, лишь подтвердил готовность при необходимости выполнить ранее изданное распоряжение Временного правительства.</w:t>
      </w:r>
    </w:p>
    <w:p w14:paraId="15C3C0FF" w14:textId="77777777" w:rsidR="005E2948" w:rsidRPr="002F2FDF" w:rsidRDefault="005E2948" w:rsidP="0083075A">
      <w:pPr>
        <w:pStyle w:val="ae"/>
        <w:spacing w:before="0" w:after="0"/>
        <w:jc w:val="both"/>
        <w:rPr>
          <w:color w:val="000000" w:themeColor="text1"/>
          <w:kern w:val="2"/>
          <w:sz w:val="16"/>
          <w:szCs w:val="16"/>
        </w:rPr>
      </w:pPr>
      <w:r w:rsidRPr="002F2FDF">
        <w:rPr>
          <w:color w:val="000000" w:themeColor="text1"/>
          <w:kern w:val="2"/>
          <w:sz w:val="16"/>
          <w:szCs w:val="16"/>
        </w:rPr>
        <w:t>Большевистскому вождю удалось уйти от погони, сменив пять конспиративных квартир в Петрограде, а потом он отсиживался под видом глухонемого финского крестьянина в шалаше на озере Сестрорецкий Разлив (северо-западная окраина нынешнего Санкт-Петербурга), который благодаря советской пропаганде вошел в историю как просто Разлив. В ходе дальнейших репрессий были разогнаны Красная Гвардия и Центробалт (коллективный орган самоуправления революционных матросов), отдельные «большевизированные» военные части расформированы, но некоторым удалось этого избежать, заявив о поддержке Временного правительства.</w:t>
      </w:r>
    </w:p>
    <w:p w14:paraId="11CFC3BE" w14:textId="77777777" w:rsidR="005E2948" w:rsidRPr="002F2FDF" w:rsidRDefault="005E2948" w:rsidP="0083075A">
      <w:pPr>
        <w:pStyle w:val="ae"/>
        <w:spacing w:before="0" w:after="0"/>
        <w:jc w:val="both"/>
        <w:rPr>
          <w:color w:val="000000" w:themeColor="text1"/>
          <w:kern w:val="2"/>
          <w:sz w:val="16"/>
          <w:szCs w:val="16"/>
        </w:rPr>
      </w:pPr>
      <w:r w:rsidRPr="002F2FDF">
        <w:rPr>
          <w:color w:val="000000" w:themeColor="text1"/>
          <w:kern w:val="2"/>
          <w:sz w:val="16"/>
          <w:szCs w:val="16"/>
        </w:rPr>
        <w:t>Однако в результате «Июльского восстания» часть «министров-капиталистов» все-таки отказалась от своих постов. Сначала ушел в отставку министр юстиции Павел Переверзев, а затем 20 июля — и сам председатель Временного правительства Георгий Львов. 21 июля было сформировано второе коалиционное правительство, которое возглавил Александр Керенский, сохранивший при этом посты военного и морского министров. Новый состав кабинета был уже преимущественно социалистическим (эсеры, меньшевики и радикальные либералы).</w:t>
      </w:r>
    </w:p>
    <w:p w14:paraId="6A94FFFA" w14:textId="77777777" w:rsidR="005E2948" w:rsidRPr="002F2FDF" w:rsidRDefault="005E2948" w:rsidP="0083075A">
      <w:pPr>
        <w:pStyle w:val="ae"/>
        <w:spacing w:before="0" w:after="0"/>
        <w:jc w:val="both"/>
        <w:rPr>
          <w:color w:val="000000" w:themeColor="text1"/>
          <w:kern w:val="2"/>
          <w:sz w:val="16"/>
          <w:szCs w:val="16"/>
        </w:rPr>
      </w:pPr>
      <w:r w:rsidRPr="002F2FDF">
        <w:rPr>
          <w:color w:val="000000" w:themeColor="text1"/>
          <w:kern w:val="2"/>
          <w:sz w:val="16"/>
          <w:szCs w:val="16"/>
        </w:rPr>
        <w:t>На Украине в дни Июльского мятежа было также неспокойно — в Киеве восстал полк имени гетмана Полуботка. Восстание, позднее получившее название «полуботковщина», было подготовлено Генеральным войсковым комитетом во главе с Симоном Петлюрой, который уже тогда планировал свергнуть «соглашателей» из Рады и установить военную диктатуру. К тому же солдаты полка откровенно не хотели ехать на фронт. Восстание было подавлено силами, верными как Временному правительству, так и киевскому Совету, за что Рада выразила им благодарность (17045).</w:t>
      </w:r>
    </w:p>
    <w:p w14:paraId="712CFD3F" w14:textId="77777777" w:rsidR="005E2948" w:rsidRPr="002F2FDF" w:rsidRDefault="005E2948"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FC5B8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июля 1917 в Петрограде расстреляна мирная демонстрация рабочих и солдат (4962).</w:t>
      </w:r>
    </w:p>
    <w:p w14:paraId="1D4F93B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E2DF9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июля 1917 в плехановской газете "Единство" русский журналист Г. Алексинский опубликовал сведения о том, что Ленин и большевики финансируются немецким правительством (4962).</w:t>
      </w:r>
    </w:p>
    <w:p w14:paraId="6AA8BDA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81B8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июля 1917 г. вышел Указ Совета министров, по которому верховная власть имела право объявлять военное положение во всей стране (11270).</w:t>
      </w:r>
    </w:p>
    <w:p w14:paraId="199EE6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F44D3C" w14:textId="77777777" w:rsidR="00135C75" w:rsidRPr="002F2FDF" w:rsidRDefault="00135C75"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июля 1917 в Петрограде введено военное положение. Части, принимавшие участие в беспорядках, расформированы (12629).</w:t>
      </w:r>
    </w:p>
    <w:p w14:paraId="5A440024" w14:textId="77777777" w:rsidR="00135C75" w:rsidRPr="002F2FDF" w:rsidRDefault="00135C7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C63CF7" w14:textId="77777777" w:rsidR="00C06ECB" w:rsidRPr="002F2FDF" w:rsidRDefault="00C06EC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июля в 1917 году командующий Балтфлотом адмирал Д.Вердеревский отказался исполнять приказ Временного правительства отправить корабли против кронштадтских моряков (14955).</w:t>
      </w:r>
    </w:p>
    <w:p w14:paraId="391DD268" w14:textId="77777777" w:rsidR="00C06ECB" w:rsidRPr="002F2FDF" w:rsidRDefault="00C06ECB" w:rsidP="0083075A">
      <w:pPr>
        <w:spacing w:after="0" w:line="240" w:lineRule="auto"/>
        <w:jc w:val="both"/>
        <w:rPr>
          <w:rFonts w:ascii="Times New Roman" w:hAnsi="Times New Roman" w:cs="Times New Roman"/>
          <w:color w:val="000000" w:themeColor="text1"/>
          <w:kern w:val="2"/>
          <w:sz w:val="16"/>
          <w:szCs w:val="16"/>
        </w:rPr>
      </w:pPr>
    </w:p>
    <w:p w14:paraId="481DB13A" w14:textId="6A50B939" w:rsidR="00804AD2" w:rsidRPr="002F2FDF" w:rsidRDefault="00804AD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4</w:t>
      </w:r>
      <w:r w:rsidR="00E52569">
        <w:rPr>
          <w:rFonts w:ascii="Times New Roman" w:hAnsi="Times New Roman" w:cs="Times New Roman"/>
          <w:bCs/>
          <w:color w:val="000000" w:themeColor="text1"/>
          <w:kern w:val="2"/>
          <w:sz w:val="16"/>
          <w:szCs w:val="16"/>
        </w:rPr>
        <w:t xml:space="preserve"> </w:t>
      </w:r>
      <w:r w:rsidR="008648EA" w:rsidRPr="002F2FDF">
        <w:rPr>
          <w:rFonts w:ascii="Times New Roman" w:hAnsi="Times New Roman" w:cs="Times New Roman"/>
          <w:bCs/>
          <w:color w:val="000000" w:themeColor="text1"/>
          <w:kern w:val="2"/>
          <w:sz w:val="16"/>
          <w:szCs w:val="16"/>
        </w:rPr>
        <w:t>(</w:t>
      </w:r>
      <w:r w:rsidRPr="002F2FDF">
        <w:rPr>
          <w:rFonts w:ascii="Times New Roman" w:hAnsi="Times New Roman" w:cs="Times New Roman"/>
          <w:bCs/>
          <w:color w:val="000000" w:themeColor="text1"/>
          <w:kern w:val="2"/>
          <w:sz w:val="16"/>
          <w:szCs w:val="16"/>
        </w:rPr>
        <w:t>17) июля</w:t>
      </w:r>
      <w:r w:rsidRPr="002F2FDF">
        <w:rPr>
          <w:rFonts w:ascii="Times New Roman" w:hAnsi="Times New Roman" w:cs="Times New Roman"/>
          <w:color w:val="000000" w:themeColor="text1"/>
          <w:kern w:val="2"/>
          <w:sz w:val="16"/>
          <w:szCs w:val="16"/>
        </w:rPr>
        <w:t xml:space="preserve"> в 1917 году в Хельсинки экипаж русского дредноута «Петропавловск» издал ультиматум Временному правительству с угрозой обстрелять Петроград (14942).</w:t>
      </w:r>
    </w:p>
    <w:p w14:paraId="3624E8EB" w14:textId="77777777" w:rsidR="00804AD2" w:rsidRPr="002F2FDF" w:rsidRDefault="00804AD2" w:rsidP="0083075A">
      <w:pPr>
        <w:spacing w:after="0" w:line="240" w:lineRule="auto"/>
        <w:jc w:val="both"/>
        <w:rPr>
          <w:rFonts w:ascii="Times New Roman" w:hAnsi="Times New Roman" w:cs="Times New Roman"/>
          <w:color w:val="000000" w:themeColor="text1"/>
          <w:kern w:val="2"/>
          <w:sz w:val="16"/>
          <w:szCs w:val="16"/>
        </w:rPr>
      </w:pPr>
    </w:p>
    <w:p w14:paraId="410859F6" w14:textId="77777777" w:rsidR="004734F2" w:rsidRPr="002F2FDF" w:rsidRDefault="004734F2"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 xml:space="preserve">4 (17) июля 1917 г.н.с. в Казани получил разрешение религиозный кризис. Правительство не выполняло своих обещаний по отношению к мусульманам-военным и они решили все решать явочным порядком. </w:t>
      </w:r>
      <w:r w:rsidRPr="002F2FDF">
        <w:rPr>
          <w:rFonts w:ascii="Times New Roman" w:eastAsia="Times New Roman" w:hAnsi="Times New Roman" w:cs="Times New Roman"/>
          <w:bCs/>
          <w:iCs/>
          <w:color w:val="000000" w:themeColor="text1"/>
          <w:kern w:val="2"/>
          <w:sz w:val="16"/>
          <w:szCs w:val="16"/>
          <w:lang w:eastAsia="ru-RU"/>
        </w:rPr>
        <w:t>В.Муханов «По следам Азербайджанской демократической республики»:</w:t>
      </w:r>
    </w:p>
    <w:p w14:paraId="786FFCFE" w14:textId="77777777" w:rsidR="004734F2" w:rsidRPr="002F2FDF" w:rsidRDefault="004734F2"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bCs/>
          <w:color w:val="000000" w:themeColor="text1"/>
          <w:kern w:val="2"/>
          <w:sz w:val="16"/>
          <w:szCs w:val="16"/>
          <w:lang w:eastAsia="ru-RU"/>
        </w:rPr>
        <w:t xml:space="preserve">Поняв в течение лета 1917 года, что Временное правительство особо не стремится к сотрудничеству с мусульманскими организациями, их руководители стали решать многие важные вопросы явочным порядком. </w:t>
      </w:r>
      <w:r w:rsidRPr="002F2FDF">
        <w:rPr>
          <w:rFonts w:ascii="Times New Roman" w:eastAsia="Times New Roman" w:hAnsi="Times New Roman" w:cs="Times New Roman"/>
          <w:color w:val="000000" w:themeColor="text1"/>
          <w:kern w:val="2"/>
          <w:sz w:val="16"/>
          <w:szCs w:val="16"/>
          <w:lang w:eastAsia="ru-RU"/>
        </w:rPr>
        <w:t>17 июля</w:t>
      </w:r>
      <w:r w:rsidRPr="002F2FDF">
        <w:rPr>
          <w:rFonts w:ascii="Times New Roman" w:eastAsia="Times New Roman" w:hAnsi="Times New Roman" w:cs="Times New Roman"/>
          <w:bCs/>
          <w:color w:val="000000" w:themeColor="text1"/>
          <w:kern w:val="2"/>
          <w:sz w:val="16"/>
          <w:szCs w:val="16"/>
          <w:lang w:eastAsia="ru-RU"/>
        </w:rPr>
        <w:t xml:space="preserve"> в Казани открылся Всероссийский съезд мусульман-военных, главным мероприятием которого стали выборы Всероссийского мусульманского военного совета и Центрального военного шуро. Съезд постановил отправить в Петроград специальную делегацию для разрешения вопроса об образовании отдельных мусульманских частей. В случае отказа было постановлено приступить к созданию частей явочным путем. На съезде был также открыт сбор денежных пожертвований на образование национальных формирований, в частности, представитель Комитета бакинских мусульманских общественных организаций М. Асадуллаев пожертвовал 50 тыс. рублей (17236).</w:t>
      </w:r>
    </w:p>
    <w:p w14:paraId="7B49992D" w14:textId="77777777" w:rsidR="004734F2" w:rsidRPr="002F2FDF" w:rsidRDefault="004734F2" w:rsidP="0083075A">
      <w:pPr>
        <w:spacing w:after="0" w:line="240" w:lineRule="auto"/>
        <w:jc w:val="both"/>
        <w:rPr>
          <w:rFonts w:ascii="Times New Roman" w:hAnsi="Times New Roman" w:cs="Times New Roman"/>
          <w:color w:val="000000" w:themeColor="text1"/>
          <w:kern w:val="2"/>
          <w:sz w:val="16"/>
          <w:szCs w:val="16"/>
        </w:rPr>
      </w:pPr>
    </w:p>
    <w:p w14:paraId="51864BC2" w14:textId="77777777" w:rsidR="0096035A"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2815276C" w14:textId="77777777" w:rsidR="0096035A" w:rsidRPr="002F2FDF" w:rsidRDefault="0096035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961AD2" w14:textId="77777777" w:rsidR="0096035A" w:rsidRPr="002F2FDF" w:rsidRDefault="0096035A"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4 (17) июля 1917 г. </w:t>
      </w:r>
      <w:r w:rsidRPr="002F2FDF">
        <w:rPr>
          <w:rFonts w:ascii="Times New Roman" w:hAnsi="Times New Roman" w:cs="Times New Roman"/>
          <w:color w:val="000000" w:themeColor="text1"/>
          <w:kern w:val="2"/>
          <w:sz w:val="16"/>
          <w:szCs w:val="16"/>
        </w:rPr>
        <w:t>Из телеграммы В. А. Бахметьева М. И. Терещенко о необходимости воспользоваться наступлением русской армии для получения от США широкой финансовой помощи.</w:t>
      </w:r>
    </w:p>
    <w:p w14:paraId="6F8FDA28" w14:textId="3AC8FE19" w:rsidR="0096035A" w:rsidRPr="002F2FDF" w:rsidRDefault="0096035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549</w:t>
      </w:r>
    </w:p>
    <w:p w14:paraId="7CB111A3" w14:textId="718D72E4" w:rsidR="0096035A" w:rsidRPr="002F2FDF" w:rsidRDefault="0096035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Канцелярии, д. 61, л. 266. Копия.</w:t>
      </w:r>
    </w:p>
    <w:p w14:paraId="2FFE83A4" w14:textId="77777777" w:rsidR="0096035A" w:rsidRPr="002F2FDF" w:rsidRDefault="0096035A" w:rsidP="0083075A">
      <w:pPr>
        <w:pStyle w:val="rtejustify"/>
        <w:spacing w:before="0" w:after="0"/>
        <w:rPr>
          <w:color w:val="000000" w:themeColor="text1"/>
          <w:kern w:val="2"/>
          <w:sz w:val="16"/>
          <w:szCs w:val="16"/>
        </w:rPr>
      </w:pPr>
      <w:r w:rsidRPr="002F2FDF">
        <w:rPr>
          <w:color w:val="000000" w:themeColor="text1"/>
          <w:kern w:val="2"/>
          <w:sz w:val="16"/>
          <w:szCs w:val="16"/>
        </w:rPr>
        <w:t>Показательно необычайно выгодное положение, которое Россия приобрела в настоящее время здесь в связи с наступлением на фронте, последними сообщениями Рута и работой нашей миссии... Сложившееся положение необходимо теперь же использовать, чтобы положить начало возможности в будущем получать от Америки широкую финансовую помощь, необходимую на восстановление хозяйства России и нашего денежного обращения. Жизненная [наша] ныне задача...</w:t>
      </w:r>
    </w:p>
    <w:p w14:paraId="520CF3EF" w14:textId="77777777" w:rsidR="0096035A" w:rsidRPr="002F2FDF" w:rsidRDefault="0096035A" w:rsidP="0083075A">
      <w:pPr>
        <w:pStyle w:val="rtejustify"/>
        <w:spacing w:before="0" w:after="0"/>
        <w:rPr>
          <w:color w:val="000000" w:themeColor="text1"/>
          <w:kern w:val="2"/>
          <w:sz w:val="16"/>
          <w:szCs w:val="16"/>
        </w:rPr>
      </w:pPr>
      <w:r w:rsidRPr="002F2FDF">
        <w:rPr>
          <w:color w:val="000000" w:themeColor="text1"/>
          <w:kern w:val="2"/>
          <w:sz w:val="16"/>
          <w:szCs w:val="16"/>
        </w:rPr>
        <w:t>До сих пор американское правительство ввиду общего заверения, данного Конгрессу, упорно отказывало предоставлять кому бы то ни было кредиты на расходы вне С. А. С. Штатов, притом строго настаивая на ассигновании кредитов на прямые военные нужды с перечислением в отдельности назначений предполагаемых расходов. Исключение, сделанное предоставлением Америкою 75 млн на расходы в Финляндии, является по программе началом финансовой помощи и несмотря на значительные цифры, фактически покрывает лить старые долги, удовлетворяет немедленным нуждам снабжения и обеспечивает потребности иностранного обращения на самый короткий срок. Хотя в настоящий момент говорить конкретно о более обширной программе, выходящей за пределы чисто военной помощи, не представляется возможным, однако подготовительная работа должна бы начаться незамедлительно, используя создавшееся положение и факт присутствия в Америке чрезвычайной миссии.</w:t>
      </w:r>
    </w:p>
    <w:p w14:paraId="55F6EAFE" w14:textId="77777777" w:rsidR="0096035A" w:rsidRPr="002F2FDF" w:rsidRDefault="0096035A" w:rsidP="0083075A">
      <w:pPr>
        <w:pStyle w:val="rtejustify"/>
        <w:spacing w:before="0" w:after="0"/>
        <w:rPr>
          <w:color w:val="000000" w:themeColor="text1"/>
          <w:kern w:val="2"/>
          <w:sz w:val="16"/>
          <w:szCs w:val="16"/>
        </w:rPr>
      </w:pPr>
      <w:r w:rsidRPr="002F2FDF">
        <w:rPr>
          <w:color w:val="000000" w:themeColor="text1"/>
          <w:kern w:val="2"/>
          <w:sz w:val="16"/>
          <w:szCs w:val="16"/>
        </w:rPr>
        <w:lastRenderedPageBreak/>
        <w:t>Получение в будущем широкой финансовой помощи возможно исключительно лишь при принятии Россией совершенно определенного политического курса с вовлечением Америки в политические взаимоотношения такого характера, естественным последствием которых явится необходимость финансовой нам помощи…(15179).</w:t>
      </w:r>
    </w:p>
    <w:p w14:paraId="7CA203F0" w14:textId="77777777" w:rsidR="0096035A" w:rsidRPr="002F2FDF" w:rsidRDefault="0096035A"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6E7DFD1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262E1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CCD3A9"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 (17) июля 1917 секретарь ВМС США Иосиф Daniels утверждает строительство ВМС США 's Naval Aircraft Factory, которая будет построена на острове Лиги Navy Yard в Филадельфии, штат Пенсильвания (20341).</w:t>
      </w:r>
    </w:p>
    <w:p w14:paraId="6FE10323"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p>
    <w:p w14:paraId="568020B8" w14:textId="77777777" w:rsidR="004855F5" w:rsidRPr="002F2FDF" w:rsidRDefault="004855F5" w:rsidP="0083075A">
      <w:pPr>
        <w:pStyle w:val="ae"/>
        <w:spacing w:before="0" w:after="0"/>
        <w:jc w:val="both"/>
        <w:rPr>
          <w:color w:val="000000" w:themeColor="text1"/>
          <w:kern w:val="2"/>
          <w:sz w:val="16"/>
          <w:szCs w:val="16"/>
        </w:rPr>
      </w:pPr>
      <w:r w:rsidRPr="002F2FDF">
        <w:rPr>
          <w:color w:val="000000" w:themeColor="text1"/>
          <w:kern w:val="2"/>
          <w:sz w:val="16"/>
          <w:szCs w:val="16"/>
        </w:rPr>
        <w:t>4-10 (17-23) июля 1917 британская артиллерия продолжила массированные артобстрелы германских позиций в районе города Ипр на юго-западе Бельгии. Однако начало нового крупного наступления в этом районе, которое позже вошло в историю как «Битва при Пашендейле», британскому командованию пришлось отложить из-за проведенных немцами ранее серии химических атак с использованием нового отравляющего вещества — иприта, известного также как «горчичный» газ, от которого британские войска несли тяжелые потери (17045).</w:t>
      </w:r>
    </w:p>
    <w:p w14:paraId="0C7424AA" w14:textId="77777777" w:rsidR="004855F5" w:rsidRPr="002F2FDF" w:rsidRDefault="004855F5"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AF3DD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июля 1917 в Англии из титулов изъяты все немецкие имена, в результате чего правящая Сакс-Кобург-Готская династия стала называться Виндзорской (4962).</w:t>
      </w:r>
    </w:p>
    <w:p w14:paraId="03E5124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FB73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июля 1917 король Великобритании Георг 5 издал указ об изъятии всех немецких титулов из имени членов королевской фамилии. Семья вместо Сакс-Кобург-Готской стала Виндзорской (3263,392).</w:t>
      </w:r>
    </w:p>
    <w:p w14:paraId="1A9A48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E1D914" w14:textId="77777777" w:rsidR="00C06ECB" w:rsidRPr="002F2FDF" w:rsidRDefault="00C06EC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июля в 1917 году в ходе первой мировой войны король Великобритании Георг V издал указ об изъятии всех немецких титулов из имен членов королевской семьи. Королевская династия, ранее именовавшаяся Сакс-Кобург-Готской, стала Виндзорской (14955).</w:t>
      </w:r>
    </w:p>
    <w:p w14:paraId="1251A6C4" w14:textId="77777777" w:rsidR="00C06ECB" w:rsidRPr="002F2FDF" w:rsidRDefault="00C06ECB" w:rsidP="0083075A">
      <w:pPr>
        <w:spacing w:after="0" w:line="240" w:lineRule="auto"/>
        <w:jc w:val="both"/>
        <w:rPr>
          <w:rFonts w:ascii="Times New Roman" w:hAnsi="Times New Roman" w:cs="Times New Roman"/>
          <w:color w:val="000000" w:themeColor="text1"/>
          <w:kern w:val="2"/>
          <w:sz w:val="16"/>
          <w:szCs w:val="16"/>
        </w:rPr>
      </w:pPr>
    </w:p>
    <w:p w14:paraId="61776027" w14:textId="77777777" w:rsidR="004855F5" w:rsidRPr="002F2FDF" w:rsidRDefault="004855F5" w:rsidP="0083075A">
      <w:pPr>
        <w:pStyle w:val="ae"/>
        <w:spacing w:before="0" w:after="0"/>
        <w:jc w:val="both"/>
        <w:rPr>
          <w:color w:val="000000" w:themeColor="text1"/>
          <w:kern w:val="2"/>
          <w:sz w:val="16"/>
          <w:szCs w:val="16"/>
        </w:rPr>
      </w:pPr>
      <w:r w:rsidRPr="002F2FDF">
        <w:rPr>
          <w:color w:val="000000" w:themeColor="text1"/>
          <w:kern w:val="2"/>
          <w:sz w:val="16"/>
          <w:szCs w:val="16"/>
        </w:rPr>
        <w:t>В период с 4 по 10 (17 по 23) июля 1917 германские подводные лодки затопили 46 судов союзников по Антанте (17045).</w:t>
      </w:r>
    </w:p>
    <w:p w14:paraId="3BB0A5CA" w14:textId="77777777" w:rsidR="004855F5" w:rsidRPr="002F2FDF" w:rsidRDefault="004855F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9A276A" w14:textId="77777777" w:rsidR="002C7D24" w:rsidRPr="002F2FDF" w:rsidRDefault="002C7D2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2E6F36A" w14:textId="77777777" w:rsidR="002C7D24" w:rsidRPr="002F2FDF" w:rsidRDefault="002C7D2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C6B8FD"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5 (18) июля 1917 г. на заводе ПРТВ «Гамаюн» было около 100 незаконченных самолетов М-11 и М-12, в том числе из несданных по предыдущим контрактам. Но Заказчик прекратил их приемку, ссылаясь на их устарелость, отказ завода устранять дефекты и вносить усовершенствования (22832).</w:t>
      </w:r>
    </w:p>
    <w:p w14:paraId="10B36FC5"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p>
    <w:p w14:paraId="130D970B"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5 (18) июля 1917 года </w:t>
      </w:r>
    </w:p>
    <w:p w14:paraId="0B68324D"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Совершенно секретно. </w:t>
      </w:r>
    </w:p>
    <w:p w14:paraId="375E7B61"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Журнал № 175 Особого Совещания для обсуждения и объединения мероприятий по обороне государства. </w:t>
      </w:r>
    </w:p>
    <w:p w14:paraId="3EB0160D"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5 июля 1917 года. </w:t>
      </w:r>
    </w:p>
    <w:p w14:paraId="044AB416"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Председательствовал . П. И. Пальчинский. </w:t>
      </w:r>
    </w:p>
    <w:p w14:paraId="40EB6EC8"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Присутствовали:</w:t>
      </w:r>
    </w:p>
    <w:p w14:paraId="2305D0BD"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Член Государственного Совета . С. И. Тимашев.</w:t>
      </w:r>
    </w:p>
    <w:p w14:paraId="3125B395"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Государственной Думы . А. А. Добровольский. </w:t>
      </w:r>
    </w:p>
    <w:p w14:paraId="0E673B91"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военного министерства:</w:t>
      </w:r>
    </w:p>
    <w:p w14:paraId="2964D463"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Генерал-лейтенант . Н. А. Бабиков.</w:t>
      </w:r>
    </w:p>
    <w:p w14:paraId="1C34A1F9"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Н. И. Богатко.</w:t>
      </w:r>
    </w:p>
    <w:p w14:paraId="2A36964A"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Генерал-майор . А. В. Шварц. </w:t>
      </w:r>
    </w:p>
    <w:p w14:paraId="0B305DA4"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министерства финансов: Действительный статский советник . А. И. Ефимович. </w:t>
      </w:r>
    </w:p>
    <w:p w14:paraId="59851E5D"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Государственного контроля: Действительный статский советник . И. В. Разумовский. </w:t>
      </w:r>
    </w:p>
    <w:p w14:paraId="62EAC20E"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министерства путей сообщения: Инженер путей сообщения . Л. А. Устругов. </w:t>
      </w:r>
    </w:p>
    <w:p w14:paraId="63237EFB"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Всероссийского городского союза: Уполномоченный Земгора . А. А. Давидов.</w:t>
      </w:r>
    </w:p>
    <w:p w14:paraId="63CB529A"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Особо приглашенные в заседание:</w:t>
      </w:r>
    </w:p>
    <w:p w14:paraId="0A2CBB9C"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Генерал-лейтенант . А. К. Овчинников.</w:t>
      </w:r>
    </w:p>
    <w:p w14:paraId="71260518"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Инженер . И. С. Каннегисер.</w:t>
      </w:r>
    </w:p>
    <w:p w14:paraId="5A9E571D"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Генерал-майор . А. А. Саткевич.</w:t>
      </w:r>
    </w:p>
    <w:p w14:paraId="0780D4DF"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Подполковник . Б. Ф. Гончаров. </w:t>
      </w:r>
    </w:p>
    <w:p w14:paraId="7473209D"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Делопроизводитель Особого Совещания: Подполковник . С. И. Качалов. </w:t>
      </w:r>
    </w:p>
    <w:p w14:paraId="7FB70A50"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открытии заседания управляющий делами Особого Совещания генерал-лейтенант Н. А. Бабиков огласил резолюцию по журналу от 1 июля 1917 года за № 174 и доложил о сделанных распоряжениях по исполнению этой резолюции. Засим Особое Совещание заслушало доклад подготовительной комиссии по общим вопросам об отпуске дополнительных денежных средств фирме «Британское инженерное общество Сибири» на постройку казенного автомобильного завода. С означенной фирмой главное военно-техническое управление заключило 2 мая 1916 года договор о сооружении завода военных самоходов, причем завод в 1920 году должен перейти в полную собственность казны. Однако вследствие задержки в отпуске валюты и недоставления материалов из-за расстройства транспорта постройка завода задерживалась. Посему вопрос о постройке казенного завода военных самоходов был передан на рассмотрение образованной под председательством помощника Военного министра, генерала от артиллерии А. А. Маниковского «Комиссии для пересмотра вопроса о строительстве заводов военного ведомства», которая высказалась единогласно за продолжение постройки указанного завода. При этом комиссия признала безусловно необходимыми те части завода, кои должны быть обращены сначала в ремонтный завод и предназначены для сборки самоходов из отдельных частей, ныне уже изготовленных в Англии; постройка же зданий прочих категорий была признана желательной, но лишь по мере возможности. Ввиду сего, строительные работы начались и получили развитие, направленное к скорейшему осуществлению вышеупомянутого плана. Однако повышение рабочим заработной платы, доходящее до 90 %, и введение 8-часового рабочего дня поставило вследствие этого названное общество в крайне тяжелые материальные условия и побудило ее войти с ходатайством об изменении договора в отношении условий оплаты, устанавливая таковую по себестоимости, с прибавлением 15 %, каковое ходатайство общества главное военно-техническое управление предполагает внести на рассмотрение Военного Совета. При этом названное управление, не желая обременять государственное казначейство ассигнованием новых миллионов, предложило обществу сохранить валовую сумму подряда в пределах ассигнования по журналу б. Совета Министров от 5 апреля 1916 года в размере 55 миллионов рублей, переведя 2 000 000 руб. из рубрики сумм на изготовление самоходов в рубрику сумм на постройку завода и предоставив в счет этой суммы 750 000 руб. в распоряжение старшего правительственного инспектора, назначенного на завод. Подготовительная комиссия, рассмотрев означенное дело, признала, что вопрос о пересмотре договора во всем его объеме подлежит обсуждению во вновь образовываемой комиссии по пересмотру контрактных цен при главном управлении по квартирному довольствию войск. Учитывая, однако, необходимость незамедлительной финансовой поддержки контрагента, подготовительная комиссия находила возможным в качестве временной меры разрешить главному военно-техническому управлению производить «Британскому инженерному обществу Сибири», как контрагенту казны по постройке казенного завода, дополнительный авансовой денежный отпуск в течение ближайшего времени начиная с 1-го сего июля и впредь до разрешения возбужденного вопроса по существу, в размере, не превышающем 330 000 рублей в месяц, с тем чтобы отпускаемые денежные суммы заимствовались из общего ассигнования на постройку завода и были возмещены по воспоследовании решения о порядке покрытия убытков контрагента, вызванных повышением заработной платы рабочим. По поводу заслушанного доклада председательствующий П. И. Пальчинский указал, что постройка казенного автомобильного завода имеет несомненное значение для нужд государственной обороны и посему представляется желательным довести эту постройку до конца. Ввиду сего, «Британскому инженерному обществу Сибири» для упомянутой цели надлежит отпустить дополнительные денежные средства, на изложенных в докладе подготовительной комиссии условиях, однако с тем, чтобы главное военно-техническое управление ныне же приступило к пересмотру заключенного с фирмой договора в связи с относящимся к заводу постановлением комиссии для пересмотра вопроса о строительстве заводов военного ведомства. </w:t>
      </w:r>
    </w:p>
    <w:p w14:paraId="2C1392D4"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Совещание присоединяется к приведенному мнению Председательствующего и одобряет, далее, доклад той же комиссии о выдаче аванса без обеспечения фабрике для механической обработки дерева А. А. Фролик в Петрограде по заказу главным интендантским управлением стоек к солдатским походным палаткам.</w:t>
      </w:r>
    </w:p>
    <w:p w14:paraId="05F49AEC"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Совещание перешло к обсуждению доклада той же комиссии о выдаче аванса без обеспечения акционерному обществу «Русский Рено» в Петрограде по приобретении во Франции главным военно-техническим управлением грузовых автомобилей. Ввиду испытываемой в настоящее время армией большого недостатка в автомобилях, главное военно-техническое управление полагало дать названному обществу заказ на поставку из Франции 3 000 грузовых автомобилей 2–2 1/ тонн, по цене 12 579 руб. 25 коп. за каждый грузовик с упаковкой и доставкой в Архангельск, всего на общую сумму в 37 737 750 руб., на основаниях общих условий </w:t>
      </w:r>
      <w:r w:rsidRPr="002F2FDF">
        <w:rPr>
          <w:rFonts w:ascii="Times New Roman" w:hAnsi="Times New Roman" w:cs="Times New Roman"/>
          <w:color w:val="000000" w:themeColor="text1"/>
          <w:sz w:val="16"/>
          <w:szCs w:val="16"/>
        </w:rPr>
        <w:lastRenderedPageBreak/>
        <w:t>поставки предметов снабжения армии во время военных действий, со взысканием с фирмы в случае неисправной поставки неустойки в размере 20 % от суммы недопоставленного имущества. При подписании контракта главное военно-техническое управление предполагало разрешить упомянутому обществу выдачу аванса в размере 11 321 325 руб. с выдачей таковых во Франции по существующему казенному курсу 37,55 коп. за один франк. Подготовительная комиссия, принимая во внимание, что Совещание Товарищей Министров по снабжению признало, что заграничные заказы, не выходящие за пределы заготовительных планов, окончательно разрешаются в главном управлении по заграничному снабжению и сообщаются Особому Совещанию по обороне лишь в порядке осведомительном, полагала возможным разрешить выдачу обществу «Русский Рено» означенного аванса.</w:t>
      </w:r>
    </w:p>
    <w:p w14:paraId="13E8034A"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 поводу заслушанного доклада представитель министерства финансов А. И. Ефимович указал, что министерство финансов предполагает даже продать часть уже заказанных за границей автомобилей, не могущих быть вывезенными из-за недостатка тоннажа; поэтому названное министерство категорически высказывается против дачи акционерному обществу «Русский Рено» указанного заказа.</w:t>
      </w:r>
    </w:p>
    <w:p w14:paraId="46D2E029"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 своей стороны председательствующий П. И. Пальчинский отмечает, что в настоящее время во Владивостоке выгружено около 1 800 автомобилей, которые не могут быть отправлены по месту своего назначения, и в таком же положении находятся и доставленные автомобили в Архангельск. При этих условиях едва ли является целесообразным давать новый заказ на автомобили, не выяснив предварительно вопроса о количестве имеющих быть полученных по заказам автомобилей. Посему надлежит означенный вопрос внести на рассмотрение Совещания Товарищей Министров по снабжению для согласования этого заказа с общим планом автомобильного снабжения. </w:t>
      </w:r>
    </w:p>
    <w:p w14:paraId="22EE5A2A"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Разделяя изложенное мнение Председательствующего, Совещание равным образом по докладу подготовительной комиссии по общим вопросам о заказе главным военно-техническим управлением парусиновой парной упряжки Московскому акционерному обществу «Ватерпруф» признает необходимым внести означенное дело в Совещание Товарищей Министров по снабжению для согласования того же заказа с общим заготовительным планом упряжи. </w:t>
      </w:r>
    </w:p>
    <w:p w14:paraId="2D05CBDC"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Совещание остановилось на докладе главного военно-технического управления о выдаче заводу «Амо» Московского автомобильного общества субсидии в размере 11 500 000 рублей для продолжения оборудования завода. Последний ныне почти закончен оборудованием, но обстоятельства последнего времени — чрезмерные требования рабочих, повышение стоимости материалов и невозможность их получения — привели к положению, близкому к прекращению всех работ. Ввиду сего главное военно-техническое управление, признавая важное значение завода для нужд государственной обороны и необходимости окончания его оборудования, полагало вследствие затруднительного финансового положения общества отпустить испрашиваемый аванс при условии, что в состав правления завода войдут правительственные директора. Обсудив изложенное и принимая во внимание, что означенное дело не было рассмотрено в подготовительной комиссии по общим вопросам и всесторонне обсуждено, Совещание постановило передать упомянутый доклад главного военно-технического управления в названную комиссию для суждения его в связи с относящимся к заводу постановлением комиссии для пересмотра вопроса о строительстве заводов военного ведомства, разрешив в случае необходимости выдачу соответствующей суммы для уплаты рабочим, по непосредственному докладу Председателю Особого Совещания начальником упомянутого управления. </w:t>
      </w:r>
    </w:p>
    <w:p w14:paraId="526A7F27"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Совещание перешло к рассмотрению доклада подготовительной комиссии по артиллерийским вопросам по поводу обследования ревизионной комиссией под председательством полковника Матюшенко Ревдинского горного округа. При обсуждении настоящего дела, в связи с сообщенными полковником Матюшенко сведениями, подготовительная комиссия остановилась, прежде всего, на исполнении заводами Ревдинского горного округа казенных заказов. В сем отношении комиссия установила полную неисправность поставщика. Так, по заказу на 3” шрапнели в количестве 120 000 штук, который должен быть закончен к 1 августа 1916 г., — до 1 января сего года было сдано лишь 8 000 штук; по заказу 76 000 штук 48-линейных бомб, с окончанием поставки к 1 января 1917 года, по указанное число сдано лишь 1 696 штук. Поставляемый колчедан настолько дурного качества, что, по мнению химического комитета, отказ в его поставке не нарушит интересов кислотных заводов. Наконец, постройка и оборудование завода для снарядов крупных калибров морского ведомства находится в таком положении, что нельзя даже предвидеть, когда поставка начнется. При таком положении дел комиссия признала, что снарядное производство округа не может иметь значения для нужд настоящей войны и что едва ли возможно ожидать какого-либо улучшения в поставке снарядов. Между тем по указанным заказам количество выданных и непогашенных авансов является значительным: по артиллерийскому управлению выдано авансов в сумме 4 792 000 руб., погашено всего 752 000 руб.; по заказам морского ведомства отпущено авансов 2 670 600 руб. и, сверх того, внесено в обеспечение валюты в кредитную канцелярию 1 800 000 руб.; всего же авансов выдано 8 510 000 рублей. Однако выяснить вопрос об обеспеченности авансов представляется невозможным, так как не имеется сведений о финансовом положении округа ввиду отсутствия правильной бухгалтерии и баланса на 1916 год. Обращаясь далее к рассмотрению вопроса об управлении округом, комиссия отметила, что постоянное вмешательство владельца в техническую сторону дела при недостаточной его в этой области компетентности приводит к крайне неблагоприятным последствиям. Ввиду сего, признавая невозможность улучшения положения дела, если бы округ остался в полном безответственном распоряжении собственника, комиссия нашла, что принятая полковником Матюшко временная мера в виде поручения заведывания округом уездному Екатеринбургскому комиссару Архангельскому с образованием при нем совета из представителей рабочих, комитета общественной безопасности, владельцев и служащих является целесообразной. Однако комиссия полагала, что эта мера едва ли может считаться вполне соответствующей п. 4 ст. 10 положения об Особом Совещании, так как сим пунктом предусматривается не устранение собственника предприятия, а лишь органов администрации в предприятиях. Посему комиссия пришла к заключению, что правильнее было бы применить п. 3 той же статьи — секвестровать предприятие или статью 16 того же положения, назначив в предприятие представителей подлежащих ведомств для наблюдения за правильностью расходования авансов. Отмечая указанные формы управления округом, комиссия тем не менее не могла вынести по сему предмету окончательного решения впредь выяснения финансового положения округа. Кроме того, требуется также освещение вопроса о продолжении исполнения артиллерийских и морских заказов, для чего надлежит иметь: а) данные о предстоящих расходах по восстановлению снарядного завода после пожара, б) сведения о возможной производительности этого завода, в) окончательное заключение морского ведомства о продолжении заказов на снаряды или отказе от них, и г) заключение юрисконсульта военного министерства о возможности аннулировать контракты ввиду неисправности поставщика. По поводу заслушанного доклада приглашенный на заседание Совещания полковник П. Т. Матюшенко заметил, что финансовое положение Ревдинского горного округа представляется крайне тяжелым. Помимо непогашенных авансов имеется ряд долгов, по коим не может быть произведена уплата, причем эта задолженность произошла, главным образом, вследствие бесхозяйственного ведения дела. Между тем заводы округа, имеющие большое значение с государственной точки зрения, как крупное металлургическое предприятие, поставлены в самые благоприятные условия в смысле обеспечения их сырьем. Кроме того, заводы и ныне выплавляют около 1 1/ миллионов чугуна при больших дефектах 2 </w:t>
      </w:r>
    </w:p>
    <w:p w14:paraId="5A9CD8E7"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доменных печей; если же эти печи будут ремонтированы и построены новые, то производительность поднимется. При таких условиях следует признать, что заводы округа могут продолжать свою деятельность, но в этом случае необходимо устранить собственника предприятия г. Солодовникова, который, будучи юристом по образованию, не компетентен в разрешении технических вопросов. Посему надлежит утвердить назначение заведующим округом Екатеринбургского уездного комиссара с образованием при нем Совета и поручить всю техническо-хозяйственную часть предприятия главному инженеру Дорогову, возложив на него ответственность за порученное ему дело. Что же касается погашения выданных Солодовникову авансов, то, помимо аннулирования заказов морского ведомства и части главного артиллерийского управления, можно было бы собственника предприятия обязать оборудовать прессовую мастерскую и изготовлять стаканы для тяжелых снарядов, что погасило бы аванс главного артиллерийского управления в размере 1 000 000 руб лей. Со своей стороны председательствующий П. И. Пальчинский указывает, что ввиду отсутствия данных о финансовом положении Ревдинского горного округа в настоящее время не следует обсуждать вопрос о судьбе предприятия в смысле применения к нему п. 3 ст. 10 или ст. 16 положения об Особом Совещании. Однако теперь же нужно принять меры к тому, чтобы обеспечить, по мере возможности, возврат отпущенных Солодовникову казной сумм. В этих видах представлялось бы необходимым в целях продолжения работ по округу и уплаты рабочим, ныне же разрешить выдачу аванса в сумме 400 000 рублей для неотложных платежей по округу, отпустив означенную сумму в распоряжение Екатеринбургского уездного комиссара. Засим, не рассматривая ныне вопрос о способах возврата полученного аванса, следует принять меры к тому, чтобы имеющаяся в депозите морского ведомства контрвалюта в сумме 1 800 000 руб., внесенная владельцем в счет платежа по заграничным заказам, оставалась неприкосновенной. Независимо сего, необходимо воспретить администрации названного округа совершение каких-либо сделок и получение платежей по продаже металлов без разрешения упомянутого комиссара и, кроме того, выяснить возможность наложения запрещения на страховую премию, которую Солодовников должен получить от Общества «Саламандра» вследствие убытков, понесенных им от пожара снарядного завода. Совещание присоединяется к изложенному мнению Председательствующего. </w:t>
      </w:r>
    </w:p>
    <w:p w14:paraId="4E39F8AC"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Далее Совещание одобрило доклады той же комиссии о заказе заводу «А. Ф. Оуф» 50 000 штук патронных коробок для пулеметных лент по цене 4 руб. 25 коп. за штуку на общую сумму 212 500 рублей с выдачей аванса под обеспечение в размере 30 % подрядной стоимости и о заказе фирме «Минимакс» 10 000 штук гидропультов «Курс» по цене 82 руб. за штуку, разрешив при этом выдачу аванса без обеспечения в два срока на общих основаниях, с тем чтобы расходование этого аванса производилось под наблюдением артиллерийского приемщика. </w:t>
      </w:r>
    </w:p>
    <w:p w14:paraId="2105C7C3"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Совещание заслушало доклад подготовительной комиссии по авиационным вопросам о заказе заводу «Э. Э. Новицкого» аэропланных бомб. При обсуждении этого вопроса комиссия приняла во внимание, что подобных бомб всего с начала войны на различных заводах было заказано около 162 000 и из этого числа отправлено на фронт около 70 000 штук, остальное количество частью хранится на складах, частью (около 27 000) еще не сдано заводчиками. При таких условиях намеченный управлением военного воздушного флота заказ заводу «Э. Э. Новицкого» 6 500 корпусов аэропланных бомб не вызывается действительной потребностью нашей авиации, снабжение коей означенного рода имуществом можно считать вполне обеспеченным на весьма продолжительный срок, и объясняется исключительно соображением поддержать деятельность названного завода, чтобы не ставить его рабочих в тяжелое материальное положение, связанное с прекращением названного производства. Кроме того, комиссия отметила, что настоящий заказ, исчисляемый все же в сумме 222 000 рублей, ляжет совершенно излишним бременем на государственное казначейство и будет сопряжен с непроизводительной тратой столь ценных в настоящее время материалов и топлива, которые могли бы быть с </w:t>
      </w:r>
      <w:r w:rsidRPr="002F2FDF">
        <w:rPr>
          <w:rFonts w:ascii="Times New Roman" w:hAnsi="Times New Roman" w:cs="Times New Roman"/>
          <w:color w:val="000000" w:themeColor="text1"/>
          <w:sz w:val="16"/>
          <w:szCs w:val="16"/>
        </w:rPr>
        <w:lastRenderedPageBreak/>
        <w:t>значительно большей пользой употреблены в других отраслях нашей промышленности, работающей на оборону. Ввиду сего комиссия признала выдачу заказа заводу «Э. Э. Новицкого» на аэропланные бомбы отклонить.</w:t>
      </w:r>
    </w:p>
    <w:p w14:paraId="75CD3F2E"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Совещание одобряет изложенные предположения комиссии. В заключение Совещание переходит к рассмотрению доклада той же комиссии о выдаче заказа заводу Лебедева на постройку аэропланов и, принимая во внимание возможное закрытие в недалеком будущем этого завода ввиду трудности получения необходимых материалов и урегулирования рабочего вопроса, постановило — новых заказов заводу не давать и предоставить возможность Петроградскому отделению завода закончить исполнение уже начатых постройкой аэропланов. </w:t>
      </w:r>
    </w:p>
    <w:p w14:paraId="5DFDC284"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Подписи. </w:t>
      </w:r>
    </w:p>
    <w:p w14:paraId="6B1C3710"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 Особого Совещания в отношении приведения в исполнение требующих того суждений Особого Совещания решил:</w:t>
      </w:r>
    </w:p>
    <w:p w14:paraId="34795D58"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Утвердить доклад подготовительной комиссии по общим вопросам об отпуске дополнительных денежных средств фирме «Британское инженерное общество в Сибири» на постройку казенного автомобильного завода, на изложенных в докладе условиях, с тем чтобы главное военно-техническое управление ныне же приступило к пересмотру заключенного с фирмой договора в связи с относящимся к заводу постановлением «Комиссии для пересмотра вопроса о строительстве завода военного ведомства». </w:t>
      </w:r>
    </w:p>
    <w:p w14:paraId="2EFECE9D"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Утвердить доклад той же комиссии о выдаче аванса без обеспечения фабрике для механической обработки дерева Л. А. Фролик в Петрограде по заказу главным интендантским управлением стоек к солдатским походным палаткам, на изложенных в докладе основаниях. </w:t>
      </w:r>
    </w:p>
    <w:p w14:paraId="0049281E"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3) По докладу той же комиссии о выдаче аванса без обеспечения акционерному обществу «Русский Рено» в Петрограде по приобретению во Франции главным военно-техническим управлением грузовых автомобилей: внести означенный вопрос на рассмотрение совещания товарищей министров по снабжению для согласования этого заказа с общим планом автомобильного снабжения. </w:t>
      </w:r>
    </w:p>
    <w:p w14:paraId="1194BA87"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4) По докладу той же комиссии о заказе главным военно-техническим управлением парусиновой парной упряжи Московскому акционерному обществу «Ватерпруф»: предложить главному военно-техническому управлению внести этот вопрос в совещание товарищей министров по снабжению, согласовав его с общим планом заготовления упряжи. </w:t>
      </w:r>
    </w:p>
    <w:p w14:paraId="11C4864B"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 По докладу главного военно-технического управления о выдаче заводу «Амо» Московского автомобильного общества субсидии в размере 11 500 000 рублей для продолжения постройки и оборудования завода:</w:t>
      </w:r>
    </w:p>
    <w:p w14:paraId="3B60A466"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 передать упомянутый доклад в подготовительную комиссию по общим вопросам для рассмотрения в связи с относящимся к заводу постановлением «Комиссии для пересмотра вопроса о строительстве заводов военного ведомства»;</w:t>
      </w:r>
    </w:p>
    <w:p w14:paraId="058FAF16"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б) разрешить в случае необходимости выдачу соответствующей суммы для уплаты рабочим, по непосредственному докладу Председателю Особого Совещания начальника главного военно-технического управления.</w:t>
      </w:r>
    </w:p>
    <w:p w14:paraId="743C965D"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6) По докладу подготовительной комиссии по артиллерийским вопросам по поводу результатов обследования Ревдинского горного округа:</w:t>
      </w:r>
    </w:p>
    <w:p w14:paraId="5361508A"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разрешить выдачу аванса в сумме 400 000 рублей для неотложных платежей по округу, отпустив означенную сумму в распоряжение Екатеринбургского уездного комиссара; </w:t>
      </w:r>
    </w:p>
    <w:p w14:paraId="575BA78E"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оставить неприкосновенной впредь до Особого распоряжения имеющуюся в депозите морского ведомства контрвалюту в сумме 1 800 000 рублей, внесенную владельцем округа Солодовниковым в счет платежа по заграничным заказам; </w:t>
      </w:r>
    </w:p>
    <w:p w14:paraId="7237E23A"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воспретить администрации названного округа совершение каких-либо сделок и получение платежей по продаже металлов без разрешения названного комиссара. </w:t>
      </w:r>
    </w:p>
    <w:p w14:paraId="64EEBDA2"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7) Утвердить доклад той же комиссии о заказе заводу А. Ф. Оуф патронных коробок для пулеметных лент, на изложенных в докладе условиях. </w:t>
      </w:r>
    </w:p>
    <w:p w14:paraId="35EDE5B7"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8) Утвердить доклад той же комиссии о заказе фирме «Минимакс» на поставку гидропультов, на изложенных в докладе основаниях. </w:t>
      </w:r>
    </w:p>
    <w:p w14:paraId="02926C9C"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9) Утвердить доклад подготовительной комиссии по авиационным вопросам об отклонении выдачи заказа заводу «Э. Э. Новицкого» на аэропланные бомбы. </w:t>
      </w:r>
    </w:p>
    <w:p w14:paraId="465D48F4"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10) По докладу той же комиссии о выдаче заказа </w:t>
      </w:r>
      <w:r w:rsidRPr="002F2FDF">
        <w:rPr>
          <w:rFonts w:ascii="Times New Roman" w:hAnsi="Times New Roman" w:cs="Times New Roman"/>
          <w:color w:val="000000" w:themeColor="text1"/>
          <w:sz w:val="16"/>
          <w:szCs w:val="16"/>
          <w:highlight w:val="yellow"/>
        </w:rPr>
        <w:t>заводу «Лебедева</w:t>
      </w:r>
      <w:r w:rsidRPr="002F2FDF">
        <w:rPr>
          <w:rFonts w:ascii="Times New Roman" w:hAnsi="Times New Roman" w:cs="Times New Roman"/>
          <w:color w:val="000000" w:themeColor="text1"/>
          <w:sz w:val="16"/>
          <w:szCs w:val="16"/>
        </w:rPr>
        <w:t xml:space="preserve">» на постройку аэропланов: новых заказов не давать и предложить управлению военного воздушного флота указать Петроградскому отделению завода на необходимость ограничиться лишь окончанием уже начатых постройкою аэропланов. </w:t>
      </w:r>
    </w:p>
    <w:p w14:paraId="03C49FE6"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Верно: управляющий делами генерал-лейтенант Бабиков (20425).</w:t>
      </w:r>
    </w:p>
    <w:p w14:paraId="2936EA36"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p>
    <w:p w14:paraId="02D5064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15DDD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0A5B2C" w14:textId="77777777" w:rsidR="00CD47B4" w:rsidRPr="002F2FDF" w:rsidRDefault="00CD47B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5 </w:t>
      </w:r>
      <w:r w:rsidR="00A8785D" w:rsidRPr="002F2FDF">
        <w:rPr>
          <w:rFonts w:ascii="Times New Roman" w:hAnsi="Times New Roman" w:cs="Times New Roman"/>
          <w:color w:val="000000" w:themeColor="text1"/>
          <w:kern w:val="2"/>
          <w:sz w:val="16"/>
          <w:szCs w:val="16"/>
        </w:rPr>
        <w:t xml:space="preserve">(18) </w:t>
      </w:r>
      <w:r w:rsidRPr="002F2FDF">
        <w:rPr>
          <w:rFonts w:ascii="Times New Roman" w:hAnsi="Times New Roman" w:cs="Times New Roman"/>
          <w:color w:val="000000" w:themeColor="text1"/>
          <w:kern w:val="2"/>
          <w:sz w:val="16"/>
          <w:szCs w:val="16"/>
        </w:rPr>
        <w:t>июля 1917 года прыгнувший с парашютом Котельникова с зажженного неприятелем наблюдательного аэростата (высота 150 метров) старший унтер-офицер Кочмара при приземлении сильно ушиб ноги. Это единственный известный исследователям аварийный случай с парашютом Котельникова из изученных 57 случаев. Ни одной аварии, закончившейся смертью прыгавшего, парашют "РК-1" не дал (12234).</w:t>
      </w:r>
    </w:p>
    <w:p w14:paraId="2D5880C0" w14:textId="77777777" w:rsidR="00CD47B4" w:rsidRPr="002F2FDF" w:rsidRDefault="00CD47B4" w:rsidP="0083075A">
      <w:pPr>
        <w:spacing w:after="0" w:line="240" w:lineRule="auto"/>
        <w:jc w:val="both"/>
        <w:rPr>
          <w:rFonts w:ascii="Times New Roman" w:hAnsi="Times New Roman" w:cs="Times New Roman"/>
          <w:color w:val="000000" w:themeColor="text1"/>
          <w:kern w:val="2"/>
          <w:sz w:val="16"/>
          <w:szCs w:val="16"/>
        </w:rPr>
      </w:pPr>
    </w:p>
    <w:p w14:paraId="4AA15F53"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 (18) июля 1917 г., уже после отставки Колчака, капитан 2-го ранга А.Н. Заев отдал распоряжение бывшему 3-му воздушному дивизиону — отря</w:t>
      </w:r>
      <w:r w:rsidRPr="002F2FDF">
        <w:rPr>
          <w:rFonts w:ascii="Times New Roman" w:hAnsi="Times New Roman" w:cs="Times New Roman"/>
          <w:color w:val="000000" w:themeColor="text1"/>
          <w:sz w:val="16"/>
          <w:szCs w:val="16"/>
        </w:rPr>
        <w:softHyphen/>
        <w:t xml:space="preserve">ду дирижаблей — именоваться впредь до </w:t>
      </w:r>
      <w:r w:rsidRPr="002F2FDF">
        <w:rPr>
          <w:rFonts w:ascii="Times New Roman" w:eastAsia="Franklin Gothic Book" w:hAnsi="Times New Roman" w:cs="Times New Roman"/>
          <w:color w:val="000000" w:themeColor="text1"/>
          <w:sz w:val="16"/>
          <w:szCs w:val="16"/>
        </w:rPr>
        <w:t>лик</w:t>
      </w:r>
      <w:r w:rsidRPr="002F2FDF">
        <w:rPr>
          <w:rFonts w:ascii="Times New Roman" w:eastAsia="Franklin Gothic Book" w:hAnsi="Times New Roman" w:cs="Times New Roman"/>
          <w:color w:val="000000" w:themeColor="text1"/>
          <w:sz w:val="16"/>
          <w:szCs w:val="16"/>
        </w:rPr>
        <w:softHyphen/>
        <w:t>видации</w:t>
      </w:r>
      <w:r w:rsidRPr="002F2FDF">
        <w:rPr>
          <w:rFonts w:ascii="Times New Roman" w:hAnsi="Times New Roman" w:cs="Times New Roman"/>
          <w:color w:val="000000" w:themeColor="text1"/>
          <w:sz w:val="16"/>
          <w:szCs w:val="16"/>
        </w:rPr>
        <w:t xml:space="preserve"> отрядом дирижаблей Черноморской военной дивизии. Дальнейшая судьба дирижа</w:t>
      </w:r>
      <w:r w:rsidRPr="002F2FDF">
        <w:rPr>
          <w:rFonts w:ascii="Times New Roman" w:hAnsi="Times New Roman" w:cs="Times New Roman"/>
          <w:color w:val="000000" w:themeColor="text1"/>
          <w:sz w:val="16"/>
          <w:szCs w:val="16"/>
        </w:rPr>
        <w:softHyphen/>
        <w:t>блей в точности неизвестна. В.А. Ольденборгер, член воздухоплавательного комитета Северного фронта, указывал, что материальную часть ди</w:t>
      </w:r>
      <w:r w:rsidRPr="002F2FDF">
        <w:rPr>
          <w:rFonts w:ascii="Times New Roman" w:hAnsi="Times New Roman" w:cs="Times New Roman"/>
          <w:color w:val="000000" w:themeColor="text1"/>
          <w:sz w:val="16"/>
          <w:szCs w:val="16"/>
        </w:rPr>
        <w:softHyphen/>
        <w:t>рижаблей направили в Ревельскую крепостную воздухоплавательную роту, имущество которой захватили в январе 1918 г. немецкие войска (20120).</w:t>
      </w:r>
    </w:p>
    <w:p w14:paraId="2BD2E0D9"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p>
    <w:p w14:paraId="37501074" w14:textId="77777777" w:rsidR="00A8785D" w:rsidRPr="002F2FDF" w:rsidRDefault="00A878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5 (18) июля</w:t>
      </w:r>
      <w:r w:rsidRPr="002F2FDF">
        <w:rPr>
          <w:rFonts w:ascii="Times New Roman" w:hAnsi="Times New Roman" w:cs="Times New Roman"/>
          <w:color w:val="000000" w:themeColor="text1"/>
          <w:kern w:val="2"/>
          <w:sz w:val="16"/>
          <w:szCs w:val="16"/>
        </w:rPr>
        <w:t xml:space="preserve"> в 1917 году на фронт начали отбывать первые русские «батальоны смерти» (14943).</w:t>
      </w:r>
    </w:p>
    <w:p w14:paraId="15940FA7" w14:textId="77777777" w:rsidR="00A8785D" w:rsidRPr="002F2FDF" w:rsidRDefault="00A8785D" w:rsidP="0083075A">
      <w:pPr>
        <w:spacing w:after="0" w:line="240" w:lineRule="auto"/>
        <w:jc w:val="both"/>
        <w:rPr>
          <w:rFonts w:ascii="Times New Roman" w:hAnsi="Times New Roman" w:cs="Times New Roman"/>
          <w:color w:val="000000" w:themeColor="text1"/>
          <w:kern w:val="2"/>
          <w:sz w:val="16"/>
          <w:szCs w:val="16"/>
        </w:rPr>
      </w:pPr>
    </w:p>
    <w:p w14:paraId="6C2947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 (18-20) июля 1917 поставили у Босфора 280 мин (3123).</w:t>
      </w:r>
    </w:p>
    <w:p w14:paraId="06A988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E9E99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8B30C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F10293" w14:textId="77777777" w:rsidR="00D0336F" w:rsidRPr="002F2FDF" w:rsidRDefault="00D0336F" w:rsidP="0083075A">
      <w:pPr>
        <w:pStyle w:val="ae"/>
        <w:spacing w:before="0" w:after="0"/>
        <w:jc w:val="both"/>
        <w:rPr>
          <w:color w:val="000000" w:themeColor="text1"/>
          <w:kern w:val="2"/>
          <w:sz w:val="16"/>
          <w:szCs w:val="16"/>
        </w:rPr>
      </w:pPr>
      <w:r w:rsidRPr="002F2FDF">
        <w:rPr>
          <w:color w:val="000000" w:themeColor="text1"/>
          <w:kern w:val="2"/>
          <w:sz w:val="16"/>
          <w:szCs w:val="16"/>
        </w:rPr>
        <w:t>5 (18) июля 1917 ночью и утром часть матросов вернулась в Кронштадт.</w:t>
      </w:r>
    </w:p>
    <w:p w14:paraId="63FC8BBB" w14:textId="77777777" w:rsidR="00D0336F" w:rsidRPr="002F2FDF" w:rsidRDefault="00D0336F" w:rsidP="0083075A">
      <w:pPr>
        <w:pStyle w:val="ae"/>
        <w:spacing w:before="0" w:after="0"/>
        <w:jc w:val="both"/>
        <w:rPr>
          <w:color w:val="000000" w:themeColor="text1"/>
          <w:kern w:val="2"/>
          <w:sz w:val="16"/>
          <w:szCs w:val="16"/>
        </w:rPr>
      </w:pPr>
      <w:r w:rsidRPr="002F2FDF">
        <w:rPr>
          <w:color w:val="000000" w:themeColor="text1"/>
          <w:kern w:val="2"/>
          <w:sz w:val="16"/>
          <w:szCs w:val="16"/>
        </w:rPr>
        <w:t>5 июля Сталин возобновил свои переговоры с эсеро-меньшевистским ВЦИК, однако, по его мнению, «ЦИК ни одного своего обязательства не выполнил».</w:t>
      </w:r>
    </w:p>
    <w:p w14:paraId="6A8965F7" w14:textId="77777777" w:rsidR="00D0336F" w:rsidRPr="002F2FDF" w:rsidRDefault="00D0336F" w:rsidP="0083075A">
      <w:pPr>
        <w:pStyle w:val="ae"/>
        <w:spacing w:before="0" w:after="0"/>
        <w:jc w:val="both"/>
        <w:rPr>
          <w:color w:val="000000" w:themeColor="text1"/>
          <w:kern w:val="2"/>
          <w:sz w:val="16"/>
          <w:szCs w:val="16"/>
        </w:rPr>
      </w:pPr>
      <w:r w:rsidRPr="002F2FDF">
        <w:rPr>
          <w:color w:val="000000" w:themeColor="text1"/>
          <w:kern w:val="2"/>
          <w:sz w:val="16"/>
          <w:szCs w:val="16"/>
        </w:rPr>
        <w:t>С рассвета сводные отряды георгиевских кавалеров и юнкеров начали аресты большевистских боевых отрядов.</w:t>
      </w:r>
    </w:p>
    <w:p w14:paraId="34199730" w14:textId="77777777" w:rsidR="00D0336F" w:rsidRPr="002F2FDF" w:rsidRDefault="00D0336F"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К утру 5(18) июля остатки разбитых большевиков собрались у </w:t>
      </w:r>
      <w:hyperlink r:id="rId406" w:tooltip="Особняк Кшесинской" w:history="1">
        <w:r w:rsidRPr="002F2FDF">
          <w:rPr>
            <w:rStyle w:val="a5"/>
            <w:color w:val="000000" w:themeColor="text1"/>
            <w:kern w:val="2"/>
            <w:sz w:val="16"/>
            <w:szCs w:val="16"/>
            <w:u w:val="none"/>
          </w:rPr>
          <w:t>особняка Кшесинской</w:t>
        </w:r>
      </w:hyperlink>
      <w:r w:rsidRPr="002F2FDF">
        <w:rPr>
          <w:color w:val="000000" w:themeColor="text1"/>
          <w:kern w:val="2"/>
          <w:sz w:val="16"/>
          <w:szCs w:val="16"/>
        </w:rPr>
        <w:t xml:space="preserve"> и заняли северный конец </w:t>
      </w:r>
      <w:hyperlink r:id="rId407" w:tooltip="Троицкий мост (Санкт-Петербург)" w:history="1">
        <w:r w:rsidRPr="002F2FDF">
          <w:rPr>
            <w:rStyle w:val="a5"/>
            <w:color w:val="000000" w:themeColor="text1"/>
            <w:kern w:val="2"/>
            <w:sz w:val="16"/>
            <w:szCs w:val="16"/>
            <w:u w:val="none"/>
          </w:rPr>
          <w:t>Троицкого моста</w:t>
        </w:r>
      </w:hyperlink>
      <w:r w:rsidRPr="002F2FDF">
        <w:rPr>
          <w:color w:val="000000" w:themeColor="text1"/>
          <w:kern w:val="2"/>
          <w:sz w:val="16"/>
          <w:szCs w:val="16"/>
        </w:rPr>
        <w:t>. Часть кронштадтских матросов, в числе нескольких сот, укрылась в Петропавловской крепости.</w:t>
      </w:r>
    </w:p>
    <w:p w14:paraId="54C9D9D6" w14:textId="6DA278B5" w:rsidR="00D0336F" w:rsidRPr="002F2FDF" w:rsidRDefault="00D0336F" w:rsidP="0083075A">
      <w:pPr>
        <w:pStyle w:val="ae"/>
        <w:spacing w:before="0" w:after="0"/>
        <w:jc w:val="both"/>
        <w:rPr>
          <w:color w:val="000000" w:themeColor="text1"/>
          <w:kern w:val="2"/>
          <w:sz w:val="16"/>
          <w:szCs w:val="16"/>
        </w:rPr>
      </w:pPr>
      <w:r w:rsidRPr="002F2FDF">
        <w:rPr>
          <w:color w:val="000000" w:themeColor="text1"/>
          <w:kern w:val="2"/>
          <w:sz w:val="16"/>
          <w:szCs w:val="16"/>
        </w:rPr>
        <w:t>Сама крепость во время событий была фактически захвачена анархистской 16-й ротой 1-го Пулемётного полка. Против них был двинут отряд под руководством заместителя командующего войсками петроградского военного округа капитана-революционера А.</w:t>
      </w:r>
      <w:r w:rsidR="00E52569">
        <w:rPr>
          <w:color w:val="000000" w:themeColor="text1"/>
          <w:kern w:val="2"/>
          <w:sz w:val="16"/>
          <w:szCs w:val="16"/>
        </w:rPr>
        <w:t xml:space="preserve"> </w:t>
      </w:r>
      <w:r w:rsidRPr="002F2FDF">
        <w:rPr>
          <w:color w:val="000000" w:themeColor="text1"/>
          <w:kern w:val="2"/>
          <w:sz w:val="16"/>
          <w:szCs w:val="16"/>
        </w:rPr>
        <w:t>И.</w:t>
      </w:r>
      <w:r w:rsidR="00E52569">
        <w:rPr>
          <w:color w:val="000000" w:themeColor="text1"/>
          <w:kern w:val="2"/>
          <w:sz w:val="16"/>
          <w:szCs w:val="16"/>
        </w:rPr>
        <w:t xml:space="preserve"> </w:t>
      </w:r>
      <w:r w:rsidRPr="002F2FDF">
        <w:rPr>
          <w:color w:val="000000" w:themeColor="text1"/>
          <w:kern w:val="2"/>
          <w:sz w:val="16"/>
          <w:szCs w:val="16"/>
        </w:rPr>
        <w:t>Кузьмина.</w:t>
      </w:r>
    </w:p>
    <w:p w14:paraId="5EB6D8EE" w14:textId="77777777" w:rsidR="00D0336F" w:rsidRPr="002F2FDF" w:rsidRDefault="00D0336F" w:rsidP="0083075A">
      <w:pPr>
        <w:pStyle w:val="ae"/>
        <w:spacing w:before="0" w:after="0"/>
        <w:jc w:val="both"/>
        <w:rPr>
          <w:color w:val="000000" w:themeColor="text1"/>
          <w:kern w:val="2"/>
          <w:sz w:val="16"/>
          <w:szCs w:val="16"/>
        </w:rPr>
      </w:pPr>
      <w:r w:rsidRPr="002F2FDF">
        <w:rPr>
          <w:color w:val="000000" w:themeColor="text1"/>
          <w:kern w:val="2"/>
          <w:sz w:val="16"/>
          <w:szCs w:val="16"/>
        </w:rPr>
        <w:t>Правительственными войсками без боя был занят Троицкий мост.</w:t>
      </w:r>
    </w:p>
    <w:p w14:paraId="27AD1BC6" w14:textId="77777777" w:rsidR="00D0336F" w:rsidRPr="002F2FDF" w:rsidRDefault="00D0336F" w:rsidP="0083075A">
      <w:pPr>
        <w:pStyle w:val="ae"/>
        <w:spacing w:before="0" w:after="0"/>
        <w:jc w:val="both"/>
        <w:rPr>
          <w:color w:val="000000" w:themeColor="text1"/>
          <w:kern w:val="2"/>
          <w:sz w:val="16"/>
          <w:szCs w:val="16"/>
        </w:rPr>
      </w:pPr>
      <w:r w:rsidRPr="002F2FDF">
        <w:rPr>
          <w:color w:val="000000" w:themeColor="text1"/>
          <w:kern w:val="2"/>
          <w:sz w:val="16"/>
          <w:szCs w:val="16"/>
        </w:rPr>
        <w:t>Утром 5 июля юнкерами занята редакция и типография газеты «Правда», которую буквально несколькими минутами ранее покинул Ленин. Юнкера обыскали здание, избив при этом нескольких сотрудников, поломав мебель, и выкинув в Мойку свежеотпечатанные газеты. Как впоследствии утверждала «Петроградская газета», при обыске было обнаружено неизвестное письмо на немецком языке.</w:t>
      </w:r>
    </w:p>
    <w:p w14:paraId="370F3154" w14:textId="77777777" w:rsidR="00D0336F" w:rsidRPr="002F2FDF" w:rsidRDefault="00D0336F" w:rsidP="0083075A">
      <w:pPr>
        <w:pStyle w:val="ae"/>
        <w:spacing w:before="0" w:after="0"/>
        <w:jc w:val="both"/>
        <w:rPr>
          <w:color w:val="000000" w:themeColor="text1"/>
          <w:kern w:val="2"/>
          <w:sz w:val="16"/>
          <w:szCs w:val="16"/>
        </w:rPr>
      </w:pPr>
      <w:r w:rsidRPr="002F2FDF">
        <w:rPr>
          <w:color w:val="000000" w:themeColor="text1"/>
          <w:kern w:val="2"/>
          <w:sz w:val="16"/>
          <w:szCs w:val="16"/>
        </w:rPr>
        <w:t>После разгрома «Правды» большевики какое-то время пытались выпускать газету под названием «Листок правды» (17029).</w:t>
      </w:r>
    </w:p>
    <w:p w14:paraId="5CE43868" w14:textId="77777777" w:rsidR="00D0336F" w:rsidRPr="002F2FDF" w:rsidRDefault="00D0336F"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54E64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июля 1917 Ленин ушел в подполье (4962).</w:t>
      </w:r>
    </w:p>
    <w:p w14:paraId="66129B8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E5D8FE" w14:textId="77777777" w:rsidR="007A359D" w:rsidRPr="002F2FDF" w:rsidRDefault="007A359D"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 xml:space="preserve">5-6 (18 и 19) июля 1917 г.н.с. В.И.Л. находится в Петрограде – он меняет квартиры, спасаясь от преследования, проводит узкое совещание членов ЦК и участвует в секретном заседании Исполкома Петербургского комитета большевиков в сторожке завода «Русский Рено». 20 июля Ленин окончательно затаился на квартире рабочего Аллилуева с вполне волновым адресом: 10-я Рождественская улица, дом </w:t>
      </w:r>
      <w:r w:rsidRPr="002F2FDF">
        <w:rPr>
          <w:rFonts w:ascii="Times New Roman" w:eastAsia="Times New Roman" w:hAnsi="Times New Roman" w:cs="Times New Roman"/>
          <w:bCs/>
          <w:iCs/>
          <w:color w:val="000000" w:themeColor="text1"/>
          <w:kern w:val="2"/>
          <w:sz w:val="16"/>
          <w:szCs w:val="16"/>
          <w:lang w:eastAsia="ru-RU"/>
        </w:rPr>
        <w:t>17-а.</w:t>
      </w:r>
    </w:p>
    <w:p w14:paraId="76C27CA2" w14:textId="77777777" w:rsidR="007A359D" w:rsidRPr="002F2FDF" w:rsidRDefault="007A359D"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bCs/>
          <w:iCs/>
          <w:color w:val="000000" w:themeColor="text1"/>
          <w:kern w:val="2"/>
          <w:sz w:val="16"/>
          <w:szCs w:val="16"/>
          <w:lang w:eastAsia="ru-RU"/>
        </w:rPr>
        <w:t>22 июля</w:t>
      </w:r>
      <w:r w:rsidRPr="002F2FDF">
        <w:rPr>
          <w:rFonts w:ascii="Times New Roman" w:eastAsia="Times New Roman" w:hAnsi="Times New Roman" w:cs="Times New Roman"/>
          <w:color w:val="000000" w:themeColor="text1"/>
          <w:kern w:val="2"/>
          <w:sz w:val="16"/>
          <w:szCs w:val="16"/>
          <w:lang w:eastAsia="ru-RU"/>
        </w:rPr>
        <w:t xml:space="preserve"> Ленин меняет внешность – сбривает бороду, подстригает усы. Надевает рыжее пальто и серую кепку и, под видом финского крестьянина, в </w:t>
      </w:r>
      <w:r w:rsidRPr="002F2FDF">
        <w:rPr>
          <w:rFonts w:ascii="Times New Roman" w:eastAsia="Times New Roman" w:hAnsi="Times New Roman" w:cs="Times New Roman"/>
          <w:bCs/>
          <w:iCs/>
          <w:color w:val="000000" w:themeColor="text1"/>
          <w:kern w:val="2"/>
          <w:sz w:val="16"/>
          <w:szCs w:val="16"/>
          <w:lang w:eastAsia="ru-RU"/>
        </w:rPr>
        <w:t>сопровождении волнового героя Сталина</w:t>
      </w:r>
      <w:r w:rsidRPr="002F2FDF">
        <w:rPr>
          <w:rFonts w:ascii="Times New Roman" w:eastAsia="Times New Roman" w:hAnsi="Times New Roman" w:cs="Times New Roman"/>
          <w:color w:val="000000" w:themeColor="text1"/>
          <w:kern w:val="2"/>
          <w:sz w:val="16"/>
          <w:szCs w:val="16"/>
          <w:lang w:eastAsia="ru-RU"/>
        </w:rPr>
        <w:t xml:space="preserve"> и проводника Аллилуева, который хорошо знал Петроград, идет на Приморский вокзал. Там его встречает рабочий Емельянов и отвозит сначала в свой дом, а затем через озеро Разлив. Итак, Ленин прячется в Разливе. Есть много свидетельств, что вместе с ним был и Зиновьев, но в официальных документах партийной биографии «Николаса» Ленина об этом нет ни строчки. Нет там и Николаса Ленина – все исправлено на В.И.Ленин.</w:t>
      </w:r>
    </w:p>
    <w:p w14:paraId="1E345681" w14:textId="77777777" w:rsidR="007A359D" w:rsidRPr="002F2FDF" w:rsidRDefault="007A359D"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E74BE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июля 1917 юнкера разгромили редакцию большевистской газеты "Правда" (4962).</w:t>
      </w:r>
    </w:p>
    <w:p w14:paraId="3C56FFB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9C9E17" w14:textId="77777777" w:rsidR="00135C75" w:rsidRPr="002F2FDF" w:rsidRDefault="00135C75"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июля 1917 Временное правительство предало гласности материалы, доказывающие связь большевиков с немцами. Отдан приказ об аресте Ленина, Троцкого и их друзей. Троцкого засадили в "Кресты", а Ленин ушел в подполье (12629).</w:t>
      </w:r>
    </w:p>
    <w:p w14:paraId="4369C24E" w14:textId="77777777" w:rsidR="00135C75" w:rsidRPr="002F2FDF" w:rsidRDefault="00135C7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4FFE2E" w14:textId="77777777" w:rsidR="00B85F42" w:rsidRPr="002F2FDF" w:rsidRDefault="00B85F4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lastRenderedPageBreak/>
        <w:t>5 (18) июля 1917 г. правительство распустило Финляндский Сейм. Это политическая близорукость – финны не поддерживали в своей массе большевиков и могли оказать помощь Временному правительству, стать такой же силой, как латышские стрелки у красных, но теперь такая возможность исключалась (17326).</w:t>
      </w:r>
    </w:p>
    <w:p w14:paraId="56D70E5D" w14:textId="77777777" w:rsidR="00B85F42" w:rsidRPr="002F2FDF" w:rsidRDefault="00B85F4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4EF5F5" w14:textId="77777777" w:rsidR="00F3724E" w:rsidRPr="002F2FDF" w:rsidRDefault="00F3724E" w:rsidP="0083075A">
      <w:pPr>
        <w:pStyle w:val="ae"/>
        <w:spacing w:before="0" w:after="0"/>
        <w:jc w:val="both"/>
        <w:rPr>
          <w:color w:val="000000" w:themeColor="text1"/>
          <w:sz w:val="16"/>
          <w:szCs w:val="16"/>
        </w:rPr>
      </w:pPr>
      <w:r w:rsidRPr="002F2FDF">
        <w:rPr>
          <w:color w:val="000000" w:themeColor="text1"/>
          <w:sz w:val="16"/>
          <w:szCs w:val="16"/>
        </w:rPr>
        <w:t>5 (18) июля 1917 года по требованию Социал-демократической фракции финский сейм принял «Закон о власти», ограничивавший компетенцию Временного правительства вопросами военной и внешней политики. В ответ Временное правительство разогнало 18 (31) июля сейм. Тогда буржуазно-националистическая часть финского общества приступила к созданию вооруженных отрядов, получивших название шюцкор (от шведского слова Skyddskar – охранный корпус). Забавно, что в этом вопросе немцы отстали от финнов на 16 лет. У них Schutzstaffeln – охранные отряды (сокращенно – SS) появились только в 1934 году (18525).</w:t>
      </w:r>
    </w:p>
    <w:p w14:paraId="573E6842" w14:textId="77777777" w:rsidR="00F3724E" w:rsidRPr="002F2FDF" w:rsidRDefault="00F3724E" w:rsidP="0083075A">
      <w:pPr>
        <w:pStyle w:val="ae"/>
        <w:spacing w:before="0" w:after="0"/>
        <w:jc w:val="both"/>
        <w:rPr>
          <w:color w:val="000000" w:themeColor="text1"/>
          <w:sz w:val="16"/>
          <w:szCs w:val="16"/>
        </w:rPr>
      </w:pPr>
    </w:p>
    <w:p w14:paraId="103284EB" w14:textId="77777777" w:rsidR="00A8785D"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7D21F625" w14:textId="77777777" w:rsidR="00A8785D" w:rsidRPr="002F2FDF" w:rsidRDefault="00A8785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ECF449" w14:textId="77777777" w:rsidR="00A8785D" w:rsidRPr="002F2FDF" w:rsidRDefault="00A878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5 (18) июля 1917 г.</w:t>
      </w:r>
      <w:r w:rsidRPr="002F2FDF">
        <w:rPr>
          <w:rFonts w:ascii="Times New Roman" w:hAnsi="Times New Roman" w:cs="Times New Roman"/>
          <w:color w:val="000000" w:themeColor="text1"/>
          <w:kern w:val="2"/>
          <w:sz w:val="16"/>
          <w:szCs w:val="16"/>
        </w:rPr>
        <w:t xml:space="preserve"> Телеграмма ген. Э. К. Гермониуса ген. А. А. Маниковскому о политических мотивах в задержке английским правительством отправки военных грузов в Россию.</w:t>
      </w:r>
    </w:p>
    <w:p w14:paraId="0F645E54" w14:textId="77777777" w:rsidR="00A8785D" w:rsidRPr="002F2FDF" w:rsidRDefault="00A878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499; Исторический архив, 1955, № 3, стр. 168.5 июля 1917 г. Вчера, 17 июля н. ст., был устроен РУССКО завтрак представителям АНПРА, занятым вопрос</w:t>
      </w:r>
    </w:p>
    <w:p w14:paraId="18836CC6" w14:textId="77777777" w:rsidR="00A8785D" w:rsidRPr="002F2FDF" w:rsidRDefault="00A878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p>
    <w:p w14:paraId="04F09A83" w14:textId="77777777" w:rsidR="00A8785D" w:rsidRPr="002F2FDF" w:rsidRDefault="00A878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ЦГВИА, ф. 2000, оп. 1, д. 6123, л. 69. Заверенная копия.</w:t>
      </w:r>
    </w:p>
    <w:p w14:paraId="1D643802" w14:textId="77777777" w:rsidR="00A8785D" w:rsidRPr="002F2FDF" w:rsidRDefault="00A8785D" w:rsidP="0083075A">
      <w:pPr>
        <w:pStyle w:val="rteright"/>
        <w:spacing w:before="0" w:beforeAutospacing="0" w:after="0" w:afterAutospacing="0"/>
        <w:jc w:val="both"/>
        <w:rPr>
          <w:color w:val="000000" w:themeColor="text1"/>
          <w:kern w:val="2"/>
          <w:sz w:val="16"/>
          <w:szCs w:val="16"/>
        </w:rPr>
      </w:pPr>
      <w:r w:rsidRPr="002F2FDF">
        <w:rPr>
          <w:iCs/>
          <w:color w:val="000000" w:themeColor="text1"/>
          <w:kern w:val="2"/>
          <w:sz w:val="16"/>
          <w:szCs w:val="16"/>
        </w:rPr>
        <w:t>5 июля 1917 г.</w:t>
      </w:r>
    </w:p>
    <w:p w14:paraId="28C562D8" w14:textId="77777777" w:rsidR="00A8785D" w:rsidRPr="002F2FDF" w:rsidRDefault="00A8785D" w:rsidP="0083075A">
      <w:pPr>
        <w:pStyle w:val="rtejustify"/>
        <w:spacing w:before="0" w:after="0"/>
        <w:rPr>
          <w:color w:val="000000" w:themeColor="text1"/>
          <w:kern w:val="2"/>
          <w:sz w:val="16"/>
          <w:szCs w:val="16"/>
        </w:rPr>
      </w:pPr>
      <w:r w:rsidRPr="002F2FDF">
        <w:rPr>
          <w:color w:val="000000" w:themeColor="text1"/>
          <w:kern w:val="2"/>
          <w:sz w:val="16"/>
          <w:szCs w:val="16"/>
        </w:rPr>
        <w:t>Вчера, 17 июля н. ст., был устроен РУССКО завтрак представителям АНПРА, занятым вопросами снабжения России. Всего было свыше 250 чел. Присутствовали Набоков, лорд Мильнер; последний произнес речь, в которой впервые официально было высказано, что АНПРА не считало возможным посылать грузы в Россию, в то время как не было достаточно уверенности в том, что они достигнут своего конечного назначения и не будут своевременно использованы на фронте ввиду общей дезорганизации, вполне понятной после революции. АНПРА предпочло давать снаряжение туда, где есть полная уверенность в его немедленном использовании. Последнее наступление Корнилова, по словам Мильнера, окрылило надежды союзников и возбудило в АНПРА известную долю уверенности в упрочении боевой способности России, но даже в лучшем случае потребности России так велики, что могут удовлетворяться Англией лишь частью. 10870 (15150).</w:t>
      </w:r>
    </w:p>
    <w:p w14:paraId="376DC233" w14:textId="77777777" w:rsidR="00A8785D" w:rsidRPr="002F2FDF" w:rsidRDefault="00A8785D"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08BFEE2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62111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A5B3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июля 1917 впервые в истории войн атакой с британского самолета в проливе Ла-Манш уничтожена германская подводная лодка UB-32.</w:t>
      </w:r>
    </w:p>
    <w:p w14:paraId="58E5E9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Эта удача явилась результатом длительного и планомерного развития морской авиации, до этого года не имевшей машин, способных действовать вдали от берега и имеющих достаточную грузоподъемность. По-настоящему включилась в боевую работу морская авиация только начиная с этого года.</w:t>
      </w:r>
    </w:p>
    <w:p w14:paraId="07497B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предыдущем месяце британские и французские гидросамолеты только в противолодочных операциях налетали около 140 тыс. км, обнаружили 18 лодок и атаковали 7 из них.</w:t>
      </w:r>
    </w:p>
    <w:p w14:paraId="290A60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морскую авиацию возлагались следующие задачи:</w:t>
      </w:r>
    </w:p>
    <w:p w14:paraId="0E2E94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Обследование водных пространств в поисках неприятельских подводных лодок.</w:t>
      </w:r>
    </w:p>
    <w:p w14:paraId="2C00B1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Охрана узкостей и подходов к базам.</w:t>
      </w:r>
    </w:p>
    <w:p w14:paraId="31A933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Охрана флота на переходе в море.</w:t>
      </w:r>
    </w:p>
    <w:p w14:paraId="4317C9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Бомбардирование баз подводных лодок.</w:t>
      </w:r>
    </w:p>
    <w:p w14:paraId="02AA1A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Уничтожение обнаруженных подводных лодок.</w:t>
      </w:r>
    </w:p>
    <w:p w14:paraId="52C99F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обнаружения подводных лодок использовались также дирижабли и привязные аэростаты. Для уничтожения подводных лодок - только самолеты.</w:t>
      </w:r>
    </w:p>
    <w:p w14:paraId="1C03D8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Опыты по наблюдению за подводными лодками дали следующие результаты. Лучшая видимость получается при нахождении самолета в зените над лодкой и со стороны солнца. При уходе лодки на глубину ее можно видеть еще в течение 10-15 секунд, затем она исчезает.</w:t>
      </w:r>
    </w:p>
    <w:p w14:paraId="5AA61D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Однако лодки не могли находится на больших глубинах в течение долгого времени. Поэтому, в случае ухода лодки, самолет замечал это место, сбрасывая специальный буек, растекающийся на поверхности воды хорошо видным с самолета масляным пятном. Затем самолет начинал делать вокруг этого пятна круги со все возрастающим радиусом, исчислявшимся предположительной скоростью лодки и прошедшим с момента ее исчезновения временем. При новом всплытии лодки самолет обычно атаковал ее бомбами (11999).</w:t>
      </w:r>
    </w:p>
    <w:p w14:paraId="31C36E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72520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9C0CA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42E1D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июля 1917 г. заводские летчики А.Гончаров и В.Михайлов, инженеры Л.Шкульник и Л.Колпаков в специальном акте от выразили свое несогласие с выводами комиссии по испытаниям Лебедь ХП. Каждый из пилотов имел общий налет в 250 чacов на самолете "Лебедь"-ХII, оба провели испытания 160 самолетов этого типа и считали его хорошим разведчиком с небольшими, легко устрaнимыми недостатками... В общем, все представители фирмы с Лебедевым во главе сочли выводы особой комиссии субъективными.</w:t>
      </w:r>
    </w:p>
    <w:p w14:paraId="383498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Для разрешенения спорных вопросов была создана еще одна комиссия из пилотов фронтовых авиачастей, инструкторов Гатчинской авиашколы, представителей Управления Военно-Воздушного флота и завода Лебедева. Актом от 2 октября 1917 г. она подтвердила непригодность самолета "Лебедь"-ХII как устаревшего типа с малой грузоподъемностью и недостаточной скоростью, обладающего рядом конструктивных недостатаков в топливной и охладительной системах двигателя. Вывод комиссии был однозначен: </w:t>
      </w:r>
      <w:r w:rsidRPr="002F2FDF">
        <w:rPr>
          <w:rFonts w:ascii="Times New Roman" w:hAnsi="Times New Roman" w:cs="Times New Roman"/>
          <w:iCs/>
          <w:color w:val="000000" w:themeColor="text1"/>
          <w:kern w:val="2"/>
          <w:sz w:val="16"/>
          <w:szCs w:val="16"/>
        </w:rPr>
        <w:t>"дальнейшая постройка нежелательна"</w:t>
      </w:r>
      <w:r w:rsidRPr="002F2FDF">
        <w:rPr>
          <w:rFonts w:ascii="Times New Roman" w:hAnsi="Times New Roman" w:cs="Times New Roman"/>
          <w:color w:val="000000" w:themeColor="text1"/>
          <w:kern w:val="2"/>
          <w:sz w:val="16"/>
          <w:szCs w:val="16"/>
        </w:rPr>
        <w:t xml:space="preserve">. </w:t>
      </w:r>
    </w:p>
    <w:p w14:paraId="54DC00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результате серийное производство было значительно сокращено. И все же, несмотря на серьезные недостатки, особенно заметные и недопустимые в 1917 г., "Лебедь"-ХII оставался в действующей армии до окончания войны. Учебный вариант использовался в школе авиации Императорского Всероссийского Аэро-Клуба (зав. №№ 442, 449, 450), Гатчинской военной авиашколе (399, 439, 456, 466), школе Московского общества воздухоплавания (446, 452, 454), Одесской авиашколе (448 и 455), Киевской школе летчиков-наблюдателей (447 и 458) и Кавказской авиашколе (451, 453 и 480). Более полусотни самолетов "Лебедь"-ХII во второй половине 1917 г. поступило в Школу воздушного боя в Красном Селе (заказ Морского ведомства), часть из них была имела двойное управление. </w:t>
      </w:r>
    </w:p>
    <w:p w14:paraId="16FA32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Несколько иные выводы сделала испытательная комиссия, созданная предписанием начальника Управления ВВФ для сравнительных испытаний самолетов "Лебедь"-XII, "Анасаль" и "Фарман"-30. Полеты проходили с 31 октября по 20 ноября 1917 г. на Главном аэродроме. Комиисия признала прочность и тщательность конструкции разведчика 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 </w:t>
      </w:r>
    </w:p>
    <w:p w14:paraId="17792B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гидроавиаотряда,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 </w:t>
      </w:r>
    </w:p>
    <w:p w14:paraId="1E8648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20948A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8417B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июля 1917 завод Щетинина получил инструкции перестроить носы лодок М-15 №№ 1115-1119,1121,1122,1124,1125и последующих до 1176 под упомянутую пулеметную установку, тем более что в таком виде они оказыва</w:t>
      </w:r>
      <w:r w:rsidRPr="002F2FDF">
        <w:rPr>
          <w:rFonts w:ascii="Times New Roman" w:hAnsi="Times New Roman" w:cs="Times New Roman"/>
          <w:color w:val="000000" w:themeColor="text1"/>
          <w:kern w:val="2"/>
          <w:sz w:val="16"/>
          <w:szCs w:val="16"/>
        </w:rPr>
        <w:softHyphen/>
        <w:t>лись годными и для пулеметных установок старого образца. Вероятно, корпуса аппаратов с заводскими номерами 1108,1110 и 1111 также были изменены, причем уже в начале апреля.</w:t>
      </w:r>
    </w:p>
    <w:p w14:paraId="4F8E876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Несмотря на все недостатки, М-15 демонстрировал ценные качества, и один из летавших на нем морских авиаторов поручик М. П. Телепнев писал впоследствии:</w:t>
      </w:r>
    </w:p>
    <w:p w14:paraId="29ED054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“Летающая лодка типа М-15. &lt;...&gt; Вооружена пулеметом "Максим" или "Льюис", бомб около 4 пудов. &lt;...&gt; Предположена установка радиотелеграфа. Для бомбометания имеется при</w:t>
      </w:r>
      <w:r w:rsidRPr="002F2FDF">
        <w:rPr>
          <w:rFonts w:ascii="Times New Roman" w:hAnsi="Times New Roman" w:cs="Times New Roman"/>
          <w:color w:val="000000" w:themeColor="text1"/>
          <w:kern w:val="2"/>
          <w:sz w:val="16"/>
          <w:szCs w:val="16"/>
        </w:rPr>
        <w:softHyphen/>
        <w:t>цел старшего лейтенанта Лишина (С. А. Лишин. —А. А.). В гондоле должны находиться: компас, авиационные приборы и освещет ше. Аппарат более строгий, чем М-9, а потому полет ночью требу</w:t>
      </w:r>
      <w:r w:rsidRPr="002F2FDF">
        <w:rPr>
          <w:rFonts w:ascii="Times New Roman" w:hAnsi="Times New Roman" w:cs="Times New Roman"/>
          <w:color w:val="000000" w:themeColor="text1"/>
          <w:kern w:val="2"/>
          <w:sz w:val="16"/>
          <w:szCs w:val="16"/>
        </w:rPr>
        <w:softHyphen/>
        <w:t>ет большой осторожности.</w:t>
      </w:r>
    </w:p>
    <w:p w14:paraId="04F081F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Аппарат предназначается для разведки, которую может периодически вести до 40-50 миль. В исключительно благоприятных случаях при благоприятной погоде может выполнять разведку за участком моря по прямой на 90 миль от своей базы. В разведку может идти даже при возможно</w:t>
      </w:r>
      <w:r w:rsidRPr="002F2FDF">
        <w:rPr>
          <w:rFonts w:ascii="Times New Roman" w:hAnsi="Times New Roman" w:cs="Times New Roman"/>
          <w:color w:val="000000" w:themeColor="text1"/>
          <w:kern w:val="2"/>
          <w:sz w:val="16"/>
          <w:szCs w:val="16"/>
        </w:rPr>
        <w:softHyphen/>
        <w:t xml:space="preserve">сти контратаки противника, так как по своей </w:t>
      </w:r>
      <w:r w:rsidRPr="002F2FDF">
        <w:rPr>
          <w:rFonts w:ascii="Times New Roman" w:hAnsi="Times New Roman" w:cs="Times New Roman"/>
          <w:color w:val="000000" w:themeColor="text1"/>
          <w:kern w:val="2"/>
          <w:sz w:val="16"/>
          <w:szCs w:val="16"/>
        </w:rPr>
        <w:lastRenderedPageBreak/>
        <w:t>скорости представляет тип аппарата средний между разведчиком и истребителем. Вблизи берегов противника принимает бой лишь в случае необходи</w:t>
      </w:r>
      <w:r w:rsidRPr="002F2FDF">
        <w:rPr>
          <w:rFonts w:ascii="Times New Roman" w:hAnsi="Times New Roman" w:cs="Times New Roman"/>
          <w:color w:val="000000" w:themeColor="text1"/>
          <w:kern w:val="2"/>
          <w:sz w:val="16"/>
          <w:szCs w:val="16"/>
        </w:rPr>
        <w:softHyphen/>
        <w:t>мости, тогда как вблизи своих баз может быть применен для охраны и дежурства. Пригоден для разведки на предмет обнаружения подлодок и борьбы с ними, а также для корректировки стрель</w:t>
      </w:r>
      <w:r w:rsidRPr="002F2FDF">
        <w:rPr>
          <w:rFonts w:ascii="Times New Roman" w:hAnsi="Times New Roman" w:cs="Times New Roman"/>
          <w:color w:val="000000" w:themeColor="text1"/>
          <w:kern w:val="2"/>
          <w:sz w:val="16"/>
          <w:szCs w:val="16"/>
        </w:rPr>
        <w:softHyphen/>
        <w:t>бы. При наличии зажигательных пуль или ракет может атаковать цеппелин у наших берегов. При современных условиях войны тип М-15 наиболее отвечает требованиям, предъявляемым аппара</w:t>
      </w:r>
      <w:r w:rsidRPr="002F2FDF">
        <w:rPr>
          <w:rFonts w:ascii="Times New Roman" w:hAnsi="Times New Roman" w:cs="Times New Roman"/>
          <w:color w:val="000000" w:themeColor="text1"/>
          <w:kern w:val="2"/>
          <w:sz w:val="16"/>
          <w:szCs w:val="16"/>
        </w:rPr>
        <w:softHyphen/>
        <w:t>там-разведчикам. Поставленный на лыжи, М-15 может быть использован зимой” (2807).</w:t>
      </w:r>
    </w:p>
    <w:p w14:paraId="19B675F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D73B2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705EF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C7F6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июля 1917 летчики 1БАГ возобновили боевые вылеты, однако обстановка на фронте резко изменилась. Противник нанес контрудар, а разложившиеся русские части не смогли оказать достойного сопротивления. 11 -я армия, имея пре</w:t>
      </w:r>
      <w:r w:rsidRPr="002F2FDF">
        <w:rPr>
          <w:rFonts w:ascii="Times New Roman" w:hAnsi="Times New Roman" w:cs="Times New Roman"/>
          <w:color w:val="000000" w:themeColor="text1"/>
          <w:kern w:val="2"/>
          <w:sz w:val="16"/>
          <w:szCs w:val="16"/>
        </w:rPr>
        <w:softHyphen/>
        <w:t>восходство в силах и средствах, бес</w:t>
      </w:r>
      <w:r w:rsidRPr="002F2FDF">
        <w:rPr>
          <w:rFonts w:ascii="Times New Roman" w:hAnsi="Times New Roman" w:cs="Times New Roman"/>
          <w:color w:val="000000" w:themeColor="text1"/>
          <w:kern w:val="2"/>
          <w:sz w:val="16"/>
          <w:szCs w:val="16"/>
        </w:rPr>
        <w:softHyphen/>
        <w:t>порядочно отступала. Повальное от</w:t>
      </w:r>
      <w:r w:rsidRPr="002F2FDF">
        <w:rPr>
          <w:rFonts w:ascii="Times New Roman" w:hAnsi="Times New Roman" w:cs="Times New Roman"/>
          <w:color w:val="000000" w:themeColor="text1"/>
          <w:kern w:val="2"/>
          <w:sz w:val="16"/>
          <w:szCs w:val="16"/>
        </w:rPr>
        <w:softHyphen/>
        <w:t>ступление началось и на правом фланге 7-й армии, Юго-западный фронт постепенно разваливался. В этих условиях враг нанес главный удар в стык между 7-й и 8-й армиями. Последняя, несмотря на недавние ус</w:t>
      </w:r>
      <w:r w:rsidRPr="002F2FDF">
        <w:rPr>
          <w:rFonts w:ascii="Times New Roman" w:hAnsi="Times New Roman" w:cs="Times New Roman"/>
          <w:color w:val="000000" w:themeColor="text1"/>
          <w:kern w:val="2"/>
          <w:sz w:val="16"/>
          <w:szCs w:val="16"/>
        </w:rPr>
        <w:softHyphen/>
        <w:t>пехи, вынуждена была отступить, что</w:t>
      </w:r>
      <w:r w:rsidRPr="002F2FDF">
        <w:rPr>
          <w:rFonts w:ascii="Times New Roman" w:hAnsi="Times New Roman" w:cs="Times New Roman"/>
          <w:color w:val="000000" w:themeColor="text1"/>
          <w:kern w:val="2"/>
          <w:sz w:val="16"/>
          <w:szCs w:val="16"/>
        </w:rPr>
        <w:softHyphen/>
        <w:t>бы не попасть в окружение. Это отсту</w:t>
      </w:r>
      <w:r w:rsidRPr="002F2FDF">
        <w:rPr>
          <w:rFonts w:ascii="Times New Roman" w:hAnsi="Times New Roman" w:cs="Times New Roman"/>
          <w:color w:val="000000" w:themeColor="text1"/>
          <w:kern w:val="2"/>
          <w:sz w:val="16"/>
          <w:szCs w:val="16"/>
        </w:rPr>
        <w:softHyphen/>
        <w:t>пление коснулось и 1 -и БАГ: “В 2 часа она походным порядком выбыла из г. Станислава в г. Коломею, где и рас</w:t>
      </w:r>
      <w:r w:rsidRPr="002F2FDF">
        <w:rPr>
          <w:rFonts w:ascii="Times New Roman" w:hAnsi="Times New Roman" w:cs="Times New Roman"/>
          <w:color w:val="000000" w:themeColor="text1"/>
          <w:kern w:val="2"/>
          <w:sz w:val="16"/>
          <w:szCs w:val="16"/>
        </w:rPr>
        <w:softHyphen/>
        <w:t>положилась”. На следующий день пришлось отойти еще дальше, в район Снятына, а затем - в Хотин. 13 июля самолеты авиагруппы перелетели в Мельницу и на следующий день возобновили боевую работу. Перво</w:t>
      </w:r>
      <w:r w:rsidRPr="002F2FDF">
        <w:rPr>
          <w:rFonts w:ascii="Times New Roman" w:hAnsi="Times New Roman" w:cs="Times New Roman"/>
          <w:color w:val="000000" w:themeColor="text1"/>
          <w:kern w:val="2"/>
          <w:sz w:val="16"/>
          <w:szCs w:val="16"/>
        </w:rPr>
        <w:softHyphen/>
        <w:t>очередной задачей для них стала разведка (3954).</w:t>
      </w:r>
    </w:p>
    <w:p w14:paraId="3750BF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DE7F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июля 1917 командир 18 воздухоплавательного отряда при спуске на парашюте с загоревшегося аэростата был накрыт горящей оболочкой и разбился. потом тоже самое было с пор. Печеневым (3649).</w:t>
      </w:r>
    </w:p>
    <w:p w14:paraId="05DC53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69CBD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 (19) июля 1917 командир 18 армейского воздухоплавтельного отряда штабс-капитан Апполинарий </w:t>
      </w:r>
      <w:r w:rsidRPr="002F2FDF">
        <w:rPr>
          <w:rFonts w:ascii="Times New Roman" w:hAnsi="Times New Roman" w:cs="Times New Roman"/>
          <w:smallCaps/>
          <w:color w:val="000000" w:themeColor="text1"/>
          <w:kern w:val="2"/>
          <w:sz w:val="16"/>
          <w:szCs w:val="16"/>
        </w:rPr>
        <w:t xml:space="preserve">поливдпоеич </w:t>
      </w:r>
      <w:r w:rsidRPr="002F2FDF">
        <w:rPr>
          <w:rFonts w:ascii="Times New Roman" w:hAnsi="Times New Roman" w:cs="Times New Roman"/>
          <w:color w:val="000000" w:themeColor="text1"/>
          <w:kern w:val="2"/>
          <w:sz w:val="16"/>
          <w:szCs w:val="16"/>
        </w:rPr>
        <w:t>Банет при спуске на парашюте с зажженного немецкими летчиками привязного аэроста</w:t>
      </w:r>
      <w:r w:rsidRPr="002F2FDF">
        <w:rPr>
          <w:rFonts w:ascii="Times New Roman" w:hAnsi="Times New Roman" w:cs="Times New Roman"/>
          <w:color w:val="000000" w:themeColor="text1"/>
          <w:kern w:val="2"/>
          <w:sz w:val="16"/>
          <w:szCs w:val="16"/>
        </w:rPr>
        <w:softHyphen/>
        <w:t>та был некрыт падавшей горящей оболочкой. Парашют сгорел в воздухе и воздухоплаватель разбился. Подобный случай произо</w:t>
      </w:r>
      <w:r w:rsidRPr="002F2FDF">
        <w:rPr>
          <w:rFonts w:ascii="Times New Roman" w:hAnsi="Times New Roman" w:cs="Times New Roman"/>
          <w:color w:val="000000" w:themeColor="text1"/>
          <w:kern w:val="2"/>
          <w:sz w:val="16"/>
          <w:szCs w:val="16"/>
        </w:rPr>
        <w:softHyphen/>
        <w:t>шел несколько позже с поручиком Печеневым. (ЦГВИА. Ф. 493, оп.3, д.142, л.85).</w:t>
      </w:r>
    </w:p>
    <w:p w14:paraId="25BD0B6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79DCAE" w14:textId="77777777" w:rsidR="00256266" w:rsidRPr="00815ED5" w:rsidRDefault="0025626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(19) </w:t>
      </w:r>
      <w:r w:rsidRPr="00815ED5">
        <w:rPr>
          <w:rFonts w:ascii="Times New Roman" w:hAnsi="Times New Roman" w:cs="Times New Roman"/>
          <w:color w:val="0070C0"/>
          <w:sz w:val="16"/>
          <w:szCs w:val="16"/>
        </w:rPr>
        <w:t xml:space="preserve">июля </w:t>
      </w:r>
      <w:r>
        <w:rPr>
          <w:rFonts w:ascii="Times New Roman" w:hAnsi="Times New Roman" w:cs="Times New Roman"/>
          <w:color w:val="0070C0"/>
          <w:sz w:val="16"/>
          <w:szCs w:val="16"/>
        </w:rPr>
        <w:t>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к</w:t>
      </w:r>
      <w:r w:rsidRPr="00815ED5">
        <w:rPr>
          <w:rFonts w:ascii="Times New Roman" w:hAnsi="Times New Roman" w:cs="Times New Roman"/>
          <w:color w:val="0070C0"/>
          <w:sz w:val="16"/>
          <w:szCs w:val="16"/>
        </w:rPr>
        <w:t>омандир 18 армейского воздухоплавательного отряда шт.— капитан Апполинарий Поликарпович Банет при спуске на парашюте с зажженного немецкими летчиками привязного аэростата был накрыт падавшей горящей оболочкой.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Парашют сгорел в воздухе и воздухопла</w:t>
      </w:r>
      <w:r w:rsidRPr="00815ED5">
        <w:rPr>
          <w:rFonts w:ascii="Times New Roman" w:hAnsi="Times New Roman" w:cs="Times New Roman"/>
          <w:color w:val="0070C0"/>
          <w:sz w:val="16"/>
          <w:szCs w:val="16"/>
        </w:rPr>
        <w:softHyphen/>
        <w:t>ватель разбился насмерть.</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Подобный случай произошел несколько поз</w:t>
      </w:r>
      <w:r w:rsidRPr="00815ED5">
        <w:rPr>
          <w:rFonts w:ascii="Times New Roman" w:hAnsi="Times New Roman" w:cs="Times New Roman"/>
          <w:color w:val="0070C0"/>
          <w:sz w:val="16"/>
          <w:szCs w:val="16"/>
        </w:rPr>
        <w:softHyphen/>
        <w:t>же с поручиков Печеневым.</w:t>
      </w:r>
    </w:p>
    <w:p w14:paraId="6B13EB55" w14:textId="77777777" w:rsidR="00256266" w:rsidRDefault="00256266" w:rsidP="0083075A">
      <w:pPr>
        <w:spacing w:after="0"/>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/ЦГВПА,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493,</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3,</w:t>
      </w:r>
      <w:r>
        <w:rPr>
          <w:rFonts w:ascii="Times New Roman" w:hAnsi="Times New Roman" w:cs="Times New Roman"/>
          <w:color w:val="0070C0"/>
          <w:sz w:val="16"/>
          <w:szCs w:val="16"/>
        </w:rPr>
        <w:t xml:space="preserve"> д</w:t>
      </w:r>
      <w:r w:rsidRPr="00815ED5">
        <w:rPr>
          <w:rFonts w:ascii="Times New Roman" w:hAnsi="Times New Roman" w:cs="Times New Roman"/>
          <w:color w:val="0070C0"/>
          <w:sz w:val="16"/>
          <w:szCs w:val="16"/>
        </w:rPr>
        <w:t xml:space="preserve">. 142, </w:t>
      </w:r>
      <w:r>
        <w:rPr>
          <w:rFonts w:ascii="Times New Roman" w:hAnsi="Times New Roman" w:cs="Times New Roman"/>
          <w:color w:val="0070C0"/>
          <w:sz w:val="16"/>
          <w:szCs w:val="16"/>
        </w:rPr>
        <w:t>л</w:t>
      </w:r>
      <w:r w:rsidRPr="00815ED5">
        <w:rPr>
          <w:rFonts w:ascii="Times New Roman" w:hAnsi="Times New Roman" w:cs="Times New Roman"/>
          <w:color w:val="0070C0"/>
          <w:sz w:val="16"/>
          <w:szCs w:val="16"/>
        </w:rPr>
        <w:t>. 85/</w:t>
      </w:r>
      <w:r>
        <w:rPr>
          <w:rFonts w:ascii="Times New Roman" w:hAnsi="Times New Roman" w:cs="Times New Roman"/>
          <w:color w:val="0070C0"/>
          <w:sz w:val="16"/>
          <w:szCs w:val="16"/>
        </w:rPr>
        <w:t xml:space="preserve"> (23320).</w:t>
      </w:r>
    </w:p>
    <w:p w14:paraId="763810D7" w14:textId="77777777" w:rsidR="00256266" w:rsidRPr="00815ED5" w:rsidRDefault="00256266" w:rsidP="0083075A">
      <w:pPr>
        <w:spacing w:after="0" w:line="240" w:lineRule="auto"/>
        <w:jc w:val="both"/>
        <w:rPr>
          <w:rFonts w:ascii="Times New Roman" w:hAnsi="Times New Roman" w:cs="Times New Roman"/>
          <w:color w:val="0070C0"/>
          <w:sz w:val="16"/>
          <w:szCs w:val="16"/>
        </w:rPr>
      </w:pPr>
    </w:p>
    <w:p w14:paraId="6955FF20" w14:textId="4A523696" w:rsidR="00E879F2" w:rsidRPr="00FB4F67" w:rsidRDefault="00E879F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 (</w:t>
      </w:r>
      <w:r w:rsidRPr="00FB4F67">
        <w:rPr>
          <w:rFonts w:ascii="Times New Roman" w:hAnsi="Times New Roman" w:cs="Times New Roman"/>
          <w:color w:val="0070C0"/>
          <w:sz w:val="16"/>
          <w:szCs w:val="16"/>
        </w:rPr>
        <w:t>19</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июля 1917 г. на «Барановическом направлении самолетом противника сожжен наш аэростат, наблюдатели остались невредимыми». В тот же день на «Львовском направлении в нашем расположении </w:t>
      </w:r>
      <w:bookmarkStart w:id="195" w:name="bookmark844"/>
      <w:bookmarkStart w:id="196" w:name="bookmark845"/>
      <w:r w:rsidRPr="00FB4F67">
        <w:rPr>
          <w:rFonts w:ascii="Times New Roman" w:hAnsi="Times New Roman" w:cs="Times New Roman"/>
          <w:color w:val="0070C0"/>
          <w:sz w:val="16"/>
          <w:szCs w:val="16"/>
        </w:rPr>
        <w:t>спланировал поврежденный неприятельский самолет. Летчики взяты в плен, аппарат цел». Одновременно воздушный противник сбросил в Монастержиско около 20 бомб. Через день на Карпатском участке Юго-Западного фронта ружейным огнем сбит австрийский аэроплан (23405).</w:t>
      </w:r>
      <w:bookmarkEnd w:id="195"/>
      <w:bookmarkEnd w:id="196"/>
    </w:p>
    <w:p w14:paraId="232962C4" w14:textId="77777777" w:rsidR="00E879F2" w:rsidRPr="00FB4F67" w:rsidRDefault="00E879F2" w:rsidP="0083075A">
      <w:pPr>
        <w:spacing w:after="0" w:line="240" w:lineRule="auto"/>
        <w:jc w:val="both"/>
        <w:rPr>
          <w:rFonts w:ascii="Times New Roman" w:hAnsi="Times New Roman" w:cs="Times New Roman"/>
          <w:color w:val="0070C0"/>
          <w:sz w:val="16"/>
          <w:szCs w:val="16"/>
        </w:rPr>
      </w:pPr>
    </w:p>
    <w:p w14:paraId="606C7A90" w14:textId="77777777" w:rsidR="00A8785D" w:rsidRPr="002F2FDF" w:rsidRDefault="00A878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6 (19) июля</w:t>
      </w:r>
      <w:r w:rsidRPr="002F2FDF">
        <w:rPr>
          <w:rFonts w:ascii="Times New Roman" w:hAnsi="Times New Roman" w:cs="Times New Roman"/>
          <w:color w:val="000000" w:themeColor="text1"/>
          <w:kern w:val="2"/>
          <w:sz w:val="16"/>
          <w:szCs w:val="16"/>
        </w:rPr>
        <w:t xml:space="preserve"> в 1917 году русские войска генерала Лавра Корнилова начинают наступление в Галиции, захватывая до 7 тысяч пленных (14944).</w:t>
      </w:r>
    </w:p>
    <w:p w14:paraId="3CA6CCF7" w14:textId="77777777" w:rsidR="00A8785D" w:rsidRPr="002F2FDF" w:rsidRDefault="00A8785D" w:rsidP="0083075A">
      <w:pPr>
        <w:spacing w:after="0" w:line="240" w:lineRule="auto"/>
        <w:jc w:val="both"/>
        <w:rPr>
          <w:rFonts w:ascii="Times New Roman" w:hAnsi="Times New Roman" w:cs="Times New Roman"/>
          <w:color w:val="000000" w:themeColor="text1"/>
          <w:kern w:val="2"/>
          <w:sz w:val="16"/>
          <w:szCs w:val="16"/>
        </w:rPr>
      </w:pPr>
    </w:p>
    <w:p w14:paraId="6611F3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июля 1917 на Юго-Восточном фронте немецкие войска перешли в наступление на участке 11 армии и начался Тарнопольский прорыв (2569,35), который закончился 17 (30) июля (3908,269), а по другим данным - 4 августа 1917 (3907,91).</w:t>
      </w:r>
    </w:p>
    <w:p w14:paraId="59BFF1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AC07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июля 1917 после сильной артиллерийской подготовки противник перешел в наступление, и русская деморализованная пехота стала панически отходить - начался Тарнопольский прорыв. В этих условиях авиаотряды, выдвинутые на отдельных участках фронта к передовой, оказались под угрозой захвата или окружения. Только благодаря личной инициативе командиров удалось спасти летчиков и самолеты. Так, 2-я БАГ, расположенная у деревень Гизилювка и Выселки, в ночь на 7 июля была приведена в полную готовность и с рассветом, когда артиллерийские снаряды стали залетать на аэродромы, перелетела в Тарнополь. К вечеру того дня семь авиаотрядов армии были сосредоточены в Тарнополе и еще четыре - в Микулинце. Скопление более 50 самолетов без укрытий и маскировки привлекло внимание противника. В тот же вечер более 12 германских аэропланов совершили налет на Тарнополь и сбросили до 30 бомб, упавших в окрестностях аэродрома. Для отражения налета поднялись 5-6 истребителей, которые рассеяли немецкую эскадрилью, при этом один неприятельский самолет был сбит и, объятый пламенем, упал в расположение русских войск. В условиях безудержного отхода наземных частей уже 8 июля авиаотряды из Тарнополя перелетели на аэродромы в районе Збаража. Авиачасти VII-й армии начали отступление 8 июля, и 13-го они были сосредоточены в районе Ярмолинцы. Сюда же перелетели оба отряда ЭВК, вскоре к ним присоединились 1-й артиллерийский и 12-й корпусной АО VI II-и армии. Дальнейшее отступление авиации ХI-й и VII-й армий происходило бессистемно и панически, с потерей ценного авиационного имущества и авариями самолетов. Так, было сожжено 18 совершенно новых самолетов, среди которых истребители "Ньюпор-24бис". Лишь с приближением к Волочиску паника улеглась, и дальнейший отход шел нормально. Более планомерно отступали авиачасти VIII-й армии из Станислава и Коломыи. Они потеряли только три неисправных самолета, которые пришлось сжечь. Командир авиадивизиона получил приказ свести все отряды в одну группу и отступать совместно (11237).</w:t>
      </w:r>
    </w:p>
    <w:p w14:paraId="6996BB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Несмотря на тяжелые условия отступления авиаторы не прекращали повседневной работы и выполняли все распоряжения командования. Ежедневно велась разведка - летчики своевременно сообщали о силах противника, направлении наступления и подходе неприятельских подкреплений. Так, вечером 7 июля авиаторами Х1-й армии были обнаружены в районе Бялковце-Осташовце-Езерна две германские дивизии (как потом оказалось, 1-я и 2-я прусские гвардейские). В условиях отступления другие виды боевой деятельности авиаотрядов были бессистемными и носили преимущественно индивидуальный характер. В значительной мере затруднила работу дождливая и ветреная погода. И все же по мере своих возможностей летчики корректировали артогонь, проводили бомбардировки, вступали в воздушные бои. Например, 10 июля штабс-капитан Мордах из 3-го армейского авиаотряда на истребителе "Спад-7" (№ 149) во время патрулирования участка фронта Станислав-Коломыя-Снятын атаковал австрийский "Бранденбург". После короткого боя неприятельский самолет получил значительные повреждения и опустился в двух верстах юго-восточнее Тысменицы. Наблюдатель был убит, а раненому летчику удалось скрыться в ближайшем лесу. В целом за два месяца авиаотряды Юго-Западного фронта совершили 3983 полета общей продолжительностью 5928 ч. Русские летчики провели около 200 воздушных боев, в которых сбили 23 самолета (11237).</w:t>
      </w:r>
    </w:p>
    <w:p w14:paraId="56A92E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5AD678" w14:textId="77777777" w:rsidR="007A359D" w:rsidRPr="002F2FDF" w:rsidRDefault="007A359D"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 xml:space="preserve">6 (19) июля 1917 г.н.с. германские войска прорывают русский фронт в Карпатах. </w:t>
      </w:r>
      <w:r w:rsidRPr="002F2FDF">
        <w:rPr>
          <w:rFonts w:ascii="Times New Roman" w:eastAsia="Times New Roman" w:hAnsi="Times New Roman" w:cs="Times New Roman"/>
          <w:bCs/>
          <w:iCs/>
          <w:color w:val="000000" w:themeColor="text1"/>
          <w:kern w:val="2"/>
          <w:sz w:val="16"/>
          <w:szCs w:val="16"/>
          <w:lang w:eastAsia="ru-RU"/>
        </w:rPr>
        <w:t>А.Зайончковский «Мировая война 1914-1918 гг.», М., Воениздат, 1938:</w:t>
      </w:r>
    </w:p>
    <w:p w14:paraId="3EE27B75" w14:textId="77777777" w:rsidR="007A359D" w:rsidRPr="002F2FDF" w:rsidRDefault="007A359D"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bCs/>
          <w:color w:val="000000" w:themeColor="text1"/>
          <w:kern w:val="2"/>
          <w:sz w:val="16"/>
          <w:szCs w:val="16"/>
          <w:lang w:eastAsia="ru-RU"/>
        </w:rPr>
        <w:t xml:space="preserve">«Наступление германцев началось </w:t>
      </w:r>
      <w:r w:rsidRPr="002F2FDF">
        <w:rPr>
          <w:rFonts w:ascii="Times New Roman" w:eastAsia="Times New Roman" w:hAnsi="Times New Roman" w:cs="Times New Roman"/>
          <w:color w:val="000000" w:themeColor="text1"/>
          <w:kern w:val="2"/>
          <w:sz w:val="16"/>
          <w:szCs w:val="16"/>
          <w:lang w:eastAsia="ru-RU"/>
        </w:rPr>
        <w:t>19 июля (1917)</w:t>
      </w:r>
      <w:r w:rsidRPr="002F2FDF">
        <w:rPr>
          <w:rFonts w:ascii="Times New Roman" w:eastAsia="Times New Roman" w:hAnsi="Times New Roman" w:cs="Times New Roman"/>
          <w:bCs/>
          <w:color w:val="000000" w:themeColor="text1"/>
          <w:kern w:val="2"/>
          <w:sz w:val="16"/>
          <w:szCs w:val="16"/>
          <w:lang w:eastAsia="ru-RU"/>
        </w:rPr>
        <w:t>, причем прорыв сосредоточенной массы был направлен против 11-й армии на фронте Звижень-Поморжаны. После двухдневного боя Русский фронт был здесь прорван, и 11-я армия покатилась назад, обнажив правый фланг соседней 7-й армии. Катастрофа могла бы иметь грандиозные размеры, если бы германцы бросили свою кавалерию в образовавшийся промежуток, но они этого не сделали. Быстрое отступление 11-й армии вынудило к отходу и 7-ю; она в свою очередь обнажила правый фланг 8-й армии. Это заставило ген. Корнилова, ставшего уже во главе Юго-западного фронта, начать отход 8-й армии, удерживая, однако, у Кимполунга стык с Румынским фронтом (17326).</w:t>
      </w:r>
    </w:p>
    <w:p w14:paraId="11A70462" w14:textId="77777777" w:rsidR="007A359D" w:rsidRPr="002F2FDF" w:rsidRDefault="007A359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5FE5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6 по 12 июля </w:t>
      </w:r>
      <w:r w:rsidR="00880559" w:rsidRPr="002F2FDF">
        <w:rPr>
          <w:rFonts w:ascii="Times New Roman" w:hAnsi="Times New Roman" w:cs="Times New Roman"/>
          <w:color w:val="000000" w:themeColor="text1"/>
          <w:kern w:val="2"/>
          <w:sz w:val="16"/>
          <w:szCs w:val="16"/>
        </w:rPr>
        <w:t xml:space="preserve">(19 – 25) </w:t>
      </w:r>
      <w:r w:rsidRPr="002F2FDF">
        <w:rPr>
          <w:rFonts w:ascii="Times New Roman" w:hAnsi="Times New Roman" w:cs="Times New Roman"/>
          <w:color w:val="000000" w:themeColor="text1"/>
          <w:kern w:val="2"/>
          <w:sz w:val="16"/>
          <w:szCs w:val="16"/>
        </w:rPr>
        <w:t xml:space="preserve">1917 русские летчики неоднократно вылетали для атак неприятельских объектов на Румынском фронте. Так, 6 июля более 210 кг бомб было сброшено на Бельбор и на станцию Троян. 10 июля состоялся большой налет на Роману, в ходе которого авиаторы израсходовали 120 бомб. В предпоследний день наступления 11 июля около 200 бомб было сброшено в районе деревень Домница и Раковица. Весь период наступления русские истребители несли постоянное дежурство на ответственных участках фронта, однако из-за малочисленности с трудом могли противостоять неприятельской авиации, которая проявляла большую активность. При сопровождении разведчиков и корректировщиков многим истребителям не хватало боевого опыта и, ввязавшись в бой, они часто бросали охраняемый самолет, что вело к потерям. Воздушные бои происходили почти ежедневно, большинство из них носило индивидуальный характер, хотя происходили и групповые схватки с участием двух-трех пар. Всего за этот период было сбито 20 самолетов, из них 8 - летчиками франко-румынских эскадрилий. Быстро оправившись от удара, австро-германские войска 25 июля перешли в наступление в направлении Фокшаны-Окна. Эта внезапная активизация стала неожиданностью для русского командования, хотя еще 20 июля воздушная разведка доставила сведения о подготовке наступления. Управление авиацией было частично нарушено, однако летчики проявили энергичную деятельность по всему фронту, в том числе во время контратак они поддерживали пулеметным огнем пехоту, снижаясь над полем боя до 500-300 м. 28 июля был произведен групповой налет на Радауц - восемь самолетов сбросили на скопления неприятельских войск 260 кг бомб. За восемь дней противнику удалось лишь незначительно потеснить русские войска, и 30 июля фронт стабилизировался. К этому времени истребители сбили в воздушных боях 5 самолетов. 27 августа IV-й армией было предпринято еще одно наступление в направлении Окна, но оно не дало нужного эффекта. В этот период удачно проявила себя авиация IV-го дивизиона. Когда пехота пошла в наступление, 11 самолетов атаковали ближайший тыл противника, используя свои пулеметы и сбросив 110 бомб. Взятые пленные показали, что воздушные атаки привели к значительным потерям и оказали сильный деморализующий эффект. Производились и удачные групповые бомбардировки. Так, во время ночного налета на станцию Фокшаны было сброшено около 1000 кг бомб. Поданным разведки, в пределах Румынского фронта находилось до 20 австрийских авиарот. Количественно и качественно противник превосходил русскую авиацию. Особенно интенсивно австрийские летчики работали во время наступления своих войск. 8 районах Фокшаны, Текучио, реки Серет и др. отмечались полеты 5-6 самолетов ежедневно на высотах 3500-4000 м. Дальние разведчики неприятеля достигали района Ясс. 18 и 23 июля противник бомбил объекты в Кемпуриле, а 24 июля во время отхода русских артиллеристов из р-на Чиуслей на </w:t>
      </w:r>
      <w:r w:rsidRPr="002F2FDF">
        <w:rPr>
          <w:rFonts w:ascii="Times New Roman" w:hAnsi="Times New Roman" w:cs="Times New Roman"/>
          <w:color w:val="000000" w:themeColor="text1"/>
          <w:kern w:val="2"/>
          <w:sz w:val="16"/>
          <w:szCs w:val="16"/>
        </w:rPr>
        <w:lastRenderedPageBreak/>
        <w:t>бреющем полете расстреливал их позиции. 25 июля 8 самолетов совершили налет на станцию Аджуд, где взорвали русский поезд с боеприпасами. Излюбленной целью неприятельских истребителей были привязные аэростаты: с 10 июня по 18 июля они уничтожили 9 баллонов из 11 потерянных русскими за тот период (11237).</w:t>
      </w:r>
    </w:p>
    <w:p w14:paraId="2CE193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51DECB" w14:textId="4C89206B" w:rsidR="00E879F2" w:rsidRPr="00FB4F67" w:rsidRDefault="00E879F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С </w:t>
      </w:r>
      <w:r>
        <w:rPr>
          <w:rFonts w:ascii="Times New Roman" w:hAnsi="Times New Roman" w:cs="Times New Roman"/>
          <w:color w:val="0070C0"/>
          <w:sz w:val="16"/>
          <w:szCs w:val="16"/>
        </w:rPr>
        <w:t>6 по 12 (</w:t>
      </w:r>
      <w:r w:rsidRPr="00FB4F67">
        <w:rPr>
          <w:rFonts w:ascii="Times New Roman" w:hAnsi="Times New Roman" w:cs="Times New Roman"/>
          <w:color w:val="0070C0"/>
          <w:sz w:val="16"/>
          <w:szCs w:val="16"/>
        </w:rPr>
        <w:t>19 по 25 июля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перед началом и в ходе наступления в Румынии наши летчики выполнили несколько одиночных и групповых рейдов в ближний тыл германских и австро-германских войск. Бомбоштурмовым ударам подверглись важные объекты, транспортные узлы и подразделения противника в районе населенных пунктов Бельбор, Троян, Хержи, Дьемеш, Роману, Домница и Раковица.</w:t>
      </w:r>
    </w:p>
    <w:p w14:paraId="33DCFC72" w14:textId="77777777" w:rsidR="00E879F2" w:rsidRPr="00FB4F67" w:rsidRDefault="00E879F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Большую работу проводили и летчики-истребители. На Румынском фронте численность нашей ИА значительно уступала неприятельской. Техническая изношенность самолетного парка компенсировалась напряженной работой и личным мужеством русских пилотов. Помимо воздушного патрулирования и перехвата вражеских летательных аппаратов, им приходилось решать дополнительные задачи по обеспечению охраны разведывательных и артиллерийских самолетов над линией фронта и территорией, занятой противником.</w:t>
      </w:r>
    </w:p>
    <w:p w14:paraId="3FCD6E11" w14:textId="77777777" w:rsidR="00E879F2" w:rsidRPr="00FB4F67" w:rsidRDefault="00E879F2" w:rsidP="0083075A">
      <w:pPr>
        <w:spacing w:after="0" w:line="240" w:lineRule="auto"/>
        <w:jc w:val="both"/>
        <w:rPr>
          <w:rFonts w:ascii="Times New Roman" w:hAnsi="Times New Roman" w:cs="Times New Roman"/>
          <w:color w:val="0070C0"/>
          <w:sz w:val="16"/>
          <w:szCs w:val="16"/>
        </w:rPr>
      </w:pPr>
      <w:bookmarkStart w:id="197" w:name="bookmark846"/>
      <w:r w:rsidRPr="00FB4F67">
        <w:rPr>
          <w:rFonts w:ascii="Times New Roman" w:hAnsi="Times New Roman" w:cs="Times New Roman"/>
          <w:color w:val="0070C0"/>
          <w:sz w:val="16"/>
          <w:szCs w:val="16"/>
        </w:rPr>
        <w:t>Организация дежурства ИА осуществлялась на аэродромах (в готовности к немедленному вылету по команде), а в часы наиболее интенсивной деятельности неприятельских летчиков - ведения продолжительного барража на отдельных участках фронта. Каждый русский летчик в среднем совершал по 2-3 боевых вылета в день, решая при этом различные задачи. Воздушное противостояние сопровождалось почти ежедневными воздушными боями, в которых наши, французские и румынские истребители чаще всего выходили победителями. Атакам подвергался каждый неприятельский самолет, обнаруженный в тылу войск Румынского фронта. В период наступления силами русских и франко-румынских истребителей в воздушных боях было уничтожено пять австро-германских самолетов. Один из них на свой счет записал врид командира 4-го АД капитан А.И. Семенов, сбивший 23 июля в районе д. Сербешти (Румыния) неприятельский летательный аппарат.</w:t>
      </w:r>
      <w:bookmarkEnd w:id="197"/>
    </w:p>
    <w:p w14:paraId="4704550C" w14:textId="77777777" w:rsidR="00E879F2" w:rsidRPr="00FB4F67" w:rsidRDefault="00E879F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Через день в районе Богданешти (Бессарабия) вследствие прицельного зенитного огня совершил вынужденную посадку в расположении русских войск «Бранденбург» австрийской 44-й авиароты, приданной 218-й германской дивизии (по другим данным - 8-му австрийскому корпусу). Экипаж самолета был пленен, летательный аппарат в полной исправности отправлен в один из ближайших наших авиационных парков. Позднее в районе Фокшан был сбит самолет из состава германского 42-го авиационного отряда, обеспечивавшего деятельность 1-го германского резервного корпуса генерала фон Моргена (23405).</w:t>
      </w:r>
    </w:p>
    <w:p w14:paraId="0C3F8328" w14:textId="77777777" w:rsidR="00E879F2" w:rsidRPr="00FB4F67" w:rsidRDefault="00E879F2" w:rsidP="0083075A">
      <w:pPr>
        <w:spacing w:after="0" w:line="240" w:lineRule="auto"/>
        <w:jc w:val="both"/>
        <w:rPr>
          <w:rFonts w:ascii="Times New Roman" w:hAnsi="Times New Roman" w:cs="Times New Roman"/>
          <w:color w:val="0070C0"/>
          <w:sz w:val="16"/>
          <w:szCs w:val="16"/>
        </w:rPr>
      </w:pPr>
    </w:p>
    <w:p w14:paraId="64F31F3D" w14:textId="77777777" w:rsidR="00E625B9" w:rsidRPr="002F2FDF" w:rsidRDefault="00E625B9" w:rsidP="0083075A">
      <w:pPr>
        <w:pStyle w:val="ae"/>
        <w:spacing w:before="0" w:after="0"/>
        <w:jc w:val="both"/>
        <w:rPr>
          <w:color w:val="000000" w:themeColor="text1"/>
          <w:kern w:val="2"/>
          <w:sz w:val="16"/>
          <w:szCs w:val="16"/>
        </w:rPr>
      </w:pPr>
      <w:r w:rsidRPr="002F2FDF">
        <w:rPr>
          <w:color w:val="000000" w:themeColor="text1"/>
          <w:kern w:val="2"/>
          <w:sz w:val="16"/>
          <w:szCs w:val="16"/>
        </w:rPr>
        <w:t>6 (19) июля 1917 германские и австрийские войска перешли в контрнаступление на части русского Юго-Западного фронта, обескровленные только завершившимся неудачным «Июньским наступлением» в Галиции в районе Львова. Для этого немецкое командование перебросило на русский фронт резервы с других театров военных действий и сформировало специальную ударную группу — так называемый «Злочевский отряд». Основной удар она нанесла в направлении Тернополя. На пути германских и австрийских отборных частей оказались уже не русские «ударные батальоны», понесшие тяжелые потери в ходе «июньского наступления», а деморализованные большевистской агитацией полки, не оказывавшие почти никакого сопротивления. К примеру, был случай, когда атака трех немецких рот обратила в бегство две русские дивизии — 126-ю и 2-ю финляндскую. Некоторое сопротивление оказывали лишь более дисциплинированные кавалерийские части (17045).</w:t>
      </w:r>
    </w:p>
    <w:p w14:paraId="5E0254B4" w14:textId="77777777" w:rsidR="00E625B9" w:rsidRPr="002F2FDF" w:rsidRDefault="00E625B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D43536" w14:textId="6C26B05F" w:rsidR="00E879F2" w:rsidRPr="00FB4F67" w:rsidRDefault="00E879F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 (</w:t>
      </w:r>
      <w:r w:rsidRPr="00FB4F67">
        <w:rPr>
          <w:rFonts w:ascii="Times New Roman" w:hAnsi="Times New Roman" w:cs="Times New Roman"/>
          <w:color w:val="0070C0"/>
          <w:sz w:val="16"/>
          <w:szCs w:val="16"/>
        </w:rPr>
        <w:t>19</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июля 1917 г. австро-германские войска, используя химическое оружие, перешли в контрнаступление и нанесли главный удар встык 11-й и 7-й армий русского Юго-Западного фронта. Не оказывая серьезного сопротивления противнику, наши части начали покидать свои позиции и отходить в тыловые районы. В создавшихся условиях возникла угроза захвата авиационных отрядов на прифронтовых полевых аэродромах, что потребовало их срочной эвакуации. 2-я БАГ была передислоцирована в г. Тарнополь, где на местном аэродроме к вечеру 20 июля сосредоточилось до семи авиаотрядов армии и еще четыре - в Микулинце (20 км от Тарнополя).</w:t>
      </w:r>
    </w:p>
    <w:p w14:paraId="050A3814" w14:textId="77777777" w:rsidR="00E879F2" w:rsidRPr="00FB4F67" w:rsidRDefault="00E879F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Немецкая авиация вскоре обнаружила большое скопление авиационной техники русских (более 50 самолетов) на открытой местности и совершила на Тарнополь групповой налет (12 самолетов, по другим данным - 16). На перехват противника в небо было поднято 5-6 дежурных истребителей. В этом бою геройски погиб командир 7</w:t>
      </w:r>
      <w:r w:rsidRPr="00FB4F67">
        <w:rPr>
          <w:rFonts w:ascii="Times New Roman" w:hAnsi="Times New Roman" w:cs="Times New Roman"/>
          <w:color w:val="0070C0"/>
          <w:sz w:val="16"/>
          <w:szCs w:val="16"/>
        </w:rPr>
        <w:softHyphen/>
        <w:t>го ИАО корнет Г.В. Гильшер, вступивший в неравную схватку с семью самолетами противника. Встретив отчаянное сопротивление, неприятель, несмотря на подавляющее преимущество, был вынужден отказаться от бомбардировки города и сбросил бомбы на его окраинах. В этом бою противник недосчитался одного своего самолета (23405).</w:t>
      </w:r>
    </w:p>
    <w:p w14:paraId="74161A79" w14:textId="77777777" w:rsidR="00E879F2" w:rsidRPr="00FB4F67" w:rsidRDefault="00E879F2" w:rsidP="0083075A">
      <w:pPr>
        <w:spacing w:after="0" w:line="240" w:lineRule="auto"/>
        <w:jc w:val="both"/>
        <w:rPr>
          <w:rFonts w:ascii="Times New Roman" w:hAnsi="Times New Roman" w:cs="Times New Roman"/>
          <w:color w:val="0070C0"/>
          <w:sz w:val="16"/>
          <w:szCs w:val="16"/>
        </w:rPr>
      </w:pPr>
    </w:p>
    <w:p w14:paraId="1A786CA9" w14:textId="77777777" w:rsidR="007A359D" w:rsidRPr="002F2FDF" w:rsidRDefault="007A359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6 (19) июля</w:t>
      </w:r>
      <w:r w:rsidRPr="002F2FDF">
        <w:rPr>
          <w:rFonts w:ascii="Times New Roman" w:hAnsi="Times New Roman" w:cs="Times New Roman"/>
          <w:bCs/>
          <w:color w:val="000000" w:themeColor="text1"/>
          <w:kern w:val="2"/>
          <w:sz w:val="16"/>
          <w:szCs w:val="16"/>
        </w:rPr>
        <w:t xml:space="preserve"> 1</w:t>
      </w:r>
      <w:r w:rsidR="00AF1055" w:rsidRPr="002F2FDF">
        <w:rPr>
          <w:rFonts w:ascii="Times New Roman" w:hAnsi="Times New Roman" w:cs="Times New Roman"/>
          <w:bCs/>
          <w:color w:val="000000" w:themeColor="text1"/>
          <w:kern w:val="2"/>
          <w:sz w:val="16"/>
          <w:szCs w:val="16"/>
        </w:rPr>
        <w:t>9</w:t>
      </w:r>
      <w:r w:rsidRPr="002F2FDF">
        <w:rPr>
          <w:rFonts w:ascii="Times New Roman" w:hAnsi="Times New Roman" w:cs="Times New Roman"/>
          <w:bCs/>
          <w:color w:val="000000" w:themeColor="text1"/>
          <w:kern w:val="2"/>
          <w:sz w:val="16"/>
          <w:szCs w:val="16"/>
        </w:rPr>
        <w:t xml:space="preserve">17 вечером в Петроград прибыл Керенский. На Царскосельском вокзале его встречал генерал Половцев. Вдоль перрона в качестве почетного караула был выстроен отряд полковника Ребиндера, отличившийся при подавлении мятежа. Керенский был зол и раздражителен. Причина этого очевидна. Наведение порядка в Петрограде произошло без малейшего его участия. Его поспешный отъезд из столицы был воспринят многими как бегство, а последующее бездействие — как проявление слабости. Половцев поспешил еще больше испортить настроение Керенскому. С дороги тот отправил телеграмму, требуя, чтобы к его встрече вдоль улиц были выстроены прибывшие с фронта полки. </w:t>
      </w:r>
      <w:r w:rsidRPr="002F2FDF">
        <w:rPr>
          <w:rFonts w:ascii="Times New Roman" w:hAnsi="Times New Roman" w:cs="Times New Roman"/>
          <w:bCs/>
          <w:iCs/>
          <w:color w:val="000000" w:themeColor="text1"/>
          <w:kern w:val="2"/>
          <w:sz w:val="16"/>
          <w:szCs w:val="16"/>
        </w:rPr>
        <w:t>Но социалисты из Таврического дворца заявили по этому поводу протест.</w:t>
      </w:r>
      <w:r w:rsidRPr="002F2FDF">
        <w:rPr>
          <w:rFonts w:ascii="Times New Roman" w:hAnsi="Times New Roman" w:cs="Times New Roman"/>
          <w:bCs/>
          <w:color w:val="000000" w:themeColor="text1"/>
          <w:kern w:val="2"/>
          <w:sz w:val="16"/>
          <w:szCs w:val="16"/>
        </w:rPr>
        <w:t xml:space="preserve"> Премьер-министр князь Львов тоже счел, что праздновать триумф в настоящей обстановке было бы ошибочно, и своей властью отменил распоряжение Керенского. В итоге Керенский приехал в штаб военного округа, где по-прежнему заседало правительство, находясь в самом мрачном расположении духа. Он с порога начал кричать на министров, обвиняя их в том, что они допустили бунт. Обратим внимание — прежде Керенский запросто мог устроить истерику на заседании правительства (в этом был его фирменный стиль), но никогда не позволял себе кричать на своих коллег по кабинету. Теперь Керенский стал другим — всеобщее поклонение незаметно для него самого изменило его характер. Он действительно стал верить в свое великое предназначение, и это позволяло ему смотреть на других свысока (17326).</w:t>
      </w:r>
    </w:p>
    <w:p w14:paraId="18ED5F1F" w14:textId="77777777" w:rsidR="007A359D" w:rsidRPr="002F2FDF" w:rsidRDefault="007A359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66E5E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78FA1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3CDE67" w14:textId="77777777" w:rsidR="00D0336F" w:rsidRPr="002F2FDF" w:rsidRDefault="00D0336F"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 xml:space="preserve">6 (19) июля 1917 сводный отряд Кузьмина приготовился штурмовать при поддержке тяжёлой артиллерии особняк Кшесинской, однако большевики решили не защищать его. Были арестованы семь большевиков, среди которых был охранник В. И. Ленина — </w:t>
      </w:r>
      <w:hyperlink r:id="rId408" w:tooltip="Васильев, Василий Ефимович" w:history="1">
        <w:r w:rsidRPr="002F2FDF">
          <w:rPr>
            <w:rFonts w:ascii="Times New Roman" w:eastAsia="Times New Roman" w:hAnsi="Times New Roman" w:cs="Times New Roman"/>
            <w:color w:val="000000" w:themeColor="text1"/>
            <w:kern w:val="2"/>
            <w:sz w:val="16"/>
            <w:szCs w:val="16"/>
            <w:lang w:eastAsia="ru-RU"/>
          </w:rPr>
          <w:t>Василий Васильев</w:t>
        </w:r>
      </w:hyperlink>
      <w:r w:rsidRPr="002F2FDF">
        <w:rPr>
          <w:rFonts w:ascii="Times New Roman" w:eastAsia="Times New Roman" w:hAnsi="Times New Roman" w:cs="Times New Roman"/>
          <w:color w:val="000000" w:themeColor="text1"/>
          <w:kern w:val="2"/>
          <w:sz w:val="16"/>
          <w:szCs w:val="16"/>
          <w:lang w:eastAsia="ru-RU"/>
        </w:rPr>
        <w:t>, которые всё ещё занимались эвакуацией партийных документов.</w:t>
      </w:r>
    </w:p>
    <w:p w14:paraId="662CC9DE" w14:textId="77777777" w:rsidR="00D0336F" w:rsidRPr="002F2FDF" w:rsidRDefault="00D0336F"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 xml:space="preserve">После переговоров, которые от лица ЦК РСДРП(б) вёл Сталин, 6 </w:t>
      </w:r>
      <w:r w:rsidR="00A8785D" w:rsidRPr="002F2FDF">
        <w:rPr>
          <w:rFonts w:ascii="Times New Roman" w:eastAsia="Times New Roman" w:hAnsi="Times New Roman" w:cs="Times New Roman"/>
          <w:color w:val="000000" w:themeColor="text1"/>
          <w:kern w:val="2"/>
          <w:sz w:val="16"/>
          <w:szCs w:val="16"/>
          <w:lang w:eastAsia="ru-RU"/>
        </w:rPr>
        <w:t xml:space="preserve">(19) </w:t>
      </w:r>
      <w:r w:rsidRPr="002F2FDF">
        <w:rPr>
          <w:rFonts w:ascii="Times New Roman" w:eastAsia="Times New Roman" w:hAnsi="Times New Roman" w:cs="Times New Roman"/>
          <w:color w:val="000000" w:themeColor="text1"/>
          <w:kern w:val="2"/>
          <w:sz w:val="16"/>
          <w:szCs w:val="16"/>
          <w:lang w:eastAsia="ru-RU"/>
        </w:rPr>
        <w:t xml:space="preserve">июля сдались солдаты и матросы в Петропавловской крепости, решившие не делать из себя «мучеников революции». Они были разоружены и отправлены в Кронштадт. </w:t>
      </w:r>
    </w:p>
    <w:p w14:paraId="5F49292E" w14:textId="77777777" w:rsidR="00D0336F" w:rsidRPr="002F2FDF" w:rsidRDefault="00D0336F"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Суханов сообщает, что переговоры с Петропавловской крепостью также пытались вести Каменев Л. Б. и меньшевик Либер, однако по недоразумению Каменев был на какое-то время самовольно арестован солдатами, также был арестован и Либер, которого приняли за Зиновьева.</w:t>
      </w:r>
    </w:p>
    <w:p w14:paraId="14BDBA42" w14:textId="2C92C59B" w:rsidR="00D0336F" w:rsidRPr="002F2FDF" w:rsidRDefault="00D0336F"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6 (19) июля в столицу начинают прибывать вызванные с фронта войска. Утром прибыли самокатчики, бронедивизион и эскадрон малороссийских драгун. Вечером в Петроград прибыл с фронта отряд, направленный Керенским, в составе пехотной бригады, кавалерийской дивизии и батальона самокатчиков. Во главе отряда Керенским был поставлен некий прапорщик Г.</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П.</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 xml:space="preserve">Мазуренко (меньшевик, член </w:t>
      </w:r>
      <w:hyperlink r:id="rId409" w:tooltip="ВЦИК" w:history="1">
        <w:r w:rsidRPr="002F2FDF">
          <w:rPr>
            <w:rFonts w:ascii="Times New Roman" w:eastAsia="Times New Roman" w:hAnsi="Times New Roman" w:cs="Times New Roman"/>
            <w:color w:val="000000" w:themeColor="text1"/>
            <w:kern w:val="2"/>
            <w:sz w:val="16"/>
            <w:szCs w:val="16"/>
            <w:lang w:eastAsia="ru-RU"/>
          </w:rPr>
          <w:t>ВЦИК</w:t>
        </w:r>
      </w:hyperlink>
      <w:r w:rsidRPr="002F2FDF">
        <w:rPr>
          <w:rFonts w:ascii="Times New Roman" w:eastAsia="Times New Roman" w:hAnsi="Times New Roman" w:cs="Times New Roman"/>
          <w:color w:val="000000" w:themeColor="text1"/>
          <w:kern w:val="2"/>
          <w:sz w:val="16"/>
          <w:szCs w:val="16"/>
          <w:lang w:eastAsia="ru-RU"/>
        </w:rPr>
        <w:t>) с полковником Параделовым в роли начальника штаба. Прибывшие с фронта силы насчитывали, впрочем, всего 10 тысяч человек, значительно уступая в численности Петроградскому гарнизону.</w:t>
      </w:r>
    </w:p>
    <w:p w14:paraId="4D9F22B5" w14:textId="77777777" w:rsidR="00D0336F" w:rsidRPr="002F2FDF" w:rsidRDefault="00D0336F"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Милиция в июльские дни большевистского выступления оказалась несостоятельной и не способной обеспечить порядок на улицах столицы. В середине июля министр внутренних дел в очередном указе признал, что милиция оказалась «не на высоте положения».</w:t>
      </w:r>
    </w:p>
    <w:p w14:paraId="6D036473" w14:textId="77777777" w:rsidR="00D0336F" w:rsidRPr="002F2FDF" w:rsidRDefault="00D0336F"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 xml:space="preserve">В тот же день в столицу прибыл с фронта </w:t>
      </w:r>
      <w:hyperlink r:id="rId410" w:tooltip="Керенский, Александр Фёдорович" w:history="1">
        <w:r w:rsidRPr="002F2FDF">
          <w:rPr>
            <w:rFonts w:ascii="Times New Roman" w:eastAsia="Times New Roman" w:hAnsi="Times New Roman" w:cs="Times New Roman"/>
            <w:color w:val="000000" w:themeColor="text1"/>
            <w:kern w:val="2"/>
            <w:sz w:val="16"/>
            <w:szCs w:val="16"/>
            <w:lang w:eastAsia="ru-RU"/>
          </w:rPr>
          <w:t>Керенский А. Ф.</w:t>
        </w:r>
      </w:hyperlink>
      <w:r w:rsidRPr="002F2FDF">
        <w:rPr>
          <w:rFonts w:ascii="Times New Roman" w:eastAsia="Times New Roman" w:hAnsi="Times New Roman" w:cs="Times New Roman"/>
          <w:color w:val="000000" w:themeColor="text1"/>
          <w:kern w:val="2"/>
          <w:sz w:val="16"/>
          <w:szCs w:val="16"/>
          <w:lang w:eastAsia="ru-RU"/>
        </w:rPr>
        <w:t xml:space="preserve"> По пути в Петроград вагон с Керенским был частично разрушен взрывом гранаты («бомбы») (17029).</w:t>
      </w:r>
    </w:p>
    <w:p w14:paraId="363182CB" w14:textId="77777777" w:rsidR="00D0336F" w:rsidRPr="002F2FDF" w:rsidRDefault="00D0336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7378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июля 1917 Указ Временного правительства об аресте Ленина, Зиновьева, Каменева (11145).</w:t>
      </w:r>
    </w:p>
    <w:p w14:paraId="7CE9FB0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5169B5" w14:textId="77777777" w:rsidR="00A8785D" w:rsidRPr="002F2FDF" w:rsidRDefault="00A878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6 (19) июля</w:t>
      </w:r>
      <w:r w:rsidRPr="002F2FDF">
        <w:rPr>
          <w:rFonts w:ascii="Times New Roman" w:hAnsi="Times New Roman" w:cs="Times New Roman"/>
          <w:color w:val="000000" w:themeColor="text1"/>
          <w:kern w:val="2"/>
          <w:sz w:val="16"/>
          <w:szCs w:val="16"/>
        </w:rPr>
        <w:t xml:space="preserve"> в 1917 году отдан приказ Временного правительства об аресте В.И.Ленина и Г.Е.Зиновьева (14944).</w:t>
      </w:r>
    </w:p>
    <w:p w14:paraId="495116F3" w14:textId="77777777" w:rsidR="00A8785D" w:rsidRPr="002F2FDF" w:rsidRDefault="00A8785D" w:rsidP="0083075A">
      <w:pPr>
        <w:spacing w:after="0" w:line="240" w:lineRule="auto"/>
        <w:jc w:val="both"/>
        <w:rPr>
          <w:rFonts w:ascii="Times New Roman" w:hAnsi="Times New Roman" w:cs="Times New Roman"/>
          <w:color w:val="000000" w:themeColor="text1"/>
          <w:kern w:val="2"/>
          <w:sz w:val="16"/>
          <w:szCs w:val="16"/>
        </w:rPr>
      </w:pPr>
    </w:p>
    <w:p w14:paraId="46EA4C1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июля 1917 глава Центральной Рады Украины Михаил Грушевский подал в отставку, которая не была принята (4962).</w:t>
      </w:r>
    </w:p>
    <w:p w14:paraId="2575995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899FE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9C7A1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7E3F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июля 1917 активно включившись в работу по организации военно-воздушных сил, генерал Смуте представил военному кабинету свой первый доклад. Генерал предлагал в первую очередь объединить командование всеми противовоздушными защитными силами под руководством первоклассного офицера-специалиста. На этот пост был назначен генерал Эшмор.</w:t>
      </w:r>
    </w:p>
    <w:p w14:paraId="384DF5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наличные аэропланы были объединены в отряды и прошли специальную подготовку. По разработанной генералом Смутсом схеме были усилены и реорганизованы все силы противовоздушной обороны Лондона. Вокруг города было образовано несколько полос зенитных орудий. В результате уже в ближайшее время дневные налеты германской авиации стали почти невозможными, а ночные становились для них все опаснее и труднее (11999).</w:t>
      </w:r>
    </w:p>
    <w:p w14:paraId="21C9B1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B3B2A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июля 1917 представители славянских народов Балкан подписали Корфскую декларацию об объединении южных славян в единое государство (Югославию) после первой мировой войны (4962).</w:t>
      </w:r>
    </w:p>
    <w:p w14:paraId="75D90C6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BDA8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6 (19) июля 1917 был налет германских дирижаблей на промышленные районы Великобритании (3907,91).</w:t>
      </w:r>
    </w:p>
    <w:p w14:paraId="60F821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181A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июля 1917 Германский Рейхстаг принял резолюцию о "мире по соглашению" (2443,387) и предложил начать мирные переговоры (3907,91).</w:t>
      </w:r>
    </w:p>
    <w:p w14:paraId="79C738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D71C04" w14:textId="77777777" w:rsidR="007A359D" w:rsidRPr="002F2FDF" w:rsidRDefault="007A359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6 (</w:t>
      </w:r>
      <w:r w:rsidRPr="002F2FDF">
        <w:rPr>
          <w:rFonts w:ascii="Times New Roman" w:hAnsi="Times New Roman" w:cs="Times New Roman"/>
          <w:color w:val="000000" w:themeColor="text1"/>
          <w:kern w:val="2"/>
          <w:sz w:val="16"/>
          <w:szCs w:val="16"/>
        </w:rPr>
        <w:t xml:space="preserve">19) июля 1917 г. </w:t>
      </w:r>
      <w:r w:rsidRPr="002F2FDF">
        <w:rPr>
          <w:rFonts w:ascii="Times New Roman" w:hAnsi="Times New Roman" w:cs="Times New Roman"/>
          <w:bCs/>
          <w:color w:val="000000" w:themeColor="text1"/>
          <w:kern w:val="2"/>
          <w:sz w:val="16"/>
          <w:szCs w:val="16"/>
        </w:rPr>
        <w:t>три партии (католического центра, демократы и социал-демократы - партии будущей Веймарской коалиции 1919 г.) провели в Рейхстаге резолюцию о необходимости мира по обоюдному соглашению и без аннексий. То была попытка спасти германский империализм. Правое меньшинство Рейхстага, состоявшее из консерваторов и национал-либералов, за которыми стояло верховное командование и которые опирались на юнкерство и тяжёлую индустрию, встретило, однако, эту резолюцию яростными протестами. Им не удалось сорвать её в Рейхстаге. Но за несколько дней до её принятия они добились от кайзера отставки Бетман-Гольвега. Новый канцлер, Михаэлис, был послушной марионеткой Людендорфа. Впрочем, и со стороны правительств Англии, Франции и США резолюция Рейхстага не встретила сочувственного отклика (17326).</w:t>
      </w:r>
    </w:p>
    <w:p w14:paraId="595AC25B" w14:textId="77777777" w:rsidR="007A359D" w:rsidRPr="002F2FDF" w:rsidRDefault="007A359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547339"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8D52029"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3F7F30" w14:textId="77777777" w:rsidR="00256266" w:rsidRPr="002F2FDF" w:rsidRDefault="0025626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июля 1917 л Пишванов отогнал непри</w:t>
      </w:r>
      <w:r w:rsidRPr="002F2FDF">
        <w:rPr>
          <w:rFonts w:ascii="Times New Roman" w:hAnsi="Times New Roman" w:cs="Times New Roman"/>
          <w:color w:val="000000" w:themeColor="text1"/>
          <w:kern w:val="2"/>
          <w:sz w:val="16"/>
          <w:szCs w:val="16"/>
        </w:rPr>
        <w:softHyphen/>
        <w:t>ятельского корректировщика, корректировавшего стрельбу сво</w:t>
      </w:r>
      <w:r w:rsidRPr="002F2FDF">
        <w:rPr>
          <w:rFonts w:ascii="Times New Roman" w:hAnsi="Times New Roman" w:cs="Times New Roman"/>
          <w:color w:val="000000" w:themeColor="text1"/>
          <w:kern w:val="2"/>
          <w:sz w:val="16"/>
          <w:szCs w:val="16"/>
        </w:rPr>
        <w:softHyphen/>
        <w:t>ей артиллерии, а потом, поднявшись на высоту 4400 м, атако</w:t>
      </w:r>
      <w:r w:rsidRPr="002F2FDF">
        <w:rPr>
          <w:rFonts w:ascii="Times New Roman" w:hAnsi="Times New Roman" w:cs="Times New Roman"/>
          <w:color w:val="000000" w:themeColor="text1"/>
          <w:kern w:val="2"/>
          <w:sz w:val="16"/>
          <w:szCs w:val="16"/>
        </w:rPr>
        <w:softHyphen/>
        <w:t xml:space="preserve">вал двухместный самолет,вынудив его бежать с пикированием. Проследуя врага на пикировании, Пишванов снизил его до 1200м и расстрелял с короткой дистанции. 11-го Пишванов провел еще |один воздушный бой. Атаковав противника с короткой дистанции, Пишвановоткрыл оронъ, но пулемет дал осечку. Этим восполъзовался противник, который, в свою очередь, обстрелял и ранил его в правую руку. Несмотря на ранение, </w:t>
      </w:r>
      <w:r w:rsidRPr="002F2FDF">
        <w:rPr>
          <w:rFonts w:ascii="Times New Roman" w:hAnsi="Times New Roman" w:cs="Times New Roman"/>
          <w:smallCaps/>
          <w:color w:val="000000" w:themeColor="text1"/>
          <w:kern w:val="2"/>
          <w:sz w:val="16"/>
          <w:szCs w:val="16"/>
        </w:rPr>
        <w:t xml:space="preserve">пишеэное </w:t>
      </w:r>
      <w:r w:rsidRPr="002F2FDF">
        <w:rPr>
          <w:rFonts w:ascii="Times New Roman" w:hAnsi="Times New Roman" w:cs="Times New Roman"/>
          <w:color w:val="000000" w:themeColor="text1"/>
          <w:kern w:val="2"/>
          <w:sz w:val="16"/>
          <w:szCs w:val="16"/>
        </w:rPr>
        <w:t xml:space="preserve">устранил неиспраЕность и снова атаковал противника, заставив его бежать </w:t>
      </w:r>
      <w:r w:rsidRPr="002F2FDF">
        <w:rPr>
          <w:rFonts w:ascii="Times New Roman" w:hAnsi="Times New Roman" w:cs="Times New Roman"/>
          <w:smallCaps/>
          <w:color w:val="000000" w:themeColor="text1"/>
          <w:kern w:val="2"/>
          <w:sz w:val="16"/>
          <w:szCs w:val="16"/>
        </w:rPr>
        <w:t xml:space="preserve">е </w:t>
      </w:r>
      <w:r w:rsidRPr="002F2FDF">
        <w:rPr>
          <w:rFonts w:ascii="Times New Roman" w:hAnsi="Times New Roman" w:cs="Times New Roman"/>
          <w:color w:val="000000" w:themeColor="text1"/>
          <w:kern w:val="2"/>
          <w:sz w:val="16"/>
          <w:szCs w:val="16"/>
        </w:rPr>
        <w:t>свой тыл, и только после этого, управляя легой рукой, вернулся на свой аэродром. (Рапорт командира 10 истребительного отряда, ЦГВИА, ф. 493, оп. 3, д.109, л.25-27).</w:t>
      </w:r>
    </w:p>
    <w:p w14:paraId="75FF3A69" w14:textId="77777777" w:rsidR="00256266" w:rsidRPr="002F2FDF" w:rsidRDefault="0025626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76D9A8" w14:textId="77777777" w:rsidR="00256266" w:rsidRPr="00815ED5" w:rsidRDefault="00256266"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7</w:t>
      </w:r>
      <w:r>
        <w:rPr>
          <w:rFonts w:ascii="Times New Roman" w:hAnsi="Times New Roman" w:cs="Times New Roman"/>
          <w:color w:val="0070C0"/>
          <w:sz w:val="16"/>
          <w:szCs w:val="16"/>
        </w:rPr>
        <w:t xml:space="preserve"> (20) </w:t>
      </w:r>
      <w:r w:rsidRPr="00815ED5">
        <w:rPr>
          <w:rFonts w:ascii="Times New Roman" w:hAnsi="Times New Roman" w:cs="Times New Roman"/>
          <w:color w:val="0070C0"/>
          <w:sz w:val="16"/>
          <w:szCs w:val="16"/>
        </w:rPr>
        <w:t xml:space="preserve">июля </w:t>
      </w:r>
      <w:r>
        <w:rPr>
          <w:rFonts w:ascii="Times New Roman" w:hAnsi="Times New Roman" w:cs="Times New Roman"/>
          <w:color w:val="0070C0"/>
          <w:sz w:val="16"/>
          <w:szCs w:val="16"/>
        </w:rPr>
        <w:t>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815ED5">
        <w:rPr>
          <w:rFonts w:ascii="Times New Roman" w:hAnsi="Times New Roman" w:cs="Times New Roman"/>
          <w:color w:val="0070C0"/>
          <w:sz w:val="16"/>
          <w:szCs w:val="16"/>
        </w:rPr>
        <w:t xml:space="preserve">етчики 7-го истребительного отряда корнет </w:t>
      </w:r>
      <w:r>
        <w:rPr>
          <w:rFonts w:ascii="Times New Roman" w:hAnsi="Times New Roman" w:cs="Times New Roman"/>
          <w:color w:val="0070C0"/>
          <w:sz w:val="16"/>
          <w:szCs w:val="16"/>
        </w:rPr>
        <w:t>Ю</w:t>
      </w:r>
      <w:r w:rsidRPr="00815ED5">
        <w:rPr>
          <w:rFonts w:ascii="Times New Roman" w:hAnsi="Times New Roman" w:cs="Times New Roman"/>
          <w:color w:val="0070C0"/>
          <w:sz w:val="16"/>
          <w:szCs w:val="16"/>
        </w:rPr>
        <w:t xml:space="preserve">рий Владимирович </w:t>
      </w:r>
      <w:r>
        <w:rPr>
          <w:rFonts w:ascii="Times New Roman" w:hAnsi="Times New Roman" w:cs="Times New Roman"/>
          <w:color w:val="0070C0"/>
          <w:sz w:val="16"/>
          <w:szCs w:val="16"/>
        </w:rPr>
        <w:t>Г</w:t>
      </w:r>
      <w:r w:rsidRPr="00815ED5">
        <w:rPr>
          <w:rFonts w:ascii="Times New Roman" w:hAnsi="Times New Roman" w:cs="Times New Roman"/>
          <w:color w:val="0070C0"/>
          <w:sz w:val="16"/>
          <w:szCs w:val="16"/>
        </w:rPr>
        <w:t>ильшер и прапорщик Василий Иванович Янченко.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оба на Ньюпорах—</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бебе</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вступили в бой с 8 самолетами противника, на помощь которым подошло еще </w:t>
      </w:r>
      <w:r>
        <w:rPr>
          <w:rFonts w:ascii="Times New Roman" w:hAnsi="Times New Roman" w:cs="Times New Roman"/>
          <w:color w:val="0070C0"/>
          <w:sz w:val="16"/>
          <w:szCs w:val="16"/>
        </w:rPr>
        <w:t xml:space="preserve">10 </w:t>
      </w:r>
      <w:r w:rsidRPr="00815ED5">
        <w:rPr>
          <w:rFonts w:ascii="Times New Roman" w:hAnsi="Times New Roman" w:cs="Times New Roman"/>
          <w:color w:val="0070C0"/>
          <w:sz w:val="16"/>
          <w:szCs w:val="16"/>
        </w:rPr>
        <w:t>самолетов.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У самолета </w:t>
      </w:r>
      <w:r>
        <w:rPr>
          <w:rFonts w:ascii="Times New Roman" w:hAnsi="Times New Roman" w:cs="Times New Roman"/>
          <w:color w:val="0070C0"/>
          <w:sz w:val="16"/>
          <w:szCs w:val="16"/>
        </w:rPr>
        <w:t>Г</w:t>
      </w:r>
      <w:r w:rsidRPr="00815ED5">
        <w:rPr>
          <w:rFonts w:ascii="Times New Roman" w:hAnsi="Times New Roman" w:cs="Times New Roman"/>
          <w:color w:val="0070C0"/>
          <w:sz w:val="16"/>
          <w:szCs w:val="16"/>
        </w:rPr>
        <w:t>илыпера оторвался мотор и сложились крылья, само лет камнем пошел вниз, похоронив в обломках летчика.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Янченко сел у места падения Гильшера, отправил погибшего товарища в Тарнополь /бой был в районе этого города/ и на второй день перелетел на свой аэродром.</w:t>
      </w:r>
    </w:p>
    <w:p w14:paraId="2988CE03" w14:textId="77777777" w:rsidR="00256266" w:rsidRDefault="00256266"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/Приказ по отряду </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195;</w:t>
      </w:r>
      <w:r>
        <w:rPr>
          <w:rFonts w:ascii="Times New Roman" w:hAnsi="Times New Roman" w:cs="Times New Roman"/>
          <w:color w:val="0070C0"/>
          <w:sz w:val="16"/>
          <w:szCs w:val="16"/>
        </w:rPr>
        <w:t xml:space="preserve"> Р</w:t>
      </w:r>
      <w:r w:rsidRPr="00815ED5">
        <w:rPr>
          <w:rFonts w:ascii="Times New Roman" w:hAnsi="Times New Roman" w:cs="Times New Roman"/>
          <w:color w:val="0070C0"/>
          <w:sz w:val="16"/>
          <w:szCs w:val="16"/>
        </w:rPr>
        <w:t>ГВИА,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2008,</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170,</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782/</w:t>
      </w:r>
      <w:r>
        <w:rPr>
          <w:rFonts w:ascii="Times New Roman" w:hAnsi="Times New Roman" w:cs="Times New Roman"/>
          <w:color w:val="0070C0"/>
          <w:sz w:val="16"/>
          <w:szCs w:val="16"/>
        </w:rPr>
        <w:t xml:space="preserve"> (23230).</w:t>
      </w:r>
    </w:p>
    <w:p w14:paraId="00540F14" w14:textId="77777777" w:rsidR="00256266" w:rsidRDefault="00256266" w:rsidP="0083075A">
      <w:pPr>
        <w:spacing w:after="0" w:line="240" w:lineRule="auto"/>
        <w:jc w:val="both"/>
        <w:rPr>
          <w:rFonts w:ascii="Times New Roman" w:hAnsi="Times New Roman" w:cs="Times New Roman"/>
          <w:color w:val="0070C0"/>
          <w:sz w:val="16"/>
          <w:szCs w:val="16"/>
        </w:rPr>
      </w:pPr>
    </w:p>
    <w:p w14:paraId="5B70D683"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июля 1917 русские войска начали наступление против немцев на Западном фронте. Достигли успеха, но из-за нежелания солдат воевать снова отступили. Наступление началось и на Румынском фронте (2569,37).</w:t>
      </w:r>
    </w:p>
    <w:p w14:paraId="12E24FE9"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205BD7"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7-го (20) июля 1917 началось наступление. Русские войска, имевшие значительный численный перевес, быстро достигли успеха, однако из-за нежелания солдат воевать столь же быстро откатились назад. Авиация в этих условиях не оказала какого-либо влияния на развитие событий, а наиболее заметным явлением стал налет 19 июля двадцати четырех "Вуазенов" и "Фарманов" нескольких авиаотрядов Х-й армии на железнодорожную станцию Войгяны. В 4 ч 30 мин самолеты собрались над деревней Малиновщизна, разделились на две группы (по типам) и направились одна за другой в тыл противника. Над передовой к ним присоединились 11 истребителей, которые летели на 500 м выше строя бомбардировщиков. При подходе к цели было встречено два неприятельских самолета, один из которых немедленно ушел на свой аэродром у станции Войгяны, а другой был сбит пилотами 18-го КАО прапорщиками Андерсом и Филиным. Несмотря на сильный зенитный огонь, русские летчики сбросили на станцию 60 бомб общей массой более 500 кг и благополучно вернулись на свои аэродромы. Бомбардировка вызвала в районе станции Войгяны многочисленные пожары. Всего до 1 августа авиаотряды Х-й армии совершили 916 боевых вылетов (11237).</w:t>
      </w:r>
    </w:p>
    <w:p w14:paraId="676FF170"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8E4794"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июля 1917 была активна в основном авиация; русское звено истребителей Юго-Западного фронта из трех самолетов атаковало 8 германских самолетов; один русский самолет был сбит, летчик погиб.</w:t>
      </w:r>
    </w:p>
    <w:p w14:paraId="095CD634"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Началось наступление русских войск на Румынском фронте, развернувшееся почти на 500-км участке и в ближайшие дни протекало успешно, однако 25 июля по приказу Керенского было прекращено по причине неблагоприятной обстановки на других фронтах (11999).</w:t>
      </w:r>
    </w:p>
    <w:p w14:paraId="49924FC6"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0B3254"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7 (20) июля 1917 после начала наступления 6-й и 36-й отряды под прикрытием истребителей 10-го отряда постоянно вели корректировку огня своей артиллерии, разведку и бомбардировку позиций. Австрийская авиация существенно превосходила по численности и качеству самолетов, почти ежедневно шли воздушные бои, в которых русские истребители из-за малочисленности с трудом противостояли противнику. Однако благодаря мастерству и мужеству военных летчиков, за время операции русские авиаотряды и франко-румынские эскадрильи совершили около 2 тыс. боевых вылетов, сбили 20 самолетов противника, потеряв при этом лишь 3 своих машины. Тем не менее, успешно начатое наступление Румынского фронта закончилось серьезной неудачей. Несмотря на прорыв русскими войсками австрийского фронта, 12 июля 1917 г. глава Временного Правительства А.Ф.Керенский, испуганный поражением под Тарнополем соседнего Юго-Западного фронта, самовольно заявил об отмене наступления, обратившись при этом напрямую к солдатам через голову командования. Это распоряжение сразу же вызвало деморализацию русских войск, дисциплина резко упала. Ссылаясь на Керенского, солдаты под влиянием пропаганды в массовом порядке стали отказываться наступать и подчиняться офицерам (12056).</w:t>
      </w:r>
    </w:p>
    <w:p w14:paraId="01967A5D"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E0FDF5" w14:textId="77777777" w:rsidR="00256266" w:rsidRPr="002F2FDF" w:rsidRDefault="0025626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июля 1917 и 13 (26) июня 1917 состоялись еще две минно-заградительные операции для “закупорки” Босфора сперва под командованием вице-адмирала А. Колчака, затем контр</w:t>
      </w:r>
      <w:r w:rsidRPr="002F2FDF">
        <w:rPr>
          <w:rFonts w:ascii="Times New Roman" w:hAnsi="Times New Roman" w:cs="Times New Roman"/>
          <w:color w:val="000000" w:themeColor="text1"/>
          <w:kern w:val="2"/>
          <w:sz w:val="16"/>
          <w:szCs w:val="16"/>
        </w:rPr>
        <w:softHyphen/>
        <w:t>адмирала В. Лукина, находившимся на линкоре “Свободная Россия” (“Императрица Екатерина Великая”) в охранении крейсера “Память “Меркурия” и дивизиона эсминцев. В со</w:t>
      </w:r>
      <w:r w:rsidRPr="002F2FDF">
        <w:rPr>
          <w:rFonts w:ascii="Times New Roman" w:hAnsi="Times New Roman" w:cs="Times New Roman"/>
          <w:color w:val="000000" w:themeColor="text1"/>
          <w:kern w:val="2"/>
          <w:sz w:val="16"/>
          <w:szCs w:val="16"/>
        </w:rPr>
        <w:softHyphen/>
        <w:t>став заградительного отряда, поставившего возле Босфора со</w:t>
      </w:r>
      <w:r w:rsidRPr="002F2FDF">
        <w:rPr>
          <w:rFonts w:ascii="Times New Roman" w:hAnsi="Times New Roman" w:cs="Times New Roman"/>
          <w:color w:val="000000" w:themeColor="text1"/>
          <w:kern w:val="2"/>
          <w:sz w:val="16"/>
          <w:szCs w:val="16"/>
        </w:rPr>
        <w:softHyphen/>
        <w:t>ответственно 880 и 480 якорных мин, оба раза включался вспо</w:t>
      </w:r>
      <w:r w:rsidRPr="002F2FDF">
        <w:rPr>
          <w:rFonts w:ascii="Times New Roman" w:hAnsi="Times New Roman" w:cs="Times New Roman"/>
          <w:color w:val="000000" w:themeColor="text1"/>
          <w:kern w:val="2"/>
          <w:sz w:val="16"/>
          <w:szCs w:val="16"/>
        </w:rPr>
        <w:softHyphen/>
        <w:t>могательный крейсер “Король Карл” с двумя летающими лодками на борту, но в воздух они не поднимались. Обилие приведенных данных убедительно свидетельствует о том, что до середины 1917 года черноморская авиация, особен</w:t>
      </w:r>
      <w:r w:rsidRPr="002F2FDF">
        <w:rPr>
          <w:rFonts w:ascii="Times New Roman" w:hAnsi="Times New Roman" w:cs="Times New Roman"/>
          <w:color w:val="000000" w:themeColor="text1"/>
          <w:kern w:val="2"/>
          <w:sz w:val="16"/>
          <w:szCs w:val="16"/>
        </w:rPr>
        <w:softHyphen/>
        <w:t>но ее корабельные отряды, принимала активное участив в боль</w:t>
      </w:r>
      <w:r w:rsidRPr="002F2FDF">
        <w:rPr>
          <w:rFonts w:ascii="Times New Roman" w:hAnsi="Times New Roman" w:cs="Times New Roman"/>
          <w:color w:val="000000" w:themeColor="text1"/>
          <w:kern w:val="2"/>
          <w:sz w:val="16"/>
          <w:szCs w:val="16"/>
        </w:rPr>
        <w:softHyphen/>
        <w:t>шинстве проводимых главными силами флота морских опе</w:t>
      </w:r>
      <w:r w:rsidRPr="002F2FDF">
        <w:rPr>
          <w:rFonts w:ascii="Times New Roman" w:hAnsi="Times New Roman" w:cs="Times New Roman"/>
          <w:color w:val="000000" w:themeColor="text1"/>
          <w:kern w:val="2"/>
          <w:sz w:val="16"/>
          <w:szCs w:val="16"/>
        </w:rPr>
        <w:softHyphen/>
        <w:t>раций. Несомненно балтийская авиация, прежде всего ее прибрежные отряды, также действовали с большим напряже</w:t>
      </w:r>
      <w:r w:rsidRPr="002F2FDF">
        <w:rPr>
          <w:rFonts w:ascii="Times New Roman" w:hAnsi="Times New Roman" w:cs="Times New Roman"/>
          <w:color w:val="000000" w:themeColor="text1"/>
          <w:kern w:val="2"/>
          <w:sz w:val="16"/>
          <w:szCs w:val="16"/>
        </w:rPr>
        <w:softHyphen/>
        <w:t>нием, хотя, объективности ради, это следует показать на основе архивных материалов. Троекратная “демократизация” Временного правительства, перестановки лиц в Ставке Верховного Главнокомандования, Военном и Морском министерствах, на фронтах и флотах, в соединениях и штабах привели к неразберихе взглядов по опе</w:t>
      </w:r>
      <w:r w:rsidRPr="002F2FDF">
        <w:rPr>
          <w:rFonts w:ascii="Times New Roman" w:hAnsi="Times New Roman" w:cs="Times New Roman"/>
          <w:color w:val="000000" w:themeColor="text1"/>
          <w:kern w:val="2"/>
          <w:sz w:val="16"/>
          <w:szCs w:val="16"/>
        </w:rPr>
        <w:softHyphen/>
        <w:t>ративно-стратегическим вопросам - от принципов боевого применения вооруженных сил до проблем их дальнейшего раз</w:t>
      </w:r>
      <w:r w:rsidRPr="002F2FDF">
        <w:rPr>
          <w:rFonts w:ascii="Times New Roman" w:hAnsi="Times New Roman" w:cs="Times New Roman"/>
          <w:color w:val="000000" w:themeColor="text1"/>
          <w:kern w:val="2"/>
          <w:sz w:val="16"/>
          <w:szCs w:val="16"/>
        </w:rPr>
        <w:softHyphen/>
        <w:t>вития (11283).</w:t>
      </w:r>
    </w:p>
    <w:p w14:paraId="467B4E03"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6C9C4C"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8B4C39B"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C113C2" w14:textId="77777777" w:rsidR="00256266" w:rsidRPr="002F2FDF" w:rsidRDefault="00256266"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7 (20) июля 1917 был вынужден уйти в отставку министр юстиции Переверзев, которому не простили публикацию документов, компрометирующих большевиков, а затем ушёл в отставку и председатель Временного правительства </w:t>
      </w:r>
      <w:hyperlink r:id="rId411" w:tooltip="Львов, Георгий Евгеньевич" w:history="1">
        <w:r w:rsidRPr="002F2FDF">
          <w:rPr>
            <w:rStyle w:val="a5"/>
            <w:color w:val="000000" w:themeColor="text1"/>
            <w:kern w:val="2"/>
            <w:sz w:val="16"/>
            <w:szCs w:val="16"/>
            <w:u w:val="none"/>
          </w:rPr>
          <w:t>Львов</w:t>
        </w:r>
      </w:hyperlink>
      <w:r w:rsidRPr="002F2FDF">
        <w:rPr>
          <w:color w:val="000000" w:themeColor="text1"/>
          <w:kern w:val="2"/>
          <w:sz w:val="16"/>
          <w:szCs w:val="16"/>
        </w:rPr>
        <w:t xml:space="preserve">. В результате правительственного кризиса 10 (23) июля 1917 было сформировано второе коалиционное правительство, возглавлявшееся Керенским, который при этом сохранил посты военного и морского министров. Состав правительства был преимущественно социалистическим, в него вошли эсеры, меньшевики и радикальные демократы. Временное правительство перебралось из Мариинского дворца в </w:t>
      </w:r>
      <w:hyperlink r:id="rId412" w:tooltip="Зимний дворец" w:history="1">
        <w:r w:rsidRPr="002F2FDF">
          <w:rPr>
            <w:rStyle w:val="a5"/>
            <w:color w:val="000000" w:themeColor="text1"/>
            <w:kern w:val="2"/>
            <w:sz w:val="16"/>
            <w:szCs w:val="16"/>
            <w:u w:val="none"/>
          </w:rPr>
          <w:t>Зимний</w:t>
        </w:r>
      </w:hyperlink>
      <w:r w:rsidRPr="002F2FDF">
        <w:rPr>
          <w:color w:val="000000" w:themeColor="text1"/>
          <w:kern w:val="2"/>
          <w:sz w:val="16"/>
          <w:szCs w:val="16"/>
        </w:rPr>
        <w:t>.</w:t>
      </w:r>
    </w:p>
    <w:p w14:paraId="0F1FDC76" w14:textId="230DCB71" w:rsidR="00256266" w:rsidRPr="002F2FDF" w:rsidRDefault="00256266"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В тот же день агрессивно настроенные военные попытались разгромить дом </w:t>
      </w:r>
      <w:hyperlink r:id="rId413" w:tooltip="Стеклов, Юрий Михайлович" w:history="1">
        <w:r w:rsidRPr="002F2FDF">
          <w:rPr>
            <w:rStyle w:val="a5"/>
            <w:color w:val="000000" w:themeColor="text1"/>
            <w:kern w:val="2"/>
            <w:sz w:val="16"/>
            <w:szCs w:val="16"/>
            <w:u w:val="none"/>
          </w:rPr>
          <w:t>Стеклова Ю. М.</w:t>
        </w:r>
      </w:hyperlink>
      <w:r w:rsidRPr="002F2FDF">
        <w:rPr>
          <w:color w:val="000000" w:themeColor="text1"/>
          <w:kern w:val="2"/>
          <w:sz w:val="16"/>
          <w:szCs w:val="16"/>
        </w:rPr>
        <w:t xml:space="preserve"> (Нахамкиса), который в то время был меньшевиком и не имел никакого отношения к июльскому выступлению, однако прославился громкими и агрессивными обличениями «контрреволюционеров», в первую очередь</w:t>
      </w:r>
      <w:r w:rsidR="00E52569">
        <w:rPr>
          <w:color w:val="000000" w:themeColor="text1"/>
          <w:kern w:val="2"/>
          <w:sz w:val="16"/>
          <w:szCs w:val="16"/>
        </w:rPr>
        <w:t xml:space="preserve"> </w:t>
      </w:r>
      <w:r w:rsidRPr="002F2FDF">
        <w:rPr>
          <w:color w:val="000000" w:themeColor="text1"/>
          <w:kern w:val="2"/>
          <w:sz w:val="16"/>
          <w:szCs w:val="16"/>
        </w:rPr>
        <w:t>— офицеров. 10 июля юнкера арестовали Стеклова на даче Бонч-Бруевича, и освободили только после вмешательства Керенского. По выражению Петросовета, «какие-то банды ломятся на квартиру Нахамкеса? Мы посылаем на его защиту три бро</w:t>
      </w:r>
      <w:r w:rsidRPr="002F2FDF">
        <w:rPr>
          <w:color w:val="000000" w:themeColor="text1"/>
          <w:kern w:val="2"/>
          <w:sz w:val="16"/>
          <w:szCs w:val="16"/>
        </w:rPr>
        <w:softHyphen/>
        <w:t>невика» (17029).</w:t>
      </w:r>
    </w:p>
    <w:p w14:paraId="54594C52"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D1BB23"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июля 1917 А.Керенский стал премьер-министром России (2100) после того, как в отставку ушел глава правительства князь Г.Е.Львов (3481).</w:t>
      </w:r>
    </w:p>
    <w:p w14:paraId="0904DCEC"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9C0DD9" w14:textId="77777777" w:rsidR="00256266" w:rsidRPr="002F2FDF" w:rsidRDefault="002562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июля в 1917 году уходит в отставку глава Временного правительства князь Георгий Евгеньевич Львов. На следующий день главой правительства будет назначен А.Ф.Керенский (14958).</w:t>
      </w:r>
    </w:p>
    <w:p w14:paraId="6FCC0114" w14:textId="77777777" w:rsidR="00256266" w:rsidRPr="002F2FDF" w:rsidRDefault="00256266" w:rsidP="0083075A">
      <w:pPr>
        <w:spacing w:after="0" w:line="240" w:lineRule="auto"/>
        <w:jc w:val="both"/>
        <w:rPr>
          <w:rFonts w:ascii="Times New Roman" w:hAnsi="Times New Roman" w:cs="Times New Roman"/>
          <w:color w:val="000000" w:themeColor="text1"/>
          <w:kern w:val="2"/>
          <w:sz w:val="16"/>
          <w:szCs w:val="16"/>
        </w:rPr>
      </w:pPr>
    </w:p>
    <w:p w14:paraId="00524A27" w14:textId="77777777" w:rsidR="00256266" w:rsidRPr="002F2FDF" w:rsidRDefault="002562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7 (20) июля в 1917 году Временное правительство принимает постановление арестовать и привлечь к суду большевиков - Ленина, Зиновьева, Каменева. Ордера на арест будут выданы после так называемых "июльских дней" - демонстраций в Петрограде (но и в других городах) под лозунгом "Вся власть советам!". Ленина обвинят в подготовке государственного переворота и в получении денежной помощи от Германии. Серьезные историки - в первую очередь недавно скончавшийся профессор Лондонского университета Леонард Шапиро, автор классической книги по истории КПСС - пришли к выводу, что в июле большевики, хоть и организовали волнения, но захвата власти не планировали. Однако, Ленин немедленно скрылся - в знаменитом шалаше за озером Разлив - и не явился на суд вопреки советам его собственных </w:t>
      </w:r>
      <w:r w:rsidRPr="002F2FDF">
        <w:rPr>
          <w:rFonts w:ascii="Times New Roman" w:hAnsi="Times New Roman" w:cs="Times New Roman"/>
          <w:color w:val="000000" w:themeColor="text1"/>
          <w:kern w:val="2"/>
          <w:sz w:val="16"/>
          <w:szCs w:val="16"/>
        </w:rPr>
        <w:lastRenderedPageBreak/>
        <w:t>соратников. Он знал, конечно, что суд был в те месяцы скрупулезно независимым, и если бы не чувствовал за собой вины, то мог рассчитывать только на триумфальное оправдание. Но нет, не вышел на суд. А уже 5.09 из своего укрытия послал требование к ЦК партии немедленно начать подготовку переворота, опираясь на вооруженные отряды, способные арестовать членов правительства и захватить власть - причем "независимо от советов". Необходимо, писал Ленин, бороться "с конституционными иллюзиями и надеждами на предстоящий съезд советов" (14958).</w:t>
      </w:r>
    </w:p>
    <w:p w14:paraId="6FF368FF" w14:textId="77777777" w:rsidR="00256266" w:rsidRPr="002F2FDF" w:rsidRDefault="00256266" w:rsidP="0083075A">
      <w:pPr>
        <w:spacing w:after="0" w:line="240" w:lineRule="auto"/>
        <w:jc w:val="both"/>
        <w:rPr>
          <w:rFonts w:ascii="Times New Roman" w:hAnsi="Times New Roman" w:cs="Times New Roman"/>
          <w:color w:val="000000" w:themeColor="text1"/>
          <w:kern w:val="2"/>
          <w:sz w:val="16"/>
          <w:szCs w:val="16"/>
        </w:rPr>
      </w:pPr>
    </w:p>
    <w:p w14:paraId="680FECA1"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45F5DD97"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42C26D" w14:textId="77777777" w:rsidR="00256266" w:rsidRPr="002F2FDF" w:rsidRDefault="00256266"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7 (20) июля 1917 г. </w:t>
      </w:r>
      <w:r w:rsidRPr="002F2FDF">
        <w:rPr>
          <w:rFonts w:ascii="Times New Roman" w:hAnsi="Times New Roman" w:cs="Times New Roman"/>
          <w:color w:val="000000" w:themeColor="text1"/>
          <w:kern w:val="2"/>
          <w:sz w:val="16"/>
          <w:szCs w:val="16"/>
        </w:rPr>
        <w:t>Памятная записка английского посольства Министерству иностранных дел с изложением ответа английских министров иностранных дел и финансов на записку Временного правительства от 22 июня 1917 г.</w:t>
      </w:r>
    </w:p>
    <w:p w14:paraId="1029778A" w14:textId="0855FF2C" w:rsidR="00256266" w:rsidRPr="002F2FDF" w:rsidRDefault="002562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549-551</w:t>
      </w:r>
    </w:p>
    <w:p w14:paraId="21DB957E" w14:textId="1602ADF3" w:rsidR="00256266" w:rsidRPr="002F2FDF" w:rsidRDefault="002562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Второго деп-та, 1—5, «Война», д. 192, лл. 428—429. Подлинник.</w:t>
      </w:r>
    </w:p>
    <w:p w14:paraId="0002CAA2" w14:textId="77777777" w:rsidR="00256266" w:rsidRPr="002F2FDF" w:rsidRDefault="00256266" w:rsidP="0083075A">
      <w:pPr>
        <w:pStyle w:val="ae"/>
        <w:spacing w:before="0" w:after="0"/>
        <w:jc w:val="both"/>
        <w:rPr>
          <w:color w:val="000000" w:themeColor="text1"/>
          <w:kern w:val="2"/>
          <w:sz w:val="16"/>
          <w:szCs w:val="16"/>
        </w:rPr>
      </w:pPr>
      <w:r w:rsidRPr="002F2FDF">
        <w:rPr>
          <w:rStyle w:val="af0"/>
          <w:i w:val="0"/>
          <w:color w:val="000000" w:themeColor="text1"/>
          <w:kern w:val="2"/>
          <w:sz w:val="16"/>
          <w:szCs w:val="16"/>
        </w:rPr>
        <w:t>Перевод с английского</w:t>
      </w:r>
    </w:p>
    <w:p w14:paraId="062463C0" w14:textId="77777777" w:rsidR="00256266" w:rsidRPr="002F2FDF" w:rsidRDefault="00256266" w:rsidP="0083075A">
      <w:pPr>
        <w:pStyle w:val="rtejustify"/>
        <w:spacing w:before="0" w:after="0"/>
        <w:rPr>
          <w:color w:val="000000" w:themeColor="text1"/>
          <w:kern w:val="2"/>
          <w:sz w:val="16"/>
          <w:szCs w:val="16"/>
        </w:rPr>
      </w:pPr>
      <w:r w:rsidRPr="002F2FDF">
        <w:rPr>
          <w:color w:val="000000" w:themeColor="text1"/>
          <w:kern w:val="2"/>
          <w:sz w:val="16"/>
          <w:szCs w:val="16"/>
        </w:rPr>
        <w:t>Посол его величества препроводил правительству его величества текст меморандума, врученный ему 22 июня/5 июля их превосходительствами министрами иностранных дел и финансов и в настоящее время имеет честь передать русскому</w:t>
      </w:r>
      <w:r w:rsidRPr="002F2FDF">
        <w:rPr>
          <w:color w:val="000000" w:themeColor="text1"/>
          <w:kern w:val="2"/>
          <w:sz w:val="16"/>
          <w:szCs w:val="16"/>
          <w:vertAlign w:val="superscript"/>
        </w:rPr>
        <w:t>7</w:t>
      </w:r>
      <w:r w:rsidRPr="002F2FDF">
        <w:rPr>
          <w:color w:val="000000" w:themeColor="text1"/>
          <w:kern w:val="2"/>
          <w:sz w:val="16"/>
          <w:szCs w:val="16"/>
        </w:rPr>
        <w:t xml:space="preserve"> правительству следующий ответ:</w:t>
      </w:r>
    </w:p>
    <w:p w14:paraId="3D136763" w14:textId="77777777" w:rsidR="00256266" w:rsidRPr="002F2FDF" w:rsidRDefault="00256266" w:rsidP="0083075A">
      <w:pPr>
        <w:pStyle w:val="rtejustify"/>
        <w:spacing w:before="0" w:after="0"/>
        <w:rPr>
          <w:color w:val="000000" w:themeColor="text1"/>
          <w:kern w:val="2"/>
          <w:sz w:val="16"/>
          <w:szCs w:val="16"/>
        </w:rPr>
      </w:pPr>
      <w:r w:rsidRPr="002F2FDF">
        <w:rPr>
          <w:color w:val="000000" w:themeColor="text1"/>
          <w:kern w:val="2"/>
          <w:sz w:val="16"/>
          <w:szCs w:val="16"/>
        </w:rPr>
        <w:t>«Министр финансов, видимо, заблуждается по поводу отношения к его правительству, каковое гораздо более благоприятно, чем он предполагает. Согласно существующим соглашениям, русское правительство может получить еще имеющуюся в его распоряжении сумму примерно в 65 млн ф. ст. Конечно, под эту сумму уже даны многочисленные обязательства. Однако, принимая во внимание, что размещенные в Америке заказы будут оплачиваться из предоставленных американским правительством кредитов, существующие обязательства русского правительства будут гораздо меньше 65 млн ф. ст.; даже если включить эти обязательства в Америке, вероятно, будет еще некоторый излишек. В любом случае английское казначейство действует и будет действовать, исходя из предположения о наличии значительного излишка для покрытия всех существующих потребностей. Поэтому нет никаких финансовых препятствий как для расчетов наличными, так и для принятия дальнейших обязательств по закупке предметов военного снаряжения. Казначейство указывает, что заявление о том, что русское правительство настоятельно нуждается в 25 млн ф. ст. на июль месяц, как ему кажется, не имеет отношения пи к одной из тех финансовых проблем, о которых ему известно.</w:t>
      </w:r>
    </w:p>
    <w:p w14:paraId="2C720FD6" w14:textId="77777777" w:rsidR="00256266" w:rsidRPr="002F2FDF" w:rsidRDefault="00256266" w:rsidP="0083075A">
      <w:pPr>
        <w:pStyle w:val="rtejustify"/>
        <w:spacing w:before="0" w:after="0"/>
        <w:rPr>
          <w:color w:val="000000" w:themeColor="text1"/>
          <w:kern w:val="2"/>
          <w:sz w:val="16"/>
          <w:szCs w:val="16"/>
        </w:rPr>
      </w:pPr>
      <w:r w:rsidRPr="002F2FDF">
        <w:rPr>
          <w:color w:val="000000" w:themeColor="text1"/>
          <w:kern w:val="2"/>
          <w:sz w:val="16"/>
          <w:szCs w:val="16"/>
        </w:rPr>
        <w:t>«Далее казначейство объясняет, что прискорбная неспособность его обеспечить дальнейшие кредиты в Японии имеет своей причиной не истощение кредитов в фунтах стерлингов на нужды русского правительства, а отсутствие возможности у английского правительства предоставить кредиты в иенах. Подобное положение все еще имеет место.</w:t>
      </w:r>
    </w:p>
    <w:p w14:paraId="2ED6616E" w14:textId="77777777" w:rsidR="00256266" w:rsidRPr="002F2FDF" w:rsidRDefault="00256266" w:rsidP="0083075A">
      <w:pPr>
        <w:pStyle w:val="rtejustify"/>
        <w:spacing w:before="0" w:after="0"/>
        <w:rPr>
          <w:color w:val="000000" w:themeColor="text1"/>
          <w:kern w:val="2"/>
          <w:sz w:val="16"/>
          <w:szCs w:val="16"/>
        </w:rPr>
      </w:pPr>
      <w:r w:rsidRPr="002F2FDF">
        <w:rPr>
          <w:color w:val="000000" w:themeColor="text1"/>
          <w:kern w:val="2"/>
          <w:sz w:val="16"/>
          <w:szCs w:val="16"/>
        </w:rPr>
        <w:t>«Что касается русских обязательств в Америке, английское правительство все еще оплачивает материалы, предоставляемые по контрактам, размещенным через Моргана или заказанные под гарантию английского правительства. Если русский министр считает, что мы прекратили оплату русских заказов, размещенных в Америке через Моргана, он должен совершенно не беспокоиться по этому вопросу. В то же самое время английское казначейство не может хладнокровно взирать на перспективу оттяжки на 1—2 месяца заключения соглашения русского правительства с американским об открытии кредитов, особенно принимая во внимание тот факт, что как русское, так и американское правительство, очевидно, согласились, что оплата обязательств британскому правительству должна составить первый же расход по этим кредитам. По мнению казначейства, нет причины для того, чтобы немедленно не предоставить предварительный кредит для этой цели, и казначейство считает, что его предоставление не должно быть связано с более сложным вопросом об условиях, на которых должны использоваться последующие кредиты» (15178).</w:t>
      </w:r>
    </w:p>
    <w:p w14:paraId="716486E2" w14:textId="77777777" w:rsidR="00256266" w:rsidRPr="002F2FDF" w:rsidRDefault="00256266"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389788B5"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864644B"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68513C"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июля 1917 года газета “Дейлиy Мейл” от писала: “Kаждый должен признать, что будущее нашей страны и всех союзников находится в руках тех, кому поручено создание и развитие нашего и союзного военно-воздушного флота. Каков бы ни был исход войны, она закончится в воздухе. Или мы совершим победоносный налет на противника, или последний опрокинет и раздавит нас натиском своей авиации”. Назначение на пост министра вооружений, который ведал тогда также и постройкой самолетов, столь видного и энергичного деятеля, как Черчилль, заставило ожидать определенных сдвигов английской авиапромышленности. Главным образом и учреждение самостоятельного воздушного министерства, давно отстаиваемое влиятельными кругами Англии и осуществленное, в ноябре 1917 года, должно было привести к укреплению воздушного могущества Британии. Во Франции состояние воздушного флота в особенности возбуждало недовольство. Уже в марте 1917 года нападки в парламенте на бюрократизм при приеме заказов на изготовление самолетов вызвали уход в отставку Военного министра. Неудача апрельскогонаступления 1917 года, на которое возлагались большие надежды, также была приписана слабости французской авиации. Начальнику военно-воздушного флота пришлось уйти в отставку; в целях лучшего использования имеющихся средств и быстрейшего усиления авиационных войск решено было приступить к их полной реорганизации. Прежде всего, однако, в обеих странах возлагали особые надежды на помощь вступивших в войну СевероАмериканских Соединенных Штатов, гигантские ресурсы которых должны были обеспечить союзникам громадный перевес в воздухе. Страницы неприятельских газет были полны самыми фантастическими домыслами. Ожидалось, что в самое ближайшее время тысячи американских самолетов наводнят Германию и поставят ее на колени (11282).</w:t>
      </w:r>
    </w:p>
    <w:p w14:paraId="73014947"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652ADF" w14:textId="77777777" w:rsidR="00256266" w:rsidRPr="002F2FDF" w:rsidRDefault="00256266"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июля 1917 представители славянских народов Балкан подписали Корфскую декларацию об объединении южных славян в единое государство (Югославию) после первой мировой войны (4962).</w:t>
      </w:r>
    </w:p>
    <w:p w14:paraId="2B2A6D14" w14:textId="77777777" w:rsidR="00256266" w:rsidRPr="002F2FDF" w:rsidRDefault="00256266"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A7575C"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июля 1917 представители сербов, хорватов и словенцев подписали на о. Корфу декларацию о стремлении к созданию единого государства (3907,91).</w:t>
      </w:r>
    </w:p>
    <w:p w14:paraId="4FCF15A6"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7E681B"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июля 1917, прикрывая отход 17-го армейского корпуса во время прорыва немцев на Тарнополь у урочища Лисьи Ямы (северо-восточнее Тарнополя), машины «Джеффери» 1-го отделения под командованием хорунжего Иноземцева, действуя как обычные броневики, атаковали немцев и под сильным артиллерийским огнём, заполняя прорывы в наших пехотных цепях, задержали продвижение противника на 3,5 часа. В тот же день 2-е отделение штабс-капитана Алексеевцева и 3-е штабс-капитана Устинова с 16 часов вели бой под м. Езерна, прикрывая эвакуацию имущества. С наступлением темноты, прорвавшись через объятую огнём Езерну и уничтожив склад боеприпасов, который не сумели вывезти, машины отошли к Тарнополю. 8 июля 1916 года все 3 отделения прикрывали переправы на реке Сереет и шоссе Тарнополь – Ново-Заложице. Не имея связи с пехотой, отходившей, не оказывая никакого сопротивления, броневики с 8 утра до 8 вечера сдерживали немцев, непрерывно атакуя их, расстреливая в упор и не давая продвигаться. Кроме того, машины дивизиона вывозили из-под огня раненых, брошенные отступавшими войсками пулемёты и орудия.</w:t>
      </w:r>
    </w:p>
    <w:p w14:paraId="4A6CB5BD"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ходе непрерывных 2-дневных боёв 2 броневика были разбиты огнём немецкой артиллерии, а 3 машины подорваны экипажами (из-за поломок вывести их в тыл не представлялось возможным). 18 июля 1-е отделение поддерживало части 122-й пехотной дивизии при атаке города Гжималув. Машины ворвались в город, помогли пехоте выбить оттуда противника и 1,5 километра преследовали его. Основной причиной эффективных действий «Джеффери» в июльских боях являлась их повышенная проходимость и подвижность (за счёт поворота передних и задних колёс) по сравнению с другими типами броневых автомобилей. Особенно это было заметно в боях 7 – 8 июля 1917 года, когда из-за дождей грунтовые дороги стали практически непроходимыми для автомашин. Однако выявились и серьёзные недостатки в системе бронировки и вооружения «Джеффери» (17005).</w:t>
      </w:r>
    </w:p>
    <w:p w14:paraId="4784FD02"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DF1579" w14:textId="77777777" w:rsidR="00247666"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E477276" w14:textId="77777777" w:rsidR="00247666" w:rsidRPr="002F2FDF" w:rsidRDefault="002476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FEF8DA" w14:textId="77777777" w:rsidR="00247666" w:rsidRPr="002F2FDF" w:rsidRDefault="00247666" w:rsidP="0083075A">
      <w:pPr>
        <w:pStyle w:val="1c"/>
        <w:spacing w:before="0" w:after="0"/>
        <w:jc w:val="both"/>
        <w:rPr>
          <w:color w:val="000000" w:themeColor="text1"/>
          <w:kern w:val="2"/>
          <w:sz w:val="16"/>
          <w:szCs w:val="16"/>
        </w:rPr>
      </w:pPr>
      <w:r w:rsidRPr="002F2FDF">
        <w:rPr>
          <w:color w:val="000000" w:themeColor="text1"/>
          <w:kern w:val="2"/>
          <w:sz w:val="16"/>
          <w:szCs w:val="16"/>
        </w:rPr>
        <w:t>В начале июля 1917 г.. ревизия выявила неудовлетворительное ведение отчетности по расходованию суммы первого аванса (в соответствии с существовавшей практикой, при заключении контракта российские поставщики получали от военного ведомства 30% предоплаты, остальная сумма выплачивалась по мере осуществления поставок) на заводе Адаменко в Карасубазаре. Также без положительного ответа осталось прошение о субсидии в 140000 руб. на расширение предприятия (12252).</w:t>
      </w:r>
    </w:p>
    <w:p w14:paraId="419D90D2" w14:textId="77777777" w:rsidR="00247666" w:rsidRPr="002F2FDF" w:rsidRDefault="00247666" w:rsidP="0083075A">
      <w:pPr>
        <w:pStyle w:val="1c"/>
        <w:spacing w:before="0" w:after="0"/>
        <w:jc w:val="both"/>
        <w:rPr>
          <w:color w:val="000000" w:themeColor="text1"/>
          <w:kern w:val="2"/>
          <w:sz w:val="16"/>
          <w:szCs w:val="16"/>
        </w:rPr>
      </w:pPr>
    </w:p>
    <w:p w14:paraId="54C9A90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76611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C443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июля 1917 г. после прорыва на Львовском и Тарнопольском направлениях немцы для дезорганизации отхода русских войск бросили сюда крупные воздушные соединения, которые совершали налеты на отходящие войска и эшелоны. Русские летчики-истребители перехватывали группы самолетов противника. В воздухе завязывались ожесточенные воздушные бои. В них принимали участие и французские истребительные отряды, действовавшие на Юго-Западном фтонте на стороне русской армии. Были случаи, когда в одном воздушном бою немцы теряли по шесть-семь самолетов (9705).</w:t>
      </w:r>
    </w:p>
    <w:p w14:paraId="616700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9A589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7456B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4B33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начале июля 1917 из 4-й, 6-й, 10-й и 11-й истребительных эскадрилий была сформирована 1-я истребительная эскадра под командованием ротмистра фон Рихтгофена. В результате облегчилась задача концентрации истребительных сил в одном месте, хотя в воздушном бою “боевой единицей” оставалась все еще истребительная эскадрилья. В лице ротмистра фон Рихтгофена, который после смерти Бельке стал нашим лучшим летчиком-истребителем, эскадра получила командира, чья стальная воля к победе и безусловная приверженность к наступательному образу действий вскоре передались каждому летчику его эскадры. Благородная скромность, открытый характер и летное искусство фон Рихтгофена вызывали доверие и, несмотря на молодость летчика, почтение (11821).</w:t>
      </w:r>
    </w:p>
    <w:p w14:paraId="1915CA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2C676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28727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1342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июля) июля 1917 в Москве открылся 1-й Всероссийский авиационный съезд и 250 делегатов заседали три месяца, выбрав Всероссийский Совет по авиации (Авиасовет) во главе с солдатом А.В.Сергеевым (3650).</w:t>
      </w:r>
    </w:p>
    <w:p w14:paraId="6BFC69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другим данным с 10 июля по 1 сентября (23-13 сентября) 1917 (237,130) состоялся 1 Всероссийский авиационный съезд и на нем избрали Всероссийский совет авиации (Авиасовет) - координация с его стороны позволила выпустить 1099 самолетов и 374 мотора (80,17).</w:t>
      </w:r>
    </w:p>
    <w:p w14:paraId="4D70CB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Еще на этом съезде Н.Е.Ж. высказал идею о создании НИ авиационного института (92,292).</w:t>
      </w:r>
    </w:p>
    <w:p w14:paraId="7B3434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DA383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июля 1917 в Москве открылся 1-й Всероссийский авиационный съезд. Присутствовало 250 делегатов с решающим и около 80 с совещательным голосом. Председателем съезда был избран пра</w:t>
      </w:r>
      <w:r w:rsidRPr="002F2FDF">
        <w:rPr>
          <w:rFonts w:ascii="Times New Roman" w:hAnsi="Times New Roman" w:cs="Times New Roman"/>
          <w:color w:val="000000" w:themeColor="text1"/>
          <w:kern w:val="2"/>
          <w:sz w:val="16"/>
          <w:szCs w:val="16"/>
        </w:rPr>
        <w:softHyphen/>
        <w:t>порщик Петр Григорьевич Шолин, почетным председателем - про</w:t>
      </w:r>
      <w:r w:rsidRPr="002F2FDF">
        <w:rPr>
          <w:rFonts w:ascii="Times New Roman" w:hAnsi="Times New Roman" w:cs="Times New Roman"/>
          <w:color w:val="000000" w:themeColor="text1"/>
          <w:kern w:val="2"/>
          <w:sz w:val="16"/>
          <w:szCs w:val="16"/>
        </w:rPr>
        <w:softHyphen/>
        <w:t>фессор Н.Е.Жуковский. Съезд заседал почти три месяца, вынес много резолюций, зачастую противоречивых, о реорганизации и будущей деятельности авиации и выбрал "Всероссийский Совет авиации" ("Авиэсовет") в составе 31 человека с негласным пол</w:t>
      </w:r>
      <w:r w:rsidRPr="002F2FDF">
        <w:rPr>
          <w:rFonts w:ascii="Times New Roman" w:hAnsi="Times New Roman" w:cs="Times New Roman"/>
          <w:color w:val="000000" w:themeColor="text1"/>
          <w:kern w:val="2"/>
          <w:sz w:val="16"/>
          <w:szCs w:val="16"/>
        </w:rPr>
        <w:softHyphen/>
        <w:t>номочием взять в своих руки управление воздушным флотом в кри</w:t>
      </w:r>
      <w:r w:rsidRPr="002F2FDF">
        <w:rPr>
          <w:rFonts w:ascii="Times New Roman" w:hAnsi="Times New Roman" w:cs="Times New Roman"/>
          <w:color w:val="000000" w:themeColor="text1"/>
          <w:kern w:val="2"/>
          <w:sz w:val="16"/>
          <w:szCs w:val="16"/>
        </w:rPr>
        <w:softHyphen/>
        <w:t>тический момент. Председателем Авиэсоветэ был избран летчик из солдат Андрей Васильевич Сергеев. (ЦГВИА. ф.493, оп.15, Д. 10).</w:t>
      </w:r>
    </w:p>
    <w:p w14:paraId="7AAAB81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7E80F3" w14:textId="77777777" w:rsidR="00256266" w:rsidRPr="00815ED5" w:rsidRDefault="00256266"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8 </w:t>
      </w:r>
      <w:r>
        <w:rPr>
          <w:rFonts w:ascii="Times New Roman" w:hAnsi="Times New Roman" w:cs="Times New Roman"/>
          <w:color w:val="0070C0"/>
          <w:sz w:val="16"/>
          <w:szCs w:val="16"/>
        </w:rPr>
        <w:t>(21) и</w:t>
      </w:r>
      <w:r w:rsidRPr="00815ED5">
        <w:rPr>
          <w:rFonts w:ascii="Times New Roman" w:hAnsi="Times New Roman" w:cs="Times New Roman"/>
          <w:color w:val="0070C0"/>
          <w:sz w:val="16"/>
          <w:szCs w:val="16"/>
        </w:rPr>
        <w:t>юля</w:t>
      </w:r>
      <w:r>
        <w:rPr>
          <w:rFonts w:ascii="Times New Roman" w:hAnsi="Times New Roman" w:cs="Times New Roman"/>
          <w:color w:val="0070C0"/>
          <w:sz w:val="16"/>
          <w:szCs w:val="16"/>
        </w:rPr>
        <w:t xml:space="preserve">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М</w:t>
      </w:r>
      <w:r w:rsidRPr="00815ED5">
        <w:rPr>
          <w:rFonts w:ascii="Times New Roman" w:hAnsi="Times New Roman" w:cs="Times New Roman"/>
          <w:color w:val="0070C0"/>
          <w:sz w:val="16"/>
          <w:szCs w:val="16"/>
        </w:rPr>
        <w:t>оскве открылся 1-</w:t>
      </w:r>
      <w:r>
        <w:rPr>
          <w:rFonts w:ascii="Times New Roman" w:hAnsi="Times New Roman" w:cs="Times New Roman"/>
          <w:color w:val="0070C0"/>
          <w:sz w:val="16"/>
          <w:szCs w:val="16"/>
        </w:rPr>
        <w:t>й</w:t>
      </w:r>
      <w:r w:rsidRPr="00815ED5">
        <w:rPr>
          <w:rFonts w:ascii="Times New Roman" w:hAnsi="Times New Roman" w:cs="Times New Roman"/>
          <w:color w:val="0070C0"/>
          <w:sz w:val="16"/>
          <w:szCs w:val="16"/>
        </w:rPr>
        <w:t xml:space="preserve"> Всероссийский а</w:t>
      </w:r>
      <w:r>
        <w:rPr>
          <w:rFonts w:ascii="Times New Roman" w:hAnsi="Times New Roman" w:cs="Times New Roman"/>
          <w:color w:val="0070C0"/>
          <w:sz w:val="16"/>
          <w:szCs w:val="16"/>
        </w:rPr>
        <w:t>ви</w:t>
      </w:r>
      <w:r w:rsidRPr="00815ED5">
        <w:rPr>
          <w:rFonts w:ascii="Times New Roman" w:hAnsi="Times New Roman" w:cs="Times New Roman"/>
          <w:color w:val="0070C0"/>
          <w:sz w:val="16"/>
          <w:szCs w:val="16"/>
        </w:rPr>
        <w:t>а</w:t>
      </w:r>
      <w:r>
        <w:rPr>
          <w:rFonts w:ascii="Times New Roman" w:hAnsi="Times New Roman" w:cs="Times New Roman"/>
          <w:color w:val="0070C0"/>
          <w:sz w:val="16"/>
          <w:szCs w:val="16"/>
        </w:rPr>
        <w:t>ц</w:t>
      </w:r>
      <w:r w:rsidRPr="00815ED5">
        <w:rPr>
          <w:rFonts w:ascii="Times New Roman" w:hAnsi="Times New Roman" w:cs="Times New Roman"/>
          <w:color w:val="0070C0"/>
          <w:sz w:val="16"/>
          <w:szCs w:val="16"/>
        </w:rPr>
        <w:t>ионн</w:t>
      </w:r>
      <w:r>
        <w:rPr>
          <w:rFonts w:ascii="Times New Roman" w:hAnsi="Times New Roman" w:cs="Times New Roman"/>
          <w:color w:val="0070C0"/>
          <w:sz w:val="16"/>
          <w:szCs w:val="16"/>
        </w:rPr>
        <w:t>ый</w:t>
      </w:r>
      <w:r w:rsidRPr="00815ED5">
        <w:rPr>
          <w:rFonts w:ascii="Times New Roman" w:hAnsi="Times New Roman" w:cs="Times New Roman"/>
          <w:color w:val="0070C0"/>
          <w:sz w:val="16"/>
          <w:szCs w:val="16"/>
        </w:rPr>
        <w:t xml:space="preserve"> с</w:t>
      </w:r>
      <w:r>
        <w:rPr>
          <w:rFonts w:ascii="Times New Roman" w:hAnsi="Times New Roman" w:cs="Times New Roman"/>
          <w:color w:val="0070C0"/>
          <w:sz w:val="16"/>
          <w:szCs w:val="16"/>
        </w:rPr>
        <w:t>ъ</w:t>
      </w:r>
      <w:r w:rsidRPr="00815ED5">
        <w:rPr>
          <w:rFonts w:ascii="Times New Roman" w:hAnsi="Times New Roman" w:cs="Times New Roman"/>
          <w:color w:val="0070C0"/>
          <w:sz w:val="16"/>
          <w:szCs w:val="16"/>
        </w:rPr>
        <w:t>езд. Присутствовало 250 делегатов с ре</w:t>
      </w:r>
      <w:r>
        <w:rPr>
          <w:rFonts w:ascii="Times New Roman" w:hAnsi="Times New Roman" w:cs="Times New Roman"/>
          <w:color w:val="0070C0"/>
          <w:sz w:val="16"/>
          <w:szCs w:val="16"/>
        </w:rPr>
        <w:t>шющим</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 xml:space="preserve"> около 80 с совещатель</w:t>
      </w:r>
      <w:r w:rsidRPr="00815ED5">
        <w:rPr>
          <w:rFonts w:ascii="Times New Roman" w:hAnsi="Times New Roman" w:cs="Times New Roman"/>
          <w:color w:val="0070C0"/>
          <w:sz w:val="16"/>
          <w:szCs w:val="16"/>
        </w:rPr>
        <w:softHyphen/>
        <w:t>ным голосом.</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Председателе</w:t>
      </w:r>
      <w:r>
        <w:rPr>
          <w:rFonts w:ascii="Times New Roman" w:hAnsi="Times New Roman" w:cs="Times New Roman"/>
          <w:color w:val="0070C0"/>
          <w:sz w:val="16"/>
          <w:szCs w:val="16"/>
        </w:rPr>
        <w:t>м</w:t>
      </w:r>
      <w:r w:rsidRPr="00815ED5">
        <w:rPr>
          <w:rFonts w:ascii="Times New Roman" w:hAnsi="Times New Roman" w:cs="Times New Roman"/>
          <w:color w:val="0070C0"/>
          <w:sz w:val="16"/>
          <w:szCs w:val="16"/>
        </w:rPr>
        <w:t xml:space="preserve"> съезда бил избрал иралорщ</w:t>
      </w:r>
      <w:r>
        <w:rPr>
          <w:rFonts w:ascii="Times New Roman" w:hAnsi="Times New Roman" w:cs="Times New Roman"/>
          <w:color w:val="0070C0"/>
          <w:sz w:val="16"/>
          <w:szCs w:val="16"/>
        </w:rPr>
        <w:t>ик</w:t>
      </w:r>
      <w:r w:rsidRPr="00815ED5">
        <w:rPr>
          <w:rFonts w:ascii="Times New Roman" w:hAnsi="Times New Roman" w:cs="Times New Roman"/>
          <w:color w:val="0070C0"/>
          <w:sz w:val="16"/>
          <w:szCs w:val="16"/>
        </w:rPr>
        <w:t xml:space="preserve"> Петр Григо</w:t>
      </w:r>
      <w:r w:rsidRPr="00815ED5">
        <w:rPr>
          <w:rFonts w:ascii="Times New Roman" w:hAnsi="Times New Roman" w:cs="Times New Roman"/>
          <w:color w:val="0070C0"/>
          <w:sz w:val="16"/>
          <w:szCs w:val="16"/>
        </w:rPr>
        <w:softHyphen/>
        <w:t xml:space="preserve">рьевич </w:t>
      </w:r>
      <w:r>
        <w:rPr>
          <w:rFonts w:ascii="Times New Roman" w:hAnsi="Times New Roman" w:cs="Times New Roman"/>
          <w:color w:val="0070C0"/>
          <w:sz w:val="16"/>
          <w:szCs w:val="16"/>
        </w:rPr>
        <w:t>Ш</w:t>
      </w:r>
      <w:r w:rsidRPr="00815ED5">
        <w:rPr>
          <w:rFonts w:ascii="Times New Roman" w:hAnsi="Times New Roman" w:cs="Times New Roman"/>
          <w:color w:val="0070C0"/>
          <w:sz w:val="16"/>
          <w:szCs w:val="16"/>
        </w:rPr>
        <w:t>олин,</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почетн</w:t>
      </w:r>
      <w:r>
        <w:rPr>
          <w:rFonts w:ascii="Times New Roman" w:hAnsi="Times New Roman" w:cs="Times New Roman"/>
          <w:color w:val="0070C0"/>
          <w:sz w:val="16"/>
          <w:szCs w:val="16"/>
        </w:rPr>
        <w:t>ым</w:t>
      </w:r>
      <w:r w:rsidRPr="00815ED5">
        <w:rPr>
          <w:rFonts w:ascii="Times New Roman" w:hAnsi="Times New Roman" w:cs="Times New Roman"/>
          <w:color w:val="0070C0"/>
          <w:sz w:val="16"/>
          <w:szCs w:val="16"/>
        </w:rPr>
        <w:t xml:space="preserve"> председателем — </w:t>
      </w:r>
      <w:r>
        <w:rPr>
          <w:rFonts w:ascii="Times New Roman" w:hAnsi="Times New Roman" w:cs="Times New Roman"/>
          <w:color w:val="0070C0"/>
          <w:sz w:val="16"/>
          <w:szCs w:val="16"/>
        </w:rPr>
        <w:t>п</w:t>
      </w:r>
      <w:r w:rsidRPr="00815ED5">
        <w:rPr>
          <w:rFonts w:ascii="Times New Roman" w:hAnsi="Times New Roman" w:cs="Times New Roman"/>
          <w:color w:val="0070C0"/>
          <w:sz w:val="16"/>
          <w:szCs w:val="16"/>
        </w:rPr>
        <w:t>роф</w:t>
      </w:r>
      <w:r>
        <w:rPr>
          <w:rFonts w:ascii="Times New Roman" w:hAnsi="Times New Roman" w:cs="Times New Roman"/>
          <w:color w:val="0070C0"/>
          <w:sz w:val="16"/>
          <w:szCs w:val="16"/>
        </w:rPr>
        <w:t>. Н.</w:t>
      </w:r>
      <w:r w:rsidRPr="00815ED5">
        <w:rPr>
          <w:rFonts w:ascii="Times New Roman" w:hAnsi="Times New Roman" w:cs="Times New Roman"/>
          <w:color w:val="0070C0"/>
          <w:sz w:val="16"/>
          <w:szCs w:val="16"/>
        </w:rPr>
        <w:t>Е</w:t>
      </w:r>
      <w:r>
        <w:rPr>
          <w:rFonts w:ascii="Times New Roman" w:hAnsi="Times New Roman" w:cs="Times New Roman"/>
          <w:color w:val="0070C0"/>
          <w:sz w:val="16"/>
          <w:szCs w:val="16"/>
        </w:rPr>
        <w:t>.Ж</w:t>
      </w:r>
      <w:r w:rsidRPr="00815ED5">
        <w:rPr>
          <w:rFonts w:ascii="Times New Roman" w:hAnsi="Times New Roman" w:cs="Times New Roman"/>
          <w:color w:val="0070C0"/>
          <w:sz w:val="16"/>
          <w:szCs w:val="16"/>
        </w:rPr>
        <w:t>уковски</w:t>
      </w:r>
      <w:r>
        <w:rPr>
          <w:rFonts w:ascii="Times New Roman" w:hAnsi="Times New Roman" w:cs="Times New Roman"/>
          <w:color w:val="0070C0"/>
          <w:sz w:val="16"/>
          <w:szCs w:val="16"/>
        </w:rPr>
        <w:t xml:space="preserve">й. </w:t>
      </w:r>
      <w:r w:rsidRPr="00815ED5">
        <w:rPr>
          <w:rFonts w:ascii="Times New Roman" w:hAnsi="Times New Roman" w:cs="Times New Roman"/>
          <w:color w:val="0070C0"/>
          <w:sz w:val="16"/>
          <w:szCs w:val="16"/>
        </w:rPr>
        <w:t>С</w:t>
      </w:r>
      <w:r>
        <w:rPr>
          <w:rFonts w:ascii="Times New Roman" w:hAnsi="Times New Roman" w:cs="Times New Roman"/>
          <w:color w:val="0070C0"/>
          <w:sz w:val="16"/>
          <w:szCs w:val="16"/>
        </w:rPr>
        <w:t>ъ</w:t>
      </w:r>
      <w:r w:rsidRPr="00815ED5">
        <w:rPr>
          <w:rFonts w:ascii="Times New Roman" w:hAnsi="Times New Roman" w:cs="Times New Roman"/>
          <w:color w:val="0070C0"/>
          <w:sz w:val="16"/>
          <w:szCs w:val="16"/>
        </w:rPr>
        <w:t xml:space="preserve">езд заседал почти три </w:t>
      </w:r>
      <w:r>
        <w:rPr>
          <w:rFonts w:ascii="Times New Roman" w:hAnsi="Times New Roman" w:cs="Times New Roman"/>
          <w:color w:val="0070C0"/>
          <w:sz w:val="16"/>
          <w:szCs w:val="16"/>
        </w:rPr>
        <w:t>м</w:t>
      </w:r>
      <w:r w:rsidRPr="00815ED5">
        <w:rPr>
          <w:rFonts w:ascii="Times New Roman" w:hAnsi="Times New Roman" w:cs="Times New Roman"/>
          <w:color w:val="0070C0"/>
          <w:sz w:val="16"/>
          <w:szCs w:val="16"/>
        </w:rPr>
        <w:t>есяца</w:t>
      </w:r>
      <w:r>
        <w:rPr>
          <w:rFonts w:ascii="Times New Roman" w:hAnsi="Times New Roman" w:cs="Times New Roman"/>
          <w:color w:val="0070C0"/>
          <w:sz w:val="16"/>
          <w:szCs w:val="16"/>
        </w:rPr>
        <w:t xml:space="preserve"> и вынес </w:t>
      </w:r>
      <w:r w:rsidRPr="00815ED5">
        <w:rPr>
          <w:rFonts w:ascii="Times New Roman" w:hAnsi="Times New Roman" w:cs="Times New Roman"/>
          <w:color w:val="0070C0"/>
          <w:sz w:val="16"/>
          <w:szCs w:val="16"/>
        </w:rPr>
        <w:t>м</w:t>
      </w:r>
      <w:r>
        <w:rPr>
          <w:rFonts w:ascii="Times New Roman" w:hAnsi="Times New Roman" w:cs="Times New Roman"/>
          <w:color w:val="0070C0"/>
          <w:sz w:val="16"/>
          <w:szCs w:val="16"/>
        </w:rPr>
        <w:t>н</w:t>
      </w:r>
      <w:r w:rsidRPr="00815ED5">
        <w:rPr>
          <w:rFonts w:ascii="Times New Roman" w:hAnsi="Times New Roman" w:cs="Times New Roman"/>
          <w:color w:val="0070C0"/>
          <w:sz w:val="16"/>
          <w:szCs w:val="16"/>
        </w:rPr>
        <w:t>ого рез</w:t>
      </w:r>
      <w:r>
        <w:rPr>
          <w:rFonts w:ascii="Times New Roman" w:hAnsi="Times New Roman" w:cs="Times New Roman"/>
          <w:color w:val="0070C0"/>
          <w:sz w:val="16"/>
          <w:szCs w:val="16"/>
        </w:rPr>
        <w:t>олюций</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зачасту</w:t>
      </w:r>
      <w:r>
        <w:rPr>
          <w:rFonts w:ascii="Times New Roman" w:hAnsi="Times New Roman" w:cs="Times New Roman"/>
          <w:color w:val="0070C0"/>
          <w:sz w:val="16"/>
          <w:szCs w:val="16"/>
        </w:rPr>
        <w:t>ю</w:t>
      </w:r>
      <w:r w:rsidRPr="00815ED5">
        <w:rPr>
          <w:rFonts w:ascii="Times New Roman" w:hAnsi="Times New Roman" w:cs="Times New Roman"/>
          <w:color w:val="0070C0"/>
          <w:sz w:val="16"/>
          <w:szCs w:val="16"/>
        </w:rPr>
        <w:t xml:space="preserve"> противо</w:t>
      </w:r>
      <w:r w:rsidRPr="00815ED5">
        <w:rPr>
          <w:rFonts w:ascii="Times New Roman" w:hAnsi="Times New Roman" w:cs="Times New Roman"/>
          <w:color w:val="0070C0"/>
          <w:sz w:val="16"/>
          <w:szCs w:val="16"/>
        </w:rPr>
        <w:softHyphen/>
        <w:t xml:space="preserve">речивых, о реорганизации </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 xml:space="preserve"> буду</w:t>
      </w:r>
      <w:r>
        <w:rPr>
          <w:rFonts w:ascii="Times New Roman" w:hAnsi="Times New Roman" w:cs="Times New Roman"/>
          <w:color w:val="0070C0"/>
          <w:sz w:val="16"/>
          <w:szCs w:val="16"/>
        </w:rPr>
        <w:t>щей</w:t>
      </w:r>
      <w:r w:rsidRPr="00815ED5">
        <w:rPr>
          <w:rFonts w:ascii="Times New Roman" w:hAnsi="Times New Roman" w:cs="Times New Roman"/>
          <w:color w:val="0070C0"/>
          <w:sz w:val="16"/>
          <w:szCs w:val="16"/>
        </w:rPr>
        <w:t xml:space="preserve"> деятельности авиации </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 xml:space="preserve"> в</w:t>
      </w:r>
      <w:r>
        <w:rPr>
          <w:rFonts w:ascii="Times New Roman" w:hAnsi="Times New Roman" w:cs="Times New Roman"/>
          <w:color w:val="0070C0"/>
          <w:sz w:val="16"/>
          <w:szCs w:val="16"/>
        </w:rPr>
        <w:t>ы</w:t>
      </w:r>
      <w:r w:rsidRPr="00815ED5">
        <w:rPr>
          <w:rFonts w:ascii="Times New Roman" w:hAnsi="Times New Roman" w:cs="Times New Roman"/>
          <w:color w:val="0070C0"/>
          <w:sz w:val="16"/>
          <w:szCs w:val="16"/>
        </w:rPr>
        <w:t>брал "Всероссийский Совет авиации /"Ав</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 xml:space="preserve">асовет"/ в составе 31 человека с </w:t>
      </w:r>
      <w:r>
        <w:rPr>
          <w:rFonts w:ascii="Times New Roman" w:hAnsi="Times New Roman" w:cs="Times New Roman"/>
          <w:color w:val="0070C0"/>
          <w:sz w:val="16"/>
          <w:szCs w:val="16"/>
        </w:rPr>
        <w:t>н</w:t>
      </w:r>
      <w:r w:rsidRPr="00815ED5">
        <w:rPr>
          <w:rFonts w:ascii="Times New Roman" w:hAnsi="Times New Roman" w:cs="Times New Roman"/>
          <w:color w:val="0070C0"/>
          <w:sz w:val="16"/>
          <w:szCs w:val="16"/>
        </w:rPr>
        <w:t>ег</w:t>
      </w:r>
      <w:r>
        <w:rPr>
          <w:rFonts w:ascii="Times New Roman" w:hAnsi="Times New Roman" w:cs="Times New Roman"/>
          <w:color w:val="0070C0"/>
          <w:sz w:val="16"/>
          <w:szCs w:val="16"/>
        </w:rPr>
        <w:t>л</w:t>
      </w:r>
      <w:r w:rsidRPr="00815ED5">
        <w:rPr>
          <w:rFonts w:ascii="Times New Roman" w:hAnsi="Times New Roman" w:cs="Times New Roman"/>
          <w:color w:val="0070C0"/>
          <w:sz w:val="16"/>
          <w:szCs w:val="16"/>
        </w:rPr>
        <w:t>асн</w:t>
      </w:r>
      <w:r>
        <w:rPr>
          <w:rFonts w:ascii="Times New Roman" w:hAnsi="Times New Roman" w:cs="Times New Roman"/>
          <w:color w:val="0070C0"/>
          <w:sz w:val="16"/>
          <w:szCs w:val="16"/>
        </w:rPr>
        <w:t>ы</w:t>
      </w:r>
      <w:r w:rsidRPr="00815ED5">
        <w:rPr>
          <w:rFonts w:ascii="Times New Roman" w:hAnsi="Times New Roman" w:cs="Times New Roman"/>
          <w:color w:val="0070C0"/>
          <w:sz w:val="16"/>
          <w:szCs w:val="16"/>
        </w:rPr>
        <w:t>м полномочием ваять в свои ру</w:t>
      </w:r>
      <w:r>
        <w:rPr>
          <w:rFonts w:ascii="Times New Roman" w:hAnsi="Times New Roman" w:cs="Times New Roman"/>
          <w:color w:val="0070C0"/>
          <w:sz w:val="16"/>
          <w:szCs w:val="16"/>
        </w:rPr>
        <w:t>к</w:t>
      </w:r>
      <w:r w:rsidRPr="00815ED5">
        <w:rPr>
          <w:rFonts w:ascii="Times New Roman" w:hAnsi="Times New Roman" w:cs="Times New Roman"/>
          <w:color w:val="0070C0"/>
          <w:sz w:val="16"/>
          <w:szCs w:val="16"/>
        </w:rPr>
        <w:t>и уиравле</w:t>
      </w:r>
      <w:r>
        <w:rPr>
          <w:rFonts w:ascii="Times New Roman" w:hAnsi="Times New Roman" w:cs="Times New Roman"/>
          <w:color w:val="0070C0"/>
          <w:sz w:val="16"/>
          <w:szCs w:val="16"/>
        </w:rPr>
        <w:t>н</w:t>
      </w:r>
      <w:r w:rsidRPr="00815ED5">
        <w:rPr>
          <w:rFonts w:ascii="Times New Roman" w:hAnsi="Times New Roman" w:cs="Times New Roman"/>
          <w:color w:val="0070C0"/>
          <w:sz w:val="16"/>
          <w:szCs w:val="16"/>
        </w:rPr>
        <w:t>ие возду</w:t>
      </w:r>
      <w:r>
        <w:rPr>
          <w:rFonts w:ascii="Times New Roman" w:hAnsi="Times New Roman" w:cs="Times New Roman"/>
          <w:color w:val="0070C0"/>
          <w:sz w:val="16"/>
          <w:szCs w:val="16"/>
        </w:rPr>
        <w:t>шным</w:t>
      </w:r>
      <w:r w:rsidRPr="00815ED5">
        <w:rPr>
          <w:rFonts w:ascii="Times New Roman" w:hAnsi="Times New Roman" w:cs="Times New Roman"/>
          <w:color w:val="0070C0"/>
          <w:sz w:val="16"/>
          <w:szCs w:val="16"/>
        </w:rPr>
        <w:t xml:space="preserve"> флотом в критически</w:t>
      </w:r>
      <w:r>
        <w:rPr>
          <w:rFonts w:ascii="Times New Roman" w:hAnsi="Times New Roman" w:cs="Times New Roman"/>
          <w:color w:val="0070C0"/>
          <w:sz w:val="16"/>
          <w:szCs w:val="16"/>
        </w:rPr>
        <w:t>й</w:t>
      </w:r>
      <w:r w:rsidRPr="00815ED5">
        <w:rPr>
          <w:rFonts w:ascii="Times New Roman" w:hAnsi="Times New Roman" w:cs="Times New Roman"/>
          <w:color w:val="0070C0"/>
          <w:sz w:val="16"/>
          <w:szCs w:val="16"/>
        </w:rPr>
        <w:t xml:space="preserve"> моме</w:t>
      </w:r>
      <w:r>
        <w:rPr>
          <w:rFonts w:ascii="Times New Roman" w:hAnsi="Times New Roman" w:cs="Times New Roman"/>
          <w:color w:val="0070C0"/>
          <w:sz w:val="16"/>
          <w:szCs w:val="16"/>
        </w:rPr>
        <w:t>н</w:t>
      </w:r>
      <w:r w:rsidRPr="00815ED5">
        <w:rPr>
          <w:rFonts w:ascii="Times New Roman" w:hAnsi="Times New Roman" w:cs="Times New Roman"/>
          <w:color w:val="0070C0"/>
          <w:sz w:val="16"/>
          <w:szCs w:val="16"/>
        </w:rPr>
        <w:t>т.</w:t>
      </w:r>
      <w:r>
        <w:rPr>
          <w:rFonts w:ascii="Times New Roman" w:hAnsi="Times New Roman" w:cs="Times New Roman"/>
          <w:color w:val="0070C0"/>
          <w:sz w:val="16"/>
          <w:szCs w:val="16"/>
        </w:rPr>
        <w:t xml:space="preserve"> П</w:t>
      </w:r>
      <w:r w:rsidRPr="00815ED5">
        <w:rPr>
          <w:rFonts w:ascii="Times New Roman" w:hAnsi="Times New Roman" w:cs="Times New Roman"/>
          <w:color w:val="0070C0"/>
          <w:sz w:val="16"/>
          <w:szCs w:val="16"/>
        </w:rPr>
        <w:t xml:space="preserve">редседателем </w:t>
      </w:r>
      <w:r>
        <w:rPr>
          <w:rFonts w:ascii="Times New Roman" w:hAnsi="Times New Roman" w:cs="Times New Roman"/>
          <w:color w:val="0070C0"/>
          <w:sz w:val="16"/>
          <w:szCs w:val="16"/>
        </w:rPr>
        <w:t>а</w:t>
      </w:r>
      <w:r w:rsidRPr="00815ED5">
        <w:rPr>
          <w:rFonts w:ascii="Times New Roman" w:hAnsi="Times New Roman" w:cs="Times New Roman"/>
          <w:color w:val="0070C0"/>
          <w:sz w:val="16"/>
          <w:szCs w:val="16"/>
        </w:rPr>
        <w:t>в</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асовета был избран</w:t>
      </w:r>
      <w:r>
        <w:rPr>
          <w:rFonts w:ascii="Times New Roman" w:hAnsi="Times New Roman" w:cs="Times New Roman"/>
          <w:color w:val="0070C0"/>
          <w:sz w:val="16"/>
          <w:szCs w:val="16"/>
        </w:rPr>
        <w:t xml:space="preserve"> Андрей Васильевич Сергеев.</w:t>
      </w:r>
    </w:p>
    <w:p w14:paraId="4D25E60F" w14:textId="77777777" w:rsidR="00256266" w:rsidRDefault="00256266"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Ц</w:t>
      </w:r>
      <w:r w:rsidRPr="00815ED5">
        <w:rPr>
          <w:rFonts w:ascii="Times New Roman" w:hAnsi="Times New Roman" w:cs="Times New Roman"/>
          <w:color w:val="0070C0"/>
          <w:sz w:val="16"/>
          <w:szCs w:val="16"/>
        </w:rPr>
        <w:t>ГВ</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А</w:t>
      </w:r>
      <w:r>
        <w:rPr>
          <w:rFonts w:ascii="Times New Roman" w:hAnsi="Times New Roman" w:cs="Times New Roman"/>
          <w:color w:val="0070C0"/>
          <w:sz w:val="16"/>
          <w:szCs w:val="16"/>
        </w:rPr>
        <w:t>, ф</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493</w:t>
      </w:r>
      <w:r>
        <w:rPr>
          <w:rFonts w:ascii="Times New Roman" w:hAnsi="Times New Roman" w:cs="Times New Roman"/>
          <w:color w:val="0070C0"/>
          <w:sz w:val="16"/>
          <w:szCs w:val="16"/>
        </w:rPr>
        <w:t>, оп. 1</w:t>
      </w:r>
      <w:r w:rsidRPr="00815ED5">
        <w:rPr>
          <w:rFonts w:ascii="Times New Roman" w:hAnsi="Times New Roman" w:cs="Times New Roman"/>
          <w:color w:val="0070C0"/>
          <w:sz w:val="16"/>
          <w:szCs w:val="16"/>
        </w:rPr>
        <w:t>5</w:t>
      </w:r>
      <w:r>
        <w:rPr>
          <w:rFonts w:ascii="Times New Roman" w:hAnsi="Times New Roman" w:cs="Times New Roman"/>
          <w:color w:val="0070C0"/>
          <w:sz w:val="16"/>
          <w:szCs w:val="16"/>
        </w:rPr>
        <w:t>, д</w:t>
      </w:r>
      <w:r w:rsidRPr="00815ED5">
        <w:rPr>
          <w:rFonts w:ascii="Times New Roman" w:hAnsi="Times New Roman" w:cs="Times New Roman"/>
          <w:color w:val="0070C0"/>
          <w:sz w:val="16"/>
          <w:szCs w:val="16"/>
        </w:rPr>
        <w:t>.10/</w:t>
      </w:r>
      <w:r>
        <w:rPr>
          <w:rFonts w:ascii="Times New Roman" w:hAnsi="Times New Roman" w:cs="Times New Roman"/>
          <w:color w:val="0070C0"/>
          <w:sz w:val="16"/>
          <w:szCs w:val="16"/>
        </w:rPr>
        <w:t xml:space="preserve"> (23320).</w:t>
      </w:r>
    </w:p>
    <w:p w14:paraId="41F7A9FC" w14:textId="77777777" w:rsidR="00256266" w:rsidRDefault="00256266" w:rsidP="0083075A">
      <w:pPr>
        <w:spacing w:after="0" w:line="240" w:lineRule="auto"/>
        <w:jc w:val="both"/>
        <w:rPr>
          <w:rFonts w:ascii="Times New Roman" w:hAnsi="Times New Roman" w:cs="Times New Roman"/>
          <w:color w:val="0070C0"/>
          <w:sz w:val="16"/>
          <w:szCs w:val="16"/>
        </w:rPr>
      </w:pPr>
    </w:p>
    <w:p w14:paraId="02655A12" w14:textId="77777777" w:rsidR="00C312C3" w:rsidRPr="002F2FDF" w:rsidRDefault="00C312C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053D2701" w14:textId="77777777" w:rsidR="00C312C3" w:rsidRPr="002F2FDF" w:rsidRDefault="00C312C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0E0944" w14:textId="77777777" w:rsidR="00C312C3" w:rsidRPr="002F2FDF" w:rsidRDefault="00C312C3" w:rsidP="0083075A">
      <w:pPr>
        <w:pStyle w:val="p1"/>
        <w:spacing w:before="0" w:beforeAutospacing="0" w:after="0" w:afterAutospacing="0"/>
        <w:jc w:val="both"/>
        <w:rPr>
          <w:color w:val="000000" w:themeColor="text1"/>
          <w:sz w:val="16"/>
          <w:szCs w:val="16"/>
        </w:rPr>
      </w:pPr>
      <w:r w:rsidRPr="002F2FDF">
        <w:rPr>
          <w:color w:val="000000" w:themeColor="text1"/>
          <w:sz w:val="16"/>
          <w:szCs w:val="16"/>
        </w:rPr>
        <w:t>8 (21) июля 1917 г. Особое совещание по обороне, рассмотрев результаты обследования округа ревизионной комиссией, постановило «в интересах обороны» и «в ограждение интересов казны» потребовать от Солодовникова «полного отчета в израсходовании полученных им авансов» и «принять возможные меры к возвращению» их в казну; часть заказов аннулировать, другие сократить; морскому ведомству — заняться «выяснением обстоятельств выдачи заказов Солодовникову на изготовление тяжелых снарядов». Три месяца спустя, когда обнаружилось, что Солодовников «определенно стремится к закрытию предприятия» и «все сделанные им распоряжения гибельно отражались на постановке дела», Особое совещание решило округ секвестровать, «признав принципиально желательным приобретение названного округа в казну». Опыт сотрудничества с частной инициативой, как обобщил его Маниковский, указывал на «необходимость самому военному ведомству озаботиться принятием надлежащих мер для создания в возможно недалеком будущем производства многочисленной и могущественной артиллерии» (18409).</w:t>
      </w:r>
    </w:p>
    <w:p w14:paraId="33862D24" w14:textId="77777777" w:rsidR="00C312C3" w:rsidRPr="002F2FDF" w:rsidRDefault="00C312C3" w:rsidP="0083075A">
      <w:pPr>
        <w:pStyle w:val="p1"/>
        <w:spacing w:before="0" w:beforeAutospacing="0" w:after="0" w:afterAutospacing="0"/>
        <w:jc w:val="both"/>
        <w:rPr>
          <w:color w:val="000000" w:themeColor="text1"/>
          <w:sz w:val="16"/>
          <w:szCs w:val="16"/>
        </w:rPr>
      </w:pPr>
    </w:p>
    <w:p w14:paraId="3D7E988E" w14:textId="77777777" w:rsidR="00C312C3" w:rsidRPr="002F2FDF" w:rsidRDefault="00C312C3" w:rsidP="0083075A">
      <w:pPr>
        <w:pStyle w:val="p1"/>
        <w:spacing w:before="0" w:beforeAutospacing="0" w:after="0" w:afterAutospacing="0"/>
        <w:jc w:val="both"/>
        <w:rPr>
          <w:color w:val="000000" w:themeColor="text1"/>
          <w:sz w:val="16"/>
          <w:szCs w:val="16"/>
        </w:rPr>
      </w:pPr>
      <w:r w:rsidRPr="002F2FDF">
        <w:rPr>
          <w:color w:val="000000" w:themeColor="text1"/>
          <w:sz w:val="16"/>
          <w:szCs w:val="16"/>
        </w:rPr>
        <w:t>8 (21) июля 1917 г. Особое совещание по обороне, рассмотрев результаты обследования округа ревизионной комиссией, постановило «в интересах обороны» и «в ограждение интересов казны» потребовать от Солодовникова «полного отчета в израсходовании полученных им авансов» и «принять возможные меры к возвращению» их в казну; часть заказов аннулировать, другие сократить; морскому ведомству — заняться «выяснением обстоятельств выдачи заказов Солодовникову на изготовление тяжелых снарядов». Три месяца спустя, когда обнаружилось, что Солодовников «определенно стремится к закрытию предприятия» и «все сделанные им распоряжения гибельно отражались на постановке дела», Особое совещание решило округ секвестровать, «признав принципиально желательным приобретение названного округа в казну». Опыт сотрудничества с частной инициативой, как обобщил его Маниковский, указывал на «необходимость самому военному ведомству озаботиться принятием надлежащих мер для создания в возможно недалеком будущем производства многочисленной и могущественной артиллерии»</w:t>
      </w:r>
      <w:r w:rsidRPr="002F2FDF">
        <w:rPr>
          <w:color w:val="000000" w:themeColor="text1"/>
          <w:sz w:val="16"/>
          <w:szCs w:val="16"/>
          <w:vertAlign w:val="superscript"/>
        </w:rPr>
        <w:t>{387}</w:t>
      </w:r>
      <w:r w:rsidRPr="002F2FDF">
        <w:rPr>
          <w:color w:val="000000" w:themeColor="text1"/>
          <w:sz w:val="16"/>
          <w:szCs w:val="16"/>
        </w:rPr>
        <w:t>.</w:t>
      </w:r>
    </w:p>
    <w:p w14:paraId="3CAF52F2" w14:textId="77777777" w:rsidR="00C312C3" w:rsidRPr="002F2FDF" w:rsidRDefault="00C312C3"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Пока же ГАУ ставило главной задачей — «хотя не очень широкой, но вполне выполнимой» — переместить ПОЗ в Саратов и очень быстро, «через год после начала постройки», в 1917 г., организовать «производство орудий только тех калибров, которые уже изготовляются Петроградским заводом» (помимо полевых 3-дм пушек, выпускаемых и другими заводами — Пермским, Путиловским, группой РАОАЗ): горные 3-дм пушки, 48-лин. гаубицы образца 1909 г. и 42-лин. пушки, но добавить 48-лин. гаубицы образца 1910 г.[87] Будущий завод должен был располагать собственным кузнечным оборудованием; оставался неразработанным вопрос о литейном цехе и полигоне. Расположение в Саратове считалось выгодным в транспортном отношении. Но поставки с посторонних сталелитейных заводов дорого обходятся и ненадежны, поэтому болванки и поковки «предполагается доставлять новому орудийному заводу с решенного к постройке 2-го сталелитейного завода артиллерийского ведомства в Екатеринославском районе».</w:t>
      </w:r>
    </w:p>
    <w:p w14:paraId="2D0DD77F" w14:textId="77777777" w:rsidR="00C312C3" w:rsidRPr="002F2FDF" w:rsidRDefault="00C312C3"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Маниковский указывал, что ПОЗ уже «закончил самый трудный и длительный период установки производства пушек и в настоящее время обладает труднополучаемыми станками и контингентом опытных лиц». Но расширить завод «возможно лишь при переносе… на новое место вдали от Петрограда»: Саратов — сравнительно «благоустроенный город (канализация, водопровод, электрическое освещение и хорошие мостовые)», привлекательный для «мастеров разных специальностей, которые стремятся в большие города», подобные Саратову — крупному университетскому городу. Этого преимущества лишены и Пермь и Царицын, оттого и «замечено», что «механическая отделка пушек на этих заводах не может быть поставлена на ту высоту, каковой она достигла на Петроградском орудийном заводе» (как могло быть это «замечено» на Царицынском заводе, еще недостроенном и не приступившем к изготовлению пушек, Маниковский не объяснял). По его мнению, имея свой завод, ГАУ получало бы орудия своевременно и по более приемлемым ценам, чем от частных заводов. Да и затраты на устройство самого завода (14,5 млн. руб.) невысоки «по сравнению с суммами, испрашиваемыми частными предпринимателями на оборудование заводов с производством всего одной системы», тогда как завод ГАУ будет выпускать пять различных систем. В итоге новый завод по мощности соответствующих цехов превзошел бы Путиловский. 30 января Поливанов поддержал проект: «Ведь Артиллерийская комиссия занята обозрением условий для создания пушечного завода; там и предложение Солодовникова и будет речь о Царицынском заводе». Последовало распоряжение: саратовский проект «срочно внести в подготовительную комиссию» по артиллерийским вопросам</w:t>
      </w:r>
      <w:r w:rsidRPr="002F2FDF">
        <w:rPr>
          <w:color w:val="000000" w:themeColor="text1"/>
          <w:sz w:val="16"/>
          <w:szCs w:val="16"/>
          <w:vertAlign w:val="superscript"/>
        </w:rPr>
        <w:t>{388}</w:t>
      </w:r>
      <w:r w:rsidRPr="002F2FDF">
        <w:rPr>
          <w:color w:val="000000" w:themeColor="text1"/>
          <w:sz w:val="16"/>
          <w:szCs w:val="16"/>
        </w:rPr>
        <w:t>(18366).</w:t>
      </w:r>
    </w:p>
    <w:p w14:paraId="0710E4DA" w14:textId="77777777" w:rsidR="00C312C3" w:rsidRPr="002F2FDF" w:rsidRDefault="00C312C3" w:rsidP="0083075A">
      <w:pPr>
        <w:pStyle w:val="p1"/>
        <w:spacing w:before="0" w:beforeAutospacing="0" w:after="0" w:afterAutospacing="0"/>
        <w:jc w:val="both"/>
        <w:rPr>
          <w:color w:val="000000" w:themeColor="text1"/>
          <w:sz w:val="16"/>
          <w:szCs w:val="16"/>
        </w:rPr>
      </w:pPr>
    </w:p>
    <w:p w14:paraId="124BFFC5" w14:textId="77777777" w:rsidR="00DE1F21" w:rsidRPr="00FB4F67" w:rsidRDefault="00DE1F2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8 </w:t>
      </w:r>
      <w:r>
        <w:rPr>
          <w:rFonts w:ascii="Times New Roman" w:hAnsi="Times New Roman" w:cs="Times New Roman"/>
          <w:color w:val="0070C0"/>
          <w:sz w:val="16"/>
          <w:szCs w:val="16"/>
        </w:rPr>
        <w:t xml:space="preserve">(21) </w:t>
      </w:r>
      <w:r w:rsidRPr="00FB4F67">
        <w:rPr>
          <w:rFonts w:ascii="Times New Roman" w:hAnsi="Times New Roman" w:cs="Times New Roman"/>
          <w:color w:val="0070C0"/>
          <w:sz w:val="16"/>
          <w:szCs w:val="16"/>
        </w:rPr>
        <w:t>июля 1917 г. Особое совещание по обороне, рассмо</w:t>
      </w:r>
      <w:r w:rsidRPr="00FB4F67">
        <w:rPr>
          <w:rFonts w:ascii="Times New Roman" w:hAnsi="Times New Roman" w:cs="Times New Roman"/>
          <w:color w:val="0070C0"/>
          <w:sz w:val="16"/>
          <w:szCs w:val="16"/>
        </w:rPr>
        <w:softHyphen/>
        <w:t>трев результаты обследования Ревдинского округа ревизионной комис</w:t>
      </w:r>
      <w:r w:rsidRPr="00FB4F67">
        <w:rPr>
          <w:rFonts w:ascii="Times New Roman" w:hAnsi="Times New Roman" w:cs="Times New Roman"/>
          <w:color w:val="0070C0"/>
          <w:sz w:val="16"/>
          <w:szCs w:val="16"/>
        </w:rPr>
        <w:softHyphen/>
        <w:t>сией, постановило «в интересах обороны» и «в ограждение интересов казны» потребовать от Солодовникова «полного отчета в израсходовании полученных им авансов» и «при</w:t>
      </w:r>
      <w:r w:rsidRPr="00FB4F67">
        <w:rPr>
          <w:rFonts w:ascii="Times New Roman" w:hAnsi="Times New Roman" w:cs="Times New Roman"/>
          <w:color w:val="0070C0"/>
          <w:sz w:val="16"/>
          <w:szCs w:val="16"/>
        </w:rPr>
        <w:softHyphen/>
        <w:t>нять возможные меры к возвращению» их в казну; часть заказов аннулировать, другие сократить; морскому ведом</w:t>
      </w:r>
      <w:r w:rsidRPr="00FB4F67">
        <w:rPr>
          <w:rFonts w:ascii="Times New Roman" w:hAnsi="Times New Roman" w:cs="Times New Roman"/>
          <w:color w:val="0070C0"/>
          <w:sz w:val="16"/>
          <w:szCs w:val="16"/>
        </w:rPr>
        <w:softHyphen/>
        <w:t>ству — заняться «выяснением обстоятельств выдачи заказов Солодовникову на изготовление тяжелых снарядов». Три месяца спустя, когда обнаружилось, что Солодовников «определенно стремится к закрытию предприятия» и «все сделанные им распоряжения гибельно отражались на по</w:t>
      </w:r>
      <w:r w:rsidRPr="00FB4F67">
        <w:rPr>
          <w:rFonts w:ascii="Times New Roman" w:hAnsi="Times New Roman" w:cs="Times New Roman"/>
          <w:color w:val="0070C0"/>
          <w:sz w:val="16"/>
          <w:szCs w:val="16"/>
        </w:rPr>
        <w:softHyphen/>
        <w:t>становке дела», Особое совещание решило округ секвестро</w:t>
      </w:r>
      <w:r w:rsidRPr="00FB4F67">
        <w:rPr>
          <w:rFonts w:ascii="Times New Roman" w:hAnsi="Times New Roman" w:cs="Times New Roman"/>
          <w:color w:val="0070C0"/>
          <w:sz w:val="16"/>
          <w:szCs w:val="16"/>
        </w:rPr>
        <w:softHyphen/>
        <w:t>вать, «признав принципиально желательным приобретение названного округа в казну». Опыт сотрудничества с частной инициативой, как обобщил его Маниковский, указывал на «необходимость самому военному ведомству озаботиться принятием надлежащих мер для создания в возможно не</w:t>
      </w:r>
      <w:r w:rsidRPr="00FB4F67">
        <w:rPr>
          <w:rFonts w:ascii="Times New Roman" w:hAnsi="Times New Roman" w:cs="Times New Roman"/>
          <w:color w:val="0070C0"/>
          <w:sz w:val="16"/>
          <w:szCs w:val="16"/>
        </w:rPr>
        <w:softHyphen/>
        <w:t>далеком будущем производства многочисленной и могуще</w:t>
      </w:r>
      <w:r w:rsidRPr="00FB4F67">
        <w:rPr>
          <w:rFonts w:ascii="Times New Roman" w:hAnsi="Times New Roman" w:cs="Times New Roman"/>
          <w:color w:val="0070C0"/>
          <w:sz w:val="16"/>
          <w:szCs w:val="16"/>
        </w:rPr>
        <w:softHyphen/>
        <w:t>ственной артиллерии» (23452).</w:t>
      </w:r>
    </w:p>
    <w:p w14:paraId="089FE124" w14:textId="77777777" w:rsidR="00DE1F21" w:rsidRPr="00FB4F67" w:rsidRDefault="00DE1F21" w:rsidP="0083075A">
      <w:pPr>
        <w:spacing w:after="0" w:line="240" w:lineRule="auto"/>
        <w:jc w:val="both"/>
        <w:rPr>
          <w:rFonts w:ascii="Times New Roman" w:hAnsi="Times New Roman" w:cs="Times New Roman"/>
          <w:color w:val="0070C0"/>
          <w:sz w:val="16"/>
          <w:szCs w:val="16"/>
        </w:rPr>
      </w:pPr>
    </w:p>
    <w:p w14:paraId="2E283E23" w14:textId="77777777" w:rsidR="00C312C3" w:rsidRPr="002F2FDF" w:rsidRDefault="00C312C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8E48E5E" w14:textId="77777777" w:rsidR="00C312C3" w:rsidRPr="002F2FDF" w:rsidRDefault="00C312C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BE8580" w14:textId="6978F6B6" w:rsidR="00F94494" w:rsidRPr="00FB4F67" w:rsidRDefault="00F9449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8 (</w:t>
      </w:r>
      <w:r w:rsidRPr="00FB4F67">
        <w:rPr>
          <w:rFonts w:ascii="Times New Roman" w:hAnsi="Times New Roman" w:cs="Times New Roman"/>
          <w:color w:val="0070C0"/>
          <w:sz w:val="16"/>
          <w:szCs w:val="16"/>
        </w:rPr>
        <w:t>21</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июля 1917 г. продолжавшееся отступление полевых частей потребовало перевода восьми авиаотрядов из г. Тарнополь в район Збаража. В тот же день началась эвакуация воздушных сил 7-й армии в район Ярмолинцы (30 км от ст. Гречаны). К 26 июля там были сосредоточены: 1-й и 3-й боевые отряды ЭВК «Илья Муромец», 12-й корпусной и 1-й артиллерийский АО 8-й армии.</w:t>
      </w:r>
    </w:p>
    <w:p w14:paraId="11147C7C" w14:textId="77777777" w:rsidR="00F94494" w:rsidRPr="00FB4F67" w:rsidRDefault="00F9449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Дальнейший отвод воздушных сил 7-й и 11-й армий осуществлялся в спешном порядке с потерей ценного авиационного имущества и с многочисленными авариями боевой техники. Среди разбитых аппаратов оказались 18 новых самолетов, включая истребители типа «Ньюпор-24бис». С приближением к г. Волочиск (43 км восточнее г. Тарнополь) отход русских войск приобрел упорядоченный характер, что положительно сказалось на боевой работе нашей авиации.</w:t>
      </w:r>
    </w:p>
    <w:p w14:paraId="59F8539F" w14:textId="77777777" w:rsidR="00F94494" w:rsidRPr="00FB4F67" w:rsidRDefault="00F9449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Более планомерно отводились авиачасти 8-й армии в район г. Коломыя (46 км юго-восточнее г. Станиславов), потеряв при этом три неисправных самолета. Командир 8-го АД получил приказ свести все отряды в одну группу и отступать совместно. 24 июля основные воздушные силы армии сосредоточились в Снятыне (40 км юго- восточнее г. Коломыя), за исключением двух отрядов, приданных 7-й армии, и 5-го КАО, находившегося на левом фланге в Карпатах.</w:t>
      </w:r>
    </w:p>
    <w:p w14:paraId="26ACEBE8" w14:textId="77777777" w:rsidR="00F94494" w:rsidRPr="00FB4F67" w:rsidRDefault="00F9449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Позднее авиаотряды были разделены на две группы. Первая группа (1</w:t>
      </w:r>
      <w:r w:rsidRPr="00FB4F67">
        <w:rPr>
          <w:rFonts w:ascii="Times New Roman" w:hAnsi="Times New Roman" w:cs="Times New Roman"/>
          <w:color w:val="0070C0"/>
          <w:sz w:val="16"/>
          <w:szCs w:val="16"/>
        </w:rPr>
        <w:softHyphen/>
        <w:t>я БАГ и 5-й КАО) разместилась в Хотине (22 км юго-западнее г. Каменец-Подольск), вторая в составе 5 авиаотрядов - в Новоселице (55 км юго-восточнее г. Черновицы). В сложных условиях отступления летчики продолжали выполнять боевые задачи, совершая полеты над территорией противника с целью выявления численности его войск и маршрутов движения. Благодаря успешно проведенной воздушной разведке вечером 20 июля летными экипажами 11-й армии в районе Бялковце - Осташовце - Езерна были обнаружены 1-я и 2-я прусские гвардейские дивизии. Также по мере своих возможностей летчики корректировали артиллерийский огонь, проводили бомбардировки, вступали в воздушные бои. Особенно интенсивными они были на Галицийском участке, где ежедневно отмечалось появление более 25 самолетов противника (23405).</w:t>
      </w:r>
    </w:p>
    <w:p w14:paraId="52E2E165" w14:textId="77777777" w:rsidR="00F94494" w:rsidRPr="00FB4F67" w:rsidRDefault="00F94494" w:rsidP="0083075A">
      <w:pPr>
        <w:spacing w:after="0" w:line="240" w:lineRule="auto"/>
        <w:jc w:val="both"/>
        <w:rPr>
          <w:rFonts w:ascii="Times New Roman" w:hAnsi="Times New Roman" w:cs="Times New Roman"/>
          <w:color w:val="0070C0"/>
          <w:sz w:val="16"/>
          <w:szCs w:val="16"/>
        </w:rPr>
      </w:pPr>
    </w:p>
    <w:p w14:paraId="64EDCFC8" w14:textId="5E52F5C5" w:rsidR="00F94494" w:rsidRPr="00FB4F67" w:rsidRDefault="00F94494" w:rsidP="0083075A">
      <w:pPr>
        <w:spacing w:after="0" w:line="240" w:lineRule="auto"/>
        <w:jc w:val="both"/>
        <w:rPr>
          <w:rFonts w:ascii="Times New Roman" w:hAnsi="Times New Roman" w:cs="Times New Roman"/>
          <w:color w:val="0070C0"/>
          <w:sz w:val="16"/>
          <w:szCs w:val="16"/>
        </w:rPr>
      </w:pPr>
      <w:bookmarkStart w:id="198" w:name="bookmark848"/>
      <w:r w:rsidRPr="00FB4F67">
        <w:rPr>
          <w:rFonts w:ascii="Times New Roman" w:hAnsi="Times New Roman" w:cs="Times New Roman"/>
          <w:color w:val="0070C0"/>
          <w:sz w:val="16"/>
          <w:szCs w:val="16"/>
        </w:rPr>
        <w:t xml:space="preserve">В течение дня </w:t>
      </w:r>
      <w:r>
        <w:rPr>
          <w:rFonts w:ascii="Times New Roman" w:hAnsi="Times New Roman" w:cs="Times New Roman"/>
          <w:color w:val="0070C0"/>
          <w:sz w:val="16"/>
          <w:szCs w:val="16"/>
        </w:rPr>
        <w:t>8 (</w:t>
      </w:r>
      <w:r w:rsidRPr="00FB4F67">
        <w:rPr>
          <w:rFonts w:ascii="Times New Roman" w:hAnsi="Times New Roman" w:cs="Times New Roman"/>
          <w:color w:val="0070C0"/>
          <w:sz w:val="16"/>
          <w:szCs w:val="16"/>
        </w:rPr>
        <w:t>21</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июля 1917 г. наши истребители четыре раза поднимались для преследования действовавших в тылу русских войск германских самолетов. Во всех случаях немецкие летчики стремились уклоняться от воздушного боя и уходили в свое расположение (23405).</w:t>
      </w:r>
      <w:bookmarkEnd w:id="198"/>
    </w:p>
    <w:p w14:paraId="124921AC" w14:textId="77777777" w:rsidR="00F94494" w:rsidRPr="00FB4F67" w:rsidRDefault="00F94494" w:rsidP="0083075A">
      <w:pPr>
        <w:spacing w:after="0" w:line="240" w:lineRule="auto"/>
        <w:jc w:val="both"/>
        <w:rPr>
          <w:rFonts w:ascii="Times New Roman" w:hAnsi="Times New Roman" w:cs="Times New Roman"/>
          <w:color w:val="0070C0"/>
          <w:sz w:val="16"/>
          <w:szCs w:val="16"/>
        </w:rPr>
      </w:pPr>
    </w:p>
    <w:p w14:paraId="53369B31" w14:textId="77777777" w:rsidR="00C312C3" w:rsidRPr="002F2FDF" w:rsidRDefault="00C312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 8 (21) июля до 26 августа (9 сентября) 1917 г. в Москве проходил 1-й Всероссийский авиационный съезде, избравший Всероссийский совет Воздушного флота (Авиасовет) в составе 29 человек (по другим данным – в составе 31 человека). Это был исполнительный коллегиальный орган по координации деятельности авиационных частей и учреждений. «Левое крыло» Авиасовета представляли в основном А.В. Сергеев (от Западного фронта), П.С. Дубенский (от Эскадры воздушных кораблей «Илья Муромец»), И.К. Кириллов (от воздухоплавательных частей), Н.В. Васильев (от авиапарков), Н. Зражевский (от Петроградских авиазаводов), В.С. Горшков и Я.Т. Конкин (от авиационных отрядов), А.П. Комаров и З.Я. Ландау (от гидроавиации). Наиболее активную позицию среди левых в Авиасовете занимал член РСДРП(б) с 1911 г. летчик-солдат А.В. Сергеев (19566).</w:t>
      </w:r>
    </w:p>
    <w:p w14:paraId="70EC87FB" w14:textId="77777777" w:rsidR="00C312C3" w:rsidRPr="002F2FDF" w:rsidRDefault="00C312C3" w:rsidP="0083075A">
      <w:pPr>
        <w:spacing w:after="0" w:line="240" w:lineRule="auto"/>
        <w:jc w:val="both"/>
        <w:rPr>
          <w:rFonts w:ascii="Times New Roman" w:hAnsi="Times New Roman" w:cs="Times New Roman"/>
          <w:color w:val="000000" w:themeColor="text1"/>
          <w:sz w:val="16"/>
          <w:szCs w:val="16"/>
        </w:rPr>
      </w:pPr>
    </w:p>
    <w:p w14:paraId="3D29989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FCF2A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AE92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июля 1917 после отставки Г.Е.Львова новый состав Временного правительства возглавил А.Ф.Керенский (1348,85).</w:t>
      </w:r>
    </w:p>
    <w:p w14:paraId="493DC2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6AD967" w14:textId="77777777" w:rsidR="005E2948" w:rsidRPr="002F2FDF" w:rsidRDefault="005E2948" w:rsidP="0083075A">
      <w:pPr>
        <w:pStyle w:val="ae"/>
        <w:spacing w:before="0" w:after="0"/>
        <w:jc w:val="both"/>
        <w:rPr>
          <w:color w:val="000000" w:themeColor="text1"/>
          <w:kern w:val="2"/>
          <w:sz w:val="16"/>
          <w:szCs w:val="16"/>
        </w:rPr>
      </w:pPr>
      <w:r w:rsidRPr="002F2FDF">
        <w:rPr>
          <w:color w:val="000000" w:themeColor="text1"/>
          <w:kern w:val="2"/>
          <w:sz w:val="16"/>
          <w:szCs w:val="16"/>
        </w:rPr>
        <w:t>8-10 (21-23) июля 1917 в Минске прошел Второй съезд белорусских партий и организаций, на котором была создана своя, белорусская Центральная рада, сразу потребовавшая автономии Белоруссии, развития национальной культуры и передачи земли крестьянам без выкупа. Председателем Рады стал белорусский революционер Язеп Лесик (17045).</w:t>
      </w:r>
    </w:p>
    <w:p w14:paraId="5B233B2E" w14:textId="77777777" w:rsidR="005E2948" w:rsidRPr="002F2FDF" w:rsidRDefault="005E294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A229B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527B2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F751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июля 1917 - из обращения в Военное министерство Франции младшего лейтенанта Лежена: "Наиболее мощным фактором сопротивления Германии является обладание железной рудой Лотарингии и Люксембурга, из которых она извлекает 76% своего потребления для военной промышленности, для морского строительства, для железных дорог. Эта руда является для нее материалом, без которого она обойтись не может, и ей можно было бы нанести решительный удар, нарушив пользование рудой каким бы то ни было способом...</w:t>
      </w:r>
    </w:p>
    <w:p w14:paraId="40F42C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Мы не можем думать о том, чтобы воспрепятствовать добыче руды более чем в ста предприятиях, но можем противодействовать тому, чтобы она могла питать домны Саара, Пруссии и Австрии.</w:t>
      </w:r>
    </w:p>
    <w:p w14:paraId="726D9B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Местонахождение лотарингско-люксембургских руд делает возможным их изолирование; необходимо прервать коммуникации этого района с Германией, и эта блокада может быть осуществлена путем разрушения семи железнодорожных узлов, миновать которые нельзя, как это видно из приложенной схемы...</w:t>
      </w:r>
    </w:p>
    <w:p w14:paraId="71FD12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Обычно поезда идут почти исключительно через станции Люксембург и Тионвиль, и затем направляются из Люксембурга на Сен-Вит и Экс-ля-Шапель, а из Тионвиля на Саар и на линию Сиерк, Трев, а дополнительные поезда идут через Мец, Саарбрюкен. Таким образом, мы имеем дело с двумя постоянно забитыми пунктами: Люксембургом и Тионвилем.</w:t>
      </w:r>
    </w:p>
    <w:p w14:paraId="14B7EA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Если бы вследствие какой-либо причины эти два пункта были подавлены, немцы не имели бы другого выхода... кроме как на север через Петанж и Атюс... на восток... через окружной западный путь через Конфлан, Лонгвин и Атюс.</w:t>
      </w:r>
    </w:p>
    <w:p w14:paraId="6EB6F4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Ясно, что можно было бы достигнуть полной изоляции района, нарушив работу семи станций: Тионвиль, Люксембург, Вуани, Атюс, Петанж, Конфлан и Лонгвин" (11999).</w:t>
      </w:r>
    </w:p>
    <w:p w14:paraId="7BBFE7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16B57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E3BCF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9CC8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июля 1917 завод Дукс заключил контракт № 38921 на поставку 200 истребителей Спад и к февралю 1921 сдал 63 (9651,44).</w:t>
      </w:r>
    </w:p>
    <w:p w14:paraId="14D6A6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D10A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9 </w:t>
      </w:r>
      <w:r w:rsidR="00880559" w:rsidRPr="002F2FDF">
        <w:rPr>
          <w:rFonts w:ascii="Times New Roman" w:hAnsi="Times New Roman" w:cs="Times New Roman"/>
          <w:color w:val="000000" w:themeColor="text1"/>
          <w:kern w:val="2"/>
          <w:sz w:val="16"/>
          <w:szCs w:val="16"/>
        </w:rPr>
        <w:t xml:space="preserve">(22) </w:t>
      </w:r>
      <w:r w:rsidRPr="002F2FDF">
        <w:rPr>
          <w:rFonts w:ascii="Times New Roman" w:hAnsi="Times New Roman" w:cs="Times New Roman"/>
          <w:color w:val="000000" w:themeColor="text1"/>
          <w:kern w:val="2"/>
          <w:sz w:val="16"/>
          <w:szCs w:val="16"/>
        </w:rPr>
        <w:t>июля 1917 г. Центральная аэронавигационная станция Военно-Воздушного Флота, созданная в 1916 г. в Киеве, была переведена в Москву и начала работу. Размещена в здании бывшей бани Соколовского в Грузинах. Руководителем назначен А.А. Фридман {17.06.1888-16.09.1925} - создатель отечественной аэронавигации. На базе станции начато формирование Казенного завода, который вскоре получил название «Авиаприбор» (ГС завод № 213 им. С. Орджоникидзе НКОП, НКАП, МАП, Завод «Авиаприбор» им. С. Орджоникидзе НКТП, Саратовский электроприборостроительный завод (СЭЗ) им. С. Орджоникидзе, ГП, ОАО «СЭЗ им. С. Орджоникидзе» /г. Москва, 8 п/я 424 «Горизонт» (1937 г.);  г. Москва Кутузовская слобода, 1 (1940 г.);  г. Энгельс Саратовской обл.;  г. Саратов/ /410005  г. Саратов ул. Б. Садовая, 239 тел. 26-11-32/).</w:t>
      </w:r>
    </w:p>
    <w:p w14:paraId="337AB1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заводе организована опытная база авиаприборов (действовала недолго) и ремонт авиационных измерительных приборов (1919-20 г.).</w:t>
      </w:r>
    </w:p>
    <w:p w14:paraId="0501A1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период 1920-30 г. завод изготовлял различные металлические изделия гражданского приборостроения: медицинский инструмент, манометры, расходомеры, часы. С 1920 г. предприятие было переоборудовано, вступили в строй отдельные цеха как 1-е отделение завода по авиаприборам. 7.04.1924 г. в состав завода влита Государственная часовая фабрика.</w:t>
      </w:r>
    </w:p>
    <w:p w14:paraId="2AAC4F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непрерывного расширения деятельности и специализации производство часов в 1930 г. выделено в отдельное предприятие («Новь», 2-й часовой завод, далее - завод № 853 НКМВ). Далее производство теплоприборов выделилось в самостоятельный Владимирский теплоприборный завод.</w:t>
      </w:r>
    </w:p>
    <w:p w14:paraId="2F7165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1932 г. завод «Авиаприбор» был еще раз разделен: производство механических авиационных приборов было выделено в самостоятельный завод, сохранивший название «Авиаприбор», и переведено из места в Грузинах на новую площадку в Кутузовской слободе (угол Можайского и Филевского шоссе, около ст. Кутузово). Здесь организован крупносерийный завод по авиационным неэлектрическим приборам. Для ускорения организации под новый завод было передано начатое строительство «Термоаппаратстроя» в Филях, проведена перепланировка.</w:t>
      </w:r>
    </w:p>
    <w:p w14:paraId="2C4D78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Вскоре изготовление чертежных принадлежностей выделено в завод «Готовальня» (далее завод № 843 НКМВ). Оставшаяся в Грузинах часть завода получила название «Тизприбор» (далее - завод № 230).</w:t>
      </w:r>
    </w:p>
    <w:p w14:paraId="331074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Первую продукцию на новом месте завод дал в 1933 г. В 1935 г. началось строительство 2-й очереди, заводу присвоено имя С. Орджоникидзе. В 12.1936 г. «Авиаприбор» передан из ВОТИ НКТП в ведение НКОП и по пр. № Обсс от 30.12.1936 г. переименован в завод № 213. В соответствии с пост. СНК № 2139-425сс от 21.12.1936 г. и пр. № 59 от 14.02.1937 г. завод № 213 передан в ведение ЮГУ НКОП (и на 12.1938 г.), приказом № 90 от 13.03.1937 г. утвержден Устав завода.</w:t>
      </w:r>
    </w:p>
    <w:p w14:paraId="19424F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1934 г. на заводе образована первая конструкторская группа по разработке навигационного оборудования для самолетов.</w:t>
      </w:r>
    </w:p>
    <w:p w14:paraId="1FE079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Распоряжением № 02сс от 22/25.12.1936 г. заводу поручено изготовить во 2-м квартале 1937 г. две схемы ПУАЗО «СО» пушек Б-34 для крейсера «Киров»; приказом № 121с от 3.04.1938 г. требовалось к 15.04.1938 г. сдать аппаратуру ЗАС для МПУАЗО крейсера «Киров». Во исполнение постановления СТО № 61сс от 23.03.1937 г. приказом № 0067 от 31.03.1937 г. заводу поручено обеспечить выполнение проектно-конструкторских работ и изготовления опытных образцов морских приборов управления стрельбой в кооперации с заводом «Пирометр».</w:t>
      </w:r>
    </w:p>
    <w:p w14:paraId="018EBA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1936 г. на завод переведены работники бывшей мастерской по разработке заградительных авиационных мин (ЗАМ). По пр. № 00144 от 29.06.1937 г. на завод из КБ-21 передана танковая группа.</w:t>
      </w:r>
    </w:p>
    <w:p w14:paraId="5B9402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 0092 от 27.04.1937 г. предписано ввести в эксплуатацию в 3-м квартале корпус «В», закончить реконструкцию в 1937 г.</w:t>
      </w:r>
    </w:p>
    <w:p w14:paraId="58422C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1937 г. на заводе действовало небольшое производство сильфонов и гибких шлангов. Приказом № Зс от 2.01.1938 г. заводу предписано выпустить в 1-м квартале 1938 г. 12 комплектов приборов ОБРИ, затем оборудование передать заводу № 103. По пр. № 164сс от 14.05.1938 г. требовалось: организовать на заводе производство сильфонов; к 1.06.1938 г. переработать техпроект завода (ГПИ-10) в связи с новой специализацией; с 1.10.1938 по 1.01.1939 г. перевести производство морских ПУАЗО со всем оборудованием и кадрами на завод № 252 НКОП. По пр. № 413с от 27.10.1938 г. 10 конструкторов переведено на завод № 205. По пр. № 22с от 14.01.1939 г. 27-й отдел завода (в 1937-38 г. им разработаны центральные приборы МПУАЗО «СО» и «СОМ») переведен на завод №251.</w:t>
      </w:r>
    </w:p>
    <w:p w14:paraId="7DAF12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 232сс от 28.06/3.07.1938 г. заводу поручено организовать серийное производство электросбрасывателя ЭСБР-2 или ЭСБР-4 для АНТ-42.</w:t>
      </w:r>
    </w:p>
    <w:p w14:paraId="4056A5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приказу № 729сс от 22.07.1941 г. завод № 213 эвакуирован на площади поселка Мясокомбината, что в 14 км от  г. Энгельс. Здесь действовал сначала филиал завода № 213. Приказом № 1050 от 8.10.1941 г. в Энгельс переведены оставшиеся мощности из Москвы и филиал получил статус завода № 213 НКАП. Из состава завода № 213 в Энгельсе выделился самостоятельный завод № 13 3.</w:t>
      </w:r>
      <w:r w:rsidRPr="002F2FDF">
        <w:rPr>
          <w:rFonts w:ascii="Times New Roman" w:hAnsi="Times New Roman" w:cs="Times New Roman"/>
          <w:color w:val="000000" w:themeColor="text1"/>
          <w:kern w:val="2"/>
          <w:sz w:val="16"/>
          <w:szCs w:val="16"/>
          <w:vertAlign w:val="superscript"/>
        </w:rPr>
        <w:t>130</w:t>
      </w:r>
    </w:p>
    <w:p w14:paraId="570788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На бывшей площадке завода по приказу № 63 от 25.01.1942 г. были образованы Ремонтные мастерские по приборам при 5ГУ НКАП, а вскоре в 04.1942 г. создан новый приборный завод № 122 НКАП.</w:t>
      </w:r>
    </w:p>
    <w:p w14:paraId="5716B0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заводе в  г. Энгельс действовало ОКБ-213 НКАП Гл. конструктора Е.Ф. Антипова.</w:t>
      </w:r>
    </w:p>
    <w:p w14:paraId="1C747A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годы ВОВ осуществлял производство пилотажных, навигационных и моторных приборов.</w:t>
      </w:r>
    </w:p>
    <w:p w14:paraId="3B8915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приказу № 21с НКАП от 28.01.1946 г. ввиду неудобства расположения вдалеке от коммуникаций завод №213 переведен из  г. Энгельс в  г. Саратов на площадку Завода № 167 НКАП, объединившись с ним под прежним названием завод № 213 НКАП. В соответствии с тем же приказом в течение нескольких месяцев 700 чел. рабочих и ИТР, имевших прописку в Москве с основной частью гироскопического производства переведены на завод № 122 НКАП. На площадях в Энгельсе образован филиал.</w:t>
      </w:r>
    </w:p>
    <w:p w14:paraId="150391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1951 г. из состава завода № 213 выделился завод № 878 МАП на площадях филиала завода № 213 МАП в  г. Энгельсе. Позднее завод объединен с Саратовским ПКБ.</w:t>
      </w:r>
    </w:p>
    <w:p w14:paraId="4503FD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1950-х  г. освоено производство автопилотов.</w:t>
      </w:r>
    </w:p>
    <w:p w14:paraId="45242E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пост. СМ СССР № 713-342 от 26.06.1957 г. передан в ведение СНХ РСФСР.</w:t>
      </w:r>
    </w:p>
    <w:p w14:paraId="180D11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1968 г. образован цех № 40 (далее- завод «Радон»),</w:t>
      </w:r>
    </w:p>
    <w:p w14:paraId="486BE7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СЭЗ с 1991 г. входит в состав ЗАО «Авиаприбор». По решению правительства № 22-р от 9.01.2004 г. ОАО СЭЗ вошло в перечень стратегических предприятий.</w:t>
      </w:r>
    </w:p>
    <w:p w14:paraId="6EA48D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Производство (2004 г.): системы управления для </w:t>
      </w:r>
      <w:r w:rsidRPr="002F2FDF">
        <w:rPr>
          <w:rFonts w:ascii="Times New Roman" w:hAnsi="Times New Roman" w:cs="Times New Roman"/>
          <w:color w:val="000000" w:themeColor="text1"/>
          <w:kern w:val="2"/>
          <w:sz w:val="16"/>
          <w:szCs w:val="16"/>
          <w:lang w:val="en-US"/>
        </w:rPr>
        <w:t>JIA</w:t>
      </w:r>
      <w:r w:rsidRPr="002F2FDF">
        <w:rPr>
          <w:rFonts w:ascii="Times New Roman" w:hAnsi="Times New Roman" w:cs="Times New Roman"/>
          <w:color w:val="000000" w:themeColor="text1"/>
          <w:kern w:val="2"/>
          <w:sz w:val="16"/>
          <w:szCs w:val="16"/>
        </w:rPr>
        <w:t xml:space="preserve"> (ПНК для тяжелых самолетов и вертолетов, указатели поворота и др.); авиационные приборы и КПА; гирополукомпасы.</w:t>
      </w:r>
    </w:p>
    <w:p w14:paraId="39CDA3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(2002 г.)- 1100 чел.</w:t>
      </w:r>
      <w:r w:rsidRPr="002F2FDF">
        <w:rPr>
          <w:rFonts w:ascii="Times New Roman" w:hAnsi="Times New Roman" w:cs="Times New Roman"/>
          <w:color w:val="000000" w:themeColor="text1"/>
          <w:kern w:val="2"/>
          <w:sz w:val="16"/>
          <w:szCs w:val="16"/>
          <w:vertAlign w:val="superscript"/>
        </w:rPr>
        <w:t>69</w:t>
      </w:r>
    </w:p>
    <w:p w14:paraId="21085D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(06.1917 г.)- А.А. Фридман, (-01.1936-1.07.1937 г.)- Н.И. Грецов, (1.07.1937-12.04.1938 г.)- Ф.С. Малахов, (01.1938 г.)- Мартынов; и.о. (-04-05.1938 г.)- К.И. Михайлов; (28.05.1938-42 г.)- К.И. Михайлов, (05.1942- 02.1944 г.)- М.Д. Березин, (02.1944-01.1945 г.)- М.С. Гоцеридзе, (1945-51 г.) - П.П. Кочеров, (1951-77 г.)- Е.М. Смирнов, (1977-97 г.)- А.Т. Казаков. Гендиректор (-2002-05 г.-)- М.И. Ставицкий.</w:t>
      </w:r>
    </w:p>
    <w:p w14:paraId="58FE56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директора (-23.07.1937 г.)- Н.С. Шнякин (снят). Помощник директора: по найму и увольнению (1938 г.)- Дорофеев; (1938 г.)- Гирич.</w:t>
      </w:r>
    </w:p>
    <w:p w14:paraId="303E67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технический (01.1936 г.)- Брейтбурт, (-2002-05 г.-)- В.В. Пыж; по финансовым и коммерческим вопросам (2002 г.)- Б.М. Балдин, финансовый (2005 г.)- Д.Б. Ханенко.</w:t>
      </w:r>
    </w:p>
    <w:p w14:paraId="65210B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финансового директора по коммерции (2005 г.)- В.Н. Слонов.</w:t>
      </w:r>
    </w:p>
    <w:p w14:paraId="3FD33E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инженер (-23.07.1937 г.)- Н.С. Шнякин, (-02-15.09.1938 г.)- Д.Е. Айзенберг, (15.09.1938 г.-)- М.Д. Березин, (1940 г.)- Басторин, (1943-44 г.)- П.П. Кочеров.</w:t>
      </w:r>
    </w:p>
    <w:p w14:paraId="261229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гл. инженера по ВМО (2.04-7.09.1937 г.)- Б.В. Григорьев.</w:t>
      </w:r>
    </w:p>
    <w:p w14:paraId="21C9C5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отделов: ВМ (01.1936 г.)- Никифоров; ОТК (-05-06.1937 г.-)- П.П. Бенедиктов.</w:t>
      </w:r>
      <w:r w:rsidRPr="002F2FDF">
        <w:rPr>
          <w:rFonts w:ascii="Times New Roman" w:hAnsi="Times New Roman" w:cs="Times New Roman"/>
          <w:color w:val="000000" w:themeColor="text1"/>
          <w:kern w:val="2"/>
          <w:sz w:val="16"/>
          <w:szCs w:val="16"/>
          <w:vertAlign w:val="superscript"/>
        </w:rPr>
        <w:t>139</w:t>
      </w:r>
    </w:p>
    <w:p w14:paraId="54B259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начальника отдела: НТО (07.1937 г.)- Вайнтрауб.</w:t>
      </w:r>
    </w:p>
    <w:p w14:paraId="59322E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Производство: автопилоты:</w:t>
      </w:r>
      <w:r w:rsidRPr="002F2FDF">
        <w:rPr>
          <w:rFonts w:ascii="Times New Roman" w:hAnsi="Times New Roman" w:cs="Times New Roman"/>
          <w:color w:val="000000" w:themeColor="text1"/>
          <w:kern w:val="2"/>
          <w:sz w:val="16"/>
          <w:szCs w:val="16"/>
        </w:rPr>
        <w:t xml:space="preserve"> «Сперри» (1937), АВП-12 (1937), АПС-600А для ЗУР В-600П, для Ил-14, Ли-2 (1950-е), для МиГ-21 (1963-); авиагоризонт АГ-1 (1937); бензиномеры: гидростатический, электрический типа «Дуглас» (1937); компасы К-5, АН-4, КП-6, КП-8, ГМК-2 (1937), компасы КИ-10, А-4 (-1941); вариометры, высотомеры, трубки Пито, указатели: поворота, скорости, угла атаки, угла закрылков (-1937-41); уклономер, мановакууметры, манометры: бензина, масла (1937), МГ-310 (1946); анероидные капсюли для регуляторов наддува (1938); тахометры, аэротермометры, флюлметр, анероид для мотора М-107 (-1941); гироскопы, оптические прицелы ТОС, бомбодержатели (-1941); термометры ТГ-170, -518, -320, -520, -510; прибор управления торпедной стрельбой ОБРИ (-1938); блоки штурвального управления для Ил-96, Ту-204, Ту-214, Ту- 334 (2005); системы управления полетом и тягой для Ил-96, Ту-204, Ту-214, Ту-334 (2005); ЗАМ (-1936)- 42.</w:t>
      </w:r>
    </w:p>
    <w:p w14:paraId="753B23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КБ завода № 213 НКОП, ОКБ-213 НКАП /г. Москва;  г. Энгельс Саратовской обл./</w:t>
      </w:r>
    </w:p>
    <w:p w14:paraId="78C15C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1935 г. разработан электро-магнитный пружинный спуск (ЭМПС) для держателя Дер-21 самолета ТБ-3.</w:t>
      </w:r>
    </w:p>
    <w:p w14:paraId="2D189E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заводе в  г. Энгельс действовало ОКБ-213 НКАП Гл. конструктора Е.Ф. Антипова.</w:t>
      </w:r>
    </w:p>
    <w:p w14:paraId="248125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приказу НКАП № 641 от 5.11.1944 г. ОКБ-213 переведено из Энгельса на площади завода № 122 НКАП в Москву. Продолжило действовать как ОКБ-122 НКАП.</w:t>
      </w:r>
    </w:p>
    <w:p w14:paraId="098436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Руководители групп: «Э» (1937 г.)-  Г.С. Черный (ЭМПС).</w:t>
      </w:r>
    </w:p>
    <w:p w14:paraId="302FCA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Мастерская по разработке заградительных авиационных мин (ЗАМ) АУ РККА, НКТП</w:t>
      </w:r>
    </w:p>
    <w:p w14:paraId="3486C2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03.1935 г. мастерская передана из АУ РККА в ведение НКТП.</w:t>
      </w:r>
    </w:p>
    <w:p w14:paraId="30EBFA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Была разработана ЗАМ. В результате испытаний мина была признана опасной в применении, их изготовление в 1936 г. (на заводе «Авиаприбор») прекращено. Конструкторский коллектив (Тарасов, Ирд, Никифоров) переведен на завод «Авиаприбор».</w:t>
      </w:r>
    </w:p>
    <w:p w14:paraId="67FAC9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Далее действовало ОКБ-3 ВОТИ под руководством А.Е. Майзеля.</w:t>
      </w:r>
    </w:p>
    <w:p w14:paraId="1B07A9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(-1935 г.)- А.Е. Майзель, (1935 г.-)- Рыслов.</w:t>
      </w:r>
      <w:r w:rsidRPr="002F2FDF">
        <w:rPr>
          <w:rFonts w:ascii="Times New Roman" w:hAnsi="Times New Roman" w:cs="Times New Roman"/>
          <w:color w:val="000000" w:themeColor="text1"/>
          <w:kern w:val="2"/>
          <w:sz w:val="16"/>
          <w:szCs w:val="16"/>
          <w:vertAlign w:val="superscript"/>
        </w:rPr>
        <w:t>139</w:t>
      </w:r>
    </w:p>
    <w:p w14:paraId="0FFE09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ОКБ-3 А. Е. Майзеля ВОТИ</w:t>
      </w:r>
    </w:p>
    <w:p w14:paraId="1FB800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ОКБ-3 А.Е. Майзеля действовало в ведении ВОТИ. Продолжены работы по заградительным авиационным минам ЗАММ и ПБМ.</w:t>
      </w:r>
    </w:p>
    <w:p w14:paraId="71086D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 НКОП № 00244 от 16.11.1937 г. оборудование бывшего ОКБ-3 передано заводу «Парострой», а бывшие работники собраны в новое КБ, организованное под руководством Майзеля при заводе «Парострой» для продолжения работ по минам заграждения.</w:t>
      </w:r>
    </w:p>
    <w:p w14:paraId="6B5017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минно-сборочного цеха (1930-е)- Шмытинский (11982).</w:t>
      </w:r>
    </w:p>
    <w:p w14:paraId="7AA676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110A6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BC8A1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8B4CFF"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9 (22) июля попытку наступления предпринял Западный, а 10 (23) июля Северный фронты. Летом 1917 г. напряжённую боевую работу вели и воздухоплавательные отряды, находив</w:t>
      </w:r>
      <w:r w:rsidRPr="002F2FDF">
        <w:rPr>
          <w:rFonts w:ascii="Times New Roman" w:hAnsi="Times New Roman" w:cs="Times New Roman"/>
          <w:color w:val="000000" w:themeColor="text1"/>
          <w:sz w:val="16"/>
          <w:szCs w:val="16"/>
        </w:rPr>
        <w:softHyphen/>
        <w:t>шиеся в стороне от направлений главного удара (20120).</w:t>
      </w:r>
    </w:p>
    <w:p w14:paraId="4D15D2EA"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p>
    <w:p w14:paraId="4AE3D42A" w14:textId="77777777" w:rsidR="004855F5" w:rsidRPr="002F2FDF" w:rsidRDefault="004855F5" w:rsidP="0083075A">
      <w:pPr>
        <w:pStyle w:val="ae"/>
        <w:spacing w:before="0" w:after="0"/>
        <w:jc w:val="both"/>
        <w:rPr>
          <w:color w:val="000000" w:themeColor="text1"/>
          <w:kern w:val="2"/>
          <w:sz w:val="16"/>
          <w:szCs w:val="16"/>
        </w:rPr>
      </w:pPr>
      <w:r w:rsidRPr="002F2FDF">
        <w:rPr>
          <w:color w:val="000000" w:themeColor="text1"/>
          <w:kern w:val="2"/>
          <w:sz w:val="16"/>
          <w:szCs w:val="16"/>
        </w:rPr>
        <w:t>К 9(22) 1917 июля русские войска были вынуждены отойти за реку Серет, протекающую через центральные районы нынешней Тернопольской области Украины. Как позднее вспоминал генерал Николай Головин, отступление скорее напоминало бегство и сопровождалось «величайшими зверствами» — солдаты грабили и убивали попадавшихся на пути офицеров, богатых местных жителей, насиловали женщин. «Армия обезумевших, темных людей бежит», — доносил военному министру Александру Керенскому генерал Лавр Корнилов. Последние остатки «ударных батальонов» пытались навести порядок, выступая в роли заградотрядов и отлавливая дезертиров. Только городке Волочиск (на западе нынешней Хмельницкой области Украины) одним таким батальоном за ночь было задержано 12 000 дезертиров.</w:t>
      </w:r>
    </w:p>
    <w:p w14:paraId="214F2581" w14:textId="77777777" w:rsidR="004855F5" w:rsidRPr="002F2FDF" w:rsidRDefault="004855F5" w:rsidP="0083075A">
      <w:pPr>
        <w:pStyle w:val="ae"/>
        <w:spacing w:before="0" w:after="0"/>
        <w:jc w:val="both"/>
        <w:rPr>
          <w:color w:val="000000" w:themeColor="text1"/>
          <w:kern w:val="2"/>
          <w:sz w:val="16"/>
          <w:szCs w:val="16"/>
        </w:rPr>
      </w:pPr>
      <w:r w:rsidRPr="002F2FDF">
        <w:rPr>
          <w:color w:val="000000" w:themeColor="text1"/>
          <w:kern w:val="2"/>
          <w:sz w:val="16"/>
          <w:szCs w:val="16"/>
        </w:rPr>
        <w:t>Тем временем, провалом завершилась попытка русского командования организовать наступление под Ригой. Выяснилось, что боеспособность на том участке фронта сохранили лишь две дивизии. 21-23 июля они поднялись в атаку и местами даже смогли взять две укрепленные линии, но, как доносил в Ставку штаб фронта, «повернули назад под влиянием окриков сзади» (17045).</w:t>
      </w:r>
    </w:p>
    <w:p w14:paraId="745E7BF5" w14:textId="77777777" w:rsidR="004855F5" w:rsidRPr="002F2FDF" w:rsidRDefault="004855F5"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C66BC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июля 1917 главнокомандующий русской армии генерал А. Брусилов отдал приказ о подавлении призывов к неисполнению приказов командиров (4962).</w:t>
      </w:r>
    </w:p>
    <w:p w14:paraId="4220876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3165BF" w14:textId="5FE53040" w:rsidR="00E879F2" w:rsidRPr="00FB4F67" w:rsidRDefault="00E879F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9 (</w:t>
      </w:r>
      <w:r w:rsidRPr="00FB4F67">
        <w:rPr>
          <w:rFonts w:ascii="Times New Roman" w:hAnsi="Times New Roman" w:cs="Times New Roman"/>
          <w:color w:val="0070C0"/>
          <w:sz w:val="16"/>
          <w:szCs w:val="16"/>
        </w:rPr>
        <w:t>22</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июля 1917 г., несмотря на неудачи армий ЮЗФ, началось наступление русских и румынских частей Румынского фронта в полосе 500 км с использованием воздушных сил. Основной прорыв укреплений противника был осуществлен 24 июля в полосе наступления 4-й армии при взаимодействии со 2-й румынской армией. Частичных успехов добились также войска 6-й русской и 1-й румынской армий. К боевой работе преимущественно привлекались воздушные силы 4-й армии, в составе 4-го авиационного дивизиона. Роль пехотной авиации выполнял личный состав 4-го армейского АО (в интересах 15-й дивизии), действия которого во многом носили экспериментальный характер. Отсутствие согласованности между авиационным и сухопутным командованием часто приводило к ошибочному обстрелу пехотными подразделениями своих самолетов, задействованных для организации связи. Подобное происходило также в полосе 6-й и 9-й армий фронта. Роль воздушных корректировщиков была возложена на летный состав франко-румынской эскадрильи, имевший относительную самостоятельность и не подчинявшийся командиру 4</w:t>
      </w:r>
      <w:r w:rsidRPr="00FB4F67">
        <w:rPr>
          <w:rFonts w:ascii="Times New Roman" w:hAnsi="Times New Roman" w:cs="Times New Roman"/>
          <w:color w:val="0070C0"/>
          <w:sz w:val="16"/>
          <w:szCs w:val="16"/>
        </w:rPr>
        <w:softHyphen/>
        <w:t>го АД. Это обстоятельство значительно осложняло работу нашей артиллерии, так как румынские и французские летчики часто действовали по своему усмотрению и их сведения требовали периодической проверки со стороны русской авиации. Лучшее положение сложилось в других армиях Румынского фронта. Для корректирования стрельбы нашей артиллерии в корпусных АО 6-й армии имелось по два и более самолета с передающими радиостанциями и достаточным количеством опытных в этой работе наблюдателей. В 9-й армии на время операции из артиллерийских отделений авиаотрядов был создан отдельный сводный АО, который имел назначением корректирование стрельбы артиллерии на наиболее активном участке армии (23405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w:t>
      </w:r>
    </w:p>
    <w:p w14:paraId="621944E6" w14:textId="77777777" w:rsidR="00E879F2" w:rsidRPr="00FB4F67" w:rsidRDefault="00E879F2" w:rsidP="0083075A">
      <w:pPr>
        <w:spacing w:after="0" w:line="240" w:lineRule="auto"/>
        <w:jc w:val="both"/>
        <w:rPr>
          <w:rFonts w:ascii="Times New Roman" w:hAnsi="Times New Roman" w:cs="Times New Roman"/>
          <w:color w:val="0070C0"/>
          <w:sz w:val="16"/>
          <w:szCs w:val="16"/>
        </w:rPr>
      </w:pPr>
    </w:p>
    <w:p w14:paraId="74F86944" w14:textId="77777777" w:rsidR="004855F5" w:rsidRPr="002F2FDF" w:rsidRDefault="004855F5" w:rsidP="0083075A">
      <w:pPr>
        <w:pStyle w:val="ae"/>
        <w:spacing w:before="0" w:after="0"/>
        <w:jc w:val="both"/>
        <w:rPr>
          <w:color w:val="000000" w:themeColor="text1"/>
          <w:kern w:val="2"/>
          <w:sz w:val="16"/>
          <w:szCs w:val="16"/>
        </w:rPr>
      </w:pPr>
      <w:r w:rsidRPr="002F2FDF">
        <w:rPr>
          <w:color w:val="000000" w:themeColor="text1"/>
          <w:kern w:val="2"/>
          <w:sz w:val="16"/>
          <w:szCs w:val="16"/>
        </w:rPr>
        <w:t>9 (22) июля 1917 русские и румынские войска перешли в наступление в районе Вранча на востоке Румынии, которое позже назовут «Битва при Мэрэшти». Оно должно было стать частью общего масштабного наступления русских армий по всему германскому фронту, которое практически везде провалилось. И лишь в Румынии русским сопутствовал успех: силами двух армий на 30-километровом участке фронта удалось прорвать оборону австрийских, болгарских и германских войск и двинуться вглубь страны (17045).</w:t>
      </w:r>
    </w:p>
    <w:p w14:paraId="78EB3B87" w14:textId="77777777" w:rsidR="004855F5" w:rsidRPr="002F2FDF" w:rsidRDefault="004855F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57A4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июля 1917 1-й женский батальон смерти принял свой первый и единственный бой на фронте.</w:t>
      </w:r>
    </w:p>
    <w:p w14:paraId="04508E7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762B99" w14:textId="77777777" w:rsidR="00B85E2D" w:rsidRPr="002F2FDF" w:rsidRDefault="00B85E2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июля в 1917 году приказ А.Ф.Керенского всем командирам об открытии огня по воинским частям, отступающим без официального распоряжения (14960).</w:t>
      </w:r>
    </w:p>
    <w:p w14:paraId="4D73412E" w14:textId="77777777" w:rsidR="00B85E2D" w:rsidRPr="002F2FDF" w:rsidRDefault="00B85E2D" w:rsidP="0083075A">
      <w:pPr>
        <w:spacing w:after="0" w:line="240" w:lineRule="auto"/>
        <w:jc w:val="both"/>
        <w:rPr>
          <w:rFonts w:ascii="Times New Roman" w:hAnsi="Times New Roman" w:cs="Times New Roman"/>
          <w:color w:val="000000" w:themeColor="text1"/>
          <w:kern w:val="2"/>
          <w:sz w:val="16"/>
          <w:szCs w:val="16"/>
        </w:rPr>
      </w:pPr>
    </w:p>
    <w:p w14:paraId="59986F2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7EE20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4EE6F0" w14:textId="77777777" w:rsidR="0096035A" w:rsidRPr="002F2FDF" w:rsidRDefault="0096035A" w:rsidP="0083075A">
      <w:pPr>
        <w:pStyle w:val="ae"/>
        <w:spacing w:before="0" w:after="0"/>
        <w:jc w:val="both"/>
        <w:rPr>
          <w:color w:val="000000" w:themeColor="text1"/>
          <w:kern w:val="2"/>
          <w:sz w:val="16"/>
          <w:szCs w:val="16"/>
        </w:rPr>
      </w:pPr>
      <w:r w:rsidRPr="002F2FDF">
        <w:rPr>
          <w:color w:val="000000" w:themeColor="text1"/>
          <w:kern w:val="2"/>
          <w:sz w:val="16"/>
          <w:szCs w:val="16"/>
        </w:rPr>
        <w:t>9 (22) июля 1917 юнкера разгромили большевистские штабы в Литейном и Петроградском районах.</w:t>
      </w:r>
    </w:p>
    <w:p w14:paraId="0EFE427B" w14:textId="1D9D5F35" w:rsidR="0096035A" w:rsidRPr="002F2FDF" w:rsidRDefault="0096035A"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В тот же день Ленин, сменив к этому времени пять конспиративных квартир, вместе с </w:t>
      </w:r>
      <w:hyperlink r:id="rId414" w:tooltip="Зиновьев, Григорий Евсеевич" w:history="1">
        <w:r w:rsidRPr="002F2FDF">
          <w:rPr>
            <w:rStyle w:val="a5"/>
            <w:color w:val="000000" w:themeColor="text1"/>
            <w:kern w:val="2"/>
            <w:sz w:val="16"/>
            <w:szCs w:val="16"/>
            <w:u w:val="none"/>
          </w:rPr>
          <w:t>Зиновьевым</w:t>
        </w:r>
      </w:hyperlink>
      <w:r w:rsidRPr="002F2FDF">
        <w:rPr>
          <w:color w:val="000000" w:themeColor="text1"/>
          <w:kern w:val="2"/>
          <w:sz w:val="16"/>
          <w:szCs w:val="16"/>
        </w:rPr>
        <w:t xml:space="preserve"> бежал в деревню Разлив в Финляндии, где на первое время укрылся в доме рабочего </w:t>
      </w:r>
      <w:hyperlink r:id="rId415" w:tooltip="Емельянов, Николай Александрович" w:history="1">
        <w:r w:rsidRPr="002F2FDF">
          <w:rPr>
            <w:rStyle w:val="a5"/>
            <w:color w:val="000000" w:themeColor="text1"/>
            <w:kern w:val="2"/>
            <w:sz w:val="16"/>
            <w:szCs w:val="16"/>
            <w:u w:val="none"/>
          </w:rPr>
          <w:t>Емельянова Н. А.</w:t>
        </w:r>
      </w:hyperlink>
      <w:r w:rsidRPr="002F2FDF">
        <w:rPr>
          <w:color w:val="000000" w:themeColor="text1"/>
          <w:kern w:val="2"/>
          <w:sz w:val="16"/>
          <w:szCs w:val="16"/>
        </w:rPr>
        <w:t>. В августе</w:t>
      </w:r>
      <w:r w:rsidR="00E52569">
        <w:rPr>
          <w:color w:val="000000" w:themeColor="text1"/>
          <w:kern w:val="2"/>
          <w:sz w:val="16"/>
          <w:szCs w:val="16"/>
        </w:rPr>
        <w:t xml:space="preserve"> </w:t>
      </w:r>
      <w:r w:rsidRPr="002F2FDF">
        <w:rPr>
          <w:color w:val="000000" w:themeColor="text1"/>
          <w:kern w:val="2"/>
          <w:sz w:val="16"/>
          <w:szCs w:val="16"/>
        </w:rPr>
        <w:t xml:space="preserve">— сентябре Ленин пишет теоретический труд «Государство и революция». По некоторым источникам, приказ об аресте Ленина подписывает будущий Прокурор СССР </w:t>
      </w:r>
      <w:hyperlink r:id="rId416" w:tooltip="Вышинский, Андрей Януарьевич" w:history="1">
        <w:r w:rsidRPr="002F2FDF">
          <w:rPr>
            <w:rStyle w:val="a5"/>
            <w:color w:val="000000" w:themeColor="text1"/>
            <w:kern w:val="2"/>
            <w:sz w:val="16"/>
            <w:szCs w:val="16"/>
            <w:u w:val="none"/>
          </w:rPr>
          <w:t>Вышинский А. Я.</w:t>
        </w:r>
      </w:hyperlink>
      <w:r w:rsidRPr="002F2FDF">
        <w:rPr>
          <w:color w:val="000000" w:themeColor="text1"/>
          <w:kern w:val="2"/>
          <w:sz w:val="16"/>
          <w:szCs w:val="16"/>
        </w:rPr>
        <w:t xml:space="preserve">, бывший в </w:t>
      </w:r>
      <w:hyperlink r:id="rId417" w:tooltip="1917 год" w:history="1">
        <w:r w:rsidRPr="002F2FDF">
          <w:rPr>
            <w:rStyle w:val="a5"/>
            <w:color w:val="000000" w:themeColor="text1"/>
            <w:kern w:val="2"/>
            <w:sz w:val="16"/>
            <w:szCs w:val="16"/>
            <w:u w:val="none"/>
          </w:rPr>
          <w:t>1917 году</w:t>
        </w:r>
      </w:hyperlink>
      <w:r w:rsidRPr="002F2FDF">
        <w:rPr>
          <w:color w:val="000000" w:themeColor="text1"/>
          <w:kern w:val="2"/>
          <w:sz w:val="16"/>
          <w:szCs w:val="16"/>
        </w:rPr>
        <w:t xml:space="preserve"> меньшевиком.</w:t>
      </w:r>
    </w:p>
    <w:p w14:paraId="4B49327D" w14:textId="77777777" w:rsidR="0096035A" w:rsidRPr="002F2FDF" w:rsidRDefault="0096035A"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По воспоминаниям генерала Половцева, «Офицер, отправляющийся в </w:t>
      </w:r>
      <w:hyperlink r:id="rId418" w:tooltip="Териоки" w:history="1">
        <w:r w:rsidRPr="002F2FDF">
          <w:rPr>
            <w:rStyle w:val="a5"/>
            <w:color w:val="000000" w:themeColor="text1"/>
            <w:kern w:val="2"/>
            <w:sz w:val="16"/>
            <w:szCs w:val="16"/>
            <w:u w:val="none"/>
          </w:rPr>
          <w:t>Териоки</w:t>
        </w:r>
      </w:hyperlink>
      <w:r w:rsidRPr="002F2FDF">
        <w:rPr>
          <w:color w:val="000000" w:themeColor="text1"/>
          <w:kern w:val="2"/>
          <w:sz w:val="16"/>
          <w:szCs w:val="16"/>
        </w:rPr>
        <w:t xml:space="preserve"> с надеждой поймать Ленина, меня спрашивает, желаю ли я получить этого господина в цельном виде или разобранном?», на что генерал Половцев, по его словам, «с усмешкой» отвечает, что «арестованные часто делают попытки к побегу».</w:t>
      </w:r>
    </w:p>
    <w:p w14:paraId="5222BC07" w14:textId="77777777" w:rsidR="0096035A" w:rsidRPr="002F2FDF" w:rsidRDefault="0096035A"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Сталин на заседании ЦК прокомментировал положение Ленина словами: «юнкера до тюрьмы не довезут, убьют по дороге». </w:t>
      </w:r>
      <w:hyperlink r:id="rId419" w:tooltip="26 июля" w:history="1">
        <w:r w:rsidRPr="002F2FDF">
          <w:rPr>
            <w:rStyle w:val="a5"/>
            <w:color w:val="000000" w:themeColor="text1"/>
            <w:kern w:val="2"/>
            <w:sz w:val="16"/>
            <w:szCs w:val="16"/>
            <w:u w:val="none"/>
          </w:rPr>
          <w:t>26 июля</w:t>
        </w:r>
      </w:hyperlink>
      <w:hyperlink r:id="rId420" w:tooltip="1917 год" w:history="1">
        <w:r w:rsidRPr="002F2FDF">
          <w:rPr>
            <w:rStyle w:val="a5"/>
            <w:color w:val="000000" w:themeColor="text1"/>
            <w:kern w:val="2"/>
            <w:sz w:val="16"/>
            <w:szCs w:val="16"/>
            <w:u w:val="none"/>
          </w:rPr>
          <w:t>1917 года</w:t>
        </w:r>
      </w:hyperlink>
      <w:r w:rsidRPr="002F2FDF">
        <w:rPr>
          <w:color w:val="000000" w:themeColor="text1"/>
          <w:kern w:val="2"/>
          <w:sz w:val="16"/>
          <w:szCs w:val="16"/>
        </w:rPr>
        <w:t xml:space="preserve"> VI Съезд РСДРП(б) одобрил решение Ленина о неявке в суд. После своего бегства Ленин передал </w:t>
      </w:r>
      <w:hyperlink r:id="rId421" w:tooltip="Каменев, Лев Борисович" w:history="1">
        <w:r w:rsidRPr="002F2FDF">
          <w:rPr>
            <w:rStyle w:val="a5"/>
            <w:color w:val="000000" w:themeColor="text1"/>
            <w:kern w:val="2"/>
            <w:sz w:val="16"/>
            <w:szCs w:val="16"/>
            <w:u w:val="none"/>
          </w:rPr>
          <w:t>Каменеву Л. Б.</w:t>
        </w:r>
      </w:hyperlink>
      <w:r w:rsidRPr="002F2FDF">
        <w:rPr>
          <w:color w:val="000000" w:themeColor="text1"/>
          <w:kern w:val="2"/>
          <w:sz w:val="16"/>
          <w:szCs w:val="16"/>
        </w:rPr>
        <w:t xml:space="preserve"> записку с просьбой издать работу «Государство и революция» в случае своей гибели</w:t>
      </w:r>
      <w:hyperlink r:id="rId422" w:anchor="cite_note-32" w:history="1">
        <w:r w:rsidRPr="002F2FDF">
          <w:rPr>
            <w:rStyle w:val="a5"/>
            <w:color w:val="000000" w:themeColor="text1"/>
            <w:kern w:val="2"/>
            <w:sz w:val="16"/>
            <w:szCs w:val="16"/>
            <w:u w:val="none"/>
            <w:vertAlign w:val="superscript"/>
          </w:rPr>
          <w:t>[32]</w:t>
        </w:r>
      </w:hyperlink>
      <w:r w:rsidRPr="002F2FDF">
        <w:rPr>
          <w:color w:val="000000" w:themeColor="text1"/>
          <w:kern w:val="2"/>
          <w:sz w:val="16"/>
          <w:szCs w:val="16"/>
        </w:rPr>
        <w:t>.</w:t>
      </w:r>
    </w:p>
    <w:p w14:paraId="1994317C" w14:textId="5422F20D" w:rsidR="0096035A" w:rsidRPr="002F2FDF" w:rsidRDefault="0096035A" w:rsidP="0083075A">
      <w:pPr>
        <w:pStyle w:val="ae"/>
        <w:spacing w:before="0" w:after="0"/>
        <w:jc w:val="both"/>
        <w:rPr>
          <w:color w:val="000000" w:themeColor="text1"/>
          <w:kern w:val="2"/>
          <w:sz w:val="16"/>
          <w:szCs w:val="16"/>
        </w:rPr>
      </w:pPr>
      <w:r w:rsidRPr="002F2FDF">
        <w:rPr>
          <w:color w:val="000000" w:themeColor="text1"/>
          <w:kern w:val="2"/>
          <w:sz w:val="16"/>
          <w:szCs w:val="16"/>
        </w:rPr>
        <w:t>Тем временем газета «Живое слово» успела сообщить 7 июля о том, что Ленин якобы арестован в особняке Кшесинской, а «Петроградская газета» даже сообщила «подробности», что якобы солдатами Волынского полка был пойман Ленин, выдававший себя за матроса. 14 июля «Петроградская газета» поместила информацию о том, что Ленин якобы бежал в Кронштадт. Наконец, «Газета-копейка» 15 июля «обнаружила» Ленина в Стокгольме, а «Биржевые ведомости»</w:t>
      </w:r>
      <w:r w:rsidR="00E52569">
        <w:rPr>
          <w:color w:val="000000" w:themeColor="text1"/>
          <w:kern w:val="2"/>
          <w:sz w:val="16"/>
          <w:szCs w:val="16"/>
        </w:rPr>
        <w:t xml:space="preserve"> </w:t>
      </w:r>
      <w:r w:rsidRPr="002F2FDF">
        <w:rPr>
          <w:color w:val="000000" w:themeColor="text1"/>
          <w:kern w:val="2"/>
          <w:sz w:val="16"/>
          <w:szCs w:val="16"/>
        </w:rPr>
        <w:t>— даже в Германии.</w:t>
      </w:r>
    </w:p>
    <w:p w14:paraId="653B2CD3" w14:textId="77777777" w:rsidR="0096035A" w:rsidRPr="002F2FDF" w:rsidRDefault="0096035A" w:rsidP="0083075A">
      <w:pPr>
        <w:pStyle w:val="ae"/>
        <w:spacing w:before="0" w:after="0"/>
        <w:jc w:val="both"/>
        <w:rPr>
          <w:color w:val="000000" w:themeColor="text1"/>
          <w:kern w:val="2"/>
          <w:sz w:val="16"/>
          <w:szCs w:val="16"/>
        </w:rPr>
      </w:pPr>
      <w:r w:rsidRPr="002F2FDF">
        <w:rPr>
          <w:color w:val="000000" w:themeColor="text1"/>
          <w:kern w:val="2"/>
          <w:sz w:val="16"/>
          <w:szCs w:val="16"/>
        </w:rPr>
        <w:t>В ходе событий меньшевик Марк Либер был ошибочно арестован солдатами, принявшими его за Зиновьева, а представитель трудовиков во ВЦИК был избит за призыв не считать Ленина германским агентом, пока это не будет доказано судом (17029).</w:t>
      </w:r>
    </w:p>
    <w:p w14:paraId="2A337F22" w14:textId="77777777" w:rsidR="0096035A" w:rsidRPr="002F2FDF" w:rsidRDefault="0096035A"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A1051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июля 1917 один из лидеров большевиков Лев Каменев добровольно сдался полиции и был водворен в тюрьму “Кресты” по обвинению в организации беспорядков в Петрограде (4962).</w:t>
      </w:r>
    </w:p>
    <w:p w14:paraId="004CC64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5F6EDB" w14:textId="77777777" w:rsidR="00B85E2D" w:rsidRPr="002F2FDF" w:rsidRDefault="00B85E2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июля в 1917 году Александр Керенский возглавил Временное Правительство России (14960).</w:t>
      </w:r>
    </w:p>
    <w:p w14:paraId="142C91F8" w14:textId="77777777" w:rsidR="00B85E2D" w:rsidRPr="002F2FDF" w:rsidRDefault="00B85E2D" w:rsidP="0083075A">
      <w:pPr>
        <w:spacing w:after="0" w:line="240" w:lineRule="auto"/>
        <w:jc w:val="both"/>
        <w:rPr>
          <w:rFonts w:ascii="Times New Roman" w:hAnsi="Times New Roman" w:cs="Times New Roman"/>
          <w:color w:val="000000" w:themeColor="text1"/>
          <w:kern w:val="2"/>
          <w:sz w:val="16"/>
          <w:szCs w:val="16"/>
        </w:rPr>
      </w:pPr>
    </w:p>
    <w:p w14:paraId="0CE880C2" w14:textId="77777777" w:rsidR="00B85E2D" w:rsidRPr="002F2FDF" w:rsidRDefault="00B85E2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июля в 1917 году В.И.Ленин и Г.Е.Зиновьев покидают Петроград и скрываются сначала в Сестрорецке, а затем в Разливе (14960).</w:t>
      </w:r>
    </w:p>
    <w:p w14:paraId="4EA045A7" w14:textId="77777777" w:rsidR="00B85E2D" w:rsidRPr="002F2FDF" w:rsidRDefault="00B85E2D" w:rsidP="0083075A">
      <w:pPr>
        <w:spacing w:after="0" w:line="240" w:lineRule="auto"/>
        <w:jc w:val="both"/>
        <w:rPr>
          <w:rFonts w:ascii="Times New Roman" w:hAnsi="Times New Roman" w:cs="Times New Roman"/>
          <w:color w:val="000000" w:themeColor="text1"/>
          <w:kern w:val="2"/>
          <w:sz w:val="16"/>
          <w:szCs w:val="16"/>
        </w:rPr>
      </w:pPr>
    </w:p>
    <w:p w14:paraId="759CF3D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142F5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1452C4"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9 (22) июля 1917 днем немецкие бомбардировщики Gotha G.IV совершают пятую атаку на Соединенное Королевство в рамках операции Türkenkreuz, бомбя Феликстоу и Харвич (20341).</w:t>
      </w:r>
    </w:p>
    <w:p w14:paraId="40B805E4"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p>
    <w:p w14:paraId="20DFF8A2" w14:textId="77777777" w:rsidR="00E625B9" w:rsidRPr="002F2FDF" w:rsidRDefault="00E625B9" w:rsidP="0083075A">
      <w:pPr>
        <w:pStyle w:val="ae"/>
        <w:spacing w:before="0" w:after="0"/>
        <w:jc w:val="both"/>
        <w:rPr>
          <w:color w:val="000000" w:themeColor="text1"/>
          <w:kern w:val="2"/>
          <w:sz w:val="16"/>
          <w:szCs w:val="16"/>
        </w:rPr>
      </w:pPr>
      <w:r w:rsidRPr="002F2FDF">
        <w:rPr>
          <w:color w:val="000000" w:themeColor="text1"/>
          <w:kern w:val="2"/>
          <w:sz w:val="16"/>
          <w:szCs w:val="16"/>
        </w:rPr>
        <w:t>9 (22) июля 1917 в Польше был арестован один из самых харизматичных лидеров польского национального движения Юзеф Пилсудский. До этого он вышел из состава временного правительства Королевства Польского, созданного немцами в оккупированной русской части Польши и призвал поляков, призванных в армию этого «королевства», не приносить присягу на верность Германии и Австро-Венгрии. В результате создать польскую армию у немцев так и не получилось: ее подразделения были распущены, большинство легионеров интернировано, а сам Пилсудский и многие другие видные деятели польского национального движения просидели за решеткой до конца войны. Благодаря этому по окончании войны возрожденная Польша воспринималась уже как союзница Антанты, а не Германии, и потому могла примкнуть к лагерю победителей (17045).</w:t>
      </w:r>
    </w:p>
    <w:p w14:paraId="4B52194C" w14:textId="77777777" w:rsidR="00E625B9" w:rsidRPr="002F2FDF" w:rsidRDefault="00E625B9"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A1462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июля 1917 Сиам (Таиланд) объявил войну Германии и Австрии (4962).</w:t>
      </w:r>
    </w:p>
    <w:p w14:paraId="710D6CA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0E5A1A" w14:textId="77777777" w:rsidR="004734F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0A34EAA" w14:textId="77777777" w:rsidR="004734F2" w:rsidRPr="002F2FDF" w:rsidRDefault="004734F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0DCAF0" w14:textId="77777777" w:rsidR="004734F2" w:rsidRPr="002F2FDF" w:rsidRDefault="004734F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первой декаде июля 1917 враг подверг интенсивной бомбардировке Езерну, Божиков, Мужилов, Тарнополь, Луцк, атаковал отступающие части и обозы русских войск. Во второй декаде низкая облачность и дожди заметно снизили активность авиации противника по всему фронту. В конце июля вражеские летчики интенсивно работали уже на всех участках Юго-Западного фронта - ежедневно в воздух поднималось до 80 самолетов. Всего за июль было зарегистрировано 2735 полетов неприятельских самолетов. В воздушных боях было сбито 4 русских аэроплана и сожжено в воздухе 9 привязных аэростатов. В 20-х числах июля русские войска закрепились на новых рубежах, и на Юго-Западном наступило затишье. К этому времени авиачасти фронта находились в плачевном состоянии. Тем не менее авиаторы продолжали выполнять свой долг и, увы, нести потери. Так, 19 августа летчик 2-го истребительного АО подпоручик Чудновский во время боя над деревней Паниковце в р-не Брод с двумя австрийскими самолетами столкнулся с одним из них. У неприятельского аппарата отлетели пропеллер и крыло, и он рухнул камнем, а машина Чудновского опускалась медленно и повисла на деревьях. Оба самолета упали за линией неприятельских окопов. Согласно данным австрийского военного архива, в этот день военный летчик фельдфебель Рудольф Лонстак из 14-й авиароты вылетел на истребителе "Альбатрос D.II" (№53.07) и "...столкнулся во время воздушного боя с неприятельским истребителем "Ньюпор". Оба пилота при падении погибли". 27 августа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502F4AB4" w14:textId="77777777" w:rsidR="004734F2" w:rsidRPr="002F2FDF" w:rsidRDefault="004734F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51BC6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7B65D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351C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10 по 15 (23 по 28) июля 1917 г. испытывался отклонитель для пуль Инженера-механика прапорщика Кулебакина. Его построили на московском заводе Моска для самолета "Моран". Специальные кулачки, связанные с валом двигателя, показывались из-под капота в момент прохождения лопасти через линию полета пули, предохраняя винт от повреждений. Отчет: "При стрельбе на месте, винт и аппарат никаких повреждений от осколков и брызг пуль не имели".</w:t>
      </w:r>
    </w:p>
    <w:p w14:paraId="529AF1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Установка отклонителя не требовала никаких переделок ни в двигателе, ни в самолете, ни в пулемете.</w:t>
      </w:r>
    </w:p>
    <w:p w14:paraId="1D27A4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Старший приемщик писал в рапорте: "Преимущества такового слишком очевидны: 1) невозможность попадания в винт при любом изменении числа оборотов; 2) легкость установки и приспособляемость; 3) простота конструкции и доступность; 4) установка не отнимает места; 5) дешевле всех существующих; 6) полная безопасность для летчика...; 7) независимость действия пулемета". Отклонитель весил 5 кг.</w:t>
      </w:r>
    </w:p>
    <w:p w14:paraId="14D191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Изобретение не было реализовано (11999).</w:t>
      </w:r>
    </w:p>
    <w:p w14:paraId="46C90A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92F03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516F6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E9484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июля 1917 в Галиции австрийцы отбили у русских Станислав и Галич (4962).</w:t>
      </w:r>
    </w:p>
    <w:p w14:paraId="7C86AE8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E31A2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июля 1917 главнокомандующий русской армии генерал А. Брусилов запретил собрания и митинги в районах боевых действий под угрозой вооруженного разгона (4962).</w:t>
      </w:r>
    </w:p>
    <w:p w14:paraId="046E6C2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372FC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F303C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97AE0C" w14:textId="77777777" w:rsidR="0096035A" w:rsidRPr="002F2FDF" w:rsidRDefault="0096035A"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10 (23) июля 1917 в результате правительственного кризиса было сформировано второе коалиционное правительство, возглавлявшееся Керенским, который при этом сохранил посты военного и морского министров. Состав правительства был преимущественно социалистическим, в него вошли эсеры, меньшевики и радикальные демократы. Временное правительство перебралось из Мариинского дворца в </w:t>
      </w:r>
      <w:hyperlink r:id="rId423" w:tooltip="Зимний дворец" w:history="1">
        <w:r w:rsidRPr="002F2FDF">
          <w:rPr>
            <w:rStyle w:val="a5"/>
            <w:color w:val="000000" w:themeColor="text1"/>
            <w:kern w:val="2"/>
            <w:sz w:val="16"/>
            <w:szCs w:val="16"/>
            <w:u w:val="none"/>
          </w:rPr>
          <w:t>Зимний</w:t>
        </w:r>
      </w:hyperlink>
      <w:r w:rsidRPr="002F2FDF">
        <w:rPr>
          <w:color w:val="000000" w:themeColor="text1"/>
          <w:kern w:val="2"/>
          <w:sz w:val="16"/>
          <w:szCs w:val="16"/>
        </w:rPr>
        <w:t>.</w:t>
      </w:r>
    </w:p>
    <w:p w14:paraId="1DFCFED1" w14:textId="0D433436" w:rsidR="0096035A" w:rsidRPr="002F2FDF" w:rsidRDefault="0096035A"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В тот же день агрессивно настроенные военные попытались разгромить дом </w:t>
      </w:r>
      <w:hyperlink r:id="rId424" w:tooltip="Стеклов, Юрий Михайлович" w:history="1">
        <w:r w:rsidRPr="002F2FDF">
          <w:rPr>
            <w:rStyle w:val="a5"/>
            <w:color w:val="000000" w:themeColor="text1"/>
            <w:kern w:val="2"/>
            <w:sz w:val="16"/>
            <w:szCs w:val="16"/>
            <w:u w:val="none"/>
          </w:rPr>
          <w:t>Стеклова Ю. М.</w:t>
        </w:r>
      </w:hyperlink>
      <w:r w:rsidRPr="002F2FDF">
        <w:rPr>
          <w:color w:val="000000" w:themeColor="text1"/>
          <w:kern w:val="2"/>
          <w:sz w:val="16"/>
          <w:szCs w:val="16"/>
        </w:rPr>
        <w:t xml:space="preserve"> (Нахамкиса), который в то время был меньшевиком и не имел никакого отношения к июльскому выступлению, однако прославился громкими и агрессивными обличениями «контрреволюционеров», в первую очередь</w:t>
      </w:r>
      <w:r w:rsidR="00E52569">
        <w:rPr>
          <w:color w:val="000000" w:themeColor="text1"/>
          <w:kern w:val="2"/>
          <w:sz w:val="16"/>
          <w:szCs w:val="16"/>
        </w:rPr>
        <w:t xml:space="preserve"> </w:t>
      </w:r>
      <w:r w:rsidRPr="002F2FDF">
        <w:rPr>
          <w:color w:val="000000" w:themeColor="text1"/>
          <w:kern w:val="2"/>
          <w:sz w:val="16"/>
          <w:szCs w:val="16"/>
        </w:rPr>
        <w:t xml:space="preserve">— офицеров. 10 июля </w:t>
      </w:r>
      <w:r w:rsidRPr="002F2FDF">
        <w:rPr>
          <w:color w:val="000000" w:themeColor="text1"/>
          <w:kern w:val="2"/>
          <w:sz w:val="16"/>
          <w:szCs w:val="16"/>
        </w:rPr>
        <w:lastRenderedPageBreak/>
        <w:t>юнкера арестовали Стеклова на даче Бонч-Бруевича, и освободили только после вмешательства Керенского. По выражению Петросовета, «какие-то банды ломятся на квартиру Нахамкеса? Мы посылаем на его защиту три бро</w:t>
      </w:r>
      <w:r w:rsidRPr="002F2FDF">
        <w:rPr>
          <w:color w:val="000000" w:themeColor="text1"/>
          <w:kern w:val="2"/>
          <w:sz w:val="16"/>
          <w:szCs w:val="16"/>
        </w:rPr>
        <w:softHyphen/>
        <w:t>невика» (17029).</w:t>
      </w:r>
    </w:p>
    <w:p w14:paraId="0DC86674" w14:textId="77777777" w:rsidR="0096035A" w:rsidRPr="002F2FDF" w:rsidRDefault="0096035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0F316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июля 1917 Ленин и Зиновьев тайно покидают Петроград и поселяются под видом наемных косарей рабочего Емельянова у станции Разлив (4962).</w:t>
      </w:r>
    </w:p>
    <w:p w14:paraId="4DE71E4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8145D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июля 1917 по приказу Временного правительства запрещен Центробалт - Совет матросов Балтийского флота (4962).</w:t>
      </w:r>
    </w:p>
    <w:p w14:paraId="186002F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5FC0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Между 10 и 16 (23 и 29) июля 1917. Из журнала заседаний Временного правительства N129, 1917 г.</w:t>
      </w:r>
    </w:p>
    <w:p w14:paraId="126C0D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Об организации сбора находящегося на руках у населения оружия и боевых припасов </w:t>
      </w:r>
    </w:p>
    <w:p w14:paraId="563DFF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оружие казенного образца и боевые припасы, находящиеся на руках у населения Петрограда и его окрестностей, подлежат сдаче для использования в действующей армии. Лица, у которых будет обнаружено оружие казенного образца после 16 июля, подлежат ответственности как виновные в похищении казенного имущества (11652).</w:t>
      </w:r>
    </w:p>
    <w:p w14:paraId="237025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50A598" w14:textId="77777777" w:rsidR="00B85E2D" w:rsidRPr="002F2FDF" w:rsidRDefault="00B85E2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июля в 1917 году ЦИК Советов, руководимый социалистическими партиями, объявляет новый кабинет во главе с А.Ф.Керенским "правительством спасения революции" и признает его "неограниченные полномочия" (14961).</w:t>
      </w:r>
    </w:p>
    <w:p w14:paraId="50ED804D" w14:textId="77777777" w:rsidR="00B85E2D" w:rsidRPr="002F2FDF" w:rsidRDefault="00B85E2D" w:rsidP="0083075A">
      <w:pPr>
        <w:spacing w:after="0" w:line="240" w:lineRule="auto"/>
        <w:jc w:val="both"/>
        <w:rPr>
          <w:rFonts w:ascii="Times New Roman" w:hAnsi="Times New Roman" w:cs="Times New Roman"/>
          <w:color w:val="000000" w:themeColor="text1"/>
          <w:kern w:val="2"/>
          <w:sz w:val="16"/>
          <w:szCs w:val="16"/>
        </w:rPr>
      </w:pPr>
    </w:p>
    <w:p w14:paraId="425FD9C5" w14:textId="77777777" w:rsidR="00B85E2D" w:rsidRPr="002F2FDF" w:rsidRDefault="00B85E2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июля в 1917 году В.И.Ленин и Г.Е.Зиновьев тайно покидают Петроград и поселяются под видом наемных косарей рабочего Емельянова у станции Разлив (14961).</w:t>
      </w:r>
    </w:p>
    <w:p w14:paraId="72324590" w14:textId="77777777" w:rsidR="00B85E2D" w:rsidRPr="002F2FDF" w:rsidRDefault="00B85E2D" w:rsidP="0083075A">
      <w:pPr>
        <w:spacing w:after="0" w:line="240" w:lineRule="auto"/>
        <w:jc w:val="both"/>
        <w:rPr>
          <w:rFonts w:ascii="Times New Roman" w:hAnsi="Times New Roman" w:cs="Times New Roman"/>
          <w:color w:val="000000" w:themeColor="text1"/>
          <w:kern w:val="2"/>
          <w:sz w:val="16"/>
          <w:szCs w:val="16"/>
        </w:rPr>
      </w:pPr>
    </w:p>
    <w:p w14:paraId="656D54C1" w14:textId="32620F4C" w:rsidR="002C7D24" w:rsidRPr="002F2FDF" w:rsidRDefault="002C7D2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E595591" w14:textId="77777777" w:rsidR="002C7D24" w:rsidRPr="002F2FDF" w:rsidRDefault="002C7D2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8ACA98" w14:textId="77777777" w:rsidR="002C7D24" w:rsidRPr="002F2FDF" w:rsidRDefault="002C7D24" w:rsidP="0083075A">
      <w:pPr>
        <w:autoSpaceDE w:val="0"/>
        <w:autoSpaceDN w:val="0"/>
        <w:adjustRightInd w:val="0"/>
        <w:spacing w:after="0" w:line="240" w:lineRule="auto"/>
        <w:jc w:val="both"/>
        <w:rPr>
          <w:rFonts w:ascii="Times New Roman" w:eastAsia="TimesNewRoman" w:hAnsi="Times New Roman" w:cs="Times New Roman"/>
          <w:color w:val="000000" w:themeColor="text1"/>
          <w:sz w:val="16"/>
          <w:szCs w:val="16"/>
        </w:rPr>
      </w:pPr>
      <w:r w:rsidRPr="002F2FDF">
        <w:rPr>
          <w:rFonts w:ascii="Times New Roman" w:eastAsia="Times-Roman" w:hAnsi="Times New Roman" w:cs="Times New Roman"/>
          <w:color w:val="000000" w:themeColor="text1"/>
          <w:sz w:val="16"/>
          <w:szCs w:val="16"/>
        </w:rPr>
        <w:t xml:space="preserve">10 (23) </w:t>
      </w:r>
      <w:r w:rsidRPr="002F2FDF">
        <w:rPr>
          <w:rFonts w:ascii="Times New Roman" w:eastAsia="TimesNewRoman" w:hAnsi="Times New Roman" w:cs="Times New Roman"/>
          <w:color w:val="000000" w:themeColor="text1"/>
          <w:sz w:val="16"/>
          <w:szCs w:val="16"/>
        </w:rPr>
        <w:t xml:space="preserve">июля </w:t>
      </w:r>
      <w:r w:rsidRPr="002F2FDF">
        <w:rPr>
          <w:rFonts w:ascii="Times New Roman" w:eastAsia="Times-Roman" w:hAnsi="Times New Roman" w:cs="Times New Roman"/>
          <w:color w:val="000000" w:themeColor="text1"/>
          <w:sz w:val="16"/>
          <w:szCs w:val="16"/>
        </w:rPr>
        <w:t>1917</w:t>
      </w:r>
      <w:r w:rsidRPr="002F2FDF">
        <w:rPr>
          <w:rFonts w:ascii="Times New Roman" w:eastAsia="TimesNewRoman" w:hAnsi="Times New Roman" w:cs="Times New Roman"/>
          <w:color w:val="000000" w:themeColor="text1"/>
          <w:sz w:val="16"/>
          <w:szCs w:val="16"/>
        </w:rPr>
        <w:t xml:space="preserve"> немцами впервые был применён дифенилхлорарсин. В том же </w:t>
      </w:r>
      <w:r w:rsidRPr="002F2FDF">
        <w:rPr>
          <w:rFonts w:ascii="Times New Roman" w:eastAsia="Times-Roman" w:hAnsi="Times New Roman" w:cs="Times New Roman"/>
          <w:color w:val="000000" w:themeColor="text1"/>
          <w:sz w:val="16"/>
          <w:szCs w:val="16"/>
        </w:rPr>
        <w:t>17-</w:t>
      </w:r>
      <w:r w:rsidRPr="002F2FDF">
        <w:rPr>
          <w:rFonts w:ascii="Times New Roman" w:eastAsia="TimesNewRoman" w:hAnsi="Times New Roman" w:cs="Times New Roman"/>
          <w:color w:val="000000" w:themeColor="text1"/>
          <w:sz w:val="16"/>
          <w:szCs w:val="16"/>
        </w:rPr>
        <w:t>ом году немцы поставили на фронт отравляющее вещество кожно</w:t>
      </w:r>
      <w:r w:rsidRPr="002F2FDF">
        <w:rPr>
          <w:rFonts w:ascii="Times New Roman" w:eastAsia="Times-Roman" w:hAnsi="Times New Roman" w:cs="Times New Roman"/>
          <w:color w:val="000000" w:themeColor="text1"/>
          <w:sz w:val="16"/>
          <w:szCs w:val="16"/>
        </w:rPr>
        <w:t>-</w:t>
      </w:r>
      <w:r w:rsidRPr="002F2FDF">
        <w:rPr>
          <w:rFonts w:ascii="Times New Roman" w:eastAsia="TimesNewRoman" w:hAnsi="Times New Roman" w:cs="Times New Roman"/>
          <w:color w:val="000000" w:themeColor="text1"/>
          <w:sz w:val="16"/>
          <w:szCs w:val="16"/>
        </w:rPr>
        <w:t>нарывного действия</w:t>
      </w:r>
      <w:r w:rsidRPr="002F2FDF">
        <w:rPr>
          <w:rFonts w:ascii="Times New Roman" w:eastAsia="Times-Roman" w:hAnsi="Times New Roman" w:cs="Times New Roman"/>
          <w:color w:val="000000" w:themeColor="text1"/>
          <w:sz w:val="16"/>
          <w:szCs w:val="16"/>
        </w:rPr>
        <w:t xml:space="preserve">. </w:t>
      </w:r>
      <w:r w:rsidRPr="002F2FDF">
        <w:rPr>
          <w:rFonts w:ascii="Times New Roman" w:eastAsia="TimesNewRoman" w:hAnsi="Times New Roman" w:cs="Times New Roman"/>
          <w:color w:val="000000" w:themeColor="text1"/>
          <w:sz w:val="16"/>
          <w:szCs w:val="16"/>
        </w:rPr>
        <w:t>В</w:t>
      </w:r>
      <w:r w:rsidRPr="002F2FDF">
        <w:rPr>
          <w:rFonts w:ascii="Times New Roman" w:eastAsia="Times-Roman" w:hAnsi="Times New Roman" w:cs="Times New Roman"/>
          <w:color w:val="000000" w:themeColor="text1"/>
          <w:sz w:val="16"/>
          <w:szCs w:val="16"/>
        </w:rPr>
        <w:t>,</w:t>
      </w:r>
      <w:r w:rsidRPr="002F2FDF">
        <w:rPr>
          <w:rFonts w:ascii="Times New Roman" w:eastAsia="TimesNewRoman" w:hAnsi="Times New Roman" w:cs="Times New Roman"/>
          <w:color w:val="000000" w:themeColor="text1"/>
          <w:sz w:val="16"/>
          <w:szCs w:val="16"/>
        </w:rPr>
        <w:t>В</w:t>
      </w:r>
      <w:r w:rsidRPr="002F2FDF">
        <w:rPr>
          <w:rFonts w:ascii="Times New Roman" w:eastAsia="Times-Roman" w:hAnsi="Times New Roman" w:cs="Times New Roman"/>
          <w:color w:val="000000" w:themeColor="text1"/>
          <w:sz w:val="16"/>
          <w:szCs w:val="16"/>
        </w:rPr>
        <w:t>-</w:t>
      </w:r>
      <w:r w:rsidRPr="002F2FDF">
        <w:rPr>
          <w:rFonts w:ascii="Times New Roman" w:eastAsia="TimesNewRoman" w:hAnsi="Times New Roman" w:cs="Times New Roman"/>
          <w:color w:val="000000" w:themeColor="text1"/>
          <w:sz w:val="16"/>
          <w:szCs w:val="16"/>
        </w:rPr>
        <w:t>дихлордиэтилсульфида</w:t>
      </w:r>
      <w:r w:rsidRPr="002F2FDF">
        <w:rPr>
          <w:rFonts w:ascii="Times New Roman" w:eastAsia="Times-Roman" w:hAnsi="Times New Roman" w:cs="Times New Roman"/>
          <w:color w:val="000000" w:themeColor="text1"/>
          <w:sz w:val="16"/>
          <w:szCs w:val="16"/>
        </w:rPr>
        <w:t xml:space="preserve">, </w:t>
      </w:r>
      <w:r w:rsidRPr="002F2FDF">
        <w:rPr>
          <w:rFonts w:ascii="Times New Roman" w:eastAsia="TimesNewRoman" w:hAnsi="Times New Roman" w:cs="Times New Roman"/>
          <w:color w:val="000000" w:themeColor="text1"/>
          <w:sz w:val="16"/>
          <w:szCs w:val="16"/>
        </w:rPr>
        <w:t>он же иприт</w:t>
      </w:r>
      <w:r w:rsidRPr="002F2FDF">
        <w:rPr>
          <w:rFonts w:ascii="Times New Roman" w:eastAsia="Times-Roman" w:hAnsi="Times New Roman" w:cs="Times New Roman"/>
          <w:color w:val="000000" w:themeColor="text1"/>
          <w:sz w:val="16"/>
          <w:szCs w:val="16"/>
        </w:rPr>
        <w:t xml:space="preserve">, </w:t>
      </w:r>
      <w:r w:rsidRPr="002F2FDF">
        <w:rPr>
          <w:rFonts w:ascii="Times New Roman" w:eastAsia="TimesNewRoman" w:hAnsi="Times New Roman" w:cs="Times New Roman"/>
          <w:color w:val="000000" w:themeColor="text1"/>
          <w:sz w:val="16"/>
          <w:szCs w:val="16"/>
        </w:rPr>
        <w:t>он же горчичный газ (20240)</w:t>
      </w:r>
    </w:p>
    <w:p w14:paraId="6A8B0F92" w14:textId="77777777" w:rsidR="002C7D24" w:rsidRPr="002F2FDF" w:rsidRDefault="002C7D24" w:rsidP="0083075A">
      <w:pPr>
        <w:autoSpaceDE w:val="0"/>
        <w:autoSpaceDN w:val="0"/>
        <w:adjustRightInd w:val="0"/>
        <w:spacing w:after="0" w:line="240" w:lineRule="auto"/>
        <w:jc w:val="both"/>
        <w:rPr>
          <w:rFonts w:ascii="Times New Roman" w:eastAsia="TimesNewRoman" w:hAnsi="Times New Roman" w:cs="Times New Roman"/>
          <w:color w:val="000000" w:themeColor="text1"/>
          <w:sz w:val="16"/>
          <w:szCs w:val="16"/>
        </w:rPr>
      </w:pPr>
    </w:p>
    <w:p w14:paraId="1EDFF086"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01B106F" w14:textId="77777777" w:rsidR="00256266" w:rsidRPr="002F2FDF" w:rsidRDefault="002562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B1A83E" w14:textId="0BE90B9C" w:rsidR="00733E6C" w:rsidRDefault="00733E6C"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11 </w:t>
      </w:r>
      <w:r>
        <w:rPr>
          <w:rFonts w:ascii="Times New Roman" w:hAnsi="Times New Roman" w:cs="Times New Roman"/>
          <w:color w:val="0070C0"/>
          <w:sz w:val="16"/>
          <w:szCs w:val="16"/>
        </w:rPr>
        <w:t>(24) июля 1917 г. Технический комитет УВВФ рассмотрел проект «механизма с помощью которого аэроплан любой системы мог бы летать автоматирчески, без авиатора», предложенный Рустановым. Механизм представлял собой сложну. Систему пневматических сервормоторов и напоминал современный автопилот. По заключению проф. Ботезата техком постановил: «Предложенный г. Рутановым механизм …интереса для военного ведомства не представляет».</w:t>
      </w:r>
    </w:p>
    <w:p w14:paraId="30903E59" w14:textId="5E1EE404" w:rsidR="00733E6C" w:rsidRDefault="00733E6C"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/ЦГВИА, ф. 493, оп. 109, д. 127, л. 4ц/ (23320).</w:t>
      </w:r>
    </w:p>
    <w:p w14:paraId="621E5560" w14:textId="77777777" w:rsidR="00733E6C" w:rsidRDefault="00733E6C" w:rsidP="0083075A">
      <w:pPr>
        <w:spacing w:after="0" w:line="240" w:lineRule="auto"/>
        <w:jc w:val="both"/>
        <w:rPr>
          <w:rFonts w:ascii="Times New Roman" w:hAnsi="Times New Roman" w:cs="Times New Roman"/>
          <w:color w:val="0070C0"/>
          <w:sz w:val="16"/>
          <w:szCs w:val="16"/>
        </w:rPr>
      </w:pPr>
    </w:p>
    <w:p w14:paraId="0DA38DD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68533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F181FEF"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июля в 1917 году русские войска генерала Корнилова занимают Калуш (Галиция) (14949).</w:t>
      </w:r>
    </w:p>
    <w:p w14:paraId="6B8E00FE"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p>
    <w:p w14:paraId="41C903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июля 1917 немцы в ходе контрнаступления заняли Тернополь (3908,258).</w:t>
      </w:r>
    </w:p>
    <w:p w14:paraId="578761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A684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11 </w:t>
      </w:r>
      <w:r w:rsidR="00C62043" w:rsidRPr="002F2FDF">
        <w:rPr>
          <w:rFonts w:ascii="Times New Roman" w:hAnsi="Times New Roman" w:cs="Times New Roman"/>
          <w:color w:val="000000" w:themeColor="text1"/>
          <w:kern w:val="2"/>
          <w:sz w:val="16"/>
          <w:szCs w:val="16"/>
        </w:rPr>
        <w:t xml:space="preserve">(24) </w:t>
      </w:r>
      <w:r w:rsidRPr="002F2FDF">
        <w:rPr>
          <w:rFonts w:ascii="Times New Roman" w:hAnsi="Times New Roman" w:cs="Times New Roman"/>
          <w:color w:val="000000" w:themeColor="text1"/>
          <w:kern w:val="2"/>
          <w:sz w:val="16"/>
          <w:szCs w:val="16"/>
        </w:rPr>
        <w:t>июля 1917 почти все авиационные силы армии были сосредоточены в Снятыне, за исключением двух отрядов, присоединившихся к VII-й армии, и 5-го КАО, находившегося на левом фланге в Карпатах. В дальнейшем авиаотряды разделили на две группы: первая - в Хотине (5-й КАО и 1-я БАГ) и вторая - в Новоселице (3-й и 8-й армейские, 2-й Сибирский, 16-й корпусной и 8-й истребительный отряды) (11237).</w:t>
      </w:r>
    </w:p>
    <w:p w14:paraId="322BC9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491FDC" w14:textId="17A3C5D4" w:rsidR="00F94494" w:rsidRPr="00FB4F67" w:rsidRDefault="00F9449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11 (</w:t>
      </w:r>
      <w:r w:rsidRPr="00FB4F67">
        <w:rPr>
          <w:rFonts w:ascii="Times New Roman" w:hAnsi="Times New Roman" w:cs="Times New Roman"/>
          <w:color w:val="0070C0"/>
          <w:sz w:val="16"/>
          <w:szCs w:val="16"/>
        </w:rPr>
        <w:t>24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июля 1917 г. воздушной бомбардировке подверглись станции Залесье, Пруды и Полочаны. Несколько нижних чинов получили ранение, убито восемь лошадей. Несколько бомб было сброшено в с. Казино (северо</w:t>
      </w:r>
      <w:r w:rsidRPr="00FB4F67">
        <w:rPr>
          <w:rFonts w:ascii="Times New Roman" w:hAnsi="Times New Roman" w:cs="Times New Roman"/>
          <w:color w:val="0070C0"/>
          <w:sz w:val="16"/>
          <w:szCs w:val="16"/>
        </w:rPr>
        <w:softHyphen/>
        <w:t>западнее г. Иезуполь (Езуполь)). Как правило, налеты осуществлялись большими эскадрильями. Через день аэропланы противника, пролетая над ст. Молодечно, сбросили 5 бомб в санитарный городок. Их осколками был убит врач, ранены сестра милосердия, священник и мальчик.</w:t>
      </w:r>
    </w:p>
    <w:p w14:paraId="5858302F" w14:textId="77777777" w:rsidR="00F94494" w:rsidRPr="00FB4F67" w:rsidRDefault="00F94494" w:rsidP="0083075A">
      <w:pPr>
        <w:spacing w:after="0" w:line="240" w:lineRule="auto"/>
        <w:jc w:val="both"/>
        <w:rPr>
          <w:rFonts w:ascii="Times New Roman" w:hAnsi="Times New Roman" w:cs="Times New Roman"/>
          <w:color w:val="0070C0"/>
          <w:sz w:val="16"/>
          <w:szCs w:val="16"/>
        </w:rPr>
      </w:pPr>
      <w:bookmarkStart w:id="199" w:name="bookmark859"/>
      <w:r w:rsidRPr="00FB4F67">
        <w:rPr>
          <w:rFonts w:ascii="Times New Roman" w:hAnsi="Times New Roman" w:cs="Times New Roman"/>
          <w:color w:val="0070C0"/>
          <w:sz w:val="16"/>
          <w:szCs w:val="16"/>
        </w:rPr>
        <w:t>В дальнейшем боевые действия на русско-германском фронте приняли позиционный характер, в котором по-прежнему воздушным силам отводилась особая роль (23405).</w:t>
      </w:r>
    </w:p>
    <w:p w14:paraId="4A3D5F2E" w14:textId="77777777" w:rsidR="00F94494" w:rsidRPr="00FB4F67" w:rsidRDefault="00F94494" w:rsidP="0083075A">
      <w:pPr>
        <w:spacing w:after="0" w:line="240" w:lineRule="auto"/>
        <w:jc w:val="both"/>
        <w:rPr>
          <w:rFonts w:ascii="Times New Roman" w:hAnsi="Times New Roman" w:cs="Times New Roman"/>
          <w:color w:val="0070C0"/>
          <w:sz w:val="16"/>
          <w:szCs w:val="16"/>
        </w:rPr>
      </w:pPr>
    </w:p>
    <w:bookmarkEnd w:id="199"/>
    <w:p w14:paraId="2F7934F7" w14:textId="43A75D6B" w:rsidR="00F94494" w:rsidRPr="00FB4F67" w:rsidRDefault="00F9449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11 (</w:t>
      </w:r>
      <w:r w:rsidRPr="00FB4F67">
        <w:rPr>
          <w:rFonts w:ascii="Times New Roman" w:hAnsi="Times New Roman" w:cs="Times New Roman"/>
          <w:color w:val="0070C0"/>
          <w:sz w:val="16"/>
          <w:szCs w:val="16"/>
        </w:rPr>
        <w:t>24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июля 1917 г. в районе Тауров военный летчик 7-го авиаотряда истребителей Д.А. Макиёнко вступил в воздушный бой с двумя неприятельскими летательными аппаратами и заставил один из них круто снизиться в направлении Поморжаны. На участке у д. Дрышува (Восточная Галиция) командир 9-го армейского авиаотряда летчик подпоручик И.М. Багровников также заставил снизиться самолет противника (23405).</w:t>
      </w:r>
    </w:p>
    <w:p w14:paraId="57F1A59F" w14:textId="77777777" w:rsidR="00F94494" w:rsidRPr="00FB4F67" w:rsidRDefault="00F94494" w:rsidP="0083075A">
      <w:pPr>
        <w:spacing w:after="0" w:line="240" w:lineRule="auto"/>
        <w:jc w:val="both"/>
        <w:rPr>
          <w:rFonts w:ascii="Times New Roman" w:hAnsi="Times New Roman" w:cs="Times New Roman"/>
          <w:color w:val="0070C0"/>
          <w:sz w:val="16"/>
          <w:szCs w:val="16"/>
        </w:rPr>
      </w:pPr>
    </w:p>
    <w:p w14:paraId="54E5415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A07E5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FED26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июля 1917 в Киеве начался I Всеукраинский рабочий съезд (4962).</w:t>
      </w:r>
    </w:p>
    <w:p w14:paraId="19DA947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7E1A94" w14:textId="77777777" w:rsidR="004B45E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0DCE83F3" w14:textId="77777777" w:rsidR="004B45E1" w:rsidRPr="002F2FDF" w:rsidRDefault="004B45E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A8AF35" w14:textId="77777777" w:rsidR="004B45E1" w:rsidRPr="002F2FDF" w:rsidRDefault="004B45E1" w:rsidP="0083075A">
      <w:pPr>
        <w:pStyle w:val="ae"/>
        <w:spacing w:before="0" w:after="0"/>
        <w:jc w:val="both"/>
        <w:rPr>
          <w:rStyle w:val="a7"/>
          <w:rFonts w:eastAsiaTheme="majorEastAsia"/>
          <w:b w:val="0"/>
          <w:color w:val="000000" w:themeColor="text1"/>
          <w:kern w:val="2"/>
          <w:sz w:val="16"/>
          <w:szCs w:val="16"/>
        </w:rPr>
      </w:pPr>
      <w:r w:rsidRPr="002F2FDF">
        <w:rPr>
          <w:rStyle w:val="af0"/>
          <w:i w:val="0"/>
          <w:color w:val="000000" w:themeColor="text1"/>
          <w:kern w:val="2"/>
          <w:sz w:val="16"/>
          <w:szCs w:val="16"/>
        </w:rPr>
        <w:t>11 (24) июля 1917 г. Сводки военно-статистического отдела Главного управления по заграничному снабжению об отправленных в Россию из-за границы с января по май 1917 г. главнейших предметах артиллерийского снабжения</w:t>
      </w:r>
      <w:r w:rsidRPr="002F2FDF">
        <w:rPr>
          <w:color w:val="000000" w:themeColor="text1"/>
          <w:kern w:val="2"/>
          <w:sz w:val="16"/>
          <w:szCs w:val="16"/>
        </w:rPr>
        <w:t>.</w:t>
      </w:r>
    </w:p>
    <w:p w14:paraId="50566B5B" w14:textId="77777777" w:rsidR="004B45E1" w:rsidRPr="002F2FDF" w:rsidRDefault="004B45E1" w:rsidP="0083075A">
      <w:pPr>
        <w:pStyle w:val="ae"/>
        <w:spacing w:before="0" w:after="0"/>
        <w:jc w:val="both"/>
        <w:rPr>
          <w:color w:val="000000" w:themeColor="text1"/>
          <w:kern w:val="2"/>
          <w:sz w:val="16"/>
          <w:szCs w:val="16"/>
        </w:rPr>
      </w:pPr>
      <w:r w:rsidRPr="002F2FDF">
        <w:rPr>
          <w:rStyle w:val="a7"/>
          <w:rFonts w:eastAsiaTheme="majorEastAsia"/>
          <w:b w:val="0"/>
          <w:color w:val="000000" w:themeColor="text1"/>
          <w:kern w:val="2"/>
          <w:sz w:val="16"/>
          <w:szCs w:val="16"/>
        </w:rPr>
        <w:t>Франция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86"/>
        <w:gridCol w:w="1410"/>
        <w:gridCol w:w="1327"/>
        <w:gridCol w:w="517"/>
        <w:gridCol w:w="616"/>
        <w:gridCol w:w="379"/>
        <w:gridCol w:w="519"/>
        <w:gridCol w:w="715"/>
      </w:tblGrid>
      <w:tr w:rsidR="002B1C74" w:rsidRPr="002F2FDF" w14:paraId="1AE7B09B" w14:textId="77777777" w:rsidTr="00B85E2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E61598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Предмет заказа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B35C5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Всего заказано</w:t>
            </w: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56EB45F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Отправлено в Россию</w:t>
            </w:r>
          </w:p>
        </w:tc>
      </w:tr>
      <w:tr w:rsidR="002B1C74" w:rsidRPr="002F2FDF" w14:paraId="3C4CA874"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56EF3AA"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C8693EE"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E5DCC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до 1 января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313B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8E68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134C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22E2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0634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май</w:t>
            </w:r>
          </w:p>
        </w:tc>
      </w:tr>
      <w:tr w:rsidR="002B1C74" w:rsidRPr="002F2FDF" w14:paraId="1341D4DA"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3E73D16"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91F51C1"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01902E0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по новому стилю</w:t>
            </w:r>
          </w:p>
        </w:tc>
      </w:tr>
      <w:tr w:rsidR="002B1C74" w:rsidRPr="002F2FDF" w14:paraId="7DC5817E"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8F65A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42'" 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C387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FC9A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81F5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79A2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0ED6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08D9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3C4E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20</w:t>
            </w:r>
          </w:p>
        </w:tc>
      </w:tr>
      <w:tr w:rsidR="002B1C74" w:rsidRPr="002F2FDF" w14:paraId="3FC45A2E"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05CC1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58 мм траншейные мортиры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3580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№1—160; №2—100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433C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2EDC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7BFC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53E1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CAC1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2A1C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2B6E415A"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C4743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Бомб к 58 мм мортирам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B7C9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130500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6494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6D02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C8FC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4D22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F34F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F481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6745</w:t>
            </w:r>
          </w:p>
        </w:tc>
      </w:tr>
      <w:tr w:rsidR="002B1C74" w:rsidRPr="002F2FDF" w14:paraId="184DF88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CDD1B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155 мм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43AC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F5BC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FB9D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8D52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5280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D9B0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1AA4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28</w:t>
            </w:r>
          </w:p>
        </w:tc>
      </w:tr>
      <w:tr w:rsidR="002B1C74" w:rsidRPr="002F2FDF" w14:paraId="22DDBAD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44164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Выстрелы к 155 мм пушкам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692D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BB95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225C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11049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FEC0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FA7B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2982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5287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10935</w:t>
            </w:r>
          </w:p>
        </w:tc>
      </w:tr>
      <w:tr w:rsidR="002B1C74" w:rsidRPr="002F2FDF" w14:paraId="74FFB614"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5595A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11' мортиры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A454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0EEC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4A89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4E16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814D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56A9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6993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7FD40902"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F90FD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Бомбы к 11" мортирам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12DE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9DFD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DF3E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3D8B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DBA8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8880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86CD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976</w:t>
            </w:r>
          </w:p>
        </w:tc>
      </w:tr>
      <w:tr w:rsidR="002B1C74" w:rsidRPr="002F2FDF" w14:paraId="5D8190E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6A85A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Пистолеты из Испании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5BE6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6E08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45850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10DE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12495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E8BB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1D10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DD21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090D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08AEA5E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A1A17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Патроны к пистолетам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D775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7A47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3042500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D1FA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3386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6D9B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B6B0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660D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22DD696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202C0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Ружья пулеметы Шоша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59B2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CF64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047C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F550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F09F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D7F8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2261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700</w:t>
            </w:r>
          </w:p>
        </w:tc>
      </w:tr>
      <w:tr w:rsidR="002B1C74" w:rsidRPr="002F2FDF" w14:paraId="6182562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223F4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Патроны к пулеметам Шоша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382D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EE3A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2114916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008B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9F00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9F6D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F55B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855D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301440</w:t>
            </w:r>
          </w:p>
        </w:tc>
      </w:tr>
      <w:tr w:rsidR="002B1C74" w:rsidRPr="002F2FDF" w14:paraId="6F7D2A48"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2FD45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240 мм мортиры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29E1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8D6C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4E0D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19F2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42E6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41F7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73AF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12</w:t>
            </w:r>
          </w:p>
        </w:tc>
      </w:tr>
      <w:tr w:rsidR="002B1C74" w:rsidRPr="002F2FDF" w14:paraId="619F3C89"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CBFA3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Снаряды к 240 мм мортирам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B567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0F37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7F23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422B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48E5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55A8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DB18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5999</w:t>
            </w:r>
          </w:p>
        </w:tc>
      </w:tr>
      <w:tr w:rsidR="002B1C74" w:rsidRPr="002F2FDF" w14:paraId="216246C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E2471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 полевые гранатные 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DDF5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5726000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F2B2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4448000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8849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3588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79A9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3710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2B90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56000</w:t>
            </w:r>
          </w:p>
        </w:tc>
      </w:tr>
      <w:tr w:rsidR="002B1C74" w:rsidRPr="002F2FDF" w14:paraId="7EC98510"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42CB9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 гранатные патроны (2-я конвенция)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829C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2700000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7A8A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601048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E2E6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77C3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600E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EA35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C5A1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1760</w:t>
            </w:r>
          </w:p>
        </w:tc>
      </w:tr>
      <w:tr w:rsidR="002B1C74" w:rsidRPr="002F2FDF" w14:paraId="586B34A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02AD0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lastRenderedPageBreak/>
              <w:t>Патроны к Гра-Кро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5977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0EF4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222579584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9177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7114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F3FE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2D8E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8164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16728000</w:t>
            </w:r>
          </w:p>
        </w:tc>
      </w:tr>
      <w:tr w:rsidR="002B1C74" w:rsidRPr="002F2FDF" w14:paraId="12F536A9"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D0A1F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Патроны к Лебелю</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3829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685B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57499920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5B98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AE19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CE8D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E817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96C8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9401280</w:t>
            </w:r>
          </w:p>
        </w:tc>
      </w:tr>
      <w:tr w:rsidR="002B1C74" w:rsidRPr="002F2FDF" w14:paraId="74E7DE85"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3EAD0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 шрапнельные 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1229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8B90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415040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FD20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A54F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AD84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722F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4053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27000</w:t>
            </w:r>
          </w:p>
        </w:tc>
      </w:tr>
      <w:tr w:rsidR="002B1C74" w:rsidRPr="002F2FDF" w14:paraId="6741A512"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509D9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A545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2672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48690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BD2A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9951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E27B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37764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57A0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8533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E111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18434</w:t>
            </w:r>
          </w:p>
        </w:tc>
      </w:tr>
      <w:tr w:rsidR="002B1C74" w:rsidRPr="002F2FDF" w14:paraId="4287DC13"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6692F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Пикриновая кислота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09EA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3BB8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4628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EB0E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4FC2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A88D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1433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BEF4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415</w:t>
            </w:r>
          </w:p>
        </w:tc>
      </w:tr>
      <w:tr w:rsidR="002B1C74" w:rsidRPr="002F2FDF" w14:paraId="5E32819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1297D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Патроны к 75 мм горным пушкам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83C9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9684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1B27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8A78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F71C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DD99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1ED1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10000</w:t>
            </w:r>
          </w:p>
        </w:tc>
      </w:tr>
      <w:tr w:rsidR="002B1C74" w:rsidRPr="002F2FDF" w14:paraId="1ED021F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A395E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11 июля 1917 г. Р. Ткачев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B1416" w14:textId="5A3B8526"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E8747" w14:textId="38EE9AE7"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88F3A" w14:textId="48E9FFD6"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B7537" w14:textId="68C86AFC"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CB451" w14:textId="574C26DE"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E727F" w14:textId="74371A86"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B61B4" w14:textId="2EB24B1D"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bl>
    <w:p w14:paraId="31B4BA75" w14:textId="3CCC3C70" w:rsidR="004B45E1"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r w:rsidR="004B45E1" w:rsidRPr="002F2FDF">
        <w:rPr>
          <w:rStyle w:val="a7"/>
          <w:rFonts w:eastAsiaTheme="majorEastAsia"/>
          <w:b w:val="0"/>
          <w:color w:val="000000" w:themeColor="text1"/>
          <w:kern w:val="2"/>
          <w:sz w:val="16"/>
          <w:szCs w:val="16"/>
        </w:rPr>
        <w:t>Америка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37"/>
        <w:gridCol w:w="1073"/>
        <w:gridCol w:w="1327"/>
        <w:gridCol w:w="1704"/>
        <w:gridCol w:w="1004"/>
        <w:gridCol w:w="700"/>
        <w:gridCol w:w="700"/>
        <w:gridCol w:w="795"/>
      </w:tblGrid>
      <w:tr w:rsidR="002B1C74" w:rsidRPr="002F2FDF" w14:paraId="39AF2053" w14:textId="77777777" w:rsidTr="00B85E2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D61E24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Предмет заказа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F32E4C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Всего заказано</w:t>
            </w: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4E80AE6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Отправлено в Россию</w:t>
            </w:r>
          </w:p>
        </w:tc>
      </w:tr>
      <w:tr w:rsidR="002B1C74" w:rsidRPr="002F2FDF" w14:paraId="2EE28981"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E77DC82"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7531E3A"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BB56F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до 1 января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4D91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81AA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311F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6263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62B2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май</w:t>
            </w:r>
          </w:p>
        </w:tc>
      </w:tr>
      <w:tr w:rsidR="002B1C74" w:rsidRPr="002F2FDF" w14:paraId="4FF6E3C2"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3C1E9F6"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13962E1"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193036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По новому стилю</w:t>
            </w:r>
          </w:p>
        </w:tc>
      </w:tr>
      <w:tr w:rsidR="002B1C74" w:rsidRPr="002F2FDF" w14:paraId="5DF9CB8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8C5E2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3-линейные винтовки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604F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A6EE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109331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D333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52320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3822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33100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4E79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90380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5420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65215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2ECF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73140</w:t>
            </w:r>
          </w:p>
        </w:tc>
      </w:tr>
      <w:tr w:rsidR="002B1C74" w:rsidRPr="002F2FDF" w14:paraId="7AA3A1EE"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02917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2CF95" w14:textId="2479A887"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242B3" w14:textId="28A45637"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59004" w14:textId="751680E3"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2ABC4" w14:textId="7FBE5425"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44E86" w14:textId="2D798461"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56017" w14:textId="6AF912CA"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44479" w14:textId="321DF43F"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37E43752"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882EB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 Максима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4AA5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7F50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F8ED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6C52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5A80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D00D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63D8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1645B6A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2B0A3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 Луиса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4FB5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AF40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0659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2793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642C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C758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1781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4ABF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1869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5A48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39CB94CE"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7D9FF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 Кольта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F333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17785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C359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1E59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26B2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4F2E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79C4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31C2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0564573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1862E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Итого пулеметов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6F70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37785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EDF5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6289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A0D3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A4C0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2855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3903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2A70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4421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DE55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2286ABE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7257D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3-линейные 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150F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950000000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BD67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180522000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0738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44779000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D782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70818000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8710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71470000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3E33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80904000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19DF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125446000</w:t>
            </w:r>
          </w:p>
        </w:tc>
      </w:tr>
      <w:tr w:rsidR="002B1C74" w:rsidRPr="002F2FDF" w14:paraId="6E0F5C24"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7EAC2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 шрапнели снаряженные (без трубок)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EC36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11500000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A6C6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3481816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E8C0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342547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EE11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725232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E864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1410032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11CF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448621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20AA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149985</w:t>
            </w:r>
          </w:p>
        </w:tc>
      </w:tr>
      <w:tr w:rsidR="002B1C74" w:rsidRPr="002F2FDF" w14:paraId="3C17DD7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4EC93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К ним дистанционные трубки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916E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11500000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F3A1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2331360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4260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892800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296D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775020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1322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942660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D2A8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548280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45CC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49620</w:t>
            </w:r>
          </w:p>
        </w:tc>
      </w:tr>
      <w:tr w:rsidR="002B1C74" w:rsidRPr="002F2FDF" w14:paraId="520F655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7E74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 гранаты, снаряженные без взрывателей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0B92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CF5A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1949820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8B64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373844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5748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176136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3EB0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274408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C6E2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A4BE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100592</w:t>
            </w:r>
          </w:p>
        </w:tc>
      </w:tr>
      <w:tr w:rsidR="002B1C74" w:rsidRPr="002F2FDF" w14:paraId="08F652E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AF94D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К ним взрывателей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D0A7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655D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2429200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7C2F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345260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0525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451180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43CD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775520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F888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249540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6981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25020</w:t>
            </w:r>
          </w:p>
        </w:tc>
      </w:tr>
      <w:tr w:rsidR="002B1C74" w:rsidRPr="002F2FDF" w14:paraId="4348950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D7FF0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Взрывателей 3ГТ (снаряженные)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F7A7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A400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250200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6749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175300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3222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625000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27B5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300480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2FA3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100140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61DF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200160</w:t>
            </w:r>
          </w:p>
        </w:tc>
      </w:tr>
      <w:tr w:rsidR="002B1C74" w:rsidRPr="002F2FDF" w14:paraId="23BEBA9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89F08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Взрывателей 4ГТ (снаряженные)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D53B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18A2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225010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7E62A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200030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C2C2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275100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70C4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150480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E71C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424980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FE0C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200400</w:t>
            </w:r>
          </w:p>
        </w:tc>
      </w:tr>
      <w:tr w:rsidR="002B1C74" w:rsidRPr="002F2FDF" w14:paraId="4AB2D5E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09D2B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37 мм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6248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42BA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B92F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2CE4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02F8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BBDE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251A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16</w:t>
            </w:r>
          </w:p>
        </w:tc>
      </w:tr>
      <w:tr w:rsidR="002B1C74" w:rsidRPr="002F2FDF" w14:paraId="77779678"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C5944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37 мм 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7387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D4B8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438000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732E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844380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90FA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637900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B436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649480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695C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591420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D8DD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539940</w:t>
            </w:r>
          </w:p>
        </w:tc>
      </w:tr>
      <w:tr w:rsidR="002B1C74" w:rsidRPr="002F2FDF" w14:paraId="3CAB0E85"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D4754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4E09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9D87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29A4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6A85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3AFD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DE6C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C580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183ABC28"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58D15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 снаряды к гаубицам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3EC5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145000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DC6F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73FB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3E94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84F0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CDFB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03CD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2B51296E"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50F8E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Уступлено британским правительством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9ED31" w14:textId="4106485A"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D55E1" w14:textId="429C0153"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473DA" w14:textId="6D35A726"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D473D" w14:textId="29E2FC2B"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2CF38" w14:textId="45D4E616"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46BEF" w14:textId="73648E31"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DB2CC" w14:textId="3E56192E"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7AAFFE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AF3B5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Пироксилин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3BB3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9113120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2F61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До 1 III</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6BB0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1AEA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5247398,89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5C52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8975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2FDA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2D2F5EFB"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295A1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Тринитротолуол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26EF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11908500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7B33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До 1 III</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2919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5406280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7C3B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D15E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F375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B8D7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78EC9AA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5B9EF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Пикриновая кислота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E7D7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7980000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105B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До 1 III</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621F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7912992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2CA5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946D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095A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9194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247AF2B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F6DAC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Порох бездымный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3EEE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104017333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1730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Всего до 1 IV</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7B71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83263922 ф. английских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74FA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8C91B" w14:textId="0599BC0A"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81D87" w14:textId="364BCFD3"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17C51" w14:textId="1DAC5B3E"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F31AFA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BE0E4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Порох черный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7862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5000000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33CE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До 1 II</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4012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4248950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CCE1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599900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C416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151040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59A2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6C71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bl>
    <w:p w14:paraId="102C66E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11 июля 1917 г.</w:t>
      </w:r>
    </w:p>
    <w:p w14:paraId="127529A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М. Мясников</w:t>
      </w:r>
    </w:p>
    <w:p w14:paraId="33CABA50" w14:textId="77777777" w:rsidR="004B45E1" w:rsidRPr="002F2FDF" w:rsidRDefault="004B45E1" w:rsidP="0083075A">
      <w:pPr>
        <w:pStyle w:val="ae"/>
        <w:spacing w:before="0" w:after="0"/>
        <w:jc w:val="both"/>
        <w:rPr>
          <w:color w:val="000000" w:themeColor="text1"/>
          <w:kern w:val="2"/>
          <w:sz w:val="16"/>
          <w:szCs w:val="16"/>
        </w:rPr>
      </w:pPr>
      <w:r w:rsidRPr="002F2FDF">
        <w:rPr>
          <w:rStyle w:val="a7"/>
          <w:rFonts w:eastAsiaTheme="majorEastAsia"/>
          <w:b w:val="0"/>
          <w:color w:val="000000" w:themeColor="text1"/>
          <w:kern w:val="2"/>
          <w:sz w:val="16"/>
          <w:szCs w:val="16"/>
        </w:rPr>
        <w:t>Япония</w:t>
      </w:r>
    </w:p>
    <w:tbl>
      <w:tblPr>
        <w:tblW w:w="9825" w:type="dxa"/>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40"/>
        <w:gridCol w:w="1140"/>
        <w:gridCol w:w="1410"/>
        <w:gridCol w:w="573"/>
        <w:gridCol w:w="654"/>
        <w:gridCol w:w="660"/>
        <w:gridCol w:w="670"/>
        <w:gridCol w:w="1078"/>
      </w:tblGrid>
      <w:tr w:rsidR="002B1C74" w:rsidRPr="002F2FDF" w14:paraId="35F14A10" w14:textId="77777777" w:rsidTr="00B85E2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35A6B1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Предмет заказа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ECA93D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Всего заказано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67412" w14:textId="27EFB746"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2EFD5F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Отправлено в Россию</w:t>
            </w:r>
          </w:p>
        </w:tc>
      </w:tr>
      <w:tr w:rsidR="002B1C74" w:rsidRPr="002F2FDF" w14:paraId="5F23E28C"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4B32B06"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86252C"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D4CF85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до 1 января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F853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6223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C4BC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43EC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838B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май</w:t>
            </w:r>
          </w:p>
        </w:tc>
      </w:tr>
      <w:tr w:rsidR="002B1C74" w:rsidRPr="002F2FDF" w14:paraId="797E3544"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EB7058C"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E5CD341"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A214725"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49B32AC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по новому стилю</w:t>
            </w:r>
          </w:p>
        </w:tc>
      </w:tr>
      <w:tr w:rsidR="002B1C74" w:rsidRPr="002F2FDF" w14:paraId="6D2DE959"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CE6B6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 20 см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A8E3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E479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E5370" w14:textId="47157B04"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3BDD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w:t>
            </w:r>
            <w:r w:rsidRPr="002F2FDF">
              <w:rPr>
                <w:color w:val="000000" w:themeColor="text1"/>
                <w:kern w:val="2"/>
                <w:sz w:val="16"/>
                <w:szCs w:val="16"/>
                <w:vertAlign w:val="superscript"/>
              </w:rPr>
              <w:t>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6A5E3" w14:textId="5DF031F8"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6EBEC" w14:textId="107C90E0"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5C39A" w14:textId="31877CFD"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351C1D8B"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5DE5A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 15 см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02E4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C483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C1BF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9710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0F58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7FE6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8994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16 </w:t>
            </w:r>
            <w:r w:rsidRPr="002F2FDF">
              <w:rPr>
                <w:color w:val="000000" w:themeColor="text1"/>
                <w:kern w:val="2"/>
                <w:sz w:val="16"/>
                <w:szCs w:val="16"/>
                <w:vertAlign w:val="superscript"/>
              </w:rPr>
              <w:t>а</w:t>
            </w:r>
          </w:p>
        </w:tc>
      </w:tr>
      <w:tr w:rsidR="002B1C74" w:rsidRPr="002F2FDF" w14:paraId="0B64F6B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A6298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к ним зарядные ящики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4C7B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E618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FDAF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04A0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440D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8333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1F79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32 </w:t>
            </w:r>
            <w:r w:rsidRPr="002F2FDF">
              <w:rPr>
                <w:color w:val="000000" w:themeColor="text1"/>
                <w:kern w:val="2"/>
                <w:sz w:val="16"/>
                <w:szCs w:val="16"/>
                <w:vertAlign w:val="superscript"/>
              </w:rPr>
              <w:t>а</w:t>
            </w:r>
          </w:p>
        </w:tc>
      </w:tr>
      <w:tr w:rsidR="002B1C74" w:rsidRPr="002F2FDF" w14:paraId="47CDC53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59723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 » комплект инструментов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EA5F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2626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5E98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DA1C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4748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68CE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9109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w:t>
            </w:r>
            <w:r w:rsidRPr="002F2FDF">
              <w:rPr>
                <w:color w:val="000000" w:themeColor="text1"/>
                <w:kern w:val="2"/>
                <w:sz w:val="16"/>
                <w:szCs w:val="16"/>
                <w:vertAlign w:val="superscript"/>
              </w:rPr>
              <w:t>а</w:t>
            </w:r>
          </w:p>
        </w:tc>
      </w:tr>
      <w:tr w:rsidR="002B1C74" w:rsidRPr="002F2FDF" w14:paraId="5DA3EF51"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14E6A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 »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1ED5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BC7F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293D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E5B6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6208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B4AF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7B0B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8000</w:t>
            </w:r>
          </w:p>
        </w:tc>
      </w:tr>
      <w:tr w:rsidR="002B1C74" w:rsidRPr="002F2FDF" w14:paraId="711B1CC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20DA2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 42"'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E014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4DFF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1876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592B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9D40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7620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7EEA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20</w:t>
            </w:r>
          </w:p>
        </w:tc>
      </w:tr>
      <w:tr w:rsidR="002B1C74" w:rsidRPr="002F2FDF" w14:paraId="53CDBC1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2D2E7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к ним зарядные ящики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CF32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8400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C72B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9456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8240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A454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0ABD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60</w:t>
            </w:r>
          </w:p>
        </w:tc>
      </w:tr>
      <w:tr w:rsidR="002B1C74" w:rsidRPr="002F2FDF" w14:paraId="40F779E1"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B5756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 »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6C3D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120000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408D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4E67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B524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14EC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81D5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A151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16300</w:t>
            </w:r>
          </w:p>
        </w:tc>
      </w:tr>
      <w:tr w:rsidR="002B1C74" w:rsidRPr="002F2FDF" w14:paraId="57AC94F5"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0B8FD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 Бронебойные бомбы к 15 см гаубицам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B1D6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31200 </w:t>
            </w:r>
            <w:r w:rsidRPr="002F2FDF">
              <w:rPr>
                <w:color w:val="000000" w:themeColor="text1"/>
                <w:kern w:val="2"/>
                <w:sz w:val="16"/>
                <w:szCs w:val="16"/>
                <w:vertAlign w:val="superscript"/>
              </w:rPr>
              <w:t>б</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0C3C5A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183156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CD7DF1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09544D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7E3A1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A8767F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7E676C2E"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DB66D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Шрапнелей к 15 см гаубицам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6050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7200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FFAAD3D"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ED4C7A4"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3FBA730"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499049"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9313508"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FCC5F0E"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2569C808"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AE279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 Пушечный порох Абосси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1572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47 т </w:t>
            </w:r>
            <w:r w:rsidRPr="002F2FDF">
              <w:rPr>
                <w:color w:val="000000" w:themeColor="text1"/>
                <w:kern w:val="2"/>
                <w:sz w:val="16"/>
                <w:szCs w:val="16"/>
                <w:vertAlign w:val="superscript"/>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9F6D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0923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6339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5885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B43D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6AD0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2869 пуд.20 ф</w:t>
            </w:r>
          </w:p>
        </w:tc>
      </w:tr>
      <w:tr w:rsidR="002B1C74" w:rsidRPr="002F2FDF" w14:paraId="752516A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2B9B7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 3" шрапнели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920A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614B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1280000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4670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181750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0344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228250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27A5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220000</w:t>
            </w:r>
            <w:r w:rsidRPr="002F2FDF">
              <w:rPr>
                <w:color w:val="000000" w:themeColor="text1"/>
                <w:kern w:val="2"/>
                <w:sz w:val="16"/>
                <w:szCs w:val="16"/>
                <w:vertAlign w:val="superscript"/>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CEAD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A4EF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60000</w:t>
            </w:r>
            <w:r w:rsidRPr="002F2FDF">
              <w:rPr>
                <w:color w:val="000000" w:themeColor="text1"/>
                <w:kern w:val="2"/>
                <w:sz w:val="16"/>
                <w:szCs w:val="16"/>
                <w:vertAlign w:val="superscript"/>
              </w:rPr>
              <w:t>в</w:t>
            </w:r>
          </w:p>
        </w:tc>
      </w:tr>
      <w:tr w:rsidR="002B1C74" w:rsidRPr="002F2FDF" w14:paraId="16C56C30"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E3D1B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7. 3" гильзы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18F3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EC3E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E803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80500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9704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70000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4693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110000</w:t>
            </w:r>
            <w:r w:rsidRPr="002F2FDF">
              <w:rPr>
                <w:color w:val="000000" w:themeColor="text1"/>
                <w:kern w:val="2"/>
                <w:sz w:val="16"/>
                <w:szCs w:val="16"/>
                <w:vertAlign w:val="superscript"/>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6647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9D7B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70000</w:t>
            </w:r>
          </w:p>
        </w:tc>
      </w:tr>
      <w:tr w:rsidR="002B1C74" w:rsidRPr="002F2FDF" w14:paraId="3BCC5AA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D425B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 22'" дистанционные трубки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77A6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F9F9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200700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ABD2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160800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72B5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284520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6FFA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382000 </w:t>
            </w:r>
            <w:r w:rsidRPr="002F2FDF">
              <w:rPr>
                <w:color w:val="000000" w:themeColor="text1"/>
                <w:kern w:val="2"/>
                <w:sz w:val="16"/>
                <w:szCs w:val="16"/>
                <w:vertAlign w:val="superscript"/>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A68F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287000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A51A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181800</w:t>
            </w:r>
          </w:p>
        </w:tc>
      </w:tr>
      <w:tr w:rsidR="002B1C74" w:rsidRPr="002F2FDF" w14:paraId="228B68D4"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BE755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9. Капсюльные втулки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9293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EA77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526800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BC94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121200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4F64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465600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964C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654000 </w:t>
            </w:r>
            <w:r w:rsidRPr="002F2FDF">
              <w:rPr>
                <w:color w:val="000000" w:themeColor="text1"/>
                <w:kern w:val="2"/>
                <w:sz w:val="16"/>
                <w:szCs w:val="16"/>
                <w:vertAlign w:val="superscript"/>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AFAD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232400 </w:t>
            </w:r>
            <w:r w:rsidRPr="002F2FDF">
              <w:rPr>
                <w:color w:val="000000" w:themeColor="text1"/>
                <w:kern w:val="2"/>
                <w:sz w:val="16"/>
                <w:szCs w:val="16"/>
                <w:vertAlign w:val="superscript"/>
              </w:rPr>
              <w:t>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68CF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340CDD1A"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41593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10. Боевые заряды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888C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750000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3B5B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223550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F50F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46070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2475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107270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770C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208375 </w:t>
            </w:r>
            <w:r w:rsidRPr="002F2FDF">
              <w:rPr>
                <w:color w:val="000000" w:themeColor="text1"/>
                <w:kern w:val="2"/>
                <w:sz w:val="16"/>
                <w:szCs w:val="16"/>
                <w:vertAlign w:val="superscript"/>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E678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27370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6425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61625</w:t>
            </w:r>
          </w:p>
        </w:tc>
      </w:tr>
      <w:tr w:rsidR="002B1C74" w:rsidRPr="002F2FDF" w14:paraId="24BDC3E0"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8AF6E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11. 75 мм шрапнели к пушкам Арисака (корпуса)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A2EC83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600000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FC2FCB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65000</w:t>
            </w:r>
          </w:p>
          <w:p w14:paraId="56657DB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полный 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5177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90400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23AB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87168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2B24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44800</w:t>
            </w:r>
            <w:r w:rsidRPr="002F2FDF">
              <w:rPr>
                <w:color w:val="000000" w:themeColor="text1"/>
                <w:kern w:val="2"/>
                <w:sz w:val="16"/>
                <w:szCs w:val="16"/>
                <w:vertAlign w:val="superscript"/>
              </w:rPr>
              <w:t>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E320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137632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2D18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50000</w:t>
            </w:r>
          </w:p>
        </w:tc>
      </w:tr>
      <w:tr w:rsidR="002B1C74" w:rsidRPr="002F2FDF" w14:paraId="4D9F5AD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101DF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к ним гильзы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9C83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600000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763F1FA"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46DC8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7500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5273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DE4D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138720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1A62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90800</w:t>
            </w:r>
          </w:p>
        </w:tc>
      </w:tr>
      <w:tr w:rsidR="002B1C74" w:rsidRPr="002F2FDF" w14:paraId="6C4949B1"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6DBB8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 » трубки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F414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600000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D38B6C7"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C8FD03" w14:textId="721FD9F0"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F145C" w14:textId="4513B218"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CF713" w14:textId="74EE56DF"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F4BBA" w14:textId="499F40E7"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08DE6A" w14:textId="2744602F"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1C7808A"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9D0C8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12. 75 мм гранаты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763C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C7C8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109D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3B16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8D77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FBCF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75260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202F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84600</w:t>
            </w:r>
          </w:p>
        </w:tc>
      </w:tr>
      <w:tr w:rsidR="002B1C74" w:rsidRPr="002F2FDF" w14:paraId="08728C9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9AEF5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снаряженные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BF7A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98E5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20500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6D8C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4500</w:t>
            </w:r>
            <w:r w:rsidRPr="002F2FDF">
              <w:rPr>
                <w:color w:val="000000" w:themeColor="text1"/>
                <w:kern w:val="2"/>
                <w:sz w:val="16"/>
                <w:szCs w:val="16"/>
                <w:vertAlign w:val="superscript"/>
              </w:rPr>
              <w:t>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6379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F364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32CB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8702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7FDEBBD5"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8928B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снаряжен[ные]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BF1D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9742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25000</w:t>
            </w:r>
            <w:r w:rsidRPr="002F2FDF">
              <w:rPr>
                <w:color w:val="000000" w:themeColor="text1"/>
                <w:kern w:val="2"/>
                <w:sz w:val="16"/>
                <w:szCs w:val="16"/>
                <w:vertAlign w:val="superscript"/>
              </w:rPr>
              <w:t>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A256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AEA5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BFAD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30D0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6C5C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45D3B31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D8D85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гильзы к пушкам обр. 31 г.</w:t>
            </w:r>
            <w:r w:rsidRPr="002F2FDF">
              <w:rPr>
                <w:color w:val="000000" w:themeColor="text1"/>
                <w:kern w:val="2"/>
                <w:sz w:val="16"/>
                <w:szCs w:val="16"/>
                <w:vertAlign w:val="superscript"/>
              </w:rPr>
              <w:t>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01BC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5A40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50000</w:t>
            </w:r>
            <w:r w:rsidRPr="002F2FDF">
              <w:rPr>
                <w:color w:val="000000" w:themeColor="text1"/>
                <w:kern w:val="2"/>
                <w:sz w:val="16"/>
                <w:szCs w:val="16"/>
                <w:vertAlign w:val="superscript"/>
              </w:rPr>
              <w:t>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1EC5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3C87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EBD2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A2F1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C931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12F907D2"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8B76F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13. Запасные части к винтовкам (ложи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FBF3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87B6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10000</w:t>
            </w:r>
            <w:r w:rsidRPr="002F2FDF">
              <w:rPr>
                <w:color w:val="000000" w:themeColor="text1"/>
                <w:kern w:val="2"/>
                <w:sz w:val="16"/>
                <w:szCs w:val="16"/>
                <w:vertAlign w:val="superscript"/>
              </w:rPr>
              <w:t>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1E125" w14:textId="53F6A082"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74F63" w14:textId="241014C3"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D680C" w14:textId="51403CBF"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D817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C2AF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4025AE31" w14:textId="77777777" w:rsidTr="00B85E2D">
        <w:trPr>
          <w:tblCellSpacing w:w="15"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76ADBEB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vertAlign w:val="superscript"/>
              </w:rPr>
              <w:lastRenderedPageBreak/>
              <w:t>а</w:t>
            </w:r>
            <w:r w:rsidRPr="002F2FDF">
              <w:rPr>
                <w:color w:val="000000" w:themeColor="text1"/>
                <w:kern w:val="2"/>
                <w:sz w:val="16"/>
                <w:szCs w:val="16"/>
              </w:rPr>
              <w:t xml:space="preserve"> Контракт закончен. </w:t>
            </w:r>
            <w:r w:rsidRPr="002F2FDF">
              <w:rPr>
                <w:rStyle w:val="af0"/>
                <w:i w:val="0"/>
                <w:color w:val="000000" w:themeColor="text1"/>
                <w:kern w:val="2"/>
                <w:sz w:val="16"/>
                <w:szCs w:val="16"/>
              </w:rPr>
              <w:t>(Прим. док.).</w:t>
            </w:r>
          </w:p>
          <w:p w14:paraId="027A012C" w14:textId="77777777" w:rsidR="004B45E1" w:rsidRPr="002F2FDF" w:rsidRDefault="004B45E1" w:rsidP="0083075A">
            <w:pPr>
              <w:pStyle w:val="ae"/>
              <w:spacing w:before="0" w:after="0"/>
              <w:jc w:val="both"/>
              <w:rPr>
                <w:rStyle w:val="af0"/>
                <w:i w:val="0"/>
                <w:color w:val="000000" w:themeColor="text1"/>
                <w:kern w:val="2"/>
                <w:sz w:val="16"/>
                <w:szCs w:val="16"/>
              </w:rPr>
            </w:pPr>
            <w:r w:rsidRPr="002F2FDF">
              <w:rPr>
                <w:rStyle w:val="af0"/>
                <w:i w:val="0"/>
                <w:color w:val="000000" w:themeColor="text1"/>
                <w:kern w:val="2"/>
                <w:sz w:val="16"/>
                <w:szCs w:val="16"/>
                <w:vertAlign w:val="superscript"/>
              </w:rPr>
              <w:t>6</w:t>
            </w:r>
            <w:r w:rsidRPr="002F2FDF">
              <w:rPr>
                <w:color w:val="000000" w:themeColor="text1"/>
                <w:kern w:val="2"/>
                <w:sz w:val="16"/>
                <w:szCs w:val="16"/>
              </w:rPr>
              <w:t xml:space="preserve"> Контракт подписан 22 апреля 1917 г. </w:t>
            </w:r>
            <w:r w:rsidRPr="002F2FDF">
              <w:rPr>
                <w:rStyle w:val="af0"/>
                <w:i w:val="0"/>
                <w:color w:val="000000" w:themeColor="text1"/>
                <w:kern w:val="2"/>
                <w:sz w:val="16"/>
                <w:szCs w:val="16"/>
              </w:rPr>
              <w:t>(Прим. док.).</w:t>
            </w:r>
          </w:p>
          <w:p w14:paraId="1D8B992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vertAlign w:val="superscript"/>
              </w:rPr>
              <w:t>в</w:t>
            </w:r>
            <w:r w:rsidRPr="002F2FDF">
              <w:rPr>
                <w:color w:val="000000" w:themeColor="text1"/>
                <w:kern w:val="2"/>
                <w:sz w:val="16"/>
                <w:szCs w:val="16"/>
              </w:rPr>
              <w:t xml:space="preserve"> Контракт подписан 30 марта 1917 г. </w:t>
            </w:r>
            <w:r w:rsidRPr="002F2FDF">
              <w:rPr>
                <w:rStyle w:val="af0"/>
                <w:i w:val="0"/>
                <w:color w:val="000000" w:themeColor="text1"/>
                <w:kern w:val="2"/>
                <w:sz w:val="16"/>
                <w:szCs w:val="16"/>
              </w:rPr>
              <w:t>(Прим. док.).</w:t>
            </w:r>
          </w:p>
          <w:p w14:paraId="0F8022ED" w14:textId="77777777" w:rsidR="004B45E1" w:rsidRPr="002F2FDF" w:rsidRDefault="004B45E1" w:rsidP="0083075A">
            <w:pPr>
              <w:pStyle w:val="ae"/>
              <w:spacing w:before="0" w:after="0"/>
              <w:jc w:val="both"/>
              <w:rPr>
                <w:rStyle w:val="af0"/>
                <w:i w:val="0"/>
                <w:color w:val="000000" w:themeColor="text1"/>
                <w:kern w:val="2"/>
                <w:sz w:val="16"/>
                <w:szCs w:val="16"/>
              </w:rPr>
            </w:pPr>
            <w:r w:rsidRPr="002F2FDF">
              <w:rPr>
                <w:color w:val="000000" w:themeColor="text1"/>
                <w:kern w:val="2"/>
                <w:sz w:val="16"/>
                <w:szCs w:val="16"/>
                <w:vertAlign w:val="superscript"/>
              </w:rPr>
              <w:t>г</w:t>
            </w:r>
            <w:r w:rsidRPr="002F2FDF">
              <w:rPr>
                <w:color w:val="000000" w:themeColor="text1"/>
                <w:kern w:val="2"/>
                <w:sz w:val="16"/>
                <w:szCs w:val="16"/>
              </w:rPr>
              <w:t xml:space="preserve"> Отправлено к 15 апреля 1917 г. </w:t>
            </w:r>
            <w:r w:rsidRPr="002F2FDF">
              <w:rPr>
                <w:rStyle w:val="af0"/>
                <w:i w:val="0"/>
                <w:color w:val="000000" w:themeColor="text1"/>
                <w:kern w:val="2"/>
                <w:sz w:val="16"/>
                <w:szCs w:val="16"/>
              </w:rPr>
              <w:t>(Прим. док.).</w:t>
            </w:r>
          </w:p>
          <w:p w14:paraId="41C8A4D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vertAlign w:val="superscript"/>
              </w:rPr>
              <w:t>д</w:t>
            </w:r>
            <w:r w:rsidRPr="002F2FDF">
              <w:rPr>
                <w:color w:val="000000" w:themeColor="text1"/>
                <w:kern w:val="2"/>
                <w:sz w:val="16"/>
                <w:szCs w:val="16"/>
              </w:rPr>
              <w:t xml:space="preserve"> Отправлено к 15 марта 1917 г. </w:t>
            </w:r>
            <w:r w:rsidRPr="002F2FDF">
              <w:rPr>
                <w:rStyle w:val="af0"/>
                <w:i w:val="0"/>
                <w:color w:val="000000" w:themeColor="text1"/>
                <w:kern w:val="2"/>
                <w:sz w:val="16"/>
                <w:szCs w:val="16"/>
              </w:rPr>
              <w:t>(Прим. док.).</w:t>
            </w:r>
          </w:p>
          <w:p w14:paraId="496844D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vertAlign w:val="superscript"/>
              </w:rPr>
              <w:t>е</w:t>
            </w:r>
            <w:r w:rsidRPr="002F2FDF">
              <w:rPr>
                <w:rStyle w:val="af0"/>
                <w:i w:val="0"/>
                <w:color w:val="000000" w:themeColor="text1"/>
                <w:kern w:val="2"/>
                <w:sz w:val="16"/>
                <w:szCs w:val="16"/>
              </w:rPr>
              <w:t>Очевидно, 13 в.</w:t>
            </w:r>
          </w:p>
        </w:tc>
      </w:tr>
    </w:tbl>
    <w:p w14:paraId="00986F96" w14:textId="77777777" w:rsidR="004B45E1" w:rsidRPr="002F2FDF" w:rsidRDefault="004B45E1" w:rsidP="0083075A">
      <w:pPr>
        <w:pStyle w:val="ae"/>
        <w:spacing w:before="0" w:after="0"/>
        <w:jc w:val="both"/>
        <w:rPr>
          <w:color w:val="000000" w:themeColor="text1"/>
          <w:kern w:val="2"/>
          <w:sz w:val="16"/>
          <w:szCs w:val="16"/>
        </w:rPr>
      </w:pPr>
      <w:r w:rsidRPr="002F2FDF">
        <w:rPr>
          <w:rStyle w:val="af0"/>
          <w:i w:val="0"/>
          <w:color w:val="000000" w:themeColor="text1"/>
          <w:kern w:val="2"/>
          <w:sz w:val="16"/>
          <w:szCs w:val="16"/>
        </w:rPr>
        <w:t>Япония Продолжение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49"/>
        <w:gridCol w:w="1073"/>
        <w:gridCol w:w="1327"/>
        <w:gridCol w:w="535"/>
        <w:gridCol w:w="616"/>
        <w:gridCol w:w="540"/>
        <w:gridCol w:w="540"/>
        <w:gridCol w:w="555"/>
      </w:tblGrid>
      <w:tr w:rsidR="002B1C74" w:rsidRPr="002F2FDF" w14:paraId="554AA0A8" w14:textId="77777777" w:rsidTr="00B85E2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2FD828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Предмет заказа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285D90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Всего заказано</w:t>
            </w: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63E4A2E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Отправлено в Россию</w:t>
            </w:r>
          </w:p>
        </w:tc>
      </w:tr>
      <w:tr w:rsidR="002B1C74" w:rsidRPr="002F2FDF" w14:paraId="1F8F7ED6"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B023FF9"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05CFF5D"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ABD465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до 1 января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029E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3985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9431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077D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257C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май</w:t>
            </w:r>
          </w:p>
        </w:tc>
      </w:tr>
      <w:tr w:rsidR="002B1C74" w:rsidRPr="002F2FDF" w14:paraId="0FCCD9A6"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F019B1A"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BA81999"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AEAE4A9"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00531EA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по новому стилю</w:t>
            </w:r>
          </w:p>
        </w:tc>
      </w:tr>
      <w:tr w:rsidR="002B1C74" w:rsidRPr="002F2FDF" w14:paraId="7FA413F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C6600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14. 22'" дистанционные трубки (Бриннер 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E4FD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943E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925000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1F684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0912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482600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DA73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722600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5A4C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108600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03DE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291200</w:t>
            </w:r>
          </w:p>
        </w:tc>
      </w:tr>
      <w:tr w:rsidR="002B1C74" w:rsidRPr="002F2FDF" w14:paraId="1DE31E59"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A00B1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15. Прицельные зрительные трубки (Фудзи)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6F33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C2CE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2DFF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82A2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6F9F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FFE5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D8E2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28</w:t>
            </w:r>
            <w:r w:rsidRPr="002F2FDF">
              <w:rPr>
                <w:color w:val="000000" w:themeColor="text1"/>
                <w:kern w:val="2"/>
                <w:sz w:val="16"/>
                <w:szCs w:val="16"/>
                <w:vertAlign w:val="superscript"/>
              </w:rPr>
              <w:t>а</w:t>
            </w:r>
          </w:p>
        </w:tc>
      </w:tr>
      <w:tr w:rsidR="002B1C74" w:rsidRPr="002F2FDF" w14:paraId="630F9553"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100E4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Прицельные зрительные трубки (2-я конвенция) (Фудзи)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1953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240</w:t>
            </w:r>
            <w:r w:rsidRPr="002F2FDF">
              <w:rPr>
                <w:color w:val="000000" w:themeColor="text1"/>
                <w:kern w:val="2"/>
                <w:sz w:val="16"/>
                <w:szCs w:val="16"/>
                <w:vertAlign w:val="superscript"/>
              </w:rPr>
              <w:t>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702E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7252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9C6E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F5A8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2225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BA61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1D216431"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E06A3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Бинокли (Фудзи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8A53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7F16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4A08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F706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6ED1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2598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0950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bl>
    <w:p w14:paraId="250D65F2" w14:textId="1F8F3473" w:rsidR="004B45E1"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r w:rsidR="004B45E1" w:rsidRPr="002F2FDF">
        <w:rPr>
          <w:rStyle w:val="a7"/>
          <w:rFonts w:eastAsiaTheme="majorEastAsia"/>
          <w:b w:val="0"/>
          <w:color w:val="000000" w:themeColor="text1"/>
          <w:kern w:val="2"/>
          <w:sz w:val="16"/>
          <w:szCs w:val="16"/>
        </w:rPr>
        <w:t>Италия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899"/>
        <w:gridCol w:w="1733"/>
        <w:gridCol w:w="4690"/>
      </w:tblGrid>
      <w:tr w:rsidR="002B1C74" w:rsidRPr="002F2FDF" w14:paraId="43DF8881"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0CCCF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Предмет заказа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F96E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Всего заказано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C720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Отправлено в Россию до 1 января 1917 г. (по н. ст.)</w:t>
            </w:r>
          </w:p>
        </w:tc>
      </w:tr>
      <w:tr w:rsidR="002B1C74" w:rsidRPr="002F2FDF" w14:paraId="73465863"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84906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 Патроны Веттерли из Америки (Вгазз аші Меіаі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4EAE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91030000</w:t>
            </w:r>
            <w:r w:rsidRPr="002F2FDF">
              <w:rPr>
                <w:color w:val="000000" w:themeColor="text1"/>
                <w:kern w:val="2"/>
                <w:sz w:val="16"/>
                <w:szCs w:val="16"/>
                <w:vertAlign w:val="superscript"/>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57DC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2834400 (до 1 января 1917 г. н. ст.)</w:t>
            </w:r>
          </w:p>
        </w:tc>
      </w:tr>
      <w:tr w:rsidR="002B1C74" w:rsidRPr="002F2FDF" w14:paraId="71BF54B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B9B0C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 То же из Италии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04C1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227000000</w:t>
            </w:r>
            <w:r w:rsidRPr="002F2FDF">
              <w:rPr>
                <w:color w:val="000000" w:themeColor="text1"/>
                <w:kern w:val="2"/>
                <w:sz w:val="16"/>
                <w:szCs w:val="16"/>
                <w:vertAlign w:val="superscript"/>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2E67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112822544</w:t>
            </w:r>
            <w:r w:rsidRPr="002F2FDF">
              <w:rPr>
                <w:color w:val="000000" w:themeColor="text1"/>
                <w:kern w:val="2"/>
                <w:sz w:val="16"/>
                <w:szCs w:val="16"/>
                <w:vertAlign w:val="superscript"/>
              </w:rPr>
              <w:t>г</w:t>
            </w:r>
          </w:p>
        </w:tc>
      </w:tr>
      <w:tr w:rsidR="002B1C74" w:rsidRPr="002F2FDF" w14:paraId="560DFF0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21DE4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 42"' пушки (Батареи Ансальдо)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81B2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50 батарей</w:t>
            </w:r>
            <w:r w:rsidRPr="002F2FDF">
              <w:rPr>
                <w:color w:val="000000" w:themeColor="text1"/>
                <w:kern w:val="2"/>
                <w:sz w:val="16"/>
                <w:szCs w:val="16"/>
                <w:vertAlign w:val="superscript"/>
              </w:rPr>
              <w:t>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5D80A" w14:textId="3338B6CE"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D830E5C" w14:textId="77777777" w:rsidTr="00B85E2D">
        <w:trPr>
          <w:tblCellSpacing w:w="15"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1FD921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vertAlign w:val="superscript"/>
              </w:rPr>
              <w:t>а</w:t>
            </w:r>
            <w:r w:rsidRPr="002F2FDF">
              <w:rPr>
                <w:color w:val="000000" w:themeColor="text1"/>
                <w:kern w:val="2"/>
                <w:sz w:val="16"/>
                <w:szCs w:val="16"/>
              </w:rPr>
              <w:t xml:space="preserve"> Контракт заключен 28 декабря 1916 г. </w:t>
            </w:r>
            <w:r w:rsidRPr="002F2FDF">
              <w:rPr>
                <w:rStyle w:val="af0"/>
                <w:i w:val="0"/>
                <w:color w:val="000000" w:themeColor="text1"/>
                <w:kern w:val="2"/>
                <w:sz w:val="16"/>
                <w:szCs w:val="16"/>
              </w:rPr>
              <w:t>(Прим. док.).</w:t>
            </w:r>
          </w:p>
          <w:p w14:paraId="27D9B746" w14:textId="77777777" w:rsidR="004B45E1" w:rsidRPr="002F2FDF" w:rsidRDefault="004B45E1" w:rsidP="0083075A">
            <w:pPr>
              <w:pStyle w:val="ae"/>
              <w:spacing w:before="0" w:after="0"/>
              <w:jc w:val="both"/>
              <w:rPr>
                <w:rStyle w:val="af0"/>
                <w:i w:val="0"/>
                <w:color w:val="000000" w:themeColor="text1"/>
                <w:kern w:val="2"/>
                <w:sz w:val="16"/>
                <w:szCs w:val="16"/>
              </w:rPr>
            </w:pPr>
            <w:r w:rsidRPr="002F2FDF">
              <w:rPr>
                <w:rStyle w:val="af0"/>
                <w:i w:val="0"/>
                <w:color w:val="000000" w:themeColor="text1"/>
                <w:kern w:val="2"/>
                <w:sz w:val="16"/>
                <w:szCs w:val="16"/>
                <w:vertAlign w:val="superscript"/>
              </w:rPr>
              <w:t>6</w:t>
            </w:r>
            <w:r w:rsidRPr="002F2FDF">
              <w:rPr>
                <w:color w:val="000000" w:themeColor="text1"/>
                <w:kern w:val="2"/>
                <w:sz w:val="16"/>
                <w:szCs w:val="16"/>
              </w:rPr>
              <w:t xml:space="preserve"> Контракт заключен 14 апреля 1917 г. </w:t>
            </w:r>
            <w:r w:rsidRPr="002F2FDF">
              <w:rPr>
                <w:rStyle w:val="af0"/>
                <w:i w:val="0"/>
                <w:color w:val="000000" w:themeColor="text1"/>
                <w:kern w:val="2"/>
                <w:sz w:val="16"/>
                <w:szCs w:val="16"/>
              </w:rPr>
              <w:t>(Прим. док.).</w:t>
            </w:r>
          </w:p>
          <w:p w14:paraId="6658C04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vertAlign w:val="superscript"/>
              </w:rPr>
              <w:t>в</w:t>
            </w:r>
            <w:r w:rsidRPr="002F2FDF">
              <w:rPr>
                <w:color w:val="000000" w:themeColor="text1"/>
                <w:kern w:val="2"/>
                <w:sz w:val="16"/>
                <w:szCs w:val="16"/>
              </w:rPr>
              <w:t xml:space="preserve"> От заказа отказались. </w:t>
            </w:r>
            <w:r w:rsidRPr="002F2FDF">
              <w:rPr>
                <w:rStyle w:val="af0"/>
                <w:i w:val="0"/>
                <w:color w:val="000000" w:themeColor="text1"/>
                <w:kern w:val="2"/>
                <w:sz w:val="16"/>
                <w:szCs w:val="16"/>
              </w:rPr>
              <w:t>(Прим. док.).</w:t>
            </w:r>
          </w:p>
          <w:p w14:paraId="75D591C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vertAlign w:val="superscript"/>
              </w:rPr>
              <w:t>г</w:t>
            </w:r>
            <w:r w:rsidRPr="002F2FDF">
              <w:rPr>
                <w:color w:val="000000" w:themeColor="text1"/>
                <w:kern w:val="2"/>
                <w:sz w:val="16"/>
                <w:szCs w:val="16"/>
              </w:rPr>
              <w:t xml:space="preserve"> Ген. Гермониус сообщил № 9141 13 I 1917, что ежемесячная сдача патронов Веттерли будет достигать 20 млн шт.; в покрытие потребности ГАУ ведутся переговоры о заказе еще 100 млн патронов. Согласно телеграмме Гирса № 9252 28 VI 1917 и № 258 2 VIII 1917, из Италии отправлена последняя партия — 5 692 416 патронов Веттерли. </w:t>
            </w:r>
            <w:r w:rsidRPr="002F2FDF">
              <w:rPr>
                <w:rStyle w:val="af0"/>
                <w:i w:val="0"/>
                <w:color w:val="000000" w:themeColor="text1"/>
                <w:kern w:val="2"/>
                <w:sz w:val="16"/>
                <w:szCs w:val="16"/>
              </w:rPr>
              <w:t>(Прим. док).</w:t>
            </w:r>
          </w:p>
          <w:p w14:paraId="1D46504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vertAlign w:val="superscript"/>
              </w:rPr>
              <w:t>д</w:t>
            </w:r>
            <w:r w:rsidRPr="002F2FDF">
              <w:rPr>
                <w:color w:val="000000" w:themeColor="text1"/>
                <w:kern w:val="2"/>
                <w:sz w:val="16"/>
                <w:szCs w:val="16"/>
              </w:rPr>
              <w:t xml:space="preserve"> Ген. Далолио разрешает вывезти в новом июле с. г. все батареи, кои будут изготовлены в этом месяце. Ансальдо обещали 10 батарей, 3 батареи упаковываются. Гире, 5 VII 1917, № 260. </w:t>
            </w:r>
            <w:r w:rsidRPr="002F2FDF">
              <w:rPr>
                <w:rStyle w:val="af0"/>
                <w:i w:val="0"/>
                <w:color w:val="000000" w:themeColor="text1"/>
                <w:kern w:val="2"/>
                <w:sz w:val="16"/>
                <w:szCs w:val="16"/>
              </w:rPr>
              <w:t>(Прим. док.).</w:t>
            </w:r>
          </w:p>
        </w:tc>
      </w:tr>
    </w:tbl>
    <w:p w14:paraId="17CAB358" w14:textId="77777777" w:rsidR="004B45E1" w:rsidRPr="002F2FDF" w:rsidRDefault="004B45E1" w:rsidP="0083075A">
      <w:pPr>
        <w:pStyle w:val="ae"/>
        <w:spacing w:before="0" w:after="0"/>
        <w:jc w:val="both"/>
        <w:rPr>
          <w:color w:val="000000" w:themeColor="text1"/>
          <w:kern w:val="2"/>
          <w:sz w:val="16"/>
          <w:szCs w:val="16"/>
        </w:rPr>
      </w:pPr>
      <w:r w:rsidRPr="002F2FDF">
        <w:rPr>
          <w:rStyle w:val="a7"/>
          <w:rFonts w:eastAsiaTheme="majorEastAsia"/>
          <w:b w:val="0"/>
          <w:color w:val="000000" w:themeColor="text1"/>
          <w:kern w:val="2"/>
          <w:sz w:val="16"/>
          <w:szCs w:val="16"/>
        </w:rPr>
        <w:t>Англия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63"/>
        <w:gridCol w:w="1073"/>
        <w:gridCol w:w="1327"/>
        <w:gridCol w:w="700"/>
        <w:gridCol w:w="616"/>
        <w:gridCol w:w="535"/>
        <w:gridCol w:w="620"/>
        <w:gridCol w:w="795"/>
      </w:tblGrid>
      <w:tr w:rsidR="002B1C74" w:rsidRPr="002F2FDF" w14:paraId="239D0D40" w14:textId="77777777" w:rsidTr="00B85E2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64EFB3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Предмет заказа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F08CC1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Всего заказано</w:t>
            </w: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F8B71E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Отправлено в Россию</w:t>
            </w:r>
          </w:p>
        </w:tc>
      </w:tr>
      <w:tr w:rsidR="002B1C74" w:rsidRPr="002F2FDF" w14:paraId="6C6778D5"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B12066C"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D8D4396"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66AFF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до 1 января 1917 г.</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179E58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1917 г.</w:t>
            </w:r>
          </w:p>
        </w:tc>
      </w:tr>
      <w:tr w:rsidR="002B1C74" w:rsidRPr="002F2FDF" w14:paraId="4D835A07"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89368E8"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A2C6AEB"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50E7CA9"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D1173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47F2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FFE9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7FDB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D3B2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май</w:t>
            </w:r>
          </w:p>
        </w:tc>
      </w:tr>
      <w:tr w:rsidR="002B1C74" w:rsidRPr="002F2FDF" w14:paraId="155ABF88"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32198FB"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AF6B83C"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606DAF1"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00A473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по новому стилю</w:t>
            </w:r>
          </w:p>
        </w:tc>
      </w:tr>
      <w:tr w:rsidR="002B1C74" w:rsidRPr="002F2FDF" w14:paraId="374C914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7280D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60 фунтовые пушки (5'")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6DB4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62A3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DBB5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9107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A460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C6FDB" w14:textId="53E4E30F"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BCFB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63103963"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6EE715" w14:textId="77777777" w:rsidR="004B45E1" w:rsidRPr="002F2FDF" w:rsidRDefault="004B45E1" w:rsidP="0083075A">
            <w:pPr>
              <w:pStyle w:val="ae"/>
              <w:spacing w:before="0" w:after="0"/>
              <w:jc w:val="both"/>
              <w:rPr>
                <w:color w:val="000000" w:themeColor="text1"/>
                <w:kern w:val="2"/>
                <w:sz w:val="16"/>
                <w:szCs w:val="16"/>
              </w:rPr>
            </w:pPr>
            <w:r w:rsidRPr="002F2FDF">
              <w:rPr>
                <w:rStyle w:val="af0"/>
                <w:i w:val="0"/>
                <w:color w:val="000000" w:themeColor="text1"/>
                <w:kern w:val="2"/>
                <w:sz w:val="16"/>
                <w:szCs w:val="16"/>
              </w:rPr>
              <w:t>5"</w:t>
            </w:r>
            <w:r w:rsidRPr="002F2FDF">
              <w:rPr>
                <w:color w:val="000000" w:themeColor="text1"/>
                <w:kern w:val="2"/>
                <w:sz w:val="16"/>
                <w:szCs w:val="16"/>
              </w:rPr>
              <w:t xml:space="preserve"> шрапнелей с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CA3CC4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2E0636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18B2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44E3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9F8F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0D2C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3EFB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27998</w:t>
            </w:r>
          </w:p>
        </w:tc>
      </w:tr>
      <w:tr w:rsidR="002B1C74" w:rsidRPr="002F2FDF" w14:paraId="072E0DA9"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76791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 бомб с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1017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371E0FD"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D1160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7461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8ACA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3996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089A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28600</w:t>
            </w:r>
          </w:p>
        </w:tc>
      </w:tr>
      <w:tr w:rsidR="002B1C74" w:rsidRPr="002F2FDF" w14:paraId="4498B831"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CECA2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D6DF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080F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11EE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AAE0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3FC9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D2A5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DC8A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0D1B6EF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DF08B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 бомбы и выстрелы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F2BC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03BF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8C96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2112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17700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92EF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B376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978C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34000</w:t>
            </w:r>
          </w:p>
        </w:tc>
      </w:tr>
      <w:tr w:rsidR="002B1C74" w:rsidRPr="002F2FDF" w14:paraId="780A695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7DD40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CBF0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9545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4B36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2E8D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BF81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A799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7051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055014D8"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790F3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 бомбы и выстрелы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9A9B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FB6A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000B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8153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3BE2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35EF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E564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4000</w:t>
            </w:r>
          </w:p>
        </w:tc>
      </w:tr>
      <w:tr w:rsidR="002B1C74" w:rsidRPr="002F2FDF" w14:paraId="3F44E8AB"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3C676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9.2"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7B87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C127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DD87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5462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0737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9C83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38E4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5CF593C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9EC38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9.2" бомбы и выстрелы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0295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E24B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3C9A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C4D4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DAAC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D9C9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D0FD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2000</w:t>
            </w:r>
          </w:p>
        </w:tc>
      </w:tr>
      <w:tr w:rsidR="002B1C74" w:rsidRPr="002F2FDF" w14:paraId="6976EC7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332FF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Тракторы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47F3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1EC7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9C95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D809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B225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0EBE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79CC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81</w:t>
            </w:r>
            <w:bookmarkStart w:id="200" w:name="_ednref3"/>
            <w:r w:rsidR="004A1FB3" w:rsidRPr="002F2FDF">
              <w:rPr>
                <w:color w:val="000000" w:themeColor="text1"/>
                <w:kern w:val="2"/>
                <w:sz w:val="16"/>
                <w:szCs w:val="16"/>
                <w:vertAlign w:val="superscript"/>
              </w:rPr>
              <w:fldChar w:fldCharType="begin"/>
            </w:r>
            <w:r w:rsidRPr="002F2FDF">
              <w:rPr>
                <w:color w:val="000000" w:themeColor="text1"/>
                <w:kern w:val="2"/>
                <w:sz w:val="16"/>
                <w:szCs w:val="16"/>
                <w:vertAlign w:val="superscript"/>
              </w:rPr>
              <w:instrText xml:space="preserve"> HYPERLINK "http://istmat.info/node/44743" \l "_edn3" \o "" </w:instrText>
            </w:r>
            <w:r w:rsidR="004A1FB3" w:rsidRPr="002F2FDF">
              <w:rPr>
                <w:color w:val="000000" w:themeColor="text1"/>
                <w:kern w:val="2"/>
                <w:sz w:val="16"/>
                <w:szCs w:val="16"/>
                <w:vertAlign w:val="superscript"/>
              </w:rPr>
            </w:r>
            <w:r w:rsidR="004A1FB3" w:rsidRPr="002F2FDF">
              <w:rPr>
                <w:color w:val="000000" w:themeColor="text1"/>
                <w:kern w:val="2"/>
                <w:sz w:val="16"/>
                <w:szCs w:val="16"/>
                <w:vertAlign w:val="superscript"/>
              </w:rPr>
              <w:fldChar w:fldCharType="separate"/>
            </w:r>
            <w:r w:rsidRPr="002F2FDF">
              <w:rPr>
                <w:rStyle w:val="a5"/>
                <w:color w:val="000000" w:themeColor="text1"/>
                <w:kern w:val="2"/>
                <w:sz w:val="16"/>
                <w:szCs w:val="16"/>
                <w:vertAlign w:val="superscript"/>
              </w:rPr>
              <w:t>[3]</w:t>
            </w:r>
            <w:r w:rsidR="004A1FB3" w:rsidRPr="002F2FDF">
              <w:rPr>
                <w:color w:val="000000" w:themeColor="text1"/>
                <w:kern w:val="2"/>
                <w:sz w:val="16"/>
                <w:szCs w:val="16"/>
                <w:vertAlign w:val="superscript"/>
              </w:rPr>
              <w:fldChar w:fldCharType="end"/>
            </w:r>
            <w:bookmarkEnd w:id="200"/>
          </w:p>
        </w:tc>
      </w:tr>
      <w:tr w:rsidR="002B1C74" w:rsidRPr="002F2FDF" w14:paraId="331CC42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5B620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45"' бомбы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CB8F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03FA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781044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5FF4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9004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ED69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35774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BB84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17418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A1A3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DA62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192052</w:t>
            </w:r>
          </w:p>
        </w:tc>
      </w:tr>
      <w:tr w:rsidR="002B1C74" w:rsidRPr="002F2FDF" w14:paraId="673F5A6E"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9E8BD2"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45"' газовые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6EE3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130000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CFE8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E7A3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411D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C0D0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C0BA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6C34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01E10FE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7D18A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Грузовики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7D80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756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8173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0083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8721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D87B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640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91D3E0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74</w:t>
            </w:r>
          </w:p>
        </w:tc>
      </w:tr>
      <w:tr w:rsidR="002B1C74" w:rsidRPr="002F2FDF" w14:paraId="0F1A993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2C9CD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 шрапнельные корпуса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A92B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C664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D8BB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69D7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4AE5D" w14:textId="6497388E"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1D34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2BB5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41E9CF9B"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7539F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22" дистанционные трубки 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E524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891C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998000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CE9B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791760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EDF5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A8F2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112800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2ABC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40427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3C3C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0C44C933"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CE36E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 капсюльные втулки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C8A8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2000000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4FBB57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3445000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76C535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1275800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1C61FA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400000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B9047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CEDF97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1014200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087293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550000</w:t>
            </w:r>
          </w:p>
        </w:tc>
      </w:tr>
      <w:tr w:rsidR="002B1C74" w:rsidRPr="002F2FDF" w14:paraId="0C9BCF20"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E74F3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 капсюльные втулки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6D8D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5000000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E4933C7"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9542F4F"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DA7D79F"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B07B425"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196D0ED"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1D9D3B7" w14:textId="77777777" w:rsidR="004B45E1" w:rsidRPr="002F2FDF" w:rsidRDefault="004B45E1"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32934508"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65C89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 газовые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CBA5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4AC7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A030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26E7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5C0E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60B5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D4BD8"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7385A58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CC1A2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22" дистанционные трубки К. Нор.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4004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B101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125000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4FEAC"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115000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AEED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A811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6D29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94A5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9355</w:t>
            </w:r>
          </w:p>
        </w:tc>
      </w:tr>
      <w:tr w:rsidR="002B1C74" w:rsidRPr="002F2FDF" w14:paraId="4B4F2AD1"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2BEF2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Пулеметы Льюиса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387F5"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3B07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741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4FB9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4216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22E9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1CC8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FBB3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1DBD1C2B"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2A5FF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Пулеметы Гочкиса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0E1AB"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E53E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4DB31"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9DBC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0B66F" w14:textId="6E6ADD0B"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39E0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3883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19D7BB4B"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EE58F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Русские патроны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D7D02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1539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A1D1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B1E40"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452BF"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CC72687"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4998600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DEB4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52429800</w:t>
            </w:r>
          </w:p>
        </w:tc>
      </w:tr>
      <w:tr w:rsidR="002B1C74" w:rsidRPr="002F2FDF" w14:paraId="49CBC24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38DE1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Английские патроны 0.303"</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C50B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800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1B08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492407520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E3DC1" w14:textId="13FEE197"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E93E19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13998608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32F55" w14:textId="75BC435D" w:rsidR="004B45E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BADEA"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241829712</w:t>
            </w:r>
          </w:p>
        </w:tc>
      </w:tr>
      <w:tr w:rsidR="002B1C74" w:rsidRPr="002F2FDF" w14:paraId="4E4E05D2"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E8D039"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Японские патроны 0.256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8D78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45 тыс. в мес.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20294"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259464400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9D71D"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34023000</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8EE23DE"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83725440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2B533"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56501160</w:t>
            </w:r>
          </w:p>
        </w:tc>
      </w:tr>
    </w:tbl>
    <w:p w14:paraId="22422E26" w14:textId="77777777" w:rsidR="004B45E1" w:rsidRPr="002F2FDF" w:rsidRDefault="004B45E1" w:rsidP="0083075A">
      <w:pPr>
        <w:pStyle w:val="ae"/>
        <w:spacing w:before="0" w:after="0"/>
        <w:jc w:val="both"/>
        <w:rPr>
          <w:color w:val="000000" w:themeColor="text1"/>
          <w:kern w:val="2"/>
          <w:sz w:val="16"/>
          <w:szCs w:val="16"/>
        </w:rPr>
      </w:pPr>
      <w:r w:rsidRPr="002F2FDF">
        <w:rPr>
          <w:color w:val="000000" w:themeColor="text1"/>
          <w:kern w:val="2"/>
          <w:sz w:val="16"/>
          <w:szCs w:val="16"/>
        </w:rPr>
        <w:t>11 VII 1917. Коллежский асессор Ижевский</w:t>
      </w:r>
    </w:p>
    <w:p w14:paraId="5FF11EA7" w14:textId="77777777" w:rsidR="004B45E1" w:rsidRPr="002F2FDF" w:rsidRDefault="00000000"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pict w14:anchorId="1399986E">
          <v:rect id="_x0000_i1027" style="width:154.35pt;height:0" o:hrpct="330" o:hrstd="t" o:hr="t" fillcolor="#a0a0a0" stroked="f"/>
        </w:pict>
      </w:r>
    </w:p>
    <w:bookmarkStart w:id="201" w:name="_edn1"/>
    <w:p w14:paraId="4031C502" w14:textId="77777777" w:rsidR="004B45E1" w:rsidRPr="002F2FDF" w:rsidRDefault="004A1FB3" w:rsidP="0083075A">
      <w:pPr>
        <w:pStyle w:val="ae"/>
        <w:spacing w:before="0" w:after="0"/>
        <w:jc w:val="both"/>
        <w:rPr>
          <w:color w:val="000000" w:themeColor="text1"/>
          <w:kern w:val="2"/>
          <w:sz w:val="16"/>
          <w:szCs w:val="16"/>
        </w:rPr>
      </w:pPr>
      <w:r w:rsidRPr="002F2FDF">
        <w:rPr>
          <w:color w:val="000000" w:themeColor="text1"/>
          <w:kern w:val="2"/>
          <w:sz w:val="16"/>
          <w:szCs w:val="16"/>
        </w:rPr>
        <w:fldChar w:fldCharType="begin"/>
      </w:r>
      <w:r w:rsidR="004B45E1" w:rsidRPr="002F2FDF">
        <w:rPr>
          <w:color w:val="000000" w:themeColor="text1"/>
          <w:kern w:val="2"/>
          <w:sz w:val="16"/>
          <w:szCs w:val="16"/>
        </w:rPr>
        <w:instrText xml:space="preserve"> HYPERLINK "http://istmat.info/node/44743" \l "_ednref1" \o "" </w:instrText>
      </w:r>
      <w:r w:rsidRPr="002F2FDF">
        <w:rPr>
          <w:color w:val="000000" w:themeColor="text1"/>
          <w:kern w:val="2"/>
          <w:sz w:val="16"/>
          <w:szCs w:val="16"/>
        </w:rPr>
      </w:r>
      <w:r w:rsidRPr="002F2FDF">
        <w:rPr>
          <w:color w:val="000000" w:themeColor="text1"/>
          <w:kern w:val="2"/>
          <w:sz w:val="16"/>
          <w:szCs w:val="16"/>
        </w:rPr>
        <w:fldChar w:fldCharType="separate"/>
      </w:r>
      <w:r w:rsidR="004B45E1" w:rsidRPr="002F2FDF">
        <w:rPr>
          <w:rStyle w:val="a5"/>
          <w:color w:val="000000" w:themeColor="text1"/>
          <w:kern w:val="2"/>
          <w:sz w:val="16"/>
          <w:szCs w:val="16"/>
        </w:rPr>
        <w:t>[1]</w:t>
      </w:r>
      <w:r w:rsidRPr="002F2FDF">
        <w:rPr>
          <w:color w:val="000000" w:themeColor="text1"/>
          <w:kern w:val="2"/>
          <w:sz w:val="16"/>
          <w:szCs w:val="16"/>
        </w:rPr>
        <w:fldChar w:fldCharType="end"/>
      </w:r>
      <w:bookmarkEnd w:id="201"/>
      <w:r w:rsidR="004B45E1" w:rsidRPr="002F2FDF">
        <w:rPr>
          <w:color w:val="000000" w:themeColor="text1"/>
          <w:kern w:val="2"/>
          <w:sz w:val="16"/>
          <w:szCs w:val="16"/>
        </w:rPr>
        <w:t xml:space="preserve"> По данным статистического отдела Главзаграна.</w:t>
      </w:r>
    </w:p>
    <w:bookmarkStart w:id="202" w:name="_edn2"/>
    <w:p w14:paraId="505FBD7C" w14:textId="77777777" w:rsidR="004B45E1" w:rsidRPr="002F2FDF" w:rsidRDefault="004A1FB3" w:rsidP="0083075A">
      <w:pPr>
        <w:pStyle w:val="ae"/>
        <w:spacing w:before="0" w:after="0"/>
        <w:jc w:val="both"/>
        <w:rPr>
          <w:color w:val="000000" w:themeColor="text1"/>
          <w:kern w:val="2"/>
          <w:sz w:val="16"/>
          <w:szCs w:val="16"/>
        </w:rPr>
      </w:pPr>
      <w:r w:rsidRPr="002F2FDF">
        <w:rPr>
          <w:color w:val="000000" w:themeColor="text1"/>
          <w:kern w:val="2"/>
          <w:sz w:val="16"/>
          <w:szCs w:val="16"/>
        </w:rPr>
        <w:fldChar w:fldCharType="begin"/>
      </w:r>
      <w:r w:rsidR="004B45E1" w:rsidRPr="002F2FDF">
        <w:rPr>
          <w:color w:val="000000" w:themeColor="text1"/>
          <w:kern w:val="2"/>
          <w:sz w:val="16"/>
          <w:szCs w:val="16"/>
        </w:rPr>
        <w:instrText xml:space="preserve"> HYPERLINK "http://istmat.info/node/44743" \l "_ednref2" \o "" </w:instrText>
      </w:r>
      <w:r w:rsidRPr="002F2FDF">
        <w:rPr>
          <w:color w:val="000000" w:themeColor="text1"/>
          <w:kern w:val="2"/>
          <w:sz w:val="16"/>
          <w:szCs w:val="16"/>
        </w:rPr>
      </w:r>
      <w:r w:rsidRPr="002F2FDF">
        <w:rPr>
          <w:color w:val="000000" w:themeColor="text1"/>
          <w:kern w:val="2"/>
          <w:sz w:val="16"/>
          <w:szCs w:val="16"/>
        </w:rPr>
        <w:fldChar w:fldCharType="separate"/>
      </w:r>
      <w:r w:rsidR="004B45E1" w:rsidRPr="002F2FDF">
        <w:rPr>
          <w:rStyle w:val="a5"/>
          <w:color w:val="000000" w:themeColor="text1"/>
          <w:kern w:val="2"/>
          <w:sz w:val="16"/>
          <w:szCs w:val="16"/>
        </w:rPr>
        <w:t>[2]</w:t>
      </w:r>
      <w:r w:rsidRPr="002F2FDF">
        <w:rPr>
          <w:color w:val="000000" w:themeColor="text1"/>
          <w:kern w:val="2"/>
          <w:sz w:val="16"/>
          <w:szCs w:val="16"/>
        </w:rPr>
        <w:fldChar w:fldCharType="end"/>
      </w:r>
      <w:bookmarkEnd w:id="202"/>
      <w:r w:rsidR="004B45E1" w:rsidRPr="002F2FDF">
        <w:rPr>
          <w:color w:val="000000" w:themeColor="text1"/>
          <w:kern w:val="2"/>
          <w:sz w:val="16"/>
          <w:szCs w:val="16"/>
        </w:rPr>
        <w:t xml:space="preserve"> Датируется по предраспределительной</w:t>
      </w:r>
    </w:p>
    <w:bookmarkStart w:id="203" w:name="_edn3"/>
    <w:p w14:paraId="03F51D23" w14:textId="77777777" w:rsidR="004B45E1" w:rsidRPr="002F2FDF" w:rsidRDefault="004A1FB3" w:rsidP="0083075A">
      <w:pPr>
        <w:pStyle w:val="ae"/>
        <w:spacing w:before="0" w:after="0"/>
        <w:jc w:val="both"/>
        <w:rPr>
          <w:color w:val="000000" w:themeColor="text1"/>
          <w:kern w:val="2"/>
          <w:sz w:val="16"/>
          <w:szCs w:val="16"/>
          <w:lang w:val="en-US"/>
        </w:rPr>
      </w:pPr>
      <w:r w:rsidRPr="002F2FDF">
        <w:rPr>
          <w:color w:val="000000" w:themeColor="text1"/>
          <w:kern w:val="2"/>
          <w:sz w:val="16"/>
          <w:szCs w:val="16"/>
        </w:rPr>
        <w:fldChar w:fldCharType="begin"/>
      </w:r>
      <w:r w:rsidR="004B45E1" w:rsidRPr="002F2FDF">
        <w:rPr>
          <w:color w:val="000000" w:themeColor="text1"/>
          <w:kern w:val="2"/>
          <w:sz w:val="16"/>
          <w:szCs w:val="16"/>
        </w:rPr>
        <w:instrText xml:space="preserve"> HYPERLINK "http://istmat.info/node/44743" \l "_ednref3" \o "" </w:instrText>
      </w:r>
      <w:r w:rsidRPr="002F2FDF">
        <w:rPr>
          <w:color w:val="000000" w:themeColor="text1"/>
          <w:kern w:val="2"/>
          <w:sz w:val="16"/>
          <w:szCs w:val="16"/>
        </w:rPr>
      </w:r>
      <w:r w:rsidRPr="002F2FDF">
        <w:rPr>
          <w:color w:val="000000" w:themeColor="text1"/>
          <w:kern w:val="2"/>
          <w:sz w:val="16"/>
          <w:szCs w:val="16"/>
        </w:rPr>
        <w:fldChar w:fldCharType="separate"/>
      </w:r>
      <w:r w:rsidR="004B45E1" w:rsidRPr="002F2FDF">
        <w:rPr>
          <w:rStyle w:val="a5"/>
          <w:color w:val="000000" w:themeColor="text1"/>
          <w:kern w:val="2"/>
          <w:sz w:val="16"/>
          <w:szCs w:val="16"/>
        </w:rPr>
        <w:t>[3]</w:t>
      </w:r>
      <w:r w:rsidRPr="002F2FDF">
        <w:rPr>
          <w:color w:val="000000" w:themeColor="text1"/>
          <w:kern w:val="2"/>
          <w:sz w:val="16"/>
          <w:szCs w:val="16"/>
        </w:rPr>
        <w:fldChar w:fldCharType="end"/>
      </w:r>
      <w:bookmarkEnd w:id="203"/>
      <w:r w:rsidR="004B45E1" w:rsidRPr="002F2FDF">
        <w:rPr>
          <w:color w:val="000000" w:themeColor="text1"/>
          <w:kern w:val="2"/>
          <w:sz w:val="16"/>
          <w:szCs w:val="16"/>
        </w:rPr>
        <w:t xml:space="preserve"> Из них 7 погибло на угольщике «Algoe». </w:t>
      </w:r>
      <w:r w:rsidR="004B45E1" w:rsidRPr="002F2FDF">
        <w:rPr>
          <w:color w:val="000000" w:themeColor="text1"/>
          <w:kern w:val="2"/>
          <w:sz w:val="16"/>
          <w:szCs w:val="16"/>
          <w:lang w:val="en-US"/>
        </w:rPr>
        <w:t>(</w:t>
      </w:r>
      <w:r w:rsidR="004B45E1" w:rsidRPr="002F2FDF">
        <w:rPr>
          <w:color w:val="000000" w:themeColor="text1"/>
          <w:kern w:val="2"/>
          <w:sz w:val="16"/>
          <w:szCs w:val="16"/>
        </w:rPr>
        <w:t>Прим</w:t>
      </w:r>
      <w:r w:rsidR="004B45E1" w:rsidRPr="002F2FDF">
        <w:rPr>
          <w:color w:val="000000" w:themeColor="text1"/>
          <w:kern w:val="2"/>
          <w:sz w:val="16"/>
          <w:szCs w:val="16"/>
          <w:lang w:val="en-US"/>
        </w:rPr>
        <w:t xml:space="preserve">. </w:t>
      </w:r>
      <w:r w:rsidR="004B45E1" w:rsidRPr="002F2FDF">
        <w:rPr>
          <w:color w:val="000000" w:themeColor="text1"/>
          <w:kern w:val="2"/>
          <w:sz w:val="16"/>
          <w:szCs w:val="16"/>
        </w:rPr>
        <w:t>док</w:t>
      </w:r>
      <w:r w:rsidR="004B45E1" w:rsidRPr="002F2FDF">
        <w:rPr>
          <w:color w:val="000000" w:themeColor="text1"/>
          <w:kern w:val="2"/>
          <w:sz w:val="16"/>
          <w:szCs w:val="16"/>
          <w:lang w:val="en-US"/>
        </w:rPr>
        <w:t>.) (15149).</w:t>
      </w:r>
    </w:p>
    <w:p w14:paraId="6D6B6815" w14:textId="77777777" w:rsidR="004B45E1" w:rsidRPr="002F2FDF" w:rsidRDefault="004B45E1" w:rsidP="0083075A">
      <w:pPr>
        <w:pStyle w:val="ae"/>
        <w:spacing w:before="0" w:after="0"/>
        <w:jc w:val="both"/>
        <w:rPr>
          <w:color w:val="000000" w:themeColor="text1"/>
          <w:kern w:val="2"/>
          <w:sz w:val="16"/>
          <w:szCs w:val="16"/>
          <w:lang w:val="en-US"/>
        </w:rPr>
      </w:pPr>
    </w:p>
    <w:p w14:paraId="4C84D97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2F2FDF">
        <w:rPr>
          <w:rFonts w:ascii="Times New Roman" w:hAnsi="Times New Roman" w:cs="Times New Roman"/>
          <w:i/>
          <w:iCs/>
          <w:color w:val="000000" w:themeColor="text1"/>
          <w:kern w:val="2"/>
          <w:sz w:val="16"/>
          <w:szCs w:val="16"/>
        </w:rPr>
        <w:t>За</w:t>
      </w:r>
      <w:r w:rsidRPr="002F2FDF">
        <w:rPr>
          <w:rFonts w:ascii="Times New Roman" w:hAnsi="Times New Roman" w:cs="Times New Roman"/>
          <w:i/>
          <w:iCs/>
          <w:color w:val="000000" w:themeColor="text1"/>
          <w:kern w:val="2"/>
          <w:sz w:val="16"/>
          <w:szCs w:val="16"/>
          <w:lang w:val="en-US"/>
        </w:rPr>
        <w:t xml:space="preserve"> </w:t>
      </w:r>
      <w:r w:rsidRPr="002F2FDF">
        <w:rPr>
          <w:rFonts w:ascii="Times New Roman" w:hAnsi="Times New Roman" w:cs="Times New Roman"/>
          <w:i/>
          <w:iCs/>
          <w:color w:val="000000" w:themeColor="text1"/>
          <w:kern w:val="2"/>
          <w:sz w:val="16"/>
          <w:szCs w:val="16"/>
        </w:rPr>
        <w:t>рубежом</w:t>
      </w:r>
      <w:r w:rsidRPr="002F2FDF">
        <w:rPr>
          <w:rFonts w:ascii="Times New Roman" w:hAnsi="Times New Roman" w:cs="Times New Roman"/>
          <w:i/>
          <w:iCs/>
          <w:color w:val="000000" w:themeColor="text1"/>
          <w:kern w:val="2"/>
          <w:sz w:val="16"/>
          <w:szCs w:val="16"/>
          <w:lang w:val="en-US"/>
        </w:rPr>
        <w:t>:</w:t>
      </w:r>
    </w:p>
    <w:p w14:paraId="1F96F9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7DE6E7B8" w14:textId="2DD6D36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 xml:space="preserve">July </w:t>
      </w:r>
      <w:r w:rsidR="001E13F7" w:rsidRPr="001E13F7">
        <w:rPr>
          <w:rFonts w:ascii="Times New Roman" w:hAnsi="Times New Roman" w:cs="Times New Roman"/>
          <w:color w:val="000000" w:themeColor="text1"/>
          <w:kern w:val="2"/>
          <w:sz w:val="16"/>
          <w:szCs w:val="16"/>
          <w:lang w:val="en-US"/>
        </w:rPr>
        <w:t>11 (</w:t>
      </w:r>
      <w:r w:rsidRPr="002F2FDF">
        <w:rPr>
          <w:rFonts w:ascii="Times New Roman" w:hAnsi="Times New Roman" w:cs="Times New Roman"/>
          <w:color w:val="000000" w:themeColor="text1"/>
          <w:kern w:val="2"/>
          <w:sz w:val="16"/>
          <w:szCs w:val="16"/>
          <w:lang w:val="en-US"/>
        </w:rPr>
        <w:t>24</w:t>
      </w:r>
      <w:r w:rsidR="001E13F7" w:rsidRPr="001E13F7">
        <w:rPr>
          <w:rFonts w:ascii="Times New Roman" w:hAnsi="Times New Roman" w:cs="Times New Roman"/>
          <w:color w:val="000000" w:themeColor="text1"/>
          <w:kern w:val="2"/>
          <w:sz w:val="16"/>
          <w:szCs w:val="16"/>
          <w:lang w:val="en-US"/>
        </w:rPr>
        <w:t>)</w:t>
      </w:r>
      <w:r w:rsidRPr="002F2FDF">
        <w:rPr>
          <w:rFonts w:ascii="Times New Roman" w:hAnsi="Times New Roman" w:cs="Times New Roman"/>
          <w:color w:val="000000" w:themeColor="text1"/>
          <w:kern w:val="2"/>
          <w:sz w:val="16"/>
          <w:szCs w:val="16"/>
          <w:lang w:val="en-US"/>
        </w:rPr>
        <w:t>, 1917 A large obstacle to the effective expansion of aircraft production was removed by formation of the Manufacturers Aircraft Association to handle the business of a Cross Licensing Agreement by which member companies had full access to all patents held by other members at fixed low rates (1090).</w:t>
      </w:r>
    </w:p>
    <w:p w14:paraId="1E547B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A12A8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июля 1917 было преодолено препятствие в развитии авиационного производства за счет создания Ассоциации производителей авиационной техники для регулирования патентных вопросов за счет подписания договора и перекрестном лицензировании базовых патентов в области авиации при небольших тарифах (1090).</w:t>
      </w:r>
    </w:p>
    <w:p w14:paraId="28D72F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54D4D4"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11 (24) июля в 1917 году арестованная еще в феврале по подозрению в шпионаже в пользу кайзеровской Германии голландская танцовщица Мата Хари предстает перед судом французского военного трибунала. На следующий день ей будет вынесен смертный приговор, который будет приведен в исполнение через неполных три месяца (14962).</w:t>
      </w:r>
    </w:p>
    <w:p w14:paraId="6B75C026"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p>
    <w:p w14:paraId="1F596AAB" w14:textId="77777777" w:rsidR="004855F5" w:rsidRPr="002F2FDF" w:rsidRDefault="004855F5" w:rsidP="0083075A">
      <w:pPr>
        <w:pStyle w:val="ae"/>
        <w:spacing w:before="0" w:after="0"/>
        <w:jc w:val="both"/>
        <w:rPr>
          <w:color w:val="000000" w:themeColor="text1"/>
          <w:kern w:val="2"/>
          <w:sz w:val="16"/>
          <w:szCs w:val="16"/>
        </w:rPr>
      </w:pPr>
      <w:r w:rsidRPr="002F2FDF">
        <w:rPr>
          <w:color w:val="000000" w:themeColor="text1"/>
          <w:kern w:val="2"/>
          <w:sz w:val="16"/>
          <w:szCs w:val="16"/>
        </w:rPr>
        <w:t>11 (24) июля 1917 в Париже начался судебный процесс над одной из «легенд» мирового шпионажа Матой Хари, прославившейся, правда, не столько своей реальной секретной службой, сколько использованием ее образа в кино и литературе. Мата Хари, на самом деле, было выдуманным именем — сценическим псевдонимом гражданки Голландии Маргаретты Гертруды Зелле. Еще до войны она получила известность в Париже и других европейских столицах как эпатажная танцовщица, цирковая актриса и куртизанка. После начала войны Мата Хари осталась в Париже, попутно активно путешествуя под предлогом поездок домой в Голландию, правительство которой сохраняло нейтралитет. Поскольку Франция и Голландия были разделены линией фронта, ездить ей приходилось кружным путем — из Парижа по суше до также нейтральной Испании, далее морем до Великобритании и оттуда другим пароходом уже в Голландию. Из-за постоянных поездок и наличия множества любовников — чиновников, офицеров и просто богатых людей — на Мату Хари вскоре обратили внимание спецслужбы разных стран. Предполагается, что первой ее завербовала германская разведка, потом — французская и, возможно, британская. В 1916 году французская разведка отправила Мату Хари со спецзаданием в Испанию, но вскоре получила информацию, что она уже работает на немцев. В итоге в 1917 году после возвращения она была арестована в Париже по обвинению в шпионаже на Германию, и в октябре того же года расстреляна. Позже представители германской разведки подтвердили, что Мата Хари действительно изначально была их агентом, хотя эффективность ее деятельности остается под вопросом. Многие эксперты утверждают, что она была не столько шпионкой, сколько легкомысленной и глуповатой авантюристкой (17045).</w:t>
      </w:r>
    </w:p>
    <w:p w14:paraId="445DD526" w14:textId="77777777" w:rsidR="004A7149" w:rsidRPr="002F2FDF" w:rsidRDefault="004A7149" w:rsidP="0083075A">
      <w:pPr>
        <w:pStyle w:val="ae"/>
        <w:spacing w:before="0" w:after="0"/>
        <w:jc w:val="both"/>
        <w:rPr>
          <w:color w:val="000000" w:themeColor="text1"/>
          <w:kern w:val="2"/>
          <w:sz w:val="16"/>
          <w:szCs w:val="16"/>
        </w:rPr>
      </w:pPr>
    </w:p>
    <w:p w14:paraId="5EC6E107" w14:textId="77777777" w:rsidR="004A7149" w:rsidRPr="002F2FDF" w:rsidRDefault="004A7149" w:rsidP="0083075A">
      <w:pPr>
        <w:pStyle w:val="ae"/>
        <w:spacing w:before="0" w:after="0"/>
        <w:jc w:val="both"/>
        <w:rPr>
          <w:color w:val="000000" w:themeColor="text1"/>
          <w:kern w:val="2"/>
          <w:sz w:val="16"/>
          <w:szCs w:val="16"/>
        </w:rPr>
      </w:pPr>
      <w:r w:rsidRPr="002F2FDF">
        <w:rPr>
          <w:color w:val="000000" w:themeColor="text1"/>
          <w:kern w:val="2"/>
          <w:sz w:val="16"/>
          <w:szCs w:val="16"/>
        </w:rPr>
        <w:t>В период 11 по 17 (24-30) июля 1917 германскими подводными лодками было потоплено и повреждено 71 судно стран Антанты и нейтральных государств (17045).</w:t>
      </w:r>
    </w:p>
    <w:p w14:paraId="0EB3BBA9" w14:textId="77777777" w:rsidR="004855F5" w:rsidRPr="002F2FDF" w:rsidRDefault="004855F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330E6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1BB33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AF7E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июля 1917 г. Главное управление кораблестроения приняло окончательное решение 130/55-мм пушки делать только в картузном варианте длиной 55 калибров. Заряжание орудия и досылка боеприпасов производились вручную, без применения каких либо механизмов. В 1914-1916 годах было сдано 132 орудия, в 1917 году 30, в 1919 году 4, в 1920 году 33, в 1921 году 15.</w:t>
      </w:r>
    </w:p>
    <w:p w14:paraId="1889B3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Устройство 130/55-мм орудий.</w:t>
      </w:r>
    </w:p>
    <w:p w14:paraId="75AEDC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Тело орудия состояло из внутренней трубы, скрепленной по всей длине тремя цилиндрами и поверх их кожухом. Скрепляющие цилиндры и кожух надеты с натяжением. Затвор поршневой системы Виккерса, открывается вправо.</w:t>
      </w:r>
    </w:p>
    <w:p w14:paraId="504ACE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Компрессор гидравлический, цилиндр компрессора при откате неподвижен. Накатник пружинный, состоит из двух одинаковых частей, расположенных по бокам компрессорного цилиндра. Приводы наведения ручные. Подъемный механизм имеет один сектор.</w:t>
      </w:r>
    </w:p>
    <w:p w14:paraId="60EEAD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станок с углом вертикального наведения +30 под тумбой установлен барабан, увеличен сектор подъемного механизма, усилены пружины накатника и изменен вертлюг.</w:t>
      </w:r>
    </w:p>
    <w:p w14:paraId="3F86EB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Станки имели башнеподобный или коробчатый щит. Часть станков имела щит с броней: лоб 76 мм, бока 25 мм и крыша 15 мм, а часть щитов лобовую броню 25 мм. Были случаи установки орудий на береговых батареях без щитов.</w:t>
      </w:r>
    </w:p>
    <w:p w14:paraId="36027F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Береговые 130/55-мм орудия устанавливались на бетонном основании диаметром 4,8 м. Высота линии огня 1750 мм от бетонного основания. В отдельных случаях орудия устанавливались на временных деревянных основаниях.</w:t>
      </w:r>
    </w:p>
    <w:p w14:paraId="18E04A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береговых батареях 130/55-мм пушки имели прицел Обуховского сталелитейного завода обр.1914 г. и систему ПУС "Каземат" с дальномерами 1,5-метровой и 4,0-метровой базой.</w:t>
      </w:r>
    </w:p>
    <w:p w14:paraId="6F8C58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Боеприпасы и баллистика 130/55-мм пушек.</w:t>
      </w:r>
    </w:p>
    <w:p w14:paraId="7632DB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Снаряды к 130/55-мм пушкам были взаимозаменяемы со снарядами к 130/50-мм пушкам Б-13 с мелкой нарезкой.</w:t>
      </w:r>
    </w:p>
    <w:p w14:paraId="181166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22.06.1941 г. в ВМФ состояло выстрелов к 130/55-мм пушкам: с фугасными (полубронебойными) снарядами 44405 шт., со шрапнелью 9361 шт., с ныряющими снарядами 5327 шт., с осветительными снарядами 2947 шт.</w:t>
      </w:r>
    </w:p>
    <w:p w14:paraId="6E8FCD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войну было израсходовано 26796 снарядов к 130/55-мм и 130/50-мм пушкам с мелкой нарезкой. Флот с 22.06.1941 г. по 1.05.1945 г. получил от промышленности 62805 снарядов к 130/55-мм и 130/50-мм пушкам с мелкой нарезкой (3861).</w:t>
      </w:r>
    </w:p>
    <w:p w14:paraId="1DCAB2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21BE04"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июля 1917 г. Рапорт и. о. окружного инженера Юзовского горного округа Л. О. Краееского Горному департаменту о падении добычи угля и закрытии шахт вследствие недостатка квалифицированных рабочих, падения производительности труда и технических причин.</w:t>
      </w:r>
    </w:p>
    <w:p w14:paraId="1D83613E"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53-55</w:t>
      </w:r>
    </w:p>
    <w:p w14:paraId="54364D6E"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37, оп. 58, д. 883, лл. 130—131. Подлинник.</w:t>
      </w:r>
    </w:p>
    <w:p w14:paraId="424560DC"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Вследствие циркулярного предписания за № 280/593 от 22 января 1910 г., честь имею представить при сем Горному департаменту ведомость о количестве рабочих на рудниках и заводах вверенного мне округа за июнь месяц с. г., причем следует присовокупить, что на 1 июля с. г. в Юзовском горном округе состояло рабочих на рудниках и коксовых печах, находящихся при последних, всего 18 356 чел., т. е. на 572 чел.</w:t>
      </w:r>
    </w:p>
    <w:p w14:paraId="7AA1A0F9"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меньше, чем на Гиюня с. г., а на заводах и коксовых печах при последних — 17 451 чел., т. е. на 603 чел. больше, чем на 1 июня с. г.</w:t>
      </w:r>
    </w:p>
    <w:p w14:paraId="25A9747C"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выдающихся явлений за прошлый месяц можно отметить следующее:</w:t>
      </w:r>
    </w:p>
    <w:p w14:paraId="70E66E9E"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Александровский рудник Л. И. Сорокевич.</w:t>
      </w:r>
    </w:p>
    <w:p w14:paraId="532E9EBB"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Добыча угля понизилась, добывалось в среднем 2000—2500 пуд. в сутки. Уменьшение добычи произошло потому, что 15 июня осела лава на паровичном пласте, получилась трещина и пошла сильная вода, которая в течение суток затопила 23 саж. уклона, и все работы приостановились. В настоящее время принимаются меры к откачке воды. На шахте «София» откачка и чистка от грязи уклона успешно продолжается, и к 15 июля рудник предполагает начать работы по добыче угля.</w:t>
      </w:r>
    </w:p>
    <w:p w14:paraId="3E8C452C"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Рудник К. Ф. Фомина и Ко.</w:t>
      </w:r>
    </w:p>
    <w:p w14:paraId="26468FA3"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Работы на руднике по добыче угля окончились; рабочие переведены на Мариинские каменноугольные копи в Область Войска Донского, принадлежащие также товариществу.</w:t>
      </w:r>
    </w:p>
    <w:p w14:paraId="7C013435"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Рудник Белинских и Шпунтова.</w:t>
      </w:r>
    </w:p>
    <w:p w14:paraId="553CC6D8"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Рудник временно приостановлен вследствие затопления его водою. Рабочие рассчитаны.</w:t>
      </w:r>
    </w:p>
    <w:p w14:paraId="17A53466"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Рудник П. А. Нестеровой.</w:t>
      </w:r>
    </w:p>
    <w:p w14:paraId="37D7DE0F"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чрезмерных требований рабочих шахты № 4 относительно прибавок, малой добычи (менее 1000 пуд. в сутки), отсутствия покупателей на этот уголь вследствие большого процента золы в угле, управление рудника предполагает остановить работы в шахте № 4 с 7 июля с. г. Объявление об этом рабочим сделано 25 июня с. г. Мощность пласта 38.5 верст, но он имеет посередине прослоек сланца в 12 вершков.</w:t>
      </w:r>
    </w:p>
    <w:p w14:paraId="6F6EB758"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Рудник бр. Чечик и Я. Радина.</w:t>
      </w:r>
    </w:p>
    <w:p w14:paraId="057C9944"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Добыча понизилась вследствие заканчивания выработкой шахты № 3; забираются предохранительные целики</w:t>
      </w:r>
      <w:hyperlink r:id="rId425" w:anchor="_ftn1" w:history="1">
        <w:r w:rsidRPr="002F2FDF">
          <w:rPr>
            <w:rFonts w:ascii="Times New Roman" w:hAnsi="Times New Roman" w:cs="Times New Roman"/>
            <w:color w:val="000000" w:themeColor="text1"/>
            <w:kern w:val="2"/>
            <w:sz w:val="16"/>
            <w:szCs w:val="16"/>
          </w:rPr>
          <w:t>[1]</w:t>
        </w:r>
      </w:hyperlink>
      <w:r w:rsidRPr="002F2FDF">
        <w:rPr>
          <w:rFonts w:ascii="Times New Roman" w:hAnsi="Times New Roman" w:cs="Times New Roman"/>
          <w:color w:val="000000" w:themeColor="text1"/>
          <w:kern w:val="2"/>
          <w:sz w:val="16"/>
          <w:szCs w:val="16"/>
        </w:rPr>
        <w:t>, и в скором времени рудник совершенно закроется.</w:t>
      </w:r>
    </w:p>
    <w:p w14:paraId="18108791"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На рудниках Новороссийского общества.</w:t>
      </w:r>
    </w:p>
    <w:p w14:paraId="4D2D928D"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центральной группе шахт недобор угля в 25% из-за многих случаев невыхода на работу и вялой работы.</w:t>
      </w:r>
    </w:p>
    <w:p w14:paraId="685C12FF"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«Ветке» недобрано 50 тыс. пуд. на шахте № 7 из-за поломки мотора и насосов; шахта бездействовала 3 дня.</w:t>
      </w:r>
    </w:p>
    <w:p w14:paraId="2F51B06E"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шахте № 4 недобрано около 50 тыс. пуд. из-за недостатка электрической энергии и исправления врубовых машин.</w:t>
      </w:r>
    </w:p>
    <w:p w14:paraId="6BEA4619"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Смоляниновском руднике недобрано 10 тыс. пуд. из-за порчи мотора и лопнувшего каната 3 июня. Люди очень плохо работают на шахтах №№ 1 и 10.</w:t>
      </w:r>
    </w:p>
    <w:p w14:paraId="15901AA1"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общем замечается упадок добычи вследствие недостатка квалифицированных рабочих и производительности последних. Рудники испытывают нужду в продовольствии, особенно в муке, мясе и сахаре, в крепежном лесе, в осветительных и смазочных материалах: в керосине, олеонафте, мазуте и нефти. Была попытка рабочих удалить заведующего Западно-Донецким рудником штейгера Сергеева, о чем местным исполнительным комитетом рабочих депутатов было мне заявлено. Принятыми мною мерами морального воздействия конфликт был улажен, причем никаких насилий со стороны рабочих проявлено не было. Заметно, что рабочие благодаря примирительным камерам приходят в более спокойное и уравновешенное состояние; всякие попытки к эксцессам предотвращались во время принимаемыми мерами морального воздействия на рабочих, путем словесного убеждения и путем обоюдных добровольных соглашений лиц администрации промышленных заведений с последними; при этом приходилось всегда замечать, что более сознательные, благоразумные и спокойные элементы оказывали влияние на своих товарищей, если замечали, что требования последних неосновательны. Рабочие сами крайне чутко реагируют на всякие недостатки технического оборудования, причем организации их в лице местных президиумов Совета рабочих и солдатских депутатов оказывают содействие к функционированию технических комиссий с участием чинов правительственного надзора, т. е. моим или моего помощника по округу, если я не имею почему-либо возможности принимать лично участия в осмотре замеченных дефектов в техническом отношении.</w:t>
      </w:r>
    </w:p>
    <w:p w14:paraId="545A5B8B"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Нежелательным и даже опасным явлением следует считать вербовку с рудников и металлургических заводов военнопленных, посылаемых на полевые работы. Высылка на фронт квалифицированных рабочих с рудников и заводов во время мобилизации армии с началом военных действий была крупной ошибкой, сильно пошатнувшей промышленность и повысившей требования оставшихся рабочих заработной платы путем забастовок, принявших повышенный характер. В настоящее время отвлечение рабочих, привыкших уже к работе и режиму, на полевые работы может отразиться вредно на предприятия. Не лучше ли было бы составлять кадры для полевых работ из солдат, уклоняющихся от военных действий?</w:t>
      </w:r>
    </w:p>
    <w:p w14:paraId="2976C128"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 о. окружного инженера</w:t>
      </w:r>
    </w:p>
    <w:p w14:paraId="4BDCF751"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Юзовского горного округа Л. Краевский.</w:t>
      </w:r>
    </w:p>
    <w:p w14:paraId="7708CBD1" w14:textId="77777777" w:rsidR="00C62043"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26" w:anchor="_ftnref1" w:history="1">
        <w:r w:rsidR="00C62043" w:rsidRPr="002F2FDF">
          <w:rPr>
            <w:rFonts w:ascii="Times New Roman" w:hAnsi="Times New Roman" w:cs="Times New Roman"/>
            <w:color w:val="000000" w:themeColor="text1"/>
            <w:kern w:val="2"/>
            <w:sz w:val="16"/>
            <w:szCs w:val="16"/>
          </w:rPr>
          <w:t>[1]</w:t>
        </w:r>
      </w:hyperlink>
      <w:r w:rsidR="00C62043" w:rsidRPr="002F2FDF">
        <w:rPr>
          <w:rFonts w:ascii="Times New Roman" w:hAnsi="Times New Roman" w:cs="Times New Roman"/>
          <w:color w:val="000000" w:themeColor="text1"/>
          <w:kern w:val="2"/>
          <w:sz w:val="16"/>
          <w:szCs w:val="16"/>
        </w:rPr>
        <w:t xml:space="preserve"> Так в тексте (15705).</w:t>
      </w:r>
    </w:p>
    <w:p w14:paraId="2780189F"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p>
    <w:p w14:paraId="783D63CD"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июля 1917 г. Справка Управления уполномоченного по снабжению металлами на Юге России о положении металлургических заводов в конце июня—начале июля 1917 г.</w:t>
      </w:r>
    </w:p>
    <w:p w14:paraId="662A99B8"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125</w:t>
      </w:r>
    </w:p>
    <w:p w14:paraId="0B581791"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37, оп. 58, д. 883, л. 141. Подлинник.</w:t>
      </w:r>
    </w:p>
    <w:p w14:paraId="4D8CC27B"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Положение металлургических заводов Юга России конца июня и начала июля представляется в следующем виде: из существующих на Юге России 64 доменных печей работают 42 с интенсивностью 75—78%, 8 печей в ремонте, остальные не работают за отсутствием топлива, сырых продуктов и квалифицированных рабочих. Из существующих 98 мартеновских печей работают 67 с интенсивностью 75%. На Сулинском заводе большой недостаток хорошего лома для мартеновских печей.</w:t>
      </w:r>
    </w:p>
    <w:p w14:paraId="2C0DDA5A"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Работа прокатных станов значительно сократилась на всех заводах Юга России, и в июне программа выполнена приблизительно в 65% от назначенной (в мае процент выполнения был равен 75). По сведениям представителей заводов процент выполнения июльской программы прокатки будет еще ниже, так как запасы топлива значительно сокращены, большой недостаток стальных болванок и рабочих, отчего работа — в 1—2 смены и неполным ходом. Кроме того, на Новороссийском заводе недостаток электрической и механической энергии за отсутствием достаточного числа турбин и труб для ремонта старых.</w:t>
      </w:r>
    </w:p>
    <w:p w14:paraId="2A7E773A"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Положение с топливом довольно серьезно, так как на рудниках процент добычи угля сократился, подают недостаточно вагонов под погрузку и несвоевременно, отчего на Днепровском, Трубопрокатном, «Эстампаже», Таганрогском и Сулинском заводах частые и продолжительные остановки и сокращение производительности цехов. Спешно требуется обеспечить эти заводы топливом и сырьем, дабы не было полной остановки.</w:t>
      </w:r>
    </w:p>
    <w:p w14:paraId="50B0BF51"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Рабочий вопрос не улучшился в сравнении с положением на 14 июня: почти повсюду предъявляются заводоуправлению новые требования, на многих заводах недостаток квалифицированных рабочих и чернорабочих-грузчиков. Замечается понижение интенсивности труда, особенно на заводских рудниках у шахтеров. На Трубопрокатном ссоры с конторскими служащими.</w:t>
      </w:r>
    </w:p>
    <w:p w14:paraId="27A858B3"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Острые конфликты вообще не замечаются.</w:t>
      </w:r>
    </w:p>
    <w:p w14:paraId="005F8F71"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Инженер Я. Палей.</w:t>
      </w:r>
    </w:p>
    <w:p w14:paraId="6D0E8F4E" w14:textId="77777777" w:rsidR="00C62043"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27" w:anchor="_ftnref1" w:history="1">
        <w:r w:rsidR="00C62043" w:rsidRPr="002F2FDF">
          <w:rPr>
            <w:rFonts w:ascii="Times New Roman" w:hAnsi="Times New Roman" w:cs="Times New Roman"/>
            <w:color w:val="000000" w:themeColor="text1"/>
            <w:kern w:val="2"/>
            <w:sz w:val="16"/>
            <w:szCs w:val="16"/>
          </w:rPr>
          <w:t>[1]</w:t>
        </w:r>
      </w:hyperlink>
      <w:r w:rsidR="00C62043" w:rsidRPr="002F2FDF">
        <w:rPr>
          <w:rFonts w:ascii="Times New Roman" w:hAnsi="Times New Roman" w:cs="Times New Roman"/>
          <w:color w:val="000000" w:themeColor="text1"/>
          <w:kern w:val="2"/>
          <w:sz w:val="16"/>
          <w:szCs w:val="16"/>
        </w:rPr>
        <w:t xml:space="preserve"> Датируется по препроводительной (15684).</w:t>
      </w:r>
    </w:p>
    <w:p w14:paraId="629C9873" w14:textId="77777777" w:rsidR="00C62043" w:rsidRPr="002F2FDF" w:rsidRDefault="00C62043" w:rsidP="0083075A">
      <w:pPr>
        <w:spacing w:after="0" w:line="240" w:lineRule="auto"/>
        <w:jc w:val="both"/>
        <w:rPr>
          <w:rFonts w:ascii="Times New Roman" w:hAnsi="Times New Roman" w:cs="Times New Roman"/>
          <w:color w:val="000000" w:themeColor="text1"/>
          <w:kern w:val="2"/>
          <w:sz w:val="16"/>
          <w:szCs w:val="16"/>
        </w:rPr>
      </w:pPr>
    </w:p>
    <w:p w14:paraId="2C91586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EF965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B5B4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июля 1917 г. глава Временного Правительства А.Ф.Керенский, испуганный поражением под Тарнополем соседнего Юго-Западного фронта, самовольно заявил об отмене наступления, начатого 6 июля, обратившись при этом напрямую к солдатам через голову командования. Это распоряжение сразу же вызвало деморализацию русских войск, дисциплина резко упала. Ссылаясь на Керенского, солдаты под влиянием пропаганды в массовом порядке стали отказываться наступать и подчиняться офицерам (12056).</w:t>
      </w:r>
    </w:p>
    <w:p w14:paraId="75CE4C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6863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июля 1917 Временное правительство восстановило смертную казнь на фронте (для дезертиров, провокаторов) по требованию ГК ЗФ Л.Корнилова (3908,260).</w:t>
      </w:r>
    </w:p>
    <w:p w14:paraId="6DCA7A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D8F2CB" w14:textId="77777777" w:rsidR="00A5772A" w:rsidRPr="002F2FDF" w:rsidRDefault="00A5772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июля в 1917 году Временным правительством восстанавливается смертная казнь на фронте (14963).</w:t>
      </w:r>
    </w:p>
    <w:p w14:paraId="1CE6FC56" w14:textId="77777777" w:rsidR="00A5772A" w:rsidRPr="002F2FDF" w:rsidRDefault="00A5772A" w:rsidP="0083075A">
      <w:pPr>
        <w:spacing w:after="0" w:line="240" w:lineRule="auto"/>
        <w:jc w:val="both"/>
        <w:rPr>
          <w:rFonts w:ascii="Times New Roman" w:hAnsi="Times New Roman" w:cs="Times New Roman"/>
          <w:color w:val="000000" w:themeColor="text1"/>
          <w:kern w:val="2"/>
          <w:sz w:val="16"/>
          <w:szCs w:val="16"/>
        </w:rPr>
      </w:pPr>
    </w:p>
    <w:p w14:paraId="646B379F" w14:textId="77777777" w:rsidR="004A7149" w:rsidRPr="002F2FDF" w:rsidRDefault="004A7149"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июля 1917 в русской армии войсковым комитетам запрещено обсуждать боевые приказы командиров и вмешиваться в них, на фронте введена смертная казнь и учреждены военно-полевые суды (4962).</w:t>
      </w:r>
    </w:p>
    <w:p w14:paraId="0041BA70" w14:textId="77777777" w:rsidR="004A7149" w:rsidRPr="002F2FDF" w:rsidRDefault="004A7149"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9A0ED6" w14:textId="77777777" w:rsidR="004A7149" w:rsidRPr="002F2FDF" w:rsidRDefault="004A714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июля в 1917 году в русской армии войсковым комитетам запрещено обсуждать боевые приказы командиров и вмешиваться в них, на фронте введена смертная казнь и учреждены военно-полевые суды (14963).</w:t>
      </w:r>
    </w:p>
    <w:p w14:paraId="553811C4" w14:textId="77777777" w:rsidR="004A7149" w:rsidRPr="002F2FDF" w:rsidRDefault="004A7149" w:rsidP="0083075A">
      <w:pPr>
        <w:spacing w:after="0" w:line="240" w:lineRule="auto"/>
        <w:jc w:val="both"/>
        <w:rPr>
          <w:rFonts w:ascii="Times New Roman" w:hAnsi="Times New Roman" w:cs="Times New Roman"/>
          <w:color w:val="000000" w:themeColor="text1"/>
          <w:kern w:val="2"/>
          <w:sz w:val="16"/>
          <w:szCs w:val="16"/>
        </w:rPr>
      </w:pPr>
    </w:p>
    <w:p w14:paraId="630E7553" w14:textId="77777777" w:rsidR="004A7149" w:rsidRPr="002F2FDF" w:rsidRDefault="004A7149" w:rsidP="0083075A">
      <w:pPr>
        <w:pStyle w:val="ae"/>
        <w:spacing w:before="0" w:after="0"/>
        <w:jc w:val="both"/>
        <w:rPr>
          <w:color w:val="000000" w:themeColor="text1"/>
          <w:kern w:val="2"/>
          <w:sz w:val="16"/>
          <w:szCs w:val="16"/>
        </w:rPr>
      </w:pPr>
      <w:r w:rsidRPr="002F2FDF">
        <w:rPr>
          <w:color w:val="000000" w:themeColor="text1"/>
          <w:kern w:val="2"/>
          <w:sz w:val="16"/>
          <w:szCs w:val="16"/>
        </w:rPr>
        <w:t>12 (25) июля 1917 на фоне катастрофического состоянии армии, части которой либо поднимали мятежи в тылу, либо на фронте бежали при одном виде противника, Временное Правительство выпустило постановление о введении военно-революционных судов. В частности, в нем говорилось:</w:t>
      </w:r>
    </w:p>
    <w:p w14:paraId="3CB7EB49" w14:textId="77777777" w:rsidR="004A7149" w:rsidRPr="002F2FDF" w:rsidRDefault="004A7149" w:rsidP="0083075A">
      <w:pPr>
        <w:pStyle w:val="ae"/>
        <w:spacing w:before="0" w:after="0"/>
        <w:jc w:val="both"/>
        <w:rPr>
          <w:color w:val="000000" w:themeColor="text1"/>
          <w:kern w:val="2"/>
          <w:sz w:val="16"/>
          <w:szCs w:val="16"/>
        </w:rPr>
      </w:pPr>
      <w:r w:rsidRPr="002F2FDF">
        <w:rPr>
          <w:color w:val="000000" w:themeColor="text1"/>
          <w:kern w:val="2"/>
          <w:sz w:val="16"/>
          <w:szCs w:val="16"/>
        </w:rPr>
        <w:t>«Позорное поведение некоторых войсковых частей, как в тылу, так и на фронте, забывших свой долг перед родиной, поставив Россию и революцию на край гибели, вынуждает Временное Правительство принять чрезвычайные меры для восстановления в рядах армии порядка и дисциплины.</w:t>
      </w:r>
    </w:p>
    <w:p w14:paraId="76CA2C34" w14:textId="77777777" w:rsidR="004A7149" w:rsidRPr="002F2FDF" w:rsidRDefault="004A7149" w:rsidP="0083075A">
      <w:pPr>
        <w:pStyle w:val="ae"/>
        <w:spacing w:before="0" w:after="0"/>
        <w:jc w:val="both"/>
        <w:rPr>
          <w:color w:val="000000" w:themeColor="text1"/>
          <w:kern w:val="2"/>
          <w:sz w:val="16"/>
          <w:szCs w:val="16"/>
        </w:rPr>
      </w:pPr>
      <w:r w:rsidRPr="002F2FDF">
        <w:rPr>
          <w:color w:val="000000" w:themeColor="text1"/>
          <w:kern w:val="2"/>
          <w:sz w:val="16"/>
          <w:szCs w:val="16"/>
        </w:rPr>
        <w:t>В полном сознании тяжести лежащей на нём ответственности за судьбы родины, Временное Правительство признает необходимым:</w:t>
      </w:r>
    </w:p>
    <w:p w14:paraId="450EBB2E" w14:textId="77777777" w:rsidR="004A7149" w:rsidRPr="002F2FDF" w:rsidRDefault="004A7149" w:rsidP="0083075A">
      <w:pPr>
        <w:pStyle w:val="ae"/>
        <w:spacing w:before="0" w:after="0"/>
        <w:jc w:val="both"/>
        <w:rPr>
          <w:color w:val="000000" w:themeColor="text1"/>
          <w:kern w:val="2"/>
          <w:sz w:val="16"/>
          <w:szCs w:val="16"/>
        </w:rPr>
      </w:pPr>
      <w:r w:rsidRPr="002F2FDF">
        <w:rPr>
          <w:color w:val="000000" w:themeColor="text1"/>
          <w:kern w:val="2"/>
          <w:sz w:val="16"/>
          <w:szCs w:val="16"/>
        </w:rPr>
        <w:t>1) восстановить смертную казнь на время войны для военнослужащих за некоторые тягчайшие преступления;</w:t>
      </w:r>
    </w:p>
    <w:p w14:paraId="612FA9F4" w14:textId="77777777" w:rsidR="004A7149" w:rsidRPr="002F2FDF" w:rsidRDefault="004A7149" w:rsidP="0083075A">
      <w:pPr>
        <w:pStyle w:val="ae"/>
        <w:spacing w:before="0" w:after="0"/>
        <w:jc w:val="both"/>
        <w:rPr>
          <w:color w:val="000000" w:themeColor="text1"/>
          <w:kern w:val="2"/>
          <w:sz w:val="16"/>
          <w:szCs w:val="16"/>
        </w:rPr>
      </w:pPr>
      <w:r w:rsidRPr="002F2FDF">
        <w:rPr>
          <w:color w:val="000000" w:themeColor="text1"/>
          <w:kern w:val="2"/>
          <w:sz w:val="16"/>
          <w:szCs w:val="16"/>
        </w:rPr>
        <w:t>2) учредить для немедленного суждения за те же преступления военно-революционные суды из солдат и офицеров.</w:t>
      </w:r>
    </w:p>
    <w:p w14:paraId="7C97D219" w14:textId="77777777" w:rsidR="004A7149" w:rsidRPr="002F2FDF" w:rsidRDefault="004A7149" w:rsidP="0083075A">
      <w:pPr>
        <w:pStyle w:val="ae"/>
        <w:spacing w:before="0" w:after="0"/>
        <w:jc w:val="both"/>
        <w:rPr>
          <w:color w:val="000000" w:themeColor="text1"/>
          <w:kern w:val="2"/>
          <w:sz w:val="16"/>
          <w:szCs w:val="16"/>
        </w:rPr>
      </w:pPr>
      <w:r w:rsidRPr="002F2FDF">
        <w:rPr>
          <w:color w:val="000000" w:themeColor="text1"/>
          <w:kern w:val="2"/>
          <w:sz w:val="16"/>
          <w:szCs w:val="16"/>
        </w:rPr>
        <w:t>В соответствии с сим, Временное Правительство постановляет:</w:t>
      </w:r>
    </w:p>
    <w:p w14:paraId="67640ED4" w14:textId="77777777" w:rsidR="004A7149" w:rsidRPr="002F2FDF" w:rsidRDefault="004A7149" w:rsidP="0083075A">
      <w:pPr>
        <w:pStyle w:val="ae"/>
        <w:spacing w:before="0" w:after="0"/>
        <w:jc w:val="both"/>
        <w:rPr>
          <w:color w:val="000000" w:themeColor="text1"/>
          <w:kern w:val="2"/>
          <w:sz w:val="16"/>
          <w:szCs w:val="16"/>
        </w:rPr>
      </w:pPr>
      <w:r w:rsidRPr="002F2FDF">
        <w:rPr>
          <w:color w:val="000000" w:themeColor="text1"/>
          <w:kern w:val="2"/>
          <w:sz w:val="16"/>
          <w:szCs w:val="16"/>
        </w:rPr>
        <w:t>I. Установить в отношении военнослужащих на театре военных действий смертную казнь через расстреляние, как высшее наказание за нижеследующие преступления: военную и государственную измену &lt;…&gt;, побег к неприятелю, бегство с поля сражения, самовольное оставление своего места во время боя и уклонение от участия в бою &lt;…&gt;, подстрекательство или возбуждение к сдаче, бегству или уклонению от сопротивления противнику &lt;…&gt;, сдачу в плен без сопротивления &lt; …&gt;, отлучку в виду неприятеля &lt;…&gt;, насильственные действия против начальников из офицеров и из солдат &lt;…&gt;, сопротивление исполнению боевых приказаний и распоряжений начальника, явное восстание и подстрекательство к ним &lt;…&gt;, нападение на часового или военный караул, вооруженное им сопротивление и умышленное убийство часового» (17045).</w:t>
      </w:r>
    </w:p>
    <w:p w14:paraId="0499BDB3" w14:textId="77777777" w:rsidR="004A7149" w:rsidRPr="002F2FDF" w:rsidRDefault="004A7149"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6D9B1B" w14:textId="06FE70AB" w:rsidR="00F94494" w:rsidRPr="00FB4F67" w:rsidRDefault="00F9449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12 (</w:t>
      </w:r>
      <w:r w:rsidRPr="00FB4F67">
        <w:rPr>
          <w:rFonts w:ascii="Times New Roman" w:hAnsi="Times New Roman" w:cs="Times New Roman"/>
          <w:color w:val="0070C0"/>
          <w:sz w:val="16"/>
          <w:szCs w:val="16"/>
        </w:rPr>
        <w:t>25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июля 1917 г. от имени Временного правительства военный и морской министр А.Ф. Керенский отдал приказ в целях сохранения боеспособности [действующей] армии для обеспечения возможности нанесения удара в ближайшее время приостановить временно наступление на всех фронтах и использовать все средства «для спаяния армий железной дисциплиной». Воспользовавшись создавшейся обстановкой, утром того же дня австро-германские войска начали наступление в Фокшанском и Окненском районах, в зоне ответственности 4-й русской и 2-й румынской армий Румынского фронта. О возможных планах противника наши летчики заблаговременно докладывали командованию, обнаружив большую концентрацию вражеских батарей вдоль железной дороги Фокшаны - Аджуд и на оживление его тыла. Однако достигнуть решительного успеха противнику не удалось. Встретив упорное сопротивление со стороны русских и румынских корпусов, к 30 июля он был вынуждены перейти к обороне на всей линии фронта (23405).</w:t>
      </w:r>
    </w:p>
    <w:p w14:paraId="12E41242" w14:textId="77777777" w:rsidR="00F94494" w:rsidRPr="00FB4F67" w:rsidRDefault="00F94494" w:rsidP="0083075A">
      <w:pPr>
        <w:spacing w:after="0" w:line="240" w:lineRule="auto"/>
        <w:jc w:val="both"/>
        <w:rPr>
          <w:rFonts w:ascii="Times New Roman" w:hAnsi="Times New Roman" w:cs="Times New Roman"/>
          <w:color w:val="0070C0"/>
          <w:sz w:val="16"/>
          <w:szCs w:val="16"/>
        </w:rPr>
      </w:pPr>
    </w:p>
    <w:p w14:paraId="04529EBB" w14:textId="53E092D4" w:rsidR="00F94494" w:rsidRPr="00FB4F67" w:rsidRDefault="00F94494" w:rsidP="0083075A">
      <w:pPr>
        <w:spacing w:after="0" w:line="240" w:lineRule="auto"/>
        <w:jc w:val="both"/>
        <w:rPr>
          <w:rFonts w:ascii="Times New Roman" w:hAnsi="Times New Roman" w:cs="Times New Roman"/>
          <w:color w:val="0070C0"/>
          <w:sz w:val="16"/>
          <w:szCs w:val="16"/>
        </w:rPr>
      </w:pPr>
      <w:bookmarkStart w:id="204" w:name="bookmark853"/>
      <w:r>
        <w:rPr>
          <w:rFonts w:ascii="Times New Roman" w:hAnsi="Times New Roman" w:cs="Times New Roman"/>
          <w:color w:val="0070C0"/>
          <w:sz w:val="16"/>
          <w:szCs w:val="16"/>
        </w:rPr>
        <w:t>12 (</w:t>
      </w:r>
      <w:r w:rsidRPr="00FB4F67">
        <w:rPr>
          <w:rFonts w:ascii="Times New Roman" w:hAnsi="Times New Roman" w:cs="Times New Roman"/>
          <w:color w:val="0070C0"/>
          <w:sz w:val="16"/>
          <w:szCs w:val="16"/>
        </w:rPr>
        <w:t>25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июля 1917 г. в районе с. Богданешти нашими передовыми частями захвачен совершивший вынужденную посадку неприятельский «Бранденбург» (44-я австрийская авиационная рота). При посадке экипаж попытался скрыться, но был пленен (23405).</w:t>
      </w:r>
      <w:bookmarkEnd w:id="204"/>
    </w:p>
    <w:p w14:paraId="70A024A7" w14:textId="77777777" w:rsidR="00F94494" w:rsidRPr="00FB4F67" w:rsidRDefault="00F94494" w:rsidP="0083075A">
      <w:pPr>
        <w:spacing w:after="0" w:line="240" w:lineRule="auto"/>
        <w:jc w:val="both"/>
        <w:rPr>
          <w:rFonts w:ascii="Times New Roman" w:hAnsi="Times New Roman" w:cs="Times New Roman"/>
          <w:color w:val="0070C0"/>
          <w:sz w:val="16"/>
          <w:szCs w:val="16"/>
        </w:rPr>
      </w:pPr>
      <w:bookmarkStart w:id="205" w:name="bookmark854"/>
      <w:bookmarkStart w:id="206" w:name="bookmark855"/>
      <w:bookmarkStart w:id="207" w:name="bookmark856"/>
    </w:p>
    <w:bookmarkEnd w:id="205"/>
    <w:bookmarkEnd w:id="206"/>
    <w:bookmarkEnd w:id="207"/>
    <w:p w14:paraId="190F37F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7E30A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26D3C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июля 1917 в Екатеринославе началась I конференция Донецко-Криворожской областной организации РСДРП(б) (4962).</w:t>
      </w:r>
    </w:p>
    <w:p w14:paraId="5898582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7BCE73" w14:textId="77777777" w:rsidR="00135C75" w:rsidRPr="002F2FDF" w:rsidRDefault="00135C75"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июля 1917 Финский сейм провозгласил независимость Финляндии и направил Временному правительству соответствующую ноту (12629).</w:t>
      </w:r>
    </w:p>
    <w:p w14:paraId="13AC07A4" w14:textId="77777777" w:rsidR="00135C75" w:rsidRPr="002F2FDF" w:rsidRDefault="00135C7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ADEDB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084E5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5371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июля 1917 у устья Темзы атакой с гидросамолета уничтожена вторая германская подводная лодка UC-1 (11999).</w:t>
      </w:r>
    </w:p>
    <w:p w14:paraId="1D36E0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56DD5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июля 1917 в Париже приговорена к смерти за шпионаж голландская танцовщица Мата Хари (4962).</w:t>
      </w:r>
    </w:p>
    <w:p w14:paraId="6877045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D7C885" w14:textId="77777777" w:rsidR="002C7D24" w:rsidRPr="002F2FDF" w:rsidRDefault="002C7D24" w:rsidP="0083075A">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r w:rsidRPr="002F2FDF">
        <w:rPr>
          <w:rFonts w:ascii="Times New Roman" w:eastAsia="Times-Roman" w:hAnsi="Times New Roman" w:cs="Times New Roman"/>
          <w:color w:val="000000" w:themeColor="text1"/>
          <w:sz w:val="16"/>
          <w:szCs w:val="16"/>
        </w:rPr>
        <w:lastRenderedPageBreak/>
        <w:t xml:space="preserve">12 (25) </w:t>
      </w:r>
      <w:r w:rsidRPr="002F2FDF">
        <w:rPr>
          <w:rFonts w:ascii="Times New Roman" w:eastAsia="TimesNewRoman" w:hAnsi="Times New Roman" w:cs="Times New Roman"/>
          <w:color w:val="000000" w:themeColor="text1"/>
          <w:sz w:val="16"/>
          <w:szCs w:val="16"/>
        </w:rPr>
        <w:t xml:space="preserve">июля </w:t>
      </w:r>
      <w:r w:rsidRPr="002F2FDF">
        <w:rPr>
          <w:rFonts w:ascii="Times New Roman" w:eastAsia="Times-Roman" w:hAnsi="Times New Roman" w:cs="Times New Roman"/>
          <w:color w:val="000000" w:themeColor="text1"/>
          <w:sz w:val="16"/>
          <w:szCs w:val="16"/>
        </w:rPr>
        <w:t xml:space="preserve">1917 </w:t>
      </w:r>
      <w:r w:rsidRPr="002F2FDF">
        <w:rPr>
          <w:rFonts w:ascii="Times New Roman" w:eastAsia="TimesNewRoman" w:hAnsi="Times New Roman" w:cs="Times New Roman"/>
          <w:color w:val="000000" w:themeColor="text1"/>
          <w:sz w:val="16"/>
          <w:szCs w:val="16"/>
        </w:rPr>
        <w:t xml:space="preserve">года в течение </w:t>
      </w:r>
      <w:r w:rsidRPr="002F2FDF">
        <w:rPr>
          <w:rFonts w:ascii="Times New Roman" w:eastAsia="Times-Roman" w:hAnsi="Times New Roman" w:cs="Times New Roman"/>
          <w:color w:val="000000" w:themeColor="text1"/>
          <w:sz w:val="16"/>
          <w:szCs w:val="16"/>
        </w:rPr>
        <w:t xml:space="preserve">4 </w:t>
      </w:r>
      <w:r w:rsidRPr="002F2FDF">
        <w:rPr>
          <w:rFonts w:ascii="Times New Roman" w:eastAsia="TimesNewRoman" w:hAnsi="Times New Roman" w:cs="Times New Roman"/>
          <w:color w:val="000000" w:themeColor="text1"/>
          <w:sz w:val="16"/>
          <w:szCs w:val="16"/>
        </w:rPr>
        <w:t>часов по позициям англо</w:t>
      </w:r>
      <w:r w:rsidRPr="002F2FDF">
        <w:rPr>
          <w:rFonts w:ascii="Times New Roman" w:eastAsia="Times-Roman" w:hAnsi="Times New Roman" w:cs="Times New Roman"/>
          <w:color w:val="000000" w:themeColor="text1"/>
          <w:sz w:val="16"/>
          <w:szCs w:val="16"/>
        </w:rPr>
        <w:t>-</w:t>
      </w:r>
      <w:r w:rsidRPr="002F2FDF">
        <w:rPr>
          <w:rFonts w:ascii="Times New Roman" w:eastAsia="TimesNewRoman" w:hAnsi="Times New Roman" w:cs="Times New Roman"/>
          <w:color w:val="000000" w:themeColor="text1"/>
          <w:sz w:val="16"/>
          <w:szCs w:val="16"/>
        </w:rPr>
        <w:t xml:space="preserve">французских войск было выпущено </w:t>
      </w:r>
      <w:r w:rsidRPr="002F2FDF">
        <w:rPr>
          <w:rFonts w:ascii="Times New Roman" w:eastAsia="Times-Roman" w:hAnsi="Times New Roman" w:cs="Times New Roman"/>
          <w:color w:val="000000" w:themeColor="text1"/>
          <w:sz w:val="16"/>
          <w:szCs w:val="16"/>
        </w:rPr>
        <w:t xml:space="preserve">50 </w:t>
      </w:r>
      <w:r w:rsidRPr="002F2FDF">
        <w:rPr>
          <w:rFonts w:ascii="Times New Roman" w:eastAsia="TimesNewRoman" w:hAnsi="Times New Roman" w:cs="Times New Roman"/>
          <w:color w:val="000000" w:themeColor="text1"/>
          <w:sz w:val="16"/>
          <w:szCs w:val="16"/>
        </w:rPr>
        <w:t>тысяч мин</w:t>
      </w:r>
      <w:r w:rsidRPr="002F2FDF">
        <w:rPr>
          <w:rFonts w:ascii="Times New Roman" w:eastAsia="Times-Roman" w:hAnsi="Times New Roman" w:cs="Times New Roman"/>
          <w:color w:val="000000" w:themeColor="text1"/>
          <w:sz w:val="16"/>
          <w:szCs w:val="16"/>
        </w:rPr>
        <w:t xml:space="preserve">, </w:t>
      </w:r>
      <w:r w:rsidRPr="002F2FDF">
        <w:rPr>
          <w:rFonts w:ascii="Times New Roman" w:eastAsia="TimesNewRoman" w:hAnsi="Times New Roman" w:cs="Times New Roman"/>
          <w:color w:val="000000" w:themeColor="text1"/>
          <w:sz w:val="16"/>
          <w:szCs w:val="16"/>
        </w:rPr>
        <w:t>начинённых ипритом</w:t>
      </w:r>
      <w:r w:rsidRPr="002F2FDF">
        <w:rPr>
          <w:rFonts w:ascii="Times New Roman" w:eastAsia="Times-Roman" w:hAnsi="Times New Roman" w:cs="Times New Roman"/>
          <w:color w:val="000000" w:themeColor="text1"/>
          <w:sz w:val="16"/>
          <w:szCs w:val="16"/>
        </w:rPr>
        <w:t xml:space="preserve">. </w:t>
      </w:r>
      <w:r w:rsidRPr="002F2FDF">
        <w:rPr>
          <w:rFonts w:ascii="Times New Roman" w:eastAsia="TimesNewRoman" w:hAnsi="Times New Roman" w:cs="Times New Roman"/>
          <w:color w:val="000000" w:themeColor="text1"/>
          <w:sz w:val="16"/>
          <w:szCs w:val="16"/>
        </w:rPr>
        <w:t xml:space="preserve">Пострадало </w:t>
      </w:r>
      <w:r w:rsidRPr="002F2FDF">
        <w:rPr>
          <w:rFonts w:ascii="Times New Roman" w:eastAsia="Times-Roman" w:hAnsi="Times New Roman" w:cs="Times New Roman"/>
          <w:color w:val="000000" w:themeColor="text1"/>
          <w:sz w:val="16"/>
          <w:szCs w:val="16"/>
        </w:rPr>
        <w:t xml:space="preserve">2490 </w:t>
      </w:r>
      <w:r w:rsidRPr="002F2FDF">
        <w:rPr>
          <w:rFonts w:ascii="Times New Roman" w:eastAsia="TimesNewRoman" w:hAnsi="Times New Roman" w:cs="Times New Roman"/>
          <w:color w:val="000000" w:themeColor="text1"/>
          <w:sz w:val="16"/>
          <w:szCs w:val="16"/>
        </w:rPr>
        <w:t>человек</w:t>
      </w:r>
      <w:r w:rsidRPr="002F2FDF">
        <w:rPr>
          <w:rFonts w:ascii="Times New Roman" w:eastAsia="Times-Roman" w:hAnsi="Times New Roman" w:cs="Times New Roman"/>
          <w:color w:val="000000" w:themeColor="text1"/>
          <w:sz w:val="16"/>
          <w:szCs w:val="16"/>
        </w:rPr>
        <w:t xml:space="preserve">. </w:t>
      </w:r>
      <w:r w:rsidRPr="002F2FDF">
        <w:rPr>
          <w:rFonts w:ascii="Times New Roman" w:eastAsia="TimesNewRoman" w:hAnsi="Times New Roman" w:cs="Times New Roman"/>
          <w:color w:val="000000" w:themeColor="text1"/>
          <w:sz w:val="16"/>
          <w:szCs w:val="16"/>
        </w:rPr>
        <w:t xml:space="preserve">Из них скончалось только </w:t>
      </w:r>
      <w:r w:rsidRPr="002F2FDF">
        <w:rPr>
          <w:rFonts w:ascii="Times New Roman" w:eastAsia="Times-Roman" w:hAnsi="Times New Roman" w:cs="Times New Roman"/>
          <w:color w:val="000000" w:themeColor="text1"/>
          <w:sz w:val="16"/>
          <w:szCs w:val="16"/>
        </w:rPr>
        <w:t xml:space="preserve">87 - </w:t>
      </w:r>
      <w:r w:rsidRPr="002F2FDF">
        <w:rPr>
          <w:rFonts w:ascii="Times New Roman" w:eastAsia="TimesNewRoman" w:hAnsi="Times New Roman" w:cs="Times New Roman"/>
          <w:color w:val="000000" w:themeColor="text1"/>
          <w:sz w:val="16"/>
          <w:szCs w:val="16"/>
        </w:rPr>
        <w:t>при полном отсутствии защиты от отравляющего вещества кожно</w:t>
      </w:r>
      <w:r w:rsidRPr="002F2FDF">
        <w:rPr>
          <w:rFonts w:ascii="Times New Roman" w:eastAsia="Times-Roman" w:hAnsi="Times New Roman" w:cs="Times New Roman"/>
          <w:color w:val="000000" w:themeColor="text1"/>
          <w:sz w:val="16"/>
          <w:szCs w:val="16"/>
        </w:rPr>
        <w:t>-</w:t>
      </w:r>
      <w:r w:rsidRPr="002F2FDF">
        <w:rPr>
          <w:rFonts w:ascii="Times New Roman" w:eastAsia="TimesNewRoman" w:hAnsi="Times New Roman" w:cs="Times New Roman"/>
          <w:color w:val="000000" w:themeColor="text1"/>
          <w:sz w:val="16"/>
          <w:szCs w:val="16"/>
        </w:rPr>
        <w:t>нарывного действия (20240)</w:t>
      </w:r>
      <w:r w:rsidRPr="002F2FDF">
        <w:rPr>
          <w:rFonts w:ascii="Times New Roman" w:eastAsia="Times-Roman" w:hAnsi="Times New Roman" w:cs="Times New Roman"/>
          <w:color w:val="000000" w:themeColor="text1"/>
          <w:sz w:val="16"/>
          <w:szCs w:val="16"/>
        </w:rPr>
        <w:t>.</w:t>
      </w:r>
    </w:p>
    <w:p w14:paraId="4D344406" w14:textId="77777777" w:rsidR="002C7D24" w:rsidRPr="002F2FDF" w:rsidRDefault="002C7D24" w:rsidP="0083075A">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p>
    <w:p w14:paraId="38ED4E80" w14:textId="77777777" w:rsidR="00A5772A" w:rsidRPr="002F2FDF" w:rsidRDefault="00A5772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июля в 1917 году арестованной еще в феврале по подозрению в шпионаже в пользу кайзеровской Германии голландской танцовщице Мата Хари французский военный трибунал выносит смертный приговор, который будет приведен в исполнение через неполных три месяца (14963).</w:t>
      </w:r>
    </w:p>
    <w:p w14:paraId="02E94B63" w14:textId="77777777" w:rsidR="00A5772A" w:rsidRPr="002F2FDF" w:rsidRDefault="00A5772A" w:rsidP="0083075A">
      <w:pPr>
        <w:spacing w:after="0" w:line="240" w:lineRule="auto"/>
        <w:jc w:val="both"/>
        <w:rPr>
          <w:rFonts w:ascii="Times New Roman" w:hAnsi="Times New Roman" w:cs="Times New Roman"/>
          <w:color w:val="000000" w:themeColor="text1"/>
          <w:kern w:val="2"/>
          <w:sz w:val="16"/>
          <w:szCs w:val="16"/>
        </w:rPr>
      </w:pPr>
    </w:p>
    <w:p w14:paraId="4AFDC1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июля 1917 в Дублине прошла встреча руководителей ирландских партий с целью подписания Ирландского соглашения - изложение принципов создания собственного правительства. Шин Фейн и Ольстерские юнионисты участия не приняли (3907,91).</w:t>
      </w:r>
    </w:p>
    <w:p w14:paraId="040833DA" w14:textId="47F873C2"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AB27CF" w14:textId="697B0D73" w:rsidR="00E879F2" w:rsidRDefault="00E879F2"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Авиапромышленность:</w:t>
      </w:r>
    </w:p>
    <w:p w14:paraId="601FC07F" w14:textId="77777777" w:rsidR="00E879F2" w:rsidRDefault="00E879F2"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D289FE1" w14:textId="34776F22" w:rsidR="00E879F2" w:rsidRPr="00FB4F67" w:rsidRDefault="00DE1F2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13 (</w:t>
      </w:r>
      <w:r w:rsidR="00E879F2" w:rsidRPr="00FB4F67">
        <w:rPr>
          <w:rFonts w:ascii="Times New Roman" w:hAnsi="Times New Roman" w:cs="Times New Roman"/>
          <w:color w:val="0070C0"/>
          <w:sz w:val="16"/>
          <w:szCs w:val="16"/>
        </w:rPr>
        <w:t>26</w:t>
      </w:r>
      <w:r>
        <w:rPr>
          <w:rFonts w:ascii="Times New Roman" w:hAnsi="Times New Roman" w:cs="Times New Roman"/>
          <w:color w:val="0070C0"/>
          <w:sz w:val="16"/>
          <w:szCs w:val="16"/>
        </w:rPr>
        <w:t>)</w:t>
      </w:r>
      <w:r w:rsidR="00E879F2" w:rsidRPr="00FB4F67">
        <w:rPr>
          <w:rFonts w:ascii="Times New Roman" w:hAnsi="Times New Roman" w:cs="Times New Roman"/>
          <w:color w:val="0070C0"/>
          <w:sz w:val="16"/>
          <w:szCs w:val="16"/>
        </w:rPr>
        <w:t xml:space="preserve"> июля 1917 года завод Матиас в дополнение к заказу на 100 Farman 30 от 1 июня 1917 года –получил заказ на 200 Spad 12, но сколько было построено на самом деле неизвестно. Фабрика И. Матиаса, основанная в 1884 году, производила мебель в Бердянске на Азовском море. В 1916 году он был переоборудован для постройки самолетов, когда поступил заказ от Военного министерства на учебно-тренировочные самолеты «Фарман ХХХ». Шесть из них были выпущены в 1917 году.</w:t>
      </w:r>
    </w:p>
    <w:p w14:paraId="5A8A491D" w14:textId="77777777" w:rsidR="00E879F2" w:rsidRPr="00FB4F67" w:rsidRDefault="00E879F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Фабрика была разрушена во время Гражданской войны (23525).</w:t>
      </w:r>
    </w:p>
    <w:p w14:paraId="0623B73A" w14:textId="77777777" w:rsidR="00E879F2" w:rsidRPr="00FB4F67" w:rsidRDefault="00E879F2" w:rsidP="0083075A">
      <w:pPr>
        <w:spacing w:after="0" w:line="240" w:lineRule="auto"/>
        <w:jc w:val="both"/>
        <w:rPr>
          <w:rFonts w:ascii="Times New Roman" w:hAnsi="Times New Roman" w:cs="Times New Roman"/>
          <w:color w:val="0070C0"/>
          <w:sz w:val="16"/>
          <w:szCs w:val="16"/>
        </w:rPr>
      </w:pPr>
    </w:p>
    <w:p w14:paraId="49B9DF01" w14:textId="3E230265" w:rsidR="00C312C3" w:rsidRPr="002F2FDF" w:rsidRDefault="00C312C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AACF4AA" w14:textId="77777777" w:rsidR="00C312C3" w:rsidRPr="002F2FDF" w:rsidRDefault="00C312C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330CA7" w14:textId="77777777" w:rsidR="00C312C3" w:rsidRPr="002F2FDF" w:rsidRDefault="00C312C3" w:rsidP="0083075A">
      <w:pPr>
        <w:pStyle w:val="p1"/>
        <w:spacing w:before="0" w:beforeAutospacing="0" w:after="0" w:afterAutospacing="0"/>
        <w:jc w:val="both"/>
        <w:rPr>
          <w:color w:val="000000" w:themeColor="text1"/>
          <w:sz w:val="16"/>
          <w:szCs w:val="16"/>
        </w:rPr>
      </w:pPr>
      <w:r w:rsidRPr="002F2FDF">
        <w:rPr>
          <w:color w:val="000000" w:themeColor="text1"/>
          <w:sz w:val="16"/>
          <w:szCs w:val="16"/>
        </w:rPr>
        <w:t>13 (26) июля 1917 г. Г.Г. Кривошеий, ведавший в Военном министерстве постройкой автомобильных заводов, уверял Подготовительную комиссию Особого совещания по обороне, что станки для АМО, отправленные из Америки, уже в пути, движутся из Владивостока, и что поэтому можно «ставить вопрос и об использовании завода для постройки новых автомобилей», но комиссия высказалась за «срочный пересмотр договора», заключенного с Товариществом 27 февраля 1916 г. Вместо постройки новых автомобилей комиссия отводила заводу роль «крупной ремонтной мастерской», что в тех условиях больше соответствовало интересам фронта. В августе 1917 г. был заключен договор с военным ведомством «о чистке, сборке и регулировании получаемых из-за границы авто различных марок», выпускать же собственные автомобили завод не мог. 14 октября на заседании Особого совещания по обороне директор завода утверждал, что на заводе получено «уже машин 60%, [еще] 20% — прибыло во Владивосток, а остальные 20% машин и запасных частей готовы к отправке в Америке». В конечном счете, поглотив технические средства и специалистов «Русско-Балтийского завода», АМО в 1917 г. все же начал сборку грузовиков «Фиат» (18366).</w:t>
      </w:r>
    </w:p>
    <w:p w14:paraId="397935EA" w14:textId="77777777" w:rsidR="00C312C3" w:rsidRPr="002F2FDF" w:rsidRDefault="00C312C3" w:rsidP="0083075A">
      <w:pPr>
        <w:pStyle w:val="p1"/>
        <w:spacing w:before="0" w:beforeAutospacing="0" w:after="0" w:afterAutospacing="0"/>
        <w:jc w:val="both"/>
        <w:rPr>
          <w:color w:val="000000" w:themeColor="text1"/>
          <w:sz w:val="16"/>
          <w:szCs w:val="16"/>
        </w:rPr>
      </w:pPr>
    </w:p>
    <w:p w14:paraId="268B6DAE" w14:textId="77777777" w:rsidR="00DE1F21" w:rsidRPr="00FB4F67" w:rsidRDefault="00DE1F21" w:rsidP="0083075A">
      <w:pPr>
        <w:spacing w:after="0" w:line="240" w:lineRule="auto"/>
        <w:jc w:val="both"/>
        <w:rPr>
          <w:rFonts w:ascii="Times New Roman" w:hAnsi="Times New Roman" w:cs="Times New Roman"/>
          <w:color w:val="0070C0"/>
          <w:sz w:val="16"/>
          <w:szCs w:val="16"/>
        </w:rPr>
      </w:pPr>
      <w:bookmarkStart w:id="208" w:name="bookmark841"/>
      <w:r w:rsidRPr="00FB4F67">
        <w:rPr>
          <w:rFonts w:ascii="Times New Roman" w:hAnsi="Times New Roman" w:cs="Times New Roman"/>
          <w:color w:val="0070C0"/>
          <w:sz w:val="16"/>
          <w:szCs w:val="16"/>
        </w:rPr>
        <w:t>13 июля 1917 г. Г.Г. Кривошеин, ведавший в Во</w:t>
      </w:r>
      <w:r w:rsidRPr="00FB4F67">
        <w:rPr>
          <w:rFonts w:ascii="Times New Roman" w:hAnsi="Times New Roman" w:cs="Times New Roman"/>
          <w:color w:val="0070C0"/>
          <w:sz w:val="16"/>
          <w:szCs w:val="16"/>
        </w:rPr>
        <w:softHyphen/>
        <w:t>енном министерстве постройкой автомобильных заводов, уверял Подготовительную комиссию Осо</w:t>
      </w:r>
      <w:r w:rsidRPr="00FB4F67">
        <w:rPr>
          <w:rFonts w:ascii="Times New Roman" w:hAnsi="Times New Roman" w:cs="Times New Roman"/>
          <w:color w:val="0070C0"/>
          <w:sz w:val="16"/>
          <w:szCs w:val="16"/>
        </w:rPr>
        <w:softHyphen/>
        <w:t>бого совещания по обороне, что станки, отправленные из Америки, уже в пути, движутся из Владивостока, и что поэтому можно «ставить вопрос и об использовании завода АМО для постройки новых автомобилей», но комиссия высказа</w:t>
      </w:r>
      <w:r w:rsidRPr="00FB4F67">
        <w:rPr>
          <w:rFonts w:ascii="Times New Roman" w:hAnsi="Times New Roman" w:cs="Times New Roman"/>
          <w:color w:val="0070C0"/>
          <w:sz w:val="16"/>
          <w:szCs w:val="16"/>
        </w:rPr>
        <w:softHyphen/>
        <w:t>лась за «срочный пересмотр договора», заключенного с То</w:t>
      </w:r>
      <w:r w:rsidRPr="00FB4F67">
        <w:rPr>
          <w:rFonts w:ascii="Times New Roman" w:hAnsi="Times New Roman" w:cs="Times New Roman"/>
          <w:color w:val="0070C0"/>
          <w:sz w:val="16"/>
          <w:szCs w:val="16"/>
        </w:rPr>
        <w:softHyphen/>
        <w:t>вариществом 27 февраля 1916 г. Вместо постройки новых автомобилей комиссия отводила заводу роль «крупной ре</w:t>
      </w:r>
      <w:r w:rsidRPr="00FB4F67">
        <w:rPr>
          <w:rFonts w:ascii="Times New Roman" w:hAnsi="Times New Roman" w:cs="Times New Roman"/>
          <w:color w:val="0070C0"/>
          <w:sz w:val="16"/>
          <w:szCs w:val="16"/>
        </w:rPr>
        <w:softHyphen/>
        <w:t>монтной мастерской», что в тех условиях больше соответ</w:t>
      </w:r>
      <w:r w:rsidRPr="00FB4F67">
        <w:rPr>
          <w:rFonts w:ascii="Times New Roman" w:hAnsi="Times New Roman" w:cs="Times New Roman"/>
          <w:color w:val="0070C0"/>
          <w:sz w:val="16"/>
          <w:szCs w:val="16"/>
        </w:rPr>
        <w:softHyphen/>
        <w:t>ствовало интересам фронта. В августе 1917 г. был заключен договор с военным ведомством «о чистке, сборке и регули</w:t>
      </w:r>
      <w:r w:rsidRPr="00FB4F67">
        <w:rPr>
          <w:rFonts w:ascii="Times New Roman" w:hAnsi="Times New Roman" w:cs="Times New Roman"/>
          <w:color w:val="0070C0"/>
          <w:sz w:val="16"/>
          <w:szCs w:val="16"/>
        </w:rPr>
        <w:softHyphen/>
        <w:t>ровании получаемых из-за границы авто различных марок», выпускать же собственные автомобили завод не мог. 14 ок</w:t>
      </w:r>
      <w:r w:rsidRPr="00FB4F67">
        <w:rPr>
          <w:rFonts w:ascii="Times New Roman" w:hAnsi="Times New Roman" w:cs="Times New Roman"/>
          <w:color w:val="0070C0"/>
          <w:sz w:val="16"/>
          <w:szCs w:val="16"/>
        </w:rPr>
        <w:softHyphen/>
        <w:t>тября на заседании Особого совещания по обороне дирек</w:t>
      </w:r>
      <w:r w:rsidRPr="00FB4F67">
        <w:rPr>
          <w:rFonts w:ascii="Times New Roman" w:hAnsi="Times New Roman" w:cs="Times New Roman"/>
          <w:color w:val="0070C0"/>
          <w:sz w:val="16"/>
          <w:szCs w:val="16"/>
        </w:rPr>
        <w:softHyphen/>
        <w:t>тор завода утверждал, что на заводе получено «уже машин 60%, [еще] 20% — прибыло во Владивосток, а остальные 20% машин и запасных частей готовы к отправке в Амери</w:t>
      </w:r>
      <w:r w:rsidRPr="00FB4F67">
        <w:rPr>
          <w:rFonts w:ascii="Times New Roman" w:hAnsi="Times New Roman" w:cs="Times New Roman"/>
          <w:color w:val="0070C0"/>
          <w:sz w:val="16"/>
          <w:szCs w:val="16"/>
        </w:rPr>
        <w:softHyphen/>
        <w:t>ке». В конечном счете, поглотив технические средства и специалистов «Русско-Балтийского завода», АМО в 1917 г. все же начал сборку грузовиков «фиат» (23452).</w:t>
      </w:r>
    </w:p>
    <w:p w14:paraId="4DFB75A4" w14:textId="77777777" w:rsidR="00DE1F21" w:rsidRPr="00FB4F67" w:rsidRDefault="00DE1F21" w:rsidP="0083075A">
      <w:pPr>
        <w:spacing w:after="0" w:line="240" w:lineRule="auto"/>
        <w:jc w:val="both"/>
        <w:rPr>
          <w:rFonts w:ascii="Times New Roman" w:hAnsi="Times New Roman" w:cs="Times New Roman"/>
          <w:color w:val="0070C0"/>
          <w:sz w:val="16"/>
          <w:szCs w:val="16"/>
        </w:rPr>
      </w:pPr>
    </w:p>
    <w:bookmarkEnd w:id="208"/>
    <w:p w14:paraId="7A16244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E7AA2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BB68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июля 1917 года после ремонта на Сандвикском заводе в Гельсингфорсе “Орлица”, вышла на пробу машин стратегическим фарватером, но в районе банки Нюгрунд наскочила на камень. Поперечные переборки не сдерживали напор воды, которая распространилась по всем трюмам. Подачи балластной помпы (20 г/ч) оказалось недостаточно для откачки воды. Ремонтные работы в доке заняли две недели, пришлось заменить листы наружной обшивки на протяжении 18 м (11333).</w:t>
      </w:r>
    </w:p>
    <w:p w14:paraId="0D9FDA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83DB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июля 1917 года LZ-120 вылетел в полночь. Корабль был настолько перетяжелен, что едва смог преодолеть возвышенность в окрестностях Кенигсберга. Команда была разделена по вахтам, а отстоявшие ее обязаны были ложиться в гамаки и спать. Был установлен такой же порядок, как на морских судах; единственное отличие состояло в том, что вахт было 3, а не 4. Мотористов также привлекли к вахтенной службе, так как из шести моторов большей частью работали только три. Была поставлена задача определить, сколько времени сможет выдержать такую службу нормальная команда, состоящая из двух смен. Первые два дня вахта продолжалась восемь часов с восьмичасовым отдыхом. Следующие два дня были четырехчасовые вахты, а затем — шестичасовые. Оказалось, что все методы могут достаточно легко применяться на практике. Пища состояла из обычного военного пайка, выданного на руки на все время полета. Суп и кофе были в термосах, но на дирижабле все же имелись две кухонные плиты, работавшие на выхлопных газах двигателей. В командном помещении стояла электрическая плитка, на которой варили яйца и кофе. Для экипажа на борту корабля был устроен душ, состоявший из резинового таза и ведра над головой. В отличие от морской практики, для командира воздушного корабля были также установлены регулярные вахты. Но, как говорил Леман, на летящем дирижабле ситуация меняется очень быстро, поэтому всегда требовалось вмешательство командира, хотя бы на одну-две минуты, даже когда он отдыхал. В результате, в конце полета Леман был утомлен больше, чем все остальные. Крейсирование над морем проходило в самых разных погодных условиях — и в солнце, и в дождь, и в грозу, и в туман. Сила ветра колебалась [186] от 25 до 40 миль в час. Два раза вибрация в одном из моторов была настолько велика, что срезало болты на фланцах вала воздушного винта. Мотористам приходилось далеко вылезать на подмоторные рамы, чтобы закрепить новые болты. В полдень 28 июля с дирижабля заметили подводную лодку, стоявшую на дне в мелкой воде. Однако попытка ее атаковать не удалась — налетел дождевой шквал и подлодка ушла. На другой день, заметив плывущие бревна, командир объявил боевую тревогу и сбросил на них четыре бомбы, одна из которых попала в цель. На корме находилось очень удобное место для принятия солнечных ванн — платформа для пулеметчиков. Она была хорошо защищена от ветра, и там было удивительно тихо, только вдалеке слышался почти неразличимый рокот моторов. На верхней платформе дирижабля было очень ветрено. Спали в гамаках, подвешенных в коридоре, причем командирское место находилось у лестницы, ведущей к гондоле управления, чтобы в случае необходимости он мог быстро оказаться на своем посту. Связь с базой поддерживалась по радио, оттуда передавались и сводки о погоде. Ежедневно на основании этих сводок четыре раза составлялись метеорологические карты. Полет продолжался 101 час, и 31 июля в 4.40 утра дирижабль прибыл в Зеераппен, имея на борту горючего еще на 36 часов. Только штормовая погода и неблагоприятный прогноз на ближайшие дни заставили командира вернуться на базу. Однако поставленная задача была выполнена блестяще. Корабль преодолел за это время 6105 км. Всего в семнадцати полетах цеппелин прошел 35 399 км. После февральской революции активность немецких дирижаблей на русском фронте резко упала, и в дальнейшем попыток бомбить Петроград больше не предпринималось. Да и нужда в этом практически отпала — русский фронт повсеместно стал разваливаться. Подводя итоги деятельности немецких дирижаблей на Восточном фронте, можно сделать однозначный вывод, что их боевая работа по известным причинам была гораздо интенсивнее, чем на Западе. Это подтверждает и статистика сброшенных бомб за период войны, которую мы приведем далее (11324).</w:t>
      </w:r>
    </w:p>
    <w:p w14:paraId="0587EA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3E208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июля 1917 русский катер, несмотря на массированный обстрел, прошел Босфор и сбросил там антигерманские листовки для турок (4962).</w:t>
      </w:r>
    </w:p>
    <w:p w14:paraId="4C71C35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5EB4B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347DC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EF464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июля 1917 глава Временного правительства Александр Керенский торжественно поклялся подавлять самым жестоким образом любые попытки восстановления монархии в России (4962).</w:t>
      </w:r>
    </w:p>
    <w:p w14:paraId="74689B9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24C7D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A1460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C6C1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июля 1917 во время патрулирования L-42 попал под сильный обстрел английских кораблей, и только подъем на высоту 5000 м спас его от неминуемой гибели (11324).</w:t>
      </w:r>
    </w:p>
    <w:p w14:paraId="1600E6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84C4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July 26, 1917 The Army Navy Airship Board endorsed a proposal by the Bureau of Mines for the experimental production of helium and recommended the allotment of $100,000 to construct a small plant for the purpose. This action, subsequently approved by both Departments, initiated helium production in the United States (1090).</w:t>
      </w:r>
    </w:p>
    <w:p w14:paraId="6F7714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4660E4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июля 1917 Советы по воздухоплаванию армии и флота США обратился к Бюро шахт с предложением организации производства гелия и рекомендовал выделить 100 тыс. долл. для строительства небольшого завода с этой целью. Этот шаг, поддержанный обоими департаментами, стал началом производства гелия в США (1090).</w:t>
      </w:r>
    </w:p>
    <w:p w14:paraId="0E2415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68F8E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B21F3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786B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14 июля— 17 августа </w:t>
      </w:r>
      <w:r w:rsidR="00880559" w:rsidRPr="002F2FDF">
        <w:rPr>
          <w:rFonts w:ascii="Times New Roman" w:hAnsi="Times New Roman" w:cs="Times New Roman"/>
          <w:color w:val="000000" w:themeColor="text1"/>
          <w:kern w:val="2"/>
          <w:sz w:val="16"/>
          <w:szCs w:val="16"/>
        </w:rPr>
        <w:t xml:space="preserve">(27 июля – 30 авуста) </w:t>
      </w:r>
      <w:r w:rsidRPr="002F2FDF">
        <w:rPr>
          <w:rFonts w:ascii="Times New Roman" w:hAnsi="Times New Roman" w:cs="Times New Roman"/>
          <w:color w:val="000000" w:themeColor="text1"/>
          <w:kern w:val="2"/>
          <w:sz w:val="16"/>
          <w:szCs w:val="16"/>
        </w:rPr>
        <w:t>1917 г. на Санкт-Петербургском Металлическом заводе построены два первых русских железнодорожных артиллерийских транспортера с использованием 254 мм орудийных станков, изготовленных в середине 90-х годов 19 века для броненосца “Ростислав” (11454).</w:t>
      </w:r>
    </w:p>
    <w:p w14:paraId="76C721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5207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14 </w:t>
      </w:r>
      <w:r w:rsidR="008648EA" w:rsidRPr="002F2FDF">
        <w:rPr>
          <w:rFonts w:ascii="Times New Roman" w:hAnsi="Times New Roman" w:cs="Times New Roman"/>
          <w:color w:val="000000" w:themeColor="text1"/>
          <w:kern w:val="2"/>
          <w:sz w:val="16"/>
          <w:szCs w:val="16"/>
        </w:rPr>
        <w:t xml:space="preserve">(27) </w:t>
      </w:r>
      <w:r w:rsidRPr="002F2FDF">
        <w:rPr>
          <w:rFonts w:ascii="Times New Roman" w:hAnsi="Times New Roman" w:cs="Times New Roman"/>
          <w:color w:val="000000" w:themeColor="text1"/>
          <w:kern w:val="2"/>
          <w:sz w:val="16"/>
          <w:szCs w:val="16"/>
        </w:rPr>
        <w:t xml:space="preserve">июля 1917 был готов первый российский артиллерийский </w:t>
      </w:r>
      <w:r w:rsidR="008648EA" w:rsidRPr="002F2FDF">
        <w:rPr>
          <w:rFonts w:ascii="Times New Roman" w:hAnsi="Times New Roman" w:cs="Times New Roman"/>
          <w:color w:val="000000" w:themeColor="text1"/>
          <w:kern w:val="2"/>
          <w:sz w:val="16"/>
          <w:szCs w:val="16"/>
        </w:rPr>
        <w:t>ж</w:t>
      </w:r>
      <w:r w:rsidRPr="002F2FDF">
        <w:rPr>
          <w:rFonts w:ascii="Times New Roman" w:hAnsi="Times New Roman" w:cs="Times New Roman"/>
          <w:color w:val="000000" w:themeColor="text1"/>
          <w:kern w:val="2"/>
          <w:sz w:val="16"/>
          <w:szCs w:val="16"/>
        </w:rPr>
        <w:t>елезнодорожный транспортер, второй - к 16 августа, испытания стрельбой были проведены на морском полигоне в июле 1917 года, и в августе соответственно. В заводских условиях для передвижения транспортера использовался паровозтанк типа 0-3-0 серии Н, построенный заводом Кулье (Бельгия) для Николаевской железной дороги. Для разгрузки рессор транспортера и более равномерной нагрузки на железнодорожный путь при стрельбе к рельсам домкратами прижимались два упора, а для уменьшения отката на рельсы устанавливались захваты. Заряжание орудия и его наведение осуществлялись только вручную, т.к. никаких электрифицированных приспособлений на транспортере не предусматривалось. Заряжание производилось при приведении орудия в положение “вдоль пути”, что уменьшало скорострельность. В боекомплект пушек входили снаряды весом 225,2 кг длиной 3,1-4,0 клб, унифицированные с боеприпасами 10"/45 береговой пушки: стальной бронебойныйснаряд“старогообразца”, снаряженный 2 кг ВВ (ружейный бездымный порох); взрыватель - донная трубка обр. 1896 г., позднее - 10ДТ; бронебойный снаряд орб. 1907 г., снаря-женный 3,89 кг тротила, взрыватель - 11ДМ; чугунный фугасный снаряд, снаряженный 9,6 кг ВВ (смесь ружейного и крупно-зернистого пороха); взрыватель - головная трубка обр. 1894 г.; стальной фугасный снаряд “старого образца”, снаряженный 8,7 кг ВВ (пироксилин), взрыватель - 11ДМ, обр. 1913 г.; стальной фугасный снаряд обр. 1907 г., снаряженный 28,3 кг ВВ (тротил), взрыватель - 11ДМ, 11ДТ или обр. 1913 г.; сегментный снаряд (212 сегментов, принят на вооружение в 1898 году), снаряженный 1,1 кг ВВ (дымный ружейный порох), взры-ватель - 16-секундная трубка обр. 1888 г. Могли использоваться снаряды Мор-ского ведомства для корабельных 10"/45 пушек: стальной (палубобойный), броне-бойный с наконечником. Снаряд оснащались с головным взрывателем 1ГМ, взрывателями 10ДТ и 11ДТ. Для боевых стрельб использовались только стальные снаряды. Снаряды обыкновенного чугуна (в 1904 году сняты с производства) использовали только для практических стрельб и только неполным зарядом, т.к. они при стрельбе боевыми зарядами часто раскалывались при вылете из дула. В августе 1917 года были сформированы Первая и Вторая отдельные Морские Тяжелые батареи. В составе каждой батареи были транспортер с орудием, локомотив, вагон-передок (вагон-погреб, вагон прикрытия, стоявший между транспортером и локомотивом), шесть товарных вагонов для боекомплекта, служебный вагон и вагон прикрытия. Батарее были приписаны грузовой и легковой автомобили, два мотоцикла (самоката) для обеспечения связи и разведки. При смене позиционного района батарее дополнительно предоставлялся вагон I или II класса для офицеров, два вагона для личного состава, четыре платформы для транспортировки техники и имущества, крытый вагон или платформа для походной кухни. Штатное имущество батареи, при достаточно высокой степени автономности, позволяло обеспечивать боеготовность и работу техники в любых климатических условиях России, боевую работу и нормальные бытовые условия личного состава (11871).</w:t>
      </w:r>
    </w:p>
    <w:p w14:paraId="75ED45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90D14A"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июля 1917 г. Из журнала заседания Нефтяной секции Особого совещания по топливу о необходимости сооружения второго нефтепровода Грозный—Петровск для разгрузки грозненских промыслов от нефтепродуктов</w:t>
      </w:r>
      <w:hyperlink r:id="rId428" w:history="1">
        <w:r w:rsidRPr="002F2FDF">
          <w:rPr>
            <w:rFonts w:ascii="Times New Roman" w:hAnsi="Times New Roman" w:cs="Times New Roman"/>
            <w:color w:val="000000" w:themeColor="text1"/>
            <w:kern w:val="2"/>
            <w:sz w:val="16"/>
            <w:szCs w:val="16"/>
          </w:rPr>
          <w:t>Скрыть Реквизиты</w:t>
        </w:r>
      </w:hyperlink>
    </w:p>
    <w:p w14:paraId="10B9D2EF"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55-56</w:t>
      </w:r>
    </w:p>
    <w:p w14:paraId="43DDE680"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92, оп. 1, д. 1855, лл. 429—431. Копия.</w:t>
      </w:r>
    </w:p>
    <w:p w14:paraId="32E0A7E0"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Председатель доложил, что сооружение второго нефтепровода Грозный— Петровск было признано желательным в заседаниях ее 25 ноября пр. г. и 7 февраля с. г.</w:t>
      </w:r>
      <w:hyperlink r:id="rId429" w:anchor="_ftn2" w:history="1">
        <w:r w:rsidRPr="002F2FDF">
          <w:rPr>
            <w:rFonts w:ascii="Times New Roman" w:hAnsi="Times New Roman" w:cs="Times New Roman"/>
            <w:color w:val="000000" w:themeColor="text1"/>
            <w:kern w:val="2"/>
            <w:sz w:val="16"/>
            <w:szCs w:val="16"/>
          </w:rPr>
          <w:t>[2]</w:t>
        </w:r>
      </w:hyperlink>
      <w:r w:rsidRPr="002F2FDF">
        <w:rPr>
          <w:rFonts w:ascii="Times New Roman" w:hAnsi="Times New Roman" w:cs="Times New Roman"/>
          <w:color w:val="000000" w:themeColor="text1"/>
          <w:kern w:val="2"/>
          <w:sz w:val="16"/>
          <w:szCs w:val="16"/>
        </w:rPr>
        <w:t>, тогда в секции отмечались затруднения циркуляции нефтяных грузов, недостаточность имеющихся транспортных средств, перегруженность пропускной способности нефтепровода Грозный—Петровск и заполнение нефтяных складов в Грозном непрерывно возраставшей добычей. Выяснилось, однако, что на пути к осуществлению этого чрезвычайной важности мероприятия встречаются большие затруднения главным образом из-за недостатка металла, коего на сооружение только самого нефтепровода требуется до 500 тыс. пуд. и 250 тыс. пуд. на сооружение хранилищ для сохранения перекачиваемого продукта. Командированному в Грозный ннж. В. К. Борисевичу в числе других поручений было предложено ознакомиться с положением сего дела на месте.</w:t>
      </w:r>
    </w:p>
    <w:p w14:paraId="6F94FB03"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настоящее время вопрос о сооружении нефтепровода принял более острую форму: помощник кавказского уполномоченного инж. Турьян доносит, что «Грозный затопляется нефтью, которую некуда поместить за отсутствием свободных хранилищ и недостатком транспортных средств, вследствие этого грозненские нефтепромышленники, преимущественно нового района, прекратили эксплуатацию более 30 скважин, в том числе заглушили до семи действующих фонтанов с суточным дебетом более -300 тыс. пуд. нефти, из которой более 1/3 беспарафинистой», к сему инж. Турьян добавляет, что указанное «ненормальное положение грозит вызвать волнение среди рабочих, что может повлечь приостановку действия промыслов»</w:t>
      </w:r>
      <w:hyperlink r:id="rId430" w:anchor="_ftn3" w:history="1">
        <w:r w:rsidRPr="002F2FDF">
          <w:rPr>
            <w:rFonts w:ascii="Times New Roman" w:hAnsi="Times New Roman" w:cs="Times New Roman"/>
            <w:color w:val="000000" w:themeColor="text1"/>
            <w:kern w:val="2"/>
            <w:sz w:val="16"/>
            <w:szCs w:val="16"/>
          </w:rPr>
          <w:t>[3]</w:t>
        </w:r>
      </w:hyperlink>
      <w:r w:rsidRPr="002F2FDF">
        <w:rPr>
          <w:rFonts w:ascii="Times New Roman" w:hAnsi="Times New Roman" w:cs="Times New Roman"/>
          <w:color w:val="000000" w:themeColor="text1"/>
          <w:kern w:val="2"/>
          <w:sz w:val="16"/>
          <w:szCs w:val="16"/>
        </w:rPr>
        <w:t>.</w:t>
      </w:r>
    </w:p>
    <w:p w14:paraId="416E9C99"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Ссылаясь затем на постановления местных общественных организаций просить о выдаче срочного разрешения Никополь-Мариупольскому заводу на изготовление, сверх общих норм прокатки, 400 тыс. пуд. труб, по 50 тыс. пуд. ежемесячно, каковые были заказаны сему заводу Об-вом Терско-Каспийского нефтепровода, выполняющему работу по сооружению второго нефтепровода, инж. Турьян замечает, что в случае такового разрешения сооружение указанного нефтепровода может быть окончено к весне будущего года.</w:t>
      </w:r>
    </w:p>
    <w:p w14:paraId="4B7A72D2"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последовавшем обмене мнений инж. И. А. Дробный от имени Нефтяной секции Совета съездов представителей промышленности и торговли доложил, что Нефтяная секция, сознавая всю важность скорейшего сооружения второго грозненского нефтепровода, тем не менее пришла к заключению, что сооружение это, сопряженное с отвлечением на это дело значительного количества железа, может затруднить тяжелое положение нефтяной промышленности и вызвать дальнейшее сокращение бурения.</w:t>
      </w:r>
    </w:p>
    <w:p w14:paraId="3393C8F1"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Далее инж. Дробный пояснил, что в программу ежемесячных требований на металл каждый раз включается потребность металла для сооружения второго грозненского нефтепровода. Однако большинство требований остаются вовсе не удовлетворенными. К тому же недоставка металла дошла до того, что Бакинскому Совету съездов приходится сокращать новое бурение.</w:t>
      </w:r>
    </w:p>
    <w:p w14:paraId="4790998C"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Некоторые члены секции, отмечая, что хотя необходимость сооружения сего нефтепровода и не вызывает никаких сомнений и что разрешение вопроса зависит [от того], насколько было бы целесообразным для данного момента отвлечь для сей цели 750 тыс. пуд. железа от других насущных нужд нефтяной промышленности, высказались за желательность дальнейшего обсуждения сего вопроса в одном из ближайших заседаний секции, по ознакомлению с докладом инж. В. К. Борисевича о результатах его командирования в Грозный</w:t>
      </w:r>
      <w:hyperlink r:id="rId431" w:anchor="_ftn4" w:history="1">
        <w:r w:rsidRPr="002F2FDF">
          <w:rPr>
            <w:rFonts w:ascii="Times New Roman" w:hAnsi="Times New Roman" w:cs="Times New Roman"/>
            <w:color w:val="000000" w:themeColor="text1"/>
            <w:kern w:val="2"/>
            <w:sz w:val="16"/>
            <w:szCs w:val="16"/>
          </w:rPr>
          <w:t>[4]</w:t>
        </w:r>
      </w:hyperlink>
      <w:r w:rsidRPr="002F2FDF">
        <w:rPr>
          <w:rFonts w:ascii="Times New Roman" w:hAnsi="Times New Roman" w:cs="Times New Roman"/>
          <w:color w:val="000000" w:themeColor="text1"/>
          <w:kern w:val="2"/>
          <w:sz w:val="16"/>
          <w:szCs w:val="16"/>
        </w:rPr>
        <w:t>.</w:t>
      </w:r>
    </w:p>
    <w:p w14:paraId="115F5B17"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Постановлено: обсуждение сего вопроса отложить на одно из ближайших заседаний секции, по ознакомлении с докладом инж. В. К. Борисевича.</w:t>
      </w:r>
    </w:p>
    <w:p w14:paraId="123642EC" w14:textId="77777777" w:rsidR="008648EA"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32" w:anchor="_ftnref1" w:history="1">
        <w:r w:rsidR="008648EA" w:rsidRPr="002F2FDF">
          <w:rPr>
            <w:rFonts w:ascii="Times New Roman" w:hAnsi="Times New Roman" w:cs="Times New Roman"/>
            <w:color w:val="000000" w:themeColor="text1"/>
            <w:kern w:val="2"/>
            <w:sz w:val="16"/>
            <w:szCs w:val="16"/>
          </w:rPr>
          <w:t>[1]</w:t>
        </w:r>
      </w:hyperlink>
      <w:r w:rsidR="008648EA" w:rsidRPr="002F2FDF">
        <w:rPr>
          <w:rFonts w:ascii="Times New Roman" w:hAnsi="Times New Roman" w:cs="Times New Roman"/>
          <w:color w:val="000000" w:themeColor="text1"/>
          <w:kern w:val="2"/>
          <w:sz w:val="16"/>
          <w:szCs w:val="16"/>
        </w:rPr>
        <w:t xml:space="preserve"> См. док 1937 вышел приказ НКОП № 369.</w:t>
      </w:r>
    </w:p>
    <w:p w14:paraId="46B208BD" w14:textId="77777777" w:rsidR="008648EA"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33" w:anchor="_ftnref2" w:history="1">
        <w:r w:rsidR="008648EA" w:rsidRPr="002F2FDF">
          <w:rPr>
            <w:rFonts w:ascii="Times New Roman" w:hAnsi="Times New Roman" w:cs="Times New Roman"/>
            <w:color w:val="000000" w:themeColor="text1"/>
            <w:kern w:val="2"/>
            <w:sz w:val="16"/>
            <w:szCs w:val="16"/>
          </w:rPr>
          <w:t>[2]</w:t>
        </w:r>
      </w:hyperlink>
      <w:r w:rsidR="008648EA" w:rsidRPr="002F2FDF">
        <w:rPr>
          <w:rFonts w:ascii="Times New Roman" w:hAnsi="Times New Roman" w:cs="Times New Roman"/>
          <w:color w:val="000000" w:themeColor="text1"/>
          <w:kern w:val="2"/>
          <w:sz w:val="16"/>
          <w:szCs w:val="16"/>
        </w:rPr>
        <w:t xml:space="preserve"> Вопрос о постройке второго нефтепровода от Грозного до Петровска возбуждался в годы войны неоднократно. В конце 1916 г. нефтепромышленник С. Г. Лиа-нозов направил в Особое совещание по обороне ходатайство об отпуске ему необходимого металла для постройки второго нефтепровода, однако председатель Особого совещания по обороне это ходатайство отклонил (ЦГВИА, ф. 369, оп. 15, д. 14, л. 7).</w:t>
      </w:r>
    </w:p>
    <w:p w14:paraId="37060C8F" w14:textId="77777777" w:rsidR="008648EA"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34" w:anchor="_ftnref3" w:history="1">
        <w:r w:rsidR="008648EA" w:rsidRPr="002F2FDF">
          <w:rPr>
            <w:rFonts w:ascii="Times New Roman" w:hAnsi="Times New Roman" w:cs="Times New Roman"/>
            <w:color w:val="000000" w:themeColor="text1"/>
            <w:kern w:val="2"/>
            <w:sz w:val="16"/>
            <w:szCs w:val="16"/>
          </w:rPr>
          <w:t>[3]</w:t>
        </w:r>
      </w:hyperlink>
      <w:r w:rsidR="008648EA" w:rsidRPr="002F2FDF">
        <w:rPr>
          <w:rFonts w:ascii="Times New Roman" w:hAnsi="Times New Roman" w:cs="Times New Roman"/>
          <w:color w:val="000000" w:themeColor="text1"/>
          <w:kern w:val="2"/>
          <w:sz w:val="16"/>
          <w:szCs w:val="16"/>
        </w:rPr>
        <w:t xml:space="preserve"> См. док 1937 вышел приказ НКОП № 361.</w:t>
      </w:r>
    </w:p>
    <w:p w14:paraId="7E1C91E0" w14:textId="77777777" w:rsidR="008648EA"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35" w:anchor="_ftnref4" w:history="1">
        <w:r w:rsidR="008648EA" w:rsidRPr="002F2FDF">
          <w:rPr>
            <w:rFonts w:ascii="Times New Roman" w:hAnsi="Times New Roman" w:cs="Times New Roman"/>
            <w:color w:val="000000" w:themeColor="text1"/>
            <w:kern w:val="2"/>
            <w:sz w:val="16"/>
            <w:szCs w:val="16"/>
          </w:rPr>
          <w:t>[4]</w:t>
        </w:r>
      </w:hyperlink>
      <w:r w:rsidR="008648EA" w:rsidRPr="002F2FDF">
        <w:rPr>
          <w:rFonts w:ascii="Times New Roman" w:hAnsi="Times New Roman" w:cs="Times New Roman"/>
          <w:color w:val="000000" w:themeColor="text1"/>
          <w:kern w:val="2"/>
          <w:sz w:val="16"/>
          <w:szCs w:val="16"/>
        </w:rPr>
        <w:t xml:space="preserve"> В деле не имеется (15704).</w:t>
      </w:r>
    </w:p>
    <w:p w14:paraId="29154CF7"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p>
    <w:p w14:paraId="31366CA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FF43D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F9A5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июля 1917 Казаков и его помощник Шангин обнаружили движение с запа</w:t>
      </w:r>
      <w:r w:rsidRPr="002F2FDF">
        <w:rPr>
          <w:rFonts w:ascii="Times New Roman" w:hAnsi="Times New Roman" w:cs="Times New Roman"/>
          <w:color w:val="000000" w:themeColor="text1"/>
          <w:kern w:val="2"/>
          <w:sz w:val="16"/>
          <w:szCs w:val="16"/>
        </w:rPr>
        <w:softHyphen/>
        <w:t>да на Городенку больших колонн на</w:t>
      </w:r>
      <w:r w:rsidRPr="002F2FDF">
        <w:rPr>
          <w:rFonts w:ascii="Times New Roman" w:hAnsi="Times New Roman" w:cs="Times New Roman"/>
          <w:color w:val="000000" w:themeColor="text1"/>
          <w:kern w:val="2"/>
          <w:sz w:val="16"/>
          <w:szCs w:val="16"/>
        </w:rPr>
        <w:softHyphen/>
        <w:t>ступающего противника. В том же вы</w:t>
      </w:r>
      <w:r w:rsidRPr="002F2FDF">
        <w:rPr>
          <w:rFonts w:ascii="Times New Roman" w:hAnsi="Times New Roman" w:cs="Times New Roman"/>
          <w:color w:val="000000" w:themeColor="text1"/>
          <w:kern w:val="2"/>
          <w:sz w:val="16"/>
          <w:szCs w:val="16"/>
        </w:rPr>
        <w:softHyphen/>
        <w:t>лете произошел воздушный бой: “...встреченный около 10 час в районе Тлусте-Място неприятельский само</w:t>
      </w:r>
      <w:r w:rsidRPr="002F2FDF">
        <w:rPr>
          <w:rFonts w:ascii="Times New Roman" w:hAnsi="Times New Roman" w:cs="Times New Roman"/>
          <w:color w:val="000000" w:themeColor="text1"/>
          <w:kern w:val="2"/>
          <w:sz w:val="16"/>
          <w:szCs w:val="16"/>
        </w:rPr>
        <w:softHyphen/>
        <w:t>лет был атакован мною и подъесаулом Шангиным и снижен до 200 м, пресле</w:t>
      </w:r>
      <w:r w:rsidRPr="002F2FDF">
        <w:rPr>
          <w:rFonts w:ascii="Times New Roman" w:hAnsi="Times New Roman" w:cs="Times New Roman"/>
          <w:color w:val="000000" w:themeColor="text1"/>
          <w:kern w:val="2"/>
          <w:sz w:val="16"/>
          <w:szCs w:val="16"/>
        </w:rPr>
        <w:softHyphen/>
        <w:t>довался до дер. Обертын, где, по-ви</w:t>
      </w:r>
      <w:r w:rsidRPr="002F2FDF">
        <w:rPr>
          <w:rFonts w:ascii="Times New Roman" w:hAnsi="Times New Roman" w:cs="Times New Roman"/>
          <w:color w:val="000000" w:themeColor="text1"/>
          <w:kern w:val="2"/>
          <w:sz w:val="16"/>
          <w:szCs w:val="16"/>
        </w:rPr>
        <w:softHyphen/>
        <w:t>димому и спустился”. Шангин в своем рапорте позже сообщал: “...после не</w:t>
      </w:r>
      <w:r w:rsidRPr="002F2FDF">
        <w:rPr>
          <w:rFonts w:ascii="Times New Roman" w:hAnsi="Times New Roman" w:cs="Times New Roman"/>
          <w:color w:val="000000" w:themeColor="text1"/>
          <w:kern w:val="2"/>
          <w:sz w:val="16"/>
          <w:szCs w:val="16"/>
        </w:rPr>
        <w:softHyphen/>
        <w:t>скольких атак самолет, преследуемый ротмистром Казаковым, спустился до 200 м около Обертон, где, по-видимо</w:t>
      </w:r>
      <w:r w:rsidRPr="002F2FDF">
        <w:rPr>
          <w:rFonts w:ascii="Times New Roman" w:hAnsi="Times New Roman" w:cs="Times New Roman"/>
          <w:color w:val="000000" w:themeColor="text1"/>
          <w:kern w:val="2"/>
          <w:sz w:val="16"/>
          <w:szCs w:val="16"/>
        </w:rPr>
        <w:softHyphen/>
        <w:t>му, и упал”. Имеется и другое сообще</w:t>
      </w:r>
      <w:r w:rsidRPr="002F2FDF">
        <w:rPr>
          <w:rFonts w:ascii="Times New Roman" w:hAnsi="Times New Roman" w:cs="Times New Roman"/>
          <w:color w:val="000000" w:themeColor="text1"/>
          <w:kern w:val="2"/>
          <w:sz w:val="16"/>
          <w:szCs w:val="16"/>
        </w:rPr>
        <w:softHyphen/>
        <w:t>ние об этом бое: “... в 10 час утра Казаков на Ньюпоре 17 совместно с подъесаулом Шангиным сбил немец</w:t>
      </w:r>
      <w:r w:rsidRPr="002F2FDF">
        <w:rPr>
          <w:rFonts w:ascii="Times New Roman" w:hAnsi="Times New Roman" w:cs="Times New Roman"/>
          <w:color w:val="000000" w:themeColor="text1"/>
          <w:kern w:val="2"/>
          <w:sz w:val="16"/>
          <w:szCs w:val="16"/>
        </w:rPr>
        <w:softHyphen/>
        <w:t>кий Альбатрос, упавший у деревни Обертын северо-западнее Коломыи”. В условиях хаотичного отступления никакой возможности получить под</w:t>
      </w:r>
      <w:r w:rsidRPr="002F2FDF">
        <w:rPr>
          <w:rFonts w:ascii="Times New Roman" w:hAnsi="Times New Roman" w:cs="Times New Roman"/>
          <w:color w:val="000000" w:themeColor="text1"/>
          <w:kern w:val="2"/>
          <w:sz w:val="16"/>
          <w:szCs w:val="16"/>
        </w:rPr>
        <w:softHyphen/>
        <w:t>тверждение о сбитом самолете от на</w:t>
      </w:r>
      <w:r w:rsidRPr="002F2FDF">
        <w:rPr>
          <w:rFonts w:ascii="Times New Roman" w:hAnsi="Times New Roman" w:cs="Times New Roman"/>
          <w:color w:val="000000" w:themeColor="text1"/>
          <w:kern w:val="2"/>
          <w:sz w:val="16"/>
          <w:szCs w:val="16"/>
        </w:rPr>
        <w:softHyphen/>
        <w:t>земных войск не было. Эту победу за</w:t>
      </w:r>
      <w:r w:rsidRPr="002F2FDF">
        <w:rPr>
          <w:rFonts w:ascii="Times New Roman" w:hAnsi="Times New Roman" w:cs="Times New Roman"/>
          <w:color w:val="000000" w:themeColor="text1"/>
          <w:kern w:val="2"/>
          <w:sz w:val="16"/>
          <w:szCs w:val="16"/>
        </w:rPr>
        <w:softHyphen/>
        <w:t>писал на свой боевой счет сам Казаков в ноябре 1917 г. Учитывая, что он никогда ни занимался приписками, следует признать ее достоверность. Тем более, что согласно австрийским данным в тот день был потерян “Бранденбург” C.I из авиароты Flik 20. Лет</w:t>
      </w:r>
      <w:r w:rsidRPr="002F2FDF">
        <w:rPr>
          <w:rFonts w:ascii="Times New Roman" w:hAnsi="Times New Roman" w:cs="Times New Roman"/>
          <w:color w:val="000000" w:themeColor="text1"/>
          <w:kern w:val="2"/>
          <w:sz w:val="16"/>
          <w:szCs w:val="16"/>
        </w:rPr>
        <w:softHyphen/>
        <w:t>чик-солдат Прасный и летнаб обер-лейтенант Ферштель не вернулись с боевого задания. Можно предполо</w:t>
      </w:r>
      <w:r w:rsidRPr="002F2FDF">
        <w:rPr>
          <w:rFonts w:ascii="Times New Roman" w:hAnsi="Times New Roman" w:cs="Times New Roman"/>
          <w:color w:val="000000" w:themeColor="text1"/>
          <w:kern w:val="2"/>
          <w:sz w:val="16"/>
          <w:szCs w:val="16"/>
        </w:rPr>
        <w:softHyphen/>
        <w:t>жить, что именно они и они стали оче</w:t>
      </w:r>
      <w:r w:rsidRPr="002F2FDF">
        <w:rPr>
          <w:rFonts w:ascii="Times New Roman" w:hAnsi="Times New Roman" w:cs="Times New Roman"/>
          <w:color w:val="000000" w:themeColor="text1"/>
          <w:kern w:val="2"/>
          <w:sz w:val="16"/>
          <w:szCs w:val="16"/>
        </w:rPr>
        <w:softHyphen/>
        <w:t>редной жертвой русского аса (3954).</w:t>
      </w:r>
    </w:p>
    <w:p w14:paraId="2F47C8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0E46F3" w14:textId="0F3A8CED" w:rsidR="007810A3" w:rsidRPr="00FB4F67" w:rsidRDefault="007810A3"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14 (</w:t>
      </w:r>
      <w:r w:rsidRPr="00FB4F67">
        <w:rPr>
          <w:rFonts w:ascii="Times New Roman" w:hAnsi="Times New Roman" w:cs="Times New Roman"/>
          <w:color w:val="0070C0"/>
          <w:sz w:val="16"/>
          <w:szCs w:val="16"/>
        </w:rPr>
        <w:t>27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июля 1917 г. в районе к юго-востоку от Барановичей наш самолет уничтожил неприятельский аэростат. В тот же день при боевом патрулировании в районе н/п Городенка ротмистром А.А. Козаковым и подъесаулом И.А. Шангиным в воздушном бою уничтожен двухместный австрийский летательный аппарат «Брандербург» (20-я авиарота) (23405). </w:t>
      </w:r>
    </w:p>
    <w:p w14:paraId="08C4BBB6" w14:textId="77777777" w:rsidR="007810A3" w:rsidRPr="00FB4F67" w:rsidRDefault="007810A3" w:rsidP="0083075A">
      <w:pPr>
        <w:spacing w:after="0" w:line="240" w:lineRule="auto"/>
        <w:jc w:val="both"/>
        <w:rPr>
          <w:rFonts w:ascii="Times New Roman" w:hAnsi="Times New Roman" w:cs="Times New Roman"/>
          <w:color w:val="0070C0"/>
          <w:sz w:val="16"/>
          <w:szCs w:val="16"/>
        </w:rPr>
      </w:pPr>
    </w:p>
    <w:p w14:paraId="7E61EA03" w14:textId="493D15F6" w:rsidR="007810A3" w:rsidRPr="00FB4F67" w:rsidRDefault="007810A3"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14 (</w:t>
      </w:r>
      <w:r w:rsidRPr="00FB4F67">
        <w:rPr>
          <w:rFonts w:ascii="Times New Roman" w:hAnsi="Times New Roman" w:cs="Times New Roman"/>
          <w:color w:val="0070C0"/>
          <w:sz w:val="16"/>
          <w:szCs w:val="16"/>
        </w:rPr>
        <w:t>27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июля 1917 г. бомбардировке с воздуха подверглось м. Торнье-Бью (о. Оланул). С </w:t>
      </w:r>
      <w:bookmarkStart w:id="209" w:name="bookmark877"/>
      <w:r w:rsidRPr="00FB4F67">
        <w:rPr>
          <w:rFonts w:ascii="Times New Roman" w:hAnsi="Times New Roman" w:cs="Times New Roman"/>
          <w:color w:val="0070C0"/>
          <w:sz w:val="16"/>
          <w:szCs w:val="16"/>
        </w:rPr>
        <w:t>борта цеппелина на военные объекты было сброшено 20 больших бомб. По ходу движения дирижабль попал в зону обстрела наших судов и береговых батарей.</w:t>
      </w:r>
      <w:bookmarkEnd w:id="209"/>
    </w:p>
    <w:p w14:paraId="0D5B7E70" w14:textId="77777777" w:rsidR="007810A3" w:rsidRPr="00FB4F67" w:rsidRDefault="007810A3" w:rsidP="0083075A">
      <w:pPr>
        <w:spacing w:after="0" w:line="240" w:lineRule="auto"/>
        <w:jc w:val="both"/>
        <w:rPr>
          <w:rFonts w:ascii="Times New Roman" w:hAnsi="Times New Roman" w:cs="Times New Roman"/>
          <w:color w:val="0070C0"/>
          <w:sz w:val="16"/>
          <w:szCs w:val="16"/>
        </w:rPr>
      </w:pPr>
      <w:bookmarkStart w:id="210" w:name="bookmark878"/>
      <w:bookmarkStart w:id="211" w:name="bookmark879"/>
      <w:r w:rsidRPr="00FB4F67">
        <w:rPr>
          <w:rFonts w:ascii="Times New Roman" w:hAnsi="Times New Roman" w:cs="Times New Roman"/>
          <w:color w:val="0070C0"/>
          <w:sz w:val="16"/>
          <w:szCs w:val="16"/>
        </w:rPr>
        <w:lastRenderedPageBreak/>
        <w:t>В тот же день группа германской морской авиации атаковала наши укрепленные позиции на о. Церель и г. Аренсбур</w:t>
      </w:r>
      <w:hyperlink w:anchor="bookmark1918" w:tooltip="Current Document">
        <w:r w:rsidRPr="00FB4F67">
          <w:rPr>
            <w:rStyle w:val="a5"/>
            <w:rFonts w:ascii="Times New Roman" w:hAnsi="Times New Roman" w:cs="Times New Roman"/>
            <w:color w:val="0070C0"/>
            <w:sz w:val="16"/>
            <w:szCs w:val="16"/>
          </w:rPr>
          <w:t>г</w:t>
        </w:r>
      </w:hyperlink>
      <w:r w:rsidRPr="00FB4F67">
        <w:rPr>
          <w:rFonts w:ascii="Times New Roman" w:hAnsi="Times New Roman" w:cs="Times New Roman"/>
          <w:color w:val="0070C0"/>
          <w:sz w:val="16"/>
          <w:szCs w:val="16"/>
        </w:rPr>
        <w:t>. «Обстрелянные огнем судов флота и батарей, аппараты скрылись, сбросив без результата до 20 бомб. Один отряд неприятельских аппаратов атаковал находившийся там наш эскадренный миноносец, сбросив в него безрезультатно 8 бомб» (23405).</w:t>
      </w:r>
      <w:bookmarkEnd w:id="210"/>
      <w:bookmarkEnd w:id="211"/>
    </w:p>
    <w:p w14:paraId="0A0E4038" w14:textId="77777777" w:rsidR="007810A3" w:rsidRPr="00FB4F67" w:rsidRDefault="007810A3" w:rsidP="0083075A">
      <w:pPr>
        <w:spacing w:after="0" w:line="240" w:lineRule="auto"/>
        <w:jc w:val="both"/>
        <w:rPr>
          <w:rFonts w:ascii="Times New Roman" w:hAnsi="Times New Roman" w:cs="Times New Roman"/>
          <w:color w:val="0070C0"/>
          <w:sz w:val="16"/>
          <w:szCs w:val="16"/>
        </w:rPr>
      </w:pPr>
    </w:p>
    <w:p w14:paraId="6FE6996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C98C5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3624F5"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14 (27) июля 1917 на SPAD XII, Жорж Гинемер сбивает немецкий самолет DFW, став первым французским асом, одержавшим 50 побед (20341).</w:t>
      </w:r>
    </w:p>
    <w:p w14:paraId="5A347304" w14:textId="77777777" w:rsidR="002C7D24" w:rsidRPr="002F2FDF" w:rsidRDefault="002C7D24" w:rsidP="0083075A">
      <w:pPr>
        <w:spacing w:after="0" w:line="240" w:lineRule="auto"/>
        <w:jc w:val="both"/>
        <w:rPr>
          <w:rFonts w:ascii="Times New Roman" w:hAnsi="Times New Roman" w:cs="Times New Roman"/>
          <w:color w:val="000000" w:themeColor="text1"/>
          <w:sz w:val="16"/>
          <w:szCs w:val="16"/>
        </w:rPr>
      </w:pPr>
    </w:p>
    <w:p w14:paraId="0BD46D17" w14:textId="77777777" w:rsidR="00C312C3" w:rsidRPr="002F2FDF" w:rsidRDefault="00C312C3"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14 (27) июля 1917 Эрих Людендорф заявил о необходимости прекращения выпуска дирижаблей для экономии запасов алюминия и резины. 9 августа Шеер в ответном письме указал, что самолёты пока ещё не могут заменить дирижабли в роли морских разведчиков, а потому даже при прекращении рейдов на Англию необходим флот из, по меньшей мере, 18 кораблей. Рейды тоже нужны, поскольку самолёты могут бомбить только юг Англии, а центр и север достижимы лишь для цеппелинов. Прекращение рейдов приведёт к росту промышленного производства в Англии, а персонал расформированных за ненадобностью частей ПВО пойдёт прямиком на фронт. Следовательно, флоту нужны 25 дирижаблей и выпуск по одному кораблю в месяц для восполнения потерь при продолжении налётов, и один в два месяца — без них. Так как стороны не смогли прийти к общему мнению, спор вынесли на суд кайзера (19156).</w:t>
      </w:r>
    </w:p>
    <w:p w14:paraId="6F69C56C" w14:textId="77777777" w:rsidR="00C312C3" w:rsidRPr="002F2FDF" w:rsidRDefault="00C312C3" w:rsidP="0083075A">
      <w:pPr>
        <w:pStyle w:val="ae"/>
        <w:shd w:val="clear" w:color="auto" w:fill="FFFFFF"/>
        <w:spacing w:before="0" w:after="0"/>
        <w:jc w:val="both"/>
        <w:textAlignment w:val="baseline"/>
        <w:rPr>
          <w:color w:val="000000" w:themeColor="text1"/>
          <w:sz w:val="16"/>
          <w:szCs w:val="16"/>
        </w:rPr>
      </w:pPr>
    </w:p>
    <w:p w14:paraId="47C7B7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ночь с 14 (27) на 15 (28) июля 1917 два германских самолета совершили налет на французскую столицу, которая пренебрегала затемнением. Результаты бомбардировки ясно ими видимых военных заводов в Сен-Дени и других важных военных сооружений были превосходными. Какие цели преследовали мы, совершая налеты на неприятельские столицы? Париж как большая крепость, как железнодорожный узел, как центр военного снабжения Франции и средоточие ее военной промышленности представлялсобой вполне допустимую цель для нападения с воздуха. Если мы атаковали его не так упорно, как следовало бы, то лишь из соображений гуманности, т.к. знали, что при налетах на столь большой город неизбежно должно было пострадать и мирное население. Поэтому главное командование оставило за собой право регламентации налетов на Париж. Запрет с налетов на французскую столицу снимался лишь в тех случаях, когда они предпринимались в качестве репрессий за нападения на беззащитные германские города. Но и в этих случаях мы заботились о том, чтобы бомбардировались лишь важные в военном отношении сооружения (11282).</w:t>
      </w:r>
    </w:p>
    <w:p w14:paraId="53DE09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24AF59" w14:textId="77777777" w:rsidR="004A7149" w:rsidRPr="002F2FDF" w:rsidRDefault="004A7149" w:rsidP="0083075A">
      <w:pPr>
        <w:pStyle w:val="ae"/>
        <w:spacing w:before="0" w:after="0"/>
        <w:jc w:val="both"/>
        <w:rPr>
          <w:color w:val="000000" w:themeColor="text1"/>
          <w:kern w:val="2"/>
          <w:sz w:val="16"/>
          <w:szCs w:val="16"/>
        </w:rPr>
      </w:pPr>
      <w:r w:rsidRPr="002F2FDF">
        <w:rPr>
          <w:color w:val="000000" w:themeColor="text1"/>
          <w:kern w:val="2"/>
          <w:sz w:val="16"/>
          <w:szCs w:val="16"/>
        </w:rPr>
        <w:t>14 (27) июля 1917 в районе города Ипр на западе Бельгии после пятидневной артподготовки британцы форсировали реку Изер, но обнаружили пустые германские позиции. Как оказалось, сразу после начала артобстрела во избежание потерь немцы отвели свои войска вглубь обороны. Британцам пришлось с огромным трудом перемещать свои пушки вслед за пехотой по изрытой своими же снарядами местности (15045).</w:t>
      </w:r>
    </w:p>
    <w:p w14:paraId="0267A9D9" w14:textId="77777777" w:rsidR="004A7149" w:rsidRPr="002F2FDF" w:rsidRDefault="004A714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EBAC5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54077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309DEE"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июля 1917 Из журнала № 178 заседания Особого совещания по обороне — обсуждение доклада Подготовительной комиссии по авиационным вопросам о поступлении авиационного имущества в армию с 1 января по 1 июня 1917 г.</w:t>
      </w:r>
    </w:p>
    <w:p w14:paraId="35277732"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186-187</w:t>
      </w:r>
    </w:p>
    <w:p w14:paraId="46149ACC"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369, оп. 1, д. 380, лл. 188—190. Подлинник.</w:t>
      </w:r>
    </w:p>
    <w:p w14:paraId="1F835196"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hyperlink r:id="rId436" w:anchor="_ftn1" w:history="1">
        <w:r w:rsidRPr="002F2FDF">
          <w:rPr>
            <w:rFonts w:ascii="Times New Roman" w:hAnsi="Times New Roman" w:cs="Times New Roman"/>
            <w:color w:val="000000" w:themeColor="text1"/>
            <w:kern w:val="2"/>
            <w:sz w:val="16"/>
            <w:szCs w:val="16"/>
          </w:rPr>
          <w:t>[1]</w:t>
        </w:r>
      </w:hyperlink>
      <w:r w:rsidRPr="002F2FDF">
        <w:rPr>
          <w:rFonts w:ascii="Times New Roman" w:hAnsi="Times New Roman" w:cs="Times New Roman"/>
          <w:color w:val="000000" w:themeColor="text1"/>
          <w:kern w:val="2"/>
          <w:sz w:val="16"/>
          <w:szCs w:val="16"/>
        </w:rPr>
        <w:t xml:space="preserve"> Далее Совещание заслушало осведомительный доклад Подготовительной комиссии по авиационным вопросам о поступлении военно-авиа-ддонного и воздухоплавательного имущества за время с 1 января по 1 июня 1917 г.</w:t>
      </w:r>
    </w:p>
    <w:p w14:paraId="0BDDBA4B"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11о поводу сего доклада В. П. Литвинов-Фалинский указывает, что снабжение армии аэропланами было всегда не на должной высоте, ныне же положение в этой отрасли снабжения катастрофическое. Особое совещание должно довести до сведения Временного правительства о необходимости принятия самых решительных мер борьбы с царящей дезорганизацией на аэропланных заводах, которых всего 5—6. Рабочие этих заводов оставлены на заводах, а не призваны в войска исключительно ввиду важности производящихся работ для обороны государства; между тем производительность их все понижается. Особенно угрожающим является положение заводов в Московском районе, местное же заводское совещание не принимает никаких мер борьбы с незакономерными требованиями рабочих, а наоборот, их поощряет.</w:t>
      </w:r>
    </w:p>
    <w:p w14:paraId="544077B5"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 Гурко, разделяя приведенное мнение В. П. Литвинова-Фалинского, отмечает, что только энергичные меры могут снасти нашу авиацию и не следует останавливаться даже перед увольнением рабочих и заменою их солдатами инженерных частей.</w:t>
      </w:r>
    </w:p>
    <w:p w14:paraId="483D37E4"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Председательствующий П. И. Пальчинский, разделяя высказанные предположения, полагает, что принятие исключительных мер, клонящихся к поднятию производительности заводов и к поддержанию в них порядка, следует применить не только в отношении аэропланных заводов, но и других, имеющих особо важное значение для обороны, как например заводов взрывчатых веществ. Ввиду сего следует образовать комиссию, которая установила бы категории заводов, являющиеся особо важными для обороны, а засим разработала бы мероприятия, обеспечивающие нормальный ход работ па этих заводах... </w:t>
      </w:r>
      <w:hyperlink r:id="rId437" w:anchor="_ftn2" w:history="1">
        <w:r w:rsidRPr="002F2FDF">
          <w:rPr>
            <w:rFonts w:ascii="Times New Roman" w:hAnsi="Times New Roman" w:cs="Times New Roman"/>
            <w:color w:val="000000" w:themeColor="text1"/>
            <w:kern w:val="2"/>
            <w:sz w:val="16"/>
            <w:szCs w:val="16"/>
          </w:rPr>
          <w:t>[2]</w:t>
        </w:r>
      </w:hyperlink>
    </w:p>
    <w:p w14:paraId="6F95F733" w14:textId="77777777" w:rsidR="008648EA"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38" w:anchor="_ftnref1" w:history="1">
        <w:r w:rsidR="008648EA" w:rsidRPr="002F2FDF">
          <w:rPr>
            <w:rFonts w:ascii="Times New Roman" w:hAnsi="Times New Roman" w:cs="Times New Roman"/>
            <w:color w:val="000000" w:themeColor="text1"/>
            <w:kern w:val="2"/>
            <w:sz w:val="16"/>
            <w:szCs w:val="16"/>
          </w:rPr>
          <w:t>[1]</w:t>
        </w:r>
      </w:hyperlink>
      <w:r w:rsidR="008648EA" w:rsidRPr="002F2FDF">
        <w:rPr>
          <w:rFonts w:ascii="Times New Roman" w:hAnsi="Times New Roman" w:cs="Times New Roman"/>
          <w:color w:val="000000" w:themeColor="text1"/>
          <w:kern w:val="2"/>
          <w:sz w:val="16"/>
          <w:szCs w:val="16"/>
        </w:rPr>
        <w:t xml:space="preserve"> Опущено начало док. с обсуждением других вопросов повестки дня.</w:t>
      </w:r>
    </w:p>
    <w:p w14:paraId="67394368" w14:textId="77777777" w:rsidR="008648EA"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39" w:anchor="_ftnref2" w:history="1">
        <w:r w:rsidR="008648EA" w:rsidRPr="002F2FDF">
          <w:rPr>
            <w:rFonts w:ascii="Times New Roman" w:hAnsi="Times New Roman" w:cs="Times New Roman"/>
            <w:color w:val="000000" w:themeColor="text1"/>
            <w:kern w:val="2"/>
            <w:sz w:val="16"/>
            <w:szCs w:val="16"/>
          </w:rPr>
          <w:t>[2]</w:t>
        </w:r>
      </w:hyperlink>
      <w:r w:rsidR="008648EA" w:rsidRPr="002F2FDF">
        <w:rPr>
          <w:rFonts w:ascii="Times New Roman" w:hAnsi="Times New Roman" w:cs="Times New Roman"/>
          <w:color w:val="000000" w:themeColor="text1"/>
          <w:kern w:val="2"/>
          <w:sz w:val="16"/>
          <w:szCs w:val="16"/>
        </w:rPr>
        <w:t xml:space="preserve"> Опущен конец док. с изложением следующего, не относящегося к данной теме, опроса повестки дня (15516).</w:t>
      </w:r>
    </w:p>
    <w:p w14:paraId="1ADBCB91"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p>
    <w:p w14:paraId="7D1D4AE5" w14:textId="77777777" w:rsidR="00C312C3" w:rsidRPr="002F2FDF" w:rsidRDefault="00C312C3" w:rsidP="0083075A">
      <w:pPr>
        <w:spacing w:after="0" w:line="240" w:lineRule="auto"/>
        <w:jc w:val="both"/>
        <w:rPr>
          <w:rFonts w:ascii="Times New Roman" w:hAnsi="Times New Roman" w:cs="Times New Roman"/>
          <w:bCs/>
          <w:color w:val="000000" w:themeColor="text1"/>
          <w:sz w:val="16"/>
          <w:szCs w:val="16"/>
        </w:rPr>
      </w:pPr>
      <w:r w:rsidRPr="002F2FDF">
        <w:rPr>
          <w:rFonts w:ascii="Times New Roman" w:hAnsi="Times New Roman" w:cs="Times New Roman"/>
          <w:bCs/>
          <w:color w:val="000000" w:themeColor="text1"/>
          <w:sz w:val="16"/>
          <w:szCs w:val="16"/>
        </w:rPr>
        <w:t>15 (28) июля 1917</w:t>
      </w:r>
    </w:p>
    <w:p w14:paraId="67CF2F7F" w14:textId="77777777" w:rsidR="00C312C3" w:rsidRPr="002F2FDF" w:rsidRDefault="00C312C3" w:rsidP="0083075A">
      <w:pPr>
        <w:spacing w:after="0" w:line="240" w:lineRule="auto"/>
        <w:jc w:val="both"/>
        <w:rPr>
          <w:rFonts w:ascii="Times New Roman" w:hAnsi="Times New Roman" w:cs="Times New Roman"/>
          <w:bCs/>
          <w:color w:val="000000" w:themeColor="text1"/>
          <w:sz w:val="16"/>
          <w:szCs w:val="16"/>
        </w:rPr>
      </w:pPr>
      <w:r w:rsidRPr="002F2FDF">
        <w:rPr>
          <w:rFonts w:ascii="Times New Roman" w:hAnsi="Times New Roman" w:cs="Times New Roman"/>
          <w:color w:val="000000" w:themeColor="text1"/>
          <w:sz w:val="16"/>
          <w:szCs w:val="16"/>
        </w:rPr>
        <w:t>Из журнала № 178 заседания Особого совещания по обороне — обсуждение доклада Подготовительной комиссии по авиационным вопросам о поступлении авиационного имущества в армию с 1 января по 1 июня 1917 г.</w:t>
      </w:r>
    </w:p>
    <w:p w14:paraId="125E022B" w14:textId="5E2A902D" w:rsidR="00C312C3" w:rsidRPr="002F2FDF" w:rsidRDefault="00C312C3" w:rsidP="0083075A">
      <w:pPr>
        <w:spacing w:after="0" w:line="240" w:lineRule="auto"/>
        <w:jc w:val="both"/>
        <w:rPr>
          <w:rFonts w:ascii="Times New Roman" w:hAnsi="Times New Roman" w:cs="Times New Roman"/>
          <w:bCs/>
          <w:color w:val="000000" w:themeColor="text1"/>
          <w:sz w:val="16"/>
          <w:szCs w:val="16"/>
        </w:rPr>
      </w:pPr>
      <w:r w:rsidRPr="002F2FDF">
        <w:rPr>
          <w:rFonts w:ascii="Times New Roman" w:hAnsi="Times New Roman" w:cs="Times New Roman"/>
          <w:bCs/>
          <w:color w:val="000000" w:themeColor="text1"/>
          <w:sz w:val="16"/>
          <w:szCs w:val="16"/>
        </w:rPr>
        <w:t>Источник:</w:t>
      </w:r>
      <w:r w:rsidR="00E52569">
        <w:rPr>
          <w:rFonts w:ascii="Times New Roman" w:hAnsi="Times New Roman" w:cs="Times New Roman"/>
          <w:bCs/>
          <w:color w:val="000000" w:themeColor="text1"/>
          <w:sz w:val="16"/>
          <w:szCs w:val="16"/>
        </w:rPr>
        <w:t xml:space="preserve"> </w:t>
      </w:r>
    </w:p>
    <w:p w14:paraId="3B85D5BB" w14:textId="77777777" w:rsidR="00C312C3" w:rsidRPr="002F2FDF" w:rsidRDefault="00C312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186-187</w:t>
      </w:r>
    </w:p>
    <w:p w14:paraId="186543EC" w14:textId="282C4C34" w:rsidR="00C312C3" w:rsidRPr="002F2FDF" w:rsidRDefault="00C312C3" w:rsidP="0083075A">
      <w:pPr>
        <w:spacing w:after="0" w:line="240" w:lineRule="auto"/>
        <w:jc w:val="both"/>
        <w:rPr>
          <w:rFonts w:ascii="Times New Roman" w:hAnsi="Times New Roman" w:cs="Times New Roman"/>
          <w:bCs/>
          <w:color w:val="000000" w:themeColor="text1"/>
          <w:sz w:val="16"/>
          <w:szCs w:val="16"/>
        </w:rPr>
      </w:pPr>
      <w:r w:rsidRPr="002F2FDF">
        <w:rPr>
          <w:rFonts w:ascii="Times New Roman" w:hAnsi="Times New Roman" w:cs="Times New Roman"/>
          <w:bCs/>
          <w:color w:val="000000" w:themeColor="text1"/>
          <w:sz w:val="16"/>
          <w:szCs w:val="16"/>
        </w:rPr>
        <w:t>Архив:</w:t>
      </w:r>
      <w:r w:rsidR="00E52569">
        <w:rPr>
          <w:rFonts w:ascii="Times New Roman" w:hAnsi="Times New Roman" w:cs="Times New Roman"/>
          <w:bCs/>
          <w:color w:val="000000" w:themeColor="text1"/>
          <w:sz w:val="16"/>
          <w:szCs w:val="16"/>
        </w:rPr>
        <w:t xml:space="preserve"> </w:t>
      </w:r>
    </w:p>
    <w:p w14:paraId="7FEB782B" w14:textId="77777777" w:rsidR="00C312C3" w:rsidRPr="002F2FDF" w:rsidRDefault="00C312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ЦГВИА, ф. 369, оп. 1, д. 380, лл. 188—190. Подлинник.</w:t>
      </w:r>
    </w:p>
    <w:p w14:paraId="076DF5BF" w14:textId="70F324FF" w:rsidR="00C312C3" w:rsidRPr="002F2FDF" w:rsidRDefault="00C312C3" w:rsidP="0083075A">
      <w:pPr>
        <w:pStyle w:val="rtejustify"/>
        <w:spacing w:before="0" w:after="0"/>
        <w:rPr>
          <w:color w:val="000000" w:themeColor="text1"/>
          <w:sz w:val="16"/>
          <w:szCs w:val="16"/>
        </w:rPr>
      </w:pPr>
      <w:r w:rsidRPr="002F2FDF">
        <w:rPr>
          <w:rStyle w:val="af0"/>
          <w:i w:val="0"/>
          <w:color w:val="000000" w:themeColor="text1"/>
          <w:sz w:val="16"/>
          <w:szCs w:val="16"/>
        </w:rPr>
        <w:t>…</w:t>
      </w:r>
      <w:hyperlink r:id="rId440" w:anchor="_ftn1" w:history="1">
        <w:r w:rsidRPr="002F2FDF">
          <w:rPr>
            <w:rStyle w:val="a5"/>
            <w:rFonts w:eastAsiaTheme="majorEastAsia"/>
            <w:color w:val="000000" w:themeColor="text1"/>
            <w:sz w:val="16"/>
            <w:szCs w:val="16"/>
            <w:vertAlign w:val="superscript"/>
          </w:rPr>
          <w:t>[1]</w:t>
        </w:r>
      </w:hyperlink>
      <w:r w:rsidR="00E52569">
        <w:rPr>
          <w:color w:val="000000" w:themeColor="text1"/>
          <w:sz w:val="16"/>
          <w:szCs w:val="16"/>
          <w:vertAlign w:val="superscript"/>
        </w:rPr>
        <w:t xml:space="preserve"> </w:t>
      </w:r>
      <w:r w:rsidRPr="002F2FDF">
        <w:rPr>
          <w:color w:val="000000" w:themeColor="text1"/>
          <w:sz w:val="16"/>
          <w:szCs w:val="16"/>
        </w:rPr>
        <w:t>Далее Совещание заслушало осведомительный доклад Подготовительной комиссии по авиационным вопросам о поступлении военно-авиа-ддонного и воздухоплавательного имущества за время с 1 января по 1 июня 1917 г.</w:t>
      </w:r>
    </w:p>
    <w:p w14:paraId="20795810"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11о поводу сего доклада В. П. Литвинов-Фалинский указывает, что .-.набжение армии аэропланами было всегда не на должной высоте, ныне же положение в этой отрасли снабжения катастрофическое. Особое совещание должно довести до сведения Временного правительства о необходимости принятия самых решительных мер борьбы с царящей дезорганизацией на аэропланных заводах, которых всего 5—6. Рабочие этих заводов оставлены на заводах, а не призваны в войска исключительно ввиду важности производящихся работ для обороны государства; между тем производительность их все понижается. Особенно угрожающим является положение заводов в Московском районе, местное же заводское совещание не принимает никаких мер борьбы с незакономерными требованиями рабочих, а наоборот, их поощряет.</w:t>
      </w:r>
    </w:p>
    <w:p w14:paraId="6A340FB6"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В. И. Гурко, разделяя приведенное мнение В. П. Литвинова-Фалинского, отмечает, что только энергичные меры могут снасти нашу авиацию л не следует останавливаться даже перед увольнением рабочих и заменою их солдатами инженерных частей.</w:t>
      </w:r>
    </w:p>
    <w:p w14:paraId="6A4BB845" w14:textId="2183A03C"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Председательствующий П. И. Пальчинский, разделяя высказанные предположения, полагает, что принятие исключительных мер, клонящихся к поднятию производительности заводов и к поддержанию в них порядка, следует применить не только в отношении аэропланных заводов, но и других, имеющих особо важное значение для обороны, как например заводов взрывчатых веществ. Ввиду сего следует образовать комиссию, которая установила бы категории заводов, являющиеся особо важными для обороны, а засим разработала бы мероприятия, обеспечивающие нормальный ход работ па этих заводах...</w:t>
      </w:r>
      <w:r w:rsidR="00E52569">
        <w:rPr>
          <w:color w:val="000000" w:themeColor="text1"/>
          <w:sz w:val="16"/>
          <w:szCs w:val="16"/>
        </w:rPr>
        <w:t xml:space="preserve"> </w:t>
      </w:r>
      <w:hyperlink r:id="rId441" w:anchor="_ftn2" w:history="1">
        <w:r w:rsidRPr="002F2FDF">
          <w:rPr>
            <w:rStyle w:val="a5"/>
            <w:rFonts w:eastAsiaTheme="majorEastAsia"/>
            <w:color w:val="000000" w:themeColor="text1"/>
            <w:sz w:val="16"/>
            <w:szCs w:val="16"/>
            <w:vertAlign w:val="superscript"/>
          </w:rPr>
          <w:t>[2]</w:t>
        </w:r>
      </w:hyperlink>
    </w:p>
    <w:p w14:paraId="75E91245" w14:textId="08F64DC0" w:rsidR="00C312C3" w:rsidRPr="002F2FDF" w:rsidRDefault="00000000" w:rsidP="0083075A">
      <w:pPr>
        <w:pStyle w:val="rtejustify"/>
        <w:spacing w:before="0" w:after="0"/>
        <w:rPr>
          <w:color w:val="000000" w:themeColor="text1"/>
          <w:sz w:val="16"/>
          <w:szCs w:val="16"/>
        </w:rPr>
      </w:pPr>
      <w:hyperlink r:id="rId442" w:anchor="_ftnref1" w:history="1">
        <w:r w:rsidR="00C312C3" w:rsidRPr="002F2FDF">
          <w:rPr>
            <w:rStyle w:val="a5"/>
            <w:rFonts w:eastAsiaTheme="majorEastAsia"/>
            <w:color w:val="000000" w:themeColor="text1"/>
            <w:sz w:val="16"/>
            <w:szCs w:val="16"/>
          </w:rPr>
          <w:t>[1]</w:t>
        </w:r>
      </w:hyperlink>
      <w:r w:rsidR="00E52569">
        <w:rPr>
          <w:color w:val="000000" w:themeColor="text1"/>
          <w:sz w:val="16"/>
          <w:szCs w:val="16"/>
        </w:rPr>
        <w:t xml:space="preserve"> </w:t>
      </w:r>
      <w:r w:rsidR="00C312C3" w:rsidRPr="002F2FDF">
        <w:rPr>
          <w:color w:val="000000" w:themeColor="text1"/>
          <w:sz w:val="16"/>
          <w:szCs w:val="16"/>
        </w:rPr>
        <w:t>Опущено начало док. с обсуждением других вопросов повестки дня.</w:t>
      </w:r>
    </w:p>
    <w:p w14:paraId="096ECDCB" w14:textId="74B6C879" w:rsidR="00C312C3" w:rsidRPr="002F2FDF" w:rsidRDefault="00000000" w:rsidP="0083075A">
      <w:pPr>
        <w:pStyle w:val="rtejustify"/>
        <w:spacing w:before="0" w:after="0"/>
        <w:rPr>
          <w:color w:val="000000" w:themeColor="text1"/>
          <w:sz w:val="16"/>
          <w:szCs w:val="16"/>
        </w:rPr>
      </w:pPr>
      <w:hyperlink r:id="rId443" w:anchor="_ftnref2" w:history="1">
        <w:r w:rsidR="00C312C3" w:rsidRPr="002F2FDF">
          <w:rPr>
            <w:rStyle w:val="a5"/>
            <w:rFonts w:eastAsiaTheme="majorEastAsia"/>
            <w:color w:val="000000" w:themeColor="text1"/>
            <w:sz w:val="16"/>
            <w:szCs w:val="16"/>
          </w:rPr>
          <w:t>[2]</w:t>
        </w:r>
      </w:hyperlink>
      <w:r w:rsidR="00E52569">
        <w:rPr>
          <w:color w:val="000000" w:themeColor="text1"/>
          <w:sz w:val="16"/>
          <w:szCs w:val="16"/>
        </w:rPr>
        <w:t xml:space="preserve"> </w:t>
      </w:r>
      <w:r w:rsidR="00C312C3" w:rsidRPr="002F2FDF">
        <w:rPr>
          <w:color w:val="000000" w:themeColor="text1"/>
          <w:sz w:val="16"/>
          <w:szCs w:val="16"/>
        </w:rPr>
        <w:t>Опущен конец док. с изложением следующего, не относящегося к данной теме, опроса повестки дня (18361).</w:t>
      </w:r>
    </w:p>
    <w:p w14:paraId="7AD9876F" w14:textId="77777777" w:rsidR="00C312C3" w:rsidRPr="002F2FDF" w:rsidRDefault="00C312C3" w:rsidP="0083075A">
      <w:pPr>
        <w:spacing w:after="0" w:line="240" w:lineRule="auto"/>
        <w:jc w:val="both"/>
        <w:rPr>
          <w:rFonts w:ascii="Times New Roman" w:hAnsi="Times New Roman" w:cs="Times New Roman"/>
          <w:color w:val="000000" w:themeColor="text1"/>
          <w:sz w:val="16"/>
          <w:szCs w:val="16"/>
        </w:rPr>
      </w:pPr>
    </w:p>
    <w:p w14:paraId="0FA42733"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 (28) июля 1917 года.</w:t>
      </w:r>
    </w:p>
    <w:p w14:paraId="2780907E"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Совершенно секретно. </w:t>
      </w:r>
    </w:p>
    <w:p w14:paraId="0A33F7C3"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Журнал № 178 Особого Совещания для обсуждения и объединения мероприятий по обороне государства. </w:t>
      </w:r>
    </w:p>
    <w:p w14:paraId="06B499FB"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15 июля 1917 года. </w:t>
      </w:r>
    </w:p>
    <w:p w14:paraId="5983F71E"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Председательствовал . П. И. Пальчинский. </w:t>
      </w:r>
    </w:p>
    <w:p w14:paraId="36AC17EF"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Присутствовали: Член Государственного Совета . С. И. Тимашев.</w:t>
      </w:r>
    </w:p>
    <w:p w14:paraId="031F0418"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В. И. Гурко. </w:t>
      </w:r>
    </w:p>
    <w:p w14:paraId="57ECBF25"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военного министерства:</w:t>
      </w:r>
    </w:p>
    <w:p w14:paraId="306DD1A6"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 от артиллерии . А. А. Маниковский.</w:t>
      </w:r>
    </w:p>
    <w:p w14:paraId="0010AAAB"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Генерал-лейтенант . Н. А. Бабиков.</w:t>
      </w:r>
    </w:p>
    <w:p w14:paraId="1A70220A"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Н. И. Богатко.</w:t>
      </w:r>
    </w:p>
    <w:p w14:paraId="5AD68AC9"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Генерал-майор . А. в. Шварц. </w:t>
      </w:r>
    </w:p>
    <w:p w14:paraId="73972E81"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морского министерства: Адмирал . В. А. Канин. </w:t>
      </w:r>
    </w:p>
    <w:p w14:paraId="09E011AA"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министерства финансов: Действительный статский советник . А. И. Ефимович. </w:t>
      </w:r>
    </w:p>
    <w:p w14:paraId="7412518A"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Всероссийского городского союза: Уполномоченный «Земгора» . А. А. Давидов. </w:t>
      </w:r>
    </w:p>
    <w:p w14:paraId="7DCF1078"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Особо приглашенные в заседание:</w:t>
      </w:r>
    </w:p>
    <w:p w14:paraId="0BB7B6D2"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 от инфантерии . А. А. Поливанов.</w:t>
      </w:r>
    </w:p>
    <w:p w14:paraId="21ED4712"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Генерал-лейтенант . А. К. Овчинников.</w:t>
      </w:r>
    </w:p>
    <w:p w14:paraId="26CC3A88"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Инженер путей сообщения . И. С. Каннегисер.</w:t>
      </w:r>
    </w:p>
    <w:p w14:paraId="03EE47B4"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Генерал-майоры . А. А. Саткевич.</w:t>
      </w:r>
    </w:p>
    <w:p w14:paraId="67418520"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 М. Н. Орлов.</w:t>
      </w:r>
    </w:p>
    <w:p w14:paraId="579D1A6E"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Действительный статский советник . в. П. Литвинов-Фалинский.</w:t>
      </w:r>
    </w:p>
    <w:p w14:paraId="410BC6D3"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Заместитель председателя Центрального военно-промышленного комитета .Н. Н. Изнар.</w:t>
      </w:r>
    </w:p>
    <w:p w14:paraId="7BD776D3"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Заместитель Председателя Московского военно-промышленного комитета . С. А. Смирнов. </w:t>
      </w:r>
    </w:p>
    <w:p w14:paraId="13F66541"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Делопроизводитель Особого Совещания: Подполковник . С. И. Качалов. </w:t>
      </w:r>
    </w:p>
    <w:p w14:paraId="6E9737F7"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 открытии заседания управляющий делами Особого Совещания генерал-лейтенант Н. А. Бабиков огласил резолюцию по журналу от 12 июля 1917 года за № 177 и доложил о сделанных распоряжениях по исполнению этой резолюции.</w:t>
      </w:r>
    </w:p>
    <w:p w14:paraId="3A4AF844"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Совещание одобрило доклад подготовительной комиссии по общим вопросам об отпуске дополнительных денежных средств в сумме 200 000 рублей автомобильному Московскому заводу «Амо» Кузнецова и Рябушинских для расчетов с рабочими, на изложенных в докладе основаниях, и перешло к рассмотрению доклада той же комиссии об отпуске оборотных средств Московскому военно-промышленному комитету. </w:t>
      </w:r>
    </w:p>
    <w:p w14:paraId="69231427"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Последний возбудил ходатайство: </w:t>
      </w:r>
    </w:p>
    <w:p w14:paraId="01C91901"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об ассигновании ему сумм на возмещение расходов по устройству собственных предприятий и мастерских и </w:t>
      </w:r>
    </w:p>
    <w:p w14:paraId="1AD0E001"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об отпуске ему средств по заготовке материалов как для выполнения заказов, переданных поставщикам, так и для будущих заказов. </w:t>
      </w:r>
    </w:p>
    <w:p w14:paraId="5A2E5963"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Путем разъяснений, данных представителями комитета в комиссии, выяснилось, что комитетом ведутся операции по использованию старого солдатского обмундирования и по заготовлению сапог по заказам от фронта и что он имеет на фронте мастерские, которые устроены по просьбе управления военных сообщений штаба XII армии. Заслушав означенное дело, подготовительная комиссия нашла, что представлялось бы возможным отпустить Московскому военно-промышленному комитету восемьсот тысяч руб лей, уже иммобилизированных в его предприятиях и мастерских. </w:t>
      </w:r>
    </w:p>
    <w:p w14:paraId="3F27FF56"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Однако комиссия затруднялась поддержать ходатайство комитета об ассигновании ему средств по организации и устройству собственных промышленных предприятий ввиду действующих общих директив о нежелательности дальнейшего развития существующих предприятий. Что же касается отпуска средств по заготовке материалов для исполнения заказов, имеющих быть полученными от довольствующих ведомств, то комиссия нашла, что особых оборотных средств на эту цель отпускать не приходится, так как на закупку материалов для исполнения заказов могут быть выдаваемы комитету авансы по этим заказам.</w:t>
      </w:r>
    </w:p>
    <w:p w14:paraId="7C7B4DF2"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поводу заслушанного доклада заместитель председателя Московского военно-промышленного комитета С. А. Смирнов указывает, что по условиям рынка представляется необходимым ныне же сделать нужные запасы материалов для имеющих быть полученными заказов. Между тем финансовое положение комитета представляется затруднительным, так как теперь поставщики, нуждаясь в средствах, не могут поставлять заказанные им материалы без получения авансов. Что же касается вопроса об устройстве новых предприятий и мастерских, то ввиду имеющегося уже материала для их оборудования их надлежит причислить к категории существующих предприятий. Кроме того, склады, исполняя заказы с фронта, несомненно приносят огромную пользу армии, между тем отсутствие у комитета необходимых средств может повести к их ликвидации. Со своей стороны генерал-лейтенант Н. И. Богатко отмечает, что едва ли вообще представляется целесообразным, чтобы какая-либо организация, работающая для нужд армии, имела какие-либо излишние материалы и запасы. В складах Московского военно-промышленного комитета и до сего времени имеются десятки тысяч сапог, а между тем армия в них крайне нуждается. </w:t>
      </w:r>
    </w:p>
    <w:p w14:paraId="216A369A"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 от артиллерии А. А. Маниковский полагает, что надлежит еще раз подтвердить о запрещении получать непосредственно заказы с фронта, помимо довольствующих ведомств. Такие фронтовые заказы нарушают общий план снабжения и дезорганизуют дело, так как нередко некоторые части войск получают необходимые материалы с 3–4 мест, в то время как другие части их совершенно не имеют.</w:t>
      </w:r>
    </w:p>
    <w:p w14:paraId="02BD64D3"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Председательствующий П. И. Пальчинский замечает, что, безусловно, представлялось бы возможным разрешить названному комитету отпуск оборотных средств в сумме восьмисот тысяч рублей в возмещение расходов, понесенных комитетом по учреждению и оборудованию собственных предприятий и мастерских, на основаниях, установленных комиссией. Однако, несмотря на всю пользу, которую приносят мастерские комитета, все же следует признать, что вопрос об учреждении и оборудовании его новых предприятий и мастерских должен разрешаться в каждом частном случае отдельно в целях согласования с общим планом строительства и снабжения. Посему ходатайство комитета об отпуске ему для означенной цели необходимых средств подлежало бы отклонению. Точно так же нельзя признать правильной точку зрения Московского военно-промышленного комитета о желательности накопления материалов для исполнения ожидаемых заказов, — покупкой лишних материалов комитет поднимает цены на рынке и лишает других поставщиков казны необходимых предметов. Достаточно указать, что у комитета в настоящее время уже накоплено 2 1/ миллиона пудов металла и 2 на 1 1/ миллиона рублей сапог, что, конечно, не может быть признано правильным. Нужно отказаться от противопоставления «общественных организаций» — «государственным органам», так как представители общественных организаций входят во все государственные учреждения. Безусловно, недопустимо также, чтобы заказы от фронта поступали непосредственно в комитет; поэтому последнему отпуск денежных средств на возмещение расходов по заготовлению материалов по полученным от фронта заказам может быть произведен в виде аванса по тем лишь заказам, которые будет признано возможным перечислить за счет довольствующих ведомств, по ближайшему соглашению с заинтересованными частями. </w:t>
      </w:r>
    </w:p>
    <w:p w14:paraId="36D1B2F1"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Совещание присоединяется к предположениям Председательствующего и одобряет далее доклад той же комиссии о выдаче аванса без обеспечения в сумме 262 000 руб лей заводам металлических изделий инженера И. С. Когана по заказу главным военно-техническим управлением подводных пороховых фугасов, на принятых комиссией основаниях. Засим Совещание, заслушав доклад той же комиссии о выдаче дополнительного аванса обществу Финляндского легкого пароходства по заказу главным военно-техническим управлением моторно-понтонных парков, признает возможным выдать названному обществу дополнительный аванс в размере 220 000 руб лей по удостоверении старшего инженерного приемщика правильности израсходования ранее выданной части аванса, но с тем, чтобы упомянутым управлением были приняты необходимые меры к исполнению данного заказа. </w:t>
      </w:r>
    </w:p>
    <w:p w14:paraId="25CA9B8D"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Далее Совещание перешло к рассмотрению доклада реквизиционной комиссии о принудительном занятии для Петроградского интендантского управления участка земли, принадлежащего крестьянам Московско-Ямской слободы, и пустопорожнего участка, принадлежащего крестьянам деревни Тентелевой. Названное управление ввиду отсутствия свободного помещения для хранения имеющегося имущества наметило для постройки новых зданий два участка земли, прилегающие к территории Петроградского вещевого склада, одного — в 10 949 кв. саж., а другого — в 8000 кв. саж., принадлежащих крестьянам Московско-Ямской слободы и деревни Тентелевой. Оба указанные участка не застроены, и только на первом из них имеется деревянный дом со службами, стоимостью в 6 000 рублей. Председатель строительной комиссии для производства работ в Петроградском инженерном вещевом складе предпринял шаги для приобретения указанных земельных участков путем добровольной сделки, которая, однако, не могла состояться, так как требования владельцев были признаны чрезмерными. Заслушав означенное дело и принимая во внимание, что по прекращении военных действий ожидается загромождение складов грузами и недостаток помещений может крайне неблагоприятным образом отразиться на хозяйственных операциях интендантства, реквизиционная комиссия полагала разрешить Петроградскому вещевому складу принудительно занять на три года, в порядке п. 81 ст. 10 Положения об Особом Совещании по обороне государства, указанные участки земли с находящимися на них постройками, за исключением здания, занятого жильцами. Представитель министерства финансов А. И. Ефимович указывает, что необходимо прежде принудительного занятия участков земли, принадлежащих крестьянам Московско-Ямской слободы и деревни Тентелевой, еще раз вступить с владельцами в переговоры о добровольной уступке этих участков; выселять же крестьян из принадлежащих им участков земли представляется совершенно невозможным по современным условиям.</w:t>
      </w:r>
    </w:p>
    <w:p w14:paraId="68BE2C17"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Председательствующий П. И. Пальчинский отмечает, что на означенных участках земли предполагается возвести постройки не временного, а постоянного характера для хранения грузов, ожидающихся после войны. Поэтому надлежит, прежде всего, выяснить, возможна ли по современным условиям постройка предполагаемых зданий и насколько представляется желательным ныне же осуществление мероприятий, касающихся периода демобилизации армии. Ввиду сего, не возражая принципиально против принудительного занятия упомянутых участков земли для построек вещевых складов, следует все же отложить осуществление этого мероприятия впредь до выяснения вопроса о возможности фактического использования участков. Совещание не встречает препятствий к принятию предложений Председательствующего и засим, по докладу той же комиссии о принудительном занятии для управления грузовыми перевозками в Балтийском море складов Северного пароходного общества, полагает разрешить занятие одного пакгауза, принадлежащего названному обществу, предоставив осуществление этого занятия реквизиционной комиссии, по соглашению с морским ведомством, в порядке, предусмотренном положением о военно-судовой повинности. </w:t>
      </w:r>
    </w:p>
    <w:p w14:paraId="62AE4D37"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Далее Совещание остановилось на докладе той же комиссии о принудительном занятии для отдела по распределению металла для военных сообщений фронта помещений в д. № 7 по Караванной улице, занятого меблированными комнатами. По сему поводу С. И. Тимашев замечает, что ввиду крайней нужды в жилых помещениях в Петрограде надлежит относиться с крайней осторожностью к разрешению вопросов о принудительном занятии меблированных комнат и гостиниц; между тем это ныне не всегда соблюдается, и многие из гостиниц принудительно заняты различными организациями без особой к тому необходимости. Председательствующий П. И. Пальчинский, разделяя высказанное С. И. Тимашевым мнение, указывает, что в Петрограде существуют несколько реквизиционных </w:t>
      </w:r>
      <w:r w:rsidRPr="002F2FDF">
        <w:rPr>
          <w:rFonts w:ascii="Times New Roman" w:hAnsi="Times New Roman" w:cs="Times New Roman"/>
          <w:color w:val="000000" w:themeColor="text1"/>
          <w:sz w:val="16"/>
          <w:szCs w:val="16"/>
        </w:rPr>
        <w:lastRenderedPageBreak/>
        <w:t xml:space="preserve">комиссий, которые действуют совершенно обособленно друг от друга. Поэтому представлялось бы желательным поручить реквизиционной комиссии представить доклад о тех учреждениях, коим предоставлено в Петрограде право принудительного Временного занятия помещений, с проектом согласования функций этих учреждений. Что же касается вопроса о принудительном занятии помещения в д. № 7 по Караванной улице, то таковое занятие возможно разрешить, с тем, однако, чтобы отделу по распределению металлов для военных сообщений фронта было отведено лишь строго необходимое количество комнат, а остальное помещение было использовано согласно указаниям реквизиционной комиссии. Совещание присоединяется к соображениям Председательствующего и засим, по докладу той же комиссии о принудительном временном занятии гостиницы «Гранд-Отель» в Витебске для размещения команды полевой аптеки, признает необходимым сообщить Витебскому городскому управлению, что в случае неотыскания в недельный срок помещения для упомянутой команды будет произведено немедленное занятие означенной гостиницы. Далее Совещание заслушало осведомительный доклад подготовительной комиссии по авиационным вопросам о поступлении военно-авиационного и воздухоплавательного имуществ за время с 1 января до 1 июня 1917 года. По поводу сего доклада В. П. Литвинов-Фалинский указывает, что снабжение армии аэропланами было всегда не на должной высоте, ныне же положение в этой отрасли снабжения — катастрофическое. </w:t>
      </w:r>
    </w:p>
    <w:p w14:paraId="53D50F2C"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Особое Совещание должно довести до сведения Временного Правительства о необходимости принятия самых решительных мер борьбы с царящей дезорганизацией на аэропланных заводах, которых всего 5–6. Рабочие этих заводов оставлены на заводах, а не призваны в войска, исключительно ввиду важности производящихся работ для обороны государства; между тем производительность их все понижается. Особенно угрожающим является положение заводов в Московском районе, местное же заводское совещание не принимает никаких мер борьбы с незакономерными требованиями рабочих, а, наоборот, их поощряет. В. И. Гурко, разделяя приведенное мнение В. П. Литвинова-Фалинскаго, отмечает, что только энергичные меры могут спасти нашу авиацию, и не следует останавливаться даже пред увольнением рабочих и заменой их солдатами инженерных частей. </w:t>
      </w:r>
    </w:p>
    <w:p w14:paraId="2FB3DCCF"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Председательствующий П. И. Пальчинский, разделяя высказанные предположения, полагает, что принятие исключительных мер, клонящихся к поднятию производительности заводов и к поддержанию в них порядка, следует применить не только в отношении аэропланных заводов, но и других, имеющих особо важное значение для обороны, как, например, заводов взрывчатых веществ. Ввиду сего следует образовать комиссию, которая установила бы категории заводов, являющиеся особо важными для обороны, а засим разработала бы мероприятия, обеспечивающие нормальный ход работ на этих заводах. </w:t>
      </w:r>
    </w:p>
    <w:p w14:paraId="222AB22A"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Совещание соглашается с предположениями Председательствующего и избирает комиссию под председательством А. А. Поливанова в составе: В. И. Гурко, В. П. Литвинова-Фалинского, И. С. Каннегисера и Б. П. Гончарова.</w:t>
      </w:r>
    </w:p>
    <w:p w14:paraId="5B01BB3D"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Совещание ввиду Временного отсутствия председателя подготовительной комиссии по артиллерийским вопросам С. И. Тимашева намечает заместителем председателя этой комиссии генерала от инфантерии А. А. Поливанова и в заключение заслушивает сообщение управляющего делами Особого Совещания генерал-лейтенанта Н. А. Бабикова по делу общества электрического освещения 1886 года. Этому обществу распоряжением министерства финансов была выдана правительственная ссуда в 2 000 000 рублей на покрытие неотложных расходов. В конце мая этого года особое правление названного общества вновь обратилось с ходатайством в министерство торговли и промышленности об отпуске из казны обществу оборотных средств в размере 3 000 000 рублей в виде ссуды. Просьба эта была рассмотрена в междуведомственном совещании по обсуждению вопросов о финансировании некоторых частных металлургических предприятий, работающих на нужды государственной обороны, которое признало возможным отпустить в распоряжение министерства торговли и промышленности 1 000 000 руб лей для выдачи этой суммы названному обществу в ссуду сроком на 1 год на неотложные расходы, на выработанных совещанием условиях. Во избежание же приостановки работ электрической станции общества электрического освещения 1886 года, что крайне неблагоприятно отразится на предприятиях, работающих на оборону, представлялось бы необходимым отпустить в целях наискорейшего получения названным обществом оборотных средств один миллион руб лей в виде ссуды за счет военного фонда в распоряжение Особого правления общества, с соблюдением выработанных междуведомственным совещанием условий и с тем, чтобы по испрошении от Временного Правительства на осуществление настоящего мероприятия средств за счет этих средств означенный расход был бы возмещен военному фонду. Заслушав означенное сообщение, Совещание признает возможным разрешить отпуск одного миллиона руб лей в распоряжение министер- ства торговли и промышленности для выдачи их в ссуду обществу электрического освещения 1886 года на условиях, принятых междуведомственным совещанием. </w:t>
      </w:r>
    </w:p>
    <w:p w14:paraId="6C790606"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Подписи. </w:t>
      </w:r>
    </w:p>
    <w:p w14:paraId="79E8FF79"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7A9DC95A"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Одобрить доклад подготовительной комиссии по общим вопросам об отпуске дополнительных денежных средств в сумме двухсот тысяч (200 000) рублей автомобильному заводу «Амо» Кузнецова и Рябушинских для расчета с рабочими, на изложенных в докладе основаниях. </w:t>
      </w:r>
    </w:p>
    <w:p w14:paraId="12428067"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По докладу той же комиссии об отпуске оборотных средств Московскому военно-промышленному комитету:</w:t>
      </w:r>
    </w:p>
    <w:p w14:paraId="1C44A8E4"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разрешить названному комитету отпуск из военного фонда оборотных средств в сумме восьмисот тысяч (800 000) рублей в возмещение расходов, понесенных комитетом по учреждению и оборудованию собственных предприятий и мастерских, на тех же основаниях, на которых было отпущено 29 мая 1917 года центральному военно-промышленному комитету пятнадцать миллионов (15 000 000) руб лей; </w:t>
      </w:r>
    </w:p>
    <w:p w14:paraId="110FF285"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сообщить комитету, что отпуск денежных средств на возмещение расходов по заготовлению материалов по полученным от фронта заказам может быть произведен в виде аванса по тем лишь заказам, которые будет признано возможным перечислить за счет довольствующих ведомств, по ближайшему соглашению с заинтересованными частями фронта; </w:t>
      </w:r>
    </w:p>
    <w:p w14:paraId="2BD79AEE"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указать комитету, что вопрос об учреждении и оборудовании новых предприятий должен разрешаться в каждом частном случае отдельно в целях согласования его с общим планом строительства и снабжения. </w:t>
      </w:r>
    </w:p>
    <w:p w14:paraId="095F624C"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3) Одобрить доклад той же комиссии о выдаче аванса без обеспечения в сумме двухсот шестидесяти двух тысяч (262 000) руб лей заводам металлических изделий инженера И. С. Кагана по заказу главным военно-техническим управлением подводных пороховых фугасов, на упомянутых в докладе основаниях. </w:t>
      </w:r>
    </w:p>
    <w:p w14:paraId="2B4ABC2D"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 По докладу той же комиссии о выдаче дополнительного аванса обществу Финляндского легкого пароходства по заказу главным военно-техническим управлением моторно-понтонных парков:</w:t>
      </w:r>
    </w:p>
    <w:p w14:paraId="6D21D785"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выдать названному обществу дополнительный аванс без обеспечения в размере двухсот двадцати тысяч (220 000) рублей по удостоверении старшего инженера-приемщика в правильности израсходования ранее выданной части аванса; </w:t>
      </w:r>
    </w:p>
    <w:p w14:paraId="46560CF7"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предложить главному военно-техническому управлению принять меры к скорейшему исполнению упомянутого заказа. </w:t>
      </w:r>
    </w:p>
    <w:p w14:paraId="6E3C3F1D"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5) По докладу реквизиционной комиссии о принудительном занятии для Петроградского интендантского управления участка земли, принадлежащего крестьянам Московско-Ямской слободы, и пустопорожнего участка, принадлежащего крестьянам деревни Тентелевой, — признать принципиально соответственным принудительное занятие этих участков для указанных в докладе целей и отложить осуществление этого мероприятия впредь до выяснения вопроса о возможности фактического использования участков. </w:t>
      </w:r>
    </w:p>
    <w:p w14:paraId="184E1E25"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6) По докладу той же комиссии о принудительном занятии для «Управления грузовыми перевозками в Балтийском море» складов Северного пароходного общества — разрешить занятие одного пакгауза, принадлежащего названному обществу, и предоставить осуществление этого занятия реквизиционной комиссии, по соглашению с морским ведомством, в порядке, предусмотренном положением о военно-судовой повинности. </w:t>
      </w:r>
    </w:p>
    <w:p w14:paraId="07E7266B"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7) По докладу той же комиссии о принудительном временном занятии для отдела по распределению металлов для военных сообщений и путей сообщения фронта помещения в доме № 7 по Караванной улице, занятого меблированными комнатами: </w:t>
      </w:r>
    </w:p>
    <w:p w14:paraId="49B99A75"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разрешить принудительное занятие этого помещения, с тем чтобы отделу было отведено лишь строго необходимое количество комнат, а остальное помещение было использовано согласно указаниям реквизиционной комиссии; </w:t>
      </w:r>
    </w:p>
    <w:p w14:paraId="70674E32"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поручить той же комиссии представить доклад о тех учреждениях, коим предоставлено в Петрограде право принудительного временного занятия помещений, с проектом согласования функций этих учреждений. </w:t>
      </w:r>
    </w:p>
    <w:p w14:paraId="462FD03F"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8) По докладу той же комиссии о принудительном временном занятии гостиницы «Грандотель» в Витебске для размещения команды полевой аптеки — сообщить Витебскому городскому управлению, что в случае неотыскания в недельный срок помещения для упомянутой команды будет произведено принудительное занятие означенной гостиницы. </w:t>
      </w:r>
    </w:p>
    <w:p w14:paraId="3354D2EF"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9) В связи с докладом </w:t>
      </w:r>
      <w:r w:rsidRPr="002F2FDF">
        <w:rPr>
          <w:rFonts w:ascii="Times New Roman" w:hAnsi="Times New Roman" w:cs="Times New Roman"/>
          <w:color w:val="000000" w:themeColor="text1"/>
          <w:sz w:val="16"/>
          <w:szCs w:val="16"/>
          <w:highlight w:val="yellow"/>
        </w:rPr>
        <w:t>авиационной комиссии</w:t>
      </w:r>
      <w:r w:rsidRPr="002F2FDF">
        <w:rPr>
          <w:rFonts w:ascii="Times New Roman" w:hAnsi="Times New Roman" w:cs="Times New Roman"/>
          <w:color w:val="000000" w:themeColor="text1"/>
          <w:sz w:val="16"/>
          <w:szCs w:val="16"/>
        </w:rPr>
        <w:t xml:space="preserve"> о ходе поставки авиационного имущества за время с 1 января по 1 июня сего года: </w:t>
      </w:r>
    </w:p>
    <w:p w14:paraId="582CF0B1"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признать необходимым в отношении некоторых заводов, имеющих особое важное значение для нужд обороны, применение исключительных мер, клонящихся к поднятию производительности заводов и к поддержанию на них порядка; </w:t>
      </w:r>
    </w:p>
    <w:p w14:paraId="4F1A9649"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для разработки означенных мероприятий образовать комиссию под председательством А. А. Поливанова в составе В. И. Гурко, В. П. Литвинова-Фалинского, И. С. Каннегисера, Н. Н. Изнара или его заместителя и Б. Ф. Гончарова. </w:t>
      </w:r>
    </w:p>
    <w:p w14:paraId="4A043C25"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10) Ввиду временного отсутствия председателя подготовительной комиссии по артиллерийским вопросам С. И. Тимашева — возложить исполнение обязанности председателя этой комиссии на генерала от инфантерии А. А. Поливанова. </w:t>
      </w:r>
    </w:p>
    <w:p w14:paraId="1F84382D"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Верно: управляющий делами генерал-лейтенант Бабиков (20434). </w:t>
      </w:r>
    </w:p>
    <w:p w14:paraId="2E6BDCEE"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p>
    <w:p w14:paraId="7B077458"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 (28) июля 1917 г.</w:t>
      </w:r>
    </w:p>
    <w:p w14:paraId="680744A9"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Из журнала № 178 заседания Особого совещания по обороне — обсуждение доклада Подготовителъной комиссии по авиационным вопросам о поступлении авиационного имущества в армию с 1 января по 1 июня 1917 г.</w:t>
      </w:r>
    </w:p>
    <w:p w14:paraId="79E1E86C"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 июля 1917 г.</w:t>
      </w:r>
    </w:p>
    <w:p w14:paraId="6A9E800D"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По поводу сего доклада В. II. Литвинов-Фалинский указывает, что снабжение армии </w:t>
      </w:r>
      <w:r w:rsidRPr="002F2FDF">
        <w:rPr>
          <w:rFonts w:ascii="Times New Roman" w:hAnsi="Times New Roman" w:cs="Times New Roman"/>
          <w:color w:val="000000" w:themeColor="text1"/>
          <w:sz w:val="16"/>
          <w:szCs w:val="16"/>
          <w:highlight w:val="yellow"/>
        </w:rPr>
        <w:t>аэропланами</w:t>
      </w:r>
      <w:r w:rsidRPr="002F2FDF">
        <w:rPr>
          <w:rFonts w:ascii="Times New Roman" w:hAnsi="Times New Roman" w:cs="Times New Roman"/>
          <w:color w:val="000000" w:themeColor="text1"/>
          <w:sz w:val="16"/>
          <w:szCs w:val="16"/>
        </w:rPr>
        <w:t xml:space="preserve"> было всегда не на должной высоте, ныне же положение в этой отрасли снабжения катастрофическое. Особое совещание должно довести до сведения Временного правительства о необходимости принятия самых решительных мер борьбы с царящей дезорганизацией на аэропланных заводах, которых всего 5—6. Рабочие этих заводов оставены на заводах, а не призваны в войска исключительно ввиду важности производящихся работ для обороны государства; между тем производительность их все понижается. Особенно угрожающим является положение заводов в Московском районе, местное же заводское совещание не принимает никаких мер борьбы с незакономерными требованиями рабочих,</w:t>
      </w:r>
    </w:p>
    <w:p w14:paraId="5DA366A3"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 наоборот, их поощряет.</w:t>
      </w:r>
    </w:p>
    <w:p w14:paraId="60A554FA"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И. Гурко, разделяя приведенное мнение В. 11. Литвинова-Фалинкого, отмечает, что только энергичные меры могут спасти нашу авиацию и не следует останавливаться даже перед увольнением рабочих и заменою их солдатами инженерных частей.</w:t>
      </w:r>
    </w:p>
    <w:p w14:paraId="41B9EBE3"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Председательствующий Г1. И. Нальчикский, разделяя высказанные предположения, полагает, что принятие исключительных мер, клонящихся к поднятию производительности заводов и к поддержанию в них порядка, следует применить не только в отношении аэропланных заводов, но и других, имеющих особо важное значение для обороны, как например заводов взрывчатых веществ. Ввиду сего следует образовать комиссию, которая установила бы категории заводов, являющиеся особо важными для обороны, а засим разработала бы мероприятия, обеспечивающие нормальный ход работ на этих заводах.</w:t>
      </w:r>
    </w:p>
    <w:p w14:paraId="149B40FA"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ЦГВИА</w:t>
      </w:r>
      <w:r w:rsidRPr="002F2FDF">
        <w:rPr>
          <w:rFonts w:ascii="Times New Roman" w:hAnsi="Times New Roman" w:cs="Times New Roman"/>
          <w:color w:val="000000" w:themeColor="text1"/>
          <w:sz w:val="16"/>
          <w:szCs w:val="16"/>
          <w:lang w:val="en-US"/>
        </w:rPr>
        <w:t xml:space="preserve">, </w:t>
      </w:r>
      <w:r w:rsidRPr="002F2FDF">
        <w:rPr>
          <w:rFonts w:ascii="Times New Roman" w:hAnsi="Times New Roman" w:cs="Times New Roman"/>
          <w:color w:val="000000" w:themeColor="text1"/>
          <w:sz w:val="16"/>
          <w:szCs w:val="16"/>
        </w:rPr>
        <w:t>ф</w:t>
      </w:r>
      <w:r w:rsidRPr="002F2FDF">
        <w:rPr>
          <w:rFonts w:ascii="Times New Roman" w:hAnsi="Times New Roman" w:cs="Times New Roman"/>
          <w:color w:val="000000" w:themeColor="text1"/>
          <w:sz w:val="16"/>
          <w:szCs w:val="16"/>
          <w:lang w:val="en-US"/>
        </w:rPr>
        <w:t xml:space="preserve">. 369, on. 1, </w:t>
      </w:r>
      <w:r w:rsidRPr="002F2FDF">
        <w:rPr>
          <w:rFonts w:ascii="Times New Roman" w:hAnsi="Times New Roman" w:cs="Times New Roman"/>
          <w:color w:val="000000" w:themeColor="text1"/>
          <w:sz w:val="16"/>
          <w:szCs w:val="16"/>
        </w:rPr>
        <w:t>д</w:t>
      </w:r>
      <w:r w:rsidRPr="002F2FDF">
        <w:rPr>
          <w:rFonts w:ascii="Times New Roman" w:hAnsi="Times New Roman" w:cs="Times New Roman"/>
          <w:color w:val="000000" w:themeColor="text1"/>
          <w:sz w:val="16"/>
          <w:szCs w:val="16"/>
          <w:lang w:val="en-US"/>
        </w:rPr>
        <w:t xml:space="preserve">. 380, </w:t>
      </w:r>
      <w:r w:rsidRPr="002F2FDF">
        <w:rPr>
          <w:rFonts w:ascii="Times New Roman" w:hAnsi="Times New Roman" w:cs="Times New Roman"/>
          <w:color w:val="000000" w:themeColor="text1"/>
          <w:sz w:val="16"/>
          <w:szCs w:val="16"/>
        </w:rPr>
        <w:t>лл</w:t>
      </w:r>
      <w:r w:rsidRPr="002F2FDF">
        <w:rPr>
          <w:rFonts w:ascii="Times New Roman" w:hAnsi="Times New Roman" w:cs="Times New Roman"/>
          <w:color w:val="000000" w:themeColor="text1"/>
          <w:sz w:val="16"/>
          <w:szCs w:val="16"/>
          <w:lang w:val="en-US"/>
        </w:rPr>
        <w:t xml:space="preserve">. 188—190. </w:t>
      </w:r>
      <w:r w:rsidRPr="002F2FDF">
        <w:rPr>
          <w:rFonts w:ascii="Times New Roman" w:hAnsi="Times New Roman" w:cs="Times New Roman"/>
          <w:color w:val="000000" w:themeColor="text1"/>
          <w:sz w:val="16"/>
          <w:szCs w:val="16"/>
        </w:rPr>
        <w:t>Подлинник (20428).</w:t>
      </w:r>
    </w:p>
    <w:p w14:paraId="231884AC"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p>
    <w:p w14:paraId="7EA689C1"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 (28) июля 1917 г.</w:t>
      </w:r>
    </w:p>
    <w:p w14:paraId="55FFB80F"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Заключение Подготовительной комиссии </w:t>
      </w:r>
      <w:r w:rsidRPr="002F2FDF">
        <w:rPr>
          <w:rFonts w:ascii="Times New Roman" w:hAnsi="Times New Roman" w:cs="Times New Roman"/>
          <w:color w:val="000000" w:themeColor="text1"/>
          <w:sz w:val="16"/>
          <w:szCs w:val="16"/>
          <w:highlight w:val="yellow"/>
        </w:rPr>
        <w:t>по авиационным</w:t>
      </w:r>
      <w:r w:rsidRPr="002F2FDF">
        <w:rPr>
          <w:rFonts w:ascii="Times New Roman" w:hAnsi="Times New Roman" w:cs="Times New Roman"/>
          <w:color w:val="000000" w:themeColor="text1"/>
          <w:sz w:val="16"/>
          <w:szCs w:val="16"/>
        </w:rPr>
        <w:t xml:space="preserve"> вопросам при Особом совещании по обороне о недопустимости участия представителей рабочих в управлении предприятиями в связи с организацией заводоуправления на аэропланостроительном заводе В. В. Слюсаренко (Петроград).</w:t>
      </w:r>
    </w:p>
    <w:p w14:paraId="4E44F688"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 июля 1917 г.</w:t>
      </w:r>
    </w:p>
    <w:p w14:paraId="46B2AC80"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Кризис, переживаемый ныне промышленностью, не мог не отразиться и на предприятиях, работающих на авиацию, и, в частности, привел Петроградский аэропланный завод В. В. Слюсаренко к положению, близкому к закрытию. Кроме причин, чисто финансовых, к устранению коих уже приняты меры,1 главнейшее место в данном случае занимают те отношения, коп установились на заводе между Слюсаренко н его служащими и рабочими. Последние, далеко стоящие от финансовой стороны завода и данных ему заказов, не могут, конечпо, регулировать своих требований и соразмерять их с возможностью их удовлетворения.</w:t>
      </w:r>
    </w:p>
    <w:p w14:paraId="4F909652"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Одно финансирование предприятия путем дальнейшей выдачи авансов без принятия какпх-лпбо попыток к уменьшению роста требований рабочих явится лишь паллиативом и создаст лишь временную отсрочку в закрытии предприятия, увеличив, однако, задолженность его казне, причем вовсе не создается уверенности в том, что заказы иа оборону будут выполнены. Насколько увеличились денежные трсбоваипя рабочих, видно из следующих цифр: до революции средняя выплата заработной платы равнялась 30 000 руб. в месяц, март и апрель по 54 775 руб., и выплата за последние 2 недели мая —34 500 руб., ие говоря уже о понижении производительности завода.</w:t>
      </w:r>
    </w:p>
    <w:p w14:paraId="78E3B03C"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Из переговоров с Слюсаренко и его рабочими и по данным о положении дел завода выяснилось, что наиболее целесообразным способом в настоящее время является следующий.</w:t>
      </w:r>
    </w:p>
    <w:p w14:paraId="51ECF5F1"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Для заведования всеми делами и деятельностью завода во главе завода ставится особое управление в составе: 2 представителей Управления военного воздушного флота но назначению начальника последнего, 2 представителей от рабочих, 2 представителей от служащих завода и самого Слюсаренко. Представители рабочих и служащих избираются последними и утверждаются управлением, причем смена их путем переизбрания может быть допущена лишь с разрешения начальника Управления военное воздушного флота. Такая организация заводоуправления предпочтительна в том отношении, что преобладание в нем представителей рабочих и служащих придаст ему должный авторитет в глазах последних, а присутствие представителей военного ведомства обеспечивает фактический контроль и надзор за деятельностью предприятия со стороны Управления военное воздушного флота, что усиливается еще п тем, что авансы будут выдаваться лишь для оплаты текущих расходов по мере представления счетов в Управление военного воздушного флота.</w:t>
      </w:r>
    </w:p>
    <w:p w14:paraId="0AA3FA0B"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Такая мера могла бы быть принята на основании п. 4 ст. 10 Положения об Особом совещании для обсуждения и объединения мероприятий и обороне государства, предоставляющего председателю Особого совещания по обсуждении в Совещании устранять в необходимых случаях в казенных п частных предприятиях, работающих на нужды государственной обороны, правления, советы, наблюдательные комитеты и другие органы администрации сих предприятий как в полном составе, так и частично, в лице отдельных их членов, а также директоров и управляющих заводами, мастерскими и другими заведениями и отдельными имуществами означенных предприятий, замещать другими лицами, но своему усмотрению, освобднвшпеся вследствие сего места, равно назначать на таковые должности как па свободные места, так и на учреждаемые специально, сверх установленного их числа.</w:t>
      </w:r>
    </w:p>
    <w:p w14:paraId="4FBC2327"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Деятельность проектируемого заводоуправления должна была бы быть организована применительно к инструкции, утвержденной председателем Особого совещания по обороне 20 апреля 1916 г.3</w:t>
      </w:r>
    </w:p>
    <w:p w14:paraId="7F9D80FB"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Содержание членов заводоуправления полагалось бы отнести: члененов по избранию — на счет завода, членов по назначению — на счет казны</w:t>
      </w:r>
    </w:p>
    <w:p w14:paraId="586A1A03"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основании изложенных соображений и. д. начальника Управления военного воздушного флота полагал необходнмым:</w:t>
      </w:r>
    </w:p>
    <w:p w14:paraId="7974D69A"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В порядке п. 4 ст. 10 Положения об Особом совещании по оборокгосударства управление делами завода В. В. Слюсаренко в Петрограде по выполнению заказов на оборону поручить особому заводоуправление в составе: владельца завода Слюсаренко и шести лиц, из коих два — по избранию рабочих, два - по избранию служащих завода и два — от военного ведомства, назначаемых начальником Управления военного воздушного флота.</w:t>
      </w:r>
    </w:p>
    <w:p w14:paraId="1259D945"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Деятельность означенного заводоуправления определяется применительно к времен[ной] инструкции, утвержденной председателем Особ. совещания по обороне государства 20 апреля 1916 г.</w:t>
      </w:r>
    </w:p>
    <w:p w14:paraId="1BF0E158"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 Расходы по вознаграждению представителей военного ведомства отнести на счет казны, а остальных членов заводоуправления — на счет предприятия.</w:t>
      </w:r>
    </w:p>
    <w:p w14:paraId="0301A611"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Приступив к рассмотрению вышеизложенного представления Управления военного воздушного флота, Подготовительная комиссия по авиационным вопросам приняла во внимание, что мастерская Слюсаренко представляет собою небольшое предприятие, в котором работает всего 200—250 человек и которое выпускало до сего времени ежемесячно крайне незначительное количество аэропланов. Установление для пего особого заводоуправления из представителей рабочих и представителей ведомств могло бы явиться прецедентом для аналогичного разрешения вопросов, возникающих во многих предприятиях в связи с переживаемым ныне промышленностью тяжким кризисом. Создание на заводе Слюсаренко особого управления вышеуказанного типа могло бы иметь своим следствием желание рабочих и других мастерских и заводов создать в предприятиях, где они работают, подобные управлении, и не было бы оснований, допустив его на заводе Слюсаренко, не допустить его учреждения па других заводах. Разрешение же вопроса столь огромной важности по поводу частного случая представлялось бы в высшей степени опасным и недостаточно продуманным. Установив на заводе Слюсаренко управление из рабочих и представителей ведомств, правительство сделало бы первый шаг по пути, который столь неудачно был испробован Францией в 1848 г. на пути создания национальных мастерских.</w:t>
      </w:r>
    </w:p>
    <w:p w14:paraId="714C9D62"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Подобная попытка разрешения промышленного кризиса могла бы быть сделана специальным ведомством, а именно Министерством труда лишь по надлежащем всестороннем предварительном его обсуждении во Временном правительстве, а не случайно по поводу отдельного частного случая.</w:t>
      </w:r>
    </w:p>
    <w:p w14:paraId="233EB630"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Кроме того, учреждение особого заводоуправления из представителей рабочих и правительства — причем, в частности, на заводе Слюсаренко, кроме указанных в представлении, ведомства должны были бы быть включены еще представители министерств: Труда, Финансов и Государственного контроля, а потому соответственно увеличено и число представителей от рабочих — привело бы к значительным расходам казны на содержание упомянутых представителей, расходам тем менее оправдываемым необходимостью, что создание столь громоздких численно правлений в таких небольших предприятиях, как завод Слюсаренко, вряд ли способствовало бы успеху дела.</w:t>
      </w:r>
    </w:p>
    <w:p w14:paraId="37E0041D"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Наконец, в случае если бы система заводоуправления, предполагаемая ведомством к установлению па заводе Слюсаренко, была бы принята в значительном числе других предприятий, то у ведомства не хватило бы достаточно чинов, обладающих должною осведомленностью, которых можно было бы назначать представителями. Уже п сейчас во многих ведомствах наблюдается, что лица, назначенные представителями в различных комиссиях н учреждениях, не успевают справляться не только с своею обычною текущею работою, по даже и с принятыми на себя новыми обязанностями.</w:t>
      </w:r>
    </w:p>
    <w:p w14:paraId="280A9A9D"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Присутствовавший в комиссии и. д. начальника Управления военного воздушного флота полк. Яковлев заявил, что, всецело разделяя соображения комиссии относительно нежелательности по поводу данного частного случая разрешать вопрос, касающийся всей промышленности, он тем не менее с своей стороны признавал бы более осторожным постараться изыскать приемлемые способы сохранения таких предприятий, как завод Слюсаренко, ибо предприятия эти, хотя и небольшие но размерам, являются теми ячейками, из которых должна развиться отечественная аэропланостроительная промышленность. Между тем отклонение создания предположенного, но взаимному соглашению ведомства и владельца завода и рабочих, особого заводоуправления выдвинуло бы, весьма возможно, па очередь вопрос о совершенной ликвидации предприятия, так как у завода не оказалось бы хозяина, который мог бы распоряжаться расходованием поступающих из Управления военного воздушного флота денежных средств.</w:t>
      </w:r>
    </w:p>
    <w:p w14:paraId="39DA36DA"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При этом следует еще отметить, что, несомненно, завод Слюсаренко страдал от некоторой безхозяйственности ведения дела бывшим его владельцем, который в настоящее время соглашается передать заведование предприятием проектированному особому управлению, а рабочие, в высшей степени заинтересованные в дальнейшем существовании завода, прилагают все усилия к установлению на заводе порядка, гарантирующего производительность работы.</w:t>
      </w:r>
    </w:p>
    <w:p w14:paraId="03771D6B"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Ввиду сего, по мнению и. д. начальника Управления военного воздушного флота и представителя морского ведомства, осуществление приведенных предположений является в виде исключения мерою весьма желательною.</w:t>
      </w:r>
    </w:p>
    <w:p w14:paraId="0BB04BA5"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Вместе с тем полк. Яковлев полагал совершенно невозможным установить подобное проектируемому заводоуправление, с участием представителен Управления военного воздушного флота, в качестве общей меры на прочих заводах, работающих на авиацию, за недостатком чинов ведомства, на коих могли бы быть возложены обязанности представителей в упомянутых заводоуправлениях, если не сводить эти обязанности к простой фикции. Управление военного воздушного флота переобременено и без того текущей работой и считает совершенно неправильным переложение па него как на заготовительное ведомство также обязанностей по управлению частными заводскими предприятиями. Разрешение вопросов, возникающих во внутренней жизни частных предприятий, и особливо вопросов, касающихся отношений между рабочими и работодателями, как и вообще радение о нормальном ходе дела на фабриках и заводах, лежит всецело на обязанности Министерства труда, а не отдельных заготовительных ведомств Военного министерства, ведающих лишь распределением и приемкою заказов. Поэтому, по мнению и. д. начальника Управления военного воздушного флота, представляется настоятельно необходимым ныне же изыскать способы, снимающие с Управления военного воздушного флота обязательство заботиться об устранении ненормальных отношений между рабочими и работодателями па авиационных заводах.</w:t>
      </w:r>
    </w:p>
    <w:p w14:paraId="0552AE25"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Не встречая с своей стороны возражений против высказанных полк. Яковлевым суждений общего свойства, Подготовительная комиссия. однако, полагая, что обсуждение общего вопроса о различных способах социализации промышленных предприятий не входит в пределы ее компетенции п что установление па заводе Слюсаренко особого заводоуправления из представителей рабочих и представителей ведомств на заводе является по вышеприведенным соображениям нежелательным, постановила:</w:t>
      </w:r>
    </w:p>
    <w:p w14:paraId="4FEF7391"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I. Представление и. д. начальника Управления военного воздушного флота от 7 июня с. г. за № 9125/1875 о положении дел на аэропланостроптельном заводе В. В. Слюсаренко отклонить.</w:t>
      </w:r>
    </w:p>
    <w:p w14:paraId="30316F5F"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 Довести до сведения Особого совещания для обсуждения и объединения мероприятий по обороне государства о высказанных в среде комиссии но сему предмету различных мнениях.</w:t>
      </w:r>
    </w:p>
    <w:p w14:paraId="738A665A"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 комиссии Гурко.</w:t>
      </w:r>
    </w:p>
    <w:p w14:paraId="1F85788B"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ЦГВИА, ф. 369, on. 8, д. 40, лл. 4—7. Подлинник (20450).</w:t>
      </w:r>
    </w:p>
    <w:p w14:paraId="5E6E2B0F" w14:textId="77777777" w:rsidR="00FD62E7" w:rsidRPr="002F2FDF" w:rsidRDefault="00FD62E7" w:rsidP="0083075A">
      <w:pPr>
        <w:spacing w:after="0" w:line="240" w:lineRule="auto"/>
        <w:jc w:val="both"/>
        <w:rPr>
          <w:rFonts w:ascii="Times New Roman" w:hAnsi="Times New Roman" w:cs="Times New Roman"/>
          <w:color w:val="000000" w:themeColor="text1"/>
          <w:sz w:val="16"/>
          <w:szCs w:val="16"/>
        </w:rPr>
      </w:pPr>
    </w:p>
    <w:p w14:paraId="062DB15A" w14:textId="77777777" w:rsidR="008648EA" w:rsidRPr="002F2FDF" w:rsidRDefault="008648EA"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июля 1917 г. инженер Петковский провел испытание стоек крыла ИМ на продольный изгиб в лаборатории Петроградского политехнического инсти</w:t>
      </w:r>
      <w:r w:rsidRPr="002F2FDF">
        <w:rPr>
          <w:rFonts w:ascii="Times New Roman" w:hAnsi="Times New Roman" w:cs="Times New Roman"/>
          <w:color w:val="000000" w:themeColor="text1"/>
          <w:kern w:val="2"/>
          <w:sz w:val="16"/>
          <w:szCs w:val="16"/>
        </w:rPr>
        <w:softHyphen/>
        <w:t>тута (10667).</w:t>
      </w:r>
    </w:p>
    <w:p w14:paraId="21F97F45" w14:textId="77777777" w:rsidR="008648EA" w:rsidRPr="002F2FDF" w:rsidRDefault="008648EA"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944F08"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июля 1917 г. прошло испытание стоек крыла ИМ на продольный изгиб в лаборатории Петроградского политехнического института, которые провел инженер Петковский). 27 сентября 1917 г. дирекция РБВЗ направила письмо в Управление Военно-воздушного флота по поводу прочности самолета ИМ:</w:t>
      </w:r>
    </w:p>
    <w:p w14:paraId="03A8E55D"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«…Настоящая война дает ряд примеров боевой работы «Муромцев», доказывая их мощность и огромные результаты, которые достигаются этими машинами в боевом отношении — бомбометанием, фотографической разведкой, способностью вести продолжительный огневой бой с воздушным противником.</w:t>
      </w:r>
    </w:p>
    <w:p w14:paraId="0173D337"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Необоснованный теоретический подсчет запаса прочности этого типа воздушных кораблей, произведенный в комиссии проф. Фан-дер-Флита, набросил тень на доброе имя «Муромцев», но немедленно произведенная практическая проверка прочности частей корабля в лаборатории Политехнического Института рассеяла сомнения в достаточном запасе прочности «Муромцев» и выяснила с полной убедительностью ошибочность теоретического расчета Комиссии».</w:t>
      </w:r>
    </w:p>
    <w:p w14:paraId="537AA1D2"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ограничившись прочностью, комиссия занималась анализом концепции развития «Муромцев», что было связано с появлением типа Е и с предполагаемой установкой на машины этого типа еще более мощных (260–300 л.с.) и тяжелых двигателей «Рено».</w:t>
      </w:r>
    </w:p>
    <w:p w14:paraId="229EE203"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мнению профессора А. Л. Фан-дер-Флита, высказанного им в августе 1917 г., дальнейшее увеличение мощности моторов «Муромцев» нецелесообразно, так как при этом растет вес машины, поэтому повысить летные характеристики лучше совершенствованием аэродинамики самолета, в частности установкой капотов на моторы.</w:t>
      </w:r>
    </w:p>
    <w:p w14:paraId="44516189"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Сикорский также пришел к мнению о необходимости снижения аэродинамического сопротивления и начал разработку последней модификации «Муромца» — тип Ж. В ней резко уменьшалось число стоек, растяжек, выступающих в поток частей, но новая модификация так и не была построена (15125).</w:t>
      </w:r>
    </w:p>
    <w:p w14:paraId="01179373"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p>
    <w:p w14:paraId="00804B9E"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15 (28) июля в 1917 году получен контракт на изготовление двух аппаратов типа </w:t>
      </w:r>
      <w:hyperlink r:id="rId444" w:tgtFrame="_blank" w:history="1">
        <w:r w:rsidRPr="002F2FDF">
          <w:rPr>
            <w:rFonts w:ascii="Times New Roman" w:hAnsi="Times New Roman" w:cs="Times New Roman"/>
            <w:color w:val="000000" w:themeColor="text1"/>
            <w:kern w:val="2"/>
            <w:sz w:val="16"/>
            <w:szCs w:val="16"/>
          </w:rPr>
          <w:t xml:space="preserve">«ВМ-5». </w:t>
        </w:r>
      </w:hyperlink>
      <w:r w:rsidRPr="002F2FDF">
        <w:rPr>
          <w:rFonts w:ascii="Times New Roman" w:hAnsi="Times New Roman" w:cs="Times New Roman"/>
          <w:color w:val="000000" w:themeColor="text1"/>
          <w:kern w:val="2"/>
          <w:sz w:val="16"/>
          <w:szCs w:val="16"/>
        </w:rPr>
        <w:t>Известно, что испытания самолета на лыжном шасси со снятыми боковыми поплавками и реданом состоялись в период 25 - 29 марта 1919 г. Каких-либо последствий это событие не имело, дальнейшая судьба «ВМ-5» осталась неясной (14953).</w:t>
      </w:r>
    </w:p>
    <w:p w14:paraId="54E19FA6" w14:textId="77777777" w:rsidR="008648EA" w:rsidRPr="002F2FDF" w:rsidRDefault="008648EA" w:rsidP="0083075A">
      <w:pPr>
        <w:spacing w:after="0" w:line="240" w:lineRule="auto"/>
        <w:jc w:val="both"/>
        <w:rPr>
          <w:rFonts w:ascii="Times New Roman" w:hAnsi="Times New Roman" w:cs="Times New Roman"/>
          <w:color w:val="000000" w:themeColor="text1"/>
          <w:kern w:val="2"/>
          <w:sz w:val="16"/>
          <w:szCs w:val="16"/>
        </w:rPr>
      </w:pPr>
    </w:p>
    <w:p w14:paraId="519DD230" w14:textId="77777777" w:rsidR="00DE1F21" w:rsidRPr="00FB4F67" w:rsidRDefault="00DE1F21" w:rsidP="0083075A">
      <w:pPr>
        <w:spacing w:after="0" w:line="240" w:lineRule="auto"/>
        <w:jc w:val="both"/>
        <w:rPr>
          <w:rFonts w:ascii="Times New Roman" w:hAnsi="Times New Roman" w:cs="Times New Roman"/>
          <w:color w:val="0070C0"/>
          <w:sz w:val="16"/>
          <w:szCs w:val="16"/>
        </w:rPr>
      </w:pPr>
      <w:bookmarkStart w:id="212" w:name="_Hlk120198872"/>
      <w:r w:rsidRPr="00FB4F67">
        <w:rPr>
          <w:rFonts w:ascii="Times New Roman" w:hAnsi="Times New Roman" w:cs="Times New Roman"/>
          <w:color w:val="0070C0"/>
          <w:sz w:val="16"/>
          <w:szCs w:val="16"/>
        </w:rPr>
        <w:t>15 июля 1917 г. Ф. Мельцером был получен контракт на изготовление двух аппара</w:t>
      </w:r>
      <w:r w:rsidRPr="00FB4F67">
        <w:rPr>
          <w:rFonts w:ascii="Times New Roman" w:hAnsi="Times New Roman" w:cs="Times New Roman"/>
          <w:color w:val="0070C0"/>
          <w:sz w:val="16"/>
          <w:szCs w:val="16"/>
        </w:rPr>
        <w:softHyphen/>
        <w:t>тов типа ВМ-5, первый экземпляр изгото</w:t>
      </w:r>
      <w:r w:rsidRPr="00FB4F67">
        <w:rPr>
          <w:rFonts w:ascii="Times New Roman" w:hAnsi="Times New Roman" w:cs="Times New Roman"/>
          <w:color w:val="0070C0"/>
          <w:sz w:val="16"/>
          <w:szCs w:val="16"/>
        </w:rPr>
        <w:softHyphen/>
        <w:t>вили в октябре того же года, второй эк</w:t>
      </w:r>
      <w:r w:rsidRPr="00FB4F67">
        <w:rPr>
          <w:rFonts w:ascii="Times New Roman" w:hAnsi="Times New Roman" w:cs="Times New Roman"/>
          <w:color w:val="0070C0"/>
          <w:sz w:val="16"/>
          <w:szCs w:val="16"/>
        </w:rPr>
        <w:softHyphen/>
        <w:t>земпляр — месяц спустя.</w:t>
      </w:r>
    </w:p>
    <w:p w14:paraId="2E95514F" w14:textId="77777777" w:rsidR="00DE1F21" w:rsidRPr="00FB4F67" w:rsidRDefault="00DE1F2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Наступившая зима не позволила испы</w:t>
      </w:r>
      <w:r w:rsidRPr="00FB4F67">
        <w:rPr>
          <w:rFonts w:ascii="Times New Roman" w:hAnsi="Times New Roman" w:cs="Times New Roman"/>
          <w:color w:val="0070C0"/>
          <w:sz w:val="16"/>
          <w:szCs w:val="16"/>
        </w:rPr>
        <w:softHyphen/>
        <w:t>тать сразу ни один из этих двух самолетов, последующая неопределенность 1918-го года еще более затянула решение судьбы ВМ-5. Известно, что испытания самолета на лыжном шасси со снятыми боковыми поплавками и реданом состоялись в пери</w:t>
      </w:r>
      <w:r w:rsidRPr="00FB4F67">
        <w:rPr>
          <w:rFonts w:ascii="Times New Roman" w:hAnsi="Times New Roman" w:cs="Times New Roman"/>
          <w:color w:val="0070C0"/>
          <w:sz w:val="16"/>
          <w:szCs w:val="16"/>
        </w:rPr>
        <w:softHyphen/>
        <w:t>од 25—29 марта 1919 г. Каких-либо по</w:t>
      </w:r>
      <w:r w:rsidRPr="00FB4F67">
        <w:rPr>
          <w:rFonts w:ascii="Times New Roman" w:hAnsi="Times New Roman" w:cs="Times New Roman"/>
          <w:color w:val="0070C0"/>
          <w:sz w:val="16"/>
          <w:szCs w:val="16"/>
        </w:rPr>
        <w:softHyphen/>
        <w:t>следствий это событие не имело, дальней</w:t>
      </w:r>
      <w:r w:rsidRPr="00FB4F67">
        <w:rPr>
          <w:rFonts w:ascii="Times New Roman" w:hAnsi="Times New Roman" w:cs="Times New Roman"/>
          <w:color w:val="0070C0"/>
          <w:sz w:val="16"/>
          <w:szCs w:val="16"/>
        </w:rPr>
        <w:softHyphen/>
        <w:t>шая судьба ВМ-5 осталась неясной (23374).</w:t>
      </w:r>
    </w:p>
    <w:p w14:paraId="315CFD52" w14:textId="77777777" w:rsidR="00DE1F21" w:rsidRPr="00FB4F67" w:rsidRDefault="00DE1F21" w:rsidP="0083075A">
      <w:pPr>
        <w:spacing w:after="0" w:line="240" w:lineRule="auto"/>
        <w:jc w:val="both"/>
        <w:rPr>
          <w:rFonts w:ascii="Times New Roman" w:hAnsi="Times New Roman" w:cs="Times New Roman"/>
          <w:color w:val="0070C0"/>
          <w:sz w:val="16"/>
          <w:szCs w:val="16"/>
        </w:rPr>
      </w:pPr>
    </w:p>
    <w:bookmarkEnd w:id="212"/>
    <w:p w14:paraId="6EB691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июля 1917 фабрика Ф.Мельцера получила официальный заказ на изготовление двух морских истребителей Виллиша со 135 нр Клерже - ВМ-5 - вместо 2-х Э-III с тем же двигателем (2843,66).</w:t>
      </w:r>
    </w:p>
    <w:p w14:paraId="6D095B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FEE04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15 </w:t>
      </w:r>
      <w:r w:rsidR="00880559" w:rsidRPr="002F2FDF">
        <w:rPr>
          <w:rFonts w:ascii="Times New Roman" w:hAnsi="Times New Roman" w:cs="Times New Roman"/>
          <w:color w:val="000000" w:themeColor="text1"/>
          <w:kern w:val="2"/>
          <w:sz w:val="16"/>
          <w:szCs w:val="16"/>
        </w:rPr>
        <w:t xml:space="preserve">(28) </w:t>
      </w:r>
      <w:r w:rsidRPr="002F2FDF">
        <w:rPr>
          <w:rFonts w:ascii="Times New Roman" w:hAnsi="Times New Roman" w:cs="Times New Roman"/>
          <w:color w:val="000000" w:themeColor="text1"/>
          <w:kern w:val="2"/>
          <w:sz w:val="16"/>
          <w:szCs w:val="16"/>
        </w:rPr>
        <w:t>июля 1917 компании Мельцера официально заказали только 2 прототипа летающей лодки типа Э.1П, на каждом из которых планировалась установка мотора "Рон" 125 л.с. Ко дню подписания контракта одна из опытных машин была, по всей видимости, уже готова, но ее испытания начались только 24 августа. Гидроаэроплан Э.1П №1 был дви</w:t>
      </w:r>
      <w:r w:rsidRPr="002F2FDF">
        <w:rPr>
          <w:rFonts w:ascii="Times New Roman" w:hAnsi="Times New Roman" w:cs="Times New Roman"/>
          <w:color w:val="000000" w:themeColor="text1"/>
          <w:kern w:val="2"/>
          <w:sz w:val="16"/>
          <w:szCs w:val="16"/>
        </w:rPr>
        <w:softHyphen/>
        <w:t>жим номинально 120-сильным "Роном", развивавшим на деле 131 л.с. Свинцовый груз в левом крыле оказался недостаточным для компенсации гироскопического эффекта более мощной энергетической установки и вероятно поэтому летающая лодка зарывалась в воду законцовкой правого крыла, так и не выйдя на редан и не оторвавшись от морской повер</w:t>
      </w:r>
      <w:r w:rsidRPr="002F2FDF">
        <w:rPr>
          <w:rFonts w:ascii="Times New Roman" w:hAnsi="Times New Roman" w:cs="Times New Roman"/>
          <w:color w:val="000000" w:themeColor="text1"/>
          <w:kern w:val="2"/>
          <w:sz w:val="16"/>
          <w:szCs w:val="16"/>
        </w:rPr>
        <w:softHyphen/>
        <w:t>хности. Управлял ею во время этого неудачного эксперимента лейтенант Н.А. Яковицкий, инструктор Петроградской школы морской авиации, а сам опыт осуществлялся на станции Мельцера на Крестовском острове. К 25 сентября недостаток конструкции устранили, скорее всего путем увеличения противовеса, и согласно Шаврову 10 октября аэроплан был якобы принят флотом (автор не нашел подтверждения этой информации). Аппарат Э.1П №2 со</w:t>
      </w:r>
      <w:r w:rsidRPr="002F2FDF">
        <w:rPr>
          <w:rFonts w:ascii="Times New Roman" w:hAnsi="Times New Roman" w:cs="Times New Roman"/>
          <w:color w:val="000000" w:themeColor="text1"/>
          <w:kern w:val="2"/>
          <w:sz w:val="16"/>
          <w:szCs w:val="16"/>
        </w:rPr>
        <w:softHyphen/>
        <w:t>брали к 1 августа 1917 г., но затем планировалось вносить в него какие-то улучшения по результатам испытаний №1.</w:t>
      </w:r>
    </w:p>
    <w:p w14:paraId="3EEF9E0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8F156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июля 1917 г. фабрика Ф. Мельцера получила официальный заказ на изготов</w:t>
      </w:r>
      <w:r w:rsidRPr="002F2FDF">
        <w:rPr>
          <w:rFonts w:ascii="Times New Roman" w:hAnsi="Times New Roman" w:cs="Times New Roman"/>
          <w:color w:val="000000" w:themeColor="text1"/>
          <w:kern w:val="2"/>
          <w:sz w:val="16"/>
          <w:szCs w:val="16"/>
        </w:rPr>
        <w:softHyphen/>
        <w:t>ление двух истребителей Виллиша,каждый со 135-сильным "Клерже", данный в отмену ус</w:t>
      </w:r>
      <w:r w:rsidRPr="002F2FDF">
        <w:rPr>
          <w:rFonts w:ascii="Times New Roman" w:hAnsi="Times New Roman" w:cs="Times New Roman"/>
          <w:color w:val="000000" w:themeColor="text1"/>
          <w:kern w:val="2"/>
          <w:sz w:val="16"/>
          <w:szCs w:val="16"/>
        </w:rPr>
        <w:softHyphen/>
        <w:t>ловного контракта на два аппарата типа Э.1П с теми же двигателями. Сборку опытных машин планировалось осуществить в течение месяца, но потом программу их выпуска пе</w:t>
      </w:r>
      <w:r w:rsidRPr="002F2FDF">
        <w:rPr>
          <w:rFonts w:ascii="Times New Roman" w:hAnsi="Times New Roman" w:cs="Times New Roman"/>
          <w:color w:val="000000" w:themeColor="text1"/>
          <w:kern w:val="2"/>
          <w:sz w:val="16"/>
          <w:szCs w:val="16"/>
        </w:rPr>
        <w:softHyphen/>
        <w:t>ресмотрели с установлением более поздних сроков исполнения: первый прототип ожидался к испытаниям в период с 1 по 10 октября, а второй — к концу октября 1917 г. (2843)</w:t>
      </w:r>
    </w:p>
    <w:p w14:paraId="5135624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Летающая лодка модель ВМ-5 была одномоторным одноместным одностоечным бипланом истребительного типа с толкающей силовой установкой. Ее удобообтекаемый и элегантный корпус с килеватыми обводами днища собирался из ясеневого остова и фанерной обшивки. Имелся единственный и скорее всего съемный редан. Два однолонжеронных нижних крыла с присоединявшимися без всякого зазора вспомогательными поплавками под каждым кре</w:t>
      </w:r>
      <w:r w:rsidRPr="002F2FDF">
        <w:rPr>
          <w:rFonts w:ascii="Times New Roman" w:hAnsi="Times New Roman" w:cs="Times New Roman"/>
          <w:color w:val="000000" w:themeColor="text1"/>
          <w:kern w:val="2"/>
          <w:sz w:val="16"/>
          <w:szCs w:val="16"/>
        </w:rPr>
        <w:softHyphen/>
        <w:t>пились к корпусу лодки и, в свою очередь соединенные посредством немногочисленных центральных и боковых стоек с верхними двухлонжеронными несущими поверхностями, об</w:t>
      </w:r>
      <w:r w:rsidRPr="002F2FDF">
        <w:rPr>
          <w:rFonts w:ascii="Times New Roman" w:hAnsi="Times New Roman" w:cs="Times New Roman"/>
          <w:color w:val="000000" w:themeColor="text1"/>
          <w:kern w:val="2"/>
          <w:sz w:val="16"/>
          <w:szCs w:val="16"/>
        </w:rPr>
        <w:softHyphen/>
        <w:t>разовывали коробку крыльев, усиленную растяжками. Элероны подвешивались только к верхним крыльям, а хвостовое оперение состояло из киля, стабилизатора, руля поворота и двух рулей глубины - все небольших размеров и площади. Моторама служила основанием для установки двигателя, расходного топливного бака и масляного резервуара, скрытых за яйцевидным обтекателем. Главный топливный бак находился позади сиденья пилота, тогда как помещение для неподвижного пулемета устраивалось перед ним. В целом машина имела очень приятные внешние очертания и производила хорошее впечатление (2843).</w:t>
      </w:r>
    </w:p>
    <w:p w14:paraId="0808A87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контракте на летающие лодки ВМ-5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2F2FDF" w14:paraId="4A8BD9B6" w14:textId="77777777">
        <w:tc>
          <w:tcPr>
            <w:tcW w:w="4788" w:type="dxa"/>
            <w:tcBorders>
              <w:top w:val="single" w:sz="12" w:space="0" w:color="auto"/>
            </w:tcBorders>
            <w:shd w:val="clear" w:color="auto" w:fill="FFFFFF"/>
          </w:tcPr>
          <w:p w14:paraId="4F33D9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132D43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 15 1917</w:t>
            </w:r>
          </w:p>
        </w:tc>
      </w:tr>
      <w:tr w:rsidR="002B1C74" w:rsidRPr="002F2FDF" w14:paraId="42A9E1B5" w14:textId="77777777">
        <w:tc>
          <w:tcPr>
            <w:tcW w:w="4788" w:type="dxa"/>
            <w:shd w:val="clear" w:color="auto" w:fill="FFFFFF"/>
          </w:tcPr>
          <w:p w14:paraId="722BFC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заказанных аэропланов</w:t>
            </w:r>
          </w:p>
        </w:tc>
        <w:tc>
          <w:tcPr>
            <w:tcW w:w="4788" w:type="dxa"/>
            <w:shd w:val="clear" w:color="auto" w:fill="FFFFFF"/>
          </w:tcPr>
          <w:p w14:paraId="1C7800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r>
      <w:tr w:rsidR="002B1C74" w:rsidRPr="002F2FDF" w14:paraId="7D8351F2" w14:textId="77777777">
        <w:tc>
          <w:tcPr>
            <w:tcW w:w="4788" w:type="dxa"/>
            <w:shd w:val="clear" w:color="auto" w:fill="FFFFFF"/>
          </w:tcPr>
          <w:p w14:paraId="0A44AF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Заводские номера построенных аэропланов</w:t>
            </w:r>
          </w:p>
        </w:tc>
        <w:tc>
          <w:tcPr>
            <w:tcW w:w="4788" w:type="dxa"/>
            <w:shd w:val="clear" w:color="auto" w:fill="FFFFFF"/>
          </w:tcPr>
          <w:p w14:paraId="081DE2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и, скорее всего, 4</w:t>
            </w:r>
          </w:p>
        </w:tc>
      </w:tr>
      <w:tr w:rsidR="002B1C74" w:rsidRPr="002F2FDF" w14:paraId="5CD63CEB" w14:textId="77777777">
        <w:tc>
          <w:tcPr>
            <w:tcW w:w="4788" w:type="dxa"/>
            <w:tcBorders>
              <w:bottom w:val="single" w:sz="12" w:space="0" w:color="auto"/>
            </w:tcBorders>
            <w:shd w:val="clear" w:color="auto" w:fill="FFFFFF"/>
          </w:tcPr>
          <w:p w14:paraId="31EBAA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38F9A9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срок исполнения 1 месяц, затем с 1 по 10 октября (1-й прототип) и к концу октября (2-й прототип) 1917 г. Примечания: обе машины построены в октябре-декабре, но так и не сданы до конца 1917 г. (2843).</w:t>
            </w:r>
          </w:p>
        </w:tc>
      </w:tr>
    </w:tbl>
    <w:p w14:paraId="21EBF93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C541E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E7ECD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99E9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июля 1917 самолеты 1БАГ прибыли в Хотин, а через день подошли обозы. Аэро</w:t>
      </w:r>
      <w:r w:rsidRPr="002F2FDF">
        <w:rPr>
          <w:rFonts w:ascii="Times New Roman" w:hAnsi="Times New Roman" w:cs="Times New Roman"/>
          <w:color w:val="000000" w:themeColor="text1"/>
          <w:kern w:val="2"/>
          <w:sz w:val="16"/>
          <w:szCs w:val="16"/>
        </w:rPr>
        <w:softHyphen/>
        <w:t>дром группы разместился у западной окраины города. Отсюда в последую</w:t>
      </w:r>
      <w:r w:rsidRPr="002F2FDF">
        <w:rPr>
          <w:rFonts w:ascii="Times New Roman" w:hAnsi="Times New Roman" w:cs="Times New Roman"/>
          <w:color w:val="000000" w:themeColor="text1"/>
          <w:kern w:val="2"/>
          <w:sz w:val="16"/>
          <w:szCs w:val="16"/>
        </w:rPr>
        <w:softHyphen/>
        <w:t>щие дни пилоты летали главным обра</w:t>
      </w:r>
      <w:r w:rsidRPr="002F2FDF">
        <w:rPr>
          <w:rFonts w:ascii="Times New Roman" w:hAnsi="Times New Roman" w:cs="Times New Roman"/>
          <w:color w:val="000000" w:themeColor="text1"/>
          <w:kern w:val="2"/>
          <w:sz w:val="16"/>
          <w:szCs w:val="16"/>
        </w:rPr>
        <w:softHyphen/>
        <w:t>зом на разведку (3954).</w:t>
      </w:r>
    </w:p>
    <w:p w14:paraId="38A225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8B91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15 (28) июля 1917 л 11 као, мл. лейт. французской службы В.Г.Федотов (эмигрант с 1908) атаковал в районе Сморгонь-Крево немецкий самолет и прогнал его, а потом - другой и подбил его. Противник со снижением ушел к своим окопам (3651).</w:t>
      </w:r>
    </w:p>
    <w:p w14:paraId="68484C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A1493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июля 1917 летчик II КАО, младший лейтенант французской службы, Виктор Георгиевич Федоров атаковал в районе Сморгонъ-Крево немецкий самолет и прогнал его, а потом атаковал другого противника и подбил его. Противник с большим снижением быстро полетел к своим окопам (ЦГВИА. ф,2041, оп.1, Д.17, л.13).</w:t>
      </w:r>
    </w:p>
    <w:p w14:paraId="1E830F1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78EFBC" w14:textId="6F9A922E" w:rsidR="001E13F7" w:rsidRDefault="001E13F7"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15 (28) ию</w:t>
      </w:r>
      <w:r w:rsidR="00B250AD">
        <w:rPr>
          <w:rFonts w:ascii="Times New Roman" w:hAnsi="Times New Roman" w:cs="Times New Roman"/>
          <w:color w:val="0070C0"/>
          <w:sz w:val="16"/>
          <w:szCs w:val="16"/>
        </w:rPr>
        <w:t>л</w:t>
      </w:r>
      <w:r>
        <w:rPr>
          <w:rFonts w:ascii="Times New Roman" w:hAnsi="Times New Roman" w:cs="Times New Roman"/>
          <w:color w:val="0070C0"/>
          <w:sz w:val="16"/>
          <w:szCs w:val="16"/>
        </w:rPr>
        <w:t>я 1917 г. л</w:t>
      </w:r>
      <w:r w:rsidRPr="00815ED5">
        <w:rPr>
          <w:rFonts w:ascii="Times New Roman" w:hAnsi="Times New Roman" w:cs="Times New Roman"/>
          <w:color w:val="0070C0"/>
          <w:sz w:val="16"/>
          <w:szCs w:val="16"/>
        </w:rPr>
        <w:t xml:space="preserve">етчик 11 </w:t>
      </w:r>
      <w:r>
        <w:rPr>
          <w:rFonts w:ascii="Times New Roman" w:hAnsi="Times New Roman" w:cs="Times New Roman"/>
          <w:color w:val="0070C0"/>
          <w:sz w:val="16"/>
          <w:szCs w:val="16"/>
        </w:rPr>
        <w:t>КАО</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ст</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л</w:t>
      </w:r>
      <w:r w:rsidRPr="00815ED5">
        <w:rPr>
          <w:rFonts w:ascii="Times New Roman" w:hAnsi="Times New Roman" w:cs="Times New Roman"/>
          <w:color w:val="0070C0"/>
          <w:sz w:val="16"/>
          <w:szCs w:val="16"/>
        </w:rPr>
        <w:t>е</w:t>
      </w:r>
      <w:r>
        <w:rPr>
          <w:rFonts w:ascii="Times New Roman" w:hAnsi="Times New Roman" w:cs="Times New Roman"/>
          <w:color w:val="0070C0"/>
          <w:sz w:val="16"/>
          <w:szCs w:val="16"/>
        </w:rPr>
        <w:t>й</w:t>
      </w:r>
      <w:r w:rsidRPr="00815ED5">
        <w:rPr>
          <w:rFonts w:ascii="Times New Roman" w:hAnsi="Times New Roman" w:cs="Times New Roman"/>
          <w:color w:val="0070C0"/>
          <w:sz w:val="16"/>
          <w:szCs w:val="16"/>
        </w:rPr>
        <w:t xml:space="preserve">тенант </w:t>
      </w:r>
      <w:r>
        <w:rPr>
          <w:rFonts w:ascii="Times New Roman" w:hAnsi="Times New Roman" w:cs="Times New Roman"/>
          <w:color w:val="0070C0"/>
          <w:sz w:val="16"/>
          <w:szCs w:val="16"/>
        </w:rPr>
        <w:t>ф</w:t>
      </w:r>
      <w:r w:rsidRPr="00815ED5">
        <w:rPr>
          <w:rFonts w:ascii="Times New Roman" w:hAnsi="Times New Roman" w:cs="Times New Roman"/>
          <w:color w:val="0070C0"/>
          <w:sz w:val="16"/>
          <w:szCs w:val="16"/>
        </w:rPr>
        <w:t>ранцузской службы, Фактор Георгиевич Федоров атаковал в районе С</w:t>
      </w:r>
      <w:r>
        <w:rPr>
          <w:rFonts w:ascii="Times New Roman" w:hAnsi="Times New Roman" w:cs="Times New Roman"/>
          <w:color w:val="0070C0"/>
          <w:sz w:val="16"/>
          <w:szCs w:val="16"/>
        </w:rPr>
        <w:t>мор</w:t>
      </w:r>
      <w:r w:rsidRPr="00815ED5">
        <w:rPr>
          <w:rFonts w:ascii="Times New Roman" w:hAnsi="Times New Roman" w:cs="Times New Roman"/>
          <w:color w:val="0070C0"/>
          <w:sz w:val="16"/>
          <w:szCs w:val="16"/>
        </w:rPr>
        <w:t xml:space="preserve">гонь-Крево </w:t>
      </w:r>
      <w:r>
        <w:rPr>
          <w:rFonts w:ascii="Times New Roman" w:hAnsi="Times New Roman" w:cs="Times New Roman"/>
          <w:color w:val="0070C0"/>
          <w:sz w:val="16"/>
          <w:szCs w:val="16"/>
        </w:rPr>
        <w:t>н</w:t>
      </w:r>
      <w:r w:rsidRPr="00815ED5">
        <w:rPr>
          <w:rFonts w:ascii="Times New Roman" w:hAnsi="Times New Roman" w:cs="Times New Roman"/>
          <w:color w:val="0070C0"/>
          <w:sz w:val="16"/>
          <w:szCs w:val="16"/>
        </w:rPr>
        <w:t>емецки са</w:t>
      </w:r>
      <w:r w:rsidRPr="00815ED5">
        <w:rPr>
          <w:rFonts w:ascii="Times New Roman" w:hAnsi="Times New Roman" w:cs="Times New Roman"/>
          <w:color w:val="0070C0"/>
          <w:sz w:val="16"/>
          <w:szCs w:val="16"/>
        </w:rPr>
        <w:softHyphen/>
        <w:t>молет к прогнал его,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 ното</w:t>
      </w:r>
      <w:r>
        <w:rPr>
          <w:rFonts w:ascii="Times New Roman" w:hAnsi="Times New Roman" w:cs="Times New Roman"/>
          <w:color w:val="0070C0"/>
          <w:sz w:val="16"/>
          <w:szCs w:val="16"/>
        </w:rPr>
        <w:t>м</w:t>
      </w:r>
      <w:r w:rsidRPr="00815ED5">
        <w:rPr>
          <w:rFonts w:ascii="Times New Roman" w:hAnsi="Times New Roman" w:cs="Times New Roman"/>
          <w:color w:val="0070C0"/>
          <w:sz w:val="16"/>
          <w:szCs w:val="16"/>
        </w:rPr>
        <w:t xml:space="preserve"> атаковав другого противника к подбил его. Противник с бол</w:t>
      </w:r>
      <w:r>
        <w:rPr>
          <w:rFonts w:ascii="Times New Roman" w:hAnsi="Times New Roman" w:cs="Times New Roman"/>
          <w:color w:val="0070C0"/>
          <w:sz w:val="16"/>
          <w:szCs w:val="16"/>
        </w:rPr>
        <w:t>ьш</w:t>
      </w:r>
      <w:r w:rsidRPr="00815ED5">
        <w:rPr>
          <w:rFonts w:ascii="Times New Roman" w:hAnsi="Times New Roman" w:cs="Times New Roman"/>
          <w:color w:val="0070C0"/>
          <w:sz w:val="16"/>
          <w:szCs w:val="16"/>
        </w:rPr>
        <w:t>им снижением быстро полетел к своим окопам</w:t>
      </w:r>
      <w:r>
        <w:rPr>
          <w:rFonts w:ascii="Times New Roman" w:hAnsi="Times New Roman" w:cs="Times New Roman"/>
          <w:color w:val="0070C0"/>
          <w:sz w:val="16"/>
          <w:szCs w:val="16"/>
        </w:rPr>
        <w:t>.</w:t>
      </w:r>
    </w:p>
    <w:p w14:paraId="2B91C68E" w14:textId="77777777" w:rsidR="001E13F7" w:rsidRDefault="001E13F7"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/ЦГВИА, ф. 2401,2041, оп. 1, д. 17, л. 13/ (23320).</w:t>
      </w:r>
    </w:p>
    <w:p w14:paraId="127B0576" w14:textId="77777777" w:rsidR="001E13F7" w:rsidRDefault="001E13F7" w:rsidP="0083075A">
      <w:pPr>
        <w:spacing w:after="0" w:line="240" w:lineRule="auto"/>
        <w:jc w:val="both"/>
        <w:rPr>
          <w:rFonts w:ascii="Times New Roman" w:hAnsi="Times New Roman" w:cs="Times New Roman"/>
          <w:color w:val="0070C0"/>
          <w:sz w:val="16"/>
          <w:szCs w:val="16"/>
        </w:rPr>
      </w:pPr>
    </w:p>
    <w:p w14:paraId="33DCCAE5" w14:textId="5F74998F" w:rsidR="00EC440A" w:rsidRPr="00FB4F67" w:rsidRDefault="00EC440A"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15 (</w:t>
      </w:r>
      <w:r w:rsidRPr="00FB4F67">
        <w:rPr>
          <w:rFonts w:ascii="Times New Roman" w:hAnsi="Times New Roman" w:cs="Times New Roman"/>
          <w:color w:val="0070C0"/>
          <w:sz w:val="16"/>
          <w:szCs w:val="16"/>
        </w:rPr>
        <w:t>28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июля 1917 г. ружейным огнем был сбит германский самолет, «упавший, объятый пламенем, западнее Стесниковце (западнее Збаража)» (23405).</w:t>
      </w:r>
    </w:p>
    <w:p w14:paraId="3860797A" w14:textId="77777777" w:rsidR="00EC440A" w:rsidRPr="00FB4F67" w:rsidRDefault="00EC440A" w:rsidP="0083075A">
      <w:pPr>
        <w:spacing w:after="0" w:line="240" w:lineRule="auto"/>
        <w:jc w:val="both"/>
        <w:rPr>
          <w:rFonts w:ascii="Times New Roman" w:hAnsi="Times New Roman" w:cs="Times New Roman"/>
          <w:color w:val="0070C0"/>
          <w:sz w:val="16"/>
          <w:szCs w:val="16"/>
        </w:rPr>
      </w:pPr>
    </w:p>
    <w:p w14:paraId="57669C86" w14:textId="77777777" w:rsidR="00260EEA" w:rsidRPr="002F2FDF" w:rsidRDefault="00260EEA" w:rsidP="0083075A">
      <w:pPr>
        <w:pStyle w:val="ae"/>
        <w:spacing w:before="0" w:after="0"/>
        <w:jc w:val="both"/>
        <w:rPr>
          <w:color w:val="000000" w:themeColor="text1"/>
          <w:sz w:val="16"/>
          <w:szCs w:val="16"/>
        </w:rPr>
      </w:pPr>
      <w:r w:rsidRPr="002F2FDF">
        <w:rPr>
          <w:color w:val="000000" w:themeColor="text1"/>
          <w:sz w:val="16"/>
          <w:szCs w:val="16"/>
        </w:rPr>
        <w:t>15 (28) июля 1917 Генеральный штаб директивой № 5275 сообщил Начальнику УПИАРТ о введении на вооружение некоторых полков малых (легких) огнеметов и о разработке проекта штата огнеметного отделения на 12 огнеметов. Это отделение включалось в состав полковой команды траншейных орудий. Всего в отделении 1 офицер, 3 унтер-офицера, 5 ефрейторов и 21 рядовых. Генеральный штаб указывал, что необходимо немедленно приступить к формированию отделений и подготовке личного состава при запасной химической роте, для чего командировать на полторы недели личный состав на 20 полков (20246).</w:t>
      </w:r>
    </w:p>
    <w:p w14:paraId="168FB1F9" w14:textId="77777777" w:rsidR="00260EEA" w:rsidRPr="002F2FDF" w:rsidRDefault="00260EEA" w:rsidP="0083075A">
      <w:pPr>
        <w:pStyle w:val="ae"/>
        <w:spacing w:before="0" w:after="0"/>
        <w:jc w:val="both"/>
        <w:rPr>
          <w:color w:val="000000" w:themeColor="text1"/>
          <w:sz w:val="16"/>
          <w:szCs w:val="16"/>
        </w:rPr>
      </w:pPr>
    </w:p>
    <w:p w14:paraId="24E690BE" w14:textId="77777777" w:rsidR="004A7149" w:rsidRPr="002F2FDF" w:rsidRDefault="004A7149" w:rsidP="0083075A">
      <w:pPr>
        <w:pStyle w:val="ae"/>
        <w:spacing w:before="0" w:after="0"/>
        <w:jc w:val="both"/>
        <w:rPr>
          <w:color w:val="000000" w:themeColor="text1"/>
          <w:kern w:val="2"/>
          <w:sz w:val="16"/>
          <w:szCs w:val="16"/>
        </w:rPr>
      </w:pPr>
      <w:r w:rsidRPr="002F2FDF">
        <w:rPr>
          <w:color w:val="000000" w:themeColor="text1"/>
          <w:kern w:val="2"/>
          <w:sz w:val="16"/>
          <w:szCs w:val="16"/>
        </w:rPr>
        <w:t>К 15 (28) июля 1917 перешедшие в контрнаступление австро-германские войска заняли значительную часть Галиции и западной Украины, отвоевав практически все территории, потерянные ими в 1916 году в результате Брусиловского прорыва. Фронт стабилизировался по линии городов Броды – Зборов и реки Серет. Общие потери русского Юго-Западного фронта в результате неудачных операций июля 1917 года составили 1968 офицеров и 56 361 солдат.</w:t>
      </w:r>
    </w:p>
    <w:p w14:paraId="3C4B8305" w14:textId="77777777" w:rsidR="004A7149" w:rsidRPr="002F2FDF" w:rsidRDefault="004A7149" w:rsidP="0083075A">
      <w:pPr>
        <w:pStyle w:val="ae"/>
        <w:spacing w:before="0" w:after="0"/>
        <w:jc w:val="both"/>
        <w:rPr>
          <w:color w:val="000000" w:themeColor="text1"/>
          <w:kern w:val="2"/>
          <w:sz w:val="16"/>
          <w:szCs w:val="16"/>
        </w:rPr>
      </w:pPr>
      <w:r w:rsidRPr="002F2FDF">
        <w:rPr>
          <w:color w:val="000000" w:themeColor="text1"/>
          <w:kern w:val="2"/>
          <w:sz w:val="16"/>
          <w:szCs w:val="16"/>
        </w:rPr>
        <w:t>Предпринятые неделей ранее попытки наступления русских войск на Северном и Западном фронте также успехом не увенчались по причине развала дисциплины. 29 июля главнокомандующий Западного фронта генерал А. И. Деникин докладывал Ставке: «Части двинулись в атаку, прошли церемониальным маршем две, три линии окопов противника и &lt;…&gt; вернулись в свои окопы. Операция была сорвана. Я на 19-вёрстном участке имел 184 батальона и 900 орудий; у врага было 17 батальонов в первой линии и 12 в резерве при 300 орудиях. В бой было введено 138 батальонов против 17, и 900 орудий против 300».</w:t>
      </w:r>
    </w:p>
    <w:p w14:paraId="37EE20EC" w14:textId="77777777" w:rsidR="004A7149" w:rsidRPr="002F2FDF" w:rsidRDefault="004A7149" w:rsidP="0083075A">
      <w:pPr>
        <w:pStyle w:val="ae"/>
        <w:spacing w:before="0" w:after="0"/>
        <w:jc w:val="both"/>
        <w:rPr>
          <w:color w:val="000000" w:themeColor="text1"/>
          <w:kern w:val="2"/>
          <w:sz w:val="16"/>
          <w:szCs w:val="16"/>
        </w:rPr>
      </w:pPr>
      <w:r w:rsidRPr="002F2FDF">
        <w:rPr>
          <w:color w:val="000000" w:themeColor="text1"/>
          <w:kern w:val="2"/>
          <w:sz w:val="16"/>
          <w:szCs w:val="16"/>
        </w:rPr>
        <w:t>«Так кончилось «знаменитое» наступление Керенского, погубившее многие тысячи солдат, — писал военный историк, генерал Андрей Зайончковский. — Непосильное перенапряжение сил больного организма старой армии, потребованное этим наступлением, имело один основной результат — ускорение дальнейшего распада всего Русского фронта. Попытки организовать наступление на Северном и Западном фронтах ни к чему не привели».</w:t>
      </w:r>
    </w:p>
    <w:p w14:paraId="4571C9DD" w14:textId="77777777" w:rsidR="004A7149" w:rsidRPr="002F2FDF" w:rsidRDefault="004A714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«Провал июньского наступления, — отмечает, в свою очередь, историк Ричард Пайпс, — стал личной катастрофой для Керенского, который рассчитывал с его помощью объединить разобщенную страну вокруг себя и правительства. Проиграв все, он сделался подозрительным, раздражительным, испытывал все большую растерянность. В таком состоянии он начал совершать непростительные ошибки, и это превратило его из обожаемого вождя в козла отпущения, одинаково презираемого и левыми, и правыми» (17045).</w:t>
      </w:r>
    </w:p>
    <w:p w14:paraId="318C45A7" w14:textId="77777777" w:rsidR="00556363" w:rsidRPr="002F2FDF" w:rsidRDefault="00556363"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914048E" w14:textId="77777777" w:rsidR="00556363" w:rsidRPr="002F2FDF" w:rsidRDefault="0055636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июля в 1917 году четыре новые германские дивизии останавливают наступление русских войск генерала Корнилова в Галиции (14953).</w:t>
      </w:r>
    </w:p>
    <w:p w14:paraId="4FFF7BF3" w14:textId="77777777" w:rsidR="00556363" w:rsidRPr="002F2FDF" w:rsidRDefault="00556363" w:rsidP="0083075A">
      <w:pPr>
        <w:spacing w:after="0" w:line="240" w:lineRule="auto"/>
        <w:jc w:val="both"/>
        <w:rPr>
          <w:rFonts w:ascii="Times New Roman" w:hAnsi="Times New Roman" w:cs="Times New Roman"/>
          <w:color w:val="000000" w:themeColor="text1"/>
          <w:kern w:val="2"/>
          <w:sz w:val="16"/>
          <w:szCs w:val="16"/>
        </w:rPr>
      </w:pPr>
    </w:p>
    <w:p w14:paraId="348890A3" w14:textId="128E400B" w:rsidR="003A17E0" w:rsidRDefault="003A17E0"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Жизнь и внутренняя политика:</w:t>
      </w:r>
    </w:p>
    <w:p w14:paraId="0056B527" w14:textId="77777777" w:rsidR="003A17E0" w:rsidRDefault="003A17E0"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197043F4" w14:textId="77777777" w:rsidR="003A17E0" w:rsidRPr="00FB4F67" w:rsidRDefault="003A17E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середине июля 1917 г. революционеры устраивают в Петрограде антиправительственные выступления с требованием отставки Временного правительства, в результате к власти приходит Керенский. В это время делегация АКК с директором ФРБ Нью-Йорка Томпсоном приплывает на пароходе во Владивосток и на поезде через всю Россию отправляется в Петроград. Здесь У Томпсон начинает субсидировать деньги и Керенскому, чтобы успешнее разваливал российскую армию, и большевикам, чтобы они готовились к перехвату власти у Керенского. Тогда только из собственных ресурсов Красного Креста было истрачено около 1 млн. долларов (23485).</w:t>
      </w:r>
    </w:p>
    <w:p w14:paraId="02EBB69F" w14:textId="77777777" w:rsidR="003A17E0" w:rsidRPr="00FB4F67" w:rsidRDefault="003A17E0" w:rsidP="0083075A">
      <w:pPr>
        <w:spacing w:after="0" w:line="240" w:lineRule="auto"/>
        <w:jc w:val="both"/>
        <w:rPr>
          <w:rFonts w:ascii="Times New Roman" w:hAnsi="Times New Roman" w:cs="Times New Roman"/>
          <w:color w:val="0070C0"/>
          <w:sz w:val="16"/>
          <w:szCs w:val="16"/>
        </w:rPr>
      </w:pPr>
    </w:p>
    <w:p w14:paraId="3959EBBE" w14:textId="76218E22"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49B5A4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6CF45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июля 1917 английский шпион Сомерсет Моэм (будущий писатель) отправился с секретной миссией во Владивосток (4962).</w:t>
      </w:r>
    </w:p>
    <w:p w14:paraId="66E77E2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E0A837" w14:textId="77777777" w:rsidR="008648EA"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AA22957" w14:textId="77777777" w:rsidR="008648EA" w:rsidRPr="002F2FDF" w:rsidRDefault="008648E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189C89"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июля в 1917 году немецкая авиация бомбила Париж (14966).</w:t>
      </w:r>
    </w:p>
    <w:p w14:paraId="7D3A1ADE"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p>
    <w:p w14:paraId="6D58DDCC" w14:textId="77777777" w:rsidR="00556363" w:rsidRPr="002F2FDF" w:rsidRDefault="00556363" w:rsidP="0083075A">
      <w:pPr>
        <w:pStyle w:val="ae"/>
        <w:spacing w:before="0" w:after="0"/>
        <w:jc w:val="both"/>
        <w:rPr>
          <w:color w:val="000000" w:themeColor="text1"/>
          <w:sz w:val="16"/>
          <w:szCs w:val="16"/>
        </w:rPr>
      </w:pPr>
      <w:r w:rsidRPr="002F2FDF">
        <w:rPr>
          <w:color w:val="000000" w:themeColor="text1"/>
          <w:sz w:val="16"/>
          <w:szCs w:val="16"/>
        </w:rPr>
        <w:t>15 (28) июля 1917 под прикрытием дымовой завесы 52 немецкие дивизии перешли в наступление, уже спрогнозированное верховным главнокомандующим союзными войсками маршалом Фошем (1851-1929). Пока немцы шли вперед, союзнические части ударили им во фланги при поддержке 350 танков. Людендорф быстро понял опасность положения своих войск и отступил. К 4 августа все Марнское вклинение перестало существовать, а немецкие надежды на победу окончательно развеялись.</w:t>
      </w:r>
    </w:p>
    <w:p w14:paraId="0541DBEA" w14:textId="5E68FD5E" w:rsidR="00556363" w:rsidRPr="002F2FDF" w:rsidRDefault="00556363" w:rsidP="0083075A">
      <w:pPr>
        <w:pStyle w:val="ae"/>
        <w:spacing w:before="0" w:after="0"/>
        <w:jc w:val="both"/>
        <w:rPr>
          <w:color w:val="000000" w:themeColor="text1"/>
          <w:sz w:val="16"/>
          <w:szCs w:val="16"/>
        </w:rPr>
      </w:pPr>
      <w:r w:rsidRPr="002F2FDF">
        <w:rPr>
          <w:color w:val="000000" w:themeColor="text1"/>
          <w:sz w:val="16"/>
          <w:szCs w:val="16"/>
        </w:rPr>
        <w:t>После провала немецкого наступления на Марне союзники захватили инициативу на поле боя. Теперь они умело используют артиллерию, танки, химическое оружие, их авиация господствует в воздухе. Их людские и технические ресурсы неограниченны. 8 августа в районе Амьена они прорвали оборону немцев, потеряв значительно меньше людей, чем обороняющиеся. Этот день Людендорф назвал «черным днем» германской армии. Этот период войны западные историки называют</w:t>
      </w:r>
      <w:r w:rsidR="00E52569">
        <w:rPr>
          <w:rStyle w:val="af0"/>
          <w:rFonts w:eastAsia="Calibri"/>
          <w:color w:val="000000" w:themeColor="text1"/>
          <w:sz w:val="16"/>
          <w:szCs w:val="16"/>
        </w:rPr>
        <w:t xml:space="preserve"> </w:t>
      </w:r>
      <w:r w:rsidRPr="002F2FDF">
        <w:rPr>
          <w:rStyle w:val="af0"/>
          <w:rFonts w:eastAsia="Calibri"/>
          <w:color w:val="000000" w:themeColor="text1"/>
          <w:sz w:val="16"/>
          <w:szCs w:val="16"/>
        </w:rPr>
        <w:t>«100 дней побед»</w:t>
      </w:r>
      <w:r w:rsidRPr="002F2FDF">
        <w:rPr>
          <w:color w:val="000000" w:themeColor="text1"/>
          <w:sz w:val="16"/>
          <w:szCs w:val="16"/>
        </w:rPr>
        <w:t>. Германская армия была вынуждена отходить на «Линию Гинденбурга» в надежде там закрепиться. Но 4 октября британскими войсками «Линия Гинденбурга» была прорвана. Деморализованные немцы несли поражение за поражением. Воля немецкого народа к сопротивлению была сломлена. В конце октября в Германии начались беспорядки, что привело к крушению монархии и провозглашению республики. 11 ноября в Компьене было подписано соглашение о прекращении военных действий (20246).</w:t>
      </w:r>
    </w:p>
    <w:p w14:paraId="4A9E5CC6" w14:textId="77777777" w:rsidR="00556363" w:rsidRPr="002F2FDF" w:rsidRDefault="00556363" w:rsidP="0083075A">
      <w:pPr>
        <w:pStyle w:val="ae"/>
        <w:spacing w:before="0" w:after="0"/>
        <w:jc w:val="both"/>
        <w:rPr>
          <w:color w:val="000000" w:themeColor="text1"/>
          <w:sz w:val="16"/>
          <w:szCs w:val="16"/>
        </w:rPr>
      </w:pPr>
      <w:bookmarkStart w:id="213" w:name="k59"/>
      <w:bookmarkEnd w:id="213"/>
    </w:p>
    <w:p w14:paraId="3859FDAF" w14:textId="77777777" w:rsidR="00556363" w:rsidRPr="002F2FDF" w:rsidRDefault="00556363"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hAnsi="Times New Roman" w:cs="Times New Roman"/>
          <w:color w:val="000000" w:themeColor="text1"/>
          <w:sz w:val="16"/>
          <w:szCs w:val="16"/>
        </w:rPr>
        <w:t>15 (28) июля 1917 г. на базе «тяжелого отряда пулеметного корпуса» (как из соображений секретности того времени именовалось танковое подразделение британской армии) был сформирован Танкового корпус. Штат Танкового корпуса, утвержденный Главным командованием, включал 864 тяжелых танка («ромба»), 610 легких или, как тогда говорили, «маневренных» танков, а также 24 653 солдата и офицера. Кроме боевого применения танков, Танковый корпус должен был производить контроль формирования, подготовки и обеспечения танковых частей и, что очень важно, осуществлять выработку принципов их боевого применения. Этим с энтузиазмом занялся возглавивший штаб Танкового корпуса майор Джордж Фуллер, впоследствии ставший известным военным теоретиком. Он смог быстро оценить преимущества нового рода оружия и с тех пор стал активным сторонником его превращения в самостоятельный род войск и «пророком механизированной войны» (22790).</w:t>
      </w:r>
    </w:p>
    <w:p w14:paraId="6F65EFAC" w14:textId="77777777" w:rsidR="00556363" w:rsidRPr="002F2FDF" w:rsidRDefault="00556363" w:rsidP="0083075A">
      <w:pPr>
        <w:spacing w:after="0" w:line="240" w:lineRule="auto"/>
        <w:jc w:val="both"/>
        <w:rPr>
          <w:rFonts w:ascii="Times New Roman" w:hAnsi="Times New Roman" w:cs="Times New Roman"/>
          <w:color w:val="000000" w:themeColor="text1"/>
          <w:sz w:val="16"/>
          <w:szCs w:val="16"/>
        </w:rPr>
      </w:pPr>
    </w:p>
    <w:p w14:paraId="5C2770E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02282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024B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июля 1917, германский контрудар воспрепятствовавал русскому наступлению под руководством Керенского в Восточной Галиции, превратилсяв крупномасштабную военную операцию. Вновь обозначилась необходимость дальней воздушной разведки для принятия решений командованием. Также тщательная подготовка форсирования нами Двины юго-восточнее Риги 1 декабря была бы невозможной без помощи авиации. И здесь, как это делалось на западе, самолеты ударными группами вмешивались в наземный бой, подавляли батареи, вели наблюдение за отступлением неприятеля, поддерживали связь с пехотой и рассеивали неприятельские колонны. В нападении на остров Эзель участвовали главным образом морские летчики гидростанций Балтийского моря. Они оказали ценные услуги при подготовке и проведении этой операции. Уникальным в военной истории является захват острова Руно гидросамолетами с последующим уничтожением располагавшейся на нем радиостанции. После этих операций крупных военных действий на восточном фронте не велось. Авиачасти занялись подготовкой к переброске на западный театр военных действий (11282).</w:t>
      </w:r>
    </w:p>
    <w:p w14:paraId="2E2294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B7E40B" w14:textId="77777777" w:rsidR="004A7149"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CB470AF" w14:textId="77777777" w:rsidR="004A7149" w:rsidRPr="002F2FDF" w:rsidRDefault="004A714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53B8A0" w14:textId="77777777" w:rsidR="004A7149" w:rsidRPr="002F2FDF" w:rsidRDefault="004A7149" w:rsidP="0083075A">
      <w:pPr>
        <w:pStyle w:val="ae"/>
        <w:spacing w:before="0" w:after="0"/>
        <w:jc w:val="both"/>
        <w:rPr>
          <w:color w:val="000000" w:themeColor="text1"/>
          <w:kern w:val="2"/>
          <w:sz w:val="16"/>
          <w:szCs w:val="16"/>
        </w:rPr>
      </w:pPr>
      <w:r w:rsidRPr="002F2FDF">
        <w:rPr>
          <w:color w:val="000000" w:themeColor="text1"/>
          <w:kern w:val="2"/>
          <w:sz w:val="16"/>
          <w:szCs w:val="16"/>
        </w:rPr>
        <w:t>16 (29) июля 1917 главнокомандующий Западного фронта генерал А. И. Деникин докладывал Ставке: «Части двинулись в атаку, прошли церемониальным маршем две, три линии окопов противника и &lt;…&gt; вернулись в свои окопы. Операция была сорвана. Я на 19-вёрстном участке имел 184 батальона и 900 орудий; у врага было 17 батальонов в первой линии и 12 в резерве при 300 орудиях. В бой было введено 138 батальонов против 17, и 900 орудий против 300» (17045).</w:t>
      </w:r>
    </w:p>
    <w:p w14:paraId="43DE9DCD" w14:textId="77777777" w:rsidR="004A7149" w:rsidRPr="002F2FDF" w:rsidRDefault="004A714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48667C" w14:textId="55536C4D" w:rsidR="00EC440A" w:rsidRPr="00FB4F67" w:rsidRDefault="00EC440A" w:rsidP="0083075A">
      <w:pPr>
        <w:spacing w:after="0" w:line="240" w:lineRule="auto"/>
        <w:jc w:val="both"/>
        <w:rPr>
          <w:rFonts w:ascii="Times New Roman" w:hAnsi="Times New Roman" w:cs="Times New Roman"/>
          <w:color w:val="0070C0"/>
          <w:sz w:val="16"/>
          <w:szCs w:val="16"/>
        </w:rPr>
      </w:pPr>
      <w:bookmarkStart w:id="214" w:name="bookmark860"/>
      <w:bookmarkStart w:id="215" w:name="bookmark861"/>
      <w:r>
        <w:rPr>
          <w:rFonts w:ascii="Times New Roman" w:hAnsi="Times New Roman" w:cs="Times New Roman"/>
          <w:color w:val="0070C0"/>
          <w:sz w:val="16"/>
          <w:szCs w:val="16"/>
        </w:rPr>
        <w:t>16 (</w:t>
      </w:r>
      <w:r w:rsidRPr="00FB4F67">
        <w:rPr>
          <w:rFonts w:ascii="Times New Roman" w:hAnsi="Times New Roman" w:cs="Times New Roman"/>
          <w:color w:val="0070C0"/>
          <w:sz w:val="16"/>
          <w:szCs w:val="16"/>
        </w:rPr>
        <w:t>29</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июля 1917 г. в районе Богданешти опустился неприятельский аэроплан. «Летчики убежали в лес, а аппарат в полной исправности» (23405).</w:t>
      </w:r>
    </w:p>
    <w:bookmarkEnd w:id="214"/>
    <w:bookmarkEnd w:id="215"/>
    <w:p w14:paraId="60909C6E" w14:textId="77777777" w:rsidR="00EC440A" w:rsidRPr="00FB4F67" w:rsidRDefault="00EC440A" w:rsidP="0083075A">
      <w:pPr>
        <w:spacing w:after="0" w:line="240" w:lineRule="auto"/>
        <w:jc w:val="both"/>
        <w:rPr>
          <w:rFonts w:ascii="Times New Roman" w:hAnsi="Times New Roman" w:cs="Times New Roman"/>
          <w:color w:val="0070C0"/>
          <w:sz w:val="16"/>
          <w:szCs w:val="16"/>
        </w:rPr>
      </w:pPr>
    </w:p>
    <w:p w14:paraId="4E58ACD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AEBBF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1D591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июля 1917 на совещании в Ставке русский генерал А. Деникин представил Временному правительству план установления в России военной диктатуры (4962).</w:t>
      </w:r>
    </w:p>
    <w:p w14:paraId="5DF0139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2D275B"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июля в 1917 году на совещании в Ставке русский генерал А.Деникин представляет Временному правительству план установления в России военной диктатуры (14967).</w:t>
      </w:r>
    </w:p>
    <w:p w14:paraId="054BB1A4"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p>
    <w:p w14:paraId="43EAA3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июля 1917 начались июльские демонстрации в Петербурге против Временного правительства (2284).</w:t>
      </w:r>
    </w:p>
    <w:p w14:paraId="1B8BF4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25ED7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11349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F546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июля 1917 у фландрского побережья атакой с гидросамолета уничтожена третья германская подводная лодка UB-20 (11999).</w:t>
      </w:r>
    </w:p>
    <w:p w14:paraId="2BA8E1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EABD4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06C1D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BFB5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июля 1917 г., как видно из телеграммы в УВВФ, когда пилот завода Анатра лейтенант французской службы Робино с механиком завода Иваном Омелиным, готовясь к авиационной неделе, решили сделать на самолете “Анатра-Д” (мотор “Клерже”) фигуры высшего пилотажа, эксперимент окончился катастрофой. Летчик сделал “вслед за подъемом с земли рискованную горку, затем на высоте около 1500 метров после двукратного резкого переворачивания через левое крыло (по-видимому, неудавшаяся мертвая петля), выровняв самолет, стал под углом около 45° спускаться вниз с работающим мотором, развив таким образом огромную скорость. В момент резкого перехода на подъем вверх, по-видимому, для совершения мертвой петли, левая нижняя плоскость вследствие создавшихся сильных напряжений частей самолета, вызванных указанными выше ненормальными обстоятельствами, сломалась. Самолет перешел в штопор носом вниз. Пилот и механик разбились насмерть”. Можно предполагать, что причиной катастрофы была недостаточная прочность лонжеронов крыла. Глубинными причинами низкого качества продукции завода Анатра являлись оторванность завода от аэродинамических лабораторий Москвы и Петрограда, более низкая квалификация рабочих и технического персонала, безудержная погоня владельца завода за прибылью. Наряду с постройкой серийных машин на Одесском заводе велись и опытные работы. Здесь были построены впервые в мировой практике самолетостроения двухмоторный двухфюзеляжный и трехмоторный самолеты. Военное ведомство оставило без внимания и поддержки эти интересные изобретения (9705).</w:t>
      </w:r>
    </w:p>
    <w:p w14:paraId="5BADAC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D194D7"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17 </w:t>
      </w:r>
      <w:r w:rsidR="00880559" w:rsidRPr="002F2FDF">
        <w:rPr>
          <w:rFonts w:ascii="Times New Roman" w:hAnsi="Times New Roman" w:cs="Times New Roman"/>
          <w:color w:val="000000" w:themeColor="text1"/>
          <w:kern w:val="2"/>
          <w:sz w:val="16"/>
          <w:szCs w:val="16"/>
        </w:rPr>
        <w:t xml:space="preserve">(30) </w:t>
      </w:r>
      <w:r w:rsidRPr="002F2FDF">
        <w:rPr>
          <w:rFonts w:ascii="Times New Roman" w:hAnsi="Times New Roman" w:cs="Times New Roman"/>
          <w:color w:val="000000" w:themeColor="text1"/>
          <w:kern w:val="2"/>
          <w:sz w:val="16"/>
          <w:szCs w:val="16"/>
        </w:rPr>
        <w:t>июля 1917 г. с «Анатрой» был подписан контракт № 39153/20273 на производство второй партии из 200 «Ньюпоров». Вероятно, к его исполнению не приступали (12252).</w:t>
      </w:r>
    </w:p>
    <w:p w14:paraId="7347C169"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p>
    <w:p w14:paraId="22D3DA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17 </w:t>
      </w:r>
      <w:r w:rsidR="00880559" w:rsidRPr="002F2FDF">
        <w:rPr>
          <w:rFonts w:ascii="Times New Roman" w:hAnsi="Times New Roman" w:cs="Times New Roman"/>
          <w:color w:val="000000" w:themeColor="text1"/>
          <w:kern w:val="2"/>
          <w:sz w:val="16"/>
          <w:szCs w:val="16"/>
        </w:rPr>
        <w:t xml:space="preserve">(30) </w:t>
      </w:r>
      <w:r w:rsidRPr="002F2FDF">
        <w:rPr>
          <w:rFonts w:ascii="Times New Roman" w:hAnsi="Times New Roman" w:cs="Times New Roman"/>
          <w:color w:val="000000" w:themeColor="text1"/>
          <w:kern w:val="2"/>
          <w:sz w:val="16"/>
          <w:szCs w:val="16"/>
        </w:rPr>
        <w:t>июля 1917 г. МГШ инфор</w:t>
      </w:r>
      <w:r w:rsidRPr="002F2FDF">
        <w:rPr>
          <w:rFonts w:ascii="Times New Roman" w:hAnsi="Times New Roman" w:cs="Times New Roman"/>
          <w:color w:val="000000" w:themeColor="text1"/>
          <w:kern w:val="2"/>
          <w:sz w:val="16"/>
          <w:szCs w:val="16"/>
        </w:rPr>
        <w:softHyphen/>
        <w:t>мировал Отдел воздушного плавания ГУК о том, что поставки двигателей "Испано-Суиза" задерживаются, тогда как Британское Адмиралтейство обещало снабдить Морское ведомство 25 и 50 моторами "Санбим" мощностью 170 и 320 л.с. соответственно. Это сообщение послу</w:t>
      </w:r>
      <w:r w:rsidRPr="002F2FDF">
        <w:rPr>
          <w:rFonts w:ascii="Times New Roman" w:hAnsi="Times New Roman" w:cs="Times New Roman"/>
          <w:color w:val="000000" w:themeColor="text1"/>
          <w:kern w:val="2"/>
          <w:sz w:val="16"/>
          <w:szCs w:val="16"/>
        </w:rPr>
        <w:softHyphen/>
        <w:t>жило толчком к заказу опытного двухмоторного самолета под 2 "Санбима" 320 л.с. у Гри</w:t>
      </w:r>
      <w:r w:rsidRPr="002F2FDF">
        <w:rPr>
          <w:rFonts w:ascii="Times New Roman" w:hAnsi="Times New Roman" w:cs="Times New Roman"/>
          <w:color w:val="000000" w:themeColor="text1"/>
          <w:kern w:val="2"/>
          <w:sz w:val="16"/>
          <w:szCs w:val="16"/>
        </w:rPr>
        <w:softHyphen/>
        <w:t>горовича и одномоторного под "Санбим" 170 л.с. — у АИС. В октябре про эти "Санбимы" уже и не вспоминали; напротив, сначала обсуждался вариант использования двигателей "Ис</w:t>
      </w:r>
      <w:r w:rsidRPr="002F2FDF">
        <w:rPr>
          <w:rFonts w:ascii="Times New Roman" w:hAnsi="Times New Roman" w:cs="Times New Roman"/>
          <w:color w:val="000000" w:themeColor="text1"/>
          <w:kern w:val="2"/>
          <w:sz w:val="16"/>
          <w:szCs w:val="16"/>
        </w:rPr>
        <w:softHyphen/>
        <w:t>пано-Суиза", а затем взгляды обратились и к 200-сильным "Рено". В конце концов, 2 ноября Мельцеру послали официальный контракт на строительство 5 разведчиков "Аист", три из которых должны были оснащаться моторами "Испано-Суиза" 200 л.с., а два оставшихся — "Рено" 220 л.с. Заказ давался в счет апрельского условного поручения на сборку летающих лодок Энгельса и Григоровича, а цена одного поплавкового аэроплана составляла к этому времени 45.000 руб. Скорее всего, ни один из прототипов не был закончен, хотя В.Б. Шавров утверждал, что один "Аист" все же был. По тому же источнику модель представляла собой одномоторный двухместный двухстоечный биплан с силовой установкой тянущего типа. Его фюзеляж-монокок выполнялся из фанеры, а крылья имели деревянный каркас, обтянутый полотном и усиленный проволочными растяжками. Каждый из двух основных слегка килс-ватых поплавков образовывался ясеневым внутренним набором и комбинированной обшивкой из фанеры в верхней части и тонких досок красного дерева на медных заклепках внизу до ватерлинии. Для выбора наиболее удачной формы поплавков были произведены испытания их моделей в Опытовом бассейне Морского ведомства. Водное шасси включало в себя систему стоек, изготовленных из стальных труб с обтекателями (2843).</w:t>
      </w:r>
    </w:p>
    <w:p w14:paraId="345FDB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81A1C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427D4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0321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17 </w:t>
      </w:r>
      <w:r w:rsidR="00880559" w:rsidRPr="002F2FDF">
        <w:rPr>
          <w:rFonts w:ascii="Times New Roman" w:hAnsi="Times New Roman" w:cs="Times New Roman"/>
          <w:color w:val="000000" w:themeColor="text1"/>
          <w:kern w:val="2"/>
          <w:sz w:val="16"/>
          <w:szCs w:val="16"/>
        </w:rPr>
        <w:t xml:space="preserve">(30) </w:t>
      </w:r>
      <w:r w:rsidRPr="002F2FDF">
        <w:rPr>
          <w:rFonts w:ascii="Times New Roman" w:hAnsi="Times New Roman" w:cs="Times New Roman"/>
          <w:color w:val="000000" w:themeColor="text1"/>
          <w:kern w:val="2"/>
          <w:sz w:val="16"/>
          <w:szCs w:val="16"/>
        </w:rPr>
        <w:t>июля 1917 г. была вторая победа Сафонова не совсем очевидна ввиду неопределённости: "преследовал (гидросамолёт) и возможно, сумел причинить ему повреждения". В соответствии с приказом по армии и флоту от 28 июля 1917 года Сафонов был произведен в лейтенанты. Очередная победа относится к 25 августа, когда на перехват двух германских аппаратов взлетели две летающие лодки и два "Ньюпора-17". В результате боевого столкновения один из немецких самолётов был сбит. И в донном случае автора победы установить сложно. Это или прапорщик З.К.Галактионов со стрелком унтер-офицером Киселевым на М-9 или лейтенант М.И. Сафонов на "Ньюпоре-17", а возможно и другие экипажи. Воздушные победы, одержанные 3 и 4 октября, представляются наиболее убедительными: сбит и упал гидросамолёт "Фридрихсхофен", о двухмоторный бомбардировщик, после пулемётной очереди с дальности 20 м стал рассыпаться и загорелся. Две последние победы Сафонов одержал на самолёте "Ньюпор-17". В октябре Михаил Сафонов получает очередной чин старшего лейтенанта. В ноябре 1917 г. Сафонова назначают начальником 2-го истребительного авиаотряда и в течении двух дней (16 и 17 ноября) он одерживает две очередные воздушные победы. После Октябрьской революции Сафонов продолжал служить в авиации флота Балтийского моря. В ряде статей и публикации утверждается, что к концу 1917 г. старший лейтенант Михаил Сафонов довёл счёт сбитых самолётов до 11, что не подтверждается документами. Более-менее реальным представляется, что на счету экипажа Сафонова пять или шесть сбитых и повреждённых самолётов. 19 марта 1918 г. на основании декрета Совета Народных Комиссаров увидел свет приказ по флоту и Морскому ведомству № 102, которым и был уволен со службы старший лейтенант Михаил Иванович Сафонов. Он, как и большинство офицеров, не принял революцию. Сафонов, братья Зайцевские и В. А. Порфененко заключили контракт с финским правительством о службе в гражданской авиации. Однако можно предполагать, что имелась в виду и деятельность, далёкая от гражданской. 11 апреля 1918 года с Комендантского аэродрома в Петрограде заговорщики "угнали" четыре самолёта, взяли курс на Финляндию и приземлились в "столице финской контрреволюции" городе Восо. Сафонов летел с женой. В мое гражданская война в Финляндии закончилось, а в России оно только начиналось. Летом 1918 г, через оккупированную немцами территорию, Сафонов добрался до Новочеркасска, где вступил в Добровольческую армию генерала А. И. Деникина. Подробностей о его службе в этот период не сохранилось. После поражения белого движения в России Сафонов оказался в Персии, затем в Индии. Из Индии семья перебралось в Китай и Сафонов поступил на службу к правителю Манчжурии Чжан Цзо Линю, врагом которого была партия Гоминьдан. Когда в начале 1924 г. начались военные действия между Чжан Цзо Линем и Гоминьданом, Сафонов участвовал в боях и в мае 1924 г. его самолёт был сбит наземным огнём во время патрулирования над рекой Минг (по другим данным работал на Китайских гражданских авиалиниях и в мае 1924 г. погиб в авиакатастрофе). Награды: орден св. Анны 4-й степени, закрепленный но кортике с надписью "Зо храбрость"; св. Станислава 3-й ст. с мечами и бантом; св. Владимира 4-й ст. с мечами и бантом (11928).</w:t>
      </w:r>
    </w:p>
    <w:p w14:paraId="0E2FE2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A22FB7" w14:textId="23600DBE" w:rsidR="00EC440A" w:rsidRPr="00FB4F67" w:rsidRDefault="00EC440A"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17 (</w:t>
      </w:r>
      <w:r w:rsidRPr="00FB4F67">
        <w:rPr>
          <w:rFonts w:ascii="Times New Roman" w:hAnsi="Times New Roman" w:cs="Times New Roman"/>
          <w:color w:val="0070C0"/>
          <w:sz w:val="16"/>
          <w:szCs w:val="16"/>
        </w:rPr>
        <w:t>30</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июля 1917 г. противник совершил групповой воздушный налет на ст. Вилейка, Столбцы и Замирье (23405).</w:t>
      </w:r>
    </w:p>
    <w:p w14:paraId="670D3E91" w14:textId="77777777" w:rsidR="00EC440A" w:rsidRPr="00FB4F67" w:rsidRDefault="00EC440A" w:rsidP="0083075A">
      <w:pPr>
        <w:spacing w:after="0" w:line="240" w:lineRule="auto"/>
        <w:jc w:val="both"/>
        <w:rPr>
          <w:rFonts w:ascii="Times New Roman" w:hAnsi="Times New Roman" w:cs="Times New Roman"/>
          <w:color w:val="0070C0"/>
          <w:sz w:val="16"/>
          <w:szCs w:val="16"/>
        </w:rPr>
      </w:pPr>
    </w:p>
    <w:p w14:paraId="5E135353" w14:textId="77777777" w:rsidR="004855F5"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6708D04" w14:textId="77777777" w:rsidR="004855F5" w:rsidRPr="002F2FDF" w:rsidRDefault="004855F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DEA194" w14:textId="77777777" w:rsidR="004855F5" w:rsidRPr="002F2FDF" w:rsidRDefault="004855F5" w:rsidP="0083075A">
      <w:pPr>
        <w:pStyle w:val="ae"/>
        <w:spacing w:before="0" w:after="0"/>
        <w:jc w:val="both"/>
        <w:rPr>
          <w:color w:val="000000" w:themeColor="text1"/>
          <w:kern w:val="2"/>
          <w:sz w:val="16"/>
          <w:szCs w:val="16"/>
        </w:rPr>
      </w:pPr>
      <w:r w:rsidRPr="002F2FDF">
        <w:rPr>
          <w:color w:val="000000" w:themeColor="text1"/>
          <w:kern w:val="2"/>
          <w:sz w:val="16"/>
          <w:szCs w:val="16"/>
        </w:rPr>
        <w:t>17 (30) июля 1917 в Петрограде Временное правительство установило положение о больничных листах для заболевших рабочих (17045).</w:t>
      </w:r>
    </w:p>
    <w:p w14:paraId="65E97D69" w14:textId="77777777" w:rsidR="004855F5" w:rsidRPr="002F2FDF" w:rsidRDefault="004855F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7D0C6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D5164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78D7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июля 1917 ТК УВВФ рассмотрел результаты испытаний самолета Хиони-4 (Анадва) и признал его одним из лучших в русской армии (3646).</w:t>
      </w:r>
    </w:p>
    <w:p w14:paraId="34E32A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Потом, 3 ноября 1917, сделали заказ на 50 для замены ИМ (92,176).</w:t>
      </w:r>
    </w:p>
    <w:p w14:paraId="09EE75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1DDC8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18 </w:t>
      </w:r>
      <w:r w:rsidR="00880559" w:rsidRPr="002F2FDF">
        <w:rPr>
          <w:rFonts w:ascii="Times New Roman" w:hAnsi="Times New Roman" w:cs="Times New Roman"/>
          <w:color w:val="000000" w:themeColor="text1"/>
          <w:kern w:val="2"/>
          <w:sz w:val="16"/>
          <w:szCs w:val="16"/>
        </w:rPr>
        <w:t xml:space="preserve">(31) </w:t>
      </w:r>
      <w:r w:rsidRPr="002F2FDF">
        <w:rPr>
          <w:rFonts w:ascii="Times New Roman" w:hAnsi="Times New Roman" w:cs="Times New Roman"/>
          <w:color w:val="000000" w:themeColor="text1"/>
          <w:kern w:val="2"/>
          <w:sz w:val="16"/>
          <w:szCs w:val="16"/>
        </w:rPr>
        <w:t>июля 1917 Технический комитет УВВФ, рассмотрев материалы комиссий по испытаниям, признал самолет Хиони "одним из лучших больших аппаратов, которыми располагает русская авиация". (ЦГВИА. ф.493, оп. 10, д.117, л.331).</w:t>
      </w:r>
    </w:p>
    <w:p w14:paraId="40A30A8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367947" w14:textId="77777777" w:rsidR="003A17E0" w:rsidRPr="00FB4F67" w:rsidRDefault="003A17E0" w:rsidP="0083075A">
      <w:pPr>
        <w:spacing w:after="0" w:line="240" w:lineRule="auto"/>
        <w:jc w:val="both"/>
        <w:rPr>
          <w:rFonts w:ascii="Times New Roman" w:hAnsi="Times New Roman" w:cs="Times New Roman"/>
          <w:color w:val="0070C0"/>
          <w:sz w:val="16"/>
          <w:szCs w:val="16"/>
        </w:rPr>
      </w:pPr>
      <w:bookmarkStart w:id="216" w:name="bookmark843"/>
      <w:r w:rsidRPr="00FB4F67">
        <w:rPr>
          <w:rFonts w:ascii="Times New Roman" w:hAnsi="Times New Roman" w:cs="Times New Roman"/>
          <w:color w:val="0070C0"/>
          <w:sz w:val="16"/>
          <w:szCs w:val="16"/>
        </w:rPr>
        <w:lastRenderedPageBreak/>
        <w:t>18 (31) июля 1917 г. Техком Увофлота рассмотрел результаты испытаний опытного двухмоторного самолета Анатра «Хиони № 4» («Анадва») и признал его лучшим, чем существующий ИМ-Г (23553).</w:t>
      </w:r>
    </w:p>
    <w:p w14:paraId="67D792ED" w14:textId="77777777" w:rsidR="003A17E0" w:rsidRPr="00FB4F67" w:rsidRDefault="003A17E0" w:rsidP="0083075A">
      <w:pPr>
        <w:spacing w:after="0" w:line="240" w:lineRule="auto"/>
        <w:jc w:val="both"/>
        <w:rPr>
          <w:rFonts w:ascii="Times New Roman" w:hAnsi="Times New Roman" w:cs="Times New Roman"/>
          <w:color w:val="0070C0"/>
          <w:sz w:val="16"/>
          <w:szCs w:val="16"/>
        </w:rPr>
      </w:pPr>
    </w:p>
    <w:bookmarkEnd w:id="216"/>
    <w:p w14:paraId="49D6C55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F5C6E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106E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18 (31) июля 1917 авиация противника проявляла слабую активность. Исключение составлял Галицийский участок, где неприятель совершал по 30-35 полетов в день. Почти ежедневно его самолеты появлялись над Сарнами и Ровно - очевидно, германское командование считало это направление наиболее опасным в случае русского наступления. Когда оно началось, неприятельская авиация заметно активизировалась, особенно на левом фланге ХI-й и правом фланге VII-й армий (11237).</w:t>
      </w:r>
    </w:p>
    <w:p w14:paraId="197850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AD3D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18 </w:t>
      </w:r>
      <w:r w:rsidR="00880559" w:rsidRPr="002F2FDF">
        <w:rPr>
          <w:rFonts w:ascii="Times New Roman" w:hAnsi="Times New Roman" w:cs="Times New Roman"/>
          <w:color w:val="000000" w:themeColor="text1"/>
          <w:kern w:val="2"/>
          <w:sz w:val="16"/>
          <w:szCs w:val="16"/>
        </w:rPr>
        <w:t xml:space="preserve">(31) </w:t>
      </w:r>
      <w:r w:rsidRPr="002F2FDF">
        <w:rPr>
          <w:rFonts w:ascii="Times New Roman" w:hAnsi="Times New Roman" w:cs="Times New Roman"/>
          <w:color w:val="000000" w:themeColor="text1"/>
          <w:kern w:val="2"/>
          <w:sz w:val="16"/>
          <w:szCs w:val="16"/>
        </w:rPr>
        <w:t>и 23 июля 1917 противник бомбил объекты в Кемпуриле, а 24 июля во время отхода русских артиллеристов из р-на Чиуслей на бреющем полете расстреливал их позиции. 25 июля 8 самолетов совершили налет на станцию Аджуд, где взорвали русский поезд с боеприпасами. Излюбленной целью неприятельских истребителей были привязные аэростаты: с 10 июня по 18 июля они уничтожили 9 баллонов из 11 потерянных русскими за тот период (11237).</w:t>
      </w:r>
    </w:p>
    <w:p w14:paraId="0C1FA1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D0E9CF" w14:textId="698FC607" w:rsidR="00EC440A" w:rsidRPr="00FB4F67" w:rsidRDefault="00EC440A" w:rsidP="0083075A">
      <w:pPr>
        <w:spacing w:after="0" w:line="240" w:lineRule="auto"/>
        <w:jc w:val="both"/>
        <w:rPr>
          <w:rFonts w:ascii="Times New Roman" w:hAnsi="Times New Roman" w:cs="Times New Roman"/>
          <w:color w:val="0070C0"/>
          <w:sz w:val="16"/>
          <w:szCs w:val="16"/>
        </w:rPr>
      </w:pPr>
      <w:bookmarkStart w:id="217" w:name="bookmark880"/>
      <w:bookmarkStart w:id="218" w:name="bookmark881"/>
      <w:bookmarkStart w:id="219" w:name="bookmark862"/>
      <w:bookmarkStart w:id="220" w:name="bookmark863"/>
      <w:bookmarkStart w:id="221" w:name="bookmark864"/>
      <w:r>
        <w:rPr>
          <w:rFonts w:ascii="Times New Roman" w:hAnsi="Times New Roman" w:cs="Times New Roman"/>
          <w:color w:val="0070C0"/>
          <w:sz w:val="16"/>
          <w:szCs w:val="16"/>
        </w:rPr>
        <w:t>18 (</w:t>
      </w:r>
      <w:r w:rsidRPr="00FB4F67">
        <w:rPr>
          <w:rFonts w:ascii="Times New Roman" w:hAnsi="Times New Roman" w:cs="Times New Roman"/>
          <w:color w:val="0070C0"/>
          <w:sz w:val="16"/>
          <w:szCs w:val="16"/>
        </w:rPr>
        <w:t>31</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июля 1917 г. «неприятельские аппараты семь раз появлялись у различных пунктов побережья и островов Рижского залива. У Менто и Аренсбурга ими сброшено безрезультатно 20 бомб. Неприятельские аппараты долетели до Куйваста, где были встречены артиллерийским огнем». В то же время в районе м. Церель (о. Эзель) был зафиксирован полет цеппелина (23405).</w:t>
      </w:r>
      <w:bookmarkEnd w:id="217"/>
      <w:bookmarkEnd w:id="218"/>
    </w:p>
    <w:p w14:paraId="47A6B3FE" w14:textId="77777777" w:rsidR="00EC440A" w:rsidRPr="00FB4F67" w:rsidRDefault="00EC440A" w:rsidP="0083075A">
      <w:pPr>
        <w:spacing w:after="0" w:line="240" w:lineRule="auto"/>
        <w:jc w:val="both"/>
        <w:rPr>
          <w:rFonts w:ascii="Times New Roman" w:hAnsi="Times New Roman" w:cs="Times New Roman"/>
          <w:color w:val="0070C0"/>
          <w:sz w:val="16"/>
          <w:szCs w:val="16"/>
        </w:rPr>
      </w:pPr>
    </w:p>
    <w:p w14:paraId="6153F29C" w14:textId="442AC2BC" w:rsidR="00EC440A" w:rsidRPr="00FB4F67" w:rsidRDefault="00DE1F2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18 (</w:t>
      </w:r>
      <w:r w:rsidR="00EC440A" w:rsidRPr="00FB4F67">
        <w:rPr>
          <w:rFonts w:ascii="Times New Roman" w:hAnsi="Times New Roman" w:cs="Times New Roman"/>
          <w:color w:val="0070C0"/>
          <w:sz w:val="16"/>
          <w:szCs w:val="16"/>
        </w:rPr>
        <w:t>31</w:t>
      </w:r>
      <w:r>
        <w:rPr>
          <w:rFonts w:ascii="Times New Roman" w:hAnsi="Times New Roman" w:cs="Times New Roman"/>
          <w:color w:val="0070C0"/>
          <w:sz w:val="16"/>
          <w:szCs w:val="16"/>
        </w:rPr>
        <w:t>)</w:t>
      </w:r>
      <w:r w:rsidR="00EC440A" w:rsidRPr="00FB4F67">
        <w:rPr>
          <w:rFonts w:ascii="Times New Roman" w:hAnsi="Times New Roman" w:cs="Times New Roman"/>
          <w:color w:val="0070C0"/>
          <w:sz w:val="16"/>
          <w:szCs w:val="16"/>
        </w:rPr>
        <w:t xml:space="preserve"> июля 1917 г. южнее г. Рига (Северный фронт) огнем нашей артиллерии был сбит германский аэроплан. Летчики и летательный аппарат разбились (23405).</w:t>
      </w:r>
    </w:p>
    <w:p w14:paraId="6C8F349E" w14:textId="77777777" w:rsidR="00EC440A" w:rsidRPr="00FB4F67" w:rsidRDefault="00EC440A" w:rsidP="0083075A">
      <w:pPr>
        <w:spacing w:after="0" w:line="240" w:lineRule="auto"/>
        <w:jc w:val="both"/>
        <w:rPr>
          <w:rFonts w:ascii="Times New Roman" w:hAnsi="Times New Roman" w:cs="Times New Roman"/>
          <w:color w:val="0070C0"/>
          <w:sz w:val="16"/>
          <w:szCs w:val="16"/>
        </w:rPr>
      </w:pPr>
    </w:p>
    <w:bookmarkEnd w:id="219"/>
    <w:bookmarkEnd w:id="220"/>
    <w:bookmarkEnd w:id="221"/>
    <w:p w14:paraId="4CE28B75" w14:textId="3BC7E459" w:rsidR="00EC440A" w:rsidRPr="00FB4F67" w:rsidRDefault="00EC440A"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По </w:t>
      </w:r>
      <w:r w:rsidR="00DE1F21">
        <w:rPr>
          <w:rFonts w:ascii="Times New Roman" w:hAnsi="Times New Roman" w:cs="Times New Roman"/>
          <w:color w:val="0070C0"/>
          <w:sz w:val="16"/>
          <w:szCs w:val="16"/>
        </w:rPr>
        <w:t>18 (</w:t>
      </w:r>
      <w:r w:rsidRPr="00FB4F67">
        <w:rPr>
          <w:rFonts w:ascii="Times New Roman" w:hAnsi="Times New Roman" w:cs="Times New Roman"/>
          <w:color w:val="0070C0"/>
          <w:sz w:val="16"/>
          <w:szCs w:val="16"/>
        </w:rPr>
        <w:t>31</w:t>
      </w:r>
      <w:r w:rsidR="00DE1F21">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июля 1917 г. в период с 23 июня в полосе Румынского фронта противником было сожжено в воздухе 9 привязных наших аэростатов (23405).</w:t>
      </w:r>
    </w:p>
    <w:p w14:paraId="2A0CDD4C" w14:textId="77777777" w:rsidR="00EC440A" w:rsidRPr="00FB4F67" w:rsidRDefault="00EC440A" w:rsidP="0083075A">
      <w:pPr>
        <w:spacing w:after="0" w:line="240" w:lineRule="auto"/>
        <w:jc w:val="both"/>
        <w:rPr>
          <w:rFonts w:ascii="Times New Roman" w:hAnsi="Times New Roman" w:cs="Times New Roman"/>
          <w:color w:val="0070C0"/>
          <w:sz w:val="16"/>
          <w:szCs w:val="16"/>
        </w:rPr>
      </w:pPr>
    </w:p>
    <w:p w14:paraId="3491925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июля 1917 коман</w:t>
      </w:r>
      <w:r w:rsidRPr="002F2FDF">
        <w:rPr>
          <w:rFonts w:ascii="Times New Roman" w:hAnsi="Times New Roman" w:cs="Times New Roman"/>
          <w:color w:val="000000" w:themeColor="text1"/>
          <w:kern w:val="2"/>
          <w:sz w:val="16"/>
          <w:szCs w:val="16"/>
        </w:rPr>
        <w:softHyphen/>
        <w:t>дующий Балтийским флотом приказал расформировать авиастанцию в Або, но, к сожалению, процесс затянулся, а 30 августа обозленные матросы, собравшись между станционными ангарами, убили Макаревича. В середине нояб</w:t>
      </w:r>
      <w:r w:rsidRPr="002F2FDF">
        <w:rPr>
          <w:rFonts w:ascii="Times New Roman" w:hAnsi="Times New Roman" w:cs="Times New Roman"/>
          <w:color w:val="000000" w:themeColor="text1"/>
          <w:kern w:val="2"/>
          <w:sz w:val="16"/>
          <w:szCs w:val="16"/>
        </w:rPr>
        <w:softHyphen/>
        <w:t>ря его аппарат все-таки почти закончили в местных авиамастерских и намеревались испытать; в начале декабря речь шла уже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самолет; в конце концов, это был единствен</w:t>
      </w:r>
      <w:r w:rsidRPr="002F2FDF">
        <w:rPr>
          <w:rFonts w:ascii="Times New Roman" w:hAnsi="Times New Roman" w:cs="Times New Roman"/>
          <w:color w:val="000000" w:themeColor="text1"/>
          <w:kern w:val="2"/>
          <w:sz w:val="16"/>
          <w:szCs w:val="16"/>
        </w:rPr>
        <w:softHyphen/>
        <w:t>ный способ существенно продлить карьеру модели, или даже вдохнуть в нее новую жизнь, после того, как 20 сентября 1917 г. в докладе Управления морской авиации и воздухоплавания (УМАиВ) говори</w:t>
      </w:r>
      <w:r w:rsidRPr="002F2FDF">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4FA82BD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A7745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июля 1917 генерал Л. Корнилов назначен верховным главнокомандующим России (4962).</w:t>
      </w:r>
    </w:p>
    <w:p w14:paraId="1027B44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3CE7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июля 1917 Л.Корнилов сменил А.Брусилова на посту Верховного (3908,260).</w:t>
      </w:r>
    </w:p>
    <w:p w14:paraId="6192DC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2770B8" w14:textId="77777777" w:rsidR="000616EE" w:rsidRPr="002F2FDF" w:rsidRDefault="000616E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18 (31) июля в 1917 году верховным главнокомандующим вместо Брусилова назначен генерал Корнилов. (В 1920 г. генерал Брусилов вступит в Красную Армию, а Корнилов будет убит в 1918 г. случайным осколком. После отступления корниловцев его могилу вскроют, труп будет повешен, а потом сожжен на скотобойне) </w:t>
      </w:r>
    </w:p>
    <w:p w14:paraId="361C2753" w14:textId="77777777" w:rsidR="000616EE" w:rsidRPr="002F2FDF" w:rsidRDefault="000616EE" w:rsidP="0083075A">
      <w:pPr>
        <w:spacing w:after="0" w:line="240" w:lineRule="auto"/>
        <w:jc w:val="both"/>
        <w:rPr>
          <w:rFonts w:ascii="Times New Roman" w:hAnsi="Times New Roman" w:cs="Times New Roman"/>
          <w:color w:val="000000" w:themeColor="text1"/>
          <w:kern w:val="2"/>
          <w:sz w:val="16"/>
          <w:szCs w:val="16"/>
        </w:rPr>
      </w:pPr>
    </w:p>
    <w:p w14:paraId="711D64E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июля 1917 по требованию революционных моряков Вре</w:t>
      </w:r>
      <w:r w:rsidRPr="002F2FDF">
        <w:rPr>
          <w:rFonts w:ascii="Times New Roman" w:hAnsi="Times New Roman" w:cs="Times New Roman"/>
          <w:color w:val="000000" w:themeColor="text1"/>
          <w:kern w:val="2"/>
          <w:sz w:val="16"/>
          <w:szCs w:val="16"/>
        </w:rPr>
        <w:softHyphen/>
        <w:t>менное правительство было вынуждено отстранить от командования Черноморским флотом вице-адмирала А. Кол</w:t>
      </w:r>
      <w:r w:rsidRPr="002F2FDF">
        <w:rPr>
          <w:rFonts w:ascii="Times New Roman" w:hAnsi="Times New Roman" w:cs="Times New Roman"/>
          <w:color w:val="000000" w:themeColor="text1"/>
          <w:kern w:val="2"/>
          <w:sz w:val="16"/>
          <w:szCs w:val="16"/>
        </w:rPr>
        <w:softHyphen/>
        <w:t>чака и его начальника штаба контр-адмирала М. Смирнова, признанных реакционерами. Последними назначенцами на высшие морские посты стали контр-адмиралы Д. Вердеревский - морским министром; граф А. Капнист - начальником Морского генерального штаба; А. Развозов - командующим Балтийским флотом; А. Немитц -командующим Черноморским флотом (11283).</w:t>
      </w:r>
    </w:p>
    <w:p w14:paraId="0FB401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B3FFE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июля 1917 русские войска начали отступление из Персии (4962).</w:t>
      </w:r>
    </w:p>
    <w:p w14:paraId="1F6C78D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648DA0" w14:textId="77777777" w:rsidR="00C06ECB" w:rsidRPr="002F2FDF" w:rsidRDefault="00C06ECB" w:rsidP="0083075A">
      <w:pPr>
        <w:pStyle w:val="rteindent11"/>
        <w:shd w:val="clear" w:color="auto" w:fill="FFFFFF"/>
        <w:spacing w:before="0" w:beforeAutospacing="0" w:after="0"/>
        <w:ind w:left="0" w:firstLine="0"/>
        <w:rPr>
          <w:rStyle w:val="a7"/>
          <w:rFonts w:eastAsiaTheme="majorEastAsia"/>
          <w:b w:val="0"/>
          <w:color w:val="000000" w:themeColor="text1"/>
          <w:kern w:val="2"/>
          <w:sz w:val="16"/>
          <w:szCs w:val="16"/>
        </w:rPr>
      </w:pPr>
      <w:r w:rsidRPr="002F2FDF">
        <w:rPr>
          <w:color w:val="000000" w:themeColor="text1"/>
          <w:kern w:val="2"/>
          <w:sz w:val="16"/>
          <w:szCs w:val="16"/>
        </w:rPr>
        <w:t>Не ранее 18 (31) июня 1917 г.</w:t>
      </w:r>
    </w:p>
    <w:p w14:paraId="6F99EB78" w14:textId="77777777" w:rsidR="00C06ECB" w:rsidRPr="002F2FDF" w:rsidRDefault="00C06EC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Кабинета военного министра о наличии боевого снаряжения армии к 18 июня 1917 г.</w:t>
      </w:r>
    </w:p>
    <w:p w14:paraId="7EEB4B35" w14:textId="5D92A6B4" w:rsidR="00C06ECB" w:rsidRPr="002F2FDF" w:rsidRDefault="00C06EC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169-175</w:t>
      </w:r>
    </w:p>
    <w:p w14:paraId="23B130C2" w14:textId="7CADB6C5" w:rsidR="00C06ECB" w:rsidRPr="002F2FDF" w:rsidRDefault="00C06EC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ЦГВИА, ф. 366, оп. 1, д. 215, лл. 232—237. Копия.</w:t>
      </w:r>
    </w:p>
    <w:p w14:paraId="5FA849BB"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ПО АРТИЛЛЕРИЙСКОЙ ЧАСТИ</w:t>
      </w:r>
    </w:p>
    <w:p w14:paraId="5621812B"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I. СПРАВКА ИСТОРИЧЕСКАЯ</w:t>
      </w:r>
    </w:p>
    <w:p w14:paraId="5E654096"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Войну мы предполагали вести в расчете только на заготовленные в мирное время запасы. Плана и подготовки к систематическому пополнению расхода этих запасов во время самой войны не было.</w:t>
      </w:r>
    </w:p>
    <w:p w14:paraId="6D6B9EE5"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Означенных запасов хватило на 4 месяца, и так как война продолжалась, то пришлось спешно, уже на третьем месяце войны, прибегнуть к мобилизации казенной и частной промышленности, чтобы готовить боевое снабжение для текущей потребности войны.</w:t>
      </w:r>
    </w:p>
    <w:p w14:paraId="54BBA051"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Всего запасов к началу войны оказалось в наличии:</w:t>
      </w:r>
    </w:p>
    <w:p w14:paraId="3D021745"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A. Орудий легких калибров около 7200; орудий средних калибров около 700; орудий крупных калибров ни одного.</w:t>
      </w:r>
    </w:p>
    <w:p w14:paraId="144395B9"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Б. Выстрелов к ним: к легким — около 6.5 млн; к средним — около 650 тыс., т. е. примерно по 1000 выстрелов (на круг) на каждое орудие легкое и среднее. Эти выстрелы были запасены не в собранном виде, а в виде отдельных элементов, которые с начала мобилизации соединялись в «выстрелы» как самими артиллерийскими частями (возимый запас), так и артиллерийскими складами (местные парки).</w:t>
      </w:r>
    </w:p>
    <w:p w14:paraId="7FD3A402"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 xml:space="preserve">Установить вполне точно время поступления всех означенных запасов на фронт не удалось, но по имеющимся в Главном артиллерийском управлении данным с достаточной достоверностью можно принять, что это поступление шло более или менее равномерно в течение времени с конца июля до начала декабря 1914 г. Так что ежемесячный расход выстрелов на этот период времени был в среднем: для легких калибров около 1.5 млн. (или около 250 выстрелов на пушку); для средних калибров — около </w:t>
      </w:r>
      <w:r w:rsidRPr="002F2FDF">
        <w:rPr>
          <w:rStyle w:val="af0"/>
          <w:i w:val="0"/>
          <w:color w:val="000000" w:themeColor="text1"/>
          <w:kern w:val="2"/>
          <w:sz w:val="16"/>
          <w:szCs w:val="16"/>
          <w:vertAlign w:val="superscript"/>
        </w:rPr>
        <w:t>1</w:t>
      </w:r>
      <w:r w:rsidRPr="002F2FDF">
        <w:rPr>
          <w:rStyle w:val="af0"/>
          <w:i w:val="0"/>
          <w:color w:val="000000" w:themeColor="text1"/>
          <w:kern w:val="2"/>
          <w:sz w:val="16"/>
          <w:szCs w:val="16"/>
        </w:rPr>
        <w:t>/</w:t>
      </w:r>
      <w:r w:rsidRPr="002F2FDF">
        <w:rPr>
          <w:rStyle w:val="af0"/>
          <w:i w:val="0"/>
          <w:color w:val="000000" w:themeColor="text1"/>
          <w:kern w:val="2"/>
          <w:sz w:val="16"/>
          <w:szCs w:val="16"/>
          <w:vertAlign w:val="subscript"/>
        </w:rPr>
        <w:t>4</w:t>
      </w:r>
      <w:r w:rsidRPr="002F2FDF">
        <w:rPr>
          <w:color w:val="000000" w:themeColor="text1"/>
          <w:kern w:val="2"/>
          <w:sz w:val="16"/>
          <w:szCs w:val="16"/>
        </w:rPr>
        <w:t xml:space="preserve"> млн или около 350 выстрелов на орудие).</w:t>
      </w:r>
    </w:p>
    <w:p w14:paraId="7547DDB4"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B. Винтовок всех систем, кроме Бердана и австрийских, состояло 4124 тыс., пулеметов—4157, патронов к ним — 2 315 500 тыс., что составит в среднем на винтовку: по 800 патронов — на пехотную и 320 — на кавалерийскую.</w:t>
      </w:r>
    </w:p>
    <w:p w14:paraId="611141B1"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За время с начала войны до 15 февраля 1915 г. израсходовано всего около 734 млн патронов, что составит 32% комплекта и 110 млн патронов в месяц. При этом, как известно, велись значительные боевые операции почти по всему фронту: и в Восточной Пруссии, и в Польше, и в Галиции, и притом войска не стеснялись в расходе боевых припасов.</w:t>
      </w:r>
    </w:p>
    <w:p w14:paraId="6E121484"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Результаты этого периода войны известны.</w:t>
      </w:r>
    </w:p>
    <w:p w14:paraId="46A9F766"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II. НАЛИЧИЕ ЗАПАСОВ К 18 ИЮНЯ 1917 г.</w:t>
      </w:r>
    </w:p>
    <w:p w14:paraId="0184F02E"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А. Легкие орудия и их боевые комплекты</w:t>
      </w:r>
    </w:p>
    <w:p w14:paraId="63FECC4E"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3'' полевые; 75 мм Арисака; 3" горные; противоштурмовые, траншейные и противоаэропланные).</w:t>
      </w:r>
    </w:p>
    <w:p w14:paraId="40F0C3FF"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1. Всего таких орудий состоит на вооружении: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5"/>
        <w:gridCol w:w="903"/>
      </w:tblGrid>
      <w:tr w:rsidR="002B1C74" w:rsidRPr="002F2FDF" w14:paraId="38849C74"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9BF602"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Фронтов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9ABE7"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7200</w:t>
            </w:r>
          </w:p>
        </w:tc>
      </w:tr>
      <w:tr w:rsidR="002B1C74" w:rsidRPr="002F2FDF" w14:paraId="5B198CCC"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72D852"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194E3"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2600</w:t>
            </w:r>
          </w:p>
        </w:tc>
      </w:tr>
      <w:tr w:rsidR="002B1C74" w:rsidRPr="002F2FDF" w14:paraId="60366D14"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3B611F"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9DB7F"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10000</w:t>
            </w:r>
          </w:p>
        </w:tc>
      </w:tr>
    </w:tbl>
    <w:p w14:paraId="23037F38"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2. К этим орудиям имеется комплектов: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50"/>
        <w:gridCol w:w="1143"/>
      </w:tblGrid>
      <w:tr w:rsidR="002B1C74" w:rsidRPr="002F2FDF" w14:paraId="47CF619D"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3450D9"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а) 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E75F0"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24000000</w:t>
            </w:r>
          </w:p>
        </w:tc>
      </w:tr>
      <w:tr w:rsidR="002B1C74" w:rsidRPr="002F2FDF" w14:paraId="531577FD"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E08D50"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б) Отдельными элементами</w:t>
            </w:r>
            <w:hyperlink r:id="rId445" w:anchor="_ftn2" w:history="1">
              <w:r w:rsidRPr="002F2FDF">
                <w:rPr>
                  <w:rStyle w:val="a5"/>
                  <w:color w:val="000000" w:themeColor="text1"/>
                  <w:kern w:val="2"/>
                  <w:sz w:val="16"/>
                  <w:szCs w:val="16"/>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369A28A1"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15000000</w:t>
            </w:r>
          </w:p>
        </w:tc>
      </w:tr>
      <w:tr w:rsidR="002B1C74" w:rsidRPr="002F2FDF" w14:paraId="57832B55"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A8F408"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6CFEA"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39000000</w:t>
            </w:r>
          </w:p>
        </w:tc>
      </w:tr>
    </w:tbl>
    <w:p w14:paraId="5E224839"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или около 5.5 тыс. выстрелов на действующую пушку.</w:t>
      </w:r>
      <w:hyperlink r:id="rId446" w:anchor="_ftn3" w:history="1">
        <w:r w:rsidRPr="002F2FDF">
          <w:rPr>
            <w:rStyle w:val="a5"/>
            <w:color w:val="000000" w:themeColor="text1"/>
            <w:kern w:val="2"/>
            <w:sz w:val="16"/>
            <w:szCs w:val="16"/>
          </w:rPr>
          <w:t>[3]</w:t>
        </w:r>
      </w:hyperlink>
    </w:p>
    <w:p w14:paraId="6439A592"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3. Чего можно было бы ожидать в дальнейшем?</w:t>
      </w:r>
    </w:p>
    <w:p w14:paraId="1291BD57"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lastRenderedPageBreak/>
        <w:t>Если бы можно было поддержать хотя бы январскую производительность отечественных заводов и среднюю прошлогоднюю получку из-за границы, то ежемесячно можно было бы рассчитывать на следующее поступление орудий и выстрелов: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18"/>
        <w:gridCol w:w="1063"/>
      </w:tblGrid>
      <w:tr w:rsidR="002B1C74" w:rsidRPr="002F2FDF" w14:paraId="38355E64"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196A46"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EFE0E"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600</w:t>
            </w:r>
          </w:p>
        </w:tc>
      </w:tr>
      <w:tr w:rsidR="002B1C74" w:rsidRPr="002F2FDF" w14:paraId="6A5A8FA7"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72ED2E"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Орудий отремонтированных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1E929"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 300</w:t>
            </w:r>
          </w:p>
        </w:tc>
      </w:tr>
      <w:tr w:rsidR="002B1C74" w:rsidRPr="002F2FDF" w14:paraId="09ED57EF"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45D7A1"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E0CCA"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900</w:t>
            </w:r>
          </w:p>
        </w:tc>
      </w:tr>
      <w:tr w:rsidR="002B1C74" w:rsidRPr="002F2FDF" w14:paraId="3AA89C5C"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53284A"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D8F21"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3000000</w:t>
            </w:r>
          </w:p>
        </w:tc>
      </w:tr>
    </w:tbl>
    <w:p w14:paraId="7183582D"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4. А на что можно рассчитывать ныне?</w:t>
      </w:r>
    </w:p>
    <w:p w14:paraId="56DA9F9F"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Если положение не улучшится (но и не ухудшится) против того, что мы имеем в настоящее время, то нельзя будет ожидать ежемесячно более чем: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1249"/>
      </w:tblGrid>
      <w:tr w:rsidR="002B1C74" w:rsidRPr="002F2FDF" w14:paraId="76568032"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2A788C"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а)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F47E9"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375</w:t>
            </w:r>
          </w:p>
        </w:tc>
      </w:tr>
      <w:tr w:rsidR="002B1C74" w:rsidRPr="002F2FDF" w14:paraId="3860BF7A"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80F419"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15FB0"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2000000</w:t>
            </w:r>
            <w:hyperlink r:id="rId447" w:anchor="_ftn4" w:history="1">
              <w:r w:rsidRPr="002F2FDF">
                <w:rPr>
                  <w:rStyle w:val="a5"/>
                  <w:color w:val="000000" w:themeColor="text1"/>
                  <w:kern w:val="2"/>
                  <w:sz w:val="16"/>
                  <w:szCs w:val="16"/>
                </w:rPr>
                <w:t>[4]</w:t>
              </w:r>
            </w:hyperlink>
          </w:p>
        </w:tc>
      </w:tr>
    </w:tbl>
    <w:p w14:paraId="729E6B4E"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т. е. понижение в орудиях и выстрелах — 33%.</w:t>
      </w:r>
    </w:p>
    <w:p w14:paraId="4287942F"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Ставка заявляет требование на ежемесячное поступление 300 пушек и 25 млн выстрелов.</w:t>
      </w:r>
    </w:p>
    <w:p w14:paraId="664CAADC"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Б. Орудия среднего калибра и их боевые комплекты</w:t>
      </w:r>
    </w:p>
    <w:p w14:paraId="2643A752"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(42'' скорострельные; 42'" обр. 1877 г.; 45'" гаубицы; 48"' гаубицы; 6" полевые; 6" крепостные; 6" Шнейдер; 6" Канэ).</w:t>
      </w:r>
    </w:p>
    <w:p w14:paraId="0C76AFC3"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  Всего таких орудий состоит: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823"/>
      </w:tblGrid>
      <w:tr w:rsidR="002B1C74" w:rsidRPr="002F2FDF" w14:paraId="71CEF934"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417D71"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63B55"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2300</w:t>
            </w:r>
          </w:p>
        </w:tc>
      </w:tr>
      <w:tr w:rsidR="002B1C74" w:rsidRPr="002F2FDF" w14:paraId="7B92A633"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3B2B1D"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1CEAD"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 600</w:t>
            </w:r>
          </w:p>
        </w:tc>
      </w:tr>
      <w:tr w:rsidR="002B1C74" w:rsidRPr="002F2FDF" w14:paraId="2EEF4871"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FEED56"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3CAFE"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2900</w:t>
            </w:r>
          </w:p>
        </w:tc>
      </w:tr>
    </w:tbl>
    <w:p w14:paraId="2CBAEC8C"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2. К этим орудиям имеется комплектов: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63"/>
        <w:gridCol w:w="1103"/>
      </w:tblGrid>
      <w:tr w:rsidR="002B1C74" w:rsidRPr="002F2FDF" w14:paraId="3EA7E44B"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117401"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а) 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C063C" w14:textId="3539A40A" w:rsidR="00C06ECB"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r w:rsidR="00C06ECB" w:rsidRPr="002F2FDF">
              <w:rPr>
                <w:color w:val="000000" w:themeColor="text1"/>
                <w:kern w:val="2"/>
                <w:sz w:val="16"/>
                <w:szCs w:val="16"/>
              </w:rPr>
              <w:t>около 5000000</w:t>
            </w:r>
          </w:p>
        </w:tc>
      </w:tr>
      <w:tr w:rsidR="002B1C74" w:rsidRPr="002F2FDF" w14:paraId="618E458D"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EDE970"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б) Отдельными элементами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13F82"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 1000000</w:t>
            </w:r>
          </w:p>
        </w:tc>
      </w:tr>
      <w:tr w:rsidR="002B1C74" w:rsidRPr="002F2FDF" w14:paraId="2D6D006E"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0F1E92"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4938B"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6000000</w:t>
            </w:r>
          </w:p>
        </w:tc>
      </w:tr>
    </w:tbl>
    <w:p w14:paraId="49B659FF"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или около 2.5 тыс. на действующее орудие.</w:t>
      </w:r>
    </w:p>
    <w:p w14:paraId="73A763E6"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3. Чего бы можно было ожидать в дальнейшем?</w:t>
      </w:r>
    </w:p>
    <w:p w14:paraId="77B06DB4"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18"/>
        <w:gridCol w:w="983"/>
      </w:tblGrid>
      <w:tr w:rsidR="002B1C74" w:rsidRPr="002F2FDF" w14:paraId="2529DC50"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6D9C09"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7D2AB" w14:textId="46201E46" w:rsidR="00C06ECB"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r w:rsidR="00C06ECB" w:rsidRPr="002F2FDF">
              <w:rPr>
                <w:color w:val="000000" w:themeColor="text1"/>
                <w:kern w:val="2"/>
                <w:sz w:val="16"/>
                <w:szCs w:val="16"/>
              </w:rPr>
              <w:t>около 120</w:t>
            </w:r>
          </w:p>
        </w:tc>
      </w:tr>
      <w:tr w:rsidR="002B1C74" w:rsidRPr="002F2FDF" w14:paraId="6CBA114D"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F5BC02"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Орудий отремонтированных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A757D"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 30</w:t>
            </w:r>
          </w:p>
        </w:tc>
      </w:tr>
      <w:tr w:rsidR="002B1C74" w:rsidRPr="002F2FDF" w14:paraId="5444FD77"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36AF75"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5F858"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150</w:t>
            </w:r>
          </w:p>
        </w:tc>
      </w:tr>
      <w:tr w:rsidR="002B1C74" w:rsidRPr="002F2FDF" w14:paraId="536C22AC"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BCB298"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C656E"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700000</w:t>
            </w:r>
          </w:p>
        </w:tc>
      </w:tr>
    </w:tbl>
    <w:p w14:paraId="767B0808"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4. А на что можно рассчитывать ныне?</w:t>
      </w:r>
    </w:p>
    <w:p w14:paraId="68F01C28"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При условиях поступления, как было в мае и июне, можно рассчитывать получить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737"/>
      </w:tblGrid>
      <w:tr w:rsidR="002B1C74" w:rsidRPr="002F2FDF" w14:paraId="3C926FE0"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75111B"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E2C33"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110</w:t>
            </w:r>
          </w:p>
        </w:tc>
      </w:tr>
      <w:tr w:rsidR="002B1C74" w:rsidRPr="002F2FDF" w14:paraId="6A61330C"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DACBED"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E1DFC"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 600000</w:t>
            </w:r>
          </w:p>
        </w:tc>
      </w:tr>
    </w:tbl>
    <w:p w14:paraId="2DF03FC8"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т. е. понижение в орудиях — 10% и выстрелах — 14%.</w:t>
      </w:r>
    </w:p>
    <w:p w14:paraId="74CBAF20"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Ставка заявляет ежемесячное требование на 84 орудия и 750 тыс. выстрелов.</w:t>
      </w:r>
    </w:p>
    <w:p w14:paraId="450A45CD"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В. Орудия крупного калибра и их боевые комплекты</w:t>
      </w:r>
    </w:p>
    <w:p w14:paraId="3624A7F5"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(8" гаубицы; 9.2" гаубицы; 11" мортиры; 12" гаубицы).</w:t>
      </w:r>
    </w:p>
    <w:p w14:paraId="374C3DB8"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 Всего таких орудий состоит:</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51"/>
      </w:tblGrid>
      <w:tr w:rsidR="002B1C74" w:rsidRPr="002F2FDF" w14:paraId="3EE6FBE4" w14:textId="77777777" w:rsidTr="00C06EC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E87BE9"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На вооружении около 62.</w:t>
            </w:r>
          </w:p>
          <w:p w14:paraId="2BE658BC" w14:textId="113B0D58" w:rsidR="00C06ECB"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bl>
    <w:p w14:paraId="3E5A3145"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2. К этим орудиям имеется комплектов: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63"/>
        <w:gridCol w:w="938"/>
      </w:tblGrid>
      <w:tr w:rsidR="002B1C74" w:rsidRPr="002F2FDF" w14:paraId="36B4CF74"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20FCEF"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а) 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420A2"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19000</w:t>
            </w:r>
          </w:p>
        </w:tc>
      </w:tr>
      <w:tr w:rsidR="002B1C74" w:rsidRPr="002F2FDF" w14:paraId="45DBFF01"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875E7F"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б) Отдельными элементами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1014E"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 7700</w:t>
            </w:r>
          </w:p>
        </w:tc>
      </w:tr>
      <w:tr w:rsidR="002B1C74" w:rsidRPr="002F2FDF" w14:paraId="3EF687F6"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D291E5"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3D16F"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26700</w:t>
            </w:r>
          </w:p>
        </w:tc>
      </w:tr>
    </w:tbl>
    <w:p w14:paraId="12CAACC8"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или около 430 на действующее орудие.</w:t>
      </w:r>
    </w:p>
    <w:p w14:paraId="045321EB"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3. Чего бы можно было ожидать в дальнейшем?</w:t>
      </w:r>
    </w:p>
    <w:p w14:paraId="0448DCC3"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657"/>
      </w:tblGrid>
      <w:tr w:rsidR="002B1C74" w:rsidRPr="002F2FDF" w14:paraId="3C77ECE8"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49D4A4"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F936E"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11</w:t>
            </w:r>
          </w:p>
        </w:tc>
      </w:tr>
      <w:tr w:rsidR="002B1C74" w:rsidRPr="002F2FDF" w14:paraId="7CA29FAB"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C84331"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69082"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 13000</w:t>
            </w:r>
          </w:p>
        </w:tc>
      </w:tr>
    </w:tbl>
    <w:p w14:paraId="05D4582A"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4. А на что можно рассчитывать ныне?</w:t>
      </w:r>
    </w:p>
    <w:p w14:paraId="3E46EC3E"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При условиях поступления, как было в мае и июне, можно рассчитывать получить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618"/>
      </w:tblGrid>
      <w:tr w:rsidR="002B1C74" w:rsidRPr="002F2FDF" w14:paraId="5D8B10E2"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E1EE13"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729CB"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5</w:t>
            </w:r>
          </w:p>
        </w:tc>
      </w:tr>
      <w:tr w:rsidR="002B1C74" w:rsidRPr="002F2FDF" w14:paraId="198CCAFC"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139A86"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BDA26"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 7000</w:t>
            </w:r>
          </w:p>
        </w:tc>
      </w:tr>
    </w:tbl>
    <w:p w14:paraId="4953DDAB"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т. е. понижение: 55% — в орудиях и 46% — в выстрелах.</w:t>
      </w:r>
    </w:p>
    <w:p w14:paraId="316BC4D6"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Ставка заявляет ежемесячное требование на потребность в выстрелах в мае — 36 700.</w:t>
      </w:r>
    </w:p>
    <w:p w14:paraId="0E6B05CF"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Г. Винтовки и пулеметы и патроны к ним</w:t>
      </w:r>
    </w:p>
    <w:p w14:paraId="3ACA954A"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 Всего состоит: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1048"/>
        <w:gridCol w:w="810"/>
      </w:tblGrid>
      <w:tr w:rsidR="002B1C74" w:rsidRPr="002F2FDF" w14:paraId="6495B621"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CE0F7A" w14:textId="201BFCD8" w:rsidR="00C06EC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47BC2"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CA368"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Пулеметов</w:t>
            </w:r>
          </w:p>
        </w:tc>
      </w:tr>
      <w:tr w:rsidR="002B1C74" w:rsidRPr="002F2FDF" w14:paraId="5BF974E3"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78F8A9"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86214"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4815506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78EAE"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18269</w:t>
            </w:r>
          </w:p>
        </w:tc>
      </w:tr>
      <w:tr w:rsidR="002B1C74" w:rsidRPr="002F2FDF" w14:paraId="56238692"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0613D7"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3DDBE"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105570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EBC88"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72787FE2"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EE6EB9"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A8752"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4921076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64602"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18269</w:t>
            </w:r>
          </w:p>
        </w:tc>
      </w:tr>
    </w:tbl>
    <w:p w14:paraId="13CEF40B"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2. К этим винтовкам и пулеметам имеется патронов:</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50"/>
        <w:gridCol w:w="830"/>
      </w:tblGrid>
      <w:tr w:rsidR="002B1C74" w:rsidRPr="002F2FDF" w14:paraId="27FE798C" w14:textId="77777777" w:rsidTr="00B85E2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75160D"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Всего около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BB235"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1491000000</w:t>
            </w:r>
          </w:p>
          <w:p w14:paraId="42509204" w14:textId="110C3CB5" w:rsidR="00C06ECB"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bl>
    <w:p w14:paraId="6889BE62"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или около 300 патронов на винтовку.</w:t>
      </w:r>
    </w:p>
    <w:p w14:paraId="07599D3B"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3. Чего бы можно было ожидать в дальнейшем?</w:t>
      </w:r>
    </w:p>
    <w:p w14:paraId="13F19BEE"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888"/>
        <w:gridCol w:w="810"/>
      </w:tblGrid>
      <w:tr w:rsidR="002B1C74" w:rsidRPr="002F2FDF" w14:paraId="29EAD368"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F7B57B" w14:textId="0FE07674" w:rsidR="00C06EC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9F61D"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3ACD9"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Пулеметов</w:t>
            </w:r>
          </w:p>
        </w:tc>
      </w:tr>
      <w:tr w:rsidR="002B1C74" w:rsidRPr="002F2FDF" w14:paraId="1F9A6E54"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BCF6B4"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11A86"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13000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37D4B"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1200</w:t>
            </w:r>
          </w:p>
        </w:tc>
      </w:tr>
      <w:tr w:rsidR="00474654" w:rsidRPr="002F2FDF" w14:paraId="11D86F37"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875C51"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D5410"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 62000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EABFA"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1100</w:t>
            </w:r>
          </w:p>
        </w:tc>
      </w:tr>
    </w:tbl>
    <w:p w14:paraId="372F38D8" w14:textId="77777777" w:rsidR="00C06ECB" w:rsidRPr="002F2FDF" w:rsidRDefault="00C06ECB" w:rsidP="0083075A">
      <w:pPr>
        <w:pStyle w:val="ae"/>
        <w:spacing w:before="0" w:after="0"/>
        <w:jc w:val="both"/>
        <w:rPr>
          <w:color w:val="000000" w:themeColor="text1"/>
          <w:kern w:val="2"/>
          <w:sz w:val="16"/>
          <w:szCs w:val="16"/>
        </w:rPr>
      </w:pP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1223"/>
      </w:tblGrid>
      <w:tr w:rsidR="002B1C74" w:rsidRPr="002F2FDF" w14:paraId="40CF6A75"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A48239" w14:textId="27E35F88" w:rsidR="00C06EC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490B0"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Патронов к ним</w:t>
            </w:r>
          </w:p>
        </w:tc>
      </w:tr>
      <w:tr w:rsidR="002B1C74" w:rsidRPr="002F2FDF" w14:paraId="3E486FCE"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33DF05"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FBED3"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130000000</w:t>
            </w:r>
          </w:p>
        </w:tc>
      </w:tr>
      <w:tr w:rsidR="002B1C74" w:rsidRPr="002F2FDF" w14:paraId="53D6BC65"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F612CA"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BD13C"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 50000000</w:t>
            </w:r>
          </w:p>
        </w:tc>
      </w:tr>
    </w:tbl>
    <w:p w14:paraId="7006411C"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4. А на что можно рассчитывать ныне?</w:t>
      </w:r>
    </w:p>
    <w:p w14:paraId="3AFCC7E2"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При условиях поступления, как было в мае и июне, можно рассчитывать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962"/>
        <w:gridCol w:w="810"/>
      </w:tblGrid>
      <w:tr w:rsidR="002B1C74" w:rsidRPr="002F2FDF" w14:paraId="08A16B61"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8CF48F" w14:textId="7470CA1C" w:rsidR="00C06EC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EC20D"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75E18"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Пулеметов</w:t>
            </w:r>
          </w:p>
        </w:tc>
      </w:tr>
      <w:tr w:rsidR="002B1C74" w:rsidRPr="002F2FDF" w14:paraId="552818F0"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A1259B"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C7C15"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110000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1041F"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1100</w:t>
            </w:r>
          </w:p>
        </w:tc>
      </w:tr>
      <w:tr w:rsidR="002B1C74" w:rsidRPr="002F2FDF" w14:paraId="2C4FD603"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519CCE"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98113"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 100000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981A8"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1100</w:t>
            </w:r>
          </w:p>
        </w:tc>
      </w:tr>
    </w:tbl>
    <w:p w14:paraId="0DD1EB9D" w14:textId="614F6878" w:rsidR="00C06ECB"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1223"/>
      </w:tblGrid>
      <w:tr w:rsidR="002B1C74" w:rsidRPr="002F2FDF" w14:paraId="7B606D7D"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489431" w14:textId="2D53A058" w:rsidR="00C06EC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9F173"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Патронов к ним</w:t>
            </w:r>
          </w:p>
        </w:tc>
      </w:tr>
      <w:tr w:rsidR="002B1C74" w:rsidRPr="002F2FDF" w14:paraId="0E267FF8"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5554C4"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1AAEA"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130000000</w:t>
            </w:r>
          </w:p>
        </w:tc>
      </w:tr>
      <w:tr w:rsidR="002B1C74" w:rsidRPr="002F2FDF" w14:paraId="3F437A88"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07FFF8"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3B3BF"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 150000000</w:t>
            </w:r>
          </w:p>
        </w:tc>
      </w:tr>
    </w:tbl>
    <w:p w14:paraId="1AC08C93"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т. е. понижение на наших заводах: до 15% — в винтовках и 10% — в пулеметах.</w:t>
      </w:r>
    </w:p>
    <w:p w14:paraId="67DD9CB8"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Станка заявляет ежемесячное требование на 200 тыс. винтовок, 600 пулеметов и винтовочных патронов: 200 мли — 3'", 25 млн — австрийских и 45 млн — японских.</w:t>
      </w:r>
    </w:p>
    <w:p w14:paraId="3BD23D53"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Д. Бомбометы и минометы</w:t>
      </w:r>
    </w:p>
    <w:p w14:paraId="0B876402"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 Всего таких орудий состоит: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839"/>
        <w:gridCol w:w="816"/>
      </w:tblGrid>
      <w:tr w:rsidR="002B1C74" w:rsidRPr="002F2FDF" w14:paraId="0A452045"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1465CF" w14:textId="027DF5DF" w:rsidR="00C06EC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2A22B"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Бомбометы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44201"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Минометы</w:t>
            </w:r>
          </w:p>
        </w:tc>
      </w:tr>
      <w:tr w:rsidR="002B1C74" w:rsidRPr="002F2FDF" w14:paraId="2E472ECE"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F3ACF1"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E6407"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6920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04F84"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1514</w:t>
            </w:r>
          </w:p>
        </w:tc>
      </w:tr>
    </w:tbl>
    <w:p w14:paraId="7BDB62FC"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2. К этим орудиям имеется: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620"/>
        <w:gridCol w:w="555"/>
      </w:tblGrid>
      <w:tr w:rsidR="002B1C74" w:rsidRPr="002F2FDF" w14:paraId="3EAADB28"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7148B2" w14:textId="0EB3ABC3" w:rsidR="00C06EC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EA4E9"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Бомб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96D18"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Мин</w:t>
            </w:r>
          </w:p>
        </w:tc>
      </w:tr>
      <w:tr w:rsidR="002B1C74" w:rsidRPr="002F2FDF" w14:paraId="4190CB95"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A6522B"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B14C8"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1836000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942B5"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376000</w:t>
            </w:r>
          </w:p>
        </w:tc>
      </w:tr>
    </w:tbl>
    <w:p w14:paraId="6ADEE4F3"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3. Чего бы можно было ожидать в дальнейшем?</w:t>
      </w:r>
    </w:p>
    <w:p w14:paraId="0402259C"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26"/>
        <w:gridCol w:w="675"/>
      </w:tblGrid>
      <w:tr w:rsidR="002B1C74" w:rsidRPr="002F2FDF" w14:paraId="15B7F294"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69715D"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а) Минометов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EF69F"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80</w:t>
            </w:r>
          </w:p>
        </w:tc>
      </w:tr>
      <w:tr w:rsidR="002B1C74" w:rsidRPr="002F2FDF" w14:paraId="063321E3"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E1CFD0"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б) Мин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E334F"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 100000</w:t>
            </w:r>
          </w:p>
        </w:tc>
      </w:tr>
    </w:tbl>
    <w:p w14:paraId="72A7C02D"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Что же касается бомбометов и бомб к ним, то заявленная потребность удовлетворена полностью.</w:t>
      </w:r>
    </w:p>
    <w:p w14:paraId="28847FD3"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4. А на что можно рассчитывать ныне?</w:t>
      </w:r>
    </w:p>
    <w:p w14:paraId="7E2896B1"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При условиях поступления, как было в мае и июне, можно рассчитывать получить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26"/>
        <w:gridCol w:w="663"/>
      </w:tblGrid>
      <w:tr w:rsidR="002B1C74" w:rsidRPr="002F2FDF" w14:paraId="443E67E6"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2A0AB8"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а) Минометов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A2FF3"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80</w:t>
            </w:r>
          </w:p>
        </w:tc>
      </w:tr>
      <w:tr w:rsidR="002B1C74" w:rsidRPr="002F2FDF" w14:paraId="77F48C9A"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24CE9A"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б) Мин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6C0F1"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 80000</w:t>
            </w:r>
          </w:p>
        </w:tc>
      </w:tr>
    </w:tbl>
    <w:p w14:paraId="7BC2F2D7"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т. е. понижение до 20% на минах.</w:t>
      </w:r>
    </w:p>
    <w:p w14:paraId="00EB2EE6"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Ставка заявляет потребность довести число легких минометов до 3500, минометов Лихонина — до 1000 и тяжелых минометов — до 1500 и ежемесячную подачу мин — 145 тыс.</w:t>
      </w:r>
    </w:p>
    <w:p w14:paraId="5972ECB8"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ЗАКЛЮЧЕНИЕ</w:t>
      </w:r>
    </w:p>
    <w:p w14:paraId="28F02D68"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А. Орудия малого калибра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08"/>
        <w:gridCol w:w="448"/>
        <w:gridCol w:w="395"/>
      </w:tblGrid>
      <w:tr w:rsidR="002B1C74" w:rsidRPr="002F2FDF" w14:paraId="1C54DDD7"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0AB691"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К началу войны состояло 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A8C9A"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0C511"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7200</w:t>
            </w:r>
          </w:p>
        </w:tc>
      </w:tr>
      <w:tr w:rsidR="002B1C74" w:rsidRPr="002F2FDF" w14:paraId="007CC8EE"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CF5193"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977C0" w14:textId="7AFBEDF1" w:rsidR="00C06EC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3EAA0" w14:textId="28CD2800" w:rsidR="00C06EC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31AC85C"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350CE8"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CEDD5"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CE99C"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7200</w:t>
            </w:r>
          </w:p>
        </w:tc>
      </w:tr>
      <w:tr w:rsidR="002B1C74" w:rsidRPr="002F2FDF" w14:paraId="12EE88B5"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853E39"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0F183" w14:textId="2C180465" w:rsidR="00C06EC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E2280"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2600</w:t>
            </w:r>
          </w:p>
        </w:tc>
      </w:tr>
    </w:tbl>
    <w:p w14:paraId="63FF3310"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Новые артиллерийские формирования но распоряжению ГУГШ не производятся вследствие недостатка людей и лошадей, однако начатые уже формирования приказано закончить.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24"/>
        <w:gridCol w:w="916"/>
      </w:tblGrid>
      <w:tr w:rsidR="002B1C74" w:rsidRPr="002F2FDF" w14:paraId="5E9255A6"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56C634"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За время войны изготовлено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E871E"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7800</w:t>
            </w:r>
          </w:p>
        </w:tc>
      </w:tr>
      <w:tr w:rsidR="002B1C74" w:rsidRPr="002F2FDF" w14:paraId="31B0F02C"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ECB3A6"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4A1D3"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3410</w:t>
            </w:r>
          </w:p>
        </w:tc>
      </w:tr>
      <w:tr w:rsidR="002B1C74" w:rsidRPr="002F2FDF" w14:paraId="631C38D0"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FA9DA0"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87DF492"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7200 + 7800</w:t>
            </w:r>
          </w:p>
        </w:tc>
      </w:tr>
      <w:tr w:rsidR="002B1C74" w:rsidRPr="002F2FDF" w14:paraId="23DEB6FE"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BC711B" w14:textId="6F245E5D" w:rsidR="00C06EC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C0813"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15000</w:t>
            </w:r>
          </w:p>
        </w:tc>
      </w:tr>
      <w:tr w:rsidR="002B1C74" w:rsidRPr="002F2FDF" w14:paraId="4066CDC1"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1EEBF1"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Следовательно, с начала войны убыло...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E42D5"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5000 орудий</w:t>
            </w:r>
          </w:p>
        </w:tc>
      </w:tr>
    </w:tbl>
    <w:p w14:paraId="42F03FED"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Для оставшихся пушек запасенных боевых комплектов около 40 млн, т. е. около 5.5 тыс. на пушку, можно признать достаточным, если бы даже встретились и существенные затруднения в дальнейшем производстве их.</w:t>
      </w:r>
    </w:p>
    <w:p w14:paraId="15D146A2"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Б. Орудия среднего калибра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09"/>
        <w:gridCol w:w="823"/>
      </w:tblGrid>
      <w:tr w:rsidR="002B1C74" w:rsidRPr="002F2FDF" w14:paraId="7E76CFB2"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8F7F09"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К началу войны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92900"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1031</w:t>
            </w:r>
          </w:p>
        </w:tc>
      </w:tr>
      <w:tr w:rsidR="002B1C74" w:rsidRPr="002F2FDF" w14:paraId="58E14B4B"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0AD2AE"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13028" w14:textId="306C93A0" w:rsidR="00C06EC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E0B155D"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125124"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па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FA434"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 2316</w:t>
            </w:r>
          </w:p>
        </w:tc>
      </w:tr>
      <w:tr w:rsidR="002B1C74" w:rsidRPr="002F2FDF" w14:paraId="72248F9E"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3F6CA5"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7EA4D"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 558</w:t>
            </w:r>
          </w:p>
        </w:tc>
      </w:tr>
      <w:tr w:rsidR="002B1C74" w:rsidRPr="002F2FDF" w14:paraId="497DD3A4"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A6A624"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За время войны изготовлено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0BC1F"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1966</w:t>
            </w:r>
          </w:p>
        </w:tc>
      </w:tr>
      <w:tr w:rsidR="002B1C74" w:rsidRPr="002F2FDF" w14:paraId="22B83A4D"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2D275F"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C5DD4"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496</w:t>
            </w:r>
          </w:p>
        </w:tc>
      </w:tr>
      <w:tr w:rsidR="002B1C74" w:rsidRPr="002F2FDF" w14:paraId="1D2CDF99"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A15CDD"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Отпущено орудий 1877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4494D"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750</w:t>
            </w:r>
          </w:p>
        </w:tc>
      </w:tr>
      <w:tr w:rsidR="002B1C74" w:rsidRPr="002F2FDF" w14:paraId="0BB5BEBA"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8AB524"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407A3"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4243</w:t>
            </w:r>
          </w:p>
        </w:tc>
      </w:tr>
      <w:tr w:rsidR="002B1C74" w:rsidRPr="002F2FDF" w14:paraId="13767190"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62961F"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61814"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1369</w:t>
            </w:r>
          </w:p>
        </w:tc>
      </w:tr>
    </w:tbl>
    <w:p w14:paraId="41EF60ED"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Для оставшихся орудий запасенных боевых комплектов — около : млн, или около 2.5 тыс. на орудие, можно признать достаточным</w:t>
      </w:r>
    </w:p>
    <w:p w14:paraId="1766461B"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только при условии, что ежемесячный прилив их будет не менее того, что было в январе месяце с. г.</w:t>
      </w:r>
    </w:p>
    <w:p w14:paraId="499C43C3"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В. Орудия крупного калибра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31"/>
        <w:gridCol w:w="663"/>
      </w:tblGrid>
      <w:tr w:rsidR="002B1C74" w:rsidRPr="002F2FDF" w14:paraId="663422DB"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E07466"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К началу войны не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E1763" w14:textId="4604B16F" w:rsidR="00C06EC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301CF2DD"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2A08FE"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7E584" w14:textId="53FA8886" w:rsidR="00C06EC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053085A"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9DD011"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3F676"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62</w:t>
            </w:r>
          </w:p>
        </w:tc>
      </w:tr>
      <w:tr w:rsidR="002B1C74" w:rsidRPr="002F2FDF" w14:paraId="5810D02D"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74255B"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A0AE4"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05130F2B"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0F3839"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За время войны изготовлено и доставлено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CAF70"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87</w:t>
            </w:r>
          </w:p>
        </w:tc>
      </w:tr>
      <w:tr w:rsidR="002B1C74" w:rsidRPr="002F2FDF" w14:paraId="4B03576C"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398FEE"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376DB"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87</w:t>
            </w:r>
          </w:p>
        </w:tc>
      </w:tr>
      <w:tr w:rsidR="002B1C74" w:rsidRPr="002F2FDF" w14:paraId="7FD3A358"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3D95FC"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lastRenderedPageBreak/>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FD6E4"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около 25</w:t>
            </w:r>
          </w:p>
        </w:tc>
      </w:tr>
    </w:tbl>
    <w:p w14:paraId="752E61D9"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Для пушек крупного калибра, в особенности 12" и 11'', как существующий запас, так и ежемесячное поступление совершенно недостаточны.</w:t>
      </w:r>
    </w:p>
    <w:p w14:paraId="0F6CBDD7"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Г. Пулеметы, ружья и патроны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42"/>
        <w:gridCol w:w="750"/>
        <w:gridCol w:w="620"/>
        <w:gridCol w:w="875"/>
      </w:tblGrid>
      <w:tr w:rsidR="002B1C74" w:rsidRPr="002F2FDF" w14:paraId="5EEA67F2"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BBAC42" w14:textId="3A36FF14" w:rsidR="00C06EC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C40F0"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3EC50"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Ружья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D8A96"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Патроны</w:t>
            </w:r>
          </w:p>
        </w:tc>
      </w:tr>
      <w:tr w:rsidR="002B1C74" w:rsidRPr="002F2FDF" w14:paraId="2165BFA9"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A28561"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К началу войны состояло: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3CB9B"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4157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6CC54"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4124000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9963E"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2315000000</w:t>
            </w:r>
          </w:p>
        </w:tc>
      </w:tr>
      <w:tr w:rsidR="002B1C74" w:rsidRPr="002F2FDF" w14:paraId="7818A163"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7688E4"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Теперь имеется: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E6C24" w14:textId="5C48B4A8" w:rsidR="00C06EC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78EB3" w14:textId="0EDB10A6" w:rsidR="00C06EC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A38FA" w14:textId="5F02D1E1" w:rsidR="00C06EC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48772BBD"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F4599C"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на вооружении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E9F3F"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18269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00B1B"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4065000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6CEC5"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1490000000</w:t>
            </w:r>
          </w:p>
        </w:tc>
      </w:tr>
      <w:tr w:rsidR="002B1C74" w:rsidRPr="002F2FDF" w14:paraId="38190F5B"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D5D923"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7E7A3"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E1C7A"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59860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73A02"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0A1A10C7"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6EEB7A"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За время войны изготовлено и доставлено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C83DC"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30354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B4EE8"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5087850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F1F21"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5346000000</w:t>
            </w:r>
          </w:p>
        </w:tc>
      </w:tr>
      <w:tr w:rsidR="002B1C74" w:rsidRPr="002F2FDF" w14:paraId="1CDA2AD7"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026954"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F767B"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14B03"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7955F"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6F0A79BA"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AA3EF6"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Таким образом, всего на фронты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E60CC"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34511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44EA6"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9211850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9F64B"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7661000000</w:t>
            </w:r>
          </w:p>
        </w:tc>
      </w:tr>
      <w:tr w:rsidR="002B1C74" w:rsidRPr="002F2FDF" w14:paraId="7A052076"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ECD6A4"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35E5E"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16172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821AE"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5086994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0C868"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6171000000</w:t>
            </w:r>
          </w:p>
        </w:tc>
      </w:tr>
    </w:tbl>
    <w:p w14:paraId="31BB482D"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Д. Бомбометы и миномёты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20"/>
        <w:gridCol w:w="839"/>
        <w:gridCol w:w="649"/>
        <w:gridCol w:w="801"/>
        <w:gridCol w:w="635"/>
      </w:tblGrid>
      <w:tr w:rsidR="002B1C74" w:rsidRPr="002F2FDF" w14:paraId="3740361B"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CCC32E" w14:textId="0555548E" w:rsidR="00C06EC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8BDEF"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Бомбометы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B6E56"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Бомбы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4C464"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Минометы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F006E"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Мины</w:t>
            </w:r>
          </w:p>
        </w:tc>
      </w:tr>
      <w:tr w:rsidR="002B1C74" w:rsidRPr="002F2FDF" w14:paraId="670977EE"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6881DA"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К началу войны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A4C16" w14:textId="5EDFC123" w:rsidR="00C06EC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58AD6" w14:textId="4E0E9EA8" w:rsidR="00C06EC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BF8FB" w14:textId="10F1907C" w:rsidR="00C06EC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B625F" w14:textId="2DBDEEA6" w:rsidR="00C06ECB"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2FCCBCC"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4AD6BF"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на вооружении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D3F8B"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6920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B8F8B"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1839000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5E6505"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63A07"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376000</w:t>
            </w:r>
          </w:p>
        </w:tc>
      </w:tr>
      <w:tr w:rsidR="002B1C74" w:rsidRPr="002F2FDF" w14:paraId="72064DE9"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23463A"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9CEE0"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23CDF"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5F427"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45E66"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04FEA89C"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E7E232"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За время войны изготовлено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D906D"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13395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A6D9B"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8791000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B9C23"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4095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1D9D6"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1340000</w:t>
            </w:r>
          </w:p>
        </w:tc>
      </w:tr>
      <w:tr w:rsidR="002B1C74" w:rsidRPr="002F2FDF" w14:paraId="14A5B55F"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970F30"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Таким образом, всего на фронты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E65DA"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13395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625A1"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8791000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E4544"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4095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408E2"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1340000</w:t>
            </w:r>
          </w:p>
        </w:tc>
      </w:tr>
      <w:tr w:rsidR="002B1C74" w:rsidRPr="002F2FDF" w14:paraId="675A02D3"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2BCD3D"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D5AD4"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6475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23D4C"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'6952000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674FD"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2581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2C26F" w14:textId="77777777" w:rsidR="00C06ECB" w:rsidRPr="002F2FDF" w:rsidRDefault="00C06ECB" w:rsidP="0083075A">
            <w:pPr>
              <w:pStyle w:val="ae"/>
              <w:spacing w:before="0" w:after="0"/>
              <w:jc w:val="both"/>
              <w:rPr>
                <w:color w:val="000000" w:themeColor="text1"/>
                <w:kern w:val="2"/>
                <w:sz w:val="16"/>
                <w:szCs w:val="16"/>
              </w:rPr>
            </w:pPr>
            <w:r w:rsidRPr="002F2FDF">
              <w:rPr>
                <w:color w:val="000000" w:themeColor="text1"/>
                <w:kern w:val="2"/>
                <w:sz w:val="16"/>
                <w:szCs w:val="16"/>
              </w:rPr>
              <w:t>964000</w:t>
            </w:r>
          </w:p>
        </w:tc>
      </w:tr>
    </w:tbl>
    <w:p w14:paraId="032B4514"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Учитывая значительное понижение продуктивности работы (почти на 30%), можно считать пополнение запасов фронта орудиями легкого калибра и выстрелами к ним обеспеченным. Необходимо только всемерно стараться усилить подачу горных и зенитных орудий.</w:t>
      </w:r>
    </w:p>
    <w:p w14:paraId="2E05BD60"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Точно так же но внушает опасения пополнение орудий среднего калибра. Подача же выстрелов к ним понизилась против предположений значительно, почти на 50%. Причем понижение производства в 50% ложится на неподачу топлива и металла, а в остальных 50% понижение произошло исключительно от падения труда и дезорганизации производства.</w:t>
      </w:r>
    </w:p>
    <w:p w14:paraId="2D3ECCB1"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Удовлетворение потребности в орудиях крупного калибра и выстрелов к ним исключительно зависит от того, насколько союзники наши пожелают выполнить принятые ими на себя обязательства. Из обещанных ими 128 тяжелых орудий до 1 марта и 168 орудий в течение навигации с. г. прибыло всего 116 орудий, из них 8"—12" только 28, причем значительная часть не имеет еще весьма существенных частей, вроде прицелов.</w:t>
      </w:r>
    </w:p>
    <w:p w14:paraId="5D3F7159"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Готовые к погрузке еще в мае месяце 10 батарей 42"' пушек задержаны отправкой по распоряжению итальянского правительства.</w:t>
      </w:r>
    </w:p>
    <w:p w14:paraId="65EC555F" w14:textId="77777777" w:rsidR="00C06ECB" w:rsidRPr="002F2FDF" w:rsidRDefault="00C06ECB" w:rsidP="0083075A">
      <w:pPr>
        <w:pStyle w:val="rtejustify"/>
        <w:spacing w:before="0" w:after="0"/>
        <w:rPr>
          <w:color w:val="000000" w:themeColor="text1"/>
          <w:kern w:val="2"/>
          <w:sz w:val="16"/>
          <w:szCs w:val="16"/>
        </w:rPr>
      </w:pPr>
      <w:r w:rsidRPr="002F2FDF">
        <w:rPr>
          <w:color w:val="000000" w:themeColor="text1"/>
          <w:kern w:val="2"/>
          <w:sz w:val="16"/>
          <w:szCs w:val="16"/>
        </w:rPr>
        <w:t xml:space="preserve">За последние 4 месяца на фронт отправлено 42 тяжелых батареи и формируется 40 батарей, из которых 15 батарей будут готовы и отправлены на фронт в июле месяце. Что же касается выстрелов к ним, то тут также главная надежда на заграничную поставку, ибо русские заводы даже при введении стале-чугунных снарядов не могут дать свыше </w:t>
      </w:r>
      <w:r w:rsidRPr="002F2FDF">
        <w:rPr>
          <w:color w:val="000000" w:themeColor="text1"/>
          <w:kern w:val="2"/>
          <w:sz w:val="16"/>
          <w:szCs w:val="16"/>
          <w:vertAlign w:val="superscript"/>
        </w:rPr>
        <w:t>1</w:t>
      </w:r>
      <w:r w:rsidRPr="002F2FDF">
        <w:rPr>
          <w:color w:val="000000" w:themeColor="text1"/>
          <w:kern w:val="2"/>
          <w:sz w:val="16"/>
          <w:szCs w:val="16"/>
        </w:rPr>
        <w:t>/</w:t>
      </w:r>
      <w:r w:rsidRPr="002F2FDF">
        <w:rPr>
          <w:color w:val="000000" w:themeColor="text1"/>
          <w:kern w:val="2"/>
          <w:sz w:val="16"/>
          <w:szCs w:val="16"/>
          <w:vertAlign w:val="subscript"/>
        </w:rPr>
        <w:t>5</w:t>
      </w:r>
      <w:r w:rsidRPr="002F2FDF">
        <w:rPr>
          <w:color w:val="000000" w:themeColor="text1"/>
          <w:kern w:val="2"/>
          <w:sz w:val="16"/>
          <w:szCs w:val="16"/>
        </w:rPr>
        <w:t xml:space="preserve"> всего потребного количества выстрелов к орудиям сверхтяжелого калибра.</w:t>
      </w:r>
    </w:p>
    <w:p w14:paraId="369408E3" w14:textId="77777777" w:rsidR="00C06ECB" w:rsidRPr="002F2FDF" w:rsidRDefault="00000000" w:rsidP="0083075A">
      <w:pPr>
        <w:pStyle w:val="rtejustify"/>
        <w:spacing w:before="0" w:after="0"/>
        <w:rPr>
          <w:color w:val="000000" w:themeColor="text1"/>
          <w:kern w:val="2"/>
          <w:sz w:val="16"/>
          <w:szCs w:val="16"/>
        </w:rPr>
      </w:pPr>
      <w:hyperlink r:id="rId448" w:anchor="_ftnref1" w:history="1">
        <w:r w:rsidR="00C06ECB" w:rsidRPr="002F2FDF">
          <w:rPr>
            <w:rStyle w:val="a5"/>
            <w:color w:val="000000" w:themeColor="text1"/>
            <w:kern w:val="2"/>
            <w:sz w:val="16"/>
            <w:szCs w:val="16"/>
          </w:rPr>
          <w:t>[1]</w:t>
        </w:r>
      </w:hyperlink>
      <w:r w:rsidR="00C06ECB" w:rsidRPr="002F2FDF">
        <w:rPr>
          <w:color w:val="000000" w:themeColor="text1"/>
          <w:kern w:val="2"/>
          <w:sz w:val="16"/>
          <w:szCs w:val="16"/>
        </w:rPr>
        <w:t xml:space="preserve"> Датируется по содержанию док.</w:t>
      </w:r>
    </w:p>
    <w:p w14:paraId="6825AB1A" w14:textId="77777777" w:rsidR="00C06ECB" w:rsidRPr="002F2FDF" w:rsidRDefault="00000000" w:rsidP="0083075A">
      <w:pPr>
        <w:pStyle w:val="rtejustify"/>
        <w:spacing w:before="0" w:after="0"/>
        <w:rPr>
          <w:color w:val="000000" w:themeColor="text1"/>
          <w:kern w:val="2"/>
          <w:sz w:val="16"/>
          <w:szCs w:val="16"/>
        </w:rPr>
      </w:pPr>
      <w:hyperlink r:id="rId449" w:anchor="_ftnref2" w:history="1">
        <w:r w:rsidR="00C06ECB" w:rsidRPr="002F2FDF">
          <w:rPr>
            <w:rStyle w:val="a5"/>
            <w:color w:val="000000" w:themeColor="text1"/>
            <w:kern w:val="2"/>
            <w:sz w:val="16"/>
            <w:szCs w:val="16"/>
          </w:rPr>
          <w:t>[2]</w:t>
        </w:r>
      </w:hyperlink>
      <w:r w:rsidR="00C06ECB" w:rsidRPr="002F2FDF">
        <w:rPr>
          <w:color w:val="000000" w:themeColor="text1"/>
          <w:kern w:val="2"/>
          <w:sz w:val="16"/>
          <w:szCs w:val="16"/>
        </w:rPr>
        <w:t xml:space="preserve"> За исключением гильз, коих хватает не на все число выстрелов. (Прим. док.).</w:t>
      </w:r>
    </w:p>
    <w:p w14:paraId="0821FEF5" w14:textId="77777777" w:rsidR="00C06ECB" w:rsidRPr="002F2FDF" w:rsidRDefault="00000000" w:rsidP="0083075A">
      <w:pPr>
        <w:pStyle w:val="rtejustify"/>
        <w:spacing w:before="0" w:after="0"/>
        <w:rPr>
          <w:color w:val="000000" w:themeColor="text1"/>
          <w:kern w:val="2"/>
          <w:sz w:val="16"/>
          <w:szCs w:val="16"/>
        </w:rPr>
      </w:pPr>
      <w:hyperlink r:id="rId450" w:anchor="_ftnref3" w:history="1">
        <w:r w:rsidR="00C06ECB" w:rsidRPr="002F2FDF">
          <w:rPr>
            <w:rStyle w:val="a5"/>
            <w:color w:val="000000" w:themeColor="text1"/>
            <w:kern w:val="2"/>
            <w:sz w:val="16"/>
            <w:szCs w:val="16"/>
          </w:rPr>
          <w:t>[3]</w:t>
        </w:r>
      </w:hyperlink>
      <w:r w:rsidR="00C06ECB" w:rsidRPr="002F2FDF">
        <w:rPr>
          <w:color w:val="000000" w:themeColor="text1"/>
          <w:kern w:val="2"/>
          <w:sz w:val="16"/>
          <w:szCs w:val="16"/>
        </w:rPr>
        <w:t xml:space="preserve"> За исключением гильз, коих хватает не на все число выстрелов. (Прим. док.).</w:t>
      </w:r>
    </w:p>
    <w:p w14:paraId="1B3EAFCF" w14:textId="77777777" w:rsidR="00C06ECB" w:rsidRPr="002F2FDF" w:rsidRDefault="00000000" w:rsidP="0083075A">
      <w:pPr>
        <w:pStyle w:val="rtejustify"/>
        <w:spacing w:before="0" w:after="0"/>
        <w:rPr>
          <w:color w:val="000000" w:themeColor="text1"/>
          <w:kern w:val="2"/>
          <w:sz w:val="16"/>
          <w:szCs w:val="16"/>
        </w:rPr>
      </w:pPr>
      <w:hyperlink r:id="rId451" w:anchor="_ftnref4" w:history="1">
        <w:r w:rsidR="00C06ECB" w:rsidRPr="002F2FDF">
          <w:rPr>
            <w:rStyle w:val="a5"/>
            <w:color w:val="000000" w:themeColor="text1"/>
            <w:kern w:val="2"/>
            <w:sz w:val="16"/>
            <w:szCs w:val="16"/>
          </w:rPr>
          <w:t>[4]</w:t>
        </w:r>
      </w:hyperlink>
      <w:r w:rsidR="00C06ECB" w:rsidRPr="002F2FDF">
        <w:rPr>
          <w:color w:val="000000" w:themeColor="text1"/>
          <w:kern w:val="2"/>
          <w:sz w:val="16"/>
          <w:szCs w:val="16"/>
        </w:rPr>
        <w:t xml:space="preserve"> За исключением гильз, коих хватает не на все число выстрелов. (Прим. док.) (15236).</w:t>
      </w:r>
    </w:p>
    <w:p w14:paraId="4EEB5185" w14:textId="77777777" w:rsidR="00C06ECB" w:rsidRPr="002F2FDF" w:rsidRDefault="00C06ECB" w:rsidP="0083075A">
      <w:pPr>
        <w:pStyle w:val="rteindent11"/>
        <w:shd w:val="clear" w:color="auto" w:fill="FFFFFF"/>
        <w:spacing w:before="0" w:beforeAutospacing="0" w:after="0"/>
        <w:ind w:left="0" w:firstLine="0"/>
        <w:rPr>
          <w:rStyle w:val="a7"/>
          <w:rFonts w:eastAsiaTheme="majorEastAsia"/>
          <w:b w:val="0"/>
          <w:color w:val="000000" w:themeColor="text1"/>
          <w:kern w:val="2"/>
          <w:sz w:val="16"/>
          <w:szCs w:val="16"/>
        </w:rPr>
      </w:pPr>
    </w:p>
    <w:p w14:paraId="34A3336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3F8F4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BC4DC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июля 1917 Временное правительство России лишило членов дома Романовых избирательного права на выборах Учредительного собрания (4962).</w:t>
      </w:r>
    </w:p>
    <w:p w14:paraId="430150D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8832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июля 1917 Временное правительство распустило Сейм Финляндии, заявивший о независимости (1348,86).</w:t>
      </w:r>
    </w:p>
    <w:p w14:paraId="180A5B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77160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июля 1917 Временное правительство объявило о роспуске сейма Финляндии (4962).</w:t>
      </w:r>
    </w:p>
    <w:p w14:paraId="5394073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E4D30A"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18 (31) июля 1917 Временное правительство разогнало сейм. Тогда буржуазно-националистическая часть финского общества приступила к созданию вооруженных отрядов, получивших название шюцкор (от шведского слова Skyddskar – охранный корпус). Забавно, что в этом вопросе немцы отстали от финнов на 16 лет. У них Schutzstaffeln – охранные отряды (сокращенно – SS) появились только в 1934 году (18525).</w:t>
      </w:r>
    </w:p>
    <w:p w14:paraId="15812A96" w14:textId="77777777" w:rsidR="00C312C3" w:rsidRPr="002F2FDF" w:rsidRDefault="00C312C3" w:rsidP="0083075A">
      <w:pPr>
        <w:pStyle w:val="ae"/>
        <w:spacing w:before="0" w:after="0"/>
        <w:jc w:val="both"/>
        <w:rPr>
          <w:color w:val="000000" w:themeColor="text1"/>
          <w:sz w:val="16"/>
          <w:szCs w:val="16"/>
        </w:rPr>
      </w:pPr>
    </w:p>
    <w:p w14:paraId="174B6B07" w14:textId="77777777" w:rsidR="00C77FF0"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4355974D" w14:textId="77777777" w:rsidR="00C77FF0" w:rsidRPr="002F2FDF" w:rsidRDefault="00C77FF0" w:rsidP="0083075A">
      <w:pPr>
        <w:spacing w:after="0" w:line="240" w:lineRule="auto"/>
        <w:jc w:val="both"/>
        <w:rPr>
          <w:rStyle w:val="af0"/>
          <w:rFonts w:ascii="Times New Roman" w:hAnsi="Times New Roman" w:cs="Times New Roman"/>
          <w:i w:val="0"/>
          <w:color w:val="000000" w:themeColor="text1"/>
          <w:kern w:val="2"/>
          <w:sz w:val="16"/>
          <w:szCs w:val="16"/>
        </w:rPr>
      </w:pPr>
    </w:p>
    <w:p w14:paraId="459A41CF" w14:textId="77777777" w:rsidR="00C77FF0" w:rsidRPr="002F2FDF" w:rsidRDefault="00C77FF0"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18 (31) июля 1917 г. было п</w:t>
      </w:r>
      <w:r w:rsidRPr="002F2FDF">
        <w:rPr>
          <w:rFonts w:ascii="Times New Roman" w:hAnsi="Times New Roman" w:cs="Times New Roman"/>
          <w:color w:val="000000" w:themeColor="text1"/>
          <w:kern w:val="2"/>
          <w:sz w:val="16"/>
          <w:szCs w:val="16"/>
        </w:rPr>
        <w:t>исьмо ген. А. А. Маниковского М. И. Терещенко о неудовлетворительной поставке тяжелых орудий и снарядов из-за границы и тяжелых последствиях этого для русской армии.</w:t>
      </w:r>
    </w:p>
    <w:p w14:paraId="49DB7E10" w14:textId="437B6CAB" w:rsidR="00C77FF0" w:rsidRPr="002F2FDF" w:rsidRDefault="00C77FF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505</w:t>
      </w:r>
    </w:p>
    <w:p w14:paraId="047FF9D1" w14:textId="5DEAA2D9" w:rsidR="00C77FF0" w:rsidRPr="002F2FDF" w:rsidRDefault="00C77FF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Экономического деп-та, 1-е дел-во, д. 146, л. 13—13 об. Подлинник</w:t>
      </w:r>
    </w:p>
    <w:p w14:paraId="3C9F7DC6" w14:textId="77777777" w:rsidR="00C77FF0" w:rsidRPr="002F2FDF" w:rsidRDefault="00C77FF0" w:rsidP="0083075A">
      <w:pPr>
        <w:pStyle w:val="rtejustify"/>
        <w:spacing w:before="0" w:after="0"/>
        <w:rPr>
          <w:color w:val="000000" w:themeColor="text1"/>
          <w:kern w:val="2"/>
          <w:sz w:val="16"/>
          <w:szCs w:val="16"/>
        </w:rPr>
      </w:pPr>
      <w:r w:rsidRPr="002F2FDF">
        <w:rPr>
          <w:color w:val="000000" w:themeColor="text1"/>
          <w:kern w:val="2"/>
          <w:sz w:val="16"/>
          <w:szCs w:val="16"/>
        </w:rPr>
        <w:t>Милостивый государь, Михаил Иванович.</w:t>
      </w:r>
    </w:p>
    <w:p w14:paraId="4DA8ED45" w14:textId="77777777" w:rsidR="00C77FF0" w:rsidRPr="002F2FDF" w:rsidRDefault="00C77FF0" w:rsidP="0083075A">
      <w:pPr>
        <w:pStyle w:val="rtejustify"/>
        <w:spacing w:before="0" w:after="0"/>
        <w:rPr>
          <w:color w:val="000000" w:themeColor="text1"/>
          <w:kern w:val="2"/>
          <w:sz w:val="16"/>
          <w:szCs w:val="16"/>
        </w:rPr>
      </w:pPr>
      <w:r w:rsidRPr="002F2FDF">
        <w:rPr>
          <w:color w:val="000000" w:themeColor="text1"/>
          <w:kern w:val="2"/>
          <w:sz w:val="16"/>
          <w:szCs w:val="16"/>
        </w:rPr>
        <w:t>Рассмотрев доклад пом. военного министра о ходе поставок артиллерийского имущества в период март—июнь с. г., Особое совещание по обороне государства обратило внимание на то, что недоставка в обусловленные сроки тяжелых орудий и выстрелов к ним, а равно и ружейных патронов по заключенным в союзных странах контрактам угрожает неблагоприятно отразиться на операциях русской армии.</w:t>
      </w:r>
    </w:p>
    <w:p w14:paraId="64A34FD3" w14:textId="77777777" w:rsidR="00C77FF0" w:rsidRPr="002F2FDF" w:rsidRDefault="00C77FF0" w:rsidP="0083075A">
      <w:pPr>
        <w:pStyle w:val="rtejustify"/>
        <w:spacing w:before="0" w:after="0"/>
        <w:rPr>
          <w:color w:val="000000" w:themeColor="text1"/>
          <w:kern w:val="2"/>
          <w:sz w:val="16"/>
          <w:szCs w:val="16"/>
        </w:rPr>
      </w:pPr>
      <w:r w:rsidRPr="002F2FDF">
        <w:rPr>
          <w:color w:val="000000" w:themeColor="text1"/>
          <w:kern w:val="2"/>
          <w:sz w:val="16"/>
          <w:szCs w:val="16"/>
        </w:rPr>
        <w:t>Особенно необходимым является получение артиллерии самых крупных калибров от 8 дм. и выше, а также и боевых припасов к ней, изготовляемых во Франции и Англии.</w:t>
      </w:r>
    </w:p>
    <w:p w14:paraId="683A30BC" w14:textId="77777777" w:rsidR="00C77FF0" w:rsidRPr="002F2FDF" w:rsidRDefault="00C77FF0" w:rsidP="0083075A">
      <w:pPr>
        <w:pStyle w:val="rtejustify"/>
        <w:spacing w:before="0" w:after="0"/>
        <w:rPr>
          <w:color w:val="000000" w:themeColor="text1"/>
          <w:kern w:val="2"/>
          <w:sz w:val="16"/>
          <w:szCs w:val="16"/>
        </w:rPr>
      </w:pPr>
      <w:r w:rsidRPr="002F2FDF">
        <w:rPr>
          <w:color w:val="000000" w:themeColor="text1"/>
          <w:kern w:val="2"/>
          <w:sz w:val="16"/>
          <w:szCs w:val="16"/>
        </w:rPr>
        <w:t>Во Франции заказано 50 [шт.] 11 дм. мортир системы Шнейдера, из коих к 1 июля должно было поступить 18, с 19 тыс. выстрелов; в действительности же поступило 8 мортир с 3000 выстрелов.</w:t>
      </w:r>
    </w:p>
    <w:p w14:paraId="1B6C8965" w14:textId="77777777" w:rsidR="00C77FF0" w:rsidRPr="002F2FDF" w:rsidRDefault="00C77FF0" w:rsidP="0083075A">
      <w:pPr>
        <w:pStyle w:val="rtejustify"/>
        <w:spacing w:before="0" w:after="0"/>
        <w:rPr>
          <w:color w:val="000000" w:themeColor="text1"/>
          <w:kern w:val="2"/>
          <w:sz w:val="16"/>
          <w:szCs w:val="16"/>
        </w:rPr>
      </w:pPr>
      <w:r w:rsidRPr="002F2FDF">
        <w:rPr>
          <w:color w:val="000000" w:themeColor="text1"/>
          <w:kern w:val="2"/>
          <w:sz w:val="16"/>
          <w:szCs w:val="16"/>
        </w:rPr>
        <w:t>Английским правительством обещана поставка к 1 июля: а) 56 шт. 8 дм. гаубиц и 72 тыс. выстрелов; из них прибыло 8 орудий и около 10 тыс. выстрелов, а в последнее время выслано еще 8 орудий с боевым комплектом; б) 24 шт. 9.2 [дм.] гаубиц и к ним 41 тыс. выстрелов, в действительности же доставлено 4 орудия и около 7200 выстрелов; в) в счет 10 тыс. снарядов для 12 дм. гаубиц Обуховского завода и 11 700 выстрелов для гаубиц Виккерса, обещанных английским правительством к 1 июля, поставок еще не было.</w:t>
      </w:r>
    </w:p>
    <w:p w14:paraId="2DDFAD27" w14:textId="77777777" w:rsidR="00C77FF0" w:rsidRPr="002F2FDF" w:rsidRDefault="00C77FF0" w:rsidP="0083075A">
      <w:pPr>
        <w:pStyle w:val="rtejustify"/>
        <w:spacing w:before="0" w:after="0"/>
        <w:rPr>
          <w:color w:val="000000" w:themeColor="text1"/>
          <w:kern w:val="2"/>
          <w:sz w:val="16"/>
          <w:szCs w:val="16"/>
        </w:rPr>
      </w:pPr>
      <w:r w:rsidRPr="002F2FDF">
        <w:rPr>
          <w:color w:val="000000" w:themeColor="text1"/>
          <w:kern w:val="2"/>
          <w:sz w:val="16"/>
          <w:szCs w:val="16"/>
        </w:rPr>
        <w:t>Сообщая об изложенном, я, в согласии с постановлением Особого совещания,</w:t>
      </w:r>
      <w:hyperlink r:id="rId452" w:anchor="_ftn1" w:history="1">
        <w:r w:rsidRPr="002F2FDF">
          <w:rPr>
            <w:rStyle w:val="a5"/>
            <w:color w:val="000000" w:themeColor="text1"/>
            <w:kern w:val="2"/>
            <w:sz w:val="16"/>
            <w:szCs w:val="16"/>
          </w:rPr>
          <w:t>[1]</w:t>
        </w:r>
      </w:hyperlink>
      <w:r w:rsidRPr="002F2FDF">
        <w:rPr>
          <w:color w:val="000000" w:themeColor="text1"/>
          <w:kern w:val="2"/>
          <w:sz w:val="16"/>
          <w:szCs w:val="16"/>
        </w:rPr>
        <w:t xml:space="preserve"> прошу Вас, г. министр, довести до сведения французского и английского правительства, что неполучение упомянутых здесь тяжелых орудий и боевых припасов ставит русскую армию в крайне тяжелое положение, так как в России наладить изготовление этих предметов ныне совершенно невозможно. В соответствии с этим представляется необходимым просить союзные правительства как об усилении производства упомянутых орудий и снарядов, так и об увеличении тоннажа для их перевозки.</w:t>
      </w:r>
    </w:p>
    <w:p w14:paraId="79027340" w14:textId="77777777" w:rsidR="00C77FF0" w:rsidRPr="002F2FDF" w:rsidRDefault="00C77FF0" w:rsidP="0083075A">
      <w:pPr>
        <w:pStyle w:val="rtejustify"/>
        <w:spacing w:before="0" w:after="0"/>
        <w:rPr>
          <w:color w:val="000000" w:themeColor="text1"/>
          <w:kern w:val="2"/>
          <w:sz w:val="16"/>
          <w:szCs w:val="16"/>
        </w:rPr>
      </w:pPr>
      <w:r w:rsidRPr="002F2FDF">
        <w:rPr>
          <w:color w:val="000000" w:themeColor="text1"/>
          <w:kern w:val="2"/>
          <w:sz w:val="16"/>
          <w:szCs w:val="16"/>
        </w:rPr>
        <w:t>Прошу Вас принять уверение в совершенном моем почтении и преданности</w:t>
      </w:r>
    </w:p>
    <w:p w14:paraId="6E0C6664" w14:textId="77777777" w:rsidR="00C77FF0" w:rsidRPr="002F2FDF" w:rsidRDefault="00C77FF0"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А. Маниковский.</w:t>
      </w:r>
    </w:p>
    <w:p w14:paraId="6CC10C2D" w14:textId="77777777" w:rsidR="00C77FF0" w:rsidRPr="002F2FDF" w:rsidRDefault="00000000" w:rsidP="0083075A">
      <w:pPr>
        <w:pStyle w:val="ae"/>
        <w:spacing w:before="0" w:after="0"/>
        <w:jc w:val="both"/>
        <w:rPr>
          <w:color w:val="000000" w:themeColor="text1"/>
          <w:kern w:val="2"/>
          <w:sz w:val="16"/>
          <w:szCs w:val="16"/>
        </w:rPr>
      </w:pPr>
      <w:hyperlink r:id="rId453" w:anchor="_ftnref1" w:history="1">
        <w:r w:rsidR="00C77FF0" w:rsidRPr="002F2FDF">
          <w:rPr>
            <w:rStyle w:val="a5"/>
            <w:color w:val="000000" w:themeColor="text1"/>
            <w:kern w:val="2"/>
            <w:sz w:val="16"/>
            <w:szCs w:val="16"/>
          </w:rPr>
          <w:t>[1]</w:t>
        </w:r>
      </w:hyperlink>
      <w:r w:rsidR="00C77FF0" w:rsidRPr="002F2FDF">
        <w:rPr>
          <w:color w:val="000000" w:themeColor="text1"/>
          <w:kern w:val="2"/>
          <w:sz w:val="16"/>
          <w:szCs w:val="16"/>
        </w:rPr>
        <w:t xml:space="preserve"> Особое совещание по обороне в заседании 1 июля 1917 г. обсуждало вопрос о ходе поставок артиллерийского имущества из-за границы за март-июнь 1917 г. Доклад по этому вопросу был сделан ген. А. А. Маниковским, предложивши.» «довести через министра иностранных дел от имени Особого совещания до сведения правительств тех союзных держав, которые доставляют России артиллерию тяжелых калибров и ружейные патроны, о настоятельной и срочной потребности русской армия в упомянутых предметах снабжения и о том, что неполучение в обусловленные сроки орудий, выстрелов к ним и ружейных патронов поставит армию в весьма тяжелые условия и уменьшит ее способность к активным действиям» (ЦГВИА, ф. 369, оп. 1. д. 380, л. 88). Предложение Маниковского было одобрено Особым </w:t>
      </w:r>
      <w:r w:rsidR="00C77FF0" w:rsidRPr="002F2FDF">
        <w:rPr>
          <w:color w:val="000000" w:themeColor="text1"/>
          <w:kern w:val="2"/>
          <w:sz w:val="16"/>
          <w:szCs w:val="16"/>
        </w:rPr>
        <w:lastRenderedPageBreak/>
        <w:t>совещанием по обороне (15148).</w:t>
      </w:r>
    </w:p>
    <w:p w14:paraId="44FD124F" w14:textId="77777777" w:rsidR="00C77FF0" w:rsidRPr="002F2FDF" w:rsidRDefault="00C77FF0"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3BB4333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B1CDE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8FDBF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июля 1917 г. во время сражения у Ипра каждый штурмовой самолет немецких воздушных сил от ружейно пулеметного огня с земли в среднем имел до 20-30 повреждений за один боевой вылет, а хотя бы один из чле</w:t>
      </w:r>
      <w:r w:rsidRPr="002F2FDF">
        <w:rPr>
          <w:rFonts w:ascii="Times New Roman" w:hAnsi="Times New Roman" w:cs="Times New Roman"/>
          <w:color w:val="000000" w:themeColor="text1"/>
          <w:kern w:val="2"/>
          <w:sz w:val="16"/>
          <w:szCs w:val="16"/>
        </w:rPr>
        <w:softHyphen/>
        <w:t>нов экипажа получал ранение. Иногда уже в первом боевом вылете целый авиаотряд выходил из строя (как пра</w:t>
      </w:r>
      <w:r w:rsidRPr="002F2FDF">
        <w:rPr>
          <w:rFonts w:ascii="Times New Roman" w:hAnsi="Times New Roman" w:cs="Times New Roman"/>
          <w:color w:val="000000" w:themeColor="text1"/>
          <w:kern w:val="2"/>
          <w:sz w:val="16"/>
          <w:szCs w:val="16"/>
        </w:rPr>
        <w:softHyphen/>
        <w:t>вило, летчики-штурмовики делали в среднем по 2-3 боевых вылета в день) (5999).</w:t>
      </w:r>
    </w:p>
    <w:p w14:paraId="42F57C6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B32D5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июля 1917 г. во время сражения у Ипра (третье сражение во Фландрии) впервые было осуществле</w:t>
      </w:r>
      <w:r w:rsidRPr="002F2FDF">
        <w:rPr>
          <w:rFonts w:ascii="Times New Roman" w:hAnsi="Times New Roman" w:cs="Times New Roman"/>
          <w:color w:val="000000" w:themeColor="text1"/>
          <w:kern w:val="2"/>
          <w:sz w:val="16"/>
          <w:szCs w:val="16"/>
        </w:rPr>
        <w:softHyphen/>
        <w:t>но плановое применение большой группы низколетящих самолетов не</w:t>
      </w:r>
      <w:r w:rsidRPr="002F2FDF">
        <w:rPr>
          <w:rFonts w:ascii="Times New Roman" w:hAnsi="Times New Roman" w:cs="Times New Roman"/>
          <w:color w:val="000000" w:themeColor="text1"/>
          <w:kern w:val="2"/>
          <w:sz w:val="16"/>
          <w:szCs w:val="16"/>
        </w:rPr>
        <w:softHyphen/>
        <w:t>мецких воздушных сил для сопровож</w:t>
      </w:r>
      <w:r w:rsidRPr="002F2FDF">
        <w:rPr>
          <w:rFonts w:ascii="Times New Roman" w:hAnsi="Times New Roman" w:cs="Times New Roman"/>
          <w:color w:val="000000" w:themeColor="text1"/>
          <w:kern w:val="2"/>
          <w:sz w:val="16"/>
          <w:szCs w:val="16"/>
        </w:rPr>
        <w:softHyphen/>
        <w:t>дения своей пехоты в наступлении. В этот день один авиаотряд охране</w:t>
      </w:r>
      <w:r w:rsidRPr="002F2FDF">
        <w:rPr>
          <w:rFonts w:ascii="Times New Roman" w:hAnsi="Times New Roman" w:cs="Times New Roman"/>
          <w:color w:val="000000" w:themeColor="text1"/>
          <w:kern w:val="2"/>
          <w:sz w:val="16"/>
          <w:szCs w:val="16"/>
        </w:rPr>
        <w:softHyphen/>
        <w:t>ния сопровождал свою контратакую</w:t>
      </w:r>
      <w:r w:rsidRPr="002F2FDF">
        <w:rPr>
          <w:rFonts w:ascii="Times New Roman" w:hAnsi="Times New Roman" w:cs="Times New Roman"/>
          <w:color w:val="000000" w:themeColor="text1"/>
          <w:kern w:val="2"/>
          <w:sz w:val="16"/>
          <w:szCs w:val="16"/>
        </w:rPr>
        <w:softHyphen/>
        <w:t>щую пехоту, уничтожая на ее пути пулеметные точки, батареи и подходя</w:t>
      </w:r>
      <w:r w:rsidRPr="002F2FDF">
        <w:rPr>
          <w:rFonts w:ascii="Times New Roman" w:hAnsi="Times New Roman" w:cs="Times New Roman"/>
          <w:color w:val="000000" w:themeColor="text1"/>
          <w:kern w:val="2"/>
          <w:sz w:val="16"/>
          <w:szCs w:val="16"/>
        </w:rPr>
        <w:softHyphen/>
        <w:t>щие к полю боя резервы противника. По донесениям командования герман</w:t>
      </w:r>
      <w:r w:rsidRPr="002F2FDF">
        <w:rPr>
          <w:rFonts w:ascii="Times New Roman" w:hAnsi="Times New Roman" w:cs="Times New Roman"/>
          <w:color w:val="000000" w:themeColor="text1"/>
          <w:kern w:val="2"/>
          <w:sz w:val="16"/>
          <w:szCs w:val="16"/>
        </w:rPr>
        <w:softHyphen/>
        <w:t>ской 4-й армии действия немецких "воздушных пехотинцев" не раз под</w:t>
      </w:r>
      <w:r w:rsidRPr="002F2FDF">
        <w:rPr>
          <w:rFonts w:ascii="Times New Roman" w:hAnsi="Times New Roman" w:cs="Times New Roman"/>
          <w:color w:val="000000" w:themeColor="text1"/>
          <w:kern w:val="2"/>
          <w:sz w:val="16"/>
          <w:szCs w:val="16"/>
        </w:rPr>
        <w:softHyphen/>
        <w:t>нимали в атаку залегшую под пулеметным и артиллерийским огнем свою пехоту. В этом сражении союзные войска для прорыва германской обороны массиро</w:t>
      </w:r>
      <w:r w:rsidRPr="002F2FDF">
        <w:rPr>
          <w:rFonts w:ascii="Times New Roman" w:hAnsi="Times New Roman" w:cs="Times New Roman"/>
          <w:color w:val="000000" w:themeColor="text1"/>
          <w:kern w:val="2"/>
          <w:sz w:val="16"/>
          <w:szCs w:val="16"/>
        </w:rPr>
        <w:softHyphen/>
        <w:t>ванно применили танки (на участке прорыва в 4 км действовало 216 тан</w:t>
      </w:r>
      <w:r w:rsidRPr="002F2FDF">
        <w:rPr>
          <w:rFonts w:ascii="Times New Roman" w:hAnsi="Times New Roman" w:cs="Times New Roman"/>
          <w:color w:val="000000" w:themeColor="text1"/>
          <w:kern w:val="2"/>
          <w:sz w:val="16"/>
          <w:szCs w:val="16"/>
        </w:rPr>
        <w:softHyphen/>
        <w:t>ков), поддержанные пехотой и авиа</w:t>
      </w:r>
      <w:r w:rsidRPr="002F2FDF">
        <w:rPr>
          <w:rFonts w:ascii="Times New Roman" w:hAnsi="Times New Roman" w:cs="Times New Roman"/>
          <w:color w:val="000000" w:themeColor="text1"/>
          <w:kern w:val="2"/>
          <w:sz w:val="16"/>
          <w:szCs w:val="16"/>
        </w:rPr>
        <w:softHyphen/>
        <w:t>цией, а немецкие воздушные силы впервые применили свои штурмовики против танков. Первый известный слу</w:t>
      </w:r>
      <w:r w:rsidRPr="002F2FDF">
        <w:rPr>
          <w:rFonts w:ascii="Times New Roman" w:hAnsi="Times New Roman" w:cs="Times New Roman"/>
          <w:color w:val="000000" w:themeColor="text1"/>
          <w:kern w:val="2"/>
          <w:sz w:val="16"/>
          <w:szCs w:val="16"/>
        </w:rPr>
        <w:softHyphen/>
        <w:t>чай атаки низколетящими самолетами танков отмечается 16 августа 1917 г. во время боев в районе Ипра (5999).</w:t>
      </w:r>
    </w:p>
    <w:p w14:paraId="1ADFA1A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4A24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июля 1917 началось сражение у Ипра. 4-й армии было своевременно предоставлено столько авиасил, сколько командующий армией счел необходимым. Мало-помалу во Фландрии было сосредоточено до 80-ти авиачастей. Для управления столь большим числом соединений нужен был командир авиации, характер, знания и опыт которого должны были удовлетворять особо высоким требованиям им и стал Рихтгофен (11382).</w:t>
      </w:r>
    </w:p>
    <w:p w14:paraId="0761FE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73BB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июля 1917 британской атакой началась битва на Ипре (2100) и шла по 10 (23) ноября 1917 (2443,387). Продвинулись на 13 км (3907,91).</w:t>
      </w:r>
    </w:p>
    <w:p w14:paraId="53F719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91B925" w14:textId="77777777" w:rsidR="00BB309C" w:rsidRPr="002F2FDF" w:rsidRDefault="00BB309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июля в 1917 году начало операции английских войск у Ипра (14969).</w:t>
      </w:r>
    </w:p>
    <w:p w14:paraId="7678A00C" w14:textId="77777777" w:rsidR="00BB309C" w:rsidRPr="002F2FDF" w:rsidRDefault="00BB309C" w:rsidP="0083075A">
      <w:pPr>
        <w:spacing w:after="0" w:line="240" w:lineRule="auto"/>
        <w:jc w:val="both"/>
        <w:rPr>
          <w:rFonts w:ascii="Times New Roman" w:hAnsi="Times New Roman" w:cs="Times New Roman"/>
          <w:color w:val="000000" w:themeColor="text1"/>
          <w:kern w:val="2"/>
          <w:sz w:val="16"/>
          <w:szCs w:val="16"/>
        </w:rPr>
      </w:pPr>
    </w:p>
    <w:p w14:paraId="0E762AB6" w14:textId="2C77D2B1" w:rsidR="00831AEF" w:rsidRPr="002F2FDF" w:rsidRDefault="00831AEF" w:rsidP="0083075A">
      <w:pPr>
        <w:spacing w:after="0" w:line="240" w:lineRule="auto"/>
        <w:jc w:val="both"/>
        <w:rPr>
          <w:rStyle w:val="aff8"/>
          <w:rFonts w:ascii="Times New Roman" w:hAnsi="Times New Roman" w:cs="Times New Roman"/>
          <w:b w:val="0"/>
          <w:bCs w:val="0"/>
          <w:color w:val="000000" w:themeColor="text1"/>
          <w:sz w:val="16"/>
          <w:szCs w:val="16"/>
        </w:rPr>
      </w:pPr>
      <w:r w:rsidRPr="002F2FDF">
        <w:rPr>
          <w:rFonts w:ascii="Times New Roman" w:hAnsi="Times New Roman" w:cs="Times New Roman"/>
          <w:color w:val="000000" w:themeColor="text1"/>
          <w:sz w:val="16"/>
          <w:szCs w:val="16"/>
        </w:rPr>
        <w:t>1</w:t>
      </w:r>
      <w:r>
        <w:rPr>
          <w:rFonts w:ascii="Times New Roman" w:hAnsi="Times New Roman" w:cs="Times New Roman"/>
          <w:color w:val="000000" w:themeColor="text1"/>
          <w:sz w:val="16"/>
          <w:szCs w:val="16"/>
        </w:rPr>
        <w:t>8</w:t>
      </w:r>
      <w:r w:rsidRPr="002F2FDF">
        <w:rPr>
          <w:rFonts w:ascii="Times New Roman" w:hAnsi="Times New Roman" w:cs="Times New Roman"/>
          <w:color w:val="000000" w:themeColor="text1"/>
          <w:sz w:val="16"/>
          <w:szCs w:val="16"/>
        </w:rPr>
        <w:t xml:space="preserve"> (31) июля 1917 г. в Ипрском сражении британская армия послала танки в атаку на совершенно неподходящей для этого местности, изобиловавшей болотами и перелесками и потерпела неудачу (22790).</w:t>
      </w:r>
    </w:p>
    <w:p w14:paraId="6651416F" w14:textId="77777777" w:rsidR="00831AEF" w:rsidRPr="002F2FDF" w:rsidRDefault="00831AEF" w:rsidP="0083075A">
      <w:pPr>
        <w:spacing w:after="0" w:line="240" w:lineRule="auto"/>
        <w:jc w:val="both"/>
        <w:rPr>
          <w:rStyle w:val="aff8"/>
          <w:rFonts w:ascii="Times New Roman" w:hAnsi="Times New Roman" w:cs="Times New Roman"/>
          <w:b w:val="0"/>
          <w:bCs w:val="0"/>
          <w:color w:val="000000" w:themeColor="text1"/>
          <w:sz w:val="16"/>
          <w:szCs w:val="16"/>
        </w:rPr>
      </w:pPr>
    </w:p>
    <w:p w14:paraId="0CA0E3E0" w14:textId="77777777" w:rsidR="00BB309C" w:rsidRPr="002F2FDF" w:rsidRDefault="00BB309C" w:rsidP="0083075A">
      <w:pPr>
        <w:pStyle w:val="ae"/>
        <w:spacing w:before="0" w:after="0"/>
        <w:jc w:val="both"/>
        <w:rPr>
          <w:color w:val="000000" w:themeColor="text1"/>
          <w:kern w:val="2"/>
          <w:sz w:val="16"/>
          <w:szCs w:val="16"/>
        </w:rPr>
      </w:pPr>
      <w:r w:rsidRPr="002F2FDF">
        <w:rPr>
          <w:color w:val="000000" w:themeColor="text1"/>
          <w:kern w:val="2"/>
          <w:sz w:val="16"/>
          <w:szCs w:val="16"/>
        </w:rPr>
        <w:t>18 (31) июля 1917 британские части продолжили атаки на немецкие позиции в районе города Ипр на западе Бельгии. Несколькими днями ранее они форсировали реку Изер и после мощной артподготовки пошли на штурм немецких укреплений, которые оказались пусты — противник во избежание потерь отвел войска вглубь. В результате англичанам пришлось добираться до следующей линии германской обороны, оборудованной на холмах хребта Пилкем, по перепаханной собственными же снарядами территории.</w:t>
      </w:r>
    </w:p>
    <w:p w14:paraId="1352B110" w14:textId="77777777" w:rsidR="00BB309C" w:rsidRPr="002F2FDF" w:rsidRDefault="00BB309C" w:rsidP="0083075A">
      <w:pPr>
        <w:pStyle w:val="ae"/>
        <w:spacing w:before="0" w:after="0"/>
        <w:jc w:val="both"/>
        <w:rPr>
          <w:color w:val="000000" w:themeColor="text1"/>
          <w:kern w:val="2"/>
          <w:sz w:val="16"/>
          <w:szCs w:val="16"/>
        </w:rPr>
      </w:pPr>
      <w:r w:rsidRPr="002F2FDF">
        <w:rPr>
          <w:color w:val="000000" w:themeColor="text1"/>
          <w:kern w:val="2"/>
          <w:sz w:val="16"/>
          <w:szCs w:val="16"/>
        </w:rPr>
        <w:t>Британское наступление началось под сильным дождем, который после артподготовки превратил поле битвы в море грязи. Тем не менее, первая атака принесла определенный успех — англичанам удалось продвинуться на 1-2 километра. Однако дождь продолжал лить, и танки не смогли двигаться дальше по размокшим полям, а затем «завязла» и пехота. Солдатам не удавалось даже толком окопаться в чавкающей грязи. Британский военный историк Нейл Грант писал: «Участь наступающих усугубилась новой тактикой обороны немцев. Она состояла из сооружения бетонных подземных бункеров с пулеметами, способных выдержать попадания артиллерийских снарядов. Генералы, движимые почти религиозной верой в победу, постепенно стали склоняться к мысли, что надо приостанавливать наступление». Цена довольно скромного успеха британцев была традиционно страшная — всего за несколько дней боев они потеряли 32 тысячи человек убитыми, ранеными, пленными и пропавшими без вести (17045).</w:t>
      </w:r>
    </w:p>
    <w:p w14:paraId="665F7E7D" w14:textId="77777777" w:rsidR="00BB309C" w:rsidRPr="002F2FDF" w:rsidRDefault="00BB309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846C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июля и 16 августа 1917 года в сражении во Фландрии 5-я английская армия с семью дивизиями ввела в бой 216 танков, правда, большинство их них застряло в болоте (11406).</w:t>
      </w:r>
    </w:p>
    <w:p w14:paraId="0B4E19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3B3C8A" w14:textId="77777777" w:rsidR="000A1B92" w:rsidRPr="002F2FDF" w:rsidRDefault="000A1B92" w:rsidP="0083075A">
      <w:pPr>
        <w:pStyle w:val="ae"/>
        <w:spacing w:before="0" w:after="0"/>
        <w:jc w:val="both"/>
        <w:rPr>
          <w:color w:val="000000" w:themeColor="text1"/>
          <w:kern w:val="2"/>
          <w:sz w:val="16"/>
          <w:szCs w:val="16"/>
        </w:rPr>
      </w:pPr>
      <w:r w:rsidRPr="002F2FDF">
        <w:rPr>
          <w:color w:val="000000" w:themeColor="text1"/>
          <w:kern w:val="2"/>
          <w:sz w:val="16"/>
          <w:szCs w:val="16"/>
        </w:rPr>
        <w:t>В период с 18 по 24 июля (31 июля по 6 августа) 1917 немецкие подводные лодки затопили 56 судов стран Антанты и нейтральных государств (17045).</w:t>
      </w:r>
    </w:p>
    <w:p w14:paraId="518E534C" w14:textId="77777777" w:rsidR="000A1B92" w:rsidRPr="002F2FDF" w:rsidRDefault="000A1B9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1E6A4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5E097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1B95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июля (1 августа) 1917 на ЧМ вышло распоряжение об обозначении М-9 наряду с разноцветными номерами от 100 до 200 кодом Щ/9. На Балтике использовали код Щ.С. (Щетинин с Сальмсоном) с номером (2810,18).</w:t>
      </w:r>
    </w:p>
    <w:p w14:paraId="114879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70345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 июля </w:t>
      </w:r>
      <w:r w:rsidR="00880559" w:rsidRPr="002F2FDF">
        <w:rPr>
          <w:rFonts w:ascii="Times New Roman" w:hAnsi="Times New Roman" w:cs="Times New Roman"/>
          <w:color w:val="000000" w:themeColor="text1"/>
          <w:kern w:val="2"/>
          <w:sz w:val="16"/>
          <w:szCs w:val="16"/>
        </w:rPr>
        <w:t xml:space="preserve">(1 августа) </w:t>
      </w:r>
      <w:r w:rsidRPr="002F2FDF">
        <w:rPr>
          <w:rFonts w:ascii="Times New Roman" w:hAnsi="Times New Roman" w:cs="Times New Roman"/>
          <w:color w:val="000000" w:themeColor="text1"/>
          <w:kern w:val="2"/>
          <w:sz w:val="16"/>
          <w:szCs w:val="16"/>
        </w:rPr>
        <w:t>1917 г. приказ командующего известил авиаторов о введении в действие новой системы обозначений. По ней номера распределялись следующим образом: с 1-го по 29-й давались аппаратам М-И/М-12, с 30-го по 99-й — М-5, с 100-го по 200-й — М-9. Пространство между 201-м и 650-м резервировалось для поплавковых “Альбатросов” Акционерного общества В. А. Лебедева (см. том 2), летающих лодок “Теллье” фирмы “Дукс” (с номера 400 или 401; см. том 3) и сухопутных истреби</w:t>
      </w:r>
      <w:r w:rsidRPr="002F2FDF">
        <w:rPr>
          <w:rFonts w:ascii="Times New Roman" w:hAnsi="Times New Roman" w:cs="Times New Roman"/>
          <w:color w:val="000000" w:themeColor="text1"/>
          <w:kern w:val="2"/>
          <w:sz w:val="16"/>
          <w:szCs w:val="16"/>
        </w:rPr>
        <w:softHyphen/>
        <w:t>телей “Ньюпор” (с 600-го или 601-го; см. том 3). Что касается щетининских М-15, то они вообще не упоминались, но на деле им выделяли номера начиная с 701-го. Все флотские номера планировалось дополнять особыми бортовыми кодами, называвшими тип той или иной машины и представленными — в отношении продукции ПРТВ, в таблице 3.</w:t>
      </w:r>
    </w:p>
    <w:p w14:paraId="7F95CA2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Таблица 3</w:t>
      </w:r>
    </w:p>
    <w:p w14:paraId="3079D38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Применявшиеся с 19 июля 1917 г. коды для обозначения гидропланов завода С. С. Щетинина Черноморского флота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2B1C74" w:rsidRPr="002F2FDF" w14:paraId="70866A23" w14:textId="77777777">
        <w:tc>
          <w:tcPr>
            <w:tcW w:w="1915" w:type="dxa"/>
            <w:tcBorders>
              <w:top w:val="single" w:sz="12" w:space="0" w:color="auto"/>
            </w:tcBorders>
            <w:shd w:val="clear" w:color="auto" w:fill="FFFFFF"/>
          </w:tcPr>
          <w:p w14:paraId="4CB497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Тип</w:t>
            </w:r>
          </w:p>
        </w:tc>
        <w:tc>
          <w:tcPr>
            <w:tcW w:w="1915" w:type="dxa"/>
            <w:tcBorders>
              <w:top w:val="single" w:sz="12" w:space="0" w:color="auto"/>
            </w:tcBorders>
            <w:shd w:val="clear" w:color="auto" w:fill="FFFFFF"/>
          </w:tcPr>
          <w:p w14:paraId="4734DC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М-5</w:t>
            </w:r>
          </w:p>
        </w:tc>
        <w:tc>
          <w:tcPr>
            <w:tcW w:w="1915" w:type="dxa"/>
            <w:tcBorders>
              <w:top w:val="single" w:sz="12" w:space="0" w:color="auto"/>
            </w:tcBorders>
            <w:shd w:val="clear" w:color="auto" w:fill="FFFFFF"/>
          </w:tcPr>
          <w:p w14:paraId="52095F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М-9</w:t>
            </w:r>
          </w:p>
        </w:tc>
        <w:tc>
          <w:tcPr>
            <w:tcW w:w="1915" w:type="dxa"/>
            <w:tcBorders>
              <w:top w:val="single" w:sz="12" w:space="0" w:color="auto"/>
            </w:tcBorders>
            <w:shd w:val="clear" w:color="auto" w:fill="FFFFFF"/>
          </w:tcPr>
          <w:p w14:paraId="4CAD15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М-11</w:t>
            </w:r>
          </w:p>
        </w:tc>
        <w:tc>
          <w:tcPr>
            <w:tcW w:w="1915" w:type="dxa"/>
            <w:tcBorders>
              <w:top w:val="single" w:sz="12" w:space="0" w:color="auto"/>
            </w:tcBorders>
            <w:shd w:val="clear" w:color="auto" w:fill="FFFFFF"/>
          </w:tcPr>
          <w:p w14:paraId="2725CF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М-15</w:t>
            </w:r>
          </w:p>
        </w:tc>
      </w:tr>
      <w:tr w:rsidR="002B1C74" w:rsidRPr="002F2FDF" w14:paraId="4D6E505F" w14:textId="77777777">
        <w:tc>
          <w:tcPr>
            <w:tcW w:w="1915" w:type="dxa"/>
            <w:shd w:val="clear" w:color="auto" w:fill="FFFFFF"/>
          </w:tcPr>
          <w:p w14:paraId="6FA2B7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Бортовой</w:t>
            </w:r>
          </w:p>
        </w:tc>
        <w:tc>
          <w:tcPr>
            <w:tcW w:w="1915" w:type="dxa"/>
            <w:shd w:val="clear" w:color="auto" w:fill="FFFFFF"/>
          </w:tcPr>
          <w:p w14:paraId="505A19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w:t>
            </w:r>
          </w:p>
        </w:tc>
        <w:tc>
          <w:tcPr>
            <w:tcW w:w="1915" w:type="dxa"/>
            <w:shd w:val="clear" w:color="auto" w:fill="FFFFFF"/>
          </w:tcPr>
          <w:p w14:paraId="2BA19E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u w:val="single"/>
              </w:rPr>
            </w:pPr>
            <w:r w:rsidRPr="002F2FDF">
              <w:rPr>
                <w:rFonts w:ascii="Times New Roman" w:hAnsi="Times New Roman" w:cs="Times New Roman"/>
                <w:color w:val="000000" w:themeColor="text1"/>
                <w:kern w:val="2"/>
                <w:sz w:val="16"/>
                <w:szCs w:val="16"/>
                <w:u w:val="single"/>
              </w:rPr>
              <w:t>Щ</w:t>
            </w:r>
          </w:p>
        </w:tc>
        <w:tc>
          <w:tcPr>
            <w:tcW w:w="1915" w:type="dxa"/>
            <w:shd w:val="clear" w:color="auto" w:fill="FFFFFF"/>
          </w:tcPr>
          <w:p w14:paraId="724C27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u w:val="single"/>
              </w:rPr>
            </w:pPr>
            <w:r w:rsidRPr="002F2FDF">
              <w:rPr>
                <w:rFonts w:ascii="Times New Roman" w:hAnsi="Times New Roman" w:cs="Times New Roman"/>
                <w:color w:val="000000" w:themeColor="text1"/>
                <w:kern w:val="2"/>
                <w:sz w:val="16"/>
                <w:szCs w:val="16"/>
                <w:u w:val="single"/>
              </w:rPr>
              <w:t xml:space="preserve"> Щ </w:t>
            </w:r>
          </w:p>
        </w:tc>
        <w:tc>
          <w:tcPr>
            <w:tcW w:w="1915" w:type="dxa"/>
            <w:shd w:val="clear" w:color="auto" w:fill="FFFFFF"/>
          </w:tcPr>
          <w:p w14:paraId="6E97B7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u w:val="single"/>
              </w:rPr>
              <w:t>Щ</w:t>
            </w:r>
          </w:p>
        </w:tc>
      </w:tr>
      <w:tr w:rsidR="002B1C74" w:rsidRPr="002F2FDF" w14:paraId="35AFD39D" w14:textId="77777777">
        <w:tc>
          <w:tcPr>
            <w:tcW w:w="1915" w:type="dxa"/>
            <w:tcBorders>
              <w:bottom w:val="single" w:sz="12" w:space="0" w:color="auto"/>
            </w:tcBorders>
            <w:shd w:val="clear" w:color="auto" w:fill="FFFFFF"/>
          </w:tcPr>
          <w:p w14:paraId="1C0E3557" w14:textId="77777777" w:rsidR="003431D2" w:rsidRPr="002F2FDF" w:rsidRDefault="0088055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w:t>
            </w:r>
            <w:r w:rsidR="003431D2" w:rsidRPr="002F2FDF">
              <w:rPr>
                <w:rFonts w:ascii="Times New Roman" w:hAnsi="Times New Roman" w:cs="Times New Roman"/>
                <w:color w:val="000000" w:themeColor="text1"/>
                <w:kern w:val="2"/>
                <w:sz w:val="16"/>
                <w:szCs w:val="16"/>
              </w:rPr>
              <w:t>од</w:t>
            </w:r>
          </w:p>
        </w:tc>
        <w:tc>
          <w:tcPr>
            <w:tcW w:w="1915" w:type="dxa"/>
            <w:tcBorders>
              <w:bottom w:val="single" w:sz="12" w:space="0" w:color="auto"/>
            </w:tcBorders>
            <w:shd w:val="clear" w:color="auto" w:fill="FFFFFF"/>
          </w:tcPr>
          <w:p w14:paraId="682102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15" w:type="dxa"/>
            <w:tcBorders>
              <w:bottom w:val="single" w:sz="12" w:space="0" w:color="auto"/>
            </w:tcBorders>
            <w:shd w:val="clear" w:color="auto" w:fill="FFFFFF"/>
          </w:tcPr>
          <w:p w14:paraId="5569D5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9</w:t>
            </w:r>
          </w:p>
        </w:tc>
        <w:tc>
          <w:tcPr>
            <w:tcW w:w="1915" w:type="dxa"/>
            <w:tcBorders>
              <w:bottom w:val="single" w:sz="12" w:space="0" w:color="auto"/>
            </w:tcBorders>
            <w:shd w:val="clear" w:color="auto" w:fill="FFFFFF"/>
          </w:tcPr>
          <w:p w14:paraId="5836F3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XI</w:t>
            </w:r>
          </w:p>
        </w:tc>
        <w:tc>
          <w:tcPr>
            <w:tcW w:w="1915" w:type="dxa"/>
            <w:tcBorders>
              <w:bottom w:val="single" w:sz="12" w:space="0" w:color="auto"/>
            </w:tcBorders>
            <w:shd w:val="clear" w:color="auto" w:fill="FFFFFF"/>
          </w:tcPr>
          <w:p w14:paraId="4F3815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XV</w:t>
            </w:r>
          </w:p>
        </w:tc>
      </w:tr>
    </w:tbl>
    <w:p w14:paraId="355605E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Как и прежде, номера наносились на корпуса летающих лодок, при этом высота цифр составляла— по приказу — около 71 см, а их цвет зависел от конкретного подразделения, к которому принадлежал аппарат: красные, синие, белые, черные, желтые и зеленые номера становились отличительными призна ками 1-У1 Воздушных дивизионов Воздушной дивизии Черного моря. Рядом рисовали и коды, каадая их буква и цифра имела высоту примерно 18 см. Неизвестно, однако, успела ли данная сис</w:t>
      </w:r>
      <w:r w:rsidRPr="002F2FDF">
        <w:rPr>
          <w:rFonts w:ascii="Times New Roman" w:hAnsi="Times New Roman" w:cs="Times New Roman"/>
          <w:color w:val="000000" w:themeColor="text1"/>
          <w:kern w:val="2"/>
          <w:sz w:val="16"/>
          <w:szCs w:val="16"/>
        </w:rPr>
        <w:softHyphen/>
        <w:t>тема полностью внедриться до гибели флота.</w:t>
      </w:r>
    </w:p>
    <w:p w14:paraId="402E316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Балтике любая боевая машина получала так называемый телеграфный код/номер, состо</w:t>
      </w:r>
      <w:r w:rsidRPr="002F2FDF">
        <w:rPr>
          <w:rFonts w:ascii="Times New Roman" w:hAnsi="Times New Roman" w:cs="Times New Roman"/>
          <w:color w:val="000000" w:themeColor="text1"/>
          <w:kern w:val="2"/>
          <w:sz w:val="16"/>
          <w:szCs w:val="16"/>
        </w:rPr>
        <w:softHyphen/>
        <w:t>явший из одно- или двухбуквенного символа, ука</w:t>
      </w:r>
      <w:r w:rsidRPr="002F2FDF">
        <w:rPr>
          <w:rFonts w:ascii="Times New Roman" w:hAnsi="Times New Roman" w:cs="Times New Roman"/>
          <w:color w:val="000000" w:themeColor="text1"/>
          <w:kern w:val="2"/>
          <w:sz w:val="16"/>
          <w:szCs w:val="16"/>
        </w:rPr>
        <w:softHyphen/>
        <w:t>зывавшего модель, и порядкового номера, опре</w:t>
      </w:r>
      <w:r w:rsidRPr="002F2FDF">
        <w:rPr>
          <w:rFonts w:ascii="Times New Roman" w:hAnsi="Times New Roman" w:cs="Times New Roman"/>
          <w:color w:val="000000" w:themeColor="text1"/>
          <w:kern w:val="2"/>
          <w:sz w:val="16"/>
          <w:szCs w:val="16"/>
        </w:rPr>
        <w:softHyphen/>
        <w:t>делявшего место аппарата среди всех прочих оди</w:t>
      </w:r>
      <w:r w:rsidRPr="002F2FDF">
        <w:rPr>
          <w:rFonts w:ascii="Times New Roman" w:hAnsi="Times New Roman" w:cs="Times New Roman"/>
          <w:color w:val="000000" w:themeColor="text1"/>
          <w:kern w:val="2"/>
          <w:sz w:val="16"/>
          <w:szCs w:val="16"/>
        </w:rPr>
        <w:softHyphen/>
        <w:t>накового с ним типа. Например, лодка Щ.С.-З являлась третьим из принятых Балтийским флотом самолетов М-9, причем сочетание Щ.С. (“Щети</w:t>
      </w:r>
      <w:r w:rsidRPr="002F2FDF">
        <w:rPr>
          <w:rFonts w:ascii="Times New Roman" w:hAnsi="Times New Roman" w:cs="Times New Roman"/>
          <w:color w:val="000000" w:themeColor="text1"/>
          <w:kern w:val="2"/>
          <w:sz w:val="16"/>
          <w:szCs w:val="16"/>
        </w:rPr>
        <w:softHyphen/>
        <w:t>нин с Сальмсоном”) обозначало именно и только эту модель. Система утвердилась в 1915 г., после того, как ранние гидропланы несли ничего не вы</w:t>
      </w:r>
      <w:r w:rsidRPr="002F2FDF">
        <w:rPr>
          <w:rFonts w:ascii="Times New Roman" w:hAnsi="Times New Roman" w:cs="Times New Roman"/>
          <w:color w:val="000000" w:themeColor="text1"/>
          <w:kern w:val="2"/>
          <w:sz w:val="16"/>
          <w:szCs w:val="16"/>
        </w:rPr>
        <w:softHyphen/>
        <w:t>ражавшие номера-буквы А, Б, В и пр., а все три первые щетининские летающие лодки имели один и тот же символ Щ — будучи двух разных типов. Балтийские телеграфные коды самолетов ПРТВ приведены в таблице 4.</w:t>
      </w:r>
    </w:p>
    <w:p w14:paraId="472A5A9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Cs/>
          <w:color w:val="000000" w:themeColor="text1"/>
          <w:kern w:val="2"/>
          <w:sz w:val="16"/>
          <w:szCs w:val="16"/>
        </w:rPr>
        <w:t>Таблица 4</w:t>
      </w:r>
    </w:p>
    <w:p w14:paraId="3EE23DB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Телеграфные коды для аппаратов завода С. С. Щетинина Балтийского флота 1915-1917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14"/>
        <w:gridCol w:w="1334"/>
        <w:gridCol w:w="2429"/>
      </w:tblGrid>
      <w:tr w:rsidR="002B1C74" w:rsidRPr="002F2FDF" w14:paraId="76D562C7" w14:textId="77777777">
        <w:trPr>
          <w:trHeight w:val="509"/>
        </w:trPr>
        <w:tc>
          <w:tcPr>
            <w:tcW w:w="614" w:type="dxa"/>
            <w:tcBorders>
              <w:top w:val="single" w:sz="12" w:space="0" w:color="auto"/>
            </w:tcBorders>
          </w:tcPr>
          <w:p w14:paraId="0865FCF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Тип</w:t>
            </w:r>
          </w:p>
        </w:tc>
        <w:tc>
          <w:tcPr>
            <w:tcW w:w="1334" w:type="dxa"/>
            <w:tcBorders>
              <w:top w:val="single" w:sz="12" w:space="0" w:color="auto"/>
            </w:tcBorders>
          </w:tcPr>
          <w:p w14:paraId="4BA6F3D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Код</w:t>
            </w:r>
          </w:p>
        </w:tc>
        <w:tc>
          <w:tcPr>
            <w:tcW w:w="2429" w:type="dxa"/>
            <w:tcBorders>
              <w:top w:val="single" w:sz="12" w:space="0" w:color="auto"/>
            </w:tcBorders>
          </w:tcPr>
          <w:p w14:paraId="5EE4491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Расшифровка</w:t>
            </w:r>
          </w:p>
        </w:tc>
      </w:tr>
      <w:tr w:rsidR="002B1C74" w:rsidRPr="002F2FDF" w14:paraId="708A1E3C" w14:textId="77777777">
        <w:trPr>
          <w:trHeight w:val="307"/>
        </w:trPr>
        <w:tc>
          <w:tcPr>
            <w:tcW w:w="614" w:type="dxa"/>
          </w:tcPr>
          <w:p w14:paraId="733B618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М-1</w:t>
            </w:r>
          </w:p>
        </w:tc>
        <w:tc>
          <w:tcPr>
            <w:tcW w:w="1334" w:type="dxa"/>
          </w:tcPr>
          <w:p w14:paraId="481A68C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Щ</w:t>
            </w:r>
          </w:p>
        </w:tc>
        <w:tc>
          <w:tcPr>
            <w:tcW w:w="2429" w:type="dxa"/>
          </w:tcPr>
          <w:p w14:paraId="3831FB8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Щетинин</w:t>
            </w:r>
          </w:p>
        </w:tc>
      </w:tr>
      <w:tr w:rsidR="002B1C74" w:rsidRPr="002F2FDF" w14:paraId="1D9EF2F3" w14:textId="77777777">
        <w:trPr>
          <w:trHeight w:val="192"/>
        </w:trPr>
        <w:tc>
          <w:tcPr>
            <w:tcW w:w="614" w:type="dxa"/>
          </w:tcPr>
          <w:p w14:paraId="7DB6E19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М-2</w:t>
            </w:r>
          </w:p>
        </w:tc>
        <w:tc>
          <w:tcPr>
            <w:tcW w:w="1334" w:type="dxa"/>
          </w:tcPr>
          <w:p w14:paraId="6BF9A9E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Щ</w:t>
            </w:r>
          </w:p>
        </w:tc>
        <w:tc>
          <w:tcPr>
            <w:tcW w:w="2429" w:type="dxa"/>
          </w:tcPr>
          <w:p w14:paraId="63F7345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Щетинин</w:t>
            </w:r>
          </w:p>
        </w:tc>
      </w:tr>
      <w:tr w:rsidR="002B1C74" w:rsidRPr="002F2FDF" w14:paraId="0275FE3F" w14:textId="77777777">
        <w:trPr>
          <w:trHeight w:val="192"/>
        </w:trPr>
        <w:tc>
          <w:tcPr>
            <w:tcW w:w="614" w:type="dxa"/>
          </w:tcPr>
          <w:p w14:paraId="75DB20D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М-9</w:t>
            </w:r>
          </w:p>
        </w:tc>
        <w:tc>
          <w:tcPr>
            <w:tcW w:w="1334" w:type="dxa"/>
          </w:tcPr>
          <w:p w14:paraId="72883D7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Щ.С.</w:t>
            </w:r>
          </w:p>
        </w:tc>
        <w:tc>
          <w:tcPr>
            <w:tcW w:w="2429" w:type="dxa"/>
          </w:tcPr>
          <w:p w14:paraId="6FAAB1D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Щетинин с Сальмсоном*</w:t>
            </w:r>
          </w:p>
        </w:tc>
      </w:tr>
      <w:tr w:rsidR="002B1C74" w:rsidRPr="002F2FDF" w14:paraId="75152F3D" w14:textId="77777777">
        <w:trPr>
          <w:trHeight w:val="182"/>
        </w:trPr>
        <w:tc>
          <w:tcPr>
            <w:tcW w:w="614" w:type="dxa"/>
          </w:tcPr>
          <w:p w14:paraId="03A768B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М-11</w:t>
            </w:r>
          </w:p>
        </w:tc>
        <w:tc>
          <w:tcPr>
            <w:tcW w:w="1334" w:type="dxa"/>
          </w:tcPr>
          <w:p w14:paraId="4869064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О.Р.</w:t>
            </w:r>
          </w:p>
        </w:tc>
        <w:tc>
          <w:tcPr>
            <w:tcW w:w="2429" w:type="dxa"/>
          </w:tcPr>
          <w:p w14:paraId="0023B64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Одноместный с Роном**</w:t>
            </w:r>
          </w:p>
        </w:tc>
      </w:tr>
      <w:tr w:rsidR="002B1C74" w:rsidRPr="002F2FDF" w14:paraId="2C8E4BE3" w14:textId="77777777">
        <w:trPr>
          <w:trHeight w:val="211"/>
        </w:trPr>
        <w:tc>
          <w:tcPr>
            <w:tcW w:w="614" w:type="dxa"/>
          </w:tcPr>
          <w:p w14:paraId="48C228C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М-12</w:t>
            </w:r>
          </w:p>
        </w:tc>
        <w:tc>
          <w:tcPr>
            <w:tcW w:w="1334" w:type="dxa"/>
          </w:tcPr>
          <w:p w14:paraId="5BA2440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и.м.</w:t>
            </w:r>
          </w:p>
        </w:tc>
        <w:tc>
          <w:tcPr>
            <w:tcW w:w="2429" w:type="dxa"/>
          </w:tcPr>
          <w:p w14:paraId="7B19EC6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Истребитель с Моносу-</w:t>
            </w:r>
          </w:p>
        </w:tc>
      </w:tr>
      <w:tr w:rsidR="002B1C74" w:rsidRPr="002F2FDF" w14:paraId="7A6020F6" w14:textId="77777777">
        <w:trPr>
          <w:trHeight w:val="163"/>
        </w:trPr>
        <w:tc>
          <w:tcPr>
            <w:tcW w:w="614" w:type="dxa"/>
          </w:tcPr>
          <w:p w14:paraId="6A0206A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34" w:type="dxa"/>
          </w:tcPr>
          <w:p w14:paraId="6AC6F21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429" w:type="dxa"/>
          </w:tcPr>
          <w:p w14:paraId="6D413A2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папом**</w:t>
            </w:r>
          </w:p>
        </w:tc>
      </w:tr>
      <w:tr w:rsidR="002B1C74" w:rsidRPr="002F2FDF" w14:paraId="43DD397D" w14:textId="77777777">
        <w:trPr>
          <w:trHeight w:val="221"/>
        </w:trPr>
        <w:tc>
          <w:tcPr>
            <w:tcW w:w="614" w:type="dxa"/>
          </w:tcPr>
          <w:p w14:paraId="54DD6BE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М-12</w:t>
            </w:r>
          </w:p>
        </w:tc>
        <w:tc>
          <w:tcPr>
            <w:tcW w:w="1334" w:type="dxa"/>
          </w:tcPr>
          <w:p w14:paraId="4D80BA4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И.Р.</w:t>
            </w:r>
          </w:p>
        </w:tc>
        <w:tc>
          <w:tcPr>
            <w:tcW w:w="2429" w:type="dxa"/>
          </w:tcPr>
          <w:p w14:paraId="5E78302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Истребитель с Роном**</w:t>
            </w:r>
          </w:p>
        </w:tc>
      </w:tr>
      <w:tr w:rsidR="002B1C74" w:rsidRPr="002F2FDF" w14:paraId="1D7CDEB0" w14:textId="77777777">
        <w:trPr>
          <w:trHeight w:val="192"/>
        </w:trPr>
        <w:tc>
          <w:tcPr>
            <w:tcW w:w="614" w:type="dxa"/>
          </w:tcPr>
          <w:p w14:paraId="18F3560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М-15</w:t>
            </w:r>
          </w:p>
        </w:tc>
        <w:tc>
          <w:tcPr>
            <w:tcW w:w="1334" w:type="dxa"/>
          </w:tcPr>
          <w:p w14:paraId="4A37969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щ.и.</w:t>
            </w:r>
          </w:p>
        </w:tc>
        <w:tc>
          <w:tcPr>
            <w:tcW w:w="2429" w:type="dxa"/>
          </w:tcPr>
          <w:p w14:paraId="519A09F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Щетинин с Испано</w:t>
            </w:r>
          </w:p>
        </w:tc>
      </w:tr>
      <w:tr w:rsidR="002B1C74" w:rsidRPr="002F2FDF" w14:paraId="626C1195" w14:textId="77777777">
        <w:trPr>
          <w:trHeight w:val="470"/>
        </w:trPr>
        <w:tc>
          <w:tcPr>
            <w:tcW w:w="614" w:type="dxa"/>
            <w:tcBorders>
              <w:bottom w:val="single" w:sz="12" w:space="0" w:color="auto"/>
            </w:tcBorders>
          </w:tcPr>
          <w:p w14:paraId="5A77C1E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М-16</w:t>
            </w:r>
          </w:p>
        </w:tc>
        <w:tc>
          <w:tcPr>
            <w:tcW w:w="1334" w:type="dxa"/>
            <w:tcBorders>
              <w:bottom w:val="single" w:sz="12" w:space="0" w:color="auto"/>
            </w:tcBorders>
          </w:tcPr>
          <w:p w14:paraId="3F55BA9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з.с.</w:t>
            </w:r>
          </w:p>
        </w:tc>
        <w:tc>
          <w:tcPr>
            <w:tcW w:w="2429" w:type="dxa"/>
            <w:tcBorders>
              <w:bottom w:val="single" w:sz="12" w:space="0" w:color="auto"/>
            </w:tcBorders>
          </w:tcPr>
          <w:p w14:paraId="56E320B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Зимний с Сальмсоном</w:t>
            </w:r>
          </w:p>
        </w:tc>
      </w:tr>
    </w:tbl>
    <w:p w14:paraId="66EB64E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Телеграфные кодовые номера накрашива</w:t>
      </w:r>
      <w:r w:rsidRPr="002F2FDF">
        <w:rPr>
          <w:rFonts w:ascii="Times New Roman" w:hAnsi="Times New Roman" w:cs="Times New Roman"/>
          <w:color w:val="000000" w:themeColor="text1"/>
          <w:kern w:val="2"/>
          <w:sz w:val="16"/>
          <w:szCs w:val="16"/>
        </w:rPr>
        <w:softHyphen/>
        <w:t>ли в виде небольших букв и цифр на корпусах и, иногда, некоторых других частях гидроаэроп</w:t>
      </w:r>
      <w:r w:rsidRPr="002F2FDF">
        <w:rPr>
          <w:rFonts w:ascii="Times New Roman" w:hAnsi="Times New Roman" w:cs="Times New Roman"/>
          <w:color w:val="000000" w:themeColor="text1"/>
          <w:kern w:val="2"/>
          <w:sz w:val="16"/>
          <w:szCs w:val="16"/>
        </w:rPr>
        <w:softHyphen/>
        <w:t>ланов, а их составляющие — собственно поряд</w:t>
      </w:r>
      <w:r w:rsidRPr="002F2FDF">
        <w:rPr>
          <w:rFonts w:ascii="Times New Roman" w:hAnsi="Times New Roman" w:cs="Times New Roman"/>
          <w:color w:val="000000" w:themeColor="text1"/>
          <w:kern w:val="2"/>
          <w:sz w:val="16"/>
          <w:szCs w:val="16"/>
        </w:rPr>
        <w:softHyphen/>
        <w:t>ковые номера, часто дополнительно воспроиз</w:t>
      </w:r>
      <w:r w:rsidRPr="002F2FDF">
        <w:rPr>
          <w:rFonts w:ascii="Times New Roman" w:hAnsi="Times New Roman" w:cs="Times New Roman"/>
          <w:color w:val="000000" w:themeColor="text1"/>
          <w:kern w:val="2"/>
          <w:sz w:val="16"/>
          <w:szCs w:val="16"/>
        </w:rPr>
        <w:softHyphen/>
        <w:t>водили крупными цифрами в носовой части ло</w:t>
      </w:r>
      <w:r w:rsidRPr="002F2FDF">
        <w:rPr>
          <w:rFonts w:ascii="Times New Roman" w:hAnsi="Times New Roman" w:cs="Times New Roman"/>
          <w:color w:val="000000" w:themeColor="text1"/>
          <w:kern w:val="2"/>
          <w:sz w:val="16"/>
          <w:szCs w:val="16"/>
        </w:rPr>
        <w:softHyphen/>
        <w:t>док и, возможно, под нижними крыльями (инст</w:t>
      </w:r>
      <w:r w:rsidRPr="002F2FDF">
        <w:rPr>
          <w:rFonts w:ascii="Times New Roman" w:hAnsi="Times New Roman" w:cs="Times New Roman"/>
          <w:color w:val="000000" w:themeColor="text1"/>
          <w:kern w:val="2"/>
          <w:sz w:val="16"/>
          <w:szCs w:val="16"/>
        </w:rPr>
        <w:softHyphen/>
        <w:t>рукция на то существовала, но только на одной из известных фотографий виден номер на ниж</w:t>
      </w:r>
      <w:r w:rsidRPr="002F2FDF">
        <w:rPr>
          <w:rFonts w:ascii="Times New Roman" w:hAnsi="Times New Roman" w:cs="Times New Roman"/>
          <w:color w:val="000000" w:themeColor="text1"/>
          <w:kern w:val="2"/>
          <w:sz w:val="16"/>
          <w:szCs w:val="16"/>
        </w:rPr>
        <w:softHyphen/>
        <w:t>них поверхностях нижних крыльев).</w:t>
      </w:r>
    </w:p>
    <w:p w14:paraId="6F8BFC9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отличие от флотских, школьных систем * обозначений по сути не было, и учебные аппара</w:t>
      </w:r>
      <w:r w:rsidRPr="002F2FDF">
        <w:rPr>
          <w:rFonts w:ascii="Times New Roman" w:hAnsi="Times New Roman" w:cs="Times New Roman"/>
          <w:color w:val="000000" w:themeColor="text1"/>
          <w:kern w:val="2"/>
          <w:sz w:val="16"/>
          <w:szCs w:val="16"/>
        </w:rPr>
        <w:softHyphen/>
        <w:t>ты просто несли порядковые номера, не дававшие никакой возможности идентифицировать тип маши</w:t>
      </w:r>
      <w:r w:rsidRPr="002F2FDF">
        <w:rPr>
          <w:rFonts w:ascii="Times New Roman" w:hAnsi="Times New Roman" w:cs="Times New Roman"/>
          <w:color w:val="000000" w:themeColor="text1"/>
          <w:kern w:val="2"/>
          <w:sz w:val="16"/>
          <w:szCs w:val="16"/>
        </w:rPr>
        <w:softHyphen/>
        <w:t>ны. Как и в боевых отрядах, эти номера наносились крупно в носовой части. В заключение необходимо отметить, что экспериментальные самолеты, создававшиеся ПРТВ, получали особые кодовые имена: “Морской крейсер” (МК), “Гидроаэроплан специального назначения” (ГАСН) и т. д.; все они будут указаны в соответствующих разделах (2807).</w:t>
      </w:r>
    </w:p>
    <w:p w14:paraId="686515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E56D9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4A8FE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4AE2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июля (1 августа) 1917 группа в составе 24 самолетов 10 авиадивизиона под командованием п/полковника Ф.Е.Коновалова совершила налет на станцию Войганы и разрушила ее, сбросив более 60 бомб. При возвращении прап. 18 као В.Ф.Андерс с Ф.П.Филиным на Сопвичах подверглись нападению двух и, но сбили одного и благополучно вернулись (3652).</w:t>
      </w:r>
    </w:p>
    <w:p w14:paraId="4DF0DF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B7B14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 июля </w:t>
      </w:r>
      <w:r w:rsidR="00880559" w:rsidRPr="002F2FDF">
        <w:rPr>
          <w:rFonts w:ascii="Times New Roman" w:hAnsi="Times New Roman" w:cs="Times New Roman"/>
          <w:color w:val="000000" w:themeColor="text1"/>
          <w:kern w:val="2"/>
          <w:sz w:val="16"/>
          <w:szCs w:val="16"/>
        </w:rPr>
        <w:t xml:space="preserve">(1 августа) </w:t>
      </w:r>
      <w:r w:rsidRPr="002F2FDF">
        <w:rPr>
          <w:rFonts w:ascii="Times New Roman" w:hAnsi="Times New Roman" w:cs="Times New Roman"/>
          <w:color w:val="000000" w:themeColor="text1"/>
          <w:kern w:val="2"/>
          <w:sz w:val="16"/>
          <w:szCs w:val="16"/>
        </w:rPr>
        <w:t>1917 группа в составе 24 самолетов 10-го авиадивизионапод командой подполковника Ф.Е.Коновалова совершила налет на станцию Войгзны и разрушила ее, сбросив свышо 60 бомб. При возвращении прапорщик 18 КАО Владимир Федорович Андерс с лет-нэбом Ф.П. Филиным на Сопвиче подвергся нападению двух немец</w:t>
      </w:r>
      <w:r w:rsidRPr="002F2FDF">
        <w:rPr>
          <w:rFonts w:ascii="Times New Roman" w:hAnsi="Times New Roman" w:cs="Times New Roman"/>
          <w:color w:val="000000" w:themeColor="text1"/>
          <w:kern w:val="2"/>
          <w:sz w:val="16"/>
          <w:szCs w:val="16"/>
        </w:rPr>
        <w:softHyphen/>
        <w:t>ких истребителей. Приняв бой, наши летчики сбили одного против</w:t>
      </w:r>
      <w:r w:rsidRPr="002F2FDF">
        <w:rPr>
          <w:rFonts w:ascii="Times New Roman" w:hAnsi="Times New Roman" w:cs="Times New Roman"/>
          <w:color w:val="000000" w:themeColor="text1"/>
          <w:kern w:val="2"/>
          <w:sz w:val="16"/>
          <w:szCs w:val="16"/>
        </w:rPr>
        <w:softHyphen/>
        <w:t>ника и благополучно вернулись не свой аэродром.</w:t>
      </w:r>
    </w:p>
    <w:p w14:paraId="1E18235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(Рапорт командира 10 авиадивизиона; ЦГВИА. ф.493, оп. 3, д.109, л.48).</w:t>
      </w:r>
    </w:p>
    <w:p w14:paraId="1F0FBB4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EF781B" w14:textId="77777777" w:rsidR="00831AEF" w:rsidRDefault="00831AEF"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19 </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ю</w:t>
      </w:r>
      <w:r>
        <w:rPr>
          <w:rFonts w:ascii="Times New Roman" w:hAnsi="Times New Roman" w:cs="Times New Roman"/>
          <w:color w:val="0070C0"/>
          <w:sz w:val="16"/>
          <w:szCs w:val="16"/>
        </w:rPr>
        <w:t>ля (1 августа)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гр</w:t>
      </w:r>
      <w:r w:rsidRPr="00815ED5">
        <w:rPr>
          <w:rFonts w:ascii="Times New Roman" w:hAnsi="Times New Roman" w:cs="Times New Roman"/>
          <w:color w:val="0070C0"/>
          <w:sz w:val="16"/>
          <w:szCs w:val="16"/>
        </w:rPr>
        <w:t>у</w:t>
      </w:r>
      <w:r>
        <w:rPr>
          <w:rFonts w:ascii="Times New Roman" w:hAnsi="Times New Roman" w:cs="Times New Roman"/>
          <w:color w:val="0070C0"/>
          <w:sz w:val="16"/>
          <w:szCs w:val="16"/>
        </w:rPr>
        <w:t>п</w:t>
      </w:r>
      <w:r w:rsidRPr="00815ED5">
        <w:rPr>
          <w:rFonts w:ascii="Times New Roman" w:hAnsi="Times New Roman" w:cs="Times New Roman"/>
          <w:color w:val="0070C0"/>
          <w:sz w:val="16"/>
          <w:szCs w:val="16"/>
        </w:rPr>
        <w:t xml:space="preserve">па в составе 24 самолетов 10-го авиадивнзиона под командой подполковника </w:t>
      </w:r>
      <w:r>
        <w:rPr>
          <w:rFonts w:ascii="Times New Roman" w:hAnsi="Times New Roman" w:cs="Times New Roman"/>
          <w:color w:val="0070C0"/>
          <w:sz w:val="16"/>
          <w:szCs w:val="16"/>
        </w:rPr>
        <w:t>Ф.К</w:t>
      </w:r>
      <w:r w:rsidRPr="00815ED5">
        <w:rPr>
          <w:rFonts w:ascii="Times New Roman" w:hAnsi="Times New Roman" w:cs="Times New Roman"/>
          <w:color w:val="0070C0"/>
          <w:sz w:val="16"/>
          <w:szCs w:val="16"/>
        </w:rPr>
        <w:t>. Коновалова совершила налет на ст.</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Войганм к разру</w:t>
      </w:r>
      <w:r>
        <w:rPr>
          <w:rFonts w:ascii="Times New Roman" w:hAnsi="Times New Roman" w:cs="Times New Roman"/>
          <w:color w:val="0070C0"/>
          <w:sz w:val="16"/>
          <w:szCs w:val="16"/>
        </w:rPr>
        <w:t>ш</w:t>
      </w:r>
      <w:r w:rsidRPr="00815ED5">
        <w:rPr>
          <w:rFonts w:ascii="Times New Roman" w:hAnsi="Times New Roman" w:cs="Times New Roman"/>
          <w:color w:val="0070C0"/>
          <w:sz w:val="16"/>
          <w:szCs w:val="16"/>
        </w:rPr>
        <w:t xml:space="preserve">ила ее, сбросив </w:t>
      </w:r>
      <w:r>
        <w:rPr>
          <w:rFonts w:ascii="Times New Roman" w:hAnsi="Times New Roman" w:cs="Times New Roman"/>
          <w:color w:val="0070C0"/>
          <w:sz w:val="16"/>
          <w:szCs w:val="16"/>
        </w:rPr>
        <w:t>на</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не</w:t>
      </w:r>
      <w:r w:rsidRPr="00815ED5">
        <w:rPr>
          <w:rFonts w:ascii="Times New Roman" w:hAnsi="Times New Roman" w:cs="Times New Roman"/>
          <w:color w:val="0070C0"/>
          <w:sz w:val="16"/>
          <w:szCs w:val="16"/>
        </w:rPr>
        <w:t>е 60 бомб.</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При возвращении прапор</w:t>
      </w:r>
      <w:r>
        <w:rPr>
          <w:rFonts w:ascii="Times New Roman" w:hAnsi="Times New Roman" w:cs="Times New Roman"/>
          <w:color w:val="0070C0"/>
          <w:sz w:val="16"/>
          <w:szCs w:val="16"/>
        </w:rPr>
        <w:t>щик 19 КАО</w:t>
      </w:r>
      <w:r w:rsidRPr="00815ED5">
        <w:rPr>
          <w:rFonts w:ascii="Times New Roman" w:hAnsi="Times New Roman" w:cs="Times New Roman"/>
          <w:color w:val="0070C0"/>
          <w:sz w:val="16"/>
          <w:szCs w:val="16"/>
        </w:rPr>
        <w:t xml:space="preserve"> Владимир Федорович </w:t>
      </w:r>
      <w:r>
        <w:rPr>
          <w:rFonts w:ascii="Times New Roman" w:hAnsi="Times New Roman" w:cs="Times New Roman"/>
          <w:color w:val="0070C0"/>
          <w:sz w:val="16"/>
          <w:szCs w:val="16"/>
        </w:rPr>
        <w:t>Ан</w:t>
      </w:r>
      <w:r w:rsidRPr="00815ED5">
        <w:rPr>
          <w:rFonts w:ascii="Times New Roman" w:hAnsi="Times New Roman" w:cs="Times New Roman"/>
          <w:color w:val="0070C0"/>
          <w:sz w:val="16"/>
          <w:szCs w:val="16"/>
        </w:rPr>
        <w:t>дер</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 xml:space="preserve"> с летнабо</w:t>
      </w:r>
      <w:r>
        <w:rPr>
          <w:rFonts w:ascii="Times New Roman" w:hAnsi="Times New Roman" w:cs="Times New Roman"/>
          <w:color w:val="0070C0"/>
          <w:sz w:val="16"/>
          <w:szCs w:val="16"/>
        </w:rPr>
        <w:t>м</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Ф.Д.</w:t>
      </w:r>
      <w:r w:rsidRPr="00815ED5">
        <w:rPr>
          <w:rFonts w:ascii="Times New Roman" w:hAnsi="Times New Roman" w:cs="Times New Roman"/>
          <w:color w:val="0070C0"/>
          <w:sz w:val="16"/>
          <w:szCs w:val="16"/>
        </w:rPr>
        <w:t>Д</w:t>
      </w:r>
      <w:r>
        <w:rPr>
          <w:rFonts w:ascii="Times New Roman" w:hAnsi="Times New Roman" w:cs="Times New Roman"/>
          <w:color w:val="0070C0"/>
          <w:sz w:val="16"/>
          <w:szCs w:val="16"/>
        </w:rPr>
        <w:t>ани</w:t>
      </w:r>
      <w:r w:rsidRPr="00815ED5">
        <w:rPr>
          <w:rFonts w:ascii="Times New Roman" w:hAnsi="Times New Roman" w:cs="Times New Roman"/>
          <w:color w:val="0070C0"/>
          <w:sz w:val="16"/>
          <w:szCs w:val="16"/>
        </w:rPr>
        <w:t>л</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ным на Сопвиче подвергся нападению двух ненецких истребителей.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Приняв бой, нами летчики сбили одного противника и благополучно вернулись со всеми остальными на свой аэродром</w:t>
      </w:r>
      <w:r>
        <w:rPr>
          <w:rFonts w:ascii="Times New Roman" w:hAnsi="Times New Roman" w:cs="Times New Roman"/>
          <w:color w:val="0070C0"/>
          <w:sz w:val="16"/>
          <w:szCs w:val="16"/>
        </w:rPr>
        <w:t>.</w:t>
      </w:r>
    </w:p>
    <w:p w14:paraId="25DF9268" w14:textId="77777777" w:rsidR="00831AEF" w:rsidRDefault="00831AEF"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/Рапорт к-ра 10 авиаднвизиона;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ЦГВНА,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3</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1</w:t>
      </w:r>
      <w:r>
        <w:rPr>
          <w:rFonts w:ascii="Times New Roman" w:hAnsi="Times New Roman" w:cs="Times New Roman"/>
          <w:color w:val="0070C0"/>
          <w:sz w:val="16"/>
          <w:szCs w:val="16"/>
        </w:rPr>
        <w:t>0</w:t>
      </w:r>
      <w:r w:rsidRPr="00815ED5">
        <w:rPr>
          <w:rFonts w:ascii="Times New Roman" w:hAnsi="Times New Roman" w:cs="Times New Roman"/>
          <w:color w:val="0070C0"/>
          <w:sz w:val="16"/>
          <w:szCs w:val="16"/>
        </w:rPr>
        <w:t>9,</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48/</w:t>
      </w:r>
      <w:r>
        <w:rPr>
          <w:rFonts w:ascii="Times New Roman" w:hAnsi="Times New Roman" w:cs="Times New Roman"/>
          <w:color w:val="0070C0"/>
          <w:sz w:val="16"/>
          <w:szCs w:val="16"/>
        </w:rPr>
        <w:t xml:space="preserve"> (23320).</w:t>
      </w:r>
    </w:p>
    <w:p w14:paraId="0D005728" w14:textId="77777777" w:rsidR="00831AEF" w:rsidRPr="00815ED5" w:rsidRDefault="00831AEF" w:rsidP="0083075A">
      <w:pPr>
        <w:spacing w:after="0" w:line="240" w:lineRule="auto"/>
        <w:jc w:val="both"/>
        <w:rPr>
          <w:rFonts w:ascii="Times New Roman" w:hAnsi="Times New Roman" w:cs="Times New Roman"/>
          <w:color w:val="0070C0"/>
          <w:sz w:val="16"/>
          <w:szCs w:val="16"/>
        </w:rPr>
      </w:pPr>
    </w:p>
    <w:p w14:paraId="3100A3F7" w14:textId="2A548A97" w:rsidR="003F6F42" w:rsidRPr="00FB4F67" w:rsidRDefault="003F6F42"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19 </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ю</w:t>
      </w:r>
      <w:r>
        <w:rPr>
          <w:rFonts w:ascii="Times New Roman" w:hAnsi="Times New Roman" w:cs="Times New Roman"/>
          <w:color w:val="0070C0"/>
          <w:sz w:val="16"/>
          <w:szCs w:val="16"/>
        </w:rPr>
        <w:t xml:space="preserve">ля (1 августа) </w:t>
      </w:r>
      <w:r w:rsidRPr="00FB4F67">
        <w:rPr>
          <w:rFonts w:ascii="Times New Roman" w:hAnsi="Times New Roman" w:cs="Times New Roman"/>
          <w:color w:val="0070C0"/>
          <w:sz w:val="16"/>
          <w:szCs w:val="16"/>
        </w:rPr>
        <w:t>1917 г. командир 1-й боевой авиационной группы ротмистр А.А. Козаков и его заместитель подъесаул И.А. Шангин в районе Ставчан (между Хотином и Новоселицей) сбили австрийский самолет «Брандербург Ц.1» (26-я авиарота). Раненые летчики были взяты в плен (23405).</w:t>
      </w:r>
    </w:p>
    <w:p w14:paraId="009F0417" w14:textId="77777777" w:rsidR="003F6F42" w:rsidRPr="00FB4F67" w:rsidRDefault="003F6F42" w:rsidP="0083075A">
      <w:pPr>
        <w:spacing w:after="0" w:line="240" w:lineRule="auto"/>
        <w:jc w:val="both"/>
        <w:rPr>
          <w:rFonts w:ascii="Times New Roman" w:hAnsi="Times New Roman" w:cs="Times New Roman"/>
          <w:color w:val="0070C0"/>
          <w:sz w:val="16"/>
          <w:szCs w:val="16"/>
        </w:rPr>
      </w:pPr>
    </w:p>
    <w:p w14:paraId="6F6C9329" w14:textId="5227E6DC" w:rsidR="003F6F42" w:rsidRPr="00FB4F67" w:rsidRDefault="003F6F42" w:rsidP="0083075A">
      <w:pPr>
        <w:spacing w:after="0" w:line="240" w:lineRule="auto"/>
        <w:jc w:val="both"/>
        <w:rPr>
          <w:rFonts w:ascii="Times New Roman" w:hAnsi="Times New Roman" w:cs="Times New Roman"/>
          <w:color w:val="0070C0"/>
          <w:sz w:val="16"/>
          <w:szCs w:val="16"/>
        </w:rPr>
      </w:pPr>
      <w:bookmarkStart w:id="222" w:name="bookmark882"/>
      <w:bookmarkStart w:id="223" w:name="bookmark883"/>
      <w:r w:rsidRPr="00815ED5">
        <w:rPr>
          <w:rFonts w:ascii="Times New Roman" w:hAnsi="Times New Roman" w:cs="Times New Roman"/>
          <w:color w:val="0070C0"/>
          <w:sz w:val="16"/>
          <w:szCs w:val="16"/>
        </w:rPr>
        <w:t xml:space="preserve">19 </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ю</w:t>
      </w:r>
      <w:r>
        <w:rPr>
          <w:rFonts w:ascii="Times New Roman" w:hAnsi="Times New Roman" w:cs="Times New Roman"/>
          <w:color w:val="0070C0"/>
          <w:sz w:val="16"/>
          <w:szCs w:val="16"/>
        </w:rPr>
        <w:t xml:space="preserve">ля (1 августа) </w:t>
      </w:r>
      <w:r w:rsidRPr="00FB4F67">
        <w:rPr>
          <w:rFonts w:ascii="Times New Roman" w:hAnsi="Times New Roman" w:cs="Times New Roman"/>
          <w:color w:val="0070C0"/>
          <w:sz w:val="16"/>
          <w:szCs w:val="16"/>
        </w:rPr>
        <w:t>1917 г. целью нападения воздушного противника стали военные объекты в д. Михневичи (юго-восточнее Сморгони и Синявки) (23405).</w:t>
      </w:r>
    </w:p>
    <w:p w14:paraId="33567D90" w14:textId="77777777" w:rsidR="003F6F42" w:rsidRPr="00FB4F67" w:rsidRDefault="003F6F42" w:rsidP="0083075A">
      <w:pPr>
        <w:spacing w:after="0" w:line="240" w:lineRule="auto"/>
        <w:jc w:val="both"/>
        <w:rPr>
          <w:rFonts w:ascii="Times New Roman" w:hAnsi="Times New Roman" w:cs="Times New Roman"/>
          <w:color w:val="0070C0"/>
          <w:sz w:val="16"/>
          <w:szCs w:val="16"/>
        </w:rPr>
      </w:pPr>
    </w:p>
    <w:bookmarkEnd w:id="222"/>
    <w:bookmarkEnd w:id="223"/>
    <w:p w14:paraId="181BD176" w14:textId="5977BC2E" w:rsidR="003F6F42" w:rsidRPr="00FB4F67" w:rsidRDefault="003F6F42"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19 </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ю</w:t>
      </w:r>
      <w:r>
        <w:rPr>
          <w:rFonts w:ascii="Times New Roman" w:hAnsi="Times New Roman" w:cs="Times New Roman"/>
          <w:color w:val="0070C0"/>
          <w:sz w:val="16"/>
          <w:szCs w:val="16"/>
        </w:rPr>
        <w:t xml:space="preserve">ля (1 августа) </w:t>
      </w:r>
      <w:r w:rsidRPr="00FB4F67">
        <w:rPr>
          <w:rFonts w:ascii="Times New Roman" w:hAnsi="Times New Roman" w:cs="Times New Roman"/>
          <w:color w:val="0070C0"/>
          <w:sz w:val="16"/>
          <w:szCs w:val="16"/>
        </w:rPr>
        <w:t>1917 г. в Ставке вместо генерала от кавалерии А. А. Брусилова на посту главнокомандующего русской армией был назначен генерал от инфантерии Л. Г. Корнилов. Корнилов был очень полон решимости восстановить дисциплину в войсках (23525).</w:t>
      </w:r>
    </w:p>
    <w:p w14:paraId="7E3F4EAA" w14:textId="77777777" w:rsidR="003F6F42" w:rsidRPr="00FB4F67" w:rsidRDefault="003F6F42" w:rsidP="0083075A">
      <w:pPr>
        <w:spacing w:after="0" w:line="240" w:lineRule="auto"/>
        <w:jc w:val="both"/>
        <w:rPr>
          <w:rFonts w:ascii="Times New Roman" w:hAnsi="Times New Roman" w:cs="Times New Roman"/>
          <w:color w:val="0070C0"/>
          <w:sz w:val="16"/>
          <w:szCs w:val="16"/>
        </w:rPr>
      </w:pPr>
    </w:p>
    <w:p w14:paraId="39919A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19-21 июля </w:t>
      </w:r>
      <w:r w:rsidR="00880559" w:rsidRPr="002F2FDF">
        <w:rPr>
          <w:rFonts w:ascii="Times New Roman" w:hAnsi="Times New Roman" w:cs="Times New Roman"/>
          <w:color w:val="000000" w:themeColor="text1"/>
          <w:kern w:val="2"/>
          <w:sz w:val="16"/>
          <w:szCs w:val="16"/>
        </w:rPr>
        <w:t xml:space="preserve">(1-3 августа) </w:t>
      </w:r>
      <w:r w:rsidRPr="002F2FDF">
        <w:rPr>
          <w:rFonts w:ascii="Times New Roman" w:hAnsi="Times New Roman" w:cs="Times New Roman"/>
          <w:color w:val="000000" w:themeColor="text1"/>
          <w:kern w:val="2"/>
          <w:sz w:val="16"/>
          <w:szCs w:val="16"/>
        </w:rPr>
        <w:t>1917 на Галицийском участке наступило оживление и ежедневно задействовалось более 25 самолетов. Во время Тарнопольского прорыва немецкие и австрийские авиаторы еще более усилили свою деятельность. В первой декаде июля они подвергли интенсивной бомбардировке Езерну, Божиков, Мужилов, Тарнополь, Луцк, атаковали отступающие части и обозы русских войск. Во второй декаде низкая облачность и дожди заметно снизили активность авиации противника по всему фронту. В конце июля вражеские летчики интенсивно работали уже на всех участках Юго-Западного фронта - ежедневно в воздух поднималось до 80 самолетов. Всего за июль было зарегистрировано 2735 полетов неприятельских самолетов. В воздушных боях было сбито 4 русских аэроплана и сожжено в воздухе 9 привязных аэростатов. В 20-х числах июля русские войска закрепились на новых рубежах, и на Юго-Западном наступило затишье. К этому времени авиачасти фронта находились в плачевном состоянии. Тем не менее авиаторы продолжали выполнять свой долг и, увы, нести потери. Так, 19 августа летчик 2-го истребительного АО подпоручик Чудновский во время боя над деревней Паниковце в р-не Брод с двумя австрийскими самолетами столкнулся с одним из них. У неприятельского аппарата отлетели пропеллер и крыло, и он рухнул камнем, а машина Чудновского опускалась медленно и повисла на деревьях. Оба самолета упали за линией неприятельских окопов. Согласно данным австрийского военного архива, в этот день военный летчик фельдфебель Рудольф Лонстак из 14-й авиароты вылетел на истребителе "Альбатрос D.II" (№53.07) и "...столкнулся во время воздушного боя с неприятельским истребителем "Ньюпор". Оба пилота при падении погибли". 27 августа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21D62B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6253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июля (1 августа) 1917 наиболее заметным явлением стал налет двадцати четырех "Вуазенов" и "Фарманов" нескольких авиаотрядов Х-й армии на железнодорожную станцию Войгяны. В 4 ч 30 мин самолеты собрались над деревней Малиновщизна, разделились на две группы (по типам) и направились одна за другой в тыл противника. Над передовой к ним присоединились 11 истребителей, которые летели на 500 м выше строя бомбардировщиков. При подходе к цели было встречено два неприятельских самолета, один из которых немедленно ушел на свой аэродром у станции Войгяны, а другой был сбит пилотами 18-го КАО прапорщиками Андерсом и Филиным. Несмотря на сильный зенитный огонь, русские летчики сбросили на станцию 60 бомб общей массой более 500 кг и благополучно вернулись на свои аэродромы. Бомбардировка вызвала в районе станции Войгяны многочисленные пожары. Всего до 1 августа авиаотряды Х-й армии совершили 916 боевых вылетов (11237).</w:t>
      </w:r>
    </w:p>
    <w:p w14:paraId="473CEA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8612A3" w14:textId="595C35AF" w:rsidR="0063139D" w:rsidRPr="002F2FDF" w:rsidRDefault="0063139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19 июля </w:t>
      </w:r>
      <w:r w:rsidR="00831AEF">
        <w:rPr>
          <w:rFonts w:ascii="Times New Roman" w:hAnsi="Times New Roman" w:cs="Times New Roman"/>
          <w:color w:val="000000" w:themeColor="text1"/>
          <w:sz w:val="16"/>
          <w:szCs w:val="16"/>
        </w:rPr>
        <w:t xml:space="preserve">(1 августа) </w:t>
      </w:r>
      <w:r w:rsidRPr="002F2FDF">
        <w:rPr>
          <w:rFonts w:ascii="Times New Roman" w:hAnsi="Times New Roman" w:cs="Times New Roman"/>
          <w:color w:val="000000" w:themeColor="text1"/>
          <w:sz w:val="16"/>
          <w:szCs w:val="16"/>
        </w:rPr>
        <w:t>1917 у д. Конюхи аэростат Гренадёрского корпусного воздухоплавательного отряда об</w:t>
      </w:r>
      <w:r w:rsidRPr="002F2FDF">
        <w:rPr>
          <w:rFonts w:ascii="Times New Roman" w:hAnsi="Times New Roman" w:cs="Times New Roman"/>
          <w:color w:val="000000" w:themeColor="text1"/>
          <w:sz w:val="16"/>
          <w:szCs w:val="16"/>
        </w:rPr>
        <w:softHyphen/>
        <w:t>стреляли авиационными зажигательными раке</w:t>
      </w:r>
      <w:r w:rsidRPr="002F2FDF">
        <w:rPr>
          <w:rFonts w:ascii="Times New Roman" w:hAnsi="Times New Roman" w:cs="Times New Roman"/>
          <w:color w:val="000000" w:themeColor="text1"/>
          <w:sz w:val="16"/>
          <w:szCs w:val="16"/>
        </w:rPr>
        <w:softHyphen/>
        <w:t>тами и пулемётным огнём, но прапорщик Ана</w:t>
      </w:r>
      <w:r w:rsidRPr="002F2FDF">
        <w:rPr>
          <w:rFonts w:ascii="Times New Roman" w:hAnsi="Times New Roman" w:cs="Times New Roman"/>
          <w:color w:val="000000" w:themeColor="text1"/>
          <w:sz w:val="16"/>
          <w:szCs w:val="16"/>
        </w:rPr>
        <w:softHyphen/>
        <w:t>толий Быковский продолжал вести наблюдения. Переданные им по телефону на командный пункт стрелкового соединения данные позво</w:t>
      </w:r>
      <w:r w:rsidRPr="002F2FDF">
        <w:rPr>
          <w:rFonts w:ascii="Times New Roman" w:hAnsi="Times New Roman" w:cs="Times New Roman"/>
          <w:color w:val="000000" w:themeColor="text1"/>
          <w:sz w:val="16"/>
          <w:szCs w:val="16"/>
        </w:rPr>
        <w:softHyphen/>
        <w:t>лили сократить потери последнего. Быковского наградили орденом Св. Станислава 3 ст. с меча</w:t>
      </w:r>
      <w:r w:rsidRPr="002F2FDF">
        <w:rPr>
          <w:rFonts w:ascii="Times New Roman" w:hAnsi="Times New Roman" w:cs="Times New Roman"/>
          <w:color w:val="000000" w:themeColor="text1"/>
          <w:sz w:val="16"/>
          <w:szCs w:val="16"/>
        </w:rPr>
        <w:softHyphen/>
        <w:t>ми и бантом (20120).</w:t>
      </w:r>
    </w:p>
    <w:p w14:paraId="6585D2A0" w14:textId="77777777" w:rsidR="0063139D" w:rsidRPr="002F2FDF" w:rsidRDefault="0063139D" w:rsidP="0083075A">
      <w:pPr>
        <w:spacing w:after="0" w:line="240" w:lineRule="auto"/>
        <w:jc w:val="both"/>
        <w:rPr>
          <w:rStyle w:val="aff8"/>
          <w:rFonts w:ascii="Times New Roman" w:hAnsi="Times New Roman" w:cs="Times New Roman"/>
          <w:b w:val="0"/>
          <w:bCs w:val="0"/>
          <w:color w:val="000000" w:themeColor="text1"/>
          <w:sz w:val="16"/>
          <w:szCs w:val="16"/>
        </w:rPr>
      </w:pPr>
    </w:p>
    <w:p w14:paraId="070C59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июля (1 августа) 1917 А.А.Брусилов после провала русского наступления был отправлен в отставку. Потом жил в Москве и поступил на службу в РККА в 1920. Верховным был назначен Л.Г.Корнилов (1348,91).</w:t>
      </w:r>
    </w:p>
    <w:p w14:paraId="7FC571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9C71C1" w14:textId="77777777" w:rsidR="004A7149" w:rsidRPr="002F2FDF" w:rsidRDefault="004A7149" w:rsidP="0083075A">
      <w:pPr>
        <w:pStyle w:val="ae"/>
        <w:spacing w:before="0" w:after="0"/>
        <w:jc w:val="both"/>
        <w:rPr>
          <w:color w:val="000000" w:themeColor="text1"/>
          <w:kern w:val="2"/>
          <w:sz w:val="16"/>
          <w:szCs w:val="16"/>
        </w:rPr>
      </w:pPr>
      <w:r w:rsidRPr="002F2FDF">
        <w:rPr>
          <w:color w:val="000000" w:themeColor="text1"/>
          <w:kern w:val="2"/>
          <w:sz w:val="16"/>
          <w:szCs w:val="16"/>
        </w:rPr>
        <w:t>19 июля (1 августа) 1917 генерал Лавр Корнилов, сумевший жесткими мерами поддержать дисциплину во вверенных ему войсках во время июльского наступления, принял предложение главы Временного правительства Александра Керенского стать Верховным главнокомандующим русской армии. Его предшественника генерала Алексея Брусилова, прославившийся успешным наступлением лета 1916 года, упрекали в том, что он не смог восстановить в армии дисциплину и шел на поводу у солдатских комитетов, что, в свою очередь, обернулось провалом наступления русской армии в июле 1917 года.</w:t>
      </w:r>
    </w:p>
    <w:p w14:paraId="10C4E457" w14:textId="77777777" w:rsidR="004A7149" w:rsidRPr="002F2FDF" w:rsidRDefault="004A7149" w:rsidP="0083075A">
      <w:pPr>
        <w:pStyle w:val="ae"/>
        <w:spacing w:before="0" w:after="0"/>
        <w:jc w:val="both"/>
        <w:rPr>
          <w:color w:val="000000" w:themeColor="text1"/>
          <w:kern w:val="2"/>
          <w:sz w:val="16"/>
          <w:szCs w:val="16"/>
        </w:rPr>
      </w:pPr>
      <w:r w:rsidRPr="002F2FDF">
        <w:rPr>
          <w:color w:val="000000" w:themeColor="text1"/>
          <w:kern w:val="2"/>
          <w:sz w:val="16"/>
          <w:szCs w:val="16"/>
        </w:rPr>
        <w:t>Корнилов выставил три условия, на которых был готов взять на себя ответственность за управление армией: невмешательство правительства в назначения на высшие командные должности, скорейшая реорганизация армии и назначение генерала Антона Деникина командующим Юго-Западным фронтом. Возвышение Корнилова было встречено с воодушевлением в правой и консервативной среде общества, уставшего от революционного «бардака». Среди прочего многие его рассматривали как кандидата в будущие диктаторы, который сможет навести в стране порядок (17045).</w:t>
      </w:r>
    </w:p>
    <w:p w14:paraId="6C788E4E" w14:textId="77777777" w:rsidR="004A7149" w:rsidRPr="002F2FDF" w:rsidRDefault="004A7149" w:rsidP="0083075A">
      <w:pPr>
        <w:spacing w:after="0" w:line="240" w:lineRule="auto"/>
        <w:jc w:val="both"/>
        <w:rPr>
          <w:rFonts w:ascii="Times New Roman" w:hAnsi="Times New Roman" w:cs="Times New Roman"/>
          <w:color w:val="000000" w:themeColor="text1"/>
          <w:kern w:val="2"/>
          <w:sz w:val="16"/>
          <w:szCs w:val="16"/>
        </w:rPr>
      </w:pPr>
    </w:p>
    <w:p w14:paraId="67F84915" w14:textId="77777777" w:rsidR="00B85E2D" w:rsidRPr="002F2FDF" w:rsidRDefault="00B85E2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июля (1 августа) в 1917 году на Восточном фронте войска Германии и Австро-Венгрии предпринимают успешное контрнаступление на русские позиции (до 4 августа) (14957).</w:t>
      </w:r>
    </w:p>
    <w:p w14:paraId="3B18A97C" w14:textId="77777777" w:rsidR="00B85E2D" w:rsidRPr="002F2FDF" w:rsidRDefault="00B85E2D" w:rsidP="0083075A">
      <w:pPr>
        <w:spacing w:after="0" w:line="240" w:lineRule="auto"/>
        <w:jc w:val="both"/>
        <w:rPr>
          <w:rFonts w:ascii="Times New Roman" w:hAnsi="Times New Roman" w:cs="Times New Roman"/>
          <w:color w:val="000000" w:themeColor="text1"/>
          <w:kern w:val="2"/>
          <w:sz w:val="16"/>
          <w:szCs w:val="16"/>
        </w:rPr>
      </w:pPr>
    </w:p>
    <w:p w14:paraId="3C2AC161" w14:textId="77777777" w:rsidR="00BB309C" w:rsidRPr="002F2FDF" w:rsidRDefault="00BB309C"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19 июля (1 августа) в 1917 году русские войска под натиском наступающих германских и австрийских частей оставили город Черновцы (ныне областной центр на западе Украины) — столицу исторической области Буковина. Лишь после назначения на должность Верховного главнокомандующего Лавра Корнилова русским в первых числах августа удалось более-менее восстановить боеспособность армии и задержать продвижение противника. К 4 августа русские заняли оборону на рубеже реки Збруч (на границе Тернопольской и Хмельницкой областей Украины) и в районе Кимполунга (ныне Кымпулунг-Молдовенск на северо-западе Румынии). Атаки немцев и австрийцев под Кимполунгом были особенно активными — противник рассчитывал прорвать фронт именно в этом районе, чтобы вклиниться между </w:t>
      </w:r>
      <w:r w:rsidRPr="002F2FDF">
        <w:rPr>
          <w:color w:val="000000" w:themeColor="text1"/>
          <w:kern w:val="2"/>
          <w:sz w:val="16"/>
          <w:szCs w:val="16"/>
        </w:rPr>
        <w:lastRenderedPageBreak/>
        <w:t>деморализованным собственно «русским» Юго-Западным фронтом и относительно боеспособным Румынским.</w:t>
      </w:r>
    </w:p>
    <w:p w14:paraId="4F497D14" w14:textId="77777777" w:rsidR="00BB309C" w:rsidRPr="002F2FDF" w:rsidRDefault="00BB309C" w:rsidP="0083075A">
      <w:pPr>
        <w:pStyle w:val="ae"/>
        <w:spacing w:before="0" w:after="0"/>
        <w:jc w:val="both"/>
        <w:rPr>
          <w:color w:val="000000" w:themeColor="text1"/>
          <w:kern w:val="2"/>
          <w:sz w:val="16"/>
          <w:szCs w:val="16"/>
        </w:rPr>
      </w:pPr>
      <w:r w:rsidRPr="002F2FDF">
        <w:rPr>
          <w:color w:val="000000" w:themeColor="text1"/>
          <w:kern w:val="2"/>
          <w:sz w:val="16"/>
          <w:szCs w:val="16"/>
        </w:rPr>
        <w:t>Одновременно немцы продолжали стягивать войска к Риге, готовя крупное наступление на основной центр прибалтийских губерний. 4 и 5 августа немецкие самолеты совершили серию налетов на Ригу и города по побережью Рижского залива (17045).</w:t>
      </w:r>
    </w:p>
    <w:p w14:paraId="5150561C" w14:textId="77777777" w:rsidR="00BB309C" w:rsidRPr="002F2FDF" w:rsidRDefault="00BB309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0454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июля (1 августа) 1917 эсер Б.В.Савинков назначен товарищем военного министра, управляющим военным министерством при А.И.К. Не занимая министерского поста стал вторым в стране. Проводит активную антибольшевистскую политику (3908,260).</w:t>
      </w:r>
    </w:p>
    <w:p w14:paraId="4B3BD3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3C4444" w14:textId="77777777" w:rsidR="00BB309C"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013C344" w14:textId="77777777" w:rsidR="00BB309C" w:rsidRPr="002F2FDF" w:rsidRDefault="00BB309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36C405" w14:textId="77777777" w:rsidR="00BB309C" w:rsidRPr="002F2FDF" w:rsidRDefault="00BB309C" w:rsidP="0083075A">
      <w:pPr>
        <w:pStyle w:val="ae"/>
        <w:spacing w:before="0" w:after="0"/>
        <w:jc w:val="both"/>
        <w:rPr>
          <w:color w:val="000000" w:themeColor="text1"/>
          <w:kern w:val="2"/>
          <w:sz w:val="16"/>
          <w:szCs w:val="16"/>
        </w:rPr>
      </w:pPr>
      <w:r w:rsidRPr="002F2FDF">
        <w:rPr>
          <w:color w:val="000000" w:themeColor="text1"/>
          <w:kern w:val="2"/>
          <w:sz w:val="16"/>
          <w:szCs w:val="16"/>
        </w:rPr>
        <w:t>19 июля (1 августа) 1917 в России была введена карточная система распределения фуражного зерна, а в Петрограде была раскрыта черносотенная организация «Святая Русь». Среди прочих по этому делу проходил легендарный доктор тибетской медицины Петр Бадмаев (позже он был выслан из России). Будучи по происхождению бурятом, Бадмаев, тем не менее, давно пропагандировал великодержавные идеи. Еще в 1893 году он агитировал за «ориентацию на Восток», захват Россией Монголии, Тибета и части других территорий Китая. После начала войны члены «Святой Руси» говорили, что Англия и Франция — враги России, с Германией надо заключить мир, а на продолжении войны настаивают евреи. Свои газета черносотенцы распространяли на самом боеспособном Румынском фронте (17045).</w:t>
      </w:r>
    </w:p>
    <w:p w14:paraId="0D0AD620" w14:textId="77777777" w:rsidR="00BB309C" w:rsidRPr="002F2FDF" w:rsidRDefault="00BB309C" w:rsidP="0083075A">
      <w:pPr>
        <w:pStyle w:val="ae"/>
        <w:spacing w:before="0" w:after="0"/>
        <w:jc w:val="both"/>
        <w:rPr>
          <w:color w:val="000000" w:themeColor="text1"/>
          <w:kern w:val="2"/>
          <w:sz w:val="16"/>
          <w:szCs w:val="16"/>
        </w:rPr>
      </w:pPr>
    </w:p>
    <w:p w14:paraId="73C54916" w14:textId="77777777" w:rsidR="00BB309C" w:rsidRPr="002F2FDF" w:rsidRDefault="00BB309C" w:rsidP="0083075A">
      <w:pPr>
        <w:pStyle w:val="ae"/>
        <w:spacing w:before="0" w:after="0"/>
        <w:jc w:val="both"/>
        <w:rPr>
          <w:color w:val="000000" w:themeColor="text1"/>
          <w:kern w:val="2"/>
          <w:sz w:val="16"/>
          <w:szCs w:val="16"/>
        </w:rPr>
      </w:pPr>
      <w:r w:rsidRPr="002F2FDF">
        <w:rPr>
          <w:color w:val="000000" w:themeColor="text1"/>
          <w:kern w:val="2"/>
          <w:sz w:val="16"/>
          <w:szCs w:val="16"/>
        </w:rPr>
        <w:t>19 июля (1 августа) 1917 по всей России прошел так называемый «Железный день» — организованный сбор металлолома от граждан и организаций в пользу государства на нужды фронта и тыла (17045).</w:t>
      </w:r>
    </w:p>
    <w:p w14:paraId="7291CB6C" w14:textId="77777777" w:rsidR="00BB309C" w:rsidRPr="002F2FDF" w:rsidRDefault="00BB309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35E6F1" w14:textId="77777777" w:rsidR="00B85E2D"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54E99D5E" w14:textId="77777777" w:rsidR="00B85E2D" w:rsidRPr="002F2FDF" w:rsidRDefault="00B85E2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46F59E" w14:textId="77777777" w:rsidR="00B85E2D" w:rsidRPr="002F2FDF" w:rsidRDefault="00B85E2D"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19 июля (1 августа) 1917 г. </w:t>
      </w:r>
      <w:r w:rsidRPr="002F2FDF">
        <w:rPr>
          <w:rFonts w:ascii="Times New Roman" w:hAnsi="Times New Roman" w:cs="Times New Roman"/>
          <w:color w:val="000000" w:themeColor="text1"/>
          <w:kern w:val="2"/>
          <w:sz w:val="16"/>
          <w:szCs w:val="16"/>
        </w:rPr>
        <w:t>Письмо военного атташе при французском посольстве в Петрограде полк. С. Лавернь ген. В. А. Леховичу по вопросу о сокращении русских военных заказов во Франции.</w:t>
      </w:r>
    </w:p>
    <w:p w14:paraId="3A497967" w14:textId="0B96EE17" w:rsidR="00B85E2D" w:rsidRPr="002F2FDF" w:rsidRDefault="00B85E2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505-506</w:t>
      </w:r>
    </w:p>
    <w:p w14:paraId="2FC33771" w14:textId="704BBA33" w:rsidR="00B85E2D" w:rsidRPr="002F2FDF" w:rsidRDefault="00B85E2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ЦГВИА, ф. 504, оп. 7, д. 839, л. 94. Заверенная копия.</w:t>
      </w:r>
    </w:p>
    <w:p w14:paraId="6F32A76A" w14:textId="77777777" w:rsidR="00B85E2D" w:rsidRPr="002F2FDF" w:rsidRDefault="00B85E2D" w:rsidP="0083075A">
      <w:pPr>
        <w:pStyle w:val="rtejustify"/>
        <w:spacing w:before="0" w:after="0"/>
        <w:rPr>
          <w:color w:val="000000" w:themeColor="text1"/>
          <w:kern w:val="2"/>
          <w:sz w:val="16"/>
          <w:szCs w:val="16"/>
        </w:rPr>
      </w:pPr>
      <w:r w:rsidRPr="002F2FDF">
        <w:rPr>
          <w:color w:val="000000" w:themeColor="text1"/>
          <w:kern w:val="2"/>
          <w:sz w:val="16"/>
          <w:szCs w:val="16"/>
        </w:rPr>
        <w:t>Полк. Лавернь, военный атташе при французском посольстве в Петрограде, выражает свое уважение г. ген. Леховичу, начальнику артиллерийского управления, и сообщает, что французское правительство поручило</w:t>
      </w:r>
    </w:p>
    <w:p w14:paraId="054D84A6" w14:textId="77777777" w:rsidR="00B85E2D" w:rsidRPr="002F2FDF" w:rsidRDefault="00B85E2D" w:rsidP="0083075A">
      <w:pPr>
        <w:pStyle w:val="rtejustify"/>
        <w:spacing w:before="0" w:after="0"/>
        <w:rPr>
          <w:color w:val="000000" w:themeColor="text1"/>
          <w:kern w:val="2"/>
          <w:sz w:val="16"/>
          <w:szCs w:val="16"/>
        </w:rPr>
      </w:pPr>
      <w:r w:rsidRPr="002F2FDF">
        <w:rPr>
          <w:color w:val="000000" w:themeColor="text1"/>
          <w:kern w:val="2"/>
          <w:sz w:val="16"/>
          <w:szCs w:val="16"/>
        </w:rPr>
        <w:t>ому просить у российских военных властей указать заказы по снабжению, предусматривающие сокращение или отмену.</w:t>
      </w:r>
    </w:p>
    <w:p w14:paraId="09E68097" w14:textId="77777777" w:rsidR="00B85E2D" w:rsidRPr="002F2FDF" w:rsidRDefault="00B85E2D" w:rsidP="0083075A">
      <w:pPr>
        <w:pStyle w:val="rtejustify"/>
        <w:spacing w:before="0" w:after="0"/>
        <w:rPr>
          <w:color w:val="000000" w:themeColor="text1"/>
          <w:kern w:val="2"/>
          <w:sz w:val="16"/>
          <w:szCs w:val="16"/>
        </w:rPr>
      </w:pPr>
      <w:r w:rsidRPr="002F2FDF">
        <w:rPr>
          <w:color w:val="000000" w:themeColor="text1"/>
          <w:kern w:val="2"/>
          <w:sz w:val="16"/>
          <w:szCs w:val="16"/>
        </w:rPr>
        <w:t>Причины, заставляющие предусмотреть этот случай, относятся к денежному состоянию и сокращению средств морской перевозки, имеющихся в распоряжении союзников.</w:t>
      </w:r>
    </w:p>
    <w:p w14:paraId="6ADFE1BE" w14:textId="77777777" w:rsidR="00B85E2D" w:rsidRPr="002F2FDF" w:rsidRDefault="00B85E2D" w:rsidP="0083075A">
      <w:pPr>
        <w:pStyle w:val="rtejustify"/>
        <w:spacing w:before="0" w:after="0"/>
        <w:rPr>
          <w:color w:val="000000" w:themeColor="text1"/>
          <w:kern w:val="2"/>
          <w:sz w:val="16"/>
          <w:szCs w:val="16"/>
        </w:rPr>
      </w:pPr>
      <w:r w:rsidRPr="002F2FDF">
        <w:rPr>
          <w:color w:val="000000" w:themeColor="text1"/>
          <w:kern w:val="2"/>
          <w:sz w:val="16"/>
          <w:szCs w:val="16"/>
        </w:rPr>
        <w:t>С другой стороны, французское правительство сообщает, что оно не может предусматривать продолжение доставки бомб 240Т мм даже на условиях, определенных письмом 2769 от 12/25 июля.</w:t>
      </w:r>
      <w:hyperlink r:id="rId454" w:anchor="_ftn1" w:history="1">
        <w:r w:rsidRPr="002F2FDF">
          <w:rPr>
            <w:rStyle w:val="a5"/>
            <w:color w:val="000000" w:themeColor="text1"/>
            <w:kern w:val="2"/>
            <w:sz w:val="16"/>
            <w:szCs w:val="16"/>
          </w:rPr>
          <w:t>[1]</w:t>
        </w:r>
      </w:hyperlink>
      <w:r w:rsidRPr="002F2FDF">
        <w:rPr>
          <w:color w:val="000000" w:themeColor="text1"/>
          <w:kern w:val="2"/>
          <w:sz w:val="16"/>
          <w:szCs w:val="16"/>
        </w:rPr>
        <w:t xml:space="preserve"> Причины те же, что и указанные выше. Французское правительство настаивает еще, чтобы русское правительство предприняло в России производство этих бомб, что возможно, как и бомб 58Т мм.</w:t>
      </w:r>
    </w:p>
    <w:p w14:paraId="29E41B67" w14:textId="77777777" w:rsidR="00B85E2D" w:rsidRPr="002F2FDF" w:rsidRDefault="00B85E2D"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С. Лавернь.(15211).</w:t>
      </w:r>
    </w:p>
    <w:p w14:paraId="2EFC0F1E" w14:textId="77777777" w:rsidR="00B85E2D" w:rsidRPr="002F2FDF" w:rsidRDefault="00B85E2D"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16DCBD6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D5BDC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4BB588" w14:textId="77777777" w:rsidR="00E95DA1" w:rsidRPr="002F2FDF" w:rsidRDefault="00E95DA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19 июля (1 августа) 1917 Цеппелин L 53 ВМС Германии достигает высоты 20 700 футов (6 309 метров), что является новым рекордом для дирижаблей (20341).</w:t>
      </w:r>
    </w:p>
    <w:p w14:paraId="217FD7AF" w14:textId="77777777" w:rsidR="00E95DA1" w:rsidRPr="002F2FDF" w:rsidRDefault="00E95DA1" w:rsidP="0083075A">
      <w:pPr>
        <w:spacing w:after="0" w:line="240" w:lineRule="auto"/>
        <w:jc w:val="both"/>
        <w:rPr>
          <w:rFonts w:ascii="Times New Roman" w:hAnsi="Times New Roman" w:cs="Times New Roman"/>
          <w:color w:val="000000" w:themeColor="text1"/>
          <w:sz w:val="16"/>
          <w:szCs w:val="16"/>
        </w:rPr>
      </w:pPr>
    </w:p>
    <w:p w14:paraId="40820DAB" w14:textId="5CB8EAD1" w:rsidR="00E95DA1" w:rsidRPr="002F2FDF" w:rsidRDefault="00E95DA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19 июля (1 августа)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Первый боевой вылет совершил самолет Юнкерс J.1, принадлежащий авиационному отделу № 19 Deutsche Luftstreitkräfte. По мере поступления Юнкерсы распределялись между авиационными подразделениями непосредственной поддержки наземных войск (22412).</w:t>
      </w:r>
    </w:p>
    <w:p w14:paraId="585342B2" w14:textId="77777777" w:rsidR="00E95DA1" w:rsidRPr="002F2FDF" w:rsidRDefault="00E95DA1" w:rsidP="0083075A">
      <w:pPr>
        <w:spacing w:after="0" w:line="240" w:lineRule="auto"/>
        <w:jc w:val="both"/>
        <w:rPr>
          <w:rFonts w:ascii="Times New Roman" w:hAnsi="Times New Roman" w:cs="Times New Roman"/>
          <w:color w:val="000000" w:themeColor="text1"/>
          <w:sz w:val="16"/>
          <w:szCs w:val="16"/>
        </w:rPr>
      </w:pPr>
    </w:p>
    <w:p w14:paraId="38150C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июля (1 августа) 1917 совершил первый вылет Юнкерс J.1, принадлежащий авиаотделу N 19. По мере поступления Юнкерсы распределялись между авиаподразделениями непосредственной поддержки наземных войск (1461,14).</w:t>
      </w:r>
    </w:p>
    <w:p w14:paraId="1A8007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AEFF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июля (1 августа) 1917 Р фон Кульманн стал МИД Германии (3907,91).</w:t>
      </w:r>
    </w:p>
    <w:p w14:paraId="208D73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A220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июля (1 августа) 1917 Папа Бенедикт XV обратился к главам воюющих народов с призывом прекратить военные действия (3186).</w:t>
      </w:r>
    </w:p>
    <w:p w14:paraId="7FBA32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33EAFB" w14:textId="77777777" w:rsidR="00296738" w:rsidRPr="002F2FDF" w:rsidRDefault="0029673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июля (1 августа) в 1917 году сенат США издал закон, запрещающий производство, продажу и транспортировку всех вызывающих опьянение напитков (14970).</w:t>
      </w:r>
    </w:p>
    <w:p w14:paraId="53CA591A" w14:textId="6DE930D8" w:rsidR="00296738" w:rsidRDefault="00296738" w:rsidP="0083075A">
      <w:pPr>
        <w:spacing w:after="0" w:line="240" w:lineRule="auto"/>
        <w:jc w:val="both"/>
        <w:rPr>
          <w:rFonts w:ascii="Times New Roman" w:hAnsi="Times New Roman" w:cs="Times New Roman"/>
          <w:color w:val="000000" w:themeColor="text1"/>
          <w:kern w:val="2"/>
          <w:sz w:val="16"/>
          <w:szCs w:val="16"/>
        </w:rPr>
      </w:pPr>
    </w:p>
    <w:p w14:paraId="2603BE6A" w14:textId="36B14669" w:rsidR="00B16EA0" w:rsidRPr="00B16EA0" w:rsidRDefault="00B16EA0" w:rsidP="0083075A">
      <w:pPr>
        <w:spacing w:after="0" w:line="240" w:lineRule="auto"/>
        <w:jc w:val="both"/>
        <w:rPr>
          <w:rFonts w:ascii="Times New Roman" w:hAnsi="Times New Roman" w:cs="Times New Roman"/>
          <w:i/>
          <w:iCs/>
          <w:color w:val="000000" w:themeColor="text1"/>
          <w:kern w:val="2"/>
          <w:sz w:val="16"/>
          <w:szCs w:val="16"/>
        </w:rPr>
      </w:pPr>
      <w:r w:rsidRPr="00B16EA0">
        <w:rPr>
          <w:rFonts w:ascii="Times New Roman" w:hAnsi="Times New Roman" w:cs="Times New Roman"/>
          <w:i/>
          <w:iCs/>
          <w:color w:val="000000" w:themeColor="text1"/>
          <w:kern w:val="2"/>
          <w:sz w:val="16"/>
          <w:szCs w:val="16"/>
        </w:rPr>
        <w:t>Авиапромышленность:</w:t>
      </w:r>
    </w:p>
    <w:p w14:paraId="1310CB64" w14:textId="77777777" w:rsidR="00B16EA0" w:rsidRPr="00B16EA0" w:rsidRDefault="00B16EA0" w:rsidP="0083075A">
      <w:pPr>
        <w:spacing w:after="0" w:line="240" w:lineRule="auto"/>
        <w:jc w:val="both"/>
        <w:rPr>
          <w:rFonts w:ascii="Times New Roman" w:hAnsi="Times New Roman" w:cs="Times New Roman"/>
          <w:i/>
          <w:iCs/>
          <w:color w:val="000000" w:themeColor="text1"/>
          <w:kern w:val="2"/>
          <w:sz w:val="16"/>
          <w:szCs w:val="16"/>
        </w:rPr>
      </w:pPr>
    </w:p>
    <w:p w14:paraId="5D85CAE0" w14:textId="450ED088" w:rsidR="00B16EA0" w:rsidRPr="00815ED5" w:rsidRDefault="00B16EA0"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20 июля </w:t>
      </w:r>
      <w:r>
        <w:rPr>
          <w:rFonts w:ascii="Times New Roman" w:hAnsi="Times New Roman" w:cs="Times New Roman"/>
          <w:color w:val="0070C0"/>
          <w:sz w:val="16"/>
          <w:szCs w:val="16"/>
        </w:rPr>
        <w:t>(2 августа)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Конструкторское бюро по авто мобильно-авиационной про</w:t>
      </w:r>
      <w:r>
        <w:rPr>
          <w:rFonts w:ascii="Times New Roman" w:hAnsi="Times New Roman" w:cs="Times New Roman"/>
          <w:color w:val="0070C0"/>
          <w:sz w:val="16"/>
          <w:szCs w:val="16"/>
        </w:rPr>
        <w:t>мы</w:t>
      </w:r>
      <w:r w:rsidRPr="00815ED5">
        <w:rPr>
          <w:rFonts w:ascii="Times New Roman" w:hAnsi="Times New Roman" w:cs="Times New Roman"/>
          <w:color w:val="0070C0"/>
          <w:sz w:val="16"/>
          <w:szCs w:val="16"/>
        </w:rPr>
        <w:t>шленности предложило Управлению ВВ</w:t>
      </w:r>
      <w:r>
        <w:rPr>
          <w:rFonts w:ascii="Times New Roman" w:hAnsi="Times New Roman" w:cs="Times New Roman"/>
          <w:color w:val="0070C0"/>
          <w:sz w:val="16"/>
          <w:szCs w:val="16"/>
        </w:rPr>
        <w:t>Ф</w:t>
      </w:r>
      <w:r w:rsidRPr="00815ED5">
        <w:rPr>
          <w:rFonts w:ascii="Times New Roman" w:hAnsi="Times New Roman" w:cs="Times New Roman"/>
          <w:color w:val="0070C0"/>
          <w:sz w:val="16"/>
          <w:szCs w:val="16"/>
        </w:rPr>
        <w:t xml:space="preserve"> построить авиадвигатель "Хо</w:t>
      </w:r>
      <w:r w:rsidRPr="00815ED5">
        <w:rPr>
          <w:rFonts w:ascii="Times New Roman" w:hAnsi="Times New Roman" w:cs="Times New Roman"/>
          <w:color w:val="0070C0"/>
          <w:sz w:val="16"/>
          <w:szCs w:val="16"/>
        </w:rPr>
        <w:softHyphen/>
        <w:t>д</w:t>
      </w:r>
      <w:r>
        <w:rPr>
          <w:rFonts w:ascii="Times New Roman" w:hAnsi="Times New Roman" w:cs="Times New Roman"/>
          <w:color w:val="0070C0"/>
          <w:sz w:val="16"/>
          <w:szCs w:val="16"/>
        </w:rPr>
        <w:t>о</w:t>
      </w:r>
      <w:r w:rsidRPr="00815ED5">
        <w:rPr>
          <w:rFonts w:ascii="Times New Roman" w:hAnsi="Times New Roman" w:cs="Times New Roman"/>
          <w:color w:val="0070C0"/>
          <w:sz w:val="16"/>
          <w:szCs w:val="16"/>
        </w:rPr>
        <w:t>лет"</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конструкции Н.М.Диманта.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Двигатель - двухтактный, 8-цилиндро</w:t>
      </w:r>
      <w:r w:rsidRPr="00815ED5">
        <w:rPr>
          <w:rFonts w:ascii="Times New Roman" w:hAnsi="Times New Roman" w:cs="Times New Roman"/>
          <w:color w:val="0070C0"/>
          <w:sz w:val="16"/>
          <w:szCs w:val="16"/>
        </w:rPr>
        <w:softHyphen/>
        <w:t>вый вэ-образный,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мощностью 200 л.с.</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Особенности двигателя - малые раз</w:t>
      </w:r>
      <w:r w:rsidRPr="00815ED5">
        <w:rPr>
          <w:rFonts w:ascii="Times New Roman" w:hAnsi="Times New Roman" w:cs="Times New Roman"/>
          <w:color w:val="0070C0"/>
          <w:sz w:val="16"/>
          <w:szCs w:val="16"/>
        </w:rPr>
        <w:softHyphen/>
        <w:t>меры и вес,</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простота конструкции /нет распределительных механизмов/, надежность, высокий кпд, экономичность.</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Технический комитет УBB</w:t>
      </w:r>
      <w:r>
        <w:rPr>
          <w:rFonts w:ascii="Times New Roman" w:hAnsi="Times New Roman" w:cs="Times New Roman"/>
          <w:color w:val="0070C0"/>
          <w:sz w:val="16"/>
          <w:szCs w:val="16"/>
        </w:rPr>
        <w:t>Ф</w:t>
      </w:r>
      <w:r w:rsidRPr="00815ED5">
        <w:rPr>
          <w:rFonts w:ascii="Times New Roman" w:hAnsi="Times New Roman" w:cs="Times New Roman"/>
          <w:color w:val="0070C0"/>
          <w:sz w:val="16"/>
          <w:szCs w:val="16"/>
        </w:rPr>
        <w:t>, рас</w:t>
      </w:r>
      <w:r w:rsidRPr="00815ED5">
        <w:rPr>
          <w:rFonts w:ascii="Times New Roman" w:hAnsi="Times New Roman" w:cs="Times New Roman"/>
          <w:color w:val="0070C0"/>
          <w:sz w:val="16"/>
          <w:szCs w:val="16"/>
        </w:rPr>
        <w:softHyphen/>
        <w:t>смотрев предложение КБ, на</w:t>
      </w:r>
      <w:r>
        <w:rPr>
          <w:rFonts w:ascii="Times New Roman" w:hAnsi="Times New Roman" w:cs="Times New Roman"/>
          <w:color w:val="0070C0"/>
          <w:sz w:val="16"/>
          <w:szCs w:val="16"/>
        </w:rPr>
        <w:t>ш</w:t>
      </w:r>
      <w:r w:rsidRPr="00815ED5">
        <w:rPr>
          <w:rFonts w:ascii="Times New Roman" w:hAnsi="Times New Roman" w:cs="Times New Roman"/>
          <w:color w:val="0070C0"/>
          <w:sz w:val="16"/>
          <w:szCs w:val="16"/>
        </w:rPr>
        <w:t>ел его неприемлемым и предложил КБ постро</w:t>
      </w:r>
      <w:r w:rsidRPr="00815ED5">
        <w:rPr>
          <w:rFonts w:ascii="Times New Roman" w:hAnsi="Times New Roman" w:cs="Times New Roman"/>
          <w:color w:val="0070C0"/>
          <w:sz w:val="16"/>
          <w:szCs w:val="16"/>
        </w:rPr>
        <w:softHyphen/>
        <w:t>ить двигатель своими средствами.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Двигатель так и не был построен.</w:t>
      </w:r>
    </w:p>
    <w:p w14:paraId="70C4E830" w14:textId="77777777" w:rsidR="00B16EA0" w:rsidRDefault="00B16EA0"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10,</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98,</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214 </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 xml:space="preserve"> сл./</w:t>
      </w:r>
      <w:r>
        <w:rPr>
          <w:rFonts w:ascii="Times New Roman" w:hAnsi="Times New Roman" w:cs="Times New Roman"/>
          <w:color w:val="0070C0"/>
          <w:sz w:val="16"/>
          <w:szCs w:val="16"/>
        </w:rPr>
        <w:t xml:space="preserve"> (23320).</w:t>
      </w:r>
    </w:p>
    <w:p w14:paraId="4D0C5A18" w14:textId="77777777" w:rsidR="00B16EA0" w:rsidRPr="00815ED5" w:rsidRDefault="00B16EA0" w:rsidP="0083075A">
      <w:pPr>
        <w:spacing w:after="0" w:line="240" w:lineRule="auto"/>
        <w:jc w:val="both"/>
        <w:rPr>
          <w:rFonts w:ascii="Times New Roman" w:hAnsi="Times New Roman" w:cs="Times New Roman"/>
          <w:color w:val="0070C0"/>
          <w:sz w:val="16"/>
          <w:szCs w:val="16"/>
        </w:rPr>
      </w:pPr>
    </w:p>
    <w:p w14:paraId="14C923F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374CB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97116A" w14:textId="1500F3FA" w:rsidR="005D46C8" w:rsidRPr="002F2FDF" w:rsidRDefault="005D46C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20 июля</w:t>
      </w:r>
      <w:r w:rsidR="00CB4077">
        <w:rPr>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(2 августа) 1917</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года числилось три действующих и один формирующийся артиллерийский отряд. По штату в каждом из них полагалось по 22 самолета. Истребительные отряды образовывали 4 авиагруппы, где насчитывалось 196 машин (плюс 81 истребитель для прикрытия разведчиков). Из 6-8 отрядов разного назначения формировались авиадивизионы. На 1 </w:t>
      </w:r>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июня</w:t>
      </w:r>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1917</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года действующая армия располагала 581 самолетом, в том числе: Северный фронт - 93, Западный - 125, Юго-Западный и Румынский - 259 и Кавказский – 104 (14027).</w:t>
      </w:r>
    </w:p>
    <w:p w14:paraId="3483F809" w14:textId="77777777" w:rsidR="005D46C8" w:rsidRPr="002F2FDF" w:rsidRDefault="005D46C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CF33BB" w14:textId="77777777" w:rsidR="00C312C3" w:rsidRPr="002F2FDF" w:rsidRDefault="00C312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20 июля (3 августа) 1917 года числилось три действующих и один формирующийся артиллерийский отряд. По штату в каждом из них полагалось по 22 самолета. Истребительные отряды образовывали 4 авиагруппы, где насчитывалось 196 машин и 81 истребитель для прикрытия разведчиков. На протяжении всей войны главной задачей авиации была разведка и корректировка артогня. Первоначально воздушная разведка была малоэффективной из-за несовершенства конструкций аэропланов, что увеличивало риск посадки на неприятельской территории. Уже в августе 1914 года летчик А. А. Васильев и генерал А. К. Макаров, проводя воздушную разведку, были вынуждены приземлиться за линией фронта и попали в плен. Первая мировая война: в небе Воздушная разведка оказала огромную помощь при организации крупных ударов русских войск. Готовя прорыв Австрийского фронта в апреле 1916 года, А. А. Брусилов во всех приказах требовал массового привлечения авиации. Летчики сумели сфотографировать расположение всех австрийских частей — в результате русская армия за несколько часов подавила долговременные укрепления и огневые точки противника. От разведки произошла и бомбардировка: отправляясь в полет, пилоты часто брали с собой бомбы, чтобы не только сфотографировать, но и разрушить объекты противника. На вооружении авиации состояли бомбы 4, 6, 10, 16, 32 кг- для истребителей и разведчиков; в 1915 году появились бомбы 48,80, 160, 240 и 400 кг для самолетов типа «Илья Муромец». Первоначально эффективность бомбардировок была низкой, но она оказывала чрезвычайно сильное моральное воздействие. Не было специальных прицелов для бомбометания, отсутствовали бомбодержатели — соответственно, не существовало и бомбардировщиков как особого типа боевых самолетов. Помимо бомб в русской авиации использовались и так называемые «стрелы» конструкции В. Л. Слесарева — свинцовые пули (в четыре раза больше обычных) с жестяным стабилизатором, которые сбрасывали на противника, вручную опрокидывая фанерный ящик. «Стрелы» были особо эффективны против кавалерии (18516).</w:t>
      </w:r>
    </w:p>
    <w:p w14:paraId="39006B32" w14:textId="77777777" w:rsidR="00C312C3" w:rsidRPr="002F2FDF" w:rsidRDefault="00C312C3" w:rsidP="0083075A">
      <w:pPr>
        <w:spacing w:after="0" w:line="240" w:lineRule="auto"/>
        <w:jc w:val="both"/>
        <w:rPr>
          <w:rFonts w:ascii="Times New Roman" w:hAnsi="Times New Roman" w:cs="Times New Roman"/>
          <w:color w:val="000000" w:themeColor="text1"/>
          <w:sz w:val="16"/>
          <w:szCs w:val="16"/>
        </w:rPr>
      </w:pPr>
    </w:p>
    <w:p w14:paraId="5289912E" w14:textId="51D9381E" w:rsidR="003F6F42" w:rsidRPr="00FB4F67" w:rsidRDefault="003F6F42"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20 июля </w:t>
      </w:r>
      <w:r>
        <w:rPr>
          <w:rFonts w:ascii="Times New Roman" w:hAnsi="Times New Roman" w:cs="Times New Roman"/>
          <w:color w:val="0070C0"/>
          <w:sz w:val="16"/>
          <w:szCs w:val="16"/>
        </w:rPr>
        <w:t xml:space="preserve">(2 августа) </w:t>
      </w:r>
      <w:r w:rsidRPr="00FB4F67">
        <w:rPr>
          <w:rFonts w:ascii="Times New Roman" w:hAnsi="Times New Roman" w:cs="Times New Roman"/>
          <w:color w:val="0070C0"/>
          <w:sz w:val="16"/>
          <w:szCs w:val="16"/>
        </w:rPr>
        <w:t>1917 г. военный летчик Подполковник Коновалов, командир 10-го авиационного батальона (10-й армейский фронт), возглавил группу из 24 самолетов «Фарман 30», «Вуазен», «Сопвит 1 1/2 Страттерс» и истребителей прикрытия, совершив бомбардировочный налет на вражеская железнодорожная станция Вбигяны, где они сбросили шестьдесят бомб, причинивших большой ущерб (23525).</w:t>
      </w:r>
    </w:p>
    <w:p w14:paraId="02936675" w14:textId="77777777" w:rsidR="003F6F42" w:rsidRPr="00FB4F67" w:rsidRDefault="003F6F42" w:rsidP="0083075A">
      <w:pPr>
        <w:spacing w:after="0" w:line="240" w:lineRule="auto"/>
        <w:jc w:val="both"/>
        <w:rPr>
          <w:rFonts w:ascii="Times New Roman" w:hAnsi="Times New Roman" w:cs="Times New Roman"/>
          <w:color w:val="0070C0"/>
          <w:sz w:val="16"/>
          <w:szCs w:val="16"/>
        </w:rPr>
      </w:pPr>
    </w:p>
    <w:p w14:paraId="6BCE5AB0" w14:textId="702B54A5" w:rsidR="003F6F42" w:rsidRPr="00FB4F67" w:rsidRDefault="003F6F42"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lastRenderedPageBreak/>
        <w:t xml:space="preserve">20 июля </w:t>
      </w:r>
      <w:r>
        <w:rPr>
          <w:rFonts w:ascii="Times New Roman" w:hAnsi="Times New Roman" w:cs="Times New Roman"/>
          <w:color w:val="0070C0"/>
          <w:sz w:val="16"/>
          <w:szCs w:val="16"/>
        </w:rPr>
        <w:t xml:space="preserve">(2 августа) </w:t>
      </w:r>
      <w:r w:rsidRPr="00FB4F67">
        <w:rPr>
          <w:rFonts w:ascii="Times New Roman" w:hAnsi="Times New Roman" w:cs="Times New Roman"/>
          <w:color w:val="0070C0"/>
          <w:sz w:val="16"/>
          <w:szCs w:val="16"/>
        </w:rPr>
        <w:t>1917 г. инспектор авиации Юго-Западного фронта представил отчет о состоянии авиации, в котором говорилось, что при отступлении 8-я авиадивизия и 1-я БАГ потерь не понесли; 7-я авиадивизия имела четыре боеспособные части, 1-я артиллерийская АО пострадала и перебрасывалась в Жмеринку для получения новых самолетов; в то время как 11-я авиационная дивизия с восемью частями была в хорошей форме.</w:t>
      </w:r>
    </w:p>
    <w:p w14:paraId="6679F704" w14:textId="77777777" w:rsidR="003F6F42" w:rsidRPr="00FB4F67" w:rsidRDefault="003F6F4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При отступлении части потеряли пятнадцать самолетов с двигателями и еще девять машин без двигателей. Пять самолетов были повреждены и сожжены, чтобы избежать захвата. Двадцать вешалок ящики) и восемнадцать машин без двигателей были потеряны. Десять самолетов были повреждены перед отступлением и еще десять (предназначенных для ремонта) были повреждены при отступлении (23525).</w:t>
      </w:r>
    </w:p>
    <w:p w14:paraId="70064691" w14:textId="77777777" w:rsidR="003F6F42" w:rsidRPr="00FB4F67" w:rsidRDefault="003F6F42" w:rsidP="0083075A">
      <w:pPr>
        <w:spacing w:after="0" w:line="240" w:lineRule="auto"/>
        <w:jc w:val="both"/>
        <w:rPr>
          <w:rFonts w:ascii="Times New Roman" w:hAnsi="Times New Roman" w:cs="Times New Roman"/>
          <w:color w:val="0070C0"/>
          <w:sz w:val="16"/>
          <w:szCs w:val="16"/>
        </w:rPr>
      </w:pPr>
    </w:p>
    <w:p w14:paraId="3BCE1B04" w14:textId="4A86191E" w:rsidR="003F6F42" w:rsidRPr="00FB4F67" w:rsidRDefault="003F6F42"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20 июля </w:t>
      </w:r>
      <w:r>
        <w:rPr>
          <w:rFonts w:ascii="Times New Roman" w:hAnsi="Times New Roman" w:cs="Times New Roman"/>
          <w:color w:val="0070C0"/>
          <w:sz w:val="16"/>
          <w:szCs w:val="16"/>
        </w:rPr>
        <w:t xml:space="preserve">(2 августа) </w:t>
      </w:r>
      <w:r w:rsidRPr="00FB4F67">
        <w:rPr>
          <w:rFonts w:ascii="Times New Roman" w:hAnsi="Times New Roman" w:cs="Times New Roman"/>
          <w:color w:val="0070C0"/>
          <w:sz w:val="16"/>
          <w:szCs w:val="16"/>
        </w:rPr>
        <w:t>1917 г. французский офицер Жюль Легра, находящийся сейчас в штабе 1-го Сибирского корпуса, доложил, что «самолет противника сбил аэростат соседнего корпуса. Наблюдатель, увидев противника и без парашюта, попросился вниз, но люди у лебедки скрылись в кустах. Приближающийся самолет выплеснул горящую жидкость на воздушный шар. Наблюдатель, который собирался погибнуть, крикнул экипажу, но они не двинулись с места. Русская армия распадалась под большевистской пропагандой».</w:t>
      </w:r>
    </w:p>
    <w:p w14:paraId="6CEF497C" w14:textId="77777777" w:rsidR="003F6F42" w:rsidRPr="00FB4F67" w:rsidRDefault="003F6F4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ЛеГрас также сообщил о нехватке самолетов, оснащенных фотокамерами, пилотах, делающих вид, что у них нет фотобумаги (они использовали ее в личных целях), и нехватке стереореставраторов (зрителей) и специалистов по дешифрированию фотографий. Он заявил, что специалисты прошли лишь несколько часов обучения.</w:t>
      </w:r>
    </w:p>
    <w:p w14:paraId="32E2FC81" w14:textId="77777777" w:rsidR="003F6F42" w:rsidRPr="00FB4F67" w:rsidRDefault="003F6F4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Большинство изначально были офицерами-топографами, не имевшими опыта армейской обороны и траншей, поэтому на лучших снимках не находят указаний. Им часто не удавалось подтвердить фотопоказания допросами заключенных.</w:t>
      </w:r>
    </w:p>
    <w:p w14:paraId="48FDAE6A" w14:textId="77777777" w:rsidR="003F6F42" w:rsidRPr="00FB4F67" w:rsidRDefault="003F6F4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-палаток были потеряны. Авиабазу Тарнополь не эвакуировали из-за отсутствия локомотивов, в результате двенадцать новых самолетов с моторами (в Секции фотографии обладали монополией на изучение изображений, и за пределами этих секций ничего не делалось для разглашения знаний. Многие офицеры считали фотографии предметом коллекционирования. Увеличительных стекол в агрегатах не хватало. ЛеГрас заявил, что большинство профессиональных офицеров не игнорировали ценность фотографий, но использовать их им мешает «интеллектуальная лень» (23525).</w:t>
      </w:r>
    </w:p>
    <w:p w14:paraId="4718F246" w14:textId="77777777" w:rsidR="003F6F42" w:rsidRPr="00FB4F67" w:rsidRDefault="003F6F42" w:rsidP="0083075A">
      <w:pPr>
        <w:spacing w:after="0" w:line="240" w:lineRule="auto"/>
        <w:jc w:val="both"/>
        <w:rPr>
          <w:rFonts w:ascii="Times New Roman" w:hAnsi="Times New Roman" w:cs="Times New Roman"/>
          <w:color w:val="0070C0"/>
          <w:sz w:val="16"/>
          <w:szCs w:val="16"/>
        </w:rPr>
      </w:pPr>
    </w:p>
    <w:p w14:paraId="601D23F8" w14:textId="77777777" w:rsidR="006B0735"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r w:rsidR="006B0735" w:rsidRPr="002F2FDF">
        <w:rPr>
          <w:rFonts w:ascii="Times New Roman" w:hAnsi="Times New Roman" w:cs="Times New Roman"/>
          <w:iCs/>
          <w:color w:val="000000" w:themeColor="text1"/>
          <w:kern w:val="2"/>
          <w:sz w:val="16"/>
          <w:szCs w:val="16"/>
        </w:rPr>
        <w:t>:</w:t>
      </w:r>
    </w:p>
    <w:p w14:paraId="58F9D3E2" w14:textId="77777777" w:rsidR="006B0735" w:rsidRPr="002F2FDF" w:rsidRDefault="006B073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42696F" w14:textId="77777777" w:rsidR="006B0735" w:rsidRPr="002F2FDF" w:rsidRDefault="006B0735"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июля (2 августа) в 1917 году в России впервые в мире предоставляются избирательные права женщинам без каких-либо ограничений по сравнению с мужчинами (14971).</w:t>
      </w:r>
    </w:p>
    <w:p w14:paraId="25D3831E" w14:textId="77777777" w:rsidR="006B0735" w:rsidRPr="002F2FDF" w:rsidRDefault="006B0735" w:rsidP="0083075A">
      <w:pPr>
        <w:spacing w:after="0" w:line="240" w:lineRule="auto"/>
        <w:jc w:val="both"/>
        <w:rPr>
          <w:rFonts w:ascii="Times New Roman" w:hAnsi="Times New Roman" w:cs="Times New Roman"/>
          <w:color w:val="000000" w:themeColor="text1"/>
          <w:kern w:val="2"/>
          <w:sz w:val="16"/>
          <w:szCs w:val="16"/>
        </w:rPr>
      </w:pPr>
    </w:p>
    <w:p w14:paraId="3E59EDC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B0451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BF086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июля (2 августа) 1917 впервые была осуществлена посадка самолета “Сопвич” на палубу движущегося корабля британских военно-морских сил Furious (4963).</w:t>
      </w:r>
    </w:p>
    <w:p w14:paraId="2EB2697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8461A8" w14:textId="6B6B22A8"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r w:rsidR="006B0735" w:rsidRPr="002F2FDF">
        <w:rPr>
          <w:rFonts w:ascii="Times New Roman" w:hAnsi="Times New Roman" w:cs="Times New Roman"/>
          <w:color w:val="000000" w:themeColor="text1"/>
          <w:kern w:val="2"/>
          <w:sz w:val="16"/>
          <w:szCs w:val="16"/>
        </w:rPr>
        <w:t>0 июля</w:t>
      </w:r>
      <w:r w:rsidR="00CB4077">
        <w:rPr>
          <w:rFonts w:ascii="Times New Roman" w:hAnsi="Times New Roman" w:cs="Times New Roman"/>
          <w:color w:val="000000" w:themeColor="text1"/>
          <w:kern w:val="2"/>
          <w:sz w:val="16"/>
          <w:szCs w:val="16"/>
        </w:rPr>
        <w:t xml:space="preserve"> </w:t>
      </w:r>
      <w:r w:rsidR="00880559" w:rsidRPr="002F2FDF">
        <w:rPr>
          <w:rFonts w:ascii="Times New Roman" w:hAnsi="Times New Roman" w:cs="Times New Roman"/>
          <w:color w:val="000000" w:themeColor="text1"/>
          <w:kern w:val="2"/>
          <w:sz w:val="16"/>
          <w:szCs w:val="16"/>
        </w:rPr>
        <w:t xml:space="preserve">(2 августа) </w:t>
      </w:r>
      <w:r w:rsidRPr="002F2FDF">
        <w:rPr>
          <w:rFonts w:ascii="Times New Roman" w:hAnsi="Times New Roman" w:cs="Times New Roman"/>
          <w:color w:val="000000" w:themeColor="text1"/>
          <w:kern w:val="2"/>
          <w:sz w:val="16"/>
          <w:szCs w:val="16"/>
        </w:rPr>
        <w:t>1917 года первую удачную посадку на палубу корабля "Фьюриес" совершил лейтенант Э.Х.-Даннинг. "Фьюриес" стал первым настоящим авианосцем. Посадка осуществлялась необычным образом. Авианосец разворачивался под ветер и развивал полный ход. Самолет догонял авианосец, выравнивал с ним скорость и зависал над палубой. После этого палубная бригада буквально стаскивала самолет с неба на палубу. Третья попытка посадки закончилась трагически. Палубная бригада не успела схватить самолет, а пилот уже заглушил двигатель. Внезапный порыв ветра сдул самолет за борт и машина утонула вместе с пилотом. Но вскоре удалось разработать подходящее оборудование (крюк и тросы аэрофинишера). Палубные самолеты получили складывающиеся крылья и фюзеляжи (11262).</w:t>
      </w:r>
    </w:p>
    <w:p w14:paraId="2AA32D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1CB9F7" w14:textId="77777777" w:rsidR="006B0735" w:rsidRPr="002F2FDF" w:rsidRDefault="006B0735"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20 июля (2 августа) в 1917 году первая посадка самолета «Сопвич» на палубу движущегося корабля британских военно-морских сил </w:t>
      </w:r>
      <w:hyperlink r:id="rId455" w:tgtFrame="_blank" w:history="1">
        <w:r w:rsidRPr="002F2FDF">
          <w:rPr>
            <w:rFonts w:ascii="Times New Roman" w:hAnsi="Times New Roman" w:cs="Times New Roman"/>
            <w:color w:val="000000" w:themeColor="text1"/>
            <w:kern w:val="2"/>
            <w:sz w:val="16"/>
            <w:szCs w:val="16"/>
          </w:rPr>
          <w:t xml:space="preserve">"Furious". </w:t>
        </w:r>
      </w:hyperlink>
      <w:r w:rsidRPr="002F2FDF">
        <w:rPr>
          <w:rFonts w:ascii="Times New Roman" w:hAnsi="Times New Roman" w:cs="Times New Roman"/>
          <w:color w:val="000000" w:themeColor="text1"/>
          <w:kern w:val="2"/>
          <w:sz w:val="16"/>
          <w:szCs w:val="16"/>
        </w:rPr>
        <w:t>Первые опыты взлета и посадки самолета на палубу корабля были предприняты американцами еще в 1910-11 гг., но к созданию боевых авианосцев первыми пришли англичане во время 1-й мировой войны. В 1916 году их пилотам удалось взлететь с палубы переоборудованного торгового корабля, а 2 августа 1917 года была осуществлена посадка самолета " Сопвич " на палубу движущегося корабля британских военно-морских сил Furious. К октябрю 1918 года англичане построили первый авианосец Argus , который нес на себе 18 самолетов, вооруженных торпедами, но война уже завершилась, что не помешало бурному развитию нового класса кораблей (14971).</w:t>
      </w:r>
    </w:p>
    <w:p w14:paraId="56170A54" w14:textId="77777777" w:rsidR="006B0735" w:rsidRPr="002F2FDF" w:rsidRDefault="006B0735" w:rsidP="0083075A">
      <w:pPr>
        <w:spacing w:after="0" w:line="240" w:lineRule="auto"/>
        <w:jc w:val="both"/>
        <w:rPr>
          <w:rFonts w:ascii="Times New Roman" w:hAnsi="Times New Roman" w:cs="Times New Roman"/>
          <w:color w:val="000000" w:themeColor="text1"/>
          <w:kern w:val="2"/>
          <w:sz w:val="16"/>
          <w:szCs w:val="16"/>
        </w:rPr>
      </w:pPr>
    </w:p>
    <w:p w14:paraId="4CF40AF0" w14:textId="70D512B0" w:rsidR="000A1B92" w:rsidRPr="002F2FDF" w:rsidRDefault="000A1B92" w:rsidP="0083075A">
      <w:pPr>
        <w:pStyle w:val="ae"/>
        <w:spacing w:before="0" w:after="0"/>
        <w:jc w:val="both"/>
        <w:rPr>
          <w:color w:val="000000" w:themeColor="text1"/>
          <w:kern w:val="2"/>
          <w:sz w:val="16"/>
          <w:szCs w:val="16"/>
        </w:rPr>
      </w:pPr>
      <w:r w:rsidRPr="002F2FDF">
        <w:rPr>
          <w:color w:val="000000" w:themeColor="text1"/>
          <w:kern w:val="2"/>
          <w:sz w:val="16"/>
          <w:szCs w:val="16"/>
        </w:rPr>
        <w:t>20 июля (2 августа) в 1917 году была осуществлена первая успешная посадка британского самолета на палубу движущегося корабля «Furious». Так человечество сделало шаг к созданию еще одного нового вида вооружений — авианосцев.</w:t>
      </w:r>
      <w:r w:rsidR="00E52569">
        <w:rPr>
          <w:color w:val="000000" w:themeColor="text1"/>
          <w:kern w:val="2"/>
          <w:sz w:val="16"/>
          <w:szCs w:val="16"/>
        </w:rPr>
        <w:t xml:space="preserve"> </w:t>
      </w:r>
      <w:r w:rsidRPr="002F2FDF">
        <w:rPr>
          <w:color w:val="000000" w:themeColor="text1"/>
          <w:kern w:val="2"/>
          <w:sz w:val="16"/>
          <w:szCs w:val="16"/>
        </w:rPr>
        <w:t xml:space="preserve"> К октябрю 1918 года англичане построили первый корабль-авианосец «Argus», который нес на себе 18 самолетов, вооруженных торпедами. Но в операциях Первой мировой войны он принять участие не успел (17045).</w:t>
      </w:r>
    </w:p>
    <w:p w14:paraId="49546B89" w14:textId="77777777" w:rsidR="000A1B92" w:rsidRPr="002F2FDF" w:rsidRDefault="000A1B9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CA0AF8" w14:textId="77777777" w:rsidR="009359BB" w:rsidRPr="002F2FDF" w:rsidRDefault="009359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20 июля (2 августа) 1917 Sopwith Pup под управлением Комэска Эдвин Даннинг становится первым самолетом, совершившим посадку на борт движущегося судна - гибридного авианосца - линейного крейсера HMS Furious (20341).</w:t>
      </w:r>
    </w:p>
    <w:p w14:paraId="5913C254" w14:textId="77777777" w:rsidR="009359BB" w:rsidRPr="002F2FDF" w:rsidRDefault="009359BB" w:rsidP="0083075A">
      <w:pPr>
        <w:spacing w:after="0" w:line="240" w:lineRule="auto"/>
        <w:jc w:val="both"/>
        <w:rPr>
          <w:rFonts w:ascii="Times New Roman" w:hAnsi="Times New Roman" w:cs="Times New Roman"/>
          <w:color w:val="000000" w:themeColor="text1"/>
          <w:sz w:val="16"/>
          <w:szCs w:val="16"/>
        </w:rPr>
      </w:pPr>
    </w:p>
    <w:p w14:paraId="4729EE1E" w14:textId="77777777" w:rsidR="009359BB" w:rsidRPr="002F2FDF" w:rsidRDefault="009359B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20 июля (2 августа) 1917 Итальянский ас Пьер Руджеро Пиччо одерживает восьмую победу, сбив австро-венгерского аса Франка Линке-Кроуфорда , который летал на двухместном самолете без заднего стрелка на борту. Линке-Кроуфорд выжил и не пострадал (20341).</w:t>
      </w:r>
    </w:p>
    <w:p w14:paraId="2EA0C8AC" w14:textId="77777777" w:rsidR="009359BB" w:rsidRPr="002F2FDF" w:rsidRDefault="009359BB" w:rsidP="0083075A">
      <w:pPr>
        <w:spacing w:after="0" w:line="240" w:lineRule="auto"/>
        <w:jc w:val="both"/>
        <w:rPr>
          <w:rFonts w:ascii="Times New Roman" w:hAnsi="Times New Roman" w:cs="Times New Roman"/>
          <w:color w:val="000000" w:themeColor="text1"/>
          <w:sz w:val="16"/>
          <w:szCs w:val="16"/>
        </w:rPr>
      </w:pPr>
    </w:p>
    <w:p w14:paraId="46AE322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3C6AB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A69E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июля (3 августа) 1917, согласно при</w:t>
      </w:r>
      <w:r w:rsidRPr="002F2FDF">
        <w:rPr>
          <w:rFonts w:ascii="Times New Roman" w:hAnsi="Times New Roman" w:cs="Times New Roman"/>
          <w:color w:val="000000" w:themeColor="text1"/>
          <w:kern w:val="2"/>
          <w:sz w:val="16"/>
          <w:szCs w:val="16"/>
        </w:rPr>
        <w:softHyphen/>
        <w:t>казу штаба армии, группа 1БАГ перебази</w:t>
      </w:r>
      <w:r w:rsidRPr="002F2FDF">
        <w:rPr>
          <w:rFonts w:ascii="Times New Roman" w:hAnsi="Times New Roman" w:cs="Times New Roman"/>
          <w:color w:val="000000" w:themeColor="text1"/>
          <w:kern w:val="2"/>
          <w:sz w:val="16"/>
          <w:szCs w:val="16"/>
        </w:rPr>
        <w:softHyphen/>
        <w:t>ровалась из Хотина в Ларга. Опять на</w:t>
      </w:r>
      <w:r w:rsidRPr="002F2FDF">
        <w:rPr>
          <w:rFonts w:ascii="Times New Roman" w:hAnsi="Times New Roman" w:cs="Times New Roman"/>
          <w:color w:val="000000" w:themeColor="text1"/>
          <w:kern w:val="2"/>
          <w:sz w:val="16"/>
          <w:szCs w:val="16"/>
        </w:rPr>
        <w:softHyphen/>
        <w:t>чались полеты на разведку и патрули</w:t>
      </w:r>
      <w:r w:rsidRPr="002F2FDF">
        <w:rPr>
          <w:rFonts w:ascii="Times New Roman" w:hAnsi="Times New Roman" w:cs="Times New Roman"/>
          <w:color w:val="000000" w:themeColor="text1"/>
          <w:kern w:val="2"/>
          <w:sz w:val="16"/>
          <w:szCs w:val="16"/>
        </w:rPr>
        <w:softHyphen/>
        <w:t>рование, прерываемые непогодой (3954).</w:t>
      </w:r>
    </w:p>
    <w:p w14:paraId="6E19E7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B8EB0F" w14:textId="77777777" w:rsidR="00E62E8A" w:rsidRPr="002F2FDF" w:rsidRDefault="00E62E8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21 июля (3 августа) 1917 вечером французские эскадрильи получили приказ эвакуироваться в Озеряны, где их ждали два эшелона. Всю ночь личный состав демонтировал ангары и грузил имущество. Переезд оказался трудным. Например, эскадрилья N 581 рас</w:t>
      </w:r>
      <w:r w:rsidRPr="002F2FDF">
        <w:rPr>
          <w:rFonts w:ascii="Times New Roman" w:hAnsi="Times New Roman" w:cs="Times New Roman"/>
          <w:color w:val="000000" w:themeColor="text1"/>
          <w:sz w:val="16"/>
          <w:szCs w:val="16"/>
        </w:rPr>
        <w:softHyphen/>
        <w:t>полагала лишь двумя грузовиками, и понадобилось 14 ходок, чтобы перевезти все имущество. Самолеты решили перегнать своим ходом, и они вылетели в 21.00. В Озерянах французы за</w:t>
      </w:r>
      <w:r w:rsidRPr="002F2FDF">
        <w:rPr>
          <w:rFonts w:ascii="Times New Roman" w:hAnsi="Times New Roman" w:cs="Times New Roman"/>
          <w:color w:val="000000" w:themeColor="text1"/>
          <w:sz w:val="16"/>
          <w:szCs w:val="16"/>
        </w:rPr>
        <w:softHyphen/>
        <w:t>держались ненадолго — уже вечером 22 июля их отправили дальше на восток, в Чертков. Следующими пунктами стали Гусятин и Ярмолинцы, где французы оказались 24 июля. Отступление привело к потерям: эскадрилья N 581 прибыла в Ярмолинцы лишь с семью самолетами (пять «Ньюпоров» и два SPAD). Правда, французы сумели оперативно восполнить поте</w:t>
      </w:r>
      <w:r w:rsidRPr="002F2FDF">
        <w:rPr>
          <w:rFonts w:ascii="Times New Roman" w:hAnsi="Times New Roman" w:cs="Times New Roman"/>
          <w:color w:val="000000" w:themeColor="text1"/>
          <w:sz w:val="16"/>
          <w:szCs w:val="16"/>
        </w:rPr>
        <w:softHyphen/>
        <w:t>ри — к концу месяца в эскадрилье N 581 было уже 10 «Ньюпоров» и 7 SPAD. Эскадрилья SOP 582 в то же время имела в своем со</w:t>
      </w:r>
      <w:r w:rsidRPr="002F2FDF">
        <w:rPr>
          <w:rFonts w:ascii="Times New Roman" w:hAnsi="Times New Roman" w:cs="Times New Roman"/>
          <w:color w:val="000000" w:themeColor="text1"/>
          <w:sz w:val="16"/>
          <w:szCs w:val="16"/>
        </w:rPr>
        <w:softHyphen/>
        <w:t>ставе 5 «Сопвичей».</w:t>
      </w:r>
    </w:p>
    <w:p w14:paraId="511E6063" w14:textId="77777777" w:rsidR="00E62E8A" w:rsidRPr="002F2FDF" w:rsidRDefault="00E62E8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Постепенно фронт стабилизировался по линии р. Збруч. Французские эскадрильи возобновили боевую работу. 12 авгу</w:t>
      </w:r>
      <w:r w:rsidRPr="002F2FDF">
        <w:rPr>
          <w:rFonts w:ascii="Times New Roman" w:hAnsi="Times New Roman" w:cs="Times New Roman"/>
          <w:color w:val="000000" w:themeColor="text1"/>
          <w:sz w:val="16"/>
          <w:szCs w:val="16"/>
        </w:rPr>
        <w:softHyphen/>
        <w:t>ста их перевели в Каменец-Подольский, переключив на дейст</w:t>
      </w:r>
      <w:r w:rsidRPr="002F2FDF">
        <w:rPr>
          <w:rFonts w:ascii="Times New Roman" w:hAnsi="Times New Roman" w:cs="Times New Roman"/>
          <w:color w:val="000000" w:themeColor="text1"/>
          <w:sz w:val="16"/>
          <w:szCs w:val="16"/>
        </w:rPr>
        <w:softHyphen/>
        <w:t>вия в интересах войск Румынского фронта. Французские источ</w:t>
      </w:r>
      <w:r w:rsidRPr="002F2FDF">
        <w:rPr>
          <w:rFonts w:ascii="Times New Roman" w:hAnsi="Times New Roman" w:cs="Times New Roman"/>
          <w:color w:val="000000" w:themeColor="text1"/>
          <w:sz w:val="16"/>
          <w:szCs w:val="16"/>
        </w:rPr>
        <w:softHyphen/>
        <w:t>ники сообщают, что эскадрильи были оперативно подчинены 3-му армейскому корпусу. Однако это соединение находилось на территории Беларуси. В Каменце-Подольском же распола</w:t>
      </w:r>
      <w:r w:rsidRPr="002F2FDF">
        <w:rPr>
          <w:rFonts w:ascii="Times New Roman" w:hAnsi="Times New Roman" w:cs="Times New Roman"/>
          <w:color w:val="000000" w:themeColor="text1"/>
          <w:sz w:val="16"/>
          <w:szCs w:val="16"/>
        </w:rPr>
        <w:softHyphen/>
        <w:t>гался штаб 3-го Кавказского корпуса — именно ему подчинили французских авиаторов (22287).</w:t>
      </w:r>
    </w:p>
    <w:p w14:paraId="156489D0" w14:textId="77777777" w:rsidR="00E62E8A" w:rsidRPr="002F2FDF" w:rsidRDefault="00E62E8A" w:rsidP="0083075A">
      <w:pPr>
        <w:spacing w:after="0" w:line="240" w:lineRule="auto"/>
        <w:jc w:val="both"/>
        <w:rPr>
          <w:rFonts w:ascii="Times New Roman" w:hAnsi="Times New Roman" w:cs="Times New Roman"/>
          <w:color w:val="000000" w:themeColor="text1"/>
          <w:sz w:val="16"/>
          <w:szCs w:val="16"/>
        </w:rPr>
      </w:pPr>
    </w:p>
    <w:p w14:paraId="72D373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июля (3 августа) 1917 А.А.Брусилов писал "Кризис наступил, больше ждать нельзя...Считаю, что если не будут немедленно приняты экстренные меры, то через два месяца наша авиация будет сведена к нулю, а без ее полного содействия на успех операции в современной войне рассчитывать нельзя" (438,368).</w:t>
      </w:r>
    </w:p>
    <w:p w14:paraId="350FE4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C2F97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21 июля </w:t>
      </w:r>
      <w:r w:rsidR="00880559" w:rsidRPr="002F2FDF">
        <w:rPr>
          <w:rFonts w:ascii="Times New Roman" w:hAnsi="Times New Roman" w:cs="Times New Roman"/>
          <w:color w:val="000000" w:themeColor="text1"/>
          <w:kern w:val="2"/>
          <w:sz w:val="16"/>
          <w:szCs w:val="16"/>
        </w:rPr>
        <w:t xml:space="preserve">(3 июля) </w:t>
      </w:r>
      <w:r w:rsidRPr="002F2FDF">
        <w:rPr>
          <w:rFonts w:ascii="Times New Roman" w:hAnsi="Times New Roman" w:cs="Times New Roman"/>
          <w:color w:val="000000" w:themeColor="text1"/>
          <w:kern w:val="2"/>
          <w:sz w:val="16"/>
          <w:szCs w:val="16"/>
        </w:rPr>
        <w:t>1917 Верховный главнокомандующий генерал Брусилов до</w:t>
      </w:r>
      <w:r w:rsidRPr="002F2FDF">
        <w:rPr>
          <w:rFonts w:ascii="Times New Roman" w:hAnsi="Times New Roman" w:cs="Times New Roman"/>
          <w:color w:val="000000" w:themeColor="text1"/>
          <w:kern w:val="2"/>
          <w:sz w:val="16"/>
          <w:szCs w:val="16"/>
        </w:rPr>
        <w:softHyphen/>
        <w:t>носил правительству: "Кризис наступил, больше ждать нельзя... Считаю, что если не будут немедленно приняты экстренные меры, то через два месяца наша авиация будет сведена к нулю, а без ее полного содействия на успех операции в современной войне рассчитывать нельзя". (ВВФ. 1933, № 2, стр.7).</w:t>
      </w:r>
    </w:p>
    <w:p w14:paraId="7BE9F3B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3E147E" w14:textId="2DFB99EE" w:rsidR="00783BE2" w:rsidRPr="00815ED5" w:rsidRDefault="00783BE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21 июля (3 августа) 1917 г. г</w:t>
      </w:r>
      <w:r w:rsidRPr="00815ED5">
        <w:rPr>
          <w:rFonts w:ascii="Times New Roman" w:hAnsi="Times New Roman" w:cs="Times New Roman"/>
          <w:color w:val="0070C0"/>
          <w:sz w:val="16"/>
          <w:szCs w:val="16"/>
        </w:rPr>
        <w:t>лавнокоманду</w:t>
      </w:r>
      <w:r>
        <w:rPr>
          <w:rFonts w:ascii="Times New Roman" w:hAnsi="Times New Roman" w:cs="Times New Roman"/>
          <w:color w:val="0070C0"/>
          <w:sz w:val="16"/>
          <w:szCs w:val="16"/>
        </w:rPr>
        <w:t>ющий</w:t>
      </w:r>
      <w:r w:rsidRPr="00815ED5">
        <w:rPr>
          <w:rFonts w:ascii="Times New Roman" w:hAnsi="Times New Roman" w:cs="Times New Roman"/>
          <w:color w:val="0070C0"/>
          <w:sz w:val="16"/>
          <w:szCs w:val="16"/>
        </w:rPr>
        <w:t xml:space="preserve"> г</w:t>
      </w:r>
      <w:r>
        <w:rPr>
          <w:rFonts w:ascii="Times New Roman" w:hAnsi="Times New Roman" w:cs="Times New Roman"/>
          <w:color w:val="0070C0"/>
          <w:sz w:val="16"/>
          <w:szCs w:val="16"/>
        </w:rPr>
        <w:t>ене</w:t>
      </w:r>
      <w:r w:rsidRPr="00815ED5">
        <w:rPr>
          <w:rFonts w:ascii="Times New Roman" w:hAnsi="Times New Roman" w:cs="Times New Roman"/>
          <w:color w:val="0070C0"/>
          <w:sz w:val="16"/>
          <w:szCs w:val="16"/>
        </w:rPr>
        <w:t>рал Брусилов доносил</w:t>
      </w:r>
      <w:r>
        <w:rPr>
          <w:rFonts w:ascii="Times New Roman" w:hAnsi="Times New Roman" w:cs="Times New Roman"/>
          <w:color w:val="0070C0"/>
          <w:sz w:val="16"/>
          <w:szCs w:val="16"/>
        </w:rPr>
        <w:t xml:space="preserve"> правительству: </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К</w:t>
      </w:r>
      <w:r w:rsidRPr="00815ED5">
        <w:rPr>
          <w:rFonts w:ascii="Times New Roman" w:hAnsi="Times New Roman" w:cs="Times New Roman"/>
          <w:color w:val="0070C0"/>
          <w:sz w:val="16"/>
          <w:szCs w:val="16"/>
        </w:rPr>
        <w:t>р</w:t>
      </w:r>
      <w:r>
        <w:rPr>
          <w:rFonts w:ascii="Times New Roman" w:hAnsi="Times New Roman" w:cs="Times New Roman"/>
          <w:color w:val="0070C0"/>
          <w:sz w:val="16"/>
          <w:szCs w:val="16"/>
        </w:rPr>
        <w:t>изис</w:t>
      </w:r>
      <w:r w:rsidRPr="00815ED5">
        <w:rPr>
          <w:rFonts w:ascii="Times New Roman" w:hAnsi="Times New Roman" w:cs="Times New Roman"/>
          <w:color w:val="0070C0"/>
          <w:sz w:val="16"/>
          <w:szCs w:val="16"/>
        </w:rPr>
        <w:t xml:space="preserve"> наступ</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боль</w:t>
      </w:r>
      <w:r>
        <w:rPr>
          <w:rFonts w:ascii="Times New Roman" w:hAnsi="Times New Roman" w:cs="Times New Roman"/>
          <w:color w:val="0070C0"/>
          <w:sz w:val="16"/>
          <w:szCs w:val="16"/>
        </w:rPr>
        <w:t>ше</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ж</w:t>
      </w:r>
      <w:r w:rsidRPr="00815ED5">
        <w:rPr>
          <w:rFonts w:ascii="Times New Roman" w:hAnsi="Times New Roman" w:cs="Times New Roman"/>
          <w:color w:val="0070C0"/>
          <w:sz w:val="16"/>
          <w:szCs w:val="16"/>
        </w:rPr>
        <w:t>дать нель</w:t>
      </w:r>
      <w:r>
        <w:rPr>
          <w:rFonts w:ascii="Times New Roman" w:hAnsi="Times New Roman" w:cs="Times New Roman"/>
          <w:color w:val="0070C0"/>
          <w:sz w:val="16"/>
          <w:szCs w:val="16"/>
        </w:rPr>
        <w:t>зя</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Считаю</w:t>
      </w:r>
      <w:r>
        <w:rPr>
          <w:rFonts w:ascii="Times New Roman" w:hAnsi="Times New Roman" w:cs="Times New Roman"/>
          <w:color w:val="0070C0"/>
          <w:sz w:val="16"/>
          <w:szCs w:val="16"/>
        </w:rPr>
        <w:t>, что</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если не </w:t>
      </w:r>
      <w:r w:rsidRPr="00815ED5">
        <w:rPr>
          <w:rFonts w:ascii="Times New Roman" w:hAnsi="Times New Roman" w:cs="Times New Roman"/>
          <w:color w:val="0070C0"/>
          <w:sz w:val="16"/>
          <w:szCs w:val="16"/>
        </w:rPr>
        <w:t>будут и</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м</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дле</w:t>
      </w:r>
      <w:r>
        <w:rPr>
          <w:rFonts w:ascii="Times New Roman" w:hAnsi="Times New Roman" w:cs="Times New Roman"/>
          <w:color w:val="0070C0"/>
          <w:sz w:val="16"/>
          <w:szCs w:val="16"/>
        </w:rPr>
        <w:t>н</w:t>
      </w:r>
      <w:r w:rsidRPr="00815ED5">
        <w:rPr>
          <w:rFonts w:ascii="Times New Roman" w:hAnsi="Times New Roman" w:cs="Times New Roman"/>
          <w:color w:val="0070C0"/>
          <w:sz w:val="16"/>
          <w:szCs w:val="16"/>
        </w:rPr>
        <w:t xml:space="preserve">но приняты </w:t>
      </w:r>
      <w:r>
        <w:rPr>
          <w:rFonts w:ascii="Times New Roman" w:hAnsi="Times New Roman" w:cs="Times New Roman"/>
          <w:color w:val="0070C0"/>
          <w:sz w:val="16"/>
          <w:szCs w:val="16"/>
        </w:rPr>
        <w:t>э</w:t>
      </w:r>
      <w:r w:rsidRPr="00815ED5">
        <w:rPr>
          <w:rFonts w:ascii="Times New Roman" w:hAnsi="Times New Roman" w:cs="Times New Roman"/>
          <w:color w:val="0070C0"/>
          <w:sz w:val="16"/>
          <w:szCs w:val="16"/>
        </w:rPr>
        <w:t>кстреи</w:t>
      </w:r>
      <w:r>
        <w:rPr>
          <w:rFonts w:ascii="Times New Roman" w:hAnsi="Times New Roman" w:cs="Times New Roman"/>
          <w:color w:val="0070C0"/>
          <w:sz w:val="16"/>
          <w:szCs w:val="16"/>
        </w:rPr>
        <w:t>ные</w:t>
      </w:r>
      <w:r w:rsidRPr="00815ED5">
        <w:rPr>
          <w:rFonts w:ascii="Times New Roman" w:hAnsi="Times New Roman" w:cs="Times New Roman"/>
          <w:color w:val="0070C0"/>
          <w:sz w:val="16"/>
          <w:szCs w:val="16"/>
        </w:rPr>
        <w:t xml:space="preserve"> мер</w:t>
      </w:r>
      <w:r>
        <w:rPr>
          <w:rFonts w:ascii="Times New Roman" w:hAnsi="Times New Roman" w:cs="Times New Roman"/>
          <w:color w:val="0070C0"/>
          <w:sz w:val="16"/>
          <w:szCs w:val="16"/>
        </w:rPr>
        <w:t xml:space="preserve">ы, </w:t>
      </w:r>
      <w:r w:rsidRPr="00815ED5">
        <w:rPr>
          <w:rFonts w:ascii="Times New Roman" w:hAnsi="Times New Roman" w:cs="Times New Roman"/>
          <w:color w:val="0070C0"/>
          <w:sz w:val="16"/>
          <w:szCs w:val="16"/>
        </w:rPr>
        <w:t>то через два ме</w:t>
      </w:r>
      <w:r>
        <w:rPr>
          <w:rFonts w:ascii="Times New Roman" w:hAnsi="Times New Roman" w:cs="Times New Roman"/>
          <w:color w:val="0070C0"/>
          <w:sz w:val="16"/>
          <w:szCs w:val="16"/>
        </w:rPr>
        <w:t>сяц</w:t>
      </w:r>
      <w:r w:rsidRPr="00815ED5">
        <w:rPr>
          <w:rFonts w:ascii="Times New Roman" w:hAnsi="Times New Roman" w:cs="Times New Roman"/>
          <w:color w:val="0070C0"/>
          <w:sz w:val="16"/>
          <w:szCs w:val="16"/>
        </w:rPr>
        <w:t>а авиация будет сведена к нулю</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 б</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 xml:space="preserve">з </w:t>
      </w:r>
      <w:r>
        <w:rPr>
          <w:rFonts w:ascii="Times New Roman" w:hAnsi="Times New Roman" w:cs="Times New Roman"/>
          <w:color w:val="0070C0"/>
          <w:sz w:val="16"/>
          <w:szCs w:val="16"/>
        </w:rPr>
        <w:t>ее</w:t>
      </w:r>
      <w:r w:rsidRPr="00815ED5">
        <w:rPr>
          <w:rFonts w:ascii="Times New Roman" w:hAnsi="Times New Roman" w:cs="Times New Roman"/>
          <w:color w:val="0070C0"/>
          <w:sz w:val="16"/>
          <w:szCs w:val="16"/>
        </w:rPr>
        <w:t xml:space="preserve"> полно</w:t>
      </w:r>
      <w:r>
        <w:rPr>
          <w:rFonts w:ascii="Times New Roman" w:hAnsi="Times New Roman" w:cs="Times New Roman"/>
          <w:color w:val="0070C0"/>
          <w:sz w:val="16"/>
          <w:szCs w:val="16"/>
        </w:rPr>
        <w:t xml:space="preserve">го </w:t>
      </w:r>
      <w:r w:rsidRPr="00815ED5">
        <w:rPr>
          <w:rFonts w:ascii="Times New Roman" w:hAnsi="Times New Roman" w:cs="Times New Roman"/>
          <w:color w:val="0070C0"/>
          <w:sz w:val="16"/>
          <w:szCs w:val="16"/>
        </w:rPr>
        <w:t>содействия на успех операции в современной войне расчитывать нель</w:t>
      </w:r>
      <w:r>
        <w:rPr>
          <w:rFonts w:ascii="Times New Roman" w:hAnsi="Times New Roman" w:cs="Times New Roman"/>
          <w:color w:val="0070C0"/>
          <w:sz w:val="16"/>
          <w:szCs w:val="16"/>
        </w:rPr>
        <w:t>зя».</w:t>
      </w:r>
    </w:p>
    <w:p w14:paraId="1BA513D8" w14:textId="77777777" w:rsidR="00783BE2" w:rsidRDefault="00783BE2" w:rsidP="0083075A">
      <w:pPr>
        <w:spacing w:after="0" w:line="240" w:lineRule="auto"/>
        <w:jc w:val="both"/>
        <w:rPr>
          <w:rFonts w:ascii="Times New Roman" w:hAnsi="Times New Roman" w:cs="Times New Roman"/>
          <w:color w:val="0070C0"/>
          <w:sz w:val="16"/>
          <w:szCs w:val="16"/>
        </w:rPr>
      </w:pPr>
      <w:bookmarkStart w:id="224" w:name="bookmark18"/>
      <w:r>
        <w:rPr>
          <w:rFonts w:ascii="Times New Roman" w:hAnsi="Times New Roman" w:cs="Times New Roman"/>
          <w:color w:val="0070C0"/>
          <w:sz w:val="16"/>
          <w:szCs w:val="16"/>
        </w:rPr>
        <w:t>(ВВФ, 1933, № 2, стр. 7/ (23320).</w:t>
      </w:r>
    </w:p>
    <w:p w14:paraId="26F718CA" w14:textId="77777777" w:rsidR="00783BE2" w:rsidRDefault="00783BE2" w:rsidP="0083075A">
      <w:pPr>
        <w:spacing w:after="0" w:line="240" w:lineRule="auto"/>
        <w:jc w:val="both"/>
        <w:rPr>
          <w:rFonts w:ascii="Times New Roman" w:hAnsi="Times New Roman" w:cs="Times New Roman"/>
          <w:color w:val="0070C0"/>
          <w:sz w:val="16"/>
          <w:szCs w:val="16"/>
        </w:rPr>
      </w:pPr>
    </w:p>
    <w:bookmarkEnd w:id="224"/>
    <w:p w14:paraId="5936D1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июля (3 августа) 1917 на ВФ русская армия вновь захватила Черновицы (3907,91).</w:t>
      </w:r>
    </w:p>
    <w:p w14:paraId="271D58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CA01B1" w14:textId="77777777" w:rsidR="00420384" w:rsidRPr="002F2FDF" w:rsidRDefault="004203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июля (3 августа) в 1917 году на Восточном фронте русские войска вновь захватывают Черновицы (современный украинский г. Черновцы) (14972).</w:t>
      </w:r>
    </w:p>
    <w:p w14:paraId="7FAF9CC4" w14:textId="77777777" w:rsidR="00420384" w:rsidRPr="002F2FDF" w:rsidRDefault="00420384" w:rsidP="0083075A">
      <w:pPr>
        <w:spacing w:after="0" w:line="240" w:lineRule="auto"/>
        <w:jc w:val="both"/>
        <w:rPr>
          <w:rFonts w:ascii="Times New Roman" w:hAnsi="Times New Roman" w:cs="Times New Roman"/>
          <w:color w:val="000000" w:themeColor="text1"/>
          <w:kern w:val="2"/>
          <w:sz w:val="16"/>
          <w:szCs w:val="16"/>
        </w:rPr>
      </w:pPr>
    </w:p>
    <w:p w14:paraId="3714BB8B" w14:textId="64521CD9" w:rsidR="003F6F42" w:rsidRPr="00FB4F67" w:rsidRDefault="003F6F4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К исходу </w:t>
      </w:r>
      <w:r>
        <w:rPr>
          <w:rFonts w:ascii="Times New Roman" w:hAnsi="Times New Roman" w:cs="Times New Roman"/>
          <w:color w:val="0070C0"/>
          <w:sz w:val="16"/>
          <w:szCs w:val="16"/>
        </w:rPr>
        <w:t xml:space="preserve">21 июля (3 августа) </w:t>
      </w:r>
      <w:r w:rsidRPr="00FB4F67">
        <w:rPr>
          <w:rFonts w:ascii="Times New Roman" w:hAnsi="Times New Roman" w:cs="Times New Roman"/>
          <w:color w:val="0070C0"/>
          <w:sz w:val="16"/>
          <w:szCs w:val="16"/>
        </w:rPr>
        <w:t xml:space="preserve">1917 г. отход армий Юго-Западного фронта завершился на рубеже восточнее Золочев, Збараж, р. Збруч. Ранее, 25 июля, от имени Временного правительства военный и морской министр А.Ф. Керенский отдал приказ в целях сохранения боеспособности [действующей] армии для обеспечения </w:t>
      </w:r>
      <w:r w:rsidRPr="00FB4F67">
        <w:rPr>
          <w:rFonts w:ascii="Times New Roman" w:hAnsi="Times New Roman" w:cs="Times New Roman"/>
          <w:color w:val="0070C0"/>
          <w:sz w:val="16"/>
          <w:szCs w:val="16"/>
        </w:rPr>
        <w:lastRenderedPageBreak/>
        <w:t>возможности нанесения удара в ближайшее время приостановить временно наступление на всех фронтах и использовать все средства «для спаяния армий железной дисциплиной». Воспользовавшись создавшейся обстановкой, утром того же дня австро-германские войска начали наступление в Фокшанском и Окненском районах, в зоне ответственности 4-й русской и 2-й румынской армий Румынского фронта. О возможных планах противника наши летчики заблаговременно докладывали командованию, обнаружив большую концентрацию вражеских батарей вдоль железной дороги Фокшаны - Аджуд и на оживление его тыла. Однако достигнуть решительного успеха противнику не удалось. Встретив упорное сопротивление со стороны русских и румынских корпусов, к 30 июля он был вынуждены перейти к обороне на всей линии фронта (23405).</w:t>
      </w:r>
    </w:p>
    <w:p w14:paraId="316B9ACA" w14:textId="77777777" w:rsidR="003F6F42" w:rsidRPr="00FB4F67" w:rsidRDefault="003F6F42" w:rsidP="0083075A">
      <w:pPr>
        <w:spacing w:after="0" w:line="240" w:lineRule="auto"/>
        <w:jc w:val="both"/>
        <w:rPr>
          <w:rFonts w:ascii="Times New Roman" w:hAnsi="Times New Roman" w:cs="Times New Roman"/>
          <w:color w:val="0070C0"/>
          <w:sz w:val="16"/>
          <w:szCs w:val="16"/>
        </w:rPr>
      </w:pPr>
    </w:p>
    <w:p w14:paraId="341AC42F" w14:textId="09B1E8EE" w:rsidR="003F6F42" w:rsidRPr="00FB4F67" w:rsidRDefault="003F6F4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21 июля (3 августа) </w:t>
      </w:r>
      <w:r w:rsidRPr="00FB4F67">
        <w:rPr>
          <w:rFonts w:ascii="Times New Roman" w:hAnsi="Times New Roman" w:cs="Times New Roman"/>
          <w:color w:val="0070C0"/>
          <w:sz w:val="16"/>
          <w:szCs w:val="16"/>
        </w:rPr>
        <w:t>1917 г. отличились летчики поручик Н.П. Киселевич (Кисилевич) и подпоручик французской службы Фей, сбившие два самолета «Шкода» из состава 37-й и 22-й австрийских авиационных рот (23405).</w:t>
      </w:r>
    </w:p>
    <w:p w14:paraId="01E51984" w14:textId="77777777" w:rsidR="003F6F42" w:rsidRPr="00FB4F67" w:rsidRDefault="003F6F42" w:rsidP="0083075A">
      <w:pPr>
        <w:spacing w:after="0" w:line="240" w:lineRule="auto"/>
        <w:jc w:val="both"/>
        <w:rPr>
          <w:rFonts w:ascii="Times New Roman" w:hAnsi="Times New Roman" w:cs="Times New Roman"/>
          <w:color w:val="0070C0"/>
          <w:sz w:val="16"/>
          <w:szCs w:val="16"/>
        </w:rPr>
      </w:pPr>
    </w:p>
    <w:p w14:paraId="4D1099A5" w14:textId="3964B8E2" w:rsidR="003F6F42" w:rsidRPr="00FB4F67" w:rsidRDefault="003F6F4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21 июля (3 августа) </w:t>
      </w:r>
      <w:r w:rsidRPr="00FB4F67">
        <w:rPr>
          <w:rFonts w:ascii="Times New Roman" w:hAnsi="Times New Roman" w:cs="Times New Roman"/>
          <w:color w:val="0070C0"/>
          <w:sz w:val="16"/>
          <w:szCs w:val="16"/>
        </w:rPr>
        <w:t xml:space="preserve">1917 г. в районе Тарнополя и Южной Козювки наш разведывательный самолет «вступил в бой с атаковавшим его аппаратом противника. Ожесточенная воздушная борьба закончилась тем, что наш аэроплан, пробитый в двух местах, благополучно спустился к своей базе. Наблюдатель поручик Педоховский ранен в </w:t>
      </w:r>
      <w:bookmarkStart w:id="225" w:name="bookmark865"/>
      <w:r w:rsidRPr="00FB4F67">
        <w:rPr>
          <w:rFonts w:ascii="Times New Roman" w:hAnsi="Times New Roman" w:cs="Times New Roman"/>
          <w:color w:val="0070C0"/>
          <w:sz w:val="16"/>
          <w:szCs w:val="16"/>
        </w:rPr>
        <w:t>руку разрывной пулей, тем не менее задание было нашим летчиком исполнено. Наш сопровождающий аппарат бросился на самолет противника и заставил его снизиться в своем расположении».</w:t>
      </w:r>
      <w:bookmarkEnd w:id="225"/>
    </w:p>
    <w:p w14:paraId="10E32DBB" w14:textId="77777777" w:rsidR="003F6F42" w:rsidRPr="00FB4F67" w:rsidRDefault="003F6F42" w:rsidP="0083075A">
      <w:pPr>
        <w:spacing w:after="0" w:line="240" w:lineRule="auto"/>
        <w:jc w:val="both"/>
        <w:rPr>
          <w:rFonts w:ascii="Times New Roman" w:hAnsi="Times New Roman" w:cs="Times New Roman"/>
          <w:color w:val="0070C0"/>
          <w:sz w:val="16"/>
          <w:szCs w:val="16"/>
        </w:rPr>
      </w:pPr>
      <w:bookmarkStart w:id="226" w:name="bookmark866"/>
      <w:r w:rsidRPr="00FB4F67">
        <w:rPr>
          <w:rFonts w:ascii="Times New Roman" w:hAnsi="Times New Roman" w:cs="Times New Roman"/>
          <w:color w:val="0070C0"/>
          <w:sz w:val="16"/>
          <w:szCs w:val="16"/>
        </w:rPr>
        <w:t>В тот же день в районе к западу Волочиска (Волынская губ.) германский аэроплан-разведчик попал в зону зенитного огня. Стремясь выйти из-под обстрела, он «круто повернул назад и потерял пулемет с двумя лентами патронов. Пулемет упал в районе наших позиций и почти не испортился».</w:t>
      </w:r>
    </w:p>
    <w:p w14:paraId="765E20CB" w14:textId="77777777" w:rsidR="003F6F42" w:rsidRPr="00FB4F67" w:rsidRDefault="003F6F42" w:rsidP="0083075A">
      <w:pPr>
        <w:spacing w:after="0" w:line="240" w:lineRule="auto"/>
        <w:jc w:val="both"/>
        <w:rPr>
          <w:rFonts w:ascii="Times New Roman" w:hAnsi="Times New Roman" w:cs="Times New Roman"/>
          <w:color w:val="0070C0"/>
          <w:sz w:val="16"/>
          <w:szCs w:val="16"/>
        </w:rPr>
      </w:pPr>
      <w:bookmarkStart w:id="227" w:name="bookmark867"/>
      <w:r w:rsidRPr="00FB4F67">
        <w:rPr>
          <w:rFonts w:ascii="Times New Roman" w:hAnsi="Times New Roman" w:cs="Times New Roman"/>
          <w:color w:val="0070C0"/>
          <w:sz w:val="16"/>
          <w:szCs w:val="16"/>
        </w:rPr>
        <w:t>Ночью над Рижским районом с разведывательными целями летал цеппелин. При попытке его проникнуть к центру Риги по нему был открыт огонь зенитных батарей. Неприятельские аэронавты не стали рисковать и взяли курс по направлению к Митаве</w:t>
      </w:r>
      <w:bookmarkEnd w:id="227"/>
      <w:r w:rsidRPr="00FB4F67">
        <w:rPr>
          <w:rFonts w:ascii="Times New Roman" w:hAnsi="Times New Roman" w:cs="Times New Roman"/>
          <w:color w:val="0070C0"/>
          <w:sz w:val="16"/>
          <w:szCs w:val="16"/>
        </w:rPr>
        <w:t xml:space="preserve"> (23405).</w:t>
      </w:r>
      <w:bookmarkEnd w:id="226"/>
    </w:p>
    <w:p w14:paraId="141CFEFD" w14:textId="77777777" w:rsidR="003F6F42" w:rsidRPr="00FB4F67" w:rsidRDefault="003F6F42" w:rsidP="0083075A">
      <w:pPr>
        <w:spacing w:after="0" w:line="240" w:lineRule="auto"/>
        <w:jc w:val="both"/>
        <w:rPr>
          <w:rFonts w:ascii="Times New Roman" w:hAnsi="Times New Roman" w:cs="Times New Roman"/>
          <w:color w:val="0070C0"/>
          <w:sz w:val="16"/>
          <w:szCs w:val="16"/>
        </w:rPr>
      </w:pPr>
    </w:p>
    <w:p w14:paraId="376EF179" w14:textId="1BECDCFF" w:rsidR="003F6F42" w:rsidRPr="00FB4F67" w:rsidRDefault="003F6F4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21 июля (3 августа) </w:t>
      </w:r>
      <w:r w:rsidRPr="00FB4F67">
        <w:rPr>
          <w:rFonts w:ascii="Times New Roman" w:hAnsi="Times New Roman" w:cs="Times New Roman"/>
          <w:color w:val="0070C0"/>
          <w:sz w:val="16"/>
          <w:szCs w:val="16"/>
        </w:rPr>
        <w:t>1917 г. бомбардировке с воздуха подверглись г. Ровно и Луцк. На последний немецкие и австрийские летчики сбросили «девять снарядов значительной разрывной силы» (без человеческих жертв). Столкнувшись с плотным зенитным огнем, неприятельские самолеты повернули назад.</w:t>
      </w:r>
    </w:p>
    <w:p w14:paraId="36328653" w14:textId="77777777" w:rsidR="003F6F42" w:rsidRPr="00FB4F67" w:rsidRDefault="003F6F42" w:rsidP="0083075A">
      <w:pPr>
        <w:spacing w:after="0" w:line="240" w:lineRule="auto"/>
        <w:jc w:val="both"/>
        <w:rPr>
          <w:rFonts w:ascii="Times New Roman" w:hAnsi="Times New Roman" w:cs="Times New Roman"/>
          <w:color w:val="0070C0"/>
          <w:sz w:val="16"/>
          <w:szCs w:val="16"/>
        </w:rPr>
      </w:pPr>
      <w:bookmarkStart w:id="228" w:name="bookmark884"/>
      <w:bookmarkStart w:id="229" w:name="bookmark885"/>
      <w:r w:rsidRPr="00FB4F67">
        <w:rPr>
          <w:rFonts w:ascii="Times New Roman" w:hAnsi="Times New Roman" w:cs="Times New Roman"/>
          <w:color w:val="0070C0"/>
          <w:sz w:val="16"/>
          <w:szCs w:val="16"/>
        </w:rPr>
        <w:t>В полосе Западного фронта германская авиация продолжала бомбить ст. Замирье. В результате двухдневных налетов имелись человеческие жертвы (убито - 1, ранено - 14 человек). Не прекращались налеты немецкой морской авиации и в районе Рижского залива, где противник вел активную воздушную разведку.</w:t>
      </w:r>
      <w:bookmarkEnd w:id="228"/>
      <w:bookmarkEnd w:id="229"/>
    </w:p>
    <w:p w14:paraId="4B57F00C" w14:textId="77777777" w:rsidR="003F6F42" w:rsidRPr="00FB4F67" w:rsidRDefault="003F6F42" w:rsidP="0083075A">
      <w:pPr>
        <w:spacing w:after="0" w:line="240" w:lineRule="auto"/>
        <w:jc w:val="both"/>
        <w:rPr>
          <w:rFonts w:ascii="Times New Roman" w:hAnsi="Times New Roman" w:cs="Times New Roman"/>
          <w:color w:val="0070C0"/>
          <w:sz w:val="16"/>
          <w:szCs w:val="16"/>
        </w:rPr>
      </w:pPr>
      <w:bookmarkStart w:id="230" w:name="bookmark886"/>
      <w:r w:rsidRPr="00FB4F67">
        <w:rPr>
          <w:rFonts w:ascii="Times New Roman" w:hAnsi="Times New Roman" w:cs="Times New Roman"/>
          <w:color w:val="0070C0"/>
          <w:sz w:val="16"/>
          <w:szCs w:val="16"/>
        </w:rPr>
        <w:t xml:space="preserve">По данным нашей разведки, для осуществления полетов в глубокий тыл русской армии противник доставил в Прибалтику три цеппелина, в свое время отправленные на другие фронты </w:t>
      </w:r>
      <w:bookmarkEnd w:id="230"/>
      <w:r w:rsidRPr="00FB4F67">
        <w:rPr>
          <w:rFonts w:ascii="Times New Roman" w:hAnsi="Times New Roman" w:cs="Times New Roman"/>
          <w:color w:val="0070C0"/>
          <w:sz w:val="16"/>
          <w:szCs w:val="16"/>
        </w:rPr>
        <w:t>(23405).</w:t>
      </w:r>
    </w:p>
    <w:p w14:paraId="07A0EAA8" w14:textId="77777777" w:rsidR="003F6F42" w:rsidRPr="00FB4F67" w:rsidRDefault="003F6F42" w:rsidP="0083075A">
      <w:pPr>
        <w:spacing w:after="0" w:line="240" w:lineRule="auto"/>
        <w:jc w:val="both"/>
        <w:rPr>
          <w:rFonts w:ascii="Times New Roman" w:hAnsi="Times New Roman" w:cs="Times New Roman"/>
          <w:color w:val="0070C0"/>
          <w:sz w:val="16"/>
          <w:szCs w:val="16"/>
        </w:rPr>
      </w:pPr>
    </w:p>
    <w:p w14:paraId="0F1E179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07CF1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4A7574" w14:textId="77777777" w:rsidR="00BB309C" w:rsidRPr="002F2FDF" w:rsidRDefault="00BB309C" w:rsidP="0083075A">
      <w:pPr>
        <w:pStyle w:val="ae"/>
        <w:spacing w:before="0" w:after="0"/>
        <w:jc w:val="both"/>
        <w:rPr>
          <w:color w:val="000000" w:themeColor="text1"/>
          <w:kern w:val="2"/>
          <w:sz w:val="16"/>
          <w:szCs w:val="16"/>
        </w:rPr>
      </w:pPr>
      <w:r w:rsidRPr="002F2FDF">
        <w:rPr>
          <w:color w:val="000000" w:themeColor="text1"/>
          <w:kern w:val="2"/>
          <w:sz w:val="16"/>
          <w:szCs w:val="16"/>
        </w:rPr>
        <w:t>21 июля (3 августа) 1917 Временное правительство объявило о роспуске сейма (парламента) автономной Финляндии, его здание было занято русскими войсками. Это стало ответом на принятие сеймом в дни июльского мятежа в Петрограде акта о независимости Великого княжества от России во внутренних делах, и об ограничении компетенции Временного правительства вопросами военной и внешней политики. После подавления мятежа финский закон о независимости был отклонен Временным правительством (17045).</w:t>
      </w:r>
    </w:p>
    <w:p w14:paraId="57889976" w14:textId="77777777" w:rsidR="00BB309C" w:rsidRPr="002F2FDF" w:rsidRDefault="00BB309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7438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21-26 июля (</w:t>
      </w:r>
      <w:r w:rsidR="00880559" w:rsidRPr="002F2FDF">
        <w:rPr>
          <w:rFonts w:ascii="Times New Roman" w:hAnsi="Times New Roman" w:cs="Times New Roman"/>
          <w:color w:val="000000" w:themeColor="text1"/>
          <w:kern w:val="2"/>
          <w:sz w:val="16"/>
          <w:szCs w:val="16"/>
        </w:rPr>
        <w:t>3</w:t>
      </w:r>
      <w:r w:rsidRPr="002F2FDF">
        <w:rPr>
          <w:rFonts w:ascii="Times New Roman" w:hAnsi="Times New Roman" w:cs="Times New Roman"/>
          <w:color w:val="000000" w:themeColor="text1"/>
          <w:kern w:val="2"/>
          <w:sz w:val="16"/>
          <w:szCs w:val="16"/>
        </w:rPr>
        <w:t>-9 августа) 1917 в Оренбурге состоялся второй Казахский Конгресс (2955).</w:t>
      </w:r>
    </w:p>
    <w:p w14:paraId="3B9B2C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11846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A10CF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FD5B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июля (3 августа) 1917 были волнения матросов на германской военной базе в Вильгельмсхаффене (3907,91).</w:t>
      </w:r>
    </w:p>
    <w:p w14:paraId="1FB4A3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F2F5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июля (3 августа) 1917 началось восстание на кораблях германского флота (2443,388).</w:t>
      </w:r>
    </w:p>
    <w:p w14:paraId="56C1C9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6E73E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F6251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E9AF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20-х числах июля (в начале августа) 1917 русские войска закрепились на новых рубежах после немецкого контрудара, начавшегося 8 (21) июля (2569,36).</w:t>
      </w:r>
    </w:p>
    <w:p w14:paraId="34FA81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A088B6" w14:textId="550C1B36" w:rsidR="00CB4077" w:rsidRPr="00CB4077" w:rsidRDefault="00CB4077"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CB4077">
        <w:rPr>
          <w:rFonts w:ascii="Times New Roman" w:hAnsi="Times New Roman" w:cs="Times New Roman"/>
          <w:i/>
          <w:iCs/>
          <w:color w:val="000000" w:themeColor="text1"/>
          <w:kern w:val="2"/>
          <w:sz w:val="16"/>
          <w:szCs w:val="16"/>
        </w:rPr>
        <w:t>Другие оборонные отрасли:</w:t>
      </w:r>
    </w:p>
    <w:p w14:paraId="4C7CBA76" w14:textId="77777777" w:rsidR="00CB4077" w:rsidRPr="00CB4077" w:rsidRDefault="00CB4077"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9531DC0" w14:textId="78FCB264" w:rsidR="00674AAD" w:rsidRPr="002F2FDF" w:rsidRDefault="00674AA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22 июля </w:t>
      </w:r>
      <w:r w:rsidR="00783BE2">
        <w:rPr>
          <w:rFonts w:ascii="Times New Roman" w:hAnsi="Times New Roman" w:cs="Times New Roman"/>
          <w:color w:val="000000" w:themeColor="text1"/>
          <w:kern w:val="2"/>
          <w:sz w:val="16"/>
          <w:szCs w:val="16"/>
        </w:rPr>
        <w:t xml:space="preserve">(4 августа) </w:t>
      </w:r>
      <w:r w:rsidRPr="002F2FDF">
        <w:rPr>
          <w:rFonts w:ascii="Times New Roman" w:hAnsi="Times New Roman" w:cs="Times New Roman"/>
          <w:color w:val="000000" w:themeColor="text1"/>
          <w:kern w:val="2"/>
          <w:sz w:val="16"/>
          <w:szCs w:val="16"/>
        </w:rPr>
        <w:t>1917 г. главное военно-техническое управление, по просьбе учредителей АМО отправляет на завод солдат, которые убрали с завода уволенных рабочих и заняли их места на сборке грузовиков "Фиат". В августе военным управлением принимается решение о незамедлительной переквалификации завода в большую мастерскую по ремонту автомобилей и сокращении рабочих до необходимого минимума. Как вы наверно понимаете, никто с завода уходить не собирался и закрытые цеха самовольно были открыты жаждущими продолжения работы. К осени влияние большевиков среди рабочего класса на заводе АМО стало подавляющим. Был создан заводской отряд, который обучался тактики ведения уличных боев, рытью окоп и т.д. В октябре, при помощи большевиков среди сотрудников АМО, Военно-Революционный Комитет создал автомобильный отряд, который должен был заниматься подвозом боеприпасов и эвакуацией раненых во время революции (17127).</w:t>
      </w:r>
    </w:p>
    <w:p w14:paraId="54A8F4AA" w14:textId="77777777" w:rsidR="00674AAD" w:rsidRPr="002F2FDF" w:rsidRDefault="00674AA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BEF42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8A940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10E208" w14:textId="5F66EBFF" w:rsidR="00BB309C" w:rsidRPr="002F2FDF" w:rsidRDefault="00BB309C"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22 и 23 июля </w:t>
      </w:r>
      <w:r w:rsidR="00783BE2">
        <w:rPr>
          <w:color w:val="000000" w:themeColor="text1"/>
          <w:kern w:val="2"/>
          <w:sz w:val="16"/>
          <w:szCs w:val="16"/>
        </w:rPr>
        <w:t>(</w:t>
      </w:r>
      <w:r w:rsidRPr="002F2FDF">
        <w:rPr>
          <w:color w:val="000000" w:themeColor="text1"/>
          <w:kern w:val="2"/>
          <w:sz w:val="16"/>
          <w:szCs w:val="16"/>
        </w:rPr>
        <w:t>4 и 5 августа</w:t>
      </w:r>
      <w:r w:rsidR="00783BE2">
        <w:rPr>
          <w:color w:val="000000" w:themeColor="text1"/>
          <w:kern w:val="2"/>
          <w:sz w:val="16"/>
          <w:szCs w:val="16"/>
        </w:rPr>
        <w:t>) 1917 г.</w:t>
      </w:r>
      <w:r w:rsidRPr="002F2FDF">
        <w:rPr>
          <w:color w:val="000000" w:themeColor="text1"/>
          <w:kern w:val="2"/>
          <w:sz w:val="16"/>
          <w:szCs w:val="16"/>
        </w:rPr>
        <w:t xml:space="preserve"> немецкие самолеты совершили серию налетов на Ригу и города по побережью Рижского залива (17045).</w:t>
      </w:r>
    </w:p>
    <w:p w14:paraId="62BC3042" w14:textId="77777777" w:rsidR="00BB309C" w:rsidRPr="002F2FDF" w:rsidRDefault="00BB309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944EA2" w14:textId="77777777" w:rsidR="00BB309C" w:rsidRPr="002F2FDF" w:rsidRDefault="00BB309C" w:rsidP="0083075A">
      <w:pPr>
        <w:pStyle w:val="ae"/>
        <w:spacing w:before="0" w:after="0"/>
        <w:jc w:val="both"/>
        <w:rPr>
          <w:color w:val="000000" w:themeColor="text1"/>
          <w:kern w:val="2"/>
          <w:sz w:val="16"/>
          <w:szCs w:val="16"/>
        </w:rPr>
      </w:pPr>
      <w:r w:rsidRPr="002F2FDF">
        <w:rPr>
          <w:color w:val="000000" w:themeColor="text1"/>
          <w:kern w:val="2"/>
          <w:sz w:val="16"/>
          <w:szCs w:val="16"/>
        </w:rPr>
        <w:t>К 22 июля (4 августа) 1917 русские заняли оборону на рубеже реки Збруч (на границе Тернопольской и Хмельницкой областей Украины) и в районе Кимполунга (ныне Кымпулунг-Молдовенск на северо-западе Румынии). Атаки немцев и австрийцев под Кимполунгом были особенно активными — противник рассчитывал прорвать фронт именно в этом районе, чтобы вклиниться между деморализованным собственно «русским» Юго-Западным фронтом и относительно боеспособным Румынским.</w:t>
      </w:r>
    </w:p>
    <w:p w14:paraId="1C9983F5" w14:textId="77777777" w:rsidR="00BB309C" w:rsidRPr="002F2FDF" w:rsidRDefault="00BB309C" w:rsidP="0083075A">
      <w:pPr>
        <w:pStyle w:val="ae"/>
        <w:spacing w:before="0" w:after="0"/>
        <w:jc w:val="both"/>
        <w:rPr>
          <w:color w:val="000000" w:themeColor="text1"/>
          <w:kern w:val="2"/>
          <w:sz w:val="16"/>
          <w:szCs w:val="16"/>
        </w:rPr>
      </w:pPr>
      <w:r w:rsidRPr="002F2FDF">
        <w:rPr>
          <w:color w:val="000000" w:themeColor="text1"/>
          <w:kern w:val="2"/>
          <w:sz w:val="16"/>
          <w:szCs w:val="16"/>
        </w:rPr>
        <w:t>Одновременно немцы продолжали стягивать войска к Риге, готовя крупное наступление на основной центр прибалтийских губерний. 4 и 5 августа немецкие самолеты совершили серию налетов на Ригу и города по побережью Рижского залива (17045).</w:t>
      </w:r>
    </w:p>
    <w:p w14:paraId="4867FF15" w14:textId="77777777" w:rsidR="00BB309C" w:rsidRPr="002F2FDF" w:rsidRDefault="00BB309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B1A17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июля (4 августа) 1917 в Англию прибыл 3-тысячный отряд русских солдат для участия в боевых действиях на Западном фронте (4962).</w:t>
      </w:r>
    </w:p>
    <w:p w14:paraId="318D48F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345484" w14:textId="77777777" w:rsidR="00420384" w:rsidRPr="002F2FDF" w:rsidRDefault="004203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июня (4 августа) в 1917 году по распоряжению Временного правительства арестовывается русский генерал Василий Гурко, бывший начальник штаба русской армии (14973).</w:t>
      </w:r>
    </w:p>
    <w:p w14:paraId="369B154F" w14:textId="77777777" w:rsidR="00420384" w:rsidRPr="002F2FDF" w:rsidRDefault="00420384" w:rsidP="0083075A">
      <w:pPr>
        <w:spacing w:after="0" w:line="240" w:lineRule="auto"/>
        <w:jc w:val="both"/>
        <w:rPr>
          <w:rFonts w:ascii="Times New Roman" w:hAnsi="Times New Roman" w:cs="Times New Roman"/>
          <w:color w:val="000000" w:themeColor="text1"/>
          <w:kern w:val="2"/>
          <w:sz w:val="16"/>
          <w:szCs w:val="16"/>
        </w:rPr>
      </w:pPr>
    </w:p>
    <w:p w14:paraId="768D4AD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57E18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5E7EE3" w14:textId="7E3FE002" w:rsidR="00D905F0" w:rsidRPr="00FB4F67" w:rsidRDefault="00D905F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22 июля (</w:t>
      </w:r>
      <w:r w:rsidRPr="00FB4F67">
        <w:rPr>
          <w:rFonts w:ascii="Times New Roman" w:hAnsi="Times New Roman" w:cs="Times New Roman"/>
          <w:color w:val="0070C0"/>
          <w:sz w:val="16"/>
          <w:szCs w:val="16"/>
        </w:rPr>
        <w:t>4 августа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Петрограде в результате продолжающегося кризиса доверия Первое Временное правительство и ЦК основных политических партий(за исключением большевиков), согласился с тем, чтобы Керенскому было разрешено сформировать второе коалиционное Временное правительство, которое было создано 7-го числа (23525).</w:t>
      </w:r>
    </w:p>
    <w:p w14:paraId="4636B024" w14:textId="77777777" w:rsidR="00D905F0" w:rsidRPr="00FB4F67" w:rsidRDefault="00D905F0" w:rsidP="0083075A">
      <w:pPr>
        <w:spacing w:after="0" w:line="240" w:lineRule="auto"/>
        <w:jc w:val="both"/>
        <w:rPr>
          <w:rFonts w:ascii="Times New Roman" w:hAnsi="Times New Roman" w:cs="Times New Roman"/>
          <w:color w:val="0070C0"/>
          <w:sz w:val="16"/>
          <w:szCs w:val="16"/>
        </w:rPr>
      </w:pPr>
    </w:p>
    <w:p w14:paraId="7177A40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июля (4 августа) 1917 по распоряжению Временного правительства арестован русский генерал Василий Гурко, бывший начальник штаба русской армии (4962).</w:t>
      </w:r>
    </w:p>
    <w:p w14:paraId="15DCA11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1DF06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июля (4 августа) 1917 в Вологодском уезде обвенчались Сергей Есенин и Зинаида Райх (4962).</w:t>
      </w:r>
    </w:p>
    <w:p w14:paraId="339CD74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FC285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EA498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7A585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июля (4 августа) 1917 Либерия объявила войну Германии (4962).</w:t>
      </w:r>
    </w:p>
    <w:p w14:paraId="2F9CABA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72AEB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2A481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0A38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23 по 28 июля (с 5 по 10 августа) 1917 г. на Ходынском стрельбище испытывался отклонитель системы В. Кулебакина, изготовленный на московском заводе Моска для самолета “Моран”. Специальные кулачки, связанные с валом двигателя, показывались из-под капота в момент прохождения лопасти через линию полета пули, предохраняя винт от повреждений.</w:t>
      </w:r>
    </w:p>
    <w:p w14:paraId="7F1F43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Отчет гласил: “При стрельбе на месте винт и аппарат никаких повреждений от осколков и брызг пуль не имели”.</w:t>
      </w:r>
    </w:p>
    <w:p w14:paraId="6D6222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Безупречно работал отклонитель, и в ходе испытаний в полете после 220 выстрелов ни винт, ни аппарат, ни летчик не пострадали. Только 10-12 % пуль попали в кулачки отклонителя. Достоинства приспособления Кулебакина заключались в том, что оно не увеличивало лобового сопротивления аппарата. Пулемет, не связанный механически с отклонителем, работал равномерно независимо от числа оборотов мотора. Масса отклонителя с передачей и установкой была около 5 кг. Расход мощности на его вращение был ничтожен. Установка отклонителя не требовала никаких изменений и переделок в двигателе, самолете и пулемете, не влекла за собой применения специальных винтов и могла быть выполнена средствами отрядов.</w:t>
      </w:r>
    </w:p>
    <w:p w14:paraId="68D403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Старший районный приемщик писал в рапорте заведующему авиационно-воздухоплавательными приемками об отклонителе Кулебакина: “Преимущества такового слишком очевидны: 1) невозможность попадания в винт при любом изменении числа оборотов; 2) легкость установки и приспособляемость; 3) простота конструкции и доступность; 4) установка не отнимает места; 5) дешевле всех существующих; 6) полная безопасность для летчика, что повышает моральный элемент стрелка - весьма осторожный пилот при испытании охотно открывал огонь на высоте около 1000 метров; 7) независимость действия пулемета”.</w:t>
      </w:r>
    </w:p>
    <w:p w14:paraId="289E65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прапорщик Кулебакин создал гораздо более эффективное приспособление, чем француз Гарро (9768).</w:t>
      </w:r>
    </w:p>
    <w:p w14:paraId="5F95D1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81929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23-28 июля </w:t>
      </w:r>
      <w:r w:rsidR="00880559" w:rsidRPr="002F2FDF">
        <w:rPr>
          <w:rFonts w:ascii="Times New Roman" w:hAnsi="Times New Roman" w:cs="Times New Roman"/>
          <w:color w:val="000000" w:themeColor="text1"/>
          <w:kern w:val="2"/>
          <w:sz w:val="16"/>
          <w:szCs w:val="16"/>
        </w:rPr>
        <w:t xml:space="preserve">(5-10 августа) </w:t>
      </w:r>
      <w:r w:rsidRPr="002F2FDF">
        <w:rPr>
          <w:rFonts w:ascii="Times New Roman" w:hAnsi="Times New Roman" w:cs="Times New Roman"/>
          <w:color w:val="000000" w:themeColor="text1"/>
          <w:kern w:val="2"/>
          <w:sz w:val="16"/>
          <w:szCs w:val="16"/>
        </w:rPr>
        <w:t>1917 г. отклонитель Кулебакина был испытан на Ходынском стрельбище. Отчет гласил: “При стрельбе на месте винт и аппарат никаких поврежде</w:t>
      </w:r>
      <w:r w:rsidRPr="002F2FDF">
        <w:rPr>
          <w:rFonts w:ascii="Times New Roman" w:hAnsi="Times New Roman" w:cs="Times New Roman"/>
          <w:color w:val="000000" w:themeColor="text1"/>
          <w:kern w:val="2"/>
          <w:sz w:val="16"/>
          <w:szCs w:val="16"/>
        </w:rPr>
        <w:softHyphen/>
        <w:t>ний от осколков и брызг пуль не имели”. Безупречно работал отклонитель и в ходе испытаний в полете. Толь</w:t>
      </w:r>
      <w:r w:rsidRPr="002F2FDF">
        <w:rPr>
          <w:rFonts w:ascii="Times New Roman" w:hAnsi="Times New Roman" w:cs="Times New Roman"/>
          <w:color w:val="000000" w:themeColor="text1"/>
          <w:kern w:val="2"/>
          <w:sz w:val="16"/>
          <w:szCs w:val="16"/>
        </w:rPr>
        <w:softHyphen/>
        <w:t>ко 10-12% пуль попали в кулачки отклонителя. Установка отклонителя не требовала никаких изменений и переделок в двигателе, самолете и пуле</w:t>
      </w:r>
      <w:r w:rsidRPr="002F2FDF">
        <w:rPr>
          <w:rFonts w:ascii="Times New Roman" w:hAnsi="Times New Roman" w:cs="Times New Roman"/>
          <w:color w:val="000000" w:themeColor="text1"/>
          <w:kern w:val="2"/>
          <w:sz w:val="16"/>
          <w:szCs w:val="16"/>
        </w:rPr>
        <w:softHyphen/>
        <w:t>мете и могла быть выполнена средствами отрядов. Таким образом, пра</w:t>
      </w:r>
      <w:r w:rsidRPr="002F2FDF">
        <w:rPr>
          <w:rFonts w:ascii="Times New Roman" w:hAnsi="Times New Roman" w:cs="Times New Roman"/>
          <w:color w:val="000000" w:themeColor="text1"/>
          <w:kern w:val="2"/>
          <w:sz w:val="16"/>
          <w:szCs w:val="16"/>
        </w:rPr>
        <w:softHyphen/>
        <w:t>порщик Кулебакин создал гораздо более эффективное приспособление, чем было создано ранее во Фрации. Общее количество самолетов, приспособленных для стрельбы че</w:t>
      </w:r>
      <w:r w:rsidRPr="002F2FDF">
        <w:rPr>
          <w:rFonts w:ascii="Times New Roman" w:hAnsi="Times New Roman" w:cs="Times New Roman"/>
          <w:color w:val="000000" w:themeColor="text1"/>
          <w:kern w:val="2"/>
          <w:sz w:val="16"/>
          <w:szCs w:val="16"/>
        </w:rPr>
        <w:softHyphen/>
        <w:t>рез винт, оставалось в русской авиации ничтожным. Начались поиски дру</w:t>
      </w:r>
      <w:r w:rsidRPr="002F2FDF">
        <w:rPr>
          <w:rFonts w:ascii="Times New Roman" w:hAnsi="Times New Roman" w:cs="Times New Roman"/>
          <w:color w:val="000000" w:themeColor="text1"/>
          <w:kern w:val="2"/>
          <w:sz w:val="16"/>
          <w:szCs w:val="16"/>
        </w:rPr>
        <w:softHyphen/>
        <w:t>гих, более простых и дешевых способов стрельбы через винт. Пытаясь найти выход из тяжелого положения, в котором очутилась истребитель</w:t>
      </w:r>
      <w:r w:rsidRPr="002F2FDF">
        <w:rPr>
          <w:rFonts w:ascii="Times New Roman" w:hAnsi="Times New Roman" w:cs="Times New Roman"/>
          <w:color w:val="000000" w:themeColor="text1"/>
          <w:kern w:val="2"/>
          <w:sz w:val="16"/>
          <w:szCs w:val="16"/>
        </w:rPr>
        <w:softHyphen/>
        <w:t>ная авиация России, отдельные заводы сами пытались сконструировать необходимые приспособления. Инженер-механик прапорщик Кулебакин предложил довольно про</w:t>
      </w:r>
      <w:r w:rsidRPr="002F2FDF">
        <w:rPr>
          <w:rFonts w:ascii="Times New Roman" w:hAnsi="Times New Roman" w:cs="Times New Roman"/>
          <w:color w:val="000000" w:themeColor="text1"/>
          <w:kern w:val="2"/>
          <w:sz w:val="16"/>
          <w:szCs w:val="16"/>
        </w:rPr>
        <w:softHyphen/>
        <w:t>стой отклонитель для пуль. Его изготовили на Московском заводе Моска для самолета “Моран”. Специальные кулачки, связанные с валом двига</w:t>
      </w:r>
      <w:r w:rsidRPr="002F2FDF">
        <w:rPr>
          <w:rFonts w:ascii="Times New Roman" w:hAnsi="Times New Roman" w:cs="Times New Roman"/>
          <w:color w:val="000000" w:themeColor="text1"/>
          <w:kern w:val="2"/>
          <w:sz w:val="16"/>
          <w:szCs w:val="16"/>
        </w:rPr>
        <w:softHyphen/>
        <w:t>теля, показывались из-под капота в момент прохождения лопасти винта через линию полета пули, предохраняя винт от повреждений. (11425).</w:t>
      </w:r>
    </w:p>
    <w:p w14:paraId="32E1DE3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1777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23 по 28 июля </w:t>
      </w:r>
      <w:r w:rsidR="00880559" w:rsidRPr="002F2FDF">
        <w:rPr>
          <w:rFonts w:ascii="Times New Roman" w:hAnsi="Times New Roman" w:cs="Times New Roman"/>
          <w:color w:val="000000" w:themeColor="text1"/>
          <w:kern w:val="2"/>
          <w:sz w:val="16"/>
          <w:szCs w:val="16"/>
        </w:rPr>
        <w:t xml:space="preserve">(5-10 августа) </w:t>
      </w:r>
      <w:r w:rsidRPr="002F2FDF">
        <w:rPr>
          <w:rFonts w:ascii="Times New Roman" w:hAnsi="Times New Roman" w:cs="Times New Roman"/>
          <w:color w:val="000000" w:themeColor="text1"/>
          <w:kern w:val="2"/>
          <w:sz w:val="16"/>
          <w:szCs w:val="16"/>
        </w:rPr>
        <w:t>1917 года отсекатель системы Кулебакина был испытан на Ходынском стрельбище. В отчете было отмечено: «при стрельбе... винт и аппарат никаких повреждений от осколков и брызг пуль не имели. Отсекатель работал безупречно». В ходе испытаний в полете после 220 выстрелов ни винт, ни самолет, ни пилот не пострадали. Только 10-12% пуль попали в кулачки. Приспособление прапорщика Кулебакина не увеличивало лобовое сопротивление самолета. Пулемет, механически не связанный с отсекателем, работал непрерывно и равномерно независимо от оборотов мотора. Вес отсекателя вместе с передачей и узлами установки не превышал 5 кг. Расход мощности на его привод был ничтожным. Установка не требовала изменений и переделок мотора, самолета и пулемета, не влекла за собой применения специальных винтов и могла быть осуществлена силами аэродромных служб в отрядах и частях. Инженер-механик В. С. Кулебакин предложил довольно простой отсекатель для пуль при стрельбе из пулемета, установленного над мотором в горизонтальном положении. Его разработали на основной территории завода для самолета «МБ-бис». Специальные полукруглые кулачки (так называемые «Солдатики»), связанные с валом мотора, показывались из-под капота в момент прохода лопасти пропеллера через траекторию полета пули, предохраняя винт от повреждений при стрельбе (11918).</w:t>
      </w:r>
    </w:p>
    <w:p w14:paraId="055B71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304563" w14:textId="77777777" w:rsidR="00420384"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r w:rsidR="00420384" w:rsidRPr="002F2FDF">
        <w:rPr>
          <w:rFonts w:ascii="Times New Roman" w:hAnsi="Times New Roman" w:cs="Times New Roman"/>
          <w:iCs/>
          <w:color w:val="000000" w:themeColor="text1"/>
          <w:kern w:val="2"/>
          <w:sz w:val="16"/>
          <w:szCs w:val="16"/>
        </w:rPr>
        <w:t>:</w:t>
      </w:r>
    </w:p>
    <w:p w14:paraId="76E297F7" w14:textId="77777777" w:rsidR="00420384" w:rsidRPr="002F2FDF" w:rsidRDefault="0042038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ECD6FD" w14:textId="7C5A4580" w:rsidR="00420384"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июля (</w:t>
      </w:r>
      <w:r w:rsidR="00420384" w:rsidRPr="002F2FDF">
        <w:rPr>
          <w:rFonts w:ascii="Times New Roman" w:hAnsi="Times New Roman" w:cs="Times New Roman"/>
          <w:color w:val="000000" w:themeColor="text1"/>
          <w:kern w:val="2"/>
          <w:sz w:val="16"/>
          <w:szCs w:val="16"/>
        </w:rPr>
        <w:t xml:space="preserve">5 </w:t>
      </w:r>
      <w:r w:rsidR="00E52569">
        <w:rPr>
          <w:rStyle w:val="highlight"/>
          <w:rFonts w:ascii="Times New Roman" w:hAnsi="Times New Roman" w:cs="Times New Roman"/>
          <w:color w:val="000000" w:themeColor="text1"/>
          <w:kern w:val="2"/>
          <w:sz w:val="16"/>
          <w:szCs w:val="16"/>
        </w:rPr>
        <w:t xml:space="preserve"> </w:t>
      </w:r>
      <w:r w:rsidR="00420384" w:rsidRPr="002F2FDF">
        <w:rPr>
          <w:rStyle w:val="highlight"/>
          <w:rFonts w:ascii="Times New Roman" w:hAnsi="Times New Roman" w:cs="Times New Roman"/>
          <w:color w:val="000000" w:themeColor="text1"/>
          <w:kern w:val="2"/>
          <w:sz w:val="16"/>
          <w:szCs w:val="16"/>
        </w:rPr>
        <w:t>августа</w:t>
      </w:r>
      <w:r w:rsidRPr="002F2FDF">
        <w:rPr>
          <w:rStyle w:val="highlight"/>
          <w:rFonts w:ascii="Times New Roman" w:hAnsi="Times New Roman" w:cs="Times New Roman"/>
          <w:color w:val="000000" w:themeColor="text1"/>
          <w:kern w:val="2"/>
          <w:sz w:val="16"/>
          <w:szCs w:val="16"/>
        </w:rPr>
        <w:t>)</w:t>
      </w:r>
      <w:r w:rsidR="00E52569">
        <w:rPr>
          <w:rStyle w:val="highlight"/>
          <w:rFonts w:ascii="Times New Roman" w:hAnsi="Times New Roman" w:cs="Times New Roman"/>
          <w:color w:val="000000" w:themeColor="text1"/>
          <w:kern w:val="2"/>
          <w:sz w:val="16"/>
          <w:szCs w:val="16"/>
        </w:rPr>
        <w:t xml:space="preserve">  </w:t>
      </w:r>
      <w:r w:rsidR="00420384" w:rsidRPr="002F2FDF">
        <w:rPr>
          <w:rStyle w:val="highlight"/>
          <w:rFonts w:ascii="Times New Roman" w:hAnsi="Times New Roman" w:cs="Times New Roman"/>
          <w:color w:val="000000" w:themeColor="text1"/>
          <w:kern w:val="2"/>
          <w:sz w:val="16"/>
          <w:szCs w:val="16"/>
        </w:rPr>
        <w:t>1917</w:t>
      </w:r>
      <w:r w:rsidR="00E52569">
        <w:rPr>
          <w:rStyle w:val="highlight"/>
          <w:rFonts w:ascii="Times New Roman" w:hAnsi="Times New Roman" w:cs="Times New Roman"/>
          <w:color w:val="000000" w:themeColor="text1"/>
          <w:kern w:val="2"/>
          <w:sz w:val="16"/>
          <w:szCs w:val="16"/>
        </w:rPr>
        <w:t xml:space="preserve"> </w:t>
      </w:r>
      <w:r w:rsidR="00420384" w:rsidRPr="002F2FDF">
        <w:rPr>
          <w:rFonts w:ascii="Times New Roman" w:hAnsi="Times New Roman" w:cs="Times New Roman"/>
          <w:color w:val="000000" w:themeColor="text1"/>
          <w:kern w:val="2"/>
          <w:sz w:val="16"/>
          <w:szCs w:val="16"/>
        </w:rPr>
        <w:t xml:space="preserve"> г. Временное правительство принимает постановление «О расширении предоставленных лицам женского пола </w:t>
      </w:r>
      <w:r w:rsidR="00E52569">
        <w:rPr>
          <w:rStyle w:val="highlight"/>
          <w:rFonts w:ascii="Times New Roman" w:hAnsi="Times New Roman" w:cs="Times New Roman"/>
          <w:color w:val="000000" w:themeColor="text1"/>
          <w:kern w:val="2"/>
          <w:sz w:val="16"/>
          <w:szCs w:val="16"/>
        </w:rPr>
        <w:t xml:space="preserve"> </w:t>
      </w:r>
      <w:r w:rsidR="00420384" w:rsidRPr="002F2FDF">
        <w:rPr>
          <w:rStyle w:val="highlight"/>
          <w:rFonts w:ascii="Times New Roman" w:hAnsi="Times New Roman" w:cs="Times New Roman"/>
          <w:color w:val="000000" w:themeColor="text1"/>
          <w:kern w:val="2"/>
          <w:sz w:val="16"/>
          <w:szCs w:val="16"/>
        </w:rPr>
        <w:t>прав</w:t>
      </w:r>
      <w:r w:rsidR="00E52569">
        <w:rPr>
          <w:rStyle w:val="highlight"/>
          <w:rFonts w:ascii="Times New Roman" w:hAnsi="Times New Roman" w:cs="Times New Roman"/>
          <w:color w:val="000000" w:themeColor="text1"/>
          <w:kern w:val="2"/>
          <w:sz w:val="16"/>
          <w:szCs w:val="16"/>
        </w:rPr>
        <w:t xml:space="preserve"> </w:t>
      </w:r>
      <w:r w:rsidR="00420384" w:rsidRPr="002F2FDF">
        <w:rPr>
          <w:rFonts w:ascii="Times New Roman" w:hAnsi="Times New Roman" w:cs="Times New Roman"/>
          <w:color w:val="000000" w:themeColor="text1"/>
          <w:kern w:val="2"/>
          <w:sz w:val="16"/>
          <w:szCs w:val="16"/>
        </w:rPr>
        <w:t xml:space="preserve"> на поступление на государственную службу». В нём устанавливались равные права и равные обязанности </w:t>
      </w:r>
      <w:bookmarkStart w:id="231" w:name="YANDEX_50"/>
      <w:bookmarkEnd w:id="231"/>
      <w:r w:rsidR="00E52569">
        <w:rPr>
          <w:rStyle w:val="highlight"/>
          <w:rFonts w:ascii="Times New Roman" w:hAnsi="Times New Roman" w:cs="Times New Roman"/>
          <w:color w:val="000000" w:themeColor="text1"/>
          <w:kern w:val="2"/>
          <w:sz w:val="16"/>
          <w:szCs w:val="16"/>
        </w:rPr>
        <w:t xml:space="preserve"> </w:t>
      </w:r>
      <w:r w:rsidR="00420384" w:rsidRPr="002F2FDF">
        <w:rPr>
          <w:rStyle w:val="highlight"/>
          <w:rFonts w:ascii="Times New Roman" w:hAnsi="Times New Roman" w:cs="Times New Roman"/>
          <w:color w:val="000000" w:themeColor="text1"/>
          <w:kern w:val="2"/>
          <w:sz w:val="16"/>
          <w:szCs w:val="16"/>
        </w:rPr>
        <w:t>женщин</w:t>
      </w:r>
      <w:r w:rsidR="00E52569">
        <w:rPr>
          <w:rStyle w:val="highlight"/>
          <w:rFonts w:ascii="Times New Roman" w:hAnsi="Times New Roman" w:cs="Times New Roman"/>
          <w:color w:val="000000" w:themeColor="text1"/>
          <w:kern w:val="2"/>
          <w:sz w:val="16"/>
          <w:szCs w:val="16"/>
        </w:rPr>
        <w:t xml:space="preserve"> </w:t>
      </w:r>
      <w:bookmarkStart w:id="232" w:name="YANDEX_LAST"/>
      <w:bookmarkEnd w:id="232"/>
      <w:r w:rsidR="00420384" w:rsidRPr="002F2FDF">
        <w:rPr>
          <w:rFonts w:ascii="Times New Roman" w:hAnsi="Times New Roman" w:cs="Times New Roman"/>
          <w:color w:val="000000" w:themeColor="text1"/>
          <w:kern w:val="2"/>
          <w:sz w:val="16"/>
          <w:szCs w:val="16"/>
        </w:rPr>
        <w:t xml:space="preserve"> и мужчин при поступлении на государственную службу во все гражданские ведомства. Реализовать намеченные изменения Временному правительству не удалось, в силу непродолжительности его существования</w:t>
      </w:r>
      <w:r w:rsidRPr="002F2FDF">
        <w:rPr>
          <w:rFonts w:ascii="Times New Roman" w:hAnsi="Times New Roman" w:cs="Times New Roman"/>
          <w:color w:val="000000" w:themeColor="text1"/>
          <w:kern w:val="2"/>
          <w:sz w:val="16"/>
          <w:szCs w:val="16"/>
        </w:rPr>
        <w:t xml:space="preserve"> (14973)</w:t>
      </w:r>
      <w:r w:rsidR="00420384" w:rsidRPr="002F2FDF">
        <w:rPr>
          <w:rFonts w:ascii="Times New Roman" w:hAnsi="Times New Roman" w:cs="Times New Roman"/>
          <w:color w:val="000000" w:themeColor="text1"/>
          <w:kern w:val="2"/>
          <w:sz w:val="16"/>
          <w:szCs w:val="16"/>
        </w:rPr>
        <w:t>.</w:t>
      </w:r>
    </w:p>
    <w:p w14:paraId="32009648" w14:textId="77777777" w:rsidR="00420384" w:rsidRPr="002F2FDF" w:rsidRDefault="00420384" w:rsidP="0083075A">
      <w:pPr>
        <w:spacing w:after="0" w:line="240" w:lineRule="auto"/>
        <w:jc w:val="both"/>
        <w:rPr>
          <w:rFonts w:ascii="Times New Roman" w:hAnsi="Times New Roman" w:cs="Times New Roman"/>
          <w:color w:val="000000" w:themeColor="text1"/>
          <w:kern w:val="2"/>
          <w:sz w:val="16"/>
          <w:szCs w:val="16"/>
        </w:rPr>
      </w:pPr>
    </w:p>
    <w:p w14:paraId="5B92110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DA562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C205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июля (5 августа) 1917 года налет на Великобританию совершило несколько цеппелинов, в том числе новейший L.70. Англичане своевременно обнаружили немцев. На перехват вылетело 13 английских самолетов, в том числе DH. 4 № А.8032 с экипажем Э. Кедбери и Р. Лек. Самолет набрал высоту 5000 м и оказался под цеппелином, шедшим на 200 м выше. Залп пяти пулеметов оказался достаточным. Зажигательные пули инициировали на цеппелине пожар и взрыв, после чего дирижабль рухнул в море. Весь экипаж цеппелина погиб, в том числе находившийся на его борту Петер Штрессер, командующий флотом немецких цеппелинов и организатор налетов на Великобританию. Вскоре немцы прекратили использовать цеппелины для налетов на Великобританию, заменив их бомбардировщиками "Гота" G. IV и G. V, а также гигантами серии "R". Для борьбы с цеппелинами пытались использовать специальные самолеты "Сопвич" LRTTr. имевшие большой размах крыла и значительную дальность полета. Стрелок на LRTTr располагался на уровне верхнего крыла, имея круговой сектор обстрела (11262).</w:t>
      </w:r>
    </w:p>
    <w:p w14:paraId="5A654F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B1877C" w14:textId="6B938E63" w:rsidR="00EA1484" w:rsidRPr="002F2FDF" w:rsidRDefault="00EA1484" w:rsidP="0083075A">
      <w:pPr>
        <w:autoSpaceDE w:val="0"/>
        <w:autoSpaceDN w:val="0"/>
        <w:adjustRightInd w:val="0"/>
        <w:spacing w:after="0" w:line="240" w:lineRule="auto"/>
        <w:jc w:val="both"/>
        <w:rPr>
          <w:rFonts w:ascii="Times New Roman" w:hAnsi="Times New Roman" w:cs="Times New Roman"/>
          <w:i/>
          <w:color w:val="000000" w:themeColor="text1"/>
          <w:kern w:val="2"/>
          <w:sz w:val="16"/>
          <w:szCs w:val="16"/>
        </w:rPr>
      </w:pPr>
      <w:r w:rsidRPr="002F2FDF">
        <w:rPr>
          <w:rFonts w:ascii="Times New Roman" w:hAnsi="Times New Roman" w:cs="Times New Roman"/>
          <w:i/>
          <w:color w:val="000000" w:themeColor="text1"/>
          <w:kern w:val="2"/>
          <w:sz w:val="16"/>
          <w:szCs w:val="16"/>
        </w:rPr>
        <w:t>Друг</w:t>
      </w:r>
      <w:r w:rsidR="003F2424" w:rsidRPr="002F2FDF">
        <w:rPr>
          <w:rFonts w:ascii="Times New Roman" w:hAnsi="Times New Roman" w:cs="Times New Roman"/>
          <w:i/>
          <w:color w:val="000000" w:themeColor="text1"/>
          <w:kern w:val="2"/>
          <w:sz w:val="16"/>
          <w:szCs w:val="16"/>
        </w:rPr>
        <w:t>и</w:t>
      </w:r>
      <w:r w:rsidRPr="002F2FDF">
        <w:rPr>
          <w:rFonts w:ascii="Times New Roman" w:hAnsi="Times New Roman" w:cs="Times New Roman"/>
          <w:i/>
          <w:color w:val="000000" w:themeColor="text1"/>
          <w:kern w:val="2"/>
          <w:sz w:val="16"/>
          <w:szCs w:val="16"/>
        </w:rPr>
        <w:t>е оборонные отрасли:</w:t>
      </w:r>
    </w:p>
    <w:p w14:paraId="64A7A139" w14:textId="77777777" w:rsidR="00EA1484" w:rsidRPr="002F2FDF" w:rsidRDefault="00EA1484" w:rsidP="0083075A">
      <w:pPr>
        <w:autoSpaceDE w:val="0"/>
        <w:autoSpaceDN w:val="0"/>
        <w:adjustRightInd w:val="0"/>
        <w:spacing w:after="0" w:line="240" w:lineRule="auto"/>
        <w:jc w:val="both"/>
        <w:rPr>
          <w:rFonts w:ascii="Times New Roman" w:hAnsi="Times New Roman" w:cs="Times New Roman"/>
          <w:i/>
          <w:color w:val="000000" w:themeColor="text1"/>
          <w:kern w:val="2"/>
          <w:sz w:val="16"/>
          <w:szCs w:val="16"/>
        </w:rPr>
      </w:pPr>
    </w:p>
    <w:p w14:paraId="0DE0E73E"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июля (6 августа) 1917 Сведения Главного военно-технического управления о падении производительности заводов, работающих на «оборону».</w:t>
      </w:r>
    </w:p>
    <w:p w14:paraId="0813FFB5"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147-150</w:t>
      </w:r>
    </w:p>
    <w:p w14:paraId="02456F7D"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802, оп. 1, д. 1184, лл. 31—33. Копия.</w:t>
      </w:r>
    </w:p>
    <w:p w14:paraId="3CD2D2BF"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Производительность предметов снабжения нижепоименованных заводов во время революции упала: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79"/>
        <w:gridCol w:w="675"/>
      </w:tblGrid>
      <w:tr w:rsidR="002B1C74" w:rsidRPr="002F2FDF" w14:paraId="0962530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EBB60A"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Шанцевый инструмент.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38782" w14:textId="0013276B"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C4AE0A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18145A"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Лопаты.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18E3F" w14:textId="01E2CE8E"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1369F0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99315E"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Об-ва русских трубопрокатных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7E706"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80%</w:t>
            </w:r>
          </w:p>
        </w:tc>
      </w:tr>
      <w:tr w:rsidR="002B1C74" w:rsidRPr="002F2FDF" w14:paraId="43475A4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7FC52E"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Шпигеля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C564B"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70</w:t>
            </w:r>
          </w:p>
        </w:tc>
      </w:tr>
      <w:tr w:rsidR="002B1C74" w:rsidRPr="002F2FDF" w14:paraId="6DBEB30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5E55BE"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Павловская кустарная артель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C239A"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55</w:t>
            </w:r>
          </w:p>
        </w:tc>
      </w:tr>
      <w:tr w:rsidR="002B1C74" w:rsidRPr="002F2FDF" w14:paraId="0A3B4BD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E6AC32"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Топоры.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8CADC" w14:textId="2220957D"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3A2F277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D84800"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Акц. об-во «И. И. Ген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EEEE2"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60</w:t>
            </w:r>
          </w:p>
        </w:tc>
      </w:tr>
      <w:tr w:rsidR="002B1C74" w:rsidRPr="002F2FDF" w14:paraId="62FD77D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0B1358"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Бр. Бромлей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1F980"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45</w:t>
            </w:r>
          </w:p>
        </w:tc>
      </w:tr>
      <w:tr w:rsidR="002B1C74" w:rsidRPr="002F2FDF" w14:paraId="40FEC77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EC6DB8"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Кирко-мотыги.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9FF29" w14:textId="2541809A"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3F9945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3839DE"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Акц. об-во «И. И. Ген»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0AE3F"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60</w:t>
            </w:r>
          </w:p>
        </w:tc>
      </w:tr>
      <w:tr w:rsidR="002B1C74" w:rsidRPr="002F2FDF" w14:paraId="5806245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BD4F5B"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 «Джон Гриевз»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A5044"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w:t>
            </w:r>
          </w:p>
        </w:tc>
      </w:tr>
      <w:tr w:rsidR="002B1C74" w:rsidRPr="002F2FDF" w14:paraId="67A662E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ADA739"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532AF" w14:textId="67BE106A"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43D1E42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2C1C84"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Центральный военно-промышленный комитет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ED86F"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100</w:t>
            </w:r>
          </w:p>
        </w:tc>
      </w:tr>
      <w:tr w:rsidR="002B1C74" w:rsidRPr="002F2FDF" w14:paraId="24DAC50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299C9A"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Рукавицы.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9BF3F" w14:textId="71CA1DFB"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02F5F4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C58205"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Главный комитет Земгора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9E9E8"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25</w:t>
            </w:r>
          </w:p>
        </w:tc>
      </w:tr>
      <w:tr w:rsidR="002B1C74" w:rsidRPr="002F2FDF" w14:paraId="6072F95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679D62"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Мастерской инструмент.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D89F9" w14:textId="2E7CA891"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8F5434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D436F4"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Разные заводы: об-во «Жесть», бр. Первовы,"'Седов, Боровский, Нефедов и др.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CF8E5"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80</w:t>
            </w:r>
          </w:p>
        </w:tc>
      </w:tr>
      <w:tr w:rsidR="002B1C74" w:rsidRPr="002F2FDF" w14:paraId="48D2BB5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21FB31" w14:textId="776B12D0"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E53D3" w14:textId="45A27592"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6A3547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6AC656"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Мостовое и обозное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7AC22" w14:textId="075C8CA5"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89B14F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ED2BD4"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Канаты.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75DED" w14:textId="1622B173"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7E54D9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7FB5E6"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Фабрика Гот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2098C"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30%</w:t>
            </w:r>
          </w:p>
        </w:tc>
      </w:tr>
      <w:tr w:rsidR="002B1C74" w:rsidRPr="002F2FDF" w14:paraId="29DB907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DFC014"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887B9" w14:textId="74F568CA"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39DFFD2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42BB70"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Серебряковы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DA217"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30</w:t>
            </w:r>
          </w:p>
        </w:tc>
      </w:tr>
      <w:tr w:rsidR="002B1C74" w:rsidRPr="002F2FDF" w14:paraId="593F5B7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FEE4B4"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Якоря.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8C80D" w14:textId="7E6AFDDD"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94E0EA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A4954E"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Смеловские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0D091"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70</w:t>
            </w:r>
          </w:p>
        </w:tc>
      </w:tr>
      <w:tr w:rsidR="002B1C74" w:rsidRPr="002F2FDF" w14:paraId="36FB96F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945364"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Кутуева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FE470"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60</w:t>
            </w:r>
          </w:p>
        </w:tc>
      </w:tr>
      <w:tr w:rsidR="002B1C74" w:rsidRPr="002F2FDF" w14:paraId="7708AC2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DB92B7"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86287" w14:textId="5246D8F3"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3789AE7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C26A6E"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Гуревич</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9D268"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0B84657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F68DB4"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Гельферих Саде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70C02"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7F9E81D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367886"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Барон Альфтан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AA025"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30</w:t>
            </w:r>
          </w:p>
        </w:tc>
      </w:tr>
      <w:tr w:rsidR="002B1C74" w:rsidRPr="002F2FDF" w14:paraId="4F07ACC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E7B2C6"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Железнодорожное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25370" w14:textId="5E319985"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292557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7B4360"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Паровозы.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49CDB" w14:textId="129C5624"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2A27B6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E4F916"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Коломенский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4B8CD"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60</w:t>
            </w:r>
          </w:p>
        </w:tc>
      </w:tr>
      <w:tr w:rsidR="002B1C74" w:rsidRPr="002F2FDF" w14:paraId="764F3D6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64B340"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Вагоны.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D64C2" w14:textId="557EF4DB"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E1E6D2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F31A24"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Коломенский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EB7D1"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5C167DB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4E0254"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Рельсы и звенья.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C264F" w14:textId="2B483250"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4F0121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E1A73A"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Разные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93C6E"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5CA3420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F1E24E"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Автомобильные шины и покрышки.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392CB" w14:textId="350EFA95"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73844D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28B692"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Т-во «Проводник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0E96F"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60</w:t>
            </w:r>
          </w:p>
        </w:tc>
      </w:tr>
      <w:tr w:rsidR="002B1C74" w:rsidRPr="002F2FDF" w14:paraId="31F83BD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B55C73"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Бензин и смазочные масла.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85CAE" w14:textId="6C9CC308"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10DF1C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1C0BD6"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Нобель в Грозном и Царицыне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EBFBA"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75</w:t>
            </w:r>
          </w:p>
        </w:tc>
      </w:tr>
      <w:tr w:rsidR="002B1C74" w:rsidRPr="002F2FDF" w14:paraId="73928E4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012368"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Карбид.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80488" w14:textId="0828A4C2"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ABCC65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690E76"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«Перун» в Петрограде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CA899"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100</w:t>
            </w:r>
          </w:p>
        </w:tc>
      </w:tr>
      <w:tr w:rsidR="002B1C74" w:rsidRPr="002F2FDF" w14:paraId="64DBC02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12638D"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Ремонт автомобилей.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217E6" w14:textId="6FA76DAF"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718371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684E38"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«Борей» в Петрограде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DAC50"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100</w:t>
            </w:r>
          </w:p>
        </w:tc>
      </w:tr>
      <w:tr w:rsidR="002B1C74" w:rsidRPr="002F2FDF" w14:paraId="7B3816E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06C991"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Автомобильные кузова.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FB9D0" w14:textId="61586A49"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77F578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D2D064"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Куранов, Петрограде, Рагозин, Ильин в Москве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16291"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476876D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4CA909"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Техническая организация Министерства земледелия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D8874"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100</w:t>
            </w:r>
          </w:p>
        </w:tc>
      </w:tr>
      <w:tr w:rsidR="002B1C74" w:rsidRPr="002F2FDF" w14:paraId="25C0ED7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A533B7"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Прожекторное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D99C6" w14:textId="485C3515"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0E21EC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61B77A"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Об-во Электромеханических сооружений в Петрограде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8C2B3"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45C357C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C3724A"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Русское об-во «Динамо» в Петрограде и Москве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44B23"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33</w:t>
            </w:r>
          </w:p>
        </w:tc>
      </w:tr>
      <w:tr w:rsidR="002B1C74" w:rsidRPr="002F2FDF" w14:paraId="2B53D1F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0B53DE"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Автомобильный завод Пузырева в Петрограде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D5F0A"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25</w:t>
            </w:r>
          </w:p>
        </w:tc>
      </w:tr>
      <w:tr w:rsidR="002B1C74" w:rsidRPr="002F2FDF" w14:paraId="490E359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AB71BC"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Ф. Галлика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7142F"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40</w:t>
            </w:r>
          </w:p>
        </w:tc>
      </w:tr>
      <w:tr w:rsidR="002B1C74" w:rsidRPr="002F2FDF" w14:paraId="31A9CA7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2A34D3"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Северное стекольно-промышленное об-во в Ораниенбауме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95620"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40—50</w:t>
            </w:r>
          </w:p>
        </w:tc>
      </w:tr>
      <w:tr w:rsidR="002B1C74" w:rsidRPr="002F2FDF" w14:paraId="49B8013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C80919"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Русское об-во граммофонов в Петрограде......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1D8D3"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75</w:t>
            </w:r>
          </w:p>
        </w:tc>
      </w:tr>
      <w:tr w:rsidR="002B1C74" w:rsidRPr="002F2FDF" w14:paraId="79FB3B4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12E69B"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Об-во механических заводов Бромлей в Москве .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5A36B"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40</w:t>
            </w:r>
          </w:p>
        </w:tc>
      </w:tr>
      <w:tr w:rsidR="002B1C74" w:rsidRPr="002F2FDF" w14:paraId="510290C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1DF2ED"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Т-во кабельных заводов Алексеев, Вишняков и Шамшин в Москве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D49BC"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40</w:t>
            </w:r>
          </w:p>
        </w:tc>
      </w:tr>
      <w:tr w:rsidR="002B1C74" w:rsidRPr="002F2FDF" w14:paraId="3121CA7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7825AF"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Минное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AA828" w14:textId="3CCAFEBA"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2625A5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6213F2"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Кабельный завод Петичева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41263"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636B44B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2FED61"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Электромеханический завод Гейслера и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28A2A"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35</w:t>
            </w:r>
          </w:p>
        </w:tc>
      </w:tr>
      <w:tr w:rsidR="002B1C74" w:rsidRPr="002F2FDF" w14:paraId="72E2209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375FE5"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Механический завод Оуф</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69800"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0479249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097D4C"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Механический завод Зигель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8C638"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68B12C0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7E85CF"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прочих заводах в среднем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029D2"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40</w:t>
            </w:r>
          </w:p>
        </w:tc>
      </w:tr>
      <w:tr w:rsidR="002B1C74" w:rsidRPr="002F2FDF" w14:paraId="68C9B94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F351CC"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Подрывное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5FAF7" w14:textId="1C56F293"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D5E73D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D6F4E7"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Сименс и Гальске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DF64B"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80</w:t>
            </w:r>
          </w:p>
        </w:tc>
      </w:tr>
      <w:tr w:rsidR="002B1C74" w:rsidRPr="002F2FDF" w14:paraId="558F619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8DC0DD"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Московское акц. об-во металлических изделий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CB102"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093B94D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9F7262"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Осипов И.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410F7"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50%</w:t>
            </w:r>
          </w:p>
        </w:tc>
      </w:tr>
      <w:tr w:rsidR="002B1C74" w:rsidRPr="002F2FDF" w14:paraId="4AE84C8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C9F663"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Электротехнический завод военного ведомства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E1E96"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6BC7E88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CD2120"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Петроградский вагоностроительный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47C9E0A"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790A79E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308FD5"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 Л.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AC3E8"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2E8889E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F3EFA9"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Фавне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DDE5E"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 75</w:t>
            </w:r>
          </w:p>
        </w:tc>
      </w:tr>
      <w:tr w:rsidR="002B1C74" w:rsidRPr="002F2FDF" w14:paraId="5C8E60E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201167"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Русско-Бельгийского анонимного об-ва Петроградский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8811F"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r>
      <w:tr w:rsidR="002B1C74" w:rsidRPr="002F2FDF" w14:paraId="516B651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281AD7"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Акц. об-во Виннера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A884A"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60</w:t>
            </w:r>
          </w:p>
        </w:tc>
      </w:tr>
      <w:tr w:rsidR="002B1C74" w:rsidRPr="002F2FDF" w14:paraId="374130A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11CD8B"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Русское об-во для выделки и продажи пороха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70B16"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2FE1DBC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F4FC9E"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Уральское об-во взрывчатых веществ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C13D7"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40</w:t>
            </w:r>
          </w:p>
        </w:tc>
      </w:tr>
      <w:tr w:rsidR="002B1C74" w:rsidRPr="002F2FDF" w14:paraId="5494497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B9FFE6"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Раковицкого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AC56A"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40</w:t>
            </w:r>
          </w:p>
        </w:tc>
      </w:tr>
      <w:tr w:rsidR="002B1C74" w:rsidRPr="002F2FDF" w14:paraId="1A5AFBC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D2A7BA"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Искровое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97A70" w14:textId="1D7B7BBB"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82CDDE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7A842C"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Сименс и Гальске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D5545"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6662686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49DCB5"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Русское об-во беспроволочных телеграфов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4D3E8"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769A307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4C6B2B"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Всеобщая русская компания радиотелеграфа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84775"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24AA06D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431536"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Петроградский вагоностроительный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17E5F"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4265501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D51131"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Акц. об-во электромеханических сооружений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14948"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103D345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BF0CE0"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Аккумуляторный завод Тюдор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DCAE3"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1A344CA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0CD6B4"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Электромеханическая мастерская Аносова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5719C"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299B972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6E9556"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Завод Филипенкова в Екатеринодаре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3F430"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6CAF3EB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02721B"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Прочие заводы в среднем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065D3"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0E3D045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0513D9"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Камнедробилки.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735EF" w14:textId="1C874EA2"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7ABB8A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DB5FE1"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Завода «Титаник» в Саратове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A2D61"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w:t>
            </w:r>
          </w:p>
        </w:tc>
      </w:tr>
      <w:tr w:rsidR="002B1C74" w:rsidRPr="002F2FDF" w14:paraId="243D1EA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D6E2E4"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Медальоны.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AF59C" w14:textId="73FD3B16"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B831B8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CE4B0E"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Бр. Натансон в Москве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23620"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75</w:t>
            </w:r>
          </w:p>
        </w:tc>
      </w:tr>
      <w:tr w:rsidR="002B1C74" w:rsidRPr="002F2FDF" w14:paraId="7DA488D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C3E2D5"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Земленосные мешки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1E896"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50—70</w:t>
            </w:r>
          </w:p>
        </w:tc>
      </w:tr>
      <w:tr w:rsidR="002B1C74" w:rsidRPr="002F2FDF" w14:paraId="6119FC4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22DC2D"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Щиты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58130"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80—85</w:t>
            </w:r>
          </w:p>
        </w:tc>
      </w:tr>
      <w:tr w:rsidR="002B1C74" w:rsidRPr="002F2FDF" w14:paraId="3042E32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F03AEF"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Телеграфно-телефонное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1C86D"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30—40</w:t>
            </w:r>
          </w:p>
        </w:tc>
      </w:tr>
    </w:tbl>
    <w:p w14:paraId="11102130"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За время революции цены на предметы повысились: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55"/>
        <w:gridCol w:w="1102"/>
      </w:tblGrid>
      <w:tr w:rsidR="002B1C74" w:rsidRPr="002F2FDF" w14:paraId="1B977EB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D5EAC2"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Лопаты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BD06B"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150</w:t>
            </w:r>
          </w:p>
        </w:tc>
      </w:tr>
      <w:tr w:rsidR="002B1C74" w:rsidRPr="002F2FDF" w14:paraId="5574C99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E46D19"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Топоры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A2A47"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80</w:t>
            </w:r>
          </w:p>
        </w:tc>
      </w:tr>
      <w:tr w:rsidR="002B1C74" w:rsidRPr="002F2FDF" w14:paraId="785734E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66CA52"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Кирко-мотыги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CA088" w14:textId="659EEB03"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F7D93C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9493C6"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Бурава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2F5EC79"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120</w:t>
            </w:r>
          </w:p>
        </w:tc>
      </w:tr>
      <w:tr w:rsidR="002B1C74" w:rsidRPr="002F2FDF" w14:paraId="65FD60E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9A3CFE" w14:textId="5C89A480"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2282B7"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160F883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7C31A6"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Рукавицы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98711"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60</w:t>
            </w:r>
          </w:p>
        </w:tc>
      </w:tr>
      <w:tr w:rsidR="002B1C74" w:rsidRPr="002F2FDF" w14:paraId="17C1196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EA901B"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Канаты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756FD"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r>
      <w:tr w:rsidR="002B1C74" w:rsidRPr="002F2FDF" w14:paraId="0809AE5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F94BA1"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741F2"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45</w:t>
            </w:r>
          </w:p>
        </w:tc>
      </w:tr>
      <w:tr w:rsidR="002B1C74" w:rsidRPr="002F2FDF" w14:paraId="6DDBA7C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712540"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Якоря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F018E"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70</w:t>
            </w:r>
          </w:p>
        </w:tc>
      </w:tr>
      <w:tr w:rsidR="002B1C74" w:rsidRPr="002F2FDF" w14:paraId="50E9156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C0A5F5"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B7D0C" w14:textId="5A295ABB"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B61606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E77E78"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Автомобильные кузова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B77D9" w14:textId="054BA4F9"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02E00C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BD0FF6"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Шины и покрышки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A2C9B" w14:textId="43B8CF58" w:rsidR="00EA1484"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6E702C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E10DFD"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Бензин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27D1F"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понизился на 6</w:t>
            </w:r>
          </w:p>
        </w:tc>
      </w:tr>
    </w:tbl>
    <w:p w14:paraId="07625115"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Повысились: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30"/>
        <w:gridCol w:w="832"/>
      </w:tblGrid>
      <w:tr w:rsidR="002B1C74" w:rsidRPr="002F2FDF" w14:paraId="0225C14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CD3C5D"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Смазочный вакуум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19C4C"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75</w:t>
            </w:r>
          </w:p>
        </w:tc>
      </w:tr>
      <w:tr w:rsidR="002B1C74" w:rsidRPr="002F2FDF" w14:paraId="654DCD2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74F7C4"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Карбид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209C7"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100</w:t>
            </w:r>
          </w:p>
        </w:tc>
      </w:tr>
      <w:tr w:rsidR="002B1C74" w:rsidRPr="002F2FDF" w14:paraId="5D05200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C4B519"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Запасные части автомобилей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46F0D"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30—50</w:t>
            </w:r>
          </w:p>
        </w:tc>
      </w:tr>
      <w:tr w:rsidR="002B1C74" w:rsidRPr="002F2FDF" w14:paraId="7F693AA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A9E836"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Ремонт автомобилей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E2048"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60</w:t>
            </w:r>
          </w:p>
        </w:tc>
      </w:tr>
      <w:tr w:rsidR="002B1C74" w:rsidRPr="002F2FDF" w14:paraId="73477E1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FB0F7A"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Прожекторное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D7ED4"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25—100</w:t>
            </w:r>
          </w:p>
        </w:tc>
      </w:tr>
      <w:tr w:rsidR="002B1C74" w:rsidRPr="002F2FDF" w14:paraId="460E266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BDC2BA"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Минное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42938"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35—400</w:t>
            </w:r>
          </w:p>
        </w:tc>
      </w:tr>
      <w:tr w:rsidR="002B1C74" w:rsidRPr="002F2FDF" w14:paraId="017F1C3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E42E30"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Судовое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CA912"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25—30</w:t>
            </w:r>
          </w:p>
        </w:tc>
      </w:tr>
      <w:tr w:rsidR="002B1C74" w:rsidRPr="002F2FDF" w14:paraId="55F863D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6B1E04"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Подрывное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B285E"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40—80</w:t>
            </w:r>
          </w:p>
        </w:tc>
      </w:tr>
      <w:tr w:rsidR="002B1C74" w:rsidRPr="002F2FDF" w14:paraId="30DEB44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1BFB4D"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Искровое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48B3F"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30—100</w:t>
            </w:r>
          </w:p>
        </w:tc>
      </w:tr>
      <w:tr w:rsidR="002B1C74" w:rsidRPr="002F2FDF" w14:paraId="252CE23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B79B3A"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Проволока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AF52F"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75—100</w:t>
            </w:r>
          </w:p>
        </w:tc>
      </w:tr>
      <w:tr w:rsidR="002B1C74" w:rsidRPr="002F2FDF" w14:paraId="79EF2F3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F03A04"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Ножницы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E8EF6"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15—60</w:t>
            </w:r>
          </w:p>
        </w:tc>
      </w:tr>
      <w:tr w:rsidR="002B1C74" w:rsidRPr="002F2FDF" w14:paraId="23A2944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F3EFA7"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Земленосные мешки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DD860"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50—100</w:t>
            </w:r>
          </w:p>
        </w:tc>
      </w:tr>
      <w:tr w:rsidR="002B1C74" w:rsidRPr="002F2FDF" w14:paraId="184B136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1EFA27"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Щиты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F70E6"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50</w:t>
            </w:r>
          </w:p>
        </w:tc>
      </w:tr>
      <w:tr w:rsidR="002B1C74" w:rsidRPr="002F2FDF" w14:paraId="62855B3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333254"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Телеграфно-телефонное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E7BEF"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20—100</w:t>
            </w:r>
          </w:p>
        </w:tc>
      </w:tr>
    </w:tbl>
    <w:p w14:paraId="3109FDB7"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Причинами уменьшения производительности и вздорожания цен являются;</w:t>
      </w:r>
    </w:p>
    <w:p w14:paraId="6757250D"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Недостаток металла и топлива.</w:t>
      </w:r>
    </w:p>
    <w:p w14:paraId="1535602E"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Вздорожание сырых материалов и рабочих рук.</w:t>
      </w:r>
    </w:p>
    <w:p w14:paraId="3BB7933D"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Уменьшение рабочих часов и продуктивности рабочего труда.</w:t>
      </w:r>
    </w:p>
    <w:p w14:paraId="0C984C6D"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Расстройство транспорта.</w:t>
      </w:r>
    </w:p>
    <w:p w14:paraId="49B8AD17"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Общее расстройство хозяйственной жизни страны.</w:t>
      </w:r>
    </w:p>
    <w:p w14:paraId="4CD52DBC"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Принимая во внимание обстоятельства настоящего времени, является опасение, что по произведенным уже заказам имущество поступит не полностью, а по некоторым и совсем не поступят.</w:t>
      </w:r>
    </w:p>
    <w:p w14:paraId="29487218"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Если нормальная производительность заводов не будет восстановлена в течение 2—3 месяцев, то эго неизбежно повлечет на собой расстройство инженерного снабжения армии, что должно отразиться на ее боеспособности.</w:t>
      </w:r>
    </w:p>
    <w:p w14:paraId="5B4DD2AA"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Рельсами и подвижным составом полевых дорог и до революции потребность армий вполне не удовлетворялась.</w:t>
      </w:r>
    </w:p>
    <w:p w14:paraId="5397BCB1"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Подлинный подписал за начальника Главного военно-технического управления, военный инженер, ген.-лейтенант</w:t>
      </w:r>
    </w:p>
    <w:p w14:paraId="7F2EB295"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Овчинников (15668).</w:t>
      </w:r>
    </w:p>
    <w:p w14:paraId="3D85E7A1"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p>
    <w:p w14:paraId="5513DBBC" w14:textId="77777777" w:rsidR="006A0EAE"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5E1A9BD" w14:textId="77777777" w:rsidR="006A0EAE" w:rsidRPr="002F2FDF" w:rsidRDefault="006A0EA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39ADD2" w14:textId="77777777" w:rsidR="00BB309C" w:rsidRPr="002F2FDF" w:rsidRDefault="00BB309C" w:rsidP="0083075A">
      <w:pPr>
        <w:pStyle w:val="ae"/>
        <w:spacing w:before="0" w:after="0"/>
        <w:jc w:val="both"/>
        <w:rPr>
          <w:color w:val="000000" w:themeColor="text1"/>
          <w:kern w:val="2"/>
          <w:sz w:val="16"/>
          <w:szCs w:val="16"/>
        </w:rPr>
      </w:pPr>
      <w:r w:rsidRPr="002F2FDF">
        <w:rPr>
          <w:color w:val="000000" w:themeColor="text1"/>
          <w:kern w:val="2"/>
          <w:sz w:val="16"/>
          <w:szCs w:val="16"/>
        </w:rPr>
        <w:t>24 июля (6 августа) 1917 австро-германские войска под командованием немецкого генерал-фельдмаршала Августа фон Макензена перешли в контрнаступление на востоке современной Румынии, на границе исторических регионов Молдова и Валахия. Главной его целью было отбросить русские и румынские части, неделей ранее вклинившихся вглубь страны на несколько десятков километров в битве при Мэрэшти. Отступив, румыны заняли оборону в районе города Марашешти (в 20 км к северу от Фокшан) (17045).</w:t>
      </w:r>
    </w:p>
    <w:p w14:paraId="58CE3C5C" w14:textId="77777777" w:rsidR="00BB309C" w:rsidRPr="002F2FDF" w:rsidRDefault="00BB309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BDAA1B" w14:textId="10A3F425" w:rsidR="00D905F0" w:rsidRPr="00FB4F67" w:rsidRDefault="00D905F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24 июля (</w:t>
      </w:r>
      <w:r w:rsidRPr="00FB4F67">
        <w:rPr>
          <w:rFonts w:ascii="Times New Roman" w:hAnsi="Times New Roman" w:cs="Times New Roman"/>
          <w:color w:val="0070C0"/>
          <w:sz w:val="16"/>
          <w:szCs w:val="16"/>
        </w:rPr>
        <w:t>6 августа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на Румынском фронте фон Макензен начал австро-германское наступление у Марашешти на реке Серет, которое было отбито после 14 дней ожесточенных боев. Ключевые бои произошли на плато Мунчелу 15-18 августа и при Разоаре 19 августа. В ходе боев с 7 по 12 августа русские летчики уничтожили пять самолетов противника, потеряв при этом одиннадцать аэростатов, из них девять истребителям противника (23525).</w:t>
      </w:r>
    </w:p>
    <w:p w14:paraId="0933C8D8" w14:textId="77777777" w:rsidR="00D905F0" w:rsidRPr="00FB4F67" w:rsidRDefault="00D905F0" w:rsidP="0083075A">
      <w:pPr>
        <w:spacing w:after="0" w:line="240" w:lineRule="auto"/>
        <w:jc w:val="both"/>
        <w:rPr>
          <w:rFonts w:ascii="Times New Roman" w:hAnsi="Times New Roman" w:cs="Times New Roman"/>
          <w:color w:val="0070C0"/>
          <w:sz w:val="16"/>
          <w:szCs w:val="16"/>
        </w:rPr>
      </w:pPr>
    </w:p>
    <w:p w14:paraId="7AEE84F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B70C9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EF53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июля (6 августа) 1917 Керенский с согласия Совета (3908,260) объявил о составе Временного правительства, в котором большинство были социалистами (1348,86).</w:t>
      </w:r>
    </w:p>
    <w:p w14:paraId="186D9A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D5126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июля (6 августа) 1917 А. Керенский сформировал второе коалиционное Временное правительство России (4962).</w:t>
      </w:r>
    </w:p>
    <w:p w14:paraId="6C2FF4E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D30296" w14:textId="5DD0AF49" w:rsidR="00135C75" w:rsidRPr="002F2FDF" w:rsidRDefault="00135C75"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июля (6 августа) 1917 было сформировано Второе коалиционное правительство: 7 эсеров и меньшевиков, 4 кадета, 2 радикальных демократа и 2 беспартийных. Во главе - Керенский, у которого теперь 3 портфеля. По совету Бориса Савинкова, губернатора Петрограда (знаменитого террориста, поэта и масона), Главнокомандующим назначен генерал Корнилов - вместо генерала Брусилова.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Брусилов так говорил о своем преемнике: «Это начальник лихого партизанского отряда — и больше ничего». </w:t>
      </w:r>
      <w:r w:rsidRPr="002F2FDF">
        <w:rPr>
          <w:rFonts w:ascii="Times New Roman" w:hAnsi="Times New Roman" w:cs="Times New Roman"/>
          <w:color w:val="000000" w:themeColor="text1"/>
          <w:kern w:val="2"/>
          <w:sz w:val="16"/>
          <w:szCs w:val="16"/>
        </w:rPr>
        <w:lastRenderedPageBreak/>
        <w:t>Зачем же Керенский его выбрал? Этому эсеру нужно было "... заставить армию выступить против разрушения страны, объявить её мятежной силой и тогда уже разгромить её высшие эшелоны. Чтобы военные решились выступить против Временного правительства, у них должен быть вождь. Поэтому Керенский выдвигает Корнилова". Все были патриотами, но талантливый патриот типа Брусилова мог бы навести порядок, а зачем он эсерам? (12629).</w:t>
      </w:r>
    </w:p>
    <w:p w14:paraId="6816DEAD" w14:textId="77777777" w:rsidR="00135C75" w:rsidRPr="002F2FDF" w:rsidRDefault="00135C7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6976CD" w14:textId="77777777" w:rsidR="00BB309C" w:rsidRPr="002F2FDF" w:rsidRDefault="00BB309C" w:rsidP="0083075A">
      <w:pPr>
        <w:pStyle w:val="ae"/>
        <w:spacing w:before="0" w:after="0"/>
        <w:jc w:val="both"/>
        <w:rPr>
          <w:color w:val="000000" w:themeColor="text1"/>
          <w:kern w:val="2"/>
          <w:sz w:val="16"/>
          <w:szCs w:val="16"/>
        </w:rPr>
      </w:pPr>
      <w:r w:rsidRPr="002F2FDF">
        <w:rPr>
          <w:color w:val="000000" w:themeColor="text1"/>
          <w:kern w:val="2"/>
          <w:sz w:val="16"/>
          <w:szCs w:val="16"/>
        </w:rPr>
        <w:t>24 июля (6 августа) 1917 был утвержден состав нового кабинета Временного правительства, процесс формирования которого начался еще в середине июля в дни анархо-большевистского мятежа в Петрограде. Председателем правительства остался Александр Керенский, среди министров оказались 7 эсеров и меньшевиков, 4 кадета, 2 радикальных демократа и 2 беспартийных. Этот кабинет министров пытался «лавировать», прислушиваясь как к левым, так и к правым, чем вызывал недовольство и тех, и других (17045).</w:t>
      </w:r>
    </w:p>
    <w:p w14:paraId="78FF7C26" w14:textId="77777777" w:rsidR="00BB309C" w:rsidRPr="002F2FDF" w:rsidRDefault="00BB309C" w:rsidP="0083075A">
      <w:pPr>
        <w:pStyle w:val="ae"/>
        <w:spacing w:before="0" w:after="0"/>
        <w:jc w:val="both"/>
        <w:rPr>
          <w:color w:val="000000" w:themeColor="text1"/>
          <w:kern w:val="2"/>
          <w:sz w:val="16"/>
          <w:szCs w:val="16"/>
        </w:rPr>
      </w:pPr>
    </w:p>
    <w:p w14:paraId="7C4AAA4C" w14:textId="77777777" w:rsidR="00BB309C" w:rsidRPr="002F2FDF" w:rsidRDefault="00BB309C" w:rsidP="0083075A">
      <w:pPr>
        <w:pStyle w:val="ae"/>
        <w:spacing w:before="0" w:after="0"/>
        <w:jc w:val="both"/>
        <w:rPr>
          <w:color w:val="000000" w:themeColor="text1"/>
          <w:kern w:val="2"/>
          <w:sz w:val="16"/>
          <w:szCs w:val="16"/>
        </w:rPr>
      </w:pPr>
      <w:r w:rsidRPr="002F2FDF">
        <w:rPr>
          <w:color w:val="000000" w:themeColor="text1"/>
          <w:kern w:val="2"/>
          <w:sz w:val="16"/>
          <w:szCs w:val="16"/>
        </w:rPr>
        <w:t>24 июля (6 августа) 1917 в петроградскую тюрьму «Кресты» был заключен Лев Троцкий, который после издания Временным правительством приказов об аресте Ленина и других видных большевиков, обвиненных в государственной измене, опубликовал свое открытое письмо. В нем Троцкий заявил, что целиком разделяет взгляды вождей большевиков и готов вместе с ними опровергнуть в суде все обвинения 917045).</w:t>
      </w:r>
    </w:p>
    <w:p w14:paraId="57742669" w14:textId="77777777" w:rsidR="00BB309C" w:rsidRPr="002F2FDF" w:rsidRDefault="00BB309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F26D47" w14:textId="77777777" w:rsidR="00EA1484"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7856FC2E" w14:textId="77777777" w:rsidR="00EA1484" w:rsidRPr="002F2FDF" w:rsidRDefault="00EA148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15642D" w14:textId="77777777"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24 июля (6 августа) 1917 г. </w:t>
      </w:r>
      <w:r w:rsidRPr="002F2FDF">
        <w:rPr>
          <w:rFonts w:ascii="Times New Roman" w:hAnsi="Times New Roman" w:cs="Times New Roman"/>
          <w:color w:val="000000" w:themeColor="text1"/>
          <w:kern w:val="2"/>
          <w:sz w:val="16"/>
          <w:szCs w:val="16"/>
        </w:rPr>
        <w:t>Телеграмма ген. Э. К. Гермониуса ген. А. А. Маниковскому о недостаточности выделенных России американских кредитов и необходимости пропорционального распределения американских кредитов между союзниками.</w:t>
      </w:r>
    </w:p>
    <w:p w14:paraId="1BB0E8BE" w14:textId="4782102D"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552; Исторический архив, 1955, № 3, С. 173</w:t>
      </w:r>
    </w:p>
    <w:p w14:paraId="6CDD850E" w14:textId="77402D9F" w:rsidR="00EA1484" w:rsidRPr="002F2FDF" w:rsidRDefault="00EA14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ЦГИАЛ, ф. 1525, оп. 1, д. 154, л. 116. Заверенная копия.</w:t>
      </w:r>
    </w:p>
    <w:p w14:paraId="09466798" w14:textId="77777777" w:rsidR="00EA1484" w:rsidRPr="002F2FDF" w:rsidRDefault="00EA1484" w:rsidP="0083075A">
      <w:pPr>
        <w:pStyle w:val="rtejustify"/>
        <w:spacing w:before="0" w:after="0"/>
        <w:rPr>
          <w:color w:val="000000" w:themeColor="text1"/>
          <w:kern w:val="2"/>
          <w:sz w:val="16"/>
          <w:szCs w:val="16"/>
        </w:rPr>
      </w:pPr>
      <w:r w:rsidRPr="002F2FDF">
        <w:rPr>
          <w:color w:val="000000" w:themeColor="text1"/>
          <w:kern w:val="2"/>
          <w:sz w:val="16"/>
          <w:szCs w:val="16"/>
        </w:rPr>
        <w:t>Мною послана в Нью-Йорк следующая телеграмма: «Для посла Бахметьева. Из телеграмм 416</w:t>
      </w:r>
      <w:hyperlink r:id="rId456" w:anchor="_ftn1" w:history="1">
        <w:r w:rsidRPr="002F2FDF">
          <w:rPr>
            <w:rStyle w:val="a5"/>
            <w:color w:val="000000" w:themeColor="text1"/>
            <w:kern w:val="2"/>
            <w:sz w:val="16"/>
            <w:szCs w:val="16"/>
          </w:rPr>
          <w:t>[1]</w:t>
        </w:r>
      </w:hyperlink>
      <w:r w:rsidRPr="002F2FDF">
        <w:rPr>
          <w:color w:val="000000" w:themeColor="text1"/>
          <w:kern w:val="2"/>
          <w:sz w:val="16"/>
          <w:szCs w:val="16"/>
        </w:rPr>
        <w:t xml:space="preserve"> и 420</w:t>
      </w:r>
      <w:hyperlink r:id="rId457" w:anchor="_ftn2" w:history="1">
        <w:r w:rsidRPr="002F2FDF">
          <w:rPr>
            <w:rStyle w:val="a5"/>
            <w:color w:val="000000" w:themeColor="text1"/>
            <w:kern w:val="2"/>
            <w:sz w:val="16"/>
            <w:szCs w:val="16"/>
          </w:rPr>
          <w:t>[2]</w:t>
        </w:r>
      </w:hyperlink>
      <w:r w:rsidRPr="002F2FDF">
        <w:rPr>
          <w:color w:val="000000" w:themeColor="text1"/>
          <w:kern w:val="2"/>
          <w:sz w:val="16"/>
          <w:szCs w:val="16"/>
        </w:rPr>
        <w:t xml:space="preserve"> заключаю: лишь одна десятая всего американского кредита союзников приходится нам. Не слишком ли это мало, принимая во внимание лучшее снабжение союзников и лучшее состояние их промышленности. Англичане, по-видимому, предполагают делить кредит пропорционально имеющемуся в распоряжении у каждого союзника тоннажу. Я же буду проводить мысль, что весь кредит всем союзникам должен соответствовать всему тоннажу всех союзников, имеющемуся для перевозки американских заказов. Кредит должен делиться союзниками пропорционально потребности в нем, а тоннаж должен быть дан автоматически каждому союзнику на весь заказ. Так как кредит американский, а не английский, то американцы в видах скорейшего достижения цели войны — победы могли бы настоять на таком делении кредита, и тогда англичане волей-неволей должны были бы отыскать нам тоннаж. Во всяком случае полагал бы необходимым настаивать не только на оставлении части нашего кредита на запас, но и на оставлении части всего американского кредита нетронутым для экстренных нужд союзников». 11014.</w:t>
      </w:r>
    </w:p>
    <w:p w14:paraId="6D00EF48" w14:textId="77777777" w:rsidR="00EA1484" w:rsidRPr="002F2FDF" w:rsidRDefault="00EA1484"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Гермониус (15175).</w:t>
      </w:r>
    </w:p>
    <w:p w14:paraId="57E89EC8" w14:textId="77777777" w:rsidR="00EA1484" w:rsidRPr="002F2FDF" w:rsidRDefault="00EA1484"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122041CA" w14:textId="77777777" w:rsidR="00B66F97"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A88A1C5" w14:textId="77777777" w:rsidR="00B66F97" w:rsidRPr="002F2FDF" w:rsidRDefault="00B66F9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CA4D4D" w14:textId="77777777" w:rsidR="003F2424" w:rsidRPr="002F2FDF" w:rsidRDefault="003F24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24 июля (6 августа) 1917 разбит участок под строительство Naval Aircraft Factory в Лиге Island Navy Yard в Филадельфии, штат Пенсильвания (20341).</w:t>
      </w:r>
    </w:p>
    <w:p w14:paraId="6A0434A6" w14:textId="77777777" w:rsidR="003F2424" w:rsidRPr="002F2FDF" w:rsidRDefault="003F2424" w:rsidP="0083075A">
      <w:pPr>
        <w:spacing w:after="0" w:line="240" w:lineRule="auto"/>
        <w:jc w:val="both"/>
        <w:rPr>
          <w:rFonts w:ascii="Times New Roman" w:hAnsi="Times New Roman" w:cs="Times New Roman"/>
          <w:color w:val="000000" w:themeColor="text1"/>
          <w:sz w:val="16"/>
          <w:szCs w:val="16"/>
        </w:rPr>
      </w:pPr>
    </w:p>
    <w:p w14:paraId="66B2F607"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июня (6 августа) в 1917 году состоялась битва при Мэрэшешти — сражение Первой мировой войны, происходившее на востоке Румынии между германскими и русско-румынскими войсками в августе 1917 года. Румыния вступила в войну на стороне Антанты в августе 1916 года и, вследствие крайне низкой боеспособности своей армии и невыгодного географического положения, за несколько месяцев была оккупирована войсками Центральных держав. Остатки румынской армии отступили на восток страны, где соединились с русскими войсками. Чтобы помочь союзнику и не допустить вторжения германской армии на Украину, Россия сформировала новый, Румынский фронт, включив в него четыре русские и две румынские армии</w:t>
      </w:r>
    </w:p>
    <w:p w14:paraId="7A95674C"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июнь 1917 года Временное правительство России с целью поднятия боевого духа войск и выполнения обязательств перед союзниками запланировало наступление по всему фронту, вошедшее в историю как июньское или наступление Керенского. Румынский фронт начал наступление 20 июля. Поначалу оно проходило успешно: русско-румынские войска, которым противостояла австро-венгерская армия, продвинулись до двадцати километров в глубину на тридцатикилометровом участке фронта в направлении на Фокшаны. Однако уже 12(25) июля, вследствие общей неблагоприятной обстановки на фронтах, вызванной усиливавшимся разложением русской армии, Керенский отдал приказ остановить продвижение. 6 августа австро-германские войска под командованием генерала Макензена перешли в контрнаступление. Вначале деморализованные русские части отступали почти без сопротивления, но в дальнейшем русские дивизии имели успех. Оборону в районе Мэрэшешти возглавил командующий 1-ой румынской армии генерал Григореску. Ожесточённые бои, проходившие с переменным успехом, закончились 8 сентября стабилизацией фронта. Румыны потеряли около 27000 человек, немцы — около 47000.</w:t>
      </w:r>
    </w:p>
    <w:p w14:paraId="50A8B902"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Битва при Мэрэшешти стала последним крупным сражением на Румынском фронте. После Октябрьской революции Россия вышла из войны, и Румынии, окружённой со всех сторон, осталось только просить мира, который и был заключён 7 мая 1918 года (Бухарестский мирный договор) (14975).</w:t>
      </w:r>
    </w:p>
    <w:p w14:paraId="73CE58DE"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p>
    <w:p w14:paraId="4E34200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0BC9A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8BC5E0" w14:textId="77777777" w:rsidR="00A5772A" w:rsidRPr="002F2FDF" w:rsidRDefault="00A5772A"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25 июля (7 августа) 1917 был оформлен заказ Авиационного отдела Главного управления кораблестроения Дуксу на 20 «Ньюпоров-ХУН» («наряд лейтенанта Андреева», заказы № 1639 и 1679). Еще 15 «Ньюпоров-XVII» с «Роном» в 110 л.с. надо было изготовить по наряду от 12 сентября 1917 г. № 166. В плане также стоял заказ на 160 летающих лодок «Теллье» Т.3 с мотором «Испано-Сюиза» 200 л.с., но контракт так и не заключили (15464).</w:t>
      </w:r>
    </w:p>
    <w:p w14:paraId="7332F192" w14:textId="77777777" w:rsidR="00A5772A" w:rsidRPr="002F2FDF" w:rsidRDefault="00A5772A" w:rsidP="0083075A">
      <w:pPr>
        <w:pStyle w:val="2"/>
        <w:spacing w:before="0" w:beforeAutospacing="0" w:after="0" w:afterAutospacing="0"/>
        <w:jc w:val="both"/>
        <w:rPr>
          <w:b w:val="0"/>
          <w:color w:val="000000" w:themeColor="text1"/>
          <w:kern w:val="2"/>
          <w:sz w:val="16"/>
          <w:szCs w:val="16"/>
        </w:rPr>
      </w:pPr>
    </w:p>
    <w:p w14:paraId="046A6E0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июля (7 августа) 1917 г. Адаменко наконец-то сдал заказ</w:t>
      </w:r>
      <w:r w:rsidRPr="002F2FDF">
        <w:rPr>
          <w:rFonts w:ascii="Times New Roman" w:hAnsi="Times New Roman" w:cs="Times New Roman"/>
          <w:color w:val="000000" w:themeColor="text1"/>
          <w:kern w:val="2"/>
          <w:sz w:val="16"/>
          <w:szCs w:val="16"/>
        </w:rPr>
        <w:softHyphen/>
        <w:t>чику первую пятерку “Фарманов XVI”. 5 октября сдали еще 5 аппа</w:t>
      </w:r>
      <w:r w:rsidRPr="002F2FDF">
        <w:rPr>
          <w:rFonts w:ascii="Times New Roman" w:hAnsi="Times New Roman" w:cs="Times New Roman"/>
          <w:color w:val="000000" w:themeColor="text1"/>
          <w:kern w:val="2"/>
          <w:sz w:val="16"/>
          <w:szCs w:val="16"/>
        </w:rPr>
        <w:softHyphen/>
        <w:t>ратов, но судьба остальных пятнадцати повисла в воздухе. Несмот</w:t>
      </w:r>
      <w:r w:rsidRPr="002F2FDF">
        <w:rPr>
          <w:rFonts w:ascii="Times New Roman" w:hAnsi="Times New Roman" w:cs="Times New Roman"/>
          <w:color w:val="000000" w:themeColor="text1"/>
          <w:kern w:val="2"/>
          <w:sz w:val="16"/>
          <w:szCs w:val="16"/>
        </w:rPr>
        <w:softHyphen/>
        <w:t>ря на нараставший революционный бардак, некоторые государст</w:t>
      </w:r>
      <w:r w:rsidRPr="002F2FDF">
        <w:rPr>
          <w:rFonts w:ascii="Times New Roman" w:hAnsi="Times New Roman" w:cs="Times New Roman"/>
          <w:color w:val="000000" w:themeColor="text1"/>
          <w:kern w:val="2"/>
          <w:sz w:val="16"/>
          <w:szCs w:val="16"/>
        </w:rPr>
        <w:softHyphen/>
        <w:t>венные структуры, в том числе и УВВФ, продолжали работать как бы по инерции, и 23 ноября начальник этого ведомства разрешил Адаменко поставить оставшиеся “Фарманы XVI” до 20 апреля 1918 г. с удержанием причитающейся по контракту неустойки (11124).</w:t>
      </w:r>
    </w:p>
    <w:p w14:paraId="020B729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37A3E3" w14:textId="77777777" w:rsidR="00A5772A"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4D96E234" w14:textId="77777777" w:rsidR="00A5772A" w:rsidRPr="002F2FDF" w:rsidRDefault="00A5772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70D234" w14:textId="310A5A78" w:rsidR="00A5772A" w:rsidRPr="002F2FDF" w:rsidRDefault="00A5772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25 июля </w:t>
      </w:r>
      <w:r w:rsidR="00573996">
        <w:rPr>
          <w:rFonts w:ascii="Times New Roman" w:hAnsi="Times New Roman" w:cs="Times New Roman"/>
          <w:color w:val="000000" w:themeColor="text1"/>
          <w:kern w:val="2"/>
          <w:sz w:val="16"/>
          <w:szCs w:val="16"/>
        </w:rPr>
        <w:t xml:space="preserve">(7 августа) </w:t>
      </w:r>
      <w:r w:rsidRPr="002F2FDF">
        <w:rPr>
          <w:rFonts w:ascii="Times New Roman" w:hAnsi="Times New Roman" w:cs="Times New Roman"/>
          <w:color w:val="000000" w:themeColor="text1"/>
          <w:kern w:val="2"/>
          <w:sz w:val="16"/>
          <w:szCs w:val="16"/>
        </w:rPr>
        <w:t>1917 Телеграмма уполномоченного Особого совещания по обороне и председателя заводского совещания Ростовского н/Дону района ген. С. Л. Фуфаевского Особому совещанию по обороне</w:t>
      </w:r>
    </w:p>
    <w:p w14:paraId="733CDFF7" w14:textId="77777777" w:rsidR="00A5772A" w:rsidRPr="002F2FDF" w:rsidRDefault="00A5772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36</w:t>
      </w:r>
    </w:p>
    <w:p w14:paraId="01690716" w14:textId="77777777" w:rsidR="00A5772A" w:rsidRPr="002F2FDF" w:rsidRDefault="00A5772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369, оп. 14, д. 22, лл. 30—31. Подлинник.</w:t>
      </w:r>
    </w:p>
    <w:p w14:paraId="35419050" w14:textId="77777777" w:rsidR="00A5772A" w:rsidRPr="002F2FDF" w:rsidRDefault="00A5772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Общий недостаток топлива, металлов и сырых материалов, в связи с возрастающими требованиями рабочих о повышении заработной платы, принял за последние месяцы хронический характер, имея неизбежным последствием повышение себестоимости предметов производства, а в некоторых случаях даже вызывая убыточность отдельных заказов, что, естественно, убивает энергию заводчиков и ослабляет в их среде интерес к работе. Так как при временной остановке заводов или неполной работе их приходится непроизводительно содержать рабочих — [это] побуждает владельцев предприятий сокращать производство и объявлять расчет рабочим, что во все возрастающей степени стало сказываться во вверенном мне районе в течение периода с 12 июня по 15 июля. За указанный промежуток времени в управление заводского совещания поступили уведомления о предстоящем закрытии отдельных цехов и расчете части рабочих от чугунолитейных заводов «Металл» (общее число рабочих 370), «Метеор» (40), Шаевич и Бару (118), мастерской Хенкина в Нахичевани н/Дону (59), завода «Этернит» (82), мастерских Райгородского (179), Емельянова( 70) в Ростове н/Дону, а также многих проволочных и других заводов о том, что они бездействуют целые месяцы и, принужденные держать рабочих, несут убытки. Меры, принимаемые по каждому из таких заявлений заводским совещанием совместно с фабрично-заводской комиссией Ростовского общественного комитета, имеют временный характер и при дальнейшем ухудшении общего положения окажутся недостигающими цели, почему не исключается в будущем возможность прогрессивного возрастания числа безработных (15519).</w:t>
      </w:r>
    </w:p>
    <w:p w14:paraId="2F4A252E" w14:textId="77777777" w:rsidR="00A5772A" w:rsidRPr="002F2FDF" w:rsidRDefault="00A5772A" w:rsidP="0083075A">
      <w:pPr>
        <w:spacing w:after="0" w:line="240" w:lineRule="auto"/>
        <w:jc w:val="both"/>
        <w:rPr>
          <w:rFonts w:ascii="Times New Roman" w:hAnsi="Times New Roman" w:cs="Times New Roman"/>
          <w:color w:val="000000" w:themeColor="text1"/>
          <w:kern w:val="2"/>
          <w:sz w:val="16"/>
          <w:szCs w:val="16"/>
        </w:rPr>
      </w:pPr>
    </w:p>
    <w:p w14:paraId="4A812C1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8845B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C6BF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июля (7 августа) 1917 австро-немецкие войска перешли в наступление на Румынском фронте (2569,37).</w:t>
      </w:r>
    </w:p>
    <w:p w14:paraId="2BB24F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B2FE46" w14:textId="57A7F261" w:rsidR="00CD1AB0" w:rsidRPr="00FB4F67" w:rsidRDefault="00CD1AB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25 июля (</w:t>
      </w:r>
      <w:r w:rsidRPr="00FB4F67">
        <w:rPr>
          <w:rFonts w:ascii="Times New Roman" w:hAnsi="Times New Roman" w:cs="Times New Roman"/>
          <w:color w:val="0070C0"/>
          <w:sz w:val="16"/>
          <w:szCs w:val="16"/>
        </w:rPr>
        <w:t>7 августа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Ткачев получил телеграмму с приглашением в Москву на 1-е Всероссийское авиационное совещание под председательством прапорщика Дунаевского. Конференция открылась 10 числа обсуждением вопросов фронтового технического снабжения. Там Ткачев ходатайствовал о необходимом транспорте, </w:t>
      </w:r>
      <w:r w:rsidRPr="00FB4F67">
        <w:rPr>
          <w:rFonts w:ascii="Times New Roman" w:hAnsi="Times New Roman" w:cs="Times New Roman"/>
          <w:color w:val="0070C0"/>
          <w:sz w:val="16"/>
          <w:szCs w:val="16"/>
        </w:rPr>
        <w:lastRenderedPageBreak/>
        <w:t>чтобы «организовать доставку сотен и сотен самолетов, стоящих где-то на железнодорожных путях между Архангельском, Москвой и фронтом». Большинство авиационных частей теперь действовало вполсилы. Были проблемы с заменой крепления, поставкой и обслуживанием. Производство на заводах сократилось до минимума из-за забастовок рабочих и сильно перегруженной железнодорожной сети (23525).</w:t>
      </w:r>
    </w:p>
    <w:p w14:paraId="1BD1763C" w14:textId="77777777" w:rsidR="00CD1AB0" w:rsidRPr="00FB4F67" w:rsidRDefault="00CD1AB0" w:rsidP="0083075A">
      <w:pPr>
        <w:spacing w:after="0" w:line="240" w:lineRule="auto"/>
        <w:jc w:val="both"/>
        <w:rPr>
          <w:rFonts w:ascii="Times New Roman" w:hAnsi="Times New Roman" w:cs="Times New Roman"/>
          <w:color w:val="0070C0"/>
          <w:sz w:val="16"/>
          <w:szCs w:val="16"/>
        </w:rPr>
      </w:pPr>
    </w:p>
    <w:p w14:paraId="4DB1951E" w14:textId="6DAF0091" w:rsidR="00CD1AB0" w:rsidRPr="00FB4F67" w:rsidRDefault="00CD1AB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25 июля (</w:t>
      </w:r>
      <w:r w:rsidRPr="00FB4F67">
        <w:rPr>
          <w:rFonts w:ascii="Times New Roman" w:hAnsi="Times New Roman" w:cs="Times New Roman"/>
          <w:color w:val="0070C0"/>
          <w:sz w:val="16"/>
          <w:szCs w:val="16"/>
        </w:rPr>
        <w:t>7 августа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больнице Киева от сердечного приступа скончался летчик-подполковник Джеймс Валентайн, глава британской авиационной миссии в России. 19-го русские представили его к награждению орденом Святого Георгия 4-й степени, но награда так и не была вручена. Валентин пользовался большим уважением у русских летчиков за свою помощь (23525).</w:t>
      </w:r>
    </w:p>
    <w:p w14:paraId="30B27804" w14:textId="77777777" w:rsidR="00CD1AB0" w:rsidRPr="00FB4F67" w:rsidRDefault="00CD1AB0" w:rsidP="0083075A">
      <w:pPr>
        <w:spacing w:after="0" w:line="240" w:lineRule="auto"/>
        <w:jc w:val="both"/>
        <w:rPr>
          <w:rFonts w:ascii="Times New Roman" w:hAnsi="Times New Roman" w:cs="Times New Roman"/>
          <w:color w:val="0070C0"/>
          <w:sz w:val="16"/>
          <w:szCs w:val="16"/>
        </w:rPr>
      </w:pPr>
    </w:p>
    <w:p w14:paraId="49B2FC4E" w14:textId="5D191897" w:rsidR="00CD1AB0" w:rsidRPr="00FB4F67" w:rsidRDefault="00CD1AB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25/26 июля (</w:t>
      </w:r>
      <w:r w:rsidRPr="00FB4F67">
        <w:rPr>
          <w:rFonts w:ascii="Times New Roman" w:hAnsi="Times New Roman" w:cs="Times New Roman"/>
          <w:color w:val="0070C0"/>
          <w:sz w:val="16"/>
          <w:szCs w:val="16"/>
        </w:rPr>
        <w:t>7</w:t>
      </w:r>
      <w:r>
        <w:rPr>
          <w:rFonts w:ascii="Times New Roman" w:hAnsi="Times New Roman" w:cs="Times New Roman"/>
          <w:color w:val="0070C0"/>
          <w:sz w:val="16"/>
          <w:szCs w:val="16"/>
        </w:rPr>
        <w:t>/8</w:t>
      </w:r>
      <w:r w:rsidRPr="00FB4F67">
        <w:rPr>
          <w:rFonts w:ascii="Times New Roman" w:hAnsi="Times New Roman" w:cs="Times New Roman"/>
          <w:color w:val="0070C0"/>
          <w:sz w:val="16"/>
          <w:szCs w:val="16"/>
        </w:rPr>
        <w:t xml:space="preserve"> августа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личный состав 4-го армейского воздухоплавательного отряда записал на свой счет два сбитых вражеских аэроплана, атаковавших наши аэростаты (23405).</w:t>
      </w:r>
    </w:p>
    <w:p w14:paraId="728627C8" w14:textId="77777777" w:rsidR="00CD1AB0" w:rsidRPr="00FB4F67" w:rsidRDefault="00CD1AB0" w:rsidP="0083075A">
      <w:pPr>
        <w:spacing w:after="0" w:line="240" w:lineRule="auto"/>
        <w:jc w:val="both"/>
        <w:rPr>
          <w:rFonts w:ascii="Times New Roman" w:hAnsi="Times New Roman" w:cs="Times New Roman"/>
          <w:color w:val="0070C0"/>
          <w:sz w:val="16"/>
          <w:szCs w:val="16"/>
        </w:rPr>
      </w:pPr>
    </w:p>
    <w:p w14:paraId="72B3883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C7D37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BEEA3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июля (7 августа) 1917 по приказу Временного правительства арестован один из лидеров большевиков Анатолий Луначарский, обвиненный в государственной измене (4962).</w:t>
      </w:r>
    </w:p>
    <w:p w14:paraId="292C6C8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4CD030" w14:textId="77777777" w:rsidR="00FA6D1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5DB840D" w14:textId="77777777" w:rsidR="00FA6D11" w:rsidRPr="002F2FDF" w:rsidRDefault="00FA6D1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6D9EFB" w14:textId="77777777" w:rsidR="003F2424" w:rsidRPr="002F2FDF" w:rsidRDefault="003F24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25 июля (7 августа) 1917 Даннинг погиб при третьем приземлении, когда на машину упал Сопвич Пап (20341).</w:t>
      </w:r>
    </w:p>
    <w:p w14:paraId="1078D6BB" w14:textId="77777777" w:rsidR="003F2424" w:rsidRPr="002F2FDF" w:rsidRDefault="003F2424" w:rsidP="0083075A">
      <w:pPr>
        <w:spacing w:after="0" w:line="240" w:lineRule="auto"/>
        <w:jc w:val="both"/>
        <w:rPr>
          <w:rFonts w:ascii="Times New Roman" w:hAnsi="Times New Roman" w:cs="Times New Roman"/>
          <w:color w:val="000000" w:themeColor="text1"/>
          <w:sz w:val="16"/>
          <w:szCs w:val="16"/>
        </w:rPr>
      </w:pPr>
    </w:p>
    <w:p w14:paraId="332932CB" w14:textId="7B9FB420" w:rsidR="00573996" w:rsidRPr="002F2FDF" w:rsidRDefault="0057399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w:t>
      </w:r>
      <w:r>
        <w:rPr>
          <w:rFonts w:ascii="Times New Roman" w:hAnsi="Times New Roman" w:cs="Times New Roman"/>
          <w:color w:val="000000" w:themeColor="text1"/>
          <w:sz w:val="16"/>
          <w:szCs w:val="16"/>
        </w:rPr>
        <w:t>5</w:t>
      </w:r>
      <w:r w:rsidRPr="002F2FDF">
        <w:rPr>
          <w:rFonts w:ascii="Times New Roman" w:hAnsi="Times New Roman" w:cs="Times New Roman"/>
          <w:color w:val="000000" w:themeColor="text1"/>
          <w:sz w:val="16"/>
          <w:szCs w:val="16"/>
        </w:rPr>
        <w:t xml:space="preserve"> июля (7 августа) 1917 г. лейтенант Даннинг, который впервые в истории сел на корабль — на переднюю палубу «Фьюриеса», имевшего ход 26 узлов пытался сделать еще одну посадку, но в последний момент самолет свалился за правый борт корабля, убив своего пилота, — то ли мотор отказал, то ли Даннинг не справился со слишком сложной задачей (22725).</w:t>
      </w:r>
    </w:p>
    <w:p w14:paraId="4E8E68A6" w14:textId="77777777" w:rsidR="00573996" w:rsidRPr="002F2FDF" w:rsidRDefault="00573996" w:rsidP="0083075A">
      <w:pPr>
        <w:spacing w:after="0" w:line="240" w:lineRule="auto"/>
        <w:jc w:val="both"/>
        <w:rPr>
          <w:rFonts w:ascii="Times New Roman" w:hAnsi="Times New Roman" w:cs="Times New Roman"/>
          <w:color w:val="000000" w:themeColor="text1"/>
          <w:sz w:val="16"/>
          <w:szCs w:val="16"/>
        </w:rPr>
      </w:pPr>
    </w:p>
    <w:p w14:paraId="7165AC8E" w14:textId="77777777" w:rsidR="00FA6D11" w:rsidRPr="002F2FDF" w:rsidRDefault="00FA6D11" w:rsidP="0083075A">
      <w:pPr>
        <w:pStyle w:val="ae"/>
        <w:spacing w:before="0" w:after="0"/>
        <w:jc w:val="both"/>
        <w:rPr>
          <w:color w:val="000000" w:themeColor="text1"/>
          <w:kern w:val="2"/>
          <w:sz w:val="16"/>
          <w:szCs w:val="16"/>
        </w:rPr>
      </w:pPr>
      <w:r w:rsidRPr="002F2FDF">
        <w:rPr>
          <w:color w:val="000000" w:themeColor="text1"/>
          <w:kern w:val="2"/>
          <w:sz w:val="16"/>
          <w:szCs w:val="16"/>
        </w:rPr>
        <w:t>За период с 25 по 31 июля (7 по 13 августа) 1917 германские подводные лодки потопили 56 судов (17045).</w:t>
      </w:r>
    </w:p>
    <w:p w14:paraId="6499A883" w14:textId="77777777" w:rsidR="00FA6D11" w:rsidRPr="002F2FDF" w:rsidRDefault="00FA6D1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E29D3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1B5B8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663EC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июля (8 августа) 1917, ровно через год после первого полета прототипа, УВВФ заключило с А.А.Анатрой контракт № 39614/22486:</w:t>
      </w:r>
    </w:p>
    <w:p w14:paraId="0483423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Изготовить и поставить для УВВФ:</w:t>
      </w:r>
    </w:p>
    <w:p w14:paraId="3A91183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300 аэропланов типа Анатра-Д без счетчика оборотов, моторов и винтов, но с полным оборудованием для установки на них моторов Сальмсон или Испано-Сюиза 200НР, с 2-мя пулеметными установками, из коих одна для стрельбы через винт по 13500 руб. За аппарат,</w:t>
      </w:r>
    </w:p>
    <w:p w14:paraId="6B5AF20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300 нормальных комплектов запчастей к ним по 2.805 руб. За комплект,</w:t>
      </w:r>
    </w:p>
    <w:p w14:paraId="1B0521D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30 дополнительных комплектов по 25.698 руб. 40 коп. За комплект,</w:t>
      </w:r>
    </w:p>
    <w:p w14:paraId="2EF0CAD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всего на общую сумму 5662772 руб. (5151, 12).</w:t>
      </w:r>
    </w:p>
    <w:p w14:paraId="66A3673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476E8C" w14:textId="52146E6C" w:rsidR="000E683A" w:rsidRPr="00FB4F67" w:rsidRDefault="000E683A"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26 июля </w:t>
      </w:r>
      <w:r>
        <w:rPr>
          <w:rFonts w:ascii="Times New Roman" w:hAnsi="Times New Roman" w:cs="Times New Roman"/>
          <w:color w:val="0070C0"/>
          <w:sz w:val="16"/>
          <w:szCs w:val="16"/>
        </w:rPr>
        <w:t xml:space="preserve">(8 августа) </w:t>
      </w:r>
      <w:r w:rsidRPr="00FB4F67">
        <w:rPr>
          <w:rFonts w:ascii="Times New Roman" w:hAnsi="Times New Roman" w:cs="Times New Roman"/>
          <w:color w:val="0070C0"/>
          <w:sz w:val="16"/>
          <w:szCs w:val="16"/>
        </w:rPr>
        <w:t>1917 г. был подписан контракт с Управлением Воздушного флота на постройку 300 аппаратов «Анатра Д» с двигателем «Сальмсон». В августе 1917 г. завод Анатра приступил к изготовлению первой партии самолетов. До конца года удалось изгото</w:t>
      </w:r>
      <w:r w:rsidRPr="00FB4F67">
        <w:rPr>
          <w:rFonts w:ascii="Times New Roman" w:hAnsi="Times New Roman" w:cs="Times New Roman"/>
          <w:color w:val="0070C0"/>
          <w:sz w:val="16"/>
          <w:szCs w:val="16"/>
        </w:rPr>
        <w:softHyphen/>
        <w:t>вить более 100 «Анасалей», 46 из них сда</w:t>
      </w:r>
      <w:r w:rsidRPr="00FB4F67">
        <w:rPr>
          <w:rFonts w:ascii="Times New Roman" w:hAnsi="Times New Roman" w:cs="Times New Roman"/>
          <w:color w:val="0070C0"/>
          <w:sz w:val="16"/>
          <w:szCs w:val="16"/>
        </w:rPr>
        <w:softHyphen/>
        <w:t>ли военному ведомству. Послужить в авиа</w:t>
      </w:r>
      <w:r w:rsidRPr="00FB4F67">
        <w:rPr>
          <w:rFonts w:ascii="Times New Roman" w:hAnsi="Times New Roman" w:cs="Times New Roman"/>
          <w:color w:val="0070C0"/>
          <w:sz w:val="16"/>
          <w:szCs w:val="16"/>
        </w:rPr>
        <w:softHyphen/>
        <w:t>ции русской армии эти самолеты практиче</w:t>
      </w:r>
      <w:r w:rsidRPr="00FB4F67">
        <w:rPr>
          <w:rFonts w:ascii="Times New Roman" w:hAnsi="Times New Roman" w:cs="Times New Roman"/>
          <w:color w:val="0070C0"/>
          <w:sz w:val="16"/>
          <w:szCs w:val="16"/>
        </w:rPr>
        <w:softHyphen/>
        <w:t>ски не успели, т.к. революционные события привели к развалу армии и от</w:t>
      </w:r>
      <w:r w:rsidRPr="00FB4F67">
        <w:rPr>
          <w:rFonts w:ascii="Times New Roman" w:hAnsi="Times New Roman" w:cs="Times New Roman"/>
          <w:color w:val="0070C0"/>
          <w:sz w:val="16"/>
          <w:szCs w:val="16"/>
        </w:rPr>
        <w:softHyphen/>
        <w:t>ступлению с линии фронта войсковых со</w:t>
      </w:r>
      <w:r w:rsidRPr="00FB4F67">
        <w:rPr>
          <w:rFonts w:ascii="Times New Roman" w:hAnsi="Times New Roman" w:cs="Times New Roman"/>
          <w:color w:val="0070C0"/>
          <w:sz w:val="16"/>
          <w:szCs w:val="16"/>
        </w:rPr>
        <w:softHyphen/>
        <w:t>единений (23374).</w:t>
      </w:r>
    </w:p>
    <w:p w14:paraId="4168A66F" w14:textId="77777777" w:rsidR="000E683A" w:rsidRPr="00FB4F67" w:rsidRDefault="000E683A" w:rsidP="0083075A">
      <w:pPr>
        <w:spacing w:after="0" w:line="240" w:lineRule="auto"/>
        <w:jc w:val="both"/>
        <w:rPr>
          <w:rFonts w:ascii="Times New Roman" w:hAnsi="Times New Roman" w:cs="Times New Roman"/>
          <w:color w:val="0070C0"/>
          <w:sz w:val="16"/>
          <w:szCs w:val="16"/>
        </w:rPr>
      </w:pPr>
    </w:p>
    <w:p w14:paraId="140CAC74" w14:textId="1EACF002" w:rsidR="009A165D" w:rsidRPr="00FB4F67" w:rsidRDefault="009A165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26 июля </w:t>
      </w:r>
      <w:r>
        <w:rPr>
          <w:rFonts w:ascii="Times New Roman" w:hAnsi="Times New Roman" w:cs="Times New Roman"/>
          <w:color w:val="0070C0"/>
          <w:sz w:val="16"/>
          <w:szCs w:val="16"/>
        </w:rPr>
        <w:t xml:space="preserve">(8 августа) </w:t>
      </w:r>
      <w:r w:rsidRPr="00FB4F67">
        <w:rPr>
          <w:rFonts w:ascii="Times New Roman" w:hAnsi="Times New Roman" w:cs="Times New Roman"/>
          <w:color w:val="0070C0"/>
          <w:sz w:val="16"/>
          <w:szCs w:val="16"/>
        </w:rPr>
        <w:t>1917 года Anatra получила заказ на 300 машин Anatra DS с двигателями Hispano-Suiza мощностью 200 л.с. (по 13 500 рублей за самолет), из которых, вероятно, было построено только сорок шесть. Некоторые анасалы служили в АО 4-й, 8-й и 11-й армий (23525).</w:t>
      </w:r>
    </w:p>
    <w:p w14:paraId="454089E6" w14:textId="77777777" w:rsidR="009A165D" w:rsidRPr="00FB4F67" w:rsidRDefault="009A165D" w:rsidP="0083075A">
      <w:pPr>
        <w:spacing w:after="0" w:line="240" w:lineRule="auto"/>
        <w:jc w:val="both"/>
        <w:rPr>
          <w:rFonts w:ascii="Times New Roman" w:hAnsi="Times New Roman" w:cs="Times New Roman"/>
          <w:color w:val="0070C0"/>
          <w:sz w:val="16"/>
          <w:szCs w:val="16"/>
        </w:rPr>
      </w:pPr>
    </w:p>
    <w:p w14:paraId="25BC58A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5A252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51D1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июля (8 августа) 1917 Казаков трижды имел воз</w:t>
      </w:r>
      <w:r w:rsidRPr="002F2FDF">
        <w:rPr>
          <w:rFonts w:ascii="Times New Roman" w:hAnsi="Times New Roman" w:cs="Times New Roman"/>
          <w:color w:val="000000" w:themeColor="text1"/>
          <w:kern w:val="2"/>
          <w:sz w:val="16"/>
          <w:szCs w:val="16"/>
        </w:rPr>
        <w:softHyphen/>
        <w:t>можность пополнить свой боевой счет, но в этот раз удача от него отвер</w:t>
      </w:r>
      <w:r w:rsidRPr="002F2FDF">
        <w:rPr>
          <w:rFonts w:ascii="Times New Roman" w:hAnsi="Times New Roman" w:cs="Times New Roman"/>
          <w:color w:val="000000" w:themeColor="text1"/>
          <w:kern w:val="2"/>
          <w:sz w:val="16"/>
          <w:szCs w:val="16"/>
        </w:rPr>
        <w:softHyphen/>
        <w:t>нулась. В 10 утра Казаков и Шангин атаковали неприятельский самолет, который, быстро снижаясь, ушел в свой тыл. Через 20 мин. они атаковали у деревни Кадовцы второй самолет противника и после продолжительно</w:t>
      </w:r>
      <w:r w:rsidRPr="002F2FDF">
        <w:rPr>
          <w:rFonts w:ascii="Times New Roman" w:hAnsi="Times New Roman" w:cs="Times New Roman"/>
          <w:color w:val="000000" w:themeColor="text1"/>
          <w:kern w:val="2"/>
          <w:sz w:val="16"/>
          <w:szCs w:val="16"/>
        </w:rPr>
        <w:softHyphen/>
        <w:t>го боя снизили его до 50 м “...где огонь нашей артиллерии мешал до</w:t>
      </w:r>
      <w:r w:rsidRPr="002F2FDF">
        <w:rPr>
          <w:rFonts w:ascii="Times New Roman" w:hAnsi="Times New Roman" w:cs="Times New Roman"/>
          <w:color w:val="000000" w:themeColor="text1"/>
          <w:kern w:val="2"/>
          <w:sz w:val="16"/>
          <w:szCs w:val="16"/>
        </w:rPr>
        <w:softHyphen/>
        <w:t>бить врага на своей территории и не</w:t>
      </w:r>
      <w:r w:rsidRPr="002F2FDF">
        <w:rPr>
          <w:rFonts w:ascii="Times New Roman" w:hAnsi="Times New Roman" w:cs="Times New Roman"/>
          <w:color w:val="000000" w:themeColor="text1"/>
          <w:kern w:val="2"/>
          <w:sz w:val="16"/>
          <w:szCs w:val="16"/>
        </w:rPr>
        <w:softHyphen/>
        <w:t>приятельский самолет, пройдя Збруч, опустился в районе Иване-Пусте”. Третий самолет, обстрелянный наши</w:t>
      </w:r>
      <w:r w:rsidRPr="002F2FDF">
        <w:rPr>
          <w:rFonts w:ascii="Times New Roman" w:hAnsi="Times New Roman" w:cs="Times New Roman"/>
          <w:color w:val="000000" w:themeColor="text1"/>
          <w:kern w:val="2"/>
          <w:sz w:val="16"/>
          <w:szCs w:val="16"/>
        </w:rPr>
        <w:softHyphen/>
        <w:t>ми летчиками у деревни Кудринцы, также сумел уйти в свой тыл. В добавок ко всему Казаков во время пос</w:t>
      </w:r>
      <w:r w:rsidRPr="002F2FDF">
        <w:rPr>
          <w:rFonts w:ascii="Times New Roman" w:hAnsi="Times New Roman" w:cs="Times New Roman"/>
          <w:color w:val="000000" w:themeColor="text1"/>
          <w:kern w:val="2"/>
          <w:sz w:val="16"/>
          <w:szCs w:val="16"/>
        </w:rPr>
        <w:softHyphen/>
        <w:t>леднего боя был ранен в ногу. Несмо</w:t>
      </w:r>
      <w:r w:rsidRPr="002F2FDF">
        <w:rPr>
          <w:rFonts w:ascii="Times New Roman" w:hAnsi="Times New Roman" w:cs="Times New Roman"/>
          <w:color w:val="000000" w:themeColor="text1"/>
          <w:kern w:val="2"/>
          <w:sz w:val="16"/>
          <w:szCs w:val="16"/>
        </w:rPr>
        <w:softHyphen/>
        <w:t>тря на ранение, он уже следующим ут</w:t>
      </w:r>
      <w:r w:rsidRPr="002F2FDF">
        <w:rPr>
          <w:rFonts w:ascii="Times New Roman" w:hAnsi="Times New Roman" w:cs="Times New Roman"/>
          <w:color w:val="000000" w:themeColor="text1"/>
          <w:kern w:val="2"/>
          <w:sz w:val="16"/>
          <w:szCs w:val="16"/>
        </w:rPr>
        <w:softHyphen/>
        <w:t>ром снова вылетел на задание (3954).</w:t>
      </w:r>
    </w:p>
    <w:p w14:paraId="00E6FC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6DA168" w14:textId="77777777" w:rsidR="00135C75" w:rsidRPr="002F2FDF" w:rsidRDefault="00135C75"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июля (8 августа) 1917 на Восточном фронте войска Германии и Австро-Венгрии предпринимают успешное контрнаступление на русские позиции (до 4 августа) (12629).</w:t>
      </w:r>
    </w:p>
    <w:p w14:paraId="60D5F024" w14:textId="77777777" w:rsidR="00135C75" w:rsidRPr="002F2FDF" w:rsidRDefault="00135C7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6A86D3" w14:textId="77777777" w:rsidR="00A05C66" w:rsidRPr="002F2FDF" w:rsidRDefault="00A05C66" w:rsidP="0083075A">
      <w:pPr>
        <w:pStyle w:val="ae"/>
        <w:spacing w:before="0" w:after="0"/>
        <w:jc w:val="both"/>
        <w:rPr>
          <w:color w:val="000000" w:themeColor="text1"/>
          <w:kern w:val="2"/>
          <w:sz w:val="16"/>
          <w:szCs w:val="16"/>
        </w:rPr>
      </w:pPr>
      <w:r w:rsidRPr="002F2FDF">
        <w:rPr>
          <w:color w:val="000000" w:themeColor="text1"/>
          <w:kern w:val="2"/>
          <w:sz w:val="16"/>
          <w:szCs w:val="16"/>
        </w:rPr>
        <w:t>26 июля (8 августа) в 1917 году австро-венгерские войска атаковали позиции в районе реки Ойтуз (в западной части исторического региона Молдова), где вместе с румынами сражались и русские войска. Австрийцы четыре раза пытались взять штурмом одну из господствующих высот, где закрепились румыны, но все атаки были отбиты. Ожесточенные бои, в ходе которых немцы применяли броневики, а потери с обеих сторон исчислялись тысячами убитых, раненых и попавших в плен, продолжались почти на всем протяжении фронта (17045).</w:t>
      </w:r>
    </w:p>
    <w:p w14:paraId="33C2F5CA" w14:textId="77777777" w:rsidR="00A05C66" w:rsidRPr="002F2FDF" w:rsidRDefault="00A05C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59D9CF" w14:textId="7C1CB140" w:rsidR="009A165D" w:rsidRPr="00FB4F67" w:rsidRDefault="009A165D"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26 июля (</w:t>
      </w:r>
      <w:r w:rsidRPr="00FB4F67">
        <w:rPr>
          <w:rFonts w:ascii="Times New Roman" w:hAnsi="Times New Roman" w:cs="Times New Roman"/>
          <w:color w:val="0070C0"/>
          <w:sz w:val="16"/>
          <w:szCs w:val="16"/>
        </w:rPr>
        <w:t>8 августа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было отмечено несколько случаев попыток противника по разрушению транспортной инфраструктуры. В результате разрыва авиабомбы на ст. Столбцы в составе летучего санитарного отряда был убит рабочий, ранение получили три нижних чина. Бомба, сброшенная на мостовые работы технического отряда (с. Старый Свержень), по счастливой случайности попала в болото. После неудачной бомбардировки немецкий аэроплан попытался обстрелять наших рабочих из пулемета (без какого-либо вреда). После нескольких дней затишья германская авиация возобновила налеты на ст. Молодечно. Под ударами оказались железнодорожное полотно, сооружения и здания станции, учреждения Красного Креста и земского союза (23405).</w:t>
      </w:r>
    </w:p>
    <w:p w14:paraId="1605B23E" w14:textId="77777777" w:rsidR="009A165D" w:rsidRPr="00FB4F67" w:rsidRDefault="009A165D" w:rsidP="0083075A">
      <w:pPr>
        <w:spacing w:after="0" w:line="240" w:lineRule="auto"/>
        <w:jc w:val="both"/>
        <w:rPr>
          <w:rFonts w:ascii="Times New Roman" w:hAnsi="Times New Roman" w:cs="Times New Roman"/>
          <w:color w:val="0070C0"/>
          <w:sz w:val="16"/>
          <w:szCs w:val="16"/>
        </w:rPr>
      </w:pPr>
    </w:p>
    <w:p w14:paraId="7393B868" w14:textId="57A1231D" w:rsidR="009A165D" w:rsidRPr="00FB4F67" w:rsidRDefault="009A165D"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26 июля (</w:t>
      </w:r>
      <w:r w:rsidRPr="00FB4F67">
        <w:rPr>
          <w:rFonts w:ascii="Times New Roman" w:hAnsi="Times New Roman" w:cs="Times New Roman"/>
          <w:color w:val="0070C0"/>
          <w:sz w:val="16"/>
          <w:szCs w:val="16"/>
        </w:rPr>
        <w:t>8 августа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на Румынском фронте австро-германские войска начали атаку в третьем сражении при Ойтузе с целью прорвать горы в долине Тротус. Тяжелые бои румын у Чиресоайи 12 августа и Косны 20–22 августа вынудили противника приостановить наступление. В ходе этих операций румынская авиация выполнила 117 истребительных вылетов на прикрытие и перехват, 97 разведывательных, 68 артиллерийских и 7 бомбардировочных (23525).</w:t>
      </w:r>
    </w:p>
    <w:p w14:paraId="05165D5A" w14:textId="77777777" w:rsidR="009A165D" w:rsidRPr="00FB4F67" w:rsidRDefault="009A165D" w:rsidP="0083075A">
      <w:pPr>
        <w:spacing w:after="0" w:line="240" w:lineRule="auto"/>
        <w:jc w:val="both"/>
        <w:rPr>
          <w:rFonts w:ascii="Times New Roman" w:hAnsi="Times New Roman" w:cs="Times New Roman"/>
          <w:color w:val="0070C0"/>
          <w:sz w:val="16"/>
          <w:szCs w:val="16"/>
        </w:rPr>
      </w:pPr>
    </w:p>
    <w:p w14:paraId="595C15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июля (8 августа) 1917 п/л Вепрь в северной части Ботнического залива потопила германский пароход (3124).</w:t>
      </w:r>
    </w:p>
    <w:p w14:paraId="3CB1EE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25C844"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июля (8 августа) в 1917 году русский катер, несмотря на массированный обстрел, проходит Босфор и сбрасывает там антигерманские листовки для турок (14964).</w:t>
      </w:r>
    </w:p>
    <w:p w14:paraId="718097B7"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p>
    <w:p w14:paraId="6D493E7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DEE46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0627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июля - 3 августа (8-16 августа) состоялся 6 съезд большевистской партии. Провозгласили курс на вооруженное восстание (1348,86).</w:t>
      </w:r>
    </w:p>
    <w:p w14:paraId="6C31B0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5E2D1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июля (8 августа) 1917 начался VI съезд партии большевиков, который взял курс на вооруженное восстание (4962).</w:t>
      </w:r>
    </w:p>
    <w:p w14:paraId="3CF400C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CF9C93" w14:textId="77777777" w:rsidR="00135C75" w:rsidRPr="002F2FDF" w:rsidRDefault="00135C75"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июля (8 августа) 1917 состоялся VI съезд РСДРП (до 3 августа). Троцкого избрали в ЦК (рулил из "Крестов"). Ленину запретили являться на суд Временного правительства (сиди в шалаше, дорогой товарищ). Принят манифест РСДРП «Ко всем трудящимся, ко всем рабочим, солдатам и крестьянам России». Штык в землю, вся власть Советам (12629).</w:t>
      </w:r>
    </w:p>
    <w:p w14:paraId="72B6A704" w14:textId="77777777" w:rsidR="00135C75" w:rsidRPr="002F2FDF" w:rsidRDefault="00135C75"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3228C8" w14:textId="77777777" w:rsidR="00A05C66" w:rsidRPr="002F2FDF" w:rsidRDefault="00A05C66"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26 июля (8 августа) 1917 в Петрограде открылся VI съезд РСДРП(б) — партии большевиков. Он проходил в полуподпольной обстановке, так как многие большевики </w:t>
      </w:r>
      <w:r w:rsidRPr="002F2FDF">
        <w:rPr>
          <w:color w:val="000000" w:themeColor="text1"/>
          <w:kern w:val="2"/>
          <w:sz w:val="16"/>
          <w:szCs w:val="16"/>
        </w:rPr>
        <w:lastRenderedPageBreak/>
        <w:t>к тому времени были арестованы после подавления июльского мятежа, а оставшиеся на свободе боялись новых репрессий. Лидер партии Владимир Ленин продолжал прятаться в шалаше близ озера Сестрорецкий Разлив (на северо-западной окраине нынешнего Санкт-Петербурга), где выдавал себя за глухонемого финского крестьянина. Съезд высказался против его явки на суд Временного правительства, так как «это будет не суд, а расправа над вождем». Также было решено временно отказаться от лозунга «Вся власть Советам!», поскольку даже в советах большевикам не удавалось пока получить большинство голосов. В связи с этим съезд объявил курс на «большевизацию» советов, что уже не казалось несбыточной мечтой — многие выступавшие отмечали, что численность партии за несколько месяцев выросла втрое (до 240 тысяч членов) и удалось наладить издание уже более 40 газет. Главной же задачей большевиков съезд провозгласил подготовку вооруженного восстания в крупных городах с целью свержения Временного правительства и «социалистическую революцию» (17045).</w:t>
      </w:r>
    </w:p>
    <w:p w14:paraId="735362E2" w14:textId="77777777" w:rsidR="00A05C66" w:rsidRPr="002F2FDF" w:rsidRDefault="00A05C66"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057D5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июля (8 августа) 1917 представителем ЦК РДСРП(б) в Донбассе назначен Григорий Петровский, в честь которого теперь назван Днепропетровск (4962).</w:t>
      </w:r>
    </w:p>
    <w:p w14:paraId="2AA5B17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970E8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июля (8 августа) 1917 в России снят запрет на деятельность иезуитского ордена (4962).</w:t>
      </w:r>
    </w:p>
    <w:p w14:paraId="0B15567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A3E681" w14:textId="77777777" w:rsidR="00A05C66" w:rsidRPr="002F2FDF" w:rsidRDefault="00A05C66" w:rsidP="0083075A">
      <w:pPr>
        <w:pStyle w:val="ae"/>
        <w:spacing w:before="0" w:after="0"/>
        <w:jc w:val="both"/>
        <w:rPr>
          <w:color w:val="000000" w:themeColor="text1"/>
          <w:kern w:val="2"/>
          <w:sz w:val="16"/>
          <w:szCs w:val="16"/>
        </w:rPr>
      </w:pPr>
      <w:r w:rsidRPr="002F2FDF">
        <w:rPr>
          <w:color w:val="000000" w:themeColor="text1"/>
          <w:kern w:val="2"/>
          <w:sz w:val="16"/>
          <w:szCs w:val="16"/>
        </w:rPr>
        <w:t>26 июля (8 августа) 1917 Временное правительство в рамках демократизации жизни в стране сняло запрет на деятельность в России католического ордена иезуитов, а 13 августа преподавание Закона Божьего было переведено в число необязательных (факультативных) предметов (17045).</w:t>
      </w:r>
    </w:p>
    <w:p w14:paraId="46CECEAF" w14:textId="77777777" w:rsidR="00A05C66" w:rsidRPr="002F2FDF" w:rsidRDefault="00A05C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DBF80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FC6DF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8ABB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июля (9 августа) 1917 ТК УВВФ отказался строить и испытывать летающую модель большого шестимоторного триплана Ижорского завода с двумя Анзани по 40 нр по предложению А.Д.Кондратьев, сделанного 30 мая 1917, так как счет, что модель не соответствует прототипу и не поможет (92,215).</w:t>
      </w:r>
    </w:p>
    <w:p w14:paraId="2452B2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7218A9" w14:textId="65084ED8" w:rsidR="009A165D" w:rsidRDefault="009A165D"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64D2CF19" w14:textId="77777777" w:rsidR="009A165D" w:rsidRDefault="009A165D"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855B919" w14:textId="18586A1A" w:rsidR="009A165D" w:rsidRPr="00FB4F67" w:rsidRDefault="009A165D"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27 июля (</w:t>
      </w:r>
      <w:r w:rsidRPr="00FB4F67">
        <w:rPr>
          <w:rFonts w:ascii="Times New Roman" w:hAnsi="Times New Roman" w:cs="Times New Roman"/>
          <w:color w:val="0070C0"/>
          <w:sz w:val="16"/>
          <w:szCs w:val="16"/>
        </w:rPr>
        <w:t>9 августа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противник потерял очередной свой самолет в полосе русского Западного фронта (на Барановическом направлении), также уничтоженный зенитным огнем. Самолет упал в районе д. Высадовича. Летательный аппарат сгорел, летчик погиб. Больше повезло австрийскому летчику лейтенанту Шларбауму, чей самолет в тот же день был подбит в воздушном бою в прифронтовой полосе (23405).</w:t>
      </w:r>
    </w:p>
    <w:p w14:paraId="0BAAF077" w14:textId="77777777" w:rsidR="009A165D" w:rsidRPr="00FB4F67" w:rsidRDefault="009A165D" w:rsidP="0083075A">
      <w:pPr>
        <w:spacing w:after="0" w:line="240" w:lineRule="auto"/>
        <w:jc w:val="both"/>
        <w:rPr>
          <w:rFonts w:ascii="Times New Roman" w:hAnsi="Times New Roman" w:cs="Times New Roman"/>
          <w:color w:val="0070C0"/>
          <w:sz w:val="16"/>
          <w:szCs w:val="16"/>
        </w:rPr>
      </w:pPr>
    </w:p>
    <w:p w14:paraId="138B9132" w14:textId="7614F118"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C4DDA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D351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июля (9 августа) 1917 в 9 часов вечера 12 германских "Альбатросов" на высоте 3800 м в районе Диксмюнде атаковали французские бомбардировщики. Эскортировал бомбовозы Фонк. С высоты 5000 м французский истребитель атаковал напавших. Первой же очередью, выпустив лишь 20 пуль с близкого расстояния, Фонк сбил одного "Альбатроса" и тот стал вертикально падать. Через пять минут Фонк повторил атаку и вынудил к посадке второй германский самолет. Теперь на счету Фонка стало 7 зарегистрированных побед (11999).</w:t>
      </w:r>
    </w:p>
    <w:p w14:paraId="22F2C1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E70AAB" w14:textId="77777777" w:rsidR="00C312C3" w:rsidRPr="002F2FDF" w:rsidRDefault="00C312C3"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27 июля (9 августа) 1917 Шеер в ответном письме Эриху Людендорфу указал, что самолёты пока ещё не могут заменить дирижабли в роли морских разведчиков, а потому даже при прекращении рейдов на Англию необходим флот из, по меньшей мере, 18 кораблей. Рейды тоже нужны, поскольку самолёты могут бомбить только юг Англии, а центр и север достижимы лишь для цеппелинов. Прекращение рейдов приведёт к росту промышленного производства в Англии, а персонал расформированных за ненадобностью частей ПВО пойдёт прямиком на фронт. Следовательно, флоту нужны 25 дирижаблей и выпуск по одному кораблю в месяц для восполнения потерь при продолжении налётов, и один в два месяца — без них.</w:t>
      </w:r>
    </w:p>
    <w:p w14:paraId="1B911525" w14:textId="77777777" w:rsidR="00C312C3" w:rsidRPr="002F2FDF" w:rsidRDefault="00C312C3"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Так как стороны не смогли прийти к общему мнению, спор вынесли на суд кайзера (19156).</w:t>
      </w:r>
    </w:p>
    <w:p w14:paraId="27E4E9CF" w14:textId="77777777" w:rsidR="00C312C3" w:rsidRPr="002F2FDF" w:rsidRDefault="00C312C3" w:rsidP="0083075A">
      <w:pPr>
        <w:pStyle w:val="ae"/>
        <w:shd w:val="clear" w:color="auto" w:fill="FFFFFF"/>
        <w:spacing w:before="0" w:after="0"/>
        <w:jc w:val="both"/>
        <w:textAlignment w:val="baseline"/>
        <w:rPr>
          <w:color w:val="000000" w:themeColor="text1"/>
          <w:sz w:val="16"/>
          <w:szCs w:val="16"/>
        </w:rPr>
      </w:pPr>
    </w:p>
    <w:p w14:paraId="56C135FC" w14:textId="542495FC" w:rsidR="009A165D" w:rsidRPr="00FB4F67" w:rsidRDefault="009A165D"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27 июля (</w:t>
      </w:r>
      <w:r w:rsidRPr="00FB4F67">
        <w:rPr>
          <w:rFonts w:ascii="Times New Roman" w:hAnsi="Times New Roman" w:cs="Times New Roman"/>
          <w:color w:val="0070C0"/>
          <w:sz w:val="16"/>
          <w:szCs w:val="16"/>
        </w:rPr>
        <w:t>9 августа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школу румынских воздушных наблюдателей в Яссах было приказано перевести в Васлуй. Школа пилотов должна была переехать в Одессу, но из-за транспортных проблем добралась туда только 14 сентября (23525).</w:t>
      </w:r>
    </w:p>
    <w:p w14:paraId="4D40EEB8" w14:textId="77777777" w:rsidR="009A165D" w:rsidRPr="00FB4F67" w:rsidRDefault="009A165D" w:rsidP="0083075A">
      <w:pPr>
        <w:spacing w:after="0" w:line="240" w:lineRule="auto"/>
        <w:jc w:val="both"/>
        <w:rPr>
          <w:rFonts w:ascii="Times New Roman" w:hAnsi="Times New Roman" w:cs="Times New Roman"/>
          <w:color w:val="0070C0"/>
          <w:sz w:val="16"/>
          <w:szCs w:val="16"/>
        </w:rPr>
      </w:pPr>
    </w:p>
    <w:p w14:paraId="13EA7AF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июля (9 августа) 1917 в оккупированной Бельгии немецкие власти провозгласили фландрский язык государственным (4962).</w:t>
      </w:r>
    </w:p>
    <w:p w14:paraId="257C74F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9F8DF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июля (9 августа) 1917 на Итальянском фронте ранен в руку немецкий лейтенант Э. Роммель (будущий фельдмаршал, герой второй мировой войны) (4962).</w:t>
      </w:r>
    </w:p>
    <w:p w14:paraId="2E15B74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245537" w14:textId="77777777" w:rsidR="004C58A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6E5EA96" w14:textId="77777777" w:rsidR="004C58A1" w:rsidRPr="002F2FDF" w:rsidRDefault="004C58A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653A89" w14:textId="4EC4693B"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июля (</w:t>
      </w:r>
      <w:r w:rsidR="00573996">
        <w:rPr>
          <w:rFonts w:ascii="Times New Roman" w:hAnsi="Times New Roman" w:cs="Times New Roman"/>
          <w:color w:val="000000" w:themeColor="text1"/>
          <w:kern w:val="2"/>
          <w:sz w:val="16"/>
          <w:szCs w:val="16"/>
        </w:rPr>
        <w:t>10</w:t>
      </w:r>
      <w:r w:rsidRPr="002F2FDF">
        <w:rPr>
          <w:rFonts w:ascii="Times New Roman" w:hAnsi="Times New Roman" w:cs="Times New Roman"/>
          <w:color w:val="000000" w:themeColor="text1"/>
          <w:kern w:val="2"/>
          <w:sz w:val="16"/>
          <w:szCs w:val="16"/>
        </w:rPr>
        <w:t xml:space="preserve"> августа) в 1917 году на Ходынском поле завершились (с 23 июля) испытания отсекателей на самолете </w:t>
      </w:r>
      <w:hyperlink r:id="rId458" w:tgtFrame="_blank" w:history="1">
        <w:r w:rsidRPr="002F2FDF">
          <w:rPr>
            <w:rFonts w:ascii="Times New Roman" w:hAnsi="Times New Roman" w:cs="Times New Roman"/>
            <w:color w:val="000000" w:themeColor="text1"/>
            <w:kern w:val="2"/>
            <w:sz w:val="16"/>
            <w:szCs w:val="16"/>
          </w:rPr>
          <w:t xml:space="preserve">«Моска» «МБ бис». </w:t>
        </w:r>
      </w:hyperlink>
      <w:r w:rsidRPr="002F2FDF">
        <w:rPr>
          <w:rFonts w:ascii="Times New Roman" w:hAnsi="Times New Roman" w:cs="Times New Roman"/>
          <w:color w:val="000000" w:themeColor="text1"/>
          <w:kern w:val="2"/>
          <w:sz w:val="16"/>
          <w:szCs w:val="16"/>
        </w:rPr>
        <w:t>Испытания показали безупречную работу отсекателей, оказавшихся гораздо более надежными, чем первые образцы пулеметных синхронизаторов. Масса устройства вместе с передачей и креплением составляла менее 5 кг. Единственным недостатком был нерациональный расход части боеприпасов (примерно 10% пуль, попадавших в отсекатели). Тем не менее, устройство рекомендовали к внедрению в массовое производство с целью оснастить ими все истребители "Моска" и "Моран". Вооружение истребителя «Моска» «МБ бис» состояло из пулемета "Льюис", установленного на треноге под углом к продольной оси самолета и стреляющего поверх диска винта. Самолеты третьей серии предполагалось оснащать курсовыми пулеметами "Кольт" снаружи правого борта. Для предохранения винта от прострелов планировалось оборудовать машину кулачковыми отсекателями пуль системы прапорщика Кулебакина. Суть этого довольно простого и оригинального устройства заключалась в том, что специальные кулачки из высокопрочной стали выдвигались из-под капота в момент прохождения лопасти винта через линию полета пули (14966).</w:t>
      </w:r>
    </w:p>
    <w:p w14:paraId="7F835C87"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p>
    <w:p w14:paraId="6D81A12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11118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D99F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июля (10 августа) 1917 группа 1БАГ совершила 11 боевых вылетов и провела два воздушных боя. В тот день в 19-й као прибыл летчик Губер, окончивший Севастопольскую авиашколу. Он начинал службу в этом отряде еще в сентябре 1915 офице</w:t>
      </w:r>
      <w:r w:rsidRPr="002F2FDF">
        <w:rPr>
          <w:rFonts w:ascii="Times New Roman" w:hAnsi="Times New Roman" w:cs="Times New Roman"/>
          <w:color w:val="000000" w:themeColor="text1"/>
          <w:kern w:val="2"/>
          <w:sz w:val="16"/>
          <w:szCs w:val="16"/>
        </w:rPr>
        <w:softHyphen/>
        <w:t>ром-наблюдателем. А на следующий день штабс-капитан Аргеев получил назначение во 2-ю БАГ, он убыл из 1-й авиагруппы 31 июля, сдав командова</w:t>
      </w:r>
      <w:r w:rsidRPr="002F2FDF">
        <w:rPr>
          <w:rFonts w:ascii="Times New Roman" w:hAnsi="Times New Roman" w:cs="Times New Roman"/>
          <w:color w:val="000000" w:themeColor="text1"/>
          <w:kern w:val="2"/>
          <w:sz w:val="16"/>
          <w:szCs w:val="16"/>
        </w:rPr>
        <w:softHyphen/>
        <w:t>ние 19-м као поручику Губеру (3954).</w:t>
      </w:r>
    </w:p>
    <w:p w14:paraId="62B60B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D317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28 июля </w:t>
      </w:r>
      <w:r w:rsidR="00880559" w:rsidRPr="002F2FDF">
        <w:rPr>
          <w:rFonts w:ascii="Times New Roman" w:hAnsi="Times New Roman" w:cs="Times New Roman"/>
          <w:color w:val="000000" w:themeColor="text1"/>
          <w:kern w:val="2"/>
          <w:sz w:val="16"/>
          <w:szCs w:val="16"/>
        </w:rPr>
        <w:t xml:space="preserve">(10 августа) </w:t>
      </w:r>
      <w:r w:rsidRPr="002F2FDF">
        <w:rPr>
          <w:rFonts w:ascii="Times New Roman" w:hAnsi="Times New Roman" w:cs="Times New Roman"/>
          <w:color w:val="000000" w:themeColor="text1"/>
          <w:kern w:val="2"/>
          <w:sz w:val="16"/>
          <w:szCs w:val="16"/>
        </w:rPr>
        <w:t>1917 был произведен групповой налет на Радауц - восемь самолетов сбросили на скопления неприятельских войск 260 кг бомб. За восемь дней противнику удалось лишь незначительно потеснить русские войска, и 30 июля фронт стабилизировался. К этому времени истребители сбили в воздушных боях 5 самолетов. 27 августа IV-й армией было предпринято еще одно наступление в направлении Окна, но оно не дало нужного эффекта. В этот период удачно проявила себя авиация IV-го дивизиона. Когда пехота пошла в наступление, 11 самолетов атаковали ближайший тыл противника, используя свои пулеметы и сбросив 110 бомб. Взятые пленные показали, что воздушные атаки привели к значительным потерям и оказали сильный деморализующий эффект. Производились и удачные групповые бомбардировки. Так, во время ночного налета на станцию Фокшаны было сброшено около 1000 кг бомб. Поданным разведки, в пределах Румынского фронта находилось до 20 австрийских авиарот. Количественно и качественно противник превосходил русскую авиацию. Особенно интенсивно австрийские летчики работали во время наступления своих войск. 8 районах Фокшаны, Текучио, реки Серет и др. отмечались полеты 5-6 самолетов ежедневно на высотах 3500-4000 м. Дальние разведчики неприятеля достигали района Ясс. 18 и 23 июля противник бомбил объекты в Кемпуриле, а 24 июля во время отхода русских артиллеристов из р-на Чиуслей на бреющем полете расстреливал их позиции. 25 июля 8 самолетов совершили налет на станцию Аджуд, где взорвали русский поезд с боеприпасами. Излюбленной целью неприятельских истребителей были привязные аэростаты: с 10 июня по 18 июля они уничтожили 9 баллонов из 11 потерянных русскими за тот период (11237).</w:t>
      </w:r>
    </w:p>
    <w:p w14:paraId="493AE1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05973C" w14:textId="58BADE4F" w:rsidR="00C87AE4" w:rsidRPr="00FB4F67" w:rsidRDefault="00C87AE4" w:rsidP="0083075A">
      <w:pPr>
        <w:spacing w:after="0" w:line="240" w:lineRule="auto"/>
        <w:jc w:val="both"/>
        <w:rPr>
          <w:rFonts w:ascii="Times New Roman" w:hAnsi="Times New Roman" w:cs="Times New Roman"/>
          <w:color w:val="0070C0"/>
          <w:sz w:val="16"/>
          <w:szCs w:val="16"/>
        </w:rPr>
      </w:pPr>
      <w:bookmarkStart w:id="233" w:name="bookmark888"/>
      <w:r>
        <w:rPr>
          <w:rFonts w:ascii="Times New Roman" w:hAnsi="Times New Roman" w:cs="Times New Roman"/>
          <w:color w:val="0070C0"/>
          <w:sz w:val="16"/>
          <w:szCs w:val="16"/>
        </w:rPr>
        <w:t>28 июля (</w:t>
      </w:r>
      <w:r w:rsidRPr="00FB4F67">
        <w:rPr>
          <w:rFonts w:ascii="Times New Roman" w:hAnsi="Times New Roman" w:cs="Times New Roman"/>
          <w:color w:val="0070C0"/>
          <w:sz w:val="16"/>
          <w:szCs w:val="16"/>
        </w:rPr>
        <w:t>10 августа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на Ковельском направлении было отмечено появление большой неприятельской эскадрильи (20 самолетов). Наткнувшись на плотную зенитную завесу, противник повернул назад. В результате обстрела один летательный аппарат оказался сбитым (23405).</w:t>
      </w:r>
      <w:bookmarkEnd w:id="233"/>
    </w:p>
    <w:p w14:paraId="64879496" w14:textId="77777777" w:rsidR="00C87AE4" w:rsidRPr="00FB4F67" w:rsidRDefault="00C87AE4" w:rsidP="0083075A">
      <w:pPr>
        <w:spacing w:after="0" w:line="240" w:lineRule="auto"/>
        <w:jc w:val="both"/>
        <w:rPr>
          <w:rFonts w:ascii="Times New Roman" w:hAnsi="Times New Roman" w:cs="Times New Roman"/>
          <w:color w:val="0070C0"/>
          <w:sz w:val="16"/>
          <w:szCs w:val="16"/>
        </w:rPr>
      </w:pPr>
    </w:p>
    <w:p w14:paraId="6016E8B8" w14:textId="77777777" w:rsidR="00305A71" w:rsidRPr="002F2FDF" w:rsidRDefault="00305A71" w:rsidP="0083075A">
      <w:pPr>
        <w:pStyle w:val="ae"/>
        <w:spacing w:before="0" w:after="0"/>
        <w:jc w:val="both"/>
        <w:rPr>
          <w:color w:val="000000" w:themeColor="text1"/>
          <w:sz w:val="16"/>
          <w:szCs w:val="16"/>
        </w:rPr>
      </w:pPr>
      <w:r w:rsidRPr="002F2FDF">
        <w:rPr>
          <w:color w:val="000000" w:themeColor="text1"/>
          <w:sz w:val="16"/>
          <w:szCs w:val="16"/>
        </w:rPr>
        <w:t>28 июля (10 августа) 1917 УПИАРТ (управление Полевого Инспектора артиллерии) за № 11891 представляет в Генеральный штаб свои замечания: 1) произвести формирование самостоятельных подразделений — огнеметных команд; 2) начать формирование по одной команде на дивизию; 3) очередность формирования: Кавказский фронт, Западный фронт, Юго-западный фронт, северный фронт (20246).</w:t>
      </w:r>
    </w:p>
    <w:p w14:paraId="69EAD26D" w14:textId="77777777" w:rsidR="00305A71" w:rsidRPr="002F2FDF" w:rsidRDefault="00305A71" w:rsidP="0083075A">
      <w:pPr>
        <w:pStyle w:val="ae"/>
        <w:spacing w:before="0" w:after="0"/>
        <w:jc w:val="both"/>
        <w:rPr>
          <w:color w:val="000000" w:themeColor="text1"/>
          <w:sz w:val="16"/>
          <w:szCs w:val="16"/>
        </w:rPr>
      </w:pPr>
    </w:p>
    <w:p w14:paraId="72F71E1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D4963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687F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Между 28 июля и 13 августа (10 и 26) августа 1917. Из журнала заседаний Временного правительства N153, 1917 г.</w:t>
      </w:r>
    </w:p>
    <w:p w14:paraId="6AF2EC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 порядке самоуправления Русской церкви </w:t>
      </w:r>
    </w:p>
    <w:p w14:paraId="045BD9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 Предоставить открывающемуся 15-го сего августа в Москве Поместному собору Всероссийской церкви выработать и внести на уважение Временного правительства законопроект о новом порядке свободного самоуправления Русской церкви. </w:t>
      </w:r>
    </w:p>
    <w:p w14:paraId="52BBE0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Сохранить впредь до признания государственной властью нового устройства высшего церковного управления все дела внутреннего церковного управления в ведении Святейшего Правительствующего синода и состоящих при нем установлений (11652).</w:t>
      </w:r>
    </w:p>
    <w:p w14:paraId="0CA90F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C813C2" w14:textId="77777777" w:rsidR="004C58A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32AAD5A4" w14:textId="77777777" w:rsidR="004C58A1" w:rsidRPr="002F2FDF" w:rsidRDefault="004C58A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D2B816"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 xml:space="preserve">28 июля (10 августа) 1917 г. </w:t>
      </w:r>
      <w:r w:rsidRPr="002F2FDF">
        <w:rPr>
          <w:rFonts w:ascii="Times New Roman" w:hAnsi="Times New Roman" w:cs="Times New Roman"/>
          <w:color w:val="000000" w:themeColor="text1"/>
          <w:kern w:val="2"/>
          <w:sz w:val="16"/>
          <w:szCs w:val="16"/>
        </w:rPr>
        <w:t>Телеграмма М. И. Терещенко В. А. Бахметьеву о беспочвенности распространившегося в Японии слуха о предоставлении Временным, правительством американцам преимущественных прав на разработку горных богатств в Сибири и на Северном Сахалине.</w:t>
      </w:r>
    </w:p>
    <w:p w14:paraId="54ED1715" w14:textId="019B32D9"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468</w:t>
      </w:r>
    </w:p>
    <w:p w14:paraId="269B5A78" w14:textId="54F389DF"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Посольства в Вашингтоне, д. 80, л. 126. Копия.</w:t>
      </w:r>
    </w:p>
    <w:p w14:paraId="30EA7F44" w14:textId="77777777" w:rsidR="004C58A1" w:rsidRPr="002F2FDF" w:rsidRDefault="004C58A1" w:rsidP="0083075A">
      <w:pPr>
        <w:pStyle w:val="rtejustify"/>
        <w:spacing w:before="0" w:after="0"/>
        <w:rPr>
          <w:color w:val="000000" w:themeColor="text1"/>
          <w:kern w:val="2"/>
          <w:sz w:val="16"/>
          <w:szCs w:val="16"/>
        </w:rPr>
      </w:pPr>
      <w:r w:rsidRPr="002F2FDF">
        <w:rPr>
          <w:color w:val="000000" w:themeColor="text1"/>
          <w:kern w:val="2"/>
          <w:sz w:val="16"/>
          <w:szCs w:val="16"/>
        </w:rPr>
        <w:t>№ 3410 (111 398). В Японии распространился слух, будто бы в нашем Министерстве торговли [и промышленности] возникло предположение предоставить американцам преимущественные права по разработке горных богатств на нашем Дальнем Востоке и будто бы по этому поводу велись переговоры с Рутом во время его приезда в Петроград.</w:t>
      </w:r>
    </w:p>
    <w:p w14:paraId="2F212D18" w14:textId="77777777" w:rsidR="004C58A1" w:rsidRPr="002F2FDF" w:rsidRDefault="004C58A1" w:rsidP="0083075A">
      <w:pPr>
        <w:pStyle w:val="rtejustify"/>
        <w:spacing w:before="0" w:after="0"/>
        <w:rPr>
          <w:color w:val="000000" w:themeColor="text1"/>
          <w:kern w:val="2"/>
          <w:sz w:val="16"/>
          <w:szCs w:val="16"/>
        </w:rPr>
      </w:pPr>
      <w:r w:rsidRPr="002F2FDF">
        <w:rPr>
          <w:color w:val="000000" w:themeColor="text1"/>
          <w:kern w:val="2"/>
          <w:sz w:val="16"/>
          <w:szCs w:val="16"/>
        </w:rPr>
        <w:t>На сделанный мне японским посланником запрос относительно справедливости этого слуха я ответил, что подобных переговоров с Рутом не велось. Я прибавил, что в деле выдачи концессий на разработку горных богатств русское правительство будет руководствоваться исключительно соображениями государственных интересов России в соответствии со сказанными интересами каждой отдельной концессии.</w:t>
      </w:r>
    </w:p>
    <w:p w14:paraId="26CBBFF2" w14:textId="77777777" w:rsidR="004C58A1" w:rsidRPr="002F2FDF" w:rsidRDefault="004C58A1" w:rsidP="0083075A">
      <w:pPr>
        <w:pStyle w:val="rtejustify"/>
        <w:spacing w:before="0" w:after="0"/>
        <w:rPr>
          <w:color w:val="000000" w:themeColor="text1"/>
          <w:kern w:val="2"/>
          <w:sz w:val="16"/>
          <w:szCs w:val="16"/>
        </w:rPr>
      </w:pPr>
      <w:r w:rsidRPr="002F2FDF">
        <w:rPr>
          <w:color w:val="000000" w:themeColor="text1"/>
          <w:kern w:val="2"/>
          <w:sz w:val="16"/>
          <w:szCs w:val="16"/>
        </w:rPr>
        <w:t>Вышеизложенное сообщается для Вашего сведения (15199).</w:t>
      </w:r>
    </w:p>
    <w:p w14:paraId="718F72AA" w14:textId="77777777" w:rsidR="004C58A1" w:rsidRPr="002F2FDF" w:rsidRDefault="004C58A1"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272ED61A"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28 июля (10 августа) 1917 г. </w:t>
      </w:r>
      <w:r w:rsidRPr="002F2FDF">
        <w:rPr>
          <w:rFonts w:ascii="Times New Roman" w:hAnsi="Times New Roman" w:cs="Times New Roman"/>
          <w:color w:val="000000" w:themeColor="text1"/>
          <w:kern w:val="2"/>
          <w:sz w:val="16"/>
          <w:szCs w:val="16"/>
        </w:rPr>
        <w:t>Записка товарища министра иностранных дел А. М. Петряева английскому послу в Петрограде Д. Бьюкенену с изложением ответа на памятную записку от 7 июля 1917 г.</w:t>
      </w:r>
    </w:p>
    <w:p w14:paraId="4AD85E1D" w14:textId="12697F99"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553-554</w:t>
      </w:r>
    </w:p>
    <w:p w14:paraId="699F60FD" w14:textId="5C7DC29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Второго деп-та, 1—6, «Война», д. 192, лл. 439—440. Заверенная копия.</w:t>
      </w:r>
    </w:p>
    <w:p w14:paraId="2258BDAD" w14:textId="77777777" w:rsidR="004C58A1" w:rsidRPr="002F2FDF" w:rsidRDefault="004C58A1" w:rsidP="0083075A">
      <w:pPr>
        <w:pStyle w:val="ae"/>
        <w:spacing w:before="0" w:after="0"/>
        <w:jc w:val="both"/>
        <w:rPr>
          <w:color w:val="000000" w:themeColor="text1"/>
          <w:kern w:val="2"/>
          <w:sz w:val="16"/>
          <w:szCs w:val="16"/>
        </w:rPr>
      </w:pPr>
      <w:r w:rsidRPr="002F2FDF">
        <w:rPr>
          <w:color w:val="000000" w:themeColor="text1"/>
          <w:kern w:val="2"/>
          <w:sz w:val="16"/>
          <w:szCs w:val="16"/>
        </w:rPr>
        <w:t>Господин посол.</w:t>
      </w:r>
    </w:p>
    <w:p w14:paraId="417161AD" w14:textId="77777777" w:rsidR="004C58A1" w:rsidRPr="002F2FDF" w:rsidRDefault="004C58A1" w:rsidP="0083075A">
      <w:pPr>
        <w:pStyle w:val="rtejustify"/>
        <w:spacing w:before="0" w:after="0"/>
        <w:rPr>
          <w:color w:val="000000" w:themeColor="text1"/>
          <w:kern w:val="2"/>
          <w:sz w:val="16"/>
          <w:szCs w:val="16"/>
        </w:rPr>
      </w:pPr>
      <w:r w:rsidRPr="002F2FDF">
        <w:rPr>
          <w:color w:val="000000" w:themeColor="text1"/>
          <w:kern w:val="2"/>
          <w:sz w:val="16"/>
          <w:szCs w:val="16"/>
        </w:rPr>
        <w:t>Ссылаясь на памятную записку посольства его британского величества от 7/20 сего июля,</w:t>
      </w:r>
      <w:hyperlink r:id="rId459" w:anchor="_ftn1" w:history="1">
        <w:r w:rsidRPr="002F2FDF">
          <w:rPr>
            <w:rStyle w:val="a5"/>
            <w:color w:val="000000" w:themeColor="text1"/>
            <w:kern w:val="2"/>
            <w:sz w:val="16"/>
            <w:szCs w:val="16"/>
          </w:rPr>
          <w:t>[1]</w:t>
        </w:r>
      </w:hyperlink>
      <w:r w:rsidRPr="002F2FDF">
        <w:rPr>
          <w:color w:val="000000" w:themeColor="text1"/>
          <w:kern w:val="2"/>
          <w:sz w:val="16"/>
          <w:szCs w:val="16"/>
        </w:rPr>
        <w:t xml:space="preserve"> считаю своим долгом уведомить Ваше превосходительство, что Министерство финансов, вновь пересмотрев настоящий вопрос, пришло к заключению, что действительно в нем крылось некоторое недоразумение.</w:t>
      </w:r>
    </w:p>
    <w:p w14:paraId="35BCFCCB" w14:textId="77777777" w:rsidR="004C58A1" w:rsidRPr="002F2FDF" w:rsidRDefault="004C58A1" w:rsidP="0083075A">
      <w:pPr>
        <w:pStyle w:val="rtejustify"/>
        <w:spacing w:before="0" w:after="0"/>
        <w:rPr>
          <w:color w:val="000000" w:themeColor="text1"/>
          <w:kern w:val="2"/>
          <w:sz w:val="16"/>
          <w:szCs w:val="16"/>
        </w:rPr>
      </w:pPr>
      <w:r w:rsidRPr="002F2FDF">
        <w:rPr>
          <w:color w:val="000000" w:themeColor="text1"/>
          <w:kern w:val="2"/>
          <w:sz w:val="16"/>
          <w:szCs w:val="16"/>
        </w:rPr>
        <w:t>Высказывая в своей записке от 22 июня (5 июля) с. г.</w:t>
      </w:r>
      <w:hyperlink r:id="rId460" w:anchor="_ftn2" w:history="1">
        <w:r w:rsidRPr="002F2FDF">
          <w:rPr>
            <w:rStyle w:val="a5"/>
            <w:color w:val="000000" w:themeColor="text1"/>
            <w:kern w:val="2"/>
            <w:sz w:val="16"/>
            <w:szCs w:val="16"/>
          </w:rPr>
          <w:t>[2]</w:t>
        </w:r>
      </w:hyperlink>
      <w:r w:rsidRPr="002F2FDF">
        <w:rPr>
          <w:color w:val="000000" w:themeColor="text1"/>
          <w:kern w:val="2"/>
          <w:sz w:val="16"/>
          <w:szCs w:val="16"/>
        </w:rPr>
        <w:t xml:space="preserve"> пожелание о предоставлении ему временно, до заключения нового финансового соглашения, дополнительного кредита в 25 млн. ф. ст., названное министерство, принимая в полное соображение суммы, имеющие быть выплаченными из кредитов, ранее открытых великобританским правительством, отнюдь не имело в виду получение ресурсов для уплат по уже произведенным заказам и закупкам. Шаг, предпринятый Министерством финансов, был вызван предположением, что за неоткрытием новых кредитов великобританское правительство, быть может, не признает возможным санкционировать новые заказы русского правительства.</w:t>
      </w:r>
    </w:p>
    <w:p w14:paraId="2E3AD482" w14:textId="77777777" w:rsidR="004C58A1" w:rsidRPr="002F2FDF" w:rsidRDefault="004C58A1" w:rsidP="0083075A">
      <w:pPr>
        <w:pStyle w:val="rtejustify"/>
        <w:spacing w:before="0" w:after="0"/>
        <w:rPr>
          <w:color w:val="000000" w:themeColor="text1"/>
          <w:kern w:val="2"/>
          <w:sz w:val="16"/>
          <w:szCs w:val="16"/>
        </w:rPr>
      </w:pPr>
      <w:r w:rsidRPr="002F2FDF">
        <w:rPr>
          <w:color w:val="000000" w:themeColor="text1"/>
          <w:kern w:val="2"/>
          <w:sz w:val="16"/>
          <w:szCs w:val="16"/>
        </w:rPr>
        <w:t>Между тем из памятной записки от 7/20 сего июля российское правительство с удовольствием усматривает, что это предположение не оправдывается, и с признательностью отмечает, что великобританское правительство соглашается предоставлять постепенно новые необходимые кредиты по новым заказам, помещаемым за границей, вне Соединенных Штатов Америки.</w:t>
      </w:r>
    </w:p>
    <w:p w14:paraId="21F7541F" w14:textId="77777777" w:rsidR="004C58A1" w:rsidRPr="002F2FDF" w:rsidRDefault="004C58A1" w:rsidP="0083075A">
      <w:pPr>
        <w:pStyle w:val="rtejustify"/>
        <w:spacing w:before="0" w:after="0"/>
        <w:rPr>
          <w:color w:val="000000" w:themeColor="text1"/>
          <w:kern w:val="2"/>
          <w:sz w:val="16"/>
          <w:szCs w:val="16"/>
        </w:rPr>
      </w:pPr>
      <w:r w:rsidRPr="002F2FDF">
        <w:rPr>
          <w:color w:val="000000" w:themeColor="text1"/>
          <w:kern w:val="2"/>
          <w:sz w:val="16"/>
          <w:szCs w:val="16"/>
        </w:rPr>
        <w:t>Вместе с тем усматривается, что великобританское правительство равным образом намерено предоставлять русскому правительству, подобно тому, как то имело место в течение действия последнего финансового соглашения, кредиты, требующиеся по заказам, сосредоточенным в Лондонском комитете, а равно свободный кредит (имеющий совершенно особую важность для России) в размере 4 млн ф. ст. в месяц. По этому поводу Министерство финансов надеется, что великобританское правительство не встретит препятствий против открытия ему теперь же, в счет упомянутого свободного кредита, аванса в 1 млн ф. ст., принимая во внимание, что суммы, предоставленные на сей предмет России в июле месяце, достигают всего 3 млн ф. ст.</w:t>
      </w:r>
    </w:p>
    <w:p w14:paraId="2862FB63" w14:textId="77777777" w:rsidR="004C58A1" w:rsidRPr="002F2FDF" w:rsidRDefault="004C58A1" w:rsidP="0083075A">
      <w:pPr>
        <w:pStyle w:val="rtejustify"/>
        <w:spacing w:before="0" w:after="0"/>
        <w:rPr>
          <w:color w:val="000000" w:themeColor="text1"/>
          <w:kern w:val="2"/>
          <w:sz w:val="16"/>
          <w:szCs w:val="16"/>
        </w:rPr>
      </w:pPr>
      <w:r w:rsidRPr="002F2FDF">
        <w:rPr>
          <w:color w:val="000000" w:themeColor="text1"/>
          <w:kern w:val="2"/>
          <w:sz w:val="16"/>
          <w:szCs w:val="16"/>
        </w:rPr>
        <w:t>Что касается средств, необходимых для платежей но заказам и закупкам русского правительства в Соединенных Штатах, то это правительство предпринимает всевозможные меры для скорейшего заключения окончательного финансового соглашения с федеральным правительством; одним из пунктов этого соглашения является, как то совершенно справедливо указано в памятной записке 7/20 сего июля, установление возмещения великобританскому правительству сумм, им уплаченных за счет России в Соединенных Штатах, начиная с 18/31 мая с. г.</w:t>
      </w:r>
    </w:p>
    <w:p w14:paraId="7852BB6F" w14:textId="77777777" w:rsidR="004C58A1" w:rsidRPr="002F2FDF" w:rsidRDefault="004C58A1" w:rsidP="0083075A">
      <w:pPr>
        <w:pStyle w:val="rtejustify"/>
        <w:spacing w:before="0" w:after="0"/>
        <w:rPr>
          <w:color w:val="000000" w:themeColor="text1"/>
          <w:kern w:val="2"/>
          <w:sz w:val="16"/>
          <w:szCs w:val="16"/>
        </w:rPr>
      </w:pPr>
      <w:r w:rsidRPr="002F2FDF">
        <w:rPr>
          <w:color w:val="000000" w:themeColor="text1"/>
          <w:kern w:val="2"/>
          <w:sz w:val="16"/>
          <w:szCs w:val="16"/>
        </w:rPr>
        <w:t>В настоящий же момент британское казначейство будет, как понимает Министерство финансов, продолжать, до открытия кредитов американским правительством, обеспечивать платежи целиком как заказов, помещенных через Моргана, так и санкционированных великобританским правительством. При этом, как выше сказано, соответствующие суммы подлежат возмещению из американских кредитов по их открытии. Изложенное дает Министерству финансов повод надеяться, что если в отдельных случаях и встречались некоторые затруднения при уплатах по американским заказам, ранее санкционированным великобританским правительством, то тем не менее в настоящее время британское казначейство не встретит возражений против приступления к ликвидации подлежащих платежей.</w:t>
      </w:r>
    </w:p>
    <w:p w14:paraId="18ED938D" w14:textId="77777777" w:rsidR="004C58A1" w:rsidRPr="002F2FDF" w:rsidRDefault="004C58A1" w:rsidP="0083075A">
      <w:pPr>
        <w:pStyle w:val="rtejustify"/>
        <w:spacing w:before="0" w:after="0"/>
        <w:rPr>
          <w:color w:val="000000" w:themeColor="text1"/>
          <w:kern w:val="2"/>
          <w:sz w:val="16"/>
          <w:szCs w:val="16"/>
        </w:rPr>
      </w:pPr>
      <w:r w:rsidRPr="002F2FDF">
        <w:rPr>
          <w:color w:val="000000" w:themeColor="text1"/>
          <w:kern w:val="2"/>
          <w:sz w:val="16"/>
          <w:szCs w:val="16"/>
        </w:rPr>
        <w:t>Сообщая по просьбе министра финансов изложенное Вашему превосходительству, я обращаюсь к Вам с покорнейшей просьбой об осведомлении российского правительства о последующем.</w:t>
      </w:r>
    </w:p>
    <w:p w14:paraId="6D42565F" w14:textId="77777777" w:rsidR="004C58A1" w:rsidRPr="002F2FDF" w:rsidRDefault="004C58A1" w:rsidP="0083075A">
      <w:pPr>
        <w:pStyle w:val="rtejustify"/>
        <w:spacing w:before="0" w:after="0"/>
        <w:rPr>
          <w:color w:val="000000" w:themeColor="text1"/>
          <w:kern w:val="2"/>
          <w:sz w:val="16"/>
          <w:szCs w:val="16"/>
        </w:rPr>
      </w:pPr>
      <w:r w:rsidRPr="002F2FDF">
        <w:rPr>
          <w:color w:val="000000" w:themeColor="text1"/>
          <w:kern w:val="2"/>
          <w:sz w:val="16"/>
          <w:szCs w:val="16"/>
        </w:rPr>
        <w:t>Примите, господин посол, уверение в отличном моем почтении.</w:t>
      </w:r>
    </w:p>
    <w:p w14:paraId="24F865A9" w14:textId="77777777" w:rsidR="004C58A1" w:rsidRPr="002F2FDF" w:rsidRDefault="004C58A1"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Петряев (15174).</w:t>
      </w:r>
    </w:p>
    <w:p w14:paraId="6860D4A4" w14:textId="77777777" w:rsidR="004C58A1" w:rsidRPr="002F2FDF" w:rsidRDefault="004C58A1"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65CA860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58463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FC58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июля (10 августа) 1917 Германские военные создали эскадру из 58 самолетов (из них 40 одноместных), которая была разделена на группы по 5 или 10 самолетов, имевшие своей задачей оказывать друг другу огневую поддержку в воздухе. Эти группы стали выслеживать и уничтожать одиночные французские самолеты и обычно избегали столкновений с хорошо дисциплинированными французскими группами "СПАДов" (11999).</w:t>
      </w:r>
    </w:p>
    <w:p w14:paraId="05E832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E44E87" w14:textId="77777777" w:rsidR="00A05C66" w:rsidRPr="002F2FDF" w:rsidRDefault="00A05C66" w:rsidP="0083075A">
      <w:pPr>
        <w:pStyle w:val="ae"/>
        <w:spacing w:before="0" w:after="0"/>
        <w:jc w:val="both"/>
        <w:rPr>
          <w:color w:val="000000" w:themeColor="text1"/>
          <w:kern w:val="2"/>
          <w:sz w:val="16"/>
          <w:szCs w:val="16"/>
        </w:rPr>
      </w:pPr>
      <w:r w:rsidRPr="002F2FDF">
        <w:rPr>
          <w:color w:val="000000" w:themeColor="text1"/>
          <w:kern w:val="2"/>
          <w:sz w:val="16"/>
          <w:szCs w:val="16"/>
        </w:rPr>
        <w:t>28 июля (10 августа) 1917 британские войска после небольшой передышки возобновили атаки в районе города Ипр на западе Бельгии. Особенно ожесточенные бои развернулись неподалеку от деревни Желювель (в 6 км к востоку от Ипра). Британская пехота атаковала позиции немцев при поддержке артиллерии и сумела ценой больших потерь занять господствующий над плоской, как стол, равниной холм. Вечером под прикрытием дымовой завесы немцы попытались отбить холм обратно, но без успеха (17045).</w:t>
      </w:r>
    </w:p>
    <w:p w14:paraId="4CA56855" w14:textId="77777777" w:rsidR="00A05C66" w:rsidRPr="002F2FDF" w:rsidRDefault="00A05C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A0762D" w14:textId="77777777" w:rsidR="004C58A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6E2420A" w14:textId="77777777" w:rsidR="004C58A1" w:rsidRPr="002F2FDF" w:rsidRDefault="004C58A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0C3B1F"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июля (11 августа) 1917 Особый журнал Подготовительной комиссии по артиллерийским вопросам при Особом совещании по обороне о ходе поставок артиллерийских орудий всех калибров, пулеметов, винтовок и винтовочных патронов с января по май 1917 г.</w:t>
      </w:r>
    </w:p>
    <w:p w14:paraId="5D44F029"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180-184</w:t>
      </w:r>
    </w:p>
    <w:p w14:paraId="38BE3999"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369, оп. 3, д. 189, лл. 447—451. Копия.</w:t>
      </w:r>
    </w:p>
    <w:p w14:paraId="74B48137"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Комиссия рассмотрела ход поставок артиллерийских орудий всех калибров, пулеметов, винтовок и винтовочных патронов за четыре месяца, с января по май 1917 г.</w:t>
      </w:r>
    </w:p>
    <w:p w14:paraId="4BCE04A1"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Результаты доложенных сведений и суждений сводятся к нижеследующему:</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86"/>
        <w:gridCol w:w="532"/>
      </w:tblGrid>
      <w:tr w:rsidR="002B1C74" w:rsidRPr="002F2FDF" w14:paraId="0F05D66E"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99472D3"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Орудия</w:t>
            </w:r>
          </w:p>
        </w:tc>
      </w:tr>
      <w:tr w:rsidR="002B1C74" w:rsidRPr="002F2FDF" w14:paraId="3D18A76B"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000244"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полевые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3CF69" w14:textId="71E44DE6"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6D5ADC3"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DB7727"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717B6"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490 шт.</w:t>
            </w:r>
          </w:p>
        </w:tc>
      </w:tr>
      <w:tr w:rsidR="002B1C74" w:rsidRPr="002F2FDF" w14:paraId="0EB9DDC1"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77C312"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349F9"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175 »</w:t>
            </w:r>
          </w:p>
        </w:tc>
      </w:tr>
      <w:tr w:rsidR="002B1C74" w:rsidRPr="002F2FDF" w14:paraId="277DAFB1"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7CF82D"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99FA0" w14:textId="73429330"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B868955"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C9E8BA"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1EFBA"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407 »</w:t>
            </w:r>
          </w:p>
        </w:tc>
      </w:tr>
      <w:tr w:rsidR="002B1C74" w:rsidRPr="002F2FDF" w14:paraId="7CD50948"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4F8F1E"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25ADF"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316 »</w:t>
            </w:r>
          </w:p>
        </w:tc>
      </w:tr>
    </w:tbl>
    <w:p w14:paraId="13D1FB0E"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производительность заводов понизилась примерно на 25%, притом исключительно на заводах частных (Путиловеком и Царицынской группы), тогда как казенные заводы (Пермский) увеличили свою производительность.</w:t>
      </w:r>
    </w:p>
    <w:p w14:paraId="79991123"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xml:space="preserve">По заявлению начальника Главного артиллерийского управления. Путиловскому заводу предложено усилить производство 3" горных пушек за счет сокращения поставки 3" полевых пушек на этом заводе. Царицынская группа </w:t>
      </w:r>
      <w:bookmarkStart w:id="234" w:name="1"/>
      <w:r w:rsidRPr="002F2FDF">
        <w:rPr>
          <w:rFonts w:ascii="Times New Roman" w:hAnsi="Times New Roman" w:cs="Times New Roman"/>
          <w:color w:val="000000" w:themeColor="text1"/>
          <w:kern w:val="2"/>
          <w:sz w:val="16"/>
          <w:szCs w:val="16"/>
        </w:rPr>
        <w:t>1</w:t>
      </w:r>
      <w:bookmarkEnd w:id="234"/>
      <w:r w:rsidRPr="002F2FDF">
        <w:rPr>
          <w:rFonts w:ascii="Times New Roman" w:hAnsi="Times New Roman" w:cs="Times New Roman"/>
          <w:color w:val="000000" w:themeColor="text1"/>
          <w:kern w:val="2"/>
          <w:sz w:val="16"/>
          <w:szCs w:val="16"/>
        </w:rPr>
        <w:t xml:space="preserve"> сдала в мае 110 пушек при 75 лафетах, против 150 в январе и 200 в феврале.</w:t>
      </w:r>
    </w:p>
    <w:p w14:paraId="00336FBE"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Ремонт 3" полевых пушек в мае месяце незначителен — всего 45 шт.. так как за последнее время орудия для ремонта не поступали в больших количествах.</w:t>
      </w:r>
    </w:p>
    <w:p w14:paraId="50528199"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имеющимся в Главном артиллерийском управлении сведениям, в резервах фронтов состоит в запасе 2357 орудий, из коих 1213 без лафетов.</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91"/>
        <w:gridCol w:w="452"/>
      </w:tblGrid>
      <w:tr w:rsidR="002B1C74" w:rsidRPr="002F2FDF" w14:paraId="7EEFCBB2"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8429F8E"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горные пушки и 3 короткие пушки:</w:t>
            </w:r>
          </w:p>
        </w:tc>
      </w:tr>
      <w:tr w:rsidR="002B1C74" w:rsidRPr="002F2FDF" w14:paraId="5CC976D1"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6665F2"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 первоначальная в месяц</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1DF8B"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 шт.</w:t>
            </w:r>
          </w:p>
        </w:tc>
      </w:tr>
      <w:tr w:rsidR="002B1C74" w:rsidRPr="002F2FDF" w14:paraId="5ABA33EB"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E006EB"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63ACB"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 »</w:t>
            </w:r>
          </w:p>
        </w:tc>
      </w:tr>
      <w:tr w:rsidR="002B1C74" w:rsidRPr="002F2FDF" w14:paraId="46FB0103"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66A4B9"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A2BB1" w14:textId="3F96EB0D"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D882C60"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62B685"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0CB68"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 »</w:t>
            </w:r>
          </w:p>
        </w:tc>
      </w:tr>
      <w:tr w:rsidR="002B1C74" w:rsidRPr="002F2FDF" w14:paraId="4C5DF69F"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1B1F51"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низшая цифра (в феврале)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D21FF"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w:t>
            </w:r>
          </w:p>
        </w:tc>
      </w:tr>
      <w:tr w:rsidR="002B1C74" w:rsidRPr="002F2FDF" w14:paraId="342D4124"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CB1A70"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20B03"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w:t>
            </w:r>
          </w:p>
        </w:tc>
      </w:tr>
    </w:tbl>
    <w:p w14:paraId="4728CDC1"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Производительность в мае более чем на 50% понизилась по сравнению с январем. Казенный орудийный завод в феврале и марте ничего не сдал, в мае сдал 10, как и предположено было; Путиловский завод вместо 30 горных и 10 коротких сдал в мае всего 10 коротких. Причины недопоставки на Путиловеком заводе: недостаток топлива и материалов и слабая интенсивность работ.</w:t>
      </w:r>
    </w:p>
    <w:p w14:paraId="036A507D"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Ремонт в мае 10 орудий.</w:t>
      </w:r>
    </w:p>
    <w:p w14:paraId="209E8A0D"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запасах фронтов 211 пушек, из коих 120 без лафетов.</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86"/>
        <w:gridCol w:w="532"/>
      </w:tblGrid>
      <w:tr w:rsidR="002B1C74" w:rsidRPr="002F2FDF" w14:paraId="3F4C65D0"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D22E8DD"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3,48 гаубицы :</w:t>
            </w:r>
          </w:p>
        </w:tc>
      </w:tr>
      <w:tr w:rsidR="002B1C74" w:rsidRPr="002F2FDF" w14:paraId="56A1E626"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EABC65"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A54BE"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108 шт.</w:t>
            </w:r>
          </w:p>
        </w:tc>
      </w:tr>
      <w:tr w:rsidR="002B1C74" w:rsidRPr="002F2FDF" w14:paraId="7A70692B"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0713A7"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9AAF5"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w:t>
            </w:r>
          </w:p>
        </w:tc>
      </w:tr>
      <w:tr w:rsidR="002B1C74" w:rsidRPr="002F2FDF" w14:paraId="39F4F63E"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7F939A"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E53E3" w14:textId="51579302"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47A4D5E"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978D02"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92918"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 »</w:t>
            </w:r>
          </w:p>
        </w:tc>
      </w:tr>
      <w:tr w:rsidR="002B1C74" w:rsidRPr="002F2FDF" w14:paraId="2F4B0DE5"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F6EC35"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низшая цифра (в феврале)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09E06"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w:t>
            </w:r>
          </w:p>
        </w:tc>
      </w:tr>
      <w:tr w:rsidR="002B1C74" w:rsidRPr="002F2FDF" w14:paraId="647B007B"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60C921"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0E702"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 »</w:t>
            </w:r>
          </w:p>
        </w:tc>
      </w:tr>
    </w:tbl>
    <w:p w14:paraId="5DCE56D5"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Производительность в мае на 30% понизилась против январской как на казенных заводах, так и на частных (Путиловский).</w:t>
      </w:r>
    </w:p>
    <w:p w14:paraId="4FE615A6"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Ремонт в мае по числу предъявленных к исправлению 14 гаубиц.</w:t>
      </w:r>
    </w:p>
    <w:p w14:paraId="48D96D34"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резервах фронтов 310 орудий, из коих 67 без лафетов.</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0"/>
        <w:gridCol w:w="1416"/>
        <w:gridCol w:w="766"/>
      </w:tblGrid>
      <w:tr w:rsidR="002B1C74" w:rsidRPr="002F2FDF" w14:paraId="0AAC1D94" w14:textId="77777777" w:rsidTr="004C58A1">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83F2CF2"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42'" скорострельные и 120 мм пушки:</w:t>
            </w:r>
          </w:p>
        </w:tc>
      </w:tr>
      <w:tr w:rsidR="002B1C74" w:rsidRPr="002F2FDF" w14:paraId="6DEF7EB5"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7F76C31" w14:textId="152A219A"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 первоначальная ежемесячно</w:t>
            </w:r>
            <w:r w:rsidR="00E52569">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E5AD5"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шт.</w:t>
            </w:r>
          </w:p>
        </w:tc>
      </w:tr>
      <w:tr w:rsidR="002B1C74" w:rsidRPr="002F2FDF" w14:paraId="3DFB63B6"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7DCE416"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увеличенная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6DD10"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w:t>
            </w:r>
          </w:p>
        </w:tc>
      </w:tr>
      <w:tr w:rsidR="002B1C74" w:rsidRPr="002F2FDF" w14:paraId="2A87EAE6"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2D2018"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Поступило 42'"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536E7" w14:textId="1D5C5D51"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40DE905" w14:textId="77777777" w:rsidTr="004C58A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B4B4F20"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742BC"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80469"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w:t>
            </w:r>
          </w:p>
        </w:tc>
      </w:tr>
      <w:tr w:rsidR="002B1C74" w:rsidRPr="002F2FDF" w14:paraId="1EDF8EF2" w14:textId="77777777" w:rsidTr="004C58A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4B1131F"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376FD7"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лафетов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A7462"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w:t>
            </w:r>
          </w:p>
        </w:tc>
      </w:tr>
      <w:tr w:rsidR="002B1C74" w:rsidRPr="002F2FDF" w14:paraId="48A30345" w14:textId="77777777" w:rsidTr="004C58A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17BAE5D"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CCE1A"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B6449"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w:t>
            </w:r>
          </w:p>
        </w:tc>
      </w:tr>
      <w:tr w:rsidR="002B1C74" w:rsidRPr="002F2FDF" w14:paraId="206F98BA" w14:textId="77777777" w:rsidTr="004C58A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0C148D8"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144F4E"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лафетов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305BA"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w:t>
            </w:r>
          </w:p>
        </w:tc>
      </w:tr>
    </w:tbl>
    <w:p w14:paraId="7442CE1E"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производительность отечественных заводов но телам понизилась на 13%; лафетов в мае поставлено больше. Обращает на себя внимание Киевский арсенал, который совершенно не изготовляет лафетов. Из-за границы от Шнейдера в апреле и мае ничего не поступило, сдано на месте в марте 16, апреле 4 и мае 28; из Италии от Ансальдо к апрелю было готово к отправке 10 батарей, но отправка была задержана; по последним сведениям в июле будет выслано 7 батарей; из Японии в мае орудия прибыли; заказ 120 мм во Франции окончен последним получением в марте.</w:t>
      </w:r>
    </w:p>
    <w:p w14:paraId="41EA37BB"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Исправлений 42'" орудий в мае не было.</w:t>
      </w:r>
    </w:p>
    <w:p w14:paraId="5168CAE3"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резервах фронтов находится 68 штук 42'" пушек, из коих 30 без лафетов.</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93"/>
        <w:gridCol w:w="2291"/>
        <w:gridCol w:w="593"/>
      </w:tblGrid>
      <w:tr w:rsidR="002B1C74" w:rsidRPr="002F2FDF" w14:paraId="7016CF83" w14:textId="77777777" w:rsidTr="004C58A1">
        <w:trPr>
          <w:tblCellSpacing w:w="0" w:type="dxa"/>
        </w:trPr>
        <w:tc>
          <w:tcPr>
            <w:tcW w:w="0" w:type="auto"/>
            <w:gridSpan w:val="3"/>
            <w:vAlign w:val="center"/>
            <w:hideMark/>
          </w:tcPr>
          <w:p w14:paraId="3C3C4B05"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6" полевые и крепостные и 5" английские гаубицы:</w:t>
            </w:r>
          </w:p>
        </w:tc>
      </w:tr>
      <w:tr w:rsidR="002B1C74" w:rsidRPr="002F2FDF" w14:paraId="3FFC7E25" w14:textId="77777777" w:rsidTr="004C58A1">
        <w:trPr>
          <w:tblCellSpacing w:w="0" w:type="dxa"/>
        </w:trPr>
        <w:tc>
          <w:tcPr>
            <w:tcW w:w="0" w:type="auto"/>
            <w:gridSpan w:val="2"/>
            <w:vAlign w:val="center"/>
            <w:hideMark/>
          </w:tcPr>
          <w:p w14:paraId="3623C67B"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 первоначальная ежемесячно</w:t>
            </w:r>
          </w:p>
        </w:tc>
        <w:tc>
          <w:tcPr>
            <w:tcW w:w="0" w:type="auto"/>
            <w:vAlign w:val="center"/>
            <w:hideMark/>
          </w:tcPr>
          <w:p w14:paraId="15823A1F"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 шт.</w:t>
            </w:r>
          </w:p>
        </w:tc>
      </w:tr>
      <w:tr w:rsidR="002B1C74" w:rsidRPr="002F2FDF" w14:paraId="757B1DCE" w14:textId="77777777" w:rsidTr="004C58A1">
        <w:trPr>
          <w:tblCellSpacing w:w="0" w:type="dxa"/>
        </w:trPr>
        <w:tc>
          <w:tcPr>
            <w:tcW w:w="0" w:type="auto"/>
            <w:gridSpan w:val="2"/>
            <w:vAlign w:val="center"/>
            <w:hideMark/>
          </w:tcPr>
          <w:p w14:paraId="548024D6"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измененная с мая</w:t>
            </w:r>
          </w:p>
        </w:tc>
        <w:tc>
          <w:tcPr>
            <w:tcW w:w="0" w:type="auto"/>
            <w:vAlign w:val="center"/>
            <w:hideMark/>
          </w:tcPr>
          <w:p w14:paraId="531205F3"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w:t>
            </w:r>
          </w:p>
        </w:tc>
      </w:tr>
      <w:tr w:rsidR="002B1C74" w:rsidRPr="002F2FDF" w14:paraId="18682C73" w14:textId="77777777" w:rsidTr="004C58A1">
        <w:trPr>
          <w:tblCellSpacing w:w="0" w:type="dxa"/>
        </w:trPr>
        <w:tc>
          <w:tcPr>
            <w:tcW w:w="0" w:type="auto"/>
            <w:gridSpan w:val="2"/>
            <w:vAlign w:val="center"/>
            <w:hideMark/>
          </w:tcPr>
          <w:p w14:paraId="0F336292"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Поступило гаубиц:</w:t>
            </w:r>
          </w:p>
        </w:tc>
        <w:tc>
          <w:tcPr>
            <w:tcW w:w="0" w:type="auto"/>
            <w:vAlign w:val="center"/>
            <w:hideMark/>
          </w:tcPr>
          <w:p w14:paraId="415942E5" w14:textId="43FC1488"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9740BC2" w14:textId="77777777" w:rsidTr="004C58A1">
        <w:trPr>
          <w:tblCellSpacing w:w="0" w:type="dxa"/>
        </w:trPr>
        <w:tc>
          <w:tcPr>
            <w:tcW w:w="0" w:type="auto"/>
            <w:vMerge w:val="restart"/>
            <w:vAlign w:val="center"/>
            <w:hideMark/>
          </w:tcPr>
          <w:p w14:paraId="6F7E08C6"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w:t>
            </w:r>
          </w:p>
        </w:tc>
        <w:tc>
          <w:tcPr>
            <w:tcW w:w="0" w:type="auto"/>
            <w:vAlign w:val="center"/>
            <w:hideMark/>
          </w:tcPr>
          <w:p w14:paraId="51237B54"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отечественных заводов</w:t>
            </w:r>
          </w:p>
        </w:tc>
        <w:tc>
          <w:tcPr>
            <w:tcW w:w="0" w:type="auto"/>
            <w:vAlign w:val="center"/>
            <w:hideMark/>
          </w:tcPr>
          <w:p w14:paraId="593F38D4"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r>
      <w:tr w:rsidR="002B1C74" w:rsidRPr="002F2FDF" w14:paraId="6A7DAC70" w14:textId="77777777" w:rsidTr="004C58A1">
        <w:trPr>
          <w:tblCellSpacing w:w="0" w:type="dxa"/>
        </w:trPr>
        <w:tc>
          <w:tcPr>
            <w:tcW w:w="0" w:type="auto"/>
            <w:vMerge/>
            <w:vAlign w:val="center"/>
            <w:hideMark/>
          </w:tcPr>
          <w:p w14:paraId="23F3FD27"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p>
        </w:tc>
        <w:tc>
          <w:tcPr>
            <w:tcW w:w="0" w:type="auto"/>
            <w:vAlign w:val="center"/>
            <w:hideMark/>
          </w:tcPr>
          <w:p w14:paraId="62437551"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из-за границы прибыло</w:t>
            </w:r>
          </w:p>
        </w:tc>
        <w:tc>
          <w:tcPr>
            <w:tcW w:w="0" w:type="auto"/>
            <w:vAlign w:val="center"/>
            <w:hideMark/>
          </w:tcPr>
          <w:p w14:paraId="50F88E73"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w:t>
            </w:r>
          </w:p>
        </w:tc>
      </w:tr>
      <w:tr w:rsidR="002B1C74" w:rsidRPr="002F2FDF" w14:paraId="183677EB" w14:textId="77777777" w:rsidTr="004C58A1">
        <w:trPr>
          <w:tblCellSpacing w:w="0" w:type="dxa"/>
        </w:trPr>
        <w:tc>
          <w:tcPr>
            <w:tcW w:w="0" w:type="auto"/>
            <w:gridSpan w:val="2"/>
            <w:vAlign w:val="center"/>
            <w:hideMark/>
          </w:tcPr>
          <w:p w14:paraId="724D3CA5" w14:textId="4A4FFFF1"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vAlign w:val="center"/>
            <w:hideMark/>
          </w:tcPr>
          <w:p w14:paraId="181C7EBB"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 шт.</w:t>
            </w:r>
          </w:p>
        </w:tc>
      </w:tr>
      <w:tr w:rsidR="002B1C74" w:rsidRPr="002F2FDF" w14:paraId="34E45165" w14:textId="77777777" w:rsidTr="004C58A1">
        <w:trPr>
          <w:tblCellSpacing w:w="0" w:type="dxa"/>
        </w:trPr>
        <w:tc>
          <w:tcPr>
            <w:tcW w:w="0" w:type="auto"/>
            <w:vAlign w:val="center"/>
            <w:hideMark/>
          </w:tcPr>
          <w:p w14:paraId="7CA33DBF"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w:t>
            </w:r>
          </w:p>
        </w:tc>
        <w:tc>
          <w:tcPr>
            <w:tcW w:w="0" w:type="auto"/>
            <w:vAlign w:val="center"/>
            <w:hideMark/>
          </w:tcPr>
          <w:p w14:paraId="1D84BE40"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отечественных заводов</w:t>
            </w:r>
          </w:p>
        </w:tc>
        <w:tc>
          <w:tcPr>
            <w:tcW w:w="0" w:type="auto"/>
            <w:vAlign w:val="center"/>
            <w:hideMark/>
          </w:tcPr>
          <w:p w14:paraId="08836C74"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шт.</w:t>
            </w:r>
          </w:p>
        </w:tc>
      </w:tr>
      <w:tr w:rsidR="002B1C74" w:rsidRPr="002F2FDF" w14:paraId="6A6EFC95" w14:textId="77777777" w:rsidTr="004C58A1">
        <w:trPr>
          <w:tblCellSpacing w:w="0" w:type="dxa"/>
        </w:trPr>
        <w:tc>
          <w:tcPr>
            <w:tcW w:w="0" w:type="auto"/>
            <w:vAlign w:val="center"/>
            <w:hideMark/>
          </w:tcPr>
          <w:p w14:paraId="36134C76" w14:textId="69120677"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vAlign w:val="center"/>
            <w:hideMark/>
          </w:tcPr>
          <w:p w14:paraId="1D690A42"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из-за границы прибыло</w:t>
            </w:r>
          </w:p>
        </w:tc>
        <w:tc>
          <w:tcPr>
            <w:tcW w:w="0" w:type="auto"/>
            <w:vAlign w:val="center"/>
            <w:hideMark/>
          </w:tcPr>
          <w:p w14:paraId="61BB5313"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w:t>
            </w:r>
          </w:p>
        </w:tc>
      </w:tr>
      <w:tr w:rsidR="002B1C74" w:rsidRPr="002F2FDF" w14:paraId="0F56B767" w14:textId="77777777" w:rsidTr="004C58A1">
        <w:trPr>
          <w:tblCellSpacing w:w="0" w:type="dxa"/>
        </w:trPr>
        <w:tc>
          <w:tcPr>
            <w:tcW w:w="0" w:type="auto"/>
            <w:gridSpan w:val="2"/>
            <w:vAlign w:val="center"/>
            <w:hideMark/>
          </w:tcPr>
          <w:p w14:paraId="3EDCC38F" w14:textId="4CD4B56A"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vAlign w:val="center"/>
            <w:hideMark/>
          </w:tcPr>
          <w:p w14:paraId="36472036"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шт.</w:t>
            </w:r>
          </w:p>
          <w:p w14:paraId="61AB9A99" w14:textId="21630201"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bl>
    <w:p w14:paraId="0CC69967"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Исправлено в мае 6" полевых 6 и 6" крепостных — 3. 6" гаубиц Пермский завод в мае сдал 7 (январь 8, март 14). На Путиловском заводе производство понизилось: в мае 6 против 9 в январе и 10 в апреле, в феврале 3, в марте 0.</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92"/>
        <w:gridCol w:w="504"/>
      </w:tblGrid>
      <w:tr w:rsidR="002B1C74" w:rsidRPr="002F2FDF" w14:paraId="5B456CE8"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9F7B3A0"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6" осадные пушки Шнейдера и 155 мм французские:</w:t>
            </w:r>
          </w:p>
          <w:p w14:paraId="6EB2C53B" w14:textId="274C8DDC"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69E7A57"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6FDF85"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 первоначальная ежемесячная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E9FA0"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шт.</w:t>
            </w:r>
          </w:p>
        </w:tc>
      </w:tr>
      <w:tr w:rsidR="002B1C74" w:rsidRPr="002F2FDF" w14:paraId="22EC78F8"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C844CE"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46D92"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w:t>
            </w:r>
          </w:p>
        </w:tc>
      </w:tr>
    </w:tbl>
    <w:p w14:paraId="64E9908B"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Поступило 6" пушек от Путиловского завода в мае 6, против 2 в январе; из Франции в мае ничего не получено (принято на месте 18).</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12"/>
        <w:gridCol w:w="1138"/>
        <w:gridCol w:w="852"/>
      </w:tblGrid>
      <w:tr w:rsidR="002B1C74" w:rsidRPr="002F2FDF" w14:paraId="11E18F26" w14:textId="77777777" w:rsidTr="004C58A1">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F5B0527"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Орудия крупных калибров:</w:t>
            </w:r>
          </w:p>
        </w:tc>
      </w:tr>
      <w:tr w:rsidR="002B1C74" w:rsidRPr="002F2FDF" w14:paraId="3B7AAB63"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3D6087"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 единовременная: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CC59A"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Первоначальная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58560"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Измененная</w:t>
            </w:r>
          </w:p>
        </w:tc>
      </w:tr>
      <w:tr w:rsidR="002B1C74" w:rsidRPr="002F2FDF" w14:paraId="7CE5D82A"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0DC403"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59921"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07283"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196</w:t>
            </w:r>
          </w:p>
        </w:tc>
      </w:tr>
      <w:tr w:rsidR="002B1C74" w:rsidRPr="002F2FDF" w14:paraId="25256115"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A2B587"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9.2"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AAFAB"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212BA"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w:t>
            </w:r>
          </w:p>
        </w:tc>
      </w:tr>
      <w:tr w:rsidR="002B1C74" w:rsidRPr="002F2FDF" w14:paraId="2C4CBC8B"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0A319B" w14:textId="59F1AD8C"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мортиры</w:t>
            </w:r>
            <w:r w:rsidR="00E52569">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1DCC04"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8A4F2"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w:t>
            </w:r>
          </w:p>
        </w:tc>
      </w:tr>
      <w:tr w:rsidR="002B1C74" w:rsidRPr="002F2FDF" w14:paraId="118F3967"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E9F82A"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22AAB"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B9992"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w:t>
            </w:r>
          </w:p>
        </w:tc>
      </w:tr>
      <w:tr w:rsidR="002B1C74" w:rsidRPr="002F2FDF" w14:paraId="5F9BA9B0"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99E335" w14:textId="198347CA"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E4A56" w14:textId="49340848"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6962B" w14:textId="4F8CD504"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BF06D73"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C9BC5F" w14:textId="4A08FA16"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C76E1" w14:textId="1F3D2000"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98503" w14:textId="58F7C079"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bl>
    <w:p w14:paraId="31A3B8CF" w14:textId="152A6DCC"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90"/>
        <w:gridCol w:w="176"/>
        <w:gridCol w:w="296"/>
        <w:gridCol w:w="250"/>
        <w:gridCol w:w="256"/>
      </w:tblGrid>
      <w:tr w:rsidR="002B1C74" w:rsidRPr="002F2FDF" w14:paraId="0917DAF6"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F5A37B" w14:textId="2B68E094"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D8E10"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FB056"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CB9BE"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E9A72"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r>
      <w:tr w:rsidR="002B1C74" w:rsidRPr="002F2FDF" w14:paraId="696F1AD2"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37D725"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Поступило 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5A718"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818E9"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090A3"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9AFEF"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w:t>
            </w:r>
          </w:p>
        </w:tc>
      </w:tr>
      <w:tr w:rsidR="002B1C74" w:rsidRPr="002F2FDF" w14:paraId="4A6B2606"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64D090"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22231"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691A3"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DD9E7"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D5BE5"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r>
    </w:tbl>
    <w:p w14:paraId="0B9E991D"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гаубицы заказаны заводу Мидваль в Америке и уступлены английским правительством, 9.2" уступлены английским правительством, И" заказаны Шнейдеру, 12" заказаны Обуховскому заводу (в мае поставлена 1) и Виккерсу.</w:t>
      </w:r>
    </w:p>
    <w:p w14:paraId="5E649459"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снабжение орудиями крупных калибров всецело зависит от поступления из-за границы и находится в крайне неудовлетворительном состоянии. Тем не менее из поступивших за истекшее время орудий произведены формирования осадных батарей.</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86"/>
        <w:gridCol w:w="452"/>
      </w:tblGrid>
      <w:tr w:rsidR="002B1C74" w:rsidRPr="002F2FDF" w14:paraId="217747B6"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39BF79E"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8.3" и 75 мм зенитные орудия.</w:t>
            </w:r>
          </w:p>
        </w:tc>
      </w:tr>
      <w:tr w:rsidR="002B1C74" w:rsidRPr="002F2FDF" w14:paraId="0E4B0DBF"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06C663"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5C9CA"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 шт.</w:t>
            </w:r>
          </w:p>
        </w:tc>
      </w:tr>
      <w:tr w:rsidR="002B1C74" w:rsidRPr="002F2FDF" w14:paraId="7B7E7BF5"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5B172D"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измененная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4FB6D"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w:t>
            </w:r>
          </w:p>
        </w:tc>
      </w:tr>
      <w:tr w:rsidR="002B1C74" w:rsidRPr="002F2FDF" w14:paraId="11794D71"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664D7B"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73BAD" w14:textId="490D601B"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50C1876"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9CA99C" w14:textId="4E81B926"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(Путиловского завода)</w:t>
            </w:r>
            <w:r w:rsidR="00E52569">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3C368"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w:t>
            </w:r>
          </w:p>
        </w:tc>
      </w:tr>
      <w:tr w:rsidR="002B1C74" w:rsidRPr="002F2FDF" w14:paraId="7008979D"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136319" w14:textId="20F09741"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w:t>
            </w:r>
            <w:r w:rsidR="00E52569">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D9637"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w:t>
            </w:r>
          </w:p>
        </w:tc>
      </w:tr>
    </w:tbl>
    <w:p w14:paraId="14AD67DC"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Из-за границы за 4 месяца ничего не поставлено. Снабжение орудиями этого типа представляется в безнадежном состоянии.</w:t>
      </w:r>
    </w:p>
    <w:p w14:paraId="5B762648"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Относительно измененной потребности в артиллерийских орудиях, каковая потребность ежемесячная почти по всем калибрам значительно уменьшена ввиду отмены новых формирований. Начальник Главного артиллерийского управления заявил, что новые нормы заявлены Ставкой; задания же эти не отразятся на наивысшем напряжении всех возможных средств для получения наибольшего количества орудий по степени их важности, ставя на первое место орудия средних и крупных калибров.</w:t>
      </w:r>
    </w:p>
    <w:p w14:paraId="5EA77D4F"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Понижение производительности отечественных заводов по сравнению с январем объясняется общими причинами, каковыми являются понижение интенсивности труда и недостаток топлива и материалов, последнее — как следствие ослабления перевозок по железным дорогам.</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31"/>
        <w:gridCol w:w="1628"/>
        <w:gridCol w:w="1412"/>
      </w:tblGrid>
      <w:tr w:rsidR="002B1C74" w:rsidRPr="002F2FDF" w14:paraId="5A3FC694" w14:textId="77777777" w:rsidTr="004C58A1">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A7F21C7"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Винтовки</w:t>
            </w:r>
          </w:p>
        </w:tc>
      </w:tr>
      <w:tr w:rsidR="002B1C74" w:rsidRPr="002F2FDF" w14:paraId="7D84B178"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B1FC32"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Ежемесячная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50199" w14:textId="7024B492"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B38F3"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200000 шт.</w:t>
            </w:r>
          </w:p>
        </w:tc>
      </w:tr>
      <w:tr w:rsidR="002B1C74" w:rsidRPr="002F2FDF" w14:paraId="267E033F"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9937B6"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Поступило 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B2958" w14:textId="1541F442"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DE1D9" w14:textId="3A7E84C1"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4518D7D4" w14:textId="77777777" w:rsidTr="004C58A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B4F5151"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F6A91"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казенных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803DC"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128920 шт.</w:t>
            </w:r>
          </w:p>
        </w:tc>
      </w:tr>
      <w:tr w:rsidR="002B1C74" w:rsidRPr="002F2FDF" w14:paraId="7732A980" w14:textId="77777777" w:rsidTr="004C58A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51CAFBD"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8EC9B1"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C5196"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24600 »</w:t>
            </w:r>
          </w:p>
        </w:tc>
      </w:tr>
      <w:tr w:rsidR="002B1C74" w:rsidRPr="002F2FDF" w14:paraId="6DE4B09F"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9D94AD" w14:textId="7B1851D2"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D9061"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8C9DC" w14:textId="2DE57DEB"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4C58A1" w:rsidRPr="002F2FDF">
              <w:rPr>
                <w:rFonts w:ascii="Times New Roman" w:hAnsi="Times New Roman" w:cs="Times New Roman"/>
                <w:color w:val="000000" w:themeColor="text1"/>
                <w:kern w:val="2"/>
                <w:sz w:val="16"/>
                <w:szCs w:val="16"/>
              </w:rPr>
              <w:t xml:space="preserve"> 153520 шт.</w:t>
            </w:r>
          </w:p>
        </w:tc>
      </w:tr>
      <w:tr w:rsidR="002B1C74" w:rsidRPr="002F2FDF" w14:paraId="2CED2BD7"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58AA56"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B98B5"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казенных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E2E25"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115436 шт.</w:t>
            </w:r>
          </w:p>
        </w:tc>
      </w:tr>
      <w:tr w:rsidR="002B1C74" w:rsidRPr="002F2FDF" w14:paraId="39BB7907"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B7AE40" w14:textId="52FFEF89"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48A3E"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840D2"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37351 »</w:t>
            </w:r>
          </w:p>
        </w:tc>
      </w:tr>
      <w:tr w:rsidR="002B1C74" w:rsidRPr="002F2FDF" w14:paraId="7A680E06"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1ED8FB" w14:textId="5C493CBC"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7146A"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6EA52"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152787 шт.</w:t>
            </w:r>
          </w:p>
        </w:tc>
      </w:tr>
    </w:tbl>
    <w:p w14:paraId="04EF02E8"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Казенные заводы собственно незначительно понизили производство, в частности Сестрорецкий завод сдал в .мае 9850 против 11140 в январе, по заграничным заказам завод Винчестера заказ окончил; следует отметить, что с '1 по 24 июня прибыло из Америки 210 тыс. 3'" винтовок, что сразу делает значительный запас.</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89"/>
        <w:gridCol w:w="1628"/>
        <w:gridCol w:w="612"/>
      </w:tblGrid>
      <w:tr w:rsidR="002B1C74" w:rsidRPr="002F2FDF" w14:paraId="56DECC0C" w14:textId="77777777" w:rsidTr="004C58A1">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04F222C"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Пулеметы</w:t>
            </w:r>
          </w:p>
        </w:tc>
      </w:tr>
      <w:tr w:rsidR="002B1C74" w:rsidRPr="002F2FDF" w14:paraId="6FFD2110"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46CEF0"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Потребность прежняя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D9A38" w14:textId="5ECB2ACB"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1FF55"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600 шт.</w:t>
            </w:r>
          </w:p>
        </w:tc>
      </w:tr>
      <w:tr w:rsidR="002B1C74" w:rsidRPr="002F2FDF" w14:paraId="2CDB1769"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EA6410"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Поступило: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DA064" w14:textId="2A40045E"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EE95B" w14:textId="5C9EAA3F"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9AB9DB0"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1DD854"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10FC4"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Тульского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6B8C7"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1200 шт.</w:t>
            </w:r>
          </w:p>
        </w:tc>
      </w:tr>
      <w:tr w:rsidR="002B1C74" w:rsidRPr="002F2FDF" w14:paraId="2103BD49"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CD11ED" w14:textId="770D624E"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57249"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E3568"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767 »</w:t>
            </w:r>
          </w:p>
        </w:tc>
      </w:tr>
      <w:tr w:rsidR="002B1C74" w:rsidRPr="002F2FDF" w14:paraId="3BF5A6DE"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815F94" w14:textId="1232CEA1"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C843D"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9D8FA"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1967 шт.</w:t>
            </w:r>
          </w:p>
        </w:tc>
      </w:tr>
      <w:tr w:rsidR="002B1C74" w:rsidRPr="002F2FDF" w14:paraId="0BFDB442"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0F6764"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E51E1"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Тульского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7E375"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1160 шт.</w:t>
            </w:r>
          </w:p>
        </w:tc>
      </w:tr>
      <w:tr w:rsidR="002B1C74" w:rsidRPr="002F2FDF" w14:paraId="5304B7E3"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F8F6A9" w14:textId="6ECF8407"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B6B17" w14:textId="3301B8A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из-за границы пришло</w:t>
            </w:r>
            <w:r w:rsidR="00E52569">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825F3"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3000 »</w:t>
            </w:r>
          </w:p>
        </w:tc>
      </w:tr>
      <w:tr w:rsidR="002B1C74" w:rsidRPr="002F2FDF" w14:paraId="44101E96"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0F6CC8" w14:textId="30FDBD45"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D3563"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5CCD6"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4160 шт.</w:t>
            </w:r>
          </w:p>
        </w:tc>
      </w:tr>
    </w:tbl>
    <w:p w14:paraId="39722919"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снабжение пулеметами при некотором понижении производительности казенного завода представляется в благоприятном положении.</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89"/>
        <w:gridCol w:w="766"/>
      </w:tblGrid>
      <w:tr w:rsidR="002B1C74" w:rsidRPr="002F2FDF" w14:paraId="60BCF7C2"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B9F7E4B"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 Ружья-пулеметы</w:t>
            </w:r>
          </w:p>
        </w:tc>
      </w:tr>
      <w:tr w:rsidR="002B1C74" w:rsidRPr="002F2FDF" w14:paraId="0C1EAF1C"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79B8B3"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Единовременная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F8217"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110000 шт.</w:t>
            </w:r>
          </w:p>
        </w:tc>
      </w:tr>
      <w:tr w:rsidR="002B1C74" w:rsidRPr="002F2FDF" w14:paraId="55DC632D"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30774D"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поступило из-за границы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D8C4E"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142 »</w:t>
            </w:r>
          </w:p>
        </w:tc>
      </w:tr>
      <w:tr w:rsidR="002B1C74" w:rsidRPr="002F2FDF" w14:paraId="0278DA60"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D5A332"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27394"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3543 »</w:t>
            </w:r>
          </w:p>
        </w:tc>
      </w:tr>
    </w:tbl>
    <w:p w14:paraId="715E44AD"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Первая поставка на Ковровском заводе (ружья-пулеметы. Мадсена) жидается в июне.</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13"/>
        <w:gridCol w:w="1932"/>
        <w:gridCol w:w="737"/>
      </w:tblGrid>
      <w:tr w:rsidR="002B1C74" w:rsidRPr="002F2FDF" w14:paraId="15F19FE7" w14:textId="77777777" w:rsidTr="004C58A1">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87D9CB5"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 Винтовочные патроны</w:t>
            </w:r>
          </w:p>
        </w:tc>
      </w:tr>
      <w:tr w:rsidR="002B1C74" w:rsidRPr="002F2FDF" w14:paraId="2EE4683C"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9013B7"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Ежемесячная потребность 3</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F515987"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225 млн.</w:t>
            </w:r>
          </w:p>
        </w:tc>
      </w:tr>
      <w:tr w:rsidR="002B1C74" w:rsidRPr="002F2FDF" w14:paraId="4812F88E"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7F979F"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Австрийских, японских 45 мм Лебеля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E86FBA"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w:t>
            </w:r>
          </w:p>
        </w:tc>
      </w:tr>
      <w:tr w:rsidR="002B1C74" w:rsidRPr="002F2FDF" w14:paraId="5F00BEA3"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D62C17"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Поступило: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6334B" w14:textId="307BE21B"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A7BEB" w14:textId="12E4A8D7"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3D54A09"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9E4C01"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6A591"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с отечественных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A9865"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143,3 млн.</w:t>
            </w:r>
          </w:p>
        </w:tc>
      </w:tr>
      <w:tr w:rsidR="002B1C74" w:rsidRPr="002F2FDF" w14:paraId="3370FD0A"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86121C" w14:textId="23454889"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1AA04"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4403B"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56,2 »</w:t>
            </w:r>
          </w:p>
        </w:tc>
      </w:tr>
      <w:tr w:rsidR="002B1C74" w:rsidRPr="002F2FDF" w14:paraId="7D0087C6"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A827CD" w14:textId="7704BC33"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B9BAC"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FD1CD"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199,5 млн.</w:t>
            </w:r>
          </w:p>
        </w:tc>
      </w:tr>
      <w:tr w:rsidR="002B1C74" w:rsidRPr="002F2FDF" w14:paraId="4E3AE999"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65C320"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B5069"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с отечественных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87EF2"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134,1 млн.</w:t>
            </w:r>
          </w:p>
        </w:tc>
      </w:tr>
      <w:tr w:rsidR="002B1C74" w:rsidRPr="002F2FDF" w14:paraId="25AC850C"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206AB3" w14:textId="353C81DC"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A1FE2"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5E630"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 »</w:t>
            </w:r>
          </w:p>
        </w:tc>
      </w:tr>
      <w:tr w:rsidR="002B1C74" w:rsidRPr="002F2FDF" w14:paraId="4AA5DD09"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78ED61" w14:textId="7D656E16" w:rsidR="004C58A1"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7A224"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41B3E"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244,1 млн</w:t>
            </w:r>
          </w:p>
        </w:tc>
      </w:tr>
    </w:tbl>
    <w:p w14:paraId="581D6EFF"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Отечественные заводы поставили в мае меньше, чем в январе, причем Петроградский казенный завод увеличил производство, Луганский недопоставил 5 млн против января, так что общее понижение произошло благодаря уменьшению производства иа Тульском частном заводе более чем вдвое, что объясняется большим количеством брака.</w:t>
      </w:r>
    </w:p>
    <w:p w14:paraId="7C380679"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обсуждении всех вышеприведенных данных, Комиссия пришла к следующим заключениям:</w:t>
      </w:r>
    </w:p>
    <w:p w14:paraId="0C5D47FF"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Вновь установленная, значительно пониженная потребность в орудиях не должна служить основанием к уменьшению производительности отечественных заводов и к ослаблению усилий, направленных к получению из-за границы в отношении к крупным и средним калибрам.</w:t>
      </w:r>
    </w:p>
    <w:p w14:paraId="719FB4CF"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Следует признать, что на понижение производительности отечественных заводов влияние оказали не только обстоятельства, связанные с уменьшением интенсивности труда на самих заводах, но и недоставка топлива и металла.</w:t>
      </w:r>
    </w:p>
    <w:p w14:paraId="16E86BBA"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На поставках орудий из-за границы неблагоприятно отразилась задержка в отправке союзниками готовых орудий, что, по-видимому, устраняется в настоящее время; необходимы энергичные настояния о скорейших отправках орудий крупных калибров.</w:t>
      </w:r>
    </w:p>
    <w:p w14:paraId="6D79823A"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Значительное сокращение поставок 3" полевых орудий при отмене новых формирований и наличии значительного запаса значения не имеет.</w:t>
      </w:r>
    </w:p>
    <w:p w14:paraId="6985EC18"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Производство 3" горных орудий необходимо усилить.</w:t>
      </w:r>
    </w:p>
    <w:p w14:paraId="51BF4CD4"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Снабжение зенитными орудиями представляется в безнадежном положении.</w:t>
      </w:r>
    </w:p>
    <w:p w14:paraId="32F34160"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Положение но снабжению пулеметами удовлетворительно.</w:t>
      </w:r>
    </w:p>
    <w:p w14:paraId="391FC9FB"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Необходимо усилить производство 3'" винтовочных патронов.</w:t>
      </w:r>
    </w:p>
    <w:p w14:paraId="13946E50"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Подлинный за надлежащими подписями.</w:t>
      </w:r>
    </w:p>
    <w:p w14:paraId="4058BB85"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Верно: и. д. делопроизводителя,</w:t>
      </w:r>
    </w:p>
    <w:p w14:paraId="271EA998"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подполковник [подпись неразборчива].</w:t>
      </w:r>
    </w:p>
    <w:p w14:paraId="5E5D029C" w14:textId="45ADF810" w:rsidR="004C58A1"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61" w:anchor="1" w:history="1">
        <w:r w:rsidR="004C58A1" w:rsidRPr="002F2FDF">
          <w:rPr>
            <w:rFonts w:ascii="Times New Roman" w:hAnsi="Times New Roman" w:cs="Times New Roman"/>
            <w:color w:val="000000" w:themeColor="text1"/>
            <w:kern w:val="2"/>
            <w:sz w:val="16"/>
            <w:szCs w:val="16"/>
          </w:rPr>
          <w:t>1.</w:t>
        </w:r>
      </w:hyperlink>
      <w:r w:rsidR="00E52569">
        <w:rPr>
          <w:rFonts w:ascii="Times New Roman" w:hAnsi="Times New Roman" w:cs="Times New Roman"/>
          <w:color w:val="000000" w:themeColor="text1"/>
          <w:kern w:val="2"/>
          <w:sz w:val="16"/>
          <w:szCs w:val="16"/>
        </w:rPr>
        <w:t xml:space="preserve"> </w:t>
      </w:r>
      <w:r w:rsidR="004C58A1" w:rsidRPr="002F2FDF">
        <w:rPr>
          <w:rFonts w:ascii="Times New Roman" w:hAnsi="Times New Roman" w:cs="Times New Roman"/>
          <w:color w:val="000000" w:themeColor="text1"/>
          <w:kern w:val="2"/>
          <w:sz w:val="16"/>
          <w:szCs w:val="16"/>
        </w:rPr>
        <w:t>В состав Царицынской группы входили следующие пять заводов: Царицынский орудийный. Сормовский, Коломенский, Петроградский металлический и Лесснер. Царицынский завод, хотя и носил название «орудийного», до конца войны ни одного орудия для армии самостоятельно не изготовил, так как не имел надлежащего оборудования, хотя по условиям контракта должен был иметь его. (А. А.Маниковский. Боевое снабжение русской армии в 1914—1918 гг., ч. II. М., 1922, стр. 158—159) (15514).</w:t>
      </w:r>
    </w:p>
    <w:p w14:paraId="313A0512" w14:textId="77777777" w:rsidR="004C58A1" w:rsidRPr="002F2FDF" w:rsidRDefault="004C58A1" w:rsidP="0083075A">
      <w:pPr>
        <w:spacing w:after="0" w:line="240" w:lineRule="auto"/>
        <w:jc w:val="both"/>
        <w:rPr>
          <w:rFonts w:ascii="Times New Roman" w:hAnsi="Times New Roman" w:cs="Times New Roman"/>
          <w:color w:val="000000" w:themeColor="text1"/>
          <w:kern w:val="2"/>
          <w:sz w:val="16"/>
          <w:szCs w:val="16"/>
        </w:rPr>
      </w:pPr>
    </w:p>
    <w:p w14:paraId="19E15AAF" w14:textId="77777777" w:rsidR="00C312C3" w:rsidRPr="002F2FDF" w:rsidRDefault="00C312C3" w:rsidP="0083075A">
      <w:pPr>
        <w:spacing w:after="0" w:line="240" w:lineRule="auto"/>
        <w:jc w:val="both"/>
        <w:rPr>
          <w:rFonts w:ascii="Times New Roman" w:hAnsi="Times New Roman" w:cs="Times New Roman"/>
          <w:bCs/>
          <w:color w:val="000000" w:themeColor="text1"/>
          <w:sz w:val="16"/>
          <w:szCs w:val="16"/>
        </w:rPr>
      </w:pPr>
      <w:r w:rsidRPr="002F2FDF">
        <w:rPr>
          <w:rFonts w:ascii="Times New Roman" w:hAnsi="Times New Roman" w:cs="Times New Roman"/>
          <w:bCs/>
          <w:color w:val="000000" w:themeColor="text1"/>
          <w:sz w:val="16"/>
          <w:szCs w:val="16"/>
        </w:rPr>
        <w:t>29 июля (11 августа) 1917</w:t>
      </w:r>
    </w:p>
    <w:p w14:paraId="7560A890" w14:textId="77777777" w:rsidR="00C312C3" w:rsidRPr="002F2FDF" w:rsidRDefault="00C312C3" w:rsidP="0083075A">
      <w:pPr>
        <w:spacing w:after="0" w:line="240" w:lineRule="auto"/>
        <w:jc w:val="both"/>
        <w:rPr>
          <w:rFonts w:ascii="Times New Roman" w:hAnsi="Times New Roman" w:cs="Times New Roman"/>
          <w:bCs/>
          <w:color w:val="000000" w:themeColor="text1"/>
          <w:sz w:val="16"/>
          <w:szCs w:val="16"/>
        </w:rPr>
      </w:pPr>
      <w:r w:rsidRPr="002F2FDF">
        <w:rPr>
          <w:rFonts w:ascii="Times New Roman" w:hAnsi="Times New Roman" w:cs="Times New Roman"/>
          <w:color w:val="000000" w:themeColor="text1"/>
          <w:sz w:val="16"/>
          <w:szCs w:val="16"/>
        </w:rPr>
        <w:t>Особый журнал Подготовительной комиссии по артиллерийским вопросам при Особом совещании по обороне о ходе поставок артиллерийских орудий всех калибров, пулеметов, винтовок и винтовочных патронов с января по май 1917 г.</w:t>
      </w:r>
    </w:p>
    <w:p w14:paraId="182F96F9" w14:textId="62B63C73" w:rsidR="00C312C3" w:rsidRPr="002F2FDF" w:rsidRDefault="00C312C3" w:rsidP="0083075A">
      <w:pPr>
        <w:spacing w:after="0" w:line="240" w:lineRule="auto"/>
        <w:jc w:val="both"/>
        <w:rPr>
          <w:rFonts w:ascii="Times New Roman" w:hAnsi="Times New Roman" w:cs="Times New Roman"/>
          <w:bCs/>
          <w:color w:val="000000" w:themeColor="text1"/>
          <w:sz w:val="16"/>
          <w:szCs w:val="16"/>
        </w:rPr>
      </w:pPr>
      <w:r w:rsidRPr="002F2FDF">
        <w:rPr>
          <w:rFonts w:ascii="Times New Roman" w:hAnsi="Times New Roman" w:cs="Times New Roman"/>
          <w:bCs/>
          <w:color w:val="000000" w:themeColor="text1"/>
          <w:sz w:val="16"/>
          <w:szCs w:val="16"/>
        </w:rPr>
        <w:t>Источник:</w:t>
      </w:r>
      <w:r w:rsidR="00E52569">
        <w:rPr>
          <w:rFonts w:ascii="Times New Roman" w:hAnsi="Times New Roman" w:cs="Times New Roman"/>
          <w:bCs/>
          <w:color w:val="000000" w:themeColor="text1"/>
          <w:sz w:val="16"/>
          <w:szCs w:val="16"/>
        </w:rPr>
        <w:t xml:space="preserve"> </w:t>
      </w:r>
    </w:p>
    <w:p w14:paraId="74BF8F44" w14:textId="77777777" w:rsidR="00C312C3" w:rsidRPr="002F2FDF" w:rsidRDefault="00C312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180-184</w:t>
      </w:r>
    </w:p>
    <w:p w14:paraId="73E82879" w14:textId="3B6BDDC1" w:rsidR="00C312C3" w:rsidRPr="002F2FDF" w:rsidRDefault="00C312C3" w:rsidP="0083075A">
      <w:pPr>
        <w:spacing w:after="0" w:line="240" w:lineRule="auto"/>
        <w:jc w:val="both"/>
        <w:rPr>
          <w:rFonts w:ascii="Times New Roman" w:hAnsi="Times New Roman" w:cs="Times New Roman"/>
          <w:bCs/>
          <w:color w:val="000000" w:themeColor="text1"/>
          <w:sz w:val="16"/>
          <w:szCs w:val="16"/>
        </w:rPr>
      </w:pPr>
      <w:r w:rsidRPr="002F2FDF">
        <w:rPr>
          <w:rFonts w:ascii="Times New Roman" w:hAnsi="Times New Roman" w:cs="Times New Roman"/>
          <w:bCs/>
          <w:color w:val="000000" w:themeColor="text1"/>
          <w:sz w:val="16"/>
          <w:szCs w:val="16"/>
        </w:rPr>
        <w:t>Архив:</w:t>
      </w:r>
      <w:r w:rsidR="00E52569">
        <w:rPr>
          <w:rFonts w:ascii="Times New Roman" w:hAnsi="Times New Roman" w:cs="Times New Roman"/>
          <w:bCs/>
          <w:color w:val="000000" w:themeColor="text1"/>
          <w:sz w:val="16"/>
          <w:szCs w:val="16"/>
        </w:rPr>
        <w:t xml:space="preserve"> </w:t>
      </w:r>
    </w:p>
    <w:p w14:paraId="2C65A511" w14:textId="77777777" w:rsidR="00C312C3" w:rsidRPr="002F2FDF" w:rsidRDefault="00C312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ЦГВИА, ф. 369, оп. 3, д. 189, лл. 447—451. Копия.</w:t>
      </w:r>
    </w:p>
    <w:p w14:paraId="527A416F"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Комиссия рассмотрела ход поставок артиллерийских орудий всех калибров, пулеметов, винтовок и винтовочных патронов за четыре месяца, с января по май 1917 г.</w:t>
      </w:r>
    </w:p>
    <w:p w14:paraId="372D2B5F"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lastRenderedPageBreak/>
        <w:t>Результаты доложенных сведений и суждений сводятся к нижеследующему :</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2"/>
        <w:gridCol w:w="529"/>
      </w:tblGrid>
      <w:tr w:rsidR="002B1C74" w:rsidRPr="002F2FDF" w14:paraId="38FDD448"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AE5B281"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А. Орудия</w:t>
            </w:r>
          </w:p>
        </w:tc>
      </w:tr>
      <w:tr w:rsidR="002B1C74" w:rsidRPr="002F2FDF" w14:paraId="0E349B4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CC5AAB0"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1.3" полевые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22EA7" w14:textId="55EC010D"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2B03C91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336C2A0"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52BF3"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490 шт.</w:t>
            </w:r>
          </w:p>
        </w:tc>
      </w:tr>
      <w:tr w:rsidR="002B1C74" w:rsidRPr="002F2FDF" w14:paraId="57F964D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B475472" w14:textId="77777777" w:rsidR="00C312C3" w:rsidRPr="002F2FDF" w:rsidRDefault="00C312C3"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F7D5F"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175 »</w:t>
            </w:r>
          </w:p>
        </w:tc>
      </w:tr>
      <w:tr w:rsidR="002B1C74" w:rsidRPr="002F2FDF" w14:paraId="1932209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59DDF27"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68F3E" w14:textId="12D4767F"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29B9E15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318AC8D" w14:textId="77777777" w:rsidR="00C312C3" w:rsidRPr="002F2FDF" w:rsidRDefault="00C312C3"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06E72"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407 »</w:t>
            </w:r>
          </w:p>
        </w:tc>
      </w:tr>
      <w:tr w:rsidR="002B1C74" w:rsidRPr="002F2FDF" w14:paraId="36FC335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B074702" w14:textId="77777777" w:rsidR="00C312C3" w:rsidRPr="002F2FDF" w:rsidRDefault="00C312C3"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C0798"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316 »</w:t>
            </w:r>
          </w:p>
        </w:tc>
      </w:tr>
    </w:tbl>
    <w:p w14:paraId="0449E095"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Таким образом, производительность заводов понизилась примерно на 25%, притом исключительно на заводах частных (Путиловеком и Царицынской группы), тогда как казенные заводы (Пермский) увеличили свою производительность.</w:t>
      </w:r>
    </w:p>
    <w:p w14:paraId="2139570C" w14:textId="5C83A95D"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По заявлению начальника Главного артиллерийского управления. Путиловскому заводу предложено усилить производство 3" горных пушек за счет сокращения поставки 3" полевых пушек на этом заводе. Царицынская группа</w:t>
      </w:r>
      <w:r w:rsidR="00E52569">
        <w:rPr>
          <w:color w:val="000000" w:themeColor="text1"/>
          <w:sz w:val="16"/>
          <w:szCs w:val="16"/>
        </w:rPr>
        <w:t xml:space="preserve"> </w:t>
      </w:r>
      <w:r w:rsidRPr="002F2FDF">
        <w:rPr>
          <w:color w:val="000000" w:themeColor="text1"/>
          <w:sz w:val="16"/>
          <w:szCs w:val="16"/>
          <w:vertAlign w:val="superscript"/>
        </w:rPr>
        <w:t>1</w:t>
      </w:r>
      <w:r w:rsidRPr="002F2FDF">
        <w:rPr>
          <w:color w:val="000000" w:themeColor="text1"/>
          <w:sz w:val="16"/>
          <w:szCs w:val="16"/>
        </w:rPr>
        <w:t>сдала в мае 110 пушек при 75 лафетах, против 150 в январе и 200 в феврале.</w:t>
      </w:r>
    </w:p>
    <w:p w14:paraId="2FCD3390"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Ремонт 3" полевых пушек в мае месяце незначителен — всего 45 шт.. так как за последнее время орудия для ремонта не поступали в больших количествах.</w:t>
      </w:r>
    </w:p>
    <w:p w14:paraId="6E3FEABC"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По имеющимся в Главном артиллерийском управлении сведениям, в резервах фронтов состоит в запасе 2357 орудий, из коих 1213 без лафетов.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74"/>
        <w:gridCol w:w="449"/>
      </w:tblGrid>
      <w:tr w:rsidR="002B1C74" w:rsidRPr="002F2FDF" w14:paraId="68E754C4"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1D1CD1"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2.3 горные пушки и 3 короткие пушки:</w:t>
            </w:r>
          </w:p>
        </w:tc>
      </w:tr>
      <w:tr w:rsidR="002B1C74" w:rsidRPr="002F2FDF" w14:paraId="21E28A5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DABD10D"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Потребность первоначальная в месяц</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F9E24"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70 шт.</w:t>
            </w:r>
          </w:p>
        </w:tc>
      </w:tr>
      <w:tr w:rsidR="002B1C74" w:rsidRPr="002F2FDF" w14:paraId="6F4FD43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AE12AF5" w14:textId="77777777" w:rsidR="00C312C3" w:rsidRPr="002F2FDF" w:rsidRDefault="00C312C3"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9B132"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40 »</w:t>
            </w:r>
          </w:p>
        </w:tc>
      </w:tr>
      <w:tr w:rsidR="002B1C74" w:rsidRPr="002F2FDF" w14:paraId="538DE61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48CD7A2"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94EBA" w14:textId="607ACC83"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7A47F0E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5C22814" w14:textId="77777777" w:rsidR="00C312C3" w:rsidRPr="002F2FDF" w:rsidRDefault="00C312C3"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84190"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46 »</w:t>
            </w:r>
          </w:p>
        </w:tc>
      </w:tr>
      <w:tr w:rsidR="002B1C74" w:rsidRPr="002F2FDF" w14:paraId="051B446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4F2961B" w14:textId="77777777" w:rsidR="00C312C3" w:rsidRPr="002F2FDF" w:rsidRDefault="00C312C3"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низшая цифра (в феврале)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553C3"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 »</w:t>
            </w:r>
          </w:p>
        </w:tc>
      </w:tr>
      <w:tr w:rsidR="002B1C74" w:rsidRPr="002F2FDF" w14:paraId="3ED018F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21BA765" w14:textId="77777777" w:rsidR="00C312C3" w:rsidRPr="002F2FDF" w:rsidRDefault="00C312C3"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172DA"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20 »</w:t>
            </w:r>
          </w:p>
        </w:tc>
      </w:tr>
    </w:tbl>
    <w:p w14:paraId="505BCC85"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Производительность в мае более чем на 50% понизилась по сравнению с январем. Казенный орудийный завод в феврале и марте ничего не сдал, в мае сдал 10, как и предположено было; Путиловский завод вместо 30 горных и 10 коротких сдал в мае всего 10 коротких. Причины недопоставки на Путиловеком заводе: недостаток топлива и материалов и слабая интенсивность работ.</w:t>
      </w:r>
    </w:p>
    <w:p w14:paraId="6CC1FB02"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Ремонт в мае 10 орудий.</w:t>
      </w:r>
    </w:p>
    <w:p w14:paraId="68C75CC2"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В запасах фронтов 211 пушек, из коих 120 без лафетов.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2"/>
        <w:gridCol w:w="529"/>
      </w:tblGrid>
      <w:tr w:rsidR="002B1C74" w:rsidRPr="002F2FDF" w14:paraId="4B1C5E18"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33E6102"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3,48 гаубицы :</w:t>
            </w:r>
          </w:p>
        </w:tc>
      </w:tr>
      <w:tr w:rsidR="002B1C74" w:rsidRPr="002F2FDF" w14:paraId="674496A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A52ACCB"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B94B3"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108 шт.</w:t>
            </w:r>
          </w:p>
        </w:tc>
      </w:tr>
      <w:tr w:rsidR="002B1C74" w:rsidRPr="002F2FDF" w14:paraId="2E2F300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D538537" w14:textId="77777777" w:rsidR="00C312C3" w:rsidRPr="002F2FDF" w:rsidRDefault="00C312C3"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A69F2"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30 »</w:t>
            </w:r>
          </w:p>
        </w:tc>
      </w:tr>
      <w:tr w:rsidR="002B1C74" w:rsidRPr="002F2FDF" w14:paraId="01CCFEA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352181D"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40ABE" w14:textId="69653843"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5CAECD7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0532304" w14:textId="77777777" w:rsidR="00C312C3" w:rsidRPr="002F2FDF" w:rsidRDefault="00C312C3"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32714"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62 »</w:t>
            </w:r>
          </w:p>
        </w:tc>
      </w:tr>
      <w:tr w:rsidR="002B1C74" w:rsidRPr="002F2FDF" w14:paraId="2475D08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90DCFC3" w14:textId="77777777" w:rsidR="00C312C3" w:rsidRPr="002F2FDF" w:rsidRDefault="00C312C3"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низшая цифра (в феврале)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8363E"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10 »</w:t>
            </w:r>
          </w:p>
        </w:tc>
      </w:tr>
      <w:tr w:rsidR="002B1C74" w:rsidRPr="002F2FDF" w14:paraId="0A50E5B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6CD8303" w14:textId="77777777" w:rsidR="00C312C3" w:rsidRPr="002F2FDF" w:rsidRDefault="00C312C3"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7FE3B"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43 »</w:t>
            </w:r>
          </w:p>
        </w:tc>
      </w:tr>
    </w:tbl>
    <w:p w14:paraId="5C8A685D" w14:textId="77777777" w:rsidR="00C312C3" w:rsidRPr="002F2FDF" w:rsidRDefault="00C312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Производительность в мае на 30% понизилась против январской как на казенных заводах, так и на частных (Путиловский).</w:t>
      </w:r>
    </w:p>
    <w:p w14:paraId="44D2966B"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Ремонт в мае по числу предъявленных к исправлению 14 гаубиц.</w:t>
      </w:r>
    </w:p>
    <w:p w14:paraId="5DE17085"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В резервах фронтов 310 орудий, из коих 67 без лафетов.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62"/>
        <w:gridCol w:w="1410"/>
        <w:gridCol w:w="770"/>
      </w:tblGrid>
      <w:tr w:rsidR="002B1C74" w:rsidRPr="002F2FDF" w14:paraId="0A0320B5" w14:textId="77777777" w:rsidTr="006514E2">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CA67C81"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4. 42'" скорострельные и 120 мм пушки:</w:t>
            </w:r>
          </w:p>
        </w:tc>
      </w:tr>
      <w:tr w:rsidR="002B1C74" w:rsidRPr="002F2FDF" w14:paraId="68054AC1"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0A69F1" w14:textId="1FB94C96"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Потребность первоначальная ежемесячно</w:t>
            </w:r>
            <w:r w:rsidR="00E52569">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F0024"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18 шт.</w:t>
            </w:r>
          </w:p>
        </w:tc>
      </w:tr>
      <w:tr w:rsidR="002B1C74" w:rsidRPr="002F2FDF" w14:paraId="4E7FF81E"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11BAB0" w14:textId="77777777" w:rsidR="00C312C3" w:rsidRPr="002F2FDF" w:rsidRDefault="00C312C3"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увеличенная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3ACFA"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24 »</w:t>
            </w:r>
          </w:p>
        </w:tc>
      </w:tr>
      <w:tr w:rsidR="002B1C74" w:rsidRPr="002F2FDF" w14:paraId="39076266"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5E7622"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Поступило 42'"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6CB06" w14:textId="1B006C98"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2AAF85C5" w14:textId="77777777" w:rsidTr="006514E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B56A5E3"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6F690"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тел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DF151"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30 »</w:t>
            </w:r>
          </w:p>
        </w:tc>
      </w:tr>
      <w:tr w:rsidR="002B1C74" w:rsidRPr="002F2FDF" w14:paraId="57131213" w14:textId="77777777" w:rsidTr="006514E2">
        <w:tc>
          <w:tcPr>
            <w:tcW w:w="0" w:type="auto"/>
            <w:vMerge/>
            <w:tcBorders>
              <w:top w:val="outset" w:sz="6" w:space="0" w:color="auto"/>
              <w:left w:val="outset" w:sz="6" w:space="0" w:color="auto"/>
              <w:bottom w:val="outset" w:sz="6" w:space="0" w:color="auto"/>
              <w:right w:val="outset" w:sz="6" w:space="0" w:color="auto"/>
            </w:tcBorders>
            <w:vAlign w:val="center"/>
            <w:hideMark/>
          </w:tcPr>
          <w:p w14:paraId="2AABAC23" w14:textId="77777777" w:rsidR="00C312C3" w:rsidRPr="002F2FDF" w:rsidRDefault="00C312C3" w:rsidP="0083075A">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F77ED4"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лафетов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942C3"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12 »</w:t>
            </w:r>
          </w:p>
        </w:tc>
      </w:tr>
      <w:tr w:rsidR="002B1C74" w:rsidRPr="002F2FDF" w14:paraId="7AF83D51" w14:textId="77777777" w:rsidTr="006514E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1A93793"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5BF9F"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тел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4F998"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26 »</w:t>
            </w:r>
          </w:p>
        </w:tc>
      </w:tr>
      <w:tr w:rsidR="002B1C74" w:rsidRPr="002F2FDF" w14:paraId="09E9E966" w14:textId="77777777" w:rsidTr="006514E2">
        <w:tc>
          <w:tcPr>
            <w:tcW w:w="0" w:type="auto"/>
            <w:vMerge/>
            <w:tcBorders>
              <w:top w:val="outset" w:sz="6" w:space="0" w:color="auto"/>
              <w:left w:val="outset" w:sz="6" w:space="0" w:color="auto"/>
              <w:bottom w:val="outset" w:sz="6" w:space="0" w:color="auto"/>
              <w:right w:val="outset" w:sz="6" w:space="0" w:color="auto"/>
            </w:tcBorders>
            <w:vAlign w:val="center"/>
            <w:hideMark/>
          </w:tcPr>
          <w:p w14:paraId="20554B6E" w14:textId="77777777" w:rsidR="00C312C3" w:rsidRPr="002F2FDF" w:rsidRDefault="00C312C3" w:rsidP="0083075A">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3B904F"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лафетов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BD5E8"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22 »</w:t>
            </w:r>
          </w:p>
        </w:tc>
      </w:tr>
    </w:tbl>
    <w:p w14:paraId="6DAB9670"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Таким образом, производительность отечественных заводов но телам понизилась на 13%; лафетов в мае поставлено больше. Обращает на себя внимание Киевский арсенал, который совершенно не изготовляет лафетов. Из-за границы от Шнейдера в апреле и мае ничего не поступило, сдано на месте в марте 16, апреле 4 и мае 28; из Италии от Ансальдо к апрелю было готово к отправке 10 батарей, но отправка была задержана; по последним сведениям в июле будет выслано 7 батарей; из Японии в мае орудия прибыли; заказ 120 мм во Франции окончен последним получением в марте.</w:t>
      </w:r>
    </w:p>
    <w:p w14:paraId="6AB74337"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Исправлений 42'" орудий в мае не было.</w:t>
      </w:r>
    </w:p>
    <w:p w14:paraId="139A90FD"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В резервах фронтов находится 68 штук 42'" пушек, из коих 30 без лафетов.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89"/>
        <w:gridCol w:w="2296"/>
        <w:gridCol w:w="602"/>
      </w:tblGrid>
      <w:tr w:rsidR="002B1C74" w:rsidRPr="002F2FDF" w14:paraId="740137E5" w14:textId="77777777" w:rsidTr="006514E2">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BB904FD"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5. 6" полевые и крепостные и 5" английские гаубицы:</w:t>
            </w:r>
          </w:p>
        </w:tc>
      </w:tr>
      <w:tr w:rsidR="002B1C74" w:rsidRPr="002F2FDF" w14:paraId="0799F2D6"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DCA5229"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EE669"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36 шт.</w:t>
            </w:r>
          </w:p>
        </w:tc>
      </w:tr>
      <w:tr w:rsidR="002B1C74" w:rsidRPr="002F2FDF" w14:paraId="6D734A81"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05A10F"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08175"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25 »</w:t>
            </w:r>
          </w:p>
        </w:tc>
      </w:tr>
      <w:tr w:rsidR="002B1C74" w:rsidRPr="002F2FDF" w14:paraId="43DFC67A"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FE315E"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Поступило гаубиц:</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8E2C1" w14:textId="538ACD13"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281A2751" w14:textId="77777777" w:rsidTr="006514E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ACE1148"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9E4A0"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с отечественных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4B680"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17</w:t>
            </w:r>
          </w:p>
        </w:tc>
      </w:tr>
      <w:tr w:rsidR="002B1C74" w:rsidRPr="002F2FDF" w14:paraId="57A58C85" w14:textId="77777777" w:rsidTr="006514E2">
        <w:tc>
          <w:tcPr>
            <w:tcW w:w="0" w:type="auto"/>
            <w:vMerge/>
            <w:tcBorders>
              <w:top w:val="outset" w:sz="6" w:space="0" w:color="auto"/>
              <w:left w:val="outset" w:sz="6" w:space="0" w:color="auto"/>
              <w:bottom w:val="outset" w:sz="6" w:space="0" w:color="auto"/>
              <w:right w:val="outset" w:sz="6" w:space="0" w:color="auto"/>
            </w:tcBorders>
            <w:vAlign w:val="center"/>
            <w:hideMark/>
          </w:tcPr>
          <w:p w14:paraId="0E630799" w14:textId="77777777" w:rsidR="00C312C3" w:rsidRPr="002F2FDF" w:rsidRDefault="00C312C3" w:rsidP="0083075A">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2742C4"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905EF"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24 »</w:t>
            </w:r>
          </w:p>
        </w:tc>
      </w:tr>
      <w:tr w:rsidR="002B1C74" w:rsidRPr="002F2FDF" w14:paraId="2035F38C"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50CBD56" w14:textId="4A68D501"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838C0"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41 шт.</w:t>
            </w:r>
          </w:p>
        </w:tc>
      </w:tr>
      <w:tr w:rsidR="002B1C74" w:rsidRPr="002F2FDF" w14:paraId="2373C40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0CCF483"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D1756"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с отечественных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51E9A"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13 шт.</w:t>
            </w:r>
          </w:p>
        </w:tc>
      </w:tr>
      <w:tr w:rsidR="002B1C74" w:rsidRPr="002F2FDF" w14:paraId="71C9694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B34F2DA" w14:textId="1838A6C2"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55DA7"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69BF2"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14 »</w:t>
            </w:r>
          </w:p>
        </w:tc>
      </w:tr>
      <w:tr w:rsidR="002B1C74" w:rsidRPr="002F2FDF" w14:paraId="70410C70"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6D9BFBC" w14:textId="5D53CCEF"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D666F"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27 шт.</w:t>
            </w:r>
          </w:p>
          <w:p w14:paraId="036FBA0C" w14:textId="0D7179B1"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bl>
    <w:p w14:paraId="0A8719BB"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Исправлено в мае 6" полевых 6 и 6" крепостных — 3. 6" гаубиц Пермский завод в мае сдал 7 (январь 8, март 14). На Путиловском заводе производство понизилось: в мае 6 против 9 в январе и 10 в апреле, в феврале 3, в марте 0.</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74"/>
        <w:gridCol w:w="501"/>
      </w:tblGrid>
      <w:tr w:rsidR="002B1C74" w:rsidRPr="002F2FDF" w14:paraId="28B139C6"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BF2C3EB"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6. 6" осадные пушки Шнейдера и 155 мм французские:</w:t>
            </w:r>
          </w:p>
          <w:p w14:paraId="2B52F5EC" w14:textId="67784C83"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4FC431B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2022F02"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Потребность первоначальная ежемесячная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21D8C"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25 шт.</w:t>
            </w:r>
          </w:p>
        </w:tc>
      </w:tr>
      <w:tr w:rsidR="002B1C74" w:rsidRPr="002F2FDF" w14:paraId="5CC4011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4B4199D" w14:textId="77777777" w:rsidR="00C312C3" w:rsidRPr="002F2FDF" w:rsidRDefault="00C312C3"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77798"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5 »</w:t>
            </w:r>
          </w:p>
        </w:tc>
      </w:tr>
    </w:tbl>
    <w:p w14:paraId="6669FD4F"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Поступило 6" пушек от Путиловского завода в мае 6, против 2 в январе; из Франции в мае ничего не получено (принято на месте 18).</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01"/>
        <w:gridCol w:w="164"/>
        <w:gridCol w:w="286"/>
        <w:gridCol w:w="245"/>
        <w:gridCol w:w="1129"/>
        <w:gridCol w:w="839"/>
      </w:tblGrid>
      <w:tr w:rsidR="002B1C74" w:rsidRPr="002F2FDF" w14:paraId="09D26DF4" w14:textId="77777777" w:rsidTr="006514E2">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0B279D83"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7. Орудия крупных калибров:</w:t>
            </w:r>
          </w:p>
        </w:tc>
      </w:tr>
      <w:tr w:rsidR="002B1C74" w:rsidRPr="002F2FDF" w14:paraId="28BE4BCE" w14:textId="77777777" w:rsidTr="006514E2">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8D0E86E"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Потребность единовременная: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1A60B"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Первоначальная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BC4EB"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Измененная</w:t>
            </w:r>
          </w:p>
        </w:tc>
      </w:tr>
      <w:tr w:rsidR="002B1C74" w:rsidRPr="002F2FDF" w14:paraId="0DD9E276" w14:textId="77777777" w:rsidTr="006514E2">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76EEEFC"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8"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30885"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AC163"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196</w:t>
            </w:r>
          </w:p>
        </w:tc>
      </w:tr>
      <w:tr w:rsidR="002B1C74" w:rsidRPr="002F2FDF" w14:paraId="5CE44642" w14:textId="77777777" w:rsidTr="006514E2">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AD18721"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9.2"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9FB04"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FB65F"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44</w:t>
            </w:r>
          </w:p>
        </w:tc>
      </w:tr>
      <w:tr w:rsidR="002B1C74" w:rsidRPr="002F2FDF" w14:paraId="26B4F3C6" w14:textId="77777777" w:rsidTr="006514E2">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3C68339C" w14:textId="0E6D3294"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11" мортиры</w:t>
            </w:r>
            <w:r w:rsidR="00E52569">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0B527"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2459A"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46</w:t>
            </w:r>
          </w:p>
        </w:tc>
      </w:tr>
      <w:tr w:rsidR="002B1C74" w:rsidRPr="002F2FDF" w14:paraId="53DF848D" w14:textId="77777777" w:rsidTr="006514E2">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6F8A9B5"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12"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32FC4"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C2FB9"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42</w:t>
            </w:r>
          </w:p>
        </w:tc>
      </w:tr>
      <w:tr w:rsidR="002B1C74" w:rsidRPr="002F2FDF" w14:paraId="7E947A5F" w14:textId="77777777" w:rsidTr="006514E2">
        <w:trPr>
          <w:gridAfter w:val="1"/>
        </w:trPr>
        <w:tc>
          <w:tcPr>
            <w:tcW w:w="0" w:type="auto"/>
            <w:tcBorders>
              <w:top w:val="outset" w:sz="6" w:space="0" w:color="auto"/>
              <w:left w:val="outset" w:sz="6" w:space="0" w:color="auto"/>
              <w:bottom w:val="outset" w:sz="6" w:space="0" w:color="auto"/>
              <w:right w:val="outset" w:sz="6" w:space="0" w:color="auto"/>
            </w:tcBorders>
            <w:vAlign w:val="center"/>
            <w:hideMark/>
          </w:tcPr>
          <w:p w14:paraId="40ED05D7" w14:textId="644C9581"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5E32B"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8CF32"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1A48D"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2AAEF"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14"</w:t>
            </w:r>
          </w:p>
        </w:tc>
      </w:tr>
      <w:tr w:rsidR="002B1C74" w:rsidRPr="002F2FDF" w14:paraId="0F63F87C" w14:textId="77777777" w:rsidTr="006514E2">
        <w:trPr>
          <w:gridAfter w:val="1"/>
        </w:trPr>
        <w:tc>
          <w:tcPr>
            <w:tcW w:w="0" w:type="auto"/>
            <w:tcBorders>
              <w:top w:val="outset" w:sz="6" w:space="0" w:color="auto"/>
              <w:left w:val="outset" w:sz="6" w:space="0" w:color="auto"/>
              <w:bottom w:val="outset" w:sz="6" w:space="0" w:color="auto"/>
              <w:right w:val="outset" w:sz="6" w:space="0" w:color="auto"/>
            </w:tcBorders>
            <w:vAlign w:val="center"/>
            <w:hideMark/>
          </w:tcPr>
          <w:p w14:paraId="21278FC4"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Поступило 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3126C"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65FE6"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9C9E8"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38A78"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0</w:t>
            </w:r>
          </w:p>
        </w:tc>
      </w:tr>
      <w:tr w:rsidR="002B1C74" w:rsidRPr="002F2FDF" w14:paraId="216DE440" w14:textId="77777777" w:rsidTr="006514E2">
        <w:trPr>
          <w:gridAfter w:val="1"/>
        </w:trPr>
        <w:tc>
          <w:tcPr>
            <w:tcW w:w="0" w:type="auto"/>
            <w:tcBorders>
              <w:top w:val="outset" w:sz="6" w:space="0" w:color="auto"/>
              <w:left w:val="outset" w:sz="6" w:space="0" w:color="auto"/>
              <w:bottom w:val="outset" w:sz="6" w:space="0" w:color="auto"/>
              <w:right w:val="outset" w:sz="6" w:space="0" w:color="auto"/>
            </w:tcBorders>
            <w:vAlign w:val="center"/>
            <w:hideMark/>
          </w:tcPr>
          <w:p w14:paraId="09406D30" w14:textId="77777777" w:rsidR="00C312C3" w:rsidRPr="002F2FDF" w:rsidRDefault="00C312C3"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99080"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92B9C"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AC07C"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73375"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w:t>
            </w:r>
          </w:p>
        </w:tc>
      </w:tr>
    </w:tbl>
    <w:p w14:paraId="0FDA2F70"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8" гаубицы заказаны заводу Мидваль в Америке и уступлены английским правительством, 9.2" уступлены английским правительством, 11" заказаны Шнейдеру, 12" заказаны Обуховскому заводу (в мае поставлена 1) и Виккерсу.</w:t>
      </w:r>
    </w:p>
    <w:p w14:paraId="405A9A67"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lastRenderedPageBreak/>
        <w:t>Таким образом, снабжение орудиями крупных калибров всецело зависит от поступления из-за границы и находится в крайне неудовлетворительном состоянии. Тем не менее из поступивших за истекшее время орудий произведены формирования осадных батарей.</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2"/>
        <w:gridCol w:w="449"/>
      </w:tblGrid>
      <w:tr w:rsidR="002B1C74" w:rsidRPr="002F2FDF" w14:paraId="78390272"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E23C87"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8.3" и 75 мм зенитные орудия.</w:t>
            </w:r>
          </w:p>
        </w:tc>
      </w:tr>
      <w:tr w:rsidR="002B1C74" w:rsidRPr="002F2FDF" w14:paraId="4515D49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E1FD5E9"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E2748"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36 шт.</w:t>
            </w:r>
          </w:p>
        </w:tc>
      </w:tr>
      <w:tr w:rsidR="002B1C74" w:rsidRPr="002F2FDF" w14:paraId="40D9FDC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18A749B" w14:textId="77777777" w:rsidR="00C312C3" w:rsidRPr="002F2FDF" w:rsidRDefault="00C312C3"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измененная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85BE3"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14 »</w:t>
            </w:r>
          </w:p>
        </w:tc>
      </w:tr>
      <w:tr w:rsidR="002B1C74" w:rsidRPr="002F2FDF" w14:paraId="70B2BAB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5E9FE8F"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7750F" w14:textId="334FACBC"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494896B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3B2828F" w14:textId="7D116548" w:rsidR="00C312C3" w:rsidRPr="002F2FDF" w:rsidRDefault="00C312C3"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в январе (Путиловского завода)</w:t>
            </w:r>
            <w:r w:rsidR="00E52569">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76DB5"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12 »</w:t>
            </w:r>
          </w:p>
        </w:tc>
      </w:tr>
      <w:tr w:rsidR="002B1C74" w:rsidRPr="002F2FDF" w14:paraId="1FCC13B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0CABBC8" w14:textId="61DCF42E" w:rsidR="00C312C3" w:rsidRPr="002F2FDF" w:rsidRDefault="00C312C3"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в мае</w:t>
            </w:r>
            <w:r w:rsidR="00E52569">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29E33"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10 »</w:t>
            </w:r>
          </w:p>
        </w:tc>
      </w:tr>
    </w:tbl>
    <w:p w14:paraId="731D75B3" w14:textId="675A30C2" w:rsidR="00C312C3" w:rsidRPr="002F2FDF" w:rsidRDefault="00C312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Из-за границы за 4</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месяца ничего не поставлено. Снабжение орудиями этого типа представляется в безнадежном состоянии.</w:t>
      </w:r>
    </w:p>
    <w:p w14:paraId="4C393788"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Относительно измененной потребности в артиллерийских орудиях, каковая потребность ежемесячная почти по всем калибрам значительно уменьшена ввиду отмены новых формирований. Начальник Главного артиллерийского управления заявил, что новые нормы заявлены Ставкой; задания же эти не отразятся на наивысшем напряжении всех возможных средств для получения наибольшего количества орудий по степени их важности, ставя на первое место орудия средних и крупных калибров.</w:t>
      </w:r>
    </w:p>
    <w:p w14:paraId="4A143EA3"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Понижение производительности отечественных заводов по сравнению с январем объясняется общими причинами, каковыми являются понижение интенсивности труда и недостаток топлива и материалов, последнее — как следствие ослабления перевозок по железным дорогам.</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10"/>
        <w:gridCol w:w="1613"/>
        <w:gridCol w:w="1409"/>
      </w:tblGrid>
      <w:tr w:rsidR="002B1C74" w:rsidRPr="002F2FDF" w14:paraId="5E8EFB17" w14:textId="77777777" w:rsidTr="006514E2">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5B3D214"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Б. Винтовки</w:t>
            </w:r>
          </w:p>
        </w:tc>
      </w:tr>
      <w:tr w:rsidR="002B1C74" w:rsidRPr="002F2FDF" w14:paraId="0FAE95D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E43998B"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Ежемесячная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62A75" w14:textId="3DD4DE83"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7B6D9"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200000 шт.</w:t>
            </w:r>
          </w:p>
        </w:tc>
      </w:tr>
      <w:tr w:rsidR="002B1C74" w:rsidRPr="002F2FDF" w14:paraId="608BF71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7B778B4"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Поступило 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E6730" w14:textId="1D48953D"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94F17" w14:textId="7391221E"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29B4C88A" w14:textId="77777777" w:rsidTr="006514E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49380CD"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128F0"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с казенных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C71C0"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128920 шт.</w:t>
            </w:r>
          </w:p>
        </w:tc>
      </w:tr>
      <w:tr w:rsidR="002B1C74" w:rsidRPr="002F2FDF" w14:paraId="0CFFC39D" w14:textId="77777777" w:rsidTr="006514E2">
        <w:tc>
          <w:tcPr>
            <w:tcW w:w="0" w:type="auto"/>
            <w:vMerge/>
            <w:tcBorders>
              <w:top w:val="outset" w:sz="6" w:space="0" w:color="auto"/>
              <w:left w:val="outset" w:sz="6" w:space="0" w:color="auto"/>
              <w:bottom w:val="outset" w:sz="6" w:space="0" w:color="auto"/>
              <w:right w:val="outset" w:sz="6" w:space="0" w:color="auto"/>
            </w:tcBorders>
            <w:vAlign w:val="center"/>
            <w:hideMark/>
          </w:tcPr>
          <w:p w14:paraId="177E1E4B" w14:textId="77777777" w:rsidR="00C312C3" w:rsidRPr="002F2FDF" w:rsidRDefault="00C312C3" w:rsidP="0083075A">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5CD3A6"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06E2E"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24600 »</w:t>
            </w:r>
          </w:p>
        </w:tc>
      </w:tr>
      <w:tr w:rsidR="002B1C74" w:rsidRPr="002F2FDF" w14:paraId="632489F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B001CE6" w14:textId="4B3F4196"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18C9A"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BE31C" w14:textId="2F3B6604"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r w:rsidR="00C312C3" w:rsidRPr="002F2FDF">
              <w:rPr>
                <w:color w:val="000000" w:themeColor="text1"/>
                <w:sz w:val="16"/>
                <w:szCs w:val="16"/>
              </w:rPr>
              <w:t xml:space="preserve"> 153520 шт.</w:t>
            </w:r>
          </w:p>
        </w:tc>
      </w:tr>
      <w:tr w:rsidR="002B1C74" w:rsidRPr="002F2FDF" w14:paraId="5427B67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BCE2FBD"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A1911"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с казенных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E704585"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115436 шт.</w:t>
            </w:r>
          </w:p>
        </w:tc>
      </w:tr>
      <w:tr w:rsidR="002B1C74" w:rsidRPr="002F2FDF" w14:paraId="3197316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28FCEB9" w14:textId="78C1631F"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A3A5E"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DF399"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37351 »</w:t>
            </w:r>
          </w:p>
        </w:tc>
      </w:tr>
      <w:tr w:rsidR="002B1C74" w:rsidRPr="002F2FDF" w14:paraId="1E5D6A3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04F7A84" w14:textId="0021A7EF"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BC69C"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F3267"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152787 шт.</w:t>
            </w:r>
          </w:p>
        </w:tc>
      </w:tr>
    </w:tbl>
    <w:p w14:paraId="00BFAC4D" w14:textId="77777777" w:rsidR="00C312C3" w:rsidRPr="002F2FDF" w:rsidRDefault="00C312C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Казенные заводы собственно незначительно понизили производство, в частности Сестрорецкий завод сдал в .мае 9850 против 11140 в январе, по заграничным заказам завод Винчестера заказ окончил; следует отметить, что с '1 по 24 июня прибыло из Америки 210 тыс. 3'" винтовок, что сразу делает значительный запас.</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68"/>
        <w:gridCol w:w="1613"/>
        <w:gridCol w:w="609"/>
      </w:tblGrid>
      <w:tr w:rsidR="002B1C74" w:rsidRPr="002F2FDF" w14:paraId="7860235A" w14:textId="77777777" w:rsidTr="006514E2">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441B8EC"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В. Пулеметы</w:t>
            </w:r>
          </w:p>
        </w:tc>
      </w:tr>
      <w:tr w:rsidR="002B1C74" w:rsidRPr="002F2FDF" w14:paraId="4DA59D3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B393566"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Потребность прежняя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24DB6" w14:textId="3891EAF8" w:rsidR="00C312C3" w:rsidRPr="002F2FDF" w:rsidRDefault="00E52569" w:rsidP="0083075A">
            <w:pPr>
              <w:pStyle w:val="rtecenter"/>
              <w:spacing w:before="0" w:after="0"/>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C4025"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600 шт.</w:t>
            </w:r>
          </w:p>
        </w:tc>
      </w:tr>
      <w:tr w:rsidR="002B1C74" w:rsidRPr="002F2FDF" w14:paraId="6B355AA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58C1ACB"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Поступило: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CCE37" w14:textId="227C9ADF" w:rsidR="00C312C3" w:rsidRPr="002F2FDF" w:rsidRDefault="00E52569" w:rsidP="0083075A">
            <w:pPr>
              <w:pStyle w:val="rtecenter"/>
              <w:spacing w:before="0" w:after="0"/>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FE01B" w14:textId="4B7F35B6" w:rsidR="00C312C3" w:rsidRPr="002F2FDF" w:rsidRDefault="00E52569" w:rsidP="0083075A">
            <w:pPr>
              <w:pStyle w:val="rtecenter"/>
              <w:spacing w:before="0" w:after="0"/>
              <w:jc w:val="both"/>
              <w:rPr>
                <w:color w:val="000000" w:themeColor="text1"/>
                <w:sz w:val="16"/>
                <w:szCs w:val="16"/>
              </w:rPr>
            </w:pPr>
            <w:r>
              <w:rPr>
                <w:color w:val="000000" w:themeColor="text1"/>
                <w:sz w:val="16"/>
                <w:szCs w:val="16"/>
              </w:rPr>
              <w:t xml:space="preserve"> </w:t>
            </w:r>
          </w:p>
        </w:tc>
      </w:tr>
      <w:tr w:rsidR="002B1C74" w:rsidRPr="002F2FDF" w14:paraId="5F191E8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8E29ED6"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47B8B"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с Тульского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44A74"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1200 шт.</w:t>
            </w:r>
          </w:p>
        </w:tc>
      </w:tr>
      <w:tr w:rsidR="002B1C74" w:rsidRPr="002F2FDF" w14:paraId="522BA93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1B416F3" w14:textId="289A119A" w:rsidR="00C312C3" w:rsidRPr="002F2FDF" w:rsidRDefault="00E52569" w:rsidP="0083075A">
            <w:pPr>
              <w:pStyle w:val="rtecenter"/>
              <w:spacing w:before="0" w:after="0"/>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14B2F"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E1AEC"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767 »</w:t>
            </w:r>
          </w:p>
        </w:tc>
      </w:tr>
      <w:tr w:rsidR="002B1C74" w:rsidRPr="002F2FDF" w14:paraId="69EFAFD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006DEB8" w14:textId="1777EA66" w:rsidR="00C312C3" w:rsidRPr="002F2FDF" w:rsidRDefault="00E52569" w:rsidP="0083075A">
            <w:pPr>
              <w:pStyle w:val="rtecenter"/>
              <w:spacing w:before="0" w:after="0"/>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B26D6"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DD276"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1967 шт.</w:t>
            </w:r>
          </w:p>
        </w:tc>
      </w:tr>
      <w:tr w:rsidR="002B1C74" w:rsidRPr="002F2FDF" w14:paraId="39DEF4E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B3A9790"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546D5"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с Тульского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B12D9"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1160 шт.</w:t>
            </w:r>
          </w:p>
        </w:tc>
      </w:tr>
      <w:tr w:rsidR="002B1C74" w:rsidRPr="002F2FDF" w14:paraId="4AA716B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9658228" w14:textId="266B9B47" w:rsidR="00C312C3" w:rsidRPr="002F2FDF" w:rsidRDefault="00E52569" w:rsidP="0083075A">
            <w:pPr>
              <w:pStyle w:val="rtecenter"/>
              <w:spacing w:before="0" w:after="0"/>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EFC45" w14:textId="2F1900AE"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из-за границы пришло</w:t>
            </w:r>
            <w:r w:rsidR="00E52569">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09E56"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3000 »</w:t>
            </w:r>
          </w:p>
        </w:tc>
      </w:tr>
      <w:tr w:rsidR="002B1C74" w:rsidRPr="002F2FDF" w14:paraId="715A95F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71F63A5" w14:textId="2F8057B5" w:rsidR="00C312C3" w:rsidRPr="002F2FDF" w:rsidRDefault="00E52569" w:rsidP="0083075A">
            <w:pPr>
              <w:pStyle w:val="rtecenter"/>
              <w:spacing w:before="0" w:after="0"/>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E5967"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8A18E"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4160 шт.</w:t>
            </w:r>
          </w:p>
        </w:tc>
      </w:tr>
    </w:tbl>
    <w:p w14:paraId="3B37BBE2"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Таким образом, снабжение пулеметами при некотором понижении производительности казенного завода представляется в благоприятном положении.</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74"/>
        <w:gridCol w:w="769"/>
      </w:tblGrid>
      <w:tr w:rsidR="002B1C74" w:rsidRPr="002F2FDF" w14:paraId="13E1F4B1"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42FABE2"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Г. Ружья-пулеметы</w:t>
            </w:r>
          </w:p>
        </w:tc>
      </w:tr>
      <w:tr w:rsidR="002B1C74" w:rsidRPr="002F2FDF" w14:paraId="3B7E16C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E74D9E1"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Единовременная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773B1"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110000 шт.</w:t>
            </w:r>
          </w:p>
        </w:tc>
      </w:tr>
      <w:tr w:rsidR="002B1C74" w:rsidRPr="002F2FDF" w14:paraId="31E7D32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F3DBDF1"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В январе поступило из-за границы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CAFFA"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142 »</w:t>
            </w:r>
          </w:p>
        </w:tc>
      </w:tr>
      <w:tr w:rsidR="002B1C74" w:rsidRPr="002F2FDF" w14:paraId="3446C94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59D3885"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E119F"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3543 »</w:t>
            </w:r>
          </w:p>
        </w:tc>
      </w:tr>
    </w:tbl>
    <w:p w14:paraId="1AA5157E"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Первая поставка на Ковровском заводе (ружья-пулеметы. Мадсена) жидается в июне.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00"/>
        <w:gridCol w:w="1926"/>
        <w:gridCol w:w="722"/>
      </w:tblGrid>
      <w:tr w:rsidR="002B1C74" w:rsidRPr="002F2FDF" w14:paraId="216971C5" w14:textId="77777777" w:rsidTr="006514E2">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A36550B"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Д. Винтовочные патроны</w:t>
            </w:r>
          </w:p>
        </w:tc>
      </w:tr>
      <w:tr w:rsidR="002B1C74" w:rsidRPr="002F2FDF" w14:paraId="12A41D9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53E662F"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Ежемесячная потребность 3"</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E30E30"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225 млн.</w:t>
            </w:r>
          </w:p>
        </w:tc>
      </w:tr>
      <w:tr w:rsidR="002B1C74" w:rsidRPr="002F2FDF" w14:paraId="0D4B000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D1098CD"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Австрийских, японских 45 мм Лебеля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0C2D3FA"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7 »</w:t>
            </w:r>
          </w:p>
        </w:tc>
      </w:tr>
      <w:tr w:rsidR="002B1C74" w:rsidRPr="002F2FDF" w14:paraId="2C2BB80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14DD196"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Поступило: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E1951" w14:textId="58658D84"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E309D" w14:textId="63EE1654"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448CA71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43E9DFC" w14:textId="77777777" w:rsidR="00C312C3" w:rsidRPr="002F2FDF" w:rsidRDefault="00C312C3"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F990D"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3"' с отечественных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F4CA8"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143,3 млн.</w:t>
            </w:r>
          </w:p>
        </w:tc>
      </w:tr>
      <w:tr w:rsidR="002B1C74" w:rsidRPr="002F2FDF" w14:paraId="533C1C6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2F20F71" w14:textId="60FFE0E6"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73AD6"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92D4F"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56,2 »</w:t>
            </w:r>
          </w:p>
        </w:tc>
      </w:tr>
      <w:tr w:rsidR="002B1C74" w:rsidRPr="002F2FDF" w14:paraId="2C0EEF8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41B244A" w14:textId="37564ACA"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C088B"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09848"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199,5 млн.</w:t>
            </w:r>
          </w:p>
        </w:tc>
      </w:tr>
      <w:tr w:rsidR="002B1C74" w:rsidRPr="002F2FDF" w14:paraId="3C55164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408D58E" w14:textId="77777777" w:rsidR="00C312C3" w:rsidRPr="002F2FDF" w:rsidRDefault="00C312C3"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5808D"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3"' с отечественных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18480"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134,1 млн.</w:t>
            </w:r>
          </w:p>
        </w:tc>
      </w:tr>
      <w:tr w:rsidR="002B1C74" w:rsidRPr="002F2FDF" w14:paraId="6A4CB8A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743FA9B" w14:textId="3BC1D024"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1E638"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9F159"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110 »</w:t>
            </w:r>
          </w:p>
        </w:tc>
      </w:tr>
      <w:tr w:rsidR="002B1C74" w:rsidRPr="002F2FDF" w14:paraId="16E4F97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C559A6B" w14:textId="5725A607" w:rsidR="00C312C3"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1BEFC"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8814C" w14:textId="77777777" w:rsidR="00C312C3" w:rsidRPr="002F2FDF" w:rsidRDefault="00C312C3" w:rsidP="0083075A">
            <w:pPr>
              <w:pStyle w:val="rtecenter"/>
              <w:spacing w:before="0" w:after="0"/>
              <w:jc w:val="both"/>
              <w:rPr>
                <w:color w:val="000000" w:themeColor="text1"/>
                <w:sz w:val="16"/>
                <w:szCs w:val="16"/>
              </w:rPr>
            </w:pPr>
            <w:r w:rsidRPr="002F2FDF">
              <w:rPr>
                <w:color w:val="000000" w:themeColor="text1"/>
                <w:sz w:val="16"/>
                <w:szCs w:val="16"/>
              </w:rPr>
              <w:t>244,1 млн</w:t>
            </w:r>
          </w:p>
        </w:tc>
      </w:tr>
    </w:tbl>
    <w:p w14:paraId="6943B85A"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Отечественные заводы поставили в мае меньше, чем в январе, причем Петроградский казенный завод увеличил производство, Луганский недопоставил 5 млн против января, так что общее понижение произошло благодаря уменьшению производства иа Тульском частном заводе более чем вдвое, что объясняется большим количеством брака.</w:t>
      </w:r>
    </w:p>
    <w:p w14:paraId="66043846" w14:textId="77777777" w:rsidR="00C312C3" w:rsidRPr="002F2FDF" w:rsidRDefault="00C312C3" w:rsidP="0083075A">
      <w:pPr>
        <w:pStyle w:val="ae"/>
        <w:spacing w:before="0" w:after="0"/>
        <w:jc w:val="both"/>
        <w:rPr>
          <w:color w:val="000000" w:themeColor="text1"/>
          <w:sz w:val="16"/>
          <w:szCs w:val="16"/>
        </w:rPr>
      </w:pPr>
      <w:r w:rsidRPr="002F2FDF">
        <w:rPr>
          <w:color w:val="000000" w:themeColor="text1"/>
          <w:sz w:val="16"/>
          <w:szCs w:val="16"/>
        </w:rPr>
        <w:t>По обсуждении всех вышеприведенных данных, Комиссия пришла к следующим заключениям:</w:t>
      </w:r>
    </w:p>
    <w:p w14:paraId="4AEFBEA1"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1. Вновь установленная, значительно пониженная потребность в орудиях не должна служить основанием к уменьшению производительности отечественных заводов и к ослаблению усилий, направленных к получению из-за границы в отношении к крупным и средним калибрам.</w:t>
      </w:r>
    </w:p>
    <w:p w14:paraId="6A710139"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2. Следует признать, что на понижение производительности отечественных заводов влияние оказали не только обстоятельства, связанные с уменьшением интенсивности труда на самих заводах, но и недоставка топлива и металла.</w:t>
      </w:r>
    </w:p>
    <w:p w14:paraId="0C48E6A4"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3. На поставках орудий из-за границы неблагоприятно отразилась задержка в отправке союзниками готовых орудий, что, по-видимому, устраняется в настоящее время; необходимы энергичные настояния о скорейших отправках орудий крупных калибров.</w:t>
      </w:r>
    </w:p>
    <w:p w14:paraId="63C4C983"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4. Значительное сокращение поставок 3" полевых орудий при отмене новых формирований и наличии значительного запаса значения не имеет.</w:t>
      </w:r>
    </w:p>
    <w:p w14:paraId="0F739FAD"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5. Производство 3" горных орудий необходимо усилить.</w:t>
      </w:r>
    </w:p>
    <w:p w14:paraId="61C177B4"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6. Снабжение зенитными орудиями представляется в безнадежном положении.</w:t>
      </w:r>
    </w:p>
    <w:p w14:paraId="561A15A6"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7. Положение но снабжению пулеметами удовлетворительно.</w:t>
      </w:r>
    </w:p>
    <w:p w14:paraId="41BD524D"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8. Необходимо усилить производство 3'" винтовочных патронов.</w:t>
      </w:r>
    </w:p>
    <w:p w14:paraId="170B3B60" w14:textId="77777777" w:rsidR="00C312C3" w:rsidRPr="002F2FDF" w:rsidRDefault="00C312C3" w:rsidP="0083075A">
      <w:pPr>
        <w:pStyle w:val="rtejustify"/>
        <w:spacing w:before="0" w:after="0"/>
        <w:rPr>
          <w:color w:val="000000" w:themeColor="text1"/>
          <w:sz w:val="16"/>
          <w:szCs w:val="16"/>
        </w:rPr>
      </w:pPr>
      <w:r w:rsidRPr="002F2FDF">
        <w:rPr>
          <w:color w:val="000000" w:themeColor="text1"/>
          <w:sz w:val="16"/>
          <w:szCs w:val="16"/>
        </w:rPr>
        <w:t>Подлинный за надлежащими подписями.</w:t>
      </w:r>
    </w:p>
    <w:p w14:paraId="24F19ED4" w14:textId="77777777" w:rsidR="00C312C3" w:rsidRPr="002F2FDF" w:rsidRDefault="00C312C3" w:rsidP="0083075A">
      <w:pPr>
        <w:pStyle w:val="rteright"/>
        <w:spacing w:before="0" w:beforeAutospacing="0" w:after="0" w:afterAutospacing="0"/>
        <w:jc w:val="both"/>
        <w:rPr>
          <w:color w:val="000000" w:themeColor="text1"/>
          <w:sz w:val="16"/>
          <w:szCs w:val="16"/>
        </w:rPr>
      </w:pPr>
      <w:r w:rsidRPr="002F2FDF">
        <w:rPr>
          <w:color w:val="000000" w:themeColor="text1"/>
          <w:sz w:val="16"/>
          <w:szCs w:val="16"/>
        </w:rPr>
        <w:t>Верно: и. д. делопроизводителя,</w:t>
      </w:r>
    </w:p>
    <w:p w14:paraId="6466F365" w14:textId="77777777" w:rsidR="00C312C3" w:rsidRPr="002F2FDF" w:rsidRDefault="00C312C3" w:rsidP="0083075A">
      <w:pPr>
        <w:pStyle w:val="rteright"/>
        <w:spacing w:before="0" w:beforeAutospacing="0" w:after="0" w:afterAutospacing="0"/>
        <w:jc w:val="both"/>
        <w:rPr>
          <w:color w:val="000000" w:themeColor="text1"/>
          <w:sz w:val="16"/>
          <w:szCs w:val="16"/>
        </w:rPr>
      </w:pPr>
      <w:r w:rsidRPr="002F2FDF">
        <w:rPr>
          <w:color w:val="000000" w:themeColor="text1"/>
          <w:sz w:val="16"/>
          <w:szCs w:val="16"/>
        </w:rPr>
        <w:t>подполковник [подпись неразборчива].</w:t>
      </w:r>
    </w:p>
    <w:p w14:paraId="5C94555D" w14:textId="1032F33E" w:rsidR="00C312C3" w:rsidRPr="002F2FDF" w:rsidRDefault="00000000" w:rsidP="0083075A">
      <w:pPr>
        <w:pStyle w:val="rtejustify"/>
        <w:spacing w:before="0" w:after="0"/>
        <w:rPr>
          <w:color w:val="000000" w:themeColor="text1"/>
          <w:sz w:val="16"/>
          <w:szCs w:val="16"/>
        </w:rPr>
      </w:pPr>
      <w:hyperlink r:id="rId462" w:anchor="1" w:history="1">
        <w:r w:rsidR="00C312C3" w:rsidRPr="002F2FDF">
          <w:rPr>
            <w:rStyle w:val="a5"/>
            <w:rFonts w:eastAsiaTheme="majorEastAsia"/>
            <w:color w:val="000000" w:themeColor="text1"/>
            <w:sz w:val="16"/>
            <w:szCs w:val="16"/>
          </w:rPr>
          <w:t>1.</w:t>
        </w:r>
      </w:hyperlink>
      <w:r w:rsidR="00E52569">
        <w:rPr>
          <w:color w:val="000000" w:themeColor="text1"/>
          <w:sz w:val="16"/>
          <w:szCs w:val="16"/>
        </w:rPr>
        <w:t xml:space="preserve"> </w:t>
      </w:r>
      <w:r w:rsidR="00C312C3" w:rsidRPr="002F2FDF">
        <w:rPr>
          <w:color w:val="000000" w:themeColor="text1"/>
          <w:sz w:val="16"/>
          <w:szCs w:val="16"/>
        </w:rPr>
        <w:t>В состав Царицынской группы входили следующие пять заводов: Царицынский орудийный. Сормовский, Коломенский, Петроградский металлический и Лесснер. Царицынский завод, хотя и носил название «орудийного», до конца войны ни одного орудия для армии самостоятельно не изготовил, так как не имел надлежащего оборудования, хотя по условиям контракта должен был иметь его. (А. А.Маниковский. Боевое снабжение русской армии в 1914—1918 гг., ч. II. М., 1922, стр. 158—159) (18363).</w:t>
      </w:r>
    </w:p>
    <w:p w14:paraId="419BAB4C" w14:textId="77777777" w:rsidR="00C312C3" w:rsidRPr="002F2FDF" w:rsidRDefault="00C312C3" w:rsidP="0083075A">
      <w:pPr>
        <w:spacing w:after="0" w:line="240" w:lineRule="auto"/>
        <w:jc w:val="both"/>
        <w:rPr>
          <w:rFonts w:ascii="Times New Roman" w:hAnsi="Times New Roman" w:cs="Times New Roman"/>
          <w:color w:val="000000" w:themeColor="text1"/>
          <w:sz w:val="16"/>
          <w:szCs w:val="16"/>
        </w:rPr>
      </w:pPr>
    </w:p>
    <w:p w14:paraId="0C076CA3" w14:textId="77777777" w:rsidR="00A05C66"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3DF5D85" w14:textId="77777777" w:rsidR="00A05C66" w:rsidRPr="002F2FDF" w:rsidRDefault="00A05C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13628C" w14:textId="77777777" w:rsidR="00A05C66" w:rsidRPr="002F2FDF" w:rsidRDefault="00A05C66" w:rsidP="0083075A">
      <w:pPr>
        <w:pStyle w:val="ae"/>
        <w:spacing w:before="0" w:after="0"/>
        <w:jc w:val="both"/>
        <w:rPr>
          <w:color w:val="000000" w:themeColor="text1"/>
          <w:kern w:val="2"/>
          <w:sz w:val="16"/>
          <w:szCs w:val="16"/>
        </w:rPr>
      </w:pPr>
      <w:r w:rsidRPr="002F2FDF">
        <w:rPr>
          <w:color w:val="000000" w:themeColor="text1"/>
          <w:kern w:val="2"/>
          <w:sz w:val="16"/>
          <w:szCs w:val="16"/>
        </w:rPr>
        <w:t>29 июля (11 августа) 1917 в Риге местный совет рабочих депутатов вынес резолюцию о создании «единой и неделимой автономной Латвии» в областях с преимущественно латышским населением. Половина из этих областей, правда, была уже более двух лет оккупирована немцами (17045).</w:t>
      </w:r>
    </w:p>
    <w:p w14:paraId="31B88DA5" w14:textId="77777777" w:rsidR="00A05C66" w:rsidRPr="002F2FDF" w:rsidRDefault="00A05C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1EC54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78373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E9A0D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29 июля (11 августа) 1917 в Румынии в ходе боевых действий смертельно ранен немецкий химик, основатель ферментологии, Нобелевский лауреат Э. Букнер (4962).</w:t>
      </w:r>
    </w:p>
    <w:p w14:paraId="15CC273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09D5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июля (11 августа) 1917 лидер лейбористов А.Гендерсон подал в отставку из правительства в знак протеста против политики правительства в отношении России (3907,91).</w:t>
      </w:r>
    </w:p>
    <w:p w14:paraId="184047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04785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июля (11 августа) 1917 в Яссах состоялась премьера первой румынской кинохроники (4962).</w:t>
      </w:r>
    </w:p>
    <w:p w14:paraId="4789258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708A6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июля (11 августа) 1917 у берегов Южной Африки подорвался на мине и затонул английский лайнер “Афины”, 21 человек погиб (4962).</w:t>
      </w:r>
    </w:p>
    <w:p w14:paraId="3F7B32C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585C6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CDDC0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2603C9"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июля (12 августа) 1917 Справка Главного интендантского управления о влиянии уменьшения производительности заводов и фабрик на снабжение армии предметами интендантского довольствия.</w:t>
      </w:r>
    </w:p>
    <w:p w14:paraId="676C2570"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187-189</w:t>
      </w:r>
    </w:p>
    <w:p w14:paraId="3AE51759"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499, оп. 8, д. 205, лл. 16—17. Отпуск.</w:t>
      </w:r>
    </w:p>
    <w:p w14:paraId="01BD8D20"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Обмундирование</w:t>
      </w:r>
    </w:p>
    <w:p w14:paraId="5FDBA54B"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Вся годовая потребность в сукнах на период времени с 1 июля 1917 г. по 1 июля 1918 г. определяется: серошинельного сукна 58 млн. аршин и защитного 53 млн. аршин. На русских фабриках из этого количества сукон назначено к заготовлению защитного сукна 36%. шинельного 60% всей потребности.</w:t>
      </w:r>
    </w:p>
    <w:p w14:paraId="08610F96"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настоящее время производительность русских фабрик упала в общем: для тонких сукон на 45%, для грубых сукон на 5%. Если производительность этих фабрик не повысится и будет стоять в том же положении, то армия недополучит вследствие этого суконных рубах и шаровар до 16% общей потребности), а шинелей до 3% (общей потребности).</w:t>
      </w:r>
    </w:p>
    <w:p w14:paraId="0E9F8FBD"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Заграничными сукнами потребность армии удовлетворяется в размере 44% защитного сукна и 40% серошинельного. Если эти сукна не будут доставлены, то в соответствующем размере армия недополучит и обмундирования.</w:t>
      </w:r>
    </w:p>
    <w:p w14:paraId="1A59F983"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Сверх того, взамен части сукна заказывается молескин для рубах и шаровар в размере 20% всей потребности сукна. До настоящего времени фабриканты еще не приняли этого заказа, и при неудаче этого заготовления удовлетворение потребности в рубахах и шароварах понизится в соответствующей степени, в пределах до 20%.</w:t>
      </w:r>
    </w:p>
    <w:p w14:paraId="08C5E4BE"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Белье, лагерь, теплые вещи</w:t>
      </w:r>
    </w:p>
    <w:p w14:paraId="2AE511CF"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того что производительность фабрик, вырабатывающих хлопчатобумажные и льняные ткани и вату, а также лагерные приборы — деревянные и веревочные — сократилась, по заявлению представителей этих фабрик — членов соответствующих комитетов, от 20 до 40%, а на лагерные приборы, по данным Главного интендантского управления, до 80%, является опасение, что в последующие месяцы (осенние) и в дальнейшем сократится на такой же процент снабжение армии холодным бельем (до 20%), теплыми вещами, из-за слабого поступления ваты (до 50%), и прибором к походным палаткам, из-за сокращения поступления стоек, веревок и пр. (до 80%).</w:t>
      </w:r>
    </w:p>
    <w:p w14:paraId="30E9024C"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Острота положения в настоящее время уменьшается поступлением готовых вещей, перешиваемых из материалов, выработанных до наблюдающегося сокращения производства на фабриках и имеющихся в наличии от прежних заказов. В последующие же периоды, если производительность фабрик не увеличится, начнется сокращение снабжения армии на указанный процент.</w:t>
      </w:r>
    </w:p>
    <w:p w14:paraId="7609FE1D"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III. Обувь</w:t>
      </w:r>
    </w:p>
    <w:p w14:paraId="78669CF0"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Общая производительность обуви в России за время с 1 марта по 1 июля 1917 г. понизилась сравнительно с дореволюционным периодом в среднем на 21.4%. До сего времени недозаготовляемое количество обуви покрывалось имевшимися в распоряжении Главного интендантского управления запасами обуви, накопленными в дореволюционный период. Если приведенное сокращение производства обуви продолжится в дальнейшем, то армия будет недополучать ежемесячно 21,4% обуви.</w:t>
      </w:r>
    </w:p>
    <w:p w14:paraId="139F8D84"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Изготовление сапог в центральных мастерских также упало.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04"/>
        <w:gridCol w:w="3741"/>
        <w:gridCol w:w="3043"/>
        <w:gridCol w:w="2334"/>
      </w:tblGrid>
      <w:tr w:rsidR="002B1C74" w:rsidRPr="002F2FDF" w14:paraId="04A5033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04AAD6"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Наименование фабрик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AC230"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среднем изготовлено в месяц за время с 1 марта по 1 июля 1917 г. (пар)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87B62"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Изготовлялось в среднем в месяц до 1 марта 1917 г. (пар)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25789"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Понижение производительности (В %)</w:t>
            </w:r>
          </w:p>
        </w:tc>
      </w:tr>
      <w:tr w:rsidR="002B1C74" w:rsidRPr="002F2FDF" w14:paraId="04CB614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8B2F6"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Т-во «Скороход» (г. Петроград)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675BD"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F9C7D"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35688"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48.64</w:t>
            </w:r>
          </w:p>
        </w:tc>
      </w:tr>
      <w:tr w:rsidR="002B1C74" w:rsidRPr="002F2FDF" w14:paraId="22C3D64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5F60F2"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Акц. об-во «Поставщик» (г. Москва)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6E554"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890F2"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D6E0D"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w:t>
            </w:r>
          </w:p>
        </w:tc>
      </w:tr>
      <w:tr w:rsidR="002B1C74" w:rsidRPr="002F2FDF" w14:paraId="7E6A70A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FFDDF9"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Акц. об-во «Марс» (г. Москва)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3692E"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6EDBD"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500Э0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B5862"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r>
      <w:tr w:rsidR="002B1C74" w:rsidRPr="002F2FDF" w14:paraId="75F0DBF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70BAB1"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В. II. Вахрушев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6F43E"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49D22"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CD414"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w:t>
            </w:r>
          </w:p>
        </w:tc>
      </w:tr>
    </w:tbl>
    <w:p w14:paraId="3434086C"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IV. Обоз</w:t>
      </w:r>
    </w:p>
    <w:p w14:paraId="4B33E1CA"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Общая производительность заготовления предметов обозного довольствия в России за время с 1 марта по 1 июля 1917 г. понизилась сравнительно с дореволюционным периодом в среднем на 40%.</w:t>
      </w:r>
    </w:p>
    <w:p w14:paraId="2069D1F5"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сего времени потребность в этих предметах удовлетворялась из числа предметов, имеющихся в запасах складов внутренних округов н фронтов, поступивших в дореволюционный период. Если указанное сокращение производства предметов обозного довольствия будет продолжаться и в дальнейшем, то армия будет недополучать в том же проценте этих предметов.</w:t>
      </w:r>
    </w:p>
    <w:p w14:paraId="16A87A19"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Сдача предметов обозного довольствия общественными организациями в этот период упала до 39%. На Петроградском подковном заводе до 52%. В Московских мастерских до 71%.</w:t>
      </w:r>
    </w:p>
    <w:p w14:paraId="5860DF9B"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 Людское снаряжение</w:t>
      </w:r>
    </w:p>
    <w:p w14:paraId="176F24F0"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части людского снаряжения до 1 января 1918 г. армию можно считать обеспеченной, так как имеется значительное количество вещей, накопленных в складах в период интенсивной работы фабрик и мастерских в дореволюционный период.</w:t>
      </w:r>
    </w:p>
    <w:p w14:paraId="1DE8C6AF"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изложенного усматривается, что невыполнение фабриками и заводами нарядов интендантства влечет за собою недостаток материалов для у довлетворения вещевым довольствием действующей армии. При этом следует обратить внимание также и на то, что этот недостаток зависит от уменьшения производительности мастерских, строюіцих разные вещи. Так, например, вопрос о постройке белья и теплых вещей в Москве тянулся с марта до июля и до сих пор еще не вполне налажен вследствие предъявления рабочими всевозможных требований, а главное — повышения расценок на 200—300%.</w:t>
      </w:r>
    </w:p>
    <w:p w14:paraId="061AE398"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Потеря трех рабочих месяцев отзовется крайне неблагоприятно на снабжении армии ватными вещами.</w:t>
      </w:r>
    </w:p>
    <w:p w14:paraId="509A04A7"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Подписал: ген.-лейтенант Богатко (15515).</w:t>
      </w:r>
    </w:p>
    <w:p w14:paraId="3FB14A9E"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p>
    <w:p w14:paraId="0F8861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30 июля </w:t>
      </w:r>
      <w:r w:rsidR="00880559" w:rsidRPr="002F2FDF">
        <w:rPr>
          <w:rFonts w:ascii="Times New Roman" w:hAnsi="Times New Roman" w:cs="Times New Roman"/>
          <w:color w:val="000000" w:themeColor="text1"/>
          <w:kern w:val="2"/>
          <w:sz w:val="16"/>
          <w:szCs w:val="16"/>
        </w:rPr>
        <w:t xml:space="preserve">(12 </w:t>
      </w:r>
      <w:r w:rsidR="007F40F7" w:rsidRPr="002F2FDF">
        <w:rPr>
          <w:rFonts w:ascii="Times New Roman" w:hAnsi="Times New Roman" w:cs="Times New Roman"/>
          <w:color w:val="000000" w:themeColor="text1"/>
          <w:kern w:val="2"/>
          <w:sz w:val="16"/>
          <w:szCs w:val="16"/>
        </w:rPr>
        <w:t xml:space="preserve">августа) </w:t>
      </w:r>
      <w:r w:rsidR="00880559" w:rsidRPr="002F2FDF">
        <w:rPr>
          <w:rFonts w:ascii="Times New Roman" w:hAnsi="Times New Roman" w:cs="Times New Roman"/>
          <w:color w:val="000000" w:themeColor="text1"/>
          <w:kern w:val="2"/>
          <w:sz w:val="16"/>
          <w:szCs w:val="16"/>
        </w:rPr>
        <w:t>в</w:t>
      </w:r>
      <w:r w:rsidRPr="002F2FDF">
        <w:rPr>
          <w:rFonts w:ascii="Times New Roman" w:hAnsi="Times New Roman" w:cs="Times New Roman"/>
          <w:color w:val="000000" w:themeColor="text1"/>
          <w:kern w:val="2"/>
          <w:sz w:val="16"/>
          <w:szCs w:val="16"/>
        </w:rPr>
        <w:t>1917 года «Автроил», построенный на верфи Акционерного общества «Беккер и К°» в Ревеле, где строилась серия из пяти кораблей этого типа: «Громоносец» (с 9 июня 1914 года — «Изяслав»), «Прямислав», «Брячислав», «Автроил», «Феодор Стратилат» с артиллерийским вооружением из пяти 102-мм орудий каждый — более сильным, чем на современных им английских миноносцах, заложенный 31 декабря 1914 года и спущенный на воду 31 декабря 1914 года, и вошел в состав флота (11866).</w:t>
      </w:r>
    </w:p>
    <w:p w14:paraId="7E2347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76176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F6B8E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69BF78" w14:textId="13649299" w:rsidR="00C87AE4" w:rsidRPr="00FB4F67" w:rsidRDefault="00C87AE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30 июля (</w:t>
      </w:r>
      <w:r w:rsidRPr="00FB4F67">
        <w:rPr>
          <w:rFonts w:ascii="Times New Roman" w:hAnsi="Times New Roman" w:cs="Times New Roman"/>
          <w:color w:val="0070C0"/>
          <w:sz w:val="16"/>
          <w:szCs w:val="16"/>
        </w:rPr>
        <w:t>12 августа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германская авиация продолжала совершать групповые налеты на Барановическом направлении, осуществив бомбометание м. Снова и ст. Молодечно. Вечером над станцией появились два германских самолета и сбросили 6 бомб, целясь в станцию и в водокачку. Осколками было ранено несколько человек, в том числе сестра милосердия.</w:t>
      </w:r>
    </w:p>
    <w:p w14:paraId="5DE35607" w14:textId="77777777" w:rsidR="00C87AE4" w:rsidRPr="00FB4F67" w:rsidRDefault="00C87AE4" w:rsidP="0083075A">
      <w:pPr>
        <w:spacing w:after="0" w:line="240" w:lineRule="auto"/>
        <w:jc w:val="both"/>
        <w:rPr>
          <w:rFonts w:ascii="Times New Roman" w:hAnsi="Times New Roman" w:cs="Times New Roman"/>
          <w:color w:val="0070C0"/>
          <w:sz w:val="16"/>
          <w:szCs w:val="16"/>
        </w:rPr>
      </w:pPr>
      <w:bookmarkStart w:id="235" w:name="bookmark890"/>
      <w:r w:rsidRPr="00FB4F67">
        <w:rPr>
          <w:rFonts w:ascii="Times New Roman" w:hAnsi="Times New Roman" w:cs="Times New Roman"/>
          <w:color w:val="0070C0"/>
          <w:sz w:val="16"/>
          <w:szCs w:val="16"/>
        </w:rPr>
        <w:t>По данным командования Западного фронта, «налеты на Молодечно неприятельских аэропланов повторяются днем и ночью иногда по 5 раз в сутки. Днем бомбы направляются на санитарный городок и станции. Этой ночью [на 9 августа] немцами было сброшено 15 бомб в одной версте от станции. Бомбы никакого вреда не причинили. Летчиков, очевидно, привлекли горевший костер и свет автомобильного фонаря»</w:t>
      </w:r>
      <w:bookmarkEnd w:id="235"/>
      <w:r w:rsidRPr="00FB4F67">
        <w:rPr>
          <w:rFonts w:ascii="Times New Roman" w:hAnsi="Times New Roman" w:cs="Times New Roman"/>
          <w:color w:val="0070C0"/>
          <w:sz w:val="16"/>
          <w:szCs w:val="16"/>
        </w:rPr>
        <w:t>.</w:t>
      </w:r>
    </w:p>
    <w:p w14:paraId="7568390F" w14:textId="77777777" w:rsidR="00C87AE4" w:rsidRPr="00FB4F67" w:rsidRDefault="00C87AE4" w:rsidP="0083075A">
      <w:pPr>
        <w:spacing w:after="0" w:line="240" w:lineRule="auto"/>
        <w:jc w:val="both"/>
        <w:rPr>
          <w:rFonts w:ascii="Times New Roman" w:hAnsi="Times New Roman" w:cs="Times New Roman"/>
          <w:color w:val="0070C0"/>
          <w:sz w:val="16"/>
          <w:szCs w:val="16"/>
        </w:rPr>
      </w:pPr>
      <w:bookmarkStart w:id="236" w:name="bookmark891"/>
      <w:r w:rsidRPr="00FB4F67">
        <w:rPr>
          <w:rFonts w:ascii="Times New Roman" w:hAnsi="Times New Roman" w:cs="Times New Roman"/>
          <w:color w:val="0070C0"/>
          <w:sz w:val="16"/>
          <w:szCs w:val="16"/>
        </w:rPr>
        <w:t>Одновременно участились налеты немецких аэропланов на другие железнодорожные станции, в том числе ст. Столбцы (Александровская ж. д.), где «бомбами, упавшими в расположении эвакуационного госпиталя земского союза, убит один человек и ранено трое. Кроме того, ранены лошади и разбиты баржи на р. Нейман». На ст. Пруды германский аэроплан сбросил 7 бомб. Ранения получили два человека.</w:t>
      </w:r>
      <w:bookmarkEnd w:id="236"/>
    </w:p>
    <w:p w14:paraId="3A61F195" w14:textId="77777777" w:rsidR="00C87AE4" w:rsidRPr="00FB4F67" w:rsidRDefault="00C87AE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темное время суток в зоне зенитного огня оказался цеппелин, поспешивший удалиться в западном направлении (23405).</w:t>
      </w:r>
    </w:p>
    <w:p w14:paraId="5A7DA1CA" w14:textId="77777777" w:rsidR="00C87AE4" w:rsidRPr="00FB4F67" w:rsidRDefault="00C87AE4" w:rsidP="0083075A">
      <w:pPr>
        <w:spacing w:after="0" w:line="240" w:lineRule="auto"/>
        <w:jc w:val="both"/>
        <w:rPr>
          <w:rFonts w:ascii="Times New Roman" w:hAnsi="Times New Roman" w:cs="Times New Roman"/>
          <w:color w:val="0070C0"/>
          <w:sz w:val="16"/>
          <w:szCs w:val="16"/>
        </w:rPr>
      </w:pPr>
    </w:p>
    <w:p w14:paraId="20B4B939" w14:textId="5DA554F9" w:rsidR="00C87AE4" w:rsidRPr="00FB4F67" w:rsidRDefault="00C87AE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30 июля (</w:t>
      </w:r>
      <w:r w:rsidRPr="00FB4F67">
        <w:rPr>
          <w:rFonts w:ascii="Times New Roman" w:hAnsi="Times New Roman" w:cs="Times New Roman"/>
          <w:color w:val="0070C0"/>
          <w:sz w:val="16"/>
          <w:szCs w:val="16"/>
        </w:rPr>
        <w:t>12 августа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во время воздушных боев наши летчики сбили три неприятельских аэроплана и четыре других были «принуждены снизиться в поврежденном состоянии» (23405).</w:t>
      </w:r>
    </w:p>
    <w:p w14:paraId="50327654" w14:textId="77777777" w:rsidR="00C87AE4" w:rsidRPr="00FB4F67" w:rsidRDefault="00C87AE4" w:rsidP="0083075A">
      <w:pPr>
        <w:spacing w:after="0" w:line="240" w:lineRule="auto"/>
        <w:jc w:val="both"/>
        <w:rPr>
          <w:rFonts w:ascii="Times New Roman" w:hAnsi="Times New Roman" w:cs="Times New Roman"/>
          <w:color w:val="0070C0"/>
          <w:sz w:val="16"/>
          <w:szCs w:val="16"/>
        </w:rPr>
      </w:pPr>
    </w:p>
    <w:p w14:paraId="2C3829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июля (12 августа) 1917 в Киеве, в школе л-наблюдателей Б.Ф.Нарбут первым в России совершил прыжок с парашютом с самолета Вуазен (438,368).</w:t>
      </w:r>
    </w:p>
    <w:p w14:paraId="01A4D4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7B1039" w14:textId="6215812D"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30 июля </w:t>
      </w:r>
      <w:r w:rsidR="00573996">
        <w:rPr>
          <w:rFonts w:ascii="Times New Roman" w:hAnsi="Times New Roman" w:cs="Times New Roman"/>
          <w:color w:val="000000" w:themeColor="text1"/>
          <w:kern w:val="2"/>
          <w:sz w:val="16"/>
          <w:szCs w:val="16"/>
        </w:rPr>
        <w:t xml:space="preserve">(12 августа) </w:t>
      </w:r>
      <w:r w:rsidRPr="002F2FDF">
        <w:rPr>
          <w:rFonts w:ascii="Times New Roman" w:hAnsi="Times New Roman" w:cs="Times New Roman"/>
          <w:color w:val="000000" w:themeColor="text1"/>
          <w:kern w:val="2"/>
          <w:sz w:val="16"/>
          <w:szCs w:val="16"/>
        </w:rPr>
        <w:t>1917 в Киеве, в школе летчиков-наблюдателей воздухо</w:t>
      </w:r>
      <w:r w:rsidRPr="002F2FDF">
        <w:rPr>
          <w:rFonts w:ascii="Times New Roman" w:hAnsi="Times New Roman" w:cs="Times New Roman"/>
          <w:color w:val="000000" w:themeColor="text1"/>
          <w:kern w:val="2"/>
          <w:sz w:val="16"/>
          <w:szCs w:val="16"/>
        </w:rPr>
        <w:softHyphen/>
        <w:t>плаватель Бронислав Фаддеевич Нарбут совершил прыжок на парашю</w:t>
      </w:r>
      <w:r w:rsidRPr="002F2FDF">
        <w:rPr>
          <w:rFonts w:ascii="Times New Roman" w:hAnsi="Times New Roman" w:cs="Times New Roman"/>
          <w:color w:val="000000" w:themeColor="text1"/>
          <w:kern w:val="2"/>
          <w:sz w:val="16"/>
          <w:szCs w:val="16"/>
        </w:rPr>
        <w:softHyphen/>
        <w:t>те Жюкмес с самолета "Вуазен" с целью выяснения</w:t>
      </w:r>
      <w:r w:rsidR="004941D0">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возможности использования парашюта в военной авиации. Это был первый в </w:t>
      </w:r>
      <w:r w:rsidRPr="002F2FDF">
        <w:rPr>
          <w:rFonts w:ascii="Times New Roman" w:hAnsi="Times New Roman" w:cs="Times New Roman"/>
          <w:smallCaps/>
          <w:color w:val="000000" w:themeColor="text1"/>
          <w:kern w:val="2"/>
          <w:sz w:val="16"/>
          <w:szCs w:val="16"/>
        </w:rPr>
        <w:t xml:space="preserve">россии </w:t>
      </w:r>
      <w:r w:rsidRPr="002F2FDF">
        <w:rPr>
          <w:rFonts w:ascii="Times New Roman" w:hAnsi="Times New Roman" w:cs="Times New Roman"/>
          <w:color w:val="000000" w:themeColor="text1"/>
          <w:kern w:val="2"/>
          <w:sz w:val="16"/>
          <w:szCs w:val="16"/>
        </w:rPr>
        <w:t>прыжок на парашюте с самолета (“ВВФ”, 1918, № 4).</w:t>
      </w:r>
    </w:p>
    <w:p w14:paraId="2B2A1CD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3EA759" w14:textId="0B024000" w:rsidR="00573996" w:rsidRDefault="00573996"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573996">
        <w:rPr>
          <w:rFonts w:ascii="Times New Roman" w:hAnsi="Times New Roman" w:cs="Times New Roman"/>
          <w:color w:val="0070C0"/>
          <w:kern w:val="2"/>
          <w:sz w:val="16"/>
          <w:szCs w:val="16"/>
        </w:rPr>
        <w:t xml:space="preserve">30 июля </w:t>
      </w:r>
      <w:r>
        <w:rPr>
          <w:rFonts w:ascii="Times New Roman" w:hAnsi="Times New Roman" w:cs="Times New Roman"/>
          <w:color w:val="0070C0"/>
          <w:kern w:val="2"/>
          <w:sz w:val="16"/>
          <w:szCs w:val="16"/>
        </w:rPr>
        <w:t xml:space="preserve">(12 августа) </w:t>
      </w:r>
      <w:r w:rsidRPr="00573996">
        <w:rPr>
          <w:rFonts w:ascii="Times New Roman" w:hAnsi="Times New Roman" w:cs="Times New Roman"/>
          <w:color w:val="0070C0"/>
          <w:kern w:val="2"/>
          <w:sz w:val="16"/>
          <w:szCs w:val="16"/>
        </w:rPr>
        <w:t>1917 в Киеве, в школе летчиков-наблюдателей воздухо</w:t>
      </w:r>
      <w:r w:rsidRPr="00573996">
        <w:rPr>
          <w:rFonts w:ascii="Times New Roman" w:hAnsi="Times New Roman" w:cs="Times New Roman"/>
          <w:color w:val="0070C0"/>
          <w:kern w:val="2"/>
          <w:sz w:val="16"/>
          <w:szCs w:val="16"/>
        </w:rPr>
        <w:softHyphen/>
        <w:t>плаватель Бронислав Фаддеевич Нарбут совершил прыжок на парашю</w:t>
      </w:r>
      <w:r w:rsidRPr="00573996">
        <w:rPr>
          <w:rFonts w:ascii="Times New Roman" w:hAnsi="Times New Roman" w:cs="Times New Roman"/>
          <w:color w:val="0070C0"/>
          <w:kern w:val="2"/>
          <w:sz w:val="16"/>
          <w:szCs w:val="16"/>
        </w:rPr>
        <w:softHyphen/>
        <w:t>те Жюкмес с самолета "Вуазен" с целью выяснения</w:t>
      </w:r>
      <w:r w:rsidR="004941D0">
        <w:rPr>
          <w:rFonts w:ascii="Times New Roman" w:hAnsi="Times New Roman" w:cs="Times New Roman"/>
          <w:color w:val="0070C0"/>
          <w:kern w:val="2"/>
          <w:sz w:val="16"/>
          <w:szCs w:val="16"/>
        </w:rPr>
        <w:t xml:space="preserve"> </w:t>
      </w:r>
      <w:r w:rsidRPr="00573996">
        <w:rPr>
          <w:rFonts w:ascii="Times New Roman" w:hAnsi="Times New Roman" w:cs="Times New Roman"/>
          <w:color w:val="0070C0"/>
          <w:kern w:val="2"/>
          <w:sz w:val="16"/>
          <w:szCs w:val="16"/>
        </w:rPr>
        <w:t>возможности использования парашюта в военной авиации. Это был первый в</w:t>
      </w:r>
      <w:r>
        <w:rPr>
          <w:rFonts w:ascii="Times New Roman" w:hAnsi="Times New Roman" w:cs="Times New Roman"/>
          <w:color w:val="0070C0"/>
          <w:kern w:val="2"/>
          <w:sz w:val="16"/>
          <w:szCs w:val="16"/>
        </w:rPr>
        <w:t xml:space="preserve"> России</w:t>
      </w:r>
      <w:r w:rsidRPr="00573996">
        <w:rPr>
          <w:rFonts w:ascii="Times New Roman" w:hAnsi="Times New Roman" w:cs="Times New Roman"/>
          <w:smallCaps/>
          <w:color w:val="0070C0"/>
          <w:kern w:val="2"/>
          <w:sz w:val="16"/>
          <w:szCs w:val="16"/>
        </w:rPr>
        <w:t xml:space="preserve"> </w:t>
      </w:r>
      <w:r w:rsidRPr="00573996">
        <w:rPr>
          <w:rFonts w:ascii="Times New Roman" w:hAnsi="Times New Roman" w:cs="Times New Roman"/>
          <w:color w:val="0070C0"/>
          <w:kern w:val="2"/>
          <w:sz w:val="16"/>
          <w:szCs w:val="16"/>
        </w:rPr>
        <w:t>прыжок на парашюте с самолета</w:t>
      </w:r>
      <w:r>
        <w:rPr>
          <w:rFonts w:ascii="Times New Roman" w:hAnsi="Times New Roman" w:cs="Times New Roman"/>
          <w:color w:val="0070C0"/>
          <w:kern w:val="2"/>
          <w:sz w:val="16"/>
          <w:szCs w:val="16"/>
        </w:rPr>
        <w:t>.</w:t>
      </w:r>
    </w:p>
    <w:p w14:paraId="6CD831F7" w14:textId="4DDCAE87" w:rsidR="00573996" w:rsidRPr="00573996" w:rsidRDefault="00573996"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Pr>
          <w:rFonts w:ascii="Times New Roman" w:hAnsi="Times New Roman" w:cs="Times New Roman"/>
          <w:color w:val="0070C0"/>
          <w:kern w:val="2"/>
          <w:sz w:val="16"/>
          <w:szCs w:val="16"/>
        </w:rPr>
        <w:t>/</w:t>
      </w:r>
      <w:r w:rsidRPr="00573996">
        <w:rPr>
          <w:rFonts w:ascii="Times New Roman" w:hAnsi="Times New Roman" w:cs="Times New Roman"/>
          <w:color w:val="0070C0"/>
          <w:kern w:val="2"/>
          <w:sz w:val="16"/>
          <w:szCs w:val="16"/>
        </w:rPr>
        <w:t>“ВВФ”, 1918, № 4</w:t>
      </w:r>
      <w:r>
        <w:rPr>
          <w:rFonts w:ascii="Times New Roman" w:hAnsi="Times New Roman" w:cs="Times New Roman"/>
          <w:color w:val="0070C0"/>
          <w:kern w:val="2"/>
          <w:sz w:val="16"/>
          <w:szCs w:val="16"/>
        </w:rPr>
        <w:t>/ (23320)</w:t>
      </w:r>
      <w:r w:rsidRPr="00573996">
        <w:rPr>
          <w:rFonts w:ascii="Times New Roman" w:hAnsi="Times New Roman" w:cs="Times New Roman"/>
          <w:color w:val="0070C0"/>
          <w:kern w:val="2"/>
          <w:sz w:val="16"/>
          <w:szCs w:val="16"/>
        </w:rPr>
        <w:t>.</w:t>
      </w:r>
    </w:p>
    <w:p w14:paraId="3D01C385" w14:textId="77777777" w:rsidR="00573996" w:rsidRPr="00573996" w:rsidRDefault="00573996"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p>
    <w:p w14:paraId="09A264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июля (12 августа) 1917 группа 1БАГ получила приказ следовать походным порядком в мес</w:t>
      </w:r>
      <w:r w:rsidRPr="002F2FDF">
        <w:rPr>
          <w:rFonts w:ascii="Times New Roman" w:hAnsi="Times New Roman" w:cs="Times New Roman"/>
          <w:color w:val="000000" w:themeColor="text1"/>
          <w:kern w:val="2"/>
          <w:sz w:val="16"/>
          <w:szCs w:val="16"/>
        </w:rPr>
        <w:softHyphen/>
        <w:t>течко Городок. На следующий день ее вновь переподчинили 7-й армии. Обо</w:t>
      </w:r>
      <w:r w:rsidRPr="002F2FDF">
        <w:rPr>
          <w:rFonts w:ascii="Times New Roman" w:hAnsi="Times New Roman" w:cs="Times New Roman"/>
          <w:color w:val="000000" w:themeColor="text1"/>
          <w:kern w:val="2"/>
          <w:sz w:val="16"/>
          <w:szCs w:val="16"/>
        </w:rPr>
        <w:softHyphen/>
        <w:t>зы группы прибыли и на новое место стоянки 5 августа, на следующий день туда перелетели летчики. Опять нача</w:t>
      </w:r>
      <w:r w:rsidRPr="002F2FDF">
        <w:rPr>
          <w:rFonts w:ascii="Times New Roman" w:hAnsi="Times New Roman" w:cs="Times New Roman"/>
          <w:color w:val="000000" w:themeColor="text1"/>
          <w:kern w:val="2"/>
          <w:sz w:val="16"/>
          <w:szCs w:val="16"/>
        </w:rPr>
        <w:softHyphen/>
        <w:t>лись полеты на патрулирование и разведку (3954).</w:t>
      </w:r>
    </w:p>
    <w:p w14:paraId="3605B1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7720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30 июля </w:t>
      </w:r>
      <w:r w:rsidR="00880559" w:rsidRPr="002F2FDF">
        <w:rPr>
          <w:rFonts w:ascii="Times New Roman" w:hAnsi="Times New Roman" w:cs="Times New Roman"/>
          <w:color w:val="000000" w:themeColor="text1"/>
          <w:kern w:val="2"/>
          <w:sz w:val="16"/>
          <w:szCs w:val="16"/>
        </w:rPr>
        <w:t xml:space="preserve">(12 августа) </w:t>
      </w:r>
      <w:r w:rsidRPr="002F2FDF">
        <w:rPr>
          <w:rFonts w:ascii="Times New Roman" w:hAnsi="Times New Roman" w:cs="Times New Roman"/>
          <w:color w:val="000000" w:themeColor="text1"/>
          <w:kern w:val="2"/>
          <w:sz w:val="16"/>
          <w:szCs w:val="16"/>
        </w:rPr>
        <w:t>1917 фронт стабилизировался. К этому времени истребители сбили в воздушных боях 5 самолетов. 27 августа IV-й армией было предпринято еще одно наступление в направлении Окна, но оно не дало нужного эффекта. В этот период удачно проявила себя авиация IV-го дивизиона. Когда пехота пошла в наступление, 11 самолетов атаковали ближайший тыл противника, используя свои пулеметы и сбросив 110 бомб. Взятые пленные показали, что воздушные атаки привели к значительным потерям и оказали сильный деморализующий эффект. Производились и удачные групповые бомбардировки. Так, во время ночного налета на станцию Фокшаны было сброшено около 1000 кг бомб. Поданным разведки, в пределах Румынского фронта находилось до 20 австрийских авиарот. Количественно и качественно противник превосходил русскую авиацию. Особенно интенсивно австрийские летчики работали во время наступления своих войск. 8 районах Фокшаны, Текучио, реки Серет и др. отмечались полеты 5-6 самолетов ежедневно на высотах 3500-4000 м. Дальние разведчики неприятеля достигали района Ясс. 18 и 23 июля противник бомбил объекты в Кемпуриле, а 24 июля во время отхода русских артиллеристов из р-на Чиуслей на бреющем полете расстреливал их позиции. 25 июля 8 самолетов совершили налет на станцию Аджуд, где взорвали русский поезд с боеприпасами. Излюбленной целью неприятельских истребителей были привязные аэростаты: с 10 июня по 18 июля они уничтожили 9 баллонов из 11 потерянных русскими за тот период (11237).</w:t>
      </w:r>
    </w:p>
    <w:p w14:paraId="5C25C7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62876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EF0A2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8F4C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июля (12 августа) 1917 началось Госсовещание в Москве, которое с участием 2000 делегатов шло до 2 (15) августа 1917. устроили помпезную встречу г Корнилову (3481).</w:t>
      </w:r>
    </w:p>
    <w:p w14:paraId="14820C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215F5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752A4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85F3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июля (</w:t>
      </w:r>
      <w:r w:rsidR="007F40F7" w:rsidRPr="002F2FDF">
        <w:rPr>
          <w:rFonts w:ascii="Times New Roman" w:hAnsi="Times New Roman" w:cs="Times New Roman"/>
          <w:color w:val="000000" w:themeColor="text1"/>
          <w:kern w:val="2"/>
          <w:sz w:val="16"/>
          <w:szCs w:val="16"/>
        </w:rPr>
        <w:t>1</w:t>
      </w:r>
      <w:r w:rsidR="00880559" w:rsidRPr="002F2FDF">
        <w:rPr>
          <w:rFonts w:ascii="Times New Roman" w:hAnsi="Times New Roman" w:cs="Times New Roman"/>
          <w:color w:val="000000" w:themeColor="text1"/>
          <w:kern w:val="2"/>
          <w:sz w:val="16"/>
          <w:szCs w:val="16"/>
        </w:rPr>
        <w:t>2</w:t>
      </w:r>
      <w:r w:rsidRPr="002F2FDF">
        <w:rPr>
          <w:rFonts w:ascii="Times New Roman" w:hAnsi="Times New Roman" w:cs="Times New Roman"/>
          <w:color w:val="000000" w:themeColor="text1"/>
          <w:kern w:val="2"/>
          <w:sz w:val="16"/>
          <w:szCs w:val="16"/>
        </w:rPr>
        <w:t xml:space="preserve"> августа) 1917 в воздухе царило необычайное оживление. Сначала 6 самолетов эскадрильи "Аистов" при патрулировании были обстреляны плотным огнем германской артиллерии; 4 самолета, хотя и смогли вернуться на свой аэродром, были серьезно повреждены.</w:t>
      </w:r>
    </w:p>
    <w:p w14:paraId="15D842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ответ на это летчики 103-й эскадрильи в 17 часов атаковали бомбами с высоты 500 м германские бараки, расположенные неподалеку от Ипра. А истребители 26-й эскадрильи с высоты 150-200 м обстреляли из пулеметов расположенные на опушке леса поблизости германские батареи, а также расквартированные в бараках вблизи батарей германские части.</w:t>
      </w:r>
    </w:p>
    <w:p w14:paraId="246E12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18 часов летчики 26-й эскадрильи повторили свою атаку на бараки и сбросили бомбы на двигавшуюся в сторону Стадена колонну германских войск.</w:t>
      </w:r>
    </w:p>
    <w:p w14:paraId="2DCD83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воздух поднялись 35 германских самолетов (7 из них двухместные) различных типов и разгорелось множество воздушных боев. Немцы группами по 7-12 самолетов налетали на французских разведчиков и корректировщиков и вступали в схватки с истребителями. В 22 часа активность германских авиаторов спала.</w:t>
      </w:r>
    </w:p>
    <w:p w14:paraId="402C5E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23 часа та же 26-я французская эскадрилья сбросила бомбы на расположение германских войск неподалеку от Лангемарна (11999).</w:t>
      </w:r>
    </w:p>
    <w:p w14:paraId="0128D8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C3B817" w14:textId="77777777" w:rsidR="00305A71" w:rsidRPr="002F2FDF" w:rsidRDefault="00305A7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30 июля (12 августа) 1917 днем немецкие бомбардировщики Gotha G.IV совершают шестую атаку на Соединенное Королевство в рамках операции Türkenkreuz, бомбят Шуберинесс и Саутенд . В пятом налете 22 июля и в этом налете немцы теряют в общей сложности пять бомбардировщиков, один из которых сбит, а четыре других разбиты в результате крушения при приземлении, когда они возвращаются на свои базы (20341).</w:t>
      </w:r>
    </w:p>
    <w:p w14:paraId="1C79F6A4" w14:textId="77777777" w:rsidR="00305A71" w:rsidRPr="002F2FDF" w:rsidRDefault="00305A71" w:rsidP="0083075A">
      <w:pPr>
        <w:spacing w:after="0" w:line="240" w:lineRule="auto"/>
        <w:jc w:val="both"/>
        <w:rPr>
          <w:rFonts w:ascii="Times New Roman" w:hAnsi="Times New Roman" w:cs="Times New Roman"/>
          <w:color w:val="000000" w:themeColor="text1"/>
          <w:sz w:val="16"/>
          <w:szCs w:val="16"/>
        </w:rPr>
      </w:pPr>
    </w:p>
    <w:p w14:paraId="17096E00" w14:textId="4621482D"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30 июля (12 августа) 1917 </w:t>
      </w:r>
      <w:r w:rsidR="00305A71" w:rsidRPr="002F2FDF">
        <w:rPr>
          <w:rFonts w:ascii="Times New Roman" w:hAnsi="Times New Roman" w:cs="Times New Roman"/>
          <w:color w:val="000000" w:themeColor="text1"/>
          <w:kern w:val="2"/>
          <w:sz w:val="16"/>
          <w:szCs w:val="16"/>
        </w:rPr>
        <w:t xml:space="preserve">при налете </w:t>
      </w:r>
      <w:r w:rsidRPr="002F2FDF">
        <w:rPr>
          <w:rFonts w:ascii="Times New Roman" w:hAnsi="Times New Roman" w:cs="Times New Roman"/>
          <w:color w:val="000000" w:themeColor="text1"/>
          <w:kern w:val="2"/>
          <w:sz w:val="16"/>
          <w:szCs w:val="16"/>
        </w:rPr>
        <w:t>на укрепления, расположенные на английском юго-восточном побережье, противовоздушная оборона дала столь сильный отпор, что от дальнейших дневных налетов немцам пришлось отказаться (11282).</w:t>
      </w:r>
    </w:p>
    <w:p w14:paraId="5FCDAD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8103C4" w14:textId="77777777" w:rsidR="007F40F7"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07A6E17" w14:textId="77777777" w:rsidR="007F40F7" w:rsidRPr="002F2FDF" w:rsidRDefault="007F40F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DE33D0"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июля (13 августа) 1917 г. Доклад члена Временного комитета Донецкого бассейна С. А.Цукублина на Съезде представителей заинтересованных районов по донецкому топливу о производительности труда донецких шахтеров и мерах по увеличению добычи угля</w:t>
      </w:r>
    </w:p>
    <w:p w14:paraId="4E7662AA"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56-60</w:t>
      </w:r>
    </w:p>
    <w:p w14:paraId="2EB40520"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ЦГАОР, ф. 7737, оп. 1, д. 1, лл. 1—3. Копия.</w:t>
      </w:r>
    </w:p>
    <w:p w14:paraId="4B356FA5"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Добыча топлива в Донецком бассейне за два трехлетия, предшествующие войне, являет картину прогрессивного роста и повышается для угля с 959.96 млн пуд. в 1908 г. до 1371.59 млн пуд. в 1914 г. и для антрацита с 154.92 млн пуд. в 1908 г. до 312.19 млн пуд. в 1914 г. Вывоз за это время также прогрессивно повышается и с 621.25 млн дуд. в 1908 г. доходит до 855.10 млн пуд. в 1914 г. для угля и с 135.25 млн [пуд.] в 1908 г. до 247.98 млн пуд. в отношении антрацита. За годы войны добыча начинает падать. Ощущается это в самом начале. Так, в первое полугодие 1914 г.. добыто 896.75 млн пуд., за второе же полугодие этого года добыто только 787.03 млн пуд., таким образом, добыча уменьшилась на 109.72 млн пуд., пли на 11%. Объясняется это тем, что в первые мобилизации много горнорабочих было призвано в ряды войск. Среднее количество рабочих в месяц, на горных предприятиях Донецкого бассейна в первом полугодии 1914 г. составляло 198 432 чел., во втором же полугодии только 173 215 чел., пли количество рабочих уменьшилось на 12%. Рассматривая в дальнейшем рост и падение добычи по полугодиям параллельно с увеличением, п уменьшением рабочих на рудниках, наблюдаем следующее. В первом полугодии 1915 г. добыто 790.35 млн пуд., но сравнению с принимаемым нами за исходное первым полугодием 1914 г. менее на 106.40 млн пуд., пли падение добычи выражается на те же 11%. Количество рабочих менее первого полугодия 1914 г. на 27 232 чел., т. е. на 13%. Таким образом, как добыча, так и производительность рабочего за второе полугодие І914 г. п первое полугодие 1915 г. приблизительно находятся на одном уровне. Со второго полугодия 1915 г. соотношение в падении добычи угля и уменьшение количества задолженных рабочих начинает изменяться в сторону уменьшения производительности труда. Во второй половине 1915 г. добыто 836.23 млн пуд., менее первого полугодия 1914 г. на 60.52 млн пуд. угля, или на 7% менее, количество рабочих за то же время уменьшилось на 8402 чел., что составляет только 4%. Это же явление в еще более резкой форме мы наблюдаем в оба полугодия '1916 г. и в первой половине 1917 г. В первом полугодии 1916 г. по сравнению с тем же полугодием 1914 г. добыто угля менее на 51.20 млн пуд., или на 5.5% , количество же рабочих наоборот увеличилось на 19 368 чел., или на 9%. Во втором полугодии</w:t>
      </w:r>
    </w:p>
    <w:p w14:paraId="5C08F0AB"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 добыча уже возросла по сравнению с первым полугодием 1914 г. на 9.65 млн пуд., повысилась на 1%, за то же время количество рабочих увеличилось на 57 568 чел., т. е. на 30%. Наконец, в первое полугодие</w:t>
      </w:r>
    </w:p>
    <w:p w14:paraId="5E05C741"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 добыча упала на 73.78 млн пуд., или на 8%, количество же рабочих за это время увеличилось на 86 тыс. чел., что составляет 40%.</w:t>
      </w:r>
    </w:p>
    <w:p w14:paraId="1EBA017A"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основании изложенного мы можем составить следующую таблицу:</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0"/>
        <w:gridCol w:w="1447"/>
        <w:gridCol w:w="642"/>
        <w:gridCol w:w="3676"/>
      </w:tblGrid>
      <w:tr w:rsidR="002B1C74" w:rsidRPr="002F2FDF" w14:paraId="55CB2585" w14:textId="77777777" w:rsidTr="007F40F7">
        <w:trPr>
          <w:tblCellSpacing w:w="15"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0D75845"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23CB0"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Падение</w:t>
            </w:r>
          </w:p>
          <w:p w14:paraId="13BEFBD0"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добычи</w:t>
            </w:r>
          </w:p>
          <w:p w14:paraId="20CF262B"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7FDA9"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Уменьшение и увеличение количества рабочих (в %)</w:t>
            </w:r>
          </w:p>
        </w:tc>
      </w:tr>
      <w:tr w:rsidR="002B1C74" w:rsidRPr="002F2FDF" w14:paraId="673F555B"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6B3315"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3AFAE"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полугодие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77435" w14:textId="5B89FB9D" w:rsidR="007F40F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218D4"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Принимается за основание</w:t>
            </w:r>
          </w:p>
        </w:tc>
      </w:tr>
      <w:tr w:rsidR="002B1C74" w:rsidRPr="002F2FDF" w14:paraId="72A4F7B2"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BA63D2"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42803"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FC1D2"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B811D"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r>
      <w:tr w:rsidR="002B1C74" w:rsidRPr="002F2FDF" w14:paraId="33197A98"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BF506A"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CC9F2"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C4825"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87766"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w:t>
            </w:r>
          </w:p>
        </w:tc>
      </w:tr>
      <w:tr w:rsidR="002B1C74" w:rsidRPr="002F2FDF" w14:paraId="7E3EA9B1"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80DA7A"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A828B"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ECAAB"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7</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1B021"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4</w:t>
            </w:r>
          </w:p>
        </w:tc>
      </w:tr>
      <w:tr w:rsidR="002B1C74" w:rsidRPr="002F2FDF" w14:paraId="5CCC48FC"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00E4FC"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D70C9"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1BCB5AB"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25B7A"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+ 9</w:t>
            </w:r>
          </w:p>
        </w:tc>
      </w:tr>
      <w:tr w:rsidR="002B1C74" w:rsidRPr="002F2FDF" w14:paraId="03058795"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18DA85"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3D42A"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F43C6"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7C7B6"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r>
      <w:tr w:rsidR="002B1C74" w:rsidRPr="002F2FDF" w14:paraId="44B0D754"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2F1947"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96A79"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67ED6"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CAEF5"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r>
    </w:tbl>
    <w:p w14:paraId="4F4181C3" w14:textId="636F31D5"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нам показывает прогрессивное падение производительности-труда, начиная с первого</w:t>
      </w:r>
      <w:hyperlink r:id="rId463" w:anchor="_ftn2" w:history="1">
        <w:r w:rsidRPr="002F2FDF">
          <w:rPr>
            <w:rFonts w:ascii="Times New Roman" w:hAnsi="Times New Roman" w:cs="Times New Roman"/>
            <w:color w:val="000000" w:themeColor="text1"/>
            <w:kern w:val="2"/>
            <w:sz w:val="16"/>
            <w:szCs w:val="16"/>
          </w:rPr>
          <w:t>[2]</w:t>
        </w:r>
      </w:hyperlink>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полугодия 1915 г. То же самое, но еще более выпукло, можно видеть, произведя учет производительности рабочего в пудах.</w:t>
      </w:r>
    </w:p>
    <w:p w14:paraId="1F1C0449"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Тут мы считаем необходимым оговориться, что бывший в нашем распоряжении статистический материал, взятый у Совета съезда горнопромышленников, на основании которого строятся и представителями промышленности, и главноуполномоченным по донецкому топливу, и другими лицами и учреждениями, ведающими делом топлива, выводы о производительности рабочего, являются неудовлетворительными и вот почему: добычу топлива определяет исключительно одна категория рабочих — забойщики. Все остальные рабочие на горных предприятиях обслуживают путем доставки топлива к стволу шахты и подъема его наверх эту основную категорию рабочих, и ни одного пуда топлива остальные категории рабочих не добавляют.</w:t>
      </w:r>
    </w:p>
    <w:p w14:paraId="10DD3452"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производительность рабочего должна исчисляться в отношении этой основной категории</w:t>
      </w:r>
      <w:hyperlink r:id="rId464" w:anchor="_ftn3" w:history="1">
        <w:r w:rsidRPr="002F2FDF">
          <w:rPr>
            <w:rFonts w:ascii="Times New Roman" w:hAnsi="Times New Roman" w:cs="Times New Roman"/>
            <w:color w:val="000000" w:themeColor="text1"/>
            <w:kern w:val="2"/>
            <w:sz w:val="16"/>
            <w:szCs w:val="16"/>
          </w:rPr>
          <w:t>[3]</w:t>
        </w:r>
      </w:hyperlink>
      <w:r w:rsidRPr="002F2FDF">
        <w:rPr>
          <w:rFonts w:ascii="Times New Roman" w:hAnsi="Times New Roman" w:cs="Times New Roman"/>
          <w:color w:val="000000" w:themeColor="text1"/>
          <w:kern w:val="2"/>
          <w:sz w:val="16"/>
          <w:szCs w:val="16"/>
        </w:rPr>
        <w:t>. Когда мы обратились в Совет съезда горнопромышленников с просьбой дать нам сведения об этой категории рабочих, то оказалось, что статистики забойщиков в Совете съезда не имеется, хотя та элементарная истина, что единственно эта категория рабочих определяет производительность труда, не могла быть неизвестна Совету съезда горнопромышленников.</w:t>
      </w:r>
    </w:p>
    <w:p w14:paraId="112CF26D"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этого мы свои выводы, в особенности дальнейшие, не можем считать непогрешимыми, но для сравнения с выводами, делаемыми Советом съезда и главноуполномоченным по донецкому топливу, они являются приемлемыми, ибо мы пользуемся одним и тем же материалом.</w:t>
      </w:r>
    </w:p>
    <w:p w14:paraId="045D01C3"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Возвращаясь к положениям доклада, мы скажем, что учет падения производительности труда мы можем определить сравнением средней производительности отдельного рабочего за вышеуказанные полугодия.</w:t>
      </w:r>
    </w:p>
    <w:p w14:paraId="7F195839"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Произведя деление количества добытого за каждое полугодие угля на среднее количество задолженных в то полугодие рабочих получим следующую таблицу:</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06"/>
        <w:gridCol w:w="3342"/>
        <w:gridCol w:w="982"/>
      </w:tblGrid>
      <w:tr w:rsidR="002B1C74" w:rsidRPr="002F2FDF" w14:paraId="10669527"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5A805E"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1-е полугодие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B3ACA"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средняя производительность рабочего 4514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B2A67" w14:textId="5D4CC3C0" w:rsidR="007F40F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A429A49"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74A394"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2-е »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43742"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 » 4543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8DEA7" w14:textId="10B0D530" w:rsidR="007F40F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3BE0863F"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25D8C2"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1-е »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95613"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 » 4616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821AC" w14:textId="77853D3F" w:rsidR="007F40F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45E06D0"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8AF2A8"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2-е »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BF3B9"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 » 4400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1A7C6"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Падение 4%</w:t>
            </w:r>
          </w:p>
        </w:tc>
      </w:tr>
      <w:tr w:rsidR="002B1C74" w:rsidRPr="002F2FDF" w14:paraId="44645AFB"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381B2A"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1-е »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6E1ED"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 » 3888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6241D"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15% (-11%)</w:t>
            </w:r>
          </w:p>
        </w:tc>
      </w:tr>
      <w:tr w:rsidR="002B1C74" w:rsidRPr="002F2FDF" w14:paraId="6949BD8B"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031EFB"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2-е »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86E2E"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 » 3537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7C33D"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23% (- 8%)</w:t>
            </w:r>
          </w:p>
        </w:tc>
      </w:tr>
      <w:tr w:rsidR="002B1C74" w:rsidRPr="002F2FDF" w14:paraId="4FA6E134"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F97B26"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-1-е »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65219"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 » 2858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85523"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33% (-10%)</w:t>
            </w:r>
          </w:p>
        </w:tc>
      </w:tr>
    </w:tbl>
    <w:p w14:paraId="501A584A"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этой таблицы мы видим, что превышение падения производительности за 1-е полугодие 1916 г. над 2-м полугодием 1915 г. составляет 15 — 4=11%. То же превышение 2-го полугодия 1916 г. над 1-м полугодием того же года 23 — 15 = 8%. То же превышение 1-го полугодия 1917 г. над 2-м полугодием 1916 г. составит 33 — 23 = 10%.</w:t>
      </w:r>
    </w:p>
    <w:p w14:paraId="1DB9E4E7" w14:textId="7F473A3D"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Таким образом, мы видим, что падение производительности составляет почти убывающую прогрессию. Взявши среднее арифметическое этих падений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определим коэффициент приращения падения в 92/3%. Теперь для того чтобы определить, насколько этот коэффициент превышения падения производительности возрос за месяцы революции, сравним данные о производительности по четвертям 1917 г., т. е. месяцы революции, сравнительно с таким же количеством месяцев, предшествовавших ей. Получим следующие цифры: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89"/>
        <w:gridCol w:w="1200"/>
      </w:tblGrid>
      <w:tr w:rsidR="002B1C74" w:rsidRPr="002F2FDF" w14:paraId="7CE65505"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8F3979"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Производительность за 1-ю четверть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CC2B4"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 1553 пуд.</w:t>
            </w:r>
          </w:p>
        </w:tc>
      </w:tr>
      <w:tr w:rsidR="002B1C74" w:rsidRPr="002F2FDF" w14:paraId="75AA2A94"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5894A8"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 2-ю »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BC3FB"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1355 »</w:t>
            </w:r>
          </w:p>
        </w:tc>
      </w:tr>
      <w:tr w:rsidR="002B1C74" w:rsidRPr="002F2FDF" w14:paraId="309208DA"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306B07" w14:textId="03FA999B" w:rsidR="007F40F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6A5C4"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Падение на 12%</w:t>
            </w:r>
          </w:p>
        </w:tc>
      </w:tr>
    </w:tbl>
    <w:p w14:paraId="6D6A52F5"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 как мы определили коэффициент превышения падения производительности в 92/3%, то отсюда вывод, что за революционное время этот коэффициент повысился на 21/3%.</w:t>
      </w:r>
    </w:p>
    <w:p w14:paraId="22FD70F3"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того чтобы еще раз это проверить и взять цифры абсолютно между собой</w:t>
      </w:r>
      <w:hyperlink r:id="rId465" w:anchor="_ftn4" w:history="1">
        <w:r w:rsidRPr="002F2FDF">
          <w:rPr>
            <w:rFonts w:ascii="Times New Roman" w:hAnsi="Times New Roman" w:cs="Times New Roman"/>
            <w:color w:val="000000" w:themeColor="text1"/>
            <w:kern w:val="2"/>
            <w:sz w:val="16"/>
            <w:szCs w:val="16"/>
          </w:rPr>
          <w:t>[4]</w:t>
        </w:r>
      </w:hyperlink>
      <w:r w:rsidRPr="002F2FDF">
        <w:rPr>
          <w:rFonts w:ascii="Times New Roman" w:hAnsi="Times New Roman" w:cs="Times New Roman"/>
          <w:color w:val="000000" w:themeColor="text1"/>
          <w:kern w:val="2"/>
          <w:sz w:val="16"/>
          <w:szCs w:val="16"/>
        </w:rPr>
        <w:t>, составим такую же таблицу по четвертям года, приняв в этой таблице за основную 4-ю четверть 1915 г. как не включающую летние месяцы: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98"/>
        <w:gridCol w:w="2126"/>
        <w:gridCol w:w="1147"/>
      </w:tblGrid>
      <w:tr w:rsidR="002B1C74" w:rsidRPr="002F2FDF" w14:paraId="51AEEF1E"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E2DC23"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3-я четверть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41DF4"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производительность 2185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E0192" w14:textId="15C9CE72" w:rsidR="007F40F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31B8ABA8"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182AC4"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4-я »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D6504"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2216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90CB0" w14:textId="2BD1BBA6" w:rsidR="007F40F7"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36B9F1C"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9E1F48"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1-я »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2B911"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2144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28595"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падение на 3%</w:t>
            </w:r>
          </w:p>
        </w:tc>
      </w:tr>
      <w:tr w:rsidR="002B1C74" w:rsidRPr="002F2FDF" w14:paraId="31B5A878"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C3EA48"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2-я »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FC8B1"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1740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2DD6E"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 21 (—18%)</w:t>
            </w:r>
          </w:p>
        </w:tc>
      </w:tr>
      <w:tr w:rsidR="002B1C74" w:rsidRPr="002F2FDF" w14:paraId="17ABF5AA"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0CBF77"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3-я »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9F0BB"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1781 »</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4E7C2"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 19 (+ 2%)</w:t>
            </w:r>
          </w:p>
        </w:tc>
      </w:tr>
      <w:tr w:rsidR="002B1C74" w:rsidRPr="002F2FDF" w14:paraId="36F15672"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FC472F"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4-я »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3BA66"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1750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2E392"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 20 (- 1%)</w:t>
            </w:r>
          </w:p>
        </w:tc>
      </w:tr>
      <w:tr w:rsidR="002B1C74" w:rsidRPr="002F2FDF" w14:paraId="70D66AA9"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8E175F"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1-я »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38E0C"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1547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D49D6"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 30 (—10о/о)</w:t>
            </w:r>
          </w:p>
        </w:tc>
      </w:tr>
      <w:tr w:rsidR="002B1C74" w:rsidRPr="002F2FDF" w14:paraId="3E78FEF4"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C6C004"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2-я »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14594"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1341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6F670"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 39 (— 9%)</w:t>
            </w:r>
          </w:p>
        </w:tc>
      </w:tr>
    </w:tbl>
    <w:p w14:paraId="42D9AF6E"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Коэффициент приращения падения 7 1/5 %.</w:t>
      </w:r>
    </w:p>
    <w:p w14:paraId="342BF22B"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Разница в падении между революционной четвертью и нереволюционной составляет 9%: вычтя коэффициент приращения, получим 14/5%, имеем те же 2%.</w:t>
      </w:r>
    </w:p>
    <w:p w14:paraId="14F621FB"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Изложенные данные приводят нас к следующим выводам.</w:t>
      </w:r>
    </w:p>
    <w:p w14:paraId="4182632A"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Добыча угля в Донецком бассейне падает в ужасающей прогрессии. Падение это происходит под влиянием определенных причин, среди которых революция как фактор играет крайне незначительную роль, выражающуюся приблизительно в отклонении от среднего коэффициента приращения падения на 2%.</w:t>
      </w:r>
    </w:p>
    <w:p w14:paraId="422318F3"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Теперь крайне важно установить причины катастрофического падения добычи угля в Донецком бассейне.</w:t>
      </w:r>
    </w:p>
    <w:p w14:paraId="5781022F"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Излагаем их в общих тезисах, не развивая таковых:</w:t>
      </w:r>
    </w:p>
    <w:p w14:paraId="0B3DB219"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Особые условия жизни рудокопов вообще, горнорабочих Донецкого бассейна в частности, приводящие к тому, что в довоенное время горнорабочий работал только 8—9 месяцев в году на шахте, и крайнее их переутомление за время войны в связи с прикреплением их к шахте в качестве военнообязанных.</w:t>
      </w:r>
    </w:p>
    <w:p w14:paraId="58E62792"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Неудовлетворительное снабжение рабочих Донецкого бассейна предметами первой необходимости.</w:t>
      </w:r>
    </w:p>
    <w:p w14:paraId="1088F89D"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Уход из Донецкого бассейна в первые мобилизации лучших, квалифицированных рабочих и насыщение горных предприятий за время войны лицами, не приспособленными к работе в горных предприятиях (70 тыс. военнопленных, 30 тыс. женщин, труд подростков и уклоняющихся от воинской повинности).</w:t>
      </w:r>
    </w:p>
    <w:p w14:paraId="71B65A13"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Запущенное состояние горных предприятий Донецкого бассейна и крайне неудовлетворительное их техническое оборудование, неблагоприятно отражающееся как на производительности отдельного рабочего, так и предприятий в целом.</w:t>
      </w:r>
    </w:p>
    <w:p w14:paraId="7BAA9032"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Расстройство транспорта, ослабление вывоза, накопление запасов топлива и крайне неравномерная их погрузка. Недостаточность подъездных путей.</w:t>
      </w:r>
    </w:p>
    <w:p w14:paraId="596AD3C3" w14:textId="5112F0AB"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Неразрешенный конфликт рабочих и промышленников и отсутствие органа, который до окончания работ Правительственной комиссии Донецкого бассейна</w:t>
      </w:r>
      <w:hyperlink r:id="rId466" w:anchor="_ftn5" w:history="1">
        <w:r w:rsidRPr="002F2FDF">
          <w:rPr>
            <w:rFonts w:ascii="Times New Roman" w:hAnsi="Times New Roman" w:cs="Times New Roman"/>
            <w:color w:val="000000" w:themeColor="text1"/>
            <w:kern w:val="2"/>
            <w:sz w:val="16"/>
            <w:szCs w:val="16"/>
          </w:rPr>
          <w:t>[5]</w:t>
        </w:r>
      </w:hyperlink>
      <w:r w:rsidRPr="002F2FDF">
        <w:rPr>
          <w:rFonts w:ascii="Times New Roman" w:hAnsi="Times New Roman" w:cs="Times New Roman"/>
          <w:color w:val="000000" w:themeColor="text1"/>
          <w:kern w:val="2"/>
          <w:sz w:val="16"/>
          <w:szCs w:val="16"/>
        </w:rPr>
        <w:t xml:space="preserve">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разрешал бы конфликты между трудом и капиталом. Эта причина недавно устранена учреждением областной примирительной камеры.</w:t>
      </w:r>
    </w:p>
    <w:p w14:paraId="724AB495"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Отсутствие государственного органа, ведающего делом добычи топлива.</w:t>
      </w:r>
    </w:p>
    <w:p w14:paraId="36FEA2AE"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МЕРЫ К УВЕЛИЧЕНИЮ ДОБЫЧИ</w:t>
      </w:r>
    </w:p>
    <w:p w14:paraId="61B3AC13"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Тезисы</w:t>
      </w:r>
    </w:p>
    <w:p w14:paraId="44DD3DF4"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Повышение добычи угля возможно путем героических жертв донецких рабочих. Рабочие идут по пути этих жертв:</w:t>
      </w:r>
    </w:p>
    <w:p w14:paraId="769E8670" w14:textId="64FBA853"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Конференция рабочих и промышленников 28 марта</w:t>
      </w:r>
      <w:hyperlink r:id="rId467" w:anchor="_ftn6" w:history="1">
        <w:r w:rsidRPr="002F2FDF">
          <w:rPr>
            <w:rFonts w:ascii="Times New Roman" w:hAnsi="Times New Roman" w:cs="Times New Roman"/>
            <w:color w:val="000000" w:themeColor="text1"/>
            <w:kern w:val="2"/>
            <w:sz w:val="16"/>
            <w:szCs w:val="16"/>
          </w:rPr>
          <w:t>[6]</w:t>
        </w:r>
      </w:hyperlink>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и отказ промышленников в удовлетворении требований рабочих.</w:t>
      </w:r>
    </w:p>
    <w:p w14:paraId="3A987DDC"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Конференция майская, давшая те же результаты.</w:t>
      </w:r>
    </w:p>
    <w:p w14:paraId="07212E7A"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Стойкая выдержанность рабочих после неудовлетворения требований обеих конференций и спокойное ожидание окончания работ Правительственной комиссии.</w:t>
      </w:r>
    </w:p>
    <w:p w14:paraId="1F00B1B9"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Рабочие убеждаются в бесполезности этих жертв, ввиду нежелания промышленников идти по пути увеличения добычи и общей разрухи на предприятиях, а потому необходимо властное вмешательство государства в ход предприятий и создание уверенности среди рабочих, что эти жертвы приносятся ради интересов страны и достигают желательных результатов.</w:t>
      </w:r>
    </w:p>
    <w:p w14:paraId="78AED0E8"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3. Мобилизация предприятий Донецкого бассейна и создание ответственности рудничной администрации за ход предприятия не только перед владельцами предприятий, но и перед государством.</w:t>
      </w:r>
    </w:p>
    <w:p w14:paraId="65915827"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Мобилизация всех технических средств Донецкого бассейна и целесообразное распределение их по предприятиям.</w:t>
      </w:r>
    </w:p>
    <w:p w14:paraId="13EFC462"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Рациональная организация снабжения рабочих Донецкого бассейна предметами первой необходимости.</w:t>
      </w:r>
    </w:p>
    <w:p w14:paraId="704DB2E0"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Правильная организация угольной монополии.</w:t>
      </w:r>
    </w:p>
    <w:p w14:paraId="6FD41BF4"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Усиление постройки подъездных путей.</w:t>
      </w:r>
    </w:p>
    <w:p w14:paraId="37416517"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Осуществление всего этого возможно лишь путем создания властного органа, регулирующего дело добычи и распределения топлива в Донецком бассейне.</w:t>
      </w:r>
    </w:p>
    <w:p w14:paraId="62CFEA29"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органом может явиться единый Областной комитет по донецкому топливу, подчиненный Южному областному экономическому комитету.</w:t>
      </w:r>
    </w:p>
    <w:p w14:paraId="5D5719AF"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Проект Комитета по донецкому топливу при сем прилагается.</w:t>
      </w:r>
    </w:p>
    <w:p w14:paraId="718132E7" w14:textId="77777777" w:rsidR="007F40F7"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68" w:anchor="_ftnref1" w:history="1">
        <w:r w:rsidR="007F40F7" w:rsidRPr="002F2FDF">
          <w:rPr>
            <w:rFonts w:ascii="Times New Roman" w:hAnsi="Times New Roman" w:cs="Times New Roman"/>
            <w:color w:val="000000" w:themeColor="text1"/>
            <w:kern w:val="2"/>
            <w:sz w:val="16"/>
            <w:szCs w:val="16"/>
          </w:rPr>
          <w:t>[1]</w:t>
        </w:r>
      </w:hyperlink>
      <w:r w:rsidR="007F40F7" w:rsidRPr="002F2FDF">
        <w:rPr>
          <w:rFonts w:ascii="Times New Roman" w:hAnsi="Times New Roman" w:cs="Times New Roman"/>
          <w:color w:val="000000" w:themeColor="text1"/>
          <w:kern w:val="2"/>
          <w:sz w:val="16"/>
          <w:szCs w:val="16"/>
        </w:rPr>
        <w:t xml:space="preserve"> Делегатский съезд представителей заинтересованных районов по донецкому топливу был созван Временным южным экономическим комитетом 30 июля в г. Харькове. Совет съезда горнопромышленников Юга России и главноуполномочен-ный по донецкому топливу, несмотря на двукратное приглашение принять участие в работах съезда, бойкотировали его под тем предлогом, чтосъезд был созван организацией, не получившей утверждения Временного правительства. На съезде был заслушан доклад о состоянии добычи и вывоза донецкого топлива, доклад С. А. Цукублина, публикуемый в сборнике, и ряд докладов по вопросам, связанным с введением монополии на донецкое топливо. Съезд избрал две комиссии для выяснения положения дел на местах. Вторая сессия съезда, собравшаяся 11—13 августа, обсудила заключения указанных комиссий, обследовавших важнейшие районы Донецкого бассейна. Съезд сформулировал причины падения добычи угля и меры к ее поднятию (см. док 1937 вышел приказ НКОП № 362). (Известия Особого совещания по топливу, 1917, № 6, стр. 18).</w:t>
      </w:r>
    </w:p>
    <w:p w14:paraId="048AAA14" w14:textId="77777777" w:rsidR="007F40F7"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69" w:anchor="_ftnref2" w:history="1">
        <w:r w:rsidR="007F40F7" w:rsidRPr="002F2FDF">
          <w:rPr>
            <w:rFonts w:ascii="Times New Roman" w:hAnsi="Times New Roman" w:cs="Times New Roman"/>
            <w:color w:val="000000" w:themeColor="text1"/>
            <w:kern w:val="2"/>
            <w:sz w:val="16"/>
            <w:szCs w:val="16"/>
          </w:rPr>
          <w:t>[2]</w:t>
        </w:r>
      </w:hyperlink>
      <w:r w:rsidR="007F40F7" w:rsidRPr="002F2FDF">
        <w:rPr>
          <w:rFonts w:ascii="Times New Roman" w:hAnsi="Times New Roman" w:cs="Times New Roman"/>
          <w:color w:val="000000" w:themeColor="text1"/>
          <w:kern w:val="2"/>
          <w:sz w:val="16"/>
          <w:szCs w:val="16"/>
        </w:rPr>
        <w:t xml:space="preserve"> Так в док.; должно быть со второго полугодия 1915 г.</w:t>
      </w:r>
    </w:p>
    <w:p w14:paraId="56AB72F1" w14:textId="77777777" w:rsidR="007F40F7"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70" w:anchor="_ftnref3" w:history="1">
        <w:r w:rsidR="007F40F7" w:rsidRPr="002F2FDF">
          <w:rPr>
            <w:rFonts w:ascii="Times New Roman" w:hAnsi="Times New Roman" w:cs="Times New Roman"/>
            <w:color w:val="000000" w:themeColor="text1"/>
            <w:kern w:val="2"/>
            <w:sz w:val="16"/>
            <w:szCs w:val="16"/>
          </w:rPr>
          <w:t>[3]</w:t>
        </w:r>
      </w:hyperlink>
      <w:r w:rsidR="007F40F7" w:rsidRPr="002F2FDF">
        <w:rPr>
          <w:rFonts w:ascii="Times New Roman" w:hAnsi="Times New Roman" w:cs="Times New Roman"/>
          <w:color w:val="000000" w:themeColor="text1"/>
          <w:kern w:val="2"/>
          <w:sz w:val="16"/>
          <w:szCs w:val="16"/>
        </w:rPr>
        <w:t xml:space="preserve"> Председатель Особого совещания по топливу проф. К. В. Кирш приводит следующие данные о падении числа забойщиков на шахтах Донбасса в 1917 г.: в январе — 62 700 чел., в июне — 54 тыс. чел., в июле — 52 тыс. чел., в августе — 50 000 чел., на 1 октября — 49 тыс. чел. (Известия Особого совещания по топливу, 1917/18, № 7, стр. 2—10).</w:t>
      </w:r>
    </w:p>
    <w:p w14:paraId="0A6571CD" w14:textId="77777777" w:rsidR="007F40F7"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71" w:anchor="_ftnref4" w:history="1">
        <w:r w:rsidR="007F40F7" w:rsidRPr="002F2FDF">
          <w:rPr>
            <w:rFonts w:ascii="Times New Roman" w:hAnsi="Times New Roman" w:cs="Times New Roman"/>
            <w:color w:val="000000" w:themeColor="text1"/>
            <w:kern w:val="2"/>
            <w:sz w:val="16"/>
            <w:szCs w:val="16"/>
          </w:rPr>
          <w:t>[4]</w:t>
        </w:r>
      </w:hyperlink>
      <w:r w:rsidR="007F40F7" w:rsidRPr="002F2FDF">
        <w:rPr>
          <w:rFonts w:ascii="Times New Roman" w:hAnsi="Times New Roman" w:cs="Times New Roman"/>
          <w:color w:val="000000" w:themeColor="text1"/>
          <w:kern w:val="2"/>
          <w:sz w:val="16"/>
          <w:szCs w:val="16"/>
        </w:rPr>
        <w:t xml:space="preserve"> Так в док.</w:t>
      </w:r>
    </w:p>
    <w:p w14:paraId="70CB8EAD" w14:textId="77777777" w:rsidR="007F40F7"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72" w:anchor="_ftnref5" w:history="1">
        <w:r w:rsidR="007F40F7" w:rsidRPr="002F2FDF">
          <w:rPr>
            <w:rFonts w:ascii="Times New Roman" w:hAnsi="Times New Roman" w:cs="Times New Roman"/>
            <w:color w:val="000000" w:themeColor="text1"/>
            <w:kern w:val="2"/>
            <w:sz w:val="16"/>
            <w:szCs w:val="16"/>
          </w:rPr>
          <w:t>[5]</w:t>
        </w:r>
      </w:hyperlink>
      <w:r w:rsidR="007F40F7" w:rsidRPr="002F2FDF">
        <w:rPr>
          <w:rFonts w:ascii="Times New Roman" w:hAnsi="Times New Roman" w:cs="Times New Roman"/>
          <w:color w:val="000000" w:themeColor="text1"/>
          <w:kern w:val="2"/>
          <w:sz w:val="16"/>
          <w:szCs w:val="16"/>
        </w:rPr>
        <w:t xml:space="preserve"> См. прим 1937 вышел приказ НКОП № 70</w:t>
      </w:r>
    </w:p>
    <w:p w14:paraId="4C2D6E72" w14:textId="77777777" w:rsidR="007F40F7"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73" w:anchor="_ftnref6" w:history="1">
        <w:r w:rsidR="007F40F7" w:rsidRPr="002F2FDF">
          <w:rPr>
            <w:rFonts w:ascii="Times New Roman" w:hAnsi="Times New Roman" w:cs="Times New Roman"/>
            <w:color w:val="000000" w:themeColor="text1"/>
            <w:kern w:val="2"/>
            <w:sz w:val="16"/>
            <w:szCs w:val="16"/>
          </w:rPr>
          <w:t>[6]</w:t>
        </w:r>
      </w:hyperlink>
      <w:r w:rsidR="007F40F7" w:rsidRPr="002F2FDF">
        <w:rPr>
          <w:rFonts w:ascii="Times New Roman" w:hAnsi="Times New Roman" w:cs="Times New Roman"/>
          <w:color w:val="000000" w:themeColor="text1"/>
          <w:kern w:val="2"/>
          <w:sz w:val="16"/>
          <w:szCs w:val="16"/>
        </w:rPr>
        <w:t xml:space="preserve"> См. прим 1937 вышел приказ НКОП № 190 (15703).</w:t>
      </w:r>
    </w:p>
    <w:p w14:paraId="05F2DEF7" w14:textId="77777777" w:rsidR="007F40F7" w:rsidRPr="002F2FDF" w:rsidRDefault="007F40F7" w:rsidP="0083075A">
      <w:pPr>
        <w:spacing w:after="0" w:line="240" w:lineRule="auto"/>
        <w:jc w:val="both"/>
        <w:rPr>
          <w:rFonts w:ascii="Times New Roman" w:hAnsi="Times New Roman" w:cs="Times New Roman"/>
          <w:color w:val="000000" w:themeColor="text1"/>
          <w:kern w:val="2"/>
          <w:sz w:val="16"/>
          <w:szCs w:val="16"/>
        </w:rPr>
      </w:pPr>
    </w:p>
    <w:p w14:paraId="51604B2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62FCB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8F2C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июля (13 августа) 1917 1БАГ вернулась в состав 7А и расположилась в местечке Городок (4208,6).</w:t>
      </w:r>
    </w:p>
    <w:p w14:paraId="69B7F4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35FA0A" w14:textId="77777777" w:rsidR="00FA6D11" w:rsidRPr="002F2FDF" w:rsidRDefault="00FA6D11" w:rsidP="0083075A">
      <w:pPr>
        <w:pStyle w:val="ae"/>
        <w:spacing w:before="0" w:after="0"/>
        <w:jc w:val="both"/>
        <w:rPr>
          <w:color w:val="000000" w:themeColor="text1"/>
          <w:kern w:val="2"/>
          <w:sz w:val="16"/>
          <w:szCs w:val="16"/>
        </w:rPr>
      </w:pPr>
      <w:r w:rsidRPr="002F2FDF">
        <w:rPr>
          <w:color w:val="000000" w:themeColor="text1"/>
          <w:kern w:val="2"/>
          <w:sz w:val="16"/>
          <w:szCs w:val="16"/>
        </w:rPr>
        <w:t>31 июля (13 августа) 1917 германская и австрийская артиллерия нанесла серию мощных ударов по русским позициям в районе городов Волочиск (на западе нынешней Хмельницкой области Украины) и Гусятин (на востоке нынешней Тернопольской области Украины).</w:t>
      </w:r>
    </w:p>
    <w:p w14:paraId="1EC62E9F" w14:textId="77777777" w:rsidR="00FA6D11" w:rsidRPr="002F2FDF" w:rsidRDefault="00FA6D11" w:rsidP="0083075A">
      <w:pPr>
        <w:pStyle w:val="ae"/>
        <w:spacing w:before="0" w:after="0"/>
        <w:jc w:val="both"/>
        <w:rPr>
          <w:color w:val="000000" w:themeColor="text1"/>
          <w:kern w:val="2"/>
          <w:sz w:val="16"/>
          <w:szCs w:val="16"/>
        </w:rPr>
      </w:pPr>
      <w:r w:rsidRPr="002F2FDF">
        <w:rPr>
          <w:color w:val="000000" w:themeColor="text1"/>
          <w:kern w:val="2"/>
          <w:sz w:val="16"/>
          <w:szCs w:val="16"/>
        </w:rPr>
        <w:t>В этот же день немецкие самолеты бомбили город Измаил (на юге нынешней Одесской области Украины) и русские позиции в районе города Молодечно (на северо-западе нынешней Белоруссии) (17045).</w:t>
      </w:r>
    </w:p>
    <w:p w14:paraId="55EB39DD" w14:textId="77777777" w:rsidR="00611FB3" w:rsidRDefault="00611FB3" w:rsidP="0083075A">
      <w:pPr>
        <w:spacing w:after="0" w:line="240" w:lineRule="auto"/>
        <w:jc w:val="both"/>
        <w:rPr>
          <w:rFonts w:ascii="Times New Roman" w:hAnsi="Times New Roman" w:cs="Times New Roman"/>
          <w:color w:val="0070C0"/>
          <w:sz w:val="16"/>
          <w:szCs w:val="16"/>
        </w:rPr>
      </w:pPr>
    </w:p>
    <w:p w14:paraId="052C4895" w14:textId="62BDDA2E" w:rsidR="00611FB3" w:rsidRPr="00FB4F67" w:rsidRDefault="00611FB3"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31 июля (</w:t>
      </w:r>
      <w:r w:rsidRPr="00FB4F67">
        <w:rPr>
          <w:rFonts w:ascii="Times New Roman" w:hAnsi="Times New Roman" w:cs="Times New Roman"/>
          <w:color w:val="0070C0"/>
          <w:sz w:val="16"/>
          <w:szCs w:val="16"/>
        </w:rPr>
        <w:t>13 августа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Черном море русский вспомогательный крейсер «Дакия» вместе с двумя торпедными катерами обстрелял турецкие позиции у Тиреболу (23525).</w:t>
      </w:r>
    </w:p>
    <w:p w14:paraId="0EE927F7" w14:textId="77777777" w:rsidR="00611FB3" w:rsidRPr="00FB4F67" w:rsidRDefault="00611FB3" w:rsidP="0083075A">
      <w:pPr>
        <w:spacing w:after="0" w:line="240" w:lineRule="auto"/>
        <w:jc w:val="both"/>
        <w:rPr>
          <w:rFonts w:ascii="Times New Roman" w:hAnsi="Times New Roman" w:cs="Times New Roman"/>
          <w:color w:val="0070C0"/>
          <w:sz w:val="16"/>
          <w:szCs w:val="16"/>
        </w:rPr>
      </w:pPr>
    </w:p>
    <w:p w14:paraId="315963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июля (13 августа) 1917 на немецких минах, поставленных подводным заградителем UC 78 у Оландских островов подорвался и затонул эсминец Лейтенант Бураков (3124).</w:t>
      </w:r>
    </w:p>
    <w:p w14:paraId="4D42C5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9ED0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июля (13 августа) 1917 эсминцы Свирепый и Стремительный обстреляли турецкие 152 мм батареи (3123).</w:t>
      </w:r>
    </w:p>
    <w:p w14:paraId="08C40A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C41D8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5AE74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A8E7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Между 31 июля и 6 августа (13 и 19 августа) 1917. Из журнала заседаний Временного правительства N145, 1917 г.</w:t>
      </w:r>
    </w:p>
    <w:p w14:paraId="2AB3F2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Об увеличении подвижного состава автомобильной базы Временного правительства </w:t>
      </w:r>
    </w:p>
    <w:p w14:paraId="547674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Приобрести для надобностей автомобильной базы Временного правительства путем реквизиции 15 легковых автомобилей, с ассигнованием для указанной цели чрезвычайным сверхсметным кредитом 125 тыс. рублей из наличных средств Государственного казначейства (11652).</w:t>
      </w:r>
    </w:p>
    <w:p w14:paraId="5F63C8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FE9C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Между 31 июля и 6 августа (13 и 19 августа) 1917. Из журнала заседаний Временного правительства N146, 1917 г.</w:t>
      </w:r>
    </w:p>
    <w:p w14:paraId="6FD7E4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 порядке приема в высшие специальные учебные заведения Петрограда </w:t>
      </w:r>
    </w:p>
    <w:p w14:paraId="485D55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Признать, что, если высшие учебные заведения найдут желательной замену конкурсных экзаменов конкурсом аттестатов, то им следует предложить обсудить совместно вопрос о том, каким образом распределить между учебными заведениями тех лиц, которые окажутся принятыми в несколько учебных заведений, а также на каких основаниях возможно будет допустить обмен между учебными заведениями тех лиц, которые будут зачислены не туда, куда они желают. Если при этих условиях, вопреки ожиданиям, останется некоторое число лиц непринятых, то их возможно было бы, по заполнении установленных комплектов, принять сверх комплекта (11652).</w:t>
      </w:r>
    </w:p>
    <w:p w14:paraId="3F92DF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9CDC27" w14:textId="77777777" w:rsidR="00A05C66" w:rsidRPr="002F2FDF" w:rsidRDefault="00A05C66" w:rsidP="0083075A">
      <w:pPr>
        <w:pStyle w:val="ae"/>
        <w:spacing w:before="0" w:after="0"/>
        <w:jc w:val="both"/>
        <w:rPr>
          <w:color w:val="000000" w:themeColor="text1"/>
          <w:kern w:val="2"/>
          <w:sz w:val="16"/>
          <w:szCs w:val="16"/>
        </w:rPr>
      </w:pPr>
      <w:r w:rsidRPr="002F2FDF">
        <w:rPr>
          <w:color w:val="000000" w:themeColor="text1"/>
          <w:kern w:val="2"/>
          <w:sz w:val="16"/>
          <w:szCs w:val="16"/>
        </w:rPr>
        <w:t>31 июля (13 августа) 1917 преподавание Закона Божьего было переведено в число необязательных (факультативных) предметов (17045).</w:t>
      </w:r>
    </w:p>
    <w:p w14:paraId="1CB67CE4" w14:textId="77777777" w:rsidR="00A05C66" w:rsidRPr="002F2FDF" w:rsidRDefault="00A05C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E1FD9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BC94E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E0100A" w14:textId="24BFA1F1" w:rsidR="00305A71" w:rsidRPr="002F2FDF" w:rsidRDefault="00305A71" w:rsidP="0083075A">
      <w:pPr>
        <w:pStyle w:val="ae"/>
        <w:spacing w:before="0" w:after="0"/>
        <w:jc w:val="both"/>
        <w:rPr>
          <w:color w:val="000000" w:themeColor="text1"/>
          <w:sz w:val="16"/>
          <w:szCs w:val="16"/>
        </w:rPr>
      </w:pPr>
      <w:r w:rsidRPr="002F2FDF">
        <w:rPr>
          <w:color w:val="000000" w:themeColor="text1"/>
          <w:sz w:val="16"/>
          <w:szCs w:val="16"/>
        </w:rPr>
        <w:t>31 июля — 10 ноября (13 августа – 23 ноября) 1917 г. проходила так называемая «</w:t>
      </w:r>
      <w:r w:rsidRPr="002F2FDF">
        <w:rPr>
          <w:rStyle w:val="af0"/>
          <w:rFonts w:eastAsia="Calibri"/>
          <w:color w:val="000000" w:themeColor="text1"/>
          <w:sz w:val="16"/>
          <w:szCs w:val="16"/>
        </w:rPr>
        <w:t>третья битва на Ипре</w:t>
      </w:r>
      <w:r w:rsidRPr="002F2FDF">
        <w:rPr>
          <w:color w:val="000000" w:themeColor="text1"/>
          <w:sz w:val="16"/>
          <w:szCs w:val="16"/>
        </w:rPr>
        <w:t>». После захвата Мессинского хребта генерал Хейг попытался провести наступление, имевшее целью овладение бельгийским побережьем. Наступление проходило по заболоченной местности, во время проливных дождей и без эффекта внезапности. Когда союзники окончательно увязли в грязи, немцы применили</w:t>
      </w:r>
      <w:r w:rsidR="00E52569">
        <w:rPr>
          <w:color w:val="000000" w:themeColor="text1"/>
          <w:sz w:val="16"/>
          <w:szCs w:val="16"/>
        </w:rPr>
        <w:t xml:space="preserve"> </w:t>
      </w:r>
      <w:r w:rsidRPr="002F2FDF">
        <w:rPr>
          <w:rStyle w:val="af0"/>
          <w:rFonts w:eastAsia="Calibri"/>
          <w:color w:val="000000" w:themeColor="text1"/>
          <w:sz w:val="16"/>
          <w:szCs w:val="16"/>
        </w:rPr>
        <w:t>снаряды с ипритом</w:t>
      </w:r>
      <w:r w:rsidRPr="002F2FDF">
        <w:rPr>
          <w:color w:val="000000" w:themeColor="text1"/>
          <w:sz w:val="16"/>
          <w:szCs w:val="16"/>
        </w:rPr>
        <w:t>. Наступление завершилось захватом разрушенной деревни Пасхендаале. Удерживаемый британцами выступ Ипра был «углублен» примерно на 8 км огромной ценой — потерей убитыми и ранеными 300 тыс. британских и 8,5 тыс. французских солдат. Немецкие потери оценивались в 260 тыс. солдат. Многими британцами Третий Ипр приравнивается к Сомме как одна из громких катастроф Первой мировой войны.</w:t>
      </w:r>
      <w:bookmarkStart w:id="237" w:name="k49"/>
      <w:bookmarkEnd w:id="237"/>
    </w:p>
    <w:p w14:paraId="1CD4359D" w14:textId="77777777" w:rsidR="00305A71" w:rsidRPr="002F2FDF" w:rsidRDefault="00305A71" w:rsidP="0083075A">
      <w:pPr>
        <w:pStyle w:val="ae"/>
        <w:spacing w:before="0" w:after="0"/>
        <w:jc w:val="both"/>
        <w:rPr>
          <w:color w:val="000000" w:themeColor="text1"/>
          <w:sz w:val="16"/>
          <w:szCs w:val="16"/>
        </w:rPr>
      </w:pPr>
    </w:p>
    <w:p w14:paraId="34CCA4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июля (13 августа) 1917 в Испании было восстание сторонников предоставления Каталонии независимости (3907,91).</w:t>
      </w:r>
    </w:p>
    <w:p w14:paraId="29C2C1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82D76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98E40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4827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Во второй декаде июля 1917 низкая облачность и дожди заметно снизили активность авиации противника по всему фронту. В конце июля вражеские летчики интенсивно работали уже на всех участках Юго-Западного фронта - ежедневно в воздух поднималось до 80 самолетов. Всего за июль было зарегистрировано 2735 полетов неприятельских самолетов. В воздушных боях было сбито 4 русских аэроплана и сожжено в воздухе 9 привязных аэростатов. В 20-х числах июля русские войска закрепились на новых рубежах, и на Юго-Западном наступило затишье. К этому времени авиачасти фронта находились в плачевном состоянии. Тем не менее авиаторы продолжали выполнять свой долг и, увы, нести потери. Так, 19 августа летчик 2-го истребительного АО подпоручик Чудновский во время боя над деревней Паниковце в р-не Брод с двумя австрийскими самолетами столкнулся с одним из них. У неприятельского аппарата отлетели пропеллер и крыло, и он рухнул камнем, а машина Чудновского опускалась медленно и повисла на деревьях. Оба самолета упали за линией неприятельских окопов. Согласно данным австрийского военного архива, в этот день военный летчик фельдфебель Рудольф Лонстак из 14-й авиароты вылетел на истребителе "Альбатрос D.II" (№53.07) и "...столкнулся во время воздушного боя с неприятельским истребителем "Ньюпор". Оба пилота при падении погибли". 27 августа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w:t>
      </w:r>
      <w:r w:rsidRPr="002F2FDF">
        <w:rPr>
          <w:rFonts w:ascii="Times New Roman" w:hAnsi="Times New Roman" w:cs="Times New Roman"/>
          <w:color w:val="000000" w:themeColor="text1"/>
          <w:kern w:val="2"/>
          <w:sz w:val="16"/>
          <w:szCs w:val="16"/>
        </w:rPr>
        <w:lastRenderedPageBreak/>
        <w:t>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7823DD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E4AFE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A3D7C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E3C1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20-х числах июля 1917 русские войска закрепились на новых рубежах, и на Юго-Западном наступило затишье. К этому времени авиачасти фронта находились в плачевном состоянии. Тем не менее авиаторы продолжали выполнять свой долг и, увы, нести потери. Так, 19 августа летчик 2-го истребительного АО подпоручик Чудновский во время боя над деревней Паниковце в р-не Брод с двумя австрийскими самолетами столкнулся с одним из них. У неприятельского аппарата отлетели пропеллер и крыло, и он рухнул камнем, а машина Чудновского опускалась медленно и повисла на деревьях. Оба самолета упали за линией неприятельских окопов. Согласно данным австрийского военного архива, в этот день военный летчик фельдфебель Рудольф Лонстак из 14-й авиароты вылетел на истребителе "Альбатрос D.II" (№53.07) и "...столкнулся во время воздушного боя с неприятельским истребителем "Ньюпор". Оба пилота при падении погибли". 27 августа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6385F3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C8359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FBCE5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CEA4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июля 1917 г. ст.лейтенант Голенищев-Кутузов узнал, что на РБВЗ производятся испытания нового "Муромца". С согласия конструктора на испытываемом №243 установили минный аппарат и назначено было произвести сбрасывание болванки, а затем и мин. Заводские испытания и прием аппаратов Военным Ведомством затянулись и эти опыты не были произведены. 6 сентября 1917 г. состоялось Заседание Центрального авиакомитета о выделении из Эскадры отряда воздушных кораблей в Морское Ведомство. На нем было предложено вооружить "Муромцы" съемными минными аппаратами и "использовать его для минных атак (самодвижущиеся мины)". Этот вопрос так и остался открытым. Осенью 1917 г. новые корабли №236, 237, 238 и 243 отправили в Винницу, но они уже не успели принять участия в боях (11277).</w:t>
      </w:r>
    </w:p>
    <w:p w14:paraId="1E859F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56A8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июля 1917 г. ст.лейтенант Голенищев-Кутузов узнал, что на РБВЗ производятся испытания нового "Муромца". С согласия конструктора на испытываемом №243 установили минный аппарат и назначено было произвести сбрасывание болванки, а затем и мин. Заводские испытания и прием аппаратов Военным Ведомством затянулись и эти опыты не были произведены. 6 сентября 1917 г. состоялось Заседание Центрального авиакомитета о выделении из Эскадры отряда воздушных кораблей в Морское Ведомство. На нем было предложено вооружить "Муромцы" съемными минными аппаратами и "использовать его для минных атак (самодвижущиеся мины)". Этот вопрос так и остался открытым. Осенью 1917 г. новые корабли №236, 237, 238 и 243 отправили в Винницу, но они уже не успели принять участия в боях (12038).</w:t>
      </w:r>
    </w:p>
    <w:p w14:paraId="228B85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7A41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июля 1917 года старший лейтенант И.И. Голенишев-Кутузов посетил Сикорского, обсудив с ним возможность переделки самолётов типа "Илья Муромец" в горпедонесушие аэропланы. Конструктор был не против и охотно соглашался помочь. На заводе "Новый Лесснер" был разработан торпедный аппарат "катерного типа" под самодвижущуюся мину образца 1910-1915 годов с ходом в 40 узлов. Он должен был размешаться под фюзеляжем самолёта и использоваться для торпедных атак против "Илья Муромец" тип Г-3 надводных кораблей противника (12041).</w:t>
      </w:r>
    </w:p>
    <w:p w14:paraId="363FA3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8151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июля 1917 на одном из ИМ были установлены торпеды, но заводские испытания затянулись и машину не приняли (92,210).</w:t>
      </w:r>
    </w:p>
    <w:p w14:paraId="760D88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30E6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июля 1917-го начались испытания первой машины ИМ, вооруженного торпедами. Оперативная обстановка на Балтике оставалась сложной. Немцы планировали захват Рижского залива и островов Моонзундского архипелага. Поэтому летом 1917-го было принято решение заказать 20 самолетов-торпедоносцев. Началось строительство аэродромов для их базирования, в том числе и на острове Эзель (ныне-Сааремаа) близ Аренсбурга, где предполагалось разместить первое боевое подразделение. Его собирались использовать против немецких кораблей и возможного десанта. (Странны и неожиданны повороты истории. Летом 1941-го именно с этого аэродрома летчики 1-го минно-торпедного полка авиации Балтийского флота совершали полеты на Берлин). Голенищев-Кутузов предпринимал энергичные усилия для изготовления торпедных аппаратов и оборудования ими "Муромцев". Мятеж генерала Корнилова, сложная внутриполитическая обстановка не способствовали скорейшему их завершению. В начале октября после захвата немцами Моонзунда вновь встал вопрос о базировании торпедоносцев, окончательно зашедший в тупик в конце месяца (11240).</w:t>
      </w:r>
    </w:p>
    <w:p w14:paraId="6F1601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3CF6B0"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июля 1917 г. удалось заключить еще ряд сделок, предусматривавших поставки более четырех с половиной сотен машин Анаде. Согласно данным из фондов Российского государственного военного архива, общее количество заказанных «Анаде» достигло 759 единиц. Из них к концу 1917 г. удалось сдать заказчику менее трети — 225. В это число входили и 24 машины, построенные в июле-октябре 1917 г. с более мощными моторами «Клерже» (110 либо 130 л.с), которые получили обозначение «Анаклер». Интересно, что 47 принятых самолетов не проходили сдаточных испытаний из-за задержек с поставками двигателей (12252).</w:t>
      </w:r>
    </w:p>
    <w:p w14:paraId="4FD08EA2"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p>
    <w:p w14:paraId="0EFCCEB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13942C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7A71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июля 1917 1-я ж/д установка успешно прошла испытания. Для разгрузки транспортера при стрельбе к рельсам домкратами прижимались два упора, а для предотвращения скольжения к рельсам крепились особые захваты (тормоза), но несмотря на это установка сдвигалась на 724 мм. Приводы наведения, подача боеприпасов и все остальные операции выполнялись только вручную. Результаты испытаний были признаны удовлетворительными и в последних числах июля транспортер ушел в армию. Позже, уже в Красной армии, 254-мм орудия с этих двух транспортеров были сняты и заменены 203/50-мм установками системы МЗ (3861).</w:t>
      </w:r>
    </w:p>
    <w:p w14:paraId="126AA6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74B9A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902F7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EAA1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июля 1917 вражеские летчики интенсивно работали уже на всех участках Юго-Западного фронта - ежедневно в воздух поднималось до 80 самолетов. Всего за июль было зарегистрировано 2735 полетов неприятельских самолетов. В воздушных боях было сбито 4 русских аэроплана и сожжено в воздухе 9 привязных аэростатов. В 20-х числах июля русские войска закрепились на новых рубежах, и на Юго-Западном наступило затишье. К этому времени авиачасти фронта находились в плачевном состоянии. Тем не менее авиаторы продолжали выполнять свой долг и, увы, нести потери. Так, 19 августа летчик 2-го истребительного АО подпоручик Чудновский во время боя над деревней Паниковце в р-не Брод с двумя австрийскими самолетами столкнулся с одним из них. У неприятельского аппарата отлетели пропеллер и крыло, и он рухнул камнем, а машина Чудновского опускалась медленно и повисла на деревьях. Оба самолета упали за линией неприятельских окопов. Согласно данным австрийского военного архива, в этот день военный летчик фельдфебель Рудольф Лонстак из 14-й авиароты вылетел на истребителе "Альбатрос D.II" (№53.07) и "...столкнулся во время воздушного боя с неприятельским истребителем "Ньюпор". Оба пилота при падении погибли". 27 августа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61339D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534E9D" w14:textId="77777777" w:rsidR="00BD6940" w:rsidRPr="00FB4F67" w:rsidRDefault="00BD6940" w:rsidP="0083075A">
      <w:pPr>
        <w:spacing w:after="0" w:line="240" w:lineRule="auto"/>
        <w:jc w:val="both"/>
        <w:rPr>
          <w:rFonts w:ascii="Times New Roman" w:hAnsi="Times New Roman" w:cs="Times New Roman"/>
          <w:color w:val="0070C0"/>
          <w:sz w:val="16"/>
          <w:szCs w:val="16"/>
        </w:rPr>
      </w:pPr>
      <w:bookmarkStart w:id="238" w:name="bookmark849"/>
      <w:r w:rsidRPr="00FB4F67">
        <w:rPr>
          <w:rFonts w:ascii="Times New Roman" w:hAnsi="Times New Roman" w:cs="Times New Roman"/>
          <w:color w:val="0070C0"/>
          <w:sz w:val="16"/>
          <w:szCs w:val="16"/>
        </w:rPr>
        <w:t>К концу июля 1917 г. активность неприятельской авиации отмечалась уже на всех участках Юго-Западного фронта - ежедневно в воздухе наблюдалось до 80 самолетов противника. Всего в течение месяца зарегистрировано 2735 полетов вражеской авиации. В период с 23 июня по 31 июля 1917 г. в полосе Румынского фронта противником было сожжено в воздухе 9 привязных наших аэростатов (23405).</w:t>
      </w:r>
      <w:bookmarkEnd w:id="238"/>
    </w:p>
    <w:p w14:paraId="26FBC437" w14:textId="77777777" w:rsidR="00BD6940" w:rsidRPr="00FB4F67" w:rsidRDefault="00BD6940" w:rsidP="0083075A">
      <w:pPr>
        <w:spacing w:after="0" w:line="240" w:lineRule="auto"/>
        <w:jc w:val="both"/>
        <w:rPr>
          <w:rFonts w:ascii="Times New Roman" w:hAnsi="Times New Roman" w:cs="Times New Roman"/>
          <w:color w:val="0070C0"/>
          <w:sz w:val="16"/>
          <w:szCs w:val="16"/>
        </w:rPr>
      </w:pPr>
    </w:p>
    <w:p w14:paraId="142426D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9F305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2ED7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июля 1917 года чтобы вновь усилить приток офицеров в авиационные войска германское главное командование, по просьбе командующего воздушными силами, издало приказ, согласно которому все ходатайства офицеров о переводе в авиацию должны были направляться в штабы армий, независимо от их удовлетворения или неудовлетворения. Вопрос об откомандировании решался указанными штабами на основании заключения командиров-летчиков. Таким путем стремились привлечь в авиацию главным образом молодых кавалерийских офицеров. Эти чрезвычайные меры не преминули оказать свое действие: ходатайства стали поступать в таком количестве, что комплектование личного состава, необходимого для выполнения программы, в количественном отношении было обеспечено. Для соответствующей условиям войны подготовки наблюдателей к инспекции на зиму 1917—1918 годов в качестве консультанта по вопросам обучения был прикомандирован опытный авиационный начальник, хорошо знакомый с обстановкой крупного сражения; со всей энергией, присущей одаренной личности, он обратился к выполнению этой ответственнейшей задачи (11282).</w:t>
      </w:r>
    </w:p>
    <w:p w14:paraId="1F0A84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94918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B9F83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7AB8F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 1917 г. месячный выпуск ПРТВ составлял около 40 аппаратов. По всей вероятности, Морское ведом</w:t>
      </w:r>
      <w:r w:rsidRPr="002F2FDF">
        <w:rPr>
          <w:rFonts w:ascii="Times New Roman" w:hAnsi="Times New Roman" w:cs="Times New Roman"/>
          <w:color w:val="000000" w:themeColor="text1"/>
          <w:kern w:val="2"/>
          <w:sz w:val="16"/>
          <w:szCs w:val="16"/>
        </w:rPr>
        <w:softHyphen/>
        <w:t>ство и производитель возлагали все надежды на ярославльский филиал, которому предстояло также строить истребители “Спад” и многоцелевые бипланы типа “Ди-Эйч-Найн” (“Де Хэвиллэнд-9”). Пер</w:t>
      </w:r>
      <w:r w:rsidRPr="002F2FDF">
        <w:rPr>
          <w:rFonts w:ascii="Times New Roman" w:hAnsi="Times New Roman" w:cs="Times New Roman"/>
          <w:color w:val="000000" w:themeColor="text1"/>
          <w:kern w:val="2"/>
          <w:sz w:val="16"/>
          <w:szCs w:val="16"/>
        </w:rPr>
        <w:softHyphen/>
        <w:t>вую партию в 20-30 крылатых машин ожидали, по плану, в январе 1918 г., но, как уже говорилось, вся программа обернулась всего лишь “воздушным замком”, исчезнувшим вместе с налетевшими порывами злого холодного ветра (2807).</w:t>
      </w:r>
    </w:p>
    <w:p w14:paraId="3C16B4A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1DF5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 1917 Лебедь-Х передали в Гатчинскую авиашколу (11183).</w:t>
      </w:r>
    </w:p>
    <w:p w14:paraId="6E56EF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3B150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 1917 года аэропланы "Альбатрос" тип А.8 были доставлены в Школу воздушного боя в Красном селе. Они использовались там, но подробности их службы неизвестны. Будучи копией или развитием одной из немецких конструкций, "Альбатрос" тип А.8 не обладал выдающимися особенностями и лишь его необычный мотор заслуживает отдельного упоминания. Как следует из предыдущего абзаца, никакого контракта на поставку этих ма</w:t>
      </w:r>
      <w:r w:rsidRPr="002F2FDF">
        <w:rPr>
          <w:rFonts w:ascii="Times New Roman" w:hAnsi="Times New Roman" w:cs="Times New Roman"/>
          <w:color w:val="000000" w:themeColor="text1"/>
          <w:kern w:val="2"/>
          <w:sz w:val="16"/>
          <w:szCs w:val="16"/>
        </w:rPr>
        <w:softHyphen/>
        <w:t>шин с заводом В.А. Лебедева не заключалось. По Шаврову, модель испытывалась компанией в конце 1916 — начале 1917 гг. и была изготовлена только в трех экземплярах. Если так, то все они и достались флоту (2843).</w:t>
      </w:r>
    </w:p>
    <w:p w14:paraId="2DA2307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ED9E72" w14:textId="77777777" w:rsidR="00A616E3" w:rsidRPr="00FB4F67" w:rsidRDefault="00A616E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июле 1917 г. держатель системы Голенищева-Кутузова для торпеды на самолет ИМ-Г установили, но ни один сброс ни болванок, ни боевых торпед произведен не был.</w:t>
      </w:r>
    </w:p>
    <w:p w14:paraId="2AE42454" w14:textId="77777777" w:rsidR="00A616E3" w:rsidRPr="00FB4F67" w:rsidRDefault="00A616E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06.09.17 г. (19.09.17 г. по н.ст.) на совещании в Центральном авиакомитете было предложено вооружить торпедными держателями системы Голенищева-Кутузова один отряд самолетов ИМ и передать его флоту, но этот вопрос решен и тогда не был далее к нему, видимо, не возвращались (23553).</w:t>
      </w:r>
    </w:p>
    <w:p w14:paraId="0D5264BD" w14:textId="77777777" w:rsidR="00A616E3" w:rsidRPr="00FB4F67" w:rsidRDefault="00A616E3" w:rsidP="0083075A">
      <w:pPr>
        <w:spacing w:after="0" w:line="240" w:lineRule="auto"/>
        <w:jc w:val="both"/>
        <w:rPr>
          <w:rFonts w:ascii="Times New Roman" w:hAnsi="Times New Roman" w:cs="Times New Roman"/>
          <w:color w:val="0070C0"/>
          <w:sz w:val="16"/>
          <w:szCs w:val="16"/>
        </w:rPr>
      </w:pPr>
    </w:p>
    <w:p w14:paraId="422A224B" w14:textId="77777777" w:rsidR="000616EE" w:rsidRPr="002F2FDF" w:rsidRDefault="000616E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 1917 г. Кондратьев предложил строить вместо экспериментального малоразмерного аналога пол</w:t>
      </w:r>
      <w:r w:rsidRPr="002F2FDF">
        <w:rPr>
          <w:rFonts w:ascii="Times New Roman" w:hAnsi="Times New Roman" w:cs="Times New Roman"/>
          <w:color w:val="000000" w:themeColor="text1"/>
          <w:kern w:val="2"/>
          <w:sz w:val="16"/>
          <w:szCs w:val="16"/>
        </w:rPr>
        <w:softHyphen/>
        <w:t>ноценный триплан-разведчик с двигателем «Рено» 220 л. с. и взлетной массой 1200 кг. Самолет не представлял собой уменьшенной копии гигантского трип</w:t>
      </w:r>
      <w:r w:rsidRPr="002F2FDF">
        <w:rPr>
          <w:rFonts w:ascii="Times New Roman" w:hAnsi="Times New Roman" w:cs="Times New Roman"/>
          <w:color w:val="000000" w:themeColor="text1"/>
          <w:kern w:val="2"/>
          <w:sz w:val="16"/>
          <w:szCs w:val="16"/>
        </w:rPr>
        <w:softHyphen/>
        <w:t>лана Ижорского завода, и члены Комитета предпочли воздержаться от программы строитель</w:t>
      </w:r>
      <w:r w:rsidRPr="002F2FDF">
        <w:rPr>
          <w:rFonts w:ascii="Times New Roman" w:hAnsi="Times New Roman" w:cs="Times New Roman"/>
          <w:color w:val="000000" w:themeColor="text1"/>
          <w:kern w:val="2"/>
          <w:sz w:val="16"/>
          <w:szCs w:val="16"/>
        </w:rPr>
        <w:softHyphen/>
        <w:t>ства трипланов до окончания сборки «ижорского» бомбардировщика-биплана (15740).</w:t>
      </w:r>
    </w:p>
    <w:p w14:paraId="657261A6" w14:textId="77777777" w:rsidR="000616EE" w:rsidRPr="002F2FDF" w:rsidRDefault="000616EE" w:rsidP="0083075A">
      <w:pPr>
        <w:spacing w:after="0" w:line="240" w:lineRule="auto"/>
        <w:jc w:val="both"/>
        <w:rPr>
          <w:rFonts w:ascii="Times New Roman" w:hAnsi="Times New Roman" w:cs="Times New Roman"/>
          <w:color w:val="000000" w:themeColor="text1"/>
          <w:kern w:val="2"/>
          <w:sz w:val="16"/>
          <w:szCs w:val="16"/>
        </w:rPr>
      </w:pPr>
    </w:p>
    <w:p w14:paraId="701905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июля 1917 г. при участии сотрудников Главного аэродрома, начались работы по созданию новой большой испыта- тельной базы. Там планировалась постройка тёплых ангаров, лабораторий и мастерских, а также самолётостроительного завода с произ- водительностью 200 машин в год, моторного завода с производительностью 200 моторов и авиационной школы лётчиков. Предполагалось, что такие учреждения, имея общий аэродром, могли бы совместной работой эффективно спо- собствовать развитию авиационного дела в России (11054).</w:t>
      </w:r>
    </w:p>
    <w:p w14:paraId="0AED5F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Строительные же работы в Херсоне некоторое время продолжались и после октябрьского переворота (11054).</w:t>
      </w:r>
    </w:p>
    <w:p w14:paraId="4F7C17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Несмотря на трудности политического и эко- номического порядка, испытательные полёты некоторое время продолжались в Петрограде: сухопутных аэропланов - на Главном аэродроме у 4-й версты Варшавской железной дороги; морских - на опытном аэродроме АИС, что на Крестовском острове. Гул моторов в Петрограде у 4-й версты Варшавской железной дороги и на Крестовском острове утих только накануне но- вого 1918 г. (11054).</w:t>
      </w:r>
    </w:p>
    <w:p w14:paraId="66980D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4B618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июля 1917 г. при участии сотрудников Главного аэродрома начались работы по созданию новой большой испытательной базы. Там планировалась постройка теплых ангаров, лабораторий и мастерс</w:t>
      </w:r>
      <w:r w:rsidRPr="002F2FDF">
        <w:rPr>
          <w:rFonts w:ascii="Times New Roman" w:hAnsi="Times New Roman" w:cs="Times New Roman"/>
          <w:color w:val="000000" w:themeColor="text1"/>
          <w:kern w:val="2"/>
          <w:sz w:val="16"/>
          <w:szCs w:val="16"/>
        </w:rPr>
        <w:softHyphen/>
        <w:t>ких, а также самолётостроительного завода с производительностью 200 самолётов в год, моторного завода с производительностью 200 моторов и авиационной школы летчиков [34]. Предполагалось, что такие учрежде</w:t>
      </w:r>
      <w:r w:rsidRPr="002F2FDF">
        <w:rPr>
          <w:rFonts w:ascii="Times New Roman" w:hAnsi="Times New Roman" w:cs="Times New Roman"/>
          <w:color w:val="000000" w:themeColor="text1"/>
          <w:kern w:val="2"/>
          <w:sz w:val="16"/>
          <w:szCs w:val="16"/>
        </w:rPr>
        <w:softHyphen/>
        <w:t>ния, имея общий аэродром, могли бы совместной работой эффективно способствовать развитию авиационного дела в России.</w:t>
      </w:r>
    </w:p>
    <w:p w14:paraId="50E9A3C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Примечательно, что в одном из документов строившийся новый ис</w:t>
      </w:r>
      <w:r w:rsidRPr="002F2FDF">
        <w:rPr>
          <w:rFonts w:ascii="Times New Roman" w:hAnsi="Times New Roman" w:cs="Times New Roman"/>
          <w:color w:val="000000" w:themeColor="text1"/>
          <w:kern w:val="2"/>
          <w:sz w:val="16"/>
          <w:szCs w:val="16"/>
        </w:rPr>
        <w:softHyphen/>
        <w:t>пытательный центр назван, со взглядом на будущее - “авиационным го</w:t>
      </w:r>
      <w:r w:rsidRPr="002F2FDF">
        <w:rPr>
          <w:rFonts w:ascii="Times New Roman" w:hAnsi="Times New Roman" w:cs="Times New Roman"/>
          <w:color w:val="000000" w:themeColor="text1"/>
          <w:kern w:val="2"/>
          <w:sz w:val="16"/>
          <w:szCs w:val="16"/>
        </w:rPr>
        <w:softHyphen/>
        <w:t>родком технической души русской авиации”. Научным руководителем со</w:t>
      </w:r>
      <w:r w:rsidRPr="002F2FDF">
        <w:rPr>
          <w:rFonts w:ascii="Times New Roman" w:hAnsi="Times New Roman" w:cs="Times New Roman"/>
          <w:color w:val="000000" w:themeColor="text1"/>
          <w:kern w:val="2"/>
          <w:sz w:val="16"/>
          <w:szCs w:val="16"/>
        </w:rPr>
        <w:softHyphen/>
        <w:t>здаваемого испытательного центра был назначен Александр Петрович Фан-дер-Флит,</w:t>
      </w:r>
    </w:p>
    <w:p w14:paraId="2E3CEF6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августа 1917 г. ВрИО начальника Управления ВВФ полковник Уль-янин и его помощник по технической части полковник Гончаров подписа</w:t>
      </w:r>
      <w:r w:rsidRPr="002F2FDF">
        <w:rPr>
          <w:rFonts w:ascii="Times New Roman" w:hAnsi="Times New Roman" w:cs="Times New Roman"/>
          <w:color w:val="000000" w:themeColor="text1"/>
          <w:kern w:val="2"/>
          <w:sz w:val="16"/>
          <w:szCs w:val="16"/>
        </w:rPr>
        <w:softHyphen/>
        <w:t>ли приказ, разрешающий строительство Главного аэродрома на куплен</w:t>
      </w:r>
      <w:r w:rsidRPr="002F2FDF">
        <w:rPr>
          <w:rFonts w:ascii="Times New Roman" w:hAnsi="Times New Roman" w:cs="Times New Roman"/>
          <w:color w:val="000000" w:themeColor="text1"/>
          <w:kern w:val="2"/>
          <w:sz w:val="16"/>
          <w:szCs w:val="16"/>
        </w:rPr>
        <w:softHyphen/>
        <w:t>ных землях, и распоряжение о выделении на его строительство и на его оборудование смету в объеме 12650000 рублей. Ровно за месяц до Ок</w:t>
      </w:r>
      <w:r w:rsidRPr="002F2FDF">
        <w:rPr>
          <w:rFonts w:ascii="Times New Roman" w:hAnsi="Times New Roman" w:cs="Times New Roman"/>
          <w:color w:val="000000" w:themeColor="text1"/>
          <w:kern w:val="2"/>
          <w:sz w:val="16"/>
          <w:szCs w:val="16"/>
        </w:rPr>
        <w:softHyphen/>
        <w:t>тябрьской революции, 25 сентября, под Херсоном развернулись актив</w:t>
      </w:r>
      <w:r w:rsidRPr="002F2FDF">
        <w:rPr>
          <w:rFonts w:ascii="Times New Roman" w:hAnsi="Times New Roman" w:cs="Times New Roman"/>
          <w:color w:val="000000" w:themeColor="text1"/>
          <w:kern w:val="2"/>
          <w:sz w:val="16"/>
          <w:szCs w:val="16"/>
        </w:rPr>
        <w:softHyphen/>
        <w:t>ные строительные работы. Правда, смету вскоре же сократили. Но шла война, и потому из военного фонда добавили 2000000 рублей, а Управле</w:t>
      </w:r>
      <w:r w:rsidRPr="002F2FDF">
        <w:rPr>
          <w:rFonts w:ascii="Times New Roman" w:hAnsi="Times New Roman" w:cs="Times New Roman"/>
          <w:color w:val="000000" w:themeColor="text1"/>
          <w:kern w:val="2"/>
          <w:sz w:val="16"/>
          <w:szCs w:val="16"/>
        </w:rPr>
        <w:softHyphen/>
        <w:t>ние ВВФ 6 ноября 1917 г. выделило еще 5590000 рублей. Ведь испыта</w:t>
      </w:r>
      <w:r w:rsidRPr="002F2FDF">
        <w:rPr>
          <w:rFonts w:ascii="Times New Roman" w:hAnsi="Times New Roman" w:cs="Times New Roman"/>
          <w:color w:val="000000" w:themeColor="text1"/>
          <w:kern w:val="2"/>
          <w:sz w:val="16"/>
          <w:szCs w:val="16"/>
        </w:rPr>
        <w:softHyphen/>
        <w:t>тельный центр должен работать и на фронт.</w:t>
      </w:r>
    </w:p>
    <w:p w14:paraId="72B9CBD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Строительные же работы в Херсоне некоторое время продолжались и после революции. Оттуда в адрес Увофлота, теперь уже советского, не</w:t>
      </w:r>
      <w:r w:rsidRPr="002F2FDF">
        <w:rPr>
          <w:rFonts w:ascii="Times New Roman" w:hAnsi="Times New Roman" w:cs="Times New Roman"/>
          <w:color w:val="000000" w:themeColor="text1"/>
          <w:kern w:val="2"/>
          <w:sz w:val="16"/>
          <w:szCs w:val="16"/>
        </w:rPr>
        <w:softHyphen/>
        <w:t>прерывно продолжали идти запросы на денежные ссуды. Обновленный состав Увофлота не упускал из своего поля зрения строящийся испытатель</w:t>
      </w:r>
      <w:r w:rsidRPr="002F2FDF">
        <w:rPr>
          <w:rFonts w:ascii="Times New Roman" w:hAnsi="Times New Roman" w:cs="Times New Roman"/>
          <w:color w:val="000000" w:themeColor="text1"/>
          <w:kern w:val="2"/>
          <w:sz w:val="16"/>
          <w:szCs w:val="16"/>
        </w:rPr>
        <w:softHyphen/>
        <w:t>ный центр, всячески намереваясь оказать ему помощь. Последний денеж</w:t>
      </w:r>
      <w:r w:rsidRPr="002F2FDF">
        <w:rPr>
          <w:rFonts w:ascii="Times New Roman" w:hAnsi="Times New Roman" w:cs="Times New Roman"/>
          <w:color w:val="000000" w:themeColor="text1"/>
          <w:kern w:val="2"/>
          <w:sz w:val="16"/>
          <w:szCs w:val="16"/>
        </w:rPr>
        <w:softHyphen/>
        <w:t>ный перевод от имени Увофлота был сделан 8 (21) декабря 1917 г., но... эти деньги до Херсона не дошли. Спустя 9 месяцев, 11 сентября 1918 г., в Уп</w:t>
      </w:r>
      <w:r w:rsidRPr="002F2FDF">
        <w:rPr>
          <w:rFonts w:ascii="Times New Roman" w:hAnsi="Times New Roman" w:cs="Times New Roman"/>
          <w:color w:val="000000" w:themeColor="text1"/>
          <w:kern w:val="2"/>
          <w:sz w:val="16"/>
          <w:szCs w:val="16"/>
        </w:rPr>
        <w:softHyphen/>
        <w:t>равление Воздухофлота пришла очередная телеграмма [39]: “Прошу пе</w:t>
      </w:r>
      <w:r w:rsidRPr="002F2FDF">
        <w:rPr>
          <w:rFonts w:ascii="Times New Roman" w:hAnsi="Times New Roman" w:cs="Times New Roman"/>
          <w:color w:val="000000" w:themeColor="text1"/>
          <w:kern w:val="2"/>
          <w:sz w:val="16"/>
          <w:szCs w:val="16"/>
        </w:rPr>
        <w:softHyphen/>
        <w:t>ревода денег в Херсон авиакомпании. Декабрьская ассигновка задержа</w:t>
      </w:r>
      <w:r w:rsidRPr="002F2FDF">
        <w:rPr>
          <w:rFonts w:ascii="Times New Roman" w:hAnsi="Times New Roman" w:cs="Times New Roman"/>
          <w:color w:val="000000" w:themeColor="text1"/>
          <w:kern w:val="2"/>
          <w:sz w:val="16"/>
          <w:szCs w:val="16"/>
        </w:rPr>
        <w:softHyphen/>
        <w:t>на войной с Украиной. Перевод повторите. Без денег пропадет часть ма</w:t>
      </w:r>
      <w:r w:rsidRPr="002F2FDF">
        <w:rPr>
          <w:rFonts w:ascii="Times New Roman" w:hAnsi="Times New Roman" w:cs="Times New Roman"/>
          <w:color w:val="000000" w:themeColor="text1"/>
          <w:kern w:val="2"/>
          <w:sz w:val="16"/>
          <w:szCs w:val="16"/>
        </w:rPr>
        <w:softHyphen/>
        <w:t>териалов. Тлг. № 327. Фан-дер-Флит”.</w:t>
      </w:r>
    </w:p>
    <w:p w14:paraId="5CCCD2A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следующий день после подачи телеграммы №327 Фан-дер-Флит повторил запрос: “Петроград. Авиасовету. Прошу содействовать перево</w:t>
      </w:r>
      <w:r w:rsidRPr="002F2FDF">
        <w:rPr>
          <w:rFonts w:ascii="Times New Roman" w:hAnsi="Times New Roman" w:cs="Times New Roman"/>
          <w:color w:val="000000" w:themeColor="text1"/>
          <w:kern w:val="2"/>
          <w:sz w:val="16"/>
          <w:szCs w:val="16"/>
        </w:rPr>
        <w:softHyphen/>
        <w:t>ду Увофлотом отпущенного кредита авиационных заводов на сумму 3300000 руб. Деньги крайне нужны. Тлг. № 328. Фан-дер-Флит” [39].</w:t>
      </w:r>
    </w:p>
    <w:p w14:paraId="38B99C9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этом переписка оборвалась - к Херсону подступила война. Вре</w:t>
      </w:r>
      <w:r w:rsidRPr="002F2FDF">
        <w:rPr>
          <w:rFonts w:ascii="Times New Roman" w:hAnsi="Times New Roman" w:cs="Times New Roman"/>
          <w:color w:val="000000" w:themeColor="text1"/>
          <w:kern w:val="2"/>
          <w:sz w:val="16"/>
          <w:szCs w:val="16"/>
        </w:rPr>
        <w:softHyphen/>
        <w:t>менными хозяевами этих краев стали петлюровцы, австро-германские и турецкие интервенты, а позже и французские. Значительная часть специ</w:t>
      </w:r>
      <w:r w:rsidRPr="002F2FDF">
        <w:rPr>
          <w:rFonts w:ascii="Times New Roman" w:hAnsi="Times New Roman" w:cs="Times New Roman"/>
          <w:color w:val="000000" w:themeColor="text1"/>
          <w:kern w:val="2"/>
          <w:sz w:val="16"/>
          <w:szCs w:val="16"/>
        </w:rPr>
        <w:softHyphen/>
        <w:t>алистов Главного Авиационного центра осталась на юге и попала с вол</w:t>
      </w:r>
      <w:r w:rsidRPr="002F2FDF">
        <w:rPr>
          <w:rFonts w:ascii="Times New Roman" w:hAnsi="Times New Roman" w:cs="Times New Roman"/>
          <w:color w:val="000000" w:themeColor="text1"/>
          <w:kern w:val="2"/>
          <w:sz w:val="16"/>
          <w:szCs w:val="16"/>
        </w:rPr>
        <w:softHyphen/>
        <w:t>ной эмиграции в зарубежные страны. Последние самолёты из Херсона выводили летчики А.Е. Раевский и Н.А. Жемчужин.</w:t>
      </w:r>
    </w:p>
    <w:p w14:paraId="43B943D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Главного аэродрома А.Н. Вегенер 23 февраля 1918 г. всту</w:t>
      </w:r>
      <w:r w:rsidRPr="002F2FDF">
        <w:rPr>
          <w:rFonts w:ascii="Times New Roman" w:hAnsi="Times New Roman" w:cs="Times New Roman"/>
          <w:color w:val="000000" w:themeColor="text1"/>
          <w:kern w:val="2"/>
          <w:sz w:val="16"/>
          <w:szCs w:val="16"/>
        </w:rPr>
        <w:softHyphen/>
        <w:t>пил в Красную Армию и, начиная с 1918 г., добивался возобновления ра</w:t>
      </w:r>
      <w:r w:rsidRPr="002F2FDF">
        <w:rPr>
          <w:rFonts w:ascii="Times New Roman" w:hAnsi="Times New Roman" w:cs="Times New Roman"/>
          <w:color w:val="000000" w:themeColor="text1"/>
          <w:kern w:val="2"/>
          <w:sz w:val="16"/>
          <w:szCs w:val="16"/>
        </w:rPr>
        <w:softHyphen/>
        <w:t>боты Главного аэродрома. В 1918 году создается Совет Главного аэродро</w:t>
      </w:r>
      <w:r w:rsidRPr="002F2FDF">
        <w:rPr>
          <w:rFonts w:ascii="Times New Roman" w:hAnsi="Times New Roman" w:cs="Times New Roman"/>
          <w:color w:val="000000" w:themeColor="text1"/>
          <w:kern w:val="2"/>
          <w:sz w:val="16"/>
          <w:szCs w:val="16"/>
        </w:rPr>
        <w:softHyphen/>
        <w:t>ма, он назначается председателем Совета (11425).</w:t>
      </w:r>
    </w:p>
    <w:p w14:paraId="356C7A0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92401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 1917 Начало работы первого в России завода авиационных измери</w:t>
      </w:r>
      <w:r w:rsidRPr="002F2FDF">
        <w:rPr>
          <w:rFonts w:ascii="Times New Roman" w:hAnsi="Times New Roman" w:cs="Times New Roman"/>
          <w:color w:val="000000" w:themeColor="text1"/>
          <w:kern w:val="2"/>
          <w:sz w:val="16"/>
          <w:szCs w:val="16"/>
        </w:rPr>
        <w:softHyphen/>
        <w:t>тельных приборов “Авиаприбор” (1137).</w:t>
      </w:r>
    </w:p>
    <w:p w14:paraId="0EB1EBF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B5C6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 1917 начал работать первый в России завод авиационных измерительных приборов "Авиаприбор" (237,130).</w:t>
      </w:r>
    </w:p>
    <w:p w14:paraId="0A8F2A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5A6BB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4E30B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2D79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 1917:</w:t>
      </w:r>
    </w:p>
    <w:p w14:paraId="7CA39E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Рост цен на стоимость рабочих рук, топлива и главнейших материалов отражает сравнительная таблица:</w:t>
      </w:r>
    </w:p>
    <w:p w14:paraId="2C055F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1. Стоимость рабочих рук за один день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0" w:type="dxa"/>
          <w:right w:w="300" w:type="dxa"/>
        </w:tblCellMar>
        <w:tblLook w:val="0000" w:firstRow="0" w:lastRow="0" w:firstColumn="0" w:lastColumn="0" w:noHBand="0" w:noVBand="0"/>
      </w:tblPr>
      <w:tblGrid>
        <w:gridCol w:w="2527"/>
        <w:gridCol w:w="1159"/>
        <w:gridCol w:w="992"/>
        <w:gridCol w:w="1134"/>
        <w:gridCol w:w="2021"/>
      </w:tblGrid>
      <w:tr w:rsidR="002B1C74" w:rsidRPr="002F2FDF" w14:paraId="03813523" w14:textId="77777777" w:rsidTr="000616EE">
        <w:tc>
          <w:tcPr>
            <w:tcW w:w="2527" w:type="dxa"/>
            <w:tcBorders>
              <w:top w:val="single" w:sz="12" w:space="0" w:color="auto"/>
            </w:tcBorders>
          </w:tcPr>
          <w:p w14:paraId="652351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Наименование специальностей</w:t>
            </w:r>
          </w:p>
        </w:tc>
        <w:tc>
          <w:tcPr>
            <w:tcW w:w="1159" w:type="dxa"/>
            <w:tcBorders>
              <w:top w:val="single" w:sz="12" w:space="0" w:color="auto"/>
            </w:tcBorders>
          </w:tcPr>
          <w:p w14:paraId="170000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 1916 г.</w:t>
            </w:r>
          </w:p>
        </w:tc>
        <w:tc>
          <w:tcPr>
            <w:tcW w:w="992" w:type="dxa"/>
            <w:tcBorders>
              <w:top w:val="single" w:sz="12" w:space="0" w:color="auto"/>
            </w:tcBorders>
          </w:tcPr>
          <w:p w14:paraId="761C6A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 1917 г.</w:t>
            </w:r>
          </w:p>
        </w:tc>
        <w:tc>
          <w:tcPr>
            <w:tcW w:w="1134" w:type="dxa"/>
            <w:tcBorders>
              <w:top w:val="single" w:sz="12" w:space="0" w:color="auto"/>
            </w:tcBorders>
          </w:tcPr>
          <w:p w14:paraId="3B40C0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Начало 1918 г.</w:t>
            </w:r>
          </w:p>
        </w:tc>
        <w:tc>
          <w:tcPr>
            <w:tcW w:w="2021" w:type="dxa"/>
            <w:tcBorders>
              <w:top w:val="single" w:sz="12" w:space="0" w:color="auto"/>
            </w:tcBorders>
          </w:tcPr>
          <w:p w14:paraId="3E23EE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Увеличение в % по сравнению с 1916 г.</w:t>
            </w:r>
          </w:p>
        </w:tc>
      </w:tr>
      <w:tr w:rsidR="002B1C74" w:rsidRPr="002F2FDF" w14:paraId="7720B7D6" w14:textId="77777777" w:rsidTr="000616EE">
        <w:tc>
          <w:tcPr>
            <w:tcW w:w="2527" w:type="dxa"/>
          </w:tcPr>
          <w:p w14:paraId="0EE03F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Токарь: максим. - миним.</w:t>
            </w:r>
          </w:p>
        </w:tc>
        <w:tc>
          <w:tcPr>
            <w:tcW w:w="1159" w:type="dxa"/>
          </w:tcPr>
          <w:p w14:paraId="4BF5DB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4р.75 - 1р.30</w:t>
            </w:r>
          </w:p>
        </w:tc>
        <w:tc>
          <w:tcPr>
            <w:tcW w:w="992" w:type="dxa"/>
          </w:tcPr>
          <w:p w14:paraId="31DF95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7р.50 - 2р.75</w:t>
            </w:r>
          </w:p>
        </w:tc>
        <w:tc>
          <w:tcPr>
            <w:tcW w:w="1134" w:type="dxa"/>
          </w:tcPr>
          <w:p w14:paraId="696B85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18р.70 - 12р.65</w:t>
            </w:r>
          </w:p>
        </w:tc>
        <w:tc>
          <w:tcPr>
            <w:tcW w:w="2021" w:type="dxa"/>
          </w:tcPr>
          <w:p w14:paraId="5CE277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393,68% - 973,1%</w:t>
            </w:r>
          </w:p>
        </w:tc>
      </w:tr>
      <w:tr w:rsidR="002B1C74" w:rsidRPr="002F2FDF" w14:paraId="22DDBE57" w14:textId="77777777" w:rsidTr="000616EE">
        <w:tc>
          <w:tcPr>
            <w:tcW w:w="2527" w:type="dxa"/>
          </w:tcPr>
          <w:p w14:paraId="3D3971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Слесарь: максим. - миним.</w:t>
            </w:r>
          </w:p>
        </w:tc>
        <w:tc>
          <w:tcPr>
            <w:tcW w:w="1159" w:type="dxa"/>
          </w:tcPr>
          <w:p w14:paraId="5FCAA0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5р.60 - 2р.10</w:t>
            </w:r>
          </w:p>
        </w:tc>
        <w:tc>
          <w:tcPr>
            <w:tcW w:w="992" w:type="dxa"/>
          </w:tcPr>
          <w:p w14:paraId="7B8530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8р.90 - 2 р.65</w:t>
            </w:r>
          </w:p>
        </w:tc>
        <w:tc>
          <w:tcPr>
            <w:tcW w:w="1134" w:type="dxa"/>
          </w:tcPr>
          <w:p w14:paraId="3FA46C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18р.70 - 12р.65</w:t>
            </w:r>
          </w:p>
        </w:tc>
        <w:tc>
          <w:tcPr>
            <w:tcW w:w="2021" w:type="dxa"/>
          </w:tcPr>
          <w:p w14:paraId="21DFD4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333,93% - 602,38%</w:t>
            </w:r>
          </w:p>
        </w:tc>
      </w:tr>
      <w:tr w:rsidR="002B1C74" w:rsidRPr="002F2FDF" w14:paraId="58EF6EC5" w14:textId="77777777" w:rsidTr="000616EE">
        <w:tc>
          <w:tcPr>
            <w:tcW w:w="2527" w:type="dxa"/>
          </w:tcPr>
          <w:p w14:paraId="2FDBE0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Кузнец: максим. - миним.</w:t>
            </w:r>
          </w:p>
        </w:tc>
        <w:tc>
          <w:tcPr>
            <w:tcW w:w="1159" w:type="dxa"/>
          </w:tcPr>
          <w:p w14:paraId="213E9B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5р.50 - 3р.30</w:t>
            </w:r>
          </w:p>
        </w:tc>
        <w:tc>
          <w:tcPr>
            <w:tcW w:w="992" w:type="dxa"/>
          </w:tcPr>
          <w:p w14:paraId="79E45E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8р.90 - 3р.50</w:t>
            </w:r>
          </w:p>
        </w:tc>
        <w:tc>
          <w:tcPr>
            <w:tcW w:w="1134" w:type="dxa"/>
          </w:tcPr>
          <w:p w14:paraId="490A42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18р.70 - 12р.65</w:t>
            </w:r>
          </w:p>
        </w:tc>
        <w:tc>
          <w:tcPr>
            <w:tcW w:w="2021" w:type="dxa"/>
          </w:tcPr>
          <w:p w14:paraId="29A5CE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340% - 383,33%</w:t>
            </w:r>
          </w:p>
        </w:tc>
      </w:tr>
      <w:tr w:rsidR="002B1C74" w:rsidRPr="002F2FDF" w14:paraId="21AE32A6" w14:textId="77777777" w:rsidTr="000616EE">
        <w:tc>
          <w:tcPr>
            <w:tcW w:w="2527" w:type="dxa"/>
          </w:tcPr>
          <w:p w14:paraId="747961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Чернораб.: максим. - миним.</w:t>
            </w:r>
          </w:p>
        </w:tc>
        <w:tc>
          <w:tcPr>
            <w:tcW w:w="1159" w:type="dxa"/>
          </w:tcPr>
          <w:p w14:paraId="6FAB72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1р.45 - 1р.</w:t>
            </w:r>
          </w:p>
        </w:tc>
        <w:tc>
          <w:tcPr>
            <w:tcW w:w="992" w:type="dxa"/>
          </w:tcPr>
          <w:p w14:paraId="1F670D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0.65 - 1р.</w:t>
            </w:r>
          </w:p>
        </w:tc>
        <w:tc>
          <w:tcPr>
            <w:tcW w:w="1134" w:type="dxa"/>
          </w:tcPr>
          <w:p w14:paraId="4F7928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11р.00 - 6р. 60</w:t>
            </w:r>
          </w:p>
        </w:tc>
        <w:tc>
          <w:tcPr>
            <w:tcW w:w="2021" w:type="dxa"/>
          </w:tcPr>
          <w:p w14:paraId="760E67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758,62% - 660%</w:t>
            </w:r>
          </w:p>
        </w:tc>
      </w:tr>
      <w:tr w:rsidR="002B1C74" w:rsidRPr="002F2FDF" w14:paraId="2BC3C6C1" w14:textId="77777777" w:rsidTr="000616EE">
        <w:tc>
          <w:tcPr>
            <w:tcW w:w="2527" w:type="dxa"/>
          </w:tcPr>
          <w:p w14:paraId="32D9C9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Служащие конторы</w:t>
            </w:r>
          </w:p>
        </w:tc>
        <w:tc>
          <w:tcPr>
            <w:tcW w:w="1159" w:type="dxa"/>
          </w:tcPr>
          <w:p w14:paraId="680D1F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2" w:type="dxa"/>
          </w:tcPr>
          <w:p w14:paraId="5A7AEA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34" w:type="dxa"/>
          </w:tcPr>
          <w:p w14:paraId="38726F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21" w:type="dxa"/>
          </w:tcPr>
          <w:p w14:paraId="193545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6886041D" w14:textId="77777777" w:rsidTr="000616EE">
        <w:tc>
          <w:tcPr>
            <w:tcW w:w="2527" w:type="dxa"/>
            <w:tcBorders>
              <w:bottom w:val="single" w:sz="12" w:space="0" w:color="auto"/>
            </w:tcBorders>
          </w:tcPr>
          <w:p w14:paraId="10ACA8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Общая сумма</w:t>
            </w:r>
          </w:p>
        </w:tc>
        <w:tc>
          <w:tcPr>
            <w:tcW w:w="1159" w:type="dxa"/>
            <w:tcBorders>
              <w:bottom w:val="single" w:sz="12" w:space="0" w:color="auto"/>
            </w:tcBorders>
          </w:tcPr>
          <w:p w14:paraId="4ACB7C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16949 р.86 к.</w:t>
            </w:r>
          </w:p>
        </w:tc>
        <w:tc>
          <w:tcPr>
            <w:tcW w:w="992" w:type="dxa"/>
            <w:tcBorders>
              <w:bottom w:val="single" w:sz="12" w:space="0" w:color="auto"/>
            </w:tcBorders>
          </w:tcPr>
          <w:p w14:paraId="7B861C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32875 р.</w:t>
            </w:r>
          </w:p>
        </w:tc>
        <w:tc>
          <w:tcPr>
            <w:tcW w:w="1134" w:type="dxa"/>
            <w:tcBorders>
              <w:bottom w:val="single" w:sz="12" w:space="0" w:color="auto"/>
            </w:tcBorders>
          </w:tcPr>
          <w:p w14:paraId="62EFC0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38701 р.</w:t>
            </w:r>
          </w:p>
        </w:tc>
        <w:tc>
          <w:tcPr>
            <w:tcW w:w="2021" w:type="dxa"/>
            <w:tcBorders>
              <w:bottom w:val="single" w:sz="12" w:space="0" w:color="auto"/>
            </w:tcBorders>
          </w:tcPr>
          <w:p w14:paraId="22BA84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228,33 %</w:t>
            </w:r>
          </w:p>
        </w:tc>
      </w:tr>
    </w:tbl>
    <w:p w14:paraId="7858C3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2. Стоимость топлива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0" w:type="dxa"/>
          <w:right w:w="300" w:type="dxa"/>
        </w:tblCellMar>
        <w:tblLook w:val="0000" w:firstRow="0" w:lastRow="0" w:firstColumn="0" w:lastColumn="0" w:noHBand="0" w:noVBand="0"/>
      </w:tblPr>
      <w:tblGrid>
        <w:gridCol w:w="2527"/>
        <w:gridCol w:w="1011"/>
        <w:gridCol w:w="1011"/>
        <w:gridCol w:w="620"/>
        <w:gridCol w:w="3274"/>
      </w:tblGrid>
      <w:tr w:rsidR="002B1C74" w:rsidRPr="002F2FDF" w14:paraId="1945AA8F" w14:textId="77777777" w:rsidTr="000616EE">
        <w:tc>
          <w:tcPr>
            <w:tcW w:w="2527" w:type="dxa"/>
            <w:tcBorders>
              <w:top w:val="single" w:sz="12" w:space="0" w:color="auto"/>
            </w:tcBorders>
          </w:tcPr>
          <w:p w14:paraId="005490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Род топлива</w:t>
            </w:r>
          </w:p>
        </w:tc>
        <w:tc>
          <w:tcPr>
            <w:tcW w:w="1011" w:type="dxa"/>
            <w:gridSpan w:val="4"/>
            <w:tcBorders>
              <w:top w:val="single" w:sz="12" w:space="0" w:color="auto"/>
            </w:tcBorders>
          </w:tcPr>
          <w:p w14:paraId="47295F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Cтоимость одного пуда</w:t>
            </w:r>
          </w:p>
        </w:tc>
      </w:tr>
      <w:tr w:rsidR="002B1C74" w:rsidRPr="002F2FDF" w14:paraId="4FDC4112" w14:textId="77777777" w:rsidTr="000616EE">
        <w:tc>
          <w:tcPr>
            <w:tcW w:w="2527" w:type="dxa"/>
          </w:tcPr>
          <w:p w14:paraId="20ACEB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11" w:type="dxa"/>
          </w:tcPr>
          <w:p w14:paraId="24CE50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 1916 г.</w:t>
            </w:r>
          </w:p>
        </w:tc>
        <w:tc>
          <w:tcPr>
            <w:tcW w:w="1011" w:type="dxa"/>
          </w:tcPr>
          <w:p w14:paraId="19F56E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 1917 г.</w:t>
            </w:r>
          </w:p>
        </w:tc>
        <w:tc>
          <w:tcPr>
            <w:tcW w:w="600" w:type="dxa"/>
          </w:tcPr>
          <w:p w14:paraId="77AB0A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Начало 1918 г.</w:t>
            </w:r>
          </w:p>
        </w:tc>
        <w:tc>
          <w:tcPr>
            <w:tcW w:w="3274" w:type="dxa"/>
          </w:tcPr>
          <w:p w14:paraId="77B402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Увеличение в % по сравнению с 1916 г.</w:t>
            </w:r>
          </w:p>
        </w:tc>
      </w:tr>
      <w:tr w:rsidR="002B1C74" w:rsidRPr="002F2FDF" w14:paraId="062527CD" w14:textId="77777777" w:rsidTr="000616EE">
        <w:tc>
          <w:tcPr>
            <w:tcW w:w="2527" w:type="dxa"/>
          </w:tcPr>
          <w:p w14:paraId="4FB93E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Каменный уголь</w:t>
            </w:r>
          </w:p>
        </w:tc>
        <w:tc>
          <w:tcPr>
            <w:tcW w:w="1011" w:type="dxa"/>
          </w:tcPr>
          <w:p w14:paraId="10945B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0,29</w:t>
            </w:r>
          </w:p>
        </w:tc>
        <w:tc>
          <w:tcPr>
            <w:tcW w:w="1011" w:type="dxa"/>
          </w:tcPr>
          <w:p w14:paraId="2698A4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0,63</w:t>
            </w:r>
          </w:p>
        </w:tc>
        <w:tc>
          <w:tcPr>
            <w:tcW w:w="600" w:type="dxa"/>
          </w:tcPr>
          <w:p w14:paraId="48F0EA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0,98</w:t>
            </w:r>
          </w:p>
        </w:tc>
        <w:tc>
          <w:tcPr>
            <w:tcW w:w="3274" w:type="dxa"/>
          </w:tcPr>
          <w:p w14:paraId="5D6EFE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337,93 %</w:t>
            </w:r>
          </w:p>
        </w:tc>
      </w:tr>
      <w:tr w:rsidR="002B1C74" w:rsidRPr="002F2FDF" w14:paraId="74C7BF91" w14:textId="77777777" w:rsidTr="000616EE">
        <w:tc>
          <w:tcPr>
            <w:tcW w:w="2527" w:type="dxa"/>
          </w:tcPr>
          <w:p w14:paraId="5A748D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Антрацит</w:t>
            </w:r>
          </w:p>
        </w:tc>
        <w:tc>
          <w:tcPr>
            <w:tcW w:w="1011" w:type="dxa"/>
          </w:tcPr>
          <w:p w14:paraId="446B49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0,36</w:t>
            </w:r>
          </w:p>
        </w:tc>
        <w:tc>
          <w:tcPr>
            <w:tcW w:w="1011" w:type="dxa"/>
          </w:tcPr>
          <w:p w14:paraId="63022E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0,87</w:t>
            </w:r>
          </w:p>
        </w:tc>
        <w:tc>
          <w:tcPr>
            <w:tcW w:w="600" w:type="dxa"/>
          </w:tcPr>
          <w:p w14:paraId="65B42D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1,11</w:t>
            </w:r>
          </w:p>
        </w:tc>
        <w:tc>
          <w:tcPr>
            <w:tcW w:w="3274" w:type="dxa"/>
          </w:tcPr>
          <w:p w14:paraId="4C36FE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308,33 %</w:t>
            </w:r>
          </w:p>
        </w:tc>
      </w:tr>
      <w:tr w:rsidR="002B1C74" w:rsidRPr="002F2FDF" w14:paraId="425DF1A6" w14:textId="77777777" w:rsidTr="000616EE">
        <w:tc>
          <w:tcPr>
            <w:tcW w:w="2527" w:type="dxa"/>
          </w:tcPr>
          <w:p w14:paraId="2E0D22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Кокс</w:t>
            </w:r>
          </w:p>
        </w:tc>
        <w:tc>
          <w:tcPr>
            <w:tcW w:w="1011" w:type="dxa"/>
          </w:tcPr>
          <w:p w14:paraId="48FDC9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0,50</w:t>
            </w:r>
          </w:p>
        </w:tc>
        <w:tc>
          <w:tcPr>
            <w:tcW w:w="1011" w:type="dxa"/>
          </w:tcPr>
          <w:p w14:paraId="4B394C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0,92</w:t>
            </w:r>
          </w:p>
        </w:tc>
        <w:tc>
          <w:tcPr>
            <w:tcW w:w="600" w:type="dxa"/>
          </w:tcPr>
          <w:p w14:paraId="702CB0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1,37</w:t>
            </w:r>
          </w:p>
        </w:tc>
        <w:tc>
          <w:tcPr>
            <w:tcW w:w="3274" w:type="dxa"/>
          </w:tcPr>
          <w:p w14:paraId="7D7310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274 %</w:t>
            </w:r>
          </w:p>
        </w:tc>
      </w:tr>
      <w:tr w:rsidR="002B1C74" w:rsidRPr="002F2FDF" w14:paraId="120E5B09" w14:textId="77777777" w:rsidTr="000616EE">
        <w:tc>
          <w:tcPr>
            <w:tcW w:w="2527" w:type="dxa"/>
            <w:tcBorders>
              <w:bottom w:val="single" w:sz="12" w:space="0" w:color="auto"/>
            </w:tcBorders>
          </w:tcPr>
          <w:p w14:paraId="290C50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Мазут</w:t>
            </w:r>
          </w:p>
        </w:tc>
        <w:tc>
          <w:tcPr>
            <w:tcW w:w="1011" w:type="dxa"/>
            <w:tcBorders>
              <w:bottom w:val="single" w:sz="12" w:space="0" w:color="auto"/>
            </w:tcBorders>
          </w:tcPr>
          <w:p w14:paraId="586B18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0,85</w:t>
            </w:r>
          </w:p>
        </w:tc>
        <w:tc>
          <w:tcPr>
            <w:tcW w:w="1011" w:type="dxa"/>
            <w:tcBorders>
              <w:bottom w:val="single" w:sz="12" w:space="0" w:color="auto"/>
            </w:tcBorders>
          </w:tcPr>
          <w:p w14:paraId="1F9B5C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w:t>
            </w:r>
          </w:p>
        </w:tc>
        <w:tc>
          <w:tcPr>
            <w:tcW w:w="600" w:type="dxa"/>
            <w:tcBorders>
              <w:bottom w:val="single" w:sz="12" w:space="0" w:color="auto"/>
            </w:tcBorders>
          </w:tcPr>
          <w:p w14:paraId="26441F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w:t>
            </w:r>
          </w:p>
        </w:tc>
        <w:tc>
          <w:tcPr>
            <w:tcW w:w="3274" w:type="dxa"/>
            <w:tcBorders>
              <w:bottom w:val="single" w:sz="12" w:space="0" w:color="auto"/>
            </w:tcBorders>
          </w:tcPr>
          <w:p w14:paraId="1E7F3B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282,35 %</w:t>
            </w:r>
          </w:p>
        </w:tc>
      </w:tr>
    </w:tbl>
    <w:p w14:paraId="4BC71D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Сразу после свержения самодержавия в Кременчуге был создан Совет рабочих депутатов. Одновременно, из числа избранных от солдат, был сформирован Совет солдатских депутатов. 17 марта 1917 г. они объединились в Кременчугский совет рабочих депутатов (12039).</w:t>
      </w:r>
    </w:p>
    <w:p w14:paraId="30BF7D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3372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 1917 Воздушная дивизия Балтийского моря обладала 10 короткоствольными 37-мм авиапушками Обуховского завода для М-9. Примерно такое же количество было и на ЧМ. Не было боеприпасов и пушка осталась экспериментальной (2809,27).</w:t>
      </w:r>
    </w:p>
    <w:p w14:paraId="79B9E2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3E50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 1917 после рассмотрения в Военной автомобильной Школе проект 8-дюймовой самоходной гаубицы подпорутчика Дриженко поступил в ГАУ, но получил отрицательное заключение из-за отсутствия в нем необходимости (7437, 2).</w:t>
      </w:r>
    </w:p>
    <w:p w14:paraId="50ACA8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D651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 1917 вблизи Дмитрова был собран танк Н.Н.Лебеденко, а предварительная сборка велась в манеже у Хамовнических казарм. Испытали в августе 1917 под Дмитровом и разобрали в 1923 (9527,163).</w:t>
      </w:r>
    </w:p>
    <w:p w14:paraId="5AF78B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A1D9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 1917 г. на Симбирском патронном заводе, созданном в марте 1916 и строящимся с июля 1916, была выпущена первая продукция. В 1918 г. на завод эвакуировано оборудование и кадры Петроградского патронного завода, но эшелоны застряли в пути, и были перенаправлены в Подольск. В 1921 г. сюда переведено оборудование и кадры закрытого Новоуральского патронного завода из Златоуста. Во время Гражданской войны завод был оккупирован.</w:t>
      </w:r>
      <w:r w:rsidRPr="002F2FDF">
        <w:rPr>
          <w:rFonts w:ascii="Times New Roman" w:hAnsi="Times New Roman" w:cs="Times New Roman"/>
          <w:color w:val="000000" w:themeColor="text1"/>
          <w:kern w:val="2"/>
          <w:sz w:val="16"/>
          <w:szCs w:val="16"/>
          <w:vertAlign w:val="superscript"/>
        </w:rPr>
        <w:t>15</w:t>
      </w:r>
    </w:p>
    <w:p w14:paraId="0D1602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11.1922 г. заводу присвоено имя М.М. Володарского. В 1924 г. передан в ведение ГУВП ВСНХ, с 15.12.1926 г. - в ведении Патрубтреста ВПУ ВСНХ (и на 07.1927 г.). В соответствии с пост. СНК от 27.04.1926 г. по пр. ВСНХ/НКВМ/ОГПУ № 73сс от 9.07.1927 г. Завод им. тов. Володарского с 1.10.1927 г. получил наименование завод № 3 им. тов. Володарского. В 1930-е г. - в ведении Патрубвзрыва, а затем - Патронно-гильзового треста НКТП. С 12.1936 г. передан в НКОП, приказом № 91 от 13.03.1937 г. утвержден Устав ГС завода № 3. По пр. № 0089 от 20.04.1937 г. передан из 4ГУ в новое 12ГУ. В 02.1939 г. завод № 3 12ГУ передан в ведение 12ГУ НКВ, в 06.1940 г. - в ведении ЗГУ НКВ.</w:t>
      </w:r>
    </w:p>
    <w:p w14:paraId="207CB9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НКОП № 0025 от 4.02.1937 г. заводу предписано к 1.01.1938 г. создать мощности по выпуску патронов - 1550 млн. шт. в год. Приказом НКОП № 0079 от 15.04.1937 г. заводу предписано с 15.05.1937 г. начать производство патронных гильз из неплакированного железа. По пр. № 139с от 20.04.1938 г. требовалось довести мощность по 12,7-мм патронам до 4 млн. шт. в квартал.</w:t>
      </w:r>
    </w:p>
    <w:p w14:paraId="6BE892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 0224 от 28.09.1937 г. заводу была установлена программа по выпуску в 1938 г. станков: токарно- револьверного 132-Г - 50, для обточки броневого сердечника ООС - 163; а также 853 спецмашин, аппаратов и приборов.</w:t>
      </w:r>
    </w:p>
    <w:p w14:paraId="545C22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1938 г. планировалось перенести завод на правый берег Волги в связи со строительством Куйбышевского гидроузла и затоплением территории завода, был разработан проект переноса завода. Приказом № 391 от 21.11.1937 г. была назначена комиссия для выбора нового места, которая должна была к 15.12.1937 г. определить новую площадку. На правом берегу образована вторая площадка завода. Во исполнение постановления Экономсовета при СНК № 298-56сс от 8.05.1938 г. приказом № 191сс от 2.06.1938 г. требовалось разработать к 1.10.1938 г. техпроект переноса завода (ГПИ-4) со сроком строительства 1938-40 г. и монтажом оборудования - к 1.01.1941 г.; утверждена мощность завода на новом месте по выпуску патронов: 7,62-мм - 1,5 млрд. шт., 12,7-мм - 100 млн. шт. в год. Но проект реализован не был, завод остался на старом месте, лишь окружен дамбами.</w:t>
      </w:r>
    </w:p>
    <w:p w14:paraId="6DB27D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1937-44 г. работал </w:t>
      </w:r>
      <w:r w:rsidR="008127A2" w:rsidRPr="002F2FDF">
        <w:rPr>
          <w:rFonts w:ascii="Times New Roman" w:hAnsi="Times New Roman" w:cs="Times New Roman"/>
          <w:color w:val="000000" w:themeColor="text1"/>
          <w:kern w:val="2"/>
          <w:sz w:val="16"/>
          <w:szCs w:val="16"/>
        </w:rPr>
        <w:t>Л</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H</w:t>
      </w:r>
      <w:r w:rsidRPr="002F2FDF">
        <w:rPr>
          <w:rFonts w:ascii="Times New Roman" w:hAnsi="Times New Roman" w:cs="Times New Roman"/>
          <w:color w:val="000000" w:themeColor="text1"/>
          <w:kern w:val="2"/>
          <w:sz w:val="16"/>
          <w:szCs w:val="16"/>
        </w:rPr>
        <w:t>. Кошкин, инициатор создания автоматических роторных линий. В 1942 г. на заводе работал А.Д. Сахаров, создал прибор для контроля закалки сердечников.</w:t>
      </w:r>
    </w:p>
    <w:p w14:paraId="73889C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войны организовано новое направление- первое в стране производство автоматических роторных линий (АРЛ) по изготовлению патронов и других изделий. В 1950-е г. освоен выпуск ЭВМ. В 1970-е-80-е г. на базе производства ЭВМ освоен выпуск приборов систем управления ОТРК. В 1980-е г. в рамках конверсии освоено производство изделий для Агропрома, медицинской техники, сложной бытовой техники.</w:t>
      </w:r>
    </w:p>
    <w:p w14:paraId="5AE090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имел наименование «п/я 19».</w:t>
      </w:r>
    </w:p>
    <w:p w14:paraId="741D4B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1961 г. на УМЗ им. Володарского создан филиал ЦМНИИ для сопровождения серийного производства ЦВМ «Курс-1». Затем филиал преобразован в самостоятельный НИИ «Марс».</w:t>
      </w:r>
    </w:p>
    <w:p w14:paraId="22EBE0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решению правительства № 22-р от 9.01.2004 г. и Указу Президента РФ № 1009 от 4.08.2004 г. вошел в число стратегических оборонных предприятий. 4.05.2006 г. на предприятии введено конкурсное производство. В 2008- 09 г. ФГУП «ПО «УМЗ» являлось банкротом, имущество выставлено на торги.</w:t>
      </w:r>
    </w:p>
    <w:p w14:paraId="4E101C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составе завода (2008 г.) цехи: № 6 с малярным отделением (постройки 1968 г.), № 16 (1942 г.), № 17 (1989 г.) с филиалом (1918 г.), № 18 с кузницей (1964 г.), № 20 (1968 г.), № 31 (1928 г.), № 46 (1983 г.), № 60 (1955-80 г.); мастерские: столярная (1942 г.), инструментальная (1942 г.), слесарная (1975 г.).</w:t>
      </w:r>
    </w:p>
    <w:p w14:paraId="5B2E25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(-04-23.06.1937 г.)- А.В. Чайка (снят), (23.06.1937-40 г.)- А.С. Елян, (1940-44 г.)- Г.М. Бутузов, (1950- 60 г.)- В.П. Белянский, (1960-78 г.)- Н.С. Орлов, (1978-98 г.)- Ю.Ф. Полищук. Конкурсный управляющий ФГУП ПО УМЗ (-2008-09 г.-)- Е.В. Бликов.</w:t>
      </w:r>
    </w:p>
    <w:p w14:paraId="1466C2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директора (9.12.1937 г.-)- А.В. Домрачев. Помощник директора по найму и увольнению (-28.10.1937 г.)- А.С. Баранов.</w:t>
      </w:r>
    </w:p>
    <w:p w14:paraId="453C70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инженер (1938 г.)- Бутузов, (1942-43 г.)- А.Н. Малов.</w:t>
      </w:r>
    </w:p>
    <w:p w14:paraId="3AC47A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цехов: (1949 г.)- В.Н. Басклеев, (ВОВ)- В.М. Сабельников.</w:t>
      </w:r>
    </w:p>
    <w:p w14:paraId="1EA6FF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патроны: винтовочные (1917-2005-), 12,7-мм (1938); спортивно-охотничьи (2005); ЭВМ: БЭСМ-2 (1958-), БЭСМ-2М, «Курс-1» (1960-е), корабельная ЦВМ «Море» (1960-е); автомобильные свечи зажигания (2005); электрические тали, бесконтактные пускатели, токарно-винторезные станки, приводные и пильные цепи (2005);</w:t>
      </w:r>
      <w:r w:rsidRPr="002F2FDF">
        <w:rPr>
          <w:rFonts w:ascii="Times New Roman" w:hAnsi="Times New Roman" w:cs="Times New Roman"/>
          <w:color w:val="000000" w:themeColor="text1"/>
          <w:kern w:val="2"/>
          <w:sz w:val="16"/>
          <w:szCs w:val="16"/>
          <w:vertAlign w:val="superscript"/>
        </w:rPr>
        <w:t>101</w:t>
      </w:r>
      <w:r w:rsidRPr="002F2FDF">
        <w:rPr>
          <w:rFonts w:ascii="Times New Roman" w:hAnsi="Times New Roman" w:cs="Times New Roman"/>
          <w:color w:val="000000" w:themeColor="text1"/>
          <w:kern w:val="2"/>
          <w:sz w:val="16"/>
          <w:szCs w:val="16"/>
        </w:rPr>
        <w:t xml:space="preserve"> телевизор «Элекон».</w:t>
      </w:r>
    </w:p>
    <w:p w14:paraId="07B24D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ОАО «Ульяновский патронный завод»</w:t>
      </w:r>
    </w:p>
    <w:p w14:paraId="5E42B3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/432007 г. Ульяновск ул. Шоферов, 1 тел. (8422) 26-95-55/</w:t>
      </w:r>
    </w:p>
    <w:p w14:paraId="3FDBF6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(2007 г.): боевые (28 наименований) и спортивно-охотничьи (29 наименований) патроны. Разработана (2000-е) методика ремонта 12,7- мм и 14,5-мм патронов.</w:t>
      </w:r>
    </w:p>
    <w:p w14:paraId="749CCF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Гендиректор (2007 г.)- В. Потемкин.</w:t>
      </w:r>
    </w:p>
    <w:p w14:paraId="3EE235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Производство: патроны: боевые: автоматные, пулеметные калибра 5,45 мм, 7,62 мм, пистолетные 9х 19 мм, 12,7 мм снайперский, 14,5 мм с пулей мгновенного действия МДЗ-М; спортивные, охотничьи, служебные марки </w:t>
      </w:r>
      <w:r w:rsidRPr="002F2FDF">
        <w:rPr>
          <w:rFonts w:ascii="Times New Roman" w:hAnsi="Times New Roman" w:cs="Times New Roman"/>
          <w:color w:val="000000" w:themeColor="text1"/>
          <w:kern w:val="2"/>
          <w:sz w:val="16"/>
          <w:szCs w:val="16"/>
          <w:lang w:val="en-US"/>
        </w:rPr>
        <w:t>WOLF</w:t>
      </w:r>
      <w:r w:rsidRPr="002F2FDF">
        <w:rPr>
          <w:rFonts w:ascii="Times New Roman" w:hAnsi="Times New Roman" w:cs="Times New Roman"/>
          <w:color w:val="000000" w:themeColor="text1"/>
          <w:kern w:val="2"/>
          <w:sz w:val="16"/>
          <w:szCs w:val="16"/>
        </w:rPr>
        <w:t xml:space="preserve"> (2007) (11982).</w:t>
      </w:r>
    </w:p>
    <w:p w14:paraId="0724BD32" w14:textId="77777777" w:rsidR="000616EE" w:rsidRPr="002F2FDF" w:rsidRDefault="000616E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7AED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 1917 года транспортер - установка на основе французского железнодорожного 50-тонного транспортера - был испытан стрельбой на морском полигоне. В начале августа прошел испытания второй транспортер. Од­нако принять участие в боевых действиях первые русские 254-мм артиллерийские железнодорожные транспортеры не успели. Некоторое время спустя 254-мм станки “Ростислава”, установленные на них, были заменены на 203-мм (11454).</w:t>
      </w:r>
    </w:p>
    <w:p w14:paraId="31EE57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8E4A6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июльские 1917 дни положение на заводе РОБТиТ изменилось. Активи</w:t>
      </w:r>
      <w:r w:rsidRPr="002F2FDF">
        <w:rPr>
          <w:rFonts w:ascii="Times New Roman" w:hAnsi="Times New Roman" w:cs="Times New Roman"/>
          <w:color w:val="000000" w:themeColor="text1"/>
          <w:kern w:val="2"/>
          <w:sz w:val="16"/>
          <w:szCs w:val="16"/>
        </w:rPr>
        <w:softHyphen/>
        <w:t>зировались меньшевики. Рабочая дружина разоружалась. На об</w:t>
      </w:r>
      <w:r w:rsidRPr="002F2FDF">
        <w:rPr>
          <w:rFonts w:ascii="Times New Roman" w:hAnsi="Times New Roman" w:cs="Times New Roman"/>
          <w:color w:val="000000" w:themeColor="text1"/>
          <w:kern w:val="2"/>
          <w:sz w:val="16"/>
          <w:szCs w:val="16"/>
        </w:rPr>
        <w:softHyphen/>
        <w:t>щезаводских собраниях рабочие выступали против политики, про</w:t>
      </w:r>
      <w:r w:rsidRPr="002F2FDF">
        <w:rPr>
          <w:rFonts w:ascii="Times New Roman" w:hAnsi="Times New Roman" w:cs="Times New Roman"/>
          <w:color w:val="000000" w:themeColor="text1"/>
          <w:kern w:val="2"/>
          <w:sz w:val="16"/>
          <w:szCs w:val="16"/>
        </w:rPr>
        <w:softHyphen/>
        <w:t>водимой меньшевиками и эсерами. На одном из таких собраний вместо депутата эсера Харитонова от ячейки большевиков был избран рабочий И.Н. Псикин. Накануне решающих событий красногвардейцы день и ночь находились на заводе. Ими руко</w:t>
      </w:r>
      <w:r w:rsidRPr="002F2FDF">
        <w:rPr>
          <w:rFonts w:ascii="Times New Roman" w:hAnsi="Times New Roman" w:cs="Times New Roman"/>
          <w:color w:val="000000" w:themeColor="text1"/>
          <w:kern w:val="2"/>
          <w:sz w:val="16"/>
          <w:szCs w:val="16"/>
        </w:rPr>
        <w:softHyphen/>
        <w:t>водил красногвардеец рабочий завода М.М. Виноградов (11481).</w:t>
      </w:r>
    </w:p>
    <w:p w14:paraId="30C9A3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8A457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D97E2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DA88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за июль 1917 на ЮЗФ было зарегистрировано 2735 полетов неприятельских самолетов. В воздушных боях было сбито 4 русских аэроплана и сожжено в воздухе 9 привязных аэростатов. В 20-х числах июля русские войска закрепились на новых рубежах, и на Юго-Западном наступило затишье. К этому времени авиачасти фронта находились в плачевном состоянии. Тем не менее авиаторы продолжали выполнять свой долг и, увы, нести потери. Так, 19 августа летчик 2-го истребительного АО подпоручик Чудновский во время боя над деревней Паниковце в р-не Брод с двумя австрийскими самолетами столкнулся с одним из них. У неприятельского аппарата отлетели пропеллер и крыло, и он рухнул камнем, а машина Чудновского опускалась медленно и повисла на деревьях. Оба самолета упали за линией неприятельских окопов. Согласно данным австрийского военного архива, в этот день военный летчик фельдфебель Рудольф Лонстак из 14-й авиароты вылетел на истребителе "Альбатрос D.II" (№53.07) и "...столкнулся во время воздушного боя с неприятельским истребителем "Ньюпор". Оба пилота при падении погибли". 27 августа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18BBEA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A1FF3A" w14:textId="77777777" w:rsidR="00EC1B6F" w:rsidRPr="00FB4F67" w:rsidRDefault="00EC1B6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течение июля 1917 г. немцы сформировали не менее семи отрядов дальней фоторазведки (Reihenbildzuge Truppen) на различных участках Русского фронта, которые действовали до конца боевых действий в декабре (23525).</w:t>
      </w:r>
    </w:p>
    <w:p w14:paraId="20C9249F" w14:textId="77777777" w:rsidR="00EC1B6F" w:rsidRPr="00FB4F67" w:rsidRDefault="00EC1B6F" w:rsidP="0083075A">
      <w:pPr>
        <w:spacing w:after="0" w:line="240" w:lineRule="auto"/>
        <w:jc w:val="both"/>
        <w:rPr>
          <w:rFonts w:ascii="Times New Roman" w:hAnsi="Times New Roman" w:cs="Times New Roman"/>
          <w:color w:val="0070C0"/>
          <w:sz w:val="16"/>
          <w:szCs w:val="16"/>
        </w:rPr>
      </w:pPr>
    </w:p>
    <w:p w14:paraId="7C2829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 1917 было создано Управление Морской Авиации (УМА) (1085,79).</w:t>
      </w:r>
    </w:p>
    <w:p w14:paraId="2BC259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30B5A4" w14:textId="77777777" w:rsidR="00B56299" w:rsidRPr="002F2FDF" w:rsidRDefault="00B5629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июле 1917 при контрнаступлении австро-герман</w:t>
      </w:r>
      <w:r w:rsidRPr="002F2FDF">
        <w:rPr>
          <w:rFonts w:ascii="Times New Roman" w:hAnsi="Times New Roman" w:cs="Times New Roman"/>
          <w:color w:val="000000" w:themeColor="text1"/>
          <w:sz w:val="16"/>
          <w:szCs w:val="16"/>
        </w:rPr>
        <w:softHyphen/>
        <w:t>ских войск неприятельские лётчики сбили в воз</w:t>
      </w:r>
      <w:r w:rsidRPr="002F2FDF">
        <w:rPr>
          <w:rFonts w:ascii="Times New Roman" w:hAnsi="Times New Roman" w:cs="Times New Roman"/>
          <w:color w:val="000000" w:themeColor="text1"/>
          <w:sz w:val="16"/>
          <w:szCs w:val="16"/>
        </w:rPr>
        <w:softHyphen/>
        <w:t>душных боях четыре самолёта авиации Юго-За</w:t>
      </w:r>
      <w:r w:rsidRPr="002F2FDF">
        <w:rPr>
          <w:rFonts w:ascii="Times New Roman" w:hAnsi="Times New Roman" w:cs="Times New Roman"/>
          <w:color w:val="000000" w:themeColor="text1"/>
          <w:sz w:val="16"/>
          <w:szCs w:val="16"/>
        </w:rPr>
        <w:softHyphen/>
        <w:t>падного фронта и сожгли девять привязных аэростатов. Потери противника составили 30 само</w:t>
      </w:r>
      <w:r w:rsidRPr="002F2FDF">
        <w:rPr>
          <w:rFonts w:ascii="Times New Roman" w:hAnsi="Times New Roman" w:cs="Times New Roman"/>
          <w:color w:val="000000" w:themeColor="text1"/>
          <w:sz w:val="16"/>
          <w:szCs w:val="16"/>
        </w:rPr>
        <w:softHyphen/>
        <w:t>лётов, сбитых русской артиллерией и лётчиками (20120).</w:t>
      </w:r>
    </w:p>
    <w:p w14:paraId="5AB5128B" w14:textId="77777777" w:rsidR="00B56299" w:rsidRPr="002F2FDF" w:rsidRDefault="00B56299" w:rsidP="0083075A">
      <w:pPr>
        <w:spacing w:after="0" w:line="240" w:lineRule="auto"/>
        <w:jc w:val="both"/>
        <w:rPr>
          <w:rFonts w:ascii="Times New Roman" w:hAnsi="Times New Roman" w:cs="Times New Roman"/>
          <w:color w:val="000000" w:themeColor="text1"/>
          <w:sz w:val="16"/>
          <w:szCs w:val="16"/>
        </w:rPr>
      </w:pPr>
    </w:p>
    <w:p w14:paraId="59E236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 1917 г. на Морском полигоне под Петроградом испытан стрельбой первый железнодорожный артиллерийский транспортер с орудием калибра 254 мм, изготовленный на Металлическом заводе (11454).</w:t>
      </w:r>
    </w:p>
    <w:p w14:paraId="565990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199F6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304FA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1C0F8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 1917 г. успешно прошел ис</w:t>
      </w:r>
      <w:r w:rsidRPr="002F2FDF">
        <w:rPr>
          <w:rFonts w:ascii="Times New Roman" w:hAnsi="Times New Roman" w:cs="Times New Roman"/>
          <w:color w:val="000000" w:themeColor="text1"/>
          <w:kern w:val="2"/>
          <w:sz w:val="16"/>
          <w:szCs w:val="16"/>
        </w:rPr>
        <w:softHyphen/>
        <w:t>пытания и в ноябре этого же года на</w:t>
      </w:r>
      <w:r w:rsidRPr="002F2FDF">
        <w:rPr>
          <w:rFonts w:ascii="Times New Roman" w:hAnsi="Times New Roman" w:cs="Times New Roman"/>
          <w:color w:val="000000" w:themeColor="text1"/>
          <w:kern w:val="2"/>
          <w:sz w:val="16"/>
          <w:szCs w:val="16"/>
        </w:rPr>
        <w:softHyphen/>
        <w:t>чал поступать на вооружение авиаот</w:t>
      </w:r>
      <w:r w:rsidRPr="002F2FDF">
        <w:rPr>
          <w:rFonts w:ascii="Times New Roman" w:hAnsi="Times New Roman" w:cs="Times New Roman"/>
          <w:color w:val="000000" w:themeColor="text1"/>
          <w:kern w:val="2"/>
          <w:sz w:val="16"/>
          <w:szCs w:val="16"/>
        </w:rPr>
        <w:softHyphen/>
        <w:t>рядов западного фронта двухместный многоцелевик фирмы Hannover CL.2, a позже его модификации CL.3 и CL.3a. Максимальная скорость модифика</w:t>
      </w:r>
      <w:r w:rsidRPr="002F2FDF">
        <w:rPr>
          <w:rFonts w:ascii="Times New Roman" w:hAnsi="Times New Roman" w:cs="Times New Roman"/>
          <w:color w:val="000000" w:themeColor="text1"/>
          <w:kern w:val="2"/>
          <w:sz w:val="16"/>
          <w:szCs w:val="16"/>
        </w:rPr>
        <w:softHyphen/>
        <w:t>ции CL.3a при взлетном весе 1081 кг составляла 165 км/ч. Время набора вы</w:t>
      </w:r>
      <w:r w:rsidRPr="002F2FDF">
        <w:rPr>
          <w:rFonts w:ascii="Times New Roman" w:hAnsi="Times New Roman" w:cs="Times New Roman"/>
          <w:color w:val="000000" w:themeColor="text1"/>
          <w:kern w:val="2"/>
          <w:sz w:val="16"/>
          <w:szCs w:val="16"/>
        </w:rPr>
        <w:softHyphen/>
        <w:t>соты 1000 м - 5,3 минуты. Вооружение самолета состояло из одного синхрон</w:t>
      </w:r>
      <w:r w:rsidRPr="002F2FDF">
        <w:rPr>
          <w:rFonts w:ascii="Times New Roman" w:hAnsi="Times New Roman" w:cs="Times New Roman"/>
          <w:color w:val="000000" w:themeColor="text1"/>
          <w:kern w:val="2"/>
          <w:sz w:val="16"/>
          <w:szCs w:val="16"/>
        </w:rPr>
        <w:softHyphen/>
        <w:t>ного пулемета LMG 08/15 Spandau для стрельбы вперед и одного турельного Parabellum/mod.1912 для стрельбы на</w:t>
      </w:r>
      <w:r w:rsidRPr="002F2FDF">
        <w:rPr>
          <w:rFonts w:ascii="Times New Roman" w:hAnsi="Times New Roman" w:cs="Times New Roman"/>
          <w:color w:val="000000" w:themeColor="text1"/>
          <w:kern w:val="2"/>
          <w:sz w:val="16"/>
          <w:szCs w:val="16"/>
        </w:rPr>
        <w:softHyphen/>
        <w:t>зад. Самолет весьма успешно использо</w:t>
      </w:r>
      <w:r w:rsidRPr="002F2FDF">
        <w:rPr>
          <w:rFonts w:ascii="Times New Roman" w:hAnsi="Times New Roman" w:cs="Times New Roman"/>
          <w:color w:val="000000" w:themeColor="text1"/>
          <w:kern w:val="2"/>
          <w:sz w:val="16"/>
          <w:szCs w:val="16"/>
        </w:rPr>
        <w:softHyphen/>
        <w:t>вался на фронте в качестве скоростно</w:t>
      </w:r>
      <w:r w:rsidRPr="002F2FDF">
        <w:rPr>
          <w:rFonts w:ascii="Times New Roman" w:hAnsi="Times New Roman" w:cs="Times New Roman"/>
          <w:color w:val="000000" w:themeColor="text1"/>
          <w:kern w:val="2"/>
          <w:sz w:val="16"/>
          <w:szCs w:val="16"/>
        </w:rPr>
        <w:softHyphen/>
        <w:t>го разведчика, легкого штурмовика и истребителя сопровождения. Самолет обладал отличной маневренностью, легкостью управления и хорошо "дер</w:t>
      </w:r>
      <w:r w:rsidRPr="002F2FDF">
        <w:rPr>
          <w:rFonts w:ascii="Times New Roman" w:hAnsi="Times New Roman" w:cs="Times New Roman"/>
          <w:color w:val="000000" w:themeColor="text1"/>
          <w:kern w:val="2"/>
          <w:sz w:val="16"/>
          <w:szCs w:val="16"/>
        </w:rPr>
        <w:softHyphen/>
        <w:t>жал" боевые повреждения. Отмечались случаи, когда опытные пилоты выиг</w:t>
      </w:r>
      <w:r w:rsidRPr="002F2FDF">
        <w:rPr>
          <w:rFonts w:ascii="Times New Roman" w:hAnsi="Times New Roman" w:cs="Times New Roman"/>
          <w:color w:val="000000" w:themeColor="text1"/>
          <w:kern w:val="2"/>
          <w:sz w:val="16"/>
          <w:szCs w:val="16"/>
        </w:rPr>
        <w:softHyphen/>
        <w:t>рывали на нем воздушные бои у одно</w:t>
      </w:r>
      <w:r w:rsidRPr="002F2FDF">
        <w:rPr>
          <w:rFonts w:ascii="Times New Roman" w:hAnsi="Times New Roman" w:cs="Times New Roman"/>
          <w:color w:val="000000" w:themeColor="text1"/>
          <w:kern w:val="2"/>
          <w:sz w:val="16"/>
          <w:szCs w:val="16"/>
        </w:rPr>
        <w:softHyphen/>
        <w:t>местных истребителей союзников. Все</w:t>
      </w:r>
      <w:r w:rsidRPr="002F2FDF">
        <w:rPr>
          <w:rFonts w:ascii="Times New Roman" w:hAnsi="Times New Roman" w:cs="Times New Roman"/>
          <w:color w:val="000000" w:themeColor="text1"/>
          <w:kern w:val="2"/>
          <w:sz w:val="16"/>
          <w:szCs w:val="16"/>
        </w:rPr>
        <w:softHyphen/>
        <w:t>го было построено 1086 машин этого типа, часть из них поступила в штур</w:t>
      </w:r>
      <w:r w:rsidRPr="002F2FDF">
        <w:rPr>
          <w:rFonts w:ascii="Times New Roman" w:hAnsi="Times New Roman" w:cs="Times New Roman"/>
          <w:color w:val="000000" w:themeColor="text1"/>
          <w:kern w:val="2"/>
          <w:sz w:val="16"/>
          <w:szCs w:val="16"/>
        </w:rPr>
        <w:softHyphen/>
        <w:t>мовые авиаотряды (5999).</w:t>
      </w:r>
    </w:p>
    <w:p w14:paraId="5C8C59F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63C12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 1917 началось серийное производство D.H.9 - улучшенный вариант D.H.4, и выпустили 3700 (6594,3).</w:t>
      </w:r>
    </w:p>
    <w:p w14:paraId="00F4E08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55CD0B" w14:textId="77777777" w:rsidR="000616EE" w:rsidRPr="002F2FDF" w:rsidRDefault="000616E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 1917 г. после успешных испытаний самолёта D. H.9. началось его производство. Суммарный выпуск составил порядка 3700 машин. D. H.4, и D. H.9 оснащались, в основном, двигателями Siddeleu Puma мощностью 230 л. с. Установка на D.H.9 американского двигателя Либерти в 400 л. с. привела к появлению в 1918 г. наиболее совершенной модели семейства - D. H.9A (15132).</w:t>
      </w:r>
    </w:p>
    <w:p w14:paraId="6FA7F576" w14:textId="77777777" w:rsidR="000616EE" w:rsidRPr="002F2FDF" w:rsidRDefault="000616EE" w:rsidP="0083075A">
      <w:pPr>
        <w:spacing w:after="0" w:line="240" w:lineRule="auto"/>
        <w:jc w:val="both"/>
        <w:rPr>
          <w:rFonts w:ascii="Times New Roman" w:hAnsi="Times New Roman" w:cs="Times New Roman"/>
          <w:color w:val="000000" w:themeColor="text1"/>
          <w:kern w:val="2"/>
          <w:sz w:val="16"/>
          <w:szCs w:val="16"/>
        </w:rPr>
      </w:pPr>
    </w:p>
    <w:p w14:paraId="74FD7C07" w14:textId="77777777" w:rsidR="00CD1AD1" w:rsidRPr="002F2FDF" w:rsidRDefault="00CD1AD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июле 1917 г. фон Банфилд выполнил первый полет на самолете Ганза-Бранденбург W 17 по проекту, который Хейнкель разработал для австрийских союзников одновременно с чертежами летающей лодки Ганза-Бранденбург СС/3 серии 2 для немецкой авиации. В проект включил ряд передовых, но еще пока не проверенных технических решений. Фюзеляж вобрал в себя черты двухместной летающей лодки Ганза-Бранденбург W 13 и истребителя СС/3 серии 2, но все же был совершенно самостоятельной конструкцией. На носовой части перед кабиной появилась узкая коническая надстройка, защищавшая лицо пилота от набегающего потока, а выступающий прозрачный козырек уменьшили. По бокам этой надстройки поставили два пулемета M 07/12 «Шварцлозе» калибра 8,0 мм с боезапасом по 300 патронов. Их казенные части были закрыты съемными обтекателями только спереди, и летчик в полете мог устранить возникшую при стрельбе задержку. В первой половине лета 1917 г. самолет без мотора, воздушного винта и вооружения отправили заказчику в Австро-Венгрию. Все это поставили на базе Пола в Австрийском Приморье (ныне это Хорватия).</w:t>
      </w:r>
    </w:p>
    <w:p w14:paraId="3B8C0245" w14:textId="77777777" w:rsidR="00CD1AD1" w:rsidRPr="002F2FDF" w:rsidRDefault="00CD1AD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Самолет фон Банфилд не понравился. Хотя переделанная надстройка и сдвинутая к оси фюзеляжа установка пулеметов внутри нее улучшили доступ к ним, маневренность и жесткость крыльев показались ему недостаточными. Дальнейшая судьба машины точно неизвестна, есть сведения, что она разбилась. Некоторые историки говорят и о втором опытном образце, построенном в виде триплана, облетанном вслед за первым и оказавшемся неудачным (22841).</w:t>
      </w:r>
    </w:p>
    <w:p w14:paraId="053FE6DD" w14:textId="77777777" w:rsidR="00CD1AD1" w:rsidRPr="002F2FDF" w:rsidRDefault="00CD1AD1" w:rsidP="0083075A">
      <w:pPr>
        <w:spacing w:after="0" w:line="240" w:lineRule="auto"/>
        <w:jc w:val="both"/>
        <w:rPr>
          <w:rFonts w:ascii="Times New Roman" w:hAnsi="Times New Roman" w:cs="Times New Roman"/>
          <w:color w:val="000000" w:themeColor="text1"/>
          <w:sz w:val="16"/>
          <w:szCs w:val="16"/>
        </w:rPr>
      </w:pPr>
    </w:p>
    <w:p w14:paraId="7F885EEF" w14:textId="77777777" w:rsidR="00CD1AD1" w:rsidRPr="002F2FDF" w:rsidRDefault="00CD1AD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июле 1917 г. был испытан и Ганза-Бранденбург W 18, не показав против серийного Бранденбурга СС особого прироста скорости и скороподъемности, а маневренность ухудшилась, но дальность вышла лучше при вдвое более мощном вооружении. Испытатели были уверены, что с более мощным мотором летные данные повысятся, и самолет приняли на вооружение, поручив выпуск заводу «Феникс» (22841).</w:t>
      </w:r>
    </w:p>
    <w:p w14:paraId="2DAEEEF0" w14:textId="77777777" w:rsidR="00CD1AD1" w:rsidRPr="002F2FDF" w:rsidRDefault="00CD1AD1" w:rsidP="0083075A">
      <w:pPr>
        <w:spacing w:after="0" w:line="240" w:lineRule="auto"/>
        <w:jc w:val="both"/>
        <w:rPr>
          <w:rFonts w:ascii="Times New Roman" w:hAnsi="Times New Roman" w:cs="Times New Roman"/>
          <w:color w:val="000000" w:themeColor="text1"/>
          <w:sz w:val="16"/>
          <w:szCs w:val="16"/>
        </w:rPr>
      </w:pPr>
    </w:p>
    <w:p w14:paraId="2B112742" w14:textId="77777777" w:rsidR="00CD1AD1" w:rsidRPr="002F2FDF" w:rsidRDefault="00CD1AD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июле 1917 г. самолет Ганновер CL II W. был принят на вооружение, но фирма до запуска его в серию должна была устранить тряску верхнего стабилизатора, который подкрепили короткими подкосами. Потому первый заказ на 200 машин был выдан только в августе, а второй еще на 300 — в сентябре 1917 г. Это было не последнее изменение в конструкции самолета, но все доработки были незначительными как на машинах выпуска собственно завода «Ганновер», так и на лицензионных CL IIa (Rol.), которые строила фирма LFG «Роланд». Со своей скоростью, маневренностью и вооружением Ганновер CL II мог бы прекрасно дополнить одноместные истребители, которым к началу 1918 г. на Западном фронте под мощным прессингом англичан и французов стало совсем тяжело. Но с ним произошло то же, что и с другими самолетами класса CL — их переключили на задачи штурмовки. И если на Ганновер CL II смотрели как на двухместный «защитный» истребитель хотя бы вначале, то появившийся в 1918 г. CL III уже не воспринимали в другой роли, кроме штурмовика.</w:t>
      </w:r>
    </w:p>
    <w:p w14:paraId="4C1BE00C" w14:textId="77777777" w:rsidR="00CD1AD1" w:rsidRPr="002F2FDF" w:rsidRDefault="00CD1AD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Из-за такой позиции командования ВВС и всех Вооруженных Сил Германии построенные в ходе войны как минимум 433 многоцелевых биплана Ганновер CL II, а также порядка 600 новых CL III немцы так и не попытались использовать для борьбы за господство в воздухе и окончательно потеряли его. А между тем все их противники применяли для этого двухместные бипланы Ньюпор 12, SPAD S.A.2 и S.XII, Сопвич «Полуторастоечный» и RAF R.E.8 очень широко. И те из них, что поновее, успели сказать свое слово даже в 1918 г., когда Антанта имела множество хороших одноместных истребителей. И если эти самолеты все же были разведчиками и бомбардировщиками, то мощный и большой двухместный биплан Бристоль F.2 «Файтер», наоборот, был задуман в первую очередь истребителем, а уж потом всем остальным (22847).</w:t>
      </w:r>
    </w:p>
    <w:p w14:paraId="646F1ABA" w14:textId="77777777" w:rsidR="00CD1AD1" w:rsidRPr="002F2FDF" w:rsidRDefault="00CD1AD1" w:rsidP="0083075A">
      <w:pPr>
        <w:spacing w:after="0" w:line="240" w:lineRule="auto"/>
        <w:jc w:val="both"/>
        <w:rPr>
          <w:rFonts w:ascii="Times New Roman" w:hAnsi="Times New Roman" w:cs="Times New Roman"/>
          <w:color w:val="000000" w:themeColor="text1"/>
          <w:sz w:val="16"/>
          <w:szCs w:val="16"/>
        </w:rPr>
      </w:pPr>
    </w:p>
    <w:p w14:paraId="1980AC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 1917 года в целях ускорения подготовки летчиков истребительных эскадрилий в было отдано распоряжение о непосредственном откомандировании летчиков, взятых из отрядов, в школу при истребительной эскадрилье, минуя тыловые школы одноместных истребителей. Указанная школа была расширена, а также была создана вторая, подобная ей, школа в Нивеле; школы одноместных истребителей были расформированы. Осенью 1917 года командующий воздушными силами скрепя сердце сделал дальнейший шаг в том же направлении: стремясь предохранить авиаотряды от чрезмерного ослабления, он отменил оправдавшее себя на практике распоряжение об откомандировании в истребительные эскадрильи только тех летчиков, которые проходили службу в авиаотрядах. Таким образом, в дальнейшем истребительные эскадрильи пополнялись также и такими летчиками, которые еще ни разу не летали над позициями неприятеля (11282).</w:t>
      </w:r>
    </w:p>
    <w:p w14:paraId="786E1A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5EF383" w14:textId="77777777" w:rsidR="00CD1AD1" w:rsidRPr="002F2FDF" w:rsidRDefault="00CD1AD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июле 1917 г. германцы вводят новое могучее БХВ — дихлордиэтилсульфид, названное английскими солдатами по запаху, напоминающему горчицу, «горчичный газ», а французами по месту первого своего применения под Ипром — «ипритом». Иприт оказался наиболее эффективным из целой группы ОВ со сходными или аналогичными свойствами. Его внедрение в качестве химического оружия шло чрезвычайно быстрыми шагами, что объясняется заложенными в нем потенциальными возможностями. Иприт оказывает тройное физиологическое действие. В своем нормальном состоянии он представляет собой жидкость, которая при соприкосновении с кожей человека или животного причиняет ей серьезные поражения. При своем же испарении, происходящем более или менее быстро в зависимости от концентрации, условий атмосферы и природы объекта, против которого он применен, иприт из жидкого состояния переходит в газообразное, будучи в котором он поражает легкие, кожу и глаза и причиняет заболевание, требующее длительного лечения и заканчивающееся при неблагоприятных условиях смертельным исходом. Это тройное физиологическое действие и двойные физические свойства создают возможность при умелом употреблении иприта получить комбинированные результаты.</w:t>
      </w:r>
    </w:p>
    <w:p w14:paraId="05B0D70A" w14:textId="77777777" w:rsidR="00CD1AD1" w:rsidRPr="002F2FDF" w:rsidRDefault="00CD1AD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Артиллерийские снаряды, начиненные ипритом, были названы германцами «желтый крест», а участки, зараженные им на длительное время, — «желтыми участками» в отличие от «разноцветных» (20247).</w:t>
      </w:r>
    </w:p>
    <w:p w14:paraId="6C364437" w14:textId="77777777" w:rsidR="00CD1AD1" w:rsidRPr="002F2FDF" w:rsidRDefault="00CD1AD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ночь на 13 июля 1917 германцы под Ипром впервые применили ипритные снаряды (77 и 105 мм) для обстрела английских окопов и частично французских с целью помешать или прекратить угрожавшие германцам атаки англичан под Ипром. Обстрел продолжался с 22 ч 10 мин. 12 июля до 2 ч 10 мин. 13 июля с двумя перерывами около 1 ч каждый. По данным англичан и американцев, англичане были застигнуты врасплох и встретили обстрел без противогазов. Результаты действия на глаза и дыхательные органы сказались лишь через несколько часов. Общие потери у англичан — 2143 отравленных (86 умерших), у французов — 347 отравленных (1 смертельно). По данным германцев, наступление союзников было сорвано и имело место лишь 3 недели спустя (20247).</w:t>
      </w:r>
    </w:p>
    <w:p w14:paraId="78E3EAE9" w14:textId="77777777" w:rsidR="00CD1AD1" w:rsidRPr="002F2FDF" w:rsidRDefault="00CD1AD1" w:rsidP="0083075A">
      <w:pPr>
        <w:spacing w:after="0" w:line="240" w:lineRule="auto"/>
        <w:jc w:val="both"/>
        <w:rPr>
          <w:rFonts w:ascii="Times New Roman" w:hAnsi="Times New Roman" w:cs="Times New Roman"/>
          <w:color w:val="000000" w:themeColor="text1"/>
          <w:sz w:val="16"/>
          <w:szCs w:val="16"/>
        </w:rPr>
      </w:pPr>
    </w:p>
    <w:p w14:paraId="32EF37A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E3776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D3CFE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 и августе 1917продолжались начатые под присмотром Д. П. Григоровича, А. Н. Прокофьева-Северского, Г. Я. Эрдели и масте</w:t>
      </w:r>
      <w:r w:rsidRPr="002F2FDF">
        <w:rPr>
          <w:rFonts w:ascii="Times New Roman" w:hAnsi="Times New Roman" w:cs="Times New Roman"/>
          <w:color w:val="000000" w:themeColor="text1"/>
          <w:kern w:val="2"/>
          <w:sz w:val="16"/>
          <w:szCs w:val="16"/>
        </w:rPr>
        <w:softHyphen/>
        <w:t>ра завода ПРТВ Ю. Я. Озолина, работы по совершенствованию бензосистемы М-15. Однако еще с весны имелась другая проблема, требовавшая разрешения и заключавшаяся в желательности расширения носовой части корпуса М-15. Такая потребность диктовалась стремлением оснастить модель пулеметной установкой турельного типа конструкции Крыльцова, но при этом носо</w:t>
      </w:r>
      <w:r w:rsidRPr="002F2FDF">
        <w:rPr>
          <w:rFonts w:ascii="Times New Roman" w:hAnsi="Times New Roman" w:cs="Times New Roman"/>
          <w:color w:val="000000" w:themeColor="text1"/>
          <w:kern w:val="2"/>
          <w:sz w:val="16"/>
          <w:szCs w:val="16"/>
        </w:rPr>
        <w:softHyphen/>
        <w:t>вым обводам надлежало придать форму, “принятую у быстроходных моторных шлюпок” — весьма противоречивая задача. Две летающие лодки подверглись модификации: самолет с заводским номером 1109, переделанный под руководством черноморского авиатора лейтенанта К. М. Ламанова, и машина с заводским номером 1113, прозванная “аппаратом типа Балтийского моря”. После коротких испыта</w:t>
      </w:r>
      <w:r w:rsidRPr="002F2FDF">
        <w:rPr>
          <w:rFonts w:ascii="Times New Roman" w:hAnsi="Times New Roman" w:cs="Times New Roman"/>
          <w:color w:val="000000" w:themeColor="text1"/>
          <w:kern w:val="2"/>
          <w:sz w:val="16"/>
          <w:szCs w:val="16"/>
        </w:rPr>
        <w:softHyphen/>
        <w:t>ний, выполненных в Севастополе в середине мая, балтийский гидроаэрогшан признали лучшим, и 6 июля завод Щетинина получил инструкции перестроить носы лодок №№ 1115-1119,1121,1122,1124,1125и последующих до 1176 под упомянутую пулеметную установку, тем более что в таком виде они оказыва</w:t>
      </w:r>
      <w:r w:rsidRPr="002F2FDF">
        <w:rPr>
          <w:rFonts w:ascii="Times New Roman" w:hAnsi="Times New Roman" w:cs="Times New Roman"/>
          <w:color w:val="000000" w:themeColor="text1"/>
          <w:kern w:val="2"/>
          <w:sz w:val="16"/>
          <w:szCs w:val="16"/>
        </w:rPr>
        <w:softHyphen/>
        <w:t>лись годными и для пулеметных установок старого образца. Вероятно, корпуса аппаратов с заводскими номерами 1108,1110 и 1111 также были изменены, причем уже в начале апреля.</w:t>
      </w:r>
    </w:p>
    <w:p w14:paraId="68DCED6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Несмотря на все недостатки, М-15 демонстрировал ценные качества, и один из летавших на нем морских авиаторов поручик М. П. Телепнев писал впоследствии:</w:t>
      </w:r>
    </w:p>
    <w:p w14:paraId="7E8C394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“Летающая лодка типа М-15. &lt;...&gt; Вооружена пулеметом "Максим" или "Льюис", бомб около 4 пудов. &lt;...&gt; Предположена установка радиотелеграфа. Для бомбометания имеется при</w:t>
      </w:r>
      <w:r w:rsidRPr="002F2FDF">
        <w:rPr>
          <w:rFonts w:ascii="Times New Roman" w:hAnsi="Times New Roman" w:cs="Times New Roman"/>
          <w:color w:val="000000" w:themeColor="text1"/>
          <w:kern w:val="2"/>
          <w:sz w:val="16"/>
          <w:szCs w:val="16"/>
        </w:rPr>
        <w:softHyphen/>
        <w:t>цел старшего лейтенанта Лишина (С. А. Лишин. —А. А.). В гондоле должны находиться: компас, авиационные приборы и освещет ше. Аппарат более строгий, чем М-9, а потому полет ночью требу</w:t>
      </w:r>
      <w:r w:rsidRPr="002F2FDF">
        <w:rPr>
          <w:rFonts w:ascii="Times New Roman" w:hAnsi="Times New Roman" w:cs="Times New Roman"/>
          <w:color w:val="000000" w:themeColor="text1"/>
          <w:kern w:val="2"/>
          <w:sz w:val="16"/>
          <w:szCs w:val="16"/>
        </w:rPr>
        <w:softHyphen/>
        <w:t>ет большой осторожности.</w:t>
      </w:r>
    </w:p>
    <w:p w14:paraId="647DF66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Аппарат предназначается для разведки, которую может периодически вести до 40-50 миль. В исключительно благоприятных случаях при благоприятной погоде может выполнять разведку за участком моря по прямой на 90 миль от своей базы. В разведку может идти даже при возможно</w:t>
      </w:r>
      <w:r w:rsidRPr="002F2FDF">
        <w:rPr>
          <w:rFonts w:ascii="Times New Roman" w:hAnsi="Times New Roman" w:cs="Times New Roman"/>
          <w:color w:val="000000" w:themeColor="text1"/>
          <w:kern w:val="2"/>
          <w:sz w:val="16"/>
          <w:szCs w:val="16"/>
        </w:rPr>
        <w:softHyphen/>
        <w:t>сти контратаки противника, так как по своей скорости представляет тип аппарата средний между разведчиком и истребителем. Вблизи берегов противника принимает бой лишь в случае необходи</w:t>
      </w:r>
      <w:r w:rsidRPr="002F2FDF">
        <w:rPr>
          <w:rFonts w:ascii="Times New Roman" w:hAnsi="Times New Roman" w:cs="Times New Roman"/>
          <w:color w:val="000000" w:themeColor="text1"/>
          <w:kern w:val="2"/>
          <w:sz w:val="16"/>
          <w:szCs w:val="16"/>
        </w:rPr>
        <w:softHyphen/>
        <w:t>мости, тогда как вблизи своих баз может быть применен для охраны и дежурства. Пригоден для разведки на предмет обнаружения подлодок и борьбы с ними, а также для корректировки стрель</w:t>
      </w:r>
      <w:r w:rsidRPr="002F2FDF">
        <w:rPr>
          <w:rFonts w:ascii="Times New Roman" w:hAnsi="Times New Roman" w:cs="Times New Roman"/>
          <w:color w:val="000000" w:themeColor="text1"/>
          <w:kern w:val="2"/>
          <w:sz w:val="16"/>
          <w:szCs w:val="16"/>
        </w:rPr>
        <w:softHyphen/>
        <w:t>бы. При наличии зажигательных пуль или ракет может атаковать цеппелин у наших берегов. При современных условиях войны тип М-15 наиболее отвечает требованиям, предъявляемым аппара</w:t>
      </w:r>
      <w:r w:rsidRPr="002F2FDF">
        <w:rPr>
          <w:rFonts w:ascii="Times New Roman" w:hAnsi="Times New Roman" w:cs="Times New Roman"/>
          <w:color w:val="000000" w:themeColor="text1"/>
          <w:kern w:val="2"/>
          <w:sz w:val="16"/>
          <w:szCs w:val="16"/>
        </w:rPr>
        <w:softHyphen/>
        <w:t>там-разведчикам. Поставленный на лыжи, М-15 может быть использован зимой” (2807).</w:t>
      </w:r>
    </w:p>
    <w:p w14:paraId="4F622A9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0837D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4A534F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22BE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июле-августе 1917 г, вопрос о покупке предприятия был решен Временным правительством отрицательно. Руководство РАОАЗ правда оказалось готовым к такому повороту событий и поэтому возник план присоединения Царицынского орудийного завода к Коломенско-Сормовскому концерну, путем приобретения последним контрольного пакета акций РАОАЗ (11448). </w:t>
      </w:r>
    </w:p>
    <w:p w14:paraId="44F283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4B135B" w14:textId="77777777" w:rsidR="00EC1B6F" w:rsidRPr="00FB4F67" w:rsidRDefault="00EC1B6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 июля по конец декабря 1917 г. в России находился директор Федерального резервного банка (ФРБ) Нью-Йорка У Томпсон (1864-1930). ФРС Соединённых Штатов Америки непосредственно осуществляют главную функцию этой организации - эмиссию доллара. Главным среди них является ФРБ Нью-Йорка. Президент и Совет директоров ФРБ Нью-Йорка имеют в ФРС самое важное значение. Оно больше, чем у председателя и Совета управляющих ФРС, так как основную массу долларов эмитируют именно они. Кроме того, Уильям Томпсон был не только одним из важнейших людей в ФРС, но имел значительный вес в американской банковской системе. Совместно с Джоном Рокфеллером (1833-1937) он был совладельцем одного из основных американских банков того времени - «Чейз Нэшнл Бэнк».</w:t>
      </w:r>
    </w:p>
    <w:p w14:paraId="79325AFA" w14:textId="77777777" w:rsidR="00EC1B6F" w:rsidRPr="00FB4F67" w:rsidRDefault="00EC1B6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Россию У Томпсон приехал под видом члена делегации Американского Красного Креста (АКК). Кажется странным, что один из главных банкиров страны на полгода уезжает в Россию, чтобы заботиться о больных и раненых. Состав АКК в Россию была очень подозрительным. Из 24 членов этой делегации только 7 были медицинскими работниками, а все остальные были военными и бизнесменами. В качестве переводчика с Томпсоном приехал профессиональный революционер Б. Рейнштейн (23485).</w:t>
      </w:r>
    </w:p>
    <w:p w14:paraId="1BD92F9E" w14:textId="77777777" w:rsidR="00EC1B6F" w:rsidRPr="00FB4F67" w:rsidRDefault="00EC1B6F" w:rsidP="0083075A">
      <w:pPr>
        <w:spacing w:after="0" w:line="240" w:lineRule="auto"/>
        <w:jc w:val="both"/>
        <w:rPr>
          <w:rFonts w:ascii="Times New Roman" w:hAnsi="Times New Roman" w:cs="Times New Roman"/>
          <w:color w:val="0070C0"/>
          <w:sz w:val="16"/>
          <w:szCs w:val="16"/>
        </w:rPr>
      </w:pPr>
    </w:p>
    <w:p w14:paraId="26AE60D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AC6DC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07AD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июле-августе 1917 первые 14 машин J.1 Юнкерса были испытаны и переданы в 4-й армейский парк-склад в Генте (Бельгия) (1461,14).</w:t>
      </w:r>
    </w:p>
    <w:p w14:paraId="639E45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DEF03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июле—августе 1917 г., 9 месяцев спустя заключения контракта, первые 14 машин испытали и передали в 4-й армейский парк-склад в Генте (Бельгия). Первый серийный самолёт Юнкерса получил военное обозначение J.1, и маркировал</w:t>
      </w:r>
      <w:r w:rsidRPr="002F2FDF">
        <w:rPr>
          <w:rFonts w:ascii="Times New Roman" w:hAnsi="Times New Roman" w:cs="Times New Roman"/>
          <w:color w:val="000000" w:themeColor="text1"/>
          <w:kern w:val="2"/>
          <w:sz w:val="16"/>
          <w:szCs w:val="16"/>
        </w:rPr>
        <w:softHyphen/>
        <w:t>ся на фюзеляже как “Junk.J.1”, что впоследствии явилось причиной огромного количе</w:t>
      </w:r>
      <w:r w:rsidRPr="002F2FDF">
        <w:rPr>
          <w:rFonts w:ascii="Times New Roman" w:hAnsi="Times New Roman" w:cs="Times New Roman"/>
          <w:color w:val="000000" w:themeColor="text1"/>
          <w:kern w:val="2"/>
          <w:sz w:val="16"/>
          <w:szCs w:val="16"/>
        </w:rPr>
        <w:softHyphen/>
        <w:t>ства ошибок в публикациях при его идентификации с оригинальным J — “жестяным ослом”. Первая серия в 50 машин получила номера 0 100/17 — 0 149/17.</w:t>
      </w:r>
    </w:p>
    <w:p w14:paraId="08B1439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Несмотря на длинный разбег и плохой обзор, так как радиатор находился прямо перед пилотом, машина очень скоро стала популярной и снискала уважение фронтовых лётчи</w:t>
      </w:r>
      <w:r w:rsidRPr="002F2FDF">
        <w:rPr>
          <w:rFonts w:ascii="Times New Roman" w:hAnsi="Times New Roman" w:cs="Times New Roman"/>
          <w:color w:val="000000" w:themeColor="text1"/>
          <w:kern w:val="2"/>
          <w:sz w:val="16"/>
          <w:szCs w:val="16"/>
        </w:rPr>
        <w:softHyphen/>
        <w:t xml:space="preserve">ков — экипаж был “практически на 100% защищен бронекоробкой”. Многие самолёты возвращались из боя с серьезными повреждениями крыльев и других </w:t>
      </w:r>
      <w:r w:rsidRPr="002F2FDF">
        <w:rPr>
          <w:rFonts w:ascii="Times New Roman" w:hAnsi="Times New Roman" w:cs="Times New Roman"/>
          <w:color w:val="000000" w:themeColor="text1"/>
          <w:kern w:val="2"/>
          <w:sz w:val="16"/>
          <w:szCs w:val="16"/>
        </w:rPr>
        <w:lastRenderedPageBreak/>
        <w:t>частей, но серь</w:t>
      </w:r>
      <w:r w:rsidRPr="002F2FDF">
        <w:rPr>
          <w:rFonts w:ascii="Times New Roman" w:hAnsi="Times New Roman" w:cs="Times New Roman"/>
          <w:color w:val="000000" w:themeColor="text1"/>
          <w:kern w:val="2"/>
          <w:sz w:val="16"/>
          <w:szCs w:val="16"/>
        </w:rPr>
        <w:softHyphen/>
        <w:t>езных аварий и поломок не случа</w:t>
      </w:r>
      <w:r w:rsidRPr="002F2FDF">
        <w:rPr>
          <w:rFonts w:ascii="Times New Roman" w:hAnsi="Times New Roman" w:cs="Times New Roman"/>
          <w:color w:val="000000" w:themeColor="text1"/>
          <w:kern w:val="2"/>
          <w:sz w:val="16"/>
          <w:szCs w:val="16"/>
        </w:rPr>
        <w:softHyphen/>
        <w:t>лось. Широко известным стал случай, когда на свой аэродром благополуч</w:t>
      </w:r>
      <w:r w:rsidRPr="002F2FDF">
        <w:rPr>
          <w:rFonts w:ascii="Times New Roman" w:hAnsi="Times New Roman" w:cs="Times New Roman"/>
          <w:color w:val="000000" w:themeColor="text1"/>
          <w:kern w:val="2"/>
          <w:sz w:val="16"/>
          <w:szCs w:val="16"/>
        </w:rPr>
        <w:softHyphen/>
        <w:t>но вернулся самолёт, получивший в полете 480 пробоин в силовых эле</w:t>
      </w:r>
      <w:r w:rsidRPr="002F2FDF">
        <w:rPr>
          <w:rFonts w:ascii="Times New Roman" w:hAnsi="Times New Roman" w:cs="Times New Roman"/>
          <w:color w:val="000000" w:themeColor="text1"/>
          <w:kern w:val="2"/>
          <w:sz w:val="16"/>
          <w:szCs w:val="16"/>
        </w:rPr>
        <w:softHyphen/>
        <w:t>ментах. Как позднее написал “Вестник Воздушного флота”, “пехотные само</w:t>
      </w:r>
      <w:r w:rsidRPr="002F2FDF">
        <w:rPr>
          <w:rFonts w:ascii="Times New Roman" w:hAnsi="Times New Roman" w:cs="Times New Roman"/>
          <w:color w:val="000000" w:themeColor="text1"/>
          <w:kern w:val="2"/>
          <w:sz w:val="16"/>
          <w:szCs w:val="16"/>
        </w:rPr>
        <w:softHyphen/>
        <w:t>лёты Юнкерса, построенные целиком из дюралюминия, блестяще оправда</w:t>
      </w:r>
      <w:r w:rsidRPr="002F2FDF">
        <w:rPr>
          <w:rFonts w:ascii="Times New Roman" w:hAnsi="Times New Roman" w:cs="Times New Roman"/>
          <w:color w:val="000000" w:themeColor="text1"/>
          <w:kern w:val="2"/>
          <w:sz w:val="16"/>
          <w:szCs w:val="16"/>
        </w:rPr>
        <w:softHyphen/>
        <w:t>ли свое назначение, служа примером высокой надёжности и прочности” (Виноградов И. Проблемы металлических коммерческих самолётов // ВВФ, 1923, № 1. С. 33-42.)</w:t>
      </w:r>
    </w:p>
    <w:p w14:paraId="137AF61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конца войны изготовили 189 J.1, но некоторое их количество (какое, точно не установлено) не успело попасть на фронт. Последние 38 машин, начатые постройкой в самом конце войны, позже закончили и по Версальскому договору распределили среди держав-победи</w:t>
      </w:r>
      <w:r w:rsidRPr="002F2FDF">
        <w:rPr>
          <w:rFonts w:ascii="Times New Roman" w:hAnsi="Times New Roman" w:cs="Times New Roman"/>
          <w:color w:val="000000" w:themeColor="text1"/>
          <w:kern w:val="2"/>
          <w:sz w:val="16"/>
          <w:szCs w:val="16"/>
        </w:rPr>
        <w:softHyphen/>
        <w:t>тельниц. Всего построили 227 машин.</w:t>
      </w:r>
    </w:p>
    <w:p w14:paraId="6F406C7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J4 — двухместный подкосный полуто-раплан, но без расчалок. Силовая уста</w:t>
      </w:r>
      <w:r w:rsidRPr="002F2FDF">
        <w:rPr>
          <w:rFonts w:ascii="Times New Roman" w:hAnsi="Times New Roman" w:cs="Times New Roman"/>
          <w:color w:val="000000" w:themeColor="text1"/>
          <w:kern w:val="2"/>
          <w:sz w:val="16"/>
          <w:szCs w:val="16"/>
        </w:rPr>
        <w:softHyphen/>
        <w:t>новка—двигатель Бенц Вг IV в 200 л.с., последние серии в 1918 г. оснащались мотором в 260 л.с. Использовался так</w:t>
      </w:r>
      <w:r w:rsidRPr="002F2FDF">
        <w:rPr>
          <w:rFonts w:ascii="Times New Roman" w:hAnsi="Times New Roman" w:cs="Times New Roman"/>
          <w:color w:val="000000" w:themeColor="text1"/>
          <w:kern w:val="2"/>
          <w:sz w:val="16"/>
          <w:szCs w:val="16"/>
        </w:rPr>
        <w:softHyphen/>
        <w:t>же мотор Бенц в 230 л.с. Скорость не превышала 155 км/час.</w:t>
      </w:r>
    </w:p>
    <w:p w14:paraId="158EA27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1916-1918 гг. J4 стал, безусловно, выдающейся и новаторской машиной. Переднюю часть фюзеляжа составляла бронекоробка длиной 3,5 м, внутри которой помещались мо</w:t>
      </w:r>
      <w:r w:rsidRPr="002F2FDF">
        <w:rPr>
          <w:rFonts w:ascii="Times New Roman" w:hAnsi="Times New Roman" w:cs="Times New Roman"/>
          <w:color w:val="000000" w:themeColor="text1"/>
          <w:kern w:val="2"/>
          <w:sz w:val="16"/>
          <w:szCs w:val="16"/>
        </w:rPr>
        <w:softHyphen/>
        <w:t>тор, бензиновый бак и оба члена экипажа. Для жёсткости её укрепили внутренними свя</w:t>
      </w:r>
      <w:r w:rsidRPr="002F2FDF">
        <w:rPr>
          <w:rFonts w:ascii="Times New Roman" w:hAnsi="Times New Roman" w:cs="Times New Roman"/>
          <w:color w:val="000000" w:themeColor="text1"/>
          <w:kern w:val="2"/>
          <w:sz w:val="16"/>
          <w:szCs w:val="16"/>
        </w:rPr>
        <w:softHyphen/>
        <w:t>зями и рамами из дюралюминия, тросы употребляли лишь в органах управления.</w:t>
      </w:r>
    </w:p>
    <w:p w14:paraId="1BFCA6B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Двигатель установили на опорах из ясеня, его поддерживала ферма из дюралюмини</w:t>
      </w:r>
      <w:r w:rsidRPr="002F2FDF">
        <w:rPr>
          <w:rFonts w:ascii="Times New Roman" w:hAnsi="Times New Roman" w:cs="Times New Roman"/>
          <w:color w:val="000000" w:themeColor="text1"/>
          <w:kern w:val="2"/>
          <w:sz w:val="16"/>
          <w:szCs w:val="16"/>
        </w:rPr>
        <w:softHyphen/>
        <w:t>евых труб и стальных листов. Цилиндры спереди и с боков защитили стальными вер</w:t>
      </w:r>
      <w:r w:rsidRPr="002F2FDF">
        <w:rPr>
          <w:rFonts w:ascii="Times New Roman" w:hAnsi="Times New Roman" w:cs="Times New Roman"/>
          <w:color w:val="000000" w:themeColor="text1"/>
          <w:kern w:val="2"/>
          <w:sz w:val="16"/>
          <w:szCs w:val="16"/>
        </w:rPr>
        <w:softHyphen/>
        <w:t>тикальными щитами. Бензиновый бак из латунных листов ёмкостью 118 л по форме сделали как сиденье пилота. Хвостовая часть фюзеляжа представляла собой рамную конструкцию из дюралюминиевых труб, из них сделали лонжероны, стойки и диаго</w:t>
      </w:r>
      <w:r w:rsidRPr="002F2FDF">
        <w:rPr>
          <w:rFonts w:ascii="Times New Roman" w:hAnsi="Times New Roman" w:cs="Times New Roman"/>
          <w:color w:val="000000" w:themeColor="text1"/>
          <w:kern w:val="2"/>
          <w:sz w:val="16"/>
          <w:szCs w:val="16"/>
        </w:rPr>
        <w:softHyphen/>
        <w:t>нальные связи. Хвостовая ферма фюзеляжа соединялась с бронекоробкой 12-мм стальными болтами с головками внутри лонжеронов, проходя через отверстия в заднем листе бронекоробки, затянутыми с этой стороны гайками со шплинтами.</w:t>
      </w:r>
    </w:p>
    <w:p w14:paraId="4693DC3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Ретроспективно изучая конструкцию Юнкерса, нельзя не отметить ее значительную перетяжелённость, что диктовалось, прежде всего, отсутствием надёжных методов расчета на прочность. Крылья и хвостовая ферма фюзеляжа по прочности напоминали скорее мостовые пролеты. Наличие 7-10 лонжеронов с поперечными связями было явно чрезмерным, даже для неработающей обшивки крыла.</w:t>
      </w:r>
    </w:p>
    <w:p w14:paraId="31743D3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Путаница в обозначениях и появление самолётов Юнкерса на фронте только к концу третьего года войны привели к ряду журналистских измышлений, в которых утвержда</w:t>
      </w:r>
      <w:r w:rsidRPr="002F2FDF">
        <w:rPr>
          <w:rFonts w:ascii="Times New Roman" w:hAnsi="Times New Roman" w:cs="Times New Roman"/>
          <w:color w:val="000000" w:themeColor="text1"/>
          <w:kern w:val="2"/>
          <w:sz w:val="16"/>
          <w:szCs w:val="16"/>
        </w:rPr>
        <w:softHyphen/>
        <w:t>лось, что военный эффект от действий этих самолётов сильно преувеличен (11696).</w:t>
      </w:r>
    </w:p>
    <w:p w14:paraId="535D3DE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1C6F0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CDB5A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1957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В.Н.Хиони установил Анадва на поплавки, но 11 августа (24 августа) 1917 самолет при посадке потерпел аварию (553,81) в Одессе и разбил сам В.Н.Хиони. Из верхней гондолы выпал и утонул пассажир (92,234).</w:t>
      </w:r>
    </w:p>
    <w:p w14:paraId="6549E8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72FE1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989B6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33F4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августу 1917 М-20 - учебный вариант М-5 Д.П.Г. был подготовлен к испытаниям (2808,23).</w:t>
      </w:r>
    </w:p>
    <w:p w14:paraId="4B3CB6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2D84A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447A7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FA84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августу 1917 года среднемесячная заработная плата московских рабочих увеличились по сравнению с августом 1914-го на 505 проц., в то время как продукты питания подорожали в среднем на 556 проц., а другие товары первой необходимости (одежда, обувь, спички, мыло, топливо) — на 1109 проц. В Петрограде цены подскочили еще выше.</w:t>
      </w:r>
    </w:p>
    <w:p w14:paraId="14B92A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Рабочий получал в среднем 200 руб. в месяц, в то время как пара мужской обуви стоила 144 руб., а костюм 400 руб. (</w:t>
      </w:r>
      <w:r w:rsidRPr="002F2FDF">
        <w:rPr>
          <w:rFonts w:ascii="Times New Roman" w:hAnsi="Times New Roman" w:cs="Times New Roman"/>
          <w:iCs/>
          <w:color w:val="000000" w:themeColor="text1"/>
          <w:kern w:val="2"/>
          <w:sz w:val="16"/>
          <w:szCs w:val="16"/>
        </w:rPr>
        <w:t xml:space="preserve">Волобуев П.В. </w:t>
      </w:r>
      <w:r w:rsidRPr="002F2FDF">
        <w:rPr>
          <w:rFonts w:ascii="Times New Roman" w:hAnsi="Times New Roman" w:cs="Times New Roman"/>
          <w:color w:val="000000" w:themeColor="text1"/>
          <w:kern w:val="2"/>
          <w:sz w:val="16"/>
          <w:szCs w:val="16"/>
        </w:rPr>
        <w:t xml:space="preserve">Пролетариат и буржуазия России в 1917 году. М.: Мысль,1964. С. 90—100; </w:t>
      </w:r>
      <w:r w:rsidRPr="002F2FDF">
        <w:rPr>
          <w:rFonts w:ascii="Times New Roman" w:hAnsi="Times New Roman" w:cs="Times New Roman"/>
          <w:iCs/>
          <w:color w:val="000000" w:themeColor="text1"/>
          <w:kern w:val="2"/>
          <w:sz w:val="16"/>
          <w:szCs w:val="16"/>
        </w:rPr>
        <w:t xml:space="preserve">Рид Дж. </w:t>
      </w:r>
      <w:r w:rsidRPr="002F2FDF">
        <w:rPr>
          <w:rFonts w:ascii="Times New Roman" w:hAnsi="Times New Roman" w:cs="Times New Roman"/>
          <w:color w:val="000000" w:themeColor="text1"/>
          <w:kern w:val="2"/>
          <w:sz w:val="16"/>
          <w:szCs w:val="16"/>
        </w:rPr>
        <w:t>Десять дней, которые потрясли мир. М.: Госполитиздат, 1958. С. 254.).</w:t>
      </w:r>
    </w:p>
    <w:p w14:paraId="1E9EF1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Петрограде, Москве, других крупных городах ощущалась острая нехватка продуктов питания, одежды, топлива, сырья. В связи с отсутствием на рынке промышленных товаров крестьяне попрежнему воздерживались от реализации своих продуктов за быстро обесценивающиеся деньги.</w:t>
      </w:r>
    </w:p>
    <w:p w14:paraId="52A450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Их упорное нежелание продавать хлеб по заниженным твердым ценам, развитие нелегального рынка продаж по высоким ценам и натурального обмена вне государственной системы заготовок привели к установлению государственной монополии на торговлю хлебом. Принятое 25 марта 1917 года “Постановление Временного правительства о передаче хлеба в распоряжение государства и о местных продовольственных органах” гласило: “Все количество хлеба, продовольственного и кормового, урожая прошлых лет, 1916 года и будущего урожая 1917 года, за вычетом запаса… необходимого для продовольствия и хозяйственных нужд владельца, поступает со времени взятия хлеба на учет… в распоряжение государства и может быть отчуждаемо лишь при посредстве государственных продовольственных органов” (Собрание узаконений и распоряжений Временного правительства. 1917. № 85. Ст. 487.). Однако повышение при введении хлебной монополии твердых цен на хлеб и попытка наладить прямой товарообмен с деревней не содействовали росту объема продовольственных заготовок. Усиление инфляции и дезорганизация хозяйственной жизни еще больше подрывали доверие крестьянства к государственному регулированию и деньгам, создавая в то же время благоприятную почву для большевистской агитации в казармах, на заводах и фабриках под лозунгами свержения Временного правительства и передачи власти Советам. Этому способствовали и изменения в армии, ставшие одним из важнейших процессов в эволюции общества от Февраля к Октябрю. Солдатский вопрос оказался одним из основных в деятельности Петроградского Совета в дни свержения самодержавия. Уже поздно вечером 1 марта Советом был подготовлен Приказ № 1, опубликование которого 2 марта означало полнейшее переустройство внутреннего уклада вооруженных сил. С одной стороны, это соответствовало тенденциям демократизации общества, с другой — в конкретных условиях того времени — разлагало армию, делало ее более восприимчивой к радикальным революционным идеям. ТАКИМ образом, предпосылки социалистической революции в России были созданы наряду с другими обстоятельствами Первой мировой войной, приведшей страну к острейшему финансово-экономическому, прежде всего продовольственному, кризису. В день ареста Временного правительства на продовольственных складах Петрограда имелось всего 30 тыс. пудов хлеба, в то время как даже по голодной норме — полфунта (примерно 200 граммов) хлеба на человека в сутки — городу требовалось 48 тыс. пудов зерна (</w:t>
      </w:r>
      <w:r w:rsidRPr="002F2FDF">
        <w:rPr>
          <w:rFonts w:ascii="Times New Roman" w:hAnsi="Times New Roman" w:cs="Times New Roman"/>
          <w:iCs/>
          <w:color w:val="000000" w:themeColor="text1"/>
          <w:kern w:val="2"/>
          <w:sz w:val="16"/>
          <w:szCs w:val="16"/>
        </w:rPr>
        <w:t xml:space="preserve">Бабурин Д.С. </w:t>
      </w:r>
      <w:r w:rsidRPr="002F2FDF">
        <w:rPr>
          <w:rFonts w:ascii="Times New Roman" w:hAnsi="Times New Roman" w:cs="Times New Roman"/>
          <w:color w:val="000000" w:themeColor="text1"/>
          <w:kern w:val="2"/>
          <w:sz w:val="16"/>
          <w:szCs w:val="16"/>
        </w:rPr>
        <w:t>Наркомпрод в первые годы Советской власти // Исторические записки. Т. 61. М.: Изд-во АН СССР, 1957. С. 335.). В этих условиях, еще не овладев Государственным банком и эмиссионным аппаратом (Первые 5 млн. руб. на экстренные нужды по снабжению армии продовольствием и другие необходимые расходы Совнарком получил только 17 ноября), большевистское руководство было вынуждено спешно заняться решением продовольственной проблемы. 15 ноября 1917 года Совнарком поручил Петроградскому военно-революционному комитету (ВРК) “принять самые решительные меры к искоренению спекуляции и саботажа, скрывания запасов, злостной задержки грузов и пр.” (Собрание узаконений и распоряжений рабочего и крестьянского правительства (далее — СУ). 1917. № 3. Ст. 33.). Во исполнение этого указания ВРК уже в ноябре начал посылать в хлебные губернии специально сформированные отряды рабочих и матросов для конфискации продовольствия. Формально заготовки сельскохозяйственных продуктов осуществлялись на основе товарообмена, но поскольку промышленных товаров не хватало, основную часть стоимости продуктов крестьяне получали стремительно продолжавшими обесцениваться денежными знаками. Не удивительно, что уже в декабре неповиновение крестьян, отказывавшихся, по сути, безвозмездно отдавать хлеб, стало приобретать массовый характер. Надо отметить, что при всем этом государственная хлебная монополия и твердые закупочные цены на хлеб, поддержанные принявшими Наркомат земледелия левыми эсерами, продолжали сохраняться (11177).</w:t>
      </w:r>
    </w:p>
    <w:p w14:paraId="04AE995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3DE22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61A68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2BEC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августа 1917 по представлению военного министру с начала войны из общего числа 4075 самолетов и 5671 двигателей, поступивших в армию, русские заводы дали 70% самолетов и 24% двигателей. До 1 июля 1918 требовалось 9945 самолетов, 120 воздушных кораблей и 14910 двигателей из которых русские заводы могли изготовить 64% и 22% (3653).</w:t>
      </w:r>
    </w:p>
    <w:p w14:paraId="460DB3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BC8F6D" w14:textId="1F517020"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августа 1917 по представлению военному минстру с начала войны из общего числа 4075 самолетов и 5671 двигателя, по</w:t>
      </w:r>
      <w:r w:rsidRPr="002F2FDF">
        <w:rPr>
          <w:rFonts w:ascii="Times New Roman" w:hAnsi="Times New Roman" w:cs="Times New Roman"/>
          <w:color w:val="000000" w:themeColor="text1"/>
          <w:kern w:val="2"/>
          <w:sz w:val="16"/>
          <w:szCs w:val="16"/>
        </w:rPr>
        <w:softHyphen/>
        <w:t>ступивших на снабжение армии, русские заводы дали 70% самоле</w:t>
      </w:r>
      <w:r w:rsidRPr="002F2FDF">
        <w:rPr>
          <w:rFonts w:ascii="Times New Roman" w:hAnsi="Times New Roman" w:cs="Times New Roman"/>
          <w:color w:val="000000" w:themeColor="text1"/>
          <w:kern w:val="2"/>
          <w:sz w:val="16"/>
          <w:szCs w:val="16"/>
        </w:rPr>
        <w:softHyphen/>
        <w:t>тов и 24% двигателей, остальное получено из-за границы. Для удовлетворения потребностей до 1 июля 1918 года требовалось 9945 самолетов, 120 воздушных кораблей и 14910 двигате</w:t>
      </w:r>
      <w:r w:rsidRPr="002F2FDF">
        <w:rPr>
          <w:rFonts w:ascii="Times New Roman" w:hAnsi="Times New Roman" w:cs="Times New Roman"/>
          <w:color w:val="000000" w:themeColor="text1"/>
          <w:kern w:val="2"/>
          <w:sz w:val="16"/>
          <w:szCs w:val="16"/>
        </w:rPr>
        <w:softHyphen/>
        <w:t>лей, из которых русские заводы до 1 января 1918 годе могут изготовить самолетов 64%, двигателей 22%, остальное придется ввозить</w:t>
      </w:r>
      <w:r w:rsidR="004208DE">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из-за</w:t>
      </w:r>
      <w:r w:rsidR="004208DE">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границы, несмотря нэ тяжелые условия доставки и финансовые затруднения. (ЦГВИА. ф.493, оп.7, д.45, л.23).</w:t>
      </w:r>
    </w:p>
    <w:p w14:paraId="5AD6F38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BC3719" w14:textId="77777777" w:rsidR="004208DE" w:rsidRPr="00815ED5" w:rsidRDefault="004208DE"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1 августа</w:t>
      </w:r>
      <w:r>
        <w:rPr>
          <w:rFonts w:ascii="Times New Roman" w:hAnsi="Times New Roman" w:cs="Times New Roman"/>
          <w:color w:val="0070C0"/>
          <w:sz w:val="16"/>
          <w:szCs w:val="16"/>
        </w:rPr>
        <w:t xml:space="preserve">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по представлению военному министру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 xml:space="preserve"> начала войны из об</w:t>
      </w:r>
      <w:r>
        <w:rPr>
          <w:rFonts w:ascii="Times New Roman" w:hAnsi="Times New Roman" w:cs="Times New Roman"/>
          <w:color w:val="0070C0"/>
          <w:sz w:val="16"/>
          <w:szCs w:val="16"/>
        </w:rPr>
        <w:t>щ</w:t>
      </w:r>
      <w:r w:rsidRPr="00815ED5">
        <w:rPr>
          <w:rFonts w:ascii="Times New Roman" w:hAnsi="Times New Roman" w:cs="Times New Roman"/>
          <w:color w:val="0070C0"/>
          <w:sz w:val="16"/>
          <w:szCs w:val="16"/>
        </w:rPr>
        <w:t>его числа 4075 самолетов и 5571 моторов, поступившее на снаб</w:t>
      </w:r>
      <w:r w:rsidRPr="00815ED5">
        <w:rPr>
          <w:rFonts w:ascii="Times New Roman" w:hAnsi="Times New Roman" w:cs="Times New Roman"/>
          <w:color w:val="0070C0"/>
          <w:sz w:val="16"/>
          <w:szCs w:val="16"/>
        </w:rPr>
        <w:softHyphen/>
        <w:t>жение армии,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русские заводы дали 70</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самолетов и 24</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моторов</w:t>
      </w:r>
      <w:r>
        <w:rPr>
          <w:rFonts w:ascii="Times New Roman" w:hAnsi="Times New Roman" w:cs="Times New Roman"/>
          <w:color w:val="0070C0"/>
          <w:sz w:val="16"/>
          <w:szCs w:val="16"/>
        </w:rPr>
        <w:t xml:space="preserve">, а </w:t>
      </w:r>
      <w:r w:rsidRPr="00815ED5">
        <w:rPr>
          <w:rFonts w:ascii="Times New Roman" w:hAnsi="Times New Roman" w:cs="Times New Roman"/>
          <w:color w:val="0070C0"/>
          <w:sz w:val="16"/>
          <w:szCs w:val="16"/>
        </w:rPr>
        <w:t>оста</w:t>
      </w:r>
      <w:r w:rsidRPr="00815ED5">
        <w:rPr>
          <w:rFonts w:ascii="Times New Roman" w:hAnsi="Times New Roman" w:cs="Times New Roman"/>
          <w:color w:val="0070C0"/>
          <w:sz w:val="16"/>
          <w:szCs w:val="16"/>
        </w:rPr>
        <w:softHyphen/>
        <w:t>льное получено из-за границы.</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Для удовлетворения потребностей до 1-го июля 1918 года требовалось 9945 самолетов, 120 воздушных ко</w:t>
      </w:r>
      <w:r w:rsidRPr="00815ED5">
        <w:rPr>
          <w:rFonts w:ascii="Times New Roman" w:hAnsi="Times New Roman" w:cs="Times New Roman"/>
          <w:color w:val="0070C0"/>
          <w:sz w:val="16"/>
          <w:szCs w:val="16"/>
        </w:rPr>
        <w:softHyphen/>
        <w:t>раблей и 14.910 моторов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из коих русские заводы до 1-го января 1918 года могут изготовить самолетов 64</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моторов 22</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остальное придется ввозить из-за границы</w:t>
      </w:r>
      <w:r>
        <w:rPr>
          <w:rFonts w:ascii="Times New Roman" w:hAnsi="Times New Roman" w:cs="Times New Roman"/>
          <w:color w:val="0070C0"/>
          <w:sz w:val="16"/>
          <w:szCs w:val="16"/>
        </w:rPr>
        <w:t>, н</w:t>
      </w:r>
      <w:r w:rsidRPr="00815ED5">
        <w:rPr>
          <w:rFonts w:ascii="Times New Roman" w:hAnsi="Times New Roman" w:cs="Times New Roman"/>
          <w:color w:val="0070C0"/>
          <w:sz w:val="16"/>
          <w:szCs w:val="16"/>
        </w:rPr>
        <w:t>е</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мотря на тяжелые условия достав</w:t>
      </w:r>
      <w:r w:rsidRPr="00815ED5">
        <w:rPr>
          <w:rFonts w:ascii="Times New Roman" w:hAnsi="Times New Roman" w:cs="Times New Roman"/>
          <w:color w:val="0070C0"/>
          <w:sz w:val="16"/>
          <w:szCs w:val="16"/>
        </w:rPr>
        <w:softHyphen/>
        <w:t>ки и финансовые затруднения.</w:t>
      </w:r>
    </w:p>
    <w:p w14:paraId="529AA11C" w14:textId="77777777" w:rsidR="004208DE" w:rsidRDefault="004208DE"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/ЦГВ</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493, оп. 7</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д</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45, </w:t>
      </w:r>
      <w:r>
        <w:rPr>
          <w:rFonts w:ascii="Times New Roman" w:hAnsi="Times New Roman" w:cs="Times New Roman"/>
          <w:color w:val="0070C0"/>
          <w:sz w:val="16"/>
          <w:szCs w:val="16"/>
        </w:rPr>
        <w:t>л</w:t>
      </w:r>
      <w:r w:rsidRPr="00815ED5">
        <w:rPr>
          <w:rFonts w:ascii="Times New Roman" w:hAnsi="Times New Roman" w:cs="Times New Roman"/>
          <w:color w:val="0070C0"/>
          <w:sz w:val="16"/>
          <w:szCs w:val="16"/>
        </w:rPr>
        <w:t>. 83/</w:t>
      </w:r>
      <w:r>
        <w:rPr>
          <w:rFonts w:ascii="Times New Roman" w:hAnsi="Times New Roman" w:cs="Times New Roman"/>
          <w:color w:val="0070C0"/>
          <w:sz w:val="16"/>
          <w:szCs w:val="16"/>
        </w:rPr>
        <w:t xml:space="preserve"> (23320).</w:t>
      </w:r>
    </w:p>
    <w:p w14:paraId="11237FA6" w14:textId="77777777" w:rsidR="004208DE" w:rsidRPr="00815ED5" w:rsidRDefault="004208DE" w:rsidP="0083075A">
      <w:pPr>
        <w:spacing w:after="0" w:line="240" w:lineRule="auto"/>
        <w:jc w:val="both"/>
        <w:rPr>
          <w:rFonts w:ascii="Times New Roman" w:hAnsi="Times New Roman" w:cs="Times New Roman"/>
          <w:color w:val="0070C0"/>
          <w:sz w:val="16"/>
          <w:szCs w:val="16"/>
        </w:rPr>
      </w:pPr>
    </w:p>
    <w:p w14:paraId="034985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1 (14) августа 1917 г. завод Лебедева сдал Морскому Генштабу один аппарат типа Лебедь ХП на поплавках (зав. № 789), предназначенный для Воздушной бригады особого назначения. Один "Лебедь"-ХII (зав. № 705) числился среди гидросамолетов на базе авиации Балтийского моря еще 1-июля 1922 г. (11183).</w:t>
      </w:r>
    </w:p>
    <w:p w14:paraId="368C57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FC48D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1 </w:t>
      </w:r>
      <w:r w:rsidR="00053465" w:rsidRPr="002F2FDF">
        <w:rPr>
          <w:rFonts w:ascii="Times New Roman" w:hAnsi="Times New Roman" w:cs="Times New Roman"/>
          <w:color w:val="000000" w:themeColor="text1"/>
          <w:kern w:val="2"/>
          <w:sz w:val="16"/>
          <w:szCs w:val="16"/>
        </w:rPr>
        <w:t xml:space="preserve">(14) </w:t>
      </w:r>
      <w:r w:rsidRPr="002F2FDF">
        <w:rPr>
          <w:rFonts w:ascii="Times New Roman" w:hAnsi="Times New Roman" w:cs="Times New Roman"/>
          <w:color w:val="000000" w:themeColor="text1"/>
          <w:kern w:val="2"/>
          <w:sz w:val="16"/>
          <w:szCs w:val="16"/>
        </w:rPr>
        <w:t>августа 1917 г. начало действовать опытная станция фирмы Мельцера на Крестовском острове, которая располагалась по со</w:t>
      </w:r>
      <w:r w:rsidRPr="002F2FDF">
        <w:rPr>
          <w:rFonts w:ascii="Times New Roman" w:hAnsi="Times New Roman" w:cs="Times New Roman"/>
          <w:color w:val="000000" w:themeColor="text1"/>
          <w:kern w:val="2"/>
          <w:sz w:val="16"/>
          <w:szCs w:val="16"/>
        </w:rPr>
        <w:softHyphen/>
        <w:t>седству с подобным филиалом Щетинина и состояла из 1 ангара-навеса, 1 дома и 1 быстроходного катера с мотором 80 л.с., развивавшего скорость до 30 узлов. Вдобавок, компания просила об участке земли на побережье Черного моря, где ее сборочно-испы-тательнос производство появилось бы для работы в более благоприятных погодных усло</w:t>
      </w:r>
      <w:r w:rsidRPr="002F2FDF">
        <w:rPr>
          <w:rFonts w:ascii="Times New Roman" w:hAnsi="Times New Roman" w:cs="Times New Roman"/>
          <w:color w:val="000000" w:themeColor="text1"/>
          <w:kern w:val="2"/>
          <w:sz w:val="16"/>
          <w:szCs w:val="16"/>
        </w:rPr>
        <w:softHyphen/>
        <w:t>виях. Вероятно, в конце 1916 г. Мельцер пригласил Виллиша занять пост главного ави</w:t>
      </w:r>
      <w:r w:rsidRPr="002F2FDF">
        <w:rPr>
          <w:rFonts w:ascii="Times New Roman" w:hAnsi="Times New Roman" w:cs="Times New Roman"/>
          <w:color w:val="000000" w:themeColor="text1"/>
          <w:kern w:val="2"/>
          <w:sz w:val="16"/>
          <w:szCs w:val="16"/>
        </w:rPr>
        <w:softHyphen/>
        <w:t>ационного конструктора и директора-распределителя фирмы, что и было принято изо</w:t>
      </w:r>
      <w:r w:rsidRPr="002F2FDF">
        <w:rPr>
          <w:rFonts w:ascii="Times New Roman" w:hAnsi="Times New Roman" w:cs="Times New Roman"/>
          <w:color w:val="000000" w:themeColor="text1"/>
          <w:kern w:val="2"/>
          <w:sz w:val="16"/>
          <w:szCs w:val="16"/>
        </w:rPr>
        <w:softHyphen/>
        <w:t>бретателем в начале 1917 г. (2843).</w:t>
      </w:r>
    </w:p>
    <w:p w14:paraId="2983EE2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53F38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1 </w:t>
      </w:r>
      <w:r w:rsidR="00053465" w:rsidRPr="002F2FDF">
        <w:rPr>
          <w:rFonts w:ascii="Times New Roman" w:hAnsi="Times New Roman" w:cs="Times New Roman"/>
          <w:color w:val="000000" w:themeColor="text1"/>
          <w:kern w:val="2"/>
          <w:sz w:val="16"/>
          <w:szCs w:val="16"/>
        </w:rPr>
        <w:t xml:space="preserve">(14) </w:t>
      </w:r>
      <w:r w:rsidRPr="002F2FDF">
        <w:rPr>
          <w:rFonts w:ascii="Times New Roman" w:hAnsi="Times New Roman" w:cs="Times New Roman"/>
          <w:color w:val="000000" w:themeColor="text1"/>
          <w:kern w:val="2"/>
          <w:sz w:val="16"/>
          <w:szCs w:val="16"/>
        </w:rPr>
        <w:t>августа 1917 г. на заводе Мельцера собрали Аппарат Э.1П №2, но затем планировалось вносить в него какие-то улучшения по результатам испытаний №1.</w:t>
      </w:r>
    </w:p>
    <w:p w14:paraId="40B380E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65E4FB" w14:textId="77777777" w:rsidR="00296738"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D0E45B3" w14:textId="77777777" w:rsidR="00296738" w:rsidRPr="002F2FDF" w:rsidRDefault="0029673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94E009" w14:textId="77777777" w:rsidR="00296738" w:rsidRPr="002F2FDF" w:rsidRDefault="0029673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августа 1917 Рапорт окружного инженера Екатеринославского горного округа В. А. Глыбовского Горному департаменту о пониженной производительности предприятий округа в июле 1917 г.</w:t>
      </w:r>
    </w:p>
    <w:p w14:paraId="1563846D" w14:textId="77777777" w:rsidR="00296738" w:rsidRPr="002F2FDF" w:rsidRDefault="0029673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125-126</w:t>
      </w:r>
    </w:p>
    <w:p w14:paraId="25DC0432" w14:textId="77777777" w:rsidR="00296738" w:rsidRPr="002F2FDF" w:rsidRDefault="0029673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37, оп. 58, д. 883, л. 183—183 об. Подлинник.</w:t>
      </w:r>
    </w:p>
    <w:p w14:paraId="0499A74B" w14:textId="57321A39" w:rsidR="00296738" w:rsidRPr="002F2FDF" w:rsidRDefault="0029673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Вследствие циркулярного предписания от 22 января 1910 г. за № 28С и 22/25 августа 1914 г. за № 2658/2697 имею честь донести, чтс в истекшем июле т. г.: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 общая и отнесенная к 1 сутках и 1 рабочему производительность железных рудников Криворожскогс района была, как и в июне т. г., пониженной; б) железнодорожник</w:t>
      </w:r>
    </w:p>
    <w:p w14:paraId="15B39368" w14:textId="77777777" w:rsidR="00296738" w:rsidRPr="002F2FDF" w:rsidRDefault="0029673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вывоз руды с рудников на заводы был недостаточен вследствие расстройства железнодорожного транспорта; в) конфликты между администрацией рудников и рабочими имели место, хотя и не остро насильственные; г) 3 железных рудника, по размерам добычи руды незначительны, предупредили о возможной приостановке работ по финансовым н иным затруднениям; обследование о сем особых комиссий, председательствуемых чинами районной инспекции округа (горного надзора) и состоящих из представителей промышленности и рабочих организаций (на паритетных началах), направлено на распоряжение Временного комитета Донецкого бассейна; д) на горных заводах округа по-прежнему ощущалась недостаточность железнодорожного подвоза угля, кокса и мазута, благодаря чему они работали неполной производительностью, а на Днепровском заводе Южно-Русского Днепровского металлургического об-ва, например, с 20 по 25 июля т. г. были приостановлены отделы бессемеровский, мартеновский, рельсобалочный, снарядный, бандажный, осевой, листопрокатный; е) на крупном железном руднике «Дубовая» об-ва «Дубовая Балка» Верхнеднепровского уезда в конце июля т. г. приостановлены приблизительно на 2 недели эксплуатационные работы вследствие порчи обслуживавших рудник 2 турбин; все рабочие все же пристроены к работам на руднике; ж) замечалось более интенсивное образование по отдельным железным рудникам примирительных камер, конструируемых из представителей служащих и рабочих (на паритетных началах), но нарастание их авторитетности в глазах рабочих рудников, в смысле обязательности к исполнению рабочими постановлений камер, идет весьма медленно.</w:t>
      </w:r>
    </w:p>
    <w:p w14:paraId="252AC83C" w14:textId="77777777" w:rsidR="00296738" w:rsidRPr="002F2FDF" w:rsidRDefault="0029673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Окружной инженер Екатеринославского горного округа</w:t>
      </w:r>
    </w:p>
    <w:p w14:paraId="75507C43" w14:textId="77777777" w:rsidR="00296738" w:rsidRPr="002F2FDF" w:rsidRDefault="0029673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Вл. Глыбовский (15683).</w:t>
      </w:r>
    </w:p>
    <w:p w14:paraId="2BBC07B5" w14:textId="77777777" w:rsidR="00296738" w:rsidRPr="002F2FDF" w:rsidRDefault="00296738" w:rsidP="0083075A">
      <w:pPr>
        <w:spacing w:after="0" w:line="240" w:lineRule="auto"/>
        <w:jc w:val="both"/>
        <w:rPr>
          <w:rFonts w:ascii="Times New Roman" w:hAnsi="Times New Roman" w:cs="Times New Roman"/>
          <w:color w:val="000000" w:themeColor="text1"/>
          <w:kern w:val="2"/>
          <w:sz w:val="16"/>
          <w:szCs w:val="16"/>
        </w:rPr>
      </w:pPr>
    </w:p>
    <w:p w14:paraId="67807DD9" w14:textId="77777777" w:rsidR="00296738" w:rsidRPr="002F2FDF" w:rsidRDefault="0029673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 (14) августа 1917 г. Телеграмма председателя Грозненского Совета рабочих депутатов Центральному исполнительному комитету Советов рабочих и солдатских депутатов о положении на нефтяных промыслах Грозного </w:t>
      </w:r>
    </w:p>
    <w:p w14:paraId="4768D888" w14:textId="77777777" w:rsidR="00296738" w:rsidRPr="002F2FDF" w:rsidRDefault="0029673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60</w:t>
      </w:r>
    </w:p>
    <w:p w14:paraId="1C47A60F" w14:textId="77777777" w:rsidR="00296738" w:rsidRPr="002F2FDF" w:rsidRDefault="0029673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ЦГАОР, ф. 1235, оп. 53, д. 27, л. 67. Телегр. бланк.</w:t>
      </w:r>
    </w:p>
    <w:p w14:paraId="03BA6053" w14:textId="78E88349" w:rsidR="00296738" w:rsidRPr="002F2FDF" w:rsidRDefault="0029673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Положение транспорта ухудшается. Вывоз</w:t>
      </w:r>
      <w:hyperlink r:id="rId474" w:anchor="_ftn2" w:history="1">
        <w:r w:rsidRPr="002F2FDF">
          <w:rPr>
            <w:rFonts w:ascii="Times New Roman" w:hAnsi="Times New Roman" w:cs="Times New Roman"/>
            <w:color w:val="000000" w:themeColor="text1"/>
            <w:kern w:val="2"/>
            <w:sz w:val="16"/>
            <w:szCs w:val="16"/>
          </w:rPr>
          <w:t>[2]</w:t>
        </w:r>
      </w:hyperlink>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нефтяных продуктов сокращен до минимума. Тартанье нефти прекращено; закрывают фонтаны. Положение угрожающее. Тысячи рабочих стоят без дела. В районе колоссальные запасы нефтяных продуктов всех городов. Происходят просьбы высылки нефти. Рабочие предлагают свои условия организации дружины, ремонта.</w:t>
      </w:r>
    </w:p>
    <w:p w14:paraId="200DFF96" w14:textId="77777777" w:rsidR="00296738" w:rsidRPr="002F2FDF" w:rsidRDefault="0029673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Председатель Совета рабочих Богданов.</w:t>
      </w:r>
    </w:p>
    <w:p w14:paraId="5412D025" w14:textId="77777777" w:rsidR="00296738" w:rsidRPr="002F2FDF" w:rsidRDefault="0029673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Секретарь Бабков.</w:t>
      </w:r>
    </w:p>
    <w:p w14:paraId="70C7ED2F" w14:textId="549857C3" w:rsidR="00296738"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75" w:anchor="_ftnref1" w:history="1">
        <w:r w:rsidR="00296738" w:rsidRPr="002F2FDF">
          <w:rPr>
            <w:rFonts w:ascii="Times New Roman" w:hAnsi="Times New Roman" w:cs="Times New Roman"/>
            <w:color w:val="000000" w:themeColor="text1"/>
            <w:kern w:val="2"/>
            <w:sz w:val="16"/>
            <w:szCs w:val="16"/>
          </w:rPr>
          <w:t>[1]</w:t>
        </w:r>
      </w:hyperlink>
      <w:r w:rsidR="00296738" w:rsidRPr="002F2FDF">
        <w:rPr>
          <w:rFonts w:ascii="Times New Roman" w:hAnsi="Times New Roman" w:cs="Times New Roman"/>
          <w:color w:val="000000" w:themeColor="text1"/>
          <w:kern w:val="2"/>
          <w:sz w:val="16"/>
          <w:szCs w:val="16"/>
        </w:rPr>
        <w:t xml:space="preserve"> См. док 1937 вышел приказ НКОП №№ </w:t>
      </w:r>
      <w:hyperlink r:id="rId476" w:history="1">
        <w:r w:rsidR="00296738" w:rsidRPr="002F2FDF">
          <w:rPr>
            <w:rFonts w:ascii="Times New Roman" w:hAnsi="Times New Roman" w:cs="Times New Roman"/>
            <w:color w:val="000000" w:themeColor="text1"/>
            <w:kern w:val="2"/>
            <w:sz w:val="16"/>
            <w:szCs w:val="16"/>
          </w:rPr>
          <w:t>359</w:t>
        </w:r>
        <w:r w:rsidR="00E52569">
          <w:rPr>
            <w:rFonts w:ascii="Times New Roman" w:hAnsi="Times New Roman" w:cs="Times New Roman"/>
            <w:color w:val="000000" w:themeColor="text1"/>
            <w:kern w:val="2"/>
            <w:sz w:val="16"/>
            <w:szCs w:val="16"/>
          </w:rPr>
          <w:t xml:space="preserve"> </w:t>
        </w:r>
        <w:r w:rsidR="00296738" w:rsidRPr="002F2FDF">
          <w:rPr>
            <w:rFonts w:ascii="Times New Roman" w:hAnsi="Times New Roman" w:cs="Times New Roman"/>
            <w:color w:val="000000" w:themeColor="text1"/>
            <w:kern w:val="2"/>
            <w:sz w:val="16"/>
            <w:szCs w:val="16"/>
          </w:rPr>
          <w:t>(Из журнала заседания Нефтяной секции Особого совещания по топливу)</w:t>
        </w:r>
      </w:hyperlink>
      <w:r w:rsidR="00296738" w:rsidRPr="002F2FDF">
        <w:rPr>
          <w:rFonts w:ascii="Times New Roman" w:hAnsi="Times New Roman" w:cs="Times New Roman"/>
          <w:color w:val="000000" w:themeColor="text1"/>
          <w:kern w:val="2"/>
          <w:sz w:val="16"/>
          <w:szCs w:val="16"/>
        </w:rPr>
        <w:t>, 369.</w:t>
      </w:r>
    </w:p>
    <w:p w14:paraId="40E32ACC" w14:textId="77777777" w:rsidR="00296738"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77" w:anchor="_ftnref2" w:history="1">
        <w:r w:rsidR="00296738" w:rsidRPr="002F2FDF">
          <w:rPr>
            <w:rFonts w:ascii="Times New Roman" w:hAnsi="Times New Roman" w:cs="Times New Roman"/>
            <w:color w:val="000000" w:themeColor="text1"/>
            <w:kern w:val="2"/>
            <w:sz w:val="16"/>
            <w:szCs w:val="16"/>
          </w:rPr>
          <w:t>[2]</w:t>
        </w:r>
      </w:hyperlink>
      <w:r w:rsidR="00296738" w:rsidRPr="002F2FDF">
        <w:rPr>
          <w:rFonts w:ascii="Times New Roman" w:hAnsi="Times New Roman" w:cs="Times New Roman"/>
          <w:color w:val="000000" w:themeColor="text1"/>
          <w:kern w:val="2"/>
          <w:sz w:val="16"/>
          <w:szCs w:val="16"/>
        </w:rPr>
        <w:t xml:space="preserve"> В док. Привоз (15702).</w:t>
      </w:r>
    </w:p>
    <w:p w14:paraId="65ED9E5C" w14:textId="77777777" w:rsidR="00296738" w:rsidRPr="002F2FDF" w:rsidRDefault="00296738" w:rsidP="0083075A">
      <w:pPr>
        <w:spacing w:after="0" w:line="240" w:lineRule="auto"/>
        <w:jc w:val="both"/>
        <w:rPr>
          <w:rFonts w:ascii="Times New Roman" w:hAnsi="Times New Roman" w:cs="Times New Roman"/>
          <w:color w:val="000000" w:themeColor="text1"/>
          <w:kern w:val="2"/>
          <w:sz w:val="16"/>
          <w:szCs w:val="16"/>
        </w:rPr>
      </w:pPr>
    </w:p>
    <w:p w14:paraId="67E12FD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4F57E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36D23F" w14:textId="4342E7B0" w:rsidR="00E30864" w:rsidRPr="00FB4F67" w:rsidRDefault="00E3086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 (</w:t>
      </w:r>
      <w:r w:rsidRPr="00FB4F67">
        <w:rPr>
          <w:rFonts w:ascii="Times New Roman" w:hAnsi="Times New Roman" w:cs="Times New Roman"/>
          <w:color w:val="0070C0"/>
          <w:sz w:val="16"/>
          <w:szCs w:val="16"/>
        </w:rPr>
        <w:t>14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августа 1917 г. неприятельская авиация в полосе Юго-Западного фронта провела бомбардировку д. Карасин (60 км северо-восточнее г. Ковель) и ст. Маневичи. В тот же период большая воздушная эскадрилья (16 аппаратов) провела разведывательный облет островов Рижского залива. С один из отрядов противника (4 самолета) наши три гидроаэроплана имели воздушный бой (без потерь) (23405).</w:t>
      </w:r>
    </w:p>
    <w:p w14:paraId="5A2C824B" w14:textId="77777777" w:rsidR="00E30864" w:rsidRPr="00FB4F67" w:rsidRDefault="00E30864" w:rsidP="0083075A">
      <w:pPr>
        <w:spacing w:after="0" w:line="240" w:lineRule="auto"/>
        <w:jc w:val="both"/>
        <w:rPr>
          <w:rFonts w:ascii="Times New Roman" w:hAnsi="Times New Roman" w:cs="Times New Roman"/>
          <w:color w:val="0070C0"/>
          <w:sz w:val="16"/>
          <w:szCs w:val="16"/>
        </w:rPr>
      </w:pPr>
    </w:p>
    <w:p w14:paraId="18FF4F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1 </w:t>
      </w:r>
      <w:r w:rsidR="00053465" w:rsidRPr="002F2FDF">
        <w:rPr>
          <w:rFonts w:ascii="Times New Roman" w:hAnsi="Times New Roman" w:cs="Times New Roman"/>
          <w:color w:val="000000" w:themeColor="text1"/>
          <w:kern w:val="2"/>
          <w:sz w:val="16"/>
          <w:szCs w:val="16"/>
        </w:rPr>
        <w:t xml:space="preserve">(14) </w:t>
      </w:r>
      <w:r w:rsidRPr="002F2FDF">
        <w:rPr>
          <w:rFonts w:ascii="Times New Roman" w:hAnsi="Times New Roman" w:cs="Times New Roman"/>
          <w:color w:val="000000" w:themeColor="text1"/>
          <w:kern w:val="2"/>
          <w:sz w:val="16"/>
          <w:szCs w:val="16"/>
        </w:rPr>
        <w:t>августа 1917 года в составе ТАОН было 96 152-мм гаубиц Виккерса (3861).</w:t>
      </w:r>
    </w:p>
    <w:p w14:paraId="158D1A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38166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FC154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E0EF55" w14:textId="77777777" w:rsidR="00296738" w:rsidRPr="002F2FDF" w:rsidRDefault="0029673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августа в 1917 году из Александровского дворца в пригороде Санкт-Петербурга Царском Селе Николай II вместе с семьей был отправлен в ссылку, в Тобольск (14970).</w:t>
      </w:r>
    </w:p>
    <w:p w14:paraId="2E4A7C4D" w14:textId="77777777" w:rsidR="00296738" w:rsidRPr="002F2FDF" w:rsidRDefault="00296738" w:rsidP="0083075A">
      <w:pPr>
        <w:spacing w:after="0" w:line="240" w:lineRule="auto"/>
        <w:jc w:val="both"/>
        <w:rPr>
          <w:rFonts w:ascii="Times New Roman" w:hAnsi="Times New Roman" w:cs="Times New Roman"/>
          <w:color w:val="000000" w:themeColor="text1"/>
          <w:kern w:val="2"/>
          <w:sz w:val="16"/>
          <w:szCs w:val="16"/>
        </w:rPr>
      </w:pPr>
    </w:p>
    <w:p w14:paraId="7A8F69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августа 1917 царская семья направилась в сибирскую ссылку (3263,443) по решению Временного Правительства (3481).</w:t>
      </w:r>
    </w:p>
    <w:p w14:paraId="6ACFDB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15288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августа 1917 Временное правительство России отправило в Тобольскую ссылку Николая II и его семью (4962).</w:t>
      </w:r>
    </w:p>
    <w:p w14:paraId="1DC0597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34502A" w14:textId="77777777" w:rsidR="00952699" w:rsidRPr="002F2FDF" w:rsidRDefault="00952699" w:rsidP="0083075A">
      <w:pPr>
        <w:pStyle w:val="ae"/>
        <w:spacing w:before="0" w:after="0"/>
        <w:jc w:val="both"/>
        <w:rPr>
          <w:color w:val="000000" w:themeColor="text1"/>
          <w:kern w:val="2"/>
          <w:sz w:val="16"/>
          <w:szCs w:val="16"/>
        </w:rPr>
      </w:pPr>
      <w:r w:rsidRPr="002F2FDF">
        <w:rPr>
          <w:color w:val="000000" w:themeColor="text1"/>
          <w:kern w:val="2"/>
          <w:sz w:val="16"/>
          <w:szCs w:val="16"/>
        </w:rPr>
        <w:t>1 (14) августа 1917 бывший император Николай II вместе с семьей и прислугой был отправлен поездом из Петрограда в Тобольск. После отречения он жил под домашним арестом в Царском селе, но после июльского восстания большевиков и анархистов, ввиду усиления революционных настроений в городе, Временное правительство решило выслать императора с семьей для их же безопасности. Тобольск был выбран местом ссылки, поскольку к городу не подходила железная дорога, и из него было трудно незаметно сбежать. 17 августа поезд императорской семьи прибыл в Тюмень, откуда она на пароходах отправилась до Тобольска. Там для проживания бывшего императора и его близких был специально подготовлен дом губернатора (17045).</w:t>
      </w:r>
    </w:p>
    <w:p w14:paraId="2CF44EB9" w14:textId="77777777" w:rsidR="00952699" w:rsidRPr="002F2FDF" w:rsidRDefault="0095269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7CE5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августа 1917 г. была объявлена угольная государственная монополия, но фактически и она не была приведена в действие (11270).</w:t>
      </w:r>
    </w:p>
    <w:p w14:paraId="598108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425C5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7ADCBF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ABB28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августа 1917 глава Временного правительства А. Керенский в телеграмме английскому королю Георгу пообещал, что Россия будет вести войну до победного конца (4962).</w:t>
      </w:r>
    </w:p>
    <w:p w14:paraId="32EC7F7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E3E33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2F2FDF">
        <w:rPr>
          <w:rFonts w:ascii="Times New Roman" w:hAnsi="Times New Roman" w:cs="Times New Roman"/>
          <w:i/>
          <w:iCs/>
          <w:color w:val="000000" w:themeColor="text1"/>
          <w:kern w:val="2"/>
          <w:sz w:val="16"/>
          <w:szCs w:val="16"/>
        </w:rPr>
        <w:t>За</w:t>
      </w:r>
      <w:r w:rsidRPr="002F2FDF">
        <w:rPr>
          <w:rFonts w:ascii="Times New Roman" w:hAnsi="Times New Roman" w:cs="Times New Roman"/>
          <w:i/>
          <w:iCs/>
          <w:color w:val="000000" w:themeColor="text1"/>
          <w:kern w:val="2"/>
          <w:sz w:val="16"/>
          <w:szCs w:val="16"/>
          <w:lang w:val="en-US"/>
        </w:rPr>
        <w:t xml:space="preserve"> </w:t>
      </w:r>
      <w:r w:rsidRPr="002F2FDF">
        <w:rPr>
          <w:rFonts w:ascii="Times New Roman" w:hAnsi="Times New Roman" w:cs="Times New Roman"/>
          <w:i/>
          <w:iCs/>
          <w:color w:val="000000" w:themeColor="text1"/>
          <w:kern w:val="2"/>
          <w:sz w:val="16"/>
          <w:szCs w:val="16"/>
        </w:rPr>
        <w:t>рубежом</w:t>
      </w:r>
      <w:r w:rsidRPr="002F2FDF">
        <w:rPr>
          <w:rFonts w:ascii="Times New Roman" w:hAnsi="Times New Roman" w:cs="Times New Roman"/>
          <w:i/>
          <w:iCs/>
          <w:color w:val="000000" w:themeColor="text1"/>
          <w:kern w:val="2"/>
          <w:sz w:val="16"/>
          <w:szCs w:val="16"/>
          <w:lang w:val="en-US"/>
        </w:rPr>
        <w:t>:</w:t>
      </w:r>
    </w:p>
    <w:p w14:paraId="028F6D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5374F2C5" w14:textId="0CCB8E2C"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 xml:space="preserve">August </w:t>
      </w:r>
      <w:r w:rsidR="00CB2867" w:rsidRPr="00CB2867">
        <w:rPr>
          <w:rFonts w:ascii="Times New Roman" w:hAnsi="Times New Roman" w:cs="Times New Roman"/>
          <w:color w:val="000000" w:themeColor="text1"/>
          <w:kern w:val="2"/>
          <w:sz w:val="16"/>
          <w:szCs w:val="16"/>
          <w:lang w:val="en-US"/>
        </w:rPr>
        <w:t>1 (</w:t>
      </w:r>
      <w:r w:rsidRPr="002F2FDF">
        <w:rPr>
          <w:rFonts w:ascii="Times New Roman" w:hAnsi="Times New Roman" w:cs="Times New Roman"/>
          <w:color w:val="000000" w:themeColor="text1"/>
          <w:kern w:val="2"/>
          <w:sz w:val="16"/>
          <w:szCs w:val="16"/>
          <w:lang w:val="en-US"/>
        </w:rPr>
        <w:t>14</w:t>
      </w:r>
      <w:r w:rsidR="00CB2867" w:rsidRPr="00CB2867">
        <w:rPr>
          <w:rFonts w:ascii="Times New Roman" w:hAnsi="Times New Roman" w:cs="Times New Roman"/>
          <w:color w:val="000000" w:themeColor="text1"/>
          <w:kern w:val="2"/>
          <w:sz w:val="16"/>
          <w:szCs w:val="16"/>
          <w:lang w:val="en-US"/>
        </w:rPr>
        <w:t>)</w:t>
      </w:r>
      <w:r w:rsidRPr="002F2FDF">
        <w:rPr>
          <w:rFonts w:ascii="Times New Roman" w:hAnsi="Times New Roman" w:cs="Times New Roman"/>
          <w:color w:val="000000" w:themeColor="text1"/>
          <w:kern w:val="2"/>
          <w:sz w:val="16"/>
          <w:szCs w:val="16"/>
          <w:lang w:val="en-US"/>
        </w:rPr>
        <w:t>, 1917 In an experiment initiated through the impetus of Rear Admiral B. A. Fiske, and conducted by Lieutenant E. O. McDonnell at Huntington Bay, Long Island, a dummy torpedo was launched from a seaplane, but struck the water at an unfavorable angle and ricocheted, nearly striking the plane. This event marked the beginning of serious Navy interest in launching torpedoes from aircraft (1090).</w:t>
      </w:r>
    </w:p>
    <w:p w14:paraId="489255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30E5CE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lang w:val="en-US"/>
        </w:rPr>
        <w:t xml:space="preserve">1 (14) </w:t>
      </w:r>
      <w:r w:rsidRPr="002F2FDF">
        <w:rPr>
          <w:rFonts w:ascii="Times New Roman" w:hAnsi="Times New Roman" w:cs="Times New Roman"/>
          <w:color w:val="000000" w:themeColor="text1"/>
          <w:kern w:val="2"/>
          <w:sz w:val="16"/>
          <w:szCs w:val="16"/>
        </w:rPr>
        <w:t>августа</w:t>
      </w:r>
      <w:r w:rsidRPr="002F2FDF">
        <w:rPr>
          <w:rFonts w:ascii="Times New Roman" w:hAnsi="Times New Roman" w:cs="Times New Roman"/>
          <w:color w:val="000000" w:themeColor="text1"/>
          <w:kern w:val="2"/>
          <w:sz w:val="16"/>
          <w:szCs w:val="16"/>
          <w:lang w:val="en-US"/>
        </w:rPr>
        <w:t xml:space="preserve"> 1917 </w:t>
      </w:r>
      <w:r w:rsidRPr="002F2FDF">
        <w:rPr>
          <w:rFonts w:ascii="Times New Roman" w:hAnsi="Times New Roman" w:cs="Times New Roman"/>
          <w:color w:val="000000" w:themeColor="text1"/>
          <w:kern w:val="2"/>
          <w:sz w:val="16"/>
          <w:szCs w:val="16"/>
        </w:rPr>
        <w:t>вэксперименте</w:t>
      </w:r>
      <w:r w:rsidRPr="002F2FDF">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rPr>
        <w:t>инициированном</w:t>
      </w:r>
      <w:r w:rsidRPr="002F2FDF">
        <w:rPr>
          <w:rFonts w:ascii="Times New Roman" w:hAnsi="Times New Roman" w:cs="Times New Roman"/>
          <w:color w:val="000000" w:themeColor="text1"/>
          <w:kern w:val="2"/>
          <w:sz w:val="16"/>
          <w:szCs w:val="16"/>
          <w:lang w:val="en-US"/>
        </w:rPr>
        <w:t xml:space="preserve"> Rear Admiral B. A. Fiske, </w:t>
      </w:r>
      <w:r w:rsidRPr="002F2FDF">
        <w:rPr>
          <w:rFonts w:ascii="Times New Roman" w:hAnsi="Times New Roman" w:cs="Times New Roman"/>
          <w:color w:val="000000" w:themeColor="text1"/>
          <w:kern w:val="2"/>
          <w:sz w:val="16"/>
          <w:szCs w:val="16"/>
        </w:rPr>
        <w:t>ивыполненном</w:t>
      </w:r>
      <w:r w:rsidRPr="002F2FDF">
        <w:rPr>
          <w:rFonts w:ascii="Times New Roman" w:hAnsi="Times New Roman" w:cs="Times New Roman"/>
          <w:color w:val="000000" w:themeColor="text1"/>
          <w:kern w:val="2"/>
          <w:sz w:val="16"/>
          <w:szCs w:val="16"/>
          <w:lang w:val="en-US"/>
        </w:rPr>
        <w:t xml:space="preserve"> Lieutenant E. O. McDonnell at Huntington Bay, Long Island, </w:t>
      </w:r>
      <w:r w:rsidRPr="002F2FDF">
        <w:rPr>
          <w:rFonts w:ascii="Times New Roman" w:hAnsi="Times New Roman" w:cs="Times New Roman"/>
          <w:color w:val="000000" w:themeColor="text1"/>
          <w:kern w:val="2"/>
          <w:sz w:val="16"/>
          <w:szCs w:val="16"/>
        </w:rPr>
        <w:t>неуправляемаяторпедабыласброшенасгидроплана</w:t>
      </w:r>
      <w:r w:rsidRPr="002F2FDF">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rPr>
        <w:t>новошлавводуподнеправильнымугломисрекошетировала</w:t>
      </w:r>
      <w:r w:rsidRPr="002F2FDF">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rPr>
        <w:t>Эксперимент начал целую серию испытаний флота США по сбросу торпед с самолетов (1090).</w:t>
      </w:r>
    </w:p>
    <w:p w14:paraId="7B3508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8957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1 (14) августа 1917 Китай объявил войну Германии (2443,388) и Австро-Венгрии (3907,91).</w:t>
      </w:r>
    </w:p>
    <w:p w14:paraId="7BF6B5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94A4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августа 1917 Папа Бенедикт XV предпринял попытку восстановить мир в Европе (3907,91).</w:t>
      </w:r>
    </w:p>
    <w:p w14:paraId="5B77C8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5B3AB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FE867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D5B9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 по 15 (15 -28) августа 1917 проходили испытания лл М-20 Д.П.Г. Проводила комиссия Опытного аэродрома при Петроградской школе морской авиации в составе пор. Е.Н.Хельвас, прап. И.К.Иванов и охотника В.Т.Лебедева. Летали с Рон 125 нр и винтом диаметром 260 мм и шагом 195 мм. Машина с трудом вставала на редан и взлетала из-за утяжеления (2808,23).</w:t>
      </w:r>
    </w:p>
    <w:p w14:paraId="1F33FD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844E2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6B758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BEBC04"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августа 1917 г. при секретном рапорте начальником Воздушной дивизии Балтийского флота капитаном 1 ранга В.В. Ковалевским командующему флотом был представлен доклад Краткая объяснительная записка о развертывании Воздушной дивизии [1] Балтийского флота по мобилизации</w:t>
      </w:r>
    </w:p>
    <w:p w14:paraId="1A3FE775"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Весьма секретно</w:t>
      </w:r>
    </w:p>
    <w:p w14:paraId="209F2CAD"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Воздушную дивизию, как и линейный флот, желательно было бы держать в мирное время в том же составе, как и в военное, но ввиду быстрого роста авиационной техники дивизия, укомплектованная к моменту начала военных действий, вступила бы с устарелыми типами. Приняв во внимание быструю постройку аппаратов можно удовлетвориться в мирное время уменьшенным составом дивизии (около 50 % боевого комплектования), чему соответствует, со включением 3 отрядов аэроминоносцев и 2 отрядов сухопутных истребителей, состав боевых средств Воздушной дивизии, указанных в плане кампании на 1917 год [2].</w:t>
      </w:r>
    </w:p>
    <w:p w14:paraId="1581B308"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опыта текущей войны выяснилось, что развертывание такой части как авиация, связанной с долговременными сооружениями и длительностью подготовки личного состава (от 6 до 12 месяцев), крайне затруднительно. Поэтому необходимо, составив план мобилизации, заблаговременно, до выполнения его, сделать некоторые подготовительные работы, как например постройку постоянных станций и постов и устройство спусков и некоторых сооружений на постах военного времени. По мобилизации же придется докончить оборудование постов военного времени и довести состав дивизии аппаратами и летчиками до комплекта военного времени, считая срок полного указанного укомплектования примерно около 6 месяцев.</w:t>
      </w:r>
    </w:p>
    <w:p w14:paraId="2BBDE6A4"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 как составление плана мобилизации должно исходить из того максимума действующих сил, которое необходимо будет развернуть, то в первую очередь и возникает вопрос о количестве аппаратов, предположенных к действию во время войны, на основании тех оперативных задач, которые возлагаются на Воздушную дивизию. На Воздушную дивизию возлагается:</w:t>
      </w:r>
    </w:p>
    <w:p w14:paraId="2F45E5EA"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Дальняя морская разведка.</w:t>
      </w:r>
    </w:p>
    <w:p w14:paraId="27920EA9"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Периодическое наблюдение за прибрежной полосой и установление линии завес по тревоге.</w:t>
      </w:r>
    </w:p>
    <w:p w14:paraId="29493C44"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Противодействие неприятельской воздушной разведке.</w:t>
      </w:r>
    </w:p>
    <w:p w14:paraId="7999D27E"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Борьба с подводными лодками.</w:t>
      </w:r>
    </w:p>
    <w:p w14:paraId="1D2D2B27"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Помощь флоту в его операциях.</w:t>
      </w:r>
    </w:p>
    <w:p w14:paraId="68DD48EA"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Защита стоянок кораблей, портов и воздушных станций от налетов противника.</w:t>
      </w:r>
    </w:p>
    <w:p w14:paraId="0C43195E"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Активные выступления против неприятельских судов и прибрежных сооружений.</w:t>
      </w:r>
    </w:p>
    <w:p w14:paraId="0530F542"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выполнения всех задач необходимо будет иметь в составе дивизии различные типы аппаратов, соответствующие своему назначению.</w:t>
      </w:r>
    </w:p>
    <w:p w14:paraId="423D8ABE"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Для дальней морской разведки необходимы аппараты с большим запасом горючего. К такому типу подходят уже строящиеся на заводе Щетинина "аппараты особого назначения" (аэроминоносцы)[3] с запасом горючего на 7-8 часов полета, то есть могущие отлететь от совей базы на 350-400 километров.</w:t>
      </w:r>
    </w:p>
    <w:p w14:paraId="4E00637B"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Для ближней разведки тип аппарата уже имеется - это М-15 (Щ.И.)[4] со скоростью около 130 километров и запасом на 4-5 часов полета.</w:t>
      </w:r>
    </w:p>
    <w:p w14:paraId="7FF531F5"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Для борьбы с подводными лодками наиболее подходящим типом является аппарат типа М-9 (Щ.С.)[5].</w:t>
      </w:r>
    </w:p>
    <w:p w14:paraId="7C8A80C2"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Для борьбы с неприятельской разведкой и защиты портов, станций и кораблей от налетов противника необходим аппарат типа истребитель, то есть обладающий большой скоростью и хорошей управляемостью. Такого аппарата в морской авиации еще нет, но уже производятся опыты с несколькими вариантами этого типа и к весне 1918 года, надо полагать, они войдут в строй [6].</w:t>
      </w:r>
    </w:p>
    <w:p w14:paraId="687A7CF3"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Пока еще нет морских истребителей, взамен их, а потом и совместно с ними, для выполнения вышеизложенных задач нужны сухопутные истребители [7].</w:t>
      </w:r>
    </w:p>
    <w:p w14:paraId="3E185476"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Ввиду климатических условий Балтийского моря необходимо будет иметь еще тип аппарата "зимний" [8], могущий подниматься и садиться на лед и снег.</w:t>
      </w:r>
    </w:p>
    <w:p w14:paraId="466D1912"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выполнения остальных задач новых типов аппаратов не потребуется, так как все указанные выше пригодны, аэроминоносцы будут служить бомбовозами, разведчики - для мелкого бомбометания, истребители для охраны первых двух. Таким образом в состав дивизии должны будут войти 6 типов аппаратов.</w:t>
      </w:r>
    </w:p>
    <w:p w14:paraId="62679816"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силы Воздушной дивизии необходимо расположить по всему району предполагаемых действий, а так как они должны опираться на станции и посты, то следовательно необходимо расположить последние в зависимости от оперативных заданий. Расположение станций и постов, с указанием возлагаемых на них задач и вытекающим отсюда составом и числом отрядов, опирающихся на них, ниже указаны:</w:t>
      </w:r>
    </w:p>
    <w:p w14:paraId="3B4267F2"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Станции и посты южного берега</w:t>
      </w:r>
    </w:p>
    <w:p w14:paraId="7D9A9497"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Ревель - станция. Главная база южного берега, а потому оборудованная возможно лучше. Служит главным складом и для долговременного ремонта аппаратов. Задачи: 1) наблюдение за районом Кокшер - Нарген; 2) борьба с подлодками в этом районе; 3) поддержка флота на Центральной позиции [9];</w:t>
      </w:r>
    </w:p>
    <w:p w14:paraId="2E43515A"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воздушная оборона порта и стоянки кораблей. Необходимые силы: 2 отряда разведчиков, 1 отряд морских истребителей.</w:t>
      </w:r>
    </w:p>
    <w:p w14:paraId="6794C422"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Балтийский порт - пост военного времени. Опирается на Ревель. Задачи: 1) наблюдение за морем в районе Суроп - Неугрунд; 2) борьба с подлодками в этом же районе. Необходимые силы: 1 отряд разведчиков.</w:t>
      </w:r>
    </w:p>
    <w:p w14:paraId="51352F68"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Оденсхольм - пост военного времени. Опирается на Ревель. Задачи: 1) наблюдение за морем в районе Оденсхольм - Штапельботтен; 2) борьба с подлодками в этом районе. Необходимые силы: 1 отряд разведчиков.</w:t>
      </w:r>
    </w:p>
    <w:p w14:paraId="00688792"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Гапсаль - станция снабжающая посты Гогенгольм и Вердер. Вследствие его положения на конечном пункте железной дороги слижет разгрузочным пунктом для станции Эзеля. Задачи: 1) наблюдение за морем в районе Такхона - Штапельботтен; 2) борьба с подлодками в этом районе; 3) помощь флоту на передовой позиции. Необходимые силы: 1 отряд разведчиков, 1 отряд аэроминоносцев.</w:t>
      </w:r>
    </w:p>
    <w:p w14:paraId="452596E6"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Гогенгольм - пост, опирается на Гапсаль. Задачи: 1) наблюдение за морем в районе Такхона - створа Дагерортов; 2) борьба с подлодками в этом районе; 3) помощь флоту на Передовой позиции [10]; 4) атака аппаратов противника, направляющихся на ост или возвращающихся оттуда; 5) дальняя морская разведка на вест. Необходимые силы: 1 отряд разведчиков, 1 отряд морских истребителей, 1 отряд аэроминоносцев.</w:t>
      </w:r>
    </w:p>
    <w:p w14:paraId="4E1ACB80"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Вердер - пост. Опирается на Гапсаль. Задачи: 1) наблюдение за нордовой частью Рижского залива; 2) борьба с подлодками в этом же районе; 3) воздушная охрана стоянки в Куйвасто и базы в Рогекюль. Необходимые силы: 1 отряд разведчиков, 1 отряд морских истребителей, 1 отряд сухопутных истребителей (на Мооне).</w:t>
      </w:r>
    </w:p>
    <w:p w14:paraId="74FDBC79"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Кильконд - станция. Необходимость иметь на Эзеле станцию, не связанную удобными путями сообщения, вызывается обособленностью всех частей авиации, расположенных на Эзеле и нуждающихся в опорном пункте. Как станция Кильконд снабжает посты Аренсбург, Церель, Соэло-Зунд и дежурство на Руно. Задачи: 1) дальняя морская разведка к Готска-Сандэ и на зюйд-вест; 2) наблюдение за морем на 30-40 миль в секторе от веста до зюйд-веста; 3) борьба с подлоками в этом районе; 4) помощь флоту при защите Ирбенской позиции [11]. Необходимые силы: 1 отряд аэроминоносцев, 1 отряд разведчиков, 1 отряд сухопутных истребителей.</w:t>
      </w:r>
    </w:p>
    <w:p w14:paraId="45345908"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Аренсбург - пост. Опирается на Кильконд. Ввиду близости Цереля казался бы и не нужным. Обстановка же требует сосредоточения больших воздушных сил в этом районе. Базирование на один пост крайне затрудняло бы их действия и подвергало бы опасности сразу почти все силы этого района, а потому и необходимо их разделение. Задачи: 1) защита судов на Аренсбургском рейде; 2) наблюдение за Ирбенским проливом; 3) противодействие разведке противника. Необходимые силы: 1 отряд разведчиков, 1 отряд морских истребителей, 1 отряд сухопутных истребителей.</w:t>
      </w:r>
    </w:p>
    <w:p w14:paraId="0448511D"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Церель - пост. Опирается на Кильконд. Задачи: 1) наблюдение за Ирбенским проливом; 2) помощь флоту при защите Ирбенской позиции; 3) противодействие разведке противника; 4) воздушная охрана батарей Цереля[12] и судов; 5) корректировка стрельбы батарей. Необходимые силы: </w:t>
      </w:r>
    </w:p>
    <w:p w14:paraId="655C8AC4"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отряда разведчиков, 1 отряд морских истребителей, 1 отряд сухопутных истребителей.</w:t>
      </w:r>
    </w:p>
    <w:p w14:paraId="2A447B1D"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Соэло-Зунд - пост военного времени. Опирается на Кильконд. Задачи: 1) наблюдение за морем в районе от Дагерортов до Ундвы; 2) борьба с подлодками в этом районе. 1 отряд истребителей.</w:t>
      </w:r>
    </w:p>
    <w:p w14:paraId="2033CF52"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Руно - дежурство истребителей с Цереля. Выставляется в военное время.</w:t>
      </w:r>
    </w:p>
    <w:p w14:paraId="7EA530B6"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Станции и посты северного берега</w:t>
      </w:r>
    </w:p>
    <w:p w14:paraId="224AB19A"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Дегерэ - станция обслуживающая посты Казберг, Эккерэ и Юрмо. Задачи: 1) дальняя морская разведка на зюйд; 2) наблюдение за морем к шведским берегам и к Богшеру; 3) борьба с подлодками в этом районе; 4) атака воздушных сил противника подлетающих к шхерам. Необходимые силы: 1 отряд аэроминоносцев, 1 отряд разведчиков, 1 отряд морских истребителей.</w:t>
      </w:r>
    </w:p>
    <w:p w14:paraId="268C219C"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Эккерэ - пост. Опирается на Дегерэ. Задачи: 1) наблюдение за Оландсгафом; 2) борьба с подлодками в этом районе; 3) осмотр пароходов [13]; 4) атака воздушных сил неприятеля, появляющихся в этом районе. </w:t>
      </w:r>
    </w:p>
    <w:p w14:paraId="68F22E25"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Необходимые силы: 1 отряд разведчиков, 1 отряд морских истребителей.</w:t>
      </w:r>
    </w:p>
    <w:p w14:paraId="2DE11E6E"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Казберг - пост, опирающийся на Дегерэ. Задачи: 1) наблюдение за районом к северу от Оланда; 2) борьба с подлодками в этом районе. Необходимые силы: 1 отряд разведчиков.</w:t>
      </w:r>
    </w:p>
    <w:p w14:paraId="30592566"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Юрмо - пост, опирающийся на Дегерэ. Задачи: 1) наблюдение за районом к югу от Утэ; 2) борьба с подлодками в этом районе; 3) атака воздушных сил противника при появлении их в этом районе. Необходимые силы: 1 отряд разведчиков, 1 отряд морских истребителей.</w:t>
      </w:r>
    </w:p>
    <w:p w14:paraId="66FC7FD0"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Юнгфрузунд - станция обслуживающая посты Лапвик, Паркалаудд и Гельсингфорс. Задачи: 1) наблюдение за районом к югу от Эрэ; 2) борьба с подлодками в этом районе; 3) помощь флоту в защите Передовой позиции. Необходимые силы: 1) 1 отряд аэроминоносцев, 1 отряд разведчиков.</w:t>
      </w:r>
    </w:p>
    <w:p w14:paraId="7FC02C85"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Лапвик - пост, опирающийся на Юнгфрузунд. Задачи: 1) наблюдение за районом к югу от Гангэ; 2) борьба с подлодками в этом районе; 3) атака воздушных сил противника в прилегающем районе. Необходимые силы: 1 отряд разведчиков, 1 отряд морских истребителей.</w:t>
      </w:r>
    </w:p>
    <w:p w14:paraId="0A78E1FB"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Паркалаудд - пост военного времени, опирающийся на Юнгфрузунд. Задачи: </w:t>
      </w:r>
    </w:p>
    <w:p w14:paraId="5A8210CE"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наблюдение за морем в районе Кальбоден-Эрансгрунд; 2) борьба с подлодками в этом районе; 3) корректировка стрельбы батарей. Необходимые силы: 1 отряд разведчиков.</w:t>
      </w:r>
    </w:p>
    <w:p w14:paraId="4ACB98A2"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Гельсингфорс - пост, опирающийся на Юнгфрузунд. Задачи: 1) наблюдение за входом в Свеаборг; 2) воздушная охрана порта и кораблей. Необходимые силы: 1 отряд разведчиков, 1 отряд морских истрелителей.</w:t>
      </w:r>
    </w:p>
    <w:p w14:paraId="7FAB6AF8"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Або - станция. Центр северного берега, склад для всех станций для долговременного ремонта аппаратов. Снабжает посты Люпертэ, Раумо и Менталуото. Единственная станция северного берега, лежащая на железной дороге (кроме постов), а потому служащая разгрузочным пунктом всего Оландского района. Задачи: 1) воздушная защита порта Або; 2) резерв для северного берега. Необходимые силы: 1 отряд разведчиков, 1 отряд морских истребителей.</w:t>
      </w:r>
    </w:p>
    <w:p w14:paraId="6E33B06A"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Люпертэ - пост, опирающийся на Або. Задачи: 1) наблюдение за районом Эншера; 2) борьба с подлодками в этом районе. Необходимые силы: 1 отряд разведчиков.</w:t>
      </w:r>
    </w:p>
    <w:p w14:paraId="5003CA51"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Ментилуотто - пост, опирающийся на Або. Задачи: 1) наблюдение за районом к весту; 2) борьба с подлодками в этом районе. Необходимые силы: 1 отряд разведчиков.</w:t>
      </w:r>
    </w:p>
    <w:p w14:paraId="3C757059"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Раумо - пост военного времени, опирающийся на Або. Задачи: 1) наблюдение за районом к весту; 2) борьба с подлодками в этом районе. Необходимые силы: 1 отряд разведчиков.</w:t>
      </w:r>
    </w:p>
    <w:p w14:paraId="0063E7E5"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Корабельный отряд на авиационном судне "Орлица" [14]. Ввиду устарелости корабля служит для усиления средств в необходимых районах, а корабль как плавучая мастерская. Необходимо теперь же взамен "Орлицы" заказать авиационный корабль на 6 действующих аппаратов [15] для совместного действия с разведчиками-крейсерами, то есть с ходом как и у крейсеров. </w:t>
      </w:r>
    </w:p>
    <w:p w14:paraId="13C3DC57"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Проект такого корабля уже есть у инженера Шишкова [16].</w:t>
      </w:r>
    </w:p>
    <w:p w14:paraId="5BE8A629"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Примечания: 1) посты военного времени должны быть в мирное время подготовлены для развертывания, то есть на них устанавливаются и поддерживаются постоянные спуски, а также подготовляются площадки для ангар, половинный запас коих должен иметься в дивизии на хранении; 2) большое сосредоточение сил в Рижском заливе объясняется важностью этого района и условиями полетов (наличие неприятельских воздушных сил), а также и тем, что в случае возвращения нам Виндавы и Либавы туда будут выдвинуты отряды. В Либаву: 1 отряд разведчиков с Цереля, 1 отряд морских истребителей из Аренсбурга, 1 отряд больших аппаратов с Кильконда. В Виндаву: 1 отряд разведчиков и 1 отряд морских истребителей с Вердера.</w:t>
      </w:r>
    </w:p>
    <w:p w14:paraId="073B4FB7"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Состав отрядов определяется в 6 действующих аппаратов для отрядов разведчиков и истребителей и в 4 для аэроминоносцев. Для того чтобы число действующих аппаратов в отряде всегда было бы полное необходим запас, который из опыта и расчетов определяется в 50 % для разведочных отрядов, в 100 % для истребительных и корабельных и в 25 % для больших аппаратов, от числа действующих в отряде.</w:t>
      </w:r>
    </w:p>
    <w:p w14:paraId="096DDCDA"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Отряды комплектуются из однородного типа аппаратов, кроме отрядов разведчиков, имеющих двоякое назначение: разведку и борьбу с подлодками. </w:t>
      </w:r>
    </w:p>
    <w:p w14:paraId="56BE419B"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Если отряд разведчиков имеет главное назначение разведку, то в его состав входит 4 аппарата типа М-15 и 2 М-9, а если борьбу с подлодками, то 4 типа М-9 и 2 типа М-15. Кроме того, для зимнего времени в разведочные отряды включаются аппараты зимнего типа, которых в отряд входит 4 действующих и 1 запасной. Все аппараты по мере прогресса техники заменяются в отрядах соответствующими типами.</w:t>
      </w:r>
    </w:p>
    <w:p w14:paraId="5BE7A9CE"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отряды сводятся в дивизионы, причем число их колеблется от 5 до 11. Конечно, желательно было бы состав дивизионов иметь более равномерный, но этому препятствуют следующие причины: 1) расположение отрядов; 2) единство руководства действиями в одном районе; 3) удобство базирования каждого дивизиона на свою станцию. Три дивизиона, расположенных на южном берегу, составляют 1-ю Воздушную бригаду, а расположенные на северном - 2-ю Воздушную бригаду. Обе бригады вместе с корабельной авиацией составят Воздушную дивизию.</w:t>
      </w:r>
    </w:p>
    <w:p w14:paraId="616A1D26"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Подведя итог всех отрядов мы получим, что вся дивизия будет состоять из 24 отрядов разведчиков, 11 отрядов морских истребителей, 4 отрядов сухопутных истребителей, 5 отрядов аэроминоносцев и 1 корабельного отряда, что составляет 258 действующих аппаратов, 171 запасной и 120 зимних, всего 549 аппаратов.</w:t>
      </w:r>
    </w:p>
    <w:p w14:paraId="3EED286D"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Расположение отрядов по станциям и постам, количество отрядов в дивизионах и бригадах, число аппара тов по типам, положенных по военному и мирному времени, показано в прилагаемых таблицах [17].</w:t>
      </w:r>
    </w:p>
    <w:p w14:paraId="2B34AD79"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Воздушной дивизии Балтийского флота капитан 1 ранга Ковалевский [18]</w:t>
      </w:r>
    </w:p>
    <w:p w14:paraId="1EEFC690"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Флаг-офицер по оперативной части лейтенант Прозоров [19]</w:t>
      </w:r>
    </w:p>
    <w:p w14:paraId="6FA1405A"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РГАВМФ. Ф.479. Оп.1. Д.882. Л.8-12. Копия</w:t>
      </w:r>
    </w:p>
    <w:p w14:paraId="182EA5D3"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Формально его появление было вызвано распоряжением Морского Генерального штаба о составлении на кампанию 1918 г. плана развертывания дивизии "отвечающего предъявленным к ней оперативным требованиям". 6 августа документ был рассмотрен и принципиально одобрен комфлотом. </w:t>
      </w:r>
    </w:p>
    <w:p w14:paraId="509C3D22"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ПРИМЕЧАНИЯ</w:t>
      </w:r>
    </w:p>
    <w:p w14:paraId="14E22502"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 Воздушная дивизия Балтийского флота была создана согласно введенному приказом начальника Морского штаба верховного главнокомандующего № 428 от 30.11.1916 г. "Положению о службе морской авиации и воздухоплавания Российского императорского флота". Приказом командующего флотом Балтийского моря № 968 от 11.12.1916 г. был ликвидирован Авиационный отдел Службы связи Балтийского моря, на базе которого сформирована дивизия в составе двух воздушных бригад и отряда корабельной авиации. В 1-ю бригаду вошли части Балтийского воздушного района Службы связи, составившие 3 воздушных дивизиона по 3 отряда (6 действующих самолетов в каждом), 3 воздушные станции и 6 постов. Во 2-ю бригаду были включены части Ботнического воздушного района: два дивизиона по три и один из двух отрядов (6 самолетов в каждом), 3 станции и 6 постов. Отряд корабельной авиации имел 4 самолета и авиасудно "Орлица". По штату штаб начальника дивизии (контр-адмирал или вице-адмирал) составляли: флаг-капитан, флаг-офицер по оперативной части, старший флаг-офицер и флаг-офицер, флагманские летчик, штурман, минер, инженер-механик, артиллерийский офицер, врач, а также инженер по морской авиации, заведующие фотографией и воздушной съемкой, хозяйственной частью, центральными складами, центральными мастерскими. Воздушная дивизия была упразднена приказом по флоту и морведу № 335 от 27.04.1918 г., штаб расформирован, и на ее основе создана Воздушная бригада особого назначения. </w:t>
      </w:r>
    </w:p>
    <w:p w14:paraId="42B28788"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По Боевому расписанию Балтийского флота на 1917 г. в состав Воздушной дивизии входило 108 самолетов (Флот в Первой мировой войне. М., 1964. Т.I. Действия русского флота. С.251).</w:t>
      </w:r>
    </w:p>
    <w:p w14:paraId="56064306"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 Григорович тип ГАСН ("Гидроаэроплан специального назначения") торпедоносец, спроектированный по составленному в конце 1916 г. заданию Морского Генерального штаба и воздухоплавательного отделения Главного управления кораблестроения. На рубеже 1916-1917 гг. было заказано 10 аппаратов, испытания первого проводились в августе-сентябре 1917 г. Последний раз прототип поднимался в воздух в 1920 г. Характеристики: длина 28 м, площадь крыльев 150 м2, полезная нагрузка 1500 кг, двигатели 2x250 или 2x220 л.с., скорость ок. 100-120 км/ч, максимальная продолжительность полета 7 ч, вооружение 1-2 пулемета, 1 торпеда или до 480 кг бомб. Подробнее см.: Александров А.О. Аппараты Щетинина и Григоровича (Воздушные суда Российского императорского флота 1894-1917 гг. Т.1). СПб., 1998. С.80-85. </w:t>
      </w:r>
    </w:p>
    <w:p w14:paraId="4946161F"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 Григорович тип М-15 - гидроаэроплан, являвшийся развитием типа М-9. Аппарат был очень удачен, но производство сдерживалось нехваткой импортных моторов. Испытания прошли в конце 1916 г., в течение следующего года неоднократно модернизировался. Всего морским ведомством было заказано 75 аппаратов, поступило на флоты 54. Характеристики: размах крыльев 11,5 м, длина 8,4 м, вес пустого 840 кг, полезная нагрузка 350 кг, двигатель 1x150 л.с., скорость 125-130 км/ч, продолжительность полета 5 ч, вооружение - 1 пулемет, 65-100 кг бомб. Подробнее см.: Там же. С.60-67. Щ.И. обозначает "Щетинин с "Испано-Сюиза", то есть наименования фирмы - производителя гидроаэроплана и марки авиамотора. Этот буквенный код использовался также в бортовых номерах аппаратов, например Щ.И.-13. </w:t>
      </w:r>
    </w:p>
    <w:p w14:paraId="20CB6E0B"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5 Григорович тип М-9 - гидроаэроплан, являвшийся основной боевой машиной российской морской авиации на Балтике в кампании 1916 г. Испытывался в конце 1915 г. Между апрелем 1916 и октябрем 1917 гг. морским ведомством приобретено около 212 аппаратов, из которых на Балтийский флот поступило 86, не считая запасных. Характеристики: размах крыльев 16 м, длина 9 м, вес 1060 кг, полезная нагрузка 350-450 кг, двигатель 1x150 л.с., скорость 100-110 км/ч, продолжительность полета 5 ч, вооружение - 1 пулемет, до 100 кг бомб. Подробнее см.: Александров А.О. Гидроаэропланы М-9 и М-24. СПб., 1998. Кн.1; Кн.2. С.1-9. Щ.С. - "Щетинин с Сальмсоном". </w:t>
      </w:r>
    </w:p>
    <w:p w14:paraId="37495A1D"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 Новые гидроаэропланы-истребители в это время разрабатывались несколькими фирмами. В феврале 1917 г. техническое совещание при Отделе воздухоплавания ГУК постановило дать заказ на конструирование одномоторного истребителя компании С.С.Щетинина, причем к июлю следующего года морское ведомство хотело иметь 500 таких аппаратов. В апреле 1917 г. контракт на разработку нового истребителя в двух модификациях (М-17 и М-19) передали Опытному заводу Д.П. Григоровича. К ноябрю был создан М-17, поднявшийся в воздух в 1918 г. и имевший следующие характеристики: полезная нагрузка 250 кг, двигатель 1x135 л.с., скорость 150 км/ч, продолжительность полета 2 ч. В апреле 1917 г. морское ведомство заказало 50 истребителей Энгельс Э-III, обладавших сходными </w:t>
      </w:r>
      <w:r w:rsidRPr="002F2FDF">
        <w:rPr>
          <w:rFonts w:ascii="Times New Roman" w:hAnsi="Times New Roman" w:cs="Times New Roman"/>
          <w:color w:val="000000" w:themeColor="text1"/>
          <w:kern w:val="2"/>
          <w:sz w:val="16"/>
          <w:szCs w:val="16"/>
        </w:rPr>
        <w:lastRenderedPageBreak/>
        <w:t xml:space="preserve">характеристиками: размах крыльев 9 м, длина 7,5 м, вес пустого 385 кг, полезная нагрузка 250 кг, двигатель 1x120 л.с., скорость 160 км/ч, вооружение - 1 пулемет. К октябрю было построено два прототипа этого аппарата. Наконец летом-осенью 1917 г. испытывался еще один гидроаэроплан-истребитель - Виллиш ВМ-5. Подробнее см.: Александров А.О. Аппараты Щетинина и Григоровича. С.85-86, 88-91; Он же. Самолеты отечественной конструкции (Воздушные суда Российского императорского флота 1894-1917 гг. Т.2). СПб., 1996. С.44-45, 59-67. </w:t>
      </w:r>
    </w:p>
    <w:p w14:paraId="1412D445"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С июля 1917 г. на вооружение Воздушной дивизии стали поступать сухопутные истребители "Ньюпор-XVII" и "Ньюпор-XXI", в августе их было 10 машин. Об этих самолетах см.: Кондратьев В. Истребители Первой мировой войны. Ч.I. Самолеты Великобритании, Италии, России и Франции (Приложение 2 к журналу "Крылья Родины"). Б. м., б. г. С.50-51; Шавров В.Б. История конструкций самолетов в СССР до 1938 г. М., 1994. С.303.</w:t>
      </w:r>
    </w:p>
    <w:p w14:paraId="3166045A"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В августе 1916 г. МГШ предлагал компании В.А.Лебедева спроектировать на базе аппарата "Фарман-XXX" специальный гидроаэроплан, адаптированный к действиям со снежных и ледовых полей. Лебедев это предложение отклонил (Александров А.О. Самолеты отечественной конструкции. С.45). В ходе войны для взлета и посадки в зимних условиях переоборудовались серийные летающие лодки М-11, М-15, М-16, а также поплавковые гидросамолеты "Морис Фарман". На машине этого типа были совершены первые полеты в Арктике (Новая Земля) во время гидрографической экспедиции Б.А.Вилькицкого в 1914 г. См.: Шавров В.Б. История конструкций самолетов в СССР. С.166.</w:t>
      </w:r>
    </w:p>
    <w:p w14:paraId="31C1CDC2"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9 Центральная минно-артиллерийская позиция система прикрытых береговой артиллерией минных полей, преграждавших Финский залив по линии Нарген-Поркалаудд. Строительство батарей началось в 1912 г., к концу войны действовали 305-мм батареи на о. Макилото и Нарген, а также батареи 234-мм, 203-мм, 152-мм и 120-мм калибра. Подробнее см.: Амирханов Л.И. Морская крепость Императора Петра Великого. СПб., 1995. С.12-16, 37-41. </w:t>
      </w:r>
    </w:p>
    <w:p w14:paraId="72FF55E1"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Передовая позиция - минные заграждения в устье Финского залива, прикрытые огнем 305-мм батарей № 39 на мысе Тахкона о. Даго и № 60 на о. Эрэ Аландского архипелага. Оборудовалась в 1916 г., вступила в строй в 1917 г. Подробнее см.: Там же. С.42.</w:t>
      </w:r>
    </w:p>
    <w:p w14:paraId="488E80BD"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11 Ирбенская позиция - южная часть Моонзундской укрепленной позиции, включавшая береговые батареи на мысе Церель о. Эзель и минные заграждения, перекрывавшие Ирбенский пролив. </w:t>
      </w:r>
    </w:p>
    <w:p w14:paraId="1DEDB0FF"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Мыс Церель - южная оконечность п-ова Сворбе о. Эзель, где в течение 1916 - весны 1917 гг. были установлены четырехорудийные батареи: 305-мм № 43, 130-мм № 41 и 120-мм № 40. Их задачей являлось прикрытие минных заграждений в Ирбенском проливе. На эти батареи легла основная тяжесть борьбы с германским флотом, осенью 1917 г. прорывавшимся в Рижский залив. Подробнее см.: Амирханов Л.И. Морская крепость Императора Петра Великого. С.35-36, 48-57.</w:t>
      </w:r>
    </w:p>
    <w:p w14:paraId="42ABF46A"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13 Имеется ввиду наблюдение за судоходством в районе шведских территориальных вод с целью обнаружения германских транспортов. </w:t>
      </w:r>
    </w:p>
    <w:p w14:paraId="59CC4ED0"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14 "Орлица" - переоборудованный из парохода авиатранспорт, в 1915-1918 гг. входивший в состав Балтийского флота. Водоизмещение 3800 т, скорость хода 12 уз, 4 гидросамолета. Подробнее см.: Климовский С.Д. Авиационное судно "Орлица" // Гангут. Сб. ст. СПб., 1997. Вып. 12-бис. С.54-61. </w:t>
      </w:r>
    </w:p>
    <w:p w14:paraId="0DF86645"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Управление морской авиации и воздухоплавания 29.08.1917 г. предложило конструкторам Д.П. Григоровичу, А.Ю. Виллишу и П.А. Шишкову разработать на конкурсной основе истребитель, способный взлетать с корабельной катапульты и садиться на воду. В ноябре было заказано 5 аппаратов победившего типа Виллиш ВМ-6, и к весне следующего года почти окончен его прототип. Характеристики: размах крыльев 10 м, длина 7,1 м, вес пустого 571 кг, полезная нагрузка 214 кг, двигатель 1x200 л.с., продолжительность полета 2 ч, вооружение - 1 пулемет. Подробнее см.: Александров А.О. Самолеты отечественной конструкции. С.71-73.</w:t>
      </w:r>
    </w:p>
    <w:p w14:paraId="0D781D57"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16 В декабре 1913 - январе 1914 гг., по заданию МГШ, инженер по авиационной части Службы связи Балтийского моря П.А. Шишков разработал эсказный проект авиационного корабля - разведчика. Он имел водоизмещение 3000 т, скорость 30 уз и нес 4 гидросамолета. Для выпуска самолет выносился за борт на особой стреле, удерживаемый электромагнитом. Когда идущий на скорости против ветра корабль создавал достаточную подъемную силу, летчик включал мотор, разобщал электромагниты и взлетал параллельно борту. Этой же стрелой гидросамолет поднимался на корабль после приводнения. Специальная комиссия при МГШ, обсудив проект на заседании 08.02.1914 г., предложила Шишкову сконструировать приспособление для взлета гидроаэроплана непосредственно с корабля. Вопрос же о том, строить ли для флота специальное авиасудно, или базировать самолеты на крейсерах (одновременно, с участием Шишкова, проектировалось устройство для размещения гидроаэропланов на крейсере "Паллада"), решили передать для обсуждения тактическому отделению МГШ (РГАВМФ. Ф.418. Оп.1. Д.1919. Л.16, 50-51). Талантливый инженер Павел Александрович Шишков окончил кораблестроительное и воздухоплавательное отделение Санкт-Петербургского Политехнического института. В июле 1913 г. он сменил И.И. Сикорского на должности инженера по авиационной части службы Связи Балтийского моря. При этом Шишков не служил, а являлся вольнонаемным гражданским работником по контракту, заключенному на 2 года. Кроме самостоятельного проектирования он участвовал в испытаниях гидроаэропланов, рассмотрении предлагаемых морведу проектов, изучении зарубежных образцов. По окончании срока контракта в 1915 г. Шишков оставался техническим консультантом морского ведомства. В конце 1916 - начале 1917 гг. он был среди создателей и руководителей Авиационных мастерских и испытательной станции морведа - прообраза специализированного конструкторского бюро морской авиации. Шишковым были спроектированы торпедоносец, летающая лодка, поплавковый разведчик, истребитель, а также авиационная бомба, которой заинтересовалось британское Адмиралтейство. 17 Указанные приложения не публикуются, см.: РГАВМФ. Ф.479. Оп.1. Д.882. Л.13-15. </w:t>
      </w:r>
    </w:p>
    <w:p w14:paraId="540A55E4"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В рассматриваемый период на Балтийском флоте служили два капитана 1 ранга с такой фамилией: Сергей Владимирович, являвшийся начальником охраны водного района Свеаборгской крепости, и Владимир Владимирович, занимавший аналогичную должность в морской крепости Императора Петра Великого. Приказа о назначении начальника дивизии обнаружить не удалось, но так как ее главная база и штаб находились в Ревеле, то скорее всего речь идет о В.В. Ковалевском. Ковалевский 1-й Владимир Владимирович (1872-1950) - в 1892 г. окончил Морское училище, служил на ЧФ, в 1897 г. произведен в лейтенанты, был минным офицером на канонерских лодках и эскадренном броненосце "Двенадцать Апостолов", с декабря 1904 г. - старший офицер броненосца. В апреле 1906 г. переведен на Балтийский флот, командовал миноносцами, произведен за отличие в капитаны 2 ранга. С июня 1907 г. на Дальнем Востоке, был помощником командира Амурской флотилии по морской части, командовал отдельным отрядом судов, причисленных к Сибирской флотилии, затем 1-м дивизионом канонерских лодок. В сентябре 1909 г. возвращен на Балтику с назначением командиром строящейся канонерской лодки "Ардаган" и перешел с ней в 1911 г. на Каспийской море, где исполнял должность начальника Бакинского порта. В марте 1912 г. вернулся на Балтийский флот, произведен в капитаны 1 ранга за отличие, назначен флаг-капитаном штаба начальника бригарды ликоров эскадры БФ. С декабря 1912 г. являлся командиром линкора "Император Александр II" и помощником начальника Учебно-артиллерийского отряда, с сентября 1915 г. командовал линкором "Слава". В этой должности награжден орденами Св. Владимира 4 ст. с бантом и 3 ст. с мечами. Назначен 25.10.1916 г. начальником охраны водных районов морской крепости Императора Петра Великого. Уволен от службы в апреле 1918 г. В годы Гражданской войны занимал командные посты в Морском министерстве правительства А.В. Колчака, эмигрировал. С 1933 г. председатель кают-компании бывших русских морских офицеров на Филиппинах, в 1948-1949 гг. председатель их Общества в Сан-Франциско (РГАВМФ. Ф.406. Оп.9. Д.1835; Краткий обзор жизни Общества бывших русских морских офицеров за 25 лет его существования, с 1925 по 1950 г. Сан-Франциско, 1950. С.5-6).</w:t>
      </w:r>
    </w:p>
    <w:p w14:paraId="2B8DEA04" w14:textId="77777777" w:rsidR="003431D2" w:rsidRPr="002F2FDF" w:rsidRDefault="003431D2" w:rsidP="0083075A">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Прозоров Георгий Николаевич (1892-1919) - в 1912 г. окончил Морской корпус, в чине мичмана служил на крейсере "Россия", с 1913 г. на учебном судне "Верный" и крейсере "Аврора", затем командовал ротой в Кронштадтской школе юнг. В апреле 1915 г. назначен на авиатранспорт "Орлица", был ревизором, штурманским офицером, в декабре произведен в лейтенанты и награжден орденом Св. Станислава 3 ст. с мечами и бантом. С июня 1916 г. являлся флаг-офицером по авиационной части штаба начальника авиационного отдела Службы связи БФ, в сентябре награжден орденом Св. Анны 4 ст. с надписью "За храбрость". Назначен 31.12.1916 г. старшим флаг-офицером штаба начальника Воздушной дивизии БМ. Перешел на службу в РККФ, последняя должность - начальник Морского отделения штаба Южного фронта. Скончался от сыпного тифа (РГАВМФ. Ф.406. Оп.10. Д.П-117а; Ф.р-1. Оп.3. Д.21. Л.25) (11141).</w:t>
      </w:r>
    </w:p>
    <w:p w14:paraId="7E575B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EE6AE5" w14:textId="2C6C7468" w:rsidR="00E30864" w:rsidRPr="00FB4F67" w:rsidRDefault="00E3086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 (</w:t>
      </w:r>
      <w:r w:rsidRPr="00FB4F67">
        <w:rPr>
          <w:rFonts w:ascii="Times New Roman" w:hAnsi="Times New Roman" w:cs="Times New Roman"/>
          <w:color w:val="0070C0"/>
          <w:sz w:val="16"/>
          <w:szCs w:val="16"/>
        </w:rPr>
        <w:t>15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августа 1917 г. группа немецких самолетов (4 аппарата) совершила налет на ст. Воропаев Полеских дорог и сбросила четыре бомбы. В результате была разрушена баня земского союза, убиты заведующий баней, санитар и лошадь. Для отражения воздушных налетов в Молодечном районе наша охранная авиация несколько раз вступала в бой с немецкими самолетами. В основном противник пытался уклоняться от схваток с русскими летчиками (23405).</w:t>
      </w:r>
    </w:p>
    <w:p w14:paraId="5B87A65C" w14:textId="77777777" w:rsidR="00E30864" w:rsidRPr="00FB4F67" w:rsidRDefault="00E30864" w:rsidP="0083075A">
      <w:pPr>
        <w:spacing w:after="0" w:line="240" w:lineRule="auto"/>
        <w:jc w:val="both"/>
        <w:rPr>
          <w:rFonts w:ascii="Times New Roman" w:hAnsi="Times New Roman" w:cs="Times New Roman"/>
          <w:color w:val="0070C0"/>
          <w:sz w:val="16"/>
          <w:szCs w:val="16"/>
        </w:rPr>
      </w:pPr>
    </w:p>
    <w:p w14:paraId="3308F3A7" w14:textId="2FB36A57" w:rsidR="00E30864" w:rsidRPr="00FB4F67" w:rsidRDefault="00E3086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 (</w:t>
      </w:r>
      <w:r w:rsidRPr="00FB4F67">
        <w:rPr>
          <w:rFonts w:ascii="Times New Roman" w:hAnsi="Times New Roman" w:cs="Times New Roman"/>
          <w:color w:val="0070C0"/>
          <w:sz w:val="16"/>
          <w:szCs w:val="16"/>
        </w:rPr>
        <w:t>15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августа 1917 г. на Виленском направлении русские артиллеристы сбили сразу два неприятельских летательных аппарата. Один из них упал в расположении наших войск (восточнее оз. Вишневского), а другой - в расположении противника (западнее м. Крево) (23405).</w:t>
      </w:r>
    </w:p>
    <w:p w14:paraId="79780E67" w14:textId="77777777" w:rsidR="00E30864" w:rsidRPr="00FB4F67" w:rsidRDefault="00E30864" w:rsidP="0083075A">
      <w:pPr>
        <w:spacing w:after="0" w:line="240" w:lineRule="auto"/>
        <w:jc w:val="both"/>
        <w:rPr>
          <w:rFonts w:ascii="Times New Roman" w:hAnsi="Times New Roman" w:cs="Times New Roman"/>
          <w:color w:val="0070C0"/>
          <w:sz w:val="16"/>
          <w:szCs w:val="16"/>
        </w:rPr>
      </w:pPr>
    </w:p>
    <w:p w14:paraId="78561CC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A9B7B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E847A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августа 1917 Центральная Рада отвергла обвинения в тайных связях с австрийцами (4962).</w:t>
      </w:r>
    </w:p>
    <w:p w14:paraId="3F119AA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66A90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A6E1E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96A78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августа 1917 в Лондоне состоялся парад американских войск (4962).</w:t>
      </w:r>
    </w:p>
    <w:p w14:paraId="47A557E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29465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37CCE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1C1B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августа 1917 ТК УВВФ рассмотрел проект самолета - усовершенствованного Сопвича, предложенный л 30 као унтер-офицером И.Рябоконь. Двигатель - 80 нр с новой конструкцией крыльев и сбрасываемыми бензобаками. Одобрили и строили в мастерских 3 авиапарка, но не успели (3654).</w:t>
      </w:r>
    </w:p>
    <w:p w14:paraId="7F5680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82A67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 (16) августа 1917 Технический комитет УВВФ рассмотрел проект самолета, предложенный летчиком 30 КАО унтер-офицером Иваном Рябоконем. </w:t>
      </w:r>
      <w:bookmarkStart w:id="239" w:name="_Hlk119485938"/>
      <w:r w:rsidRPr="002F2FDF">
        <w:rPr>
          <w:rFonts w:ascii="Times New Roman" w:hAnsi="Times New Roman" w:cs="Times New Roman"/>
          <w:color w:val="000000" w:themeColor="text1"/>
          <w:kern w:val="2"/>
          <w:sz w:val="16"/>
          <w:szCs w:val="16"/>
        </w:rPr>
        <w:t xml:space="preserve">Самолет представлял собой усовершенствованный тип </w:t>
      </w:r>
      <w:r w:rsidRPr="002F2FDF">
        <w:rPr>
          <w:rFonts w:ascii="Times New Roman" w:hAnsi="Times New Roman" w:cs="Times New Roman"/>
          <w:smallCaps/>
          <w:color w:val="000000" w:themeColor="text1"/>
          <w:kern w:val="2"/>
          <w:sz w:val="16"/>
          <w:szCs w:val="16"/>
        </w:rPr>
        <w:t xml:space="preserve">сопеичэ </w:t>
      </w:r>
      <w:r w:rsidRPr="002F2FDF">
        <w:rPr>
          <w:rFonts w:ascii="Times New Roman" w:hAnsi="Times New Roman" w:cs="Times New Roman"/>
          <w:color w:val="000000" w:themeColor="text1"/>
          <w:kern w:val="2"/>
          <w:sz w:val="16"/>
          <w:szCs w:val="16"/>
        </w:rPr>
        <w:t>с двигателем Рон в 80 л.с. Особенность его состо</w:t>
      </w:r>
      <w:r w:rsidRPr="002F2FDF">
        <w:rPr>
          <w:rFonts w:ascii="Times New Roman" w:hAnsi="Times New Roman" w:cs="Times New Roman"/>
          <w:color w:val="000000" w:themeColor="text1"/>
          <w:kern w:val="2"/>
          <w:sz w:val="16"/>
          <w:szCs w:val="16"/>
        </w:rPr>
        <w:softHyphen/>
        <w:t>яла в.новой, оригинальной конструкции крыльев, сбрасываемых бензобаков и др. Комитет одобрил проект. Самолет строился в мастерских 3-го эвиапэрка, но медленно и до конца войны не был достроен. (ЦГВИА. ф.493, оп. 10, д.46, лл, 318-319).</w:t>
      </w:r>
    </w:p>
    <w:p w14:paraId="1338D1E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bookmarkEnd w:id="239"/>
    <w:p w14:paraId="50951556" w14:textId="55C24185" w:rsidR="0045750D" w:rsidRPr="0045750D" w:rsidRDefault="0045750D"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45750D">
        <w:rPr>
          <w:rFonts w:ascii="Times New Roman" w:hAnsi="Times New Roman" w:cs="Times New Roman"/>
          <w:color w:val="0070C0"/>
          <w:sz w:val="16"/>
          <w:szCs w:val="16"/>
        </w:rPr>
        <w:t>3 (16) августа 1917 г. Технич</w:t>
      </w:r>
      <w:r w:rsidR="00E30864">
        <w:rPr>
          <w:rFonts w:ascii="Times New Roman" w:hAnsi="Times New Roman" w:cs="Times New Roman"/>
          <w:color w:val="0070C0"/>
          <w:sz w:val="16"/>
          <w:szCs w:val="16"/>
        </w:rPr>
        <w:t>ес</w:t>
      </w:r>
      <w:r w:rsidRPr="0045750D">
        <w:rPr>
          <w:rFonts w:ascii="Times New Roman" w:hAnsi="Times New Roman" w:cs="Times New Roman"/>
          <w:color w:val="0070C0"/>
          <w:sz w:val="16"/>
          <w:szCs w:val="16"/>
        </w:rPr>
        <w:t>к</w:t>
      </w:r>
      <w:r w:rsidR="00E30864">
        <w:rPr>
          <w:rFonts w:ascii="Times New Roman" w:hAnsi="Times New Roman" w:cs="Times New Roman"/>
          <w:color w:val="0070C0"/>
          <w:sz w:val="16"/>
          <w:szCs w:val="16"/>
        </w:rPr>
        <w:t>т</w:t>
      </w:r>
      <w:r w:rsidRPr="0045750D">
        <w:rPr>
          <w:rFonts w:ascii="Times New Roman" w:hAnsi="Times New Roman" w:cs="Times New Roman"/>
          <w:color w:val="0070C0"/>
          <w:sz w:val="16"/>
          <w:szCs w:val="16"/>
        </w:rPr>
        <w:t xml:space="preserve">й комитет УВВФ рассмотрел проект самолета, предложенный летчиком 30 КАО унтер -офицером Иваном Рябоконем. </w:t>
      </w:r>
      <w:r w:rsidRPr="0045750D">
        <w:rPr>
          <w:rFonts w:ascii="Times New Roman" w:hAnsi="Times New Roman" w:cs="Times New Roman"/>
          <w:color w:val="0070C0"/>
          <w:kern w:val="2"/>
          <w:sz w:val="16"/>
          <w:szCs w:val="16"/>
        </w:rPr>
        <w:t>Самолет представлял собой усовершенствованный тип Сопвич</w:t>
      </w:r>
      <w:r w:rsidRPr="0045750D">
        <w:rPr>
          <w:rFonts w:ascii="Times New Roman" w:hAnsi="Times New Roman" w:cs="Times New Roman"/>
          <w:smallCaps/>
          <w:color w:val="0070C0"/>
          <w:kern w:val="2"/>
          <w:sz w:val="16"/>
          <w:szCs w:val="16"/>
        </w:rPr>
        <w:t xml:space="preserve"> </w:t>
      </w:r>
      <w:r w:rsidRPr="0045750D">
        <w:rPr>
          <w:rFonts w:ascii="Times New Roman" w:hAnsi="Times New Roman" w:cs="Times New Roman"/>
          <w:color w:val="0070C0"/>
          <w:kern w:val="2"/>
          <w:sz w:val="16"/>
          <w:szCs w:val="16"/>
        </w:rPr>
        <w:t>с двигателем Рон в 80 л.с. Особенность его состо</w:t>
      </w:r>
      <w:r w:rsidRPr="0045750D">
        <w:rPr>
          <w:rFonts w:ascii="Times New Roman" w:hAnsi="Times New Roman" w:cs="Times New Roman"/>
          <w:color w:val="0070C0"/>
          <w:kern w:val="2"/>
          <w:sz w:val="16"/>
          <w:szCs w:val="16"/>
        </w:rPr>
        <w:softHyphen/>
        <w:t>яла в новой, оригинальной конструкции крыльев, сбрасываемых бензобаков и др. Комитет одобрил проект. Самолет строился в мастерских 3-го авиапарка, но медленно и до конца войны не был достроен.</w:t>
      </w:r>
    </w:p>
    <w:p w14:paraId="0260741D" w14:textId="77777777" w:rsidR="0045750D" w:rsidRPr="0045750D" w:rsidRDefault="0045750D"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45750D">
        <w:rPr>
          <w:rFonts w:ascii="Times New Roman" w:hAnsi="Times New Roman" w:cs="Times New Roman"/>
          <w:color w:val="0070C0"/>
          <w:kern w:val="2"/>
          <w:sz w:val="16"/>
          <w:szCs w:val="16"/>
        </w:rPr>
        <w:t>/ЦГВИА. ф.493, оп. 10, д. 46, лл. 318-319)/ (23320).</w:t>
      </w:r>
    </w:p>
    <w:p w14:paraId="187C8839" w14:textId="77777777" w:rsidR="0045750D" w:rsidRPr="0045750D" w:rsidRDefault="0045750D" w:rsidP="0083075A">
      <w:pPr>
        <w:spacing w:after="0" w:line="240" w:lineRule="auto"/>
        <w:jc w:val="both"/>
        <w:rPr>
          <w:rFonts w:ascii="Times New Roman" w:hAnsi="Times New Roman" w:cs="Times New Roman"/>
          <w:color w:val="0070C0"/>
          <w:sz w:val="16"/>
          <w:szCs w:val="16"/>
        </w:rPr>
      </w:pPr>
    </w:p>
    <w:p w14:paraId="3788873B" w14:textId="49533747" w:rsidR="0045750D" w:rsidRPr="00815ED5" w:rsidRDefault="0045750D"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3 </w:t>
      </w:r>
      <w:r>
        <w:rPr>
          <w:rFonts w:ascii="Times New Roman" w:hAnsi="Times New Roman" w:cs="Times New Roman"/>
          <w:color w:val="0070C0"/>
          <w:sz w:val="16"/>
          <w:szCs w:val="16"/>
        </w:rPr>
        <w:t xml:space="preserve">(16) </w:t>
      </w:r>
      <w:r w:rsidRPr="00815ED5">
        <w:rPr>
          <w:rFonts w:ascii="Times New Roman" w:hAnsi="Times New Roman" w:cs="Times New Roman"/>
          <w:color w:val="0070C0"/>
          <w:sz w:val="16"/>
          <w:szCs w:val="16"/>
        </w:rPr>
        <w:t xml:space="preserve">августа </w:t>
      </w:r>
      <w:r>
        <w:rPr>
          <w:rFonts w:ascii="Times New Roman" w:hAnsi="Times New Roman" w:cs="Times New Roman"/>
          <w:color w:val="0070C0"/>
          <w:sz w:val="16"/>
          <w:szCs w:val="16"/>
        </w:rPr>
        <w:t>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815ED5">
        <w:rPr>
          <w:rFonts w:ascii="Times New Roman" w:hAnsi="Times New Roman" w:cs="Times New Roman"/>
          <w:color w:val="0070C0"/>
          <w:sz w:val="16"/>
          <w:szCs w:val="16"/>
        </w:rPr>
        <w:t>остоялось испытание авиадвигателя конструкции меха</w:t>
      </w:r>
      <w:r w:rsidRPr="00815ED5">
        <w:rPr>
          <w:rFonts w:ascii="Times New Roman" w:hAnsi="Times New Roman" w:cs="Times New Roman"/>
          <w:color w:val="0070C0"/>
          <w:sz w:val="16"/>
          <w:szCs w:val="16"/>
        </w:rPr>
        <w:softHyphen/>
        <w:t xml:space="preserve">ника завода "Гном" Ивана Антоновича </w:t>
      </w:r>
      <w:r>
        <w:rPr>
          <w:rFonts w:ascii="Times New Roman" w:hAnsi="Times New Roman" w:cs="Times New Roman"/>
          <w:color w:val="0070C0"/>
          <w:sz w:val="16"/>
          <w:szCs w:val="16"/>
        </w:rPr>
        <w:t>Г</w:t>
      </w:r>
      <w:r w:rsidRPr="00815ED5">
        <w:rPr>
          <w:rFonts w:ascii="Times New Roman" w:hAnsi="Times New Roman" w:cs="Times New Roman"/>
          <w:color w:val="0070C0"/>
          <w:sz w:val="16"/>
          <w:szCs w:val="16"/>
        </w:rPr>
        <w:t>оголин</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кого.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 проекту дв</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гатель должен быть 14-цилиндровым, но испытывался только о двумя цилиндрами и то показал хорошие результаты.</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Двигатель строился средствами воздухоплавательного парка северного фронта /Сализи/, но до конца не был доведен.</w:t>
      </w:r>
    </w:p>
    <w:p w14:paraId="0BB8B4DC" w14:textId="77777777" w:rsidR="0045750D" w:rsidRDefault="0045750D"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/ЦГВИА, ф. 2008, </w:t>
      </w:r>
      <w:r>
        <w:rPr>
          <w:rFonts w:ascii="Times New Roman" w:hAnsi="Times New Roman" w:cs="Times New Roman"/>
          <w:color w:val="0070C0"/>
          <w:sz w:val="16"/>
          <w:szCs w:val="16"/>
        </w:rPr>
        <w:t>д</w:t>
      </w:r>
      <w:r w:rsidRPr="00815ED5">
        <w:rPr>
          <w:rFonts w:ascii="Times New Roman" w:hAnsi="Times New Roman" w:cs="Times New Roman"/>
          <w:color w:val="0070C0"/>
          <w:sz w:val="16"/>
          <w:szCs w:val="16"/>
        </w:rPr>
        <w:t xml:space="preserve">. 273, </w:t>
      </w:r>
      <w:r>
        <w:rPr>
          <w:rFonts w:ascii="Times New Roman" w:hAnsi="Times New Roman" w:cs="Times New Roman"/>
          <w:color w:val="0070C0"/>
          <w:sz w:val="16"/>
          <w:szCs w:val="16"/>
        </w:rPr>
        <w:t>д</w:t>
      </w:r>
      <w:r w:rsidRPr="00815ED5">
        <w:rPr>
          <w:rFonts w:ascii="Times New Roman" w:hAnsi="Times New Roman" w:cs="Times New Roman"/>
          <w:color w:val="0070C0"/>
          <w:sz w:val="16"/>
          <w:szCs w:val="16"/>
        </w:rPr>
        <w:t>. 57/</w:t>
      </w:r>
      <w:r>
        <w:rPr>
          <w:rFonts w:ascii="Times New Roman" w:hAnsi="Times New Roman" w:cs="Times New Roman"/>
          <w:color w:val="0070C0"/>
          <w:sz w:val="16"/>
          <w:szCs w:val="16"/>
        </w:rPr>
        <w:t xml:space="preserve"> (23320).</w:t>
      </w:r>
    </w:p>
    <w:p w14:paraId="47FF07E8" w14:textId="77777777" w:rsidR="0045750D" w:rsidRDefault="0045750D" w:rsidP="0083075A">
      <w:pPr>
        <w:spacing w:after="0" w:line="240" w:lineRule="auto"/>
        <w:jc w:val="both"/>
        <w:rPr>
          <w:rFonts w:ascii="Times New Roman" w:hAnsi="Times New Roman" w:cs="Times New Roman"/>
          <w:color w:val="0070C0"/>
          <w:sz w:val="16"/>
          <w:szCs w:val="16"/>
        </w:rPr>
      </w:pPr>
    </w:p>
    <w:p w14:paraId="05D9B7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августа 1917 Дукс получил от флота заказ на строительство 50 тренировочных Ньюпоров тип 10, 25 Ньюпор тип 17 и 10 Спадов тип 7 под Рон 110 нр и стационарные ИС 150 нр. Самолета сделали и часть смогли сдать до конца 1917 (2843,17).</w:t>
      </w:r>
    </w:p>
    <w:p w14:paraId="0C6948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21C8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августа 1917 завод Дукс заключил контракт с Авиационным Комитетом Морского Ведомства на поставку 75 Ньюпоров-Х и 10 Спадов-VII с ИС в 150 нр. До октября 1917 построили и отправили на фронт несколько (9651,44).</w:t>
      </w:r>
    </w:p>
    <w:p w14:paraId="310893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1CEC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августа 1917 компании Дукс поручили строительство 50 тренировочных "Ньюпоров" тип 10, 25 истребителей "Ньюпор" тип 17 и еще 10 истребителей "Спад" тип 7, под ротативные моторы "Рон" 110 л.с. и стационарные двигатели "Испано-Суиза" 150 л.с. Аппараты были изготовлены и часть из них успели принять до конца 1917 г. Таким обра</w:t>
      </w:r>
      <w:r w:rsidRPr="002F2FDF">
        <w:rPr>
          <w:rFonts w:ascii="Times New Roman" w:hAnsi="Times New Roman" w:cs="Times New Roman"/>
          <w:color w:val="000000" w:themeColor="text1"/>
          <w:kern w:val="2"/>
          <w:sz w:val="16"/>
          <w:szCs w:val="16"/>
        </w:rPr>
        <w:softHyphen/>
        <w:t>зом, "Дукс" все же вошел в список фирм, работавших на флот (2843).</w:t>
      </w:r>
    </w:p>
    <w:p w14:paraId="3DAC060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2</w:t>
      </w:r>
    </w:p>
    <w:p w14:paraId="0B706A2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Некоторые статистические данные об авиационном отделении компании "Дукс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2F2FDF" w14:paraId="4462E9D5" w14:textId="77777777">
        <w:tc>
          <w:tcPr>
            <w:tcW w:w="4788" w:type="dxa"/>
            <w:tcBorders>
              <w:top w:val="single" w:sz="12" w:space="0" w:color="auto"/>
            </w:tcBorders>
            <w:shd w:val="clear" w:color="auto" w:fill="FFFFFF"/>
          </w:tcPr>
          <w:p w14:paraId="72A611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 основания</w:t>
            </w:r>
          </w:p>
        </w:tc>
        <w:tc>
          <w:tcPr>
            <w:tcW w:w="4788" w:type="dxa"/>
            <w:tcBorders>
              <w:top w:val="single" w:sz="12" w:space="0" w:color="auto"/>
            </w:tcBorders>
            <w:shd w:val="clear" w:color="auto" w:fill="FFFFFF"/>
          </w:tcPr>
          <w:p w14:paraId="67EE84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1910</w:t>
            </w:r>
          </w:p>
        </w:tc>
      </w:tr>
      <w:tr w:rsidR="002B1C74" w:rsidRPr="002F2FDF" w14:paraId="0FA6B714" w14:textId="77777777">
        <w:tc>
          <w:tcPr>
            <w:tcW w:w="4788" w:type="dxa"/>
            <w:shd w:val="clear" w:color="auto" w:fill="FFFFFF"/>
          </w:tcPr>
          <w:p w14:paraId="21B165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строений к 1918 г., кв.м</w:t>
            </w:r>
          </w:p>
        </w:tc>
        <w:tc>
          <w:tcPr>
            <w:tcW w:w="4788" w:type="dxa"/>
            <w:shd w:val="clear" w:color="auto" w:fill="FFFFFF"/>
          </w:tcPr>
          <w:p w14:paraId="2DA0DF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36.472</w:t>
            </w:r>
          </w:p>
        </w:tc>
      </w:tr>
      <w:tr w:rsidR="002B1C74" w:rsidRPr="002F2FDF" w14:paraId="23E7852F" w14:textId="77777777">
        <w:tc>
          <w:tcPr>
            <w:tcW w:w="4788" w:type="dxa"/>
            <w:shd w:val="clear" w:color="auto" w:fill="FFFFFF"/>
          </w:tcPr>
          <w:p w14:paraId="09CA33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территории, кв.м</w:t>
            </w:r>
          </w:p>
        </w:tc>
        <w:tc>
          <w:tcPr>
            <w:tcW w:w="4788" w:type="dxa"/>
            <w:shd w:val="clear" w:color="auto" w:fill="FFFFFF"/>
          </w:tcPr>
          <w:p w14:paraId="2D189A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59.950</w:t>
            </w:r>
          </w:p>
        </w:tc>
      </w:tr>
      <w:tr w:rsidR="002B1C74" w:rsidRPr="002F2FDF" w14:paraId="1906A72B" w14:textId="77777777">
        <w:tc>
          <w:tcPr>
            <w:tcW w:w="4788" w:type="dxa"/>
            <w:shd w:val="clear" w:color="auto" w:fill="FFFFFF"/>
          </w:tcPr>
          <w:p w14:paraId="03ED1E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Мощность энергетических установок, л.с.</w:t>
            </w:r>
          </w:p>
        </w:tc>
        <w:tc>
          <w:tcPr>
            <w:tcW w:w="4788" w:type="dxa"/>
            <w:shd w:val="clear" w:color="auto" w:fill="FFFFFF"/>
          </w:tcPr>
          <w:p w14:paraId="3AC7AB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480</w:t>
            </w:r>
          </w:p>
        </w:tc>
      </w:tr>
      <w:tr w:rsidR="002B1C74" w:rsidRPr="002F2FDF" w14:paraId="6FF87A5C" w14:textId="77777777">
        <w:tc>
          <w:tcPr>
            <w:tcW w:w="4788" w:type="dxa"/>
            <w:shd w:val="clear" w:color="auto" w:fill="FFFFFF"/>
          </w:tcPr>
          <w:p w14:paraId="2F47EA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двигателей</w:t>
            </w:r>
          </w:p>
        </w:tc>
        <w:tc>
          <w:tcPr>
            <w:tcW w:w="4788" w:type="dxa"/>
            <w:shd w:val="clear" w:color="auto" w:fill="FFFFFF"/>
          </w:tcPr>
          <w:p w14:paraId="750C32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r>
      <w:tr w:rsidR="002B1C74" w:rsidRPr="002F2FDF" w14:paraId="56F2D26A" w14:textId="77777777">
        <w:tc>
          <w:tcPr>
            <w:tcW w:w="4788" w:type="dxa"/>
            <w:shd w:val="clear" w:color="auto" w:fill="FFFFFF"/>
          </w:tcPr>
          <w:p w14:paraId="2A7AFC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станков</w:t>
            </w:r>
          </w:p>
        </w:tc>
        <w:tc>
          <w:tcPr>
            <w:tcW w:w="4788" w:type="dxa"/>
            <w:shd w:val="clear" w:color="auto" w:fill="FFFFFF"/>
          </w:tcPr>
          <w:p w14:paraId="4B3F50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195</w:t>
            </w:r>
          </w:p>
        </w:tc>
      </w:tr>
      <w:tr w:rsidR="002B1C74" w:rsidRPr="002F2FDF" w14:paraId="026B320D" w14:textId="77777777">
        <w:tc>
          <w:tcPr>
            <w:tcW w:w="4788" w:type="dxa"/>
            <w:shd w:val="clear" w:color="auto" w:fill="FFFFFF"/>
          </w:tcPr>
          <w:p w14:paraId="3C7F1C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служащих в 1917</w:t>
            </w:r>
          </w:p>
        </w:tc>
        <w:tc>
          <w:tcPr>
            <w:tcW w:w="4788" w:type="dxa"/>
            <w:shd w:val="clear" w:color="auto" w:fill="FFFFFF"/>
          </w:tcPr>
          <w:p w14:paraId="7364F0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300</w:t>
            </w:r>
          </w:p>
        </w:tc>
      </w:tr>
      <w:tr w:rsidR="002B1C74" w:rsidRPr="002F2FDF" w14:paraId="033A7D2A" w14:textId="77777777">
        <w:tc>
          <w:tcPr>
            <w:tcW w:w="4788" w:type="dxa"/>
            <w:shd w:val="clear" w:color="auto" w:fill="FFFFFF"/>
          </w:tcPr>
          <w:p w14:paraId="656BBE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рабочих в</w:t>
            </w:r>
          </w:p>
        </w:tc>
        <w:tc>
          <w:tcPr>
            <w:tcW w:w="4788" w:type="dxa"/>
            <w:shd w:val="clear" w:color="auto" w:fill="FFFFFF"/>
          </w:tcPr>
          <w:p w14:paraId="716D25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7960B3FF" w14:textId="77777777">
        <w:tc>
          <w:tcPr>
            <w:tcW w:w="4788" w:type="dxa"/>
            <w:shd w:val="clear" w:color="auto" w:fill="FFFFFF"/>
          </w:tcPr>
          <w:p w14:paraId="75E06C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 г.</w:t>
            </w:r>
          </w:p>
        </w:tc>
        <w:tc>
          <w:tcPr>
            <w:tcW w:w="4788" w:type="dxa"/>
            <w:shd w:val="clear" w:color="auto" w:fill="FFFFFF"/>
          </w:tcPr>
          <w:p w14:paraId="3DA4E1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725</w:t>
            </w:r>
          </w:p>
        </w:tc>
      </w:tr>
      <w:tr w:rsidR="002B1C74" w:rsidRPr="002F2FDF" w14:paraId="77DA3AE3" w14:textId="77777777">
        <w:tc>
          <w:tcPr>
            <w:tcW w:w="4788" w:type="dxa"/>
            <w:shd w:val="clear" w:color="auto" w:fill="FFFFFF"/>
          </w:tcPr>
          <w:p w14:paraId="0DE646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w:t>
            </w:r>
          </w:p>
        </w:tc>
        <w:tc>
          <w:tcPr>
            <w:tcW w:w="4788" w:type="dxa"/>
            <w:shd w:val="clear" w:color="auto" w:fill="FFFFFF"/>
          </w:tcPr>
          <w:p w14:paraId="562F83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850</w:t>
            </w:r>
          </w:p>
        </w:tc>
      </w:tr>
      <w:tr w:rsidR="002B1C74" w:rsidRPr="002F2FDF" w14:paraId="06CE8CFA" w14:textId="77777777">
        <w:tc>
          <w:tcPr>
            <w:tcW w:w="4788" w:type="dxa"/>
            <w:shd w:val="clear" w:color="auto" w:fill="FFFFFF"/>
          </w:tcPr>
          <w:p w14:paraId="0A1210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4788" w:type="dxa"/>
            <w:shd w:val="clear" w:color="auto" w:fill="FFFFFF"/>
          </w:tcPr>
          <w:p w14:paraId="7210BA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1575</w:t>
            </w:r>
          </w:p>
        </w:tc>
      </w:tr>
      <w:tr w:rsidR="002B1C74" w:rsidRPr="002F2FDF" w14:paraId="21D9EE5B" w14:textId="77777777">
        <w:tc>
          <w:tcPr>
            <w:tcW w:w="4788" w:type="dxa"/>
            <w:shd w:val="clear" w:color="auto" w:fill="FFFFFF"/>
          </w:tcPr>
          <w:p w14:paraId="3D02FE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4788" w:type="dxa"/>
            <w:shd w:val="clear" w:color="auto" w:fill="FFFFFF"/>
          </w:tcPr>
          <w:p w14:paraId="36DEF1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2120</w:t>
            </w:r>
          </w:p>
        </w:tc>
      </w:tr>
      <w:tr w:rsidR="002B1C74" w:rsidRPr="002F2FDF" w14:paraId="1A4C5F79" w14:textId="77777777">
        <w:tc>
          <w:tcPr>
            <w:tcW w:w="4788" w:type="dxa"/>
            <w:shd w:val="clear" w:color="auto" w:fill="FFFFFF"/>
          </w:tcPr>
          <w:p w14:paraId="4099E5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сданных аппаратов за период</w:t>
            </w:r>
          </w:p>
        </w:tc>
        <w:tc>
          <w:tcPr>
            <w:tcW w:w="4788" w:type="dxa"/>
            <w:shd w:val="clear" w:color="auto" w:fill="FFFFFF"/>
          </w:tcPr>
          <w:p w14:paraId="6AFA2A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5409BBFC" w14:textId="77777777">
        <w:tc>
          <w:tcPr>
            <w:tcW w:w="4788" w:type="dxa"/>
            <w:shd w:val="clear" w:color="auto" w:fill="FFFFFF"/>
          </w:tcPr>
          <w:p w14:paraId="7EF755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1910-1913 г.г.</w:t>
            </w:r>
          </w:p>
        </w:tc>
        <w:tc>
          <w:tcPr>
            <w:tcW w:w="4788" w:type="dxa"/>
            <w:shd w:val="clear" w:color="auto" w:fill="FFFFFF"/>
          </w:tcPr>
          <w:p w14:paraId="7189F1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137</w:t>
            </w:r>
          </w:p>
        </w:tc>
      </w:tr>
      <w:tr w:rsidR="002B1C74" w:rsidRPr="002F2FDF" w14:paraId="5B07E22E" w14:textId="77777777">
        <w:tc>
          <w:tcPr>
            <w:tcW w:w="4788" w:type="dxa"/>
            <w:tcBorders>
              <w:bottom w:val="single" w:sz="12" w:space="0" w:color="auto"/>
            </w:tcBorders>
            <w:shd w:val="clear" w:color="auto" w:fill="FFFFFF"/>
          </w:tcPr>
          <w:p w14:paraId="147DA4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1914-1917 г.г.</w:t>
            </w:r>
          </w:p>
        </w:tc>
        <w:tc>
          <w:tcPr>
            <w:tcW w:w="4788" w:type="dxa"/>
            <w:tcBorders>
              <w:bottom w:val="single" w:sz="12" w:space="0" w:color="auto"/>
            </w:tcBorders>
            <w:shd w:val="clear" w:color="auto" w:fill="FFFFFF"/>
          </w:tcPr>
          <w:p w14:paraId="3322D9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1569 (2843).</w:t>
            </w:r>
          </w:p>
        </w:tc>
      </w:tr>
    </w:tbl>
    <w:p w14:paraId="587CD33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587CD6" w14:textId="4663E786" w:rsidR="00E30864" w:rsidRPr="00FB4F67" w:rsidRDefault="00E3086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 (</w:t>
      </w:r>
      <w:r w:rsidRPr="00FB4F67">
        <w:rPr>
          <w:rFonts w:ascii="Times New Roman" w:hAnsi="Times New Roman" w:cs="Times New Roman"/>
          <w:color w:val="0070C0"/>
          <w:sz w:val="16"/>
          <w:szCs w:val="16"/>
        </w:rPr>
        <w:t>16</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августа 1917 г. компания АА БЕЗОБРАЗОВ - ВА ПОНИЗОВКИН И КОМПАНИЯ выпустили четыре из пятнадцати учебных самолетов Farman IV. Они выпускали в основном единичные экземпляры (23525).</w:t>
      </w:r>
    </w:p>
    <w:p w14:paraId="15B9D857" w14:textId="77777777" w:rsidR="00E30864" w:rsidRPr="00FB4F67" w:rsidRDefault="00E30864" w:rsidP="0083075A">
      <w:pPr>
        <w:spacing w:after="0" w:line="240" w:lineRule="auto"/>
        <w:jc w:val="both"/>
        <w:rPr>
          <w:rFonts w:ascii="Times New Roman" w:hAnsi="Times New Roman" w:cs="Times New Roman"/>
          <w:color w:val="0070C0"/>
          <w:sz w:val="16"/>
          <w:szCs w:val="16"/>
        </w:rPr>
      </w:pPr>
    </w:p>
    <w:p w14:paraId="47C05414" w14:textId="77777777" w:rsidR="00924B0E"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38664E58" w14:textId="77777777" w:rsidR="00924B0E" w:rsidRPr="002F2FDF" w:rsidRDefault="00924B0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D85FF5" w14:textId="202AD5F3" w:rsidR="00924B0E" w:rsidRPr="002F2FDF" w:rsidRDefault="00924B0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 </w:t>
      </w:r>
      <w:r w:rsidR="008127A2" w:rsidRPr="002F2FDF">
        <w:rPr>
          <w:rFonts w:ascii="Times New Roman" w:hAnsi="Times New Roman" w:cs="Times New Roman"/>
          <w:color w:val="000000" w:themeColor="text1"/>
          <w:kern w:val="2"/>
          <w:sz w:val="16"/>
          <w:szCs w:val="16"/>
        </w:rPr>
        <w:t xml:space="preserve">(16) </w:t>
      </w:r>
      <w:r w:rsidRPr="002F2FDF">
        <w:rPr>
          <w:rFonts w:ascii="Times New Roman" w:hAnsi="Times New Roman" w:cs="Times New Roman"/>
          <w:color w:val="000000" w:themeColor="text1"/>
          <w:kern w:val="2"/>
          <w:sz w:val="16"/>
          <w:szCs w:val="16"/>
        </w:rPr>
        <w:t>августа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на Втором Всероссийском торгово-промышленном съезде П.</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Рябушинский в своем выступлении указал на слабость Временного правительства и, раскритиковав его экономическую политику, обратил внимание на несостоятельность хлебной монополии. «Она не в состоянии дать тех результатов, которых от нее ожидают. Она разрушила лишь торговый аппарат»,</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констатировал Павел Павлович. Далее он сказал: «Мы чувствуем, что то, о чем я говорю, является неизбежным. Но, к сожалению, нужна костлявая рука голода и народной нищеты, чтобы она схватила за горло лжедрузей народа, членов разных комитетов и советов, чтобы они опомнились».</w:t>
      </w:r>
    </w:p>
    <w:p w14:paraId="52E6199D" w14:textId="3FC02B0B" w:rsidR="00924B0E" w:rsidRPr="002F2FDF" w:rsidRDefault="00924B0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Будучи опытным пропагандистом,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Ленин выхватил фразу Рябушинского из контекста и объявил, что-де Рябушинские хотят задавить русский народ «костлявой рукой голода». При советской власти полный текст речи П.</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Рябушинского можно было получить лишь в спецхране, да и то при наличии специального отношения. А вот цитата Ленина, явно «передергивающего карты», кочевала из книги в книгу и попала даже в школьные учебники. В результате до 1991</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Рябушинские представлялись нам жадными негодяями, мечтавшими уморить народ голодом.</w:t>
      </w:r>
    </w:p>
    <w:p w14:paraId="60716D2E" w14:textId="0F6FE219" w:rsidR="00924B0E" w:rsidRPr="002F2FDF" w:rsidRDefault="00924B0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Павлу Рябушинскому оставалось лишь бежать в Крым, а в ноябре 1920</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вместе с врангелевской армией отплыть из Севастополя в Константинополь. Скончался он в 1924</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на Лазурном берегу.</w:t>
      </w:r>
    </w:p>
    <w:p w14:paraId="7A76730C" w14:textId="77777777" w:rsidR="00924B0E" w:rsidRPr="002F2FDF" w:rsidRDefault="00924B0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Любопытно, что в особняке Павла Рябушинского в Москве на Малой Никитской Сталин велел поселить вернувшегося из Капри (Италия) «великого пролетарского писателя Максима Горького» (12705).</w:t>
      </w:r>
    </w:p>
    <w:p w14:paraId="2D287E6F" w14:textId="77777777" w:rsidR="00924B0E" w:rsidRPr="002F2FDF" w:rsidRDefault="00924B0E" w:rsidP="0083075A">
      <w:pPr>
        <w:spacing w:after="0" w:line="240" w:lineRule="auto"/>
        <w:jc w:val="both"/>
        <w:rPr>
          <w:rFonts w:ascii="Times New Roman" w:hAnsi="Times New Roman" w:cs="Times New Roman"/>
          <w:color w:val="000000" w:themeColor="text1"/>
          <w:kern w:val="2"/>
          <w:sz w:val="16"/>
          <w:szCs w:val="16"/>
        </w:rPr>
      </w:pPr>
    </w:p>
    <w:p w14:paraId="37972594" w14:textId="0E14BC78" w:rsidR="00B70A4B" w:rsidRDefault="00B70A4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7D134FF3" w14:textId="77777777" w:rsidR="00B70A4B" w:rsidRDefault="00B70A4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68EF0ABF" w14:textId="67A63A19" w:rsidR="00B70A4B" w:rsidRPr="00FB4F67" w:rsidRDefault="00B70A4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 (</w:t>
      </w:r>
      <w:r w:rsidRPr="00FB4F67">
        <w:rPr>
          <w:rFonts w:ascii="Times New Roman" w:hAnsi="Times New Roman" w:cs="Times New Roman"/>
          <w:color w:val="0070C0"/>
          <w:sz w:val="16"/>
          <w:szCs w:val="16"/>
        </w:rPr>
        <w:t>16</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августа 1917 г. Морское министерство приказало сформировать в составе Управления морской авиации Управление морской авиации и аэронавигации. Ничего не известно о его штате или функциях (23525).</w:t>
      </w:r>
    </w:p>
    <w:p w14:paraId="357C29C3" w14:textId="77777777" w:rsidR="00B70A4B" w:rsidRPr="00FB4F67" w:rsidRDefault="00B70A4B" w:rsidP="0083075A">
      <w:pPr>
        <w:spacing w:after="0" w:line="240" w:lineRule="auto"/>
        <w:jc w:val="both"/>
        <w:rPr>
          <w:rFonts w:ascii="Times New Roman" w:hAnsi="Times New Roman" w:cs="Times New Roman"/>
          <w:color w:val="0070C0"/>
          <w:sz w:val="16"/>
          <w:szCs w:val="16"/>
        </w:rPr>
      </w:pPr>
    </w:p>
    <w:p w14:paraId="126303BF" w14:textId="1C80D7C1" w:rsidR="007312B4" w:rsidRPr="00FB4F67" w:rsidRDefault="007312B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По состоянию на 3 </w:t>
      </w:r>
      <w:r>
        <w:rPr>
          <w:rFonts w:ascii="Times New Roman" w:hAnsi="Times New Roman" w:cs="Times New Roman"/>
          <w:color w:val="0070C0"/>
          <w:sz w:val="16"/>
          <w:szCs w:val="16"/>
        </w:rPr>
        <w:t xml:space="preserve">(16) </w:t>
      </w:r>
      <w:r w:rsidRPr="00FB4F67">
        <w:rPr>
          <w:rFonts w:ascii="Times New Roman" w:hAnsi="Times New Roman" w:cs="Times New Roman"/>
          <w:color w:val="0070C0"/>
          <w:sz w:val="16"/>
          <w:szCs w:val="16"/>
        </w:rPr>
        <w:t>авгу</w:t>
      </w:r>
      <w:r w:rsidRPr="00FB4F67">
        <w:rPr>
          <w:rFonts w:ascii="Times New Roman" w:hAnsi="Times New Roman" w:cs="Times New Roman"/>
          <w:color w:val="0070C0"/>
          <w:sz w:val="16"/>
          <w:szCs w:val="16"/>
        </w:rPr>
        <w:softHyphen/>
        <w:t>ста 1917 г. Воздушная дивизия БМ располагала трид</w:t>
      </w:r>
      <w:r w:rsidRPr="00FB4F67">
        <w:rPr>
          <w:rFonts w:ascii="Times New Roman" w:hAnsi="Times New Roman" w:cs="Times New Roman"/>
          <w:color w:val="0070C0"/>
          <w:sz w:val="16"/>
          <w:szCs w:val="16"/>
        </w:rPr>
        <w:softHyphen/>
        <w:t>цатью М-9 (ЩС) и 13-ю М-15 (ЩИ), имела следующее распределение самолетов с указанием их бортовых номеров (б/н — лод</w:t>
      </w:r>
      <w:r w:rsidRPr="00FB4F67">
        <w:rPr>
          <w:rFonts w:ascii="Times New Roman" w:hAnsi="Times New Roman" w:cs="Times New Roman"/>
          <w:color w:val="0070C0"/>
          <w:sz w:val="16"/>
          <w:szCs w:val="16"/>
        </w:rPr>
        <w:softHyphen/>
        <w:t>ки без указанного бортового номера):</w:t>
      </w:r>
    </w:p>
    <w:p w14:paraId="7B936105" w14:textId="77777777" w:rsidR="007312B4" w:rsidRPr="00FB4F67" w:rsidRDefault="007312B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1-я бригада</w:t>
      </w:r>
    </w:p>
    <w:p w14:paraId="5FFDE437" w14:textId="77777777" w:rsidR="007312B4" w:rsidRPr="00FB4F67" w:rsidRDefault="007312B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Станция Бригитовка (Ревель) — 4 М-9 (ЩС-52, 61, 62, 65), 4 М-15 (ЩИ-10, 12, 14, 15).</w:t>
      </w:r>
    </w:p>
    <w:p w14:paraId="2A29054C" w14:textId="77777777" w:rsidR="007312B4" w:rsidRPr="00FB4F67" w:rsidRDefault="007312B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Станция Кильконд (Кихельконна) — 8 М-9 (ЩС-16, 28, 29, 37, 38, 49, 59, 60), 4 М-15 (ЩИ-1, 7, 8, 13).</w:t>
      </w:r>
    </w:p>
    <w:p w14:paraId="02BCFCFF" w14:textId="77777777" w:rsidR="007312B4" w:rsidRPr="00FB4F67" w:rsidRDefault="007312B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Станция Гапсаль (Хапсалу) — 2 М-9 (ЩС-25, 62).</w:t>
      </w:r>
    </w:p>
    <w:p w14:paraId="27426195" w14:textId="77777777" w:rsidR="007312B4" w:rsidRPr="00FB4F67" w:rsidRDefault="007312B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Гапсальская авиационная школа — 3 М-9 (ЩС-22, 25, 51).</w:t>
      </w:r>
    </w:p>
    <w:p w14:paraId="38A66BA5" w14:textId="77777777" w:rsidR="007312B4" w:rsidRPr="00FB4F67" w:rsidRDefault="007312B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Станция Гогенгольм (Рейзи) — 3 М-9 (ЩС-35, 46, 47).</w:t>
      </w:r>
    </w:p>
    <w:p w14:paraId="637C739A" w14:textId="77777777" w:rsidR="007312B4" w:rsidRPr="00FB4F67" w:rsidRDefault="007312B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Станция Церель (Сяре) — 1 М-9 (ЩС-50), 4 М-15 (ЩИ-2, 4, 5, 6, 9, 11), 4 «Ньюпор 17» (НР-3, 6, 7, 8).</w:t>
      </w:r>
    </w:p>
    <w:p w14:paraId="386BD2E8" w14:textId="77777777" w:rsidR="007312B4" w:rsidRPr="00FB4F67" w:rsidRDefault="007312B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Станция Аренсбург (Кингисепп) — 1 М-15 (ЩИ-3), 6 «Ньюпор 17» (НР-1, 2, 4, 5, 9, 10).</w:t>
      </w:r>
    </w:p>
    <w:p w14:paraId="1B86E0B4" w14:textId="77777777" w:rsidR="007312B4" w:rsidRPr="00FB4F67" w:rsidRDefault="007312B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2-я бригада</w:t>
      </w:r>
    </w:p>
    <w:p w14:paraId="20672BBD" w14:textId="77777777" w:rsidR="007312B4" w:rsidRPr="00FB4F67" w:rsidRDefault="007312B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Станция Або (Турку) — 7 М-9 (ЩС-44, 53, 57, 66, 67, б/н - 2 шт.), 3 М-16 (ЗС-21, 23, 25), 1 «Морис-Фарман-11»(МФ-26).</w:t>
      </w:r>
    </w:p>
    <w:p w14:paraId="3105BD0A" w14:textId="77777777" w:rsidR="007312B4" w:rsidRPr="00FB4F67" w:rsidRDefault="007312B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Станция Ментилуото — 2 М-9 (ЩС-56, 58) Раумо - 3 М-9 (ЩС-45, 63, б/н)</w:t>
      </w:r>
    </w:p>
    <w:p w14:paraId="4431F822" w14:textId="77777777" w:rsidR="007312B4" w:rsidRPr="00FB4F67" w:rsidRDefault="007312B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Дегере - 5 М-9 (ЩС-23, 31, 33, 34, 43)</w:t>
      </w:r>
    </w:p>
    <w:p w14:paraId="4C08FF7A" w14:textId="77777777" w:rsidR="007312B4" w:rsidRPr="00FB4F67" w:rsidRDefault="007312B4" w:rsidP="0083075A">
      <w:pPr>
        <w:spacing w:after="0" w:line="240" w:lineRule="auto"/>
        <w:jc w:val="both"/>
        <w:rPr>
          <w:rFonts w:ascii="Times New Roman" w:hAnsi="Times New Roman" w:cs="Times New Roman"/>
          <w:color w:val="0070C0"/>
          <w:sz w:val="16"/>
          <w:szCs w:val="16"/>
        </w:rPr>
      </w:pPr>
    </w:p>
    <w:p w14:paraId="05873188" w14:textId="3C895F21" w:rsidR="009E251C"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E83F3A4" w14:textId="77777777" w:rsidR="009E251C" w:rsidRPr="002F2FDF" w:rsidRDefault="009E251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26AE20" w14:textId="77777777" w:rsidR="009E251C" w:rsidRPr="002F2FDF" w:rsidRDefault="009E251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августа в 1917 году в Петрограде завершает работу VI съезд ВКП(б), проходивший с 8 августа. Как и все предшествовавшие ему (не говоря уже о последующих), съезд имеет историческое значение. С отчетом выступал Яков Свердлов. Он сообщил, что число членов партии выросло с 80 тысяч до 240 тысяч человек. Партия имеет 41 газету с ежедневным тиражом в 320 тысяч экземпляров. Больше всего большевиков в Московском районе — 50 тысяч, Петроград насчитывает 40 тысяч членов партии, Урал — 25 тысяч, армия — 26 тысяч. В латышских полках более 2000 большевиков, но за ними идут фактически все 48 тысяч солдат. Делегат от латышей на съезде говорил: "Теперь штаб сожалеет, что он допустил формирование национальных полков, но расформировать восемь латышских полков уже нельзя. Латышские стрелки заявили, что они этого не допустят. Сибирские полки заявили, что если будут расформировывать латышские полки, то придется считаться и с ними. И наоборот. Единение между латышскими и сибирскими полками полное... Я надеюсь, что мы сумеем сделать 12-ю армию "Красной армией". Одним из первых на съезде обсуждали вопрос о явке Ленина в суд. Съезд категорически выступил против явки. Серго Орджоникидзе сказал: "Им важно выхватить как можно больше вождей из рядов революционной партии. Мы ни в коем случае не должны выдавать товарища Ленина". Одобрив деятельность ЦК, съезд определил тактику партии на новом этапе: главным лозунгом стал призыв к полной ликвидации диктатуры контрреволюционной буржуазии, а для этого на первый план выдвигалась необходимость организации и подготовки всех революционных сил, чтобы, не поддаваясь на провокации, выступить, когда общенациональный кризис создаст благоприятные условия для восстания и переворота. В резолюции о войне говорилось о необходимости превращения войны захватнической, войны грабительской в войну справедливую, в войну гражданскую, ибо только путем конфискации земли и национализации банков и крупной промышленности можно было претворить в жизнь экономическую программу выхода из кризиса. В партию была принята отколовшася в 1913 группа "межрайонцев" во главе с Троцким. Съезд избрал ЦК в составе 21 члена и 10 кандидатов. Членами ЦК стали Артём (Сергеев), Я. Берзин, Бухарин, Бубнов, Дзержинский, Зиновьев, Каменев, Коллонтай, Крестинский, Ленин, Милютин, Муранов, Ногин, Рыков, Свердлов, Смилга, Сокольников, Сталин, Троцкий, Урицкий, Шаумян (14985).</w:t>
      </w:r>
    </w:p>
    <w:p w14:paraId="41F2C968" w14:textId="77777777" w:rsidR="009E251C" w:rsidRPr="002F2FDF" w:rsidRDefault="009E251C" w:rsidP="0083075A">
      <w:pPr>
        <w:spacing w:after="0" w:line="240" w:lineRule="auto"/>
        <w:jc w:val="both"/>
        <w:rPr>
          <w:rFonts w:ascii="Times New Roman" w:hAnsi="Times New Roman" w:cs="Times New Roman"/>
          <w:color w:val="000000" w:themeColor="text1"/>
          <w:kern w:val="2"/>
          <w:sz w:val="16"/>
          <w:szCs w:val="16"/>
        </w:rPr>
      </w:pPr>
    </w:p>
    <w:p w14:paraId="1A25751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A0908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9DFC0F" w14:textId="77777777" w:rsidR="009E251C" w:rsidRPr="002F2FDF" w:rsidRDefault="009E251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 (16) августа в 1917 году первая в мире успешная воздушная торпедная атака самолётов с гидроавианосца </w:t>
      </w:r>
      <w:hyperlink r:id="rId478" w:anchor="103463" w:tgtFrame="_blank" w:history="1">
        <w:r w:rsidRPr="002F2FDF">
          <w:rPr>
            <w:rFonts w:ascii="Times New Roman" w:hAnsi="Times New Roman" w:cs="Times New Roman"/>
            <w:color w:val="000000" w:themeColor="text1"/>
            <w:kern w:val="2"/>
            <w:sz w:val="16"/>
            <w:szCs w:val="16"/>
          </w:rPr>
          <w:t>«Ben-my-Chree» (14985).</w:t>
        </w:r>
      </w:hyperlink>
    </w:p>
    <w:p w14:paraId="42DB9BEC" w14:textId="77777777" w:rsidR="009E251C" w:rsidRPr="002F2FDF" w:rsidRDefault="009E251C" w:rsidP="0083075A">
      <w:pPr>
        <w:spacing w:after="0" w:line="240" w:lineRule="auto"/>
        <w:jc w:val="both"/>
        <w:rPr>
          <w:rFonts w:ascii="Times New Roman" w:hAnsi="Times New Roman" w:cs="Times New Roman"/>
          <w:color w:val="000000" w:themeColor="text1"/>
          <w:kern w:val="2"/>
          <w:sz w:val="16"/>
          <w:szCs w:val="16"/>
        </w:rPr>
      </w:pPr>
    </w:p>
    <w:p w14:paraId="7DF989B8" w14:textId="77777777" w:rsidR="00952699" w:rsidRPr="002F2FDF" w:rsidRDefault="00952699" w:rsidP="0083075A">
      <w:pPr>
        <w:pStyle w:val="ae"/>
        <w:spacing w:before="0" w:after="0"/>
        <w:jc w:val="both"/>
        <w:rPr>
          <w:color w:val="000000" w:themeColor="text1"/>
          <w:kern w:val="2"/>
          <w:sz w:val="16"/>
          <w:szCs w:val="16"/>
        </w:rPr>
      </w:pPr>
      <w:r w:rsidRPr="002F2FDF">
        <w:rPr>
          <w:color w:val="000000" w:themeColor="text1"/>
          <w:kern w:val="2"/>
          <w:sz w:val="16"/>
          <w:szCs w:val="16"/>
        </w:rPr>
        <w:t>3 (16) августа 1917 британские части перешли в наступление в направлении городка Лангемарк к северу от Ипра. Из-за артобстрелов дренажные каналы были разрушены, и непрекращающиеся проливные дожди превратили поле боя в непролазную трясину, которая также стала представлять для нагруженных снаряжением и оружием солдат смертельную опасность. Тем не менее, к вечеру британцам удалось занять Лангемарк и северный участок железной дороги Ипр-Штатен, по которой пролегала третья линия обороны немцев.</w:t>
      </w:r>
    </w:p>
    <w:p w14:paraId="692541A4" w14:textId="3683A997" w:rsidR="00952699" w:rsidRPr="002F2FDF" w:rsidRDefault="00952699" w:rsidP="0083075A">
      <w:pPr>
        <w:pStyle w:val="ae"/>
        <w:spacing w:before="0" w:after="0"/>
        <w:jc w:val="both"/>
        <w:rPr>
          <w:color w:val="000000" w:themeColor="text1"/>
          <w:kern w:val="2"/>
          <w:sz w:val="16"/>
          <w:szCs w:val="16"/>
        </w:rPr>
      </w:pPr>
      <w:r w:rsidRPr="002F2FDF">
        <w:rPr>
          <w:color w:val="000000" w:themeColor="text1"/>
          <w:kern w:val="2"/>
          <w:sz w:val="16"/>
          <w:szCs w:val="16"/>
        </w:rPr>
        <w:t>Из-за погодных условий англичанам не удалось задействовать танки и авиацию, и всю тяжесть прорыва германских позиций взяла на себя пехота. В результате всего за два дня боев британцы потеряли на это участке более 30</w:t>
      </w:r>
      <w:r w:rsidR="00E52569">
        <w:rPr>
          <w:color w:val="000000" w:themeColor="text1"/>
          <w:kern w:val="2"/>
          <w:sz w:val="16"/>
          <w:szCs w:val="16"/>
        </w:rPr>
        <w:t xml:space="preserve"> </w:t>
      </w:r>
      <w:r w:rsidRPr="002F2FDF">
        <w:rPr>
          <w:color w:val="000000" w:themeColor="text1"/>
          <w:kern w:val="2"/>
          <w:sz w:val="16"/>
          <w:szCs w:val="16"/>
        </w:rPr>
        <w:t>тысяч человек убитыми, ранеными и пропавшими без вести. Потери германцев были меньше, но и на них события этих дней произвели тяжелое впечатление. Немецкий генерал Эрих фон Людендорф так охарактеризовал бои при Лангемарке: «16-го [августа] на нас обрушился новый большой удар. &lt;…&gt; Только при напряжении всех сил нам удалось их оттеснить на самое короткое расстояние. В течение следующих дней боевая деятельность была менее напряженной» (17046).</w:t>
      </w:r>
    </w:p>
    <w:p w14:paraId="55541CB3" w14:textId="77777777" w:rsidR="00952699" w:rsidRPr="002F2FDF" w:rsidRDefault="00952699"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DDDCF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августа 1917 г. во время боев в районе Ипра, когда союзные войска для прорыва германской обороны массиро</w:t>
      </w:r>
      <w:r w:rsidRPr="002F2FDF">
        <w:rPr>
          <w:rFonts w:ascii="Times New Roman" w:hAnsi="Times New Roman" w:cs="Times New Roman"/>
          <w:color w:val="000000" w:themeColor="text1"/>
          <w:kern w:val="2"/>
          <w:sz w:val="16"/>
          <w:szCs w:val="16"/>
        </w:rPr>
        <w:softHyphen/>
        <w:t>ванно применили танки (на участке прорыва в 4 км действовало 216 тан</w:t>
      </w:r>
      <w:r w:rsidRPr="002F2FDF">
        <w:rPr>
          <w:rFonts w:ascii="Times New Roman" w:hAnsi="Times New Roman" w:cs="Times New Roman"/>
          <w:color w:val="000000" w:themeColor="text1"/>
          <w:kern w:val="2"/>
          <w:sz w:val="16"/>
          <w:szCs w:val="16"/>
        </w:rPr>
        <w:softHyphen/>
        <w:t>ков), поддержанные пехотой и авиа</w:t>
      </w:r>
      <w:r w:rsidRPr="002F2FDF">
        <w:rPr>
          <w:rFonts w:ascii="Times New Roman" w:hAnsi="Times New Roman" w:cs="Times New Roman"/>
          <w:color w:val="000000" w:themeColor="text1"/>
          <w:kern w:val="2"/>
          <w:sz w:val="16"/>
          <w:szCs w:val="16"/>
        </w:rPr>
        <w:softHyphen/>
        <w:t>цией, немецкие воздушные силы впервые применили свои штурмовики против танков. Борьбу с танками германские штур</w:t>
      </w:r>
      <w:r w:rsidRPr="002F2FDF">
        <w:rPr>
          <w:rFonts w:ascii="Times New Roman" w:hAnsi="Times New Roman" w:cs="Times New Roman"/>
          <w:color w:val="000000" w:themeColor="text1"/>
          <w:kern w:val="2"/>
          <w:sz w:val="16"/>
          <w:szCs w:val="16"/>
        </w:rPr>
        <w:softHyphen/>
        <w:t>мовики вели бомбами и пулеметным огнем (бронебойными пулями калибра 7,92 мм типа А.Р. со стальным сердеч</w:t>
      </w:r>
      <w:r w:rsidRPr="002F2FDF">
        <w:rPr>
          <w:rFonts w:ascii="Times New Roman" w:hAnsi="Times New Roman" w:cs="Times New Roman"/>
          <w:color w:val="000000" w:themeColor="text1"/>
          <w:kern w:val="2"/>
          <w:sz w:val="16"/>
          <w:szCs w:val="16"/>
        </w:rPr>
        <w:softHyphen/>
        <w:t>ником). Насколько успешной была про</w:t>
      </w:r>
      <w:r w:rsidRPr="002F2FDF">
        <w:rPr>
          <w:rFonts w:ascii="Times New Roman" w:hAnsi="Times New Roman" w:cs="Times New Roman"/>
          <w:color w:val="000000" w:themeColor="text1"/>
          <w:kern w:val="2"/>
          <w:sz w:val="16"/>
          <w:szCs w:val="16"/>
        </w:rPr>
        <w:softHyphen/>
        <w:t>тивотанковая борьба немецких экипа</w:t>
      </w:r>
      <w:r w:rsidRPr="002F2FDF">
        <w:rPr>
          <w:rFonts w:ascii="Times New Roman" w:hAnsi="Times New Roman" w:cs="Times New Roman"/>
          <w:color w:val="000000" w:themeColor="text1"/>
          <w:kern w:val="2"/>
          <w:sz w:val="16"/>
          <w:szCs w:val="16"/>
        </w:rPr>
        <w:softHyphen/>
        <w:t>жей сказать трудно. В типовых усло</w:t>
      </w:r>
      <w:r w:rsidRPr="002F2FDF">
        <w:rPr>
          <w:rFonts w:ascii="Times New Roman" w:hAnsi="Times New Roman" w:cs="Times New Roman"/>
          <w:color w:val="000000" w:themeColor="text1"/>
          <w:kern w:val="2"/>
          <w:sz w:val="16"/>
          <w:szCs w:val="16"/>
        </w:rPr>
        <w:softHyphen/>
        <w:t>виях боев бронирование танков союз</w:t>
      </w:r>
      <w:r w:rsidRPr="002F2FDF">
        <w:rPr>
          <w:rFonts w:ascii="Times New Roman" w:hAnsi="Times New Roman" w:cs="Times New Roman"/>
          <w:color w:val="000000" w:themeColor="text1"/>
          <w:kern w:val="2"/>
          <w:sz w:val="16"/>
          <w:szCs w:val="16"/>
        </w:rPr>
        <w:softHyphen/>
        <w:t>ников вполне обеспечивало защиту от поражения бронебойной пулей типа А.Р. при стрельбе с низколетящего са</w:t>
      </w:r>
      <w:r w:rsidRPr="002F2FDF">
        <w:rPr>
          <w:rFonts w:ascii="Times New Roman" w:hAnsi="Times New Roman" w:cs="Times New Roman"/>
          <w:color w:val="000000" w:themeColor="text1"/>
          <w:kern w:val="2"/>
          <w:sz w:val="16"/>
          <w:szCs w:val="16"/>
        </w:rPr>
        <w:softHyphen/>
        <w:t>молета. Например, 16-мм лобовая и 12</w:t>
      </w:r>
      <w:r w:rsidRPr="002F2FDF">
        <w:rPr>
          <w:rFonts w:ascii="Times New Roman" w:hAnsi="Times New Roman" w:cs="Times New Roman"/>
          <w:color w:val="000000" w:themeColor="text1"/>
          <w:kern w:val="2"/>
          <w:sz w:val="16"/>
          <w:szCs w:val="16"/>
        </w:rPr>
        <w:softHyphen/>
        <w:t>мм бортовая броня наиболее массовых танков союзников - британских танков Mk.IV и V, не пробивались такой пу</w:t>
      </w:r>
      <w:r w:rsidRPr="002F2FDF">
        <w:rPr>
          <w:rFonts w:ascii="Times New Roman" w:hAnsi="Times New Roman" w:cs="Times New Roman"/>
          <w:color w:val="000000" w:themeColor="text1"/>
          <w:kern w:val="2"/>
          <w:sz w:val="16"/>
          <w:szCs w:val="16"/>
        </w:rPr>
        <w:softHyphen/>
        <w:t>лей на всех дальностях стрельбы. Бро</w:t>
      </w:r>
      <w:r w:rsidRPr="002F2FDF">
        <w:rPr>
          <w:rFonts w:ascii="Times New Roman" w:hAnsi="Times New Roman" w:cs="Times New Roman"/>
          <w:color w:val="000000" w:themeColor="text1"/>
          <w:kern w:val="2"/>
          <w:sz w:val="16"/>
          <w:szCs w:val="16"/>
        </w:rPr>
        <w:softHyphen/>
        <w:t>невой лист крыши этих танков толщи</w:t>
      </w:r>
      <w:r w:rsidRPr="002F2FDF">
        <w:rPr>
          <w:rFonts w:ascii="Times New Roman" w:hAnsi="Times New Roman" w:cs="Times New Roman"/>
          <w:color w:val="000000" w:themeColor="text1"/>
          <w:kern w:val="2"/>
          <w:sz w:val="16"/>
          <w:szCs w:val="16"/>
        </w:rPr>
        <w:softHyphen/>
        <w:t>ной 8 мм поражался с дистанции до 400 м, но только при нормальном попада</w:t>
      </w:r>
      <w:r w:rsidRPr="002F2FDF">
        <w:rPr>
          <w:rFonts w:ascii="Times New Roman" w:hAnsi="Times New Roman" w:cs="Times New Roman"/>
          <w:color w:val="000000" w:themeColor="text1"/>
          <w:kern w:val="2"/>
          <w:sz w:val="16"/>
          <w:szCs w:val="16"/>
        </w:rPr>
        <w:softHyphen/>
        <w:t>нии, что в боевых условиях было не возможно. Единственным средством борьбы с танками у немецких штурмо</w:t>
      </w:r>
      <w:r w:rsidRPr="002F2FDF">
        <w:rPr>
          <w:rFonts w:ascii="Times New Roman" w:hAnsi="Times New Roman" w:cs="Times New Roman"/>
          <w:color w:val="000000" w:themeColor="text1"/>
          <w:kern w:val="2"/>
          <w:sz w:val="16"/>
          <w:szCs w:val="16"/>
        </w:rPr>
        <w:softHyphen/>
        <w:t>виков были осколочные авиабомбы, но они были малоэффективны ввиду низ</w:t>
      </w:r>
      <w:r w:rsidRPr="002F2FDF">
        <w:rPr>
          <w:rFonts w:ascii="Times New Roman" w:hAnsi="Times New Roman" w:cs="Times New Roman"/>
          <w:color w:val="000000" w:themeColor="text1"/>
          <w:kern w:val="2"/>
          <w:sz w:val="16"/>
          <w:szCs w:val="16"/>
        </w:rPr>
        <w:softHyphen/>
        <w:t>кой вероятности попадания в танк и недостаточной бронепробиваемости осколков стоящих на вооружении не</w:t>
      </w:r>
      <w:r w:rsidRPr="002F2FDF">
        <w:rPr>
          <w:rFonts w:ascii="Times New Roman" w:hAnsi="Times New Roman" w:cs="Times New Roman"/>
          <w:color w:val="000000" w:themeColor="text1"/>
          <w:kern w:val="2"/>
          <w:sz w:val="16"/>
          <w:szCs w:val="16"/>
        </w:rPr>
        <w:softHyphen/>
        <w:t>мецкой авиации авиабомб (5999).</w:t>
      </w:r>
    </w:p>
    <w:p w14:paraId="5873A73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E2792A" w14:textId="77777777" w:rsidR="00406B18" w:rsidRPr="002F2FDF" w:rsidRDefault="00406B1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 (16) августа 1917 г. во время боев в районе Ипра (третье сражение во Фландрии) отмечается первый известный случай атаки низколетящими самолетами танков.</w:t>
      </w:r>
    </w:p>
    <w:p w14:paraId="764F2316" w14:textId="77777777" w:rsidR="00406B18" w:rsidRPr="002F2FDF" w:rsidRDefault="00406B1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участке прорыва германской обороны в 4 км по фронту союзники совместно с пехотой задей</w:t>
      </w:r>
      <w:r w:rsidRPr="002F2FDF">
        <w:rPr>
          <w:rFonts w:ascii="Times New Roman" w:hAnsi="Times New Roman" w:cs="Times New Roman"/>
          <w:color w:val="000000" w:themeColor="text1"/>
          <w:sz w:val="16"/>
          <w:szCs w:val="16"/>
        </w:rPr>
        <w:softHyphen/>
        <w:t>ствовали 216 танков, поддержанных авиацией а немцы впервые применили про</w:t>
      </w:r>
      <w:r w:rsidRPr="002F2FDF">
        <w:rPr>
          <w:rFonts w:ascii="Times New Roman" w:hAnsi="Times New Roman" w:cs="Times New Roman"/>
          <w:color w:val="000000" w:themeColor="text1"/>
          <w:sz w:val="16"/>
          <w:szCs w:val="16"/>
        </w:rPr>
        <w:softHyphen/>
        <w:t>тив танков свои штурмовые само</w:t>
      </w:r>
      <w:r w:rsidRPr="002F2FDF">
        <w:rPr>
          <w:rFonts w:ascii="Times New Roman" w:hAnsi="Times New Roman" w:cs="Times New Roman"/>
          <w:color w:val="000000" w:themeColor="text1"/>
          <w:sz w:val="16"/>
          <w:szCs w:val="16"/>
        </w:rPr>
        <w:softHyphen/>
        <w:t>леты.</w:t>
      </w:r>
    </w:p>
    <w:p w14:paraId="5501F33C" w14:textId="77777777" w:rsidR="00406B18" w:rsidRPr="002F2FDF" w:rsidRDefault="00406B1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Борьбу с танками германские штурмовики вели бомбами и пуле</w:t>
      </w:r>
      <w:r w:rsidRPr="002F2FDF">
        <w:rPr>
          <w:rFonts w:ascii="Times New Roman" w:hAnsi="Times New Roman" w:cs="Times New Roman"/>
          <w:color w:val="000000" w:themeColor="text1"/>
          <w:sz w:val="16"/>
          <w:szCs w:val="16"/>
        </w:rPr>
        <w:softHyphen/>
        <w:t>метным огнем (бронебойными пу</w:t>
      </w:r>
      <w:r w:rsidRPr="002F2FDF">
        <w:rPr>
          <w:rFonts w:ascii="Times New Roman" w:hAnsi="Times New Roman" w:cs="Times New Roman"/>
          <w:color w:val="000000" w:themeColor="text1"/>
          <w:sz w:val="16"/>
          <w:szCs w:val="16"/>
        </w:rPr>
        <w:softHyphen/>
        <w:t>лями калибра 7,92 мм типа А.Р. со стальным сердечником). Насколько успешной была противотанковая борьба немецких экипажей, ска</w:t>
      </w:r>
      <w:r w:rsidRPr="002F2FDF">
        <w:rPr>
          <w:rFonts w:ascii="Times New Roman" w:hAnsi="Times New Roman" w:cs="Times New Roman"/>
          <w:color w:val="000000" w:themeColor="text1"/>
          <w:sz w:val="16"/>
          <w:szCs w:val="16"/>
        </w:rPr>
        <w:softHyphen/>
        <w:t>зать трудно. В типовых условиях атак бронирование танков союзни</w:t>
      </w:r>
      <w:r w:rsidRPr="002F2FDF">
        <w:rPr>
          <w:rFonts w:ascii="Times New Roman" w:hAnsi="Times New Roman" w:cs="Times New Roman"/>
          <w:color w:val="000000" w:themeColor="text1"/>
          <w:sz w:val="16"/>
          <w:szCs w:val="16"/>
        </w:rPr>
        <w:softHyphen/>
        <w:t>ков вполне обеспечивало защиту от поражения бронебойной пулей при стрельбе с низколетящего са</w:t>
      </w:r>
      <w:r w:rsidRPr="002F2FDF">
        <w:rPr>
          <w:rFonts w:ascii="Times New Roman" w:hAnsi="Times New Roman" w:cs="Times New Roman"/>
          <w:color w:val="000000" w:themeColor="text1"/>
          <w:sz w:val="16"/>
          <w:szCs w:val="16"/>
        </w:rPr>
        <w:softHyphen/>
        <w:t>молета. Например, 16-мм лобовая и 12-мм бортовая броня наиболее массовых танков союзников — бри</w:t>
      </w:r>
      <w:r w:rsidRPr="002F2FDF">
        <w:rPr>
          <w:rFonts w:ascii="Times New Roman" w:hAnsi="Times New Roman" w:cs="Times New Roman"/>
          <w:color w:val="000000" w:themeColor="text1"/>
          <w:sz w:val="16"/>
          <w:szCs w:val="16"/>
        </w:rPr>
        <w:softHyphen/>
        <w:t xml:space="preserve">танских танков </w:t>
      </w:r>
      <w:r w:rsidRPr="002F2FDF">
        <w:rPr>
          <w:rFonts w:ascii="Times New Roman" w:hAnsi="Times New Roman" w:cs="Times New Roman"/>
          <w:color w:val="000000" w:themeColor="text1"/>
          <w:sz w:val="16"/>
          <w:szCs w:val="16"/>
          <w:lang w:val="en-US"/>
        </w:rPr>
        <w:t>Mk</w:t>
      </w:r>
      <w:r w:rsidRPr="002F2FDF">
        <w:rPr>
          <w:rFonts w:ascii="Times New Roman" w:hAnsi="Times New Roman" w:cs="Times New Roman"/>
          <w:color w:val="000000" w:themeColor="text1"/>
          <w:sz w:val="16"/>
          <w:szCs w:val="16"/>
        </w:rPr>
        <w:t>.</w:t>
      </w:r>
      <w:r w:rsidRPr="002F2FDF">
        <w:rPr>
          <w:rFonts w:ascii="Times New Roman" w:hAnsi="Times New Roman" w:cs="Times New Roman"/>
          <w:color w:val="000000" w:themeColor="text1"/>
          <w:sz w:val="16"/>
          <w:szCs w:val="16"/>
          <w:lang w:val="en-US"/>
        </w:rPr>
        <w:t>IV</w:t>
      </w:r>
      <w:r w:rsidRPr="002F2FDF">
        <w:rPr>
          <w:rFonts w:ascii="Times New Roman" w:hAnsi="Times New Roman" w:cs="Times New Roman"/>
          <w:color w:val="000000" w:themeColor="text1"/>
          <w:sz w:val="16"/>
          <w:szCs w:val="16"/>
        </w:rPr>
        <w:t>и V — не про</w:t>
      </w:r>
      <w:r w:rsidRPr="002F2FDF">
        <w:rPr>
          <w:rFonts w:ascii="Times New Roman" w:hAnsi="Times New Roman" w:cs="Times New Roman"/>
          <w:color w:val="000000" w:themeColor="text1"/>
          <w:sz w:val="16"/>
          <w:szCs w:val="16"/>
        </w:rPr>
        <w:softHyphen/>
        <w:t>бивалась такой пулей на всех даль</w:t>
      </w:r>
      <w:r w:rsidRPr="002F2FDF">
        <w:rPr>
          <w:rFonts w:ascii="Times New Roman" w:hAnsi="Times New Roman" w:cs="Times New Roman"/>
          <w:color w:val="000000" w:themeColor="text1"/>
          <w:sz w:val="16"/>
          <w:szCs w:val="16"/>
        </w:rPr>
        <w:softHyphen/>
        <w:t>ностях стрельбы. Броневой лист крыши этих танков толщиной 8 мм поражался с дистанции до 400 м, но только при нормальном попадании, что в условиях реального боя было невозможно. Единственным сред</w:t>
      </w:r>
      <w:r w:rsidRPr="002F2FDF">
        <w:rPr>
          <w:rFonts w:ascii="Times New Roman" w:hAnsi="Times New Roman" w:cs="Times New Roman"/>
          <w:color w:val="000000" w:themeColor="text1"/>
          <w:sz w:val="16"/>
          <w:szCs w:val="16"/>
        </w:rPr>
        <w:softHyphen/>
        <w:t>ством борьбы с танками оказались осколочные авиабомбы, но они бы</w:t>
      </w:r>
      <w:r w:rsidRPr="002F2FDF">
        <w:rPr>
          <w:rFonts w:ascii="Times New Roman" w:hAnsi="Times New Roman" w:cs="Times New Roman"/>
          <w:color w:val="000000" w:themeColor="text1"/>
          <w:sz w:val="16"/>
          <w:szCs w:val="16"/>
        </w:rPr>
        <w:softHyphen/>
        <w:t>ли малоэффективны ввиду низкой вероятности прямого попадания в танк и недостаточной бронепробиваемости их осколков.</w:t>
      </w:r>
    </w:p>
    <w:p w14:paraId="46DD2288" w14:textId="77777777" w:rsidR="00406B18" w:rsidRPr="002F2FDF" w:rsidRDefault="00406B1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Описан, по крайней мере, один случай, когда английский танк остановился после обстрела его немецким самолетом (17500).</w:t>
      </w:r>
    </w:p>
    <w:p w14:paraId="2C829E2A" w14:textId="77777777" w:rsidR="00406B18" w:rsidRPr="002F2FDF" w:rsidRDefault="00406B18" w:rsidP="0083075A">
      <w:pPr>
        <w:spacing w:after="0" w:line="240" w:lineRule="auto"/>
        <w:jc w:val="both"/>
        <w:rPr>
          <w:rFonts w:ascii="Times New Roman" w:eastAsia="Times New Roman" w:hAnsi="Times New Roman" w:cs="Times New Roman"/>
          <w:color w:val="000000" w:themeColor="text1"/>
          <w:sz w:val="16"/>
          <w:szCs w:val="16"/>
          <w:lang w:eastAsia="ru-RU"/>
        </w:rPr>
      </w:pPr>
    </w:p>
    <w:p w14:paraId="29FA742C" w14:textId="77777777" w:rsidR="00420384"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8477755" w14:textId="77777777" w:rsidR="00420384" w:rsidRPr="002F2FDF" w:rsidRDefault="0042038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B9A5F6" w14:textId="77777777" w:rsidR="00420384" w:rsidRPr="002F2FDF" w:rsidRDefault="00420384"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4 (17) августа 1917 Дуксом два первых самолета по майскому контракту № 5583 с Авиационным отделом Главного управления кораблестроения были сданы в полете, сдача всей партии продолжалась до 23 сентября. Отправка по назначению (нарядам) и на склад проходила в период с 9 августа по 27 сентября (15464).</w:t>
      </w:r>
    </w:p>
    <w:p w14:paraId="45209D0B" w14:textId="77777777" w:rsidR="00420384" w:rsidRPr="002F2FDF" w:rsidRDefault="00420384" w:rsidP="0083075A">
      <w:pPr>
        <w:pStyle w:val="2"/>
        <w:spacing w:before="0" w:beforeAutospacing="0" w:after="0" w:afterAutospacing="0"/>
        <w:jc w:val="both"/>
        <w:rPr>
          <w:b w:val="0"/>
          <w:color w:val="000000" w:themeColor="text1"/>
          <w:kern w:val="2"/>
          <w:sz w:val="16"/>
          <w:szCs w:val="16"/>
        </w:rPr>
      </w:pPr>
    </w:p>
    <w:p w14:paraId="0F357E3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2371D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7E3E6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августа 1917 Временным правительством освобожден один из лидеров большевиков Лев Каменев в связи с недоказанностью его участия в организации июльских беспорядков в Петрограде (4962).</w:t>
      </w:r>
    </w:p>
    <w:p w14:paraId="712D9AF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9FA902" w14:textId="77777777" w:rsidR="00952699" w:rsidRPr="002F2FDF" w:rsidRDefault="00952699" w:rsidP="0083075A">
      <w:pPr>
        <w:pStyle w:val="ae"/>
        <w:spacing w:before="0" w:after="0"/>
        <w:jc w:val="both"/>
        <w:rPr>
          <w:color w:val="000000" w:themeColor="text1"/>
          <w:kern w:val="2"/>
          <w:sz w:val="16"/>
          <w:szCs w:val="16"/>
        </w:rPr>
      </w:pPr>
      <w:r w:rsidRPr="002F2FDF">
        <w:rPr>
          <w:color w:val="000000" w:themeColor="text1"/>
          <w:kern w:val="2"/>
          <w:sz w:val="16"/>
          <w:szCs w:val="16"/>
        </w:rPr>
        <w:t>4 (17) августа 1917 поезд императорской семьи прибыл в Тюмень, откуда она на пароходах отправилась до Тобольска. Там для проживания бывшего императора и его близких был специально подготовлен дом губернатора (17045).</w:t>
      </w:r>
    </w:p>
    <w:p w14:paraId="7123AE7B" w14:textId="77777777" w:rsidR="00B85F42" w:rsidRPr="002F2FDF" w:rsidRDefault="00B85F42" w:rsidP="0083075A">
      <w:pPr>
        <w:pStyle w:val="ae"/>
        <w:spacing w:before="0" w:after="0"/>
        <w:jc w:val="both"/>
        <w:rPr>
          <w:color w:val="000000" w:themeColor="text1"/>
          <w:kern w:val="2"/>
          <w:sz w:val="16"/>
          <w:szCs w:val="16"/>
        </w:rPr>
      </w:pPr>
    </w:p>
    <w:p w14:paraId="00E98F29" w14:textId="77777777" w:rsidR="00B85F42" w:rsidRPr="002F2FDF" w:rsidRDefault="00B85F42"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4 (17) августа 1917 г. </w:t>
      </w:r>
      <w:r w:rsidRPr="002F2FDF">
        <w:rPr>
          <w:bCs/>
          <w:color w:val="000000" w:themeColor="text1"/>
          <w:kern w:val="2"/>
          <w:sz w:val="16"/>
          <w:szCs w:val="16"/>
        </w:rPr>
        <w:t>После проведенных переговоров между Временным правительством и Центральной радой в г. Петрограде была принята «Временная инструкция Генеральному секретариату Временного правительства», согласно которой власть Генерального секретариата распространялась на 5 губерний: Киевскую, Волынскую, Подольскую, Полтавскую и Черниговскую (за исключением Мглинского, Суражского, Стародубского и Новозыбковского уездов). «Инструкция» официально признавала Украину национально-территориальной единицей в составе России (17326).</w:t>
      </w:r>
    </w:p>
    <w:p w14:paraId="1B25CFB8" w14:textId="77777777" w:rsidR="00952699" w:rsidRPr="002F2FDF" w:rsidRDefault="0095269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9E85B0" w14:textId="77777777" w:rsidR="00420384"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207B66A0" w14:textId="77777777" w:rsidR="00420384" w:rsidRPr="002F2FDF" w:rsidRDefault="0042038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1CD45E" w14:textId="77777777" w:rsidR="00420384" w:rsidRPr="002F2FDF" w:rsidRDefault="004203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 xml:space="preserve">4 (17) августа 1917 г. </w:t>
      </w:r>
      <w:r w:rsidRPr="002F2FDF">
        <w:rPr>
          <w:rFonts w:ascii="Times New Roman" w:hAnsi="Times New Roman" w:cs="Times New Roman"/>
          <w:color w:val="000000" w:themeColor="text1"/>
          <w:kern w:val="2"/>
          <w:sz w:val="16"/>
          <w:szCs w:val="16"/>
        </w:rPr>
        <w:t>Сообщение газеты «Вестник Временного правительства» о желательности привлечения американских капиталов к участию в займах русских городов.</w:t>
      </w:r>
    </w:p>
    <w:p w14:paraId="220BD9E1" w14:textId="50EFDC7E" w:rsidR="00420384" w:rsidRPr="002F2FDF" w:rsidRDefault="004203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468-469</w:t>
      </w:r>
    </w:p>
    <w:p w14:paraId="3BB23FB1" w14:textId="7451DF7E" w:rsidR="00420384" w:rsidRPr="002F2FDF" w:rsidRDefault="0042038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Газ. «Вестник Вр. пр-ва», № 122, 4 августа 1917 г.</w:t>
      </w:r>
    </w:p>
    <w:p w14:paraId="4042308F" w14:textId="77777777" w:rsidR="00420384" w:rsidRPr="002F2FDF" w:rsidRDefault="00420384" w:rsidP="0083075A">
      <w:pPr>
        <w:pStyle w:val="rtejustify"/>
        <w:spacing w:before="0" w:after="0"/>
        <w:rPr>
          <w:color w:val="000000" w:themeColor="text1"/>
          <w:kern w:val="2"/>
          <w:sz w:val="16"/>
          <w:szCs w:val="16"/>
        </w:rPr>
      </w:pPr>
      <w:r w:rsidRPr="002F2FDF">
        <w:rPr>
          <w:color w:val="000000" w:themeColor="text1"/>
          <w:kern w:val="2"/>
          <w:sz w:val="16"/>
          <w:szCs w:val="16"/>
        </w:rPr>
        <w:t>Министерством внутренних дел по Главному управлению по делам местного хозяйства доставлена послу Соединенных Штатов Северной</w:t>
      </w:r>
    </w:p>
    <w:p w14:paraId="464DADD3" w14:textId="77777777" w:rsidR="00420384" w:rsidRPr="002F2FDF" w:rsidRDefault="00420384" w:rsidP="0083075A">
      <w:pPr>
        <w:pStyle w:val="rtejustify"/>
        <w:spacing w:before="0" w:after="0"/>
        <w:rPr>
          <w:color w:val="000000" w:themeColor="text1"/>
          <w:kern w:val="2"/>
          <w:sz w:val="16"/>
          <w:szCs w:val="16"/>
        </w:rPr>
      </w:pPr>
      <w:r w:rsidRPr="002F2FDF">
        <w:rPr>
          <w:color w:val="000000" w:themeColor="text1"/>
          <w:kern w:val="2"/>
          <w:sz w:val="16"/>
          <w:szCs w:val="16"/>
        </w:rPr>
        <w:t>Америки и генеральному консулу тех же Штатов краткая записка о состоянии русских городов. В этой записке указывается прежде всего на быстрый рост городского населения в России: в 1897 г. городского населения было 16 855 000 чел., а в 1915 г. уже 27 404 000 чел., на 6,6% больше. Городов с населением свыше 100 000 было в 1897 г. 20, с населением в 6 000 000; в 1915 г. таких городов было 46, с населением в 13 384 200 чел. В Петрограде в 1897 г. было 1 367 023 жителей, а в 1915 г. уже 2 318 645жителей. В Москве в 1897 г. — 1 035 664, а в 1915 г.— 1 949 600 жителей. Быстро возрастали и бюджеты городов: сумма всех городских доходов в 1901 г. составляла 103 613 443 руб., а в 1912 г.— 237 679 200 руб. Особенно увеличились за это время доходы от городских предприятий — в 4,6 раза.</w:t>
      </w:r>
    </w:p>
    <w:p w14:paraId="2D124342" w14:textId="77777777" w:rsidR="00420384" w:rsidRPr="002F2FDF" w:rsidRDefault="00420384" w:rsidP="0083075A">
      <w:pPr>
        <w:pStyle w:val="rtejustify"/>
        <w:spacing w:before="0" w:after="0"/>
        <w:rPr>
          <w:color w:val="000000" w:themeColor="text1"/>
          <w:kern w:val="2"/>
          <w:sz w:val="16"/>
          <w:szCs w:val="16"/>
        </w:rPr>
      </w:pPr>
      <w:r w:rsidRPr="002F2FDF">
        <w:rPr>
          <w:color w:val="000000" w:themeColor="text1"/>
          <w:kern w:val="2"/>
          <w:sz w:val="16"/>
          <w:szCs w:val="16"/>
        </w:rPr>
        <w:lastRenderedPageBreak/>
        <w:t>Соответственно росла и задолженность городов. За время с 1875 г. по 1901 г. общий итог городских облигационных займов составлял 147 500 000 руб., а в продолжение десятилетия с 1901 г. по 1911 г. заключено займов более чем на 265 000 000 руб. Но эта задолженность надежно гарантирована не только всеми городскими доходами, но также я земельными имуществами городов. Русские города владеют 2 млн десятин земли, ценность которой быстро возрастает; так, в Петрограде стоимость земли, находящейся в черте города, возрастает в каждый год на 200 000 000 руб. Но, кроме того, городские займы затрачены большею частью на производительные цели, на доходные предприятия. Поэтому Главное управление по делам местного хозяйства обращает внимание американских капиталистов на удобство помещения их средств в облигации русских займов, которые выгодны уже потому, что дают в среднем от 4</w:t>
      </w:r>
      <w:r w:rsidRPr="002F2FDF">
        <w:rPr>
          <w:color w:val="000000" w:themeColor="text1"/>
          <w:kern w:val="2"/>
          <w:sz w:val="16"/>
          <w:szCs w:val="16"/>
          <w:vertAlign w:val="superscript"/>
        </w:rPr>
        <w:t>1</w:t>
      </w:r>
      <w:r w:rsidRPr="002F2FDF">
        <w:rPr>
          <w:color w:val="000000" w:themeColor="text1"/>
          <w:kern w:val="2"/>
          <w:sz w:val="16"/>
          <w:szCs w:val="16"/>
        </w:rPr>
        <w:t>/</w:t>
      </w:r>
      <w:r w:rsidRPr="002F2FDF">
        <w:rPr>
          <w:color w:val="000000" w:themeColor="text1"/>
          <w:kern w:val="2"/>
          <w:sz w:val="16"/>
          <w:szCs w:val="16"/>
          <w:vertAlign w:val="subscript"/>
        </w:rPr>
        <w:t xml:space="preserve">2 </w:t>
      </w:r>
      <w:r w:rsidRPr="002F2FDF">
        <w:rPr>
          <w:color w:val="000000" w:themeColor="text1"/>
          <w:kern w:val="2"/>
          <w:sz w:val="16"/>
          <w:szCs w:val="16"/>
        </w:rPr>
        <w:t>г. до 5% на номинальную сумму или в среднем около 5</w:t>
      </w:r>
      <w:r w:rsidRPr="002F2FDF">
        <w:rPr>
          <w:color w:val="000000" w:themeColor="text1"/>
          <w:kern w:val="2"/>
          <w:sz w:val="16"/>
          <w:szCs w:val="16"/>
          <w:vertAlign w:val="superscript"/>
        </w:rPr>
        <w:t>1</w:t>
      </w:r>
      <w:r w:rsidRPr="002F2FDF">
        <w:rPr>
          <w:color w:val="000000" w:themeColor="text1"/>
          <w:kern w:val="2"/>
          <w:sz w:val="16"/>
          <w:szCs w:val="16"/>
        </w:rPr>
        <w:t>/</w:t>
      </w:r>
      <w:r w:rsidRPr="002F2FDF">
        <w:rPr>
          <w:color w:val="000000" w:themeColor="text1"/>
          <w:kern w:val="2"/>
          <w:sz w:val="16"/>
          <w:szCs w:val="16"/>
          <w:vertAlign w:val="subscript"/>
        </w:rPr>
        <w:t>2</w:t>
      </w:r>
      <w:r w:rsidRPr="002F2FDF">
        <w:rPr>
          <w:color w:val="000000" w:themeColor="text1"/>
          <w:kern w:val="2"/>
          <w:sz w:val="16"/>
          <w:szCs w:val="16"/>
        </w:rPr>
        <w:t>% на курсовую стоимость. Выгодны займы русских городов и банкам, производящим реализацию. Реализуя по твердой цене и выпуская облигации на рынки по более высокому курсу, банки получают крупную разницу, достигающую 2% номинальной суммы займа.</w:t>
      </w:r>
    </w:p>
    <w:p w14:paraId="30AAF905" w14:textId="77777777" w:rsidR="00420384" w:rsidRPr="002F2FDF" w:rsidRDefault="00420384" w:rsidP="0083075A">
      <w:pPr>
        <w:pStyle w:val="rtejustify"/>
        <w:spacing w:before="0" w:after="0"/>
        <w:rPr>
          <w:color w:val="000000" w:themeColor="text1"/>
          <w:kern w:val="2"/>
          <w:sz w:val="16"/>
          <w:szCs w:val="16"/>
        </w:rPr>
      </w:pPr>
      <w:r w:rsidRPr="002F2FDF">
        <w:rPr>
          <w:color w:val="000000" w:themeColor="text1"/>
          <w:kern w:val="2"/>
          <w:sz w:val="16"/>
          <w:szCs w:val="16"/>
        </w:rPr>
        <w:t>Затем русские города находятся накануне широкого развития всех сторон их деятельности, так как им будет предоставлена широкая возможность облагать всевозможные ценности и доходы.</w:t>
      </w:r>
    </w:p>
    <w:p w14:paraId="2A1FF794" w14:textId="77777777" w:rsidR="00420384" w:rsidRPr="002F2FDF" w:rsidRDefault="00420384" w:rsidP="0083075A">
      <w:pPr>
        <w:pStyle w:val="rtejustify"/>
        <w:spacing w:before="0" w:after="0"/>
        <w:rPr>
          <w:color w:val="000000" w:themeColor="text1"/>
          <w:kern w:val="2"/>
          <w:sz w:val="16"/>
          <w:szCs w:val="16"/>
        </w:rPr>
      </w:pPr>
      <w:r w:rsidRPr="002F2FDF">
        <w:rPr>
          <w:color w:val="000000" w:themeColor="text1"/>
          <w:kern w:val="2"/>
          <w:sz w:val="16"/>
          <w:szCs w:val="16"/>
        </w:rPr>
        <w:t>До сих пор русские займы реализовались главным образом во Франции и частью в Англии. Америка пока оставалась в стороне. Ознакомившись ближе с Россией, американские капиталисты убедятся, что облигационные займы русских городов являются верным и выгодным помещением для американских капиталистов. Громадные средства Америки и природная деловая решительность американцев должны побуждать их помещать свои капиталы в займы городов страны, пробудившейся к новой жизни, страны, которой предстоит крупный хозяйственный подъем (15198).</w:t>
      </w:r>
    </w:p>
    <w:p w14:paraId="2769BC8A" w14:textId="77777777" w:rsidR="00420384" w:rsidRPr="002F2FDF" w:rsidRDefault="00420384"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1E72B07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0E846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E2C034" w14:textId="77777777" w:rsidR="00DA7733" w:rsidRPr="002F2FDF" w:rsidRDefault="00DA7733"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4 (17) августа 1917 кайзер подписал приказ, ограничивающий воздухоплавателей 25 кораблями, в том числе 18 на Западном фронте, и 27 сформированными командами при выпуске одного нового дирижабля не чаще раза в два месяца.</w:t>
      </w:r>
    </w:p>
    <w:p w14:paraId="6AF4675A" w14:textId="77777777" w:rsidR="00DA7733" w:rsidRPr="002F2FDF" w:rsidRDefault="00DA7733"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В новых условиях флоту пришлось бережнее относиться к имеющимся силам и, по возможности, избегать рискованных действий, поскольку восполнять потери стало затруднительно. Следствием явилось изменение планов проведения бомбардировочных рейдов с переориентированием на действия в центральных и северных районах, но это уже тема для отдельного исследования (19156).</w:t>
      </w:r>
    </w:p>
    <w:p w14:paraId="3D2DC714" w14:textId="77777777" w:rsidR="00DA7733" w:rsidRPr="002F2FDF" w:rsidRDefault="00DA7733" w:rsidP="0083075A">
      <w:pPr>
        <w:pStyle w:val="ae"/>
        <w:shd w:val="clear" w:color="auto" w:fill="FFFFFF"/>
        <w:spacing w:before="0" w:after="0"/>
        <w:jc w:val="both"/>
        <w:textAlignment w:val="baseline"/>
        <w:rPr>
          <w:color w:val="000000" w:themeColor="text1"/>
          <w:sz w:val="16"/>
          <w:szCs w:val="16"/>
        </w:rPr>
      </w:pPr>
    </w:p>
    <w:p w14:paraId="203B2C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 (17) августа 1917 был представлен второй и последний доклад генерала Смутса. </w:t>
      </w:r>
    </w:p>
    <w:p w14:paraId="193822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"Авиация... может применяться как самостоятельное боевое средство при военных операциях.  Никто из наблюдавших атаку на Лондон 11 июля  не станет в этом сомневаться ни одной минуты. В отличие от артиллерии воздушный флот может производить большие операции вдали от основных сил армии и флота и независимо от них. Уже сейчас можно предсказать, что масштабы военного применения авиации будут совершенно безграничны. И может быть скоро настанет день, когда воздушные операции... станут основными военными операциями, а все операции сухопутных армий и флота - подсобными и подчиненными...</w:t>
      </w:r>
    </w:p>
    <w:p w14:paraId="1985A4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 считаю, что нет разумных оснований сохранять бюро авиации в нынешней его форме совещательного клуба представителей старых ведомств, а следует возвысить его в ранг самостоятельного министерства...</w:t>
      </w:r>
    </w:p>
    <w:p w14:paraId="36F800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Уже в ближайшие весну и лето армия и флот будут иметь полностью необходимое для военных операций количество аэропланов. Сверх того мы будем иметь значительный излишек для самостоятельных выступлений военной авиации. Кто будет следить и направлять деятельность этого "излишка"?</w:t>
      </w:r>
    </w:p>
    <w:p w14:paraId="6326EB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Непрерывное и стремительное давление авиации на индустриальные центры неприятеля и на его коммуникационные линии может стать одним из важнейших факторов мира..." (11999).</w:t>
      </w:r>
    </w:p>
    <w:p w14:paraId="671D0C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3C9B2A" w14:textId="77777777" w:rsidR="00B56299" w:rsidRPr="002F2FDF" w:rsidRDefault="00B5629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4 (17) августа 1917 поставлена задача изучить, как воздушные силы Соединенного Королевства наилучшим образом могут быть организованы для войны с Германией и рассмотреть вопрос о том, следует ли им оставаться в подчинении британской армии и военно - морского флота. Генерал Ян Смэтс завершает т.н. отчет Смэтса. В нем он отмечает, что авиация может быть использована как «независимое средство ведения войны», что «нет абсолютно никаких пределов масштабам ее будущей независимой военной службы», что вскоре «воздушные операции с уничтожением врага на земле и разрушение промышленных и густонаселенных центров в огромных масштабах могут быть главными операциями войны, из-за которых старые формы наземных и военно-морских операций могут стать второстепенными и подчиненными". Он прогнозирует, что к лету 1918 года «фронт воздушного боя будет далеко позади Рейна», в то время как наземный фронт все еще увязнет в Бельгии и Франции, и что воздушные удары по немецкой промышленности и коммуникациям могут стать «важным фактором в развитии событий» и достижения мира. Этот доклад является основой новой теории ведения войны, которую пропагандируют британские защитники бомбардировочной авиации, и вдохновил на создание независимых Королевских ВВС в 1918 году (20341). </w:t>
      </w:r>
    </w:p>
    <w:p w14:paraId="4819864E" w14:textId="77777777" w:rsidR="00B56299" w:rsidRPr="002F2FDF" w:rsidRDefault="00B56299" w:rsidP="0083075A">
      <w:pPr>
        <w:spacing w:after="0" w:line="240" w:lineRule="auto"/>
        <w:jc w:val="both"/>
        <w:rPr>
          <w:rFonts w:ascii="Times New Roman" w:hAnsi="Times New Roman" w:cs="Times New Roman"/>
          <w:color w:val="000000" w:themeColor="text1"/>
          <w:sz w:val="16"/>
          <w:szCs w:val="16"/>
        </w:rPr>
      </w:pPr>
    </w:p>
    <w:p w14:paraId="7BF7FD23" w14:textId="77777777" w:rsidR="00B56299" w:rsidRPr="002F2FDF" w:rsidRDefault="00B5629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августа 1917 были организованы ВВС Нидерландов - MLD (2249).</w:t>
      </w:r>
    </w:p>
    <w:p w14:paraId="73B7352D" w14:textId="77777777" w:rsidR="00B56299" w:rsidRPr="002F2FDF" w:rsidRDefault="00B5629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E82D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4 - 30 августа (17 августа по 12 сентября) 1917 было одиннадцатое сражение на Изонцо. Итальянские войска немного продвинулись вперед (3907,91).</w:t>
      </w:r>
    </w:p>
    <w:p w14:paraId="34283D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DDC1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августа 1917 Италия объявила войну Германии и Турции (3481).</w:t>
      </w:r>
    </w:p>
    <w:p w14:paraId="045A57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5EC8FB" w14:textId="77777777" w:rsidR="00B756EA" w:rsidRPr="002F2FDF" w:rsidRDefault="00B756E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751240C" w14:textId="77777777" w:rsidR="00B756EA" w:rsidRPr="002F2FDF" w:rsidRDefault="00B756E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7969A8" w14:textId="77777777" w:rsidR="00B756EA" w:rsidRPr="00815ED5" w:rsidRDefault="00B756EA"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5 (18)</w:t>
      </w:r>
      <w:r w:rsidRPr="00815ED5">
        <w:rPr>
          <w:rFonts w:ascii="Times New Roman" w:hAnsi="Times New Roman" w:cs="Times New Roman"/>
          <w:color w:val="0070C0"/>
          <w:sz w:val="16"/>
          <w:szCs w:val="16"/>
        </w:rPr>
        <w:t xml:space="preserve"> августа </w:t>
      </w:r>
      <w:r>
        <w:rPr>
          <w:rFonts w:ascii="Times New Roman" w:hAnsi="Times New Roman" w:cs="Times New Roman"/>
          <w:color w:val="0070C0"/>
          <w:sz w:val="16"/>
          <w:szCs w:val="16"/>
        </w:rPr>
        <w:t>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из</w:t>
      </w:r>
      <w:r w:rsidRPr="00815ED5">
        <w:rPr>
          <w:rFonts w:ascii="Times New Roman" w:hAnsi="Times New Roman" w:cs="Times New Roman"/>
          <w:color w:val="0070C0"/>
          <w:sz w:val="16"/>
          <w:szCs w:val="16"/>
        </w:rPr>
        <w:t xml:space="preserve">обретатель Николай </w:t>
      </w:r>
      <w:r>
        <w:rPr>
          <w:rFonts w:ascii="Times New Roman" w:hAnsi="Times New Roman" w:cs="Times New Roman"/>
          <w:color w:val="0070C0"/>
          <w:sz w:val="16"/>
          <w:szCs w:val="16"/>
        </w:rPr>
        <w:t>Ге</w:t>
      </w:r>
      <w:r w:rsidRPr="00815ED5">
        <w:rPr>
          <w:rFonts w:ascii="Times New Roman" w:hAnsi="Times New Roman" w:cs="Times New Roman"/>
          <w:color w:val="0070C0"/>
          <w:sz w:val="16"/>
          <w:szCs w:val="16"/>
        </w:rPr>
        <w:t>оргие</w:t>
      </w: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ич Мстиславский обратил</w:t>
      </w:r>
      <w:r w:rsidRPr="00815ED5">
        <w:rPr>
          <w:rFonts w:ascii="Times New Roman" w:hAnsi="Times New Roman" w:cs="Times New Roman"/>
          <w:color w:val="0070C0"/>
          <w:sz w:val="16"/>
          <w:szCs w:val="16"/>
        </w:rPr>
        <w:softHyphen/>
        <w:t>ся в У</w:t>
      </w:r>
      <w:r>
        <w:rPr>
          <w:rFonts w:ascii="Times New Roman" w:hAnsi="Times New Roman" w:cs="Times New Roman"/>
          <w:color w:val="0070C0"/>
          <w:sz w:val="16"/>
          <w:szCs w:val="16"/>
        </w:rPr>
        <w:t>ВВФ</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 xml:space="preserve"> проектом телеуправляемой "а</w:t>
      </w:r>
      <w:r>
        <w:rPr>
          <w:rFonts w:ascii="Times New Roman" w:hAnsi="Times New Roman" w:cs="Times New Roman"/>
          <w:color w:val="0070C0"/>
          <w:sz w:val="16"/>
          <w:szCs w:val="16"/>
        </w:rPr>
        <w:t>э</w:t>
      </w:r>
      <w:r w:rsidRPr="00815ED5">
        <w:rPr>
          <w:rFonts w:ascii="Times New Roman" w:hAnsi="Times New Roman" w:cs="Times New Roman"/>
          <w:color w:val="0070C0"/>
          <w:sz w:val="16"/>
          <w:szCs w:val="16"/>
        </w:rPr>
        <w:t>ром</w:t>
      </w:r>
      <w:r>
        <w:rPr>
          <w:rFonts w:ascii="Times New Roman" w:hAnsi="Times New Roman" w:cs="Times New Roman"/>
          <w:color w:val="0070C0"/>
          <w:sz w:val="16"/>
          <w:szCs w:val="16"/>
        </w:rPr>
        <w:t>ины</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Снаряд снабжался парогазовой турбиной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 xml:space="preserve"> "каталитическим" горением</w:t>
      </w:r>
      <w:r>
        <w:rPr>
          <w:rFonts w:ascii="Times New Roman" w:hAnsi="Times New Roman" w:cs="Times New Roman"/>
          <w:color w:val="0070C0"/>
          <w:sz w:val="16"/>
          <w:szCs w:val="16"/>
        </w:rPr>
        <w:t>, в</w:t>
      </w:r>
      <w:r w:rsidRPr="00815ED5">
        <w:rPr>
          <w:rFonts w:ascii="Times New Roman" w:hAnsi="Times New Roman" w:cs="Times New Roman"/>
          <w:color w:val="0070C0"/>
          <w:sz w:val="16"/>
          <w:szCs w:val="16"/>
        </w:rPr>
        <w:t xml:space="preserve"> пол</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т</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 xml:space="preserve"> упралял</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я но р</w:t>
      </w:r>
      <w:r>
        <w:rPr>
          <w:rFonts w:ascii="Times New Roman" w:hAnsi="Times New Roman" w:cs="Times New Roman"/>
          <w:color w:val="0070C0"/>
          <w:sz w:val="16"/>
          <w:szCs w:val="16"/>
        </w:rPr>
        <w:t>а</w:t>
      </w:r>
      <w:r w:rsidRPr="00815ED5">
        <w:rPr>
          <w:rFonts w:ascii="Times New Roman" w:hAnsi="Times New Roman" w:cs="Times New Roman"/>
          <w:color w:val="0070C0"/>
          <w:sz w:val="16"/>
          <w:szCs w:val="16"/>
        </w:rPr>
        <w:t>д</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 xml:space="preserve">о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 xml:space="preserve"> земли.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Выполнив задан</w:t>
      </w:r>
      <w:r>
        <w:rPr>
          <w:rFonts w:ascii="Times New Roman" w:hAnsi="Times New Roman" w:cs="Times New Roman"/>
          <w:color w:val="0070C0"/>
          <w:sz w:val="16"/>
          <w:szCs w:val="16"/>
        </w:rPr>
        <w:t>ие</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снаряд возвращается за новой зарядкой.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При несчастном случае снаряд падает на землю массою стрел </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 xml:space="preserve"> обломков,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начиненных картечью,</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так что лишает противника воэможпости ознакомиться о его конструкцией.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По мнению изобретателя «аэ ром</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иа" —орудие будуще</w:t>
      </w:r>
      <w:r>
        <w:rPr>
          <w:rFonts w:ascii="Times New Roman" w:hAnsi="Times New Roman" w:cs="Times New Roman"/>
          <w:color w:val="0070C0"/>
          <w:sz w:val="16"/>
          <w:szCs w:val="16"/>
        </w:rPr>
        <w:t>го</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при которой война станет невозможной</w:t>
      </w:r>
      <w:r>
        <w:rPr>
          <w:rFonts w:ascii="Times New Roman" w:hAnsi="Times New Roman" w:cs="Times New Roman"/>
          <w:color w:val="0070C0"/>
          <w:sz w:val="16"/>
          <w:szCs w:val="16"/>
        </w:rPr>
        <w:t>. В</w:t>
      </w:r>
      <w:r w:rsidRPr="00815ED5">
        <w:rPr>
          <w:rFonts w:ascii="Times New Roman" w:hAnsi="Times New Roman" w:cs="Times New Roman"/>
          <w:color w:val="0070C0"/>
          <w:sz w:val="16"/>
          <w:szCs w:val="16"/>
        </w:rPr>
        <w:t xml:space="preserve"> изобретении Мстиславского заложена ид</w:t>
      </w:r>
      <w:r>
        <w:rPr>
          <w:rFonts w:ascii="Times New Roman" w:hAnsi="Times New Roman" w:cs="Times New Roman"/>
          <w:color w:val="0070C0"/>
          <w:sz w:val="16"/>
          <w:szCs w:val="16"/>
        </w:rPr>
        <w:t>ея</w:t>
      </w:r>
      <w:r w:rsidRPr="00815ED5">
        <w:rPr>
          <w:rFonts w:ascii="Times New Roman" w:hAnsi="Times New Roman" w:cs="Times New Roman"/>
          <w:color w:val="0070C0"/>
          <w:sz w:val="16"/>
          <w:szCs w:val="16"/>
        </w:rPr>
        <w:t xml:space="preserve"> современных самолетов- снарядов класса "земля-воздух"</w:t>
      </w:r>
      <w:r>
        <w:rPr>
          <w:rFonts w:ascii="Times New Roman" w:hAnsi="Times New Roman" w:cs="Times New Roman"/>
          <w:color w:val="0070C0"/>
          <w:sz w:val="16"/>
          <w:szCs w:val="16"/>
        </w:rPr>
        <w:t xml:space="preserve">. В </w:t>
      </w:r>
      <w:r w:rsidRPr="00815ED5">
        <w:rPr>
          <w:rFonts w:ascii="Times New Roman" w:hAnsi="Times New Roman" w:cs="Times New Roman"/>
          <w:color w:val="0070C0"/>
          <w:sz w:val="16"/>
          <w:szCs w:val="16"/>
        </w:rPr>
        <w:t>связи о обстановкой того времени проектом никто но заинтересовался.</w:t>
      </w:r>
    </w:p>
    <w:p w14:paraId="64D73FF3" w14:textId="77777777" w:rsidR="00B756EA" w:rsidRDefault="00B756EA"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ЦГВИА, ф. 493, оп. 10, д. 115, л. 170/ (23320).</w:t>
      </w:r>
    </w:p>
    <w:p w14:paraId="30BD391A" w14:textId="77777777" w:rsidR="00B756EA" w:rsidRDefault="00B756EA" w:rsidP="0083075A">
      <w:pPr>
        <w:spacing w:after="0" w:line="240" w:lineRule="auto"/>
        <w:jc w:val="both"/>
        <w:rPr>
          <w:rFonts w:ascii="Times New Roman" w:hAnsi="Times New Roman" w:cs="Times New Roman"/>
          <w:color w:val="0070C0"/>
          <w:sz w:val="16"/>
          <w:szCs w:val="16"/>
        </w:rPr>
      </w:pPr>
    </w:p>
    <w:p w14:paraId="18E2F41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5BB31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766E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августа 1917 г. подписывается договор с главным военно-техническим управлением сроком до 1 марта 1918 г. о просмотре, чистке, сборке и регулировке получаемых из-за границ автомобилей (кроме "Рено"), а также их ремонте на АМО. Подтверждает такой вывод и записка ГВТУ военного ведомства в Особое совещание по обороне государства, направленная в сентябре 1917 г. В ней говорилось:</w:t>
      </w:r>
    </w:p>
    <w:p w14:paraId="1F76D0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Постройка всех зданий, необходимых для осуществления всей предположенной по первоначальному договору производительности завода АМО, является вполне законченной, так как недостающие 5% постройки падают на здания второстепенного и третьестепенного значения. Поэтому никакой поддержки предприятию АМО не требуется.</w:t>
      </w:r>
    </w:p>
    <w:p w14:paraId="2C1FBE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Оборудование завода АМО обстоит вполне удовлетворительно, так как фактически в распоряжении завода АМО имеется вполне готового оборудования 85%. Не остающие 15% оборудования падают на станки и приспособления второстепенного значения, кои на выпуск предполагаемого годового количества автомобилей влиять не могут. ...</w:t>
      </w:r>
    </w:p>
    <w:p w14:paraId="58D854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Завод АМО, вступивший в особые договорные отношения с итальянским заводом ФИАТ и получивший от последнего лицензию на право пользования его патентами и чертежами, находится в обладании прекрасно разработанного во всех отношениях типа грузового автомобиля 1,5 т, который единогласно признается автомобильными авторитетами наилучшим для условий работ в русской армии".</w:t>
      </w:r>
    </w:p>
    <w:p w14:paraId="7E2040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Можно, разумеется, говорить о степени объективности составленной записки. Выгодно или невыгодно кому-то было так утверждать - неизвестно. Но сейчас, по прошествии многих лет, ясно, что прежде всего причины социально-экономические, а потом уже технические не позволили в более ранние сроки начать производство первых автомобилей. Не хватало оборотных средств, мешали общая производственная анархия, подрыв авторитета специалистов, рабочая вольница, война. После гражданской - половина рабочих не имели квалификации и прогуливали. Сказалась нехватка производственного опыта у оставшихся на заводе старых специалистов. Но в тех условиях и Г. Форд ничего бы не сделал. Попытки организовать производство АМО-Ф-15 делались в 1918 г. и начиная с 1921 г. Технические ресурсы завода позволяли строить полуторатонные грузовики, но нужно было создавать школу своего автомобилестроения. Она создавалась постепенно - в процессе восстановления "Уайтов", через крупный ремонт (11195).</w:t>
      </w:r>
    </w:p>
    <w:p w14:paraId="364D64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B57F3A" w14:textId="0FE50FF4" w:rsidR="00B70A4B" w:rsidRDefault="00B70A4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117886B9" w14:textId="77777777" w:rsidR="00B70A4B" w:rsidRDefault="00B70A4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57D51B95" w14:textId="766FD845" w:rsidR="00B70A4B" w:rsidRPr="00FB4F67" w:rsidRDefault="00B70A4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 xml:space="preserve">В ночь на </w:t>
      </w:r>
      <w:r>
        <w:rPr>
          <w:rFonts w:ascii="Times New Roman" w:hAnsi="Times New Roman" w:cs="Times New Roman"/>
          <w:color w:val="0070C0"/>
          <w:sz w:val="16"/>
          <w:szCs w:val="16"/>
        </w:rPr>
        <w:t>5 (</w:t>
      </w:r>
      <w:r w:rsidRPr="00FB4F67">
        <w:rPr>
          <w:rFonts w:ascii="Times New Roman" w:hAnsi="Times New Roman" w:cs="Times New Roman"/>
          <w:color w:val="0070C0"/>
          <w:sz w:val="16"/>
          <w:szCs w:val="16"/>
        </w:rPr>
        <w:t>18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августа 1917 г. было зафиксировано появление дирижабля в Молодечненском районе. Он летел, освещая окрестности прожектором, и </w:t>
      </w:r>
      <w:bookmarkStart w:id="240" w:name="bookmark892"/>
      <w:r w:rsidRPr="00FB4F67">
        <w:rPr>
          <w:rFonts w:ascii="Times New Roman" w:hAnsi="Times New Roman" w:cs="Times New Roman"/>
          <w:color w:val="0070C0"/>
          <w:sz w:val="16"/>
          <w:szCs w:val="16"/>
        </w:rPr>
        <w:t>вскоре попал под обстрел нашей артиллерии и поспешил повернуть назад (23405).</w:t>
      </w:r>
      <w:bookmarkEnd w:id="240"/>
    </w:p>
    <w:p w14:paraId="258FFBB2" w14:textId="77777777" w:rsidR="00B70A4B" w:rsidRPr="00FB4F67" w:rsidRDefault="00B70A4B" w:rsidP="0083075A">
      <w:pPr>
        <w:spacing w:after="0" w:line="240" w:lineRule="auto"/>
        <w:jc w:val="both"/>
        <w:rPr>
          <w:rFonts w:ascii="Times New Roman" w:hAnsi="Times New Roman" w:cs="Times New Roman"/>
          <w:color w:val="0070C0"/>
          <w:sz w:val="16"/>
          <w:szCs w:val="16"/>
        </w:rPr>
      </w:pPr>
    </w:p>
    <w:p w14:paraId="5218B538" w14:textId="4CDE9149" w:rsidR="009E251C"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8ED004F" w14:textId="77777777" w:rsidR="009E251C" w:rsidRPr="002F2FDF" w:rsidRDefault="009E251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319DCE" w14:textId="77777777" w:rsidR="009E251C" w:rsidRPr="002F2FDF" w:rsidRDefault="009E251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августа в 1917 году Временное правительство постановило отправить бывшего императора Николая Романова и его семью в Тобольск (14987).</w:t>
      </w:r>
    </w:p>
    <w:p w14:paraId="257FD023" w14:textId="77777777" w:rsidR="009E251C" w:rsidRPr="002F2FDF" w:rsidRDefault="009E251C" w:rsidP="0083075A">
      <w:pPr>
        <w:spacing w:after="0" w:line="240" w:lineRule="auto"/>
        <w:jc w:val="both"/>
        <w:rPr>
          <w:rFonts w:ascii="Times New Roman" w:hAnsi="Times New Roman" w:cs="Times New Roman"/>
          <w:color w:val="000000" w:themeColor="text1"/>
          <w:kern w:val="2"/>
          <w:sz w:val="16"/>
          <w:szCs w:val="16"/>
        </w:rPr>
      </w:pPr>
    </w:p>
    <w:p w14:paraId="3360A29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D492B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1AA31E" w14:textId="77777777" w:rsidR="009E251C" w:rsidRPr="002F2FDF" w:rsidRDefault="009E251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5 (18) августа в 1917 году с борта английского легкого бомбардировщика «Converted Seaplane» была затоплена первая вражеская подлодка. В 1918 году </w:t>
      </w:r>
      <w:hyperlink r:id="rId479" w:tgtFrame="_blank" w:history="1">
        <w:r w:rsidRPr="002F2FDF">
          <w:rPr>
            <w:rFonts w:ascii="Times New Roman" w:hAnsi="Times New Roman" w:cs="Times New Roman"/>
            <w:color w:val="000000" w:themeColor="text1"/>
            <w:kern w:val="2"/>
            <w:sz w:val="16"/>
            <w:szCs w:val="16"/>
          </w:rPr>
          <w:t xml:space="preserve">«Converted Seaplane» </w:t>
        </w:r>
      </w:hyperlink>
      <w:r w:rsidRPr="002F2FDF">
        <w:rPr>
          <w:rFonts w:ascii="Times New Roman" w:hAnsi="Times New Roman" w:cs="Times New Roman"/>
          <w:color w:val="000000" w:themeColor="text1"/>
          <w:kern w:val="2"/>
          <w:sz w:val="16"/>
          <w:szCs w:val="16"/>
        </w:rPr>
        <w:t>стали заменяться гидропланами «Short 184», и к концу войны в боевых частях их осталось всего 7 штук (14987).</w:t>
      </w:r>
    </w:p>
    <w:p w14:paraId="67F06626" w14:textId="77777777" w:rsidR="009E251C" w:rsidRPr="002F2FDF" w:rsidRDefault="009E251C" w:rsidP="0083075A">
      <w:pPr>
        <w:spacing w:after="0" w:line="240" w:lineRule="auto"/>
        <w:jc w:val="both"/>
        <w:rPr>
          <w:rFonts w:ascii="Times New Roman" w:hAnsi="Times New Roman" w:cs="Times New Roman"/>
          <w:color w:val="000000" w:themeColor="text1"/>
          <w:kern w:val="2"/>
          <w:sz w:val="16"/>
          <w:szCs w:val="16"/>
        </w:rPr>
      </w:pPr>
    </w:p>
    <w:p w14:paraId="1ADE9F06" w14:textId="77777777" w:rsidR="00674846" w:rsidRPr="002F2FDF" w:rsidRDefault="0067484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 (18) августа 1917 Luftstreitkrafte предпринимает попытку крупнейшего налета авиации на Соединенное Королевство во время Первой мировой войны, отправив 28 бомбардировщиков Gotha со своих баз в Бельгии для атаки на Англию, несмотря на прогнозы неблагоприятных ветров. После двух часов в воздухе они достигли только Зебрюгге на бельгийском побережье, и еще через час они достигли побережья Англии, где оказались в 64 километрах (40 милях) от курса. Поскольку горючего было недостаточно, командующий бомбардировщиками приказывает бомбардировщикам прекратить налет и вернуться на базу; два из них упали в Северном море, два других потерпели крушение в нейтральных Нидерландах , а другие погибли в результате аварийных посадок в Бельгии (20341).</w:t>
      </w:r>
    </w:p>
    <w:p w14:paraId="69877874" w14:textId="77777777" w:rsidR="00674846" w:rsidRPr="002F2FDF" w:rsidRDefault="00674846" w:rsidP="0083075A">
      <w:pPr>
        <w:spacing w:after="0" w:line="240" w:lineRule="auto"/>
        <w:jc w:val="both"/>
        <w:rPr>
          <w:rFonts w:ascii="Times New Roman" w:hAnsi="Times New Roman" w:cs="Times New Roman"/>
          <w:color w:val="000000" w:themeColor="text1"/>
          <w:sz w:val="16"/>
          <w:szCs w:val="16"/>
        </w:rPr>
      </w:pPr>
    </w:p>
    <w:p w14:paraId="2C45861C" w14:textId="77777777" w:rsidR="00674846" w:rsidRPr="002F2FDF" w:rsidRDefault="0067484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 (18) августа 1917 г. из Франции прибыли девять аэростатов «Како». Решением Авиаканца два из них направили в ОВШ, один — на завод «Тре</w:t>
      </w:r>
      <w:r w:rsidRPr="002F2FDF">
        <w:rPr>
          <w:rFonts w:ascii="Times New Roman" w:hAnsi="Times New Roman" w:cs="Times New Roman"/>
          <w:color w:val="000000" w:themeColor="text1"/>
          <w:sz w:val="16"/>
          <w:szCs w:val="16"/>
        </w:rPr>
        <w:softHyphen/>
        <w:t>угольник» в качестве образца, остальные — на Румынский фронт, где с 22 августа по 3 сентя</w:t>
      </w:r>
      <w:r w:rsidRPr="002F2FDF">
        <w:rPr>
          <w:rFonts w:ascii="Times New Roman" w:hAnsi="Times New Roman" w:cs="Times New Roman"/>
          <w:color w:val="000000" w:themeColor="text1"/>
          <w:sz w:val="16"/>
          <w:szCs w:val="16"/>
        </w:rPr>
        <w:softHyphen/>
        <w:t>бря французская миссия при румынской армии открыла в г. Яссы для русских военных возду</w:t>
      </w:r>
      <w:r w:rsidRPr="002F2FDF">
        <w:rPr>
          <w:rFonts w:ascii="Times New Roman" w:hAnsi="Times New Roman" w:cs="Times New Roman"/>
          <w:color w:val="000000" w:themeColor="text1"/>
          <w:sz w:val="16"/>
          <w:szCs w:val="16"/>
        </w:rPr>
        <w:softHyphen/>
        <w:t>хоплавателей курсы по изучению материальной части аэростатов. Отзывы об аэростатах были только положительные. 27 сентября командир 45-го корпусного воздухоплавательного отряда доложил Авиаканцу, что поднимал «Како» для наблюдений даже при ветре до 21 м/</w:t>
      </w:r>
      <w:r w:rsidRPr="002F2FDF">
        <w:rPr>
          <w:rFonts w:ascii="Times New Roman" w:hAnsi="Times New Roman" w:cs="Times New Roman"/>
          <w:color w:val="000000" w:themeColor="text1"/>
          <w:sz w:val="16"/>
          <w:szCs w:val="16"/>
          <w:lang w:val="en-US"/>
        </w:rPr>
        <w:t>c</w:t>
      </w:r>
      <w:r w:rsidRPr="002F2FDF">
        <w:rPr>
          <w:rFonts w:ascii="Times New Roman" w:hAnsi="Times New Roman" w:cs="Times New Roman"/>
          <w:color w:val="000000" w:themeColor="text1"/>
          <w:sz w:val="16"/>
          <w:szCs w:val="16"/>
        </w:rPr>
        <w:t>. Ванькович послал в ОВШ телеграмму с грифом «Молния»: «Пришли к заключению, что лучшего желать не приходится. Прошу заменить все аэростаты фронта аэростатами "Како"»7. Заявки на аэростат шли со всех фронтов. Наблюдающий офицер на заводе «Треугольник» докладывал, что первые 20 аэростатов этого типа будут готовы уже к ян</w:t>
      </w:r>
      <w:r w:rsidRPr="002F2FDF">
        <w:rPr>
          <w:rFonts w:ascii="Times New Roman" w:hAnsi="Times New Roman" w:cs="Times New Roman"/>
          <w:color w:val="000000" w:themeColor="text1"/>
          <w:sz w:val="16"/>
          <w:szCs w:val="16"/>
        </w:rPr>
        <w:softHyphen/>
        <w:t>варю 1918 г. Но эти два десятка «Како» получила уже Красная Армия (20120).</w:t>
      </w:r>
    </w:p>
    <w:p w14:paraId="0236A9C1" w14:textId="77777777" w:rsidR="00674846" w:rsidRPr="002F2FDF" w:rsidRDefault="00674846" w:rsidP="0083075A">
      <w:pPr>
        <w:shd w:val="clear" w:color="auto" w:fill="FFFFFF"/>
        <w:spacing w:after="0" w:line="240" w:lineRule="auto"/>
        <w:jc w:val="both"/>
        <w:rPr>
          <w:rFonts w:ascii="Times New Roman" w:hAnsi="Times New Roman" w:cs="Times New Roman"/>
          <w:color w:val="000000" w:themeColor="text1"/>
          <w:sz w:val="16"/>
          <w:szCs w:val="16"/>
        </w:rPr>
      </w:pPr>
    </w:p>
    <w:p w14:paraId="0C8BBF1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августа 1917 в ходе гигантского пожара уничтожена половина города Салоники (Греция) (4962).</w:t>
      </w:r>
    </w:p>
    <w:p w14:paraId="682F5FF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80D1C1" w14:textId="77777777" w:rsidR="00952699" w:rsidRPr="002F2FDF" w:rsidRDefault="00952699" w:rsidP="0083075A">
      <w:pPr>
        <w:pStyle w:val="ae"/>
        <w:spacing w:before="0" w:after="0"/>
        <w:jc w:val="both"/>
        <w:rPr>
          <w:color w:val="000000" w:themeColor="text1"/>
          <w:kern w:val="2"/>
          <w:sz w:val="16"/>
          <w:szCs w:val="16"/>
        </w:rPr>
      </w:pPr>
      <w:r w:rsidRPr="002F2FDF">
        <w:rPr>
          <w:color w:val="000000" w:themeColor="text1"/>
          <w:kern w:val="2"/>
          <w:sz w:val="16"/>
          <w:szCs w:val="16"/>
        </w:rPr>
        <w:t>5 (18) августа 1917 в Салониках — главном городе северной Греции и основной базе Антанты в регионе — произошел грандиозный пожар, уничтоживший около трети зданий (9500 домов). Огонь бушевал более суток. Как позднее установило следствие, пожар занялся от дома №3 по улице Олимпиады, населенного бедными беженцами. Причиной возгорания стала искра, упавшая с плиты на солому на кухне. Жильцы дома отнеслись к возгоранию халатно, долго спорили, кто принесет воду, чтобы его потушить. Тем временем поднялся сильный ветер, и огонь охватил уже весь дом, начал перекидываться на соседние здания. Локализовать пожар помешало также отсутствие достаточного количества воды и отказ военных Антанты поделиться своей водой, предназначенной для снабжения военных баз и госпиталей.</w:t>
      </w:r>
    </w:p>
    <w:p w14:paraId="74FBC934" w14:textId="77777777" w:rsidR="00952699" w:rsidRPr="002F2FDF" w:rsidRDefault="00952699" w:rsidP="0083075A">
      <w:pPr>
        <w:pStyle w:val="ae"/>
        <w:spacing w:before="0" w:after="0"/>
        <w:jc w:val="both"/>
        <w:rPr>
          <w:color w:val="000000" w:themeColor="text1"/>
          <w:kern w:val="2"/>
          <w:sz w:val="16"/>
          <w:szCs w:val="16"/>
        </w:rPr>
      </w:pPr>
      <w:r w:rsidRPr="002F2FDF">
        <w:rPr>
          <w:color w:val="000000" w:themeColor="text1"/>
          <w:kern w:val="2"/>
          <w:sz w:val="16"/>
          <w:szCs w:val="16"/>
        </w:rPr>
        <w:t>Число пострадавших от пожара в Салониках оценивалось в 72 500 человек, преимущественно из числа местных евреев. Многие из них, потеряв все, впоследствии переехали в Палестину и западные страны, другие погорельцы долго мыкались в палаточных городках. Но для самих Салоник, где преобладала старая тесная застройка, пожар спустя годы «способствовал много к украшенью» — восстановление города шло уже по новому европейскому плану (17045).</w:t>
      </w:r>
    </w:p>
    <w:p w14:paraId="7A62C5E6" w14:textId="77777777" w:rsidR="00952699" w:rsidRPr="002F2FDF" w:rsidRDefault="00952699"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4F0C0E" w14:textId="77777777" w:rsidR="00952699" w:rsidRPr="002F2FDF" w:rsidRDefault="00952699" w:rsidP="0083075A">
      <w:pPr>
        <w:pStyle w:val="ae"/>
        <w:spacing w:before="0" w:after="0"/>
        <w:jc w:val="both"/>
        <w:rPr>
          <w:color w:val="000000" w:themeColor="text1"/>
          <w:kern w:val="2"/>
          <w:sz w:val="16"/>
          <w:szCs w:val="16"/>
        </w:rPr>
      </w:pPr>
      <w:r w:rsidRPr="002F2FDF">
        <w:rPr>
          <w:color w:val="000000" w:themeColor="text1"/>
          <w:kern w:val="2"/>
          <w:sz w:val="16"/>
          <w:szCs w:val="16"/>
        </w:rPr>
        <w:t>5 (18) августа 1917 итальянские войска начали очередное крупное наступление в долине реки Изонцо в Альпах на границе с Австро-Венгрией. На фронте в 60 километрах итальянцы сосредоточили 51 дивизию и 5326 орудий, создав запас в более чем 3,5 млн снарядов. После артподготовки итальянцы начали наводить мосты через Изонцо и пошли на штурм. Австрийские войска начали отступать по всему фронту (17045).</w:t>
      </w:r>
    </w:p>
    <w:p w14:paraId="058E4689" w14:textId="77777777" w:rsidR="00952699" w:rsidRPr="002F2FDF" w:rsidRDefault="00952699"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34BA4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августа 1917 администрация президента США призвала американские семьи экономить фунт муки в неделю (4962).</w:t>
      </w:r>
    </w:p>
    <w:p w14:paraId="07DA2A3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91D785" w14:textId="77777777" w:rsidR="00B66F97"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1105DFDD" w14:textId="77777777" w:rsidR="00B66F97" w:rsidRPr="002F2FDF" w:rsidRDefault="00B66F9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69CCE5"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августа 1917 Сообщение газеты «Известия ЦИК и Петроградского Совета рабочих и солдатских депутатов»</w:t>
      </w:r>
    </w:p>
    <w:p w14:paraId="5AE63C17"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36-38</w:t>
      </w:r>
    </w:p>
    <w:p w14:paraId="4D9C2276"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Сообщение газеты «Известия ЦИК и Петроградского Совета рабочих и солдатских депутатов» о сокращении производства и закрытии промышленных предприятий Петрограда</w:t>
      </w:r>
      <w:hyperlink r:id="rId480" w:anchor="_ftn1" w:history="1">
        <w:r w:rsidRPr="002F2FDF">
          <w:rPr>
            <w:rFonts w:ascii="Times New Roman" w:hAnsi="Times New Roman" w:cs="Times New Roman"/>
            <w:color w:val="000000" w:themeColor="text1"/>
            <w:kern w:val="2"/>
            <w:sz w:val="16"/>
            <w:szCs w:val="16"/>
          </w:rPr>
          <w:t>[1]</w:t>
        </w:r>
      </w:hyperlink>
    </w:p>
    <w:p w14:paraId="79E2D61D"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Союз металлистов поступают один за другим сообщения о. сокращении работ на заводах и о закрытии целого ряда предприятий. Правление союза сделало следующую сводку всем этим заявлениям.</w:t>
      </w:r>
    </w:p>
    <w:p w14:paraId="0E3D2128"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Ремонтные мастерские «Ример — Ремонт респираторов». Предприятие закрывается вследствие прекращения заказов.</w:t>
      </w:r>
    </w:p>
    <w:p w14:paraId="5A2DB081"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«Замес» закрыт.</w:t>
      </w:r>
    </w:p>
    <w:p w14:paraId="25D92ED0"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«Рессора» вырабатывает пулеметные коробки. Сокращает производство вследствие сокращения заказов и эвакуируется в Рыбинск.</w:t>
      </w:r>
    </w:p>
    <w:p w14:paraId="17E5B543"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«Влохи». Работает на оборону. Закрывается вследствие отсутствия металла.</w:t>
      </w:r>
    </w:p>
    <w:p w14:paraId="62677AB1"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Ипполитова. Производство пуль, шрапнели и ударных трубок. Массовые расчеты за сокращением производства.</w:t>
      </w:r>
    </w:p>
    <w:p w14:paraId="36DAD0B6"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точильных изделий ликвидируется за отсутствием заказов.</w:t>
      </w:r>
    </w:p>
    <w:p w14:paraId="0385ABFD"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«Прейс», вырабатывающий напильники, сокращает производство за сокращением заказов.</w:t>
      </w:r>
    </w:p>
    <w:p w14:paraId="3A23C288"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Фабрика Евдокимова закрыта.</w:t>
      </w:r>
    </w:p>
    <w:p w14:paraId="08EAA909"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Мастерские «Густ», изготовляющие цепи для мин, закрыты, как только рабочими [были] предъявлены требования о повышении платы.</w:t>
      </w:r>
    </w:p>
    <w:p w14:paraId="2D6378A4"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«Лейбошиц», изготовляющий походные кухни, вследствие сокращения заказов сокращает производство. Предстоит закрытие.</w:t>
      </w:r>
    </w:p>
    <w:p w14:paraId="5C17F229"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Э. Новицкого. Сокращение заказа на бомбы вызывает закрытие предприятия.</w:t>
      </w:r>
    </w:p>
    <w:p w14:paraId="1DB1ECC8"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Басевича, работающий на оборону, закрывается вследствие сокращения заказов.</w:t>
      </w:r>
    </w:p>
    <w:p w14:paraId="4DD57EFC"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Автоматная мастерская Областного комитета по снабжению армии, ремонтирующая автомобили, сокращает штаты рабочих из-за убыточности производства.</w:t>
      </w:r>
    </w:p>
    <w:p w14:paraId="12756A95"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«Сименс—Шуккерт» работает на оборону. Штаты сокращаются на 30% нз-за недостатка сырья, топлива и от понижения [производительности] производства.</w:t>
      </w:r>
    </w:p>
    <w:p w14:paraId="3D869239"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Трубочный завод «Промет», работающий на артиллерийское ведомство. Администрация заявила о постепенной ликвидации по мере выполнения заказов.</w:t>
      </w:r>
    </w:p>
    <w:p w14:paraId="6EA4621B"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Невский деревообделочный завод закрывается вследствие предъявления требований рабочими.</w:t>
      </w:r>
    </w:p>
    <w:p w14:paraId="33549800"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Северный гвоздильный завод, изготовляющий колючую проволоку, сокращает производство из-за отсутствия материалов.</w:t>
      </w:r>
    </w:p>
    <w:p w14:paraId="4F580AF2"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Монетном заводе из 2000 чел. уволено 700 рабочих и работы сокращаются.</w:t>
      </w:r>
    </w:p>
    <w:p w14:paraId="7FA8C2AC"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Чугунолитейный завод «Форсбом» закрывается.</w:t>
      </w:r>
    </w:p>
    <w:p w14:paraId="08413BBF"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Мастерские Самуилкина закрываются за отсутствием материалов.</w:t>
      </w:r>
    </w:p>
    <w:p w14:paraId="499DBA38"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Фабрика Мартенса, работающая на Красный Крест, закрывается за недостатком материала.</w:t>
      </w:r>
    </w:p>
    <w:p w14:paraId="42FDDA26"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Семенова закрыт из-за понижения производительности.</w:t>
      </w:r>
    </w:p>
    <w:p w14:paraId="1FA6BB8C"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Тихина закрывается ввиду отсутствия заказов на приборы для мин.</w:t>
      </w:r>
    </w:p>
    <w:p w14:paraId="5A75B83C"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Гольмстрем и Тунельд, вырабатывающий запальные стаканы, из 300 чел. рассчитал 150.</w:t>
      </w:r>
    </w:p>
    <w:p w14:paraId="7129AF7C"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Соловьева закрыт.</w:t>
      </w:r>
    </w:p>
    <w:p w14:paraId="673E1225"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«Электрожесть» закрывается по причине невыгодности производства.</w:t>
      </w:r>
    </w:p>
    <w:p w14:paraId="534AF712"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Автомобильный отдел Русско-Балтийского завода заявил о предстоящем закрытии из-за убыточности производства.</w:t>
      </w:r>
    </w:p>
    <w:p w14:paraId="7DF56160"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«Сталедуб» закрылся по предъявлении рабочими экономических требований.</w:t>
      </w:r>
    </w:p>
    <w:p w14:paraId="49A59909"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Забайкина эвакуируется из-за отсутствия топлива и материалов. Рабочие рассчитываются.</w:t>
      </w:r>
    </w:p>
    <w:p w14:paraId="70ECBD2B"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Мастерские Гущи и Малиновского закрыты. Причины — предъявление рабочими экономических требований.</w:t>
      </w:r>
    </w:p>
    <w:p w14:paraId="4521FEBA"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Железопрокатный завод Донецкого об-ва закрыт из-за отсутствия топлива.</w:t>
      </w:r>
    </w:p>
    <w:p w14:paraId="4435F2D2"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той же причине закрыт завод «Пэлла».</w:t>
      </w:r>
    </w:p>
    <w:p w14:paraId="64B1468B"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Кагана производит расчет рабочих из-за недостатка жести.</w:t>
      </w:r>
    </w:p>
    <w:p w14:paraId="7FEC1DAE"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Мастерские Михайловского, завод Раковицкого и завод Леонова рассчитали рабочих, предъявивших экономические требования, и закрылись.</w:t>
      </w:r>
    </w:p>
    <w:p w14:paraId="203B9E97"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Завод Введенского и завод Александрова закрываются из-за отсутствия сырья и топлива.</w:t>
      </w:r>
    </w:p>
    <w:p w14:paraId="2A3FBC6E"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Мастерские Комитета военно-технической помощи и завод «Веттер-странд» закрыты по причине отсутствия заказов.</w:t>
      </w:r>
    </w:p>
    <w:p w14:paraId="6A2C9CED"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заводе «Таубе» сокращение заказов вызвало сокращение штатов рабочих.</w:t>
      </w:r>
    </w:p>
    <w:p w14:paraId="4C8D2F8D"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«Динамо» из-за отсутствия денежных средств и Международное об-во спальных вагонов из-за сокращения заказов объявили о закрытии предприятий.</w:t>
      </w:r>
    </w:p>
    <w:p w14:paraId="5F660CF0"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из 43 предприятий 7 объявляют предъявления экономических требований рабочими как причину закрытия, и только завод Семенова закрыт из-за понижения производительности.</w:t>
      </w:r>
    </w:p>
    <w:p w14:paraId="690B2F6C"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Гав. «Известия ЦИК и Петроградского Совета рабочих и солдатских депутатов», № 137, 6 августа 1917 г.</w:t>
      </w:r>
    </w:p>
    <w:p w14:paraId="6D273313" w14:textId="77777777" w:rsidR="00B66F97"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81" w:anchor="_ftnref1" w:history="1">
        <w:r w:rsidR="00B66F97" w:rsidRPr="002F2FDF">
          <w:rPr>
            <w:rFonts w:ascii="Times New Roman" w:hAnsi="Times New Roman" w:cs="Times New Roman"/>
            <w:color w:val="000000" w:themeColor="text1"/>
            <w:kern w:val="2"/>
            <w:sz w:val="16"/>
            <w:szCs w:val="16"/>
          </w:rPr>
          <w:t>[1]</w:t>
        </w:r>
      </w:hyperlink>
      <w:r w:rsidR="00B66F97" w:rsidRPr="002F2FDF">
        <w:rPr>
          <w:rFonts w:ascii="Times New Roman" w:hAnsi="Times New Roman" w:cs="Times New Roman"/>
          <w:color w:val="000000" w:themeColor="text1"/>
          <w:kern w:val="2"/>
          <w:sz w:val="16"/>
          <w:szCs w:val="16"/>
        </w:rPr>
        <w:t xml:space="preserve"> Сведения в газете приведены по данным профсоюза металлистов (15518).</w:t>
      </w:r>
    </w:p>
    <w:p w14:paraId="13DF4EE0"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p>
    <w:p w14:paraId="58456F8B" w14:textId="49950A1E" w:rsidR="00B70A4B" w:rsidRDefault="00B70A4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57BB1C42" w14:textId="77777777" w:rsidR="00B70A4B" w:rsidRDefault="00B70A4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4038004B" w14:textId="5097D282" w:rsidR="00B70A4B" w:rsidRPr="00FB4F67" w:rsidRDefault="00B70A4B" w:rsidP="0083075A">
      <w:pPr>
        <w:spacing w:after="0" w:line="240" w:lineRule="auto"/>
        <w:jc w:val="both"/>
        <w:rPr>
          <w:rFonts w:ascii="Times New Roman" w:hAnsi="Times New Roman" w:cs="Times New Roman"/>
          <w:color w:val="0070C0"/>
          <w:sz w:val="16"/>
          <w:szCs w:val="16"/>
        </w:rPr>
      </w:pPr>
      <w:bookmarkStart w:id="241" w:name="bookmark896"/>
      <w:r>
        <w:rPr>
          <w:rFonts w:ascii="Times New Roman" w:hAnsi="Times New Roman" w:cs="Times New Roman"/>
          <w:color w:val="0070C0"/>
          <w:sz w:val="16"/>
          <w:szCs w:val="16"/>
        </w:rPr>
        <w:t>6 (</w:t>
      </w:r>
      <w:r w:rsidRPr="00FB4F67">
        <w:rPr>
          <w:rFonts w:ascii="Times New Roman" w:hAnsi="Times New Roman" w:cs="Times New Roman"/>
          <w:color w:val="0070C0"/>
          <w:sz w:val="16"/>
          <w:szCs w:val="16"/>
        </w:rPr>
        <w:t>19</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августа 1917 г. несколько отрядов морской авиации противника совершили три налета на побережье о. Эзель в Рижском заливе. Наши летчики своими действиями заставили неприятельские гидроаэропланы повернуть назад. В то же время германские самолеты сумели подвергнуть бомбардировке г. Аренсбург. Одновременно в полосе Западного фронта объектом нападения с воздуха стала ст. Орда</w:t>
      </w:r>
      <w:hyperlink w:anchor="bookmark1935" w:tooltip="Current Document"/>
      <w:r w:rsidRPr="00FB4F67">
        <w:rPr>
          <w:rFonts w:ascii="Times New Roman" w:hAnsi="Times New Roman" w:cs="Times New Roman"/>
          <w:color w:val="0070C0"/>
          <w:sz w:val="16"/>
          <w:szCs w:val="16"/>
        </w:rPr>
        <w:t>.</w:t>
      </w:r>
      <w:bookmarkEnd w:id="241"/>
    </w:p>
    <w:p w14:paraId="3F7021CD" w14:textId="77777777" w:rsidR="00B70A4B" w:rsidRPr="00FB4F67" w:rsidRDefault="00B70A4B" w:rsidP="0083075A">
      <w:pPr>
        <w:spacing w:after="0" w:line="240" w:lineRule="auto"/>
        <w:jc w:val="both"/>
        <w:rPr>
          <w:rFonts w:ascii="Times New Roman" w:hAnsi="Times New Roman" w:cs="Times New Roman"/>
          <w:color w:val="0070C0"/>
          <w:sz w:val="16"/>
          <w:szCs w:val="16"/>
        </w:rPr>
      </w:pPr>
      <w:bookmarkStart w:id="242" w:name="bookmark897"/>
      <w:r w:rsidRPr="00FB4F67">
        <w:rPr>
          <w:rFonts w:ascii="Times New Roman" w:hAnsi="Times New Roman" w:cs="Times New Roman"/>
          <w:color w:val="0070C0"/>
          <w:sz w:val="16"/>
          <w:szCs w:val="16"/>
        </w:rPr>
        <w:t>С целью исключения возможности проникновения вражеской авиации за линию фронта русское командование прибегало к активному использованию охранной авиации. В результате таких действий заметно снизилось количество неприятельских налетов на ст. Молодечно, на участке Крево - Сморгонь (23405).</w:t>
      </w:r>
      <w:bookmarkEnd w:id="242"/>
    </w:p>
    <w:p w14:paraId="4BCD862C" w14:textId="77777777" w:rsidR="00B70A4B" w:rsidRPr="00FB4F67" w:rsidRDefault="00B70A4B" w:rsidP="0083075A">
      <w:pPr>
        <w:spacing w:after="0" w:line="240" w:lineRule="auto"/>
        <w:jc w:val="both"/>
        <w:rPr>
          <w:rFonts w:ascii="Times New Roman" w:hAnsi="Times New Roman" w:cs="Times New Roman"/>
          <w:color w:val="0070C0"/>
          <w:sz w:val="16"/>
          <w:szCs w:val="16"/>
        </w:rPr>
      </w:pPr>
    </w:p>
    <w:p w14:paraId="78E19B4C" w14:textId="7AD4FB56" w:rsidR="0085173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20FAE18" w14:textId="77777777" w:rsidR="00851731" w:rsidRPr="002F2FDF" w:rsidRDefault="0085173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968F62" w14:textId="77777777" w:rsidR="00851731" w:rsidRPr="002F2FDF" w:rsidRDefault="0085173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августа в 1917 году В.И.Ленин покинул свое убежище - шалаш в Разливе, чтобы 8 (21) августа оказаться на территории Финляндии в Лахти (14988).</w:t>
      </w:r>
    </w:p>
    <w:p w14:paraId="61077313" w14:textId="77777777" w:rsidR="00851731" w:rsidRPr="002F2FDF" w:rsidRDefault="00851731" w:rsidP="0083075A">
      <w:pPr>
        <w:spacing w:after="0" w:line="240" w:lineRule="auto"/>
        <w:jc w:val="both"/>
        <w:rPr>
          <w:rFonts w:ascii="Times New Roman" w:hAnsi="Times New Roman" w:cs="Times New Roman"/>
          <w:color w:val="000000" w:themeColor="text1"/>
          <w:kern w:val="2"/>
          <w:sz w:val="16"/>
          <w:szCs w:val="16"/>
        </w:rPr>
      </w:pPr>
    </w:p>
    <w:p w14:paraId="75D693E3" w14:textId="77777777" w:rsidR="00B66F97"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3F47290" w14:textId="77777777" w:rsidR="00B66F97" w:rsidRPr="002F2FDF" w:rsidRDefault="00B66F9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DBC4F9" w14:textId="77777777" w:rsidR="00B66F97" w:rsidRPr="002F2FDF" w:rsidRDefault="00B66F97" w:rsidP="0083075A">
      <w:pPr>
        <w:shd w:val="clear" w:color="auto" w:fill="FFFFFF"/>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августа 1917, понимая, что без активной поддержки со стороны военных добиться положительного решения вряд ли удастся, АО «Дуке» направило в Петроград, одновременно в УВВФ и Отдел воздушного плавания Главного управления кораблестроения, написанные практически под копирку два прошения (per. №№ 346 и 347) об освобождении от реквизиции автомобилей «Комник» и «Испано-Сюиза», мотивируя это тем, что «означенные два автомобиля необходимы нашему заводу для разъездов по городу при закупке материалов, для доставки на аэродром представителей Общества и Военного Ведомства при сдаче аэропланов в полете, а также при самой сдаче самолетов в полете при производстве испытаний на скорость...». Отличие в бумагах, кроме названии ведомств, состояло еще и в том, что оба автомобиля были «необходимы заводу, исполняющему срочные заказы Военного Ведомства на аэропланы» (для УВВФ), а для морской авиации — на «аэро- и гидропланы». Еще до отправки писем в Петроград вспомнили о многострадальном «Английском Даймлере» (гор. № 1937) и также под копирку вписали его в оба прошения. Спустя день спохватились о новеньком «Альда-торпедо», 9 августа вдогонку в те же два адреса направили вновь написанные как под копирку прошения и об его освобождении от реквизиции (per. №№ 352 и 353). Подробностей состязаний на скорость между реквизируемыми автомобилями и сдаваемыми в казну аэропланами нет, к тому же по разработанным в 1916 г. «Правилам испытаний аэропланов в полете» скорость определяли усреднением по нескольким пролетам на мерном километре (об этом речь дальше). Неизвестно, удалось ли с помощью военных отстоять эти автомобили. В любом случае менее чем через полгода их все равно бы реквизировали большевики. Все эти мелкие уловки и ухищрения, хотя, в определенной степени, и характеризуют сложившиеся в то время взгляды руководства АО «Дуке» на военные нужды, но, конечно, не являются определяющими. Безусловно, самого Меллера гораздо больше, чем покупка земли или укрывательство автомобилей, волновала главная в те годы проблема авиационного производства — поставки авиадвигателей. Не случайно все контракты «Дукса» заключались на поставку в казну самолетов без моторов и винтов. В годы войны производство и заграничные поставки моторов стали настоящим «бутылочным горлышком» всей русской авиапромышленности (15221).</w:t>
      </w:r>
    </w:p>
    <w:p w14:paraId="712042F2" w14:textId="77777777" w:rsidR="00B66F97" w:rsidRPr="002F2FDF" w:rsidRDefault="00B66F97"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6E0DA74C" w14:textId="77777777" w:rsidR="005962D4" w:rsidRPr="002F2FDF" w:rsidRDefault="005962D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1CD802AD" w14:textId="77777777" w:rsidR="005962D4" w:rsidRPr="002F2FDF" w:rsidRDefault="005962D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DC559F" w14:textId="77777777" w:rsidR="005962D4" w:rsidRPr="002F2FDF" w:rsidRDefault="005962D4"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7 (20) августа 1917 г. Особое совещание одобрило приобретение в казну привилегии на изобретенный князем Аваловым тип противогаза, признанный Химическим комитетом ГАУ лучшим, и поддержало предложение комитета о приоритетном заказе промышленности только таких противогазов [Журнал № 152 ПКАВ. Заседание 7 августа 1917 г. / рхив ВИМАИВиВС. Ф. 13. Оп. 87/2. Д. 69. Л. 31–32.21.] В это же время 16 августа 1917 по представлению Химического комитета был разрешен заказ еще 1,5 млн. противогазов системы Авалова, 360 тыс. противогазов для лошадей и 5 тыс. кислородных приборов системы профессора Поспелова на сумму около 23,5 млн. руб. [Журнал № 185 Особого совещания… Заседание 16 августа 1917 г. / ЖОСО. 1917 год. М., 1978. С. 668.] (20236).</w:t>
      </w:r>
    </w:p>
    <w:p w14:paraId="67CDA155" w14:textId="77777777" w:rsidR="005962D4" w:rsidRPr="002F2FDF" w:rsidRDefault="005962D4" w:rsidP="0083075A">
      <w:pPr>
        <w:spacing w:after="0" w:line="240" w:lineRule="auto"/>
        <w:jc w:val="both"/>
        <w:rPr>
          <w:rFonts w:ascii="Times New Roman" w:hAnsi="Times New Roman" w:cs="Times New Roman"/>
          <w:color w:val="000000" w:themeColor="text1"/>
          <w:sz w:val="16"/>
          <w:szCs w:val="16"/>
          <w:shd w:val="clear" w:color="auto" w:fill="FFFFFF"/>
        </w:rPr>
      </w:pPr>
    </w:p>
    <w:p w14:paraId="7DB52A7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A2BB8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52F90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августа 1917 русский генерал Л. Корнилов приказал казакам концентрироваться на станциях Петроградской железной дороги, начав подготовку к вооруженному мятежу (4962).</w:t>
      </w:r>
    </w:p>
    <w:p w14:paraId="0C2816D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00669A" w14:textId="77777777" w:rsidR="00B66F97"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1F6D2CDD" w14:textId="77777777" w:rsidR="00B66F97" w:rsidRPr="002F2FDF" w:rsidRDefault="00B66F9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5EEB22"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августа 1917 Рапорт уполномоченного Особого совещания по обороне и председателя заводского совещания Ростовского н/Дону района ген. С. Л. Фуфаевского Особому совещанию по обороне о производительности металлургических заводов района за июнь 1917г.</w:t>
      </w:r>
    </w:p>
    <w:p w14:paraId="666F50D0"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126-127</w:t>
      </w:r>
    </w:p>
    <w:p w14:paraId="577C371E"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369, оп. 16, д. 153, лл. 161—163. Подлинник.</w:t>
      </w:r>
    </w:p>
    <w:p w14:paraId="535B67E4"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Сулинский завод. Доменная печь № 3 с 15-го числа месяца была поставлена на пары ввиду недостатка кокса; печь № 2 работала весь месяц; таким образом, работали на двух печах только две недели. При настоящем общем положении вопроса о снабжения топливом такую работу цеха можно считать нормальной. За месяц было выплавлено чугуна 249 846 пуд. — на 17% более, чем в мае. Мартеновский цех выплавил 461 154 пуда стали — почти столько, как в предыдущем месяце. Прокатный цех выпустил за месяц 328 822 пуда, т. е. на 17% менее, чем в мае месяце. Ощущается недостаток квалифицированных рабочих, вследствие чего среднесортный стан переведен на одну 12-часовую смену. Литейный цех в июне отлил чугунных труб 22 700 пуд., на 9% менее, чем в предыдущем месяце. Вывоз готовых продуктов тормозился запрещением отправки грузов на север. Число рабочих на 1 июля — 5701.</w:t>
      </w:r>
    </w:p>
    <w:p w14:paraId="74AD888A"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Керченский завод. В течение июня месяца завод закрывался постепенно. Идя на уступки требованиям рабочих, завод продолжал работу доменных печей: домна № 1 продолжала работу первые дня месяца. Было выплавлено 4550 нуд. томасовского чугуна. Эта доменная [печь} (№ 1) теперь выдута. Печь № 2 завод держит пока на парах, очевидно надеясь на скорое возобновление работ завода, хотя и сообщают, что выдуть рассчитывают в августе. Остальные отделения не работали весь месяц. 8 июля произведен расчет всех мастеровых и рабочих; их было на 1 июля 1345. Приняты меры к размещению их по заводам южной России.</w:t>
      </w:r>
    </w:p>
    <w:p w14:paraId="405C19DB"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Таганрогский завод. Весь месяц действовала одна доменная из четырех существующих. Выплавлено за месяц чугуна 137 660 пуд. По мартеновскому цеху первую половину месяца работали две печи, последнюю — три. Произведено мартеновской стали 191 112 нуд. Томасовское отделение работало один день. Выработано стали 9041 пуд. Прокатный цех работал с большими перерывами. Так, рельсопрокатный стан не работал весь месяц. Причиной завод указывает недостаток болванки. Стан работал только четыре дня по недостатку тока. Стан 250-300: работал 9 дней. Прокатный стан тонкой прокатки работал 9 дней; толстая и кровельная прокатка — 13 дней. Таким образом, изготовлено прокатных изделий 160 649 пуд. Недокат выразился в 57.5%. Остальные отделения работали нормально, с мелкими остановками. Число рабочих на 1 июля — 5346.</w:t>
      </w:r>
    </w:p>
    <w:p w14:paraId="2858CCFD"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Макеевский завод. Доменное отделение работало на 3 печах. Несмотря на наличие всех благоприятных условий, дало понижение производительности на 18%. Выплавлено в течение месяца 901 980 пуд. чугуна. Мартеновское отделение: в течение месяца из шести существующих печей № 2 была в ремонте 9 суток, № 5 —двенадцать. Прокатное отделение работало весь месяц с мелкими перерывами по случаю праздников, собраний рабочих, мелких ремонтов. Выработано готовых прокатных изделий 565 432 пуда, вместо 866 908 пуд. Недократано, таким образом, 44.7%. Уменьшение сравнительно с майской прокаткой на 29%.</w:t>
      </w:r>
    </w:p>
    <w:p w14:paraId="71BCC4FF"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Царицынский завод. Мартеновское отделение: по-прежнему работают на 2 печах на одной ломи с углем, на 2 еще больших и 2 маленьких печах работали на чугуне. Всего выплавлено болванки 408 208 пуд., немногим больше, чем в мае месяце (в мае было дано 394 994 пуда). ГІрокатных изделий изготовлено 298 154 пуда, почти столько же, как и в мае (302 397 пуд.). В июле месяце на Царицынском заводе была прекращена выделка сталистых бомб. Общее число рабочих — 4400.</w:t>
      </w:r>
    </w:p>
    <w:p w14:paraId="71DE6897"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Как видно из этого частного обзора, кроме обычного недостатка сырых материалов, на производительности заводов отразилось и общее политическое состояние страны. Несомненно, на количество вырабатываемого продукта повлияло резкое падение интенсивности труда. Так, нормально Макеевским заводом выплавлялось 1100 тыс. пуд. чугуна, — в этом месяце уже только 901 980 пуд. Таким образом, понижение производительности получилось в 18%.</w:t>
      </w:r>
    </w:p>
    <w:p w14:paraId="7C5F4FBB"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Еще большее понижение производительности получилось для того же завода по прокатным, именно 29%. Причиной такого понижения является исключительное общее понижение интенсивности труда.</w:t>
      </w:r>
    </w:p>
    <w:p w14:paraId="6F82A1E8"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донесению представителя, на Макеевском заводе происходят постоянный остановки прокатных станов из-за митингов, назначаемых в урочное время.</w:t>
      </w:r>
    </w:p>
    <w:p w14:paraId="018A2D8F"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Ген .-майор Фуфаевский (15682).</w:t>
      </w:r>
    </w:p>
    <w:p w14:paraId="2D026632"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p>
    <w:p w14:paraId="50175C3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B3882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F26D2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августа 1917 французские войска под Верденом прорвали линию германской обороны (4962).</w:t>
      </w:r>
    </w:p>
    <w:p w14:paraId="3C52E53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30133F" w14:textId="77777777" w:rsidR="00952699" w:rsidRPr="002F2FDF" w:rsidRDefault="00952699" w:rsidP="0083075A">
      <w:pPr>
        <w:pStyle w:val="ae"/>
        <w:spacing w:before="0" w:after="0"/>
        <w:jc w:val="both"/>
        <w:rPr>
          <w:color w:val="000000" w:themeColor="text1"/>
          <w:kern w:val="2"/>
          <w:sz w:val="16"/>
          <w:szCs w:val="16"/>
        </w:rPr>
      </w:pPr>
      <w:r w:rsidRPr="002F2FDF">
        <w:rPr>
          <w:color w:val="000000" w:themeColor="text1"/>
          <w:kern w:val="2"/>
          <w:sz w:val="16"/>
          <w:szCs w:val="16"/>
        </w:rPr>
        <w:t>7 (20) августа 1917 под Верденом, французское командование предприняло новую попытку масштабного наступления. Ему предшествовала мощная 9-дневная артподготовка, во время которой по германским позициям было выпущено более 3 млн снарядов. Вскоре после ее начала немцы во избежание крупных потерь отвели часть войск назад, получив время для подготовки к отражению удара. Тем не менее, французам удалось в первый же день наступление продвинуться на 2 километра (17045).</w:t>
      </w:r>
    </w:p>
    <w:p w14:paraId="765F2E6D" w14:textId="77777777" w:rsidR="00952699" w:rsidRPr="002F2FDF" w:rsidRDefault="0095269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E8C93C" w14:textId="430B05F4" w:rsidR="007312B4" w:rsidRDefault="007312B4"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456BF5F4" w14:textId="77777777" w:rsidR="007312B4" w:rsidRDefault="007312B4"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59C76243" w14:textId="77777777" w:rsidR="007312B4" w:rsidRPr="00FB4F67" w:rsidRDefault="007312B4" w:rsidP="0083075A">
      <w:pPr>
        <w:spacing w:after="0" w:line="240" w:lineRule="auto"/>
        <w:jc w:val="both"/>
        <w:rPr>
          <w:rFonts w:ascii="Times New Roman" w:hAnsi="Times New Roman" w:cs="Times New Roman"/>
          <w:color w:val="0070C0"/>
          <w:sz w:val="16"/>
          <w:szCs w:val="16"/>
        </w:rPr>
      </w:pPr>
      <w:bookmarkStart w:id="243" w:name="bookmark868"/>
      <w:bookmarkStart w:id="244" w:name="bookmark869"/>
      <w:bookmarkStart w:id="245" w:name="bookmark870"/>
      <w:bookmarkStart w:id="246" w:name="bookmark871"/>
      <w:r w:rsidRPr="00FB4F67">
        <w:rPr>
          <w:rFonts w:ascii="Times New Roman" w:hAnsi="Times New Roman" w:cs="Times New Roman"/>
          <w:color w:val="0070C0"/>
          <w:sz w:val="16"/>
          <w:szCs w:val="16"/>
        </w:rPr>
        <w:t xml:space="preserve">С начала августа 1917 г. для разрушения транспортной инфраструктуры неприятельская авиация периодически подвергала ударам наши тыловые объекты. Только 8 августа было отмечено несколько таких случаев. В результате разрыва авиабомбы на ст. Столбцы в составе летучего санитарного </w:t>
      </w:r>
      <w:bookmarkStart w:id="247" w:name="bookmark887"/>
      <w:r w:rsidRPr="00FB4F67">
        <w:rPr>
          <w:rFonts w:ascii="Times New Roman" w:hAnsi="Times New Roman" w:cs="Times New Roman"/>
          <w:color w:val="0070C0"/>
          <w:sz w:val="16"/>
          <w:szCs w:val="16"/>
        </w:rPr>
        <w:t>отряда был убит рабочий, ранение получили три нижних чина. Бомба, сброшенная на мостовые работы технического отряда (с. Старый Свержень), по счастливой случайности попала в болото. После неудачной бомбардировки немецкий аэроплан попытался обстрелять наших рабочих из пулемета (без какого-либо вреда). После нескольких дней затишья германская авиация возобновила налеты на ст. Молодечно. Под ударами оказались железнодорожное полотно, сооружения и здания станции, учреждения Красного Креста и земского союза (23405).</w:t>
      </w:r>
      <w:bookmarkEnd w:id="247"/>
    </w:p>
    <w:p w14:paraId="51118F43" w14:textId="77777777" w:rsidR="007312B4" w:rsidRPr="00FB4F67" w:rsidRDefault="007312B4" w:rsidP="0083075A">
      <w:pPr>
        <w:spacing w:after="0" w:line="240" w:lineRule="auto"/>
        <w:jc w:val="both"/>
        <w:rPr>
          <w:rFonts w:ascii="Times New Roman" w:hAnsi="Times New Roman" w:cs="Times New Roman"/>
          <w:color w:val="0070C0"/>
          <w:sz w:val="16"/>
          <w:szCs w:val="16"/>
        </w:rPr>
      </w:pPr>
    </w:p>
    <w:bookmarkEnd w:id="243"/>
    <w:bookmarkEnd w:id="244"/>
    <w:bookmarkEnd w:id="245"/>
    <w:bookmarkEnd w:id="246"/>
    <w:p w14:paraId="3C8503EF" w14:textId="587CC3AF"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5F4B6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8CEC3E" w14:textId="77777777" w:rsidR="005962D4" w:rsidRPr="002F2FDF" w:rsidRDefault="005962D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8 (21) августа 1917, управляя истребителем Sopwith Pup, запущенным с взлетной платформы, установленной на орудийной башне лёгкого крейсера Королевского флота HMS Yarmouth , суб-лейтенант Королевской военно-морской авиации БА Смарт сбивает и сжигает немецкий флотский Zeppelin L 23 в Северном море с потерей всего экипажа (20341).</w:t>
      </w:r>
    </w:p>
    <w:p w14:paraId="604FE42F" w14:textId="77777777" w:rsidR="005962D4" w:rsidRPr="002F2FDF" w:rsidRDefault="005962D4" w:rsidP="0083075A">
      <w:pPr>
        <w:spacing w:after="0" w:line="240" w:lineRule="auto"/>
        <w:jc w:val="both"/>
        <w:rPr>
          <w:rFonts w:ascii="Times New Roman" w:hAnsi="Times New Roman" w:cs="Times New Roman"/>
          <w:color w:val="000000" w:themeColor="text1"/>
          <w:sz w:val="16"/>
          <w:szCs w:val="16"/>
        </w:rPr>
      </w:pPr>
    </w:p>
    <w:p w14:paraId="73F1BADC" w14:textId="77777777" w:rsidR="005962D4" w:rsidRPr="002F2FDF" w:rsidRDefault="005962D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8-9 (21–22) августа (ночь) 1917 восемь цеппелинов ВМС Германии под командованием командира службы дирижаблей ВМС Германии Петера Штрассера на борту L 46 пытаются совершить высотный налёт на Англию. Только L 41 пересекает британское побережье; бомбит район Кингстонапон-Халл, разрушив часовню и ранив одного гражданского (20341).</w:t>
      </w:r>
    </w:p>
    <w:p w14:paraId="1B9A7752" w14:textId="77777777" w:rsidR="005962D4" w:rsidRPr="002F2FDF" w:rsidRDefault="005962D4" w:rsidP="0083075A">
      <w:pPr>
        <w:spacing w:after="0" w:line="240" w:lineRule="auto"/>
        <w:jc w:val="both"/>
        <w:rPr>
          <w:rFonts w:ascii="Times New Roman" w:hAnsi="Times New Roman" w:cs="Times New Roman"/>
          <w:color w:val="000000" w:themeColor="text1"/>
          <w:sz w:val="16"/>
          <w:szCs w:val="16"/>
        </w:rPr>
      </w:pPr>
    </w:p>
    <w:p w14:paraId="28187B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рассвете 8 (21) августа 1917 1-я английская эскадра легких крейсеров прикрывала операцию по постановке минного заграждения мористее датских берегов. Это обнаружил немецкий гидросамолет из Силта. Самолет продолжал разведку, и вскоре на помощь ему подошел цеппелин. 1-я эскадра легких крейсеров, в которую входил “Ярмут”, имеющий на борту самолет-истребитель, начала отходить к северу, чтобы отвлечь цеппелин как можно дальше от его базы, затем легла на вест, идя против ветра. “Ярмуту” было приказано выпустить свой самолет. Летчик, для которого это был первый взлет с корабля, поднялся в воздух и бросился в атаку на противника. Вскоре он настиг цеппелин и сбил его пулеметным огнем. Горящий дирижабль упал в море. Самолеты из Силта, которые воздушный корабль вызвал на помощь, пришли слишком поздно и обнаружили на месте разыгравшейся трагедии только большое масляное пятно. Это было все, что осталось от L-23 (11324).</w:t>
      </w:r>
    </w:p>
    <w:p w14:paraId="4E358D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72B6B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6D8AB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3274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августа 1917 в 9 ч утра прапорщик Земблевич атаковал с малой дистан</w:t>
      </w:r>
      <w:r w:rsidRPr="002F2FDF">
        <w:rPr>
          <w:rFonts w:ascii="Times New Roman" w:hAnsi="Times New Roman" w:cs="Times New Roman"/>
          <w:color w:val="000000" w:themeColor="text1"/>
          <w:kern w:val="2"/>
          <w:sz w:val="16"/>
          <w:szCs w:val="16"/>
        </w:rPr>
        <w:softHyphen/>
        <w:t>ции один из двух встреченных им вра</w:t>
      </w:r>
      <w:r w:rsidRPr="002F2FDF">
        <w:rPr>
          <w:rFonts w:ascii="Times New Roman" w:hAnsi="Times New Roman" w:cs="Times New Roman"/>
          <w:color w:val="000000" w:themeColor="text1"/>
          <w:kern w:val="2"/>
          <w:sz w:val="16"/>
          <w:szCs w:val="16"/>
        </w:rPr>
        <w:softHyphen/>
        <w:t>жеских самолетов. Согласно донесе</w:t>
      </w:r>
      <w:r w:rsidRPr="002F2FDF">
        <w:rPr>
          <w:rFonts w:ascii="Times New Roman" w:hAnsi="Times New Roman" w:cs="Times New Roman"/>
          <w:color w:val="000000" w:themeColor="text1"/>
          <w:kern w:val="2"/>
          <w:sz w:val="16"/>
          <w:szCs w:val="16"/>
        </w:rPr>
        <w:softHyphen/>
        <w:t>нию летчика “...противник получил очевидно повреждения радиатора, т.к. самолет уходил со снижением от Свирчковцев с 2800 м в клубах пара, которые вскоре исчезли. У дер. Ольховце противник пошел круче вниз и мотор стал пускать густые клубы чер</w:t>
      </w:r>
      <w:r w:rsidRPr="002F2FDF">
        <w:rPr>
          <w:rFonts w:ascii="Times New Roman" w:hAnsi="Times New Roman" w:cs="Times New Roman"/>
          <w:color w:val="000000" w:themeColor="text1"/>
          <w:kern w:val="2"/>
          <w:sz w:val="16"/>
          <w:szCs w:val="16"/>
        </w:rPr>
        <w:softHyphen/>
        <w:t>ного дыма и винт остановился. Сел неприятельский самолет на высоте “334” южнее Васильковцев у разветвления проселочных дорог. Во время боя мой самолет получил поврежде</w:t>
      </w:r>
      <w:r w:rsidRPr="002F2FDF">
        <w:rPr>
          <w:rFonts w:ascii="Times New Roman" w:hAnsi="Times New Roman" w:cs="Times New Roman"/>
          <w:color w:val="000000" w:themeColor="text1"/>
          <w:kern w:val="2"/>
          <w:sz w:val="16"/>
          <w:szCs w:val="16"/>
        </w:rPr>
        <w:softHyphen/>
        <w:t>ние бронебойными пулями. Разбит обод и шины колеса. Осколками по</w:t>
      </w:r>
      <w:r w:rsidRPr="002F2FDF">
        <w:rPr>
          <w:rFonts w:ascii="Times New Roman" w:hAnsi="Times New Roman" w:cs="Times New Roman"/>
          <w:color w:val="000000" w:themeColor="text1"/>
          <w:kern w:val="2"/>
          <w:sz w:val="16"/>
          <w:szCs w:val="16"/>
        </w:rPr>
        <w:softHyphen/>
        <w:t>вреждены другие части”. Это подробное донесение не нашло подтверждения другими доку</w:t>
      </w:r>
      <w:r w:rsidRPr="002F2FDF">
        <w:rPr>
          <w:rFonts w:ascii="Times New Roman" w:hAnsi="Times New Roman" w:cs="Times New Roman"/>
          <w:color w:val="000000" w:themeColor="text1"/>
          <w:kern w:val="2"/>
          <w:sz w:val="16"/>
          <w:szCs w:val="16"/>
        </w:rPr>
        <w:softHyphen/>
        <w:t>ментами. В своих воспоминаниях лет</w:t>
      </w:r>
      <w:r w:rsidRPr="002F2FDF">
        <w:rPr>
          <w:rFonts w:ascii="Times New Roman" w:hAnsi="Times New Roman" w:cs="Times New Roman"/>
          <w:color w:val="000000" w:themeColor="text1"/>
          <w:kern w:val="2"/>
          <w:sz w:val="16"/>
          <w:szCs w:val="16"/>
        </w:rPr>
        <w:softHyphen/>
        <w:t>чик 4-го као Иван Павлов весьма отри</w:t>
      </w:r>
      <w:r w:rsidRPr="002F2FDF">
        <w:rPr>
          <w:rFonts w:ascii="Times New Roman" w:hAnsi="Times New Roman" w:cs="Times New Roman"/>
          <w:color w:val="000000" w:themeColor="text1"/>
          <w:kern w:val="2"/>
          <w:sz w:val="16"/>
          <w:szCs w:val="16"/>
        </w:rPr>
        <w:softHyphen/>
        <w:t>цательно характеризует Земблевича как “отчаянного мошенника”, известного в отряде своими “жульническими махи</w:t>
      </w:r>
      <w:r w:rsidRPr="002F2FDF">
        <w:rPr>
          <w:rFonts w:ascii="Times New Roman" w:hAnsi="Times New Roman" w:cs="Times New Roman"/>
          <w:color w:val="000000" w:themeColor="text1"/>
          <w:kern w:val="2"/>
          <w:sz w:val="16"/>
          <w:szCs w:val="16"/>
        </w:rPr>
        <w:softHyphen/>
        <w:t>нациями”. Именно он якобы бросил Кокорина в роковом бою 16 мая. До этого, летая в паре с Кокориным, Земблевич, по словам того же Павлова, беззастен</w:t>
      </w:r>
      <w:r w:rsidRPr="002F2FDF">
        <w:rPr>
          <w:rFonts w:ascii="Times New Roman" w:hAnsi="Times New Roman" w:cs="Times New Roman"/>
          <w:color w:val="000000" w:themeColor="text1"/>
          <w:kern w:val="2"/>
          <w:sz w:val="16"/>
          <w:szCs w:val="16"/>
        </w:rPr>
        <w:softHyphen/>
        <w:t>чиво приписывал себе его победы, бросаясь добивать сбитого Кокориным противника, когда тот был уже не опа</w:t>
      </w:r>
      <w:r w:rsidRPr="002F2FDF">
        <w:rPr>
          <w:rFonts w:ascii="Times New Roman" w:hAnsi="Times New Roman" w:cs="Times New Roman"/>
          <w:color w:val="000000" w:themeColor="text1"/>
          <w:kern w:val="2"/>
          <w:sz w:val="16"/>
          <w:szCs w:val="16"/>
        </w:rPr>
        <w:softHyphen/>
        <w:t>сен. Однако суждения Павлова о Земблевиче пропитаны нескрываемой лич</w:t>
      </w:r>
      <w:r w:rsidRPr="002F2FDF">
        <w:rPr>
          <w:rFonts w:ascii="Times New Roman" w:hAnsi="Times New Roman" w:cs="Times New Roman"/>
          <w:color w:val="000000" w:themeColor="text1"/>
          <w:kern w:val="2"/>
          <w:sz w:val="16"/>
          <w:szCs w:val="16"/>
        </w:rPr>
        <w:softHyphen/>
        <w:t>ной антипатией и относиться к ним нужно с большим сомнением (3954).</w:t>
      </w:r>
    </w:p>
    <w:p w14:paraId="47BCDB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3CAB51" w14:textId="77777777" w:rsidR="00992313" w:rsidRPr="002F2FDF" w:rsidRDefault="00992313" w:rsidP="0083075A">
      <w:pPr>
        <w:pStyle w:val="ae"/>
        <w:spacing w:before="0" w:after="0"/>
        <w:jc w:val="both"/>
        <w:rPr>
          <w:color w:val="000000" w:themeColor="text1"/>
          <w:kern w:val="2"/>
          <w:sz w:val="16"/>
          <w:szCs w:val="16"/>
        </w:rPr>
      </w:pPr>
      <w:r w:rsidRPr="002F2FDF">
        <w:rPr>
          <w:color w:val="000000" w:themeColor="text1"/>
          <w:kern w:val="2"/>
          <w:sz w:val="16"/>
          <w:szCs w:val="16"/>
        </w:rPr>
        <w:t>8 (21) августа 1917 в районе города Владимир-Волынский (запад Волынской области современной Украины) немцы применили отравляющие газы и пытались перейти в атаку, но были отбиты русской артиллерией. Также немцы провели атаку в районе Двинска (ныне Даугавпилс на юго-востоке Латвии). Немецкие самолеты бомбили побережье острова Эзель (ныне самый большой эстонский остров Сааремаа), русская авиация в ответ подвергла бомбардировке побережье оккупированной немцами Курляндии (западная часть нынешней Латвии) (17045).</w:t>
      </w:r>
    </w:p>
    <w:p w14:paraId="39850DA8" w14:textId="77777777" w:rsidR="00992313" w:rsidRPr="002F2FDF" w:rsidRDefault="0099231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69A798" w14:textId="77777777" w:rsidR="0085173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r w:rsidR="00851731" w:rsidRPr="002F2FDF">
        <w:rPr>
          <w:rFonts w:ascii="Times New Roman" w:hAnsi="Times New Roman" w:cs="Times New Roman"/>
          <w:iCs/>
          <w:color w:val="000000" w:themeColor="text1"/>
          <w:kern w:val="2"/>
          <w:sz w:val="16"/>
          <w:szCs w:val="16"/>
        </w:rPr>
        <w:t>:</w:t>
      </w:r>
    </w:p>
    <w:p w14:paraId="304F4996" w14:textId="77777777" w:rsidR="00851731" w:rsidRPr="002F2FDF" w:rsidRDefault="0085173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C6D163" w14:textId="77777777" w:rsidR="00851731" w:rsidRPr="002F2FDF" w:rsidRDefault="0085173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августа в 1917 году В.И.Ленин в сопровождении трех телохранителей покидает шалаш в Разливе (14995).</w:t>
      </w:r>
    </w:p>
    <w:p w14:paraId="225BB143" w14:textId="77777777" w:rsidR="00851731" w:rsidRPr="002F2FDF" w:rsidRDefault="00851731" w:rsidP="0083075A">
      <w:pPr>
        <w:spacing w:after="0" w:line="240" w:lineRule="auto"/>
        <w:jc w:val="both"/>
        <w:rPr>
          <w:rFonts w:ascii="Times New Roman" w:hAnsi="Times New Roman" w:cs="Times New Roman"/>
          <w:color w:val="000000" w:themeColor="text1"/>
          <w:kern w:val="2"/>
          <w:sz w:val="16"/>
          <w:szCs w:val="16"/>
        </w:rPr>
      </w:pPr>
    </w:p>
    <w:p w14:paraId="32AC1934" w14:textId="77777777" w:rsidR="00992313" w:rsidRPr="002F2FDF" w:rsidRDefault="00992313" w:rsidP="0083075A">
      <w:pPr>
        <w:pStyle w:val="ae"/>
        <w:spacing w:before="0" w:after="0"/>
        <w:jc w:val="both"/>
        <w:rPr>
          <w:color w:val="000000" w:themeColor="text1"/>
          <w:kern w:val="2"/>
          <w:sz w:val="16"/>
          <w:szCs w:val="16"/>
        </w:rPr>
      </w:pPr>
      <w:r w:rsidRPr="002F2FDF">
        <w:rPr>
          <w:color w:val="000000" w:themeColor="text1"/>
          <w:kern w:val="2"/>
          <w:sz w:val="16"/>
          <w:szCs w:val="16"/>
        </w:rPr>
        <w:t>8 (21) августа 1917 в крупных городах Финляндии — Гельсингфорсе (ныне Хельсинки) и Або (ныне Турку) — произошли беспорядки, сопровождавшиеся погромами продовольственных магазинов. Газеты сообщали, что провокаторами могли быть местные большевики и анархисты, призывавшие рабочих: «Берите, что можно. Русская армия и флот поддержат вас» (17045).</w:t>
      </w:r>
    </w:p>
    <w:p w14:paraId="0F4FACC5" w14:textId="77777777" w:rsidR="00992313" w:rsidRPr="002F2FDF" w:rsidRDefault="0099231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A3C2FA" w14:textId="77777777" w:rsidR="00B66F97"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6B7BE09C" w14:textId="77777777" w:rsidR="00B66F97" w:rsidRPr="002F2FDF" w:rsidRDefault="00B66F9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64C12D" w14:textId="77777777"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8 (21) августа 1917 г. </w:t>
      </w:r>
      <w:r w:rsidRPr="002F2FDF">
        <w:rPr>
          <w:rFonts w:ascii="Times New Roman" w:hAnsi="Times New Roman" w:cs="Times New Roman"/>
          <w:color w:val="000000" w:themeColor="text1"/>
          <w:kern w:val="2"/>
          <w:sz w:val="16"/>
          <w:szCs w:val="16"/>
        </w:rPr>
        <w:t>Из телеграммы представителя Военного министерства в Японии полк. Чубакова в Военное министерство об экономических планах Японии в Восточной Сибири и на Дальнем Востоке и о целях предстоящих японо-американских переговоров.</w:t>
      </w:r>
    </w:p>
    <w:p w14:paraId="5653A29A" w14:textId="5793E284"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469-470</w:t>
      </w:r>
    </w:p>
    <w:p w14:paraId="6191E42E" w14:textId="5D86050B" w:rsidR="00B66F97" w:rsidRPr="002F2FDF" w:rsidRDefault="00B66F9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ЦГВИА, ф. 2000, оп. 1, д. 921, л. 31. Копия.</w:t>
      </w:r>
    </w:p>
    <w:p w14:paraId="34EBAAAE" w14:textId="362F5A20" w:rsidR="00B66F97" w:rsidRPr="002F2FDF" w:rsidRDefault="00B66F97" w:rsidP="0083075A">
      <w:pPr>
        <w:pStyle w:val="rtejustify"/>
        <w:spacing w:before="0" w:after="0"/>
        <w:rPr>
          <w:color w:val="000000" w:themeColor="text1"/>
          <w:kern w:val="2"/>
          <w:sz w:val="16"/>
          <w:szCs w:val="16"/>
        </w:rPr>
      </w:pPr>
      <w:r w:rsidRPr="002F2FDF">
        <w:rPr>
          <w:color w:val="000000" w:themeColor="text1"/>
          <w:kern w:val="2"/>
          <w:sz w:val="16"/>
          <w:szCs w:val="16"/>
        </w:rPr>
        <w:t>...</w:t>
      </w:r>
      <w:hyperlink r:id="rId482" w:anchor="_ftn1" w:history="1">
        <w:r w:rsidRPr="002F2FDF">
          <w:rPr>
            <w:rStyle w:val="a5"/>
            <w:color w:val="000000" w:themeColor="text1"/>
            <w:kern w:val="2"/>
            <w:sz w:val="16"/>
            <w:szCs w:val="16"/>
          </w:rPr>
          <w:t>[1]</w:t>
        </w:r>
      </w:hyperlink>
      <w:r w:rsidR="00E52569">
        <w:rPr>
          <w:color w:val="000000" w:themeColor="text1"/>
          <w:kern w:val="2"/>
          <w:sz w:val="16"/>
          <w:szCs w:val="16"/>
        </w:rPr>
        <w:t xml:space="preserve"> </w:t>
      </w:r>
      <w:r w:rsidRPr="002F2FDF">
        <w:rPr>
          <w:color w:val="000000" w:themeColor="text1"/>
          <w:kern w:val="2"/>
          <w:sz w:val="16"/>
          <w:szCs w:val="16"/>
        </w:rPr>
        <w:t>Здесь довольно много занимаются вопросом о миссии, посланной японцами в Америку и американской, едущей в Японию. Эти миссии</w:t>
      </w:r>
    </w:p>
    <w:p w14:paraId="4FFF9340" w14:textId="77777777" w:rsidR="00B66F97" w:rsidRPr="002F2FDF" w:rsidRDefault="00B66F97" w:rsidP="0083075A">
      <w:pPr>
        <w:pStyle w:val="rtejustify"/>
        <w:spacing w:before="0" w:after="0"/>
        <w:rPr>
          <w:color w:val="000000" w:themeColor="text1"/>
          <w:kern w:val="2"/>
          <w:sz w:val="16"/>
          <w:szCs w:val="16"/>
        </w:rPr>
      </w:pPr>
      <w:r w:rsidRPr="002F2FDF">
        <w:rPr>
          <w:color w:val="000000" w:themeColor="text1"/>
          <w:kern w:val="2"/>
          <w:sz w:val="16"/>
          <w:szCs w:val="16"/>
        </w:rPr>
        <w:t>якобы имеют главнейшей целью сговориться о разграничении сфер влпяни и Америки и Японии в Китае и России, дабы избежать из-за этого столкновения.</w:t>
      </w:r>
    </w:p>
    <w:p w14:paraId="1AC0E761" w14:textId="77777777" w:rsidR="00B66F97" w:rsidRPr="002F2FDF" w:rsidRDefault="00B66F97" w:rsidP="0083075A">
      <w:pPr>
        <w:pStyle w:val="rtejustify"/>
        <w:spacing w:before="0" w:after="0"/>
        <w:rPr>
          <w:color w:val="000000" w:themeColor="text1"/>
          <w:kern w:val="2"/>
          <w:sz w:val="16"/>
          <w:szCs w:val="16"/>
        </w:rPr>
      </w:pPr>
      <w:r w:rsidRPr="002F2FDF">
        <w:rPr>
          <w:color w:val="000000" w:themeColor="text1"/>
          <w:kern w:val="2"/>
          <w:sz w:val="16"/>
          <w:szCs w:val="16"/>
        </w:rPr>
        <w:t>Намерения Японии в отношении России сводятся к стремлению экономического захвата Восточной Сибири, на что у них ранее не было средств.</w:t>
      </w:r>
    </w:p>
    <w:p w14:paraId="757921A4" w14:textId="77777777" w:rsidR="00B66F97" w:rsidRPr="002F2FDF" w:rsidRDefault="00B66F97" w:rsidP="0083075A">
      <w:pPr>
        <w:pStyle w:val="rtejustify"/>
        <w:spacing w:before="0" w:after="0"/>
        <w:rPr>
          <w:color w:val="000000" w:themeColor="text1"/>
          <w:kern w:val="2"/>
          <w:sz w:val="16"/>
          <w:szCs w:val="16"/>
        </w:rPr>
      </w:pPr>
      <w:r w:rsidRPr="002F2FDF">
        <w:rPr>
          <w:color w:val="000000" w:themeColor="text1"/>
          <w:kern w:val="2"/>
          <w:sz w:val="16"/>
          <w:szCs w:val="16"/>
        </w:rPr>
        <w:t>В настоящее время в Японии довольно остро стоит вопрос о древесном материале для изготовления бумаги, и вот необычайно любопытны выводы, к каким пришли специалисты по этому вопросу и правительство, а именно — настойчиво поддерживать политику лесоохранения в стране и тщательно исследовать, в какой мере Северный Сахалин и Приморская область могут удовлетворить потребность в древесном материале и как ей его получить.</w:t>
      </w:r>
    </w:p>
    <w:p w14:paraId="430C93A1" w14:textId="77777777" w:rsidR="00B66F97" w:rsidRPr="002F2FDF" w:rsidRDefault="00B66F97" w:rsidP="0083075A">
      <w:pPr>
        <w:pStyle w:val="rtejustify"/>
        <w:spacing w:before="0" w:after="0"/>
        <w:rPr>
          <w:color w:val="000000" w:themeColor="text1"/>
          <w:kern w:val="2"/>
          <w:sz w:val="16"/>
          <w:szCs w:val="16"/>
        </w:rPr>
      </w:pPr>
      <w:r w:rsidRPr="002F2FDF">
        <w:rPr>
          <w:color w:val="000000" w:themeColor="text1"/>
          <w:kern w:val="2"/>
          <w:sz w:val="16"/>
          <w:szCs w:val="16"/>
        </w:rPr>
        <w:t>Камчатку японцы определенно считают своей базой рыболовной промышленности. Маньчжурию, Монголию и Китай японцы наводняют своими банками и берут всякого рода концессии.</w:t>
      </w:r>
    </w:p>
    <w:p w14:paraId="5488557D" w14:textId="77777777" w:rsidR="00B66F97" w:rsidRPr="002F2FDF" w:rsidRDefault="00B66F97" w:rsidP="0083075A">
      <w:pPr>
        <w:pStyle w:val="rtejustify"/>
        <w:spacing w:before="0" w:after="0"/>
        <w:rPr>
          <w:color w:val="000000" w:themeColor="text1"/>
          <w:kern w:val="2"/>
          <w:sz w:val="16"/>
          <w:szCs w:val="16"/>
        </w:rPr>
      </w:pPr>
      <w:r w:rsidRPr="002F2FDF">
        <w:rPr>
          <w:color w:val="000000" w:themeColor="text1"/>
          <w:kern w:val="2"/>
          <w:sz w:val="16"/>
          <w:szCs w:val="16"/>
        </w:rPr>
        <w:t>Японцы все еще настойчиво мечтают купить у нас железную дорогу от Чанчуня до Харбина, и вот в Japan Advertiser от 8 августа помещено сенсационное сообщение (приложение)</w:t>
      </w:r>
      <w:hyperlink r:id="rId483" w:anchor="_ftn2" w:history="1">
        <w:r w:rsidRPr="002F2FDF">
          <w:rPr>
            <w:rStyle w:val="a5"/>
            <w:color w:val="000000" w:themeColor="text1"/>
            <w:kern w:val="2"/>
            <w:sz w:val="16"/>
            <w:szCs w:val="16"/>
          </w:rPr>
          <w:t>[2]</w:t>
        </w:r>
      </w:hyperlink>
      <w:r w:rsidRPr="002F2FDF">
        <w:rPr>
          <w:color w:val="000000" w:themeColor="text1"/>
          <w:kern w:val="2"/>
          <w:sz w:val="16"/>
          <w:szCs w:val="16"/>
        </w:rPr>
        <w:t xml:space="preserve"> о том, что Россия будто бы хочет продать эту дорогу Соединенным Штатам, что сделано, конечно, с целью вызвать общественное мнение на суждение по этому вопросу и породить к нам подозрительность. № 6.</w:t>
      </w:r>
    </w:p>
    <w:p w14:paraId="0D4479A0" w14:textId="77777777" w:rsidR="00B66F97" w:rsidRPr="002F2FDF" w:rsidRDefault="00B66F97"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Полковник Чубаков.</w:t>
      </w:r>
    </w:p>
    <w:p w14:paraId="16FAA11B" w14:textId="77777777" w:rsidR="00B66F97" w:rsidRPr="002F2FDF" w:rsidRDefault="00000000" w:rsidP="0083075A">
      <w:pPr>
        <w:pStyle w:val="ae"/>
        <w:spacing w:before="0" w:after="0"/>
        <w:jc w:val="both"/>
        <w:rPr>
          <w:color w:val="000000" w:themeColor="text1"/>
          <w:kern w:val="2"/>
          <w:sz w:val="16"/>
          <w:szCs w:val="16"/>
        </w:rPr>
      </w:pPr>
      <w:hyperlink r:id="rId484" w:anchor="_ftnref1" w:history="1">
        <w:r w:rsidR="00B66F97" w:rsidRPr="002F2FDF">
          <w:rPr>
            <w:rStyle w:val="a5"/>
            <w:color w:val="000000" w:themeColor="text1"/>
            <w:kern w:val="2"/>
            <w:sz w:val="16"/>
            <w:szCs w:val="16"/>
          </w:rPr>
          <w:t>[1]</w:t>
        </w:r>
      </w:hyperlink>
      <w:r w:rsidR="00B66F97" w:rsidRPr="002F2FDF">
        <w:rPr>
          <w:color w:val="000000" w:themeColor="text1"/>
          <w:kern w:val="2"/>
          <w:sz w:val="16"/>
          <w:szCs w:val="16"/>
        </w:rPr>
        <w:t xml:space="preserve"> Опущено начало док. с изложением вопроса о русских военных заказах в Японии.</w:t>
      </w:r>
    </w:p>
    <w:p w14:paraId="28034235" w14:textId="77777777" w:rsidR="00B66F97" w:rsidRPr="002F2FDF" w:rsidRDefault="00000000" w:rsidP="0083075A">
      <w:pPr>
        <w:pStyle w:val="ae"/>
        <w:spacing w:before="0" w:after="0"/>
        <w:jc w:val="both"/>
        <w:rPr>
          <w:color w:val="000000" w:themeColor="text1"/>
          <w:kern w:val="2"/>
          <w:sz w:val="16"/>
          <w:szCs w:val="16"/>
        </w:rPr>
      </w:pPr>
      <w:hyperlink r:id="rId485" w:anchor="_ftnref2" w:history="1">
        <w:r w:rsidR="00B66F97" w:rsidRPr="002F2FDF">
          <w:rPr>
            <w:rStyle w:val="a5"/>
            <w:color w:val="000000" w:themeColor="text1"/>
            <w:kern w:val="2"/>
            <w:sz w:val="16"/>
            <w:szCs w:val="16"/>
          </w:rPr>
          <w:t>[2]</w:t>
        </w:r>
      </w:hyperlink>
      <w:r w:rsidR="00B66F97" w:rsidRPr="002F2FDF">
        <w:rPr>
          <w:color w:val="000000" w:themeColor="text1"/>
          <w:kern w:val="2"/>
          <w:sz w:val="16"/>
          <w:szCs w:val="16"/>
        </w:rPr>
        <w:t xml:space="preserve"> В деле не имеется (15197).</w:t>
      </w:r>
    </w:p>
    <w:p w14:paraId="200FA3FA" w14:textId="77777777" w:rsidR="00B66F97" w:rsidRPr="002F2FDF" w:rsidRDefault="00B66F97"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1312748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60E31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7C5B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августа 1917 с небольшой площадки, смонтированной на орудийной башне крейсера Ее Величества “Ярмут”, в воздух взмыл истребитель Сопвич “Пап”, управляемый лейтенантом Смаром. Его встреча над Данией с цеппелином L-23 оказалась для последнего роковой. [229] (11324).</w:t>
      </w:r>
    </w:p>
    <w:p w14:paraId="22CD06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738794" w14:textId="77777777" w:rsidR="00346298"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1250352" w14:textId="77777777" w:rsidR="00346298" w:rsidRPr="002F2FDF" w:rsidRDefault="0034629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FD305D" w14:textId="77777777" w:rsidR="00B66F97" w:rsidRPr="002F2FDF" w:rsidRDefault="00B66F97"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В период с 9 августа по 27 сентября (2</w:t>
      </w:r>
      <w:r w:rsidR="00346298" w:rsidRPr="002F2FDF">
        <w:rPr>
          <w:b w:val="0"/>
          <w:color w:val="000000" w:themeColor="text1"/>
          <w:kern w:val="2"/>
          <w:sz w:val="16"/>
          <w:szCs w:val="16"/>
        </w:rPr>
        <w:t>2</w:t>
      </w:r>
      <w:r w:rsidRPr="002F2FDF">
        <w:rPr>
          <w:b w:val="0"/>
          <w:color w:val="000000" w:themeColor="text1"/>
          <w:kern w:val="2"/>
          <w:sz w:val="16"/>
          <w:szCs w:val="16"/>
        </w:rPr>
        <w:t xml:space="preserve"> августа </w:t>
      </w:r>
      <w:r w:rsidR="00346298" w:rsidRPr="002F2FDF">
        <w:rPr>
          <w:b w:val="0"/>
          <w:color w:val="000000" w:themeColor="text1"/>
          <w:kern w:val="2"/>
          <w:sz w:val="16"/>
          <w:szCs w:val="16"/>
        </w:rPr>
        <w:t xml:space="preserve">–9 октября) </w:t>
      </w:r>
      <w:r w:rsidRPr="002F2FDF">
        <w:rPr>
          <w:b w:val="0"/>
          <w:color w:val="000000" w:themeColor="text1"/>
          <w:kern w:val="2"/>
          <w:sz w:val="16"/>
          <w:szCs w:val="16"/>
        </w:rPr>
        <w:t>1917 проходила отправка Дуксом по назначению (нарядам) и на склад по майскому контракту № 5583 с Авиационным отделом Главного управления кораблестроения (15464).</w:t>
      </w:r>
    </w:p>
    <w:p w14:paraId="433535E1" w14:textId="77777777" w:rsidR="00B66F97" w:rsidRPr="002F2FDF" w:rsidRDefault="00B66F97" w:rsidP="0083075A">
      <w:pPr>
        <w:pStyle w:val="2"/>
        <w:spacing w:before="0" w:beforeAutospacing="0" w:after="0" w:afterAutospacing="0"/>
        <w:jc w:val="both"/>
        <w:rPr>
          <w:b w:val="0"/>
          <w:color w:val="000000" w:themeColor="text1"/>
          <w:kern w:val="2"/>
          <w:sz w:val="16"/>
          <w:szCs w:val="16"/>
        </w:rPr>
      </w:pPr>
    </w:p>
    <w:p w14:paraId="6B60C743" w14:textId="77777777" w:rsidR="00B66F97" w:rsidRPr="002F2FDF" w:rsidRDefault="00B66F97" w:rsidP="0083075A">
      <w:pPr>
        <w:shd w:val="clear" w:color="auto" w:fill="FFFFFF"/>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9 </w:t>
      </w:r>
      <w:r w:rsidR="00346298" w:rsidRPr="002F2FDF">
        <w:rPr>
          <w:rFonts w:ascii="Times New Roman" w:hAnsi="Times New Roman" w:cs="Times New Roman"/>
          <w:color w:val="000000" w:themeColor="text1"/>
          <w:kern w:val="2"/>
          <w:sz w:val="16"/>
          <w:szCs w:val="16"/>
        </w:rPr>
        <w:t xml:space="preserve">(22) </w:t>
      </w:r>
      <w:r w:rsidRPr="002F2FDF">
        <w:rPr>
          <w:rFonts w:ascii="Times New Roman" w:hAnsi="Times New Roman" w:cs="Times New Roman"/>
          <w:color w:val="000000" w:themeColor="text1"/>
          <w:kern w:val="2"/>
          <w:sz w:val="16"/>
          <w:szCs w:val="16"/>
        </w:rPr>
        <w:t>августа 1917 Дукс сообщил комиссару 2-го участка Сущевской части, что автомобили «Ла-Бюир», «Берлиэ» (гор. № 924), «Панар Левассер» (гор. № 967) и мотоциклетка «А.Ж.С.» «находятся в ремонте и на сдаточный пункт представлены быть не могут». В тот же день, 9 августа. Московскому комиссару направили ходатайство об освобождении от реквизиции еще четырех автомобилей: «Комник» (гор. № 1237), «Испано-Сюиза» (гор. № 290), «Английский Даймлер» (гор. № 1937) и новый «Альда-торпедо» (гор. № 452). В обосновании ходатайства значилось: «Названные четыре автомобиля обслуживают нужды нашего завода исполняющего исключительно срочные заказы Военного и Морского ведомства на аэро- и гидропланы, и машины крайне необходимы заводу для разъездов по городу для закупки материалов, для быстрого сообщения с аэродромом и доставки туда представителей Общества и Военного и Морского ведомств для сдачи самолетов, а также при самой сдаче самолетов при испытаниях их на скорость. По характеру нашей деятельности, когда быстрота передвижения является необходимой по существу, сдача и испытания самолетов на скорость при отсутствии легковых автомобилей для завода является почти невозможной...» Кроме того, 10 августа председателю реквизиционной комиссии отправили уведомление, что «Испано-Сюиза» гор. № 290 ранее «был освобожден от реквизиции по распоряжению ГВТУ как автомобиль, принадлежащий заводу, изготовляющему предметы Государственной обороны, и необходимый ему для успешного исполнения заказов Управления Военно-Воздушного Флота на аэропланы» (15221).</w:t>
      </w:r>
    </w:p>
    <w:p w14:paraId="7AC93CF6" w14:textId="77777777" w:rsidR="00B66F97" w:rsidRPr="002F2FDF" w:rsidRDefault="00B66F97"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2B700256" w14:textId="28FE7D41" w:rsidR="00DD4536" w:rsidRPr="00FB4F67" w:rsidRDefault="00DD4536" w:rsidP="0083075A">
      <w:pPr>
        <w:spacing w:after="0" w:line="240" w:lineRule="auto"/>
        <w:jc w:val="both"/>
        <w:rPr>
          <w:rFonts w:ascii="Times New Roman" w:hAnsi="Times New Roman" w:cs="Times New Roman"/>
          <w:color w:val="0070C0"/>
          <w:sz w:val="16"/>
          <w:szCs w:val="16"/>
        </w:rPr>
      </w:pPr>
      <w:bookmarkStart w:id="248" w:name="bookmark898"/>
      <w:bookmarkStart w:id="249" w:name="bookmark899"/>
      <w:r>
        <w:rPr>
          <w:rFonts w:ascii="Times New Roman" w:hAnsi="Times New Roman" w:cs="Times New Roman"/>
          <w:color w:val="0070C0"/>
          <w:sz w:val="16"/>
          <w:szCs w:val="16"/>
        </w:rPr>
        <w:t>9 (</w:t>
      </w:r>
      <w:r w:rsidRPr="00FB4F67">
        <w:rPr>
          <w:rFonts w:ascii="Times New Roman" w:hAnsi="Times New Roman" w:cs="Times New Roman"/>
          <w:color w:val="0070C0"/>
          <w:sz w:val="16"/>
          <w:szCs w:val="16"/>
        </w:rPr>
        <w:t>22</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августа 1917 года завод Пороховщикова получил заказ на десять Morane G, но ни один из них не был завершен.</w:t>
      </w:r>
    </w:p>
    <w:p w14:paraId="03166062" w14:textId="77777777" w:rsidR="00DD4536" w:rsidRPr="00FB4F67" w:rsidRDefault="00DD453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1918 г. красные закрыли завод, и Пороховщиков уехал жить в Москву. В начале 1930-х он был заключен в тюрьму по неизвестным обвинениям. Он был казнен в конце 1930-х годов (23535).</w:t>
      </w:r>
    </w:p>
    <w:p w14:paraId="0C7C397D" w14:textId="77777777" w:rsidR="00DD4536" w:rsidRPr="00FB4F67" w:rsidRDefault="00DD4536" w:rsidP="0083075A">
      <w:pPr>
        <w:spacing w:after="0" w:line="240" w:lineRule="auto"/>
        <w:jc w:val="both"/>
        <w:rPr>
          <w:rFonts w:ascii="Times New Roman" w:hAnsi="Times New Roman" w:cs="Times New Roman"/>
          <w:color w:val="0070C0"/>
          <w:sz w:val="16"/>
          <w:szCs w:val="16"/>
        </w:rPr>
      </w:pPr>
    </w:p>
    <w:bookmarkEnd w:id="248"/>
    <w:bookmarkEnd w:id="249"/>
    <w:p w14:paraId="1534B1A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19089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0406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августа 1917 л 1 иао штабс-кап. К.К.Вакуловский за день провел 16 воздушных боев и сбил 2 самолета. Один упал в нашем расположении и Иксюкюля (438,369).</w:t>
      </w:r>
    </w:p>
    <w:p w14:paraId="527CDB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F3A8F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w:t>
      </w:r>
      <w:r w:rsidR="008127A2" w:rsidRPr="002F2FDF">
        <w:rPr>
          <w:rFonts w:ascii="Times New Roman" w:hAnsi="Times New Roman" w:cs="Times New Roman"/>
          <w:color w:val="000000" w:themeColor="text1"/>
          <w:kern w:val="2"/>
          <w:sz w:val="16"/>
          <w:szCs w:val="16"/>
        </w:rPr>
        <w:t>2</w:t>
      </w:r>
      <w:r w:rsidRPr="002F2FDF">
        <w:rPr>
          <w:rFonts w:ascii="Times New Roman" w:hAnsi="Times New Roman" w:cs="Times New Roman"/>
          <w:color w:val="000000" w:themeColor="text1"/>
          <w:kern w:val="2"/>
          <w:sz w:val="16"/>
          <w:szCs w:val="16"/>
        </w:rPr>
        <w:t>) августа 1917 летчик 1-го истребительного авиаотряда птабс-кзпитэн К.К.Вакуловский в течение одного дня провел 16 воздушных боев, в которых сбил два самолета противника. Один из них упал в расположении наших войск в районе Иксюкюля.</w:t>
      </w:r>
    </w:p>
    <w:p w14:paraId="10A53A7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A7A0A6" w14:textId="77777777" w:rsidR="003D1D16" w:rsidRDefault="003D1D1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9 (22) августа 1917 г. л</w:t>
      </w:r>
      <w:r w:rsidRPr="00815ED5">
        <w:rPr>
          <w:rFonts w:ascii="Times New Roman" w:hAnsi="Times New Roman" w:cs="Times New Roman"/>
          <w:color w:val="0070C0"/>
          <w:sz w:val="16"/>
          <w:szCs w:val="16"/>
        </w:rPr>
        <w:t xml:space="preserve">етчнк 1-го истребительного авиаотряда </w:t>
      </w:r>
      <w:r>
        <w:rPr>
          <w:rFonts w:ascii="Times New Roman" w:hAnsi="Times New Roman" w:cs="Times New Roman"/>
          <w:color w:val="0070C0"/>
          <w:sz w:val="16"/>
          <w:szCs w:val="16"/>
        </w:rPr>
        <w:t>ш</w:t>
      </w:r>
      <w:r w:rsidRPr="00815ED5">
        <w:rPr>
          <w:rFonts w:ascii="Times New Roman" w:hAnsi="Times New Roman" w:cs="Times New Roman"/>
          <w:color w:val="0070C0"/>
          <w:sz w:val="16"/>
          <w:szCs w:val="16"/>
        </w:rPr>
        <w:t>т .-капитан</w:t>
      </w:r>
      <w:r>
        <w:rPr>
          <w:rFonts w:ascii="Times New Roman" w:hAnsi="Times New Roman" w:cs="Times New Roman"/>
          <w:color w:val="0070C0"/>
          <w:sz w:val="16"/>
          <w:szCs w:val="16"/>
        </w:rPr>
        <w:t xml:space="preserve"> К.К.</w:t>
      </w:r>
      <w:r w:rsidRPr="00815ED5">
        <w:rPr>
          <w:rFonts w:ascii="Times New Roman" w:hAnsi="Times New Roman" w:cs="Times New Roman"/>
          <w:color w:val="0070C0"/>
          <w:sz w:val="16"/>
          <w:szCs w:val="16"/>
        </w:rPr>
        <w:t>Вакулов</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ки</w:t>
      </w:r>
      <w:r>
        <w:rPr>
          <w:rFonts w:ascii="Times New Roman" w:hAnsi="Times New Roman" w:cs="Times New Roman"/>
          <w:color w:val="0070C0"/>
          <w:sz w:val="16"/>
          <w:szCs w:val="16"/>
        </w:rPr>
        <w:t>й</w:t>
      </w:r>
      <w:r w:rsidRPr="00815ED5">
        <w:rPr>
          <w:rFonts w:ascii="Times New Roman" w:hAnsi="Times New Roman" w:cs="Times New Roman"/>
          <w:color w:val="0070C0"/>
          <w:sz w:val="16"/>
          <w:szCs w:val="16"/>
        </w:rPr>
        <w:t xml:space="preserve"> н т</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чение одного дня пров</w:t>
      </w:r>
      <w:r>
        <w:rPr>
          <w:rFonts w:ascii="Times New Roman" w:hAnsi="Times New Roman" w:cs="Times New Roman"/>
          <w:color w:val="0070C0"/>
          <w:sz w:val="16"/>
          <w:szCs w:val="16"/>
        </w:rPr>
        <w:t>ел</w:t>
      </w:r>
      <w:r w:rsidRPr="00815ED5">
        <w:rPr>
          <w:rFonts w:ascii="Times New Roman" w:hAnsi="Times New Roman" w:cs="Times New Roman"/>
          <w:color w:val="0070C0"/>
          <w:sz w:val="16"/>
          <w:szCs w:val="16"/>
        </w:rPr>
        <w:t xml:space="preserve"> 1</w:t>
      </w:r>
      <w:r>
        <w:rPr>
          <w:rFonts w:ascii="Times New Roman" w:hAnsi="Times New Roman" w:cs="Times New Roman"/>
          <w:color w:val="0070C0"/>
          <w:sz w:val="16"/>
          <w:szCs w:val="16"/>
        </w:rPr>
        <w:t>6</w:t>
      </w:r>
      <w:r w:rsidRPr="00815ED5">
        <w:rPr>
          <w:rFonts w:ascii="Times New Roman" w:hAnsi="Times New Roman" w:cs="Times New Roman"/>
          <w:color w:val="0070C0"/>
          <w:sz w:val="16"/>
          <w:szCs w:val="16"/>
        </w:rPr>
        <w:t xml:space="preserve"> воздушных боев, в которых сбил два самолета противника .Один из них упал в расположе</w:t>
      </w:r>
      <w:r w:rsidRPr="00815ED5">
        <w:rPr>
          <w:rFonts w:ascii="Times New Roman" w:hAnsi="Times New Roman" w:cs="Times New Roman"/>
          <w:color w:val="0070C0"/>
          <w:sz w:val="16"/>
          <w:szCs w:val="16"/>
        </w:rPr>
        <w:softHyphen/>
        <w:t xml:space="preserve">нии </w:t>
      </w:r>
      <w:r>
        <w:rPr>
          <w:rFonts w:ascii="Times New Roman" w:hAnsi="Times New Roman" w:cs="Times New Roman"/>
          <w:color w:val="0070C0"/>
          <w:sz w:val="16"/>
          <w:szCs w:val="16"/>
        </w:rPr>
        <w:t>н</w:t>
      </w:r>
      <w:r w:rsidRPr="00815ED5">
        <w:rPr>
          <w:rFonts w:ascii="Times New Roman" w:hAnsi="Times New Roman" w:cs="Times New Roman"/>
          <w:color w:val="0070C0"/>
          <w:sz w:val="16"/>
          <w:szCs w:val="16"/>
        </w:rPr>
        <w:t>а</w:t>
      </w:r>
      <w:r>
        <w:rPr>
          <w:rFonts w:ascii="Times New Roman" w:hAnsi="Times New Roman" w:cs="Times New Roman"/>
          <w:color w:val="0070C0"/>
          <w:sz w:val="16"/>
          <w:szCs w:val="16"/>
        </w:rPr>
        <w:t>ши</w:t>
      </w:r>
      <w:r w:rsidRPr="00815ED5">
        <w:rPr>
          <w:rFonts w:ascii="Times New Roman" w:hAnsi="Times New Roman" w:cs="Times New Roman"/>
          <w:color w:val="0070C0"/>
          <w:sz w:val="16"/>
          <w:szCs w:val="16"/>
        </w:rPr>
        <w:t>х вой</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к в р</w:t>
      </w:r>
      <w:r>
        <w:rPr>
          <w:rFonts w:ascii="Times New Roman" w:hAnsi="Times New Roman" w:cs="Times New Roman"/>
          <w:color w:val="0070C0"/>
          <w:sz w:val="16"/>
          <w:szCs w:val="16"/>
        </w:rPr>
        <w:t>а</w:t>
      </w:r>
      <w:r w:rsidRPr="00815ED5">
        <w:rPr>
          <w:rFonts w:ascii="Times New Roman" w:hAnsi="Times New Roman" w:cs="Times New Roman"/>
          <w:color w:val="0070C0"/>
          <w:sz w:val="16"/>
          <w:szCs w:val="16"/>
        </w:rPr>
        <w:t xml:space="preserve">йоне </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к</w:t>
      </w:r>
      <w:r>
        <w:rPr>
          <w:rFonts w:ascii="Times New Roman" w:hAnsi="Times New Roman" w:cs="Times New Roman"/>
          <w:color w:val="0070C0"/>
          <w:sz w:val="16"/>
          <w:szCs w:val="16"/>
        </w:rPr>
        <w:t>си</w:t>
      </w:r>
      <w:r w:rsidRPr="00815ED5">
        <w:rPr>
          <w:rFonts w:ascii="Times New Roman" w:hAnsi="Times New Roman" w:cs="Times New Roman"/>
          <w:color w:val="0070C0"/>
          <w:sz w:val="16"/>
          <w:szCs w:val="16"/>
        </w:rPr>
        <w:t>кюля</w:t>
      </w:r>
      <w:r>
        <w:rPr>
          <w:rFonts w:ascii="Times New Roman" w:hAnsi="Times New Roman" w:cs="Times New Roman"/>
          <w:color w:val="0070C0"/>
          <w:sz w:val="16"/>
          <w:szCs w:val="16"/>
        </w:rPr>
        <w:t xml:space="preserve"> (23320)</w:t>
      </w:r>
      <w:r w:rsidRPr="00815ED5">
        <w:rPr>
          <w:rFonts w:ascii="Times New Roman" w:hAnsi="Times New Roman" w:cs="Times New Roman"/>
          <w:color w:val="0070C0"/>
          <w:sz w:val="16"/>
          <w:szCs w:val="16"/>
        </w:rPr>
        <w:t>.</w:t>
      </w:r>
    </w:p>
    <w:p w14:paraId="62CADE57" w14:textId="77777777" w:rsidR="003D1D16" w:rsidRPr="00815ED5" w:rsidRDefault="003D1D16" w:rsidP="0083075A">
      <w:pPr>
        <w:spacing w:after="0" w:line="240" w:lineRule="auto"/>
        <w:jc w:val="both"/>
        <w:rPr>
          <w:rFonts w:ascii="Times New Roman" w:hAnsi="Times New Roman" w:cs="Times New Roman"/>
          <w:color w:val="0070C0"/>
          <w:sz w:val="16"/>
          <w:szCs w:val="16"/>
        </w:rPr>
      </w:pPr>
    </w:p>
    <w:p w14:paraId="0DAEE22D" w14:textId="32193D05" w:rsidR="00B70A4B" w:rsidRPr="00FB4F67" w:rsidRDefault="00B70A4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9 (</w:t>
      </w:r>
      <w:r w:rsidRPr="00FB4F67">
        <w:rPr>
          <w:rFonts w:ascii="Times New Roman" w:hAnsi="Times New Roman" w:cs="Times New Roman"/>
          <w:color w:val="0070C0"/>
          <w:sz w:val="16"/>
          <w:szCs w:val="16"/>
        </w:rPr>
        <w:t>22</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августа 1917 г. в воздушном бою над Рижским заливом наши летчики сбили германский гидросамолет, упавший в море. На Румынском фронте в районе г. Домнешти подбит самолет 267-го германского авиаотряда. Летчики попали в плен (23405).</w:t>
      </w:r>
    </w:p>
    <w:p w14:paraId="09277F51" w14:textId="77777777" w:rsidR="00B70A4B" w:rsidRPr="00FB4F67" w:rsidRDefault="00B70A4B" w:rsidP="0083075A">
      <w:pPr>
        <w:spacing w:after="0" w:line="240" w:lineRule="auto"/>
        <w:jc w:val="both"/>
        <w:rPr>
          <w:rFonts w:ascii="Times New Roman" w:hAnsi="Times New Roman" w:cs="Times New Roman"/>
          <w:color w:val="0070C0"/>
          <w:sz w:val="16"/>
          <w:szCs w:val="16"/>
        </w:rPr>
      </w:pPr>
      <w:bookmarkStart w:id="250" w:name="bookmark900"/>
    </w:p>
    <w:bookmarkEnd w:id="250"/>
    <w:p w14:paraId="4B4BF06C" w14:textId="3AFF397E" w:rsidR="00B70A4B" w:rsidRPr="00FB4F67" w:rsidRDefault="00B70A4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9 (</w:t>
      </w:r>
      <w:r w:rsidRPr="00FB4F67">
        <w:rPr>
          <w:rFonts w:ascii="Times New Roman" w:hAnsi="Times New Roman" w:cs="Times New Roman"/>
          <w:color w:val="0070C0"/>
          <w:sz w:val="16"/>
          <w:szCs w:val="16"/>
        </w:rPr>
        <w:t>22</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августа 1917 г. в районе Балтийского моря три гидросамолета «Фридрихсхафен» из немецкого торпедного штаба в Виндау нанесли бомбовый удар по стоявшему на мели российскому торпедному катеру «Стройный» у побережья острова Эзель в Рижском заливе. Кредит был отдан наблюдателю Ltn.z.See Вольфраму Эйзенлору и его пилоту Флюгоберматту Груберу (23525).</w:t>
      </w:r>
    </w:p>
    <w:p w14:paraId="3B5344F3" w14:textId="77777777" w:rsidR="00B70A4B" w:rsidRPr="00FB4F67" w:rsidRDefault="00B70A4B" w:rsidP="0083075A">
      <w:pPr>
        <w:spacing w:after="0" w:line="240" w:lineRule="auto"/>
        <w:jc w:val="both"/>
        <w:rPr>
          <w:rFonts w:ascii="Times New Roman" w:hAnsi="Times New Roman" w:cs="Times New Roman"/>
          <w:color w:val="0070C0"/>
          <w:sz w:val="16"/>
          <w:szCs w:val="16"/>
        </w:rPr>
      </w:pPr>
    </w:p>
    <w:p w14:paraId="2DBF8B1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847D8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3F385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w:t>
      </w:r>
      <w:r w:rsidR="008127A2" w:rsidRPr="002F2FDF">
        <w:rPr>
          <w:rFonts w:ascii="Times New Roman" w:hAnsi="Times New Roman" w:cs="Times New Roman"/>
          <w:color w:val="000000" w:themeColor="text1"/>
          <w:kern w:val="2"/>
          <w:sz w:val="16"/>
          <w:szCs w:val="16"/>
        </w:rPr>
        <w:t>2</w:t>
      </w:r>
      <w:r w:rsidRPr="002F2FDF">
        <w:rPr>
          <w:rFonts w:ascii="Times New Roman" w:hAnsi="Times New Roman" w:cs="Times New Roman"/>
          <w:color w:val="000000" w:themeColor="text1"/>
          <w:kern w:val="2"/>
          <w:sz w:val="16"/>
          <w:szCs w:val="16"/>
        </w:rPr>
        <w:t>) августа 1917 Ленин в сопровождении трех телохранителей покинул шалаш в Разливе (4962).</w:t>
      </w:r>
    </w:p>
    <w:p w14:paraId="7F60FA1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67C6D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августа 1917 Ленин без бороды и в парике, под видом кочегара в будке паровоза нелегально переправился в Финляндию, где находился до октября (4962).</w:t>
      </w:r>
    </w:p>
    <w:p w14:paraId="1644B2E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8F03C1" w14:textId="77777777" w:rsidR="00851731" w:rsidRPr="002F2FDF" w:rsidRDefault="0085173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августа в 1917 году В.И.Ленин без бороды и в парике, под видом кочегара в будке паровоза нелегально переправляется в Финляндию, где будет находится до октября (14990).</w:t>
      </w:r>
    </w:p>
    <w:p w14:paraId="5D8FEEC9" w14:textId="77777777" w:rsidR="00851731" w:rsidRPr="002F2FDF" w:rsidRDefault="00851731" w:rsidP="0083075A">
      <w:pPr>
        <w:spacing w:after="0" w:line="240" w:lineRule="auto"/>
        <w:jc w:val="both"/>
        <w:rPr>
          <w:rFonts w:ascii="Times New Roman" w:hAnsi="Times New Roman" w:cs="Times New Roman"/>
          <w:color w:val="000000" w:themeColor="text1"/>
          <w:kern w:val="2"/>
          <w:sz w:val="16"/>
          <w:szCs w:val="16"/>
        </w:rPr>
      </w:pPr>
    </w:p>
    <w:p w14:paraId="75C86F8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w:t>
      </w:r>
      <w:r w:rsidR="008127A2" w:rsidRPr="002F2FDF">
        <w:rPr>
          <w:rFonts w:ascii="Times New Roman" w:hAnsi="Times New Roman" w:cs="Times New Roman"/>
          <w:color w:val="000000" w:themeColor="text1"/>
          <w:kern w:val="2"/>
          <w:sz w:val="16"/>
          <w:szCs w:val="16"/>
        </w:rPr>
        <w:t>2</w:t>
      </w:r>
      <w:r w:rsidRPr="002F2FDF">
        <w:rPr>
          <w:rFonts w:ascii="Times New Roman" w:hAnsi="Times New Roman" w:cs="Times New Roman"/>
          <w:color w:val="000000" w:themeColor="text1"/>
          <w:kern w:val="2"/>
          <w:sz w:val="16"/>
          <w:szCs w:val="16"/>
        </w:rPr>
        <w:t>) августа 1917 один из лидеров большевиков Анатолий Луначарский, арестованный накануне Временным правительством, освобожден из тюрьмы за отсутствием состава преступления (4962).</w:t>
      </w:r>
    </w:p>
    <w:p w14:paraId="256B9E6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A9BCB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августа 1917 в полном составе ушел в отставку Генеральный секретариат Центральной Рады (4962).</w:t>
      </w:r>
    </w:p>
    <w:p w14:paraId="06B8F79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FF508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DC0D1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20347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августа 1917 немецкая авиация совершила последний дневной налет на Англию (4962).</w:t>
      </w:r>
    </w:p>
    <w:p w14:paraId="738A8C2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A84B55" w14:textId="77777777" w:rsidR="005962D4" w:rsidRPr="002F2FDF" w:rsidRDefault="005962D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9 (22) августа 1917 Luftstreitkrafte отправляет 15 бомбардировщиков Gotha для атаки на Англию дневным рейдом. Пять поворачивают назад над Северным морем, а остальные 10 сталкиваются с британскими истребителями и сильным зенитным огнем над островом Танет. Два самолета сбиты немедленно, еще один сбит над Дувром. Потери вынуждают немцев прекратить дневные налеты на Соединенное Королевство и перейти к ночным бомбардировкам (20341).</w:t>
      </w:r>
    </w:p>
    <w:p w14:paraId="2B5EC935" w14:textId="77777777" w:rsidR="005962D4" w:rsidRPr="002F2FDF" w:rsidRDefault="005962D4" w:rsidP="0083075A">
      <w:pPr>
        <w:spacing w:after="0" w:line="240" w:lineRule="auto"/>
        <w:jc w:val="both"/>
        <w:rPr>
          <w:rFonts w:ascii="Times New Roman" w:hAnsi="Times New Roman" w:cs="Times New Roman"/>
          <w:color w:val="000000" w:themeColor="text1"/>
          <w:sz w:val="16"/>
          <w:szCs w:val="16"/>
        </w:rPr>
      </w:pPr>
    </w:p>
    <w:p w14:paraId="252EBD55" w14:textId="77777777" w:rsidR="00992313" w:rsidRPr="002F2FDF" w:rsidRDefault="00992313" w:rsidP="0083075A">
      <w:pPr>
        <w:pStyle w:val="ae"/>
        <w:spacing w:before="0" w:after="0"/>
        <w:jc w:val="both"/>
        <w:rPr>
          <w:color w:val="000000" w:themeColor="text1"/>
          <w:kern w:val="2"/>
          <w:sz w:val="16"/>
          <w:szCs w:val="16"/>
        </w:rPr>
      </w:pPr>
      <w:r w:rsidRPr="002F2FDF">
        <w:rPr>
          <w:color w:val="000000" w:themeColor="text1"/>
          <w:kern w:val="2"/>
          <w:sz w:val="16"/>
          <w:szCs w:val="16"/>
        </w:rPr>
        <w:t>9 (22) августа англичане начали новое наступление в направлении города Менен на границе Бельгии и Франции, в 8 км к востоку от Ипра. Хотя союзникам и удалось отбить три линии немецких траншей, сам город они взять не смогли. При этом и британцы, и немцы понесли тяжелейшие потери. Следующий штурм был намечен на 25 августа, но его пришлось отложить из-за вновь зарядивших проливных дождей, превращавших низменные поля Фландрии в непролазную топь, в которой вязли даже танки.</w:t>
      </w:r>
    </w:p>
    <w:p w14:paraId="0D223CB9" w14:textId="77777777" w:rsidR="00992313" w:rsidRPr="002F2FDF" w:rsidRDefault="0099231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Более успешно развивалось французское наступление в районе Вердена. 26 августа французы оттеснили немцев на 10—15 км к северу от города к линии Безонво-Бомон-Самонье-Бетенкур-Гокур-Авокур. В результате французская армия вернулась на позиции, которая она занимала до начала немецкого наступления под Верденом в феврале 1916 года. Успех был достигнут ценой фантастической «работы» артиллерии: в ходе этого наступления французы израсходовали 4 миллиона снарядов или по 6 тонн (!) взрывчатки на один метр линии фронта. Для сравнения, за все время боев под Верденом в 1916 года на один метр линии фронта было растрачено лишь по тонне взрывчатки (17045).</w:t>
      </w:r>
    </w:p>
    <w:p w14:paraId="75804CB0" w14:textId="77777777" w:rsidR="00992313" w:rsidRPr="002F2FDF" w:rsidRDefault="0099231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0AE0B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A5BB2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CE950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августа 1917 г. была подготовлена Докладная записка Русского общества для выделки и продажи пороха управляющему Военным министерством о необходимости усилить охрану завода № 13601</w:t>
      </w:r>
    </w:p>
    <w:p w14:paraId="523807F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докладной записке на имя военного и морского министра от 20 минувшего июня правление Русского общества для выделки и продажи пороха изложило между прочим и те тяжелые условия, в которых в настоящее время протекает деятельность Шлиссельбур-гского порохового завода вследствие общих экономических и политических условий, которыми отмечены последние месяцы русской жизни. Для Шлиссельбургского завода, в частности, по указаниям правления, положение осложнилось еще тем, что в дни рево</w:t>
      </w:r>
      <w:r w:rsidRPr="002F2FDF">
        <w:rPr>
          <w:rFonts w:ascii="Times New Roman" w:hAnsi="Times New Roman" w:cs="Times New Roman"/>
          <w:color w:val="000000" w:themeColor="text1"/>
          <w:kern w:val="2"/>
          <w:sz w:val="16"/>
          <w:szCs w:val="16"/>
        </w:rPr>
        <w:softHyphen/>
        <w:t xml:space="preserve">люции на заводской территории оказалось довольно много пришлого, чуждого заводу элемента из состава освобожденного населения Шлиссельбургской каторжной тюрьмы. Порядок и дисциплина на заводе приведены были в состояние полной расшатанности, значение и авторитет </w:t>
      </w:r>
      <w:r w:rsidRPr="002F2FDF">
        <w:rPr>
          <w:rFonts w:ascii="Times New Roman" w:hAnsi="Times New Roman" w:cs="Times New Roman"/>
          <w:color w:val="000000" w:themeColor="text1"/>
          <w:kern w:val="2"/>
          <w:sz w:val="16"/>
          <w:szCs w:val="16"/>
        </w:rPr>
        <w:lastRenderedPageBreak/>
        <w:t>администрации подорваны. Один из директоров завода, некото</w:t>
      </w:r>
      <w:r w:rsidRPr="002F2FDF">
        <w:rPr>
          <w:rFonts w:ascii="Times New Roman" w:hAnsi="Times New Roman" w:cs="Times New Roman"/>
          <w:color w:val="000000" w:themeColor="text1"/>
          <w:kern w:val="2"/>
          <w:sz w:val="16"/>
          <w:szCs w:val="16"/>
        </w:rPr>
        <w:softHyphen/>
        <w:t>рые начальники отделов - почти незаменимые специалисты дела — и многие из опыт</w:t>
      </w:r>
      <w:r w:rsidRPr="002F2FDF">
        <w:rPr>
          <w:rFonts w:ascii="Times New Roman" w:hAnsi="Times New Roman" w:cs="Times New Roman"/>
          <w:color w:val="000000" w:themeColor="text1"/>
          <w:kern w:val="2"/>
          <w:sz w:val="16"/>
          <w:szCs w:val="16"/>
        </w:rPr>
        <w:softHyphen/>
        <w:t>ных старых мастеров удалены были рабочими с завода. Соблюдение правил внутреннего распорядка, ограждающих даже элементарную безопасность завода, производящего ве</w:t>
      </w:r>
      <w:r w:rsidRPr="002F2FDF">
        <w:rPr>
          <w:rFonts w:ascii="Times New Roman" w:hAnsi="Times New Roman" w:cs="Times New Roman"/>
          <w:color w:val="000000" w:themeColor="text1"/>
          <w:kern w:val="2"/>
          <w:sz w:val="16"/>
          <w:szCs w:val="16"/>
        </w:rPr>
        <w:softHyphen/>
        <w:t>щества громадной разрушительной силы, оказалось в полном пренебрежении. Курение табаку в недозволенных местах, хищение заводского спирта и пьянство стали обычным явлением. Как следствие такой распущенности участились случаи пожаров на</w:t>
      </w:r>
      <w:r w:rsidRPr="002F2FDF">
        <w:rPr>
          <w:rFonts w:ascii="Times New Roman" w:hAnsi="Times New Roman" w:cs="Times New Roman"/>
          <w:color w:val="000000" w:themeColor="text1"/>
          <w:kern w:val="2"/>
          <w:sz w:val="16"/>
          <w:szCs w:val="16"/>
          <w:vertAlign w:val="superscript"/>
        </w:rPr>
        <w:t>1</w:t>
      </w:r>
      <w:r w:rsidRPr="002F2FDF">
        <w:rPr>
          <w:rFonts w:ascii="Times New Roman" w:hAnsi="Times New Roman" w:cs="Times New Roman"/>
          <w:color w:val="000000" w:themeColor="text1"/>
          <w:kern w:val="2"/>
          <w:sz w:val="16"/>
          <w:szCs w:val="16"/>
        </w:rPr>
        <w:t xml:space="preserve"> заводе, имели место попытки если не физического, то грубого морального насилия над отдель</w:t>
      </w:r>
      <w:r w:rsidRPr="002F2FDF">
        <w:rPr>
          <w:rFonts w:ascii="Times New Roman" w:hAnsi="Times New Roman" w:cs="Times New Roman"/>
          <w:color w:val="000000" w:themeColor="text1"/>
          <w:kern w:val="2"/>
          <w:sz w:val="16"/>
          <w:szCs w:val="16"/>
        </w:rPr>
        <w:softHyphen/>
        <w:t>ными лицами из состава заводской администрации, обращение с заводскою аппарату</w:t>
      </w:r>
      <w:r w:rsidRPr="002F2FDF">
        <w:rPr>
          <w:rFonts w:ascii="Times New Roman" w:hAnsi="Times New Roman" w:cs="Times New Roman"/>
          <w:color w:val="000000" w:themeColor="text1"/>
          <w:kern w:val="2"/>
          <w:sz w:val="16"/>
          <w:szCs w:val="16"/>
        </w:rPr>
        <w:softHyphen/>
        <w:t>рою и отношение к расходу сырья и разных материалов стало крайне небрежным, ввиду чего коэффициенты расхода сырья очень увеличились. В результате производство завода сильно сократилось и далеко отстало от той производительности, в расчете на которую были произведены работы по расширению завода.</w:t>
      </w:r>
    </w:p>
    <w:p w14:paraId="4A970B3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Указанные явления с течением времени не только не устраняются и не ослабевают, но, напротив того, приобретают все большую интенсивность.</w:t>
      </w:r>
    </w:p>
    <w:p w14:paraId="1F9701F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 посторонние заводу элементы, о которых упоминается в докладной записке прав</w:t>
      </w:r>
      <w:r w:rsidRPr="002F2FDF">
        <w:rPr>
          <w:rFonts w:ascii="Times New Roman" w:hAnsi="Times New Roman" w:cs="Times New Roman"/>
          <w:color w:val="000000" w:themeColor="text1"/>
          <w:kern w:val="2"/>
          <w:sz w:val="16"/>
          <w:szCs w:val="16"/>
        </w:rPr>
        <w:softHyphen/>
        <w:t>ления военному и морскому министру, войдя в состав образованного на Шлиссельбург-ском заводе исполнительного комитета Совета рабочих и солдатских депутатов Шлис-сельбургского района, в лице означенного комитета, опираясь на физическую силу — Красную гвардию и милицию - вооруженные взятым в Шлиссельбургской каторжной тюрьме и доставленным извне оружием, оказывают систематическое вмешательство во внутреннюю жизнь и распорядки завода, разрушая таковые и в корне подрывая автори</w:t>
      </w:r>
      <w:r w:rsidRPr="002F2FDF">
        <w:rPr>
          <w:rFonts w:ascii="Times New Roman" w:hAnsi="Times New Roman" w:cs="Times New Roman"/>
          <w:color w:val="000000" w:themeColor="text1"/>
          <w:kern w:val="2"/>
          <w:sz w:val="16"/>
          <w:szCs w:val="16"/>
        </w:rPr>
        <w:softHyphen/>
        <w:t>тет как заводоуправления, так и правления общества. Весьма характерным в этом отно</w:t>
      </w:r>
      <w:r w:rsidRPr="002F2FDF">
        <w:rPr>
          <w:rFonts w:ascii="Times New Roman" w:hAnsi="Times New Roman" w:cs="Times New Roman"/>
          <w:color w:val="000000" w:themeColor="text1"/>
          <w:kern w:val="2"/>
          <w:sz w:val="16"/>
          <w:szCs w:val="16"/>
        </w:rPr>
        <w:softHyphen/>
        <w:t>шении примером является случай, имевший место на заводе в самые последние дни.</w:t>
      </w:r>
    </w:p>
    <w:p w14:paraId="7F32722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Правление общества, имея в виду полный развал конторской работы на заводе, лиша</w:t>
      </w:r>
      <w:r w:rsidRPr="002F2FDF">
        <w:rPr>
          <w:rFonts w:ascii="Times New Roman" w:hAnsi="Times New Roman" w:cs="Times New Roman"/>
          <w:color w:val="000000" w:themeColor="text1"/>
          <w:kern w:val="2"/>
          <w:sz w:val="16"/>
          <w:szCs w:val="16"/>
        </w:rPr>
        <w:softHyphen/>
        <w:t>ющий правление возможности своевременного получения технической и денежной от</w:t>
      </w:r>
      <w:r w:rsidRPr="002F2FDF">
        <w:rPr>
          <w:rFonts w:ascii="Times New Roman" w:hAnsi="Times New Roman" w:cs="Times New Roman"/>
          <w:color w:val="000000" w:themeColor="text1"/>
          <w:kern w:val="2"/>
          <w:sz w:val="16"/>
          <w:szCs w:val="16"/>
        </w:rPr>
        <w:softHyphen/>
        <w:t>четности, постановило упразднить некоторые отделы заводской конторы и лежавшую на них работу распределить между служащими главной конторы в Петрограде. Эта мера сопряжена была с увольнением от службы, как оставшихся за штатом, 29 служащих. Со</w:t>
      </w:r>
      <w:r w:rsidRPr="002F2FDF">
        <w:rPr>
          <w:rFonts w:ascii="Times New Roman" w:hAnsi="Times New Roman" w:cs="Times New Roman"/>
          <w:color w:val="000000" w:themeColor="text1"/>
          <w:kern w:val="2"/>
          <w:sz w:val="16"/>
          <w:szCs w:val="16"/>
        </w:rPr>
        <w:softHyphen/>
        <w:t>ответственное распоряжение завода не только в самой резкой форме опротестовано было исполнительным комитетом Совета рабочих и солдатских депутатов, но со стороны пос</w:t>
      </w:r>
      <w:r w:rsidRPr="002F2FDF">
        <w:rPr>
          <w:rFonts w:ascii="Times New Roman" w:hAnsi="Times New Roman" w:cs="Times New Roman"/>
          <w:color w:val="000000" w:themeColor="text1"/>
          <w:kern w:val="2"/>
          <w:sz w:val="16"/>
          <w:szCs w:val="16"/>
        </w:rPr>
        <w:softHyphen/>
        <w:t>леднего выдвинуты были даже прямые угрозы репрессиями через посредство заводской милиции тем лицам заводской администрации, которые уклонились бы от исполнения требований комитета. Таковая угроза в настоящее время приведена уже в осуществление по отношению одного из лучших служащих завода, заведующего дорожным отделом завода, которому исполнительным комитетом предложено покинуть завод за отказ в допущении к занятиям уволенного правлением Общества служащего. Такое доминиру</w:t>
      </w:r>
      <w:r w:rsidRPr="002F2FDF">
        <w:rPr>
          <w:rFonts w:ascii="Times New Roman" w:hAnsi="Times New Roman" w:cs="Times New Roman"/>
          <w:color w:val="000000" w:themeColor="text1"/>
          <w:kern w:val="2"/>
          <w:sz w:val="16"/>
          <w:szCs w:val="16"/>
        </w:rPr>
        <w:softHyphen/>
        <w:t>ющее положение, занятое на заводе названным исполнительным комитетом, отражает</w:t>
      </w:r>
      <w:r w:rsidRPr="002F2FDF">
        <w:rPr>
          <w:rFonts w:ascii="Times New Roman" w:hAnsi="Times New Roman" w:cs="Times New Roman"/>
          <w:color w:val="000000" w:themeColor="text1"/>
          <w:kern w:val="2"/>
          <w:sz w:val="16"/>
          <w:szCs w:val="16"/>
        </w:rPr>
        <w:softHyphen/>
        <w:t>ся, очевидно, и на всей рабочей массе, поощряя ее к дальнейшим выступлениям против порядка и дисциплины. Пьянство, курение и всякого рода воровство и расхищение за</w:t>
      </w:r>
      <w:r w:rsidRPr="002F2FDF">
        <w:rPr>
          <w:rFonts w:ascii="Times New Roman" w:hAnsi="Times New Roman" w:cs="Times New Roman"/>
          <w:color w:val="000000" w:themeColor="text1"/>
          <w:kern w:val="2"/>
          <w:sz w:val="16"/>
          <w:szCs w:val="16"/>
        </w:rPr>
        <w:softHyphen/>
        <w:t>водского имущества принимают с каждым днем все более угрожающие для заводской безопасности размеры; вместе с тем идет и непрерывное падение производительности завода, ибо рабочие, не говоря про крайне неудовлетворительную в качественном отно</w:t>
      </w:r>
      <w:r w:rsidRPr="002F2FDF">
        <w:rPr>
          <w:rFonts w:ascii="Times New Roman" w:hAnsi="Times New Roman" w:cs="Times New Roman"/>
          <w:color w:val="000000" w:themeColor="text1"/>
          <w:kern w:val="2"/>
          <w:sz w:val="16"/>
          <w:szCs w:val="16"/>
        </w:rPr>
        <w:softHyphen/>
        <w:t>шении работу, невзирая на рабочее время, непрерывно устраивают в заводских отделах митинги и собрания по всякого рода политическим и экономическим вопросам, сокра</w:t>
      </w:r>
      <w:r w:rsidRPr="002F2FDF">
        <w:rPr>
          <w:rFonts w:ascii="Times New Roman" w:hAnsi="Times New Roman" w:cs="Times New Roman"/>
          <w:color w:val="000000" w:themeColor="text1"/>
          <w:kern w:val="2"/>
          <w:sz w:val="16"/>
          <w:szCs w:val="16"/>
        </w:rPr>
        <w:softHyphen/>
        <w:t>щая фактически рабочий день наполовину. Наглядным показателем создавшегося поло</w:t>
      </w:r>
      <w:r w:rsidRPr="002F2FDF">
        <w:rPr>
          <w:rFonts w:ascii="Times New Roman" w:hAnsi="Times New Roman" w:cs="Times New Roman"/>
          <w:color w:val="000000" w:themeColor="text1"/>
          <w:kern w:val="2"/>
          <w:sz w:val="16"/>
          <w:szCs w:val="16"/>
        </w:rPr>
        <w:softHyphen/>
        <w:t>жения служат следующие цифры (в пудах в сутки):</w:t>
      </w:r>
    </w:p>
    <w:p w14:paraId="4D517EA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пироксилина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2F2FDF" w14:paraId="0C93D7B9" w14:textId="77777777">
        <w:tc>
          <w:tcPr>
            <w:tcW w:w="4788" w:type="dxa"/>
            <w:tcBorders>
              <w:top w:val="single" w:sz="12" w:space="0" w:color="auto"/>
            </w:tcBorders>
            <w:shd w:val="clear" w:color="auto" w:fill="FFFFFF"/>
          </w:tcPr>
          <w:p w14:paraId="4A74DA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с. г.</w:t>
            </w:r>
          </w:p>
        </w:tc>
        <w:tc>
          <w:tcPr>
            <w:tcW w:w="4788" w:type="dxa"/>
            <w:tcBorders>
              <w:top w:val="single" w:sz="12" w:space="0" w:color="auto"/>
            </w:tcBorders>
            <w:shd w:val="clear" w:color="auto" w:fill="FFFFFF"/>
          </w:tcPr>
          <w:p w14:paraId="7FDE41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648,5</w:t>
            </w:r>
          </w:p>
        </w:tc>
      </w:tr>
      <w:tr w:rsidR="002B1C74" w:rsidRPr="002F2FDF" w14:paraId="2517CCE1" w14:textId="77777777">
        <w:tc>
          <w:tcPr>
            <w:tcW w:w="4788" w:type="dxa"/>
            <w:shd w:val="clear" w:color="auto" w:fill="FFFFFF"/>
          </w:tcPr>
          <w:p w14:paraId="1EC797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с. г.</w:t>
            </w:r>
          </w:p>
        </w:tc>
        <w:tc>
          <w:tcPr>
            <w:tcW w:w="4788" w:type="dxa"/>
            <w:shd w:val="clear" w:color="auto" w:fill="FFFFFF"/>
          </w:tcPr>
          <w:p w14:paraId="6A143A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112703FF" w14:textId="77777777">
        <w:tc>
          <w:tcPr>
            <w:tcW w:w="4788" w:type="dxa"/>
            <w:tcBorders>
              <w:bottom w:val="single" w:sz="12" w:space="0" w:color="auto"/>
            </w:tcBorders>
            <w:shd w:val="clear" w:color="auto" w:fill="FFFFFF"/>
          </w:tcPr>
          <w:p w14:paraId="1D1BA5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 с. г.</w:t>
            </w:r>
          </w:p>
        </w:tc>
        <w:tc>
          <w:tcPr>
            <w:tcW w:w="4788" w:type="dxa"/>
            <w:tcBorders>
              <w:bottom w:val="single" w:sz="12" w:space="0" w:color="auto"/>
            </w:tcBorders>
            <w:shd w:val="clear" w:color="auto" w:fill="FFFFFF"/>
          </w:tcPr>
          <w:p w14:paraId="48A586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328</w:t>
            </w:r>
          </w:p>
        </w:tc>
      </w:tr>
    </w:tbl>
    <w:p w14:paraId="20D1196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бездымного пороха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2F2FDF" w14:paraId="369D6ADD" w14:textId="77777777">
        <w:tc>
          <w:tcPr>
            <w:tcW w:w="4788" w:type="dxa"/>
            <w:tcBorders>
              <w:top w:val="single" w:sz="12" w:space="0" w:color="auto"/>
            </w:tcBorders>
            <w:shd w:val="clear" w:color="auto" w:fill="FFFFFF"/>
          </w:tcPr>
          <w:p w14:paraId="10C7DD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с. г.</w:t>
            </w:r>
          </w:p>
        </w:tc>
        <w:tc>
          <w:tcPr>
            <w:tcW w:w="4788" w:type="dxa"/>
            <w:tcBorders>
              <w:top w:val="single" w:sz="12" w:space="0" w:color="auto"/>
            </w:tcBorders>
            <w:shd w:val="clear" w:color="auto" w:fill="FFFFFF"/>
          </w:tcPr>
          <w:p w14:paraId="5E81DA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915</w:t>
            </w:r>
          </w:p>
        </w:tc>
      </w:tr>
      <w:tr w:rsidR="002B1C74" w:rsidRPr="002F2FDF" w14:paraId="2777E620" w14:textId="77777777">
        <w:tc>
          <w:tcPr>
            <w:tcW w:w="4788" w:type="dxa"/>
            <w:shd w:val="clear" w:color="auto" w:fill="FFFFFF"/>
          </w:tcPr>
          <w:p w14:paraId="501975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с. г.</w:t>
            </w:r>
          </w:p>
        </w:tc>
        <w:tc>
          <w:tcPr>
            <w:tcW w:w="4788" w:type="dxa"/>
            <w:shd w:val="clear" w:color="auto" w:fill="FFFFFF"/>
          </w:tcPr>
          <w:p w14:paraId="7BCDF6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656,5</w:t>
            </w:r>
          </w:p>
        </w:tc>
      </w:tr>
      <w:tr w:rsidR="002B1C74" w:rsidRPr="002F2FDF" w14:paraId="74494BC2" w14:textId="77777777">
        <w:tc>
          <w:tcPr>
            <w:tcW w:w="4788" w:type="dxa"/>
            <w:tcBorders>
              <w:bottom w:val="single" w:sz="12" w:space="0" w:color="auto"/>
            </w:tcBorders>
            <w:shd w:val="clear" w:color="auto" w:fill="FFFFFF"/>
          </w:tcPr>
          <w:p w14:paraId="3DC412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 с. г.</w:t>
            </w:r>
          </w:p>
        </w:tc>
        <w:tc>
          <w:tcPr>
            <w:tcW w:w="4788" w:type="dxa"/>
            <w:tcBorders>
              <w:bottom w:val="single" w:sz="12" w:space="0" w:color="auto"/>
            </w:tcBorders>
            <w:shd w:val="clear" w:color="auto" w:fill="FFFFFF"/>
          </w:tcPr>
          <w:p w14:paraId="2617A6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518</w:t>
            </w:r>
          </w:p>
        </w:tc>
      </w:tr>
    </w:tbl>
    <w:p w14:paraId="3AEC3CE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Правление общества и заводоуправление при создавшемся положении лишено воз</w:t>
      </w:r>
      <w:r w:rsidRPr="002F2FDF">
        <w:rPr>
          <w:rFonts w:ascii="Times New Roman" w:hAnsi="Times New Roman" w:cs="Times New Roman"/>
          <w:color w:val="000000" w:themeColor="text1"/>
          <w:kern w:val="2"/>
          <w:sz w:val="16"/>
          <w:szCs w:val="16"/>
        </w:rPr>
        <w:softHyphen/>
        <w:t>можности оказывать какое-либо воздействие на совершенно разнузданные агитацией рабочие массы, и положение в данном отношении грозит еще ухудшиться. В последние дни директор Шлиссельбургского порохового завода получил от начальника местной охранной воинской команды извещение о сложении с команды обязанностей по охране заводских спиртовых складов с передачей таковой заводоуправлению. Фактически озна</w:t>
      </w:r>
      <w:r w:rsidRPr="002F2FDF">
        <w:rPr>
          <w:rFonts w:ascii="Times New Roman" w:hAnsi="Times New Roman" w:cs="Times New Roman"/>
          <w:color w:val="000000" w:themeColor="text1"/>
          <w:kern w:val="2"/>
          <w:sz w:val="16"/>
          <w:szCs w:val="16"/>
        </w:rPr>
        <w:softHyphen/>
        <w:t>ченная команда не только не охраняла спирт от расхищения, но и она, будучи совершен</w:t>
      </w:r>
      <w:r w:rsidRPr="002F2FDF">
        <w:rPr>
          <w:rFonts w:ascii="Times New Roman" w:hAnsi="Times New Roman" w:cs="Times New Roman"/>
          <w:color w:val="000000" w:themeColor="text1"/>
          <w:kern w:val="2"/>
          <w:sz w:val="16"/>
          <w:szCs w:val="16"/>
        </w:rPr>
        <w:softHyphen/>
        <w:t>но деморализована, принимала участие в таковом, но, во всяком случае, на ней лежала ответственность за целость складов. Между тем заводоуправление не может принять на себя охрану спирта, потому что те органы, которыми оно располагало для охраны поряд</w:t>
      </w:r>
      <w:r w:rsidRPr="002F2FDF">
        <w:rPr>
          <w:rFonts w:ascii="Times New Roman" w:hAnsi="Times New Roman" w:cs="Times New Roman"/>
          <w:color w:val="000000" w:themeColor="text1"/>
          <w:kern w:val="2"/>
          <w:sz w:val="16"/>
          <w:szCs w:val="16"/>
        </w:rPr>
        <w:softHyphen/>
        <w:t>ка на заводе до государственного переворота, а именно, заводская стража, после перево</w:t>
      </w:r>
      <w:r w:rsidRPr="002F2FDF">
        <w:rPr>
          <w:rFonts w:ascii="Times New Roman" w:hAnsi="Times New Roman" w:cs="Times New Roman"/>
          <w:color w:val="000000" w:themeColor="text1"/>
          <w:kern w:val="2"/>
          <w:sz w:val="16"/>
          <w:szCs w:val="16"/>
        </w:rPr>
        <w:softHyphen/>
        <w:t>рота явочным порядком были упразднены и были заменены милицией, находящейся в полном распоряжении вышеупомянутого исполнительного комитета Совета рабочих и солдатских депутатов района Шлиссельбургского порохового завода. Означенная же ми</w:t>
      </w:r>
      <w:r w:rsidRPr="002F2FDF">
        <w:rPr>
          <w:rFonts w:ascii="Times New Roman" w:hAnsi="Times New Roman" w:cs="Times New Roman"/>
          <w:color w:val="000000" w:themeColor="text1"/>
          <w:kern w:val="2"/>
          <w:sz w:val="16"/>
          <w:szCs w:val="16"/>
        </w:rPr>
        <w:softHyphen/>
        <w:t>лиция не только не принимает мер к охране спирта, но личным примером поощряет хищение оного, достигшее в последнее время совершенно нетерпимых размеров. Явля</w:t>
      </w:r>
      <w:r w:rsidRPr="002F2FDF">
        <w:rPr>
          <w:rFonts w:ascii="Times New Roman" w:hAnsi="Times New Roman" w:cs="Times New Roman"/>
          <w:color w:val="000000" w:themeColor="text1"/>
          <w:kern w:val="2"/>
          <w:sz w:val="16"/>
          <w:szCs w:val="16"/>
        </w:rPr>
        <w:softHyphen/>
        <w:t>ющееся последствием сего повальное пьянство среди рабочих не может быть предупреж</w:t>
      </w:r>
      <w:r w:rsidRPr="002F2FDF">
        <w:rPr>
          <w:rFonts w:ascii="Times New Roman" w:hAnsi="Times New Roman" w:cs="Times New Roman"/>
          <w:color w:val="000000" w:themeColor="text1"/>
          <w:kern w:val="2"/>
          <w:sz w:val="16"/>
          <w:szCs w:val="16"/>
        </w:rPr>
        <w:softHyphen/>
        <w:t>дено и обыском выходящих с территории заводских помещений рабочих, так как тако</w:t>
      </w:r>
      <w:r w:rsidRPr="002F2FDF">
        <w:rPr>
          <w:rFonts w:ascii="Times New Roman" w:hAnsi="Times New Roman" w:cs="Times New Roman"/>
          <w:color w:val="000000" w:themeColor="text1"/>
          <w:kern w:val="2"/>
          <w:sz w:val="16"/>
          <w:szCs w:val="16"/>
        </w:rPr>
        <w:softHyphen/>
        <w:t>вые после государственного переворота отказываются подчиняться существовавшим ра</w:t>
      </w:r>
      <w:r w:rsidRPr="002F2FDF">
        <w:rPr>
          <w:rFonts w:ascii="Times New Roman" w:hAnsi="Times New Roman" w:cs="Times New Roman"/>
          <w:color w:val="000000" w:themeColor="text1"/>
          <w:kern w:val="2"/>
          <w:sz w:val="16"/>
          <w:szCs w:val="16"/>
        </w:rPr>
        <w:softHyphen/>
        <w:t>нее правилам внутреннего распорядка на заводе, в том числе и обычным обыскам при проходе через заводскую сторожку.</w:t>
      </w:r>
    </w:p>
    <w:p w14:paraId="13EA15D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с уничтожением всякой охраны спирта отпадает какое бы то ни было сдерживающее начало для его расхищения, и пьянство, без сомнения, выльется в такие формы, при которых будет поставлено на карту не только производство, но и самое суще</w:t>
      </w:r>
      <w:r w:rsidRPr="002F2FDF">
        <w:rPr>
          <w:rFonts w:ascii="Times New Roman" w:hAnsi="Times New Roman" w:cs="Times New Roman"/>
          <w:color w:val="000000" w:themeColor="text1"/>
          <w:kern w:val="2"/>
          <w:sz w:val="16"/>
          <w:szCs w:val="16"/>
        </w:rPr>
        <w:softHyphen/>
        <w:t>ствование завода.</w:t>
      </w:r>
    </w:p>
    <w:p w14:paraId="1655508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Вся совокупность изложенных обстоятельств указывает на то, что в настоящее время ни правление общества, ни заводоуправление не являются фактическими хозяевами и распорядителями дела и ни в коем случае не могут нести на себе ответственность за таковое.</w:t>
      </w:r>
    </w:p>
    <w:p w14:paraId="61FECF9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восстановления сколько-нибудь нормального положения на заводе и обеспече</w:t>
      </w:r>
      <w:r w:rsidRPr="002F2FDF">
        <w:rPr>
          <w:rFonts w:ascii="Times New Roman" w:hAnsi="Times New Roman" w:cs="Times New Roman"/>
          <w:color w:val="000000" w:themeColor="text1"/>
          <w:kern w:val="2"/>
          <w:sz w:val="16"/>
          <w:szCs w:val="16"/>
        </w:rPr>
        <w:softHyphen/>
        <w:t>ния ему возможности правильной работы необходимо безотлагательное проведение сле</w:t>
      </w:r>
      <w:r w:rsidRPr="002F2FDF">
        <w:rPr>
          <w:rFonts w:ascii="Times New Roman" w:hAnsi="Times New Roman" w:cs="Times New Roman"/>
          <w:color w:val="000000" w:themeColor="text1"/>
          <w:kern w:val="2"/>
          <w:sz w:val="16"/>
          <w:szCs w:val="16"/>
        </w:rPr>
        <w:softHyphen/>
        <w:t>дующих мероприятий:</w:t>
      </w:r>
    </w:p>
    <w:p w14:paraId="076F96F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Удаление из пределов завода всех посторонних, т. е. не состоящих на службе Обще</w:t>
      </w:r>
      <w:r w:rsidRPr="002F2FDF">
        <w:rPr>
          <w:rFonts w:ascii="Times New Roman" w:hAnsi="Times New Roman" w:cs="Times New Roman"/>
          <w:color w:val="000000" w:themeColor="text1"/>
          <w:kern w:val="2"/>
          <w:sz w:val="16"/>
          <w:szCs w:val="16"/>
        </w:rPr>
        <w:softHyphen/>
        <w:t>ства лиц.</w:t>
      </w:r>
    </w:p>
    <w:p w14:paraId="5EFEA4B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Замена находящейся на заводе охранной части другою, более надежной.</w:t>
      </w:r>
    </w:p>
    <w:p w14:paraId="6A02FD4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Преобразование заводской милиции на таких основаниях, чтобы она могла обслу</w:t>
      </w:r>
      <w:r w:rsidRPr="002F2FDF">
        <w:rPr>
          <w:rFonts w:ascii="Times New Roman" w:hAnsi="Times New Roman" w:cs="Times New Roman"/>
          <w:color w:val="000000" w:themeColor="text1"/>
          <w:kern w:val="2"/>
          <w:sz w:val="16"/>
          <w:szCs w:val="16"/>
        </w:rPr>
        <w:softHyphen/>
        <w:t>живать интересы поддержания порядка и дисциплины на заводе, а не интересы посто</w:t>
      </w:r>
      <w:r w:rsidRPr="002F2FDF">
        <w:rPr>
          <w:rFonts w:ascii="Times New Roman" w:hAnsi="Times New Roman" w:cs="Times New Roman"/>
          <w:color w:val="000000" w:themeColor="text1"/>
          <w:kern w:val="2"/>
          <w:sz w:val="16"/>
          <w:szCs w:val="16"/>
        </w:rPr>
        <w:softHyphen/>
        <w:t>ронней заводу партийной организации.</w:t>
      </w:r>
    </w:p>
    <w:p w14:paraId="0FBAF74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Установить действительную охрану имеющихся на заводе запасов спирта.</w:t>
      </w:r>
    </w:p>
    <w:p w14:paraId="12ADA6B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Решительное недопущение вмешательства безответственных и посторонних заво</w:t>
      </w:r>
      <w:r w:rsidRPr="002F2FDF">
        <w:rPr>
          <w:rFonts w:ascii="Times New Roman" w:hAnsi="Times New Roman" w:cs="Times New Roman"/>
          <w:color w:val="000000" w:themeColor="text1"/>
          <w:kern w:val="2"/>
          <w:sz w:val="16"/>
          <w:szCs w:val="16"/>
        </w:rPr>
        <w:softHyphen/>
        <w:t>ду организаций, как исполнительный комитет Совета рабочих и солдатских депутатов Шлиссельбургского района, в распоряжения заводоуправления и правления Общества и внутреннюю жизнь завода.</w:t>
      </w:r>
    </w:p>
    <w:p w14:paraId="2AE1128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Восстановление и полное соблюдение всех обычных правил внутреннего распо</w:t>
      </w:r>
      <w:r w:rsidRPr="002F2FDF">
        <w:rPr>
          <w:rFonts w:ascii="Times New Roman" w:hAnsi="Times New Roman" w:cs="Times New Roman"/>
          <w:color w:val="000000" w:themeColor="text1"/>
          <w:kern w:val="2"/>
          <w:sz w:val="16"/>
          <w:szCs w:val="16"/>
        </w:rPr>
        <w:softHyphen/>
        <w:t>рядка на заводе, в том числе и обысков рабочих при выходе с заводской территории.</w:t>
      </w:r>
    </w:p>
    <w:p w14:paraId="17913F7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Требование об удалении с завода посторонних лиц уже было предъявлено Обществу со стороны главнокомандующего Петроградским военным округом (отношение от 3 июля за № 4092), но не могло быть выполнено за отсутствием у заводоуправления реальной силы; в данное время благодаря командированию на завод казачьей сотни условия для восстановления порядка представляются, по-видимому, несколько более благоприят</w:t>
      </w:r>
      <w:r w:rsidRPr="002F2FDF">
        <w:rPr>
          <w:rFonts w:ascii="Times New Roman" w:hAnsi="Times New Roman" w:cs="Times New Roman"/>
          <w:color w:val="000000" w:themeColor="text1"/>
          <w:kern w:val="2"/>
          <w:sz w:val="16"/>
          <w:szCs w:val="16"/>
        </w:rPr>
        <w:softHyphen/>
        <w:t>ными, и желательно было бы использовать таковые путем снабжения командира сотни совершенно определенными инструкциями.</w:t>
      </w:r>
    </w:p>
    <w:p w14:paraId="3A3C20A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Правление Русского общества для выделки и продажи пороха Э. Грубе</w:t>
      </w:r>
    </w:p>
    <w:p w14:paraId="2FBC920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РГВИА. Ф. 366. Оп. 2. Д. 50. Л. 76-81. Подлинник (10707,675).</w:t>
      </w:r>
    </w:p>
    <w:p w14:paraId="703A488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FDD2F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29318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2E770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августа 1917 в Петрограде начался судебный процесс против бывшего военного министра России генерала Сухомлинова, обвиненного в государственной измене (4962).</w:t>
      </w:r>
    </w:p>
    <w:p w14:paraId="419A55F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DFA9C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августа 1917 ряд петроградских газет напечатал заявления жандармского полковника Балабина о том, что один из лидеров большевиков Лев Каменев сотрудничал с охранкой (4962).</w:t>
      </w:r>
    </w:p>
    <w:p w14:paraId="1781567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DDFF65" w14:textId="77777777" w:rsidR="00346298"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7A9BB76E" w14:textId="77777777" w:rsidR="00346298" w:rsidRPr="002F2FDF" w:rsidRDefault="0034629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D8ECD3" w14:textId="77777777" w:rsidR="00346298" w:rsidRPr="002F2FDF" w:rsidRDefault="00346298"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10 (23) августа 1917 г. </w:t>
      </w:r>
      <w:r w:rsidRPr="002F2FDF">
        <w:rPr>
          <w:rFonts w:ascii="Times New Roman" w:hAnsi="Times New Roman" w:cs="Times New Roman"/>
          <w:color w:val="000000" w:themeColor="text1"/>
          <w:kern w:val="2"/>
          <w:sz w:val="16"/>
          <w:szCs w:val="16"/>
        </w:rPr>
        <w:t>Телеграмма Б.А. Бахметьева Министерству иностранных дел о предоставлении Временному правительству нового американского кредита в 100 млн. дол.</w:t>
      </w:r>
    </w:p>
    <w:p w14:paraId="170229DB" w14:textId="3235A97A" w:rsidR="00346298" w:rsidRPr="002F2FDF" w:rsidRDefault="00346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554</w:t>
      </w:r>
    </w:p>
    <w:p w14:paraId="490C69CF" w14:textId="34860AE1" w:rsidR="00346298" w:rsidRPr="002F2FDF" w:rsidRDefault="00346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Канцелярии, д. 61, л. 338. Копия.</w:t>
      </w:r>
    </w:p>
    <w:p w14:paraId="7C440D53" w14:textId="77777777" w:rsidR="00346298" w:rsidRPr="002F2FDF" w:rsidRDefault="00346298" w:rsidP="0083075A">
      <w:pPr>
        <w:pStyle w:val="rtejustify"/>
        <w:spacing w:before="0" w:after="0"/>
        <w:rPr>
          <w:color w:val="000000" w:themeColor="text1"/>
          <w:kern w:val="2"/>
          <w:sz w:val="16"/>
          <w:szCs w:val="16"/>
        </w:rPr>
      </w:pPr>
      <w:r w:rsidRPr="002F2FDF">
        <w:rPr>
          <w:color w:val="000000" w:themeColor="text1"/>
          <w:kern w:val="2"/>
          <w:sz w:val="16"/>
          <w:szCs w:val="16"/>
        </w:rPr>
        <w:t xml:space="preserve">Американское правительство предоставило нам новый кредит в 100 млн на текущие расходы, причем министр финансов уведомляет меня, что наши дальнейшие финансовые нужды будут рассмотрены, как только Конгресс предоставит новые суммы для займа союзникам. Одновременно мы получили официальное заверение американского правительства, что заказ 1500 паровозов и 30 тыс. вагонов будет обеспечен необходимым кредитом. Помещение самого заказа произойдет, по </w:t>
      </w:r>
      <w:r w:rsidRPr="002F2FDF">
        <w:rPr>
          <w:color w:val="000000" w:themeColor="text1"/>
          <w:kern w:val="2"/>
          <w:sz w:val="16"/>
          <w:szCs w:val="16"/>
        </w:rPr>
        <w:lastRenderedPageBreak/>
        <w:t>практическим соображениям, через некоторое время, как только условия рынка представятся более благоприятными. Эта задержка, однако, отнюдь не повлияет на срок выполнения заказа.</w:t>
      </w:r>
    </w:p>
    <w:p w14:paraId="59C03544" w14:textId="77777777" w:rsidR="00346298" w:rsidRPr="002F2FDF" w:rsidRDefault="00346298" w:rsidP="0083075A">
      <w:pPr>
        <w:pStyle w:val="rtejustify"/>
        <w:spacing w:before="0" w:after="0"/>
        <w:rPr>
          <w:color w:val="000000" w:themeColor="text1"/>
          <w:kern w:val="2"/>
          <w:sz w:val="16"/>
          <w:szCs w:val="16"/>
        </w:rPr>
      </w:pPr>
      <w:r w:rsidRPr="002F2FDF">
        <w:rPr>
          <w:color w:val="000000" w:themeColor="text1"/>
          <w:kern w:val="2"/>
          <w:sz w:val="16"/>
          <w:szCs w:val="16"/>
        </w:rPr>
        <w:t>Мне было высказано, чтобы настоящие благоприятные нам решения были доведены до сведения Временного правительства к моменту Московского съезда.</w:t>
      </w:r>
      <w:hyperlink r:id="rId486" w:anchor="_ftn1" w:history="1">
        <w:r w:rsidRPr="002F2FDF">
          <w:rPr>
            <w:rStyle w:val="a5"/>
            <w:color w:val="000000" w:themeColor="text1"/>
            <w:kern w:val="2"/>
            <w:sz w:val="16"/>
            <w:szCs w:val="16"/>
          </w:rPr>
          <w:t>[1]</w:t>
        </w:r>
      </w:hyperlink>
      <w:r w:rsidRPr="002F2FDF">
        <w:rPr>
          <w:color w:val="000000" w:themeColor="text1"/>
          <w:kern w:val="2"/>
          <w:sz w:val="16"/>
          <w:szCs w:val="16"/>
        </w:rPr>
        <w:t xml:space="preserve"> Вообще со стороны американского правительства проявляется полное желание идти навстречу нашим потребностям и каждое из таковых внимательно обсуждается в соответствующих департаментах в связи с материалами, привезенными комиссией Рута. Одновременно передаю полный текст ответа американского правительства на ваше сообщение от 20 июля.</w:t>
      </w:r>
      <w:hyperlink r:id="rId487" w:anchor="_ftn2" w:history="1">
        <w:r w:rsidRPr="002F2FDF">
          <w:rPr>
            <w:rStyle w:val="a5"/>
            <w:color w:val="000000" w:themeColor="text1"/>
            <w:kern w:val="2"/>
            <w:sz w:val="16"/>
            <w:szCs w:val="16"/>
          </w:rPr>
          <w:t>[2]</w:t>
        </w:r>
      </w:hyperlink>
    </w:p>
    <w:p w14:paraId="3DC86551" w14:textId="77777777" w:rsidR="00346298" w:rsidRPr="002F2FDF" w:rsidRDefault="00346298"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Бахметьев.</w:t>
      </w:r>
    </w:p>
    <w:p w14:paraId="4BE3B8AE" w14:textId="77777777" w:rsidR="00346298" w:rsidRPr="002F2FDF" w:rsidRDefault="00000000" w:rsidP="0083075A">
      <w:pPr>
        <w:pStyle w:val="rtejustify"/>
        <w:spacing w:before="0" w:after="0"/>
        <w:rPr>
          <w:color w:val="000000" w:themeColor="text1"/>
          <w:kern w:val="2"/>
          <w:sz w:val="16"/>
          <w:szCs w:val="16"/>
        </w:rPr>
      </w:pPr>
      <w:hyperlink r:id="rId488" w:anchor="_ftnref1" w:history="1">
        <w:r w:rsidR="00346298" w:rsidRPr="002F2FDF">
          <w:rPr>
            <w:rStyle w:val="a5"/>
            <w:color w:val="000000" w:themeColor="text1"/>
            <w:kern w:val="2"/>
            <w:sz w:val="16"/>
            <w:szCs w:val="16"/>
          </w:rPr>
          <w:t>[1]</w:t>
        </w:r>
      </w:hyperlink>
      <w:r w:rsidR="00346298" w:rsidRPr="002F2FDF">
        <w:rPr>
          <w:color w:val="000000" w:themeColor="text1"/>
          <w:kern w:val="2"/>
          <w:sz w:val="16"/>
          <w:szCs w:val="16"/>
        </w:rPr>
        <w:t xml:space="preserve"> Имеется в виду назначенное Временным правительством на 12 августа 1917 г. в Москве контрреволюционное Государственное совещание.</w:t>
      </w:r>
    </w:p>
    <w:p w14:paraId="7A30C665" w14:textId="77777777" w:rsidR="00346298" w:rsidRPr="002F2FDF" w:rsidRDefault="00000000" w:rsidP="0083075A">
      <w:pPr>
        <w:pStyle w:val="rtejustify"/>
        <w:spacing w:before="0" w:after="0"/>
        <w:rPr>
          <w:color w:val="000000" w:themeColor="text1"/>
          <w:kern w:val="2"/>
          <w:sz w:val="16"/>
          <w:szCs w:val="16"/>
        </w:rPr>
      </w:pPr>
      <w:hyperlink r:id="rId489" w:anchor="_ftnref2" w:history="1">
        <w:r w:rsidR="00346298" w:rsidRPr="002F2FDF">
          <w:rPr>
            <w:rStyle w:val="a5"/>
            <w:color w:val="000000" w:themeColor="text1"/>
            <w:kern w:val="2"/>
            <w:sz w:val="16"/>
            <w:szCs w:val="16"/>
          </w:rPr>
          <w:t>[2]</w:t>
        </w:r>
      </w:hyperlink>
      <w:r w:rsidR="00346298" w:rsidRPr="002F2FDF">
        <w:rPr>
          <w:color w:val="000000" w:themeColor="text1"/>
          <w:kern w:val="2"/>
          <w:sz w:val="16"/>
          <w:szCs w:val="16"/>
        </w:rPr>
        <w:t xml:space="preserve"> В ответ на заверение Временного правительства о намерении продолжать войнѵ «до победного конца» государственный секретарь Р. Лансинг от имени президента Вильсона приветствовал это заявление и просил передать о сочувствии президента Временному правительству и его уверенности, что оно выведет Россию из тяжелого положения (АВПР, ф. Посольства в Вашингтоне, д. 80, л. 155 об.) (15173).</w:t>
      </w:r>
    </w:p>
    <w:p w14:paraId="3C381311" w14:textId="77777777" w:rsidR="00346298" w:rsidRPr="002F2FDF" w:rsidRDefault="00346298"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4E404F1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427E0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DC8D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августа 1917 во время испытательного полета разбили сделанную в середине 1917 (А.А.Анатра старался установить отношения с Морским ведомством и получить заказы) двухвостку Хиони с поплавками (2843,14). Хиони не пострадал, но пассажир из верхней гондолы - утонул (5151, 18).</w:t>
      </w:r>
    </w:p>
    <w:p w14:paraId="203EA2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E759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августа 1917 машина, управляемая конструктором Хиони, потерпела аварию при посадке на воду, при этом пассажир, находящийся в верхней кабине, выпал из нее и утонул. Несмотря на значительный интерес к "Двухвостке" в морском варианте, дальнейшего продолжения эти опыты не имели (9806).</w:t>
      </w:r>
    </w:p>
    <w:p w14:paraId="4F5983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06D1F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августа 1917 при посадке на поверх</w:t>
      </w:r>
      <w:r w:rsidRPr="002F2FDF">
        <w:rPr>
          <w:rFonts w:ascii="Times New Roman" w:hAnsi="Times New Roman" w:cs="Times New Roman"/>
          <w:color w:val="000000" w:themeColor="text1"/>
          <w:kern w:val="2"/>
          <w:sz w:val="16"/>
          <w:szCs w:val="16"/>
        </w:rPr>
        <w:softHyphen/>
        <w:t>ность моря самолет “Анадва” на поплавках потерпел аварию, при этом по</w:t>
      </w:r>
      <w:r w:rsidRPr="002F2FDF">
        <w:rPr>
          <w:rFonts w:ascii="Times New Roman" w:hAnsi="Times New Roman" w:cs="Times New Roman"/>
          <w:color w:val="000000" w:themeColor="text1"/>
          <w:kern w:val="2"/>
          <w:sz w:val="16"/>
          <w:szCs w:val="16"/>
        </w:rPr>
        <w:softHyphen/>
        <w:t>гиб стрелок верхней гондолы (553).</w:t>
      </w:r>
    </w:p>
    <w:p w14:paraId="78B1A49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03B647" w14:textId="77777777" w:rsidR="003431D2" w:rsidRPr="002F2FDF" w:rsidRDefault="003431D2" w:rsidP="0083075A">
      <w:pPr>
        <w:tabs>
          <w:tab w:val="left" w:pos="44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11 </w:t>
      </w:r>
      <w:r w:rsidR="008127A2" w:rsidRPr="002F2FDF">
        <w:rPr>
          <w:rFonts w:ascii="Times New Roman" w:hAnsi="Times New Roman" w:cs="Times New Roman"/>
          <w:color w:val="000000" w:themeColor="text1"/>
          <w:kern w:val="2"/>
          <w:sz w:val="16"/>
          <w:szCs w:val="16"/>
        </w:rPr>
        <w:t xml:space="preserve">(24) </w:t>
      </w:r>
      <w:r w:rsidRPr="002F2FDF">
        <w:rPr>
          <w:rFonts w:ascii="Times New Roman" w:hAnsi="Times New Roman" w:cs="Times New Roman"/>
          <w:color w:val="000000" w:themeColor="text1"/>
          <w:kern w:val="2"/>
          <w:sz w:val="16"/>
          <w:szCs w:val="16"/>
        </w:rPr>
        <w:t>августа 1917 г. самолет, управляемый конструктором, потерпел аварию при посадке на воду, при этом пассажир, находящийся в верхней каби</w:t>
      </w:r>
      <w:r w:rsidRPr="002F2FDF">
        <w:rPr>
          <w:rFonts w:ascii="Times New Roman" w:hAnsi="Times New Roman" w:cs="Times New Roman"/>
          <w:color w:val="000000" w:themeColor="text1"/>
          <w:kern w:val="2"/>
          <w:sz w:val="16"/>
          <w:szCs w:val="16"/>
        </w:rPr>
        <w:softHyphen/>
        <w:t>не, выпал из нее и утонул. Не смотря на значи</w:t>
      </w:r>
      <w:r w:rsidRPr="002F2FDF">
        <w:rPr>
          <w:rFonts w:ascii="Times New Roman" w:hAnsi="Times New Roman" w:cs="Times New Roman"/>
          <w:color w:val="000000" w:themeColor="text1"/>
          <w:kern w:val="2"/>
          <w:sz w:val="16"/>
          <w:szCs w:val="16"/>
        </w:rPr>
        <w:softHyphen/>
        <w:t>тельный интерес к «Двухвостке» в морском варианте, дальнейшего продолжения эти опыты не имели (11973).</w:t>
      </w:r>
    </w:p>
    <w:p w14:paraId="7374AD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C5C3AA" w14:textId="1C8AF4E2" w:rsidR="00EE7F7C" w:rsidRPr="00FB4F67" w:rsidRDefault="00EE7F7C" w:rsidP="0083075A">
      <w:pPr>
        <w:spacing w:after="0" w:line="240" w:lineRule="auto"/>
        <w:jc w:val="both"/>
        <w:rPr>
          <w:rFonts w:ascii="Times New Roman" w:hAnsi="Times New Roman" w:cs="Times New Roman"/>
          <w:color w:val="0070C0"/>
          <w:sz w:val="16"/>
          <w:szCs w:val="16"/>
        </w:rPr>
      </w:pPr>
      <w:bookmarkStart w:id="251" w:name="bookmark872"/>
      <w:bookmarkStart w:id="252" w:name="bookmark873"/>
      <w:bookmarkStart w:id="253" w:name="bookmark889"/>
      <w:r w:rsidRPr="00FB4F67">
        <w:rPr>
          <w:rFonts w:ascii="Times New Roman" w:hAnsi="Times New Roman" w:cs="Times New Roman"/>
          <w:color w:val="0070C0"/>
          <w:sz w:val="16"/>
          <w:szCs w:val="16"/>
        </w:rPr>
        <w:t xml:space="preserve">11 </w:t>
      </w:r>
      <w:r>
        <w:rPr>
          <w:rFonts w:ascii="Times New Roman" w:hAnsi="Times New Roman" w:cs="Times New Roman"/>
          <w:color w:val="0070C0"/>
          <w:sz w:val="16"/>
          <w:szCs w:val="16"/>
        </w:rPr>
        <w:t xml:space="preserve">(24) </w:t>
      </w:r>
      <w:r w:rsidRPr="00FB4F67">
        <w:rPr>
          <w:rFonts w:ascii="Times New Roman" w:hAnsi="Times New Roman" w:cs="Times New Roman"/>
          <w:color w:val="0070C0"/>
          <w:sz w:val="16"/>
          <w:szCs w:val="16"/>
        </w:rPr>
        <w:t>августа 1917 г. на Черном море в районе Одессы испытали «Дву</w:t>
      </w:r>
      <w:r w:rsidRPr="00FB4F67">
        <w:rPr>
          <w:rFonts w:ascii="Times New Roman" w:hAnsi="Times New Roman" w:cs="Times New Roman"/>
          <w:color w:val="0070C0"/>
          <w:sz w:val="16"/>
          <w:szCs w:val="16"/>
        </w:rPr>
        <w:softHyphen/>
        <w:t>хвостку» Хиони, оборудованную поплавковым шасси. Самолет, управ</w:t>
      </w:r>
      <w:r w:rsidRPr="00FB4F67">
        <w:rPr>
          <w:rFonts w:ascii="Times New Roman" w:hAnsi="Times New Roman" w:cs="Times New Roman"/>
          <w:color w:val="0070C0"/>
          <w:sz w:val="16"/>
          <w:szCs w:val="16"/>
        </w:rPr>
        <w:softHyphen/>
        <w:t>ляемый конструктором, потерпел аварию при посадке на воду, при этом пассажир, находящийся в верхней кабине, выпал из нее и утонул. Не смотря на значительный интерес к «Двухвостке» в морском вариан</w:t>
      </w:r>
      <w:r w:rsidRPr="00FB4F67">
        <w:rPr>
          <w:rFonts w:ascii="Times New Roman" w:hAnsi="Times New Roman" w:cs="Times New Roman"/>
          <w:color w:val="0070C0"/>
          <w:sz w:val="16"/>
          <w:szCs w:val="16"/>
        </w:rPr>
        <w:softHyphen/>
        <w:t>те, дальнейшего продолжения эти опыты не имели (23374).</w:t>
      </w:r>
    </w:p>
    <w:p w14:paraId="32F04A5E" w14:textId="77777777" w:rsidR="00EE7F7C" w:rsidRPr="00FB4F67" w:rsidRDefault="00EE7F7C" w:rsidP="0083075A">
      <w:pPr>
        <w:spacing w:after="0" w:line="240" w:lineRule="auto"/>
        <w:jc w:val="both"/>
        <w:rPr>
          <w:rFonts w:ascii="Times New Roman" w:hAnsi="Times New Roman" w:cs="Times New Roman"/>
          <w:color w:val="0070C0"/>
          <w:sz w:val="16"/>
          <w:szCs w:val="16"/>
        </w:rPr>
      </w:pPr>
    </w:p>
    <w:bookmarkEnd w:id="251"/>
    <w:bookmarkEnd w:id="252"/>
    <w:bookmarkEnd w:id="253"/>
    <w:p w14:paraId="5E1E498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AF74F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5128D8" w14:textId="0980CBBA" w:rsidR="002138D7" w:rsidRPr="00FB4F67" w:rsidRDefault="002138D7"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11 (</w:t>
      </w:r>
      <w:r w:rsidRPr="00FB4F67">
        <w:rPr>
          <w:rFonts w:ascii="Times New Roman" w:hAnsi="Times New Roman" w:cs="Times New Roman"/>
          <w:color w:val="0070C0"/>
          <w:sz w:val="16"/>
          <w:szCs w:val="16"/>
        </w:rPr>
        <w:t>24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августа 1917 г. к югу от Сморгони огнем русской артиллерии сбит неприятельский аэроплан, который упал в расположении наших войск (23405).</w:t>
      </w:r>
    </w:p>
    <w:p w14:paraId="6798E2EC" w14:textId="77777777" w:rsidR="002138D7" w:rsidRPr="00FB4F67" w:rsidRDefault="002138D7" w:rsidP="0083075A">
      <w:pPr>
        <w:spacing w:after="0" w:line="240" w:lineRule="auto"/>
        <w:jc w:val="both"/>
        <w:rPr>
          <w:rFonts w:ascii="Times New Roman" w:hAnsi="Times New Roman" w:cs="Times New Roman"/>
          <w:color w:val="0070C0"/>
          <w:sz w:val="16"/>
          <w:szCs w:val="16"/>
        </w:rPr>
      </w:pPr>
    </w:p>
    <w:p w14:paraId="0CBF44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августа 1917 эсминцы Громкий, Фидониси, Свирепый и Строгий высадили в Орду диверсионную группу (3123).</w:t>
      </w:r>
    </w:p>
    <w:p w14:paraId="20B58D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FC44AE" w14:textId="77777777" w:rsidR="0085173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3BE3ADA3" w14:textId="77777777" w:rsidR="00851731" w:rsidRPr="002F2FDF" w:rsidRDefault="0085173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892BBF" w14:textId="77777777" w:rsidR="00851731" w:rsidRPr="002F2FDF" w:rsidRDefault="0085173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августа в 1917 году США заявляют о предоставлении Временному правительству России займа в 100 млн. долларов (14992).</w:t>
      </w:r>
    </w:p>
    <w:p w14:paraId="315FF696" w14:textId="77777777" w:rsidR="00851731" w:rsidRPr="002F2FDF" w:rsidRDefault="00851731" w:rsidP="0083075A">
      <w:pPr>
        <w:spacing w:after="0" w:line="240" w:lineRule="auto"/>
        <w:jc w:val="both"/>
        <w:rPr>
          <w:rFonts w:ascii="Times New Roman" w:hAnsi="Times New Roman" w:cs="Times New Roman"/>
          <w:color w:val="000000" w:themeColor="text1"/>
          <w:kern w:val="2"/>
          <w:sz w:val="16"/>
          <w:szCs w:val="16"/>
        </w:rPr>
      </w:pPr>
    </w:p>
    <w:p w14:paraId="498394C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7F0AB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F059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августа -1917 Британский военный кабинет обсуждает последний доклад генерала Смутса. Адмиралтейство в лице сэра Эрика Гаддела яростно сопротивляется основной идее доклада - созданию отдельного министерства. Лорды Адмиралтейства видят в авиации хорошее подсобное средство для морского флота и не хотят выпускать его из своих рук (11999).</w:t>
      </w:r>
    </w:p>
    <w:p w14:paraId="0DADAF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2DA1B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августа 1917 США заявили о предоставлении Временному правительству России займа в 100 млн. долларов (4962).</w:t>
      </w:r>
    </w:p>
    <w:p w14:paraId="00A1809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CDC5B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725E5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E903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12 по 19 августа (</w:t>
      </w:r>
      <w:r w:rsidR="00C0695C" w:rsidRPr="002F2FDF">
        <w:rPr>
          <w:rFonts w:ascii="Times New Roman" w:hAnsi="Times New Roman" w:cs="Times New Roman"/>
          <w:color w:val="000000" w:themeColor="text1"/>
          <w:kern w:val="2"/>
          <w:sz w:val="16"/>
          <w:szCs w:val="16"/>
        </w:rPr>
        <w:t>25</w:t>
      </w:r>
      <w:r w:rsidRPr="002F2FDF">
        <w:rPr>
          <w:rFonts w:ascii="Times New Roman" w:hAnsi="Times New Roman" w:cs="Times New Roman"/>
          <w:color w:val="000000" w:themeColor="text1"/>
          <w:kern w:val="2"/>
          <w:sz w:val="16"/>
          <w:szCs w:val="16"/>
        </w:rPr>
        <w:t xml:space="preserve"> августа по 1 сентября) 1917 г. из Франции в Россию было отправлено на нескольких пароходах 40 самолетов “Ньюпор”, 5 “Сопвичей”, 26 “Фарманов”. В течение зимнего времени навигация была невозможна. Дефицит с тоннажем судов, доставлявших из Франции авиагрузы, приводил к тому, что заграничная комиссия русского военного ведомства порой не могла отправлять в Россию уже принятые аэропланы и моторы, из-за отсутствия складов прекращала приемку авиатехники.</w:t>
      </w:r>
    </w:p>
    <w:p w14:paraId="6D24F9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Положение усугублялось беспорядком и отсутствием организации в транспортировке из Архангельского порта, куда в летнее время прибывали все основные авиагрузы. Они подолгу оставались без движения на складах, расположенных на левом берегу реки Двины, в предместьях Архангельска - Бакарицы. Там хранилось большое количество авиационного имущества. Часть авиационных грузов находилась в 20 км от Архангельска, в бухте Экономия. После постройки железной дороги на Мурманск все авиационные грузы в зимнее время транспортировались через Мурманский незамерзающий порт. Немецкие подводные лодки караулили транспорты на подходе к Мурманску и многие из них топили. Для эскорта своих транспортов англичане держали в Мурманске и Архангельске авиаотряды.</w:t>
      </w:r>
    </w:p>
    <w:p w14:paraId="3E746B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Собирателями и распорядителями авиационного имущества в России являлись центральные склады, организованные УВВФ в Петрограде и Москве. Эти склады по нарядам фронта направляли авиационное имущество в парки, парки питали базы, и, наконец, базы снабжали авиационные отряды. Чрезмерная централизация авиаимущества по мере роста его запасов привела к тяжелым последствиям. В 1917 г. железнодорожные станции в Москве, Ярославле и Архангельске оказались сильно загруженными. В свою очередь Московский центральный склад, куда поступало почти все авиационное имущество из-за границы, отказывался принимать грузы, что создавало еще большую неурядицу на московском центральном железнодорожном узле. Начальник УВВФ писал в 1917 г. военному министру, что московский склад находится в беспорядке: “...наряды на отправку грузов на фронт выполняются из рук вон плохо, дело дошло до того, что за последнее время разгрузка Московского центрального склада производится английскими и французскими солдатами в количестве 50 человек, тогда как вся команда склада состоит из 800 человек солдат” (9705).</w:t>
      </w:r>
    </w:p>
    <w:p w14:paraId="134EE0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0D5E1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1FDFF9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7F8FC1" w14:textId="77777777" w:rsidR="00346298" w:rsidRPr="002F2FDF" w:rsidRDefault="00346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12 (25) августа в 1917 году образовано ОАО "Завод имени В.А.Дегтярева". В 1916 году в Петрограде было создано Первое русское акционерное общество ружейных и пулеметных заводов, чтобы реализовать предложение датского синдиката «Dansk Rekilriffel Syndikat» о строительстве в центре России нового пулеметного завода. В августе 1916 г. началось возведение первых корпусов Ковровского пулеметного завода. 12 августа 1917 г. артиллерийскому приемщику были сданы первые ружья-пулеметы системы датского конструктора Мадсена. Эту дату выпуска первой продукции принято считать днем рождения завода (имя В.А.Дегтярева предприятие носит с 1949 г.). Однако настоящее становление завода связано с деятельностью выдающегося русского ученого и конструктора, изобретателя первого в мире автомата, В.Г.Федорова (1874—1966, в Коврове работал в 1918—1931 гг.) и его ближайшего ученика и помощника, выдающегося конструктора В.А.Дегтярева (1880—1949, в Коврове в 1918—1949 гг.). Они были направлены в Ковров Главным артиллерийским управлением в начале 1918 г., в самый критический момент, когда прежние хозяева — петроградские и датские предприниматели приняли решение о прекращении производства и закрытии завода. В.Г.Федоров и В.А.Дегтярев смогли спасти предприятие и наладить здесь производство отечественного оружия. В 1919 г. завод был национализирован. В 1921 г. В.Г.Федоров создал на заводе первое в стране проектно-конструкторское бюро по разработке автоматического стрелкового оружия. В 1927 г. на вооружение Красной Армии был принят сконструированный на заводе ручной пулемет Дегтярева ДП, в последующие годы — авиационный ДА, танковый ДТ, крупнокалиберный Дегтярева и Шпагина ДШК, пистолеты-пулеметы Дегтярева ППД и ППШ, авиационная пушка Владимирова ШВАК и другие образцы. Главным делом для заводского коллектива было производство автоматического стрелкового оружия. Но, одновременно с этим в 1920–30-х годах завод постоянно выпускал разнообразные товары народного потребления, от простейших предметов домашнего обихода, таких как ведра, корыта, мебель, лейки, до запасных частей к сельскохозяйственной технике (в частности, к первым тракторам отечественного производства), стартеров для автомобилей Нижегородского автозавода, деталей к патефонам. Важным направлением был выпуск режущего и мерительного инструмента, а с 1930-х годов — металлообрабатывающих станков как для собственных нужд, так и для других предприятий оборонной промышленности. В самом </w:t>
      </w:r>
      <w:r w:rsidRPr="002F2FDF">
        <w:rPr>
          <w:rFonts w:ascii="Times New Roman" w:hAnsi="Times New Roman" w:cs="Times New Roman"/>
          <w:color w:val="000000" w:themeColor="text1"/>
          <w:kern w:val="2"/>
          <w:sz w:val="16"/>
          <w:szCs w:val="16"/>
        </w:rPr>
        <w:lastRenderedPageBreak/>
        <w:t>начале Великой Отечественной войны было сконструировано противотанковое ружье Дегтярева ПТРД, с которым уже осенью 1941 года бойцы Красной Армии сражались с врагом на подступах к Москве. 18 января 1942 года за образцовое выполнение заданий Правительства по производству и освоению новых видов вооружения Ковровский завод №2 имени К.О.Киркижа был награжден орденом Трудового Красного Знамени, а большая группа рабочих, специалистов и руководителей получила ордена и медали. Уже в ходе войны на заводе продолжали модернизироваться ранее разработанные и конструироваться новые образцы стрелкового оружия, в частности, на вооружение Красной Армии были приняты станковый пулемет Горюнова СГ-43, крупнокалиберный Владимирова КПВ (КПВТ). Всего за годы ВОВ завод выпустил и отправил на фронт 1 млн. 202 тыс. 481 единицу различного вооружения. 16 сентября 1945 года за успешное выполнение заданий Государственного Комитета Обороны по обеспечению Красной Армии авиационным и пехотным стрелковым вооружением завод награжден орденом Ленина. В послевоенный период завод продолжил конструирование и производство стрелковопушечного оружия. Именно здесь при активном участии ковровских специалистов и рабочих М.Т.Калашников подготовил к успешным испытаниям первые образцы автомата АК-47. Одновременно во второй половине 1945 г. заводу поручается изготовление 12 наименований изделий гражданской продукции, а в 1946 г. — освоение изготовления и выпуск дорожного мотоцикла с одноцилиндровым двухтактным двигателем с объемом цилиндра 125 см3. До конца 1946 г. было выпущено 280 мотоциклов К-125, а в 1949 г. их выпускалось уже по 5000 в месяц. С 1950-х годов начался выпуск дорожных и спортивных мотоциклов с объемом двигателя 175 см3, модели «Ковровец» и «Восход». Всего с момента выпуска первого мотоцикла на заводе было произведено свыше 8 млн. единиц мототехники. С 1957 года в Коврове начали проводиться ежегодные традиционные зимние мотокроссы. С 1959 г. на заводе имени В.А.Дегтярева началось производство ракетного оружия — сначала отдельных его элементов, а с 1960-х годов — противотанковых управляемых реактивных снарядов и ракет «Шмель», «Малютка», «Фагот», «Фактория», переносных зенитных ракетных комплексов «Стрела-2», «Стрела-2М», «Игла-1». С 1959 г. завод открыл еще одно принципиально новое направление производственной деятельности и начал выпускать для предприятий Минатома, как отмечалось в 1997 г. в приветствии председателя Правительства Российской Федерации, «уникальное оборудование для разделения изотопов урана, по своим характеристикам непревзойденное в мире». 18 января 1971 года за успешное выполнение пятилетнего плана и организацию производства новой техники завод награжден орденом Октябрьской Революции. В 1992 году в соответствии с Указом Президента Российской Федерации «Об организационных мерах по преобразованию государственных предприятий в акционерные общества» государственное предприятие Завод имени В.А.Дегтярева получил статус Открытого Акционерного Общества «Завод имени В.А.Дегтярева». Сегодня ОАО «ЗиД» выпускает вооружение для ВВС, ВМФ и сухопутных войск армий 17 стран мира. Это, в первую очередь, переносной зенитный ракетный комплекс «Игла» 9К38, ракета 9М133 противотанкового комплекса большой дальности «Корнет-Э», 30 мм противопехотный автоматический гранатометный комплекс АГС-30, выстрел 3УБК20 с управляемой ракетой 9М119М, предназначенный для поражения бронетехники, вертолетов и целей, находящихся на водной поверхности. Для авиационной техники выпускаются скорострельные двуствольные пушки ГШ-30 и ГШ-23. Для ВМФ ОАО «ЗиД» выпускает малогабаритный дистанционно управляемый противодиверсионный гранатометный комплекс ДП-65, предназначенный для защиты кораблей, гидротехнических сооружений, морских и прибрежных объектов от нападения боевых подводных диверсантов. Заводом проводятся работы по его усовершенствованию в направлении дистанционного обнаружения подводных целей и автоматического управления огнем гранатомета, что, безусловно, повысит его боевую эффективность. Продолжением лучших стрелковых традиций завода стал выпуск крупнокалиберного (12,7 мм) пулемета «Корд» и снайперской (12,7 мм) винтовки (14981).</w:t>
      </w:r>
    </w:p>
    <w:p w14:paraId="2EBACE3C" w14:textId="77777777" w:rsidR="00346298" w:rsidRPr="002F2FDF" w:rsidRDefault="00346298" w:rsidP="0083075A">
      <w:pPr>
        <w:spacing w:after="0" w:line="240" w:lineRule="auto"/>
        <w:jc w:val="both"/>
        <w:rPr>
          <w:rFonts w:ascii="Times New Roman" w:hAnsi="Times New Roman" w:cs="Times New Roman"/>
          <w:color w:val="000000" w:themeColor="text1"/>
          <w:kern w:val="2"/>
          <w:sz w:val="16"/>
          <w:szCs w:val="16"/>
        </w:rPr>
      </w:pPr>
    </w:p>
    <w:p w14:paraId="4F8695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августа 1917 г. состоялась приемка первых четырех ружей-пулеметов системы Мадсена. Именно эта дата считается днем рождения ЗиДа (9696).</w:t>
      </w:r>
    </w:p>
    <w:p w14:paraId="792841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5CDB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12 </w:t>
      </w:r>
      <w:r w:rsidR="008127A2" w:rsidRPr="002F2FDF">
        <w:rPr>
          <w:rFonts w:ascii="Times New Roman" w:hAnsi="Times New Roman" w:cs="Times New Roman"/>
          <w:color w:val="000000" w:themeColor="text1"/>
          <w:kern w:val="2"/>
          <w:sz w:val="16"/>
          <w:szCs w:val="16"/>
        </w:rPr>
        <w:t xml:space="preserve">(25) </w:t>
      </w:r>
      <w:r w:rsidRPr="002F2FDF">
        <w:rPr>
          <w:rFonts w:ascii="Times New Roman" w:hAnsi="Times New Roman" w:cs="Times New Roman"/>
          <w:color w:val="000000" w:themeColor="text1"/>
          <w:kern w:val="2"/>
          <w:sz w:val="16"/>
          <w:szCs w:val="16"/>
        </w:rPr>
        <w:t>августа 1917 г. артиллерийскому приемщику были сданы первые ружья-пулеметы системы датского конструктора Мадсена (11695).</w:t>
      </w:r>
    </w:p>
    <w:p w14:paraId="3D6AB6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FA4F90" w14:textId="77777777" w:rsidR="00247666" w:rsidRPr="002F2FDF" w:rsidRDefault="00247666"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12 </w:t>
      </w:r>
      <w:r w:rsidR="008127A2" w:rsidRPr="002F2FDF">
        <w:rPr>
          <w:color w:val="000000" w:themeColor="text1"/>
          <w:kern w:val="2"/>
          <w:sz w:val="16"/>
          <w:szCs w:val="16"/>
        </w:rPr>
        <w:t xml:space="preserve">(25) </w:t>
      </w:r>
      <w:r w:rsidRPr="002F2FDF">
        <w:rPr>
          <w:color w:val="000000" w:themeColor="text1"/>
          <w:kern w:val="2"/>
          <w:sz w:val="16"/>
          <w:szCs w:val="16"/>
        </w:rPr>
        <w:t>августа 1917 по соглашению с генералом Третьяковым состоялась приемка первых четырех ружей-пулеметов Мадсена с запасными стволами Результаты приемных испьтаний неудовлетворительные. В периож гражданской войны русская армия так и не получила оружия от Ковровекого пулеметного завода.</w:t>
      </w:r>
    </w:p>
    <w:p w14:paraId="3ACB30BD" w14:textId="77777777" w:rsidR="00247666" w:rsidRPr="002F2FDF" w:rsidRDefault="00247666" w:rsidP="0083075A">
      <w:pPr>
        <w:pStyle w:val="ae"/>
        <w:spacing w:before="0" w:after="0"/>
        <w:jc w:val="both"/>
        <w:rPr>
          <w:color w:val="000000" w:themeColor="text1"/>
          <w:kern w:val="2"/>
          <w:sz w:val="16"/>
          <w:szCs w:val="16"/>
        </w:rPr>
      </w:pPr>
      <w:r w:rsidRPr="002F2FDF">
        <w:rPr>
          <w:color w:val="000000" w:themeColor="text1"/>
          <w:kern w:val="2"/>
          <w:sz w:val="16"/>
          <w:szCs w:val="16"/>
        </w:rPr>
        <w:t>21 октября ГАУ корректирует заказ ружей-пулеметов Мадсена с 15000 до 10000 штук и заказывает 9000 ружей-пулеметов системы В.Г. Федорова.</w:t>
      </w:r>
    </w:p>
    <w:p w14:paraId="20198BF1" w14:textId="77777777" w:rsidR="00247666" w:rsidRPr="002F2FDF" w:rsidRDefault="00247666" w:rsidP="0083075A">
      <w:pPr>
        <w:pStyle w:val="ae"/>
        <w:spacing w:before="0" w:after="0"/>
        <w:jc w:val="both"/>
        <w:rPr>
          <w:color w:val="000000" w:themeColor="text1"/>
          <w:kern w:val="2"/>
          <w:sz w:val="16"/>
          <w:szCs w:val="16"/>
        </w:rPr>
      </w:pPr>
      <w:r w:rsidRPr="002F2FDF">
        <w:rPr>
          <w:color w:val="000000" w:themeColor="text1"/>
          <w:kern w:val="2"/>
          <w:sz w:val="16"/>
          <w:szCs w:val="16"/>
        </w:rPr>
        <w:t>Корпуса «А» и «Б» расположены в северной части заводской территории и ориентированы главными фасадами на север - в сторону старого города, находящегося за линией железной дороги. Они построены в 1916-1917 гг. по проекту Б.М. Великовского в стиле неоклассицизма, что придает комплексу завода им. Дегтярева дополнительное историческое архитектурное своеобразие (12221).</w:t>
      </w:r>
    </w:p>
    <w:p w14:paraId="0F1A68C2" w14:textId="77777777" w:rsidR="00247666" w:rsidRPr="002F2FDF" w:rsidRDefault="00247666" w:rsidP="0083075A">
      <w:pPr>
        <w:pStyle w:val="ae"/>
        <w:spacing w:before="0" w:after="0"/>
        <w:jc w:val="both"/>
        <w:rPr>
          <w:color w:val="000000" w:themeColor="text1"/>
          <w:kern w:val="2"/>
          <w:sz w:val="16"/>
          <w:szCs w:val="16"/>
        </w:rPr>
      </w:pPr>
    </w:p>
    <w:p w14:paraId="033183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августа 1917 г. была сдана первая продукция Ковровского пулеметного завода - ружья-пулеметы Мадсена. Эта дата считается днем рождения завода. В начале 1918 г. владельцами принято решение закрыть строившийся завод. 8.07.1919 г. он был национализирован. По распоряжению Центрального Управления артиллерийских заводов № 567 директором завода назначен А.Н. Бухарин.</w:t>
      </w:r>
    </w:p>
    <w:p w14:paraId="1D900D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марта 1918 г. по 1931 г. на Ковровском пулеметном заводе работал конструктор В.Г. Федоров, в 1921 г. он создал на заводе первое в стране ПКБ по разработке автоматического стрелкового оружия.</w:t>
      </w:r>
    </w:p>
    <w:p w14:paraId="3A5AA6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1918-49 г. на заводе работал В.А. Дегтярев.</w:t>
      </w:r>
    </w:p>
    <w:p w14:paraId="42B82C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войны работал М.Т. Калашников.</w:t>
      </w:r>
    </w:p>
    <w:p w14:paraId="2E83E6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за годы войны завод выпустил 1.202.481 единицу вооружения.</w:t>
      </w:r>
    </w:p>
    <w:p w14:paraId="153E38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войны завод начал осваивать выпуск мотоциклов. Для этого было создано отдельное производство.</w:t>
      </w:r>
    </w:p>
    <w:p w14:paraId="0F03FD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1959 г. началось освоение производства ракетного оружия- ПТУР, ПЗРК.</w:t>
      </w:r>
    </w:p>
    <w:p w14:paraId="272E80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1959 г. – выпуск уникального оборудования для разделения изотопов урана.</w:t>
      </w:r>
    </w:p>
    <w:p w14:paraId="3E0061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1927 г. Пулеметный завод переименован в Инструментальный завод № 2. В 1932 г. заводу присвоено имя К.О. Киркижа. В 1942 г. завод получил название “ГС Ордена Трудового Красного знамени завод № 2 им. К.О. Киркижа”, с 16.09.1945 г.- “ГС Ордена Ленина и Ордена Трудового Красного знамени завод № 2 им. К.О. Киркижа”. В 1949 г. заводу присвоено имя В.А. Дегтярева. С 05.1991 г.- ПО “ЗиД”, с 1.11.1991 г.- ГП “ЗиД”. АООТ ЗиД учереждено 1.10.1992 г. на базе ГП ЗиД в соответствии с Указом Президента № 721 от 1.07.1992 г., 11.04.1996 г. преобразовано в ОАО. По решению правительства № 22-р от 9.01.2004 г. вошло в перечень стратегических предприятий. В 2004 г. входит Научно-производственный концерн точного машиностроения “Витязь”, Транснациональную ФПГ “Точность”.</w:t>
      </w:r>
    </w:p>
    <w:p w14:paraId="2F9FEE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(1918 г.)- 60 чел.</w:t>
      </w:r>
    </w:p>
    <w:p w14:paraId="25802B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(03.1918 г.)- Войтекевич, (01.1919 г.)- В.Г. Федоров, (1.08.1919 г.) - А.Н. Бухарин. Гендиректор (04.2002-05 г.-)- А.В. Тменов.</w:t>
      </w:r>
    </w:p>
    <w:p w14:paraId="410FE0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Распорядительный директор (1.08.1919 г.) - В.Г. Федоров. Зам. гендиректора: по производству, МТС и продажам (2005 г.)- М.Н. Ковальчук; по экономике (2005 г.)- В.Т. Руссу; по финансам и сбыту (2005 г.)- В.В. Трубяков; по строительству и ТО производства (2005 г.)- А.В. Кустов; по безопасности, персоналу и связям с общественностью (2005 г.)- В.Н. Горячев.</w:t>
      </w:r>
    </w:p>
    <w:p w14:paraId="192277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инженер (1930-е)- Любетко (арестован), (2005 г.)- Д.Л. Липсман.</w:t>
      </w:r>
    </w:p>
    <w:p w14:paraId="5A4BFC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образцовой мастерской (1920 г.)- В.А. Дегтярев.</w:t>
      </w:r>
    </w:p>
    <w:p w14:paraId="303479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Работали: конструкторы: (1920-40 г.-)- Г.С. Шпагин, (1934 г.-)- С.В. Владимиров, С.Г. Симонов, П.М. Горюнов, М.М. Горюнов, В.Е. Воронков, М.Т. Калашников; (-2004-05 г.-)- Е.И. Галактионов, В.Н. Горячев, Н.И. Игнатьев, М.Н. Ковальчук, А.В. Кустов, В.А. Салтыков, В.Н. Смирнов, В.В. Трубяков.</w:t>
      </w:r>
    </w:p>
    <w:p w14:paraId="681E7C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ружье-пулемет Мадсена (1917-18 г.), автомат Федорова (1920-); пулеметы: УБ (1938-), ДП (ВОВ), ДТ (ВОВ), КПВТ (2005), “Корд” 6П49, 6П50 (2005); противотанковое ружье ПТРД (ВОВ); гранатометы: АГС-30 (2005), противодиверсионные ДП-64, ДП-65 (2005), специальный РГС-50М (2005); пушки: ШВАК (1935-), ГШ-23 (2005), ГШ-30 (2005); винтовка СВН-98 (2005); ПТУР: “Шмель”, “Малютка”, “Фагот”, “Фактория” (1960-е), “Корнет”, “Корнет-Э” 9М133 (2005), “Свирь”, “Рефлекс”; ПЗРК: “Стрела-2”, “Стрела-3”, “Игла-1”, “Игла” 9К38 с ракетой 9М39 (2005);58 выстрел ЗУБК20 с УР 9М119М (2005); морская тумбовая пулеметная установка МТПУ (2005); вкладная унифицированная пушка 2Х35 (2005); оборудование для разделения изотопов урана (1959-); Запчасти для тракторов, стартеры для автомобилей ГАЗ (1920-30-е); инструмент; металлообрабатывающие станки (1930-е-); мотоциклы: К-125 (1946-49-), “Ковровец”, “Восход”, “Сова” (2005), ЗИД-200 (2005), “Фермер” (2005), мокик ЗИД-50, “Птаха”, “Пилот”, мотовездеход “Робинзон”, “Тарпан”, “Бархан”- всего более 8 млн. шт.;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(2005).www.zid.ru</w:t>
      </w:r>
    </w:p>
    <w:p w14:paraId="749D17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Проектно-конструкторское бюро (ПКБ), ЦКБ-2, ОКБ-2, КБ “Арматура” (КБА) СНХ, МОМ</w:t>
      </w:r>
    </w:p>
    <w:p w14:paraId="499D26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601909 г. Ковров Владимирской обл. ул. Социалистическая, 22 тел. 31-068/</w:t>
      </w:r>
    </w:p>
    <w:p w14:paraId="2CC8E8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Инструментальный завод № 2 им. К.О. Киркижа, Ковровский пулеметный завод, ГС Ордена Трудового Красного Знамени завод № 2 им. К.О. Киркижа НКВ, ПО, ГП, АООТ, ОАО “Завод им. В.А. Дегтярева” (ЗиД) </w:t>
      </w:r>
    </w:p>
    <w:p w14:paraId="328D8B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601900 г. Ковров Владимирской обл. ул. Труда, 4 тел. 303-89 www.zid.ru</w:t>
      </w:r>
    </w:p>
    <w:p w14:paraId="7B246B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Первое в стране ПКБ по разработке автоматического стрелкового оружия создано в 1921 г. на Ковровском пулеметном заводе конструктором В.Г. Федоровым.</w:t>
      </w:r>
    </w:p>
    <w:p w14:paraId="3F455E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1940 г.- КБ-2, с 1956 г.- самостоятельное ОКБ-2. В 1965 г. КБА из системы СНХ передано в ведение 4ГУ МОМ.77 В 1990 г. Ковровский завод “Арматура” (возможно, название неофициальное)- в ведении МОП. В 2002 г. КБ “Арматура” в качестве филиала входит в ГКНПЦ им. Хруничева.</w:t>
      </w:r>
    </w:p>
    <w:p w14:paraId="634C89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Разработка автоматического стрелкового оружия. В 1960 г. переведено на новую тематику- разработку электропневмоавтоматики для наземных стартовых комплексов. </w:t>
      </w:r>
    </w:p>
    <w:p w14:paraId="0A44D2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(1930-е) - П.И. Майн (арестован), (1960-е)- О.С. Русаков. Гендиректор (2002 г.)- Ю.Л. Арзуманов.</w:t>
      </w:r>
    </w:p>
    <w:p w14:paraId="0D50B1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Ген. Конструктор (2002 г.)- Ю.Л. Арзуманов.</w:t>
      </w:r>
    </w:p>
    <w:p w14:paraId="6BAF59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Зам. Ген. Конструктора (2002 г.)- Р.А. Петров.</w:t>
      </w:r>
    </w:p>
    <w:p w14:paraId="4119A9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Зам. Гендиректора (2002 г.)- Г.Н. Василенко.69 </w:t>
      </w:r>
    </w:p>
    <w:p w14:paraId="108283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цеха опытных работ (1930-е)- Ф.А. Белозеров (арестован). Начальник секции станков и установок (1930-е)- Я.Я. Атлега (арестован).</w:t>
      </w:r>
    </w:p>
    <w:p w14:paraId="79FB29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Создано: пулеметы: ручной Дегтярева ДП (пнв в 1927 г.), авиационный ДА, танковый ДТ, крупнокалиберный Дегтярева и Шпагина ДШК, станковый Горюнова СГ-43, крупнокалиберный Владимирова КПВ; пистолеты-пулеметы: Дегтярева ППД, Шпагина ППШ (1940); пушки: авиационная ШВАК; противотанковое ружье ПТРД (пнв в 1941); автомат Калашникова АК-47.www.zid.ru (10776).</w:t>
      </w:r>
    </w:p>
    <w:p w14:paraId="33678A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2E95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12 </w:t>
      </w:r>
      <w:r w:rsidR="008127A2" w:rsidRPr="002F2FDF">
        <w:rPr>
          <w:rFonts w:ascii="Times New Roman" w:hAnsi="Times New Roman" w:cs="Times New Roman"/>
          <w:color w:val="000000" w:themeColor="text1"/>
          <w:kern w:val="2"/>
          <w:sz w:val="16"/>
          <w:szCs w:val="16"/>
        </w:rPr>
        <w:t xml:space="preserve">(25) </w:t>
      </w:r>
      <w:r w:rsidRPr="002F2FDF">
        <w:rPr>
          <w:rFonts w:ascii="Times New Roman" w:hAnsi="Times New Roman" w:cs="Times New Roman"/>
          <w:color w:val="000000" w:themeColor="text1"/>
          <w:kern w:val="2"/>
          <w:sz w:val="16"/>
          <w:szCs w:val="16"/>
        </w:rPr>
        <w:t>августа 1917 г. Ковровским пулеметным заводом, строящимся с 27 августа 1916 г. «Первым русским акционерным обществом ружейных и пулеметных заводов» совместно с датским синдикатом «</w:t>
      </w:r>
      <w:r w:rsidRPr="002F2FDF">
        <w:rPr>
          <w:rFonts w:ascii="Times New Roman" w:hAnsi="Times New Roman" w:cs="Times New Roman"/>
          <w:color w:val="000000" w:themeColor="text1"/>
          <w:kern w:val="2"/>
          <w:sz w:val="16"/>
          <w:szCs w:val="16"/>
          <w:lang w:val="en-US"/>
        </w:rPr>
        <w:t>DanskRekilriffelSyndikat</w:t>
      </w:r>
      <w:r w:rsidRPr="002F2FDF">
        <w:rPr>
          <w:rFonts w:ascii="Times New Roman" w:hAnsi="Times New Roman" w:cs="Times New Roman"/>
          <w:color w:val="000000" w:themeColor="text1"/>
          <w:kern w:val="2"/>
          <w:sz w:val="16"/>
          <w:szCs w:val="16"/>
        </w:rPr>
        <w:t>» на участке между Московско-Нижегородской железной дорогой и Знаменской женской общиной, была сдана первая продукция - ружья-пулеметы Мадсена. Эта дата считается днем рождения завода.</w:t>
      </w:r>
    </w:p>
    <w:p w14:paraId="643120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1918 г. владельцами принято решение закрыть строившийся завод. 8.07.1919 г. он был национализирован. По распоряжению Центрального Управления артиллерийских заводов № 567 директором завода назначен А.Н. Бухарин.</w:t>
      </w:r>
    </w:p>
    <w:p w14:paraId="4BB51AB6" w14:textId="77777777" w:rsidR="00783C50" w:rsidRPr="002F2FDF" w:rsidRDefault="00783C5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1924 г. Ковровский пулеметный завод - в ведении ГУВП ВСНХ. В соответствии с пост. СНК от 27.04.1926 г. по пр. ВСНХ/НКВМ/ОГПУ № 73сс от 9.07.1927 г. Ковровский пулеметный завод с 1.10.1927 г. переименован в ИНЗ-2 Оружпултреста ВПУ ВСНХ (Инструментальный завод № 2 (ИНЗ-2) им. К.О. Киркиж ВСНХ, НКТП, Ковровский пулеметный завод ГУВП ВСНХ, ГС завод № 2 им. К.О. Киркиж НКОП, ГС Ордена Ленина и ордена Трудового Красного Знамени завод № 2 им. К.О. Киркижа НКВ, Завод № 2 им. В.А. Дегтярева </w:t>
      </w:r>
      <w:r w:rsidRPr="002F2FDF">
        <w:rPr>
          <w:rFonts w:ascii="Times New Roman" w:hAnsi="Times New Roman" w:cs="Times New Roman"/>
          <w:color w:val="000000" w:themeColor="text1"/>
          <w:kern w:val="2"/>
          <w:sz w:val="16"/>
          <w:szCs w:val="16"/>
          <w:lang w:val="en-US"/>
        </w:rPr>
        <w:t>MB</w:t>
      </w:r>
      <w:r w:rsidRPr="002F2FDF">
        <w:rPr>
          <w:rFonts w:ascii="Times New Roman" w:hAnsi="Times New Roman" w:cs="Times New Roman"/>
          <w:color w:val="000000" w:themeColor="text1"/>
          <w:kern w:val="2"/>
          <w:sz w:val="16"/>
          <w:szCs w:val="16"/>
        </w:rPr>
        <w:t>, А-7393, ПО, ГП, АООТ, ОАО «Завод им. В.А. Дегтярева» (ЗиД) /г. Ковров Нижегородской ж/д/ /601900 г. Ковров Владимирской обл. ул. Труда, 4 тел. 303-89, 326-90).</w:t>
      </w:r>
    </w:p>
    <w:p w14:paraId="7DCE854A" w14:textId="77777777" w:rsidR="00783C50" w:rsidRPr="002F2FDF" w:rsidRDefault="00783C5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1932 г. заводу присвоено имя К.О. Киркижа. По пр. НКОП № Обсс от 30.12.1936 г. ИНЗ-2 переименован в завод № 2. Приказом № 100 от 16.03.1937 г. утвержден Устав ГС завода № 2 ЗГУ НКОП. По пр. № 0227 от 9.10.1937 г. завод передан в ведение вновь созданного 15ГУ. В 02.1939 г. завод № 2 15ГУ передан в ведение 15ГУ НКВ.</w:t>
      </w:r>
    </w:p>
    <w:p w14:paraId="76DC6B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03.1918 г. по 1931 г. на заводе работал конструктор В.Г. Федоров, в 1921 г. он создал на заводе первое в стране ПКБ по разработке автоматического стрелкового оружия.</w:t>
      </w:r>
    </w:p>
    <w:p w14:paraId="01161F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1918-49 г. на заводе работал В.А. Дегтярев.</w:t>
      </w:r>
    </w:p>
    <w:p w14:paraId="48CE6B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 0031 от 8.02.1937 г. заводу предписано создать к 1.01.1938 г. мощности по выпуску пулеметов: ДП -110 тыс. шт. в год, ДТ 65 тыс. шт. Приказом № 0073 от 11.04.1937 г. заводу поручено выпустить в 1937 г. 1100 тыс. звеньев для пушки ШВАК; приказом № 00148 от 7.07.1937 г. - 25 турелей под пушку ШВАК для завода № 124. Пост, правительства № 22сс заводу поручено освоить выпуск авиационного пулемета СН (Савина и Нарова). За невыполнение данного задания приказом № 42сс от 4.02.1938 г. был снят начальник цеха Долгушев.</w:t>
      </w:r>
    </w:p>
    <w:p w14:paraId="31EE27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 ЗГУ № 48 от 25.08.1937 г. 9-й отдел завода был преобразован в КБ ЗГУ на заводе № 2.</w:t>
      </w:r>
    </w:p>
    <w:p w14:paraId="185F9B31" w14:textId="77777777" w:rsidR="003431D2" w:rsidRPr="002F2FDF" w:rsidRDefault="003431D2" w:rsidP="0083075A">
      <w:pPr>
        <w:tabs>
          <w:tab w:val="left" w:pos="296"/>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 0221 от 28.09.1937 г. заводу была установлена программа по выпуску в 1938 г. станков: заточные: универсальные - 300, для протяжек - 50; головки сверлильные и фрезерные для агрегатных станков - 500.</w:t>
      </w:r>
    </w:p>
    <w:p w14:paraId="26D172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пост. СНК № 175сс от 11.11.1937 г. и пр. № 00248 от 19.11.1937 г. было необходимо обеспечить к 1.12.1937 г. набор 3 тыс. рабочих, а к 1.02.1938 г. - еще тысячу чел.</w:t>
      </w:r>
    </w:p>
    <w:p w14:paraId="4C2FFD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внедрения крупносерийного производства пулеметов ДП и ДК на заводе пр. ЗГУ № 59 от 10.09.1937 г. требовалось организовать специальное бюро. По пр. № 53с от 10.02.1938 г. на заводе создано технологическое бюро под руководством гл. технолога для технологического перевооружения производства.</w:t>
      </w:r>
    </w:p>
    <w:p w14:paraId="680B85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 272сс от 3.08.1938 г. заводу поручено изготовить в 1938 г. 2 тыс. винтовочных стволов методом протяжки.</w:t>
      </w:r>
    </w:p>
    <w:p w14:paraId="1D1739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11.1940 г. заводу поручен серийный выпуск 23-мм авиационной пушки МП-6, в 05.1941 г. из-за ареста Я.Г. Таубина она снята с производства.</w:t>
      </w:r>
    </w:p>
    <w:p w14:paraId="1F0584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 ГКО № 130 от 13.07.1941 г. заводу поручено производство неуниверсальных пулеметов Березина. В соответствии с пост. ГКО № 866 от 4.11.1941 г. заводу был установлен план по выпуску противотанковых ружей Дегтярева: на 11.1941 г. - 5 тыс. шт., на 12.1941 г. - 10 тыс. шт. Пост. ГКО № 1019 от 12.12.1941 г. заводу поручен выпуск магазинов к пулеметам ДП и ДТ.</w:t>
      </w:r>
    </w:p>
    <w:p w14:paraId="31C066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пост. ГКО № 1407с от 7.03.1942 г. заводу передано 250 электромоторов с льняной фабрики им. К. Либкнехта.</w:t>
      </w:r>
    </w:p>
    <w:p w14:paraId="3D17BB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пост. ГКО № 3575 от 14.06.1943 г. на заводе организовано производство станкового пулемета Горюнова.</w:t>
      </w:r>
    </w:p>
    <w:p w14:paraId="528E0D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за годы войны завод выпустил 1.202.481 единицу вооружения.</w:t>
      </w:r>
    </w:p>
    <w:p w14:paraId="2E95E0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войны работал М.Т. Калашников.</w:t>
      </w:r>
    </w:p>
    <w:p w14:paraId="46DC8D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войны освоен выпуск мотоциклов. Для этого было создано отдельное производство. К 2000-м г. выпущено более 8 млн. шт.</w:t>
      </w:r>
    </w:p>
    <w:p w14:paraId="1624C0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1959 г. началось освоение производства ракетного оружия - ПТУР, ПЗРК.</w:t>
      </w:r>
    </w:p>
    <w:p w14:paraId="1B0BE4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1959 г. начат выпуск уникального оборудования для атомной отрасли - газовых центрифуг для разделения изотопов урана.</w:t>
      </w:r>
    </w:p>
    <w:p w14:paraId="3250A0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1942 г. завод получил название «ГС Ордена Трудового Красного знамени завод № 2 им. К.О. Киркижа», с 16.09.1945 г.- «ГС Ордена Ленина и Ордена Трудового Красного знамени завод № 2 им. К.О. Киркижа». В 1949 г. заводу присвоено имя В.А. Дегтярева.</w:t>
      </w:r>
    </w:p>
    <w:p w14:paraId="5A3C98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 приказу </w:t>
      </w:r>
      <w:r w:rsidRPr="002F2FDF">
        <w:rPr>
          <w:rFonts w:ascii="Times New Roman" w:hAnsi="Times New Roman" w:cs="Times New Roman"/>
          <w:color w:val="000000" w:themeColor="text1"/>
          <w:kern w:val="2"/>
          <w:sz w:val="16"/>
          <w:szCs w:val="16"/>
          <w:lang w:val="en-US"/>
        </w:rPr>
        <w:t>MB</w:t>
      </w:r>
      <w:r w:rsidRPr="002F2FDF">
        <w:rPr>
          <w:rFonts w:ascii="Times New Roman" w:hAnsi="Times New Roman" w:cs="Times New Roman"/>
          <w:color w:val="000000" w:themeColor="text1"/>
          <w:kern w:val="2"/>
          <w:sz w:val="16"/>
          <w:szCs w:val="16"/>
        </w:rPr>
        <w:t xml:space="preserve"> № 564 от 6.10.1950 г. из состава завода № 2 выделен самостоятельный завод № 575 </w:t>
      </w:r>
      <w:r w:rsidRPr="002F2FDF">
        <w:rPr>
          <w:rFonts w:ascii="Times New Roman" w:hAnsi="Times New Roman" w:cs="Times New Roman"/>
          <w:color w:val="000000" w:themeColor="text1"/>
          <w:kern w:val="2"/>
          <w:sz w:val="16"/>
          <w:szCs w:val="16"/>
          <w:lang w:val="en-US"/>
        </w:rPr>
        <w:t>MB</w:t>
      </w:r>
      <w:r w:rsidRPr="002F2FDF">
        <w:rPr>
          <w:rFonts w:ascii="Times New Roman" w:hAnsi="Times New Roman" w:cs="Times New Roman"/>
          <w:color w:val="000000" w:themeColor="text1"/>
          <w:kern w:val="2"/>
          <w:sz w:val="16"/>
          <w:szCs w:val="16"/>
        </w:rPr>
        <w:t>, ОКБ-2 вошло в состав нового завода.</w:t>
      </w:r>
    </w:p>
    <w:p w14:paraId="61BCAF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Имел наименование «п/я А-7393» (1983 г.). С 05.1991 г. - ПО «ЗиД», с 1.11.1991 г. - ГП «ЗиД». В соответствии с Указом Президента № 721 от 1.07.1992 г. на базе ГП ЗиД с 1.10.1992 г. учереждено АООТ ЗиД, 11.04.1996 г. преобразовано в ОАО. По решению правительства № 22-р от 9.01.2004 г. вошло в перечень стратегических предприятий. С 1996 г. предприятие входило в состав ТФПГ «Точность», в 2004 г. входило в НПК точного машиностроения «Витязь».</w:t>
      </w:r>
    </w:p>
    <w:p w14:paraId="1EB412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Имелось производство № 12.</w:t>
      </w:r>
    </w:p>
    <w:p w14:paraId="7D2613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1990-х г. создана 12,7-мм КСВК (крупнокалиберная снайперская винтовка ковровская).</w:t>
      </w:r>
    </w:p>
    <w:p w14:paraId="38C25E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2006 г. планировалось передать производство газовых центрифуг на Ковровский механический завод, а оттуда на ЗиД будет передано производство вооружения.</w:t>
      </w:r>
    </w:p>
    <w:p w14:paraId="13A030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оборудования: (1.01.1938 г.)- 1670 ед., (1.01.1939 г.)- 1977 ед.</w:t>
      </w:r>
    </w:p>
    <w:p w14:paraId="0373AB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(1918 г.)- 60 чел.</w:t>
      </w:r>
    </w:p>
    <w:p w14:paraId="0778C7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(03.1918 г.)- Войтекевич, (01.1919 г.-)- В.Г. Федоров, (1.08.1919 г.)- А.Н. Бухарин, (-06.1937- 1.02.1938 г.)- С.В. Савельев, (1.02-23.08Л938 г.)- С.К. Медведев; и.о. (23.08.1938 г.-)- И.Г. Берпев; (28.12.1938 г.-&gt; А.Н. Курятников. Гендиректор (04.2002-06 г.-)- А.В. Тменов.</w:t>
      </w:r>
    </w:p>
    <w:p w14:paraId="3F9A14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директора (-13.06.1937 г.)- З.И. Любетко (снят), (15.12.1937 г.-)- И.Г. Берцев. Помощник директора по найму и увольнению (06.1937 г.)- Г.Ф. Краюхин. Зам. гендиректора: по производству, МТС и продажам (2005 г.)- М.Н. Ковальчук; по экономике (2005 г.)- В.Т. Руссу; по финансам и сбыту (2005 г.)- В.В. Трубяков; по строительству и ТО производства (2005 г.)- А.В. Кустов; по безопасности, персоналу и связям с общественностью (-2005-06 г.-)- В.Н. Горячев.</w:t>
      </w:r>
    </w:p>
    <w:p w14:paraId="1522B0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Распорядительный директор (1.08.1919 г.-)- В.Г. Федоров.</w:t>
      </w:r>
    </w:p>
    <w:p w14:paraId="6ED173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Гл. инженер (-05.1936-13.06.1937 г.)- З.И. Любетко (арестован), (11-15.07.1937 г.)- Б.И. Каневский, (15.07- 16.08.1937 г.)- </w:t>
      </w:r>
      <w:r w:rsidRPr="002F2FDF">
        <w:rPr>
          <w:rFonts w:ascii="Times New Roman" w:hAnsi="Times New Roman" w:cs="Times New Roman"/>
          <w:color w:val="000000" w:themeColor="text1"/>
          <w:kern w:val="2"/>
          <w:sz w:val="16"/>
          <w:szCs w:val="16"/>
          <w:lang w:val="en-US"/>
        </w:rPr>
        <w:t>A</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M</w:t>
      </w:r>
      <w:r w:rsidRPr="002F2FDF">
        <w:rPr>
          <w:rFonts w:ascii="Times New Roman" w:hAnsi="Times New Roman" w:cs="Times New Roman"/>
          <w:color w:val="000000" w:themeColor="text1"/>
          <w:kern w:val="2"/>
          <w:sz w:val="16"/>
          <w:szCs w:val="16"/>
        </w:rPr>
        <w:t>. Ананьев; и.о. (09.1937 г.)- Шостак; (15.12.1937 г.-)- И.Г. Берцев, (-2003-05 г.-&gt; Д.Л. Липсман.</w:t>
      </w:r>
    </w:p>
    <w:p w14:paraId="743F47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конструктор (09.1937 г.)- военинженер 2р Майн.</w:t>
      </w:r>
    </w:p>
    <w:p w14:paraId="3AB340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цехов: № 17 (-4.02.1938 г.)- Долгушев (снят).</w:t>
      </w:r>
    </w:p>
    <w:p w14:paraId="09CF4E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образцовой мастерской (1920 г.)- В.А. Дегтярев.</w:t>
      </w:r>
    </w:p>
    <w:p w14:paraId="711360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Заведующий финансово-хозяйственной частью (1.08.1919 г.-)- А.Д. Порсев. Начальники Управлений: продаж (2005 г.)- В.И. Федоров; маркетинга (-2005-06 г.-)- В.Н. Журавлев; закупок и производства (2005 г.)- А.П. Казазаев; информационных технологий (2005 г.)- М.Б. Фриман.</w:t>
      </w:r>
    </w:p>
    <w:p w14:paraId="0F65C0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отделов: 15-го (05.1938 г.)- Маланкин; ППО (02.1937 г.)- Долгушев; ОТК и.о. (-09.1937 г.)- Морков; (11.09.1937 г.-)-Ярославский.</w:t>
      </w:r>
    </w:p>
    <w:p w14:paraId="4D85D0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конструктор корпоративной системы управления (2005 г.)- М.Б. Фриман.</w:t>
      </w:r>
    </w:p>
    <w:p w14:paraId="2194CD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групп: статистического учета (02.1937 г.)- Казарин.</w:t>
      </w:r>
    </w:p>
    <w:p w14:paraId="648C27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Производство:</w:t>
      </w:r>
      <w:r w:rsidRPr="002F2FDF">
        <w:rPr>
          <w:rFonts w:ascii="Times New Roman" w:hAnsi="Times New Roman" w:cs="Times New Roman"/>
          <w:color w:val="000000" w:themeColor="text1"/>
          <w:kern w:val="2"/>
          <w:sz w:val="16"/>
          <w:szCs w:val="16"/>
        </w:rPr>
        <w:t xml:space="preserve"> ружье-пулемет Мадсена (1917-18 г.), автомат Федорова (1920-); пистолет-пулемет ППД, ППШ (ВОВ);</w:t>
      </w:r>
      <w:r w:rsidRPr="002F2FDF">
        <w:rPr>
          <w:rFonts w:ascii="Times New Roman" w:hAnsi="Times New Roman" w:cs="Times New Roman"/>
          <w:iCs/>
          <w:color w:val="000000" w:themeColor="text1"/>
          <w:kern w:val="2"/>
          <w:sz w:val="16"/>
          <w:szCs w:val="16"/>
        </w:rPr>
        <w:t xml:space="preserve"> пулеметы:</w:t>
      </w:r>
      <w:r w:rsidRPr="002F2FDF">
        <w:rPr>
          <w:rFonts w:ascii="Times New Roman" w:hAnsi="Times New Roman" w:cs="Times New Roman"/>
          <w:color w:val="000000" w:themeColor="text1"/>
          <w:kern w:val="2"/>
          <w:sz w:val="16"/>
          <w:szCs w:val="16"/>
        </w:rPr>
        <w:t xml:space="preserve"> 7,62 мм: ДП (-1937-41-), ДПМ (1939), ДК (1937), ДТ (1941), авиационный СН (опытная серия, 1939), СГ-43 (1943-); 12,7 мм: ШВАК (1935-36)- 92 (1935), УБ (1938-), ДИЖ (-1939-41-), КПВТ (2005), «Корд» 6П49, 6П50 (2005);</w:t>
      </w:r>
      <w:r w:rsidRPr="002F2FDF">
        <w:rPr>
          <w:rFonts w:ascii="Times New Roman" w:hAnsi="Times New Roman" w:cs="Times New Roman"/>
          <w:iCs/>
          <w:color w:val="000000" w:themeColor="text1"/>
          <w:kern w:val="2"/>
          <w:sz w:val="16"/>
          <w:szCs w:val="16"/>
        </w:rPr>
        <w:t xml:space="preserve"> пушки:</w:t>
      </w:r>
      <w:r w:rsidRPr="002F2FDF">
        <w:rPr>
          <w:rFonts w:ascii="Times New Roman" w:hAnsi="Times New Roman" w:cs="Times New Roman"/>
          <w:color w:val="000000" w:themeColor="text1"/>
          <w:kern w:val="2"/>
          <w:sz w:val="16"/>
          <w:szCs w:val="16"/>
        </w:rPr>
        <w:t xml:space="preserve"> авиационные: ШВАК (1936-39-), ВЯ-23, НС-23 (ВОВ), НР-30 (1983), УПК-23-250 (1983), ГШ-23 (-1983-2005-), ГШ-30 (2005); безоткатное орудие Б-10 (1950-е); противотанковое ружье ПТРД (1941);</w:t>
      </w:r>
      <w:r w:rsidRPr="002F2FDF">
        <w:rPr>
          <w:rFonts w:ascii="Times New Roman" w:hAnsi="Times New Roman" w:cs="Times New Roman"/>
          <w:iCs/>
          <w:color w:val="000000" w:themeColor="text1"/>
          <w:kern w:val="2"/>
          <w:sz w:val="16"/>
          <w:szCs w:val="16"/>
        </w:rPr>
        <w:t xml:space="preserve"> гранатометы:</w:t>
      </w:r>
      <w:r w:rsidRPr="002F2FDF">
        <w:rPr>
          <w:rFonts w:ascii="Times New Roman" w:hAnsi="Times New Roman" w:cs="Times New Roman"/>
          <w:color w:val="000000" w:themeColor="text1"/>
          <w:kern w:val="2"/>
          <w:sz w:val="16"/>
          <w:szCs w:val="16"/>
        </w:rPr>
        <w:t xml:space="preserve"> АГС-30 (2005), противодиверсионные ДП-64, ДП-65 (-2003-05-), специальный РГС-50М (2005); винтовка СВН-98 (2005);</w:t>
      </w:r>
      <w:r w:rsidRPr="002F2FDF">
        <w:rPr>
          <w:rFonts w:ascii="Times New Roman" w:hAnsi="Times New Roman" w:cs="Times New Roman"/>
          <w:iCs/>
          <w:color w:val="000000" w:themeColor="text1"/>
          <w:kern w:val="2"/>
          <w:sz w:val="16"/>
          <w:szCs w:val="16"/>
        </w:rPr>
        <w:t xml:space="preserve"> ПТУР:</w:t>
      </w:r>
      <w:r w:rsidRPr="002F2FDF">
        <w:rPr>
          <w:rFonts w:ascii="Times New Roman" w:hAnsi="Times New Roman" w:cs="Times New Roman"/>
          <w:color w:val="000000" w:themeColor="text1"/>
          <w:kern w:val="2"/>
          <w:sz w:val="16"/>
          <w:szCs w:val="16"/>
        </w:rPr>
        <w:t xml:space="preserve"> «Шмель», «Малютка», «Фагот», «Фактория» (1960-е), «Корнет», «Корнет-Э» 9М133 (2005), «Свирь», «Рефлекс», «Инвар»;</w:t>
      </w:r>
      <w:r w:rsidRPr="002F2FDF">
        <w:rPr>
          <w:rFonts w:ascii="Times New Roman" w:hAnsi="Times New Roman" w:cs="Times New Roman"/>
          <w:iCs/>
          <w:color w:val="000000" w:themeColor="text1"/>
          <w:kern w:val="2"/>
          <w:sz w:val="16"/>
          <w:szCs w:val="16"/>
        </w:rPr>
        <w:t xml:space="preserve"> ПЗРК:</w:t>
      </w:r>
      <w:r w:rsidRPr="002F2FDF">
        <w:rPr>
          <w:rFonts w:ascii="Times New Roman" w:hAnsi="Times New Roman" w:cs="Times New Roman"/>
          <w:color w:val="000000" w:themeColor="text1"/>
          <w:kern w:val="2"/>
          <w:sz w:val="16"/>
          <w:szCs w:val="16"/>
        </w:rPr>
        <w:t xml:space="preserve"> «Стрела-2», «Стрела-3», «Игла-1», «Игла» 9К38 с ракетой 9М39 (2005);</w:t>
      </w:r>
      <w:r w:rsidRPr="002F2FDF">
        <w:rPr>
          <w:rFonts w:ascii="Times New Roman" w:hAnsi="Times New Roman" w:cs="Times New Roman"/>
          <w:color w:val="000000" w:themeColor="text1"/>
          <w:kern w:val="2"/>
          <w:sz w:val="16"/>
          <w:szCs w:val="16"/>
          <w:vertAlign w:val="superscript"/>
        </w:rPr>
        <w:t>58</w:t>
      </w:r>
      <w:r w:rsidRPr="002F2FDF">
        <w:rPr>
          <w:rFonts w:ascii="Times New Roman" w:hAnsi="Times New Roman" w:cs="Times New Roman"/>
          <w:color w:val="000000" w:themeColor="text1"/>
          <w:kern w:val="2"/>
          <w:sz w:val="16"/>
          <w:szCs w:val="16"/>
        </w:rPr>
        <w:t xml:space="preserve"> выстрел ЗУБК20 с УР 9М119М (2005); турели МГ-2, ТЭГ-32 (1939); тумбовые пулеметные установки: универсальная для ДК и ДИЖ (1939), морская МТПУ (2005); вкладная унифицированная пушка 2X35 (2005); комплекс автоматизированного управления огнем «Капустник», «Машина-М»; газовые центрифуги для разделения изотопов урана (1959-2006), оборудование для атомной промышленности (2005);</w:t>
      </w:r>
    </w:p>
    <w:p w14:paraId="6FC4B1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запчасти для тракторов, стартеры для автомобилей ГАЗ (1920-30-е); металлообрабатывающие станки'(1930-е- </w:t>
      </w:r>
      <w:r w:rsidRPr="002F2FDF">
        <w:rPr>
          <w:rFonts w:ascii="Times New Roman" w:hAnsi="Times New Roman" w:cs="Times New Roman"/>
          <w:iCs/>
          <w:color w:val="000000" w:themeColor="text1"/>
          <w:kern w:val="2"/>
          <w:sz w:val="16"/>
          <w:szCs w:val="16"/>
        </w:rPr>
        <w:t>); мотоциклы:</w:t>
      </w:r>
      <w:r w:rsidRPr="002F2FDF">
        <w:rPr>
          <w:rFonts w:ascii="Times New Roman" w:hAnsi="Times New Roman" w:cs="Times New Roman"/>
          <w:color w:val="000000" w:themeColor="text1"/>
          <w:kern w:val="2"/>
          <w:sz w:val="16"/>
          <w:szCs w:val="16"/>
        </w:rPr>
        <w:t xml:space="preserve"> К-125 (1946-49-), «Ковровец», «Восход», «Сова» (2005), ЗИД-200 (2005), «Фермер» (2005), мокик ЗИД-50, «Птаха», «Пилот», мотовездеход «Робинзон», «Тарпан», «Бархан»; инструмент;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 (11982).</w:t>
      </w:r>
    </w:p>
    <w:p w14:paraId="67E285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3519D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82C2D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E631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АВГУСТА 1917 было подготовлено СООБЩЕНИЕ О НОЧНЫХ ПОЛЕТАХ ВООБЩЕ И НОЧНОМ КОРРЕКТИРОВАНИИ СТРЕЛЬБЫ, В ЧАСТНОСТИ КОМАНДИРА 41 АВИАЦИОННОГО ОТРЯДА ПОДПОЛКОВНИКА ГЛУБОКОВЕКОВА</w:t>
      </w:r>
    </w:p>
    <w:p w14:paraId="370F34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Идея ночных полетов вообще: решение боевых задач при относительной, в сравнении с днем, безопасности для активно действующих самолетов.</w:t>
      </w:r>
    </w:p>
    <w:p w14:paraId="5D512F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Значение для русской авиации ночных полетов огромно по причине:</w:t>
      </w:r>
    </w:p>
    <w:p w14:paraId="0EA7D2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недостатка технических средств,</w:t>
      </w:r>
    </w:p>
    <w:p w14:paraId="574D69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сравнительного их несовершенства,</w:t>
      </w:r>
    </w:p>
    <w:p w14:paraId="4FE33A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технической отсталости и необходимости продуктивно использовать весь имеющийся запас устарелых, но надежных самолетов.</w:t>
      </w:r>
    </w:p>
    <w:p w14:paraId="5B3994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Ночные полеты, происходя в необычной обстановке, требуют проявления и необычных свойств со стороны летчиков; но этот вопрос, принимая во внимание испытанную доблесть наших летчиков, легко разрешим: необходима только планомерная работа для приобретения навыка (общее руководство, вытекающее из общих целей, в свою очередь вытекающих из общих идей) (9785).</w:t>
      </w:r>
    </w:p>
    <w:p w14:paraId="4AF91E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1B0B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августа 1917 в России накопился большой опыт ночных полетов, который попытался подробно проанализировать один из командиров русских авиаотрядов.</w:t>
      </w:r>
    </w:p>
    <w:p w14:paraId="729C89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Сообщения о ночных полетах вообще и ночном корректировании стрельбы, в частности, командира 41-го авиационного отряда подполковника Глубоковекова:</w:t>
      </w:r>
    </w:p>
    <w:p w14:paraId="7A5890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Идея ночных полетов вообще: решение боевых задач при относительной, в сравнении с днем, безопасности для активно действующих самолетов.</w:t>
      </w:r>
    </w:p>
    <w:p w14:paraId="32A95C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Значение для русской авиации ночных полетов огромно по причине:</w:t>
      </w:r>
    </w:p>
    <w:p w14:paraId="2643BA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недостатка технических средств,</w:t>
      </w:r>
    </w:p>
    <w:p w14:paraId="0F4BC3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сравнительного их несовершенства,</w:t>
      </w:r>
    </w:p>
    <w:p w14:paraId="688763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технической отсталости и необходимости продуктивно использовать весь имеющийся запас устарелых, но надежных самолетов.</w:t>
      </w:r>
    </w:p>
    <w:p w14:paraId="2CFC51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Ночные полеты, происходя в необычной обстановке, требуют проявления и необычных свойств со стороны летчиков; но этот вопрос, принимая во внимание испытанную доблесть наших летчиков, легко разрешим: необходима только планомерная работа для приобретения навыка (общее руководство, вытекающее из общих целей, в свою очередь вытекающих из общих идей).</w:t>
      </w:r>
    </w:p>
    <w:p w14:paraId="66DF31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Раз признана необходимость и возможность ночных полетов с целью решения боевых задач (главная из которых - разведка и разрушение), то появляются новые вопросы о способах выполнения их.</w:t>
      </w:r>
    </w:p>
    <w:p w14:paraId="1B68F4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Отсюда особая работа военного летчика и летчика- наблюдателя по разведке и разрушению целей ночыо.</w:t>
      </w:r>
    </w:p>
    <w:p w14:paraId="247877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Разрушение целей: I) бомбометание и II) артиллерийский огонь.</w:t>
      </w:r>
    </w:p>
    <w:p w14:paraId="3C9C31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Бомбометание.</w:t>
      </w:r>
    </w:p>
    <w:p w14:paraId="4F2F8C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Вероятность попадания больше чем днем, так как меньше высота.</w:t>
      </w:r>
    </w:p>
    <w:p w14:paraId="6E3643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Рамкой служит нормальная видимость.</w:t>
      </w:r>
    </w:p>
    <w:p w14:paraId="32C31C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Подготовительная работа:</w:t>
      </w:r>
    </w:p>
    <w:p w14:paraId="022673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Тренировка летчиков и наблюдателей.</w:t>
      </w:r>
    </w:p>
    <w:p w14:paraId="181B00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Аэродром (общие требования).</w:t>
      </w:r>
    </w:p>
    <w:p w14:paraId="5EEEBD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Освещение его: костры, прожектор.</w:t>
      </w:r>
    </w:p>
    <w:p w14:paraId="07DF9B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Костры, - как определяющие высоту самолета от земли для выравнивания при посадке.</w:t>
      </w:r>
    </w:p>
    <w:p w14:paraId="286B56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Качество аэродрома по линии посадки не определить.</w:t>
      </w:r>
    </w:p>
    <w:p w14:paraId="38D06E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Прожектор: точно освещает линию посадки.</w:t>
      </w:r>
    </w:p>
    <w:p w14:paraId="2F2E55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дальних полетах направленный вертикально луч служит ориентиром самолетам, что позволит удаление на десятки верст.</w:t>
      </w:r>
    </w:p>
    <w:p w14:paraId="1F88F7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Уменьшает возможность заблудиться.</w:t>
      </w:r>
    </w:p>
    <w:p w14:paraId="648EAA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Освещение самолета - энергия-элементы (вес до 30 фунтов).</w:t>
      </w:r>
    </w:p>
    <w:p w14:paraId="502650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Лампочки: 3 освещающих приборы и капельник (для последнего между мотором и капельником - просвечивает).</w:t>
      </w:r>
    </w:p>
    <w:p w14:paraId="68D859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Опознавательные на концах верхней плоскости, бросающие свет на нижнюю (резкость); левая - красная, правая - белая. Дают возможность самолету определить направления и положение в воздухе относительно другого.</w:t>
      </w:r>
    </w:p>
    <w:p w14:paraId="4EDF4E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Групповая работа:</w:t>
      </w:r>
    </w:p>
    <w:p w14:paraId="67DC21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Строго определенный маршрут полета.</w:t>
      </w:r>
    </w:p>
    <w:p w14:paraId="02F701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встречах - расходиться по опознавательным обязательно вправо.</w:t>
      </w:r>
    </w:p>
    <w:p w14:paraId="591107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подлете к аэродрому прожектор опускается, освещая место и направление посадки. С земли сигнал ракетой о посадке. Принимается ракетой садящимся самолетом. Сел, старт свободен, сигнал следующему. Принимается самолетом, сел и т. д.</w:t>
      </w:r>
    </w:p>
    <w:p w14:paraId="7D4D71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 Для действенности артиллерийского огня необходимо корректирование его, что в свою очередь выдвигает вопросы:</w:t>
      </w:r>
    </w:p>
    <w:p w14:paraId="1EF94A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ориентирование ночью;</w:t>
      </w:r>
    </w:p>
    <w:p w14:paraId="5CB044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разведки с артиллерийской целью (над местностью хорошо известной и изученной днем);</w:t>
      </w:r>
    </w:p>
    <w:p w14:paraId="71361A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целеуказания;</w:t>
      </w:r>
    </w:p>
    <w:p w14:paraId="43ABE0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 собственно корректирования стрельбы (техника огня);</w:t>
      </w:r>
    </w:p>
    <w:p w14:paraId="33DB2D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 связи земли с воздушным наблюдателем, так как обратная связь по радио может считаться обеспеченной вполне (ночью радиопередача совершеннее, как показал опыт).</w:t>
      </w:r>
    </w:p>
    <w:p w14:paraId="7A750C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Ночной полет 21/7,23 час. 30 мин. и вытекающие из него ответы на вопросы...</w:t>
      </w:r>
    </w:p>
    <w:p w14:paraId="775D7C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Условия полета:</w:t>
      </w:r>
    </w:p>
    <w:p w14:paraId="588163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атмосферные - воздух влажен, накануне был дождь, ветра нет;</w:t>
      </w:r>
    </w:p>
    <w:p w14:paraId="76C6A9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освещение: на земле костры, небо безоблачное, не мешающее непрерывности лунного освещения;</w:t>
      </w:r>
    </w:p>
    <w:p w14:paraId="3E6988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видимость самолета с земли (начиная с 300 м) очень незначительная.</w:t>
      </w:r>
    </w:p>
    <w:p w14:paraId="719FD6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Выводы:</w:t>
      </w:r>
    </w:p>
    <w:p w14:paraId="1C026F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а) нормальная видимость, необходимая для артиллерийского наблюдателя, при высоте полета в 500 м достигала по радиусу 3 версты; в районе ее (видимости) наблюдатель отлично мог ориентироваться на местности. Величина этого района достаточная для корректирования, ибо за ее пределы артиллерийские снаряды выйти никак не могут; </w:t>
      </w:r>
    </w:p>
    <w:p w14:paraId="247555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ввиду того, что туман (даже влажность) мешает более дальнему наблюдению, ориентирование и связанная с ним разведка должны быть последовательными, переходя от одного ориентира к другому по пути следования к предполагаемому месту отыскиваемой цели. Наблюдатель, идя на высоте 500 м, будет видеть полосу шириной 5-6 верст, что является вполне достаточным. Видимость некоторых протяжений и подробностей рельефа отлична (дороги, реки, леса, строения) благодаря резким теням от предметов, следовательно, разведка над местностью, изученной днем, не представляет трудности: цель может быть найдена, положение ее определено на местности относительно ориентиров и нанесено на карту, что в свою очередь повлечет за собой легкость:</w:t>
      </w:r>
    </w:p>
    <w:p w14:paraId="446409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целеуказания в ординатах на карте;</w:t>
      </w:r>
    </w:p>
    <w:p w14:paraId="4CBC8E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 корректирование артиллерийской стрельбы (раз видна цель, то можно наблюдать и передавать наблюдения) с технической стороны затруднений не представит. Наблюдение должно быть "планным", т. е. аппарат должен находиться над целью (над неприятельским расположением, не выходя за пределы нормальной видимости, указанной для упомянутых выше условий полета в п. "а". Наибольшую трудность представит определение положения директрисы "батарея - цель", но и это достижимо. Надо рассматривать: 1) корректирование стрельбы ночью по уже днем пристреленной цели для выяснения ночной поправки; 2) корректирование пристрелки и стрельбы по цели, отысканной днем; 3) корректирование пристелки и стрельбы по цели, неизвестной днем и обнаруженной ночью. Все эти случаи корректирования с артиллерийской точки зрения, раз наблюдатель видит, не представляют затруднений и разрешимы. Практика показывает продуктивность;</w:t>
      </w:r>
    </w:p>
    <w:p w14:paraId="78AF7B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 связь земли с наблюдателем пока возможно установить световыми сигналами, а впоследствии установкой приемной радио на самолетах.</w:t>
      </w:r>
    </w:p>
    <w:p w14:paraId="7F22C4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 может помешать наблюдателю:</w:t>
      </w:r>
    </w:p>
    <w:p w14:paraId="73E405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Самолеты неприятеля (едва ли).</w:t>
      </w:r>
    </w:p>
    <w:p w14:paraId="0DAC09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Огонь противоаэроплановых батарей.</w:t>
      </w:r>
    </w:p>
    <w:p w14:paraId="1C06AB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Ослепляющие наблюдателя лучи неприятельского прожектора. Третий фактор очень серьезен, ибо может лишить наблюдателя способности видеть; поэтому целью последующих ночных полетов будет:</w:t>
      </w:r>
    </w:p>
    <w:p w14:paraId="46E5DA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выяснение, насколько прожектор в состоянии ослепить наблюдателя и летчика каждого в своей работе?</w:t>
      </w:r>
    </w:p>
    <w:p w14:paraId="7AFFF9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какие возможно принять меры против этого?</w:t>
      </w:r>
    </w:p>
    <w:p w14:paraId="491635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насколько виден самолет с земли для его обстреливания?</w:t>
      </w:r>
    </w:p>
    <w:p w14:paraId="7414F2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 возможно ли с достаточной для стрельбы по самолету точностью определить необходимые данные при полете в темноте, при пролете с опознавательными, при пролете над лучами прожектора?</w:t>
      </w:r>
    </w:p>
    <w:p w14:paraId="62A61B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Задача на ночной полет на высоте 10ОО м. По ориентированию: пройти над определенной местностью 10-12 верст, в район предполагаемых целей; обратно - от найденной цели к позиции батареи по директрисе. Выяснить, насколько точно можно провешать директрису на местности (с целью последующего корректирования) попутно: вопросы разведки цели, ее местоположение по ориентирам на местности, и определение ее положения на карте; заметить и найти место вспышек.</w:t>
      </w:r>
    </w:p>
    <w:p w14:paraId="196B12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корректированию то же, что и в п. "а", кроме того, выяснить следующее: каков размер наблюдаемой площади?</w:t>
      </w:r>
    </w:p>
    <w:p w14:paraId="3BBB73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Глазомерный масштаб: определение величины отклонений разрывов от цели (по направлению и дальности). Насколько виден с воздуха свет лампочки электрического фонаря для определения положения директрисы. Дальность видимости с земли опознавательных самолета.</w:t>
      </w:r>
    </w:p>
    <w:p w14:paraId="214C77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На 1500 м: то же, что и для полета на 1000 м. Главный вопрос: на сколько уменьшается мешающее действие прожектора? Радиус его действительного влияния. Может быть, если нельзя наблюдать на высоте 1000 м, то можно наблюдать на высоте 1500 м, не выходя за пределы нормальной ночной видимости. Действие прожектора: ослепляет ли совершенно; если нет, то мешает ли выполнению задач (по наблюдению, корректированию и технике полета). В последнем случае - что можно предпринять для парализования его действия:</w:t>
      </w:r>
    </w:p>
    <w:p w14:paraId="0D9FF1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уйти из конуса света, мешающего работать (пассивная мера); способы защиты: очки, козырек, щит и т. п.</w:t>
      </w:r>
    </w:p>
    <w:p w14:paraId="4C013B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Как долго и непрерывно может держать прожектор работающий самолет в своих лучах.</w:t>
      </w:r>
    </w:p>
    <w:p w14:paraId="665B5D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Максимальная дальность отлета, когда направленный вверх луч прожектора служит ориентиром.</w:t>
      </w:r>
    </w:p>
    <w:p w14:paraId="5A124E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Особенное значение для ночных полетов детально разработанного плана и педантичного его выполнения.</w:t>
      </w:r>
    </w:p>
    <w:p w14:paraId="0B58A0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Подполковник Глубоковеков" (11999).</w:t>
      </w:r>
    </w:p>
    <w:p w14:paraId="620FE2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734E6B" w14:textId="2B46A146" w:rsidR="002138D7" w:rsidRPr="00FB4F67" w:rsidRDefault="002138D7"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12 (</w:t>
      </w:r>
      <w:r w:rsidRPr="00FB4F67">
        <w:rPr>
          <w:rFonts w:ascii="Times New Roman" w:hAnsi="Times New Roman" w:cs="Times New Roman"/>
          <w:color w:val="0070C0"/>
          <w:sz w:val="16"/>
          <w:szCs w:val="16"/>
        </w:rPr>
        <w:t>25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августа 1917 г. в районе Сморгони артиллерийским огнем подбит немецкий аэроплан, упавший на нашей территорий (23405).</w:t>
      </w:r>
    </w:p>
    <w:p w14:paraId="1094198C" w14:textId="77777777" w:rsidR="002138D7" w:rsidRPr="00FB4F67" w:rsidRDefault="002138D7" w:rsidP="0083075A">
      <w:pPr>
        <w:spacing w:after="0" w:line="240" w:lineRule="auto"/>
        <w:jc w:val="both"/>
        <w:rPr>
          <w:rFonts w:ascii="Times New Roman" w:hAnsi="Times New Roman" w:cs="Times New Roman"/>
          <w:color w:val="0070C0"/>
          <w:sz w:val="16"/>
          <w:szCs w:val="16"/>
        </w:rPr>
      </w:pPr>
    </w:p>
    <w:p w14:paraId="16804ED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35DA4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81D7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12-15 (25-28) августа 1917 в Москве прошло Государственное совещание (2500 участников со всей страны) (1348,86), задуманное как демонстрацию единства революционных сил. Показало падение престижа А.И.К. как у правых, так и у левых и рост авторитета у правых г Л.Корнилова. В речи на совещании потребовал укрепления дисциплины в армии (3908,261).</w:t>
      </w:r>
    </w:p>
    <w:p w14:paraId="7241DF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211791" w14:textId="77777777" w:rsidR="00135C75" w:rsidRPr="002F2FDF" w:rsidRDefault="00135C75"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августа 1917 прошло Государственное совещание в Москве. Созвано Временным правительством. В Совещании приняли участие около 2500 человек, в том числе 488 депутатов Государственной думы всех четырех созывов, 147 гласных городских дум, 117 представителей армии и флота, 313 от кооперативов, 150 от торгово-промышленных кругов и банков, 176 от профсоюзов, 118 от земств; 129 человек представляли Советы крестьянских депутатов и 100 - Советы рабочих и солдатских депутатов; присутствовали также представители интеллигенции (83 человека), национальных организаций (58), духовенства (24) и т.д. Звезды совещания - Керенский и Корнилов, который стал главным кандидатом на пост военного диктатора. Совещание проходило под улюлюканье московского пролетариата, который устроил акции протеста (12629).</w:t>
      </w:r>
    </w:p>
    <w:p w14:paraId="6491FA4D" w14:textId="77777777" w:rsidR="00135C75" w:rsidRPr="002F2FDF" w:rsidRDefault="00135C7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3C5A00" w14:textId="77777777" w:rsidR="00992313" w:rsidRPr="002F2FDF" w:rsidRDefault="00992313" w:rsidP="0083075A">
      <w:pPr>
        <w:pStyle w:val="ae"/>
        <w:spacing w:before="0" w:after="0"/>
        <w:jc w:val="both"/>
        <w:rPr>
          <w:color w:val="000000" w:themeColor="text1"/>
          <w:kern w:val="2"/>
          <w:sz w:val="16"/>
          <w:szCs w:val="16"/>
        </w:rPr>
      </w:pPr>
      <w:r w:rsidRPr="002F2FDF">
        <w:rPr>
          <w:color w:val="000000" w:themeColor="text1"/>
          <w:kern w:val="2"/>
          <w:sz w:val="16"/>
          <w:szCs w:val="16"/>
        </w:rPr>
        <w:t>12 (25) августа 1917 в Москве, как «исторической столице России» открылось так называемое Государственное совещание, на котором присутствовало 2000 делегатов. Совещание было созвано по инициативе Временного Правительства, как писали тогдашние газеты — «под влиянием катастрофических событий последних дней» для борьбы «со смертельной опасностью, нависшей над родиной». Приехавшему Верховному Главнокомандующему генералу Лавру Корнилову была устроена помпезная встреча (17045).</w:t>
      </w:r>
    </w:p>
    <w:p w14:paraId="59559FC5" w14:textId="77777777" w:rsidR="00992313" w:rsidRPr="002F2FDF" w:rsidRDefault="0099231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DF26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12 по 18 (25-31) августа 1917 был Корниловский мятеж, разгромленный КГ (2438,325).</w:t>
      </w:r>
    </w:p>
    <w:p w14:paraId="3FD01A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9944BD"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августа в 1917 году начало Корниловского мятежа (25-31 августа). "Без корниловского мятежа не было бы Ленина". (А.Ф.Керенский). Корнилов требует для себя слишком многого, чего никак не ожидал Керенский - передать ему всю полноту военной и гражданской власти. Керенский объявляет об измене Корнилова, требует себе диктаторские полномочия и занимается созданием Директории, которая возглавила бы борьбу с Корниловым. Спасает положение Петроградский Совет. Получив оружие от Керенского, он останавливает Корнилова и арестовывает (14993).</w:t>
      </w:r>
    </w:p>
    <w:p w14:paraId="6BEEC260"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p>
    <w:p w14:paraId="41A3D42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2F2FDF">
        <w:rPr>
          <w:rFonts w:ascii="Times New Roman" w:hAnsi="Times New Roman" w:cs="Times New Roman"/>
          <w:i/>
          <w:iCs/>
          <w:color w:val="000000" w:themeColor="text1"/>
          <w:kern w:val="2"/>
          <w:sz w:val="16"/>
          <w:szCs w:val="16"/>
        </w:rPr>
        <w:t>За</w:t>
      </w:r>
      <w:r w:rsidRPr="002F2FDF">
        <w:rPr>
          <w:rFonts w:ascii="Times New Roman" w:hAnsi="Times New Roman" w:cs="Times New Roman"/>
          <w:i/>
          <w:iCs/>
          <w:color w:val="000000" w:themeColor="text1"/>
          <w:kern w:val="2"/>
          <w:sz w:val="16"/>
          <w:szCs w:val="16"/>
          <w:lang w:val="en-US"/>
        </w:rPr>
        <w:t xml:space="preserve"> </w:t>
      </w:r>
      <w:r w:rsidRPr="002F2FDF">
        <w:rPr>
          <w:rFonts w:ascii="Times New Roman" w:hAnsi="Times New Roman" w:cs="Times New Roman"/>
          <w:i/>
          <w:iCs/>
          <w:color w:val="000000" w:themeColor="text1"/>
          <w:kern w:val="2"/>
          <w:sz w:val="16"/>
          <w:szCs w:val="16"/>
        </w:rPr>
        <w:t>рубежом</w:t>
      </w:r>
      <w:r w:rsidRPr="002F2FDF">
        <w:rPr>
          <w:rFonts w:ascii="Times New Roman" w:hAnsi="Times New Roman" w:cs="Times New Roman"/>
          <w:i/>
          <w:iCs/>
          <w:color w:val="000000" w:themeColor="text1"/>
          <w:kern w:val="2"/>
          <w:sz w:val="16"/>
          <w:szCs w:val="16"/>
          <w:lang w:val="en-US"/>
        </w:rPr>
        <w:t>:</w:t>
      </w:r>
    </w:p>
    <w:p w14:paraId="450F09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6CE5AC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August 25, 1917 The 12-cylinder Liberty motor passed a 50-hour test with a power output of 301 to 320 horsepower, preliminary to being ordered into mass production (1090).</w:t>
      </w:r>
    </w:p>
    <w:p w14:paraId="421AE4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1CCABB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августа 1917 перед запуском в серийное производство 12-цилиндровый мотор Либерти прошел 50-часовые испытания с выходом мощности 301-320 нр (1090).</w:t>
      </w:r>
    </w:p>
    <w:p w14:paraId="287C16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78F6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августа 1917 было восстание арабов, подстрекаемых Лоуренсом Аравийским, в Османской империи и захватили порт Акаба в Палестине (3481).</w:t>
      </w:r>
    </w:p>
    <w:p w14:paraId="2A9D6A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07B36D" w14:textId="77777777" w:rsidR="008E0E67"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67B5DC6" w14:textId="77777777" w:rsidR="008E0E67" w:rsidRPr="002F2FDF" w:rsidRDefault="008E0E6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C95477" w14:textId="77777777" w:rsidR="008E0E67" w:rsidRPr="002F2FDF" w:rsidRDefault="008E0E6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августа 1917 г. Резолюция о причинах падения добычи донецкого топлива, принятая Съездом представителей заинтересованных районов по донецкому топливу</w:t>
      </w:r>
    </w:p>
    <w:p w14:paraId="37BA2369" w14:textId="77777777" w:rsidR="008E0E67" w:rsidRPr="002F2FDF" w:rsidRDefault="008E0E6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61</w:t>
      </w:r>
    </w:p>
    <w:p w14:paraId="7AED463D" w14:textId="77777777" w:rsidR="008E0E67" w:rsidRPr="002F2FDF" w:rsidRDefault="008E0E6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Недостаток как общего количества рабочих, так в особенности квалифицированных рабочих с момента первой мобилизации и увеличение относительного количества малопроизводительных элементов рабочих в виде военнопленных, женщин и подростков.</w:t>
      </w:r>
    </w:p>
    <w:p w14:paraId="7BAC7CDB" w14:textId="77777777" w:rsidR="008E0E67" w:rsidRPr="002F2FDF" w:rsidRDefault="008E0E6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Общая усталость рабочих и технического персонала.</w:t>
      </w:r>
    </w:p>
    <w:p w14:paraId="233ED093" w14:textId="77777777" w:rsidR="008E0E67" w:rsidRPr="002F2FDF" w:rsidRDefault="008E0E6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Уменьшение числа выходов рабочих и падение производительности труда.</w:t>
      </w:r>
    </w:p>
    <w:p w14:paraId="3BD46A59" w14:textId="77777777" w:rsidR="008E0E67" w:rsidRPr="002F2FDF" w:rsidRDefault="008E0E6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Отсутствие контакта между организациями рабочих и горнопромышленников, без которого невозможно, при настоящих тяжелых условиях, осуществление той дисциплины среди работников предприятия, которая одна может поддержать нормальный ход горных предприятий.</w:t>
      </w:r>
    </w:p>
    <w:p w14:paraId="5F00B517" w14:textId="77777777" w:rsidR="008E0E67" w:rsidRPr="002F2FDF" w:rsidRDefault="008E0E6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Неурегулированность вопроса о заработной плате, при отсутствии соглашения о ней между промышленниками и рабочими.</w:t>
      </w:r>
    </w:p>
    <w:p w14:paraId="39302E9D" w14:textId="77777777" w:rsidR="008E0E67" w:rsidRPr="002F2FDF" w:rsidRDefault="008E0E6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Изношенность технического оборудования, что в недалеком будущем при крайнем недостатке материалов грозит резким понижением производительности рудников.</w:t>
      </w:r>
    </w:p>
    <w:p w14:paraId="08790F29" w14:textId="77777777" w:rsidR="008E0E67" w:rsidRPr="002F2FDF" w:rsidRDefault="008E0E6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Уменьшение подготовительных работ.</w:t>
      </w:r>
    </w:p>
    <w:p w14:paraId="27474E5F" w14:textId="77777777" w:rsidR="008E0E67" w:rsidRPr="002F2FDF" w:rsidRDefault="008E0E6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Ухудшение технических условий работ (удлинение откаточных путей и др.).</w:t>
      </w:r>
    </w:p>
    <w:p w14:paraId="75964802" w14:textId="77777777" w:rsidR="008E0E67" w:rsidRPr="002F2FDF" w:rsidRDefault="008E0E6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Затруднения в снабжении, вызванные общей разрухой и отсутствием местных органов для снабжения Донецкого бассейна всеми необходимыми продуктами продовольствия и материалами.</w:t>
      </w:r>
    </w:p>
    <w:p w14:paraId="21556918" w14:textId="77777777" w:rsidR="008E0E67" w:rsidRPr="002F2FDF" w:rsidRDefault="008E0E6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Финансовые затруднения рудников, главным образом средней и мелкой промышленности.</w:t>
      </w:r>
    </w:p>
    <w:p w14:paraId="64AD74A4" w14:textId="77777777" w:rsidR="008E0E67" w:rsidRPr="002F2FDF" w:rsidRDefault="008E0E6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Отсутствие достаточного количества подъездных путей.</w:t>
      </w:r>
    </w:p>
    <w:p w14:paraId="6D6096E2" w14:textId="77777777" w:rsidR="008E0E67" w:rsidRPr="002F2FDF" w:rsidRDefault="008E0E6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Затруднения гужевого подвоза.</w:t>
      </w:r>
    </w:p>
    <w:p w14:paraId="2D895E1B" w14:textId="77777777" w:rsidR="008E0E67" w:rsidRPr="002F2FDF" w:rsidRDefault="008E0E6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Делегатский съезд представителей заинтересованных районов по донецкому топливу в Харькове 30 июля—1 августа и 11—13 августа 1917 г. Харьков, 1917, стр. 26—27. Журн. «Известия Особого совещания по топливу», 1917, № 6, стр. 18—19.</w:t>
      </w:r>
    </w:p>
    <w:p w14:paraId="09EBEAFC" w14:textId="77777777" w:rsidR="008E0E67" w:rsidRPr="002F2FDF" w:rsidRDefault="008E0E6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Принятая съездом представителей заинтересованных районов по донецкому топливу резолюция о причинах падения добычи донецкого топлива и резолюция о мерах к поднятию угледобычи были оглашены на VII Всероссийском съезде представителей районных совещаний по топливу, состоявшемся в Москве 27—30 августа 1917 г. Съезд признал необходимым в спешном порядке принять меры к проведению в жизнь указанных делегатским съездом мероприятий для поднятия добычи угля. (Известия Особого совещания по топливу, 1917, № 6, стр. 17—19) (15701).</w:t>
      </w:r>
    </w:p>
    <w:p w14:paraId="3AA2695D" w14:textId="77777777" w:rsidR="008E0E67" w:rsidRPr="002F2FDF" w:rsidRDefault="008E0E67" w:rsidP="0083075A">
      <w:pPr>
        <w:spacing w:after="0" w:line="240" w:lineRule="auto"/>
        <w:jc w:val="both"/>
        <w:rPr>
          <w:rFonts w:ascii="Times New Roman" w:hAnsi="Times New Roman" w:cs="Times New Roman"/>
          <w:color w:val="000000" w:themeColor="text1"/>
          <w:kern w:val="2"/>
          <w:sz w:val="16"/>
          <w:szCs w:val="16"/>
        </w:rPr>
      </w:pPr>
    </w:p>
    <w:p w14:paraId="5B853B6F" w14:textId="7D2DD8CE" w:rsidR="007312B4" w:rsidRDefault="007312B4"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135E304B" w14:textId="77777777" w:rsidR="007312B4" w:rsidRDefault="007312B4"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1F6F6D03" w14:textId="77777777" w:rsidR="007312B4" w:rsidRPr="00FB4F67" w:rsidRDefault="007312B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Вечером 26 августа 1917 г. в результате успешной пулеметной стрельбы над Дунаем сбит вражеский гидроаэроплан. Аппарат загорелся в воздухе и упал в расположении противника (23405).</w:t>
      </w:r>
    </w:p>
    <w:p w14:paraId="10B5D5AC" w14:textId="77777777" w:rsidR="007312B4" w:rsidRPr="00FB4F67" w:rsidRDefault="007312B4" w:rsidP="0083075A">
      <w:pPr>
        <w:spacing w:after="0" w:line="240" w:lineRule="auto"/>
        <w:jc w:val="both"/>
        <w:rPr>
          <w:rFonts w:ascii="Times New Roman" w:hAnsi="Times New Roman" w:cs="Times New Roman"/>
          <w:color w:val="0070C0"/>
          <w:sz w:val="16"/>
          <w:szCs w:val="16"/>
        </w:rPr>
      </w:pPr>
    </w:p>
    <w:p w14:paraId="03B0E7E2" w14:textId="2145F1E9" w:rsidR="00C0695C"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lastRenderedPageBreak/>
        <w:t>Жизнь и внутренняя политика:</w:t>
      </w:r>
      <w:r w:rsidR="00C0695C" w:rsidRPr="002F2FDF">
        <w:rPr>
          <w:rFonts w:ascii="Times New Roman" w:hAnsi="Times New Roman" w:cs="Times New Roman"/>
          <w:iCs/>
          <w:color w:val="000000" w:themeColor="text1"/>
          <w:kern w:val="2"/>
          <w:sz w:val="16"/>
          <w:szCs w:val="16"/>
        </w:rPr>
        <w:t>:</w:t>
      </w:r>
    </w:p>
    <w:p w14:paraId="34BC8D70" w14:textId="77777777" w:rsidR="00C0695C" w:rsidRPr="002F2FDF" w:rsidRDefault="00C0695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8ACE57"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августа в 1917 году в 6.10 утра царская семья покинула Царское село и под конвоем от Временного правительства была отправлена по железной дороге в сибирскую ссылку (14994).</w:t>
      </w:r>
    </w:p>
    <w:p w14:paraId="281AB27A"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p>
    <w:p w14:paraId="233DC81E"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августа в 1917 году уход из правительства кадетов, поддержавших Корнилова в ответ на требование Керенского о предоставлении ему диктаторских полномочий (14994).</w:t>
      </w:r>
    </w:p>
    <w:p w14:paraId="1432D98E"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p>
    <w:p w14:paraId="7DD0C7F7" w14:textId="77777777" w:rsidR="00992313"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D945573" w14:textId="77777777" w:rsidR="00992313" w:rsidRPr="002F2FDF" w:rsidRDefault="0099231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9F0D65" w14:textId="77777777" w:rsidR="00992313" w:rsidRPr="002F2FDF" w:rsidRDefault="0099231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августа 1917 французы оттеснили немцев на 10—15 км к северу от города к линии Безонво-Бомон-Самонье-Бетенкур-Гокур-Авокур. В результате французская армия вернулась на позиции, которая она занимала до начала немецкого наступления под Верденом в феврале 1916 года. Успех был достигнут ценой фантастической «работы» артиллерии: в ходе этого наступления французы израсходовали 4 миллиона снарядов или по 6 тонн (!) взрывчатки на один метр линии фронта. Для сравнения, за все время боев под Верденом в 1916 года на один метр линии фронта было растрачено лишь по тонне взрывчатки (17045).</w:t>
      </w:r>
    </w:p>
    <w:p w14:paraId="46D1B5C1" w14:textId="77777777" w:rsidR="00992313" w:rsidRPr="002F2FDF" w:rsidRDefault="0099231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3693B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6CCBA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14F7D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августа 1917 г. ВрИО начальника Управления ВВФ полковник Ульянин и его помощник по технической части полковник Гончаров подписа</w:t>
      </w:r>
      <w:r w:rsidRPr="002F2FDF">
        <w:rPr>
          <w:rFonts w:ascii="Times New Roman" w:hAnsi="Times New Roman" w:cs="Times New Roman"/>
          <w:color w:val="000000" w:themeColor="text1"/>
          <w:kern w:val="2"/>
          <w:sz w:val="16"/>
          <w:szCs w:val="16"/>
        </w:rPr>
        <w:softHyphen/>
        <w:t>ли приказ, разрешающий строительство Главного аэродрома на куплен</w:t>
      </w:r>
      <w:r w:rsidRPr="002F2FDF">
        <w:rPr>
          <w:rFonts w:ascii="Times New Roman" w:hAnsi="Times New Roman" w:cs="Times New Roman"/>
          <w:color w:val="000000" w:themeColor="text1"/>
          <w:kern w:val="2"/>
          <w:sz w:val="16"/>
          <w:szCs w:val="16"/>
        </w:rPr>
        <w:softHyphen/>
        <w:t>ных землях, и распоряжение о выделении на его строительство и на его оборудование смету в объеме 12650000 рублей. Ровно за месяц до Ок</w:t>
      </w:r>
      <w:r w:rsidRPr="002F2FDF">
        <w:rPr>
          <w:rFonts w:ascii="Times New Roman" w:hAnsi="Times New Roman" w:cs="Times New Roman"/>
          <w:color w:val="000000" w:themeColor="text1"/>
          <w:kern w:val="2"/>
          <w:sz w:val="16"/>
          <w:szCs w:val="16"/>
        </w:rPr>
        <w:softHyphen/>
        <w:t>тябрьской революции, 25 сентября, под Херсоном развернулись актив</w:t>
      </w:r>
      <w:r w:rsidRPr="002F2FDF">
        <w:rPr>
          <w:rFonts w:ascii="Times New Roman" w:hAnsi="Times New Roman" w:cs="Times New Roman"/>
          <w:color w:val="000000" w:themeColor="text1"/>
          <w:kern w:val="2"/>
          <w:sz w:val="16"/>
          <w:szCs w:val="16"/>
        </w:rPr>
        <w:softHyphen/>
        <w:t>ные строительные работы. Правда, смету вскоре же сократили. Но шла война, и потому из военного фонда добавили 2000000 рублей, а Управле</w:t>
      </w:r>
      <w:r w:rsidRPr="002F2FDF">
        <w:rPr>
          <w:rFonts w:ascii="Times New Roman" w:hAnsi="Times New Roman" w:cs="Times New Roman"/>
          <w:color w:val="000000" w:themeColor="text1"/>
          <w:kern w:val="2"/>
          <w:sz w:val="16"/>
          <w:szCs w:val="16"/>
        </w:rPr>
        <w:softHyphen/>
        <w:t>ние ВВФ 6 ноября 1917 г. выделило еще 5590000 рублей. Ведь испыта</w:t>
      </w:r>
      <w:r w:rsidRPr="002F2FDF">
        <w:rPr>
          <w:rFonts w:ascii="Times New Roman" w:hAnsi="Times New Roman" w:cs="Times New Roman"/>
          <w:color w:val="000000" w:themeColor="text1"/>
          <w:kern w:val="2"/>
          <w:sz w:val="16"/>
          <w:szCs w:val="16"/>
        </w:rPr>
        <w:softHyphen/>
        <w:t>тельный центр должен работать и на фронт.</w:t>
      </w:r>
    </w:p>
    <w:p w14:paraId="1A75C0D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Строительные же работы в Херсоне некоторое время продолжались и после революции. Оттуда в адрес Увофлота, теперь уже советского, не</w:t>
      </w:r>
      <w:r w:rsidRPr="002F2FDF">
        <w:rPr>
          <w:rFonts w:ascii="Times New Roman" w:hAnsi="Times New Roman" w:cs="Times New Roman"/>
          <w:color w:val="000000" w:themeColor="text1"/>
          <w:kern w:val="2"/>
          <w:sz w:val="16"/>
          <w:szCs w:val="16"/>
        </w:rPr>
        <w:softHyphen/>
        <w:t>прерывно продолжали идти запросы на денежные ссуды. Обновленный состав Увофлота не упускал из своего поля зрения строящийся испытатель</w:t>
      </w:r>
      <w:r w:rsidRPr="002F2FDF">
        <w:rPr>
          <w:rFonts w:ascii="Times New Roman" w:hAnsi="Times New Roman" w:cs="Times New Roman"/>
          <w:color w:val="000000" w:themeColor="text1"/>
          <w:kern w:val="2"/>
          <w:sz w:val="16"/>
          <w:szCs w:val="16"/>
        </w:rPr>
        <w:softHyphen/>
        <w:t>ный центр, всячески намереваясь оказать ему помощь. Последний денеж</w:t>
      </w:r>
      <w:r w:rsidRPr="002F2FDF">
        <w:rPr>
          <w:rFonts w:ascii="Times New Roman" w:hAnsi="Times New Roman" w:cs="Times New Roman"/>
          <w:color w:val="000000" w:themeColor="text1"/>
          <w:kern w:val="2"/>
          <w:sz w:val="16"/>
          <w:szCs w:val="16"/>
        </w:rPr>
        <w:softHyphen/>
        <w:t>ный перевод от имени Увофлота был сделан 8 (21) декабря 1917 г., но... эти деньги до Херсона не дошли. Спустя 9 месяцев, 11 сентября 1918 г., в Уп</w:t>
      </w:r>
      <w:r w:rsidRPr="002F2FDF">
        <w:rPr>
          <w:rFonts w:ascii="Times New Roman" w:hAnsi="Times New Roman" w:cs="Times New Roman"/>
          <w:color w:val="000000" w:themeColor="text1"/>
          <w:kern w:val="2"/>
          <w:sz w:val="16"/>
          <w:szCs w:val="16"/>
        </w:rPr>
        <w:softHyphen/>
        <w:t>равление Воздухофлота пришла очередная телеграмма [39]: “Прошу пе</w:t>
      </w:r>
      <w:r w:rsidRPr="002F2FDF">
        <w:rPr>
          <w:rFonts w:ascii="Times New Roman" w:hAnsi="Times New Roman" w:cs="Times New Roman"/>
          <w:color w:val="000000" w:themeColor="text1"/>
          <w:kern w:val="2"/>
          <w:sz w:val="16"/>
          <w:szCs w:val="16"/>
        </w:rPr>
        <w:softHyphen/>
        <w:t>ревода денег в Херсон авиакомпании. Декабрьская ассигновка задержа</w:t>
      </w:r>
      <w:r w:rsidRPr="002F2FDF">
        <w:rPr>
          <w:rFonts w:ascii="Times New Roman" w:hAnsi="Times New Roman" w:cs="Times New Roman"/>
          <w:color w:val="000000" w:themeColor="text1"/>
          <w:kern w:val="2"/>
          <w:sz w:val="16"/>
          <w:szCs w:val="16"/>
        </w:rPr>
        <w:softHyphen/>
        <w:t>на войной с Украиной. Перевод повторите. Без денег пропадет часть ма</w:t>
      </w:r>
      <w:r w:rsidRPr="002F2FDF">
        <w:rPr>
          <w:rFonts w:ascii="Times New Roman" w:hAnsi="Times New Roman" w:cs="Times New Roman"/>
          <w:color w:val="000000" w:themeColor="text1"/>
          <w:kern w:val="2"/>
          <w:sz w:val="16"/>
          <w:szCs w:val="16"/>
        </w:rPr>
        <w:softHyphen/>
        <w:t>териалов. Тлг. № 327. Фан-дер-Флит”.</w:t>
      </w:r>
    </w:p>
    <w:p w14:paraId="3273ACA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следующий день после подачи телеграммы №327 Фан-дер-Флит повторил запрос: “Петроград. Авиасовету. Прошу содействовать перево</w:t>
      </w:r>
      <w:r w:rsidRPr="002F2FDF">
        <w:rPr>
          <w:rFonts w:ascii="Times New Roman" w:hAnsi="Times New Roman" w:cs="Times New Roman"/>
          <w:color w:val="000000" w:themeColor="text1"/>
          <w:kern w:val="2"/>
          <w:sz w:val="16"/>
          <w:szCs w:val="16"/>
        </w:rPr>
        <w:softHyphen/>
        <w:t>ду Увофлотом отпущенного кредита авиационных заводов на сумму 3300000 руб. Деньги крайне нужны. Тлг. № 328. Фан-дер-Флит” [39].</w:t>
      </w:r>
    </w:p>
    <w:p w14:paraId="1AB282F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этом переписка оборвалась - к Херсону подступила война. Вре</w:t>
      </w:r>
      <w:r w:rsidRPr="002F2FDF">
        <w:rPr>
          <w:rFonts w:ascii="Times New Roman" w:hAnsi="Times New Roman" w:cs="Times New Roman"/>
          <w:color w:val="000000" w:themeColor="text1"/>
          <w:kern w:val="2"/>
          <w:sz w:val="16"/>
          <w:szCs w:val="16"/>
        </w:rPr>
        <w:softHyphen/>
        <w:t>менными хозяевами этих краев стали петлюровцы, австро-германские и турецкие интервенты, а позже и французские. Значительная часть специ</w:t>
      </w:r>
      <w:r w:rsidRPr="002F2FDF">
        <w:rPr>
          <w:rFonts w:ascii="Times New Roman" w:hAnsi="Times New Roman" w:cs="Times New Roman"/>
          <w:color w:val="000000" w:themeColor="text1"/>
          <w:kern w:val="2"/>
          <w:sz w:val="16"/>
          <w:szCs w:val="16"/>
        </w:rPr>
        <w:softHyphen/>
        <w:t>алистов Главного Авиационного центра осталась на юге и попала с вол</w:t>
      </w:r>
      <w:r w:rsidRPr="002F2FDF">
        <w:rPr>
          <w:rFonts w:ascii="Times New Roman" w:hAnsi="Times New Roman" w:cs="Times New Roman"/>
          <w:color w:val="000000" w:themeColor="text1"/>
          <w:kern w:val="2"/>
          <w:sz w:val="16"/>
          <w:szCs w:val="16"/>
        </w:rPr>
        <w:softHyphen/>
        <w:t>ной эмиграции в зарубежные страны. Последние самолёты из Херсона выводили летчики А.Е. Раевский и Н.А. Жемчужин.</w:t>
      </w:r>
    </w:p>
    <w:p w14:paraId="4D58105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Главного аэродрома А.Н. Вегенер 23 февраля 1918 г. всту</w:t>
      </w:r>
      <w:r w:rsidRPr="002F2FDF">
        <w:rPr>
          <w:rFonts w:ascii="Times New Roman" w:hAnsi="Times New Roman" w:cs="Times New Roman"/>
          <w:color w:val="000000" w:themeColor="text1"/>
          <w:kern w:val="2"/>
          <w:sz w:val="16"/>
          <w:szCs w:val="16"/>
        </w:rPr>
        <w:softHyphen/>
        <w:t>пил в Красную Армию и, начиная с 1918 г., добивался возобновления ра</w:t>
      </w:r>
      <w:r w:rsidRPr="002F2FDF">
        <w:rPr>
          <w:rFonts w:ascii="Times New Roman" w:hAnsi="Times New Roman" w:cs="Times New Roman"/>
          <w:color w:val="000000" w:themeColor="text1"/>
          <w:kern w:val="2"/>
          <w:sz w:val="16"/>
          <w:szCs w:val="16"/>
        </w:rPr>
        <w:softHyphen/>
        <w:t>боты Главного аэродрома. В 1918 году создается Совет Главного аэродро</w:t>
      </w:r>
      <w:r w:rsidRPr="002F2FDF">
        <w:rPr>
          <w:rFonts w:ascii="Times New Roman" w:hAnsi="Times New Roman" w:cs="Times New Roman"/>
          <w:color w:val="000000" w:themeColor="text1"/>
          <w:kern w:val="2"/>
          <w:sz w:val="16"/>
          <w:szCs w:val="16"/>
        </w:rPr>
        <w:softHyphen/>
        <w:t>ма, он назначается председателем Совета (11425).</w:t>
      </w:r>
    </w:p>
    <w:p w14:paraId="4677605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B81D8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E50E2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135B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w:t>
      </w:r>
      <w:r w:rsidR="00783C50" w:rsidRPr="002F2FDF">
        <w:rPr>
          <w:rFonts w:ascii="Times New Roman" w:hAnsi="Times New Roman" w:cs="Times New Roman"/>
          <w:color w:val="000000" w:themeColor="text1"/>
          <w:kern w:val="2"/>
          <w:sz w:val="16"/>
          <w:szCs w:val="16"/>
        </w:rPr>
        <w:t>7</w:t>
      </w:r>
      <w:r w:rsidRPr="002F2FDF">
        <w:rPr>
          <w:rFonts w:ascii="Times New Roman" w:hAnsi="Times New Roman" w:cs="Times New Roman"/>
          <w:color w:val="000000" w:themeColor="text1"/>
          <w:kern w:val="2"/>
          <w:sz w:val="16"/>
          <w:szCs w:val="16"/>
        </w:rPr>
        <w:t>) августа 1917 г. старый Казанский завод был разрушен до основания взрывами.</w:t>
      </w:r>
    </w:p>
    <w:p w14:paraId="71BBB0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первые месяцы мировой войны в связи с колоссальным расходом боевых припасов предпринято было капитальное расширение казенных пороховых заводов — Казанского, Шостенского и Охтенского. Для первых двух заводов это, собственно говоря, было даже не расширение, а постройка рядом со старым заводом второго, совершенно нового завода, емкостью равного старому. </w:t>
      </w:r>
    </w:p>
    <w:p w14:paraId="4873D6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Расширение Казанского завода, то есть постройка второго Казанского завода, начата была в 1915 г., закончена в 1916 году. В начале 1917 г. он был пущен в действие.</w:t>
      </w:r>
    </w:p>
    <w:p w14:paraId="1EEC2D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Первое краткое письменное донесение завода в Главное артиллерийское управление дает следующую картину катастрофы. </w:t>
      </w:r>
    </w:p>
    <w:p w14:paraId="658C07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"14 августа, около 2 часов 30 мин. дня, от невыясненной пока причины возник пожар на станции Пороховая. Огонь перекинулся на здания Казанского артиллерийского склада и быстро охватил весь район этого склада. Начались взрывы хранящихся там снарядов и боевых припасов. Снаряды целиком и в осколках полетели во все стороны и в большом числе обрушились на территорию порохового завода. Судя по количеству разбросанных по заводу снарядов и особенно по густоте их расположения на местности, заводу пришлось подвергнуться сильной и продолжительной бомбардировке, последствием чего было массовое разрушение жилых и нежилых заводских строений. Около 3 час. 30 мин. произошел первый взрыв пороха на заводе, за которым последовало еще несколько, различной силы. Эти взрывы довершили разрушение завода. Всего пострадало 542 здания, из которых 154 подверглись совершенному разрушению и 193 повреждены". </w:t>
      </w:r>
    </w:p>
    <w:p w14:paraId="481AFC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Картину эту дополняет выдержка из другого телеграфного донесения, посланного заводом в ГАУ 21 августа: "Пожар начался 14 августа в 2 часа 30 мин. дня и затих только к вечеру 18 августа, но взрывы снарядов продолжаются и теперь", то есть 21 августа. </w:t>
      </w:r>
    </w:p>
    <w:p w14:paraId="4E54BB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Ниже приведены некоторые показания бывших на месте катастрофы служащих и рабочих завода, данные ими при производстве дознания по поводу обстоятельств взрыва.</w:t>
      </w:r>
    </w:p>
    <w:p w14:paraId="23A6F5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А.И. Латинский, мастер электротехнической части, показал: "14 августа я работал на новой электрической станции. Около 2 часов 25 мин. со стороны артиллерийского склада раздался шум и показался дым. Последовали взрывы возрастающей силы. Взрывы все усиливались, и на нашу электрическую станцию стали падать снаряды, пробивая крышу, стены и железобетонные переборки. Рабочие разбежались. Старший кочегар, моторист и я остались здесь. Последовали сильные взрывы в заводе. Здание станции сотрясалось. Мы погасили форсунки и травили пар. Питательная турбина у нас действовала до 12 часов ночи. Я был в центре Мукденского сражения, но оно ничто сравнительно с тем, что пришлось пережить мне в станции. В конце концов я впал в беспамятство. На другой день, когда я вышел из здания, вся земля была усыпана осколками и снарядами. Некоторые снаряды рвались. Падали новые". </w:t>
      </w:r>
    </w:p>
    <w:p w14:paraId="572BC6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В.А. Алексеев, монтер: "Был в районном Комитете рабочих, когда послышались взрывы. Мы побежали в завод. Оказалось, что происходят взрывы на ст. Пороховая. Мы задержались, чтобы спасти семью заведующего милицией Кириякова. Двинулись дальше, но остановились около новых нефтяных цистерн, так как снаряды сыпались в большом количестве. В это время снарядами сорвало крышу с цистерн. Тотчас за этим взорвались в заводе сараи с порохом. Мы спрятались в сточной канаве около р. Казанки. В это время последовали взрывы нижних нефтяных цистерн. Меня оглушило и вырвало из рук ребенка Кириякова. Мы оставались в канаве до тех пор, пока горящая нефть не начала нас затоплять. Я бросился в реку Казанку и перешел ее. Платье мое от жара горящих цистерн высохло на мне и даже частью истлело. Снаряды сыпались беспрестанно. В это время загорелись верхние нефтяные цистерны". </w:t>
      </w:r>
    </w:p>
    <w:p w14:paraId="45731E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В.М. Кузьмин, техник: "Я находился в пироксилиновой конторе, когда раздался первый взрыв. Я выбежал за м"ешку кислот. Второй взрыв застал меня там, причем дверью мне разбило руку и затылок. Я поспешил в контору. Начались беспрерывные взрывы. С час мы пробыли в конторе, но когда снаряды начали пробивать стены, мы с заведующим вторым производством побежали к машинному дому. Не успели подойти к нему, как меня сшибло с ног. Кругом дождем падали снаряды. Я хотел спастись от них и вбежал в прихожую машинного дома. Здесь меня застиг взрыв громадной силы. Здание рушилось. Я вылез из-под обломков, раненный в голову. Крутом меня горел разбросанный взрывом порох. В разрушенной прихожей здания я увидел инженера Егорова, который стоял окровавленный. Я схватил его за руку и потащил с трудом к Пороховой линии. Он жаловался на боль ноги. Когда я пробрался ползком под спутанной проволокой, раздался сильнейший взрыв. Я впал в беспамятство". </w:t>
      </w:r>
    </w:p>
    <w:p w14:paraId="6C5DE5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А.Н. Харин, техник: "Когда раздался первый взрыв, я был в Управлении завода. После второго взрыва побежал в завод. Около машинного дома догнал начальника завода Лукницкого и с ним побежал в пироксилиновый отдел. Через наши головы стали перелетать снаряды. Нас догнал техник Кравец и советовал вернуться обратно. Начальник завода не хотел покинуть завод и предложил мне ехать с ним в Новый Пороховой. Мы подъехали к машинному зданию. Снаряды падали дождем. Мы вошли в здание кислотной. В это время последовали сильные взрывы. Посыпались рамы и штукатурка. С нас были сорваны шапки. Мы вышли на площадь перед зданием и побежали к лаборатории. Сильнейший взрыв нас отбросил друг от друга. В это время я легко был ранен в бок. Когда я снова приблизился к Лукницкому, то заметил, что у него оторвана часть правой руки. Падение снарядов было столь частым, что падали убитые и раненные при полете голуби". </w:t>
      </w:r>
    </w:p>
    <w:p w14:paraId="69398F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Т.С. Егоров, заведующий производствами: "В момент взрыва я был в пироксилиновой конторе. Я направился к азотному заводу. Не успел дойти туда, как раздался сильный взрыв и меня покатило по тротуару. Я вернулся в здание и все время находился на лестнице моей конторы, откуда было видно многое. После каждого взрыва — новые все учащались. Вся площадь пироксилинового отдела усыпалась снарядами и трубками. Ко мне прибежали старшие рабочие и мастера, и на их вопросы, что им делать, я говорил: уходить с завода, как можно скорее. Многие рабочие спрашивали меня, почему же остаюсь я. Я отвечал, что, как заведующий, должен уйти последним. Я могу засвидетельствовать, что многие рабочие показали много верности долгу и много мужества. Некоторые заявляли, что без меня не уйдут. Когда взрывы стали приближаться к заводу и само здание, где мы находились, стало шататься, я, дежурный по пироксилиновому — Кузьмин и несколько рабочих поспешили к машинному дому. Раздался оглушительный взрыв, и пространство между мною и домом было засыпано снарядами. Я перебрался в машинный дом, где нашел </w:t>
      </w:r>
      <w:r w:rsidRPr="002F2FDF">
        <w:rPr>
          <w:rFonts w:ascii="Times New Roman" w:hAnsi="Times New Roman" w:cs="Times New Roman"/>
          <w:color w:val="000000" w:themeColor="text1"/>
          <w:kern w:val="2"/>
          <w:sz w:val="16"/>
          <w:szCs w:val="16"/>
        </w:rPr>
        <w:lastRenderedPageBreak/>
        <w:t xml:space="preserve">несколько рабочих. Последние, оберегая меня, искали для меня безопасное место. Когда мы находились у дверей котельной, раздался оглушительный взрыв, и когда я очнулся, то увидел перед собою яму, образовавшуюся в полу машинного дома, в которой лежали убитыми двое из рабочих, охранявших меня. Я, израненный, выбежал на двор. Уйти с завода у меня не было сил. Я заполз в пустой, разбитый взрывами погребок. Скоро направо и налево от меня последовали взрывы в пороходельных зданиях. Через некоторое время последовал взрыв необычайной силы. Я истекал кровью в погребке более часа. Меня нашли там мастера и вынесли под непрекращающимися взрывами". </w:t>
      </w:r>
    </w:p>
    <w:p w14:paraId="603F35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Уже эти отрывочные эпизоды, несвязно рассказанные участниками катастрофы, дают ясное понятие о том, какой неописуемый ад представляет собою завод — пороховой или взрывчатых веществ, охваченный пожаром или взрывами. </w:t>
      </w:r>
    </w:p>
    <w:p w14:paraId="73FA8D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При взрыве Казанского завода пострадали: начальник завода инженер В.В. Лукницкий — ранен смертельно; заведующий производствами инженер Г.С. Егоров — тяжело ранен и контужен; техник А.Н. Харин — легко ранен; убито 8 рабочих; тяжело ранено 20 рабочих и легко — 60 рабочих. </w:t>
      </w:r>
    </w:p>
    <w:p w14:paraId="6E0130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Относительно небольшое количество жертв объясняется тем обстоятельством, что, когда начались взрывы на складе и завод еще не был забросан снарядами, работы в заводе были остановлены, и рабочие и служащие в значительном большинстве покинули территорию завода, и в ограде завода осталось лишь небольшое число людей. </w:t>
      </w:r>
    </w:p>
    <w:p w14:paraId="3EA767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Убытки, причиненные заводу взрывом, выражаются следующими цифрами: разрушение и повреждение построек — на сумму 5 848 000 руб., разрушение и повреждение механического оборудования — на сумму 2 845 000 руб., итого 8 700 000 рублей. В эту оценку не входит гибель порохов, зарядов и другого имущества. </w:t>
      </w:r>
    </w:p>
    <w:p w14:paraId="372BE6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 территории завода в районе производственных зданий находилось во время катастрофы следующее количество порохов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40"/>
        <w:gridCol w:w="1140"/>
      </w:tblGrid>
      <w:tr w:rsidR="002B1C74" w:rsidRPr="002F2FDF" w14:paraId="32423329" w14:textId="77777777">
        <w:tc>
          <w:tcPr>
            <w:tcW w:w="4740" w:type="dxa"/>
            <w:tcBorders>
              <w:top w:val="single" w:sz="12" w:space="0" w:color="auto"/>
            </w:tcBorders>
          </w:tcPr>
          <w:p w14:paraId="2A2580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здании № 127 готовых зарядов </w:t>
            </w:r>
          </w:p>
        </w:tc>
        <w:tc>
          <w:tcPr>
            <w:tcW w:w="1140" w:type="dxa"/>
            <w:tcBorders>
              <w:top w:val="single" w:sz="12" w:space="0" w:color="auto"/>
            </w:tcBorders>
          </w:tcPr>
          <w:p w14:paraId="7BB037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9.500 </w:t>
            </w:r>
          </w:p>
        </w:tc>
      </w:tr>
      <w:tr w:rsidR="002B1C74" w:rsidRPr="002F2FDF" w14:paraId="7B005039" w14:textId="77777777">
        <w:tc>
          <w:tcPr>
            <w:tcW w:w="4740" w:type="dxa"/>
          </w:tcPr>
          <w:p w14:paraId="30B176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здании № 49-б</w:t>
            </w:r>
          </w:p>
        </w:tc>
        <w:tc>
          <w:tcPr>
            <w:tcW w:w="1140" w:type="dxa"/>
          </w:tcPr>
          <w:p w14:paraId="230E69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22.900 </w:t>
            </w:r>
          </w:p>
        </w:tc>
      </w:tr>
      <w:tr w:rsidR="002B1C74" w:rsidRPr="002F2FDF" w14:paraId="1E9C7784" w14:textId="77777777">
        <w:tc>
          <w:tcPr>
            <w:tcW w:w="4740" w:type="dxa"/>
          </w:tcPr>
          <w:p w14:paraId="56128E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здании № 49-а</w:t>
            </w:r>
          </w:p>
        </w:tc>
        <w:tc>
          <w:tcPr>
            <w:tcW w:w="1140" w:type="dxa"/>
          </w:tcPr>
          <w:p w14:paraId="20E224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12.400 </w:t>
            </w:r>
          </w:p>
        </w:tc>
      </w:tr>
      <w:tr w:rsidR="002B1C74" w:rsidRPr="002F2FDF" w14:paraId="4D67C9B6" w14:textId="77777777">
        <w:tc>
          <w:tcPr>
            <w:tcW w:w="4740" w:type="dxa"/>
            <w:tcBorders>
              <w:bottom w:val="single" w:sz="12" w:space="0" w:color="auto"/>
            </w:tcBorders>
          </w:tcPr>
          <w:p w14:paraId="73A1B7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здания № 49, под открытым небом, свободного американского пороха</w:t>
            </w:r>
          </w:p>
        </w:tc>
        <w:tc>
          <w:tcPr>
            <w:tcW w:w="1140" w:type="dxa"/>
            <w:tcBorders>
              <w:bottom w:val="single" w:sz="12" w:space="0" w:color="auto"/>
            </w:tcBorders>
          </w:tcPr>
          <w:p w14:paraId="1E08A9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3.700 </w:t>
            </w:r>
          </w:p>
        </w:tc>
      </w:tr>
    </w:tbl>
    <w:p w14:paraId="21B21E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Весь перечисленный порох погиб. Интересно отметить, что порох, находившийся в здании 49-а и около № 49, сгорел без взрыва. Порох же в зданиях №№ 127 и 49-б дал типичные взрывы, какие дает пироксилин, тротил и др. Об этом свидетельствуют глубокие и характерные по форме воронки на месте взрыва. </w:t>
      </w:r>
    </w:p>
    <w:p w14:paraId="494C47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 данным следствия, первый взрыв произошел на станции Пороховая. Причины его вполне точно установлены: у станции стоял штабель снаряженных французских фугасных снарядов, выгруженных из поезда. Часовой, охранявший штабель, закурил и бросил папиросу. От нее загорелись щепки, разбросанные вокруг путей, и по ним огонь перешел к штабелю. Погода была сухая, и задержать огонь не удалось. К слову сказать, часовой убежал, и огонь тушила сторожиха у станции. </w:t>
      </w:r>
    </w:p>
    <w:p w14:paraId="0E6649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Так как снаряды были снабжены взрывателями, то начались взрывы. При взрывах раскаленные осколки и целые невзорвавшиеся снаряды стали разлетаться на большие расстояния. Без сомнения, в некоторых снарядах, разбрасываемых взрывом, от сильного толчка взрыватель взводился, и такие снаряды при падении на землю действовали, как выстреленные из пушки, то есть взрывались. </w:t>
      </w:r>
    </w:p>
    <w:p w14:paraId="051FBB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Невдалеке от ст. Пороховая находился артиллерийский склад, где хранились боевые припасы. Снаряды, разлетавшиеся со станции, начали падать в районе склада и произвели там пожар. В загоревшихся зданиях, как и у станции, находились фугасные снаряды. Они также стали рваться и разлетаться во все стороны. Этими снарядами и был засыпан Казанский завод. </w:t>
      </w:r>
    </w:p>
    <w:p w14:paraId="2D5B8B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Хотя завод сильно пострадал от снарядов, но полное разрушение его произошло от взрывов указанных выше больших количеств пороха, находившегося на территории завода в зданиях № 49-б. Порох детонировал от взрыва снарядов, попавших в эти здания (11239).</w:t>
      </w:r>
    </w:p>
    <w:p w14:paraId="2BFDE0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A4E70B" w14:textId="77777777" w:rsidR="00992313" w:rsidRPr="002F2FDF" w:rsidRDefault="00992313" w:rsidP="0083075A">
      <w:pPr>
        <w:pStyle w:val="ae"/>
        <w:spacing w:before="0" w:after="0"/>
        <w:jc w:val="both"/>
        <w:rPr>
          <w:color w:val="000000" w:themeColor="text1"/>
          <w:kern w:val="2"/>
          <w:sz w:val="16"/>
          <w:szCs w:val="16"/>
        </w:rPr>
      </w:pPr>
      <w:r w:rsidRPr="002F2FDF">
        <w:rPr>
          <w:color w:val="000000" w:themeColor="text1"/>
          <w:kern w:val="2"/>
          <w:sz w:val="16"/>
          <w:szCs w:val="16"/>
        </w:rPr>
        <w:t>14 (27) августа 1917 в Казани произошла одна из крупнейших техногенных катастроф — взрыв на пороховом заводе, пожар от которого перекинулся на другие предприятия, включая оружейные и нефтеперерабатывающие, и жилые кварталы. Огонь в городе полыхал около 10 дней.</w:t>
      </w:r>
    </w:p>
    <w:p w14:paraId="6240660A" w14:textId="77777777" w:rsidR="00992313" w:rsidRPr="002F2FDF" w:rsidRDefault="00992313" w:rsidP="0083075A">
      <w:pPr>
        <w:pStyle w:val="ae"/>
        <w:spacing w:before="0" w:after="0"/>
        <w:jc w:val="both"/>
        <w:rPr>
          <w:color w:val="000000" w:themeColor="text1"/>
          <w:kern w:val="2"/>
          <w:sz w:val="16"/>
          <w:szCs w:val="16"/>
        </w:rPr>
      </w:pPr>
      <w:r w:rsidRPr="002F2FDF">
        <w:rPr>
          <w:color w:val="000000" w:themeColor="text1"/>
          <w:kern w:val="2"/>
          <w:sz w:val="16"/>
          <w:szCs w:val="16"/>
        </w:rPr>
        <w:t>Достоверно установлено, что все началось с небрежно брошенного караульным окурка на железнодорожной станции «Пороховая» (ныне — станция «Лагерная»). От него загорелась трава, потом разбросанные доски (поначалу пожар пытались потушить сторожа), от которых огонь перекинулся на ящик со снарядами, начались взрывы, которые подожгли ближайшее железнодорожное депо и нефтехранилище на берегу реки Казанки. Далее пожар распространился по промзоне на военные склады, что вызвало новые взрывы, и итоге пожар перекинулся на расположенной в стороне пороховой завод. Оглушительная канонада стояла в Казани несколько дней, началась паника, десятки тысяч жителей бежали из города.</w:t>
      </w:r>
    </w:p>
    <w:p w14:paraId="5B976DB1" w14:textId="77777777" w:rsidR="00992313" w:rsidRPr="002F2FDF" w:rsidRDefault="00992313" w:rsidP="0083075A">
      <w:pPr>
        <w:pStyle w:val="ae"/>
        <w:spacing w:before="0" w:after="0"/>
        <w:jc w:val="both"/>
        <w:rPr>
          <w:color w:val="000000" w:themeColor="text1"/>
          <w:kern w:val="2"/>
          <w:sz w:val="16"/>
          <w:szCs w:val="16"/>
        </w:rPr>
      </w:pPr>
      <w:r w:rsidRPr="002F2FDF">
        <w:rPr>
          <w:color w:val="000000" w:themeColor="text1"/>
          <w:kern w:val="2"/>
          <w:sz w:val="16"/>
          <w:szCs w:val="16"/>
        </w:rPr>
        <w:t>Количество жертв для столь масштабного взрыва оказалось, к счастью, невелико: 21 человек погиб или умер от ран, 172 (в том числе 30 детей) получили ранения. По одной версии, избежать трагедии удалось благодаря героическим действиям руководства завода и пожарным, которые успели спустить воду из водохранилища и затопить большую часть складов со взрывчаткой и боеприпасами. По другой, ситуация развивалась совершенно неуправляемо, и никто ничего не спасал — пожар и разрывы распространялись постепенно и люди просто успели разбежаться.</w:t>
      </w:r>
    </w:p>
    <w:p w14:paraId="5B57F3E5" w14:textId="0B9B58CE" w:rsidR="00992313" w:rsidRPr="002F2FDF" w:rsidRDefault="00992313" w:rsidP="0083075A">
      <w:pPr>
        <w:pStyle w:val="ae"/>
        <w:spacing w:before="0" w:after="0"/>
        <w:jc w:val="both"/>
        <w:rPr>
          <w:color w:val="000000" w:themeColor="text1"/>
          <w:kern w:val="2"/>
          <w:sz w:val="16"/>
          <w:szCs w:val="16"/>
        </w:rPr>
      </w:pPr>
      <w:r w:rsidRPr="002F2FDF">
        <w:rPr>
          <w:color w:val="000000" w:themeColor="text1"/>
          <w:kern w:val="2"/>
          <w:sz w:val="16"/>
          <w:szCs w:val="16"/>
        </w:rPr>
        <w:t>Так или иначе, материальный ущерб от аварии оказался колоссален. Взрывы и пожары уничтожили огромную партию пулеметов — 12 000 штук из 42</w:t>
      </w:r>
      <w:r w:rsidR="00E52569">
        <w:rPr>
          <w:color w:val="000000" w:themeColor="text1"/>
          <w:kern w:val="2"/>
          <w:sz w:val="16"/>
          <w:szCs w:val="16"/>
        </w:rPr>
        <w:t xml:space="preserve"> </w:t>
      </w:r>
      <w:r w:rsidRPr="002F2FDF">
        <w:rPr>
          <w:color w:val="000000" w:themeColor="text1"/>
          <w:kern w:val="2"/>
          <w:sz w:val="16"/>
          <w:szCs w:val="16"/>
        </w:rPr>
        <w:t>000, произведенных в России за всю войну, миллион снарядов, около 30 тысяч тонн нефти. 152 здания были разрушены или выгорели полностью, 390 — частично. По сей день в Казани на берегах Волги находят неразорвавшиеся снаряды, также часть снарядов была растащена по домам местными жителями и припрятана «на всякий случай» по сараям и огородам (17045).</w:t>
      </w:r>
    </w:p>
    <w:p w14:paraId="583474CD" w14:textId="77777777" w:rsidR="00992313" w:rsidRPr="002F2FDF" w:rsidRDefault="0099231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4A004E" w14:textId="79660586" w:rsidR="00EE7F7C" w:rsidRPr="00FB4F67" w:rsidRDefault="00EE7F7C" w:rsidP="0083075A">
      <w:pPr>
        <w:spacing w:after="0" w:line="240" w:lineRule="auto"/>
        <w:jc w:val="both"/>
        <w:rPr>
          <w:rFonts w:ascii="Times New Roman" w:hAnsi="Times New Roman" w:cs="Times New Roman"/>
          <w:color w:val="0070C0"/>
          <w:sz w:val="16"/>
          <w:szCs w:val="16"/>
        </w:rPr>
      </w:pPr>
      <w:bookmarkStart w:id="254" w:name="bookmark893"/>
      <w:bookmarkStart w:id="255" w:name="bookmark894"/>
      <w:bookmarkStart w:id="256" w:name="_Hlk53221169"/>
      <w:r w:rsidRPr="00FB4F67">
        <w:rPr>
          <w:rFonts w:ascii="Times New Roman" w:hAnsi="Times New Roman" w:cs="Times New Roman"/>
          <w:color w:val="0070C0"/>
          <w:sz w:val="16"/>
          <w:szCs w:val="16"/>
        </w:rPr>
        <w:t xml:space="preserve">14 </w:t>
      </w:r>
      <w:r>
        <w:rPr>
          <w:rFonts w:ascii="Times New Roman" w:hAnsi="Times New Roman" w:cs="Times New Roman"/>
          <w:color w:val="0070C0"/>
          <w:sz w:val="16"/>
          <w:szCs w:val="16"/>
        </w:rPr>
        <w:t xml:space="preserve">(27) </w:t>
      </w:r>
      <w:r w:rsidRPr="00FB4F67">
        <w:rPr>
          <w:rFonts w:ascii="Times New Roman" w:hAnsi="Times New Roman" w:cs="Times New Roman"/>
          <w:color w:val="0070C0"/>
          <w:sz w:val="16"/>
          <w:szCs w:val="16"/>
        </w:rPr>
        <w:t>августа 1917 г. на территории станции «Пороховая» (сегодня станция Лагерная) произошел пожар, и взорвались снаряды, отправляемые на фронт. Часть их попала на территорию артиллерийского склада, расположенного в нескольких верстах от завода Казанского порохового завода, вызвав там взрыв большого числа боеприпасов. Все они обрушились на завод. В результате большая часть завода была разрушена. Во время пожара погиб начальник порохового завода Всеволод Всеволодович Лукницкий. Пожар, который начался 14 августа закончился только 18 августа. Пострадало 542 здания, из которых 156 подверглись полному разрушению, а 193 были сильно повреждены. Заводу предстоял тяжелый период восстановления, который совпал с началом Гражданской войны (24102).</w:t>
      </w:r>
    </w:p>
    <w:p w14:paraId="01FA611E" w14:textId="77777777" w:rsidR="00EE7F7C" w:rsidRPr="00FB4F67" w:rsidRDefault="00EE7F7C" w:rsidP="0083075A">
      <w:pPr>
        <w:spacing w:after="0" w:line="240" w:lineRule="auto"/>
        <w:jc w:val="both"/>
        <w:rPr>
          <w:rFonts w:ascii="Times New Roman" w:hAnsi="Times New Roman" w:cs="Times New Roman"/>
          <w:color w:val="0070C0"/>
          <w:sz w:val="16"/>
          <w:szCs w:val="16"/>
        </w:rPr>
      </w:pPr>
    </w:p>
    <w:bookmarkEnd w:id="254"/>
    <w:bookmarkEnd w:id="255"/>
    <w:p w14:paraId="26A99F35" w14:textId="77777777" w:rsidR="00DE30D6" w:rsidRPr="002F2FDF" w:rsidRDefault="00DE30D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44D8E3E" w14:textId="77777777" w:rsidR="00DE30D6" w:rsidRPr="002F2FDF" w:rsidRDefault="00DE30D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010C70" w14:textId="77777777" w:rsidR="00DE30D6" w:rsidRPr="002F2FDF" w:rsidRDefault="00DE30D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14 (27) августа 1917 аэростат обстреляли дальнобойные орудия. 15 августа его дважды атаковал самолёт противника и ещё раз обстреляли из тяжёлых орудий. Утром 19 авгу</w:t>
      </w:r>
      <w:r w:rsidRPr="002F2FDF">
        <w:rPr>
          <w:rFonts w:ascii="Times New Roman" w:hAnsi="Times New Roman" w:cs="Times New Roman"/>
          <w:color w:val="000000" w:themeColor="text1"/>
          <w:sz w:val="16"/>
          <w:szCs w:val="16"/>
        </w:rPr>
        <w:softHyphen/>
        <w:t>ста неприятельский аэроплан атаковал аэростат с высоты 100 м и обстрелял его из пулемёта. 20 августа в то же время аэростат атаковали два самолёта. Один из них сбросил на лебёдку не</w:t>
      </w:r>
      <w:r w:rsidRPr="002F2FDF">
        <w:rPr>
          <w:rFonts w:ascii="Times New Roman" w:hAnsi="Times New Roman" w:cs="Times New Roman"/>
          <w:color w:val="000000" w:themeColor="text1"/>
          <w:sz w:val="16"/>
          <w:szCs w:val="16"/>
        </w:rPr>
        <w:softHyphen/>
        <w:t>разорвавшуюся бомбу. Другой безуспешно об</w:t>
      </w:r>
      <w:r w:rsidRPr="002F2FDF">
        <w:rPr>
          <w:rFonts w:ascii="Times New Roman" w:hAnsi="Times New Roman" w:cs="Times New Roman"/>
          <w:color w:val="000000" w:themeColor="text1"/>
          <w:sz w:val="16"/>
          <w:szCs w:val="16"/>
        </w:rPr>
        <w:softHyphen/>
        <w:t>стрелял аэростат из пулемёта. Только 25 августа после четырёх атак самолёт противника всё же прорвался к аэростату и поджёг его. Наблюдате</w:t>
      </w:r>
      <w:r w:rsidRPr="002F2FDF">
        <w:rPr>
          <w:rFonts w:ascii="Times New Roman" w:hAnsi="Times New Roman" w:cs="Times New Roman"/>
          <w:color w:val="000000" w:themeColor="text1"/>
          <w:sz w:val="16"/>
          <w:szCs w:val="16"/>
        </w:rPr>
        <w:softHyphen/>
        <w:t>ли — капитан Костенко, подпоручик Гаевский, бомбардир Прилуцкий, рядовые Кабанов, Михе</w:t>
      </w:r>
      <w:r w:rsidRPr="002F2FDF">
        <w:rPr>
          <w:rFonts w:ascii="Times New Roman" w:hAnsi="Times New Roman" w:cs="Times New Roman"/>
          <w:color w:val="000000" w:themeColor="text1"/>
          <w:sz w:val="16"/>
          <w:szCs w:val="16"/>
        </w:rPr>
        <w:softHyphen/>
        <w:t>ев и Шпицберг — спаслись (20120).</w:t>
      </w:r>
    </w:p>
    <w:p w14:paraId="1C46E534" w14:textId="77777777" w:rsidR="00DE30D6" w:rsidRPr="002F2FDF" w:rsidRDefault="00DE30D6" w:rsidP="0083075A">
      <w:pPr>
        <w:spacing w:after="0" w:line="240" w:lineRule="auto"/>
        <w:jc w:val="both"/>
        <w:rPr>
          <w:rFonts w:ascii="Times New Roman" w:hAnsi="Times New Roman" w:cs="Times New Roman"/>
          <w:color w:val="000000" w:themeColor="text1"/>
          <w:sz w:val="16"/>
          <w:szCs w:val="16"/>
        </w:rPr>
      </w:pPr>
    </w:p>
    <w:p w14:paraId="48E42BE3" w14:textId="00C0AE67" w:rsidR="007312B4" w:rsidRPr="00FB4F67" w:rsidRDefault="007312B4" w:rsidP="0083075A">
      <w:pPr>
        <w:spacing w:after="0" w:line="240" w:lineRule="auto"/>
        <w:jc w:val="both"/>
        <w:rPr>
          <w:rFonts w:ascii="Times New Roman" w:hAnsi="Times New Roman" w:cs="Times New Roman"/>
          <w:color w:val="0070C0"/>
          <w:sz w:val="16"/>
          <w:szCs w:val="16"/>
        </w:rPr>
      </w:pPr>
      <w:bookmarkStart w:id="257" w:name="bookmark901"/>
      <w:bookmarkStart w:id="258" w:name="bookmark902"/>
      <w:bookmarkEnd w:id="256"/>
      <w:r>
        <w:rPr>
          <w:rFonts w:ascii="Times New Roman" w:hAnsi="Times New Roman" w:cs="Times New Roman"/>
          <w:color w:val="0070C0"/>
          <w:sz w:val="16"/>
          <w:szCs w:val="16"/>
        </w:rPr>
        <w:t>14 (</w:t>
      </w:r>
      <w:r w:rsidRPr="00FB4F67">
        <w:rPr>
          <w:rFonts w:ascii="Times New Roman" w:hAnsi="Times New Roman" w:cs="Times New Roman"/>
          <w:color w:val="0070C0"/>
          <w:sz w:val="16"/>
          <w:szCs w:val="16"/>
        </w:rPr>
        <w:t>27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августа 1917 г. противник подверг воздушной бомбардировке ст. Замирье. Через десять дней налет повторился (23405).</w:t>
      </w:r>
      <w:bookmarkEnd w:id="257"/>
      <w:bookmarkEnd w:id="258"/>
    </w:p>
    <w:p w14:paraId="747472F6" w14:textId="77777777" w:rsidR="007312B4" w:rsidRPr="00FB4F67" w:rsidRDefault="007312B4" w:rsidP="0083075A">
      <w:pPr>
        <w:spacing w:after="0" w:line="240" w:lineRule="auto"/>
        <w:jc w:val="both"/>
        <w:rPr>
          <w:rFonts w:ascii="Times New Roman" w:hAnsi="Times New Roman" w:cs="Times New Roman"/>
          <w:color w:val="0070C0"/>
          <w:sz w:val="16"/>
          <w:szCs w:val="16"/>
        </w:rPr>
      </w:pPr>
    </w:p>
    <w:p w14:paraId="6F71C9C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B574B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E94D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августа 1917 в 6:10 утра царская семья покинула Царское Село и под конвоем Временного Правительства была отправлена по ж/д в сибирскую ссылку (3481).</w:t>
      </w:r>
    </w:p>
    <w:p w14:paraId="374B7F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6EC599"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августа в 1917 году из правительства уходят кадеты, поддержавшие Корнилова в ответ на требование Керенского о предоставлении ему диктаторских полномочий</w:t>
      </w:r>
      <w:r w:rsidRPr="002F2FDF">
        <w:rPr>
          <w:rStyle w:val="ucoz-forum-post"/>
          <w:rFonts w:ascii="Times New Roman" w:hAnsi="Times New Roman" w:cs="Times New Roman"/>
          <w:color w:val="000000" w:themeColor="text1"/>
          <w:kern w:val="2"/>
          <w:sz w:val="16"/>
          <w:szCs w:val="16"/>
        </w:rPr>
        <w:t xml:space="preserve"> (14751)</w:t>
      </w:r>
      <w:r w:rsidRPr="002F2FDF">
        <w:rPr>
          <w:rFonts w:ascii="Times New Roman" w:hAnsi="Times New Roman" w:cs="Times New Roman"/>
          <w:color w:val="000000" w:themeColor="text1"/>
          <w:kern w:val="2"/>
          <w:sz w:val="16"/>
          <w:szCs w:val="16"/>
        </w:rPr>
        <w:t>.</w:t>
      </w:r>
    </w:p>
    <w:p w14:paraId="429F7B0A"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p>
    <w:p w14:paraId="7B3FFD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августа 1917 кадеты из правительства, поддержавшие Корнилова, подали в отставку под давлением А.И.К., который требовал диктаторских полномочий (3481).</w:t>
      </w:r>
    </w:p>
    <w:p w14:paraId="60DFCF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1B13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Между 14 (27) августа и 20 августа (2 сентября) 1917. Из журнала заседаний Временного правительства N158, 1917 г.</w:t>
      </w:r>
    </w:p>
    <w:p w14:paraId="7AC67F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Положение о биржах труда </w:t>
      </w:r>
    </w:p>
    <w:p w14:paraId="2C0B49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 В целях упорядочения спроса на труд и предложения труда учреждаются местные и областные биржи труда. </w:t>
      </w:r>
    </w:p>
    <w:p w14:paraId="481582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 Местные биржи труда учреждаются на указанных ниже основаниях городскими общественными управлениями и земскими учреждениями в поселениях с числом жителей не менее 50 000... </w:t>
      </w:r>
    </w:p>
    <w:p w14:paraId="7C398B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 Министру труда предоставляется устанавливать сроки для открытия подлежащими городскими общественными управлениями и земскими учреждениями бирж труда. </w:t>
      </w:r>
    </w:p>
    <w:p w14:paraId="46BBE3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xml:space="preserve">Если открытие местной биржи труда городским общественным управлением или земским учреждением в срок, указанный министром труда, не последовало, учреждение биржи труда может быть осуществлено Министерством труда, причем расходы по устройству и содержанию сей биржи возлагаются полностью или частью распоряжением министра труда на подлежащее городское общественное управление или земское учреждение. </w:t>
      </w:r>
    </w:p>
    <w:p w14:paraId="311CB5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 Для достижения указанных в статье 1 целей местные биржи труда: а) регистрируют спрос на труд и предложение труда; б) оказывают посреднические услуги по найму; в) ведут текущую статистику спроса на труд и предложения труда; г) собирают прочие сведения о положении местного рынка труда; д) принимают иные меры, способствующие упорядочению спроса на труд и предложения труда. </w:t>
      </w:r>
    </w:p>
    <w:p w14:paraId="356B18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5. Управление местной биржей труда возлагается на комитет, состоящий из равного числа представителей профессиональных организаций рабочих и работодателей и председателя, избираемого городской думой или подлежащими земскими учреждениями... </w:t>
      </w:r>
    </w:p>
    <w:p w14:paraId="6889B2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8. Услуги бирж труда бесплатны. </w:t>
      </w:r>
    </w:p>
    <w:p w14:paraId="05839D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9. Местные и областные биржи труда приостанавливают свою посредническую деятельность в отношении предприятий, в которых происходит забастовка или локаут... </w:t>
      </w:r>
    </w:p>
    <w:p w14:paraId="254832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Член или служащий биржи труда, принявший в какой-либо форме от кого-либо из обращающихся к услугам биржи труда вознаграждение за указание работы или за присылку рабочих, подвергается аресту сроком до трех месяцев... (11652).</w:t>
      </w:r>
    </w:p>
    <w:p w14:paraId="5DD00C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6B24D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67034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CED51D" w14:textId="6ECDFD01" w:rsidR="007312B4" w:rsidRPr="00FB4F67" w:rsidRDefault="007312B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15 (</w:t>
      </w:r>
      <w:r w:rsidRPr="00FB4F67">
        <w:rPr>
          <w:rFonts w:ascii="Times New Roman" w:hAnsi="Times New Roman" w:cs="Times New Roman"/>
          <w:color w:val="0070C0"/>
          <w:sz w:val="16"/>
          <w:szCs w:val="16"/>
        </w:rPr>
        <w:t>28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августа 1917 г. боевой порядок российского военно-воздушного флота (с севера на юг): Петроградский АО в Петрограде; Кронштадтский АО в Кронштадте; 12-я армия в составе 10-й КАО, 23-й КАО, 33-й КАО, 12-й АО, 1-й ФАО и 12-й ФАО; 5-я армия с 13-й КАО, 17-й КАО, 29-й КАО, 38-й КАО, 1-й армейской АО, 11-й ФАО и 4-й БАГ с 5-й ФАО, 13-й ФАО и 15-й ФАО; 3-я армия в составе 15-й КАО, 25-й КАО, 50-й КАО и 3-й ФАО; Штаб Западного фронта с артиллерийской школой и 41-м КАО; 10-я армия в составе 18-й КАО, 34-й КАО, 7-й Сибирской КАО, 1-й Сибирской КАО, 10-й АО и 3-й БАГ в составе 1-й КАО, 11-й КАО и 22-й КАО; 2-я армия в составе 21-й КАО, 24-й КАО, 2-й армии АО, 5-й Сибирской КАО и Гренадерской КАО; 13-я армия в составе 9-й КАО, 31-й КАО, 37-й КАО, 4-й Сибирской КАО, 6-й ФАО и 1-й Артиллерийской АО; 1-я армия с 5-й армейской АО, 11-й армейской АО, 1-й Туркестанской КАО и 2-й ФАО; 11-я армия с 1-й гвардейской КАО, 35-й КАО, 13-й армейской АО, 3-й Сибирской КАО, 2-й артиллерийской АО, 6-й армейской АО (в Лубнах для приема британских самолетов) и 2-й БАГ с 3-й КАО, 7-й КАО и 8-й КАО; 7-я армия в составе 2-й гвардейской КАО, 12-й КАО, 32-й КАО, 9-й армейской АО, 7-й ФАО, 2-й Сибирской КАО, 4-й артиллерийской АО и 1-й БАГ в составе 2-й КАО, 4-й КАО и 19-й КАО; 8-я армия с 5-й КАО, 16-й КАО, 3-й армейской АО, 8-й армейской АО и 8-й ФАО; 9-я армия в составе 26-й КАО, 28-й КАО, 30-й КАО и 9-й ФАО; 4-я армия в составе 14-й КАО, 27-й КАО, 4-й армии АО и 4-й ФАО; 6-я армия в составе 6-й КАО, 20-й КАО, 36-й КАО и 10-й ФАО; Кавказская армия в составе 1-й, 2-й, 3-й и 4-й Кавказских КАО; В резерве или на переформировании - 6-я армия АО, 41-я КАО, 1-я артиллерийская АО и 14-я ФАО</w:t>
      </w:r>
      <w:r>
        <w:rPr>
          <w:rFonts w:ascii="Times New Roman" w:hAnsi="Times New Roman" w:cs="Times New Roman"/>
          <w:color w:val="0070C0"/>
          <w:sz w:val="16"/>
          <w:szCs w:val="16"/>
        </w:rPr>
        <w:t xml:space="preserve"> (23625)</w:t>
      </w:r>
      <w:r w:rsidRPr="00FB4F67">
        <w:rPr>
          <w:rFonts w:ascii="Times New Roman" w:hAnsi="Times New Roman" w:cs="Times New Roman"/>
          <w:color w:val="0070C0"/>
          <w:sz w:val="16"/>
          <w:szCs w:val="16"/>
        </w:rPr>
        <w:t>.</w:t>
      </w:r>
    </w:p>
    <w:p w14:paraId="53D2624C" w14:textId="77777777" w:rsidR="007312B4" w:rsidRPr="00FB4F67" w:rsidRDefault="007312B4" w:rsidP="0083075A">
      <w:pPr>
        <w:spacing w:after="0" w:line="240" w:lineRule="auto"/>
        <w:jc w:val="both"/>
        <w:rPr>
          <w:rFonts w:ascii="Times New Roman" w:hAnsi="Times New Roman" w:cs="Times New Roman"/>
          <w:color w:val="0070C0"/>
          <w:sz w:val="16"/>
          <w:szCs w:val="16"/>
        </w:rPr>
      </w:pPr>
    </w:p>
    <w:p w14:paraId="299907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августа 1917 летчик 19-го као 1БАГ прапор</w:t>
      </w:r>
      <w:r w:rsidRPr="002F2FDF">
        <w:rPr>
          <w:rFonts w:ascii="Times New Roman" w:hAnsi="Times New Roman" w:cs="Times New Roman"/>
          <w:color w:val="000000" w:themeColor="text1"/>
          <w:kern w:val="2"/>
          <w:sz w:val="16"/>
          <w:szCs w:val="16"/>
        </w:rPr>
        <w:softHyphen/>
        <w:t>щик Шайтанов вел бой с двумя немец</w:t>
      </w:r>
      <w:r w:rsidRPr="002F2FDF">
        <w:rPr>
          <w:rFonts w:ascii="Times New Roman" w:hAnsi="Times New Roman" w:cs="Times New Roman"/>
          <w:color w:val="000000" w:themeColor="text1"/>
          <w:kern w:val="2"/>
          <w:sz w:val="16"/>
          <w:szCs w:val="16"/>
        </w:rPr>
        <w:softHyphen/>
        <w:t>кими самолетами у Требуховце. Лет</w:t>
      </w:r>
      <w:r w:rsidRPr="002F2FDF">
        <w:rPr>
          <w:rFonts w:ascii="Times New Roman" w:hAnsi="Times New Roman" w:cs="Times New Roman"/>
          <w:color w:val="000000" w:themeColor="text1"/>
          <w:kern w:val="2"/>
          <w:sz w:val="16"/>
          <w:szCs w:val="16"/>
        </w:rPr>
        <w:softHyphen/>
        <w:t>чик доложил, что после боя один из них уходил с большим снижением, вы</w:t>
      </w:r>
      <w:r w:rsidRPr="002F2FDF">
        <w:rPr>
          <w:rFonts w:ascii="Times New Roman" w:hAnsi="Times New Roman" w:cs="Times New Roman"/>
          <w:color w:val="000000" w:themeColor="text1"/>
          <w:kern w:val="2"/>
          <w:sz w:val="16"/>
          <w:szCs w:val="16"/>
        </w:rPr>
        <w:softHyphen/>
        <w:t>пуская струю белого дыма. Подтвер</w:t>
      </w:r>
      <w:r w:rsidRPr="002F2FDF">
        <w:rPr>
          <w:rFonts w:ascii="Times New Roman" w:hAnsi="Times New Roman" w:cs="Times New Roman"/>
          <w:color w:val="000000" w:themeColor="text1"/>
          <w:kern w:val="2"/>
          <w:sz w:val="16"/>
          <w:szCs w:val="16"/>
        </w:rPr>
        <w:softHyphen/>
        <w:t>ждений от наземных войск не найде</w:t>
      </w:r>
      <w:r w:rsidRPr="002F2FDF">
        <w:rPr>
          <w:rFonts w:ascii="Times New Roman" w:hAnsi="Times New Roman" w:cs="Times New Roman"/>
          <w:color w:val="000000" w:themeColor="text1"/>
          <w:kern w:val="2"/>
          <w:sz w:val="16"/>
          <w:szCs w:val="16"/>
        </w:rPr>
        <w:softHyphen/>
        <w:t>но (3954).</w:t>
      </w:r>
    </w:p>
    <w:p w14:paraId="6EBDDC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5E8B61" w14:textId="7819DE76" w:rsidR="00DE30D6" w:rsidRPr="002F2FDF" w:rsidRDefault="00DE30D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15-31 августа (28 августа – 13 сентября) 1917 10-й воздухоплавательный ди</w:t>
      </w:r>
      <w:r w:rsidRPr="002F2FDF">
        <w:rPr>
          <w:rFonts w:ascii="Times New Roman" w:hAnsi="Times New Roman" w:cs="Times New Roman"/>
          <w:color w:val="000000" w:themeColor="text1"/>
          <w:sz w:val="16"/>
          <w:szCs w:val="16"/>
        </w:rPr>
        <w:softHyphen/>
        <w:t>визион, имея восемь аэростатов, выполнил три корректировки, обнаружил 25 батарей против</w:t>
      </w:r>
      <w:r w:rsidRPr="002F2FDF">
        <w:rPr>
          <w:rFonts w:ascii="Times New Roman" w:hAnsi="Times New Roman" w:cs="Times New Roman"/>
          <w:color w:val="000000" w:themeColor="text1"/>
          <w:sz w:val="16"/>
          <w:szCs w:val="16"/>
        </w:rPr>
        <w:softHyphen/>
        <w:t>ника и мест скопления его резервов. 2-й Кав</w:t>
      </w:r>
      <w:r w:rsidRPr="002F2FDF">
        <w:rPr>
          <w:rFonts w:ascii="Times New Roman" w:hAnsi="Times New Roman" w:cs="Times New Roman"/>
          <w:color w:val="000000" w:themeColor="text1"/>
          <w:sz w:val="16"/>
          <w:szCs w:val="16"/>
        </w:rPr>
        <w:softHyphen/>
        <w:t>казский отряд дивизиона обнаружил восемь батарей, но ни одной корректировки от него не потребовали. 2-й воздухоплавательный дивизи</w:t>
      </w:r>
      <w:r w:rsidRPr="002F2FDF">
        <w:rPr>
          <w:rFonts w:ascii="Times New Roman" w:hAnsi="Times New Roman" w:cs="Times New Roman"/>
          <w:color w:val="000000" w:themeColor="text1"/>
          <w:sz w:val="16"/>
          <w:szCs w:val="16"/>
        </w:rPr>
        <w:softHyphen/>
        <w:t>он тогда же четырьмя аэростатами обнаружил семь батарей и провёл четыре корректировки. Аэростаты 1-го Сибирского и 3-го корпусных воздухотрядов 3-го воздухоплавательного ди</w:t>
      </w:r>
      <w:r w:rsidRPr="002F2FDF">
        <w:rPr>
          <w:rFonts w:ascii="Times New Roman" w:hAnsi="Times New Roman" w:cs="Times New Roman"/>
          <w:color w:val="000000" w:themeColor="text1"/>
          <w:sz w:val="16"/>
          <w:szCs w:val="16"/>
        </w:rPr>
        <w:softHyphen/>
        <w:t>визиона пробыли в воздухе соответственно 57 ч 10 мин и 10 ч 16 мин, разведали две батареи и провели одну корректировку (20120).</w:t>
      </w:r>
    </w:p>
    <w:p w14:paraId="5415FA5A" w14:textId="77777777" w:rsidR="00DE30D6" w:rsidRPr="002F2FDF" w:rsidRDefault="00DE30D6" w:rsidP="0083075A">
      <w:pPr>
        <w:spacing w:after="0" w:line="240" w:lineRule="auto"/>
        <w:jc w:val="both"/>
        <w:rPr>
          <w:rFonts w:ascii="Times New Roman" w:hAnsi="Times New Roman" w:cs="Times New Roman"/>
          <w:color w:val="000000" w:themeColor="text1"/>
          <w:sz w:val="16"/>
          <w:szCs w:val="16"/>
        </w:rPr>
      </w:pPr>
    </w:p>
    <w:p w14:paraId="5B32BD27" w14:textId="77777777" w:rsidR="007312B4" w:rsidRPr="00FB4F67" w:rsidRDefault="007312B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15 (</w:t>
      </w:r>
      <w:r w:rsidRPr="00FB4F67">
        <w:rPr>
          <w:rFonts w:ascii="Times New Roman" w:hAnsi="Times New Roman" w:cs="Times New Roman"/>
          <w:color w:val="0070C0"/>
          <w:sz w:val="16"/>
          <w:szCs w:val="16"/>
        </w:rPr>
        <w:t>28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августа 1917 г. на Румынском фронте наступление австро-германских войск было остановлено румынами, понесшими тяжелые потери в ожесточенных боях у Варницы и Мунчелу (23525).</w:t>
      </w:r>
    </w:p>
    <w:p w14:paraId="448F57C9" w14:textId="77777777" w:rsidR="007312B4" w:rsidRPr="00FB4F67" w:rsidRDefault="007312B4" w:rsidP="0083075A">
      <w:pPr>
        <w:spacing w:after="0" w:line="240" w:lineRule="auto"/>
        <w:jc w:val="both"/>
        <w:rPr>
          <w:rFonts w:ascii="Times New Roman" w:hAnsi="Times New Roman" w:cs="Times New Roman"/>
          <w:color w:val="0070C0"/>
          <w:sz w:val="16"/>
          <w:szCs w:val="16"/>
        </w:rPr>
      </w:pPr>
    </w:p>
    <w:p w14:paraId="04B84B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15 </w:t>
      </w:r>
      <w:r w:rsidR="00783C50" w:rsidRPr="002F2FDF">
        <w:rPr>
          <w:rFonts w:ascii="Times New Roman" w:hAnsi="Times New Roman" w:cs="Times New Roman"/>
          <w:color w:val="000000" w:themeColor="text1"/>
          <w:kern w:val="2"/>
          <w:sz w:val="16"/>
          <w:szCs w:val="16"/>
        </w:rPr>
        <w:t xml:space="preserve">(28) </w:t>
      </w:r>
      <w:r w:rsidRPr="002F2FDF">
        <w:rPr>
          <w:rFonts w:ascii="Times New Roman" w:hAnsi="Times New Roman" w:cs="Times New Roman"/>
          <w:color w:val="000000" w:themeColor="text1"/>
          <w:kern w:val="2"/>
          <w:sz w:val="16"/>
          <w:szCs w:val="16"/>
        </w:rPr>
        <w:t>августа 1917 г. В России сформированы 1 -я и 2-я отдельные Морские тяжелые батареи артустановок на железнодорожных платформах (11454).</w:t>
      </w:r>
    </w:p>
    <w:p w14:paraId="2D4131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04567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67594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E0354D" w14:textId="77777777" w:rsidR="008E0E67" w:rsidRPr="002F2FDF" w:rsidRDefault="008E0E6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августа в 1917 году завершение Государственного совещания в Москве (14984).</w:t>
      </w:r>
    </w:p>
    <w:p w14:paraId="0F698ABD" w14:textId="77777777" w:rsidR="008E0E67" w:rsidRPr="002F2FDF" w:rsidRDefault="008E0E67" w:rsidP="0083075A">
      <w:pPr>
        <w:spacing w:after="0" w:line="240" w:lineRule="auto"/>
        <w:jc w:val="both"/>
        <w:rPr>
          <w:rFonts w:ascii="Times New Roman" w:hAnsi="Times New Roman" w:cs="Times New Roman"/>
          <w:color w:val="000000" w:themeColor="text1"/>
          <w:kern w:val="2"/>
          <w:sz w:val="16"/>
          <w:szCs w:val="16"/>
        </w:rPr>
      </w:pPr>
    </w:p>
    <w:p w14:paraId="5EFC3E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августа 1917 в Москве открылся Собор РПЦ (3908,261).</w:t>
      </w:r>
    </w:p>
    <w:p w14:paraId="0DEC92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B2ED1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63EC8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8F5621"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15 (28) августа 1917 года</w:t>
      </w:r>
      <w:r w:rsidRPr="002F2FDF">
        <w:rPr>
          <w:rFonts w:ascii="Times New Roman" w:hAnsi="Times New Roman" w:cs="Times New Roman"/>
          <w:color w:val="000000" w:themeColor="text1"/>
          <w:kern w:val="2"/>
          <w:sz w:val="16"/>
          <w:szCs w:val="16"/>
        </w:rPr>
        <w:t xml:space="preserve"> Состоялся показ новых истребителей Fokker Dr.I для пилотов 4-й армии, которой была подчинена 1-я истребительная эскадра. Возможности нового истребителя демонстрировал сам Энтони Фоккер, совершив несколько полетов на F.I 102/17. Первый боевой вылет "Драйдеккера" состоялся утром 1 сентября 1917 года (14752).</w:t>
      </w:r>
    </w:p>
    <w:p w14:paraId="12E7EACF"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p>
    <w:p w14:paraId="1A9EA70A" w14:textId="77777777" w:rsidR="00DE30D6" w:rsidRPr="002F2FDF" w:rsidRDefault="00DE30D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 (28) августа 1917 г. для проведения войсковых испытаний 2-й и 3-й опытные самолеты Фоккер F I были направлены на аэродром Маркебеке в Бельгии. Там командиру эскадрильи Jasta 11 Манфреду фон Рихтгофену вручили машину № 2 с заводским номером 1729 и производственным номером IdFlieg W.Nr. F.I 102/17, а командир Jasta 10 Вернер Фосс получил 3-й самолет с заводским номером 1730 и производственным номером IdFlieg W.Nr. F.I 103/17. Фосс и Рихтгофен были «крестными отцами» триплана Фоккера, рекомендовав его командованию ВВС, и теперь им предстояло подтвердить свои слова делом.</w:t>
      </w:r>
    </w:p>
    <w:p w14:paraId="537AE8E6" w14:textId="77777777" w:rsidR="00DE30D6" w:rsidRPr="002F2FDF" w:rsidRDefault="00DE30D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Первый боевой вылет на новом истребителе совершил Рихтгофен 1 сентября и в тот же день одержал первую воздушную победу на немецких трипланах — над разведчиком RAF R.E.8 из 6-й эскадрильи RFC. В следующие два дня он сбил еще по одному вражескому аэроплану и один из них — на новом «Фоккере». Он доложил командующему ВВС, что самолет превосходит английский Сопвич «Триплан», и рекомендовал начать перевооружение ВВС Германии на трипланы Фоккера как можно быстрее.</w:t>
      </w:r>
    </w:p>
    <w:p w14:paraId="2D459739" w14:textId="77777777" w:rsidR="00DE30D6" w:rsidRPr="002F2FDF" w:rsidRDefault="00DE30D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Но 15 сентября на Фоккере F I W.Nr. 102/17 в бою с английскими истребителями-бипланами Сопвич «Кэмел» из 10-й эскадрильи RNAS был сбит и погиб подключившийся к испытаниям Курт Вольф — один из лучших немецких асов, имевший 33 победы. А 23 сентября другие новые английские бипланы RAF S.E.5 из 56-й эскадрильи RFC «завалили» Фоккер F I W.Nr. 103/17, в котором погиб Фосс со своим гигантским на то время счетом из 48 побед (22781).</w:t>
      </w:r>
    </w:p>
    <w:p w14:paraId="61C72D1D" w14:textId="77777777" w:rsidR="00DE30D6" w:rsidRPr="002F2FDF" w:rsidRDefault="00DE30D6" w:rsidP="0083075A">
      <w:pPr>
        <w:spacing w:after="0" w:line="240" w:lineRule="auto"/>
        <w:jc w:val="both"/>
        <w:rPr>
          <w:rFonts w:ascii="Times New Roman" w:hAnsi="Times New Roman" w:cs="Times New Roman"/>
          <w:color w:val="000000" w:themeColor="text1"/>
          <w:sz w:val="16"/>
          <w:szCs w:val="16"/>
        </w:rPr>
      </w:pPr>
    </w:p>
    <w:p w14:paraId="6627D1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августа 1917 в США у Белого дома было арестовано 10 борцов за равноправие женщин (3481).</w:t>
      </w:r>
    </w:p>
    <w:p w14:paraId="209289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B558CC" w14:textId="77777777" w:rsidR="00950170" w:rsidRPr="002F2FDF" w:rsidRDefault="00950170" w:rsidP="0083075A">
      <w:pPr>
        <w:pStyle w:val="ae"/>
        <w:spacing w:before="0" w:after="0"/>
        <w:jc w:val="both"/>
        <w:rPr>
          <w:color w:val="000000" w:themeColor="text1"/>
          <w:kern w:val="2"/>
          <w:sz w:val="16"/>
          <w:szCs w:val="16"/>
        </w:rPr>
      </w:pPr>
      <w:r w:rsidRPr="002F2FDF">
        <w:rPr>
          <w:color w:val="000000" w:themeColor="text1"/>
          <w:kern w:val="2"/>
          <w:sz w:val="16"/>
          <w:szCs w:val="16"/>
        </w:rPr>
        <w:t>С 15 по 22 августа (28 августа по 3 сентября) 1917 германскими подводными лодками было потоплено и повреждено 44 корабля стран Антанты и нейтральных держав, что было в 2-3 раза меньше потерь флота союзников в весенние и летние месяцы. Эффективность объявленной с начала 1917 года Германией неограниченной подводной войны шла на убыль. В первую очередь это было заслугой введенной Великобританией системы военных конвоев, когда транспортные суда выходили в море лишь группами под охраной боевых кораблей (17045).</w:t>
      </w:r>
    </w:p>
    <w:p w14:paraId="381C5603" w14:textId="77777777" w:rsidR="00950170" w:rsidRPr="002F2FDF" w:rsidRDefault="0095017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1C8B0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C0D7E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A7C1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августа 1917 прекратилась постройка двухместного разведчика И.Рябоконя с трапециевидными крыльями. Строился с июня 1917 при поддержке солдатского комитета 3 авиапарка в Киеве (92,185).</w:t>
      </w:r>
    </w:p>
    <w:p w14:paraId="4ABC32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00252C" w14:textId="77777777" w:rsidR="00DE30D6" w:rsidRPr="002F2FDF" w:rsidRDefault="00DE30D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99EE958" w14:textId="77777777" w:rsidR="00DE30D6" w:rsidRPr="002F2FDF" w:rsidRDefault="00DE30D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5EECF4" w14:textId="67ED60B2" w:rsidR="00DE30D6" w:rsidRPr="002F2FDF" w:rsidRDefault="00DE30D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середине августа 1917 г. самолет Лёнер Тип А (Dr I) был принят на официальные испытания в Императорский Авиационный арсенал (K.u.K. Fliegerarsenal, Flars) и ему было присвоено официальное обозначение Lohner Dr I (возможно, это было сделано только в конце месяца, когда он был оплачен и принят на баланс ВВС). Их проводили военные летчики капитан Оскар Фекете (Hauptmann Oskar Fekete) и старший лейтенант Франц Мюллер (Oberleutnant Franz Müller). Они также определили, что летные данные самолета недостаточны, а также указали на его неудовлетворительную устойчивость и управляемость – в соответствии с изменением площади </w:t>
      </w:r>
      <w:r w:rsidRPr="002F2FDF">
        <w:rPr>
          <w:rFonts w:ascii="Times New Roman" w:hAnsi="Times New Roman" w:cs="Times New Roman"/>
          <w:color w:val="000000" w:themeColor="text1"/>
          <w:sz w:val="16"/>
          <w:szCs w:val="16"/>
        </w:rPr>
        <w:lastRenderedPageBreak/>
        <w:t xml:space="preserve">крыла, расположения центра масс и фокуса самолета следовало сделать новое оперение, а оно осталось без изменений и его статический момент стан неудовлетворительным.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Также военные испытатели отметили ухудшение обзора по сравнению с самолетом Тип АА.</w:t>
      </w:r>
    </w:p>
    <w:p w14:paraId="20B5194B" w14:textId="77777777" w:rsidR="00DE30D6" w:rsidRPr="002F2FDF" w:rsidRDefault="00DE30D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Самолет не был принят на вооружение, тем не менее его фирме оплатили и сдали на хранение. 11 октября 1918 г. самолет был утилизирован (23143).</w:t>
      </w:r>
    </w:p>
    <w:p w14:paraId="5E98251E" w14:textId="77777777" w:rsidR="00DE30D6" w:rsidRPr="002F2FDF" w:rsidRDefault="00DE30D6" w:rsidP="0083075A">
      <w:pPr>
        <w:spacing w:after="0" w:line="240" w:lineRule="auto"/>
        <w:jc w:val="both"/>
        <w:rPr>
          <w:rFonts w:ascii="Times New Roman" w:hAnsi="Times New Roman" w:cs="Times New Roman"/>
          <w:color w:val="000000" w:themeColor="text1"/>
          <w:sz w:val="16"/>
          <w:szCs w:val="16"/>
        </w:rPr>
      </w:pPr>
    </w:p>
    <w:p w14:paraId="30E8547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BFC7E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7F238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 16 </w:t>
      </w:r>
      <w:r w:rsidR="00783C50" w:rsidRPr="002F2FDF">
        <w:rPr>
          <w:rFonts w:ascii="Times New Roman" w:hAnsi="Times New Roman" w:cs="Times New Roman"/>
          <w:color w:val="000000" w:themeColor="text1"/>
          <w:kern w:val="2"/>
          <w:sz w:val="16"/>
          <w:szCs w:val="16"/>
        </w:rPr>
        <w:t xml:space="preserve">(29) </w:t>
      </w:r>
      <w:r w:rsidRPr="002F2FDF">
        <w:rPr>
          <w:rFonts w:ascii="Times New Roman" w:hAnsi="Times New Roman" w:cs="Times New Roman"/>
          <w:color w:val="000000" w:themeColor="text1"/>
          <w:kern w:val="2"/>
          <w:sz w:val="16"/>
          <w:szCs w:val="16"/>
        </w:rPr>
        <w:t>августа 1917 г. владения фирмы Мельцера выглядели следующим образом: контора и фабрика (включая механические мастерские) оставались на Карповке, тогда как сборочное и упаковочное отделение были открыты на Ланском шоссе (к декабрю 1917 г. там имелись 2 больших ангара и кирпичное здание), лесопилка и еще один сборочный цех — в Лесном на Кушелевке, а опытная станция — на Крестовском острове. Последняя, действуя с 1 августа 1917 г., располагалась по со</w:t>
      </w:r>
      <w:r w:rsidRPr="002F2FDF">
        <w:rPr>
          <w:rFonts w:ascii="Times New Roman" w:hAnsi="Times New Roman" w:cs="Times New Roman"/>
          <w:color w:val="000000" w:themeColor="text1"/>
          <w:kern w:val="2"/>
          <w:sz w:val="16"/>
          <w:szCs w:val="16"/>
        </w:rPr>
        <w:softHyphen/>
        <w:t>седству с подобным филиалом Щетинина и состояла из 1 ангара-навеса, 1 дома и 1 быстроходного катера с мотором 80 л.с., развивавшего скорость до 30 узлов. Вдобавок, компания просила об участке земли на побережье Черного моря, где ее сборочно-испы-тательнос производство появилось бы для работы в более благоприятных погодных усло</w:t>
      </w:r>
      <w:r w:rsidRPr="002F2FDF">
        <w:rPr>
          <w:rFonts w:ascii="Times New Roman" w:hAnsi="Times New Roman" w:cs="Times New Roman"/>
          <w:color w:val="000000" w:themeColor="text1"/>
          <w:kern w:val="2"/>
          <w:sz w:val="16"/>
          <w:szCs w:val="16"/>
        </w:rPr>
        <w:softHyphen/>
        <w:t>виях. Вероятно, в конце 1916 г. Мельцер пригласил Виллиша занять пост главного ави</w:t>
      </w:r>
      <w:r w:rsidRPr="002F2FDF">
        <w:rPr>
          <w:rFonts w:ascii="Times New Roman" w:hAnsi="Times New Roman" w:cs="Times New Roman"/>
          <w:color w:val="000000" w:themeColor="text1"/>
          <w:kern w:val="2"/>
          <w:sz w:val="16"/>
          <w:szCs w:val="16"/>
        </w:rPr>
        <w:softHyphen/>
        <w:t>ационного конструктора и директора-распределителя фирмы, что и было принято изо</w:t>
      </w:r>
      <w:r w:rsidRPr="002F2FDF">
        <w:rPr>
          <w:rFonts w:ascii="Times New Roman" w:hAnsi="Times New Roman" w:cs="Times New Roman"/>
          <w:color w:val="000000" w:themeColor="text1"/>
          <w:kern w:val="2"/>
          <w:sz w:val="16"/>
          <w:szCs w:val="16"/>
        </w:rPr>
        <w:softHyphen/>
        <w:t>бретателем в начале 1917 г. (2843).</w:t>
      </w:r>
    </w:p>
    <w:p w14:paraId="2883020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B02B45" w14:textId="77777777" w:rsidR="00DE30D6" w:rsidRPr="002F2FDF" w:rsidRDefault="00DE30D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3B78B349" w14:textId="77777777" w:rsidR="00DE30D6" w:rsidRPr="002F2FDF" w:rsidRDefault="00DE30D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54C35C" w14:textId="77777777" w:rsidR="00DE30D6" w:rsidRPr="002F2FDF" w:rsidRDefault="00DE30D6"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16 (29) августа 1917 по представлению Химического комитета Особым совещанием был разрешен заказ еще 1,5 млн. противогазов системы Авалова, 360 тыс. противогазов для лошадей и 5 тыс. кислородных приборов системы профессора Поспелова на сумму около 23,5 млн. руб. [Журнал № 185 Особого совещания… Заседание 16 августа 1917 г. / ЖОСО. 1917 год. М., 1978. С. 668.] (20236).</w:t>
      </w:r>
    </w:p>
    <w:p w14:paraId="74D7930F" w14:textId="77777777" w:rsidR="00DE30D6" w:rsidRPr="002F2FDF" w:rsidRDefault="00DE30D6" w:rsidP="0083075A">
      <w:pPr>
        <w:spacing w:after="0" w:line="240" w:lineRule="auto"/>
        <w:jc w:val="both"/>
        <w:rPr>
          <w:rFonts w:ascii="Times New Roman" w:hAnsi="Times New Roman" w:cs="Times New Roman"/>
          <w:color w:val="000000" w:themeColor="text1"/>
          <w:sz w:val="16"/>
          <w:szCs w:val="16"/>
          <w:shd w:val="clear" w:color="auto" w:fill="FFFFFF"/>
        </w:rPr>
      </w:pPr>
    </w:p>
    <w:p w14:paraId="3B373C8A" w14:textId="5151D4D0" w:rsidR="007312B4" w:rsidRDefault="007312B4"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7998AEB0" w14:textId="77777777" w:rsidR="007312B4" w:rsidRDefault="007312B4"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1728714" w14:textId="63F2AAB3" w:rsidR="007312B4" w:rsidRPr="00FB4F67" w:rsidRDefault="007312B4" w:rsidP="0083075A">
      <w:pPr>
        <w:spacing w:after="0" w:line="240" w:lineRule="auto"/>
        <w:jc w:val="both"/>
        <w:rPr>
          <w:rFonts w:ascii="Times New Roman" w:hAnsi="Times New Roman" w:cs="Times New Roman"/>
          <w:color w:val="0070C0"/>
          <w:sz w:val="16"/>
          <w:szCs w:val="16"/>
        </w:rPr>
      </w:pPr>
      <w:bookmarkStart w:id="259" w:name="bookmark905"/>
      <w:bookmarkStart w:id="260" w:name="bookmark906"/>
      <w:r>
        <w:rPr>
          <w:rFonts w:ascii="Times New Roman" w:hAnsi="Times New Roman" w:cs="Times New Roman"/>
          <w:color w:val="0070C0"/>
          <w:sz w:val="16"/>
          <w:szCs w:val="16"/>
        </w:rPr>
        <w:t>16 (</w:t>
      </w:r>
      <w:r w:rsidRPr="00FB4F67">
        <w:rPr>
          <w:rFonts w:ascii="Times New Roman" w:hAnsi="Times New Roman" w:cs="Times New Roman"/>
          <w:color w:val="0070C0"/>
          <w:sz w:val="16"/>
          <w:szCs w:val="16"/>
        </w:rPr>
        <w:t>29</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августа 1917 г. командир 1-й боевой авиационной группы ротмистр А.А. Козаков сбил 16-й по счету самолет противника, упавший в районе Проскурова (д. Данюки). Немецкие летчики (обер-лейтенант Каусхальтер и лейтенант Фрейнцель) погибли (23405).</w:t>
      </w:r>
      <w:bookmarkEnd w:id="259"/>
      <w:bookmarkEnd w:id="260"/>
    </w:p>
    <w:p w14:paraId="51B4EEE5" w14:textId="77777777" w:rsidR="007312B4" w:rsidRPr="00FB4F67" w:rsidRDefault="007312B4" w:rsidP="0083075A">
      <w:pPr>
        <w:spacing w:after="0" w:line="240" w:lineRule="auto"/>
        <w:jc w:val="both"/>
        <w:rPr>
          <w:rFonts w:ascii="Times New Roman" w:hAnsi="Times New Roman" w:cs="Times New Roman"/>
          <w:color w:val="0070C0"/>
          <w:sz w:val="16"/>
          <w:szCs w:val="16"/>
        </w:rPr>
      </w:pPr>
    </w:p>
    <w:p w14:paraId="44F2B146" w14:textId="511A50C0"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D8795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8985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16 августа по 2 сентября (с 29 августа по 15 сентября) 1917 было восстание в Турине (2443,388).</w:t>
      </w:r>
    </w:p>
    <w:p w14:paraId="47DBFE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B684C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E103C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DBB6C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августа 1917 г. на засе</w:t>
      </w:r>
      <w:r w:rsidRPr="002F2FDF">
        <w:rPr>
          <w:rFonts w:ascii="Times New Roman" w:hAnsi="Times New Roman" w:cs="Times New Roman"/>
          <w:color w:val="000000" w:themeColor="text1"/>
          <w:kern w:val="2"/>
          <w:sz w:val="16"/>
          <w:szCs w:val="16"/>
        </w:rPr>
        <w:softHyphen/>
        <w:t>дании Технического комитета рассматривалось изобретение Кузнецова (имя и отчество неизвестны), которое "Заявлением от 14 августа г-н Кузнецов просил о рассмотрении изобретенного им компенсиро</w:t>
      </w:r>
      <w:r w:rsidRPr="002F2FDF">
        <w:rPr>
          <w:rFonts w:ascii="Times New Roman" w:hAnsi="Times New Roman" w:cs="Times New Roman"/>
          <w:color w:val="000000" w:themeColor="text1"/>
          <w:kern w:val="2"/>
          <w:sz w:val="16"/>
          <w:szCs w:val="16"/>
        </w:rPr>
        <w:softHyphen/>
        <w:t>ванного анемометра для аэропланов и об отпуске для постройки его 600 руб. и одного анемометра Сафа. Из заявления и приложенных к нему описания и чертежей видно, что анемометр г-на Кузнецова от</w:t>
      </w:r>
      <w:r w:rsidRPr="002F2FDF">
        <w:rPr>
          <w:rFonts w:ascii="Times New Roman" w:hAnsi="Times New Roman" w:cs="Times New Roman"/>
          <w:color w:val="000000" w:themeColor="text1"/>
          <w:kern w:val="2"/>
          <w:sz w:val="16"/>
          <w:szCs w:val="16"/>
        </w:rPr>
        <w:softHyphen/>
        <w:t>личается от принятых для снабжения аэропланов анемометров Сафа главным образом тем, что показание его компенсируется на давле</w:t>
      </w:r>
      <w:r w:rsidRPr="002F2FDF">
        <w:rPr>
          <w:rFonts w:ascii="Times New Roman" w:hAnsi="Times New Roman" w:cs="Times New Roman"/>
          <w:color w:val="000000" w:themeColor="text1"/>
          <w:kern w:val="2"/>
          <w:sz w:val="16"/>
          <w:szCs w:val="16"/>
        </w:rPr>
        <w:softHyphen/>
        <w:t>ние и температуру. Исправление ошибок в показаниях анемометров, происходящих от изменения с подъемом на высоту давления и темпе-. ратуры воздуха, основано в анемометре г-на Кузнецова на соответ</w:t>
      </w:r>
      <w:r w:rsidRPr="002F2FDF">
        <w:rPr>
          <w:rFonts w:ascii="Times New Roman" w:hAnsi="Times New Roman" w:cs="Times New Roman"/>
          <w:color w:val="000000" w:themeColor="text1"/>
          <w:kern w:val="2"/>
          <w:sz w:val="16"/>
          <w:szCs w:val="16"/>
        </w:rPr>
        <w:softHyphen/>
        <w:t>ствующем действии особых барографических коробок и металлических пластинок. Вследствие компенсации обычных ошибок анемометров от изменения давления и температуры, показания анемометра г-на Куз</w:t>
      </w:r>
      <w:r w:rsidRPr="002F2FDF">
        <w:rPr>
          <w:rFonts w:ascii="Times New Roman" w:hAnsi="Times New Roman" w:cs="Times New Roman"/>
          <w:color w:val="000000" w:themeColor="text1"/>
          <w:kern w:val="2"/>
          <w:sz w:val="16"/>
          <w:szCs w:val="16"/>
        </w:rPr>
        <w:softHyphen/>
        <w:t>нецова должны быть значительно ^точнее показаний анемометров дру</w:t>
      </w:r>
      <w:r w:rsidRPr="002F2FDF">
        <w:rPr>
          <w:rFonts w:ascii="Times New Roman" w:hAnsi="Times New Roman" w:cs="Times New Roman"/>
          <w:color w:val="000000" w:themeColor="text1"/>
          <w:kern w:val="2"/>
          <w:sz w:val="16"/>
          <w:szCs w:val="16"/>
        </w:rPr>
        <w:softHyphen/>
        <w:t>гих систем.</w:t>
      </w:r>
    </w:p>
    <w:p w14:paraId="7B00C3A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Выслушав объяснения изобретателя и рассмотрев настоящее дело, Технический комитет -положил:</w:t>
      </w:r>
    </w:p>
    <w:p w14:paraId="675E5D5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Признать желательной постройку и испытание анемометра системы г-на Кузнецова.</w:t>
      </w:r>
    </w:p>
    <w:p w14:paraId="2A30C37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Ходатайство г-на Кузнецова об отпуске на постройку при</w:t>
      </w:r>
      <w:r w:rsidRPr="002F2FDF">
        <w:rPr>
          <w:rFonts w:ascii="Times New Roman" w:hAnsi="Times New Roman" w:cs="Times New Roman"/>
          <w:color w:val="000000" w:themeColor="text1"/>
          <w:kern w:val="2"/>
          <w:sz w:val="16"/>
          <w:szCs w:val="16"/>
        </w:rPr>
        <w:softHyphen/>
        <w:t>бора суммы 600 руб. и одного анемометра Сафа удовлетворить (Журнал №133 Технического комитета УВВФ, 17 августа 1917 г. ЦГАСА, ф.29, оп.19, ед. хр. 233, л.36. ) (11077).</w:t>
      </w:r>
    </w:p>
    <w:p w14:paraId="2BC801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400716" w14:textId="77777777" w:rsidR="00DE30D6" w:rsidRPr="002F2FDF" w:rsidRDefault="00DE30D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35CCDFA" w14:textId="77777777" w:rsidR="00DE30D6" w:rsidRPr="002F2FDF" w:rsidRDefault="00DE30D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C155F9" w14:textId="77777777" w:rsidR="00DE30D6" w:rsidRPr="002F2FDF" w:rsidRDefault="00DE30D6"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17 (30) августа 1917 г. Особое совещание выделило средства на заказ ГВТУ станций для прослушивания подземных минных работ противника. Станция включала в себя микросейсмостетоскопы, образцы которых в 1916 г. были предоставлены Францией, а также микростетоскопы германского образца, образцы которых были захвачены союзниками на Западном фронте. 100 станций на сумму более 1 млн. руб. были заказаны электромеханической мастерской «Ротор» [Журнал № 154 ПКОВ. Заседание 17 августа 1917 г. / Архив ВИМАИВиВС. Ф. 13. Оп. 87/1. Д. 66. Л. 62–64.] (20236).</w:t>
      </w:r>
    </w:p>
    <w:p w14:paraId="550C0095" w14:textId="77777777" w:rsidR="00DE30D6" w:rsidRPr="002F2FDF" w:rsidRDefault="00DE30D6"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2ED7D3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BE95C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9EE7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августа 1917 командир группы 1БАГ Казаков одержал 17-ю победу: “...вылетев для преследования летящего через Го</w:t>
      </w:r>
      <w:r w:rsidRPr="002F2FDF">
        <w:rPr>
          <w:rFonts w:ascii="Times New Roman" w:hAnsi="Times New Roman" w:cs="Times New Roman"/>
          <w:color w:val="000000" w:themeColor="text1"/>
          <w:kern w:val="2"/>
          <w:sz w:val="16"/>
          <w:szCs w:val="16"/>
        </w:rPr>
        <w:softHyphen/>
        <w:t>родок на Ярмолинцы самолета противника в воздухе не нашел и полетел на Проскуров, западнее которого и встре</w:t>
      </w:r>
      <w:r w:rsidRPr="002F2FDF">
        <w:rPr>
          <w:rFonts w:ascii="Times New Roman" w:hAnsi="Times New Roman" w:cs="Times New Roman"/>
          <w:color w:val="000000" w:themeColor="text1"/>
          <w:kern w:val="2"/>
          <w:sz w:val="16"/>
          <w:szCs w:val="16"/>
        </w:rPr>
        <w:softHyphen/>
        <w:t>тил неприятельский самолет. Атаковал его над дер. Лапковцы около 11 час. После короткого боя неприятельский самолет упал между деревнями Данюки и Лапковцы, что в 20 верстах запад</w:t>
      </w:r>
      <w:r w:rsidRPr="002F2FDF">
        <w:rPr>
          <w:rFonts w:ascii="Times New Roman" w:hAnsi="Times New Roman" w:cs="Times New Roman"/>
          <w:color w:val="000000" w:themeColor="text1"/>
          <w:kern w:val="2"/>
          <w:sz w:val="16"/>
          <w:szCs w:val="16"/>
        </w:rPr>
        <w:softHyphen/>
        <w:t>нее Проскурова. При падении мотор ушел в землю, картер разбит. Элероны на верхнем и нижнем крыле. Руль вы</w:t>
      </w:r>
      <w:r w:rsidRPr="002F2FDF">
        <w:rPr>
          <w:rFonts w:ascii="Times New Roman" w:hAnsi="Times New Roman" w:cs="Times New Roman"/>
          <w:color w:val="000000" w:themeColor="text1"/>
          <w:kern w:val="2"/>
          <w:sz w:val="16"/>
          <w:szCs w:val="16"/>
        </w:rPr>
        <w:softHyphen/>
        <w:t>соты один сплошной. Пилот и наблю</w:t>
      </w:r>
      <w:r w:rsidRPr="002F2FDF">
        <w:rPr>
          <w:rFonts w:ascii="Times New Roman" w:hAnsi="Times New Roman" w:cs="Times New Roman"/>
          <w:color w:val="000000" w:themeColor="text1"/>
          <w:kern w:val="2"/>
          <w:sz w:val="16"/>
          <w:szCs w:val="16"/>
        </w:rPr>
        <w:softHyphen/>
        <w:t>датель, а также самолет совершенно разбиты при падении”. Исходя из опи</w:t>
      </w:r>
      <w:r w:rsidRPr="002F2FDF">
        <w:rPr>
          <w:rFonts w:ascii="Times New Roman" w:hAnsi="Times New Roman" w:cs="Times New Roman"/>
          <w:color w:val="000000" w:themeColor="text1"/>
          <w:kern w:val="2"/>
          <w:sz w:val="16"/>
          <w:szCs w:val="16"/>
        </w:rPr>
        <w:softHyphen/>
        <w:t>сания сбитого самолета, можно пред</w:t>
      </w:r>
      <w:r w:rsidRPr="002F2FDF">
        <w:rPr>
          <w:rFonts w:ascii="Times New Roman" w:hAnsi="Times New Roman" w:cs="Times New Roman"/>
          <w:color w:val="000000" w:themeColor="text1"/>
          <w:kern w:val="2"/>
          <w:sz w:val="16"/>
          <w:szCs w:val="16"/>
        </w:rPr>
        <w:softHyphen/>
        <w:t>положить, что это был “Альбатрос” С. 10. По документам установлены лич</w:t>
      </w:r>
      <w:r w:rsidRPr="002F2FDF">
        <w:rPr>
          <w:rFonts w:ascii="Times New Roman" w:hAnsi="Times New Roman" w:cs="Times New Roman"/>
          <w:color w:val="000000" w:themeColor="text1"/>
          <w:kern w:val="2"/>
          <w:sz w:val="16"/>
          <w:szCs w:val="16"/>
        </w:rPr>
        <w:softHyphen/>
        <w:t>ности погибшего экипажа: летчик оберлейтенант Ханс Хаусхальтер и на</w:t>
      </w:r>
      <w:r w:rsidRPr="002F2FDF">
        <w:rPr>
          <w:rFonts w:ascii="Times New Roman" w:hAnsi="Times New Roman" w:cs="Times New Roman"/>
          <w:color w:val="000000" w:themeColor="text1"/>
          <w:kern w:val="2"/>
          <w:sz w:val="16"/>
          <w:szCs w:val="16"/>
        </w:rPr>
        <w:softHyphen/>
        <w:t>блюдатель лейтенант Френцель из 24-го германского авиаотряда (3954).</w:t>
      </w:r>
    </w:p>
    <w:p w14:paraId="45339A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ACBE93" w14:textId="77777777" w:rsidR="00C0695C"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r w:rsidR="00C0695C" w:rsidRPr="002F2FDF">
        <w:rPr>
          <w:rFonts w:ascii="Times New Roman" w:hAnsi="Times New Roman" w:cs="Times New Roman"/>
          <w:iCs/>
          <w:color w:val="000000" w:themeColor="text1"/>
          <w:kern w:val="2"/>
          <w:sz w:val="16"/>
          <w:szCs w:val="16"/>
        </w:rPr>
        <w:t>:</w:t>
      </w:r>
    </w:p>
    <w:p w14:paraId="6917FE64" w14:textId="77777777" w:rsidR="00C0695C" w:rsidRPr="002F2FDF" w:rsidRDefault="00C0695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873F3B"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17 (30) августа </w:t>
      </w:r>
      <w:r w:rsidRPr="002F2FDF">
        <w:rPr>
          <w:rFonts w:ascii="Times New Roman" w:hAnsi="Times New Roman" w:cs="Times New Roman"/>
          <w:color w:val="000000" w:themeColor="text1"/>
          <w:kern w:val="2"/>
          <w:sz w:val="16"/>
          <w:szCs w:val="16"/>
        </w:rPr>
        <w:t>в 1917 году в Тюмень поездом прибыл отрекшийся император Николай II и члены императорской фамилии, отправленные в Сибирь по распоряжению главы временного правительства А.Ф.Керенского (14754).</w:t>
      </w:r>
    </w:p>
    <w:p w14:paraId="5791B2C4"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p>
    <w:p w14:paraId="0B83FE7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1C5FF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E1537F"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августа 1917 Штрассер был награжден орденом “Пур ле мерит” (“За заслуги” — высший орден, которым в Германии награждали за боевые заслуги</w:t>
      </w:r>
      <w:r w:rsidRPr="002F2FDF">
        <w:rPr>
          <w:rFonts w:ascii="Times New Roman" w:hAnsi="Times New Roman" w:cs="Times New Roman"/>
          <w:iCs/>
          <w:color w:val="000000" w:themeColor="text1"/>
          <w:kern w:val="2"/>
          <w:sz w:val="16"/>
          <w:szCs w:val="16"/>
        </w:rPr>
        <w:t>).</w:t>
      </w:r>
      <w:r w:rsidRPr="002F2FDF">
        <w:rPr>
          <w:rFonts w:ascii="Times New Roman" w:hAnsi="Times New Roman" w:cs="Times New Roman"/>
          <w:color w:val="000000" w:themeColor="text1"/>
          <w:kern w:val="2"/>
          <w:sz w:val="16"/>
          <w:szCs w:val="16"/>
        </w:rPr>
        <w:t xml:space="preserve"> Я воспользовался этим случаем, чтобы лично вручить орден Штрассеру и посетить новую станцию в Альхорне, в 20 км южнее Ольденбурга. Она была построена совсем недавно и являлась теперь для воздушных кораблей главной опорной базой. Капитану Штрассеру принадлежит большая заслуга в деле широкого использования цеппелинов для военных целей. Он постоянно внушал своим подчиненным мысль о том, что цеппелинам принадлежит великое будущее. Чем мощнее становилась противовоздушная оборона противника, тем энергичнее Штрассер старался ее победить. В частности, он требовал поднимать воздушные корабли как можно выше, и высота в 6000 м, которая в начале войны считалась недостижимой, вскоре была покорена. Для того чтобы совершенствовать методы боевого применения, он должен был располагать определенной свободой действий, а его технические предложения — встречать поддержку. Первоначальная организация морского воздухоплавания не обеспечивала ему этой возможности, и его инициатива неоднократно наталкивалась на всевозможные препоны административного характера. Командование флота вовремя отреагировало на эти проблемы, и личность начальника Дивизиона воздушных кораблей стала вполне авторитетной во всех вопросах, касавшихся развития воздушного оружия. Штрассер принимал личное участие в большинстве воздушных налетов, хотя я не слишком охотно давал на это разрешение, так как потери были велики. Я не мог не опасаться, что и он может не вернуться из полета, а ведь Штрассер был незаменим в своем деле (11324). </w:t>
      </w:r>
    </w:p>
    <w:p w14:paraId="764CED06" w14:textId="77777777" w:rsidR="00731D28" w:rsidRPr="002F2FDF" w:rsidRDefault="00731D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2E00BC"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17 (30) августа </w:t>
      </w:r>
      <w:r w:rsidRPr="002F2FDF">
        <w:rPr>
          <w:rFonts w:ascii="Times New Roman" w:hAnsi="Times New Roman" w:cs="Times New Roman"/>
          <w:color w:val="000000" w:themeColor="text1"/>
          <w:kern w:val="2"/>
          <w:sz w:val="16"/>
          <w:szCs w:val="16"/>
        </w:rPr>
        <w:t>в 1917 году совершил первый боевой вылет немецкиий истребитель триплан «Фоккер F1» («Dr1»). Пилотировал его лейтенент Вернер Фосс. В этом вылете он сбил английский самолёт (14754).</w:t>
      </w:r>
    </w:p>
    <w:p w14:paraId="7FDEE204"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p>
    <w:p w14:paraId="2491BCB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августа 1917 в США студенты медицинских вузов освобождены от набора в армию (4962).</w:t>
      </w:r>
    </w:p>
    <w:p w14:paraId="0601E47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A597B9" w14:textId="77777777" w:rsidR="009E251C"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8BA516D" w14:textId="77777777" w:rsidR="009E251C" w:rsidRPr="002F2FDF" w:rsidRDefault="009E251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D2856F" w14:textId="77777777" w:rsidR="009E251C" w:rsidRPr="002F2FDF" w:rsidRDefault="009E251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18 (31) августа 1917 г. был заключен контракт с акционерным обществом «Электромеханические сооружения» на 300 «прицельных приборов системы профессора Ботезата по цене 3150 рублей за комплект». Предполагалась поставить 50 систем через 6 месяцев, еще 100 — через месяц, последние 150 систем — еще через месяц. Для совместного выполнения заказа «ДЕКА» вступило в соглашение с петроградским обще</w:t>
      </w:r>
      <w:r w:rsidRPr="002F2FDF">
        <w:rPr>
          <w:rFonts w:ascii="Times New Roman" w:hAnsi="Times New Roman" w:cs="Times New Roman"/>
          <w:color w:val="000000" w:themeColor="text1"/>
          <w:kern w:val="2"/>
          <w:sz w:val="16"/>
          <w:szCs w:val="16"/>
        </w:rPr>
        <w:softHyphen/>
        <w:t>ством «Урания».</w:t>
      </w:r>
    </w:p>
    <w:p w14:paraId="2D55CE10" w14:textId="77777777" w:rsidR="009E251C" w:rsidRPr="002F2FDF" w:rsidRDefault="009E251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Однако рабочие беспорядки спутали все планы. Так и не удалось добиться пресловутой центровки на прототипе. Токари дважды «запарывали» деталь, срывая окончательные испытания. У субподрядчика — завода «Урания» — конфликт между рабочими и администрацией перерос в настоящую граждан</w:t>
      </w:r>
      <w:r w:rsidRPr="002F2FDF">
        <w:rPr>
          <w:rFonts w:ascii="Times New Roman" w:hAnsi="Times New Roman" w:cs="Times New Roman"/>
          <w:color w:val="000000" w:themeColor="text1"/>
          <w:kern w:val="2"/>
          <w:sz w:val="16"/>
          <w:szCs w:val="16"/>
        </w:rPr>
        <w:softHyphen/>
        <w:t>скую войну. Народный комиссар труда даже распорядился рабочих рассчи</w:t>
      </w:r>
      <w:r w:rsidRPr="002F2FDF">
        <w:rPr>
          <w:rFonts w:ascii="Times New Roman" w:hAnsi="Times New Roman" w:cs="Times New Roman"/>
          <w:color w:val="000000" w:themeColor="text1"/>
          <w:kern w:val="2"/>
          <w:sz w:val="16"/>
          <w:szCs w:val="16"/>
        </w:rPr>
        <w:softHyphen/>
        <w:t>тать, а завод закрыть. После пресловутого приказа Ю. М. Ларина о ликви</w:t>
      </w:r>
      <w:r w:rsidRPr="002F2FDF">
        <w:rPr>
          <w:rFonts w:ascii="Times New Roman" w:hAnsi="Times New Roman" w:cs="Times New Roman"/>
          <w:color w:val="000000" w:themeColor="text1"/>
          <w:kern w:val="2"/>
          <w:sz w:val="16"/>
          <w:szCs w:val="16"/>
        </w:rPr>
        <w:softHyphen/>
        <w:t>дации авиационной промышленности в России о прицельных приборах Г. А. Ботезата вспомнили только в конце апреля 1918 г. Прибывшая на «ДЕКА» специальная комиссия ВВФ РККА пришла к выводу: «Дальнейшее произ</w:t>
      </w:r>
      <w:r w:rsidRPr="002F2FDF">
        <w:rPr>
          <w:rFonts w:ascii="Times New Roman" w:hAnsi="Times New Roman" w:cs="Times New Roman"/>
          <w:color w:val="000000" w:themeColor="text1"/>
          <w:kern w:val="2"/>
          <w:sz w:val="16"/>
          <w:szCs w:val="16"/>
        </w:rPr>
        <w:softHyphen/>
        <w:t>водство работ и изысканий невозможно как по причине отсутствия специаль</w:t>
      </w:r>
      <w:r w:rsidRPr="002F2FDF">
        <w:rPr>
          <w:rFonts w:ascii="Times New Roman" w:hAnsi="Times New Roman" w:cs="Times New Roman"/>
          <w:color w:val="000000" w:themeColor="text1"/>
          <w:kern w:val="2"/>
          <w:sz w:val="16"/>
          <w:szCs w:val="16"/>
        </w:rPr>
        <w:softHyphen/>
        <w:t>ного персонала для исполнения требующихся чрезвычайно точных работ, так и за отсутствием требующихся указаний профессора Ботезата» (15740).</w:t>
      </w:r>
    </w:p>
    <w:p w14:paraId="4FCF1461" w14:textId="77777777" w:rsidR="009E251C" w:rsidRPr="002F2FDF" w:rsidRDefault="009E251C" w:rsidP="0083075A">
      <w:pPr>
        <w:spacing w:after="0" w:line="240" w:lineRule="auto"/>
        <w:jc w:val="both"/>
        <w:rPr>
          <w:rFonts w:ascii="Times New Roman" w:hAnsi="Times New Roman" w:cs="Times New Roman"/>
          <w:color w:val="000000" w:themeColor="text1"/>
          <w:kern w:val="2"/>
          <w:sz w:val="16"/>
          <w:szCs w:val="16"/>
        </w:rPr>
      </w:pPr>
    </w:p>
    <w:p w14:paraId="18234211" w14:textId="563928BA" w:rsidR="007312B4" w:rsidRDefault="007312B4"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70CDDB29" w14:textId="77777777" w:rsidR="007312B4" w:rsidRDefault="007312B4"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45D9993" w14:textId="77777777" w:rsidR="007312B4" w:rsidRPr="00FB4F67" w:rsidRDefault="007312B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31 августа 1917 г. на Румынском фронте дирижабль немецкой армии LZ. 101 покинул свою базу в Джамболи и отправился обратно в Шнайдемюль в Германии (23525).</w:t>
      </w:r>
    </w:p>
    <w:p w14:paraId="35D9629C" w14:textId="77777777" w:rsidR="007312B4" w:rsidRPr="00FB4F67" w:rsidRDefault="007312B4" w:rsidP="0083075A">
      <w:pPr>
        <w:spacing w:after="0" w:line="240" w:lineRule="auto"/>
        <w:jc w:val="both"/>
        <w:rPr>
          <w:rFonts w:ascii="Times New Roman" w:hAnsi="Times New Roman" w:cs="Times New Roman"/>
          <w:color w:val="0070C0"/>
          <w:sz w:val="16"/>
          <w:szCs w:val="16"/>
        </w:rPr>
      </w:pPr>
    </w:p>
    <w:p w14:paraId="564D9B8A" w14:textId="1BAA56BA"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A54CF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B6CC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августа 1917 был разгромлен Корниловский мятеж. А.Керенский был вынужден раздать оружие рабочим под управлением Петросовета (3481).</w:t>
      </w:r>
    </w:p>
    <w:p w14:paraId="59CCDF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B41313"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18 (31) августа </w:t>
      </w:r>
      <w:r w:rsidRPr="002F2FDF">
        <w:rPr>
          <w:rFonts w:ascii="Times New Roman" w:hAnsi="Times New Roman" w:cs="Times New Roman"/>
          <w:color w:val="000000" w:themeColor="text1"/>
          <w:kern w:val="2"/>
          <w:sz w:val="16"/>
          <w:szCs w:val="16"/>
        </w:rPr>
        <w:t>в 1917 году конец Корниловского мятежа. "Без корниловского мятежа не было бы Ленина". (А.Ф.Керенский). Корнилов потребовал для себя слишком многого, чего никак не ожидал Керенский - передать ему всю полноту военной и гражданской власти. Керенский объявил об измене Корнилова, потребовал себе диктаторские полномочия и занялся созданием Директории, которая возглавила бы борьбу с Корниловым. Спас положение Петроградский Совет. Получив оружие от Керенского, он смог остановить Корнилова и арестовать его (14755).</w:t>
      </w:r>
    </w:p>
    <w:p w14:paraId="4E4C7CD2"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p>
    <w:p w14:paraId="675D519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августа 1917 в Петрограде великий князь Кирилл поднял над своим домом красный флаг (4962).</w:t>
      </w:r>
    </w:p>
    <w:p w14:paraId="0210DF4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51BE0B" w14:textId="77777777" w:rsidR="009E251C"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46F48863" w14:textId="77777777" w:rsidR="009E251C" w:rsidRPr="002F2FDF" w:rsidRDefault="009E251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210705" w14:textId="77777777" w:rsidR="009E251C" w:rsidRPr="002F2FDF" w:rsidRDefault="009E251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августа (1 сентября) 1917 Рапорт окружного инженера Луганского горного округа Н. И. Калистова Горному департаменту о падении добычи угля, нехватке металлических материалов и продовольствия на шахтах округа в июле 1917 г.</w:t>
      </w:r>
    </w:p>
    <w:p w14:paraId="4417287A" w14:textId="77777777" w:rsidR="009E251C" w:rsidRPr="002F2FDF" w:rsidRDefault="009E251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61-62</w:t>
      </w:r>
    </w:p>
    <w:p w14:paraId="4778AC1B" w14:textId="77777777" w:rsidR="009E251C" w:rsidRPr="002F2FDF" w:rsidRDefault="009E251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37, оп. 58, д. 883, л. 252. Подлинник.</w:t>
      </w:r>
    </w:p>
    <w:p w14:paraId="7B6F7533" w14:textId="77777777" w:rsidR="009E251C" w:rsidRPr="002F2FDF" w:rsidRDefault="009E251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Имею честь доложить о следующем: число рабочих на горных предприятиях Луганского горного округа на 1 августа с. г. было равно 3291 чел., т. е. на 36 чел. меньше, чем в предыдущем месяце; производительность каменноугольных копей в истекшем месяце составляет 60% нормальной производительности, производительность антрацитовых копей 50% нормальной; добыча по сравнению с предыдущим месяцем упала [на] 1400 тыс. пуд. Кокса выпалено на 91 тыс. пуд. меньше, чем в предыдущем месяце; чугуна выплавлено на 85 тыс. пуд. меньше, чем в предыдущем месяце.</w:t>
      </w:r>
    </w:p>
    <w:p w14:paraId="7DF02D38" w14:textId="77777777" w:rsidR="009E251C" w:rsidRPr="002F2FDF" w:rsidRDefault="009E251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 месяце был остановлен Борисо-Валентиновский рудник Берен-штейна и Берлина с производительностью 100 тыс. пуд. в месяц вследствие истощения запасов угля в недрах.</w:t>
      </w:r>
    </w:p>
    <w:p w14:paraId="0203BBC0" w14:textId="77777777" w:rsidR="009E251C" w:rsidRPr="002F2FDF" w:rsidRDefault="009E251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изложенному имею честь присовокупить, что в истекшем месяце продолжал ощущаться резкий недостаток в рельсах, железе и других металлических изделиях; вследствие этого недостатка крайне затруднен ремонт рудничных и заводских машин и устройств; снабжение предприятий продовольствием с каждым днем ухудшается и грозит прекратиться; производительность рабочего составляет 70% нормальной. Все эти причины вызывают уменьшение производительности предприятий.</w:t>
      </w:r>
    </w:p>
    <w:p w14:paraId="644678B5" w14:textId="77777777" w:rsidR="009E251C" w:rsidRPr="002F2FDF" w:rsidRDefault="009E251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Окружной инженер Калистов (15700).</w:t>
      </w:r>
    </w:p>
    <w:p w14:paraId="7E91AE4A" w14:textId="77777777" w:rsidR="009E251C" w:rsidRPr="002F2FDF" w:rsidRDefault="009E251C" w:rsidP="0083075A">
      <w:pPr>
        <w:spacing w:after="0" w:line="240" w:lineRule="auto"/>
        <w:jc w:val="both"/>
        <w:rPr>
          <w:rFonts w:ascii="Times New Roman" w:hAnsi="Times New Roman" w:cs="Times New Roman"/>
          <w:color w:val="000000" w:themeColor="text1"/>
          <w:kern w:val="2"/>
          <w:sz w:val="16"/>
          <w:szCs w:val="16"/>
        </w:rPr>
      </w:pPr>
    </w:p>
    <w:p w14:paraId="35D84B5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5CFF9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A8CD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августа (1 сентября) 1917 л 2 иао подпор. А.П.Чудновский вступил в бой с самолетом противника над Бродами и прогнал его. Появился второй, с которым также вступил в бой. Во время боя - отказал пулемет и л совершил таран. Оба самолеты упали в неприятельском расположении и л погибли. Потом австрийцы подтвердили (3655).</w:t>
      </w:r>
    </w:p>
    <w:p w14:paraId="24E6B8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3BBE2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 августа </w:t>
      </w:r>
      <w:r w:rsidR="00783C50" w:rsidRPr="002F2FDF">
        <w:rPr>
          <w:rFonts w:ascii="Times New Roman" w:hAnsi="Times New Roman" w:cs="Times New Roman"/>
          <w:color w:val="000000" w:themeColor="text1"/>
          <w:kern w:val="2"/>
          <w:sz w:val="16"/>
          <w:szCs w:val="16"/>
        </w:rPr>
        <w:t xml:space="preserve">(1 сентября) </w:t>
      </w:r>
      <w:r w:rsidRPr="002F2FDF">
        <w:rPr>
          <w:rFonts w:ascii="Times New Roman" w:hAnsi="Times New Roman" w:cs="Times New Roman"/>
          <w:color w:val="000000" w:themeColor="text1"/>
          <w:kern w:val="2"/>
          <w:sz w:val="16"/>
          <w:szCs w:val="16"/>
        </w:rPr>
        <w:t>1917 летчик 2-го потребительного авиаотряда под</w:t>
      </w:r>
      <w:r w:rsidRPr="002F2FDF">
        <w:rPr>
          <w:rFonts w:ascii="Times New Roman" w:hAnsi="Times New Roman" w:cs="Times New Roman"/>
          <w:color w:val="000000" w:themeColor="text1"/>
          <w:kern w:val="2"/>
          <w:sz w:val="16"/>
          <w:szCs w:val="16"/>
        </w:rPr>
        <w:softHyphen/>
        <w:t>поручик Александр Петрович Чудновский вступил в бой с само</w:t>
      </w:r>
      <w:r w:rsidRPr="002F2FDF">
        <w:rPr>
          <w:rFonts w:ascii="Times New Roman" w:hAnsi="Times New Roman" w:cs="Times New Roman"/>
          <w:color w:val="000000" w:themeColor="text1"/>
          <w:kern w:val="2"/>
          <w:sz w:val="16"/>
          <w:szCs w:val="16"/>
        </w:rPr>
        <w:softHyphen/>
        <w:t>летом противника, появившимся над Бродами, и прогнал его. Тут появился второй самолет, с которым он также вступил в бой. Во время боя у Чудновского отказал пулемет. Тогда летчик таранил противника, и оба самолета упали в неприятельском расположении, а летчики погибли. Обстоятельств гибели Чудновского вскоре были подтверждены пленными австрийцами. В приказе Гатчинской школы от 25 августа № 311 подвиг Чудновского - выпускника этой школы - описывался кок пример самоотверженности и героизма (ЦГВИА, Ф.298/Л/, оп.1, д.17, л.64).</w:t>
      </w:r>
    </w:p>
    <w:p w14:paraId="08FB778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AB8AB6" w14:textId="77777777" w:rsidR="00186128" w:rsidRDefault="00186128"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bookmarkStart w:id="261" w:name="_Hlk119486848"/>
      <w:r w:rsidRPr="00186128">
        <w:rPr>
          <w:rFonts w:ascii="Times New Roman" w:hAnsi="Times New Roman" w:cs="Times New Roman"/>
          <w:color w:val="0070C0"/>
          <w:kern w:val="2"/>
          <w:sz w:val="16"/>
          <w:szCs w:val="16"/>
        </w:rPr>
        <w:t>19 августа (1 сентября) 1917 летчик 2-го потребительного авиаотряда под</w:t>
      </w:r>
      <w:r w:rsidRPr="00186128">
        <w:rPr>
          <w:rFonts w:ascii="Times New Roman" w:hAnsi="Times New Roman" w:cs="Times New Roman"/>
          <w:color w:val="0070C0"/>
          <w:kern w:val="2"/>
          <w:sz w:val="16"/>
          <w:szCs w:val="16"/>
        </w:rPr>
        <w:softHyphen/>
        <w:t>поручик Александр Петрович Чудновский вступил в бой с само</w:t>
      </w:r>
      <w:r w:rsidRPr="00186128">
        <w:rPr>
          <w:rFonts w:ascii="Times New Roman" w:hAnsi="Times New Roman" w:cs="Times New Roman"/>
          <w:color w:val="0070C0"/>
          <w:kern w:val="2"/>
          <w:sz w:val="16"/>
          <w:szCs w:val="16"/>
        </w:rPr>
        <w:softHyphen/>
        <w:t>летом противника, появившимся над Бродами, и прогнал его. Тут появился второй самолет, с которым он также вступил в бой. Во время боя у Чудновского отказал пулемет. Тогда летчик таранил противника, и оба самолета упали в неприятельском расположении, а летчики погибли. Обстоятельств гибели Чудновского вскоре были подтверждены пленными австрийцами. В приказе Гатчинской школы от 25 августа № 311 подвиг Чудновского - выпускника этой школы - описывался кок пример самоотверженности и героизма</w:t>
      </w:r>
    </w:p>
    <w:p w14:paraId="18408F6A" w14:textId="0F084979" w:rsidR="00186128" w:rsidRPr="00186128" w:rsidRDefault="00186128"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Pr>
          <w:rFonts w:ascii="Times New Roman" w:hAnsi="Times New Roman" w:cs="Times New Roman"/>
          <w:color w:val="0070C0"/>
          <w:kern w:val="2"/>
          <w:sz w:val="16"/>
          <w:szCs w:val="16"/>
        </w:rPr>
        <w:t>/</w:t>
      </w:r>
      <w:r w:rsidRPr="00186128">
        <w:rPr>
          <w:rFonts w:ascii="Times New Roman" w:hAnsi="Times New Roman" w:cs="Times New Roman"/>
          <w:color w:val="0070C0"/>
          <w:kern w:val="2"/>
          <w:sz w:val="16"/>
          <w:szCs w:val="16"/>
        </w:rPr>
        <w:t xml:space="preserve">ЦГВИА, </w:t>
      </w:r>
      <w:r>
        <w:rPr>
          <w:rFonts w:ascii="Times New Roman" w:hAnsi="Times New Roman" w:cs="Times New Roman"/>
          <w:color w:val="0070C0"/>
          <w:kern w:val="2"/>
          <w:sz w:val="16"/>
          <w:szCs w:val="16"/>
        </w:rPr>
        <w:t>ф</w:t>
      </w:r>
      <w:r w:rsidRPr="00186128">
        <w:rPr>
          <w:rFonts w:ascii="Times New Roman" w:hAnsi="Times New Roman" w:cs="Times New Roman"/>
          <w:color w:val="0070C0"/>
          <w:kern w:val="2"/>
          <w:sz w:val="16"/>
          <w:szCs w:val="16"/>
        </w:rPr>
        <w:t>.</w:t>
      </w:r>
      <w:r>
        <w:rPr>
          <w:rFonts w:ascii="Times New Roman" w:hAnsi="Times New Roman" w:cs="Times New Roman"/>
          <w:color w:val="0070C0"/>
          <w:kern w:val="2"/>
          <w:sz w:val="16"/>
          <w:szCs w:val="16"/>
        </w:rPr>
        <w:t xml:space="preserve"> </w:t>
      </w:r>
      <w:r w:rsidRPr="00186128">
        <w:rPr>
          <w:rFonts w:ascii="Times New Roman" w:hAnsi="Times New Roman" w:cs="Times New Roman"/>
          <w:color w:val="0070C0"/>
          <w:kern w:val="2"/>
          <w:sz w:val="16"/>
          <w:szCs w:val="16"/>
        </w:rPr>
        <w:t>298/</w:t>
      </w:r>
      <w:r>
        <w:rPr>
          <w:rFonts w:ascii="Times New Roman" w:hAnsi="Times New Roman" w:cs="Times New Roman"/>
          <w:color w:val="0070C0"/>
          <w:kern w:val="2"/>
          <w:sz w:val="16"/>
          <w:szCs w:val="16"/>
        </w:rPr>
        <w:t>л</w:t>
      </w:r>
      <w:r w:rsidRPr="00186128">
        <w:rPr>
          <w:rFonts w:ascii="Times New Roman" w:hAnsi="Times New Roman" w:cs="Times New Roman"/>
          <w:color w:val="0070C0"/>
          <w:kern w:val="2"/>
          <w:sz w:val="16"/>
          <w:szCs w:val="16"/>
        </w:rPr>
        <w:t>/, оп.1, д.</w:t>
      </w:r>
      <w:r>
        <w:rPr>
          <w:rFonts w:ascii="Times New Roman" w:hAnsi="Times New Roman" w:cs="Times New Roman"/>
          <w:color w:val="0070C0"/>
          <w:kern w:val="2"/>
          <w:sz w:val="16"/>
          <w:szCs w:val="16"/>
        </w:rPr>
        <w:t xml:space="preserve"> </w:t>
      </w:r>
      <w:r w:rsidRPr="00186128">
        <w:rPr>
          <w:rFonts w:ascii="Times New Roman" w:hAnsi="Times New Roman" w:cs="Times New Roman"/>
          <w:color w:val="0070C0"/>
          <w:kern w:val="2"/>
          <w:sz w:val="16"/>
          <w:szCs w:val="16"/>
        </w:rPr>
        <w:t>17, л.</w:t>
      </w:r>
      <w:r>
        <w:rPr>
          <w:rFonts w:ascii="Times New Roman" w:hAnsi="Times New Roman" w:cs="Times New Roman"/>
          <w:color w:val="0070C0"/>
          <w:kern w:val="2"/>
          <w:sz w:val="16"/>
          <w:szCs w:val="16"/>
        </w:rPr>
        <w:t xml:space="preserve"> </w:t>
      </w:r>
      <w:r w:rsidRPr="00186128">
        <w:rPr>
          <w:rFonts w:ascii="Times New Roman" w:hAnsi="Times New Roman" w:cs="Times New Roman"/>
          <w:color w:val="0070C0"/>
          <w:kern w:val="2"/>
          <w:sz w:val="16"/>
          <w:szCs w:val="16"/>
        </w:rPr>
        <w:t>64)</w:t>
      </w:r>
      <w:r>
        <w:rPr>
          <w:rFonts w:ascii="Times New Roman" w:hAnsi="Times New Roman" w:cs="Times New Roman"/>
          <w:color w:val="0070C0"/>
          <w:kern w:val="2"/>
          <w:sz w:val="16"/>
          <w:szCs w:val="16"/>
        </w:rPr>
        <w:t xml:space="preserve"> (23320)</w:t>
      </w:r>
      <w:r w:rsidRPr="00186128">
        <w:rPr>
          <w:rFonts w:ascii="Times New Roman" w:hAnsi="Times New Roman" w:cs="Times New Roman"/>
          <w:color w:val="0070C0"/>
          <w:kern w:val="2"/>
          <w:sz w:val="16"/>
          <w:szCs w:val="16"/>
        </w:rPr>
        <w:t>.</w:t>
      </w:r>
    </w:p>
    <w:p w14:paraId="7FCAA467" w14:textId="77777777" w:rsidR="00186128" w:rsidRPr="00186128" w:rsidRDefault="00186128"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p>
    <w:bookmarkEnd w:id="261"/>
    <w:p w14:paraId="32252B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 августа </w:t>
      </w:r>
      <w:r w:rsidR="00783C50" w:rsidRPr="002F2FDF">
        <w:rPr>
          <w:rFonts w:ascii="Times New Roman" w:hAnsi="Times New Roman" w:cs="Times New Roman"/>
          <w:color w:val="000000" w:themeColor="text1"/>
          <w:kern w:val="2"/>
          <w:sz w:val="16"/>
          <w:szCs w:val="16"/>
        </w:rPr>
        <w:t xml:space="preserve">(1 сентября) </w:t>
      </w:r>
      <w:r w:rsidRPr="002F2FDF">
        <w:rPr>
          <w:rFonts w:ascii="Times New Roman" w:hAnsi="Times New Roman" w:cs="Times New Roman"/>
          <w:color w:val="000000" w:themeColor="text1"/>
          <w:kern w:val="2"/>
          <w:sz w:val="16"/>
          <w:szCs w:val="16"/>
        </w:rPr>
        <w:t>1917 летчик 2-го истребительного АО подпоручик Чудновский во время боя над деревней Паниковце в р-не Брод с двумя австрийскими самолетами столкнулся с одним из них. У неприятельского аппарата отлетели пропеллер и крыло, и он рухнул камнем, а машина Чудновского опускалась медленно и повисла на деревьях. Оба самолета упали за линией неприятельских окопов. Согласно данным австрийского военного архива, в этот день военный летчик фельдфебель Рудольф Лонстак из 14-й авиароты вылетел на истребителе "Альбатрос D.II" (№53.07) и "...столкнулся во время воздушного боя с неприятельским истребителем "Ньюпор". Оба пилота при падении погибли". 27 августа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570FC0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1FB046" w14:textId="77777777" w:rsidR="00186128" w:rsidRPr="00815ED5" w:rsidRDefault="00186128"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19 (22) августа 1917 г. два</w:t>
      </w:r>
      <w:r w:rsidRPr="00815ED5">
        <w:rPr>
          <w:rFonts w:ascii="Times New Roman" w:hAnsi="Times New Roman" w:cs="Times New Roman"/>
          <w:color w:val="0070C0"/>
          <w:sz w:val="16"/>
          <w:szCs w:val="16"/>
        </w:rPr>
        <w:t xml:space="preserve"> летчика 12-й армии вылетели на борьбу о немецки</w:t>
      </w:r>
      <w:r w:rsidRPr="00815ED5">
        <w:rPr>
          <w:rFonts w:ascii="Times New Roman" w:hAnsi="Times New Roman" w:cs="Times New Roman"/>
          <w:color w:val="0070C0"/>
          <w:sz w:val="16"/>
          <w:szCs w:val="16"/>
        </w:rPr>
        <w:softHyphen/>
        <w:t xml:space="preserve">ми корректировщиками и неожиданно увидели у Иксюкюля </w:t>
      </w:r>
      <w:r>
        <w:rPr>
          <w:rFonts w:ascii="Times New Roman" w:hAnsi="Times New Roman" w:cs="Times New Roman"/>
          <w:color w:val="0070C0"/>
          <w:sz w:val="16"/>
          <w:szCs w:val="16"/>
        </w:rPr>
        <w:t xml:space="preserve">мост, </w:t>
      </w:r>
      <w:r w:rsidRPr="00815ED5">
        <w:rPr>
          <w:rFonts w:ascii="Times New Roman" w:hAnsi="Times New Roman" w:cs="Times New Roman"/>
          <w:color w:val="0070C0"/>
          <w:sz w:val="16"/>
          <w:szCs w:val="16"/>
        </w:rPr>
        <w:t>наведенный чере</w:t>
      </w:r>
      <w:r>
        <w:rPr>
          <w:rFonts w:ascii="Times New Roman" w:hAnsi="Times New Roman" w:cs="Times New Roman"/>
          <w:color w:val="0070C0"/>
          <w:sz w:val="16"/>
          <w:szCs w:val="16"/>
        </w:rPr>
        <w:t>з</w:t>
      </w:r>
      <w:r w:rsidRPr="00815ED5">
        <w:rPr>
          <w:rFonts w:ascii="Times New Roman" w:hAnsi="Times New Roman" w:cs="Times New Roman"/>
          <w:color w:val="0070C0"/>
          <w:sz w:val="16"/>
          <w:szCs w:val="16"/>
        </w:rPr>
        <w:t xml:space="preserve"> Двину и д</w:t>
      </w:r>
      <w:r>
        <w:rPr>
          <w:rFonts w:ascii="Times New Roman" w:hAnsi="Times New Roman" w:cs="Times New Roman"/>
          <w:color w:val="0070C0"/>
          <w:sz w:val="16"/>
          <w:szCs w:val="16"/>
        </w:rPr>
        <w:t>ыв</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оканчивающихся наводкой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Возвратясь,</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летчики доложили о том в штаб армии,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который н</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 xml:space="preserve"> знал о подготовке немцев к на</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 xml:space="preserve">туплению на </w:t>
      </w:r>
      <w:r>
        <w:rPr>
          <w:rFonts w:ascii="Times New Roman" w:hAnsi="Times New Roman" w:cs="Times New Roman"/>
          <w:color w:val="0070C0"/>
          <w:sz w:val="16"/>
          <w:szCs w:val="16"/>
        </w:rPr>
        <w:t>Р</w:t>
      </w:r>
      <w:r w:rsidRPr="00815ED5">
        <w:rPr>
          <w:rFonts w:ascii="Times New Roman" w:hAnsi="Times New Roman" w:cs="Times New Roman"/>
          <w:color w:val="0070C0"/>
          <w:sz w:val="16"/>
          <w:szCs w:val="16"/>
        </w:rPr>
        <w:t>игу,</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и указали направление резервов противника в атом районе.</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Инспектор авиации фронта дважды бывал в штабе армии и настаивал на немедленном отводе авиаотрядов из </w:t>
      </w:r>
      <w:r>
        <w:rPr>
          <w:rFonts w:ascii="Times New Roman" w:hAnsi="Times New Roman" w:cs="Times New Roman"/>
          <w:color w:val="0070C0"/>
          <w:sz w:val="16"/>
          <w:szCs w:val="16"/>
        </w:rPr>
        <w:t>Р</w:t>
      </w:r>
      <w:r w:rsidRPr="00815ED5">
        <w:rPr>
          <w:rFonts w:ascii="Times New Roman" w:hAnsi="Times New Roman" w:cs="Times New Roman"/>
          <w:color w:val="0070C0"/>
          <w:sz w:val="16"/>
          <w:szCs w:val="16"/>
        </w:rPr>
        <w:t>иги в связи о подходом немцев.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Ввиду отсутствия указаний сверху при отступлении не было организованности,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 результате чего отряды потеряли много самолетов.</w:t>
      </w:r>
    </w:p>
    <w:p w14:paraId="10BA482C" w14:textId="77777777" w:rsidR="00186128" w:rsidRDefault="00186128"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/Доклад </w:t>
      </w:r>
      <w:r>
        <w:rPr>
          <w:rFonts w:ascii="Times New Roman" w:hAnsi="Times New Roman" w:cs="Times New Roman"/>
          <w:color w:val="0070C0"/>
          <w:sz w:val="16"/>
          <w:szCs w:val="16"/>
        </w:rPr>
        <w:t>инспе</w:t>
      </w:r>
      <w:r w:rsidRPr="00815ED5">
        <w:rPr>
          <w:rFonts w:ascii="Times New Roman" w:hAnsi="Times New Roman" w:cs="Times New Roman"/>
          <w:color w:val="0070C0"/>
          <w:sz w:val="16"/>
          <w:szCs w:val="16"/>
        </w:rPr>
        <w:t>ктора авиации Сев.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фронта;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2,д.</w:t>
      </w:r>
      <w:r>
        <w:rPr>
          <w:rFonts w:ascii="Times New Roman" w:hAnsi="Times New Roman" w:cs="Times New Roman"/>
          <w:color w:val="0070C0"/>
          <w:sz w:val="16"/>
          <w:szCs w:val="16"/>
        </w:rPr>
        <w:t>62</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48/</w:t>
      </w:r>
      <w:r>
        <w:rPr>
          <w:rFonts w:ascii="Times New Roman" w:hAnsi="Times New Roman" w:cs="Times New Roman"/>
          <w:color w:val="0070C0"/>
          <w:sz w:val="16"/>
          <w:szCs w:val="16"/>
        </w:rPr>
        <w:t xml:space="preserve"> (23320).</w:t>
      </w:r>
    </w:p>
    <w:p w14:paraId="556F722F" w14:textId="77777777" w:rsidR="00186128" w:rsidRPr="00815ED5" w:rsidRDefault="00186128" w:rsidP="0083075A">
      <w:pPr>
        <w:spacing w:after="0" w:line="240" w:lineRule="auto"/>
        <w:jc w:val="both"/>
        <w:rPr>
          <w:rFonts w:ascii="Times New Roman" w:hAnsi="Times New Roman" w:cs="Times New Roman"/>
          <w:color w:val="0070C0"/>
          <w:sz w:val="16"/>
          <w:szCs w:val="16"/>
        </w:rPr>
      </w:pPr>
    </w:p>
    <w:p w14:paraId="126B29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C 19 августа по 24 августа (с 1 по 6 сентября) 1917 была Рижская наступательная операция немцев и Россия потеряла 21 августа (3 сентября) Ригу и Усть-Двинск (1348,44).</w:t>
      </w:r>
    </w:p>
    <w:p w14:paraId="3433A9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F9CBB8" w14:textId="77777777" w:rsidR="00950170" w:rsidRPr="002F2FDF" w:rsidRDefault="00950170"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19 августа (1 сентября) 1917 германские войска перешли в наступление под Ригой. Для русского командования оно не было неожиданным — еще с начала августа авиаразведка докладывала о переброске противником свежих резервов и артиллерии, что подтверждали и перебежчики. Однако никаких контрмер в русском штабе </w:t>
      </w:r>
      <w:r w:rsidRPr="002F2FDF">
        <w:rPr>
          <w:color w:val="000000" w:themeColor="text1"/>
          <w:kern w:val="2"/>
          <w:sz w:val="16"/>
          <w:szCs w:val="16"/>
        </w:rPr>
        <w:lastRenderedPageBreak/>
        <w:t>предпринять не могли.</w:t>
      </w:r>
    </w:p>
    <w:p w14:paraId="56092B3B" w14:textId="77777777" w:rsidR="00950170" w:rsidRPr="002F2FDF" w:rsidRDefault="00950170" w:rsidP="0083075A">
      <w:pPr>
        <w:pStyle w:val="ae"/>
        <w:spacing w:before="0" w:after="0"/>
        <w:jc w:val="both"/>
        <w:rPr>
          <w:color w:val="000000" w:themeColor="text1"/>
          <w:kern w:val="2"/>
          <w:sz w:val="16"/>
          <w:szCs w:val="16"/>
        </w:rPr>
      </w:pPr>
      <w:r w:rsidRPr="002F2FDF">
        <w:rPr>
          <w:color w:val="000000" w:themeColor="text1"/>
          <w:kern w:val="2"/>
          <w:sz w:val="16"/>
          <w:szCs w:val="16"/>
        </w:rPr>
        <w:t>Большая часть подразделений 12-й армии, прикрывавшей Ригу, была деморализована большевистской и анархистской пропагандой, и солдаты открыто отказывались подчиняться командирам, большую часть времени проводя в митингах и совещаниях. Исполнительный комитет солдатских депутатов не имел никакого влияния на солдат, слушавших только большевистских эмиссаров. Чтобы хоть как-то исправить ситуацию, командующий 12-й армией генерал Дмитрий Парский даже объявил себя эсером, но и это мало помогло. Военный историк Зайончковский так описал общее состоянии войск под Ригой в те дни: «Пополнения из тыла не прибывали, люди старших возрастов были уволены домой на полевые работы; украинцы ушли на Украину; число рядов в ротах было невелико. Командный состав утратил влияние на солдатскую массу. Штабы отсиживались в тылу».</w:t>
      </w:r>
    </w:p>
    <w:p w14:paraId="38CC6B06" w14:textId="77777777" w:rsidR="00950170" w:rsidRPr="002F2FDF" w:rsidRDefault="00950170" w:rsidP="0083075A">
      <w:pPr>
        <w:pStyle w:val="ae"/>
        <w:spacing w:before="0" w:after="0"/>
        <w:jc w:val="both"/>
        <w:rPr>
          <w:color w:val="000000" w:themeColor="text1"/>
          <w:kern w:val="2"/>
          <w:sz w:val="16"/>
          <w:szCs w:val="16"/>
        </w:rPr>
      </w:pPr>
      <w:r w:rsidRPr="002F2FDF">
        <w:rPr>
          <w:color w:val="000000" w:themeColor="text1"/>
          <w:kern w:val="2"/>
          <w:sz w:val="16"/>
          <w:szCs w:val="16"/>
        </w:rPr>
        <w:t>Наступление началось 1 сентября в 4 часа утра с короткой, но мощной артподготовки, под прикрытием которой германские части к востоку от Риги в районе города Икскюль (ныне Икшкиле) начали переправу через Западную Двину (Даугаву), по которой проходила линия фронта. В районе главного удара немцы сосредоточили 157 тяжелых и легких артиллерийских и 21 минометную батарею. Их огонь вывел из строя большинство русских орудий и привел к взрыву пороховых складов, что лишило русские войска на время поддержки артиллерии.</w:t>
      </w:r>
    </w:p>
    <w:p w14:paraId="153290EF" w14:textId="77777777" w:rsidR="00950170" w:rsidRPr="002F2FDF" w:rsidRDefault="00950170" w:rsidP="0083075A">
      <w:pPr>
        <w:pStyle w:val="ae"/>
        <w:spacing w:before="0" w:after="0"/>
        <w:jc w:val="both"/>
        <w:rPr>
          <w:color w:val="000000" w:themeColor="text1"/>
          <w:kern w:val="2"/>
          <w:sz w:val="16"/>
          <w:szCs w:val="16"/>
        </w:rPr>
      </w:pPr>
      <w:r w:rsidRPr="002F2FDF">
        <w:rPr>
          <w:color w:val="000000" w:themeColor="text1"/>
          <w:kern w:val="2"/>
          <w:sz w:val="16"/>
          <w:szCs w:val="16"/>
        </w:rPr>
        <w:t>В этих условиях распропагандированные большевиками солдаты 186-й пехотной дивизии, в зоне ответственности которой германцы начали форсирование реки, почти в полном составе бросили позиции и бежали в тыл. В результате немцы без помех навели три понтонных моста и уже к полудню главные силы 2-й германской дивизии переправились на другой берег реки.</w:t>
      </w:r>
    </w:p>
    <w:p w14:paraId="4FEEECCD" w14:textId="77777777" w:rsidR="00950170" w:rsidRPr="002F2FDF" w:rsidRDefault="00950170" w:rsidP="0083075A">
      <w:pPr>
        <w:pStyle w:val="ae"/>
        <w:spacing w:before="0" w:after="0"/>
        <w:jc w:val="both"/>
        <w:rPr>
          <w:color w:val="000000" w:themeColor="text1"/>
          <w:kern w:val="2"/>
          <w:sz w:val="16"/>
          <w:szCs w:val="16"/>
        </w:rPr>
      </w:pPr>
      <w:r w:rsidRPr="002F2FDF">
        <w:rPr>
          <w:color w:val="000000" w:themeColor="text1"/>
          <w:kern w:val="2"/>
          <w:sz w:val="16"/>
          <w:szCs w:val="16"/>
        </w:rPr>
        <w:t>Получив донесение о форсировании немцами Западной Двины, командующий армией генерал Парский, опасаясь окружения, приказал оставить Ригу (17045).</w:t>
      </w:r>
    </w:p>
    <w:p w14:paraId="1BFF555C" w14:textId="77777777" w:rsidR="00950170" w:rsidRPr="002F2FDF" w:rsidRDefault="0095017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7A58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августа (1 сентября) 1917 немцы взяли Ригу (3481).</w:t>
      </w:r>
    </w:p>
    <w:p w14:paraId="49A4FB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4DB639"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19 августа (1 сентября) </w:t>
      </w:r>
      <w:r w:rsidRPr="002F2FDF">
        <w:rPr>
          <w:rFonts w:ascii="Times New Roman" w:hAnsi="Times New Roman" w:cs="Times New Roman"/>
          <w:color w:val="000000" w:themeColor="text1"/>
          <w:kern w:val="2"/>
          <w:sz w:val="16"/>
          <w:szCs w:val="16"/>
        </w:rPr>
        <w:t>в 1917 году на Восточном фронте успешное наступление германских войск заканчивается взятием Риги (бои продолжаются до 3 сентября) (14756).</w:t>
      </w:r>
    </w:p>
    <w:p w14:paraId="155482B3"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p>
    <w:p w14:paraId="6626C645" w14:textId="77777777" w:rsidR="00B85F42" w:rsidRPr="002F2FDF" w:rsidRDefault="00B85F4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августа (1 сентября) 1917 г. германское наступление и катастрофа 12-й русской армии под Ригой (17326).</w:t>
      </w:r>
    </w:p>
    <w:p w14:paraId="78913C93" w14:textId="77777777" w:rsidR="00B85F42" w:rsidRPr="002F2FDF" w:rsidRDefault="00B85F42" w:rsidP="0083075A">
      <w:pPr>
        <w:spacing w:after="0" w:line="240" w:lineRule="auto"/>
        <w:jc w:val="both"/>
        <w:rPr>
          <w:rFonts w:ascii="Times New Roman" w:hAnsi="Times New Roman" w:cs="Times New Roman"/>
          <w:color w:val="000000" w:themeColor="text1"/>
          <w:kern w:val="2"/>
          <w:sz w:val="16"/>
          <w:szCs w:val="16"/>
        </w:rPr>
      </w:pPr>
    </w:p>
    <w:p w14:paraId="76CDC8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Утром 19 августа </w:t>
      </w:r>
      <w:r w:rsidR="00783C50" w:rsidRPr="002F2FDF">
        <w:rPr>
          <w:rFonts w:ascii="Times New Roman" w:hAnsi="Times New Roman" w:cs="Times New Roman"/>
          <w:color w:val="000000" w:themeColor="text1"/>
          <w:kern w:val="2"/>
          <w:sz w:val="16"/>
          <w:szCs w:val="16"/>
        </w:rPr>
        <w:t xml:space="preserve">(1 сентября) </w:t>
      </w:r>
      <w:r w:rsidRPr="002F2FDF">
        <w:rPr>
          <w:rFonts w:ascii="Times New Roman" w:hAnsi="Times New Roman" w:cs="Times New Roman"/>
          <w:color w:val="000000" w:themeColor="text1"/>
          <w:kern w:val="2"/>
          <w:sz w:val="16"/>
          <w:szCs w:val="16"/>
        </w:rPr>
        <w:t>1917 немцы пошли в атаку. Русские войска хоть и оказали упорное сопротивление, однако 21 августа вынуждены были оставить Ригу. Ввиду поспешного отступления авиаотряды ХII-й армии не приняли активного участия в боевых действиях. Неисправные самолеты и большую часть авиаимущества пришлось бросить или сжечь. Зато почти все исправные машины удалось перегнать в тыл, на аэродромы в районе станций Венден и Фрейденберг. При этом 6 аппаратов получили повреждения при посадках на незнакомые площадки, после чего были сданы в ремонт (11237).</w:t>
      </w:r>
    </w:p>
    <w:p w14:paraId="4F9AE5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992CC4" w14:textId="148615F5" w:rsidR="001F271E" w:rsidRPr="00FB4F67" w:rsidRDefault="001F271E"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19 августа (</w:t>
      </w:r>
      <w:r w:rsidRPr="00FB4F67">
        <w:rPr>
          <w:rFonts w:ascii="Times New Roman" w:hAnsi="Times New Roman" w:cs="Times New Roman"/>
          <w:color w:val="0070C0"/>
          <w:sz w:val="16"/>
          <w:szCs w:val="16"/>
        </w:rPr>
        <w:t>1 сентября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на Северном фронте немецкая 8-я армия прорвала позиции русских в наступлении на Ригу. Русские войска были недисциплинированы, многие не желали продолжать боевые действия. Русскую 12-ю армию поддерживали 10-я КАО, 23-я КАО, 33-я КАО, 12-я армия АО, 1-я и 12-я ФАО (23525).</w:t>
      </w:r>
    </w:p>
    <w:p w14:paraId="3E576200" w14:textId="77777777" w:rsidR="001F271E" w:rsidRPr="00FB4F67" w:rsidRDefault="001F271E" w:rsidP="0083075A">
      <w:pPr>
        <w:spacing w:after="0" w:line="240" w:lineRule="auto"/>
        <w:jc w:val="both"/>
        <w:rPr>
          <w:rFonts w:ascii="Times New Roman" w:hAnsi="Times New Roman" w:cs="Times New Roman"/>
          <w:color w:val="0070C0"/>
          <w:sz w:val="16"/>
          <w:szCs w:val="16"/>
        </w:rPr>
      </w:pPr>
    </w:p>
    <w:p w14:paraId="39576B26" w14:textId="58C17DC5" w:rsidR="001F271E" w:rsidRPr="00FB4F67" w:rsidRDefault="001F271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На </w:t>
      </w:r>
      <w:r>
        <w:rPr>
          <w:rFonts w:ascii="Times New Roman" w:hAnsi="Times New Roman" w:cs="Times New Roman"/>
          <w:color w:val="0070C0"/>
          <w:sz w:val="16"/>
          <w:szCs w:val="16"/>
        </w:rPr>
        <w:t>19 августа (</w:t>
      </w:r>
      <w:r w:rsidRPr="00FB4F67">
        <w:rPr>
          <w:rFonts w:ascii="Times New Roman" w:hAnsi="Times New Roman" w:cs="Times New Roman"/>
          <w:color w:val="0070C0"/>
          <w:sz w:val="16"/>
          <w:szCs w:val="16"/>
        </w:rPr>
        <w:t>1 сентября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1-м авиадивизионе Черноморского флота было 36 самолетов, во 2-м авиадивизионе — 20 самолетов, в 3-м авиадивизионе — 16 самолетов, в 4-м авиадивизионе — 25 боевых самолетов. В конце 1917 г. Черноморская морская авиация насчитывала около 74 летчиков и 112 исправных самолетов.</w:t>
      </w:r>
    </w:p>
    <w:p w14:paraId="69B65FC7" w14:textId="77777777" w:rsidR="001F271E" w:rsidRPr="00FB4F67" w:rsidRDefault="001F271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Командирами Черноморской авиационной дивизии были: капитан 1-го ранга М. И. Федорович до июня 1917 г.; Капитан 2-го ранга А. Н. Заев с июня-сентября 1917 г.; и капитан 1-го ранга Н.И. Черниловский-Сокол с сентября 1917 г. В течение октября 1917 г. 1-ю и 2-ю корабельные части возглавляли Подпоручики В.С. Ткач и В.Я. Закаржевский (23525).</w:t>
      </w:r>
    </w:p>
    <w:p w14:paraId="1485405E" w14:textId="77777777" w:rsidR="001F271E" w:rsidRPr="00FB4F67" w:rsidRDefault="001F271E" w:rsidP="0083075A">
      <w:pPr>
        <w:spacing w:after="0" w:line="240" w:lineRule="auto"/>
        <w:jc w:val="both"/>
        <w:rPr>
          <w:rFonts w:ascii="Times New Roman" w:hAnsi="Times New Roman" w:cs="Times New Roman"/>
          <w:color w:val="0070C0"/>
          <w:sz w:val="16"/>
          <w:szCs w:val="16"/>
        </w:rPr>
      </w:pPr>
    </w:p>
    <w:p w14:paraId="57031F47" w14:textId="0EBF053A" w:rsidR="001F271E" w:rsidRPr="00FB4F67" w:rsidRDefault="001F271E"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19 августа (</w:t>
      </w:r>
      <w:r w:rsidRPr="00FB4F67">
        <w:rPr>
          <w:rFonts w:ascii="Times New Roman" w:hAnsi="Times New Roman" w:cs="Times New Roman"/>
          <w:color w:val="0070C0"/>
          <w:sz w:val="16"/>
          <w:szCs w:val="16"/>
        </w:rPr>
        <w:t>1 сентября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на Кавказском фронте турецкая авиация бомбила русский аэродром Хинис (23525).</w:t>
      </w:r>
    </w:p>
    <w:p w14:paraId="2DD3CB6C" w14:textId="77777777" w:rsidR="001F271E" w:rsidRPr="00FB4F67" w:rsidRDefault="001F271E" w:rsidP="0083075A">
      <w:pPr>
        <w:spacing w:after="0" w:line="240" w:lineRule="auto"/>
        <w:jc w:val="both"/>
        <w:rPr>
          <w:rFonts w:ascii="Times New Roman" w:hAnsi="Times New Roman" w:cs="Times New Roman"/>
          <w:color w:val="0070C0"/>
          <w:sz w:val="16"/>
          <w:szCs w:val="16"/>
        </w:rPr>
      </w:pPr>
    </w:p>
    <w:p w14:paraId="0471E63F" w14:textId="77777777" w:rsidR="00680400"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09ABBE1" w14:textId="77777777" w:rsidR="00680400" w:rsidRPr="002F2FDF" w:rsidRDefault="0068040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267B08" w14:textId="58DD1E89"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19 августа (1 сентября) 1917 года</w:t>
      </w:r>
      <w:r w:rsidRPr="002F2FDF">
        <w:rPr>
          <w:rFonts w:ascii="Times New Roman" w:hAnsi="Times New Roman" w:cs="Times New Roman"/>
          <w:color w:val="000000" w:themeColor="text1"/>
          <w:kern w:val="2"/>
          <w:sz w:val="16"/>
          <w:szCs w:val="16"/>
        </w:rPr>
        <w:t xml:space="preserve"> </w:t>
      </w:r>
      <w:r w:rsidR="00186128">
        <w:rPr>
          <w:rFonts w:ascii="Times New Roman" w:hAnsi="Times New Roman" w:cs="Times New Roman"/>
          <w:color w:val="000000" w:themeColor="text1"/>
          <w:kern w:val="2"/>
          <w:sz w:val="16"/>
          <w:szCs w:val="16"/>
        </w:rPr>
        <w:t>с</w:t>
      </w:r>
      <w:r w:rsidRPr="002F2FDF">
        <w:rPr>
          <w:rFonts w:ascii="Times New Roman" w:hAnsi="Times New Roman" w:cs="Times New Roman"/>
          <w:color w:val="000000" w:themeColor="text1"/>
          <w:kern w:val="2"/>
          <w:sz w:val="16"/>
          <w:szCs w:val="16"/>
        </w:rPr>
        <w:t>остоялся первый полет английского истребителя PV.8 Eastchurch Kitten разработанного лейтенантом G H Millar в центре RNAS Experimental Flight, находящегося в городе Eastchurch. PV.8 представлял собой одноместный деревянный одностоечный биплан, оснащенный двигателем ABC Gnat мощностью 35 л.с (хотя по проекту должен был установлен такой же двигатель, но мощностью 45 л.с.). Вооружение как и у предшественника PV.7 состояло из одного 7.7-мм пулемета Lewis, установленного над верхним крылом (14756).</w:t>
      </w:r>
    </w:p>
    <w:p w14:paraId="3E4AC902"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p>
    <w:p w14:paraId="560E292B" w14:textId="77777777" w:rsidR="00950170"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84E2F7C" w14:textId="77777777" w:rsidR="00950170" w:rsidRPr="002F2FDF" w:rsidRDefault="0095017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BC7F6E" w14:textId="10014EF9" w:rsidR="00EE7F7C" w:rsidRPr="00FB4F67" w:rsidRDefault="00EE7F7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20 августа </w:t>
      </w:r>
      <w:r>
        <w:rPr>
          <w:rFonts w:ascii="Times New Roman" w:hAnsi="Times New Roman" w:cs="Times New Roman"/>
          <w:color w:val="0070C0"/>
          <w:sz w:val="16"/>
          <w:szCs w:val="16"/>
        </w:rPr>
        <w:t xml:space="preserve">(2 сентября) </w:t>
      </w:r>
      <w:r w:rsidRPr="00FB4F67">
        <w:rPr>
          <w:rFonts w:ascii="Times New Roman" w:hAnsi="Times New Roman" w:cs="Times New Roman"/>
          <w:color w:val="0070C0"/>
          <w:sz w:val="16"/>
          <w:szCs w:val="16"/>
        </w:rPr>
        <w:t>1917 г., мобилизовав все оставшиеся силы 1-й и 3-й боевые отряды подняли в воздух семь воздушных кораблей во главе с подполковни</w:t>
      </w:r>
      <w:r w:rsidRPr="00FB4F67">
        <w:rPr>
          <w:rFonts w:ascii="Times New Roman" w:hAnsi="Times New Roman" w:cs="Times New Roman"/>
          <w:color w:val="0070C0"/>
          <w:sz w:val="16"/>
          <w:szCs w:val="16"/>
        </w:rPr>
        <w:softHyphen/>
        <w:t>ком Башко. Вместе с 1-й истреби</w:t>
      </w:r>
      <w:r w:rsidRPr="00FB4F67">
        <w:rPr>
          <w:rFonts w:ascii="Times New Roman" w:hAnsi="Times New Roman" w:cs="Times New Roman"/>
          <w:color w:val="0070C0"/>
          <w:sz w:val="16"/>
          <w:szCs w:val="16"/>
        </w:rPr>
        <w:softHyphen/>
        <w:t>тельной группой легендарного АА Казакова они стали делать груп</w:t>
      </w:r>
      <w:r w:rsidRPr="00FB4F67">
        <w:rPr>
          <w:rFonts w:ascii="Times New Roman" w:hAnsi="Times New Roman" w:cs="Times New Roman"/>
          <w:color w:val="0070C0"/>
          <w:sz w:val="16"/>
          <w:szCs w:val="16"/>
        </w:rPr>
        <w:softHyphen/>
        <w:t>повые налёты. В полосе фронта длиной в 30 и глубиной 15 верст было уничтожено всё. Наступление немцев приостановилось (23469).</w:t>
      </w:r>
    </w:p>
    <w:p w14:paraId="2371823E" w14:textId="77777777" w:rsidR="00EE7F7C" w:rsidRPr="00FB4F67" w:rsidRDefault="00EE7F7C" w:rsidP="0083075A">
      <w:pPr>
        <w:spacing w:after="0" w:line="240" w:lineRule="auto"/>
        <w:jc w:val="both"/>
        <w:rPr>
          <w:rFonts w:ascii="Times New Roman" w:hAnsi="Times New Roman" w:cs="Times New Roman"/>
          <w:color w:val="0070C0"/>
          <w:sz w:val="16"/>
          <w:szCs w:val="16"/>
        </w:rPr>
      </w:pPr>
    </w:p>
    <w:p w14:paraId="7D20DD0B" w14:textId="5026C7FD" w:rsidR="00203A11" w:rsidRPr="00FB4F67" w:rsidRDefault="00203A1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20 августа (</w:t>
      </w:r>
      <w:r w:rsidRPr="00FB4F67">
        <w:rPr>
          <w:rFonts w:ascii="Times New Roman" w:hAnsi="Times New Roman" w:cs="Times New Roman"/>
          <w:color w:val="0070C0"/>
          <w:sz w:val="16"/>
          <w:szCs w:val="16"/>
        </w:rPr>
        <w:t>2 сентября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русский аэроплан, пилотируемый французским летчиком Ламманом, в районе нижнего течения р. Збруч атаковал германский привязной аэростат. Снизившись над ним до 400 м, летчик «метко сбросил зажигательный снаряд. Аэростат взорвался и быстро стал падать. Германский наблюдатель выбросился из корзины с парашютом; но зонт не развернулся, и германский наблюдатель упал на землю. Германцы засыпали нашего храбреца-летчика дождем шрапнелей. Аэроплан благополучно взвился ввысь и вскоре достиг нашего расположения» (23405).</w:t>
      </w:r>
    </w:p>
    <w:p w14:paraId="70CCEFCC" w14:textId="77777777" w:rsidR="00203A11" w:rsidRPr="00FB4F67" w:rsidRDefault="00203A11" w:rsidP="0083075A">
      <w:pPr>
        <w:spacing w:after="0" w:line="240" w:lineRule="auto"/>
        <w:jc w:val="both"/>
        <w:rPr>
          <w:rFonts w:ascii="Times New Roman" w:hAnsi="Times New Roman" w:cs="Times New Roman"/>
          <w:color w:val="0070C0"/>
          <w:sz w:val="16"/>
          <w:szCs w:val="16"/>
        </w:rPr>
      </w:pPr>
    </w:p>
    <w:p w14:paraId="0118483E" w14:textId="4A84D981" w:rsidR="00203A11" w:rsidRPr="00FB4F67" w:rsidRDefault="00203A1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20 августа </w:t>
      </w:r>
      <w:r>
        <w:rPr>
          <w:rFonts w:ascii="Times New Roman" w:hAnsi="Times New Roman" w:cs="Times New Roman"/>
          <w:color w:val="0070C0"/>
          <w:sz w:val="16"/>
          <w:szCs w:val="16"/>
        </w:rPr>
        <w:t xml:space="preserve">(2 сентября) </w:t>
      </w:r>
      <w:r w:rsidRPr="00FB4F67">
        <w:rPr>
          <w:rFonts w:ascii="Times New Roman" w:hAnsi="Times New Roman" w:cs="Times New Roman"/>
          <w:color w:val="0070C0"/>
          <w:sz w:val="16"/>
          <w:szCs w:val="16"/>
        </w:rPr>
        <w:t>1917 г. нашими частями был сбит неприятельский самолет, который упал между окопами к северо-востоку от д. Галичаны. Летчики «не пострадали и успели убежать в свои окопы». В районе Гржимайлова русские авиаторы атаковали и рассеяли в воздухе вражескую авиагруппу (6 аппаратов). На следующий день в районе Пьятра был сбит самолет 33-й австрийской авиационной роты. Экипаж попал в плен (23405).</w:t>
      </w:r>
    </w:p>
    <w:p w14:paraId="1B9831FE" w14:textId="77777777" w:rsidR="00203A11" w:rsidRPr="00FB4F67" w:rsidRDefault="00203A11" w:rsidP="0083075A">
      <w:pPr>
        <w:spacing w:after="0" w:line="240" w:lineRule="auto"/>
        <w:jc w:val="both"/>
        <w:rPr>
          <w:rFonts w:ascii="Times New Roman" w:hAnsi="Times New Roman" w:cs="Times New Roman"/>
          <w:color w:val="0070C0"/>
          <w:sz w:val="16"/>
          <w:szCs w:val="16"/>
        </w:rPr>
      </w:pPr>
    </w:p>
    <w:p w14:paraId="6A809238" w14:textId="77777777" w:rsidR="00950170" w:rsidRPr="002F2FDF" w:rsidRDefault="00950170" w:rsidP="0083075A">
      <w:pPr>
        <w:pStyle w:val="ae"/>
        <w:spacing w:before="0" w:after="0"/>
        <w:jc w:val="both"/>
        <w:rPr>
          <w:color w:val="000000" w:themeColor="text1"/>
          <w:kern w:val="2"/>
          <w:sz w:val="16"/>
          <w:szCs w:val="16"/>
        </w:rPr>
      </w:pPr>
      <w:r w:rsidRPr="002F2FDF">
        <w:rPr>
          <w:color w:val="000000" w:themeColor="text1"/>
          <w:kern w:val="2"/>
          <w:sz w:val="16"/>
          <w:szCs w:val="16"/>
        </w:rPr>
        <w:t>20 августа (2 сентября) 1917 германские войска, без боя заняв Икскюль и проходящую через него железную дорогу, двинулись вдоль нее в сторону Риги, не встречая никакого сопротивления. Лишь в пригороде на рубеже реки Малый Егель (ныне Югла) заняла оборону 2-я латышская стрелковая бригада, укомплектованная местными жителями. Латышские стрелки хоть и не были чужды революционным идеям, но поддерживали в своих частях железную дисциплину, и сражались особенно упорно, поскольку защищали свои дома. Ожесточенные бои в этом районе продолжались больше суток, но после того, как отошли все соседние русские подразделения, латышская бригада также была вынуждены отступить, чтобы избежать окружения (17045).</w:t>
      </w:r>
    </w:p>
    <w:p w14:paraId="61765704" w14:textId="77777777" w:rsidR="00950170" w:rsidRPr="002F2FDF" w:rsidRDefault="0095017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F52B2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F84D3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A464A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августа (2 сентября) 1917 ЦК кадетской партии приняло резолюцию о необходимости скорейшего установления военной диктатуры в России (4962).</w:t>
      </w:r>
    </w:p>
    <w:p w14:paraId="6EB6B92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40BE02" w14:textId="77777777" w:rsidR="0074459A" w:rsidRPr="002F2FDF" w:rsidRDefault="0074459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DC630FD" w14:textId="77777777" w:rsidR="0074459A" w:rsidRPr="002F2FDF" w:rsidRDefault="0074459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F29900" w14:textId="77777777" w:rsidR="0074459A" w:rsidRPr="002F2FDF" w:rsidRDefault="0074459A" w:rsidP="0083075A">
      <w:pPr>
        <w:pStyle w:val="ae"/>
        <w:spacing w:before="0" w:after="0"/>
        <w:jc w:val="both"/>
        <w:rPr>
          <w:color w:val="000000" w:themeColor="text1"/>
          <w:sz w:val="16"/>
          <w:szCs w:val="16"/>
        </w:rPr>
      </w:pPr>
      <w:r w:rsidRPr="002F2FDF">
        <w:rPr>
          <w:color w:val="000000" w:themeColor="text1"/>
          <w:sz w:val="16"/>
          <w:szCs w:val="16"/>
        </w:rPr>
        <w:t>20 августа (2 сентября) 1917 г. Фридрихсхафен FF 41At Вольфрама Эйзенлора атаковал в Рижском заливе у мыса Кави русский эсминец «Стройный». Командир самолета доложил, что одна бомба попала в носовую часть цели, а вторая взорвалась в непосредственной близости от правого борта и корабль уничтожен. На самом деле морально устаревший миноносец с водоизмещением чуть больше катера, которому титул «эскадренный» был присвоен разве что «за компанию» с новейшими гораздо более мощными и крупными кораблями типа «Новик», сидел на мели еще с 15 августа – 28 по новому стилю. Шел уже шестой день с момента аварии, спасать его в сильный ветер смысла не было никакого, экипаж эвакуировали, а судно просто бросили. Из-за воцарившегося в России между двумя революциями беспорядка, лишь усиленного случившимся как раз в эти дни корниловским мятежом, было не до бюрократии, и давно разбитый волнами «Стройный» списали по документам лишь в 1918 г. уже в советском Наркомате по военным и морским делам (23074).</w:t>
      </w:r>
    </w:p>
    <w:p w14:paraId="74E447F3" w14:textId="77777777" w:rsidR="0074459A" w:rsidRPr="002F2FDF" w:rsidRDefault="0074459A" w:rsidP="0083075A">
      <w:pPr>
        <w:pStyle w:val="ae"/>
        <w:spacing w:before="0" w:after="0"/>
        <w:jc w:val="both"/>
        <w:rPr>
          <w:color w:val="000000" w:themeColor="text1"/>
          <w:sz w:val="16"/>
          <w:szCs w:val="16"/>
        </w:rPr>
      </w:pPr>
    </w:p>
    <w:p w14:paraId="3483B22E" w14:textId="77777777" w:rsidR="0074459A" w:rsidRPr="002F2FDF" w:rsidRDefault="0074459A" w:rsidP="0083075A">
      <w:pPr>
        <w:pStyle w:val="ae"/>
        <w:spacing w:before="0" w:after="0"/>
        <w:jc w:val="both"/>
        <w:rPr>
          <w:color w:val="000000" w:themeColor="text1"/>
          <w:sz w:val="16"/>
          <w:szCs w:val="16"/>
        </w:rPr>
      </w:pPr>
      <w:r w:rsidRPr="002F2FDF">
        <w:rPr>
          <w:color w:val="000000" w:themeColor="text1"/>
          <w:sz w:val="16"/>
          <w:szCs w:val="16"/>
        </w:rPr>
        <w:t>20 августа (2 сентября) 1917 немцы с целью сорвать наступление французской армии применили 300 тыс. ипритных снарядов на фронте шириной в 30 км и глубиной в 4 км (20246).</w:t>
      </w:r>
    </w:p>
    <w:p w14:paraId="3B574B41" w14:textId="77777777" w:rsidR="0074459A" w:rsidRPr="002F2FDF" w:rsidRDefault="0074459A" w:rsidP="0083075A">
      <w:pPr>
        <w:pStyle w:val="ae"/>
        <w:spacing w:before="0" w:after="0"/>
        <w:jc w:val="both"/>
        <w:rPr>
          <w:color w:val="000000" w:themeColor="text1"/>
          <w:sz w:val="16"/>
          <w:szCs w:val="16"/>
        </w:rPr>
      </w:pPr>
    </w:p>
    <w:p w14:paraId="72E90BF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17DE3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8A591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августа (3 сентября) 1917 на Матиас дело, казалось бы, сдвинулось с мертвой точки. Ис</w:t>
      </w:r>
      <w:r w:rsidRPr="002F2FDF">
        <w:rPr>
          <w:rFonts w:ascii="Times New Roman" w:hAnsi="Times New Roman" w:cs="Times New Roman"/>
          <w:color w:val="000000" w:themeColor="text1"/>
          <w:kern w:val="2"/>
          <w:sz w:val="16"/>
          <w:szCs w:val="16"/>
        </w:rPr>
        <w:softHyphen/>
        <w:t>полнительный директор Завадский издал циркуляр № 1, в котором объявлял планируемые сроки выполнения контракта по “Фарманам”. Первый самолет собирались сдать к 1 октября, 30 машин — в течение октября, а остальные — в ноябре-декабре. Заканчивался циркуляр призывом: “Ввиду чрезвычайной важности скорейшего изготовления аэропланов, прошу г.г. начальников отделов, заведующих мастер</w:t>
      </w:r>
      <w:r w:rsidRPr="002F2FDF">
        <w:rPr>
          <w:rFonts w:ascii="Times New Roman" w:hAnsi="Times New Roman" w:cs="Times New Roman"/>
          <w:color w:val="000000" w:themeColor="text1"/>
          <w:kern w:val="2"/>
          <w:sz w:val="16"/>
          <w:szCs w:val="16"/>
        </w:rPr>
        <w:softHyphen/>
        <w:t>скими и мастеров принять все меры к изготовлению аппаратов к ука</w:t>
      </w:r>
      <w:r w:rsidRPr="002F2FDF">
        <w:rPr>
          <w:rFonts w:ascii="Times New Roman" w:hAnsi="Times New Roman" w:cs="Times New Roman"/>
          <w:color w:val="000000" w:themeColor="text1"/>
          <w:kern w:val="2"/>
          <w:sz w:val="16"/>
          <w:szCs w:val="16"/>
        </w:rPr>
        <w:softHyphen/>
        <w:t>занному сроку”. Но и этот призыв не помог. Руководство “Матиаса” и УВВФ продолжали обмениваться упреками. В ответ на заявления о нехватке материалов и комплектующих, военные выдвинули обвине</w:t>
      </w:r>
      <w:r w:rsidRPr="002F2FDF">
        <w:rPr>
          <w:rFonts w:ascii="Times New Roman" w:hAnsi="Times New Roman" w:cs="Times New Roman"/>
          <w:color w:val="000000" w:themeColor="text1"/>
          <w:kern w:val="2"/>
          <w:sz w:val="16"/>
          <w:szCs w:val="16"/>
        </w:rPr>
        <w:softHyphen/>
        <w:t>ния в нерациональном расходовании авансов, выданных фирме в счет подписанных контрактов. Утверждалось, что вместо закупки ма</w:t>
      </w:r>
      <w:r w:rsidRPr="002F2FDF">
        <w:rPr>
          <w:rFonts w:ascii="Times New Roman" w:hAnsi="Times New Roman" w:cs="Times New Roman"/>
          <w:color w:val="000000" w:themeColor="text1"/>
          <w:kern w:val="2"/>
          <w:sz w:val="16"/>
          <w:szCs w:val="16"/>
        </w:rPr>
        <w:softHyphen/>
        <w:t>териалов и комплектующих для выпуска продукции администрация приобрела слишком много нового оборудования, намереваясь за счет казны модернизировать предприятие. Все еще не выпустив ни одного самолета, правление “Матиаса” попыталось получить новые авансы и в сентябре обратилось в УВВФ с просьбой выдать очеред</w:t>
      </w:r>
      <w:r w:rsidRPr="002F2FDF">
        <w:rPr>
          <w:rFonts w:ascii="Times New Roman" w:hAnsi="Times New Roman" w:cs="Times New Roman"/>
          <w:color w:val="000000" w:themeColor="text1"/>
          <w:kern w:val="2"/>
          <w:sz w:val="16"/>
          <w:szCs w:val="16"/>
        </w:rPr>
        <w:softHyphen/>
        <w:t>ной заказ на поставку в первом полугодии 1918 г. 160 “Спадов”. Ес</w:t>
      </w:r>
      <w:r w:rsidRPr="002F2FDF">
        <w:rPr>
          <w:rFonts w:ascii="Times New Roman" w:hAnsi="Times New Roman" w:cs="Times New Roman"/>
          <w:color w:val="000000" w:themeColor="text1"/>
          <w:kern w:val="2"/>
          <w:sz w:val="16"/>
          <w:szCs w:val="16"/>
        </w:rPr>
        <w:softHyphen/>
        <w:t>тественно, эта просьба не была удовлетворена (11154).</w:t>
      </w:r>
    </w:p>
    <w:p w14:paraId="27896DE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49EB8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4DD14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655B89" w14:textId="42233737" w:rsidR="003431D2" w:rsidRPr="009E4C2F" w:rsidRDefault="00CB286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lang w:val="en-US"/>
        </w:rPr>
        <w:t>August</w:t>
      </w:r>
      <w:r w:rsidRPr="009E4C2F">
        <w:rPr>
          <w:rFonts w:ascii="Times New Roman" w:hAnsi="Times New Roman" w:cs="Times New Roman"/>
          <w:color w:val="000000" w:themeColor="text1"/>
          <w:kern w:val="2"/>
          <w:sz w:val="16"/>
          <w:szCs w:val="16"/>
        </w:rPr>
        <w:t xml:space="preserve"> 21 (</w:t>
      </w:r>
      <w:r w:rsidR="003431D2" w:rsidRPr="00CB2867">
        <w:rPr>
          <w:rFonts w:ascii="Times New Roman" w:hAnsi="Times New Roman" w:cs="Times New Roman"/>
          <w:color w:val="000000" w:themeColor="text1"/>
          <w:kern w:val="2"/>
          <w:sz w:val="16"/>
          <w:szCs w:val="16"/>
          <w:lang w:val="en-US"/>
        </w:rPr>
        <w:t>September</w:t>
      </w:r>
      <w:r w:rsidR="003431D2" w:rsidRPr="009E4C2F">
        <w:rPr>
          <w:rFonts w:ascii="Times New Roman" w:hAnsi="Times New Roman" w:cs="Times New Roman"/>
          <w:color w:val="000000" w:themeColor="text1"/>
          <w:kern w:val="2"/>
          <w:sz w:val="16"/>
          <w:szCs w:val="16"/>
        </w:rPr>
        <w:t xml:space="preserve"> 3</w:t>
      </w:r>
      <w:r w:rsidRPr="009E4C2F">
        <w:rPr>
          <w:rFonts w:ascii="Times New Roman" w:hAnsi="Times New Roman" w:cs="Times New Roman"/>
          <w:color w:val="000000" w:themeColor="text1"/>
          <w:kern w:val="2"/>
          <w:sz w:val="16"/>
          <w:szCs w:val="16"/>
        </w:rPr>
        <w:t>)</w:t>
      </w:r>
      <w:r w:rsidR="003431D2" w:rsidRPr="009E4C2F">
        <w:rPr>
          <w:rFonts w:ascii="Times New Roman" w:hAnsi="Times New Roman" w:cs="Times New Roman"/>
          <w:color w:val="000000" w:themeColor="text1"/>
          <w:kern w:val="2"/>
          <w:sz w:val="16"/>
          <w:szCs w:val="16"/>
        </w:rPr>
        <w:t xml:space="preserve">, 1917 </w:t>
      </w:r>
      <w:r w:rsidR="003431D2" w:rsidRPr="00CB2867">
        <w:rPr>
          <w:rFonts w:ascii="Times New Roman" w:hAnsi="Times New Roman" w:cs="Times New Roman"/>
          <w:color w:val="000000" w:themeColor="text1"/>
          <w:kern w:val="2"/>
          <w:sz w:val="16"/>
          <w:szCs w:val="16"/>
          <w:lang w:val="en-US"/>
        </w:rPr>
        <w:t>Riga</w:t>
      </w:r>
      <w:r w:rsidR="003431D2" w:rsidRPr="009E4C2F">
        <w:rPr>
          <w:rFonts w:ascii="Times New Roman" w:hAnsi="Times New Roman" w:cs="Times New Roman"/>
          <w:color w:val="000000" w:themeColor="text1"/>
          <w:kern w:val="2"/>
          <w:sz w:val="16"/>
          <w:szCs w:val="16"/>
        </w:rPr>
        <w:t xml:space="preserve"> </w:t>
      </w:r>
      <w:r w:rsidR="003431D2" w:rsidRPr="00CB2867">
        <w:rPr>
          <w:rFonts w:ascii="Times New Roman" w:hAnsi="Times New Roman" w:cs="Times New Roman"/>
          <w:color w:val="000000" w:themeColor="text1"/>
          <w:kern w:val="2"/>
          <w:sz w:val="16"/>
          <w:szCs w:val="16"/>
          <w:lang w:val="en-US"/>
        </w:rPr>
        <w:t>captured</w:t>
      </w:r>
      <w:r w:rsidR="003431D2" w:rsidRPr="009E4C2F">
        <w:rPr>
          <w:rFonts w:ascii="Times New Roman" w:hAnsi="Times New Roman" w:cs="Times New Roman"/>
          <w:color w:val="000000" w:themeColor="text1"/>
          <w:kern w:val="2"/>
          <w:sz w:val="16"/>
          <w:szCs w:val="16"/>
        </w:rPr>
        <w:t xml:space="preserve"> </w:t>
      </w:r>
      <w:r w:rsidR="003431D2" w:rsidRPr="00CB2867">
        <w:rPr>
          <w:rFonts w:ascii="Times New Roman" w:hAnsi="Times New Roman" w:cs="Times New Roman"/>
          <w:color w:val="000000" w:themeColor="text1"/>
          <w:kern w:val="2"/>
          <w:sz w:val="16"/>
          <w:szCs w:val="16"/>
          <w:lang w:val="en-US"/>
        </w:rPr>
        <w:t>by</w:t>
      </w:r>
      <w:r w:rsidR="003431D2" w:rsidRPr="009E4C2F">
        <w:rPr>
          <w:rFonts w:ascii="Times New Roman" w:hAnsi="Times New Roman" w:cs="Times New Roman"/>
          <w:color w:val="000000" w:themeColor="text1"/>
          <w:kern w:val="2"/>
          <w:sz w:val="16"/>
          <w:szCs w:val="16"/>
        </w:rPr>
        <w:t xml:space="preserve"> </w:t>
      </w:r>
      <w:r w:rsidR="003431D2" w:rsidRPr="00CB2867">
        <w:rPr>
          <w:rFonts w:ascii="Times New Roman" w:hAnsi="Times New Roman" w:cs="Times New Roman"/>
          <w:color w:val="000000" w:themeColor="text1"/>
          <w:kern w:val="2"/>
          <w:sz w:val="16"/>
          <w:szCs w:val="16"/>
          <w:lang w:val="en-US"/>
        </w:rPr>
        <w:t>Germans</w:t>
      </w:r>
      <w:r w:rsidR="003431D2" w:rsidRPr="009E4C2F">
        <w:rPr>
          <w:rFonts w:ascii="Times New Roman" w:hAnsi="Times New Roman" w:cs="Times New Roman"/>
          <w:color w:val="000000" w:themeColor="text1"/>
          <w:kern w:val="2"/>
          <w:sz w:val="16"/>
          <w:szCs w:val="16"/>
        </w:rPr>
        <w:t xml:space="preserve"> (1036).</w:t>
      </w:r>
    </w:p>
    <w:p w14:paraId="0B756A9E" w14:textId="77777777" w:rsidR="003431D2" w:rsidRPr="009E4C2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87EC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августа (3 сентября) 1917 немцы захватили Ригу (1036).</w:t>
      </w:r>
    </w:p>
    <w:p w14:paraId="23900C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52CE2B" w14:textId="5A363076" w:rsidR="009A4A84" w:rsidRPr="00FB4F67" w:rsidRDefault="009A4A8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21 августа (</w:t>
      </w:r>
      <w:r w:rsidRPr="00FB4F67">
        <w:rPr>
          <w:rFonts w:ascii="Times New Roman" w:hAnsi="Times New Roman" w:cs="Times New Roman"/>
          <w:color w:val="0070C0"/>
          <w:sz w:val="16"/>
          <w:szCs w:val="16"/>
        </w:rPr>
        <w:t>3 сентября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немецкая 8-я армия захватила Ригу. В ходе наступления немецкая артиллерия выпустила по русским 100 000 газовых снарядов. Из-за очень поспешного отхода части русской авиации не смогли принять активного участия в боевых действиях, вынуждены были бросить неисправные машины. Но почти все исправные самолеты удалось эвакуировать на аэродромы в тылу в районе Вендена и Фрайденбурга. Шесть самолетов были повреждены при посадке в незнакомых местах и нуждались в ремонте (23525).</w:t>
      </w:r>
    </w:p>
    <w:p w14:paraId="5EBC0356" w14:textId="77777777" w:rsidR="009A4A84" w:rsidRPr="00FB4F67" w:rsidRDefault="009A4A84" w:rsidP="0083075A">
      <w:pPr>
        <w:spacing w:after="0" w:line="240" w:lineRule="auto"/>
        <w:jc w:val="both"/>
        <w:rPr>
          <w:rFonts w:ascii="Times New Roman" w:hAnsi="Times New Roman" w:cs="Times New Roman"/>
          <w:color w:val="0070C0"/>
          <w:sz w:val="16"/>
          <w:szCs w:val="16"/>
        </w:rPr>
      </w:pPr>
    </w:p>
    <w:p w14:paraId="682D3E6C" w14:textId="77777777" w:rsidR="00950170" w:rsidRPr="002F2FDF" w:rsidRDefault="00950170" w:rsidP="0083075A">
      <w:pPr>
        <w:pStyle w:val="ae"/>
        <w:spacing w:before="0" w:after="0"/>
        <w:jc w:val="both"/>
        <w:rPr>
          <w:color w:val="000000" w:themeColor="text1"/>
          <w:kern w:val="2"/>
          <w:sz w:val="16"/>
          <w:szCs w:val="16"/>
        </w:rPr>
      </w:pPr>
      <w:r w:rsidRPr="002F2FDF">
        <w:rPr>
          <w:color w:val="000000" w:themeColor="text1"/>
          <w:kern w:val="2"/>
          <w:sz w:val="16"/>
          <w:szCs w:val="16"/>
        </w:rPr>
        <w:t>21 августа (3 сентября) 1917 немцы заняли Ригу, продолжая, одновременно наступление на части 12-й русской армии по всему фронту. На многих участках русские подразделения бежали при первых же залпах германской артиллерии.</w:t>
      </w:r>
    </w:p>
    <w:p w14:paraId="2AC0B48A" w14:textId="77777777" w:rsidR="00950170" w:rsidRPr="002F2FDF" w:rsidRDefault="00950170" w:rsidP="0083075A">
      <w:pPr>
        <w:pStyle w:val="ae"/>
        <w:spacing w:before="0" w:after="0"/>
        <w:jc w:val="both"/>
        <w:rPr>
          <w:color w:val="000000" w:themeColor="text1"/>
          <w:kern w:val="2"/>
          <w:sz w:val="16"/>
          <w:szCs w:val="16"/>
        </w:rPr>
      </w:pPr>
      <w:r w:rsidRPr="002F2FDF">
        <w:rPr>
          <w:color w:val="000000" w:themeColor="text1"/>
          <w:kern w:val="2"/>
          <w:sz w:val="16"/>
          <w:szCs w:val="16"/>
        </w:rPr>
        <w:t>В ходе Рижской операции командующий 8-й немецкой армией генерал Оскар фон Гутьер впервые применил разработанную им новую тактику наступления, которая позже была названа его именем. В атаку пехотные части поднимались после очень короткой, но мощной артподготовки, в ходе которой позиции противника среди прочего обстреливались дымовыми и газовыми снарядами, на время «ослепляя» обороняющихся. При этом впереди шли специальные штурмовые группы, которые, избегая фронтальных атак, проникали вглубь обороны, занимая и разрушая штабы, узлы связи и артиллерийские позиции. Эта тактика оказалась настолько успешной, что до конца войны применялась повсеместно обеими сторонами (17045).</w:t>
      </w:r>
    </w:p>
    <w:p w14:paraId="3DDADCE9" w14:textId="77777777" w:rsidR="00950170" w:rsidRPr="002F2FDF" w:rsidRDefault="00950170" w:rsidP="0083075A">
      <w:pPr>
        <w:spacing w:after="0" w:line="240" w:lineRule="auto"/>
        <w:jc w:val="both"/>
        <w:rPr>
          <w:rFonts w:ascii="Times New Roman" w:hAnsi="Times New Roman" w:cs="Times New Roman"/>
          <w:color w:val="000000" w:themeColor="text1"/>
          <w:kern w:val="2"/>
          <w:sz w:val="16"/>
          <w:szCs w:val="16"/>
        </w:rPr>
      </w:pPr>
    </w:p>
    <w:p w14:paraId="1059BB20" w14:textId="77777777" w:rsidR="00135C75" w:rsidRPr="002F2FDF" w:rsidRDefault="00135C75"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августа (3 сентября) 1918 немцы взяли Ригу. Корнилов применил заградительные отряды, но это лишь усилило разброд и шатания. Временное правительство приняло решение о прямом подчинении Петроградского округа Ставке. В стране бардак. Количество дезертиров достигло 1,5 млн. (и все с оружием!), они шатались по городам и весям, а крестьяне начали потихоньку дерибанить поместья (12629).</w:t>
      </w:r>
    </w:p>
    <w:p w14:paraId="5D6C845A" w14:textId="77777777" w:rsidR="00135C75" w:rsidRPr="002F2FDF" w:rsidRDefault="00135C7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1E66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августа (3 сентября) 1917 в ночь германская артиллерия произвела обстрел станции Огер, находившейся на расстоянии 50 км от батареи. 253-й авиационный отряд 6-й германской армии взял на себя наблюдение за результатами произведенной стрельбы. Летчикам удалось установить 8 несомненных попаданий, вызвавших большие пожары.</w:t>
      </w:r>
    </w:p>
    <w:p w14:paraId="54570A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Русские летчики в ответ на этот обстрел атаковали германскую батарею, что затруднило продолжение ведения огня. Также активно стала вести себя артиллерия ПВО, которая, ведя с помощью прожекторов достаточно точный огонь, вынуждала германских летчиков постоянно и усиленно маневрировать, что очень мешало производить наблюдение за точностью стрельбы (11999).</w:t>
      </w:r>
    </w:p>
    <w:p w14:paraId="2A46BE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00848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августа (3 сентября) 1917 французские войска подвергли артобстрелу позиции русской армии во Франции в связи с ее отказом идти в наступление (4962).</w:t>
      </w:r>
    </w:p>
    <w:p w14:paraId="69E89A4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73D6BC" w14:textId="77777777" w:rsidR="00465FFE"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r w:rsidR="00465FFE" w:rsidRPr="002F2FDF">
        <w:rPr>
          <w:rFonts w:ascii="Times New Roman" w:hAnsi="Times New Roman" w:cs="Times New Roman"/>
          <w:iCs/>
          <w:color w:val="000000" w:themeColor="text1"/>
          <w:kern w:val="2"/>
          <w:sz w:val="16"/>
          <w:szCs w:val="16"/>
        </w:rPr>
        <w:t>:</w:t>
      </w:r>
    </w:p>
    <w:p w14:paraId="4601B992" w14:textId="77777777" w:rsidR="00465FFE" w:rsidRPr="002F2FDF" w:rsidRDefault="00465FF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38F69F" w14:textId="77777777" w:rsidR="00465FFE" w:rsidRPr="002F2FDF" w:rsidRDefault="00465FFE"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21 августа (3 сентября) </w:t>
      </w:r>
      <w:r w:rsidRPr="002F2FDF">
        <w:rPr>
          <w:rFonts w:ascii="Times New Roman" w:hAnsi="Times New Roman" w:cs="Times New Roman"/>
          <w:color w:val="000000" w:themeColor="text1"/>
          <w:kern w:val="2"/>
          <w:sz w:val="16"/>
          <w:szCs w:val="16"/>
        </w:rPr>
        <w:t>в 1917 году служащие Тюменского отделения компании "Зингер" присоединились к всероссийской забастовке служащих этой фирмы (14758).</w:t>
      </w:r>
    </w:p>
    <w:p w14:paraId="635A10C5" w14:textId="77777777" w:rsidR="00465FFE" w:rsidRPr="002F2FDF" w:rsidRDefault="00465FFE" w:rsidP="0083075A">
      <w:pPr>
        <w:spacing w:after="0" w:line="240" w:lineRule="auto"/>
        <w:jc w:val="both"/>
        <w:rPr>
          <w:rFonts w:ascii="Times New Roman" w:hAnsi="Times New Roman" w:cs="Times New Roman"/>
          <w:color w:val="000000" w:themeColor="text1"/>
          <w:kern w:val="2"/>
          <w:sz w:val="16"/>
          <w:szCs w:val="16"/>
        </w:rPr>
      </w:pPr>
    </w:p>
    <w:p w14:paraId="11423BB2" w14:textId="77777777" w:rsidR="00950170" w:rsidRPr="002F2FDF" w:rsidRDefault="00950170" w:rsidP="0083075A">
      <w:pPr>
        <w:pStyle w:val="ae"/>
        <w:spacing w:before="0" w:after="0"/>
        <w:jc w:val="both"/>
        <w:rPr>
          <w:color w:val="000000" w:themeColor="text1"/>
          <w:kern w:val="2"/>
          <w:sz w:val="16"/>
          <w:szCs w:val="16"/>
        </w:rPr>
      </w:pPr>
      <w:r w:rsidRPr="002F2FDF">
        <w:rPr>
          <w:color w:val="000000" w:themeColor="text1"/>
          <w:kern w:val="2"/>
          <w:sz w:val="16"/>
          <w:szCs w:val="16"/>
        </w:rPr>
        <w:t>21 августа (3 сентября) 1917 в селе Гуляйполе (на востоке нынешней Запорожской области Украины) прошел районный съезд Советов рабочих и солдатских депутатов. Выступивший на нем анархист Нестор Махно, еще в июле объявивший себя комиссаром Гуляйпольского района, постановил «немедленно отобрать [у церкви и помещиков] землю и организовать по усадьбам свободные сельскохозяйственные коммуны, по возможности с участием в этих коммунах самих помещиков и кулаков». Чуть ранее Гуляйпольский земельный комитет взял на учет все помещичьи земли и инвентарь для распределения по уравнительно-трудовой норме между крестьянами. После этого в районе начался «черный передел» — самовольный захват угодий крупных землевладельцев анархистами и раздача их крестьянам (17045).</w:t>
      </w:r>
    </w:p>
    <w:p w14:paraId="34F8E53F" w14:textId="77777777" w:rsidR="00950170" w:rsidRPr="002F2FDF" w:rsidRDefault="0095017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7F6399" w14:textId="77777777" w:rsidR="0085173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711CC9E2" w14:textId="77777777" w:rsidR="00851731" w:rsidRPr="002F2FDF" w:rsidRDefault="0085173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79D31E" w14:textId="77777777" w:rsidR="00851731" w:rsidRPr="002F2FDF" w:rsidRDefault="0085173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августа (3 сентября) 1917 Обращение французского посольства в Петрограде к Временному правительству с требованием принять срочные меры для защиты интересов французских капиталистов в Донбассе.</w:t>
      </w:r>
    </w:p>
    <w:p w14:paraId="74A51504" w14:textId="5377484E" w:rsidR="00851731" w:rsidRPr="002F2FDF" w:rsidRDefault="0085173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470-471</w:t>
      </w:r>
    </w:p>
    <w:p w14:paraId="7C2422AD" w14:textId="69B92977" w:rsidR="00851731" w:rsidRPr="002F2FDF" w:rsidRDefault="0085173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Сб. док. «Подготовка Великой Октябрьской социалистической революции на Украйне». Киев, 1955, стр. 537.</w:t>
      </w:r>
    </w:p>
    <w:p w14:paraId="11533A2A" w14:textId="77777777" w:rsidR="00851731" w:rsidRPr="002F2FDF" w:rsidRDefault="00851731" w:rsidP="0083075A">
      <w:pPr>
        <w:pStyle w:val="rtejustify"/>
        <w:spacing w:before="0" w:after="0"/>
        <w:rPr>
          <w:color w:val="000000" w:themeColor="text1"/>
          <w:kern w:val="2"/>
          <w:sz w:val="16"/>
          <w:szCs w:val="16"/>
        </w:rPr>
      </w:pPr>
      <w:r w:rsidRPr="002F2FDF">
        <w:rPr>
          <w:color w:val="000000" w:themeColor="text1"/>
          <w:kern w:val="2"/>
          <w:sz w:val="16"/>
          <w:szCs w:val="16"/>
        </w:rPr>
        <w:t>Французский консул в Харькове доводит до сведения посольства, что общее положение дел становится очень опасным во всей губернии и в частности в Макеевке</w:t>
      </w:r>
      <w:hyperlink r:id="rId490" w:anchor="_ftn2" w:history="1">
        <w:r w:rsidRPr="002F2FDF">
          <w:rPr>
            <w:rStyle w:val="a5"/>
            <w:color w:val="000000" w:themeColor="text1"/>
            <w:kern w:val="2"/>
            <w:sz w:val="16"/>
            <w:szCs w:val="16"/>
          </w:rPr>
          <w:t>[2]</w:t>
        </w:r>
      </w:hyperlink>
      <w:r w:rsidRPr="002F2FDF">
        <w:rPr>
          <w:color w:val="000000" w:themeColor="text1"/>
          <w:kern w:val="2"/>
          <w:sz w:val="16"/>
          <w:szCs w:val="16"/>
        </w:rPr>
        <w:t>. Рабочие вооружены и открыто угрожают начальникам заводских предприятий, в которых затронуты: интересы французов. Все заставляет думать, что милиция и солдаты находятся в стачке с главарями движения и не предпримут ничего для его пресечения, если онп не получат от правительства самых срочных и точных распоряжений.</w:t>
      </w:r>
    </w:p>
    <w:p w14:paraId="40EB25B7" w14:textId="77777777" w:rsidR="00851731" w:rsidRPr="002F2FDF" w:rsidRDefault="00851731" w:rsidP="0083075A">
      <w:pPr>
        <w:pStyle w:val="rtejustify"/>
        <w:spacing w:before="0" w:after="0"/>
        <w:rPr>
          <w:color w:val="000000" w:themeColor="text1"/>
          <w:kern w:val="2"/>
          <w:sz w:val="16"/>
          <w:szCs w:val="16"/>
        </w:rPr>
      </w:pPr>
      <w:r w:rsidRPr="002F2FDF">
        <w:rPr>
          <w:color w:val="000000" w:themeColor="text1"/>
          <w:kern w:val="2"/>
          <w:sz w:val="16"/>
          <w:szCs w:val="16"/>
        </w:rPr>
        <w:t>С другой стороны, многие рабочие заявляют, что выступление неизбежно. В таком случае сто французских семей будут находиться в опасности.</w:t>
      </w:r>
    </w:p>
    <w:p w14:paraId="1812A9C3" w14:textId="77777777" w:rsidR="00851731" w:rsidRPr="002F2FDF" w:rsidRDefault="00851731" w:rsidP="0083075A">
      <w:pPr>
        <w:pStyle w:val="rtejustify"/>
        <w:spacing w:before="0" w:after="0"/>
        <w:rPr>
          <w:color w:val="000000" w:themeColor="text1"/>
          <w:kern w:val="2"/>
          <w:sz w:val="16"/>
          <w:szCs w:val="16"/>
        </w:rPr>
      </w:pPr>
      <w:r w:rsidRPr="002F2FDF">
        <w:rPr>
          <w:color w:val="000000" w:themeColor="text1"/>
          <w:kern w:val="2"/>
          <w:sz w:val="16"/>
          <w:szCs w:val="16"/>
        </w:rPr>
        <w:t>Наконец, Екатеринославское об-во копей будет вынуждено закрыть одну из своих копей, а для других объявить понижение заработной платы. Поэтому рабочие угрожают названному обществу.</w:t>
      </w:r>
    </w:p>
    <w:p w14:paraId="1F074DDF" w14:textId="77777777" w:rsidR="00851731" w:rsidRPr="002F2FDF" w:rsidRDefault="00851731" w:rsidP="0083075A">
      <w:pPr>
        <w:pStyle w:val="rtejustify"/>
        <w:spacing w:before="0" w:after="0"/>
        <w:rPr>
          <w:color w:val="000000" w:themeColor="text1"/>
          <w:kern w:val="2"/>
          <w:sz w:val="16"/>
          <w:szCs w:val="16"/>
        </w:rPr>
      </w:pPr>
      <w:r w:rsidRPr="002F2FDF">
        <w:rPr>
          <w:color w:val="000000" w:themeColor="text1"/>
          <w:kern w:val="2"/>
          <w:sz w:val="16"/>
          <w:szCs w:val="16"/>
        </w:rPr>
        <w:t>Французские консулы в Харькове и Ростове н/Дону обратились с ходатайством к местным властям о принятии мер, могущих прекратить волнения, но положение принимает такой угрожающий характер, который превосходит все ранее происходившее в губернии. Поэтому французское посольство в Петрограде имеет честь просить Временное правительство послать как можно скорее категорические инструкции комиссарам на места, приглашая их принять необходимые меры к предотвращению беспорядков и для того, чтобы обеспечить защиту и безопасность личности и имущества французских граждан при всяком положении вещей.</w:t>
      </w:r>
    </w:p>
    <w:p w14:paraId="7643280B" w14:textId="77777777" w:rsidR="00851731" w:rsidRPr="002F2FDF" w:rsidRDefault="00000000" w:rsidP="0083075A">
      <w:pPr>
        <w:pStyle w:val="rtejustify"/>
        <w:spacing w:before="0" w:after="0"/>
        <w:rPr>
          <w:color w:val="000000" w:themeColor="text1"/>
          <w:kern w:val="2"/>
          <w:sz w:val="16"/>
          <w:szCs w:val="16"/>
        </w:rPr>
      </w:pPr>
      <w:hyperlink r:id="rId491" w:anchor="_ftnref1" w:history="1">
        <w:r w:rsidR="00851731" w:rsidRPr="002F2FDF">
          <w:rPr>
            <w:rStyle w:val="a5"/>
            <w:color w:val="000000" w:themeColor="text1"/>
            <w:kern w:val="2"/>
            <w:sz w:val="16"/>
            <w:szCs w:val="16"/>
          </w:rPr>
          <w:t>[1]</w:t>
        </w:r>
      </w:hyperlink>
      <w:r w:rsidR="00851731" w:rsidRPr="002F2FDF">
        <w:rPr>
          <w:color w:val="000000" w:themeColor="text1"/>
          <w:kern w:val="2"/>
          <w:sz w:val="16"/>
          <w:szCs w:val="16"/>
        </w:rPr>
        <w:t xml:space="preserve"> См. док. № 584.</w:t>
      </w:r>
    </w:p>
    <w:p w14:paraId="09642B81" w14:textId="77777777" w:rsidR="00851731" w:rsidRPr="002F2FDF" w:rsidRDefault="00000000" w:rsidP="0083075A">
      <w:pPr>
        <w:pStyle w:val="rtejustify"/>
        <w:spacing w:before="0" w:after="0"/>
        <w:rPr>
          <w:color w:val="000000" w:themeColor="text1"/>
          <w:kern w:val="2"/>
          <w:sz w:val="16"/>
          <w:szCs w:val="16"/>
        </w:rPr>
      </w:pPr>
      <w:hyperlink r:id="rId492" w:anchor="_ftnref2" w:history="1">
        <w:r w:rsidR="00851731" w:rsidRPr="002F2FDF">
          <w:rPr>
            <w:rStyle w:val="a5"/>
            <w:color w:val="000000" w:themeColor="text1"/>
            <w:kern w:val="2"/>
            <w:sz w:val="16"/>
            <w:szCs w:val="16"/>
          </w:rPr>
          <w:t>[2]</w:t>
        </w:r>
      </w:hyperlink>
      <w:r w:rsidR="00851731" w:rsidRPr="002F2FDF">
        <w:rPr>
          <w:color w:val="000000" w:themeColor="text1"/>
          <w:kern w:val="2"/>
          <w:sz w:val="16"/>
          <w:szCs w:val="16"/>
        </w:rPr>
        <w:t xml:space="preserve"> В Макеевке были расположены предприятия Генерального об-ва сталелитейных заводов и каменноугольные копи Русского Донецкого об-ва, принадлежавшие французскому об-ву «Русский горный и металлургический унион» (15196).</w:t>
      </w:r>
    </w:p>
    <w:p w14:paraId="62E5B0EE" w14:textId="77777777" w:rsidR="00851731" w:rsidRPr="002F2FDF" w:rsidRDefault="00851731"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22F7A3AE" w14:textId="77777777" w:rsidR="0074459A" w:rsidRPr="002F2FDF" w:rsidRDefault="0074459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14F100C" w14:textId="77777777" w:rsidR="0074459A" w:rsidRPr="002F2FDF" w:rsidRDefault="0074459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B51B1F" w14:textId="77777777" w:rsidR="0074459A" w:rsidRPr="002F2FDF" w:rsidRDefault="0074459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21 августа (3 сентября) 1917 первая Aero эскадрилья The Армия Соединенных Штатов прибывает во Франции (20341).</w:t>
      </w:r>
    </w:p>
    <w:p w14:paraId="2CDE51A0" w14:textId="77777777" w:rsidR="0074459A" w:rsidRPr="002F2FDF" w:rsidRDefault="0074459A" w:rsidP="0083075A">
      <w:pPr>
        <w:spacing w:after="0" w:line="240" w:lineRule="auto"/>
        <w:jc w:val="both"/>
        <w:rPr>
          <w:rFonts w:ascii="Times New Roman" w:hAnsi="Times New Roman" w:cs="Times New Roman"/>
          <w:color w:val="000000" w:themeColor="text1"/>
          <w:sz w:val="16"/>
          <w:szCs w:val="16"/>
        </w:rPr>
      </w:pPr>
    </w:p>
    <w:p w14:paraId="67EE2709" w14:textId="77777777" w:rsidR="0074459A" w:rsidRPr="002F2FDF" w:rsidRDefault="0074459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21-22 августа (3–4 сентября) (ночь) 1917 после потерь, понесенных в результате улучшения британской противовоздушной обороны во время дневного налета 22 августа на Англию, воздушная служба Императорской немецкой армии, Luftstreitkrafte, решает поэкспериментировать с ночными налетами, отправив пять бомбардировщиков Gotha для атаки верфи Chatham Dockyard в Кенте. В ходе рейда погибло 152 человека, в том числе 130 новобранцев Королевского флота, которые погибли в результате прямого попадания в их казармы, что стало самым большим числом погибших от одной-единственной воздушной бомбы во время Первой мировой войны. Немецкие бомбардировщики считают, что ночная оборона британцев слаба (20341).</w:t>
      </w:r>
    </w:p>
    <w:p w14:paraId="365C8226" w14:textId="77777777" w:rsidR="0074459A" w:rsidRPr="002F2FDF" w:rsidRDefault="0074459A" w:rsidP="0083075A">
      <w:pPr>
        <w:spacing w:after="0" w:line="240" w:lineRule="auto"/>
        <w:jc w:val="both"/>
        <w:rPr>
          <w:rFonts w:ascii="Times New Roman" w:hAnsi="Times New Roman" w:cs="Times New Roman"/>
          <w:color w:val="000000" w:themeColor="text1"/>
          <w:sz w:val="16"/>
          <w:szCs w:val="16"/>
        </w:rPr>
      </w:pPr>
    </w:p>
    <w:p w14:paraId="23D9ABF7" w14:textId="7BBD9429" w:rsidR="009A4A84" w:rsidRDefault="009A4A84"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50A4852D" w14:textId="77777777" w:rsidR="009A4A84" w:rsidRDefault="009A4A84"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5295F6F9" w14:textId="3183B67F" w:rsidR="009A4A84" w:rsidRPr="00FB4F67" w:rsidRDefault="009A4A8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21 августа (</w:t>
      </w:r>
      <w:r w:rsidRPr="00FB4F67">
        <w:rPr>
          <w:rFonts w:ascii="Times New Roman" w:hAnsi="Times New Roman" w:cs="Times New Roman"/>
          <w:color w:val="0070C0"/>
          <w:sz w:val="16"/>
          <w:szCs w:val="16"/>
        </w:rPr>
        <w:t>4 сентября</w:t>
      </w:r>
      <w:r>
        <w:rPr>
          <w:rFonts w:ascii="Times New Roman" w:hAnsi="Times New Roman" w:cs="Times New Roman"/>
          <w:color w:val="0070C0"/>
          <w:sz w:val="16"/>
          <w:szCs w:val="16"/>
        </w:rPr>
        <w:t>) 1917 г.</w:t>
      </w:r>
      <w:r w:rsidRPr="00FB4F67">
        <w:rPr>
          <w:rFonts w:ascii="Times New Roman" w:hAnsi="Times New Roman" w:cs="Times New Roman"/>
          <w:color w:val="0070C0"/>
          <w:sz w:val="16"/>
          <w:szCs w:val="16"/>
        </w:rPr>
        <w:t xml:space="preserve"> инспектор авиации Северного фронта доложил Ткачеву об эвакуации 12-го авиационного батальона, заявив, что «очень плохая погода во время отступления с дождем и туманом. Было потеряно девять истребителей и несколько самолетов-разведчиков. Вспомогательных аэродромов в тыловой местности с лесами и болотами не было» (23525).</w:t>
      </w:r>
    </w:p>
    <w:p w14:paraId="5E309050" w14:textId="77777777" w:rsidR="009A4A84" w:rsidRPr="00FB4F67" w:rsidRDefault="009A4A84" w:rsidP="0083075A">
      <w:pPr>
        <w:spacing w:after="0" w:line="240" w:lineRule="auto"/>
        <w:jc w:val="both"/>
        <w:rPr>
          <w:rFonts w:ascii="Times New Roman" w:hAnsi="Times New Roman" w:cs="Times New Roman"/>
          <w:color w:val="0070C0"/>
          <w:sz w:val="16"/>
          <w:szCs w:val="16"/>
        </w:rPr>
      </w:pPr>
    </w:p>
    <w:p w14:paraId="20C175BA" w14:textId="70A6F8D2"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8CE1D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429241" w14:textId="658DEF1D"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ночь с 22 на 23 августа (4 на 5 сентября) 1917 </w:t>
      </w:r>
      <w:r w:rsidR="009A4A84">
        <w:rPr>
          <w:rFonts w:ascii="Times New Roman" w:hAnsi="Times New Roman" w:cs="Times New Roman"/>
          <w:color w:val="000000" w:themeColor="text1"/>
          <w:kern w:val="2"/>
          <w:sz w:val="16"/>
          <w:szCs w:val="16"/>
        </w:rPr>
        <w:t xml:space="preserve">г. </w:t>
      </w:r>
      <w:r w:rsidRPr="002F2FDF">
        <w:rPr>
          <w:rFonts w:ascii="Times New Roman" w:hAnsi="Times New Roman" w:cs="Times New Roman"/>
          <w:color w:val="000000" w:themeColor="text1"/>
          <w:kern w:val="2"/>
          <w:sz w:val="16"/>
          <w:szCs w:val="16"/>
        </w:rPr>
        <w:t>был осуществлен первый ночной налет на Лондон. Вследствие недостаточного затемнения можно было ясно различить отдельные районы города. В течение полутора часов гавань и город подвергались разрушительному действию бомб, сбрасываемых с высоты 2000—3000 м. За этим налетом последовали другие. Спустя месяц в налете впервые принял участие самолет-гигант “R” (11282).</w:t>
      </w:r>
    </w:p>
    <w:p w14:paraId="52F19C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1F3893" w14:textId="3AB378FA"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22 и 23 августа (4 и 5 сентября) 1917 </w:t>
      </w:r>
      <w:r w:rsidR="009A4A84">
        <w:rPr>
          <w:rFonts w:ascii="Times New Roman" w:hAnsi="Times New Roman" w:cs="Times New Roman"/>
          <w:color w:val="000000" w:themeColor="text1"/>
          <w:kern w:val="2"/>
          <w:sz w:val="16"/>
          <w:szCs w:val="16"/>
        </w:rPr>
        <w:t xml:space="preserve">г. </w:t>
      </w:r>
      <w:r w:rsidRPr="002F2FDF">
        <w:rPr>
          <w:rFonts w:ascii="Times New Roman" w:hAnsi="Times New Roman" w:cs="Times New Roman"/>
          <w:color w:val="000000" w:themeColor="text1"/>
          <w:kern w:val="2"/>
          <w:sz w:val="16"/>
          <w:szCs w:val="16"/>
        </w:rPr>
        <w:t>состоялись ночные налеты германских бомбардировщиков на Лондон, Чирнес, Мэргет и Чатам.</w:t>
      </w:r>
    </w:p>
    <w:p w14:paraId="3ACA23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донесения: "При прогрессирующем усовершенствовании неприятельской обороны продолжение воздушных нападений на Англию в скором времени может оправдать себя только с самолетами, обладающими потолком свыше 6000 м или при условии полного перехода к ночным действиям" (11999).</w:t>
      </w:r>
    </w:p>
    <w:p w14:paraId="77C136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011B36" w14:textId="3F683336" w:rsidR="00016FD0" w:rsidRPr="002F2FDF" w:rsidRDefault="00016FD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22-23 августа (4–5 сентября) (ночь) 1917 </w:t>
      </w:r>
      <w:r w:rsidR="009A4A84">
        <w:rPr>
          <w:rFonts w:ascii="Times New Roman" w:hAnsi="Times New Roman" w:cs="Times New Roman"/>
          <w:color w:val="000000" w:themeColor="text1"/>
          <w:sz w:val="16"/>
          <w:szCs w:val="16"/>
        </w:rPr>
        <w:t xml:space="preserve">г. </w:t>
      </w:r>
      <w:r w:rsidRPr="002F2FDF">
        <w:rPr>
          <w:rFonts w:ascii="Times New Roman" w:hAnsi="Times New Roman" w:cs="Times New Roman"/>
          <w:color w:val="000000" w:themeColor="text1"/>
          <w:sz w:val="16"/>
          <w:szCs w:val="16"/>
        </w:rPr>
        <w:t>немцы совершают второй ночной налет на Соединенное Королевство, отправив 11 бомбардировщиков «Гота» на Лондон . Девять самолетов достигают Англии, но только пять достигают Лондона. Британские самолеты совершили 18 оборонительных самолето-вылетов, но не смогли установить контакт с немецкими самолетами; Однако британские вылеты демонстрируют возможность использования Sopwith Camel в качестве ночного истребителя. Один Гота не возвращается, вероятно, сбитый зенитной артиллерией в форте Борсталь в Рочестере (20341).</w:t>
      </w:r>
    </w:p>
    <w:p w14:paraId="507D93F3" w14:textId="77777777" w:rsidR="00016FD0" w:rsidRPr="002F2FDF" w:rsidRDefault="00016FD0" w:rsidP="0083075A">
      <w:pPr>
        <w:spacing w:after="0" w:line="240" w:lineRule="auto"/>
        <w:jc w:val="both"/>
        <w:rPr>
          <w:rFonts w:ascii="Times New Roman" w:hAnsi="Times New Roman" w:cs="Times New Roman"/>
          <w:color w:val="000000" w:themeColor="text1"/>
          <w:sz w:val="16"/>
          <w:szCs w:val="16"/>
        </w:rPr>
      </w:pPr>
    </w:p>
    <w:p w14:paraId="4A5C5043" w14:textId="5659CE93" w:rsidR="0048397F" w:rsidRPr="002F2FDF" w:rsidRDefault="0048397F"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22 августа (4 сентября) 1917 </w:t>
      </w:r>
      <w:r w:rsidR="009A4A84">
        <w:rPr>
          <w:color w:val="000000" w:themeColor="text1"/>
          <w:kern w:val="2"/>
          <w:sz w:val="16"/>
          <w:szCs w:val="16"/>
        </w:rPr>
        <w:t xml:space="preserve">г. </w:t>
      </w:r>
      <w:r w:rsidRPr="002F2FDF">
        <w:rPr>
          <w:color w:val="000000" w:themeColor="text1"/>
          <w:kern w:val="2"/>
          <w:sz w:val="16"/>
          <w:szCs w:val="16"/>
        </w:rPr>
        <w:t>австрийские войска нанесли мощный контрудар по итальянцам, пытавшимся продолжать наступление в районе реки Изонцо в Альпах. Итальянская армия пошла на очередной, уже 11-й по счету штурм австрийских позиций (предыдущие 10 закончились безрезультатно) еще в середине августа, и поначалу им сопутствовал успех. Однако по мере того, как австрийцы перебрасывали подкрепления с Восточного фронта, движение итальянцев замедлялось — части были измотаны многодневными боями, запасы снарядов подходили к концу. В итоге, когда австрийцы нанесли контрудар, итальянские части не устояли и начали беспорядочно отступать. В результате за несколько дней австрийцам удалось вернуть почти все занятые ранее итальянцами позиции (17045).</w:t>
      </w:r>
    </w:p>
    <w:p w14:paraId="527FEF15" w14:textId="77777777" w:rsidR="0048397F" w:rsidRPr="002F2FDF" w:rsidRDefault="0048397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03E32E" w14:textId="53A443E2" w:rsidR="00A41326" w:rsidRPr="002F2FDF" w:rsidRDefault="00A41326"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В период с 22 по 29 августа (4 по 10 сентября) 1917 </w:t>
      </w:r>
      <w:r w:rsidR="009A4A84">
        <w:rPr>
          <w:color w:val="000000" w:themeColor="text1"/>
          <w:kern w:val="2"/>
          <w:sz w:val="16"/>
          <w:szCs w:val="16"/>
        </w:rPr>
        <w:t>г.</w:t>
      </w:r>
      <w:r w:rsidRPr="002F2FDF">
        <w:rPr>
          <w:color w:val="000000" w:themeColor="text1"/>
          <w:kern w:val="2"/>
          <w:sz w:val="16"/>
          <w:szCs w:val="16"/>
        </w:rPr>
        <w:t xml:space="preserve"> германские подводные лодки затопили 72 судна союзников по Антанте и нейтральных государств (17045).</w:t>
      </w:r>
    </w:p>
    <w:p w14:paraId="5D2F1A6D" w14:textId="77777777" w:rsidR="00A41326" w:rsidRPr="002F2FDF" w:rsidRDefault="00A4132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C48932" w14:textId="77777777" w:rsidR="00016FD0" w:rsidRPr="002F2FDF" w:rsidRDefault="00016FD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8D028B2" w14:textId="77777777" w:rsidR="00016FD0" w:rsidRPr="002F2FDF" w:rsidRDefault="00016FD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A61391" w14:textId="590FDF20" w:rsidR="00016FD0" w:rsidRPr="002F2FDF" w:rsidRDefault="00016FD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 23 по 28 августа </w:t>
      </w:r>
      <w:r w:rsidR="00CB2867" w:rsidRPr="00CB2867">
        <w:rPr>
          <w:rFonts w:ascii="Times New Roman" w:hAnsi="Times New Roman" w:cs="Times New Roman"/>
          <w:color w:val="000000" w:themeColor="text1"/>
          <w:sz w:val="16"/>
          <w:szCs w:val="16"/>
        </w:rPr>
        <w:t xml:space="preserve">(5-10 </w:t>
      </w:r>
      <w:r w:rsidR="00CB2867">
        <w:rPr>
          <w:rFonts w:ascii="Times New Roman" w:hAnsi="Times New Roman" w:cs="Times New Roman"/>
          <w:color w:val="000000" w:themeColor="text1"/>
          <w:sz w:val="16"/>
          <w:szCs w:val="16"/>
        </w:rPr>
        <w:t>сентября</w:t>
      </w:r>
      <w:r w:rsidR="00CB2867" w:rsidRPr="00CB2867">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1917 г. на Ходынском поле прошли испытания с положительным результатом первого Моска МБ-бис серии № 3 с курсовым пулеметом. Синхронизатор при общей массе 5 кг работал без сбоев, единственным его недостатком был непроизводительный расход 10 % пуль. Также не был определен ресурс механизма (22754).</w:t>
      </w:r>
    </w:p>
    <w:p w14:paraId="7C49712C" w14:textId="77777777" w:rsidR="00016FD0" w:rsidRPr="002F2FDF" w:rsidRDefault="00016FD0" w:rsidP="0083075A">
      <w:pPr>
        <w:spacing w:after="0" w:line="240" w:lineRule="auto"/>
        <w:jc w:val="both"/>
        <w:rPr>
          <w:rFonts w:ascii="Times New Roman" w:hAnsi="Times New Roman" w:cs="Times New Roman"/>
          <w:color w:val="000000" w:themeColor="text1"/>
          <w:sz w:val="16"/>
          <w:szCs w:val="16"/>
        </w:rPr>
      </w:pPr>
    </w:p>
    <w:p w14:paraId="298637AA" w14:textId="77777777" w:rsidR="00016FD0" w:rsidRPr="002F2FDF" w:rsidRDefault="00016FD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D1245D5" w14:textId="77777777" w:rsidR="00016FD0" w:rsidRPr="002F2FDF" w:rsidRDefault="00016FD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3A7441" w14:textId="77777777" w:rsidR="00016FD0" w:rsidRPr="002F2FDF" w:rsidRDefault="00016FD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23-31 авгу</w:t>
      </w:r>
      <w:r w:rsidRPr="002F2FDF">
        <w:rPr>
          <w:rFonts w:ascii="Times New Roman" w:hAnsi="Times New Roman" w:cs="Times New Roman"/>
          <w:color w:val="000000" w:themeColor="text1"/>
          <w:sz w:val="16"/>
          <w:szCs w:val="16"/>
        </w:rPr>
        <w:softHyphen/>
        <w:t>ста (5 -13 сентября) 1917 Корниловский мятеж способствовал разложению русской армии, быстро терявшей способность даже к обороне. В этих условиях германская авиация поддер</w:t>
      </w:r>
      <w:r w:rsidRPr="002F2FDF">
        <w:rPr>
          <w:rFonts w:ascii="Times New Roman" w:hAnsi="Times New Roman" w:cs="Times New Roman"/>
          <w:color w:val="000000" w:themeColor="text1"/>
          <w:sz w:val="16"/>
          <w:szCs w:val="16"/>
        </w:rPr>
        <w:softHyphen/>
        <w:t>живала свою активность на русско-германском фронте на минимуме (20120).</w:t>
      </w:r>
    </w:p>
    <w:p w14:paraId="708AA113" w14:textId="77777777" w:rsidR="00016FD0" w:rsidRPr="002F2FDF" w:rsidRDefault="00016FD0" w:rsidP="0083075A">
      <w:pPr>
        <w:spacing w:after="0" w:line="240" w:lineRule="auto"/>
        <w:jc w:val="both"/>
        <w:rPr>
          <w:rFonts w:ascii="Times New Roman" w:hAnsi="Times New Roman" w:cs="Times New Roman"/>
          <w:color w:val="000000" w:themeColor="text1"/>
          <w:sz w:val="16"/>
          <w:szCs w:val="16"/>
        </w:rPr>
      </w:pPr>
    </w:p>
    <w:p w14:paraId="7315A2B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00FF5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3D06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августа (5 сентября) 1917 А.Керенский подписал указ о выпуске в обращение новых денег - гос. казначейских знаков достоинством 20 и 40 руб. Их то и прозвали керенками.</w:t>
      </w:r>
    </w:p>
    <w:p w14:paraId="031D16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E5E24D" w14:textId="77777777" w:rsidR="00465FFE"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7276B4E" w14:textId="77777777" w:rsidR="00465FFE" w:rsidRPr="002F2FDF" w:rsidRDefault="00465FF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039A70" w14:textId="77777777" w:rsidR="00016FD0" w:rsidRPr="002F2FDF" w:rsidRDefault="00016FD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23 августа (5 сентября) 1917 г. был облетан на стандартном колесном шасси единственный экземпляр морской версии Цеппелина R VI с фюзеляжем без «рубочной кабины» и являющийся дальним морским бомбардировщиком, предназначенным для разведки и ударов по вражеским портам и судам, стоящим в них. Затем колесное шасси заменили парой тринадцатиметровых поплавков, выполненных полностью из нового алюминиевого сплава повышенной прочности дюраль.</w:t>
      </w:r>
    </w:p>
    <w:p w14:paraId="67488098" w14:textId="5133F86F" w:rsidR="00016FD0" w:rsidRPr="002F2FDF" w:rsidRDefault="00016FD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Самолету были присвоены официальное обозначение Цеппелин-Штаакен L и регистрационный номер авиации Кайзеровского Флота Германии 1432, но до строевой службы он так и не дошел, разбившись в одном из последних сдаточных полетов 3 июня 1918 г. Несмотря на неудачу, фирме не только поручили продолжить работу по тяжелым гидропланам-бомбардировщикам, но и выдали предварительный заказ на четыре таких машины, которые должны были строиться на базе сухопутного бомбардировщика следующего типа – Цеппелин-Штаакен R XV.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К тому времени немецкие морские авиаторы уже имели целый ряд тяжелых гидропланов с двумя, тремя и даже четырьмя моторами и намеревались активнее использовать их, пока дредноуты и крейсера отстаивались в базах (23077).</w:t>
      </w:r>
    </w:p>
    <w:p w14:paraId="637A331D" w14:textId="77777777" w:rsidR="00016FD0" w:rsidRPr="002F2FDF" w:rsidRDefault="00016FD0" w:rsidP="0083075A">
      <w:pPr>
        <w:spacing w:after="0" w:line="240" w:lineRule="auto"/>
        <w:jc w:val="both"/>
        <w:rPr>
          <w:rFonts w:ascii="Times New Roman" w:hAnsi="Times New Roman" w:cs="Times New Roman"/>
          <w:color w:val="000000" w:themeColor="text1"/>
          <w:sz w:val="16"/>
          <w:szCs w:val="16"/>
        </w:rPr>
      </w:pPr>
    </w:p>
    <w:p w14:paraId="4E4C7D2E" w14:textId="77777777" w:rsidR="00465FFE" w:rsidRPr="002F2FDF" w:rsidRDefault="00465FFE" w:rsidP="0083075A">
      <w:pPr>
        <w:spacing w:after="0" w:line="240" w:lineRule="auto"/>
        <w:jc w:val="both"/>
        <w:rPr>
          <w:rStyle w:val="ucoz-forum-post"/>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23 августа (5 сентября) 1917 года</w:t>
      </w:r>
      <w:r w:rsidRPr="002F2FDF">
        <w:rPr>
          <w:rStyle w:val="ucoz-forum-post"/>
          <w:rFonts w:ascii="Times New Roman" w:hAnsi="Times New Roman" w:cs="Times New Roman"/>
          <w:color w:val="000000" w:themeColor="text1"/>
          <w:kern w:val="2"/>
          <w:sz w:val="16"/>
          <w:szCs w:val="16"/>
        </w:rPr>
        <w:t xml:space="preserve"> Командир Jasta 10 Вернер Фосс на триплане F.I (103/17) (позже - Dr. I.) одержал первую победу из 12 им одержанных (14760).</w:t>
      </w:r>
    </w:p>
    <w:p w14:paraId="676B327D" w14:textId="77777777" w:rsidR="00465FFE" w:rsidRPr="002F2FDF" w:rsidRDefault="00465FFE" w:rsidP="0083075A">
      <w:pPr>
        <w:spacing w:after="0" w:line="240" w:lineRule="auto"/>
        <w:jc w:val="both"/>
        <w:rPr>
          <w:rStyle w:val="ucoz-forum-post"/>
          <w:rFonts w:ascii="Times New Roman" w:hAnsi="Times New Roman" w:cs="Times New Roman"/>
          <w:color w:val="000000" w:themeColor="text1"/>
          <w:kern w:val="2"/>
          <w:sz w:val="16"/>
          <w:szCs w:val="16"/>
        </w:rPr>
      </w:pPr>
    </w:p>
    <w:p w14:paraId="167CCB04" w14:textId="77777777" w:rsidR="00465FFE" w:rsidRPr="002F2FDF" w:rsidRDefault="00465FFE" w:rsidP="0083075A">
      <w:pPr>
        <w:spacing w:after="0" w:line="240" w:lineRule="auto"/>
        <w:jc w:val="both"/>
        <w:rPr>
          <w:rStyle w:val="ucoz-forum-post"/>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23 августа (5 сентября) 1917 года</w:t>
      </w:r>
      <w:r w:rsidRPr="002F2FDF">
        <w:rPr>
          <w:rStyle w:val="ucoz-forum-post"/>
          <w:rFonts w:ascii="Times New Roman" w:hAnsi="Times New Roman" w:cs="Times New Roman"/>
          <w:color w:val="000000" w:themeColor="text1"/>
          <w:kern w:val="2"/>
          <w:sz w:val="16"/>
          <w:szCs w:val="16"/>
        </w:rPr>
        <w:t xml:space="preserve"> На немецком истребителе AEG D.I (4400/17) разбился командир Jagdstaffel 14 лейтенант Вальтер Хондорфф. Это была вторая катастрофа. AEG D.I - истребитель, разработанный немецкой фирмой Allgemeine Elektrizitats Gesellschaft (A.E.G.). Самолет стал первой попыткой фирмы AEG по созданию истребителя. Главной особенностью самолета стал каркас самолета целиком изготовленный из стальных трубок (включая лонжероны крыла). Главным конструктором самолета был Георг Конинг. В разработке самолета активное участие принимал лейтенант Вальтер Хондорфф. Первый прототип самолета оборудованный 160-ти сильным двигателем Mercedes D.III был готов в мае 1917 года. К началу лета для летных испытаний было изготовлено еще три самолета, отличавшихся от прототипа увеличенной длинной фюзеляжа. Эти самолеты были переданы для испытаний военным. Не смотря на гибель пилота-испытателя Хендриха к концу лета самолет успешно закончил испытания и был рекомендован для серийной постройки. Была заказана начальная серий из двадцати самолетов. В связи со второй смертью пилота производство самолетов было остановлено (14760).</w:t>
      </w:r>
    </w:p>
    <w:p w14:paraId="4C85179E" w14:textId="77777777" w:rsidR="00465FFE" w:rsidRPr="002F2FDF" w:rsidRDefault="00465FFE" w:rsidP="0083075A">
      <w:pPr>
        <w:spacing w:after="0" w:line="240" w:lineRule="auto"/>
        <w:jc w:val="both"/>
        <w:rPr>
          <w:rStyle w:val="ucoz-forum-post"/>
          <w:rFonts w:ascii="Times New Roman" w:hAnsi="Times New Roman" w:cs="Times New Roman"/>
          <w:color w:val="000000" w:themeColor="text1"/>
          <w:kern w:val="2"/>
          <w:sz w:val="16"/>
          <w:szCs w:val="16"/>
        </w:rPr>
      </w:pPr>
    </w:p>
    <w:p w14:paraId="28E7E6F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39427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C346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августа (6 сентября) 1917 фабрика Ф.Мельцеру, которой 27 апреля 1917 было заказано 60 лл Энгельс III - морских истребителей Е.Р.Энгельса, выпустил первую машину, а 9 сентября 1917 - вторую. Работой руководил А.Ю.Виллиш, так как Е.Р.Энгельс разбился на этой машине 5 декабря 1916 (92,233).</w:t>
      </w:r>
    </w:p>
    <w:p w14:paraId="6F830B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5F8DC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августа (6 сентября) 1917 начались испытания лл Энгельса. Гидроаэроплан Э.1П №1 был дви</w:t>
      </w:r>
      <w:r w:rsidRPr="002F2FDF">
        <w:rPr>
          <w:rFonts w:ascii="Times New Roman" w:hAnsi="Times New Roman" w:cs="Times New Roman"/>
          <w:color w:val="000000" w:themeColor="text1"/>
          <w:kern w:val="2"/>
          <w:sz w:val="16"/>
          <w:szCs w:val="16"/>
        </w:rPr>
        <w:softHyphen/>
        <w:t>жим номинально 120-сильным "Роном", развивавшим на деле 131 л.с. Свинцовый груз в левом крыле оказался недостаточным для компенсации гироскопического эффекта более мощной энергетической установки и вероятно поэтому летающая лодка зарывалась в воду законцовкой правого крыла, так и не выйдя на редан и не оторвавшись от морской повер</w:t>
      </w:r>
      <w:r w:rsidRPr="002F2FDF">
        <w:rPr>
          <w:rFonts w:ascii="Times New Roman" w:hAnsi="Times New Roman" w:cs="Times New Roman"/>
          <w:color w:val="000000" w:themeColor="text1"/>
          <w:kern w:val="2"/>
          <w:sz w:val="16"/>
          <w:szCs w:val="16"/>
        </w:rPr>
        <w:softHyphen/>
        <w:t>хности. Управлял ею во время этого неудачного эксперимента лейтенант Н.А. Яковицкий, инструктор Петроградской школы морской авиации, а сам опыт осуществлялся на станции Мельцера на Крестовском острове. К 25 сентября недостаток конструкции устранили, скорее всего путем увеличения противовеса, и согласно Шаврову 10 октября аэроплан был якобы принят флотом (автор не нашел подтверждения этой информации). Аппарат Э.1П №2 со</w:t>
      </w:r>
      <w:r w:rsidRPr="002F2FDF">
        <w:rPr>
          <w:rFonts w:ascii="Times New Roman" w:hAnsi="Times New Roman" w:cs="Times New Roman"/>
          <w:color w:val="000000" w:themeColor="text1"/>
          <w:kern w:val="2"/>
          <w:sz w:val="16"/>
          <w:szCs w:val="16"/>
        </w:rPr>
        <w:softHyphen/>
        <w:t>брали к 1 августа 1917 г., но затем планировалось вносить в него какие-то улучшения по результатам испытаний №1.</w:t>
      </w:r>
    </w:p>
    <w:p w14:paraId="19CDAAB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1BB9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августа (6 сентября) 1917 начались испытания гидроаэроплана Энгельс-3 (Э-III) N 1 с Рон 120 нр. Летал Н.А.Яковицкий, инструктор Петроградской школы на станции Мальцера на Крестовом острове. Из-за недостаточного свинцового груза, предотвращавшего гироскопический эффект более мощного мотора, машина зарывалась правым крылом в воду и не выходила на редан. К 25 сентября 1917 недостаток устранили и машину 10 октября приняли (2843,65).</w:t>
      </w:r>
    </w:p>
    <w:p w14:paraId="7CAEF1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6DB2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авгус</w:t>
      </w:r>
      <w:r w:rsidRPr="002F2FDF">
        <w:rPr>
          <w:rFonts w:ascii="Times New Roman" w:hAnsi="Times New Roman" w:cs="Times New Roman"/>
          <w:color w:val="000000" w:themeColor="text1"/>
          <w:kern w:val="2"/>
          <w:sz w:val="16"/>
          <w:szCs w:val="16"/>
        </w:rPr>
        <w:softHyphen/>
        <w:t xml:space="preserve">та </w:t>
      </w:r>
      <w:r w:rsidR="00783C50" w:rsidRPr="002F2FDF">
        <w:rPr>
          <w:rFonts w:ascii="Times New Roman" w:hAnsi="Times New Roman" w:cs="Times New Roman"/>
          <w:color w:val="000000" w:themeColor="text1"/>
          <w:kern w:val="2"/>
          <w:sz w:val="16"/>
          <w:szCs w:val="16"/>
        </w:rPr>
        <w:t xml:space="preserve">(6 сентября) </w:t>
      </w:r>
      <w:r w:rsidRPr="002F2FDF">
        <w:rPr>
          <w:rFonts w:ascii="Times New Roman" w:hAnsi="Times New Roman" w:cs="Times New Roman"/>
          <w:color w:val="000000" w:themeColor="text1"/>
          <w:kern w:val="2"/>
          <w:sz w:val="16"/>
          <w:szCs w:val="16"/>
        </w:rPr>
        <w:t>1917 закончилась постройка первого самолета Энгельса первой серии, второго - 9 сентября. Руководить работой пригла</w:t>
      </w:r>
      <w:r w:rsidRPr="002F2FDF">
        <w:rPr>
          <w:rFonts w:ascii="Times New Roman" w:hAnsi="Times New Roman" w:cs="Times New Roman"/>
          <w:color w:val="000000" w:themeColor="text1"/>
          <w:kern w:val="2"/>
          <w:sz w:val="16"/>
          <w:szCs w:val="16"/>
        </w:rPr>
        <w:softHyphen/>
        <w:t>сили А.Ю. Виллиша. Установили бо</w:t>
      </w:r>
      <w:r w:rsidRPr="002F2FDF">
        <w:rPr>
          <w:rFonts w:ascii="Times New Roman" w:hAnsi="Times New Roman" w:cs="Times New Roman"/>
          <w:color w:val="000000" w:themeColor="text1"/>
          <w:kern w:val="2"/>
          <w:sz w:val="16"/>
          <w:szCs w:val="16"/>
        </w:rPr>
        <w:softHyphen/>
        <w:t xml:space="preserve">лее мощный двигатель "Рон" в 120 л. с. Первое испытание самолета "Энгельс-ПГ (как его стали называть), которое проводил лейтенант Яковицкий, </w:t>
      </w:r>
      <w:r w:rsidRPr="002F2FDF">
        <w:rPr>
          <w:rFonts w:ascii="Times New Roman" w:hAnsi="Times New Roman" w:cs="Times New Roman"/>
          <w:color w:val="000000" w:themeColor="text1"/>
          <w:kern w:val="2"/>
          <w:sz w:val="16"/>
          <w:szCs w:val="16"/>
        </w:rPr>
        <w:lastRenderedPageBreak/>
        <w:t>по</w:t>
      </w:r>
      <w:r w:rsidRPr="002F2FDF">
        <w:rPr>
          <w:rFonts w:ascii="Times New Roman" w:hAnsi="Times New Roman" w:cs="Times New Roman"/>
          <w:color w:val="000000" w:themeColor="text1"/>
          <w:kern w:val="2"/>
          <w:sz w:val="16"/>
          <w:szCs w:val="16"/>
        </w:rPr>
        <w:softHyphen/>
        <w:t>казало, что самолет зарывается на рулении правым крылом из-за ре</w:t>
      </w:r>
      <w:r w:rsidRPr="002F2FDF">
        <w:rPr>
          <w:rFonts w:ascii="Times New Roman" w:hAnsi="Times New Roman" w:cs="Times New Roman"/>
          <w:color w:val="000000" w:themeColor="text1"/>
          <w:kern w:val="2"/>
          <w:sz w:val="16"/>
          <w:szCs w:val="16"/>
        </w:rPr>
        <w:softHyphen/>
        <w:t>акции винта и не отрывается. В законцовку левого крыла помести</w:t>
      </w:r>
      <w:r w:rsidRPr="002F2FDF">
        <w:rPr>
          <w:rFonts w:ascii="Times New Roman" w:hAnsi="Times New Roman" w:cs="Times New Roman"/>
          <w:color w:val="000000" w:themeColor="text1"/>
          <w:kern w:val="2"/>
          <w:sz w:val="16"/>
          <w:szCs w:val="16"/>
        </w:rPr>
        <w:softHyphen/>
        <w:t>ли груз в 5 кг. Это помогло. 10 ок</w:t>
      </w:r>
      <w:r w:rsidRPr="002F2FDF">
        <w:rPr>
          <w:rFonts w:ascii="Times New Roman" w:hAnsi="Times New Roman" w:cs="Times New Roman"/>
          <w:color w:val="000000" w:themeColor="text1"/>
          <w:kern w:val="2"/>
          <w:sz w:val="16"/>
          <w:szCs w:val="16"/>
        </w:rPr>
        <w:softHyphen/>
        <w:t>тября 1917 г. первый самолет был сдан морскому ведомству. Второй передан не вполне законченным и лишь в марте 1920 г. Военно-морс</w:t>
      </w:r>
      <w:r w:rsidRPr="002F2FDF">
        <w:rPr>
          <w:rFonts w:ascii="Times New Roman" w:hAnsi="Times New Roman" w:cs="Times New Roman"/>
          <w:color w:val="000000" w:themeColor="text1"/>
          <w:kern w:val="2"/>
          <w:sz w:val="16"/>
          <w:szCs w:val="16"/>
        </w:rPr>
        <w:softHyphen/>
        <w:t>кой школе авиации, эвакуирован</w:t>
      </w:r>
      <w:r w:rsidRPr="002F2FDF">
        <w:rPr>
          <w:rFonts w:ascii="Times New Roman" w:hAnsi="Times New Roman" w:cs="Times New Roman"/>
          <w:color w:val="000000" w:themeColor="text1"/>
          <w:kern w:val="2"/>
          <w:sz w:val="16"/>
          <w:szCs w:val="16"/>
        </w:rPr>
        <w:softHyphen/>
        <w:t>ной в Нижний Новгород; самолет был окончательно завершен и ис</w:t>
      </w:r>
      <w:r w:rsidRPr="002F2FDF">
        <w:rPr>
          <w:rFonts w:ascii="Times New Roman" w:hAnsi="Times New Roman" w:cs="Times New Roman"/>
          <w:color w:val="000000" w:themeColor="text1"/>
          <w:kern w:val="2"/>
          <w:sz w:val="16"/>
          <w:szCs w:val="16"/>
        </w:rPr>
        <w:softHyphen/>
        <w:t>пытан на лыжах. Осенью школа перебазировалась в другой город, где через год самолет, уже сомни</w:t>
      </w:r>
      <w:r w:rsidRPr="002F2FDF">
        <w:rPr>
          <w:rFonts w:ascii="Times New Roman" w:hAnsi="Times New Roman" w:cs="Times New Roman"/>
          <w:color w:val="000000" w:themeColor="text1"/>
          <w:kern w:val="2"/>
          <w:sz w:val="16"/>
          <w:szCs w:val="16"/>
        </w:rPr>
        <w:softHyphen/>
        <w:t>тельной сохранности испытан С. А. Кочеригиным. При попытке разбе</w:t>
      </w:r>
      <w:r w:rsidRPr="002F2FDF">
        <w:rPr>
          <w:rFonts w:ascii="Times New Roman" w:hAnsi="Times New Roman" w:cs="Times New Roman"/>
          <w:color w:val="000000" w:themeColor="text1"/>
          <w:kern w:val="2"/>
          <w:sz w:val="16"/>
          <w:szCs w:val="16"/>
        </w:rPr>
        <w:softHyphen/>
        <w:t>га отломались поплавки вместе с опущенными концами крыльев, са</w:t>
      </w:r>
      <w:r w:rsidRPr="002F2FDF">
        <w:rPr>
          <w:rFonts w:ascii="Times New Roman" w:hAnsi="Times New Roman" w:cs="Times New Roman"/>
          <w:color w:val="000000" w:themeColor="text1"/>
          <w:kern w:val="2"/>
          <w:sz w:val="16"/>
          <w:szCs w:val="16"/>
        </w:rPr>
        <w:softHyphen/>
        <w:t>молёт реконструировали, поставив поплавки от М-5 на стойках. При второй попытке произошел капот на разбеге, после чего самолет уже не восстанавливали (11872).</w:t>
      </w:r>
    </w:p>
    <w:p w14:paraId="31641C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9BC2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августа (6 сентября) 1917 состоялся первый полет морского торпедоносца ГАСН (гидроаэроплан специального назначения) Д.П.Григоровича и М.М.Шишмарева - зав. КБ на заводе Т.Т.Щетинина. Это был первый в мире специализированный торпедоносец, который проектировался и строился с 1916. Летал А.Е.Грузинов. Мореходность и управляемость были хорошими (237,130).</w:t>
      </w:r>
    </w:p>
    <w:p w14:paraId="3A76E6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другим данным - 6 сентября 1917</w:t>
      </w:r>
    </w:p>
    <w:p w14:paraId="7E80A4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Испытания возобновились 17 сентября 1917 (2807,82).</w:t>
      </w:r>
    </w:p>
    <w:p w14:paraId="282C24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8B6AB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24 августа </w:t>
      </w:r>
      <w:r w:rsidR="00783C50" w:rsidRPr="002F2FDF">
        <w:rPr>
          <w:rFonts w:ascii="Times New Roman" w:hAnsi="Times New Roman" w:cs="Times New Roman"/>
          <w:color w:val="000000" w:themeColor="text1"/>
          <w:kern w:val="2"/>
          <w:sz w:val="16"/>
          <w:szCs w:val="16"/>
        </w:rPr>
        <w:t xml:space="preserve">(6 сентября) </w:t>
      </w:r>
      <w:r w:rsidRPr="002F2FDF">
        <w:rPr>
          <w:rFonts w:ascii="Times New Roman" w:hAnsi="Times New Roman" w:cs="Times New Roman"/>
          <w:color w:val="000000" w:themeColor="text1"/>
          <w:kern w:val="2"/>
          <w:sz w:val="16"/>
          <w:szCs w:val="16"/>
        </w:rPr>
        <w:t>1917 в Петрограде состоялся пробный полет морского торпедоносца "ГАСН" (гидроаэроплан специального назначения) конструкции инженеров Д.П.Григоровича и М.М.Шишмарева. "ГАСН” - двухплавкошй фюзеляжный биплан с двумя двигателями Рено по 220 л,с. и четырехлопзстными винтами. Испытывал летчик Алек</w:t>
      </w:r>
      <w:r w:rsidRPr="002F2FDF">
        <w:rPr>
          <w:rFonts w:ascii="Times New Roman" w:hAnsi="Times New Roman" w:cs="Times New Roman"/>
          <w:color w:val="000000" w:themeColor="text1"/>
          <w:kern w:val="2"/>
          <w:sz w:val="16"/>
          <w:szCs w:val="16"/>
        </w:rPr>
        <w:softHyphen/>
        <w:t>сей Евграфович Грузиков. Испытания затянулись, и самолет не успел принять участие в войне. (ЦГВИА. ф.28, оп.1, д.19, оп.4, Д.290).</w:t>
      </w:r>
    </w:p>
    <w:p w14:paraId="3F89BD7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A07BD8" w14:textId="77777777" w:rsidR="00AA0423" w:rsidRDefault="00AA0423"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6A6685">
        <w:rPr>
          <w:rFonts w:ascii="Times New Roman" w:hAnsi="Times New Roman" w:cs="Times New Roman"/>
          <w:color w:val="0070C0"/>
          <w:kern w:val="2"/>
          <w:sz w:val="16"/>
          <w:szCs w:val="16"/>
        </w:rPr>
        <w:t xml:space="preserve">24 августа (6 сентября) 1917 в Петрограде состоялся пробный полет морского торпедоносца "ГАСН" (гидроаэроплан специального назначения) конструкции инженеров Д.П.Григоровича и М.М.Шишмарева. "ГАСН” </w:t>
      </w:r>
      <w:r>
        <w:rPr>
          <w:rFonts w:ascii="Times New Roman" w:hAnsi="Times New Roman" w:cs="Times New Roman"/>
          <w:color w:val="0070C0"/>
          <w:kern w:val="2"/>
          <w:sz w:val="16"/>
          <w:szCs w:val="16"/>
        </w:rPr>
        <w:t>–</w:t>
      </w:r>
      <w:r w:rsidRPr="006A6685">
        <w:rPr>
          <w:rFonts w:ascii="Times New Roman" w:hAnsi="Times New Roman" w:cs="Times New Roman"/>
          <w:color w:val="0070C0"/>
          <w:kern w:val="2"/>
          <w:sz w:val="16"/>
          <w:szCs w:val="16"/>
        </w:rPr>
        <w:t xml:space="preserve"> двух</w:t>
      </w:r>
      <w:r>
        <w:rPr>
          <w:rFonts w:ascii="Times New Roman" w:hAnsi="Times New Roman" w:cs="Times New Roman"/>
          <w:color w:val="0070C0"/>
          <w:kern w:val="2"/>
          <w:sz w:val="16"/>
          <w:szCs w:val="16"/>
        </w:rPr>
        <w:t xml:space="preserve"> </w:t>
      </w:r>
      <w:r w:rsidRPr="006A6685">
        <w:rPr>
          <w:rFonts w:ascii="Times New Roman" w:hAnsi="Times New Roman" w:cs="Times New Roman"/>
          <w:color w:val="0070C0"/>
          <w:kern w:val="2"/>
          <w:sz w:val="16"/>
          <w:szCs w:val="16"/>
        </w:rPr>
        <w:t>п</w:t>
      </w:r>
      <w:r>
        <w:rPr>
          <w:rFonts w:ascii="Times New Roman" w:hAnsi="Times New Roman" w:cs="Times New Roman"/>
          <w:color w:val="0070C0"/>
          <w:kern w:val="2"/>
          <w:sz w:val="16"/>
          <w:szCs w:val="16"/>
        </w:rPr>
        <w:t>оп</w:t>
      </w:r>
      <w:r w:rsidRPr="006A6685">
        <w:rPr>
          <w:rFonts w:ascii="Times New Roman" w:hAnsi="Times New Roman" w:cs="Times New Roman"/>
          <w:color w:val="0070C0"/>
          <w:kern w:val="2"/>
          <w:sz w:val="16"/>
          <w:szCs w:val="16"/>
        </w:rPr>
        <w:t>лавко</w:t>
      </w:r>
      <w:r>
        <w:rPr>
          <w:rFonts w:ascii="Times New Roman" w:hAnsi="Times New Roman" w:cs="Times New Roman"/>
          <w:color w:val="0070C0"/>
          <w:kern w:val="2"/>
          <w:sz w:val="16"/>
          <w:szCs w:val="16"/>
        </w:rPr>
        <w:t>вы</w:t>
      </w:r>
      <w:r w:rsidRPr="006A6685">
        <w:rPr>
          <w:rFonts w:ascii="Times New Roman" w:hAnsi="Times New Roman" w:cs="Times New Roman"/>
          <w:color w:val="0070C0"/>
          <w:kern w:val="2"/>
          <w:sz w:val="16"/>
          <w:szCs w:val="16"/>
        </w:rPr>
        <w:t>й фюзеляжный биплан с двумя двигателями Рено по 220 л,с. и четырехлоп</w:t>
      </w:r>
      <w:r>
        <w:rPr>
          <w:rFonts w:ascii="Times New Roman" w:hAnsi="Times New Roman" w:cs="Times New Roman"/>
          <w:color w:val="0070C0"/>
          <w:kern w:val="2"/>
          <w:sz w:val="16"/>
          <w:szCs w:val="16"/>
        </w:rPr>
        <w:t>а</w:t>
      </w:r>
      <w:r w:rsidRPr="006A6685">
        <w:rPr>
          <w:rFonts w:ascii="Times New Roman" w:hAnsi="Times New Roman" w:cs="Times New Roman"/>
          <w:color w:val="0070C0"/>
          <w:kern w:val="2"/>
          <w:sz w:val="16"/>
          <w:szCs w:val="16"/>
        </w:rPr>
        <w:t>стными винтами. Испытывал летчик Алек</w:t>
      </w:r>
      <w:r w:rsidRPr="006A6685">
        <w:rPr>
          <w:rFonts w:ascii="Times New Roman" w:hAnsi="Times New Roman" w:cs="Times New Roman"/>
          <w:color w:val="0070C0"/>
          <w:kern w:val="2"/>
          <w:sz w:val="16"/>
          <w:szCs w:val="16"/>
        </w:rPr>
        <w:softHyphen/>
        <w:t>сей Евграфович Грузиков. Испытания затянулись, и самолет не успел принять участие в войне.</w:t>
      </w:r>
    </w:p>
    <w:p w14:paraId="66BBDD91" w14:textId="77777777" w:rsidR="00AA0423" w:rsidRPr="006A6685" w:rsidRDefault="00AA0423"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Pr>
          <w:rFonts w:ascii="Times New Roman" w:hAnsi="Times New Roman" w:cs="Times New Roman"/>
          <w:color w:val="0070C0"/>
          <w:kern w:val="2"/>
          <w:sz w:val="16"/>
          <w:szCs w:val="16"/>
        </w:rPr>
        <w:t>/</w:t>
      </w:r>
      <w:r w:rsidRPr="006A6685">
        <w:rPr>
          <w:rFonts w:ascii="Times New Roman" w:hAnsi="Times New Roman" w:cs="Times New Roman"/>
          <w:color w:val="0070C0"/>
          <w:kern w:val="2"/>
          <w:sz w:val="16"/>
          <w:szCs w:val="16"/>
        </w:rPr>
        <w:t>ЦГВИА. ф.</w:t>
      </w:r>
      <w:r>
        <w:rPr>
          <w:rFonts w:ascii="Times New Roman" w:hAnsi="Times New Roman" w:cs="Times New Roman"/>
          <w:color w:val="0070C0"/>
          <w:kern w:val="2"/>
          <w:sz w:val="16"/>
          <w:szCs w:val="16"/>
        </w:rPr>
        <w:t xml:space="preserve"> </w:t>
      </w:r>
      <w:r w:rsidRPr="006A6685">
        <w:rPr>
          <w:rFonts w:ascii="Times New Roman" w:hAnsi="Times New Roman" w:cs="Times New Roman"/>
          <w:color w:val="0070C0"/>
          <w:kern w:val="2"/>
          <w:sz w:val="16"/>
          <w:szCs w:val="16"/>
        </w:rPr>
        <w:t>28, оп.</w:t>
      </w:r>
      <w:r>
        <w:rPr>
          <w:rFonts w:ascii="Times New Roman" w:hAnsi="Times New Roman" w:cs="Times New Roman"/>
          <w:color w:val="0070C0"/>
          <w:kern w:val="2"/>
          <w:sz w:val="16"/>
          <w:szCs w:val="16"/>
        </w:rPr>
        <w:t xml:space="preserve"> </w:t>
      </w:r>
      <w:r w:rsidRPr="006A6685">
        <w:rPr>
          <w:rFonts w:ascii="Times New Roman" w:hAnsi="Times New Roman" w:cs="Times New Roman"/>
          <w:color w:val="0070C0"/>
          <w:kern w:val="2"/>
          <w:sz w:val="16"/>
          <w:szCs w:val="16"/>
        </w:rPr>
        <w:t>1, д.</w:t>
      </w:r>
      <w:r>
        <w:rPr>
          <w:rFonts w:ascii="Times New Roman" w:hAnsi="Times New Roman" w:cs="Times New Roman"/>
          <w:color w:val="0070C0"/>
          <w:kern w:val="2"/>
          <w:sz w:val="16"/>
          <w:szCs w:val="16"/>
        </w:rPr>
        <w:t xml:space="preserve"> </w:t>
      </w:r>
      <w:r w:rsidRPr="006A6685">
        <w:rPr>
          <w:rFonts w:ascii="Times New Roman" w:hAnsi="Times New Roman" w:cs="Times New Roman"/>
          <w:color w:val="0070C0"/>
          <w:kern w:val="2"/>
          <w:sz w:val="16"/>
          <w:szCs w:val="16"/>
        </w:rPr>
        <w:t>19</w:t>
      </w:r>
      <w:r>
        <w:rPr>
          <w:rFonts w:ascii="Times New Roman" w:hAnsi="Times New Roman" w:cs="Times New Roman"/>
          <w:color w:val="0070C0"/>
          <w:kern w:val="2"/>
          <w:sz w:val="16"/>
          <w:szCs w:val="16"/>
        </w:rPr>
        <w:t xml:space="preserve">;  </w:t>
      </w:r>
      <w:r w:rsidRPr="006A6685">
        <w:rPr>
          <w:rFonts w:ascii="Times New Roman" w:hAnsi="Times New Roman" w:cs="Times New Roman"/>
          <w:color w:val="0070C0"/>
          <w:kern w:val="2"/>
          <w:sz w:val="16"/>
          <w:szCs w:val="16"/>
        </w:rPr>
        <w:t>оп.</w:t>
      </w:r>
      <w:r>
        <w:rPr>
          <w:rFonts w:ascii="Times New Roman" w:hAnsi="Times New Roman" w:cs="Times New Roman"/>
          <w:color w:val="0070C0"/>
          <w:kern w:val="2"/>
          <w:sz w:val="16"/>
          <w:szCs w:val="16"/>
        </w:rPr>
        <w:t xml:space="preserve"> </w:t>
      </w:r>
      <w:r w:rsidRPr="006A6685">
        <w:rPr>
          <w:rFonts w:ascii="Times New Roman" w:hAnsi="Times New Roman" w:cs="Times New Roman"/>
          <w:color w:val="0070C0"/>
          <w:kern w:val="2"/>
          <w:sz w:val="16"/>
          <w:szCs w:val="16"/>
        </w:rPr>
        <w:t xml:space="preserve">4, </w:t>
      </w:r>
      <w:r>
        <w:rPr>
          <w:rFonts w:ascii="Times New Roman" w:hAnsi="Times New Roman" w:cs="Times New Roman"/>
          <w:color w:val="0070C0"/>
          <w:kern w:val="2"/>
          <w:sz w:val="16"/>
          <w:szCs w:val="16"/>
        </w:rPr>
        <w:t>д</w:t>
      </w:r>
      <w:r w:rsidRPr="006A6685">
        <w:rPr>
          <w:rFonts w:ascii="Times New Roman" w:hAnsi="Times New Roman" w:cs="Times New Roman"/>
          <w:color w:val="0070C0"/>
          <w:kern w:val="2"/>
          <w:sz w:val="16"/>
          <w:szCs w:val="16"/>
        </w:rPr>
        <w:t>.</w:t>
      </w:r>
      <w:r>
        <w:rPr>
          <w:rFonts w:ascii="Times New Roman" w:hAnsi="Times New Roman" w:cs="Times New Roman"/>
          <w:color w:val="0070C0"/>
          <w:kern w:val="2"/>
          <w:sz w:val="16"/>
          <w:szCs w:val="16"/>
        </w:rPr>
        <w:t xml:space="preserve"> </w:t>
      </w:r>
      <w:r w:rsidRPr="006A6685">
        <w:rPr>
          <w:rFonts w:ascii="Times New Roman" w:hAnsi="Times New Roman" w:cs="Times New Roman"/>
          <w:color w:val="0070C0"/>
          <w:kern w:val="2"/>
          <w:sz w:val="16"/>
          <w:szCs w:val="16"/>
        </w:rPr>
        <w:t>290)</w:t>
      </w:r>
      <w:r>
        <w:rPr>
          <w:rFonts w:ascii="Times New Roman" w:hAnsi="Times New Roman" w:cs="Times New Roman"/>
          <w:color w:val="0070C0"/>
          <w:kern w:val="2"/>
          <w:sz w:val="16"/>
          <w:szCs w:val="16"/>
        </w:rPr>
        <w:t xml:space="preserve"> (23320)</w:t>
      </w:r>
      <w:r w:rsidRPr="006A6685">
        <w:rPr>
          <w:rFonts w:ascii="Times New Roman" w:hAnsi="Times New Roman" w:cs="Times New Roman"/>
          <w:color w:val="0070C0"/>
          <w:kern w:val="2"/>
          <w:sz w:val="16"/>
          <w:szCs w:val="16"/>
        </w:rPr>
        <w:t>.</w:t>
      </w:r>
    </w:p>
    <w:p w14:paraId="502FE42F" w14:textId="77777777" w:rsidR="00AA0423" w:rsidRPr="006A6685" w:rsidRDefault="00AA0423"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p>
    <w:p w14:paraId="2235F637" w14:textId="77777777" w:rsidR="00465FFE" w:rsidRPr="002F2FDF" w:rsidRDefault="00465FFE" w:rsidP="0083075A">
      <w:pPr>
        <w:spacing w:after="0" w:line="240" w:lineRule="auto"/>
        <w:jc w:val="both"/>
        <w:rPr>
          <w:rStyle w:val="ucoz-forum-post"/>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августа (6 сентября)</w:t>
      </w:r>
      <w:r w:rsidRPr="002F2FDF">
        <w:rPr>
          <w:rStyle w:val="ucoz-forum-post"/>
          <w:rFonts w:ascii="Times New Roman" w:hAnsi="Times New Roman" w:cs="Times New Roman"/>
          <w:bCs/>
          <w:color w:val="000000" w:themeColor="text1"/>
          <w:kern w:val="2"/>
          <w:sz w:val="16"/>
          <w:szCs w:val="16"/>
        </w:rPr>
        <w:t xml:space="preserve"> 1917 г.</w:t>
      </w:r>
      <w:r w:rsidRPr="002F2FDF">
        <w:rPr>
          <w:rStyle w:val="ucoz-forum-post"/>
          <w:rFonts w:ascii="Times New Roman" w:hAnsi="Times New Roman" w:cs="Times New Roman"/>
          <w:color w:val="000000" w:themeColor="text1"/>
          <w:kern w:val="2"/>
          <w:sz w:val="16"/>
          <w:szCs w:val="16"/>
        </w:rPr>
        <w:t xml:space="preserve"> – первый полёт первого в мире морского торпедоносца ГАСН Д.П. Григоровича и М.М. Шишмарёва, лётчик А.Е. Грузинов (24 августа ст. ст.) (14761).</w:t>
      </w:r>
    </w:p>
    <w:p w14:paraId="0B33651D" w14:textId="77777777" w:rsidR="00465FFE" w:rsidRPr="002F2FDF" w:rsidRDefault="00465FFE" w:rsidP="0083075A">
      <w:pPr>
        <w:spacing w:after="0" w:line="240" w:lineRule="auto"/>
        <w:jc w:val="both"/>
        <w:rPr>
          <w:rStyle w:val="ucoz-forum-post"/>
          <w:rFonts w:ascii="Times New Roman" w:hAnsi="Times New Roman" w:cs="Times New Roman"/>
          <w:color w:val="000000" w:themeColor="text1"/>
          <w:kern w:val="2"/>
          <w:sz w:val="16"/>
          <w:szCs w:val="16"/>
        </w:rPr>
      </w:pPr>
    </w:p>
    <w:p w14:paraId="4DBAC7CD" w14:textId="77777777" w:rsidR="00465FFE" w:rsidRPr="002F2FDF" w:rsidRDefault="00465FF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августа (6 сентября) в 1917 году первый полет первого в мире морского торпедоносца ГАСН конструкции Д.П.Григоровича и М.М.Шишмарева, Е.Е.Грузинов. Это был первый в мире специализированный торпедоносец, который проектировался и строился с 1916 г. Мореходность и управляемость были хорошими (14761).</w:t>
      </w:r>
    </w:p>
    <w:p w14:paraId="118FDB24" w14:textId="77777777" w:rsidR="00465FFE" w:rsidRPr="002F2FDF" w:rsidRDefault="00465FFE" w:rsidP="0083075A">
      <w:pPr>
        <w:spacing w:after="0" w:line="240" w:lineRule="auto"/>
        <w:jc w:val="both"/>
        <w:rPr>
          <w:rFonts w:ascii="Times New Roman" w:hAnsi="Times New Roman" w:cs="Times New Roman"/>
          <w:color w:val="000000" w:themeColor="text1"/>
          <w:kern w:val="2"/>
          <w:sz w:val="16"/>
          <w:szCs w:val="16"/>
        </w:rPr>
      </w:pPr>
    </w:p>
    <w:p w14:paraId="56D6BB7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августа (6 сентября) 1917 Первый полет морского торпедоносца “ГАСН” (гидроаэроплан специального назначения) конструкции Д. П. Григоровича и М. М. Шишмарева (1137).</w:t>
      </w:r>
    </w:p>
    <w:p w14:paraId="06E361D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2DF84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августа (6 сентября) 1917 г. согласно В.Б.Ш. был днем первого вылета прототипа, якобы совершенного в Петрограде А. Е. Грузиновым, к этому времени старшим лейтенантом военно-морских сил. Итогом августовских испытаний явились некоторые изменения в конструкции, бывшие следствием стремления улучшить, во-первых, центровку аппарата, сделав ее более передней путем перемещения двигателей и прочих грузов и придания небольшой стреловидности крыльям, и, во-вторых, его управляемость в воз</w:t>
      </w:r>
      <w:r w:rsidRPr="002F2FDF">
        <w:rPr>
          <w:rFonts w:ascii="Times New Roman" w:hAnsi="Times New Roman" w:cs="Times New Roman"/>
          <w:color w:val="000000" w:themeColor="text1"/>
          <w:kern w:val="2"/>
          <w:sz w:val="16"/>
          <w:szCs w:val="16"/>
        </w:rPr>
        <w:softHyphen/>
        <w:t>духе — за счет увеличения площади рулей. При том ГАСН продемонстрировал хорошую мореходность и достаточную управляемость на воде, но доработки все же требовали времени, и опыты возобновились только после 17 сентября, проходя на Опытном аэродроме Петроградской школы морской авиации (2807).</w:t>
      </w:r>
    </w:p>
    <w:p w14:paraId="6A9AC7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DD03C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августа (6 сентября) 1917 года старший лейтенант А. Грузинов испытал гидроаэроплан специального назначения (ГАСН), созданный по эскизу Д. Григоровича начальником конструкторского бюро на заводе С. Щетинина инженером М. Шишмаревым. Этот двухпоплавковый фюзеляжный бип</w:t>
      </w:r>
      <w:r w:rsidRPr="002F2FDF">
        <w:rPr>
          <w:rFonts w:ascii="Times New Roman" w:hAnsi="Times New Roman" w:cs="Times New Roman"/>
          <w:color w:val="000000" w:themeColor="text1"/>
          <w:kern w:val="2"/>
          <w:sz w:val="16"/>
          <w:szCs w:val="16"/>
        </w:rPr>
        <w:softHyphen/>
        <w:t>лан с парой 220-сильных моторов свободно поднимал и сбра</w:t>
      </w:r>
      <w:r w:rsidRPr="002F2FDF">
        <w:rPr>
          <w:rFonts w:ascii="Times New Roman" w:hAnsi="Times New Roman" w:cs="Times New Roman"/>
          <w:color w:val="000000" w:themeColor="text1"/>
          <w:kern w:val="2"/>
          <w:sz w:val="16"/>
          <w:szCs w:val="16"/>
        </w:rPr>
        <w:softHyphen/>
        <w:t>сывал по мишени макет облегченной торпеды. Случившаяся через месяц авария помешала началу его производства, хотя уже было заказано изготовить 10 таких боевых машин. Другому созданному тогда же на Авиационной испытатель</w:t>
      </w:r>
      <w:r w:rsidRPr="002F2FDF">
        <w:rPr>
          <w:rFonts w:ascii="Times New Roman" w:hAnsi="Times New Roman" w:cs="Times New Roman"/>
          <w:color w:val="000000" w:themeColor="text1"/>
          <w:kern w:val="2"/>
          <w:sz w:val="16"/>
          <w:szCs w:val="16"/>
        </w:rPr>
        <w:softHyphen/>
        <w:t>ной станции под руководством инженера П. Шишкова тор</w:t>
      </w:r>
      <w:r w:rsidRPr="002F2FDF">
        <w:rPr>
          <w:rFonts w:ascii="Times New Roman" w:hAnsi="Times New Roman" w:cs="Times New Roman"/>
          <w:color w:val="000000" w:themeColor="text1"/>
          <w:kern w:val="2"/>
          <w:sz w:val="16"/>
          <w:szCs w:val="16"/>
        </w:rPr>
        <w:softHyphen/>
        <w:t>педоносцу (АИСТ), трижды опробованному в полете на гидро-дроме острова Крестовый старшим лейтенантом Грузиновым со сбросом макетов торпед, так же не повезло. Он представ</w:t>
      </w:r>
      <w:r w:rsidRPr="002F2FDF">
        <w:rPr>
          <w:rFonts w:ascii="Times New Roman" w:hAnsi="Times New Roman" w:cs="Times New Roman"/>
          <w:color w:val="000000" w:themeColor="text1"/>
          <w:kern w:val="2"/>
          <w:sz w:val="16"/>
          <w:szCs w:val="16"/>
        </w:rPr>
        <w:softHyphen/>
        <w:t>лял собой двухместный биплан, развивавший скорость поле</w:t>
      </w:r>
      <w:r w:rsidRPr="002F2FDF">
        <w:rPr>
          <w:rFonts w:ascii="Times New Roman" w:hAnsi="Times New Roman" w:cs="Times New Roman"/>
          <w:color w:val="000000" w:themeColor="text1"/>
          <w:kern w:val="2"/>
          <w:sz w:val="16"/>
          <w:szCs w:val="16"/>
        </w:rPr>
        <w:softHyphen/>
        <w:t>та до 150 км/час. Причина невезения элементарно проста -в октябре все работы были прекращены. В это время работами по созданию новой техники занималось созданное по инициативе Адмиралтейств-Совета под пред</w:t>
      </w:r>
      <w:r w:rsidRPr="002F2FDF">
        <w:rPr>
          <w:rFonts w:ascii="Times New Roman" w:hAnsi="Times New Roman" w:cs="Times New Roman"/>
          <w:color w:val="000000" w:themeColor="text1"/>
          <w:kern w:val="2"/>
          <w:sz w:val="16"/>
          <w:szCs w:val="16"/>
        </w:rPr>
        <w:softHyphen/>
        <w:t>седательством военного и морского министра трудовика А. Керенского Управление морской авиации и воздухоплавания под начальством капитана 2 ранга А.Тучкова, которое, впрочем, так и не успело по-настоящему заняться решением возложенных на него задач, включая контроль за поставками авиатехники на флоты (11283).</w:t>
      </w:r>
    </w:p>
    <w:p w14:paraId="0FE6E09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426E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24 августа </w:t>
      </w:r>
      <w:r w:rsidR="00783C50" w:rsidRPr="002F2FDF">
        <w:rPr>
          <w:rFonts w:ascii="Times New Roman" w:hAnsi="Times New Roman" w:cs="Times New Roman"/>
          <w:color w:val="000000" w:themeColor="text1"/>
          <w:kern w:val="2"/>
          <w:sz w:val="16"/>
          <w:szCs w:val="16"/>
        </w:rPr>
        <w:t xml:space="preserve">(6 сентября) </w:t>
      </w:r>
      <w:r w:rsidRPr="002F2FDF">
        <w:rPr>
          <w:rFonts w:ascii="Times New Roman" w:hAnsi="Times New Roman" w:cs="Times New Roman"/>
          <w:color w:val="000000" w:themeColor="text1"/>
          <w:kern w:val="2"/>
          <w:sz w:val="16"/>
          <w:szCs w:val="16"/>
        </w:rPr>
        <w:t>1917 г. состоялся первый полет ГАСН. Он оказался удовлетвори</w:t>
      </w:r>
      <w:r w:rsidRPr="002F2FDF">
        <w:rPr>
          <w:rFonts w:ascii="Times New Roman" w:hAnsi="Times New Roman" w:cs="Times New Roman"/>
          <w:color w:val="000000" w:themeColor="text1"/>
          <w:kern w:val="2"/>
          <w:sz w:val="16"/>
          <w:szCs w:val="16"/>
        </w:rPr>
        <w:softHyphen/>
        <w:t>тельным, но потребовалось выпол</w:t>
      </w:r>
      <w:r w:rsidRPr="002F2FDF">
        <w:rPr>
          <w:rFonts w:ascii="Times New Roman" w:hAnsi="Times New Roman" w:cs="Times New Roman"/>
          <w:color w:val="000000" w:themeColor="text1"/>
          <w:kern w:val="2"/>
          <w:sz w:val="16"/>
          <w:szCs w:val="16"/>
        </w:rPr>
        <w:softHyphen/>
        <w:t>нить доработки: изменить центров</w:t>
      </w:r>
      <w:r w:rsidRPr="002F2FDF">
        <w:rPr>
          <w:rFonts w:ascii="Times New Roman" w:hAnsi="Times New Roman" w:cs="Times New Roman"/>
          <w:color w:val="000000" w:themeColor="text1"/>
          <w:kern w:val="2"/>
          <w:sz w:val="16"/>
          <w:szCs w:val="16"/>
        </w:rPr>
        <w:softHyphen/>
        <w:t>ку, установить другое крыло, уве</w:t>
      </w:r>
      <w:r w:rsidRPr="002F2FDF">
        <w:rPr>
          <w:rFonts w:ascii="Times New Roman" w:hAnsi="Times New Roman" w:cs="Times New Roman"/>
          <w:color w:val="000000" w:themeColor="text1"/>
          <w:kern w:val="2"/>
          <w:sz w:val="16"/>
          <w:szCs w:val="16"/>
        </w:rPr>
        <w:softHyphen/>
        <w:t>личить прочность подкрыльных по</w:t>
      </w:r>
      <w:r w:rsidRPr="002F2FDF">
        <w:rPr>
          <w:rFonts w:ascii="Times New Roman" w:hAnsi="Times New Roman" w:cs="Times New Roman"/>
          <w:color w:val="000000" w:themeColor="text1"/>
          <w:kern w:val="2"/>
          <w:sz w:val="16"/>
          <w:szCs w:val="16"/>
        </w:rPr>
        <w:softHyphen/>
        <w:t>плавков. История повторялась - ни один самолет Григоровича не по</w:t>
      </w:r>
      <w:r w:rsidRPr="002F2FDF">
        <w:rPr>
          <w:rFonts w:ascii="Times New Roman" w:hAnsi="Times New Roman" w:cs="Times New Roman"/>
          <w:color w:val="000000" w:themeColor="text1"/>
          <w:kern w:val="2"/>
          <w:sz w:val="16"/>
          <w:szCs w:val="16"/>
        </w:rPr>
        <w:softHyphen/>
        <w:t>шел с первого предъявления, все они нуждались в существенных доработ</w:t>
      </w:r>
      <w:r w:rsidRPr="002F2FDF">
        <w:rPr>
          <w:rFonts w:ascii="Times New Roman" w:hAnsi="Times New Roman" w:cs="Times New Roman"/>
          <w:color w:val="000000" w:themeColor="text1"/>
          <w:kern w:val="2"/>
          <w:sz w:val="16"/>
          <w:szCs w:val="16"/>
        </w:rPr>
        <w:softHyphen/>
        <w:t>ках. При очередном испытательном полёте 24 сентября самолёт потер</w:t>
      </w:r>
      <w:r w:rsidRPr="002F2FDF">
        <w:rPr>
          <w:rFonts w:ascii="Times New Roman" w:hAnsi="Times New Roman" w:cs="Times New Roman"/>
          <w:color w:val="000000" w:themeColor="text1"/>
          <w:kern w:val="2"/>
          <w:sz w:val="16"/>
          <w:szCs w:val="16"/>
        </w:rPr>
        <w:softHyphen/>
        <w:t>пел аварию. Военная приёмка по</w:t>
      </w:r>
      <w:r w:rsidRPr="002F2FDF">
        <w:rPr>
          <w:rFonts w:ascii="Times New Roman" w:hAnsi="Times New Roman" w:cs="Times New Roman"/>
          <w:color w:val="000000" w:themeColor="text1"/>
          <w:kern w:val="2"/>
          <w:sz w:val="16"/>
          <w:szCs w:val="16"/>
        </w:rPr>
        <w:softHyphen/>
        <w:t>считала самолёт недоработанным и требующим доводки. К этому вре</w:t>
      </w:r>
      <w:r w:rsidRPr="002F2FDF">
        <w:rPr>
          <w:rFonts w:ascii="Times New Roman" w:hAnsi="Times New Roman" w:cs="Times New Roman"/>
          <w:color w:val="000000" w:themeColor="text1"/>
          <w:kern w:val="2"/>
          <w:sz w:val="16"/>
          <w:szCs w:val="16"/>
        </w:rPr>
        <w:softHyphen/>
        <w:t>мени Д.П.Григорович уже ушёл из «Гамаюна», открыв опытный завод, затем произошла Октябрьская ре</w:t>
      </w:r>
      <w:r w:rsidRPr="002F2FDF">
        <w:rPr>
          <w:rFonts w:ascii="Times New Roman" w:hAnsi="Times New Roman" w:cs="Times New Roman"/>
          <w:color w:val="000000" w:themeColor="text1"/>
          <w:kern w:val="2"/>
          <w:sz w:val="16"/>
          <w:szCs w:val="16"/>
        </w:rPr>
        <w:softHyphen/>
        <w:t>волюция (11872).</w:t>
      </w:r>
    </w:p>
    <w:p w14:paraId="3A8A6B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4EBAF3" w14:textId="77777777" w:rsidR="003431D2" w:rsidRPr="002F2FDF" w:rsidRDefault="003431D2" w:rsidP="0083075A">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2F2FDF">
        <w:rPr>
          <w:rFonts w:ascii="Times New Roman" w:eastAsia="Arial Unicode MS" w:hAnsi="Times New Roman" w:cs="Times New Roman"/>
          <w:color w:val="000000" w:themeColor="text1"/>
          <w:kern w:val="2"/>
          <w:sz w:val="16"/>
          <w:szCs w:val="16"/>
        </w:rPr>
        <w:t xml:space="preserve">24 августа </w:t>
      </w:r>
      <w:r w:rsidR="00783C50" w:rsidRPr="002F2FDF">
        <w:rPr>
          <w:rFonts w:ascii="Times New Roman" w:eastAsia="Arial Unicode MS" w:hAnsi="Times New Roman" w:cs="Times New Roman"/>
          <w:color w:val="000000" w:themeColor="text1"/>
          <w:kern w:val="2"/>
          <w:sz w:val="16"/>
          <w:szCs w:val="16"/>
        </w:rPr>
        <w:t xml:space="preserve">(6 сентября) </w:t>
      </w:r>
      <w:r w:rsidRPr="002F2FDF">
        <w:rPr>
          <w:rFonts w:ascii="Times New Roman" w:eastAsia="Arial Unicode MS" w:hAnsi="Times New Roman" w:cs="Times New Roman"/>
          <w:color w:val="000000" w:themeColor="text1"/>
          <w:kern w:val="2"/>
          <w:sz w:val="16"/>
          <w:szCs w:val="16"/>
        </w:rPr>
        <w:t>1917 г. состоялся первый вылет ГАСН в Петрограде под управлением старшего лейте</w:t>
      </w:r>
      <w:r w:rsidRPr="002F2FDF">
        <w:rPr>
          <w:rFonts w:ascii="Times New Roman" w:eastAsia="Arial Unicode MS" w:hAnsi="Times New Roman" w:cs="Times New Roman"/>
          <w:color w:val="000000" w:themeColor="text1"/>
          <w:kern w:val="2"/>
          <w:sz w:val="16"/>
          <w:szCs w:val="16"/>
        </w:rPr>
        <w:softHyphen/>
        <w:t>нанта А.Е. Грузинова. Наряду с хорошей мореходностью и управ</w:t>
      </w:r>
      <w:r w:rsidRPr="002F2FDF">
        <w:rPr>
          <w:rFonts w:ascii="Times New Roman" w:eastAsia="Arial Unicode MS" w:hAnsi="Times New Roman" w:cs="Times New Roman"/>
          <w:color w:val="000000" w:themeColor="text1"/>
          <w:kern w:val="2"/>
          <w:sz w:val="16"/>
          <w:szCs w:val="16"/>
        </w:rPr>
        <w:softHyphen/>
        <w:t>ляемостью на воде, выяснилась не</w:t>
      </w:r>
      <w:r w:rsidRPr="002F2FDF">
        <w:rPr>
          <w:rFonts w:ascii="Times New Roman" w:eastAsia="Arial Unicode MS" w:hAnsi="Times New Roman" w:cs="Times New Roman"/>
          <w:color w:val="000000" w:themeColor="text1"/>
          <w:kern w:val="2"/>
          <w:sz w:val="16"/>
          <w:szCs w:val="16"/>
        </w:rPr>
        <w:softHyphen/>
        <w:t>обходимость внесения улучшений, изменения центровки и повышения эффективности рулей. 24 сентября 1917 г. при совершении посадки был поврежден один поплавок, что потребовало внесения в его конст</w:t>
      </w:r>
      <w:r w:rsidRPr="002F2FDF">
        <w:rPr>
          <w:rFonts w:ascii="Times New Roman" w:eastAsia="Arial Unicode MS" w:hAnsi="Times New Roman" w:cs="Times New Roman"/>
          <w:color w:val="000000" w:themeColor="text1"/>
          <w:kern w:val="2"/>
          <w:sz w:val="16"/>
          <w:szCs w:val="16"/>
        </w:rPr>
        <w:softHyphen/>
        <w:t>рукцию дополнительных усилений. После произведенного ремонта самолет починили и снова испыта</w:t>
      </w:r>
      <w:r w:rsidRPr="002F2FDF">
        <w:rPr>
          <w:rFonts w:ascii="Times New Roman" w:eastAsia="Arial Unicode MS" w:hAnsi="Times New Roman" w:cs="Times New Roman"/>
          <w:color w:val="000000" w:themeColor="text1"/>
          <w:kern w:val="2"/>
          <w:sz w:val="16"/>
          <w:szCs w:val="16"/>
        </w:rPr>
        <w:softHyphen/>
        <w:t>ли в полете. Голенищев-Кутузов, являющийся наблюдающим от Мор</w:t>
      </w:r>
      <w:r w:rsidRPr="002F2FDF">
        <w:rPr>
          <w:rFonts w:ascii="Times New Roman" w:eastAsia="Arial Unicode MS" w:hAnsi="Times New Roman" w:cs="Times New Roman"/>
          <w:color w:val="000000" w:themeColor="text1"/>
          <w:kern w:val="2"/>
          <w:sz w:val="16"/>
          <w:szCs w:val="16"/>
        </w:rPr>
        <w:softHyphen/>
        <w:t>ского ведомства за постройкой ГАСН, так описывал свои впечатле</w:t>
      </w:r>
      <w:r w:rsidRPr="002F2FDF">
        <w:rPr>
          <w:rFonts w:ascii="Times New Roman" w:eastAsia="Arial Unicode MS" w:hAnsi="Times New Roman" w:cs="Times New Roman"/>
          <w:color w:val="000000" w:themeColor="text1"/>
          <w:kern w:val="2"/>
          <w:sz w:val="16"/>
          <w:szCs w:val="16"/>
        </w:rPr>
        <w:softHyphen/>
        <w:t>ния от его испытаний: «В море было свежо, сопровождавшие моторные лодки держались плохо, на аппа</w:t>
      </w:r>
      <w:r w:rsidRPr="002F2FDF">
        <w:rPr>
          <w:rFonts w:ascii="Times New Roman" w:eastAsia="Arial Unicode MS" w:hAnsi="Times New Roman" w:cs="Times New Roman"/>
          <w:color w:val="000000" w:themeColor="text1"/>
          <w:kern w:val="2"/>
          <w:sz w:val="16"/>
          <w:szCs w:val="16"/>
        </w:rPr>
        <w:softHyphen/>
        <w:t>рат такое состояние не оказывало никакого влияния. Водные качества этого аппарата и его управляемость оказались прекрасными... если на спуске прочертить две линии по</w:t>
      </w:r>
      <w:r w:rsidRPr="002F2FDF">
        <w:rPr>
          <w:rFonts w:ascii="Times New Roman" w:eastAsia="Arial Unicode MS" w:hAnsi="Times New Roman" w:cs="Times New Roman"/>
          <w:color w:val="000000" w:themeColor="text1"/>
          <w:kern w:val="2"/>
          <w:sz w:val="16"/>
          <w:szCs w:val="16"/>
        </w:rPr>
        <w:softHyphen/>
        <w:t>плавков, то, пользуясь моторами, можно точно выйти на них даже при боковом ветре».</w:t>
      </w:r>
    </w:p>
    <w:p w14:paraId="4666EB79" w14:textId="77777777" w:rsidR="003431D2" w:rsidRPr="002F2FDF" w:rsidRDefault="003431D2" w:rsidP="0083075A">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2F2FDF">
        <w:rPr>
          <w:rFonts w:ascii="Times New Roman" w:eastAsia="Arial Unicode MS" w:hAnsi="Times New Roman" w:cs="Times New Roman"/>
          <w:color w:val="000000" w:themeColor="text1"/>
          <w:kern w:val="2"/>
          <w:sz w:val="16"/>
          <w:szCs w:val="16"/>
        </w:rPr>
        <w:t>Дальнейшая доводка ГАСН в связи с развернувшимися револю</w:t>
      </w:r>
      <w:r w:rsidRPr="002F2FDF">
        <w:rPr>
          <w:rFonts w:ascii="Times New Roman" w:eastAsia="Arial Unicode MS" w:hAnsi="Times New Roman" w:cs="Times New Roman"/>
          <w:color w:val="000000" w:themeColor="text1"/>
          <w:kern w:val="2"/>
          <w:sz w:val="16"/>
          <w:szCs w:val="16"/>
        </w:rPr>
        <w:softHyphen/>
        <w:t>ционными событиями была прекра</w:t>
      </w:r>
      <w:r w:rsidRPr="002F2FDF">
        <w:rPr>
          <w:rFonts w:ascii="Times New Roman" w:eastAsia="Arial Unicode MS" w:hAnsi="Times New Roman" w:cs="Times New Roman"/>
          <w:color w:val="000000" w:themeColor="text1"/>
          <w:kern w:val="2"/>
          <w:sz w:val="16"/>
          <w:szCs w:val="16"/>
        </w:rPr>
        <w:softHyphen/>
        <w:t>щена, однако сам первый экземп</w:t>
      </w:r>
      <w:r w:rsidRPr="002F2FDF">
        <w:rPr>
          <w:rFonts w:ascii="Times New Roman" w:eastAsia="Arial Unicode MS" w:hAnsi="Times New Roman" w:cs="Times New Roman"/>
          <w:color w:val="000000" w:themeColor="text1"/>
          <w:kern w:val="2"/>
          <w:sz w:val="16"/>
          <w:szCs w:val="16"/>
        </w:rPr>
        <w:softHyphen/>
        <w:t>ляр и весь задел в течение несколь</w:t>
      </w:r>
      <w:r w:rsidRPr="002F2FDF">
        <w:rPr>
          <w:rFonts w:ascii="Times New Roman" w:eastAsia="Arial Unicode MS" w:hAnsi="Times New Roman" w:cs="Times New Roman"/>
          <w:color w:val="000000" w:themeColor="text1"/>
          <w:kern w:val="2"/>
          <w:sz w:val="16"/>
          <w:szCs w:val="16"/>
        </w:rPr>
        <w:softHyphen/>
        <w:t>ких лет сохранялись сначала на заводе Щетинина, который поме</w:t>
      </w:r>
      <w:r w:rsidRPr="002F2FDF">
        <w:rPr>
          <w:rFonts w:ascii="Times New Roman" w:eastAsia="Arial Unicode MS" w:hAnsi="Times New Roman" w:cs="Times New Roman"/>
          <w:color w:val="000000" w:themeColor="text1"/>
          <w:kern w:val="2"/>
          <w:sz w:val="16"/>
          <w:szCs w:val="16"/>
        </w:rPr>
        <w:softHyphen/>
        <w:t>нял свое название на «Гамаюн», а позднее на Государственном авиа</w:t>
      </w:r>
      <w:r w:rsidRPr="002F2FDF">
        <w:rPr>
          <w:rFonts w:ascii="Times New Roman" w:eastAsia="Arial Unicode MS" w:hAnsi="Times New Roman" w:cs="Times New Roman"/>
          <w:color w:val="000000" w:themeColor="text1"/>
          <w:kern w:val="2"/>
          <w:sz w:val="16"/>
          <w:szCs w:val="16"/>
        </w:rPr>
        <w:softHyphen/>
        <w:t>ционном заводе №3 «Красный лет</w:t>
      </w:r>
      <w:r w:rsidRPr="002F2FDF">
        <w:rPr>
          <w:rFonts w:ascii="Times New Roman" w:eastAsia="Arial Unicode MS" w:hAnsi="Times New Roman" w:cs="Times New Roman"/>
          <w:color w:val="000000" w:themeColor="text1"/>
          <w:kern w:val="2"/>
          <w:sz w:val="16"/>
          <w:szCs w:val="16"/>
        </w:rPr>
        <w:softHyphen/>
        <w:t>чик» (12086).</w:t>
      </w:r>
    </w:p>
    <w:p w14:paraId="756449B6" w14:textId="77777777" w:rsidR="003431D2" w:rsidRPr="002F2FDF" w:rsidRDefault="003431D2" w:rsidP="0083075A">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p>
    <w:p w14:paraId="236CB345" w14:textId="77777777" w:rsidR="00851731" w:rsidRPr="002F2FDF" w:rsidRDefault="0085173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24 августа (6 сентября) в 1917 году первый в мире торпедоносец </w:t>
      </w:r>
      <w:hyperlink r:id="rId493" w:tgtFrame="_blank" w:history="1">
        <w:r w:rsidRPr="002F2FDF">
          <w:rPr>
            <w:rFonts w:ascii="Times New Roman" w:hAnsi="Times New Roman" w:cs="Times New Roman"/>
            <w:color w:val="000000" w:themeColor="text1"/>
            <w:kern w:val="2"/>
            <w:sz w:val="16"/>
            <w:szCs w:val="16"/>
          </w:rPr>
          <w:t xml:space="preserve">«ГАСН» </w:t>
        </w:r>
      </w:hyperlink>
      <w:r w:rsidRPr="002F2FDF">
        <w:rPr>
          <w:rFonts w:ascii="Times New Roman" w:hAnsi="Times New Roman" w:cs="Times New Roman"/>
          <w:color w:val="000000" w:themeColor="text1"/>
          <w:kern w:val="2"/>
          <w:sz w:val="16"/>
          <w:szCs w:val="16"/>
        </w:rPr>
        <w:t>Д.П.Григоровича поднялся в воздух. Машину пилотировал старший лейтенант А.Е.Грузинов. Самолет «ГАСН» («Гидро-Аэроплан Специального Назначения») с торпедной установкой, спроектированной на заводе "Новый Лесснер" в Петрограде. Использовалось и обозначение "СОН" - самолет особого назначения. В любом случае предполагалось создать самолет, способный выполнять функции морского торпедоносца. Испытания «ГАСН» показали, что мореходность и управляемость его на воде даже при большом волнении были отличными. Самолет в серию не выпускался. Согласно данных В.Б. Шаврова соавтором проекта «ГАСН» следует считать М.М.Шишмарева (в начале 1920-х находился на ГАЗ № 1 в Москве, где по его проекту построили разведчик «Р-Ш»), заведующего конструкторским бюро на заводе Щетинина (14992).</w:t>
      </w:r>
    </w:p>
    <w:p w14:paraId="1C262420" w14:textId="77777777" w:rsidR="00851731" w:rsidRPr="002F2FDF" w:rsidRDefault="00851731" w:rsidP="0083075A">
      <w:pPr>
        <w:spacing w:after="0" w:line="240" w:lineRule="auto"/>
        <w:jc w:val="both"/>
        <w:rPr>
          <w:rFonts w:ascii="Times New Roman" w:hAnsi="Times New Roman" w:cs="Times New Roman"/>
          <w:color w:val="000000" w:themeColor="text1"/>
          <w:kern w:val="2"/>
          <w:sz w:val="16"/>
          <w:szCs w:val="16"/>
        </w:rPr>
      </w:pPr>
    </w:p>
    <w:p w14:paraId="00C3BA06" w14:textId="6AF4B7B4" w:rsidR="00EE7F7C" w:rsidRPr="00FB4F67" w:rsidRDefault="00EE7F7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24 августа </w:t>
      </w:r>
      <w:r>
        <w:rPr>
          <w:rFonts w:ascii="Times New Roman" w:hAnsi="Times New Roman" w:cs="Times New Roman"/>
          <w:color w:val="0070C0"/>
          <w:sz w:val="16"/>
          <w:szCs w:val="16"/>
        </w:rPr>
        <w:t xml:space="preserve">(6 сентября) </w:t>
      </w:r>
      <w:r w:rsidRPr="00FB4F67">
        <w:rPr>
          <w:rFonts w:ascii="Times New Roman" w:hAnsi="Times New Roman" w:cs="Times New Roman"/>
          <w:color w:val="0070C0"/>
          <w:sz w:val="16"/>
          <w:szCs w:val="16"/>
        </w:rPr>
        <w:t>1917 г. в Петрограде под управлением старшего лейтенанта А.Е. Грузинова состоялся первый вылет ГАСН. Наряду с хорошей мореходностью и управляе</w:t>
      </w:r>
      <w:r w:rsidRPr="00FB4F67">
        <w:rPr>
          <w:rFonts w:ascii="Times New Roman" w:hAnsi="Times New Roman" w:cs="Times New Roman"/>
          <w:color w:val="0070C0"/>
          <w:sz w:val="16"/>
          <w:szCs w:val="16"/>
        </w:rPr>
        <w:softHyphen/>
        <w:t>мостью на воде выяснилась необходи</w:t>
      </w:r>
      <w:r w:rsidRPr="00FB4F67">
        <w:rPr>
          <w:rFonts w:ascii="Times New Roman" w:hAnsi="Times New Roman" w:cs="Times New Roman"/>
          <w:color w:val="0070C0"/>
          <w:sz w:val="16"/>
          <w:szCs w:val="16"/>
        </w:rPr>
        <w:softHyphen/>
        <w:t>мость внесения улучшений, изменения центровки и повышения эффективности рулей. 24 сентября 1917 г. при соверше</w:t>
      </w:r>
      <w:r w:rsidRPr="00FB4F67">
        <w:rPr>
          <w:rFonts w:ascii="Times New Roman" w:hAnsi="Times New Roman" w:cs="Times New Roman"/>
          <w:color w:val="0070C0"/>
          <w:sz w:val="16"/>
          <w:szCs w:val="16"/>
        </w:rPr>
        <w:softHyphen/>
        <w:t>нии посадки был поврежден один попла</w:t>
      </w:r>
      <w:r w:rsidRPr="00FB4F67">
        <w:rPr>
          <w:rFonts w:ascii="Times New Roman" w:hAnsi="Times New Roman" w:cs="Times New Roman"/>
          <w:color w:val="0070C0"/>
          <w:sz w:val="16"/>
          <w:szCs w:val="16"/>
        </w:rPr>
        <w:softHyphen/>
        <w:t>вок, что потребовало внесения в его конст</w:t>
      </w:r>
      <w:r w:rsidRPr="00FB4F67">
        <w:rPr>
          <w:rFonts w:ascii="Times New Roman" w:hAnsi="Times New Roman" w:cs="Times New Roman"/>
          <w:color w:val="0070C0"/>
          <w:sz w:val="16"/>
          <w:szCs w:val="16"/>
        </w:rPr>
        <w:softHyphen/>
        <w:t>рукцию дополнительных усилений. После произведенного ремонта самолет почини</w:t>
      </w:r>
      <w:r w:rsidRPr="00FB4F67">
        <w:rPr>
          <w:rFonts w:ascii="Times New Roman" w:hAnsi="Times New Roman" w:cs="Times New Roman"/>
          <w:color w:val="0070C0"/>
          <w:sz w:val="16"/>
          <w:szCs w:val="16"/>
        </w:rPr>
        <w:softHyphen/>
        <w:t>ли и снова испытали в полете. Голенищев- Кутузов, являющийся наблюдающим от Морского ведомства за постройкой ГАСН, так описывал свои впечатления от его ис</w:t>
      </w:r>
      <w:r w:rsidRPr="00FB4F67">
        <w:rPr>
          <w:rFonts w:ascii="Times New Roman" w:hAnsi="Times New Roman" w:cs="Times New Roman"/>
          <w:color w:val="0070C0"/>
          <w:sz w:val="16"/>
          <w:szCs w:val="16"/>
        </w:rPr>
        <w:softHyphen/>
        <w:t>пытаний: «В море было свежо, сопровож</w:t>
      </w:r>
      <w:r w:rsidRPr="00FB4F67">
        <w:rPr>
          <w:rFonts w:ascii="Times New Roman" w:hAnsi="Times New Roman" w:cs="Times New Roman"/>
          <w:color w:val="0070C0"/>
          <w:sz w:val="16"/>
          <w:szCs w:val="16"/>
        </w:rPr>
        <w:softHyphen/>
        <w:t>давшие моторные лодки держались плохо, на аппарат такое состояние не оказывало никакого влияния. Водные качества этого аппарата и его управляемость оказались прекрасными... если на спуске прочертить две линии поплавков, то, пользуясь мото</w:t>
      </w:r>
      <w:r w:rsidRPr="00FB4F67">
        <w:rPr>
          <w:rFonts w:ascii="Times New Roman" w:hAnsi="Times New Roman" w:cs="Times New Roman"/>
          <w:color w:val="0070C0"/>
          <w:sz w:val="16"/>
          <w:szCs w:val="16"/>
        </w:rPr>
        <w:softHyphen/>
        <w:t>рами, можно точно выйти на них даже при боковом ветре».</w:t>
      </w:r>
    </w:p>
    <w:p w14:paraId="6FC42330" w14:textId="77777777" w:rsidR="00EE7F7C" w:rsidRPr="00FB4F67" w:rsidRDefault="00EE7F7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Дальнейшая доводка ГАСН в связи с раз</w:t>
      </w:r>
      <w:r w:rsidRPr="00FB4F67">
        <w:rPr>
          <w:rFonts w:ascii="Times New Roman" w:hAnsi="Times New Roman" w:cs="Times New Roman"/>
          <w:color w:val="0070C0"/>
          <w:sz w:val="16"/>
          <w:szCs w:val="16"/>
        </w:rPr>
        <w:softHyphen/>
        <w:t>вернувшимися революционными событиями была прекращена, однако сам первый эк</w:t>
      </w:r>
      <w:r w:rsidRPr="00FB4F67">
        <w:rPr>
          <w:rFonts w:ascii="Times New Roman" w:hAnsi="Times New Roman" w:cs="Times New Roman"/>
          <w:color w:val="0070C0"/>
          <w:sz w:val="16"/>
          <w:szCs w:val="16"/>
        </w:rPr>
        <w:softHyphen/>
        <w:t>земпляр и весь задел в течение нескольких лет сохранялись сначала на заводе Щетини</w:t>
      </w:r>
      <w:r w:rsidRPr="00FB4F67">
        <w:rPr>
          <w:rFonts w:ascii="Times New Roman" w:hAnsi="Times New Roman" w:cs="Times New Roman"/>
          <w:color w:val="0070C0"/>
          <w:sz w:val="16"/>
          <w:szCs w:val="16"/>
        </w:rPr>
        <w:softHyphen/>
        <w:t>на, который поменял свое название на «Га</w:t>
      </w:r>
      <w:r w:rsidRPr="00FB4F67">
        <w:rPr>
          <w:rFonts w:ascii="Times New Roman" w:hAnsi="Times New Roman" w:cs="Times New Roman"/>
          <w:color w:val="0070C0"/>
          <w:sz w:val="16"/>
          <w:szCs w:val="16"/>
        </w:rPr>
        <w:softHyphen/>
        <w:t>маюн», а позднее на Государственном авиа</w:t>
      </w:r>
      <w:r w:rsidRPr="00FB4F67">
        <w:rPr>
          <w:rFonts w:ascii="Times New Roman" w:hAnsi="Times New Roman" w:cs="Times New Roman"/>
          <w:color w:val="0070C0"/>
          <w:sz w:val="16"/>
          <w:szCs w:val="16"/>
        </w:rPr>
        <w:softHyphen/>
        <w:t>ционном заводе №3 «Красный летчик» (23374).</w:t>
      </w:r>
    </w:p>
    <w:p w14:paraId="5286CC51" w14:textId="77777777" w:rsidR="00EE7F7C" w:rsidRPr="00FB4F67" w:rsidRDefault="00EE7F7C" w:rsidP="0083075A">
      <w:pPr>
        <w:spacing w:after="0" w:line="240" w:lineRule="auto"/>
        <w:jc w:val="both"/>
        <w:rPr>
          <w:rFonts w:ascii="Times New Roman" w:hAnsi="Times New Roman" w:cs="Times New Roman"/>
          <w:color w:val="0070C0"/>
          <w:sz w:val="16"/>
          <w:szCs w:val="16"/>
        </w:rPr>
      </w:pPr>
    </w:p>
    <w:p w14:paraId="185929C0" w14:textId="1650B7CC" w:rsidR="00EE7F7C" w:rsidRPr="00FB4F67" w:rsidRDefault="00EE7F7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24 августа </w:t>
      </w:r>
      <w:r>
        <w:rPr>
          <w:rFonts w:ascii="Times New Roman" w:hAnsi="Times New Roman" w:cs="Times New Roman"/>
          <w:color w:val="0070C0"/>
          <w:sz w:val="16"/>
          <w:szCs w:val="16"/>
        </w:rPr>
        <w:t xml:space="preserve">(6 сентября) </w:t>
      </w:r>
      <w:r w:rsidRPr="00FB4F67">
        <w:rPr>
          <w:rFonts w:ascii="Times New Roman" w:hAnsi="Times New Roman" w:cs="Times New Roman"/>
          <w:color w:val="0070C0"/>
          <w:sz w:val="16"/>
          <w:szCs w:val="16"/>
        </w:rPr>
        <w:t>1917 г. старший лейтенант А.Е. Грузинов впервые поднял машину ГАСН в воздух. Мореходность и управляемость на воде оказались отличными, в небе самолет вел себя хуже. Центровка получилась слишком задней, рули были недостаточно эффективны.</w:t>
      </w:r>
    </w:p>
    <w:p w14:paraId="2FA37AED" w14:textId="77777777" w:rsidR="00EE7F7C" w:rsidRPr="00FB4F67" w:rsidRDefault="00EE7F7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Морское ведомство заказало сразу серию из 10 самолетов, но собрали лишь один. Он вышел на испытания в августе 1917 г., уже при Временном правительстве (23464).</w:t>
      </w:r>
    </w:p>
    <w:p w14:paraId="2DAF9736" w14:textId="77777777" w:rsidR="00EE7F7C" w:rsidRPr="00FB4F67" w:rsidRDefault="00EE7F7C" w:rsidP="0083075A">
      <w:pPr>
        <w:spacing w:after="0" w:line="240" w:lineRule="auto"/>
        <w:jc w:val="both"/>
        <w:rPr>
          <w:rFonts w:ascii="Times New Roman" w:hAnsi="Times New Roman" w:cs="Times New Roman"/>
          <w:color w:val="0070C0"/>
          <w:sz w:val="16"/>
          <w:szCs w:val="16"/>
        </w:rPr>
      </w:pPr>
    </w:p>
    <w:p w14:paraId="7E44B31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C9786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1EDD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24 августа </w:t>
      </w:r>
      <w:r w:rsidR="00783C50" w:rsidRPr="002F2FDF">
        <w:rPr>
          <w:rFonts w:ascii="Times New Roman" w:hAnsi="Times New Roman" w:cs="Times New Roman"/>
          <w:color w:val="000000" w:themeColor="text1"/>
          <w:kern w:val="2"/>
          <w:sz w:val="16"/>
          <w:szCs w:val="16"/>
        </w:rPr>
        <w:t xml:space="preserve">(6 сентября) </w:t>
      </w:r>
      <w:r w:rsidRPr="002F2FDF">
        <w:rPr>
          <w:rFonts w:ascii="Times New Roman" w:hAnsi="Times New Roman" w:cs="Times New Roman"/>
          <w:color w:val="000000" w:themeColor="text1"/>
          <w:kern w:val="2"/>
          <w:sz w:val="16"/>
          <w:szCs w:val="16"/>
        </w:rPr>
        <w:t>1918 г. завод (Богородский завод № 12 ВСНХ, Снаряжательный завод Егорова, Богородский снаряжательный завод ВСНХ, ГС завод № 12 НКОП, НКБ, ПГУ, МСМ, и/я 3, Электростальский машиностроительный завод, АООТ, ОАО «Машиностроительный завод» (МСЗ, «Элемаш») Росатома /ст. Электросталь Нижегородской ж/д (1927 г.); г. Электросталь Московской обл. п/я 3 (1943 г.)/ /144007 г. Электросталь Московской обл. ул. Победы, 16/ - /144001 г. Электросталь Московской обл. ул. Карла Маркса, 12 тел. 702-99-01/) был национализирован и переименован в Богородский снаряжательный завод в ведении Чрезкомвзрыва и ЦПАЗ. В 1924 г. - в ведении ГУВП ВСНХ. В соответствии с пост. СНК от 27.04.1926 г. по пр. ВСНХ/НКВМ/ОГПУ № 73сс от 9.07.1927 г. Богородский снаряжательный завод с 1.10.1927 г. переименован в Богородский завод № 12 в ведении Вохимтреста УВП ВСНХ.</w:t>
      </w:r>
      <w:r w:rsidRPr="002F2FDF">
        <w:rPr>
          <w:rFonts w:ascii="Times New Roman" w:hAnsi="Times New Roman" w:cs="Times New Roman"/>
          <w:color w:val="000000" w:themeColor="text1"/>
          <w:kern w:val="2"/>
          <w:sz w:val="16"/>
          <w:szCs w:val="16"/>
          <w:vertAlign w:val="superscript"/>
        </w:rPr>
        <w:t>133</w:t>
      </w:r>
      <w:r w:rsidRPr="002F2FDF">
        <w:rPr>
          <w:rFonts w:ascii="Times New Roman" w:hAnsi="Times New Roman" w:cs="Times New Roman"/>
          <w:color w:val="000000" w:themeColor="text1"/>
          <w:kern w:val="2"/>
          <w:sz w:val="16"/>
          <w:szCs w:val="16"/>
        </w:rPr>
        <w:t xml:space="preserve"> В 12.1936 г. завод передан в ведение НКОП. Приказом НКОП № 91 от 13.03.1937 г. утвержден Устав ГС завода № 12 4ГУ. В 02.1939 г. завод № 12 4ГУ НКОП передан в ведение 4ГУ НКБ.</w:t>
      </w:r>
    </w:p>
    <w:p w14:paraId="572B11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Руководство заводом вначале осуществлялось коллективным правлением, и лишь с 1920 г. - директором. К 1921 г. завод почти не работал, затем начался подъем производства. В 1923-25 г. было построено и пущено новое «противогазное» производство, строился завод для активации угля, состоявший из корпуса печей, здания «Бункер», здания «Тушильня» и двух котельных. В то время этот завод был единственным в СССР по производству активированного угля и противогазов. Его мощность- 12 тыс. противогазов и 60 т угля в месяц. В 1925-26 г. на заводе велось снаряжение химических 76-мм снарядов ипритом. В 1926 г. завод состоял из 16 основных производственных корпусов, всего имелось 72 производственных здания. В 1931-33 г. Н.Т. Зверевым изобретен и внедрен метод шнекового снаряжения. По пр. № 0044 от 8/9.03.1937 г. завод переведен на снаряжение боеприпасов методом шнекования. Приказом НКОП № 0025 от 4.02.1937 г. заводу предписано к 1.01.1938 г. создать мощности: по снаряжению снарядов - 38,8 млн. шт. в год, авиабомб - 78 тыс. шт.; по производству химпоглотителя - 2200 т, противогазов - 28,8 млн. шт. Во исполнение постановления СНК № 334 от 26.02.1937 г. приказом № 060 от 23.03.1937 г. заводу предписано создать к 1.01.1938 г. производство динафталита мощностью 3000 т в год. Мощность производства по снаряжению авиабомб перед эвакуацией- 792 тыс. шт. в год.</w:t>
      </w:r>
    </w:p>
    <w:p w14:paraId="2A4D81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 НКОП № 0089 от 20.04.1937 г. из состава завода выделены в самостоятельное предприятие цеха химической защиты: снаряжательные цеха по индивидуальным средствам защиты, коллективных средств защиты, изготовления химпоглотителя, изготовления активированного угля и изготовления гопкалита. Приказом № 0130 от 11.06.1937 г. ему присвоено наименование ГС завод № 395 6ГУ НКОП. Также, вероятно, на базе подразделений завода ранее был создан НИПИ.</w:t>
      </w:r>
    </w:p>
    <w:p w14:paraId="7A6925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10.1941 г. часть завода № 12 1ГУ (снаряжение ФАБ, 7 шнековых аппаратов, и 3-е производство, 9 прессов Сан-Галя; 700 чел.) была эвакуирована на завод № 635,</w:t>
      </w:r>
      <w:r w:rsidRPr="002F2FDF">
        <w:rPr>
          <w:rFonts w:ascii="Times New Roman" w:hAnsi="Times New Roman" w:cs="Times New Roman"/>
          <w:color w:val="000000" w:themeColor="text1"/>
          <w:kern w:val="2"/>
          <w:sz w:val="16"/>
          <w:szCs w:val="16"/>
          <w:vertAlign w:val="superscript"/>
        </w:rPr>
        <w:t>132</w:t>
      </w:r>
      <w:r w:rsidRPr="002F2FDF">
        <w:rPr>
          <w:rFonts w:ascii="Times New Roman" w:hAnsi="Times New Roman" w:cs="Times New Roman"/>
          <w:color w:val="000000" w:themeColor="text1"/>
          <w:kern w:val="2"/>
          <w:sz w:val="16"/>
          <w:szCs w:val="16"/>
        </w:rPr>
        <w:t xml:space="preserve"> часть осталась на месте. В соответствии с пост. ГКО № 1645 от 25.04.1942 г. эвакуированное оборудование по снаряжению боеприпасов было возвращено обратно. В годы ВОВ выпускал противотанковые гранаты, фугасные авиабомбы калибра до 5 т, </w:t>
      </w:r>
      <w:r w:rsidRPr="002F2FDF">
        <w:rPr>
          <w:rFonts w:ascii="Times New Roman" w:hAnsi="Times New Roman" w:cs="Times New Roman"/>
          <w:color w:val="000000" w:themeColor="text1"/>
          <w:kern w:val="2"/>
          <w:sz w:val="16"/>
          <w:szCs w:val="16"/>
          <w:lang w:val="en-US"/>
        </w:rPr>
        <w:t>PC</w:t>
      </w:r>
      <w:r w:rsidRPr="002F2FDF">
        <w:rPr>
          <w:rFonts w:ascii="Times New Roman" w:hAnsi="Times New Roman" w:cs="Times New Roman"/>
          <w:color w:val="000000" w:themeColor="text1"/>
          <w:kern w:val="2"/>
          <w:sz w:val="16"/>
          <w:szCs w:val="16"/>
        </w:rPr>
        <w:t xml:space="preserve"> для «Катюш» (2 млн. шт.), </w:t>
      </w:r>
      <w:r w:rsidRPr="002F2FDF">
        <w:rPr>
          <w:rFonts w:ascii="Times New Roman" w:hAnsi="Times New Roman" w:cs="Times New Roman"/>
          <w:color w:val="000000" w:themeColor="text1"/>
          <w:kern w:val="2"/>
          <w:sz w:val="16"/>
          <w:szCs w:val="16"/>
          <w:lang w:val="en-US"/>
        </w:rPr>
        <w:t>PC</w:t>
      </w:r>
      <w:r w:rsidRPr="002F2FDF">
        <w:rPr>
          <w:rFonts w:ascii="Times New Roman" w:hAnsi="Times New Roman" w:cs="Times New Roman"/>
          <w:color w:val="000000" w:themeColor="text1"/>
          <w:kern w:val="2"/>
          <w:sz w:val="16"/>
          <w:szCs w:val="16"/>
        </w:rPr>
        <w:t>-132, РОФС-132. За годы войны выпущено 240 млн. шт. боеприпасов.</w:t>
      </w:r>
    </w:p>
    <w:p w14:paraId="2EC9DF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составе завода цехи (1943 г.): производственные: № 1, 2, 3,4, 5, 9, 13, опытный; вспомогательные: № 6, 7, 8, 10, И, 12, лакокрасочный.</w:t>
      </w:r>
    </w:p>
    <w:p w14:paraId="1180F5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12.1942 г. - в ведении 1ГУ НКБ. 12.05.1944 г. вышло постановление ГКО № 5871 о срочных мерах по ликвидации последствий аварии на заводе.</w:t>
      </w:r>
    </w:p>
    <w:p w14:paraId="1B5E23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Решением Спецкомитета ГКО от 24.08.1945 г. завод № 12 НКБ стал первым предприятием, переданным в подчинение 111 У, и первым по переработке урановых руд и выпуску металлического урана. В 1945 г. завод имел более 400 промышленных зданий. Начальник строительства (1945 г.)- п Н.Н. Волгин. Производственный процесс включал переработку урановых концентратов, очистку урановых солей, восстановление металлического урана из солей, аффинаж, литье, механическую обработку и пластическую деформацию металлического урана, герметизацию урановых заготовок в алюминиевую оболочку. Первая руда, поступившая на переработку, была трофейной, из Германии, технология переработки была применена также немецкая. Оборудование было вывезено с немецкого электрохимического комбината «Норд». На заводе работала группа немецких специалистов во главе с доктором Н.В. Рилем. В соответствии с ПСМ от 13.10.1945 г. проведена реконструкция завода, в процессе которой создан «опытный завод» для отработки технологии, научно-исследовательская лаборатория и ЦЗЛ. «Опытный завод» включал три передела: № 1- получение чистых оксидов урана из солей; № 2- получение уранового порошка; № 3- получение урановых блоков. В 09-10.1945 г. реконструирован корпус № 172 и пущен передел № 3, получены первые урановые блоки. В 01.1946 г. пущен передел № 2, а в 02.1946 г.- передел № 1. в 02.1946 г. пущен опытный цех № 2 «бис» по получению чернового урана фторидным методом. В 02.1947 г. этот метод внедрен на «блыпом заводе». В конце 1946 г. введен в строй «большой завод» в составе корпусов № 10, 11, 127, 132. В конце 1946 г. организован экспериментальный цех по изготовлению специзделий методом пластической деформации с участками плавки, проката, прессования, волочения и механической обработки, а также отделения герметизации урановых заготовок. В середине 1947 г. выпущена первая партия урановых блочков для реактора комбината № 817 (цех- в корпусе № 105).</w:t>
      </w:r>
    </w:p>
    <w:p w14:paraId="0583BE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1946 г. пущена в эксплуатацию опытная установка по производству металлического кальция (И.С. Шатунов). В 06.1946 г. начато строительство опытного цеха № 3 «бис», в 10.1946 г. получен первый в СССР металлический кальций. В 1947 г. несколько десятков специалистов переведено на завод № 544 для освоения производства кальция. В 05.1948 г. введен в эксплуатацию серийный цех по производству металлического кальция.</w:t>
      </w:r>
    </w:p>
    <w:p w14:paraId="2A23FA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пост. СМ № 1129-404сс от 6.04.1948 г. и приказом 111 У № 150сс/оп от 13.04.1948 г. началось освоение производства никелевых диффузионных фильтров для разделения изотопов урана, для этого заводу передана часть оборудования для изготовления фильтров из НИИ-5 (г. Сухуми). В 1948 г. цех по производству фильтров вступил в строй. В 1949 и 1952 г. проведена реконструкция производства, позволившая резко увеличить выпуск фильтров. В 1954 г. группа специалистов завода переведена на комбинат № 813 для внедрения производства фильтров. В 1960 г. их выпуск прекращен.</w:t>
      </w:r>
    </w:p>
    <w:p w14:paraId="413F6A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1949 г. пост, правительства заводу поручено производство бромидов радия (по технологии Радиевого института, включавшей более 2000 операций). В 06.1950 г. введен в сторй специальный цех, в конце года получена первая продукция- 5,2 г бромида радия. В 1956 г. завод полностью обеспечивал потребности страны в радии. В соответствии с ПСМ от 20.06.1956 г. производство радия с 1957 г. преращено, начато изготовление из него источников излучения для нужд народного хозяйства. В 1967 г. производство источников закрыто.</w:t>
      </w:r>
    </w:p>
    <w:p w14:paraId="38E2B8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соответствии с ПСМ от 24.10.1953 г. заводу поручено производство ядерного топлива: тепловыделяющих элементов (ТВЭЛ) </w:t>
      </w:r>
      <w:r w:rsidRPr="002F2FDF">
        <w:rPr>
          <w:rFonts w:ascii="Times New Roman" w:hAnsi="Times New Roman" w:cs="Times New Roman"/>
          <w:color w:val="000000" w:themeColor="text1"/>
          <w:kern w:val="2"/>
          <w:sz w:val="16"/>
          <w:szCs w:val="16"/>
          <w:lang w:val="en-US"/>
        </w:rPr>
        <w:t>AM</w:t>
      </w:r>
      <w:r w:rsidRPr="002F2FDF">
        <w:rPr>
          <w:rFonts w:ascii="Times New Roman" w:hAnsi="Times New Roman" w:cs="Times New Roman"/>
          <w:color w:val="000000" w:themeColor="text1"/>
          <w:kern w:val="2"/>
          <w:sz w:val="16"/>
          <w:szCs w:val="16"/>
        </w:rPr>
        <w:t xml:space="preserve"> для для Обнинской АЭС. В конце 1953 г. начата реконструкция корпуса № 50 для выпуска ТВЭЛов, организован цех № 39, размещавшийся в корпусах № 50 и № 100. Отработана технология получения сплава уран-молибден. Затем освоен выпуск ТВЭЛ и тепловыделяющих сборок (ТВС) для всех типов реакторов: для АЭС, энергетических установок ВМФ, экспериментальных реакторов. В 1982 г. на заводе впервые в мире пущена в эксплуатацию автоматизированная линия изготовления ТВЭЛ. Затем пущены линии ТВЭЛ для реакторов РБМК, ВВЭР, БН.</w:t>
      </w:r>
    </w:p>
    <w:p w14:paraId="6CC93B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ПСМ от 1.10.1954 г. заводу поручена организация производства по разделению изотопов лития и выпуску обогащенного хлористого лития по технологии ЛФТИ. В конце 1955 г. построен корпус № 145 для этого производства и организован цех № 14. В производственном процессе использовалось около 300 т ртути. В 1961 г., после организации аналогичного производства на заводе № 250, цех закрыт и уничтожен.</w:t>
      </w:r>
    </w:p>
    <w:p w14:paraId="7EF605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1953 г. завод имел наименование «п/я 3».</w:t>
      </w:r>
    </w:p>
    <w:p w14:paraId="3F4355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Имелись цеха: № 1, 2,4 (1957 г.), № 14 (1956 г.), № 51, 54, 57, 71, 77 (1957 г.); корпус № 129 (2000-е).</w:t>
      </w:r>
    </w:p>
    <w:p w14:paraId="153F38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распоряжению СМ СССР от 14.06.1960 г. на заводе создано производство (сначала опытное) постоянных магнитов и магнитных подвесов для центрифуг обогащения урана, организованное на месте цеха переработки урановых руд. В 1961 г. выпущены первые магниты. Основной цех № 51 введен в эксплуатацию в 1962 г., а опытный цех в 1966 г. закрыт. В 1990-е г. производство мангитов модернизировано, на смену феррит-бариевым пришли феррит-стронциевые магниты. В 2007 г. выпускалось около 50 типоразмеров магнитов.</w:t>
      </w:r>
    </w:p>
    <w:p w14:paraId="355E7B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1994 г. созано собственное производство особотонкостенных труб из коррозионностойких сталей и сплавов. Создана серия автоматизированных линий по производству ТВЭЛов (1985-87 г.). В 2003 г. введен в эксплуатацию новый комплекс по переработке гексафторида урана (установка «сухой конверсии»). В 2004 г. сдана в эксплуатацию автоматическая линия по производству ТВЭЛ для проекта "</w:t>
      </w:r>
      <w:r w:rsidRPr="002F2FDF">
        <w:rPr>
          <w:rFonts w:ascii="Times New Roman" w:hAnsi="Times New Roman" w:cs="Times New Roman"/>
          <w:color w:val="000000" w:themeColor="text1"/>
          <w:kern w:val="2"/>
          <w:sz w:val="16"/>
          <w:szCs w:val="16"/>
          <w:lang w:val="en-US"/>
        </w:rPr>
        <w:t>FramatomeANP</w:t>
      </w:r>
      <w:r w:rsidRPr="002F2FDF">
        <w:rPr>
          <w:rFonts w:ascii="Times New Roman" w:hAnsi="Times New Roman" w:cs="Times New Roman"/>
          <w:color w:val="000000" w:themeColor="text1"/>
          <w:kern w:val="2"/>
          <w:sz w:val="16"/>
          <w:szCs w:val="16"/>
        </w:rPr>
        <w:t>", в 2006 г.- линия ТВЭЛов для ВВЭР-440 и для плавучей АЭС, новая гальваническая линия.</w:t>
      </w:r>
    </w:p>
    <w:p w14:paraId="04BA34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(2005 г.): ТВЭЛы для различных реакторов; металлический кальций; магниты анизотропные феррито-бариевые и сверхсильные специальные; твердые сплавы; ядерно-безопасные контейнеры для транспортировки ТВЭЛов; ТЭНы, импортные электробытовые приборы.</w:t>
      </w:r>
    </w:p>
    <w:p w14:paraId="768A1C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1996 г. входил в состав ОАО ТВЭЛ. В 1998 г.- Электростальский Машиностроительный завод,</w:t>
      </w:r>
      <w:r w:rsidRPr="002F2FDF">
        <w:rPr>
          <w:rFonts w:ascii="Times New Roman" w:hAnsi="Times New Roman" w:cs="Times New Roman"/>
          <w:color w:val="000000" w:themeColor="text1"/>
          <w:kern w:val="2"/>
          <w:sz w:val="16"/>
          <w:szCs w:val="16"/>
          <w:vertAlign w:val="superscript"/>
        </w:rPr>
        <w:t>3</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vertAlign w:val="superscript"/>
        </w:rPr>
        <w:t>75</w:t>
      </w:r>
      <w:r w:rsidRPr="002F2FDF">
        <w:rPr>
          <w:rFonts w:ascii="Times New Roman" w:hAnsi="Times New Roman" w:cs="Times New Roman"/>
          <w:color w:val="000000" w:themeColor="text1"/>
          <w:kern w:val="2"/>
          <w:sz w:val="16"/>
          <w:szCs w:val="16"/>
        </w:rPr>
        <w:t xml:space="preserve"> в 2005 г.- ОАО «Машиностроительный завод». В 2006 г.- в ведении Росатома.</w:t>
      </w:r>
    </w:p>
    <w:p w14:paraId="2B6FB4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составе предприятия (2007 г.)- ЦНИЛ, ЦЛАМ, ЦЗЛС.</w:t>
      </w:r>
    </w:p>
    <w:p w14:paraId="776283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производственная (04.1943 г.)- 65887 м</w:t>
      </w:r>
      <w:r w:rsidRPr="002F2FDF">
        <w:rPr>
          <w:rFonts w:ascii="Times New Roman" w:hAnsi="Times New Roman" w:cs="Times New Roman"/>
          <w:color w:val="000000" w:themeColor="text1"/>
          <w:kern w:val="2"/>
          <w:sz w:val="16"/>
          <w:szCs w:val="16"/>
          <w:vertAlign w:val="superscript"/>
        </w:rPr>
        <w:t>2</w:t>
      </w:r>
      <w:r w:rsidRPr="002F2FDF">
        <w:rPr>
          <w:rFonts w:ascii="Times New Roman" w:hAnsi="Times New Roman" w:cs="Times New Roman"/>
          <w:color w:val="000000" w:themeColor="text1"/>
          <w:kern w:val="2"/>
          <w:sz w:val="16"/>
          <w:szCs w:val="16"/>
        </w:rPr>
        <w:t>.</w:t>
      </w:r>
    </w:p>
    <w:p w14:paraId="1969B1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(01.1930 г.)- 2100 чел., (12.1942 г.)- 7389 чел., (01.1946 г.)- около 4500 чел., (конец 1980- х)- более 12 тыс. чел., (2007 г.)- около 10 тыс. чел.</w:t>
      </w:r>
    </w:p>
    <w:p w14:paraId="06C075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Управляющий (1920-25 г.)- И.Т. Титов. Директор (1926-28 г.)- В.Е. Смекалов, (1928-31 г.)- А.Е. Титов, (1932- 35 г.)- К.А. Озол, (1935-29.04.37 г.)- С.И. Сырцов (репрессирован), (19.06-19.11.1937 г.)- И.А. Белов, (19- 23.11.1937 г.)- С.А. Мартынов, (23.11.1937-1.07.1938 г.)- Н.Е. Стрельцов; и.о. (1.07-08.1938 г.)- А.Е. Романов; (14.08.1938-39 г.)- А.Е. Романов, (1940 г.)- Н.П. Сорокин, (12.1940-10.1941 г.)- И.И. Иванов. Начальник (1941-46 г.)- г-м С.А. Невструев. Директор (1946-51; 1956 г.-)- А.Н. Каллистов, (1953 г.)- Ю.Н. Голованов, (1950-е-70-е)- С.И. Золотуха, (1980-е)- В.Ф. Коновалов, (1986-90 г.)- А.Г. Мешков. Гендиректор (1990-2001 г.)- В.А. Межуев, (2001- 05 г.)- В.П. Разин, (28.02.2005-07 г.-)- О.В. Крюков.</w:t>
      </w:r>
    </w:p>
    <w:p w14:paraId="206C80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Зам. гендиректора по кадрам и социальным вопросам (1990-2007 г.-)- А.А. Сенюшкин. Помощник начальника, директора: по найму и увольнению рабочей силы (-12.1936 г.)- Г.А. Попов, (28.12.1936-15.12.1937 г.)- В.П. Смирнов (снят), (10.07.1938 г.-)- В.В. Брюханов; по быту- В. Ларюшин.</w:t>
      </w:r>
    </w:p>
    <w:p w14:paraId="7D9D67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технический (1986-2002(1)г.)- А.К. Панюшкин, (2002(1 )-07 г.-)- И.В. Петров; коммерческий (1930- е)- Д.О. Лифшиц (репрессирован), (1930-е)- Вайсберг (репрессирован), (1930-е)- Эйдинов (репрессирован), (1930- е)- Ю.И. Ольшевский (репрессирован), (1930-е)- Хидарковский (репрессирован), (2001-07 г.-)- А.Р. Гасилов; по производству (2001-04 г.)- О.В. Крюков, (2005-07 г.-)- В.В. Галкин; по капстроительству и реконструкции (2001- 07 г.-)- О.Л. Седельников; по экономике и финансам (17.07.2006-07 г.-)- С.Л. Румненко.</w:t>
      </w:r>
    </w:p>
    <w:p w14:paraId="1A8F71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инженер (1920-е)- Б.К. Шишковский, (1936 г.)- А.Ф. Шапошников (репрессирован), (-04-14.07.1937 г.)- А.А. Целиков (репрессирован), (1939 г.)- П.П. Сорокин, (04.1943 г.)- Мальский, (1945; 1948-49 г.-)- Ю.Н. Голованов, (1946-47 г.-)- Ф.М. Бреховских, (1953 г.)- С.И. Золотуха.</w:t>
      </w:r>
    </w:p>
    <w:p w14:paraId="0BF38E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металлург (1946 г.-)- Ю.Н. Голованов. Гл. технолог- С.И. Золотуха.</w:t>
      </w:r>
    </w:p>
    <w:p w14:paraId="19BA0E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цехов: по производству кальция (1948-49 г.)- Л.Я. Правдивцев, (1949-53 г.)- В.А. Горский, (1953- 60 г.)- Ф.Ф. Квашин; никелевых фильтров (1948 г.-)- И.Я. Барташов; урановых блочков (-01.1954 г.)- Н.С. Смирнов; № 51 (1962 г.-)- В.М. Глухов; № 14 (1955 г.-)- И.Т. Образцов; № 39 (1953 г.-)- К.А. Колосов, (01.1954 г.-)- Н.С. Смирнов; (-1947 г.)- А.Р. Белов, (1930-е)- Вайтман (репрессирован), (1930-е)- Васильев (репрессирован), (2001- 05 г.)- В.В. Галкин, (1930-е)- Иванов (репрессирован), (1993-2001 г.)- О.В. Крюков, (1930-е)- Р. Курочкин (репрессирован), (1930-е)- Лейзеровский (репрессирован), (1930-е)- Мирошин (репрессирован), (1991-2002 г.)- И.В. Петров, (1930-е)- Э.М. Пирновский (репрессирован), (1930-е)- Резаев (репрессирован), (1988-2001 г.)- О.Л.Седельников, (1979-90 г.)- А.А. Сенюшкин, (1930-е)- Синицкий (репрессирован), (1930-е)- Снегирев (репрессирован), (1930-е)- Б.Н. Цицинов (репрессирован).</w:t>
      </w:r>
    </w:p>
    <w:p w14:paraId="11C9A3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Начальники отделов: маркетинга (2007 г.)- </w:t>
      </w:r>
      <w:r w:rsidRPr="002F2FDF">
        <w:rPr>
          <w:rFonts w:ascii="Times New Roman" w:hAnsi="Times New Roman" w:cs="Times New Roman"/>
          <w:color w:val="000000" w:themeColor="text1"/>
          <w:kern w:val="2"/>
          <w:sz w:val="16"/>
          <w:szCs w:val="16"/>
          <w:lang w:val="en-US"/>
        </w:rPr>
        <w:t>H</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JI</w:t>
      </w:r>
      <w:r w:rsidRPr="002F2FDF">
        <w:rPr>
          <w:rFonts w:ascii="Times New Roman" w:hAnsi="Times New Roman" w:cs="Times New Roman"/>
          <w:color w:val="000000" w:themeColor="text1"/>
          <w:kern w:val="2"/>
          <w:sz w:val="16"/>
          <w:szCs w:val="16"/>
        </w:rPr>
        <w:t>. Кессаринский; ОТК (1930-е)- Лопатин (репрессирован); ОКС (1930-е)- В. Ларюшин (репрессирован); транспортного (02.1937 г.)- Богданов (репрессирован); по подготовке кадров- МБ. Гельман; ОКС (1939 г.)- И.Е. Давыдов; бюджетного (2002-06 г.)- С.Л. Румненко; (1930-е)- Винтяков (репрессирован), (1990-91 г.)- А.Р. Гасилов, (1930-е)- Л.М. Гурвич (репрессирован), (1930-е)- Иванов (репрессирован), (1930-е)- Николин (репрессирован), (1930-е)- Ф.И. Ольшевский (репрессирован), (1930-е)- Петняк (репрессирован), (1930-е)- Рейзин (репрессирован), (1930-е)- Руденко (репрессирован), (1930-е)- Смолянский (репрессирован), (1930-е)- Хлиманов (репрессирован), (1930-е)- В. Шурба (репрессирован), (1930-е)- И.Шурба (репрессирован).</w:t>
      </w:r>
    </w:p>
    <w:p w14:paraId="7F8C8F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инженер ОКС (09.1938 г.)- Шляк.</w:t>
      </w:r>
    </w:p>
    <w:p w14:paraId="4E666F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опытных мастерских (02.1937 г.)- Сидякин.</w:t>
      </w:r>
    </w:p>
    <w:p w14:paraId="4AC529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Производство:</w:t>
      </w:r>
      <w:r w:rsidRPr="002F2FDF">
        <w:rPr>
          <w:rFonts w:ascii="Times New Roman" w:hAnsi="Times New Roman" w:cs="Times New Roman"/>
          <w:color w:val="000000" w:themeColor="text1"/>
          <w:kern w:val="2"/>
          <w:sz w:val="16"/>
          <w:szCs w:val="16"/>
        </w:rPr>
        <w:t xml:space="preserve"> французские гранаты (1917), снаряды 48-мм, 64,2 мм (1918-), морские мины: заграждения, «Рыбка» (1918-); мины: минометные 82-мм, 120-мм; МЯДТП, ЯМ-21, ЯФУ, ТМ-41 (1943); </w:t>
      </w:r>
      <w:r w:rsidRPr="002F2FDF">
        <w:rPr>
          <w:rFonts w:ascii="Times New Roman" w:hAnsi="Times New Roman" w:cs="Times New Roman"/>
          <w:color w:val="000000" w:themeColor="text1"/>
          <w:kern w:val="2"/>
          <w:sz w:val="16"/>
          <w:szCs w:val="16"/>
          <w:lang w:val="en-US"/>
        </w:rPr>
        <w:t>PC</w:t>
      </w:r>
      <w:r w:rsidRPr="002F2FDF">
        <w:rPr>
          <w:rFonts w:ascii="Times New Roman" w:hAnsi="Times New Roman" w:cs="Times New Roman"/>
          <w:color w:val="000000" w:themeColor="text1"/>
          <w:kern w:val="2"/>
          <w:sz w:val="16"/>
          <w:szCs w:val="16"/>
        </w:rPr>
        <w:t>: М-8, М-13, М-20, М-31 (1943); снаряды 76-мм; авиабомбы: А08-Ю, АО-25, ФАБ-50, -100, -250, -500, ПЛАБ-100, ХАБ-100 (1943); ВВ: Шнейдерит, Амматол (1943);</w:t>
      </w:r>
    </w:p>
    <w:p w14:paraId="08E0BC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ядерное топливо:</w:t>
      </w:r>
      <w:r w:rsidRPr="002F2FDF">
        <w:rPr>
          <w:rFonts w:ascii="Times New Roman" w:hAnsi="Times New Roman" w:cs="Times New Roman"/>
          <w:color w:val="000000" w:themeColor="text1"/>
          <w:kern w:val="2"/>
          <w:sz w:val="16"/>
          <w:szCs w:val="16"/>
          <w:lang w:val="en-US"/>
        </w:rPr>
        <w:t>AM</w:t>
      </w:r>
      <w:r w:rsidRPr="002F2FDF">
        <w:rPr>
          <w:rFonts w:ascii="Times New Roman" w:hAnsi="Times New Roman" w:cs="Times New Roman"/>
          <w:color w:val="000000" w:themeColor="text1"/>
          <w:kern w:val="2"/>
          <w:sz w:val="16"/>
          <w:szCs w:val="16"/>
        </w:rPr>
        <w:t xml:space="preserve"> для Обнинской, Белоярской АЭС, Билибинской АТЭЦ (1954-), металлокерамические ТВЭЛы для реактора АИ (1950-е), ТВС для РБМК-1000 (1973-), для РБМК-1500 (1982-), для ВВЭР-440 (1972-), для ЭГП-6 (1976-), для БН-600 (1980-), для </w:t>
      </w:r>
      <w:r w:rsidRPr="002F2FDF">
        <w:rPr>
          <w:rFonts w:ascii="Times New Roman" w:hAnsi="Times New Roman" w:cs="Times New Roman"/>
          <w:color w:val="000000" w:themeColor="text1"/>
          <w:kern w:val="2"/>
          <w:sz w:val="16"/>
          <w:szCs w:val="16"/>
          <w:lang w:val="en-US"/>
        </w:rPr>
        <w:t>CEFR</w:t>
      </w:r>
      <w:r w:rsidRPr="002F2FDF">
        <w:rPr>
          <w:rFonts w:ascii="Times New Roman" w:hAnsi="Times New Roman" w:cs="Times New Roman"/>
          <w:color w:val="000000" w:themeColor="text1"/>
          <w:kern w:val="2"/>
          <w:sz w:val="16"/>
          <w:szCs w:val="16"/>
        </w:rPr>
        <w:t xml:space="preserve"> (Китай, 2004), ТВСА для ВВЭР-1000 (1998-2007-), для БН-350, БОР-бО; металлический кальций; постоянные магниты: феррито-бариевые для центрифуг «128» (1964-), «177Б» (1974-); феррито-стронциевые (1990-е-), из сплава неодим-железо-бор (</w:t>
      </w:r>
      <w:r w:rsidRPr="002F2FDF">
        <w:rPr>
          <w:rFonts w:ascii="Times New Roman" w:hAnsi="Times New Roman" w:cs="Times New Roman"/>
          <w:color w:val="000000" w:themeColor="text1"/>
          <w:kern w:val="2"/>
          <w:sz w:val="16"/>
          <w:szCs w:val="16"/>
          <w:lang w:val="en-US"/>
        </w:rPr>
        <w:t>i</w:t>
      </w:r>
      <w:r w:rsidRPr="002F2FDF">
        <w:rPr>
          <w:rFonts w:ascii="Times New Roman" w:hAnsi="Times New Roman" w:cs="Times New Roman"/>
          <w:color w:val="000000" w:themeColor="text1"/>
          <w:kern w:val="2"/>
          <w:sz w:val="16"/>
          <w:szCs w:val="16"/>
        </w:rPr>
        <w:t>990-</w:t>
      </w:r>
      <w:r w:rsidRPr="002F2FDF">
        <w:rPr>
          <w:rFonts w:ascii="Times New Roman" w:hAnsi="Times New Roman" w:cs="Times New Roman"/>
          <w:color w:val="000000" w:themeColor="text1"/>
          <w:kern w:val="2"/>
          <w:sz w:val="16"/>
          <w:szCs w:val="16"/>
          <w:vertAlign w:val="subscript"/>
          <w:lang w:val="en-US"/>
        </w:rPr>
        <w:t>e</w:t>
      </w:r>
      <w:r w:rsidRPr="002F2FDF">
        <w:rPr>
          <w:rFonts w:ascii="Times New Roman" w:hAnsi="Times New Roman" w:cs="Times New Roman"/>
          <w:color w:val="000000" w:themeColor="text1"/>
          <w:kern w:val="2"/>
          <w:sz w:val="16"/>
          <w:szCs w:val="16"/>
        </w:rPr>
        <w:t>) (11982).</w:t>
      </w:r>
    </w:p>
    <w:p w14:paraId="30A16C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D271B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360C5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9336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августа (6 сентября) 1917 Рига без боя сдалась немцам (3481).</w:t>
      </w:r>
    </w:p>
    <w:p w14:paraId="64A390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F26D61" w14:textId="77777777" w:rsidR="00465FFE" w:rsidRPr="002F2FDF" w:rsidRDefault="00465FF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августа (6 сентября) в 1917 году Рига без боя сдается немцам развалившейся русской армией (14761).</w:t>
      </w:r>
    </w:p>
    <w:p w14:paraId="7C5B10FB" w14:textId="77777777" w:rsidR="00465FFE" w:rsidRPr="002F2FDF" w:rsidRDefault="00465FFE" w:rsidP="0083075A">
      <w:pPr>
        <w:spacing w:after="0" w:line="240" w:lineRule="auto"/>
        <w:jc w:val="both"/>
        <w:rPr>
          <w:rFonts w:ascii="Times New Roman" w:hAnsi="Times New Roman" w:cs="Times New Roman"/>
          <w:color w:val="000000" w:themeColor="text1"/>
          <w:kern w:val="2"/>
          <w:sz w:val="16"/>
          <w:szCs w:val="16"/>
        </w:rPr>
      </w:pPr>
    </w:p>
    <w:p w14:paraId="59E34F13" w14:textId="6405FCBB" w:rsidR="00A115EF" w:rsidRPr="00FB4F67" w:rsidRDefault="00A115EF"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24 августа (</w:t>
      </w:r>
      <w:r w:rsidRPr="00FB4F67">
        <w:rPr>
          <w:rFonts w:ascii="Times New Roman" w:hAnsi="Times New Roman" w:cs="Times New Roman"/>
          <w:color w:val="0070C0"/>
          <w:sz w:val="16"/>
          <w:szCs w:val="16"/>
        </w:rPr>
        <w:t>6 сентября</w:t>
      </w:r>
      <w:r>
        <w:rPr>
          <w:rFonts w:ascii="Times New Roman" w:hAnsi="Times New Roman" w:cs="Times New Roman"/>
          <w:color w:val="0070C0"/>
          <w:sz w:val="16"/>
          <w:szCs w:val="16"/>
        </w:rPr>
        <w:t>) 1917 г.</w:t>
      </w:r>
      <w:r w:rsidRPr="00FB4F67">
        <w:rPr>
          <w:rFonts w:ascii="Times New Roman" w:hAnsi="Times New Roman" w:cs="Times New Roman"/>
          <w:color w:val="0070C0"/>
          <w:sz w:val="16"/>
          <w:szCs w:val="16"/>
        </w:rPr>
        <w:t xml:space="preserve"> инспектор авиации Юго-Западного фронта Полковник И. П. Степанов обратился в Ставку с ходатайством о создании новой (5-й) боевой авиагруппы, заявив, что «временная авиагруппа 2-й ФАО, 6-й ФАО и 7-й ФАО под руководством самого старшего командира этих частей, не давало бы того единства и слаженности, от которых зависит успех боевой работы. Среди командиров этих частей нет ни одного достаточно опытного, чтобы ему можно было доверить командование группой».</w:t>
      </w:r>
    </w:p>
    <w:p w14:paraId="005D836B" w14:textId="77777777" w:rsidR="00A115EF" w:rsidRPr="00FB4F67" w:rsidRDefault="00A115E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Подполковник Ткачев ответил на его обращение: «Повторяю телеграмму АВИ АД АРМ от 3 сентября: В настоящее время Ставка увеличения состава не производит. Предлагаем рассмотреть работу всех авиационных частей в сентябре» (23525).</w:t>
      </w:r>
    </w:p>
    <w:p w14:paraId="1E87487C" w14:textId="77777777" w:rsidR="00A115EF" w:rsidRPr="00FB4F67" w:rsidRDefault="00A115EF" w:rsidP="0083075A">
      <w:pPr>
        <w:spacing w:after="0" w:line="240" w:lineRule="auto"/>
        <w:jc w:val="both"/>
        <w:rPr>
          <w:rFonts w:ascii="Times New Roman" w:hAnsi="Times New Roman" w:cs="Times New Roman"/>
          <w:color w:val="0070C0"/>
          <w:sz w:val="16"/>
          <w:szCs w:val="16"/>
        </w:rPr>
      </w:pPr>
    </w:p>
    <w:p w14:paraId="46F481C2" w14:textId="25396ACA" w:rsidR="00A115EF" w:rsidRPr="00FB4F67" w:rsidRDefault="00A115EF"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24 августа (</w:t>
      </w:r>
      <w:r w:rsidRPr="00FB4F67">
        <w:rPr>
          <w:rFonts w:ascii="Times New Roman" w:hAnsi="Times New Roman" w:cs="Times New Roman"/>
          <w:color w:val="0070C0"/>
          <w:sz w:val="16"/>
          <w:szCs w:val="16"/>
        </w:rPr>
        <w:t>6 сентября</w:t>
      </w:r>
      <w:r>
        <w:rPr>
          <w:rFonts w:ascii="Times New Roman" w:hAnsi="Times New Roman" w:cs="Times New Roman"/>
          <w:color w:val="0070C0"/>
          <w:sz w:val="16"/>
          <w:szCs w:val="16"/>
        </w:rPr>
        <w:t xml:space="preserve">) </w:t>
      </w:r>
      <w:r w:rsidRPr="00FB4F67">
        <w:rPr>
          <w:rFonts w:ascii="Times New Roman" w:hAnsi="Times New Roman" w:cs="Times New Roman"/>
          <w:color w:val="0070C0"/>
          <w:sz w:val="16"/>
          <w:szCs w:val="16"/>
        </w:rPr>
        <w:t>1917 г. на Северном фронте немецкий R-самолет DFWRl (11/15) Rfa.500, базировавшийся в Альт-Аузе, совершил аварийную посадку из-за отказа двигателя в сильном тумане на своей базе. Бомбы на борту загорелись и взорвались, в результате чего погиб один член экипажа (23525).</w:t>
      </w:r>
    </w:p>
    <w:p w14:paraId="2D22C6FF" w14:textId="77777777" w:rsidR="00A115EF" w:rsidRPr="00FB4F67" w:rsidRDefault="00A115EF" w:rsidP="0083075A">
      <w:pPr>
        <w:spacing w:after="0" w:line="240" w:lineRule="auto"/>
        <w:jc w:val="both"/>
        <w:rPr>
          <w:rFonts w:ascii="Times New Roman" w:hAnsi="Times New Roman" w:cs="Times New Roman"/>
          <w:color w:val="0070C0"/>
          <w:sz w:val="16"/>
          <w:szCs w:val="16"/>
        </w:rPr>
      </w:pPr>
    </w:p>
    <w:p w14:paraId="2A38DE1C" w14:textId="123A4133" w:rsidR="00A115EF" w:rsidRPr="00FB4F67" w:rsidRDefault="00A115EF" w:rsidP="0083075A">
      <w:pPr>
        <w:spacing w:after="0" w:line="240" w:lineRule="auto"/>
        <w:jc w:val="both"/>
        <w:rPr>
          <w:rFonts w:ascii="Times New Roman" w:hAnsi="Times New Roman" w:cs="Times New Roman"/>
          <w:color w:val="0070C0"/>
          <w:sz w:val="16"/>
          <w:szCs w:val="16"/>
        </w:rPr>
      </w:pPr>
      <w:bookmarkStart w:id="262" w:name="bookmark912"/>
      <w:r>
        <w:rPr>
          <w:rFonts w:ascii="Times New Roman" w:hAnsi="Times New Roman" w:cs="Times New Roman"/>
          <w:color w:val="0070C0"/>
          <w:sz w:val="16"/>
          <w:szCs w:val="16"/>
        </w:rPr>
        <w:t>24 августа (</w:t>
      </w:r>
      <w:r w:rsidRPr="00FB4F67">
        <w:rPr>
          <w:rFonts w:ascii="Times New Roman" w:hAnsi="Times New Roman" w:cs="Times New Roman"/>
          <w:color w:val="0070C0"/>
          <w:sz w:val="16"/>
          <w:szCs w:val="16"/>
        </w:rPr>
        <w:t>6 сентября</w:t>
      </w:r>
      <w:r>
        <w:rPr>
          <w:rFonts w:ascii="Times New Roman" w:hAnsi="Times New Roman" w:cs="Times New Roman"/>
          <w:color w:val="0070C0"/>
          <w:sz w:val="16"/>
          <w:szCs w:val="16"/>
        </w:rPr>
        <w:t xml:space="preserve">) </w:t>
      </w:r>
      <w:r w:rsidRPr="00FB4F67">
        <w:rPr>
          <w:rFonts w:ascii="Times New Roman" w:hAnsi="Times New Roman" w:cs="Times New Roman"/>
          <w:color w:val="0070C0"/>
          <w:sz w:val="16"/>
          <w:szCs w:val="16"/>
        </w:rPr>
        <w:t>1917 г. противник силами воздушной эскадрильи бомбардировал г. Луцк. Немецкие летчики сбросили 60 бомб. На следующий день в полосе Северного фронта бомбардировке с воздуха подвергся г. Якобштадт. В результате разрывов бомб был убит старший врач перевязочного отряда, ранены сестра милосердия и студент (23405).</w:t>
      </w:r>
      <w:bookmarkEnd w:id="262"/>
    </w:p>
    <w:p w14:paraId="62AD97DC" w14:textId="77777777" w:rsidR="00A115EF" w:rsidRPr="00FB4F67" w:rsidRDefault="00A115EF" w:rsidP="0083075A">
      <w:pPr>
        <w:spacing w:after="0" w:line="240" w:lineRule="auto"/>
        <w:jc w:val="both"/>
        <w:rPr>
          <w:rFonts w:ascii="Times New Roman" w:hAnsi="Times New Roman" w:cs="Times New Roman"/>
          <w:color w:val="0070C0"/>
          <w:sz w:val="16"/>
          <w:szCs w:val="16"/>
        </w:rPr>
      </w:pPr>
    </w:p>
    <w:p w14:paraId="4CA75901" w14:textId="77777777" w:rsidR="0048397F" w:rsidRPr="002F2FDF" w:rsidRDefault="0048397F" w:rsidP="0083075A">
      <w:pPr>
        <w:pStyle w:val="ae"/>
        <w:spacing w:before="0" w:after="0"/>
        <w:jc w:val="both"/>
        <w:rPr>
          <w:color w:val="000000" w:themeColor="text1"/>
          <w:kern w:val="2"/>
          <w:sz w:val="16"/>
          <w:szCs w:val="16"/>
        </w:rPr>
      </w:pPr>
      <w:r w:rsidRPr="002F2FDF">
        <w:rPr>
          <w:color w:val="000000" w:themeColor="text1"/>
          <w:kern w:val="2"/>
          <w:sz w:val="16"/>
          <w:szCs w:val="16"/>
        </w:rPr>
        <w:t>К 24 августа (6 сентября) 1917  большая часть войск 12-й русской армии, отступавшей под натиском германского наступления в Латвии, заняла позиции в Венденском уезде, в 30 километрах к северо-востоку от Риги в районе нынешнего городка Инчукалнс. Саму Ригу русская армия оставила еще 3 сентября почти без боя. Оборону держали в первую очередь, подразделения, укомплектованные местными жителями — «латышскими стрелками», которые соблюдали жесткую дисциплину, не поддаваясь на большевистскую и анархистскую агитацию. «Некоторые дивизии (109-я и 186-я), — писал военный историк, генерал Андрей Зайончковский, — очутились в районе Пскова. Главная масса войск и десятки тысяч беженцев сбились в районе шоссе на Венден (ныне город Цесис в Латвии — РП), германская авиация беспощадно бомбардировала как войска, так и беженцев и вызывала большой беспорядок». Германские войска, тем временем, продолжали форсирование Западной Двины (Даугавы), на разных участках, не встречая никакого сопротивления. «У русских были собраны для контратак значительные резервы и в надлежащем месте, но они не принесли пользы как из-за управления ими из Риги, которое становилось невозможным, так и ввиду нежелания русских солдат драться», — отмечал Зайончковский.</w:t>
      </w:r>
    </w:p>
    <w:p w14:paraId="4B0E63E3" w14:textId="77777777" w:rsidR="0048397F" w:rsidRPr="002F2FDF" w:rsidRDefault="0048397F" w:rsidP="0083075A">
      <w:pPr>
        <w:pStyle w:val="ae"/>
        <w:spacing w:before="0" w:after="0"/>
        <w:jc w:val="both"/>
        <w:rPr>
          <w:color w:val="000000" w:themeColor="text1"/>
          <w:kern w:val="2"/>
          <w:sz w:val="16"/>
          <w:szCs w:val="16"/>
        </w:rPr>
      </w:pPr>
      <w:r w:rsidRPr="002F2FDF">
        <w:rPr>
          <w:color w:val="000000" w:themeColor="text1"/>
          <w:kern w:val="2"/>
          <w:sz w:val="16"/>
          <w:szCs w:val="16"/>
        </w:rPr>
        <w:t>В оккупированной Риге немцы первым делом разогнали только что избранную городскую думу (в которой большинство заняли депутаты от большевиков) и городскую милицию, заменив ее своей полицейской службой, набранной из прибалтийских немцев (17045).</w:t>
      </w:r>
    </w:p>
    <w:p w14:paraId="021AE438" w14:textId="77777777" w:rsidR="0048397F" w:rsidRPr="002F2FDF" w:rsidRDefault="0048397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B1E945" w14:textId="50EFA637" w:rsidR="00465FFE"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r w:rsidR="00465FFE" w:rsidRPr="002F2FDF">
        <w:rPr>
          <w:rFonts w:ascii="Times New Roman" w:hAnsi="Times New Roman" w:cs="Times New Roman"/>
          <w:iCs/>
          <w:color w:val="000000" w:themeColor="text1"/>
          <w:kern w:val="2"/>
          <w:sz w:val="16"/>
          <w:szCs w:val="16"/>
        </w:rPr>
        <w:t>:</w:t>
      </w:r>
    </w:p>
    <w:p w14:paraId="304EED5D" w14:textId="77777777" w:rsidR="00465FFE" w:rsidRPr="002F2FDF" w:rsidRDefault="00465FF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F4C57A" w14:textId="77777777" w:rsidR="00465FFE" w:rsidRPr="002F2FDF" w:rsidRDefault="00465FF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августа (6 сентября) в 1917 году войска нод командованием генерала Корнилова начали наступление на Петроград с целью свержения Временного правительства (14761).</w:t>
      </w:r>
    </w:p>
    <w:p w14:paraId="6F48B81A" w14:textId="77777777" w:rsidR="00465FFE" w:rsidRPr="002F2FDF" w:rsidRDefault="00465FFE" w:rsidP="0083075A">
      <w:pPr>
        <w:spacing w:after="0" w:line="240" w:lineRule="auto"/>
        <w:jc w:val="both"/>
        <w:rPr>
          <w:rFonts w:ascii="Times New Roman" w:hAnsi="Times New Roman" w:cs="Times New Roman"/>
          <w:color w:val="000000" w:themeColor="text1"/>
          <w:kern w:val="2"/>
          <w:sz w:val="16"/>
          <w:szCs w:val="16"/>
        </w:rPr>
      </w:pPr>
    </w:p>
    <w:p w14:paraId="53CBB50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8ECC9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0870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августа (6 сентября) 1917 французский ас Гийномер Georges Guynemer сбил 54 самолет (3481).</w:t>
      </w:r>
    </w:p>
    <w:p w14:paraId="41DB98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772D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августа (6 сентября) 1917 в Кантоне было образовано Южно-Китайское правительство во главе с Сунь Ятсеном (2443,388).</w:t>
      </w:r>
    </w:p>
    <w:p w14:paraId="172461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BB1BB1" w14:textId="77777777" w:rsidR="00DA7733" w:rsidRPr="002F2FDF" w:rsidRDefault="00DA773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4A2247DE" w14:textId="77777777" w:rsidR="00DA7733" w:rsidRPr="002F2FDF" w:rsidRDefault="00DA773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2BDF13" w14:textId="77777777" w:rsidR="00DA7733" w:rsidRPr="002F2FDF" w:rsidRDefault="00DA7733" w:rsidP="0083075A">
      <w:pPr>
        <w:pStyle w:val="p1"/>
        <w:spacing w:before="0" w:beforeAutospacing="0" w:after="0" w:afterAutospacing="0"/>
        <w:jc w:val="both"/>
        <w:rPr>
          <w:color w:val="000000" w:themeColor="text1"/>
          <w:sz w:val="16"/>
          <w:szCs w:val="16"/>
        </w:rPr>
      </w:pPr>
      <w:r w:rsidRPr="002F2FDF">
        <w:rPr>
          <w:color w:val="000000" w:themeColor="text1"/>
          <w:sz w:val="16"/>
          <w:szCs w:val="16"/>
        </w:rPr>
        <w:t>25 августа (7 сентября) 1917 г. Барсуков писал начальнику ГАУ Леховичу, что тяжелой артиллерии особого назначения грозила «полная потеря боеспособности» из-за неудовлетворительного ремонта тракторов и автомобилей. Остро недоставало ремонтных мастерских, и отсутствовала возможность их быстро завести. Это «сейчас невозможно, — за отсутствием на русском рынке машин, а также [ввиду] трудности собрать необходимый технический персонал». Надо было срочно организовать «где-либо в тылу» большую мастерскую, переместив туда технические средства Петроградского орудийного завода, использовать также заводы Гельферих Саде в Харькове и Рябушинского в Москве, поскольку они не сумели наладить у себя производство автомобилей «и теперь их оборудование можно обратить на ремонт машин в широком масштабе» (18409).</w:t>
      </w:r>
    </w:p>
    <w:p w14:paraId="4E19A40F" w14:textId="77777777" w:rsidR="00DA7733" w:rsidRPr="002F2FDF" w:rsidRDefault="00DA7733" w:rsidP="0083075A">
      <w:pPr>
        <w:pStyle w:val="p1"/>
        <w:spacing w:before="0" w:beforeAutospacing="0" w:after="0" w:afterAutospacing="0"/>
        <w:jc w:val="both"/>
        <w:rPr>
          <w:color w:val="000000" w:themeColor="text1"/>
          <w:sz w:val="16"/>
          <w:szCs w:val="16"/>
        </w:rPr>
      </w:pPr>
      <w:r w:rsidRPr="002F2FDF">
        <w:rPr>
          <w:color w:val="000000" w:themeColor="text1"/>
          <w:sz w:val="16"/>
          <w:szCs w:val="16"/>
        </w:rPr>
        <w:t xml:space="preserve">В поиске решения проблемы Барсуков предложил ГАУ привлечь к ремонту мастерские так называемого Депо машин и Тракторной роты 1-й запасной тяжелой артиллерийской бригады, расположенные в Царском Селе, — «при условии перемещения этих мастерских из Царского Села в район по линии железных дорог Тула — Орел — Курск, и во всяком случае не южнее Харькова, чтобы не завозить слишком далеко предметы тяжелой артиллерии, получаемые через Архангельск и требующие сборки в мастерских». Начальник этих мастерских Н.И. Фонштейн, возражая, доложил ГАУ, что выполняемая ими работа по приему, сборке и «обладке» </w:t>
      </w:r>
      <w:r w:rsidRPr="002F2FDF">
        <w:rPr>
          <w:color w:val="000000" w:themeColor="text1"/>
          <w:sz w:val="16"/>
          <w:szCs w:val="16"/>
        </w:rPr>
        <w:lastRenderedPageBreak/>
        <w:t>поступающих из-за границы гусеничных тракторов и автомобилей «так громадна по сравнению со средствами мастерской», что Депо «едва справляется» «по причине… незначительного количества работников и станков». В день удается собрать 7–8 грузовых автомобилей, между тем «уже сейчас… прибыло до 200 тракторов и 70 грузовых автомобилей», а «ожидается прибытие вдвое большего количества машин». Мощность Тракторной школы «также слишком мала для того, чтобы она могла принимать посторонний ремонт», да это и вредно для обучения шоферов. Переориентация Депо разрушила бы, предупреждал Фонштейн, «снабжение машинами частей тяжелой артиллерии», притом без существенной пользы — «опять же ввиду бедности оборудования мастерских Депо», «незначительности технических средств». Гужевая транспортировка для ТАОН не годилась.</w:t>
      </w:r>
    </w:p>
    <w:p w14:paraId="48B7AA37" w14:textId="77777777" w:rsidR="00DA7733" w:rsidRPr="002F2FDF" w:rsidRDefault="00DA7733" w:rsidP="0083075A">
      <w:pPr>
        <w:pStyle w:val="p1"/>
        <w:spacing w:before="0" w:beforeAutospacing="0" w:after="0" w:afterAutospacing="0"/>
        <w:jc w:val="both"/>
        <w:rPr>
          <w:color w:val="000000" w:themeColor="text1"/>
          <w:sz w:val="16"/>
          <w:szCs w:val="16"/>
        </w:rPr>
      </w:pPr>
      <w:r w:rsidRPr="002F2FDF">
        <w:rPr>
          <w:color w:val="000000" w:themeColor="text1"/>
          <w:sz w:val="16"/>
          <w:szCs w:val="16"/>
        </w:rPr>
        <w:t>Фонштейн обращал внимание и на еще большую угрозу: вскоре «в ТАОН вольется новая большая партия автомашин» и гусеничных тракторов (сейчас на фронте 30 гусеничных тракторов, а будет около 600), фронтовые автомастерские к ремонту их не приспособлены, и «положение еще более ухудшится». К этой деятельности подключится и Депо, если его усилить и «дать ему возможность скорее разгрузиться от машин, получаемых из-за границы и идущих на переформирование, на фронт». Но решение было принято иное (18409).</w:t>
      </w:r>
    </w:p>
    <w:p w14:paraId="4909E6DB" w14:textId="77777777" w:rsidR="00DA7733" w:rsidRPr="002F2FDF" w:rsidRDefault="00DA7733" w:rsidP="0083075A">
      <w:pPr>
        <w:pStyle w:val="p1"/>
        <w:spacing w:before="0" w:beforeAutospacing="0" w:after="0" w:afterAutospacing="0"/>
        <w:jc w:val="both"/>
        <w:rPr>
          <w:color w:val="000000" w:themeColor="text1"/>
          <w:sz w:val="16"/>
          <w:szCs w:val="16"/>
        </w:rPr>
      </w:pPr>
    </w:p>
    <w:p w14:paraId="67AE342C" w14:textId="77C44FD3" w:rsidR="00EE7F7C" w:rsidRPr="00FB4F67" w:rsidRDefault="00EE7F7C" w:rsidP="0083075A">
      <w:pPr>
        <w:spacing w:after="0" w:line="240" w:lineRule="auto"/>
        <w:jc w:val="both"/>
        <w:rPr>
          <w:rFonts w:ascii="Times New Roman" w:hAnsi="Times New Roman" w:cs="Times New Roman"/>
          <w:color w:val="0070C0"/>
          <w:sz w:val="16"/>
          <w:szCs w:val="16"/>
        </w:rPr>
      </w:pPr>
      <w:bookmarkStart w:id="263" w:name="bookmark874"/>
      <w:bookmarkStart w:id="264" w:name="bookmark875"/>
      <w:bookmarkStart w:id="265" w:name="bookmark876"/>
      <w:r w:rsidRPr="00FB4F67">
        <w:rPr>
          <w:rFonts w:ascii="Times New Roman" w:hAnsi="Times New Roman" w:cs="Times New Roman"/>
          <w:color w:val="0070C0"/>
          <w:sz w:val="16"/>
          <w:szCs w:val="16"/>
        </w:rPr>
        <w:t xml:space="preserve">25 августа </w:t>
      </w:r>
      <w:r>
        <w:rPr>
          <w:rFonts w:ascii="Times New Roman" w:hAnsi="Times New Roman" w:cs="Times New Roman"/>
          <w:color w:val="0070C0"/>
          <w:sz w:val="16"/>
          <w:szCs w:val="16"/>
        </w:rPr>
        <w:t xml:space="preserve">(7 сентября) </w:t>
      </w:r>
      <w:r w:rsidRPr="00FB4F67">
        <w:rPr>
          <w:rFonts w:ascii="Times New Roman" w:hAnsi="Times New Roman" w:cs="Times New Roman"/>
          <w:color w:val="0070C0"/>
          <w:sz w:val="16"/>
          <w:szCs w:val="16"/>
        </w:rPr>
        <w:t>1917 г. Барсуков писал начальнику ГАУ Леховичу: «за отсутствием на русском рынке машин, а также [ввиду] трудности собрать необходимый технический пер</w:t>
      </w:r>
      <w:r w:rsidRPr="00FB4F67">
        <w:rPr>
          <w:rFonts w:ascii="Times New Roman" w:hAnsi="Times New Roman" w:cs="Times New Roman"/>
          <w:color w:val="0070C0"/>
          <w:sz w:val="16"/>
          <w:szCs w:val="16"/>
        </w:rPr>
        <w:softHyphen/>
        <w:t>сонал». Надо было срочно организовать «где-либо в тылу» большую мастерскую, переместив туда технические сред</w:t>
      </w:r>
      <w:r w:rsidRPr="00FB4F67">
        <w:rPr>
          <w:rFonts w:ascii="Times New Roman" w:hAnsi="Times New Roman" w:cs="Times New Roman"/>
          <w:color w:val="0070C0"/>
          <w:sz w:val="16"/>
          <w:szCs w:val="16"/>
        </w:rPr>
        <w:softHyphen/>
        <w:t>ства Петроградского орудийного завода, использовать так</w:t>
      </w:r>
      <w:r w:rsidRPr="00FB4F67">
        <w:rPr>
          <w:rFonts w:ascii="Times New Roman" w:hAnsi="Times New Roman" w:cs="Times New Roman"/>
          <w:color w:val="0070C0"/>
          <w:sz w:val="16"/>
          <w:szCs w:val="16"/>
        </w:rPr>
        <w:softHyphen/>
        <w:t>же заводы Гельферих Саде в Харькове и Рябушинского в Москве, поскольку они не сумели наладить у себя произ</w:t>
      </w:r>
      <w:r w:rsidRPr="00FB4F67">
        <w:rPr>
          <w:rFonts w:ascii="Times New Roman" w:hAnsi="Times New Roman" w:cs="Times New Roman"/>
          <w:color w:val="0070C0"/>
          <w:sz w:val="16"/>
          <w:szCs w:val="16"/>
        </w:rPr>
        <w:softHyphen/>
        <w:t>водство автомобилей «и теперь их оборудование можно об</w:t>
      </w:r>
      <w:r w:rsidRPr="00FB4F67">
        <w:rPr>
          <w:rFonts w:ascii="Times New Roman" w:hAnsi="Times New Roman" w:cs="Times New Roman"/>
          <w:color w:val="0070C0"/>
          <w:sz w:val="16"/>
          <w:szCs w:val="16"/>
        </w:rPr>
        <w:softHyphen/>
        <w:t>ратить на ремонт машин в широком масштабе» (РГВИА. Ф. 509. On. 1. Д. 1. Л. 50-51 об.; Д. 8. Л. 224. К тому вре</w:t>
      </w:r>
      <w:r w:rsidRPr="00FB4F67">
        <w:rPr>
          <w:rFonts w:ascii="Times New Roman" w:hAnsi="Times New Roman" w:cs="Times New Roman"/>
          <w:color w:val="0070C0"/>
          <w:sz w:val="16"/>
          <w:szCs w:val="16"/>
        </w:rPr>
        <w:softHyphen/>
        <w:t>мени при Орудийном заводе существовала автомобильная мастерская — «завод бывш. Брейтигама», как назвал ее Лехович 8 июня 1917 г. (Там же. Д. 8. Л. 246). Завод «Иван Брейтигам» к 1913 г. был крупнейшей в Петербурге кузовной фирмой, там было занято 400 рабочих; в 1915 г. — 180. Экипажная фабрика Брейтигама была преобразована в автомобиль</w:t>
      </w:r>
      <w:r w:rsidRPr="00FB4F67">
        <w:rPr>
          <w:rFonts w:ascii="Times New Roman" w:hAnsi="Times New Roman" w:cs="Times New Roman"/>
          <w:color w:val="0070C0"/>
          <w:sz w:val="16"/>
          <w:szCs w:val="16"/>
        </w:rPr>
        <w:softHyphen/>
        <w:t>ный отдел Орудийного завода в апреле 1917 г. Туда переместилась ре</w:t>
      </w:r>
      <w:r w:rsidRPr="00FB4F67">
        <w:rPr>
          <w:rFonts w:ascii="Times New Roman" w:hAnsi="Times New Roman" w:cs="Times New Roman"/>
          <w:color w:val="0070C0"/>
          <w:sz w:val="16"/>
          <w:szCs w:val="16"/>
        </w:rPr>
        <w:softHyphen/>
        <w:t>монтная мастерская, организованная в середине 1915 г. на Большой Охте в «случайном» помещении (Шугуров Л.М. Автомобили России и СССР. Ч. 1. С. 20; ВПР. С. 541; РГВИА. Ф. 29. Оп. 3. Д. 1010. Л. 84-85)).</w:t>
      </w:r>
    </w:p>
    <w:p w14:paraId="21146AF5" w14:textId="77777777" w:rsidR="00EE7F7C" w:rsidRPr="00FB4F67" w:rsidRDefault="00EE7F7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поиске решения проблемы Барсуков предложил ГАУ привлечь к ремонту мастерские так называемого Депо ма</w:t>
      </w:r>
      <w:r w:rsidRPr="00FB4F67">
        <w:rPr>
          <w:rFonts w:ascii="Times New Roman" w:hAnsi="Times New Roman" w:cs="Times New Roman"/>
          <w:color w:val="0070C0"/>
          <w:sz w:val="16"/>
          <w:szCs w:val="16"/>
        </w:rPr>
        <w:softHyphen/>
        <w:t>шин и Тракторной роты 1-й запасной тяжелой артиллерий</w:t>
      </w:r>
      <w:r w:rsidRPr="00FB4F67">
        <w:rPr>
          <w:rFonts w:ascii="Times New Roman" w:hAnsi="Times New Roman" w:cs="Times New Roman"/>
          <w:color w:val="0070C0"/>
          <w:sz w:val="16"/>
          <w:szCs w:val="16"/>
        </w:rPr>
        <w:softHyphen/>
        <w:t>ской бригады, расположенные в Царском Селе, — «при условии перемещения этих мастерских из Царского Села в район по линии железных дорог Тула—Орел—Курск, и во всяком случае не южнее Харькова, чтобы не завозить слиш</w:t>
      </w:r>
      <w:r w:rsidRPr="00FB4F67">
        <w:rPr>
          <w:rFonts w:ascii="Times New Roman" w:hAnsi="Times New Roman" w:cs="Times New Roman"/>
          <w:color w:val="0070C0"/>
          <w:sz w:val="16"/>
          <w:szCs w:val="16"/>
        </w:rPr>
        <w:softHyphen/>
        <w:t>ком далеко предметы тяжелой артиллерии, получаемые через Архангельск и требующие сборки в мастерских». Начальник этих мастерских Н.И. Фонштейн, возражая, доложил ГАУ, что выполняемая ими работа по приему, сборке и «обладке» поступающих из-за границы гусеничных тракторов и авто</w:t>
      </w:r>
      <w:r w:rsidRPr="00FB4F67">
        <w:rPr>
          <w:rFonts w:ascii="Times New Roman" w:hAnsi="Times New Roman" w:cs="Times New Roman"/>
          <w:color w:val="0070C0"/>
          <w:sz w:val="16"/>
          <w:szCs w:val="16"/>
        </w:rPr>
        <w:softHyphen/>
        <w:t>мобилей «так громадна по сравнению со средствами ма</w:t>
      </w:r>
      <w:r w:rsidRPr="00FB4F67">
        <w:rPr>
          <w:rFonts w:ascii="Times New Roman" w:hAnsi="Times New Roman" w:cs="Times New Roman"/>
          <w:color w:val="0070C0"/>
          <w:sz w:val="16"/>
          <w:szCs w:val="16"/>
        </w:rPr>
        <w:softHyphen/>
        <w:t>стерской», что Депо «едва справляется» «по причине... не</w:t>
      </w:r>
      <w:r w:rsidRPr="00FB4F67">
        <w:rPr>
          <w:rFonts w:ascii="Times New Roman" w:hAnsi="Times New Roman" w:cs="Times New Roman"/>
          <w:color w:val="0070C0"/>
          <w:sz w:val="16"/>
          <w:szCs w:val="16"/>
        </w:rPr>
        <w:softHyphen/>
        <w:t>значительного количества работников и станков». В день удается собрать 7—8 грузовых автомобилей, между тем «уже сейчас... прибыло до 200 тракторов и 70 грузовых автомо</w:t>
      </w:r>
      <w:r w:rsidRPr="00FB4F67">
        <w:rPr>
          <w:rFonts w:ascii="Times New Roman" w:hAnsi="Times New Roman" w:cs="Times New Roman"/>
          <w:color w:val="0070C0"/>
          <w:sz w:val="16"/>
          <w:szCs w:val="16"/>
        </w:rPr>
        <w:softHyphen/>
        <w:t>билей», а «ожидается прибытие вдвое большего количества машин». Мощность Тракторной школы «также слишком мала для того, чтобы она могла принимать посторонний ремонт», да это и вредно для обучения шоферов. Пере</w:t>
      </w:r>
      <w:r w:rsidRPr="00FB4F67">
        <w:rPr>
          <w:rFonts w:ascii="Times New Roman" w:hAnsi="Times New Roman" w:cs="Times New Roman"/>
          <w:color w:val="0070C0"/>
          <w:sz w:val="16"/>
          <w:szCs w:val="16"/>
        </w:rPr>
        <w:softHyphen/>
        <w:t>ориентация Депо разрушила бы, предупреждал Фонштейн, «снабжение машинами частей тяжелой артиллерии», притом без существенной пользы — «опять же ввиду бедности оборудования мастерских Депо», «незначительности техни</w:t>
      </w:r>
      <w:r w:rsidRPr="00FB4F67">
        <w:rPr>
          <w:rFonts w:ascii="Times New Roman" w:hAnsi="Times New Roman" w:cs="Times New Roman"/>
          <w:color w:val="0070C0"/>
          <w:sz w:val="16"/>
          <w:szCs w:val="16"/>
        </w:rPr>
        <w:softHyphen/>
        <w:t>ческих средств»1. Гужевая транспортировка для ТАОН не годилась (23452).</w:t>
      </w:r>
    </w:p>
    <w:p w14:paraId="2757ECDB" w14:textId="77777777" w:rsidR="00EE7F7C" w:rsidRPr="00FB4F67" w:rsidRDefault="00EE7F7C" w:rsidP="0083075A">
      <w:pPr>
        <w:spacing w:after="0" w:line="240" w:lineRule="auto"/>
        <w:jc w:val="both"/>
        <w:rPr>
          <w:rFonts w:ascii="Times New Roman" w:hAnsi="Times New Roman" w:cs="Times New Roman"/>
          <w:color w:val="0070C0"/>
          <w:sz w:val="16"/>
          <w:szCs w:val="16"/>
        </w:rPr>
      </w:pPr>
    </w:p>
    <w:bookmarkEnd w:id="263"/>
    <w:bookmarkEnd w:id="264"/>
    <w:bookmarkEnd w:id="265"/>
    <w:p w14:paraId="1BEA4876" w14:textId="77777777" w:rsidR="00DA7733" w:rsidRPr="002F2FDF" w:rsidRDefault="00DA7733" w:rsidP="0083075A">
      <w:pPr>
        <w:pStyle w:val="p1"/>
        <w:spacing w:before="0" w:beforeAutospacing="0" w:after="0" w:afterAutospacing="0"/>
        <w:jc w:val="both"/>
        <w:rPr>
          <w:color w:val="000000" w:themeColor="text1"/>
          <w:sz w:val="16"/>
          <w:szCs w:val="16"/>
        </w:rPr>
      </w:pPr>
      <w:r w:rsidRPr="002F2FDF">
        <w:rPr>
          <w:color w:val="000000" w:themeColor="text1"/>
          <w:sz w:val="16"/>
          <w:szCs w:val="16"/>
        </w:rPr>
        <w:t>25 августа (7 сентября) 1917 г. Барсуков писал начальнику ГАУ Леховичу что тяжелой артиллерии особого назначения грозит «полная потеря боеспособности» из-за неудовлетворительного ремонта тракторов</w:t>
      </w:r>
      <w:r w:rsidRPr="002F2FDF">
        <w:rPr>
          <w:color w:val="000000" w:themeColor="text1"/>
          <w:sz w:val="16"/>
          <w:szCs w:val="16"/>
          <w:vertAlign w:val="superscript"/>
        </w:rPr>
        <w:t>,</w:t>
      </w:r>
      <w:r w:rsidRPr="002F2FDF">
        <w:rPr>
          <w:color w:val="000000" w:themeColor="text1"/>
          <w:sz w:val="16"/>
          <w:szCs w:val="16"/>
        </w:rPr>
        <w:t>[154] и автомобилей. Остро недоставало ремонтных мастерских, и отсутствовала возможность их быстро завести, что «сейчас невозможно — за отсутствием на русском рынке машин, а также [ввиду] трудности собрать необходимый технический персонал». Надо было срочно организовать «где-либо в тылу» большую мастерскую, переместив туда технические средства Петроградского орудийного завода, использовать также заводы Гельферих Саде в Харькове и Рябушинского в Москве, поскольку они не сумели наладить у себя производство автомобилей «и теперь их оборудование можно обратить на ремонт машин в широком масштабе».[155]</w:t>
      </w:r>
    </w:p>
    <w:p w14:paraId="05EA95BC" w14:textId="77777777" w:rsidR="00DA7733" w:rsidRPr="002F2FDF" w:rsidRDefault="00DA7733"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 поиске решения проблемы Барсуков предложил ГАУ привлечь к ремонту мастерские так называемого Депо машин и Тракторной роты 1-й запасной тяжелой артиллерийской бригады, расположенные в Царском Селе, — «при условии перемещения этих мастерских из Царского Села в район по линии железных дорог Тула — Орел — Курск, и во всяком случае не южнее Харькова, чтобы не завозить слишком далеко предметы тяжелой артиллерии, получаемые через Архангельск и требующие сборки в мастерских». Начальник этих мастерских Н.И. Фонштейн, возражая, доложил ГАУ, что выполняемая ими работа по приему, сборке и «обладке» поступающих из-за границы гусеничных тракторов и автомобилей «так громадна по сравнению со средствами мастерской», что Депо «едва справляется» «по причине… незначительного количества работников и станков». В день удается собрать 7–8 грузовых автомобилей, между тем «уже сейчас… прибыло до 200 тракторов и 70 грузовых автомобилей», а «ожидается прибытие вдвое большего количества машин». Мощность Тракторной школы «также слишком мала для того, чтобы она могла принимать посторонний ремонт», да это и вредно для обучения шоферов. Переориентация Депо разрушила бы, предупреждал Фонштейн, «снабжение машинами частей тяжелой артиллерии», притом без существенной пользы — «опять же ввиду бедности оборудования мастерских Депо», «незначительности технических средств»</w:t>
      </w:r>
      <w:r w:rsidRPr="002F2FDF">
        <w:rPr>
          <w:color w:val="000000" w:themeColor="text1"/>
          <w:sz w:val="16"/>
          <w:szCs w:val="16"/>
          <w:vertAlign w:val="superscript"/>
        </w:rPr>
        <w:t>{615}</w:t>
      </w:r>
      <w:r w:rsidRPr="002F2FDF">
        <w:rPr>
          <w:color w:val="000000" w:themeColor="text1"/>
          <w:sz w:val="16"/>
          <w:szCs w:val="16"/>
        </w:rPr>
        <w:t>. Гужевая транспортировка для ТАОН не годилась.</w:t>
      </w:r>
    </w:p>
    <w:p w14:paraId="137F0FFC" w14:textId="77777777" w:rsidR="00DA7733" w:rsidRPr="002F2FDF" w:rsidRDefault="00DA7733"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Во 2-й запасной бригаде тяжелой артиллерии остро не хватало тракторов и грузовиков, но «если бы и были отпущены автомобили, — рапортовал в сентябре 1917 г. в MBО командир бригады, — то обслуживающий их персонал так плохо обучен, что в самом скором времени все машины ломаются настолько основательно, что пользоваться ими нет возможности»</w:t>
      </w:r>
      <w:r w:rsidRPr="002F2FDF">
        <w:rPr>
          <w:color w:val="000000" w:themeColor="text1"/>
          <w:sz w:val="16"/>
          <w:szCs w:val="16"/>
          <w:vertAlign w:val="superscript"/>
        </w:rPr>
        <w:t>{616}</w:t>
      </w:r>
      <w:r w:rsidRPr="002F2FDF">
        <w:rPr>
          <w:color w:val="000000" w:themeColor="text1"/>
          <w:sz w:val="16"/>
          <w:szCs w:val="16"/>
        </w:rPr>
        <w:t>.[156] Фонштейн обращал внимание и на еще большую угрозу: вскоре «в ТАОН вольется новая большая партия автомашин» и гусеничных тракторов (сейчас на фронте 30 гусеничных тракторов, а будет около 600), фронтовые автомастерские к ремонту их не приспособлены, и «положение еще более ухудшится». К этой деятельности подключится и Депо, если его усилить и «дать ему возможность скорее разгрузиться от машин, получаемых из-за границы и идущих на переформирование, на фронт»[157]. Но решение было принято иное. В ноябре 1917 г. Фонштейн рапортовал ГАУ: «Переезд Депо машин в Ростов закончен. К работам по сборке тракторов [в] Ростове уже приступлено и [в] скором времени отпуск вполне собранных тракторов будет продолжаться по-прежнему»</w:t>
      </w:r>
      <w:r w:rsidRPr="002F2FDF">
        <w:rPr>
          <w:color w:val="000000" w:themeColor="text1"/>
          <w:sz w:val="16"/>
          <w:szCs w:val="16"/>
          <w:vertAlign w:val="superscript"/>
        </w:rPr>
        <w:t>{617}</w:t>
      </w:r>
      <w:r w:rsidRPr="002F2FDF">
        <w:rPr>
          <w:color w:val="000000" w:themeColor="text1"/>
          <w:sz w:val="16"/>
          <w:szCs w:val="16"/>
        </w:rPr>
        <w:t xml:space="preserve"> (18366).</w:t>
      </w:r>
    </w:p>
    <w:p w14:paraId="0C95035A" w14:textId="77777777" w:rsidR="00DA7733" w:rsidRPr="002F2FDF" w:rsidRDefault="00DA7733" w:rsidP="0083075A">
      <w:pPr>
        <w:pStyle w:val="p1"/>
        <w:spacing w:before="0" w:beforeAutospacing="0" w:after="0" w:afterAutospacing="0"/>
        <w:jc w:val="both"/>
        <w:rPr>
          <w:color w:val="000000" w:themeColor="text1"/>
          <w:sz w:val="16"/>
          <w:szCs w:val="16"/>
        </w:rPr>
      </w:pPr>
    </w:p>
    <w:p w14:paraId="4BAE4E2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8F888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9E62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ав</w:t>
      </w:r>
      <w:r w:rsidRPr="002F2FDF">
        <w:rPr>
          <w:rFonts w:ascii="Times New Roman" w:hAnsi="Times New Roman" w:cs="Times New Roman"/>
          <w:color w:val="000000" w:themeColor="text1"/>
          <w:kern w:val="2"/>
          <w:sz w:val="16"/>
          <w:szCs w:val="16"/>
        </w:rPr>
        <w:softHyphen/>
        <w:t>густа (7 сентября) 1917 была очередная победа Казакова с лет</w:t>
      </w:r>
      <w:r w:rsidRPr="002F2FDF">
        <w:rPr>
          <w:rFonts w:ascii="Times New Roman" w:hAnsi="Times New Roman" w:cs="Times New Roman"/>
          <w:color w:val="000000" w:themeColor="text1"/>
          <w:kern w:val="2"/>
          <w:sz w:val="16"/>
          <w:szCs w:val="16"/>
        </w:rPr>
        <w:softHyphen/>
        <w:t>чиками 1БАГ: “поднявшись в воздух и не най</w:t>
      </w:r>
      <w:r w:rsidRPr="002F2FDF">
        <w:rPr>
          <w:rFonts w:ascii="Times New Roman" w:hAnsi="Times New Roman" w:cs="Times New Roman"/>
          <w:color w:val="000000" w:themeColor="text1"/>
          <w:kern w:val="2"/>
          <w:sz w:val="16"/>
          <w:szCs w:val="16"/>
        </w:rPr>
        <w:softHyphen/>
        <w:t>дя неприятельского самолета, я повел собравшихся в воздухе 5 других наших самолетов тылом противника вдоль всего фронта армии. В районе Гусяти</w:t>
      </w:r>
      <w:r w:rsidRPr="002F2FDF">
        <w:rPr>
          <w:rFonts w:ascii="Times New Roman" w:hAnsi="Times New Roman" w:cs="Times New Roman"/>
          <w:color w:val="000000" w:themeColor="text1"/>
          <w:kern w:val="2"/>
          <w:sz w:val="16"/>
          <w:szCs w:val="16"/>
        </w:rPr>
        <w:softHyphen/>
        <w:t>на около 12 час неприятельский само</w:t>
      </w:r>
      <w:r w:rsidRPr="002F2FDF">
        <w:rPr>
          <w:rFonts w:ascii="Times New Roman" w:hAnsi="Times New Roman" w:cs="Times New Roman"/>
          <w:color w:val="000000" w:themeColor="text1"/>
          <w:kern w:val="2"/>
          <w:sz w:val="16"/>
          <w:szCs w:val="16"/>
        </w:rPr>
        <w:softHyphen/>
        <w:t>лет, атакованный мною и ещё несколь</w:t>
      </w:r>
      <w:r w:rsidRPr="002F2FDF">
        <w:rPr>
          <w:rFonts w:ascii="Times New Roman" w:hAnsi="Times New Roman" w:cs="Times New Roman"/>
          <w:color w:val="000000" w:themeColor="text1"/>
          <w:kern w:val="2"/>
          <w:sz w:val="16"/>
          <w:szCs w:val="16"/>
        </w:rPr>
        <w:softHyphen/>
        <w:t>кими летчиками, круто снижаясь, опу</w:t>
      </w:r>
      <w:r w:rsidRPr="002F2FDF">
        <w:rPr>
          <w:rFonts w:ascii="Times New Roman" w:hAnsi="Times New Roman" w:cs="Times New Roman"/>
          <w:color w:val="000000" w:themeColor="text1"/>
          <w:kern w:val="2"/>
          <w:sz w:val="16"/>
          <w:szCs w:val="16"/>
        </w:rPr>
        <w:softHyphen/>
        <w:t>стился у дёр. Тлустеньке”. Участвовав</w:t>
      </w:r>
      <w:r w:rsidRPr="002F2FDF">
        <w:rPr>
          <w:rFonts w:ascii="Times New Roman" w:hAnsi="Times New Roman" w:cs="Times New Roman"/>
          <w:color w:val="000000" w:themeColor="text1"/>
          <w:kern w:val="2"/>
          <w:sz w:val="16"/>
          <w:szCs w:val="16"/>
        </w:rPr>
        <w:softHyphen/>
        <w:t>шие в атаке прапорщики Земблевич и Смирнов свидетельствовали: “...не</w:t>
      </w:r>
      <w:r w:rsidRPr="002F2FDF">
        <w:rPr>
          <w:rFonts w:ascii="Times New Roman" w:hAnsi="Times New Roman" w:cs="Times New Roman"/>
          <w:color w:val="000000" w:themeColor="text1"/>
          <w:kern w:val="2"/>
          <w:sz w:val="16"/>
          <w:szCs w:val="16"/>
        </w:rPr>
        <w:softHyphen/>
        <w:t>приятельский самолет с большим сни</w:t>
      </w:r>
      <w:r w:rsidRPr="002F2FDF">
        <w:rPr>
          <w:rFonts w:ascii="Times New Roman" w:hAnsi="Times New Roman" w:cs="Times New Roman"/>
          <w:color w:val="000000" w:themeColor="text1"/>
          <w:kern w:val="2"/>
          <w:sz w:val="16"/>
          <w:szCs w:val="16"/>
        </w:rPr>
        <w:softHyphen/>
        <w:t>жением и дымом скрылся в своем рас</w:t>
      </w:r>
      <w:r w:rsidRPr="002F2FDF">
        <w:rPr>
          <w:rFonts w:ascii="Times New Roman" w:hAnsi="Times New Roman" w:cs="Times New Roman"/>
          <w:color w:val="000000" w:themeColor="text1"/>
          <w:kern w:val="2"/>
          <w:sz w:val="16"/>
          <w:szCs w:val="16"/>
        </w:rPr>
        <w:softHyphen/>
        <w:t>положении” (3954).</w:t>
      </w:r>
    </w:p>
    <w:p w14:paraId="642C22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F5E50B" w14:textId="77777777" w:rsidR="00016FD0" w:rsidRPr="002F2FDF" w:rsidRDefault="00016FD0" w:rsidP="0083075A">
      <w:pPr>
        <w:spacing w:after="0" w:line="240" w:lineRule="auto"/>
        <w:jc w:val="both"/>
        <w:rPr>
          <w:rFonts w:ascii="Times New Roman" w:hAnsi="Times New Roman" w:cs="Times New Roman"/>
          <w:color w:val="000000" w:themeColor="text1"/>
          <w:sz w:val="16"/>
          <w:szCs w:val="16"/>
        </w:rPr>
      </w:pPr>
      <w:bookmarkStart w:id="266" w:name="_Hlk53221076"/>
      <w:r w:rsidRPr="002F2FDF">
        <w:rPr>
          <w:rFonts w:ascii="Times New Roman" w:hAnsi="Times New Roman" w:cs="Times New Roman"/>
          <w:color w:val="000000" w:themeColor="text1"/>
          <w:sz w:val="16"/>
          <w:szCs w:val="16"/>
        </w:rPr>
        <w:t>25 августа (7 сентября) 1917 после четырёх атак самолёт противника всё же прорвался к аэростату 24-го корпусного воз</w:t>
      </w:r>
      <w:r w:rsidRPr="002F2FDF">
        <w:rPr>
          <w:rFonts w:ascii="Times New Roman" w:hAnsi="Times New Roman" w:cs="Times New Roman"/>
          <w:color w:val="000000" w:themeColor="text1"/>
          <w:sz w:val="16"/>
          <w:szCs w:val="16"/>
        </w:rPr>
        <w:softHyphen/>
        <w:t>духоплавательного отряда и поджёг его. Наблюдате</w:t>
      </w:r>
      <w:r w:rsidRPr="002F2FDF">
        <w:rPr>
          <w:rFonts w:ascii="Times New Roman" w:hAnsi="Times New Roman" w:cs="Times New Roman"/>
          <w:color w:val="000000" w:themeColor="text1"/>
          <w:sz w:val="16"/>
          <w:szCs w:val="16"/>
        </w:rPr>
        <w:softHyphen/>
        <w:t>ли — капитан Костенко, подпоручик Гаевский, бомбардир Прилуцкий, рядовые Кабанов, Михе</w:t>
      </w:r>
      <w:r w:rsidRPr="002F2FDF">
        <w:rPr>
          <w:rFonts w:ascii="Times New Roman" w:hAnsi="Times New Roman" w:cs="Times New Roman"/>
          <w:color w:val="000000" w:themeColor="text1"/>
          <w:sz w:val="16"/>
          <w:szCs w:val="16"/>
        </w:rPr>
        <w:softHyphen/>
        <w:t>ев и Шпицберг — спаслись (20120).</w:t>
      </w:r>
    </w:p>
    <w:p w14:paraId="50608992" w14:textId="77777777" w:rsidR="00016FD0" w:rsidRPr="002F2FDF" w:rsidRDefault="00016FD0" w:rsidP="0083075A">
      <w:pPr>
        <w:spacing w:after="0" w:line="240" w:lineRule="auto"/>
        <w:jc w:val="both"/>
        <w:rPr>
          <w:rFonts w:ascii="Times New Roman" w:hAnsi="Times New Roman" w:cs="Times New Roman"/>
          <w:color w:val="000000" w:themeColor="text1"/>
          <w:sz w:val="16"/>
          <w:szCs w:val="16"/>
        </w:rPr>
      </w:pPr>
    </w:p>
    <w:bookmarkEnd w:id="266"/>
    <w:p w14:paraId="228A972F" w14:textId="77777777" w:rsidR="00016FD0" w:rsidRPr="002F2FDF" w:rsidRDefault="00016FD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25 августа (7 сентября) 1917 В.Л. Нижевский, исполнявший обязанности Авиаканца, разослал в войска телеграммы:</w:t>
      </w:r>
    </w:p>
    <w:p w14:paraId="39D6A431" w14:textId="77777777" w:rsidR="00016FD0" w:rsidRPr="002F2FDF" w:rsidRDefault="00016FD0" w:rsidP="0083075A">
      <w:pPr>
        <w:pStyle w:val="67"/>
        <w:shd w:val="clear" w:color="auto" w:fill="auto"/>
        <w:spacing w:before="0" w:line="240" w:lineRule="auto"/>
        <w:jc w:val="both"/>
        <w:rPr>
          <w:b w:val="0"/>
          <w:bCs w:val="0"/>
          <w:color w:val="000000" w:themeColor="text1"/>
          <w:sz w:val="16"/>
          <w:szCs w:val="16"/>
        </w:rPr>
      </w:pPr>
      <w:r w:rsidRPr="002F2FDF">
        <w:rPr>
          <w:b w:val="0"/>
          <w:bCs w:val="0"/>
          <w:color w:val="000000" w:themeColor="text1"/>
          <w:sz w:val="16"/>
          <w:szCs w:val="16"/>
        </w:rPr>
        <w:t>5 армейский и 19 корпусной Воздухотряды по</w:t>
      </w:r>
      <w:r w:rsidRPr="002F2FDF">
        <w:rPr>
          <w:b w:val="0"/>
          <w:bCs w:val="0"/>
          <w:color w:val="000000" w:themeColor="text1"/>
          <w:sz w:val="16"/>
          <w:szCs w:val="16"/>
        </w:rPr>
        <w:softHyphen/>
        <w:t>лучили почётное наименование «отряды смерти» и все чины отрядов внешние отличия: почётный крас</w:t>
      </w:r>
      <w:r w:rsidRPr="002F2FDF">
        <w:rPr>
          <w:b w:val="0"/>
          <w:bCs w:val="0"/>
          <w:color w:val="000000" w:themeColor="text1"/>
          <w:sz w:val="16"/>
          <w:szCs w:val="16"/>
        </w:rPr>
        <w:softHyphen/>
        <w:t>но-чёрный шеврон на правый рукав, а вместо кокар</w:t>
      </w:r>
      <w:r w:rsidRPr="002F2FDF">
        <w:rPr>
          <w:b w:val="0"/>
          <w:bCs w:val="0"/>
          <w:color w:val="000000" w:themeColor="text1"/>
          <w:sz w:val="16"/>
          <w:szCs w:val="16"/>
        </w:rPr>
        <w:softHyphen/>
        <w:t>ды — символ бессмертия — адамову голову со скрещёнными мечами. Пример упомянутых доблестных Воздухотрядов показывает, что Воздухчасти готовы беспрекословно исполнять свой долг, жертвуя жизнью во благо свободной России (20120).</w:t>
      </w:r>
    </w:p>
    <w:p w14:paraId="7A65B587" w14:textId="77777777" w:rsidR="00016FD0" w:rsidRPr="002F2FDF" w:rsidRDefault="00016FD0" w:rsidP="0083075A">
      <w:pPr>
        <w:pStyle w:val="67"/>
        <w:shd w:val="clear" w:color="auto" w:fill="auto"/>
        <w:spacing w:before="0" w:line="240" w:lineRule="auto"/>
        <w:jc w:val="both"/>
        <w:rPr>
          <w:color w:val="000000" w:themeColor="text1"/>
          <w:sz w:val="16"/>
          <w:szCs w:val="16"/>
        </w:rPr>
      </w:pPr>
    </w:p>
    <w:p w14:paraId="0C331A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25 августа </w:t>
      </w:r>
      <w:r w:rsidR="00783C50" w:rsidRPr="002F2FDF">
        <w:rPr>
          <w:rFonts w:ascii="Times New Roman" w:hAnsi="Times New Roman" w:cs="Times New Roman"/>
          <w:color w:val="000000" w:themeColor="text1"/>
          <w:kern w:val="2"/>
          <w:sz w:val="16"/>
          <w:szCs w:val="16"/>
        </w:rPr>
        <w:t xml:space="preserve">(7 сентября) </w:t>
      </w:r>
      <w:r w:rsidRPr="002F2FDF">
        <w:rPr>
          <w:rFonts w:ascii="Times New Roman" w:hAnsi="Times New Roman" w:cs="Times New Roman"/>
          <w:color w:val="000000" w:themeColor="text1"/>
          <w:kern w:val="2"/>
          <w:sz w:val="16"/>
          <w:szCs w:val="16"/>
        </w:rPr>
        <w:t xml:space="preserve">1917 была третья победа морского летчика Сафонова, когда на перехват двух германских аппаратов взлетели две летающие лодки и два "Ньюпора-17". В результате боевого столкновения один из немецких самолётов был сбит. И в донном случае автора победы установить сложно. Это или прапорщик З.К.Галактионов со стрелком унтер-офицером Киселевым на М-9 или лейтенант М.И. Сафонов на "Ньюпоре-17", а возможно и другие экипажи. Воздушные победы, одержанные 3 и 4 октября, представляются наиболее убедительными: сбит и упал гидросамолёт "Фридрихсхофен", о двухмоторный бомбардировщик, после пулемётной очереди с дальности 20 м стал рассыпаться и загорелся. Две последние победы Сафонов одержал на самолёте "Ньюпор-17". В октябре Михаил Сафонов получает очередной чин старшего лейтенанта. В ноябре 1917 г. Сафонова назначают начальником 2-го истребительного авиаотряда и в течении двух дней (16 и 17 ноября) он одерживает две очередные воздушные победы. После Октябрьской революции Сафонов продолжал служить в авиации флота Балтийского моря. В ряде статей и публикации утверждается, что к концу 1917 г. старший лейтенант Михаил Сафонов довёл счёт сбитых самолётов до 11, что не подтверждается документами. Более-менее реальным представляется, что на счету экипажа Сафонова пять или шесть сбитых и повреждённых самолётов. 19 марта 1918 г. на основании декрета Совета Народных Комиссаров увидел свет приказ по флоту и Морскому ведомству № 102, которым и был уволен со службы старший лейтенант Михаил Иванович Сафонов. Он, как и большинство офицеров, не принял революцию. Сафонов, братья Зайцевские и В. А. Порфененко заключили контракт с финским правительством о службе в гражданской авиации. Однако можно предполагать, что имелась в виду и деятельность, далёкая от гражданской. 11 апреля 1918 года с Комендантского аэродрома в Петрограде заговорщики "угнали" четыре самолёта, взяли курс на Финляндию и приземлились в "столице финской контрреволюции" городе Восо. Сафонов летел с женой. В мое гражданская война в Финляндии закончилось, а в России оно только начиналось. Летом 1918 г, через оккупированную немцами территорию, Сафонов добрался до Новочеркасска, где вступил в Добровольческую армию генерала А. И. Деникина. Подробностей о его службе в этот период не </w:t>
      </w:r>
      <w:r w:rsidRPr="002F2FDF">
        <w:rPr>
          <w:rFonts w:ascii="Times New Roman" w:hAnsi="Times New Roman" w:cs="Times New Roman"/>
          <w:color w:val="000000" w:themeColor="text1"/>
          <w:kern w:val="2"/>
          <w:sz w:val="16"/>
          <w:szCs w:val="16"/>
        </w:rPr>
        <w:lastRenderedPageBreak/>
        <w:t>сохранилось. После поражения белого движения в России Сафонов оказался в Персии, затем в Индии. Из Индии семья перебралось в Китай и Сафонов поступил на службу к правителю Манчжурии Чжан Цзо Линю, врагом которого была партия Гоминьдан. Когда в начале 1924 г. начались военные действия между Чжан Цзо Линем и Гоминьданом, Сафонов участвовал в боях и в мае 1924 г. его самолёт был сбит наземным огнём во время патрулирования над рекой Минг (по другим данным работал на Китайских гражданских авиалиниях и в мае 1924 г. погиб в авиакатастрофе). Награды: орден св. Анны 4-й степени, закрепленный но кортике с надписью "Зо храбрость"; св. Станислава 3-й ст. с мечами и бантом; св. Владимира 4-й ст. с мечами и бантом (11928).</w:t>
      </w:r>
    </w:p>
    <w:p w14:paraId="1F962A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BE5180" w14:textId="2B7B6499" w:rsidR="00733A67" w:rsidRPr="00FB4F67" w:rsidRDefault="00733A67" w:rsidP="0083075A">
      <w:pPr>
        <w:spacing w:after="0" w:line="240" w:lineRule="auto"/>
        <w:jc w:val="both"/>
        <w:rPr>
          <w:rFonts w:ascii="Times New Roman" w:hAnsi="Times New Roman" w:cs="Times New Roman"/>
          <w:color w:val="0070C0"/>
          <w:sz w:val="16"/>
          <w:szCs w:val="16"/>
        </w:rPr>
      </w:pPr>
      <w:bookmarkStart w:id="267" w:name="bookmark913"/>
      <w:r>
        <w:rPr>
          <w:rFonts w:ascii="Times New Roman" w:hAnsi="Times New Roman" w:cs="Times New Roman"/>
          <w:color w:val="0070C0"/>
          <w:sz w:val="16"/>
          <w:szCs w:val="16"/>
        </w:rPr>
        <w:t>25 августа (</w:t>
      </w:r>
      <w:r w:rsidRPr="00FB4F67">
        <w:rPr>
          <w:rFonts w:ascii="Times New Roman" w:hAnsi="Times New Roman" w:cs="Times New Roman"/>
          <w:color w:val="0070C0"/>
          <w:sz w:val="16"/>
          <w:szCs w:val="16"/>
        </w:rPr>
        <w:t>7 сентября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личный состав 1-го армейского воздухоплавательного отряда сбил два вражеских аэроплана. Первый в районе 11.30, пытавшийся обстрелять наш аэростат. «Наблюдатель Губарев донес, что самолет спустился между нашей и неприятельской линиями заграждений близ деревни Галичаны». Второй, в 13.45, также при воздушной атаке нашего аэростата. «Неприятельский самолет опустился близ м. Берестечко, летчики взяты в плен».</w:t>
      </w:r>
    </w:p>
    <w:p w14:paraId="7B49544B" w14:textId="77777777" w:rsidR="00733A67" w:rsidRPr="00FB4F67" w:rsidRDefault="00733A67" w:rsidP="0083075A">
      <w:pPr>
        <w:spacing w:after="0" w:line="240" w:lineRule="auto"/>
        <w:jc w:val="both"/>
        <w:rPr>
          <w:rFonts w:ascii="Times New Roman" w:hAnsi="Times New Roman" w:cs="Times New Roman"/>
          <w:color w:val="0070C0"/>
          <w:sz w:val="16"/>
          <w:szCs w:val="16"/>
        </w:rPr>
      </w:pPr>
      <w:bookmarkStart w:id="268" w:name="bookmark914"/>
      <w:r w:rsidRPr="00FB4F67">
        <w:rPr>
          <w:rFonts w:ascii="Times New Roman" w:hAnsi="Times New Roman" w:cs="Times New Roman"/>
          <w:color w:val="0070C0"/>
          <w:sz w:val="16"/>
          <w:szCs w:val="16"/>
        </w:rPr>
        <w:t>В тот же день удача сопутствовала пулеметным расчетам 20-го армейского воздухоплавательного отряда, уничтожившим вражеский аппарат при его попытке сжечь отрядный аэростат в воздухе. Самолет «упал между нашими и неприятельскими окопами»</w:t>
      </w:r>
      <w:bookmarkEnd w:id="268"/>
      <w:r w:rsidRPr="00FB4F67">
        <w:rPr>
          <w:rFonts w:ascii="Times New Roman" w:hAnsi="Times New Roman" w:cs="Times New Roman"/>
          <w:color w:val="0070C0"/>
          <w:sz w:val="16"/>
          <w:szCs w:val="16"/>
        </w:rPr>
        <w:t xml:space="preserve"> (23405).</w:t>
      </w:r>
      <w:bookmarkEnd w:id="267"/>
    </w:p>
    <w:p w14:paraId="4733B54F" w14:textId="77777777" w:rsidR="00733A67" w:rsidRPr="00FB4F67" w:rsidRDefault="00733A67" w:rsidP="0083075A">
      <w:pPr>
        <w:spacing w:after="0" w:line="240" w:lineRule="auto"/>
        <w:jc w:val="both"/>
        <w:rPr>
          <w:rFonts w:ascii="Times New Roman" w:hAnsi="Times New Roman" w:cs="Times New Roman"/>
          <w:color w:val="0070C0"/>
          <w:sz w:val="16"/>
          <w:szCs w:val="16"/>
        </w:rPr>
      </w:pPr>
    </w:p>
    <w:p w14:paraId="5EF09434" w14:textId="77777777" w:rsidR="00135C75"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r w:rsidR="00135C75" w:rsidRPr="002F2FDF">
        <w:rPr>
          <w:rFonts w:ascii="Times New Roman" w:hAnsi="Times New Roman" w:cs="Times New Roman"/>
          <w:iCs/>
          <w:color w:val="000000" w:themeColor="text1"/>
          <w:kern w:val="2"/>
          <w:sz w:val="16"/>
          <w:szCs w:val="16"/>
        </w:rPr>
        <w:t>:</w:t>
      </w:r>
    </w:p>
    <w:p w14:paraId="4E7268CE" w14:textId="77777777" w:rsidR="00135C75" w:rsidRPr="002F2FDF" w:rsidRDefault="00135C7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2B7F7B" w14:textId="77777777" w:rsidR="00950170" w:rsidRPr="002F2FDF" w:rsidRDefault="0095017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августа (7 сентября) 1917 генерал Л.Г.Корнилов направил на Петроград 3 корпус А.М.Крымова и дикую дивизию и др. Требовал отставки министров-социалистов и ужесточения внутриполитического курса (1348,86). Мятеж был подавлен к 31 августа (13 сентября) 1917 (3398,321).</w:t>
      </w:r>
    </w:p>
    <w:p w14:paraId="1DC64097" w14:textId="77777777" w:rsidR="00950170" w:rsidRPr="002F2FDF" w:rsidRDefault="0095017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A8AF74" w14:textId="7C6A68B0" w:rsidR="00135C75" w:rsidRPr="002F2FDF" w:rsidRDefault="00135C75"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августа (7 сентября) 1917 в Ставке Корниловым заготовлен проект приказа о введении в Петрограде осадного положения. Из частной беседы: "...пора немецких ставленников и шпионов во главе с Лениным повесить, а Совет рабочих и солдатских депутатов разогнать, да разогнать так, чтобы он нигде и не собрался“.</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В полном соответствии с решением Временного правительства Ставка отправила на Питер конный корпус - казачьи части 3-го корпуса и "Дикую" дивизию под командованием генерала Крымова. Параллельно переводились деньги Союзу офицеров на закупку оружия и техники (900 тыс. рублей) (12629).</w:t>
      </w:r>
    </w:p>
    <w:p w14:paraId="375FE3BC" w14:textId="77777777" w:rsidR="00135C75" w:rsidRPr="002F2FDF" w:rsidRDefault="00135C7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B08107"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августа (7 сентября) в 1917 году под предлогом предупреждения возможного выступления большевиков, верховный главнокомандующий русской армией генерал от инфантерии Л.Г.Корнилов посылает в Петроград 3-й кавалерийский корпус генерала А.М.Крымова и знаменитую "Дикую дивизию". Генерал начинает мятеж, названный позже "корниловщиной". В конце августа Керенскому, по некоторым свидетельствам, был предъявлен ультиматум о передаче власти Верховному Главнокомандующему. В ответ Керенский объявил о смещении Корнилова. Последний не подчинился и приказал войскам генерала А.М.Крымова двигаться на Петроград. Так начался корниловский путч. Обстановка в столице была крайне напряженной. На экстренное совместное заседание собрались ВЦИК Советов и Исполком крестьянских Советов. Был образован чрезвычайный орган - Комитет народной борьбы с контрреволюцией. Неожиданно возникло политическое единство ведущих социалистических партий и Временного правительства. Это обстоятельство определило быструю и решительную победу над "корниловщиной". На стороне правительства и революционной демократии был огромный перевес. Особенно поднялся в эти дни авторитет большевиков. Им удалось мобилизовать на борьбу с Корниловым с помощью фабрично-заводских комитетов, районных Советов до 40 тыс. человек, в том числе 25 тысяч - в вооруженных отрядах Красной Гвардии. Железнодорожники практически парализовали пути, ведущие к столице. В войсках путчистов успешно действовали большевистские агитаторы. Мятеж был подавлен быстро и практически бескровно. Генерал Крымов застрелился. Корнилов и другие генералы, принимавшие участие в заговоре, были арестованы (14762).</w:t>
      </w:r>
    </w:p>
    <w:p w14:paraId="3252F2AA"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p>
    <w:p w14:paraId="333426D2" w14:textId="77777777" w:rsidR="0048397F" w:rsidRPr="002F2FDF" w:rsidRDefault="00950170" w:rsidP="0083075A">
      <w:pPr>
        <w:pStyle w:val="ae"/>
        <w:spacing w:before="0" w:after="0"/>
        <w:jc w:val="both"/>
        <w:rPr>
          <w:color w:val="000000" w:themeColor="text1"/>
          <w:kern w:val="2"/>
          <w:sz w:val="16"/>
          <w:szCs w:val="16"/>
        </w:rPr>
      </w:pPr>
      <w:r w:rsidRPr="002F2FDF">
        <w:rPr>
          <w:color w:val="000000" w:themeColor="text1"/>
          <w:kern w:val="2"/>
          <w:sz w:val="16"/>
          <w:szCs w:val="16"/>
        </w:rPr>
        <w:t>25 августа (7 сентября) в 1917 году по приказу Главнокомандующего русской армией генерала Лавра Корнилова в сторону Петрограда из Псковской области и из Финляндии выдвинулись несколько сохранявших боеспособность частей — 3-й кавалерийский корпус генерала Александра Крымова, Кавказская туземная конная дивизия (известная также как «Дикая дивизия») генерала Дмитрия Багратиона и кавалерийский корпус генерала Александра Долгорукова. Формально их передислокация объяснялась необходимостью укрепления обороны Петрограда в свете прорыва германцами фронта под Ригой. На самом деле командиры этих частей получили приказ «занять Петроград, обезоружить части петроградского гарнизона, которые примкнут к движению большевиков, и разогнать Советы». Так начался «корниловский мятеж» — попытка покончить в стране с анархией и установить режим «твердой и сильной власти»</w:t>
      </w:r>
      <w:r w:rsidR="0048397F" w:rsidRPr="002F2FDF">
        <w:rPr>
          <w:color w:val="000000" w:themeColor="text1"/>
          <w:kern w:val="2"/>
          <w:sz w:val="16"/>
          <w:szCs w:val="16"/>
        </w:rPr>
        <w:t>.</w:t>
      </w:r>
    </w:p>
    <w:p w14:paraId="72C20F91" w14:textId="77777777" w:rsidR="0048397F" w:rsidRPr="002F2FDF" w:rsidRDefault="0048397F" w:rsidP="0083075A">
      <w:pPr>
        <w:pStyle w:val="ae"/>
        <w:spacing w:before="0" w:after="0"/>
        <w:jc w:val="both"/>
        <w:rPr>
          <w:color w:val="000000" w:themeColor="text1"/>
          <w:kern w:val="2"/>
          <w:sz w:val="16"/>
          <w:szCs w:val="16"/>
        </w:rPr>
      </w:pPr>
      <w:r w:rsidRPr="002F2FDF">
        <w:rPr>
          <w:color w:val="000000" w:themeColor="text1"/>
          <w:kern w:val="2"/>
          <w:sz w:val="16"/>
          <w:szCs w:val="16"/>
        </w:rPr>
        <w:t>Части, верные Корнилову, тем временем начали концентрироваться вблизи Петрограда уже в конце августа. Это объяснялось необходимостью прикрытия столицы в случае порыва немцев, так как 3 сентября Петроград был объявлен городом, находящимся на военном положении. Сам Корнилов при этом оставался в Ставке в Могилеве. В тех же «Очерках русской смуты» Деникин отмечал, что Главнокомандующим предполагалось «выделить одну бригаду с артиллерией в Ораниенбаум и по прибытии туда потребовать от Кронштадтского гарнизона также разоружения крепости и перехода на материк».</w:t>
      </w:r>
    </w:p>
    <w:p w14:paraId="19DC203E" w14:textId="77777777" w:rsidR="0048397F" w:rsidRPr="002F2FDF" w:rsidRDefault="0048397F" w:rsidP="0083075A">
      <w:pPr>
        <w:pStyle w:val="ae"/>
        <w:spacing w:before="0" w:after="0"/>
        <w:jc w:val="both"/>
        <w:rPr>
          <w:color w:val="000000" w:themeColor="text1"/>
          <w:kern w:val="2"/>
          <w:sz w:val="16"/>
          <w:szCs w:val="16"/>
        </w:rPr>
      </w:pPr>
      <w:r w:rsidRPr="002F2FDF">
        <w:rPr>
          <w:color w:val="000000" w:themeColor="text1"/>
          <w:kern w:val="2"/>
          <w:sz w:val="16"/>
          <w:szCs w:val="16"/>
        </w:rPr>
        <w:t>После занятия Петрограда Корнилов и его соратники планировали ликвидировать Советы и прочие «самочинные организации», принять меры для восстановления дисциплины в войсках, на производстве и на транспорте для продолжения «войны до победы», исключить из Временного правительства «тех министров, которые, по имеющимся сведениям, были явными предателями Родины».</w:t>
      </w:r>
    </w:p>
    <w:p w14:paraId="2CCDBA06" w14:textId="77777777" w:rsidR="0048397F" w:rsidRPr="002F2FDF" w:rsidRDefault="0048397F" w:rsidP="0083075A">
      <w:pPr>
        <w:pStyle w:val="ae"/>
        <w:spacing w:before="0" w:after="0"/>
        <w:jc w:val="both"/>
        <w:rPr>
          <w:color w:val="000000" w:themeColor="text1"/>
          <w:kern w:val="2"/>
          <w:sz w:val="16"/>
          <w:szCs w:val="16"/>
        </w:rPr>
      </w:pPr>
      <w:r w:rsidRPr="002F2FDF">
        <w:rPr>
          <w:color w:val="000000" w:themeColor="text1"/>
          <w:kern w:val="2"/>
          <w:sz w:val="16"/>
          <w:szCs w:val="16"/>
        </w:rPr>
        <w:t>При этом четкой политической программы Корнилов так и не сформулировал и даже его ближайшим соратникам во многом приходилось гадать о его взглядах. Деникин отмечал, что «Лавр Георгиевич не был ни социалистом, ни монархистом, чужд политическим страстям», но был близок «широким слоям либеральной демократии». Сам Корнилов говорил, что не собирался быть единоличным диктатором и предлагал создать правящий «триумвират» вместе с Керенским и эсером Борисом Савинковым вплоть до созыва Учредительного Собрания. В состав же нового правительства для его более широкого представительства Корнилов предполагал включить «первого русского марксиста» Георгия Плеханова и, возможно, даже «бабушку русской революции», одну из лидеров партии эсеров Екатерину Брешко-Брешковскую.</w:t>
      </w:r>
    </w:p>
    <w:p w14:paraId="6B66474D" w14:textId="77777777" w:rsidR="0048397F" w:rsidRPr="002F2FDF" w:rsidRDefault="0048397F" w:rsidP="0083075A">
      <w:pPr>
        <w:pStyle w:val="ae"/>
        <w:spacing w:before="0" w:after="0"/>
        <w:jc w:val="both"/>
        <w:rPr>
          <w:color w:val="000000" w:themeColor="text1"/>
          <w:kern w:val="2"/>
          <w:sz w:val="16"/>
          <w:szCs w:val="16"/>
        </w:rPr>
      </w:pPr>
      <w:r w:rsidRPr="002F2FDF">
        <w:rPr>
          <w:color w:val="000000" w:themeColor="text1"/>
          <w:kern w:val="2"/>
          <w:sz w:val="16"/>
          <w:szCs w:val="16"/>
        </w:rPr>
        <w:t>7 сентября по согласованию с Корниловым, чтобы спровоцировать правительственный кризис, подали в отставку все министры Временного правительства от партии кадетов, а также министр-эсер Виктор Чернов, который, впрочем, сделал это для того, чтобы не участвовать в заговоре.</w:t>
      </w:r>
    </w:p>
    <w:p w14:paraId="4DCA4DFB" w14:textId="77777777" w:rsidR="00950170" w:rsidRPr="002F2FDF" w:rsidRDefault="0048397F" w:rsidP="0083075A">
      <w:pPr>
        <w:pStyle w:val="ae"/>
        <w:spacing w:before="0" w:after="0"/>
        <w:jc w:val="both"/>
        <w:rPr>
          <w:color w:val="000000" w:themeColor="text1"/>
          <w:kern w:val="2"/>
          <w:sz w:val="16"/>
          <w:szCs w:val="16"/>
        </w:rPr>
      </w:pPr>
      <w:r w:rsidRPr="002F2FDF">
        <w:rPr>
          <w:color w:val="000000" w:themeColor="text1"/>
          <w:kern w:val="2"/>
          <w:sz w:val="16"/>
          <w:szCs w:val="16"/>
        </w:rPr>
        <w:t>Посредником в переговорах между Корниловым и Керенским по собственной воле решил стать депутат Государственной Думы Владимир Львов, которого ни тот, ни другой на это не уполномочивали. Тем не менее, Львов говорил с Керенским от имени Корнилова и наоборот, хотя они сами оставались в неведении. В результате Керенский еще больше испугался Корнилова и вечером 8 сентября назвал действия Главнокомандующего мятежом, потребовав диктаторских полномочий для его подавления. Корнилову было приказано сдать пост Главнокомандующего, но тот отказался повиноваться и продолжал продвигать верные ему части на Петроград. Тогда Керенский обратился за помощью к Советам, включая большевиков, освободив из тюрем тех из них, кто ранее был арестован за участие в июльском мятеже. Также были воссозданы разогнанные ранее отряды Красной Гвардии из числа петроградских рабочих, которые, получив оружие, выдвинулись навстречу войскам Корнилова</w:t>
      </w:r>
      <w:r w:rsidR="00950170" w:rsidRPr="002F2FDF">
        <w:rPr>
          <w:color w:val="000000" w:themeColor="text1"/>
          <w:kern w:val="2"/>
          <w:sz w:val="16"/>
          <w:szCs w:val="16"/>
        </w:rPr>
        <w:t xml:space="preserve"> (17045).</w:t>
      </w:r>
    </w:p>
    <w:p w14:paraId="651E7D82" w14:textId="77777777" w:rsidR="00950170" w:rsidRPr="002F2FDF" w:rsidRDefault="0095017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C1D09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F6B63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F7CDB9"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25 августа (7 сентября) 1917 первый полет Порт Виктория PV8 (20341).</w:t>
      </w:r>
    </w:p>
    <w:p w14:paraId="279C279F"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p>
    <w:p w14:paraId="2CA8CA84" w14:textId="2344B365"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25 августа (7 сентября)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Первый полёт Port Victoria P.V.8. Он представлял собой одноместный деревянный одностоечный биплан, оснащённый двигателем ABC Gnat мощностью 35 л.с (хотя по проекту должен был установлен такой же двигатель но мощностью 45 л.с.). Вооружение как и у PV.7 состояло из одного 7.7-мм пулемёта Lewis, установленного над верхним крылом. После нескольких полётов PV.7 отправили на доработку, заключавшуюся в переделке хвостовой части.</w:t>
      </w:r>
    </w:p>
    <w:p w14:paraId="626DF5EE"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Самым большим недостатком самолёта была силовая установка. Сильные вибрации двухцилиндрового двигателя неизбежно привели бы снижению времени эксплуатации планера самолёта. Необходимость увеличения жесткости моторной рамы привела бы к увеличению веса конструкции и снижению лётных качеств машины. Официально P.V.8 был признан слишком хрупким для военной службы и непригодным для применения с травяных аэродромов (22372).</w:t>
      </w:r>
    </w:p>
    <w:p w14:paraId="2F808C58"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p>
    <w:p w14:paraId="05E480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августа (7 сентября) 1917 французские социалисты покинули кабинет Александра Рибо, после того, как им запретили участвовать в международной социалистической конференции в Стокгольме (3186).</w:t>
      </w:r>
    </w:p>
    <w:p w14:paraId="2A179C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C91DB7" w14:textId="0D8F9AD6" w:rsidR="00A41326" w:rsidRPr="002F2FDF" w:rsidRDefault="00A41326" w:rsidP="0083075A">
      <w:pPr>
        <w:pStyle w:val="ae"/>
        <w:spacing w:before="0" w:after="0"/>
        <w:jc w:val="both"/>
        <w:rPr>
          <w:color w:val="000000" w:themeColor="text1"/>
          <w:kern w:val="2"/>
          <w:sz w:val="16"/>
          <w:szCs w:val="16"/>
        </w:rPr>
      </w:pPr>
      <w:r w:rsidRPr="002F2FDF">
        <w:rPr>
          <w:color w:val="000000" w:themeColor="text1"/>
          <w:kern w:val="2"/>
          <w:sz w:val="16"/>
          <w:szCs w:val="16"/>
        </w:rPr>
        <w:t>25 августа (7 сентября) 1917 германская подводная лодка U-88 под командованием Вальтера Швигера, потопившего в 1915 году крупнейший на тот момент пассажирский лайнер «Лузитания», подорвалась на мине у берегов Дании. Весь экипаж, включая командира, погиб (17045).</w:t>
      </w:r>
      <w:r w:rsidR="00E52569">
        <w:rPr>
          <w:color w:val="000000" w:themeColor="text1"/>
          <w:kern w:val="2"/>
          <w:sz w:val="16"/>
          <w:szCs w:val="16"/>
        </w:rPr>
        <w:t xml:space="preserve"> </w:t>
      </w:r>
    </w:p>
    <w:p w14:paraId="4C85F4A2" w14:textId="77777777" w:rsidR="00A41326" w:rsidRPr="002F2FDF" w:rsidRDefault="00A4132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06CE0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021BDB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CC5D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августа (8 сентября) 1917 года МЗ предложил ГАУ проект установки 305-мм гаубицы Обуховского завода на ж. д. транспортер. Предварительные работы по этой установке были прерваны в конце 1917 года в связи с ситуацией в стране (3861).</w:t>
      </w:r>
    </w:p>
    <w:p w14:paraId="181F84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275A54"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26 августа (8 сентября) 1917 Сообщение и. о. старшего фабричного инспектора Харьковской губ. Отделу промышленности Министерства торговли и промышленности о закрытии завода земледельческих машин Т-ва «М. Гелъферих-Саде» в Харькове и увольнении около 2500 рабочих и служащих</w:t>
      </w:r>
    </w:p>
    <w:p w14:paraId="5CC0FE7B"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150</w:t>
      </w:r>
    </w:p>
    <w:p w14:paraId="72EFA4A4"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27, оп. 1, д. 158, л. 1. Подлинник.</w:t>
      </w:r>
    </w:p>
    <w:p w14:paraId="6E8C2E26"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Заводоуправление завода земледельческих машин Т-ва «М. Гель-ферих-Саде» в Харькове вследствие: 1) недостатка сырых материалов, 2) малой производительности рабочих, 3) убыточности вследствие этого завода и 4) нежелания рабочих допустить к исполнению своих обязанностей некоторых мастеровых и служащих, удаленных с работы самими рабочими, решило завод закрыть и 24 сего августа вывесило объявление о расчете [с] 7 сентября с. г. всех рабочих — 2264 чел. и служащих — около 200 чел.</w:t>
      </w:r>
    </w:p>
    <w:p w14:paraId="12D34A57"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Докладывая о вышеизложенном, имею честь присовокупить, что освобождаются от работы нижеследующие квалифицированные рабочие: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57"/>
        <w:gridCol w:w="300"/>
        <w:gridCol w:w="347"/>
      </w:tblGrid>
      <w:tr w:rsidR="002B1C74" w:rsidRPr="002F2FDF" w14:paraId="0184306A" w14:textId="77777777" w:rsidTr="00C0695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D799B0"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Слесаря, инструментальщики и ученики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FC39D"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02D3D"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чел.</w:t>
            </w:r>
          </w:p>
        </w:tc>
      </w:tr>
      <w:tr w:rsidR="002B1C74" w:rsidRPr="002F2FDF" w14:paraId="2886DEE1" w14:textId="77777777" w:rsidTr="00C0695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420F46"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Столяры и рабочие па деревообделочных станках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C50D62F"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5A1A3"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0CE92E3B" w14:textId="77777777" w:rsidTr="00C0695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213075"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Токаря, сверлильщики, фрезеровщики и ученики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CE6B9"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C2877"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0CFF3CDB" w14:textId="77777777" w:rsidTr="00C0695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9F4E78"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Литейщики и ученики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244E9"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A6708"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0AD798C2" w14:textId="77777777" w:rsidTr="00C0695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CE51B6"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Обрубщики литья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18248"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FC725"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0E10079E" w14:textId="77777777" w:rsidTr="00C0695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0BF471"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Маляры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D3BBD"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98D57"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5B838556" w14:textId="77777777" w:rsidTr="00C0695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00F70B"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Кузнецы и молотобойцы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20EC6"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DC175"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bl>
    <w:p w14:paraId="5F9F1A4B"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Вр. и. о. старшего фабричного инспектора Харьковской губ. Вергелес (15667).</w:t>
      </w:r>
    </w:p>
    <w:p w14:paraId="75C09838"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p>
    <w:p w14:paraId="789C888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82EFB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62621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26 августа </w:t>
      </w:r>
      <w:r w:rsidR="00783C50" w:rsidRPr="002F2FDF">
        <w:rPr>
          <w:rFonts w:ascii="Times New Roman" w:hAnsi="Times New Roman" w:cs="Times New Roman"/>
          <w:color w:val="000000" w:themeColor="text1"/>
          <w:kern w:val="2"/>
          <w:sz w:val="16"/>
          <w:szCs w:val="16"/>
        </w:rPr>
        <w:t xml:space="preserve">(8 сентября) </w:t>
      </w:r>
      <w:r w:rsidRPr="002F2FDF">
        <w:rPr>
          <w:rFonts w:ascii="Times New Roman" w:hAnsi="Times New Roman" w:cs="Times New Roman"/>
          <w:color w:val="000000" w:themeColor="text1"/>
          <w:kern w:val="2"/>
          <w:sz w:val="16"/>
          <w:szCs w:val="16"/>
        </w:rPr>
        <w:t>1917 немецкий “Цппелин" произвел налет на города Валк и Волмер, куда после оставления Риги перешли штабы и войсковые части Северного фронта, и соросил там около 80 бомб, не причинив, однако, существенного вреда (Латвийская газета "Дидумо" за август 1917).</w:t>
      </w:r>
    </w:p>
    <w:p w14:paraId="3258E41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9674FA" w14:textId="77777777" w:rsidR="00D568BD" w:rsidRDefault="00D568BD"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2</w:t>
      </w:r>
      <w:r>
        <w:rPr>
          <w:rFonts w:ascii="Times New Roman" w:hAnsi="Times New Roman" w:cs="Times New Roman"/>
          <w:color w:val="0070C0"/>
          <w:sz w:val="16"/>
          <w:szCs w:val="16"/>
        </w:rPr>
        <w:t>6</w:t>
      </w:r>
      <w:r w:rsidRPr="00815ED5">
        <w:rPr>
          <w:rFonts w:ascii="Times New Roman" w:hAnsi="Times New Roman" w:cs="Times New Roman"/>
          <w:color w:val="0070C0"/>
          <w:sz w:val="16"/>
          <w:szCs w:val="16"/>
        </w:rPr>
        <w:t xml:space="preserve"> августа</w:t>
      </w:r>
      <w:r>
        <w:rPr>
          <w:rFonts w:ascii="Times New Roman" w:hAnsi="Times New Roman" w:cs="Times New Roman"/>
          <w:color w:val="0070C0"/>
          <w:sz w:val="16"/>
          <w:szCs w:val="16"/>
        </w:rPr>
        <w:t xml:space="preserve"> (8 сентября) 1917 г</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н</w:t>
      </w:r>
      <w:r w:rsidRPr="00815ED5">
        <w:rPr>
          <w:rFonts w:ascii="Times New Roman" w:hAnsi="Times New Roman" w:cs="Times New Roman"/>
          <w:color w:val="0070C0"/>
          <w:sz w:val="16"/>
          <w:szCs w:val="16"/>
        </w:rPr>
        <w:t xml:space="preserve">емецкий ”цеппелин” произвел налет на города </w:t>
      </w: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алк и Вольмар,</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куда после оставления </w:t>
      </w:r>
      <w:r>
        <w:rPr>
          <w:rFonts w:ascii="Times New Roman" w:hAnsi="Times New Roman" w:cs="Times New Roman"/>
          <w:color w:val="0070C0"/>
          <w:sz w:val="16"/>
          <w:szCs w:val="16"/>
        </w:rPr>
        <w:t>Р</w:t>
      </w:r>
      <w:r w:rsidRPr="00815ED5">
        <w:rPr>
          <w:rFonts w:ascii="Times New Roman" w:hAnsi="Times New Roman" w:cs="Times New Roman"/>
          <w:color w:val="0070C0"/>
          <w:sz w:val="16"/>
          <w:szCs w:val="16"/>
        </w:rPr>
        <w:t>иги перешли штабы и войсковые части Сев.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фронта,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и сбросил там около </w:t>
      </w:r>
      <w:r>
        <w:rPr>
          <w:rFonts w:ascii="Times New Roman" w:hAnsi="Times New Roman" w:cs="Times New Roman"/>
          <w:color w:val="0070C0"/>
          <w:sz w:val="16"/>
          <w:szCs w:val="16"/>
        </w:rPr>
        <w:t>80</w:t>
      </w:r>
      <w:r w:rsidRPr="00815ED5">
        <w:rPr>
          <w:rFonts w:ascii="Times New Roman" w:hAnsi="Times New Roman" w:cs="Times New Roman"/>
          <w:color w:val="0070C0"/>
          <w:sz w:val="16"/>
          <w:szCs w:val="16"/>
        </w:rPr>
        <w:t xml:space="preserve"> бомб,</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не причинив,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однако,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сущест</w:t>
      </w:r>
      <w:r w:rsidRPr="00815ED5">
        <w:rPr>
          <w:rFonts w:ascii="Times New Roman" w:hAnsi="Times New Roman" w:cs="Times New Roman"/>
          <w:color w:val="0070C0"/>
          <w:sz w:val="16"/>
          <w:szCs w:val="16"/>
        </w:rPr>
        <w:softHyphen/>
        <w:t>венного вред</w:t>
      </w:r>
      <w:r>
        <w:rPr>
          <w:rFonts w:ascii="Times New Roman" w:hAnsi="Times New Roman" w:cs="Times New Roman"/>
          <w:color w:val="0070C0"/>
          <w:sz w:val="16"/>
          <w:szCs w:val="16"/>
        </w:rPr>
        <w:t>а</w:t>
      </w:r>
      <w:r w:rsidRPr="00815ED5">
        <w:rPr>
          <w:rFonts w:ascii="Times New Roman" w:hAnsi="Times New Roman" w:cs="Times New Roman"/>
          <w:color w:val="0070C0"/>
          <w:sz w:val="16"/>
          <w:szCs w:val="16"/>
        </w:rPr>
        <w:t>.</w:t>
      </w:r>
    </w:p>
    <w:p w14:paraId="7C12819E" w14:textId="77777777" w:rsidR="00D568BD" w:rsidRDefault="00D568BD"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/Латв,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газета ’’Лндуме” за август 1917/</w:t>
      </w:r>
      <w:r>
        <w:rPr>
          <w:rFonts w:ascii="Times New Roman" w:hAnsi="Times New Roman" w:cs="Times New Roman"/>
          <w:color w:val="0070C0"/>
          <w:sz w:val="16"/>
          <w:szCs w:val="16"/>
        </w:rPr>
        <w:t xml:space="preserve"> (23320).</w:t>
      </w:r>
    </w:p>
    <w:p w14:paraId="6D0392B1" w14:textId="77777777" w:rsidR="00D568BD" w:rsidRDefault="00D568BD" w:rsidP="0083075A">
      <w:pPr>
        <w:spacing w:after="0" w:line="240" w:lineRule="auto"/>
        <w:jc w:val="both"/>
        <w:rPr>
          <w:rFonts w:ascii="Times New Roman" w:hAnsi="Times New Roman" w:cs="Times New Roman"/>
          <w:color w:val="0070C0"/>
          <w:sz w:val="16"/>
          <w:szCs w:val="16"/>
        </w:rPr>
      </w:pPr>
    </w:p>
    <w:p w14:paraId="17323B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августа (8 сентября) 1917 л Гренадерского као прап. В.М.Каминский на Ньюпор-21, вооруженный 6 ракетами Ле-Приера, отогнал немецкий привязной аэростат у Барановичей и сжег его, выпустив 4 ракеты с 50-60 м (3656).</w:t>
      </w:r>
    </w:p>
    <w:p w14:paraId="7D1C3A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08800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bookmarkStart w:id="269" w:name="_Hlk119487567"/>
      <w:r w:rsidRPr="002F2FDF">
        <w:rPr>
          <w:rFonts w:ascii="Times New Roman" w:hAnsi="Times New Roman" w:cs="Times New Roman"/>
          <w:color w:val="000000" w:themeColor="text1"/>
          <w:kern w:val="2"/>
          <w:sz w:val="16"/>
          <w:szCs w:val="16"/>
        </w:rPr>
        <w:t xml:space="preserve">26 августа </w:t>
      </w:r>
      <w:r w:rsidR="00783C50" w:rsidRPr="002F2FDF">
        <w:rPr>
          <w:rFonts w:ascii="Times New Roman" w:hAnsi="Times New Roman" w:cs="Times New Roman"/>
          <w:color w:val="000000" w:themeColor="text1"/>
          <w:kern w:val="2"/>
          <w:sz w:val="16"/>
          <w:szCs w:val="16"/>
        </w:rPr>
        <w:t xml:space="preserve">(8 сентября) </w:t>
      </w:r>
      <w:r w:rsidRPr="002F2FDF">
        <w:rPr>
          <w:rFonts w:ascii="Times New Roman" w:hAnsi="Times New Roman" w:cs="Times New Roman"/>
          <w:color w:val="000000" w:themeColor="text1"/>
          <w:kern w:val="2"/>
          <w:sz w:val="16"/>
          <w:szCs w:val="16"/>
        </w:rPr>
        <w:t>1917 летчик Гренадерского корпусного авиаотряда прапорщик Владимир Михайлович Каминский на самолета “Ньюпор-21",вооруженном шестью ракетами Ле-Приоре, атаковал неприятель</w:t>
      </w:r>
      <w:r w:rsidRPr="002F2FDF">
        <w:rPr>
          <w:rFonts w:ascii="Times New Roman" w:hAnsi="Times New Roman" w:cs="Times New Roman"/>
          <w:color w:val="000000" w:themeColor="text1"/>
          <w:kern w:val="2"/>
          <w:sz w:val="16"/>
          <w:szCs w:val="16"/>
        </w:rPr>
        <w:softHyphen/>
        <w:t>ский привязной аэростат у Барэновичей и сжег, его, выпустив четыре ракеты с дистанции 50-60 м., а сам благополучно вер</w:t>
      </w:r>
      <w:r w:rsidRPr="002F2FDF">
        <w:rPr>
          <w:rFonts w:ascii="Times New Roman" w:hAnsi="Times New Roman" w:cs="Times New Roman"/>
          <w:color w:val="000000" w:themeColor="text1"/>
          <w:kern w:val="2"/>
          <w:sz w:val="16"/>
          <w:szCs w:val="16"/>
        </w:rPr>
        <w:softHyphen/>
        <w:t>нулся на свой.аэродром. (ЦГВИА.ф.2008, д.262, л.38, рапорт-командире отряда от 2 сентября 1917 г.).</w:t>
      </w:r>
    </w:p>
    <w:p w14:paraId="4425216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bookmarkEnd w:id="269"/>
    <w:p w14:paraId="4BE81D0F" w14:textId="77777777" w:rsidR="00D568BD" w:rsidRPr="00D774DD" w:rsidRDefault="00D568BD"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D774DD">
        <w:rPr>
          <w:rFonts w:ascii="Times New Roman" w:hAnsi="Times New Roman" w:cs="Times New Roman"/>
          <w:color w:val="0070C0"/>
          <w:kern w:val="2"/>
          <w:sz w:val="16"/>
          <w:szCs w:val="16"/>
        </w:rPr>
        <w:t>26 августа (8 сентября) 1917 летчик Гренадерского корпусного авиаотряда прапорщик Владимир Михайлович Каминский на самолета “Ньюпор-21", вооруженном шестью ракетами Ле-Приоре, атаковал неприятель</w:t>
      </w:r>
      <w:r w:rsidRPr="00D774DD">
        <w:rPr>
          <w:rFonts w:ascii="Times New Roman" w:hAnsi="Times New Roman" w:cs="Times New Roman"/>
          <w:color w:val="0070C0"/>
          <w:kern w:val="2"/>
          <w:sz w:val="16"/>
          <w:szCs w:val="16"/>
        </w:rPr>
        <w:softHyphen/>
        <w:t>ский привязной аэростат у Барэновичей и сжег, его, выпустив четыре ракеты с дистанции 50-60 м., а сам благополучно вер</w:t>
      </w:r>
      <w:r w:rsidRPr="00D774DD">
        <w:rPr>
          <w:rFonts w:ascii="Times New Roman" w:hAnsi="Times New Roman" w:cs="Times New Roman"/>
          <w:color w:val="0070C0"/>
          <w:kern w:val="2"/>
          <w:sz w:val="16"/>
          <w:szCs w:val="16"/>
        </w:rPr>
        <w:softHyphen/>
        <w:t>нулся на свой аэродром.</w:t>
      </w:r>
    </w:p>
    <w:p w14:paraId="22AFB206" w14:textId="77777777" w:rsidR="00D568BD" w:rsidRPr="00D774DD" w:rsidRDefault="00D568BD"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D774DD">
        <w:rPr>
          <w:rFonts w:ascii="Times New Roman" w:hAnsi="Times New Roman" w:cs="Times New Roman"/>
          <w:color w:val="0070C0"/>
          <w:kern w:val="2"/>
          <w:sz w:val="16"/>
          <w:szCs w:val="16"/>
        </w:rPr>
        <w:t>/ЦГВИА. ф. 2008, д. 262, л. 38; рапорт-командире отряда от 2 сентября 1917 г./ (23320).</w:t>
      </w:r>
    </w:p>
    <w:p w14:paraId="494D6765" w14:textId="77777777" w:rsidR="00D568BD" w:rsidRPr="00D774DD" w:rsidRDefault="00D568BD"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p>
    <w:p w14:paraId="2E87624C" w14:textId="27C4B42E" w:rsidR="00D77D42" w:rsidRPr="00FB4F67" w:rsidRDefault="00D77D42" w:rsidP="0083075A">
      <w:pPr>
        <w:spacing w:after="0" w:line="240" w:lineRule="auto"/>
        <w:jc w:val="both"/>
        <w:rPr>
          <w:rFonts w:ascii="Times New Roman" w:hAnsi="Times New Roman" w:cs="Times New Roman"/>
          <w:color w:val="0070C0"/>
          <w:sz w:val="16"/>
          <w:szCs w:val="16"/>
        </w:rPr>
      </w:pPr>
      <w:r w:rsidRPr="00D774DD">
        <w:rPr>
          <w:rFonts w:ascii="Times New Roman" w:hAnsi="Times New Roman" w:cs="Times New Roman"/>
          <w:color w:val="0070C0"/>
          <w:kern w:val="2"/>
          <w:sz w:val="16"/>
          <w:szCs w:val="16"/>
        </w:rPr>
        <w:t xml:space="preserve">26 августа (8 сентября) </w:t>
      </w:r>
      <w:r w:rsidRPr="00FB4F67">
        <w:rPr>
          <w:rFonts w:ascii="Times New Roman" w:hAnsi="Times New Roman" w:cs="Times New Roman"/>
          <w:color w:val="0070C0"/>
          <w:sz w:val="16"/>
          <w:szCs w:val="16"/>
        </w:rPr>
        <w:t>1917 г. ружейным и пулеметным огнем в районе к северу от оз. Печур сбит неприятельский летательный аппарат. Его обгоревшие остатки наши разведчики обнаружили в результате очередного поиска в ближнем тылу немецких войск (23405).</w:t>
      </w:r>
    </w:p>
    <w:p w14:paraId="1AD2C385" w14:textId="77777777" w:rsidR="00D77D42" w:rsidRPr="00FB4F67" w:rsidRDefault="00D77D42" w:rsidP="0083075A">
      <w:pPr>
        <w:spacing w:after="0" w:line="240" w:lineRule="auto"/>
        <w:jc w:val="both"/>
        <w:rPr>
          <w:rFonts w:ascii="Times New Roman" w:hAnsi="Times New Roman" w:cs="Times New Roman"/>
          <w:color w:val="0070C0"/>
          <w:sz w:val="16"/>
          <w:szCs w:val="16"/>
        </w:rPr>
      </w:pPr>
    </w:p>
    <w:p w14:paraId="22A38ADA" w14:textId="19D23B32" w:rsidR="00D77D42" w:rsidRPr="00FB4F67" w:rsidRDefault="00D77D42" w:rsidP="0083075A">
      <w:pPr>
        <w:spacing w:after="0" w:line="240" w:lineRule="auto"/>
        <w:jc w:val="both"/>
        <w:rPr>
          <w:rFonts w:ascii="Times New Roman" w:hAnsi="Times New Roman" w:cs="Times New Roman"/>
          <w:color w:val="0070C0"/>
          <w:sz w:val="16"/>
          <w:szCs w:val="16"/>
        </w:rPr>
      </w:pPr>
      <w:bookmarkStart w:id="270" w:name="bookmark921"/>
      <w:r w:rsidRPr="00D774DD">
        <w:rPr>
          <w:rFonts w:ascii="Times New Roman" w:hAnsi="Times New Roman" w:cs="Times New Roman"/>
          <w:color w:val="0070C0"/>
          <w:kern w:val="2"/>
          <w:sz w:val="16"/>
          <w:szCs w:val="16"/>
        </w:rPr>
        <w:t xml:space="preserve">26 августа (8 сентября) </w:t>
      </w:r>
      <w:r w:rsidRPr="00FB4F67">
        <w:rPr>
          <w:rFonts w:ascii="Times New Roman" w:hAnsi="Times New Roman" w:cs="Times New Roman"/>
          <w:color w:val="0070C0"/>
          <w:sz w:val="16"/>
          <w:szCs w:val="16"/>
        </w:rPr>
        <w:t>1917 г. противник вновь осуществил групповой налет на Моонзундский архипелаг. Немецкие гидроаэропланы сбросили 40 бомб на позиции батарей береговой обороны м. Церель (защищавшие Ирбенское минное заграждение). В Рижском заливе «группа наших эскадренных миноносцев была дважды атакована 16 неприятельскими аппаратами. Встреченные сосредоточенным огнем миноносцев, аппараты безрезультатно сбросили 40 бомб». При этом наши наблюдательные посты обнаружили разведывательный полет цеппелина к западу о. Эзель (23405).</w:t>
      </w:r>
      <w:bookmarkEnd w:id="270"/>
    </w:p>
    <w:p w14:paraId="7712963F" w14:textId="77777777" w:rsidR="00D77D42" w:rsidRPr="00FB4F67" w:rsidRDefault="00D77D42" w:rsidP="0083075A">
      <w:pPr>
        <w:spacing w:after="0" w:line="240" w:lineRule="auto"/>
        <w:jc w:val="both"/>
        <w:rPr>
          <w:rFonts w:ascii="Times New Roman" w:hAnsi="Times New Roman" w:cs="Times New Roman"/>
          <w:color w:val="0070C0"/>
          <w:sz w:val="16"/>
          <w:szCs w:val="16"/>
        </w:rPr>
      </w:pPr>
    </w:p>
    <w:p w14:paraId="5F7F4C79" w14:textId="3135B1BA" w:rsidR="00135C75"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1A5B8EA" w14:textId="77777777" w:rsidR="00135C75" w:rsidRPr="002F2FDF" w:rsidRDefault="00135C7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B3C59F" w14:textId="77777777" w:rsidR="00135C75" w:rsidRPr="002F2FDF" w:rsidRDefault="00135C75"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августа</w:t>
      </w:r>
      <w:r w:rsidR="0016518E" w:rsidRPr="002F2FDF">
        <w:rPr>
          <w:rFonts w:ascii="Times New Roman" w:hAnsi="Times New Roman" w:cs="Times New Roman"/>
          <w:color w:val="000000" w:themeColor="text1"/>
          <w:kern w:val="2"/>
          <w:sz w:val="16"/>
          <w:szCs w:val="16"/>
        </w:rPr>
        <w:t xml:space="preserve"> (8 сентября) 1917 н</w:t>
      </w:r>
      <w:r w:rsidRPr="002F2FDF">
        <w:rPr>
          <w:rFonts w:ascii="Times New Roman" w:hAnsi="Times New Roman" w:cs="Times New Roman"/>
          <w:color w:val="000000" w:themeColor="text1"/>
          <w:kern w:val="2"/>
          <w:sz w:val="16"/>
          <w:szCs w:val="16"/>
        </w:rPr>
        <w:t>а заседании правительства Керенский объявил Корнилова мятежником. А еще он потребовал диктаторских полномочий для подавления "мятежа". Правительство его не поддержало. Керенский психовал, как гимназистка, хлопал дверью и угрожал "уйти к Советам"</w:t>
      </w:r>
      <w:r w:rsidR="0016518E" w:rsidRPr="002F2FDF">
        <w:rPr>
          <w:rFonts w:ascii="Times New Roman" w:hAnsi="Times New Roman" w:cs="Times New Roman"/>
          <w:color w:val="000000" w:themeColor="text1"/>
          <w:kern w:val="2"/>
          <w:sz w:val="16"/>
          <w:szCs w:val="16"/>
        </w:rPr>
        <w:t xml:space="preserve"> (12629)</w:t>
      </w:r>
      <w:r w:rsidRPr="002F2FDF">
        <w:rPr>
          <w:rFonts w:ascii="Times New Roman" w:hAnsi="Times New Roman" w:cs="Times New Roman"/>
          <w:color w:val="000000" w:themeColor="text1"/>
          <w:kern w:val="2"/>
          <w:sz w:val="16"/>
          <w:szCs w:val="16"/>
        </w:rPr>
        <w:t>.</w:t>
      </w:r>
    </w:p>
    <w:p w14:paraId="34B12BB8" w14:textId="77777777" w:rsidR="00135C75" w:rsidRPr="002F2FDF" w:rsidRDefault="00135C7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E70C36"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августа (8 сентября) в 1917 году в Тобольск прибыли пароходом члены императорской фамилии во главе с Николаем II (14763).</w:t>
      </w:r>
    </w:p>
    <w:p w14:paraId="39CC2957"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p>
    <w:p w14:paraId="685AD18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F245F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6E25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августа (8 сентября) 1917 Цеппелин произвел налет на города Валк и Вольмар, куда после оставления Риги перешли штабы и войсковые части СФ. Сбросил 80 бомб, не причинив существенного вреда (438,370).</w:t>
      </w:r>
    </w:p>
    <w:p w14:paraId="69941E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635D28" w14:textId="77777777" w:rsidR="00C0695C"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8F9B201" w14:textId="77777777" w:rsidR="00C0695C" w:rsidRPr="002F2FDF" w:rsidRDefault="00C0695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2EAE8C"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августа (9 сентября) 1917 Телеграмма профессиональных организаций г. Таганрога Министерству торговли и промышленности с протестом против закрытия важнейших цехов Таганрогского металлургического завода.</w:t>
      </w:r>
    </w:p>
    <w:p w14:paraId="6FEB170F"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128</w:t>
      </w:r>
    </w:p>
    <w:p w14:paraId="28E0915D"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37, оп. 58, 1917 г., д. 883, лл. 322—323. Телегр. бланк..</w:t>
      </w:r>
    </w:p>
    <w:p w14:paraId="4A355A73"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Ссылаемся [на] ваше письмо 64, журнал совещания управляющего Министерством торговли промышленности [от] 20 июля.</w:t>
      </w:r>
      <w:hyperlink r:id="rId494" w:anchor="_ftn2" w:history="1">
        <w:r w:rsidRPr="002F2FDF">
          <w:rPr>
            <w:rFonts w:ascii="Times New Roman" w:hAnsi="Times New Roman" w:cs="Times New Roman"/>
            <w:color w:val="000000" w:themeColor="text1"/>
            <w:kern w:val="2"/>
            <w:sz w:val="16"/>
            <w:szCs w:val="16"/>
          </w:rPr>
          <w:t>[2]</w:t>
        </w:r>
      </w:hyperlink>
      <w:r w:rsidRPr="002F2FDF">
        <w:rPr>
          <w:rFonts w:ascii="Times New Roman" w:hAnsi="Times New Roman" w:cs="Times New Roman"/>
          <w:color w:val="000000" w:themeColor="text1"/>
          <w:kern w:val="2"/>
          <w:sz w:val="16"/>
          <w:szCs w:val="16"/>
        </w:rPr>
        <w:t xml:space="preserve"> Возвратившимся из правления директором завода Осецымским объявлено решение правления Таганрогского металлургического об-ва закрыть некоторые цеха завода: бандажный, мелкосортовый, тонкая и толстая прокатки листов, две домны. Закрытие одного бандажного цеха лишает железные дороги вместе с трамваями ежемесячной поставки шестидесяти тысяч пудов бандажей. Прекращение прокатки сортового, также [и] кровельного железа лишает целый ряд ведомств, в том числе Министерство земледелия, необходимого металла. Одновременно такое сокращение производства вызывает в нашем городе грозную безработицу в связи с массовым увольнением рабочих и служащих завода. Просим немедленного необходимого вмешательства, установления обещанного контроля, а также срочной присылки комиссара Министерства труда. [По] заявлению администрации предстоит [в] ближайшем будущем полная остановка завода.</w:t>
      </w:r>
      <w:hyperlink r:id="rId495" w:anchor="_ftn3" w:history="1">
        <w:r w:rsidRPr="002F2FDF">
          <w:rPr>
            <w:rFonts w:ascii="Times New Roman" w:hAnsi="Times New Roman" w:cs="Times New Roman"/>
            <w:color w:val="000000" w:themeColor="text1"/>
            <w:kern w:val="2"/>
            <w:sz w:val="16"/>
            <w:szCs w:val="16"/>
          </w:rPr>
          <w:t>[3]</w:t>
        </w:r>
      </w:hyperlink>
      <w:r w:rsidRPr="002F2FDF">
        <w:rPr>
          <w:rFonts w:ascii="Times New Roman" w:hAnsi="Times New Roman" w:cs="Times New Roman"/>
          <w:color w:val="000000" w:themeColor="text1"/>
          <w:kern w:val="2"/>
          <w:sz w:val="16"/>
          <w:szCs w:val="16"/>
        </w:rPr>
        <w:t xml:space="preserve"> [На] заводе работает 1400 [рабочих], увольнение которых признаем необходимым в первую очередь в случае, если сокращение производства признается необходимым.</w:t>
      </w:r>
    </w:p>
    <w:p w14:paraId="7BDBDA6C"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Совет старост металлургического завода, правление Союза металлистов.</w:t>
      </w:r>
    </w:p>
    <w:p w14:paraId="3C57499C"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Совет профессиональных союзов Таганрога.</w:t>
      </w:r>
    </w:p>
    <w:p w14:paraId="7BAFC08E"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Одновременно телеграмма была направлена в Министерство труда и в редакцию газ. «Новая жизнь».</w:t>
      </w:r>
    </w:p>
    <w:p w14:paraId="207B1474" w14:textId="77777777" w:rsidR="00C0695C"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96" w:anchor="_ftnref2" w:history="1">
        <w:r w:rsidR="00C0695C" w:rsidRPr="002F2FDF">
          <w:rPr>
            <w:rFonts w:ascii="Times New Roman" w:hAnsi="Times New Roman" w:cs="Times New Roman"/>
            <w:color w:val="000000" w:themeColor="text1"/>
            <w:kern w:val="2"/>
            <w:sz w:val="16"/>
            <w:szCs w:val="16"/>
          </w:rPr>
          <w:t>[2]</w:t>
        </w:r>
      </w:hyperlink>
      <w:r w:rsidR="00C0695C" w:rsidRPr="002F2FDF">
        <w:rPr>
          <w:rFonts w:ascii="Times New Roman" w:hAnsi="Times New Roman" w:cs="Times New Roman"/>
          <w:color w:val="000000" w:themeColor="text1"/>
          <w:kern w:val="2"/>
          <w:sz w:val="16"/>
          <w:szCs w:val="16"/>
        </w:rPr>
        <w:t xml:space="preserve"> В деле не имеется.</w:t>
      </w:r>
    </w:p>
    <w:p w14:paraId="2CCC6C33" w14:textId="77777777" w:rsidR="00C0695C"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497" w:anchor="_ftnref3" w:history="1">
        <w:r w:rsidR="00C0695C" w:rsidRPr="002F2FDF">
          <w:rPr>
            <w:rFonts w:ascii="Times New Roman" w:hAnsi="Times New Roman" w:cs="Times New Roman"/>
            <w:color w:val="000000" w:themeColor="text1"/>
            <w:kern w:val="2"/>
            <w:sz w:val="16"/>
            <w:szCs w:val="16"/>
          </w:rPr>
          <w:t>[3]</w:t>
        </w:r>
      </w:hyperlink>
      <w:r w:rsidR="00C0695C" w:rsidRPr="002F2FDF">
        <w:rPr>
          <w:rFonts w:ascii="Times New Roman" w:hAnsi="Times New Roman" w:cs="Times New Roman"/>
          <w:color w:val="000000" w:themeColor="text1"/>
          <w:kern w:val="2"/>
          <w:sz w:val="16"/>
          <w:szCs w:val="16"/>
        </w:rPr>
        <w:t xml:space="preserve"> См. док 1937 вышел приказ НКОП № 213 (15681).</w:t>
      </w:r>
    </w:p>
    <w:p w14:paraId="395FB400" w14:textId="77777777" w:rsidR="00C0695C" w:rsidRPr="002F2FDF" w:rsidRDefault="00C0695C" w:rsidP="0083075A">
      <w:pPr>
        <w:spacing w:after="0" w:line="240" w:lineRule="auto"/>
        <w:jc w:val="both"/>
        <w:rPr>
          <w:rFonts w:ascii="Times New Roman" w:hAnsi="Times New Roman" w:cs="Times New Roman"/>
          <w:color w:val="000000" w:themeColor="text1"/>
          <w:kern w:val="2"/>
          <w:sz w:val="16"/>
          <w:szCs w:val="16"/>
        </w:rPr>
      </w:pPr>
    </w:p>
    <w:p w14:paraId="278924D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3561D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C8AE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27 августа (9 сентября) 1917 г. приступил к работе образованнный постановлением I Всероссийского авиационного съезда (проходил с 10 июля по 1 сентября 1917 г.) как коллегиальный исполнительный орган на период между авиационными съездами в составе 29 человек Авиа. В его задачу входила координация деятельности авиационных учреждений и частей. Упразднен решением III Всероссийского авиационного съезда от 3 апреля 1919 г.</w:t>
      </w:r>
    </w:p>
    <w:p w14:paraId="12CFC5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Наркомвоена No.4 от 20 декабря 1917 г. была образована Всероссийская коллегия для руководства Управлением военного воздушного флота старой армии. Начальник управления избирался коллегией. Приказом Наркомвоена No.385 от 24 мая 1918 г. Управление переименовывается в Главное управление Рабоче-Крестьянского Красного Воздушного Флота (Главвоздухфлот), возглавляемое советом в составе начальника и двух комиссаров. Подчинялось Всероглавштабу, а по вопросам снабжения - ЦУСу, с сентября 1921 г. - главному начальнику снабжений. Приказом РВСР No.11/4 от 22 сентября 1918 г. подчинено вновь образованному при Штабе РВСР Полевому управлению авиации и воздухоплавания, приказом РВСР No.447/78 от 25 марта 1920 г. передано в непосредственное подчинение РВСР, а в оперативном отношении - Главкому. Приказом РВСР No.447/78 от 25 марта 1920 г. из состава Главвоздухфлота было выделено Управление по снабжению Красного Воздушного Флота, а приказом РВСР No.1875 от 2 сентября 1921 г. оно вместе со Штабом начальника Красного Воздушного Флота было влито в Главвоздухфлот. Приказом РВСР No.406 от 23 февраля 1923 г. при Главвоздухфлоте образован отдел морской авиации.</w:t>
      </w:r>
    </w:p>
    <w:p w14:paraId="47C84E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РВС СССР No.446/96 от 28 марта 1924 г. Главвоздухфлот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6A8ACE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6A190E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5E53FC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571340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189167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4A9C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27 августа </w:t>
      </w:r>
      <w:r w:rsidR="00783C50" w:rsidRPr="002F2FDF">
        <w:rPr>
          <w:rFonts w:ascii="Times New Roman" w:hAnsi="Times New Roman" w:cs="Times New Roman"/>
          <w:color w:val="000000" w:themeColor="text1"/>
          <w:kern w:val="2"/>
          <w:sz w:val="16"/>
          <w:szCs w:val="16"/>
        </w:rPr>
        <w:t xml:space="preserve">(9 сентября) </w:t>
      </w:r>
      <w:r w:rsidRPr="002F2FDF">
        <w:rPr>
          <w:rFonts w:ascii="Times New Roman" w:hAnsi="Times New Roman" w:cs="Times New Roman"/>
          <w:color w:val="000000" w:themeColor="text1"/>
          <w:kern w:val="2"/>
          <w:sz w:val="16"/>
          <w:szCs w:val="16"/>
        </w:rPr>
        <w:t>1917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5274B0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A254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27 августа </w:t>
      </w:r>
      <w:r w:rsidR="00783C50" w:rsidRPr="002F2FDF">
        <w:rPr>
          <w:rFonts w:ascii="Times New Roman" w:hAnsi="Times New Roman" w:cs="Times New Roman"/>
          <w:color w:val="000000" w:themeColor="text1"/>
          <w:kern w:val="2"/>
          <w:sz w:val="16"/>
          <w:szCs w:val="16"/>
        </w:rPr>
        <w:t xml:space="preserve">(9 сентября) </w:t>
      </w:r>
      <w:r w:rsidRPr="002F2FDF">
        <w:rPr>
          <w:rFonts w:ascii="Times New Roman" w:hAnsi="Times New Roman" w:cs="Times New Roman"/>
          <w:color w:val="000000" w:themeColor="text1"/>
          <w:kern w:val="2"/>
          <w:sz w:val="16"/>
          <w:szCs w:val="16"/>
        </w:rPr>
        <w:t>1917 IV-й армией было предпринято еще одно наступление в направлении Окна, но оно не дало нужного эффекта. В этот период удачно проявила себя авиация IV-го дивизиона. Когда пехота пошла в наступление, 11 самолетов атаковали ближайший тыл противника, используя свои пулеметы и сбросив 110 бомб. Взятые пленные показали, что воздушные атаки привели к значительным потерям и оказали сильный деморализующий эффект. Производились и удачные групповые бомбардировки. Так, во время ночного налета на станцию Фокшаны было сброшено около 1000 кг бомб. Поданным разведки, в пределах Румынского фронта находилось до 20 австрийских авиарот. Количественно и качественно противник превосходил русскую авиацию. Особенно интенсивно австрийские летчики работали во время наступления своих войск. 8 районах Фокшаны, Текучио, реки Серет и др. отмечались полеты 5-6 самолетов ежедневно на высотах 3500-4000 м. Дальние разведчики неприятеля достигали района Ясс. 18 и 23 июля противник бомбил объекты в Кемпуриле, а 24 июля во время отхода русских артиллеристов из р-на Чиуслей на бреющем полете расстреливал их позиции. 25 июля 8 самолетов совершили налет на станцию Аджуд, где взорвали русский поезд с боеприпасами. Излюбленной целью неприятельских истребителей были привязные аэростаты: с 10 июня по 18 июля они уничтожили 9 баллонов из 11 потерянных русскими за тот период (11237).</w:t>
      </w:r>
    </w:p>
    <w:p w14:paraId="2B9407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FA94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августа (9 сентября) 1917 в районе Микулевщины артиллеристы сбили немецкий самолет. При осмотре произошел взрыв мины с часовым механизмом, убивший 4 и ранивший 60 чел. (3657).</w:t>
      </w:r>
    </w:p>
    <w:p w14:paraId="7026FD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D42D9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bookmarkStart w:id="271" w:name="_Hlk119487714"/>
      <w:r w:rsidRPr="002F2FDF">
        <w:rPr>
          <w:rFonts w:ascii="Times New Roman" w:hAnsi="Times New Roman" w:cs="Times New Roman"/>
          <w:color w:val="000000" w:themeColor="text1"/>
          <w:kern w:val="2"/>
          <w:sz w:val="16"/>
          <w:szCs w:val="16"/>
        </w:rPr>
        <w:t xml:space="preserve">27 августа </w:t>
      </w:r>
      <w:r w:rsidR="00783C50" w:rsidRPr="002F2FDF">
        <w:rPr>
          <w:rFonts w:ascii="Times New Roman" w:hAnsi="Times New Roman" w:cs="Times New Roman"/>
          <w:color w:val="000000" w:themeColor="text1"/>
          <w:kern w:val="2"/>
          <w:sz w:val="16"/>
          <w:szCs w:val="16"/>
        </w:rPr>
        <w:t xml:space="preserve">(9 сентября) </w:t>
      </w:r>
      <w:r w:rsidRPr="002F2FDF">
        <w:rPr>
          <w:rFonts w:ascii="Times New Roman" w:hAnsi="Times New Roman" w:cs="Times New Roman"/>
          <w:color w:val="000000" w:themeColor="text1"/>
          <w:kern w:val="2"/>
          <w:sz w:val="16"/>
          <w:szCs w:val="16"/>
        </w:rPr>
        <w:t>1917 в районе Микулевщины наша артиллерия сбила немецкий самолет. При осмотре самолета произошел взрыв, кото</w:t>
      </w:r>
      <w:r w:rsidRPr="002F2FDF">
        <w:rPr>
          <w:rFonts w:ascii="Times New Roman" w:hAnsi="Times New Roman" w:cs="Times New Roman"/>
          <w:color w:val="000000" w:themeColor="text1"/>
          <w:kern w:val="2"/>
          <w:sz w:val="16"/>
          <w:szCs w:val="16"/>
        </w:rPr>
        <w:softHyphen/>
        <w:t>рым были ранены 4 члена комиссии и около 60 из окружагших солдат. Комиссия определила, что взрыв произошел от "адской машины", имевшей видчугунной коробки в одну четверть длины</w:t>
      </w:r>
      <w:r w:rsidRPr="002F2FDF">
        <w:rPr>
          <w:rFonts w:ascii="Times New Roman" w:hAnsi="Times New Roman" w:cs="Times New Roman"/>
          <w:color w:val="000000" w:themeColor="text1"/>
          <w:kern w:val="2"/>
          <w:sz w:val="16"/>
          <w:szCs w:val="16"/>
          <w:vertAlign w:val="subscript"/>
        </w:rPr>
        <w:t xml:space="preserve">± </w:t>
      </w:r>
      <w:r w:rsidRPr="002F2FDF">
        <w:rPr>
          <w:rFonts w:ascii="Times New Roman" w:hAnsi="Times New Roman" w:cs="Times New Roman"/>
          <w:color w:val="000000" w:themeColor="text1"/>
          <w:kern w:val="2"/>
          <w:sz w:val="16"/>
          <w:szCs w:val="16"/>
        </w:rPr>
        <w:t>горшка две ширины и горшок высоты. Машина пригодилась г дей</w:t>
      </w:r>
      <w:r w:rsidRPr="002F2FDF">
        <w:rPr>
          <w:rFonts w:ascii="Times New Roman" w:hAnsi="Times New Roman" w:cs="Times New Roman"/>
          <w:color w:val="000000" w:themeColor="text1"/>
          <w:kern w:val="2"/>
          <w:sz w:val="16"/>
          <w:szCs w:val="16"/>
        </w:rPr>
        <w:softHyphen/>
        <w:t>ствие часовым механизмом. (Акт комиссии от 30 августа 1917 г. ЦГВИА, ф. 493, оп. 3, д.142, л.205).</w:t>
      </w:r>
    </w:p>
    <w:p w14:paraId="40E6A7B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bookmarkEnd w:id="271"/>
    <w:p w14:paraId="28AB72C5" w14:textId="77777777" w:rsidR="00D568BD" w:rsidRPr="00D774DD" w:rsidRDefault="00D568BD"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D774DD">
        <w:rPr>
          <w:rFonts w:ascii="Times New Roman" w:hAnsi="Times New Roman" w:cs="Times New Roman"/>
          <w:color w:val="0070C0"/>
          <w:kern w:val="2"/>
          <w:sz w:val="16"/>
          <w:szCs w:val="16"/>
        </w:rPr>
        <w:t>27 августа (9 сентября) 1917 в районе Микулевщины наша артиллерия сбила немецкий самолет. При осмотре самолета произошел взрыв, кото</w:t>
      </w:r>
      <w:r w:rsidRPr="00D774DD">
        <w:rPr>
          <w:rFonts w:ascii="Times New Roman" w:hAnsi="Times New Roman" w:cs="Times New Roman"/>
          <w:color w:val="0070C0"/>
          <w:kern w:val="2"/>
          <w:sz w:val="16"/>
          <w:szCs w:val="16"/>
        </w:rPr>
        <w:softHyphen/>
        <w:t>рым были ранены 4 члена комиссии и около 60 из окружаюших солдат. Комиссия определила, что взрыв произошел от "адской машины", имевшей вид чугунной коробки в одну четверть длины, вершка две ширины и вершок высоты. Машина пригодилась в дей</w:t>
      </w:r>
      <w:r w:rsidRPr="00D774DD">
        <w:rPr>
          <w:rFonts w:ascii="Times New Roman" w:hAnsi="Times New Roman" w:cs="Times New Roman"/>
          <w:color w:val="0070C0"/>
          <w:kern w:val="2"/>
          <w:sz w:val="16"/>
          <w:szCs w:val="16"/>
        </w:rPr>
        <w:softHyphen/>
        <w:t>ствие часовым механизмом.</w:t>
      </w:r>
    </w:p>
    <w:p w14:paraId="545EB65F" w14:textId="77777777" w:rsidR="00D568BD" w:rsidRPr="00D774DD" w:rsidRDefault="00D568BD"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D774DD">
        <w:rPr>
          <w:rFonts w:ascii="Times New Roman" w:hAnsi="Times New Roman" w:cs="Times New Roman"/>
          <w:color w:val="0070C0"/>
          <w:kern w:val="2"/>
          <w:sz w:val="16"/>
          <w:szCs w:val="16"/>
        </w:rPr>
        <w:t>/Акт комиссии от 30 августа 1917 г.; ЦГВИА, ф. 493, оп. 3, д. 142, л. 205/ (23320).</w:t>
      </w:r>
    </w:p>
    <w:p w14:paraId="71AD674D" w14:textId="77777777" w:rsidR="00D568BD" w:rsidRDefault="00D568BD" w:rsidP="0083075A">
      <w:pPr>
        <w:spacing w:after="0" w:line="240" w:lineRule="auto"/>
        <w:jc w:val="both"/>
        <w:rPr>
          <w:rFonts w:ascii="Times New Roman" w:hAnsi="Times New Roman" w:cs="Times New Roman"/>
          <w:color w:val="000000" w:themeColor="text1"/>
          <w:kern w:val="2"/>
          <w:sz w:val="16"/>
          <w:szCs w:val="16"/>
        </w:rPr>
      </w:pPr>
    </w:p>
    <w:p w14:paraId="4C4B7BC8" w14:textId="50874D4D" w:rsidR="00CB2867" w:rsidRPr="002F2FDF" w:rsidRDefault="00CB286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ночь с 27 на 28 августа (</w:t>
      </w:r>
      <w:r>
        <w:rPr>
          <w:rFonts w:ascii="Times New Roman" w:hAnsi="Times New Roman" w:cs="Times New Roman"/>
          <w:color w:val="000000" w:themeColor="text1"/>
          <w:kern w:val="2"/>
          <w:sz w:val="16"/>
          <w:szCs w:val="16"/>
        </w:rPr>
        <w:t>9-</w:t>
      </w:r>
      <w:r w:rsidRPr="002F2FDF">
        <w:rPr>
          <w:rFonts w:ascii="Times New Roman" w:hAnsi="Times New Roman" w:cs="Times New Roman"/>
          <w:color w:val="000000" w:themeColor="text1"/>
          <w:kern w:val="2"/>
          <w:sz w:val="16"/>
          <w:szCs w:val="16"/>
        </w:rPr>
        <w:t>10 сентября) в 1917 году для противодействия корниловскому мятежу образован "Комитет народной борьбы с контрреволюцией при ВЦИК Советов рабочих и солдатских депутатов", вошедший в историю под названием Военно-революционного комитета (14765).</w:t>
      </w:r>
    </w:p>
    <w:p w14:paraId="06D877FC" w14:textId="77777777" w:rsidR="00CB2867" w:rsidRPr="002F2FDF" w:rsidRDefault="00CB2867" w:rsidP="0083075A">
      <w:pPr>
        <w:spacing w:after="0" w:line="240" w:lineRule="auto"/>
        <w:jc w:val="both"/>
        <w:rPr>
          <w:rFonts w:ascii="Times New Roman" w:hAnsi="Times New Roman" w:cs="Times New Roman"/>
          <w:color w:val="000000" w:themeColor="text1"/>
          <w:kern w:val="2"/>
          <w:sz w:val="16"/>
          <w:szCs w:val="16"/>
        </w:rPr>
      </w:pPr>
    </w:p>
    <w:p w14:paraId="14D74931" w14:textId="4AD5A52D" w:rsidR="00D77D42" w:rsidRPr="00FB4F67" w:rsidRDefault="00D77D42" w:rsidP="0083075A">
      <w:pPr>
        <w:spacing w:after="0" w:line="240" w:lineRule="auto"/>
        <w:jc w:val="both"/>
        <w:rPr>
          <w:rFonts w:ascii="Times New Roman" w:hAnsi="Times New Roman" w:cs="Times New Roman"/>
          <w:color w:val="0070C0"/>
          <w:sz w:val="16"/>
          <w:szCs w:val="16"/>
        </w:rPr>
      </w:pPr>
      <w:bookmarkStart w:id="272" w:name="bookmark922"/>
      <w:bookmarkStart w:id="273" w:name="bookmark923"/>
      <w:r w:rsidRPr="00D774DD">
        <w:rPr>
          <w:rFonts w:ascii="Times New Roman" w:hAnsi="Times New Roman" w:cs="Times New Roman"/>
          <w:color w:val="0070C0"/>
          <w:kern w:val="2"/>
          <w:sz w:val="16"/>
          <w:szCs w:val="16"/>
        </w:rPr>
        <w:t xml:space="preserve">27 августа (9 сентября) </w:t>
      </w:r>
      <w:r w:rsidRPr="00FB4F67">
        <w:rPr>
          <w:rFonts w:ascii="Times New Roman" w:hAnsi="Times New Roman" w:cs="Times New Roman"/>
          <w:color w:val="0070C0"/>
          <w:sz w:val="16"/>
          <w:szCs w:val="16"/>
        </w:rPr>
        <w:t>1917 г.  в полосе Румынского фронта произошло четыре воздушных боя, результатом которых было «планирование неприятельских аппаратов на свою линию»</w:t>
      </w:r>
      <w:hyperlink w:anchor="bookmark1958" w:tooltip="Current Document">
        <w:r w:rsidRPr="00FB4F67">
          <w:rPr>
            <w:rStyle w:val="a5"/>
            <w:rFonts w:ascii="Times New Roman" w:hAnsi="Times New Roman" w:cs="Times New Roman"/>
            <w:color w:val="0070C0"/>
            <w:sz w:val="16"/>
            <w:szCs w:val="16"/>
          </w:rPr>
          <w:t>[—]</w:t>
        </w:r>
      </w:hyperlink>
      <w:r w:rsidRPr="00FB4F67">
        <w:rPr>
          <w:rFonts w:ascii="Times New Roman" w:hAnsi="Times New Roman" w:cs="Times New Roman"/>
          <w:color w:val="0070C0"/>
          <w:sz w:val="16"/>
          <w:szCs w:val="16"/>
        </w:rPr>
        <w:t>. В свою очередь авиация противника провела бомбардировку станций Замирье, Радзивилов и Киверцы. Одновременно были отмечены случаи уничтожения запасов фуража с использованием зажигательных бомб (в полосе Молодеченского и Барановического участков).</w:t>
      </w:r>
      <w:bookmarkEnd w:id="272"/>
      <w:bookmarkEnd w:id="273"/>
    </w:p>
    <w:p w14:paraId="221F9D3E" w14:textId="77777777" w:rsidR="00D77D42" w:rsidRPr="00FB4F67" w:rsidRDefault="00D77D4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 Кодзи-Вазергельском направлении во время воздушных столкновений русские летчики заставили один из неприятельских самолетов резко снизиться у Хоржа, другой - сбит французским летчиком лейтенантом Брюльяром и спустился у д. Ойтоз (оба в расположении войск противника) (23405).</w:t>
      </w:r>
    </w:p>
    <w:p w14:paraId="31E00F18" w14:textId="77777777" w:rsidR="00D77D42" w:rsidRPr="00FB4F67" w:rsidRDefault="00D77D42" w:rsidP="0083075A">
      <w:pPr>
        <w:spacing w:after="0" w:line="240" w:lineRule="auto"/>
        <w:jc w:val="both"/>
        <w:rPr>
          <w:rFonts w:ascii="Times New Roman" w:hAnsi="Times New Roman" w:cs="Times New Roman"/>
          <w:color w:val="0070C0"/>
          <w:sz w:val="16"/>
          <w:szCs w:val="16"/>
        </w:rPr>
      </w:pPr>
    </w:p>
    <w:p w14:paraId="7BAFCEB4" w14:textId="703814C8" w:rsidR="00D77D42" w:rsidRPr="00FB4F67" w:rsidRDefault="00D77D42" w:rsidP="0083075A">
      <w:pPr>
        <w:spacing w:after="0" w:line="240" w:lineRule="auto"/>
        <w:jc w:val="both"/>
        <w:rPr>
          <w:rFonts w:ascii="Times New Roman" w:hAnsi="Times New Roman" w:cs="Times New Roman"/>
          <w:color w:val="0070C0"/>
          <w:sz w:val="16"/>
          <w:szCs w:val="16"/>
        </w:rPr>
      </w:pPr>
      <w:r w:rsidRPr="00D774DD">
        <w:rPr>
          <w:rFonts w:ascii="Times New Roman" w:hAnsi="Times New Roman" w:cs="Times New Roman"/>
          <w:color w:val="0070C0"/>
          <w:kern w:val="2"/>
          <w:sz w:val="16"/>
          <w:szCs w:val="16"/>
        </w:rPr>
        <w:t xml:space="preserve">27 августа (9 сентября) </w:t>
      </w:r>
      <w:r w:rsidRPr="00FB4F67">
        <w:rPr>
          <w:rFonts w:ascii="Times New Roman" w:hAnsi="Times New Roman" w:cs="Times New Roman"/>
          <w:color w:val="0070C0"/>
          <w:sz w:val="16"/>
          <w:szCs w:val="16"/>
        </w:rPr>
        <w:t xml:space="preserve">1917 г. в районе ст. Лунинца «аэропланом противника сброшено в расположение госпиталей несколько бомб, коими убит </w:t>
      </w:r>
      <w:bookmarkStart w:id="274" w:name="bookmark916"/>
      <w:bookmarkStart w:id="275" w:name="bookmark917"/>
      <w:r w:rsidRPr="00FB4F67">
        <w:rPr>
          <w:rFonts w:ascii="Times New Roman" w:hAnsi="Times New Roman" w:cs="Times New Roman"/>
          <w:color w:val="0070C0"/>
          <w:sz w:val="16"/>
          <w:szCs w:val="16"/>
        </w:rPr>
        <w:t>один больной солдат и ранено 10 больных, три санитара и один мальчик».</w:t>
      </w:r>
    </w:p>
    <w:p w14:paraId="2299B811" w14:textId="77777777" w:rsidR="00D77D42" w:rsidRPr="00FB4F67" w:rsidRDefault="00D77D4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Ранее на Румынском фронте объектом нападения неприятельской авиации стала ст. Ажуд.</w:t>
      </w:r>
      <w:bookmarkEnd w:id="274"/>
      <w:bookmarkEnd w:id="275"/>
    </w:p>
    <w:p w14:paraId="7E373492" w14:textId="77777777" w:rsidR="00D77D42" w:rsidRPr="00FB4F67" w:rsidRDefault="00D77D42" w:rsidP="0083075A">
      <w:pPr>
        <w:spacing w:after="0" w:line="240" w:lineRule="auto"/>
        <w:jc w:val="both"/>
        <w:rPr>
          <w:rFonts w:ascii="Times New Roman" w:hAnsi="Times New Roman" w:cs="Times New Roman"/>
          <w:color w:val="0070C0"/>
          <w:sz w:val="16"/>
          <w:szCs w:val="16"/>
        </w:rPr>
      </w:pPr>
      <w:bookmarkStart w:id="276" w:name="bookmark918"/>
      <w:bookmarkStart w:id="277" w:name="bookmark919"/>
      <w:r w:rsidRPr="00FB4F67">
        <w:rPr>
          <w:rFonts w:ascii="Times New Roman" w:hAnsi="Times New Roman" w:cs="Times New Roman"/>
          <w:color w:val="0070C0"/>
          <w:sz w:val="16"/>
          <w:szCs w:val="16"/>
        </w:rPr>
        <w:t>В Рижском заливе германская морская авиация (23 гидросамолета и истребителя) совершила ряд налетов на м. Церель, г. Аренсбург и район Куйваста. Атаке неприятельского отряда (5 аппаратов) также подверглись наши дозорные миноносцы (безрезультатно). При попытке бомбардировки воздушной станции Аренсбург вражеская авиагруппа (3 аппарата) была атакована пятью нашими самолетами (3 «Ньюпор-17» и 2 «М-15»). Один из немецких гидросамолетов «Фридрихсхафен FF33L» был уничтожен в воздухе командиром авиаотряда «Г» («Глагол») авиации морских сил Балтийского моря лейтенантом М.И. Сафоновым. Неприятельский аппарат рухнул в 6 км от г. Аренсбург. Другой неприятельский летательный аппарат был сбит огнем нашей артиллерии к юго-востоку от м. Крево (23405).</w:t>
      </w:r>
      <w:bookmarkEnd w:id="276"/>
      <w:bookmarkEnd w:id="277"/>
    </w:p>
    <w:p w14:paraId="26E8C16C" w14:textId="77777777" w:rsidR="00D77D42" w:rsidRPr="00FB4F67" w:rsidRDefault="00D77D42" w:rsidP="0083075A">
      <w:pPr>
        <w:spacing w:after="0" w:line="240" w:lineRule="auto"/>
        <w:jc w:val="both"/>
        <w:rPr>
          <w:rFonts w:ascii="Times New Roman" w:hAnsi="Times New Roman" w:cs="Times New Roman"/>
          <w:color w:val="0070C0"/>
          <w:sz w:val="16"/>
          <w:szCs w:val="16"/>
        </w:rPr>
      </w:pPr>
    </w:p>
    <w:p w14:paraId="4A5113CA" w14:textId="469CC148" w:rsidR="00D77D42" w:rsidRPr="00FB4F67" w:rsidRDefault="00D77D42" w:rsidP="0083075A">
      <w:pPr>
        <w:spacing w:after="0" w:line="240" w:lineRule="auto"/>
        <w:jc w:val="both"/>
        <w:rPr>
          <w:rFonts w:ascii="Times New Roman" w:hAnsi="Times New Roman" w:cs="Times New Roman"/>
          <w:color w:val="0070C0"/>
          <w:sz w:val="16"/>
          <w:szCs w:val="16"/>
        </w:rPr>
      </w:pPr>
      <w:r w:rsidRPr="00D774DD">
        <w:rPr>
          <w:rFonts w:ascii="Times New Roman" w:hAnsi="Times New Roman" w:cs="Times New Roman"/>
          <w:color w:val="0070C0"/>
          <w:kern w:val="2"/>
          <w:sz w:val="16"/>
          <w:szCs w:val="16"/>
        </w:rPr>
        <w:t xml:space="preserve">27 августа (9 сентября) </w:t>
      </w:r>
      <w:r w:rsidRPr="00FB4F67">
        <w:rPr>
          <w:rFonts w:ascii="Times New Roman" w:hAnsi="Times New Roman" w:cs="Times New Roman"/>
          <w:color w:val="0070C0"/>
          <w:sz w:val="16"/>
          <w:szCs w:val="16"/>
        </w:rPr>
        <w:t>1917 г. создание Всероссийского Совета Воздушного Флота. Подробности о его местонахождении, персонале и директивах неизвестны. Считается, что он функционировал позже при большевиках до апреля 1919 года (23525).</w:t>
      </w:r>
    </w:p>
    <w:p w14:paraId="23711822" w14:textId="77777777" w:rsidR="00D77D42" w:rsidRPr="00FB4F67" w:rsidRDefault="00D77D42" w:rsidP="0083075A">
      <w:pPr>
        <w:spacing w:after="0" w:line="240" w:lineRule="auto"/>
        <w:jc w:val="both"/>
        <w:rPr>
          <w:rFonts w:ascii="Times New Roman" w:hAnsi="Times New Roman" w:cs="Times New Roman"/>
          <w:color w:val="0070C0"/>
          <w:sz w:val="16"/>
          <w:szCs w:val="16"/>
        </w:rPr>
      </w:pPr>
    </w:p>
    <w:p w14:paraId="6BBDF75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1C6C4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620B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27 августа (9 сентября) 1917 А.Ф.Керенский, после разговора с думцем В.Н.Львовым, обвинившем Л.Корнилова и Б.Савинкова в намерении узурпировать власть, отстранил Л.Г.Корнилова от обязанностей главкома и объявил изменником. Обратился за поддержкой к Совету и получил отряды Красной гвардии (1348,86). Назначил Б.Савинкова военным губернатором Петрограда и исполняющим обязанности командующего войсками Петроградского ВО, поручая ему борьбу с мятежом. Министры кадеты в знак солидарности с Корниловым подали в отставку (3186).</w:t>
      </w:r>
    </w:p>
    <w:p w14:paraId="597277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5493DC" w14:textId="77777777" w:rsidR="0016518E" w:rsidRPr="002F2FDF" w:rsidRDefault="0016518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августа (9 сентября) 1917 Керенский распускает кабинет, объявляет себя диктатором и Верховным Главнокомандующим, требует, чтобы Корнилов прекратил движение кав.корпуса на Питер и сдался властям (то есть ему). Корнилов отказался выполнять этот приказ. То ли они в Москве друг друга не поняли, то ли Керенский играл Корнилова втемную, то ли Корнилов решил переиграть Керенского (12629).</w:t>
      </w:r>
    </w:p>
    <w:p w14:paraId="22B923B5" w14:textId="77777777" w:rsidR="0016518E" w:rsidRPr="002F2FDF" w:rsidRDefault="0016518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9BA6DA"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августа (9 сентября) в 1917 году оставка министров-кадетов. А.Ф.Керенский отстраняет от обязанностей главнокомандующего и обращается за поддержкой к Советам: рабочие, железнодорожники и матросы встают на защиту столицы останавливают продвижение частей А.М.Крымова. Генерал Корнилов, смещенный с поста главнокомандующего русской армией, посылает на Петроград кавалерию. Наступление останавливается, а сам Корнилов позже будет арестован (14764).</w:t>
      </w:r>
    </w:p>
    <w:p w14:paraId="755CD9B3"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p>
    <w:p w14:paraId="0618A66F"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августа (9 сентября) в 1917 году генерал Корнилов, смещенный с поста главнокомандующего русской армией, посылает на Петроград кавалерию. Наступление останавливается (позже Корнилов будет арестован) (14764).</w:t>
      </w:r>
    </w:p>
    <w:p w14:paraId="7AB5B448"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p>
    <w:p w14:paraId="27D224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августа (9 сентября) 1917 Министры кадеты в знак солидарности с Корниловым подали в отставку (1348,86).</w:t>
      </w:r>
    </w:p>
    <w:p w14:paraId="43D681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4342F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A6C6D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9F45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августа - 3 сентября (9 сентября - 16 сентября) 1917 были серьезные волнения в британском учебном лагере в Северо-Восточной Франции (3907,910</w:t>
      </w:r>
    </w:p>
    <w:p w14:paraId="053E67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28013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7C29C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F5FFBD" w14:textId="69112463" w:rsidR="00256D55" w:rsidRPr="00FB4F67" w:rsidRDefault="00256D55"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28 августа (</w:t>
      </w:r>
      <w:r w:rsidRPr="00FB4F67">
        <w:rPr>
          <w:rFonts w:ascii="Times New Roman" w:hAnsi="Times New Roman" w:cs="Times New Roman"/>
          <w:color w:val="0070C0"/>
          <w:sz w:val="16"/>
          <w:szCs w:val="16"/>
        </w:rPr>
        <w:t>10 сентября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из-за ряда недоразумений с Керенским русский генерал Корнилов с 3-м кавалерийским корпусом генерала Крымова двинулся на Петроград в безуспешной попытке захватить власть и восстановить порядок и дисциплину в армии. 11-го Керенский объявил Корнилова изменником и 14-го арестовал его. Затем Крымов с позором покончил жизнь самоубийством. Керенский занял пост диктатора, а Второе коалиционное правительство ушло в отставку (23525).</w:t>
      </w:r>
    </w:p>
    <w:p w14:paraId="49609E32" w14:textId="77777777" w:rsidR="00256D55" w:rsidRPr="00FB4F67" w:rsidRDefault="00256D55" w:rsidP="0083075A">
      <w:pPr>
        <w:spacing w:after="0" w:line="240" w:lineRule="auto"/>
        <w:jc w:val="both"/>
        <w:rPr>
          <w:rFonts w:ascii="Times New Roman" w:hAnsi="Times New Roman" w:cs="Times New Roman"/>
          <w:color w:val="0070C0"/>
          <w:sz w:val="16"/>
          <w:szCs w:val="16"/>
        </w:rPr>
      </w:pPr>
    </w:p>
    <w:p w14:paraId="1AA1C845" w14:textId="376FA0B1" w:rsidR="00256D55" w:rsidRPr="00FB4F67" w:rsidRDefault="00256D55"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28 августа (</w:t>
      </w:r>
      <w:r w:rsidRPr="00FB4F67">
        <w:rPr>
          <w:rFonts w:ascii="Times New Roman" w:hAnsi="Times New Roman" w:cs="Times New Roman"/>
          <w:color w:val="0070C0"/>
          <w:sz w:val="16"/>
          <w:szCs w:val="16"/>
        </w:rPr>
        <w:t>10 сентября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на Румынском фронте русские и румынские войска начали неудачное контрнаступление у Чиресоая, которое длилось всего два дня и понесло очень большие потери. Русскую 4-ю армию поддерживали одиннадцать самолетов, которые сбросили 110 бомб на пехоту противника, нанеся тяжелые потери. В это время на румынском фронте находилось около двадцати австро-германских авиационных частей со 120-150 самолетами. В их число входили двухместные типы Albatros, Aviatik, Halberstadt и Hansa-Brandenburg, а также типы Albatros, Fokker E и LVG (23525).</w:t>
      </w:r>
    </w:p>
    <w:p w14:paraId="4B8CCC51" w14:textId="77777777" w:rsidR="00256D55" w:rsidRPr="00FB4F67" w:rsidRDefault="00256D55" w:rsidP="0083075A">
      <w:pPr>
        <w:spacing w:after="0" w:line="240" w:lineRule="auto"/>
        <w:jc w:val="both"/>
        <w:rPr>
          <w:rFonts w:ascii="Times New Roman" w:hAnsi="Times New Roman" w:cs="Times New Roman"/>
          <w:color w:val="0070C0"/>
          <w:sz w:val="16"/>
          <w:szCs w:val="16"/>
        </w:rPr>
      </w:pPr>
    </w:p>
    <w:p w14:paraId="738723AD" w14:textId="21648B3E" w:rsidR="00256D55" w:rsidRPr="00FB4F67" w:rsidRDefault="00256D55" w:rsidP="0083075A">
      <w:pPr>
        <w:spacing w:after="0" w:line="240" w:lineRule="auto"/>
        <w:jc w:val="both"/>
        <w:rPr>
          <w:rFonts w:ascii="Times New Roman" w:hAnsi="Times New Roman" w:cs="Times New Roman"/>
          <w:color w:val="0070C0"/>
          <w:sz w:val="16"/>
          <w:szCs w:val="16"/>
        </w:rPr>
      </w:pPr>
      <w:bookmarkStart w:id="278" w:name="bookmark924"/>
      <w:r>
        <w:rPr>
          <w:rFonts w:ascii="Times New Roman" w:hAnsi="Times New Roman" w:cs="Times New Roman"/>
          <w:color w:val="0070C0"/>
          <w:sz w:val="16"/>
          <w:szCs w:val="16"/>
        </w:rPr>
        <w:t>28 августа (</w:t>
      </w:r>
      <w:r w:rsidRPr="00FB4F67">
        <w:rPr>
          <w:rFonts w:ascii="Times New Roman" w:hAnsi="Times New Roman" w:cs="Times New Roman"/>
          <w:color w:val="0070C0"/>
          <w:sz w:val="16"/>
          <w:szCs w:val="16"/>
        </w:rPr>
        <w:t>10 сентября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при попытке атаковать наш аэростат «огнем нашей артиллерии, пулеметов и стрелков [11-го армейского воздухоплавательного] отряда был сбит [вражеский аппарат]. Самолет противника упал в лесу деревни Микулевщина. Аппарат и два летчика разбились. Аэростат не поврежден» (23405).</w:t>
      </w:r>
      <w:bookmarkEnd w:id="278"/>
    </w:p>
    <w:p w14:paraId="2270A567" w14:textId="77777777" w:rsidR="00256D55" w:rsidRPr="00FB4F67" w:rsidRDefault="00256D55" w:rsidP="0083075A">
      <w:pPr>
        <w:spacing w:after="0" w:line="240" w:lineRule="auto"/>
        <w:jc w:val="both"/>
        <w:rPr>
          <w:rFonts w:ascii="Times New Roman" w:hAnsi="Times New Roman" w:cs="Times New Roman"/>
          <w:color w:val="0070C0"/>
          <w:sz w:val="16"/>
          <w:szCs w:val="16"/>
        </w:rPr>
      </w:pPr>
    </w:p>
    <w:p w14:paraId="4FE9841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августа (10 сентября) 1917 во Франции подавлен мятеж русских солдат, отказавшихся идти в наступление на Западном фронте (4962).</w:t>
      </w:r>
    </w:p>
    <w:p w14:paraId="4C7DAA1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F2391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68555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333B16" w14:textId="77777777" w:rsidR="0048397F" w:rsidRPr="002F2FDF" w:rsidRDefault="0048397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августа (10 сентября) 1917 «корниловским» войскам под командованием генерала Александра Крымова удалось занять Лугу и разоружить местный гарнизон. «Дикая дивизия» продвинулась еще ближе к Петрограду, в район Павловска, но ее дальнейшее наступление остановили войска петроградского гарнизона, подчинявшиеся Керенскому. Около станции «Антропшино» (неподалеку от Павловска) они вступили в перестрелку с «Дикой дивизией». Одновременно в Ставке верными Керенскому офицерами были арестованы Корнилов и Деникин, а также другие генералы (17045).</w:t>
      </w:r>
    </w:p>
    <w:p w14:paraId="5C6E91E8" w14:textId="77777777" w:rsidR="0048397F" w:rsidRPr="002F2FDF" w:rsidRDefault="0048397F" w:rsidP="0083075A">
      <w:pPr>
        <w:spacing w:after="0" w:line="240" w:lineRule="auto"/>
        <w:jc w:val="both"/>
        <w:rPr>
          <w:rFonts w:ascii="Times New Roman" w:hAnsi="Times New Roman" w:cs="Times New Roman"/>
          <w:color w:val="000000" w:themeColor="text1"/>
          <w:kern w:val="2"/>
          <w:sz w:val="16"/>
          <w:szCs w:val="16"/>
        </w:rPr>
      </w:pPr>
    </w:p>
    <w:p w14:paraId="18E06619" w14:textId="77777777" w:rsidR="0016518E" w:rsidRPr="002F2FDF" w:rsidRDefault="0016518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августа (10 сентября) 1917 Керенский посылает Корнилову телеграмму с требованием сдать дела новому главнокомандующему. Кроме того, что телеграмма пришла без номера и реквизитов (на бланке была лишь подпись Керенского), нет самих кандидатов на пост - генералы Луковский и Клембовский отказались от этой должности, обозвав при этом Керенского провокатором. А между тем ребята Крымова заняли Лугу, разоружив тамошний гарнизон. Туземцы из "Дикой" дивизии вступили в перестрелку с солдатами питерского гарнизона. Арестованы выразившие солидарность Корниловскому выступлению главнокомандующий Юго-Западным фронтом генерал А. И. Деникин, генерал С. Л. Марков, генерал И. Г. Эрдели и ряд других. Матросы крейсера «Аврора», призванные охранять Зимний дворец (куда после июльских дней переселилось правительство), пришли к Троцкому в «Кресты» посоветоваться: стоит ли охранять правительство — не пора ли его арестовать? ЗК Троцкий пожал плечами: рановато (12629).</w:t>
      </w:r>
    </w:p>
    <w:p w14:paraId="73B98760" w14:textId="77777777" w:rsidR="0016518E" w:rsidRPr="002F2FDF" w:rsidRDefault="0016518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8B53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августа (10 сентября) 1917 Л.Г.Корнилов обратился к населению по радио: "Временное правительство под давлением большевистского большинства Советов действует в полном согласии с планами германского генштаба." Продвижение войск к столице продолжилось (3998,261).</w:t>
      </w:r>
    </w:p>
    <w:p w14:paraId="0F1CB4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3CD8B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августа (10 сентября) 1917 по приказу Временного правительства арестован мятежный генерал Л.Корнилов (4962).</w:t>
      </w:r>
    </w:p>
    <w:p w14:paraId="4852C4E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591615"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августа (10 сентября) в 1917 году по приказу Временного правительства арестован мятежный генерал Л.Корнилов (14765).</w:t>
      </w:r>
    </w:p>
    <w:p w14:paraId="36B0EBA3"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p>
    <w:p w14:paraId="269D5EB0" w14:textId="77777777" w:rsidR="001A1F94"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E464BD8" w14:textId="77777777" w:rsidR="001A1F94" w:rsidRPr="002F2FDF" w:rsidRDefault="001A1F9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D8895D"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августа (10 сентября)</w:t>
      </w:r>
      <w:r w:rsidRPr="002F2FDF">
        <w:rPr>
          <w:rFonts w:ascii="Times New Roman" w:hAnsi="Times New Roman" w:cs="Times New Roman"/>
          <w:bCs/>
          <w:color w:val="000000" w:themeColor="text1"/>
          <w:kern w:val="2"/>
          <w:sz w:val="16"/>
          <w:szCs w:val="16"/>
        </w:rPr>
        <w:t xml:space="preserve"> 1917 г.</w:t>
      </w:r>
      <w:r w:rsidRPr="002F2FDF">
        <w:rPr>
          <w:rFonts w:ascii="Times New Roman" w:hAnsi="Times New Roman" w:cs="Times New Roman"/>
          <w:color w:val="000000" w:themeColor="text1"/>
          <w:kern w:val="2"/>
          <w:sz w:val="16"/>
          <w:szCs w:val="16"/>
        </w:rPr>
        <w:t xml:space="preserve"> – в воздушном бою с немецким истребителем погиб французский ас 1й Мировой войны Жан Маттон, имевшим к этом времени 9 побед. Этот лётчик был одним из первых асов в мировой авиации.</w:t>
      </w:r>
    </w:p>
    <w:p w14:paraId="331AA434" w14:textId="77777777" w:rsidR="001A1F94" w:rsidRPr="002F2FDF" w:rsidRDefault="001A1F94" w:rsidP="0083075A">
      <w:pPr>
        <w:spacing w:after="0" w:line="240" w:lineRule="auto"/>
        <w:jc w:val="both"/>
        <w:rPr>
          <w:rFonts w:ascii="Times New Roman" w:hAnsi="Times New Roman" w:cs="Times New Roman"/>
          <w:bCs/>
          <w:color w:val="000000" w:themeColor="text1"/>
          <w:kern w:val="2"/>
          <w:sz w:val="16"/>
          <w:szCs w:val="16"/>
        </w:rPr>
      </w:pPr>
      <w:r w:rsidRPr="002F2FDF">
        <w:rPr>
          <w:rFonts w:ascii="Times New Roman" w:hAnsi="Times New Roman" w:cs="Times New Roman"/>
          <w:bCs/>
          <w:color w:val="000000" w:themeColor="text1"/>
          <w:kern w:val="2"/>
          <w:sz w:val="16"/>
          <w:szCs w:val="16"/>
        </w:rPr>
        <w:t xml:space="preserve">Однако основные принципы воздушного боя: </w:t>
      </w:r>
    </w:p>
    <w:p w14:paraId="201A3C8E" w14:textId="77777777" w:rsidR="001A1F94" w:rsidRPr="002F2FDF" w:rsidRDefault="001A1F94" w:rsidP="0083075A">
      <w:pPr>
        <w:spacing w:after="0" w:line="240" w:lineRule="auto"/>
        <w:jc w:val="both"/>
        <w:rPr>
          <w:rFonts w:ascii="Times New Roman" w:hAnsi="Times New Roman" w:cs="Times New Roman"/>
          <w:bCs/>
          <w:color w:val="000000" w:themeColor="text1"/>
          <w:kern w:val="2"/>
          <w:sz w:val="16"/>
          <w:szCs w:val="16"/>
        </w:rPr>
      </w:pPr>
      <w:r w:rsidRPr="002F2FDF">
        <w:rPr>
          <w:rFonts w:ascii="Times New Roman" w:hAnsi="Times New Roman" w:cs="Times New Roman"/>
          <w:bCs/>
          <w:color w:val="000000" w:themeColor="text1"/>
          <w:kern w:val="2"/>
          <w:sz w:val="16"/>
          <w:szCs w:val="16"/>
        </w:rPr>
        <w:t xml:space="preserve">- надо как можно раньше увидеть противника, обнаруживший первым получает инициативу и поэтому – половину успеха; </w:t>
      </w:r>
    </w:p>
    <w:p w14:paraId="2991C903" w14:textId="77777777" w:rsidR="001A1F94" w:rsidRPr="002F2FDF" w:rsidRDefault="001A1F94" w:rsidP="0083075A">
      <w:pPr>
        <w:spacing w:after="0" w:line="240" w:lineRule="auto"/>
        <w:jc w:val="both"/>
        <w:rPr>
          <w:rFonts w:ascii="Times New Roman" w:hAnsi="Times New Roman" w:cs="Times New Roman"/>
          <w:bCs/>
          <w:color w:val="000000" w:themeColor="text1"/>
          <w:kern w:val="2"/>
          <w:sz w:val="16"/>
          <w:szCs w:val="16"/>
        </w:rPr>
      </w:pPr>
      <w:r w:rsidRPr="002F2FDF">
        <w:rPr>
          <w:rFonts w:ascii="Times New Roman" w:hAnsi="Times New Roman" w:cs="Times New Roman"/>
          <w:bCs/>
          <w:color w:val="000000" w:themeColor="text1"/>
          <w:kern w:val="2"/>
          <w:sz w:val="16"/>
          <w:szCs w:val="16"/>
        </w:rPr>
        <w:t xml:space="preserve">- сближаться незаметно, со стороны, которую противник считает наименее угрожаемой; </w:t>
      </w:r>
    </w:p>
    <w:p w14:paraId="58D93F1F" w14:textId="77777777" w:rsidR="001A1F94" w:rsidRPr="002F2FDF" w:rsidRDefault="001A1F94" w:rsidP="0083075A">
      <w:pPr>
        <w:spacing w:after="0" w:line="240" w:lineRule="auto"/>
        <w:jc w:val="both"/>
        <w:rPr>
          <w:rFonts w:ascii="Times New Roman" w:hAnsi="Times New Roman" w:cs="Times New Roman"/>
          <w:bCs/>
          <w:color w:val="000000" w:themeColor="text1"/>
          <w:kern w:val="2"/>
          <w:sz w:val="16"/>
          <w:szCs w:val="16"/>
        </w:rPr>
      </w:pPr>
      <w:r w:rsidRPr="002F2FDF">
        <w:rPr>
          <w:rFonts w:ascii="Times New Roman" w:hAnsi="Times New Roman" w:cs="Times New Roman"/>
          <w:bCs/>
          <w:color w:val="000000" w:themeColor="text1"/>
          <w:kern w:val="2"/>
          <w:sz w:val="16"/>
          <w:szCs w:val="16"/>
        </w:rPr>
        <w:t xml:space="preserve">- перед атакой быть выше противника – это даёт быстроту сближения, внезапность и моральное преимущество; </w:t>
      </w:r>
    </w:p>
    <w:p w14:paraId="21576999" w14:textId="77777777" w:rsidR="001A1F94" w:rsidRPr="002F2FDF" w:rsidRDefault="001A1F94" w:rsidP="0083075A">
      <w:pPr>
        <w:spacing w:after="0" w:line="240" w:lineRule="auto"/>
        <w:jc w:val="both"/>
        <w:rPr>
          <w:rFonts w:ascii="Times New Roman" w:hAnsi="Times New Roman" w:cs="Times New Roman"/>
          <w:bCs/>
          <w:color w:val="000000" w:themeColor="text1"/>
          <w:kern w:val="2"/>
          <w:sz w:val="16"/>
          <w:szCs w:val="16"/>
        </w:rPr>
      </w:pPr>
      <w:r w:rsidRPr="002F2FDF">
        <w:rPr>
          <w:rFonts w:ascii="Times New Roman" w:hAnsi="Times New Roman" w:cs="Times New Roman"/>
          <w:bCs/>
          <w:color w:val="000000" w:themeColor="text1"/>
          <w:kern w:val="2"/>
          <w:sz w:val="16"/>
          <w:szCs w:val="16"/>
        </w:rPr>
        <w:t xml:space="preserve">- заканчивая сближение, стремиться стать в мертвом конусе противника; </w:t>
      </w:r>
    </w:p>
    <w:p w14:paraId="317AC430" w14:textId="77777777" w:rsidR="001A1F94" w:rsidRPr="002F2FDF" w:rsidRDefault="001A1F94" w:rsidP="0083075A">
      <w:pPr>
        <w:spacing w:after="0" w:line="240" w:lineRule="auto"/>
        <w:jc w:val="both"/>
        <w:rPr>
          <w:rFonts w:ascii="Times New Roman" w:hAnsi="Times New Roman" w:cs="Times New Roman"/>
          <w:bCs/>
          <w:color w:val="000000" w:themeColor="text1"/>
          <w:kern w:val="2"/>
          <w:sz w:val="16"/>
          <w:szCs w:val="16"/>
        </w:rPr>
      </w:pPr>
      <w:r w:rsidRPr="002F2FDF">
        <w:rPr>
          <w:rFonts w:ascii="Times New Roman" w:hAnsi="Times New Roman" w:cs="Times New Roman"/>
          <w:bCs/>
          <w:color w:val="000000" w:themeColor="text1"/>
          <w:kern w:val="2"/>
          <w:sz w:val="16"/>
          <w:szCs w:val="16"/>
        </w:rPr>
        <w:t xml:space="preserve">- подойти к нему в упор и только тогда открывать огонь наверняка; </w:t>
      </w:r>
    </w:p>
    <w:p w14:paraId="4DC5225B" w14:textId="77777777" w:rsidR="001A1F94" w:rsidRPr="002F2FDF" w:rsidRDefault="001A1F94" w:rsidP="0083075A">
      <w:pPr>
        <w:spacing w:after="0" w:line="240" w:lineRule="auto"/>
        <w:jc w:val="both"/>
        <w:rPr>
          <w:rFonts w:ascii="Times New Roman" w:hAnsi="Times New Roman" w:cs="Times New Roman"/>
          <w:bCs/>
          <w:color w:val="000000" w:themeColor="text1"/>
          <w:kern w:val="2"/>
          <w:sz w:val="16"/>
          <w:szCs w:val="16"/>
        </w:rPr>
      </w:pPr>
      <w:r w:rsidRPr="002F2FDF">
        <w:rPr>
          <w:rFonts w:ascii="Times New Roman" w:hAnsi="Times New Roman" w:cs="Times New Roman"/>
          <w:bCs/>
          <w:color w:val="000000" w:themeColor="text1"/>
          <w:kern w:val="2"/>
          <w:sz w:val="16"/>
          <w:szCs w:val="16"/>
        </w:rPr>
        <w:t xml:space="preserve">- безусловно видеть всё вокруг себя, особенно перед атакой; истребитель должен «иметь глаза сзади»; </w:t>
      </w:r>
    </w:p>
    <w:p w14:paraId="1EC3CA63" w14:textId="77777777" w:rsidR="001A1F94" w:rsidRPr="002F2FDF" w:rsidRDefault="001A1F94" w:rsidP="0083075A">
      <w:pPr>
        <w:spacing w:after="0" w:line="240" w:lineRule="auto"/>
        <w:jc w:val="both"/>
        <w:rPr>
          <w:rFonts w:ascii="Times New Roman" w:hAnsi="Times New Roman" w:cs="Times New Roman"/>
          <w:bCs/>
          <w:color w:val="000000" w:themeColor="text1"/>
          <w:kern w:val="2"/>
          <w:sz w:val="16"/>
          <w:szCs w:val="16"/>
        </w:rPr>
      </w:pPr>
      <w:r w:rsidRPr="002F2FDF">
        <w:rPr>
          <w:rFonts w:ascii="Times New Roman" w:hAnsi="Times New Roman" w:cs="Times New Roman"/>
          <w:bCs/>
          <w:color w:val="000000" w:themeColor="text1"/>
          <w:kern w:val="2"/>
          <w:sz w:val="16"/>
          <w:szCs w:val="16"/>
        </w:rPr>
        <w:t xml:space="preserve">- чтобы ввести противника в заблуждение, применять ложные маневры, а затем и стремительно сближаться; </w:t>
      </w:r>
    </w:p>
    <w:p w14:paraId="5837FCD3" w14:textId="77777777" w:rsidR="001A1F94" w:rsidRPr="002F2FDF" w:rsidRDefault="001A1F94" w:rsidP="0083075A">
      <w:pPr>
        <w:spacing w:after="0" w:line="240" w:lineRule="auto"/>
        <w:jc w:val="both"/>
        <w:rPr>
          <w:rFonts w:ascii="Times New Roman" w:hAnsi="Times New Roman" w:cs="Times New Roman"/>
          <w:bCs/>
          <w:color w:val="000000" w:themeColor="text1"/>
          <w:kern w:val="2"/>
          <w:sz w:val="16"/>
          <w:szCs w:val="16"/>
        </w:rPr>
      </w:pPr>
      <w:r w:rsidRPr="002F2FDF">
        <w:rPr>
          <w:rFonts w:ascii="Times New Roman" w:hAnsi="Times New Roman" w:cs="Times New Roman"/>
          <w:bCs/>
          <w:color w:val="000000" w:themeColor="text1"/>
          <w:kern w:val="2"/>
          <w:sz w:val="16"/>
          <w:szCs w:val="16"/>
        </w:rPr>
        <w:t xml:space="preserve">- поймав противника в прицел, приложить всё искусство и хладнокровие, чтобы не упустить его безнаказанным; </w:t>
      </w:r>
    </w:p>
    <w:p w14:paraId="76EB01B7" w14:textId="77777777" w:rsidR="001A1F94" w:rsidRPr="002F2FDF" w:rsidRDefault="001A1F94" w:rsidP="0083075A">
      <w:pPr>
        <w:spacing w:after="0" w:line="240" w:lineRule="auto"/>
        <w:jc w:val="both"/>
        <w:rPr>
          <w:rFonts w:ascii="Times New Roman" w:hAnsi="Times New Roman" w:cs="Times New Roman"/>
          <w:bCs/>
          <w:color w:val="000000" w:themeColor="text1"/>
          <w:kern w:val="2"/>
          <w:sz w:val="16"/>
          <w:szCs w:val="16"/>
        </w:rPr>
      </w:pPr>
      <w:r w:rsidRPr="002F2FDF">
        <w:rPr>
          <w:rFonts w:ascii="Times New Roman" w:hAnsi="Times New Roman" w:cs="Times New Roman"/>
          <w:bCs/>
          <w:color w:val="000000" w:themeColor="text1"/>
          <w:kern w:val="2"/>
          <w:sz w:val="16"/>
          <w:szCs w:val="16"/>
        </w:rPr>
        <w:t xml:space="preserve">- разрабатывая тактику боя, предварительно вывести заключение о возможностях аппаратов своего и противника; </w:t>
      </w:r>
    </w:p>
    <w:p w14:paraId="30ADCC3B" w14:textId="77777777" w:rsidR="001A1F94" w:rsidRPr="002F2FDF" w:rsidRDefault="001A1F94" w:rsidP="0083075A">
      <w:pPr>
        <w:spacing w:after="0" w:line="240" w:lineRule="auto"/>
        <w:jc w:val="both"/>
        <w:rPr>
          <w:rFonts w:ascii="Times New Roman" w:hAnsi="Times New Roman" w:cs="Times New Roman"/>
          <w:bCs/>
          <w:color w:val="000000" w:themeColor="text1"/>
          <w:kern w:val="2"/>
          <w:sz w:val="16"/>
          <w:szCs w:val="16"/>
        </w:rPr>
      </w:pPr>
      <w:r w:rsidRPr="002F2FDF">
        <w:rPr>
          <w:rFonts w:ascii="Times New Roman" w:hAnsi="Times New Roman" w:cs="Times New Roman"/>
          <w:bCs/>
          <w:color w:val="000000" w:themeColor="text1"/>
          <w:kern w:val="2"/>
          <w:sz w:val="16"/>
          <w:szCs w:val="16"/>
        </w:rPr>
        <w:t>- если противник видит готовящееся на него покушение, следует позаботиться о безопасности своего тыла.</w:t>
      </w:r>
    </w:p>
    <w:p w14:paraId="1680CBED"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Капитан Е. Крутень, командир 2-го авиационного отряда истребителей, </w:t>
      </w:r>
    </w:p>
    <w:p w14:paraId="661C0A6D"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выдающийся русский ас 1й Мировой войны</w:t>
      </w:r>
    </w:p>
    <w:p w14:paraId="5CC8F4CD" w14:textId="77777777" w:rsidR="001A1F94" w:rsidRPr="002F2FDF" w:rsidRDefault="001A1F94" w:rsidP="0083075A">
      <w:pPr>
        <w:spacing w:after="0" w:line="240" w:lineRule="auto"/>
        <w:jc w:val="both"/>
        <w:rPr>
          <w:rStyle w:val="ucoz-forum-post"/>
          <w:rFonts w:ascii="Times New Roman" w:hAnsi="Times New Roman" w:cs="Times New Roman"/>
          <w:bCs/>
          <w:color w:val="000000" w:themeColor="text1"/>
          <w:kern w:val="2"/>
          <w:sz w:val="16"/>
          <w:szCs w:val="16"/>
        </w:rPr>
      </w:pPr>
    </w:p>
    <w:p w14:paraId="24644A5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683EA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BCB2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августа (11 сентября) 1917 Д.П.Г. принял задание на разработку новых двухдвигательных аппаратов под моторы Санбим 320 нр. Апрельский заказ на разведчики под ИС 200 нр отменили. Ход работы над всеми двухдвигательными аппаратами - неизвестен. В этот же день поступил и заказ УМАиВ на контр-истребитель без шасси, но с водонепроницаемым корпусом и со стартом с тележки. автор идеи - к Б.А.Щербачев (2807,90).</w:t>
      </w:r>
    </w:p>
    <w:p w14:paraId="4B1871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BF759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29 августа (11 сентября) 1917 г. Управление морской авиации и воз</w:t>
      </w:r>
      <w:r w:rsidRPr="002F2FDF">
        <w:rPr>
          <w:rFonts w:ascii="Times New Roman" w:hAnsi="Times New Roman" w:cs="Times New Roman"/>
          <w:color w:val="000000" w:themeColor="text1"/>
          <w:kern w:val="2"/>
          <w:sz w:val="16"/>
          <w:szCs w:val="16"/>
        </w:rPr>
        <w:softHyphen/>
        <w:t>духоплавания предложило трем конструкторам, а именно Д.П. Григоровичу, А.Ю. Виллишу и П.А. Шишкову, задание на проектирование на конкурсной основе гидроаэроплана типа "контр-истребитель", который мог бы взлетать с суши или с палубы корабля (со специаль</w:t>
      </w:r>
      <w:r w:rsidRPr="002F2FDF">
        <w:rPr>
          <w:rFonts w:ascii="Times New Roman" w:hAnsi="Times New Roman" w:cs="Times New Roman"/>
          <w:color w:val="000000" w:themeColor="text1"/>
          <w:kern w:val="2"/>
          <w:sz w:val="16"/>
          <w:szCs w:val="16"/>
        </w:rPr>
        <w:softHyphen/>
        <w:t>ной катапульты), а садиться на воду, имея пропеллер, устанавливаемый в нужный момент в горизонтальное положение. Идея такого самолета принадлежала, по всей вероятности, ка</w:t>
      </w:r>
      <w:r w:rsidRPr="002F2FDF">
        <w:rPr>
          <w:rFonts w:ascii="Times New Roman" w:hAnsi="Times New Roman" w:cs="Times New Roman"/>
          <w:color w:val="000000" w:themeColor="text1"/>
          <w:kern w:val="2"/>
          <w:sz w:val="16"/>
          <w:szCs w:val="16"/>
        </w:rPr>
        <w:softHyphen/>
        <w:t>питану 2 р. Б.А. Щербачеву, авиатору Балтийского флота. Она заинтересовала А.Ю. Вил-лиша, плодом чьей работы стала машина под обозначением ВМ-6. Это был одноместный моноплан с тянущим двигателем "Испано-Суиза" 200 л.с. и с кор</w:t>
      </w:r>
      <w:r w:rsidRPr="002F2FDF">
        <w:rPr>
          <w:rFonts w:ascii="Times New Roman" w:hAnsi="Times New Roman" w:cs="Times New Roman"/>
          <w:color w:val="000000" w:themeColor="text1"/>
          <w:kern w:val="2"/>
          <w:sz w:val="16"/>
          <w:szCs w:val="16"/>
        </w:rPr>
        <w:softHyphen/>
        <w:t>пусом, представлявшим одновременно и фюзеляж обычного сухопутного самолета, и лодку гидроаэроплана. Несколько сплошных шпангоутов делили корпус на водонепроницаемые от</w:t>
      </w:r>
      <w:r w:rsidRPr="002F2FDF">
        <w:rPr>
          <w:rFonts w:ascii="Times New Roman" w:hAnsi="Times New Roman" w:cs="Times New Roman"/>
          <w:color w:val="000000" w:themeColor="text1"/>
          <w:kern w:val="2"/>
          <w:sz w:val="16"/>
          <w:szCs w:val="16"/>
        </w:rPr>
        <w:softHyphen/>
        <w:t>секи, обеспечивая определенную непотопляемость, а килеватое днище и скулы носовой ча</w:t>
      </w:r>
      <w:r w:rsidRPr="002F2FDF">
        <w:rPr>
          <w:rFonts w:ascii="Times New Roman" w:hAnsi="Times New Roman" w:cs="Times New Roman"/>
          <w:color w:val="000000" w:themeColor="text1"/>
          <w:kern w:val="2"/>
          <w:sz w:val="16"/>
          <w:szCs w:val="16"/>
        </w:rPr>
        <w:softHyphen/>
        <w:t>сти придавали аппарату некоторую мореходность; в то же время никакого редана не было, т.к. взлет с воды не предусматривался. Для подъема с земли к передней части корпуса крепилось сбрасываемое двухколесное шасси, которое могло отделяться по желанию и ко</w:t>
      </w:r>
      <w:r w:rsidRPr="002F2FDF">
        <w:rPr>
          <w:rFonts w:ascii="Times New Roman" w:hAnsi="Times New Roman" w:cs="Times New Roman"/>
          <w:color w:val="000000" w:themeColor="text1"/>
          <w:kern w:val="2"/>
          <w:sz w:val="16"/>
          <w:szCs w:val="16"/>
        </w:rPr>
        <w:softHyphen/>
        <w:t>манде пилота. По выдвигавшимся заказчиком условиям контр-истребитель должен был из</w:t>
      </w:r>
      <w:r w:rsidRPr="002F2FDF">
        <w:rPr>
          <w:rFonts w:ascii="Times New Roman" w:hAnsi="Times New Roman" w:cs="Times New Roman"/>
          <w:color w:val="000000" w:themeColor="text1"/>
          <w:kern w:val="2"/>
          <w:sz w:val="16"/>
          <w:szCs w:val="16"/>
        </w:rPr>
        <w:softHyphen/>
        <w:t>готовляться из отечественных материалов за вычетом стальных труб и проволоки, алюми</w:t>
      </w:r>
      <w:r w:rsidRPr="002F2FDF">
        <w:rPr>
          <w:rFonts w:ascii="Times New Roman" w:hAnsi="Times New Roman" w:cs="Times New Roman"/>
          <w:color w:val="000000" w:themeColor="text1"/>
          <w:kern w:val="2"/>
          <w:sz w:val="16"/>
          <w:szCs w:val="16"/>
        </w:rPr>
        <w:softHyphen/>
        <w:t>ниевых частей и некоторых шурупов, которые надлежало получать из-за границы. Помимо импортного тахометра, в число приборов каждого аэроплана входили бы компас, альтиметр, кренометр, спидометр и часы, тогда как вооружение состояло бы из одного неподвижного пулемета, установленного вместе с патронными ящиками в специальном отсеке (2843).</w:t>
      </w:r>
    </w:p>
    <w:p w14:paraId="630FA4F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B6F953" w14:textId="75A52127" w:rsidR="00EE7F7C" w:rsidRPr="00FB4F67" w:rsidRDefault="00EE7F7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29 августа </w:t>
      </w:r>
      <w:r>
        <w:rPr>
          <w:rFonts w:ascii="Times New Roman" w:hAnsi="Times New Roman" w:cs="Times New Roman"/>
          <w:color w:val="0070C0"/>
          <w:sz w:val="16"/>
          <w:szCs w:val="16"/>
        </w:rPr>
        <w:t xml:space="preserve">(11 сентября) </w:t>
      </w:r>
      <w:r w:rsidRPr="00FB4F67">
        <w:rPr>
          <w:rFonts w:ascii="Times New Roman" w:hAnsi="Times New Roman" w:cs="Times New Roman"/>
          <w:color w:val="0070C0"/>
          <w:sz w:val="16"/>
          <w:szCs w:val="16"/>
        </w:rPr>
        <w:t>1917 г. Управление морской авиации предложило Д.П. Григоровичу, А.Ю. Виллишу и П.А. Шишкову на конкурс</w:t>
      </w:r>
      <w:r w:rsidRPr="00FB4F67">
        <w:rPr>
          <w:rFonts w:ascii="Times New Roman" w:hAnsi="Times New Roman" w:cs="Times New Roman"/>
          <w:color w:val="0070C0"/>
          <w:sz w:val="16"/>
          <w:szCs w:val="16"/>
        </w:rPr>
        <w:softHyphen/>
        <w:t>ной основе взяться за проектирование «контристребителя».</w:t>
      </w:r>
    </w:p>
    <w:p w14:paraId="0187C810" w14:textId="77777777" w:rsidR="00EE7F7C" w:rsidRPr="00FB4F67" w:rsidRDefault="00EE7F7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Авторство идеи приписывается капитану 2-го ранга Б.А. Щербачеву, военному летчику Балтий</w:t>
      </w:r>
      <w:r w:rsidRPr="00FB4F67">
        <w:rPr>
          <w:rFonts w:ascii="Times New Roman" w:hAnsi="Times New Roman" w:cs="Times New Roman"/>
          <w:color w:val="0070C0"/>
          <w:sz w:val="16"/>
          <w:szCs w:val="16"/>
        </w:rPr>
        <w:softHyphen/>
        <w:t>ского флота, а ее суть заключалась в со</w:t>
      </w:r>
      <w:r w:rsidRPr="00FB4F67">
        <w:rPr>
          <w:rFonts w:ascii="Times New Roman" w:hAnsi="Times New Roman" w:cs="Times New Roman"/>
          <w:color w:val="0070C0"/>
          <w:sz w:val="16"/>
          <w:szCs w:val="16"/>
        </w:rPr>
        <w:softHyphen/>
        <w:t>здании специализированного боевого са</w:t>
      </w:r>
      <w:r w:rsidRPr="00FB4F67">
        <w:rPr>
          <w:rFonts w:ascii="Times New Roman" w:hAnsi="Times New Roman" w:cs="Times New Roman"/>
          <w:color w:val="0070C0"/>
          <w:sz w:val="16"/>
          <w:szCs w:val="16"/>
        </w:rPr>
        <w:softHyphen/>
        <w:t>молета, взлетающего с корабля или суши, имеющего сбрасываемое шасси и способ</w:t>
      </w:r>
      <w:r w:rsidRPr="00FB4F67">
        <w:rPr>
          <w:rFonts w:ascii="Times New Roman" w:hAnsi="Times New Roman" w:cs="Times New Roman"/>
          <w:color w:val="0070C0"/>
          <w:sz w:val="16"/>
          <w:szCs w:val="16"/>
        </w:rPr>
        <w:softHyphen/>
        <w:t>ного после выполнения боевой задачи со</w:t>
      </w:r>
      <w:r w:rsidRPr="00FB4F67">
        <w:rPr>
          <w:rFonts w:ascii="Times New Roman" w:hAnsi="Times New Roman" w:cs="Times New Roman"/>
          <w:color w:val="0070C0"/>
          <w:sz w:val="16"/>
          <w:szCs w:val="16"/>
        </w:rPr>
        <w:softHyphen/>
        <w:t>вершать посадку на воду</w:t>
      </w:r>
    </w:p>
    <w:p w14:paraId="5112B84C" w14:textId="77777777" w:rsidR="00EE7F7C" w:rsidRPr="00FB4F67" w:rsidRDefault="00EE7F7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Особым пунктом зна</w:t>
      </w:r>
      <w:r w:rsidRPr="00FB4F67">
        <w:rPr>
          <w:rFonts w:ascii="Times New Roman" w:hAnsi="Times New Roman" w:cs="Times New Roman"/>
          <w:color w:val="0070C0"/>
          <w:sz w:val="16"/>
          <w:szCs w:val="16"/>
        </w:rPr>
        <w:softHyphen/>
        <w:t>чилось создание стартового устройства или катапульты для осуществления взлета «контристребителя» с корабля. Заданием заинтересовался Виллиш, уже ранее, в 1912 г., занимавшийся разработкой подоб</w:t>
      </w:r>
      <w:r w:rsidRPr="00FB4F67">
        <w:rPr>
          <w:rFonts w:ascii="Times New Roman" w:hAnsi="Times New Roman" w:cs="Times New Roman"/>
          <w:color w:val="0070C0"/>
          <w:sz w:val="16"/>
          <w:szCs w:val="16"/>
        </w:rPr>
        <w:softHyphen/>
        <w:t>ного устройства, облегчающего взлет са</w:t>
      </w:r>
      <w:r w:rsidRPr="00FB4F67">
        <w:rPr>
          <w:rFonts w:ascii="Times New Roman" w:hAnsi="Times New Roman" w:cs="Times New Roman"/>
          <w:color w:val="0070C0"/>
          <w:sz w:val="16"/>
          <w:szCs w:val="16"/>
        </w:rPr>
        <w:softHyphen/>
        <w:t>молета при корабельном базировании.</w:t>
      </w:r>
    </w:p>
    <w:p w14:paraId="56351513" w14:textId="77777777" w:rsidR="00EE7F7C" w:rsidRPr="00FB4F67" w:rsidRDefault="00EE7F7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Предложенный конструктором самолет имел обозначение ВМ-6. Он представлял собой одноместный, расчалочный моно</w:t>
      </w:r>
      <w:r w:rsidRPr="00FB4F67">
        <w:rPr>
          <w:rFonts w:ascii="Times New Roman" w:hAnsi="Times New Roman" w:cs="Times New Roman"/>
          <w:color w:val="0070C0"/>
          <w:sz w:val="16"/>
          <w:szCs w:val="16"/>
        </w:rPr>
        <w:softHyphen/>
        <w:t>план с двигателем «Испано-Сюиза» 200 л.с. Нижняя часть фюзеляжа ВМ-6 для воз</w:t>
      </w:r>
      <w:r w:rsidRPr="00FB4F67">
        <w:rPr>
          <w:rFonts w:ascii="Times New Roman" w:hAnsi="Times New Roman" w:cs="Times New Roman"/>
          <w:color w:val="0070C0"/>
          <w:sz w:val="16"/>
          <w:szCs w:val="16"/>
        </w:rPr>
        <w:softHyphen/>
        <w:t>можной посадки на воду имела килеватое днище, сам корпус оборудован водонепро</w:t>
      </w:r>
      <w:r w:rsidRPr="00FB4F67">
        <w:rPr>
          <w:rFonts w:ascii="Times New Roman" w:hAnsi="Times New Roman" w:cs="Times New Roman"/>
          <w:color w:val="0070C0"/>
          <w:sz w:val="16"/>
          <w:szCs w:val="16"/>
        </w:rPr>
        <w:softHyphen/>
        <w:t>ницаемыми отсеками, обеспечивающими непотопляемость на воде. Шасси после взлета сбрасывалось, воздушный винт при посадке устанавливался в горизонтальное положение, в верхней части пирамиды крепления крыльевых расчалок оборудо</w:t>
      </w:r>
      <w:r w:rsidRPr="00FB4F67">
        <w:rPr>
          <w:rFonts w:ascii="Times New Roman" w:hAnsi="Times New Roman" w:cs="Times New Roman"/>
          <w:color w:val="0070C0"/>
          <w:sz w:val="16"/>
          <w:szCs w:val="16"/>
        </w:rPr>
        <w:softHyphen/>
        <w:t>вался крюк для подъема самолета на ко</w:t>
      </w:r>
      <w:r w:rsidRPr="00FB4F67">
        <w:rPr>
          <w:rFonts w:ascii="Times New Roman" w:hAnsi="Times New Roman" w:cs="Times New Roman"/>
          <w:color w:val="0070C0"/>
          <w:sz w:val="16"/>
          <w:szCs w:val="16"/>
        </w:rPr>
        <w:softHyphen/>
        <w:t>рабль (23374).</w:t>
      </w:r>
    </w:p>
    <w:p w14:paraId="4D765A8F" w14:textId="77777777" w:rsidR="00EE7F7C" w:rsidRPr="00FB4F67" w:rsidRDefault="00EE7F7C" w:rsidP="0083075A">
      <w:pPr>
        <w:spacing w:after="0" w:line="240" w:lineRule="auto"/>
        <w:jc w:val="both"/>
        <w:rPr>
          <w:rFonts w:ascii="Times New Roman" w:hAnsi="Times New Roman" w:cs="Times New Roman"/>
          <w:color w:val="0070C0"/>
          <w:sz w:val="16"/>
          <w:szCs w:val="16"/>
        </w:rPr>
      </w:pPr>
    </w:p>
    <w:p w14:paraId="30924E1E" w14:textId="77777777" w:rsidR="00797A02" w:rsidRPr="002F2FDF" w:rsidRDefault="00797A0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7CBAB70" w14:textId="77777777" w:rsidR="00797A02" w:rsidRPr="002F2FDF" w:rsidRDefault="00797A0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185847"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29 августа (11 сентября) 1917 г.</w:t>
      </w:r>
    </w:p>
    <w:p w14:paraId="49FF64FF"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Телеграмма председателя Русского заготовительного комитета в Америке ген. II. М. Храброва Военному министерству о соглашении с американским правительством относительно нового порядка размещения заказов в Соединенных Штатах.</w:t>
      </w:r>
    </w:p>
    <w:p w14:paraId="65D2763B"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29 августа 1917 г.</w:t>
      </w:r>
    </w:p>
    <w:p w14:paraId="560EAF57"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Послом подписано соглашение с СОПРА о порядке помещения заказов на кредит СОПРА, согласно которому все решительно заказы или покупки не только для правительственных учреждений, но и для частной промышленности производятся через или с согласия особой Американской закупочной комиссии. Для постоянного сношения с Американской комиссией в Вашингтоне АМСКО избрало свою закупочную комиссию под председательством Угета.</w:t>
      </w:r>
    </w:p>
    <w:p w14:paraId="0C698AC1"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Таким образом, в АМСКО сосредоточиваются все заказы для России, которые по рассмотрении в АМСКО передаются для дальнейшего проведения Русской закупочной организации в Вашингтоне. Ввиду сего представляется настойчиво необходимым централизовать закупки частной промышленности и прекратить отпуск валюты по новым заказам непосредственно в распоряжение фирм. Соответствующие суммы по помещенным АМСКО заказам должны ставиться в его распоряжение, и оплата будет производиться по ордерам отдела частной промышленности АМСКО.</w:t>
      </w:r>
    </w:p>
    <w:p w14:paraId="47FCC20A"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Согласно изложенному, АМСКО не может привести в исполнение распоряжения вашей депеши 740 * по заказу сапог Главзагран 60093. Петроградский контракт должен быть вамп аннулирован, и заказ вновь проведен через СОПРА. Точно так же АМСКО не может утвердить соглашение Петрограда на уборочные машины Главзагран 60089,** депеша 6582,** и передает размещение заказа закупочной комиссии. Цены машин значительно ниже заявленных [в] Петрограде. 4867.</w:t>
      </w:r>
    </w:p>
    <w:p w14:paraId="46ACCEC0"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Храбров.</w:t>
      </w:r>
    </w:p>
    <w:p w14:paraId="6E8482C6"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ЦГНИА, ф. 2000, on. 1, д. 6191, л. 150. Заверенная копия (20825).</w:t>
      </w:r>
    </w:p>
    <w:p w14:paraId="6C99DCC3"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p>
    <w:p w14:paraId="6A38293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790FC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38F0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августа (11 сентября) 1917 была новая победа Казакова: “...поднявшись на разры</w:t>
      </w:r>
      <w:r w:rsidRPr="002F2FDF">
        <w:rPr>
          <w:rFonts w:ascii="Times New Roman" w:hAnsi="Times New Roman" w:cs="Times New Roman"/>
          <w:color w:val="000000" w:themeColor="text1"/>
          <w:kern w:val="2"/>
          <w:sz w:val="16"/>
          <w:szCs w:val="16"/>
        </w:rPr>
        <w:softHyphen/>
        <w:t>вы я неприятельского самолета не на</w:t>
      </w:r>
      <w:r w:rsidRPr="002F2FDF">
        <w:rPr>
          <w:rFonts w:ascii="Times New Roman" w:hAnsi="Times New Roman" w:cs="Times New Roman"/>
          <w:color w:val="000000" w:themeColor="text1"/>
          <w:kern w:val="2"/>
          <w:sz w:val="16"/>
          <w:szCs w:val="16"/>
        </w:rPr>
        <w:softHyphen/>
        <w:t>шел, но в районе Скала увидел шед</w:t>
      </w:r>
      <w:r w:rsidRPr="002F2FDF">
        <w:rPr>
          <w:rFonts w:ascii="Times New Roman" w:hAnsi="Times New Roman" w:cs="Times New Roman"/>
          <w:color w:val="000000" w:themeColor="text1"/>
          <w:kern w:val="2"/>
          <w:sz w:val="16"/>
          <w:szCs w:val="16"/>
        </w:rPr>
        <w:softHyphen/>
        <w:t>ший на восток неприятельский само</w:t>
      </w:r>
      <w:r w:rsidRPr="002F2FDF">
        <w:rPr>
          <w:rFonts w:ascii="Times New Roman" w:hAnsi="Times New Roman" w:cs="Times New Roman"/>
          <w:color w:val="000000" w:themeColor="text1"/>
          <w:kern w:val="2"/>
          <w:sz w:val="16"/>
          <w:szCs w:val="16"/>
        </w:rPr>
        <w:softHyphen/>
        <w:t>лет. Дав ему пройти в наш тыл около 16 час у Кутковце атаковал его и сбил. Неприятельский самолет “Бранденбург“ опустился у Кутковце. Самолет мало поврежден. Летчик унтер-офи</w:t>
      </w:r>
      <w:r w:rsidRPr="002F2FDF">
        <w:rPr>
          <w:rFonts w:ascii="Times New Roman" w:hAnsi="Times New Roman" w:cs="Times New Roman"/>
          <w:color w:val="000000" w:themeColor="text1"/>
          <w:kern w:val="2"/>
          <w:sz w:val="16"/>
          <w:szCs w:val="16"/>
        </w:rPr>
        <w:softHyphen/>
        <w:t>цер и наблюдатель офицер, оба авст</w:t>
      </w:r>
      <w:r w:rsidRPr="002F2FDF">
        <w:rPr>
          <w:rFonts w:ascii="Times New Roman" w:hAnsi="Times New Roman" w:cs="Times New Roman"/>
          <w:color w:val="000000" w:themeColor="text1"/>
          <w:kern w:val="2"/>
          <w:sz w:val="16"/>
          <w:szCs w:val="16"/>
        </w:rPr>
        <w:softHyphen/>
        <w:t>рийцы 18-го авиаотряда, захвачены в плен” (3954).</w:t>
      </w:r>
    </w:p>
    <w:p w14:paraId="0360DF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6E16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августа (11 сентября) 1917 командир 1 иаг ротмистр А.А.Казаков сбил в районе Гусятина Бранденбург. Л взяли в плен, а самолет потом использовали - 17-й и последний в войне сбитый Казаковым самолет (438,371).</w:t>
      </w:r>
    </w:p>
    <w:p w14:paraId="385FD9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29AA4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29 августа </w:t>
      </w:r>
      <w:r w:rsidR="00783C50" w:rsidRPr="002F2FDF">
        <w:rPr>
          <w:rFonts w:ascii="Times New Roman" w:hAnsi="Times New Roman" w:cs="Times New Roman"/>
          <w:color w:val="000000" w:themeColor="text1"/>
          <w:kern w:val="2"/>
          <w:sz w:val="16"/>
          <w:szCs w:val="16"/>
        </w:rPr>
        <w:t xml:space="preserve">(11 сентября) </w:t>
      </w:r>
      <w:r w:rsidRPr="002F2FDF">
        <w:rPr>
          <w:rFonts w:ascii="Times New Roman" w:hAnsi="Times New Roman" w:cs="Times New Roman"/>
          <w:color w:val="000000" w:themeColor="text1"/>
          <w:kern w:val="2"/>
          <w:sz w:val="16"/>
          <w:szCs w:val="16"/>
        </w:rPr>
        <w:t>1917 командир 1-й истребительной авиагруппы ротмистр А.А.Козэков сбил врайоне Гусятина немецкий самолет "Бранденбург". Летчики противника гзяты в плен, самолет их поврежден незначительно. Это был 17-й по счету и последний самолет, сбитый Козаковым за время империалистической войны. (Сообщение штаба ВГК от 2 сентября 1917 г., "Русский инвалид" за 3 сентября 1917 г.).</w:t>
      </w:r>
    </w:p>
    <w:p w14:paraId="697708A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364819" w14:textId="77777777" w:rsidR="002C6FAA" w:rsidRPr="00D774DD" w:rsidRDefault="002C6FAA"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D774DD">
        <w:rPr>
          <w:rFonts w:ascii="Times New Roman" w:hAnsi="Times New Roman" w:cs="Times New Roman"/>
          <w:color w:val="0070C0"/>
          <w:kern w:val="2"/>
          <w:sz w:val="16"/>
          <w:szCs w:val="16"/>
        </w:rPr>
        <w:t>29 августа (11 сентября) 1917 командир 1-й истребительной авиагруппы ротмистр А.А.Козэков сбил в районе Гусятина немецкий самолет "Бранденбург". Летчики противника взяты в плен, самолет их поврежден незначительно. Это был 17-й по счету и последний самолет, сбитый Козаковым за время империалистической войны.</w:t>
      </w:r>
    </w:p>
    <w:p w14:paraId="5278A413" w14:textId="750B0DB7" w:rsidR="002C6FAA" w:rsidRPr="00D774DD" w:rsidRDefault="002C6FAA"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D774DD">
        <w:rPr>
          <w:rFonts w:ascii="Times New Roman" w:hAnsi="Times New Roman" w:cs="Times New Roman"/>
          <w:color w:val="0070C0"/>
          <w:kern w:val="2"/>
          <w:sz w:val="16"/>
          <w:szCs w:val="16"/>
        </w:rPr>
        <w:t>/Сообщение штаба ВГК от 2 сентября 1917 г.; "Русский инвалид" за 3 сентября 1917 г./ (23320).</w:t>
      </w:r>
    </w:p>
    <w:p w14:paraId="793B4132" w14:textId="77777777" w:rsidR="002C6FAA" w:rsidRPr="00D774DD" w:rsidRDefault="002C6FAA"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p>
    <w:p w14:paraId="07F3D18C"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29 августа (10 сентября) 1917 г. лётчик Камин</w:t>
      </w:r>
      <w:r w:rsidRPr="002F2FDF">
        <w:rPr>
          <w:rFonts w:ascii="Times New Roman" w:hAnsi="Times New Roman" w:cs="Times New Roman"/>
          <w:color w:val="000000" w:themeColor="text1"/>
          <w:sz w:val="16"/>
          <w:szCs w:val="16"/>
        </w:rPr>
        <w:softHyphen/>
        <w:t>ский уничтожил у Барановичей немецкий аэростат. Изучив за два дня график подъёмов аэростата, он снял с «Ньюпо- ра-21» пулемёт Льюиса и оборудовал самолёт шестью ракетами Ла-Приера (по три на каждую стойку), установив их под таким углом, чтобы они на расстоянии 100 м сходились на мишени. Двойной контакт включения ракет обеспечи</w:t>
      </w:r>
      <w:r w:rsidRPr="002F2FDF">
        <w:rPr>
          <w:rFonts w:ascii="Times New Roman" w:hAnsi="Times New Roman" w:cs="Times New Roman"/>
          <w:color w:val="000000" w:themeColor="text1"/>
          <w:sz w:val="16"/>
          <w:szCs w:val="16"/>
        </w:rPr>
        <w:softHyphen/>
        <w:t>вал пуск сначала четырёх ракет (по две с каждой стойки), а затем оставшихся двух. Около 16.00, набрав высоту над аэродромом 3000 м, Камин</w:t>
      </w:r>
      <w:r w:rsidRPr="002F2FDF">
        <w:rPr>
          <w:rFonts w:ascii="Times New Roman" w:hAnsi="Times New Roman" w:cs="Times New Roman"/>
          <w:color w:val="000000" w:themeColor="text1"/>
          <w:sz w:val="16"/>
          <w:szCs w:val="16"/>
        </w:rPr>
        <w:softHyphen/>
        <w:t>ский на малом газу взял направление на Новые Барановичи. Большая высота, минимальный шум мотора и необычное время атаки позволи</w:t>
      </w:r>
      <w:r w:rsidRPr="002F2FDF">
        <w:rPr>
          <w:rFonts w:ascii="Times New Roman" w:hAnsi="Times New Roman" w:cs="Times New Roman"/>
          <w:color w:val="000000" w:themeColor="text1"/>
          <w:sz w:val="16"/>
          <w:szCs w:val="16"/>
        </w:rPr>
        <w:softHyphen/>
        <w:t>ли ему незамеченным пересечь линию фронта и зайти в тыл аэростату. Очутившись в выгодном положении между солнцем и висевшим аэроста</w:t>
      </w:r>
      <w:r w:rsidRPr="002F2FDF">
        <w:rPr>
          <w:rFonts w:ascii="Times New Roman" w:hAnsi="Times New Roman" w:cs="Times New Roman"/>
          <w:color w:val="000000" w:themeColor="text1"/>
          <w:sz w:val="16"/>
          <w:szCs w:val="16"/>
        </w:rPr>
        <w:softHyphen/>
        <w:t>том, Каминский выключил мотор и спланировал (почти спикировал) на аэростат. Приблизившись на дистанцию 50-60 м сверху и наведя прицел на отличительный знак в виде мальтийского креста на белом фоне в кругу, лётчик левой рукой вклю</w:t>
      </w:r>
      <w:r w:rsidRPr="002F2FDF">
        <w:rPr>
          <w:rFonts w:ascii="Times New Roman" w:hAnsi="Times New Roman" w:cs="Times New Roman"/>
          <w:color w:val="000000" w:themeColor="text1"/>
          <w:sz w:val="16"/>
          <w:szCs w:val="16"/>
        </w:rPr>
        <w:softHyphen/>
        <w:t>чил контакт. Четыре ракеты полётели в аэростат и зажгли его в двух местах. Резко взяв ручку на себя, Каминский прошёл в 14-15 м над горевшим аэростатом по направлению на русские позиции. Мотор не включился. Лётчик попытался спла</w:t>
      </w:r>
      <w:r w:rsidRPr="002F2FDF">
        <w:rPr>
          <w:rFonts w:ascii="Times New Roman" w:hAnsi="Times New Roman" w:cs="Times New Roman"/>
          <w:color w:val="000000" w:themeColor="text1"/>
          <w:sz w:val="16"/>
          <w:szCs w:val="16"/>
        </w:rPr>
        <w:softHyphen/>
        <w:t>нировать на свои позиции с высоты 900 м, но на высоте 700 м мотор заработал. Несмотря на пу</w:t>
      </w:r>
      <w:r w:rsidRPr="002F2FDF">
        <w:rPr>
          <w:rFonts w:ascii="Times New Roman" w:hAnsi="Times New Roman" w:cs="Times New Roman"/>
          <w:color w:val="000000" w:themeColor="text1"/>
          <w:sz w:val="16"/>
          <w:szCs w:val="16"/>
        </w:rPr>
        <w:softHyphen/>
        <w:t>лемётный и артиллерийский огонь противника Каминский вернулся назад без пробоин (20120).</w:t>
      </w:r>
    </w:p>
    <w:p w14:paraId="2FBAA680" w14:textId="77777777" w:rsidR="00797A02" w:rsidRPr="002F2FDF" w:rsidRDefault="00797A02" w:rsidP="0083075A">
      <w:pPr>
        <w:spacing w:after="0" w:line="240" w:lineRule="auto"/>
        <w:jc w:val="both"/>
        <w:rPr>
          <w:rStyle w:val="aff8"/>
          <w:rFonts w:ascii="Times New Roman" w:hAnsi="Times New Roman" w:cs="Times New Roman"/>
          <w:b w:val="0"/>
          <w:bCs w:val="0"/>
          <w:color w:val="000000" w:themeColor="text1"/>
          <w:sz w:val="16"/>
          <w:szCs w:val="16"/>
        </w:rPr>
      </w:pPr>
    </w:p>
    <w:p w14:paraId="41F6A0EC" w14:textId="0F161259" w:rsidR="00B553D8" w:rsidRPr="00FB4F67" w:rsidRDefault="00B553D8" w:rsidP="0083075A">
      <w:pPr>
        <w:spacing w:after="0" w:line="240" w:lineRule="auto"/>
        <w:jc w:val="both"/>
        <w:rPr>
          <w:rFonts w:ascii="Times New Roman" w:hAnsi="Times New Roman" w:cs="Times New Roman"/>
          <w:color w:val="0070C0"/>
          <w:sz w:val="16"/>
          <w:szCs w:val="16"/>
        </w:rPr>
      </w:pPr>
      <w:r w:rsidRPr="00D774DD">
        <w:rPr>
          <w:rFonts w:ascii="Times New Roman" w:hAnsi="Times New Roman" w:cs="Times New Roman"/>
          <w:color w:val="0070C0"/>
          <w:kern w:val="2"/>
          <w:sz w:val="16"/>
          <w:szCs w:val="16"/>
        </w:rPr>
        <w:t xml:space="preserve">29 августа (11 сентября) </w:t>
      </w:r>
      <w:r w:rsidRPr="00FB4F67">
        <w:rPr>
          <w:rFonts w:ascii="Times New Roman" w:hAnsi="Times New Roman" w:cs="Times New Roman"/>
          <w:color w:val="0070C0"/>
          <w:sz w:val="16"/>
          <w:szCs w:val="16"/>
        </w:rPr>
        <w:t>1917 г. британский военный атташе в Петрограде сообщил, что все британские летчики и артиллеристы были отозваны с Юго-Западного фронта и сейчас находятся в Царском Селе, где вскоре будут переведены в британское посольство в Петрограде (23525).</w:t>
      </w:r>
    </w:p>
    <w:p w14:paraId="2D884D62" w14:textId="77777777" w:rsidR="00B553D8" w:rsidRPr="00FB4F67" w:rsidRDefault="00B553D8" w:rsidP="0083075A">
      <w:pPr>
        <w:spacing w:after="0" w:line="240" w:lineRule="auto"/>
        <w:jc w:val="both"/>
        <w:rPr>
          <w:rFonts w:ascii="Times New Roman" w:hAnsi="Times New Roman" w:cs="Times New Roman"/>
          <w:color w:val="0070C0"/>
          <w:sz w:val="16"/>
          <w:szCs w:val="16"/>
        </w:rPr>
      </w:pPr>
    </w:p>
    <w:p w14:paraId="1694408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07CE5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8599C9" w14:textId="77777777" w:rsidR="00A41326" w:rsidRPr="002F2FDF" w:rsidRDefault="00A41326" w:rsidP="0083075A">
      <w:pPr>
        <w:pStyle w:val="ae"/>
        <w:spacing w:before="0" w:after="0"/>
        <w:jc w:val="both"/>
        <w:rPr>
          <w:color w:val="000000" w:themeColor="text1"/>
          <w:kern w:val="2"/>
          <w:sz w:val="16"/>
          <w:szCs w:val="16"/>
        </w:rPr>
      </w:pPr>
      <w:r w:rsidRPr="002F2FDF">
        <w:rPr>
          <w:color w:val="000000" w:themeColor="text1"/>
          <w:kern w:val="2"/>
          <w:sz w:val="16"/>
          <w:szCs w:val="16"/>
        </w:rPr>
        <w:t>29 августа (11 сентября) 1917 в районе Павловска под Петроградом продолжались перестрелки между частями, подчиняющимися Главнокомандующему русской армией генералу Лавру Корнилову и верными Временному правительству подразделениями петроградского гарнизона и красногвардейцами. Последние, чтобы эшелоны с корниловскими войсками не могли проехать в Петроград, попутно разобрали железнодорожное полотно.</w:t>
      </w:r>
    </w:p>
    <w:p w14:paraId="3A699AF9" w14:textId="77777777" w:rsidR="00A41326" w:rsidRPr="002F2FDF" w:rsidRDefault="00A41326" w:rsidP="0083075A">
      <w:pPr>
        <w:pStyle w:val="ae"/>
        <w:spacing w:before="0" w:after="0"/>
        <w:jc w:val="both"/>
        <w:rPr>
          <w:color w:val="000000" w:themeColor="text1"/>
          <w:kern w:val="2"/>
          <w:sz w:val="16"/>
          <w:szCs w:val="16"/>
        </w:rPr>
      </w:pPr>
      <w:r w:rsidRPr="002F2FDF">
        <w:rPr>
          <w:color w:val="000000" w:themeColor="text1"/>
          <w:kern w:val="2"/>
          <w:sz w:val="16"/>
          <w:szCs w:val="16"/>
        </w:rPr>
        <w:t>Вечером 11 сентября к корниловским солдатам направились красногвардейские агитаторы, которые убедили их сложить оружие. Генерал Антон Деникин в своей книге «Очерки русской смуты» вспоминал: «К 30-му (12 сентября по новому стилю) на подступах к Петрограду у Крымова (генерал Александр Крымов, сподвижник Корнилова — РП) была только одна бригада кавказских всадников» (17045).</w:t>
      </w:r>
    </w:p>
    <w:p w14:paraId="006B0BF7" w14:textId="77777777" w:rsidR="00A41326" w:rsidRPr="002F2FDF" w:rsidRDefault="00A41326" w:rsidP="0083075A">
      <w:pPr>
        <w:spacing w:after="0" w:line="240" w:lineRule="auto"/>
        <w:jc w:val="both"/>
        <w:rPr>
          <w:rFonts w:ascii="Times New Roman" w:hAnsi="Times New Roman" w:cs="Times New Roman"/>
          <w:color w:val="000000" w:themeColor="text1"/>
          <w:kern w:val="2"/>
          <w:sz w:val="16"/>
          <w:szCs w:val="16"/>
        </w:rPr>
      </w:pPr>
    </w:p>
    <w:p w14:paraId="25B6BD7A" w14:textId="77777777" w:rsidR="0016518E" w:rsidRPr="002F2FDF" w:rsidRDefault="0016518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29 августа (11 сентября) 1917 Корнилов распространил "Обращение", в котором обещал спасти Россию и добиться созыва Учредительного собрания. Его поддержали все офицерские организации, командующие 4-х фронтов и "вторая шашка Империи" - генерал Каледин, избранный войсковым наказным атаманом Войска Донского. </w:t>
      </w:r>
      <w:r w:rsidRPr="002F2FDF">
        <w:rPr>
          <w:rFonts w:ascii="Times New Roman" w:hAnsi="Times New Roman" w:cs="Times New Roman"/>
          <w:color w:val="000000" w:themeColor="text1"/>
          <w:kern w:val="2"/>
          <w:sz w:val="16"/>
          <w:szCs w:val="16"/>
        </w:rPr>
        <w:lastRenderedPageBreak/>
        <w:t>Керенский обращается за помощью к большевикам и те направляют своих агитаторов в войска Крымова. А еще он роздал оружие добровольческим отрядам из питерских рабочих. О чем потом сильно пожалел (12629).</w:t>
      </w:r>
    </w:p>
    <w:p w14:paraId="6E8FB461" w14:textId="77777777" w:rsidR="0016518E" w:rsidRPr="002F2FDF" w:rsidRDefault="0016518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07E8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августа (11 сентября) 1917 газеты опубликовали обращение Б.В.Савинкова: "Генерал Корнилов поднял мятеж против Временного правительства и революции." (3908,261).</w:t>
      </w:r>
    </w:p>
    <w:p w14:paraId="3C6AD2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19EBE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августа (11 сентября) 1917 в Або (Выборге) толпой солдат сброшен с моста русский генерал Владимир Орановский, бывший командующий русскими войсками в Финляндии (4962).</w:t>
      </w:r>
    </w:p>
    <w:p w14:paraId="227C361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32FD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августа (11 сентября) 1917 вдвое выросли твердые цены на хлеб (3908,261).</w:t>
      </w:r>
    </w:p>
    <w:p w14:paraId="49398A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747F4F" w14:textId="77777777" w:rsidR="0019702E"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344CE71" w14:textId="77777777" w:rsidR="0019702E" w:rsidRPr="002F2FDF" w:rsidRDefault="0019702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B0AF9A" w14:textId="77777777" w:rsidR="0019702E" w:rsidRPr="002F2FDF" w:rsidRDefault="0019702E" w:rsidP="0083075A">
      <w:pPr>
        <w:pStyle w:val="ae"/>
        <w:spacing w:before="0" w:after="0"/>
        <w:jc w:val="both"/>
        <w:rPr>
          <w:color w:val="000000" w:themeColor="text1"/>
          <w:kern w:val="2"/>
          <w:sz w:val="16"/>
          <w:szCs w:val="16"/>
        </w:rPr>
      </w:pPr>
      <w:r w:rsidRPr="002F2FDF">
        <w:rPr>
          <w:color w:val="000000" w:themeColor="text1"/>
          <w:kern w:val="2"/>
          <w:sz w:val="16"/>
          <w:szCs w:val="16"/>
        </w:rPr>
        <w:t>29 августа (11 сентября) 1917 в воздушном бою в районе Ипра погиб 22-летний Жорж Гинемер — один из самых результативных французских асов Первой мировой войны. На его счету на тот момент было 53 сбитых германских самолета. Гибель Гинемера была воспринята во Франции как национальное горе (17045).</w:t>
      </w:r>
    </w:p>
    <w:p w14:paraId="624D65CF" w14:textId="77777777" w:rsidR="0019702E" w:rsidRPr="002F2FDF" w:rsidRDefault="0019702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BC9D56" w14:textId="165095C9" w:rsidR="00AE4028" w:rsidRPr="002F2FDF" w:rsidRDefault="00AE4028"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29</w:t>
      </w:r>
      <w:r w:rsidRPr="002F2FDF">
        <w:rPr>
          <w:rFonts w:ascii="Times New Roman" w:hAnsi="Times New Roman" w:cs="Times New Roman"/>
          <w:color w:val="000000" w:themeColor="text1"/>
          <w:sz w:val="16"/>
          <w:szCs w:val="16"/>
        </w:rPr>
        <w:t xml:space="preserve"> августа (11 сентября) 1917 французский ас Capitaine Гинемер пропадает без вести во время полета на SPAD XIII в ходе боя с немецкой авиацией вблизи Poelkapelle, Бельгия. Курт Wisserman из Jasta 3 приписывают себе эту победу, но тело Guynemer ' не было найдено. На момент смерти у Гинемера было 54 победы (20341).</w:t>
      </w:r>
    </w:p>
    <w:p w14:paraId="55ECC854" w14:textId="77777777" w:rsidR="00AE4028" w:rsidRPr="002F2FDF" w:rsidRDefault="00AE4028" w:rsidP="0083075A">
      <w:pPr>
        <w:spacing w:after="0" w:line="240" w:lineRule="auto"/>
        <w:jc w:val="both"/>
        <w:rPr>
          <w:rFonts w:ascii="Times New Roman" w:hAnsi="Times New Roman" w:cs="Times New Roman"/>
          <w:color w:val="000000" w:themeColor="text1"/>
          <w:sz w:val="16"/>
          <w:szCs w:val="16"/>
        </w:rPr>
      </w:pPr>
    </w:p>
    <w:p w14:paraId="4E479F40" w14:textId="77777777" w:rsidR="0019702E" w:rsidRPr="002F2FDF" w:rsidRDefault="0019702E" w:rsidP="0083075A">
      <w:pPr>
        <w:pStyle w:val="ae"/>
        <w:spacing w:before="0" w:after="0"/>
        <w:jc w:val="both"/>
        <w:rPr>
          <w:color w:val="000000" w:themeColor="text1"/>
          <w:kern w:val="2"/>
          <w:sz w:val="16"/>
          <w:szCs w:val="16"/>
        </w:rPr>
      </w:pPr>
      <w:r w:rsidRPr="002F2FDF">
        <w:rPr>
          <w:color w:val="000000" w:themeColor="text1"/>
          <w:kern w:val="2"/>
          <w:sz w:val="16"/>
          <w:szCs w:val="16"/>
        </w:rPr>
        <w:t>В период с 29 августа по 4 сентября (11 по 17 сентября) 1917 немецкие подводные лодки затопили 55 судов стран Антанты и нейтральных государств (17045).</w:t>
      </w:r>
    </w:p>
    <w:p w14:paraId="2CB5270E" w14:textId="77777777" w:rsidR="0019702E" w:rsidRPr="002F2FDF" w:rsidRDefault="0019702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20F5D2" w14:textId="77777777" w:rsidR="00797A02" w:rsidRPr="002F2FDF" w:rsidRDefault="00797A0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D833FB8" w14:textId="77777777" w:rsidR="00797A02" w:rsidRPr="002F2FDF" w:rsidRDefault="00797A0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272BDF"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20-х числах августа 1917 интенсив</w:t>
      </w:r>
      <w:r w:rsidRPr="002F2FDF">
        <w:rPr>
          <w:rFonts w:ascii="Times New Roman" w:hAnsi="Times New Roman" w:cs="Times New Roman"/>
          <w:color w:val="000000" w:themeColor="text1"/>
          <w:sz w:val="16"/>
          <w:szCs w:val="16"/>
        </w:rPr>
        <w:softHyphen/>
        <w:t>ность воздушной войны на русско-германском фронте, достигла своего максимума, но затем последовал неизбеж</w:t>
      </w:r>
      <w:r w:rsidRPr="002F2FDF">
        <w:rPr>
          <w:rFonts w:ascii="Times New Roman" w:hAnsi="Times New Roman" w:cs="Times New Roman"/>
          <w:color w:val="000000" w:themeColor="text1"/>
          <w:sz w:val="16"/>
          <w:szCs w:val="16"/>
        </w:rPr>
        <w:softHyphen/>
        <w:t>ный спад, вызванный как ухудшением погоды, так и переброской частей германской авиации во Францию (20120).</w:t>
      </w:r>
    </w:p>
    <w:p w14:paraId="6DCAAA14"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p>
    <w:p w14:paraId="3CA7FE8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3DC74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7FB4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августа (12 сентября) 1917 был принят самолет В.А.Лебедева Лебедь-XХI - разведчика моноплана с Сальмсоном в 140 нр. Потом приняли еще 6 (92,166).</w:t>
      </w:r>
    </w:p>
    <w:p w14:paraId="3D46B4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7E989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FB033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B903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августа (12 сентября) 1917 г. был разослан циркуляр полковника Ткачева инспекторам авиации армий и командирам авиационных дивизионов, из которого видно, что случаи грубого нарушения воинской дисциплины среди летчиков стали обыденным явлением. "По имеющимся у меня сведениям, летчики одного из авиаотрядов, совершая перелет из одного места стоянки в другое, опустились в попутном большом городе, в котором под предлогом ремонта самолетов пробыли целую неделю, а один из летчиков позволил себе взять на самолет знакомую женщину" (11999).</w:t>
      </w:r>
    </w:p>
    <w:p w14:paraId="45CEBE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6430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августа (12 сентября) 1917 на Кавказском фронте группа из 11 самолетов произвела налет на резервы и гидроавиацию, сбросив 3 бомбы. Поднялись самолеты и в бою двух сбили (одного сбил француз Брюльяр) (438,371).</w:t>
      </w:r>
    </w:p>
    <w:p w14:paraId="49B5D1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457AE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bookmarkStart w:id="279" w:name="_Hlk119488071"/>
      <w:r w:rsidRPr="002F2FDF">
        <w:rPr>
          <w:rFonts w:ascii="Times New Roman" w:hAnsi="Times New Roman" w:cs="Times New Roman"/>
          <w:color w:val="000000" w:themeColor="text1"/>
          <w:kern w:val="2"/>
          <w:sz w:val="16"/>
          <w:szCs w:val="16"/>
        </w:rPr>
        <w:t xml:space="preserve">30 августа </w:t>
      </w:r>
      <w:r w:rsidR="00783C50" w:rsidRPr="002F2FDF">
        <w:rPr>
          <w:rFonts w:ascii="Times New Roman" w:hAnsi="Times New Roman" w:cs="Times New Roman"/>
          <w:color w:val="000000" w:themeColor="text1"/>
          <w:kern w:val="2"/>
          <w:sz w:val="16"/>
          <w:szCs w:val="16"/>
        </w:rPr>
        <w:t xml:space="preserve">(12 сентября) </w:t>
      </w:r>
      <w:r w:rsidRPr="002F2FDF">
        <w:rPr>
          <w:rFonts w:ascii="Times New Roman" w:hAnsi="Times New Roman" w:cs="Times New Roman"/>
          <w:color w:val="000000" w:themeColor="text1"/>
          <w:kern w:val="2"/>
          <w:sz w:val="16"/>
          <w:szCs w:val="16"/>
        </w:rPr>
        <w:t>1917 на Кавказском фронте группа в II самолетов произвела налет на неприятельские резервы и гидроэвиэстанцию и сбросила там бомбы. На отражение налета поднялись непри</w:t>
      </w:r>
      <w:r w:rsidRPr="002F2FDF">
        <w:rPr>
          <w:rFonts w:ascii="Times New Roman" w:hAnsi="Times New Roman" w:cs="Times New Roman"/>
          <w:color w:val="000000" w:themeColor="text1"/>
          <w:kern w:val="2"/>
          <w:sz w:val="16"/>
          <w:szCs w:val="16"/>
        </w:rPr>
        <w:softHyphen/>
        <w:t>ятельские самолеты. В завязавшемся бою было сбито два самолета противника, из которых один был сбит французским летчи</w:t>
      </w:r>
      <w:r w:rsidRPr="002F2FDF">
        <w:rPr>
          <w:rFonts w:ascii="Times New Roman" w:hAnsi="Times New Roman" w:cs="Times New Roman"/>
          <w:color w:val="000000" w:themeColor="text1"/>
          <w:kern w:val="2"/>
          <w:sz w:val="16"/>
          <w:szCs w:val="16"/>
        </w:rPr>
        <w:softHyphen/>
        <w:t>ком лейтенантом Брюлъяром. ("Русский инвалид”. I сентября 1917 г.).</w:t>
      </w:r>
    </w:p>
    <w:p w14:paraId="0787C46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bookmarkEnd w:id="279"/>
    <w:p w14:paraId="2E97BE1B" w14:textId="77777777" w:rsidR="002C6FAA" w:rsidRDefault="002C6FAA"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22669E">
        <w:rPr>
          <w:rFonts w:ascii="Times New Roman" w:hAnsi="Times New Roman" w:cs="Times New Roman"/>
          <w:color w:val="0070C0"/>
          <w:kern w:val="2"/>
          <w:sz w:val="16"/>
          <w:szCs w:val="16"/>
        </w:rPr>
        <w:t xml:space="preserve">30 августа (12 сентября) 1917 на Кавказском фронте группа в </w:t>
      </w:r>
      <w:r>
        <w:rPr>
          <w:rFonts w:ascii="Times New Roman" w:hAnsi="Times New Roman" w:cs="Times New Roman"/>
          <w:color w:val="0070C0"/>
          <w:kern w:val="2"/>
          <w:sz w:val="16"/>
          <w:szCs w:val="16"/>
        </w:rPr>
        <w:t>11</w:t>
      </w:r>
      <w:r w:rsidRPr="0022669E">
        <w:rPr>
          <w:rFonts w:ascii="Times New Roman" w:hAnsi="Times New Roman" w:cs="Times New Roman"/>
          <w:color w:val="0070C0"/>
          <w:kern w:val="2"/>
          <w:sz w:val="16"/>
          <w:szCs w:val="16"/>
        </w:rPr>
        <w:t xml:space="preserve"> самолетов произвела налет на неприятельские резервы и гидроэвиэстанцию и сбросила там бомбы. На отражение налета поднялись непри</w:t>
      </w:r>
      <w:r w:rsidRPr="0022669E">
        <w:rPr>
          <w:rFonts w:ascii="Times New Roman" w:hAnsi="Times New Roman" w:cs="Times New Roman"/>
          <w:color w:val="0070C0"/>
          <w:kern w:val="2"/>
          <w:sz w:val="16"/>
          <w:szCs w:val="16"/>
        </w:rPr>
        <w:softHyphen/>
        <w:t>ятельские самолеты. В завязавшемся бою было сбито два самолета противника, из которых один был сбит французским летчи</w:t>
      </w:r>
      <w:r w:rsidRPr="0022669E">
        <w:rPr>
          <w:rFonts w:ascii="Times New Roman" w:hAnsi="Times New Roman" w:cs="Times New Roman"/>
          <w:color w:val="0070C0"/>
          <w:kern w:val="2"/>
          <w:sz w:val="16"/>
          <w:szCs w:val="16"/>
        </w:rPr>
        <w:softHyphen/>
        <w:t>ком лейтенантом Брюлъяром.</w:t>
      </w:r>
    </w:p>
    <w:p w14:paraId="0E64D519" w14:textId="4A8289A2" w:rsidR="002C6FAA" w:rsidRPr="0022669E" w:rsidRDefault="002C6FAA"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Pr>
          <w:rFonts w:ascii="Times New Roman" w:hAnsi="Times New Roman" w:cs="Times New Roman"/>
          <w:color w:val="0070C0"/>
          <w:kern w:val="2"/>
          <w:sz w:val="16"/>
          <w:szCs w:val="16"/>
        </w:rPr>
        <w:t>/</w:t>
      </w:r>
      <w:r w:rsidRPr="0022669E">
        <w:rPr>
          <w:rFonts w:ascii="Times New Roman" w:hAnsi="Times New Roman" w:cs="Times New Roman"/>
          <w:color w:val="0070C0"/>
          <w:kern w:val="2"/>
          <w:sz w:val="16"/>
          <w:szCs w:val="16"/>
        </w:rPr>
        <w:t>"Русский инвалид”</w:t>
      </w:r>
      <w:r>
        <w:rPr>
          <w:rFonts w:ascii="Times New Roman" w:hAnsi="Times New Roman" w:cs="Times New Roman"/>
          <w:color w:val="0070C0"/>
          <w:kern w:val="2"/>
          <w:sz w:val="16"/>
          <w:szCs w:val="16"/>
        </w:rPr>
        <w:t>,</w:t>
      </w:r>
      <w:r w:rsidRPr="0022669E">
        <w:rPr>
          <w:rFonts w:ascii="Times New Roman" w:hAnsi="Times New Roman" w:cs="Times New Roman"/>
          <w:color w:val="0070C0"/>
          <w:kern w:val="2"/>
          <w:sz w:val="16"/>
          <w:szCs w:val="16"/>
        </w:rPr>
        <w:t xml:space="preserve"> </w:t>
      </w:r>
      <w:r>
        <w:rPr>
          <w:rFonts w:ascii="Times New Roman" w:hAnsi="Times New Roman" w:cs="Times New Roman"/>
          <w:color w:val="0070C0"/>
          <w:kern w:val="2"/>
          <w:sz w:val="16"/>
          <w:szCs w:val="16"/>
        </w:rPr>
        <w:t>1</w:t>
      </w:r>
      <w:r w:rsidRPr="0022669E">
        <w:rPr>
          <w:rFonts w:ascii="Times New Roman" w:hAnsi="Times New Roman" w:cs="Times New Roman"/>
          <w:color w:val="0070C0"/>
          <w:kern w:val="2"/>
          <w:sz w:val="16"/>
          <w:szCs w:val="16"/>
        </w:rPr>
        <w:t xml:space="preserve"> сентября 1917 г.</w:t>
      </w:r>
      <w:r>
        <w:rPr>
          <w:rFonts w:ascii="Times New Roman" w:hAnsi="Times New Roman" w:cs="Times New Roman"/>
          <w:color w:val="0070C0"/>
          <w:kern w:val="2"/>
          <w:sz w:val="16"/>
          <w:szCs w:val="16"/>
        </w:rPr>
        <w:t>/ (23320)</w:t>
      </w:r>
      <w:r w:rsidRPr="0022669E">
        <w:rPr>
          <w:rFonts w:ascii="Times New Roman" w:hAnsi="Times New Roman" w:cs="Times New Roman"/>
          <w:color w:val="0070C0"/>
          <w:kern w:val="2"/>
          <w:sz w:val="16"/>
          <w:szCs w:val="16"/>
        </w:rPr>
        <w:t>.</w:t>
      </w:r>
    </w:p>
    <w:p w14:paraId="4D4FD7E7" w14:textId="77777777" w:rsidR="002C6FAA" w:rsidRPr="0022669E" w:rsidRDefault="002C6FAA"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p>
    <w:p w14:paraId="7E86AC3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августа (12 сентября) 1917 обозленные матросы аэростанции в Або, собравшись между станционными ангарами, убили Макаревича. В середине нояб</w:t>
      </w:r>
      <w:r w:rsidRPr="002F2FDF">
        <w:rPr>
          <w:rFonts w:ascii="Times New Roman" w:hAnsi="Times New Roman" w:cs="Times New Roman"/>
          <w:color w:val="000000" w:themeColor="text1"/>
          <w:kern w:val="2"/>
          <w:sz w:val="16"/>
          <w:szCs w:val="16"/>
        </w:rPr>
        <w:softHyphen/>
        <w:t>ря его аппарат все-таки почти закончили в местных авиамастерских и намеревались испытать; в начале декабря речь шла уже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самолет; в конце концов, это был единствен</w:t>
      </w:r>
      <w:r w:rsidRPr="002F2FDF">
        <w:rPr>
          <w:rFonts w:ascii="Times New Roman" w:hAnsi="Times New Roman" w:cs="Times New Roman"/>
          <w:color w:val="000000" w:themeColor="text1"/>
          <w:kern w:val="2"/>
          <w:sz w:val="16"/>
          <w:szCs w:val="16"/>
        </w:rPr>
        <w:softHyphen/>
        <w:t>ный способ существенно продлить карьеру модели, или даже вдохнуть в нее новую жизнь, после того, как 20 сентября 1917 г. в докладе Управления морской авиации и воздухоплавания (УМАиВ) говори</w:t>
      </w:r>
      <w:r w:rsidRPr="002F2FDF">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0F8A6D9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99F9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августа (12 сентября) 1917 всеобщее вооружение рабочих помогло бескровно подавить Корниловский мятеж (2239).</w:t>
      </w:r>
    </w:p>
    <w:p w14:paraId="49FA8C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FC05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августа (12 сентября) 1917 А.Ф.Керенский вступил в командование войсками и тем самым предотвратил попытку военного переворота (1348,86). Г А.М.Крымов, командир конного корпуса, направленного Корниловым на Петроград, покончил с собой. В ставке арестовали Корнилова и А.И.Деникина (3186). Б.В.Савинков подал прошение об отставке и был освобожден от всех должностей (3908,262).</w:t>
      </w:r>
    </w:p>
    <w:p w14:paraId="7E7891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785BE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E6A9B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DFAE46" w14:textId="77777777" w:rsidR="0016518E" w:rsidRPr="002F2FDF" w:rsidRDefault="0016518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августа (12 сентября) 1917 Керенский предложил Крымову прибыть в Питер для переговоров. Генерал поехал. После объяснения с Керенским генерал выстрелил себе в грудь из револьвера. Ему оказали первую помощь и отвезли в Николаевский госпиталь, где революционно настроенные санитары сорвали с генерала повязки и запинали сапогами до смерти (12629).</w:t>
      </w:r>
    </w:p>
    <w:p w14:paraId="622D72AB" w14:textId="77777777" w:rsidR="0016518E" w:rsidRPr="002F2FDF" w:rsidRDefault="0016518E"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94EFA7"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августа (12 сентября)в 1917 году А.Ф.Керенский берет на себя командование войсками. Провал попытки военного переворота (14767).</w:t>
      </w:r>
    </w:p>
    <w:p w14:paraId="60BA91DD"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p>
    <w:p w14:paraId="707AADF7"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августа (12 сентября)в 1917 году разгром корниловского мятежа (14767).</w:t>
      </w:r>
    </w:p>
    <w:p w14:paraId="2D70BF0A"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p>
    <w:p w14:paraId="595DA21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августа (12 сентября) 1917 в Киеве украинскими властями арестован редактор прорусской газеты “Киевлянин”, депутат Думы Василий Шульгин (4962).</w:t>
      </w:r>
    </w:p>
    <w:p w14:paraId="78206D2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08435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B0D2A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2A9A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августа (12 сентября) 1917 П.Пенлеве стал премьер-министром Франции (3907,91).</w:t>
      </w:r>
    </w:p>
    <w:p w14:paraId="2474B7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BDD9E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A5D0C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BFAE9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2B1C74" w:rsidRPr="002F2FDF" w14:paraId="62D34A81" w14:textId="77777777">
        <w:tc>
          <w:tcPr>
            <w:tcW w:w="1548" w:type="dxa"/>
            <w:tcBorders>
              <w:top w:val="single" w:sz="12" w:space="0" w:color="auto"/>
            </w:tcBorders>
            <w:shd w:val="clear" w:color="auto" w:fill="FFFFFF"/>
          </w:tcPr>
          <w:p w14:paraId="0A99CC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Дата контракта</w:t>
            </w:r>
          </w:p>
        </w:tc>
        <w:tc>
          <w:tcPr>
            <w:tcW w:w="1170" w:type="dxa"/>
            <w:tcBorders>
              <w:top w:val="single" w:sz="12" w:space="0" w:color="auto"/>
            </w:tcBorders>
            <w:shd w:val="clear" w:color="auto" w:fill="FFFFFF"/>
          </w:tcPr>
          <w:p w14:paraId="4949BE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заказанных аэропланов</w:t>
            </w:r>
          </w:p>
        </w:tc>
        <w:tc>
          <w:tcPr>
            <w:tcW w:w="6858" w:type="dxa"/>
            <w:tcBorders>
              <w:top w:val="single" w:sz="12" w:space="0" w:color="auto"/>
            </w:tcBorders>
            <w:shd w:val="clear" w:color="auto" w:fill="FFFFFF"/>
          </w:tcPr>
          <w:p w14:paraId="2D1391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Условия</w:t>
            </w:r>
          </w:p>
        </w:tc>
      </w:tr>
      <w:tr w:rsidR="002B1C74" w:rsidRPr="002F2FDF" w14:paraId="13D9E168" w14:textId="77777777">
        <w:tc>
          <w:tcPr>
            <w:tcW w:w="1548" w:type="dxa"/>
            <w:tcBorders>
              <w:bottom w:val="single" w:sz="12" w:space="0" w:color="auto"/>
            </w:tcBorders>
            <w:shd w:val="clear" w:color="auto" w:fill="FFFFFF"/>
          </w:tcPr>
          <w:p w14:paraId="5EDE23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Август 31 1917</w:t>
            </w:r>
          </w:p>
        </w:tc>
        <w:tc>
          <w:tcPr>
            <w:tcW w:w="1170" w:type="dxa"/>
            <w:tcBorders>
              <w:bottom w:val="single" w:sz="12" w:space="0" w:color="auto"/>
            </w:tcBorders>
            <w:shd w:val="clear" w:color="auto" w:fill="FFFFFF"/>
          </w:tcPr>
          <w:p w14:paraId="0AFC7A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6858" w:type="dxa"/>
            <w:tcBorders>
              <w:bottom w:val="single" w:sz="12" w:space="0" w:color="auto"/>
            </w:tcBorders>
            <w:shd w:val="clear" w:color="auto" w:fill="FFFFFF"/>
          </w:tcPr>
          <w:p w14:paraId="130723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контракт на ранее приобретенные аппараты (2807)</w:t>
            </w:r>
          </w:p>
        </w:tc>
      </w:tr>
    </w:tbl>
    <w:p w14:paraId="28A9012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2714F2" w14:textId="274E4B52" w:rsidR="006B7AC1" w:rsidRDefault="006B7AC1"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0FBA8BBF" w14:textId="77777777" w:rsidR="006B7AC1" w:rsidRDefault="006B7AC1"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28FDADC" w14:textId="51E92200" w:rsidR="006B7AC1" w:rsidRPr="00FB4F67" w:rsidRDefault="006B7AC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31 августа (</w:t>
      </w:r>
      <w:r w:rsidRPr="00FB4F67">
        <w:rPr>
          <w:rFonts w:ascii="Times New Roman" w:hAnsi="Times New Roman" w:cs="Times New Roman"/>
          <w:color w:val="0070C0"/>
          <w:sz w:val="16"/>
          <w:szCs w:val="16"/>
        </w:rPr>
        <w:t>13 сентября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ротмистр А.А. Козаков в районе восточнее Гусятина сбил семнадцатый по личному счету неприятельский самолет, летчики взяты в плен. Одновременно в одном из воздушных боев нашими пилотами был снижен один летательный аппарат противника, который спустился в расположении вражеских войск. Двумя днями ранее в районе Диаконешти (долина р. Тротуш) русской артиллерией сбит самолет противника. Летчики взяты в плен (23405).</w:t>
      </w:r>
    </w:p>
    <w:p w14:paraId="63CBCD70" w14:textId="77777777" w:rsidR="006B7AC1" w:rsidRPr="00FB4F67" w:rsidRDefault="006B7AC1" w:rsidP="0083075A">
      <w:pPr>
        <w:spacing w:after="0" w:line="240" w:lineRule="auto"/>
        <w:jc w:val="both"/>
        <w:rPr>
          <w:rFonts w:ascii="Times New Roman" w:hAnsi="Times New Roman" w:cs="Times New Roman"/>
          <w:color w:val="0070C0"/>
          <w:sz w:val="16"/>
          <w:szCs w:val="16"/>
        </w:rPr>
      </w:pPr>
      <w:bookmarkStart w:id="280" w:name="bookmark926"/>
    </w:p>
    <w:bookmarkEnd w:id="280"/>
    <w:p w14:paraId="769E6C71" w14:textId="525B32D9"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6B310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7E9D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августа (13 сентября) 1917 Красной гвардией и революционными войсками был ликвидирован Корниловский мятеж (3481).</w:t>
      </w:r>
    </w:p>
    <w:p w14:paraId="2A60A3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67DC5C" w14:textId="77777777" w:rsidR="0016518E" w:rsidRPr="002F2FDF" w:rsidRDefault="0016518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августа (13 сентября) 1917 Петроградский Совет принял предложенную большевиками резолюцию о переходе власти к Советам: за неё проголосовали почти все беспартийные депутаты. Аналогичные резолюции в тот же день или на следующий приняли свыше сотни местных советов, а 5 сентября за передачу власти Советам высказалась и Москва. Хороший ход - выбить у большевиков главный лозунг (12629).</w:t>
      </w:r>
    </w:p>
    <w:p w14:paraId="237D8A65" w14:textId="77777777" w:rsidR="0016518E" w:rsidRPr="002F2FDF" w:rsidRDefault="0016518E"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32F76C" w14:textId="77777777" w:rsidR="00392894" w:rsidRPr="002F2FDF" w:rsidRDefault="00392894"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августа (13 сентября) 1917 - переход Петроградского совета на сторону большевиков (17028).</w:t>
      </w:r>
    </w:p>
    <w:p w14:paraId="184A9C97" w14:textId="77777777" w:rsidR="00392894" w:rsidRPr="002F2FDF" w:rsidRDefault="00392894"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6602BC" w14:textId="77777777" w:rsidR="00A41326" w:rsidRPr="002F2FDF" w:rsidRDefault="00A41326" w:rsidP="0083075A">
      <w:pPr>
        <w:pStyle w:val="ae"/>
        <w:spacing w:before="0" w:after="0"/>
        <w:jc w:val="both"/>
        <w:rPr>
          <w:color w:val="000000" w:themeColor="text1"/>
          <w:kern w:val="2"/>
          <w:sz w:val="16"/>
          <w:szCs w:val="16"/>
        </w:rPr>
      </w:pPr>
      <w:r w:rsidRPr="002F2FDF">
        <w:rPr>
          <w:color w:val="000000" w:themeColor="text1"/>
          <w:kern w:val="2"/>
          <w:sz w:val="16"/>
          <w:szCs w:val="16"/>
        </w:rPr>
        <w:t>31 августа (13 сентября) 1917 Крымов по приглашению своего бывшего подчиненного полковника Самарина, теперь представлявшего Временное правительство, выехал в Петроград на переговоры с Керенским. Крымов надеялся объяснить действия Корнилова и его соратников по наведению порядка в стране и привлечь на свою сторону главу Временного правительства. Подробности разговора между ними остались неизвестными, но по отдельным репликам, доносившимся из-за двери, стало понятно, что понимания им найти не удалось. В частности, было слышно, как Крымов «обличал Керенского». Выйдя из кабинета, Крымов, понимая, что оказался фактически в ловушке и под угрозой ареста, выстрелил себе в сердце из пистолета, но умирал долго. Генерала даже успели привезти в госпиталь, где революционно настроенные фельдшеры срывали с него повязки и оскорбляли. Керенский разрешил вдове Крымова похоронить генерала только ночью и в присутствии лишь нескольких человек (17045).</w:t>
      </w:r>
    </w:p>
    <w:p w14:paraId="41838A6A" w14:textId="77777777" w:rsidR="00A41326" w:rsidRPr="002F2FDF" w:rsidRDefault="00A41326" w:rsidP="0083075A">
      <w:pPr>
        <w:spacing w:after="0" w:line="240" w:lineRule="auto"/>
        <w:jc w:val="both"/>
        <w:rPr>
          <w:rStyle w:val="ucoz-forum-post"/>
          <w:rFonts w:ascii="Times New Roman" w:hAnsi="Times New Roman" w:cs="Times New Roman"/>
          <w:bCs/>
          <w:color w:val="000000" w:themeColor="text1"/>
          <w:kern w:val="2"/>
          <w:sz w:val="16"/>
          <w:szCs w:val="16"/>
        </w:rPr>
      </w:pPr>
    </w:p>
    <w:p w14:paraId="6E61CD1D"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31 августа (13 сентября) </w:t>
      </w:r>
      <w:r w:rsidRPr="002F2FDF">
        <w:rPr>
          <w:rFonts w:ascii="Times New Roman" w:hAnsi="Times New Roman" w:cs="Times New Roman"/>
          <w:color w:val="000000" w:themeColor="text1"/>
          <w:kern w:val="2"/>
          <w:sz w:val="16"/>
          <w:szCs w:val="16"/>
        </w:rPr>
        <w:t>в 1917 году покончил с собой Александр Михайлович Крымов (родился 4 ноября 1871), генерал-лейтенант русской армии. Он отказался от поста военного министра в составе Временного правительства. Во время корниловского мятежа командиру 3-го конного корпуса был поручено подавить революционные выступления в Петрограде и арестовать Временное правительство. После провала похода на столицу Крымов застрелился на своей квартире (14768).</w:t>
      </w:r>
    </w:p>
    <w:p w14:paraId="3906B737"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p>
    <w:p w14:paraId="51AF7F3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августа (13 сентября) 1917 г А.Крымов, соратник генерала Л. Корнилова по бунту (4962) покончил жизнь самоубийством (3908,262).</w:t>
      </w:r>
    </w:p>
    <w:p w14:paraId="54AF35D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B17E6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44B14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613F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августа (13 сентября) 1917 Французское авиационное командование определило те основные условия, при которых должна была производиться атака германских привязных аэростатов.</w:t>
      </w:r>
    </w:p>
    <w:p w14:paraId="70CC9F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Уничтожение привязных аэростатов являлось одной из далеко не самых простых задач для истребителя; многие летчики уже погибли, выполняя подобное задание.</w:t>
      </w:r>
    </w:p>
    <w:p w14:paraId="752056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Поэтому Главная квартира пошла на разработку специальных инструкций.</w:t>
      </w:r>
    </w:p>
    <w:p w14:paraId="749B0C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Пилот должен был тщательно выбирать час атаки аэростата, чтобы иметь возможность зайти на него со стороны солнца. Он должен был атаковать наименее обдуваемую ветром сторону, так как она больше нагревалась на солнце и была более предрасположенной к загоранию (трехслойная огнеупорная оболочка была довольно устойчивой). Расстрел аэростата должен производиться с максимально возможного близкого расстояния (11999).</w:t>
      </w:r>
    </w:p>
    <w:p w14:paraId="7B48FB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941009"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31 августа (13 сентября) 1917 первый полет Сопвич 3F.2 Hippo (20341).</w:t>
      </w:r>
    </w:p>
    <w:p w14:paraId="66381B02"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p>
    <w:p w14:paraId="11711198" w14:textId="32D470D1"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31 августа (13 сентября)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г. из цеха выкатили истребитель Юнкерс J I (заводское обозначение J 4), который не смотрелся бы устаревшим, даже если бы это было лет на 10–15 позже. Ладный низкоплан с мощным свободнонесущим крылом с сужающимися законцовками «начинался» обтекаемым коком воздушного винта. Из него «вырастали» плавные обводы капота рядного мотора Мерседес D IIIa, переходившего в узкий контур маслобака (за ним была кабина с заголовником) и в обтекаемый фюзеляж овального сечения. Все это светилось под ярким солнцем алюминиевым блеском, и лишь радиатор охлаждения мотора, совершенно нелепо воткнутый прямо перед лицом пилота, портил общее впечатление. Специалист по теплообменникам Юнкерс пока не смог добиться хорошей его работы в тоннеле.</w:t>
      </w:r>
    </w:p>
    <w:p w14:paraId="39BC9CFB" w14:textId="53B5922F"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Доктор Отто Мадер и инженер Отто Рейтер придумали крыло без нервюр из нескольких трубчатых лонжеронов, соединенных скрещивающимися трубками и профилями в пространственную ферму. Такой же конструкции центроплан склепывался с фюзеляжем из легких стрингеров и шпангоутов, оперение и элероны были проще некуда</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лонжероны, пара нервюр на концах и гофрированная обшивка. Но Юнкерс J 3 и следующие J 5 и J 6 так и не были закончены, что вызвало недовольство IdFlieg, и на следующий проект J 7 денег уже не дали. Его фирма построила за счет прибыли от серийных стальных «пехотных самолетов» Юнкерс J I (заводское обозначение J 4) (22886).</w:t>
      </w:r>
    </w:p>
    <w:p w14:paraId="13DF1BD5"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p>
    <w:p w14:paraId="39E1BA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августа (13 сентября) 1917 30 тыс. чел. видели в португальской деревне Фатима в 80 милях от Лиссабона парящий над землей прозрачный шар, который опустился и через 10 мин. улетел (3710).</w:t>
      </w:r>
    </w:p>
    <w:p w14:paraId="23BC5B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0B39EA" w14:textId="77777777" w:rsidR="00DA7733" w:rsidRPr="002F2FDF" w:rsidRDefault="00DA773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5B98207" w14:textId="77777777" w:rsidR="00DA7733" w:rsidRPr="002F2FDF" w:rsidRDefault="00DA773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BE0CF9" w14:textId="77777777" w:rsidR="00DA7733" w:rsidRPr="002F2FDF" w:rsidRDefault="00DA773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конце августа 1917 г. командир АФП вновь обратился к Начальнику УВВФ с предложением об увеличении штатов и табельных средств парка, однако в письме от 20 сентября 1917 г. Начальник Увофлота указал на отсутствие в этом необходимости. Осенью 1917 г. в АФП состояло 118 и 100 человек постоянного и переменного состава соответственно. Назначение АФП оставалось прежним: снабжение частей фотоимуществом, его изготовление и обучение специалистов (19566).</w:t>
      </w:r>
    </w:p>
    <w:p w14:paraId="0E04A2C6" w14:textId="77777777" w:rsidR="00DA7733" w:rsidRPr="002F2FDF" w:rsidRDefault="00DA7733" w:rsidP="0083075A">
      <w:pPr>
        <w:spacing w:after="0" w:line="240" w:lineRule="auto"/>
        <w:jc w:val="both"/>
        <w:rPr>
          <w:rFonts w:ascii="Times New Roman" w:hAnsi="Times New Roman" w:cs="Times New Roman"/>
          <w:color w:val="000000" w:themeColor="text1"/>
          <w:sz w:val="16"/>
          <w:szCs w:val="16"/>
        </w:rPr>
      </w:pPr>
    </w:p>
    <w:p w14:paraId="116D5F15" w14:textId="77777777" w:rsidR="00EE7F7C" w:rsidRPr="00FB4F67" w:rsidRDefault="00EE7F7C" w:rsidP="0083075A">
      <w:pPr>
        <w:spacing w:after="0" w:line="240" w:lineRule="auto"/>
        <w:jc w:val="both"/>
        <w:rPr>
          <w:rFonts w:ascii="Times New Roman" w:hAnsi="Times New Roman" w:cs="Times New Roman"/>
          <w:color w:val="0070C0"/>
          <w:sz w:val="16"/>
          <w:szCs w:val="16"/>
        </w:rPr>
      </w:pPr>
      <w:bookmarkStart w:id="281" w:name="bookmark903"/>
      <w:bookmarkStart w:id="282" w:name="bookmark904"/>
      <w:r w:rsidRPr="00FB4F67">
        <w:rPr>
          <w:rFonts w:ascii="Times New Roman" w:hAnsi="Times New Roman" w:cs="Times New Roman"/>
          <w:color w:val="0070C0"/>
          <w:sz w:val="16"/>
          <w:szCs w:val="16"/>
        </w:rPr>
        <w:t>В конце августа 1917 г. взбунтовавшиеся части 1-й и 3-й русских бригад во Франции отказались отправляться на службу на Македонский фронт. Временное правительство объявило, что репатриирует их в Россию. Мужчины подвергались воздействию большевистской пропаганды (23525).</w:t>
      </w:r>
    </w:p>
    <w:p w14:paraId="2BE55523" w14:textId="77777777" w:rsidR="00EE7F7C" w:rsidRPr="00FB4F67" w:rsidRDefault="00EE7F7C" w:rsidP="0083075A">
      <w:pPr>
        <w:spacing w:after="0" w:line="240" w:lineRule="auto"/>
        <w:jc w:val="both"/>
        <w:rPr>
          <w:rFonts w:ascii="Times New Roman" w:hAnsi="Times New Roman" w:cs="Times New Roman"/>
          <w:color w:val="0070C0"/>
          <w:sz w:val="16"/>
          <w:szCs w:val="16"/>
        </w:rPr>
      </w:pPr>
    </w:p>
    <w:p w14:paraId="17FFF583" w14:textId="77777777" w:rsidR="00EE7F7C" w:rsidRPr="00FB4F67" w:rsidRDefault="00EE7F7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конце августа 1917 г. противник вновь усилил свою воздушную активность в восточном районе Балтийского моря. По данным газеты «Армия и Флот Свободной России», «около 40 неприятельских бомбовозов и истребителей совершили ряд налетов на различные пункты побережья островов Рижского залива и входа в Финский залив, сбросив около 90 бомб на суда флота и портовые сооружения». Объектами нападения стали вспомогательные суда «Копчик» и «Лот». Одна из 16 брошенных неприятелем бомб попала в «Лот», причинив ему незначительные повреждения. Имелись также человеческие жертвы: убиты механик и фельдшер, ранен один матрос. Южнее г. Пернов был зафиксирован полет цеппелина, ранее сбросивший бомбу у Гайнаша (безрезультатно).</w:t>
      </w:r>
      <w:bookmarkEnd w:id="281"/>
      <w:bookmarkEnd w:id="282"/>
    </w:p>
    <w:p w14:paraId="517A553E" w14:textId="77777777" w:rsidR="00EE7F7C" w:rsidRPr="00FB4F67" w:rsidRDefault="00EE7F7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При отражении воздушных налетов русские морские летчики неоднократно вступали в бой с вражескими самолетами, лишая противника возможности выполнять боевые задачи (23405).</w:t>
      </w:r>
    </w:p>
    <w:p w14:paraId="5D24FD45" w14:textId="77777777" w:rsidR="00EE7F7C" w:rsidRPr="00FB4F67" w:rsidRDefault="00EE7F7C" w:rsidP="0083075A">
      <w:pPr>
        <w:spacing w:after="0" w:line="240" w:lineRule="auto"/>
        <w:jc w:val="both"/>
        <w:rPr>
          <w:rFonts w:ascii="Times New Roman" w:hAnsi="Times New Roman" w:cs="Times New Roman"/>
          <w:color w:val="0070C0"/>
          <w:sz w:val="16"/>
          <w:szCs w:val="16"/>
        </w:rPr>
      </w:pPr>
    </w:p>
    <w:p w14:paraId="14AB42D8" w14:textId="77777777" w:rsidR="00EE7F7C" w:rsidRPr="002F2FDF" w:rsidRDefault="00EE7F7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C414164" w14:textId="77777777" w:rsidR="00EE7F7C" w:rsidRDefault="00EE7F7C"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1E76775E" w14:textId="77777777" w:rsidR="00EE7F7C" w:rsidRPr="00FB4F67" w:rsidRDefault="00EE7F7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Во второй половине августа 1917 г. первый экземпляр л/л «Эн</w:t>
      </w:r>
      <w:r w:rsidRPr="00FB4F67">
        <w:rPr>
          <w:rFonts w:ascii="Times New Roman" w:hAnsi="Times New Roman" w:cs="Times New Roman"/>
          <w:color w:val="0070C0"/>
          <w:sz w:val="16"/>
          <w:szCs w:val="16"/>
        </w:rPr>
        <w:softHyphen/>
        <w:t>гельс-lll» с двигателем «Рон» испытывал инструк</w:t>
      </w:r>
      <w:r w:rsidRPr="00FB4F67">
        <w:rPr>
          <w:rFonts w:ascii="Times New Roman" w:hAnsi="Times New Roman" w:cs="Times New Roman"/>
          <w:color w:val="0070C0"/>
          <w:sz w:val="16"/>
          <w:szCs w:val="16"/>
        </w:rPr>
        <w:softHyphen/>
        <w:t>тор Петроградской школы авиации лейте</w:t>
      </w:r>
      <w:r w:rsidRPr="00FB4F67">
        <w:rPr>
          <w:rFonts w:ascii="Times New Roman" w:hAnsi="Times New Roman" w:cs="Times New Roman"/>
          <w:color w:val="0070C0"/>
          <w:sz w:val="16"/>
          <w:szCs w:val="16"/>
        </w:rPr>
        <w:softHyphen/>
        <w:t>нант Н.А. Яковицкий Поначалу лодка, в связи со значительным разворачивающим момен</w:t>
      </w:r>
      <w:r w:rsidRPr="00FB4F67">
        <w:rPr>
          <w:rFonts w:ascii="Times New Roman" w:hAnsi="Times New Roman" w:cs="Times New Roman"/>
          <w:color w:val="0070C0"/>
          <w:sz w:val="16"/>
          <w:szCs w:val="16"/>
        </w:rPr>
        <w:softHyphen/>
        <w:t>том воздушного винта, на разбеге зарыва</w:t>
      </w:r>
      <w:r w:rsidRPr="00FB4F67">
        <w:rPr>
          <w:rFonts w:ascii="Times New Roman" w:hAnsi="Times New Roman" w:cs="Times New Roman"/>
          <w:color w:val="0070C0"/>
          <w:sz w:val="16"/>
          <w:szCs w:val="16"/>
        </w:rPr>
        <w:softHyphen/>
        <w:t>лась правым крылом в воду. После уста</w:t>
      </w:r>
      <w:r w:rsidRPr="00FB4F67">
        <w:rPr>
          <w:rFonts w:ascii="Times New Roman" w:hAnsi="Times New Roman" w:cs="Times New Roman"/>
          <w:color w:val="0070C0"/>
          <w:sz w:val="16"/>
          <w:szCs w:val="16"/>
        </w:rPr>
        <w:softHyphen/>
        <w:t>новки свинцового противовеса в левом крыле самолет удалось испытать и 10 октя</w:t>
      </w:r>
      <w:r w:rsidRPr="00FB4F67">
        <w:rPr>
          <w:rFonts w:ascii="Times New Roman" w:hAnsi="Times New Roman" w:cs="Times New Roman"/>
          <w:color w:val="0070C0"/>
          <w:sz w:val="16"/>
          <w:szCs w:val="16"/>
        </w:rPr>
        <w:softHyphen/>
        <w:t>бря 1917 г. первый экземпляр «Энгельс-lll» сдали морскому ведомству. Дальнейшая судьба этого экземпляра не ясна.</w:t>
      </w:r>
    </w:p>
    <w:p w14:paraId="41CE0320" w14:textId="77777777" w:rsidR="00EE7F7C" w:rsidRPr="00FB4F67" w:rsidRDefault="00EE7F7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Второй экземпляр «Энгельс-lll» в конце 1918 г. отправили в Петроградскую школу морской авиации, эвакуированную в Ниж</w:t>
      </w:r>
      <w:r w:rsidRPr="00FB4F67">
        <w:rPr>
          <w:rFonts w:ascii="Times New Roman" w:hAnsi="Times New Roman" w:cs="Times New Roman"/>
          <w:color w:val="0070C0"/>
          <w:sz w:val="16"/>
          <w:szCs w:val="16"/>
        </w:rPr>
        <w:softHyphen/>
        <w:t>ний Новгород. Интерес к самолету про</w:t>
      </w:r>
      <w:r w:rsidRPr="00FB4F67">
        <w:rPr>
          <w:rFonts w:ascii="Times New Roman" w:hAnsi="Times New Roman" w:cs="Times New Roman"/>
          <w:color w:val="0070C0"/>
          <w:sz w:val="16"/>
          <w:szCs w:val="16"/>
        </w:rPr>
        <w:softHyphen/>
        <w:t>явился лишь в 1920 г., когда школа вновь поменяла место дислокации и перебралась в Самару. Здесь, в 1921 г. состоялась бе</w:t>
      </w:r>
      <w:r w:rsidRPr="00FB4F67">
        <w:rPr>
          <w:rFonts w:ascii="Times New Roman" w:hAnsi="Times New Roman" w:cs="Times New Roman"/>
          <w:color w:val="0070C0"/>
          <w:sz w:val="16"/>
          <w:szCs w:val="16"/>
        </w:rPr>
        <w:softHyphen/>
        <w:t>зуспешная попытка взлета с воды, закон</w:t>
      </w:r>
      <w:r w:rsidRPr="00FB4F67">
        <w:rPr>
          <w:rFonts w:ascii="Times New Roman" w:hAnsi="Times New Roman" w:cs="Times New Roman"/>
          <w:color w:val="0070C0"/>
          <w:sz w:val="16"/>
          <w:szCs w:val="16"/>
        </w:rPr>
        <w:softHyphen/>
        <w:t>чившаяся повреждением законцовок кры</w:t>
      </w:r>
      <w:r w:rsidRPr="00FB4F67">
        <w:rPr>
          <w:rFonts w:ascii="Times New Roman" w:hAnsi="Times New Roman" w:cs="Times New Roman"/>
          <w:color w:val="0070C0"/>
          <w:sz w:val="16"/>
          <w:szCs w:val="16"/>
        </w:rPr>
        <w:softHyphen/>
        <w:t>ла. После ремонта на крыле установили боковые поплавки с самолета М-5 и вновь приступили к испытаниям. На взлете лета</w:t>
      </w:r>
      <w:r w:rsidRPr="00FB4F67">
        <w:rPr>
          <w:rFonts w:ascii="Times New Roman" w:hAnsi="Times New Roman" w:cs="Times New Roman"/>
          <w:color w:val="0070C0"/>
          <w:sz w:val="16"/>
          <w:szCs w:val="16"/>
        </w:rPr>
        <w:softHyphen/>
        <w:t>ющая лодка перевернулась и более не вос</w:t>
      </w:r>
      <w:r w:rsidRPr="00FB4F67">
        <w:rPr>
          <w:rFonts w:ascii="Times New Roman" w:hAnsi="Times New Roman" w:cs="Times New Roman"/>
          <w:color w:val="0070C0"/>
          <w:sz w:val="16"/>
          <w:szCs w:val="16"/>
        </w:rPr>
        <w:softHyphen/>
        <w:t>станавливалась (23374).</w:t>
      </w:r>
    </w:p>
    <w:p w14:paraId="175AC263" w14:textId="77777777" w:rsidR="00EE7F7C" w:rsidRPr="00FB4F67" w:rsidRDefault="00EE7F7C" w:rsidP="0083075A">
      <w:pPr>
        <w:spacing w:after="0" w:line="240" w:lineRule="auto"/>
        <w:jc w:val="both"/>
        <w:rPr>
          <w:rFonts w:ascii="Times New Roman" w:hAnsi="Times New Roman" w:cs="Times New Roman"/>
          <w:color w:val="0070C0"/>
          <w:sz w:val="16"/>
          <w:szCs w:val="16"/>
        </w:rPr>
      </w:pPr>
    </w:p>
    <w:p w14:paraId="62E53223" w14:textId="58811CF8"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DC149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1A482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г. Управ</w:t>
      </w:r>
      <w:r w:rsidRPr="002F2FDF">
        <w:rPr>
          <w:rFonts w:ascii="Times New Roman" w:hAnsi="Times New Roman" w:cs="Times New Roman"/>
          <w:color w:val="000000" w:themeColor="text1"/>
          <w:kern w:val="2"/>
          <w:sz w:val="16"/>
          <w:szCs w:val="16"/>
        </w:rPr>
        <w:softHyphen/>
        <w:t>ление морской авиации предложило конструкторам Д.П.Григоровичу, А.Ю.Виллишу и П.А.Шишкову на кон</w:t>
      </w:r>
      <w:r w:rsidRPr="002F2FDF">
        <w:rPr>
          <w:rFonts w:ascii="Times New Roman" w:hAnsi="Times New Roman" w:cs="Times New Roman"/>
          <w:color w:val="000000" w:themeColor="text1"/>
          <w:kern w:val="2"/>
          <w:sz w:val="16"/>
          <w:szCs w:val="16"/>
        </w:rPr>
        <w:softHyphen/>
        <w:t>курсной основе взяться за проектирование специализи</w:t>
      </w:r>
      <w:r w:rsidRPr="002F2FDF">
        <w:rPr>
          <w:rFonts w:ascii="Times New Roman" w:hAnsi="Times New Roman" w:cs="Times New Roman"/>
          <w:color w:val="000000" w:themeColor="text1"/>
          <w:kern w:val="2"/>
          <w:sz w:val="16"/>
          <w:szCs w:val="16"/>
        </w:rPr>
        <w:softHyphen/>
        <w:t>рованного боевого самолета (“контристребителя”), взле</w:t>
      </w:r>
      <w:r w:rsidRPr="002F2FDF">
        <w:rPr>
          <w:rFonts w:ascii="Times New Roman" w:hAnsi="Times New Roman" w:cs="Times New Roman"/>
          <w:color w:val="000000" w:themeColor="text1"/>
          <w:kern w:val="2"/>
          <w:sz w:val="16"/>
          <w:szCs w:val="16"/>
        </w:rPr>
        <w:softHyphen/>
        <w:t>тающего с корабля или суши, имеющего сбрасываемое шасси и способного после выполнения боевой задачи со</w:t>
      </w:r>
      <w:r w:rsidRPr="002F2FDF">
        <w:rPr>
          <w:rFonts w:ascii="Times New Roman" w:hAnsi="Times New Roman" w:cs="Times New Roman"/>
          <w:color w:val="000000" w:themeColor="text1"/>
          <w:kern w:val="2"/>
          <w:sz w:val="16"/>
          <w:szCs w:val="16"/>
        </w:rPr>
        <w:softHyphen/>
        <w:t>вершать посадку на воду. Особым пунктом значилось со</w:t>
      </w:r>
      <w:r w:rsidRPr="002F2FDF">
        <w:rPr>
          <w:rFonts w:ascii="Times New Roman" w:hAnsi="Times New Roman" w:cs="Times New Roman"/>
          <w:color w:val="000000" w:themeColor="text1"/>
          <w:kern w:val="2"/>
          <w:sz w:val="16"/>
          <w:szCs w:val="16"/>
        </w:rPr>
        <w:softHyphen/>
        <w:t>здание стартового устройства или катапульты для осуще</w:t>
      </w:r>
      <w:r w:rsidRPr="002F2FDF">
        <w:rPr>
          <w:rFonts w:ascii="Times New Roman" w:hAnsi="Times New Roman" w:cs="Times New Roman"/>
          <w:color w:val="000000" w:themeColor="text1"/>
          <w:kern w:val="2"/>
          <w:sz w:val="16"/>
          <w:szCs w:val="16"/>
        </w:rPr>
        <w:softHyphen/>
        <w:t>ствления взлета “контристребителя” с корабля. Задани</w:t>
      </w:r>
      <w:r w:rsidRPr="002F2FDF">
        <w:rPr>
          <w:rFonts w:ascii="Times New Roman" w:hAnsi="Times New Roman" w:cs="Times New Roman"/>
          <w:color w:val="000000" w:themeColor="text1"/>
          <w:kern w:val="2"/>
          <w:sz w:val="16"/>
          <w:szCs w:val="16"/>
        </w:rPr>
        <w:softHyphen/>
        <w:t>ем заинтересовался Виллиш, который ранее, в 1912 г., уже разрабатывал подобное устройство. Предложенный конструктором проект самолета имел обозначение ВМ-6. Он представлял собой одноместный расчалочный моноплан с двигателем “Испано-Сюиза” мощностью 200 л. с. Нижняя часть фюзеляжа ВМ-б имела килеватое днище для посадки на воду, сам корпус оборудо</w:t>
      </w:r>
      <w:r w:rsidRPr="002F2FDF">
        <w:rPr>
          <w:rFonts w:ascii="Times New Roman" w:hAnsi="Times New Roman" w:cs="Times New Roman"/>
          <w:color w:val="000000" w:themeColor="text1"/>
          <w:kern w:val="2"/>
          <w:sz w:val="16"/>
          <w:szCs w:val="16"/>
        </w:rPr>
        <w:softHyphen/>
        <w:t>вался водонепроницаемыми отсеками, обеспечивающи</w:t>
      </w:r>
      <w:r w:rsidRPr="002F2FDF">
        <w:rPr>
          <w:rFonts w:ascii="Times New Roman" w:hAnsi="Times New Roman" w:cs="Times New Roman"/>
          <w:color w:val="000000" w:themeColor="text1"/>
          <w:kern w:val="2"/>
          <w:sz w:val="16"/>
          <w:szCs w:val="16"/>
        </w:rPr>
        <w:softHyphen/>
        <w:t>ми непотопляемость на воде. Шасси сбрасывалось после взлета, лопасти воздушного винта при посадке устанавливались в горизонтальное положение, в верхней части пирамиды крепле</w:t>
      </w:r>
      <w:r w:rsidRPr="002F2FDF">
        <w:rPr>
          <w:rFonts w:ascii="Times New Roman" w:hAnsi="Times New Roman" w:cs="Times New Roman"/>
          <w:color w:val="000000" w:themeColor="text1"/>
          <w:kern w:val="2"/>
          <w:sz w:val="16"/>
          <w:szCs w:val="16"/>
        </w:rPr>
        <w:softHyphen/>
        <w:t>ния крыльевых расчалок имелся крюк для подъема самолета на ко</w:t>
      </w:r>
      <w:r w:rsidRPr="002F2FDF">
        <w:rPr>
          <w:rFonts w:ascii="Times New Roman" w:hAnsi="Times New Roman" w:cs="Times New Roman"/>
          <w:color w:val="000000" w:themeColor="text1"/>
          <w:kern w:val="2"/>
          <w:sz w:val="16"/>
          <w:szCs w:val="16"/>
        </w:rPr>
        <w:softHyphen/>
        <w:t>рабль (11107).</w:t>
      </w:r>
    </w:p>
    <w:p w14:paraId="4A4E36F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9F69D0"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г. Управление морской авиации пред</w:t>
      </w:r>
      <w:r w:rsidRPr="002F2FDF">
        <w:rPr>
          <w:rFonts w:ascii="Times New Roman" w:hAnsi="Times New Roman" w:cs="Times New Roman"/>
          <w:color w:val="000000" w:themeColor="text1"/>
          <w:kern w:val="2"/>
          <w:sz w:val="16"/>
          <w:szCs w:val="16"/>
        </w:rPr>
        <w:softHyphen/>
        <w:t>ложило конструкторам Д.П.Григоровичу, А.Ю.Виллишу и П.А.Шишкову на конкурс</w:t>
      </w:r>
      <w:r w:rsidRPr="002F2FDF">
        <w:rPr>
          <w:rFonts w:ascii="Times New Roman" w:hAnsi="Times New Roman" w:cs="Times New Roman"/>
          <w:color w:val="000000" w:themeColor="text1"/>
          <w:kern w:val="2"/>
          <w:sz w:val="16"/>
          <w:szCs w:val="16"/>
        </w:rPr>
        <w:softHyphen/>
        <w:t>ной основе взяться за проектирование спе</w:t>
      </w:r>
      <w:r w:rsidRPr="002F2FDF">
        <w:rPr>
          <w:rFonts w:ascii="Times New Roman" w:hAnsi="Times New Roman" w:cs="Times New Roman"/>
          <w:color w:val="000000" w:themeColor="text1"/>
          <w:kern w:val="2"/>
          <w:sz w:val="16"/>
          <w:szCs w:val="16"/>
        </w:rPr>
        <w:softHyphen/>
        <w:t>циализированного боевого самолета, так на</w:t>
      </w:r>
      <w:r w:rsidRPr="002F2FDF">
        <w:rPr>
          <w:rFonts w:ascii="Times New Roman" w:hAnsi="Times New Roman" w:cs="Times New Roman"/>
          <w:color w:val="000000" w:themeColor="text1"/>
          <w:kern w:val="2"/>
          <w:sz w:val="16"/>
          <w:szCs w:val="16"/>
        </w:rPr>
        <w:softHyphen/>
        <w:t>зываемого «контристребителя», взлетающе</w:t>
      </w:r>
      <w:r w:rsidRPr="002F2FDF">
        <w:rPr>
          <w:rFonts w:ascii="Times New Roman" w:hAnsi="Times New Roman" w:cs="Times New Roman"/>
          <w:color w:val="000000" w:themeColor="text1"/>
          <w:kern w:val="2"/>
          <w:sz w:val="16"/>
          <w:szCs w:val="16"/>
        </w:rPr>
        <w:softHyphen/>
        <w:t>го с корабля или суши, имеющего сбрасыва</w:t>
      </w:r>
      <w:r w:rsidRPr="002F2FDF">
        <w:rPr>
          <w:rFonts w:ascii="Times New Roman" w:hAnsi="Times New Roman" w:cs="Times New Roman"/>
          <w:color w:val="000000" w:themeColor="text1"/>
          <w:kern w:val="2"/>
          <w:sz w:val="16"/>
          <w:szCs w:val="16"/>
        </w:rPr>
        <w:softHyphen/>
        <w:t>емое шасси и способного после выполнения боевой задачи совершать посадку на воду. Особым пунктом значилось создание старто</w:t>
      </w:r>
      <w:r w:rsidRPr="002F2FDF">
        <w:rPr>
          <w:rFonts w:ascii="Times New Roman" w:hAnsi="Times New Roman" w:cs="Times New Roman"/>
          <w:color w:val="000000" w:themeColor="text1"/>
          <w:kern w:val="2"/>
          <w:sz w:val="16"/>
          <w:szCs w:val="16"/>
        </w:rPr>
        <w:softHyphen/>
        <w:t>вого устройства или катапульты для осущест</w:t>
      </w:r>
      <w:r w:rsidRPr="002F2FDF">
        <w:rPr>
          <w:rFonts w:ascii="Times New Roman" w:hAnsi="Times New Roman" w:cs="Times New Roman"/>
          <w:color w:val="000000" w:themeColor="text1"/>
          <w:kern w:val="2"/>
          <w:sz w:val="16"/>
          <w:szCs w:val="16"/>
        </w:rPr>
        <w:softHyphen/>
        <w:t>вления вхлета «контристребителя» с корабля.</w:t>
      </w:r>
    </w:p>
    <w:p w14:paraId="3FAB205D"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Более других заданием заинтересовался кон</w:t>
      </w:r>
      <w:r w:rsidRPr="002F2FDF">
        <w:rPr>
          <w:rFonts w:ascii="Times New Roman" w:hAnsi="Times New Roman" w:cs="Times New Roman"/>
          <w:color w:val="000000" w:themeColor="text1"/>
          <w:kern w:val="2"/>
          <w:sz w:val="16"/>
          <w:szCs w:val="16"/>
        </w:rPr>
        <w:softHyphen/>
        <w:t>структор Виллиш, который еще в 1912 г. раз</w:t>
      </w:r>
      <w:r w:rsidRPr="002F2FDF">
        <w:rPr>
          <w:rFonts w:ascii="Times New Roman" w:hAnsi="Times New Roman" w:cs="Times New Roman"/>
          <w:color w:val="000000" w:themeColor="text1"/>
          <w:kern w:val="2"/>
          <w:sz w:val="16"/>
          <w:szCs w:val="16"/>
        </w:rPr>
        <w:softHyphen/>
        <w:t>рабатывал подобное устройство. Предложен</w:t>
      </w:r>
      <w:r w:rsidRPr="002F2FDF">
        <w:rPr>
          <w:rFonts w:ascii="Times New Roman" w:hAnsi="Times New Roman" w:cs="Times New Roman"/>
          <w:color w:val="000000" w:themeColor="text1"/>
          <w:kern w:val="2"/>
          <w:sz w:val="16"/>
          <w:szCs w:val="16"/>
        </w:rPr>
        <w:softHyphen/>
        <w:t>ный конструктором проект самолета имел обо</w:t>
      </w:r>
      <w:r w:rsidRPr="002F2FDF">
        <w:rPr>
          <w:rFonts w:ascii="Times New Roman" w:hAnsi="Times New Roman" w:cs="Times New Roman"/>
          <w:color w:val="000000" w:themeColor="text1"/>
          <w:kern w:val="2"/>
          <w:sz w:val="16"/>
          <w:szCs w:val="16"/>
        </w:rPr>
        <w:softHyphen/>
        <w:t>значение ВМ-6, он представлял собой одно</w:t>
      </w:r>
      <w:r w:rsidRPr="002F2FDF">
        <w:rPr>
          <w:rFonts w:ascii="Times New Roman" w:hAnsi="Times New Roman" w:cs="Times New Roman"/>
          <w:color w:val="000000" w:themeColor="text1"/>
          <w:kern w:val="2"/>
          <w:sz w:val="16"/>
          <w:szCs w:val="16"/>
        </w:rPr>
        <w:softHyphen/>
        <w:t>местный расчалочный моноплан с двигателем «Испано Сюиза» 200 л.с. Нижняя часть фюзе</w:t>
      </w:r>
      <w:r w:rsidRPr="002F2FDF">
        <w:rPr>
          <w:rFonts w:ascii="Times New Roman" w:hAnsi="Times New Roman" w:cs="Times New Roman"/>
          <w:color w:val="000000" w:themeColor="text1"/>
          <w:kern w:val="2"/>
          <w:sz w:val="16"/>
          <w:szCs w:val="16"/>
        </w:rPr>
        <w:softHyphen/>
        <w:t>ляжа ВМ-6, для осуществления посадки на во</w:t>
      </w:r>
      <w:r w:rsidRPr="002F2FDF">
        <w:rPr>
          <w:rFonts w:ascii="Times New Roman" w:hAnsi="Times New Roman" w:cs="Times New Roman"/>
          <w:color w:val="000000" w:themeColor="text1"/>
          <w:kern w:val="2"/>
          <w:sz w:val="16"/>
          <w:szCs w:val="16"/>
        </w:rPr>
        <w:softHyphen/>
        <w:t>ду, имела килеватое днище, сам корпус обору</w:t>
      </w:r>
      <w:r w:rsidRPr="002F2FDF">
        <w:rPr>
          <w:rFonts w:ascii="Times New Roman" w:hAnsi="Times New Roman" w:cs="Times New Roman"/>
          <w:color w:val="000000" w:themeColor="text1"/>
          <w:kern w:val="2"/>
          <w:sz w:val="16"/>
          <w:szCs w:val="16"/>
        </w:rPr>
        <w:softHyphen/>
        <w:t>довался водонепроницаемыми отсеками, обес</w:t>
      </w:r>
      <w:r w:rsidRPr="002F2FDF">
        <w:rPr>
          <w:rFonts w:ascii="Times New Roman" w:hAnsi="Times New Roman" w:cs="Times New Roman"/>
          <w:color w:val="000000" w:themeColor="text1"/>
          <w:kern w:val="2"/>
          <w:sz w:val="16"/>
          <w:szCs w:val="16"/>
        </w:rPr>
        <w:softHyphen/>
        <w:t>печивающими непотопляемость на воде. Шас</w:t>
      </w:r>
      <w:r w:rsidRPr="002F2FDF">
        <w:rPr>
          <w:rFonts w:ascii="Times New Roman" w:hAnsi="Times New Roman" w:cs="Times New Roman"/>
          <w:color w:val="000000" w:themeColor="text1"/>
          <w:kern w:val="2"/>
          <w:sz w:val="16"/>
          <w:szCs w:val="16"/>
        </w:rPr>
        <w:softHyphen/>
        <w:t>си сбрасывалось после взлета, воздушный винт при посадке устанавливался в горизонтальное положение, в верхней части пирамиды крепле</w:t>
      </w:r>
      <w:r w:rsidRPr="002F2FDF">
        <w:rPr>
          <w:rFonts w:ascii="Times New Roman" w:hAnsi="Times New Roman" w:cs="Times New Roman"/>
          <w:color w:val="000000" w:themeColor="text1"/>
          <w:kern w:val="2"/>
          <w:sz w:val="16"/>
          <w:szCs w:val="16"/>
        </w:rPr>
        <w:softHyphen/>
        <w:t>ния крыльевых расчалок оборудовался крюк для подъема самолета на корабль.</w:t>
      </w:r>
    </w:p>
    <w:p w14:paraId="2305546C"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Проект «контристребителя» ВМ-6 и устрой</w:t>
      </w:r>
      <w:r w:rsidRPr="002F2FDF">
        <w:rPr>
          <w:rFonts w:ascii="Times New Roman" w:hAnsi="Times New Roman" w:cs="Times New Roman"/>
          <w:color w:val="000000" w:themeColor="text1"/>
          <w:kern w:val="2"/>
          <w:sz w:val="16"/>
          <w:szCs w:val="16"/>
        </w:rPr>
        <w:softHyphen/>
        <w:t>ства для взлета (катапульты, приводимой в действие сжатым воздухом) А.Ю.Виллиш представил в Управление морской авиации 13 сентября 1917 г. После рассмотрения пред</w:t>
      </w:r>
      <w:r w:rsidRPr="002F2FDF">
        <w:rPr>
          <w:rFonts w:ascii="Times New Roman" w:hAnsi="Times New Roman" w:cs="Times New Roman"/>
          <w:color w:val="000000" w:themeColor="text1"/>
          <w:kern w:val="2"/>
          <w:sz w:val="16"/>
          <w:szCs w:val="16"/>
        </w:rPr>
        <w:softHyphen/>
        <w:t>ставленных материалов было решено постро</w:t>
      </w:r>
      <w:r w:rsidRPr="002F2FDF">
        <w:rPr>
          <w:rFonts w:ascii="Times New Roman" w:hAnsi="Times New Roman" w:cs="Times New Roman"/>
          <w:color w:val="000000" w:themeColor="text1"/>
          <w:kern w:val="2"/>
          <w:sz w:val="16"/>
          <w:szCs w:val="16"/>
        </w:rPr>
        <w:softHyphen/>
        <w:t>ить на фабрике Ф.Мельцера 5 экземпляров ВМ-6, из которых первый образец почти за</w:t>
      </w:r>
      <w:r w:rsidRPr="002F2FDF">
        <w:rPr>
          <w:rFonts w:ascii="Times New Roman" w:hAnsi="Times New Roman" w:cs="Times New Roman"/>
          <w:color w:val="000000" w:themeColor="text1"/>
          <w:kern w:val="2"/>
          <w:sz w:val="16"/>
          <w:szCs w:val="16"/>
        </w:rPr>
        <w:softHyphen/>
        <w:t>кончили к весне 1918 г. Дальнейшего продол</w:t>
      </w:r>
      <w:r w:rsidRPr="002F2FDF">
        <w:rPr>
          <w:rFonts w:ascii="Times New Roman" w:hAnsi="Times New Roman" w:cs="Times New Roman"/>
          <w:color w:val="000000" w:themeColor="text1"/>
          <w:kern w:val="2"/>
          <w:sz w:val="16"/>
          <w:szCs w:val="16"/>
        </w:rPr>
        <w:softHyphen/>
        <w:t>жения в судьбе оригинального самолета по причине революционных событий и после</w:t>
      </w:r>
      <w:r w:rsidRPr="002F2FDF">
        <w:rPr>
          <w:rFonts w:ascii="Times New Roman" w:hAnsi="Times New Roman" w:cs="Times New Roman"/>
          <w:color w:val="000000" w:themeColor="text1"/>
          <w:kern w:val="2"/>
          <w:sz w:val="16"/>
          <w:szCs w:val="16"/>
        </w:rPr>
        <w:softHyphen/>
        <w:t>довавшего развала русской промышленности не последовало.</w:t>
      </w:r>
    </w:p>
    <w:p w14:paraId="1E847566" w14:textId="77777777" w:rsidR="00247666" w:rsidRPr="002F2FDF" w:rsidRDefault="00247666" w:rsidP="0083075A">
      <w:pPr>
        <w:pStyle w:val="113"/>
        <w:shd w:val="clear" w:color="auto" w:fill="auto"/>
        <w:spacing w:line="240" w:lineRule="auto"/>
        <w:jc w:val="both"/>
        <w:rPr>
          <w:rFonts w:ascii="Times New Roman" w:hAnsi="Times New Roman" w:cs="Times New Roman"/>
          <w:b w:val="0"/>
          <w:color w:val="000000" w:themeColor="text1"/>
          <w:kern w:val="2"/>
          <w:sz w:val="16"/>
          <w:szCs w:val="16"/>
        </w:rPr>
      </w:pPr>
      <w:r w:rsidRPr="002F2FDF">
        <w:rPr>
          <w:rFonts w:ascii="Times New Roman" w:hAnsi="Times New Roman" w:cs="Times New Roman"/>
          <w:b w:val="0"/>
          <w:color w:val="000000" w:themeColor="text1"/>
          <w:kern w:val="2"/>
          <w:sz w:val="16"/>
          <w:szCs w:val="16"/>
        </w:rPr>
        <w:t>Летные и технические характеристики ВМ-6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30"/>
        <w:gridCol w:w="8487"/>
      </w:tblGrid>
      <w:tr w:rsidR="002B1C74" w:rsidRPr="002F2FDF" w14:paraId="1570D4E6" w14:textId="77777777" w:rsidTr="009E49F6">
        <w:tc>
          <w:tcPr>
            <w:tcW w:w="3030" w:type="dxa"/>
          </w:tcPr>
          <w:p w14:paraId="5A988C71"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Размах крыла(м)</w:t>
            </w:r>
          </w:p>
        </w:tc>
        <w:tc>
          <w:tcPr>
            <w:tcW w:w="8487" w:type="dxa"/>
          </w:tcPr>
          <w:p w14:paraId="2950A258"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10,01</w:t>
            </w:r>
          </w:p>
        </w:tc>
      </w:tr>
      <w:tr w:rsidR="002B1C74" w:rsidRPr="002F2FDF" w14:paraId="5AA60E4B" w14:textId="77777777" w:rsidTr="009E49F6">
        <w:tc>
          <w:tcPr>
            <w:tcW w:w="3030" w:type="dxa"/>
          </w:tcPr>
          <w:p w14:paraId="24A4479C"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крыла (м</w:t>
            </w:r>
            <w:r w:rsidRPr="002F2FDF">
              <w:rPr>
                <w:rFonts w:ascii="Times New Roman" w:hAnsi="Times New Roman" w:cs="Times New Roman"/>
                <w:color w:val="000000" w:themeColor="text1"/>
                <w:kern w:val="2"/>
                <w:sz w:val="16"/>
                <w:szCs w:val="16"/>
                <w:vertAlign w:val="superscript"/>
              </w:rPr>
              <w:t>2</w:t>
            </w:r>
            <w:r w:rsidRPr="002F2FDF">
              <w:rPr>
                <w:rFonts w:ascii="Times New Roman" w:hAnsi="Times New Roman" w:cs="Times New Roman"/>
                <w:color w:val="000000" w:themeColor="text1"/>
                <w:kern w:val="2"/>
                <w:sz w:val="16"/>
                <w:szCs w:val="16"/>
              </w:rPr>
              <w:t>)</w:t>
            </w:r>
          </w:p>
        </w:tc>
        <w:tc>
          <w:tcPr>
            <w:tcW w:w="8487" w:type="dxa"/>
          </w:tcPr>
          <w:p w14:paraId="4D5BED29"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17,50</w:t>
            </w:r>
          </w:p>
        </w:tc>
      </w:tr>
      <w:tr w:rsidR="002B1C74" w:rsidRPr="002F2FDF" w14:paraId="1E5B18BA" w14:textId="77777777" w:rsidTr="009E49F6">
        <w:tc>
          <w:tcPr>
            <w:tcW w:w="3030" w:type="dxa"/>
          </w:tcPr>
          <w:p w14:paraId="2F7F2944"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Длина влинии полета (м)</w:t>
            </w:r>
          </w:p>
        </w:tc>
        <w:tc>
          <w:tcPr>
            <w:tcW w:w="8487" w:type="dxa"/>
          </w:tcPr>
          <w:p w14:paraId="3C5EDD43"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7,10</w:t>
            </w:r>
          </w:p>
        </w:tc>
      </w:tr>
      <w:tr w:rsidR="002B1C74" w:rsidRPr="002F2FDF" w14:paraId="09C98626" w14:textId="77777777" w:rsidTr="009E49F6">
        <w:tc>
          <w:tcPr>
            <w:tcW w:w="3030" w:type="dxa"/>
          </w:tcPr>
          <w:p w14:paraId="27D052B1"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Вес пустого (кг) </w:t>
            </w:r>
          </w:p>
        </w:tc>
        <w:tc>
          <w:tcPr>
            <w:tcW w:w="8487" w:type="dxa"/>
          </w:tcPr>
          <w:p w14:paraId="7E010FD6"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571</w:t>
            </w:r>
          </w:p>
        </w:tc>
      </w:tr>
      <w:tr w:rsidR="002B1C74" w:rsidRPr="002F2FDF" w14:paraId="057B5177" w14:textId="77777777" w:rsidTr="009E49F6">
        <w:tc>
          <w:tcPr>
            <w:tcW w:w="3030" w:type="dxa"/>
          </w:tcPr>
          <w:p w14:paraId="132C0798"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Полезная нагрузка (кг) </w:t>
            </w:r>
          </w:p>
        </w:tc>
        <w:tc>
          <w:tcPr>
            <w:tcW w:w="8487" w:type="dxa"/>
          </w:tcPr>
          <w:p w14:paraId="1B2C1701"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214</w:t>
            </w:r>
          </w:p>
        </w:tc>
      </w:tr>
      <w:tr w:rsidR="002B1C74" w:rsidRPr="002F2FDF" w14:paraId="3FF1E942" w14:textId="77777777" w:rsidTr="009E49F6">
        <w:tc>
          <w:tcPr>
            <w:tcW w:w="3030" w:type="dxa"/>
          </w:tcPr>
          <w:p w14:paraId="66F0FC5F"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Продолжительность полета (час)</w:t>
            </w:r>
          </w:p>
        </w:tc>
        <w:tc>
          <w:tcPr>
            <w:tcW w:w="8487" w:type="dxa"/>
          </w:tcPr>
          <w:p w14:paraId="460EC6EA"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r>
    </w:tbl>
    <w:p w14:paraId="3E8E522F"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(12301).</w:t>
      </w:r>
    </w:p>
    <w:p w14:paraId="74F39A4E"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p>
    <w:p w14:paraId="40739C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прототип МК-1 Д.П.Г., законченной строительством летом 1917, подготовили к заводским испытаниям, которые продолжались до ноября 1917, до дня, когда л Я.И.Седов-Серов и его пассажиры не попали в аварию при попытке взлета. машина зарылась в воду и вода проникла через носовой отсек. машина перевернулась и затонула и ее не ремонтировали (2807,74).</w:t>
      </w:r>
    </w:p>
    <w:p w14:paraId="2E3DE4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7D2E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Бреге-14 в двух модификациях (с двигателями воздушного и жидкостного охлаждения) попали в Россию - новейшие по тому времени (2086,42).</w:t>
      </w:r>
    </w:p>
    <w:p w14:paraId="386551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E72C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испытывали самолет В.А.Лебедева Лебедь-XVII - одностоечного биплана с Сальмсоном в 140 нр. Результаты были хорошими, но в серию не пошел, хотя до конца года сделали несколько (92,166).</w:t>
      </w:r>
    </w:p>
    <w:p w14:paraId="3CA5A9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773D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г. самолет "Лебедь"-ХVII прошел испытания и показал хорошие результаты, но в серийное производство не пошел, так как в октябре начались известные события, перечеркнувшие не только историю завода Лебедева, но и историю всей Российской Империи. До конца года построили всего несколько экземпляров "Лебедя"-ХVII. "Лебедь"-ХVII стал значительным шагом вперед. Конструктором этого одностоечного биплана был инженер Сергей Гуревич. Двухместный разведчик снабдили обтекаемым капотом для двигателя "Сальмсон" 150 л.с. Верхнее крыло впервые имело центроплан, два трубчатых радиатора крепились к Л-образным передним стойкам, борта фюзеляжа в передней части округлялись по контуру двигателя (11183).</w:t>
      </w:r>
    </w:p>
    <w:p w14:paraId="0B851B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E11F94"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августе 1917 г., по сведениям В.Р. Михеева, «Со</w:t>
      </w:r>
      <w:r w:rsidRPr="00FB4F67">
        <w:rPr>
          <w:rFonts w:ascii="Times New Roman" w:hAnsi="Times New Roman" w:cs="Times New Roman"/>
          <w:color w:val="0070C0"/>
          <w:sz w:val="16"/>
          <w:szCs w:val="16"/>
        </w:rPr>
        <w:softHyphen/>
        <w:t>трудники Акционерного общества воздухо</w:t>
      </w:r>
      <w:r w:rsidRPr="00FB4F67">
        <w:rPr>
          <w:rFonts w:ascii="Times New Roman" w:hAnsi="Times New Roman" w:cs="Times New Roman"/>
          <w:color w:val="0070C0"/>
          <w:sz w:val="16"/>
          <w:szCs w:val="16"/>
        </w:rPr>
        <w:softHyphen/>
        <w:t>плавания Лебедева восстановили «Гранд» на таганрогском заводе общества. Вместо утерянных при переезде «Сальмсонов» они установили на самолете два двенадцатицилиндровых V-образных мотора «Рено» мощностью по 225 л.с. Уп</w:t>
      </w:r>
      <w:r w:rsidRPr="00FB4F67">
        <w:rPr>
          <w:rFonts w:ascii="Times New Roman" w:hAnsi="Times New Roman" w:cs="Times New Roman"/>
          <w:color w:val="0070C0"/>
          <w:sz w:val="16"/>
          <w:szCs w:val="16"/>
        </w:rPr>
        <w:softHyphen/>
        <w:t>равление Военно-воздушного флота обе</w:t>
      </w:r>
      <w:r w:rsidRPr="00FB4F67">
        <w:rPr>
          <w:rFonts w:ascii="Times New Roman" w:hAnsi="Times New Roman" w:cs="Times New Roman"/>
          <w:color w:val="0070C0"/>
          <w:sz w:val="16"/>
          <w:szCs w:val="16"/>
        </w:rPr>
        <w:softHyphen/>
        <w:t>щало прислать вскоре еще более мощную модификацию этих двигателей мощностью по 300 л.с. С ними Л-14 мог бы стать впол</w:t>
      </w:r>
      <w:r w:rsidRPr="00FB4F67">
        <w:rPr>
          <w:rFonts w:ascii="Times New Roman" w:hAnsi="Times New Roman" w:cs="Times New Roman"/>
          <w:color w:val="0070C0"/>
          <w:sz w:val="16"/>
          <w:szCs w:val="16"/>
        </w:rPr>
        <w:softHyphen/>
        <w:t>не современной для того времени боевой машиной — средним бомбардировщиком, но этому не суждено было случиться.</w:t>
      </w:r>
    </w:p>
    <w:p w14:paraId="268535A0"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...Выдающееся творение В.И. Ярковско- го и Л.Д. Колпакова-Мирошниченко оста</w:t>
      </w:r>
      <w:r w:rsidRPr="00FB4F67">
        <w:rPr>
          <w:rFonts w:ascii="Times New Roman" w:hAnsi="Times New Roman" w:cs="Times New Roman"/>
          <w:color w:val="0070C0"/>
          <w:sz w:val="16"/>
          <w:szCs w:val="16"/>
        </w:rPr>
        <w:softHyphen/>
        <w:t>лось стоять на краю таганрогского аэро</w:t>
      </w:r>
      <w:r w:rsidRPr="00FB4F67">
        <w:rPr>
          <w:rFonts w:ascii="Times New Roman" w:hAnsi="Times New Roman" w:cs="Times New Roman"/>
          <w:color w:val="0070C0"/>
          <w:sz w:val="16"/>
          <w:szCs w:val="16"/>
        </w:rPr>
        <w:softHyphen/>
        <w:t>дрома, где и сгнило».</w:t>
      </w:r>
    </w:p>
    <w:p w14:paraId="5F671231"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Летные и технические характеристики «Лебедь-XIV»</w:t>
      </w:r>
    </w:p>
    <w:p w14:paraId="1031BE31"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Размах верхнего крыла (м)</w:t>
      </w:r>
      <w:r w:rsidRPr="00FB4F67">
        <w:rPr>
          <w:rFonts w:ascii="Times New Roman" w:hAnsi="Times New Roman" w:cs="Times New Roman"/>
          <w:color w:val="0070C0"/>
          <w:sz w:val="16"/>
          <w:szCs w:val="16"/>
        </w:rPr>
        <w:tab/>
        <w:t>23,6</w:t>
      </w:r>
    </w:p>
    <w:p w14:paraId="5F5A0FDA"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Длинавлинииполета(м)</w:t>
      </w:r>
      <w:r w:rsidRPr="00FB4F67">
        <w:rPr>
          <w:rFonts w:ascii="Times New Roman" w:hAnsi="Times New Roman" w:cs="Times New Roman"/>
          <w:color w:val="0070C0"/>
          <w:sz w:val="16"/>
          <w:szCs w:val="16"/>
        </w:rPr>
        <w:tab/>
        <w:t>12,3</w:t>
      </w:r>
    </w:p>
    <w:p w14:paraId="1D1F04ED"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Площадькрыльев(м2)</w:t>
      </w:r>
      <w:r w:rsidRPr="00FB4F67">
        <w:rPr>
          <w:rFonts w:ascii="Times New Roman" w:hAnsi="Times New Roman" w:cs="Times New Roman"/>
          <w:color w:val="0070C0"/>
          <w:sz w:val="16"/>
          <w:szCs w:val="16"/>
        </w:rPr>
        <w:tab/>
        <w:t>91,5</w:t>
      </w:r>
    </w:p>
    <w:p w14:paraId="4A0CACB2"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Вес пустого (кг)</w:t>
      </w:r>
      <w:r w:rsidRPr="00FB4F67">
        <w:rPr>
          <w:rFonts w:ascii="Times New Roman" w:hAnsi="Times New Roman" w:cs="Times New Roman"/>
          <w:color w:val="0070C0"/>
          <w:sz w:val="16"/>
          <w:szCs w:val="16"/>
        </w:rPr>
        <w:tab/>
        <w:t>2210</w:t>
      </w:r>
    </w:p>
    <w:p w14:paraId="634A1622"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Полетный вес (кг)</w:t>
      </w:r>
      <w:r w:rsidRPr="00FB4F67">
        <w:rPr>
          <w:rFonts w:ascii="Times New Roman" w:hAnsi="Times New Roman" w:cs="Times New Roman"/>
          <w:color w:val="0070C0"/>
          <w:sz w:val="16"/>
          <w:szCs w:val="16"/>
        </w:rPr>
        <w:tab/>
        <w:t>3170 (23374).</w:t>
      </w:r>
    </w:p>
    <w:p w14:paraId="2C3FFEA7" w14:textId="77777777" w:rsidR="007E6D50" w:rsidRPr="00FB4F67" w:rsidRDefault="007E6D50" w:rsidP="0083075A">
      <w:pPr>
        <w:spacing w:after="0" w:line="240" w:lineRule="auto"/>
        <w:jc w:val="both"/>
        <w:rPr>
          <w:rFonts w:ascii="Times New Roman" w:hAnsi="Times New Roman" w:cs="Times New Roman"/>
          <w:color w:val="0070C0"/>
          <w:sz w:val="16"/>
          <w:szCs w:val="16"/>
        </w:rPr>
      </w:pPr>
    </w:p>
    <w:p w14:paraId="2E192084"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августе 1917 г. построили и испытали «Лебедь-XVII».</w:t>
      </w:r>
    </w:p>
    <w:p w14:paraId="1501253F"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Двух</w:t>
      </w:r>
      <w:r w:rsidRPr="00FB4F67">
        <w:rPr>
          <w:rFonts w:ascii="Times New Roman" w:hAnsi="Times New Roman" w:cs="Times New Roman"/>
          <w:color w:val="0070C0"/>
          <w:sz w:val="16"/>
          <w:szCs w:val="16"/>
        </w:rPr>
        <w:softHyphen/>
        <w:t>стоечный разведчик «Лебедь-XVII», спроек</w:t>
      </w:r>
      <w:r w:rsidRPr="00FB4F67">
        <w:rPr>
          <w:rFonts w:ascii="Times New Roman" w:hAnsi="Times New Roman" w:cs="Times New Roman"/>
          <w:color w:val="0070C0"/>
          <w:sz w:val="16"/>
          <w:szCs w:val="16"/>
        </w:rPr>
        <w:softHyphen/>
        <w:t>тированный С.Б. Гуревичем, стал прямым развитием «Лебедь-XII». Конструктивно и аэродинамически более совершенный, чем базовая модель, имеющий тщательно закапотированный двигатель «Сальмсон», этот самолет предполагался для продол</w:t>
      </w:r>
      <w:r w:rsidRPr="00FB4F67">
        <w:rPr>
          <w:rFonts w:ascii="Times New Roman" w:hAnsi="Times New Roman" w:cs="Times New Roman"/>
          <w:color w:val="0070C0"/>
          <w:sz w:val="16"/>
          <w:szCs w:val="16"/>
        </w:rPr>
        <w:softHyphen/>
        <w:t>жения серии двухместных армейских раз</w:t>
      </w:r>
      <w:r w:rsidRPr="00FB4F67">
        <w:rPr>
          <w:rFonts w:ascii="Times New Roman" w:hAnsi="Times New Roman" w:cs="Times New Roman"/>
          <w:color w:val="0070C0"/>
          <w:sz w:val="16"/>
          <w:szCs w:val="16"/>
        </w:rPr>
        <w:softHyphen/>
        <w:t>ведчиков. Заметным отличием самолета стало наличие жесткого верхнего центро</w:t>
      </w:r>
      <w:r w:rsidRPr="00FB4F67">
        <w:rPr>
          <w:rFonts w:ascii="Times New Roman" w:hAnsi="Times New Roman" w:cs="Times New Roman"/>
          <w:color w:val="0070C0"/>
          <w:sz w:val="16"/>
          <w:szCs w:val="16"/>
        </w:rPr>
        <w:softHyphen/>
        <w:t>плана, повышающего надежность регули</w:t>
      </w:r>
      <w:r w:rsidRPr="00FB4F67">
        <w:rPr>
          <w:rFonts w:ascii="Times New Roman" w:hAnsi="Times New Roman" w:cs="Times New Roman"/>
          <w:color w:val="0070C0"/>
          <w:sz w:val="16"/>
          <w:szCs w:val="16"/>
        </w:rPr>
        <w:softHyphen/>
        <w:t>ровки крыльев.</w:t>
      </w:r>
    </w:p>
    <w:p w14:paraId="67FEABB0"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Осенью началось его осво</w:t>
      </w:r>
      <w:r w:rsidRPr="00FB4F67">
        <w:rPr>
          <w:rFonts w:ascii="Times New Roman" w:hAnsi="Times New Roman" w:cs="Times New Roman"/>
          <w:color w:val="0070C0"/>
          <w:sz w:val="16"/>
          <w:szCs w:val="16"/>
        </w:rPr>
        <w:softHyphen/>
        <w:t>ение на заводе в Петрограде. До конца го</w:t>
      </w:r>
      <w:r w:rsidRPr="00FB4F67">
        <w:rPr>
          <w:rFonts w:ascii="Times New Roman" w:hAnsi="Times New Roman" w:cs="Times New Roman"/>
          <w:color w:val="0070C0"/>
          <w:sz w:val="16"/>
          <w:szCs w:val="16"/>
        </w:rPr>
        <w:softHyphen/>
        <w:t>да удалось построить несколько экземпля</w:t>
      </w:r>
      <w:r w:rsidRPr="00FB4F67">
        <w:rPr>
          <w:rFonts w:ascii="Times New Roman" w:hAnsi="Times New Roman" w:cs="Times New Roman"/>
          <w:color w:val="0070C0"/>
          <w:sz w:val="16"/>
          <w:szCs w:val="16"/>
        </w:rPr>
        <w:softHyphen/>
        <w:t>ров. По крайней мере, один из них исполь</w:t>
      </w:r>
      <w:r w:rsidRPr="00FB4F67">
        <w:rPr>
          <w:rFonts w:ascii="Times New Roman" w:hAnsi="Times New Roman" w:cs="Times New Roman"/>
          <w:color w:val="0070C0"/>
          <w:sz w:val="16"/>
          <w:szCs w:val="16"/>
        </w:rPr>
        <w:softHyphen/>
        <w:t>зовался в Красной Армии (23374).</w:t>
      </w:r>
    </w:p>
    <w:p w14:paraId="300D7BEB" w14:textId="77777777" w:rsidR="007E6D50" w:rsidRPr="00FB4F67" w:rsidRDefault="007E6D50" w:rsidP="0083075A">
      <w:pPr>
        <w:spacing w:after="0" w:line="240" w:lineRule="auto"/>
        <w:jc w:val="both"/>
        <w:rPr>
          <w:rFonts w:ascii="Times New Roman" w:hAnsi="Times New Roman" w:cs="Times New Roman"/>
          <w:color w:val="0070C0"/>
          <w:sz w:val="16"/>
          <w:szCs w:val="16"/>
        </w:rPr>
      </w:pPr>
    </w:p>
    <w:p w14:paraId="1057BF50"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августе 1917 года прошли летные испытания трехместного биплана «Лебедь-16» с двумя двигателями «Рона» мощностью 80 л.</w:t>
      </w:r>
    </w:p>
    <w:p w14:paraId="11532AD8"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Лебедь-17, разработанный совместно с Гуревичем, с одним двигателем Salmson мощностью 150 л.с.. Было построено несколько самолетов, но в серийное производство он так и не пошел.</w:t>
      </w:r>
    </w:p>
    <w:p w14:paraId="3E9F5E96"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Salmson мощностью 150 л.с. Лебедь 24 остался проектом из-за непоставки ожидаемых двигателей Fiat и Hispano-Suiza.</w:t>
      </w:r>
    </w:p>
    <w:p w14:paraId="02FC6A3A"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Nieuport X; 10 марта 1917 г. - 15 из 60 Nieuport X; 30 мая 1917 г. - ни одного из 200 Лебедей 24; 1917 г., 5 июля - заказ на 140 Sopwith 1/2 Страттерс и 60 Лебедей для школы, неизвестно, были ли они построены.</w:t>
      </w:r>
    </w:p>
    <w:p w14:paraId="2883DC5C"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65A96C1F"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2FA5C2AB" w14:textId="77777777" w:rsidR="007E6D50" w:rsidRDefault="007E6D50" w:rsidP="0083075A">
      <w:pPr>
        <w:spacing w:line="240" w:lineRule="auto"/>
        <w:jc w:val="both"/>
        <w:rPr>
          <w:rFonts w:ascii="Times New Roman" w:hAnsi="Times New Roman" w:cs="Times New Roman"/>
          <w:color w:val="0070C0"/>
          <w:sz w:val="16"/>
          <w:szCs w:val="16"/>
        </w:rPr>
      </w:pPr>
    </w:p>
    <w:p w14:paraId="0C76B3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августа 1917 завод Анатра начал строить Анасали, но до конца года сдал всего 46 (5151, 13).</w:t>
      </w:r>
    </w:p>
    <w:p w14:paraId="40C26F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4C8B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на завод Дукс прибыл неполный комплект чертежей DH-4, но производство организовали только к сентябрю 1918 (9651,54).</w:t>
      </w:r>
    </w:p>
    <w:p w14:paraId="598C99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EF6E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1917-го завод Анатра приступил к изготовлению первой партии машин Анасаль (9806).</w:t>
      </w:r>
    </w:p>
    <w:p w14:paraId="59621A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A240AA"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г. был подготовлен акт обследования Симферопольского завода Анатра. На заводе насчитывалось около 370 рабочих. Производственные постройки общей площадью более 2500 кв. саженей вполне допускали интенсивную работу, но вот обеспеченность оборудованием составляла всего 60%. Насчитывалось только 67 станков и 18 двигателей общей мощностью 85 л.с. Не хватало даже ручного инструмента. Был отмечен недостаточный уровень технической подготовки дирекции, а также плохое состояние подъездных путей. Вопиющим признали привлечение в военное время квалифицированных столяров-авиастроителей к изготовлению... мебели! (12252).</w:t>
      </w:r>
    </w:p>
    <w:p w14:paraId="22977A46"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p>
    <w:p w14:paraId="26F80FFE"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августе 1917 г. завод Анатра приступил к изготовлению первой партии самолетов. До конца года удалось изгото</w:t>
      </w:r>
      <w:r w:rsidRPr="00FB4F67">
        <w:rPr>
          <w:rFonts w:ascii="Times New Roman" w:hAnsi="Times New Roman" w:cs="Times New Roman"/>
          <w:color w:val="0070C0"/>
          <w:sz w:val="16"/>
          <w:szCs w:val="16"/>
        </w:rPr>
        <w:softHyphen/>
        <w:t>вить более 100 «Анасалей», 46 из них сда</w:t>
      </w:r>
      <w:r w:rsidRPr="00FB4F67">
        <w:rPr>
          <w:rFonts w:ascii="Times New Roman" w:hAnsi="Times New Roman" w:cs="Times New Roman"/>
          <w:color w:val="0070C0"/>
          <w:sz w:val="16"/>
          <w:szCs w:val="16"/>
        </w:rPr>
        <w:softHyphen/>
        <w:t>ли военному ведомству. Послужить в авиа</w:t>
      </w:r>
      <w:r w:rsidRPr="00FB4F67">
        <w:rPr>
          <w:rFonts w:ascii="Times New Roman" w:hAnsi="Times New Roman" w:cs="Times New Roman"/>
          <w:color w:val="0070C0"/>
          <w:sz w:val="16"/>
          <w:szCs w:val="16"/>
        </w:rPr>
        <w:softHyphen/>
        <w:t>ции русской армии эти самолеты практиче</w:t>
      </w:r>
      <w:r w:rsidRPr="00FB4F67">
        <w:rPr>
          <w:rFonts w:ascii="Times New Roman" w:hAnsi="Times New Roman" w:cs="Times New Roman"/>
          <w:color w:val="0070C0"/>
          <w:sz w:val="16"/>
          <w:szCs w:val="16"/>
        </w:rPr>
        <w:softHyphen/>
        <w:t>ски не успели, т.к. революционные события привели к развалу армии и от</w:t>
      </w:r>
      <w:r w:rsidRPr="00FB4F67">
        <w:rPr>
          <w:rFonts w:ascii="Times New Roman" w:hAnsi="Times New Roman" w:cs="Times New Roman"/>
          <w:color w:val="0070C0"/>
          <w:sz w:val="16"/>
          <w:szCs w:val="16"/>
        </w:rPr>
        <w:softHyphen/>
        <w:t>ступлению с линии фронта войсковых со</w:t>
      </w:r>
      <w:r w:rsidRPr="00FB4F67">
        <w:rPr>
          <w:rFonts w:ascii="Times New Roman" w:hAnsi="Times New Roman" w:cs="Times New Roman"/>
          <w:color w:val="0070C0"/>
          <w:sz w:val="16"/>
          <w:szCs w:val="16"/>
        </w:rPr>
        <w:softHyphen/>
        <w:t>единений (23374).</w:t>
      </w:r>
    </w:p>
    <w:p w14:paraId="158A4B6F" w14:textId="77777777" w:rsidR="007E6D50" w:rsidRPr="00FB4F67" w:rsidRDefault="007E6D50" w:rsidP="0083075A">
      <w:pPr>
        <w:spacing w:after="0" w:line="240" w:lineRule="auto"/>
        <w:jc w:val="both"/>
        <w:rPr>
          <w:rFonts w:ascii="Times New Roman" w:hAnsi="Times New Roman" w:cs="Times New Roman"/>
          <w:color w:val="0070C0"/>
          <w:sz w:val="16"/>
          <w:szCs w:val="16"/>
        </w:rPr>
      </w:pPr>
    </w:p>
    <w:p w14:paraId="757C91BA"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августе 1917 г. А.А. Анатра писал в УВВФ: «Строящиеся “Анасали” ввиду резкого повышения цен на материалы, заработной платы и других причин, тесно связанных с нынешнем политическим положением, приносят заводу убыток в 6 тыс. рублей на аппарат и, соответственно, на запасные части, ввиду чего завод ходатайствует перед Увофлотом о повышении на такую же сумму стоимости заказанных самолетов и запасных частей к ним» (23472).</w:t>
      </w:r>
    </w:p>
    <w:p w14:paraId="46EF7372" w14:textId="77777777" w:rsidR="007E6D50" w:rsidRDefault="007E6D50" w:rsidP="0083075A">
      <w:pPr>
        <w:spacing w:line="240" w:lineRule="auto"/>
        <w:jc w:val="both"/>
        <w:rPr>
          <w:rFonts w:ascii="Times New Roman" w:hAnsi="Times New Roman" w:cs="Times New Roman"/>
          <w:color w:val="0070C0"/>
          <w:sz w:val="16"/>
          <w:szCs w:val="16"/>
        </w:rPr>
      </w:pPr>
    </w:p>
    <w:p w14:paraId="283A91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г. летчик Рябоконь ходатайствует о командировании его в Мариуполь для постройки машины в мастерских Мариупольской технической школы. Однако технический комитет вместо принятия оперативных мер встал на путь обследований. Все это не позволило реализовать проект этого интересного самолета-разведчика, и он не был принят на вооружение отечественной авиации (9797).</w:t>
      </w:r>
    </w:p>
    <w:p w14:paraId="69FE95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CBC1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г. неполный комплект чертежей и конструкторской документации ДН-4 прибыл в Москву на завод “Дукс”, но начавшиеся революционные события помешали внед</w:t>
      </w:r>
      <w:r w:rsidRPr="002F2FDF">
        <w:rPr>
          <w:rFonts w:ascii="Times New Roman" w:hAnsi="Times New Roman" w:cs="Times New Roman"/>
          <w:color w:val="000000" w:themeColor="text1"/>
          <w:kern w:val="2"/>
          <w:sz w:val="16"/>
          <w:szCs w:val="16"/>
        </w:rPr>
        <w:softHyphen/>
        <w:t>рению ДН-4 в производство. Только в сентябре 1918 г. “Дукс” получил заказ на изготовление 70 самолетов. Подготовку конструкторской документации возложили на коллектив Технического отдела (10667).</w:t>
      </w:r>
    </w:p>
    <w:p w14:paraId="31BA02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0D9F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г. из Англии в Москву привезли чертежи и спецификации многоцелевого биплана DH.4. Однако комплект документации оказался неполным. 30 сентября 1918 г. уже красный воздушный флот заказал московскому заводу «Дукс» (в том же году переименованному в Государственный авиазавод № 1 или ГАЗ-1) изготовление 70 машин с имевшимися итальянскими моторами ФИАТ А-12 в 260 л.с. Первая партия машин должна была выйти из цеха в середине 1919 г., а весь заказ требовалось выполнить к 1 мая 1920 г. Исходно на DH.4 стоял английский мотор Сиддли «Пума» в 230 л.с. Необходимо было подготовить недостающие чертежи планера и приспособить его к другому двигателю. В техническом бюро завода числилось всего 11 человек, поэтому к работе привлекли практически всех инженеров предприятия. Руководил проектированием Н.Н. Поликарпов (11923).</w:t>
      </w:r>
    </w:p>
    <w:p w14:paraId="4DA40D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B92FF3" w14:textId="77777777" w:rsidR="00811799" w:rsidRPr="002F2FDF" w:rsidRDefault="00811799" w:rsidP="0083075A">
      <w:pPr>
        <w:shd w:val="clear" w:color="auto" w:fill="FFFFFF"/>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г. наступил новый этап реквизиции автомобильного транспорта, уже по распоряжению комиссара Временного Правительства по Москве Накопив изрядный опыт уклонения от мобилизации, АО «Дуке» повторило прошлогодний трюк с «разобранными» машинами, сообщив 9 августа комиссару 2-го участка Сущевской части, что автомобили «Ла-Бюир», «Берлиэ» (гор. № 924), «Панар Левассер» (гор. № 967) и мотоциклетка «А.Ж.С.» «находятся в ремонте и на сдаточный пункт представлены быть не могут». В тот же день, 9 августа. Московскому комиссару направили ходатайство об освобождении от реквизиции еще четырех автомобилей: «Комник» (гор. № 1237), «Испано-Сюиза» (гор. № 290), «Английский Даймлер» (гор. № 1937) и новый «Альда-торпедо» (гор. № 452) (15221).</w:t>
      </w:r>
    </w:p>
    <w:p w14:paraId="407147FB" w14:textId="77777777" w:rsidR="00811799" w:rsidRPr="002F2FDF" w:rsidRDefault="00811799"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54E345B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w:t>
      </w:r>
      <w:r w:rsidRPr="002F2FDF">
        <w:rPr>
          <w:rFonts w:ascii="Times New Roman" w:hAnsi="Times New Roman" w:cs="Times New Roman"/>
          <w:color w:val="000000" w:themeColor="text1"/>
          <w:kern w:val="2"/>
          <w:sz w:val="16"/>
          <w:szCs w:val="16"/>
        </w:rPr>
        <w:softHyphen/>
        <w:t>густе 1917 г., профессор А.П.Фан-дер-Флит высказал мнение, что дальнейшее увеличение мощности мото</w:t>
      </w:r>
      <w:r w:rsidRPr="002F2FDF">
        <w:rPr>
          <w:rFonts w:ascii="Times New Roman" w:hAnsi="Times New Roman" w:cs="Times New Roman"/>
          <w:color w:val="000000" w:themeColor="text1"/>
          <w:kern w:val="2"/>
          <w:sz w:val="16"/>
          <w:szCs w:val="16"/>
        </w:rPr>
        <w:softHyphen/>
        <w:t>ров “Муромцев” являлось нецелесообразным, так как при этом возрастал вес машины, поэтому повысить лет</w:t>
      </w:r>
      <w:r w:rsidRPr="002F2FDF">
        <w:rPr>
          <w:rFonts w:ascii="Times New Roman" w:hAnsi="Times New Roman" w:cs="Times New Roman"/>
          <w:color w:val="000000" w:themeColor="text1"/>
          <w:kern w:val="2"/>
          <w:sz w:val="16"/>
          <w:szCs w:val="16"/>
        </w:rPr>
        <w:softHyphen/>
        <w:t>ные характеристики лучше совершенствованием аэро</w:t>
      </w:r>
      <w:r w:rsidRPr="002F2FDF">
        <w:rPr>
          <w:rFonts w:ascii="Times New Roman" w:hAnsi="Times New Roman" w:cs="Times New Roman"/>
          <w:color w:val="000000" w:themeColor="text1"/>
          <w:kern w:val="2"/>
          <w:sz w:val="16"/>
          <w:szCs w:val="16"/>
        </w:rPr>
        <w:softHyphen/>
        <w:t>динамики самолета, в частности, установкой капотов на моторы. Сикорский также пришел к мнению о необходимос</w:t>
      </w:r>
      <w:r w:rsidRPr="002F2FDF">
        <w:rPr>
          <w:rFonts w:ascii="Times New Roman" w:hAnsi="Times New Roman" w:cs="Times New Roman"/>
          <w:color w:val="000000" w:themeColor="text1"/>
          <w:kern w:val="2"/>
          <w:sz w:val="16"/>
          <w:szCs w:val="16"/>
        </w:rPr>
        <w:softHyphen/>
        <w:t>ти снижения аэродинамического сопротивления и на</w:t>
      </w:r>
      <w:r w:rsidRPr="002F2FDF">
        <w:rPr>
          <w:rFonts w:ascii="Times New Roman" w:hAnsi="Times New Roman" w:cs="Times New Roman"/>
          <w:color w:val="000000" w:themeColor="text1"/>
          <w:kern w:val="2"/>
          <w:sz w:val="16"/>
          <w:szCs w:val="16"/>
        </w:rPr>
        <w:softHyphen/>
        <w:t>чал разработку последней модификации “Муромца” -тип Ж. В ней резко уменьшалось число стоек, растяжек, выступающих в поток частей. Поликарпов принимал деятельное участие в этих работах, но завершить их не удалось (10667).</w:t>
      </w:r>
    </w:p>
    <w:p w14:paraId="2DF58B8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F6163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г. профессор А. Л. Фан-дер-Флит высказал мнение, что дальнейшее увеличение мощности моторов «Муромцев» нецелесообразно, так как при этом растет вес машины, поэтому повысить летные характеристики лучше совершенствованием аэродинамики самолета, в частности установкой капотов на моторы. Сикорский также пришел к мнению о необходимости снижения аэродинамического сопротивления и начал разработку последней модификации «Муромца» — тип Ж. В ней резко уменьшалось число стоек, растяжек, выступающих в поток частей, но новая модификация так и не была построена (15125).</w:t>
      </w:r>
    </w:p>
    <w:p w14:paraId="5EBF8FA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p>
    <w:p w14:paraId="75F6D8A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w:t>
      </w:r>
      <w:r w:rsidRPr="002F2FDF">
        <w:rPr>
          <w:rFonts w:ascii="Times New Roman" w:hAnsi="Times New Roman" w:cs="Times New Roman"/>
          <w:color w:val="000000" w:themeColor="text1"/>
          <w:kern w:val="2"/>
          <w:sz w:val="16"/>
          <w:szCs w:val="16"/>
        </w:rPr>
        <w:softHyphen/>
        <w:t xml:space="preserve">густе 1917 г. на заводе «Гном и Рон» прекратили выпуск Рон </w:t>
      </w:r>
      <w:r w:rsidRPr="002F2FDF">
        <w:rPr>
          <w:rFonts w:ascii="Times New Roman" w:hAnsi="Times New Roman" w:cs="Times New Roman"/>
          <w:color w:val="000000" w:themeColor="text1"/>
          <w:kern w:val="2"/>
          <w:sz w:val="16"/>
          <w:szCs w:val="16"/>
          <w:lang w:val="en-US"/>
        </w:rPr>
        <w:t>Jb</w:t>
      </w:r>
      <w:r w:rsidRPr="002F2FDF">
        <w:rPr>
          <w:rFonts w:ascii="Times New Roman" w:hAnsi="Times New Roman" w:cs="Times New Roman"/>
          <w:color w:val="000000" w:themeColor="text1"/>
          <w:kern w:val="2"/>
          <w:sz w:val="16"/>
          <w:szCs w:val="16"/>
        </w:rPr>
        <w:t xml:space="preserve"> с алюминиевыми поршнями, 120 л.с. Красный воздушный флот присвоил «Рону» обозначение М-2. С дека</w:t>
      </w:r>
      <w:r w:rsidRPr="002F2FDF">
        <w:rPr>
          <w:rFonts w:ascii="Times New Roman" w:hAnsi="Times New Roman" w:cs="Times New Roman"/>
          <w:color w:val="000000" w:themeColor="text1"/>
          <w:kern w:val="2"/>
          <w:sz w:val="16"/>
          <w:szCs w:val="16"/>
        </w:rPr>
        <w:softHyphen/>
        <w:t>бря 1918 г. сборку двигателей возобновили. Это был первый авиамотор, который вновь начали делать в Советской России. Он продержался в про</w:t>
      </w:r>
      <w:r w:rsidRPr="002F2FDF">
        <w:rPr>
          <w:rFonts w:ascii="Times New Roman" w:hAnsi="Times New Roman" w:cs="Times New Roman"/>
          <w:color w:val="000000" w:themeColor="text1"/>
          <w:kern w:val="2"/>
          <w:sz w:val="16"/>
          <w:szCs w:val="16"/>
        </w:rPr>
        <w:softHyphen/>
        <w:t>изводстве очень долго — до 1930 г., когда уже безнадежно устарел. Их делали много, поскольку М-2 оснащался У-1, основной учебный самолет тех лет (копия английского Авро 504).</w:t>
      </w:r>
    </w:p>
    <w:p w14:paraId="19E34AF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Копия французского мотора Рон </w:t>
      </w:r>
      <w:r w:rsidRPr="002F2FDF">
        <w:rPr>
          <w:rFonts w:ascii="Times New Roman" w:hAnsi="Times New Roman" w:cs="Times New Roman"/>
          <w:color w:val="000000" w:themeColor="text1"/>
          <w:kern w:val="2"/>
          <w:sz w:val="16"/>
          <w:szCs w:val="16"/>
          <w:lang w:val="en-US"/>
        </w:rPr>
        <w:t>J</w:t>
      </w:r>
      <w:r w:rsidRPr="002F2FDF">
        <w:rPr>
          <w:rFonts w:ascii="Times New Roman" w:hAnsi="Times New Roman" w:cs="Times New Roman"/>
          <w:color w:val="000000" w:themeColor="text1"/>
          <w:kern w:val="2"/>
          <w:sz w:val="16"/>
          <w:szCs w:val="16"/>
        </w:rPr>
        <w:t>. Лицензия была приобретена еще при царском правительстве.</w:t>
      </w:r>
    </w:p>
    <w:p w14:paraId="3FC022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Характеристики:</w:t>
      </w:r>
    </w:p>
    <w:p w14:paraId="48F76B0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9-цилиндровый, звездообразный ротативный, четырехтактный, воз</w:t>
      </w:r>
      <w:r w:rsidRPr="002F2FDF">
        <w:rPr>
          <w:rFonts w:ascii="Times New Roman" w:hAnsi="Times New Roman" w:cs="Times New Roman"/>
          <w:color w:val="000000" w:themeColor="text1"/>
          <w:kern w:val="2"/>
          <w:sz w:val="16"/>
          <w:szCs w:val="16"/>
        </w:rPr>
        <w:softHyphen/>
        <w:t>душного охлаждения;</w:t>
      </w:r>
    </w:p>
    <w:p w14:paraId="56D0C02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диаметр цилиндра/ход поршня 112/170 мм;</w:t>
      </w:r>
    </w:p>
    <w:p w14:paraId="2169951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объем 15,07 л;</w:t>
      </w:r>
    </w:p>
    <w:p w14:paraId="6A89F1F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степень сжатия 4,5;</w:t>
      </w:r>
    </w:p>
    <w:p w14:paraId="491483A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безредукторный;</w:t>
      </w:r>
    </w:p>
    <w:p w14:paraId="330C296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вес 145 кг (М2-120).</w:t>
      </w:r>
    </w:p>
    <w:p w14:paraId="749C94E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Изготовлялся с июля — августа 1919 г. на заводе ГАЗ № 2 (Москва), массовое производство с 1925 г., выпуск прекра</w:t>
      </w:r>
      <w:r w:rsidRPr="002F2FDF">
        <w:rPr>
          <w:rFonts w:ascii="Times New Roman" w:hAnsi="Times New Roman" w:cs="Times New Roman"/>
          <w:color w:val="000000" w:themeColor="text1"/>
          <w:kern w:val="2"/>
          <w:sz w:val="16"/>
          <w:szCs w:val="16"/>
        </w:rPr>
        <w:softHyphen/>
        <w:t>щен в 1927 г. Всего выпущено около 2000 шт., из них 1014 шт. с 1918 г.</w:t>
      </w:r>
    </w:p>
    <w:p w14:paraId="3608546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Изготовлялся в двух модификациях:</w:t>
      </w:r>
    </w:p>
    <w:p w14:paraId="7899E29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М2-110, копия мотора Рон </w:t>
      </w:r>
      <w:r w:rsidRPr="002F2FDF">
        <w:rPr>
          <w:rFonts w:ascii="Times New Roman" w:hAnsi="Times New Roman" w:cs="Times New Roman"/>
          <w:color w:val="000000" w:themeColor="text1"/>
          <w:kern w:val="2"/>
          <w:sz w:val="16"/>
          <w:szCs w:val="16"/>
          <w:lang w:val="en-US"/>
        </w:rPr>
        <w:t>J</w:t>
      </w:r>
      <w:r w:rsidRPr="002F2FDF">
        <w:rPr>
          <w:rFonts w:ascii="Times New Roman" w:hAnsi="Times New Roman" w:cs="Times New Roman"/>
          <w:color w:val="000000" w:themeColor="text1"/>
          <w:kern w:val="2"/>
          <w:sz w:val="16"/>
          <w:szCs w:val="16"/>
        </w:rPr>
        <w:t xml:space="preserve"> с чу</w:t>
      </w:r>
      <w:r w:rsidRPr="002F2FDF">
        <w:rPr>
          <w:rFonts w:ascii="Times New Roman" w:hAnsi="Times New Roman" w:cs="Times New Roman"/>
          <w:color w:val="000000" w:themeColor="text1"/>
          <w:kern w:val="2"/>
          <w:sz w:val="16"/>
          <w:szCs w:val="16"/>
        </w:rPr>
        <w:softHyphen/>
        <w:t>гунными поршнями, 110 л.с.;</w:t>
      </w:r>
    </w:p>
    <w:p w14:paraId="429643B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М2-120, копия мотора Рон </w:t>
      </w:r>
      <w:r w:rsidRPr="002F2FDF">
        <w:rPr>
          <w:rFonts w:ascii="Times New Roman" w:hAnsi="Times New Roman" w:cs="Times New Roman"/>
          <w:color w:val="000000" w:themeColor="text1"/>
          <w:kern w:val="2"/>
          <w:sz w:val="16"/>
          <w:szCs w:val="16"/>
          <w:lang w:val="en-US"/>
        </w:rPr>
        <w:t>Jb</w:t>
      </w:r>
      <w:r w:rsidRPr="002F2FDF">
        <w:rPr>
          <w:rFonts w:ascii="Times New Roman" w:hAnsi="Times New Roman" w:cs="Times New Roman"/>
          <w:color w:val="000000" w:themeColor="text1"/>
          <w:kern w:val="2"/>
          <w:sz w:val="16"/>
          <w:szCs w:val="16"/>
        </w:rPr>
        <w:t xml:space="preserve"> с алюминиевыми поршнями, 120 л.с.</w:t>
      </w:r>
    </w:p>
    <w:p w14:paraId="19AFEE4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Применялся на серийных самолетах У-1 и МУ-1, опытных МУР-1 и МУР-2, опытном автожире КАСКР-1, опытных вертолетах ЦАГИ 1-ЭА, ЦАГИ 3-ЭА, ЦАГИ 5-ЭА (11852).</w:t>
      </w:r>
    </w:p>
    <w:p w14:paraId="0D55529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4D5BAC" w14:textId="77777777" w:rsidR="00811799" w:rsidRPr="002F2FDF" w:rsidRDefault="00811799"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г. М. Л. Григорашвили был создан винт Г-50 Он имел диаметр и шаг по 2,5 м. Испытанный в сентябре того же года летчиками-инструкторами Морской школы воздушного боя, Г-50 обеспечил истребителю летно-техниче- ские характеристики значительно более высокие, чем со стандартными винта</w:t>
      </w:r>
      <w:r w:rsidRPr="002F2FDF">
        <w:rPr>
          <w:rFonts w:ascii="Times New Roman" w:hAnsi="Times New Roman" w:cs="Times New Roman"/>
          <w:color w:val="000000" w:themeColor="text1"/>
          <w:kern w:val="2"/>
          <w:sz w:val="16"/>
          <w:szCs w:val="16"/>
        </w:rPr>
        <w:softHyphen/>
        <w:t>ми системы Левассера. Подписанный начальником школы, подпоручиком А. Нелидовым, акт заканчивался выводом: «Предложенный для испытаний вит вполне пригоден и желателен для означенных аппаратов («Ньюпор-23»</w:t>
      </w:r>
      <w:r w:rsidRPr="002F2FDF">
        <w:rPr>
          <w:rStyle w:val="213"/>
          <w:rFonts w:eastAsiaTheme="minorHAnsi"/>
          <w:b w:val="0"/>
          <w:bCs w:val="0"/>
          <w:i w:val="0"/>
          <w:color w:val="000000" w:themeColor="text1"/>
          <w:kern w:val="2"/>
          <w:sz w:val="16"/>
          <w:szCs w:val="16"/>
        </w:rPr>
        <w:t xml:space="preserve"> —Прим. авт.)</w:t>
      </w:r>
      <w:r w:rsidRPr="002F2FDF">
        <w:rPr>
          <w:rFonts w:ascii="Times New Roman" w:hAnsi="Times New Roman" w:cs="Times New Roman"/>
          <w:color w:val="000000" w:themeColor="text1"/>
          <w:kern w:val="2"/>
          <w:sz w:val="16"/>
          <w:szCs w:val="16"/>
        </w:rPr>
        <w:t xml:space="preserve"> ввиду преимущества его как в тяге, так и в числе оборотов» (15740).</w:t>
      </w:r>
    </w:p>
    <w:p w14:paraId="3BC2848A" w14:textId="77777777" w:rsidR="00811799" w:rsidRPr="002F2FDF" w:rsidRDefault="00811799"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30637E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(c 10 июля по 1 сентября - 237,130) состоялся 1 Всероссийский авиационный съезд и на нем избрали Всероссийский совет авиации (Авиасовет) - координация с его стороны позволила выпустить 1099 самолетов и 374 мотора (80,17). Председателем был эсер поручик Хрезосколео (501,70).</w:t>
      </w:r>
    </w:p>
    <w:p w14:paraId="73FF4C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259C7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г. на I Всероссийском авиационном съезде был избран Всероссийский совет авиации (Авиасовет). Но он являлся, по сути, обще</w:t>
      </w:r>
      <w:r w:rsidRPr="002F2FDF">
        <w:rPr>
          <w:rFonts w:ascii="Times New Roman" w:hAnsi="Times New Roman" w:cs="Times New Roman"/>
          <w:color w:val="000000" w:themeColor="text1"/>
          <w:kern w:val="2"/>
          <w:sz w:val="16"/>
          <w:szCs w:val="16"/>
        </w:rPr>
        <w:softHyphen/>
        <w:t xml:space="preserve">ственной организацией, его решения не были обязательны для исполнения. Эта ситуация длилась до 1 августа 1918 г., когда уже при большевиках в составе отделения военной </w:t>
      </w:r>
      <w:r w:rsidRPr="002F2FDF">
        <w:rPr>
          <w:rFonts w:ascii="Times New Roman" w:hAnsi="Times New Roman" w:cs="Times New Roman"/>
          <w:color w:val="000000" w:themeColor="text1"/>
          <w:kern w:val="2"/>
          <w:sz w:val="16"/>
          <w:szCs w:val="16"/>
        </w:rPr>
        <w:lastRenderedPageBreak/>
        <w:t>промышленности Отдела металла Высшего совета народного хозяйства (ВСНХ) образовали Комиссию по организации авиапромышленности. Начинался переход к государственной экономике. После завершения национализации авиазаводов в декабре того же года все их объединили в Главное правление объединенных авиапромышлен</w:t>
      </w:r>
      <w:r w:rsidRPr="002F2FDF">
        <w:rPr>
          <w:rFonts w:ascii="Times New Roman" w:hAnsi="Times New Roman" w:cs="Times New Roman"/>
          <w:color w:val="000000" w:themeColor="text1"/>
          <w:kern w:val="2"/>
          <w:sz w:val="16"/>
          <w:szCs w:val="16"/>
        </w:rPr>
        <w:softHyphen/>
        <w:t>ных заводов (Главкоавиа). На территориях, контролировавшихся другими властями, действующих авиамоторных предприятий не было (11852).</w:t>
      </w:r>
    </w:p>
    <w:p w14:paraId="51EF76D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554140" w14:textId="77777777" w:rsidR="007E6D50" w:rsidRPr="002F2FDF" w:rsidRDefault="007E6D5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 1917. Профессор М.Е.Жуковский прочел в Московском Математическом Обществе лекцию по теории динамики автомобиля (11201).</w:t>
      </w:r>
    </w:p>
    <w:p w14:paraId="0BB504BA" w14:textId="77777777" w:rsidR="007E6D50" w:rsidRPr="002F2FDF" w:rsidRDefault="007E6D5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AEDD2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16669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D8C9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г. произошел второй сильный взрыв и пожар, почти полностью уничтоживший старые корпуса завода (ГС завод № 40 ИМ. В.И. Ленина ВСНХ, НКОП, НКБ, Казанский пороховой завод им. Ленина ВСНХ, п/я 673, Казанский химический завод им. В.И. Ленина, НПО им. В.И. Ленина, ФГУП,«Государственное Казанское НПП (ГКНПП) им. В.И. Ленина» Росбоеприпаса, ФКП «Казанский государственный казенный пороховой завод» (КГ КПЗ) / г. Казань 32 п/я 673 «Казлензавод» (1943 г.)/ /Татарстан  г. Казань ул. 1-го Мая, 14/ /Московское представительство:  г. Москва ул. Б. Черемушкинская, 10 к. 1/).</w:t>
      </w:r>
    </w:p>
    <w:p w14:paraId="77B058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Имеется упоминание названия- «Казанский завод им. В.В. Лукницкого».</w:t>
      </w:r>
    </w:p>
    <w:p w14:paraId="433D67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1926 г. начата реконструкция завода до мощности 14 тыс. т пороха в год. В 1933 г. - дальнейшее расширение до мощности 20 тыс. т. В 1930-е  г. завод был реконструирован и значительно расширен. Приказом № 0021 от 3.02.1937 г. заводу предписано к 1.01.1938 г. закончить строительство производств: пироксилиновых «А» и «В», порохового и эфирного; создать мощности по выпуску пироксилинового пороха - 30 тыс. т в год; приказом № 046с от 9.03.1937 г. - построить в 1937 г. рекуперационную и ректификационную установки. В 1940 г. получено задание увеличить мощность до 35 тыс. т.</w:t>
      </w:r>
    </w:p>
    <w:p w14:paraId="25BE36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1924 г. - в ведении ГУВП ВСНХ. В соответствии с пост. СНК от 27.04.1926 г. по пр. ВСНХ/НКВМ/ОГПУ № 73сс от 9.07.1927 г. Казанский пороховой завод им. Ленина с 1.10.1927 г. переименован в Завод № 40 им. Ленина в ведении Вохимтреста УВП ВСНХ.</w:t>
      </w:r>
      <w:r w:rsidRPr="002F2FDF">
        <w:rPr>
          <w:rFonts w:ascii="Times New Roman" w:hAnsi="Times New Roman" w:cs="Times New Roman"/>
          <w:color w:val="000000" w:themeColor="text1"/>
          <w:kern w:val="2"/>
          <w:sz w:val="16"/>
          <w:szCs w:val="16"/>
          <w:vertAlign w:val="superscript"/>
        </w:rPr>
        <w:t>133</w:t>
      </w:r>
      <w:r w:rsidRPr="002F2FDF">
        <w:rPr>
          <w:rFonts w:ascii="Times New Roman" w:hAnsi="Times New Roman" w:cs="Times New Roman"/>
          <w:color w:val="000000" w:themeColor="text1"/>
          <w:kern w:val="2"/>
          <w:sz w:val="16"/>
          <w:szCs w:val="16"/>
        </w:rPr>
        <w:t xml:space="preserve"> К 1933 г. переподчинен другому ведомству." В соответствии с пост. СНК № 2139-425сс от 21.12.1936 г. и пр. НКОП № 05с от 29.12.1936 г. завод № 40 передан из Порохового треста </w:t>
      </w:r>
      <w:r w:rsidRPr="002F2FDF">
        <w:rPr>
          <w:rFonts w:ascii="Times New Roman" w:hAnsi="Times New Roman" w:cs="Times New Roman"/>
          <w:color w:val="000000" w:themeColor="text1"/>
          <w:kern w:val="2"/>
          <w:sz w:val="16"/>
          <w:szCs w:val="16"/>
          <w:lang w:val="en-US"/>
        </w:rPr>
        <w:t>HKTTI</w:t>
      </w:r>
      <w:r w:rsidRPr="002F2FDF">
        <w:rPr>
          <w:rFonts w:ascii="Times New Roman" w:hAnsi="Times New Roman" w:cs="Times New Roman"/>
          <w:color w:val="000000" w:themeColor="text1"/>
          <w:kern w:val="2"/>
          <w:sz w:val="16"/>
          <w:szCs w:val="16"/>
        </w:rPr>
        <w:t xml:space="preserve"> в ГУ военно-химической промышленности НКОП. Приказом № 107 от 21.03.1937 г. утвержден Устав ГС завода № 40 им. Ленина 6ГУ НКОП. В соответствии с пост. СНК № 1960-390сс от 5.11.1936 г. и пр. № 068 от 2.04.1937 г. завод переведен в группу особо режимных предприятий. По пр. № 0089 от 20.04.1937 г. передан из 6ГУ в новое ИГУ. В 02.1939 г. завод № 40 11ГУ НКОП передан в ведение 11ГУ НКБ, в 12.1942-04.1943 г. - в ведении ЗГУ НКБ, в 08.1943-09.1944 г. - в ведении 9ГУ. Имел наименование «п/я 673» (1943 г.).</w:t>
      </w:r>
    </w:p>
    <w:p w14:paraId="0D3EB0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и во время ВОВ - производство пироксилиновых порохов. В начале войны создан заряд для 82-мм миномета из пороха П45. В начале войны остался единственным производителем пироксилинового порха, работавшим на полную мощь. Проектная мощность на 1.07.1941 г.- 1900 т в месяц, на 1.01.1942 г. - 3000 т в месяц; выпускал в конце 1941-начале 1942 г.- 1800 т в месяц.</w:t>
      </w:r>
    </w:p>
    <w:p w14:paraId="38F6FE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Осенью 1941 г. на площадку завода эвакуирована часть производства пироксилинового пороха комбината № 100 НКБ.</w:t>
      </w:r>
    </w:p>
    <w:p w14:paraId="76908C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конце 1941 г. организована мастерская по изготовлению минометных зарядов из пироксилинового пороха. В годы войны проведена реконструкция сернокислотного производства, мастерской нитрации пироксилинового производства, производство эфира и рекуперации растворителя. Построено здание непрерывной провялки, вымочки и сушки пороха. Производство азотной кислоты по устаревшему методу Валентинера переоборудовано под выпуск зарядов для </w:t>
      </w:r>
      <w:r w:rsidRPr="002F2FDF">
        <w:rPr>
          <w:rFonts w:ascii="Times New Roman" w:hAnsi="Times New Roman" w:cs="Times New Roman"/>
          <w:color w:val="000000" w:themeColor="text1"/>
          <w:kern w:val="2"/>
          <w:sz w:val="16"/>
          <w:szCs w:val="16"/>
          <w:lang w:val="en-US"/>
        </w:rPr>
        <w:t>PC</w:t>
      </w:r>
      <w:r w:rsidRPr="002F2FDF">
        <w:rPr>
          <w:rFonts w:ascii="Times New Roman" w:hAnsi="Times New Roman" w:cs="Times New Roman"/>
          <w:color w:val="000000" w:themeColor="text1"/>
          <w:kern w:val="2"/>
          <w:sz w:val="16"/>
          <w:szCs w:val="16"/>
        </w:rPr>
        <w:t>. В середине 1942 г. пороховое производство разделено на два производства: № 5а и 5б.</w:t>
      </w:r>
      <w:r w:rsidRPr="002F2FDF">
        <w:rPr>
          <w:rFonts w:ascii="Times New Roman" w:hAnsi="Times New Roman" w:cs="Times New Roman"/>
          <w:color w:val="000000" w:themeColor="text1"/>
          <w:kern w:val="2"/>
          <w:sz w:val="16"/>
          <w:szCs w:val="16"/>
          <w:vertAlign w:val="superscript"/>
        </w:rPr>
        <w:t>55</w:t>
      </w:r>
      <w:r w:rsidRPr="002F2FDF">
        <w:rPr>
          <w:rFonts w:ascii="Times New Roman" w:hAnsi="Times New Roman" w:cs="Times New Roman"/>
          <w:color w:val="000000" w:themeColor="text1"/>
          <w:kern w:val="2"/>
          <w:sz w:val="16"/>
          <w:szCs w:val="16"/>
        </w:rPr>
        <w:t xml:space="preserve"> В составе завода (1943 г.): основные производства: 1-е и 8-е- сернокислотное, азотнокислогное, пироксилиновое, спирто-эфирное, пороховое, зарядное. В 1943 г. ст роился эфирный завод № 4.</w:t>
      </w:r>
    </w:p>
    <w:p w14:paraId="2265B2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8.06.1953 г. на заводе организован филиал ГОСПИ-1.</w:t>
      </w:r>
    </w:p>
    <w:p w14:paraId="327E26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Крупнейший пороховой завод в России (2002 г.)</w:t>
      </w:r>
    </w:p>
    <w:p w14:paraId="2C9CBC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2002 г. ФГУП «ГКНПП им. В.И. Ленина» преобразовано в ФКП «КГ КПЗ». По Указу Президента РФ № 1009 от 4.08.2004 г. вошел в число стратегических оборонных предприятий. По приказу ФАП № 56 от 5.02.2007 г. вошел в состав НП «Пороховые заводы».</w:t>
      </w:r>
    </w:p>
    <w:p w14:paraId="13FAC4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(1943 г.): производственная-101.176 м</w:t>
      </w:r>
      <w:r w:rsidRPr="002F2FDF">
        <w:rPr>
          <w:rFonts w:ascii="Times New Roman" w:hAnsi="Times New Roman" w:cs="Times New Roman"/>
          <w:color w:val="000000" w:themeColor="text1"/>
          <w:kern w:val="2"/>
          <w:sz w:val="16"/>
          <w:szCs w:val="16"/>
          <w:vertAlign w:val="superscript"/>
        </w:rPr>
        <w:t>2</w:t>
      </w:r>
      <w:r w:rsidRPr="002F2FDF">
        <w:rPr>
          <w:rFonts w:ascii="Times New Roman" w:hAnsi="Times New Roman" w:cs="Times New Roman"/>
          <w:color w:val="000000" w:themeColor="text1"/>
          <w:kern w:val="2"/>
          <w:sz w:val="16"/>
          <w:szCs w:val="16"/>
        </w:rPr>
        <w:t>; вспомогательная- 23133 м</w:t>
      </w:r>
      <w:r w:rsidRPr="002F2FDF">
        <w:rPr>
          <w:rFonts w:ascii="Times New Roman" w:hAnsi="Times New Roman" w:cs="Times New Roman"/>
          <w:color w:val="000000" w:themeColor="text1"/>
          <w:kern w:val="2"/>
          <w:sz w:val="16"/>
          <w:szCs w:val="16"/>
          <w:vertAlign w:val="superscript"/>
        </w:rPr>
        <w:t>2</w:t>
      </w:r>
      <w:r w:rsidRPr="002F2FDF">
        <w:rPr>
          <w:rFonts w:ascii="Times New Roman" w:hAnsi="Times New Roman" w:cs="Times New Roman"/>
          <w:color w:val="000000" w:themeColor="text1"/>
          <w:kern w:val="2"/>
          <w:sz w:val="16"/>
          <w:szCs w:val="16"/>
        </w:rPr>
        <w:t>; прочая- 4911 м</w:t>
      </w:r>
      <w:r w:rsidRPr="002F2FDF">
        <w:rPr>
          <w:rFonts w:ascii="Times New Roman" w:hAnsi="Times New Roman" w:cs="Times New Roman"/>
          <w:color w:val="000000" w:themeColor="text1"/>
          <w:kern w:val="2"/>
          <w:sz w:val="16"/>
          <w:szCs w:val="16"/>
          <w:vertAlign w:val="superscript"/>
        </w:rPr>
        <w:t>2</w:t>
      </w:r>
      <w:r w:rsidRPr="002F2FDF">
        <w:rPr>
          <w:rFonts w:ascii="Times New Roman" w:hAnsi="Times New Roman" w:cs="Times New Roman"/>
          <w:color w:val="000000" w:themeColor="text1"/>
          <w:kern w:val="2"/>
          <w:sz w:val="16"/>
          <w:szCs w:val="16"/>
        </w:rPr>
        <w:t>.</w:t>
      </w:r>
    </w:p>
    <w:p w14:paraId="1650E9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(12.1942 г.)- 9504 чел.</w:t>
      </w:r>
      <w:r w:rsidRPr="002F2FDF">
        <w:rPr>
          <w:rFonts w:ascii="Times New Roman" w:hAnsi="Times New Roman" w:cs="Times New Roman"/>
          <w:color w:val="000000" w:themeColor="text1"/>
          <w:kern w:val="2"/>
          <w:sz w:val="16"/>
          <w:szCs w:val="16"/>
          <w:vertAlign w:val="superscript"/>
        </w:rPr>
        <w:t>132</w:t>
      </w:r>
    </w:p>
    <w:p w14:paraId="392D95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Управляющий (-08.1917 г.)- г-л В.В. Лукницкий (погиб). Директор (1930-е)- В.В. Шнегас (репрессирован), (- 05-3.08.1937 г.)- Д.М. Равич, (3.08.1937-4.10.1938 г.)- М.Ф. Федосеев; и.о. (4.10.1938 г.-&gt; А.П. Якушев; (-02.1941 г.)- К.И. Иоффе, (28.02.1941 г.-)- А.П. Якушев, (04.1943 г.)- В.Л. Ивченков. Начальник (11.1943 г.)- В.Л. Ивченков, A.В.Грязнов. Гендиректор (2006 г.)- X. Гиниятов.</w:t>
      </w:r>
    </w:p>
    <w:p w14:paraId="24C992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технический (-01.1937 г.)- М.Я. Поляков, (19.01-21.04.1937 г.)- К. Г. Лапсаль, (8.05.1937 г.-&gt; Н.П. Путимцев. Помощник директора по найму и увольнению (-8.05.1937 г.)-  Г.К. Круцько, (8.05.1937-09.1938 г.-&gt; С.А. Тарасов.</w:t>
      </w:r>
    </w:p>
    <w:p w14:paraId="640012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инженер (1930-35 г.)- Н.П. Путимцев, (05.1937 г.)- Клейтман, (29.11.1937 г.-)- А.П. Якушев, (ВОВ)-  Г.Д. Горбачев, (04.1943 г.)- М.М. Тропп, (ВОВ)- А.К. Вострухин.</w:t>
      </w:r>
    </w:p>
    <w:p w14:paraId="71D100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технолог (1938 г.)- Горбачев. Гл. механик (ВОВ)- П.С. Базилевич.</w:t>
      </w:r>
    </w:p>
    <w:p w14:paraId="7A017B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Технические руководители: порохового производства (1941 г.)- Н.И. Дрогеницкая; цеха минометных зарядов (ВОВ)- М.Т. Персов. Начальник производства: порохового (ВОВ)- А.В. Корнилов, В.П. Кочетов, № 5а (1942 г.)- П.М. Потапов, № 56 (1942 г.)- Б.Д. Сапрыгин; пироксилинового (ВОВ&gt; А.В. Грязнов; зарядов (ВОВ)- И.И. Громова; эфира и рекуперации растворителей (ВОВ)- М. Г. Персов.</w:t>
      </w:r>
    </w:p>
    <w:p w14:paraId="25E6B3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мастерских: № 1 (1941 г.)- Б.П. Медведь; сушки и флегматизации № 3 (-27.05.1937 г.)- Карпуткин (снят и осужден за пожар); пироксилинового производства (ВОВ)- В. Г. Шаповалов; порохового производства (ВОВ)- М. Г. Шарафутдинов; зарядов из трубчатых прохов (ВОВ)- С.П. Семянина; минометных зарядов (1941 г.-)- B.С.Сластников; пошивочной (ВОВ)- Н.И. Алферова.</w:t>
      </w:r>
    </w:p>
    <w:p w14:paraId="1E707F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цехов: зарядов из пироксилиновых порохов (01.1942 г.-)- И.И. Громова. Начальник ЦЗЛ (ВОВ)- В.П. Ухарская, И.В. Гаврилова.</w:t>
      </w:r>
    </w:p>
    <w:p w14:paraId="5CC4E5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отделов: мобилизационно-планово-экономического (04.1943 г.)- Пастухов; ТБ (-27.05.19?7 г.)- Шеремук (снят и осужден за пожар); по подготовке кадров (ВОВ)- П.Я. Мальцева.</w:t>
      </w:r>
    </w:p>
    <w:p w14:paraId="08955E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порох; кислоты: серная, азотная; пироксилин, эфир (1943) (11982).</w:t>
      </w:r>
    </w:p>
    <w:p w14:paraId="6561AD57" w14:textId="77777777" w:rsidR="00811799" w:rsidRPr="002F2FDF" w:rsidRDefault="0081179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43D3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под руководством Н.Н.Лебедева в лесу вблизи Дмитрова было закончено строительство тяжелого колесного танка массой 40 т, которое велось еще с 1915. В проектировании приняли участие Н.Е.Ж., Б.С.Стечкин, А.А.М. Испытания прошли неудачно и машину разобрали на металлолом в 1923 (3016,37).</w:t>
      </w:r>
    </w:p>
    <w:p w14:paraId="18168B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E912DB" w14:textId="4EA05A75" w:rsidR="003431D2" w:rsidRPr="002F2FDF" w:rsidRDefault="00AE402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В</w:t>
      </w:r>
      <w:r w:rsidRPr="002F2FDF">
        <w:rPr>
          <w:rFonts w:ascii="Times New Roman" w:hAnsi="Times New Roman" w:cs="Times New Roman"/>
          <w:color w:val="000000" w:themeColor="text1"/>
          <w:kern w:val="2"/>
          <w:sz w:val="16"/>
          <w:szCs w:val="16"/>
        </w:rPr>
        <w:t xml:space="preserve"> августе 1917г Царско-сельским автоклубом на привычной трассе – Волхонском шоссе</w:t>
      </w:r>
      <w:r w:rsidRPr="00AE4028">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были организованы </w:t>
      </w:r>
      <w:r w:rsidR="003431D2" w:rsidRPr="002F2FDF">
        <w:rPr>
          <w:rFonts w:ascii="Times New Roman" w:hAnsi="Times New Roman" w:cs="Times New Roman"/>
          <w:color w:val="000000" w:themeColor="text1"/>
          <w:kern w:val="2"/>
          <w:sz w:val="16"/>
          <w:szCs w:val="16"/>
        </w:rPr>
        <w:t>шоссейные гонки (11271).</w:t>
      </w:r>
    </w:p>
    <w:p w14:paraId="0F8538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5AE51E"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августе 1917 г., после недолгих попыток организовать силами 50 рабочих ремонт автомобилей и изготовление деталей карбюраторов, владельцы - фирма «Л.Н. Чернушевич и наследники И.П. Пузы- рева» - объявили о про</w:t>
      </w:r>
      <w:r w:rsidRPr="00FB4F67">
        <w:rPr>
          <w:rFonts w:ascii="Times New Roman" w:hAnsi="Times New Roman" w:cs="Times New Roman"/>
          <w:color w:val="0070C0"/>
          <w:sz w:val="16"/>
          <w:szCs w:val="16"/>
        </w:rPr>
        <w:softHyphen/>
        <w:t>даже своего завода в Симбирске (К тому времени завод долгое время не работал, обследование по</w:t>
      </w:r>
      <w:r w:rsidRPr="00FB4F67">
        <w:rPr>
          <w:rFonts w:ascii="Times New Roman" w:hAnsi="Times New Roman" w:cs="Times New Roman"/>
          <w:color w:val="0070C0"/>
          <w:sz w:val="16"/>
          <w:szCs w:val="16"/>
        </w:rPr>
        <w:softHyphen/>
        <w:t>казало, что заброшенные заводские корпуса разрушались, «литейная не имеет крыши и заросла кустарником», оборудование ржавело, пропали медные части и приводные ремни; сохранившиеся устаревшие станки были непригодны для точных работ; Ефимов Ю.Д. Указ. соч. С. 48—50) (23452).</w:t>
      </w:r>
    </w:p>
    <w:p w14:paraId="5D149C78" w14:textId="77777777" w:rsidR="007E6D50" w:rsidRDefault="007E6D50" w:rsidP="0083075A">
      <w:pPr>
        <w:spacing w:line="240" w:lineRule="auto"/>
        <w:jc w:val="both"/>
        <w:rPr>
          <w:rFonts w:ascii="Times New Roman" w:hAnsi="Times New Roman" w:cs="Times New Roman"/>
          <w:color w:val="0070C0"/>
          <w:sz w:val="16"/>
          <w:szCs w:val="16"/>
        </w:rPr>
      </w:pPr>
    </w:p>
    <w:p w14:paraId="73FFED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августа 1917 г. на вновь построен ном в годы войны Электротехническом заводе Военного ведомства в Москве начался выпуск трехламповых усилителей низкой частоты (Глущенко А.А. Указ. соч. С. 447.) (11870).</w:t>
      </w:r>
    </w:p>
    <w:p w14:paraId="3C4E62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347250"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В августе 1917 года в 60 верстах к северу от Москвы, близ древнего города Дмитрова, у станции Орудьево, в лесу состоялись полевые испытания танка Лебеденко. Управлявшаяся Микулиным гигантская машина уверенно начала движение, сразу, как спичку, сломав березу. Это событие правительственная комиссия встретила овациями. Однако, пройдя несколько десятков метров, чудо-танк застрял задним колесом в неглубокой яме и не смог двигаться дальше, несмотря на все усилия моторов «майбах». В итоге их усилий оказалось недостаточно для того, чтобы вытащить «Царь-танк».</w:t>
      </w:r>
    </w:p>
    <w:p w14:paraId="4512245B" w14:textId="36FA8EB9"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Судьба проекта была решена. Танк бросили там же, где он и испытывался. Проект обошелся казне в сумасшедшую сумму</w:t>
      </w:r>
      <w:r w:rsidR="00E52569">
        <w:rPr>
          <w:color w:val="000000" w:themeColor="text1"/>
          <w:sz w:val="16"/>
          <w:szCs w:val="16"/>
        </w:rPr>
        <w:t xml:space="preserve"> </w:t>
      </w:r>
      <w:r w:rsidRPr="002F2FDF">
        <w:rPr>
          <w:color w:val="000000" w:themeColor="text1"/>
          <w:sz w:val="16"/>
          <w:szCs w:val="16"/>
        </w:rPr>
        <w:t>— 210</w:t>
      </w:r>
      <w:r w:rsidR="00E52569">
        <w:rPr>
          <w:color w:val="000000" w:themeColor="text1"/>
          <w:sz w:val="16"/>
          <w:szCs w:val="16"/>
        </w:rPr>
        <w:t xml:space="preserve"> </w:t>
      </w:r>
      <w:r w:rsidRPr="002F2FDF">
        <w:rPr>
          <w:color w:val="000000" w:themeColor="text1"/>
          <w:sz w:val="16"/>
          <w:szCs w:val="16"/>
        </w:rPr>
        <w:t>000 рублей! В 1918 году большевики попытались заставить его повоевать против белых, но столь же безуспешно, поэтому в 1923 году железного монстра разобрали на лом. В настоящее время только остатки земляного вала, которым была огорожена площадка для испытаний, напоминают об амбициозном проекте капитана Лебеденко (18519).</w:t>
      </w:r>
    </w:p>
    <w:p w14:paraId="640980DC" w14:textId="77777777" w:rsidR="00DA7733" w:rsidRPr="002F2FDF" w:rsidRDefault="00DA7733" w:rsidP="0083075A">
      <w:pPr>
        <w:pStyle w:val="ae"/>
        <w:spacing w:before="0" w:after="0"/>
        <w:jc w:val="both"/>
        <w:rPr>
          <w:rStyle w:val="a7"/>
          <w:rFonts w:eastAsiaTheme="majorEastAsia"/>
          <w:b w:val="0"/>
          <w:color w:val="000000" w:themeColor="text1"/>
          <w:sz w:val="16"/>
          <w:szCs w:val="16"/>
        </w:rPr>
      </w:pPr>
    </w:p>
    <w:p w14:paraId="5BA174E7" w14:textId="77777777" w:rsidR="00DA7733" w:rsidRPr="002F2FDF" w:rsidRDefault="00DA7733" w:rsidP="0083075A">
      <w:pPr>
        <w:spacing w:after="0" w:line="240" w:lineRule="auto"/>
        <w:jc w:val="both"/>
        <w:rPr>
          <w:rFonts w:ascii="Times New Roman" w:hAnsi="Times New Roman" w:cs="Times New Roman"/>
          <w:color w:val="000000" w:themeColor="text1"/>
          <w:sz w:val="16"/>
          <w:szCs w:val="16"/>
        </w:rPr>
      </w:pPr>
      <w:r w:rsidRPr="002F2FDF">
        <w:rPr>
          <w:rStyle w:val="af0"/>
          <w:rFonts w:ascii="Times New Roman" w:hAnsi="Times New Roman" w:cs="Times New Roman"/>
          <w:i w:val="0"/>
          <w:color w:val="000000" w:themeColor="text1"/>
          <w:sz w:val="16"/>
          <w:szCs w:val="16"/>
        </w:rPr>
        <w:t>Август 1917 г.</w:t>
      </w:r>
    </w:p>
    <w:p w14:paraId="5C0E9ADB" w14:textId="77777777" w:rsidR="00DA7733" w:rsidRPr="002F2FDF" w:rsidRDefault="00DA7733" w:rsidP="0083075A">
      <w:pPr>
        <w:pStyle w:val="rtecenter"/>
        <w:spacing w:before="0" w:after="0"/>
        <w:jc w:val="both"/>
        <w:rPr>
          <w:color w:val="000000" w:themeColor="text1"/>
          <w:sz w:val="16"/>
          <w:szCs w:val="16"/>
        </w:rPr>
      </w:pPr>
      <w:r w:rsidRPr="002F2FDF">
        <w:rPr>
          <w:rStyle w:val="af0"/>
          <w:i w:val="0"/>
          <w:color w:val="000000" w:themeColor="text1"/>
          <w:sz w:val="16"/>
          <w:szCs w:val="16"/>
        </w:rPr>
        <w:t>Ведомость промышленных предприятий, приостановивших производство с марта 1917 г. вследствие отсутствия сырья, топлива и конфликтов с рабочими</w:t>
      </w:r>
      <w:hyperlink r:id="rId498" w:anchor="_ftn1" w:history="1">
        <w:r w:rsidRPr="002F2FDF">
          <w:rPr>
            <w:rStyle w:val="a7"/>
            <w:rFonts w:eastAsiaTheme="majorEastAsia"/>
            <w:b w:val="0"/>
            <w:iCs/>
            <w:color w:val="000000" w:themeColor="text1"/>
            <w:sz w:val="16"/>
            <w:szCs w:val="16"/>
          </w:rPr>
          <w:t>[1]</w:t>
        </w:r>
      </w:hyperlink>
    </w:p>
    <w:p w14:paraId="3757B4B3" w14:textId="77777777" w:rsidR="00DA7733" w:rsidRPr="002F2FDF" w:rsidRDefault="00DA7733" w:rsidP="0083075A">
      <w:pPr>
        <w:pStyle w:val="rteright"/>
        <w:spacing w:before="0" w:beforeAutospacing="0" w:after="0" w:afterAutospacing="0"/>
        <w:jc w:val="both"/>
        <w:rPr>
          <w:color w:val="000000" w:themeColor="text1"/>
          <w:sz w:val="16"/>
          <w:szCs w:val="16"/>
        </w:rPr>
      </w:pPr>
      <w:r w:rsidRPr="002F2FDF">
        <w:rPr>
          <w:rStyle w:val="af0"/>
          <w:i w:val="0"/>
          <w:color w:val="000000" w:themeColor="text1"/>
          <w:sz w:val="16"/>
          <w:szCs w:val="16"/>
        </w:rPr>
        <w:t>Август 1917 г.</w:t>
      </w:r>
      <w:hyperlink r:id="rId499" w:anchor="_ftn2" w:history="1">
        <w:r w:rsidRPr="002F2FDF">
          <w:rPr>
            <w:rStyle w:val="a7"/>
            <w:rFonts w:eastAsiaTheme="majorEastAsia"/>
            <w:b w:val="0"/>
            <w:iCs/>
            <w:color w:val="000000" w:themeColor="text1"/>
            <w:sz w:val="16"/>
            <w:szCs w:val="16"/>
          </w:rPr>
          <w:t>[2]</w:t>
        </w:r>
      </w:hyperlink>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3717"/>
        <w:gridCol w:w="1325"/>
        <w:gridCol w:w="963"/>
        <w:gridCol w:w="2225"/>
        <w:gridCol w:w="3092"/>
      </w:tblGrid>
      <w:tr w:rsidR="002B1C74" w:rsidRPr="002F2FDF" w14:paraId="5777B73E"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BC1B82"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Название предприятия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D7813F4"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Губерния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2A26DA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Число рабочих</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C557CBB"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Время приостановки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9EDC56"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Причины приостановки</w:t>
            </w:r>
          </w:p>
        </w:tc>
      </w:tr>
      <w:tr w:rsidR="002B1C74" w:rsidRPr="002F2FDF" w14:paraId="621E787D"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BDA3DC"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Стекольный завод И. И. Большакова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43FCB2"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42275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7EBCC9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25 апреля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144EC3"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соды</w:t>
            </w:r>
          </w:p>
        </w:tc>
      </w:tr>
      <w:tr w:rsidR="002B1C74" w:rsidRPr="002F2FDF" w14:paraId="032587A5"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0131B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lastRenderedPageBreak/>
              <w:t>Автомобильный, завод Т-ва на паях автомобильного Московского завода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DE3A2A"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6A2591"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12FEA04"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6317A1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Неприбытие станков</w:t>
            </w:r>
          </w:p>
        </w:tc>
      </w:tr>
      <w:tr w:rsidR="002B1C74" w:rsidRPr="002F2FDF" w14:paraId="2CAD2EAB"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D17CC3"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Завод «Новь» Русско-Бельгийского акц. об-ва (канализационные трубы)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AC2B0B"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3FC2C8D"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235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45D1E6"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Приостановлен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D9232A1"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заказов</w:t>
            </w:r>
          </w:p>
        </w:tc>
      </w:tr>
      <w:tr w:rsidR="002B1C74" w:rsidRPr="002F2FDF" w14:paraId="3BA03D8C"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E42A58"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Вышивальная фабрика Т/д «М. Тимашев и Ко»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392BBC"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4FCD3A"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244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A80DC58"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28 июня на 2 месяца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921799"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материалов и повышение себестоимости</w:t>
            </w:r>
          </w:p>
        </w:tc>
      </w:tr>
      <w:tr w:rsidR="002B1C74" w:rsidRPr="002F2FDF" w14:paraId="60481F9C"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65EC2B"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Бумагопрядильная фабрика Т-ва Вознесенской мануфактуры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A21EBF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661B01"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2450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226B8A6"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24 июня по 1 июля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286967D"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Недостаток хлопка</w:t>
            </w:r>
          </w:p>
        </w:tc>
      </w:tr>
      <w:tr w:rsidR="002B1C74" w:rsidRPr="002F2FDF" w14:paraId="7720C2FA"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F19A9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Бумагопрядильная ткацкая фабрика Т-ва Покровской мануфактуры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C42A1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8F4D50"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9595D6"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10 июля на 2 месяца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DA1E6D1"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Недостаток хлопка и топлива</w:t>
            </w:r>
          </w:p>
        </w:tc>
      </w:tr>
      <w:tr w:rsidR="002B1C74" w:rsidRPr="002F2FDF" w14:paraId="2EBDD038"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EE4F61E"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Фабрика Т-ва Городищенской суконной мануфактуры Четверикова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0C2BC21"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9B83904"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B70588C"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29 июня по 17 августа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01C3B6"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Недостаток топлива</w:t>
            </w:r>
          </w:p>
        </w:tc>
      </w:tr>
      <w:tr w:rsidR="002B1C74" w:rsidRPr="002F2FDF" w14:paraId="0D682652"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2E9C98A"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Фабрика тертых красок Т-ва Шемшуриных</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DE57AC4"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7A37D8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148DF3"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D966330"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r>
      <w:tr w:rsidR="002B1C74" w:rsidRPr="002F2FDF" w14:paraId="769405EB"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92D142"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Бумагопрядильная и ткацкая фабрика Т-ва Воскресенской мануфактуры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72B70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E470AB"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C323F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30 июня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479E63"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Недостаток хлопка и топлива</w:t>
            </w:r>
          </w:p>
        </w:tc>
      </w:tr>
      <w:tr w:rsidR="002B1C74" w:rsidRPr="002F2FDF" w14:paraId="2E19175B"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B3ECED"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Щетинная фабрика Соболовича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9510F2"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Витебская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DB7ED61"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1A776E"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18 июня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664A4F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Забастовка</w:t>
            </w:r>
          </w:p>
        </w:tc>
      </w:tr>
      <w:tr w:rsidR="002B1C74" w:rsidRPr="002F2FDF" w14:paraId="53D805B0"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A1DB6C"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Фабрика Т-ва Соколовской мануфактуры Асафа Баранова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6B7E26"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D34F53"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E96DC9E"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1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9AA5D0"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нефти</w:t>
            </w:r>
          </w:p>
        </w:tc>
      </w:tr>
      <w:tr w:rsidR="002B1C74" w:rsidRPr="002F2FDF" w14:paraId="48902ACB"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5F04C9"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Фабрика Т-ва на паях Барановых</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547504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BE0D6DE"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9FD943"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3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5EDEA4" w14:textId="16ABFD58" w:rsidR="00DA7733"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126F4A80"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DC69944" w14:textId="568B31C1"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Фабрика столярно-плотничных производств и/'ф</w:t>
            </w:r>
            <w:hyperlink r:id="rId500" w:anchor="_ftn3" w:history="1">
              <w:r w:rsidRPr="002F2FDF">
                <w:rPr>
                  <w:rStyle w:val="a5"/>
                  <w:rFonts w:eastAsiaTheme="majorEastAsia"/>
                  <w:color w:val="000000" w:themeColor="text1"/>
                  <w:sz w:val="16"/>
                  <w:szCs w:val="16"/>
                </w:rPr>
                <w:t>[3]</w:t>
              </w:r>
            </w:hyperlink>
            <w:r w:rsidR="00E52569">
              <w:rPr>
                <w:color w:val="000000" w:themeColor="text1"/>
                <w:sz w:val="16"/>
                <w:szCs w:val="16"/>
              </w:rPr>
              <w:t xml:space="preserve"> </w:t>
            </w:r>
            <w:r w:rsidRPr="002F2FDF">
              <w:rPr>
                <w:color w:val="000000" w:themeColor="text1"/>
                <w:sz w:val="16"/>
                <w:szCs w:val="16"/>
              </w:rPr>
              <w:t>«Плотник» М. Клейнзингера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F2B8A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Терская</w:t>
            </w:r>
          </w:p>
          <w:p w14:paraId="48A25DD8"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обл.</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F70163"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9FCE53D"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апреля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5F350CA"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Недостаток материалов</w:t>
            </w:r>
          </w:p>
        </w:tc>
      </w:tr>
      <w:tr w:rsidR="002B1C74" w:rsidRPr="002F2FDF" w14:paraId="0D916FF2"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289C061"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Маслобойный завод Т-ва Грозненских маслобойных и химических заводов</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A625B4"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012369"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B855C0" w14:textId="77777777" w:rsidR="00DA7733" w:rsidRPr="002F2FDF" w:rsidRDefault="00DA773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BE821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Недостаток масличных семян</w:t>
            </w:r>
          </w:p>
        </w:tc>
      </w:tr>
      <w:tr w:rsidR="002B1C74" w:rsidRPr="002F2FDF" w14:paraId="00F8D542"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80443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Ткацкая ф-ка Т-ва Волжской мануфактуры Миндовского и Бакакина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6C6FA9C"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A88DE5A"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C71EEE"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3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FA4A1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хлопка</w:t>
            </w:r>
          </w:p>
        </w:tc>
      </w:tr>
      <w:tr w:rsidR="002B1C74" w:rsidRPr="002F2FDF" w14:paraId="591022D0"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519FF58"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Ткацкая и прядильная фабрика Т-ва бр. Г. и А. Горбуновых</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165BFEB"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805D5C"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8A54BD"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1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FE180A0"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хлопка</w:t>
            </w:r>
          </w:p>
        </w:tc>
      </w:tr>
      <w:tr w:rsidR="002B1C74" w:rsidRPr="002F2FDF" w14:paraId="036CC254"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14683E"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Лесопильная ма стерска я Коломенского машиностроительного завода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8EFF4D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8904ED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189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2D888B"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10 июня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DBE85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Пожар</w:t>
            </w:r>
          </w:p>
        </w:tc>
      </w:tr>
      <w:tr w:rsidR="002B1C74" w:rsidRPr="002F2FDF" w14:paraId="0B4AF08F"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E67B28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Лубянский стекольный завод П. Ф. Петрова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389B18"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Владимир</w:t>
            </w:r>
          </w:p>
          <w:p w14:paraId="75A2C78D"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0CE525B"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3A105B"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921560"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Неприем стекла по железной дороге</w:t>
            </w:r>
          </w:p>
        </w:tc>
      </w:tr>
      <w:tr w:rsidR="002B1C74" w:rsidRPr="002F2FDF" w14:paraId="509211C4"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FB48BB"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Бумаготкацкая фабрика Т/д С. Я. Куренкова и Ко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22234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AFF92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F5A336"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830CE2"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Уход рабочих на полевые работы</w:t>
            </w:r>
          </w:p>
        </w:tc>
      </w:tr>
      <w:tr w:rsidR="002B1C74" w:rsidRPr="002F2FDF" w14:paraId="31260661"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C079FA"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Фабрика Анненской мануфактуры И. Коновалова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14234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499D16D"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1450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0427B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15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75D2D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хлопка</w:t>
            </w:r>
          </w:p>
        </w:tc>
      </w:tr>
      <w:tr w:rsidR="002B1C74" w:rsidRPr="002F2FDF" w14:paraId="316F727D"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ACF784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Фабрика Большой Ки-нешемской мавуфак-туры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4608B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DCA4FC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4350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562FDE0"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29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1B254E4"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хлопка</w:t>
            </w:r>
          </w:p>
        </w:tc>
      </w:tr>
      <w:tr w:rsidR="002B1C74" w:rsidRPr="002F2FDF" w14:paraId="067D6983"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880014"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Демидовская конфетная фабрика Акц. об-ва «Валентин Ефимов»</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77C180"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Киевская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473B38"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B7A683"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7BE142"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сахара</w:t>
            </w:r>
          </w:p>
        </w:tc>
      </w:tr>
      <w:tr w:rsidR="002B1C74" w:rsidRPr="002F2FDF" w14:paraId="0CB972FB"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45737A"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«Днепровский стекольный завод», т-во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6BBB3A"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FA8AD9"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AD541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7FC51B"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Чрезмерное требование рабочих и дороговизна топлива и материалов</w:t>
            </w:r>
          </w:p>
        </w:tc>
      </w:tr>
      <w:tr w:rsidR="002B1C74" w:rsidRPr="002F2FDF" w14:paraId="0850DD93"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7CB650"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Исетские крупчатные мельницы:</w:t>
            </w:r>
          </w:p>
          <w:p w14:paraId="686AFE91"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а) Т-ва А. Н. Меркурьева, б) Т/д Ши-рякова, в) Верх-Исетская и Нижне-Истокские мельницы Т/д «Бр. Степановы»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B4E2E8"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Пермская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71BD2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71E66B"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7A176A0"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зерна</w:t>
            </w:r>
          </w:p>
        </w:tc>
      </w:tr>
      <w:tr w:rsidR="002B1C74" w:rsidRPr="002F2FDF" w14:paraId="6F33362A"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511736"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Бумагопрядильная фабрика Акц. об-ва Саратовской мануфактуры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EF43F0B"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Саратовская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236D53"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814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925EB4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1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C10D98"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топлива</w:t>
            </w:r>
          </w:p>
        </w:tc>
      </w:tr>
      <w:tr w:rsidR="002B1C74" w:rsidRPr="002F2FDF" w14:paraId="399B5118"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AB1E112"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Русско-Балтийский химический завод К. Р. Шнехта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143419"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1F84A3"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20 с момента закрытия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304E16"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5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3078E9"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сырья и топлива</w:t>
            </w:r>
          </w:p>
        </w:tc>
      </w:tr>
      <w:tr w:rsidR="002B1C74" w:rsidRPr="002F2FDF" w14:paraId="4F4098BF"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682E661"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Мукомольные мельницы: Торгово-промышленного т-ва, Акц. об-ва В. В. Богословского, Т/д К. Рейнеке и С-я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CCD6DA"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5B4B33"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60D3D9"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5ABEA19"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зерна</w:t>
            </w:r>
          </w:p>
        </w:tc>
      </w:tr>
      <w:tr w:rsidR="002B1C74" w:rsidRPr="002F2FDF" w14:paraId="708A8EB4"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30C52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Маслобойный завод А. М. Гречанинова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6086D5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578C54"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AF57B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2C5FD13"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зерна</w:t>
            </w:r>
          </w:p>
        </w:tc>
      </w:tr>
      <w:tr w:rsidR="002B1C74" w:rsidRPr="002F2FDF" w14:paraId="4E0ED6DB"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917034"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Стекольный завод «Глуша»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8A2213"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Минская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A4A330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9484C2"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B5F1ED"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Ремонт стеклоплавильной печи</w:t>
            </w:r>
          </w:p>
        </w:tc>
      </w:tr>
      <w:tr w:rsidR="002B1C74" w:rsidRPr="002F2FDF" w14:paraId="5F24B028"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A556D8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В отделе красильном, отбельном аппретурном и строгальном фабрики Акц. об-ва Ермолинской мануфактуры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A57589E"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Калужская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EF5BF2"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A735B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C5AA5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сырых материалов</w:t>
            </w:r>
          </w:p>
        </w:tc>
      </w:tr>
      <w:tr w:rsidR="002B1C74" w:rsidRPr="002F2FDF" w14:paraId="49A52677"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D86E598"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Глушковская фабрика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22C3B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Курская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FBC53D2"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E88C89"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264372A"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топлива</w:t>
            </w:r>
          </w:p>
        </w:tc>
      </w:tr>
      <w:tr w:rsidR="002B1C74" w:rsidRPr="002F2FDF" w14:paraId="7DE85347"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FC185C2"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Трубный, проволочный, болтовый заводы Об-ва русской жел[езной] промышленности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355E36"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Екатеринославская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06C0554"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4931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151479" w14:textId="77777777" w:rsidR="00DA7733" w:rsidRPr="002F2FDF" w:rsidRDefault="00DA773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BF3F34"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антрацита</w:t>
            </w:r>
          </w:p>
        </w:tc>
      </w:tr>
      <w:tr w:rsidR="002B1C74" w:rsidRPr="002F2FDF" w14:paraId="5ABCEB09"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CFBD23"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.Завод бр. Бакумских</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97B950"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Херсонская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AD047D" w14:textId="757C44FF" w:rsidR="00DA7733"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91DB64"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9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D9A7D11"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Чрезмерные требования рабочих</w:t>
            </w:r>
          </w:p>
        </w:tc>
      </w:tr>
      <w:tr w:rsidR="002B1C74" w:rsidRPr="002F2FDF" w14:paraId="46417C4F"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91ADD6"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Спичечная фабрика н-ков Н. Ф. Ломакина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C69DF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Пензенская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DA7FC68"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8AE12C"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29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ED221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топлива и материалов</w:t>
            </w:r>
          </w:p>
        </w:tc>
      </w:tr>
      <w:tr w:rsidR="002B1C74" w:rsidRPr="002F2FDF" w14:paraId="4CEF4CDC"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94AC621"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Писчебумажная фабрика Т-ва П. В. Сергеева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9FBB41"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DF693C"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880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BD4D43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DF7098"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11 июня разрушило главную плотину и разрушило водослив</w:t>
            </w:r>
          </w:p>
        </w:tc>
      </w:tr>
      <w:tr w:rsidR="002B1C74" w:rsidRPr="002F2FDF" w14:paraId="454F1A10"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64855E"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Конфетная фабрика «Фортуна» Б. ІП. Г ольдберга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5D1AC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8D8FD8A"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783684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15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446121"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сахара</w:t>
            </w:r>
          </w:p>
        </w:tc>
      </w:tr>
      <w:tr w:rsidR="002B1C74" w:rsidRPr="002F2FDF" w14:paraId="427FC879"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A7A0F2"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Стеклянная фабрика «Феннерн» М. Грауб-нера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D6222D"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EA1661"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694EA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25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FAEDC0"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Рост зарплаты и отсутствие топлива и материалов</w:t>
            </w:r>
          </w:p>
        </w:tc>
      </w:tr>
      <w:tr w:rsidR="002B1C74" w:rsidRPr="002F2FDF" w14:paraId="604F22A4"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3AAF30"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Картонная фабрика «Елленталь» С. А. Май-копара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55F871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CFA36D"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BD6D6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8 мая на неопределенное время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1AFC56"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Чрезмерные требования рабочих</w:t>
            </w:r>
          </w:p>
        </w:tc>
      </w:tr>
      <w:tr w:rsidR="002B1C74" w:rsidRPr="002F2FDF" w14:paraId="0E4FFE43"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F0DEA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Механический завод Акц. об-ва «Шаевич и Бару»</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9A5474"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Донская</w:t>
            </w:r>
          </w:p>
          <w:p w14:paraId="48A6D14A"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обл.</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2B7D422"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51E46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27 мая на неопределенное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DB5461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Вследствие требований рабочих уволить заведующего завода</w:t>
            </w:r>
          </w:p>
        </w:tc>
      </w:tr>
      <w:tr w:rsidR="002B1C74" w:rsidRPr="002F2FDF" w14:paraId="02583329"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DDA1281"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Обмундиров[альная] мастерская Осипова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04A140"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Казанская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AAEB8B"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1AFE6E"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20 июня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9F67A6"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материалов</w:t>
            </w:r>
          </w:p>
        </w:tc>
      </w:tr>
      <w:tr w:rsidR="002B1C74" w:rsidRPr="002F2FDF" w14:paraId="2FBE5DC3"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CAF55E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Красильное отделение фабрики Волжской мануфактуры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D80617B"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1288A3D"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420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4BF332"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1 июня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BBD7F02"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материалов</w:t>
            </w:r>
          </w:p>
        </w:tc>
      </w:tr>
      <w:tr w:rsidR="002B1C74" w:rsidRPr="002F2FDF" w14:paraId="3474B578"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1FBE9C"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Фабрика И. Коновалова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DE02610"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2100EA"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6200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2CE752"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27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1B33E9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хлопка</w:t>
            </w:r>
          </w:p>
        </w:tc>
      </w:tr>
      <w:tr w:rsidR="002B1C74" w:rsidRPr="002F2FDF" w14:paraId="5E356EC1"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62802D"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Завод Т-ва Кольчугина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DC386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6CC393"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97B76B"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7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64559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нефти</w:t>
            </w:r>
          </w:p>
        </w:tc>
      </w:tr>
      <w:tr w:rsidR="002B1C74" w:rsidRPr="002F2FDF" w14:paraId="4E5C59EC"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2E6D29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lastRenderedPageBreak/>
              <w:t>Бумаготкацкая фабрика Т-ва Кругловского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C298143"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50A6BB"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4192108"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30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3152C9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нефти</w:t>
            </w:r>
          </w:p>
        </w:tc>
      </w:tr>
      <w:tr w:rsidR="002B1C74" w:rsidRPr="002F2FDF" w14:paraId="56A50451"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F28DF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Николаевская стекловаренная фабрика Плотникова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3E529E"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F44F3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8FC653"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12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B833B9"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Чрезмерные требования</w:t>
            </w:r>
          </w:p>
        </w:tc>
      </w:tr>
      <w:tr w:rsidR="002B1C74" w:rsidRPr="002F2FDF" w14:paraId="738E72D6"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A3758A"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Картонная фабрика Т/д «Сериков, Рингель и Старостин»</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0E0E802"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314308"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FE56D7D"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FA622B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упаковочного железа</w:t>
            </w:r>
          </w:p>
        </w:tc>
      </w:tr>
      <w:tr w:rsidR="002B1C74" w:rsidRPr="002F2FDF" w14:paraId="2A0A89DE"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D869F6"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Лесопильный завод Т/д «Громов и Ко»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65E3B4"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DD21F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46DF08D"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8B244EA"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Недостаток рабочих рук</w:t>
            </w:r>
          </w:p>
        </w:tc>
      </w:tr>
      <w:tr w:rsidR="002B1C74" w:rsidRPr="002F2FDF" w14:paraId="3F440064"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57E0B6"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Кемский лесопильный завод Сукина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354A8DE"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DF2523"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03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8A09D6A"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14 апреля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4C39BFC"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r>
      <w:tr w:rsidR="002B1C74" w:rsidRPr="002F2FDF" w14:paraId="09DF610C"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CFE11C"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Стекольный завод Нечаева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7FBAE69"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5ED7AD"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84C01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6 апреля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CB288D"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r>
      <w:tr w:rsidR="002B1C74" w:rsidRPr="002F2FDF" w14:paraId="4DA70EAF"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99AC932"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Стекольный завод Большакова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257A14"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C90EDC"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4BCD3C"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конца апреля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50D634B"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r>
      <w:tr w:rsidR="002B1C74" w:rsidRPr="002F2FDF" w14:paraId="2EA949A2"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EB32A2"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Сахарный завод «Обруч»</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02294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Волынская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F633A8"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287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28639C"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823E9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Чрезмерные требования</w:t>
            </w:r>
          </w:p>
        </w:tc>
      </w:tr>
      <w:tr w:rsidR="002B1C74" w:rsidRPr="002F2FDF" w14:paraId="151FBF92"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F7A8699"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Ситцевая фабрика А. Дарвинского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8A5EA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95DA938"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31BBE9"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31 мая временно</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02A92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r>
      <w:tr w:rsidR="002B1C74" w:rsidRPr="002F2FDF" w14:paraId="4DB19398"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E04F051"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Бельгийский завод А. С. Фурмана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84610B"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78BA229"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D8DD75" w14:textId="77777777" w:rsidR="00DA7733" w:rsidRPr="002F2FDF" w:rsidRDefault="00DA773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4B48DD1"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Недостаток кокса и других материалов</w:t>
            </w:r>
          </w:p>
        </w:tc>
      </w:tr>
      <w:tr w:rsidR="002B1C74" w:rsidRPr="002F2FDF" w14:paraId="6B823FFF"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078140C"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Керченский металлургический завод</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A5E46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Таврическая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392228" w14:textId="4BB9F815" w:rsidR="00DA7733"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6E03C5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Приблизительно с 5 июня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7786FC"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горючих материалов</w:t>
            </w:r>
          </w:p>
        </w:tc>
      </w:tr>
      <w:tr w:rsidR="002B1C74" w:rsidRPr="002F2FDF" w14:paraId="1377BC61"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EDDFA4A"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Бумагопрядильная и ткацкая фабрика бр. А. и Г. Хлудовых</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D7F560"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Рязанская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ED2D88"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6700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F8831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12 июня приостановила на месяц</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C9C42C"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хлопка и нефти</w:t>
            </w:r>
          </w:p>
        </w:tc>
      </w:tr>
      <w:tr w:rsidR="002B1C74" w:rsidRPr="002F2FDF" w14:paraId="4021A2A4"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829A6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Суконная фабрика Т-ва Циитенгофской суконной мануфактуры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46A07A1"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B39DE8"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FBD8ED8"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25 марта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1DCBD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шерсти</w:t>
            </w:r>
          </w:p>
        </w:tc>
      </w:tr>
      <w:tr w:rsidR="002B1C74" w:rsidRPr="002F2FDF" w14:paraId="2E87306D"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5693582"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Фабрика Бутикова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36A474"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4FC30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DF9583A"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Приостановлена с 21 марта по 1 мая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BA98DD" w14:textId="185D0E59" w:rsidR="00DA7733"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7B13BBFC"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598CC8"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Глушковская суконная фабрика Кузнецова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D7A9D8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Курская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FB6D0A"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F92D64D"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Расчет рабочих на неопределенное время (донесение от 1 мая)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F340E42"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топлива</w:t>
            </w:r>
          </w:p>
        </w:tc>
      </w:tr>
      <w:tr w:rsidR="002B1C74" w:rsidRPr="002F2FDF" w14:paraId="00AAD68B"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1FB3B9"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Еленский стекольный завод А. И. Цыпла-кова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E3E9FBE"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Калужская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83063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91CBFC" w14:textId="1793B76B" w:rsidR="00DA7733"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84B6D3E"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Недостаток сульфата</w:t>
            </w:r>
          </w:p>
        </w:tc>
      </w:tr>
      <w:tr w:rsidR="002B1C74" w:rsidRPr="002F2FDF" w14:paraId="38B3D934"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F53F14"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Бумаго-картонная фабрика Акц. об-ва Балтийской фабрики «Стайцель»</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81BF0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8A4FF0"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298AF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26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C62630"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Недостаток материалов и чрезмерные требования рабочих</w:t>
            </w:r>
          </w:p>
        </w:tc>
      </w:tr>
      <w:tr w:rsidR="002B1C74" w:rsidRPr="002F2FDF" w14:paraId="50BB3006"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6A06A98"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Картонная фабрика «Венефер»</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32626BB"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Зстляндская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9A8A1C8"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536B4B"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Работы возобновятся в октябре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47FCD4"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Пожар</w:t>
            </w:r>
          </w:p>
        </w:tc>
      </w:tr>
      <w:tr w:rsidR="002B1C74" w:rsidRPr="002F2FDF" w14:paraId="154AF25E"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82E3C4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Мукомольная мельница бр. Цвылевых</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0CC6C47"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Тверская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D62C7D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9A74F3"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28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D857E4B"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зерна</w:t>
            </w:r>
          </w:p>
        </w:tc>
      </w:tr>
      <w:tr w:rsidR="002B1C74" w:rsidRPr="002F2FDF" w14:paraId="0683FB77"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740C1EF"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Медно-чугуно литейный завод Г. Микулицкого, Отдел производств 3" головок</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5CDA19"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Петроградская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27B6B1"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9987453"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B36DB2"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Выполнение старого заказа и неполучение нового заказа от Обуховского сталелитейного завода</w:t>
            </w:r>
          </w:p>
        </w:tc>
      </w:tr>
      <w:tr w:rsidR="002B1C74" w:rsidRPr="002F2FDF" w14:paraId="105AF004"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52C7BE"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Горчичная фабрика 3. Л. Этигина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2C590C0"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Саратовская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04EEF98"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4A4586"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1 июня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F5A2570"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материалов</w:t>
            </w:r>
          </w:p>
        </w:tc>
      </w:tr>
      <w:tr w:rsidR="002B1C74" w:rsidRPr="002F2FDF" w14:paraId="75D9AAFF" w14:textId="77777777" w:rsidTr="006514E2">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B67105"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Фабрика 3. Кокушкина и К. Маракушева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1A7CB1"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2E9521"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1BCC29"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С 17 июля но 17 августа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740B12" w14:textId="77777777" w:rsidR="00DA7733" w:rsidRPr="002F2FDF" w:rsidRDefault="00DA7733" w:rsidP="0083075A">
            <w:pPr>
              <w:pStyle w:val="rtecenter"/>
              <w:spacing w:before="0" w:after="0"/>
              <w:jc w:val="both"/>
              <w:rPr>
                <w:color w:val="000000" w:themeColor="text1"/>
                <w:sz w:val="16"/>
                <w:szCs w:val="16"/>
              </w:rPr>
            </w:pPr>
            <w:r w:rsidRPr="002F2FDF">
              <w:rPr>
                <w:color w:val="000000" w:themeColor="text1"/>
                <w:sz w:val="16"/>
                <w:szCs w:val="16"/>
              </w:rPr>
              <w:t>Отсутствие топлива</w:t>
            </w:r>
          </w:p>
        </w:tc>
      </w:tr>
    </w:tbl>
    <w:p w14:paraId="3A81E356" w14:textId="523A867F" w:rsidR="00DA7733" w:rsidRPr="002F2FDF" w:rsidRDefault="00000000" w:rsidP="0083075A">
      <w:pPr>
        <w:pStyle w:val="ae"/>
        <w:spacing w:before="0" w:after="0"/>
        <w:jc w:val="both"/>
        <w:rPr>
          <w:color w:val="000000" w:themeColor="text1"/>
          <w:sz w:val="16"/>
          <w:szCs w:val="16"/>
        </w:rPr>
      </w:pPr>
      <w:hyperlink r:id="rId501" w:anchor="_ftnref1" w:history="1">
        <w:r w:rsidR="00DA7733" w:rsidRPr="002F2FDF">
          <w:rPr>
            <w:rStyle w:val="a5"/>
            <w:color w:val="000000" w:themeColor="text1"/>
            <w:sz w:val="16"/>
            <w:szCs w:val="16"/>
          </w:rPr>
          <w:t>[1]</w:t>
        </w:r>
      </w:hyperlink>
      <w:r w:rsidR="00E52569">
        <w:rPr>
          <w:color w:val="000000" w:themeColor="text1"/>
          <w:sz w:val="16"/>
          <w:szCs w:val="16"/>
        </w:rPr>
        <w:t xml:space="preserve"> </w:t>
      </w:r>
      <w:r w:rsidR="00DA7733" w:rsidRPr="002F2FDF">
        <w:rPr>
          <w:color w:val="000000" w:themeColor="text1"/>
          <w:sz w:val="16"/>
          <w:szCs w:val="16"/>
        </w:rPr>
        <w:t>Ведомость касается промышленных предприятий, подведомственных Отделу промышленности Министерства торговли и промышленности, и составлена по данным фабричной инспекции.</w:t>
      </w:r>
    </w:p>
    <w:p w14:paraId="23FB26E5" w14:textId="6F6A62DC" w:rsidR="00DA7733" w:rsidRPr="002F2FDF" w:rsidRDefault="00000000" w:rsidP="0083075A">
      <w:pPr>
        <w:pStyle w:val="ae"/>
        <w:spacing w:before="0" w:after="0"/>
        <w:jc w:val="both"/>
        <w:rPr>
          <w:color w:val="000000" w:themeColor="text1"/>
          <w:sz w:val="16"/>
          <w:szCs w:val="16"/>
        </w:rPr>
      </w:pPr>
      <w:hyperlink r:id="rId502" w:anchor="_ftnref2" w:history="1">
        <w:r w:rsidR="00DA7733" w:rsidRPr="002F2FDF">
          <w:rPr>
            <w:rStyle w:val="a5"/>
            <w:color w:val="000000" w:themeColor="text1"/>
            <w:sz w:val="16"/>
            <w:szCs w:val="16"/>
          </w:rPr>
          <w:t>[2]</w:t>
        </w:r>
      </w:hyperlink>
      <w:r w:rsidR="00E52569">
        <w:rPr>
          <w:color w:val="000000" w:themeColor="text1"/>
          <w:sz w:val="16"/>
          <w:szCs w:val="16"/>
        </w:rPr>
        <w:t xml:space="preserve"> </w:t>
      </w:r>
      <w:r w:rsidR="00DA7733" w:rsidRPr="002F2FDF">
        <w:rPr>
          <w:color w:val="000000" w:themeColor="text1"/>
          <w:sz w:val="16"/>
          <w:szCs w:val="16"/>
        </w:rPr>
        <w:t>Датируется по содержанию док.</w:t>
      </w:r>
    </w:p>
    <w:p w14:paraId="750FF20F" w14:textId="71197FEC" w:rsidR="00DA7733" w:rsidRPr="002F2FDF" w:rsidRDefault="00000000" w:rsidP="0083075A">
      <w:pPr>
        <w:pStyle w:val="ae"/>
        <w:spacing w:before="0" w:after="0"/>
        <w:jc w:val="both"/>
        <w:rPr>
          <w:color w:val="000000" w:themeColor="text1"/>
          <w:sz w:val="16"/>
          <w:szCs w:val="16"/>
        </w:rPr>
      </w:pPr>
      <w:hyperlink r:id="rId503" w:anchor="_ftnref3" w:history="1">
        <w:r w:rsidR="00DA7733" w:rsidRPr="002F2FDF">
          <w:rPr>
            <w:rStyle w:val="a5"/>
            <w:color w:val="000000" w:themeColor="text1"/>
            <w:sz w:val="16"/>
            <w:szCs w:val="16"/>
          </w:rPr>
          <w:t>[3]</w:t>
        </w:r>
      </w:hyperlink>
      <w:r w:rsidR="00E52569">
        <w:rPr>
          <w:color w:val="000000" w:themeColor="text1"/>
          <w:sz w:val="16"/>
          <w:szCs w:val="16"/>
        </w:rPr>
        <w:t xml:space="preserve"> </w:t>
      </w:r>
      <w:r w:rsidR="00DA7733" w:rsidRPr="002F2FDF">
        <w:rPr>
          <w:color w:val="000000" w:themeColor="text1"/>
          <w:sz w:val="16"/>
          <w:szCs w:val="16"/>
        </w:rPr>
        <w:t>Не расшифровано (18357).</w:t>
      </w:r>
    </w:p>
    <w:p w14:paraId="7FC6259A" w14:textId="77777777" w:rsidR="00DA7733" w:rsidRPr="002F2FDF" w:rsidRDefault="00DA7733" w:rsidP="0083075A">
      <w:pPr>
        <w:spacing w:after="0" w:line="240" w:lineRule="auto"/>
        <w:jc w:val="both"/>
        <w:rPr>
          <w:rFonts w:ascii="Times New Roman" w:hAnsi="Times New Roman" w:cs="Times New Roman"/>
          <w:color w:val="000000" w:themeColor="text1"/>
          <w:sz w:val="16"/>
          <w:szCs w:val="16"/>
        </w:rPr>
      </w:pPr>
    </w:p>
    <w:p w14:paraId="6F9D8465" w14:textId="77777777" w:rsidR="00DA7733" w:rsidRPr="002F2FDF" w:rsidRDefault="00DA7733" w:rsidP="0083075A">
      <w:pPr>
        <w:spacing w:after="0" w:line="240" w:lineRule="auto"/>
        <w:jc w:val="both"/>
        <w:rPr>
          <w:rFonts w:ascii="Times New Roman" w:hAnsi="Times New Roman" w:cs="Times New Roman"/>
          <w:color w:val="000000" w:themeColor="text1"/>
          <w:sz w:val="16"/>
          <w:szCs w:val="16"/>
        </w:rPr>
      </w:pPr>
      <w:r w:rsidRPr="002F2FDF">
        <w:rPr>
          <w:rStyle w:val="af0"/>
          <w:rFonts w:ascii="Times New Roman" w:hAnsi="Times New Roman" w:cs="Times New Roman"/>
          <w:i w:val="0"/>
          <w:color w:val="000000" w:themeColor="text1"/>
          <w:sz w:val="16"/>
          <w:szCs w:val="16"/>
        </w:rPr>
        <w:t>Август 1917 г.</w:t>
      </w:r>
      <w:hyperlink r:id="rId504" w:anchor="_ftn1" w:history="1">
        <w:r w:rsidRPr="002F2FDF">
          <w:rPr>
            <w:rStyle w:val="a7"/>
            <w:rFonts w:ascii="Times New Roman" w:hAnsi="Times New Roman" w:cs="Times New Roman"/>
            <w:b w:val="0"/>
            <w:iCs/>
            <w:color w:val="000000" w:themeColor="text1"/>
            <w:sz w:val="16"/>
            <w:szCs w:val="16"/>
          </w:rPr>
          <w:t>[1]</w:t>
        </w:r>
      </w:hyperlink>
    </w:p>
    <w:p w14:paraId="08ED15D9" w14:textId="77777777" w:rsidR="00DA7733" w:rsidRPr="002F2FDF" w:rsidRDefault="00DA773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Ведомость промышленных предприятий, закрывшихся с мая 1917 г. и невозобновивших производство вследствие отсутствия заказов, топлива и конфликтов с рабочими.</w:t>
      </w:r>
    </w:p>
    <w:p w14:paraId="0A6BE2C1" w14:textId="77777777" w:rsidR="00DA7733" w:rsidRPr="002F2FDF" w:rsidRDefault="00DA773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42-43</w:t>
      </w:r>
    </w:p>
    <w:p w14:paraId="67E6AD13" w14:textId="0991F1F0" w:rsidR="00DA7733" w:rsidRPr="002F2FDF" w:rsidRDefault="00DA7733" w:rsidP="0083075A">
      <w:pPr>
        <w:spacing w:after="0" w:line="240" w:lineRule="auto"/>
        <w:jc w:val="both"/>
        <w:rPr>
          <w:rFonts w:ascii="Times New Roman" w:hAnsi="Times New Roman" w:cs="Times New Roman"/>
          <w:bCs/>
          <w:color w:val="000000" w:themeColor="text1"/>
          <w:sz w:val="16"/>
          <w:szCs w:val="16"/>
        </w:rPr>
      </w:pPr>
      <w:r w:rsidRPr="002F2FDF">
        <w:rPr>
          <w:rFonts w:ascii="Times New Roman" w:hAnsi="Times New Roman" w:cs="Times New Roman"/>
          <w:bCs/>
          <w:color w:val="000000" w:themeColor="text1"/>
          <w:sz w:val="16"/>
          <w:szCs w:val="16"/>
        </w:rPr>
        <w:t>Архив:</w:t>
      </w:r>
      <w:r w:rsidR="00E52569">
        <w:rPr>
          <w:rFonts w:ascii="Times New Roman" w:hAnsi="Times New Roman" w:cs="Times New Roman"/>
          <w:bCs/>
          <w:color w:val="000000" w:themeColor="text1"/>
          <w:sz w:val="16"/>
          <w:szCs w:val="16"/>
        </w:rPr>
        <w:t xml:space="preserve"> </w:t>
      </w:r>
    </w:p>
    <w:p w14:paraId="178A9D21" w14:textId="77777777" w:rsidR="00DA7733" w:rsidRPr="002F2FDF" w:rsidRDefault="00DA773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ЦГИАЛ, ф. 23, оп. 15, д. 675, л. 4—4 об. Копия.</w:t>
      </w:r>
    </w:p>
    <w:p w14:paraId="3BBAABB1" w14:textId="77777777" w:rsidR="00DA7733" w:rsidRPr="002F2FDF" w:rsidRDefault="00DA7733" w:rsidP="0083075A">
      <w:pPr>
        <w:pStyle w:val="rteright"/>
        <w:spacing w:before="0" w:beforeAutospacing="0" w:after="0" w:afterAutospacing="0"/>
        <w:jc w:val="both"/>
        <w:rPr>
          <w:color w:val="000000" w:themeColor="text1"/>
          <w:sz w:val="16"/>
          <w:szCs w:val="16"/>
        </w:rPr>
      </w:pPr>
      <w:r w:rsidRPr="002F2FDF">
        <w:rPr>
          <w:rStyle w:val="af0"/>
          <w:i w:val="0"/>
          <w:color w:val="000000" w:themeColor="text1"/>
          <w:sz w:val="16"/>
          <w:szCs w:val="16"/>
        </w:rPr>
        <w:t>Август 1917 г.</w:t>
      </w:r>
      <w:hyperlink r:id="rId505" w:anchor="_ftn1" w:history="1">
        <w:r w:rsidRPr="002F2FDF">
          <w:rPr>
            <w:rStyle w:val="a7"/>
            <w:rFonts w:eastAsiaTheme="majorEastAsia"/>
            <w:b w:val="0"/>
            <w:iCs/>
            <w:color w:val="000000" w:themeColor="text1"/>
            <w:sz w:val="16"/>
            <w:szCs w:val="16"/>
          </w:rPr>
          <w:t>[1]</w:t>
        </w:r>
      </w:hyperlink>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60"/>
        <w:gridCol w:w="1023"/>
        <w:gridCol w:w="574"/>
        <w:gridCol w:w="4404"/>
        <w:gridCol w:w="2261"/>
      </w:tblGrid>
      <w:tr w:rsidR="002B1C74" w:rsidRPr="002F2FDF" w14:paraId="0C98AEB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35981B1"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Название предприятия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1155B"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Губерния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D046C"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Число</w:t>
            </w:r>
          </w:p>
          <w:p w14:paraId="3D0F7E33"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931A3"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Причины</w:t>
            </w:r>
          </w:p>
          <w:p w14:paraId="5CA1FC26"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закрытия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33803"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С какого времени закрылось предприятие</w:t>
            </w:r>
          </w:p>
        </w:tc>
      </w:tr>
      <w:tr w:rsidR="002B1C74" w:rsidRPr="002F2FDF" w14:paraId="4000D7B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8749F31"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1) Фабрика Т/д «Суз-дальцев и Борзов»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BF16C"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96ED0"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CEC58"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3AA16"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7E1AFB3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B60A3DA"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2) Фабрика шелковых лент А. М. Горбачева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AE59F"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7CF51"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92601"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3A417"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2D0C168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C256126"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3) Механический завод «Урбан»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CD0BC"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0A5B9"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2738F"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82E7B"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С 22 июня</w:t>
            </w:r>
          </w:p>
        </w:tc>
      </w:tr>
      <w:tr w:rsidR="002B1C74" w:rsidRPr="002F2FDF" w14:paraId="6506A18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3C8030B"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4) Типо-литография М. М. Неймана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98EF7"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Витебская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E8EFF"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08A74"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C585C"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С 29 июня</w:t>
            </w:r>
          </w:p>
        </w:tc>
      </w:tr>
      <w:tr w:rsidR="002B1C74" w:rsidRPr="002F2FDF" w14:paraId="261E149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A70A039"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5) Кондитерская фабрика А. Сахарова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F8A2A"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Терская</w:t>
            </w:r>
          </w:p>
          <w:p w14:paraId="182456D6"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обл.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40098"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7B18C"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Отсутствие сахара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2F1AC"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035550D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B090580"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6) Механический завод и фабрика весов Варт-Баронова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4EA1F"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Кубанская</w:t>
            </w:r>
          </w:p>
          <w:p w14:paraId="27369363"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обл.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0F48F"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3099C"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Отсутствие сырых материалов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482A8"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С 15 июня</w:t>
            </w:r>
          </w:p>
        </w:tc>
      </w:tr>
      <w:tr w:rsidR="002B1C74" w:rsidRPr="002F2FDF" w14:paraId="0BCAED6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B0AC122"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7) Завод Т-ва для изготовления точных металлических изделий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039AD"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Петроградская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18A39" w14:textId="453A55F3" w:rsidR="00DA7733"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08786"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Окончание заказов артиллерийского ведомства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BD8DA"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С 20 августа (с 20 июля произошел частичный расчет рабочих)</w:t>
            </w:r>
          </w:p>
        </w:tc>
      </w:tr>
      <w:tr w:rsidR="002B1C74" w:rsidRPr="002F2FDF" w14:paraId="246D0A2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3014EF9"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8) Стекольный завод Киевско- Ю жно-Ру с-ского стекольного завода н-ков Михельсона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F6ACA"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Киевская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0BA66"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BC4EF"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Убыточность ввиду чрезмерных требований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EAB44"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4325D3D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62B2CDC"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9) Отделение по выделке наждачных кругов на заводе Т-ва «Фадеев и Макеев»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4B5F9"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Пермская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5DC92"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BBDBC"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Отсутствие</w:t>
            </w:r>
          </w:p>
          <w:p w14:paraId="427A8FF7"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заказов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1D92F"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1294487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D3CAB03"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10) Стекольный завод В. А. Попова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945A4" w14:textId="77777777" w:rsidR="00DA7733" w:rsidRPr="002F2FDF" w:rsidRDefault="00DA7733" w:rsidP="0083075A">
            <w:pPr>
              <w:pStyle w:val="ae"/>
              <w:spacing w:before="0" w:after="0"/>
              <w:jc w:val="both"/>
              <w:rPr>
                <w:color w:val="000000" w:themeColor="text1"/>
                <w:sz w:val="16"/>
                <w:szCs w:val="16"/>
              </w:rPr>
            </w:pPr>
            <w:r w:rsidRPr="002F2FDF">
              <w:rPr>
                <w:rStyle w:val="af0"/>
                <w:i w:val="0"/>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17D38"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DA29D"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Отсутствие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42FA2"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7AB4CF6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DAC1B26"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11) Кузнечная мастерская Т-ва «Подкова»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A6390"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Саратовская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A4E38"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7C269"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Убыточность ввиду чрезмерных требований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A30F4"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042CC60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5850580"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12) Столярная фабрика Н. А. Камерилова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0AEC7"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DF9BB"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27B4A"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Отсутствие заказов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07F34"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1E0D7FB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4B50594"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13) Столярная фабрика Образцова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3EA36" w14:textId="21EA899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w:t>
            </w:r>
            <w:r w:rsidR="00E52569">
              <w:rPr>
                <w:color w:val="000000" w:themeColor="text1"/>
                <w:sz w:val="16"/>
                <w:szCs w:val="16"/>
              </w:rPr>
              <w:t xml:space="preserve"> </w:t>
            </w:r>
            <w:r w:rsidRPr="002F2FDF">
              <w:rPr>
                <w:rStyle w:val="af0"/>
                <w:i w:val="0"/>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D0596"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C41F4"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Отсутствие заказов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B0E39"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76098A9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6E9759D"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14) Кондитерская фабрика Т-ва «Реформа» Д. И. Ротинова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1AB40"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39E53"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DBB75"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Отсутствие сахара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D4128"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37D5776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7160ABB"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15) Механический завод Г. Г. Бреннера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6A656"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Петроградская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81B7E"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379FA"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Убыточность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B576C"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С 3 июля</w:t>
            </w:r>
          </w:p>
        </w:tc>
      </w:tr>
      <w:tr w:rsidR="002B1C74" w:rsidRPr="002F2FDF" w14:paraId="0A8F220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3530BA8"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16) Картонная фабрика «Б. Зоннер»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2DFF4"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68F1F"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D7F4B"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90A5B"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С 23 мая</w:t>
            </w:r>
          </w:p>
        </w:tc>
      </w:tr>
      <w:tr w:rsidR="002B1C74" w:rsidRPr="002F2FDF" w14:paraId="605A46F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019E9CC"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17) Мыловаренный завод «Венус»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AFCDD"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3AE9C"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E681E"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D31C0"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С 9 июня</w:t>
            </w:r>
          </w:p>
        </w:tc>
      </w:tr>
      <w:tr w:rsidR="002B1C74" w:rsidRPr="002F2FDF" w14:paraId="1D5ECBA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261AF74"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18) Лесопильный завод Кочнева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4A551"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Эстляндская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70CC3"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17AD2"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Пожар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18602" w14:textId="386BF89E" w:rsidR="00DA7733"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5B7B480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8B77FBC"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19) Об-во Николаевских заводов и верфей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C46BC"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Херсонская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2624D"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12000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2132B" w14:textId="6A602594" w:rsidR="00DA7733"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62160" w14:textId="469B99A2" w:rsidR="00DA7733"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5E4EC41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386FA74"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20) Трубочный завод Т-ва «Столль»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2F9AD"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Воронежская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12AE8"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2165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7BD95" w14:textId="77777777" w:rsidR="00DA7733" w:rsidRPr="002F2FDF" w:rsidRDefault="00DA7733" w:rsidP="0083075A">
            <w:pPr>
              <w:pStyle w:val="ae"/>
              <w:spacing w:before="0" w:after="0"/>
              <w:jc w:val="both"/>
              <w:rPr>
                <w:color w:val="000000" w:themeColor="text1"/>
                <w:sz w:val="16"/>
                <w:szCs w:val="16"/>
              </w:rPr>
            </w:pPr>
            <w:r w:rsidRPr="002F2FDF">
              <w:rPr>
                <w:color w:val="000000" w:themeColor="text1"/>
                <w:sz w:val="16"/>
                <w:szCs w:val="16"/>
              </w:rPr>
              <w:t>С 1 июня работы производились за счет артиллерийского ведомства. 20 июня артиллерийское ведомство распорядилось закрыть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0B28E" w14:textId="73C8BED9" w:rsidR="00DA7733"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bl>
    <w:p w14:paraId="0EC6A2D8" w14:textId="17225918" w:rsidR="00DA7733" w:rsidRPr="002F2FDF" w:rsidRDefault="00000000" w:rsidP="0083075A">
      <w:pPr>
        <w:pStyle w:val="ae"/>
        <w:spacing w:before="0" w:after="0"/>
        <w:jc w:val="both"/>
        <w:rPr>
          <w:color w:val="000000" w:themeColor="text1"/>
          <w:sz w:val="16"/>
          <w:szCs w:val="16"/>
        </w:rPr>
      </w:pPr>
      <w:hyperlink r:id="rId506" w:anchor="_ftnref1" w:history="1">
        <w:r w:rsidR="00DA7733" w:rsidRPr="002F2FDF">
          <w:rPr>
            <w:rStyle w:val="a5"/>
            <w:color w:val="000000" w:themeColor="text1"/>
            <w:sz w:val="16"/>
            <w:szCs w:val="16"/>
          </w:rPr>
          <w:t>[1]</w:t>
        </w:r>
      </w:hyperlink>
      <w:r w:rsidR="00E52569">
        <w:rPr>
          <w:color w:val="000000" w:themeColor="text1"/>
          <w:sz w:val="16"/>
          <w:szCs w:val="16"/>
        </w:rPr>
        <w:t xml:space="preserve"> </w:t>
      </w:r>
      <w:r w:rsidR="00DA7733" w:rsidRPr="002F2FDF">
        <w:rPr>
          <w:rStyle w:val="af0"/>
          <w:i w:val="0"/>
          <w:color w:val="000000" w:themeColor="text1"/>
          <w:sz w:val="16"/>
          <w:szCs w:val="16"/>
        </w:rPr>
        <w:t>Датируется по содержанию док (18359).</w:t>
      </w:r>
    </w:p>
    <w:p w14:paraId="7561FA2E" w14:textId="77777777" w:rsidR="00DA7733" w:rsidRPr="002F2FDF" w:rsidRDefault="00DA7733" w:rsidP="0083075A">
      <w:pPr>
        <w:spacing w:after="0" w:line="240" w:lineRule="auto"/>
        <w:jc w:val="both"/>
        <w:rPr>
          <w:rFonts w:ascii="Times New Roman" w:hAnsi="Times New Roman" w:cs="Times New Roman"/>
          <w:color w:val="000000" w:themeColor="text1"/>
          <w:sz w:val="16"/>
          <w:szCs w:val="16"/>
        </w:rPr>
      </w:pPr>
    </w:p>
    <w:p w14:paraId="4AC79C03" w14:textId="77777777" w:rsidR="00DA7733" w:rsidRPr="002F2FDF" w:rsidRDefault="00DA7733" w:rsidP="0083075A">
      <w:pPr>
        <w:pStyle w:val="p1"/>
        <w:spacing w:before="0" w:beforeAutospacing="0" w:after="0" w:afterAutospacing="0"/>
        <w:jc w:val="both"/>
        <w:rPr>
          <w:color w:val="000000" w:themeColor="text1"/>
          <w:sz w:val="16"/>
          <w:szCs w:val="16"/>
        </w:rPr>
      </w:pPr>
      <w:r w:rsidRPr="002F2FDF">
        <w:rPr>
          <w:color w:val="000000" w:themeColor="text1"/>
          <w:sz w:val="16"/>
          <w:szCs w:val="16"/>
        </w:rPr>
        <w:t xml:space="preserve">В августе 1917 г. был заключен договор с военным ведомством «о чистке, сборке и регулировании получаемых из-за границы авто различных марок», выпускать же собственные автомобили завод не мог. 14 октября на заседании Особого совещания по обороне директор завода утверждал, что на заводе получено «уже машин 60%, </w:t>
      </w:r>
      <w:r w:rsidRPr="002F2FDF">
        <w:rPr>
          <w:color w:val="000000" w:themeColor="text1"/>
          <w:sz w:val="16"/>
          <w:szCs w:val="16"/>
        </w:rPr>
        <w:lastRenderedPageBreak/>
        <w:t>[еще] 20% — прибыло во Владивосток, а остальные 20% машин и запасных частей готовы к отправке в Америке». В конечном счете, поглотив технические средства и специалистов «Русско-Балтийского завода», АМО в 1917 г. все же начал сборку грузовиков «Фиат» (18366).</w:t>
      </w:r>
    </w:p>
    <w:p w14:paraId="66B90F1B" w14:textId="77777777" w:rsidR="00DA7733" w:rsidRPr="002F2FDF" w:rsidRDefault="00DA7733" w:rsidP="0083075A">
      <w:pPr>
        <w:pStyle w:val="p1"/>
        <w:spacing w:before="0" w:beforeAutospacing="0" w:after="0" w:afterAutospacing="0"/>
        <w:jc w:val="both"/>
        <w:rPr>
          <w:color w:val="000000" w:themeColor="text1"/>
          <w:sz w:val="16"/>
          <w:szCs w:val="16"/>
        </w:rPr>
      </w:pPr>
    </w:p>
    <w:p w14:paraId="64856DD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 1917 г. Ведомость промышленных предприятий, закрывшихся с мая 1917 г. и невозобновивших производство вследствие отсутствия заказов, топлива и конфликтов с рабочими.</w:t>
      </w:r>
    </w:p>
    <w:p w14:paraId="6DD4256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42-43</w:t>
      </w:r>
    </w:p>
    <w:p w14:paraId="7EAAC44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23, оп. 15, д. 675, л. 4—4 об. Копия.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35"/>
        <w:gridCol w:w="1068"/>
        <w:gridCol w:w="615"/>
        <w:gridCol w:w="4328"/>
        <w:gridCol w:w="2276"/>
      </w:tblGrid>
      <w:tr w:rsidR="002B1C74" w:rsidRPr="002F2FDF" w14:paraId="1048A0B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38503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Название предприятия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A8DB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Губерния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BC52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w:t>
            </w:r>
          </w:p>
          <w:p w14:paraId="295745E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2905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Причины</w:t>
            </w:r>
          </w:p>
          <w:p w14:paraId="0D08C52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закрытия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1528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какого времени закрылось предприятие</w:t>
            </w:r>
          </w:p>
        </w:tc>
      </w:tr>
      <w:tr w:rsidR="002B1C74" w:rsidRPr="002F2FDF" w14:paraId="5610FBA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4AA73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Фабрика Т/д «Суздальцев и Борзов»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D797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9A29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E9AC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895635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171781C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927FC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Фабрика шелковых лент А. М. Горбачева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D77F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F59A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F343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3B01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18E0790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DB83B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Механический завод «Урбан»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7FE8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D851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7DF0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5072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22 июня</w:t>
            </w:r>
          </w:p>
        </w:tc>
      </w:tr>
      <w:tr w:rsidR="002B1C74" w:rsidRPr="002F2FDF" w14:paraId="27706FB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8FBFC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Типо-литография М. М. Неймана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E56D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Витебская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7676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7A63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FD80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29 июня</w:t>
            </w:r>
          </w:p>
        </w:tc>
      </w:tr>
      <w:tr w:rsidR="002B1C74" w:rsidRPr="002F2FDF" w14:paraId="71A8111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7ACF9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Кондитерская фабрика А. Сахарова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9D2D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Терская</w:t>
            </w:r>
          </w:p>
          <w:p w14:paraId="6D99F11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31D0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C8FC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сахара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5562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35EE7CE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A41B7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Механический завод и фабрика весов Варт-Баронова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E469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Кубанская</w:t>
            </w:r>
          </w:p>
          <w:p w14:paraId="17A829E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CBBE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1EBE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сырых материалов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3EC5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15 июня</w:t>
            </w:r>
          </w:p>
        </w:tc>
      </w:tr>
      <w:tr w:rsidR="002B1C74" w:rsidRPr="002F2FDF" w14:paraId="49CF9D1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3A85B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Завод Т-ва для изготовления точных металлических изделий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837C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Петроградская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0FB5A" w14:textId="49873ABB"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783B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Окончание заказов артиллерийского ведомства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5AD8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20 августа (с 20 июля произошел частичный расчет рабочих)</w:t>
            </w:r>
          </w:p>
        </w:tc>
      </w:tr>
      <w:tr w:rsidR="002B1C74" w:rsidRPr="002F2FDF" w14:paraId="0CA30F5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C95A7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Стекольный завод Киевско- Ю жно-Ру с-ского стекольного завода н-ков Михельсона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1219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Киевская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154F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5AF2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Убыточность ввиду чрезмерных требований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C09D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4CC7647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90755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Отделение по выделке наждачных кругов на заводе Т-ва «Фадеев и Макеев»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16FC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B015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F0F5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w:t>
            </w:r>
          </w:p>
          <w:p w14:paraId="510D5BC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заказов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7620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2C81289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668B4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Стекольный завод В. А. Попова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A701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B3D3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8EB9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2833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0AD9162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FE8DC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Кузнечная мастерская Т-ва «Подкова»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3021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Саратовская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3CF5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65C8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Убыточность ввиду чрезмерных требований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78C2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23AC5F1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33A96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Столярная фабрика Н. А. Камерилова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719C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4D21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BA9C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заказов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DC5D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5E653CE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C8CAD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Столярная фабрика Образцова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ACA5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1277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42BD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заказов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1D78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39D9C0E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DDC62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Кондитерская фабрика Т-ва «Реформа» Д. И. Ротинова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893E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EB99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2CA4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сахара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7836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4FE920A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C9D20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Механический завод Г. Г. Бреннера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A4EC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Петроградская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CD6A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46F0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Убыточность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46AF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3 июля</w:t>
            </w:r>
          </w:p>
        </w:tc>
      </w:tr>
      <w:tr w:rsidR="002B1C74" w:rsidRPr="002F2FDF" w14:paraId="41E74B9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96C87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Картонная фабрика «Б. Зоннер»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C9450B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A83F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610C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F291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23 мая</w:t>
            </w:r>
          </w:p>
        </w:tc>
      </w:tr>
      <w:tr w:rsidR="002B1C74" w:rsidRPr="002F2FDF" w14:paraId="0A197CD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4CA91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Мыловаренный завод «Венус»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FB62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B544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DE3E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D6F0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9 июня</w:t>
            </w:r>
          </w:p>
        </w:tc>
      </w:tr>
      <w:tr w:rsidR="002B1C74" w:rsidRPr="002F2FDF" w14:paraId="0C2D10B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D641F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Лесопильный завод Кочнева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D1A4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Эстляндская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64AE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40E0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Пожар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A1BE6" w14:textId="60D14DF6"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B1561D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E7CF6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Об-во Николаевских заводов и верфей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C1A0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Херсонская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F4B3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4900A" w14:textId="5EFA7F32"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67F10" w14:textId="3A0E65BE"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BF018D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56D3C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Трубочный завод Т-ва «Столль»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6C03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Воронежская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82EA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1C8F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 июня работы производились за счет артиллерийского ведомства. 20 июня артиллерийское ведомство распорядилось закрыть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80DA4" w14:textId="2BBC8CA6"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bl>
    <w:p w14:paraId="44F65FF3" w14:textId="77777777" w:rsidR="00811799"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07" w:anchor="_ftnref1" w:history="1">
        <w:r w:rsidR="00811799" w:rsidRPr="002F2FDF">
          <w:rPr>
            <w:rFonts w:ascii="Times New Roman" w:hAnsi="Times New Roman" w:cs="Times New Roman"/>
            <w:color w:val="000000" w:themeColor="text1"/>
            <w:kern w:val="2"/>
            <w:sz w:val="16"/>
            <w:szCs w:val="16"/>
          </w:rPr>
          <w:t>[1]</w:t>
        </w:r>
      </w:hyperlink>
      <w:r w:rsidR="00811799" w:rsidRPr="002F2FDF">
        <w:rPr>
          <w:rFonts w:ascii="Times New Roman" w:hAnsi="Times New Roman" w:cs="Times New Roman"/>
          <w:color w:val="000000" w:themeColor="text1"/>
          <w:kern w:val="2"/>
          <w:sz w:val="16"/>
          <w:szCs w:val="16"/>
        </w:rPr>
        <w:t xml:space="preserve"> Датируется по содержанию док. (15711).</w:t>
      </w:r>
    </w:p>
    <w:p w14:paraId="3ACBD7C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p>
    <w:p w14:paraId="3920BED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 1917 г. Ведомость промышленных предприятий, приостановивших производство с марта 1917 г.</w:t>
      </w:r>
    </w:p>
    <w:p w14:paraId="3846DD2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38-41</w:t>
      </w:r>
    </w:p>
    <w:p w14:paraId="119F1C3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23, оп. 15, д. 675, лл. 1—3. Копия.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81"/>
        <w:gridCol w:w="1364"/>
        <w:gridCol w:w="994"/>
        <w:gridCol w:w="2222"/>
        <w:gridCol w:w="3061"/>
      </w:tblGrid>
      <w:tr w:rsidR="002B1C74" w:rsidRPr="002F2FDF" w14:paraId="0D3DAFD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09B41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Название предприятия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F590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Губерния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67C7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1B9C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Время приостановки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1956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Причины приостановки</w:t>
            </w:r>
          </w:p>
        </w:tc>
      </w:tr>
      <w:tr w:rsidR="002B1C74" w:rsidRPr="002F2FDF" w14:paraId="4FBF582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909F8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Стекольный завод И. И. Большакова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3F91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8EB4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62A6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25 апреля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4983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соды</w:t>
            </w:r>
          </w:p>
        </w:tc>
      </w:tr>
      <w:tr w:rsidR="002B1C74" w:rsidRPr="002F2FDF" w14:paraId="0D56456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A6C88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Автомобильный, завод Т-ва на паях автомобильного Московского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7F1D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6407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4E4D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BAF0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Неприбытие станков</w:t>
            </w:r>
          </w:p>
        </w:tc>
      </w:tr>
      <w:tr w:rsidR="002B1C74" w:rsidRPr="002F2FDF" w14:paraId="398D97A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B0900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«Новь» Русско-Бельгийского акц. об-ва (канализационные трубы)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224B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6BDC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BFB9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Приостановлен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0EBA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заказов</w:t>
            </w:r>
          </w:p>
        </w:tc>
      </w:tr>
      <w:tr w:rsidR="002B1C74" w:rsidRPr="002F2FDF" w14:paraId="0C14919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FE97D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Вышивальная фабрика Т/д «М. Тимашев и 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2D35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3779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FCFC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28 июня на 2 месяца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2925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материалов и повышение себестоимости</w:t>
            </w:r>
          </w:p>
        </w:tc>
      </w:tr>
      <w:tr w:rsidR="002B1C74" w:rsidRPr="002F2FDF" w14:paraId="1DA49B0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21DEA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Бумагопрядильная фабрика Т-ва Вознесенской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7076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4D63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B9C6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24 июня по 1 июля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B144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Недостаток хлопка</w:t>
            </w:r>
          </w:p>
        </w:tc>
      </w:tr>
      <w:tr w:rsidR="002B1C74" w:rsidRPr="002F2FDF" w14:paraId="7CCC11A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DBB20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Бумагопрядильная ткацкая фабрика Т-ва Покровской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9C4F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6B67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3A31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10 июля на 2 месяца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38BE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Недостаток хлопка и топлива</w:t>
            </w:r>
          </w:p>
        </w:tc>
      </w:tr>
      <w:tr w:rsidR="002B1C74" w:rsidRPr="002F2FDF" w14:paraId="0E43970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CF59D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Фабрика Т-ва Городищенской суконной мануфактуры Четверикова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5687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65AC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5563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29 июня по 17 августа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85DC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Недостаток топлива</w:t>
            </w:r>
          </w:p>
        </w:tc>
      </w:tr>
      <w:tr w:rsidR="002B1C74" w:rsidRPr="002F2FDF" w14:paraId="2AC22E2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05D6A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Фабрика тертых красок Т-ва Шемшуриных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508F98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A35C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D8C1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48A8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738AE25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71B6A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Бумагопрядильная и ткацкая фабрика Т-ва Воскресенской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A1E9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501A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CC88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30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65FE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Недостаток хлопка и топлива</w:t>
            </w:r>
          </w:p>
        </w:tc>
      </w:tr>
      <w:tr w:rsidR="002B1C74" w:rsidRPr="002F2FDF" w14:paraId="1103F9D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1AC66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Щетинная фабрика Соболовича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A354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Витебская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BF40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CE88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18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1BAB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Забастовка</w:t>
            </w:r>
          </w:p>
        </w:tc>
      </w:tr>
      <w:tr w:rsidR="002B1C74" w:rsidRPr="002F2FDF" w14:paraId="0C003DC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95336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Фабрика Т-ва Соколовской мануфактуры Асафа Баранова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2D9E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D5B3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0211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27BB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нефти</w:t>
            </w:r>
          </w:p>
        </w:tc>
      </w:tr>
      <w:tr w:rsidR="002B1C74" w:rsidRPr="002F2FDF" w14:paraId="33100DD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4D995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Фабрика Т-ва на паях Барановых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F4C2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8856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37CF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3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EE04F" w14:textId="0E252E00"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027CD7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EFD47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Фабрика столярно-плотничных производств и/'ф</w:t>
            </w:r>
            <w:hyperlink r:id="rId508" w:anchor="_ftn3" w:history="1">
              <w:r w:rsidRPr="002F2FDF">
                <w:rPr>
                  <w:rFonts w:ascii="Times New Roman" w:hAnsi="Times New Roman" w:cs="Times New Roman"/>
                  <w:color w:val="000000" w:themeColor="text1"/>
                  <w:kern w:val="2"/>
                  <w:sz w:val="16"/>
                  <w:szCs w:val="16"/>
                </w:rPr>
                <w:t>[3]</w:t>
              </w:r>
            </w:hyperlink>
            <w:r w:rsidRPr="002F2FDF">
              <w:rPr>
                <w:rFonts w:ascii="Times New Roman" w:hAnsi="Times New Roman" w:cs="Times New Roman"/>
                <w:color w:val="000000" w:themeColor="text1"/>
                <w:kern w:val="2"/>
                <w:sz w:val="16"/>
                <w:szCs w:val="16"/>
              </w:rPr>
              <w:t xml:space="preserve"> «Плотник» М. Клейнзингера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6872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Терская</w:t>
            </w:r>
          </w:p>
          <w:p w14:paraId="056C170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B0C1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B342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апреля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BC02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Недостаток материалов</w:t>
            </w:r>
          </w:p>
        </w:tc>
      </w:tr>
      <w:tr w:rsidR="002B1C74" w:rsidRPr="002F2FDF" w14:paraId="5797C80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034A7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Маслобойный завод Т-ва Грозненских маслобойных и химических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D96F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48D3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A65F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5F57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Недостаток масличных семян</w:t>
            </w:r>
          </w:p>
        </w:tc>
      </w:tr>
      <w:tr w:rsidR="002B1C74" w:rsidRPr="002F2FDF" w14:paraId="34136B4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E0910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Ткацкая ф-ка Т-ва Волжской мануфактуры Миндовского и Бакакина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96C8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5318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B35D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3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D020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хлопка</w:t>
            </w:r>
          </w:p>
        </w:tc>
      </w:tr>
      <w:tr w:rsidR="002B1C74" w:rsidRPr="002F2FDF" w14:paraId="3E7F244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069CF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Ткацкая и прядильная фабрика Т-ва бр. Г. и А. Горбуновых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08F5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7CDC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D341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41B1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хлопка</w:t>
            </w:r>
          </w:p>
        </w:tc>
      </w:tr>
      <w:tr w:rsidR="002B1C74" w:rsidRPr="002F2FDF" w14:paraId="2553133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A0A8F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Лесопильная ма стерска я Коломенского машиностроительного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EE36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6877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797A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10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2B19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Пожар</w:t>
            </w:r>
          </w:p>
        </w:tc>
      </w:tr>
      <w:tr w:rsidR="002B1C74" w:rsidRPr="002F2FDF" w14:paraId="257CF4E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1420E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Лубянский стекольный завод П. Ф. Петрова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E4F0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Владимир</w:t>
            </w:r>
          </w:p>
          <w:p w14:paraId="6B6A799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84D1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2F35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DB45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Неприем стекла по железной дороге</w:t>
            </w:r>
          </w:p>
        </w:tc>
      </w:tr>
      <w:tr w:rsidR="002B1C74" w:rsidRPr="002F2FDF" w14:paraId="49E247F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CC26B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Бумаготкацкая фабрика Т/д С. Я. Куренкова и 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5604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AF63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513F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CD9F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Уход рабочих на полевые работы</w:t>
            </w:r>
          </w:p>
        </w:tc>
      </w:tr>
      <w:tr w:rsidR="002B1C74" w:rsidRPr="002F2FDF" w14:paraId="10A81FD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EF0BB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Фабрика Анненской мануфактуры И. Коновалова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20D6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8132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3EC5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15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E239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хлопка</w:t>
            </w:r>
          </w:p>
        </w:tc>
      </w:tr>
      <w:tr w:rsidR="002B1C74" w:rsidRPr="002F2FDF" w14:paraId="30CFDDD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DB2A1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Фабрика Большой Ки-нешемской мавуфак-туры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B89A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CB3D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B453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29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A7B0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хлопка</w:t>
            </w:r>
          </w:p>
        </w:tc>
      </w:tr>
      <w:tr w:rsidR="002B1C74" w:rsidRPr="002F2FDF" w14:paraId="0B320E0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7F6B6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Демидовская конфетная фабрика Акц. об-ва «Валентин Ефимов»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7715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Киевская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4995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B339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6E45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сахара</w:t>
            </w:r>
          </w:p>
        </w:tc>
      </w:tr>
      <w:tr w:rsidR="002B1C74" w:rsidRPr="002F2FDF" w14:paraId="10C8753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51267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«Днепровский стекольный завод», 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E849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1866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CCB7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6961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Чрезмерное требование рабочих и дороговизна топлива и материалов</w:t>
            </w:r>
          </w:p>
        </w:tc>
      </w:tr>
      <w:tr w:rsidR="002B1C74" w:rsidRPr="002F2FDF" w14:paraId="2F8BDDD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46047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Исетские крупчатные мельницы:</w:t>
            </w:r>
          </w:p>
          <w:p w14:paraId="1A27281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Т-ва А. Н. Меркурьева, б) Т/д Ши-рякова, в) Верх-Исетская и Нижне-Истокские мельницы Т/д «Бр. Степановы»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AF8B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45AF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1E76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847E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зерна</w:t>
            </w:r>
          </w:p>
        </w:tc>
      </w:tr>
      <w:tr w:rsidR="002B1C74" w:rsidRPr="002F2FDF" w14:paraId="773DECE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CB127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Бумагопрядильная фабрика Акц. об-ва Саратовской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F6AD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Саратовская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39D1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F52E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C3AF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топлива</w:t>
            </w:r>
          </w:p>
        </w:tc>
      </w:tr>
      <w:tr w:rsidR="002B1C74" w:rsidRPr="002F2FDF" w14:paraId="23EBA70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B6C42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Русско-Балтийский химический завод К. Р. Шнехта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F921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43D3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с момента закрытия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E58E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5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5668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сырья и топлива</w:t>
            </w:r>
          </w:p>
        </w:tc>
      </w:tr>
      <w:tr w:rsidR="002B1C74" w:rsidRPr="002F2FDF" w14:paraId="0C8720C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74A5A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Мукомольные мельницы: Торгово-промышленного т-ва, Акц. об-ва В. В. Богословского, Т/д К. Рейнеке и 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3717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41FB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0BE1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A3F3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зерна</w:t>
            </w:r>
          </w:p>
        </w:tc>
      </w:tr>
      <w:tr w:rsidR="002B1C74" w:rsidRPr="002F2FDF" w14:paraId="721EE54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01544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Маслобойный завод А. М. Гречанинова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BD7E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783A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26E5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0D7A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зерна</w:t>
            </w:r>
          </w:p>
        </w:tc>
      </w:tr>
      <w:tr w:rsidR="002B1C74" w:rsidRPr="002F2FDF" w14:paraId="09CBC89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4EE86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Стекольный завод «Глуша»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68AF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Минская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DED8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D94E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550D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Ремонт стеклоплавильной печи</w:t>
            </w:r>
          </w:p>
        </w:tc>
      </w:tr>
      <w:tr w:rsidR="002B1C74" w:rsidRPr="002F2FDF" w14:paraId="6B3D506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DAF2F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отделе красильном, отбельном аппретурном и строгальном фабрики Акц. об-ва Ермолинской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7CAB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Калужская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8B84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267E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959F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сырых материалов</w:t>
            </w:r>
          </w:p>
        </w:tc>
      </w:tr>
      <w:tr w:rsidR="002B1C74" w:rsidRPr="002F2FDF" w14:paraId="560055F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41E93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Глушковская фабрика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DABF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Курская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BF92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22AC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F02E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топлива</w:t>
            </w:r>
          </w:p>
        </w:tc>
      </w:tr>
      <w:tr w:rsidR="002B1C74" w:rsidRPr="002F2FDF" w14:paraId="6C15DE9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EF38C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Трубный, проволочный, болтовый заводы Об-ва русской жел[езной]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205C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Екатеринославская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49B2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1FF2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6C4B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антрацита</w:t>
            </w:r>
          </w:p>
        </w:tc>
      </w:tr>
      <w:tr w:rsidR="002B1C74" w:rsidRPr="002F2FDF" w14:paraId="2B64033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08808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бр. Бакумских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672E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Херсонская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32845" w14:textId="2F9254B8"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C877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9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5435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Чрезмерные требования рабочих</w:t>
            </w:r>
          </w:p>
        </w:tc>
      </w:tr>
      <w:tr w:rsidR="002B1C74" w:rsidRPr="002F2FDF" w14:paraId="2EB65BC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DB524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Спичечная фабрика н-ков Н. Ф. Ломакина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15C9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Пензенская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9058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630F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29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11F3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топлива и материалов</w:t>
            </w:r>
          </w:p>
        </w:tc>
      </w:tr>
      <w:tr w:rsidR="002B1C74" w:rsidRPr="002F2FDF" w14:paraId="24B478F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EB343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Писчебумажная фабрика Т-ва П. В. Сергеева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DE1F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19F7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0361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79BE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июня разрушило главную плотину и разрушило водослив</w:t>
            </w:r>
          </w:p>
        </w:tc>
      </w:tr>
      <w:tr w:rsidR="002B1C74" w:rsidRPr="002F2FDF" w14:paraId="6F9EF0D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92186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Конфетная фабрика «Фортуна» Б. ІП. Г ольдберга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E7AB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57AE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9601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15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725B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сахара</w:t>
            </w:r>
          </w:p>
        </w:tc>
      </w:tr>
      <w:tr w:rsidR="002B1C74" w:rsidRPr="002F2FDF" w14:paraId="6861B49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8B332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Стеклянная фабрика «Феннерн» М. Грауб-нера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5B26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B3BA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CE5D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25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93C7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Рост зарплаты и отсутствие топлива и материалов</w:t>
            </w:r>
          </w:p>
        </w:tc>
      </w:tr>
      <w:tr w:rsidR="002B1C74" w:rsidRPr="002F2FDF" w14:paraId="17F123A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5ACFE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Картонная фабрика «Елленталь» С. А. Май-копара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6240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14EA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421C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8 мая на неопределенное время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0D4D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Чрезмерные требования рабочих</w:t>
            </w:r>
          </w:p>
        </w:tc>
      </w:tr>
      <w:tr w:rsidR="002B1C74" w:rsidRPr="002F2FDF" w14:paraId="2C361CF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F098D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Механический завод Акц. об-ва «Шаевич и Бару»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3CAF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Донская</w:t>
            </w:r>
          </w:p>
          <w:p w14:paraId="352EC5B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45E1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B6DC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27 мая на неопределенное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0478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Вследствие требований рабочих уволить заведующего завода</w:t>
            </w:r>
          </w:p>
        </w:tc>
      </w:tr>
      <w:tr w:rsidR="002B1C74" w:rsidRPr="002F2FDF" w14:paraId="0A5712F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028F7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Обмундиров[альная] мастерская Осипова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6B09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Казанская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2052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B55C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20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73D4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материалов</w:t>
            </w:r>
          </w:p>
        </w:tc>
      </w:tr>
      <w:tr w:rsidR="002B1C74" w:rsidRPr="002F2FDF" w14:paraId="770C4D6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FEB8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Красильное отделение фабрики Волжской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B19F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011F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E068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D1BB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материалов</w:t>
            </w:r>
          </w:p>
        </w:tc>
      </w:tr>
      <w:tr w:rsidR="002B1C74" w:rsidRPr="002F2FDF" w14:paraId="2A08AFC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02958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Фабрика И. Коновалова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E401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E98F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EFBF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27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4400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хлопка</w:t>
            </w:r>
          </w:p>
        </w:tc>
      </w:tr>
      <w:tr w:rsidR="002B1C74" w:rsidRPr="002F2FDF" w14:paraId="2981335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4BFBF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Т-ва Кольчугина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F40E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99A8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A519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7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8BCD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нефти</w:t>
            </w:r>
          </w:p>
        </w:tc>
      </w:tr>
      <w:tr w:rsidR="002B1C74" w:rsidRPr="002F2FDF" w14:paraId="6B64BCF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9A482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Бумаготкацкая фабрика Т-ва Кругловского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F9E1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0DDF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FAE4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30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EF04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нефти</w:t>
            </w:r>
          </w:p>
        </w:tc>
      </w:tr>
      <w:tr w:rsidR="002B1C74" w:rsidRPr="002F2FDF" w14:paraId="5B4F1B2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B3370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Николаевская стекловаренная фабрика Плотникова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246B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0493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51E7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12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F9E7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Чрезмерные требования</w:t>
            </w:r>
          </w:p>
        </w:tc>
      </w:tr>
      <w:tr w:rsidR="002B1C74" w:rsidRPr="002F2FDF" w14:paraId="1395839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D0FAB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Картонная фабрика Т/д «Сериков, Рингель и Старостин»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FE32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A156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2E54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2DA1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упаковочного железа</w:t>
            </w:r>
          </w:p>
        </w:tc>
      </w:tr>
      <w:tr w:rsidR="002B1C74" w:rsidRPr="002F2FDF" w14:paraId="11C5064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E60C8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Лесопильный завод Т/д «Громов и 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B544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C512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3061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D528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Недостаток рабочих рук</w:t>
            </w:r>
          </w:p>
        </w:tc>
      </w:tr>
      <w:tr w:rsidR="002B1C74" w:rsidRPr="002F2FDF" w14:paraId="31FC4D3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8D97F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Кемский лесопильный завод Сукина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BF35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2255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E8BC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14 апреля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5856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5495298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29F2D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Стекольный завод Нечаева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5279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CF31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6C9B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6 апреля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658A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37A113A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673F3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Стекольный завод Большакова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00D2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5364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F587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конца апреля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0D89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52058FA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7B095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Сахарный завод «Обруч»</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2202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Волынская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75D7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88E8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04F7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Чрезмерные требования</w:t>
            </w:r>
          </w:p>
        </w:tc>
      </w:tr>
      <w:tr w:rsidR="002B1C74" w:rsidRPr="002F2FDF" w14:paraId="2AAA9A1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63CF9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Ситцевая фабрика А. Дарвинского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F548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AB13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E1DB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31 мая временно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7DEC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59AA252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E537F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Бельгийский завод А. С. Фурмана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01A7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492F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6BCA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F87D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Недостаток кокса и других материалов</w:t>
            </w:r>
          </w:p>
        </w:tc>
      </w:tr>
      <w:tr w:rsidR="002B1C74" w:rsidRPr="002F2FDF" w14:paraId="6851DD7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604D4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Керченский металлургический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10C7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Таврическая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7CDED" w14:textId="06F9F8EC"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3ECB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Приблизительно с 5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E013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горючих материалов</w:t>
            </w:r>
          </w:p>
        </w:tc>
      </w:tr>
      <w:tr w:rsidR="002B1C74" w:rsidRPr="002F2FDF" w14:paraId="3C08A89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AB194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Бумагопрядильная и ткацкая фабрика бр. А. и Г. Хлудовых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6290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Рязанская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03EF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C72A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12 июня приостановила на месяц</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66FB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хлопка и нефти</w:t>
            </w:r>
          </w:p>
        </w:tc>
      </w:tr>
      <w:tr w:rsidR="002B1C74" w:rsidRPr="002F2FDF" w14:paraId="195FC0C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39161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Суконная фабрика Т-ва Циитенгофской суконной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0D9F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6339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517E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25 марта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36ED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шерсти</w:t>
            </w:r>
          </w:p>
        </w:tc>
      </w:tr>
      <w:tr w:rsidR="002B1C74" w:rsidRPr="002F2FDF" w14:paraId="2ECD5EC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72DB8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Фабрика Бутикова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C5FA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D3C9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A40E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Приостановлена с 21 марта по 1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99672" w14:textId="2CBD4AAB"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AC7A5C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BA613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Глушковская суконная фабрика Кузнецова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17D0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Курская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5AEB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D498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Расчет рабочих на неопределенное время (донесение от 1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B653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топлива</w:t>
            </w:r>
          </w:p>
        </w:tc>
      </w:tr>
      <w:tr w:rsidR="002B1C74" w:rsidRPr="002F2FDF" w14:paraId="262BA39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2FD49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Еленский стекольный завод А. И. Цыпла-кова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B136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Калужская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3FD8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21D34" w14:textId="4445FF55"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722B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Недостаток сульфата</w:t>
            </w:r>
          </w:p>
        </w:tc>
      </w:tr>
      <w:tr w:rsidR="002B1C74" w:rsidRPr="002F2FDF" w14:paraId="25CFA74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30B5C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Бумаго-картонная фабрика Акц. об-ва Балтийской фабрики «Стайцель»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A2A7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B363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B13C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26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182B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Недостаток материалов и чрезмерные требования рабочих</w:t>
            </w:r>
          </w:p>
        </w:tc>
      </w:tr>
      <w:tr w:rsidR="002B1C74" w:rsidRPr="002F2FDF" w14:paraId="7239B0C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50321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Картонная фабрика «Венефер»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F8A0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Зстляндская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E31C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8DBA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Работы возобновятся в октябре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A1FD4F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Пожар</w:t>
            </w:r>
          </w:p>
        </w:tc>
      </w:tr>
      <w:tr w:rsidR="002B1C74" w:rsidRPr="002F2FDF" w14:paraId="4903B61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4023E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Мукомольная мельница бр. Цвылевых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E2BC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Тверская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19F5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9F1B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28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AED0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зерна</w:t>
            </w:r>
          </w:p>
        </w:tc>
      </w:tr>
      <w:tr w:rsidR="002B1C74" w:rsidRPr="002F2FDF" w14:paraId="1D5A81C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6DE2C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Медно-чугуно литейный завод Г. Микулицкого, Отдел производств 3" головок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0E1C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Петроградская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1623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174D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BC03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Выполнение старого заказа и неполучение нового заказа от Обуховского сталелитейного завода</w:t>
            </w:r>
          </w:p>
        </w:tc>
      </w:tr>
      <w:tr w:rsidR="002B1C74" w:rsidRPr="002F2FDF" w14:paraId="6CE41A0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30BFA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Горчичная фабрика 3. Л. Этигина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52AC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Саратовская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70E9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7080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BBA3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материалов</w:t>
            </w:r>
          </w:p>
        </w:tc>
      </w:tr>
      <w:tr w:rsidR="002B1C74" w:rsidRPr="002F2FDF" w14:paraId="6096BF6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C8AD4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Фабрика 3. Кокушкина и К. Маракушева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D6CE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8363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469F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17 июля но 17 августа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30DD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топлива</w:t>
            </w:r>
          </w:p>
        </w:tc>
      </w:tr>
    </w:tbl>
    <w:p w14:paraId="1239CB81" w14:textId="77777777" w:rsidR="00811799"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09" w:anchor="_ftnref1" w:history="1">
        <w:r w:rsidR="00811799" w:rsidRPr="002F2FDF">
          <w:rPr>
            <w:rFonts w:ascii="Times New Roman" w:hAnsi="Times New Roman" w:cs="Times New Roman"/>
            <w:color w:val="000000" w:themeColor="text1"/>
            <w:kern w:val="2"/>
            <w:sz w:val="16"/>
            <w:szCs w:val="16"/>
          </w:rPr>
          <w:t>[1]</w:t>
        </w:r>
      </w:hyperlink>
      <w:r w:rsidR="00811799" w:rsidRPr="002F2FDF">
        <w:rPr>
          <w:rFonts w:ascii="Times New Roman" w:hAnsi="Times New Roman" w:cs="Times New Roman"/>
          <w:color w:val="000000" w:themeColor="text1"/>
          <w:kern w:val="2"/>
          <w:sz w:val="16"/>
          <w:szCs w:val="16"/>
        </w:rPr>
        <w:t xml:space="preserve"> Ведомость касается промышленных предприятий, подведомственных Отделу промышленности Министерства торговли и промышленности, и составлена по данным фабричной инспекции.</w:t>
      </w:r>
    </w:p>
    <w:p w14:paraId="4E40DBB8" w14:textId="77777777" w:rsidR="00811799"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10" w:anchor="_ftnref2" w:history="1">
        <w:r w:rsidR="00811799" w:rsidRPr="002F2FDF">
          <w:rPr>
            <w:rFonts w:ascii="Times New Roman" w:hAnsi="Times New Roman" w:cs="Times New Roman"/>
            <w:color w:val="000000" w:themeColor="text1"/>
            <w:kern w:val="2"/>
            <w:sz w:val="16"/>
            <w:szCs w:val="16"/>
          </w:rPr>
          <w:t>[2]</w:t>
        </w:r>
      </w:hyperlink>
      <w:r w:rsidR="00811799" w:rsidRPr="002F2FDF">
        <w:rPr>
          <w:rFonts w:ascii="Times New Roman" w:hAnsi="Times New Roman" w:cs="Times New Roman"/>
          <w:color w:val="000000" w:themeColor="text1"/>
          <w:kern w:val="2"/>
          <w:sz w:val="16"/>
          <w:szCs w:val="16"/>
        </w:rPr>
        <w:t xml:space="preserve"> Датируется по содержанию док.</w:t>
      </w:r>
    </w:p>
    <w:p w14:paraId="293A031A" w14:textId="77777777" w:rsidR="00811799"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11" w:anchor="_ftnref3" w:history="1">
        <w:r w:rsidR="00811799" w:rsidRPr="002F2FDF">
          <w:rPr>
            <w:rFonts w:ascii="Times New Roman" w:hAnsi="Times New Roman" w:cs="Times New Roman"/>
            <w:color w:val="000000" w:themeColor="text1"/>
            <w:kern w:val="2"/>
            <w:sz w:val="16"/>
            <w:szCs w:val="16"/>
          </w:rPr>
          <w:t>[3]</w:t>
        </w:r>
      </w:hyperlink>
      <w:r w:rsidR="00811799" w:rsidRPr="002F2FDF">
        <w:rPr>
          <w:rFonts w:ascii="Times New Roman" w:hAnsi="Times New Roman" w:cs="Times New Roman"/>
          <w:color w:val="000000" w:themeColor="text1"/>
          <w:kern w:val="2"/>
          <w:sz w:val="16"/>
          <w:szCs w:val="16"/>
        </w:rPr>
        <w:t xml:space="preserve"> Не расшифровано (15712).</w:t>
      </w:r>
    </w:p>
    <w:p w14:paraId="3195CD7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p>
    <w:p w14:paraId="5AF74F7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 1917 Из доклада председателя Харьковского порайонного комитета В. А. Гаевского Совету частных железных дорог о производстве топлива и потребности в нем железных дорог в первой половине 1917 г.</w:t>
      </w:r>
    </w:p>
    <w:p w14:paraId="5CAFE21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62-72</w:t>
      </w:r>
    </w:p>
    <w:p w14:paraId="62817B1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23, оп. 15, д. 305, лл. 20—26. Гектогр.</w:t>
      </w:r>
    </w:p>
    <w:p w14:paraId="1C5C59C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ДОБЫЧА НЕФТИ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8"/>
        <w:gridCol w:w="460"/>
        <w:gridCol w:w="908"/>
        <w:gridCol w:w="460"/>
        <w:gridCol w:w="923"/>
      </w:tblGrid>
      <w:tr w:rsidR="002B1C74" w:rsidRPr="002F2FDF" w14:paraId="25A33431" w14:textId="77777777" w:rsidTr="00811799">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DEC1BA1" w14:textId="494C1560"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5ECB32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4A1937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r>
      <w:tr w:rsidR="002B1C74" w:rsidRPr="002F2FDF" w14:paraId="58B3D75E" w14:textId="77777777" w:rsidTr="00811799">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1160E3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2C730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6AB7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7 месяцев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CCF3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5784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7 месяцев</w:t>
            </w:r>
          </w:p>
        </w:tc>
      </w:tr>
      <w:tr w:rsidR="002B1C74" w:rsidRPr="002F2FDF" w14:paraId="73CB04B6"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5A04F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Баку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E67E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5DF4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253443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30A5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FC4B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269782</w:t>
            </w:r>
          </w:p>
        </w:tc>
      </w:tr>
      <w:tr w:rsidR="002B1C74" w:rsidRPr="002F2FDF" w14:paraId="6BECCEE7"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809E9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Грозный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11D6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11822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1359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65715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16E1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8735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53800</w:t>
            </w:r>
          </w:p>
        </w:tc>
      </w:tr>
      <w:tr w:rsidR="002B1C74" w:rsidRPr="002F2FDF" w14:paraId="058C5907"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CA640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Эмба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B96B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2ADC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23C7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71E9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8500</w:t>
            </w:r>
          </w:p>
        </w:tc>
      </w:tr>
      <w:tr w:rsidR="002B1C74" w:rsidRPr="002F2FDF" w14:paraId="4E075A80"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40056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Остальные области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D4D6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EB5B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D224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851C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2500</w:t>
            </w:r>
          </w:p>
        </w:tc>
      </w:tr>
      <w:tr w:rsidR="002B1C74" w:rsidRPr="002F2FDF" w14:paraId="7C287307"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27B459" w14:textId="655D22AE"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E77A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49327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FFEE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330977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3C71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9233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334582</w:t>
            </w:r>
          </w:p>
        </w:tc>
      </w:tr>
    </w:tbl>
    <w:p w14:paraId="36D1DE6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Добыча нефти в 1917 г. предполагалась 600 тыс. пуд., по подсчетам Осотопа она едва ли достигнет 585 тыс. пуд.</w:t>
      </w:r>
    </w:p>
    <w:p w14:paraId="2C4D45C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Главные причины уменьшения добычи: 1) истощение продуктивности, некоторых старых Бакинских промыслов и обусловливаемое этим про-грессируемое увеличение глубин скважин, доходящих до 500 саж.; 2) недостаточное бурение новых скважин; 3) несвоевременный ремонт скважин за недостатком материалов; 4) недостаток транспорта: вывоз по железным дорогам идет крайне неудовлетворительно за недостатком цистерн и паровозов и производительность существующего нефтепровода недостаточна;</w:t>
      </w:r>
    </w:p>
    <w:p w14:paraId="2B7A6D2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недостаток хранилищ на местах производства вследствие невывоза нефти, почему некоторые промысла сокращали зимой до 50%; 6) малая, провозная способность наливного флота.</w:t>
      </w:r>
    </w:p>
    <w:p w14:paraId="12BB7D0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данным Совета съездов бакинских нефтепромышленников, относящихся к четырем главным площадям Бакинского района, средняя производительность скважин выразилась за время с 1906 по 1915 г. в среднем.</w:t>
      </w:r>
    </w:p>
    <w:p w14:paraId="3DB7CD3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920 пуд. в сутки, за 1915 г. — в 328 пуд. (понижение на 64%). В настоящее время средняя производительность не превышает 253 пуд.</w:t>
      </w:r>
    </w:p>
    <w:p w14:paraId="4F4934E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тем же данным, работа по бурению скважин представится в таком виде: в 1914 г. было пробурено 52 тыс. саж., в 1915 г. —48 тыс., а в 1916 г. — не свыше 36 тыс. саж. Из этих данных видно, что бурение сильно упало: с одной стороны, сократилось число начатых бурением скважин — в 1913 г. начато 319 скважин, в 1915 г. начато 176 скважин, а в 1916 г. только 150 скважин, а с другой стороны, упала интенсивность работ.</w:t>
      </w:r>
    </w:p>
    <w:p w14:paraId="467FBEB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Следующие таблицы характеризуют создавшееся положение.</w:t>
      </w:r>
    </w:p>
    <w:p w14:paraId="2DC5284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Приложение: таблицы №№ 1—7.</w:t>
      </w:r>
      <w:hyperlink r:id="rId512" w:anchor="_ftn3" w:history="1">
        <w:r w:rsidRPr="002F2FDF">
          <w:rPr>
            <w:rFonts w:ascii="Times New Roman" w:hAnsi="Times New Roman" w:cs="Times New Roman"/>
            <w:color w:val="000000" w:themeColor="text1"/>
            <w:kern w:val="2"/>
            <w:sz w:val="16"/>
            <w:szCs w:val="16"/>
          </w:rPr>
          <w:t>[3]</w:t>
        </w:r>
      </w:hyperlink>
    </w:p>
    <w:p w14:paraId="7FA83BC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ВЫВОЗ НЕФТИ</w:t>
      </w:r>
    </w:p>
    <w:p w14:paraId="7409723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Запасы к концу 1916 г. были в Баку 43.5 млн, в Грозном 6 млн пуд. По предположению Главнефти, в 1917 г. можно предположить 410 млн, из которых в Астрахань поступит 310 млн, а по Волге 300 млн пуд. Программа вывоза была составлена на несколько большее количество, а именно: Петроград — 19 млн, Рыбинск — 20.2 млн, Ярославль — 40,3 млн, Кострома — 1,3 млн, Кинешма — 11,6 млн, Нижний Новгород — 56,9 млн, Казань — 14,7 млн, Богородск — 1,1 млн, Симбирск — 0,6 млн, Самара — 32,8 млн, Батраки — 17.9 млн, Вольск — 1.5 млн,. Саратов и Покровск — 28.7 млн, Камышин — 3.7 млн, Царицын — 21.3 млн, Ахтуба — 0.2 млн, Бузан — 2 млн, Рязань и Ока — 19.9 млн, Уфа — 3.7 млн, Пермь и остальные протоки Камы — 6.7 млн, Астрахань — 15.9 млн, всего 325 млн пуд.</w:t>
      </w:r>
    </w:p>
    <w:p w14:paraId="29709C9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имеющимся в Главнефти данным, перевезти такое количество нефти представлялось вполне возможным. Но обследование установило возможность довести флот до 104 пароходов общей емкостью в 8409 млн. пуд., в то время как в прошлом году наличный флот состоял из 86 пароходов емкостью в 7331 млн. В прошлом году указанными 86 пароходами было перевезено морским путем 424.5 млн. Из указанного количества в Астрахань было перевезено 323 млн.</w:t>
      </w:r>
    </w:p>
    <w:p w14:paraId="60347EF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Навигация по Каспийскому морю открылась при неблагоприятных условиях: 1) ремонт наливных судов не был окончен к началу навигации, и последняя началась на 2 недели позже, чем в прошлом году; 2) были затруднения при организации команды. Благодаря этим причинам на 15 апреля было перевезено всего 30.5 млн. пуд., т. е. на 12 млн менее, чем. в прошлом году; на 1 мая вывезено 53.5 млн. пуд. против 61 240 тыс. пуд. прошлого года.</w:t>
      </w:r>
    </w:p>
    <w:p w14:paraId="58F773F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потерпел аварию один из самых больших теплоходов об-ва «Океан». На 1 июля 1917 г. в Астрахань привезено 133 798 тыс. пуд. против 140 170 тыс. пуд. прошлого года.</w:t>
      </w:r>
    </w:p>
    <w:p w14:paraId="28299BD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Речная перевозка началась при довольно благоприятных условиях и до сих пор, несмотря на целый ряд затруднений, вызываемых особенностями переживаемого времени, шла удовлетворительно благодаря хорошо налаженной организации волжского речного транспорта.</w:t>
      </w:r>
    </w:p>
    <w:p w14:paraId="5F4C1BE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1 июня 1917 г. всего вывезено из Астрахани 135 903 тыс. пуд., в навигацию прошлого года за тот же период вывезено 129 424 тыс. пуд., т. е. в 1917 г. больше на 6479 тьтс. пуд.</w:t>
      </w:r>
    </w:p>
    <w:p w14:paraId="05D88CB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последнее время условия вывоза значительно ухудшились. Главной причиной является мелководье на Волге и недостаток продовольствия. Последний вопрос принимает угрожающий характер, так как недостаток его особенно является в пределах Волжского бассейна, поэтому есть большое опасение падения перевозки нефти по Волге.</w:t>
      </w:r>
    </w:p>
    <w:p w14:paraId="5F9A5F9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текущую навигацию предположено доставить водным путем в Петроград нефтяного топлива 17 млн пуд. вместо 7 млн прошлого года. До сих пор перевозка идет вполне успешно, вывезено из Рыбинска около 4.5 млн, т. е. программа выполняется. Но здесь встречались другие препятствия весьма серьезного характера. Вывоз топлива по железным дорогам из верхних пристаней идет крайне неуспешно. Вследствие этого резервуары заполняются, и может наступить момент, когда дальнейший подвоз придется сократить и оставлять топливо на нижних пристанях, т. е. обречь его на зимовку в тех местах, откуда вывезти его потребителям не удастся. В этом, кроме расстройства транспорта, виновата и плохая организация по надзору за работой пристаней.</w:t>
      </w:r>
    </w:p>
    <w:p w14:paraId="4051A59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Перевозка нефти по железным дорогам производится с большими дефектами. При весьма незначительном числе цистерн оборот их весьма слаб. Очистка и ремонт их производятся крайне медленно и неаккуратно. Главной же причиной плохого оборота является большой недостаток на дорогах паровозов.</w:t>
      </w:r>
    </w:p>
    <w:p w14:paraId="1749FF6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лучше обстоит дело с вывозом нефти непосредственно из мест добычи. Особенно в этом отношении тяжелое положение создалось в Грозном.</w:t>
      </w:r>
    </w:p>
    <w:p w14:paraId="0CD8B83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Вывоз за первую четверть года по железным дорогам был на 35% меньше, чем в прошлом году. А теперь еще меньше, так:</w:t>
      </w:r>
    </w:p>
    <w:p w14:paraId="711FD19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Вывоз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508"/>
        <w:gridCol w:w="508"/>
        <w:gridCol w:w="624"/>
        <w:gridCol w:w="995"/>
      </w:tblGrid>
      <w:tr w:rsidR="002B1C74" w:rsidRPr="002F2FDF" w14:paraId="6328BD14"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B9B11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B30E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F98E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AD73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Меньше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E993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Меньше (в%)</w:t>
            </w:r>
          </w:p>
        </w:tc>
      </w:tr>
      <w:tr w:rsidR="002B1C74" w:rsidRPr="002F2FDF" w14:paraId="5CE76A45"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EA89E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90A0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2A7B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8733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11471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8E21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34.5</w:t>
            </w:r>
          </w:p>
        </w:tc>
      </w:tr>
      <w:tr w:rsidR="002B1C74" w:rsidRPr="002F2FDF" w14:paraId="2FB4BAFE"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E4BCF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16EA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DBA6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3F54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671B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35.2</w:t>
            </w:r>
          </w:p>
        </w:tc>
      </w:tr>
      <w:tr w:rsidR="002B1C74" w:rsidRPr="002F2FDF" w14:paraId="5A0AD13E"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76696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5968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CFFF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4FD7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CFB2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35.4</w:t>
            </w:r>
          </w:p>
        </w:tc>
      </w:tr>
      <w:tr w:rsidR="002B1C74" w:rsidRPr="002F2FDF" w14:paraId="5371D1A1"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0A107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6700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3E15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937B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BA1F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38.3</w:t>
            </w:r>
          </w:p>
        </w:tc>
      </w:tr>
      <w:tr w:rsidR="002B1C74" w:rsidRPr="002F2FDF" w14:paraId="1BD2A10C"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83F73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FC33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34689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1AED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E14A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AFF5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41.0</w:t>
            </w:r>
          </w:p>
        </w:tc>
      </w:tr>
    </w:tbl>
    <w:p w14:paraId="7A79072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всего сказанного можно сделать вывод: 1) что добыча нефти в 1917 г. будет меньше, чем предположено программой, на 15 млн пуд.; 2) что же касается доставки потребителям по железным дорогам, то тут трудно сделать хотя бы приблизительный подсчет; вообще перевозка все сокращается, и когда наступит улучшение, трудно предугадать.</w:t>
      </w:r>
    </w:p>
    <w:p w14:paraId="10151D9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ЗАГОТОВКА ДРОВ</w:t>
      </w:r>
    </w:p>
    <w:p w14:paraId="151C23D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Относительно хода заготовок дров и возможного количества их к концу 1917 г. трудно сделать какие-либо подсчеты. Самая главная причина сокращения заготовок дров — препятствия, чинимые крестьянами на почве аграрных отношений.</w:t>
      </w:r>
    </w:p>
    <w:p w14:paraId="739697C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Получены Осотопом донесения почти со всех мест, даже не исключая и фронта, что этот вопрос стоит весьма остро и пока каких-либо серьезных мер не принимается.</w:t>
      </w:r>
    </w:p>
    <w:p w14:paraId="7348EC5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лучше обстоит дело с вывозом дров по железным дорогам. Имеются сведения о громадных залежах предъявленных дров на станциях и невы-везенных, как например Московско-Казанская, Западно-Уральская и др.</w:t>
      </w:r>
    </w:p>
    <w:p w14:paraId="4F9F404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многих отдельных станциях лежит до 20 тыс. вагонов дров и древесного угля, что влияет на заготовку дров в этих местах, так как промышленники потеряли веру в возможность их отправки.</w:t>
      </w:r>
    </w:p>
    <w:p w14:paraId="2B720E6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Приняты меры Осотопом к увеличению масштаба заготовок дров для потребностей железных дорог и промышленных заведений. С этой целью создана организация: Центральная комиссия но заготовке дров (Центро-лес). Положение организации Центролес утверждено в июне месяце, и в настоящее время заканчивается его организация. По предварительному подсчету, Центролес предлагает заготовить в течение 1917 г. по 1918 г. около 1.5 млн куб. саж. дров. Предположенная заготовка дров на 1917 г. в количестве 6.3 млн куб. саж. не удастся, так как она не удалась и в 1916 г., когда предполагалось заготовить 4.9 млн куб. саж. У Осотопа положительных данных нет, и он предполагает, что за 1917 г. будет разработано не более 4.9 млн куб. саж.</w:t>
      </w:r>
    </w:p>
    <w:p w14:paraId="519F761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Осотоп взял на себя обеспечение топливом населения городов. Эту задачу разрешает так: 1) заготовкой дров своим распоряжением и передачей их городским управлениям, 2) выдачей городам ссуд на заготовительные операции и 3) гарантией займов городов для заготовки дров.</w:t>
      </w:r>
    </w:p>
    <w:p w14:paraId="6D82F13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Программа была намечена так: на 1 апреля 1918 г. заготовить около 2 млн куб. саж. Всего на 1 мая '1917 г. заготовлено 1 085 741 куб. саж. Ссуд городам выдано до сих пор 10 млн руб. и гарантировано займов на сумму 50 млн руб.</w:t>
      </w:r>
    </w:p>
    <w:p w14:paraId="536C3A5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ДОБЫЧА ТОРФА</w:t>
      </w:r>
    </w:p>
    <w:p w14:paraId="7A0735E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Добыча торфа в этом году протекает при крайне неблагоприятных условиях, главным образом вследствие недостатка рабочих и недостатка продовольствия.</w:t>
      </w:r>
    </w:p>
    <w:p w14:paraId="01AAF8D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Осотоп данных пока не имеет, но он с уверенностью полагает, что количество торфа в этом году будет значительно меньше количества, полученного в прошлом году. Уменьшение выразится в 40%: вместо 90 млн пуд. предполагаемого будет добыто 54 млн.</w:t>
      </w:r>
    </w:p>
    <w:p w14:paraId="171A278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ТВЕРДОЕ МИНЕРАЛЬНОЕ ТОПЛИВО</w:t>
      </w:r>
    </w:p>
    <w:p w14:paraId="616A44F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Донецкий бассейн</w:t>
      </w:r>
      <w:hyperlink r:id="rId513" w:anchor="_ftn4" w:history="1">
        <w:r w:rsidRPr="002F2FDF">
          <w:rPr>
            <w:rFonts w:ascii="Times New Roman" w:hAnsi="Times New Roman" w:cs="Times New Roman"/>
            <w:color w:val="000000" w:themeColor="text1"/>
            <w:kern w:val="2"/>
            <w:sz w:val="16"/>
            <w:szCs w:val="16"/>
          </w:rPr>
          <w:t>[4]</w:t>
        </w:r>
      </w:hyperlink>
    </w:p>
    <w:p w14:paraId="44E3FAE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Предполагалась добыча каменного угля 1505 млн пуд. Положение за первое полугодие обстоит так:</w:t>
      </w:r>
    </w:p>
    <w:p w14:paraId="791CC3C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Каменный уголь и антрацит [в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64"/>
        <w:gridCol w:w="743"/>
        <w:gridCol w:w="820"/>
        <w:gridCol w:w="1462"/>
        <w:gridCol w:w="815"/>
        <w:gridCol w:w="681"/>
        <w:gridCol w:w="619"/>
      </w:tblGrid>
      <w:tr w:rsidR="002B1C74" w:rsidRPr="002F2FDF" w14:paraId="1DBD56A2" w14:textId="77777777" w:rsidTr="002E2452">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F8FD062" w14:textId="7999E15A"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B3A1BD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Добыто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4AD19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 минерального</w:t>
            </w:r>
          </w:p>
          <w:p w14:paraId="2457301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топлива</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FDD095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Средняя месячная добыча</w:t>
            </w:r>
          </w:p>
        </w:tc>
      </w:tr>
      <w:tr w:rsidR="002B1C74" w:rsidRPr="002F2FDF" w14:paraId="525E9547" w14:textId="77777777" w:rsidTr="002E2452">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3B1458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C4A96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каменный</w:t>
            </w:r>
          </w:p>
          <w:p w14:paraId="0DA4979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818E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антрацит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4C1283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30CA6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каменный</w:t>
            </w:r>
          </w:p>
          <w:p w14:paraId="57D0C38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904A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антрацит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45DD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p w14:paraId="417220B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топлива</w:t>
            </w:r>
          </w:p>
        </w:tc>
      </w:tr>
      <w:tr w:rsidR="002B1C74" w:rsidRPr="002F2FDF" w14:paraId="156D0E1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919B7D" w14:textId="417854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1-я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половина 1916 г.</w:t>
            </w:r>
          </w:p>
          <w:p w14:paraId="1A06C3F5" w14:textId="003C4524"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2-я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1916 г. 1-я »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854A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668.5</w:t>
            </w:r>
          </w:p>
          <w:p w14:paraId="3EF4BC4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705.0</w:t>
            </w:r>
          </w:p>
          <w:p w14:paraId="4DE6A97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FCEE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177.0 201.8</w:t>
            </w:r>
          </w:p>
          <w:p w14:paraId="04B19F9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3CFE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845.5</w:t>
            </w:r>
          </w:p>
          <w:p w14:paraId="1D8C84C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906.8</w:t>
            </w:r>
          </w:p>
          <w:p w14:paraId="32CF6DD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4870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111.4</w:t>
            </w:r>
          </w:p>
          <w:p w14:paraId="5AACCF7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117.5 106.3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EE8D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29.5</w:t>
            </w:r>
          </w:p>
          <w:p w14:paraId="15580C5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33.6</w:t>
            </w:r>
          </w:p>
          <w:p w14:paraId="6DDE96A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6B38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140.9</w:t>
            </w:r>
          </w:p>
          <w:p w14:paraId="2663004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151.1</w:t>
            </w:r>
          </w:p>
          <w:p w14:paraId="3F0DF49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137.0</w:t>
            </w:r>
          </w:p>
        </w:tc>
      </w:tr>
    </w:tbl>
    <w:p w14:paraId="13C1410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этих данных видно, что добыча всего минерального топлива за первую половину 1917 г. — 822 млн пуд., ниже добычи первого полугодия 1916 г. на 23.5 млн пуд., или 2.8%, а против добычи за вторую половину 1916 г. ниже на 80.8 млн пуд., или 8.8%, в частности понижение добычи каменного угля = 4.5% по сравнению с первой половиной 1916 г. и 9.6% по сравнению со второй половиной 1916 г. Средняя месячная добыча, поднявшись с 141 млн пуд. в течение первого полугодия 1916 г. до 151 млн пуд. за второе полугодие 1916 г. упала за первую половину 1917 г. до 137 млн пуд., а за апрель, май и июнь — до 125 млн пуд., или на 26 млн пуд. менее.</w:t>
      </w:r>
    </w:p>
    <w:p w14:paraId="77E93CE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отдельности по месяцам добыча всего минерального топлива [в млн пуд.] видна из следующей таблицы: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34"/>
        <w:gridCol w:w="583"/>
        <w:gridCol w:w="549"/>
        <w:gridCol w:w="508"/>
        <w:gridCol w:w="508"/>
        <w:gridCol w:w="508"/>
        <w:gridCol w:w="523"/>
      </w:tblGrid>
      <w:tr w:rsidR="002B1C74" w:rsidRPr="002F2FDF" w14:paraId="125D4B7D" w14:textId="77777777" w:rsidTr="00811799">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9D2581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89384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Каменного угля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3FD24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Антрацита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73D91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r>
      <w:tr w:rsidR="002B1C74" w:rsidRPr="002F2FDF" w14:paraId="2B015E07" w14:textId="77777777" w:rsidTr="00811799">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025A9F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F735D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A28C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BAE7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1DAD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50D0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16B6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r>
      <w:tr w:rsidR="002B1C74" w:rsidRPr="002F2FDF" w14:paraId="7EB18B67"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80FAB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E7BC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001C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0D96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1216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B563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7681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150.00</w:t>
            </w:r>
          </w:p>
        </w:tc>
      </w:tr>
      <w:tr w:rsidR="002B1C74" w:rsidRPr="002F2FDF" w14:paraId="497D4DC3"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3DE63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629F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5D6E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24FD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D782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6F99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2AB2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149.00</w:t>
            </w:r>
          </w:p>
        </w:tc>
      </w:tr>
      <w:tr w:rsidR="002B1C74" w:rsidRPr="002F2FDF" w14:paraId="51C89312"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1D141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7D56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2823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B7CB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C131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4D29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09D8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104.23</w:t>
            </w:r>
          </w:p>
        </w:tc>
      </w:tr>
      <w:tr w:rsidR="002B1C74" w:rsidRPr="002F2FDF" w14:paraId="4F3A2B5C"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BEEE8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0CA5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E5E2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E675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E58E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584E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7D2A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95.00</w:t>
            </w:r>
          </w:p>
        </w:tc>
      </w:tr>
      <w:tr w:rsidR="002B1C74" w:rsidRPr="002F2FDF" w14:paraId="3E035324"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9E539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8D82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8973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E3DB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3B2A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8E06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6547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140.00</w:t>
            </w:r>
          </w:p>
        </w:tc>
      </w:tr>
      <w:tr w:rsidR="002B1C74" w:rsidRPr="002F2FDF" w14:paraId="4F09543C"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9953D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2F93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F61B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5505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750B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FC6F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1710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147.00</w:t>
            </w:r>
          </w:p>
        </w:tc>
      </w:tr>
    </w:tbl>
    <w:p w14:paraId="33F15AF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Одной из главных причин уменьшения добычи является за последние месяцы уменьшение производительности рабочих, что видно из нижеследующей таблицы: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05"/>
        <w:gridCol w:w="702"/>
        <w:gridCol w:w="785"/>
        <w:gridCol w:w="2372"/>
        <w:gridCol w:w="1635"/>
      </w:tblGrid>
      <w:tr w:rsidR="002B1C74" w:rsidRPr="002F2FDF" w14:paraId="77258BF5" w14:textId="77777777" w:rsidTr="00811799">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D3B6F0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Месяцы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C201DD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Производительность одного рабочего</w:t>
            </w:r>
          </w:p>
        </w:tc>
      </w:tr>
      <w:tr w:rsidR="002B1C74" w:rsidRPr="002F2FDF" w14:paraId="73C16B5D" w14:textId="77777777" w:rsidTr="00811799">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677218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4E04B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6F39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28C846F" w14:textId="47A7F3DB"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уменьшение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производительности в 1917 г. против 1916 г.</w:t>
            </w:r>
          </w:p>
        </w:tc>
      </w:tr>
      <w:tr w:rsidR="002B1C74" w:rsidRPr="002F2FDF" w14:paraId="69694A05"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40D534" w14:textId="521790AE"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84026F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4EF2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8C34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w:t>
            </w:r>
          </w:p>
        </w:tc>
      </w:tr>
      <w:tr w:rsidR="002B1C74" w:rsidRPr="002F2FDF" w14:paraId="5E6CE5A7"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4994F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541F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17AD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1CA6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F35B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26.6</w:t>
            </w:r>
          </w:p>
        </w:tc>
      </w:tr>
      <w:tr w:rsidR="002B1C74" w:rsidRPr="002F2FDF" w14:paraId="061BB14B"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B323C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D70DA5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5334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C94B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10DC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27.6</w:t>
            </w:r>
          </w:p>
        </w:tc>
      </w:tr>
      <w:tr w:rsidR="002B1C74" w:rsidRPr="002F2FDF" w14:paraId="322895AE"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6D3DB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5B3E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2984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8B7F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5F58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29.0</w:t>
            </w:r>
          </w:p>
        </w:tc>
      </w:tr>
      <w:tr w:rsidR="002B1C74" w:rsidRPr="002F2FDF" w14:paraId="4A57916D"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030E0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EDA6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D2E1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DA9D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A025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w:t>
            </w:r>
          </w:p>
        </w:tc>
      </w:tr>
      <w:tr w:rsidR="002B1C74" w:rsidRPr="002F2FDF" w14:paraId="3BF689ED"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72DEB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 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5C27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2B98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46FF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7731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27.3</w:t>
            </w:r>
          </w:p>
        </w:tc>
      </w:tr>
      <w:tr w:rsidR="002B1C74" w:rsidRPr="002F2FDF" w14:paraId="3C9A2742"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1623C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6C16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7B83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1BC7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7EF7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31.2</w:t>
            </w:r>
          </w:p>
        </w:tc>
      </w:tr>
      <w:tr w:rsidR="002B1C74" w:rsidRPr="002F2FDF" w14:paraId="3DC9EA13"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E0DAF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за 1-е полугодие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CA38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A203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3884</w:t>
            </w:r>
            <w:hyperlink r:id="rId514" w:anchor="_ftn5" w:history="1">
              <w:r w:rsidRPr="002F2FDF">
                <w:rPr>
                  <w:rFonts w:ascii="Times New Roman" w:hAnsi="Times New Roman" w:cs="Times New Roman"/>
                  <w:color w:val="000000" w:themeColor="text1"/>
                  <w:kern w:val="2"/>
                  <w:sz w:val="16"/>
                  <w:szCs w:val="16"/>
                </w:rPr>
                <w:t>[5]</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5E9225A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992</w:t>
            </w:r>
            <w:hyperlink r:id="rId515" w:anchor="_ftn6" w:history="1">
              <w:r w:rsidRPr="002F2FDF">
                <w:rPr>
                  <w:rFonts w:ascii="Times New Roman" w:hAnsi="Times New Roman" w:cs="Times New Roman"/>
                  <w:color w:val="000000" w:themeColor="text1"/>
                  <w:kern w:val="2"/>
                  <w:sz w:val="16"/>
                  <w:szCs w:val="16"/>
                </w:rPr>
                <w:t>[6]</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27BAA14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26.0</w:t>
            </w:r>
          </w:p>
        </w:tc>
      </w:tr>
    </w:tbl>
    <w:p w14:paraId="0625A71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Средняя месячная производительность рабочего в первой половине 1917 г. = 486 [пуд.]</w:t>
      </w:r>
      <w:hyperlink r:id="rId516" w:anchor="_ftn7" w:history="1">
        <w:r w:rsidRPr="002F2FDF">
          <w:rPr>
            <w:rFonts w:ascii="Times New Roman" w:hAnsi="Times New Roman" w:cs="Times New Roman"/>
            <w:color w:val="000000" w:themeColor="text1"/>
            <w:kern w:val="2"/>
            <w:sz w:val="16"/>
            <w:szCs w:val="16"/>
          </w:rPr>
          <w:t>[7]</w:t>
        </w:r>
      </w:hyperlink>
      <w:r w:rsidRPr="002F2FDF">
        <w:rPr>
          <w:rFonts w:ascii="Times New Roman" w:hAnsi="Times New Roman" w:cs="Times New Roman"/>
          <w:color w:val="000000" w:themeColor="text1"/>
          <w:kern w:val="2"/>
          <w:sz w:val="16"/>
          <w:szCs w:val="16"/>
        </w:rPr>
        <w:t xml:space="preserve"> по сравнению со средней месячной производительностью первой половины 1916 г. (647 пуд.) понизилась на 26%, а по сравнению со средней месячной производительностью второй половины 1916 г. (586 пуд.) на 17%.</w:t>
      </w:r>
    </w:p>
    <w:p w14:paraId="6D88863B" w14:textId="0B223706"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общем числе рабочих на копях имеется 70 тыс. пленных и свыше 30 тыс. женщин и детей. Но если же принять во внимание, что комплект рабочих с ноября остается более устойчивым, то производительность рабочих в ноябре 1916 г. была 636 пуд., в мае 1916 г.</w:t>
      </w:r>
      <w:bookmarkStart w:id="283" w:name="_ftnref8"/>
      <w:r w:rsidR="004A1FB3" w:rsidRPr="002F2FDF">
        <w:rPr>
          <w:rFonts w:ascii="Times New Roman" w:hAnsi="Times New Roman" w:cs="Times New Roman"/>
          <w:color w:val="000000" w:themeColor="text1"/>
          <w:kern w:val="2"/>
          <w:sz w:val="16"/>
          <w:szCs w:val="16"/>
        </w:rPr>
        <w:fldChar w:fldCharType="begin"/>
      </w:r>
      <w:r w:rsidRPr="002F2FDF">
        <w:rPr>
          <w:rFonts w:ascii="Times New Roman" w:hAnsi="Times New Roman" w:cs="Times New Roman"/>
          <w:color w:val="000000" w:themeColor="text1"/>
          <w:kern w:val="2"/>
          <w:sz w:val="16"/>
          <w:szCs w:val="16"/>
        </w:rPr>
        <w:instrText xml:space="preserve"> HYPERLINK "http://istmat.info/node/37897" \l "_ftn8" \o "" </w:instrText>
      </w:r>
      <w:r w:rsidR="004A1FB3" w:rsidRPr="002F2FDF">
        <w:rPr>
          <w:rFonts w:ascii="Times New Roman" w:hAnsi="Times New Roman" w:cs="Times New Roman"/>
          <w:color w:val="000000" w:themeColor="text1"/>
          <w:kern w:val="2"/>
          <w:sz w:val="16"/>
          <w:szCs w:val="16"/>
        </w:rPr>
      </w:r>
      <w:r w:rsidR="004A1FB3" w:rsidRPr="002F2FDF">
        <w:rPr>
          <w:rFonts w:ascii="Times New Roman" w:hAnsi="Times New Roman" w:cs="Times New Roman"/>
          <w:color w:val="000000" w:themeColor="text1"/>
          <w:kern w:val="2"/>
          <w:sz w:val="16"/>
          <w:szCs w:val="16"/>
        </w:rPr>
        <w:fldChar w:fldCharType="separate"/>
      </w:r>
      <w:r w:rsidRPr="002F2FDF">
        <w:rPr>
          <w:rFonts w:ascii="Times New Roman" w:hAnsi="Times New Roman" w:cs="Times New Roman"/>
          <w:color w:val="000000" w:themeColor="text1"/>
          <w:kern w:val="2"/>
          <w:sz w:val="16"/>
          <w:szCs w:val="16"/>
        </w:rPr>
        <w:t>[8]</w:t>
      </w:r>
      <w:r w:rsidR="004A1FB3" w:rsidRPr="002F2FDF">
        <w:rPr>
          <w:rFonts w:ascii="Times New Roman" w:hAnsi="Times New Roman" w:cs="Times New Roman"/>
          <w:color w:val="000000" w:themeColor="text1"/>
          <w:kern w:val="2"/>
          <w:sz w:val="16"/>
          <w:szCs w:val="16"/>
        </w:rPr>
        <w:fldChar w:fldCharType="end"/>
      </w:r>
      <w:bookmarkEnd w:id="283"/>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462 пуд. и в июне — 445 пуд.,</w:t>
      </w:r>
      <w:bookmarkStart w:id="284" w:name="_ftnref9"/>
      <w:r w:rsidR="004A1FB3" w:rsidRPr="002F2FDF">
        <w:rPr>
          <w:rFonts w:ascii="Times New Roman" w:hAnsi="Times New Roman" w:cs="Times New Roman"/>
          <w:color w:val="000000" w:themeColor="text1"/>
          <w:kern w:val="2"/>
          <w:sz w:val="16"/>
          <w:szCs w:val="16"/>
        </w:rPr>
        <w:fldChar w:fldCharType="begin"/>
      </w:r>
      <w:r w:rsidRPr="002F2FDF">
        <w:rPr>
          <w:rFonts w:ascii="Times New Roman" w:hAnsi="Times New Roman" w:cs="Times New Roman"/>
          <w:color w:val="000000" w:themeColor="text1"/>
          <w:kern w:val="2"/>
          <w:sz w:val="16"/>
          <w:szCs w:val="16"/>
        </w:rPr>
        <w:instrText xml:space="preserve"> HYPERLINK "http://istmat.info/node/37897" \l "_ftn9" \o "" </w:instrText>
      </w:r>
      <w:r w:rsidR="004A1FB3" w:rsidRPr="002F2FDF">
        <w:rPr>
          <w:rFonts w:ascii="Times New Roman" w:hAnsi="Times New Roman" w:cs="Times New Roman"/>
          <w:color w:val="000000" w:themeColor="text1"/>
          <w:kern w:val="2"/>
          <w:sz w:val="16"/>
          <w:szCs w:val="16"/>
        </w:rPr>
      </w:r>
      <w:r w:rsidR="004A1FB3" w:rsidRPr="002F2FDF">
        <w:rPr>
          <w:rFonts w:ascii="Times New Roman" w:hAnsi="Times New Roman" w:cs="Times New Roman"/>
          <w:color w:val="000000" w:themeColor="text1"/>
          <w:kern w:val="2"/>
          <w:sz w:val="16"/>
          <w:szCs w:val="16"/>
        </w:rPr>
        <w:fldChar w:fldCharType="separate"/>
      </w:r>
      <w:r w:rsidRPr="002F2FDF">
        <w:rPr>
          <w:rFonts w:ascii="Times New Roman" w:hAnsi="Times New Roman" w:cs="Times New Roman"/>
          <w:color w:val="000000" w:themeColor="text1"/>
          <w:kern w:val="2"/>
          <w:sz w:val="16"/>
          <w:szCs w:val="16"/>
        </w:rPr>
        <w:t>[9]</w:t>
      </w:r>
      <w:r w:rsidR="004A1FB3" w:rsidRPr="002F2FDF">
        <w:rPr>
          <w:rFonts w:ascii="Times New Roman" w:hAnsi="Times New Roman" w:cs="Times New Roman"/>
          <w:color w:val="000000" w:themeColor="text1"/>
          <w:kern w:val="2"/>
          <w:sz w:val="16"/>
          <w:szCs w:val="16"/>
        </w:rPr>
        <w:fldChar w:fldCharType="end"/>
      </w:r>
      <w:bookmarkEnd w:id="284"/>
      <w:r w:rsidRPr="002F2FDF">
        <w:rPr>
          <w:rFonts w:ascii="Times New Roman" w:hAnsi="Times New Roman" w:cs="Times New Roman"/>
          <w:color w:val="000000" w:themeColor="text1"/>
          <w:kern w:val="2"/>
          <w:sz w:val="16"/>
          <w:szCs w:val="16"/>
        </w:rPr>
        <w:t xml:space="preserve"> т. е. беспрерывно уменьшалась. Столь малая производительность рабочего объясняется малым числом выходов и уменьшением времени работ.</w:t>
      </w:r>
    </w:p>
    <w:p w14:paraId="299273F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Такое понижение добычи топлива, особенно каменного угля, отражается самым пагубным образом в отношении снабжения топливом и деятельности железных дорог, металлургических заводов и других заводов, работающих на оборону.</w:t>
      </w:r>
    </w:p>
    <w:p w14:paraId="72772E7B" w14:textId="7F9AA7CD"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Если производительность рабочих во втором полугодии 1917 г. остается такая же низкая, как и в первом полугодии, т.е. 485</w:t>
      </w:r>
      <w:bookmarkStart w:id="285" w:name="_ftnref10"/>
      <w:r w:rsidR="004A1FB3" w:rsidRPr="002F2FDF">
        <w:rPr>
          <w:rFonts w:ascii="Times New Roman" w:hAnsi="Times New Roman" w:cs="Times New Roman"/>
          <w:color w:val="000000" w:themeColor="text1"/>
          <w:kern w:val="2"/>
          <w:sz w:val="16"/>
          <w:szCs w:val="16"/>
        </w:rPr>
        <w:fldChar w:fldCharType="begin"/>
      </w:r>
      <w:r w:rsidRPr="002F2FDF">
        <w:rPr>
          <w:rFonts w:ascii="Times New Roman" w:hAnsi="Times New Roman" w:cs="Times New Roman"/>
          <w:color w:val="000000" w:themeColor="text1"/>
          <w:kern w:val="2"/>
          <w:sz w:val="16"/>
          <w:szCs w:val="16"/>
        </w:rPr>
        <w:instrText xml:space="preserve"> HYPERLINK "http://istmat.info/node/37897" \l "_ftn10" \o "" </w:instrText>
      </w:r>
      <w:r w:rsidR="004A1FB3" w:rsidRPr="002F2FDF">
        <w:rPr>
          <w:rFonts w:ascii="Times New Roman" w:hAnsi="Times New Roman" w:cs="Times New Roman"/>
          <w:color w:val="000000" w:themeColor="text1"/>
          <w:kern w:val="2"/>
          <w:sz w:val="16"/>
          <w:szCs w:val="16"/>
        </w:rPr>
      </w:r>
      <w:r w:rsidR="004A1FB3" w:rsidRPr="002F2FDF">
        <w:rPr>
          <w:rFonts w:ascii="Times New Roman" w:hAnsi="Times New Roman" w:cs="Times New Roman"/>
          <w:color w:val="000000" w:themeColor="text1"/>
          <w:kern w:val="2"/>
          <w:sz w:val="16"/>
          <w:szCs w:val="16"/>
        </w:rPr>
        <w:fldChar w:fldCharType="separate"/>
      </w:r>
      <w:r w:rsidRPr="002F2FDF">
        <w:rPr>
          <w:rFonts w:ascii="Times New Roman" w:hAnsi="Times New Roman" w:cs="Times New Roman"/>
          <w:color w:val="000000" w:themeColor="text1"/>
          <w:kern w:val="2"/>
          <w:sz w:val="16"/>
          <w:szCs w:val="16"/>
        </w:rPr>
        <w:t>[10]</w:t>
      </w:r>
      <w:r w:rsidR="004A1FB3" w:rsidRPr="002F2FDF">
        <w:rPr>
          <w:rFonts w:ascii="Times New Roman" w:hAnsi="Times New Roman" w:cs="Times New Roman"/>
          <w:color w:val="000000" w:themeColor="text1"/>
          <w:kern w:val="2"/>
          <w:sz w:val="16"/>
          <w:szCs w:val="16"/>
        </w:rPr>
        <w:fldChar w:fldCharType="end"/>
      </w:r>
      <w:bookmarkEnd w:id="285"/>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пуд. в месяц, а фактически, по данным мая и июня, даже несколько ниже и если среднее число рабочих и их состав остаются те же, то месячная средняя добыча составит около 135 млн пуд., а за полугодие </w:t>
      </w:r>
      <w:r w:rsidRPr="002F2FDF">
        <w:rPr>
          <w:rFonts w:ascii="Times New Roman" w:hAnsi="Times New Roman" w:cs="Times New Roman"/>
          <w:color w:val="000000" w:themeColor="text1"/>
          <w:kern w:val="2"/>
          <w:sz w:val="16"/>
          <w:szCs w:val="16"/>
        </w:rPr>
        <w:lastRenderedPageBreak/>
        <w:t>750 млн пуд., всего же за весь год вероятно добыча составит 1572 млн пуд., что приблизится к добыче 1913 г. 1543 млн пуд.), но ниже добычи 1916 г. на 180 млн пуд. = 10%, 1915 г. на 52 млн пуд.=3.2%.</w:t>
      </w:r>
    </w:p>
    <w:p w14:paraId="613F128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добыче 135 млн пуд. останется на месте 35 млн пуд., а к вывозу всего 90 млн пуд., из них каменного угля, кокса и брикетов 65 млн пуд. Нормальная же месячная потребность к вывозу всего донецкого топлива до 130 млн пуд., из них каменного угля, кокса и брикетов 95 млн пуд., или на 30 млн более предполагаемого к вывозу.</w:t>
      </w:r>
    </w:p>
    <w:p w14:paraId="4BB6A9F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Производство кокса [в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57"/>
        <w:gridCol w:w="881"/>
        <w:gridCol w:w="958"/>
        <w:gridCol w:w="1241"/>
        <w:gridCol w:w="1343"/>
      </w:tblGrid>
      <w:tr w:rsidR="002B1C74" w:rsidRPr="002F2FDF" w14:paraId="3D2C230C"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A382A2" w14:textId="6C058D21"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75E2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копях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3440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заводах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575D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5B27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среднем в месяц</w:t>
            </w:r>
          </w:p>
        </w:tc>
      </w:tr>
      <w:tr w:rsidR="002B1C74" w:rsidRPr="002F2FDF" w14:paraId="266F2BA4"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49567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1-е полугодие 1917 г. .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68AD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926C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0B35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0D332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w:t>
            </w:r>
          </w:p>
        </w:tc>
      </w:tr>
      <w:tr w:rsidR="002B1C74" w:rsidRPr="002F2FDF" w14:paraId="64BDCE2A" w14:textId="77777777" w:rsidTr="00811799">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1EA045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2-е полугодие 1916 г. .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4C48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39FB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23BC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CA33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21.5</w:t>
            </w:r>
          </w:p>
        </w:tc>
      </w:tr>
      <w:tr w:rsidR="002B1C74" w:rsidRPr="002F2FDF" w14:paraId="6B6091A0" w14:textId="77777777" w:rsidTr="00811799">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09B1E0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DB437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8E98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-12.6 (-300/о)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4A99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—10.6</w:t>
            </w:r>
            <w:bookmarkStart w:id="286" w:name="_ftnref11"/>
            <w:r w:rsidR="004A1FB3" w:rsidRPr="002F2FDF">
              <w:rPr>
                <w:rFonts w:ascii="Times New Roman" w:hAnsi="Times New Roman" w:cs="Times New Roman"/>
                <w:color w:val="000000" w:themeColor="text1"/>
                <w:kern w:val="2"/>
                <w:sz w:val="16"/>
                <w:szCs w:val="16"/>
              </w:rPr>
              <w:fldChar w:fldCharType="begin"/>
            </w:r>
            <w:r w:rsidRPr="002F2FDF">
              <w:rPr>
                <w:rFonts w:ascii="Times New Roman" w:hAnsi="Times New Roman" w:cs="Times New Roman"/>
                <w:color w:val="000000" w:themeColor="text1"/>
                <w:kern w:val="2"/>
                <w:sz w:val="16"/>
                <w:szCs w:val="16"/>
              </w:rPr>
              <w:instrText xml:space="preserve"> HYPERLINK "http://istmat.info/node/37897" \l "_ftn11" \o "" </w:instrText>
            </w:r>
            <w:r w:rsidR="004A1FB3" w:rsidRPr="002F2FDF">
              <w:rPr>
                <w:rFonts w:ascii="Times New Roman" w:hAnsi="Times New Roman" w:cs="Times New Roman"/>
                <w:color w:val="000000" w:themeColor="text1"/>
                <w:kern w:val="2"/>
                <w:sz w:val="16"/>
                <w:szCs w:val="16"/>
              </w:rPr>
            </w:r>
            <w:r w:rsidR="004A1FB3" w:rsidRPr="002F2FDF">
              <w:rPr>
                <w:rFonts w:ascii="Times New Roman" w:hAnsi="Times New Roman" w:cs="Times New Roman"/>
                <w:color w:val="000000" w:themeColor="text1"/>
                <w:kern w:val="2"/>
                <w:sz w:val="16"/>
                <w:szCs w:val="16"/>
              </w:rPr>
              <w:fldChar w:fldCharType="separate"/>
            </w:r>
            <w:r w:rsidRPr="002F2FDF">
              <w:rPr>
                <w:rFonts w:ascii="Times New Roman" w:hAnsi="Times New Roman" w:cs="Times New Roman"/>
                <w:color w:val="000000" w:themeColor="text1"/>
                <w:kern w:val="2"/>
                <w:sz w:val="16"/>
                <w:szCs w:val="16"/>
              </w:rPr>
              <w:t>[11]</w:t>
            </w:r>
            <w:r w:rsidR="004A1FB3" w:rsidRPr="002F2FDF">
              <w:rPr>
                <w:rFonts w:ascii="Times New Roman" w:hAnsi="Times New Roman" w:cs="Times New Roman"/>
                <w:color w:val="000000" w:themeColor="text1"/>
                <w:kern w:val="2"/>
                <w:sz w:val="16"/>
                <w:szCs w:val="16"/>
              </w:rPr>
              <w:fldChar w:fldCharType="end"/>
            </w:r>
            <w:bookmarkEnd w:id="286"/>
            <w:r w:rsidRPr="002F2FDF">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A671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-1-5(-8%)</w:t>
            </w:r>
          </w:p>
        </w:tc>
      </w:tr>
      <w:tr w:rsidR="00474654" w:rsidRPr="002F2FDF" w14:paraId="3872AD84" w14:textId="77777777" w:rsidTr="00811799">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2BF858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Примечание. Уменьшение —; увеличение +7</w:t>
            </w:r>
          </w:p>
        </w:tc>
      </w:tr>
    </w:tbl>
    <w:p w14:paraId="2277653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p>
    <w:p w14:paraId="5972B4A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своей подготовленности возможно было бы произвести кокса на копях и при металлургических заводах около 29 млн пуд., фактически производится около 20 млн пуд., т. е. менее на 31% , причем: 1) сокращение производства кокса на копях против нормальной производительности составляет 25% вследствие недостаточной добычи коксующихся углей, недостатка огнеупорного кирпича для ремонта коксовых печей, 2) сокращение производства кокса на заводах составляет 50% вследствие неподвоза угля с рудников на заводы.</w:t>
      </w:r>
    </w:p>
    <w:p w14:paraId="2089B4C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III. Вывоз минерального топлива [в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2"/>
        <w:gridCol w:w="702"/>
        <w:gridCol w:w="508"/>
        <w:gridCol w:w="1891"/>
        <w:gridCol w:w="681"/>
        <w:gridCol w:w="355"/>
        <w:gridCol w:w="453"/>
        <w:gridCol w:w="1202"/>
      </w:tblGrid>
      <w:tr w:rsidR="002B1C74" w:rsidRPr="002F2FDF" w14:paraId="2E10C8E1" w14:textId="77777777" w:rsidTr="00811799">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DE7FF2B" w14:textId="35619AEA"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34F129" w14:textId="735548A7"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21471E3" w14:textId="572887F8"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561C99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Род топлива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37F5B3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7DAC05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Среднее в месяц</w:t>
            </w:r>
          </w:p>
        </w:tc>
      </w:tr>
      <w:tr w:rsidR="002B1C74" w:rsidRPr="002F2FDF" w14:paraId="18ED9B4F" w14:textId="77777777" w:rsidTr="00811799">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4F7375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12785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E9E9D5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07956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каменный уголь и брикеты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B9F9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антрацит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6DB9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кокс</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0C236D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BEEF4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3AAA8938"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6BE17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676A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половина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3342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447D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5834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A627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0F64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5DE3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114.9</w:t>
            </w:r>
          </w:p>
        </w:tc>
      </w:tr>
      <w:tr w:rsidR="002B1C74" w:rsidRPr="002F2FDF" w14:paraId="26FCFE7B"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5F0DC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F418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1125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A301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4701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D455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95D9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92F6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112.1</w:t>
            </w:r>
          </w:p>
        </w:tc>
      </w:tr>
      <w:tr w:rsidR="002B1C74" w:rsidRPr="002F2FDF" w14:paraId="2EA8A1C9"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BB69A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1477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01BF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E9EB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8C8CB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FB42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E39C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595.8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BF87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99.7</w:t>
            </w:r>
          </w:p>
        </w:tc>
      </w:tr>
    </w:tbl>
    <w:p w14:paraId="165375B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Вывоз топлива по группам получателей воспроизводится в следующей таблице: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36"/>
        <w:gridCol w:w="1665"/>
        <w:gridCol w:w="1665"/>
        <w:gridCol w:w="1680"/>
      </w:tblGrid>
      <w:tr w:rsidR="002B1C74" w:rsidRPr="002F2FDF" w14:paraId="679DC87D"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D78ADB" w14:textId="7B116697"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9F6AED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Вывоз всего топлива [в млн пуд.]</w:t>
            </w:r>
          </w:p>
        </w:tc>
      </w:tr>
      <w:tr w:rsidR="002B1C74" w:rsidRPr="002F2FDF" w14:paraId="50BBB830"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215C92" w14:textId="5220182A"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91BD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1-е полугодие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ECA6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2-е полугодие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8629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1-е полугодие 1917 г.</w:t>
            </w:r>
          </w:p>
        </w:tc>
      </w:tr>
      <w:tr w:rsidR="002B1C74" w:rsidRPr="002F2FDF" w14:paraId="585B1BA5"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95E82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группа: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7C40F" w14:textId="6119CF76"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94D84" w14:textId="3E798765"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F812A" w14:textId="1893778F"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355C613F"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407EA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Железные дороги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7B43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9A33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7F4E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296.2</w:t>
            </w:r>
          </w:p>
        </w:tc>
      </w:tr>
      <w:tr w:rsidR="002B1C74" w:rsidRPr="002F2FDF" w14:paraId="52327142"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0B815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Флот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E673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B473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790F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22.9</w:t>
            </w:r>
          </w:p>
        </w:tc>
      </w:tr>
      <w:tr w:rsidR="002B1C74" w:rsidRPr="002F2FDF" w14:paraId="4988B2D4"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2FDD0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Металлургические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F062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C9B7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57AE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132.6</w:t>
            </w:r>
          </w:p>
        </w:tc>
      </w:tr>
      <w:tr w:rsidR="002B1C74" w:rsidRPr="002F2FDF" w14:paraId="3EC93C3C"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4150B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 I группа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29DA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6DE5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470.6</w:t>
            </w:r>
            <w:bookmarkStart w:id="287" w:name="_ftnref12"/>
            <w:r w:rsidR="004A1FB3" w:rsidRPr="002F2FDF">
              <w:rPr>
                <w:rFonts w:ascii="Times New Roman" w:hAnsi="Times New Roman" w:cs="Times New Roman"/>
                <w:color w:val="000000" w:themeColor="text1"/>
                <w:kern w:val="2"/>
                <w:sz w:val="16"/>
                <w:szCs w:val="16"/>
              </w:rPr>
              <w:fldChar w:fldCharType="begin"/>
            </w:r>
            <w:r w:rsidRPr="002F2FDF">
              <w:rPr>
                <w:rFonts w:ascii="Times New Roman" w:hAnsi="Times New Roman" w:cs="Times New Roman"/>
                <w:color w:val="000000" w:themeColor="text1"/>
                <w:kern w:val="2"/>
                <w:sz w:val="16"/>
                <w:szCs w:val="16"/>
              </w:rPr>
              <w:instrText xml:space="preserve"> HYPERLINK "http://istmat.info/node/37897" \l "_ftn12" \o "" </w:instrText>
            </w:r>
            <w:r w:rsidR="004A1FB3" w:rsidRPr="002F2FDF">
              <w:rPr>
                <w:rFonts w:ascii="Times New Roman" w:hAnsi="Times New Roman" w:cs="Times New Roman"/>
                <w:color w:val="000000" w:themeColor="text1"/>
                <w:kern w:val="2"/>
                <w:sz w:val="16"/>
                <w:szCs w:val="16"/>
              </w:rPr>
            </w:r>
            <w:r w:rsidR="004A1FB3" w:rsidRPr="002F2FDF">
              <w:rPr>
                <w:rFonts w:ascii="Times New Roman" w:hAnsi="Times New Roman" w:cs="Times New Roman"/>
                <w:color w:val="000000" w:themeColor="text1"/>
                <w:kern w:val="2"/>
                <w:sz w:val="16"/>
                <w:szCs w:val="16"/>
              </w:rPr>
              <w:fldChar w:fldCharType="separate"/>
            </w:r>
            <w:r w:rsidRPr="002F2FDF">
              <w:rPr>
                <w:rFonts w:ascii="Times New Roman" w:hAnsi="Times New Roman" w:cs="Times New Roman"/>
                <w:color w:val="000000" w:themeColor="text1"/>
                <w:kern w:val="2"/>
                <w:sz w:val="16"/>
                <w:szCs w:val="16"/>
              </w:rPr>
              <w:t>[12]</w:t>
            </w:r>
            <w:r w:rsidR="004A1FB3" w:rsidRPr="002F2FDF">
              <w:rPr>
                <w:rFonts w:ascii="Times New Roman" w:hAnsi="Times New Roman" w:cs="Times New Roman"/>
                <w:color w:val="000000" w:themeColor="text1"/>
                <w:kern w:val="2"/>
                <w:sz w:val="16"/>
                <w:szCs w:val="16"/>
              </w:rPr>
              <w:fldChar w:fldCharType="end"/>
            </w:r>
            <w:bookmarkEnd w:id="287"/>
          </w:p>
        </w:tc>
        <w:tc>
          <w:tcPr>
            <w:tcW w:w="0" w:type="auto"/>
            <w:tcBorders>
              <w:top w:val="outset" w:sz="6" w:space="0" w:color="auto"/>
              <w:left w:val="outset" w:sz="6" w:space="0" w:color="auto"/>
              <w:bottom w:val="outset" w:sz="6" w:space="0" w:color="auto"/>
              <w:right w:val="outset" w:sz="6" w:space="0" w:color="auto"/>
            </w:tcBorders>
            <w:vAlign w:val="center"/>
            <w:hideMark/>
          </w:tcPr>
          <w:p w14:paraId="0F2CA52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451.7</w:t>
            </w:r>
          </w:p>
        </w:tc>
      </w:tr>
      <w:tr w:rsidR="002B1C74" w:rsidRPr="002F2FDF" w14:paraId="7B10CD86"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18ACE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группа: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EE5D9" w14:textId="7BE9E94F"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4A94D" w14:textId="74083149"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F9EEE" w14:textId="34026BF4"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29FAE9F"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A98F4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Петроградский район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B867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268F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258A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25.1</w:t>
            </w:r>
          </w:p>
        </w:tc>
      </w:tr>
      <w:tr w:rsidR="002B1C74" w:rsidRPr="002F2FDF" w14:paraId="62F97EBF"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FAED3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Московский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A4C2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7C4B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3615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w:t>
            </w:r>
          </w:p>
        </w:tc>
      </w:tr>
      <w:tr w:rsidR="002B1C74" w:rsidRPr="002F2FDF" w14:paraId="66D48DD0"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805E4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Одесский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C703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9422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B7BA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w:t>
            </w:r>
          </w:p>
        </w:tc>
      </w:tr>
      <w:tr w:rsidR="002B1C74" w:rsidRPr="002F2FDF" w14:paraId="582CC91D"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5148F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Киевский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914D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1E95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12F3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8.3</w:t>
            </w:r>
          </w:p>
        </w:tc>
      </w:tr>
      <w:tr w:rsidR="002B1C74" w:rsidRPr="002F2FDF" w14:paraId="5516DACA"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2C34A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Воронежский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DB43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7033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2092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w:t>
            </w:r>
          </w:p>
        </w:tc>
      </w:tr>
      <w:tr w:rsidR="002B1C74" w:rsidRPr="002F2FDF" w14:paraId="6E6E74CD"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D4505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Харьковский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A4AE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970F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E974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52.7</w:t>
            </w:r>
          </w:p>
        </w:tc>
      </w:tr>
      <w:tr w:rsidR="002B1C74" w:rsidRPr="002F2FDF" w14:paraId="5F81E035"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83DFE6"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Ростовский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1451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512B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CFF7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18.8</w:t>
            </w:r>
          </w:p>
        </w:tc>
      </w:tr>
      <w:tr w:rsidR="002B1C74" w:rsidRPr="002F2FDF" w14:paraId="185BF131"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8338E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Сахарные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9F19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6369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9786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10.3</w:t>
            </w:r>
          </w:p>
        </w:tc>
      </w:tr>
      <w:tr w:rsidR="002B1C74" w:rsidRPr="002F2FDF" w14:paraId="5DC396DE"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40910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Других районов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7DA0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3683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2495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8.3</w:t>
            </w:r>
          </w:p>
        </w:tc>
      </w:tr>
      <w:tr w:rsidR="002B1C74" w:rsidRPr="002F2FDF" w14:paraId="53175D3B"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7FB8D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 II группа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1C83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A0EB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25EB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144.1</w:t>
            </w:r>
          </w:p>
        </w:tc>
      </w:tr>
    </w:tbl>
    <w:p w14:paraId="4260825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этой таблицы видно следующее.</w:t>
      </w:r>
    </w:p>
    <w:p w14:paraId="0B76132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Вывоз всего минерального топлива за первое полугодие 1917 г. против вывоза первого полугодия 1916 г. уменьшился на 93.5 млн пуд., или на 13.5%, в частности вывоз каменного угля на 75 млн пуд., антрацита — 3 млн пуд., кокса — 15.9 млн пуд.</w:t>
      </w:r>
    </w:p>
    <w:p w14:paraId="4BC8E80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Средний месячный вывоз постепенно уменьшался с 114.9 млн пуд. за первую половину 1916 г. и 112.1 млн пуд. второй половины 1916 г., дойдя до давно небывалой цифры в 98 млн пуд. за первую половину 1917 г. в течение апреля, мая и июня.</w:t>
      </w:r>
    </w:p>
    <w:p w14:paraId="757A24D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Сокращение вывоза объясняется расстройством транспорта, особенно вследствие недостатка паровозов, пришедших в негодное состояние, при наличии в настоящее время в большом ремонте 24% всего наличия паровозов.</w:t>
      </w:r>
    </w:p>
    <w:p w14:paraId="69E527B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общего малого количества вывезенного топлива погружено для нужд железных дорог за первое полугодие [1917 г.] 296.2 млн пуд., или 50% всего вывоза, но и этого количества было недостаточно, часть топлива железные дороги реквизировали в пути, особенно в начале 1917 г.</w:t>
      </w:r>
    </w:p>
    <w:p w14:paraId="1730C9C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Запасы топлива на дорогах незначительны.</w:t>
      </w:r>
    </w:p>
    <w:p w14:paraId="45B9C9A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Металлургическим заводам, железным рудникам и для коксовых печей погружено за первое полугодие 132.6 млн пуд., или 22.3% всего вывоза, ниже против первой половины 1916 г. на 20 млн пуд., или 13.1%. Прибыло же для 18 южных металлургических заводов по 19.1 млн пуд. при нормальной потребности заводов в 28—30 млн пуд. Следовательно, металлургические заводы работали ниже своей производительности на 30—40%.</w:t>
      </w:r>
    </w:p>
    <w:p w14:paraId="03792CB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Флот Черноморский и Балтийский получил донецкого минерального топлива ниже против 1916 г. на 19.3%.</w:t>
      </w:r>
    </w:p>
    <w:p w14:paraId="5AB5FCD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сумме вся первая группа: железные дороги, металлургические заводы и флот получили за первое полугодие 1917 г. 451.7 млн пуд., или 76% всего вывоза, менее прошлого года на 29.7 млн пуд., или на 6.1%.</w:t>
      </w:r>
    </w:p>
    <w:p w14:paraId="12B0B39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Вторая группа получателей всех районов уполномоченных получила за первое полугодие 144.1 млн пуд., менее 1916 г. на 63.8 млн пуд., или на 31%, причем Петроградский и Московский районы, также сахарные заводы получили против прошлого года менее половины. Харьковский и Екатеринославский районы получили больше, чем в прошлом году, что объясняется включением в эту группу всех мельниц, светогаза, а также тем, что используются более целесообразно вагоны на коротких расстояниях, но все же для этого района потребность удовлетворяется в половинном размере, почему некоторые заводы стоят, другие работают значительно ниже своей производительности, и рабочие не использовываются.</w:t>
      </w:r>
    </w:p>
    <w:p w14:paraId="1FE5B31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войны средний месячный вывоз топлива для всей второй группы, за исключением Петроградского района, составлял округленно 60 млн пуд., в истекшем полугодии для этой группы отправлено 20 млн пуд., т. е. только одна треть нормальной потребности.</w:t>
      </w:r>
    </w:p>
    <w:p w14:paraId="4A155FE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необходимо констатировать угрожающее положение как ввиду ослабления добычи топлива, так и ввиду упадка вывоза по железным дорогам. Ослабление добычи и производства, с одной стороны, и вывоза по железным дорогам, с другой, вызваны и специальными причинами, относящимися и к добыче, и к транспорту, причинами техническими, экономическими и т. д., но главным образом общей анархией и разрухой политической и экономической.</w:t>
      </w:r>
    </w:p>
    <w:p w14:paraId="310C671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Уголь Подмосковного района</w:t>
      </w:r>
    </w:p>
    <w:p w14:paraId="43DB150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этом районе предположено добыть в 1917 г. 65 млн пуд. вместо 44 млн, добытых в 1916 г. За первое полугодие добыто 19 176 900 пуд., за этот период прошлого года — 15 728 400 пуд. Вывезено в 1917 г. 15 138 250 пуд., за этот период вывезено в 1916 г. 11 569 тыс. [пуд.].</w:t>
      </w:r>
    </w:p>
    <w:p w14:paraId="46C362B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средняя добыча за месяц в 1917 г. была 3196 тыс. пуд., почему нужно полагать, что добыча в районе будет больше прошлого года, но далеко не достигнет программной цифры. Осотоп предполагает, что добыча будет 50 млн, из них для потребителей будет дано около 45 млн пуд.</w:t>
      </w:r>
    </w:p>
    <w:p w14:paraId="50AE31B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Причины меньшей добычи были те же, что и в Донецком бассейне: недостаточный вывоз, падение производительности рабочих.</w:t>
      </w:r>
    </w:p>
    <w:p w14:paraId="45B6E8C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Уральский район</w:t>
      </w:r>
    </w:p>
    <w:p w14:paraId="150D720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1916 г. было добыто'каменного угля 91 181 тыс. пуд., в 1917 г. предположено добыть 127 774 тыс. пуд., за первые 5 месяцев добыто всего 42 450 тыс. пуд. против добычи за тот же период прошлого года 38 650 тыс. пуд. Ввиду получения сведений Осотопом, что в мае и июне добыча идет крайне неудовлетворительно, Оеотоп полагает в 1917 г. добычу в 100 млн. пуд. Причины все те же.</w:t>
      </w:r>
    </w:p>
    <w:p w14:paraId="3FDBB4C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Сибирский район</w:t>
      </w:r>
    </w:p>
    <w:p w14:paraId="6AB23DE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Осотоп ведет учет добычи и потребления каменного угля в следующих районах Сибири :</w:t>
      </w:r>
    </w:p>
    <w:p w14:paraId="52FCE4E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В Томской горной области: а) на копях Судженского района (копи Судженские—Анжерские), б) Кузнецкого бассейна (копи Кольчугинские, Кемеровские и Богословские), в) Минусинского бассейна (копи Черногорские и Изыхские), г) Экибастусского района.</w:t>
      </w:r>
    </w:p>
    <w:p w14:paraId="4AE6A85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В Иркутской горной области на копях Черемховского бассейна и копях Забайкальского района.</w:t>
      </w:r>
    </w:p>
    <w:p w14:paraId="0DD6034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Кузнецкий бассейн</w:t>
      </w:r>
    </w:p>
    <w:p w14:paraId="6649830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Предположено добыть 22 млн пуд. против добычи 1916 г. — 11 млн іпуд.]. За первые 5 месяцев добыто 6270 тыс. иуд. Осотоп предполагает, что в этом году добыча будет 17 млн пуд.</w:t>
      </w:r>
    </w:p>
    <w:p w14:paraId="2D35810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Экибастусский район</w:t>
      </w:r>
    </w:p>
    <w:p w14:paraId="78A30A2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Сведений о добыче не имеется — предполагалось добыть 1.5 млн пуд.</w:t>
      </w:r>
    </w:p>
    <w:p w14:paraId="21C997F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Судженский район</w:t>
      </w:r>
    </w:p>
    <w:p w14:paraId="4DD7CD4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Предположено добыть в 1917 г. 72 млн пуд. против 60 млн [нуд.], добытых в прошлом году. За первые 5 месяцев добыто 27 378 тыс. пуд. В начале, т. е. до 1 мая, добыча шла вполне удовлетворительно и была надежда, что программа будет выполнена. Но в апреле работа стала падать при возрастающем числе рабочих. В январе было добыто 5723 тыс. пуд. при 6348 рабочих, в апреле уже 5 млн [пуд.] при 7204 рабочих, в мае 4700 тыс. пуд. при том же, что в апреле, количестве рабочих. Причина — полная анархия и полное отсутствие власти для подавления беспорядков. Осотоп предполагает в этом году добыть около 65 млн. пуд.</w:t>
      </w:r>
    </w:p>
    <w:p w14:paraId="6AE9E70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Черемховский бассейн</w:t>
      </w:r>
    </w:p>
    <w:p w14:paraId="2A506B5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Предполагалось добыть 80 млн пуд. За первые 6 месяцев добыто 35 800 тыс. пуд. В прошлом году в тот же период было добыто 20 500 тыс. пуд. Добыча идет весьма производительно.</w:t>
      </w:r>
    </w:p>
    <w:p w14:paraId="6A325E7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 4800 тыс. пуд. при 2857 рабочих, в июне — 7300 тыс. пуд. при 6439 чел. Программа будет выполнена в количестве 80 млн пуд.</w:t>
      </w:r>
    </w:p>
    <w:p w14:paraId="295FCD9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Забайкальский район</w:t>
      </w:r>
    </w:p>
    <w:p w14:paraId="5B5F983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Предполагается добыть 35 млн [пуд.], в прошлом году добыто 33 млн. Работа идет удовлетворительно, и программа будет выполнена.</w:t>
      </w:r>
    </w:p>
    <w:p w14:paraId="7D602955"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Дальний Восток</w:t>
      </w:r>
    </w:p>
    <w:p w14:paraId="6D1EA58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Дальнем Востоке добыча производилась в 1916 г. на следующих рудниках:</w:t>
      </w:r>
    </w:p>
    <w:p w14:paraId="4BC10B6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Сучанские казенные копи.</w:t>
      </w:r>
    </w:p>
    <w:p w14:paraId="47E0374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1916 г. добыто 14.5 млн пуд., вывезено 12.5 млн иуд. Развитие копей затруднено условием вывоза (весьма сложное устройство подъездных путей), условиями самого месторождения (невелико по размерам и плохо разведано). В ближайшие 5 лет нельзя ожидать добычи свыше 20 млн пуд. в год.</w:t>
      </w:r>
    </w:p>
    <w:p w14:paraId="7FB5811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Все остальные рудники Приморской обл.</w:t>
      </w:r>
    </w:p>
    <w:p w14:paraId="712681E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1916 г. добыто около 20 млн пуд., вывезено около 18 млн пуд. Все эти рудники добывают бурый уголь ниже среднего качества. Месторождения весьма незначительны. Значительного развития добычи на этих рудниках ждать нельзя.</w:t>
      </w:r>
    </w:p>
    <w:p w14:paraId="6D529BC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Рудники Сахалина.</w:t>
      </w:r>
    </w:p>
    <w:p w14:paraId="152F6DA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Добыто в 1916 г. около 1 млн пуд., вывезено 1 млн пуд. Уголь весьма хорошего качества. Запасы в недрах месторождения (до 100 саж. глубины) свыше 10 млрд пуд. Из них — большая часть коксующиеся и есть пламенные угли.</w:t>
      </w:r>
    </w:p>
    <w:p w14:paraId="578D537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из всего Дальневосточного района вывезено в 1916 г. угля 32 млн пуд. В этом году будет вывезено около 34 млн пуд. при добыче 40 млн пуд. Между тем потребность этого района выражалась около 75 млн пуд. Весь недостаток не может быть покрыт японским углем. Меры к развитию добычи угля Осотопом приняты. Выдана ссуда Кузнецову в 400 тыс. руб. на оборудование на Сахалине рудника.</w:t>
      </w:r>
    </w:p>
    <w:p w14:paraId="63C8BD5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Кавказский район</w:t>
      </w:r>
    </w:p>
    <w:p w14:paraId="2715D2F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Добыча угля на Кавказе имела до сих пор незначительные размеры. Так: в 1914 г. — 4 млн [пуд.], в 1915 г. — 3589 тыс. пуд., в 1916 г. —-4054 тыс. пуд.</w:t>
      </w:r>
    </w:p>
    <w:p w14:paraId="0B4BCF7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Между тем благодаря, с одной стороны, возросшей потребности в связи с военными действиями, а с другой, благодаря затруднительности подвоза из Донецкого бассейна (обычного источника снабжения Кавказа) Кавказ переживает острый топливный голод. Осотопом обращено внимание. Особым совещанием по обороне отпущено Центральному военно-промышленному] комитету на развитие разработки угля на Кавказе 5 млн руб., уже приступлено к устройству рудника.</w:t>
      </w:r>
    </w:p>
    <w:p w14:paraId="76639BE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Киевский район</w:t>
      </w:r>
    </w:p>
    <w:p w14:paraId="66605D7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Распоряжением Осотопа была произведена разведка месторождения бурого угля возле г. Елизаветграда. Разведки дали весьма благоприятные результаты: был открыт пласт мощностью в 10 саж. Приступлено к разработке этого месторождения и заложен Дмитриевский рудник. В текущем году, начиная с августа, предполагается добыть 1 млн пуд.</w:t>
      </w:r>
    </w:p>
    <w:p w14:paraId="19EF2801"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месяце предполагается развить добычу до 500 тыс. пуд. в месяц. Есть некоторая вероятность, что в будущем 1918 г. добыча будет 5—6 млн. пуд.</w:t>
      </w:r>
    </w:p>
    <w:p w14:paraId="06DE6C8F"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Кроме того, приступлено к разведкам в Херсонской, Киевской и Волынской губерниях.</w:t>
      </w:r>
    </w:p>
    <w:p w14:paraId="1DF7544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ОБЩЕЕ РЕЗЮМЕ ПО ДОБЫВНОЙ СПОСОБНОСТИ</w:t>
      </w:r>
    </w:p>
    <w:p w14:paraId="3469400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Резюмируя все сказанное относительно предполагаемой добычи и заготовки тех видов топлива, которые вошли в топливный бюджет в 1917 г., Осотоп приходит к следующему количеству, которым может располагать потребление (причем в этот подсчет не вошли угли: 1) Уральский, 2) Сибирский, 3) Судженский, 4) Кузнецкий, 5) Экибастусский, 6) Черемхов-ский, 7) Забайкальский, 8) Дальневосточный, 9) Сучанский, 10) Приморский, 11) Сахалинский, 12) Кавказский, 13) Киевский районы. Все эти рудники предполагают добыть в 1917 г. 243 млн пуд.).</w:t>
      </w:r>
    </w:p>
    <w:p w14:paraId="44CAE9C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топливо переведено в одну единицу каменного угля Донецкогорайона [в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61"/>
        <w:gridCol w:w="2880"/>
        <w:gridCol w:w="3407"/>
        <w:gridCol w:w="2561"/>
      </w:tblGrid>
      <w:tr w:rsidR="002B1C74" w:rsidRPr="002F2FDF" w14:paraId="0B1711CF"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77FDFE" w14:textId="4701365B"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7CCA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Предположения на 1917 г. (в начале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39C5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Предположения добычи по сведениям 1 VII 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1250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Уменьшение (—) или увеличение(+)</w:t>
            </w:r>
          </w:p>
        </w:tc>
      </w:tr>
      <w:tr w:rsidR="002B1C74" w:rsidRPr="002F2FDF" w14:paraId="71AD11F4"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12DA8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Нефтяное топливо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5A2C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2F90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731C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w:t>
            </w:r>
          </w:p>
        </w:tc>
      </w:tr>
      <w:tr w:rsidR="002B1C74" w:rsidRPr="002F2FDF" w14:paraId="0C447F85"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96B11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Каменный 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52F34" w14:textId="4E501A86"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0A1ED" w14:textId="5F6AA105"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0D83D" w14:textId="3B474451" w:rsidR="00811799"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E206446"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DCBF4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Донецкого бассейна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1BAF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F5359"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D7C90"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—305</w:t>
            </w:r>
          </w:p>
        </w:tc>
      </w:tr>
      <w:tr w:rsidR="002B1C74" w:rsidRPr="002F2FDF" w14:paraId="73FF5E6D"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B3A19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Подмосковного бассейна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B786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79B2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811CB"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w:t>
            </w:r>
          </w:p>
        </w:tc>
      </w:tr>
      <w:tr w:rsidR="002B1C74" w:rsidRPr="002F2FDF" w14:paraId="40CB343E"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D678F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Дрова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AFE23"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441D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F50CA"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—156.5</w:t>
            </w:r>
          </w:p>
        </w:tc>
      </w:tr>
      <w:tr w:rsidR="002B1C74" w:rsidRPr="002F2FDF" w14:paraId="14A8EB61"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A006B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Торф</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E6C4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DAD4C"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E2907"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w:t>
            </w:r>
          </w:p>
        </w:tc>
      </w:tr>
      <w:tr w:rsidR="002B1C74" w:rsidRPr="002F2FDF" w14:paraId="5429CFC8"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5AA90D"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43622"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D8B18"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E024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—569</w:t>
            </w:r>
          </w:p>
        </w:tc>
      </w:tr>
    </w:tbl>
    <w:p w14:paraId="631506C4"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Раевский.</w:t>
      </w:r>
    </w:p>
    <w:p w14:paraId="38B1889C" w14:textId="77777777" w:rsidR="00811799"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17" w:anchor="_ftnref1" w:history="1">
        <w:r w:rsidR="00811799" w:rsidRPr="002F2FDF">
          <w:rPr>
            <w:rFonts w:ascii="Times New Roman" w:hAnsi="Times New Roman" w:cs="Times New Roman"/>
            <w:color w:val="000000" w:themeColor="text1"/>
            <w:kern w:val="2"/>
            <w:sz w:val="16"/>
            <w:szCs w:val="16"/>
          </w:rPr>
          <w:t>[1]</w:t>
        </w:r>
      </w:hyperlink>
      <w:r w:rsidR="00811799" w:rsidRPr="002F2FDF">
        <w:rPr>
          <w:rFonts w:ascii="Times New Roman" w:hAnsi="Times New Roman" w:cs="Times New Roman"/>
          <w:color w:val="000000" w:themeColor="text1"/>
          <w:kern w:val="2"/>
          <w:sz w:val="16"/>
          <w:szCs w:val="16"/>
        </w:rPr>
        <w:t xml:space="preserve"> Данные в докладе, согласно помете на док., приведены по сведениям Особого совещания по топливу на 1 июля 1917 г.</w:t>
      </w:r>
    </w:p>
    <w:p w14:paraId="0DD2A8BC" w14:textId="77777777" w:rsidR="00811799"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18" w:anchor="_ftnref2" w:history="1">
        <w:r w:rsidR="00811799" w:rsidRPr="002F2FDF">
          <w:rPr>
            <w:rFonts w:ascii="Times New Roman" w:hAnsi="Times New Roman" w:cs="Times New Roman"/>
            <w:color w:val="000000" w:themeColor="text1"/>
            <w:kern w:val="2"/>
            <w:sz w:val="16"/>
            <w:szCs w:val="16"/>
          </w:rPr>
          <w:t>[2]</w:t>
        </w:r>
      </w:hyperlink>
      <w:r w:rsidR="00811799" w:rsidRPr="002F2FDF">
        <w:rPr>
          <w:rFonts w:ascii="Times New Roman" w:hAnsi="Times New Roman" w:cs="Times New Roman"/>
          <w:color w:val="000000" w:themeColor="text1"/>
          <w:kern w:val="2"/>
          <w:sz w:val="16"/>
          <w:szCs w:val="16"/>
        </w:rPr>
        <w:t xml:space="preserve"> Датируется по содержанию док.</w:t>
      </w:r>
    </w:p>
    <w:p w14:paraId="659FE287" w14:textId="77777777" w:rsidR="00811799"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19" w:anchor="_ftnref3" w:history="1">
        <w:r w:rsidR="00811799" w:rsidRPr="002F2FDF">
          <w:rPr>
            <w:rFonts w:ascii="Times New Roman" w:hAnsi="Times New Roman" w:cs="Times New Roman"/>
            <w:color w:val="000000" w:themeColor="text1"/>
            <w:kern w:val="2"/>
            <w:sz w:val="16"/>
            <w:szCs w:val="16"/>
          </w:rPr>
          <w:t>[3]</w:t>
        </w:r>
      </w:hyperlink>
      <w:r w:rsidR="00811799" w:rsidRPr="002F2FDF">
        <w:rPr>
          <w:rFonts w:ascii="Times New Roman" w:hAnsi="Times New Roman" w:cs="Times New Roman"/>
          <w:color w:val="000000" w:themeColor="text1"/>
          <w:kern w:val="2"/>
          <w:sz w:val="16"/>
          <w:szCs w:val="16"/>
        </w:rPr>
        <w:t xml:space="preserve"> См. в том же деле, лл. 28— 32.</w:t>
      </w:r>
    </w:p>
    <w:p w14:paraId="41C231A8" w14:textId="77777777" w:rsidR="00811799"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20" w:anchor="_ftnref4" w:history="1">
        <w:r w:rsidR="00811799" w:rsidRPr="002F2FDF">
          <w:rPr>
            <w:rFonts w:ascii="Times New Roman" w:hAnsi="Times New Roman" w:cs="Times New Roman"/>
            <w:color w:val="000000" w:themeColor="text1"/>
            <w:kern w:val="2"/>
            <w:sz w:val="16"/>
            <w:szCs w:val="16"/>
          </w:rPr>
          <w:t>[4]</w:t>
        </w:r>
      </w:hyperlink>
      <w:r w:rsidR="00811799" w:rsidRPr="002F2FDF">
        <w:rPr>
          <w:rFonts w:ascii="Times New Roman" w:hAnsi="Times New Roman" w:cs="Times New Roman"/>
          <w:color w:val="000000" w:themeColor="text1"/>
          <w:kern w:val="2"/>
          <w:sz w:val="16"/>
          <w:szCs w:val="16"/>
        </w:rPr>
        <w:t xml:space="preserve"> См. док 1937 вышел приказ НКОП №№ 366, 371.</w:t>
      </w:r>
    </w:p>
    <w:p w14:paraId="51F7C0FD" w14:textId="77777777" w:rsidR="00811799"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21" w:anchor="_ftnref5" w:history="1">
        <w:r w:rsidR="00811799" w:rsidRPr="002F2FDF">
          <w:rPr>
            <w:rFonts w:ascii="Times New Roman" w:hAnsi="Times New Roman" w:cs="Times New Roman"/>
            <w:color w:val="000000" w:themeColor="text1"/>
            <w:kern w:val="2"/>
            <w:sz w:val="16"/>
            <w:szCs w:val="16"/>
          </w:rPr>
          <w:t>[5]</w:t>
        </w:r>
      </w:hyperlink>
      <w:r w:rsidR="00811799" w:rsidRPr="002F2FDF">
        <w:rPr>
          <w:rFonts w:ascii="Times New Roman" w:hAnsi="Times New Roman" w:cs="Times New Roman"/>
          <w:color w:val="000000" w:themeColor="text1"/>
          <w:kern w:val="2"/>
          <w:sz w:val="16"/>
          <w:szCs w:val="16"/>
        </w:rPr>
        <w:t xml:space="preserve"> Так в док.; следует: 3883</w:t>
      </w:r>
    </w:p>
    <w:p w14:paraId="28B38447" w14:textId="77777777" w:rsidR="00811799"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22" w:anchor="_ftnref6" w:history="1">
        <w:r w:rsidR="00811799" w:rsidRPr="002F2FDF">
          <w:rPr>
            <w:rFonts w:ascii="Times New Roman" w:hAnsi="Times New Roman" w:cs="Times New Roman"/>
            <w:color w:val="000000" w:themeColor="text1"/>
            <w:kern w:val="2"/>
            <w:sz w:val="16"/>
            <w:szCs w:val="16"/>
          </w:rPr>
          <w:t>[6]</w:t>
        </w:r>
      </w:hyperlink>
      <w:r w:rsidR="00811799" w:rsidRPr="002F2FDF">
        <w:rPr>
          <w:rFonts w:ascii="Times New Roman" w:hAnsi="Times New Roman" w:cs="Times New Roman"/>
          <w:color w:val="000000" w:themeColor="text1"/>
          <w:kern w:val="2"/>
          <w:sz w:val="16"/>
          <w:szCs w:val="16"/>
        </w:rPr>
        <w:t xml:space="preserve"> Так в док.; следует: 991</w:t>
      </w:r>
    </w:p>
    <w:p w14:paraId="09E64D85" w14:textId="77777777" w:rsidR="00811799"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23" w:anchor="_ftnref7" w:history="1">
        <w:r w:rsidR="00811799" w:rsidRPr="002F2FDF">
          <w:rPr>
            <w:rFonts w:ascii="Times New Roman" w:hAnsi="Times New Roman" w:cs="Times New Roman"/>
            <w:color w:val="000000" w:themeColor="text1"/>
            <w:kern w:val="2"/>
            <w:sz w:val="16"/>
            <w:szCs w:val="16"/>
          </w:rPr>
          <w:t>[7]</w:t>
        </w:r>
      </w:hyperlink>
      <w:r w:rsidR="00811799" w:rsidRPr="002F2FDF">
        <w:rPr>
          <w:rFonts w:ascii="Times New Roman" w:hAnsi="Times New Roman" w:cs="Times New Roman"/>
          <w:color w:val="000000" w:themeColor="text1"/>
          <w:kern w:val="2"/>
          <w:sz w:val="16"/>
          <w:szCs w:val="16"/>
        </w:rPr>
        <w:t xml:space="preserve"> Так в док.; следует: 482</w:t>
      </w:r>
    </w:p>
    <w:bookmarkStart w:id="288" w:name="_ftn8"/>
    <w:p w14:paraId="6338A3DB" w14:textId="77777777" w:rsidR="00811799" w:rsidRPr="002F2FDF" w:rsidRDefault="004A1FB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fldChar w:fldCharType="begin"/>
      </w:r>
      <w:r w:rsidR="00811799" w:rsidRPr="002F2FDF">
        <w:rPr>
          <w:rFonts w:ascii="Times New Roman" w:hAnsi="Times New Roman" w:cs="Times New Roman"/>
          <w:color w:val="000000" w:themeColor="text1"/>
          <w:kern w:val="2"/>
          <w:sz w:val="16"/>
          <w:szCs w:val="16"/>
        </w:rPr>
        <w:instrText xml:space="preserve"> HYPERLINK "http://istmat.info/node/37897" \l "_ftnref8" \o "" </w:instrText>
      </w:r>
      <w:r w:rsidRPr="002F2FDF">
        <w:rPr>
          <w:rFonts w:ascii="Times New Roman" w:hAnsi="Times New Roman" w:cs="Times New Roman"/>
          <w:color w:val="000000" w:themeColor="text1"/>
          <w:kern w:val="2"/>
          <w:sz w:val="16"/>
          <w:szCs w:val="16"/>
        </w:rPr>
      </w:r>
      <w:r w:rsidRPr="002F2FDF">
        <w:rPr>
          <w:rFonts w:ascii="Times New Roman" w:hAnsi="Times New Roman" w:cs="Times New Roman"/>
          <w:color w:val="000000" w:themeColor="text1"/>
          <w:kern w:val="2"/>
          <w:sz w:val="16"/>
          <w:szCs w:val="16"/>
        </w:rPr>
        <w:fldChar w:fldCharType="separate"/>
      </w:r>
      <w:r w:rsidR="00811799" w:rsidRPr="002F2FDF">
        <w:rPr>
          <w:rFonts w:ascii="Times New Roman" w:hAnsi="Times New Roman" w:cs="Times New Roman"/>
          <w:color w:val="000000" w:themeColor="text1"/>
          <w:kern w:val="2"/>
          <w:sz w:val="16"/>
          <w:szCs w:val="16"/>
        </w:rPr>
        <w:t>[8]</w:t>
      </w:r>
      <w:r w:rsidRPr="002F2FDF">
        <w:rPr>
          <w:rFonts w:ascii="Times New Roman" w:hAnsi="Times New Roman" w:cs="Times New Roman"/>
          <w:color w:val="000000" w:themeColor="text1"/>
          <w:kern w:val="2"/>
          <w:sz w:val="16"/>
          <w:szCs w:val="16"/>
        </w:rPr>
        <w:fldChar w:fldCharType="end"/>
      </w:r>
      <w:bookmarkEnd w:id="288"/>
      <w:r w:rsidR="00811799" w:rsidRPr="002F2FDF">
        <w:rPr>
          <w:rFonts w:ascii="Times New Roman" w:hAnsi="Times New Roman" w:cs="Times New Roman"/>
          <w:color w:val="000000" w:themeColor="text1"/>
          <w:kern w:val="2"/>
          <w:sz w:val="16"/>
          <w:szCs w:val="16"/>
        </w:rPr>
        <w:t xml:space="preserve"> Так в док.; следует: 1917</w:t>
      </w:r>
    </w:p>
    <w:bookmarkStart w:id="289" w:name="_ftn9"/>
    <w:p w14:paraId="0EF2FFC6" w14:textId="77777777" w:rsidR="00811799" w:rsidRPr="002F2FDF" w:rsidRDefault="004A1FB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fldChar w:fldCharType="begin"/>
      </w:r>
      <w:r w:rsidR="00811799" w:rsidRPr="002F2FDF">
        <w:rPr>
          <w:rFonts w:ascii="Times New Roman" w:hAnsi="Times New Roman" w:cs="Times New Roman"/>
          <w:color w:val="000000" w:themeColor="text1"/>
          <w:kern w:val="2"/>
          <w:sz w:val="16"/>
          <w:szCs w:val="16"/>
        </w:rPr>
        <w:instrText xml:space="preserve"> HYPERLINK "http://istmat.info/node/37897" \l "_ftnref9" \o "" </w:instrText>
      </w:r>
      <w:r w:rsidRPr="002F2FDF">
        <w:rPr>
          <w:rFonts w:ascii="Times New Roman" w:hAnsi="Times New Roman" w:cs="Times New Roman"/>
          <w:color w:val="000000" w:themeColor="text1"/>
          <w:kern w:val="2"/>
          <w:sz w:val="16"/>
          <w:szCs w:val="16"/>
        </w:rPr>
      </w:r>
      <w:r w:rsidRPr="002F2FDF">
        <w:rPr>
          <w:rFonts w:ascii="Times New Roman" w:hAnsi="Times New Roman" w:cs="Times New Roman"/>
          <w:color w:val="000000" w:themeColor="text1"/>
          <w:kern w:val="2"/>
          <w:sz w:val="16"/>
          <w:szCs w:val="16"/>
        </w:rPr>
        <w:fldChar w:fldCharType="separate"/>
      </w:r>
      <w:r w:rsidR="00811799" w:rsidRPr="002F2FDF">
        <w:rPr>
          <w:rFonts w:ascii="Times New Roman" w:hAnsi="Times New Roman" w:cs="Times New Roman"/>
          <w:color w:val="000000" w:themeColor="text1"/>
          <w:kern w:val="2"/>
          <w:sz w:val="16"/>
          <w:szCs w:val="16"/>
        </w:rPr>
        <w:t>[9]</w:t>
      </w:r>
      <w:r w:rsidRPr="002F2FDF">
        <w:rPr>
          <w:rFonts w:ascii="Times New Roman" w:hAnsi="Times New Roman" w:cs="Times New Roman"/>
          <w:color w:val="000000" w:themeColor="text1"/>
          <w:kern w:val="2"/>
          <w:sz w:val="16"/>
          <w:szCs w:val="16"/>
        </w:rPr>
        <w:fldChar w:fldCharType="end"/>
      </w:r>
      <w:bookmarkEnd w:id="289"/>
      <w:r w:rsidR="00811799" w:rsidRPr="002F2FDF">
        <w:rPr>
          <w:rFonts w:ascii="Times New Roman" w:hAnsi="Times New Roman" w:cs="Times New Roman"/>
          <w:color w:val="000000" w:themeColor="text1"/>
          <w:kern w:val="2"/>
          <w:sz w:val="16"/>
          <w:szCs w:val="16"/>
        </w:rPr>
        <w:t xml:space="preserve"> Так в док.; по данным таблицы : 457</w:t>
      </w:r>
    </w:p>
    <w:bookmarkStart w:id="290" w:name="_ftn10"/>
    <w:p w14:paraId="1B4B0209" w14:textId="77777777" w:rsidR="00811799" w:rsidRPr="002F2FDF" w:rsidRDefault="004A1FB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fldChar w:fldCharType="begin"/>
      </w:r>
      <w:r w:rsidR="00811799" w:rsidRPr="002F2FDF">
        <w:rPr>
          <w:rFonts w:ascii="Times New Roman" w:hAnsi="Times New Roman" w:cs="Times New Roman"/>
          <w:color w:val="000000" w:themeColor="text1"/>
          <w:kern w:val="2"/>
          <w:sz w:val="16"/>
          <w:szCs w:val="16"/>
        </w:rPr>
        <w:instrText xml:space="preserve"> HYPERLINK "http://istmat.info/node/37897" \l "_ftnref10" \o "" </w:instrText>
      </w:r>
      <w:r w:rsidRPr="002F2FDF">
        <w:rPr>
          <w:rFonts w:ascii="Times New Roman" w:hAnsi="Times New Roman" w:cs="Times New Roman"/>
          <w:color w:val="000000" w:themeColor="text1"/>
          <w:kern w:val="2"/>
          <w:sz w:val="16"/>
          <w:szCs w:val="16"/>
        </w:rPr>
      </w:r>
      <w:r w:rsidRPr="002F2FDF">
        <w:rPr>
          <w:rFonts w:ascii="Times New Roman" w:hAnsi="Times New Roman" w:cs="Times New Roman"/>
          <w:color w:val="000000" w:themeColor="text1"/>
          <w:kern w:val="2"/>
          <w:sz w:val="16"/>
          <w:szCs w:val="16"/>
        </w:rPr>
        <w:fldChar w:fldCharType="separate"/>
      </w:r>
      <w:r w:rsidR="00811799" w:rsidRPr="002F2FDF">
        <w:rPr>
          <w:rFonts w:ascii="Times New Roman" w:hAnsi="Times New Roman" w:cs="Times New Roman"/>
          <w:color w:val="000000" w:themeColor="text1"/>
          <w:kern w:val="2"/>
          <w:sz w:val="16"/>
          <w:szCs w:val="16"/>
        </w:rPr>
        <w:t>[10]</w:t>
      </w:r>
      <w:r w:rsidRPr="002F2FDF">
        <w:rPr>
          <w:rFonts w:ascii="Times New Roman" w:hAnsi="Times New Roman" w:cs="Times New Roman"/>
          <w:color w:val="000000" w:themeColor="text1"/>
          <w:kern w:val="2"/>
          <w:sz w:val="16"/>
          <w:szCs w:val="16"/>
        </w:rPr>
        <w:fldChar w:fldCharType="end"/>
      </w:r>
      <w:bookmarkEnd w:id="290"/>
      <w:r w:rsidR="00811799" w:rsidRPr="002F2FDF">
        <w:rPr>
          <w:rFonts w:ascii="Times New Roman" w:hAnsi="Times New Roman" w:cs="Times New Roman"/>
          <w:color w:val="000000" w:themeColor="text1"/>
          <w:kern w:val="2"/>
          <w:sz w:val="16"/>
          <w:szCs w:val="16"/>
        </w:rPr>
        <w:t xml:space="preserve"> Так в док.; следует. 482</w:t>
      </w:r>
    </w:p>
    <w:bookmarkStart w:id="291" w:name="_ftn11"/>
    <w:p w14:paraId="2799C21A" w14:textId="77777777" w:rsidR="00811799" w:rsidRPr="002F2FDF" w:rsidRDefault="004A1FB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fldChar w:fldCharType="begin"/>
      </w:r>
      <w:r w:rsidR="00811799" w:rsidRPr="002F2FDF">
        <w:rPr>
          <w:rFonts w:ascii="Times New Roman" w:hAnsi="Times New Roman" w:cs="Times New Roman"/>
          <w:color w:val="000000" w:themeColor="text1"/>
          <w:kern w:val="2"/>
          <w:sz w:val="16"/>
          <w:szCs w:val="16"/>
        </w:rPr>
        <w:instrText xml:space="preserve"> HYPERLINK "http://istmat.info/node/37897" \l "_ftnref11" \o "" </w:instrText>
      </w:r>
      <w:r w:rsidRPr="002F2FDF">
        <w:rPr>
          <w:rFonts w:ascii="Times New Roman" w:hAnsi="Times New Roman" w:cs="Times New Roman"/>
          <w:color w:val="000000" w:themeColor="text1"/>
          <w:kern w:val="2"/>
          <w:sz w:val="16"/>
          <w:szCs w:val="16"/>
        </w:rPr>
      </w:r>
      <w:r w:rsidRPr="002F2FDF">
        <w:rPr>
          <w:rFonts w:ascii="Times New Roman" w:hAnsi="Times New Roman" w:cs="Times New Roman"/>
          <w:color w:val="000000" w:themeColor="text1"/>
          <w:kern w:val="2"/>
          <w:sz w:val="16"/>
          <w:szCs w:val="16"/>
        </w:rPr>
        <w:fldChar w:fldCharType="separate"/>
      </w:r>
      <w:r w:rsidR="00811799" w:rsidRPr="002F2FDF">
        <w:rPr>
          <w:rFonts w:ascii="Times New Roman" w:hAnsi="Times New Roman" w:cs="Times New Roman"/>
          <w:color w:val="000000" w:themeColor="text1"/>
          <w:kern w:val="2"/>
          <w:sz w:val="16"/>
          <w:szCs w:val="16"/>
        </w:rPr>
        <w:t>[11]</w:t>
      </w:r>
      <w:r w:rsidRPr="002F2FDF">
        <w:rPr>
          <w:rFonts w:ascii="Times New Roman" w:hAnsi="Times New Roman" w:cs="Times New Roman"/>
          <w:color w:val="000000" w:themeColor="text1"/>
          <w:kern w:val="2"/>
          <w:sz w:val="16"/>
          <w:szCs w:val="16"/>
        </w:rPr>
        <w:fldChar w:fldCharType="end"/>
      </w:r>
      <w:bookmarkEnd w:id="291"/>
      <w:r w:rsidR="00811799" w:rsidRPr="002F2FDF">
        <w:rPr>
          <w:rFonts w:ascii="Times New Roman" w:hAnsi="Times New Roman" w:cs="Times New Roman"/>
          <w:color w:val="000000" w:themeColor="text1"/>
          <w:kern w:val="2"/>
          <w:sz w:val="16"/>
          <w:szCs w:val="16"/>
        </w:rPr>
        <w:t xml:space="preserve"> Так в док.; следует: 9.6</w:t>
      </w:r>
    </w:p>
    <w:bookmarkStart w:id="292" w:name="_ftn12"/>
    <w:p w14:paraId="50B82713" w14:textId="77777777" w:rsidR="00811799" w:rsidRPr="002F2FDF" w:rsidRDefault="004A1FB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fldChar w:fldCharType="begin"/>
      </w:r>
      <w:r w:rsidR="00811799" w:rsidRPr="002F2FDF">
        <w:rPr>
          <w:rFonts w:ascii="Times New Roman" w:hAnsi="Times New Roman" w:cs="Times New Roman"/>
          <w:color w:val="000000" w:themeColor="text1"/>
          <w:kern w:val="2"/>
          <w:sz w:val="16"/>
          <w:szCs w:val="16"/>
        </w:rPr>
        <w:instrText xml:space="preserve"> HYPERLINK "http://istmat.info/node/37897" \l "_ftnref12" \o "" </w:instrText>
      </w:r>
      <w:r w:rsidRPr="002F2FDF">
        <w:rPr>
          <w:rFonts w:ascii="Times New Roman" w:hAnsi="Times New Roman" w:cs="Times New Roman"/>
          <w:color w:val="000000" w:themeColor="text1"/>
          <w:kern w:val="2"/>
          <w:sz w:val="16"/>
          <w:szCs w:val="16"/>
        </w:rPr>
      </w:r>
      <w:r w:rsidRPr="002F2FDF">
        <w:rPr>
          <w:rFonts w:ascii="Times New Roman" w:hAnsi="Times New Roman" w:cs="Times New Roman"/>
          <w:color w:val="000000" w:themeColor="text1"/>
          <w:kern w:val="2"/>
          <w:sz w:val="16"/>
          <w:szCs w:val="16"/>
        </w:rPr>
        <w:fldChar w:fldCharType="separate"/>
      </w:r>
      <w:r w:rsidR="00811799" w:rsidRPr="002F2FDF">
        <w:rPr>
          <w:rFonts w:ascii="Times New Roman" w:hAnsi="Times New Roman" w:cs="Times New Roman"/>
          <w:color w:val="000000" w:themeColor="text1"/>
          <w:kern w:val="2"/>
          <w:sz w:val="16"/>
          <w:szCs w:val="16"/>
        </w:rPr>
        <w:t>[12]</w:t>
      </w:r>
      <w:r w:rsidRPr="002F2FDF">
        <w:rPr>
          <w:rFonts w:ascii="Times New Roman" w:hAnsi="Times New Roman" w:cs="Times New Roman"/>
          <w:color w:val="000000" w:themeColor="text1"/>
          <w:kern w:val="2"/>
          <w:sz w:val="16"/>
          <w:szCs w:val="16"/>
        </w:rPr>
        <w:fldChar w:fldCharType="end"/>
      </w:r>
      <w:bookmarkEnd w:id="292"/>
      <w:r w:rsidR="00811799" w:rsidRPr="002F2FDF">
        <w:rPr>
          <w:rFonts w:ascii="Times New Roman" w:hAnsi="Times New Roman" w:cs="Times New Roman"/>
          <w:color w:val="000000" w:themeColor="text1"/>
          <w:kern w:val="2"/>
          <w:sz w:val="16"/>
          <w:szCs w:val="16"/>
        </w:rPr>
        <w:t xml:space="preserve"> Так в док.; следует.: 471.6 (15699).</w:t>
      </w:r>
    </w:p>
    <w:p w14:paraId="43BFF69E" w14:textId="77777777" w:rsidR="00811799" w:rsidRPr="002F2FDF" w:rsidRDefault="00811799" w:rsidP="0083075A">
      <w:pPr>
        <w:spacing w:after="0" w:line="240" w:lineRule="auto"/>
        <w:jc w:val="both"/>
        <w:rPr>
          <w:rFonts w:ascii="Times New Roman" w:hAnsi="Times New Roman" w:cs="Times New Roman"/>
          <w:color w:val="000000" w:themeColor="text1"/>
          <w:kern w:val="2"/>
          <w:sz w:val="16"/>
          <w:szCs w:val="16"/>
        </w:rPr>
      </w:pPr>
    </w:p>
    <w:p w14:paraId="3664E8C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84240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BB03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(за вычетом семи дней непогоды) летчики 1-й БАГ совер</w:t>
      </w:r>
      <w:r w:rsidRPr="002F2FDF">
        <w:rPr>
          <w:rFonts w:ascii="Times New Roman" w:hAnsi="Times New Roman" w:cs="Times New Roman"/>
          <w:color w:val="000000" w:themeColor="text1"/>
          <w:kern w:val="2"/>
          <w:sz w:val="16"/>
          <w:szCs w:val="16"/>
        </w:rPr>
        <w:softHyphen/>
        <w:t>шили 182 боевых полета, провели 59 боев, сбили два самолета, упавших на нашей территории, и подбили еще че</w:t>
      </w:r>
      <w:r w:rsidRPr="002F2FDF">
        <w:rPr>
          <w:rFonts w:ascii="Times New Roman" w:hAnsi="Times New Roman" w:cs="Times New Roman"/>
          <w:color w:val="000000" w:themeColor="text1"/>
          <w:kern w:val="2"/>
          <w:sz w:val="16"/>
          <w:szCs w:val="16"/>
        </w:rPr>
        <w:softHyphen/>
        <w:t>тыре, вероятно, упавших на террито</w:t>
      </w:r>
      <w:r w:rsidRPr="002F2FDF">
        <w:rPr>
          <w:rFonts w:ascii="Times New Roman" w:hAnsi="Times New Roman" w:cs="Times New Roman"/>
          <w:color w:val="000000" w:themeColor="text1"/>
          <w:kern w:val="2"/>
          <w:sz w:val="16"/>
          <w:szCs w:val="16"/>
        </w:rPr>
        <w:softHyphen/>
        <w:t>рии противника (3954).</w:t>
      </w:r>
    </w:p>
    <w:p w14:paraId="218717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968A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С августа 1917 года работа пошла веселее: 2-й и 3-й боевые отряды ЭВК на Юго-Западном фронте стали совершать групповые полеты в составе 3-4 кораблей. Иногда "Муромцев" прикрывали истребители 1-й боевой авиагруппы (2-й, 4-й и 19-й корпусные отряды) ротмистра А.А. "Козакова, которые совершили 17 охранных самолёто-вылетов. Отряды "Муромцев" базировались в районе деревни Стриховцы (12041).</w:t>
      </w:r>
    </w:p>
    <w:p w14:paraId="68594E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287E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г. противнику удалось осуществить Рижскую наступательную операцию, которая планировалась германским командованием еще в 1915-16 гг., так как на этом участке фронта имелась возможность создать угрозу Петрограду. На Северном фронте это направление защищала ХII-я русская армия. Ее авиационные средства были незначительны и состояли из 10-го, 23-го и 33-го корпусных, 12-го армейского, 1 -го и 12-го истребительных АО. Почти все авиаотряды армии располагались в Риге и ее окрестностях. Воздушная разведка, произведенная экипажами 10-го и 33-го отрядов, показала значительное сосредоточение войск противника в районе станции Икскюль - летчики обнаружили новые артиллерийские позиции, повышенную интенсивность движения на железных и шоссейных дорогах. Налицо были все признаки подготовки наступления 8-й германской армии, однако русское командование не воспользовалось в полной мере полученными данными для его отражения (11237).</w:t>
      </w:r>
    </w:p>
    <w:p w14:paraId="3D8F7B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FBFEE8"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августе 1917 г. Ставка отдала приказ о формировании 5-й БАГ (Боевой авиагруппы) в составе 2-й ФАО, 6-й ФАО и 7-й ФАО. Им должен был командовать французский летчик капитан Павел д'Аргеев, но хаотичные условия помешали его формированию (23525).</w:t>
      </w:r>
    </w:p>
    <w:p w14:paraId="586ED43C" w14:textId="77777777" w:rsidR="007E6D50" w:rsidRPr="00FB4F67" w:rsidRDefault="007E6D50" w:rsidP="0083075A">
      <w:pPr>
        <w:spacing w:after="0" w:line="240" w:lineRule="auto"/>
        <w:jc w:val="both"/>
        <w:rPr>
          <w:rFonts w:ascii="Times New Roman" w:hAnsi="Times New Roman" w:cs="Times New Roman"/>
          <w:color w:val="0070C0"/>
          <w:sz w:val="16"/>
          <w:szCs w:val="16"/>
        </w:rPr>
      </w:pPr>
    </w:p>
    <w:p w14:paraId="2ED0E65A"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августе 1917 г. Ставка приказала сформировать в Минске артиллерийскую школу для наблюдателей. Считается, что он был обозначен как 50-й КАО (23525).</w:t>
      </w:r>
    </w:p>
    <w:p w14:paraId="1F21DB65" w14:textId="77777777" w:rsidR="007E6D50" w:rsidRPr="00FB4F67" w:rsidRDefault="007E6D50" w:rsidP="0083075A">
      <w:pPr>
        <w:spacing w:after="0" w:line="240" w:lineRule="auto"/>
        <w:jc w:val="both"/>
        <w:rPr>
          <w:rFonts w:ascii="Times New Roman" w:hAnsi="Times New Roman" w:cs="Times New Roman"/>
          <w:color w:val="0070C0"/>
          <w:sz w:val="16"/>
          <w:szCs w:val="16"/>
        </w:rPr>
      </w:pPr>
    </w:p>
    <w:p w14:paraId="70EA7D37" w14:textId="4237943D"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В августе 1917 г. 4-й боевой авиаотряд </w:t>
      </w:r>
      <w:r>
        <w:rPr>
          <w:rFonts w:ascii="Times New Roman" w:hAnsi="Times New Roman" w:cs="Times New Roman"/>
          <w:color w:val="0070C0"/>
          <w:sz w:val="16"/>
          <w:szCs w:val="16"/>
        </w:rPr>
        <w:t>ЭВК</w:t>
      </w:r>
      <w:r w:rsidRPr="00FB4F67">
        <w:rPr>
          <w:rFonts w:ascii="Times New Roman" w:hAnsi="Times New Roman" w:cs="Times New Roman"/>
          <w:color w:val="0070C0"/>
          <w:sz w:val="16"/>
          <w:szCs w:val="16"/>
        </w:rPr>
        <w:t xml:space="preserve"> получил приказ преобразовать его в 1-й боевой авиаотряд. Затем до 4 октября она вела операции на Румынском фронте, базируясь в Болгамике, в 7,5 км к северу от Болграда. 7 ноября в его состав вошли ИМ-V, ИМ-IX, ИМ-IV, ИМ-III и ИМ-XVI, и вскоре он переехал в Винницу (23525).</w:t>
      </w:r>
    </w:p>
    <w:p w14:paraId="6ED2AAC7" w14:textId="77777777" w:rsidR="007E6D50" w:rsidRPr="00FB4F67" w:rsidRDefault="007E6D50" w:rsidP="0083075A">
      <w:pPr>
        <w:spacing w:after="0" w:line="240" w:lineRule="auto"/>
        <w:jc w:val="both"/>
        <w:rPr>
          <w:rFonts w:ascii="Times New Roman" w:hAnsi="Times New Roman" w:cs="Times New Roman"/>
          <w:color w:val="0070C0"/>
          <w:sz w:val="16"/>
          <w:szCs w:val="16"/>
        </w:rPr>
      </w:pPr>
    </w:p>
    <w:p w14:paraId="4492E4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г.на Румынском фронте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524F51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E518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(12038).</w:t>
      </w:r>
    </w:p>
    <w:p w14:paraId="3AFBB3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1820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августа 1917 г. на юго-западном фронте 2-й и 3-й боевые отряды ЭВК стали совершать групповые полеты (3-4 корабля). Иногда "Муромцев" прикрывали истребители 1-й боевой авиагруппы (2-й, 4-й и 19-й корпусные отряды) ротмистра А.А.Козакова, которые совершили на охрану 17 самолето-вылетов. За весь 1917 год Эскадра совершила около 70 боевых полетов, сбросив на противника до 650 пудов бомб. За всю германскую кампанию из 51 боевого корабля, поступивших на фронт, воевало около 40 машин. Они совершили до 300 вылетов, сбросив около 3000 пудов бомб (11277).</w:t>
      </w:r>
    </w:p>
    <w:p w14:paraId="69A393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5347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августа 1917 г. ИМ стали задействовать группами - три-пять бомбардировщиков. Максимальное количество машин, направлявшихся одновременно на одну цель, - семь. Летали только днем при хорошей видимости (12036).</w:t>
      </w:r>
    </w:p>
    <w:p w14:paraId="6CF44F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8824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августа 1917 г. 2-й и 3-й боевые отряды ЭВК стали совершать групповые полеты (3-4 корабля). Иногда "Муромцев" прикрывали истребители 1-й боевой авиагруппы (2-й, 4-й и 19- й корпусные отряды) ротмистра А.А.Козакова, которые совершили на охрану 17 самолетовылетов (12038).</w:t>
      </w:r>
    </w:p>
    <w:p w14:paraId="48DE80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00BD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года были сформированы Первая и Вторая отдельные Морские Тяжелые батареи. В составе каждой батареи были транспортер с орудием, локомотив, вагон-передок (вагон-погреб, вагон прикрытия, стоявший между транспортером и локомо-тивом), шесть товарных вагонов для боекомплекта, служебный вагон и вагон прикрытия. Батарее были приписаны грузовой и легковой автомобили, два мотоцикла (самоката) для обеспечения связи и разведки. При смене позиционного района батарее дополнительно предоставлялся вагон I или II класса для офицеров, два вагона для личного состава, четыре платформы для транспорти-ровки техники и имущества, крытый вагон или платформа для походной кухни. Штатное имущество батареи, при достаточно высокой степени автономности, позволяло обеспечивать боеготовность и работу техники в любых климатических усло-виях России, боевую работу и нормальные бытовые условия личного состава (11871).</w:t>
      </w:r>
    </w:p>
    <w:p w14:paraId="067C30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6A638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D78E7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464E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Л.Д.Троцкий вместе с группой межрайонцев был принят в партию большевиков (1074,43).</w:t>
      </w:r>
    </w:p>
    <w:p w14:paraId="3E35A3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BB33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временное правительство окончательно прекратило чеканку серебряных монет, изготовление которых началось с конца 10 века (4962).</w:t>
      </w:r>
    </w:p>
    <w:p w14:paraId="6AB1DE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9F9A2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9EA45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BBC1FF"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августе 1917 г. сразу было заказано 262 серийных самолета Инспекция авиации одобрила проект, но сочла его не новым типом, а модификацией серийного самолета Albatros D Vа. По этой причине опытный образец не строился, а в августе 1917 г. сразу было заказано 262 серийных самолета, включая машины для типовых испытаний (вероятно, одна из них должна была испытываться на прочность до разрушения).</w:t>
      </w:r>
    </w:p>
    <w:p w14:paraId="690E2CCD"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сентябре 1917 г. завод получил заказ № 2 на 250 самолетов, а в октябре 1917 г.- заказ № 3 на 550 самолетов (23153).</w:t>
      </w:r>
    </w:p>
    <w:p w14:paraId="5FD99428"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p>
    <w:p w14:paraId="39159AA6"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августе 1917 облетали моноплан MoS.27. Его строительство притормозили, что позволило учесть недостатки биплана, и в частности переделать элероны, убрав осевую компенсацию (ее тогда еще не научились делать правильно) и оставив только привычную роговую. Устойчивость и управляемость улучшились, скорость почти не изменилась, скороподъемность упала примерно в 1,5 раза, но осталась лучше, чем у самолетов «Ньюпор» и SPAD. Сильной стороной конкурентов оставалась маневренность, но решающим козырем Морана 27 была низкая трудоемкость и стоимость (22877).</w:t>
      </w:r>
    </w:p>
    <w:p w14:paraId="0CDA9D29"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p>
    <w:p w14:paraId="39CBF2FB"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августе 1917 Имперские военно-воздушные силы Германии, оттачивает тактику непосредственной авиационной поддержки во время битвы при Passchendaele, обнаруживают, что группы из четырех-шести самолетов работают лучше всего и что идеальная высота для атаки траншей составляет 150 футов (45,7 метра), в то время как от 1200 до 1500 футов (366-457 метров) лучше всего подходит для атаки более крупных целей, таких как артиллерийские батареи. и скопления резервной пехоты. Они считают, что построение в линию за кормой лучше всего снижает эффект наземного огня противника, а построение в ряд лучше всего подходит для отражения вражеских истребителей (20341).</w:t>
      </w:r>
    </w:p>
    <w:p w14:paraId="60354CCA"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p>
    <w:p w14:paraId="77CFD7C4"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 августа 1917 по конец июня 1918 года эскадра KaGOKL 3 только на Лондон вылетала 22 раза. Бомбардировке подвергся даже Винд зор, резиденция английских королей. Это самое заслуженное дальнебом</w:t>
      </w:r>
      <w:r w:rsidRPr="002F2FDF">
        <w:rPr>
          <w:rFonts w:ascii="Times New Roman" w:hAnsi="Times New Roman" w:cs="Times New Roman"/>
          <w:color w:val="000000" w:themeColor="text1"/>
          <w:sz w:val="16"/>
          <w:szCs w:val="16"/>
        </w:rPr>
        <w:softHyphen/>
        <w:t>бардировочное соединение имперско</w:t>
      </w:r>
      <w:r w:rsidRPr="002F2FDF">
        <w:rPr>
          <w:rFonts w:ascii="Times New Roman" w:hAnsi="Times New Roman" w:cs="Times New Roman"/>
          <w:color w:val="000000" w:themeColor="text1"/>
          <w:sz w:val="16"/>
          <w:szCs w:val="16"/>
        </w:rPr>
        <w:softHyphen/>
        <w:t>го воздушного флота до конца войны потеряло 56 самолетов, причем лишь 20 были сбиты, остальные разбились, причем большинство - в ночных по</w:t>
      </w:r>
      <w:r w:rsidRPr="002F2FDF">
        <w:rPr>
          <w:rFonts w:ascii="Times New Roman" w:hAnsi="Times New Roman" w:cs="Times New Roman"/>
          <w:color w:val="000000" w:themeColor="text1"/>
          <w:sz w:val="16"/>
          <w:szCs w:val="16"/>
        </w:rPr>
        <w:softHyphen/>
        <w:t>летах. В бою более опасным против</w:t>
      </w:r>
      <w:r w:rsidRPr="002F2FDF">
        <w:rPr>
          <w:rFonts w:ascii="Times New Roman" w:hAnsi="Times New Roman" w:cs="Times New Roman"/>
          <w:color w:val="000000" w:themeColor="text1"/>
          <w:sz w:val="16"/>
          <w:szCs w:val="16"/>
        </w:rPr>
        <w:softHyphen/>
        <w:t>ником оказались истребители, в свя</w:t>
      </w:r>
      <w:r w:rsidRPr="002F2FDF">
        <w:rPr>
          <w:rFonts w:ascii="Times New Roman" w:hAnsi="Times New Roman" w:cs="Times New Roman"/>
          <w:color w:val="000000" w:themeColor="text1"/>
          <w:sz w:val="16"/>
          <w:szCs w:val="16"/>
        </w:rPr>
        <w:softHyphen/>
        <w:t>зи с чем все воюющие страны стали строить истребители сопровождения. Зенитная артиллерия оказывала на экипажи большое психологическое воздействие днем. Ночью разрывы были почти не видны, зато попадание в луч прожектора было сравнимо с ударом по голове (22795).</w:t>
      </w:r>
    </w:p>
    <w:p w14:paraId="7B957A1A"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p>
    <w:p w14:paraId="307A3A0C"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августе 1917 г. фирме сразу было заказано 262 серийных самолета, включая два для типовых испытаний. Их планировалось провести параллельно с запуском серии.</w:t>
      </w:r>
    </w:p>
    <w:p w14:paraId="5C11A8E9"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На фирме Альбатрос новую машину обозначили L.24. «Даймлер» обещал форсировать для него мотор Мерседес D III до боевой мощности 220 л. с. Расстояние между крыльями увеличили примерно на 65 мм, а консоли усилили за счет сечений лонжеронов и нервюр. Улучшить крутильную жесткость нижнего однолонжеронного крыла должны были подкосы, которые крепились к его носкам и к передним межкрыльевым стойкам внизу примерно на 20 % их высоты. Система управления элеронами была унифицирована по типу Альбатроса D III, хотя проводка «пятерки» сохраняла работоспособность в случае разрушения нижнего крыла, а на «тройке» — нет. Наконец, слегка увеличили площадь элеронов за счет их концевых хорд, а колею шасси сузили на 80 мм. </w:t>
      </w:r>
    </w:p>
    <w:p w14:paraId="2C89E895"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Инспекция авиации одобрила проект, но сочла его не новым типом, а модификацией серийного Альбатроса D V, обозначив его D Vа, потому опытный образец не строился, а в августе 1917 г. фирме сразу было заказано 262 серийных самолета, включая два для типовых испытаний. Их планировалось провести параллельно с запуском серии (22792).</w:t>
      </w:r>
    </w:p>
    <w:p w14:paraId="41AC7239"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p>
    <w:p w14:paraId="0FA6C33C" w14:textId="0DC1854A"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августе 1917 Военный министр США Ньютон Д. Бейкер объявляет о завершении разработки первого двигателя Liberty через 28 дней после начала его проектирования. До конца Первой мировой войны будет произведено 13 574 экземпляра, а к 1919 году их общее количество достигнет 20</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478 (20341).</w:t>
      </w:r>
    </w:p>
    <w:p w14:paraId="0B9C9610"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p>
    <w:p w14:paraId="6B783BB3" w14:textId="77777777" w:rsidR="002E2452" w:rsidRPr="002F2FDF" w:rsidRDefault="002E245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г. в США прибыл итальянский пилот Сильвио Реснати (</w:t>
      </w:r>
      <w:r w:rsidRPr="002F2FDF">
        <w:rPr>
          <w:rFonts w:ascii="Times New Roman" w:hAnsi="Times New Roman" w:cs="Times New Roman"/>
          <w:color w:val="000000" w:themeColor="text1"/>
          <w:kern w:val="2"/>
          <w:sz w:val="16"/>
          <w:szCs w:val="16"/>
          <w:lang w:val="en-US"/>
        </w:rPr>
        <w:t>SilvioResnati</w:t>
      </w:r>
      <w:r w:rsidRPr="002F2FDF">
        <w:rPr>
          <w:rFonts w:ascii="Times New Roman" w:hAnsi="Times New Roman" w:cs="Times New Roman"/>
          <w:color w:val="000000" w:themeColor="text1"/>
          <w:kern w:val="2"/>
          <w:sz w:val="16"/>
          <w:szCs w:val="16"/>
        </w:rPr>
        <w:t xml:space="preserve">). Основной целью его визита была подготовка серийного выпуска бомбардировщика </w:t>
      </w:r>
      <w:r w:rsidRPr="002F2FDF">
        <w:rPr>
          <w:rFonts w:ascii="Times New Roman" w:hAnsi="Times New Roman" w:cs="Times New Roman"/>
          <w:color w:val="000000" w:themeColor="text1"/>
          <w:kern w:val="2"/>
          <w:sz w:val="16"/>
          <w:szCs w:val="16"/>
          <w:lang w:val="en-US"/>
        </w:rPr>
        <w:t>Caproni</w:t>
      </w:r>
      <w:r w:rsidRPr="002F2FDF">
        <w:rPr>
          <w:rFonts w:ascii="Times New Roman" w:hAnsi="Times New Roman" w:cs="Times New Roman"/>
          <w:color w:val="000000" w:themeColor="text1"/>
          <w:kern w:val="2"/>
          <w:sz w:val="16"/>
          <w:szCs w:val="16"/>
        </w:rPr>
        <w:t xml:space="preserve"> Са.З в США и обучение американских пилотов полётам на нём. На этой же машине, оснащённой тремя двигателями </w:t>
      </w:r>
      <w:r w:rsidRPr="002F2FDF">
        <w:rPr>
          <w:rFonts w:ascii="Times New Roman" w:hAnsi="Times New Roman" w:cs="Times New Roman"/>
          <w:color w:val="000000" w:themeColor="text1"/>
          <w:kern w:val="2"/>
          <w:sz w:val="16"/>
          <w:szCs w:val="16"/>
          <w:lang w:val="en-US"/>
        </w:rPr>
        <w:t>Isotta</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Fraschini</w:t>
      </w:r>
      <w:r w:rsidRPr="002F2FDF">
        <w:rPr>
          <w:rFonts w:ascii="Times New Roman" w:hAnsi="Times New Roman" w:cs="Times New Roman"/>
          <w:color w:val="000000" w:themeColor="text1"/>
          <w:kern w:val="2"/>
          <w:sz w:val="16"/>
          <w:szCs w:val="16"/>
        </w:rPr>
        <w:t>, итальянский пилот планировал в 1918 г. совершить трансатлантический перелёт. Этому не суждено было сбыться - 16 мая 1918 г. Реснати погиб в катастрофе Са.З возле Хэмпстеда, Нью-Йорк (15834).</w:t>
      </w:r>
    </w:p>
    <w:p w14:paraId="7E972ED2" w14:textId="77777777" w:rsidR="002E2452" w:rsidRPr="002F2FDF" w:rsidRDefault="002E2452" w:rsidP="0083075A">
      <w:pPr>
        <w:spacing w:after="0" w:line="240" w:lineRule="auto"/>
        <w:jc w:val="both"/>
        <w:rPr>
          <w:rFonts w:ascii="Times New Roman" w:hAnsi="Times New Roman" w:cs="Times New Roman"/>
          <w:color w:val="000000" w:themeColor="text1"/>
          <w:kern w:val="2"/>
          <w:sz w:val="16"/>
          <w:szCs w:val="16"/>
        </w:rPr>
      </w:pPr>
    </w:p>
    <w:p w14:paraId="08EC24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мая по август 1917 г. 177 самолетов "Гота G-4" произвели 8 нападений на Англию, при этом 401 англичанин погиб и 983 было ранено. Было сброшено 20 т бомб. Цеппелины могли бы произвести это за один день (11999).</w:t>
      </w:r>
    </w:p>
    <w:p w14:paraId="6644FA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4E5A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г. "Бомбардировочная эскадра 3" совершила нападение на Соутленд, Рамсгейт, Маргейт и Дувр. Однако возросшая мощь британских ПВО принудила германский генеральный штаб впредь прекратить дневные нападения, так как они вели к большим потерям. Именно в этом месяце все британские силы ПВО были объединены под единым командованием.</w:t>
      </w:r>
    </w:p>
    <w:p w14:paraId="7BE3A3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Великобритании под впечатлением возросшей деятельности ВВС с лета 1917 г. кампания военных, промышленников и парламентариев требовала значительного усиления воздушных сил и их самостоятельности, как третьего рода войск наряду с наземными и морскими военными силами. Это было качественным шагом вперед, поскольку в Германии и Франции к этому времени авиация считалась пятым видом войск, наряду с артиллерией, пехотой, кавалерией и морским флотом (11999).</w:t>
      </w:r>
    </w:p>
    <w:p w14:paraId="66F839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B4BF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года к службе приступил морской L-53 (LZ-100), первый дирижабль типа “v”. Это была последняя массовая серия цеппелинов (до конца войны построено 10 кораблей). Последним из них стал LZ-111 (L-65), переданный флоту в апреле 1918 года. Воздушные корабли этой серии имели объем 56 000 куб. м и пять моторов. Они обладали прекрасными летными характеристиками; о многом говорит тот факт, что эти дирижабли [218] развивали скорость 114,5 км/ч и “забирались” на высоту 5400 м. Флот тем временем начал получать новые цеппелины типа “t”. Первенцем этой серии стал LZ-93 (L-44). Это был дирижабль объемом 55 800 куб. м, уже оборудованный сдвоенной задней мотогондолой с единым толкающим винтом. Но оказалось, что германское воздухоплавание не готово в полной мере использовать способность новых цеппелинов действовать на больших высотах. Качественное кислородное оборудование для экипажей дирижаблей отсутствовало, в наличии были только неважные кислородные приборы, к тому же кислород был засорен глицерином. “Высотная болезнь”, апатия и даже потеря сознания многими членами экипажей буквально парализовали боевое использование дирижаблей, которые, казалось, уже достигли зоны бомбометания (11324).</w:t>
      </w:r>
    </w:p>
    <w:p w14:paraId="401C6A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3B30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г. было подписано соглашение в Сен-Жан де Марьени, которым Италии в рамках полного территориального раздела Османской империи была выделена "зеленая зона" (Юго-Западная Анатолия) и зона влияния "С" (часть Западной и Центральной Анатолии). При этом со стороны Великобритании была сделана оговорка о том, что присоединение Италии к соглашению Сайкс-Пико должно быть ратифицировано Россией (3871).</w:t>
      </w:r>
    </w:p>
    <w:p w14:paraId="02B2A8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0469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1917 Париж. Создан Польский национальный комитет во главе с Р.Дмовским (7451).</w:t>
      </w:r>
    </w:p>
    <w:p w14:paraId="1350E1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DDF4C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E03FC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0C49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августе-сентябре 1917 А.Е.Грузинов выполнил три полета по одному часу на самолете, созданном в Авиационной испытательной станции на Крестовском острове, и сбрасывал макет торпеды. Это был Морской торпедоносец АИС (торпедоносец Шишкова) - поплавковый двухстоечный биплан с толкающим винтом под верхним крылом и двухместной кабиной по типу Фармана XVI. Сделали особую торпеду без механизма, более обтекаемой формы и остроносая. Раскручивалась от двигателя через ременную передачу для сохранения направления движения (92,236).</w:t>
      </w:r>
    </w:p>
    <w:p w14:paraId="446F6E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B75BEC"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августе-сентябре 1917 г. лейтенант Грузинов совершил на торпедоносце АИС три довольно успешных полета продолжительностью до часа каждый. Работы по торпедоносцу АИС прекратили после расформирования станции. Судьба опытного об</w:t>
      </w:r>
      <w:r w:rsidRPr="00FB4F67">
        <w:rPr>
          <w:rFonts w:ascii="Times New Roman" w:hAnsi="Times New Roman" w:cs="Times New Roman"/>
          <w:color w:val="0070C0"/>
          <w:sz w:val="16"/>
          <w:szCs w:val="16"/>
        </w:rPr>
        <w:softHyphen/>
        <w:t>разца остается неизвестной (23494).</w:t>
      </w:r>
    </w:p>
    <w:p w14:paraId="2B4E241C" w14:textId="77777777" w:rsidR="007E6D50" w:rsidRPr="00FB4F67" w:rsidRDefault="007E6D50" w:rsidP="0083075A">
      <w:pPr>
        <w:spacing w:after="0" w:line="240" w:lineRule="auto"/>
        <w:jc w:val="both"/>
        <w:rPr>
          <w:rFonts w:ascii="Times New Roman" w:hAnsi="Times New Roman" w:cs="Times New Roman"/>
          <w:color w:val="0070C0"/>
          <w:sz w:val="16"/>
          <w:szCs w:val="16"/>
        </w:rPr>
      </w:pPr>
    </w:p>
    <w:p w14:paraId="01FF9B4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августе—сентябре 1917 г. топедонесоц АИСиспытывался А.Е. Грузиновым (переименованным из штабс-капитана в старшего лейтенанта флота)</w:t>
      </w:r>
      <w:r w:rsidRPr="002F2FDF">
        <w:rPr>
          <w:rFonts w:ascii="Times New Roman" w:hAnsi="Times New Roman" w:cs="Times New Roman"/>
          <w:bCs/>
          <w:color w:val="000000" w:themeColor="text1"/>
          <w:kern w:val="2"/>
          <w:sz w:val="16"/>
          <w:szCs w:val="16"/>
        </w:rPr>
        <w:t>,</w:t>
      </w:r>
      <w:r w:rsidRPr="002F2FDF">
        <w:rPr>
          <w:rFonts w:ascii="Times New Roman" w:hAnsi="Times New Roman" w:cs="Times New Roman"/>
          <w:color w:val="000000" w:themeColor="text1"/>
          <w:kern w:val="2"/>
          <w:sz w:val="16"/>
          <w:szCs w:val="16"/>
        </w:rPr>
        <w:t xml:space="preserve"> причем не менее трех успешных полетов было якобы сделано и, более того, со сбросом макета торпеды. Торпедоносец АИС по Шаврову был одномоторный двухместный двухстоечный биплан. Его толкающий двигатель "Клерже" 130 л.с. должен был устанавливаться под верхними крыльями, несшими элероны и имевшими больший размах, чем нижние. Носовая и средняя часть фюзеляжа напоминали аналогичные детали конструкции аппарата "Фарман" тип АФ.16, тогда как по</w:t>
      </w:r>
      <w:r w:rsidRPr="002F2FDF">
        <w:rPr>
          <w:rFonts w:ascii="Times New Roman" w:hAnsi="Times New Roman" w:cs="Times New Roman"/>
          <w:color w:val="000000" w:themeColor="text1"/>
          <w:kern w:val="2"/>
          <w:sz w:val="16"/>
          <w:szCs w:val="16"/>
        </w:rPr>
        <w:softHyphen/>
        <w:t>зади заднего лонжерона нижней несущей поверхности обшивка отсутствовала, открывая хвостовую ферму. Хвостовое оперение имело значительные размеры, а шасси включало в себя 2 больших плоскодонных основных поплавка и еще 1 вспомогательный — под хвостом. Тот же источник утверждает, что лишенная движителя торпеда длиной всего 3 м проекти</w:t>
      </w:r>
      <w:r w:rsidRPr="002F2FDF">
        <w:rPr>
          <w:rFonts w:ascii="Times New Roman" w:hAnsi="Times New Roman" w:cs="Times New Roman"/>
          <w:color w:val="000000" w:themeColor="text1"/>
          <w:kern w:val="2"/>
          <w:sz w:val="16"/>
          <w:szCs w:val="16"/>
        </w:rPr>
        <w:softHyphen/>
        <w:t>ровалась, чтобы стать основным оружием аэроплана. Подвешиваясь за кабинами экипажа и располагаясь в специальной нише между хвостовыми лонжеронами, шпангоутами и рас</w:t>
      </w:r>
      <w:r w:rsidRPr="002F2FDF">
        <w:rPr>
          <w:rFonts w:ascii="Times New Roman" w:hAnsi="Times New Roman" w:cs="Times New Roman"/>
          <w:color w:val="000000" w:themeColor="text1"/>
          <w:kern w:val="2"/>
          <w:sz w:val="16"/>
          <w:szCs w:val="16"/>
        </w:rPr>
        <w:softHyphen/>
        <w:t>тяжками фюзеляжа, перед сбросом она получала бы вращательное движение посредством довольно сложной трансмиссии от мотора. Вращение вокруг продольной оси делало бы ее падение устойчивым, а целью торпеды являлась незащищенная подводная часть боевого ко</w:t>
      </w:r>
      <w:r w:rsidRPr="002F2FDF">
        <w:rPr>
          <w:rFonts w:ascii="Times New Roman" w:hAnsi="Times New Roman" w:cs="Times New Roman"/>
          <w:color w:val="000000" w:themeColor="text1"/>
          <w:kern w:val="2"/>
          <w:sz w:val="16"/>
          <w:szCs w:val="16"/>
        </w:rPr>
        <w:softHyphen/>
        <w:t>рабля. В отсутствие более надежных первоисточников, сегодня невозможно ни подтвердить, ни опровергнуть данную информацию. Однако, имеется по крайней мере один довод, позволяющий усомниться в ее достоверности, и он заключается в том, что ни завод Мельцера, ни какой-либо другой про</w:t>
      </w:r>
      <w:r w:rsidRPr="002F2FDF">
        <w:rPr>
          <w:rFonts w:ascii="Times New Roman" w:hAnsi="Times New Roman" w:cs="Times New Roman"/>
          <w:color w:val="000000" w:themeColor="text1"/>
          <w:kern w:val="2"/>
          <w:sz w:val="16"/>
          <w:szCs w:val="16"/>
        </w:rPr>
        <w:softHyphen/>
        <w:t>изводитель не строил подобную машину, которая, очевидно, не могла возникнуть из ничего. По всей видимости, проект все же действительно существовал, а к уже сказанному можно добавить, что совершенно секретная "бомба Шишкова", бывшая, скорее всего, той самой короткой несамодвижущейся торпедой, испытывалась на Опытной станции Петроградской школы морской авиации в конце октября — начале ноября 1917 г., сбрасываясь с особых держателей, укрепленных на летающей лодке М-9. Несколько позднее предполагалось ко</w:t>
      </w:r>
      <w:r w:rsidRPr="002F2FDF">
        <w:rPr>
          <w:rFonts w:ascii="Times New Roman" w:hAnsi="Times New Roman" w:cs="Times New Roman"/>
          <w:color w:val="000000" w:themeColor="text1"/>
          <w:kern w:val="2"/>
          <w:sz w:val="16"/>
          <w:szCs w:val="16"/>
        </w:rPr>
        <w:softHyphen/>
        <w:t>мандировать П.А. Шишкова в Великобританию для завершения его опытов в более "мирной" обстановке, но, вероятно, этот план не был осуществлен (2843).</w:t>
      </w:r>
    </w:p>
    <w:p w14:paraId="45F474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2F6C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августе-сентябре 1917 г. лет</w:t>
      </w:r>
      <w:r w:rsidRPr="002F2FDF">
        <w:rPr>
          <w:rFonts w:ascii="Times New Roman" w:hAnsi="Times New Roman" w:cs="Times New Roman"/>
          <w:color w:val="000000" w:themeColor="text1"/>
          <w:kern w:val="2"/>
          <w:sz w:val="16"/>
          <w:szCs w:val="16"/>
        </w:rPr>
        <w:softHyphen/>
        <w:t>чик А.Е. Грузинов произвел на са</w:t>
      </w:r>
      <w:r w:rsidRPr="002F2FDF">
        <w:rPr>
          <w:rFonts w:ascii="Times New Roman" w:hAnsi="Times New Roman" w:cs="Times New Roman"/>
          <w:color w:val="000000" w:themeColor="text1"/>
          <w:kern w:val="2"/>
          <w:sz w:val="16"/>
          <w:szCs w:val="16"/>
        </w:rPr>
        <w:softHyphen/>
        <w:t>молете “Аист” три довольно успешных по</w:t>
      </w:r>
      <w:r w:rsidRPr="002F2FDF">
        <w:rPr>
          <w:rFonts w:ascii="Times New Roman" w:hAnsi="Times New Roman" w:cs="Times New Roman"/>
          <w:color w:val="000000" w:themeColor="text1"/>
          <w:kern w:val="2"/>
          <w:sz w:val="16"/>
          <w:szCs w:val="16"/>
        </w:rPr>
        <w:softHyphen/>
        <w:t>лета продолжительностью до 1 ч каждый, во время которых сбрасы</w:t>
      </w:r>
      <w:r w:rsidRPr="002F2FDF">
        <w:rPr>
          <w:rFonts w:ascii="Times New Roman" w:hAnsi="Times New Roman" w:cs="Times New Roman"/>
          <w:color w:val="000000" w:themeColor="text1"/>
          <w:kern w:val="2"/>
          <w:sz w:val="16"/>
          <w:szCs w:val="16"/>
        </w:rPr>
        <w:softHyphen/>
        <w:t>вался также и макет торпеды. Из всех машин, которые подготовила АИС, практически осу</w:t>
      </w:r>
      <w:r w:rsidRPr="002F2FDF">
        <w:rPr>
          <w:rFonts w:ascii="Times New Roman" w:hAnsi="Times New Roman" w:cs="Times New Roman"/>
          <w:color w:val="000000" w:themeColor="text1"/>
          <w:kern w:val="2"/>
          <w:sz w:val="16"/>
          <w:szCs w:val="16"/>
        </w:rPr>
        <w:softHyphen/>
        <w:t>ществлены только два: морской тор</w:t>
      </w:r>
      <w:r w:rsidRPr="002F2FDF">
        <w:rPr>
          <w:rFonts w:ascii="Times New Roman" w:hAnsi="Times New Roman" w:cs="Times New Roman"/>
          <w:color w:val="000000" w:themeColor="text1"/>
          <w:kern w:val="2"/>
          <w:sz w:val="16"/>
          <w:szCs w:val="16"/>
        </w:rPr>
        <w:softHyphen/>
        <w:t>педоносец и морской разведчик «Аист». Наибольший интерес представ</w:t>
      </w:r>
      <w:r w:rsidRPr="002F2FDF">
        <w:rPr>
          <w:rFonts w:ascii="Times New Roman" w:hAnsi="Times New Roman" w:cs="Times New Roman"/>
          <w:color w:val="000000" w:themeColor="text1"/>
          <w:kern w:val="2"/>
          <w:sz w:val="16"/>
          <w:szCs w:val="16"/>
        </w:rPr>
        <w:softHyphen/>
        <w:t>ляет первый из них. Это трёхпоплавковый двухстоечный биплан с двигателем «Клерже» мощностью 130 л.е., снабженный толкающим винтом. Изобретатели предполага</w:t>
      </w:r>
      <w:r w:rsidRPr="002F2FDF">
        <w:rPr>
          <w:rFonts w:ascii="Times New Roman" w:hAnsi="Times New Roman" w:cs="Times New Roman"/>
          <w:color w:val="000000" w:themeColor="text1"/>
          <w:kern w:val="2"/>
          <w:sz w:val="16"/>
          <w:szCs w:val="16"/>
        </w:rPr>
        <w:softHyphen/>
        <w:t>ли вооружить самолет короткой (длиной 3 м) торпедой, не имеющей двигателя (т. е. болванкой). Торпе</w:t>
      </w:r>
      <w:r w:rsidRPr="002F2FDF">
        <w:rPr>
          <w:rFonts w:ascii="Times New Roman" w:hAnsi="Times New Roman" w:cs="Times New Roman"/>
          <w:color w:val="000000" w:themeColor="text1"/>
          <w:kern w:val="2"/>
          <w:sz w:val="16"/>
          <w:szCs w:val="16"/>
        </w:rPr>
        <w:softHyphen/>
        <w:t>ду предполагалось подвесить за кабиной и с помощью специально</w:t>
      </w:r>
      <w:r w:rsidRPr="002F2FDF">
        <w:rPr>
          <w:rFonts w:ascii="Times New Roman" w:hAnsi="Times New Roman" w:cs="Times New Roman"/>
          <w:color w:val="000000" w:themeColor="text1"/>
          <w:kern w:val="2"/>
          <w:sz w:val="16"/>
          <w:szCs w:val="16"/>
        </w:rPr>
        <w:softHyphen/>
        <w:t>го привода от двигателя раскручи</w:t>
      </w:r>
      <w:r w:rsidRPr="002F2FDF">
        <w:rPr>
          <w:rFonts w:ascii="Times New Roman" w:hAnsi="Times New Roman" w:cs="Times New Roman"/>
          <w:color w:val="000000" w:themeColor="text1"/>
          <w:kern w:val="2"/>
          <w:sz w:val="16"/>
          <w:szCs w:val="16"/>
        </w:rPr>
        <w:softHyphen/>
        <w:t>вать относительно продольной оси. Для этого на двигатель самолета устанавливался шкив, от него шла ременная передача к ведомому шкиву, снабженному фрикционным барабаном, раскручивающим тор</w:t>
      </w:r>
      <w:r w:rsidRPr="002F2FDF">
        <w:rPr>
          <w:rFonts w:ascii="Times New Roman" w:hAnsi="Times New Roman" w:cs="Times New Roman"/>
          <w:color w:val="000000" w:themeColor="text1"/>
          <w:kern w:val="2"/>
          <w:sz w:val="16"/>
          <w:szCs w:val="16"/>
        </w:rPr>
        <w:softHyphen/>
        <w:t>педу перед сбрасыванием. Столь оригинальное и несколько загадоч</w:t>
      </w:r>
      <w:r w:rsidRPr="002F2FDF">
        <w:rPr>
          <w:rFonts w:ascii="Times New Roman" w:hAnsi="Times New Roman" w:cs="Times New Roman"/>
          <w:color w:val="000000" w:themeColor="text1"/>
          <w:kern w:val="2"/>
          <w:sz w:val="16"/>
          <w:szCs w:val="16"/>
        </w:rPr>
        <w:softHyphen/>
        <w:t>ное устройство удалось создать лишь частично, и вряд ли оно представляло практическую цен</w:t>
      </w:r>
      <w:r w:rsidRPr="002F2FDF">
        <w:rPr>
          <w:rFonts w:ascii="Times New Roman" w:hAnsi="Times New Roman" w:cs="Times New Roman"/>
          <w:color w:val="000000" w:themeColor="text1"/>
          <w:kern w:val="2"/>
          <w:sz w:val="16"/>
          <w:szCs w:val="16"/>
        </w:rPr>
        <w:softHyphen/>
        <w:t>ность. К осени 1917 г. построили морской разведчик «Аист», но в связи с рас</w:t>
      </w:r>
      <w:r w:rsidRPr="002F2FDF">
        <w:rPr>
          <w:rFonts w:ascii="Times New Roman" w:hAnsi="Times New Roman" w:cs="Times New Roman"/>
          <w:color w:val="000000" w:themeColor="text1"/>
          <w:kern w:val="2"/>
          <w:sz w:val="16"/>
          <w:szCs w:val="16"/>
        </w:rPr>
        <w:softHyphen/>
        <w:t>формированием организации даже не испытывали (11872).</w:t>
      </w:r>
    </w:p>
    <w:p w14:paraId="0C57B7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20C53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w:t>
      </w:r>
      <w:r w:rsidRPr="002F2FDF">
        <w:rPr>
          <w:rFonts w:ascii="Times New Roman" w:hAnsi="Times New Roman" w:cs="Times New Roman"/>
          <w:color w:val="000000" w:themeColor="text1"/>
          <w:kern w:val="2"/>
          <w:sz w:val="16"/>
          <w:szCs w:val="16"/>
        </w:rPr>
        <w:softHyphen/>
        <w:t>те-сентябре 1917 г. ст. лейтенант А.Е. Грузинов выполнил на самолёте “Морской торпедоносец” - гидроаэроплан специального назначения (ГАСН) три довольно успешных полета продолжительностью до часа каждый. Име</w:t>
      </w:r>
      <w:r w:rsidRPr="002F2FDF">
        <w:rPr>
          <w:rFonts w:ascii="Times New Roman" w:hAnsi="Times New Roman" w:cs="Times New Roman"/>
          <w:color w:val="000000" w:themeColor="text1"/>
          <w:kern w:val="2"/>
          <w:sz w:val="16"/>
          <w:szCs w:val="16"/>
        </w:rPr>
        <w:softHyphen/>
        <w:t>ются скупые сведения, что сбрасывался макет торпеды. Самолёт вел себя нормально. Замечаний по взлетам и посадкам не было. О дальнейших работах сведений нет, скорее всего они не велись, поскольку подошел октябрь 1917 года. Это - большой трехпоплавковый биплан с одним двигателем “Клерже” в 130 л.с. с толкающим винтом. Для него разработали ориги</w:t>
      </w:r>
      <w:r w:rsidRPr="002F2FDF">
        <w:rPr>
          <w:rFonts w:ascii="Times New Roman" w:hAnsi="Times New Roman" w:cs="Times New Roman"/>
          <w:color w:val="000000" w:themeColor="text1"/>
          <w:kern w:val="2"/>
          <w:sz w:val="16"/>
          <w:szCs w:val="16"/>
        </w:rPr>
        <w:softHyphen/>
        <w:t>нальную торпеду, которая не имела собственного двигателя. Небольшая длина торпеды (3 м) позволяла размещать ее в фюзеляже за кабиной лет</w:t>
      </w:r>
      <w:r w:rsidRPr="002F2FDF">
        <w:rPr>
          <w:rFonts w:ascii="Times New Roman" w:hAnsi="Times New Roman" w:cs="Times New Roman"/>
          <w:color w:val="000000" w:themeColor="text1"/>
          <w:kern w:val="2"/>
          <w:sz w:val="16"/>
          <w:szCs w:val="16"/>
        </w:rPr>
        <w:softHyphen/>
        <w:t>чика. По замыслу конструкторов, торпеда перед сбрасыванием раскручи</w:t>
      </w:r>
      <w:r w:rsidRPr="002F2FDF">
        <w:rPr>
          <w:rFonts w:ascii="Times New Roman" w:hAnsi="Times New Roman" w:cs="Times New Roman"/>
          <w:color w:val="000000" w:themeColor="text1"/>
          <w:kern w:val="2"/>
          <w:sz w:val="16"/>
          <w:szCs w:val="16"/>
        </w:rPr>
        <w:softHyphen/>
        <w:t>валась относительно продольной оси через ременную передачу (11425).</w:t>
      </w:r>
    </w:p>
    <w:p w14:paraId="303AB58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53FB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августе-сентябре 1917 г. лейтенант Грузинов совершил на этой машине три довольно успешных полета продолжительностью до часа каждый. Работы по торпедоносцу АИС прекратили после расформирования станции. Этот аэроплан был одномоторным (с двигателем "Клерже" в 130 л.с.) с толкающим винтом и стоял на трех поплавках. Его создавали на Авиационной испытательной станции (АИС) на Крестовском острове там же, в Петрограде. Он нес в фюзеляже за кабиной летчика уже упоминавшуюся ранее оригинальной конструкции торпеду. Судьба опытного образца остается неизвестной (12002).</w:t>
      </w:r>
    </w:p>
    <w:p w14:paraId="4BF675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F9DA2C" w14:textId="3B1D63FD" w:rsidR="00F672F0" w:rsidRPr="002F2FDF" w:rsidRDefault="00F672F0" w:rsidP="0083075A">
      <w:pPr>
        <w:pStyle w:val="ae"/>
        <w:spacing w:before="0" w:after="0"/>
        <w:jc w:val="both"/>
        <w:rPr>
          <w:color w:val="000000" w:themeColor="text1"/>
          <w:kern w:val="2"/>
          <w:sz w:val="16"/>
          <w:szCs w:val="16"/>
        </w:rPr>
      </w:pPr>
      <w:r w:rsidRPr="002F2FDF">
        <w:rPr>
          <w:color w:val="000000" w:themeColor="text1"/>
          <w:kern w:val="2"/>
          <w:sz w:val="16"/>
          <w:szCs w:val="16"/>
        </w:rPr>
        <w:t>В августе—сентябре 1917</w:t>
      </w:r>
      <w:r w:rsidR="00E52569">
        <w:rPr>
          <w:color w:val="000000" w:themeColor="text1"/>
          <w:kern w:val="2"/>
          <w:sz w:val="16"/>
          <w:szCs w:val="16"/>
        </w:rPr>
        <w:t xml:space="preserve"> </w:t>
      </w:r>
      <w:r w:rsidRPr="002F2FDF">
        <w:rPr>
          <w:color w:val="000000" w:themeColor="text1"/>
          <w:kern w:val="2"/>
          <w:sz w:val="16"/>
          <w:szCs w:val="16"/>
        </w:rPr>
        <w:t>года Управление ВВФ пыталось увеличить свои штаты и получить официальный статус Главного управления. Наблюдался парадокс: авиация — в критическом состоянии, в авиационной промышленности — спад, а Увофлот заботится об увеличении своего штата. Совещание Временного правительства, проведённое 1</w:t>
      </w:r>
      <w:r w:rsidR="00E52569">
        <w:rPr>
          <w:color w:val="000000" w:themeColor="text1"/>
          <w:kern w:val="2"/>
          <w:sz w:val="16"/>
          <w:szCs w:val="16"/>
        </w:rPr>
        <w:t xml:space="preserve"> </w:t>
      </w:r>
      <w:r w:rsidRPr="002F2FDF">
        <w:rPr>
          <w:color w:val="000000" w:themeColor="text1"/>
          <w:kern w:val="2"/>
          <w:sz w:val="16"/>
          <w:szCs w:val="16"/>
        </w:rPr>
        <w:t>сентября 1917</w:t>
      </w:r>
      <w:r w:rsidR="00E52569">
        <w:rPr>
          <w:color w:val="000000" w:themeColor="text1"/>
          <w:kern w:val="2"/>
          <w:sz w:val="16"/>
          <w:szCs w:val="16"/>
        </w:rPr>
        <w:t xml:space="preserve"> </w:t>
      </w:r>
      <w:r w:rsidRPr="002F2FDF">
        <w:rPr>
          <w:color w:val="000000" w:themeColor="text1"/>
          <w:kern w:val="2"/>
          <w:sz w:val="16"/>
          <w:szCs w:val="16"/>
        </w:rPr>
        <w:t>года, в том числе и по этому вопросу, рекомендовало УВВФ доработать предложения о Главном управлении в плане подчинения Увофлоту ещё и гидроавиации. Вскоре начальник Увофлота направил Временному правительству новый доклад о Главном управлении ВВФ, однако он был рассмотрен только после Октябрьской революции.</w:t>
      </w:r>
    </w:p>
    <w:p w14:paraId="3433A4E0" w14:textId="77777777" w:rsidR="00F672F0" w:rsidRPr="002F2FDF" w:rsidRDefault="00F672F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48E584" w14:textId="77777777" w:rsidR="001B4BD6" w:rsidRPr="002F2FDF" w:rsidRDefault="001B4BD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399BF03" w14:textId="77777777" w:rsidR="001B4BD6" w:rsidRPr="002F2FDF" w:rsidRDefault="001B4BD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41A98F" w14:textId="77777777" w:rsidR="001B4BD6" w:rsidRPr="002F2FDF" w:rsidRDefault="001B4BD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августе – сентябре 1917 г. Управление ВВФ делает попытку увеличить свои штаты и получить официально статус Главного управления. Объективно это было не ко времени: авиация – в критическом состоянии, в авиационной промышленности – спад, а Увофлот заботится об увеличении своего штата. Совещание Временного правительства, проведенное 1 сентября 1917 г., в том числе и по этому вопросу, рекомендовало УВВФ доработать предложения о Главном Управлении в плане подчинения Увофлоту гидроавиации. Вскоре Временному правительству был направлен новый доклад о Главном УВВФ, однако он так и остался не рассмотренным до Октябрьской революции. В ноябре 1917 г. Увофлот, как тыловой орган авиации, стал выполнять поручения Советской власти по сохранению авиационного имущества, находящегося в тылу (19566).</w:t>
      </w:r>
    </w:p>
    <w:p w14:paraId="0E12BA21" w14:textId="77777777" w:rsidR="001B4BD6" w:rsidRPr="002F2FDF" w:rsidRDefault="001B4BD6" w:rsidP="0083075A">
      <w:pPr>
        <w:spacing w:after="0" w:line="240" w:lineRule="auto"/>
        <w:jc w:val="both"/>
        <w:rPr>
          <w:rFonts w:ascii="Times New Roman" w:hAnsi="Times New Roman" w:cs="Times New Roman"/>
          <w:color w:val="000000" w:themeColor="text1"/>
          <w:sz w:val="16"/>
          <w:szCs w:val="16"/>
        </w:rPr>
      </w:pPr>
    </w:p>
    <w:p w14:paraId="5DF821E2"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августе - октябре 1917 г. личный состав 1-й боевой авиагруппы (подполковник (с сентября 1917 г.) А.А. Козаков, ЮЗФ) совершил 509 боевых вылетов, проведя 116 воздушных боев. Было уничтожено три самолета противника и подбито еще пять, упавших на вражеской территории (23405).</w:t>
      </w:r>
    </w:p>
    <w:p w14:paraId="1338CDAC" w14:textId="77777777" w:rsidR="007E6D50" w:rsidRPr="00FB4F67" w:rsidRDefault="007E6D50" w:rsidP="0083075A">
      <w:pPr>
        <w:spacing w:after="0" w:line="240" w:lineRule="auto"/>
        <w:jc w:val="both"/>
        <w:rPr>
          <w:rFonts w:ascii="Times New Roman" w:hAnsi="Times New Roman" w:cs="Times New Roman"/>
          <w:color w:val="0070C0"/>
          <w:sz w:val="16"/>
          <w:szCs w:val="16"/>
        </w:rPr>
      </w:pPr>
    </w:p>
    <w:p w14:paraId="7F7B3C08" w14:textId="77777777" w:rsidR="00221BF0" w:rsidRPr="002F2FDF" w:rsidRDefault="00221BF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5BAFA04" w14:textId="77777777" w:rsidR="00221BF0" w:rsidRPr="002F2FDF" w:rsidRDefault="00221BF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162FB6" w14:textId="77777777" w:rsidR="00221BF0" w:rsidRPr="002F2FDF" w:rsidRDefault="00221BF0" w:rsidP="0083075A">
      <w:pPr>
        <w:pStyle w:val="a3"/>
        <w:rPr>
          <w:color w:val="000000" w:themeColor="text1"/>
          <w:lang w:val="ru-RU"/>
        </w:rPr>
      </w:pPr>
      <w:r w:rsidRPr="002F2FDF">
        <w:rPr>
          <w:color w:val="000000" w:themeColor="text1"/>
          <w:lang w:val="ru-RU"/>
        </w:rPr>
        <w:t>В августе - сентябре 1917 в связи с реализацией урожая, темп роста цен несколько отстает от темпа эмиссии, в октябре цены вновь поднялись в среднем на 37%, эмиссия выросла на 11,4%.5 Падение курса рубля сокращало реальную зарплату рабочих и служащих. Временное правительство делало попытки регулирования цен и распределения некоторых товаров. Но на деле в этой области наблюдалась полная бессистемность, что приводило к огромным разрывам в заготовительных ценах, с одной стороны, и розничных, с другой. Это вызывало резкое недовольство населения.6 Попытки связать свободные средства, накопившиеся в стране, с помощью "Займа Свободы" большого эффекта не дали (18085).</w:t>
      </w:r>
    </w:p>
    <w:p w14:paraId="2B31452A" w14:textId="77777777" w:rsidR="00221BF0" w:rsidRPr="002F2FDF" w:rsidRDefault="00221BF0" w:rsidP="0083075A">
      <w:pPr>
        <w:pStyle w:val="a3"/>
        <w:rPr>
          <w:color w:val="000000" w:themeColor="text1"/>
          <w:lang w:val="ru-RU"/>
        </w:rPr>
      </w:pPr>
    </w:p>
    <w:p w14:paraId="1C37334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CB5F3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3E3A47"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shd w:val="clear" w:color="auto" w:fill="FFFFFF"/>
        </w:rPr>
        <w:t>В конце лета 1917 года LZ-120 погрузил на борт семь тонн бомб и взял курс на Петроград. Однако планы вновь нарушила погода. Шторм над Финским заливом и на этот раз помешал немцам атаковать Питер (22785).</w:t>
      </w:r>
      <w:bookmarkStart w:id="293" w:name="cutid1-end"/>
      <w:bookmarkEnd w:id="293"/>
    </w:p>
    <w:p w14:paraId="154E85BF"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p>
    <w:p w14:paraId="3B51C3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лета - начале осени 1917 на Черноморском театре осуще</w:t>
      </w:r>
      <w:r w:rsidRPr="002F2FDF">
        <w:rPr>
          <w:rFonts w:ascii="Times New Roman" w:hAnsi="Times New Roman" w:cs="Times New Roman"/>
          <w:color w:val="000000" w:themeColor="text1"/>
          <w:kern w:val="2"/>
          <w:sz w:val="16"/>
          <w:szCs w:val="16"/>
        </w:rPr>
        <w:softHyphen/>
        <w:t>ствлялись военные перевозки в интересах Кавказского фронта. Поиском подводных лодок противника и ведением разведки занимались летчики 5-го дивизиона. На воздушных станциях в Сухуме, Батуме, Платане имелось по 4 гидроаэроплана, на воздушных постах в Трапезунде и Ризе - по 2 колесных аэро</w:t>
      </w:r>
      <w:r w:rsidRPr="002F2FDF">
        <w:rPr>
          <w:rFonts w:ascii="Times New Roman" w:hAnsi="Times New Roman" w:cs="Times New Roman"/>
          <w:color w:val="000000" w:themeColor="text1"/>
          <w:kern w:val="2"/>
          <w:sz w:val="16"/>
          <w:szCs w:val="16"/>
        </w:rPr>
        <w:softHyphen/>
        <w:t>плана (11283).</w:t>
      </w:r>
    </w:p>
    <w:p w14:paraId="4ACBEA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EB90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лета 1917 года в Ставке было собрано совещание представителей разведки фронтов и выработано &lt;Наставление по организации разведывательной службы в действующей армии&gt; (7559).</w:t>
      </w:r>
    </w:p>
    <w:p w14:paraId="670377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15949A" w14:textId="77777777" w:rsidR="00797A02" w:rsidRPr="002F2FDF" w:rsidRDefault="00797A0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DF29B3A" w14:textId="77777777" w:rsidR="00797A02" w:rsidRPr="002F2FDF" w:rsidRDefault="00797A0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684F10"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конце лета — в начале осени 1917 г. прошли официальные испытания Ньюпор 28. Сило</w:t>
      </w:r>
      <w:r w:rsidRPr="002F2FDF">
        <w:rPr>
          <w:rFonts w:ascii="Times New Roman" w:hAnsi="Times New Roman" w:cs="Times New Roman"/>
          <w:color w:val="000000" w:themeColor="text1"/>
          <w:sz w:val="16"/>
          <w:szCs w:val="16"/>
        </w:rPr>
        <w:softHyphen/>
        <w:t>вая установка работала ненадежно — мотор перегревался, топливо посту</w:t>
      </w:r>
      <w:r w:rsidRPr="002F2FDF">
        <w:rPr>
          <w:rFonts w:ascii="Times New Roman" w:hAnsi="Times New Roman" w:cs="Times New Roman"/>
          <w:color w:val="000000" w:themeColor="text1"/>
          <w:sz w:val="16"/>
          <w:szCs w:val="16"/>
        </w:rPr>
        <w:softHyphen/>
        <w:t>пало с перебоями, доступ ктоплив- ному и масляному насосам для ремонта и обслуживания оказался неудобен. Расход бензина был велик, и его запас не обеспечивал заданной продолжи</w:t>
      </w:r>
      <w:r w:rsidRPr="002F2FDF">
        <w:rPr>
          <w:rFonts w:ascii="Times New Roman" w:hAnsi="Times New Roman" w:cs="Times New Roman"/>
          <w:color w:val="000000" w:themeColor="text1"/>
          <w:sz w:val="16"/>
          <w:szCs w:val="16"/>
        </w:rPr>
        <w:softHyphen/>
        <w:t>тельности полета. Продольная и курсо</w:t>
      </w:r>
      <w:r w:rsidRPr="002F2FDF">
        <w:rPr>
          <w:rFonts w:ascii="Times New Roman" w:hAnsi="Times New Roman" w:cs="Times New Roman"/>
          <w:color w:val="000000" w:themeColor="text1"/>
          <w:sz w:val="16"/>
          <w:szCs w:val="16"/>
        </w:rPr>
        <w:softHyphen/>
        <w:t>вая устойчивость самолета была избы</w:t>
      </w:r>
      <w:r w:rsidRPr="002F2FDF">
        <w:rPr>
          <w:rFonts w:ascii="Times New Roman" w:hAnsi="Times New Roman" w:cs="Times New Roman"/>
          <w:color w:val="000000" w:themeColor="text1"/>
          <w:sz w:val="16"/>
          <w:szCs w:val="16"/>
        </w:rPr>
        <w:softHyphen/>
        <w:t>точной, а маневренность — недоста</w:t>
      </w:r>
      <w:r w:rsidRPr="002F2FDF">
        <w:rPr>
          <w:rFonts w:ascii="Times New Roman" w:hAnsi="Times New Roman" w:cs="Times New Roman"/>
          <w:color w:val="000000" w:themeColor="text1"/>
          <w:sz w:val="16"/>
          <w:szCs w:val="16"/>
        </w:rPr>
        <w:softHyphen/>
        <w:t>точна. Жесткости бипланной коробки не хватало, и она вибрировала, хотя и не ломалась. Вооружение из одного синхронного пулемета сочли слабым. Обзор из кабины выше линии визиро</w:t>
      </w:r>
      <w:r w:rsidRPr="002F2FDF">
        <w:rPr>
          <w:rFonts w:ascii="Times New Roman" w:hAnsi="Times New Roman" w:cs="Times New Roman"/>
          <w:color w:val="000000" w:themeColor="text1"/>
          <w:sz w:val="16"/>
          <w:szCs w:val="16"/>
        </w:rPr>
        <w:softHyphen/>
        <w:t>вания, что нужно при атаке самолета противника снизу, загораживало рас</w:t>
      </w:r>
      <w:r w:rsidRPr="002F2FDF">
        <w:rPr>
          <w:rFonts w:ascii="Times New Roman" w:hAnsi="Times New Roman" w:cs="Times New Roman"/>
          <w:color w:val="000000" w:themeColor="text1"/>
          <w:sz w:val="16"/>
          <w:szCs w:val="16"/>
        </w:rPr>
        <w:softHyphen/>
        <w:t>положенное близко к фюзеляжу верх</w:t>
      </w:r>
      <w:r w:rsidRPr="002F2FDF">
        <w:rPr>
          <w:rFonts w:ascii="Times New Roman" w:hAnsi="Times New Roman" w:cs="Times New Roman"/>
          <w:color w:val="000000" w:themeColor="text1"/>
          <w:sz w:val="16"/>
          <w:szCs w:val="16"/>
        </w:rPr>
        <w:softHyphen/>
        <w:t>нее крыло. На смещенном в бок пуле</w:t>
      </w:r>
      <w:r w:rsidRPr="002F2FDF">
        <w:rPr>
          <w:rFonts w:ascii="Times New Roman" w:hAnsi="Times New Roman" w:cs="Times New Roman"/>
          <w:color w:val="000000" w:themeColor="text1"/>
          <w:sz w:val="16"/>
          <w:szCs w:val="16"/>
        </w:rPr>
        <w:softHyphen/>
        <w:t>мете штатный его прицел использо</w:t>
      </w:r>
      <w:r w:rsidRPr="002F2FDF">
        <w:rPr>
          <w:rFonts w:ascii="Times New Roman" w:hAnsi="Times New Roman" w:cs="Times New Roman"/>
          <w:color w:val="000000" w:themeColor="text1"/>
          <w:sz w:val="16"/>
          <w:szCs w:val="16"/>
        </w:rPr>
        <w:softHyphen/>
        <w:t>вать не получалось, а специального не было, гильзы и звенья падали на ниж</w:t>
      </w:r>
      <w:r w:rsidRPr="002F2FDF">
        <w:rPr>
          <w:rFonts w:ascii="Times New Roman" w:hAnsi="Times New Roman" w:cs="Times New Roman"/>
          <w:color w:val="000000" w:themeColor="text1"/>
          <w:sz w:val="16"/>
          <w:szCs w:val="16"/>
        </w:rPr>
        <w:softHyphen/>
        <w:t>нее крыло, а летчик в полете все равно не мог дотянуться до лентоприемника для устранения перекоса.</w:t>
      </w:r>
    </w:p>
    <w:p w14:paraId="5BADF2BA"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Самолет французские военные забра</w:t>
      </w:r>
      <w:r w:rsidRPr="002F2FDF">
        <w:rPr>
          <w:rFonts w:ascii="Times New Roman" w:hAnsi="Times New Roman" w:cs="Times New Roman"/>
          <w:color w:val="000000" w:themeColor="text1"/>
          <w:sz w:val="16"/>
          <w:szCs w:val="16"/>
        </w:rPr>
        <w:softHyphen/>
        <w:t>ковали, выразив лишь «некоторую заинтересованность» в его доводке, да и то при условии, если фирма будет вести ее отчасти за свой счет.</w:t>
      </w:r>
    </w:p>
    <w:p w14:paraId="3B45A236"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Для Деляжа это был неприятный удар по репутации, и он с трудом уго</w:t>
      </w:r>
      <w:r w:rsidRPr="002F2FDF">
        <w:rPr>
          <w:rFonts w:ascii="Times New Roman" w:hAnsi="Times New Roman" w:cs="Times New Roman"/>
          <w:color w:val="000000" w:themeColor="text1"/>
          <w:sz w:val="16"/>
          <w:szCs w:val="16"/>
        </w:rPr>
        <w:softHyphen/>
        <w:t>ворил дирекцию построить еще три опытных образца, каждый из кото</w:t>
      </w:r>
      <w:r w:rsidRPr="002F2FDF">
        <w:rPr>
          <w:rFonts w:ascii="Times New Roman" w:hAnsi="Times New Roman" w:cs="Times New Roman"/>
          <w:color w:val="000000" w:themeColor="text1"/>
          <w:sz w:val="16"/>
          <w:szCs w:val="16"/>
        </w:rPr>
        <w:softHyphen/>
        <w:t>рых получал свои значительные отли</w:t>
      </w:r>
      <w:r w:rsidRPr="002F2FDF">
        <w:rPr>
          <w:rFonts w:ascii="Times New Roman" w:hAnsi="Times New Roman" w:cs="Times New Roman"/>
          <w:color w:val="000000" w:themeColor="text1"/>
          <w:sz w:val="16"/>
          <w:szCs w:val="16"/>
        </w:rPr>
        <w:softHyphen/>
        <w:t>чия. Но и этой большой работы, про</w:t>
      </w:r>
      <w:r w:rsidRPr="002F2FDF">
        <w:rPr>
          <w:rFonts w:ascii="Times New Roman" w:hAnsi="Times New Roman" w:cs="Times New Roman"/>
          <w:color w:val="000000" w:themeColor="text1"/>
          <w:sz w:val="16"/>
          <w:szCs w:val="16"/>
        </w:rPr>
        <w:softHyphen/>
        <w:t>должавшейся почти полгода, оказа</w:t>
      </w:r>
      <w:r w:rsidRPr="002F2FDF">
        <w:rPr>
          <w:rFonts w:ascii="Times New Roman" w:hAnsi="Times New Roman" w:cs="Times New Roman"/>
          <w:color w:val="000000" w:themeColor="text1"/>
          <w:sz w:val="16"/>
          <w:szCs w:val="16"/>
        </w:rPr>
        <w:softHyphen/>
        <w:t>лось недостаточно, и когда под новый 1918 г. контракт все же удалось полу</w:t>
      </w:r>
      <w:r w:rsidRPr="002F2FDF">
        <w:rPr>
          <w:rFonts w:ascii="Times New Roman" w:hAnsi="Times New Roman" w:cs="Times New Roman"/>
          <w:color w:val="000000" w:themeColor="text1"/>
          <w:sz w:val="16"/>
          <w:szCs w:val="16"/>
        </w:rPr>
        <w:softHyphen/>
        <w:t>чить, серийные чертежи снова при</w:t>
      </w:r>
      <w:r w:rsidRPr="002F2FDF">
        <w:rPr>
          <w:rFonts w:ascii="Times New Roman" w:hAnsi="Times New Roman" w:cs="Times New Roman"/>
          <w:color w:val="000000" w:themeColor="text1"/>
          <w:sz w:val="16"/>
          <w:szCs w:val="16"/>
        </w:rPr>
        <w:softHyphen/>
        <w:t>шлось переделывать.</w:t>
      </w:r>
    </w:p>
    <w:p w14:paraId="796CC6E2"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 заказ этот был не от своего Воен</w:t>
      </w:r>
      <w:r w:rsidRPr="002F2FDF">
        <w:rPr>
          <w:rFonts w:ascii="Times New Roman" w:hAnsi="Times New Roman" w:cs="Times New Roman"/>
          <w:color w:val="000000" w:themeColor="text1"/>
          <w:sz w:val="16"/>
          <w:szCs w:val="16"/>
        </w:rPr>
        <w:softHyphen/>
        <w:t>ного министерства, а от Соединен</w:t>
      </w:r>
      <w:r w:rsidRPr="002F2FDF">
        <w:rPr>
          <w:rFonts w:ascii="Times New Roman" w:hAnsi="Times New Roman" w:cs="Times New Roman"/>
          <w:color w:val="000000" w:themeColor="text1"/>
          <w:sz w:val="16"/>
          <w:szCs w:val="16"/>
        </w:rPr>
        <w:softHyphen/>
        <w:t>ных Штатов, купивших 300 самоле</w:t>
      </w:r>
      <w:r w:rsidRPr="002F2FDF">
        <w:rPr>
          <w:rFonts w:ascii="Times New Roman" w:hAnsi="Times New Roman" w:cs="Times New Roman"/>
          <w:color w:val="000000" w:themeColor="text1"/>
          <w:sz w:val="16"/>
          <w:szCs w:val="16"/>
        </w:rPr>
        <w:softHyphen/>
        <w:t>тов без пулеметов по 18 500 долларов за штуку для перевооружения истре</w:t>
      </w:r>
      <w:r w:rsidRPr="002F2FDF">
        <w:rPr>
          <w:rFonts w:ascii="Times New Roman" w:hAnsi="Times New Roman" w:cs="Times New Roman"/>
          <w:color w:val="000000" w:themeColor="text1"/>
          <w:sz w:val="16"/>
          <w:szCs w:val="16"/>
        </w:rPr>
        <w:softHyphen/>
        <w:t>бительных эскадрилий Американских сил в Европе (AFE). Многие их пилоты учились на «Ньюпорах» старых типов, и командованию показалось логич</w:t>
      </w:r>
      <w:r w:rsidRPr="002F2FDF">
        <w:rPr>
          <w:rFonts w:ascii="Times New Roman" w:hAnsi="Times New Roman" w:cs="Times New Roman"/>
          <w:color w:val="000000" w:themeColor="text1"/>
          <w:sz w:val="16"/>
          <w:szCs w:val="16"/>
        </w:rPr>
        <w:softHyphen/>
        <w:t>ным «коней на переправе не менять». Но так получилось, что лишь нем</w:t>
      </w:r>
      <w:r w:rsidRPr="002F2FDF">
        <w:rPr>
          <w:rFonts w:ascii="Times New Roman" w:hAnsi="Times New Roman" w:cs="Times New Roman"/>
          <w:color w:val="000000" w:themeColor="text1"/>
          <w:sz w:val="16"/>
          <w:szCs w:val="16"/>
        </w:rPr>
        <w:softHyphen/>
        <w:t>ногие из первых командированных для освоения нового истребителя янки раньше на «Ньюпорах» летали действительно (22876).</w:t>
      </w:r>
    </w:p>
    <w:p w14:paraId="5D16C110" w14:textId="77777777" w:rsidR="00797A02" w:rsidRPr="002F2FDF" w:rsidRDefault="00797A02" w:rsidP="0083075A">
      <w:pPr>
        <w:spacing w:after="0" w:line="240" w:lineRule="auto"/>
        <w:jc w:val="both"/>
        <w:rPr>
          <w:rFonts w:ascii="Times New Roman" w:hAnsi="Times New Roman" w:cs="Times New Roman"/>
          <w:color w:val="000000" w:themeColor="text1"/>
          <w:sz w:val="16"/>
          <w:szCs w:val="16"/>
        </w:rPr>
      </w:pPr>
    </w:p>
    <w:p w14:paraId="0B141AD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D55A9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4FC5D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сентябрю 1917 г. Автомобильно-экипажные починочные мастерские обще</w:t>
      </w:r>
      <w:r w:rsidRPr="002F2FDF">
        <w:rPr>
          <w:rFonts w:ascii="Times New Roman" w:hAnsi="Times New Roman" w:cs="Times New Roman"/>
          <w:color w:val="000000" w:themeColor="text1"/>
          <w:kern w:val="2"/>
          <w:sz w:val="16"/>
          <w:szCs w:val="16"/>
        </w:rPr>
        <w:softHyphen/>
        <w:t>ства «Русский Рено» в Петрограде (так после начала Первой мировой войны стал именоваться Санкт-Петербург), которые начали собирать из привоз</w:t>
      </w:r>
      <w:r w:rsidRPr="002F2FDF">
        <w:rPr>
          <w:rFonts w:ascii="Times New Roman" w:hAnsi="Times New Roman" w:cs="Times New Roman"/>
          <w:color w:val="000000" w:themeColor="text1"/>
          <w:kern w:val="2"/>
          <w:sz w:val="16"/>
          <w:szCs w:val="16"/>
        </w:rPr>
        <w:softHyphen/>
        <w:t>ных деталей У-образные моторы водяного охлаждения Рено \УС мощно</w:t>
      </w:r>
      <w:r w:rsidRPr="002F2FDF">
        <w:rPr>
          <w:rFonts w:ascii="Times New Roman" w:hAnsi="Times New Roman" w:cs="Times New Roman"/>
          <w:color w:val="000000" w:themeColor="text1"/>
          <w:kern w:val="2"/>
          <w:sz w:val="16"/>
          <w:szCs w:val="16"/>
        </w:rPr>
        <w:softHyphen/>
        <w:t>стью 220 л.с., изготовили 98 двигателей из партии в 150 штук, заказанной Военным ведомством. В дальнейшем хотели перейти на выпуск усовершенствованной модификации с алюминиевыми поршня</w:t>
      </w:r>
      <w:r w:rsidRPr="002F2FDF">
        <w:rPr>
          <w:rFonts w:ascii="Times New Roman" w:hAnsi="Times New Roman" w:cs="Times New Roman"/>
          <w:color w:val="000000" w:themeColor="text1"/>
          <w:kern w:val="2"/>
          <w:sz w:val="16"/>
          <w:szCs w:val="16"/>
        </w:rPr>
        <w:softHyphen/>
        <w:t>ми (вместо чугунных) с доведением мощности до 280 л.с. После начала Первой мировой войны в авиамоторное производство вклю</w:t>
      </w:r>
      <w:r w:rsidRPr="002F2FDF">
        <w:rPr>
          <w:rFonts w:ascii="Times New Roman" w:hAnsi="Times New Roman" w:cs="Times New Roman"/>
          <w:color w:val="000000" w:themeColor="text1"/>
          <w:kern w:val="2"/>
          <w:sz w:val="16"/>
          <w:szCs w:val="16"/>
        </w:rPr>
        <w:softHyphen/>
        <w:t>чился Русско-Балтийский вагонный завод (РБВЗ). Это была крупная фирма, специализировавшаяся на транспортном машиностроении. Она располагала несколькими заводами в Риге и Петрограде, которые строили не только ва</w:t>
      </w:r>
      <w:r w:rsidRPr="002F2FDF">
        <w:rPr>
          <w:rFonts w:ascii="Times New Roman" w:hAnsi="Times New Roman" w:cs="Times New Roman"/>
          <w:color w:val="000000" w:themeColor="text1"/>
          <w:kern w:val="2"/>
          <w:sz w:val="16"/>
          <w:szCs w:val="16"/>
        </w:rPr>
        <w:softHyphen/>
        <w:t>гоны, но и автомобили и самолеты. В список продукции РБВЗ входили лег</w:t>
      </w:r>
      <w:r w:rsidRPr="002F2FDF">
        <w:rPr>
          <w:rFonts w:ascii="Times New Roman" w:hAnsi="Times New Roman" w:cs="Times New Roman"/>
          <w:color w:val="000000" w:themeColor="text1"/>
          <w:kern w:val="2"/>
          <w:sz w:val="16"/>
          <w:szCs w:val="16"/>
        </w:rPr>
        <w:softHyphen/>
        <w:t>ковые и грузовые автомобили «Руссобалт» и знаменитые бомбардировщики «Илья Муромец». Двигатели для автомобилей делал завод РБВЗ в Риге, а авиамоторы «Аргус» для «Муромцев» импортировали из Германии. Когда немцы и русские стали противниками, ввоз «Аргусов» прекратился. Необходимо было найти альтернативную мотоустановку для «Муромца». Осе</w:t>
      </w:r>
      <w:r w:rsidRPr="002F2FDF">
        <w:rPr>
          <w:rFonts w:ascii="Times New Roman" w:hAnsi="Times New Roman" w:cs="Times New Roman"/>
          <w:color w:val="000000" w:themeColor="text1"/>
          <w:kern w:val="2"/>
          <w:sz w:val="16"/>
          <w:szCs w:val="16"/>
        </w:rPr>
        <w:softHyphen/>
        <w:t>нью 1914 г. председатель правления РБВЗ М.В. Шидловский объявил конкурс на создание отечественного авиамотора, который мог бы заменить «Аргус». В конкурсе участвовали две группы. Одна, руководимая В.В. Киреевым, работала на заводе РБВЗ в Риге, другая, подчинявшаяся непосредственно И.И. Сикорскому, — на Механическом заводе РБВЗ в Петрограде. Мотор Сикорского, названный МРБ-6 («Мотор Русско-Балтийский-6»), ко</w:t>
      </w:r>
      <w:r w:rsidRPr="002F2FDF">
        <w:rPr>
          <w:rFonts w:ascii="Times New Roman" w:hAnsi="Times New Roman" w:cs="Times New Roman"/>
          <w:color w:val="000000" w:themeColor="text1"/>
          <w:kern w:val="2"/>
          <w:sz w:val="16"/>
          <w:szCs w:val="16"/>
        </w:rPr>
        <w:softHyphen/>
        <w:t>пировал «Аргус» в 140 л.с. Двигатель РБВЗ-6 Киреева основывался на кон</w:t>
      </w:r>
      <w:r w:rsidRPr="002F2FDF">
        <w:rPr>
          <w:rFonts w:ascii="Times New Roman" w:hAnsi="Times New Roman" w:cs="Times New Roman"/>
          <w:color w:val="000000" w:themeColor="text1"/>
          <w:kern w:val="2"/>
          <w:sz w:val="16"/>
          <w:szCs w:val="16"/>
        </w:rPr>
        <w:softHyphen/>
        <w:t>струкции мотора «Бенц» в 150 л.с. Оба они являлись 6-цилиндровыми ряд</w:t>
      </w:r>
      <w:r w:rsidRPr="002F2FDF">
        <w:rPr>
          <w:rFonts w:ascii="Times New Roman" w:hAnsi="Times New Roman" w:cs="Times New Roman"/>
          <w:color w:val="000000" w:themeColor="text1"/>
          <w:kern w:val="2"/>
          <w:sz w:val="16"/>
          <w:szCs w:val="16"/>
        </w:rPr>
        <w:softHyphen/>
        <w:t>ными двигателями водяного охлаждения. Но ни МРБ-6, ни РБВЗ-6 не были точными копиями своих прототипов, а приспосабливались к имеющимся в России материалам и оборудованию, а также комплектующим агрегатам. Мотор Киреева признали лучшим и готовили его серийное производ</w:t>
      </w:r>
      <w:r w:rsidRPr="002F2FDF">
        <w:rPr>
          <w:rFonts w:ascii="Times New Roman" w:hAnsi="Times New Roman" w:cs="Times New Roman"/>
          <w:color w:val="000000" w:themeColor="text1"/>
          <w:kern w:val="2"/>
          <w:sz w:val="16"/>
          <w:szCs w:val="16"/>
        </w:rPr>
        <w:softHyphen/>
        <w:t>ство в Риге. Там успели построить первые пять экземпляров, фактически опытных. Но сдача Риги немцам в 1915 г. привела к эвакуации завода в Петроград. Часть оборудования при этом бросили на старом месте. Поезда со станками мешали воинским эшелонам, идущим к фронту, и вагоны сбрасывали под откос. Завод фактически перестал существовать. Поэтому двигатель МРБ-6 запустили в производство на Механическом заводе в Петрограде как временный тип до налаживания массового вы</w:t>
      </w:r>
      <w:r w:rsidRPr="002F2FDF">
        <w:rPr>
          <w:rFonts w:ascii="Times New Roman" w:hAnsi="Times New Roman" w:cs="Times New Roman"/>
          <w:color w:val="000000" w:themeColor="text1"/>
          <w:kern w:val="2"/>
          <w:sz w:val="16"/>
          <w:szCs w:val="16"/>
        </w:rPr>
        <w:softHyphen/>
        <w:t>пуска РБВЗ-6. Заказали в общей сложности 68 МРБ-6. К августу 1917 г. собрали 34 двигателя. Всего их изготовили около 40 штук. МРБ-6 был немного легче и короче РБВЗ-6, но имел меньшую мощ</w:t>
      </w:r>
      <w:r w:rsidRPr="002F2FDF">
        <w:rPr>
          <w:rFonts w:ascii="Times New Roman" w:hAnsi="Times New Roman" w:cs="Times New Roman"/>
          <w:color w:val="000000" w:themeColor="text1"/>
          <w:kern w:val="2"/>
          <w:sz w:val="16"/>
          <w:szCs w:val="16"/>
        </w:rPr>
        <w:softHyphen/>
        <w:t>ность и низкую надежность. Кроме того, Механический завод с трудом укладывался в параметры утвержденных Военным ведомством техниче</w:t>
      </w:r>
      <w:r w:rsidRPr="002F2FDF">
        <w:rPr>
          <w:rFonts w:ascii="Times New Roman" w:hAnsi="Times New Roman" w:cs="Times New Roman"/>
          <w:color w:val="000000" w:themeColor="text1"/>
          <w:kern w:val="2"/>
          <w:sz w:val="16"/>
          <w:szCs w:val="16"/>
        </w:rPr>
        <w:softHyphen/>
        <w:t>ских условий по весу и мощности. Для организации производства РБВЗ-6 в Петрограде специально созда</w:t>
      </w:r>
      <w:r w:rsidRPr="002F2FDF">
        <w:rPr>
          <w:rFonts w:ascii="Times New Roman" w:hAnsi="Times New Roman" w:cs="Times New Roman"/>
          <w:color w:val="000000" w:themeColor="text1"/>
          <w:kern w:val="2"/>
          <w:sz w:val="16"/>
          <w:szCs w:val="16"/>
        </w:rPr>
        <w:softHyphen/>
        <w:t>ли на арендованной территории бывших винных складов Моторный за</w:t>
      </w:r>
      <w:r w:rsidRPr="002F2FDF">
        <w:rPr>
          <w:rFonts w:ascii="Times New Roman" w:hAnsi="Times New Roman" w:cs="Times New Roman"/>
          <w:color w:val="000000" w:themeColor="text1"/>
          <w:kern w:val="2"/>
          <w:sz w:val="16"/>
          <w:szCs w:val="16"/>
        </w:rPr>
        <w:softHyphen/>
        <w:t>вод РБВЗ. Основой его стали люди и оборудование, вывезенное из Риги. В июле 1916 г. на Моторном заводе сделали еще одну пробную партию из пяти двигателей, а затем начали выполнение заказа Управления воз</w:t>
      </w:r>
      <w:r w:rsidRPr="002F2FDF">
        <w:rPr>
          <w:rFonts w:ascii="Times New Roman" w:hAnsi="Times New Roman" w:cs="Times New Roman"/>
          <w:color w:val="000000" w:themeColor="text1"/>
          <w:kern w:val="2"/>
          <w:sz w:val="16"/>
          <w:szCs w:val="16"/>
        </w:rPr>
        <w:softHyphen/>
        <w:t xml:space="preserve">душного флота. В марте </w:t>
      </w:r>
      <w:r w:rsidRPr="002F2FDF">
        <w:rPr>
          <w:rFonts w:ascii="Times New Roman" w:hAnsi="Times New Roman" w:cs="Times New Roman"/>
          <w:color w:val="000000" w:themeColor="text1"/>
          <w:kern w:val="2"/>
          <w:sz w:val="16"/>
          <w:szCs w:val="16"/>
        </w:rPr>
        <w:lastRenderedPageBreak/>
        <w:t>1917 г. было готово 25 штук, в сентябре — 39. Всего в Петрограде изготовили 45 РБВЗ-6. Эти моторы имели хорошую репутацию у механиков Эскадры воздушных кораблей (соединения тяже</w:t>
      </w:r>
      <w:r w:rsidRPr="002F2FDF">
        <w:rPr>
          <w:rFonts w:ascii="Times New Roman" w:hAnsi="Times New Roman" w:cs="Times New Roman"/>
          <w:color w:val="000000" w:themeColor="text1"/>
          <w:kern w:val="2"/>
          <w:sz w:val="16"/>
          <w:szCs w:val="16"/>
        </w:rPr>
        <w:softHyphen/>
        <w:t>лых бомбардировщиков «Илья Муромец»), называвших их «Руссобалт» (11852).</w:t>
      </w:r>
    </w:p>
    <w:p w14:paraId="61653CD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DAFFD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03965D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9D75F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сентябрю 1917 г. за счет реквизиции у частных заводов и частично за счет покупки за границей непрерывно шло пополнение станочного парка Петроградского трубочного завода, который включал 4 220 станков и по сравнению с июнем 1914 г. увеличился в 2 раза. Была организована подготовка квалифи</w:t>
      </w:r>
      <w:r w:rsidRPr="002F2FDF">
        <w:rPr>
          <w:rFonts w:ascii="Times New Roman" w:hAnsi="Times New Roman" w:cs="Times New Roman"/>
          <w:color w:val="000000" w:themeColor="text1"/>
          <w:kern w:val="2"/>
          <w:sz w:val="16"/>
          <w:szCs w:val="16"/>
        </w:rPr>
        <w:softHyphen/>
        <w:t>цированных рабочих непосредственно на заводе. По ходатайству ГАУ квалифицированных рабочих освобождали от призыва в армию. С мая 1916 г. на завод стали прибывать солдаты, имевшие нужные заводу специальности.</w:t>
      </w:r>
    </w:p>
    <w:p w14:paraId="45C3085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январю 1917 г. число рабочих на заводе увеличилось по сравне</w:t>
      </w:r>
      <w:r w:rsidRPr="002F2FDF">
        <w:rPr>
          <w:rFonts w:ascii="Times New Roman" w:hAnsi="Times New Roman" w:cs="Times New Roman"/>
          <w:color w:val="000000" w:themeColor="text1"/>
          <w:kern w:val="2"/>
          <w:sz w:val="16"/>
          <w:szCs w:val="16"/>
        </w:rPr>
        <w:softHyphen/>
        <w:t>нию с довоенным в 2,7 раза и достигло 18 500 человек, в том числе 5 650 женщин. Для повышения производительности труда были уве</w:t>
      </w:r>
      <w:r w:rsidRPr="002F2FDF">
        <w:rPr>
          <w:rFonts w:ascii="Times New Roman" w:hAnsi="Times New Roman" w:cs="Times New Roman"/>
          <w:color w:val="000000" w:themeColor="text1"/>
          <w:kern w:val="2"/>
          <w:sz w:val="16"/>
          <w:szCs w:val="16"/>
        </w:rPr>
        <w:softHyphen/>
        <w:t>личены скорости резания и подачи на токарных и други\ металлоре</w:t>
      </w:r>
      <w:r w:rsidRPr="002F2FDF">
        <w:rPr>
          <w:rFonts w:ascii="Times New Roman" w:hAnsi="Times New Roman" w:cs="Times New Roman"/>
          <w:color w:val="000000" w:themeColor="text1"/>
          <w:kern w:val="2"/>
          <w:sz w:val="16"/>
          <w:szCs w:val="16"/>
        </w:rPr>
        <w:softHyphen/>
        <w:t>жущих станках, а также рабочие скорости на прокатных и протяж</w:t>
      </w:r>
      <w:r w:rsidRPr="002F2FDF">
        <w:rPr>
          <w:rFonts w:ascii="Times New Roman" w:hAnsi="Times New Roman" w:cs="Times New Roman"/>
          <w:color w:val="000000" w:themeColor="text1"/>
          <w:kern w:val="2"/>
          <w:sz w:val="16"/>
          <w:szCs w:val="16"/>
        </w:rPr>
        <w:softHyphen/>
        <w:t>ных станках.</w:t>
      </w:r>
    </w:p>
    <w:p w14:paraId="66234D9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Были упрощены условия приема готовых изделий.</w:t>
      </w:r>
    </w:p>
    <w:p w14:paraId="73637F5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это позволило резко увеличить выпуск продукции. Так, через год после расширения завода — в 1916 г. — он превысил довоенный уровень выпуска в несколько раз. Например, выпуск 22-секундных трубок в 1916 г. увеличился по сравнению с 1914 г. в 67 раз.</w:t>
      </w:r>
    </w:p>
    <w:p w14:paraId="4B198B1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данным В. И. Рдултовского, в 1916 г. Петроградский трубоч</w:t>
      </w:r>
      <w:r w:rsidRPr="002F2FDF">
        <w:rPr>
          <w:rFonts w:ascii="Times New Roman" w:hAnsi="Times New Roman" w:cs="Times New Roman"/>
          <w:color w:val="000000" w:themeColor="text1"/>
          <w:kern w:val="2"/>
          <w:sz w:val="16"/>
          <w:szCs w:val="16"/>
        </w:rPr>
        <w:softHyphen/>
        <w:t>ный завод изготовлял в сутки: около 25 000 22-секундных дистанци</w:t>
      </w:r>
      <w:r w:rsidRPr="002F2FDF">
        <w:rPr>
          <w:rFonts w:ascii="Times New Roman" w:hAnsi="Times New Roman" w:cs="Times New Roman"/>
          <w:color w:val="000000" w:themeColor="text1"/>
          <w:kern w:val="2"/>
          <w:sz w:val="16"/>
          <w:szCs w:val="16"/>
        </w:rPr>
        <w:softHyphen/>
        <w:t>онных трубок, 3500 — 45-секундных, 2000 взрывателей ЗГТ, 1500 4ГТ, 23 000 корпусов капсюльных втулок со всеми внутренними де</w:t>
      </w:r>
      <w:r w:rsidRPr="002F2FDF">
        <w:rPr>
          <w:rFonts w:ascii="Times New Roman" w:hAnsi="Times New Roman" w:cs="Times New Roman"/>
          <w:color w:val="000000" w:themeColor="text1"/>
          <w:kern w:val="2"/>
          <w:sz w:val="16"/>
          <w:szCs w:val="16"/>
        </w:rPr>
        <w:softHyphen/>
        <w:t>талями, 2500 трубок образца 1915 г., 35000 коленчатых запалов к ручным гранатам и трубок к ним. Кроме того, завод ежедневно изго</w:t>
      </w:r>
      <w:r w:rsidRPr="002F2FDF">
        <w:rPr>
          <w:rFonts w:ascii="Times New Roman" w:hAnsi="Times New Roman" w:cs="Times New Roman"/>
          <w:color w:val="000000" w:themeColor="text1"/>
          <w:kern w:val="2"/>
          <w:sz w:val="16"/>
          <w:szCs w:val="16"/>
        </w:rPr>
        <w:softHyphen/>
        <w:t>товлял 500 взрывателей для снарядов крупных калибров и для сна-</w:t>
      </w:r>
    </w:p>
    <w:p w14:paraId="2DF8F04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рядов флота, а также выполнял много заданий по переделке изделий прежних систем [39, с. 207].</w:t>
      </w:r>
    </w:p>
    <w:p w14:paraId="4225C8B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течение всех военных лет на заводе не хватало опытных инже</w:t>
      </w:r>
      <w:r w:rsidRPr="002F2FDF">
        <w:rPr>
          <w:rFonts w:ascii="Times New Roman" w:hAnsi="Times New Roman" w:cs="Times New Roman"/>
          <w:color w:val="000000" w:themeColor="text1"/>
          <w:kern w:val="2"/>
          <w:sz w:val="16"/>
          <w:szCs w:val="16"/>
        </w:rPr>
        <w:softHyphen/>
        <w:t>нерно-технических работников, так как многие были командированы за границу в качестве приемщиков заказанных там трубочных изде</w:t>
      </w:r>
      <w:r w:rsidRPr="002F2FDF">
        <w:rPr>
          <w:rFonts w:ascii="Times New Roman" w:hAnsi="Times New Roman" w:cs="Times New Roman"/>
          <w:color w:val="000000" w:themeColor="text1"/>
          <w:kern w:val="2"/>
          <w:sz w:val="16"/>
          <w:szCs w:val="16"/>
        </w:rPr>
        <w:softHyphen/>
        <w:t>лий, посланы на постоянную работу на Самарский и строящийся Пензенский трубочные заводы, а также на частные заводы, привле</w:t>
      </w:r>
      <w:r w:rsidRPr="002F2FDF">
        <w:rPr>
          <w:rFonts w:ascii="Times New Roman" w:hAnsi="Times New Roman" w:cs="Times New Roman"/>
          <w:color w:val="000000" w:themeColor="text1"/>
          <w:kern w:val="2"/>
          <w:sz w:val="16"/>
          <w:szCs w:val="16"/>
        </w:rPr>
        <w:softHyphen/>
        <w:t>ченные во время войны к производству трубок, взрывателей, кап</w:t>
      </w:r>
      <w:r w:rsidRPr="002F2FDF">
        <w:rPr>
          <w:rFonts w:ascii="Times New Roman" w:hAnsi="Times New Roman" w:cs="Times New Roman"/>
          <w:color w:val="000000" w:themeColor="text1"/>
          <w:kern w:val="2"/>
          <w:sz w:val="16"/>
          <w:szCs w:val="16"/>
        </w:rPr>
        <w:softHyphen/>
        <w:t>сюльных втулок.</w:t>
      </w:r>
    </w:p>
    <w:p w14:paraId="3E925C9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хватало также станочного оборудования, материалов и топ</w:t>
      </w:r>
      <w:r w:rsidRPr="002F2FDF">
        <w:rPr>
          <w:rFonts w:ascii="Times New Roman" w:hAnsi="Times New Roman" w:cs="Times New Roman"/>
          <w:color w:val="000000" w:themeColor="text1"/>
          <w:kern w:val="2"/>
          <w:sz w:val="16"/>
          <w:szCs w:val="16"/>
        </w:rPr>
        <w:softHyphen/>
        <w:t>лива. Уже в марте 1915 г. ГАУ предложило заводу переходить с угля и нефти на дрова и торф.</w:t>
      </w:r>
    </w:p>
    <w:p w14:paraId="0FF7D31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Несмотря на все трудности, Петроградский трубочный завод за время войны выпустил до 19,5 млн дистанционных трубок, свыше 26 млн ударных и обтюрирующих запальных трубок, до 2,5 млн взрывателей, около 18,5 млн капсюльных втулок и т. д. [5, с. 204].</w:t>
      </w:r>
    </w:p>
    <w:p w14:paraId="316A145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продукции, выпущенной Петроградским трубочным заводом в годы первой мировой войны, приведены в табл. 1.14.</w:t>
      </w:r>
    </w:p>
    <w:p w14:paraId="4D9A1DA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Выпуск продукции Петроградским трубочным заводом в период 1914—1916 гг.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97"/>
        <w:gridCol w:w="710"/>
        <w:gridCol w:w="778"/>
        <w:gridCol w:w="806"/>
        <w:gridCol w:w="902"/>
      </w:tblGrid>
      <w:tr w:rsidR="002B1C74" w:rsidRPr="002F2FDF" w14:paraId="4DBE1E85" w14:textId="77777777">
        <w:trPr>
          <w:trHeight w:val="269"/>
        </w:trPr>
        <w:tc>
          <w:tcPr>
            <w:tcW w:w="3197" w:type="dxa"/>
            <w:tcBorders>
              <w:top w:val="single" w:sz="12" w:space="0" w:color="auto"/>
            </w:tcBorders>
          </w:tcPr>
          <w:p w14:paraId="2C713CC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Изделие</w:t>
            </w:r>
          </w:p>
        </w:tc>
        <w:tc>
          <w:tcPr>
            <w:tcW w:w="710" w:type="dxa"/>
            <w:tcBorders>
              <w:top w:val="single" w:sz="12" w:space="0" w:color="auto"/>
            </w:tcBorders>
          </w:tcPr>
          <w:p w14:paraId="0F36853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tc>
        <w:tc>
          <w:tcPr>
            <w:tcW w:w="778" w:type="dxa"/>
            <w:tcBorders>
              <w:top w:val="single" w:sz="12" w:space="0" w:color="auto"/>
            </w:tcBorders>
          </w:tcPr>
          <w:p w14:paraId="39A0D19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tc>
        <w:tc>
          <w:tcPr>
            <w:tcW w:w="806" w:type="dxa"/>
            <w:tcBorders>
              <w:top w:val="single" w:sz="12" w:space="0" w:color="auto"/>
            </w:tcBorders>
          </w:tcPr>
          <w:p w14:paraId="699656F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902" w:type="dxa"/>
            <w:tcBorders>
              <w:top w:val="single" w:sz="12" w:space="0" w:color="auto"/>
            </w:tcBorders>
          </w:tcPr>
          <w:p w14:paraId="47922C6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r>
      <w:tr w:rsidR="002B1C74" w:rsidRPr="002F2FDF" w14:paraId="5E0F5BD6" w14:textId="77777777">
        <w:trPr>
          <w:trHeight w:val="269"/>
        </w:trPr>
        <w:tc>
          <w:tcPr>
            <w:tcW w:w="3197" w:type="dxa"/>
          </w:tcPr>
          <w:p w14:paraId="11A5A98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Дистанционные трубки двойного действия:</w:t>
            </w:r>
          </w:p>
        </w:tc>
        <w:tc>
          <w:tcPr>
            <w:tcW w:w="710" w:type="dxa"/>
          </w:tcPr>
          <w:p w14:paraId="1B64CE3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78" w:type="dxa"/>
          </w:tcPr>
          <w:p w14:paraId="05482D1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806" w:type="dxa"/>
          </w:tcPr>
          <w:p w14:paraId="3CF575C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02" w:type="dxa"/>
          </w:tcPr>
          <w:p w14:paraId="2FB56C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079E458A" w14:textId="77777777">
        <w:trPr>
          <w:trHeight w:val="173"/>
        </w:trPr>
        <w:tc>
          <w:tcPr>
            <w:tcW w:w="3197" w:type="dxa"/>
          </w:tcPr>
          <w:p w14:paraId="0E43009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22-секундные новые</w:t>
            </w:r>
          </w:p>
        </w:tc>
        <w:tc>
          <w:tcPr>
            <w:tcW w:w="710" w:type="dxa"/>
          </w:tcPr>
          <w:p w14:paraId="3B79ED7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1 024</w:t>
            </w:r>
          </w:p>
        </w:tc>
        <w:tc>
          <w:tcPr>
            <w:tcW w:w="778" w:type="dxa"/>
          </w:tcPr>
          <w:p w14:paraId="4F97641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4858</w:t>
            </w:r>
          </w:p>
        </w:tc>
        <w:tc>
          <w:tcPr>
            <w:tcW w:w="806" w:type="dxa"/>
          </w:tcPr>
          <w:p w14:paraId="7DE898B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7223</w:t>
            </w:r>
          </w:p>
        </w:tc>
        <w:tc>
          <w:tcPr>
            <w:tcW w:w="902" w:type="dxa"/>
          </w:tcPr>
          <w:p w14:paraId="5F3822D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13 105</w:t>
            </w:r>
          </w:p>
        </w:tc>
      </w:tr>
      <w:tr w:rsidR="002B1C74" w:rsidRPr="002F2FDF" w14:paraId="7204F36B" w14:textId="77777777">
        <w:trPr>
          <w:trHeight w:val="173"/>
        </w:trPr>
        <w:tc>
          <w:tcPr>
            <w:tcW w:w="3197" w:type="dxa"/>
          </w:tcPr>
          <w:p w14:paraId="5DDE7D0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22-секундные переделанные</w:t>
            </w:r>
          </w:p>
        </w:tc>
        <w:tc>
          <w:tcPr>
            <w:tcW w:w="710" w:type="dxa"/>
          </w:tcPr>
          <w:p w14:paraId="3B6F2A5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329</w:t>
            </w:r>
          </w:p>
        </w:tc>
        <w:tc>
          <w:tcPr>
            <w:tcW w:w="778" w:type="dxa"/>
          </w:tcPr>
          <w:p w14:paraId="32B9342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w:t>
            </w:r>
          </w:p>
        </w:tc>
        <w:tc>
          <w:tcPr>
            <w:tcW w:w="806" w:type="dxa"/>
          </w:tcPr>
          <w:p w14:paraId="0612E4D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93</w:t>
            </w:r>
          </w:p>
        </w:tc>
        <w:tc>
          <w:tcPr>
            <w:tcW w:w="902" w:type="dxa"/>
          </w:tcPr>
          <w:p w14:paraId="1DE1945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489</w:t>
            </w:r>
          </w:p>
        </w:tc>
      </w:tr>
      <w:tr w:rsidR="002B1C74" w:rsidRPr="002F2FDF" w14:paraId="70BF1EFF" w14:textId="77777777">
        <w:trPr>
          <w:trHeight w:val="163"/>
        </w:trPr>
        <w:tc>
          <w:tcPr>
            <w:tcW w:w="3197" w:type="dxa"/>
          </w:tcPr>
          <w:p w14:paraId="42FB4EF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30-секундные</w:t>
            </w:r>
          </w:p>
        </w:tc>
        <w:tc>
          <w:tcPr>
            <w:tcW w:w="710" w:type="dxa"/>
          </w:tcPr>
          <w:p w14:paraId="3E109C8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w:t>
            </w:r>
          </w:p>
        </w:tc>
        <w:tc>
          <w:tcPr>
            <w:tcW w:w="778" w:type="dxa"/>
          </w:tcPr>
          <w:p w14:paraId="1E513E6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806" w:type="dxa"/>
          </w:tcPr>
          <w:p w14:paraId="2DD4F0E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902" w:type="dxa"/>
          </w:tcPr>
          <w:p w14:paraId="5D2BB4A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138</w:t>
            </w:r>
          </w:p>
        </w:tc>
      </w:tr>
      <w:tr w:rsidR="002B1C74" w:rsidRPr="002F2FDF" w14:paraId="7E861A46" w14:textId="77777777">
        <w:trPr>
          <w:trHeight w:val="173"/>
        </w:trPr>
        <w:tc>
          <w:tcPr>
            <w:tcW w:w="3197" w:type="dxa"/>
          </w:tcPr>
          <w:p w14:paraId="6F1507C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45-секундные</w:t>
            </w:r>
          </w:p>
        </w:tc>
        <w:tc>
          <w:tcPr>
            <w:tcW w:w="710" w:type="dxa"/>
          </w:tcPr>
          <w:p w14:paraId="14D87A4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314</w:t>
            </w:r>
          </w:p>
        </w:tc>
        <w:tc>
          <w:tcPr>
            <w:tcW w:w="778" w:type="dxa"/>
          </w:tcPr>
          <w:p w14:paraId="4FD7713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759</w:t>
            </w:r>
          </w:p>
        </w:tc>
        <w:tc>
          <w:tcPr>
            <w:tcW w:w="806" w:type="dxa"/>
          </w:tcPr>
          <w:p w14:paraId="171F6E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940</w:t>
            </w:r>
          </w:p>
        </w:tc>
        <w:tc>
          <w:tcPr>
            <w:tcW w:w="902" w:type="dxa"/>
          </w:tcPr>
          <w:p w14:paraId="2BDDFED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2013</w:t>
            </w:r>
          </w:p>
        </w:tc>
      </w:tr>
      <w:tr w:rsidR="002B1C74" w:rsidRPr="002F2FDF" w14:paraId="115D6714" w14:textId="77777777">
        <w:trPr>
          <w:trHeight w:val="173"/>
        </w:trPr>
        <w:tc>
          <w:tcPr>
            <w:tcW w:w="3197" w:type="dxa"/>
          </w:tcPr>
          <w:p w14:paraId="79AAFB0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Запальные ударные трубки образца</w:t>
            </w:r>
          </w:p>
        </w:tc>
        <w:tc>
          <w:tcPr>
            <w:tcW w:w="710" w:type="dxa"/>
          </w:tcPr>
          <w:p w14:paraId="2F6CD7F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78" w:type="dxa"/>
          </w:tcPr>
          <w:p w14:paraId="7DA50C6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806" w:type="dxa"/>
          </w:tcPr>
          <w:p w14:paraId="3FD9625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699</w:t>
            </w:r>
          </w:p>
        </w:tc>
        <w:tc>
          <w:tcPr>
            <w:tcW w:w="902" w:type="dxa"/>
          </w:tcPr>
          <w:p w14:paraId="119EBA4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699</w:t>
            </w:r>
          </w:p>
        </w:tc>
      </w:tr>
      <w:tr w:rsidR="002B1C74" w:rsidRPr="002F2FDF" w14:paraId="455F2364" w14:textId="77777777">
        <w:trPr>
          <w:trHeight w:val="173"/>
        </w:trPr>
        <w:tc>
          <w:tcPr>
            <w:tcW w:w="3197" w:type="dxa"/>
          </w:tcPr>
          <w:p w14:paraId="4748149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1915/1916 гг.</w:t>
            </w:r>
          </w:p>
        </w:tc>
        <w:tc>
          <w:tcPr>
            <w:tcW w:w="710" w:type="dxa"/>
          </w:tcPr>
          <w:p w14:paraId="334B237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78" w:type="dxa"/>
          </w:tcPr>
          <w:p w14:paraId="649CB66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806" w:type="dxa"/>
          </w:tcPr>
          <w:p w14:paraId="6B0E079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02" w:type="dxa"/>
          </w:tcPr>
          <w:p w14:paraId="144565C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44262976" w14:textId="77777777">
        <w:trPr>
          <w:trHeight w:val="173"/>
        </w:trPr>
        <w:tc>
          <w:tcPr>
            <w:tcW w:w="3197" w:type="dxa"/>
          </w:tcPr>
          <w:p w14:paraId="6DDD9CD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Взрыватели:</w:t>
            </w:r>
          </w:p>
        </w:tc>
        <w:tc>
          <w:tcPr>
            <w:tcW w:w="710" w:type="dxa"/>
          </w:tcPr>
          <w:p w14:paraId="69D6414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78" w:type="dxa"/>
          </w:tcPr>
          <w:p w14:paraId="5B9295D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806" w:type="dxa"/>
          </w:tcPr>
          <w:p w14:paraId="218BEFB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02" w:type="dxa"/>
          </w:tcPr>
          <w:p w14:paraId="107719D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37CD2B6D" w14:textId="77777777">
        <w:trPr>
          <w:trHeight w:val="154"/>
        </w:trPr>
        <w:tc>
          <w:tcPr>
            <w:tcW w:w="3197" w:type="dxa"/>
          </w:tcPr>
          <w:p w14:paraId="0711791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1ГМ</w:t>
            </w:r>
          </w:p>
        </w:tc>
        <w:tc>
          <w:tcPr>
            <w:tcW w:w="710" w:type="dxa"/>
          </w:tcPr>
          <w:p w14:paraId="445F76C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778" w:type="dxa"/>
          </w:tcPr>
          <w:p w14:paraId="1D5C305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w:t>
            </w:r>
          </w:p>
        </w:tc>
        <w:tc>
          <w:tcPr>
            <w:tcW w:w="806" w:type="dxa"/>
          </w:tcPr>
          <w:p w14:paraId="74B866F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902" w:type="dxa"/>
          </w:tcPr>
          <w:p w14:paraId="6152928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w:t>
            </w:r>
          </w:p>
        </w:tc>
      </w:tr>
      <w:tr w:rsidR="002B1C74" w:rsidRPr="002F2FDF" w14:paraId="3DC5D5E4" w14:textId="77777777">
        <w:trPr>
          <w:trHeight w:val="173"/>
        </w:trPr>
        <w:tc>
          <w:tcPr>
            <w:tcW w:w="3197" w:type="dxa"/>
          </w:tcPr>
          <w:p w14:paraId="5507C64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ЗГТ</w:t>
            </w:r>
          </w:p>
        </w:tc>
        <w:tc>
          <w:tcPr>
            <w:tcW w:w="710" w:type="dxa"/>
          </w:tcPr>
          <w:p w14:paraId="264E1E7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167</w:t>
            </w:r>
          </w:p>
        </w:tc>
        <w:tc>
          <w:tcPr>
            <w:tcW w:w="778" w:type="dxa"/>
          </w:tcPr>
          <w:p w14:paraId="1DF33CB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450</w:t>
            </w:r>
          </w:p>
        </w:tc>
        <w:tc>
          <w:tcPr>
            <w:tcW w:w="806" w:type="dxa"/>
          </w:tcPr>
          <w:p w14:paraId="176D9DB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540</w:t>
            </w:r>
          </w:p>
        </w:tc>
        <w:tc>
          <w:tcPr>
            <w:tcW w:w="902" w:type="dxa"/>
          </w:tcPr>
          <w:p w14:paraId="634734E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1 157</w:t>
            </w:r>
          </w:p>
        </w:tc>
      </w:tr>
      <w:tr w:rsidR="002B1C74" w:rsidRPr="002F2FDF" w14:paraId="5D1FCD9B" w14:textId="77777777">
        <w:trPr>
          <w:trHeight w:val="173"/>
        </w:trPr>
        <w:tc>
          <w:tcPr>
            <w:tcW w:w="3197" w:type="dxa"/>
          </w:tcPr>
          <w:p w14:paraId="69AB605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4ГТ</w:t>
            </w:r>
          </w:p>
        </w:tc>
        <w:tc>
          <w:tcPr>
            <w:tcW w:w="710" w:type="dxa"/>
          </w:tcPr>
          <w:p w14:paraId="6E9C0BF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w:t>
            </w:r>
          </w:p>
        </w:tc>
        <w:tc>
          <w:tcPr>
            <w:tcW w:w="778" w:type="dxa"/>
          </w:tcPr>
          <w:p w14:paraId="738440E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104</w:t>
            </w:r>
          </w:p>
        </w:tc>
        <w:tc>
          <w:tcPr>
            <w:tcW w:w="806" w:type="dxa"/>
          </w:tcPr>
          <w:p w14:paraId="33BA91B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405</w:t>
            </w:r>
          </w:p>
        </w:tc>
        <w:tc>
          <w:tcPr>
            <w:tcW w:w="902" w:type="dxa"/>
          </w:tcPr>
          <w:p w14:paraId="177420E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659</w:t>
            </w:r>
          </w:p>
        </w:tc>
      </w:tr>
      <w:tr w:rsidR="002B1C74" w:rsidRPr="002F2FDF" w14:paraId="54ADB10F" w14:textId="77777777">
        <w:trPr>
          <w:trHeight w:val="173"/>
        </w:trPr>
        <w:tc>
          <w:tcPr>
            <w:tcW w:w="3197" w:type="dxa"/>
          </w:tcPr>
          <w:p w14:paraId="281FA54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5ДМ</w:t>
            </w:r>
          </w:p>
        </w:tc>
        <w:tc>
          <w:tcPr>
            <w:tcW w:w="710" w:type="dxa"/>
          </w:tcPr>
          <w:p w14:paraId="611452D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778" w:type="dxa"/>
          </w:tcPr>
          <w:p w14:paraId="63BA9E8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806" w:type="dxa"/>
          </w:tcPr>
          <w:p w14:paraId="095F8EA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902" w:type="dxa"/>
          </w:tcPr>
          <w:p w14:paraId="31EFB98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r>
      <w:tr w:rsidR="002B1C74" w:rsidRPr="002F2FDF" w14:paraId="3014DDE5" w14:textId="77777777">
        <w:trPr>
          <w:trHeight w:val="173"/>
        </w:trPr>
        <w:tc>
          <w:tcPr>
            <w:tcW w:w="3197" w:type="dxa"/>
          </w:tcPr>
          <w:p w14:paraId="266E62B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7ДТ</w:t>
            </w:r>
          </w:p>
        </w:tc>
        <w:tc>
          <w:tcPr>
            <w:tcW w:w="710" w:type="dxa"/>
          </w:tcPr>
          <w:p w14:paraId="73CCFCC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778" w:type="dxa"/>
          </w:tcPr>
          <w:p w14:paraId="1A09A43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806" w:type="dxa"/>
          </w:tcPr>
          <w:p w14:paraId="7EEE016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w:t>
            </w:r>
          </w:p>
        </w:tc>
        <w:tc>
          <w:tcPr>
            <w:tcW w:w="902" w:type="dxa"/>
          </w:tcPr>
          <w:p w14:paraId="0BB8154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w:t>
            </w:r>
          </w:p>
        </w:tc>
      </w:tr>
      <w:tr w:rsidR="002B1C74" w:rsidRPr="002F2FDF" w14:paraId="22EB007D" w14:textId="77777777">
        <w:trPr>
          <w:trHeight w:val="173"/>
        </w:trPr>
        <w:tc>
          <w:tcPr>
            <w:tcW w:w="3197" w:type="dxa"/>
          </w:tcPr>
          <w:p w14:paraId="2B916E4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8ДТ</w:t>
            </w:r>
          </w:p>
        </w:tc>
        <w:tc>
          <w:tcPr>
            <w:tcW w:w="710" w:type="dxa"/>
          </w:tcPr>
          <w:p w14:paraId="053FD28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778" w:type="dxa"/>
          </w:tcPr>
          <w:p w14:paraId="7C7CB59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806" w:type="dxa"/>
          </w:tcPr>
          <w:p w14:paraId="574EA02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902" w:type="dxa"/>
          </w:tcPr>
          <w:p w14:paraId="7E6279E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r>
      <w:tr w:rsidR="002B1C74" w:rsidRPr="002F2FDF" w14:paraId="4AA42DD0" w14:textId="77777777">
        <w:trPr>
          <w:trHeight w:val="163"/>
        </w:trPr>
        <w:tc>
          <w:tcPr>
            <w:tcW w:w="3197" w:type="dxa"/>
          </w:tcPr>
          <w:p w14:paraId="2C7E7B2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8Г12</w:t>
            </w:r>
          </w:p>
        </w:tc>
        <w:tc>
          <w:tcPr>
            <w:tcW w:w="710" w:type="dxa"/>
          </w:tcPr>
          <w:p w14:paraId="0B4836E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78" w:type="dxa"/>
          </w:tcPr>
          <w:p w14:paraId="6C700A2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__</w:t>
            </w:r>
          </w:p>
        </w:tc>
        <w:tc>
          <w:tcPr>
            <w:tcW w:w="806" w:type="dxa"/>
          </w:tcPr>
          <w:p w14:paraId="21431F4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902" w:type="dxa"/>
          </w:tcPr>
          <w:p w14:paraId="2714238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r>
      <w:tr w:rsidR="002B1C74" w:rsidRPr="002F2FDF" w14:paraId="72D49B43" w14:textId="77777777">
        <w:trPr>
          <w:trHeight w:val="182"/>
        </w:trPr>
        <w:tc>
          <w:tcPr>
            <w:tcW w:w="3197" w:type="dxa"/>
          </w:tcPr>
          <w:p w14:paraId="177E65B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9ДТ</w:t>
            </w:r>
          </w:p>
        </w:tc>
        <w:tc>
          <w:tcPr>
            <w:tcW w:w="710" w:type="dxa"/>
          </w:tcPr>
          <w:p w14:paraId="67121A6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w:t>
            </w:r>
          </w:p>
        </w:tc>
        <w:tc>
          <w:tcPr>
            <w:tcW w:w="778" w:type="dxa"/>
          </w:tcPr>
          <w:p w14:paraId="3C8C400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w:t>
            </w:r>
          </w:p>
        </w:tc>
        <w:tc>
          <w:tcPr>
            <w:tcW w:w="806" w:type="dxa"/>
          </w:tcPr>
          <w:p w14:paraId="6B813F7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902" w:type="dxa"/>
          </w:tcPr>
          <w:p w14:paraId="586D43F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w:t>
            </w:r>
          </w:p>
        </w:tc>
      </w:tr>
      <w:tr w:rsidR="002B1C74" w:rsidRPr="002F2FDF" w14:paraId="1560EE5C" w14:textId="77777777">
        <w:trPr>
          <w:trHeight w:val="173"/>
        </w:trPr>
        <w:tc>
          <w:tcPr>
            <w:tcW w:w="3197" w:type="dxa"/>
          </w:tcPr>
          <w:p w14:paraId="61555F4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10ДТ</w:t>
            </w:r>
          </w:p>
        </w:tc>
        <w:tc>
          <w:tcPr>
            <w:tcW w:w="710" w:type="dxa"/>
          </w:tcPr>
          <w:p w14:paraId="2336513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778" w:type="dxa"/>
          </w:tcPr>
          <w:p w14:paraId="75D6539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0,9</w:t>
            </w:r>
          </w:p>
        </w:tc>
        <w:tc>
          <w:tcPr>
            <w:tcW w:w="806" w:type="dxa"/>
          </w:tcPr>
          <w:p w14:paraId="3A51B2E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902" w:type="dxa"/>
          </w:tcPr>
          <w:p w14:paraId="6B4A1DA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w:t>
            </w:r>
          </w:p>
        </w:tc>
      </w:tr>
      <w:tr w:rsidR="002B1C74" w:rsidRPr="002F2FDF" w14:paraId="6F37C7CA" w14:textId="77777777">
        <w:trPr>
          <w:trHeight w:val="163"/>
        </w:trPr>
        <w:tc>
          <w:tcPr>
            <w:tcW w:w="3197" w:type="dxa"/>
          </w:tcPr>
          <w:p w14:paraId="42A4EC9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ДМ</w:t>
            </w:r>
          </w:p>
        </w:tc>
        <w:tc>
          <w:tcPr>
            <w:tcW w:w="710" w:type="dxa"/>
          </w:tcPr>
          <w:p w14:paraId="4C15BE1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778" w:type="dxa"/>
          </w:tcPr>
          <w:p w14:paraId="792A52A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0,1</w:t>
            </w:r>
          </w:p>
        </w:tc>
        <w:tc>
          <w:tcPr>
            <w:tcW w:w="806" w:type="dxa"/>
          </w:tcPr>
          <w:p w14:paraId="67B1590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902" w:type="dxa"/>
          </w:tcPr>
          <w:p w14:paraId="19B27B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w:t>
            </w:r>
          </w:p>
        </w:tc>
      </w:tr>
      <w:tr w:rsidR="002B1C74" w:rsidRPr="002F2FDF" w14:paraId="2603C950" w14:textId="77777777">
        <w:trPr>
          <w:trHeight w:val="163"/>
        </w:trPr>
        <w:tc>
          <w:tcPr>
            <w:tcW w:w="3197" w:type="dxa"/>
          </w:tcPr>
          <w:p w14:paraId="49F893B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13ГТ</w:t>
            </w:r>
          </w:p>
        </w:tc>
        <w:tc>
          <w:tcPr>
            <w:tcW w:w="710" w:type="dxa"/>
          </w:tcPr>
          <w:p w14:paraId="604856C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_</w:t>
            </w:r>
          </w:p>
        </w:tc>
        <w:tc>
          <w:tcPr>
            <w:tcW w:w="778" w:type="dxa"/>
          </w:tcPr>
          <w:p w14:paraId="52370FE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806" w:type="dxa"/>
          </w:tcPr>
          <w:p w14:paraId="256AD0F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902" w:type="dxa"/>
          </w:tcPr>
          <w:p w14:paraId="0DDE58D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w:t>
            </w:r>
          </w:p>
        </w:tc>
      </w:tr>
      <w:tr w:rsidR="002B1C74" w:rsidRPr="002F2FDF" w14:paraId="4D3EFB90" w14:textId="77777777">
        <w:trPr>
          <w:trHeight w:val="173"/>
        </w:trPr>
        <w:tc>
          <w:tcPr>
            <w:tcW w:w="3197" w:type="dxa"/>
          </w:tcPr>
          <w:p w14:paraId="7A4ED04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17ГМ</w:t>
            </w:r>
          </w:p>
        </w:tc>
        <w:tc>
          <w:tcPr>
            <w:tcW w:w="710" w:type="dxa"/>
          </w:tcPr>
          <w:p w14:paraId="3C9972A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778" w:type="dxa"/>
          </w:tcPr>
          <w:p w14:paraId="65CFA34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806" w:type="dxa"/>
          </w:tcPr>
          <w:p w14:paraId="69B74F8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902" w:type="dxa"/>
          </w:tcPr>
          <w:p w14:paraId="3873CAF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w:t>
            </w:r>
          </w:p>
        </w:tc>
      </w:tr>
      <w:tr w:rsidR="002B1C74" w:rsidRPr="002F2FDF" w14:paraId="75805D2F" w14:textId="77777777">
        <w:trPr>
          <w:trHeight w:val="192"/>
        </w:trPr>
        <w:tc>
          <w:tcPr>
            <w:tcW w:w="3197" w:type="dxa"/>
          </w:tcPr>
          <w:p w14:paraId="0445B13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Запалы крупным гранатам № 11, 12, 13 и</w:t>
            </w:r>
          </w:p>
        </w:tc>
        <w:tc>
          <w:tcPr>
            <w:tcW w:w="710" w:type="dxa"/>
          </w:tcPr>
          <w:p w14:paraId="00AD102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617</w:t>
            </w:r>
          </w:p>
        </w:tc>
        <w:tc>
          <w:tcPr>
            <w:tcW w:w="778" w:type="dxa"/>
          </w:tcPr>
          <w:p w14:paraId="0A52963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5603</w:t>
            </w:r>
          </w:p>
        </w:tc>
        <w:tc>
          <w:tcPr>
            <w:tcW w:w="806" w:type="dxa"/>
          </w:tcPr>
          <w:p w14:paraId="1D58BBB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18903</w:t>
            </w:r>
          </w:p>
        </w:tc>
        <w:tc>
          <w:tcPr>
            <w:tcW w:w="902" w:type="dxa"/>
          </w:tcPr>
          <w:p w14:paraId="7025CEE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25 123</w:t>
            </w:r>
          </w:p>
        </w:tc>
      </w:tr>
      <w:tr w:rsidR="002B1C74" w:rsidRPr="002F2FDF" w14:paraId="622E4888" w14:textId="77777777">
        <w:trPr>
          <w:trHeight w:val="163"/>
        </w:trPr>
        <w:tc>
          <w:tcPr>
            <w:tcW w:w="3197" w:type="dxa"/>
          </w:tcPr>
          <w:p w14:paraId="5883B8B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Новицкого</w:t>
            </w:r>
          </w:p>
        </w:tc>
        <w:tc>
          <w:tcPr>
            <w:tcW w:w="710" w:type="dxa"/>
          </w:tcPr>
          <w:p w14:paraId="5051A92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78" w:type="dxa"/>
          </w:tcPr>
          <w:p w14:paraId="67D24BB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806" w:type="dxa"/>
          </w:tcPr>
          <w:p w14:paraId="09AFF84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02" w:type="dxa"/>
          </w:tcPr>
          <w:p w14:paraId="3ED3E61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6218AABC" w14:textId="77777777">
        <w:trPr>
          <w:trHeight w:val="374"/>
        </w:trPr>
        <w:tc>
          <w:tcPr>
            <w:tcW w:w="3197" w:type="dxa"/>
            <w:tcBorders>
              <w:bottom w:val="single" w:sz="12" w:space="0" w:color="auto"/>
            </w:tcBorders>
          </w:tcPr>
          <w:p w14:paraId="24A17D3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Капсюльные втулки</w:t>
            </w:r>
          </w:p>
        </w:tc>
        <w:tc>
          <w:tcPr>
            <w:tcW w:w="710" w:type="dxa"/>
            <w:tcBorders>
              <w:bottom w:val="single" w:sz="12" w:space="0" w:color="auto"/>
            </w:tcBorders>
          </w:tcPr>
          <w:p w14:paraId="624EACA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625</w:t>
            </w:r>
          </w:p>
        </w:tc>
        <w:tc>
          <w:tcPr>
            <w:tcW w:w="778" w:type="dxa"/>
            <w:tcBorders>
              <w:bottom w:val="single" w:sz="12" w:space="0" w:color="auto"/>
            </w:tcBorders>
          </w:tcPr>
          <w:p w14:paraId="7F43846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5 381</w:t>
            </w:r>
          </w:p>
        </w:tc>
        <w:tc>
          <w:tcPr>
            <w:tcW w:w="806" w:type="dxa"/>
            <w:tcBorders>
              <w:bottom w:val="single" w:sz="12" w:space="0" w:color="auto"/>
            </w:tcBorders>
          </w:tcPr>
          <w:p w14:paraId="5C3B1A3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6079</w:t>
            </w:r>
          </w:p>
        </w:tc>
        <w:tc>
          <w:tcPr>
            <w:tcW w:w="902" w:type="dxa"/>
            <w:tcBorders>
              <w:bottom w:val="single" w:sz="12" w:space="0" w:color="auto"/>
            </w:tcBorders>
          </w:tcPr>
          <w:p w14:paraId="62689B3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12085</w:t>
            </w:r>
          </w:p>
        </w:tc>
      </w:tr>
    </w:tbl>
    <w:p w14:paraId="675AC8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(5484).</w:t>
      </w:r>
    </w:p>
    <w:p w14:paraId="20D977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BAAA43" w14:textId="77777777" w:rsidR="001B4BD6" w:rsidRPr="002F2FDF" w:rsidRDefault="001B4BD6"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К сентябрю 1917 г., как сообщал статистический сборник 1925 г. (по материалам Ставки), в действующей армии было 20 тысячах «автомашин». Автомашинами в этом случае именовались и мотоциклы с самокатами, но не действительное наличие, а количество, положенное войскам по штатам (18409).</w:t>
      </w:r>
    </w:p>
    <w:p w14:paraId="01229E51" w14:textId="77777777" w:rsidR="001B4BD6" w:rsidRPr="002F2FDF" w:rsidRDefault="001B4BD6" w:rsidP="0083075A">
      <w:pPr>
        <w:pStyle w:val="p1"/>
        <w:spacing w:before="0" w:beforeAutospacing="0" w:after="0" w:afterAutospacing="0"/>
        <w:jc w:val="both"/>
        <w:rPr>
          <w:color w:val="000000" w:themeColor="text1"/>
          <w:sz w:val="16"/>
          <w:szCs w:val="16"/>
        </w:rPr>
      </w:pPr>
    </w:p>
    <w:p w14:paraId="282031F7" w14:textId="6A4C0EAA" w:rsidR="003431D2" w:rsidRPr="002F2FDF" w:rsidRDefault="00CC1BE3"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6298E7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4B90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сентябрю 1917 года сформированы службы воздушной обороны в Петрограде и Одесском военном округе, объединившие все имевшиеся силы и средства воздушной обороны, в том числе организационно сформировавшуюся службу наблюдения за воздухом.</w:t>
      </w:r>
    </w:p>
    <w:p w14:paraId="74FB62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Руководство службой воздушной обороны осуществляли командующие войсками военных округов через начальников воздушной обороны, которым подчинялись все части истребительной авиации, противосамолетной артиллерии, воздушного наблюдения.</w:t>
      </w:r>
    </w:p>
    <w:p w14:paraId="6B08F2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Общее руководство службами воздушной обороны осуществляла Ставка Верховного Главнокомандующего (через службы генерал-квартирмейстера и дежурного генерала).</w:t>
      </w:r>
    </w:p>
    <w:p w14:paraId="514988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штабов воздушной обороны г. Петрограда и Одесского военного округа одновременно являлись командирами батальонов воздушных наблюдателей. Постоянная боевая готовность частей воздухообороны поддерживалась ежедневным назначением во всех истребительных авиаотрядах и противосамолетных батареях дежурных частей и постоянной деятельностью наблюдательных постов.</w:t>
      </w:r>
    </w:p>
    <w:p w14:paraId="0D0B6F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служба наблюдения за небосклоном получила свое рождение и развитие в годы первой мировой войны и вошла в состав формируемых систем воздушной обороны важных военно-политических, административных центров, военных округов, группировок войск и сил флота России.</w:t>
      </w:r>
    </w:p>
    <w:p w14:paraId="0AC1EB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Несмотря на изменения политической обстановки в стране, связанные с Октябрьскими событиями и сменой государственной власти и строя в России, в Петрограде продолжал функционировать Штаб воздушной обороны под руководством генерал-майора Бурмина ВТ, (начальник воздушной обороны 1914 - 1918 гг.) и штабс-капитана Вотинцева П.Д. (начальник штаба 1917 -1918 гг.). Для обеспечения надежного прикрытия столицы государства и своевременного оповещения о возможном налете неприятельской авиации вокруг Петрограда продолжали выполнять боевую задачу посты наблюдения за небосклоном. Об этом говорит и тот факт, что распределение сил и средств воздушной обороны Петрограда, организацию оповещения о появлении воздушного противника осуществлял Революционный Комитет по обороне города под руководством Подвойского Н.И., в ведении которого и находился Штаб воздушной обороны. (11198).</w:t>
      </w:r>
    </w:p>
    <w:p w14:paraId="4C7191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A76F39" w14:textId="77777777" w:rsidR="007E6D50" w:rsidRPr="00FB4F67" w:rsidRDefault="007E6D5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сентябрю 1917 г. статистический сборник 1925 г. (по материалам Ставки) сообщал о 20 тысячах «автомашин» в действующей армии. Автомашинами в этом случае име</w:t>
      </w:r>
      <w:r w:rsidRPr="00FB4F67">
        <w:rPr>
          <w:rFonts w:ascii="Times New Roman" w:hAnsi="Times New Roman" w:cs="Times New Roman"/>
          <w:color w:val="0070C0"/>
          <w:sz w:val="16"/>
          <w:szCs w:val="16"/>
        </w:rPr>
        <w:softHyphen/>
        <w:t>новались и мотоциклы с самокатами, но не действительное наличие, а количество, положенное войскам по штатам (23452).</w:t>
      </w:r>
    </w:p>
    <w:p w14:paraId="5C629E38" w14:textId="77777777" w:rsidR="007E6D50" w:rsidRPr="00FB4F67" w:rsidRDefault="007E6D50" w:rsidP="0083075A">
      <w:pPr>
        <w:spacing w:after="0" w:line="240" w:lineRule="auto"/>
        <w:jc w:val="both"/>
        <w:rPr>
          <w:rFonts w:ascii="Times New Roman" w:hAnsi="Times New Roman" w:cs="Times New Roman"/>
          <w:color w:val="0070C0"/>
          <w:sz w:val="16"/>
          <w:szCs w:val="16"/>
        </w:rPr>
      </w:pPr>
    </w:p>
    <w:p w14:paraId="3BEAEAE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E4372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81AC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К осени 1917 был построен морской разведчик АИСТ, но не испытывался в связи с ликвидацией АИС. Для него впервые в России делали протаску поплавков в опытовом бассейне Адмиралтейства (92,237).</w:t>
      </w:r>
    </w:p>
    <w:p w14:paraId="55BBFD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FE0CC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83C77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C7CB5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осени 1917 г. по данным А. А. Маниковского, в составе тяжелой артиллерии старой царской армии орудия иностранных марок составляли 23 % [31, с. 271]. Артиллерийский комитет ГАУ в начале 1918 г. выпустил журнал “Об образцах вооружения социалистической армии”, в котором все образцы орудий подразделяли на основные и их заменители с соот</w:t>
      </w:r>
      <w:r w:rsidRPr="002F2FDF">
        <w:rPr>
          <w:rFonts w:ascii="Times New Roman" w:hAnsi="Times New Roman" w:cs="Times New Roman"/>
          <w:color w:val="000000" w:themeColor="text1"/>
          <w:kern w:val="2"/>
          <w:sz w:val="16"/>
          <w:szCs w:val="16"/>
        </w:rPr>
        <w:softHyphen/>
        <w:t>ветствующими марками боеприпасов к ним. Тактико-технические данные основных орудий и боеприпасов к ним, принятых на воору</w:t>
      </w:r>
      <w:r w:rsidRPr="002F2FDF">
        <w:rPr>
          <w:rFonts w:ascii="Times New Roman" w:hAnsi="Times New Roman" w:cs="Times New Roman"/>
          <w:color w:val="000000" w:themeColor="text1"/>
          <w:kern w:val="2"/>
          <w:sz w:val="16"/>
          <w:szCs w:val="16"/>
        </w:rPr>
        <w:softHyphen/>
        <w:t>жение Красной Армии, приведены в табл. 2.1. [2; 22, с. 137]. Оружие и боеприпасы, доставшиеся от царской армии, были важ</w:t>
      </w:r>
      <w:r w:rsidRPr="002F2FDF">
        <w:rPr>
          <w:rFonts w:ascii="Times New Roman" w:hAnsi="Times New Roman" w:cs="Times New Roman"/>
          <w:color w:val="000000" w:themeColor="text1"/>
          <w:kern w:val="2"/>
          <w:sz w:val="16"/>
          <w:szCs w:val="16"/>
        </w:rPr>
        <w:softHyphen/>
        <w:t>ным источником боевого снабжения Красной Армии. Однако с эти</w:t>
      </w:r>
      <w:r w:rsidRPr="002F2FDF">
        <w:rPr>
          <w:rFonts w:ascii="Times New Roman" w:hAnsi="Times New Roman" w:cs="Times New Roman"/>
          <w:color w:val="000000" w:themeColor="text1"/>
          <w:kern w:val="2"/>
          <w:sz w:val="16"/>
          <w:szCs w:val="16"/>
        </w:rPr>
        <w:softHyphen/>
        <w:t>ми запасами проблему материально-технического обеспечения РККА нельзя было решить. Только восстановив и развив производ</w:t>
      </w:r>
      <w:r w:rsidRPr="002F2FDF">
        <w:rPr>
          <w:rFonts w:ascii="Times New Roman" w:hAnsi="Times New Roman" w:cs="Times New Roman"/>
          <w:color w:val="000000" w:themeColor="text1"/>
          <w:kern w:val="2"/>
          <w:sz w:val="16"/>
          <w:szCs w:val="16"/>
        </w:rPr>
        <w:softHyphen/>
        <w:t>ство нового оружия и боеприпасов, можно было создать базу для за</w:t>
      </w:r>
      <w:r w:rsidRPr="002F2FDF">
        <w:rPr>
          <w:rFonts w:ascii="Times New Roman" w:hAnsi="Times New Roman" w:cs="Times New Roman"/>
          <w:color w:val="000000" w:themeColor="text1"/>
          <w:kern w:val="2"/>
          <w:sz w:val="16"/>
          <w:szCs w:val="16"/>
        </w:rPr>
        <w:softHyphen/>
        <w:t>щиты молодой Советской республики (5484).</w:t>
      </w:r>
    </w:p>
    <w:p w14:paraId="65D18C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02ED55" w14:textId="77777777" w:rsidR="002E2452" w:rsidRPr="002F2FDF" w:rsidRDefault="002E245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осени 1917 к концу войны и в русской армии, наиболее отсталой в электротехническом отношении, на северном фронте появились передвижные высоковольтные станции для электризации препятствий. В этот период применялись ЭЗ аналогичного устройства, что и во время русско-японской войны. Кроме того, были разработаны особые типы заграждений — сеть «Вулкан», низко расположенный «Спотыкач». Делались попытки электризации полос земли и выбросов электризуемых тонких тросов с помощью гранатомётов и миномётов, которые покрывали значительные участки. Тросы запитывались от передвижной автомобильной высоковольтной станции. Сначала они вызывали большую утечку тока, затем, по мере нагрева, земля подсыхала, и утечка уменьшалась. Из-за шаговой разности потенциала перебегающий или переползающий боец неизбежно поражался (15603).</w:t>
      </w:r>
    </w:p>
    <w:p w14:paraId="1257A109" w14:textId="77777777" w:rsidR="002E2452" w:rsidRPr="002F2FDF" w:rsidRDefault="002E2452" w:rsidP="0083075A">
      <w:pPr>
        <w:spacing w:after="0" w:line="240" w:lineRule="auto"/>
        <w:jc w:val="both"/>
        <w:rPr>
          <w:rFonts w:ascii="Times New Roman" w:hAnsi="Times New Roman" w:cs="Times New Roman"/>
          <w:color w:val="000000" w:themeColor="text1"/>
          <w:kern w:val="2"/>
          <w:sz w:val="16"/>
          <w:szCs w:val="16"/>
        </w:rPr>
      </w:pPr>
    </w:p>
    <w:p w14:paraId="18B8EFEA" w14:textId="77777777" w:rsidR="00697826" w:rsidRPr="002F2FDF" w:rsidRDefault="0069782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осени 1917 г. были учреждены 734 акционерных общества с уставным капиталом 1960 млн руб., что во много раз превышало показатели 1913 г. Несмотря на сложные политические условия, реформа имела положительный результат, продемонстрировав возможность продуктивного сочетания государственного регулирования и корпоративного управления." (20218).</w:t>
      </w:r>
    </w:p>
    <w:p w14:paraId="09D8B4B6" w14:textId="77777777" w:rsidR="00697826" w:rsidRPr="002F2FDF" w:rsidRDefault="00697826" w:rsidP="0083075A">
      <w:pPr>
        <w:spacing w:after="0" w:line="240" w:lineRule="auto"/>
        <w:jc w:val="both"/>
        <w:rPr>
          <w:rFonts w:ascii="Times New Roman" w:hAnsi="Times New Roman" w:cs="Times New Roman"/>
          <w:color w:val="000000" w:themeColor="text1"/>
          <w:sz w:val="16"/>
          <w:szCs w:val="16"/>
        </w:rPr>
      </w:pPr>
    </w:p>
    <w:p w14:paraId="59994F48" w14:textId="7B5D8FF5" w:rsidR="00697826" w:rsidRPr="002F2FDF" w:rsidRDefault="00697826" w:rsidP="0083075A">
      <w:pPr>
        <w:pStyle w:val="ae"/>
        <w:shd w:val="clear" w:color="auto" w:fill="FFFFFF"/>
        <w:spacing w:before="0" w:after="0"/>
        <w:jc w:val="both"/>
        <w:rPr>
          <w:color w:val="000000" w:themeColor="text1"/>
          <w:sz w:val="16"/>
          <w:szCs w:val="16"/>
        </w:rPr>
      </w:pPr>
      <w:r w:rsidRPr="002F2FDF">
        <w:rPr>
          <w:color w:val="000000" w:themeColor="text1"/>
          <w:sz w:val="16"/>
          <w:szCs w:val="16"/>
        </w:rPr>
        <w:t>К осени 1917 г. было завершено большинство строительных работ московского автомобильного завода РБВЗ и более 75 % станков прибыло в Россию, в том числе 50 % находились уже в Москве. Завод частично дооборудовался за счет своего эвакуированного</w:t>
      </w:r>
      <w:r w:rsidR="00E52569">
        <w:rPr>
          <w:color w:val="000000" w:themeColor="text1"/>
          <w:sz w:val="16"/>
          <w:szCs w:val="16"/>
        </w:rPr>
        <w:t xml:space="preserve"> </w:t>
      </w:r>
      <w:r w:rsidRPr="002F2FDF">
        <w:rPr>
          <w:color w:val="000000" w:themeColor="text1"/>
          <w:sz w:val="16"/>
          <w:szCs w:val="16"/>
        </w:rPr>
        <w:t xml:space="preserve"> из Риги автоотдела и передачи ему реквизированного имущества других предприятий. Все это позволило проводить на заводе в течение 1917 - 1920 гг. ремонт и даже сборку автомобилей из старых и новых частей. В августе 1921 г. 2-ой государственный автомобильный завод (бывш. РБВЗ) был передан Бронеуправлению (21552).</w:t>
      </w:r>
    </w:p>
    <w:p w14:paraId="69835A97" w14:textId="77777777" w:rsidR="00697826" w:rsidRPr="002F2FDF" w:rsidRDefault="00697826" w:rsidP="0083075A">
      <w:pPr>
        <w:pStyle w:val="ae"/>
        <w:shd w:val="clear" w:color="auto" w:fill="FFFFFF"/>
        <w:spacing w:before="0" w:after="0"/>
        <w:jc w:val="both"/>
        <w:rPr>
          <w:color w:val="000000" w:themeColor="text1"/>
          <w:sz w:val="16"/>
          <w:szCs w:val="16"/>
        </w:rPr>
      </w:pPr>
    </w:p>
    <w:p w14:paraId="46C990DD" w14:textId="7D5684FF" w:rsidR="0069777D" w:rsidRPr="002F2FDF" w:rsidRDefault="0069777D" w:rsidP="0083075A">
      <w:pPr>
        <w:pStyle w:val="ae"/>
        <w:spacing w:before="0" w:after="0"/>
        <w:jc w:val="both"/>
        <w:rPr>
          <w:color w:val="000000" w:themeColor="text1"/>
          <w:sz w:val="16"/>
          <w:szCs w:val="16"/>
        </w:rPr>
      </w:pPr>
      <w:r w:rsidRPr="002F2FDF">
        <w:rPr>
          <w:color w:val="000000" w:themeColor="text1"/>
          <w:sz w:val="16"/>
          <w:szCs w:val="16"/>
        </w:rPr>
        <w:t>К осени 1917 г. на московском автомобильном заводе РБВЗ было завершено большинство строительных работ и более 75 % станков прибыло в Россию, в том числе 50 % находились уже в Москве. Завод частично дооборудовался за счет своего эвакуированного</w:t>
      </w:r>
      <w:r w:rsidR="00E52569">
        <w:rPr>
          <w:color w:val="000000" w:themeColor="text1"/>
          <w:sz w:val="16"/>
          <w:szCs w:val="16"/>
        </w:rPr>
        <w:t xml:space="preserve"> </w:t>
      </w:r>
      <w:r w:rsidRPr="002F2FDF">
        <w:rPr>
          <w:color w:val="000000" w:themeColor="text1"/>
          <w:sz w:val="16"/>
          <w:szCs w:val="16"/>
        </w:rPr>
        <w:t xml:space="preserve"> из Риги автоотдела и передачи ему реквизированного имущества других предприятий. Все это позволило проводить на заводе в течение 1917 - 1920 гг. ремонт и даже сборку автомобилей из старых и новых частей. В августе 1921 г. 2-ой государственный автомобильный завод (бывш. РБВЗ) был передан Бронеуправлению (18369).</w:t>
      </w:r>
    </w:p>
    <w:p w14:paraId="3DC749C6" w14:textId="77777777" w:rsidR="0069777D" w:rsidRPr="002F2FDF" w:rsidRDefault="0069777D" w:rsidP="0083075A">
      <w:pPr>
        <w:pStyle w:val="ae"/>
        <w:spacing w:before="0" w:after="0"/>
        <w:jc w:val="both"/>
        <w:rPr>
          <w:color w:val="000000" w:themeColor="text1"/>
          <w:sz w:val="16"/>
          <w:szCs w:val="16"/>
        </w:rPr>
      </w:pPr>
    </w:p>
    <w:p w14:paraId="2166027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178E7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5988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осени 1917 года истребительная авиация как род авиации действующей армии была представлена-истребительными авиаотделениями двухсамолетного состава в корпусных авиаотрядах, истребительными авиаотрядами при армиях и фронтовыми боевыми истребительными авиагруппами, что составляло 40,1% от общего состава Военного Воздушного Флота. Только за период с июля 1916 по октябрь 1917 года ею на Восточноевропейском фронте было сбито 188 самолетов противника. Действия истребительных авиационных отрядов в интересах воздушной обороны в годы Первой мировой войны были намного скромнее. В то же время благодаря их наличию германская авиация и военные дирижабли до самого конца войны опасались наносить удары по важным военно-административным и промышленным центрам внутренних областей России (11644).</w:t>
      </w:r>
    </w:p>
    <w:p w14:paraId="63DD92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5AFAA5" w14:textId="77777777" w:rsidR="0069777D" w:rsidRPr="002F2FDF" w:rsidRDefault="0069777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осени 1917 г. истребительная авиация, как род авиации действующей армии, была представлена истребительными авиаотделениями двухсамолетного состава в управлениях авиадивизионов и авиаотрядах, армейскими истребительными авиаотрядами и фронтовыми боевыми авиагруппами. Получилась стройная организация истребительной авиации, параллельная организации действующей армии. Заметим, что истребительная авиация в России существовала фактически лишь с июля 1916 г. по октябрь 1917 г. За это время ею было сбито 188 самолетов противника (19566).</w:t>
      </w:r>
    </w:p>
    <w:p w14:paraId="2B4E76A4" w14:textId="77777777" w:rsidR="0069777D" w:rsidRPr="002F2FDF" w:rsidRDefault="0069777D" w:rsidP="0083075A">
      <w:pPr>
        <w:spacing w:after="0" w:line="240" w:lineRule="auto"/>
        <w:jc w:val="both"/>
        <w:rPr>
          <w:rFonts w:ascii="Times New Roman" w:hAnsi="Times New Roman" w:cs="Times New Roman"/>
          <w:color w:val="000000" w:themeColor="text1"/>
          <w:sz w:val="16"/>
          <w:szCs w:val="16"/>
        </w:rPr>
      </w:pPr>
    </w:p>
    <w:p w14:paraId="68193F00" w14:textId="3D269CAE" w:rsidR="00797A02" w:rsidRPr="002F2FDF" w:rsidRDefault="00797A02" w:rsidP="0083075A">
      <w:pPr>
        <w:pStyle w:val="article-renderblock"/>
        <w:shd w:val="clear" w:color="auto" w:fill="FFFFFF"/>
        <w:spacing w:before="0" w:beforeAutospacing="0" w:after="0" w:afterAutospacing="0"/>
        <w:jc w:val="both"/>
        <w:rPr>
          <w:color w:val="000000" w:themeColor="text1"/>
          <w:sz w:val="16"/>
          <w:szCs w:val="16"/>
          <w:shd w:val="clear" w:color="auto" w:fill="FFFFFF"/>
        </w:rPr>
      </w:pPr>
      <w:r w:rsidRPr="002F2FDF">
        <w:rPr>
          <w:color w:val="000000" w:themeColor="text1"/>
          <w:sz w:val="16"/>
          <w:szCs w:val="16"/>
          <w:shd w:val="clear" w:color="auto" w:fill="FFFFFF"/>
        </w:rPr>
        <w:t>К осени 1917 года управляемое воздухоплавание в России было практически сведено к нулю. На складах хранились лишь разрозненные агрегаты и элементы конструкции ряда дирижаблей, и не было ни одного пригодного к эксплуатации аппарата. Только в армии существовали отдельные воздухоплавательные отряды, обслуживавшие привязные аэростаты, да в Петрограде продолжала свою работу единственная воздухоплавательная школа по подготовке военных воздухоплавателей (21449).</w:t>
      </w:r>
    </w:p>
    <w:p w14:paraId="2B92BEC0" w14:textId="77777777" w:rsidR="00797A02" w:rsidRPr="002F2FDF" w:rsidRDefault="00797A02" w:rsidP="0083075A">
      <w:pPr>
        <w:pStyle w:val="article-renderblock"/>
        <w:shd w:val="clear" w:color="auto" w:fill="FFFFFF"/>
        <w:spacing w:before="0" w:beforeAutospacing="0" w:after="0" w:afterAutospacing="0"/>
        <w:jc w:val="both"/>
        <w:rPr>
          <w:color w:val="000000" w:themeColor="text1"/>
          <w:sz w:val="16"/>
          <w:szCs w:val="16"/>
          <w:shd w:val="clear" w:color="auto" w:fill="FFFFFF"/>
        </w:rPr>
      </w:pPr>
    </w:p>
    <w:p w14:paraId="7C2A3E3A" w14:textId="77777777" w:rsidR="002B526B" w:rsidRPr="002F2FDF" w:rsidRDefault="002B526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BA2304D" w14:textId="77777777" w:rsidR="002B526B" w:rsidRPr="002F2FDF" w:rsidRDefault="002B526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23F648" w14:textId="77777777" w:rsidR="002B526B" w:rsidRPr="002F2FDF" w:rsidRDefault="002B526B"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К осени 1917 года Генштаб добивается от правительства решения о создании отдельных эскадрилий, подчиненных непосредственно заместителю начальника генштаба по авиации. Весной на фронте появляются 4 авиационные дивизии смешанного состава с 600 самолетами. Однако до конца боев опробовать действия новых соединений не удается (19791).</w:t>
      </w:r>
    </w:p>
    <w:p w14:paraId="36ABE8D2" w14:textId="77777777" w:rsidR="002B526B" w:rsidRPr="002F2FDF" w:rsidRDefault="002B526B" w:rsidP="0083075A">
      <w:pPr>
        <w:pStyle w:val="ae"/>
        <w:shd w:val="clear" w:color="auto" w:fill="FFFFFF"/>
        <w:spacing w:before="0" w:after="0"/>
        <w:jc w:val="both"/>
        <w:textAlignment w:val="baseline"/>
        <w:rPr>
          <w:color w:val="000000" w:themeColor="text1"/>
          <w:sz w:val="16"/>
          <w:szCs w:val="16"/>
        </w:rPr>
      </w:pPr>
    </w:p>
    <w:p w14:paraId="7C0F90C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C3165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1C39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сентября 1917 (237,130) закончился 1-й Всероссийский авиационный съезд, который работал с 8 или 10 июля 1917. На нем избрали Всероссийский совет авиации (Авиасовет) - координация с его стороны позволила выпустить 1099 самолетов и 374 мотора (80,17).</w:t>
      </w:r>
    </w:p>
    <w:p w14:paraId="6BD7BC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748B47" w14:textId="77777777" w:rsidR="00680400"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80FF057" w14:textId="77777777" w:rsidR="00680400" w:rsidRPr="002F2FDF" w:rsidRDefault="0068040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8439BC" w14:textId="77777777" w:rsidR="0069777D" w:rsidRPr="002F2FDF" w:rsidRDefault="0069777D"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По 1 (14) сентября 1917 г. с июля 1914 по подсчетам Г. Дементьева, использовавшего для этой цели данные публиковавшихся бюджетных росписей, на ведение войны был затрачен 41 млрд. рублей. Однако публиковавшиеся бюджетные данные не дают подробной расшифровки этой цифры, не указывают отдельных подразделений военных расходов. У Дементьева отмечено только, что из общей суммы в 41 млрд. руб. через посредство военного министерства был израсходован 31 миллиард. Последняя цифра включает расходы на содержание личного состава армии и затраты на её боевое и материальное снабжение.</w:t>
      </w:r>
    </w:p>
    <w:p w14:paraId="59A7AC00" w14:textId="77777777" w:rsidR="0069777D" w:rsidRPr="002F2FDF" w:rsidRDefault="0069777D"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Следующая таблица, составленная на основании отчётов, даёт общее представление о распределении военных расходов, прошедших через военное министерство за 2% года войны.</w:t>
      </w:r>
    </w:p>
    <w:p w14:paraId="107E5984" w14:textId="77777777" w:rsidR="0069777D" w:rsidRPr="002F2FDF" w:rsidRDefault="0069777D"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Таким образом, на 1 января 1917 г. на военные заготовления было израсходовано свыше 12 млрд. рублей. Даже если учесть падение курса рубля в 1915 г. и особенно в последующем, 1916 г., придётся отметить огромные размеры этой цифры (для сравнения отметим, что в 1913 г. стоимость вало-</w:t>
      </w:r>
    </w:p>
    <w:p w14:paraId="5A3CC470" w14:textId="77777777" w:rsidR="0069777D" w:rsidRPr="002F2FDF" w:rsidRDefault="0069777D"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Военные расходы России (в млн. руб.)</w:t>
      </w:r>
      <w:r w:rsidRPr="002F2FDF">
        <w:rPr>
          <w:rFonts w:ascii="Times New Roman" w:eastAsia="Times New Roman" w:hAnsi="Times New Roman" w:cs="Times New Roman"/>
          <w:color w:val="000000" w:themeColor="text1"/>
          <w:sz w:val="16"/>
          <w:szCs w:val="16"/>
          <w:vertAlign w:val="superscript"/>
          <w:lang w:eastAsia="ru-RU"/>
        </w:rPr>
        <w:t>51</w:t>
      </w:r>
    </w:p>
    <w:tbl>
      <w:tblPr>
        <w:tblW w:w="7325" w:type="dxa"/>
        <w:tblCellSpacing w:w="7" w:type="dxa"/>
        <w:tblCellMar>
          <w:top w:w="30" w:type="dxa"/>
          <w:left w:w="30" w:type="dxa"/>
          <w:bottom w:w="30" w:type="dxa"/>
          <w:right w:w="30" w:type="dxa"/>
        </w:tblCellMar>
        <w:tblLook w:val="04A0" w:firstRow="1" w:lastRow="0" w:firstColumn="1" w:lastColumn="0" w:noHBand="0" w:noVBand="1"/>
      </w:tblPr>
      <w:tblGrid>
        <w:gridCol w:w="2298"/>
        <w:gridCol w:w="2510"/>
        <w:gridCol w:w="2517"/>
      </w:tblGrid>
      <w:tr w:rsidR="002B1C74" w:rsidRPr="002F2FDF" w14:paraId="34101F77" w14:textId="77777777" w:rsidTr="006514E2">
        <w:trPr>
          <w:tblCellSpacing w:w="7" w:type="dxa"/>
        </w:trPr>
        <w:tc>
          <w:tcPr>
            <w:tcW w:w="1550" w:type="pct"/>
            <w:shd w:val="clear" w:color="auto" w:fill="FFFFFF"/>
            <w:hideMark/>
          </w:tcPr>
          <w:p w14:paraId="6848F253" w14:textId="77777777" w:rsidR="0069777D" w:rsidRPr="002F2FDF" w:rsidRDefault="0069777D"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Годы</w:t>
            </w:r>
          </w:p>
        </w:tc>
        <w:tc>
          <w:tcPr>
            <w:tcW w:w="1700" w:type="pct"/>
            <w:shd w:val="clear" w:color="auto" w:fill="FFFFFF"/>
            <w:hideMark/>
          </w:tcPr>
          <w:p w14:paraId="51853ABC" w14:textId="77777777" w:rsidR="0069777D" w:rsidRPr="002F2FDF" w:rsidRDefault="0069777D"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Общая сумма расходов военного министерства</w:t>
            </w:r>
          </w:p>
        </w:tc>
        <w:tc>
          <w:tcPr>
            <w:tcW w:w="1700" w:type="pct"/>
            <w:shd w:val="clear" w:color="auto" w:fill="FFFFFF"/>
            <w:hideMark/>
          </w:tcPr>
          <w:p w14:paraId="7F2B1D4D" w14:textId="77777777" w:rsidR="0069777D" w:rsidRPr="002F2FDF" w:rsidRDefault="0069777D"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Из них на заготовления для нужд армии</w:t>
            </w:r>
          </w:p>
        </w:tc>
      </w:tr>
      <w:tr w:rsidR="002B1C74" w:rsidRPr="002F2FDF" w14:paraId="0FA15A28" w14:textId="77777777" w:rsidTr="006514E2">
        <w:trPr>
          <w:tblCellSpacing w:w="7" w:type="dxa"/>
        </w:trPr>
        <w:tc>
          <w:tcPr>
            <w:tcW w:w="1550" w:type="pct"/>
            <w:shd w:val="clear" w:color="auto" w:fill="FFFFFF"/>
            <w:hideMark/>
          </w:tcPr>
          <w:p w14:paraId="6993E1E2" w14:textId="77777777" w:rsidR="0069777D" w:rsidRPr="002F2FDF" w:rsidRDefault="0069777D"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1914</w:t>
            </w:r>
          </w:p>
        </w:tc>
        <w:tc>
          <w:tcPr>
            <w:tcW w:w="1700" w:type="pct"/>
            <w:shd w:val="clear" w:color="auto" w:fill="FFFFFF"/>
            <w:hideMark/>
          </w:tcPr>
          <w:p w14:paraId="694D8A25" w14:textId="77777777" w:rsidR="0069777D" w:rsidRPr="002F2FDF" w:rsidRDefault="0069777D"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2031</w:t>
            </w:r>
          </w:p>
        </w:tc>
        <w:tc>
          <w:tcPr>
            <w:tcW w:w="1700" w:type="pct"/>
            <w:shd w:val="clear" w:color="auto" w:fill="FFFFFF"/>
            <w:hideMark/>
          </w:tcPr>
          <w:p w14:paraId="5EB98E9F" w14:textId="77777777" w:rsidR="0069777D" w:rsidRPr="002F2FDF" w:rsidRDefault="0069777D"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846</w:t>
            </w:r>
          </w:p>
        </w:tc>
      </w:tr>
      <w:tr w:rsidR="002B1C74" w:rsidRPr="002F2FDF" w14:paraId="408CAF7E" w14:textId="77777777" w:rsidTr="006514E2">
        <w:trPr>
          <w:tblCellSpacing w:w="7" w:type="dxa"/>
        </w:trPr>
        <w:tc>
          <w:tcPr>
            <w:tcW w:w="1550" w:type="pct"/>
            <w:shd w:val="clear" w:color="auto" w:fill="FFFFFF"/>
            <w:hideMark/>
          </w:tcPr>
          <w:p w14:paraId="3C0C75B1" w14:textId="77777777" w:rsidR="0069777D" w:rsidRPr="002F2FDF" w:rsidRDefault="0069777D"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1915</w:t>
            </w:r>
          </w:p>
        </w:tc>
        <w:tc>
          <w:tcPr>
            <w:tcW w:w="1700" w:type="pct"/>
            <w:shd w:val="clear" w:color="auto" w:fill="FFFFFF"/>
            <w:hideMark/>
          </w:tcPr>
          <w:p w14:paraId="450BD3E1" w14:textId="77777777" w:rsidR="0069777D" w:rsidRPr="002F2FDF" w:rsidRDefault="0069777D"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6868</w:t>
            </w:r>
          </w:p>
        </w:tc>
        <w:tc>
          <w:tcPr>
            <w:tcW w:w="1700" w:type="pct"/>
            <w:shd w:val="clear" w:color="auto" w:fill="FFFFFF"/>
            <w:hideMark/>
          </w:tcPr>
          <w:p w14:paraId="71CC2AA3" w14:textId="77777777" w:rsidR="0069777D" w:rsidRPr="002F2FDF" w:rsidRDefault="0069777D"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4072</w:t>
            </w:r>
          </w:p>
        </w:tc>
      </w:tr>
      <w:tr w:rsidR="002B1C74" w:rsidRPr="002F2FDF" w14:paraId="1F4A292A" w14:textId="77777777" w:rsidTr="006514E2">
        <w:trPr>
          <w:tblCellSpacing w:w="7" w:type="dxa"/>
        </w:trPr>
        <w:tc>
          <w:tcPr>
            <w:tcW w:w="1550" w:type="pct"/>
            <w:shd w:val="clear" w:color="auto" w:fill="FFFFFF"/>
            <w:hideMark/>
          </w:tcPr>
          <w:p w14:paraId="70354D69" w14:textId="77777777" w:rsidR="0069777D" w:rsidRPr="002F2FDF" w:rsidRDefault="0069777D"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1916</w:t>
            </w:r>
          </w:p>
        </w:tc>
        <w:tc>
          <w:tcPr>
            <w:tcW w:w="1700" w:type="pct"/>
            <w:shd w:val="clear" w:color="auto" w:fill="FFFFFF"/>
            <w:hideMark/>
          </w:tcPr>
          <w:p w14:paraId="47E7B0C7" w14:textId="77777777" w:rsidR="0069777D" w:rsidRPr="002F2FDF" w:rsidRDefault="0069777D"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10920</w:t>
            </w:r>
          </w:p>
        </w:tc>
        <w:tc>
          <w:tcPr>
            <w:tcW w:w="1700" w:type="pct"/>
            <w:shd w:val="clear" w:color="auto" w:fill="FFFFFF"/>
            <w:hideMark/>
          </w:tcPr>
          <w:p w14:paraId="1E75910C" w14:textId="77777777" w:rsidR="0069777D" w:rsidRPr="002F2FDF" w:rsidRDefault="0069777D"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7278</w:t>
            </w:r>
          </w:p>
        </w:tc>
      </w:tr>
      <w:tr w:rsidR="002B1C74" w:rsidRPr="002F2FDF" w14:paraId="54E3CA54" w14:textId="77777777" w:rsidTr="006514E2">
        <w:trPr>
          <w:tblCellSpacing w:w="7" w:type="dxa"/>
        </w:trPr>
        <w:tc>
          <w:tcPr>
            <w:tcW w:w="1550" w:type="pct"/>
            <w:shd w:val="clear" w:color="auto" w:fill="FFFFFF"/>
            <w:hideMark/>
          </w:tcPr>
          <w:p w14:paraId="7B1A05BF" w14:textId="77777777" w:rsidR="0069777D" w:rsidRPr="002F2FDF" w:rsidRDefault="0069777D"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Итого за 2 1/2 года войны</w:t>
            </w:r>
          </w:p>
        </w:tc>
        <w:tc>
          <w:tcPr>
            <w:tcW w:w="1700" w:type="pct"/>
            <w:shd w:val="clear" w:color="auto" w:fill="FFFFFF"/>
            <w:hideMark/>
          </w:tcPr>
          <w:p w14:paraId="305B7A42" w14:textId="77777777" w:rsidR="0069777D" w:rsidRPr="002F2FDF" w:rsidRDefault="0069777D"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19825</w:t>
            </w:r>
          </w:p>
        </w:tc>
        <w:tc>
          <w:tcPr>
            <w:tcW w:w="1700" w:type="pct"/>
            <w:shd w:val="clear" w:color="auto" w:fill="FFFFFF"/>
            <w:hideMark/>
          </w:tcPr>
          <w:p w14:paraId="406DF1D8" w14:textId="77777777" w:rsidR="0069777D" w:rsidRPr="002F2FDF" w:rsidRDefault="0069777D"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12196</w:t>
            </w:r>
          </w:p>
        </w:tc>
      </w:tr>
    </w:tbl>
    <w:p w14:paraId="41D5D0B5" w14:textId="5C2760AD" w:rsidR="0069777D" w:rsidRPr="002F2FDF" w:rsidRDefault="0069777D"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вой продукции составляла 7357 млн. рублей)</w:t>
      </w:r>
      <w:r w:rsidRPr="002F2FDF">
        <w:rPr>
          <w:rFonts w:ascii="Times New Roman" w:eastAsia="Times New Roman" w:hAnsi="Times New Roman" w:cs="Times New Roman"/>
          <w:color w:val="000000" w:themeColor="text1"/>
          <w:sz w:val="16"/>
          <w:szCs w:val="16"/>
          <w:vertAlign w:val="superscript"/>
          <w:lang w:eastAsia="ru-RU"/>
        </w:rPr>
        <w:t>52</w:t>
      </w:r>
      <w:r w:rsidR="00E52569">
        <w:rPr>
          <w:rFonts w:ascii="Times New Roman" w:eastAsia="Times New Roman" w:hAnsi="Times New Roman" w:cs="Times New Roman"/>
          <w:color w:val="000000" w:themeColor="text1"/>
          <w:sz w:val="16"/>
          <w:szCs w:val="16"/>
          <w:lang w:eastAsia="ru-RU"/>
        </w:rPr>
        <w:t xml:space="preserve"> </w:t>
      </w:r>
      <w:r w:rsidRPr="002F2FDF">
        <w:rPr>
          <w:rFonts w:ascii="Times New Roman" w:eastAsia="Times New Roman" w:hAnsi="Times New Roman" w:cs="Times New Roman"/>
          <w:color w:val="000000" w:themeColor="text1"/>
          <w:sz w:val="16"/>
          <w:szCs w:val="16"/>
          <w:lang w:eastAsia="ru-RU"/>
        </w:rPr>
        <w:t>.</w:t>
      </w:r>
    </w:p>
    <w:p w14:paraId="42B48193" w14:textId="77777777" w:rsidR="0069777D" w:rsidRPr="002F2FDF" w:rsidRDefault="0069777D"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Таков был огромный размах работы мобилизованной промышленности (18381).</w:t>
      </w:r>
    </w:p>
    <w:p w14:paraId="21DBCBBB" w14:textId="77777777" w:rsidR="0069777D" w:rsidRPr="002F2FDF" w:rsidRDefault="0069777D" w:rsidP="0083075A">
      <w:pPr>
        <w:spacing w:after="0" w:line="240" w:lineRule="auto"/>
        <w:jc w:val="both"/>
        <w:rPr>
          <w:rFonts w:ascii="Times New Roman" w:eastAsia="Times New Roman" w:hAnsi="Times New Roman" w:cs="Times New Roman"/>
          <w:color w:val="000000" w:themeColor="text1"/>
          <w:sz w:val="16"/>
          <w:szCs w:val="16"/>
          <w:lang w:eastAsia="ru-RU"/>
        </w:rPr>
      </w:pPr>
    </w:p>
    <w:p w14:paraId="08238AEC"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1 (14) сентября 1917 Рапорт окружного инженера Екатеринославского горного округа В. А. Глыбовского Горному департаменту о сокращении добычи руды и производства металла на заводах округа в августе 1917 г.</w:t>
      </w:r>
    </w:p>
    <w:p w14:paraId="569525DF"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128-129</w:t>
      </w:r>
    </w:p>
    <w:p w14:paraId="32DAC74F"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37, оп. 58, д. 883, л. 305—305 об. Подлинник.</w:t>
      </w:r>
    </w:p>
    <w:p w14:paraId="0E1CFFBD"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Вследствие циркулярного предписания от 22 января 1910 г. за № 280 и от 22/25 августа 1914 г. за № 2658/2697 имею честь донести, что в истекшем августе с. г. еще с большей, чем раньше, интенсивностью действовали на горных заводах, железных и марганцевых рудниках округа указанные в предшествовавших ежемесячных рапортах причины, дезорганизующие и уменьшающие производительность, главнейшие — падение дисциплины труда и железнодорожный недоподвоз сырых материалов (особенно к заводам).</w:t>
      </w:r>
    </w:p>
    <w:p w14:paraId="098BA791"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Прогрессирующее падение производительности железных рудников округа за последнее время явствует из следующих округленных для наглядности цифр:</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28"/>
        <w:gridCol w:w="1248"/>
        <w:gridCol w:w="1248"/>
        <w:gridCol w:w="923"/>
        <w:gridCol w:w="938"/>
      </w:tblGrid>
      <w:tr w:rsidR="002B1C74" w:rsidRPr="002F2FDF" w14:paraId="0F14CE87" w14:textId="77777777" w:rsidTr="00680400">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DA8181A"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B180A7"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Добыто железной руды (в млн пуд.)</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8A14D06"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Состояло рабочих (в тыс.)</w:t>
            </w:r>
          </w:p>
        </w:tc>
      </w:tr>
      <w:tr w:rsidR="002B1C74" w:rsidRPr="002F2FDF" w14:paraId="13099611" w14:textId="77777777" w:rsidTr="0068040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C43C160"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5E396C"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DAAE4"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1D1AE"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5ECC8"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r>
      <w:tr w:rsidR="002B1C74" w:rsidRPr="002F2FDF" w14:paraId="1D4C92A8" w14:textId="77777777" w:rsidTr="0068040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CEC2BE"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1F88C"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8E0B5"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17565"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15DEA"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w:t>
            </w:r>
          </w:p>
        </w:tc>
      </w:tr>
      <w:tr w:rsidR="002B1C74" w:rsidRPr="002F2FDF" w14:paraId="39456403" w14:textId="77777777" w:rsidTr="0068040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A2F6CC"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2B9B1"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A7D04"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AC165"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A0958"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r>
      <w:tr w:rsidR="002B1C74" w:rsidRPr="002F2FDF" w14:paraId="091B562D" w14:textId="77777777" w:rsidTr="0068040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1AA846"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64F76"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32706"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D041F"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3E529"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r>
    </w:tbl>
    <w:p w14:paraId="78C5AE9F"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4 горных заводов округа особенно неполно вследствие, главнейше, железнодорожного недоподвоза угля работал Днепровский завод Южно-Русского Днепровского металлургического об-ва Екатеринославского уезда.</w:t>
      </w:r>
    </w:p>
    <w:p w14:paraId="52C90565"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рудниках и особенно на заводах замечалось по сравнению с июлем с. г. усиление обостренности взаимоотношений [между] администрацией предприятий и рабочими. На Александровском заводе Брянского об-ва чернорабочие 19 августа с. г. под угрозой подвезенной тачки грозили вывозом на ней инженера — заведующего строительным цехом завода, и в резкой, категорической форме предъявили директору завода требование срочного увеличения расценок чернорабочих и вообще всех рабочих (24 августа с. г. рабочим заявлен отказ заводоуправления в увеличении расценок).</w:t>
      </w:r>
    </w:p>
    <w:p w14:paraId="04E0C272"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Днепровском заводе Южно-Русского Днепровского металлургического об-ва Екатеринославского уезда 18 августа с. г. представителями рабочего комитета завода были насильственно удалены из конторы завода 4 старших служащих. На Гданцевском заводе Акц. об-ва Криворожских железных руд Херсонской губ. 16 августа с. г. под угрозой физического невьшуска из завода рабочие заставили директора завода подписать согласие на значительное увеличение расценок.</w:t>
      </w:r>
    </w:p>
    <w:p w14:paraId="3D903F38"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Окружной инженер Екатеринославского горного округа Вл. Глыбовский (15680).</w:t>
      </w:r>
    </w:p>
    <w:p w14:paraId="61D61CD6"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p>
    <w:p w14:paraId="6E1D213F"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 </w:t>
      </w:r>
      <w:r w:rsidR="0055271B" w:rsidRPr="002F2FDF">
        <w:rPr>
          <w:rFonts w:ascii="Times New Roman" w:hAnsi="Times New Roman" w:cs="Times New Roman"/>
          <w:color w:val="000000" w:themeColor="text1"/>
          <w:kern w:val="2"/>
          <w:sz w:val="16"/>
          <w:szCs w:val="16"/>
        </w:rPr>
        <w:t xml:space="preserve">(14) </w:t>
      </w:r>
      <w:r w:rsidRPr="002F2FDF">
        <w:rPr>
          <w:rFonts w:ascii="Times New Roman" w:hAnsi="Times New Roman" w:cs="Times New Roman"/>
          <w:color w:val="000000" w:themeColor="text1"/>
          <w:kern w:val="2"/>
          <w:sz w:val="16"/>
          <w:szCs w:val="16"/>
        </w:rPr>
        <w:t>сентября 1917 Рапорт окружного инженера Московского горного округа Р. Ф. Левицкого Горному департаменту о сокращении количества рабочих на рудниках, падении производительности труда и недостатке продовольствия на предприятиях округа в августе 1917 г.</w:t>
      </w:r>
    </w:p>
    <w:p w14:paraId="6E91501D"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72-73</w:t>
      </w:r>
    </w:p>
    <w:p w14:paraId="57BB6DD5"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37, оп. 58, д. 883, л. 283. Подлинник.</w:t>
      </w:r>
    </w:p>
    <w:p w14:paraId="4C71639D"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Вследствие предложений Горного департамента от 22 января 1910 г. за № 280 и 22 августа 1914 г. за № 2658 докладываю, что с июля с. г. прекратил работы В. К. Гайдеров вследствие затопления 29 шахт; все рабочие и большая часть военнопленных переданы на Побединские копи временно, впредь до возобновления работ после откачки воды, для чего в настоящее время устанавливается паровой котел и насос. 23 августа пущена в действие доменная печь Сынтульского завода, перешедшего в аренду к Трудовой артели, составившейся из мастеровых и рабочих Сынтульского завода; условия, на которых Сынтульский завод передан в аренду, мне еще не сообщены.</w:t>
      </w:r>
    </w:p>
    <w:p w14:paraId="350752B5"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Движение рабочих за август выразилось в следующем: почти на всех, каменоломнях округа число рабочих сократилось от 40 до 90% против августа 1913 г. вследствие недостатка рабочих и ухода их на полевые работы; лишь на каменоломне н-ков М. Ё. Расторгуева число рабочих было такое же, как в августе 1913 г. 11а каменоломне Ганнина работы в августе возобновились одной артелью военнообязанных турок в 25 чел., причем шла главным образом погрузка добытого ранее камня в вагоны.</w:t>
      </w:r>
    </w:p>
    <w:p w14:paraId="74FCA6F8"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Побединских копях Углепромышленного акц. об-ва число рабочих увеличилось на 409.3%, а производительность копей увеличилась на.</w:t>
      </w:r>
    </w:p>
    <w:p w14:paraId="1B9E614C"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385.5% против августа 1913 г.; копь Гайдерова бездействовала, на копи Усова при 116 рабочих было добыто 73 500 пуд., на Мураевинских копях</w:t>
      </w:r>
    </w:p>
    <w:p w14:paraId="260754FC"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X. Тер-Микиртичева при 600 рабочих было добыто 99 тыс. пуд., на. Гротовском руднике при 613 рабочих добыто 275 тыс. пуд. и на Князевском руднике при 238 рабочих добыто 55 тыс. пуд. угля. Гротовский рудник и Мураевинские копи в августе 1913 г. не разрабатывались вследствие ухода рабочих на полевые работы. На Ильинской копи горючего сланца, при 18 чел. рабочих было добыто 2500 пуд.</w:t>
      </w:r>
    </w:p>
    <w:p w14:paraId="0254201E"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заводе Лашме число рабочих сократилось на 35%, на Сынтуль-ском — на 40% и на Сокольском — на 25% против августа 1913 г.; сокращение работ произошло главным образом вследствие недостатка топлива. Авторский завод в августе не действовал.</w:t>
      </w:r>
    </w:p>
    <w:p w14:paraId="7060C6D5"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Липецких рудниках число рабочих сократилось на 26.5% по сравнению с августом 1913 г., а Сынтульские рудники бездействовали.</w:t>
      </w:r>
    </w:p>
    <w:p w14:paraId="4BB8D277"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цементном заводе Центрального акц. об-ва число рабочих сократилось на 40% против августа 1913 г.</w:t>
      </w:r>
    </w:p>
    <w:p w14:paraId="0C6EFE2B"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промышленные предприятия округа ощущали сильный недостаток в продуктах питания, которых вследствие разных запретов продовольственных комитетов и разных волостных и других комитетов нельзя было закупить в достаточном количестве в тех местностях, в которых они имелись в изобилии. Вследствие этого, а также в связи с введением 8-часового рабочего дня производительность рабочих сильно сократилась по сравнению с дореволюционным периодом.</w:t>
      </w:r>
    </w:p>
    <w:p w14:paraId="1919706B"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Женщины и подростки работали в ночных и подземных работах в следующих предприятиях:</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70"/>
        <w:gridCol w:w="457"/>
        <w:gridCol w:w="1170"/>
        <w:gridCol w:w="457"/>
        <w:gridCol w:w="984"/>
        <w:gridCol w:w="457"/>
        <w:gridCol w:w="984"/>
        <w:gridCol w:w="457"/>
        <w:gridCol w:w="1063"/>
      </w:tblGrid>
      <w:tr w:rsidR="002B1C74" w:rsidRPr="002F2FDF" w14:paraId="7667884E"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FFA8691"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Название предприятия</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90976BD"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Ночные работы на поверхности</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B1D197D"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Подземные работы</w:t>
            </w:r>
          </w:p>
        </w:tc>
      </w:tr>
      <w:tr w:rsidR="002B1C74" w:rsidRPr="002F2FDF" w14:paraId="160233FE"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CE50581"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91118BA"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женщины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FEE82F2"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подростки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223CA2"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женщины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87CC799"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подростки</w:t>
            </w:r>
          </w:p>
        </w:tc>
      </w:tr>
      <w:tr w:rsidR="002B1C74" w:rsidRPr="002F2FDF" w14:paraId="3BA660E5"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D9150F7"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DC0EAF"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C529F"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отношение</w:t>
            </w:r>
            <w:hyperlink r:id="rId524" w:anchor="_ftn1" w:history="1">
              <w:r w:rsidRPr="002F2FDF">
                <w:rPr>
                  <w:rFonts w:ascii="Times New Roman" w:hAnsi="Times New Roman" w:cs="Times New Roman"/>
                  <w:color w:val="000000" w:themeColor="text1"/>
                  <w:kern w:val="2"/>
                  <w:sz w:val="16"/>
                  <w:szCs w:val="16"/>
                </w:rPr>
                <w:t>[1]</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2A6A9221"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4B2D6"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отношение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D9414"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6C963"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отношение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8BA32"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C0B32"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отношение</w:t>
            </w:r>
          </w:p>
        </w:tc>
      </w:tr>
      <w:tr w:rsidR="002B1C74" w:rsidRPr="002F2FDF" w14:paraId="19947EF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E001F6"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Побединские копи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8333A"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21175"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4AA18"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E2678"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6BBF0" w14:textId="4676FF18" w:rsidR="0068040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4A0B4" w14:textId="4D34FD97" w:rsidR="0068040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61447" w14:textId="3BD531F9" w:rsidR="0068040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49713" w14:textId="5E3D6359" w:rsidR="0068040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914EC2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D8542C"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Тер-Микиртичев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218E4"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1B4E0"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4CB3F"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5E981"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BEDDB"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0A4ED"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4050B"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25508"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2.17</w:t>
            </w:r>
          </w:p>
        </w:tc>
      </w:tr>
      <w:tr w:rsidR="002B1C74" w:rsidRPr="002F2FDF" w14:paraId="7AC0040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B52CC7"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Гротовский рудник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38B35"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063F2"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6FFC6"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F25FE"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18406"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2B2AB"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__</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D37D2"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323C5"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1.63</w:t>
            </w:r>
          </w:p>
        </w:tc>
      </w:tr>
      <w:tr w:rsidR="002B1C74" w:rsidRPr="002F2FDF" w14:paraId="1126588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6830A4"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Князевский рудник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ED194"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AF7FB"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80A29"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AA6A8"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833C0"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639D8"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5FF4A"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FA269"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w:t>
            </w:r>
          </w:p>
        </w:tc>
      </w:tr>
      <w:tr w:rsidR="002B1C74" w:rsidRPr="002F2FDF" w14:paraId="158B9A4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1F30B4"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Сокольский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C0DF4"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03C0E"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CCCF0"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EE397"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DC783"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BB426"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ADB30"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7A1EB"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3F66864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AA4A78"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Цементный завод Центрального об-ва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7ABAB"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1A34E"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29530"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258EF"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AA475"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42254"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5B3E0"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27D87"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bl>
    <w:p w14:paraId="5B3A0A5D"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Отрицательных явлений в работе женщин и подростков в общем незамечалось, но производительность их несколько ниже производительности взрослых рабочих.</w:t>
      </w:r>
    </w:p>
    <w:p w14:paraId="5CAC70F1"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Окружной инженер Р. Левицкий.</w:t>
      </w:r>
    </w:p>
    <w:p w14:paraId="5E75C19D" w14:textId="77777777" w:rsidR="00680400"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25" w:anchor="_ftnref1" w:history="1">
        <w:r w:rsidR="00680400" w:rsidRPr="002F2FDF">
          <w:rPr>
            <w:rFonts w:ascii="Times New Roman" w:hAnsi="Times New Roman" w:cs="Times New Roman"/>
            <w:color w:val="000000" w:themeColor="text1"/>
            <w:kern w:val="2"/>
            <w:sz w:val="16"/>
            <w:szCs w:val="16"/>
          </w:rPr>
          <w:t>[1]</w:t>
        </w:r>
      </w:hyperlink>
      <w:r w:rsidR="00680400" w:rsidRPr="002F2FDF">
        <w:rPr>
          <w:rFonts w:ascii="Times New Roman" w:hAnsi="Times New Roman" w:cs="Times New Roman"/>
          <w:color w:val="000000" w:themeColor="text1"/>
          <w:kern w:val="2"/>
          <w:sz w:val="16"/>
          <w:szCs w:val="16"/>
        </w:rPr>
        <w:t xml:space="preserve"> Повидимому, к общему числу рабочих (15698).</w:t>
      </w:r>
    </w:p>
    <w:p w14:paraId="66918BBC" w14:textId="77777777" w:rsidR="00680400" w:rsidRPr="002F2FDF" w:rsidRDefault="00680400" w:rsidP="0083075A">
      <w:pPr>
        <w:spacing w:after="0" w:line="240" w:lineRule="auto"/>
        <w:jc w:val="both"/>
        <w:rPr>
          <w:rFonts w:ascii="Times New Roman" w:hAnsi="Times New Roman" w:cs="Times New Roman"/>
          <w:color w:val="000000" w:themeColor="text1"/>
          <w:kern w:val="2"/>
          <w:sz w:val="16"/>
          <w:szCs w:val="16"/>
        </w:rPr>
      </w:pPr>
    </w:p>
    <w:p w14:paraId="78AA941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30147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21A6A4" w14:textId="40B73928" w:rsidR="00E44BF8" w:rsidRPr="002F2FDF" w:rsidRDefault="00E44BF8" w:rsidP="0083075A">
      <w:pPr>
        <w:pStyle w:val="ae"/>
        <w:spacing w:before="0" w:after="0"/>
        <w:jc w:val="both"/>
        <w:rPr>
          <w:color w:val="000000" w:themeColor="text1"/>
          <w:kern w:val="2"/>
          <w:sz w:val="16"/>
          <w:szCs w:val="16"/>
        </w:rPr>
      </w:pPr>
      <w:r w:rsidRPr="002F2FDF">
        <w:rPr>
          <w:color w:val="000000" w:themeColor="text1"/>
          <w:kern w:val="2"/>
          <w:sz w:val="16"/>
          <w:szCs w:val="16"/>
        </w:rPr>
        <w:t>1</w:t>
      </w:r>
      <w:r w:rsidR="00E52569">
        <w:rPr>
          <w:color w:val="000000" w:themeColor="text1"/>
          <w:kern w:val="2"/>
          <w:sz w:val="16"/>
          <w:szCs w:val="16"/>
        </w:rPr>
        <w:t xml:space="preserve"> </w:t>
      </w:r>
      <w:r w:rsidR="0019702E" w:rsidRPr="002F2FDF">
        <w:rPr>
          <w:color w:val="000000" w:themeColor="text1"/>
          <w:kern w:val="2"/>
          <w:sz w:val="16"/>
          <w:szCs w:val="16"/>
        </w:rPr>
        <w:t xml:space="preserve">(14) </w:t>
      </w:r>
      <w:r w:rsidRPr="002F2FDF">
        <w:rPr>
          <w:color w:val="000000" w:themeColor="text1"/>
          <w:kern w:val="2"/>
          <w:sz w:val="16"/>
          <w:szCs w:val="16"/>
        </w:rPr>
        <w:t>сентября 1917</w:t>
      </w:r>
      <w:r w:rsidR="00E52569">
        <w:rPr>
          <w:color w:val="000000" w:themeColor="text1"/>
          <w:kern w:val="2"/>
          <w:sz w:val="16"/>
          <w:szCs w:val="16"/>
        </w:rPr>
        <w:t xml:space="preserve"> </w:t>
      </w:r>
      <w:r w:rsidRPr="002F2FDF">
        <w:rPr>
          <w:color w:val="000000" w:themeColor="text1"/>
          <w:kern w:val="2"/>
          <w:sz w:val="16"/>
          <w:szCs w:val="16"/>
        </w:rPr>
        <w:t>года Совещание Временного правительства, в том числе и по вопросу преобразования УВВФ в ГУВФ, рекомендовало УВВФ доработать предложения о Главном управлении в плане подчинения Увофлоту ещё и гидроавиации. Вскоре начальник Увофлота направил Временному правительству новый доклад о Главном управлении ВВФ, однако он был рассмотрен только после Октябрьской революции.</w:t>
      </w:r>
    </w:p>
    <w:p w14:paraId="5D029594" w14:textId="570B9D2B" w:rsidR="00E44BF8" w:rsidRPr="002F2FDF" w:rsidRDefault="00E44BF8" w:rsidP="0083075A">
      <w:pPr>
        <w:pStyle w:val="ae"/>
        <w:spacing w:before="0" w:after="0"/>
        <w:jc w:val="both"/>
        <w:rPr>
          <w:color w:val="000000" w:themeColor="text1"/>
          <w:kern w:val="2"/>
          <w:sz w:val="16"/>
          <w:szCs w:val="16"/>
        </w:rPr>
      </w:pPr>
      <w:r w:rsidRPr="002F2FDF">
        <w:rPr>
          <w:color w:val="000000" w:themeColor="text1"/>
          <w:kern w:val="2"/>
          <w:sz w:val="16"/>
          <w:szCs w:val="16"/>
        </w:rPr>
        <w:t>В ноябре 1917</w:t>
      </w:r>
      <w:r w:rsidR="00E52569">
        <w:rPr>
          <w:color w:val="000000" w:themeColor="text1"/>
          <w:kern w:val="2"/>
          <w:sz w:val="16"/>
          <w:szCs w:val="16"/>
        </w:rPr>
        <w:t xml:space="preserve"> </w:t>
      </w:r>
      <w:r w:rsidRPr="002F2FDF">
        <w:rPr>
          <w:color w:val="000000" w:themeColor="text1"/>
          <w:kern w:val="2"/>
          <w:sz w:val="16"/>
          <w:szCs w:val="16"/>
        </w:rPr>
        <w:t>года Увофлот как тыловой орган авиации стал выполнять поручения Советской власти, однако авиаторы-большевики распространили в это время воззвание, подготовлявшее решительную реорганизацию всех органов управления авиацией, включая Увофлот. В этом воззвании говорилось: «Союзники прекращают снабжение аппаратами, свои заводы изготовляют не то, что нужно. Нужда фронта в аппаратах лишь в малой степени может быть удовлетворена. А органы управления авиацией искусственно разрослись до размеров, значительно превосходящих то, что требуется современным положением авиации».</w:t>
      </w:r>
    </w:p>
    <w:p w14:paraId="47312ADA" w14:textId="20ECCC0B" w:rsidR="00E44BF8" w:rsidRPr="002F2FDF" w:rsidRDefault="00E44BF8" w:rsidP="0083075A">
      <w:pPr>
        <w:pStyle w:val="ae"/>
        <w:spacing w:before="0" w:after="0"/>
        <w:jc w:val="both"/>
        <w:rPr>
          <w:color w:val="000000" w:themeColor="text1"/>
          <w:kern w:val="2"/>
          <w:sz w:val="16"/>
          <w:szCs w:val="16"/>
        </w:rPr>
      </w:pPr>
      <w:r w:rsidRPr="002F2FDF">
        <w:rPr>
          <w:color w:val="000000" w:themeColor="text1"/>
          <w:kern w:val="2"/>
          <w:sz w:val="16"/>
          <w:szCs w:val="16"/>
        </w:rPr>
        <w:t>В 1917</w:t>
      </w:r>
      <w:r w:rsidR="00E52569">
        <w:rPr>
          <w:color w:val="000000" w:themeColor="text1"/>
          <w:kern w:val="2"/>
          <w:sz w:val="16"/>
          <w:szCs w:val="16"/>
        </w:rPr>
        <w:t xml:space="preserve"> </w:t>
      </w:r>
      <w:r w:rsidRPr="002F2FDF">
        <w:rPr>
          <w:color w:val="000000" w:themeColor="text1"/>
          <w:kern w:val="2"/>
          <w:sz w:val="16"/>
          <w:szCs w:val="16"/>
        </w:rPr>
        <w:t>году, накануне Октябрьской революции свыше 300</w:t>
      </w:r>
      <w:r w:rsidR="00E52569">
        <w:rPr>
          <w:color w:val="000000" w:themeColor="text1"/>
          <w:kern w:val="2"/>
          <w:sz w:val="16"/>
          <w:szCs w:val="16"/>
        </w:rPr>
        <w:t xml:space="preserve"> </w:t>
      </w:r>
      <w:r w:rsidRPr="002F2FDF">
        <w:rPr>
          <w:color w:val="000000" w:themeColor="text1"/>
          <w:kern w:val="2"/>
          <w:sz w:val="16"/>
          <w:szCs w:val="16"/>
        </w:rPr>
        <w:t>авиационных и воздухоплавательных частей, учреждений и учебных заведений насчитывали в своем составе 35</w:t>
      </w:r>
      <w:r w:rsidR="00E52569">
        <w:rPr>
          <w:color w:val="000000" w:themeColor="text1"/>
          <w:kern w:val="2"/>
          <w:sz w:val="16"/>
          <w:szCs w:val="16"/>
        </w:rPr>
        <w:t xml:space="preserve"> </w:t>
      </w:r>
      <w:r w:rsidRPr="002F2FDF">
        <w:rPr>
          <w:color w:val="000000" w:themeColor="text1"/>
          <w:kern w:val="2"/>
          <w:sz w:val="16"/>
          <w:szCs w:val="16"/>
        </w:rPr>
        <w:t>тыс. солдат и офицеров, что составляло 0,5</w:t>
      </w:r>
      <w:r w:rsidR="00E52569">
        <w:rPr>
          <w:color w:val="000000" w:themeColor="text1"/>
          <w:kern w:val="2"/>
          <w:sz w:val="16"/>
          <w:szCs w:val="16"/>
        </w:rPr>
        <w:t xml:space="preserve"> </w:t>
      </w:r>
      <w:r w:rsidRPr="002F2FDF">
        <w:rPr>
          <w:color w:val="000000" w:themeColor="text1"/>
          <w:kern w:val="2"/>
          <w:sz w:val="16"/>
          <w:szCs w:val="16"/>
        </w:rPr>
        <w:t>проц. от численности сухопутной армии (7518 тыс. человек). На наземные службы в ВВФ приходилось 95</w:t>
      </w:r>
      <w:r w:rsidR="00E52569">
        <w:rPr>
          <w:color w:val="000000" w:themeColor="text1"/>
          <w:kern w:val="2"/>
          <w:sz w:val="16"/>
          <w:szCs w:val="16"/>
        </w:rPr>
        <w:t xml:space="preserve"> </w:t>
      </w:r>
      <w:r w:rsidRPr="002F2FDF">
        <w:rPr>
          <w:color w:val="000000" w:themeColor="text1"/>
          <w:kern w:val="2"/>
          <w:sz w:val="16"/>
          <w:szCs w:val="16"/>
        </w:rPr>
        <w:t>проц. личного состава. Насчитывалось 295 лётчиков-солдат — примерно 15</w:t>
      </w:r>
      <w:r w:rsidR="00E52569">
        <w:rPr>
          <w:color w:val="000000" w:themeColor="text1"/>
          <w:kern w:val="2"/>
          <w:sz w:val="16"/>
          <w:szCs w:val="16"/>
        </w:rPr>
        <w:t xml:space="preserve"> </w:t>
      </w:r>
      <w:r w:rsidRPr="002F2FDF">
        <w:rPr>
          <w:color w:val="000000" w:themeColor="text1"/>
          <w:kern w:val="2"/>
          <w:sz w:val="16"/>
          <w:szCs w:val="16"/>
        </w:rPr>
        <w:t>проц. от 2000 лётчиков и лётчиков-наблюдателей (без лётно-подъёмного состава авиашкол). Авиатехника была представлена около 1,5</w:t>
      </w:r>
      <w:r w:rsidR="00E52569">
        <w:rPr>
          <w:color w:val="000000" w:themeColor="text1"/>
          <w:kern w:val="2"/>
          <w:sz w:val="16"/>
          <w:szCs w:val="16"/>
        </w:rPr>
        <w:t xml:space="preserve"> </w:t>
      </w:r>
      <w:r w:rsidRPr="002F2FDF">
        <w:rPr>
          <w:color w:val="000000" w:themeColor="text1"/>
          <w:kern w:val="2"/>
          <w:sz w:val="16"/>
          <w:szCs w:val="16"/>
        </w:rPr>
        <w:t>тыс. самолётов (более 30 различных типов), однако многие из них были неисправны.</w:t>
      </w:r>
    </w:p>
    <w:p w14:paraId="4445D01A" w14:textId="5634FA65" w:rsidR="00E44BF8" w:rsidRPr="002F2FDF" w:rsidRDefault="00E44BF8" w:rsidP="0083075A">
      <w:pPr>
        <w:pStyle w:val="ae"/>
        <w:spacing w:before="0" w:after="0"/>
        <w:jc w:val="both"/>
        <w:rPr>
          <w:color w:val="000000" w:themeColor="text1"/>
          <w:kern w:val="2"/>
          <w:sz w:val="16"/>
          <w:szCs w:val="16"/>
        </w:rPr>
      </w:pPr>
      <w:r w:rsidRPr="002F2FDF">
        <w:rPr>
          <w:color w:val="000000" w:themeColor="text1"/>
          <w:kern w:val="2"/>
          <w:sz w:val="16"/>
          <w:szCs w:val="16"/>
        </w:rPr>
        <w:t>На 1</w:t>
      </w:r>
      <w:r w:rsidR="00E52569">
        <w:rPr>
          <w:color w:val="000000" w:themeColor="text1"/>
          <w:kern w:val="2"/>
          <w:sz w:val="16"/>
          <w:szCs w:val="16"/>
        </w:rPr>
        <w:t xml:space="preserve"> </w:t>
      </w:r>
      <w:r w:rsidRPr="002F2FDF">
        <w:rPr>
          <w:color w:val="000000" w:themeColor="text1"/>
          <w:kern w:val="2"/>
          <w:sz w:val="16"/>
          <w:szCs w:val="16"/>
        </w:rPr>
        <w:t>октября 1917</w:t>
      </w:r>
      <w:r w:rsidR="00E52569">
        <w:rPr>
          <w:color w:val="000000" w:themeColor="text1"/>
          <w:kern w:val="2"/>
          <w:sz w:val="16"/>
          <w:szCs w:val="16"/>
        </w:rPr>
        <w:t xml:space="preserve"> </w:t>
      </w:r>
      <w:r w:rsidRPr="002F2FDF">
        <w:rPr>
          <w:color w:val="000000" w:themeColor="text1"/>
          <w:kern w:val="2"/>
          <w:sz w:val="16"/>
          <w:szCs w:val="16"/>
        </w:rPr>
        <w:t>года в подчинении ПУАВ имелся 91</w:t>
      </w:r>
      <w:r w:rsidR="00E52569">
        <w:rPr>
          <w:color w:val="000000" w:themeColor="text1"/>
          <w:kern w:val="2"/>
          <w:sz w:val="16"/>
          <w:szCs w:val="16"/>
        </w:rPr>
        <w:t xml:space="preserve"> </w:t>
      </w:r>
      <w:r w:rsidRPr="002F2FDF">
        <w:rPr>
          <w:color w:val="000000" w:themeColor="text1"/>
          <w:kern w:val="2"/>
          <w:sz w:val="16"/>
          <w:szCs w:val="16"/>
        </w:rPr>
        <w:t>авиаотряд. Эскадра воздушных кораблей, оперативно подчинённая НШ</w:t>
      </w:r>
      <w:r w:rsidR="00E52569">
        <w:rPr>
          <w:color w:val="000000" w:themeColor="text1"/>
          <w:kern w:val="2"/>
          <w:sz w:val="16"/>
          <w:szCs w:val="16"/>
        </w:rPr>
        <w:t xml:space="preserve"> </w:t>
      </w:r>
      <w:r w:rsidRPr="002F2FDF">
        <w:rPr>
          <w:color w:val="000000" w:themeColor="text1"/>
          <w:kern w:val="2"/>
          <w:sz w:val="16"/>
          <w:szCs w:val="16"/>
        </w:rPr>
        <w:t>ВГК, состояла из 5</w:t>
      </w:r>
      <w:r w:rsidR="00E52569">
        <w:rPr>
          <w:color w:val="000000" w:themeColor="text1"/>
          <w:kern w:val="2"/>
          <w:sz w:val="16"/>
          <w:szCs w:val="16"/>
        </w:rPr>
        <w:t xml:space="preserve"> </w:t>
      </w:r>
      <w:r w:rsidRPr="002F2FDF">
        <w:rPr>
          <w:color w:val="000000" w:themeColor="text1"/>
          <w:kern w:val="2"/>
          <w:sz w:val="16"/>
          <w:szCs w:val="16"/>
        </w:rPr>
        <w:t>авиаотрядов (всего 30</w:t>
      </w:r>
      <w:r w:rsidR="00E52569">
        <w:rPr>
          <w:color w:val="000000" w:themeColor="text1"/>
          <w:kern w:val="2"/>
          <w:sz w:val="16"/>
          <w:szCs w:val="16"/>
        </w:rPr>
        <w:t xml:space="preserve"> </w:t>
      </w:r>
      <w:r w:rsidRPr="002F2FDF">
        <w:rPr>
          <w:color w:val="000000" w:themeColor="text1"/>
          <w:kern w:val="2"/>
          <w:sz w:val="16"/>
          <w:szCs w:val="16"/>
        </w:rPr>
        <w:t>экипажей). Воздухоплавательная служба включала 87 отрядов.</w:t>
      </w:r>
    </w:p>
    <w:p w14:paraId="454D464B" w14:textId="66F0A1FF" w:rsidR="00E44BF8" w:rsidRPr="002F2FDF" w:rsidRDefault="00E44BF8" w:rsidP="0083075A">
      <w:pPr>
        <w:pStyle w:val="ae"/>
        <w:spacing w:before="0" w:after="0"/>
        <w:jc w:val="both"/>
        <w:rPr>
          <w:color w:val="000000" w:themeColor="text1"/>
          <w:kern w:val="2"/>
          <w:sz w:val="16"/>
          <w:szCs w:val="16"/>
        </w:rPr>
      </w:pPr>
      <w:r w:rsidRPr="002F2FDF">
        <w:rPr>
          <w:color w:val="000000" w:themeColor="text1"/>
          <w:kern w:val="2"/>
          <w:sz w:val="16"/>
          <w:szCs w:val="16"/>
        </w:rPr>
        <w:t>Для получения общего представления о социально-профессиональном составе дореволюционной авиации обратимся к свидетельству известного авиационного начальника периода 1918—1921</w:t>
      </w:r>
      <w:r w:rsidR="00E52569">
        <w:rPr>
          <w:color w:val="000000" w:themeColor="text1"/>
          <w:kern w:val="2"/>
          <w:sz w:val="16"/>
          <w:szCs w:val="16"/>
        </w:rPr>
        <w:t xml:space="preserve"> </w:t>
      </w:r>
      <w:r w:rsidRPr="002F2FDF">
        <w:rPr>
          <w:color w:val="000000" w:themeColor="text1"/>
          <w:kern w:val="2"/>
          <w:sz w:val="16"/>
          <w:szCs w:val="16"/>
        </w:rPr>
        <w:t>гг. А.В.</w:t>
      </w:r>
      <w:r w:rsidR="00E52569">
        <w:rPr>
          <w:color w:val="000000" w:themeColor="text1"/>
          <w:kern w:val="2"/>
          <w:sz w:val="16"/>
          <w:szCs w:val="16"/>
        </w:rPr>
        <w:t xml:space="preserve"> </w:t>
      </w:r>
      <w:r w:rsidRPr="002F2FDF">
        <w:rPr>
          <w:color w:val="000000" w:themeColor="text1"/>
          <w:kern w:val="2"/>
          <w:sz w:val="16"/>
          <w:szCs w:val="16"/>
        </w:rPr>
        <w:t>Сергеева. В своей книге, изданной в 1926</w:t>
      </w:r>
      <w:r w:rsidR="00E52569">
        <w:rPr>
          <w:color w:val="000000" w:themeColor="text1"/>
          <w:kern w:val="2"/>
          <w:sz w:val="16"/>
          <w:szCs w:val="16"/>
        </w:rPr>
        <w:t xml:space="preserve"> </w:t>
      </w:r>
      <w:r w:rsidRPr="002F2FDF">
        <w:rPr>
          <w:color w:val="000000" w:themeColor="text1"/>
          <w:kern w:val="2"/>
          <w:sz w:val="16"/>
          <w:szCs w:val="16"/>
        </w:rPr>
        <w:t xml:space="preserve">году, он привёл таблицу, в которой дал приблизительное распределение личного </w:t>
      </w:r>
      <w:r w:rsidRPr="002F2FDF">
        <w:rPr>
          <w:color w:val="000000" w:themeColor="text1"/>
          <w:kern w:val="2"/>
          <w:sz w:val="16"/>
          <w:szCs w:val="16"/>
        </w:rPr>
        <w:lastRenderedPageBreak/>
        <w:t>состава по категориям в основной боевой и административно-хозяйственной единице русской авиации — авиаотряде (6—8 самолётов) (17042).</w:t>
      </w:r>
    </w:p>
    <w:p w14:paraId="408E84B6" w14:textId="77777777" w:rsidR="00E44BF8" w:rsidRPr="002F2FDF" w:rsidRDefault="00E44B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860F50" w14:textId="77777777" w:rsidR="0069777D" w:rsidRPr="002F2FDF" w:rsidRDefault="0069777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(14) сентября 1917 г. Совещание Временного правительства, проведенное в том числе и по этому вопросу, рекомендовало УВВФ доработать предложения о Главном Управлении в плане подчинения Увофлоту гидроавиации. Вскоре Временному правительству был направлен новый доклад о Главном УВВФ, однако он так и остался не рассмотренным до Октябрьской революции. В ноябре 1917 г. Увофлот, как тыловой орган авиации, стал выполнять поручения Советской власти по сохранению авиационного имущества, находящегося в тылу (19566).</w:t>
      </w:r>
    </w:p>
    <w:p w14:paraId="500637B1" w14:textId="77777777" w:rsidR="0069777D" w:rsidRPr="002F2FDF" w:rsidRDefault="0069777D" w:rsidP="0083075A">
      <w:pPr>
        <w:spacing w:after="0" w:line="240" w:lineRule="auto"/>
        <w:jc w:val="both"/>
        <w:rPr>
          <w:rFonts w:ascii="Times New Roman" w:hAnsi="Times New Roman" w:cs="Times New Roman"/>
          <w:color w:val="000000" w:themeColor="text1"/>
          <w:sz w:val="16"/>
          <w:szCs w:val="16"/>
        </w:rPr>
      </w:pPr>
    </w:p>
    <w:p w14:paraId="199374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сентября 1917 у прапорщика Вигара, покинувшего горящий аэростат, не раскрылся парашют, но он в полете настиг поручика Юмашева, повис на нем и вместе с ним благополучно приземлился (3481).</w:t>
      </w:r>
    </w:p>
    <w:p w14:paraId="48D69A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FE03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сентября 1917 была составлена справка, что с 1 июня все авиачасти действующей армии выполнили 12000 полетов продолжительностью 16000 час. Сбили 39 и 4 аэростата. Потеряли 56 л и н, в т.ч7 31 в воздушных боях и из-за артогня (438,372).</w:t>
      </w:r>
    </w:p>
    <w:p w14:paraId="0AE626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64819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bookmarkStart w:id="294" w:name="_Hlk119488276"/>
      <w:r w:rsidRPr="002F2FDF">
        <w:rPr>
          <w:rFonts w:ascii="Times New Roman" w:hAnsi="Times New Roman" w:cs="Times New Roman"/>
          <w:color w:val="000000" w:themeColor="text1"/>
          <w:kern w:val="2"/>
          <w:sz w:val="16"/>
          <w:szCs w:val="16"/>
        </w:rPr>
        <w:t>1 (14) сентября 1917 за летний период, начиная с I июня, всеми авиачастями ДА было совершено 12.000 полетов, общей продолжи</w:t>
      </w:r>
      <w:r w:rsidRPr="002F2FDF">
        <w:rPr>
          <w:rFonts w:ascii="Times New Roman" w:hAnsi="Times New Roman" w:cs="Times New Roman"/>
          <w:color w:val="000000" w:themeColor="text1"/>
          <w:kern w:val="2"/>
          <w:sz w:val="16"/>
          <w:szCs w:val="16"/>
        </w:rPr>
        <w:softHyphen/>
        <w:t>тельностью свыше 16.000 часов. За это время в воздушных боях было сбито 39 неприятельских самолетов и сожжено 4 привязных аэростате. Потери состарили 56 летчиков и наблюдателей, из них 31 погиб в воздуодых боях и от артиллерийского огня против</w:t>
      </w:r>
      <w:r w:rsidRPr="002F2FDF">
        <w:rPr>
          <w:rFonts w:ascii="Times New Roman" w:hAnsi="Times New Roman" w:cs="Times New Roman"/>
          <w:color w:val="000000" w:themeColor="text1"/>
          <w:kern w:val="2"/>
          <w:sz w:val="16"/>
          <w:szCs w:val="16"/>
        </w:rPr>
        <w:softHyphen/>
        <w:t>ника. (По материалам А.В.Шиукова).</w:t>
      </w:r>
    </w:p>
    <w:p w14:paraId="3CCC8A4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bookmarkEnd w:id="294"/>
    <w:p w14:paraId="69BBC7EF" w14:textId="77777777" w:rsidR="002C6FAA" w:rsidRPr="0022669E" w:rsidRDefault="002C6FAA"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22669E">
        <w:rPr>
          <w:rFonts w:ascii="Times New Roman" w:hAnsi="Times New Roman" w:cs="Times New Roman"/>
          <w:color w:val="0070C0"/>
          <w:kern w:val="2"/>
          <w:sz w:val="16"/>
          <w:szCs w:val="16"/>
        </w:rPr>
        <w:t>1 (14) сентября 1917 г. за летний период, начиная с I июня, всеми авиачастями ДА было совершено 12.000 полетов, общей продолжи</w:t>
      </w:r>
      <w:r w:rsidRPr="0022669E">
        <w:rPr>
          <w:rFonts w:ascii="Times New Roman" w:hAnsi="Times New Roman" w:cs="Times New Roman"/>
          <w:color w:val="0070C0"/>
          <w:kern w:val="2"/>
          <w:sz w:val="16"/>
          <w:szCs w:val="16"/>
        </w:rPr>
        <w:softHyphen/>
        <w:t>тельностью свыше 16.000 часов. За это время в воздушных боях было сбито 39 неприятельских самолетов и сожжено 4 привязных аэростате. Потери состарили 56 летчиков и наблюдателей, из них 31 погиб в воздушных боях и от артиллерийского огня против</w:t>
      </w:r>
      <w:r w:rsidRPr="0022669E">
        <w:rPr>
          <w:rFonts w:ascii="Times New Roman" w:hAnsi="Times New Roman" w:cs="Times New Roman"/>
          <w:color w:val="0070C0"/>
          <w:kern w:val="2"/>
          <w:sz w:val="16"/>
          <w:szCs w:val="16"/>
        </w:rPr>
        <w:softHyphen/>
        <w:t>ника.</w:t>
      </w:r>
    </w:p>
    <w:p w14:paraId="63F21E33" w14:textId="77777777" w:rsidR="002C6FAA" w:rsidRPr="0022669E" w:rsidRDefault="002C6FAA"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22669E">
        <w:rPr>
          <w:rFonts w:ascii="Times New Roman" w:hAnsi="Times New Roman" w:cs="Times New Roman"/>
          <w:color w:val="0070C0"/>
          <w:kern w:val="2"/>
          <w:sz w:val="16"/>
          <w:szCs w:val="16"/>
        </w:rPr>
        <w:t>/по материалам А.В.Шиукова/ (23320).</w:t>
      </w:r>
    </w:p>
    <w:p w14:paraId="5A7D6677" w14:textId="77777777" w:rsidR="002C6FAA" w:rsidRPr="0022669E" w:rsidRDefault="002C6FAA"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p>
    <w:p w14:paraId="0DE1620B"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1 (14) сентября </w:t>
      </w:r>
      <w:r w:rsidRPr="002F2FDF">
        <w:rPr>
          <w:rFonts w:ascii="Times New Roman" w:hAnsi="Times New Roman" w:cs="Times New Roman"/>
          <w:color w:val="000000" w:themeColor="text1"/>
          <w:kern w:val="2"/>
          <w:sz w:val="16"/>
          <w:szCs w:val="16"/>
        </w:rPr>
        <w:t>в 1917 году после провала корниловского мятежа, когда генералы Л.Г.Корнилов, А.И.Деникин и другие были арестованы, а командовавший конным корпусом генерал А.М.Крымов покончил с собой, в поисках выхода из правительственного кризиса власть передается Совету пяти, или Директории, в который входят: министр-председатель А.Ф.Керенский, министр иностранных дел М.И.Терещенко, только что назначенные военный министр А.И.Верховский и морской министр Д.Н.Вердеревский, а также министр почт и телеграфов А.М.Никитин. Временное правительство провозглашает Россию республикой. В стране одновременно существуют Временное правительство, сохранившиеся от самодержавия Госсовет, Государственная дума и Сенат, а также Советы, в которых заметно усилилось влияние большевиков (14769).</w:t>
      </w:r>
    </w:p>
    <w:p w14:paraId="1A7B05D5"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p>
    <w:p w14:paraId="14218512" w14:textId="1DC40FF2" w:rsidR="00C9329C" w:rsidRPr="00FB4F67" w:rsidRDefault="00C9329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К 1 </w:t>
      </w:r>
      <w:r>
        <w:rPr>
          <w:rFonts w:ascii="Times New Roman" w:hAnsi="Times New Roman" w:cs="Times New Roman"/>
          <w:color w:val="0070C0"/>
          <w:sz w:val="16"/>
          <w:szCs w:val="16"/>
        </w:rPr>
        <w:t xml:space="preserve">(14) </w:t>
      </w:r>
      <w:r w:rsidRPr="00FB4F67">
        <w:rPr>
          <w:rFonts w:ascii="Times New Roman" w:hAnsi="Times New Roman" w:cs="Times New Roman"/>
          <w:color w:val="0070C0"/>
          <w:sz w:val="16"/>
          <w:szCs w:val="16"/>
        </w:rPr>
        <w:t>сентября 1917 г. армия располагала при</w:t>
      </w:r>
      <w:r w:rsidRPr="00FB4F67">
        <w:rPr>
          <w:rFonts w:ascii="Times New Roman" w:hAnsi="Times New Roman" w:cs="Times New Roman"/>
          <w:color w:val="0070C0"/>
          <w:sz w:val="16"/>
          <w:szCs w:val="16"/>
        </w:rPr>
        <w:softHyphen/>
        <w:t>мерно 6 тысячами мотоциклов (Курихин О.В. История отечественных мотоциклов. 1899—1945 гг. М., 2007. С. 31) (23452).</w:t>
      </w:r>
    </w:p>
    <w:p w14:paraId="64FAB0F2" w14:textId="77777777" w:rsidR="00C9329C" w:rsidRPr="00FB4F67" w:rsidRDefault="00C9329C" w:rsidP="0083075A">
      <w:pPr>
        <w:spacing w:after="0" w:line="240" w:lineRule="auto"/>
        <w:jc w:val="both"/>
        <w:rPr>
          <w:rFonts w:ascii="Times New Roman" w:hAnsi="Times New Roman" w:cs="Times New Roman"/>
          <w:color w:val="0070C0"/>
          <w:sz w:val="16"/>
          <w:szCs w:val="16"/>
        </w:rPr>
      </w:pPr>
    </w:p>
    <w:p w14:paraId="7C9B7AF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3C863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8E46CA" w14:textId="13C74B70" w:rsidR="00A27F39" w:rsidRPr="002F2FDF" w:rsidRDefault="00A27F39" w:rsidP="0083075A">
      <w:pPr>
        <w:pStyle w:val="a3"/>
        <w:rPr>
          <w:color w:val="000000" w:themeColor="text1"/>
          <w:lang w:val="ru-RU"/>
        </w:rPr>
      </w:pPr>
      <w:r w:rsidRPr="002F2FDF">
        <w:rPr>
          <w:color w:val="000000" w:themeColor="text1"/>
          <w:lang w:val="ru-RU"/>
        </w:rPr>
        <w:t>До 1 (14</w:t>
      </w:r>
      <w:r w:rsidR="00E8146D">
        <w:rPr>
          <w:color w:val="000000" w:themeColor="text1"/>
          <w:lang w:val="ru-RU"/>
        </w:rPr>
        <w:t>)</w:t>
      </w:r>
      <w:r w:rsidRPr="002F2FDF">
        <w:rPr>
          <w:color w:val="000000" w:themeColor="text1"/>
          <w:lang w:val="ru-RU"/>
        </w:rPr>
        <w:t xml:space="preserve"> сентября 1917 года, то есть за три года войны, только прямые расходы России на армию составили почти 42 миллиарда царских рублей (примерно полтора триллиона современных долларов) (17083).</w:t>
      </w:r>
    </w:p>
    <w:p w14:paraId="123EA0B5" w14:textId="77777777" w:rsidR="00A27F39" w:rsidRPr="002F2FDF" w:rsidRDefault="00A27F39" w:rsidP="0083075A">
      <w:pPr>
        <w:pStyle w:val="a3"/>
        <w:rPr>
          <w:color w:val="000000" w:themeColor="text1"/>
          <w:lang w:val="ru-RU"/>
        </w:rPr>
      </w:pPr>
    </w:p>
    <w:p w14:paraId="07A7F3C2" w14:textId="77777777" w:rsidR="0016518E" w:rsidRPr="002F2FDF" w:rsidRDefault="0016518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 (14) сентября 1917 конный корпус прекратил свое движение на Петроград, остановлен на участке Вырица-Павловск. Большевистские агитаторы проделали огромную работу и солдаты сложили оружие. Корнилов отказался бежать из Ставки. Генерал Алексеев согласился занять должность Главковерха, арестовал Корнилова и его сподвижников, и посадил в Быховскую тюрьму, к уже арестованным офицерам Юго-Западного фронта. В этот же день Керенский образовал "Директорию" ("Совет пяти"), которая распустила Четвертую Думу и провозгласила Россию республикой (12629). </w:t>
      </w:r>
    </w:p>
    <w:p w14:paraId="513F0F33" w14:textId="77777777" w:rsidR="0016518E" w:rsidRPr="002F2FDF" w:rsidRDefault="0016518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36FA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сентября 1917 А.Ф.Керенский провозгласил республику и образовал Директорию из 4 (5) членов впредь до создания нового правительства. Л.Г.Корнилов был арестован (1348,86). В стране одновременно существовали ВП, Госсовет, Госдума, Сенат и Советы (3481).</w:t>
      </w:r>
    </w:p>
    <w:p w14:paraId="073245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948286" w14:textId="77777777" w:rsidR="0019702E" w:rsidRPr="002F2FDF" w:rsidRDefault="0019702E" w:rsidP="0083075A">
      <w:pPr>
        <w:pStyle w:val="ae"/>
        <w:spacing w:before="0" w:after="0"/>
        <w:jc w:val="both"/>
        <w:rPr>
          <w:color w:val="000000" w:themeColor="text1"/>
          <w:kern w:val="2"/>
          <w:sz w:val="16"/>
          <w:szCs w:val="16"/>
        </w:rPr>
      </w:pPr>
      <w:r w:rsidRPr="002F2FDF">
        <w:rPr>
          <w:color w:val="000000" w:themeColor="text1"/>
          <w:kern w:val="2"/>
          <w:sz w:val="16"/>
          <w:szCs w:val="16"/>
        </w:rPr>
        <w:t>1 (14) сентября 1917 Александр Керенский назначил себя новым Верховным главнокомандующим и в целях преодоления правительственного кризиса изменил структуру правительства, создав так называемый «Совет пяти» или Директорию (по подобию Великой французской революции), в которую помимо него самого вошли еще четыре министра — министр финансов Михаил Терещенко, военный министр генерал Александр Верховский, морской министр контр-адмирал Дмитрий Вердеревский и министр почты и телеграфа Алексей Никитин.</w:t>
      </w:r>
    </w:p>
    <w:p w14:paraId="12602AD8" w14:textId="77777777" w:rsidR="0019702E" w:rsidRPr="002F2FDF" w:rsidRDefault="0019702E" w:rsidP="0083075A">
      <w:pPr>
        <w:pStyle w:val="ae"/>
        <w:spacing w:before="0" w:after="0"/>
        <w:jc w:val="both"/>
        <w:rPr>
          <w:color w:val="000000" w:themeColor="text1"/>
          <w:kern w:val="2"/>
          <w:sz w:val="16"/>
          <w:szCs w:val="16"/>
        </w:rPr>
      </w:pPr>
      <w:r w:rsidRPr="002F2FDF">
        <w:rPr>
          <w:color w:val="000000" w:themeColor="text1"/>
          <w:kern w:val="2"/>
          <w:sz w:val="16"/>
          <w:szCs w:val="16"/>
        </w:rPr>
        <w:t>В этот же день, 14 сентября Директория провозгласила Россию республикой (ликвидировав де-юре Российскую империю), узаконила разгром аппарата царской полиции, упразднение каторги и ссылки. Была объявлена широкая политическая амнистия, под которую попали и большевики, обвиненные в организации июльского мятежа. Было также обещано ввести и все остальные политические свободы, характерные для демократических стран, созвать Учредительное собрание.</w:t>
      </w:r>
    </w:p>
    <w:p w14:paraId="0E5863FC" w14:textId="77777777" w:rsidR="0019702E" w:rsidRPr="002F2FDF" w:rsidRDefault="0019702E" w:rsidP="0083075A">
      <w:pPr>
        <w:pStyle w:val="ae"/>
        <w:spacing w:before="0" w:after="0"/>
        <w:jc w:val="both"/>
        <w:rPr>
          <w:color w:val="000000" w:themeColor="text1"/>
          <w:kern w:val="2"/>
          <w:sz w:val="16"/>
          <w:szCs w:val="16"/>
        </w:rPr>
      </w:pPr>
      <w:r w:rsidRPr="002F2FDF">
        <w:rPr>
          <w:color w:val="000000" w:themeColor="text1"/>
          <w:kern w:val="2"/>
          <w:sz w:val="16"/>
          <w:szCs w:val="16"/>
        </w:rPr>
        <w:t>Выступление Корнилова и жесткая реакция на него Керенского, который в результате сам выступил в роли диктатора, стали одним из ключевых звеньев в цепи событий 1917 года, завершившихся победой большевиков. «Правый», «государственнический» политический фланг был дискредитирован и разгромлен, включая даже участвовавшую в «корниловщине» либеральную партию кадетов. Советы и Красная Гвардия (в ее руки попало до 40 тысяч винтовок, выданных самим Керенским), напротив, восстановили утраченные после июльского мятежа позиции, выставляя себя в роли истинных «защитников демократии». Положение осложнялось тем, что и сами Советы постепенно переходили под контроль большевиков, которые последовательно и не особо скрываясь готовили вооруженный захват власти (17045).</w:t>
      </w:r>
    </w:p>
    <w:p w14:paraId="700060E8" w14:textId="77777777" w:rsidR="0019702E" w:rsidRPr="002F2FDF" w:rsidRDefault="0019702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92A4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сентября 1917 г. была введена монополия на сахар. Предпринятые меры, не принесшие положительных результатов, наметившийся кризис продовольственного дела принудил (законом 29 ноября 1917 г.) в осуществлении заготовок прибегнуть к принудительной раскладке по обязательным правительственным нарядам по губерниям, уездам, селениям, т.е. фактически близко к хлебной монополии, поставки хлеба в казну по твердой цене. Эту акцию связывают с именем А.А.Риттиха, который в середине ноября 1916 г. становится министром земледелия. 29 ноября он решил прибегнуть к “разверстке хлебов между производящими губерниями”. Этим он решил, во-первых, предположительный размер хлебозаготовок (наряд) передать на усмотрение губернских и уездных управ, а на местах — волостным и сельским сходам; для низовых инстанций разверстка носила обязательный характер. Во-вторых, посредством разверстки А.А.Риттих хотел организовать снабжение хлебом не только армию, но и крупные промышленные районы, а также население местностей, куда продовольствие по ряду причин не завозилось. Общий размер задания определялся огромной цифрой — до 900 млн пудов. Но установленная для 21 производящей губернии разверстка в размере 506,5 млн пудов зерна губернскими совещаниями была снижена до 450,1 млн пудов (89%), уездные органы уменьшили ее до 321,2 млн (63%), но реально более 170 млн (33%) не обещали. Но и это обещание не было выполнено. К февралю 1917 г. реально было заготовлено около 102 млн пудов зерна. Продовольственный вопрос сыграл не последнюю роль в гибели царского правительства. Количество хлеба, подлежавшего заготовке для населения вместе с потребностью армии, составляло до 16 400 тыс. тонн, т.е. ежемесячно в распоряжение уполномоченных должно было поступать 1476 тыс. тонн хлеба; между тем, по поступавшим от уполномоченных сведениям о ходе заготовок, процент месячного поступления составил в январе 1917 г. 73% плана (в январе 1916 г. — 94%), в феврале 1917 г. процент выполнения понизился до 57%, что подтолкнуло народ сначала к продовольственным беспорядкам, а затем к революции (11270).</w:t>
      </w:r>
    </w:p>
    <w:p w14:paraId="69BCFA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D5ED77" w14:textId="77777777" w:rsidR="0044768C" w:rsidRPr="002F2FDF" w:rsidRDefault="0044768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003A335" w14:textId="77777777" w:rsidR="0044768C" w:rsidRPr="002F2FDF" w:rsidRDefault="0044768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88D7C0" w14:textId="737BC923"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(14 сентября) 1917 </w:t>
      </w:r>
      <w:r w:rsidR="00E8146D">
        <w:rPr>
          <w:rFonts w:ascii="Times New Roman" w:hAnsi="Times New Roman" w:cs="Times New Roman"/>
          <w:color w:val="000000" w:themeColor="text1"/>
          <w:sz w:val="16"/>
          <w:szCs w:val="16"/>
        </w:rPr>
        <w:t xml:space="preserve">был </w:t>
      </w:r>
      <w:r w:rsidRPr="002F2FDF">
        <w:rPr>
          <w:rFonts w:ascii="Times New Roman" w:hAnsi="Times New Roman" w:cs="Times New Roman"/>
          <w:color w:val="000000" w:themeColor="text1"/>
          <w:sz w:val="16"/>
          <w:szCs w:val="16"/>
        </w:rPr>
        <w:t>первый полет Фейри III (20341).</w:t>
      </w:r>
    </w:p>
    <w:p w14:paraId="74C9B963"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p>
    <w:p w14:paraId="79DA0698" w14:textId="2ADFC719"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(14</w:t>
      </w:r>
      <w:r w:rsidR="00E8146D">
        <w:rPr>
          <w:rFonts w:ascii="Times New Roman" w:hAnsi="Times New Roman" w:cs="Times New Roman"/>
          <w:color w:val="000000" w:themeColor="text1"/>
          <w:sz w:val="16"/>
          <w:szCs w:val="16"/>
        </w:rPr>
        <w:t>)</w:t>
      </w:r>
      <w:r w:rsidRPr="002F2FDF">
        <w:rPr>
          <w:rFonts w:ascii="Times New Roman" w:hAnsi="Times New Roman" w:cs="Times New Roman"/>
          <w:color w:val="000000" w:themeColor="text1"/>
          <w:sz w:val="16"/>
          <w:szCs w:val="16"/>
        </w:rPr>
        <w:t xml:space="preserve"> сентября 1917</w:t>
      </w:r>
      <w:r w:rsidR="00E52569">
        <w:rPr>
          <w:rFonts w:ascii="Times New Roman" w:hAnsi="Times New Roman" w:cs="Times New Roman"/>
          <w:color w:val="000000" w:themeColor="text1"/>
          <w:sz w:val="16"/>
          <w:szCs w:val="16"/>
        </w:rPr>
        <w:t xml:space="preserve"> </w:t>
      </w:r>
      <w:r w:rsidR="00E8146D">
        <w:rPr>
          <w:rFonts w:ascii="Times New Roman" w:hAnsi="Times New Roman" w:cs="Times New Roman"/>
          <w:color w:val="000000" w:themeColor="text1"/>
          <w:sz w:val="16"/>
          <w:szCs w:val="16"/>
        </w:rPr>
        <w:t>состоялся п</w:t>
      </w:r>
      <w:r w:rsidRPr="002F2FDF">
        <w:rPr>
          <w:rFonts w:ascii="Times New Roman" w:hAnsi="Times New Roman" w:cs="Times New Roman"/>
          <w:color w:val="000000" w:themeColor="text1"/>
          <w:sz w:val="16"/>
          <w:szCs w:val="16"/>
        </w:rPr>
        <w:t>ервый полёт Fairey III - родоначальник семейства британских разведывательных бипланов, которые имели очень долгую историю производства и обслуживания как в наземных вариантах, так и в вариантах гидросамолёта.</w:t>
      </w:r>
    </w:p>
    <w:p w14:paraId="3C3BEA55"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Появившийся ещё в 1924 году последний самолёт серии Fairey III - Fairey IIIF даже в 1941 году находился в эксплуатации, что говорит об удачности его конструкции. В конце 1917 года гидросамолёт Fairey N.10 был подвергнут переделке - в результате появился самолёт сухопутного базирования Fairey IIIA. Авиация британского флота разместила заказ на 50 двухместных бомбардировщиков корабельного базирования Fairey IIIA, которые должны были прийти на смену самолётам Sopwith 1 1/2-Strutter. Первый серийный Fairey IIIA поднялся в воздух в Нортхольте в июне 1918 года, однако конец Первой мировой войны не дал самолёту продемонстрировать свой потенциал, а в 1919 году машина была объявлена устаревшей (22364).</w:t>
      </w:r>
    </w:p>
    <w:p w14:paraId="6199951F"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p>
    <w:p w14:paraId="6D023B70" w14:textId="77777777" w:rsidR="0044768C" w:rsidRPr="002F2FDF" w:rsidRDefault="0044768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lastRenderedPageBreak/>
        <w:t>Авиапромышленность:</w:t>
      </w:r>
    </w:p>
    <w:p w14:paraId="09AF2EE7" w14:textId="77777777" w:rsidR="0044768C" w:rsidRPr="002F2FDF" w:rsidRDefault="0044768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0C713D"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(15) сентября 1917 г. по Журналу № 190. </w:t>
      </w:r>
    </w:p>
    <w:p w14:paraId="42610B99"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2 сентября 1917 г. </w:t>
      </w:r>
    </w:p>
    <w:p w14:paraId="2006CFA4"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4 сентября. — Резолюция Председателя Особого Совещания для обсуждения и объединения мероприятий по обороне государства по журналу Особого Совещания от 2 сентября 1917 года за № 190. </w:t>
      </w:r>
    </w:p>
    <w:p w14:paraId="40587F00"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1E0CF43A"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По докладу подготовительной комиссии по артиллерийским вопросам о дальнейшей деятельности заводов общества «Динамо»: </w:t>
      </w:r>
    </w:p>
    <w:p w14:paraId="720204A6"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войти в соглашение с обществом «Динамо» о продлении деятельности его заводов под руководством контрольной комиссии, исходя из условной цены в 12 рублей за взрыватель 3 ГТ, при производстве их в количестве 75 000 штук ежемесячно, с тем чтобы в течение двух месяцев упомянутой комиссией была установлена себестоимость изготовляемых взрывателей; </w:t>
      </w:r>
    </w:p>
    <w:p w14:paraId="52793B41"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отпустить дополнительный аванс без обеспечения в сумме четырехсот тысяч (400 000) рублей по заказу главным артиллерийским управлением на взрыватели 3 ГТ в распоряжение председателя Петроградского заводского совещания. </w:t>
      </w:r>
    </w:p>
    <w:p w14:paraId="0FE31CA2"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представить на утверждение Председателя Особого Совещания по обороне государства инструкцию для деятельности контрольной комиссии, выработанную по соглашению с обществом; </w:t>
      </w:r>
    </w:p>
    <w:p w14:paraId="16CE3B89"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 предложить главному артиллерийскому управлению представить соображения о наилучшем использовании свободных станков, по возможности — с эвакуацией их; </w:t>
      </w:r>
    </w:p>
    <w:p w14:paraId="00CEB198"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 передать на рассмотрение эвакуационной при Особом Совещании комиссии вопрос о переводе в Москву инструментальной мастерской заводов общества. </w:t>
      </w:r>
    </w:p>
    <w:p w14:paraId="147FB7E3"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Утвердить доклад той же комиссии о заказе главным артиллерийским управлением Русскому обществу для выделки и продажи пороха бездымного пороха, на основаниях, установленных комиссией. </w:t>
      </w:r>
    </w:p>
    <w:p w14:paraId="02BE44A1"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3) Утвердить доклад той же комиссии о выдаче Ижорскому заводу дополнительного аванса в размере трех миллионов (3 000 000) руб лей в счет имеющихся заказов морского ведомства. </w:t>
      </w:r>
    </w:p>
    <w:p w14:paraId="585B8634"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4) Утвердить доклад той же комиссии о выдаче Акционерному промышленному обществу механических заводов «Лильпоп, Рау и Левенштейн» дополнительного аванса без обеспечения в размере 45 % от стоимости недопоставленного количества 3” шрапнелей по контракту за № 118 1917 года, на основаниях, изложенных в докладе главного артиллерийского управления в исполнительную комиссию от 27 августа сего года за № 142674. </w:t>
      </w:r>
    </w:p>
    <w:p w14:paraId="4A385372"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5) По докладу той же комиссии о выдаче Акционерному Обществу соединенных механических заводов (бывш. Г. А. Лесснер) дополнительного аванса без обеспечения по заказу главного артиллерийского управления на 3” фугасные гранаты: </w:t>
      </w:r>
    </w:p>
    <w:p w14:paraId="6DE60757"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разрешить выдачу названному обществу дополнительного аванса без обеспечения по заказу 3” гранат по контракту за № 168 — 1916 года в размере 35 % стоимости недопоставленных гранат, на основаниях, изложенных в докладе главного артиллерийского управления в исполнительную комиссию от 29 августа сего года за № 143871; </w:t>
      </w:r>
    </w:p>
    <w:p w14:paraId="2CB48706"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отклонить ходатайство общества о выдаче дополнительного аванса по исполненным уже контрактам за № 202 и 247. </w:t>
      </w:r>
    </w:p>
    <w:p w14:paraId="24ACB2BE"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6) Одобрить доклад эвакуационной комиссии по поводу выработанных правил о способах и порядке оказания материальной помощи промышленным предприятиям к выезду из Петрограда и его окрестностей и возобновлению их деятельности на новых местах. </w:t>
      </w:r>
    </w:p>
    <w:p w14:paraId="1051FA65"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7) По докладу подготовительной комиссии по общим вопросам об отпуске денежных средств главному по снабжению армии комитету Всероссийских земского и городского союзов: </w:t>
      </w:r>
    </w:p>
    <w:p w14:paraId="33FFA03A"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признать целесообразным отпуск названному комитету денежных средств в размере двадцати миллионов (20 000 000) рублей; </w:t>
      </w:r>
    </w:p>
    <w:p w14:paraId="70B29900"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впредь до разрешения Министерством Финансов вопроса о форме и способах выдачи упомянутому комитету означенных средств признать возможным отпускать комитету денежные средства лишь в виде дополнительных авансов по данным заказам. </w:t>
      </w:r>
    </w:p>
    <w:p w14:paraId="0EA47D3B"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8) Утвердить доклад той же комиссии о выдаче дополнительного аванса без обеспечения в размере четырехсот тысяч (400 000) рублей Петроградскому Арматурно-электрическому акционерному обществу для завода общества в Москве по заказу главным военно-техническим управлением телефонных и телеграфных аппаратов, на изложенных в докладе основаниях. </w:t>
      </w:r>
    </w:p>
    <w:p w14:paraId="5764E705"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9) По докладу той же комиссии о выдаче аванса без обеспечения заводам боевых припасов Г. К. Питоева и Ко в Батуме по заказу главным военно-техническим управлением минных аппаратов и мин Савельева:</w:t>
      </w:r>
    </w:p>
    <w:p w14:paraId="54FF998F"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отклонить представление названного управления о выдаче этим заводам аванса по указанному заказу; </w:t>
      </w:r>
    </w:p>
    <w:p w14:paraId="6CB2EE9E"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принимать за наличный расчет изготовляемые поименованными заводами по наряду главного военно-технического управления минные аппараты и мины Савельева. </w:t>
      </w:r>
    </w:p>
    <w:p w14:paraId="27792447"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10) По докладу той же комиссии по поводу просьбы Акционерного общества «И. И. Ген» в Одессе об отклонении представления Одесского районного заводского совещания о наложении на названный завод секвестра: просить Министерство Труда и главное военно-техническое управление командировать на упомянутый завод своих представителей для выяснения совместно с представителями Одесского заводского совещания создавшегося на заводе положения. </w:t>
      </w:r>
    </w:p>
    <w:p w14:paraId="6D717B73"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11) Одобрить доклад подготовительной комиссии по авиационным вопросам о постройке в городе Херсоне зданий и сооружений для главного аэродрома и оборудовании его, на изложенных в докладе основаниях. </w:t>
      </w:r>
    </w:p>
    <w:p w14:paraId="3599EBCE"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12) Утвердить доклад той же комиссии по вопросу о постройке и оборудовании мастерской на казенном Херсонском </w:t>
      </w:r>
      <w:r w:rsidRPr="002F2FDF">
        <w:rPr>
          <w:rFonts w:ascii="Times New Roman" w:hAnsi="Times New Roman" w:cs="Times New Roman"/>
          <w:color w:val="000000" w:themeColor="text1"/>
          <w:sz w:val="16"/>
          <w:szCs w:val="16"/>
          <w:highlight w:val="yellow"/>
        </w:rPr>
        <w:t>аэропланно-</w:t>
      </w:r>
      <w:r w:rsidRPr="002F2FDF">
        <w:rPr>
          <w:rFonts w:ascii="Times New Roman" w:hAnsi="Times New Roman" w:cs="Times New Roman"/>
          <w:color w:val="000000" w:themeColor="text1"/>
          <w:sz w:val="16"/>
          <w:szCs w:val="16"/>
        </w:rPr>
        <w:t xml:space="preserve"> и моторостроительном заводе. </w:t>
      </w:r>
    </w:p>
    <w:p w14:paraId="6CF80F95"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13) По докладу инженера путей сообщения И. С. Каннегисера об эвакуации работающих на оборону предприятий г. Ревеля: </w:t>
      </w:r>
    </w:p>
    <w:p w14:paraId="037AA77E"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принять означенный доклад к сведению и одобрить намеченные в докладе мероприятия по упомянутой эвакуации; </w:t>
      </w:r>
    </w:p>
    <w:p w14:paraId="137830AB"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просить Министерство Труда и Центральный Исполнительный Комитет Всероссийского Совета рабочих и солдатских депутатов командировать в г. Ревель своих представителей для содействия к устранению возникших при эвакуации затруднений. </w:t>
      </w:r>
    </w:p>
    <w:p w14:paraId="04EFC3D3"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Председательствующий в Особом Совещании П. Пальчинский. </w:t>
      </w:r>
    </w:p>
    <w:p w14:paraId="7D3835DD"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Управляющий делами Особого Совещания генерал-лейтенант Баби - Ков (20445). </w:t>
      </w:r>
    </w:p>
    <w:p w14:paraId="707752AC"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p>
    <w:p w14:paraId="2CAB8633"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(15) сентября 1917 г.</w:t>
      </w:r>
    </w:p>
    <w:p w14:paraId="4B4813CA"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Телеграмма ген. Л. Г. Корнилова военному министру о необходимости срочного усиления </w:t>
      </w:r>
      <w:r w:rsidRPr="002F2FDF">
        <w:rPr>
          <w:rFonts w:ascii="Times New Roman" w:hAnsi="Times New Roman" w:cs="Times New Roman"/>
          <w:color w:val="000000" w:themeColor="text1"/>
          <w:sz w:val="16"/>
          <w:szCs w:val="16"/>
          <w:highlight w:val="yellow"/>
        </w:rPr>
        <w:t>авиации фронта</w:t>
      </w:r>
      <w:r w:rsidRPr="002F2FDF">
        <w:rPr>
          <w:rFonts w:ascii="Times New Roman" w:hAnsi="Times New Roman" w:cs="Times New Roman"/>
          <w:color w:val="000000" w:themeColor="text1"/>
          <w:sz w:val="16"/>
          <w:szCs w:val="16"/>
        </w:rPr>
        <w:t xml:space="preserve"> за счет заграничных поставок.</w:t>
      </w:r>
    </w:p>
    <w:p w14:paraId="272C0E3E"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Для усиления авиасредств фронта необходимо спешно пополнить авиаотряды самолетами (коих некомплект около 50%, особенно разведывательного типа) п обеспечить определенный запас для ежемесячной замены убывающих самолетов вследствие поломок и изношенности (около 40%). Для осуществления вышеизложенного необходимо:</w:t>
      </w:r>
    </w:p>
    <w:p w14:paraId="602B1C8A"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Поднять производительность русских заводов, как аэропланных, так и моторных. Необходимо получать ежемесячно не менее 100 самолетов. (В конце 1916 г. производительность достигла 180 самолетов в месяц, и была уверенность в 1917 г. еще более повысить выпуск).</w:t>
      </w:r>
    </w:p>
    <w:p w14:paraId="70F2C6ED"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Просить присылки из-за границы до 1 января 1918 г. не менее 1000 самолетов с моторами и запасными частями. Перевозку необходимо произвести до закрытия навигации северных портов, так как только в таком случае самолеты попадут на фронт к началу весенних операций.</w:t>
      </w:r>
    </w:p>
    <w:p w14:paraId="2CC66869"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 Просить прислать в тот же срок моторы для строящихся в России самолетов, иначе заводы совершенно станут (уже теперь истребители с русских заводов больше не поступают).</w:t>
      </w:r>
    </w:p>
    <w:p w14:paraId="52A056CA"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 Необходимо получить также из-за границы и запасные части к моторам, которые с русских заводов поступают в совершенно недостаточном количестве. Количество моторов и число запасных частей определено Увофлотом, и заказ французскому правительству заявлен. Для осуществления вышеизложенного необходимо предоставить теперь же весь тоннаж, потребный для спешной перевозки указанного авиаимущества.</w:t>
      </w:r>
    </w:p>
    <w:p w14:paraId="6C2E6AA2"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 Для пополнения большого недостатка, главным образом самолетов разведчиков, просить доставки их из Америки.</w:t>
      </w:r>
    </w:p>
    <w:p w14:paraId="4BBDAE3B"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18645.</w:t>
      </w:r>
    </w:p>
    <w:p w14:paraId="46D1DE22"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Подписал: верховный главнокомандующий генерал-от-инфантерии.</w:t>
      </w:r>
    </w:p>
    <w:p w14:paraId="7C4389E0"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Корнилов.</w:t>
      </w:r>
    </w:p>
    <w:p w14:paraId="460D5A2C"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ЦГВИА, ф. 493, on. 4, д. 603, л. 53. Копия (20429).</w:t>
      </w:r>
    </w:p>
    <w:p w14:paraId="0949374F" w14:textId="77777777" w:rsidR="0044768C" w:rsidRPr="002F2FDF" w:rsidRDefault="0044768C" w:rsidP="0083075A">
      <w:pPr>
        <w:spacing w:after="0" w:line="240" w:lineRule="auto"/>
        <w:jc w:val="both"/>
        <w:rPr>
          <w:rFonts w:ascii="Times New Roman" w:hAnsi="Times New Roman" w:cs="Times New Roman"/>
          <w:color w:val="000000" w:themeColor="text1"/>
          <w:sz w:val="16"/>
          <w:szCs w:val="16"/>
        </w:rPr>
      </w:pPr>
    </w:p>
    <w:p w14:paraId="42EAE5EF" w14:textId="77777777" w:rsidR="00C9329C" w:rsidRPr="00FB4F67" w:rsidRDefault="00C9329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 (15) сентября 1917 г. на аэродром Винница с завода РБВЗ отправился «Илья Муромец» Г-71 (ИМ Г-71 № 236, борт № II боевой) экз. № 62 и это был последний самолет ИМ, вошедший в строй до Великой Октябрьской Социалистической революции. Отправлен по ж/д без облета и не был собран и облетан.</w:t>
      </w:r>
    </w:p>
    <w:p w14:paraId="4883C9AE" w14:textId="77777777" w:rsidR="00C9329C" w:rsidRPr="00FB4F67" w:rsidRDefault="00C9329C"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Заложен как машина серии Г-1, но достроен как новый тип Г-3 с 2 внутренними моторами «Рено» (предп. Renault 8Gd, по Хайрулину 225 л.с., по Шаврову – 220 л.с., фактически 200 л.с. на взлете, 196 на боевом и 192 на крейсерском режимах) и 2 внешними моторами РБЗ-6 по 150 л.с. (23553).</w:t>
      </w:r>
    </w:p>
    <w:p w14:paraId="02DCF979" w14:textId="77777777" w:rsidR="00C9329C" w:rsidRPr="00FB4F67" w:rsidRDefault="00C9329C" w:rsidP="0083075A">
      <w:pPr>
        <w:spacing w:after="0" w:line="240" w:lineRule="auto"/>
        <w:jc w:val="both"/>
        <w:rPr>
          <w:rFonts w:ascii="Times New Roman" w:hAnsi="Times New Roman" w:cs="Times New Roman"/>
          <w:color w:val="0070C0"/>
          <w:sz w:val="16"/>
          <w:szCs w:val="16"/>
        </w:rPr>
      </w:pPr>
    </w:p>
    <w:p w14:paraId="11EE1E1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705BB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06CC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сентября 1917 Л.Корнилов был арестован (3908,262).</w:t>
      </w:r>
    </w:p>
    <w:p w14:paraId="49D223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9C1B4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сентября 1917 Временное правительство провозгласило Россию республикой (4962).</w:t>
      </w:r>
    </w:p>
    <w:p w14:paraId="08CEAFB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ABACFC" w14:textId="2ED51324" w:rsidR="00D9336B" w:rsidRPr="00FB4F67" w:rsidRDefault="00D9336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 (</w:t>
      </w:r>
      <w:r w:rsidRPr="00FB4F67">
        <w:rPr>
          <w:rFonts w:ascii="Times New Roman" w:hAnsi="Times New Roman" w:cs="Times New Roman"/>
          <w:color w:val="0070C0"/>
          <w:sz w:val="16"/>
          <w:szCs w:val="16"/>
        </w:rPr>
        <w:t>15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сентября в Петрограде Александр Керенский провозгласил Россию республикой (23525).</w:t>
      </w:r>
    </w:p>
    <w:p w14:paraId="0F17F666" w14:textId="77777777" w:rsidR="00D9336B" w:rsidRPr="00FB4F67" w:rsidRDefault="00D9336B" w:rsidP="0083075A">
      <w:pPr>
        <w:spacing w:after="0" w:line="240" w:lineRule="auto"/>
        <w:jc w:val="both"/>
        <w:rPr>
          <w:rFonts w:ascii="Times New Roman" w:hAnsi="Times New Roman" w:cs="Times New Roman"/>
          <w:color w:val="0070C0"/>
          <w:sz w:val="16"/>
          <w:szCs w:val="16"/>
        </w:rPr>
      </w:pPr>
    </w:p>
    <w:p w14:paraId="7C38835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сентября 1917 Временным правительством из тюрьмы выпущен лидер большевиков Л. Троцкий, арестованный в июле за организацию беспорядков (4962).</w:t>
      </w:r>
    </w:p>
    <w:p w14:paraId="1F132B0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66423F"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сентября в 1917 году Временным правительством из тюрьмы выпускается лидер большевиков Л. Троцкий, арестованный в июле за организацию беспорядков (14770).</w:t>
      </w:r>
    </w:p>
    <w:p w14:paraId="17084627"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p>
    <w:p w14:paraId="337802C9"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сентября в 1917 году Временное правительство провозгласило Россию республикой. Были также узаконены разгром аппарата полиции, арест членов Совета министров, упразднены каторга и ссылка, объявлена политическая амнистия. Было также обещано ввести политические свободы, созвать Учредительное собрание, но не успели (14770).</w:t>
      </w:r>
    </w:p>
    <w:p w14:paraId="1E0FB0D6"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p>
    <w:p w14:paraId="5AFFD7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сентября 1917 ВЦИК отверг резолюцию Л.Каменева т одобрил созыв Демократического совещания для решения вопроса о власти и временно поддержал правительство А.И.К. (3908,262).</w:t>
      </w:r>
    </w:p>
    <w:p w14:paraId="23EB3C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7F24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сентября 1917 В.И.Л. из подполья предложил новую тактику: возврат к лозунгу Вся власть Советам. Меньшевики и эсеры должны отказаться от союза с буржуазией и создать советское правительство (3908,262).</w:t>
      </w:r>
    </w:p>
    <w:p w14:paraId="32A521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FD0C35"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сентября в 1917 году организовывается Красная Гвардия в Кронштадте (14770).</w:t>
      </w:r>
    </w:p>
    <w:p w14:paraId="1DC9FB90"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p>
    <w:p w14:paraId="312350C2" w14:textId="77777777" w:rsidR="00464B78" w:rsidRPr="002F2FDF" w:rsidRDefault="00464B7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2DDF4E6" w14:textId="77777777" w:rsidR="00464B78" w:rsidRPr="002F2FDF" w:rsidRDefault="00464B7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4AD0A3" w14:textId="77777777" w:rsidR="00464B78" w:rsidRPr="002F2FDF" w:rsidRDefault="00464B7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(15) сентября 1917 немецкий ас оберлейтенант Курт Вольф на Fokker Dr.I сбит и погиб в воздушном бою с Sopwith Camel Королевского летного корпуса к северу от Вервика, Бельгия. Его 33 победы свяжут его с лейтенантом Отто Кеннеке и лейтенантом Генрихом Бонгартцем, став 20-м по результативности немецким асом Первой мировой войны (20341).</w:t>
      </w:r>
    </w:p>
    <w:p w14:paraId="4632FFBD" w14:textId="77777777" w:rsidR="00464B78" w:rsidRPr="002F2FDF" w:rsidRDefault="00464B78" w:rsidP="0083075A">
      <w:pPr>
        <w:spacing w:after="0" w:line="240" w:lineRule="auto"/>
        <w:jc w:val="both"/>
        <w:rPr>
          <w:rFonts w:ascii="Times New Roman" w:hAnsi="Times New Roman" w:cs="Times New Roman"/>
          <w:color w:val="000000" w:themeColor="text1"/>
          <w:sz w:val="16"/>
          <w:szCs w:val="16"/>
        </w:rPr>
      </w:pPr>
    </w:p>
    <w:p w14:paraId="68C48087" w14:textId="77777777" w:rsidR="002E245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2F2FDF">
        <w:rPr>
          <w:rFonts w:ascii="Times New Roman" w:hAnsi="Times New Roman" w:cs="Times New Roman"/>
          <w:i/>
          <w:iCs/>
          <w:color w:val="000000" w:themeColor="text1"/>
          <w:kern w:val="2"/>
          <w:sz w:val="16"/>
          <w:szCs w:val="16"/>
        </w:rPr>
        <w:t>Жизнь</w:t>
      </w:r>
      <w:r w:rsidRPr="002F2FDF">
        <w:rPr>
          <w:rFonts w:ascii="Times New Roman" w:hAnsi="Times New Roman" w:cs="Times New Roman"/>
          <w:i/>
          <w:iCs/>
          <w:color w:val="000000" w:themeColor="text1"/>
          <w:kern w:val="2"/>
          <w:sz w:val="16"/>
          <w:szCs w:val="16"/>
          <w:lang w:val="en-US"/>
        </w:rPr>
        <w:t xml:space="preserve"> </w:t>
      </w:r>
      <w:r w:rsidRPr="002F2FDF">
        <w:rPr>
          <w:rFonts w:ascii="Times New Roman" w:hAnsi="Times New Roman" w:cs="Times New Roman"/>
          <w:i/>
          <w:iCs/>
          <w:color w:val="000000" w:themeColor="text1"/>
          <w:kern w:val="2"/>
          <w:sz w:val="16"/>
          <w:szCs w:val="16"/>
        </w:rPr>
        <w:t>и</w:t>
      </w:r>
      <w:r w:rsidRPr="002F2FDF">
        <w:rPr>
          <w:rFonts w:ascii="Times New Roman" w:hAnsi="Times New Roman" w:cs="Times New Roman"/>
          <w:i/>
          <w:iCs/>
          <w:color w:val="000000" w:themeColor="text1"/>
          <w:kern w:val="2"/>
          <w:sz w:val="16"/>
          <w:szCs w:val="16"/>
          <w:lang w:val="en-US"/>
        </w:rPr>
        <w:t xml:space="preserve"> </w:t>
      </w:r>
      <w:r w:rsidRPr="002F2FDF">
        <w:rPr>
          <w:rFonts w:ascii="Times New Roman" w:hAnsi="Times New Roman" w:cs="Times New Roman"/>
          <w:i/>
          <w:iCs/>
          <w:color w:val="000000" w:themeColor="text1"/>
          <w:kern w:val="2"/>
          <w:sz w:val="16"/>
          <w:szCs w:val="16"/>
        </w:rPr>
        <w:t>внутренняя</w:t>
      </w:r>
      <w:r w:rsidRPr="002F2FDF">
        <w:rPr>
          <w:rFonts w:ascii="Times New Roman" w:hAnsi="Times New Roman" w:cs="Times New Roman"/>
          <w:i/>
          <w:iCs/>
          <w:color w:val="000000" w:themeColor="text1"/>
          <w:kern w:val="2"/>
          <w:sz w:val="16"/>
          <w:szCs w:val="16"/>
          <w:lang w:val="en-US"/>
        </w:rPr>
        <w:t xml:space="preserve"> </w:t>
      </w:r>
      <w:r w:rsidRPr="002F2FDF">
        <w:rPr>
          <w:rFonts w:ascii="Times New Roman" w:hAnsi="Times New Roman" w:cs="Times New Roman"/>
          <w:i/>
          <w:iCs/>
          <w:color w:val="000000" w:themeColor="text1"/>
          <w:kern w:val="2"/>
          <w:sz w:val="16"/>
          <w:szCs w:val="16"/>
        </w:rPr>
        <w:t>политика</w:t>
      </w:r>
      <w:r w:rsidRPr="002F2FDF">
        <w:rPr>
          <w:rFonts w:ascii="Times New Roman" w:hAnsi="Times New Roman" w:cs="Times New Roman"/>
          <w:i/>
          <w:iCs/>
          <w:color w:val="000000" w:themeColor="text1"/>
          <w:kern w:val="2"/>
          <w:sz w:val="16"/>
          <w:szCs w:val="16"/>
          <w:lang w:val="en-US"/>
        </w:rPr>
        <w:t>:</w:t>
      </w:r>
    </w:p>
    <w:p w14:paraId="5583A43E" w14:textId="77777777" w:rsidR="002E2452" w:rsidRPr="002F2FDF" w:rsidRDefault="002E245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3640B943" w14:textId="77777777" w:rsidR="0055271B" w:rsidRPr="002F2FDF" w:rsidRDefault="0055271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September 16, 1917 Russia proclaimed a republic by Kerensky (1036).</w:t>
      </w:r>
    </w:p>
    <w:p w14:paraId="6C1017E7" w14:textId="77777777" w:rsidR="0055271B" w:rsidRPr="002F2FDF" w:rsidRDefault="0055271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4071ED95" w14:textId="77777777" w:rsidR="0055271B" w:rsidRPr="002F2FDF" w:rsidRDefault="0055271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сентября 1917 А.Керенский провозгласил Россию республикой (1036).</w:t>
      </w:r>
    </w:p>
    <w:p w14:paraId="6DB43FEC" w14:textId="77777777" w:rsidR="0055271B" w:rsidRPr="002F2FDF" w:rsidRDefault="0055271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0535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сентября 1917 в Ташкенте состоялся второй Конгресс Мусульман Средней Азии, который предложил создать автономную Федеративную Республику Туркестан (2955).</w:t>
      </w:r>
    </w:p>
    <w:p w14:paraId="5DF27B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B93313" w14:textId="77777777" w:rsidR="00593099" w:rsidRPr="002F2FDF" w:rsidRDefault="0059309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7E92FC6" w14:textId="77777777" w:rsidR="00593099" w:rsidRPr="002F2FDF" w:rsidRDefault="0059309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0B9EFC" w14:textId="3A4121A3" w:rsidR="00593099" w:rsidRPr="002F2FDF" w:rsidRDefault="0059309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 3 по 18 сентября (16 сентября по 1 октября)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В течение нескольких ночей подряд германская авиация совершает налёты на Лондон (22351).</w:t>
      </w:r>
    </w:p>
    <w:p w14:paraId="3FDED634" w14:textId="77777777" w:rsidR="00593099" w:rsidRPr="002F2FDF" w:rsidRDefault="00593099" w:rsidP="0083075A">
      <w:pPr>
        <w:spacing w:after="0" w:line="240" w:lineRule="auto"/>
        <w:jc w:val="both"/>
        <w:rPr>
          <w:rFonts w:ascii="Times New Roman" w:hAnsi="Times New Roman" w:cs="Times New Roman"/>
          <w:color w:val="000000" w:themeColor="text1"/>
          <w:sz w:val="16"/>
          <w:szCs w:val="16"/>
        </w:rPr>
      </w:pPr>
    </w:p>
    <w:p w14:paraId="3A86EB62" w14:textId="77777777" w:rsidR="000A625D"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500F27B" w14:textId="77777777" w:rsidR="000A625D" w:rsidRPr="002F2FDF" w:rsidRDefault="000A625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633764"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4 (17) сентября </w:t>
      </w:r>
      <w:r w:rsidRPr="002F2FDF">
        <w:rPr>
          <w:rFonts w:ascii="Times New Roman" w:hAnsi="Times New Roman" w:cs="Times New Roman"/>
          <w:color w:val="000000" w:themeColor="text1"/>
          <w:kern w:val="2"/>
          <w:sz w:val="16"/>
          <w:szCs w:val="16"/>
        </w:rPr>
        <w:t>в 1917 году во время 1-й мировой войны германские войска заняли Ригу (14772).</w:t>
      </w:r>
    </w:p>
    <w:p w14:paraId="2950E7F2"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p>
    <w:p w14:paraId="1C3E5CD7" w14:textId="64CA9B3D" w:rsidR="00D9336B" w:rsidRPr="00FB4F67" w:rsidRDefault="00D9336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4 (</w:t>
      </w:r>
      <w:r w:rsidRPr="00FB4F67">
        <w:rPr>
          <w:rFonts w:ascii="Times New Roman" w:hAnsi="Times New Roman" w:cs="Times New Roman"/>
          <w:color w:val="0070C0"/>
          <w:sz w:val="16"/>
          <w:szCs w:val="16"/>
        </w:rPr>
        <w:t>17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сентября 1917 г. летчик 4-го Сибирского авиаотряда Комаровский в районе Локачи (на Владимир-Волынском направлении) в воздушном бою сбил неприятельский аэроплан, атаковавший нашего авиатора во время проведения им разведки (23405).</w:t>
      </w:r>
    </w:p>
    <w:p w14:paraId="1F7C728F" w14:textId="77777777" w:rsidR="00D9336B" w:rsidRPr="00FB4F67" w:rsidRDefault="00D9336B" w:rsidP="0083075A">
      <w:pPr>
        <w:spacing w:after="0" w:line="240" w:lineRule="auto"/>
        <w:jc w:val="both"/>
        <w:rPr>
          <w:rFonts w:ascii="Times New Roman" w:hAnsi="Times New Roman" w:cs="Times New Roman"/>
          <w:color w:val="0070C0"/>
          <w:sz w:val="16"/>
          <w:szCs w:val="16"/>
        </w:rPr>
      </w:pPr>
    </w:p>
    <w:p w14:paraId="0443923F" w14:textId="7F03201F" w:rsidR="00D9336B" w:rsidRPr="00FB4F67" w:rsidRDefault="00D9336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4 (</w:t>
      </w:r>
      <w:r w:rsidRPr="00FB4F67">
        <w:rPr>
          <w:rFonts w:ascii="Times New Roman" w:hAnsi="Times New Roman" w:cs="Times New Roman"/>
          <w:color w:val="0070C0"/>
          <w:sz w:val="16"/>
          <w:szCs w:val="16"/>
        </w:rPr>
        <w:t>17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сентября 1917 г. французский офицер Жюль Легра, находящийся сейчас в гостях у AVI AD ARM в Киеве, писал в своих мемуарах: для пополнения русской авиации центральная должность была предоставлена великому князю Александру Михайловичу (оставившему свое командование в апреле). Он любил быть легким и ненавидел царскую ставку (Ставку). Он отправился в Киев, где у него было имение. Киев должен был наполниться чиновниками, бегущими от войны и ищущими больше развлечений. Киев был удален от фронта. Всякий раз, когда от подразделения требовалось решение, ответ требовался очень долго.</w:t>
      </w:r>
    </w:p>
    <w:p w14:paraId="2F4E3A81" w14:textId="77777777" w:rsidR="00D9336B" w:rsidRPr="00FB4F67" w:rsidRDefault="00D9336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Фронт страдал от нехватки решений, и никто не смел настаивать, потому что начальником авиации был великий князь. Между тем у великого князя были хорошие идеи и хорошие офицеры.</w:t>
      </w:r>
    </w:p>
    <w:p w14:paraId="67272281" w14:textId="77777777" w:rsidR="00D9336B" w:rsidRPr="00FB4F67" w:rsidRDefault="00D9336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Только к весне 1917 года каждый штаб армии должен был получить авиационный батальон с подразделениями, способными выполнять истребительные, разведывательные, бомбардировочные и фотовызовы. Это было связано с нехваткой самолетов, запчастей и лишь небольшим количеством элитных частей.</w:t>
      </w:r>
    </w:p>
    <w:p w14:paraId="63639F2E" w14:textId="77777777" w:rsidR="00D9336B" w:rsidRPr="00FB4F67" w:rsidRDefault="00D9336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ЛеГрас сообщил, что «русские жалуются на старые французские модели. Им нужен год, чтобы прийти на Юго-Западный фронт. Качество русских летчиков (в том числе) мастерство в воздухе, с недостатками в лени и самоуверенности, не интересующиеся механическими аспектами, часто смелые, но неорганизованные. Штаб российской армии часто не знает, как использовать свои (авиационные) подразделения. Профессиональные офицеры в авиации не разбираются, хотя с 1914 года авиацию преподавали в Военной академии. Русская авиация, плохо оснащенная, сослужила в целом хорошую службу». В начале марта 1918 года ЛеГрас заболел и был отправлен санитарным поездом в Москву, как раз перед тем, как наступающие немцы взяли Киев, и был отозван из России» (23525).</w:t>
      </w:r>
    </w:p>
    <w:p w14:paraId="7FDE8C43" w14:textId="77777777" w:rsidR="00D9336B" w:rsidRPr="00FB4F67" w:rsidRDefault="00D9336B" w:rsidP="0083075A">
      <w:pPr>
        <w:spacing w:after="0" w:line="240" w:lineRule="auto"/>
        <w:jc w:val="both"/>
        <w:rPr>
          <w:rFonts w:ascii="Times New Roman" w:hAnsi="Times New Roman" w:cs="Times New Roman"/>
          <w:color w:val="0070C0"/>
          <w:sz w:val="16"/>
          <w:szCs w:val="16"/>
        </w:rPr>
      </w:pPr>
    </w:p>
    <w:p w14:paraId="1FDF090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A6B25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8190F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сентября 1917 глава Временного правительства А. Керенский издал указ о роспуске военно-революционного комитета (4962).</w:t>
      </w:r>
    </w:p>
    <w:p w14:paraId="04A3702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1378BE" w14:textId="77777777" w:rsidR="0019702E" w:rsidRPr="002F2FDF" w:rsidRDefault="0019702E" w:rsidP="0083075A">
      <w:pPr>
        <w:pStyle w:val="ae"/>
        <w:spacing w:before="0" w:after="0"/>
        <w:jc w:val="both"/>
        <w:rPr>
          <w:color w:val="000000" w:themeColor="text1"/>
          <w:kern w:val="2"/>
          <w:sz w:val="16"/>
          <w:szCs w:val="16"/>
        </w:rPr>
      </w:pPr>
      <w:r w:rsidRPr="002F2FDF">
        <w:rPr>
          <w:color w:val="000000" w:themeColor="text1"/>
          <w:kern w:val="2"/>
          <w:sz w:val="16"/>
          <w:szCs w:val="16"/>
        </w:rPr>
        <w:t>4 (17) сентября 1917 Временному правительству, объявившему политическую амнистию, пришлось выпустить из тюрьмы Льва Троцкого, который всего через пару недель стал председателем Петроградского совета, а спустя еще три недели сформировал на его базе Военно-революционный комитет. Сам Керенский позднее тоже говорил, что «без корниловского мятежа не было бы Ленина».</w:t>
      </w:r>
    </w:p>
    <w:p w14:paraId="3F0BD74E" w14:textId="77777777" w:rsidR="0019702E" w:rsidRPr="002F2FDF" w:rsidRDefault="0019702E" w:rsidP="0083075A">
      <w:pPr>
        <w:pStyle w:val="ae"/>
        <w:spacing w:before="0" w:after="0"/>
        <w:jc w:val="both"/>
        <w:rPr>
          <w:color w:val="000000" w:themeColor="text1"/>
          <w:kern w:val="2"/>
          <w:sz w:val="16"/>
          <w:szCs w:val="16"/>
        </w:rPr>
      </w:pPr>
      <w:r w:rsidRPr="002F2FDF">
        <w:rPr>
          <w:color w:val="000000" w:themeColor="text1"/>
          <w:kern w:val="2"/>
          <w:sz w:val="16"/>
          <w:szCs w:val="16"/>
        </w:rPr>
        <w:t>Тем временем, большевики в регионах уже начали «разрывать связи с Временным правительством» и создавать свои «народные республики». Первым на такой шаг пошел известный донбасский большевик Федор Сергеев (он же «товарищ Артем»), активно участвовавший еще в революции 1905 года, а потом бежавший с царской каторги и скрывавшийся в странах Азии и Австралии. 17 сентября Артем объявил о создании независимой от Временного правительства «народной республики» в Донбассе, которая, впрочем, окончательно оформилась лишь к 1918 году и просуществовала всего несколько месяцев (17045).</w:t>
      </w:r>
    </w:p>
    <w:p w14:paraId="444FB3B6" w14:textId="77777777" w:rsidR="0019702E" w:rsidRPr="002F2FDF" w:rsidRDefault="0019702E"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AE27E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сентября 1917 лидер большевиков Донбасса Артем-Сергеев в Харькове заявил о разрыве с Временным правительством и создании в Донбассе собственной власти (4962).</w:t>
      </w:r>
    </w:p>
    <w:p w14:paraId="743EB4F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B264D1"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4 (17) сентября </w:t>
      </w:r>
      <w:r w:rsidRPr="002F2FDF">
        <w:rPr>
          <w:rFonts w:ascii="Times New Roman" w:hAnsi="Times New Roman" w:cs="Times New Roman"/>
          <w:color w:val="000000" w:themeColor="text1"/>
          <w:kern w:val="2"/>
          <w:sz w:val="16"/>
          <w:szCs w:val="16"/>
        </w:rPr>
        <w:t>в 1917 году под залог освобождается Л.Троцкий (14772).</w:t>
      </w:r>
    </w:p>
    <w:p w14:paraId="6AD2792B"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p>
    <w:p w14:paraId="277F5F42"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4 (17) сентября </w:t>
      </w:r>
      <w:r w:rsidRPr="002F2FDF">
        <w:rPr>
          <w:rFonts w:ascii="Times New Roman" w:hAnsi="Times New Roman" w:cs="Times New Roman"/>
          <w:color w:val="000000" w:themeColor="text1"/>
          <w:kern w:val="2"/>
          <w:sz w:val="16"/>
          <w:szCs w:val="16"/>
        </w:rPr>
        <w:t>в 1917 году лидер большевиков Донбасса Артем-Сергеев в Харькове заявляет о разрыве с Временным правительством и создании в Донбассе собственной власти (14772).</w:t>
      </w:r>
    </w:p>
    <w:p w14:paraId="5C762B89"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p>
    <w:p w14:paraId="3C710854" w14:textId="77777777" w:rsidR="00465FFE"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57594506" w14:textId="77777777" w:rsidR="00465FFE" w:rsidRPr="002F2FDF" w:rsidRDefault="00465FF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B9CE19" w14:textId="77777777" w:rsidR="00465FFE" w:rsidRPr="002F2FDF" w:rsidRDefault="00465FFE"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4 (17) сентября 1917 г</w:t>
      </w:r>
      <w:r w:rsidRPr="002F2FDF">
        <w:rPr>
          <w:rFonts w:ascii="Times New Roman" w:hAnsi="Times New Roman" w:cs="Times New Roman"/>
          <w:color w:val="000000" w:themeColor="text1"/>
          <w:kern w:val="2"/>
          <w:sz w:val="16"/>
          <w:szCs w:val="16"/>
        </w:rPr>
        <w:t>. Телеграмма М. М. Севастопуло Министерству иностранных дел по вопросу о французских кредитах.</w:t>
      </w:r>
    </w:p>
    <w:p w14:paraId="71246387" w14:textId="72B79257" w:rsidR="00465FFE" w:rsidRPr="002F2FDF" w:rsidRDefault="00465FF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556</w:t>
      </w:r>
    </w:p>
    <w:p w14:paraId="1C0B3911" w14:textId="560B5328" w:rsidR="00465FFE" w:rsidRPr="002F2FDF" w:rsidRDefault="00465FF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Экономического деп-та, 1е дел-во, д. 146, лл. 31—32. Копия.</w:t>
      </w:r>
    </w:p>
    <w:p w14:paraId="759900F0" w14:textId="77777777" w:rsidR="00465FFE" w:rsidRPr="002F2FDF" w:rsidRDefault="00465FFE" w:rsidP="0083075A">
      <w:pPr>
        <w:pStyle w:val="rtejustify"/>
        <w:spacing w:before="0" w:after="0"/>
        <w:rPr>
          <w:color w:val="000000" w:themeColor="text1"/>
          <w:kern w:val="2"/>
          <w:sz w:val="16"/>
          <w:szCs w:val="16"/>
        </w:rPr>
      </w:pPr>
      <w:r w:rsidRPr="002F2FDF">
        <w:rPr>
          <w:color w:val="000000" w:themeColor="text1"/>
          <w:kern w:val="2"/>
          <w:sz w:val="16"/>
          <w:szCs w:val="16"/>
        </w:rPr>
        <w:t>Вопрос о кредитах на уплату данных во Франции заказов. Согласно первому финансовому соглашению с французским правительством, последнее предоставило нам кредит в 615 млн. фр. по 75 млн. в месяц. Вторым соглашением сумма ежемесячного кредита повышена до 120 млн. Таким образом, русское правительство могло бы получить на основании обоих соглашений по 1 сентября с. г. 3500 млн. фр. Фактически же предоставленная в распоряжение нашей казны и составляющая ее задолженность французскому правительству сумма составляет с ноября 1915 г., т. е. с начала действия первого из вышеуказанных соглашений по 1 сентября 1917 г., 2865 млн. фр. В общую сумму расходов входят целиком проценты по учету и переучету. Таким образом, по 1 сентября оставался неиспользованный остаток кредита в 635 млн. фр. Указанные цифры сверены агентом Министерства финансов с данными Французского банка.</w:t>
      </w:r>
    </w:p>
    <w:p w14:paraId="09C5E722" w14:textId="77777777" w:rsidR="00465FFE" w:rsidRPr="002F2FDF" w:rsidRDefault="00465FFE" w:rsidP="0083075A">
      <w:pPr>
        <w:pStyle w:val="rtejustify"/>
        <w:spacing w:before="0" w:after="0"/>
        <w:rPr>
          <w:color w:val="000000" w:themeColor="text1"/>
          <w:kern w:val="2"/>
          <w:sz w:val="16"/>
          <w:szCs w:val="16"/>
        </w:rPr>
      </w:pPr>
      <w:r w:rsidRPr="002F2FDF">
        <w:rPr>
          <w:color w:val="000000" w:themeColor="text1"/>
          <w:kern w:val="2"/>
          <w:sz w:val="16"/>
          <w:szCs w:val="16"/>
        </w:rPr>
        <w:t>Предоставленные нам соглашениями с французским правительством суммы недостаточны для уплаты произведенных нами заказов во Франции. Согласно справке, переданной ген. Михельсоном А. Тома в бытность в Петрограде, для покрытия дефицита кредитов, принятых на учет Главным управлением заграничных заказов, требуется 1715 млн. фр. По рассмотрении в Париже выяснилось, что не все данные Главзаграна могут быть сверены с данными, имеющимися в распоряжении военного агента во Франции. По данным последнего, дефицит определяется в 1942 млн. Дефицит этот мог бы быть прежде всего уменьшен предоставлением нам французским правительством упомянутого неиспользованного остатка. Затем ограниченность предоставленного для наших нужд тоннажа исключает возможность своевременно доставить в Россию все количество заказанных предметов. Французское ведомство снабжений, стремясь использовать производительные силы французской промышленности с максимальной пользой для общего дела, также озабочено, чтобы не было грузов, без пользы лежащих за невозможностью отправки. Под влиянием этих соображений французское ведомство снабжений по соглашению с нашим военным агентом в настоящее время сокращает часть сделанных нами во Франции заказов, в результате чего сумма дефицита еще в значительной степени уменьшится. Для покрытия этого дефицита А. Тома после переговоров с военным агентом предложил возбудить перед французским правительством ходатайство об увеличении отпускаемого нам ежемесячного кредита до 150 млн. фр., т. е. до суммы, упоминаемой в переговорах между Барком и Рибо в июле 1916 г.</w:t>
      </w:r>
      <w:hyperlink r:id="rId526" w:anchor="_ftn1" w:history="1">
        <w:r w:rsidRPr="002F2FDF">
          <w:rPr>
            <w:rStyle w:val="a5"/>
            <w:color w:val="000000" w:themeColor="text1"/>
            <w:kern w:val="2"/>
            <w:sz w:val="16"/>
            <w:szCs w:val="16"/>
          </w:rPr>
          <w:t>[1]</w:t>
        </w:r>
      </w:hyperlink>
      <w:r w:rsidRPr="002F2FDF">
        <w:rPr>
          <w:color w:val="000000" w:themeColor="text1"/>
          <w:kern w:val="2"/>
          <w:sz w:val="16"/>
          <w:szCs w:val="16"/>
        </w:rPr>
        <w:t xml:space="preserve"> Агент Министерства финансов запросил по сему поводу указаний от своего ведомства, но получил предписание воздержаться пока от каких-либо шагов по этому вопросу. Ввиду необходимости урегулировать вопрос о принятых уже обязательствах, для оплаты коих не имеется кредитов, по соглашению с военным агентом позволяю обратить внимание Ваше на желательность, чтобы вопрос этот в ближайшем времени получил разрешение в Петрограде.</w:t>
      </w:r>
    </w:p>
    <w:p w14:paraId="0840C538" w14:textId="77777777" w:rsidR="00465FFE" w:rsidRPr="002F2FDF" w:rsidRDefault="00465FFE"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Севастопуло (15172).</w:t>
      </w:r>
    </w:p>
    <w:p w14:paraId="37DA9BDC" w14:textId="77777777" w:rsidR="00465FFE" w:rsidRPr="002F2FDF" w:rsidRDefault="00000000" w:rsidP="0083075A">
      <w:pPr>
        <w:pStyle w:val="rtejustify"/>
        <w:spacing w:before="0" w:after="0"/>
        <w:rPr>
          <w:color w:val="000000" w:themeColor="text1"/>
          <w:kern w:val="2"/>
          <w:sz w:val="16"/>
          <w:szCs w:val="16"/>
        </w:rPr>
      </w:pPr>
      <w:hyperlink r:id="rId527" w:anchor="_ftnref1" w:history="1">
        <w:r w:rsidR="00465FFE" w:rsidRPr="002F2FDF">
          <w:rPr>
            <w:rStyle w:val="a5"/>
            <w:color w:val="000000" w:themeColor="text1"/>
            <w:kern w:val="2"/>
            <w:sz w:val="16"/>
            <w:szCs w:val="16"/>
          </w:rPr>
          <w:t>[1]</w:t>
        </w:r>
      </w:hyperlink>
      <w:r w:rsidR="00465FFE" w:rsidRPr="002F2FDF">
        <w:rPr>
          <w:color w:val="000000" w:themeColor="text1"/>
          <w:kern w:val="2"/>
          <w:sz w:val="16"/>
          <w:szCs w:val="16"/>
        </w:rPr>
        <w:t xml:space="preserve"> Переговоры российского и французского министров финансов — Барка и Рибо — имели место незадолго до состоявшейся в июле 1916 г. конференции министров финансов Англии, Франции, России и Италии. Барк пытался договориться с Рибо о продолжении франко-русского финансового соглашения от октября 1915 г., причем им было высказано пожелание, чтобы сумма ежемесячных платежей по русским заказам во Франции была повышена со 125 до 150 млн. фр. Рибо соглашался предоставлять ежемесячный кредит в 150 млн. фр. лишь при условии покрытия половины задолженности России Франции ко времени заключения мира хлебом, лесом и другими товарами. Поэтому соглашения с французами достигнуто не было (15172).</w:t>
      </w:r>
    </w:p>
    <w:p w14:paraId="589A0855" w14:textId="77777777" w:rsidR="00465FFE" w:rsidRPr="002F2FDF" w:rsidRDefault="00465FFE" w:rsidP="0083075A">
      <w:pPr>
        <w:pStyle w:val="ae"/>
        <w:spacing w:before="0" w:after="0"/>
        <w:jc w:val="both"/>
        <w:rPr>
          <w:color w:val="000000" w:themeColor="text1"/>
          <w:kern w:val="2"/>
          <w:sz w:val="16"/>
          <w:szCs w:val="16"/>
        </w:rPr>
      </w:pPr>
    </w:p>
    <w:p w14:paraId="283E94A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3DA64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53154E"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сентября 1917 г. взлетел свободнонесущий низкоплан с сило</w:t>
      </w:r>
      <w:r w:rsidRPr="002F2FDF">
        <w:rPr>
          <w:rFonts w:ascii="Times New Roman" w:hAnsi="Times New Roman" w:cs="Times New Roman"/>
          <w:color w:val="000000" w:themeColor="text1"/>
          <w:kern w:val="2"/>
          <w:sz w:val="16"/>
          <w:szCs w:val="16"/>
        </w:rPr>
        <w:softHyphen/>
        <w:t xml:space="preserve">вой обшивкой из дюралевого гофра </w:t>
      </w:r>
      <w:r w:rsidRPr="002F2FDF">
        <w:rPr>
          <w:rFonts w:ascii="Times New Roman" w:hAnsi="Times New Roman" w:cs="Times New Roman"/>
          <w:color w:val="000000" w:themeColor="text1"/>
          <w:kern w:val="2"/>
          <w:sz w:val="16"/>
          <w:szCs w:val="16"/>
          <w:lang w:val="en-US"/>
        </w:rPr>
        <w:t>J</w:t>
      </w:r>
      <w:r w:rsidRPr="002F2FDF">
        <w:rPr>
          <w:rFonts w:ascii="Times New Roman" w:hAnsi="Times New Roman" w:cs="Times New Roman"/>
          <w:color w:val="000000" w:themeColor="text1"/>
          <w:kern w:val="2"/>
          <w:sz w:val="16"/>
          <w:szCs w:val="16"/>
        </w:rPr>
        <w:t xml:space="preserve">7 (пилот Арвин фон Шмидт). Именно он стал первым цельноалюминиевым самолётом в мире. Серийно, начиная с лета 1918 г., выпускался его усовершенствованный вариант Юнкерс </w:t>
      </w:r>
      <w:r w:rsidRPr="002F2FDF">
        <w:rPr>
          <w:rFonts w:ascii="Times New Roman" w:hAnsi="Times New Roman" w:cs="Times New Roman"/>
          <w:color w:val="000000" w:themeColor="text1"/>
          <w:kern w:val="2"/>
          <w:sz w:val="16"/>
          <w:szCs w:val="16"/>
          <w:lang w:val="en-US"/>
        </w:rPr>
        <w:t>J</w:t>
      </w:r>
      <w:r w:rsidRPr="002F2FDF">
        <w:rPr>
          <w:rFonts w:ascii="Times New Roman" w:hAnsi="Times New Roman" w:cs="Times New Roman"/>
          <w:color w:val="000000" w:themeColor="text1"/>
          <w:kern w:val="2"/>
          <w:sz w:val="16"/>
          <w:szCs w:val="16"/>
        </w:rPr>
        <w:t>9 (15784).</w:t>
      </w:r>
    </w:p>
    <w:p w14:paraId="4A65409B"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p>
    <w:p w14:paraId="296C4A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сентября 1917 был первый налет на Великобританию германских бомбардировщиков типа R Стаакен, которые могли нести 1000 кг бомбы (3481).</w:t>
      </w:r>
    </w:p>
    <w:p w14:paraId="3A63D8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813F5D" w14:textId="77777777" w:rsidR="0055271B" w:rsidRPr="002F2FDF" w:rsidRDefault="0055271B" w:rsidP="0083075A">
      <w:pPr>
        <w:spacing w:after="0" w:line="240" w:lineRule="auto"/>
        <w:jc w:val="both"/>
        <w:rPr>
          <w:rStyle w:val="ucoz-forum-post"/>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4 (17) сентября 1917 года</w:t>
      </w:r>
      <w:r w:rsidRPr="002F2FDF">
        <w:rPr>
          <w:rStyle w:val="ucoz-forum-post"/>
          <w:rFonts w:ascii="Times New Roman" w:hAnsi="Times New Roman" w:cs="Times New Roman"/>
          <w:color w:val="000000" w:themeColor="text1"/>
          <w:kern w:val="2"/>
          <w:sz w:val="16"/>
          <w:szCs w:val="16"/>
        </w:rPr>
        <w:t xml:space="preserve"> Первый налет на Великобританию немецких бомбардировщиков типа R. Бомбардировщики «Стаакен» R.VI могли нести 1000-килограммовые бомбы (14772).</w:t>
      </w:r>
    </w:p>
    <w:p w14:paraId="3068952C" w14:textId="77777777" w:rsidR="0055271B" w:rsidRPr="002F2FDF" w:rsidRDefault="0055271B" w:rsidP="0083075A">
      <w:pPr>
        <w:spacing w:after="0" w:line="240" w:lineRule="auto"/>
        <w:jc w:val="both"/>
        <w:rPr>
          <w:rStyle w:val="ucoz-forum-post"/>
          <w:rFonts w:ascii="Times New Roman" w:hAnsi="Times New Roman" w:cs="Times New Roman"/>
          <w:color w:val="000000" w:themeColor="text1"/>
          <w:kern w:val="2"/>
          <w:sz w:val="16"/>
          <w:szCs w:val="16"/>
        </w:rPr>
      </w:pPr>
    </w:p>
    <w:p w14:paraId="25C6206E" w14:textId="13F55F48" w:rsidR="00E13280" w:rsidRPr="002F2FDF" w:rsidRDefault="00E132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 (17) сентября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Первый налёт на Великобританию немецких бомбардировщиков типа R. Бомбардировщики Zeppelin-Staaken R.VI могли нести 1000-килограммовые бомбы (22362).</w:t>
      </w:r>
    </w:p>
    <w:p w14:paraId="3CD6F08E" w14:textId="77777777" w:rsidR="00E13280" w:rsidRPr="002F2FDF" w:rsidRDefault="00E13280" w:rsidP="0083075A">
      <w:pPr>
        <w:spacing w:after="0" w:line="240" w:lineRule="auto"/>
        <w:jc w:val="both"/>
        <w:rPr>
          <w:rFonts w:ascii="Times New Roman" w:hAnsi="Times New Roman" w:cs="Times New Roman"/>
          <w:color w:val="000000" w:themeColor="text1"/>
          <w:sz w:val="16"/>
          <w:szCs w:val="16"/>
        </w:rPr>
      </w:pPr>
    </w:p>
    <w:p w14:paraId="372F9047"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17 (17) сентября </w:t>
      </w:r>
      <w:r w:rsidRPr="002F2FDF">
        <w:rPr>
          <w:rFonts w:ascii="Times New Roman" w:hAnsi="Times New Roman" w:cs="Times New Roman"/>
          <w:color w:val="000000" w:themeColor="text1"/>
          <w:kern w:val="2"/>
          <w:sz w:val="16"/>
          <w:szCs w:val="16"/>
        </w:rPr>
        <w:t>в 1917 году первый налет на Великобританию немецких бомбардировщиков типа R. Гигантские бомбардировщики "Стаакен" RVI могли нести 1000-килограммовые бомбы - самые большие бомбы первой мировой войны (14772).</w:t>
      </w:r>
    </w:p>
    <w:p w14:paraId="36BEBEB9"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p>
    <w:p w14:paraId="126C60E3" w14:textId="77777777" w:rsidR="00E13280" w:rsidRPr="002F2FDF" w:rsidRDefault="00E132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 (17) сентября 1917 первый полет Junkers J 7, прототипа Junkers DI (20341).</w:t>
      </w:r>
    </w:p>
    <w:p w14:paraId="62CD99D0" w14:textId="77777777" w:rsidR="00E13280" w:rsidRPr="002F2FDF" w:rsidRDefault="00E13280" w:rsidP="0083075A">
      <w:pPr>
        <w:spacing w:after="0" w:line="240" w:lineRule="auto"/>
        <w:jc w:val="both"/>
        <w:rPr>
          <w:rFonts w:ascii="Times New Roman" w:hAnsi="Times New Roman" w:cs="Times New Roman"/>
          <w:color w:val="000000" w:themeColor="text1"/>
          <w:sz w:val="16"/>
          <w:szCs w:val="16"/>
        </w:rPr>
      </w:pPr>
    </w:p>
    <w:p w14:paraId="0492A6FE" w14:textId="77777777" w:rsidR="00E13280" w:rsidRPr="002F2FDF" w:rsidRDefault="00E132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 (17) сентября 1917 утром после 4 дней наземных испытаний летчик-испытатель IdFlieg Арвид фон Шмидт совершил первый полет на Junkers J 7 - прототипе Junkers DI. Вскоре он достиг приборной скорости 200 км/ч и держал ее даже в наборе высоты, а на маневрах со снижением разгонялся до 220 км/ч, тогда как другие самолеты при отклонении от прямой скорость быстро теряли.</w:t>
      </w:r>
    </w:p>
    <w:p w14:paraId="091D1D5E" w14:textId="77777777" w:rsidR="00E13280" w:rsidRPr="002F2FDF" w:rsidRDefault="00E132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Все фигуры пилотажа самолет выполнял легко, но с заметным запаздыванием, радиатор не давал целиться, и самолет стали поэтапно переделывать. За полгода доводки поменяли несколько вариантов элеронов и законцовок крыла, которые приобрели новый профиль без вогнутости по нижней дужке. Радиатор сделали лобовым, но, в отличие от других немецких истребителей, он получил створки для регулирования тока воздуха и температуры мотора (22886).</w:t>
      </w:r>
    </w:p>
    <w:p w14:paraId="3CFC5060" w14:textId="77777777" w:rsidR="00E13280" w:rsidRPr="002F2FDF" w:rsidRDefault="00E13280" w:rsidP="0083075A">
      <w:pPr>
        <w:spacing w:after="0" w:line="240" w:lineRule="auto"/>
        <w:jc w:val="both"/>
        <w:rPr>
          <w:rFonts w:ascii="Times New Roman" w:hAnsi="Times New Roman" w:cs="Times New Roman"/>
          <w:color w:val="000000" w:themeColor="text1"/>
          <w:sz w:val="16"/>
          <w:szCs w:val="16"/>
        </w:rPr>
      </w:pPr>
    </w:p>
    <w:p w14:paraId="6C661BEF" w14:textId="77777777" w:rsidR="00E13280" w:rsidRPr="002F2FDF" w:rsidRDefault="00E132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 (17) сентября 1917 за спасение воздухоплавателя слесарь бронированного крейсера Хантингтон награждается 3-ей Почетной медалью Первой мировой войны за спасение (20341).</w:t>
      </w:r>
    </w:p>
    <w:p w14:paraId="244A953D" w14:textId="77777777" w:rsidR="00E13280" w:rsidRPr="002F2FDF" w:rsidRDefault="00E13280" w:rsidP="0083075A">
      <w:pPr>
        <w:spacing w:after="0" w:line="240" w:lineRule="auto"/>
        <w:jc w:val="both"/>
        <w:rPr>
          <w:rFonts w:ascii="Times New Roman" w:hAnsi="Times New Roman" w:cs="Times New Roman"/>
          <w:color w:val="000000" w:themeColor="text1"/>
          <w:sz w:val="16"/>
          <w:szCs w:val="16"/>
        </w:rPr>
      </w:pPr>
    </w:p>
    <w:p w14:paraId="4EA78B42" w14:textId="77777777" w:rsidR="000A625D" w:rsidRPr="002F2FDF" w:rsidRDefault="000A625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сентября 1917 Кайзер призвал 15-летних мальчиков вступать добровольцами в армию (3481).</w:t>
      </w:r>
    </w:p>
    <w:p w14:paraId="0C964AD5" w14:textId="77777777" w:rsidR="000A625D" w:rsidRPr="002F2FDF" w:rsidRDefault="000A625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C17769" w14:textId="77777777" w:rsidR="0019702E" w:rsidRPr="002F2FDF" w:rsidRDefault="0019702E" w:rsidP="0083075A">
      <w:pPr>
        <w:pStyle w:val="ae"/>
        <w:spacing w:before="0" w:after="0"/>
        <w:jc w:val="both"/>
        <w:rPr>
          <w:color w:val="000000" w:themeColor="text1"/>
          <w:kern w:val="2"/>
          <w:sz w:val="16"/>
          <w:szCs w:val="16"/>
        </w:rPr>
      </w:pPr>
      <w:r w:rsidRPr="002F2FDF">
        <w:rPr>
          <w:color w:val="000000" w:themeColor="text1"/>
          <w:kern w:val="2"/>
          <w:sz w:val="16"/>
          <w:szCs w:val="16"/>
        </w:rPr>
        <w:t>4 (17) сентября 1917 германский кайзер выступил с обращением, призвав вступать в армию добровольцев начиная с 15-летнего возраста. К этому моменту страна уже практически полностью исчерпала все возможные мобилизационные ресурсы, и в армию в принудительном порядке призывались даже проживавшие в Германии иностранцы, которых власти объявляли «денационализированными» (17045).</w:t>
      </w:r>
    </w:p>
    <w:p w14:paraId="250EF387" w14:textId="77777777" w:rsidR="0019702E" w:rsidRPr="002F2FDF" w:rsidRDefault="0019702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A14999" w14:textId="77777777" w:rsidR="00B85F4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B915E54" w14:textId="77777777" w:rsidR="00B85F42" w:rsidRPr="002F2FDF" w:rsidRDefault="00B85F4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C015AB" w14:textId="5ED60CA7" w:rsidR="00494398" w:rsidRPr="00FB4F67" w:rsidRDefault="00494398" w:rsidP="0083075A">
      <w:pPr>
        <w:spacing w:after="0" w:line="240" w:lineRule="auto"/>
        <w:jc w:val="both"/>
        <w:rPr>
          <w:rFonts w:ascii="Times New Roman" w:hAnsi="Times New Roman" w:cs="Times New Roman"/>
          <w:color w:val="0070C0"/>
          <w:sz w:val="16"/>
          <w:szCs w:val="16"/>
        </w:rPr>
      </w:pPr>
      <w:bookmarkStart w:id="295" w:name="bookmark927"/>
      <w:r>
        <w:rPr>
          <w:rFonts w:ascii="Times New Roman" w:hAnsi="Times New Roman" w:cs="Times New Roman"/>
          <w:color w:val="0070C0"/>
          <w:sz w:val="16"/>
          <w:szCs w:val="16"/>
        </w:rPr>
        <w:t>5 (</w:t>
      </w:r>
      <w:r w:rsidRPr="00FB4F67">
        <w:rPr>
          <w:rFonts w:ascii="Times New Roman" w:hAnsi="Times New Roman" w:cs="Times New Roman"/>
          <w:color w:val="0070C0"/>
          <w:sz w:val="16"/>
          <w:szCs w:val="16"/>
        </w:rPr>
        <w:t>18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сентября 1917 г. на Румынском фронте огнем русской артиллерии был подбит вражеский аппарат, который упал на нейтральной полосе. Противник предпринял попытку спасти свой самолет, но был «разогнан нашим огнем» (23405).</w:t>
      </w:r>
      <w:bookmarkEnd w:id="295"/>
    </w:p>
    <w:p w14:paraId="300C0814" w14:textId="77777777" w:rsidR="00494398" w:rsidRPr="00FB4F67" w:rsidRDefault="00494398" w:rsidP="0083075A">
      <w:pPr>
        <w:spacing w:after="0" w:line="240" w:lineRule="auto"/>
        <w:jc w:val="both"/>
        <w:rPr>
          <w:rFonts w:ascii="Times New Roman" w:hAnsi="Times New Roman" w:cs="Times New Roman"/>
          <w:color w:val="0070C0"/>
          <w:sz w:val="16"/>
          <w:szCs w:val="16"/>
        </w:rPr>
      </w:pPr>
    </w:p>
    <w:p w14:paraId="589EC1A1" w14:textId="6C672FF1" w:rsidR="00494398" w:rsidRPr="00FB4F67" w:rsidRDefault="00494398"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5 (</w:t>
      </w:r>
      <w:r w:rsidRPr="00FB4F67">
        <w:rPr>
          <w:rFonts w:ascii="Times New Roman" w:hAnsi="Times New Roman" w:cs="Times New Roman"/>
          <w:color w:val="0070C0"/>
          <w:sz w:val="16"/>
          <w:szCs w:val="16"/>
        </w:rPr>
        <w:t>18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сентября, 1917 г.в полосе Румынского фронта неприятельская авиация совершила налеты на населенные пункты: Кизариг, Чикос, Нягра, Онешти (23405).</w:t>
      </w:r>
    </w:p>
    <w:p w14:paraId="5D771993" w14:textId="77777777" w:rsidR="00494398" w:rsidRPr="00FB4F67" w:rsidRDefault="00494398" w:rsidP="0083075A">
      <w:pPr>
        <w:spacing w:after="0" w:line="240" w:lineRule="auto"/>
        <w:jc w:val="both"/>
        <w:rPr>
          <w:rFonts w:ascii="Times New Roman" w:hAnsi="Times New Roman" w:cs="Times New Roman"/>
          <w:color w:val="0070C0"/>
          <w:sz w:val="16"/>
          <w:szCs w:val="16"/>
        </w:rPr>
      </w:pPr>
    </w:p>
    <w:p w14:paraId="22DC9E00" w14:textId="77777777" w:rsidR="00B85F42" w:rsidRPr="002F2FDF" w:rsidRDefault="00B85F4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bCs/>
          <w:color w:val="000000" w:themeColor="text1"/>
          <w:kern w:val="2"/>
          <w:sz w:val="16"/>
          <w:szCs w:val="16"/>
        </w:rPr>
        <w:t>5 (</w:t>
      </w:r>
      <w:r w:rsidRPr="002F2FDF">
        <w:rPr>
          <w:rFonts w:ascii="Times New Roman" w:hAnsi="Times New Roman" w:cs="Times New Roman"/>
          <w:color w:val="000000" w:themeColor="text1"/>
          <w:kern w:val="2"/>
          <w:sz w:val="16"/>
          <w:szCs w:val="16"/>
        </w:rPr>
        <w:t>18) сентября (1917)</w:t>
      </w:r>
      <w:r w:rsidRPr="002F2FDF">
        <w:rPr>
          <w:rFonts w:ascii="Times New Roman" w:hAnsi="Times New Roman" w:cs="Times New Roman"/>
          <w:bCs/>
          <w:color w:val="000000" w:themeColor="text1"/>
          <w:kern w:val="2"/>
          <w:sz w:val="16"/>
          <w:szCs w:val="16"/>
        </w:rPr>
        <w:t xml:space="preserve"> Тухачевскому удалось перейти германо-швейцарскую границу. 29 сентября (12 октября) 1917 года истощенный голодными скитаниями, но не потерявший присутствия духа подпоручик явился к русскому военному агенту (по сегодняшней терминологии — военному атташе) генералу А. А. Игнатьеву, потом тоже перешедшему к большевикам и ставшему, наряду с Алексеем Толстым, еще одним «красным графом (17326).</w:t>
      </w:r>
    </w:p>
    <w:p w14:paraId="04A6258B" w14:textId="77777777" w:rsidR="00B85F42" w:rsidRPr="002F2FDF" w:rsidRDefault="00B85F4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FAFA2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B5C38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DF7BC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сентября 1917 Московский Совет перешел на сторону большевиков (4962).</w:t>
      </w:r>
    </w:p>
    <w:p w14:paraId="479C637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A00AD1"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5 (18) сентября </w:t>
      </w:r>
      <w:r w:rsidRPr="002F2FDF">
        <w:rPr>
          <w:rFonts w:ascii="Times New Roman" w:hAnsi="Times New Roman" w:cs="Times New Roman"/>
          <w:color w:val="000000" w:themeColor="text1"/>
          <w:kern w:val="2"/>
          <w:sz w:val="16"/>
          <w:szCs w:val="16"/>
        </w:rPr>
        <w:t>в 1917 году постановление Московского совета рабочих депутатов об организации «Красной Гвардии» (14773).</w:t>
      </w:r>
    </w:p>
    <w:p w14:paraId="77CBDE2C"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p>
    <w:p w14:paraId="63172D8D" w14:textId="77777777" w:rsidR="00537E6E" w:rsidRPr="002F2FDF" w:rsidRDefault="00537E6E"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5 (18) сентября 1917 Александр Верховский — один из членов Директории, управлявшей Россией в сентябре 1917 года в период после подавления Корниловского мятежа до формирования третьего состава Временного правительства — написал в своем дневнике: «Керенский и группа людей около него не отвечают сейчас требованию обстановки. В то время, как массы уходят влево под влиянием разрастающейся разрухи и анархии, интеллигенция и имущие классы резко уходят вправо, </w:t>
      </w:r>
      <w:r w:rsidRPr="002F2FDF">
        <w:rPr>
          <w:color w:val="000000" w:themeColor="text1"/>
          <w:kern w:val="2"/>
          <w:sz w:val="16"/>
          <w:szCs w:val="16"/>
        </w:rPr>
        <w:lastRenderedPageBreak/>
        <w:t>теряя веру в народ. Мысль о железной власти все чаще слышится; здесь не указывается только, как ее сделать при теперешнем раздроблении России на партии и классы. Керенский же остается на месте и перед ним образуется пустота. С другой стороны, он не владеет техникой управления массами, у него нет смелости на большие решения» (17045).</w:t>
      </w:r>
    </w:p>
    <w:p w14:paraId="0B3B65E6" w14:textId="77777777" w:rsidR="00537E6E" w:rsidRPr="002F2FDF" w:rsidRDefault="00537E6E" w:rsidP="0083075A">
      <w:pPr>
        <w:pStyle w:val="ae"/>
        <w:spacing w:before="0" w:after="0"/>
        <w:jc w:val="both"/>
        <w:rPr>
          <w:color w:val="000000" w:themeColor="text1"/>
          <w:kern w:val="2"/>
          <w:sz w:val="16"/>
          <w:szCs w:val="16"/>
        </w:rPr>
      </w:pPr>
    </w:p>
    <w:p w14:paraId="00C0DCB5" w14:textId="27084A5B" w:rsidR="00AD778E" w:rsidRPr="002F2FDF" w:rsidRDefault="00AD778E" w:rsidP="0083075A">
      <w:pPr>
        <w:pStyle w:val="ae"/>
        <w:spacing w:before="0" w:after="0"/>
        <w:jc w:val="both"/>
        <w:rPr>
          <w:color w:val="000000" w:themeColor="text1"/>
          <w:kern w:val="2"/>
          <w:sz w:val="16"/>
          <w:szCs w:val="16"/>
        </w:rPr>
      </w:pPr>
      <w:r w:rsidRPr="002F2FDF">
        <w:rPr>
          <w:color w:val="000000" w:themeColor="text1"/>
          <w:kern w:val="2"/>
          <w:sz w:val="16"/>
          <w:szCs w:val="16"/>
        </w:rPr>
        <w:t>5 (18) сентября 1917 в оккупированной немцами Литве была образована так называемая «Литовская Тариба» (Совет Литвы)</w:t>
      </w:r>
      <w:r w:rsidR="00E52569">
        <w:rPr>
          <w:color w:val="000000" w:themeColor="text1"/>
          <w:kern w:val="2"/>
          <w:sz w:val="16"/>
          <w:szCs w:val="16"/>
        </w:rPr>
        <w:t xml:space="preserve"> </w:t>
      </w:r>
      <w:r w:rsidRPr="002F2FDF">
        <w:rPr>
          <w:color w:val="000000" w:themeColor="text1"/>
          <w:kern w:val="2"/>
          <w:sz w:val="16"/>
          <w:szCs w:val="16"/>
        </w:rPr>
        <w:t>— орган местного самоуправления, имевший, впрочем, поначалу чисто декоративные полномочия (17045).</w:t>
      </w:r>
    </w:p>
    <w:p w14:paraId="01DFCF6B" w14:textId="77777777" w:rsidR="00AD778E" w:rsidRPr="002F2FDF" w:rsidRDefault="00AD778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24F02D" w14:textId="77777777" w:rsidR="00537E6E"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E1EA514" w14:textId="77777777" w:rsidR="00537E6E" w:rsidRPr="002F2FDF" w:rsidRDefault="00537E6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AFE0B4" w14:textId="77777777" w:rsidR="00537E6E" w:rsidRPr="002F2FDF" w:rsidRDefault="00537E6E" w:rsidP="0083075A">
      <w:pPr>
        <w:pStyle w:val="ae"/>
        <w:spacing w:before="0" w:after="0"/>
        <w:jc w:val="both"/>
        <w:rPr>
          <w:color w:val="000000" w:themeColor="text1"/>
          <w:kern w:val="2"/>
          <w:sz w:val="16"/>
          <w:szCs w:val="16"/>
        </w:rPr>
      </w:pPr>
      <w:r w:rsidRPr="002F2FDF">
        <w:rPr>
          <w:color w:val="000000" w:themeColor="text1"/>
          <w:kern w:val="2"/>
          <w:sz w:val="16"/>
          <w:szCs w:val="16"/>
        </w:rPr>
        <w:t>В период с 5 (18) по 11 (24) сентября 1917 германские подводные лодки затопили 61 судно стран Антанты и нейтральных государств (17045).</w:t>
      </w:r>
    </w:p>
    <w:p w14:paraId="6E4C4476" w14:textId="77777777" w:rsidR="00537E6E" w:rsidRPr="002F2FDF" w:rsidRDefault="00537E6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EB525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4C378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E162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сентября 1917 состоялось заседание Центрального авиакомитета о выделении из Эскадры Воздушных Кораблей отряда в Морское Ведомство и было предложено вооружить их торпедами (2669,41).</w:t>
      </w:r>
    </w:p>
    <w:p w14:paraId="568B3D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106A64" w14:textId="77777777" w:rsidR="00FF1DF9" w:rsidRPr="00FB4F67" w:rsidRDefault="00FF1DF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6 (19) сентября 1917 г. на совещании в Центральном авиакомитете было предложено вооружить торпедными держателями системы Голенищева-Кутузова один отряд самолетов ИМ и передать его флоту, но этот вопрос решен и тогда не был далее к нему, видимо, не возвращались (23553).</w:t>
      </w:r>
    </w:p>
    <w:p w14:paraId="3BCE564B" w14:textId="77777777" w:rsidR="00FF1DF9" w:rsidRPr="00FB4F67" w:rsidRDefault="00FF1DF9" w:rsidP="0083075A">
      <w:pPr>
        <w:spacing w:after="0" w:line="240" w:lineRule="auto"/>
        <w:jc w:val="both"/>
        <w:rPr>
          <w:rFonts w:ascii="Times New Roman" w:hAnsi="Times New Roman" w:cs="Times New Roman"/>
          <w:color w:val="0070C0"/>
          <w:sz w:val="16"/>
          <w:szCs w:val="16"/>
        </w:rPr>
      </w:pPr>
    </w:p>
    <w:p w14:paraId="36C73D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 </w:t>
      </w:r>
      <w:r w:rsidR="002E2452" w:rsidRPr="002F2FDF">
        <w:rPr>
          <w:rFonts w:ascii="Times New Roman" w:hAnsi="Times New Roman" w:cs="Times New Roman"/>
          <w:color w:val="000000" w:themeColor="text1"/>
          <w:kern w:val="2"/>
          <w:sz w:val="16"/>
          <w:szCs w:val="16"/>
        </w:rPr>
        <w:t>(1</w:t>
      </w:r>
      <w:r w:rsidR="00537E6E" w:rsidRPr="002F2FDF">
        <w:rPr>
          <w:rFonts w:ascii="Times New Roman" w:hAnsi="Times New Roman" w:cs="Times New Roman"/>
          <w:color w:val="000000" w:themeColor="text1"/>
          <w:kern w:val="2"/>
          <w:sz w:val="16"/>
          <w:szCs w:val="16"/>
        </w:rPr>
        <w:t>9</w:t>
      </w:r>
      <w:r w:rsidR="002E2452" w:rsidRPr="002F2FDF">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сентября 1917 года состоялось Заседание Центрального авиакомитета по вопросу о выделении из Эскадры отряда воздушных кораблей в Морское Ведомство. На нём было предложено вооружить "Муромец" съёмными минными аппаратами и "использовать его для минных атак (самодвижущимися минами)". С согласия конструктора на испытываемом в то время "Муромце" типа Г-3 с № 243 установили минный аппарат и было назначено произвести сбрасывание болванки, а затем и мин. Заводские испытания и приём аппаратов Военным Ведомством затянулись и эти опыты не были произведены. Были планы о первом отряде из пяти машин, которые который бы базировался на специально устроенных сухопутных аэродромах на островах Даго и Эзель. Так как устройство Лесснера было съёмным, "Муромцы" могли использоваться и в качестве бомбардировщиков. Но дальнейшего развития плана разбилось о нежелание командования ЭВК и морской авиации найти компромисс относительно подчинённости новой части и неспособности Русско-Балтийского завода поставить новые аэропланы (12041).</w:t>
      </w:r>
    </w:p>
    <w:p w14:paraId="1481AC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C29DB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E291D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5784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6-15 (19-28) сентября 1917 собравшийся в Киеве Съезд народов России потребовал создания демократического федерального государства (1348,86).</w:t>
      </w:r>
    </w:p>
    <w:p w14:paraId="1A8B79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B4E0F4" w14:textId="77777777" w:rsidR="00AD778E" w:rsidRPr="002F2FDF" w:rsidRDefault="00AD778E" w:rsidP="0083075A">
      <w:pPr>
        <w:pStyle w:val="ae"/>
        <w:spacing w:before="0" w:after="0"/>
        <w:jc w:val="both"/>
        <w:rPr>
          <w:color w:val="000000" w:themeColor="text1"/>
          <w:kern w:val="2"/>
          <w:sz w:val="16"/>
          <w:szCs w:val="16"/>
        </w:rPr>
      </w:pPr>
      <w:r w:rsidRPr="002F2FDF">
        <w:rPr>
          <w:color w:val="000000" w:themeColor="text1"/>
          <w:kern w:val="2"/>
          <w:sz w:val="16"/>
          <w:szCs w:val="16"/>
        </w:rPr>
        <w:t>6 (19) сентября 1917 в Киеве открылся так называемый «Съезд народов и областей России», созванный по инициативе Центральной Рады. В его работе участвовали 86 делегатов, представлявших разные народы, национально-религиозные и сословно-территориальные объединения бывшей Российской империи — украинцы, белорусы, казаки, крымские татары, эстонцы, латыши, поляки, молдаване, евреи, грузины, азербайджанцы, литовцы, буряты, представители мусульман. Кроме поляков, еще никто не выступал за полную независимость своих территорий, но все ставили вопрос об автономии и федералистских началах нового демократического Российского государства. Впрочем, за Литвой по итогам съезда также было признано право на образование суверенного государства, но из «русской и прусской ее частей». Открывая съезд, глава Украинской Центральной Рады Михаил Грушевский подчеркнул, что Киев давно стал центром федералистского движения славян, и спасение России именно в ее федерализации. Съезд образовал Совет народов с центром в Киеве для подготовки к началу работы Учредительного Собрания закона о федеральном устройстве государства (17045).</w:t>
      </w:r>
    </w:p>
    <w:p w14:paraId="7D26EB85" w14:textId="77777777" w:rsidR="00AD778E" w:rsidRPr="002F2FDF" w:rsidRDefault="00AD778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264952" w14:textId="77777777" w:rsidR="00B85F42" w:rsidRPr="002F2FDF" w:rsidRDefault="00B85F4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bCs/>
          <w:color w:val="000000" w:themeColor="text1"/>
          <w:kern w:val="2"/>
          <w:sz w:val="16"/>
          <w:szCs w:val="16"/>
        </w:rPr>
        <w:t>Созыв</w:t>
      </w:r>
      <w:r w:rsidRPr="002F2FDF">
        <w:rPr>
          <w:rFonts w:ascii="Times New Roman" w:hAnsi="Times New Roman" w:cs="Times New Roman"/>
          <w:color w:val="000000" w:themeColor="text1"/>
          <w:kern w:val="2"/>
          <w:sz w:val="16"/>
          <w:szCs w:val="16"/>
        </w:rPr>
        <w:t xml:space="preserve"> 6-15 (19–28) сентября 1917 </w:t>
      </w:r>
      <w:r w:rsidRPr="002F2FDF">
        <w:rPr>
          <w:rFonts w:ascii="Times New Roman" w:hAnsi="Times New Roman" w:cs="Times New Roman"/>
          <w:bCs/>
          <w:color w:val="000000" w:themeColor="text1"/>
          <w:kern w:val="2"/>
          <w:sz w:val="16"/>
          <w:szCs w:val="16"/>
        </w:rPr>
        <w:t>в Киеве Съезда народов России стал прямой реакцией лидеров национальных движений на усиление анархии в стране. В работе съезда участвовало 15 делегатов от мусульманских народов, в том числе М. Векилов, А. Адибеков, Д. Садыков и Ш. Рустамбеков, представлявшие Закавказье. Главными решениями этого представительного форума стали следующие: «1. Признать единственно возможной формой государственного устройства России национально-федеративную республику. 2. Через местные национальные учредительные собрания определить конституцию и границы отдельных федеративных областей. 3. Добиваться участия заинтересованных народов России на будущем мирном конгрессе. 4. Считать неотложным образование при Временном правительстве из представителей отдельных народов особого совета по национальным вопросам и в том числе по образованию национальной армии (17326).</w:t>
      </w:r>
    </w:p>
    <w:p w14:paraId="2CD7C04F" w14:textId="77777777" w:rsidR="00B85F42" w:rsidRPr="002F2FDF" w:rsidRDefault="00B85F4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723494" w14:textId="326860A4" w:rsidR="00494398" w:rsidRDefault="00494398"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728E1615" w14:textId="77777777" w:rsidR="00494398" w:rsidRDefault="00494398"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4FF225DB" w14:textId="25D8C182" w:rsidR="00494398" w:rsidRPr="00FB4F67" w:rsidRDefault="00494398" w:rsidP="0083075A">
      <w:pPr>
        <w:spacing w:after="0" w:line="240" w:lineRule="auto"/>
        <w:jc w:val="both"/>
        <w:rPr>
          <w:rFonts w:ascii="Times New Roman" w:hAnsi="Times New Roman" w:cs="Times New Roman"/>
          <w:color w:val="0070C0"/>
          <w:sz w:val="16"/>
          <w:szCs w:val="16"/>
        </w:rPr>
      </w:pPr>
      <w:bookmarkStart w:id="296" w:name="bookmark928"/>
      <w:r>
        <w:rPr>
          <w:rFonts w:ascii="Times New Roman" w:hAnsi="Times New Roman" w:cs="Times New Roman"/>
          <w:color w:val="0070C0"/>
          <w:sz w:val="16"/>
          <w:szCs w:val="16"/>
        </w:rPr>
        <w:t>6 (</w:t>
      </w:r>
      <w:r w:rsidRPr="00FB4F67">
        <w:rPr>
          <w:rFonts w:ascii="Times New Roman" w:hAnsi="Times New Roman" w:cs="Times New Roman"/>
          <w:color w:val="0070C0"/>
          <w:sz w:val="16"/>
          <w:szCs w:val="16"/>
        </w:rPr>
        <w:t>19</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сентября 1917 г. на Юго-Западном и Румынском фронтах произошел ряд воздушных боев, в которых русским летчикам удалось снизить четыре неприятельских самолета. В районе Новоселицы военным летчиком 8</w:t>
      </w:r>
      <w:r w:rsidRPr="00FB4F67">
        <w:rPr>
          <w:rFonts w:ascii="Times New Roman" w:hAnsi="Times New Roman" w:cs="Times New Roman"/>
          <w:color w:val="0070C0"/>
          <w:sz w:val="16"/>
          <w:szCs w:val="16"/>
        </w:rPr>
        <w:softHyphen/>
        <w:t>го авиаотряда истребителей поручиком Ф.Ф. Василевским был сбит летательный аппарат противника. За этот подвиг он удостоился ордена Святого Георгия IV степени (23525).</w:t>
      </w:r>
      <w:bookmarkEnd w:id="296"/>
    </w:p>
    <w:p w14:paraId="17A310B6" w14:textId="77777777" w:rsidR="00494398" w:rsidRPr="00FB4F67" w:rsidRDefault="00494398" w:rsidP="0083075A">
      <w:pPr>
        <w:spacing w:after="0" w:line="240" w:lineRule="auto"/>
        <w:jc w:val="both"/>
        <w:rPr>
          <w:rFonts w:ascii="Times New Roman" w:hAnsi="Times New Roman" w:cs="Times New Roman"/>
          <w:color w:val="0070C0"/>
          <w:sz w:val="16"/>
          <w:szCs w:val="16"/>
        </w:rPr>
      </w:pPr>
    </w:p>
    <w:p w14:paraId="681D99F5" w14:textId="6E588DDF" w:rsidR="00494398" w:rsidRPr="00FB4F67" w:rsidRDefault="00494398"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 (</w:t>
      </w:r>
      <w:r w:rsidRPr="00FB4F67">
        <w:rPr>
          <w:rFonts w:ascii="Times New Roman" w:hAnsi="Times New Roman" w:cs="Times New Roman"/>
          <w:color w:val="0070C0"/>
          <w:sz w:val="16"/>
          <w:szCs w:val="16"/>
        </w:rPr>
        <w:t>19</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сентября 1917 г. в Балтийском море немецкий Flugzeugmutterschiff Oswald (FSIII) был оборудован как транспорт для участия в операции «Альбион». 20 числа немецкий авианосец «Санта Елена» вернулся в Либаву и до 19 ноября выполнял операции на Балтике (23525).</w:t>
      </w:r>
    </w:p>
    <w:p w14:paraId="52A84A68" w14:textId="77777777" w:rsidR="00494398" w:rsidRPr="00FB4F67" w:rsidRDefault="00494398" w:rsidP="0083075A">
      <w:pPr>
        <w:spacing w:after="0" w:line="240" w:lineRule="auto"/>
        <w:jc w:val="both"/>
        <w:rPr>
          <w:rFonts w:ascii="Times New Roman" w:hAnsi="Times New Roman" w:cs="Times New Roman"/>
          <w:color w:val="0070C0"/>
          <w:sz w:val="16"/>
          <w:szCs w:val="16"/>
        </w:rPr>
      </w:pPr>
    </w:p>
    <w:p w14:paraId="49B4D8B4" w14:textId="77777777" w:rsidR="00494398" w:rsidRPr="00FB4F67" w:rsidRDefault="00494398"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 (</w:t>
      </w:r>
      <w:r w:rsidRPr="00FB4F67">
        <w:rPr>
          <w:rFonts w:ascii="Times New Roman" w:hAnsi="Times New Roman" w:cs="Times New Roman"/>
          <w:color w:val="0070C0"/>
          <w:sz w:val="16"/>
          <w:szCs w:val="16"/>
        </w:rPr>
        <w:t>19</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сентября 1917 г. Центральный комитет Балтийского флота (Центробалт) во главе с П.Е. Дыбенко принял резолюцию о непризнании Временного правительства и отказе от выполнения его распоряжений (23525).</w:t>
      </w:r>
    </w:p>
    <w:p w14:paraId="39EA5904" w14:textId="77777777" w:rsidR="00494398" w:rsidRPr="00FB4F67" w:rsidRDefault="00494398" w:rsidP="0083075A">
      <w:pPr>
        <w:spacing w:after="0" w:line="240" w:lineRule="auto"/>
        <w:jc w:val="both"/>
        <w:rPr>
          <w:rFonts w:ascii="Times New Roman" w:hAnsi="Times New Roman" w:cs="Times New Roman"/>
          <w:color w:val="0070C0"/>
          <w:sz w:val="16"/>
          <w:szCs w:val="16"/>
        </w:rPr>
      </w:pPr>
    </w:p>
    <w:p w14:paraId="016204C6" w14:textId="5E580A40" w:rsidR="00E13280" w:rsidRPr="002F2FDF" w:rsidRDefault="00E1328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85DDFD8" w14:textId="77777777" w:rsidR="00E13280" w:rsidRPr="002F2FDF" w:rsidRDefault="00E1328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3FC456" w14:textId="5A46A727" w:rsidR="00E13280" w:rsidRPr="002F2FDF" w:rsidRDefault="00E1328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6 (19) сентября 1917 г.</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через 1,5 года после начала разработки были сданы первые серийные Бристоль М.1С, на которых были старые синхронизаторы, вскоре пошли гидравлические системы Константинеско, но на весь небольшой заказ их не хватило. Исполнение контракта 25 февраля 1918 г. было завершено и продлять его не стали. Мало того, командование Королевского летного корпуса (RFC) не спешило давать на фронт оплаченные и полученные самолеты. Формальным поводом был недостаточный размер типового аэродрома во Франции (22877).</w:t>
      </w:r>
    </w:p>
    <w:p w14:paraId="2C5C0E74" w14:textId="77777777" w:rsidR="00E13280" w:rsidRPr="002F2FDF" w:rsidRDefault="00E13280" w:rsidP="0083075A">
      <w:pPr>
        <w:spacing w:after="0" w:line="240" w:lineRule="auto"/>
        <w:jc w:val="both"/>
        <w:rPr>
          <w:rFonts w:ascii="Times New Roman" w:hAnsi="Times New Roman" w:cs="Times New Roman"/>
          <w:color w:val="000000" w:themeColor="text1"/>
          <w:sz w:val="16"/>
          <w:szCs w:val="16"/>
        </w:rPr>
      </w:pPr>
    </w:p>
    <w:p w14:paraId="790F12F7" w14:textId="77777777" w:rsidR="00E8146D" w:rsidRPr="002F2FDF" w:rsidRDefault="00E8146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25781DE" w14:textId="77777777" w:rsidR="00E8146D" w:rsidRPr="002F2FDF" w:rsidRDefault="00E8146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88CA6A" w14:textId="08844E62" w:rsidR="00E8146D" w:rsidRPr="008F70A0" w:rsidRDefault="00E8146D" w:rsidP="0083075A">
      <w:pPr>
        <w:autoSpaceDE w:val="0"/>
        <w:autoSpaceDN w:val="0"/>
        <w:adjustRightInd w:val="0"/>
        <w:spacing w:after="0" w:line="240" w:lineRule="auto"/>
        <w:jc w:val="both"/>
        <w:rPr>
          <w:rFonts w:ascii="Times New Roman" w:hAnsi="Times New Roman" w:cs="Times New Roman"/>
          <w:color w:val="0070C0"/>
          <w:kern w:val="2"/>
          <w:sz w:val="16"/>
          <w:szCs w:val="16"/>
        </w:rPr>
      </w:pPr>
      <w:bookmarkStart w:id="297" w:name="_Hlk119489080"/>
      <w:r w:rsidRPr="008F70A0">
        <w:rPr>
          <w:rFonts w:ascii="Times New Roman" w:hAnsi="Times New Roman" w:cs="Times New Roman"/>
          <w:color w:val="0070C0"/>
          <w:kern w:val="2"/>
          <w:sz w:val="16"/>
          <w:szCs w:val="16"/>
        </w:rPr>
        <w:t xml:space="preserve">7 (20) сентября 1917 г. Технический комитет УВВФ </w:t>
      </w:r>
      <w:r w:rsidR="008F70A0" w:rsidRPr="008F70A0">
        <w:rPr>
          <w:rFonts w:ascii="Times New Roman" w:hAnsi="Times New Roman" w:cs="Times New Roman"/>
          <w:color w:val="0070C0"/>
          <w:kern w:val="2"/>
          <w:sz w:val="16"/>
          <w:szCs w:val="16"/>
        </w:rPr>
        <w:t>рассмотрел проект «воздушного крейсера», предложенный г. Сергеевым. «Воздушный крейсер» - дирижабль жесткой конструкции, объемом 60000 м3, весом 3500 пудов, с полезной нагрузкой 500 пудов, скоростью 150 км/ч. Дирижабль имел вид прямоугольника с учеченными углами и зостренной кормой и носом.  Предлашалось пять воздушных винтов, четыре малях бортовых и один большой – кормовой. Моторы – в средней части дирижабля. Комитет посиаовил: «…ввижу лтсутствия эллинга и недостатка водорода едва ли возможна постройка такого большого аэростата. Признать «воздушный крейсер» не представляющим интереса для военного ведомства.»</w:t>
      </w:r>
    </w:p>
    <w:p w14:paraId="56BFC85D" w14:textId="1AEA1A36" w:rsidR="008F70A0" w:rsidRPr="008F70A0" w:rsidRDefault="008F70A0" w:rsidP="0083075A">
      <w:pPr>
        <w:autoSpaceDE w:val="0"/>
        <w:autoSpaceDN w:val="0"/>
        <w:adjustRightInd w:val="0"/>
        <w:spacing w:after="0" w:line="240" w:lineRule="auto"/>
        <w:jc w:val="both"/>
        <w:rPr>
          <w:rFonts w:ascii="Times New Roman" w:hAnsi="Times New Roman" w:cs="Times New Roman"/>
          <w:color w:val="0070C0"/>
          <w:kern w:val="2"/>
          <w:sz w:val="16"/>
          <w:szCs w:val="16"/>
        </w:rPr>
      </w:pPr>
      <w:r w:rsidRPr="008F70A0">
        <w:rPr>
          <w:rFonts w:ascii="Times New Roman" w:hAnsi="Times New Roman" w:cs="Times New Roman"/>
          <w:color w:val="0070C0"/>
          <w:kern w:val="2"/>
          <w:sz w:val="16"/>
          <w:szCs w:val="16"/>
        </w:rPr>
        <w:t>/ЦГВИА, ф. 493, оп. 10, д. 127, л. 12/ (23320).</w:t>
      </w:r>
    </w:p>
    <w:p w14:paraId="177D6D3F" w14:textId="77777777" w:rsidR="00E8146D" w:rsidRPr="008F70A0" w:rsidRDefault="00E8146D" w:rsidP="0083075A">
      <w:pPr>
        <w:autoSpaceDE w:val="0"/>
        <w:autoSpaceDN w:val="0"/>
        <w:adjustRightInd w:val="0"/>
        <w:spacing w:after="0" w:line="240" w:lineRule="auto"/>
        <w:jc w:val="both"/>
        <w:rPr>
          <w:rFonts w:ascii="Times New Roman" w:hAnsi="Times New Roman" w:cs="Times New Roman"/>
          <w:color w:val="0070C0"/>
          <w:kern w:val="2"/>
          <w:sz w:val="16"/>
          <w:szCs w:val="16"/>
        </w:rPr>
      </w:pPr>
    </w:p>
    <w:bookmarkEnd w:id="297"/>
    <w:p w14:paraId="035832A8" w14:textId="18C9F9B6" w:rsidR="00E8146D" w:rsidRPr="002F2FDF" w:rsidRDefault="00E8146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99C0FF9" w14:textId="77777777" w:rsidR="00E8146D" w:rsidRPr="002F2FDF" w:rsidRDefault="00E8146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1DC576" w14:textId="77777777" w:rsidR="00E8146D" w:rsidRPr="002F2FDF" w:rsidRDefault="00E8146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7 </w:t>
      </w:r>
      <w:r>
        <w:rPr>
          <w:rFonts w:ascii="Times New Roman" w:hAnsi="Times New Roman" w:cs="Times New Roman"/>
          <w:color w:val="000000" w:themeColor="text1"/>
          <w:kern w:val="2"/>
          <w:sz w:val="16"/>
          <w:szCs w:val="16"/>
        </w:rPr>
        <w:t xml:space="preserve">(20) </w:t>
      </w:r>
      <w:r w:rsidRPr="002F2FDF">
        <w:rPr>
          <w:rFonts w:ascii="Times New Roman" w:hAnsi="Times New Roman" w:cs="Times New Roman"/>
          <w:color w:val="000000" w:themeColor="text1"/>
          <w:kern w:val="2"/>
          <w:sz w:val="16"/>
          <w:szCs w:val="16"/>
        </w:rPr>
        <w:t>сентября 1917 г. Сообщение газеты «Известия ЦИК и Петроградского Совета рабочих и солдатских депутатов» о сокращении производства и закрытии заводов.</w:t>
      </w:r>
    </w:p>
    <w:p w14:paraId="482CF8F6" w14:textId="77777777" w:rsidR="00E8146D" w:rsidRPr="002F2FDF" w:rsidRDefault="00E8146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43</w:t>
      </w:r>
    </w:p>
    <w:p w14:paraId="0057DEF2" w14:textId="77777777" w:rsidR="00E8146D" w:rsidRPr="002F2FDF" w:rsidRDefault="00E8146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Центральным советом фабрично-заводских комитетов получены следующие заявления о разгрузке, эвакуации и закрытии заводов.</w:t>
      </w:r>
    </w:p>
    <w:p w14:paraId="46109AC4" w14:textId="77777777" w:rsidR="00E8146D" w:rsidRPr="002F2FDF" w:rsidRDefault="00E8146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Общественные металлические заводы. За отсутствием заказов закрыта трубочная мастерская. Предстоит частичная эвакуация завода.</w:t>
      </w:r>
    </w:p>
    <w:p w14:paraId="060E3B88" w14:textId="77777777" w:rsidR="00E8146D" w:rsidRPr="002F2FDF" w:rsidRDefault="00E8146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Глухозерский портланд-цементный завод. Не получает топлива за отсутствием казенных заказов. Закрывается.</w:t>
      </w:r>
    </w:p>
    <w:p w14:paraId="6B0E889A" w14:textId="77777777" w:rsidR="00E8146D" w:rsidRPr="002F2FDF" w:rsidRDefault="00E8146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Сименс—Шуккерт. Сокращает производство, назначив к расчету 800 чел. рабочих. По объяснениям заводоуправления, причина сокращения — отсутствие нужных материалов. Между тем комиссия из представителей рабочих выяснила наличность нужных материалов свыше 35 тыс. пуд.</w:t>
      </w:r>
    </w:p>
    <w:p w14:paraId="279B5EA1" w14:textId="77777777" w:rsidR="00E8146D" w:rsidRPr="002F2FDF" w:rsidRDefault="00E8146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Гвоздильный завод Донецко-Юр невского об-ва. Сокращает производство горячих работ из-за отсутствия топлива.</w:t>
      </w:r>
    </w:p>
    <w:p w14:paraId="0E8A0282" w14:textId="77777777" w:rsidR="00E8146D" w:rsidRPr="002F2FDF" w:rsidRDefault="00E8146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Завод Барановского. Из-за недостатка топлива и металла стоит 65% станков, 1500 рабочих назначены к расчету.</w:t>
      </w:r>
    </w:p>
    <w:p w14:paraId="5F8EFBA8" w14:textId="77777777" w:rsidR="00E8146D" w:rsidRPr="002F2FDF" w:rsidRDefault="00E8146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Шорная фабрика Руцко. Сокращает производство из-за отсутствия заказов.</w:t>
      </w:r>
    </w:p>
    <w:p w14:paraId="0B595259" w14:textId="77777777" w:rsidR="00E8146D" w:rsidRPr="002F2FDF" w:rsidRDefault="00E8146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Кабельно -проволочный завод Петичева. Объявил частичный расчет рабочим и готовится к частичной эвакуации.</w:t>
      </w:r>
    </w:p>
    <w:p w14:paraId="7CB8CC89" w14:textId="77777777" w:rsidR="00E8146D" w:rsidRPr="002F2FDF" w:rsidRDefault="00E8146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Мастерские бр. Сказиных. Закрыты и рабочим предложен расчет. Рабочие расчет не берут.</w:t>
      </w:r>
    </w:p>
    <w:p w14:paraId="588BAA6A" w14:textId="77777777" w:rsidR="00E8146D" w:rsidRPr="002F2FDF" w:rsidRDefault="00E8146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Металлический завод Зимина и Зеленова. Сокращает производство из-за отсутствия металла.</w:t>
      </w:r>
    </w:p>
    <w:p w14:paraId="01158E16" w14:textId="77777777" w:rsidR="00E8146D" w:rsidRPr="002F2FDF" w:rsidRDefault="00E8146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Обуховский завод. Прислал своих делегатов в Центральный совет фабрично-заводских комитетов с извещением, что паровые молота завода разбираются и предназначаются к вывозу из Петрограда. Рабочие волнуются, не будучи уверены в том, что эта частичная эвакуация производится с ведома Центрального исполнительного комитета и Центрального совета фабрично-заводских комитетов. Центральный совет подтвердил делегатам, что ему известно об этой необходимой эвакуации.</w:t>
      </w:r>
    </w:p>
    <w:p w14:paraId="32F892D9" w14:textId="77777777" w:rsidR="00E8146D" w:rsidRPr="002F2FDF" w:rsidRDefault="00E8146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Газ. «Известия ЦИК и Петроградского Совета рабочих и солдатских депутатов», №164, 7 сентября 1917 г. (15711).</w:t>
      </w:r>
    </w:p>
    <w:p w14:paraId="052652CC" w14:textId="77777777" w:rsidR="00E8146D" w:rsidRPr="002F2FDF" w:rsidRDefault="00E8146D" w:rsidP="0083075A">
      <w:pPr>
        <w:spacing w:after="0" w:line="240" w:lineRule="auto"/>
        <w:jc w:val="both"/>
        <w:rPr>
          <w:rFonts w:ascii="Times New Roman" w:hAnsi="Times New Roman" w:cs="Times New Roman"/>
          <w:color w:val="000000" w:themeColor="text1"/>
          <w:kern w:val="2"/>
          <w:sz w:val="16"/>
          <w:szCs w:val="16"/>
        </w:rPr>
      </w:pPr>
    </w:p>
    <w:p w14:paraId="2A43116C" w14:textId="77777777" w:rsidR="00E8146D" w:rsidRPr="002F2FDF" w:rsidRDefault="00E8146D" w:rsidP="0083075A">
      <w:pPr>
        <w:pStyle w:val="rteright"/>
        <w:spacing w:before="0" w:beforeAutospacing="0" w:after="0" w:afterAutospacing="0"/>
        <w:jc w:val="both"/>
        <w:rPr>
          <w:color w:val="000000" w:themeColor="text1"/>
          <w:sz w:val="16"/>
          <w:szCs w:val="16"/>
        </w:rPr>
      </w:pPr>
      <w:r w:rsidRPr="002F2FDF">
        <w:rPr>
          <w:color w:val="000000" w:themeColor="text1"/>
          <w:sz w:val="16"/>
          <w:szCs w:val="16"/>
        </w:rPr>
        <w:t>7 (20) сентября 1917 г.</w:t>
      </w:r>
    </w:p>
    <w:p w14:paraId="6A002BFE" w14:textId="77777777" w:rsidR="00E8146D" w:rsidRPr="002F2FDF" w:rsidRDefault="00E8146D" w:rsidP="0083075A">
      <w:pPr>
        <w:pStyle w:val="rtejustify"/>
        <w:spacing w:before="0" w:after="0"/>
        <w:rPr>
          <w:color w:val="000000" w:themeColor="text1"/>
          <w:sz w:val="16"/>
          <w:szCs w:val="16"/>
        </w:rPr>
      </w:pPr>
      <w:r w:rsidRPr="002F2FDF">
        <w:rPr>
          <w:color w:val="000000" w:themeColor="text1"/>
          <w:sz w:val="16"/>
          <w:szCs w:val="16"/>
        </w:rPr>
        <w:t>Сообщение газеты «Известия ЦИК и Петроградского Совета рабочих и солдатских депутатов» о сокращении производства и закрытии заводов.</w:t>
      </w:r>
    </w:p>
    <w:p w14:paraId="23A4A9F8" w14:textId="77777777" w:rsidR="00E8146D" w:rsidRPr="002F2FDF" w:rsidRDefault="00E8146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43</w:t>
      </w:r>
    </w:p>
    <w:p w14:paraId="7F196675" w14:textId="77777777" w:rsidR="00E8146D" w:rsidRPr="002F2FDF" w:rsidRDefault="00E8146D" w:rsidP="0083075A">
      <w:pPr>
        <w:pStyle w:val="rtejustify"/>
        <w:spacing w:before="0" w:after="0"/>
        <w:rPr>
          <w:color w:val="000000" w:themeColor="text1"/>
          <w:sz w:val="16"/>
          <w:szCs w:val="16"/>
        </w:rPr>
      </w:pPr>
      <w:r w:rsidRPr="002F2FDF">
        <w:rPr>
          <w:color w:val="000000" w:themeColor="text1"/>
          <w:sz w:val="16"/>
          <w:szCs w:val="16"/>
        </w:rPr>
        <w:t>Центральным советом фабрично-заводских комитетов получены следующие заявления о разгрузке, эвакуации и закрытии заводов.</w:t>
      </w:r>
    </w:p>
    <w:p w14:paraId="0C7C8EC4" w14:textId="77777777" w:rsidR="00E8146D" w:rsidRPr="002F2FDF" w:rsidRDefault="00E8146D" w:rsidP="0083075A">
      <w:pPr>
        <w:pStyle w:val="rtejustify"/>
        <w:spacing w:before="0" w:after="0"/>
        <w:rPr>
          <w:color w:val="000000" w:themeColor="text1"/>
          <w:sz w:val="16"/>
          <w:szCs w:val="16"/>
        </w:rPr>
      </w:pPr>
      <w:r w:rsidRPr="002F2FDF">
        <w:rPr>
          <w:color w:val="000000" w:themeColor="text1"/>
          <w:sz w:val="16"/>
          <w:szCs w:val="16"/>
        </w:rPr>
        <w:t>Общественные металлические заводы. За отсутствием заказов закрыта трубочная мастерская. Предстоит частичная эвакуация завода.</w:t>
      </w:r>
    </w:p>
    <w:p w14:paraId="217DBD36" w14:textId="77777777" w:rsidR="00E8146D" w:rsidRPr="002F2FDF" w:rsidRDefault="00E8146D" w:rsidP="0083075A">
      <w:pPr>
        <w:pStyle w:val="rtejustify"/>
        <w:spacing w:before="0" w:after="0"/>
        <w:rPr>
          <w:color w:val="000000" w:themeColor="text1"/>
          <w:sz w:val="16"/>
          <w:szCs w:val="16"/>
        </w:rPr>
      </w:pPr>
      <w:r w:rsidRPr="002F2FDF">
        <w:rPr>
          <w:color w:val="000000" w:themeColor="text1"/>
          <w:sz w:val="16"/>
          <w:szCs w:val="16"/>
        </w:rPr>
        <w:t>Глухозерский портланд-цементный завод. Не получает топлива за отсутствием казенных заказов. Закрывается.</w:t>
      </w:r>
    </w:p>
    <w:p w14:paraId="6FD08972" w14:textId="77777777" w:rsidR="00E8146D" w:rsidRPr="002F2FDF" w:rsidRDefault="00E8146D" w:rsidP="0083075A">
      <w:pPr>
        <w:pStyle w:val="rtejustify"/>
        <w:spacing w:before="0" w:after="0"/>
        <w:rPr>
          <w:color w:val="000000" w:themeColor="text1"/>
          <w:sz w:val="16"/>
          <w:szCs w:val="16"/>
        </w:rPr>
      </w:pPr>
      <w:r w:rsidRPr="002F2FDF">
        <w:rPr>
          <w:color w:val="000000" w:themeColor="text1"/>
          <w:sz w:val="16"/>
          <w:szCs w:val="16"/>
        </w:rPr>
        <w:t>Завод Сименс—Шуккерт. Сокращает производство, назначив к расчету 800 чел. рабочих. По объяснениям заводоуправления, причина сокращения — отсутствие нужных материалов. Между тем комиссия из представителей рабочих выяснила наличность нужных материалов свыше 35 тыс. пуд.</w:t>
      </w:r>
    </w:p>
    <w:p w14:paraId="2E35C989" w14:textId="77777777" w:rsidR="00E8146D" w:rsidRPr="002F2FDF" w:rsidRDefault="00E8146D" w:rsidP="0083075A">
      <w:pPr>
        <w:pStyle w:val="rtejustify"/>
        <w:spacing w:before="0" w:after="0"/>
        <w:rPr>
          <w:color w:val="000000" w:themeColor="text1"/>
          <w:sz w:val="16"/>
          <w:szCs w:val="16"/>
        </w:rPr>
      </w:pPr>
      <w:r w:rsidRPr="002F2FDF">
        <w:rPr>
          <w:color w:val="000000" w:themeColor="text1"/>
          <w:sz w:val="16"/>
          <w:szCs w:val="16"/>
        </w:rPr>
        <w:t>Гвоздильный завод Донецко-Юр невского об-ва. Сокращает производство горячих работ из-за отсутствия топлива.</w:t>
      </w:r>
    </w:p>
    <w:p w14:paraId="60814EA1" w14:textId="77777777" w:rsidR="00E8146D" w:rsidRPr="002F2FDF" w:rsidRDefault="00E8146D" w:rsidP="0083075A">
      <w:pPr>
        <w:pStyle w:val="rtejustify"/>
        <w:spacing w:before="0" w:after="0"/>
        <w:rPr>
          <w:color w:val="000000" w:themeColor="text1"/>
          <w:sz w:val="16"/>
          <w:szCs w:val="16"/>
        </w:rPr>
      </w:pPr>
      <w:r w:rsidRPr="002F2FDF">
        <w:rPr>
          <w:color w:val="000000" w:themeColor="text1"/>
          <w:sz w:val="16"/>
          <w:szCs w:val="16"/>
        </w:rPr>
        <w:t>Завод Барановского. Из-за недостатка топлива и металла стоит 65% станков, 1500 рабочих назначены к расчету.</w:t>
      </w:r>
    </w:p>
    <w:p w14:paraId="5BB269BA" w14:textId="77777777" w:rsidR="00E8146D" w:rsidRPr="002F2FDF" w:rsidRDefault="00E8146D" w:rsidP="0083075A">
      <w:pPr>
        <w:pStyle w:val="rtejustify"/>
        <w:spacing w:before="0" w:after="0"/>
        <w:rPr>
          <w:color w:val="000000" w:themeColor="text1"/>
          <w:sz w:val="16"/>
          <w:szCs w:val="16"/>
        </w:rPr>
      </w:pPr>
      <w:r w:rsidRPr="002F2FDF">
        <w:rPr>
          <w:color w:val="000000" w:themeColor="text1"/>
          <w:sz w:val="16"/>
          <w:szCs w:val="16"/>
        </w:rPr>
        <w:t>Шорная фабрика Руцко. Сокращает производство из-за отсутствия заказов.</w:t>
      </w:r>
    </w:p>
    <w:p w14:paraId="668EEC58" w14:textId="77777777" w:rsidR="00E8146D" w:rsidRPr="002F2FDF" w:rsidRDefault="00E8146D" w:rsidP="0083075A">
      <w:pPr>
        <w:pStyle w:val="rtejustify"/>
        <w:spacing w:before="0" w:after="0"/>
        <w:rPr>
          <w:color w:val="000000" w:themeColor="text1"/>
          <w:sz w:val="16"/>
          <w:szCs w:val="16"/>
        </w:rPr>
      </w:pPr>
      <w:r w:rsidRPr="002F2FDF">
        <w:rPr>
          <w:color w:val="000000" w:themeColor="text1"/>
          <w:sz w:val="16"/>
          <w:szCs w:val="16"/>
        </w:rPr>
        <w:t>Кабельно -проволочный завод Петичева. Объявил частичный расчет рабочим и готовится к частичной эвакуации.</w:t>
      </w:r>
    </w:p>
    <w:p w14:paraId="140DDBC4" w14:textId="77777777" w:rsidR="00E8146D" w:rsidRPr="002F2FDF" w:rsidRDefault="00E8146D" w:rsidP="0083075A">
      <w:pPr>
        <w:pStyle w:val="rtejustify"/>
        <w:spacing w:before="0" w:after="0"/>
        <w:rPr>
          <w:color w:val="000000" w:themeColor="text1"/>
          <w:sz w:val="16"/>
          <w:szCs w:val="16"/>
        </w:rPr>
      </w:pPr>
      <w:r w:rsidRPr="002F2FDF">
        <w:rPr>
          <w:color w:val="000000" w:themeColor="text1"/>
          <w:sz w:val="16"/>
          <w:szCs w:val="16"/>
        </w:rPr>
        <w:t>Мастерские бр. Сказиных. Закрыты и рабочим предложен расчет. Рабочие расчет не берут.</w:t>
      </w:r>
    </w:p>
    <w:p w14:paraId="72B4A1FA" w14:textId="77777777" w:rsidR="00E8146D" w:rsidRPr="002F2FDF" w:rsidRDefault="00E8146D" w:rsidP="0083075A">
      <w:pPr>
        <w:pStyle w:val="rtejustify"/>
        <w:spacing w:before="0" w:after="0"/>
        <w:rPr>
          <w:color w:val="000000" w:themeColor="text1"/>
          <w:sz w:val="16"/>
          <w:szCs w:val="16"/>
        </w:rPr>
      </w:pPr>
      <w:r w:rsidRPr="002F2FDF">
        <w:rPr>
          <w:color w:val="000000" w:themeColor="text1"/>
          <w:sz w:val="16"/>
          <w:szCs w:val="16"/>
        </w:rPr>
        <w:t>Металлический завод Зимина и Зеленова. Сокращает производство из-за отсутствия металла.</w:t>
      </w:r>
    </w:p>
    <w:p w14:paraId="16B6E15E" w14:textId="77777777" w:rsidR="00E8146D" w:rsidRPr="002F2FDF" w:rsidRDefault="00E8146D" w:rsidP="0083075A">
      <w:pPr>
        <w:pStyle w:val="rtejustify"/>
        <w:spacing w:before="0" w:after="0"/>
        <w:rPr>
          <w:color w:val="000000" w:themeColor="text1"/>
          <w:sz w:val="16"/>
          <w:szCs w:val="16"/>
        </w:rPr>
      </w:pPr>
      <w:r w:rsidRPr="002F2FDF">
        <w:rPr>
          <w:color w:val="000000" w:themeColor="text1"/>
          <w:sz w:val="16"/>
          <w:szCs w:val="16"/>
        </w:rPr>
        <w:t>Обуховский завод. Прислал своих делегатов в Центральный совет фабрично-заводских комитетов с извещением, что паровые молота завода разбираются и предназначаются к вывозу из Петрограда. Рабочие волнуются, не будучи уверены в том, что эта частичная эвакуация производится с ведома Центрального исполнительного комитета и Центрального совета фабрично-заводских комитетов. Центральный совет подтвердил делегатам, что ему известно об этой необходимой эвакуации.</w:t>
      </w:r>
    </w:p>
    <w:p w14:paraId="00F09C35" w14:textId="5A3BD094" w:rsidR="00E8146D" w:rsidRPr="002F2FDF" w:rsidRDefault="00E8146D" w:rsidP="0083075A">
      <w:pPr>
        <w:pStyle w:val="ae"/>
        <w:spacing w:before="0" w:after="0"/>
        <w:jc w:val="both"/>
        <w:rPr>
          <w:color w:val="000000" w:themeColor="text1"/>
          <w:sz w:val="16"/>
          <w:szCs w:val="16"/>
        </w:rPr>
      </w:pPr>
      <w:r w:rsidRPr="002F2FDF">
        <w:rPr>
          <w:rStyle w:val="af0"/>
          <w:i w:val="0"/>
          <w:color w:val="000000" w:themeColor="text1"/>
          <w:sz w:val="16"/>
          <w:szCs w:val="16"/>
        </w:rPr>
        <w:t>Газ.</w:t>
      </w:r>
      <w:r w:rsidR="00E52569">
        <w:rPr>
          <w:color w:val="000000" w:themeColor="text1"/>
          <w:sz w:val="16"/>
          <w:szCs w:val="16"/>
        </w:rPr>
        <w:t xml:space="preserve"> </w:t>
      </w:r>
      <w:r w:rsidRPr="002F2FDF">
        <w:rPr>
          <w:rStyle w:val="af0"/>
          <w:i w:val="0"/>
          <w:color w:val="000000" w:themeColor="text1"/>
          <w:sz w:val="16"/>
          <w:szCs w:val="16"/>
        </w:rPr>
        <w:t>«Известия ЦИК и Петроградского Совета рабочих и солдатских депутатов</w:t>
      </w:r>
      <w:r w:rsidRPr="002F2FDF">
        <w:rPr>
          <w:color w:val="000000" w:themeColor="text1"/>
          <w:sz w:val="16"/>
          <w:szCs w:val="16"/>
        </w:rPr>
        <w:t>», №</w:t>
      </w:r>
      <w:r w:rsidRPr="002F2FDF">
        <w:rPr>
          <w:rStyle w:val="af0"/>
          <w:i w:val="0"/>
          <w:color w:val="000000" w:themeColor="text1"/>
          <w:sz w:val="16"/>
          <w:szCs w:val="16"/>
        </w:rPr>
        <w:t>164, 7 сентября 1917 г. (18359).</w:t>
      </w:r>
    </w:p>
    <w:p w14:paraId="29A5548D" w14:textId="77777777" w:rsidR="00E8146D" w:rsidRPr="002F2FDF" w:rsidRDefault="00E8146D" w:rsidP="0083075A">
      <w:pPr>
        <w:spacing w:after="0" w:line="240" w:lineRule="auto"/>
        <w:jc w:val="both"/>
        <w:rPr>
          <w:rFonts w:ascii="Times New Roman" w:hAnsi="Times New Roman" w:cs="Times New Roman"/>
          <w:color w:val="000000" w:themeColor="text1"/>
          <w:sz w:val="16"/>
          <w:szCs w:val="16"/>
        </w:rPr>
      </w:pPr>
    </w:p>
    <w:p w14:paraId="162E2AF3" w14:textId="0F5FBE27" w:rsidR="00FF1DF9" w:rsidRDefault="00FF1DF9"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1DD4E6AA" w14:textId="77777777" w:rsidR="00FF1DF9" w:rsidRDefault="00FF1DF9"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032ECFB" w14:textId="77777777" w:rsidR="00FF1DF9" w:rsidRPr="00FB4F67" w:rsidRDefault="00FF1DF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7 (20) сентября 1917 гидросамолет, пилотируемый офицером Ридольфи, атаковал торпедой вражес</w:t>
      </w:r>
      <w:r w:rsidRPr="00FB4F67">
        <w:rPr>
          <w:rFonts w:ascii="Times New Roman" w:hAnsi="Times New Roman" w:cs="Times New Roman"/>
          <w:color w:val="0070C0"/>
          <w:sz w:val="16"/>
          <w:szCs w:val="16"/>
        </w:rPr>
        <w:softHyphen/>
        <w:t>кие корабли австро</w:t>
      </w:r>
      <w:r w:rsidRPr="00FB4F67">
        <w:rPr>
          <w:rFonts w:ascii="Times New Roman" w:hAnsi="Times New Roman" w:cs="Times New Roman"/>
          <w:color w:val="0070C0"/>
          <w:sz w:val="16"/>
          <w:szCs w:val="16"/>
        </w:rPr>
        <w:softHyphen/>
        <w:t>венгерского флота в гавани.в базе Пола (23464),</w:t>
      </w:r>
    </w:p>
    <w:p w14:paraId="3CBA0D1C" w14:textId="77777777" w:rsidR="00FF1DF9" w:rsidRPr="00FB4F67" w:rsidRDefault="00FF1DF9" w:rsidP="0083075A">
      <w:pPr>
        <w:spacing w:after="0" w:line="240" w:lineRule="auto"/>
        <w:jc w:val="both"/>
        <w:rPr>
          <w:rFonts w:ascii="Times New Roman" w:hAnsi="Times New Roman" w:cs="Times New Roman"/>
          <w:color w:val="0070C0"/>
          <w:sz w:val="16"/>
          <w:szCs w:val="16"/>
        </w:rPr>
      </w:pPr>
    </w:p>
    <w:p w14:paraId="46A98103" w14:textId="55804181" w:rsidR="00E8146D" w:rsidRPr="002F2FDF" w:rsidRDefault="00E8146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FC7229F" w14:textId="77777777" w:rsidR="00E8146D" w:rsidRPr="002F2FDF" w:rsidRDefault="00E8146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881DB4" w14:textId="77777777" w:rsidR="00E8146D" w:rsidRPr="002F2FDF" w:rsidRDefault="00E8146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7 (20) сентября 1917 года большевики, в том числе </w:t>
      </w:r>
      <w:hyperlink r:id="rId528" w:tooltip="Троцкий" w:history="1">
        <w:r w:rsidRPr="002F2FDF">
          <w:rPr>
            <w:rStyle w:val="a5"/>
            <w:rFonts w:ascii="Times New Roman" w:hAnsi="Times New Roman" w:cs="Times New Roman"/>
            <w:color w:val="000000" w:themeColor="text1"/>
            <w:kern w:val="2"/>
            <w:sz w:val="16"/>
            <w:szCs w:val="16"/>
            <w:u w:val="none"/>
          </w:rPr>
          <w:t>Троцкий</w:t>
        </w:r>
      </w:hyperlink>
      <w:r w:rsidRPr="002F2FDF">
        <w:rPr>
          <w:rFonts w:ascii="Times New Roman" w:hAnsi="Times New Roman" w:cs="Times New Roman"/>
          <w:color w:val="000000" w:themeColor="text1"/>
          <w:kern w:val="2"/>
          <w:sz w:val="16"/>
          <w:szCs w:val="16"/>
        </w:rPr>
        <w:t>, арестованные за попытку июльского переворота, были освобождены Временным правительством одновременно с арестом наиболее активной и государственно-мыслящей группы генералитета (17029).</w:t>
      </w:r>
    </w:p>
    <w:p w14:paraId="11E86A9E" w14:textId="77777777" w:rsidR="00E8146D" w:rsidRPr="002F2FDF" w:rsidRDefault="00E8146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4EFC47" w14:textId="77777777" w:rsidR="00E8146D" w:rsidRPr="002F2FDF" w:rsidRDefault="00E8146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сентября 1917 начал работать Предпарламент (3481).</w:t>
      </w:r>
    </w:p>
    <w:p w14:paraId="1D30F135" w14:textId="77777777" w:rsidR="00E8146D" w:rsidRPr="002F2FDF" w:rsidRDefault="00E8146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A247AE" w14:textId="77777777" w:rsidR="00E8146D" w:rsidRPr="002F2FDF" w:rsidRDefault="00E8146D" w:rsidP="0083075A">
      <w:pPr>
        <w:pStyle w:val="ae"/>
        <w:spacing w:before="0" w:after="0"/>
        <w:jc w:val="both"/>
        <w:rPr>
          <w:color w:val="000000" w:themeColor="text1"/>
          <w:kern w:val="2"/>
          <w:sz w:val="16"/>
          <w:szCs w:val="16"/>
        </w:rPr>
      </w:pPr>
      <w:r w:rsidRPr="002F2FDF">
        <w:rPr>
          <w:color w:val="000000" w:themeColor="text1"/>
          <w:kern w:val="2"/>
          <w:sz w:val="16"/>
          <w:szCs w:val="16"/>
        </w:rPr>
        <w:t>7 (20) сентября 1917 в связи с поражениями на фронте, в первую очередь, в районе Риги, и возможностью прорыва немцев к столице началась эвакуация из Петрограда в Москву аппарата ряда министерств (иностранных дел, народного просвещения, исповеданий, почт и телеграфа). Самые важные архивы министерств были отправлены еще дальше, в города Поволжья. Впрочем, Временное правительство, опасаясь паники, избегало самого термина «эвакуация» и говорило лишь о «разгрузке» города (17045).</w:t>
      </w:r>
    </w:p>
    <w:p w14:paraId="61A4DEB6" w14:textId="77777777" w:rsidR="00E8146D" w:rsidRPr="002F2FDF" w:rsidRDefault="00E8146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00D9BE" w14:textId="77777777" w:rsidR="00E8146D" w:rsidRPr="002F2FDF" w:rsidRDefault="00E8146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4ADF788" w14:textId="77777777" w:rsidR="00E8146D" w:rsidRPr="002F2FDF" w:rsidRDefault="00E8146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FE0E5F" w14:textId="77777777" w:rsidR="00E8146D" w:rsidRPr="002F2FDF" w:rsidRDefault="00E8146D"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сентября 1917 г. в боях у Желювель и в ноябре-декабре 1917 во время контрнаступ</w:t>
      </w:r>
      <w:r w:rsidRPr="002F2FDF">
        <w:rPr>
          <w:rFonts w:ascii="Times New Roman" w:hAnsi="Times New Roman" w:cs="Times New Roman"/>
          <w:color w:val="000000" w:themeColor="text1"/>
          <w:kern w:val="2"/>
          <w:sz w:val="16"/>
          <w:szCs w:val="16"/>
        </w:rPr>
        <w:softHyphen/>
        <w:t>ления 2-й немецкой армии у Камбрэ с боль</w:t>
      </w:r>
      <w:r w:rsidRPr="002F2FDF">
        <w:rPr>
          <w:rFonts w:ascii="Times New Roman" w:hAnsi="Times New Roman" w:cs="Times New Roman"/>
          <w:color w:val="000000" w:themeColor="text1"/>
          <w:kern w:val="2"/>
          <w:sz w:val="16"/>
          <w:szCs w:val="16"/>
        </w:rPr>
        <w:softHyphen/>
        <w:t>шим эффектом действовали немецкие объединенные авиагруппы. До этого первые же бои показали, что "охранительные" авиа</w:t>
      </w:r>
      <w:r w:rsidRPr="002F2FDF">
        <w:rPr>
          <w:rFonts w:ascii="Times New Roman" w:hAnsi="Times New Roman" w:cs="Times New Roman"/>
          <w:color w:val="000000" w:themeColor="text1"/>
          <w:kern w:val="2"/>
          <w:sz w:val="16"/>
          <w:szCs w:val="16"/>
        </w:rPr>
        <w:softHyphen/>
        <w:t>отряды. находящиеся в подчинении пехотных дивизий, ввиду своей мало</w:t>
      </w:r>
      <w:r w:rsidRPr="002F2FDF">
        <w:rPr>
          <w:rFonts w:ascii="Times New Roman" w:hAnsi="Times New Roman" w:cs="Times New Roman"/>
          <w:color w:val="000000" w:themeColor="text1"/>
          <w:kern w:val="2"/>
          <w:sz w:val="16"/>
          <w:szCs w:val="16"/>
        </w:rPr>
        <w:softHyphen/>
        <w:t>численности все же не могут оказы</w:t>
      </w:r>
      <w:r w:rsidRPr="002F2FDF">
        <w:rPr>
          <w:rFonts w:ascii="Times New Roman" w:hAnsi="Times New Roman" w:cs="Times New Roman"/>
          <w:color w:val="000000" w:themeColor="text1"/>
          <w:kern w:val="2"/>
          <w:sz w:val="16"/>
          <w:szCs w:val="16"/>
        </w:rPr>
        <w:softHyphen/>
        <w:t>вать серьезного влияния на исход на</w:t>
      </w:r>
      <w:r w:rsidRPr="002F2FDF">
        <w:rPr>
          <w:rFonts w:ascii="Times New Roman" w:hAnsi="Times New Roman" w:cs="Times New Roman"/>
          <w:color w:val="000000" w:themeColor="text1"/>
          <w:kern w:val="2"/>
          <w:sz w:val="16"/>
          <w:szCs w:val="16"/>
        </w:rPr>
        <w:softHyphen/>
        <w:t>земного боя на конкретном участке фронта. С лета 1917 Германская 4-я армия несла огромные потери как в личном соста</w:t>
      </w:r>
      <w:r w:rsidRPr="002F2FDF">
        <w:rPr>
          <w:rFonts w:ascii="Times New Roman" w:hAnsi="Times New Roman" w:cs="Times New Roman"/>
          <w:color w:val="000000" w:themeColor="text1"/>
          <w:kern w:val="2"/>
          <w:sz w:val="16"/>
          <w:szCs w:val="16"/>
        </w:rPr>
        <w:softHyphen/>
        <w:t>ве, так и в материальной части, и была вынуждена отступить по всему атако</w:t>
      </w:r>
      <w:r w:rsidRPr="002F2FDF">
        <w:rPr>
          <w:rFonts w:ascii="Times New Roman" w:hAnsi="Times New Roman" w:cs="Times New Roman"/>
          <w:color w:val="000000" w:themeColor="text1"/>
          <w:kern w:val="2"/>
          <w:sz w:val="16"/>
          <w:szCs w:val="16"/>
        </w:rPr>
        <w:softHyphen/>
        <w:t>ванному фронту. Немецкое командование весьма оперативно разобралось в причинах случившегося и в ходе сра</w:t>
      </w:r>
      <w:r w:rsidRPr="002F2FDF">
        <w:rPr>
          <w:rFonts w:ascii="Times New Roman" w:hAnsi="Times New Roman" w:cs="Times New Roman"/>
          <w:color w:val="000000" w:themeColor="text1"/>
          <w:kern w:val="2"/>
          <w:sz w:val="16"/>
          <w:szCs w:val="16"/>
        </w:rPr>
        <w:softHyphen/>
        <w:t>жения сумело провести реорганизацию воздушных сил поля боя, что положи</w:t>
      </w:r>
      <w:r w:rsidRPr="002F2FDF">
        <w:rPr>
          <w:rFonts w:ascii="Times New Roman" w:hAnsi="Times New Roman" w:cs="Times New Roman"/>
          <w:color w:val="000000" w:themeColor="text1"/>
          <w:kern w:val="2"/>
          <w:sz w:val="16"/>
          <w:szCs w:val="16"/>
        </w:rPr>
        <w:softHyphen/>
        <w:t>тельно сказалось на дальнейшем ходе сражения. С целью повышения эффективнос</w:t>
      </w:r>
      <w:r w:rsidRPr="002F2FDF">
        <w:rPr>
          <w:rFonts w:ascii="Times New Roman" w:hAnsi="Times New Roman" w:cs="Times New Roman"/>
          <w:color w:val="000000" w:themeColor="text1"/>
          <w:kern w:val="2"/>
          <w:sz w:val="16"/>
          <w:szCs w:val="16"/>
        </w:rPr>
        <w:softHyphen/>
        <w:t>ти подавления наземных целей на поле боя и оперативного наращивания уси</w:t>
      </w:r>
      <w:r w:rsidRPr="002F2FDF">
        <w:rPr>
          <w:rFonts w:ascii="Times New Roman" w:hAnsi="Times New Roman" w:cs="Times New Roman"/>
          <w:color w:val="000000" w:themeColor="text1"/>
          <w:kern w:val="2"/>
          <w:sz w:val="16"/>
          <w:szCs w:val="16"/>
        </w:rPr>
        <w:softHyphen/>
        <w:t>лий авиации на особо угрожаемых уча</w:t>
      </w:r>
      <w:r w:rsidRPr="002F2FDF">
        <w:rPr>
          <w:rFonts w:ascii="Times New Roman" w:hAnsi="Times New Roman" w:cs="Times New Roman"/>
          <w:color w:val="000000" w:themeColor="text1"/>
          <w:kern w:val="2"/>
          <w:sz w:val="16"/>
          <w:szCs w:val="16"/>
        </w:rPr>
        <w:softHyphen/>
        <w:t>стках фронта все отряды охранения изымались из подчинения дивизий, сво</w:t>
      </w:r>
      <w:r w:rsidRPr="002F2FDF">
        <w:rPr>
          <w:rFonts w:ascii="Times New Roman" w:hAnsi="Times New Roman" w:cs="Times New Roman"/>
          <w:color w:val="000000" w:themeColor="text1"/>
          <w:kern w:val="2"/>
          <w:sz w:val="16"/>
          <w:szCs w:val="16"/>
        </w:rPr>
        <w:softHyphen/>
        <w:t>дились в группы по 4 отряда в каждой, и передавались в подчинение коман</w:t>
      </w:r>
      <w:r w:rsidRPr="002F2FDF">
        <w:rPr>
          <w:rFonts w:ascii="Times New Roman" w:hAnsi="Times New Roman" w:cs="Times New Roman"/>
          <w:color w:val="000000" w:themeColor="text1"/>
          <w:kern w:val="2"/>
          <w:sz w:val="16"/>
          <w:szCs w:val="16"/>
        </w:rPr>
        <w:softHyphen/>
        <w:t>дованию армии. При этом, часть авиа</w:t>
      </w:r>
      <w:r w:rsidRPr="002F2FDF">
        <w:rPr>
          <w:rFonts w:ascii="Times New Roman" w:hAnsi="Times New Roman" w:cs="Times New Roman"/>
          <w:color w:val="000000" w:themeColor="text1"/>
          <w:kern w:val="2"/>
          <w:sz w:val="16"/>
          <w:szCs w:val="16"/>
        </w:rPr>
        <w:softHyphen/>
        <w:t>групп выделялась в армейский резерв с целью их передачи в решающие мо</w:t>
      </w:r>
      <w:r w:rsidRPr="002F2FDF">
        <w:rPr>
          <w:rFonts w:ascii="Times New Roman" w:hAnsi="Times New Roman" w:cs="Times New Roman"/>
          <w:color w:val="000000" w:themeColor="text1"/>
          <w:kern w:val="2"/>
          <w:sz w:val="16"/>
          <w:szCs w:val="16"/>
        </w:rPr>
        <w:softHyphen/>
        <w:t>менты сражения армейским корпусам или. в исключительных случаях, в опе</w:t>
      </w:r>
      <w:r w:rsidRPr="002F2FDF">
        <w:rPr>
          <w:rFonts w:ascii="Times New Roman" w:hAnsi="Times New Roman" w:cs="Times New Roman"/>
          <w:color w:val="000000" w:themeColor="text1"/>
          <w:kern w:val="2"/>
          <w:sz w:val="16"/>
          <w:szCs w:val="16"/>
        </w:rPr>
        <w:softHyphen/>
        <w:t>ративное подчинение отдельных диви</w:t>
      </w:r>
      <w:r w:rsidRPr="002F2FDF">
        <w:rPr>
          <w:rFonts w:ascii="Times New Roman" w:hAnsi="Times New Roman" w:cs="Times New Roman"/>
          <w:color w:val="000000" w:themeColor="text1"/>
          <w:kern w:val="2"/>
          <w:sz w:val="16"/>
          <w:szCs w:val="16"/>
        </w:rPr>
        <w:softHyphen/>
        <w:t>зий. Штурмовые атаки наземных целей на поле боя предписывалось производить только авиагруппами, не допус</w:t>
      </w:r>
      <w:r w:rsidRPr="002F2FDF">
        <w:rPr>
          <w:rFonts w:ascii="Times New Roman" w:hAnsi="Times New Roman" w:cs="Times New Roman"/>
          <w:color w:val="000000" w:themeColor="text1"/>
          <w:kern w:val="2"/>
          <w:sz w:val="16"/>
          <w:szCs w:val="16"/>
        </w:rPr>
        <w:softHyphen/>
        <w:t>кая распыления сил для действий по нескольким целям (5999).</w:t>
      </w:r>
    </w:p>
    <w:p w14:paraId="3D7A36FE" w14:textId="77777777" w:rsidR="00E8146D" w:rsidRPr="002F2FDF" w:rsidRDefault="00E8146D"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9C7801" w14:textId="77777777" w:rsidR="00E8146D" w:rsidRPr="002F2FDF" w:rsidRDefault="00E8146D" w:rsidP="0083075A">
      <w:pPr>
        <w:pStyle w:val="ae"/>
        <w:spacing w:before="0" w:after="0"/>
        <w:jc w:val="both"/>
        <w:rPr>
          <w:color w:val="000000" w:themeColor="text1"/>
          <w:kern w:val="2"/>
          <w:sz w:val="16"/>
          <w:szCs w:val="16"/>
        </w:rPr>
      </w:pPr>
      <w:r w:rsidRPr="002F2FDF">
        <w:rPr>
          <w:color w:val="000000" w:themeColor="text1"/>
          <w:kern w:val="2"/>
          <w:sz w:val="16"/>
          <w:szCs w:val="16"/>
        </w:rPr>
        <w:t>7 (20) сентября 1917 британские, канадские и австралийские части предприняли очередную попытку прорыва немецкой обороны в районе города Ипр на западе Бельгии, ставшей одним из эпизодов продолжавшейся здесь с июля до ноября «Битвы при Пашендейле». Основной удар наносился в районе города Менен, по названию которого события тех дней вошли в историю как «Битва при Мененской дороге».</w:t>
      </w:r>
    </w:p>
    <w:p w14:paraId="51B48E03" w14:textId="77777777" w:rsidR="00E8146D" w:rsidRPr="002F2FDF" w:rsidRDefault="00E8146D" w:rsidP="0083075A">
      <w:pPr>
        <w:pStyle w:val="ae"/>
        <w:spacing w:before="0" w:after="0"/>
        <w:jc w:val="both"/>
        <w:rPr>
          <w:color w:val="000000" w:themeColor="text1"/>
          <w:kern w:val="2"/>
          <w:sz w:val="16"/>
          <w:szCs w:val="16"/>
        </w:rPr>
      </w:pPr>
      <w:r w:rsidRPr="002F2FDF">
        <w:rPr>
          <w:color w:val="000000" w:themeColor="text1"/>
          <w:kern w:val="2"/>
          <w:sz w:val="16"/>
          <w:szCs w:val="16"/>
        </w:rPr>
        <w:t>Для нового наступления британское командование подтянуло около 1300 артиллерийских орудий. После мощной, но короткой артподготовки части союзников поднялись в атаку, застав немцев врасплох. Благодаря этому им удалось занять вражеские траншеи на участке шириной более 10 км и пройти вперед на 1,5-2 км, взяв под контроль почти все господствующие высоты. Военный историк, генерал Андрей Зайончковский отмечал, что Мененское сражение продемонстрировало мощь артиллерии союзников, от которой порой уже не спасали даже самые надежные укрепления. За этот успех, правда, англичане заплатили дорого, потеряв всего за неделю боев 21 тысячу человек убитыми и ранеными (17045).</w:t>
      </w:r>
    </w:p>
    <w:p w14:paraId="16B8E627" w14:textId="77777777" w:rsidR="00E8146D" w:rsidRPr="002F2FDF" w:rsidRDefault="00E8146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F9514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6B085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074E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сентября 1917 г. начальник авиационного отдела УВВФ подполковник Селиванов дал указание: “Все аэропланы, кроме истребителей, должны быть приспособлены к установке на них станций беспроволочного телеграфа” (9705).</w:t>
      </w:r>
    </w:p>
    <w:p w14:paraId="2C6A79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C84E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сентября 1917 г. Верховный главнокомандующий направил в Петроград телеграмму на имя военного министра. В ней указывалось на необходимость спешно пополнить авиаотряды самолетами, “коих некомплект около 50 процентов особенно разведывательного типа”, обеспечить присылку из-за границы до конца года “не менее 1000 самолетов с моторами и запасными частями”. Но фронт по-прежнему оставался без необходимых самолетов (9759).</w:t>
      </w:r>
    </w:p>
    <w:p w14:paraId="1E73D0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24FC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сентября 1917 Верховный главнокомандующий направил в Петроград телеграмму на имя Военного министра о необходимости спешно пополнить авиаотряды самолетами, "коих некомплект около 50% особенно разведывательного типа", а также обеспечить присылку из-за границы "не менее 1000 самолетов с моторами и запасными частями".</w:t>
      </w:r>
    </w:p>
    <w:p w14:paraId="11FE94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авиационного отдела УВВФ подполковник Селиванов дал дополнительно указание: "Все аэропланы, кроме истребителей, должны быть приспособлены к установке на них станций беспроволочного телеграфа" (11999).</w:t>
      </w:r>
    </w:p>
    <w:p w14:paraId="6E9B69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31D2B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16E5B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C58C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сентября 1917 1БАГ получила новые самолеты, в том числе четыре скоростных истре</w:t>
      </w:r>
      <w:r w:rsidRPr="002F2FDF">
        <w:rPr>
          <w:rFonts w:ascii="Times New Roman" w:hAnsi="Times New Roman" w:cs="Times New Roman"/>
          <w:color w:val="000000" w:themeColor="text1"/>
          <w:kern w:val="2"/>
          <w:sz w:val="16"/>
          <w:szCs w:val="16"/>
        </w:rPr>
        <w:softHyphen/>
        <w:t>бителя “Спад-7” - по одному на каж</w:t>
      </w:r>
      <w:r w:rsidRPr="002F2FDF">
        <w:rPr>
          <w:rFonts w:ascii="Times New Roman" w:hAnsi="Times New Roman" w:cs="Times New Roman"/>
          <w:color w:val="000000" w:themeColor="text1"/>
          <w:kern w:val="2"/>
          <w:sz w:val="16"/>
          <w:szCs w:val="16"/>
        </w:rPr>
        <w:softHyphen/>
        <w:t>дый отряд и один в управление авиа</w:t>
      </w:r>
      <w:r w:rsidRPr="002F2FDF">
        <w:rPr>
          <w:rFonts w:ascii="Times New Roman" w:hAnsi="Times New Roman" w:cs="Times New Roman"/>
          <w:color w:val="000000" w:themeColor="text1"/>
          <w:kern w:val="2"/>
          <w:sz w:val="16"/>
          <w:szCs w:val="16"/>
        </w:rPr>
        <w:softHyphen/>
        <w:t>группы (3954).</w:t>
      </w:r>
    </w:p>
    <w:p w14:paraId="32A0D6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8C91D3" w14:textId="77777777" w:rsidR="00FF1DF9" w:rsidRPr="00FB4F67" w:rsidRDefault="00FF1DF9" w:rsidP="0083075A">
      <w:pPr>
        <w:spacing w:after="0" w:line="240" w:lineRule="auto"/>
        <w:jc w:val="both"/>
        <w:rPr>
          <w:rFonts w:ascii="Times New Roman" w:hAnsi="Times New Roman" w:cs="Times New Roman"/>
          <w:color w:val="0070C0"/>
          <w:sz w:val="16"/>
          <w:szCs w:val="16"/>
        </w:rPr>
      </w:pPr>
      <w:bookmarkStart w:id="298" w:name="bookmark915"/>
      <w:r w:rsidRPr="00FB4F67">
        <w:rPr>
          <w:rFonts w:ascii="Times New Roman" w:hAnsi="Times New Roman" w:cs="Times New Roman"/>
          <w:color w:val="0070C0"/>
          <w:sz w:val="16"/>
          <w:szCs w:val="16"/>
        </w:rPr>
        <w:t>В начале сентября 1917 г. австро-венгерский Flik 52 с Hansa-Brandenburg C.Is был отправлен на румынский фронт. Там он прослужил до декабря, когда был переброшен на Итальянский фронт (23525).</w:t>
      </w:r>
    </w:p>
    <w:p w14:paraId="6DC311B5" w14:textId="77777777" w:rsidR="00FF1DF9" w:rsidRPr="00FB4F67" w:rsidRDefault="00FF1DF9" w:rsidP="0083075A">
      <w:pPr>
        <w:spacing w:after="0" w:line="240" w:lineRule="auto"/>
        <w:jc w:val="both"/>
        <w:rPr>
          <w:rFonts w:ascii="Times New Roman" w:hAnsi="Times New Roman" w:cs="Times New Roman"/>
          <w:color w:val="0070C0"/>
          <w:sz w:val="16"/>
          <w:szCs w:val="16"/>
        </w:rPr>
      </w:pPr>
    </w:p>
    <w:p w14:paraId="6F8B4696" w14:textId="77777777" w:rsidR="00FF1DF9" w:rsidRPr="00FB4F67" w:rsidRDefault="00FF1DF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сентября 1917 г. Ставка преобразовала польскую пехотную дивизию в 1-й Польский корпус в Минске. Это произошло в результате приказа Генерального штаба от 14 июля, который санкционировал создание Комитета Войска Польского в составе Российской Армии. 19 августа генеральный штаб Западного фронта разрешил летчикам генерала И. Р. Довбор-Мусницкого сформировать 1-ю Польскую КАО (Oddzial Awiacyjny I Korpusu Polskiego). Его возглавил капитан Зигмунт Студзинский, и только один Ньюпор XVII. В декабре она была переименована в 1-ю Польскую боевую АО, базирующуюся в Дунаевце, в 30 км к северо-востоку от Каменец-Подольск, с шестью пилотами и четырьмя наблюдателями. К марту 1918 года часть приобрела двенадцать самолетов Nieuport XXVII, XXI и XXIII типов, несколько типов Morane L и LA и очень ненадолго один бывший ЭВК «Илья Муромец» (23525).</w:t>
      </w:r>
    </w:p>
    <w:p w14:paraId="4D1FCFD1" w14:textId="77777777" w:rsidR="00FF1DF9" w:rsidRPr="00FB4F67" w:rsidRDefault="00FF1DF9" w:rsidP="0083075A">
      <w:pPr>
        <w:spacing w:after="0" w:line="240" w:lineRule="auto"/>
        <w:jc w:val="both"/>
        <w:rPr>
          <w:rFonts w:ascii="Times New Roman" w:hAnsi="Times New Roman" w:cs="Times New Roman"/>
          <w:color w:val="0070C0"/>
          <w:sz w:val="16"/>
          <w:szCs w:val="16"/>
        </w:rPr>
      </w:pPr>
    </w:p>
    <w:p w14:paraId="58747159" w14:textId="77777777" w:rsidR="00FF1DF9" w:rsidRPr="00FB4F67" w:rsidRDefault="00FF1DF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течение первой недели сентября 1917 г. на Северном фронте четыре дирижабля ВМС Германии атаковали железнодорожные узлы Валк и Вольмар к востоку от Рижского залива. Плохая погода ограничила дальнейшие операции (23525).</w:t>
      </w:r>
    </w:p>
    <w:p w14:paraId="062D36CE" w14:textId="77777777" w:rsidR="00FF1DF9" w:rsidRPr="00FB4F67" w:rsidRDefault="00FF1DF9" w:rsidP="0083075A">
      <w:pPr>
        <w:spacing w:after="0" w:line="240" w:lineRule="auto"/>
        <w:jc w:val="both"/>
        <w:rPr>
          <w:rFonts w:ascii="Times New Roman" w:hAnsi="Times New Roman" w:cs="Times New Roman"/>
          <w:color w:val="0070C0"/>
          <w:sz w:val="16"/>
          <w:szCs w:val="16"/>
        </w:rPr>
      </w:pPr>
    </w:p>
    <w:bookmarkEnd w:id="298"/>
    <w:p w14:paraId="682B8A8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96EDE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4C2D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8 (21) сен</w:t>
      </w:r>
      <w:r w:rsidRPr="002F2FDF">
        <w:rPr>
          <w:rFonts w:ascii="Times New Roman" w:hAnsi="Times New Roman" w:cs="Times New Roman"/>
          <w:color w:val="000000" w:themeColor="text1"/>
          <w:kern w:val="2"/>
          <w:sz w:val="16"/>
          <w:szCs w:val="16"/>
        </w:rPr>
        <w:softHyphen/>
        <w:t>тября 1917 "Малютка" с мотором "Клерже" 80 л.с. находилась в Петрограде, будучи вскоре пе</w:t>
      </w:r>
      <w:r w:rsidRPr="002F2FDF">
        <w:rPr>
          <w:rFonts w:ascii="Times New Roman" w:hAnsi="Times New Roman" w:cs="Times New Roman"/>
          <w:color w:val="000000" w:themeColor="text1"/>
          <w:kern w:val="2"/>
          <w:sz w:val="16"/>
          <w:szCs w:val="16"/>
        </w:rPr>
        <w:softHyphen/>
        <w:t>ревезенной к месту опытов, подробности коих неизвестны, несмотря на то, что гидроаэроп</w:t>
      </w:r>
      <w:r w:rsidRPr="002F2FDF">
        <w:rPr>
          <w:rFonts w:ascii="Times New Roman" w:hAnsi="Times New Roman" w:cs="Times New Roman"/>
          <w:color w:val="000000" w:themeColor="text1"/>
          <w:kern w:val="2"/>
          <w:sz w:val="16"/>
          <w:szCs w:val="16"/>
        </w:rPr>
        <w:softHyphen/>
        <w:t>лан был благополучно принят в казну и получил флотский номер С-7. Он прослужил не</w:t>
      </w:r>
      <w:r w:rsidRPr="002F2FDF">
        <w:rPr>
          <w:rFonts w:ascii="Times New Roman" w:hAnsi="Times New Roman" w:cs="Times New Roman"/>
          <w:color w:val="000000" w:themeColor="text1"/>
          <w:kern w:val="2"/>
          <w:sz w:val="16"/>
          <w:szCs w:val="16"/>
        </w:rPr>
        <w:softHyphen/>
        <w:t>долго, т.к. уже 24 октября 1917 упал в воду из-за неисправности рулевых тяг и разбился. Его экипаж отправился в госпиталь, а обломки прибуксировали к берегу и извлекли из воды на следующий день. В ноябре их отправили в столицу, где они и сгинули (2843).</w:t>
      </w:r>
    </w:p>
    <w:p w14:paraId="4E6BBA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D62297" w14:textId="77777777" w:rsidR="001A1F94"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2F9CACE" w14:textId="77777777" w:rsidR="001A1F94" w:rsidRPr="002F2FDF" w:rsidRDefault="001A1F9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E61368"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сентября 1917 Телеграмма зам. уполномоченного Особого совещания по обороне Уральского района Особому совещанию по обороне об угрозе остановки работ на «оборону» в Богословском горном округе вследствие недостатка овса для лошадей.</w:t>
      </w:r>
    </w:p>
    <w:p w14:paraId="3C835D11"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151</w:t>
      </w:r>
    </w:p>
    <w:p w14:paraId="16961850"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369, оп. 12, д. 12, л. 86Телегр. бланк.</w:t>
      </w:r>
    </w:p>
    <w:p w14:paraId="172F8550"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Богословский горный округ телеграфирует: [в] Богословском округе работает [на] оборону пять тысяч лошадей, получено через Губпродком овса в мае четырнадцать тысяч пудов, июне—четырнадцать, июле—шесть, августе — ничего, местного овса нет. Многочисленные обращения [в] Губпродком безрезультатны, лошади гибнут, приближается ликвидация работ, остановится главный округ Урала, питающий материалами ряд заводов частных [и] казенных; просим дать овса или определенно отказать — тогда остановим производство планомерно; тогда [во] избежание крайних осложнений благоволите немедленным распоряжением [обязать] Губпродком снабдить Богословский округ. Уведомить уполоборона заместителя Юон (15665).</w:t>
      </w:r>
    </w:p>
    <w:p w14:paraId="151A1625"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p>
    <w:p w14:paraId="6596A37A" w14:textId="0E3D1ECF" w:rsidR="00494398" w:rsidRDefault="00494398"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306F0D7E" w14:textId="77777777" w:rsidR="00494398" w:rsidRDefault="00494398"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F655E96" w14:textId="77777777" w:rsidR="00494398" w:rsidRPr="00FB4F67" w:rsidRDefault="0049439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21 сентября (4 октября) 1917 состоялся последний вылет корабля «Илья Муромец» Е-57 (ИМ Е-57 № 266, борт № V) экз. № 61, стратегического разведчика и тяжелого бомбардировщика.</w:t>
      </w:r>
    </w:p>
    <w:p w14:paraId="5EEA62BA" w14:textId="77777777" w:rsidR="00494398" w:rsidRPr="00FB4F67" w:rsidRDefault="0049439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15 (28) ноября 1917 г.) самолет «Илья Муромец» Е-57 (ИМ Е-57 № 266, борт № V) экз. № 61, стратегический разведчик и тяжелый бомбардировщик был разбит.</w:t>
      </w:r>
    </w:p>
    <w:p w14:paraId="60DA6949" w14:textId="77777777" w:rsidR="00494398" w:rsidRPr="00FB4F67" w:rsidRDefault="0049439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Всего самолет выполнил не менее трех боевых вылетов.</w:t>
      </w:r>
    </w:p>
    <w:p w14:paraId="36060F0E" w14:textId="77777777" w:rsidR="00494398" w:rsidRPr="00FB4F67" w:rsidRDefault="0049439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Всего достроено и облетано 2 самолета ИМ-Е. Модификация по отношению к ИМ-Г определенные преимущества имела, однако ее запуск в серию не состоялся по организационным причинам – еще летом 1917 г. производство на РБВЗ было дезорганизовано, а после Октябрьской революции наладить выпуск новой модификации самолета оказалось невозможно (24094).</w:t>
      </w:r>
    </w:p>
    <w:p w14:paraId="217C5764" w14:textId="77777777" w:rsidR="00494398" w:rsidRPr="00FB4F67" w:rsidRDefault="00494398" w:rsidP="0083075A">
      <w:pPr>
        <w:spacing w:after="0" w:line="240" w:lineRule="auto"/>
        <w:jc w:val="both"/>
        <w:rPr>
          <w:rFonts w:ascii="Times New Roman" w:hAnsi="Times New Roman" w:cs="Times New Roman"/>
          <w:color w:val="0070C0"/>
          <w:sz w:val="16"/>
          <w:szCs w:val="16"/>
        </w:rPr>
      </w:pPr>
    </w:p>
    <w:p w14:paraId="3A315FDC" w14:textId="77777777" w:rsidR="00494398" w:rsidRPr="00FB4F67" w:rsidRDefault="0049439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21 сентября </w:t>
      </w:r>
      <w:bookmarkStart w:id="299" w:name="bookmark930"/>
      <w:r w:rsidRPr="00FB4F67">
        <w:rPr>
          <w:rFonts w:ascii="Times New Roman" w:hAnsi="Times New Roman" w:cs="Times New Roman"/>
          <w:color w:val="0070C0"/>
          <w:sz w:val="16"/>
          <w:szCs w:val="16"/>
        </w:rPr>
        <w:t>1917 г. германские летчики, появившиеся «над нашими расположениями на Юго-Западном фронте, сбрасывали пачки газет „Неделя“, издающейся на русском языке в Вене. Газета полна нападками на союзников и уверяет, что центральные державы готовы к немедленному заключению мира. Военные события и события русской жизни изложены в газете в совершенно извращенном виде. Германская пропаганда среди наших войск успеха не имеет».</w:t>
      </w:r>
      <w:bookmarkEnd w:id="299"/>
    </w:p>
    <w:p w14:paraId="13374E2C" w14:textId="77777777" w:rsidR="00494398" w:rsidRPr="00FB4F67" w:rsidRDefault="0049439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Одновременно противник продолжал бомбить с воздуха военные и административные пункты в тылу русских частей. Объектом нападения стали г. Дубно и его железнодорожная станция. В течение нескольких дней для их бомбардировки была задействована целая авиационная эскадрилья (23405).</w:t>
      </w:r>
    </w:p>
    <w:p w14:paraId="4BBE99E4" w14:textId="77777777" w:rsidR="00494398" w:rsidRPr="00FB4F67" w:rsidRDefault="00494398" w:rsidP="0083075A">
      <w:pPr>
        <w:spacing w:after="0" w:line="240" w:lineRule="auto"/>
        <w:jc w:val="both"/>
        <w:rPr>
          <w:rFonts w:ascii="Times New Roman" w:hAnsi="Times New Roman" w:cs="Times New Roman"/>
          <w:color w:val="0070C0"/>
          <w:sz w:val="16"/>
          <w:szCs w:val="16"/>
        </w:rPr>
      </w:pPr>
    </w:p>
    <w:p w14:paraId="24D0593E" w14:textId="5F0A7D20"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7FC64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9B3B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сентября 1917 Латвия провозгласила независимость (3481).</w:t>
      </w:r>
    </w:p>
    <w:p w14:paraId="563570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7B6E98" w14:textId="77777777" w:rsidR="000D456B" w:rsidRPr="002F2FDF" w:rsidRDefault="000D456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B4EAFA2" w14:textId="77777777" w:rsidR="000D456B" w:rsidRPr="002F2FDF" w:rsidRDefault="000D456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08A2EB"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9 (22) сентября 1917 года</w:t>
      </w:r>
    </w:p>
    <w:p w14:paraId="2F5EFE9E"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Совершенно секретно. </w:t>
      </w:r>
    </w:p>
    <w:p w14:paraId="6A5AC6CB"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Журнал №  192  </w:t>
      </w:r>
    </w:p>
    <w:p w14:paraId="378939F4"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Особого Совещания для обсуждения и объединения  мероприятий по обороне государства. </w:t>
      </w:r>
    </w:p>
    <w:p w14:paraId="2681282C"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9 сентября 1917 года. </w:t>
      </w:r>
    </w:p>
    <w:p w14:paraId="43EEF45B"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Председательствовал  П. И. Пальчинский. </w:t>
      </w:r>
    </w:p>
    <w:p w14:paraId="41210EC4"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Присутствовали: </w:t>
      </w:r>
    </w:p>
    <w:p w14:paraId="2C404886"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Государственного Совета  В. И. Карпов. </w:t>
      </w:r>
    </w:p>
    <w:p w14:paraId="392B15EC"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Ф. А. Иванов. </w:t>
      </w:r>
    </w:p>
    <w:p w14:paraId="44F4BF06"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военного министерства: </w:t>
      </w:r>
    </w:p>
    <w:p w14:paraId="7C511D2C"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 от артиллерии  . А. А. Маниковский. </w:t>
      </w:r>
    </w:p>
    <w:p w14:paraId="4ED91293"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Полковник  князь Г. Н.  Туманов. </w:t>
      </w:r>
    </w:p>
    <w:p w14:paraId="78AA7953"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Генерал-лейтенант  . Н. А. Бабиков. </w:t>
      </w:r>
    </w:p>
    <w:p w14:paraId="3EFD62E2"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Н. И. Богатко. </w:t>
      </w:r>
    </w:p>
    <w:p w14:paraId="19C74A27"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Генерал-майор . С. М.  Чаплин. </w:t>
      </w:r>
    </w:p>
    <w:p w14:paraId="0D7469AD"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морского министерства: </w:t>
      </w:r>
    </w:p>
    <w:p w14:paraId="4606CB78"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Адмирал  .В. А. Канин. </w:t>
      </w:r>
    </w:p>
    <w:p w14:paraId="0DB88839"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министерства финансов: </w:t>
      </w:r>
    </w:p>
    <w:p w14:paraId="7B4EAD13"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Действительный статский советник  П. М. Гришкевич-Трохимовский. </w:t>
      </w:r>
    </w:p>
    <w:p w14:paraId="14529EDA"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Государственного контроля: </w:t>
      </w:r>
    </w:p>
    <w:p w14:paraId="40A4C8DE"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Действительный статский советник  И. В. Разумовский. </w:t>
      </w:r>
    </w:p>
    <w:p w14:paraId="0CBAC4EB"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министерства путей сообщения: </w:t>
      </w:r>
    </w:p>
    <w:p w14:paraId="74211DCC"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Инженер путей сообщения  Н. К. Антошин. </w:t>
      </w:r>
    </w:p>
    <w:p w14:paraId="3580FE51"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министерства труда: </w:t>
      </w:r>
    </w:p>
    <w:p w14:paraId="30A92FC9"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Заместитель управляющего отделом рынка труда  А. Б. Ельяшевич. </w:t>
      </w:r>
    </w:p>
    <w:p w14:paraId="659AFAFF"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Заведующий делопроизводством отдела       рынка труда  Г. Д. Красинский. </w:t>
      </w:r>
    </w:p>
    <w:p w14:paraId="059C05B2"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Центрального военно-промышленного комитета: </w:t>
      </w:r>
    </w:p>
    <w:p w14:paraId="4D933735"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Действительный статский советник  Д.  С. Зернов. </w:t>
      </w:r>
    </w:p>
    <w:p w14:paraId="23B9D947"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Особо приглашенные на заседание: </w:t>
      </w:r>
    </w:p>
    <w:p w14:paraId="2BD13749"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 от инфантерии  . А. А. Поливанов. </w:t>
      </w:r>
    </w:p>
    <w:p w14:paraId="1442B1BB"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Государственного Совета   С. И.  Тимашев. </w:t>
      </w:r>
    </w:p>
    <w:p w14:paraId="5DA90DFA"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Генерал-лейтенант  А. А. Якимович. </w:t>
      </w:r>
    </w:p>
    <w:p w14:paraId="398A0EC1"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А. К. Овчинников. </w:t>
      </w:r>
    </w:p>
    <w:p w14:paraId="0064E147"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В. Н. Ипатьев. </w:t>
      </w:r>
    </w:p>
    <w:p w14:paraId="39230822"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Н. Н.  Сиверс. </w:t>
      </w:r>
    </w:p>
    <w:p w14:paraId="0FFBC1B2"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А.  Ф. Бринк. </w:t>
      </w:r>
    </w:p>
    <w:p w14:paraId="48427426"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И. Н. Зворыкин. </w:t>
      </w:r>
    </w:p>
    <w:p w14:paraId="386EAF45"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Действительный статский советник  В. А. Жандр. </w:t>
      </w:r>
    </w:p>
    <w:p w14:paraId="0946BF43"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Статский советник  И. А. Блинов. </w:t>
      </w:r>
    </w:p>
    <w:p w14:paraId="7A2434F8"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Инженер путей сообщения  И.  С. Каннегисер. </w:t>
      </w:r>
    </w:p>
    <w:p w14:paraId="5A1100CF"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Генерал-майор  А. А.  Саткевич. </w:t>
      </w:r>
    </w:p>
    <w:p w14:paraId="5958E2A2"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Д. В. Яковлев. </w:t>
      </w:r>
    </w:p>
    <w:p w14:paraId="41FB4E19"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Профессор  . А.  С. Ломшаков. </w:t>
      </w:r>
    </w:p>
    <w:p w14:paraId="60EFE87A"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Уполномоченный Земгора  Н. К. Волков. </w:t>
      </w:r>
    </w:p>
    <w:p w14:paraId="6EB67087"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Управляющий делами Центрального военно-промышленного комитета . К. Н. Клопотов. </w:t>
      </w:r>
    </w:p>
    <w:p w14:paraId="6807CD92"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Представитель Московского военно-промышленного комитета . .В. Н. Переверзев. </w:t>
      </w:r>
    </w:p>
    <w:p w14:paraId="0E6654DA"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Делопроизводитель Особого Совещания: </w:t>
      </w:r>
    </w:p>
    <w:p w14:paraId="06D1D783"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Подполковник  . . . . . . . . . . . . . . . . . . . . . . . . . . . . . . . . . . . . . .   С. И. Качалов. </w:t>
      </w:r>
    </w:p>
    <w:p w14:paraId="3B45656D"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открытии  заседания  управляющий  делами  Особого  Совещания  генерал-лейтенант  Н.  А.  Бабиков  огласил  резолюцию  по  журналу  от  6 сентября 1917 года за №  191 и доложил о сделанных распоряжениях по  исполнению этой резолюции. </w:t>
      </w:r>
    </w:p>
    <w:p w14:paraId="7050E036"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Особое  Совещание  заслушало  и  приняло  к  сведению  доклад     председателя          заводского        совещания          Петроградского           района  генерал-лейтенанта  Бринка  и  генерал-лейтенанта  Зворыкина  о  ходе работ     образованной,          согласно       постановлению           Особого       Совещания,  комиссии  для  обследования  положения  дел  на  заводах  центрального  военно-промышленного  комитета  «Респиратор»  и  «Противогаз».  При  этом Особое Совещание, усмотрев из доклада, что хотя претензий в отношении личного состава заводской администрации рабочие не заявляют,  но общее настроение рабочей массы все же внушает опасение в смысле  возможности  возникновения  эксцессов,  признало  желательным,  чтобы  комиссаром Министерства Труда было предложено рабочим принять на  себя ответственность за поддержание порядка на заводах и за поднятие  их производительности, с указанием, что в случае несогласия на то рабочих заводы будут закрыты. </w:t>
      </w:r>
    </w:p>
    <w:p w14:paraId="69B65ABF"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Далее,  генерал-лейтенант  Бринк  доложил  Особому  Совещанию  о  приостановке деятельности Глухоозерского цементного завода в Петрограде, обычно прекращавшего работы на зиму в ноябре месяце, — и о произведенном комиссией заводского совещания обследовании этого завода,  подтвердившем  нецелесообразность  продолжения  работ  вследствие  отсутствия сбыта цемента. Приняв к сведению доклад, Особое Совещание,  — ввиду заявления представителя Министерства Труда Г.  Д.  Красинского о том, что, согласно поступившему в названное Министерство  сообщению  рабочих  Глухоозерского  завода,  имеющиеся  на  последнем  запасы цемента в настоящее время распродаются, — признало необходимым поручить заводскому совещанию Петроградского района выяснить  вопрос о сбыте заготовленного на упомянутом заводе цемента. </w:t>
      </w:r>
    </w:p>
    <w:p w14:paraId="13C43738"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Далее, председательствующий П.  И.  Пальчинский, сообщив о предполагаемом закрытии за истощением оборотных средств целого ряда работающих на оборону заводов, в том числе таких крупных, как заводы  общества  «Сормово»,  поставил  на  обсуждение  Особого  Совещания  во  внеочередном порядке вопрос о мерах, которые могли бы быть приняты  Совещанием в целях облегчения испытываемых обслуживающими оборону предприятиями финансовых затруднений. </w:t>
      </w:r>
    </w:p>
    <w:p w14:paraId="69870D0C"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При этом со своей стороны П.  И.  Пальчинский высказал, что основная причина указанных затруднений заключается в обусловленном вздорожании  материалов  и  рабочей  силы  и  несоответствии  себестоимости  изготовляемых заводами изделий контрактным ценам. В  силу означенного несоответствия, оказываемая заводам поддержка в виде авансов в  счет причитающихся по договорам сумм — в каких бы широких пределах  авансы  эти  ни  разрешались  —  является  недостаточной,  и  обеспечение  предприятий необходимыми для выполнения заказов оборотными средствами может быть достигнуто лишь путем повышения контрактных цен  с выдачей авансов в счет такового повышения. В настоящее время, согласно постановлению Особого Совещания, при ведающих подрядами и поставками для нужд обороны управлениях военного и морского ведомств  образованы  специальные  комиссии288  для  рассмотрения  ходатайств  о  пересмотре  контрактов  и  определения  размеров  допустимого  повышения цен. Работа этих комиссий, однако, только началась и не привела еще  к реальным результатам. Между тем в некоторых предприятиях вопрос  об оборотных средствах представляется настолько обостренным, что задержка в его разрешении, связанная с установлением новых цен по исполняемым заказам, может повлечь за собой прекращение деятельности  предприятий. При таком положении дела, по-видимому, единственным  выходом  является  допущение  выдачи  заводам  в  счет  предполагаемого  повышения контрактных цен авансов хотя бы в пределах могущего считаться выясненным  минимума  повышения  (например,  в  пределах  того  увеличения  стоимости  заказа,  которое  обусловлено  произведенным  на  основании коллективного тарифного договора повышением рабочей платы). Применение данной меры помимо ее целесообразности по существу  отвечает состоявшемуся 26 июля с. г. и недавно опубликованному постановлению  Временного  Правительства.  Согласно  сему  постановлению,  министрам  и  главноуправляющим  отдельными  частями  предоставлена  увеличивать договорные цены контрагентам казны по соглашению каждый  раз  с  министром  финансов  и  государственным  контролером.  Особое Совещание по обороне государства, располагающее в своем составе  представителями министерства финансов и Государственного контроля  и явится, в отношении заказов военного и морского ведомств, тем учреждением, в котором фактически будет осуществляться требуемое упомянутым законом соглашение по поводу увеличения договорных цен. Тем  же Совещанием и в порядке того же соглашения может производиться  назначение  предприятиям  авансов  в  счет  повышения  цен  —  впредь  до  окончательного установления последних. </w:t>
      </w:r>
    </w:p>
    <w:p w14:paraId="7D0C7DEA"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Соглашаясь с соображениями П.  И.  Пальчинского по поводу необходимости допущения выдачи заводам авансов в счет предполагаемого повышения договорных цен, председатель подготовительной комиссии по  артиллерийским вопросам С.  И.  Тимашев находил желательным, чтобы  во избежание задержки в разрешении означенных авансов комиссиями  по  пересмотру  контрактов  были  возможно  скорее  установлены  цены  на  имеющие  более  важное  значение  и  чаще  заказываемые  предметы  заготовления. </w:t>
      </w:r>
    </w:p>
    <w:p w14:paraId="6347842C"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  подготовительной  комиссии  по  общим  вопросам  генерал-майор А. А.  Саткевич полагал, что при неустановлении комиссиями новых цен потребные заводам денежные средства могут быть отпускаемы  в  форме  беспроцентных  ссуд,  с  тем  чтобы  после  установления  новых, повышенных цен эти ссуды перечислялись в авансы, а могущие  получиться остатки — в %-ные ссуды. </w:t>
      </w:r>
    </w:p>
    <w:p w14:paraId="49A68A17"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К  приведенному  мнению  генерала  А.  А.  Саткевича  присоединился  представитель Государственного контроля И. В. Разумовский. </w:t>
      </w:r>
    </w:p>
    <w:p w14:paraId="150C62BC"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И.  С.  Каннегисер  отметил,  что  в  целях  упрощения  дела  комиссиям  по пересмотру контрактных цен могло бы быть предложено выработать  «основные», минимальные цены  — для одних и тех же предметов в данном районе, из каковых цен и возможно было бы исходить при срочном  разрешении предприятиям авансов (ссуд) в счет предполагаемого повышения контрактных цен. </w:t>
      </w:r>
    </w:p>
    <w:p w14:paraId="173479A0"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После окончательного обмена мнениями по настоящему вопросу Особое Совещание постановило в видах ускорения выдачи предприятиям денежных сумм в связи с повышением себестоимости изделий  — признать  желательным: а) чтобы подготовительные комиссии при рассмотрении  ходатайств о выдаче денежных средств в счет повышения цен на заказы  определяли  приблизительные  размеры  новых  цен,  в  пределах  которых  и  исчисляли  возможные  выдачи  в  виде  беспроцентных  ссуд  впредь  до  установления окончательных цен; б) чтобы комиссиями по пересмотру  контрактных цен были приняты меры к скорейшему выяснению основных цен на изделия, имеющие крупное значение и касающиеся наибольшего числа контрактов. </w:t>
      </w:r>
    </w:p>
    <w:p w14:paraId="532AB2DC"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Вместе с тем Совещание полагало при выдаче предприятиям сумм в  связи с увеличением контрактных цен принять за правило: 1) в случае  состоявшегося установления новых цен — выдаются в пределах увеличения контрактных платежей авансы и 2) при не состоявшемся еще установлении  означенных  цен  денежные  средства  выдаются  в  признанных необходимыми размерах, но в виде беспроцентной ссуды, с тем чтобы после установления размера новых цен, соответствующая часть этой ссуды  была перечислена в аванс, а остальная часть превращена в процентную  ссуду с начислением %% со дня выдачи денежных средств. </w:t>
      </w:r>
    </w:p>
    <w:p w14:paraId="281C838E"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Наконец,  ввиду  высказанного  в  Особом  Совещании  пожелания  об  усилении деятельности комиссии по пересмотру контрактных цен Совещание решило предложить комиссии по руководству делом пересмотра  контрактов представить доклад о ходе работ ведомственных комиссий и  о мерах, могущих упростить и ускорить пересмотр контрактов. </w:t>
      </w:r>
    </w:p>
    <w:p w14:paraId="68EFAC0F"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поводу намеченных Особым Совещанием мер к расширению финансовой  поддержки  работающим  на  оборону  предприятиям  представитель Министерства Труда Г.  Д.  Красинский обратил внимание Совещания на значительность предъявляемых промышленностью денежных  требований и на непосильность для казны удовлетворения таковых при  современном  общем  финансовом  положении.  С  этой  точки  зрения,  по  мнению  Г.  Д.  Красинскаго,  представлялось  бы  полезным  подвергнуть  ближайшему  выяснению  вопрос  о  том,  принимаются  ли  самими  предприятиями меры к поднятию их финансовой устойчивости и, в особенности, насколько отвечает данному моменту политика частных банков,  от направления которой весьма сильно зависит финансовое положение  промышленных предприятий. </w:t>
      </w:r>
      <w:r w:rsidRPr="002F2FDF">
        <w:rPr>
          <w:rFonts w:ascii="Times New Roman" w:hAnsi="Times New Roman" w:cs="Times New Roman"/>
          <w:color w:val="000000" w:themeColor="text1"/>
          <w:sz w:val="16"/>
          <w:szCs w:val="16"/>
        </w:rPr>
        <w:lastRenderedPageBreak/>
        <w:t xml:space="preserve">О недостаточном соответствии указанной  политики  условиям  переживаемого  времени  свидетельствуют,  между  прочим, имеющиеся сведения, согласно коим крупная доля отпускаемых  заводам казною авансов обращается на погашение долгов банкам. Казалось бы, напротив, в настоящее время банки должны усилить денежное  содействие  промышленным  предприятиям,  ибо  если  в  настоящее  время  предъявляется  требование  о  повышении  производительности  труда  к рабочим, то соответствующие требования  — в смысле необходимости  принесения  некоторых  жертв  в  интересах  государства  —  должны  быть  предъявлены и к представителям капитала. </w:t>
      </w:r>
    </w:p>
    <w:p w14:paraId="4DA8B49C"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Председательствующий  П.  И.  Пальчинский  отметил,  что  разрешаемые Особым Совещанием авансы расходуются предприятиями преимущественно на расчеты с рабочими и во всяком случае не на уплату долгов  банкам. Указав вместе с тем на некомпетентность Особого Совещания в  вопросах финансово-экономической политики, П. И. Пальчинский предложил, не входя в детальное обсуждение высказанных Г. Д.  Красинским  соображений,  обратить  внимание  Главного  Экономического  Комитета  на возникающее предположение о желательности освещения политики  банков по финансированию промышленных предприятий с точки зрения  согласованности этой политики с деятельностью в том же направлении  государственных учреждений. </w:t>
      </w:r>
    </w:p>
    <w:p w14:paraId="5C25937F"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Против  приведенного  предложения  П.  И.  Пальчинского  Г.  Д.  Красинский не встретил со своей стороны возражений. </w:t>
      </w:r>
    </w:p>
    <w:p w14:paraId="28984C46"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Член Государственного Совета В.  И.  Карпов находил, что причиной  увеличения  требований  к  казне  со  стороны  промышленности  является  рост  заработной  платы,  к  приостановлению  коего  и  должны  быть  приняты меры. Что же касается политики банков, то таковая основывается  исключительно на требованиях их уставов и на коммерческом расчете, и  о каких-либо жертвах в этой области не может быть речи. Ввиду сего и  считая, что передача возбужденного представителем Министерства Труда вопроса на усмотрение Главного Экономического Комитета являлась  бы  косвенным  свидетельством  о  согласии  Особого  Совещания  с  выраженной названным представителем мыслью,  — В.  И.  Карпов полагал соответственным ограничиться занесением заявления Г. Д.  Красинского в  журнал заседания Совещания. </w:t>
      </w:r>
    </w:p>
    <w:p w14:paraId="75B2EACD"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дальнейшем  обмене  мнениями  Совещание  постановило  довести  до сведения Главного Экономического Комитета о необходимости согласования деятельности государственных учреждений и частных банков по  финансированию промышленных предприятий и направления его в полном соответствии с интересами промышленной жизни страны. </w:t>
      </w:r>
    </w:p>
    <w:p w14:paraId="6BE69E5A"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председательствующий  П.  И.  Пальчинский  сообщил  Особому Совещанию данные о финансовом положении общества «Сормово»  и о потребных этому обществу на текущий месяц денежных средствах. </w:t>
      </w:r>
    </w:p>
    <w:p w14:paraId="0955C17C"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Вместе с тем П. И. Пальчинский указал на возникшее в его переговорах с  представителями правления общества, рабочих и заводского совещания  предположение о назначении для обеспечения спокойствия на заводах в  состав правления  — двух правительственных директоров и на заводы  —  правительственного комиссара (без распорядительных функций). </w:t>
      </w:r>
    </w:p>
    <w:p w14:paraId="39EC5CFB"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Особое  Совещание,  одобрив  в  принципе  последнее  предположение,  высказалось  за  предоставление  обществу  «Сормово»  необходимых  на  ближайшее  время  средств  в  порядке  выдачи  авансов  в  счет  причитающихся по заказам сумм. </w:t>
      </w:r>
    </w:p>
    <w:p w14:paraId="3BB7E618"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заслушании, затем, доклада представителя Центрального военно-промышленного комитета Э.  С.  Маргулиеса о современном положении  вопроса о военно-санитарных заготовках, Особое Совещание постановило: </w:t>
      </w:r>
    </w:p>
    <w:p w14:paraId="1903098D"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одобрить представленный доклад; б) запросить главного военно-санитарного  инспектора,    насколько    целесообразно     расположение  </w:t>
      </w:r>
    </w:p>
    <w:p w14:paraId="2492301B"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аптечных складов на Северном и Кавказском фронтах, и в случае необходимости принять меры к лучшему обеспечению срочности медицинского  снабжения и в) поручить комиссии при Особом Совещании по пересмотру норм санитарного снабжения армии, по соглашению с комитетом санитарного снабжения, периодически осведомлять Особое Совещание о  ходе снабжения и подтвердить, что в круг обязанностей комиссии входят  функции наблюдательной комиссии в сфере санитарного снабжения. </w:t>
      </w:r>
    </w:p>
    <w:p w14:paraId="174C3309"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Далее, Совещание рассмотрело и одобрило доклад подготовительной  комиссии  по  общим  вопросам  об  отпуске  Нижегородской  губернской  земской управе на продолжение работ по получению метилового спирта  и формалина двухсот тысяч (200 000) руб лей в виде аванса на условиях,  изложенных в докладе, — с тем чтобы разрешение вопроса об отпуске названной управе оборотных средств было передано на рассмотрение центрального врачебно-санитарного совета. </w:t>
      </w:r>
    </w:p>
    <w:p w14:paraId="614E8EB9"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После  сего  Особым  Совещанием  было  заслушано  сообщение  председательствующего   П.   И.   Пальчинского   относительно   предстоящего  увольнения из армии солдат старших возрастов. </w:t>
      </w:r>
    </w:p>
    <w:p w14:paraId="1DC640BA"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поводу означенной меры П.  И.  Пальчинский указал, что таковая  предпринимается в целях сокращения тыловых частей армии и облегчения довольствия последней, а также в видах освобождения недостававших стране до сего времени рабочих рук. В  результате увольнения намеченных контингентов ожидается освобождение от военной службы от  700 000 до 800 000 человек. Предварительно осуществления демобилизации столь значительного числа солдат следует озаботиться подготовкою  тыла  к  принятию  и  распределению  увольняемых  из  армии.  Особенно  серьезным является вопрос о распределении новой рабочей силы — ввиду наблюдаемого в настоящий момент избытка рабочих рук, обусловленного закрытием ряда заводов, падением производительности заводского  труда и окончанием сельскохозяйственных работ. Кроме того, подлежит  выяснению  и  самый  порядок  возвращения  солдат  в  тыл.  Для  рассмотрения всех этих вопросов и выработки соответствующих мероприятий  представляется необходимым теперь же образовать специальную междуведомственную комиссию при Особом Совещании или при Министерстве Труда. </w:t>
      </w:r>
    </w:p>
    <w:p w14:paraId="59ADDA2A"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Представитель Министерства Труда А.  Б.  Ельяшевич, соглашаясь с  мнением  П.  И.  Пальчинского  о  необходимости  учреждения  вышеозначенной комиссии и имея в виду, что связанные с предполагаемым увольнением солдат вопросы касаются прежде всего рынка труда,  — находил  предпочтительным  организовать  настоящую  комиссию  при  Министерстве Труда. </w:t>
      </w:r>
    </w:p>
    <w:p w14:paraId="7D9758BE"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Обменявшись мнениями по данному предмету, Совещание постановило  просить  Министерство  Труда  об  образовании  комиссии  из  представителей заинтересованных ведомств для выработки: а) желательного  порядка осуществления проектируемого увольнения солдат, б) условий  целесообразного  распределения  и  принятия  солдат  в  тылу  и  в)  способов использования их в качестве рабочей силы. Вместе с тем Совещание  высказало пожелание, чтобы в качестве представителей от Особого Совещания в состав упомянутой комиссии вошли: генерал от инфантерии  А.  А.  Поливанов,  генерал-лейтенант  А.  Ф.  Бринк  и  заведующий  делопроизводством комиссии при Особом Совещании по рабочему вопросу  Б. Ф. Лебедев. </w:t>
      </w:r>
    </w:p>
    <w:p w14:paraId="323468E9"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Совещанием были заслушаны и одобрены доклады подготовительной  </w:t>
      </w:r>
    </w:p>
    <w:p w14:paraId="1FA97E1A"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комиссии  по  артиллерийским  вопросам:  1)  о  выдаче  правительственному  правлению  акционерного  общества  Северо-Западных  металлургических, механических и судостроительных заводов (б. Бекер  и Ко) ссуды в размере 5  000  000 руб лей, на изложенных в докладе основаниях, 2) о мероприятиях для поддержания деятельности Русского акционерного общества соединенных механических заводов и 3) об отказе  в предоставлении железнодорожным мастерским дальнейших заказов на  48”’ бомбы. </w:t>
      </w:r>
    </w:p>
    <w:p w14:paraId="44575B8D"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Далее Особое Совещание, заслушав ходатайство правительственного  правления  Невского  судостроительного  и  механического  завода  о  выдаче  ссуды  на  оборотные  средства,  постановило  отпустить  правительственному правлению названного завода краткосрочную ссуду в размере  1 500 000 руб лей в качестве оборотных средств на покрытие неотложных  расходов. </w:t>
      </w:r>
    </w:p>
    <w:p w14:paraId="665FFB39"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заключение  Совещанием  был  рассмотрен  и  одобрен  доклад  подготовительной комиссии </w:t>
      </w:r>
      <w:r w:rsidRPr="002F2FDF">
        <w:rPr>
          <w:rFonts w:ascii="Times New Roman" w:hAnsi="Times New Roman" w:cs="Times New Roman"/>
          <w:color w:val="000000" w:themeColor="text1"/>
          <w:sz w:val="16"/>
          <w:szCs w:val="16"/>
          <w:highlight w:val="yellow"/>
        </w:rPr>
        <w:t>по авиационным вопросам</w:t>
      </w:r>
      <w:r w:rsidRPr="002F2FDF">
        <w:rPr>
          <w:rFonts w:ascii="Times New Roman" w:hAnsi="Times New Roman" w:cs="Times New Roman"/>
          <w:color w:val="000000" w:themeColor="text1"/>
          <w:sz w:val="16"/>
          <w:szCs w:val="16"/>
        </w:rPr>
        <w:t xml:space="preserve"> о выдаче акционерному обществу «Дукс» ссуды без обеспечения в сумме двух миллионов  семисот пятидесяти восьми тысяч (2  758  000) руб лей, на изложенных в  докладе основаниях. </w:t>
      </w:r>
    </w:p>
    <w:p w14:paraId="0B35B318"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26245D16"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По  докладу  председателя  заводского  совещания  Петроградского  района  о  приостановке  деятельности  Глухоозерского  цементного  завода: поручить Петроградскому заводскому совещанию выяснить вопрос о  сбыте заготовленного на заводе цемента. </w:t>
      </w:r>
    </w:p>
    <w:p w14:paraId="5C13E5C3"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Для ускорения выдачи предприятиям денежных сумм в связи с повышением себестоимости изделий признать желательным: </w:t>
      </w:r>
    </w:p>
    <w:p w14:paraId="026262B4"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чтобы подготовительные комиссии при рассмотрении ходатайств  о выдаче денежных средств в счет повышения цен на заказы устанавливали минимальные размеры новых цен, в пределах которых и исчисляли  возможные  выдачи  в  виде  беспроцентных  ссуд  или  авансов  впредь  до  установления окончательных цен; </w:t>
      </w:r>
    </w:p>
    <w:p w14:paraId="13714658"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чтобы комиссиями по пересмотру контрактных цен были приняты меры к скорейшему выяснению основных цен на изделия, имеющие  </w:t>
      </w:r>
    </w:p>
    <w:p w14:paraId="7BA46539"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крупное значение и касающиеся наибольшего числа контрактов. </w:t>
      </w:r>
    </w:p>
    <w:p w14:paraId="6CCC48F2"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При выдаче предприятиям сумм в связи с увеличением контрактных  цен принять за правило: </w:t>
      </w:r>
    </w:p>
    <w:p w14:paraId="741754E3"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в случае состоявшегося установления новых цен — выдавать в пределах увеличения контрактных платежей авансы и </w:t>
      </w:r>
    </w:p>
    <w:p w14:paraId="3E2074BD"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при не состоявшемся еще установлении означенных цен выдавать  денежные средства в признанных необходимыми размерах, но в виде беспроцентной ссуды, с тем чтобы после установления размера новых цен  соответствующая часть этой ссуды была перечислена в аванс, а остальная  часть превращена в процентную ссуду, с начислением % % со дня выдачи  денежных средств. </w:t>
      </w:r>
    </w:p>
    <w:p w14:paraId="7E2B3C44"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Предложить комиссии при Особом Совещании по руководству делом  пересмотра  контрактных  цен  представить  доклад  о  ходе  работ  ведомственных комиссий и о мерах, могущих упростить и ускорить пересмотр контрактов. </w:t>
      </w:r>
    </w:p>
    <w:p w14:paraId="5BB3F317"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3) Довести до сведения главного Экономического комитета о необходимости согласования деятельности Государственного и частных банков  по  финансированию  предприятий  и  направления  ее  в  полном  соответствии с интересами промышленной жизни страны. </w:t>
      </w:r>
    </w:p>
    <w:p w14:paraId="218192E6"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4) По докладу представителя Центрального военно-промышленного  комитета Э. С. Маргулиеса о современном положении вопроса о военно-санитарных заготовках: </w:t>
      </w:r>
    </w:p>
    <w:p w14:paraId="02ED375B"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одобрить представленный доклад; </w:t>
      </w:r>
    </w:p>
    <w:p w14:paraId="61716191"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б) запросить главного военно-санитарного инспектора, насколько целесообразно расположение аптечных складов на Северном и Кавказском  фронтах, и в случае необходимости принять меры к лучшему обеспечению срочности медицинского снабжения и     в) поручить комиссии при Особом Совещании по пересмотру норм  санитарного снабжения армии, по соглашению с комитетом санитарного  снабжения, периодически осведомлять Особое Совещание о ходе снабжения и подтвердить, что в круг обязанностей комиссии входят функции  наблюдательной комиссии в сфере санитарного снабжения. </w:t>
      </w:r>
    </w:p>
    <w:p w14:paraId="55B8EAC4"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5)  Утвердить  доклад  подготовительной  комиссии  по  общим  вопросам  об  отпуске  Нижегородской  губернской  земской  управе  на  продолжение работ по получению метилового спирта и формалина двухсот тысяч (200  000) рублей в виде аванса на условиях, изложенных в докладе,  с  тем  чтобы  разрешение  вопроса  об  отпуске  названной  управе  оборотных  средств  было  передано  на  рассмотрение  центрального  врачебно-санитарного совета. </w:t>
      </w:r>
    </w:p>
    <w:p w14:paraId="3213520C"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6)  Ввиду  предстоящего  увольнения  из  армии  солдат  старших  возрастов просить Министерство Труда об образовании комиссии из представителей заинтересованных ведомств для выработки: а) желательного  порядка осуществления этой меры, б) условий целесообразного распределения  и  принятия  солдат  в  тылу  и  в)  способов  использования  их  в  качестве рабочей силы. Назначить в состав этой комиссии представителями от Особого Совещания генерала от инфантерии А. А.  Поливанова,  генерал-лейтенанта А. Ф. Бринка и заведующего делопроизводством комиссии при Особом Совещании по рабочему вопросу Б. Ф. Лебедева. </w:t>
      </w:r>
    </w:p>
    <w:p w14:paraId="2A3F5EF7"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7) Утвердить доклад подготовительной комиссии по артиллерийским  вопросам о выдаче обществу Северо-Западных заводов ссуды, на изложенных в докладе основаниях. </w:t>
      </w:r>
    </w:p>
    <w:p w14:paraId="5C2B03F1"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8) Утвердить доклад той же комиссии о мероприятиях для поддержания деятельности Русского акционерного общества соединенных механических заводов. </w:t>
      </w:r>
    </w:p>
    <w:p w14:paraId="79432910"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9) Утвердить доклад той же комиссии об отказе в предоставлении железнодорожным мастерским дальнейших заказов на 48”’ бомбы. </w:t>
      </w:r>
    </w:p>
    <w:p w14:paraId="208B35F6"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10)  По  ходатайству  правительственного  правления  Невского  судостроительного и механического завода о выдаче оборотных средств: отпустить правительственному правлению краткосрочную ссуду в размере  одного миллиона пятисот тысяч (1 500 000) рублей в качестве оборотных  средств на покрытие неотложных расходов. </w:t>
      </w:r>
    </w:p>
    <w:p w14:paraId="17A1EE9E"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11) Утвердить доклад подготовительной комиссии по авиационным  вопросам  о  выдаче  акционерному  обществу  «Дукс»  ссуды  без  обеспечения  в  сумме  двух  миллионов  семисот  пятидесяти  восьми  тысяч  (2 758 000) руб лей, на изложенных в докладе основаниях. </w:t>
      </w:r>
    </w:p>
    <w:p w14:paraId="3A4BEB7B"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Верно: управляющий делами генерал-лейтенант [Бибиков] (20705).</w:t>
      </w:r>
    </w:p>
    <w:p w14:paraId="0D959D7C" w14:textId="77777777" w:rsidR="000D456B" w:rsidRPr="002F2FDF" w:rsidRDefault="000D456B" w:rsidP="0083075A">
      <w:pPr>
        <w:spacing w:after="0" w:line="240" w:lineRule="auto"/>
        <w:jc w:val="both"/>
        <w:rPr>
          <w:rFonts w:ascii="Times New Roman" w:hAnsi="Times New Roman" w:cs="Times New Roman"/>
          <w:color w:val="000000" w:themeColor="text1"/>
          <w:sz w:val="16"/>
          <w:szCs w:val="16"/>
        </w:rPr>
      </w:pPr>
    </w:p>
    <w:p w14:paraId="24E27B74" w14:textId="20835F3A" w:rsidR="00494398" w:rsidRDefault="00494398"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60F357F7" w14:textId="77777777" w:rsidR="00494398" w:rsidRDefault="00494398"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2829AF5" w14:textId="61B98AA9" w:rsidR="00494398" w:rsidRPr="00FB4F67" w:rsidRDefault="00494398"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9 (</w:t>
      </w:r>
      <w:r w:rsidRPr="00FB4F67">
        <w:rPr>
          <w:rFonts w:ascii="Times New Roman" w:hAnsi="Times New Roman" w:cs="Times New Roman"/>
          <w:color w:val="0070C0"/>
          <w:sz w:val="16"/>
          <w:szCs w:val="16"/>
        </w:rPr>
        <w:t>22</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сентября 1917 г. вблизи Сарош (на Трембовальском направлении) наш летчик, преследуя неприятельский летательный аппарат, вступил с ним в бой. После ряда стремительных атак русского авиатора противник получил серьезные повреждения своей машины и принужден был круто снизиться. В тот же день другой русский пилот вступил в бой с истребителем противника. «Произошла краткая, но ожесточенная воздушная схватка, во время которой нашему летчику удалось сбить неприятельский аэроплан. Аппарат противника спустился у наших окопов, причем один из неприятельских летчиков был убит, а другому удалось скрыться. Аппарат вывезен в наш тыл и по исправлении будет годен для полетов».</w:t>
      </w:r>
    </w:p>
    <w:p w14:paraId="177FAF5A" w14:textId="77777777" w:rsidR="00494398" w:rsidRPr="00FB4F67" w:rsidRDefault="00494398" w:rsidP="0083075A">
      <w:pPr>
        <w:spacing w:after="0" w:line="240" w:lineRule="auto"/>
        <w:jc w:val="both"/>
        <w:rPr>
          <w:rFonts w:ascii="Times New Roman" w:hAnsi="Times New Roman" w:cs="Times New Roman"/>
          <w:color w:val="0070C0"/>
          <w:sz w:val="16"/>
          <w:szCs w:val="16"/>
        </w:rPr>
      </w:pPr>
      <w:bookmarkStart w:id="300" w:name="bookmark937"/>
      <w:r w:rsidRPr="00FB4F67">
        <w:rPr>
          <w:rFonts w:ascii="Times New Roman" w:hAnsi="Times New Roman" w:cs="Times New Roman"/>
          <w:color w:val="0070C0"/>
          <w:sz w:val="16"/>
          <w:szCs w:val="16"/>
        </w:rPr>
        <w:t>Ранее военный летчик 7-го авиаотряда истребителей прапорщик В.И. Янченко во время патрулирования «в районе Сатанува был встречен самолетом противника типа „Бранденбург“, вооруженный 2- мя пулеметами, который сам перешел в атаку, проявив большое искусство. Постоянно уходя на крутой вираж, не позволял взять себя на мушку». И все же Янченко взял верх над искусным противником, и после 20-ми-нутного боя «противник снизился за линию своих окопов».</w:t>
      </w:r>
      <w:bookmarkEnd w:id="300"/>
    </w:p>
    <w:p w14:paraId="1876DD66" w14:textId="77777777" w:rsidR="00494398" w:rsidRPr="00FB4F67" w:rsidRDefault="00494398" w:rsidP="0083075A">
      <w:pPr>
        <w:spacing w:after="0" w:line="240" w:lineRule="auto"/>
        <w:jc w:val="both"/>
        <w:rPr>
          <w:rFonts w:ascii="Times New Roman" w:hAnsi="Times New Roman" w:cs="Times New Roman"/>
          <w:color w:val="0070C0"/>
          <w:sz w:val="16"/>
          <w:szCs w:val="16"/>
        </w:rPr>
      </w:pPr>
      <w:bookmarkStart w:id="301" w:name="bookmark938"/>
      <w:r w:rsidRPr="00FB4F67">
        <w:rPr>
          <w:rFonts w:ascii="Times New Roman" w:hAnsi="Times New Roman" w:cs="Times New Roman"/>
          <w:color w:val="0070C0"/>
          <w:sz w:val="16"/>
          <w:szCs w:val="16"/>
        </w:rPr>
        <w:t>В том же районе наши летчики ротмистр А.А. Козаков и старший унтер-офицер А.Д. Ширинкин атаковали четыре неприятельских самолета, один из последних был сбит летчиком Ширинкиным, аппарат которого в ходе боя оказался поврежденным. При этом ротмистр Козаков продолжал бой с тремя самолетами противника и заставил их уйти вглубь своего расположения с сильным снижением.</w:t>
      </w:r>
      <w:bookmarkEnd w:id="301"/>
    </w:p>
    <w:p w14:paraId="23185365" w14:textId="77777777" w:rsidR="00494398" w:rsidRPr="00FB4F67" w:rsidRDefault="0049439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 Барановическом направлении, к северу от железной дороги, в районе м. Полоночки самолет противника атаковал наш аэростат и сжег его горючей жидкостью. Наблюдатель сумел опуститься на парашюте.</w:t>
      </w:r>
    </w:p>
    <w:p w14:paraId="77440C26" w14:textId="77777777" w:rsidR="00494398" w:rsidRPr="00FB4F67" w:rsidRDefault="00494398" w:rsidP="0083075A">
      <w:pPr>
        <w:spacing w:after="0" w:line="240" w:lineRule="auto"/>
        <w:jc w:val="both"/>
        <w:rPr>
          <w:rFonts w:ascii="Times New Roman" w:hAnsi="Times New Roman" w:cs="Times New Roman"/>
          <w:color w:val="0070C0"/>
          <w:sz w:val="16"/>
          <w:szCs w:val="16"/>
        </w:rPr>
      </w:pPr>
      <w:bookmarkStart w:id="302" w:name="bookmark939"/>
      <w:r w:rsidRPr="00FB4F67">
        <w:rPr>
          <w:rFonts w:ascii="Times New Roman" w:hAnsi="Times New Roman" w:cs="Times New Roman"/>
          <w:color w:val="0070C0"/>
          <w:sz w:val="16"/>
          <w:szCs w:val="16"/>
        </w:rPr>
        <w:t>В районе устья р. Дунай, северо-восточнее г. Килии, был захвачен неприятельский аэроплан. Экипаж (офицер и солдат) взят в плен (23405).</w:t>
      </w:r>
      <w:bookmarkEnd w:id="302"/>
    </w:p>
    <w:p w14:paraId="0893126E" w14:textId="77777777" w:rsidR="00494398" w:rsidRPr="00FB4F67" w:rsidRDefault="00494398" w:rsidP="0083075A">
      <w:pPr>
        <w:spacing w:after="0" w:line="240" w:lineRule="auto"/>
        <w:jc w:val="both"/>
        <w:rPr>
          <w:rFonts w:ascii="Times New Roman" w:hAnsi="Times New Roman" w:cs="Times New Roman"/>
          <w:color w:val="0070C0"/>
          <w:sz w:val="16"/>
          <w:szCs w:val="16"/>
        </w:rPr>
      </w:pPr>
    </w:p>
    <w:p w14:paraId="5B369908" w14:textId="1FA6E6DC"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899B9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62A5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сентября 1917 завершилось Всероссийское демократическое совещание в Петрограде и приняли решение о формировании Предпарламента для контроля за деятельностью Временного правительства. Большевики назвали совещание комедией, но трибуну использовали вовсю (3481).</w:t>
      </w:r>
    </w:p>
    <w:p w14:paraId="0F7706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45ABCB"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сентября в 1917 году завершение Всероссийского демократического совещания в Петрограде. Принято постановление об образовании Предпарламента для контроля за деятельностью Временного правительства. Большевики назвали совещание комедией, но трибуну совещания использовали полностью. Председателем Петроградского совета избирается Л. Троцкий (14777).</w:t>
      </w:r>
    </w:p>
    <w:p w14:paraId="5FDC8720"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p>
    <w:p w14:paraId="2A38C4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сентября 1917 большевики взяли под контроль Петросовет под председательством Л.Б.Троцкого (1348,86).</w:t>
      </w:r>
    </w:p>
    <w:p w14:paraId="5ED8F4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1ED001" w14:textId="77777777" w:rsidR="00537E6E" w:rsidRPr="002F2FDF" w:rsidRDefault="00537E6E" w:rsidP="0083075A">
      <w:pPr>
        <w:pStyle w:val="ae"/>
        <w:spacing w:before="0" w:after="0"/>
        <w:jc w:val="both"/>
        <w:rPr>
          <w:color w:val="000000" w:themeColor="text1"/>
          <w:kern w:val="2"/>
          <w:sz w:val="16"/>
          <w:szCs w:val="16"/>
        </w:rPr>
      </w:pPr>
      <w:r w:rsidRPr="002F2FDF">
        <w:rPr>
          <w:color w:val="000000" w:themeColor="text1"/>
          <w:kern w:val="2"/>
          <w:sz w:val="16"/>
          <w:szCs w:val="16"/>
        </w:rPr>
        <w:t>9 (22) сентября 1917 большевики, наконец, взяли под контроль Петроградский совет — его председателем стал Лев Троцкий, недавно освобожденный из тюрьмы «Кресты». 24 сентября членами совета были избраны также Владимир Ленин и Григорий Зиновьев, скрывавшиеся от властей Временного правительства (17045).</w:t>
      </w:r>
    </w:p>
    <w:p w14:paraId="6D1E9C43" w14:textId="77777777" w:rsidR="00537E6E" w:rsidRPr="002F2FDF" w:rsidRDefault="00537E6E"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5DB7BE" w14:textId="77777777" w:rsidR="0016518E" w:rsidRPr="002F2FDF" w:rsidRDefault="0016518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сентября 1917 в знак солидарности с Корниловым министры-кадеты подают в отставку. На всех судах Балтийского флота подняты красные флаги (12629).</w:t>
      </w:r>
    </w:p>
    <w:p w14:paraId="085EC22D" w14:textId="77777777" w:rsidR="0016518E" w:rsidRPr="002F2FDF" w:rsidRDefault="0016518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4BFD2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C3AD1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8209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сентября 1917 в проливе Ла-Манш уничтожена атакой с гидросамолета четвертая германская подводная лодка UB-72 (11999).</w:t>
      </w:r>
    </w:p>
    <w:p w14:paraId="72AB0D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ADFC50" w14:textId="77777777" w:rsidR="00E21C6B" w:rsidRPr="002F2FDF" w:rsidRDefault="00E21C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9 (22) сентября 1917 летающая лодка Curtiss H-12 Королевской морской авиации, пилотируемая суб-лейтенантом Н. Магором, топит немецкую подводную лодку UB-32 в Северном море. Это единственный подтвержденный случай, когда британский самолет потопил немецкую подводную лодку без помощи надводных кораблей во время Первой мировой войны (20341).</w:t>
      </w:r>
    </w:p>
    <w:p w14:paraId="1EB5515F" w14:textId="77777777" w:rsidR="00E21C6B" w:rsidRPr="002F2FDF" w:rsidRDefault="00E21C6B" w:rsidP="0083075A">
      <w:pPr>
        <w:spacing w:after="0" w:line="240" w:lineRule="auto"/>
        <w:jc w:val="both"/>
        <w:rPr>
          <w:rFonts w:ascii="Times New Roman" w:hAnsi="Times New Roman" w:cs="Times New Roman"/>
          <w:color w:val="000000" w:themeColor="text1"/>
          <w:sz w:val="16"/>
          <w:szCs w:val="16"/>
        </w:rPr>
      </w:pPr>
    </w:p>
    <w:p w14:paraId="2734113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3849A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36A3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сентября 1917 во время второго за день вылета Казакова, произошел бой. Группу из 4 истребителей про</w:t>
      </w:r>
      <w:r w:rsidRPr="002F2FDF">
        <w:rPr>
          <w:rFonts w:ascii="Times New Roman" w:hAnsi="Times New Roman" w:cs="Times New Roman"/>
          <w:color w:val="000000" w:themeColor="text1"/>
          <w:kern w:val="2"/>
          <w:sz w:val="16"/>
          <w:szCs w:val="16"/>
        </w:rPr>
        <w:softHyphen/>
        <w:t>тивника первым атаковал “...Ньюпор с черным рулем, как потом выяснилось летчик 7 авиаотряда истребителей охотник Ширинкин, беззаветно, хра</w:t>
      </w:r>
      <w:r w:rsidRPr="002F2FDF">
        <w:rPr>
          <w:rFonts w:ascii="Times New Roman" w:hAnsi="Times New Roman" w:cs="Times New Roman"/>
          <w:color w:val="000000" w:themeColor="text1"/>
          <w:kern w:val="2"/>
          <w:sz w:val="16"/>
          <w:szCs w:val="16"/>
        </w:rPr>
        <w:softHyphen/>
        <w:t>бро и рискованно бросился в самую середину неприятельских истребите</w:t>
      </w:r>
      <w:r w:rsidRPr="002F2FDF">
        <w:rPr>
          <w:rFonts w:ascii="Times New Roman" w:hAnsi="Times New Roman" w:cs="Times New Roman"/>
          <w:color w:val="000000" w:themeColor="text1"/>
          <w:kern w:val="2"/>
          <w:sz w:val="16"/>
          <w:szCs w:val="16"/>
        </w:rPr>
        <w:softHyphen/>
        <w:t>лей и атаковал одного из них...”. Про</w:t>
      </w:r>
      <w:r w:rsidRPr="002F2FDF">
        <w:rPr>
          <w:rFonts w:ascii="Times New Roman" w:hAnsi="Times New Roman" w:cs="Times New Roman"/>
          <w:color w:val="000000" w:themeColor="text1"/>
          <w:kern w:val="2"/>
          <w:sz w:val="16"/>
          <w:szCs w:val="16"/>
        </w:rPr>
        <w:softHyphen/>
        <w:t>тивник был сбит и упал в районе де</w:t>
      </w:r>
      <w:r w:rsidRPr="002F2FDF">
        <w:rPr>
          <w:rFonts w:ascii="Times New Roman" w:hAnsi="Times New Roman" w:cs="Times New Roman"/>
          <w:color w:val="000000" w:themeColor="text1"/>
          <w:kern w:val="2"/>
          <w:sz w:val="16"/>
          <w:szCs w:val="16"/>
        </w:rPr>
        <w:softHyphen/>
        <w:t>ревни Шидловцы. Ширинкин, чей са</w:t>
      </w:r>
      <w:r w:rsidRPr="002F2FDF">
        <w:rPr>
          <w:rFonts w:ascii="Times New Roman" w:hAnsi="Times New Roman" w:cs="Times New Roman"/>
          <w:color w:val="000000" w:themeColor="text1"/>
          <w:kern w:val="2"/>
          <w:sz w:val="16"/>
          <w:szCs w:val="16"/>
        </w:rPr>
        <w:softHyphen/>
        <w:t>молет также получил повреждения, штопором вышел из боя, и Казакову пришлось в одиночку драться с тремя самолетами. Своими атаками он за</w:t>
      </w:r>
      <w:r w:rsidRPr="002F2FDF">
        <w:rPr>
          <w:rFonts w:ascii="Times New Roman" w:hAnsi="Times New Roman" w:cs="Times New Roman"/>
          <w:color w:val="000000" w:themeColor="text1"/>
          <w:kern w:val="2"/>
          <w:sz w:val="16"/>
          <w:szCs w:val="16"/>
        </w:rPr>
        <w:softHyphen/>
        <w:t>ставил их снизиться и уйти в свое рас</w:t>
      </w:r>
      <w:r w:rsidRPr="002F2FDF">
        <w:rPr>
          <w:rFonts w:ascii="Times New Roman" w:hAnsi="Times New Roman" w:cs="Times New Roman"/>
          <w:color w:val="000000" w:themeColor="text1"/>
          <w:kern w:val="2"/>
          <w:sz w:val="16"/>
          <w:szCs w:val="16"/>
        </w:rPr>
        <w:softHyphen/>
        <w:t>положение (3954).</w:t>
      </w:r>
    </w:p>
    <w:p w14:paraId="08227F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8B17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сентября 1917 л 1-й иаг ротмистр А.А.Казаков и ст. унтер-офицер А.Д.Ширинкин атаковали в районе Гусятина 4 самолета. Ширинкин сбил одного, но сам был подбит. Казаков продолжил бой и отогнал (438,372).</w:t>
      </w:r>
    </w:p>
    <w:p w14:paraId="291DF3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0A239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bookmarkStart w:id="303" w:name="_Hlk119489154"/>
      <w:r w:rsidRPr="002F2FDF">
        <w:rPr>
          <w:rFonts w:ascii="Times New Roman" w:hAnsi="Times New Roman" w:cs="Times New Roman"/>
          <w:color w:val="000000" w:themeColor="text1"/>
          <w:kern w:val="2"/>
          <w:sz w:val="16"/>
          <w:szCs w:val="16"/>
        </w:rPr>
        <w:t>10 (23) сентября 1917 летчики 1-й истребительной авиагруппы рот</w:t>
      </w:r>
      <w:r w:rsidRPr="002F2FDF">
        <w:rPr>
          <w:rFonts w:ascii="Times New Roman" w:hAnsi="Times New Roman" w:cs="Times New Roman"/>
          <w:color w:val="000000" w:themeColor="text1"/>
          <w:kern w:val="2"/>
          <w:sz w:val="16"/>
          <w:szCs w:val="16"/>
        </w:rPr>
        <w:softHyphen/>
        <w:t>мистр А.А.Козаков и старший унтер-офицер Алексей Дмитриевич Ширинкин атаковали в районе Гусятина четыре неприятельских самолета. В воздушном бою Ширинкин сбил одного противника, но и сем был подбит. Остовшись один, Козаков продолжал вести бой и обратил противника в бегство. До этого Козаков сбил офи</w:t>
      </w:r>
      <w:r w:rsidRPr="002F2FDF">
        <w:rPr>
          <w:rFonts w:ascii="Times New Roman" w:hAnsi="Times New Roman" w:cs="Times New Roman"/>
          <w:color w:val="000000" w:themeColor="text1"/>
          <w:kern w:val="2"/>
          <w:sz w:val="16"/>
          <w:szCs w:val="16"/>
        </w:rPr>
        <w:softHyphen/>
        <w:t>циально 17 самолетов противника - наибольшее количество из всех летчиков на русском фронте. (Сообщение штаба ВГК от 13 сентбяря 1917 г. № 1220).</w:t>
      </w:r>
    </w:p>
    <w:p w14:paraId="0905027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bookmarkEnd w:id="303"/>
    <w:p w14:paraId="170DE267" w14:textId="77777777" w:rsidR="00BB359D" w:rsidRPr="00921211" w:rsidRDefault="00BB359D"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921211">
        <w:rPr>
          <w:rFonts w:ascii="Times New Roman" w:hAnsi="Times New Roman" w:cs="Times New Roman"/>
          <w:color w:val="0070C0"/>
          <w:kern w:val="2"/>
          <w:sz w:val="16"/>
          <w:szCs w:val="16"/>
        </w:rPr>
        <w:t>10 (23) сентября 1917 г. летчики 1-й истребительной авиагруппы рот</w:t>
      </w:r>
      <w:r w:rsidRPr="00921211">
        <w:rPr>
          <w:rFonts w:ascii="Times New Roman" w:hAnsi="Times New Roman" w:cs="Times New Roman"/>
          <w:color w:val="0070C0"/>
          <w:kern w:val="2"/>
          <w:sz w:val="16"/>
          <w:szCs w:val="16"/>
        </w:rPr>
        <w:softHyphen/>
        <w:t>мистр А.А.Козаков и старший унтер-офицер Алексей Дмитриевич Ширинкин атаковали в районе Гусятина четыре неприятельских самолета. В воздушном бою Ширинкин сбил одного противника, но и сам был подбит. Оставшись один, Козаков продолжал вести бой и обратил противника в бегство. До этого Козаков сбил офи</w:t>
      </w:r>
      <w:r w:rsidRPr="00921211">
        <w:rPr>
          <w:rFonts w:ascii="Times New Roman" w:hAnsi="Times New Roman" w:cs="Times New Roman"/>
          <w:color w:val="0070C0"/>
          <w:kern w:val="2"/>
          <w:sz w:val="16"/>
          <w:szCs w:val="16"/>
        </w:rPr>
        <w:softHyphen/>
        <w:t>циально 17 самолетов противника - наибольшее количество из всех летчиков на русском фронте.</w:t>
      </w:r>
    </w:p>
    <w:p w14:paraId="0AB35879" w14:textId="77777777" w:rsidR="00BB359D" w:rsidRPr="00921211" w:rsidRDefault="00BB359D"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921211">
        <w:rPr>
          <w:rFonts w:ascii="Times New Roman" w:hAnsi="Times New Roman" w:cs="Times New Roman"/>
          <w:color w:val="0070C0"/>
          <w:kern w:val="2"/>
          <w:sz w:val="16"/>
          <w:szCs w:val="16"/>
        </w:rPr>
        <w:t>/Сообщение штаба ВГК от 13 сентября 1917 г. № 1220/ (23320).</w:t>
      </w:r>
    </w:p>
    <w:p w14:paraId="1D55BF46" w14:textId="77777777" w:rsidR="00BB359D" w:rsidRPr="00921211" w:rsidRDefault="00BB359D"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p>
    <w:p w14:paraId="203BA31C" w14:textId="77777777" w:rsidR="0069777D" w:rsidRPr="002F2FDF" w:rsidRDefault="0069777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10 (23) сентября 1917 пара истребителей из 1-й Боевой авиагруппы и 7-го истребительного авиаотряда атаковала в районе Гусятина четверку немецких аэропланов. Этот бой знаменателен тем, что в нем плечом к плечу сражались подполковник А.А. Козаков – один из будущих лидеров белой авиации и старший унтер-офицер А.Д. </w:t>
      </w:r>
      <w:r w:rsidRPr="002F2FDF">
        <w:rPr>
          <w:rFonts w:ascii="Times New Roman" w:hAnsi="Times New Roman" w:cs="Times New Roman"/>
          <w:color w:val="000000" w:themeColor="text1"/>
          <w:sz w:val="16"/>
          <w:szCs w:val="16"/>
        </w:rPr>
        <w:lastRenderedPageBreak/>
        <w:t>Ширинкин, в будущем лучший летчик-истребитель Красного Воздушного Флота. Ширинкин подбил германский самолет, но и сам попал под огонь воздушного стрелка с другой вражеской машины. Козаков прикрыл вынужденную посадку товарища, а затем в одиночку продолжил бой, вынудив противника уйти на свою территорию (18562).</w:t>
      </w:r>
    </w:p>
    <w:p w14:paraId="2AED3EE4" w14:textId="77777777" w:rsidR="0069777D" w:rsidRPr="002F2FDF" w:rsidRDefault="0069777D" w:rsidP="0083075A">
      <w:pPr>
        <w:spacing w:after="0" w:line="240" w:lineRule="auto"/>
        <w:jc w:val="both"/>
        <w:rPr>
          <w:rFonts w:ascii="Times New Roman" w:hAnsi="Times New Roman" w:cs="Times New Roman"/>
          <w:color w:val="000000" w:themeColor="text1"/>
          <w:sz w:val="16"/>
          <w:szCs w:val="16"/>
        </w:rPr>
      </w:pPr>
    </w:p>
    <w:p w14:paraId="6A9282DF" w14:textId="77777777" w:rsidR="003431D2" w:rsidRPr="002F2FDF" w:rsidRDefault="00CC1BE3"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11B3A13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3DA7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 (23) сентября 1917 г. после долгих переговоров и сношений с Лондоном и Петроградом был, наконец, подписан новый договор с фирмой Ремингтон, заменяющий предшествующие контракты. Основные положения нового договора сводились к следующему. </w:t>
      </w:r>
    </w:p>
    <w:p w14:paraId="5F4FF3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 Заказ 1 500 000 ружей сокращается до 1 млн. </w:t>
      </w:r>
    </w:p>
    <w:p w14:paraId="194AD2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 Организуется общество Новый Ремингтон, в котором половина акций принадлежит старому Ремингтону, другая — русскому правительству. </w:t>
      </w:r>
    </w:p>
    <w:p w14:paraId="668ABB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 Русское правительство вносит за акции 6 млн долларов, которые составляют половину капитала, затраченного фирмой в дело с начала работы по день нового контракта. </w:t>
      </w:r>
    </w:p>
    <w:p w14:paraId="733672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 Старый Ремингтон уступает Новому 0,68 доли участия в недвижимом имуществе, заводе и инвентаре, что отвечает потребности ружейного контракта. Часть имущества по особой описи вполне отчуждается Новому Ремингтону. </w:t>
      </w:r>
    </w:p>
    <w:p w14:paraId="0AE212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5) Новый Ремингтон управляется директоратом из шести директоров — три от Ремингтона и три от Русского заготовительного комитета. </w:t>
      </w:r>
    </w:p>
    <w:p w14:paraId="1DE9E6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Цена винтовки 30 долларов.</w:t>
      </w:r>
    </w:p>
    <w:p w14:paraId="314F80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7) По окончании договора Россия приобретает от Нового Ремингтона машины, инструмент и пр. оборудование для оружейного дела. </w:t>
      </w:r>
    </w:p>
    <w:p w14:paraId="520A53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Указанное соглашение было принято Заготовительным комитетом под давлением обстоятельств, так как иного выхода не было: ружья были до зарезу нужны, а крах фирмы во всех отношениях для России был неприемлем. </w:t>
      </w:r>
    </w:p>
    <w:p w14:paraId="712BD6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Таким образом, с подписанием нового контракта производство стало быстро прогрессировать, в то время как в период переговоров и неопределенности оно значительно упало. С мая по сентябрь 1917 г. завод выпускал примерно по 30 000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80"/>
        <w:gridCol w:w="816"/>
      </w:tblGrid>
      <w:tr w:rsidR="002B1C74" w:rsidRPr="002F2FDF" w14:paraId="66CC61F6" w14:textId="77777777">
        <w:tc>
          <w:tcPr>
            <w:tcW w:w="1680" w:type="dxa"/>
            <w:tcBorders>
              <w:top w:val="single" w:sz="12" w:space="0" w:color="auto"/>
            </w:tcBorders>
          </w:tcPr>
          <w:p w14:paraId="39C043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г.</w:t>
            </w:r>
          </w:p>
        </w:tc>
        <w:tc>
          <w:tcPr>
            <w:tcW w:w="816" w:type="dxa"/>
            <w:tcBorders>
              <w:top w:val="single" w:sz="12" w:space="0" w:color="auto"/>
            </w:tcBorders>
          </w:tcPr>
          <w:p w14:paraId="1FE9C8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52 000 </w:t>
            </w:r>
          </w:p>
        </w:tc>
      </w:tr>
      <w:tr w:rsidR="002B1C74" w:rsidRPr="002F2FDF" w14:paraId="3BCED8C8" w14:textId="77777777">
        <w:tc>
          <w:tcPr>
            <w:tcW w:w="1680" w:type="dxa"/>
          </w:tcPr>
          <w:p w14:paraId="49D70E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w:t>
            </w:r>
          </w:p>
        </w:tc>
        <w:tc>
          <w:tcPr>
            <w:tcW w:w="816" w:type="dxa"/>
          </w:tcPr>
          <w:p w14:paraId="5A5CF9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70 000 </w:t>
            </w:r>
          </w:p>
        </w:tc>
      </w:tr>
      <w:tr w:rsidR="002B1C74" w:rsidRPr="002F2FDF" w14:paraId="23217AF4" w14:textId="77777777">
        <w:tc>
          <w:tcPr>
            <w:tcW w:w="1680" w:type="dxa"/>
          </w:tcPr>
          <w:p w14:paraId="095F50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w:t>
            </w:r>
          </w:p>
        </w:tc>
        <w:tc>
          <w:tcPr>
            <w:tcW w:w="816" w:type="dxa"/>
          </w:tcPr>
          <w:p w14:paraId="289CD1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108 000 </w:t>
            </w:r>
          </w:p>
        </w:tc>
      </w:tr>
      <w:tr w:rsidR="002B1C74" w:rsidRPr="002F2FDF" w14:paraId="3E29D630" w14:textId="77777777">
        <w:tc>
          <w:tcPr>
            <w:tcW w:w="1680" w:type="dxa"/>
            <w:tcBorders>
              <w:bottom w:val="single" w:sz="12" w:space="0" w:color="auto"/>
            </w:tcBorders>
          </w:tcPr>
          <w:p w14:paraId="5676A8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декабре</w:t>
            </w:r>
          </w:p>
        </w:tc>
        <w:tc>
          <w:tcPr>
            <w:tcW w:w="816" w:type="dxa"/>
            <w:tcBorders>
              <w:bottom w:val="single" w:sz="12" w:space="0" w:color="auto"/>
            </w:tcBorders>
          </w:tcPr>
          <w:p w14:paraId="211BAF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107 000 </w:t>
            </w:r>
          </w:p>
        </w:tc>
      </w:tr>
    </w:tbl>
    <w:p w14:paraId="660ACA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 </w:t>
      </w:r>
    </w:p>
    <w:p w14:paraId="4714D7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 </w:t>
      </w:r>
    </w:p>
    <w:p w14:paraId="05A5B0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406A36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E0D43D" w14:textId="77777777" w:rsidR="009F168F" w:rsidRPr="002F2FDF" w:rsidRDefault="009F168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63AF39D" w14:textId="77777777" w:rsidR="009F168F" w:rsidRPr="002F2FDF" w:rsidRDefault="009F168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4DC317" w14:textId="77777777" w:rsidR="009F168F" w:rsidRPr="002F2FDF" w:rsidRDefault="009F168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10 (23) 23 сентября 1917 во время эпического 10-минутного воздушного боя против шести самолетов SE.5 из 56-й эскадрильи Royal Flying Corps немецкий ас Вернер Фосс на триплане Fokker Dr.I сбит и погиб, сраженный британским асом Артуром Рисом. Давидс к северу от Фрезенберга, Бельгия . На момент смерти Фосс одержал 48 побед и в то время занимал второе место среди немецких асов после Манфреда фон Рихтгофена; Восс будет четвертым по результативности немецким асом Первой мировой войны (20341).</w:t>
      </w:r>
    </w:p>
    <w:p w14:paraId="7142443C" w14:textId="77777777" w:rsidR="009F168F" w:rsidRPr="002F2FDF" w:rsidRDefault="009F168F" w:rsidP="0083075A">
      <w:pPr>
        <w:spacing w:after="0" w:line="240" w:lineRule="auto"/>
        <w:jc w:val="both"/>
        <w:rPr>
          <w:rFonts w:ascii="Times New Roman" w:hAnsi="Times New Roman" w:cs="Times New Roman"/>
          <w:color w:val="000000" w:themeColor="text1"/>
          <w:sz w:val="16"/>
          <w:szCs w:val="16"/>
        </w:rPr>
      </w:pPr>
    </w:p>
    <w:p w14:paraId="1640ADCE" w14:textId="77777777" w:rsidR="009F168F" w:rsidRPr="002F2FDF" w:rsidRDefault="009F168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10 (23) сентября 1917 г. командование американской армии приняло решение о формировании танкового корпуса, боевое ядро которого должны были составить 5 тяжелых и 20 легких батальонов (22846).</w:t>
      </w:r>
    </w:p>
    <w:p w14:paraId="4A5882FD" w14:textId="77777777" w:rsidR="009F168F" w:rsidRPr="002F2FDF" w:rsidRDefault="009F168F" w:rsidP="0083075A">
      <w:pPr>
        <w:spacing w:after="0" w:line="240" w:lineRule="auto"/>
        <w:jc w:val="both"/>
        <w:rPr>
          <w:rFonts w:ascii="Times New Roman" w:hAnsi="Times New Roman" w:cs="Times New Roman"/>
          <w:color w:val="000000" w:themeColor="text1"/>
          <w:sz w:val="16"/>
          <w:szCs w:val="16"/>
        </w:rPr>
      </w:pPr>
    </w:p>
    <w:p w14:paraId="45AFDD6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6CDEC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0123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11 по 17 (24-30) сентября 1917 и 11 - 27 октября (24 октября - 10 ноября) 1917 прошли две серии экспериментов, когда М-5 летал с Рон 125 нр с карбюратором Блок-Тип и винтом системы Григорашвили (2808,25).</w:t>
      </w:r>
    </w:p>
    <w:p w14:paraId="37B8C8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F51BD5" w14:textId="77777777" w:rsidR="001A1F94"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44398A54" w14:textId="77777777" w:rsidR="001A1F94" w:rsidRPr="002F2FDF" w:rsidRDefault="001A1F9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7C8B16"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сентября 1917 Справка уполномоченного по снабжению металлами на Юге России полк. А. В. Панкина о сокращении производительности металлургических заводов вследствие недостаточного снабжения сырьем и топливом.</w:t>
      </w:r>
    </w:p>
    <w:p w14:paraId="3AF0AB47"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129-130</w:t>
      </w:r>
    </w:p>
    <w:p w14:paraId="3DE78601"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ЦГАОР, ф. 472, оп. 1, д. 18, л. 130. Подлинник.</w:t>
      </w:r>
    </w:p>
    <w:p w14:paraId="760CAB94"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последнее время замечается понижение выплавкн чугуна и вследствие этого сильное сокращение производства прокатных изделий, что обусловливается недостаточным снабжением заводов сырьем и топливом.</w:t>
      </w:r>
    </w:p>
    <w:p w14:paraId="5F1F3716"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текущий месяц назначено Монотопом (Харьков) топлива для металлургических заводов лишь 45% их потребности. Согласно заявлениям</w:t>
      </w:r>
    </w:p>
    <w:p w14:paraId="4B913D9A"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заводов, в рабочих потребность невелика, вследствие чего рассчитывать на размещение безработных рабочих петроградских заводов в большом количестве на металлургических заводах не приходится. В настоящее время заявлена потребность на количество 500 чел.</w:t>
      </w:r>
    </w:p>
    <w:p w14:paraId="1DF52B64"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Уполномоченный гвардии полковник Панкин.</w:t>
      </w:r>
    </w:p>
    <w:p w14:paraId="618E6B20"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Вр. и. о. зав. Статистическим отделом Б. Хоминский.</w:t>
      </w:r>
    </w:p>
    <w:p w14:paraId="2FB095A0"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Делопроизводитель Ар. Линевский (15679).</w:t>
      </w:r>
    </w:p>
    <w:p w14:paraId="2468DD4A" w14:textId="77777777" w:rsidR="001A1F94" w:rsidRPr="002F2FDF" w:rsidRDefault="001A1F94" w:rsidP="0083075A">
      <w:pPr>
        <w:spacing w:after="0" w:line="240" w:lineRule="auto"/>
        <w:jc w:val="both"/>
        <w:rPr>
          <w:rFonts w:ascii="Times New Roman" w:hAnsi="Times New Roman" w:cs="Times New Roman"/>
          <w:color w:val="000000" w:themeColor="text1"/>
          <w:kern w:val="2"/>
          <w:sz w:val="16"/>
          <w:szCs w:val="16"/>
        </w:rPr>
      </w:pPr>
    </w:p>
    <w:p w14:paraId="65FE224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17588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FCFC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сентября 1917 19-го као 1БАГ (согласно донесению командира 7-го авиадивизиона Баранова) прапорщик Смирнов сбил 6-й по счету непри</w:t>
      </w:r>
      <w:r w:rsidRPr="002F2FDF">
        <w:rPr>
          <w:rFonts w:ascii="Times New Roman" w:hAnsi="Times New Roman" w:cs="Times New Roman"/>
          <w:color w:val="000000" w:themeColor="text1"/>
          <w:kern w:val="2"/>
          <w:sz w:val="16"/>
          <w:szCs w:val="16"/>
        </w:rPr>
        <w:softHyphen/>
        <w:t>ятельский самолет в районе Балина. Самолет мало поврежден, экипаж из состава 24-го германского авиаотря</w:t>
      </w:r>
      <w:r w:rsidRPr="002F2FDF">
        <w:rPr>
          <w:rFonts w:ascii="Times New Roman" w:hAnsi="Times New Roman" w:cs="Times New Roman"/>
          <w:color w:val="000000" w:themeColor="text1"/>
          <w:kern w:val="2"/>
          <w:sz w:val="16"/>
          <w:szCs w:val="16"/>
        </w:rPr>
        <w:softHyphen/>
        <w:t>да: летчик-кадет невредим, наблюда</w:t>
      </w:r>
      <w:r w:rsidRPr="002F2FDF">
        <w:rPr>
          <w:rFonts w:ascii="Times New Roman" w:hAnsi="Times New Roman" w:cs="Times New Roman"/>
          <w:color w:val="000000" w:themeColor="text1"/>
          <w:kern w:val="2"/>
          <w:sz w:val="16"/>
          <w:szCs w:val="16"/>
        </w:rPr>
        <w:softHyphen/>
        <w:t>тель лейтенант тяжело ранен в голову. В аппарате найдена адская машина, которую летчик не успел привести в действие. Аппарат Смирнова в этом бою получил несколько пробоин”. “Адская машина” представляла собой пакет с пикриновой кислотой и часо</w:t>
      </w:r>
      <w:r w:rsidRPr="002F2FDF">
        <w:rPr>
          <w:rFonts w:ascii="Times New Roman" w:hAnsi="Times New Roman" w:cs="Times New Roman"/>
          <w:color w:val="000000" w:themeColor="text1"/>
          <w:kern w:val="2"/>
          <w:sz w:val="16"/>
          <w:szCs w:val="16"/>
        </w:rPr>
        <w:softHyphen/>
        <w:t>вым механизмом, который через 5 ми</w:t>
      </w:r>
      <w:r w:rsidRPr="002F2FDF">
        <w:rPr>
          <w:rFonts w:ascii="Times New Roman" w:hAnsi="Times New Roman" w:cs="Times New Roman"/>
          <w:color w:val="000000" w:themeColor="text1"/>
          <w:kern w:val="2"/>
          <w:sz w:val="16"/>
          <w:szCs w:val="16"/>
        </w:rPr>
        <w:softHyphen/>
        <w:t>нут после установки приводил в дей</w:t>
      </w:r>
      <w:r w:rsidRPr="002F2FDF">
        <w:rPr>
          <w:rFonts w:ascii="Times New Roman" w:hAnsi="Times New Roman" w:cs="Times New Roman"/>
          <w:color w:val="000000" w:themeColor="text1"/>
          <w:kern w:val="2"/>
          <w:sz w:val="16"/>
          <w:szCs w:val="16"/>
        </w:rPr>
        <w:softHyphen/>
        <w:t>ствие взрыватель. Она предназнача</w:t>
      </w:r>
      <w:r w:rsidRPr="002F2FDF">
        <w:rPr>
          <w:rFonts w:ascii="Times New Roman" w:hAnsi="Times New Roman" w:cs="Times New Roman"/>
          <w:color w:val="000000" w:themeColor="text1"/>
          <w:kern w:val="2"/>
          <w:sz w:val="16"/>
          <w:szCs w:val="16"/>
        </w:rPr>
        <w:softHyphen/>
        <w:t>лась для подрыва самолета в случае вынужденной посадки на территории противника (3954).</w:t>
      </w:r>
    </w:p>
    <w:p w14:paraId="2869D4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9F90E6" w14:textId="602FCBF8" w:rsidR="00BF2596" w:rsidRPr="00FB4F67" w:rsidRDefault="00BF259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11 (</w:t>
      </w:r>
      <w:r w:rsidRPr="00FB4F67">
        <w:rPr>
          <w:rFonts w:ascii="Times New Roman" w:hAnsi="Times New Roman" w:cs="Times New Roman"/>
          <w:color w:val="0070C0"/>
          <w:sz w:val="16"/>
          <w:szCs w:val="16"/>
        </w:rPr>
        <w:t>24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сентября 1917 г. в полосе Юго-Западного фронта нашими летчиками был снижен самолет противника. В тот же день военный летчик 1-й боевой авиагруппы прапорщик И.В. Смирнов, «поднявшись на самолете- истребителе для преследования неприятельского самолета, нагнал его в районе м. Балин и после лихого боя сбил его пулеметным огнем. Германский самолет спустился в нашем расположении и захвачен в целом виде. Неприятельский пилот и смертельно раненный наблюдатель взяты в плен» (23405).</w:t>
      </w:r>
    </w:p>
    <w:p w14:paraId="7B86BC84" w14:textId="77777777" w:rsidR="00BF2596" w:rsidRPr="00FB4F67" w:rsidRDefault="00BF2596" w:rsidP="0083075A">
      <w:pPr>
        <w:spacing w:after="0" w:line="240" w:lineRule="auto"/>
        <w:jc w:val="both"/>
        <w:rPr>
          <w:rFonts w:ascii="Times New Roman" w:hAnsi="Times New Roman" w:cs="Times New Roman"/>
          <w:color w:val="0070C0"/>
          <w:sz w:val="16"/>
          <w:szCs w:val="16"/>
        </w:rPr>
      </w:pPr>
    </w:p>
    <w:p w14:paraId="7AFB028B" w14:textId="377C2C94" w:rsidR="00BF2596" w:rsidRPr="00FB4F67" w:rsidRDefault="00BF259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11 (</w:t>
      </w:r>
      <w:r w:rsidRPr="00FB4F67">
        <w:rPr>
          <w:rFonts w:ascii="Times New Roman" w:hAnsi="Times New Roman" w:cs="Times New Roman"/>
          <w:color w:val="0070C0"/>
          <w:sz w:val="16"/>
          <w:szCs w:val="16"/>
        </w:rPr>
        <w:t>24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сентября 1917 г. на Северном фронте немецкие I.Feldflieger Staffel Kurland, сформированные ранее в Зебрюгге на Западном фронте, начали операции из Виндау. Подразделение прекратило там операции 6 ноября и вернулось в Зебрюгге (23525).</w:t>
      </w:r>
    </w:p>
    <w:p w14:paraId="0A9D9299" w14:textId="77777777" w:rsidR="00BF2596" w:rsidRPr="00FB4F67" w:rsidRDefault="00BF2596" w:rsidP="0083075A">
      <w:pPr>
        <w:spacing w:after="0" w:line="240" w:lineRule="auto"/>
        <w:jc w:val="both"/>
        <w:rPr>
          <w:rFonts w:ascii="Times New Roman" w:hAnsi="Times New Roman" w:cs="Times New Roman"/>
          <w:color w:val="0070C0"/>
          <w:sz w:val="16"/>
          <w:szCs w:val="16"/>
        </w:rPr>
      </w:pPr>
    </w:p>
    <w:p w14:paraId="5A0DB40C" w14:textId="3CE36C0B" w:rsidR="00BF2596" w:rsidRPr="00FB4F67" w:rsidRDefault="00BF259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11 (</w:t>
      </w:r>
      <w:r w:rsidRPr="00FB4F67">
        <w:rPr>
          <w:rFonts w:ascii="Times New Roman" w:hAnsi="Times New Roman" w:cs="Times New Roman"/>
          <w:color w:val="0070C0"/>
          <w:sz w:val="16"/>
          <w:szCs w:val="16"/>
        </w:rPr>
        <w:t>24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сентября 1917 г. в Балтийском море в рамках подготовки к операции «Альбион» немецкие дирижабли LZ.113 и LZ.120 атаковали русские военно-морские батареи в Сворбе и Цереле на острове Озель (23525).</w:t>
      </w:r>
    </w:p>
    <w:p w14:paraId="5AC1209A" w14:textId="77777777" w:rsidR="00BF2596" w:rsidRPr="00FB4F67" w:rsidRDefault="00BF2596" w:rsidP="0083075A">
      <w:pPr>
        <w:spacing w:after="0" w:line="240" w:lineRule="auto"/>
        <w:jc w:val="both"/>
        <w:rPr>
          <w:rFonts w:ascii="Times New Roman" w:hAnsi="Times New Roman" w:cs="Times New Roman"/>
          <w:color w:val="0070C0"/>
          <w:sz w:val="16"/>
          <w:szCs w:val="16"/>
        </w:rPr>
      </w:pPr>
    </w:p>
    <w:p w14:paraId="7F138B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сентября 1917 на русских минах погиб германский миноносец T-54 (3124).</w:t>
      </w:r>
    </w:p>
    <w:p w14:paraId="2BD453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917503" w14:textId="77777777" w:rsidR="00537E6E" w:rsidRPr="002F2FDF" w:rsidRDefault="00537E6E" w:rsidP="0083075A">
      <w:pPr>
        <w:pStyle w:val="ae"/>
        <w:spacing w:before="0" w:after="0"/>
        <w:jc w:val="both"/>
        <w:rPr>
          <w:color w:val="000000" w:themeColor="text1"/>
          <w:kern w:val="2"/>
          <w:sz w:val="16"/>
          <w:szCs w:val="16"/>
        </w:rPr>
      </w:pPr>
      <w:r w:rsidRPr="002F2FDF">
        <w:rPr>
          <w:color w:val="000000" w:themeColor="text1"/>
          <w:kern w:val="2"/>
          <w:sz w:val="16"/>
          <w:szCs w:val="16"/>
        </w:rPr>
        <w:lastRenderedPageBreak/>
        <w:t>11 (24) сентября 1917 болгары провели успешную операцию против превосходящих войск Антанты. Сначала они подвергли мощному артобстрелу позиции союзников в районе реки Черна (она же Црна на юге нынешней Македонии), куда в ожидании штурма были срочно переброшены английские и французские резервы, а затем неожиданно перешли в атаку на другом участке — в районе озера Преспа (на юго-западе современной Македонии), где атаки никто не ждал. На некоторое время болгарам удалось занять первую линию окопов союзников, и «выбивать» их пришлось уже с помощью войск Русского экспедиционного корпуса (17045).</w:t>
      </w:r>
    </w:p>
    <w:p w14:paraId="6642A398" w14:textId="77777777" w:rsidR="00537E6E" w:rsidRPr="002F2FDF" w:rsidRDefault="00537E6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8ADE34" w14:textId="77777777" w:rsidR="00537E6E"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B7B3E84" w14:textId="77777777" w:rsidR="00537E6E" w:rsidRPr="002F2FDF" w:rsidRDefault="00537E6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1A2EB0" w14:textId="77777777" w:rsidR="00537E6E" w:rsidRPr="002F2FDF" w:rsidRDefault="00537E6E" w:rsidP="0083075A">
      <w:pPr>
        <w:pStyle w:val="ae"/>
        <w:spacing w:before="0" w:after="0"/>
        <w:jc w:val="both"/>
        <w:rPr>
          <w:color w:val="000000" w:themeColor="text1"/>
          <w:kern w:val="2"/>
          <w:sz w:val="16"/>
          <w:szCs w:val="16"/>
        </w:rPr>
      </w:pPr>
      <w:r w:rsidRPr="002F2FDF">
        <w:rPr>
          <w:color w:val="000000" w:themeColor="text1"/>
          <w:kern w:val="2"/>
          <w:sz w:val="16"/>
          <w:szCs w:val="16"/>
        </w:rPr>
        <w:t>11 (24) сентября 1917 членами Петроградского совета были избраны также Владимир Ленин и Григорий Зиновьев, скрывавшиеся от властей Временного правительства (17045).</w:t>
      </w:r>
    </w:p>
    <w:p w14:paraId="617DDC85" w14:textId="77777777" w:rsidR="00537E6E" w:rsidRPr="002F2FDF" w:rsidRDefault="00537E6E"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81B834" w14:textId="77777777" w:rsidR="00537E6E" w:rsidRPr="002F2FDF" w:rsidRDefault="00537E6E" w:rsidP="0083075A">
      <w:pPr>
        <w:pStyle w:val="ae"/>
        <w:spacing w:before="0" w:after="0"/>
        <w:jc w:val="both"/>
        <w:rPr>
          <w:color w:val="000000" w:themeColor="text1"/>
          <w:kern w:val="2"/>
          <w:sz w:val="16"/>
          <w:szCs w:val="16"/>
        </w:rPr>
      </w:pPr>
      <w:r w:rsidRPr="002F2FDF">
        <w:rPr>
          <w:color w:val="000000" w:themeColor="text1"/>
          <w:kern w:val="2"/>
          <w:sz w:val="16"/>
          <w:szCs w:val="16"/>
        </w:rPr>
        <w:t>11 (24) сентября 1917 в Баку, Киеве и Одессе произошли погромы продовольственных магазинов. Из Козловского уезда (ныне — Мичуринский район) Тамбовской губернии сообщали о погромах десятков помещичьих усадеб, из Вятской и Николаевской губерний — об отказах крестьян отдавать хлеб по государственным расценкам и погромах складов. В северных районах Смоленской губернии крестьяне жаловались на неурожай и начавшийся голод (17045).</w:t>
      </w:r>
    </w:p>
    <w:p w14:paraId="6F846D38" w14:textId="77777777" w:rsidR="00537E6E" w:rsidRPr="002F2FDF" w:rsidRDefault="00537E6E"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5EDE60" w14:textId="77777777" w:rsidR="00537E6E" w:rsidRPr="002F2FDF" w:rsidRDefault="00537E6E" w:rsidP="0083075A">
      <w:pPr>
        <w:pStyle w:val="ae"/>
        <w:spacing w:before="0" w:after="0"/>
        <w:jc w:val="both"/>
        <w:rPr>
          <w:color w:val="000000" w:themeColor="text1"/>
          <w:kern w:val="2"/>
          <w:sz w:val="16"/>
          <w:szCs w:val="16"/>
        </w:rPr>
      </w:pPr>
      <w:r w:rsidRPr="002F2FDF">
        <w:rPr>
          <w:color w:val="000000" w:themeColor="text1"/>
          <w:kern w:val="2"/>
          <w:sz w:val="16"/>
          <w:szCs w:val="16"/>
        </w:rPr>
        <w:t>11 (24) сентября 1917 арестованный генерал Корнилов со своими единомышленниками был переведен в тюрьму города Быхов Могилевской губернии. Ударный полк, сохранивший до конца верность Корнилову (его солдаты отказывались даже спороть с формы шевроны «корниловцев») был отправлен на фронт (17045).</w:t>
      </w:r>
    </w:p>
    <w:p w14:paraId="4085EB68" w14:textId="77777777" w:rsidR="00537E6E" w:rsidRPr="002F2FDF" w:rsidRDefault="00537E6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0DFF78" w14:textId="77777777" w:rsidR="00DA1578" w:rsidRPr="002F2FDF" w:rsidRDefault="00DA157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C0E7642" w14:textId="77777777" w:rsidR="00DA1578" w:rsidRPr="002F2FDF" w:rsidRDefault="00DA157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3AEBAD" w14:textId="77777777" w:rsidR="00DA1578" w:rsidRPr="002F2FDF" w:rsidRDefault="00DA157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11-12 (24–25) сентября (ночь) 1917 девять цеппелинов ВМС Германии отправились в атаку на центральную и северную части Англии. Только L 35 глубоко проникает в Англию, сбрасывая бомбы возле Ротерхэма . Общий ущерб, нанесенный рейдом, составляет 2210 фунтов стерлингов . Шестнадцать немецких бомбардировщиков Gotha отправились в рейд на Соединенное Королевство. Тринадцать достигают Англии; пять из них достигают Лондона, а другие восемь бомбят Дувр и другие цели в Кенте (20341).</w:t>
      </w:r>
    </w:p>
    <w:p w14:paraId="50702277" w14:textId="77777777" w:rsidR="00DA1578" w:rsidRPr="002F2FDF" w:rsidRDefault="00DA1578" w:rsidP="0083075A">
      <w:pPr>
        <w:spacing w:after="0" w:line="240" w:lineRule="auto"/>
        <w:jc w:val="both"/>
        <w:rPr>
          <w:rFonts w:ascii="Times New Roman" w:hAnsi="Times New Roman" w:cs="Times New Roman"/>
          <w:color w:val="000000" w:themeColor="text1"/>
          <w:sz w:val="16"/>
          <w:szCs w:val="16"/>
        </w:rPr>
      </w:pPr>
    </w:p>
    <w:p w14:paraId="6CA4C926" w14:textId="77777777" w:rsidR="001A1F94"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8C5A4E1" w14:textId="77777777" w:rsidR="001A1F94" w:rsidRPr="002F2FDF" w:rsidRDefault="001A1F9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52F8C6" w14:textId="77777777" w:rsidR="001A1F94" w:rsidRPr="002F2FDF" w:rsidRDefault="001A1F94"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12 (25) сентября 1917 г. планировался заказ Авиационного отдела Главного управления кораблестроения Дуксу № 166. В плане также стоял заказ на 160 летающих лодок «Теллье» Т.3 с мотором «Испано-Сюиза» 200 л.с., но контракт так и не заключили (15464).</w:t>
      </w:r>
    </w:p>
    <w:p w14:paraId="071E7DC7" w14:textId="77777777" w:rsidR="001A1F94" w:rsidRPr="002F2FDF" w:rsidRDefault="001A1F94" w:rsidP="0083075A">
      <w:pPr>
        <w:pStyle w:val="2"/>
        <w:spacing w:before="0" w:beforeAutospacing="0" w:after="0" w:afterAutospacing="0"/>
        <w:jc w:val="both"/>
        <w:rPr>
          <w:b w:val="0"/>
          <w:color w:val="000000" w:themeColor="text1"/>
          <w:kern w:val="2"/>
          <w:sz w:val="16"/>
          <w:szCs w:val="16"/>
        </w:rPr>
      </w:pPr>
    </w:p>
    <w:p w14:paraId="37CBF776" w14:textId="77777777" w:rsidR="0069777D" w:rsidRPr="002F2FDF" w:rsidRDefault="0069777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6E13E3D" w14:textId="77777777" w:rsidR="0069777D" w:rsidRPr="002F2FDF" w:rsidRDefault="0069777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0046CF" w14:textId="7CD26FB0" w:rsidR="00FF1DF9" w:rsidRPr="00FB4F67" w:rsidRDefault="00FF1DF9" w:rsidP="0083075A">
      <w:pPr>
        <w:spacing w:after="0" w:line="240" w:lineRule="auto"/>
        <w:jc w:val="both"/>
        <w:rPr>
          <w:rFonts w:ascii="Times New Roman" w:hAnsi="Times New Roman" w:cs="Times New Roman"/>
          <w:color w:val="0070C0"/>
          <w:sz w:val="16"/>
          <w:szCs w:val="16"/>
        </w:rPr>
      </w:pPr>
      <w:bookmarkStart w:id="304" w:name="bookmark925"/>
      <w:r w:rsidRPr="00FB4F67">
        <w:rPr>
          <w:rFonts w:ascii="Times New Roman" w:hAnsi="Times New Roman" w:cs="Times New Roman"/>
          <w:color w:val="0070C0"/>
          <w:sz w:val="16"/>
          <w:szCs w:val="16"/>
        </w:rPr>
        <w:t xml:space="preserve">12 </w:t>
      </w:r>
      <w:r>
        <w:rPr>
          <w:rFonts w:ascii="Times New Roman" w:hAnsi="Times New Roman" w:cs="Times New Roman"/>
          <w:color w:val="0070C0"/>
          <w:sz w:val="16"/>
          <w:szCs w:val="16"/>
        </w:rPr>
        <w:t xml:space="preserve">(25) </w:t>
      </w:r>
      <w:r w:rsidRPr="00FB4F67">
        <w:rPr>
          <w:rFonts w:ascii="Times New Roman" w:hAnsi="Times New Roman" w:cs="Times New Roman"/>
          <w:color w:val="0070C0"/>
          <w:sz w:val="16"/>
          <w:szCs w:val="16"/>
        </w:rPr>
        <w:t>сентября 1917 г. А.Ф. Керенский назначил главу французской военной миссии в России полковника Людмана помощником начальника Управления военно-воздушного флота с предоставлением ему права инспекции авиационных заводов и складов и действий от имени начальника УВВФ. От Людмана ждали советов, как спасти ситуацию с авиапромышленностью, но не дождались — власть в стране захватили большевики (23472).</w:t>
      </w:r>
    </w:p>
    <w:p w14:paraId="3EA96D55" w14:textId="77777777" w:rsidR="00FF1DF9" w:rsidRPr="00FB4F67" w:rsidRDefault="00FF1DF9" w:rsidP="0083075A">
      <w:pPr>
        <w:spacing w:after="0" w:line="240" w:lineRule="auto"/>
        <w:jc w:val="both"/>
        <w:rPr>
          <w:rFonts w:ascii="Times New Roman" w:hAnsi="Times New Roman" w:cs="Times New Roman"/>
          <w:color w:val="0070C0"/>
          <w:sz w:val="16"/>
          <w:szCs w:val="16"/>
        </w:rPr>
      </w:pPr>
    </w:p>
    <w:bookmarkEnd w:id="304"/>
    <w:p w14:paraId="2A1D71DE" w14:textId="77777777" w:rsidR="0069777D" w:rsidRPr="002F2FDF" w:rsidRDefault="0069777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12 (25) сентября 1917 г. 2, 3, 6, 7-й и Кавказский авиапарки перешли в подчинение инспекторам авиации армий фронтов и Кавказской армии. Остальные три парка остались в подчинении инспекторов ВВФ округов или помощников инспекторов инженерной части округов, где управления ВВФ еще не были сформированы (19566).</w:t>
      </w:r>
    </w:p>
    <w:p w14:paraId="46A624F8" w14:textId="77777777" w:rsidR="0069777D" w:rsidRPr="002F2FDF" w:rsidRDefault="0069777D" w:rsidP="0083075A">
      <w:pPr>
        <w:spacing w:after="0" w:line="240" w:lineRule="auto"/>
        <w:jc w:val="both"/>
        <w:rPr>
          <w:rFonts w:ascii="Times New Roman" w:hAnsi="Times New Roman" w:cs="Times New Roman"/>
          <w:color w:val="000000" w:themeColor="text1"/>
          <w:sz w:val="16"/>
          <w:szCs w:val="16"/>
        </w:rPr>
      </w:pPr>
    </w:p>
    <w:p w14:paraId="190B091D" w14:textId="2079ED26" w:rsidR="00BC0261" w:rsidRPr="00FB4F67" w:rsidRDefault="00BC0261" w:rsidP="0083075A">
      <w:pPr>
        <w:spacing w:after="0" w:line="240" w:lineRule="auto"/>
        <w:jc w:val="both"/>
        <w:rPr>
          <w:rFonts w:ascii="Times New Roman" w:hAnsi="Times New Roman" w:cs="Times New Roman"/>
          <w:color w:val="0070C0"/>
          <w:sz w:val="16"/>
          <w:szCs w:val="16"/>
        </w:rPr>
      </w:pPr>
      <w:bookmarkStart w:id="305" w:name="bookmark941"/>
      <w:r>
        <w:rPr>
          <w:rFonts w:ascii="Times New Roman" w:hAnsi="Times New Roman" w:cs="Times New Roman"/>
          <w:color w:val="0070C0"/>
          <w:sz w:val="16"/>
          <w:szCs w:val="16"/>
        </w:rPr>
        <w:t>12 (</w:t>
      </w:r>
      <w:r w:rsidRPr="00FB4F67">
        <w:rPr>
          <w:rFonts w:ascii="Times New Roman" w:hAnsi="Times New Roman" w:cs="Times New Roman"/>
          <w:color w:val="0070C0"/>
          <w:sz w:val="16"/>
          <w:szCs w:val="16"/>
        </w:rPr>
        <w:t>25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сентября 1917 г. в Крыму в Евпатории открылась Школа воздушного боя. В течение недели из Гатчины был переведен инструкторский состав. Рядом находилась школа наблюдателей, недавно переехавшая из Киева (23525).</w:t>
      </w:r>
    </w:p>
    <w:p w14:paraId="57696670" w14:textId="77777777" w:rsidR="00BC0261" w:rsidRPr="00FB4F67" w:rsidRDefault="00BC0261" w:rsidP="0083075A">
      <w:pPr>
        <w:spacing w:after="0" w:line="240" w:lineRule="auto"/>
        <w:jc w:val="both"/>
        <w:rPr>
          <w:rFonts w:ascii="Times New Roman" w:hAnsi="Times New Roman" w:cs="Times New Roman"/>
          <w:color w:val="0070C0"/>
          <w:sz w:val="16"/>
          <w:szCs w:val="16"/>
        </w:rPr>
      </w:pPr>
    </w:p>
    <w:p w14:paraId="018BCCC7" w14:textId="11C915A8" w:rsidR="00BC0261" w:rsidRPr="00FB4F67" w:rsidRDefault="00BC026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12 (</w:t>
      </w:r>
      <w:r w:rsidRPr="00FB4F67">
        <w:rPr>
          <w:rFonts w:ascii="Times New Roman" w:hAnsi="Times New Roman" w:cs="Times New Roman"/>
          <w:color w:val="0070C0"/>
          <w:sz w:val="16"/>
          <w:szCs w:val="16"/>
        </w:rPr>
        <w:t>25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сентября 1917 г. в районе Рижского залива противник провел ряд воздушных разведок с целью поиска расположения наших морских судов. Свои полеты немецкие летчики совершали вне зоны обстрела корабельной артиллерии и береговых батарей. Также неприятель вел активную разведку на большинстве участков Юго-Западного фронта (23405).</w:t>
      </w:r>
      <w:bookmarkEnd w:id="305"/>
    </w:p>
    <w:p w14:paraId="6B3BABF5" w14:textId="77777777" w:rsidR="00BC0261" w:rsidRPr="00FB4F67" w:rsidRDefault="00BC0261" w:rsidP="0083075A">
      <w:pPr>
        <w:spacing w:after="0" w:line="240" w:lineRule="auto"/>
        <w:jc w:val="both"/>
        <w:rPr>
          <w:rFonts w:ascii="Times New Roman" w:hAnsi="Times New Roman" w:cs="Times New Roman"/>
          <w:color w:val="0070C0"/>
          <w:sz w:val="16"/>
          <w:szCs w:val="16"/>
        </w:rPr>
      </w:pPr>
    </w:p>
    <w:p w14:paraId="6B40C2A6" w14:textId="3FF2AF12" w:rsidR="00BC0261" w:rsidRPr="00FB4F67" w:rsidRDefault="00BC026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В ночь на </w:t>
      </w:r>
      <w:r>
        <w:rPr>
          <w:rFonts w:ascii="Times New Roman" w:hAnsi="Times New Roman" w:cs="Times New Roman"/>
          <w:color w:val="0070C0"/>
          <w:sz w:val="16"/>
          <w:szCs w:val="16"/>
        </w:rPr>
        <w:t>12 (25)</w:t>
      </w:r>
      <w:r w:rsidRPr="00FB4F67">
        <w:rPr>
          <w:rFonts w:ascii="Times New Roman" w:hAnsi="Times New Roman" w:cs="Times New Roman"/>
          <w:color w:val="0070C0"/>
          <w:sz w:val="16"/>
          <w:szCs w:val="16"/>
        </w:rPr>
        <w:t xml:space="preserve"> сентября 1917 г. наше побережье у Ирбенского пролива подверглось нападению со стороны цеппелина (в течение двух последовательных налетов немецкими аэронавтами было сброшено около 40 бомб) (23405).</w:t>
      </w:r>
    </w:p>
    <w:p w14:paraId="2E784E38" w14:textId="77777777" w:rsidR="00BC0261" w:rsidRPr="00FB4F67" w:rsidRDefault="00BC0261" w:rsidP="0083075A">
      <w:pPr>
        <w:spacing w:after="0" w:line="240" w:lineRule="auto"/>
        <w:jc w:val="both"/>
        <w:rPr>
          <w:rFonts w:ascii="Times New Roman" w:hAnsi="Times New Roman" w:cs="Times New Roman"/>
          <w:color w:val="0070C0"/>
          <w:sz w:val="16"/>
          <w:szCs w:val="16"/>
        </w:rPr>
      </w:pPr>
    </w:p>
    <w:p w14:paraId="6EE5175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5BCFE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7D7B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сентября 1917 конец деятельности Директории Временного правительства и образование третьего коалиционного правительства в составе Коновалова, Терещенко, Третьякова, Смирнова, Керенского и др. (3481).</w:t>
      </w:r>
    </w:p>
    <w:p w14:paraId="4EF9A9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E41AA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BDF2A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6B3C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сентября 1917 Германский самолет "Волчонок" в Тихом океане пригнал к "Волку" японское судно. После чего самолет был вновь разобран (11999).</w:t>
      </w:r>
    </w:p>
    <w:p w14:paraId="1BED03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ACAB87" w14:textId="77777777" w:rsidR="009D293D" w:rsidRPr="002F2FDF" w:rsidRDefault="009D293D" w:rsidP="0083075A">
      <w:pPr>
        <w:pStyle w:val="ae"/>
        <w:spacing w:before="0" w:after="0"/>
        <w:jc w:val="both"/>
        <w:rPr>
          <w:color w:val="000000" w:themeColor="text1"/>
          <w:kern w:val="2"/>
          <w:sz w:val="16"/>
          <w:szCs w:val="16"/>
        </w:rPr>
      </w:pPr>
      <w:r w:rsidRPr="002F2FDF">
        <w:rPr>
          <w:color w:val="000000" w:themeColor="text1"/>
          <w:kern w:val="2"/>
          <w:sz w:val="16"/>
          <w:szCs w:val="16"/>
        </w:rPr>
        <w:t>12 (25) сентября 1917 британские, канадские и австралийские части возобновили наступление в районе города Ипр на западе Бельгии, которое позже войдет в историю как Битва при Пашендейле. Главный удар на этот раз наносился в районе Многоугольной рощи — небольшого леса между Ипром и городком Зоннебеке. Этой операцией английское командование рассчитывало развить успех, достигнутый неделей ранее в ходе сражения при Мененской дороге — у города Менен. К 27 октября британцы выполнили поставленную задачу — немцы были оттеснены из Многоугольной рощи. Однако эта победа стоила британцам огромных потерь — около 30 тысяч убитыми, ранеными и пленными (17045).</w:t>
      </w:r>
    </w:p>
    <w:p w14:paraId="713D4C4E" w14:textId="77777777" w:rsidR="009D293D" w:rsidRPr="002F2FDF" w:rsidRDefault="009D293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A54CB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B7BDB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A53A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сентября 1917 Ю.А.Виллиш представил в Управление морской авиации и воздухоплавания эскизы контристребителя и его катапульты - рельс, тележки и цилиндра сжатого воздуха. Этот контр-истребитель строился в соответствии с предложением Управления морской авиации и воздухоплавания от 29 августа 1917, выданное Ю.А.В., Д.П.Г. и П.А.Шишкову (2843,71).</w:t>
      </w:r>
    </w:p>
    <w:p w14:paraId="32D094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E1504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сентября 1917 г. А.Ю.Виллиш предста</w:t>
      </w:r>
      <w:r w:rsidRPr="002F2FDF">
        <w:rPr>
          <w:rFonts w:ascii="Times New Roman" w:hAnsi="Times New Roman" w:cs="Times New Roman"/>
          <w:color w:val="000000" w:themeColor="text1"/>
          <w:kern w:val="2"/>
          <w:sz w:val="16"/>
          <w:szCs w:val="16"/>
        </w:rPr>
        <w:softHyphen/>
        <w:t>вил в Управление морской авиации проект “контристребителя” ВМ-6 и устройства для взлета (ката</w:t>
      </w:r>
      <w:r w:rsidRPr="002F2FDF">
        <w:rPr>
          <w:rFonts w:ascii="Times New Roman" w:hAnsi="Times New Roman" w:cs="Times New Roman"/>
          <w:color w:val="000000" w:themeColor="text1"/>
          <w:kern w:val="2"/>
          <w:sz w:val="16"/>
          <w:szCs w:val="16"/>
        </w:rPr>
        <w:softHyphen/>
        <w:t>пульты, приводимой в действие сжа</w:t>
      </w:r>
      <w:r w:rsidRPr="002F2FDF">
        <w:rPr>
          <w:rFonts w:ascii="Times New Roman" w:hAnsi="Times New Roman" w:cs="Times New Roman"/>
          <w:color w:val="000000" w:themeColor="text1"/>
          <w:kern w:val="2"/>
          <w:sz w:val="16"/>
          <w:szCs w:val="16"/>
        </w:rPr>
        <w:softHyphen/>
        <w:t>тым воздухом). После рассмотре</w:t>
      </w:r>
      <w:r w:rsidRPr="002F2FDF">
        <w:rPr>
          <w:rFonts w:ascii="Times New Roman" w:hAnsi="Times New Roman" w:cs="Times New Roman"/>
          <w:color w:val="000000" w:themeColor="text1"/>
          <w:kern w:val="2"/>
          <w:sz w:val="16"/>
          <w:szCs w:val="16"/>
        </w:rPr>
        <w:softHyphen/>
        <w:t>ния представленных материалов бы</w:t>
      </w:r>
      <w:r w:rsidRPr="002F2FDF">
        <w:rPr>
          <w:rFonts w:ascii="Times New Roman" w:hAnsi="Times New Roman" w:cs="Times New Roman"/>
          <w:color w:val="000000" w:themeColor="text1"/>
          <w:kern w:val="2"/>
          <w:sz w:val="16"/>
          <w:szCs w:val="16"/>
        </w:rPr>
        <w:softHyphen/>
        <w:t>ло решено построить на фабрике Ф.Мельцера пять экземпляров ВМ-6, из которых первый образец почти закончили к весне 1918 г. Дальнейше</w:t>
      </w:r>
      <w:r w:rsidRPr="002F2FDF">
        <w:rPr>
          <w:rFonts w:ascii="Times New Roman" w:hAnsi="Times New Roman" w:cs="Times New Roman"/>
          <w:color w:val="000000" w:themeColor="text1"/>
          <w:kern w:val="2"/>
          <w:sz w:val="16"/>
          <w:szCs w:val="16"/>
        </w:rPr>
        <w:softHyphen/>
        <w:t>го продолжения судьбы оригиналь</w:t>
      </w:r>
      <w:r w:rsidRPr="002F2FDF">
        <w:rPr>
          <w:rFonts w:ascii="Times New Roman" w:hAnsi="Times New Roman" w:cs="Times New Roman"/>
          <w:color w:val="000000" w:themeColor="text1"/>
          <w:kern w:val="2"/>
          <w:sz w:val="16"/>
          <w:szCs w:val="16"/>
        </w:rPr>
        <w:softHyphen/>
        <w:t>ного самолета по причине револю</w:t>
      </w:r>
      <w:r w:rsidRPr="002F2FDF">
        <w:rPr>
          <w:rFonts w:ascii="Times New Roman" w:hAnsi="Times New Roman" w:cs="Times New Roman"/>
          <w:color w:val="000000" w:themeColor="text1"/>
          <w:kern w:val="2"/>
          <w:sz w:val="16"/>
          <w:szCs w:val="16"/>
        </w:rPr>
        <w:softHyphen/>
        <w:t>ционных событий не последовало (11107).</w:t>
      </w:r>
    </w:p>
    <w:p w14:paraId="0CD285F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6964F1"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13 </w:t>
      </w:r>
      <w:r w:rsidR="002E2452" w:rsidRPr="002F2FDF">
        <w:rPr>
          <w:rFonts w:ascii="Times New Roman" w:hAnsi="Times New Roman" w:cs="Times New Roman"/>
          <w:color w:val="000000" w:themeColor="text1"/>
          <w:kern w:val="2"/>
          <w:sz w:val="16"/>
          <w:szCs w:val="16"/>
        </w:rPr>
        <w:t xml:space="preserve">(26) </w:t>
      </w:r>
      <w:r w:rsidRPr="002F2FDF">
        <w:rPr>
          <w:rFonts w:ascii="Times New Roman" w:hAnsi="Times New Roman" w:cs="Times New Roman"/>
          <w:color w:val="000000" w:themeColor="text1"/>
          <w:kern w:val="2"/>
          <w:sz w:val="16"/>
          <w:szCs w:val="16"/>
        </w:rPr>
        <w:t>сентября 1917 г. А.Ю.Виллиш представил в Управление морской авиации проект «контристребителя» ВМ-6 и устрой</w:t>
      </w:r>
      <w:r w:rsidRPr="002F2FDF">
        <w:rPr>
          <w:rFonts w:ascii="Times New Roman" w:hAnsi="Times New Roman" w:cs="Times New Roman"/>
          <w:color w:val="000000" w:themeColor="text1"/>
          <w:kern w:val="2"/>
          <w:sz w:val="16"/>
          <w:szCs w:val="16"/>
        </w:rPr>
        <w:softHyphen/>
        <w:t>ства для взлета (катапульты, приводимой в действие сжатым воздухом). После рассмотрения пред</w:t>
      </w:r>
      <w:r w:rsidRPr="002F2FDF">
        <w:rPr>
          <w:rFonts w:ascii="Times New Roman" w:hAnsi="Times New Roman" w:cs="Times New Roman"/>
          <w:color w:val="000000" w:themeColor="text1"/>
          <w:kern w:val="2"/>
          <w:sz w:val="16"/>
          <w:szCs w:val="16"/>
        </w:rPr>
        <w:softHyphen/>
        <w:t>ставленных материалов было решено постро</w:t>
      </w:r>
      <w:r w:rsidRPr="002F2FDF">
        <w:rPr>
          <w:rFonts w:ascii="Times New Roman" w:hAnsi="Times New Roman" w:cs="Times New Roman"/>
          <w:color w:val="000000" w:themeColor="text1"/>
          <w:kern w:val="2"/>
          <w:sz w:val="16"/>
          <w:szCs w:val="16"/>
        </w:rPr>
        <w:softHyphen/>
        <w:t>ить на фабрике Ф.Мельцера 5 экземпляров ВМ-6, из которых первый образец почти за</w:t>
      </w:r>
      <w:r w:rsidRPr="002F2FDF">
        <w:rPr>
          <w:rFonts w:ascii="Times New Roman" w:hAnsi="Times New Roman" w:cs="Times New Roman"/>
          <w:color w:val="000000" w:themeColor="text1"/>
          <w:kern w:val="2"/>
          <w:sz w:val="16"/>
          <w:szCs w:val="16"/>
        </w:rPr>
        <w:softHyphen/>
        <w:t>кончили к весне 1918 г. Дальнейшего продол</w:t>
      </w:r>
      <w:r w:rsidRPr="002F2FDF">
        <w:rPr>
          <w:rFonts w:ascii="Times New Roman" w:hAnsi="Times New Roman" w:cs="Times New Roman"/>
          <w:color w:val="000000" w:themeColor="text1"/>
          <w:kern w:val="2"/>
          <w:sz w:val="16"/>
          <w:szCs w:val="16"/>
        </w:rPr>
        <w:softHyphen/>
        <w:t>жения в судьбе оригинального самолета по причине революционных событий и после</w:t>
      </w:r>
      <w:r w:rsidRPr="002F2FDF">
        <w:rPr>
          <w:rFonts w:ascii="Times New Roman" w:hAnsi="Times New Roman" w:cs="Times New Roman"/>
          <w:color w:val="000000" w:themeColor="text1"/>
          <w:kern w:val="2"/>
          <w:sz w:val="16"/>
          <w:szCs w:val="16"/>
        </w:rPr>
        <w:softHyphen/>
        <w:t>довавшего развала русской промышленности не последовало.</w:t>
      </w:r>
    </w:p>
    <w:p w14:paraId="7D5224B9" w14:textId="77777777" w:rsidR="00247666" w:rsidRPr="002F2FDF" w:rsidRDefault="00247666" w:rsidP="0083075A">
      <w:pPr>
        <w:pStyle w:val="113"/>
        <w:shd w:val="clear" w:color="auto" w:fill="auto"/>
        <w:spacing w:line="240" w:lineRule="auto"/>
        <w:jc w:val="both"/>
        <w:rPr>
          <w:rFonts w:ascii="Times New Roman" w:hAnsi="Times New Roman" w:cs="Times New Roman"/>
          <w:b w:val="0"/>
          <w:color w:val="000000" w:themeColor="text1"/>
          <w:kern w:val="2"/>
          <w:sz w:val="16"/>
          <w:szCs w:val="16"/>
        </w:rPr>
      </w:pPr>
      <w:r w:rsidRPr="002F2FDF">
        <w:rPr>
          <w:rFonts w:ascii="Times New Roman" w:hAnsi="Times New Roman" w:cs="Times New Roman"/>
          <w:b w:val="0"/>
          <w:color w:val="000000" w:themeColor="text1"/>
          <w:kern w:val="2"/>
          <w:sz w:val="16"/>
          <w:szCs w:val="16"/>
        </w:rPr>
        <w:t>Летные и технические характеристики ВМ-6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30"/>
        <w:gridCol w:w="8487"/>
      </w:tblGrid>
      <w:tr w:rsidR="002B1C74" w:rsidRPr="002F2FDF" w14:paraId="414EEBAB" w14:textId="77777777" w:rsidTr="009E49F6">
        <w:tc>
          <w:tcPr>
            <w:tcW w:w="3030" w:type="dxa"/>
          </w:tcPr>
          <w:p w14:paraId="5357CFBB"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Размах крыла(м)</w:t>
            </w:r>
          </w:p>
        </w:tc>
        <w:tc>
          <w:tcPr>
            <w:tcW w:w="8487" w:type="dxa"/>
          </w:tcPr>
          <w:p w14:paraId="6AC922F4"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10,01</w:t>
            </w:r>
          </w:p>
        </w:tc>
      </w:tr>
      <w:tr w:rsidR="002B1C74" w:rsidRPr="002F2FDF" w14:paraId="750CD7D4" w14:textId="77777777" w:rsidTr="009E49F6">
        <w:tc>
          <w:tcPr>
            <w:tcW w:w="3030" w:type="dxa"/>
          </w:tcPr>
          <w:p w14:paraId="0BB3D0DF"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крыла (м</w:t>
            </w:r>
            <w:r w:rsidRPr="002F2FDF">
              <w:rPr>
                <w:rFonts w:ascii="Times New Roman" w:hAnsi="Times New Roman" w:cs="Times New Roman"/>
                <w:color w:val="000000" w:themeColor="text1"/>
                <w:kern w:val="2"/>
                <w:sz w:val="16"/>
                <w:szCs w:val="16"/>
                <w:vertAlign w:val="superscript"/>
              </w:rPr>
              <w:t>2</w:t>
            </w:r>
            <w:r w:rsidRPr="002F2FDF">
              <w:rPr>
                <w:rFonts w:ascii="Times New Roman" w:hAnsi="Times New Roman" w:cs="Times New Roman"/>
                <w:color w:val="000000" w:themeColor="text1"/>
                <w:kern w:val="2"/>
                <w:sz w:val="16"/>
                <w:szCs w:val="16"/>
              </w:rPr>
              <w:t>)</w:t>
            </w:r>
          </w:p>
        </w:tc>
        <w:tc>
          <w:tcPr>
            <w:tcW w:w="8487" w:type="dxa"/>
          </w:tcPr>
          <w:p w14:paraId="0C60B502"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17,50</w:t>
            </w:r>
          </w:p>
        </w:tc>
      </w:tr>
      <w:tr w:rsidR="002B1C74" w:rsidRPr="002F2FDF" w14:paraId="28403EDA" w14:textId="77777777" w:rsidTr="009E49F6">
        <w:tc>
          <w:tcPr>
            <w:tcW w:w="3030" w:type="dxa"/>
          </w:tcPr>
          <w:p w14:paraId="08C0D282"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Длина влинии полета (м)</w:t>
            </w:r>
          </w:p>
        </w:tc>
        <w:tc>
          <w:tcPr>
            <w:tcW w:w="8487" w:type="dxa"/>
          </w:tcPr>
          <w:p w14:paraId="68588DAE"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7,10</w:t>
            </w:r>
          </w:p>
        </w:tc>
      </w:tr>
      <w:tr w:rsidR="002B1C74" w:rsidRPr="002F2FDF" w14:paraId="798AD4F7" w14:textId="77777777" w:rsidTr="009E49F6">
        <w:tc>
          <w:tcPr>
            <w:tcW w:w="3030" w:type="dxa"/>
          </w:tcPr>
          <w:p w14:paraId="43B80796"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Вес пустого (кг) </w:t>
            </w:r>
          </w:p>
        </w:tc>
        <w:tc>
          <w:tcPr>
            <w:tcW w:w="8487" w:type="dxa"/>
          </w:tcPr>
          <w:p w14:paraId="0607EFE5"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571</w:t>
            </w:r>
          </w:p>
        </w:tc>
      </w:tr>
      <w:tr w:rsidR="002B1C74" w:rsidRPr="002F2FDF" w14:paraId="7D9C8261" w14:textId="77777777" w:rsidTr="009E49F6">
        <w:tc>
          <w:tcPr>
            <w:tcW w:w="3030" w:type="dxa"/>
          </w:tcPr>
          <w:p w14:paraId="5E191172"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Полезная нагрузка (кг) </w:t>
            </w:r>
          </w:p>
        </w:tc>
        <w:tc>
          <w:tcPr>
            <w:tcW w:w="8487" w:type="dxa"/>
          </w:tcPr>
          <w:p w14:paraId="02BF3D3A"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214</w:t>
            </w:r>
          </w:p>
        </w:tc>
      </w:tr>
      <w:tr w:rsidR="002B1C74" w:rsidRPr="002F2FDF" w14:paraId="6B3D297E" w14:textId="77777777" w:rsidTr="009E49F6">
        <w:tc>
          <w:tcPr>
            <w:tcW w:w="3030" w:type="dxa"/>
          </w:tcPr>
          <w:p w14:paraId="7842B8CD"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Продолжительность полета (час)</w:t>
            </w:r>
          </w:p>
        </w:tc>
        <w:tc>
          <w:tcPr>
            <w:tcW w:w="8487" w:type="dxa"/>
          </w:tcPr>
          <w:p w14:paraId="32B88117"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r>
    </w:tbl>
    <w:p w14:paraId="246DB452"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(12301).</w:t>
      </w:r>
    </w:p>
    <w:p w14:paraId="1FAB76D9"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p>
    <w:p w14:paraId="0FFB1A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13 </w:t>
      </w:r>
      <w:r w:rsidR="002E2452" w:rsidRPr="002F2FDF">
        <w:rPr>
          <w:rFonts w:ascii="Times New Roman" w:hAnsi="Times New Roman" w:cs="Times New Roman"/>
          <w:color w:val="000000" w:themeColor="text1"/>
          <w:kern w:val="2"/>
          <w:sz w:val="16"/>
          <w:szCs w:val="16"/>
        </w:rPr>
        <w:t xml:space="preserve">(26) </w:t>
      </w:r>
      <w:r w:rsidRPr="002F2FDF">
        <w:rPr>
          <w:rFonts w:ascii="Times New Roman" w:hAnsi="Times New Roman" w:cs="Times New Roman"/>
          <w:color w:val="000000" w:themeColor="text1"/>
          <w:kern w:val="2"/>
          <w:sz w:val="16"/>
          <w:szCs w:val="16"/>
        </w:rPr>
        <w:t>сентября 1917 г. эскизы контр-истребитсля и его катапульты — рельс, тележки и цилиндра сжатого воздуха, были представлены конструктором в Управление морской авиации и воздухоплавания. После ряда дискуссий 2 ноября руководство последнего предложило компании Мельцера построить 5 аппаратов в счет апрельского условного заказа по цене 20.000 руб. за штуку. Фирма приняла условия и согласно Шаврову первый прототип ВМ-6 почти закончили к весне 1918 г. По понятным причинам работа не могла быть завершена. Что до А.Ю. Виллиша, то он покинул большевистскую Россию и вернулся в родные места, его дальнейшая судьба неизвестна (2843).</w:t>
      </w:r>
    </w:p>
    <w:p w14:paraId="2F263FC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контракте на аппараты ВМ-6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2F2FDF" w14:paraId="5DB63603" w14:textId="77777777">
        <w:tc>
          <w:tcPr>
            <w:tcW w:w="4788" w:type="dxa"/>
            <w:tcBorders>
              <w:top w:val="single" w:sz="12" w:space="0" w:color="auto"/>
            </w:tcBorders>
            <w:shd w:val="clear" w:color="auto" w:fill="FFFFFF"/>
          </w:tcPr>
          <w:p w14:paraId="69697C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0ED35D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 2 1917</w:t>
            </w:r>
          </w:p>
        </w:tc>
      </w:tr>
      <w:tr w:rsidR="002B1C74" w:rsidRPr="002F2FDF" w14:paraId="680AD5F6" w14:textId="77777777">
        <w:tc>
          <w:tcPr>
            <w:tcW w:w="4788" w:type="dxa"/>
            <w:shd w:val="clear" w:color="auto" w:fill="FFFFFF"/>
          </w:tcPr>
          <w:p w14:paraId="3242F4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заказанных аэропланов</w:t>
            </w:r>
          </w:p>
        </w:tc>
        <w:tc>
          <w:tcPr>
            <w:tcW w:w="4788" w:type="dxa"/>
            <w:shd w:val="clear" w:color="auto" w:fill="FFFFFF"/>
          </w:tcPr>
          <w:p w14:paraId="4DA5AD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47EF298E" w14:textId="77777777">
        <w:tc>
          <w:tcPr>
            <w:tcW w:w="4788" w:type="dxa"/>
            <w:shd w:val="clear" w:color="auto" w:fill="FFFFFF"/>
          </w:tcPr>
          <w:p w14:paraId="02BF3B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Заводские номера сданных аэропланов</w:t>
            </w:r>
          </w:p>
        </w:tc>
        <w:tc>
          <w:tcPr>
            <w:tcW w:w="4788" w:type="dxa"/>
            <w:shd w:val="clear" w:color="auto" w:fill="FFFFFF"/>
          </w:tcPr>
          <w:p w14:paraId="7D65DD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2987D4F5" w14:textId="77777777">
        <w:tc>
          <w:tcPr>
            <w:tcW w:w="4788" w:type="dxa"/>
            <w:tcBorders>
              <w:bottom w:val="single" w:sz="12" w:space="0" w:color="auto"/>
            </w:tcBorders>
            <w:shd w:val="clear" w:color="auto" w:fill="FFFFFF"/>
          </w:tcPr>
          <w:p w14:paraId="3D1A04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2A1959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20.000 руб. за аппарат без мотора. Примечания: заказ дан в счет условного контракта от 27 ап</w:t>
            </w:r>
            <w:r w:rsidRPr="002F2FDF">
              <w:rPr>
                <w:rFonts w:ascii="Times New Roman" w:hAnsi="Times New Roman" w:cs="Times New Roman"/>
                <w:color w:val="000000" w:themeColor="text1"/>
                <w:kern w:val="2"/>
                <w:sz w:val="16"/>
                <w:szCs w:val="16"/>
              </w:rPr>
              <w:softHyphen/>
              <w:t>реля 1917 г., который подлежал пересмотру; не выполнен (2843).</w:t>
            </w:r>
          </w:p>
        </w:tc>
      </w:tr>
    </w:tbl>
    <w:p w14:paraId="5B017D3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2E7C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13 </w:t>
      </w:r>
      <w:r w:rsidR="002E2452" w:rsidRPr="002F2FDF">
        <w:rPr>
          <w:rFonts w:ascii="Times New Roman" w:hAnsi="Times New Roman" w:cs="Times New Roman"/>
          <w:color w:val="000000" w:themeColor="text1"/>
          <w:kern w:val="2"/>
          <w:sz w:val="16"/>
          <w:szCs w:val="16"/>
        </w:rPr>
        <w:t xml:space="preserve">(26) </w:t>
      </w:r>
      <w:r w:rsidRPr="002F2FDF">
        <w:rPr>
          <w:rFonts w:ascii="Times New Roman" w:hAnsi="Times New Roman" w:cs="Times New Roman"/>
          <w:color w:val="000000" w:themeColor="text1"/>
          <w:kern w:val="2"/>
          <w:sz w:val="16"/>
          <w:szCs w:val="16"/>
        </w:rPr>
        <w:t>сентября 1917 года проект ВМ-6 был представлен Управлению Морской авиации (УМА). Поначалу предполагали дать задание на контристребитель Д.П. Григоровичу и конструкторскому бюро АИС, но за дело взялся толькоA.Ю. Виллиш, который при непосредственном участии такого сильного специалиста как И.М. Косткин (он стал техническим директором фабрики Ф. Мельтцера) обещал справиться с поставленной задачей. Помимо самолета, следовало сделать и вспомогательные стартовые механизмы, состоящие согласно проекту, из направляющих рельсовых дорожек, стартовой тележки, на которой должно установить аэроплан, и агрегатов системы запуска, т.е. стоек, крюков, рычагов, тросов и цилиндра со сжатым воздухом. Все это требовало длительной изолированной отработки, автономной доводки перед испытаниями всего комплекса вместе с истребителем. Все - и катапультная система, и береговые постройки, необходимые для непосредственных пусков -выглядело вполне реальными и осуществимыми, постройка стартовой позиции и самого аэроплана началась осенью 1917 года. Известные политические события и окружающая обстановка вынуждали предпринимателей ускорить работу. На каком-то этапе пришлось прерваться для постройки и опробования в воздухе хотя бы одного только аппарата. Его решили довести до испытаний в сухопутном варианте с обычным положением винта на жестком (не сгибаемом) валу, без отделяемого шасси,но с "мореходным корпусом" (как это было по проекту). Однако даже в таком виде ВМ-6 на летные испытания не передавался. Грянула революция... Так была заброшена интереснейшая идея боевой амфибии, которая осуществлялась авиаторами России, возможно, впервые в мире. Самолет же построили практически полностью...</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686"/>
        <w:gridCol w:w="4738"/>
      </w:tblGrid>
      <w:tr w:rsidR="002B1C74" w:rsidRPr="002F2FDF" w14:paraId="189F33F3" w14:textId="77777777" w:rsidTr="003431D2">
        <w:tc>
          <w:tcPr>
            <w:tcW w:w="5686" w:type="dxa"/>
            <w:gridSpan w:val="2"/>
            <w:tcBorders>
              <w:top w:val="single" w:sz="12" w:space="0" w:color="auto"/>
            </w:tcBorders>
          </w:tcPr>
          <w:p w14:paraId="097996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Летно-тактические характеристики контристребителя ВМ-6*</w:t>
            </w:r>
          </w:p>
        </w:tc>
      </w:tr>
      <w:tr w:rsidR="002B1C74" w:rsidRPr="002F2FDF" w14:paraId="5999A0AF" w14:textId="77777777">
        <w:tc>
          <w:tcPr>
            <w:tcW w:w="5686" w:type="dxa"/>
          </w:tcPr>
          <w:p w14:paraId="2E98B9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Самолет</w:t>
            </w:r>
          </w:p>
        </w:tc>
        <w:tc>
          <w:tcPr>
            <w:tcW w:w="4738" w:type="dxa"/>
          </w:tcPr>
          <w:p w14:paraId="341D0D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ВМ-6</w:t>
            </w:r>
          </w:p>
        </w:tc>
      </w:tr>
      <w:tr w:rsidR="002B1C74" w:rsidRPr="002F2FDF" w14:paraId="0E17A865" w14:textId="77777777">
        <w:tc>
          <w:tcPr>
            <w:tcW w:w="5686" w:type="dxa"/>
          </w:tcPr>
          <w:p w14:paraId="75B644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 выпуска</w:t>
            </w:r>
          </w:p>
        </w:tc>
        <w:tc>
          <w:tcPr>
            <w:tcW w:w="4738" w:type="dxa"/>
          </w:tcPr>
          <w:p w14:paraId="6C68DD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1918</w:t>
            </w:r>
          </w:p>
        </w:tc>
      </w:tr>
      <w:tr w:rsidR="002B1C74" w:rsidRPr="002F2FDF" w14:paraId="5964E0E2" w14:textId="77777777">
        <w:tc>
          <w:tcPr>
            <w:tcW w:w="5686" w:type="dxa"/>
          </w:tcPr>
          <w:p w14:paraId="3CA3DA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Мотор</w:t>
            </w:r>
          </w:p>
        </w:tc>
        <w:tc>
          <w:tcPr>
            <w:tcW w:w="4738" w:type="dxa"/>
          </w:tcPr>
          <w:p w14:paraId="7504EF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"Испано-Сюиза "</w:t>
            </w:r>
          </w:p>
        </w:tc>
      </w:tr>
      <w:tr w:rsidR="002B1C74" w:rsidRPr="002F2FDF" w14:paraId="1F8C1532" w14:textId="77777777">
        <w:tc>
          <w:tcPr>
            <w:tcW w:w="5686" w:type="dxa"/>
          </w:tcPr>
          <w:p w14:paraId="0E1420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Мощность максимальная, л.с.</w:t>
            </w:r>
          </w:p>
        </w:tc>
        <w:tc>
          <w:tcPr>
            <w:tcW w:w="4738" w:type="dxa"/>
          </w:tcPr>
          <w:p w14:paraId="353A7A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w:t>
            </w:r>
          </w:p>
        </w:tc>
      </w:tr>
      <w:tr w:rsidR="002B1C74" w:rsidRPr="002F2FDF" w14:paraId="7D7BF213" w14:textId="77777777">
        <w:tc>
          <w:tcPr>
            <w:tcW w:w="5686" w:type="dxa"/>
          </w:tcPr>
          <w:p w14:paraId="5C15F3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Скорость максимальная, км/ч</w:t>
            </w:r>
          </w:p>
        </w:tc>
        <w:tc>
          <w:tcPr>
            <w:tcW w:w="4738" w:type="dxa"/>
          </w:tcPr>
          <w:p w14:paraId="512116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210</w:t>
            </w:r>
          </w:p>
        </w:tc>
      </w:tr>
      <w:tr w:rsidR="002B1C74" w:rsidRPr="002F2FDF" w14:paraId="797EF701" w14:textId="77777777">
        <w:tc>
          <w:tcPr>
            <w:tcW w:w="5686" w:type="dxa"/>
          </w:tcPr>
          <w:p w14:paraId="1702C1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Время набора высоты 2000 м, мин</w:t>
            </w:r>
          </w:p>
        </w:tc>
        <w:tc>
          <w:tcPr>
            <w:tcW w:w="4738" w:type="dxa"/>
          </w:tcPr>
          <w:p w14:paraId="5FB338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w:t>
            </w:r>
          </w:p>
        </w:tc>
      </w:tr>
      <w:tr w:rsidR="002B1C74" w:rsidRPr="002F2FDF" w14:paraId="4500CEDC" w14:textId="77777777">
        <w:tc>
          <w:tcPr>
            <w:tcW w:w="5686" w:type="dxa"/>
          </w:tcPr>
          <w:p w14:paraId="16D6C7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Потолок практический, м</w:t>
            </w:r>
          </w:p>
        </w:tc>
        <w:tc>
          <w:tcPr>
            <w:tcW w:w="4738" w:type="dxa"/>
          </w:tcPr>
          <w:p w14:paraId="48AA36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6500</w:t>
            </w:r>
          </w:p>
        </w:tc>
      </w:tr>
      <w:tr w:rsidR="002B1C74" w:rsidRPr="002F2FDF" w14:paraId="7C50A25B" w14:textId="77777777">
        <w:tc>
          <w:tcPr>
            <w:tcW w:w="5686" w:type="dxa"/>
          </w:tcPr>
          <w:p w14:paraId="4B0CAE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Продолжительность полета, час</w:t>
            </w:r>
          </w:p>
        </w:tc>
        <w:tc>
          <w:tcPr>
            <w:tcW w:w="4738" w:type="dxa"/>
          </w:tcPr>
          <w:p w14:paraId="4089AA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r>
      <w:tr w:rsidR="002B1C74" w:rsidRPr="002F2FDF" w14:paraId="0FF7784D" w14:textId="77777777">
        <w:tc>
          <w:tcPr>
            <w:tcW w:w="5686" w:type="dxa"/>
          </w:tcPr>
          <w:p w14:paraId="3C716C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крыла, м</w:t>
            </w:r>
            <w:r w:rsidRPr="002F2FDF">
              <w:rPr>
                <w:rFonts w:ascii="Times New Roman" w:hAnsi="Times New Roman" w:cs="Times New Roman"/>
                <w:color w:val="000000" w:themeColor="text1"/>
                <w:kern w:val="2"/>
                <w:sz w:val="16"/>
                <w:szCs w:val="16"/>
                <w:vertAlign w:val="superscript"/>
              </w:rPr>
              <w:t>2</w:t>
            </w:r>
          </w:p>
        </w:tc>
        <w:tc>
          <w:tcPr>
            <w:tcW w:w="4738" w:type="dxa"/>
          </w:tcPr>
          <w:p w14:paraId="6652C2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13,5</w:t>
            </w:r>
          </w:p>
        </w:tc>
      </w:tr>
      <w:tr w:rsidR="002B1C74" w:rsidRPr="002F2FDF" w14:paraId="1E46CC46" w14:textId="77777777">
        <w:tc>
          <w:tcPr>
            <w:tcW w:w="5686" w:type="dxa"/>
          </w:tcPr>
          <w:p w14:paraId="23CEE7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Взлетный вес, кг</w:t>
            </w:r>
          </w:p>
        </w:tc>
        <w:tc>
          <w:tcPr>
            <w:tcW w:w="4738" w:type="dxa"/>
          </w:tcPr>
          <w:p w14:paraId="53A28E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785</w:t>
            </w:r>
          </w:p>
        </w:tc>
      </w:tr>
      <w:tr w:rsidR="002B1C74" w:rsidRPr="002F2FDF" w14:paraId="42064F74" w14:textId="77777777">
        <w:tc>
          <w:tcPr>
            <w:tcW w:w="5686" w:type="dxa"/>
          </w:tcPr>
          <w:p w14:paraId="1D1750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 пустого самолета, кг</w:t>
            </w:r>
          </w:p>
        </w:tc>
        <w:tc>
          <w:tcPr>
            <w:tcW w:w="4738" w:type="dxa"/>
          </w:tcPr>
          <w:p w14:paraId="2280CB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571</w:t>
            </w:r>
          </w:p>
        </w:tc>
      </w:tr>
      <w:tr w:rsidR="002B1C74" w:rsidRPr="002F2FDF" w14:paraId="0277DC05" w14:textId="77777777">
        <w:tc>
          <w:tcPr>
            <w:tcW w:w="5686" w:type="dxa"/>
          </w:tcPr>
          <w:p w14:paraId="0722F6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Запас топлива, кг</w:t>
            </w:r>
          </w:p>
        </w:tc>
        <w:tc>
          <w:tcPr>
            <w:tcW w:w="4738" w:type="dxa"/>
          </w:tcPr>
          <w:p w14:paraId="635657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w:t>
            </w:r>
          </w:p>
        </w:tc>
      </w:tr>
      <w:tr w:rsidR="002B1C74" w:rsidRPr="002F2FDF" w14:paraId="11BFC107" w14:textId="77777777">
        <w:tc>
          <w:tcPr>
            <w:tcW w:w="5686" w:type="dxa"/>
          </w:tcPr>
          <w:p w14:paraId="4B4052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Уд. нагрузка на крыло, кг/м2</w:t>
            </w:r>
          </w:p>
        </w:tc>
        <w:tc>
          <w:tcPr>
            <w:tcW w:w="4738" w:type="dxa"/>
          </w:tcPr>
          <w:p w14:paraId="7DB487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58,2</w:t>
            </w:r>
          </w:p>
        </w:tc>
      </w:tr>
      <w:tr w:rsidR="002B1C74" w:rsidRPr="002F2FDF" w14:paraId="45FE3434" w14:textId="77777777">
        <w:tc>
          <w:tcPr>
            <w:tcW w:w="5686" w:type="dxa"/>
          </w:tcPr>
          <w:p w14:paraId="045CD6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Уд. нагрузка на мощность, кг/л.с.</w:t>
            </w:r>
          </w:p>
        </w:tc>
        <w:tc>
          <w:tcPr>
            <w:tcW w:w="4738" w:type="dxa"/>
          </w:tcPr>
          <w:p w14:paraId="78A0A5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w:t>
            </w:r>
          </w:p>
        </w:tc>
      </w:tr>
      <w:tr w:rsidR="002B1C74" w:rsidRPr="002F2FDF" w14:paraId="33F62E92" w14:textId="77777777">
        <w:tc>
          <w:tcPr>
            <w:tcW w:w="5686" w:type="dxa"/>
            <w:tcBorders>
              <w:bottom w:val="single" w:sz="12" w:space="0" w:color="auto"/>
            </w:tcBorders>
          </w:tcPr>
          <w:p w14:paraId="442583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Весовая отдача, %</w:t>
            </w:r>
          </w:p>
        </w:tc>
        <w:tc>
          <w:tcPr>
            <w:tcW w:w="4738" w:type="dxa"/>
            <w:tcBorders>
              <w:bottom w:val="single" w:sz="12" w:space="0" w:color="auto"/>
            </w:tcBorders>
          </w:tcPr>
          <w:p w14:paraId="6E2C48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27,3</w:t>
            </w:r>
          </w:p>
        </w:tc>
      </w:tr>
    </w:tbl>
    <w:p w14:paraId="066570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 данные расчетные</w:t>
      </w:r>
    </w:p>
    <w:p w14:paraId="7CA279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(11918).</w:t>
      </w:r>
    </w:p>
    <w:p w14:paraId="002276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51E932" w14:textId="4F12F6E4" w:rsidR="00FF1DF9" w:rsidRPr="00FB4F67" w:rsidRDefault="00FF1DF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13 </w:t>
      </w:r>
      <w:r>
        <w:rPr>
          <w:rFonts w:ascii="Times New Roman" w:hAnsi="Times New Roman" w:cs="Times New Roman"/>
          <w:color w:val="0070C0"/>
          <w:sz w:val="16"/>
          <w:szCs w:val="16"/>
        </w:rPr>
        <w:t xml:space="preserve">(26) </w:t>
      </w:r>
      <w:r w:rsidRPr="00FB4F67">
        <w:rPr>
          <w:rFonts w:ascii="Times New Roman" w:hAnsi="Times New Roman" w:cs="Times New Roman"/>
          <w:color w:val="0070C0"/>
          <w:sz w:val="16"/>
          <w:szCs w:val="16"/>
        </w:rPr>
        <w:t>сентября 1917 года проект «контристребителя» ВМ-6, и уст</w:t>
      </w:r>
      <w:r w:rsidRPr="00FB4F67">
        <w:rPr>
          <w:rFonts w:ascii="Times New Roman" w:hAnsi="Times New Roman" w:cs="Times New Roman"/>
          <w:color w:val="0070C0"/>
          <w:sz w:val="16"/>
          <w:szCs w:val="16"/>
        </w:rPr>
        <w:softHyphen/>
        <w:t>ройства для взлета (катапульты, приводимой в действие сжатым воздухом) были пред</w:t>
      </w:r>
      <w:r w:rsidRPr="00FB4F67">
        <w:rPr>
          <w:rFonts w:ascii="Times New Roman" w:hAnsi="Times New Roman" w:cs="Times New Roman"/>
          <w:color w:val="0070C0"/>
          <w:sz w:val="16"/>
          <w:szCs w:val="16"/>
        </w:rPr>
        <w:softHyphen/>
        <w:t>ставлены Виллишем в Управление морской авиации. После рас</w:t>
      </w:r>
      <w:r w:rsidRPr="00FB4F67">
        <w:rPr>
          <w:rFonts w:ascii="Times New Roman" w:hAnsi="Times New Roman" w:cs="Times New Roman"/>
          <w:color w:val="0070C0"/>
          <w:sz w:val="16"/>
          <w:szCs w:val="16"/>
        </w:rPr>
        <w:softHyphen/>
        <w:t>смотрения представленных материалов по</w:t>
      </w:r>
      <w:r w:rsidRPr="00FB4F67">
        <w:rPr>
          <w:rFonts w:ascii="Times New Roman" w:hAnsi="Times New Roman" w:cs="Times New Roman"/>
          <w:color w:val="0070C0"/>
          <w:sz w:val="16"/>
          <w:szCs w:val="16"/>
        </w:rPr>
        <w:softHyphen/>
        <w:t>следовало решение построить на фабрике Ф. Мельцера 5 экземпляров. Первый обра</w:t>
      </w:r>
      <w:r w:rsidRPr="00FB4F67">
        <w:rPr>
          <w:rFonts w:ascii="Times New Roman" w:hAnsi="Times New Roman" w:cs="Times New Roman"/>
          <w:color w:val="0070C0"/>
          <w:sz w:val="16"/>
          <w:szCs w:val="16"/>
        </w:rPr>
        <w:softHyphen/>
        <w:t>зец «контристребителя» почти закончили к весне 1918 года, однако дальнейшего про</w:t>
      </w:r>
      <w:r w:rsidRPr="00FB4F67">
        <w:rPr>
          <w:rFonts w:ascii="Times New Roman" w:hAnsi="Times New Roman" w:cs="Times New Roman"/>
          <w:color w:val="0070C0"/>
          <w:sz w:val="16"/>
          <w:szCs w:val="16"/>
        </w:rPr>
        <w:softHyphen/>
        <w:t>должения не последовало. А.Ю. Виллиш су</w:t>
      </w:r>
      <w:r w:rsidRPr="00FB4F67">
        <w:rPr>
          <w:rFonts w:ascii="Times New Roman" w:hAnsi="Times New Roman" w:cs="Times New Roman"/>
          <w:color w:val="0070C0"/>
          <w:sz w:val="16"/>
          <w:szCs w:val="16"/>
        </w:rPr>
        <w:softHyphen/>
        <w:t>мел покинуть охваченную революционными событиями Россию и, судя по всему, вернул</w:t>
      </w:r>
      <w:r w:rsidRPr="00FB4F67">
        <w:rPr>
          <w:rFonts w:ascii="Times New Roman" w:hAnsi="Times New Roman" w:cs="Times New Roman"/>
          <w:color w:val="0070C0"/>
          <w:sz w:val="16"/>
          <w:szCs w:val="16"/>
        </w:rPr>
        <w:softHyphen/>
        <w:t>ся в родные места. О его дальнейшей судьбе сведений не имеется (23374).</w:t>
      </w:r>
    </w:p>
    <w:p w14:paraId="5A6BF44F" w14:textId="77777777" w:rsidR="00FF1DF9" w:rsidRPr="00FB4F67" w:rsidRDefault="00FF1DF9" w:rsidP="0083075A">
      <w:pPr>
        <w:spacing w:after="0" w:line="240" w:lineRule="auto"/>
        <w:jc w:val="both"/>
        <w:rPr>
          <w:rFonts w:ascii="Times New Roman" w:hAnsi="Times New Roman" w:cs="Times New Roman"/>
          <w:color w:val="0070C0"/>
          <w:sz w:val="16"/>
          <w:szCs w:val="16"/>
        </w:rPr>
      </w:pPr>
    </w:p>
    <w:p w14:paraId="453297AA" w14:textId="77777777" w:rsidR="0055271B"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40F12E86" w14:textId="77777777" w:rsidR="0055271B" w:rsidRPr="002F2FDF" w:rsidRDefault="0055271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92A3C4"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сентября 1917 Телеграмма уполномоченного Особого совещания по обороне и председателя Одесского заводского совещания Скульского председателю Особого совещания по обороне об угрозе закрытия предприятий, работающих на «обороту», в связи с сокращением нормы топлива.</w:t>
      </w:r>
    </w:p>
    <w:p w14:paraId="37A19548"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151</w:t>
      </w:r>
    </w:p>
    <w:p w14:paraId="4CE8C764"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369, оп. 14, д. 28, лл. 45—46. Телегр. бланк.</w:t>
      </w:r>
    </w:p>
    <w:p w14:paraId="1936382C"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Согласно телеграммы Осотопа от пятого сентября № РМ351, на последнюю четверть Одесскому району назначено 1600 тыс. пуд. топлива [по] основному распределению. Такая норма обусловливает закрытие всех фабрик [и] заводов, работающих [на] оборону, кроме Наваля, что вызовет не только почти полное прекращение производства снарядов и всех заказов, нужных обороне государства, но тысячи рабочих, будучи выброшенными на улицу, увеличат армию голодных и недовольных. Во избежание могущих возникнуть волнений на почве угольного голода н невозможности удовлетворения неотложных нужд фронта Одесское заводское совещание убедительно просит оставить для Одесского района прежнюю голодную основную норму 2060 тыс. пуд. Увеличение возможно использованием больных вагонов Екатерининской ж. д., короткого расстояния ст. Мариуполь и оставшегося невывезенным угля по расстройству транспорта [в] другие районы.</w:t>
      </w:r>
    </w:p>
    <w:p w14:paraId="5015B897"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Уполоборона Скульский (15664).</w:t>
      </w:r>
    </w:p>
    <w:p w14:paraId="6C575311"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p>
    <w:p w14:paraId="6D1AA7B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29FF6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B35A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сентября 1917 летчики 1БАГ совер</w:t>
      </w:r>
      <w:r w:rsidRPr="002F2FDF">
        <w:rPr>
          <w:rFonts w:ascii="Times New Roman" w:hAnsi="Times New Roman" w:cs="Times New Roman"/>
          <w:color w:val="000000" w:themeColor="text1"/>
          <w:kern w:val="2"/>
          <w:sz w:val="16"/>
          <w:szCs w:val="16"/>
        </w:rPr>
        <w:softHyphen/>
        <w:t>шили 13 боевых полетов и провели 4 воздушных боя. Для летчика 2-го као прапорщика Крисанова этот день ока</w:t>
      </w:r>
      <w:r w:rsidRPr="002F2FDF">
        <w:rPr>
          <w:rFonts w:ascii="Times New Roman" w:hAnsi="Times New Roman" w:cs="Times New Roman"/>
          <w:color w:val="000000" w:themeColor="text1"/>
          <w:kern w:val="2"/>
          <w:sz w:val="16"/>
          <w:szCs w:val="16"/>
        </w:rPr>
        <w:softHyphen/>
        <w:t>зался последним. Согласно донесе</w:t>
      </w:r>
      <w:r w:rsidRPr="002F2FDF">
        <w:rPr>
          <w:rFonts w:ascii="Times New Roman" w:hAnsi="Times New Roman" w:cs="Times New Roman"/>
          <w:color w:val="000000" w:themeColor="text1"/>
          <w:kern w:val="2"/>
          <w:sz w:val="16"/>
          <w:szCs w:val="16"/>
        </w:rPr>
        <w:softHyphen/>
        <w:t>нию, “Крисанов и Леман атаковали одновременно самолет противника и сбили его вблизи Гусятина, но в этом же бою в расположение неприятеля упал и наш летчик прапорщик Криса</w:t>
      </w:r>
      <w:r w:rsidRPr="002F2FDF">
        <w:rPr>
          <w:rFonts w:ascii="Times New Roman" w:hAnsi="Times New Roman" w:cs="Times New Roman"/>
          <w:color w:val="000000" w:themeColor="text1"/>
          <w:kern w:val="2"/>
          <w:sz w:val="16"/>
          <w:szCs w:val="16"/>
        </w:rPr>
        <w:softHyphen/>
        <w:t>нов”. В дневнике группы о сбитом са</w:t>
      </w:r>
      <w:r w:rsidRPr="002F2FDF">
        <w:rPr>
          <w:rFonts w:ascii="Times New Roman" w:hAnsi="Times New Roman" w:cs="Times New Roman"/>
          <w:color w:val="000000" w:themeColor="text1"/>
          <w:kern w:val="2"/>
          <w:sz w:val="16"/>
          <w:szCs w:val="16"/>
        </w:rPr>
        <w:softHyphen/>
        <w:t>молете противника сведений нет, а имеется следующая информация: “...прапорщик Крисанов погиб смер</w:t>
      </w:r>
      <w:r w:rsidRPr="002F2FDF">
        <w:rPr>
          <w:rFonts w:ascii="Times New Roman" w:hAnsi="Times New Roman" w:cs="Times New Roman"/>
          <w:color w:val="000000" w:themeColor="text1"/>
          <w:kern w:val="2"/>
          <w:sz w:val="16"/>
          <w:szCs w:val="16"/>
        </w:rPr>
        <w:softHyphen/>
        <w:t>тью героя, упал после воздушного боя около 11 час у северо-западной окра</w:t>
      </w:r>
      <w:r w:rsidRPr="002F2FDF">
        <w:rPr>
          <w:rFonts w:ascii="Times New Roman" w:hAnsi="Times New Roman" w:cs="Times New Roman"/>
          <w:color w:val="000000" w:themeColor="text1"/>
          <w:kern w:val="2"/>
          <w:sz w:val="16"/>
          <w:szCs w:val="16"/>
        </w:rPr>
        <w:softHyphen/>
        <w:t>ины Глуховского леса у высоты “312” по показаниям офицеров 1 и 17 Фин</w:t>
      </w:r>
      <w:r w:rsidRPr="002F2FDF">
        <w:rPr>
          <w:rFonts w:ascii="Times New Roman" w:hAnsi="Times New Roman" w:cs="Times New Roman"/>
          <w:color w:val="000000" w:themeColor="text1"/>
          <w:kern w:val="2"/>
          <w:sz w:val="16"/>
          <w:szCs w:val="16"/>
        </w:rPr>
        <w:softHyphen/>
        <w:t>ляндских полков в расположении про</w:t>
      </w:r>
      <w:r w:rsidRPr="002F2FDF">
        <w:rPr>
          <w:rFonts w:ascii="Times New Roman" w:hAnsi="Times New Roman" w:cs="Times New Roman"/>
          <w:color w:val="000000" w:themeColor="text1"/>
          <w:kern w:val="2"/>
          <w:sz w:val="16"/>
          <w:szCs w:val="16"/>
        </w:rPr>
        <w:softHyphen/>
        <w:t>тивника” (3954).</w:t>
      </w:r>
    </w:p>
    <w:p w14:paraId="2491EE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7C44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сентября 1917 Нач. штаба ВГК издал приказ N 894: "Подводя итоги работы нашей славной авиации за истекшую весну и лето, отмечаю исключительно доблестное и самоотверженное отношение к делу всего личного состава боевых авиачастей, которым пришлось действовать в особо тяжелых условиях. В период пассивной обороны наша а ни на минуту не прекращала своей деятельности, являясь бдительным стражем нашей армии и предупреждая, насколько позволяли ее средства, наступательные замыслы противника. Во время июньских операций ни общее превосходство воздушного противника, ни тяжелые потери не могли помешать нашим л оказать самое полное и энергичное содействие с целью подготовки и выполнения операции. особо подчеркиваю то обстоятельство, что при худшем относительно снабжении по сравнению с прошлым, наши л выполнили работу в полтора раза большую по количеству полетов, неизмеримо более продуктивную по качеству. Понеся потери более значительные, чем прочие рода войск,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(438,373).</w:t>
      </w:r>
    </w:p>
    <w:p w14:paraId="7359A3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F45E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13 </w:t>
      </w:r>
      <w:r w:rsidR="002E2452" w:rsidRPr="002F2FDF">
        <w:rPr>
          <w:rFonts w:ascii="Times New Roman" w:hAnsi="Times New Roman" w:cs="Times New Roman"/>
          <w:color w:val="000000" w:themeColor="text1"/>
          <w:kern w:val="2"/>
          <w:sz w:val="16"/>
          <w:szCs w:val="16"/>
        </w:rPr>
        <w:t xml:space="preserve">(26) </w:t>
      </w:r>
      <w:r w:rsidRPr="002F2FDF">
        <w:rPr>
          <w:rFonts w:ascii="Times New Roman" w:hAnsi="Times New Roman" w:cs="Times New Roman"/>
          <w:color w:val="000000" w:themeColor="text1"/>
          <w:kern w:val="2"/>
          <w:sz w:val="16"/>
          <w:szCs w:val="16"/>
        </w:rPr>
        <w:t>сентября 1917 в приказе №894 от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49E976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73B0E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сентября 1917 Начальник штабе ВГК издал приказ № 894, г котором давалась оценка боевой деятельности авиации:</w:t>
      </w:r>
    </w:p>
    <w:p w14:paraId="1D56E57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"Подводя итоги работы нашей славной авиации за истекшую весну и лото, отмечаю исключительно доблестное и самоотвер</w:t>
      </w:r>
      <w:r w:rsidRPr="002F2FDF">
        <w:rPr>
          <w:rFonts w:ascii="Times New Roman" w:hAnsi="Times New Roman" w:cs="Times New Roman"/>
          <w:color w:val="000000" w:themeColor="text1"/>
          <w:kern w:val="2"/>
          <w:sz w:val="16"/>
          <w:szCs w:val="16"/>
        </w:rPr>
        <w:softHyphen/>
        <w:t>женное отношение к долу всего личного состава боевых авиаци</w:t>
      </w:r>
      <w:r w:rsidRPr="002F2FDF">
        <w:rPr>
          <w:rFonts w:ascii="Times New Roman" w:hAnsi="Times New Roman" w:cs="Times New Roman"/>
          <w:color w:val="000000" w:themeColor="text1"/>
          <w:kern w:val="2"/>
          <w:sz w:val="16"/>
          <w:szCs w:val="16"/>
        </w:rPr>
        <w:softHyphen/>
        <w:t>онных частей, которым пришлось действовать в. особо тяжелых условиях. В период пассивной обороны авиация ни на минуту не прекращала своей деятельности, являясь бдительный стражем нашей армии и предупреждая, насколько позволяли ее средства, наступательные замыслы противника. Во время июньских операций ни общее превосходство воздушного противника, ни тяжелые поте</w:t>
      </w:r>
      <w:r w:rsidRPr="002F2FDF">
        <w:rPr>
          <w:rFonts w:ascii="Times New Roman" w:hAnsi="Times New Roman" w:cs="Times New Roman"/>
          <w:color w:val="000000" w:themeColor="text1"/>
          <w:kern w:val="2"/>
          <w:sz w:val="16"/>
          <w:szCs w:val="16"/>
        </w:rPr>
        <w:softHyphen/>
        <w:t>ри но могли помешать нашим летчикам оказать самое полное и энергичное содействие г деле подготовки и выполнения операции. Особенно подчеркиваю то обстоятельство, что при худшем относи</w:t>
      </w:r>
      <w:r w:rsidRPr="002F2FDF">
        <w:rPr>
          <w:rFonts w:ascii="Times New Roman" w:hAnsi="Times New Roman" w:cs="Times New Roman"/>
          <w:color w:val="000000" w:themeColor="text1"/>
          <w:kern w:val="2"/>
          <w:sz w:val="16"/>
          <w:szCs w:val="16"/>
        </w:rPr>
        <w:softHyphen/>
        <w:t>тельно снабжении по сравнению с прошлым наши летчики гыполняли работу в полтора раза большую по количеству полетов, неиз</w:t>
      </w:r>
      <w:r w:rsidRPr="002F2FDF">
        <w:rPr>
          <w:rFonts w:ascii="Times New Roman" w:hAnsi="Times New Roman" w:cs="Times New Roman"/>
          <w:color w:val="000000" w:themeColor="text1"/>
          <w:kern w:val="2"/>
          <w:sz w:val="16"/>
          <w:szCs w:val="16"/>
        </w:rPr>
        <w:softHyphen/>
        <w:t>меримо более продуктивную по кэчостгу. Понеся потери более значительные, чем прочие роды войск, наша авиация нанесла противнику втрое больший урон, достигая во многих мостах пре</w:t>
      </w:r>
      <w:r w:rsidRPr="002F2FDF">
        <w:rPr>
          <w:rFonts w:ascii="Times New Roman" w:hAnsi="Times New Roman" w:cs="Times New Roman"/>
          <w:color w:val="000000" w:themeColor="text1"/>
          <w:kern w:val="2"/>
          <w:sz w:val="16"/>
          <w:szCs w:val="16"/>
        </w:rPr>
        <w:softHyphen/>
        <w:t>восходства в воздухе и приковывая к нашему фронту значитель</w:t>
      </w:r>
      <w:r w:rsidRPr="002F2FDF">
        <w:rPr>
          <w:rFonts w:ascii="Times New Roman" w:hAnsi="Times New Roman" w:cs="Times New Roman"/>
          <w:color w:val="000000" w:themeColor="text1"/>
          <w:kern w:val="2"/>
          <w:sz w:val="16"/>
          <w:szCs w:val="16"/>
        </w:rPr>
        <w:softHyphen/>
        <w:t>ные его воздушные силы.</w:t>
      </w:r>
    </w:p>
    <w:p w14:paraId="29AEB62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 всей души благодарю доблестных работников и творцов будущего воздушного флота Свободной России и желаю дальнейших успехов как в геройской борьбе с противником на рубеже родины, так и в общокультурной борьбе человечество на обладание воз</w:t>
      </w:r>
      <w:r w:rsidRPr="002F2FDF">
        <w:rPr>
          <w:rFonts w:ascii="Times New Roman" w:hAnsi="Times New Roman" w:cs="Times New Roman"/>
          <w:color w:val="000000" w:themeColor="text1"/>
          <w:kern w:val="2"/>
          <w:sz w:val="16"/>
          <w:szCs w:val="16"/>
        </w:rPr>
        <w:softHyphen/>
        <w:t>духом". (ВВФ. 1927, № 5).</w:t>
      </w:r>
    </w:p>
    <w:p w14:paraId="2E8E52B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69C8A3" w14:textId="77777777" w:rsidR="004C280F" w:rsidRPr="00EE7934" w:rsidRDefault="004C280F"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EE7934">
        <w:rPr>
          <w:rFonts w:ascii="Times New Roman" w:hAnsi="Times New Roman" w:cs="Times New Roman"/>
          <w:color w:val="0070C0"/>
          <w:kern w:val="2"/>
          <w:sz w:val="16"/>
          <w:szCs w:val="16"/>
        </w:rPr>
        <w:t>13 (26) сентября 1917 г. Начальник штабе ВГК издал приказ № 894, г котором давалась оценка боевой деятельности авиации:</w:t>
      </w:r>
    </w:p>
    <w:p w14:paraId="19431186" w14:textId="77777777" w:rsidR="004C280F" w:rsidRPr="00EE7934" w:rsidRDefault="004C280F"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EE7934">
        <w:rPr>
          <w:rFonts w:ascii="Times New Roman" w:hAnsi="Times New Roman" w:cs="Times New Roman"/>
          <w:color w:val="0070C0"/>
          <w:kern w:val="2"/>
          <w:sz w:val="16"/>
          <w:szCs w:val="16"/>
        </w:rPr>
        <w:t>"Подводя итоги работы нашей славной авиации за истекшую весну и лото, отмечаю исключительно доблестное и самоотвер</w:t>
      </w:r>
      <w:r w:rsidRPr="00EE7934">
        <w:rPr>
          <w:rFonts w:ascii="Times New Roman" w:hAnsi="Times New Roman" w:cs="Times New Roman"/>
          <w:color w:val="0070C0"/>
          <w:kern w:val="2"/>
          <w:sz w:val="16"/>
          <w:szCs w:val="16"/>
        </w:rPr>
        <w:softHyphen/>
        <w:t>женное отношение к долу всего личного состава боевых авиаци</w:t>
      </w:r>
      <w:r w:rsidRPr="00EE7934">
        <w:rPr>
          <w:rFonts w:ascii="Times New Roman" w:hAnsi="Times New Roman" w:cs="Times New Roman"/>
          <w:color w:val="0070C0"/>
          <w:kern w:val="2"/>
          <w:sz w:val="16"/>
          <w:szCs w:val="16"/>
        </w:rPr>
        <w:softHyphen/>
        <w:t>онных частей, которым пришлось действовать в. особо тяжелых условиях. В период пассивной обороны авиация ни на минуту не прекращала своей деятельности, являясь бдительный стражем нашей армии и предупреждая, насколько позволяли ее средства, наступательные замыслы противника. Во время июньских операций ни общее превосходство воздушного противника, ни тяжелые поте</w:t>
      </w:r>
      <w:r w:rsidRPr="00EE7934">
        <w:rPr>
          <w:rFonts w:ascii="Times New Roman" w:hAnsi="Times New Roman" w:cs="Times New Roman"/>
          <w:color w:val="0070C0"/>
          <w:kern w:val="2"/>
          <w:sz w:val="16"/>
          <w:szCs w:val="16"/>
        </w:rPr>
        <w:softHyphen/>
        <w:t>ри но могли помешать нашим летчикам оказать самое полное и энергичное содействие г деле подготовки и выполнения операции. Особенно подчеркиваю то обстоятельство, что при худшем относи</w:t>
      </w:r>
      <w:r w:rsidRPr="00EE7934">
        <w:rPr>
          <w:rFonts w:ascii="Times New Roman" w:hAnsi="Times New Roman" w:cs="Times New Roman"/>
          <w:color w:val="0070C0"/>
          <w:kern w:val="2"/>
          <w:sz w:val="16"/>
          <w:szCs w:val="16"/>
        </w:rPr>
        <w:softHyphen/>
        <w:t xml:space="preserve">тельно снабжении по сравнению с прошлым наши летчики </w:t>
      </w:r>
      <w:r>
        <w:rPr>
          <w:rFonts w:ascii="Times New Roman" w:hAnsi="Times New Roman" w:cs="Times New Roman"/>
          <w:color w:val="0070C0"/>
          <w:kern w:val="2"/>
          <w:sz w:val="16"/>
          <w:szCs w:val="16"/>
        </w:rPr>
        <w:t>в</w:t>
      </w:r>
      <w:r w:rsidRPr="00EE7934">
        <w:rPr>
          <w:rFonts w:ascii="Times New Roman" w:hAnsi="Times New Roman" w:cs="Times New Roman"/>
          <w:color w:val="0070C0"/>
          <w:kern w:val="2"/>
          <w:sz w:val="16"/>
          <w:szCs w:val="16"/>
        </w:rPr>
        <w:t>ыполняли работу в полтора раза большую по количеству полетов, неиз</w:t>
      </w:r>
      <w:r w:rsidRPr="00EE7934">
        <w:rPr>
          <w:rFonts w:ascii="Times New Roman" w:hAnsi="Times New Roman" w:cs="Times New Roman"/>
          <w:color w:val="0070C0"/>
          <w:kern w:val="2"/>
          <w:sz w:val="16"/>
          <w:szCs w:val="16"/>
        </w:rPr>
        <w:softHyphen/>
        <w:t>меримо более продуктивную по к</w:t>
      </w:r>
      <w:r>
        <w:rPr>
          <w:rFonts w:ascii="Times New Roman" w:hAnsi="Times New Roman" w:cs="Times New Roman"/>
          <w:color w:val="0070C0"/>
          <w:kern w:val="2"/>
          <w:sz w:val="16"/>
          <w:szCs w:val="16"/>
        </w:rPr>
        <w:t>а</w:t>
      </w:r>
      <w:r w:rsidRPr="00EE7934">
        <w:rPr>
          <w:rFonts w:ascii="Times New Roman" w:hAnsi="Times New Roman" w:cs="Times New Roman"/>
          <w:color w:val="0070C0"/>
          <w:kern w:val="2"/>
          <w:sz w:val="16"/>
          <w:szCs w:val="16"/>
        </w:rPr>
        <w:t>ч</w:t>
      </w:r>
      <w:r>
        <w:rPr>
          <w:rFonts w:ascii="Times New Roman" w:hAnsi="Times New Roman" w:cs="Times New Roman"/>
          <w:color w:val="0070C0"/>
          <w:kern w:val="2"/>
          <w:sz w:val="16"/>
          <w:szCs w:val="16"/>
        </w:rPr>
        <w:t>е</w:t>
      </w:r>
      <w:r w:rsidRPr="00EE7934">
        <w:rPr>
          <w:rFonts w:ascii="Times New Roman" w:hAnsi="Times New Roman" w:cs="Times New Roman"/>
          <w:color w:val="0070C0"/>
          <w:kern w:val="2"/>
          <w:sz w:val="16"/>
          <w:szCs w:val="16"/>
        </w:rPr>
        <w:t>ст</w:t>
      </w:r>
      <w:r>
        <w:rPr>
          <w:rFonts w:ascii="Times New Roman" w:hAnsi="Times New Roman" w:cs="Times New Roman"/>
          <w:color w:val="0070C0"/>
          <w:kern w:val="2"/>
          <w:sz w:val="16"/>
          <w:szCs w:val="16"/>
        </w:rPr>
        <w:t>в</w:t>
      </w:r>
      <w:r w:rsidRPr="00EE7934">
        <w:rPr>
          <w:rFonts w:ascii="Times New Roman" w:hAnsi="Times New Roman" w:cs="Times New Roman"/>
          <w:color w:val="0070C0"/>
          <w:kern w:val="2"/>
          <w:sz w:val="16"/>
          <w:szCs w:val="16"/>
        </w:rPr>
        <w:t>у. Понеся потери более значительные, чем прочие роды войск, наша авиация нанесла противнику втрое больший урон, достигая во многих мостах пре</w:t>
      </w:r>
      <w:r w:rsidRPr="00EE7934">
        <w:rPr>
          <w:rFonts w:ascii="Times New Roman" w:hAnsi="Times New Roman" w:cs="Times New Roman"/>
          <w:color w:val="0070C0"/>
          <w:kern w:val="2"/>
          <w:sz w:val="16"/>
          <w:szCs w:val="16"/>
        </w:rPr>
        <w:softHyphen/>
        <w:t>восходства в воздухе и приковывая к нашему фронту значитель</w:t>
      </w:r>
      <w:r w:rsidRPr="00EE7934">
        <w:rPr>
          <w:rFonts w:ascii="Times New Roman" w:hAnsi="Times New Roman" w:cs="Times New Roman"/>
          <w:color w:val="0070C0"/>
          <w:kern w:val="2"/>
          <w:sz w:val="16"/>
          <w:szCs w:val="16"/>
        </w:rPr>
        <w:softHyphen/>
        <w:t>ные его воздушные силы.</w:t>
      </w:r>
    </w:p>
    <w:p w14:paraId="3D040258" w14:textId="77777777" w:rsidR="004C280F" w:rsidRPr="00EE7934" w:rsidRDefault="004C280F"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EE7934">
        <w:rPr>
          <w:rFonts w:ascii="Times New Roman" w:hAnsi="Times New Roman" w:cs="Times New Roman"/>
          <w:color w:val="0070C0"/>
          <w:kern w:val="2"/>
          <w:sz w:val="16"/>
          <w:szCs w:val="16"/>
        </w:rPr>
        <w:t>От всей души благодарю доблестных работников и творцов будущего воздушного флота Свободной России и желаю дальнейших успехов как в геройской борьбе с противником на рубеже родины, так и в общ</w:t>
      </w:r>
      <w:r>
        <w:rPr>
          <w:rFonts w:ascii="Times New Roman" w:hAnsi="Times New Roman" w:cs="Times New Roman"/>
          <w:color w:val="0070C0"/>
          <w:kern w:val="2"/>
          <w:sz w:val="16"/>
          <w:szCs w:val="16"/>
        </w:rPr>
        <w:t>е</w:t>
      </w:r>
      <w:r w:rsidRPr="00EE7934">
        <w:rPr>
          <w:rFonts w:ascii="Times New Roman" w:hAnsi="Times New Roman" w:cs="Times New Roman"/>
          <w:color w:val="0070C0"/>
          <w:kern w:val="2"/>
          <w:sz w:val="16"/>
          <w:szCs w:val="16"/>
        </w:rPr>
        <w:t>культурной борьбе человечество на обладание воз</w:t>
      </w:r>
      <w:r w:rsidRPr="00EE7934">
        <w:rPr>
          <w:rFonts w:ascii="Times New Roman" w:hAnsi="Times New Roman" w:cs="Times New Roman"/>
          <w:color w:val="0070C0"/>
          <w:kern w:val="2"/>
          <w:sz w:val="16"/>
          <w:szCs w:val="16"/>
        </w:rPr>
        <w:softHyphen/>
        <w:t>духом".</w:t>
      </w:r>
    </w:p>
    <w:p w14:paraId="48715CE1" w14:textId="77777777" w:rsidR="004C280F" w:rsidRPr="00EE7934" w:rsidRDefault="004C280F"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EE7934">
        <w:rPr>
          <w:rFonts w:ascii="Times New Roman" w:hAnsi="Times New Roman" w:cs="Times New Roman"/>
          <w:color w:val="0070C0"/>
          <w:kern w:val="2"/>
          <w:sz w:val="16"/>
          <w:szCs w:val="16"/>
        </w:rPr>
        <w:t>/ВВФ, 1927, № 5/ (23320).</w:t>
      </w:r>
    </w:p>
    <w:p w14:paraId="34729456" w14:textId="77777777" w:rsidR="004C280F" w:rsidRDefault="004C280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141683" w14:textId="3DEBFEE1" w:rsidR="00BC13DE" w:rsidRPr="00FB4F67" w:rsidRDefault="00BC13DE" w:rsidP="0083075A">
      <w:pPr>
        <w:spacing w:after="0" w:line="240" w:lineRule="auto"/>
        <w:jc w:val="both"/>
        <w:rPr>
          <w:rFonts w:ascii="Times New Roman" w:hAnsi="Times New Roman" w:cs="Times New Roman"/>
          <w:color w:val="0070C0"/>
          <w:sz w:val="16"/>
          <w:szCs w:val="16"/>
        </w:rPr>
      </w:pPr>
      <w:r w:rsidRPr="00EE7934">
        <w:rPr>
          <w:rFonts w:ascii="Times New Roman" w:hAnsi="Times New Roman" w:cs="Times New Roman"/>
          <w:color w:val="0070C0"/>
          <w:kern w:val="2"/>
          <w:sz w:val="16"/>
          <w:szCs w:val="16"/>
        </w:rPr>
        <w:t xml:space="preserve">13 (26) сентября </w:t>
      </w:r>
      <w:r w:rsidRPr="00FB4F67">
        <w:rPr>
          <w:rFonts w:ascii="Times New Roman" w:hAnsi="Times New Roman" w:cs="Times New Roman"/>
          <w:color w:val="0070C0"/>
          <w:sz w:val="16"/>
          <w:szCs w:val="16"/>
        </w:rPr>
        <w:t xml:space="preserve">1917 г. на Тарнопольском направлении русскими летчиками было снижено в расположении противника два </w:t>
      </w:r>
      <w:bookmarkStart w:id="306" w:name="bookmark942"/>
      <w:bookmarkStart w:id="307" w:name="bookmark943"/>
      <w:r w:rsidRPr="00FB4F67">
        <w:rPr>
          <w:rFonts w:ascii="Times New Roman" w:hAnsi="Times New Roman" w:cs="Times New Roman"/>
          <w:color w:val="0070C0"/>
          <w:sz w:val="16"/>
          <w:szCs w:val="16"/>
        </w:rPr>
        <w:t>неприятельских самолета. В районе Гусятина летчиком поручиком Юкененом сбит вражеский аэроплан, упавший в расположении войск противника. В том же направлении летчики прапорщики Н.В. Кирсанов (2 КАО) и Э.К. Леман (19-й КАО) сбили самолет противника, при этом летательный аппарат Кирсанова, поврежденный в бою, упал в неприятельском расположении у северо-западной окраины Глуховского леса (летчик погиб) (23405).</w:t>
      </w:r>
      <w:bookmarkEnd w:id="306"/>
      <w:bookmarkEnd w:id="307"/>
    </w:p>
    <w:p w14:paraId="5CB07E39" w14:textId="77777777" w:rsidR="00BC13DE" w:rsidRPr="00FB4F67" w:rsidRDefault="00BC13DE" w:rsidP="0083075A">
      <w:pPr>
        <w:spacing w:after="0" w:line="240" w:lineRule="auto"/>
        <w:jc w:val="both"/>
        <w:rPr>
          <w:rFonts w:ascii="Times New Roman" w:hAnsi="Times New Roman" w:cs="Times New Roman"/>
          <w:color w:val="0070C0"/>
          <w:sz w:val="16"/>
          <w:szCs w:val="16"/>
        </w:rPr>
      </w:pPr>
    </w:p>
    <w:p w14:paraId="79E73A5A" w14:textId="3F361C82" w:rsidR="00BC13DE" w:rsidRPr="00FB4F67" w:rsidRDefault="00BC13DE" w:rsidP="0083075A">
      <w:pPr>
        <w:spacing w:after="0" w:line="240" w:lineRule="auto"/>
        <w:jc w:val="both"/>
        <w:rPr>
          <w:rFonts w:ascii="Times New Roman" w:hAnsi="Times New Roman" w:cs="Times New Roman"/>
          <w:color w:val="0070C0"/>
          <w:sz w:val="16"/>
          <w:szCs w:val="16"/>
        </w:rPr>
      </w:pPr>
      <w:bookmarkStart w:id="308" w:name="bookmark944"/>
      <w:bookmarkStart w:id="309" w:name="bookmark945"/>
      <w:r w:rsidRPr="00EE7934">
        <w:rPr>
          <w:rFonts w:ascii="Times New Roman" w:hAnsi="Times New Roman" w:cs="Times New Roman"/>
          <w:color w:val="0070C0"/>
          <w:kern w:val="2"/>
          <w:sz w:val="16"/>
          <w:szCs w:val="16"/>
        </w:rPr>
        <w:t xml:space="preserve">13 (26) сентября </w:t>
      </w:r>
      <w:r w:rsidRPr="00FB4F67">
        <w:rPr>
          <w:rFonts w:ascii="Times New Roman" w:hAnsi="Times New Roman" w:cs="Times New Roman"/>
          <w:color w:val="0070C0"/>
          <w:sz w:val="16"/>
          <w:szCs w:val="16"/>
        </w:rPr>
        <w:t>1917 г. летчик 9-го авиаотряда истребителей старший унтер- офицер Г.С. Сапожников сбил неприятельский самолет, упавший у д. Воловец к юго-западу от г. Радауца (Радауцы, Румыния). У д. Елеоноровка (в районе м. Гржималова) одним из наших воздушных кораблей «Илья Муромец» был сбит вражеский летательный аппарат. Также победу в воздухе на свой счет записал командир 6-го авиаотряда истребитель военный летчик подпоручик В.В. Доброхотов, уничтоживший австрийский самолет-разведчик «Бранденбург» с.1 из состава 10-й авиа-роты (Flik 10), загоревшийся при падении. Его экипаж (два офицера) погиб. За этот подвиг русский летчик был представлен к награждению орденом Святого Георгия IV степени (23405).</w:t>
      </w:r>
      <w:bookmarkEnd w:id="308"/>
      <w:bookmarkEnd w:id="309"/>
    </w:p>
    <w:p w14:paraId="36B6933F" w14:textId="77777777" w:rsidR="00BC13DE" w:rsidRPr="00FB4F67" w:rsidRDefault="00BC13DE" w:rsidP="0083075A">
      <w:pPr>
        <w:spacing w:after="0" w:line="240" w:lineRule="auto"/>
        <w:jc w:val="both"/>
        <w:rPr>
          <w:rFonts w:ascii="Times New Roman" w:hAnsi="Times New Roman" w:cs="Times New Roman"/>
          <w:color w:val="0070C0"/>
          <w:sz w:val="16"/>
          <w:szCs w:val="16"/>
        </w:rPr>
      </w:pPr>
    </w:p>
    <w:p w14:paraId="153B97CE" w14:textId="38E50E3F" w:rsidR="00BC13DE" w:rsidRPr="00FB4F67" w:rsidRDefault="00BC13DE" w:rsidP="0083075A">
      <w:pPr>
        <w:spacing w:after="0" w:line="240" w:lineRule="auto"/>
        <w:jc w:val="both"/>
        <w:rPr>
          <w:rFonts w:ascii="Times New Roman" w:hAnsi="Times New Roman" w:cs="Times New Roman"/>
          <w:color w:val="0070C0"/>
          <w:sz w:val="16"/>
          <w:szCs w:val="16"/>
        </w:rPr>
      </w:pPr>
      <w:r w:rsidRPr="00EE7934">
        <w:rPr>
          <w:rFonts w:ascii="Times New Roman" w:hAnsi="Times New Roman" w:cs="Times New Roman"/>
          <w:color w:val="0070C0"/>
          <w:kern w:val="2"/>
          <w:sz w:val="16"/>
          <w:szCs w:val="16"/>
        </w:rPr>
        <w:t xml:space="preserve">13 (26) сентября </w:t>
      </w:r>
      <w:r w:rsidRPr="00FB4F67">
        <w:rPr>
          <w:rFonts w:ascii="Times New Roman" w:hAnsi="Times New Roman" w:cs="Times New Roman"/>
          <w:color w:val="0070C0"/>
          <w:sz w:val="16"/>
          <w:szCs w:val="16"/>
        </w:rPr>
        <w:t>1917 г. в российском коммюнике  говорилось, что в Балтийском море «с 14 сентября активность противника стала более интенсивной и характеризовалась главным образом действиями воздушной разведки и маневрами подводных лодок, стремящихся не допустить приближения наших кораблей к Курляндскому побережью». Немецкие морские двухместные гидросамолеты выполняли интенсивные наблюдения и фотосъемки над Озелем. Даго и Мун, а также нанесение бомбовых ударов по русским военно-морским аэродромам Лебара, Аренсбург и Папенгольм, в ходе которых велись воздушные бои (23525).</w:t>
      </w:r>
    </w:p>
    <w:p w14:paraId="2A3B6AFE" w14:textId="77777777" w:rsidR="00BC13DE" w:rsidRPr="00FB4F67" w:rsidRDefault="00BC13DE" w:rsidP="0083075A">
      <w:pPr>
        <w:spacing w:after="0" w:line="240" w:lineRule="auto"/>
        <w:jc w:val="both"/>
        <w:rPr>
          <w:rFonts w:ascii="Times New Roman" w:hAnsi="Times New Roman" w:cs="Times New Roman"/>
          <w:color w:val="0070C0"/>
          <w:sz w:val="16"/>
          <w:szCs w:val="16"/>
        </w:rPr>
      </w:pPr>
    </w:p>
    <w:p w14:paraId="250886A2" w14:textId="518D4A92"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сентября 1917 на немецких минах, предположительно установленных с немецких самолетов, у о. Церель подорвался эсминец Охотник (3124).</w:t>
      </w:r>
    </w:p>
    <w:p w14:paraId="5321BF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B3089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F5E4D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CB03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сентября 1917 В.И.Л. в письмах из подполья, адресованных руководству большевиков: "Большевики должны взять власть", "Марксизм и восстание" (3908,262) обратился к ЦК с призывом к немедленной организации вооруженного восстания (1348,86).</w:t>
      </w:r>
    </w:p>
    <w:p w14:paraId="0A49F6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7C33E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сентября 1917 власть в Ташкенте захватил исполком местного Совета (4962).</w:t>
      </w:r>
    </w:p>
    <w:p w14:paraId="01DF3B7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D2C0F5" w14:textId="77777777" w:rsidR="00DA1578" w:rsidRPr="002F2FDF" w:rsidRDefault="00DA157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3416214" w14:textId="77777777" w:rsidR="00DA1578" w:rsidRPr="002F2FDF" w:rsidRDefault="00DA157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6437E4" w14:textId="77777777" w:rsidR="00DA1578" w:rsidRPr="002F2FDF" w:rsidRDefault="00DA157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13-14 (25–26) сентября (ночь) 1917 пятнадцать немецких бомбардировщиков Гота отправились бомбить Лондон, но только три достигают города. Один из бомбардировщиков падает в Северном море, вероятно, он стал жертвой британского Sopwith 1½ Strutter, которым управляли Дуглас Белл и Джордж Уильямс из 78-й эскадрильи Королевского летного корпуса (20341).</w:t>
      </w:r>
    </w:p>
    <w:p w14:paraId="07C0E49F" w14:textId="77777777" w:rsidR="00DA1578" w:rsidRPr="002F2FDF" w:rsidRDefault="00DA1578" w:rsidP="0083075A">
      <w:pPr>
        <w:spacing w:after="0" w:line="240" w:lineRule="auto"/>
        <w:jc w:val="both"/>
        <w:rPr>
          <w:rFonts w:ascii="Times New Roman" w:hAnsi="Times New Roman" w:cs="Times New Roman"/>
          <w:color w:val="000000" w:themeColor="text1"/>
          <w:sz w:val="16"/>
          <w:szCs w:val="16"/>
        </w:rPr>
      </w:pPr>
    </w:p>
    <w:p w14:paraId="6BFA3B2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9BCDE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A26B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сентября 1917 года в протоколе, после многочисленных испытаний аппарата с № 243 ("Ренобалт") было отмечено, что: "Аппарат при нагрузке 90 пудов (1474 кг) берёт высоту 3300 метров за 1 час 30 минут. Находим эти данные неудовлетворительными и данный Г не пригоден для совершения боевых полётов ибо:</w:t>
      </w:r>
    </w:p>
    <w:p w14:paraId="3B156D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A) если подсчитать полезную нагрузку корабля для 4 часов боевого полёта, то получим следующий расход бензина и масла 12 пудов в час - 48 пудов, плюс экипаж 6 человек 30 пудов, плюс вооружение: пулемёты, патроны, приборы - 12 пудов. Итого 90 пудов. То есть бомб корабль поднять не может, что является главной задачей "Муромцев".</w:t>
      </w:r>
    </w:p>
    <w:p w14:paraId="40240C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потолок 3300 метров безусловно мал,</w:t>
      </w:r>
    </w:p>
    <w:p w14:paraId="42090E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B) скорость подъёма на 3300 м в 1 час 30 минут тоже мала.</w:t>
      </w:r>
    </w:p>
    <w:p w14:paraId="708A3A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Желательно испытать Г усиленный с 4 моторами по 160-170 сил. Желательно облегчить означенный корабль. Если данные при испытании этого корабля получатся такими: </w:t>
      </w:r>
    </w:p>
    <w:p w14:paraId="01E77A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высота 3700-4000 м за 1 час 30 минут,</w:t>
      </w:r>
    </w:p>
    <w:p w14:paraId="28641C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скорость 128-135 км/ч,</w:t>
      </w:r>
    </w:p>
    <w:p w14:paraId="23B4DF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нагрузка: горючее на 4 часа, 6 человек, артснаряжение и вооружение, 10-15 пудов бомб.</w:t>
      </w:r>
    </w:p>
    <w:p w14:paraId="6CFB64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 таковой корабль можно признать удовлетворительным для боевой работы" (12041).</w:t>
      </w:r>
    </w:p>
    <w:p w14:paraId="03452A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78B8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сентября 1917 А.Ю.Виллиш представил эскизы контристребителя и катапульты к нему (рельсы, тележка, сжатый воздух). Задание появилось летом 1917 ввиду трудностей из-за низкой мореходности лл истребителей, когда появился проект контристребителя - сухопутного фюзеляжного самолета, взлетающего с берега, сбрасывающего шасси и садящегося на воду. По заданию Управления морской авиации (УМА) началось проектирование. Сначала предлагали Д.П.Г., КБ АИС и А.Ю.Виллишу, но взялся только А.Ю.Виллиш (92,231).</w:t>
      </w:r>
    </w:p>
    <w:p w14:paraId="255126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365E7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1D1D7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345B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14 (27) сентября 1917 года пять кораблей совершили под охраной трёх истребителей 1-й боевой группы налёт на Хоросткув и Перемилув, сбросив 50 пудов бомб. В районе деревни Элеонуровка (у Гржимайлова) VIII корабль есаула В.Д.Лобова, возвращавшийся с бомбометания, был атакован с расстояния 100 метров истребителем, по которому был открыт огонь из трёх пулемётов. Самолёт противника перевернулся и упал в районе Элеонуровки, что подтвердили части сторожевого охранения. Пилот вицефельдфе- бель Отто Клюпфель из немецкого истребительного авиаотряда Восточного фронта (Jasta Ober Ost) был ранен, но смог спуститься на своей территории.</w:t>
      </w:r>
    </w:p>
    <w:p w14:paraId="75ABE8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весь 1917 год Эскадра совершила порядка 70 боевых полётов, сбросив на противника до 650 пудов (10725 кг) бомб. За всю кампанию из 51 боевого корабля, поступившего на фронт, воевало порядка 40 машин. Они совершили до 300 вылетов, сбросив на врага почти 3000 пудов (48900 кг) бомб (12041).</w:t>
      </w:r>
    </w:p>
    <w:p w14:paraId="5F097C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FD03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сентября 1917 командир 19-го као 1БАГ штабс-капитан Бродович получил тяжелое ранение в ногу: “...беззавет</w:t>
      </w:r>
      <w:r w:rsidRPr="002F2FDF">
        <w:rPr>
          <w:rFonts w:ascii="Times New Roman" w:hAnsi="Times New Roman" w:cs="Times New Roman"/>
          <w:color w:val="000000" w:themeColor="text1"/>
          <w:kern w:val="2"/>
          <w:sz w:val="16"/>
          <w:szCs w:val="16"/>
        </w:rPr>
        <w:softHyphen/>
        <w:t>но и самоотверженно ведя воздушный бой с 3 истребителями, начавшийся в нашем расположении и закончивший</w:t>
      </w:r>
      <w:r w:rsidRPr="002F2FDF">
        <w:rPr>
          <w:rFonts w:ascii="Times New Roman" w:hAnsi="Times New Roman" w:cs="Times New Roman"/>
          <w:color w:val="000000" w:themeColor="text1"/>
          <w:kern w:val="2"/>
          <w:sz w:val="16"/>
          <w:szCs w:val="16"/>
        </w:rPr>
        <w:softHyphen/>
        <w:t>ся в тылу противника западнее Турильче, штабс-капитан Бродович был ранен разрывной пулей, потерял соз</w:t>
      </w:r>
      <w:r w:rsidRPr="002F2FDF">
        <w:rPr>
          <w:rFonts w:ascii="Times New Roman" w:hAnsi="Times New Roman" w:cs="Times New Roman"/>
          <w:color w:val="000000" w:themeColor="text1"/>
          <w:kern w:val="2"/>
          <w:sz w:val="16"/>
          <w:szCs w:val="16"/>
        </w:rPr>
        <w:softHyphen/>
        <w:t>нание и начал падать. К счастью, соз</w:t>
      </w:r>
      <w:r w:rsidRPr="002F2FDF">
        <w:rPr>
          <w:rFonts w:ascii="Times New Roman" w:hAnsi="Times New Roman" w:cs="Times New Roman"/>
          <w:color w:val="000000" w:themeColor="text1"/>
          <w:kern w:val="2"/>
          <w:sz w:val="16"/>
          <w:szCs w:val="16"/>
        </w:rPr>
        <w:softHyphen/>
        <w:t>нание вовремя вернулось и он успел выровнять аппарат. Ему на помощь пришел летчик Павлов, атаковавший самолеты противника (...). Бродовичу удалось долететь до аэродрома в Каменец-Подольский, откуда он был от</w:t>
      </w:r>
      <w:r w:rsidRPr="002F2FDF">
        <w:rPr>
          <w:rFonts w:ascii="Times New Roman" w:hAnsi="Times New Roman" w:cs="Times New Roman"/>
          <w:color w:val="000000" w:themeColor="text1"/>
          <w:kern w:val="2"/>
          <w:sz w:val="16"/>
          <w:szCs w:val="16"/>
        </w:rPr>
        <w:softHyphen/>
        <w:t>правлен в госпиталь”. Во временное командование отрядом вступил пору</w:t>
      </w:r>
      <w:r w:rsidRPr="002F2FDF">
        <w:rPr>
          <w:rFonts w:ascii="Times New Roman" w:hAnsi="Times New Roman" w:cs="Times New Roman"/>
          <w:color w:val="000000" w:themeColor="text1"/>
          <w:kern w:val="2"/>
          <w:sz w:val="16"/>
          <w:szCs w:val="16"/>
        </w:rPr>
        <w:softHyphen/>
        <w:t>чик Губер (3954).</w:t>
      </w:r>
    </w:p>
    <w:p w14:paraId="4A8A4E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C85729" w14:textId="60980A38" w:rsidR="002B67C2" w:rsidRPr="00FB4F67" w:rsidRDefault="002B67C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14 (</w:t>
      </w:r>
      <w:r w:rsidRPr="00FB4F67">
        <w:rPr>
          <w:rFonts w:ascii="Times New Roman" w:hAnsi="Times New Roman" w:cs="Times New Roman"/>
          <w:color w:val="0070C0"/>
          <w:sz w:val="16"/>
          <w:szCs w:val="16"/>
        </w:rPr>
        <w:t>27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сентября 1917 г. были опубликованы рекомендации начальника Полевого управления авиации и воздухоплавания, подготовленные Полковником В.М. Ткачевым. Они надеялись поднять боевой дух авиации на фронте. Рапорт направлялся всем фронтовым инспекторам авиации, командирам авиационных батальонов, групп и отдельных частей. Его содержание, к сожалению, неизвестно (23525).</w:t>
      </w:r>
    </w:p>
    <w:p w14:paraId="1EC48595" w14:textId="77777777" w:rsidR="002B67C2" w:rsidRPr="00FB4F67" w:rsidRDefault="002B67C2" w:rsidP="0083075A">
      <w:pPr>
        <w:spacing w:after="0" w:line="240" w:lineRule="auto"/>
        <w:jc w:val="both"/>
        <w:rPr>
          <w:rFonts w:ascii="Times New Roman" w:hAnsi="Times New Roman" w:cs="Times New Roman"/>
          <w:color w:val="0070C0"/>
          <w:sz w:val="16"/>
          <w:szCs w:val="16"/>
        </w:rPr>
      </w:pPr>
    </w:p>
    <w:p w14:paraId="36E483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сентября 1917 воздухоплаватели пор. Толмачев и прап. Вопар выбросились с загоревшегося от электрического разряда привязного аэростата вдвоем на одном парашюте Жюкмес и остались целы. Первый и единственный в те годы случай (438,373).</w:t>
      </w:r>
    </w:p>
    <w:p w14:paraId="7796EB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C401C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сентября 1917 воздухоплаватели подпоручик Толмачев и пра</w:t>
      </w:r>
      <w:r w:rsidRPr="002F2FDF">
        <w:rPr>
          <w:rFonts w:ascii="Times New Roman" w:hAnsi="Times New Roman" w:cs="Times New Roman"/>
          <w:color w:val="000000" w:themeColor="text1"/>
          <w:kern w:val="2"/>
          <w:sz w:val="16"/>
          <w:szCs w:val="16"/>
        </w:rPr>
        <w:softHyphen/>
        <w:t>порщик Вопар выбросились с загоревшегося от э</w:t>
      </w:r>
      <w:r w:rsidR="00896779" w:rsidRPr="002F2FDF">
        <w:rPr>
          <w:rFonts w:ascii="Times New Roman" w:hAnsi="Times New Roman" w:cs="Times New Roman"/>
          <w:color w:val="000000" w:themeColor="text1"/>
          <w:kern w:val="2"/>
          <w:sz w:val="16"/>
          <w:szCs w:val="16"/>
        </w:rPr>
        <w:t>лек</w:t>
      </w:r>
      <w:r w:rsidRPr="002F2FDF">
        <w:rPr>
          <w:rFonts w:ascii="Times New Roman" w:hAnsi="Times New Roman" w:cs="Times New Roman"/>
          <w:color w:val="000000" w:themeColor="text1"/>
          <w:kern w:val="2"/>
          <w:sz w:val="16"/>
          <w:szCs w:val="16"/>
        </w:rPr>
        <w:t xml:space="preserve">трического разряда привязного аэростата вдвоем на одном парашюте </w:t>
      </w:r>
      <w:r w:rsidR="00896779" w:rsidRPr="002F2FDF">
        <w:rPr>
          <w:rFonts w:ascii="Times New Roman" w:hAnsi="Times New Roman" w:cs="Times New Roman"/>
          <w:color w:val="000000" w:themeColor="text1"/>
          <w:kern w:val="2"/>
          <w:sz w:val="16"/>
          <w:szCs w:val="16"/>
        </w:rPr>
        <w:t>Ж</w:t>
      </w:r>
      <w:r w:rsidRPr="002F2FDF">
        <w:rPr>
          <w:rFonts w:ascii="Times New Roman" w:hAnsi="Times New Roman" w:cs="Times New Roman"/>
          <w:color w:val="000000" w:themeColor="text1"/>
          <w:kern w:val="2"/>
          <w:sz w:val="16"/>
          <w:szCs w:val="16"/>
        </w:rPr>
        <w:t>юкмес и остались целы, получив лишь легкие ушибы при приземлении. Это был псрвыуи единственный в те годы случай спуска двух человек на одном парашюте. (По материалам воздухоплавателя Н.Д.Анощенко).</w:t>
      </w:r>
    </w:p>
    <w:p w14:paraId="41840D3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1E724E" w14:textId="77777777" w:rsidR="00772665" w:rsidRPr="00EE7934" w:rsidRDefault="00772665"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EE7934">
        <w:rPr>
          <w:rFonts w:ascii="Times New Roman" w:hAnsi="Times New Roman" w:cs="Times New Roman"/>
          <w:color w:val="0070C0"/>
          <w:kern w:val="2"/>
          <w:sz w:val="16"/>
          <w:szCs w:val="16"/>
        </w:rPr>
        <w:t>14 (27) сентября 1917 воздухоплаватели подпоручик Толмачев и пра</w:t>
      </w:r>
      <w:r w:rsidRPr="00EE7934">
        <w:rPr>
          <w:rFonts w:ascii="Times New Roman" w:hAnsi="Times New Roman" w:cs="Times New Roman"/>
          <w:color w:val="0070C0"/>
          <w:kern w:val="2"/>
          <w:sz w:val="16"/>
          <w:szCs w:val="16"/>
        </w:rPr>
        <w:softHyphen/>
        <w:t>порщик Вопар выбросились с загоревшегося от электрического разряда привязного аэростата вдвоем на одном парашюте Жюкмес и остались целы, получив лишь легкие ушибы при приземлении. Это был псрвый и единственный в те годы случай спуска двух человек на одном парашюте.</w:t>
      </w:r>
    </w:p>
    <w:p w14:paraId="7713E171" w14:textId="77777777" w:rsidR="00772665" w:rsidRPr="00EE7934" w:rsidRDefault="00772665"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EE7934">
        <w:rPr>
          <w:rFonts w:ascii="Times New Roman" w:hAnsi="Times New Roman" w:cs="Times New Roman"/>
          <w:color w:val="0070C0"/>
          <w:kern w:val="2"/>
          <w:sz w:val="16"/>
          <w:szCs w:val="16"/>
        </w:rPr>
        <w:t>/по материалам воздухоплавателя Н.Д.Анощенко/ (23320).</w:t>
      </w:r>
    </w:p>
    <w:p w14:paraId="50BC945A" w14:textId="77777777" w:rsidR="00772665" w:rsidRPr="00EE7934" w:rsidRDefault="00772665"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p>
    <w:p w14:paraId="552115F9" w14:textId="78BED79D" w:rsidR="00CB4F0A" w:rsidRPr="002F2FDF" w:rsidRDefault="00CB4F0A"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14 (</w:t>
      </w:r>
      <w:r w:rsidRPr="002F2FDF">
        <w:rPr>
          <w:rFonts w:ascii="Times New Roman" w:hAnsi="Times New Roman" w:cs="Times New Roman"/>
          <w:color w:val="000000" w:themeColor="text1"/>
          <w:sz w:val="16"/>
          <w:szCs w:val="16"/>
        </w:rPr>
        <w:t>27</w:t>
      </w:r>
      <w:r>
        <w:rPr>
          <w:rFonts w:ascii="Times New Roman" w:hAnsi="Times New Roman" w:cs="Times New Roman"/>
          <w:color w:val="000000" w:themeColor="text1"/>
          <w:sz w:val="16"/>
          <w:szCs w:val="16"/>
        </w:rPr>
        <w:t>) сентября</w:t>
      </w:r>
      <w:r w:rsidRPr="002F2FDF">
        <w:rPr>
          <w:rFonts w:ascii="Times New Roman" w:hAnsi="Times New Roman" w:cs="Times New Roman"/>
          <w:color w:val="000000" w:themeColor="text1"/>
          <w:sz w:val="16"/>
          <w:szCs w:val="16"/>
        </w:rPr>
        <w:t xml:space="preserve"> 1917 артиллеристы-наблюдатели Толмачёв и Вагар выбросились с парашютами Жюкмесса из загоревшегося от разряда статиче</w:t>
      </w:r>
      <w:r w:rsidRPr="002F2FDF">
        <w:rPr>
          <w:rFonts w:ascii="Times New Roman" w:hAnsi="Times New Roman" w:cs="Times New Roman"/>
          <w:color w:val="000000" w:themeColor="text1"/>
          <w:sz w:val="16"/>
          <w:szCs w:val="16"/>
        </w:rPr>
        <w:softHyphen/>
        <w:t>ского электричества привязного аэростата. Па</w:t>
      </w:r>
      <w:r w:rsidRPr="002F2FDF">
        <w:rPr>
          <w:rFonts w:ascii="Times New Roman" w:hAnsi="Times New Roman" w:cs="Times New Roman"/>
          <w:color w:val="000000" w:themeColor="text1"/>
          <w:sz w:val="16"/>
          <w:szCs w:val="16"/>
        </w:rPr>
        <w:softHyphen/>
        <w:t>рашют Вагара обвил полотнищем парашют Тол</w:t>
      </w:r>
      <w:r w:rsidRPr="002F2FDF">
        <w:rPr>
          <w:rFonts w:ascii="Times New Roman" w:hAnsi="Times New Roman" w:cs="Times New Roman"/>
          <w:color w:val="000000" w:themeColor="text1"/>
          <w:sz w:val="16"/>
          <w:szCs w:val="16"/>
        </w:rPr>
        <w:softHyphen/>
        <w:t>мачёва. Машинист лебёдки успел дать ей задний ход и отвёл горящую оболочку аэростата в сто</w:t>
      </w:r>
      <w:r w:rsidRPr="002F2FDF">
        <w:rPr>
          <w:rFonts w:ascii="Times New Roman" w:hAnsi="Times New Roman" w:cs="Times New Roman"/>
          <w:color w:val="000000" w:themeColor="text1"/>
          <w:sz w:val="16"/>
          <w:szCs w:val="16"/>
        </w:rPr>
        <w:softHyphen/>
        <w:t>рону от спускавшихся наблюдателей. Последние впервые в мире спустились вдвоём на одном па</w:t>
      </w:r>
      <w:r w:rsidRPr="002F2FDF">
        <w:rPr>
          <w:rFonts w:ascii="Times New Roman" w:hAnsi="Times New Roman" w:cs="Times New Roman"/>
          <w:color w:val="000000" w:themeColor="text1"/>
          <w:sz w:val="16"/>
          <w:szCs w:val="16"/>
        </w:rPr>
        <w:softHyphen/>
        <w:t>рашюте, причём Толмачёв, накрутив на руку не</w:t>
      </w:r>
      <w:r w:rsidRPr="002F2FDF">
        <w:rPr>
          <w:rFonts w:ascii="Times New Roman" w:hAnsi="Times New Roman" w:cs="Times New Roman"/>
          <w:color w:val="000000" w:themeColor="text1"/>
          <w:sz w:val="16"/>
          <w:szCs w:val="16"/>
        </w:rPr>
        <w:softHyphen/>
        <w:t>сколько строп, удерживал Вагара от падения (20120).</w:t>
      </w:r>
    </w:p>
    <w:p w14:paraId="7154E512" w14:textId="77777777" w:rsidR="00CB4F0A" w:rsidRPr="002F2FDF" w:rsidRDefault="00CB4F0A" w:rsidP="0083075A">
      <w:pPr>
        <w:spacing w:after="0" w:line="240" w:lineRule="auto"/>
        <w:jc w:val="both"/>
        <w:rPr>
          <w:rFonts w:ascii="Times New Roman" w:hAnsi="Times New Roman" w:cs="Times New Roman"/>
          <w:color w:val="000000" w:themeColor="text1"/>
          <w:sz w:val="16"/>
          <w:szCs w:val="16"/>
        </w:rPr>
      </w:pPr>
    </w:p>
    <w:p w14:paraId="01FC21E5" w14:textId="77777777" w:rsidR="00896779" w:rsidRPr="002F2FDF" w:rsidRDefault="00896779" w:rsidP="0083075A">
      <w:pPr>
        <w:pStyle w:val="ae"/>
        <w:spacing w:before="0" w:after="0"/>
        <w:jc w:val="both"/>
        <w:rPr>
          <w:color w:val="000000" w:themeColor="text1"/>
          <w:kern w:val="2"/>
          <w:sz w:val="16"/>
          <w:szCs w:val="16"/>
        </w:rPr>
      </w:pPr>
      <w:r w:rsidRPr="002F2FDF">
        <w:rPr>
          <w:color w:val="000000" w:themeColor="text1"/>
          <w:kern w:val="2"/>
          <w:sz w:val="16"/>
          <w:szCs w:val="16"/>
        </w:rPr>
        <w:t>14 (27) сентября 1917 на одном из участков русского Юго-западного фронта был зафиксирован первый известный случай спасения двух человек на одном парашюте. Инцидент произошел в 28-м воздухоплавательном отряде (такие отряды к 1917 году были созданы почти при всех армиях и корпусах, и имели на вооружении как правило по два аэростата для проведения разведки, наблюдения за противником и корректировки артиллерийского огня). Во время очередного боевого задания, когда аэростат поручика Юкмачева и прапорщика Вагара находился на высоте 700 метров, неожиданно в результате разряда статического электричества или удара молнии загорелся водород, которым была наполнена оболочка. Офицерам ничего не оставалось, как выброситься с парашютами, которые только поступили в войсковые части и которым тогда еще мало доверяли. В суматохе оба наблюдатели вопреки инструкции прыгнули с одной стороны корзины. У Токмачева, который выбросился первым, парашют раскрылся нормально, но парашют Вагара, прыгнувшего всего через несколько секунд, стропами спутался с уже раскрытым парашютом товарища. Вагар начал камнем падать вниз, но поручик Юкмачев не растерялся и успел ухватить и намотать на руку стропы второго члена экипажа, и в итоге они оба успешно спустились на одном парашюте и при этом даже обошлось без травм (17045).</w:t>
      </w:r>
    </w:p>
    <w:p w14:paraId="40AD0E08" w14:textId="77777777" w:rsidR="00896779" w:rsidRPr="002F2FDF" w:rsidRDefault="0089677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00197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0DD72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6F05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14-22 сентября (27 сентября - 5 октября) 1917 в Петрограде в результате Демократического совещания был образован Предпарламент (1348,86).</w:t>
      </w:r>
    </w:p>
    <w:p w14:paraId="203A44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676D96" w14:textId="77777777" w:rsidR="0016518E" w:rsidRPr="002F2FDF" w:rsidRDefault="0016518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(22) сентября 1917 было открыто Всероссийское политическое совещание, на которое приглашены представители всех политических партий. Решался вопрос о власти и политической системе страны. Большевики это совещание демонстративно бойкотировали (12629).</w:t>
      </w:r>
    </w:p>
    <w:p w14:paraId="78E40DEC" w14:textId="77777777" w:rsidR="0016518E" w:rsidRPr="002F2FDF" w:rsidRDefault="0016518E"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F70F71" w14:textId="77777777" w:rsidR="00537E6E" w:rsidRPr="002F2FDF" w:rsidRDefault="00537E6E" w:rsidP="0083075A">
      <w:pPr>
        <w:pStyle w:val="ae"/>
        <w:spacing w:before="0" w:after="0"/>
        <w:jc w:val="both"/>
        <w:rPr>
          <w:color w:val="000000" w:themeColor="text1"/>
          <w:kern w:val="2"/>
          <w:sz w:val="16"/>
          <w:szCs w:val="16"/>
        </w:rPr>
      </w:pPr>
      <w:r w:rsidRPr="002F2FDF">
        <w:rPr>
          <w:color w:val="000000" w:themeColor="text1"/>
          <w:kern w:val="2"/>
          <w:sz w:val="16"/>
          <w:szCs w:val="16"/>
        </w:rPr>
        <w:t>14 (27) сентября 1917 в Петрограде открылось Всероссийское демократическое совещание представителей российских партий и общественных организаций. Целью его созыва была попытка объединения всех демократических сил после фактического провала идеи Московского государственного совещания в конце лета, которое обернулось триумфом генерала Лавра Корнилова, позднее устроившего правый мятеж. По итогам петроградского совещания действительно будет сформирован третий состав Временного правительства и образован так называемый Предпарламент (совещательный орган при Временном правительстве из 313 представителей партий), но полного взаимопонимания достичь так и не удалось. Представители большевиков демонстративно покинули совещание (17045).</w:t>
      </w:r>
    </w:p>
    <w:p w14:paraId="241853DE" w14:textId="77777777" w:rsidR="00537E6E" w:rsidRPr="002F2FDF" w:rsidRDefault="00537E6E"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BC5558" w14:textId="084525E1" w:rsidR="002B67C2" w:rsidRPr="00FB4F67" w:rsidRDefault="002B67C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14 (</w:t>
      </w:r>
      <w:r w:rsidRPr="00FB4F67">
        <w:rPr>
          <w:rFonts w:ascii="Times New Roman" w:hAnsi="Times New Roman" w:cs="Times New Roman"/>
          <w:color w:val="0070C0"/>
          <w:sz w:val="16"/>
          <w:szCs w:val="16"/>
        </w:rPr>
        <w:t>27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сентября 1917 г. в Петрограде Керенский сформировал Третье коалиционное правительство, которое должно было удерживать власть до проведения выборов в Учредительное собрание в ноябре (23525).</w:t>
      </w:r>
    </w:p>
    <w:p w14:paraId="5D22DB85" w14:textId="77777777" w:rsidR="002B67C2" w:rsidRPr="00FB4F67" w:rsidRDefault="002B67C2" w:rsidP="0083075A">
      <w:pPr>
        <w:spacing w:after="0" w:line="240" w:lineRule="auto"/>
        <w:jc w:val="both"/>
        <w:rPr>
          <w:rFonts w:ascii="Times New Roman" w:hAnsi="Times New Roman" w:cs="Times New Roman"/>
          <w:color w:val="0070C0"/>
          <w:sz w:val="16"/>
          <w:szCs w:val="16"/>
        </w:rPr>
      </w:pPr>
    </w:p>
    <w:p w14:paraId="5456421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сентября 1917 В. Ленин написал письмо “Большевики должны взять власть” (4962).</w:t>
      </w:r>
    </w:p>
    <w:p w14:paraId="0C3343E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C0C7F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FC325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92792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15 (28) сентябрю 1917 морские авиаторы сочли как германский образец лл Альбатрос Лебедева, так и его отечественное воспроизведение устаревшими и высказали потребность в более совершенной конструкции. 25 они сообщили фирме о том, что, хотя контракт и не подлежал расторжению, предварительные сравнительные испытания пленного "Фридрихсха</w:t>
      </w:r>
      <w:r w:rsidRPr="002F2FDF">
        <w:rPr>
          <w:rFonts w:ascii="Times New Roman" w:hAnsi="Times New Roman" w:cs="Times New Roman"/>
          <w:color w:val="000000" w:themeColor="text1"/>
          <w:kern w:val="2"/>
          <w:sz w:val="16"/>
          <w:szCs w:val="16"/>
        </w:rPr>
        <w:softHyphen/>
        <w:t>фена" и его копии с мотором "Испано-Суиза" были бы все же необходимы (2843).</w:t>
      </w:r>
    </w:p>
    <w:p w14:paraId="0A3E531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065A3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2C0E1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A72B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15 </w:t>
      </w:r>
      <w:r w:rsidR="002E2452" w:rsidRPr="002F2FDF">
        <w:rPr>
          <w:rFonts w:ascii="Times New Roman" w:hAnsi="Times New Roman" w:cs="Times New Roman"/>
          <w:color w:val="000000" w:themeColor="text1"/>
          <w:kern w:val="2"/>
          <w:sz w:val="16"/>
          <w:szCs w:val="16"/>
        </w:rPr>
        <w:t xml:space="preserve">(28) </w:t>
      </w:r>
      <w:r w:rsidRPr="002F2FDF">
        <w:rPr>
          <w:rFonts w:ascii="Times New Roman" w:hAnsi="Times New Roman" w:cs="Times New Roman"/>
          <w:color w:val="000000" w:themeColor="text1"/>
          <w:kern w:val="2"/>
          <w:sz w:val="16"/>
          <w:szCs w:val="16"/>
        </w:rPr>
        <w:t>сентября 1917 г. было заложено здание механической мастерской и кузницы на Дмитровской набережной реки Вологда у пешеходного моста.</w:t>
      </w:r>
    </w:p>
    <w:p w14:paraId="443E38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1918 г. до 1922 г. мастерские строились и расширялись, затем были преобразованы в завод «Красный пахарь». В 1923 г. завод - в ведении Волпромторга, работает нерентабельно, становится вопрос о его закрытии. 2.12.1923 г. завод передан в ведение Вологдалеса. В 1926 г., в связи с реорганизацией управления народного хозяйства, завод передан в ведение губернского СНХ на правах самостоятельного треста. В 1928 г. начата реконструкция завода, 7.11.1928 г. на ул. М. Кожевники были заложены новые корпуса. В 1929 г. введен в строй литейный цех, начато строительство механического цеха; в 1930 г. построены кузнечный и механо-сборочный цехи. В 11.1930 г. завод «Красный пахарь» переименован в «Северный коммунар». В 1933 г. реконструкция была завершена. Заводу определена производственная программа: черное литье, ремонт двигателей и сельхозмашин, изготовление запчастей для сельхозмашин, маслодельных заводов, коммунального хозяйства, строительства и речного пароходства. Кроме того, освоен выпуск сельхозмашин для маслодельной промышленности, лесотранспортного оборудования (автолесовозов, бревнотасок, транспортеров). До начала войны завод специализировался на производстве оборудования для лесозаготовок. В 1934 г. начата вторая реконструкция завода.</w:t>
      </w:r>
    </w:p>
    <w:p w14:paraId="21F952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пост. СНК № 837-430сс от 3.06.1942 г. и приказом НКМВ № 250с от 7.07.1942 г. завод «Северный коммунар» НКМВ переименован в завод № 772 в ведении 2ГУ (Завод № 772 НКМВ, Завод «Красный пахарь», Завод «Северный коммунар» НКМВ, ММиП, АООТ, ОАО «Северный коммунар» /г. Вологда ул. М. Кожевники/ /160029  г. Вологда ул. Машиностроительная, 19/).</w:t>
      </w:r>
      <w:r w:rsidRPr="002F2FDF">
        <w:rPr>
          <w:rFonts w:ascii="Times New Roman" w:hAnsi="Times New Roman" w:cs="Times New Roman"/>
          <w:color w:val="000000" w:themeColor="text1"/>
          <w:kern w:val="2"/>
          <w:sz w:val="16"/>
          <w:szCs w:val="16"/>
          <w:vertAlign w:val="superscript"/>
        </w:rPr>
        <w:t>129</w:t>
      </w:r>
    </w:p>
    <w:p w14:paraId="74E44A72" w14:textId="64D49DCE"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1946 г. завод передан в ведение Министерства станкоинструментальной промышленности. В 1947 г. завод «Северный коммунар» - в ведении Главбумдревмаша ММиП.</w:t>
      </w:r>
    </w:p>
    <w:p w14:paraId="7508F4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1946-47 г. построена пристройка к механическому цеху (сборочный участок). Завод вновь перешел на выпуск лесопильных рам, рольгангов, бревнотасок. С 1950 г. завод становится единственным в стране по выпуску мощных лесопильных рам и околорамного оборудования. С 1961 г. освоен выпуск крупногабаритного оборудования для механизации работ на складах пиломатериалов.</w:t>
      </w:r>
    </w:p>
    <w:p w14:paraId="73A01F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1961 г. на заводе создано Вологодское головное КБ по проектированию деревообрабатывающего оборудования.</w:t>
      </w:r>
    </w:p>
    <w:p w14:paraId="60D67C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составе завода образованы отделы: гл. конструктора, гл. технолога, гл. металлурга, гл. механика, гл. энергетика, ПЭО, ОТиЗ, производственный, сбыта, снабжения, ЖКХ, ОКС. Имелись цехи: литейный, кузнечный, сварочно-заготовительный, механический, сборочный, инструментальный, ремонтный, энергоремонтный, транспортный. В соответствии с ПСМ № 962 от 27.10.1979 г. начата реконструкция завода. В 1980-85 г. построены заготовительно-складской корпус, газовая котельная.</w:t>
      </w:r>
    </w:p>
    <w:p w14:paraId="1F6A29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1978 г. завод «Северный коммунар» вошел в состав вновь образованного Вологодского производственного станкостроительного объединения ВПО «Союздревстанкопрома» Министерства станкоинструментальной промышленности. В 1986 г. завод передан в ведение Главдревстанкопрома Министерства станкоинструментальной промышленности, с 1990 г. завод в подчинении концерна «Древмаш» Государственного АО «Станкоинструмент». В 12.1992 г. завод преобразован в АООТ «Северный коммунар», его Устав зарегистрирован пост, администрации  г. Вологды № 2062 от 29.12.1992 г. Решением акционеров от 5.05.1996 г. АООТ преобразовано в ОАО.</w:t>
      </w:r>
    </w:p>
    <w:p w14:paraId="46CF83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(1992 г.)-1170 чел.</w:t>
      </w:r>
    </w:p>
    <w:p w14:paraId="21E3C3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Производство:</w:t>
      </w:r>
      <w:r w:rsidRPr="002F2FDF">
        <w:rPr>
          <w:rFonts w:ascii="Times New Roman" w:hAnsi="Times New Roman" w:cs="Times New Roman"/>
          <w:color w:val="000000" w:themeColor="text1"/>
          <w:kern w:val="2"/>
          <w:sz w:val="16"/>
          <w:szCs w:val="16"/>
        </w:rPr>
        <w:t xml:space="preserve"> лесопильные рамы Р65-1, Р65-2, ГГС-2 (1930-е) (11982).</w:t>
      </w:r>
    </w:p>
    <w:p w14:paraId="39BD78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BA01A4" w14:textId="590613BF"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15 (28) сентября 1917 </w:t>
      </w:r>
      <w:r w:rsidR="00772665">
        <w:rPr>
          <w:rFonts w:ascii="Times New Roman" w:hAnsi="Times New Roman" w:cs="Times New Roman"/>
          <w:color w:val="000000" w:themeColor="text1"/>
          <w:kern w:val="2"/>
          <w:sz w:val="16"/>
          <w:szCs w:val="16"/>
        </w:rPr>
        <w:t>было п</w:t>
      </w:r>
      <w:r w:rsidRPr="002F2FDF">
        <w:rPr>
          <w:rFonts w:ascii="Times New Roman" w:hAnsi="Times New Roman" w:cs="Times New Roman"/>
          <w:color w:val="000000" w:themeColor="text1"/>
          <w:kern w:val="2"/>
          <w:sz w:val="16"/>
          <w:szCs w:val="16"/>
        </w:rPr>
        <w:t>исьмо представителя Советов съездов бакинских и терских нефтепромышленников И. А. Дробного Управлению главно-уполномоченного по снабжению металлами с просьбой об увеличении нормы отпуска металла ввиду недостатка металлических труб для новых скважин.</w:t>
      </w:r>
    </w:p>
    <w:p w14:paraId="5EDDCFBC"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80-81</w:t>
      </w:r>
    </w:p>
    <w:p w14:paraId="7E77535B"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31, оп. 1, д. 915, л. 131. Подлинник.</w:t>
      </w:r>
    </w:p>
    <w:p w14:paraId="42C5D81F" w14:textId="10F45CBA"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Ввиду крайне обострившейся нужды в железных трубах на нефтяных промыслах и между тем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большого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сокращения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в программе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разрешенной практики по сравнению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с цифрой,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заявленной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мною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в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ведомости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потребности на период октябрь—декабрь, о чем я уже имел честь на заседаниях Металлургического комитета обратить внимание и ходатайствовать об увеличении при распределении металлов доли с 95 тыс. пуд. труб до хотя бы 130 тыс. пуд. в месяц, вновь позволяю себе напомнить об этом и вновь повторить свое ходатайство.</w:t>
      </w:r>
    </w:p>
    <w:p w14:paraId="3B010616"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Пользуюсь при этом случаем сообщить выписку из протокола заседания 24 августа с. г., бывшего в присутствии товарища министра торговли и промышленности инж. Малявкина в г. Баку по вопросам о нуждах нефтяной промышленности; председателем отдела снабжения при Совете съезда бакинских нефтепромышленников г-ном Манчо (он же теперь и бакинский градоначальник) было сказано в его речи следующее:</w:t>
      </w:r>
    </w:p>
    <w:p w14:paraId="31535841"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«Переходя к вопросу о причинах, вызвавших резкий упадок в деле бурения новых скважин, я должен заявить, что главная причина — это отсутствие металла. Позвольте привести несколько цифр, которые объяснят основную причину этого явления. В 1916 г. трубного железа было получено 2367 тыс. пуд., а за первую половину 1917 г. — 681 тыс. пуд., сварных труб в '1916 г. — 653 тыс., за первую половину этого года — 254 тыс. пуд., сортового железа 216 тыс., а теперь 88 тыс. Процесс бурения — долгий, почти трехлетний. Затраты на бурение при теперешних условиях громадные; неизвестно, какие цены будут существовать на нефть к тому времени, когда закладываемые в настоящее время буровые начнут давать нефть. На погашение производимых расходов дозволяется списывать 20%. Эта норма слишком мала. Необходимо пересмотреть ставки для погашения и т. д.».</w:t>
      </w:r>
    </w:p>
    <w:p w14:paraId="656D7C6B"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Представитель Советов съездов бакинских и терских нефтепромышленников инж. И. А. Дробный.</w:t>
      </w:r>
    </w:p>
    <w:p w14:paraId="344B07AA"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полях помета делопроизводителя: Распоряжений по этому вопросу никаких не было.</w:t>
      </w:r>
    </w:p>
    <w:p w14:paraId="3D71C2B9" w14:textId="77777777" w:rsidR="0055271B"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29" w:anchor="_ftnref1" w:history="1">
        <w:r w:rsidR="0055271B" w:rsidRPr="002F2FDF">
          <w:rPr>
            <w:rFonts w:ascii="Times New Roman" w:hAnsi="Times New Roman" w:cs="Times New Roman"/>
            <w:color w:val="000000" w:themeColor="text1"/>
            <w:kern w:val="2"/>
            <w:sz w:val="16"/>
            <w:szCs w:val="16"/>
          </w:rPr>
          <w:t>[1]</w:t>
        </w:r>
      </w:hyperlink>
      <w:r w:rsidR="0055271B" w:rsidRPr="002F2FDF">
        <w:rPr>
          <w:rFonts w:ascii="Times New Roman" w:hAnsi="Times New Roman" w:cs="Times New Roman"/>
          <w:color w:val="000000" w:themeColor="text1"/>
          <w:kern w:val="2"/>
          <w:sz w:val="16"/>
          <w:szCs w:val="16"/>
        </w:rPr>
        <w:t xml:space="preserve"> См. док.№354 «Телеграмма министра торговли и промышленности А. И. Коновалова председателю Особого совещания по обороне…» (15696).</w:t>
      </w:r>
    </w:p>
    <w:p w14:paraId="5048155D" w14:textId="77777777" w:rsidR="0055271B" w:rsidRPr="002F2FDF" w:rsidRDefault="0055271B" w:rsidP="0083075A">
      <w:pPr>
        <w:spacing w:after="0" w:line="240" w:lineRule="auto"/>
        <w:jc w:val="both"/>
        <w:rPr>
          <w:rFonts w:ascii="Times New Roman" w:hAnsi="Times New Roman" w:cs="Times New Roman"/>
          <w:color w:val="000000" w:themeColor="text1"/>
          <w:kern w:val="2"/>
          <w:sz w:val="16"/>
          <w:szCs w:val="16"/>
        </w:rPr>
      </w:pPr>
    </w:p>
    <w:p w14:paraId="3FF8C818" w14:textId="58AC59A2" w:rsidR="00EF7883" w:rsidRDefault="00EF7883"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006081FA" w14:textId="77777777" w:rsidR="00EF7883" w:rsidRDefault="00EF7883"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116706ED" w14:textId="51870620" w:rsidR="00EF7883" w:rsidRPr="00FB4F67" w:rsidRDefault="00EF7883" w:rsidP="0083075A">
      <w:pPr>
        <w:spacing w:after="0" w:line="240" w:lineRule="auto"/>
        <w:jc w:val="both"/>
        <w:rPr>
          <w:rFonts w:ascii="Times New Roman" w:hAnsi="Times New Roman" w:cs="Times New Roman"/>
          <w:color w:val="0070C0"/>
          <w:sz w:val="16"/>
          <w:szCs w:val="16"/>
        </w:rPr>
      </w:pPr>
      <w:bookmarkStart w:id="310" w:name="bookmark946"/>
      <w:bookmarkStart w:id="311" w:name="bookmark947"/>
      <w:bookmarkStart w:id="312" w:name="bookmark948"/>
      <w:bookmarkStart w:id="313" w:name="bookmark949"/>
      <w:r>
        <w:rPr>
          <w:rFonts w:ascii="Times New Roman" w:hAnsi="Times New Roman" w:cs="Times New Roman"/>
          <w:color w:val="0070C0"/>
          <w:sz w:val="16"/>
          <w:szCs w:val="16"/>
        </w:rPr>
        <w:t>15 (</w:t>
      </w:r>
      <w:r w:rsidRPr="00FB4F67">
        <w:rPr>
          <w:rFonts w:ascii="Times New Roman" w:hAnsi="Times New Roman" w:cs="Times New Roman"/>
          <w:color w:val="0070C0"/>
          <w:sz w:val="16"/>
          <w:szCs w:val="16"/>
        </w:rPr>
        <w:t>28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сентября 1917 г. немецкая авиация вновь совершила налет на г. Луцк, сбросив на его кварталы две бомбы. Объектами нападения также стали железнодорожный мост (возле г. Рожище) и район г. Брода (Восточная Галиция). Одновременно противник продолжал вести активную воздушную разведку, «сосредоточивая главное внимание на Слаксинском, Тарно-польском и Гусятинском направлениях. В общей сложности над фронтом наших армий было замечено более 100 самолетов противника». Возобновились налеты неприятельских аэропланов в Молодечненом районе, производя бомбардировку в первую очередь железной дороги. Так, на ст. Пруды противник сбросил восемь бомб. Не оставляли без внимания австрийские и немецкие летчики и наши тыловые пункты.</w:t>
      </w:r>
    </w:p>
    <w:p w14:paraId="388160EE" w14:textId="77777777" w:rsidR="00EF7883" w:rsidRPr="00FB4F67" w:rsidRDefault="00EF7883" w:rsidP="0083075A">
      <w:pPr>
        <w:spacing w:after="0" w:line="240" w:lineRule="auto"/>
        <w:jc w:val="both"/>
        <w:rPr>
          <w:rFonts w:ascii="Times New Roman" w:hAnsi="Times New Roman" w:cs="Times New Roman"/>
          <w:color w:val="0070C0"/>
          <w:sz w:val="16"/>
          <w:szCs w:val="16"/>
        </w:rPr>
      </w:pPr>
    </w:p>
    <w:bookmarkEnd w:id="310"/>
    <w:bookmarkEnd w:id="311"/>
    <w:bookmarkEnd w:id="312"/>
    <w:bookmarkEnd w:id="313"/>
    <w:p w14:paraId="786868AC" w14:textId="462123A0"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88491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C1A3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сентября 1917 руководство большевиков отвергло призыв В.И.Л. к восстанию и уходу с Демократического совещания (3908,262).</w:t>
      </w:r>
    </w:p>
    <w:p w14:paraId="4FA42B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23DBE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2B71F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BBF09F" w14:textId="77777777" w:rsidR="00347BB1" w:rsidRPr="002F2FDF" w:rsidRDefault="00347BB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15-16 (28–29) сентября (ночь) 1917 двадцать семь немецких бомбардировщиков - 25 Gothas и два бомбардировщика Zeppelin-Staaken R.VI - пытаются совершить налет на Англию, но большинство вынуждено повернуть назад из-за плохой погоды. Те, кто действительно достигают Англии, сбрасывают бомбы, в результате чего ранены три человека и нанесен ущерб в размере 129 фунтов стерлингов. Три Готы потеряны, а шесть других повреждены при приземлении. Это первый раз, когда новый гигант Zeppelin- Staaken Riesenflugzeuge, управляемый немецкой Riesenflugzeug Abteilungen ("Отряд гигантских самолетов") Rfa 500 и Rfa 501, принимает участие в бомбардировках Соединенного Королевства. Он являлся крупнейшим бомбардировщикои, когда-либо использовавшимся для бомбардировки Великобритании, включая те, что использовались Германией и Италией во время Второй мировой войны (20341).</w:t>
      </w:r>
    </w:p>
    <w:p w14:paraId="190AEE8A" w14:textId="77777777" w:rsidR="00347BB1" w:rsidRPr="002F2FDF" w:rsidRDefault="00347BB1" w:rsidP="0083075A">
      <w:pPr>
        <w:spacing w:after="0" w:line="240" w:lineRule="auto"/>
        <w:jc w:val="both"/>
        <w:rPr>
          <w:rFonts w:ascii="Times New Roman" w:hAnsi="Times New Roman" w:cs="Times New Roman"/>
          <w:color w:val="000000" w:themeColor="text1"/>
          <w:sz w:val="16"/>
          <w:szCs w:val="16"/>
        </w:rPr>
      </w:pPr>
    </w:p>
    <w:p w14:paraId="536DD163" w14:textId="77777777" w:rsidR="00347BB1" w:rsidRPr="002F2FDF" w:rsidRDefault="00347BB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15-17 (29–30) сентября (ночь) 1917 семь Гот и два Цеппелин-Стаакен R.VI отправились в рейд на Англию. Их бомбы убили 40 человек и 87 получили ранения. Один гота потерян. К этому времени население Лондона настолько встревожено немецкими ночными рейдами, что до 300000 человек ищут ночлег на станциях лондонского метрополитена, в то время как другие покидают город в поисках ночлега в другом месте или для ночлега в открытых полях в сельской местности (20341).</w:t>
      </w:r>
    </w:p>
    <w:p w14:paraId="3706B814" w14:textId="77777777" w:rsidR="00347BB1" w:rsidRPr="002F2FDF" w:rsidRDefault="00347BB1" w:rsidP="0083075A">
      <w:pPr>
        <w:spacing w:after="0" w:line="240" w:lineRule="auto"/>
        <w:jc w:val="both"/>
        <w:rPr>
          <w:rFonts w:ascii="Times New Roman" w:hAnsi="Times New Roman" w:cs="Times New Roman"/>
          <w:color w:val="000000" w:themeColor="text1"/>
          <w:sz w:val="16"/>
          <w:szCs w:val="16"/>
        </w:rPr>
      </w:pPr>
    </w:p>
    <w:p w14:paraId="2A1B456F" w14:textId="77777777" w:rsidR="00347BB1" w:rsidRPr="002F2FDF" w:rsidRDefault="00347BB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 (28) сентября 1917 в соответствии с соглашением между Италией и Соединенными Штатами первые 46 американских кадетов прибывают в Фоджу , Италия, для обучения. Вскоре к ним присоединятся еще 250 человек, и почти 500 американских авиаторов пройдут подготовку в Италии, прежде всего в Фоджи, до окончания войны в ноябре 1918 года (20341).</w:t>
      </w:r>
    </w:p>
    <w:p w14:paraId="73436F30" w14:textId="77777777" w:rsidR="00347BB1" w:rsidRPr="002F2FDF" w:rsidRDefault="00347BB1" w:rsidP="0083075A">
      <w:pPr>
        <w:spacing w:after="0" w:line="240" w:lineRule="auto"/>
        <w:jc w:val="both"/>
        <w:rPr>
          <w:rFonts w:ascii="Times New Roman" w:hAnsi="Times New Roman" w:cs="Times New Roman"/>
          <w:color w:val="000000" w:themeColor="text1"/>
          <w:sz w:val="16"/>
          <w:szCs w:val="16"/>
        </w:rPr>
      </w:pPr>
    </w:p>
    <w:p w14:paraId="0638C1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сентября 1917 в проливе Ла-Манш атакой с гидросамолета уничтожена пятая германская подводная лодка UC-6.</w:t>
      </w:r>
    </w:p>
    <w:p w14:paraId="4A695C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Эта лодка оказалась последней германской подводной лодкой, уничтоженной авиацией союзников. Всего в сентябре авиация союзников в противолодочных операциях преодолела около 170 тыс. км; при этом было обнаружено 25 подводных лодок и атаковано 18. В эти месяцы противолодочной авиацией порой в сутки сбрасывалось до 6-8 тонн бомб (11999).</w:t>
      </w:r>
    </w:p>
    <w:p w14:paraId="471F2B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C32642" w14:textId="77777777" w:rsidR="00896779" w:rsidRPr="002F2FDF" w:rsidRDefault="00896779" w:rsidP="0083075A">
      <w:pPr>
        <w:pStyle w:val="ae"/>
        <w:spacing w:before="0" w:after="0"/>
        <w:jc w:val="both"/>
        <w:rPr>
          <w:color w:val="000000" w:themeColor="text1"/>
          <w:kern w:val="2"/>
          <w:sz w:val="16"/>
          <w:szCs w:val="16"/>
        </w:rPr>
      </w:pPr>
      <w:r w:rsidRPr="002F2FDF">
        <w:rPr>
          <w:color w:val="000000" w:themeColor="text1"/>
          <w:kern w:val="2"/>
          <w:sz w:val="16"/>
          <w:szCs w:val="16"/>
        </w:rPr>
        <w:t>15 (28) сентября 1917 15-я индийская дивизия британских колониальных войск начала штурм удерживаемого турками города Рамади, расположенного в центральном части современного Ирака, в 100 километрах к западу от Багдада. Для взятия Рамади командующий дивизии генерал Брукинг приказал построить фальшивую дорогу и мост на северный берег Евфрата, чтобы ввести противника в заблуждение и неожиданно атаковать в другом месте. При этом в глубокий обход, чтобы лишить турок возможности получения подкреплений и отсечь путь к отступлению, была отправлена кавалерийская бригада. Две пехотные бригады сходу смогли прорвать турецкую оборону и вошли в город. И хотя турки ожидали штурм, они оказались не готовы к применению британцами бронемашин, и практически сразу сдались. Попытки гарнизона вырваться из города были предотвращены кавалерией. К утру 29 сентября бои в Рамади стихли. Британцы потеряли не более 1000 солдат и офицеров, причем большинство легкоранеными. Потери турок составили более 3500 человек, большая часть из которых попала в плен (17045).</w:t>
      </w:r>
    </w:p>
    <w:p w14:paraId="069F5C9D" w14:textId="77777777" w:rsidR="00896779" w:rsidRPr="002F2FDF" w:rsidRDefault="0089677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B0B413" w14:textId="77777777" w:rsidR="00247666"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7F909DA" w14:textId="77777777" w:rsidR="00247666" w:rsidRPr="002F2FDF" w:rsidRDefault="002476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FBDEF1" w14:textId="77777777" w:rsidR="00247666" w:rsidRPr="002F2FDF" w:rsidRDefault="00247666" w:rsidP="0083075A">
      <w:pPr>
        <w:pStyle w:val="83"/>
        <w:shd w:val="clear" w:color="auto" w:fill="auto"/>
        <w:spacing w:after="0" w:line="240" w:lineRule="auto"/>
        <w:ind w:firstLine="0"/>
        <w:jc w:val="both"/>
        <w:rPr>
          <w:rFonts w:ascii="Times New Roman" w:hAnsi="Times New Roman"/>
          <w:color w:val="000000" w:themeColor="text1"/>
          <w:kern w:val="2"/>
          <w:sz w:val="16"/>
          <w:szCs w:val="16"/>
        </w:rPr>
      </w:pPr>
      <w:r w:rsidRPr="002F2FDF">
        <w:rPr>
          <w:rFonts w:ascii="Times New Roman" w:hAnsi="Times New Roman"/>
          <w:color w:val="000000" w:themeColor="text1"/>
          <w:kern w:val="2"/>
          <w:sz w:val="16"/>
          <w:szCs w:val="16"/>
        </w:rPr>
        <w:t>В середине сентября 1917 г. воздухоплаватели Токмачев и Вагар выбросились из корзины аэростата, загоревшегося от элект</w:t>
      </w:r>
      <w:r w:rsidRPr="002F2FDF">
        <w:rPr>
          <w:rFonts w:ascii="Times New Roman" w:hAnsi="Times New Roman"/>
          <w:color w:val="000000" w:themeColor="text1"/>
          <w:kern w:val="2"/>
          <w:sz w:val="16"/>
          <w:szCs w:val="16"/>
        </w:rPr>
        <w:softHyphen/>
        <w:t>рического разряда на высоте 700 м. При этом произошло почти невероятное: парашют Вагара за</w:t>
      </w:r>
      <w:r w:rsidRPr="002F2FDF">
        <w:rPr>
          <w:rFonts w:ascii="Times New Roman" w:hAnsi="Times New Roman"/>
          <w:color w:val="000000" w:themeColor="text1"/>
          <w:kern w:val="2"/>
          <w:sz w:val="16"/>
          <w:szCs w:val="16"/>
        </w:rPr>
        <w:softHyphen/>
        <w:t>путался в парашюте Токмачева и не раскрылся. Два человека повисли под одним куполом. Так они и шли с повышенной скоростью до самой земли, но отделались лишь неболь</w:t>
      </w:r>
      <w:r w:rsidRPr="002F2FDF">
        <w:rPr>
          <w:rFonts w:ascii="Times New Roman" w:hAnsi="Times New Roman"/>
          <w:color w:val="000000" w:themeColor="text1"/>
          <w:kern w:val="2"/>
          <w:sz w:val="16"/>
          <w:szCs w:val="16"/>
        </w:rPr>
        <w:softHyphen/>
        <w:t>шими травмами (12120).</w:t>
      </w:r>
    </w:p>
    <w:p w14:paraId="64A488DC"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p>
    <w:p w14:paraId="2EA2183F" w14:textId="77777777" w:rsidR="00E72C7E" w:rsidRPr="00FB4F67" w:rsidRDefault="00E72C7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С середины сентября 1917 г. заметно оживилась воздушная деятельность противника в восточной части Балтийского моря. Преимущественно отмечались разведывательные полеты неприятельской авиации по поиску русских военных судов. В ночь на 25 сентября наше побережье у Ирбенского пролива подверглось нападению со стороны цеппелина (в течение двух последовательных налетов немецкими аэронавтами было сброшено около 40 бомб). Ранее, 18 сентября, в полосе Румынского фронта неприятельская авиация совершила налеты на населенные пункты: Кизариг, Чикос, Нягра, Онешти (23405).</w:t>
      </w:r>
    </w:p>
    <w:p w14:paraId="1B88F8D6" w14:textId="77777777" w:rsidR="00E72C7E" w:rsidRPr="00FB4F67" w:rsidRDefault="00E72C7E" w:rsidP="0083075A">
      <w:pPr>
        <w:spacing w:after="0" w:line="240" w:lineRule="auto"/>
        <w:jc w:val="both"/>
        <w:rPr>
          <w:rFonts w:ascii="Times New Roman" w:hAnsi="Times New Roman" w:cs="Times New Roman"/>
          <w:color w:val="0070C0"/>
          <w:sz w:val="16"/>
          <w:szCs w:val="16"/>
        </w:rPr>
      </w:pPr>
    </w:p>
    <w:p w14:paraId="17233A70" w14:textId="77777777" w:rsidR="0069777D" w:rsidRPr="002F2FDF" w:rsidRDefault="0069777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D859E59" w14:textId="77777777" w:rsidR="0069777D" w:rsidRPr="002F2FDF" w:rsidRDefault="0069777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1896FF" w14:textId="711DE86F" w:rsidR="0069777D" w:rsidRPr="002F2FDF" w:rsidRDefault="0069777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середине сентября 1917 г., когда большевики перешли к</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подготовке вооруженного захвата власти,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Ленин как одну из задач революции выдвинул закрытие буржуазных газет, конфискацию их типографий 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запасов бумаги, введение государственной монополии на печатание платных объявлений (19545).</w:t>
      </w:r>
    </w:p>
    <w:p w14:paraId="2C65863C" w14:textId="77777777" w:rsidR="0069777D" w:rsidRPr="002F2FDF" w:rsidRDefault="0069777D" w:rsidP="0083075A">
      <w:pPr>
        <w:spacing w:after="0" w:line="240" w:lineRule="auto"/>
        <w:jc w:val="both"/>
        <w:rPr>
          <w:rFonts w:ascii="Times New Roman" w:hAnsi="Times New Roman" w:cs="Times New Roman"/>
          <w:color w:val="000000" w:themeColor="text1"/>
          <w:sz w:val="16"/>
          <w:szCs w:val="16"/>
        </w:rPr>
      </w:pPr>
    </w:p>
    <w:p w14:paraId="4DDB7E38" w14:textId="77777777" w:rsidR="0055271B"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885FCB0" w14:textId="77777777" w:rsidR="0055271B" w:rsidRPr="002F2FDF" w:rsidRDefault="0055271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3BDDAE" w14:textId="77777777" w:rsidR="0055271B" w:rsidRPr="002F2FDF" w:rsidRDefault="0055271B" w:rsidP="0083075A">
      <w:pPr>
        <w:pStyle w:val="a3"/>
        <w:rPr>
          <w:color w:val="000000" w:themeColor="text1"/>
          <w:kern w:val="2"/>
          <w:lang w:val="ru-RU"/>
        </w:rPr>
      </w:pPr>
      <w:r w:rsidRPr="002F2FDF">
        <w:rPr>
          <w:color w:val="000000" w:themeColor="text1"/>
          <w:kern w:val="2"/>
          <w:lang w:val="ru-RU"/>
        </w:rPr>
        <w:t>16 (29) сентября 1917 г. в Липецк прибыл представитель УВВФ младший авиационно- воздухоплавательный приёмщик прапорщик Пихтовников. Он оценил производствен</w:t>
      </w:r>
      <w:r w:rsidRPr="002F2FDF">
        <w:rPr>
          <w:color w:val="000000" w:themeColor="text1"/>
          <w:kern w:val="2"/>
          <w:lang w:val="ru-RU"/>
        </w:rPr>
        <w:softHyphen/>
        <w:t>ные возможности завода и указал в соответствующем рапорте, что:</w:t>
      </w:r>
    </w:p>
    <w:p w14:paraId="5EB42BDC" w14:textId="77777777" w:rsidR="0055271B" w:rsidRPr="002F2FDF" w:rsidRDefault="0055271B" w:rsidP="0083075A">
      <w:pPr>
        <w:pStyle w:val="a3"/>
        <w:rPr>
          <w:color w:val="000000" w:themeColor="text1"/>
          <w:kern w:val="2"/>
          <w:lang w:val="ru-RU"/>
        </w:rPr>
      </w:pPr>
      <w:r w:rsidRPr="002F2FDF">
        <w:rPr>
          <w:color w:val="000000" w:themeColor="text1"/>
          <w:kern w:val="2"/>
          <w:lang w:val="ru-RU"/>
        </w:rPr>
        <w:t>«...Завод занимает переделанные из хозяйственных построек помещения, частью не- отаплеваемые.</w:t>
      </w:r>
    </w:p>
    <w:p w14:paraId="410373FC" w14:textId="77777777" w:rsidR="0055271B" w:rsidRPr="002F2FDF" w:rsidRDefault="0055271B" w:rsidP="0083075A">
      <w:pPr>
        <w:pStyle w:val="a3"/>
        <w:rPr>
          <w:color w:val="000000" w:themeColor="text1"/>
          <w:kern w:val="2"/>
          <w:lang w:val="ru-RU"/>
        </w:rPr>
      </w:pPr>
      <w:r w:rsidRPr="002F2FDF">
        <w:rPr>
          <w:color w:val="000000" w:themeColor="text1"/>
          <w:kern w:val="2"/>
          <w:lang w:val="ru-RU"/>
        </w:rPr>
        <w:t>Деревообделочная мастерская представлена одной ленточной пилой, приводимой в движение электромотором в 4,5 лошадиных сил и небольшим самодельным станком для выпиловки нервюр. Станков же фрезерного, пропускного и строгального, и даже круглой пилы, не имеется. Благодаря этому производство полуфабрикатов идет вруч</w:t>
      </w:r>
      <w:r w:rsidRPr="002F2FDF">
        <w:rPr>
          <w:color w:val="000000" w:themeColor="text1"/>
          <w:kern w:val="2"/>
          <w:lang w:val="ru-RU"/>
        </w:rPr>
        <w:softHyphen/>
        <w:t>ную (например, фрезерование и строгание лонжеронов и т.п.), что конечно отзывает</w:t>
      </w:r>
      <w:r w:rsidRPr="002F2FDF">
        <w:rPr>
          <w:color w:val="000000" w:themeColor="text1"/>
          <w:kern w:val="2"/>
          <w:lang w:val="ru-RU"/>
        </w:rPr>
        <w:softHyphen/>
        <w:t>ся на скорости, точности и стоимости производства.</w:t>
      </w:r>
    </w:p>
    <w:p w14:paraId="3C8554F4" w14:textId="77777777" w:rsidR="0055271B" w:rsidRPr="002F2FDF" w:rsidRDefault="0055271B" w:rsidP="0083075A">
      <w:pPr>
        <w:pStyle w:val="a3"/>
        <w:rPr>
          <w:color w:val="000000" w:themeColor="text1"/>
          <w:kern w:val="2"/>
          <w:lang w:val="ru-RU"/>
        </w:rPr>
      </w:pPr>
      <w:r w:rsidRPr="002F2FDF">
        <w:rPr>
          <w:color w:val="000000" w:themeColor="text1"/>
          <w:kern w:val="2"/>
          <w:lang w:val="ru-RU"/>
        </w:rPr>
        <w:t>В этом же помещении находится и столярная мастерская, и сборочная крыльев, но собирать одновременно из-за тесноты помещения больше одного крыла невозможно.</w:t>
      </w:r>
    </w:p>
    <w:p w14:paraId="6218D647" w14:textId="77777777" w:rsidR="0055271B" w:rsidRPr="002F2FDF" w:rsidRDefault="0055271B" w:rsidP="0083075A">
      <w:pPr>
        <w:pStyle w:val="a3"/>
        <w:rPr>
          <w:color w:val="000000" w:themeColor="text1"/>
          <w:kern w:val="2"/>
          <w:lang w:val="ru-RU"/>
        </w:rPr>
      </w:pPr>
      <w:r w:rsidRPr="002F2FDF">
        <w:rPr>
          <w:color w:val="000000" w:themeColor="text1"/>
          <w:kern w:val="2"/>
          <w:lang w:val="ru-RU"/>
        </w:rPr>
        <w:t>Столярная мастерская оборудована двумя столярными и пятью самодельными вер</w:t>
      </w:r>
      <w:r w:rsidRPr="002F2FDF">
        <w:rPr>
          <w:color w:val="000000" w:themeColor="text1"/>
          <w:kern w:val="2"/>
          <w:lang w:val="ru-RU"/>
        </w:rPr>
        <w:softHyphen/>
        <w:t>стаками, столами и козлами для сборки крыльев... Слесарная мастерская рассчитана на десять верстаков, имеется небольшой ручной сверлильный станок, ручные ножни</w:t>
      </w:r>
      <w:r w:rsidRPr="002F2FDF">
        <w:rPr>
          <w:color w:val="000000" w:themeColor="text1"/>
          <w:kern w:val="2"/>
          <w:lang w:val="ru-RU"/>
        </w:rPr>
        <w:softHyphen/>
        <w:t>цы для резки металла, давильный пресс и два сварочных аппарата на два рожка....</w:t>
      </w:r>
    </w:p>
    <w:p w14:paraId="6DE14020" w14:textId="77777777" w:rsidR="0055271B" w:rsidRPr="002F2FDF" w:rsidRDefault="0055271B" w:rsidP="0083075A">
      <w:pPr>
        <w:pStyle w:val="a3"/>
        <w:rPr>
          <w:color w:val="000000" w:themeColor="text1"/>
          <w:kern w:val="2"/>
          <w:lang w:val="ru-RU"/>
        </w:rPr>
      </w:pPr>
      <w:r w:rsidRPr="002F2FDF">
        <w:rPr>
          <w:color w:val="000000" w:themeColor="text1"/>
          <w:kern w:val="2"/>
          <w:lang w:val="ru-RU"/>
        </w:rPr>
        <w:t>Станков по металлу не имеется, благодаря этому завод сильно зависит от степени на</w:t>
      </w:r>
      <w:r w:rsidRPr="002F2FDF">
        <w:rPr>
          <w:color w:val="000000" w:themeColor="text1"/>
          <w:kern w:val="2"/>
          <w:lang w:val="ru-RU"/>
        </w:rPr>
        <w:softHyphen/>
        <w:t>хождения на рынке различных, необходимых ему в производстве фабрикатов. Так, на</w:t>
      </w:r>
      <w:r w:rsidRPr="002F2FDF">
        <w:rPr>
          <w:color w:val="000000" w:themeColor="text1"/>
          <w:kern w:val="2"/>
          <w:lang w:val="ru-RU"/>
        </w:rPr>
        <w:softHyphen/>
        <w:t>пример, сборка восьми фюзеляжей задерживается из-за отсутствия на заводе болтов, крепящих стойки фюзеляжа, материи и троса и труб... Кузница находится в тёмном по</w:t>
      </w:r>
      <w:r w:rsidRPr="002F2FDF">
        <w:rPr>
          <w:color w:val="000000" w:themeColor="text1"/>
          <w:kern w:val="2"/>
          <w:lang w:val="ru-RU"/>
        </w:rPr>
        <w:softHyphen/>
        <w:t>мещении с земляным полом...» (15817).</w:t>
      </w:r>
    </w:p>
    <w:p w14:paraId="7565FFC3" w14:textId="77777777" w:rsidR="0055271B" w:rsidRPr="002F2FDF" w:rsidRDefault="0055271B" w:rsidP="0083075A">
      <w:pPr>
        <w:pStyle w:val="a3"/>
        <w:rPr>
          <w:color w:val="000000" w:themeColor="text1"/>
          <w:kern w:val="2"/>
          <w:lang w:val="ru-RU"/>
        </w:rPr>
      </w:pPr>
    </w:p>
    <w:p w14:paraId="14732125"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16 (29) сентября 1917 г.</w:t>
      </w:r>
    </w:p>
    <w:p w14:paraId="1FCB504D"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Резолюция по Журналу № 194.</w:t>
      </w:r>
    </w:p>
    <w:p w14:paraId="55D454DE"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16 сентября 1917 г. </w:t>
      </w:r>
    </w:p>
    <w:p w14:paraId="4DC899A5"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19 сентября. — Резолюция Председателя Особого Совещания для обсуждения и объединения мероприятий по обороне государства по журналу Особого Совещания от 16 сентября 1917 года за № 194. </w:t>
      </w:r>
    </w:p>
    <w:p w14:paraId="23BB3658"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60209AEB"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По докладу подготовительной комиссии по артиллерийским вопросам о выдаче аванса в счет испрашиваемой ссуды правительственному правлению общества Путиловских заводов: разрешить отпуск названному правлению этого завода краткосрочной беспроцентной ссуды в размере шести миллионов (6 000 000) рублей, на условиях, выработанных совещанием сенатора Лазаревского. </w:t>
      </w:r>
    </w:p>
    <w:p w14:paraId="5DE4181D"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По докладу той же комиссии об увеличении авансов по заказам, данным Центральному военно-промышленному комитету: </w:t>
      </w:r>
    </w:p>
    <w:p w14:paraId="127DFC36"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признать возможной, по соглашению с Министерством Финансов, выдачу названному комитету авансов в размере, испрашиваемом комитетом; </w:t>
      </w:r>
    </w:p>
    <w:p w14:paraId="064157C5"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ныне же выдать указанному комитету семнадцать миллионов (17 000 000) рублей в виде аванса по предназначенным к сдаче заказам, поровну, главного артиллерийского управления и главного военно-технического управления. </w:t>
      </w:r>
    </w:p>
    <w:p w14:paraId="13D0E43B"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3) По докладу той же комиссии о дальнейшей деятельности Невьянского горнопромышленного общества: </w:t>
      </w:r>
    </w:p>
    <w:p w14:paraId="4FD05FBC"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признать подлежащей продолжению деятельность этого предприятия и изготовление на нем взрывателей 3 ГТ и 4 ГТ; </w:t>
      </w:r>
    </w:p>
    <w:p w14:paraId="07F580E6"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назначить на заводы общества правительственного инспектора, по указанию главного артиллерийского управления, применительно к п. 4 ст. 10 Положения об Особом Совещании; </w:t>
      </w:r>
    </w:p>
    <w:p w14:paraId="705EA39C"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предложить названному инспектору обследовать, при участии Уральского заводского совещания, положение дел общества с последующим о сем докладом Особому Совещанию; </w:t>
      </w:r>
    </w:p>
    <w:p w14:paraId="79B79061"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 по представлении соответствующих документов освободить общество от данных гарантий по полученным авансам с условием удержания в пользу казны 4 % от суммы авансов. </w:t>
      </w:r>
    </w:p>
    <w:p w14:paraId="122ACB0F"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 По докладу той же комиссии о заказе акционерному обществу Русских электротехнических заводов «Сименс и Гальске» головных ударных трубок 13 Г. М. 4:</w:t>
      </w:r>
    </w:p>
    <w:p w14:paraId="0EBCAEA2"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признать упомянутый заказ желательным при условии выполнения его в Нижнем Новгороде; </w:t>
      </w:r>
    </w:p>
    <w:p w14:paraId="77842875"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разрешить выдачу аванса без обеспечения в размере 50 % по означенному заказу, с тем чтобы два миллиона (2 000 000) рублей были отпущены по окончательном решении вопроса о перенесении предлагаемой части оборудования в Нижний Новгород, а следующая часть аванса — по получении заключения Нижегородского заводского совещания о восстановлении предприятий в поименованном городе; </w:t>
      </w:r>
    </w:p>
    <w:p w14:paraId="241105C5"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признать, что выдача этого аванса исключает возможность получения каких-либо эвакуационных пособий. </w:t>
      </w:r>
    </w:p>
    <w:p w14:paraId="3C171462"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5) Одобрить доклад той же комиссии о выдаче правлению Русского акционерного общества «Сименс — Шуккерт» дополнительного аванса до 80 % по контракту от 27 сентября 1915 г. за № 20420 на взрыватели 3 ГТ, на изложенных в докладе основаниях, с зачислением ранее выданной ссуды в 2 000 000 руб. </w:t>
      </w:r>
    </w:p>
    <w:p w14:paraId="5C75C7D2"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6) По докладу управляющего Министерством Путей Сообщения А. В. Ливеровского о разгрузке Петроградских железнодорожных узлов: довести до сведения Временного Правительства о необходимости скорейшего сосредоточения дел продовольствия столицы в ведении лица, с достаточными на то полномочиями и о наряде воинских команд и грузовиков для разгрузки упомянутых узлов. </w:t>
      </w:r>
    </w:p>
    <w:p w14:paraId="2D7FA36C"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7) По вопросу о разработке и применении горючих сланцев: довести до сведения Временного Правительства и заинтересованных Министерств о необходимости оказания всемерного содействия к скорейшему применению в качестве топлива горючих сланцев. </w:t>
      </w:r>
    </w:p>
    <w:p w14:paraId="14AD41CD"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8) Одобрить принятые мероприятия по снабжению древесноугольным металлом наших союзников. </w:t>
      </w:r>
    </w:p>
    <w:p w14:paraId="55C20799"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9) По докладу реквизиционно-секвестрационной комиссии о реквизиции для артиллерийских и инженерных мастерских Западного фронта предметов оборудования и материалов на бездействующих заводах Смоленской губернии: </w:t>
      </w:r>
    </w:p>
    <w:p w14:paraId="0FAA6648"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признать, что реквизиция материалов и предметов казенных учреждений может быть совершаема лишь по соглашению с заинтересованными ведомствами и с ведома Московского заводского совещания: </w:t>
      </w:r>
    </w:p>
    <w:p w14:paraId="172288A3"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а1) признать недопустимым производство общей реквизиции существенных предметов оборудования на заводах всей Смоленской губ., если эта губерния не признана угрожаемой со стороны неприятеля; </w:t>
      </w:r>
    </w:p>
    <w:p w14:paraId="22E09CB3"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допустить реквизицию материала и предметов оборудования частных предприятий при условии в каждом отдельном случае соглашения с местным заводским совещанием. </w:t>
      </w:r>
    </w:p>
    <w:p w14:paraId="1DE83D72"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10) По докладу той же комиссии о принудительном занятии помещений в г. Одессе для фабрично-заводских примирительных камер за счет сумм военного фонда: довести до сведения главного начальника Одесского округа, что фабрично-заводским примирительным камерам, как учреждениям, не работающим на оборону, не могут быть принудительно отводимы помещения в порядке п. 81 ст. 10 Положения об Особом Совещании. </w:t>
      </w:r>
    </w:p>
    <w:p w14:paraId="7189FDA7"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11) Одобрить доклад подготовительной комиссии по авиационным вопросам об отпуске средств на постройку в городе Херсоне зданий и сооружений </w:t>
      </w:r>
      <w:r w:rsidRPr="002F2FDF">
        <w:rPr>
          <w:rFonts w:ascii="Times New Roman" w:hAnsi="Times New Roman" w:cs="Times New Roman"/>
          <w:color w:val="000000" w:themeColor="text1"/>
          <w:sz w:val="16"/>
          <w:szCs w:val="16"/>
          <w:highlight w:val="yellow"/>
        </w:rPr>
        <w:t>для главного аэродрома</w:t>
      </w:r>
      <w:r w:rsidRPr="002F2FDF">
        <w:rPr>
          <w:rFonts w:ascii="Times New Roman" w:hAnsi="Times New Roman" w:cs="Times New Roman"/>
          <w:color w:val="000000" w:themeColor="text1"/>
          <w:sz w:val="16"/>
          <w:szCs w:val="16"/>
        </w:rPr>
        <w:t xml:space="preserve"> и оборудование его, на изложенных в докладе основаниях.</w:t>
      </w:r>
    </w:p>
    <w:p w14:paraId="55D4D532"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12) Одобрить доклад той же комиссии об отпуске средств на постройку и оборудование трубной мастерской на казенном Херсонском аэропланно- и моторостроительном заводе, на установленных в докладе основаниях.</w:t>
      </w:r>
    </w:p>
    <w:p w14:paraId="6103BDCC"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13) Одобрить доклад той же комиссии о возведении построек и устройстве аэродрома для школы летчиков-наблюдателей в г. Евпатории. </w:t>
      </w:r>
    </w:p>
    <w:p w14:paraId="679524C2"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Председательствующий в Особом Совещании П. Пальчинский. </w:t>
      </w:r>
    </w:p>
    <w:p w14:paraId="5FB004A9"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Управляющий делами Особого Совещания генерал-лейтенант Бабиков (20446). </w:t>
      </w:r>
    </w:p>
    <w:p w14:paraId="7EAFAD98" w14:textId="77777777" w:rsidR="00967187" w:rsidRPr="002F2FDF" w:rsidRDefault="00967187" w:rsidP="0083075A">
      <w:pPr>
        <w:spacing w:after="0" w:line="240" w:lineRule="auto"/>
        <w:jc w:val="both"/>
        <w:rPr>
          <w:rFonts w:ascii="Times New Roman" w:hAnsi="Times New Roman" w:cs="Times New Roman"/>
          <w:color w:val="000000" w:themeColor="text1"/>
          <w:sz w:val="16"/>
          <w:szCs w:val="16"/>
        </w:rPr>
      </w:pPr>
    </w:p>
    <w:p w14:paraId="2D48A58A" w14:textId="7B025899" w:rsidR="004D05D9" w:rsidRDefault="004D05D9"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3B7B57AC" w14:textId="77777777" w:rsidR="004D05D9" w:rsidRDefault="004D05D9"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D785748" w14:textId="767B292A" w:rsidR="00AE2B0B" w:rsidRPr="00FB4F67" w:rsidRDefault="00AE2B0B" w:rsidP="0083075A">
      <w:pPr>
        <w:spacing w:after="0" w:line="240" w:lineRule="auto"/>
        <w:jc w:val="both"/>
        <w:rPr>
          <w:rFonts w:ascii="Times New Roman" w:hAnsi="Times New Roman" w:cs="Times New Roman"/>
          <w:color w:val="0070C0"/>
          <w:sz w:val="16"/>
          <w:szCs w:val="16"/>
        </w:rPr>
      </w:pPr>
      <w:bookmarkStart w:id="314" w:name="bookmark950"/>
      <w:r w:rsidRPr="00FB4F67">
        <w:rPr>
          <w:rFonts w:ascii="Times New Roman" w:hAnsi="Times New Roman" w:cs="Times New Roman"/>
          <w:color w:val="0070C0"/>
          <w:sz w:val="16"/>
          <w:szCs w:val="16"/>
        </w:rPr>
        <w:t xml:space="preserve">16 </w:t>
      </w:r>
      <w:r>
        <w:rPr>
          <w:rFonts w:ascii="Times New Roman" w:hAnsi="Times New Roman" w:cs="Times New Roman"/>
          <w:color w:val="0070C0"/>
          <w:sz w:val="16"/>
          <w:szCs w:val="16"/>
        </w:rPr>
        <w:t xml:space="preserve">(29) </w:t>
      </w:r>
      <w:r w:rsidRPr="00FB4F67">
        <w:rPr>
          <w:rFonts w:ascii="Times New Roman" w:hAnsi="Times New Roman" w:cs="Times New Roman"/>
          <w:color w:val="0070C0"/>
          <w:sz w:val="16"/>
          <w:szCs w:val="16"/>
        </w:rPr>
        <w:t>сентября 1917 г. состоялся последний боевой вылет в Эскадре. В боевых отрядах остава</w:t>
      </w:r>
      <w:r w:rsidRPr="00FB4F67">
        <w:rPr>
          <w:rFonts w:ascii="Times New Roman" w:hAnsi="Times New Roman" w:cs="Times New Roman"/>
          <w:color w:val="0070C0"/>
          <w:sz w:val="16"/>
          <w:szCs w:val="16"/>
        </w:rPr>
        <w:softHyphen/>
        <w:t>лось всего десять «Муромцев». Осе</w:t>
      </w:r>
      <w:r w:rsidRPr="00FB4F67">
        <w:rPr>
          <w:rFonts w:ascii="Times New Roman" w:hAnsi="Times New Roman" w:cs="Times New Roman"/>
          <w:color w:val="0070C0"/>
          <w:sz w:val="16"/>
          <w:szCs w:val="16"/>
        </w:rPr>
        <w:softHyphen/>
        <w:t>нью 1917 г. все боевые корабли за исключением 3-го отряда собра</w:t>
      </w:r>
      <w:r w:rsidRPr="00FB4F67">
        <w:rPr>
          <w:rFonts w:ascii="Times New Roman" w:hAnsi="Times New Roman" w:cs="Times New Roman"/>
          <w:color w:val="0070C0"/>
          <w:sz w:val="16"/>
          <w:szCs w:val="16"/>
        </w:rPr>
        <w:softHyphen/>
        <w:t>лись на главной базе. 3-й же отряд осенью вернулся на свой аэродром под Минском (23469).</w:t>
      </w:r>
    </w:p>
    <w:p w14:paraId="4CB943A4" w14:textId="77777777" w:rsidR="00AE2B0B" w:rsidRPr="00FB4F67" w:rsidRDefault="00AE2B0B" w:rsidP="0083075A">
      <w:pPr>
        <w:spacing w:after="0" w:line="240" w:lineRule="auto"/>
        <w:jc w:val="both"/>
        <w:rPr>
          <w:rFonts w:ascii="Times New Roman" w:hAnsi="Times New Roman" w:cs="Times New Roman"/>
          <w:color w:val="0070C0"/>
          <w:sz w:val="16"/>
          <w:szCs w:val="16"/>
        </w:rPr>
      </w:pPr>
    </w:p>
    <w:p w14:paraId="05DF394E" w14:textId="40963761" w:rsidR="004D05D9" w:rsidRPr="00FB4F67" w:rsidRDefault="001720A9"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16 (</w:t>
      </w:r>
      <w:r w:rsidR="004D05D9" w:rsidRPr="00FB4F67">
        <w:rPr>
          <w:rFonts w:ascii="Times New Roman" w:hAnsi="Times New Roman" w:cs="Times New Roman"/>
          <w:color w:val="0070C0"/>
          <w:sz w:val="16"/>
          <w:szCs w:val="16"/>
        </w:rPr>
        <w:t>29</w:t>
      </w:r>
      <w:r>
        <w:rPr>
          <w:rFonts w:ascii="Times New Roman" w:hAnsi="Times New Roman" w:cs="Times New Roman"/>
          <w:color w:val="0070C0"/>
          <w:sz w:val="16"/>
          <w:szCs w:val="16"/>
        </w:rPr>
        <w:t>)</w:t>
      </w:r>
      <w:r w:rsidR="004D05D9" w:rsidRPr="00FB4F67">
        <w:rPr>
          <w:rFonts w:ascii="Times New Roman" w:hAnsi="Times New Roman" w:cs="Times New Roman"/>
          <w:color w:val="0070C0"/>
          <w:sz w:val="16"/>
          <w:szCs w:val="16"/>
        </w:rPr>
        <w:t xml:space="preserve"> сентября 1917 г. на Бродском направлении пулеметным огнем был сбит самолет противника  (23405).</w:t>
      </w:r>
    </w:p>
    <w:p w14:paraId="5FA61450" w14:textId="77777777" w:rsidR="004D05D9" w:rsidRPr="00FB4F67" w:rsidRDefault="004D05D9" w:rsidP="0083075A">
      <w:pPr>
        <w:spacing w:after="0" w:line="240" w:lineRule="auto"/>
        <w:jc w:val="both"/>
        <w:rPr>
          <w:rFonts w:ascii="Times New Roman" w:hAnsi="Times New Roman" w:cs="Times New Roman"/>
          <w:color w:val="0070C0"/>
          <w:sz w:val="16"/>
          <w:szCs w:val="16"/>
        </w:rPr>
      </w:pPr>
    </w:p>
    <w:p w14:paraId="7F87DE7D" w14:textId="05B58D35" w:rsidR="001720A9" w:rsidRPr="00FB4F67" w:rsidRDefault="001720A9" w:rsidP="0083075A">
      <w:pPr>
        <w:spacing w:after="0" w:line="240" w:lineRule="auto"/>
        <w:jc w:val="both"/>
        <w:rPr>
          <w:rFonts w:ascii="Times New Roman" w:hAnsi="Times New Roman" w:cs="Times New Roman"/>
          <w:color w:val="0070C0"/>
          <w:sz w:val="16"/>
          <w:szCs w:val="16"/>
        </w:rPr>
      </w:pPr>
      <w:bookmarkStart w:id="315" w:name="bookmark951"/>
      <w:bookmarkStart w:id="316" w:name="bookmark952"/>
      <w:bookmarkEnd w:id="314"/>
      <w:r w:rsidRPr="00FB4F67">
        <w:rPr>
          <w:rFonts w:ascii="Times New Roman" w:hAnsi="Times New Roman" w:cs="Times New Roman"/>
          <w:color w:val="0070C0"/>
          <w:sz w:val="16"/>
          <w:szCs w:val="16"/>
        </w:rPr>
        <w:t xml:space="preserve">В ночь на </w:t>
      </w:r>
      <w:r>
        <w:rPr>
          <w:rFonts w:ascii="Times New Roman" w:hAnsi="Times New Roman" w:cs="Times New Roman"/>
          <w:color w:val="0070C0"/>
          <w:sz w:val="16"/>
          <w:szCs w:val="16"/>
        </w:rPr>
        <w:t>16 (</w:t>
      </w:r>
      <w:r w:rsidRPr="00FB4F67">
        <w:rPr>
          <w:rFonts w:ascii="Times New Roman" w:hAnsi="Times New Roman" w:cs="Times New Roman"/>
          <w:color w:val="0070C0"/>
          <w:sz w:val="16"/>
          <w:szCs w:val="16"/>
        </w:rPr>
        <w:t>29</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сентября 1917 г. у д. Безодня (в 15 км от Броды), «один из „Альбатросов“ неприятеля снизился и стал обстреливать наш змейковый аэростат, но команда нашего воздухоплавательного отряда обстреляла противника ружейным и пулеметным огнем. Самолет противника был сильно поврежден, и немцы были вынуждены спуститься. Оба летчика - лейтенант и унтер-офицер - взяты в плен» (23405).</w:t>
      </w:r>
      <w:bookmarkEnd w:id="315"/>
      <w:bookmarkEnd w:id="316"/>
    </w:p>
    <w:p w14:paraId="1A6F5A0C" w14:textId="77777777" w:rsidR="001720A9" w:rsidRPr="00FB4F67" w:rsidRDefault="001720A9" w:rsidP="0083075A">
      <w:pPr>
        <w:spacing w:after="0" w:line="240" w:lineRule="auto"/>
        <w:jc w:val="both"/>
        <w:rPr>
          <w:rFonts w:ascii="Times New Roman" w:hAnsi="Times New Roman" w:cs="Times New Roman"/>
          <w:color w:val="0070C0"/>
          <w:sz w:val="16"/>
          <w:szCs w:val="16"/>
        </w:rPr>
      </w:pPr>
    </w:p>
    <w:p w14:paraId="6511CAA8" w14:textId="57037A65"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69881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B659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16 сентября 19 (29 сентября - 1 октября) 1917 германская авиация в течение нескольких ночей бомбила Лондон (3481).</w:t>
      </w:r>
    </w:p>
    <w:p w14:paraId="159DDA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E0430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D77C8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4234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сентября 1917 на Опытном аэродроме Петроградской школы морской авиации возобновились испытания первого ГАСН. Кто летал - не ясно, т.к. А.Е.Грузинов уже в августе должен был ехать в США (2807,82).</w:t>
      </w:r>
    </w:p>
    <w:p w14:paraId="71F058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6E60F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18B66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D538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17 </w:t>
      </w:r>
      <w:r w:rsidR="00680400" w:rsidRPr="002F2FDF">
        <w:rPr>
          <w:rFonts w:ascii="Times New Roman" w:hAnsi="Times New Roman" w:cs="Times New Roman"/>
          <w:color w:val="000000" w:themeColor="text1"/>
          <w:kern w:val="2"/>
          <w:sz w:val="16"/>
          <w:szCs w:val="16"/>
        </w:rPr>
        <w:t xml:space="preserve">(30) </w:t>
      </w:r>
      <w:r w:rsidRPr="002F2FDF">
        <w:rPr>
          <w:rFonts w:ascii="Times New Roman" w:hAnsi="Times New Roman" w:cs="Times New Roman"/>
          <w:color w:val="000000" w:themeColor="text1"/>
          <w:kern w:val="2"/>
          <w:sz w:val="16"/>
          <w:szCs w:val="16"/>
        </w:rPr>
        <w:t>сентября 1917 г. в 17 ч 30 мин, когда аэростат с подпоручиком Токмачевым и прапорщиком Вагаром находился на высоте 700 м, неожиданно от статистического электричества загорелся водород. Когда наблюдатели увидели пламя, они решили выбрасываться на парашютах (системы Котельникова). Первым покинул корзину Токмачев, через 3-4 секунды следом за ним прыгнул Вагар, но стропы его парашюта зацепились за стропы парашюта Токмачева. Последний не растерялся, схватил стропы парашюта Вагара, и они вдвоем опустились на парашюте Токмачева. Наземная команда сумела оттянуть падающий аэростат лебедкой в сторону, чтобы он не коснулся парашюта, на котором спускались оба наблюдателя. Наверно, это был первый случай в истории парашютных прыжков, когда на одном парашюте благополучно опустились оба наблюдателя (11238).</w:t>
      </w:r>
    </w:p>
    <w:p w14:paraId="3DF808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ECDFF4" w14:textId="77777777" w:rsidR="00CC3127" w:rsidRPr="002F2FDF" w:rsidRDefault="00CC312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17 (30) сентября 1917 в районе местечка Мельница на Стоходе аэростат 46-го корпусного воздухо</w:t>
      </w:r>
      <w:r w:rsidRPr="002F2FDF">
        <w:rPr>
          <w:rFonts w:ascii="Times New Roman" w:hAnsi="Times New Roman" w:cs="Times New Roman"/>
          <w:color w:val="000000" w:themeColor="text1"/>
          <w:sz w:val="16"/>
          <w:szCs w:val="16"/>
        </w:rPr>
        <w:softHyphen/>
        <w:t>плавательного отряда в течение полутора часов корректировал стрельбу шести батарей, выпу</w:t>
      </w:r>
      <w:r w:rsidRPr="002F2FDF">
        <w:rPr>
          <w:rFonts w:ascii="Times New Roman" w:hAnsi="Times New Roman" w:cs="Times New Roman"/>
          <w:color w:val="000000" w:themeColor="text1"/>
          <w:sz w:val="16"/>
          <w:szCs w:val="16"/>
        </w:rPr>
        <w:softHyphen/>
        <w:t>стивших около 6 тыс. химических снарядов по лесу в тылу противника, где помещались его биваки и склады. Одновременно аэростат кор</w:t>
      </w:r>
      <w:r w:rsidRPr="002F2FDF">
        <w:rPr>
          <w:rFonts w:ascii="Times New Roman" w:hAnsi="Times New Roman" w:cs="Times New Roman"/>
          <w:color w:val="000000" w:themeColor="text1"/>
          <w:sz w:val="16"/>
          <w:szCs w:val="16"/>
        </w:rPr>
        <w:softHyphen/>
        <w:t>ректировал стрельбу двух тяжёлых батарей по артиллерии противника, открывшей ураганный огонь по русским окопам (20120).</w:t>
      </w:r>
    </w:p>
    <w:p w14:paraId="0D583BF5" w14:textId="77777777" w:rsidR="00CC3127" w:rsidRPr="002F2FDF" w:rsidRDefault="00CC3127" w:rsidP="0083075A">
      <w:pPr>
        <w:spacing w:after="0" w:line="240" w:lineRule="auto"/>
        <w:jc w:val="both"/>
        <w:rPr>
          <w:rFonts w:ascii="Times New Roman" w:hAnsi="Times New Roman" w:cs="Times New Roman"/>
          <w:color w:val="000000" w:themeColor="text1"/>
          <w:sz w:val="16"/>
          <w:szCs w:val="16"/>
        </w:rPr>
      </w:pPr>
    </w:p>
    <w:p w14:paraId="6F73475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484E6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829CB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сентября 1917 на выборах главы Моссовета впервые победил большевик - Виктор Ногин (4962).</w:t>
      </w:r>
    </w:p>
    <w:p w14:paraId="52C3D6E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C52E7A" w14:textId="77777777" w:rsidR="00CC3127" w:rsidRPr="002F2FDF" w:rsidRDefault="00CC312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E94D28A" w14:textId="77777777" w:rsidR="00CC3127" w:rsidRPr="002F2FDF" w:rsidRDefault="00CC312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FD9A5B" w14:textId="77777777" w:rsidR="00CC3127" w:rsidRPr="002F2FDF" w:rsidRDefault="00CC312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17-18 (30 сентября - 1 октября ) сентября (ночь) 1917 одиннадцать бомбардировщиков Гота совершают налёт на Англию (20341).</w:t>
      </w:r>
    </w:p>
    <w:p w14:paraId="52175A71" w14:textId="77777777" w:rsidR="00CC3127" w:rsidRPr="002F2FDF" w:rsidRDefault="00CC3127" w:rsidP="0083075A">
      <w:pPr>
        <w:spacing w:after="0" w:line="240" w:lineRule="auto"/>
        <w:jc w:val="both"/>
        <w:rPr>
          <w:rFonts w:ascii="Times New Roman" w:hAnsi="Times New Roman" w:cs="Times New Roman"/>
          <w:color w:val="000000" w:themeColor="text1"/>
          <w:sz w:val="16"/>
          <w:szCs w:val="16"/>
        </w:rPr>
      </w:pPr>
    </w:p>
    <w:p w14:paraId="3E191AE3" w14:textId="77777777" w:rsidR="000A625D"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42959AB" w14:textId="77777777" w:rsidR="000A625D" w:rsidRPr="002F2FDF" w:rsidRDefault="000A625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61E1D8"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(30) сентября 1917 г. Циркулярное извещение главноуполномоченного по донецкому топливу И. Г. Сергеева директорам промышленных предприятий Харьковского района о погрузке и распределении донецкого топлива на октябрь 1917 г.</w:t>
      </w:r>
    </w:p>
    <w:p w14:paraId="4321E473"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81-83</w:t>
      </w:r>
    </w:p>
    <w:p w14:paraId="0645E679"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567, оп. 1, д. 300, л. 38. Типогр. акз.</w:t>
      </w:r>
    </w:p>
    <w:p w14:paraId="42A76981"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Препровождая при сем для сведения воззвание Всероссийского съезда по топливу от 30 августа с. г.,</w:t>
      </w:r>
      <w:hyperlink r:id="rId530" w:anchor="_ftn1" w:history="1">
        <w:r w:rsidRPr="002F2FDF">
          <w:rPr>
            <w:rFonts w:ascii="Times New Roman" w:hAnsi="Times New Roman" w:cs="Times New Roman"/>
            <w:color w:val="000000" w:themeColor="text1"/>
            <w:kern w:val="2"/>
            <w:sz w:val="16"/>
            <w:szCs w:val="16"/>
          </w:rPr>
          <w:t>[1]</w:t>
        </w:r>
      </w:hyperlink>
      <w:r w:rsidRPr="002F2FDF">
        <w:rPr>
          <w:rFonts w:ascii="Times New Roman" w:hAnsi="Times New Roman" w:cs="Times New Roman"/>
          <w:color w:val="000000" w:themeColor="text1"/>
          <w:kern w:val="2"/>
          <w:sz w:val="16"/>
          <w:szCs w:val="16"/>
        </w:rPr>
        <w:t xml:space="preserve"> сообщаю в дополнение к этому, что фактическая погрузка донецкого минерального топлива за август месяц понизилась до 83.5 млн пуд. против 95.6 млн за предшествующий июль месяц с. г. и против 119 230 тыс. пуд. за август месяц 1916 г. Что касается сентября, то, по телеграфным сведениям, погрузка за первые 10 дней достигает 25.3 млн пуд. На основании этих данных можно предположить, что погрузка за сентябрь, если не наступит улучшение, понизится до 76—80 млн. пуд.</w:t>
      </w:r>
    </w:p>
    <w:p w14:paraId="2B874086"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Вследствие такого резкого падения погрузки очередная норма к вывозу на октябрь и следующие ноябрь и декабрь месяцы понижена Особым совещанием но топливу до 105 млн пуд. в месяц (90.5 млн основное+14.5 млн дополнительное назначение) против сентябрьской нормы 115 750 тыс. пуд.</w:t>
      </w:r>
    </w:p>
    <w:p w14:paraId="7EC3132B"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Основная норма, предоставленная Особым совещанием на октябрь месяц, по отдельным группам потребителей распределена в следующем размере (в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76"/>
        <w:gridCol w:w="435"/>
      </w:tblGrid>
      <w:tr w:rsidR="002B1C74" w:rsidRPr="002F2FDF" w14:paraId="2C28920F"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C34532"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Железные дороги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24A49"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48,00</w:t>
            </w:r>
          </w:p>
        </w:tc>
      </w:tr>
      <w:tr w:rsidR="002B1C74" w:rsidRPr="002F2FDF" w14:paraId="53D2823A"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78247D"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Флот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C9D7C"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3,50</w:t>
            </w:r>
          </w:p>
        </w:tc>
      </w:tr>
      <w:tr w:rsidR="002B1C74" w:rsidRPr="002F2FDF" w14:paraId="222F2705"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DABF4A"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Металлургические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95A04"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22,00</w:t>
            </w:r>
          </w:p>
        </w:tc>
      </w:tr>
      <w:tr w:rsidR="002B1C74" w:rsidRPr="002F2FDF" w14:paraId="62E7C2BA"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F89CF3"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Харьковский район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9B73F"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4,90</w:t>
            </w:r>
          </w:p>
        </w:tc>
      </w:tr>
      <w:tr w:rsidR="002B1C74" w:rsidRPr="002F2FDF" w14:paraId="038EE034"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26476A"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Петроградский райоп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E924A"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3,40</w:t>
            </w:r>
          </w:p>
        </w:tc>
      </w:tr>
      <w:tr w:rsidR="002B1C74" w:rsidRPr="002F2FDF" w14:paraId="5ECCC16F"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3BCAAA"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Московский район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A8FD5"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2,10</w:t>
            </w:r>
          </w:p>
        </w:tc>
      </w:tr>
      <w:tr w:rsidR="002B1C74" w:rsidRPr="002F2FDF" w14:paraId="2BEB1DA3"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259E1B"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Прочие районы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F6964"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6,60</w:t>
            </w:r>
          </w:p>
        </w:tc>
      </w:tr>
      <w:tr w:rsidR="002B1C74" w:rsidRPr="002F2FDF" w14:paraId="29D542C1"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DCB6E0"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0A636"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90,50</w:t>
            </w:r>
          </w:p>
        </w:tc>
      </w:tr>
    </w:tbl>
    <w:p w14:paraId="756EB77C"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связи с понижением общего назначения норма Харьково-Екатерино-славского района на октябрь понижена до 6500 тыс. пуд. (4.9 млн пуд. очередная-]--!.6 млн пуд. добавочная норма) против 10 163 тыс. пуд. в сентябре месяце.</w:t>
      </w:r>
    </w:p>
    <w:p w14:paraId="3381F3ED"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Одновременно с установлением нормы на октябрь Особое совещание по топливу преподало всем районам следующие указания: ввиду значительного падения добычи донецкого топлива и ухудшения условий транспорта представляется возможным предоставить к распределению на октябрь, ноябрь и декабрь 1917 г. всего лишь по 105 млн пуд. в среднем в месяц. При этом, принимая во внимание возможность, что и это назначение вследствие указанных выше условий не будет полностью выполнено, назначение на последнюю четверть с. г. составлено с подразделением на основное (90.5 млн пуд.) и дополнительное (14.5 млн пуд.) с тем, чтобы назначения по дополнительному распределению выполнялись рудниками по указаниям Монотопа лишь по выполнении назначений по. основному распределению.</w:t>
      </w:r>
    </w:p>
    <w:p w14:paraId="1B77A9E2"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изложенным назначение донецкого топлива в пределах предоставленных для каждого района норм надлежит производить, в особенности по основному распределению, лишь предприятиям, работа коих в общегосударственных интересах представляется безусловно необходимой, и при том тем из них, кои по своему техническому оборудованию и условиям района не могут использовать другие виды топлива.</w:t>
      </w:r>
    </w:p>
    <w:p w14:paraId="58BD1453"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Руководствуясь вышеизложенным, Особая комиссия при Харьковском районном комитете по топливу в заседании 5 сентября с. г. произвела распределение основной нормы топлива, предоставленной для района, по группам потребителей; причем удовлетворение для отдельных групп потребителей выразилось в следующем размере (в тыс. пуд.):</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29"/>
        <w:gridCol w:w="2018"/>
        <w:gridCol w:w="1886"/>
        <w:gridCol w:w="2389"/>
      </w:tblGrid>
      <w:tr w:rsidR="002B1C74" w:rsidRPr="002F2FDF" w14:paraId="3C8EADE1"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8C18A18"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Наименование групп потребителей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BA1AB"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Установленная минимальная месячная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60CFC"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назначенное по разверстке на 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D2704"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удовлетворения от установленной минимальной потребности</w:t>
            </w:r>
          </w:p>
        </w:tc>
      </w:tr>
      <w:tr w:rsidR="002B1C74" w:rsidRPr="002F2FDF" w14:paraId="1EB3F0FB"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8B15A05"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Для земств и городов (отопление жилищ, больниц, лазаретов и уголь для сельскохозяйственных работ). В том числе 300 вагонов перевозки водным путем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73E04"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3153E"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2B3AE"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w:t>
            </w:r>
          </w:p>
        </w:tc>
      </w:tr>
      <w:tr w:rsidR="002B1C74" w:rsidRPr="002F2FDF" w14:paraId="06A699C0"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308DB2"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Электрические станции и водопроводы всего района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8CE8F"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94F8A"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D4A42"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w:t>
            </w:r>
          </w:p>
        </w:tc>
      </w:tr>
      <w:tr w:rsidR="002B1C74" w:rsidRPr="002F2FDF" w14:paraId="2BAE4876"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651113"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III. Мельницы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CD3D5"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74243"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5BA70"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w:t>
            </w:r>
          </w:p>
        </w:tc>
      </w:tr>
      <w:tr w:rsidR="002B1C74" w:rsidRPr="002F2FDF" w14:paraId="77DA1677"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81E8E63"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IV. Солепромышленность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95CA9"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47A10"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B9A45"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w:t>
            </w:r>
          </w:p>
        </w:tc>
      </w:tr>
      <w:tr w:rsidR="002B1C74" w:rsidRPr="002F2FDF" w14:paraId="33514351"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9CC56D"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 Сахарные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E932F"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2682</w:t>
            </w:r>
            <w:hyperlink r:id="rId531" w:anchor="_ftn2" w:history="1">
              <w:r w:rsidRPr="002F2FDF">
                <w:rPr>
                  <w:rFonts w:ascii="Times New Roman" w:hAnsi="Times New Roman" w:cs="Times New Roman"/>
                  <w:color w:val="000000" w:themeColor="text1"/>
                  <w:kern w:val="2"/>
                  <w:sz w:val="16"/>
                  <w:szCs w:val="16"/>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1A71287A"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A7EDB"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w:t>
            </w:r>
          </w:p>
        </w:tc>
      </w:tr>
      <w:tr w:rsidR="002B1C74" w:rsidRPr="002F2FDF" w14:paraId="2F364B39"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F905743"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VI. Пароходство и землечерпалки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09834"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BEE30"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D857A"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w:t>
            </w:r>
          </w:p>
        </w:tc>
      </w:tr>
      <w:tr w:rsidR="002B1C74" w:rsidRPr="002F2FDF" w14:paraId="014B60D5"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0F0A27F"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УII. Остальные промышленные предприятия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6C558"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8478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D8754"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D6A80"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r>
      <w:tr w:rsidR="002B1C74" w:rsidRPr="002F2FDF" w14:paraId="62CD6AA6"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3CE84ED"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E3EC1"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A626E"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EFA83"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r>
    </w:tbl>
    <w:p w14:paraId="7D815431"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распределении топлива комиссия, учитывая недостаток топлива и необходимость обеспечить удовлетворение самых насущных потребностей района, а также снабжение фронта продуктами питания, постановила удовлетворить топливом, во-первых, лазареты, больницы, учреждения и частично жилые помещения; во-вторых, электрические станции и водопроводы всего района; в-третьих, предприятия, вырабатывающие продукты питания, как-то: мельницы, солепромышленность, сахарные заводы, и, наконец, пароходства и землечерпалки. Для всех прочих промышленных предприятий Харьковского района (химических, металлообрабатывающих и пр.) осталось только 500 вагонов, т. е, удовлетворение от установленной потребности этой группы суммарно равно 6%, что равносильно приостановке работ промышленных предприятий почти всего района, в том числе предприятий, работающих для железных дорог и металлургических заводов.</w:t>
      </w:r>
    </w:p>
    <w:p w14:paraId="6587DF99"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 как остановка предприятий, выполняющих заказы железных дорог и металлургических заводов, ни в коем случае не допустима, постановлено но соглашению с представителями железных дорог и металлургических заводов сделать назначение топлива для предприятий, изготовляющих паровозы и принадлежности верхнего строения пути за счет нормы железных дорог, а для предприятий, изготовляющих предметы оборудования и ремонта металлургических заводов — за счет нормы этих последних.</w:t>
      </w:r>
    </w:p>
    <w:p w14:paraId="2899DDE7"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Как в первом, так и во втором случае назначение дано только наиболее важным предприятиям, согласно указаниям представителей дорог и металлургических заводов.</w:t>
      </w:r>
    </w:p>
    <w:p w14:paraId="31E2C148"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 касается остальных предприятий, то назначение дано только немногим наив.ажнейшим в размере 15—25% от их потребности. Для большинства же предприятий назначение в очередном порядке дано быть не могло.</w:t>
      </w:r>
    </w:p>
    <w:p w14:paraId="631DC33E"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частности, для вас</w:t>
      </w:r>
      <w:hyperlink r:id="rId532" w:anchor="_ftn3" w:history="1">
        <w:r w:rsidRPr="002F2FDF">
          <w:rPr>
            <w:rFonts w:ascii="Times New Roman" w:hAnsi="Times New Roman" w:cs="Times New Roman"/>
            <w:color w:val="000000" w:themeColor="text1"/>
            <w:kern w:val="2"/>
            <w:sz w:val="16"/>
            <w:szCs w:val="16"/>
          </w:rPr>
          <w:t>[3]</w:t>
        </w:r>
      </w:hyperlink>
      <w:r w:rsidRPr="002F2FDF">
        <w:rPr>
          <w:rFonts w:ascii="Times New Roman" w:hAnsi="Times New Roman" w:cs="Times New Roman"/>
          <w:color w:val="000000" w:themeColor="text1"/>
          <w:kern w:val="2"/>
          <w:sz w:val="16"/>
          <w:szCs w:val="16"/>
        </w:rPr>
        <w:t xml:space="preserve"> ...........при месячной технической потребности (в пудах): угля...... антрацита......кокса........ на октябрь предусмотрено по разверстке из основной нормы (в пудах): угля........ антрацита........ кокса......пуд...........</w:t>
      </w:r>
    </w:p>
    <w:p w14:paraId="07D8046F"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Сообщая вышеизложенное для вашего сведения, считаю необходимым отметить, что согласно постановлению бюро Совета по делам государственной монополии торговли донецким минеральным топливом вышеупомянутая добавочная норма в размере 1.6 млн пуд. топлива будет распределена в порядке дополнительного назначения на последние числа октября месяца. Однако рассчитывать с уверенностью на получение топлива по дополнительному назначению нет основания, так как к осуществлению погрузки по этому назначению будет приступлено лишь в случае успешного выполнения всего месячного основного назначения на октябрь для всех районов и отдельных групп потребителей.</w:t>
      </w:r>
    </w:p>
    <w:p w14:paraId="052EC0D0"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 создавшемся критическом положении для всей промышленности Харьковского района и, в частности, для вашего предприятия прошу вас немедленно поставить в известность заводской комитет вашего предприятия.</w:t>
      </w:r>
    </w:p>
    <w:p w14:paraId="6DA79EA9"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Уполномоченный И. Г. Сергеев.</w:t>
      </w:r>
    </w:p>
    <w:p w14:paraId="527EB4F3"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Управляющий делами Л. В. Курской.</w:t>
      </w:r>
    </w:p>
    <w:p w14:paraId="61F0BC58"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 распределительным отделом И. В. Кѵчуренко.</w:t>
      </w:r>
    </w:p>
    <w:p w14:paraId="6B7675A6" w14:textId="77777777" w:rsidR="000A625D"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33" w:anchor="_ftnref1" w:history="1">
        <w:r w:rsidR="000A625D" w:rsidRPr="002F2FDF">
          <w:rPr>
            <w:rFonts w:ascii="Times New Roman" w:hAnsi="Times New Roman" w:cs="Times New Roman"/>
            <w:color w:val="000000" w:themeColor="text1"/>
            <w:kern w:val="2"/>
            <w:sz w:val="16"/>
            <w:szCs w:val="16"/>
          </w:rPr>
          <w:t>[1]</w:t>
        </w:r>
      </w:hyperlink>
      <w:r w:rsidR="000A625D" w:rsidRPr="002F2FDF">
        <w:rPr>
          <w:rFonts w:ascii="Times New Roman" w:hAnsi="Times New Roman" w:cs="Times New Roman"/>
          <w:color w:val="000000" w:themeColor="text1"/>
          <w:kern w:val="2"/>
          <w:sz w:val="16"/>
          <w:szCs w:val="16"/>
        </w:rPr>
        <w:t xml:space="preserve"> Автор имеет в виду воззвание VII Всероссийского съезда представителей районных совещаний по топливу, состоявшегося 27—30 августа 1917 г. в Москве. Съезд принял обращение к донецким шахтерам и железнодорожникам, в котором призывал их «напрячь последние силы» для увеличения добычи и вывоза топлива из Донецкого бассейна (ЦГВИА, ф. 359, оп. 14, д. 33, л. 55—58. Гектогр.).</w:t>
      </w:r>
    </w:p>
    <w:p w14:paraId="3A8C60E9" w14:textId="77777777" w:rsidR="000A625D"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34" w:anchor="_ftnref2" w:history="1">
        <w:r w:rsidR="000A625D" w:rsidRPr="002F2FDF">
          <w:rPr>
            <w:rFonts w:ascii="Times New Roman" w:hAnsi="Times New Roman" w:cs="Times New Roman"/>
            <w:color w:val="000000" w:themeColor="text1"/>
            <w:kern w:val="2"/>
            <w:sz w:val="16"/>
            <w:szCs w:val="16"/>
          </w:rPr>
          <w:t>[2]</w:t>
        </w:r>
      </w:hyperlink>
      <w:r w:rsidR="000A625D" w:rsidRPr="002F2FDF">
        <w:rPr>
          <w:rFonts w:ascii="Times New Roman" w:hAnsi="Times New Roman" w:cs="Times New Roman"/>
          <w:color w:val="000000" w:themeColor="text1"/>
          <w:kern w:val="2"/>
          <w:sz w:val="16"/>
          <w:szCs w:val="16"/>
        </w:rPr>
        <w:t xml:space="preserve"> Часть сахарных заводов переведена на дрова полностью или частично, и их потребность сюда не включена. Рафинадным заводам и имеющим отдельное паровое хозяйство назначение не производилось. (Прим. док.).</w:t>
      </w:r>
    </w:p>
    <w:p w14:paraId="366E8B02" w14:textId="77777777" w:rsidR="000A625D"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35" w:anchor="_ftnref3" w:history="1">
        <w:r w:rsidR="000A625D" w:rsidRPr="002F2FDF">
          <w:rPr>
            <w:rFonts w:ascii="Times New Roman" w:hAnsi="Times New Roman" w:cs="Times New Roman"/>
            <w:color w:val="000000" w:themeColor="text1"/>
            <w:kern w:val="2"/>
            <w:sz w:val="16"/>
            <w:szCs w:val="16"/>
          </w:rPr>
          <w:t>[3]</w:t>
        </w:r>
      </w:hyperlink>
      <w:r w:rsidR="000A625D" w:rsidRPr="002F2FDF">
        <w:rPr>
          <w:rFonts w:ascii="Times New Roman" w:hAnsi="Times New Roman" w:cs="Times New Roman"/>
          <w:color w:val="000000" w:themeColor="text1"/>
          <w:kern w:val="2"/>
          <w:sz w:val="16"/>
          <w:szCs w:val="16"/>
        </w:rPr>
        <w:t xml:space="preserve"> Здесь и далее отточие док. (15695).</w:t>
      </w:r>
    </w:p>
    <w:p w14:paraId="49D7A6B0"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p>
    <w:p w14:paraId="42EE8EA6" w14:textId="2513A393" w:rsidR="005B2321" w:rsidRDefault="005B2321"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2D98035C" w14:textId="77777777" w:rsidR="005B2321" w:rsidRDefault="005B2321"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BC5A5BB" w14:textId="2E388AD6" w:rsidR="005B2321" w:rsidRPr="00FB4F67" w:rsidRDefault="005B232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18 сентября (</w:t>
      </w:r>
      <w:r w:rsidRPr="00FB4F67">
        <w:rPr>
          <w:rFonts w:ascii="Times New Roman" w:hAnsi="Times New Roman" w:cs="Times New Roman"/>
          <w:color w:val="0070C0"/>
          <w:sz w:val="16"/>
          <w:szCs w:val="16"/>
        </w:rPr>
        <w:t>1 октября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районе Барановичей ружейным огнем уничтожен вражеский аппарат. Неприятель также потерял привязной аэростат, который на свой счет записал летчик Гренадерского авиаотряда прапорщик В.М. Каминский. Неприятельский воздухоплавательный аппарат был уничтожен ракетами «Ле-Приера». Аналогичные действия предпринял противник (23405).</w:t>
      </w:r>
    </w:p>
    <w:p w14:paraId="2873D173" w14:textId="77777777" w:rsidR="005B2321" w:rsidRPr="00FB4F67" w:rsidRDefault="005B2321" w:rsidP="0083075A">
      <w:pPr>
        <w:spacing w:after="0" w:line="240" w:lineRule="auto"/>
        <w:jc w:val="both"/>
        <w:rPr>
          <w:rFonts w:ascii="Times New Roman" w:hAnsi="Times New Roman" w:cs="Times New Roman"/>
          <w:color w:val="0070C0"/>
          <w:sz w:val="16"/>
          <w:szCs w:val="16"/>
        </w:rPr>
      </w:pPr>
    </w:p>
    <w:p w14:paraId="2A5BF13D" w14:textId="52B679C8" w:rsidR="00C92259" w:rsidRPr="00FB4F67" w:rsidRDefault="00C92259"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18 сентября (</w:t>
      </w:r>
      <w:r w:rsidRPr="00FB4F67">
        <w:rPr>
          <w:rFonts w:ascii="Times New Roman" w:hAnsi="Times New Roman" w:cs="Times New Roman"/>
          <w:color w:val="0070C0"/>
          <w:sz w:val="16"/>
          <w:szCs w:val="16"/>
        </w:rPr>
        <w:t>1 октября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Балтийском море немецкие дирижабли L.30, L.37 и LZ. 120 бомбили русские порты на восточном берегу Рижского залива, чтобы отвлечь внимание от предстоящей операции «Альбион» против острова Эзель (23525).</w:t>
      </w:r>
    </w:p>
    <w:p w14:paraId="2442756C" w14:textId="77777777" w:rsidR="00C92259" w:rsidRPr="00FB4F67" w:rsidRDefault="00C92259" w:rsidP="0083075A">
      <w:pPr>
        <w:spacing w:after="0" w:line="240" w:lineRule="auto"/>
        <w:jc w:val="both"/>
        <w:rPr>
          <w:rFonts w:ascii="Times New Roman" w:hAnsi="Times New Roman" w:cs="Times New Roman"/>
          <w:color w:val="0070C0"/>
          <w:sz w:val="16"/>
          <w:szCs w:val="16"/>
        </w:rPr>
      </w:pPr>
    </w:p>
    <w:p w14:paraId="249F75EB" w14:textId="4645CFDC" w:rsidR="00C92259" w:rsidRPr="00FB4F67" w:rsidRDefault="00C92259"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18 сентября (</w:t>
      </w:r>
      <w:r w:rsidRPr="00FB4F67">
        <w:rPr>
          <w:rFonts w:ascii="Times New Roman" w:hAnsi="Times New Roman" w:cs="Times New Roman"/>
          <w:color w:val="0070C0"/>
          <w:sz w:val="16"/>
          <w:szCs w:val="16"/>
        </w:rPr>
        <w:t>1 октября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на Румынском фронте немецкие военно-морские силы установили в Добрудже, в 80 км к северу от Констанцы, Зеефлюгстанцию Бабадаг, которая действовала там до 28 февраля 1918 года (23525).</w:t>
      </w:r>
    </w:p>
    <w:p w14:paraId="147B8F5E" w14:textId="77777777" w:rsidR="00C92259" w:rsidRPr="00FB4F67" w:rsidRDefault="00C92259" w:rsidP="0083075A">
      <w:pPr>
        <w:spacing w:after="0" w:line="240" w:lineRule="auto"/>
        <w:jc w:val="both"/>
        <w:rPr>
          <w:rFonts w:ascii="Times New Roman" w:hAnsi="Times New Roman" w:cs="Times New Roman"/>
          <w:color w:val="0070C0"/>
          <w:sz w:val="16"/>
          <w:szCs w:val="16"/>
        </w:rPr>
      </w:pPr>
    </w:p>
    <w:p w14:paraId="71229B68" w14:textId="54E34341" w:rsidR="000B3C99"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7B0CD15" w14:textId="77777777" w:rsidR="000B3C99" w:rsidRPr="002F2FDF" w:rsidRDefault="000B3C9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B8727A" w14:textId="77777777" w:rsidR="000B3C99" w:rsidRPr="002F2FDF" w:rsidRDefault="000B3C9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сентября (1 октября) 1917 атаманом Оренбургского казачества избран офицер Александр Дутов (4962).</w:t>
      </w:r>
    </w:p>
    <w:p w14:paraId="230C6F9D" w14:textId="77777777" w:rsidR="000B3C99" w:rsidRPr="002F2FDF" w:rsidRDefault="000B3C9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22A3D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EF445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42510A" w14:textId="77777777" w:rsidR="00C27A12" w:rsidRPr="002F2FDF" w:rsidRDefault="00C27A1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18 сентября (1 октября) 1917 Королевский флот проводит первые испытания катапульты для запуска самолета с использованием сжатого воздуха. Катапульта установлена на борту корабль Slinger и с нее запускается беспилотный Шорт 184, из которого удален и двигатель и заменен балластом (20341).</w:t>
      </w:r>
    </w:p>
    <w:p w14:paraId="1C2BCB45" w14:textId="77777777" w:rsidR="00C27A12" w:rsidRPr="002F2FDF" w:rsidRDefault="00C27A12" w:rsidP="0083075A">
      <w:pPr>
        <w:spacing w:after="0" w:line="240" w:lineRule="auto"/>
        <w:jc w:val="both"/>
        <w:rPr>
          <w:rFonts w:ascii="Times New Roman" w:hAnsi="Times New Roman" w:cs="Times New Roman"/>
          <w:color w:val="000000" w:themeColor="text1"/>
          <w:sz w:val="16"/>
          <w:szCs w:val="16"/>
        </w:rPr>
      </w:pPr>
    </w:p>
    <w:p w14:paraId="5721D95A" w14:textId="77777777" w:rsidR="00C27A12" w:rsidRPr="002F2FDF" w:rsidRDefault="00C27A1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18-19 сентября (1–2 октября) (ночь) 1917 восемнадцать бомбардировщиков Гота воздушной службы Императорской немецкой армии, Luftstreitkräfte, отправились в рейд на Соединенное Королевство . Одиннадцать из них достигают Англии. Британские зенитные орудия выпустили по ним 14 тысяч снарядов, не получив ни единого попадания. Интенсивность немецких воздушных налетов на прошлой неделе привела к нехватке зенитных снарядов и износу стволов многих зенитных орудий, а от падающих осколков зенитных снарядов в Англии погибли восемь человек и 67 были ранены (20341).</w:t>
      </w:r>
    </w:p>
    <w:p w14:paraId="489C2FE1" w14:textId="77777777" w:rsidR="00C27A12" w:rsidRPr="002F2FDF" w:rsidRDefault="00C27A12" w:rsidP="0083075A">
      <w:pPr>
        <w:spacing w:after="0" w:line="240" w:lineRule="auto"/>
        <w:jc w:val="both"/>
        <w:rPr>
          <w:rFonts w:ascii="Times New Roman" w:hAnsi="Times New Roman" w:cs="Times New Roman"/>
          <w:color w:val="000000" w:themeColor="text1"/>
          <w:sz w:val="16"/>
          <w:szCs w:val="16"/>
        </w:rPr>
      </w:pPr>
    </w:p>
    <w:p w14:paraId="5C23A3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сентября (1 октября) 1917 Форд начал производство тракторов Фордзон (2565).</w:t>
      </w:r>
    </w:p>
    <w:p w14:paraId="5E36B3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943F9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9590D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63F8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 сентября </w:t>
      </w:r>
      <w:r w:rsidR="00680400" w:rsidRPr="002F2FDF">
        <w:rPr>
          <w:rFonts w:ascii="Times New Roman" w:hAnsi="Times New Roman" w:cs="Times New Roman"/>
          <w:color w:val="000000" w:themeColor="text1"/>
          <w:kern w:val="2"/>
          <w:sz w:val="16"/>
          <w:szCs w:val="16"/>
        </w:rPr>
        <w:t xml:space="preserve">(2 октября) </w:t>
      </w:r>
      <w:r w:rsidRPr="002F2FDF">
        <w:rPr>
          <w:rFonts w:ascii="Times New Roman" w:hAnsi="Times New Roman" w:cs="Times New Roman"/>
          <w:color w:val="000000" w:themeColor="text1"/>
          <w:kern w:val="2"/>
          <w:sz w:val="16"/>
          <w:szCs w:val="16"/>
        </w:rPr>
        <w:t>1917 на пленарном заседании Центробалта было решено не признавать власти Временного правительства и не выполнять его распоряжений (11712).</w:t>
      </w:r>
    </w:p>
    <w:p w14:paraId="7E3081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C6003D" w14:textId="22E44E4D" w:rsidR="00C92259" w:rsidRPr="00FB4F67" w:rsidRDefault="00C92259"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19 сентября (</w:t>
      </w:r>
      <w:r w:rsidRPr="00FB4F67">
        <w:rPr>
          <w:rFonts w:ascii="Times New Roman" w:hAnsi="Times New Roman" w:cs="Times New Roman"/>
          <w:color w:val="0070C0"/>
          <w:sz w:val="16"/>
          <w:szCs w:val="16"/>
        </w:rPr>
        <w:t>2 октября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по сообщениям газеты «Армия и Флот Свободной России», «неприятельский аппарат совершил налет на станцию М., сбрасывая бомбы в расположенный здесь госпиталь. Разрывами ранены 6 человек служебного персонала госпиталя» (23405).</w:t>
      </w:r>
    </w:p>
    <w:p w14:paraId="06040053" w14:textId="77777777" w:rsidR="00C92259" w:rsidRPr="00FB4F67" w:rsidRDefault="00C92259" w:rsidP="0083075A">
      <w:pPr>
        <w:spacing w:after="0" w:line="240" w:lineRule="auto"/>
        <w:jc w:val="both"/>
        <w:rPr>
          <w:rFonts w:ascii="Times New Roman" w:hAnsi="Times New Roman" w:cs="Times New Roman"/>
          <w:color w:val="0070C0"/>
          <w:sz w:val="16"/>
          <w:szCs w:val="16"/>
        </w:rPr>
      </w:pPr>
    </w:p>
    <w:p w14:paraId="25DACB9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5C03B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B32A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сентября (</w:t>
      </w:r>
      <w:r w:rsidR="00680400" w:rsidRPr="002F2FDF">
        <w:rPr>
          <w:rFonts w:ascii="Times New Roman" w:hAnsi="Times New Roman" w:cs="Times New Roman"/>
          <w:color w:val="000000" w:themeColor="text1"/>
          <w:kern w:val="2"/>
          <w:sz w:val="16"/>
          <w:szCs w:val="16"/>
        </w:rPr>
        <w:t>2</w:t>
      </w:r>
      <w:r w:rsidRPr="002F2FDF">
        <w:rPr>
          <w:rFonts w:ascii="Times New Roman" w:hAnsi="Times New Roman" w:cs="Times New Roman"/>
          <w:color w:val="000000" w:themeColor="text1"/>
          <w:kern w:val="2"/>
          <w:sz w:val="16"/>
          <w:szCs w:val="16"/>
        </w:rPr>
        <w:t xml:space="preserve"> октября) 1917 большевик В.П.Ногин был избран председателем Моссовета (3908,262).</w:t>
      </w:r>
    </w:p>
    <w:p w14:paraId="566962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FD1BE4" w14:textId="77777777" w:rsidR="00896779" w:rsidRPr="002F2FDF" w:rsidRDefault="00896779" w:rsidP="0083075A">
      <w:pPr>
        <w:pStyle w:val="ae"/>
        <w:spacing w:before="0" w:after="0"/>
        <w:jc w:val="both"/>
        <w:rPr>
          <w:color w:val="000000" w:themeColor="text1"/>
          <w:kern w:val="2"/>
          <w:sz w:val="16"/>
          <w:szCs w:val="16"/>
        </w:rPr>
      </w:pPr>
      <w:r w:rsidRPr="002F2FDF">
        <w:rPr>
          <w:color w:val="000000" w:themeColor="text1"/>
          <w:kern w:val="2"/>
          <w:sz w:val="16"/>
          <w:szCs w:val="16"/>
        </w:rPr>
        <w:t>19 сентября (2 октября) 1917 в Петрограде был оглашен приговор по делу бывшего царского военного министра Владимира Сухомлинова и его супруги, которое разбиралось с весны 1916 года. Изначально им вменялись измена в форме шпионажа в пользу Германии и Австро-Венгрии, преступное бездействие власти, подлог и взяточничество, а поводом для преследования Сухомлинова стали проблемы со снабжением армии, приведшие в 1915 году к серии тяжелых поражений. Жена Сухомлинова была оправдана, но его самого присяжные признали виновным по большинству пунктов обвинения, в связи с чем он был приговорен к бессрочной каторге. Впрочем, каторга была вскоре заменена тюремным заключением в Петропавловской крепости, а после прихода к власти большевиков Сухомлинов и вовсе был амнистирован по старости и вскоре уехал в Германию, где и умер в 1926 году (17045).</w:t>
      </w:r>
    </w:p>
    <w:p w14:paraId="4023B4A6" w14:textId="73F87AC8" w:rsidR="00896779" w:rsidRPr="002F2FDF" w:rsidRDefault="00896779" w:rsidP="0083075A">
      <w:pPr>
        <w:pStyle w:val="ae"/>
        <w:spacing w:before="0" w:after="0"/>
        <w:jc w:val="both"/>
        <w:rPr>
          <w:color w:val="000000" w:themeColor="text1"/>
          <w:kern w:val="2"/>
          <w:sz w:val="16"/>
          <w:szCs w:val="16"/>
        </w:rPr>
      </w:pPr>
      <w:r w:rsidRPr="002F2FDF">
        <w:rPr>
          <w:color w:val="000000" w:themeColor="text1"/>
          <w:kern w:val="2"/>
          <w:sz w:val="16"/>
          <w:szCs w:val="16"/>
        </w:rPr>
        <w:t>В России</w:t>
      </w:r>
      <w:r w:rsidR="00E52569">
        <w:rPr>
          <w:color w:val="000000" w:themeColor="text1"/>
          <w:kern w:val="2"/>
          <w:sz w:val="16"/>
          <w:szCs w:val="16"/>
        </w:rPr>
        <w:t xml:space="preserve"> </w:t>
      </w:r>
      <w:r w:rsidRPr="002F2FDF">
        <w:rPr>
          <w:color w:val="000000" w:themeColor="text1"/>
          <w:kern w:val="2"/>
          <w:sz w:val="16"/>
          <w:szCs w:val="16"/>
        </w:rPr>
        <w:t>тем временем</w:t>
      </w:r>
      <w:r w:rsidR="00E52569">
        <w:rPr>
          <w:color w:val="000000" w:themeColor="text1"/>
          <w:kern w:val="2"/>
          <w:sz w:val="16"/>
          <w:szCs w:val="16"/>
        </w:rPr>
        <w:t xml:space="preserve"> </w:t>
      </w:r>
      <w:r w:rsidRPr="002F2FDF">
        <w:rPr>
          <w:color w:val="000000" w:themeColor="text1"/>
          <w:kern w:val="2"/>
          <w:sz w:val="16"/>
          <w:szCs w:val="16"/>
        </w:rPr>
        <w:t>продолжался хаос, прежде всего в самой уязвимой продовольственной сфере. 6 октября 1917 года газета «Русское слово» (№217) сообщала, что «в Гомеле нет ни крошки хлеба». На этой почве в городе периодически вспыхивали беспорядки, в которых принимали активное участие расквартированные в городе солдаты (17045).</w:t>
      </w:r>
    </w:p>
    <w:p w14:paraId="34D60E56" w14:textId="77777777" w:rsidR="00896779" w:rsidRPr="002F2FDF" w:rsidRDefault="00896779" w:rsidP="0083075A">
      <w:pPr>
        <w:pStyle w:val="ae"/>
        <w:spacing w:before="0" w:after="0"/>
        <w:jc w:val="both"/>
        <w:rPr>
          <w:color w:val="000000" w:themeColor="text1"/>
          <w:kern w:val="2"/>
          <w:sz w:val="16"/>
          <w:szCs w:val="16"/>
        </w:rPr>
      </w:pPr>
    </w:p>
    <w:p w14:paraId="12F0BE67" w14:textId="77777777" w:rsidR="00896779" w:rsidRPr="002F2FDF" w:rsidRDefault="00896779" w:rsidP="0083075A">
      <w:pPr>
        <w:pStyle w:val="ae"/>
        <w:spacing w:before="0" w:after="0"/>
        <w:jc w:val="both"/>
        <w:rPr>
          <w:color w:val="000000" w:themeColor="text1"/>
          <w:kern w:val="2"/>
          <w:sz w:val="16"/>
          <w:szCs w:val="16"/>
        </w:rPr>
      </w:pPr>
      <w:r w:rsidRPr="002F2FDF">
        <w:rPr>
          <w:color w:val="000000" w:themeColor="text1"/>
          <w:kern w:val="2"/>
          <w:sz w:val="16"/>
          <w:szCs w:val="16"/>
        </w:rPr>
        <w:t>19 сентября (2 октября) 1917 власти Ярославля провели серию обысков во всех местах города, где могли быть спрятаны крупные запасы продуктов. Таковые были найдены только в монастыре. В Харькове 4 октября расквартированные в городе солдаты разграбили хлебопекарни, забрав хлеб без предъявления карточек (17045).</w:t>
      </w:r>
    </w:p>
    <w:p w14:paraId="38C541FF" w14:textId="77777777" w:rsidR="00896779" w:rsidRPr="002F2FDF" w:rsidRDefault="0089677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819F8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1D24B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95E4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сентября (</w:t>
      </w:r>
      <w:r w:rsidR="00680400" w:rsidRPr="002F2FDF">
        <w:rPr>
          <w:rFonts w:ascii="Times New Roman" w:hAnsi="Times New Roman" w:cs="Times New Roman"/>
          <w:color w:val="000000" w:themeColor="text1"/>
          <w:kern w:val="2"/>
          <w:sz w:val="16"/>
          <w:szCs w:val="16"/>
        </w:rPr>
        <w:t>2</w:t>
      </w:r>
      <w:r w:rsidRPr="002F2FDF">
        <w:rPr>
          <w:rFonts w:ascii="Times New Roman" w:hAnsi="Times New Roman" w:cs="Times New Roman"/>
          <w:color w:val="000000" w:themeColor="text1"/>
          <w:kern w:val="2"/>
          <w:sz w:val="16"/>
          <w:szCs w:val="16"/>
        </w:rPr>
        <w:t xml:space="preserve"> октября) 1917 года в Германии чтобы обеспечить авиачасти вооружением, с воздушному флоту ежемесячно передавалось 1500 пулеметов. Намеченное увеличение числа соединений и усиленная работа школ вызвали повышение потребления горючего с 6000 тонн до 12 000 тонн в месяц. Одновременно с этими заданиями Военному министерству командующий воздушными силами указал инспекции авиационных войск на основные требования, предъявляемые к техническому усовершенствованию оборудования самолетов. Ибо несомненно было, что одно только количественное выполнение программы никогда не даст нам возможности сравняться, а тем более обеспечить превосходство в борьбе за воздух с объединенными англо-франко-американскими воздушными силами. Нам необходимо было поэтому во всех отраслях техники превзойти достигнутые противниками результаты. В этом заключалась важнейшая задача инспекции авиации. Особенно необходимым являлось создание нового истребительного самолета. Казалось, что, сконструировав самолеты “D” со 160-сильными моторами, авиазаводы достигли предела своих возможностей, и мы в этой области так же, как и в деле моторостроения, должны отстать от наших противников. Инспекции самым настоятельным образом было указано поощрять, помогать советом и поддерживать промышленность, стремящуюся найти новые пути в конструкции авиамоторов. На первых же предварительных переговорах с Военным министерством выяснилось, что критическое положение Германии в отношении сырья ставит выполнению программы почти непреодолимые преграды. Ввиду того, что все имеющиеся запасы сырья были уже предназначены для выполнения “плана Гинденбурга”, новые требования авиапромышленности, в частности касающиеся резины, алюминия, меди, никеля, олова, бензина, бензола и угля, — должны были тяжело отразиться на остальной военной промышленности. С большим трудом пытались найти все новые и новые компромиссы. Наконец, вмешалось главное командование; оно сократило отпуск резины автомобильным частям и частям связи, приказало изменить материал взрывателей снарядов в целях экономии алюминия и сократило отпуск материалов некоторым другим отраслям промышленности. Однако все эти меры главного командования не могли дать значительных положительных результатов. В течение всей зимы забота о снабжении промышленности сырьем, в связи с транспортным кризисом, отнимала у инспекции авиационных войск больше времени и сил, чем это было желательно. Тем, что программа, несмотря на все затруднения, все же была в общем и целом выполнена, мы обязаны самоотверженной работе всех лиц, участвовавших в ее осуществлении. Промышленность также всецело отдалась делу ее проведения в жизнь, отставив на задний план экономические соображения (11282).</w:t>
      </w:r>
    </w:p>
    <w:p w14:paraId="0058C0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D502F6" w14:textId="77777777" w:rsidR="00752B3E" w:rsidRPr="002F2FDF" w:rsidRDefault="00752B3E" w:rsidP="0083075A">
      <w:pPr>
        <w:pStyle w:val="ae"/>
        <w:spacing w:before="0" w:after="0"/>
        <w:jc w:val="both"/>
        <w:rPr>
          <w:color w:val="000000" w:themeColor="text1"/>
          <w:kern w:val="2"/>
          <w:sz w:val="16"/>
          <w:szCs w:val="16"/>
        </w:rPr>
      </w:pPr>
      <w:r w:rsidRPr="002F2FDF">
        <w:rPr>
          <w:color w:val="000000" w:themeColor="text1"/>
          <w:kern w:val="2"/>
          <w:sz w:val="16"/>
          <w:szCs w:val="16"/>
        </w:rPr>
        <w:t>В период с 19 по 25 сентября (со 2 по 8 октября) 1917 германские подводные лодки потопили 45 кораблей и судов, в том числе британский броненосный крейсер «Дрейк», неоднократно перевозивший в ходе войны золото из Архангельска. «Дрейк» был атакован германской подводной лодки U-79 у берегов Северной Ирландии 2 октября. В результате взрыва торпеды погибло 18 членов экипажа (17045).</w:t>
      </w:r>
    </w:p>
    <w:p w14:paraId="71DF86C9" w14:textId="77777777" w:rsidR="00752B3E" w:rsidRPr="002F2FDF" w:rsidRDefault="00752B3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42B91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5C298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5A3EC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20 сентября </w:t>
      </w:r>
      <w:r w:rsidR="00680400" w:rsidRPr="002F2FDF">
        <w:rPr>
          <w:rFonts w:ascii="Times New Roman" w:hAnsi="Times New Roman" w:cs="Times New Roman"/>
          <w:color w:val="000000" w:themeColor="text1"/>
          <w:kern w:val="2"/>
          <w:sz w:val="16"/>
          <w:szCs w:val="16"/>
        </w:rPr>
        <w:t xml:space="preserve">(3 октября) </w:t>
      </w:r>
      <w:r w:rsidRPr="002F2FDF">
        <w:rPr>
          <w:rFonts w:ascii="Times New Roman" w:hAnsi="Times New Roman" w:cs="Times New Roman"/>
          <w:color w:val="000000" w:themeColor="text1"/>
          <w:kern w:val="2"/>
          <w:sz w:val="16"/>
          <w:szCs w:val="16"/>
        </w:rPr>
        <w:t>1917 г. в докладе Управления морской авиации и воздухоплавания (УМАиВ) говори</w:t>
      </w:r>
      <w:r w:rsidRPr="002F2FDF">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022752F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17206B"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20 сентября (3 октября) 1917 г.</w:t>
      </w:r>
    </w:p>
    <w:p w14:paraId="304386D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ДОПРОС А. А, ПОЛИВАНОВА.</w:t>
      </w:r>
    </w:p>
    <w:p w14:paraId="29986AAE"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20 сентября 1917 г.</w:t>
      </w:r>
    </w:p>
    <w:p w14:paraId="57414BC2"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Содержание. Постановка военного снабжения по закону 3 июля 1908 г. О положении авиационного дела в 1908—1911 г.г. Сочувственное отношение Поливанова к севастопольской авиационной школе и необходимость  организовать таковую же в Гатчине. Предполагавшееся Комитетом воздушного флота перенесение территории и построек гатчинской авиационной школы на бюджет военного министерства. Порядок выработки малой программы авиационного дела 1911—1913 г.г. для представления ее в Государственную Думу, как очередной план снабжения армии.</w:t>
      </w:r>
    </w:p>
    <w:p w14:paraId="7F04344E"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 заказе аппарата «Ныопор». О причине, вызвавшей передачу в 1912 г. военного воздухоплавания из главного инженерного управления в главное управление генерального штаба. Передача воздухоплавания из управления генерального штаба в главное военно-техническое управление.</w:t>
      </w:r>
    </w:p>
    <w:p w14:paraId="5F578494"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Направление дела снабжения армии и, в частности, воздухоплавания после ухода Поливанова. Сухомлинов и Шидловский. Основные положения малой авиационной программы 1911—1913 г.г. Ген. Секретев.</w:t>
      </w:r>
    </w:p>
    <w:p w14:paraId="3B85FF80"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Об отношении б. императора к вопросу о снабжении армии вообще и к вопросам стратегическим. О разоружении крепостей. Отношение б. государя к вопросу о мобилизации промышленности. Об увеличении резервов и подготовке новобранцев. Письмо Поливанова к б. царю и письменный ответ последнего. Отставка Поливанова. Дополнительные показания о разногласии Поливанова с советом министров на почве деятельности общественных организаций.</w:t>
      </w:r>
    </w:p>
    <w:p w14:paraId="1EA7B442"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Председательствующий. — Чрезвычайная Следственная Комиссия признала необходимым побеспокоить вас и просить вас дать некоторые дополнительные объяснения по некоторым вопросам, которые интересуют Чрезвычайную Следственную Комиссию.</w:t>
      </w:r>
    </w:p>
    <w:p w14:paraId="22BB0AE4"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Anyшкин. — Список этих вопросов был вам представлен. Так что в данном случае я и пойду по этой программе, которая была очерчена по вопросам об организации воздухоплавания у нас.</w:t>
      </w:r>
    </w:p>
    <w:p w14:paraId="7C9D882B"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Председательствующий. — Вам известны эти вопросы?</w:t>
      </w:r>
    </w:p>
    <w:p w14:paraId="427DD46E"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Как же, да. Я привез некоторые документы, которые были мне указаны, но это позвольте передать потом.</w:t>
      </w:r>
    </w:p>
    <w:p w14:paraId="704B4EB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Председательствующий. — В каком положении застало свидетеля. </w:t>
      </w:r>
    </w:p>
    <w:p w14:paraId="1417724A"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(читает вопрос первый).</w:t>
      </w:r>
    </w:p>
    <w:p w14:paraId="62883029"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Я должен сказать, что кардинальным пунктом во всей постановке снабжения нашей армии различными предметами, необходимыми для боя, это был закон 3-го июля 1908 года, где была сделана впервые попытка свести в одно целое все потребности армии для ее боевого снабжения. Затем Дума постановила ежегодно представлять этот план снабжения в Думу с такими целями: во-первых, для выслушания отчета, что сделано за прошлое время по этому плану, и для выслушания заявлений о- тех изменениях, которые в этом плане нужно) сделать в соответствии с изменениями технической обстановки. Таким образом, значение этого плана заключалось в том, что, обнимая собой значительный промежуток времени вперед, скажем десятки лет, он не представлял собою чего-то неподвижного, а напротив, самая постройка закона давала возможность вносить те или другие поправки, которые вызываются обстановкой. И вот в этом плане, который был представлен в 1908 году и который обнимал собой только задачи восстановить боеспособность русской армии после японской войны, не заглядывая в сторону большой европейской войны. В этом плане, насколько' я припоминаю, об авиации не упоминалось ни слова.</w:t>
      </w:r>
    </w:p>
    <w:p w14:paraId="1DAC8657"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Это было последующим соображением, что во время русско-японской войны не только авиация, но и вообще воздухоплавание не дало себя знать. Оно проявлялось только в виде привязных шаров, которые подымались для того, чтобы наблюдать за неприятелем, показания с которых в этом смысле очень мало удовлетворяли строевых начальников, будучи неточными в смысле фотографирования и иных способов оповещения. В эту пору, в 1908 г., в России авиационное дело находилось в таком состоянии, что петербургские обыватели собирались на Комендантском аэродроме для присутствия за деньги при полетах авиаторов, преимущественно заезжих. И публика совершенно удовлетворялась, если, просидевши целый день, удастся видеть случайный подъем какого-нибудь заезжего иноземца. И если ему удавалось пролететь над трибунами непосредственно, то это сопровождалось рукоплесканиями. Так что в Петрограде в 1908 и 1909 годах эта часть находилась в состоянии чрезвычайно еще мало развитом, можно сказать отсутствия.</w:t>
      </w:r>
    </w:p>
    <w:p w14:paraId="7EAA6B3A"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Тем не менее, все-таки в главном инженерном управлении этим делом начали немного заниматься, но занимались путем кабинетным. </w:t>
      </w:r>
    </w:p>
    <w:p w14:paraId="6AE0960A"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Ухватились, например, за изобретателя Татаринова, о котором в то время говорилось много в печати, которому были даны военным министерством деньги на его изобретения, но который, проработавши на эти деньги в отведенном ему помещении в воздухоплавательном парке, тем не менее, свое изобретение не мог привести к осуществлению даже в виде модели. И это совершенно понятно, потому что его мысль не обещала практического осуществления. Затем, после этих полетов в Петрограде военное инженерное ведомство выписало кое-какие аппараты именно того типа, который я припоминаю. Они были типа Фарман и Блерио.</w:t>
      </w:r>
    </w:p>
    <w:p w14:paraId="44E8F52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Затем очень почтенные профессора военно-инженерного ведомства старались изобрести свои собственные аппараты, и в ту пору склады воздухоплавательного парка были наполнены различного рода аэропланами, изобретенными кабинетным способом, которые все были более или менее сооружены и все в ту пору имели одну участь, что они никогда не поднялись кверху. Внимание военно-инженерного ведомства в ту пору, о которой я говорю, в 1908 и 1909 г.г., при таком состоянии авиации было направлено, главным образом, на сторону воздухоплавания; отчасти тогда под влиянием, может быть, известий о германских цеппелинах у нас занимались мыслью о дирижаблях, об управляемых аппаратах легче воздуха. Но и в этом направлении шли очень кабинетным путем. Были опять-таки изобретены, так называемые, комитетские дирижабли, которые изобретались целым комитетом, правда, из очень почтенных ученых математиков, но которые опять-таки строили и с трудом подымались кверху.</w:t>
      </w:r>
    </w:p>
    <w:p w14:paraId="38115B7E"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Это все при содействии военного ведомства?</w:t>
      </w:r>
    </w:p>
    <w:p w14:paraId="0CEFBC74"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При содействии военного ведомства и на средства главного инженерного управления.</w:t>
      </w:r>
    </w:p>
    <w:p w14:paraId="641D7326"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Апушкин. — И Татаринову выдавались деньги?</w:t>
      </w:r>
    </w:p>
    <w:p w14:paraId="58D75DCF"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Поливанов.-—Около 50.000 было ему выдано.</w:t>
      </w:r>
    </w:p>
    <w:p w14:paraId="5936A258"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Из сумм военного ведомства?</w:t>
      </w:r>
    </w:p>
    <w:p w14:paraId="1FFEE323"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Из сумм военного ведомства. В эту же пору возникает интерес к авиации в России со-стороны частных обществ.</w:t>
      </w:r>
    </w:p>
    <w:p w14:paraId="105C6F0A"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Комитет добровольного флота, состоящий из лиц разных организаций, общественных деятелей, генералов, адмиралов и прочих лиц заканчивая постройку судов морских боевых, которые строились на добровольные пожертвования во время русско-японской войны, пришел к заключению, что оставшиеся у него от сбора на суда средства за минованием надобности постройки судов на добровольные пожертвования обратить на развитие и на изучение авиации.</w:t>
      </w:r>
    </w:p>
    <w:p w14:paraId="451C8463"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Председательствующий. — Под председательством великого князя Александра Михайловича?</w:t>
      </w:r>
    </w:p>
    <w:p w14:paraId="720F94D1"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После принятия комитетом такого решения средства эти 800.000 р. получили таковое назначение, и затем кроме того было объявлено о дальнейшем сборе пожертвований в России, и на авиационное дело средства притекали. Тогда комитет добровольного флота постановил, для того, чтобы взяться за это дело практически, основать базу на юге России. Именно там была им взята часть и куплен на эти средства земельный участок около Севастополя. Там поселились офицеры, добровольно принявшие на себя изучение авиационного дела; скажу кстати, офицеры всех родов оружия. Там были гусары, моряки, гвардейцы и инженерных войск, но исключительно любители этого дела, тогда как в военно-инженерном ведомстве авиационным делом занимались исключительно офицеры инженерных войск, следовательно, круг выбора для авиаторов был гораздо меньше. Вот эта ячейка в виде добровольного воздушного флота сыграла большую роль в развитии у нас авиационного дела, не говоря уже о том, что она была совершенно свободна в выписке аппаратов, в изучении, и присутствии на различных опытах за границей. Как я сказал, там были добровольцы различного типа. Впоследствии перед войной появились студенты, молодежь пропускная, даже артисты императорских театров, и посылались присутствовать на опытах за границей. Там. это дело приняло весьма живой характер и через некоторое время и в России появились авиаторы, получившие европейские имена. В ту пору, в 1910—1911 г.г., об авиации в Европе, преимущественно' во Франции, заговорили очень много, и появились в печати сведения о различных полетах, появилось понятие о так называемом побитии рекордов, — такой-то летчик перелетел такое-то расстояние, такой-то еще более. У нас то же самое, по почину севастопольского отделения школы, появились летчики, которые начали перекрещивать своими полетами всю Россию, и некоторые побивали французские рекорды. Эти летчики появлялись и здесь в Петрограде и, так сказать, поражали своими успехами. Вот в таком положении находилось дело' вскоре после моего вступления в должность помощника министра.</w:t>
      </w:r>
    </w:p>
    <w:p w14:paraId="5ACD015F"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Следующий вопрос 2-й.................(читает).</w:t>
      </w:r>
    </w:p>
    <w:p w14:paraId="05BA85A3"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Специального заведывания авиацией я не имел. Моя специальная обязанность в качестве помощника при ген. Сухомлинове была следующая, — мне исключительно вверено было составление бюджетов военного министерства, т.-е. руководство к составлению бюджета, руководство планов снабжения армии, ежегодно представлявшихся военному министру, и защита всего этого в законодательных учреждениях. Равным образом, в виде специальных моих функций была вообще защита в законодательных учреждениях всякого рода законопроектов по военному министерству. Все прочее, что было связано с деньгами, все это представлялось военному министру через меня, т.-е. все доклады, касавшиеся денег, шли .ко мне и через меня, к военному министру. При чем в случае надобности я писал на этих докладах свои заключения, но не решения.</w:t>
      </w:r>
    </w:p>
    <w:p w14:paraId="5FA575CF"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таком положении находилось и авиационное дело. Здесь дальше в одном из вопросов ставится мне вопрос относительно моего решительного шага по отношению к одному типу «Ньюпор»; об этом я представлю мои объяснения позднее. Это относилось к минутам временного замещения мною должности военного министра, находящегося в отсутствии.</w:t>
      </w:r>
    </w:p>
    <w:p w14:paraId="69A57DDC"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В этот период времени военное воздухоплавание находилось официально в ведении военно-технического управления?</w:t>
      </w:r>
    </w:p>
    <w:p w14:paraId="0CDA3DD6"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Главного военно-инженерного управления.</w:t>
      </w:r>
    </w:p>
    <w:p w14:paraId="2B82F736"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Это главное военно-инженерное управление относилось к ведению какого помощника?</w:t>
      </w:r>
    </w:p>
    <w:p w14:paraId="5A529C7F"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Помощник был один, и все, что касалось денег, все шло через меня.</w:t>
      </w:r>
    </w:p>
    <w:p w14:paraId="2E4A91B9"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Так что эти вопросы шли через вас, а организационные вопросы?</w:t>
      </w:r>
    </w:p>
    <w:p w14:paraId="7DC53B06"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Организационные сначала разрабатывались в генеральном штабе, но раз это касалось денег, то это должно было итти через меня.</w:t>
      </w:r>
    </w:p>
    <w:p w14:paraId="127646B3"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А генеральный штаб играл какую-нибудь роль в этот период времени в организации воздухоплавания?</w:t>
      </w:r>
    </w:p>
    <w:p w14:paraId="5E82FBB2"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В этот период никакой роли не играл.</w:t>
      </w:r>
    </w:p>
    <w:p w14:paraId="61FEBE1E"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3-й вопрос: как относился свидетель к образуемому великим князем Александром Михайловичем севастопольскому отделу. . .</w:t>
      </w:r>
    </w:p>
    <w:p w14:paraId="04D078AB" w14:textId="6F3E6892"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.(читает).</w:t>
      </w:r>
    </w:p>
    <w:p w14:paraId="4CB1DD96"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Я ОТНОСИЛСЯ К этому С большим интересом, потому ЧТО' несомненно, что это частное воздухоплавание', в значительной степени, опередило казенное воздухоплавание, если можно так выразиться.</w:t>
      </w:r>
    </w:p>
    <w:p w14:paraId="5E8E9670"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Должен еще сказать, что этот отдел воздушного флота, кроме учреждения ячейки в Севастополе, гораздо шире захватил авиационное </w:t>
      </w:r>
    </w:p>
    <w:p w14:paraId="1F2E2373"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дело в России. Для того, чтобы возбудить в обществе интерес к авиационному делу, отдел воздушного' флота,—собственно официальное его название «Комитет добровольного’ флота», — имел разные отделы, и часть его называлась отделом, воздушного флота. Комитет этот способствовал образованию в разных местах России аэроклубов, аэродромов, вообще развивал среди частного общества спортивную любовь к авиационному делу. Рядом с этим такое стремление отдельных групп общества к авиации имело следующий результат. Оно способствовало возникновению у нас авиационной промышленности. Если бьг не было спроса в различных местностях России на авиационное дело для частных надобностей, для частных полетов, для частных кружков, тогда, может быть, авиационная промышленность в виде заводов у нас не возникла бы так скоро, как это оказалось. Кроме того, одним из важных шагов этого отдела было образование в Петербурге при Политехническом институте особого рода курсов для авиаторов. На эти курсы поступали все желающие. Туда поступали офицеры с разрешения военного начальства, туда шла молодежь, студенты. Получивши здесь теоретическое образование под руководством опытных профессоров, они отправлялись в Севастополь.</w:t>
      </w:r>
    </w:p>
    <w:p w14:paraId="4812C7AC"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Председательствующий. — Под ведением профессора Боклевского?</w:t>
      </w:r>
    </w:p>
    <w:p w14:paraId="1382E39C"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Поливанов.—Да. Таким образом, чтобы не возвращаться к делу воздушного флота, я скажу следующее: война застала у нас в разных местах России круг школ и курсов, устроенных частным образом, и, затем, сравнительно большое количество молодежи, которая прошла теоретическую и практическую подготовку на здешних курсах и в Севастополе. Поэтому, когда после первых месяцев войны оказалось, что наша авиационная организация совершенно не удовлетворяла ни количеству нашей армии, ибо армия начала расти гораздо больше, чем предполагалось, ни действительным потребностям авиационного дела, тогда военное ведомство тотчас же взяло* эти три школы в свое ведение и использовало их для обучения состава летчиков. Кроме того, необходимость большого пополнения наших авиационных средств нашла себе, на первое время, большое подспорье в этом кадре офицеров и молодежи, которые в разное время прошли курс в Политехническом институте, в Авиационной школе и в Севастополе.</w:t>
      </w:r>
    </w:p>
    <w:p w14:paraId="1F628E26"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Апушкин. — В третьем вопросе имеется указание на то, как влиял на вашу деятельность и влиял ли вообще бывший военный министр Сухомлинов и великий князь Александр Михайлович. </w:t>
      </w:r>
    </w:p>
    <w:p w14:paraId="22F3FD4E"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Вы сказали, что через вас проходили ассигнования и защита разных законопректов в законодательных учреждениях. Отношение ген. Сухомлинова к вашим представлениям в денежных ассигнованиях и вообще к организации, в какой степени чувствовалось и в чем выражалось?</w:t>
      </w:r>
    </w:p>
    <w:p w14:paraId="05496757"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Я должен сказать, что ген. Сухомлинов, в бытность мою помощником, до весны 1912 года, чрезвычайно мало интересовался какими-либо техническими вопросами или вопросами снабжения армии. Следовательно, я никаких с его стороны указаний ни в смысле плюса, ни минуса не имел.</w:t>
      </w:r>
    </w:p>
    <w:p w14:paraId="6C0E2B73"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А со стороны великого князя Александра Михайловича?</w:t>
      </w:r>
    </w:p>
    <w:p w14:paraId="76A5D97A"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Отношения мои с великим князем Александром Михайловичем были чрезвычайно поверхностные. Он чаще бывал у ген. Сухомлинова, чем у меня. Я интересовался не столько его указаниями, сколько деятельностью вообще этого отдела воздушного флота, при чём входил в сношения не с ним исключительно, а с более знаменитыми руководителями этого дела теоретически и с более знаменитыми летчиками. Так что его личных указаний мне я не припомню; но если из деятельности отдела воздушного флота у меня вытекали какие-нибудь решения, то это были мои решения совершенно свободные.</w:t>
      </w:r>
    </w:p>
    <w:p w14:paraId="53952384"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Четвертый вопрос: Содействовал ли он ассигнованию этому отделу миллиона слишком рублей..................(читает).</w:t>
      </w:r>
    </w:p>
    <w:p w14:paraId="1B80651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Так сказать содействие мое выражалось в этом деле в том, что я докладывал соответствующий законопроект Государственной Думе. Я уже доложил, что с самого начала на частные средства был приобретен участок земли под Севастополем, на реке Каче, для авиационного дела, но, по мере расширения этого дела, явилась необходимость расширить и площадь этого участка; тем более, что под влиянием общей симпатии общества к авиации один из собственников соседей приобретенного уже участка земли изъявил готовность пожертвовать довольно большой кусок своей земли, который являлась возможность округлить приобретением другого участка. Кроме того, в первое время офицеры, увлеченные этим делом, жили там просто в авиационных ящиках, пользуясь хорошим климатом, но явилась необходимоть построить более прочное сооружение; все это с одной целью, — передать к 1 января 1914 года все в ведение военного министерства. Я думаю не ошибусь, что эта идея была. В этом смысле вопрос о приобретении и расширении земли обсуждался в отделе воздушного флота при участии представителей военного министерства, т.-е. военно-инженерного управления. Помнится, и я там присутствовал, и затем было признано целесообразным, чтобы военное министерство' получило в свое ведение 1 января 1914 года уже построенные казармы и использовало бы, как благоприятный момент, расширение земельного участка, который представлялся путем пожертвований и путем покупки на выгодных условиях соседней земли. Следовательно, этому делу я действительно мог только сочувствовать. На этом был построен законопроект, который был внесен в Государственную Думу и в Государственной Думе я, разумеется, защищал его, и он был принят там весьма сочувственно, потому </w:t>
      </w:r>
      <w:r w:rsidRPr="002F2FDF">
        <w:rPr>
          <w:rFonts w:ascii="Times New Roman" w:hAnsi="Times New Roman" w:cs="Times New Roman"/>
          <w:color w:val="000000" w:themeColor="text1"/>
          <w:sz w:val="16"/>
          <w:szCs w:val="16"/>
        </w:rPr>
        <w:lastRenderedPageBreak/>
        <w:t>что в ту пору в составе Думы было несколько членов, которые были очень близко знакомы с авиационным делом и которые, как помнится, посещали севастопольскую школу для более близкого ознакомления.</w:t>
      </w:r>
    </w:p>
    <w:p w14:paraId="27B2A036"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Чем вызывалась отсрочка расширения?</w:t>
      </w:r>
    </w:p>
    <w:p w14:paraId="0AB8F95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Я думаю, что она до сих пор не расширена, я могу это только приписать тому, что вообще армия должна иметь склады авиационного имущества в разных точках своей территории в зависимости от расположения нашей армии. Следовательно, таковые должны быть и на севере, но&gt; устраивать школы на севере в высокой степени неудобно, потому что на севере число полетных дней чрезвычайно' мало. В особенности мало их под Петроградом, тогда как на юге в Севастополе почти весь год летчики могут работать. При том условии, что курс продолжается 6— 7 месяцев, в зависимости от способности летчика, чрезвычайно важно, чтобы в течение года, в особенности в ту пору, когда у нас дело авиации только начиналось, важно было скорее получить ВОЗМОЖНО большее количество' летчиков. Очевидно, ЧТО скорее мы могли получить его там, где можно работать круглый год и где в течение года может пройти через этот учебный оборот большее количество лиц. Кроме того, в Севастополе кроме климатических есть благоприятные условия почвенные, — открытая местность с твердым грунтом, что для авиационного дела чрезвычайно важно, потому что на вязкой почве аэроплан не разбежится, не повезет, завязнет и испортится. Кроме того, там чрезвычайные богатства воздушных течений, — там есть течение морское и степное и там невдалеке горная цепь. Таким образом, обычно сначала они летают в степи у себя, затем, подучившись, перелетают через гарную цепь. Между тем, известно-, что самое трудное для летчика полет над горами. Там, вследствие разнообразия воздушных течений, образуется то, что- называется на авиационном языке пропастью. Летит человек и должен: опуститься сразу. Для этого нужна громаднейшая практика. Доказательство справедливости этой мысли заключается в том, что с той поры, когда было решено дело об образовании большой школы в Севастополе, с той поры прошло много времени и масса средств употреблена на различного рода аэродромы и школы. Следовательно-, гатчинскую школу можно было расширить. Однако, в настоящее время, когда покупаются земли для устройства школ в Евпатории, в Херсоне, гатчинская школа остается в том же виде. Там повырубили несколько рощ и на нее смотрят, как на неизбежное зло, для того, чтобы там подучиваться. Надо сказать, что- условия в смысле воздушных течений возле Петрограда чрезвычайно- неблагоприятны. Кроме туманов, что чрезвычайно затрудняет наблюдение, здесь летчик, поднявшись около Гатчины, часто встречается с такими туманами, которые мешают видеть, затем есть одно чрезвычайно- характерное ечение, которое дает известное однообразие. По свойствам метеорологическим, здесь течение направляется в сторону Ладожского озера. Поэтому, никакого' разнообразия в борьбе с течениями нет, и это однообразие здешних течений выражалось чрезвычайно характерно прежде-, при наличное наших круглых шаров. Даже самые искусные воздухоплаватели на круглых шарах оказывались или на берегах Ладожского озера, или в самом Ладожском озере. Только одному летчику севастопольской школы, который поднялся здесь, в Петрограде, на. аэродроме, удалось опуститься на юге России. Это был единственный случай, который я объясняю случайностью. Вот почему тогда следовало стоять за юг России и почему гатчинский аэродром не расширялся и не расширен доныне.</w:t>
      </w:r>
    </w:p>
    <w:p w14:paraId="7541F0D1"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Кому принадлежала идея устройства авиационной школы в Гатчине?</w:t>
      </w:r>
    </w:p>
    <w:p w14:paraId="7DC071F1"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Поливанов.—Очевидно, эта идея исходила из недр военно-инженерного' ведомства. Должен сказать, что положение военного авиационного дела вначале было еще хуже. Первоначально пристроились в воздухоплавательном парке, — этого, как оказалось, для авиации было мало. Тогда устроили корпусный аэродром, который был недалеко от воздухоплавательного парка, но этот аэродром оказался тесен и кроме- того там было много аварий с начинающими летчиками, несчастных случаев в силу ужасного грунта, так что, в конце концов, и от него отказались. Потом перешли в Гатчину. Все это шло под ведением главного инженерного управления.</w:t>
      </w:r>
    </w:p>
    <w:p w14:paraId="5AE019AB"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И этого рода организационные вопросы проходили через вас или непосредственно' через ген. Сухомлинова?</w:t>
      </w:r>
    </w:p>
    <w:p w14:paraId="62459D58"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Яне припоминаю, как это было с Гатчиной.</w:t>
      </w:r>
    </w:p>
    <w:p w14:paraId="23B22C36"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Гатчинский аэродром был необходим; это истекало из того, что на севере нужно что-то иметь, раз все средства здесь. Воздухоплавательный парк не годится, корпусный аэродром тоже не годится. Единственное место нашли в Гатчине.</w:t>
      </w:r>
    </w:p>
    <w:p w14:paraId="0556D509"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Аэродром или школа? В данном случае нужен был аэродром, а самая идея устройства школы в Гатчине?</w:t>
      </w:r>
    </w:p>
    <w:p w14:paraId="6F375D5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Единственное место, которым военное ведомство располагало, была Гатчина. Так как здешняя воздухоплавательная школа была не в состоянии удовлетворять потребности чисто авиационные, то остановились на мысли образовать школу в Гатчине.</w:t>
      </w:r>
    </w:p>
    <w:p w14:paraId="3A048662"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Считалось, что это необходимо должно быть под главенством военно-инженерного управления, следовательно, под Петроградом.</w:t>
      </w:r>
    </w:p>
    <w:p w14:paraId="5AA424DB"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Председательствующий. — Генерал, вы изволили указать на то, что предполагалось к 1914 году передать, — что? Территорию </w:t>
      </w:r>
    </w:p>
    <w:p w14:paraId="6626DBCB"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 постройки?</w:t>
      </w:r>
    </w:p>
    <w:p w14:paraId="7BCAECB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Всю территорию школы, постройки и перенести на бюджет военного министерства.</w:t>
      </w:r>
    </w:p>
    <w:p w14:paraId="32E7E686"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Председательствующий. — А на каких условиях это было устроено комитетом воздушного-флота?</w:t>
      </w:r>
    </w:p>
    <w:p w14:paraId="05836572"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Поливанов. — Это передавалось совершенно бесплатно, как национальная собственность, фактически оно не было передано к 1 января 1914 года на том основании, что в начале войны военное ведомство просило задержать эту передачу по разным причинам. </w:t>
      </w:r>
    </w:p>
    <w:p w14:paraId="1CD773D3"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Вначале передача задержалась потому, что происходила довольно долго приемка этого имущества, а потом, когда вспыхнула война, то военное министерство просило отдел воздушного флота временно удержать его- в своем ведомстве, за неимением сил и лиц, которые с этим справятся, а ведь сам воздушный флот, как организация частная, мог привлекать к себе частных лиц.</w:t>
      </w:r>
    </w:p>
    <w:p w14:paraId="10831BFB"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Малая программа авиации 1911 —1913 г.г. вырабатывалась таким путем: военно-инженерное ведомство входило в соглашение с генеральным штабом, может быть это было - в комитете генерального штаба рассмотрено, и затем она поступала ко мне для внесения в очередной план для представления в Государственную Думу.</w:t>
      </w:r>
    </w:p>
    <w:p w14:paraId="10D513C0"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Как я докладывал, каждый год план представлялся в Гос. Думу, и, значит, в 1911 —1913 г.г. это было представлено в Гос. Думу не как нечто самодовлеющее, а это было внесено в очередной план снабжения нашей армии. Теперь, насколько я припоминаю, в этом плане было формирование наших авиационных отрядов. Какой тип аппарата был принят и почему не был принят во внимание ряд возражений главного инженерного управления и затем целый ряд вопросов относительно «Ньюпора», что он не удовлетворяет важнейшем боевым требованиям: не имеет обстрела, обзора и управляется особой, совершенно исключительной и непохожей на другие, системой. Вопрос о заказе аппарата «Ньюпор» выпал на мою долю в ту пору, когда я оставался за военного министра довольно продолжительное время, в течение которого я самостоятельно управлял военным министерством. Мне был представлен доклад главного инженерного управления, где предлагалось заказать очередную порцию аппаратов системы «Фарман». Я, исходя из соображений, что всякий решительно двигатель, где бы он ни был, есть ли то паровоз, есть ли то автомобиль, есть ли то- пароход, — все случаи жизни указывают, что необходимы быстроходные и менее быстроходные. По соображениям тактическим, нам в ту пору необходимы были исключительно^ быстроходные типы аппаратов, ибо быстроходность для тактических соображений играет весьма понятную роль, — надо быстрее пролететь над стреляющим неприятелем, но, кроме того, достигает еще особого значения: всякий аэроплан имеет короткий предел жизни, — аэроплан живет 100 часов, т.-е. может жить с биением пульса; это было' тогда, в ту пору, т.-е. когда был этот заказ, средняя жизнь машины, сердца ее, была 100 часов и до сих пор, за немногими исключениями, эта цифра остается. Следовательно, быстроходный аппарат, он в течение своей жизни большее пространство покроет собой, а это играет большую роль. На быстроходном аппарате не всякий может летать, как не всякий может управлять гоночным автомобилем, и вот я обратился к военно-инженерному ведомству выбрать такой аппарат, который я считал безусловно необходимым. Аппарат же «Фармана», который мне предлагали тогда, это был не тот тип быстроходный, который где-либо был принят, и значит мне надо было указать другой тип. «Ньюпор» в ту пору был принят во французской армии, на нем совершались полеты и у нас в севастопольской школе, знаменитые летчики перекрещивали Россию на «Ньюпоре». </w:t>
      </w:r>
    </w:p>
    <w:p w14:paraId="59635CA1"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Вот почему я смело тогда дал указание заказать «Ньюпор». </w:t>
      </w:r>
    </w:p>
    <w:p w14:paraId="53E568F3"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Теперь соображение, что на этих «Ньюпорах» придется переучиваться, что они неудобны для управления, — это соображение играло роль только отчасти убедительную. Что труден для управления? Всякий новый аппарат труден для. управления. Что надо на нем переучиваться? Да, но мне люди, летавшие на «Ньюпоре», говорили, что нужно переучиваться очень короткое время.</w:t>
      </w:r>
    </w:p>
    <w:p w14:paraId="22F811AA"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Затем — что переучивание произойдет во время войны? Да, если бы война была объявлена в ту пору, когда «Ньюпор» пересылается, то это очень нехорошо. Переучиваться, как здесь говорится, «во время войны» на «Ньюпор»? Я не разделяю мнения, чтобы было возможно' массовое переучивание, за исключением единичных случаев, и вот почему. Потому что техника до такой степени быстро шла вперед в изобретении различных аппаратов, что ко времени объявления войны из числа быстроходных у нас был не только «Ньюпор», но был «Моран», «Моран-парасоль», «Депердюссен». </w:t>
      </w:r>
    </w:p>
    <w:p w14:paraId="21CA6301"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Следовательно, этих «Ныопоров» могло оставаться только небольшое количество-, и я не разделяю мнения, чтобы нам надо было как-нибудь, кроме случайных случаев, переучивать. Наши авиационные отряды вышли, имея все аппараты, на этих аппаратах сидели летчики, которые этими аппаратами владели, и, значит, переучивать нужно было только в случаях, когда кто-нибудь из летчиков на «Ныопоре» заменялся фарманистом, но массового переучивания не могло быть. Затем относительно переучивания вообще. Надо принять за основание, что, при страшно быстром течении техники, переучивание является делом неизбежным и дело не в том, чтобы избежать переучивания, а дело в том, чтобы его организовать правильно. С чем мы вышли на войну? Мы вышли с «Фарманом», — это менее быстроходный аппарат, «Ньюпор», более быстроходный. Разница в быстроходности «Фармана» и «Ньюпора» это 10 и 18 километров в час, т.-е. другими словами «Фарман» 90 километров, а «Ньюпор» 105 километров. Вот с этими аппаратами мы вышли на войну. Кроме того-, был «Моран», «Моран-парасоль», «Депердюссен». Но уже к 1915 году все аэропланы не только износились, но и появился новый тип — «Вуазен». </w:t>
      </w:r>
    </w:p>
    <w:p w14:paraId="6C44D256"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«Вуазен» решено было вооружить пулеметами, потому что никаких аппаратов у нас и вообще где-либо, вооруженных пулеметами, не было. Мы перед войной только что изучали способы бросания метательных снарядов и даже типа метательных снарядов у нас не было. И вот, в 1915 году, является необходимость поставить на этот аппарат, новый аппарат, пулеметы, — очевидно, что надо было- всех переучивать, потому что летание с пулеметом, имея в виду стрельбу из него, требует совершенно особого обучения. </w:t>
      </w:r>
    </w:p>
    <w:p w14:paraId="27461731"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Затем появляется техническая потребность и возможность снабдить аэропланы радиотелеграфными станциями. Очевидно, надо было переучивать. "Затем появляются всевозможные типы бросания, — сначала стрелы, потом разные метательные аппараты.</w:t>
      </w:r>
    </w:p>
    <w:p w14:paraId="46F486A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Опять-таки надо было переучивать. Так что, в течение всей войны, переучивание при страшном движении техники неизбежно'. Идея, предложенная мною тогда, взять быстроходный тип «Ньюпор», эта идея была правильна, она оправдала себя и сию минуту, потому то в настоящее время из различных аппаратов, существующих в армии, есть один тип более быстроходный, которому даются определенные задачи. В настоящее время самый быстроходный аппарат в армии имеет задачи истребителя, и вот всегда изыскивают, какой аппарат является самым быстроходным. Значит идея, принятая мною, правильна, и мысль о более быстроходном аппарате правильна. Затем, что я указал на «Ньюпор»,—это правильно. Тот «Ньюпор», на который я указал, давно умер, но и по сие время, и в настоящую минуту для армии готовится «Ньюпор», но другого типа. Тот «Ньюпор», который я приказал заказать, был «Ньюпор 4», а в настоящее время уже есть «Ньюпор 17, 21 23». Так что, в сущности, эта фирма, эта марка, эти методы оказались правильны.</w:t>
      </w:r>
    </w:p>
    <w:p w14:paraId="2DDE4B99"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Anyшкин. — А кто настаивал на типе «Фармана»?</w:t>
      </w:r>
    </w:p>
    <w:p w14:paraId="4406F663"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На типе «Фарман» настаивало главное инженерное управление. Я должен сказать, как вы изволили отметить, что я, относясь с полным уважением к деятельности главного инженерного управления, несколько различал его деятельность от. деятельности воздушного флота. Тут, в главном инженерном управлении была масса почтенных теоретических сведений и масса хороших механиков, но не было- голоса летчика, не было голоса поля, и этот голос поля в лице гатчинской школы, он мог раздаваться только короткое время в году. Тогда как там была привлечена вся Европа, весь опыт Европы при помощи командировок заграницу, выписки разных знаменитых профессоров и, кроме того, там был голос летчиков, т.-е. людей, которые практически летали, и так как в эту сеть входили и частные организации, — аэроклуб и т. п., то, относясь с уважением к деятельности инженерного управления, я не мог закрыть уши от требовательного и громкого голоса, который раздавался по всей стране.</w:t>
      </w:r>
    </w:p>
    <w:p w14:paraId="5A270A9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Так что на рекомендации «Ныопора» настаивал отдел воздушного флота.</w:t>
      </w:r>
    </w:p>
    <w:p w14:paraId="26CDCF12"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Нет, они не имели права настаивать. Это мое личное мнение.</w:t>
      </w:r>
    </w:p>
    <w:p w14:paraId="408DB051"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А его мнение, мнение воздушного флота?</w:t>
      </w:r>
    </w:p>
    <w:p w14:paraId="16B1F7E8"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Его мнение то, что в севастопольской школе был «Ньюпор», и на этом аппарате совершались по всей России полеты.</w:t>
      </w:r>
    </w:p>
    <w:p w14:paraId="44804903"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Так что отдел высказывался за «Ньюпор» предпочтительнее «Фармана»?</w:t>
      </w:r>
    </w:p>
    <w:p w14:paraId="087DC7BE"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Он решительно не высказывался; отдел не имел права; это исключительно вопрос моего личного убеждения, основанный на знании, как ведется дело; технически я считал себя не менее подготовленным для решения этих вопросов, чем главное инженерное управление.</w:t>
      </w:r>
    </w:p>
    <w:p w14:paraId="5C647AB8"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Так что вы заключения не спрашивали?</w:t>
      </w:r>
    </w:p>
    <w:p w14:paraId="15C4D59D"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Ни в коем случае.</w:t>
      </w:r>
    </w:p>
    <w:p w14:paraId="3B43A9AC"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А кто непосредственно вел дело воздухоплавания в главном "инженерном управлении, в чьих руках оно находилось?</w:t>
      </w:r>
    </w:p>
    <w:p w14:paraId="2DD109D2"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Там был, во-первых, комитет воздухоплавания, в состав которого входило очень много опытных и знающих лиц, в теории. Летчики, т.-е. практические деятели, там не имели большого голоса, — вот если хотите написать соответствующий доклад, то это там можно было; там был почтенный штаб-офицер, полковник, он еще написал брошюру, я в данную минуту забыл его фамилию.</w:t>
      </w:r>
    </w:p>
    <w:p w14:paraId="47728B11"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Найденов.</w:t>
      </w:r>
    </w:p>
    <w:p w14:paraId="104DD37C"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Он был потом в штабе верховного главнокомандующего; это очень почтенный и знающий теоретик.</w:t>
      </w:r>
    </w:p>
    <w:p w14:paraId="14B6FA64"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Если он был составителем и написателем всех соображений, то кто был вдохновителем?</w:t>
      </w:r>
    </w:p>
    <w:p w14:paraId="4AB08699"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Там был начальником ген. Вернандер. Ген. Вернандеір не был сторонником технического прогресса, это была его особенность. Затем очень почтенный ген. Александров, он был тип фортификатора, так что вообще, по тогдашней структуре военного инженерного управления, это дело авиационное оно было случайным придатком, а все внимание главного военно-инженерного управления, я повторяю — военно-инженерного и военно-технического, оно' было направлено, главным образом, на постройку крепостей и постройку зданий. Вдохновителем был проф. Кирпичев, один из тех, которые государству в деле воздухоплавания нужны, но это были почтенные профессора механики.</w:t>
      </w:r>
    </w:p>
    <w:p w14:paraId="7128853A"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Мы подошли к вопросу о том, чем была вызвана передача в 1912 году военного воздухоплавания из главного инженерного управления в главное управление генерального штаба.</w:t>
      </w:r>
    </w:p>
    <w:p w14:paraId="3A8C069E"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Я должен сказать, что это было для меня совершенным сюрпризом. В ту пору, в 1912 году, мои отношения с ген. Сухомлиновым находились в весьма большой натянутости. Я об этой передаче узнал случайно, т.-е. узнал, что при генеральном штабе образуется военно-воздухоплавательная часть, которая всецело возьмет на себя все это дело: Так что это для меня было совершенной неожиданностью и я лично склонен был считать, что это не дело ген. штаба, потому что генеральный штаб не мог иметь дело с техническими вопросами, с техническими схемами, это не дело генерального штаба, и фактически оно привело к тому, что в этот ген. штаб приехал тот же полковник, который сидел в главном инженерном управлении и ведал это дело.</w:t>
      </w:r>
    </w:p>
    <w:p w14:paraId="28E6C1AD"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А поставленный во главе этого дела ген. Штаба ген. Шимкевич, чем обусловлен его выбор?</w:t>
      </w:r>
    </w:p>
    <w:p w14:paraId="37A0E15D"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Решительно не могу сказать.</w:t>
      </w:r>
    </w:p>
    <w:p w14:paraId="31F28C9F"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Имел ли он отношение к вопросам техническим, и в частности воздухоплавания?</w:t>
      </w:r>
    </w:p>
    <w:p w14:paraId="41096F73"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Я думаю, что к техническим нет. К воздухоплаванию я единственно могу сказать, что перед этим он служил в штабе одесского округа и, так как там авиационное дело было несколько шире, то у него был некоторый опыт.</w:t>
      </w:r>
    </w:p>
    <w:p w14:paraId="220577C1"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Ценза определенного у него для этого не было?</w:t>
      </w:r>
    </w:p>
    <w:p w14:paraId="46CFECF2"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Нет.</w:t>
      </w:r>
    </w:p>
    <w:p w14:paraId="31C1E4D8"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Не можете ли вы осветить роль ген. Каульбарса в деле воздухоплавания, которым он так интересовался.</w:t>
      </w:r>
    </w:p>
    <w:p w14:paraId="7674FFA4"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Роль ген. Каульбарса, — к сожалению я не могу отнестись к ней серьезно, но я буду стараться отнестись серьезно.Это был почтенный доброволец, обладающий необыкновенной физической выносливостью. Как он мог сесть на коня, не взирая на свои 70 лет, и пролететь громаднейшие расстояния, не утомляясь, так он мог сесть на аэроплан и та этом аэроплане сделать громаднейший переход в воздухе. Физическая сила его тянула его к быстрым движениям, и так как авиационное дело захватило собой все общество, то весьма понятен был с его стороны интерес к нему и к различным полетам, в которых он участвовал; он участвовал и в аэроклубе и в севастопольской школе летал. Затем я знаю, что он летал, будучи командующим войсками одесского округа, и затем во Франции, — так что это любитель-летчик, который, не взирая на преклонный возраст, любил быстрые движения.</w:t>
      </w:r>
    </w:p>
    <w:p w14:paraId="01803A3B"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Затем он был на юго-западном фронте?</w:t>
      </w:r>
    </w:p>
    <w:p w14:paraId="2F46A27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Это мы касаемся уже периода войны. У ген. Каульбарса, кроме этих чисто субъективных исключительных дарований, всегда было стремление руководить, и вот с этим стремлением он являлся, чтобы предложить свои услуги. Он явился тогда на один из фронтов и предложил там свою услугу. Я знаю, что его услуги не были признаны достаточно полезными.</w:t>
      </w:r>
    </w:p>
    <w:p w14:paraId="43D31EBF"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Он с самого начала войны был назначен?</w:t>
      </w:r>
    </w:p>
    <w:p w14:paraId="154F6C3B"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Если не ошибаюсь, с самого начала войны. Одним словом, как доброволец он все искал применения, но на движение воздухоплавания он не мог оказать давления кроме своего личного примера.</w:t>
      </w:r>
    </w:p>
    <w:p w14:paraId="22F7BF58"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Апушкин. — А затем передача на другой год воздухоплавания из главного управления генерального штаба в главное военно-техническое </w:t>
      </w:r>
    </w:p>
    <w:p w14:paraId="15745762"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управление?</w:t>
      </w:r>
    </w:p>
    <w:p w14:paraId="2B48F7DC"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Меня в это время не было у дел. Я ушел в начале 1915 года; , я видел со стороны моей деятельности в гос. совете. Очевидно, ген. штаб с технической частью справиться не мог.</w:t>
      </w:r>
    </w:p>
    <w:p w14:paraId="295981AC"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Со стороны непосредственного впечатления, какое влияние могла иметь эта передача, как она отразилась на организации воздушного флота, — сначала в ген. штаб, потом в военно-техническое управление — при наличности всех существующих в этих учреждениях качеств?</w:t>
      </w:r>
    </w:p>
    <w:p w14:paraId="69D079A6"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Тут мне придется отвечать общими соображениями, которые, отчасти, явятся ответом на поставленный мне вами вопрос. Ведь заниматься делом снабжения армии, заниматься делом технического прогресса, — дело слишком нелегкое, оно требует и технического знания, и опыта, и любви к делу. Мне очень трудно говорить про себя, но, отойдя в сторону от планов снабжения армии, периодически улучшаемых, которые согласовались под моим руководством с техническим прогрессом, мне вообще было больно видеть, что после моего ухода это дело не имело в себе души и поэтому, так сказать, было ли это в ген. штабе или в веденим военно-технического управления, я вообще уже потерял уверенность, что все дело снабжения армии будет итти с той энергией, как это было бы желательно.</w:t>
      </w:r>
    </w:p>
    <w:p w14:paraId="7DD7D128"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Anyшкин. — Что, главным образом, поколебало вашу уверенность в этом?</w:t>
      </w:r>
    </w:p>
    <w:p w14:paraId="5B7FF566"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Я видел уже через все эти планы снабжения армии.</w:t>
      </w:r>
    </w:p>
    <w:p w14:paraId="56F62C49"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Они уже шли через посредство ген. Вернандера?</w:t>
      </w:r>
    </w:p>
    <w:p w14:paraId="3D0DCB61"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Может быть формально через ген. Вернандера, но когда я, в качестве зрителя, знакомился с этим планом в гос. совете, то мне было всегда очень больно, что я не могу высказывать какие-нибудь мои технические и критические взгляды на это, потому что, так сказать, мой опыт мне показывал, что там многое можно было бы вести иначе.</w:t>
      </w:r>
    </w:p>
    <w:p w14:paraId="5540206E"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А через кого вы лично могли проявить такое направление дела в деле снабжения армии и, в частности, воздухоплавания?</w:t>
      </w:r>
    </w:p>
    <w:p w14:paraId="1828EDC9"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Поливанов. — Военный министр ген. Сухомлинов от этого дела стоял далеко, а с моим уходом от него, так сказать, ушло лицо, которое 6 лет этим делом близко занималось, знало его вдоль и поперек и случайно имело технический ценз, для того, чтобы эти вопросы решать, и поэтому, мне казалось, что после моего ухода Сухомлинов остался без должной опоры в этом отношении.</w:t>
      </w:r>
    </w:p>
    <w:p w14:paraId="7536F8FB"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Это по вопросу о вмешательстве ген. Сухомлинова в заказы аппаратов?</w:t>
      </w:r>
    </w:p>
    <w:p w14:paraId="58FAA187"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В мое время случаев его вмешательства не было. Затем эпизод относительно заказов 8 аэропланов «Райта» совершенно непригодных для военных целей, — это осталось мне неизвестным.</w:t>
      </w:r>
    </w:p>
    <w:p w14:paraId="2213AB0F"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По поводу вопроса о «Муромцах»?</w:t>
      </w:r>
    </w:p>
    <w:p w14:paraId="67963151"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Дело в том, что на «Муромцев» я опять-таки смотрел со стороны.</w:t>
      </w:r>
    </w:p>
    <w:p w14:paraId="07EEEC96"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Председательствующий. — При вас не было?</w:t>
      </w:r>
    </w:p>
    <w:p w14:paraId="73F6E924"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При мне не было. Но- все-таки все дело имело довольно большую огласку и отражалось в особенности в печати заграницей, не только у нас, но и заграницей, при чем оценка этого аэроплана заграницей была иная, чем у нас. Идея этого аэроплана,  т.-е. большого аэроплана, который может поднимать большие тяжести, заслуживает внимания, но можно ли было- его заказывать в том виде, в каком он демонстрировался в Петербурге и- получил восхищение нашей печати, это другой вопрос. —Теперь идея образования эскадры из «Муромцев». Если бы это был «Муромец», как кто-то имел в виду, большой аппарат, несущий большие запасы взрывчатых веществ и способный удаляться на большие расстояния,  то, разумеется, эскадра из таких аппаратов была бы могучим средством; с такой эскадрой мы могли бы налететь на одну из германских крепостей, скажем на Кенигсберг, — но ничего из этого не вышло, потому что «Муромцы» находятся в состоянии не вполне удовлетворительном.</w:t>
      </w:r>
    </w:p>
    <w:p w14:paraId="625B0230"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Вы не знаете ничего об отношениях бывшего военного министра Сухомлинова к г. Шидловскому?</w:t>
      </w:r>
    </w:p>
    <w:p w14:paraId="586FCBDE"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Я этих отношений не знаю, но опять-таки, когда я узнал, что Шидловский, директор правления, переименован в генерал-майоры и назначен начальником эскадры, то я мог выразить только величайшее недоумение, и почему он был назначен строевым начальником для меня непонятно1. Очевидно, у него были интимные отношения с Сухомлиновым.</w:t>
      </w:r>
    </w:p>
    <w:p w14:paraId="53ECFB1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Председательствующий. — Он был директор Балтийского завода?</w:t>
      </w:r>
    </w:p>
    <w:p w14:paraId="45694300"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Апушкин.—-Раньше, когда через вас проходило ассигнование на воздухоплавание, раньше Шидловский не являлся просителем,— прожектёром, не называлось его имя в тот период времени?</w:t>
      </w:r>
    </w:p>
    <w:p w14:paraId="723C1FD4"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Я помню, что он ко мне раз являлся по. автомобильному делу, являлся в качестве просителя, — не может ли Балтийский завод строить автомобили. Я ему сказал — выработайте тип грузовика, и то, что будет для армии более полезно, будет принято, но по части авиационной это было для меня сюрпризом.</w:t>
      </w:r>
    </w:p>
    <w:p w14:paraId="079DF723"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Вот, возвращаясь к малой авиационной программе 1911—1913 г.г., вы не можете ли наметить основные положения программы?</w:t>
      </w:r>
    </w:p>
    <w:p w14:paraId="521EBB93"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Немножко трудно. Если не ошибаюсь, это во всяком случае была первая программа, в которой формировались специальные авиационные отряды... если не ошибюсь, по известной системе, находящиеся в некотором соответствии с тактическими единицами.'</w:t>
      </w:r>
    </w:p>
    <w:p w14:paraId="000EE9A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Так что в нее входило и формирование авиационных частей?</w:t>
      </w:r>
    </w:p>
    <w:p w14:paraId="5726205A"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Да.</w:t>
      </w:r>
    </w:p>
    <w:p w14:paraId="6CB40C7D"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А в эту программу не входило число аппаратов?</w:t>
      </w:r>
    </w:p>
    <w:p w14:paraId="524FFF2F"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Нет, оно непременно входило. Если не ошибаюсь, было шесть новых аппаратов. Одним словом, это была первая организация. Отряды составлялись из аэропланов.</w:t>
      </w:r>
    </w:p>
    <w:p w14:paraId="61FD9DF1"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Эта программа была составлена по военно-инженерному управлению?</w:t>
      </w:r>
    </w:p>
    <w:p w14:paraId="59A107A8"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По военно-инженерному управлению по соглашении с ген. штабом.</w:t>
      </w:r>
    </w:p>
    <w:p w14:paraId="11AFA17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Эта программа рассматривалась или была утверждена непосредственно?</w:t>
      </w:r>
    </w:p>
    <w:p w14:paraId="19D1CEC9"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Она попала ко мне в утвержденном виде, т.-е. в смысле, что ее нужно вести, в смысле плана снабжения.</w:t>
      </w:r>
    </w:p>
    <w:p w14:paraId="20F6C139"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Она вошла как часть такового?</w:t>
      </w:r>
    </w:p>
    <w:p w14:paraId="355F7722"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От вошла как часть такового по отделу авиационного имущества. Она, несомненно, рассматривалась в ген. штабе, как все организационное.</w:t>
      </w:r>
    </w:p>
    <w:p w14:paraId="2A6A1B82"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По вопросу о снабжении нашей армии автомобилями, вы помните, Алексей Андреевич, в 1910 г. был возбужден об этом вопрос впервые. Как шло разрешение этого вопроса дальше? Я напомню вам: в 1913 г. был намечен план удовлетворения потребности армии автомобильным имуществом и что осуществление его приурочивалось к 1914 —1919 г.г., к этому периоду, и одновременно в 1910 г. возник вопрос о военно-автомобильной повинности. Но тут произошли пререкания между мобилизационным отделом и управлением военных сообщений. И затем, в 1912 г. это дело было передано в мобилизационный отдел, который выработал проект в июле 1912 г. и внес в Думу, ив 1914 г. он был утвержден в спешном порядке. Не можете ли вы, насколько помните, подробно осветить этот вопрос?</w:t>
      </w:r>
    </w:p>
    <w:p w14:paraId="43AE20FE"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Поливанов. — За мое время пребывания в должности помощника военного министра, автомобильное дело не шло дальше опытов. </w:t>
      </w:r>
    </w:p>
    <w:p w14:paraId="0A349727"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Т.-е. была образована автомобильная рота, и в ней испытывались пробегами различного типа автомобили. Военный министр ген. Сухомлинов очень близко этим делом интересовался. Могу сказать, что это почти единственное дело из техники, которое его лично занимало. Может быть, вообще потому, что дело это было модное, которое занимало бывшего государя лично. Так что Сухомлинов не мог остаться в стороне от этого дела. Но, затем, повторяю, кроме разного рода пробегов и стремления выработки известного типа автомобиля, при мне, в сущности, дальше ничего не делалось. Таким образом, все остальное ведение планов снабжения организации было после моего ухода из военного министерства. </w:t>
      </w:r>
    </w:p>
    <w:p w14:paraId="1E9775B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 затем я встретился с этим делом, будучи военным министром, застал его в том виде, в каком оно находилось тогда.</w:t>
      </w:r>
    </w:p>
    <w:p w14:paraId="338B5F9F"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А чем объясняется затяжка в разработке вопроса о военно-автомобильной повинности; об этом вопросе неоднократно говорилось с трибуны Государственной Думы, и военный министр неоднократно Государственной Думе заявлял, что в самое ближайшее время будет внесен в Государственную Думу законопроект  об установлении автомобильной повинности.</w:t>
      </w:r>
    </w:p>
    <w:p w14:paraId="04E01974"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Я не помню. Это, кажется, исключительно только внутренние трения по ген. штабу. Генеральный штаб находился непосредственно подчиненным военному министру. Я помню, что я очень скорбел, что дело так стоит. Я подробностей не помню.</w:t>
      </w:r>
    </w:p>
    <w:p w14:paraId="243D1D9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А назначение ген. Секретева и вообще его деятельность?</w:t>
      </w:r>
    </w:p>
    <w:p w14:paraId="57A49792"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Поливанов. — Вот здесь мне уже приходится вернуться к моей деятельности в должности военного министра. Я по этому поводу давал довольно подробные показания военному следователю Барановскому. </w:t>
      </w:r>
    </w:p>
    <w:p w14:paraId="6057AFF4"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Следовательно, я здесь должен только повторить некоторые данные. С самого вступления моего в должность военного министра, будучи подготовлен предшествующей моей деятельностью и образованием к техническому руководству, я обратил внимание, в каком положении находится автомобильное дело.</w:t>
      </w:r>
    </w:p>
    <w:p w14:paraId="1F05FD68"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Затем обратило мое внимание то, что личность в 1912 г. капитана Секретева, а в 1915 г. генерала Секретева, окружалась репутацией исключительного знатока автомобильного дела. Но рядом с этим доходили до меня сведения о том, что' его деятельность сопровождается некоторыми сомнениями в смысле расходования денежных средств. Я застал уже образованную при ген. Сухомлинове особую комиссию под председательством ген. Мгеброва, которая должна была составить отчеты по израсходованию тех больших средств, которые были даны ген. Секретеву для приобретения автомобилей в его единоличное распоряжение. Поинтересовавшись этим вопросом, я решил, что надо сделать эту комиссию более авторитетной, и, поэтому, поставил во главе доверенное лицо в виде очень уважаемого мною ген. Александрова и, кроме того, счел необходимым иметь в составе комиссии представителя главного военно-судного управления. Эта комиссия вскоре после моего назначения начала работать, и в ней очень скоро явились такого- рода показания, которые дали мне основание о необходимости уже перейти к следственному аппарату, так как были предположения, что там замечаются существенные злоупотребления со стороны ген. Секретева, Но затем произошло нижеследующее.</w:t>
      </w:r>
    </w:p>
    <w:p w14:paraId="43D7497C"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октябре месяце 1915 г., на одном из моих очередных докладов бывшему государю в ставке, я заметил со стороны бывшего государя особое ко мне суровое отношение, и, в конце моего доклада, мне был передан никем не подписанный доклад государю, где говорилось, что военный министр такой-то, Поливанов, возбудил предварительное следствие против ген. Секретева, что это единственная отрасль военного снабжения за все время войны, которая находится в блистательном порядке, а поэтому не следует мешать ген. Секретеву продолжать его полезную деятельность.</w:t>
      </w:r>
    </w:p>
    <w:p w14:paraId="352AF78F"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Мне было, с признаком неудовольствия, сказано, что не время заниматься какою-нибудь мстительностью прошлому (намек на приближенность ген. Секретева к ген. Сухомлинову) и что мне указывается, так сказать, прекратить следствие и отложить его до окончания войны. Получивши это категорическое указание вместе с неподписанным докладом, я по возвращении в Петроград поручил главному военно-судному управлению составить всеподданнейший доклад, где изложить все основания, по которым я считал необходимым привлечение ген. Секретева к следствию, на том основании, что в настоящее время следствием достигнуто, и те  перспективы для следствия, которые требуют дальнейшего изучения, а потам в результате испрашиваю, что, не взирая на это, угодно ли подтвердить данное мне приказание о прекращении следствия. Указание последовало в том смысле, что первое указание, -т.-е. о приостановке следствия, остается в своей силе. Тогда мне оставалось, давши соответствующее указание, приказать комиссии производить расследование исключительно в пределах проверки денежных средств. Но ген. Секретев, пользовавшийся, очевидно, известной поддержкой не только у самого бывшего императора, но и среди его окружающих, стал по отношению к этой комиссии совершенно в положение обструкции. Очень редко появлялся давать указания, и, таким образом, эта комиссия к моему уходу 13 марта 1916 года, к окончательному выводу не пришла. Затем эти обстоятельства я считал настолько важными, такое отношение сверху к этому делу так меня поразило, что я, как любитель истории, поручил сделать для меня лично и копию доклада бывшему государю, и копию моего всеподданнейшего доклада, которые оставил у себя. И вот теперь, когда мне пришлось давать показание судебному следователю, я мог ему представить эту копию, с просьбою возвратить мне по миновании надобности. Это </w:t>
      </w:r>
      <w:r w:rsidRPr="002F2FDF">
        <w:rPr>
          <w:rFonts w:ascii="Times New Roman" w:hAnsi="Times New Roman" w:cs="Times New Roman"/>
          <w:color w:val="000000" w:themeColor="text1"/>
          <w:sz w:val="16"/>
          <w:szCs w:val="16"/>
        </w:rPr>
        <w:lastRenderedPageBreak/>
        <w:t>оказалось единственным документом, так как архив главного военно-судного управления, который мог охарактеризовать мой взгляд на деятельность ген. Секретева, сгорел.</w:t>
      </w:r>
    </w:p>
    <w:p w14:paraId="4C67F6CD"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Апушкин.—Насколько я понял, вы не стояли близко к вопросу по автомобильной части в качестве помощника военного министра?</w:t>
      </w:r>
    </w:p>
    <w:p w14:paraId="4B73E5BF"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В качестве помощника я не стоял близко. Это находилось в единоличном управлении ген. Сухомлинова. Он интересовался этим делом, лично им руководил. Я только знал, что какие-то типы автомобилей вырабатываются, знал по разного рода газетным сведениям и, повторяю, при мне это дело находилось в зачаточном состоянии.</w:t>
      </w:r>
    </w:p>
    <w:p w14:paraId="3841B0F8"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А вот разработка законопроекта относительно повинности автомобильной, относительно добровольческих дружин автомобильных, это шло по генеральному штабу?</w:t>
      </w:r>
    </w:p>
    <w:p w14:paraId="4B2EF91A"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Это шло по генеральному штабу.</w:t>
      </w:r>
    </w:p>
    <w:p w14:paraId="64174092"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Которым заведывал военный министр?</w:t>
      </w:r>
    </w:p>
    <w:p w14:paraId="6B1510FB"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Военный министр. Он сохранил за собою это заведывание.</w:t>
      </w:r>
    </w:p>
    <w:p w14:paraId="22395543"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А каково было отношение бывшего императора к вопросу о снабжении армии вообще до войны и во время войны?</w:t>
      </w:r>
    </w:p>
    <w:p w14:paraId="0C88AA5C"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Поливанов:—Бывший император мало интересовался этим вопросом, и в том случае, когда приходилось докладывать эти вещи, нужно было, по возможности, сокращать. Ведь вообще перед войной у высшего начальства и бывшего государя, и бывшего военного министра было к технике отношение довольно пренебрежительное. </w:t>
      </w:r>
    </w:p>
    <w:p w14:paraId="71FC35AE"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Тогда восторжествовала мысль, что в армии главное — дух и главное — наступление, а все прочее приложится. Когда высказывалась мысль о необходимости системы, о необходимости какой-нибудь техники, то это ставилось в упрек, и говорилось, что эта мысли старого профессора, а в жизни главное — налет, быстрое движение хорошо в духе армии, которая все сделает.</w:t>
      </w:r>
    </w:p>
    <w:p w14:paraId="73A43F21"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Одним словом, те мысли, которые высказывались ген. Сухомлиновым, прекрасно выражены в известной статье «Биржевых Ведомостей», которая, если действительно не продиктована ген. Сухомлиновым, то во всяком случае близко выражает его мысли относительно нашей готовности к победе и маленького значения техники. </w:t>
      </w:r>
    </w:p>
    <w:p w14:paraId="7F16DCFB"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Собственно, автомобильный отдел, это единственное, чем интересовался бывший государь, поэтому им интересовался и Сухомлинов.</w:t>
      </w:r>
    </w:p>
    <w:p w14:paraId="2B287D19"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Вопрос о снабжении и интерес к нему со стороны бывшего императора относился ко всем вопросам снабжения, как артиллерийского, так и инженерного ведомства, как вы говорите?</w:t>
      </w:r>
    </w:p>
    <w:p w14:paraId="4B5401EC"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Я думаю, что ко всем.</w:t>
      </w:r>
    </w:p>
    <w:p w14:paraId="70DA8C67"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А при ваших докладах ему вы имели случай в этом убедиться?</w:t>
      </w:r>
    </w:p>
    <w:p w14:paraId="0B494B2D"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В моих докладах, в качестве помощника, когда я оставался за военного министра, я убедился, что техническая часть, даже та, которая касается, например, патронов, остроконечных пуль и т. д. привлекает мало внимания, как нечто докучливое.</w:t>
      </w:r>
    </w:p>
    <w:p w14:paraId="15D5A54A"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Но в период войны, когда вы были военным министром, вам приходилось сталкиваться или наблюдать интерес бывшего императора и верховного главнокомандующего в вопросе стратегическом? Проявлялся он в чем-нибудь, и как он выражался?</w:t>
      </w:r>
    </w:p>
    <w:p w14:paraId="4032B43E"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Вопрос стратегический я застал в таком положении, что когда б. военный министр бывал в ставке и когда верховный главнокомандующий докладывал б. государю о течении войны и о состоянии дел, то б. военный министр на такие заседания не приглашался. Это положение я счел настолько неудобным, что тотчас по моєму назначении я поставил вопрос ребром — раз я в ставке и раз происходит стратегический доклад, то мне, хотя бы в качестве главного начальника снабжения, следует присутствовать. На этом я настоял.</w:t>
      </w:r>
    </w:p>
    <w:p w14:paraId="74397660"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Иванов. — И это исполнялось?</w:t>
      </w:r>
    </w:p>
    <w:p w14:paraId="5B7F487E"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Да, это исполнялось, и поэтому, когда был верховным главнокомандующим Николай Николаевич, то всякий раз, когда государь бывал в ставке, я в этих заседаниях присутствовал.</w:t>
      </w:r>
    </w:p>
    <w:p w14:paraId="3D0D0149"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Затем, когда сделался верховным главнокомандующим государь, то мне не приходилось бывать в ставке в те часы, когда происходил этот доклад, и я на докладах ген. Алексеева не присутствовал, но тем не менее, 12-го февраля 1916 г., когда отчасти по моему настоянию б. государь созвал военный совет из главнокомандующих, я был приглашен на этот совет и приехал специально на это заседание. Чтобы сказать, что б. государь интересовался стратегическими вопросами в широком смысле, я должен сказать, что, по моему глубокому убеждению, он был так мало к-этому подготовлен, что на него- и вопросы и доклады, которые делались ген. Янушкевичем (повторяю, я не знаю докладов ген. Алексеева), производили впечатление, что они очень не видные по своему содержанию и более всего обращалось им внимания на то, что там такой-то полк отличился, командует им такой-то. «Там-то, ваше величество, драгуны отличились». Мне представлялось, что доклады, обнимающие собой военные действия на протяжении в России 1.600 верст и на таком же расстоянии заграницей, должны были бы обнимать собою широкие вопросы. Может быть, ген. Алексеев и видоизменял свои доклады. Затем, в военном совете 12 февраля 1916 г., который имел задачей определить для нас возможность перехода в наступление, б. государь выслушал доклад Алексеева, выслушал заявления главнокомандующих, но сам держался довольно пассивно. Ни по волевым импульсам, ни по своей подготовке он иначе и не мог относиться.</w:t>
      </w:r>
    </w:p>
    <w:p w14:paraId="36F71C7F"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Иванов. — Что же, он высказывал на заседании совета свое мнение и предложения?</w:t>
      </w:r>
    </w:p>
    <w:p w14:paraId="410CF8D9"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Предложения — нет, частичные вопросы — да.</w:t>
      </w:r>
    </w:p>
    <w:p w14:paraId="29B365F7"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В частности по вопросу о разоружении крепостей, как этот вопрос прошел в смысле отношения к нему б. военного министра Сухомлинова, вашего1 и б. императора? Чем он был вызван непосредственно, не встречал он противодействия со стороны наших союзников?</w:t>
      </w:r>
    </w:p>
    <w:p w14:paraId="625B72FE"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Когда ген. Сухомлинов вступил в должность военного министра 9-го марта 1909 г., то этот вопрос был как бы решен в недрах генерального штаба и верховной властью. Во всяком случае до меня дошли сведения, как до помощника военного министра, что этот вопрос считается решенным. Придавая большое значение этому вопросу со стратегической точки зрения, я тогда попросил б. ген. инспектора по инженерной части ген. Вернандера собрать, для моего личного осведомления, у себя на квартире небольшое совещание, в которое принести планы тех крепостей, которые упраздняются, и пригласить туда тех специалистов этого дела, которые, по его мнению, таковыми окажутся, и затем пояснить мне, в какой мере состояние этих крепостей таково, что оно непоправимо приговаривает их к смерти.</w:t>
      </w:r>
    </w:p>
    <w:p w14:paraId="6957784D"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Такое совещание чисто частного характера (иначе как частным оно и не могло быть, ибо до ген. Сухомлинова дошло, что как бы проверяются его действия его помощником), привело нас к убеждению, что с этим вопросом слишком поторопились, что крепости действительно в устарелом состоянии, что на приведение их в порядок действительно нужны большие средства, но что есть два разных способа действия: первый — признать их совершенно негодными и разоружить, и другой способ — признать, что они слабы, и) оставить и затем думать, каким способом их усовершенствовать, причем для усовершенствования есть разные способы: есть способ перестроить крепость и способ использовать ее, как наши союзники использовали Верден, т.-е. около устарелой крепости сосредоточить армию и, затем, устроить под ее покровом временные позиции. Этот второй способ я считал более правильным. </w:t>
      </w:r>
    </w:p>
    <w:p w14:paraId="5BAF0FBE"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 Вернандер со мной согласился и, когда я просил генерал-инспектора по инженерной части, имеющего в прямом своем заведывании крепости, явиться их адвокатом перед ген. Сухомлиновым, он сказал, что это невозможно, потому что это решение уже окончательное. Тогда я явился открытым противником этой идеи в такой мере, что, исполняя и однажды замещая должность ген. Сухомлинова и будучи на личном докладе у б. государя при вопросе его относительно одной из упраздняемых крепостей, я сказал, что являюсь противником упразднения. Он на это сказал: «Я знаю, я знаю», и на этом разговор оборвался. В тех случаях, когда государь не хотел продолжать разговора, это был один из способов прервать, сказать — «я это знаю». Затем Сухомлинов имел со мной личное объяснение, что он считает неудобным, что его помощник не разделяет его взглядов, но я сказал, что раз я не знаю тех аргументов, которые привели к этому, раз я не знаю тех средств, чем заменить эту крепость, то я позволяю себе сохранить свое мнение. Следовательно, мое мнение с самого начала было несочувственное. Затем, я знаю, что командующий войсками варшавского' округа ген. Скалой приезжал в Петроград и специально докладывал б. государю о том, что он является противником упразднения крепостей, но это никакого результата не имело. Наконец, последняя моя попытка спасти вопрос о крепостях. В настоящее время я готов присоединиться к мысли, что устарелая крепость решительно никуда не годится, примером может служить Антверпен, но мы видим Льеж и Верден, где старые крепости, с усиленными новейшими проволочными заграждениями и окопами, сопротивляются самым ожесточенным штурмам и самым жестоким средствам атаки. Для того, чтобы защищать идею нашей обороны крепостями, я очень настаивал перед Сухомлиновым, чтобы он сделал то, что делается заграницей, т.-е. чтобы он собрал тех генералов, которые назначены в военное время командовать армиями, и разыграл с ними военную игру обороны и наступления на наши границы. Эта военная игра старших начальников заграницей давно существует и приводит к результатам поразительным по своей целесообразности. Для того, чтобы не быть голословным, я укажу на следующее. Нашему поражению в Восточной Пруссии, которым началась война, мы обязаны военной игре немцев, ибо они страшно интересовались этим вопросом, как лучше защищать Восточную Пруссию от вторжения неприятеля. Этот вопрос у них в течение многих лет на военной игре разыгрывался и проверялся на маневрах. Наконец, в протоколах, составленных старшими германскими начальниками после такой игры, имеется такое заключение, что общий вывод относительно всех способов вторжения в Восточную Пруссию гласит приблизительно следующее: опыт показал, что самый наименее действительный способ для завоевания Пруссии со стороны неприятеля с востока является движение в нее двумя армиями, одной к северу от Мазурских озер, т.-е. в пространство между Мазурскими озерами и Кенигсбергом, а другой — к югу от Мазурских озер. Этот способ является наименее выгодным для неприятеля и наиболее выгодным для нас, потому что в течение всего времени мы работали над тем, чтобы быстрым сосредоточением наших сил, натиском разбить сначала эту армию, прижать ее к Мазурским озерам, а затем разбить и другую армию. И вот мы выступили в Восточной Пруссии при наименее выгодных для нас и наиболее выгодных для неприятеля условиях. Армия ген. Самсонова, при </w:t>
      </w:r>
      <w:r w:rsidRPr="002F2FDF">
        <w:rPr>
          <w:rFonts w:ascii="Times New Roman" w:hAnsi="Times New Roman" w:cs="Times New Roman"/>
          <w:color w:val="000000" w:themeColor="text1"/>
          <w:sz w:val="16"/>
          <w:szCs w:val="16"/>
        </w:rPr>
        <w:lastRenderedPageBreak/>
        <w:t xml:space="preserve">преимуществе жел.-дор. неприятельских сил против левого фланга, была прижата к Мазурским озерам и должна была отступить. Вот чисто конкретно, какую пользу представляют </w:t>
      </w:r>
    </w:p>
    <w:p w14:paraId="65FBC9D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эти военные игры старших начальников, если они ведутся в условиях, при которых они начинают изучать военные действия при участии своих подчиненных. Поэтому я настаивал на этом перед Сухомлиновым, и он, в конце концов, со мной согласился. Решено было, что командующие войсками и командующие армиями в декабре 1910 г. съедутся в Петрограде, и здесь будет военная игра. Я был вполне убежден, что на этой военной игре подтвердится то, что нам надо крепко держать в руках Вислу, Нарев и Вепрж, а затем, если окажется, что нам надо крепко держать их в руках, и если не придется тратить больших денег на переделку крепостей, то мы их не бросим. Командующие войсками съехались и, кажется, 8-го декабря в залах Зимнего дворца были разложены планы, и все было приготовлено для военной игры. Когда все было приготовлено, была получена записка из Царского Села, — отложить все это до весны. Это было отложено и никогда не повторялось в таком виде, в каком должно было быть. Были собрания, о чем-то говорили, но без систематической работы, в течение которой могли бы оказаться недостатки нашей жел.-дор. сети, и необходимость организовать в том или другом пункте депо снабжения — ничего этого не было. О причине, почему произошло такое крушение, рассказывают разно. У меня никаких точных сведений по этому поводу нет, но знаю одно, что Николай Николаевич, который должен был командовать армией, защищающей Петроград, заявил, что, в сущности говоря, только за несколько дней до сбора командующих войсками, его оповестили о том, что такая военная игра будет и что он считает себя совершенно неподготовленным к этому делу, чтобы принять в этом какое-нибудь участие. Другие говорили, что будто бы кто-то из командующих войсками обиделся, что их в Петрограде хотят учить. Одним словом, это дело кончилось, и этому вопросу не придавалось значения. А аналогичный вопрос имел жизненность заграницей давно, и мы не могли не знать, что в Вене в 1910 г. и всюду целую зиму работали над планом вторжения в Россию, что там, если за зиму обнаруживаются какие-либо недостатки или сомнения, то весной проверяют или на маневрах, или посылают разведчиков. И вот к такому важному вопросу относились легко.</w:t>
      </w:r>
    </w:p>
    <w:p w14:paraId="077ADA1B"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В сущности кем же был разработан вопрос об упразднении крепостей непосредственно?</w:t>
      </w:r>
    </w:p>
    <w:p w14:paraId="0F0DFC9A"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Я думаю, что непосредственно была идея Сухомлинова, но не как план упразднения.</w:t>
      </w:r>
    </w:p>
    <w:p w14:paraId="26A05BAA"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В то время начальником ген. штаба был Жилинский или Мышлаевский?</w:t>
      </w:r>
    </w:p>
    <w:p w14:paraId="70E959AD"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Это было на переходе между Жилинским и Мышлаевским. Теперь, насколько я был близок к стратегическим вопросом до назначения Сухомлинова. Тогда был совет государственной обороны, в котором я всегда участвовал, и затем ген. Редигер, не будучи сам знаком с делами по обороне государства, предоставлял мне все сношения с генеральным штабом и все вопросы возлагал на меня. Но Сухомлинов объявил сразу, что все, что касается обороны, все он держит у себя в руках. Так что это было для меня секретом. Отсюда проистекает, что я не знал, кто это разработал, от меня это тщательно скрывалось, потому что я был большой противник этого.</w:t>
      </w:r>
    </w:p>
    <w:p w14:paraId="432248A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Каково было отношение к этому плану в Гос. Думе, хотя бы в комиссии по государственной обороне?</w:t>
      </w:r>
    </w:p>
    <w:p w14:paraId="1549B317"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Комиссия по государственной обороне, в общем, этим вопросом тревожилась.</w:t>
      </w:r>
    </w:p>
    <w:p w14:paraId="47684854"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Вам не приходилось в комиссии по государственной обороне говорить по этому вопросу?</w:t>
      </w:r>
    </w:p>
    <w:p w14:paraId="06ABA998"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В официальных заседаниях не приходилось говорить.</w:t>
      </w:r>
    </w:p>
    <w:p w14:paraId="0295CEFD"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Так что это были частные разговоры, которые оставили впечатление тревоги?</w:t>
      </w:r>
    </w:p>
    <w:p w14:paraId="48327E2D"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Да.</w:t>
      </w:r>
    </w:p>
    <w:p w14:paraId="541F5C04"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А отношение наших союзников?</w:t>
      </w:r>
    </w:p>
    <w:p w14:paraId="5219E3DD"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Я официально ничего не знаю, но слышал, что этот вопрос вызывал интерес со стороны Франции, так как они опасались, что, с упразднением крепостей, мы окажемся менее устойчивыми в этом деле, но- им, вероятно, ответили, что зато мы выиграем в наступлении, что у нас войска подготовлены к наступлению.</w:t>
      </w:r>
    </w:p>
    <w:p w14:paraId="46476A07"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К вопросу мобилизации промышленности в период войны какое было отношение б. государя?</w:t>
      </w:r>
    </w:p>
    <w:p w14:paraId="3CBB7917"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Вообще он мало интересовался этим вопросом и при той подозрительности, которую он обнаруживал ко всем вообще признакам моего личного отношения с общественностью, мне приходилось в докладах быть очень осторожным, потому что я принял министерство, находясь в некотором подозрении по отношению к моим близким связям с Гос. Думой, и это мне ставилось не в плюс, а в минус. Но, тем не менее, я должен сказать, что в тот сравнительно короткий период, когда б. государь стал, повидимому, на точку зрения прогрессивного образа мысли по отношению к стране, в этот короткий период времени, который я считаю  от своего назначения в июне, от перемен в кабинете и до знаменитого совещания совета министров в ставке 16-го сентября, в этот период б. государь не отказывался ни от надежд, ни от благосклонного отношения к общественности. Доказательством этому служит и то, что когда надо было открыть заседание вновь образованного совещания по государственной обороне, которое должно было состоять из представителей Гос. Думы, гос. совета, представителей общественных организаций и т. д., то по его личной инициативе, он пожелал открыть это заседание торжественно в Зимнем дворце и приказал пригласить не только тех общественных деятелей, которые участвовали в совещании по обороне, но и тех общественных деятелей, которые должны были участвовать в разных совещаниях, т.-е. совещания по топливу, продовольствию, по перевозке. Таким образом, зал Зимнего дворца заполнился представителями Гос. Думы, гос. Совета и общественных организаций. Затем, программа приветственной речи, которая была представлена б. государю и которая выражала собой надежду на общественные организации, она была принята и произнесена без всякой поправки. Так что этот период, как и все политические воззрения б. государя, ознаменовывался доверием к промышленности, как к одному из факторов общественной деятельности, так и к самой общественной деятельности, а затем дальше пошли отношения более подозрительные. Так что, после отъезда государя в ставку, после этого знаменитого совещания совета министров, уже был провозглашен акт, как бы проверяющий мое отношение к промышленности. Совершенно втайне от меня была составлена инструкция генерал-адъютантам, которые должны были объехать заводы и проверить, в какой мере там идет правильно техническая деятельность, все ли станки заняты, все ли делает завод, что он может делать, и какое политическое настроение у рабочих. Одним словом, дана была задача лицам свиты, которую было по плечу исполнить разве технику, хорошо знакомому с политическим настроением, потому что обойти завод человеку неподготовленному, проверить, все ли он делает технически, что может делать и какое при этом политическое настроение, очевидно, не могло бы исполнить лицо из свиты. Вот этот акт указывает на некоторое недоверие к тому, что ему докладывалось об общественной деятельности и промышленности. Теперь, какие были результаты действий этих флигель-адъютантов, мне не известно, потому что мне эти отчеты никогда показаны не были.</w:t>
      </w:r>
    </w:p>
    <w:p w14:paraId="7F214C6E"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Но это показывало как бы некоторый акт необходимости поверки того, что делает промышленность.</w:t>
      </w:r>
    </w:p>
    <w:p w14:paraId="3B7E1970"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Апушкин. — Я еще раз вернусь к вопросу разоружения крепостей. </w:t>
      </w:r>
    </w:p>
    <w:p w14:paraId="6FA2B2BB"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Крепостной комитет мог участвовать в разработке этого плана?</w:t>
      </w:r>
    </w:p>
    <w:p w14:paraId="4FAF8FFE"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Крепостной комитет был в строгом отношении со строительным комитетом.</w:t>
      </w:r>
    </w:p>
    <w:p w14:paraId="1D33D80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А комиссия по вооружению крепостей?</w:t>
      </w:r>
    </w:p>
    <w:p w14:paraId="68F2FC00"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У нас одно время крепостным вопросом занимались очень много. Комиссия по вооружению крепостей занималась вопросом, какую пушку поставить, сколько поставить и сколько иметь снарядов. А крепостной комитет занимался вопросами, родственными этому, т.-е. в каком виде держать крепости, построить тот или иной форт. Вот два учреждения, которые друг друга дополняли. Но, тем не менее, широкую роль крепостей в обороне государства, в связи с действиями армии, этот технический комитет был бы не в силах продолжать.</w:t>
      </w:r>
    </w:p>
    <w:p w14:paraId="4CBA7114"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В совете по государственной обороне, который был учрежден в 1906 г., вопрос об упразднении крепостей не возбуждался?</w:t>
      </w:r>
    </w:p>
    <w:p w14:paraId="2790E761"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Нет, там этого не возбуждалось.</w:t>
      </w:r>
    </w:p>
    <w:p w14:paraId="7D094947"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Так что можно сделать вывод из того, что вы сказали по вопросу о разоружении крепостей, - что эта идея зародилась в каком-то небольшом круге лиц, где стоял Сухомлинов?</w:t>
      </w:r>
    </w:p>
    <w:p w14:paraId="684D2F36"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Несомненно.</w:t>
      </w:r>
    </w:p>
    <w:p w14:paraId="741925B9"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Апушкин. — Она официально не получала своего выражения в развитии докладов, в представлениях, совещаниях?</w:t>
      </w:r>
    </w:p>
    <w:p w14:paraId="03C914C2"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Ни в каком случае, потому что, когда я предложил Сухомлинову, не найдет ли он возможным обсудить это в особых совещаниях, он мне ответил, что он никаких таких совещаний не признает.</w:t>
      </w:r>
    </w:p>
    <w:p w14:paraId="542E1557"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Иванов. — Чем объясняется и чем вызывалось значительное увеличение наших резервов, которые были очень распространены и держались в разных городах?</w:t>
      </w:r>
    </w:p>
    <w:p w14:paraId="06F593A9"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Вы относите это к теперешнему времени?</w:t>
      </w:r>
    </w:p>
    <w:p w14:paraId="162E60D6"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Иванов. — Да.</w:t>
      </w:r>
    </w:p>
    <w:p w14:paraId="0C45AC31"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Поливанов. — Я могу сейчас дать объяснение. Когда я вступил в должность военного министра, никаких вообще резервов не было. Взгляд был вообще такой, что армия должна получать резервы отлично подготовленные, без этого лучше их не получать. Это был мой вывод на основании первого периода войны и личных -: разговоров на фронте, и второй вывод — страна не должна выпускать ничего лишнего, потому что лишняя пара рук нужна стране для той же обороны. В силу этого первый призыв новобранцев был при мне, когда я был министром (я был назначен в июле); депо раньше были пусты. Первый призыв новобранцев был сделан в августе, т.-е. после уборки урожая. Затем внутренняя система бытия этих резервов у меня была организована так, чтобы каждый полк был отнюдь не многочислен. Я считал  пределом, что полк должен быть из 4—5 тыс. чел.; при ином способе, обучение, воспитание и надзор делаются немыслимыми. </w:t>
      </w:r>
    </w:p>
    <w:p w14:paraId="67EB7AFC"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Третье положение — чтобы в армию высылать людей, здесь подготовленных не менее 2 — 3 мес. Все это' мне удавалось выдержать. Действительно, перед моим уходом я имел удовольствие узнать, что армия довольна тем обучением, которое получают новобранцы. Повторяю, призыв производился только после большого и внимательного изучения в совете министров возможности взять для интересов страны в ту или другую пору, тот или другой контингент, при чем принимали во внимание и интерес промышленности, интерес каменноугольного дела и т. д., потому что, когда я оставил министерство, в разных местах страны были полки ограниченного состава, которые находились в прямой связи со своим полком, т.-е. я поясню: известная дивизия на фронте имеет свой запасный полк в России и в этот </w:t>
      </w:r>
      <w:r w:rsidRPr="002F2FDF">
        <w:rPr>
          <w:rFonts w:ascii="Times New Roman" w:hAnsi="Times New Roman" w:cs="Times New Roman"/>
          <w:color w:val="000000" w:themeColor="text1"/>
          <w:sz w:val="16"/>
          <w:szCs w:val="16"/>
        </w:rPr>
        <w:lastRenderedPageBreak/>
        <w:t>запасный полк она высылает от себя раненых офицеров и солдат для обучения, а в периоды затишья на фронте она посылает в этот запасный полк и не раненых офицеров и солдат, как живых свидетелей боев и наиболее практических руководителей боевого обучения. Таким образом, дивизия приучается смотреть на этот полк как на свой полк, а полк смотрит на эту дивизию как на свою. Вот что удалось установить путем большой работы, большого опыта, и, повторяю, в армии были довольны этим обучением. После моего ухода из министерства, когда руководство попало в другие руки, может быть действовавшие не под влиянием такого опыта, который был у меня, такая согласованность интересов государства и армии в призыве была нарушена. Прежде всего это касалось порядка призывов и количества призывов, которые оказывались оторванными от интересов страны. Прежде всего призывы подписывались, делалось распоряжение о призыве и потом, как бывало, говорилось, что призыв нельзя было сделать иначе, потому что страна останется без хлеба. Тем не менее, интересы страны оставались нарушенными. А затем, после двух-трех недель отсрочки, все-таки ничего не выходило. Отсюда же истекало- и то, что постепенно эта наша норма, которую я определил 4 — 5 тысяч максимум на полк, без всякой надобности перегружалась и, например, в период революции мне известен был полк в окрестностях Петрограда, который имел 17.000. При этих условиях, очевидно, армия не получала ни хорошего комплектования, ни людей, в которых при неудовлетворительном житье, питании, продовольствии, гнездился тот дух недовольства, который для армии хорошего принести не мог. Таким образом, весь распад образовался на почве такого курса.</w:t>
      </w:r>
    </w:p>
    <w:p w14:paraId="4FDA15AC"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Председательствующий. — Значит, это не вызывалось необходимостью?</w:t>
      </w:r>
    </w:p>
    <w:p w14:paraId="7C7E588C"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По - моему, не вызывалось необходимостью.</w:t>
      </w:r>
    </w:p>
    <w:p w14:paraId="1617F6BC"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письме моем к бывшему государю от 16 августа указывался ряд мер, которые нужно принять в армии до его приезда. . . Письмо</w:t>
      </w:r>
    </w:p>
    <w:p w14:paraId="30615826"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это есть.</w:t>
      </w:r>
    </w:p>
    <w:p w14:paraId="217F791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Председательствующий (читает). Письмо, адресованное управляющему военным министерством его высокопревосходительству А. А. Поливанову. Ставка. Могилев. 14 августа 1915 г.</w:t>
      </w:r>
    </w:p>
    <w:p w14:paraId="3254D4D9"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«Глубокоуважаемый Алексей Андреевич. Во-первых, очень благодарю вас за ваше письмо от 12 августа, давшее мне ответ на вопрос, который я просил вас выяснить. Во-вторых, считаю необходимым поставить вас в известность, для доклада государю императору, о следующем положении. Я в письме доложил государю императору, что после получения мною его письма, я предоставил все войска, которые перегруппировываются и перевозятся, в полное распоряжение ген. Алексеева и не вмешивался в его распоряжения. </w:t>
      </w:r>
    </w:p>
    <w:p w14:paraId="7B7667D6"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Если же потребуется сочетание действий с юго-западным фронтом, то буду давать указания ген.-ад. Иванову, только переговорив с ген. Алексеевым, дабы это было в его духе и желании. </w:t>
      </w:r>
    </w:p>
    <w:p w14:paraId="087A893D"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Общая обстановка требует принятия весьма важных решений. </w:t>
      </w:r>
    </w:p>
    <w:p w14:paraId="5FEF8C73"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Временно следует изменить разграничение линии между северо-зап. фронтом и новым северным. Следует решить, брать ли еще один или два корпуса у юго-западного фронта. Если да, то это связано с его некоторым отходом. Наконец, куда направлять эти корпуса? Пишу Алексееву и прошу его высказаться. Проволочка времени большая, а время не ждет. Я не считаю себя в праве нравственно приказывать, раз начальником штаба избран ген. Алексеев.</w:t>
      </w:r>
    </w:p>
    <w:p w14:paraId="03EC06D3"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У меня веры в самого себя уже быть не может, вновь всем распоряжаться. </w:t>
      </w:r>
    </w:p>
    <w:p w14:paraId="10CE8779"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Приказывать мне можно, но я, при всем желании, с пользою исполнить это не в силах, раз ко мне доверия нет. Подобное переходное состояние долго продолжаться не может. Дело' страдает. О предстоящей перемене по новостям из Петрограда многим, вернее, большинству, известно. Сегодня за утренним докладом с полной ясностью выяснилось все, что я вам пишу. Уверен, что вы со мною согласитесь и доложите государю императору. Я считаю, что приезд государя императора в ставку необходим и безотлагателен. </w:t>
      </w:r>
    </w:p>
    <w:p w14:paraId="5E2FF6FC"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Жму крепко вашу руку и прошу верить в искренность моего глубокого уважения. Николай.</w:t>
      </w:r>
    </w:p>
    <w:p w14:paraId="71230D11"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Еще вопрос, это о ген. Янушкевиче. Государь император соизволил, чтобы он со мною ехал на Кавказ. Прошу исходатайствовать о назначении его моим помощником по военной части.</w:t>
      </w:r>
    </w:p>
    <w:p w14:paraId="68B9381D"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Место это вакантно'. Премного меня этим обяжете». — Вот этот текст.</w:t>
      </w:r>
    </w:p>
    <w:p w14:paraId="24AAA2F4"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Затем я упоминаю телеграмму. Действительно, вслед за этим письмом я получил телеграмму (передает телеграмму).</w:t>
      </w:r>
    </w:p>
    <w:p w14:paraId="413A2C21"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Председательствующий (читает). «По новым данным относительно общей обстановки, то, что я вам писал в письме, следует возвысить в квадрат, так как необходимо принять решения еще шире по масштабу и которые будут иметь влияние на гораздо более длительный период, Генерал-адъютант Николай».</w:t>
      </w:r>
    </w:p>
    <w:p w14:paraId="6FBBBE62"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Это как раз была та пора, когда в сознании некоторой опасности на северном направлении, в Петрограде решено было образовать третий фронт — северный, был северо-западный и вновь образовать северный с предназначением главнокомандования ген. Рузскому. Для того, чтобы образовать этот фронт, нужно было, во-первых, установить разграничительную линию м'ежду северным фронтом и этим, это— раз. А во-вторых, определить, из какого состава войска может быть образован северный фронт. Очевидно, к тем нашим силам, которые там находились, нужно было что-нибудь добавить. И вот предполагалось взять с юго-западного фронта. Получивши это письмо, я тогда и выразил мою мысль бывшему государю, с которою он согласился.</w:t>
      </w:r>
    </w:p>
    <w:p w14:paraId="1083B1FC"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Во-первых, я с положением вещей ознакомил -совет министров, а во-вторых, высказал, обдумав содержание письма и телеграммы.</w:t>
      </w:r>
    </w:p>
    <w:p w14:paraId="274FD81B"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Я пришел к убеждению о необходимости принятия ген. Алексеевым верховного главнокомандования. Ген. Алексеев в ту пору командовал северо-западным фронтом и находился в Слониме, а верховный главнокомандующий находился в Могилеве. Так как великий князь, по своему психологическому состоянию, отказывался принимать меры без ген. Алексеева, то нужен был Алексеев.</w:t>
      </w:r>
    </w:p>
    <w:p w14:paraId="3D224931"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Позвольте мне огласить письмо (читает). — «Предоставляю вашему императорскому величеству письмо верховного главнокомандующего, полученное мною вчера, и телеграмму, полученную после письма.</w:t>
      </w:r>
    </w:p>
    <w:p w14:paraId="675EBE48"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 содержанием их я сегодня ознакомил совет министров.</w:t>
      </w:r>
    </w:p>
    <w:p w14:paraId="38B6B60F"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Обдумав содержание письма и Телеграммы, я пришел к убеждению о необходимости теперь же приблизить ген. Алексеева к верховному главнокомандующему. Ген.-ад. Рузский вступит в командование северным фронтом в ночь с 17 на 18. Не благоугодно ли будет вашему императорскому величеству выразить верховному главнокомандующему вашу волю, чтобы ген. Эверт немедленно вступил в командование западным фронтом, сменил ген. Алексеева, которому прибыть в Могилев для принятия должности начальника штаба верховного главнокомандующего, и устройства своего штаба.</w:t>
      </w:r>
    </w:p>
    <w:p w14:paraId="5473387C"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прибытии его туда, могут быть изданы указы о назначении генералов Эверта и Алексеева на указанные им должности, и ген. Янушкевича, по желанию великого князя, помощником главнокомандующего на Кавказе. Таким образом, может создаться переходное положение до прибытия вашего императорского величества. </w:t>
      </w:r>
    </w:p>
    <w:p w14:paraId="634AE17C"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случай, если вашему величеству угодно будет дать мне какие-либо по сему указания лично, докладываю, что морской министр будет иметь завтра доклад весьма краткий. 16 августа 1915 г.» Вот все объяснения к этому письму.</w:t>
      </w:r>
    </w:p>
    <w:p w14:paraId="4AB9363A"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Председательствующий.— Отметьте телеграмму от 15 августа 1915 г. Генерал, вы мне это письмо тоже позволите?</w:t>
      </w:r>
    </w:p>
    <w:p w14:paraId="3E62234A"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Письмо это оглашалось в прошлый раз в моем подлиннике.</w:t>
      </w:r>
    </w:p>
    <w:p w14:paraId="55F0AE04"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Председательствующий. — Позвольте, мы его приобщим, а потом возвратим.</w:t>
      </w:r>
    </w:p>
    <w:p w14:paraId="0D50AB0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У меня есть еще один документ. Председатель Следственной Комиссии, спрашивал, не осталось ли у меня следов записи относительно совещания совета министров. Я сказал, что у меня есть совершенно непонятные наброски. В доказательство, насколько они непонятны, я их принес.</w:t>
      </w:r>
    </w:p>
    <w:p w14:paraId="6ABD90F1"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Председательствующий (просматривает предъявленный ему документ). Отметьте, что был представлен документ, но это частная запись совершенно непонятная.</w:t>
      </w:r>
    </w:p>
    <w:p w14:paraId="056E5B40"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Затем, мне было поручено привезти письмо, которое я получил от государя, по которому я был уволен.</w:t>
      </w:r>
    </w:p>
    <w:p w14:paraId="75AF56BA"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Председательствующий (читает). «Алексей Андреевич. К сожалению, я пришел к заключению, что мне нужно с вами расстаться.</w:t>
      </w:r>
    </w:p>
    <w:p w14:paraId="629F0B6A"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эту великую войну военный министр является, в действительности, главным начальником снабжения армии по воем видам довольствия. Кроме того, ему приходится объединять и направлять Деятельность военно-промышленных комитетов для той же единой цели снабжения и пополнения армии всякого рода запасов.</w:t>
      </w:r>
    </w:p>
    <w:p w14:paraId="0A85C671"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Деятельность последних мне не внушает доверия, а руководство ваше этой деятельностью недостаточно властно в моих глазах.</w:t>
      </w:r>
    </w:p>
    <w:p w14:paraId="491A83DD"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Выбор вашего преемника мною уже сделан. Ценю вашу службу и благодарю вас за девятимесячные непрерывные труды в это кипучее время. Уверен, что в государственном совете вы будете продолжать приносить ту пользу, на которую я рассчитываю.</w:t>
      </w:r>
    </w:p>
    <w:p w14:paraId="19419293"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Искренно уважающий вас и благодарный Николай.</w:t>
      </w:r>
    </w:p>
    <w:p w14:paraId="03A0CA5A"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Ц. Ставка. 13 марта 1916 года.»</w:t>
      </w:r>
    </w:p>
    <w:p w14:paraId="4A7F93F8"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Это письмо записано в стенограмму, а стенограмма удостоверяется нашим общим присутствием.</w:t>
      </w:r>
    </w:p>
    <w:p w14:paraId="1B5C708E"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Вместе с этим письмом мне была прислана служебная записка, которая находится в деле канцелярии военного министерства, которая заключала в себе требование представить указ о назначении военного министра ген. Шуваева, вместе с. указом об увольнении ген. Поливанова, а также проект об объявлении ему благодарности. В тот же день этот документ был послан, причем проект благодарности был написан, в обыкновенной шаблонной форме: «Государь император объявляет благодарность такому-то за исполнение такой-то службы». Когда эти указы вернулись, то на препроводительной записке была отметка:</w:t>
      </w:r>
    </w:p>
    <w:p w14:paraId="4456BACC"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«Объявление благодарности отменяю». Так, что, следовательно, в этот период времени государь передумал объявить мне благодарность, или что-нибудь было доведено до его сведения, что вызвало его еще большее негодование, что, думаю, на почве моего сочувствия деятельности общественных организаций, кстати, я хотел бы пополнить мое показание по вопросу, который мне был поставлен в прошлый раз: не было ли на моей памяти какого-нибудь разногласия с советом министров на почве деятельности общественных организаций, — у меня в тот раз совершенно выпало из головы, что, как раз накануне моего ухода, у меня было очень крупное разногласие с советом министров по сравнительно незначительному вопросу, но которое было доведено до сведения государя, как упорное разногласие одного против всех. Вопрос был следующий: для заготовительной деятельности на предметы снабжения заграницей были образованы два комитета — в Америке и Англии. </w:t>
      </w:r>
      <w:r w:rsidRPr="002F2FDF">
        <w:rPr>
          <w:rFonts w:ascii="Times New Roman" w:hAnsi="Times New Roman" w:cs="Times New Roman"/>
          <w:color w:val="000000" w:themeColor="text1"/>
          <w:sz w:val="16"/>
          <w:szCs w:val="16"/>
        </w:rPr>
        <w:lastRenderedPageBreak/>
        <w:t xml:space="preserve">Американский комитет, сконструированный раньше, в начале моей деятельности, заключал в себе, кроме технических представителей военного министерства, также и представителей общественных организаций. Английский комитет, образовавшийся, так сказать, случайно, сам представителей общественных организаций не имел. И когда мне понадобилось оформить существование английского комитета, то я ввел туда и представителей общественных организаций. </w:t>
      </w:r>
    </w:p>
    <w:p w14:paraId="4E48FB53"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Введение туда представителей общественных организаций сделано было не только по моему личному суждению, но и по постановлению особого совещания по обороне, председателем которого я являлся. Совет министров нашел это излишним. Тогда, 24 февраля 1916 года, особое совещание по обороне вновь постановило просить совет министров о включении представителей общественных организаций в состав лондонского комитета. Тем более, что за таковое включение высказалась и миссия вице-адмирала Русина, которая только что вернулась из Англии и которая была послана специально в интересах обороны. На английском крейсере была послана особая комиссия, под председательством начальника главного морского штаба, чтобы уладить случайные недоразумения, недомолвки с Англией, как с нашим крупным поставщиком. И вот эта комиссия, производя наблюдения по части разного рода заказов, пришла к заключению, что большим дефектом является отсутствие в этом комитете представителей общественных организаций. Тогда особое совещание вновь постановило просить ввести в состав лондонского комитета представителей общественных организаций. По этому поводу я встретил очень резкое возражение в совете министров. И на мою ссылку на то, что присутствие представителей общественных организаций в Америке приносит некоторые существенные плоды, отвечали,  что правительство их хочет оттуда исключить. Я остался в одиночестве, но, тем не менее, настаивал на том, чтобы это разногласие было представлено государю с моею мотивировкой. Это было сделано, и, может быть, это послужило причиною моего устранения.</w:t>
      </w:r>
    </w:p>
    <w:p w14:paraId="60DE8979"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Председательствующий. — А возражение последовало со стороны всех членов совещания?</w:t>
      </w:r>
    </w:p>
    <w:p w14:paraId="544CDD7E"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Первоначально ко мне присоединился морской министр, но когда я был болен. . .</w:t>
      </w:r>
    </w:p>
    <w:p w14:paraId="23DA1240"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Председательствующий. — Это было при Горемыкине?</w:t>
      </w:r>
    </w:p>
    <w:p w14:paraId="7FFAF52B"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Поливанов. — При Штюрмере. Это было в марте месяце. Но, затем, морской министр, впоследствии при подписании- журнала, тоже от этого отказался. Одним словом, мое мнение было единичное.</w:t>
      </w:r>
    </w:p>
    <w:p w14:paraId="599C5D3E"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Председательствующий. — Мы, генерал, по-видимому, больше вас беспокоить не можем (20677).</w:t>
      </w:r>
    </w:p>
    <w:p w14:paraId="5EB1FFA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p>
    <w:p w14:paraId="4F8461B7" w14:textId="77777777" w:rsidR="00714B68" w:rsidRPr="002F2FDF" w:rsidRDefault="00714B6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4A57B3B" w14:textId="77777777" w:rsidR="00714B68" w:rsidRPr="002F2FDF" w:rsidRDefault="00714B6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8F9158"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20 сентября (3 октября) 1917 г.</w:t>
      </w:r>
    </w:p>
    <w:p w14:paraId="56C78DF9"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Резолюция по Журналу №  195.  </w:t>
      </w:r>
    </w:p>
    <w:p w14:paraId="409E5B5B"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20 сентября 1917 г. </w:t>
      </w:r>
    </w:p>
    <w:p w14:paraId="162379FE"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21 сентября. — Резолюция Председателя Особого Совещания для обсуждения и объединения мероприятий по обороне государства по журналу Особого Совещания от 20 сентября 1917 года за №  195. </w:t>
      </w:r>
    </w:p>
    <w:p w14:paraId="6A0BC722"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60E35697"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По  докладу  реквизиционно-секвестрационной  комиссии  о  наложении секвестра на Паратовский завод Бенуа и передаче его в ведение  морского ведомства: </w:t>
      </w:r>
    </w:p>
    <w:p w14:paraId="0C7DC6A2"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признать желательным приобретение упомянутого завода в казну; </w:t>
      </w:r>
    </w:p>
    <w:p w14:paraId="5039FE48"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впредь до осуществления указанной меры принудительно занять  для нужд морского ведомства упомянутый завод и наложить арест на находящееся на территории завода имущество; </w:t>
      </w:r>
    </w:p>
    <w:p w14:paraId="5BDCEA4B"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выдать  Ижорскому  заводу  аванс  в  размере  восьмисот  пятидесяти  тысяч  (850  000)  рублей  в  счет  заказов  главного  артиллерийского  управления; </w:t>
      </w:r>
    </w:p>
    <w:p w14:paraId="45152CCB"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 в случае отказа г. Бенуа в исполнении данного заказа на ракеты при  изменившихся  условиях  аннулировать  означенный  заказ  с  возложением исполнения его на морское ведомство, с реквизицией в случае нужды  оборудования Бенуа, а в случае согласия на исполнение заказа на Паратовском же заводе, но в качестве арендатора помещений и тех или других  оборудований  морского  ведомства  —  предложить  последнему  оказать  всемерное содействие выполнению заказа. </w:t>
      </w:r>
    </w:p>
    <w:p w14:paraId="586430A6"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По  докладу  подготовительной  комиссии  по  артиллерийским  вопросам о выдаче правительственному правлению общества Путиловских  заводов ссуды: </w:t>
      </w:r>
    </w:p>
    <w:p w14:paraId="16AB466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разрешить выдачу названному правлению беспроцентной краткосрочной ссуды в размере тринадцати миллионов (13  000  000) рублей на  условиях, установленных совещанием сенатора Лазаревского; </w:t>
      </w:r>
    </w:p>
    <w:p w14:paraId="43B84E5C"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одобрить      мероприятия,      выработанные        подготовительной  комиссией; </w:t>
      </w:r>
    </w:p>
    <w:p w14:paraId="10A2E5B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направить  дело  о  Путиловском  заводе  для  соответствующих  заключений в совещание сенатора Лазаревского и в главный экономический комитет; </w:t>
      </w:r>
    </w:p>
    <w:p w14:paraId="545312C4"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  выяснить  с  заводоуправлением  и  заводским  комитетом  условия  скорейшего  и  наиболее  планомерного  сокращения  излишнего  числа  рабочих. </w:t>
      </w:r>
    </w:p>
    <w:p w14:paraId="1203C405"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3) По вопросу о продолжении деятельности завода «Сириус»: предложить главному артиллерийскому управлению дать заказ на изготовление  ручных гранат системы Дьяконова означенному заводу за счет сокращения заказа на эти гранаты заводу Николаева в Финляндии. </w:t>
      </w:r>
    </w:p>
    <w:p w14:paraId="3583ACFD"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Председательствующий в Особом Совещании П. Пальчинский. </w:t>
      </w:r>
    </w:p>
    <w:p w14:paraId="17903018"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Управляющий делами Особого Совещания генерал-лейтенант Бабиков (20625).</w:t>
      </w:r>
    </w:p>
    <w:p w14:paraId="1191B574" w14:textId="77777777" w:rsidR="00714B68" w:rsidRPr="002F2FDF" w:rsidRDefault="00714B68" w:rsidP="0083075A">
      <w:pPr>
        <w:spacing w:after="0" w:line="240" w:lineRule="auto"/>
        <w:jc w:val="both"/>
        <w:rPr>
          <w:rFonts w:ascii="Times New Roman" w:hAnsi="Times New Roman" w:cs="Times New Roman"/>
          <w:color w:val="000000" w:themeColor="text1"/>
          <w:sz w:val="16"/>
          <w:szCs w:val="16"/>
        </w:rPr>
      </w:pPr>
    </w:p>
    <w:p w14:paraId="2BDA01A4" w14:textId="77777777" w:rsidR="00593C72" w:rsidRPr="002F2FDF" w:rsidRDefault="00593C72"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20 сентября (3 октября) 1917 Броневое отделение Авточасти ГВТУ рассмотрело проект «Вездехода №2» в Журнале №1. Доклад делал инженер-техник отделения Л.Е. Земмеринг (чуть позже – в январе-феврале 1918г. – он возглавлял Исполком Совета Центробронь), указавший на целый ряд общих и частных недостатков «Вездехода №2». Мнение Броневого отделения стоит процитировать. Относительно «броневой рубки»: «а) слишком мала высота отдельных поясов, каковая препятствует проходу одного пулемета над другим, б) работа трех пулеметчиков одновременно по одному борту невозможна в виду недостаточного радиуса рубки, в) работа трех пулеметчиков в противоположных направлениях невозможна по той же причине, г) невозможно устройство термосифонного охлаждения пулеметов, д) не указаны расположение и конструкция сидений пулеметчиков, е) недопустимо катание башни по зубчатым рейкам на роликах.» И далее: «Комиссия находит рассматриваемый проект не заслуживающим внимания». Относительно движителя: «Ввиду того, что при движении по обычной дороге «Вездеход» перед обычным автомобилем не имеет никаких преимуществ, а наоборот имеет только недостатки, как то: отсутствие дифференциала, наличие одной ленты вместо двух и прочее, а при движении по рыхлой почве автомобиль вовсе не пойдет, ввиду наличия массы различных препятствий, вытекающих из несовершенства конструкции, неминуемого проскальзывания ленты по барабану и невозможности поворотов, Комиссия находит, что проект Вездехода конструктора Пороховщикова в его настоящем виде не заслуживает никакого внимания». Вполне исчерпывающий документ (20250).</w:t>
      </w:r>
    </w:p>
    <w:p w14:paraId="657DCD7D" w14:textId="77777777" w:rsidR="00593C72" w:rsidRPr="002F2FDF" w:rsidRDefault="00593C72" w:rsidP="0083075A">
      <w:pPr>
        <w:spacing w:after="0" w:line="240" w:lineRule="auto"/>
        <w:jc w:val="both"/>
        <w:rPr>
          <w:rFonts w:ascii="Times New Roman" w:hAnsi="Times New Roman" w:cs="Times New Roman"/>
          <w:color w:val="000000" w:themeColor="text1"/>
          <w:sz w:val="16"/>
          <w:szCs w:val="16"/>
        </w:rPr>
      </w:pPr>
    </w:p>
    <w:p w14:paraId="39A61B61" w14:textId="77777777" w:rsidR="00896779"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4752FAF" w14:textId="77777777" w:rsidR="00896779" w:rsidRPr="002F2FDF" w:rsidRDefault="0089677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B31615" w14:textId="77777777" w:rsidR="00752B3E" w:rsidRPr="002F2FDF" w:rsidRDefault="00752B3E" w:rsidP="0083075A">
      <w:pPr>
        <w:pStyle w:val="ae"/>
        <w:spacing w:before="0" w:after="0"/>
        <w:jc w:val="both"/>
        <w:rPr>
          <w:color w:val="000000" w:themeColor="text1"/>
          <w:kern w:val="2"/>
          <w:sz w:val="16"/>
          <w:szCs w:val="16"/>
        </w:rPr>
      </w:pPr>
      <w:r w:rsidRPr="002F2FDF">
        <w:rPr>
          <w:rStyle w:val="ucoz-forum-post"/>
          <w:bCs/>
          <w:color w:val="000000" w:themeColor="text1"/>
          <w:kern w:val="2"/>
          <w:sz w:val="16"/>
          <w:szCs w:val="16"/>
        </w:rPr>
        <w:t xml:space="preserve">20 сентября (3 октября) </w:t>
      </w:r>
      <w:r w:rsidRPr="002F2FDF">
        <w:rPr>
          <w:color w:val="000000" w:themeColor="text1"/>
          <w:kern w:val="2"/>
          <w:sz w:val="16"/>
          <w:szCs w:val="16"/>
        </w:rPr>
        <w:t>в 1917 году русские самолеты бомбили немецкие тылы в районе Сморгони (на северо-востоке Гродненской области современной Белоруссии) (17045).</w:t>
      </w:r>
    </w:p>
    <w:p w14:paraId="0762DE60" w14:textId="77777777" w:rsidR="00752B3E" w:rsidRPr="002F2FDF" w:rsidRDefault="00752B3E" w:rsidP="0083075A">
      <w:pPr>
        <w:pStyle w:val="ae"/>
        <w:spacing w:before="0" w:after="0"/>
        <w:jc w:val="both"/>
        <w:rPr>
          <w:rStyle w:val="ucoz-forum-post"/>
          <w:bCs/>
          <w:color w:val="000000" w:themeColor="text1"/>
          <w:kern w:val="2"/>
          <w:sz w:val="16"/>
          <w:szCs w:val="16"/>
        </w:rPr>
      </w:pPr>
    </w:p>
    <w:p w14:paraId="3D0E3EF8" w14:textId="34AE3BBE" w:rsidR="00C92259" w:rsidRPr="00FB4F67" w:rsidRDefault="00C92259" w:rsidP="0083075A">
      <w:pPr>
        <w:spacing w:after="0" w:line="240" w:lineRule="auto"/>
        <w:jc w:val="both"/>
        <w:rPr>
          <w:rFonts w:ascii="Times New Roman" w:hAnsi="Times New Roman" w:cs="Times New Roman"/>
          <w:color w:val="0070C0"/>
          <w:sz w:val="16"/>
          <w:szCs w:val="16"/>
        </w:rPr>
      </w:pPr>
      <w:bookmarkStart w:id="317" w:name="bookmark958"/>
      <w:bookmarkStart w:id="318" w:name="_Hlk52727428"/>
      <w:bookmarkStart w:id="319" w:name="_Hlk52727490"/>
      <w:r>
        <w:rPr>
          <w:rFonts w:ascii="Times New Roman" w:hAnsi="Times New Roman" w:cs="Times New Roman"/>
          <w:color w:val="0070C0"/>
          <w:sz w:val="16"/>
          <w:szCs w:val="16"/>
        </w:rPr>
        <w:t>20 сентября (</w:t>
      </w:r>
      <w:r w:rsidRPr="00FB4F67">
        <w:rPr>
          <w:rFonts w:ascii="Times New Roman" w:hAnsi="Times New Roman" w:cs="Times New Roman"/>
          <w:color w:val="0070C0"/>
          <w:sz w:val="16"/>
          <w:szCs w:val="16"/>
        </w:rPr>
        <w:t>3 октября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воздушная эскадрилья противника совершила налет на д. Красное (юго-восточнее Гржималова), сбросив 80 бомб. В результате было убито три и ранено четыре нижних чина, погибло также несколько лошадей (23405).</w:t>
      </w:r>
    </w:p>
    <w:bookmarkEnd w:id="317"/>
    <w:p w14:paraId="6692740D" w14:textId="77777777" w:rsidR="00C92259" w:rsidRPr="00FB4F67" w:rsidRDefault="00C92259" w:rsidP="0083075A">
      <w:pPr>
        <w:spacing w:after="0" w:line="240" w:lineRule="auto"/>
        <w:jc w:val="both"/>
        <w:rPr>
          <w:rFonts w:ascii="Times New Roman" w:hAnsi="Times New Roman" w:cs="Times New Roman"/>
          <w:color w:val="0070C0"/>
          <w:sz w:val="16"/>
          <w:szCs w:val="16"/>
        </w:rPr>
      </w:pPr>
    </w:p>
    <w:p w14:paraId="46668CDE" w14:textId="77777777" w:rsidR="002E3319" w:rsidRPr="002F2FDF" w:rsidRDefault="002E33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20 сентября (3 октября) 1917 г. в приложении к разведы</w:t>
      </w:r>
      <w:r w:rsidRPr="002F2FDF">
        <w:rPr>
          <w:rFonts w:ascii="Times New Roman" w:hAnsi="Times New Roman" w:cs="Times New Roman"/>
          <w:color w:val="000000" w:themeColor="text1"/>
          <w:sz w:val="16"/>
          <w:szCs w:val="16"/>
        </w:rPr>
        <w:softHyphen/>
        <w:t>вательной сводке штаба Юго-Западного фронта от отмечалось:</w:t>
      </w:r>
    </w:p>
    <w:p w14:paraId="6736EC07" w14:textId="77777777" w:rsidR="002E3319" w:rsidRPr="002F2FDF" w:rsidRDefault="002E3319" w:rsidP="0083075A">
      <w:pPr>
        <w:pStyle w:val="67"/>
        <w:shd w:val="clear" w:color="auto" w:fill="auto"/>
        <w:spacing w:before="0" w:line="240" w:lineRule="auto"/>
        <w:jc w:val="both"/>
        <w:rPr>
          <w:b w:val="0"/>
          <w:bCs w:val="0"/>
          <w:color w:val="000000" w:themeColor="text1"/>
          <w:sz w:val="16"/>
          <w:szCs w:val="16"/>
        </w:rPr>
      </w:pPr>
      <w:r w:rsidRPr="002F2FDF">
        <w:rPr>
          <w:b w:val="0"/>
          <w:bCs w:val="0"/>
          <w:color w:val="000000" w:themeColor="text1"/>
          <w:sz w:val="16"/>
          <w:szCs w:val="16"/>
        </w:rPr>
        <w:t>[13 сентября 1917 г.] в районе Заострова неприя</w:t>
      </w:r>
      <w:r w:rsidRPr="002F2FDF">
        <w:rPr>
          <w:b w:val="0"/>
          <w:bCs w:val="0"/>
          <w:color w:val="000000" w:themeColor="text1"/>
          <w:sz w:val="16"/>
          <w:szCs w:val="16"/>
        </w:rPr>
        <w:softHyphen/>
        <w:t>тельский лётчик атаковал наш змейковый аэростат, облил его горючей жидкостью и сжёг; при падении на</w:t>
      </w:r>
      <w:r w:rsidRPr="002F2FDF">
        <w:rPr>
          <w:b w:val="0"/>
          <w:bCs w:val="0"/>
          <w:color w:val="000000" w:themeColor="text1"/>
          <w:sz w:val="16"/>
          <w:szCs w:val="16"/>
        </w:rPr>
        <w:softHyphen/>
        <w:t>блюдатель разбился.</w:t>
      </w:r>
    </w:p>
    <w:p w14:paraId="4109A382" w14:textId="77777777" w:rsidR="002E3319" w:rsidRPr="002F2FDF" w:rsidRDefault="002E3319" w:rsidP="0083075A">
      <w:pPr>
        <w:pStyle w:val="67"/>
        <w:shd w:val="clear" w:color="auto" w:fill="auto"/>
        <w:spacing w:before="0" w:line="240" w:lineRule="auto"/>
        <w:jc w:val="both"/>
        <w:rPr>
          <w:b w:val="0"/>
          <w:bCs w:val="0"/>
          <w:color w:val="000000" w:themeColor="text1"/>
          <w:sz w:val="16"/>
          <w:szCs w:val="16"/>
        </w:rPr>
      </w:pPr>
      <w:r w:rsidRPr="002F2FDF">
        <w:rPr>
          <w:b w:val="0"/>
          <w:bCs w:val="0"/>
          <w:color w:val="000000" w:themeColor="text1"/>
          <w:sz w:val="16"/>
          <w:szCs w:val="16"/>
        </w:rPr>
        <w:t>16 сентября неприятельский истребитель, атако</w:t>
      </w:r>
      <w:r w:rsidRPr="002F2FDF">
        <w:rPr>
          <w:b w:val="0"/>
          <w:bCs w:val="0"/>
          <w:color w:val="000000" w:themeColor="text1"/>
          <w:sz w:val="16"/>
          <w:szCs w:val="16"/>
        </w:rPr>
        <w:softHyphen/>
        <w:t>вавший наш змейковый аэростат, был сбит ружейным и пулемётным огнём близ дер. Безодня, лейтенант и лётчик ст. унтер-офицер были взяты в плен, а аппа</w:t>
      </w:r>
      <w:r w:rsidRPr="002F2FDF">
        <w:rPr>
          <w:b w:val="0"/>
          <w:bCs w:val="0"/>
          <w:color w:val="000000" w:themeColor="text1"/>
          <w:sz w:val="16"/>
          <w:szCs w:val="16"/>
        </w:rPr>
        <w:softHyphen/>
        <w:t>рат им удалось сжечь.</w:t>
      </w:r>
    </w:p>
    <w:p w14:paraId="29D27956" w14:textId="77777777" w:rsidR="002E3319" w:rsidRPr="002F2FDF" w:rsidRDefault="002E3319" w:rsidP="0083075A">
      <w:pPr>
        <w:pStyle w:val="67"/>
        <w:shd w:val="clear" w:color="auto" w:fill="auto"/>
        <w:spacing w:before="0" w:line="240" w:lineRule="auto"/>
        <w:jc w:val="both"/>
        <w:rPr>
          <w:b w:val="0"/>
          <w:bCs w:val="0"/>
          <w:color w:val="000000" w:themeColor="text1"/>
          <w:sz w:val="16"/>
          <w:szCs w:val="16"/>
        </w:rPr>
      </w:pPr>
      <w:r w:rsidRPr="002F2FDF">
        <w:rPr>
          <w:b w:val="0"/>
          <w:bCs w:val="0"/>
          <w:color w:val="000000" w:themeColor="text1"/>
          <w:sz w:val="16"/>
          <w:szCs w:val="16"/>
        </w:rPr>
        <w:t>13 сентября поручик Свешников в районе Брод круто снизил аэростат противника, а неприятельский лётчик в районе Кресовце атаковал наш аэростат, но потом артиллерией был отогнан (20120).</w:t>
      </w:r>
    </w:p>
    <w:p w14:paraId="0A859A2F" w14:textId="77777777" w:rsidR="002E3319" w:rsidRPr="002F2FDF" w:rsidRDefault="002E3319" w:rsidP="0083075A">
      <w:pPr>
        <w:pStyle w:val="67"/>
        <w:shd w:val="clear" w:color="auto" w:fill="auto"/>
        <w:spacing w:before="0" w:line="240" w:lineRule="auto"/>
        <w:jc w:val="both"/>
        <w:rPr>
          <w:color w:val="000000" w:themeColor="text1"/>
          <w:sz w:val="16"/>
          <w:szCs w:val="16"/>
        </w:rPr>
      </w:pPr>
    </w:p>
    <w:bookmarkEnd w:id="318"/>
    <w:bookmarkEnd w:id="319"/>
    <w:p w14:paraId="76F9CBEF" w14:textId="77777777" w:rsidR="00896779" w:rsidRPr="002F2FDF" w:rsidRDefault="00896779" w:rsidP="0083075A">
      <w:pPr>
        <w:pStyle w:val="ae"/>
        <w:spacing w:before="0" w:after="0"/>
        <w:jc w:val="both"/>
        <w:rPr>
          <w:color w:val="000000" w:themeColor="text1"/>
          <w:kern w:val="2"/>
          <w:sz w:val="16"/>
          <w:szCs w:val="16"/>
        </w:rPr>
      </w:pPr>
      <w:r w:rsidRPr="002F2FDF">
        <w:rPr>
          <w:rStyle w:val="ucoz-forum-post"/>
          <w:bCs/>
          <w:color w:val="000000" w:themeColor="text1"/>
          <w:kern w:val="2"/>
          <w:sz w:val="16"/>
          <w:szCs w:val="16"/>
        </w:rPr>
        <w:t xml:space="preserve">20 сентября (3 октября) </w:t>
      </w:r>
      <w:r w:rsidRPr="002F2FDF">
        <w:rPr>
          <w:color w:val="000000" w:themeColor="text1"/>
          <w:kern w:val="2"/>
          <w:sz w:val="16"/>
          <w:szCs w:val="16"/>
        </w:rPr>
        <w:t>в 1917 году военный министр Александр Верховский написал в своем дневнике: «Чем дальше, тем труднее работать в обстановке резких противоречий и отсутствия объединяющей национальной идеи в массах. Омский, Казанский, Туркестанский военные округа «самоопределяются», выбирают себе командующих сами и не принимают тех, которых назначает Временное правительство. Анархическая вспышка сразу в трех местах Московского округа подавлена сегодня силой оружия, но командующий войсками доносит, что если такая вспышка повторится, то ему едва ли удастся добиться тех же результатов» (17045).</w:t>
      </w:r>
    </w:p>
    <w:p w14:paraId="68117F77" w14:textId="77777777" w:rsidR="00896779" w:rsidRPr="002F2FDF" w:rsidRDefault="00896779"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53EAF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86923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7B1A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сентября (</w:t>
      </w:r>
      <w:r w:rsidR="00680400" w:rsidRPr="002F2FDF">
        <w:rPr>
          <w:rFonts w:ascii="Times New Roman" w:hAnsi="Times New Roman" w:cs="Times New Roman"/>
          <w:color w:val="000000" w:themeColor="text1"/>
          <w:kern w:val="2"/>
          <w:sz w:val="16"/>
          <w:szCs w:val="16"/>
        </w:rPr>
        <w:t>3</w:t>
      </w:r>
      <w:r w:rsidRPr="002F2FDF">
        <w:rPr>
          <w:rFonts w:ascii="Times New Roman" w:hAnsi="Times New Roman" w:cs="Times New Roman"/>
          <w:color w:val="000000" w:themeColor="text1"/>
          <w:kern w:val="2"/>
          <w:sz w:val="16"/>
          <w:szCs w:val="16"/>
        </w:rPr>
        <w:t xml:space="preserve"> октября) 1917 на демократическом совещании в качестве представительного органа всех российских партий до созыва УС создается Временный совет Российской республики (Предпарламент), который был распущен 35 октября (7 ноября) 1917 (3481).</w:t>
      </w:r>
    </w:p>
    <w:p w14:paraId="21BC80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91D432"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20 сентября (3 октября) </w:t>
      </w:r>
      <w:r w:rsidRPr="002F2FDF">
        <w:rPr>
          <w:rFonts w:ascii="Times New Roman" w:hAnsi="Times New Roman" w:cs="Times New Roman"/>
          <w:color w:val="000000" w:themeColor="text1"/>
          <w:kern w:val="2"/>
          <w:sz w:val="16"/>
          <w:szCs w:val="16"/>
        </w:rPr>
        <w:t>в 1917 году на Демократическом совещании в качестве представительного органа всех российских партий до созыва Учредительного собрания создается Временный совет Российской республики (Предпарламент). Распущен Петроградским Временным Революционным Комитетом 7 ноября (25 октября по старому стилю) (14788).</w:t>
      </w:r>
    </w:p>
    <w:p w14:paraId="1086690B"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p>
    <w:p w14:paraId="0F788D8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сентября (3 октября) 1917 царский генерал П. Скоропадский избран главой украинской казацкой Рады (4962).</w:t>
      </w:r>
    </w:p>
    <w:p w14:paraId="1EDA7FA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5F52E7" w14:textId="77777777" w:rsidR="000A625D"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46FC34B8" w14:textId="77777777" w:rsidR="000A625D" w:rsidRPr="002F2FDF" w:rsidRDefault="000A625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7F57A6"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20 сентября (3 октября) 1917 г. </w:t>
      </w:r>
      <w:r w:rsidRPr="002F2FDF">
        <w:rPr>
          <w:rFonts w:ascii="Times New Roman" w:hAnsi="Times New Roman" w:cs="Times New Roman"/>
          <w:color w:val="000000" w:themeColor="text1"/>
          <w:kern w:val="2"/>
          <w:sz w:val="16"/>
          <w:szCs w:val="16"/>
        </w:rPr>
        <w:t>Письмо управляющего Министерством финансов М. В. Бернацкого А. М. Петряеву о положении дел с французскими кредитами.</w:t>
      </w:r>
    </w:p>
    <w:p w14:paraId="34526F38" w14:textId="5DA1AFAD"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557</w:t>
      </w:r>
    </w:p>
    <w:p w14:paraId="5981911B" w14:textId="2C8A2954"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Второго деп-та, 1—5, «Война», д. 284, л. 228—228 об. Подлинник.</w:t>
      </w:r>
    </w:p>
    <w:p w14:paraId="5AA8A9E0" w14:textId="77777777" w:rsidR="000A625D" w:rsidRPr="002F2FDF" w:rsidRDefault="000A625D" w:rsidP="0083075A">
      <w:pPr>
        <w:pStyle w:val="ae"/>
        <w:spacing w:before="0" w:after="0"/>
        <w:jc w:val="both"/>
        <w:rPr>
          <w:color w:val="000000" w:themeColor="text1"/>
          <w:kern w:val="2"/>
          <w:sz w:val="16"/>
          <w:szCs w:val="16"/>
        </w:rPr>
      </w:pPr>
      <w:r w:rsidRPr="002F2FDF">
        <w:rPr>
          <w:color w:val="000000" w:themeColor="text1"/>
          <w:kern w:val="2"/>
          <w:sz w:val="16"/>
          <w:szCs w:val="16"/>
        </w:rPr>
        <w:t>Милостивый государь, Александр Михайлович.</w:t>
      </w:r>
    </w:p>
    <w:p w14:paraId="1389D3E3" w14:textId="455EE7C8" w:rsidR="000A625D" w:rsidRPr="002F2FDF" w:rsidRDefault="000A625D" w:rsidP="0083075A">
      <w:pPr>
        <w:pStyle w:val="rtejustify"/>
        <w:spacing w:before="0" w:after="0"/>
        <w:rPr>
          <w:color w:val="000000" w:themeColor="text1"/>
          <w:kern w:val="2"/>
          <w:sz w:val="16"/>
          <w:szCs w:val="16"/>
        </w:rPr>
      </w:pPr>
      <w:r w:rsidRPr="002F2FDF">
        <w:rPr>
          <w:color w:val="000000" w:themeColor="text1"/>
          <w:kern w:val="2"/>
          <w:sz w:val="16"/>
          <w:szCs w:val="16"/>
        </w:rPr>
        <w:t>При письме от 15 сентября с. г. за № 2373</w:t>
      </w:r>
      <w:r w:rsidR="00E52569">
        <w:rPr>
          <w:color w:val="000000" w:themeColor="text1"/>
          <w:kern w:val="2"/>
          <w:sz w:val="16"/>
          <w:szCs w:val="16"/>
        </w:rPr>
        <w:t xml:space="preserve"> </w:t>
      </w:r>
      <w:r w:rsidRPr="002F2FDF">
        <w:rPr>
          <w:color w:val="000000" w:themeColor="text1"/>
          <w:kern w:val="2"/>
          <w:sz w:val="16"/>
          <w:szCs w:val="16"/>
        </w:rPr>
        <w:t>Вы препроводили мне телеграмму поверенного в делах в Париже относительно состояния кредитов, открытых нам французским правительством. Вследствие сего по затронутым в телеграмме г. Севастопуло вопросам считаю долгом сообщить следующее.</w:t>
      </w:r>
    </w:p>
    <w:p w14:paraId="29927951" w14:textId="77777777" w:rsidR="000A625D" w:rsidRPr="002F2FDF" w:rsidRDefault="000A625D" w:rsidP="0083075A">
      <w:pPr>
        <w:pStyle w:val="rtejustify"/>
        <w:spacing w:before="0" w:after="0"/>
        <w:rPr>
          <w:color w:val="000000" w:themeColor="text1"/>
          <w:kern w:val="2"/>
          <w:sz w:val="16"/>
          <w:szCs w:val="16"/>
        </w:rPr>
      </w:pPr>
      <w:r w:rsidRPr="002F2FDF">
        <w:rPr>
          <w:color w:val="000000" w:themeColor="text1"/>
          <w:kern w:val="2"/>
          <w:sz w:val="16"/>
          <w:szCs w:val="16"/>
        </w:rPr>
        <w:t>На основании заключенного 4 октября 1915 г. финансового соглашения с Францией, продолженного в 1916 г., нам предоставляется ежемесячно, до окончания войны, кредит в 125 млн фр., из которого производятся платежи по заказам и нашим займам. До настоящего времени помянутые ежемесячные кредиты расходовались нами в зависимости от сроков платежей по заказам и займам более или менее равномерно, и, как, впрочем, указано в телеграмме г. Севастопуло, у нас не только не было кассового дефицита, но к 1 сентября имелся остаток, превышающий 600 млн фр. Однако, принимая во внимание значительность помещенных во Франции заказов, по которым предстоит производить в будущем платежи, являлось бы целесообразным повысить кредит до 150 млн фр. ежемесячно, что давало бы возможность произвести расчеты по предстоящим платежам в более короткий срок.</w:t>
      </w:r>
    </w:p>
    <w:p w14:paraId="7344E7B2" w14:textId="77777777" w:rsidR="000A625D" w:rsidRPr="002F2FDF" w:rsidRDefault="000A625D" w:rsidP="0083075A">
      <w:pPr>
        <w:pStyle w:val="rtejustify"/>
        <w:spacing w:before="0" w:after="0"/>
        <w:rPr>
          <w:color w:val="000000" w:themeColor="text1"/>
          <w:kern w:val="2"/>
          <w:sz w:val="16"/>
          <w:szCs w:val="16"/>
        </w:rPr>
      </w:pPr>
      <w:r w:rsidRPr="002F2FDF">
        <w:rPr>
          <w:color w:val="000000" w:themeColor="text1"/>
          <w:kern w:val="2"/>
          <w:sz w:val="16"/>
          <w:szCs w:val="16"/>
        </w:rPr>
        <w:t>Вопрос об увеличении французского кредита до указанной выше нормы в 150 млн фр. в месяц в последнее время не поднимался Министерством финансов ввиду опасений, что при настоящих политических условиях такого рода просьба может встретить со стороны французского правительства возражения. Однако в случае, если Министерство иностранных дел полагает, что возбуждение вопроса об увеличении кредитов ныне представляется возможным, Министерство финансов находит это, по указанным выше соображениям, желательным.</w:t>
      </w:r>
    </w:p>
    <w:p w14:paraId="35799E9C" w14:textId="77777777" w:rsidR="000A625D" w:rsidRPr="002F2FDF" w:rsidRDefault="000A625D" w:rsidP="0083075A">
      <w:pPr>
        <w:pStyle w:val="rtejustify"/>
        <w:spacing w:before="0" w:after="0"/>
        <w:rPr>
          <w:color w:val="000000" w:themeColor="text1"/>
          <w:kern w:val="2"/>
          <w:sz w:val="16"/>
          <w:szCs w:val="16"/>
        </w:rPr>
      </w:pPr>
      <w:r w:rsidRPr="002F2FDF">
        <w:rPr>
          <w:color w:val="000000" w:themeColor="text1"/>
          <w:kern w:val="2"/>
          <w:sz w:val="16"/>
          <w:szCs w:val="16"/>
        </w:rPr>
        <w:t>Примите уверение в совершенном почтении и истинной преданности.</w:t>
      </w:r>
    </w:p>
    <w:p w14:paraId="15C6A5C2" w14:textId="77777777" w:rsidR="000A625D" w:rsidRPr="002F2FDF" w:rsidRDefault="000A625D"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М. Бернацкий (15171).</w:t>
      </w:r>
    </w:p>
    <w:p w14:paraId="00D1CA37"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p>
    <w:p w14:paraId="0B473F14"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сентября</w:t>
      </w:r>
      <w:r w:rsidRPr="002F2FDF">
        <w:rPr>
          <w:rStyle w:val="af0"/>
          <w:rFonts w:ascii="Times New Roman" w:hAnsi="Times New Roman" w:cs="Times New Roman"/>
          <w:i w:val="0"/>
          <w:color w:val="000000" w:themeColor="text1"/>
          <w:kern w:val="2"/>
          <w:sz w:val="16"/>
          <w:szCs w:val="16"/>
        </w:rPr>
        <w:t xml:space="preserve"> (3 октября)</w:t>
      </w:r>
      <w:r w:rsidRPr="002F2FDF">
        <w:rPr>
          <w:rFonts w:ascii="Times New Roman" w:hAnsi="Times New Roman" w:cs="Times New Roman"/>
          <w:color w:val="000000" w:themeColor="text1"/>
          <w:kern w:val="2"/>
          <w:sz w:val="16"/>
          <w:szCs w:val="16"/>
        </w:rPr>
        <w:t xml:space="preserve"> 1917 Докладная записка правления Анонимного об-ва для эксплуатации машиностроительного и котельного заводов «Альберт Нее, Вилъде и К°» в Таганроге председателю Особого совещания по обороне о критическом положении на заводе и предстоящем его закрытии в связи с отсутствием заказов.</w:t>
      </w:r>
      <w:hyperlink r:id="rId536" w:history="1">
        <w:r w:rsidRPr="002F2FDF">
          <w:rPr>
            <w:rFonts w:ascii="Times New Roman" w:hAnsi="Times New Roman" w:cs="Times New Roman"/>
            <w:color w:val="000000" w:themeColor="text1"/>
            <w:kern w:val="2"/>
            <w:sz w:val="16"/>
            <w:szCs w:val="16"/>
          </w:rPr>
          <w:t>Скрыть Реквизиты</w:t>
        </w:r>
      </w:hyperlink>
    </w:p>
    <w:p w14:paraId="474BA45A"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152</w:t>
      </w:r>
    </w:p>
    <w:p w14:paraId="3BECFDFB"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369, оп. 14, д. 19, л. 28. Подлинник.</w:t>
      </w:r>
    </w:p>
    <w:p w14:paraId="0DD849EC"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Настоящим считаем необходимым поставить в известность Особое совещание о критическом положевии нашего завода ввиду отсутствия заказов, с одной стороны, и неполучения сырья для выполнения имеющихся, с другой стороны.</w:t>
      </w:r>
    </w:p>
    <w:p w14:paraId="3D989E01"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Наше предприятие располагает:</w:t>
      </w:r>
    </w:p>
    <w:p w14:paraId="22F259D7"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Мостовым стропильным цехом, оборудованным для ежемесячного выпуска 30 000 пуд. мостовых ферм, в настоящее время бездействующим за неимением заказов; дальнейшее неполучение заказов вынудит нас закрыть его совсем.</w:t>
      </w:r>
    </w:p>
    <w:p w14:paraId="466D5FE7"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Котельным цехом для изготовления паровых котлов, в котором имеется достаточное количество заказов, но за неполучением необходимых материалов котельный цех также будет закрыт.</w:t>
      </w:r>
    </w:p>
    <w:p w14:paraId="6D04EFBD"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Литейным отделением, прекрасно оборудованным для отливки крупных изделий, но за отсутствием заказов производительность последних месяцев пала до 3000—4000 пуд. вместо нормальной производительности в 12 000—14 000 пуд. ежемесячно.</w:t>
      </w:r>
    </w:p>
    <w:p w14:paraId="716E2928"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также располагает кузнечным и механическим отделениями, работающими для других цехов.</w:t>
      </w:r>
    </w:p>
    <w:p w14:paraId="2A2DDB58"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данное время завод принял заказы на ремонт паровозов и запасные части для вагонов. Общее количество рабочих завода 750 чел.</w:t>
      </w:r>
    </w:p>
    <w:p w14:paraId="3C448387"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Своим расположением в центре металлургической и горнозаводской промышленности завод находится в самых благоприятных условиях для выполнения заказов экстренного характера, между тем эти заказы сконцентрированы на петроградских заводах, где отсутствуют сырье, топливо, подвоз которого загромождает и вносит полное расстройство транспорта.</w:t>
      </w:r>
    </w:p>
    <w:p w14:paraId="2B76B39A"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изложенного покорнейше просим известить нас, не имеет ли Особое совещание по обороне к передаче каких-либо заказов на предметы нашей специальности и не могло бы министерство оказать содействие в смысле перемещения части заказов с петроградских заводов на заводы Юга России и, в частности, на наш завод.</w:t>
      </w:r>
    </w:p>
    <w:p w14:paraId="03D4E175"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доверенности директора-распорядителя (15663).</w:t>
      </w:r>
    </w:p>
    <w:p w14:paraId="18D9F60F"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p>
    <w:p w14:paraId="7CC16BE5"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20 сентября (3 октября) 1917 г.</w:t>
      </w:r>
      <w:r w:rsidRPr="002F2FDF">
        <w:rPr>
          <w:rFonts w:ascii="Times New Roman" w:hAnsi="Times New Roman" w:cs="Times New Roman"/>
          <w:color w:val="000000" w:themeColor="text1"/>
          <w:kern w:val="2"/>
          <w:sz w:val="16"/>
          <w:szCs w:val="16"/>
        </w:rPr>
        <w:t xml:space="preserve"> Письмо товарища министра иностранных дел А. М. Петряева товарищу министра торговли и промышленности А. С. Орлову по вопросу о разрешении американским предпринимателям торговли на территории Дальнего Востока.</w:t>
      </w:r>
    </w:p>
    <w:p w14:paraId="23553737" w14:textId="3361BFE8"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471-472</w:t>
      </w:r>
    </w:p>
    <w:p w14:paraId="1733F8BF" w14:textId="107CA976"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ЦГИАЛ, ф. 23, оп. 15, д. 733, лл. 2а—26. Заверенная копия.</w:t>
      </w:r>
    </w:p>
    <w:p w14:paraId="3FDA80F7" w14:textId="77777777" w:rsidR="000A625D" w:rsidRPr="002F2FDF" w:rsidRDefault="000A625D" w:rsidP="0083075A">
      <w:pPr>
        <w:pStyle w:val="ae"/>
        <w:spacing w:before="0" w:after="0"/>
        <w:jc w:val="both"/>
        <w:rPr>
          <w:color w:val="000000" w:themeColor="text1"/>
          <w:kern w:val="2"/>
          <w:sz w:val="16"/>
          <w:szCs w:val="16"/>
        </w:rPr>
      </w:pPr>
      <w:r w:rsidRPr="002F2FDF">
        <w:rPr>
          <w:color w:val="000000" w:themeColor="text1"/>
          <w:kern w:val="2"/>
          <w:sz w:val="16"/>
          <w:szCs w:val="16"/>
        </w:rPr>
        <w:t>Милостивый государь, Александр Семенович!</w:t>
      </w:r>
    </w:p>
    <w:p w14:paraId="3C926BCE" w14:textId="77777777" w:rsidR="000A625D" w:rsidRPr="002F2FDF" w:rsidRDefault="000A625D" w:rsidP="0083075A">
      <w:pPr>
        <w:pStyle w:val="rtejustify"/>
        <w:spacing w:before="0" w:after="0"/>
        <w:rPr>
          <w:color w:val="000000" w:themeColor="text1"/>
          <w:kern w:val="2"/>
          <w:sz w:val="16"/>
          <w:szCs w:val="16"/>
        </w:rPr>
      </w:pPr>
      <w:r w:rsidRPr="002F2FDF">
        <w:rPr>
          <w:color w:val="000000" w:themeColor="text1"/>
          <w:kern w:val="2"/>
          <w:sz w:val="16"/>
          <w:szCs w:val="16"/>
        </w:rPr>
        <w:t>Наш посол в Соединенных Штатах Америки по телеграфу известил Министерство иностранных дел,</w:t>
      </w:r>
      <w:hyperlink r:id="rId537" w:anchor="_ftn1" w:history="1">
        <w:r w:rsidRPr="002F2FDF">
          <w:rPr>
            <w:rStyle w:val="a5"/>
            <w:color w:val="000000" w:themeColor="text1"/>
            <w:kern w:val="2"/>
            <w:sz w:val="16"/>
            <w:szCs w:val="16"/>
          </w:rPr>
          <w:t>[1]</w:t>
        </w:r>
      </w:hyperlink>
      <w:r w:rsidRPr="002F2FDF">
        <w:rPr>
          <w:color w:val="000000" w:themeColor="text1"/>
          <w:kern w:val="2"/>
          <w:sz w:val="16"/>
          <w:szCs w:val="16"/>
        </w:rPr>
        <w:t xml:space="preserve"> что федеральное правительство в связи с новым законом об общем запрещении ввоза товаров в Россию</w:t>
      </w:r>
      <w:hyperlink r:id="rId538" w:anchor="_ftn2" w:history="1">
        <w:r w:rsidRPr="002F2FDF">
          <w:rPr>
            <w:rStyle w:val="a5"/>
            <w:color w:val="000000" w:themeColor="text1"/>
            <w:kern w:val="2"/>
            <w:sz w:val="16"/>
            <w:szCs w:val="16"/>
          </w:rPr>
          <w:t>[2]</w:t>
        </w:r>
      </w:hyperlink>
      <w:r w:rsidRPr="002F2FDF">
        <w:rPr>
          <w:color w:val="000000" w:themeColor="text1"/>
          <w:kern w:val="2"/>
          <w:sz w:val="16"/>
          <w:szCs w:val="16"/>
        </w:rPr>
        <w:t xml:space="preserve"> обратилось к нему с просьбой довести до сведения Временного правительства, что оно желало бы: 1) чтобы было сделано общее изъятие из означенного закона, допускающее импорт заграничных товаров без специальных разрешений, на прежнем основании, по северо-восточной границе Сибири, к северу от устья Амура до Берингова пролива и от Берингова пролива до реки Колымы; 2) просить отменить таможенное правило об обязательном заходе в Петропавловск американских судов, идущих от Аляски к Чукотскому полуострову, в районе между мысом Наварин и устьем реки Колымы. Вместо обязательного захода для таможенного досмотра в Петропавловск федеральное правительство выражает желание, чтобы в пунктах прибытия суда осматривались непосредственно русскими полицейскими властями. В подкрепление своей просьбы федеральное правительство ссылается на то, что Центральный торговый пункт Аляски — Ном отстоит всего в ста шестидесяти милях от берега Сибири, тогда как от Нома до Петропавловска около тысячи пятисот миль. Торговля на всем побережье Сибири разбросана, невелика и ведется малыми судами, </w:t>
      </w:r>
      <w:r w:rsidRPr="002F2FDF">
        <w:rPr>
          <w:rStyle w:val="af0"/>
          <w:i w:val="0"/>
          <w:color w:val="000000" w:themeColor="text1"/>
          <w:kern w:val="2"/>
          <w:sz w:val="16"/>
          <w:szCs w:val="16"/>
        </w:rPr>
        <w:t>с</w:t>
      </w:r>
      <w:r w:rsidRPr="002F2FDF">
        <w:rPr>
          <w:color w:val="000000" w:themeColor="text1"/>
          <w:kern w:val="2"/>
          <w:sz w:val="16"/>
          <w:szCs w:val="16"/>
        </w:rPr>
        <w:t xml:space="preserve"> ограниченным запасом топлива; требование захода в Петропавловск ведет к неэкономному использованию тоннажа и очень затрудняет взаимный товарообмен. По изложенному вопросу американское правительство полагает, что отмену обязательного захода в Петропавловск можно было бы обусловить обязательством Соединенных Штатов не выпускать из Аляски в Россию спирта и крепких напитков, что практически возможно ввиду установления Соединенными Штатами эмбарго. С другой стороны, новую льготу, в случае надобности, можно ограничить продолжительностью настоящей войны.</w:t>
      </w:r>
    </w:p>
    <w:p w14:paraId="583EA323" w14:textId="77777777" w:rsidR="000A625D" w:rsidRPr="002F2FDF" w:rsidRDefault="000A625D" w:rsidP="0083075A">
      <w:pPr>
        <w:pStyle w:val="rtejustify"/>
        <w:spacing w:before="0" w:after="0"/>
        <w:rPr>
          <w:color w:val="000000" w:themeColor="text1"/>
          <w:kern w:val="2"/>
          <w:sz w:val="16"/>
          <w:szCs w:val="16"/>
        </w:rPr>
      </w:pPr>
      <w:r w:rsidRPr="002F2FDF">
        <w:rPr>
          <w:color w:val="000000" w:themeColor="text1"/>
          <w:kern w:val="2"/>
          <w:sz w:val="16"/>
          <w:szCs w:val="16"/>
        </w:rPr>
        <w:t>Сообщая о вышеизложенном, я был бы весьма благодарен Вам за уведомление об отношении Министерства торговли и промышленности к существу высказанных правительством Соединенных Штатов Америки пожеланий в области торговых облегчений на нашей дальневосточной окраине.</w:t>
      </w:r>
    </w:p>
    <w:p w14:paraId="760565BB" w14:textId="77777777" w:rsidR="000A625D" w:rsidRPr="002F2FDF" w:rsidRDefault="000A625D" w:rsidP="0083075A">
      <w:pPr>
        <w:pStyle w:val="rtejustify"/>
        <w:spacing w:before="0" w:after="0"/>
        <w:rPr>
          <w:color w:val="000000" w:themeColor="text1"/>
          <w:kern w:val="2"/>
          <w:sz w:val="16"/>
          <w:szCs w:val="16"/>
        </w:rPr>
      </w:pPr>
      <w:r w:rsidRPr="002F2FDF">
        <w:rPr>
          <w:color w:val="000000" w:themeColor="text1"/>
          <w:kern w:val="2"/>
          <w:sz w:val="16"/>
          <w:szCs w:val="16"/>
        </w:rPr>
        <w:t>Одновременно считаю долгом довести до сведения Вашего, что, но мнению Министерства иностранных дел, не встречалось бы препятствий</w:t>
      </w:r>
    </w:p>
    <w:p w14:paraId="481CA5FA" w14:textId="77777777" w:rsidR="000A625D" w:rsidRPr="002F2FDF" w:rsidRDefault="000A625D" w:rsidP="0083075A">
      <w:pPr>
        <w:pStyle w:val="rtejustify"/>
        <w:spacing w:before="0" w:after="0"/>
        <w:rPr>
          <w:color w:val="000000" w:themeColor="text1"/>
          <w:kern w:val="2"/>
          <w:sz w:val="16"/>
          <w:szCs w:val="16"/>
        </w:rPr>
      </w:pPr>
      <w:r w:rsidRPr="002F2FDF">
        <w:rPr>
          <w:color w:val="000000" w:themeColor="text1"/>
          <w:kern w:val="2"/>
          <w:sz w:val="16"/>
          <w:szCs w:val="16"/>
        </w:rPr>
        <w:t>до известной степени идти навстречу изложенным федеральным правительством пожеланий, принимая во внимание, что в указанных широтах фактическая торговля с русскими инородцами производится только американцами, выражающими ныне готовность принять официальные меры к невыпуску из Аляски в Россию спирта, с каковой доставкой в эти пустынные края и боролись наши власти.</w:t>
      </w:r>
    </w:p>
    <w:p w14:paraId="0E184928" w14:textId="77777777" w:rsidR="000A625D" w:rsidRPr="002F2FDF" w:rsidRDefault="000A625D" w:rsidP="0083075A">
      <w:pPr>
        <w:pStyle w:val="rtejustify"/>
        <w:spacing w:before="0" w:after="0"/>
        <w:rPr>
          <w:color w:val="000000" w:themeColor="text1"/>
          <w:kern w:val="2"/>
          <w:sz w:val="16"/>
          <w:szCs w:val="16"/>
        </w:rPr>
      </w:pPr>
      <w:r w:rsidRPr="002F2FDF">
        <w:rPr>
          <w:color w:val="000000" w:themeColor="text1"/>
          <w:kern w:val="2"/>
          <w:sz w:val="16"/>
          <w:szCs w:val="16"/>
        </w:rPr>
        <w:t>Но вместе с тем, по мнению Министерства иностранных дел, представляется необходимым установить какой-нибудь контроль над торговой деятельностью в этой местности американских купцов и скупщи ков мехов, и в этих целях наиболее целесообразной мерой являлось бь учреждение в возможной близости от берегов Аляски таможенного пункта, куда и надлежало бы американским судам являться для досмотра вместо захода в действительно весьма отдаленный от города Нома Петропавловск.</w:t>
      </w:r>
    </w:p>
    <w:p w14:paraId="54BB3522" w14:textId="77777777" w:rsidR="000A625D" w:rsidRPr="002F2FDF" w:rsidRDefault="000A625D" w:rsidP="0083075A">
      <w:pPr>
        <w:pStyle w:val="rtejustify"/>
        <w:spacing w:before="0" w:after="0"/>
        <w:rPr>
          <w:color w:val="000000" w:themeColor="text1"/>
          <w:kern w:val="2"/>
          <w:sz w:val="16"/>
          <w:szCs w:val="16"/>
        </w:rPr>
      </w:pPr>
      <w:r w:rsidRPr="002F2FDF">
        <w:rPr>
          <w:color w:val="000000" w:themeColor="text1"/>
          <w:kern w:val="2"/>
          <w:sz w:val="16"/>
          <w:szCs w:val="16"/>
        </w:rPr>
        <w:t>Так как Б. А. Бахметьев просит ответа по телеграфу, а, по всей вероятности, Министерство торговли и промышленности по существу затронутого вопроса запросит мнение комиссара Временного правительства на Дальнем Востоке, на что потребуется некоторое время, то я был бк благодарен за составление заключения по настоящему делу в возможна срочном порядке.</w:t>
      </w:r>
    </w:p>
    <w:p w14:paraId="2CF23CA2" w14:textId="77777777" w:rsidR="000A625D" w:rsidRPr="002F2FDF" w:rsidRDefault="000A625D"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Подписал Л. Петряев</w:t>
      </w:r>
    </w:p>
    <w:p w14:paraId="640CE02D" w14:textId="77777777" w:rsidR="000A625D" w:rsidRPr="002F2FDF" w:rsidRDefault="00000000" w:rsidP="0083075A">
      <w:pPr>
        <w:pStyle w:val="ae"/>
        <w:spacing w:before="0" w:after="0"/>
        <w:jc w:val="both"/>
        <w:rPr>
          <w:color w:val="000000" w:themeColor="text1"/>
          <w:kern w:val="2"/>
          <w:sz w:val="16"/>
          <w:szCs w:val="16"/>
        </w:rPr>
      </w:pPr>
      <w:hyperlink r:id="rId539" w:anchor="_ftnref1" w:history="1">
        <w:r w:rsidR="000A625D" w:rsidRPr="002F2FDF">
          <w:rPr>
            <w:rStyle w:val="a5"/>
            <w:color w:val="000000" w:themeColor="text1"/>
            <w:kern w:val="2"/>
            <w:sz w:val="16"/>
            <w:szCs w:val="16"/>
          </w:rPr>
          <w:t>[1]</w:t>
        </w:r>
      </w:hyperlink>
      <w:r w:rsidR="000A625D" w:rsidRPr="002F2FDF">
        <w:rPr>
          <w:color w:val="000000" w:themeColor="text1"/>
          <w:kern w:val="2"/>
          <w:sz w:val="16"/>
          <w:szCs w:val="16"/>
        </w:rPr>
        <w:t xml:space="preserve"> Тел-ма от 3 сентября 1917 г. АВПР, ф. Канцелярия, д. 61, лл. 405—406.</w:t>
      </w:r>
    </w:p>
    <w:p w14:paraId="5D010992" w14:textId="77777777" w:rsidR="000A625D" w:rsidRPr="002F2FDF" w:rsidRDefault="00000000" w:rsidP="0083075A">
      <w:pPr>
        <w:pStyle w:val="ae"/>
        <w:spacing w:before="0" w:after="0"/>
        <w:jc w:val="both"/>
        <w:rPr>
          <w:color w:val="000000" w:themeColor="text1"/>
          <w:kern w:val="2"/>
          <w:sz w:val="16"/>
          <w:szCs w:val="16"/>
        </w:rPr>
      </w:pPr>
      <w:hyperlink r:id="rId540" w:anchor="_ftnref2" w:history="1">
        <w:r w:rsidR="000A625D" w:rsidRPr="002F2FDF">
          <w:rPr>
            <w:rStyle w:val="a5"/>
            <w:color w:val="000000" w:themeColor="text1"/>
            <w:kern w:val="2"/>
            <w:sz w:val="16"/>
            <w:szCs w:val="16"/>
          </w:rPr>
          <w:t>[2]</w:t>
        </w:r>
      </w:hyperlink>
      <w:r w:rsidR="000A625D" w:rsidRPr="002F2FDF">
        <w:rPr>
          <w:color w:val="000000" w:themeColor="text1"/>
          <w:kern w:val="2"/>
          <w:sz w:val="16"/>
          <w:szCs w:val="16"/>
        </w:rPr>
        <w:t xml:space="preserve"> Имеется в виду отмена русско-американского экспортного соглашения 1915 г., разрешавшего свободный ввоз частных товаров в Россию. По новому закону на импорт заграничных товаров требовалось специальное разрешение (15195).</w:t>
      </w:r>
    </w:p>
    <w:p w14:paraId="0BD8FD1C" w14:textId="77777777" w:rsidR="000A625D" w:rsidRPr="002F2FDF" w:rsidRDefault="000A625D"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1E72D133" w14:textId="77777777"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20 сентября (3 октября) 1917 г. </w:t>
      </w:r>
      <w:r w:rsidRPr="002F2FDF">
        <w:rPr>
          <w:rFonts w:ascii="Times New Roman" w:hAnsi="Times New Roman" w:cs="Times New Roman"/>
          <w:color w:val="000000" w:themeColor="text1"/>
          <w:kern w:val="2"/>
          <w:sz w:val="16"/>
          <w:szCs w:val="16"/>
        </w:rPr>
        <w:t>Письмо товарища министра иностранных дел А. М. Петряева товарищу министра торговли и промышленности А. С. Орлову по вопросу о разрешении американским предпринимателям торговли на территории Дальнего Востока.</w:t>
      </w:r>
    </w:p>
    <w:p w14:paraId="35D04395" w14:textId="0AFBD9A2"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471-472</w:t>
      </w:r>
    </w:p>
    <w:p w14:paraId="11BD6B7F" w14:textId="6BB8EE20" w:rsidR="000A625D" w:rsidRPr="002F2FDF" w:rsidRDefault="000A62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ЦГИАЛ, ф. 23, оп. 15, д. 733, лл. 2а—26. Заверенная копия.</w:t>
      </w:r>
    </w:p>
    <w:p w14:paraId="2AD19BBD" w14:textId="77777777" w:rsidR="000A625D" w:rsidRPr="002F2FDF" w:rsidRDefault="000A625D" w:rsidP="0083075A">
      <w:pPr>
        <w:pStyle w:val="ae"/>
        <w:spacing w:before="0" w:after="0"/>
        <w:jc w:val="both"/>
        <w:rPr>
          <w:color w:val="000000" w:themeColor="text1"/>
          <w:kern w:val="2"/>
          <w:sz w:val="16"/>
          <w:szCs w:val="16"/>
        </w:rPr>
      </w:pPr>
      <w:r w:rsidRPr="002F2FDF">
        <w:rPr>
          <w:color w:val="000000" w:themeColor="text1"/>
          <w:kern w:val="2"/>
          <w:sz w:val="16"/>
          <w:szCs w:val="16"/>
        </w:rPr>
        <w:t>Милостивый государь, Александр Семенович!</w:t>
      </w:r>
    </w:p>
    <w:p w14:paraId="465068C4" w14:textId="77777777" w:rsidR="000A625D" w:rsidRPr="002F2FDF" w:rsidRDefault="000A625D" w:rsidP="0083075A">
      <w:pPr>
        <w:pStyle w:val="rtejustify"/>
        <w:spacing w:before="0" w:after="0"/>
        <w:rPr>
          <w:color w:val="000000" w:themeColor="text1"/>
          <w:kern w:val="2"/>
          <w:sz w:val="16"/>
          <w:szCs w:val="16"/>
        </w:rPr>
      </w:pPr>
      <w:r w:rsidRPr="002F2FDF">
        <w:rPr>
          <w:color w:val="000000" w:themeColor="text1"/>
          <w:kern w:val="2"/>
          <w:sz w:val="16"/>
          <w:szCs w:val="16"/>
        </w:rPr>
        <w:t>Наш посол в Соединенных Штатах Америки по телеграфу известил Министерство иностранных дел,</w:t>
      </w:r>
      <w:hyperlink r:id="rId541" w:anchor="_ftn1" w:history="1">
        <w:r w:rsidRPr="002F2FDF">
          <w:rPr>
            <w:rStyle w:val="a5"/>
            <w:color w:val="000000" w:themeColor="text1"/>
            <w:kern w:val="2"/>
            <w:sz w:val="16"/>
            <w:szCs w:val="16"/>
          </w:rPr>
          <w:t>[1]</w:t>
        </w:r>
      </w:hyperlink>
      <w:r w:rsidRPr="002F2FDF">
        <w:rPr>
          <w:color w:val="000000" w:themeColor="text1"/>
          <w:kern w:val="2"/>
          <w:sz w:val="16"/>
          <w:szCs w:val="16"/>
        </w:rPr>
        <w:t xml:space="preserve"> что федеральное правительство в связи с новым законом об общем запрещении ввоза товаров в Россию</w:t>
      </w:r>
      <w:hyperlink r:id="rId542" w:anchor="_ftn2" w:history="1">
        <w:r w:rsidRPr="002F2FDF">
          <w:rPr>
            <w:rStyle w:val="a5"/>
            <w:color w:val="000000" w:themeColor="text1"/>
            <w:kern w:val="2"/>
            <w:sz w:val="16"/>
            <w:szCs w:val="16"/>
          </w:rPr>
          <w:t>[2]</w:t>
        </w:r>
      </w:hyperlink>
      <w:r w:rsidRPr="002F2FDF">
        <w:rPr>
          <w:color w:val="000000" w:themeColor="text1"/>
          <w:kern w:val="2"/>
          <w:sz w:val="16"/>
          <w:szCs w:val="16"/>
        </w:rPr>
        <w:t xml:space="preserve"> обратилось к нему с просьбой довести до сведения Временного правительства, что оно желало бы: 1) чтобы было сделано общее изъятие из означенного закона, допускающее импорт заграничных товаров без специальных разрешений, на прежнем основании, по северо-восточной границе Сибири, к северу от устья Амура до Берингова пролива и от Берингова пролива до реки Колымы; 2) просить отменить таможенное правило об обязательном заходе в Петропавловск американских судов, идущих от Аляски к Чукотскому полуострову, в районе между мысом Наварин и устьем реки Колымы. Вместо обязательного захода для таможенного досмотра в Петропавловск федеральное правительство выражает желание, чтобы в пунктах прибытия суда осматривались непосредственно русскими полицейскими властями. В подкрепление своей просьбы федеральное правительство ссылается на то, что Центральный торговый пункт Аляски — Ном отстоит всего в ста шестидесяти милях от берега Сибири, тогда как от Нома до Петропавловска около тысячи пятисот миль. Торговля на всем побережье Сибири разбросана, невелика и ведется малыми судами, </w:t>
      </w:r>
      <w:r w:rsidRPr="002F2FDF">
        <w:rPr>
          <w:rStyle w:val="af0"/>
          <w:i w:val="0"/>
          <w:color w:val="000000" w:themeColor="text1"/>
          <w:kern w:val="2"/>
          <w:sz w:val="16"/>
          <w:szCs w:val="16"/>
        </w:rPr>
        <w:t>с</w:t>
      </w:r>
      <w:r w:rsidRPr="002F2FDF">
        <w:rPr>
          <w:color w:val="000000" w:themeColor="text1"/>
          <w:kern w:val="2"/>
          <w:sz w:val="16"/>
          <w:szCs w:val="16"/>
        </w:rPr>
        <w:t xml:space="preserve"> ограниченным запасом топлива; требование захода в Петропавловск ведет к неэкономному использованию тоннажа и очень затрудняет взаимный товарообмен. По изложенному вопросу американское правительство полагает, что отмену обязательного захода в Петропавловск можно было бы обусловить обязательством Соединенных Штатов не выпускать из Аляски в Россию спирта и крепких напитков, что практически возможно ввиду установления Соединенными Штатами эмбарго. С другой стороны, новую льготу, в случае надобности, можно ограничить продолжительностью настоящей войны.</w:t>
      </w:r>
    </w:p>
    <w:p w14:paraId="15D00F82" w14:textId="77777777" w:rsidR="000A625D" w:rsidRPr="002F2FDF" w:rsidRDefault="000A625D" w:rsidP="0083075A">
      <w:pPr>
        <w:pStyle w:val="rtejustify"/>
        <w:spacing w:before="0" w:after="0"/>
        <w:rPr>
          <w:color w:val="000000" w:themeColor="text1"/>
          <w:kern w:val="2"/>
          <w:sz w:val="16"/>
          <w:szCs w:val="16"/>
        </w:rPr>
      </w:pPr>
      <w:r w:rsidRPr="002F2FDF">
        <w:rPr>
          <w:color w:val="000000" w:themeColor="text1"/>
          <w:kern w:val="2"/>
          <w:sz w:val="16"/>
          <w:szCs w:val="16"/>
        </w:rPr>
        <w:t>Сообщая о вышеизложенном, я был бы весьма благодарен Вам за уведомление об отношении Министерства торговли и промышленности к существу высказанных правительством Соединенных Штатов Америки пожеланий в области торговых облегчений на нашей дальневосточной окраине.</w:t>
      </w:r>
    </w:p>
    <w:p w14:paraId="69EF9BB5" w14:textId="77777777" w:rsidR="000A625D" w:rsidRPr="002F2FDF" w:rsidRDefault="000A625D" w:rsidP="0083075A">
      <w:pPr>
        <w:pStyle w:val="rtejustify"/>
        <w:spacing w:before="0" w:after="0"/>
        <w:rPr>
          <w:color w:val="000000" w:themeColor="text1"/>
          <w:kern w:val="2"/>
          <w:sz w:val="16"/>
          <w:szCs w:val="16"/>
        </w:rPr>
      </w:pPr>
      <w:r w:rsidRPr="002F2FDF">
        <w:rPr>
          <w:color w:val="000000" w:themeColor="text1"/>
          <w:kern w:val="2"/>
          <w:sz w:val="16"/>
          <w:szCs w:val="16"/>
        </w:rPr>
        <w:t>Одновременно считаю долгом довести до сведения Вашего, что, но мнению Министерства иностранных дел, не встречалось бы препятствий</w:t>
      </w:r>
    </w:p>
    <w:p w14:paraId="28355269" w14:textId="77777777" w:rsidR="000A625D" w:rsidRPr="002F2FDF" w:rsidRDefault="000A625D" w:rsidP="0083075A">
      <w:pPr>
        <w:pStyle w:val="rtejustify"/>
        <w:spacing w:before="0" w:after="0"/>
        <w:rPr>
          <w:color w:val="000000" w:themeColor="text1"/>
          <w:kern w:val="2"/>
          <w:sz w:val="16"/>
          <w:szCs w:val="16"/>
        </w:rPr>
      </w:pPr>
      <w:r w:rsidRPr="002F2FDF">
        <w:rPr>
          <w:color w:val="000000" w:themeColor="text1"/>
          <w:kern w:val="2"/>
          <w:sz w:val="16"/>
          <w:szCs w:val="16"/>
        </w:rPr>
        <w:t>до известной степени идти навстречу изложенным федеральным правительством пожеланий, принимая во внимание, что в указанных широтах фактическая торговля с русскими инородцами производится только американцами, выражающими ныне готовность принять официальные меры к невыпуску из Аляски в Россию спирта, с каковой доставкой в эти пустынные края и боролись наши власти.</w:t>
      </w:r>
    </w:p>
    <w:p w14:paraId="20A74FF3" w14:textId="77777777" w:rsidR="000A625D" w:rsidRPr="002F2FDF" w:rsidRDefault="000A625D" w:rsidP="0083075A">
      <w:pPr>
        <w:pStyle w:val="rtejustify"/>
        <w:spacing w:before="0" w:after="0"/>
        <w:rPr>
          <w:color w:val="000000" w:themeColor="text1"/>
          <w:kern w:val="2"/>
          <w:sz w:val="16"/>
          <w:szCs w:val="16"/>
        </w:rPr>
      </w:pPr>
      <w:r w:rsidRPr="002F2FDF">
        <w:rPr>
          <w:color w:val="000000" w:themeColor="text1"/>
          <w:kern w:val="2"/>
          <w:sz w:val="16"/>
          <w:szCs w:val="16"/>
        </w:rPr>
        <w:t>Но вместе с тем, по мнению Министерства иностранных дел, представляется необходимым установить какой-нибудь контроль над торговой деятельностью в этой местности американских купцов и скупщи ков мехов, и в этих целях наиболее целесообразной мерой являлось бь учреждение в возможной близости от берегов Аляски таможенного пункта, куда и надлежало бы американским судам являться для досмотра вместо захода в действительно весьма отдаленный от города Нома Петропавловск.</w:t>
      </w:r>
    </w:p>
    <w:p w14:paraId="4DB2F3E5" w14:textId="77777777" w:rsidR="000A625D" w:rsidRPr="002F2FDF" w:rsidRDefault="000A625D" w:rsidP="0083075A">
      <w:pPr>
        <w:pStyle w:val="rtejustify"/>
        <w:spacing w:before="0" w:after="0"/>
        <w:rPr>
          <w:color w:val="000000" w:themeColor="text1"/>
          <w:kern w:val="2"/>
          <w:sz w:val="16"/>
          <w:szCs w:val="16"/>
        </w:rPr>
      </w:pPr>
      <w:r w:rsidRPr="002F2FDF">
        <w:rPr>
          <w:color w:val="000000" w:themeColor="text1"/>
          <w:kern w:val="2"/>
          <w:sz w:val="16"/>
          <w:szCs w:val="16"/>
        </w:rPr>
        <w:t>Так как Б. А. Бахметьев просит ответа по телеграфу, а, по всей вероятности, Министерство торговли и промышленности по существу затронутого вопроса запросит мнение комиссара Временного правительства на Дальнем Востоке, на что потребуется некоторое время, то я был бк благодарен за составление заключения по настоящему делу в возможна срочном порядке (15196).</w:t>
      </w:r>
    </w:p>
    <w:p w14:paraId="65437121" w14:textId="77777777" w:rsidR="000A625D" w:rsidRPr="002F2FDF" w:rsidRDefault="000A625D"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Подписал Л. Петряев (15196).</w:t>
      </w:r>
    </w:p>
    <w:p w14:paraId="6757F021" w14:textId="77777777" w:rsidR="000A625D" w:rsidRPr="002F2FDF" w:rsidRDefault="00000000" w:rsidP="0083075A">
      <w:pPr>
        <w:pStyle w:val="ae"/>
        <w:spacing w:before="0" w:after="0"/>
        <w:jc w:val="both"/>
        <w:rPr>
          <w:color w:val="000000" w:themeColor="text1"/>
          <w:kern w:val="2"/>
          <w:sz w:val="16"/>
          <w:szCs w:val="16"/>
        </w:rPr>
      </w:pPr>
      <w:hyperlink r:id="rId543" w:anchor="_ftnref1" w:history="1">
        <w:r w:rsidR="000A625D" w:rsidRPr="002F2FDF">
          <w:rPr>
            <w:rStyle w:val="a5"/>
            <w:color w:val="000000" w:themeColor="text1"/>
            <w:kern w:val="2"/>
            <w:sz w:val="16"/>
            <w:szCs w:val="16"/>
          </w:rPr>
          <w:t>[1]</w:t>
        </w:r>
      </w:hyperlink>
      <w:r w:rsidR="000A625D" w:rsidRPr="002F2FDF">
        <w:rPr>
          <w:color w:val="000000" w:themeColor="text1"/>
          <w:kern w:val="2"/>
          <w:sz w:val="16"/>
          <w:szCs w:val="16"/>
        </w:rPr>
        <w:t xml:space="preserve"> Тел-ма от 3 сентября 1917 г. АВПР, ф. Канцелярия, д. 61, лл. 405—406.</w:t>
      </w:r>
    </w:p>
    <w:p w14:paraId="33A40678" w14:textId="77777777" w:rsidR="000A625D" w:rsidRPr="002F2FDF" w:rsidRDefault="00000000" w:rsidP="0083075A">
      <w:pPr>
        <w:pStyle w:val="ae"/>
        <w:spacing w:before="0" w:after="0"/>
        <w:jc w:val="both"/>
        <w:rPr>
          <w:color w:val="000000" w:themeColor="text1"/>
          <w:kern w:val="2"/>
          <w:sz w:val="16"/>
          <w:szCs w:val="16"/>
        </w:rPr>
      </w:pPr>
      <w:hyperlink r:id="rId544" w:anchor="_ftnref2" w:history="1">
        <w:r w:rsidR="000A625D" w:rsidRPr="002F2FDF">
          <w:rPr>
            <w:rStyle w:val="a5"/>
            <w:color w:val="000000" w:themeColor="text1"/>
            <w:kern w:val="2"/>
            <w:sz w:val="16"/>
            <w:szCs w:val="16"/>
          </w:rPr>
          <w:t>[2]</w:t>
        </w:r>
      </w:hyperlink>
      <w:r w:rsidR="000A625D" w:rsidRPr="002F2FDF">
        <w:rPr>
          <w:color w:val="000000" w:themeColor="text1"/>
          <w:kern w:val="2"/>
          <w:sz w:val="16"/>
          <w:szCs w:val="16"/>
        </w:rPr>
        <w:t xml:space="preserve"> Имеется в виду отмена русско-американского экспортного соглашения 1915 г., разрешавшего свободный ввоз частных товаров в Россию. По новому закону на импорт заграничных товаров требовалось специальное разрешение (15196).</w:t>
      </w:r>
    </w:p>
    <w:p w14:paraId="3698F353" w14:textId="77777777" w:rsidR="000A625D" w:rsidRPr="002F2FDF" w:rsidRDefault="000A625D"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24BB86C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92F43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3EA9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сентября (4 октября) 1917 была последняя операция ИМ на Румынском фронте.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3FECE4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1975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21 сентября </w:t>
      </w:r>
      <w:r w:rsidR="00680400" w:rsidRPr="002F2FDF">
        <w:rPr>
          <w:rFonts w:ascii="Times New Roman" w:hAnsi="Times New Roman" w:cs="Times New Roman"/>
          <w:color w:val="000000" w:themeColor="text1"/>
          <w:kern w:val="2"/>
          <w:sz w:val="16"/>
          <w:szCs w:val="16"/>
        </w:rPr>
        <w:t xml:space="preserve">(4 октября) </w:t>
      </w:r>
      <w:r w:rsidRPr="002F2FDF">
        <w:rPr>
          <w:rFonts w:ascii="Times New Roman" w:hAnsi="Times New Roman" w:cs="Times New Roman"/>
          <w:color w:val="000000" w:themeColor="text1"/>
          <w:kern w:val="2"/>
          <w:sz w:val="16"/>
          <w:szCs w:val="16"/>
        </w:rPr>
        <w:t>1917 была последняя операция ИМ на Румынском.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(12038).</w:t>
      </w:r>
    </w:p>
    <w:p w14:paraId="31CC2C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E27C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21 сентября </w:t>
      </w:r>
      <w:r w:rsidR="00680400" w:rsidRPr="002F2FDF">
        <w:rPr>
          <w:rFonts w:ascii="Times New Roman" w:hAnsi="Times New Roman" w:cs="Times New Roman"/>
          <w:color w:val="000000" w:themeColor="text1"/>
          <w:kern w:val="2"/>
          <w:sz w:val="16"/>
          <w:szCs w:val="16"/>
        </w:rPr>
        <w:t xml:space="preserve">(4 октября) </w:t>
      </w:r>
      <w:r w:rsidRPr="002F2FDF">
        <w:rPr>
          <w:rFonts w:ascii="Times New Roman" w:hAnsi="Times New Roman" w:cs="Times New Roman"/>
          <w:color w:val="000000" w:themeColor="text1"/>
          <w:kern w:val="2"/>
          <w:sz w:val="16"/>
          <w:szCs w:val="16"/>
        </w:rPr>
        <w:t>1917 года состоялась последняя операция кораблей ИМ на Румынском фронте состоялась. В этот день "Илья Муромец IX" Нижевского громил станцию Троян. По возвращении с удачного полёта корабль подвергся внезапному нападению двух немецких истребителей. Подпоручик И.Г. Таллако, успокоенный тем, что корабль находился уже над своей территорией, покинул свой пост у хвостового пулемёта и передвигался на тележке к кабине. В этот момент первый немец дал очередь из двух пулемётов по "Муромцу", ранив находившегося в заднем люке с пулемётом моториста старшего унтер-офицера Янкевича разрывной пулей в живот. Смертельно раненный, он успел выпустить по этому истребителю целую обойму патронов. Его пулемёт был прострелен в четырёх местах. Таллако был ранен в колено (с раздроблением коленного сустава), но сумел вернуться обратно к пулемёту в хвосте. Остальные члены экипажа были осыпаны осколками разрывных пуль и отлетевшими деталями конструкции. По неприятелю открыли огонь поручик Фёдоров, подпоручик Поше- хонов и старший унтер-офицер Кузнецов. Не выдержав сосредоточенного огня четырёх пулемётов, истребитель штопором ушёл вниз. Когда Фёдоров и Пошехонов перевязывали раненых, дежуривший Кузнецов сообщил об атаке ещё двух самолётов. Неприятеля быстро отогнали огнём из трёх пулемётов.</w:t>
      </w:r>
    </w:p>
    <w:p w14:paraId="0BC356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 был серьёзно повреждён: был пробит бензобак, верхний лонжерон крыла над кабиной был частично расщеплен, а два средних мотора (2-й и 3-й), были выведены из строя из-за пробитых радиаторов. На двух оставшихся моторах корабль благополучно добрался до своего аэродрома. На IX корабле насчитали порядка 60 пробоин. Позже выяснилось, что на станции были взорваны три поезда со снарядами. Таллако, пропустивший первую атаку, впоследствии был награждён Георгиевским оружием, за то, что, будучи серьёзно раненым, сменил Янкевича и продолжал стрельбу из пулемёта, чем спас корабль и экипаж.</w:t>
      </w:r>
    </w:p>
    <w:p w14:paraId="5FD803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же отряд подполковника Нижевского совершил 16 боевых полётов, из которых 13 приходилось на долю командирского корабля, два на V и один на XVI. Сброшено около 150 пудов (2445 кг) бомб, сбит (вероятно) один самолёт противника, добыты ценные разведданные для 6-й армии (12041).</w:t>
      </w:r>
    </w:p>
    <w:p w14:paraId="7D08FB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66D7D8" w14:textId="1D3FDAB5" w:rsidR="00C92259" w:rsidRPr="00FB4F67" w:rsidRDefault="00C92259" w:rsidP="0083075A">
      <w:pPr>
        <w:spacing w:after="0" w:line="240" w:lineRule="auto"/>
        <w:jc w:val="both"/>
        <w:rPr>
          <w:rFonts w:ascii="Times New Roman" w:hAnsi="Times New Roman" w:cs="Times New Roman"/>
          <w:color w:val="0070C0"/>
          <w:sz w:val="16"/>
          <w:szCs w:val="16"/>
        </w:rPr>
      </w:pPr>
      <w:bookmarkStart w:id="320" w:name="bookmark959"/>
      <w:bookmarkStart w:id="321" w:name="bookmark960"/>
      <w:bookmarkStart w:id="322" w:name="bookmark961"/>
      <w:bookmarkStart w:id="323" w:name="bookmark962"/>
      <w:r>
        <w:rPr>
          <w:rFonts w:ascii="Times New Roman" w:hAnsi="Times New Roman" w:cs="Times New Roman"/>
          <w:color w:val="0070C0"/>
          <w:sz w:val="16"/>
          <w:szCs w:val="16"/>
        </w:rPr>
        <w:t>21 сентября (</w:t>
      </w:r>
      <w:r w:rsidRPr="00FB4F67">
        <w:rPr>
          <w:rFonts w:ascii="Times New Roman" w:hAnsi="Times New Roman" w:cs="Times New Roman"/>
          <w:color w:val="0070C0"/>
          <w:sz w:val="16"/>
          <w:szCs w:val="16"/>
        </w:rPr>
        <w:t>4 октября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утром следующего дня неприятельские аэропланы произвели налеты на г. Галац (Румыния). В ходе воздушных бомбардировок имелись человеческие жертвы среди военнослужащих и гражданских лиц. Также нападению с воздуха подвергся г. Рени (на р. Дунай) и поселок у ст. Ратемка (Либаво-Роменская железная дорога). В тот же день группа наших разведчиков (20 человек) совершила рейд в ближний тыл противника и захватила в плен начальника германской черноморской авиации капитан-лейтенанта графа Мейера. При этом разведывательная группа подверглась атаке со стороны пяти неприятельских гидроаэропланов (смертельное ранение получил граф Мейер и позднее похоронен с воинскими почестями).</w:t>
      </w:r>
      <w:bookmarkEnd w:id="320"/>
      <w:bookmarkEnd w:id="321"/>
      <w:bookmarkEnd w:id="322"/>
      <w:bookmarkEnd w:id="323"/>
    </w:p>
    <w:p w14:paraId="1C7376E7" w14:textId="77777777" w:rsidR="00C92259" w:rsidRPr="00FB4F67" w:rsidRDefault="00C92259" w:rsidP="0083075A">
      <w:pPr>
        <w:spacing w:after="0" w:line="240" w:lineRule="auto"/>
        <w:jc w:val="both"/>
        <w:rPr>
          <w:rFonts w:ascii="Times New Roman" w:hAnsi="Times New Roman" w:cs="Times New Roman"/>
          <w:color w:val="0070C0"/>
          <w:sz w:val="16"/>
          <w:szCs w:val="16"/>
        </w:rPr>
      </w:pPr>
      <w:bookmarkStart w:id="324" w:name="bookmark963"/>
      <w:bookmarkStart w:id="325" w:name="bookmark964"/>
      <w:r w:rsidRPr="00FB4F67">
        <w:rPr>
          <w:rFonts w:ascii="Times New Roman" w:hAnsi="Times New Roman" w:cs="Times New Roman"/>
          <w:color w:val="0070C0"/>
          <w:sz w:val="16"/>
          <w:szCs w:val="16"/>
        </w:rPr>
        <w:t>Противник силами воздушной эскадрильи (20 аппаратов) подверг бомбардировке позиции русских войск вблизи д. Красне (южнее г. Тарнополь), сбросив на них до 80 бомб. С целью исключить такие налеты были созданы воздушные завесы. На Тарнопольском направлении наш истребитель «заметил два неприятельских самолета, которые при приближении нашего летчика стали поспешно удаляться. Русский летчик бросился в погоню за неприятельскими аппаратами и, нагнав одного германского летчика, атаковал его. После короткого боя неприятельский аппарат с большим снижением принужден был опуститься вблизи Тарнополя» (23405).</w:t>
      </w:r>
      <w:bookmarkEnd w:id="324"/>
      <w:bookmarkEnd w:id="325"/>
    </w:p>
    <w:p w14:paraId="14A53218" w14:textId="77777777" w:rsidR="00C92259" w:rsidRPr="00FB4F67" w:rsidRDefault="00C92259" w:rsidP="0083075A">
      <w:pPr>
        <w:spacing w:after="0" w:line="240" w:lineRule="auto"/>
        <w:jc w:val="both"/>
        <w:rPr>
          <w:rFonts w:ascii="Times New Roman" w:hAnsi="Times New Roman" w:cs="Times New Roman"/>
          <w:color w:val="0070C0"/>
          <w:sz w:val="16"/>
          <w:szCs w:val="16"/>
        </w:rPr>
      </w:pPr>
    </w:p>
    <w:p w14:paraId="5CB67F07" w14:textId="77777777" w:rsidR="002F055D"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0342328" w14:textId="77777777" w:rsidR="002F055D" w:rsidRPr="002F2FDF" w:rsidRDefault="002F055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3599C9" w14:textId="3DBD6CAB" w:rsidR="002F055D" w:rsidRPr="002F2FDF" w:rsidRDefault="002F055D" w:rsidP="0083075A">
      <w:pPr>
        <w:pStyle w:val="ae"/>
        <w:spacing w:before="0" w:after="0"/>
        <w:jc w:val="both"/>
        <w:rPr>
          <w:color w:val="000000" w:themeColor="text1"/>
          <w:kern w:val="2"/>
          <w:sz w:val="16"/>
          <w:szCs w:val="16"/>
        </w:rPr>
      </w:pPr>
      <w:r w:rsidRPr="002F2FDF">
        <w:rPr>
          <w:color w:val="000000" w:themeColor="text1"/>
          <w:kern w:val="2"/>
          <w:sz w:val="16"/>
          <w:szCs w:val="16"/>
        </w:rPr>
        <w:t>21 сентября (4 октября) 1917</w:t>
      </w:r>
      <w:r w:rsidR="00E52569">
        <w:rPr>
          <w:color w:val="000000" w:themeColor="text1"/>
          <w:kern w:val="2"/>
          <w:sz w:val="16"/>
          <w:szCs w:val="16"/>
        </w:rPr>
        <w:t xml:space="preserve"> </w:t>
      </w:r>
      <w:r w:rsidRPr="002F2FDF">
        <w:rPr>
          <w:color w:val="000000" w:themeColor="text1"/>
          <w:kern w:val="2"/>
          <w:sz w:val="16"/>
          <w:szCs w:val="16"/>
        </w:rPr>
        <w:t xml:space="preserve">г., когда у власти уже находилось Временное правительство, вступила в строй 25-киловаттной радиостанции Морского штаба в Петрограде, получившей название «Новая Голландия», контракт на строительство которой был заключен 25 ноября 1915 года Главным управлением кораблестроения </w:t>
      </w:r>
      <w:r w:rsidRPr="002F2FDF">
        <w:rPr>
          <w:color w:val="000000" w:themeColor="text1"/>
          <w:kern w:val="2"/>
          <w:sz w:val="16"/>
          <w:szCs w:val="16"/>
        </w:rPr>
        <w:lastRenderedPageBreak/>
        <w:t>с РОБТиТ в лице С. М. Айзенштейна (15736).</w:t>
      </w:r>
    </w:p>
    <w:p w14:paraId="62598F35" w14:textId="77777777" w:rsidR="002F055D" w:rsidRPr="002F2FDF" w:rsidRDefault="002F055D" w:rsidP="0083075A">
      <w:pPr>
        <w:pStyle w:val="ae"/>
        <w:spacing w:before="0" w:after="0"/>
        <w:jc w:val="both"/>
        <w:rPr>
          <w:color w:val="000000" w:themeColor="text1"/>
          <w:kern w:val="2"/>
          <w:sz w:val="16"/>
          <w:szCs w:val="16"/>
        </w:rPr>
      </w:pPr>
    </w:p>
    <w:p w14:paraId="6518E05D" w14:textId="09605EA7" w:rsidR="00AE2B0B" w:rsidRDefault="00AE2B0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50DC1467" w14:textId="77777777" w:rsidR="00AE2B0B" w:rsidRDefault="00AE2B0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6078671" w14:textId="77777777" w:rsidR="00AE2B0B" w:rsidRPr="00FB4F67" w:rsidRDefault="00AE2B0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21 сентября (4 октября) 1917 г. корабль ИМ Е-56 (ИМ Е-56, ИМ Е-1 боевой № 265, борт № IX) совершил последний боевой вылет. На железнодорожной станции Траян (Traian, Западная Молдавия, восток Румынии) экипаж удачным бомбометанием уничтожил три состава с артиллерийскими снарядами, но на возвращении корабль был атакован двумя истребителями противника. Был убит стрелок старший унтер-офицер Янкевич, второй стрелок прапорщик Талако тяжело ранен в колено (раздроблен сустав), повреждены один из лонжеронов верхнего крыла и радиаторы моторов № 2 и 3, которые остановились. Обстрелять успели только второй самолет, но результата не наблюдали. Корабль на аэродром вернулся и мог быть отремонтирован, но на боевые вылеты больше не летал.</w:t>
      </w:r>
    </w:p>
    <w:p w14:paraId="09BD5A6C" w14:textId="77777777" w:rsidR="00AE2B0B" w:rsidRPr="00FB4F67" w:rsidRDefault="00AE2B0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Всего самолет сделал 13 боевых вылетов и сбросил до 2080 кг (130 пудов) бомб.</w:t>
      </w:r>
    </w:p>
    <w:p w14:paraId="40428BA5" w14:textId="77777777" w:rsidR="00AE2B0B" w:rsidRPr="00FB4F67" w:rsidRDefault="00AE2B0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 день 25.10.17 г. (07.11.17 г.), когда состоялась Октябрьская революция, корабль оставался на а/д Болгарийка в поврежденном состоянии и так и не был отремонтирован (24094).</w:t>
      </w:r>
    </w:p>
    <w:p w14:paraId="53F40B70" w14:textId="77777777" w:rsidR="00AE2B0B" w:rsidRPr="00FB4F67" w:rsidRDefault="00AE2B0B" w:rsidP="0083075A">
      <w:pPr>
        <w:spacing w:after="0" w:line="240" w:lineRule="auto"/>
        <w:jc w:val="both"/>
        <w:rPr>
          <w:rFonts w:ascii="Times New Roman" w:hAnsi="Times New Roman" w:cs="Times New Roman"/>
          <w:color w:val="0070C0"/>
          <w:sz w:val="16"/>
          <w:szCs w:val="16"/>
        </w:rPr>
      </w:pPr>
    </w:p>
    <w:p w14:paraId="20D7C045" w14:textId="06644C9F" w:rsidR="002F055D"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0FF7CCA5" w14:textId="77777777" w:rsidR="002F055D" w:rsidRPr="002F2FDF" w:rsidRDefault="002F055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72848C" w14:textId="77777777" w:rsidR="002F055D" w:rsidRPr="002F2FDF" w:rsidRDefault="002F05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 xml:space="preserve">21 сентября (4 октября) 1917 г. </w:t>
      </w:r>
      <w:r w:rsidRPr="002F2FDF">
        <w:rPr>
          <w:rFonts w:ascii="Times New Roman" w:hAnsi="Times New Roman" w:cs="Times New Roman"/>
          <w:color w:val="000000" w:themeColor="text1"/>
          <w:kern w:val="2"/>
          <w:sz w:val="16"/>
          <w:szCs w:val="16"/>
        </w:rPr>
        <w:t>Телеграмма Б.А. Бахметьева Министерству иностранных дел о предоставлении Временному правительству нового американского кредита в 125 млн. дол., о сумме всех ранее предоставленных кредитов и о новом порядке финансирования после 1 января 1918 г.</w:t>
      </w:r>
    </w:p>
    <w:p w14:paraId="3453C7F3" w14:textId="1158B56B" w:rsidR="002F055D" w:rsidRPr="002F2FDF" w:rsidRDefault="002F05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557-558</w:t>
      </w:r>
    </w:p>
    <w:p w14:paraId="0D2A8DFF" w14:textId="5FEA6ECE" w:rsidR="002F055D" w:rsidRPr="002F2FDF" w:rsidRDefault="002F05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Канцелярии, д. 61, л. 511. Копия.</w:t>
      </w:r>
    </w:p>
    <w:p w14:paraId="34962583" w14:textId="77777777" w:rsidR="002F055D" w:rsidRPr="002F2FDF" w:rsidRDefault="002F055D" w:rsidP="0083075A">
      <w:pPr>
        <w:pStyle w:val="rtejustify"/>
        <w:spacing w:before="0" w:after="0"/>
        <w:rPr>
          <w:color w:val="000000" w:themeColor="text1"/>
          <w:kern w:val="2"/>
          <w:sz w:val="16"/>
          <w:szCs w:val="16"/>
        </w:rPr>
      </w:pPr>
      <w:r w:rsidRPr="002F2FDF">
        <w:rPr>
          <w:color w:val="000000" w:themeColor="text1"/>
          <w:kern w:val="2"/>
          <w:sz w:val="16"/>
          <w:szCs w:val="16"/>
        </w:rPr>
        <w:t>Американское министерство финансов предоставило нам новый кредит в 125 млн. дол., который но условию должен покрывать наши потребности до 1 января. Таким образом, до настоящего времени нам всего предоставлено кредитов на 450 млн. дол. Сверх того обеспечены средства на покрытие железнодорожного заказа, как только таковой будет окончательно помещен, что составит в общем дополнительную сумму около 150 млн дол. При таких условиях следует считать нашу финансовую программу до 1 января выполненной. После 1 января она будет развиваться в соответствии с деятельностью Европейского междусоюзного совета по снабжению (15170).</w:t>
      </w:r>
    </w:p>
    <w:p w14:paraId="7F29DD11" w14:textId="77777777" w:rsidR="002F055D" w:rsidRPr="002F2FDF" w:rsidRDefault="002F055D"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0412C426" w14:textId="77777777" w:rsidR="00752B3E"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EFB99BA" w14:textId="77777777" w:rsidR="00752B3E" w:rsidRPr="002F2FDF" w:rsidRDefault="00752B3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45700D" w14:textId="77777777" w:rsidR="00752B3E" w:rsidRPr="002F2FDF" w:rsidRDefault="00752B3E" w:rsidP="0083075A">
      <w:pPr>
        <w:pStyle w:val="ae"/>
        <w:spacing w:before="0" w:after="0"/>
        <w:jc w:val="both"/>
        <w:rPr>
          <w:color w:val="000000" w:themeColor="text1"/>
          <w:kern w:val="2"/>
          <w:sz w:val="16"/>
          <w:szCs w:val="16"/>
        </w:rPr>
      </w:pPr>
      <w:r w:rsidRPr="002F2FDF">
        <w:rPr>
          <w:iCs/>
          <w:color w:val="000000" w:themeColor="text1"/>
          <w:kern w:val="2"/>
          <w:sz w:val="16"/>
          <w:szCs w:val="16"/>
        </w:rPr>
        <w:t xml:space="preserve">21 сентября (4 октября) 1917 г. </w:t>
      </w:r>
      <w:r w:rsidRPr="002F2FDF">
        <w:rPr>
          <w:color w:val="000000" w:themeColor="text1"/>
          <w:kern w:val="2"/>
          <w:sz w:val="16"/>
          <w:szCs w:val="16"/>
        </w:rPr>
        <w:t>британские, канадские и австралийские части начали очередную наступательную операцию в районе города Ипр на западе Бельгии. Новой целью командование определило небольшую возвышенность к востоку от деревни Пашендейль (во фламандском варианте Пассендале). Но путь к ней пролегал через крошечную деревушку Брудзайнде (по-фламандски — Броодсанде), удерживаемую немцами.</w:t>
      </w:r>
    </w:p>
    <w:p w14:paraId="03E889C1" w14:textId="6C8D89C8" w:rsidR="00752B3E" w:rsidRPr="002F2FDF" w:rsidRDefault="00752B3E" w:rsidP="0083075A">
      <w:pPr>
        <w:pStyle w:val="ae"/>
        <w:spacing w:before="0" w:after="0"/>
        <w:jc w:val="both"/>
        <w:rPr>
          <w:color w:val="000000" w:themeColor="text1"/>
          <w:kern w:val="2"/>
          <w:sz w:val="16"/>
          <w:szCs w:val="16"/>
        </w:rPr>
      </w:pPr>
      <w:r w:rsidRPr="002F2FDF">
        <w:rPr>
          <w:color w:val="000000" w:themeColor="text1"/>
          <w:kern w:val="2"/>
          <w:sz w:val="16"/>
          <w:szCs w:val="16"/>
        </w:rPr>
        <w:t>В этот день вновь «подвела погода» — зарядил затяжной дождь, превращавший низменные ландшафты Фландрии, перепаханные разрывами снарядов, в непролазную трясину. Тем не менее</w:t>
      </w:r>
      <w:r w:rsidR="00E52569">
        <w:rPr>
          <w:color w:val="000000" w:themeColor="text1"/>
          <w:kern w:val="2"/>
          <w:sz w:val="16"/>
          <w:szCs w:val="16"/>
        </w:rPr>
        <w:t xml:space="preserve"> </w:t>
      </w:r>
      <w:r w:rsidRPr="002F2FDF">
        <w:rPr>
          <w:color w:val="000000" w:themeColor="text1"/>
          <w:kern w:val="2"/>
          <w:sz w:val="16"/>
          <w:szCs w:val="16"/>
        </w:rPr>
        <w:t>англичанам удалось найти относительно сухие тропы, по которым они передвинули вперед артиллерийские орудия. Их огонь успешно подавил забетонированные пулеметные точки немецкой обороны, после чего в бой пошли танки. Англичанам удалось вновь продвинуться вперед на несколько километров, причем, в отличие от предыдущих штурмов, с наименьшими потерями, а разрозненные контратаки немцев были рассеяны огнем артиллерии. Военные историки позже называли сражение за Брудзайнде самым успешным эпизодом Битвы при Пашендейле, а немцы, в свою очередь, признали 4 октября «черным днем» (17045).</w:t>
      </w:r>
    </w:p>
    <w:p w14:paraId="0AF95B4D" w14:textId="77777777" w:rsidR="00752B3E" w:rsidRPr="002F2FDF" w:rsidRDefault="00752B3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305691" w14:textId="77777777" w:rsidR="00CF503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875B7FE" w14:textId="77777777" w:rsidR="00CF5032" w:rsidRPr="002F2FDF" w:rsidRDefault="00CF503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205168" w14:textId="77777777" w:rsidR="002F055D" w:rsidRPr="002F2FDF" w:rsidRDefault="002F05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22 сентября </w:t>
      </w:r>
      <w:r w:rsidR="00CF5032" w:rsidRPr="002F2FDF">
        <w:rPr>
          <w:rFonts w:ascii="Times New Roman" w:hAnsi="Times New Roman" w:cs="Times New Roman"/>
          <w:color w:val="000000" w:themeColor="text1"/>
          <w:kern w:val="2"/>
          <w:sz w:val="16"/>
          <w:szCs w:val="16"/>
        </w:rPr>
        <w:t xml:space="preserve">(5 октября) </w:t>
      </w:r>
      <w:r w:rsidRPr="002F2FDF">
        <w:rPr>
          <w:rFonts w:ascii="Times New Roman" w:hAnsi="Times New Roman" w:cs="Times New Roman"/>
          <w:color w:val="000000" w:themeColor="text1"/>
          <w:kern w:val="2"/>
          <w:sz w:val="16"/>
          <w:szCs w:val="16"/>
        </w:rPr>
        <w:t>1917 Сообщение и. д. начальника инженерного снабжения армий Румынского фронта полк. Лазаревского начальнику Главного военно-технического управления о неудовлетворительном снабжении армии металлами.</w:t>
      </w:r>
    </w:p>
    <w:p w14:paraId="3DDFDD38" w14:textId="77777777" w:rsidR="002F055D" w:rsidRPr="002F2FDF" w:rsidRDefault="002F05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189-191</w:t>
      </w:r>
    </w:p>
    <w:p w14:paraId="50369066" w14:textId="77777777" w:rsidR="002F055D" w:rsidRPr="002F2FDF" w:rsidRDefault="002F05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807, оп. 1, д. 39, лл. 263—264. Подлинник.</w:t>
      </w:r>
    </w:p>
    <w:p w14:paraId="584E77D6" w14:textId="77777777" w:rsidR="002F055D" w:rsidRPr="002F2FDF" w:rsidRDefault="002F05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Снабжение фронтов металлами до сих пор совершенно не упорядочено, и, несмотря на то что уже более года в определенные сроки управления инженерных снабжений представляют свои потребности сначала в ГВТУ, а в последнее время во Фронтометалл, металлы получаются лишь случайно и далеко не в том количестве, какое назначается главноуполномоченным по снабжению металлами. Потому инженерные войска и учреждения не удовлетворяются металлами даже в своих насущнейших потребностях.</w:t>
      </w:r>
    </w:p>
    <w:p w14:paraId="55584454" w14:textId="77777777" w:rsidR="002F055D" w:rsidRPr="002F2FDF" w:rsidRDefault="002F05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Вырабатываемые на совещаниях в Ставке мероприятия к упорядочению сего снабжения и издаваемые на сей предмет инструкции исполняются лишь в части представления фронтовыми управлениями своей потребности и в отношении распределения металлов между сими учреждениями на бумаге. Фактически же металл на фронт почти не поступает.</w:t>
      </w:r>
    </w:p>
    <w:p w14:paraId="36422076" w14:textId="4B49CDCF" w:rsidR="002F055D" w:rsidRPr="002F2FDF" w:rsidRDefault="002F05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совещаниях, бывших в ГВТУ и затем в Ставке, ГВТУ приняло на себя оформление заказов заводам на прокатку металлов, приемку, а также и уплату. Затем нз переписки выясняется, что в заводских центрах на заводах имеются ныне представители ГВТУ, на обязанности которых, казалось бы, должно быть оформление заказов ГВТУ и наблюдение за их выполнением, и тем не менее заказы эти ГВТУ заводам, по-видимому, не даются, а на неоднократные запросы по сему поводу</w:t>
      </w:r>
      <w:hyperlink r:id="rId545" w:anchor="_ftn1" w:history="1">
        <w:r w:rsidRPr="002F2FDF">
          <w:rPr>
            <w:rFonts w:ascii="Times New Roman" w:hAnsi="Times New Roman" w:cs="Times New Roman"/>
            <w:color w:val="000000" w:themeColor="text1"/>
            <w:kern w:val="2"/>
            <w:sz w:val="16"/>
            <w:szCs w:val="16"/>
          </w:rPr>
          <w:t>[1]</w:t>
        </w:r>
      </w:hyperlink>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(мои телеграммы от 16 июня с. г. за № 5148 (военная), от 28 июня с. г. за № 5601 и 5602. от 10 июля с. г. за № 6020, от 12 июля с. г. за № 6139 (военная), от 6 сентября с. г. за № 8о28, от 17 августа с. г. за № 7599, от 5 сентября с. г 1937 вышел приказ НКОП № 8439 (военная), от 6 сентября с. г. за № 8530, от 6 сентября за № 8531, от 7 сентября с. г. за № 8580, от 12 сентября с, г. за № 8839 и от 13 сентября с. г. за № 8886 (военная)) ГВТУ не трудится даже ответить, за исключением одного лишь сообщения в телеграмме от 25 августа с. г. за № 121726. что Исполнительной комиссией еще не дано право ГВТУ заказывать металлы и кредиты не отпущены, потому ГВТУ просит до октября оформлять заказы непосредственно. На заявление же по сему сообщению (в телеграмме от 5 сего сентября за № 8439), что кредит может быть фронтом переведен в потребном размере, ответа опять не последовало.</w:t>
      </w:r>
    </w:p>
    <w:p w14:paraId="21E40F75" w14:textId="77777777" w:rsidR="002F055D" w:rsidRPr="002F2FDF" w:rsidRDefault="002F05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Представители ГВТУ в некоторых заводских центрах позаводили даже целые управления, но не оказывают никакой помощи фронтам в получении металлов. Так, управление представителя ГВТУ в г. Екатеринославе сношением от 30 августа с. г. за № 389 уведомило меня, что на заводе Донецкого металлургического об-ва штампования прокатано для управления инженерных снабжений Румынского фронта определенное количество металла. На просьбу мою в телеграмме от 13 сентября за № 8882 сообщить, на какое казначейство перевести деньги за указанный металл, и на просьбу принять металл и отправить его в Одессу мною получен ответ с предложением непосредственно снестись с заводом и командировать своего приемщика за принятием металла. Если я по всем металлическим заводам в России буду рассылать чинов своего управления и управления инспектора инженерной части округа, среди которых могущих произвести техническую приемку металлов имеется лишь несколько человек (по штату доложено в обоих управлениях лишь 4 человека: 2 военных инженера, один войсковой инженер и 1 войсковой техник), то для сего не хватит сил чинов, некому будет в управлениях заниматься делопроизводством, а сверх сего непроизводительно будет тратиться время сих лиц и казенные средства на их разъезды.</w:t>
      </w:r>
    </w:p>
    <w:p w14:paraId="4531C502" w14:textId="77777777" w:rsidR="002F055D" w:rsidRPr="002F2FDF" w:rsidRDefault="002F05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Казалось бы, что находящиеся на заводах представители ГВТУ — инженеры — должны производить техническую приемку металлов, содействовать оформлению заказов, расчету с заводами за металлы и вызывать лишь проводников для сопровождения металла, отправляемого под их наблюдением заводами.</w:t>
      </w:r>
    </w:p>
    <w:p w14:paraId="215FBED6" w14:textId="77777777" w:rsidR="002F055D" w:rsidRPr="002F2FDF" w:rsidRDefault="002F05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Вообще в деле снабжения металлами должен быть, наконец, введен какой-либо порядок; это снабжение должно взять в свои руки ГВТТу . а управления инженерных снабжений должны лишь заявлять свою потребность через Фронтометалл, о чем усиленно ходатайствую.</w:t>
      </w:r>
    </w:p>
    <w:p w14:paraId="7128DACD" w14:textId="77777777" w:rsidR="002F055D" w:rsidRPr="002F2FDF" w:rsidRDefault="002F05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Если ГВТУ не имеет кредитов для расчета с заводами за металлы, то потребные средства могут быть переведены управлениями инженерных снабжений или ГВТУ, или непосредственно заводам по указаниям ГВТУ. О последующем прошу не отказать меня уведомить.</w:t>
      </w:r>
    </w:p>
    <w:p w14:paraId="475EDA1E" w14:textId="77777777" w:rsidR="002F055D" w:rsidRPr="002F2FDF" w:rsidRDefault="002F05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 д. нач. инженерных снабжений военный инженер,</w:t>
      </w:r>
    </w:p>
    <w:p w14:paraId="1CE27D41" w14:textId="77777777" w:rsidR="002F055D" w:rsidRPr="002F2FDF" w:rsidRDefault="002F055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полк. Лазаревский.</w:t>
      </w:r>
    </w:p>
    <w:p w14:paraId="37EBDD9D" w14:textId="77777777" w:rsidR="002F055D"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46" w:anchor="_ftnref1" w:history="1">
        <w:r w:rsidR="002F055D" w:rsidRPr="002F2FDF">
          <w:rPr>
            <w:rFonts w:ascii="Times New Roman" w:hAnsi="Times New Roman" w:cs="Times New Roman"/>
            <w:color w:val="000000" w:themeColor="text1"/>
            <w:kern w:val="2"/>
            <w:sz w:val="16"/>
            <w:szCs w:val="16"/>
          </w:rPr>
          <w:t>[1]</w:t>
        </w:r>
      </w:hyperlink>
      <w:r w:rsidR="002F055D" w:rsidRPr="002F2FDF">
        <w:rPr>
          <w:rFonts w:ascii="Times New Roman" w:hAnsi="Times New Roman" w:cs="Times New Roman"/>
          <w:color w:val="000000" w:themeColor="text1"/>
          <w:kern w:val="2"/>
          <w:sz w:val="16"/>
          <w:szCs w:val="16"/>
        </w:rPr>
        <w:t xml:space="preserve"> Перечисленных ниже телеграмм в деле не имеется (15517).</w:t>
      </w:r>
    </w:p>
    <w:p w14:paraId="6EA18FF2" w14:textId="77777777" w:rsidR="002F055D" w:rsidRPr="002F2FDF" w:rsidRDefault="002F055D" w:rsidP="0083075A">
      <w:pPr>
        <w:spacing w:after="0" w:line="240" w:lineRule="auto"/>
        <w:jc w:val="both"/>
        <w:rPr>
          <w:rFonts w:ascii="Times New Roman" w:hAnsi="Times New Roman" w:cs="Times New Roman"/>
          <w:color w:val="000000" w:themeColor="text1"/>
          <w:kern w:val="2"/>
          <w:sz w:val="16"/>
          <w:szCs w:val="16"/>
        </w:rPr>
      </w:pPr>
    </w:p>
    <w:p w14:paraId="471C34CB" w14:textId="77777777" w:rsidR="0069777D" w:rsidRPr="002F2FDF" w:rsidRDefault="0069777D" w:rsidP="0083075A">
      <w:pPr>
        <w:pStyle w:val="p1"/>
        <w:spacing w:before="0" w:beforeAutospacing="0" w:after="0" w:afterAutospacing="0"/>
        <w:jc w:val="both"/>
        <w:rPr>
          <w:color w:val="000000" w:themeColor="text1"/>
          <w:sz w:val="16"/>
          <w:szCs w:val="16"/>
        </w:rPr>
      </w:pPr>
      <w:r w:rsidRPr="002F2FDF">
        <w:rPr>
          <w:color w:val="000000" w:themeColor="text1"/>
          <w:sz w:val="16"/>
          <w:szCs w:val="16"/>
        </w:rPr>
        <w:t>22 сентября (5 октября) 1917 г. Орлов уведомил председателя комиссии, что получено «согласие военного министра на возможное продолжение» работ по строительству Воронежского завода взрывателей, и распорядился срочно привести новый завод «в такое состояние, чтобы он был вполне пригоден к размещению и пуску в ход завода, переносимого из Петрограда». 21 октября Орлов приказал «ускорить постройку и оборудование силовой станции, минуя все препятствия». 27 октября Маниковский предписал немедленно подготовиться к «приему Сестрорецкого и Петроградского трубочного заводов, эвакуируемых спешно в г. Воронеж», и комиссия начала хлопотать о прокладке кабеля от городской электростанции и искать материал «в громадном количестве» для железнодорожной ветки и внутренних рельсовых путей. К концу ноября из 3,4 млн. руб., предназначенных на оборудование силовой станции, было израсходовано 2,6 млн. 13 января 1918 г. архитектор рапортовал, «что работы на силовой станции производятся днем и ночью непрерывно» (18409).</w:t>
      </w:r>
    </w:p>
    <w:p w14:paraId="20222F95" w14:textId="77777777" w:rsidR="0069777D" w:rsidRPr="002F2FDF" w:rsidRDefault="0069777D" w:rsidP="0083075A">
      <w:pPr>
        <w:pStyle w:val="p1"/>
        <w:spacing w:before="0" w:beforeAutospacing="0" w:after="0" w:afterAutospacing="0"/>
        <w:jc w:val="both"/>
        <w:rPr>
          <w:color w:val="000000" w:themeColor="text1"/>
          <w:sz w:val="16"/>
          <w:szCs w:val="16"/>
        </w:rPr>
      </w:pPr>
    </w:p>
    <w:p w14:paraId="5E25C486" w14:textId="77777777" w:rsidR="00E62A0D" w:rsidRPr="002F2FDF" w:rsidRDefault="00E62A0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22 сентября (5 октября) 1917 г.</w:t>
      </w:r>
    </w:p>
    <w:p w14:paraId="69F13061" w14:textId="77777777" w:rsidR="00E62A0D" w:rsidRPr="002F2FDF" w:rsidRDefault="00E62A0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Сообщение и. д. начальника инженерного снабжения армии Румынского фронта полк. Лазаревского начальнику Главного военно-технического управления о неудовлетворительном снабжении армии металлами.</w:t>
      </w:r>
    </w:p>
    <w:p w14:paraId="64D9E210" w14:textId="77777777" w:rsidR="00E62A0D" w:rsidRPr="002F2FDF" w:rsidRDefault="00E62A0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22 сентября 1917 г.</w:t>
      </w:r>
    </w:p>
    <w:p w14:paraId="15C25E13" w14:textId="77777777" w:rsidR="00E62A0D" w:rsidRPr="002F2FDF" w:rsidRDefault="00E62A0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Снабжение фронтов металлами до сих пор совершенно не упорядочено, и, несмотря на то что уже более года в определенные сроки управления инженерных снабжений представляют свои потребности сначала в ГВТУ, а в последнее время во Фронтометалл, металлы получаются лишь случайно и далеко не в том количестве, какое назначается главноуполномоченным по снабжению металлами. Потому инженерные войска и учреждения не удовлетворяются металлами даже в своих насущнейших потребностях.</w:t>
      </w:r>
    </w:p>
    <w:p w14:paraId="5C9FC5B5" w14:textId="77777777" w:rsidR="00E62A0D" w:rsidRPr="002F2FDF" w:rsidRDefault="00E62A0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Вырабатываемые на совещаниях в Ставке мероприятия к упорядочению сего снабжения и издаваемые на сей предмет инструкции исполняются лишь и части представления фронтовыми управлениями своей потребности и в отношении распределения металлов между сими учреждениями на бумаге. Фактически же металл на фронт почти не поступает.</w:t>
      </w:r>
    </w:p>
    <w:p w14:paraId="7870A38A" w14:textId="77777777" w:rsidR="00E62A0D" w:rsidRPr="002F2FDF" w:rsidRDefault="00E62A0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совещаниях, бывших в ГВТУ и затем в Ставке, ГВТУ приняло на себя оформление заказов заводам на прокатку металлов, приемку, а также и уплату. Затем из переписки выясняется, что в заводских центрах на заводах имеются ныне представители ГВТУ, на обязанности которых, казалось бы, должно быть оформление заказов ГВТУ и наблюдение за их авыполнением, и тем не менее заказы эти ГВТУ заводам, по-видимому, не даются, а на неоднократные запросы по сему поводу (мои телеграммы от 16 июня с. г. за № 5148 (военная), от 28 июня с. г. за № 5601 и 5602. от 10 июля с. г. за № 6020, от 12 июля с. г. за № 6139 (военная), от 6 сентября с. г. за № 8о28, от 17 августа с. г. за № 7599, от 5 сентября с. г. № 8439 (военная), от 6 сентября с. г. за № 8530, от 6 сентября за № 8531, от 7 сентября с. г. за Л'? 8580, от 12 сентября с. г. за № 8839 и от 13 сентября с. г. за № 8886 (военная)) ГВТУ не трудится даже ответить, за исключением одного лишь сообщения в телеграмме от 25 августа с. г. за № 121726. что Исполнительной комиссией еще не дано право ГВТУ заказывать металлы и кредиты не отпущены, потому ГВТУ просит до октября оформлять заказы непосредственно. На заявление же по сему сообщению (в телеграмме от 5 сего сентября за № 8439), что кредит может быть фронтом переведен в потребном размере, ответа опять не последовало.</w:t>
      </w:r>
    </w:p>
    <w:p w14:paraId="143EEFD4" w14:textId="77777777" w:rsidR="00E62A0D" w:rsidRPr="002F2FDF" w:rsidRDefault="00E62A0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Представители ГВТУ в некоторых заводских центрах иозаводили даже целые управления, по не оказывают никакой помощи фронтам в получении металлов. Так, управление представителя ГВТУ в г. Екатерннославе сношением от 30 августа с. г. за № 389 уведомило меня, что на заводе Донецкого металлургического об-ва штампования прокатано для управления инженерных снабжений Румынского фронта определенное количество металла. На просьбу мою в телеграмме от 13 сентября за № 8882 сообщить, на какое казначейство перевести деньги за указанный металл, и на просьбу принять металл и отправить его в Одессу мною получен ответ с предложением непосредственно снестись с заводом и командировать своего приемщика за принятием металла. Если я по всем металлическим заводам в России буду рассылать чинов своего управления и управления инспектора инженерной части округа, среди которых могущих произвести техническую приемку металлов имеется лишь несколько человек (по штату положено в обоих управлениях лишь 4 человека: 2 военных инженера, один войсковой инженер и 1 войсковой техник), то для сего не хватит сил чинов, некому будет в управлениях заниматься делопроизводством, а сверх сего непроизводительно будет тратиться время сих лиц и казенные средства на их разъезды.</w:t>
      </w:r>
    </w:p>
    <w:p w14:paraId="4D8353E2" w14:textId="77777777" w:rsidR="00E62A0D" w:rsidRPr="002F2FDF" w:rsidRDefault="00E62A0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Казалось бы, что находящиеся на заводах представители ГВТУ — инженеры — должны производить техническую приемку металлов, содействовать оформлению заказов, расчету с заводами за металлы и вызывать лишь проводников для сопровождения металла, отправляемого под их наблюдением заводами.</w:t>
      </w:r>
    </w:p>
    <w:p w14:paraId="4235E3F6" w14:textId="77777777" w:rsidR="00E62A0D" w:rsidRPr="002F2FDF" w:rsidRDefault="00E62A0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Вообще в деле снабжения металлами должен быть, наконец, введен какой-либо порядок; это снабжение должно взять в свои руки ГВТУ,  а управления инженерных снабжений должны лишь заявлять свою потребность через Фронтометалл, о чем усиленно ходатайствую.</w:t>
      </w:r>
    </w:p>
    <w:p w14:paraId="28772C8F" w14:textId="77777777" w:rsidR="00E62A0D" w:rsidRPr="002F2FDF" w:rsidRDefault="00E62A0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Если ГВТУ не имеет кредитов для расчета с заводами за металлы, то погребные средства могут быть переведены управлениями инженерных снабжений или ГВТУ, или непосредственно заводам по указаниям ГВТУ.</w:t>
      </w:r>
    </w:p>
    <w:p w14:paraId="7EF53BC4" w14:textId="77777777" w:rsidR="00E62A0D" w:rsidRPr="002F2FDF" w:rsidRDefault="00E62A0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 последующем прошу не отказать меня уведомить.</w:t>
      </w:r>
    </w:p>
    <w:p w14:paraId="2102DBE5" w14:textId="77777777" w:rsidR="00E62A0D" w:rsidRPr="002F2FDF" w:rsidRDefault="00E62A0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 д. нач. инженерных снабжений военный инженер, полк. Лазаревский.</w:t>
      </w:r>
    </w:p>
    <w:p w14:paraId="05BAA641" w14:textId="77777777" w:rsidR="00E62A0D" w:rsidRPr="002F2FDF" w:rsidRDefault="00E62A0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ЦГВИА, ф. 807, </w:t>
      </w:r>
      <w:r w:rsidRPr="002F2FDF">
        <w:rPr>
          <w:rFonts w:ascii="Times New Roman" w:hAnsi="Times New Roman" w:cs="Times New Roman"/>
          <w:color w:val="000000" w:themeColor="text1"/>
          <w:sz w:val="16"/>
          <w:szCs w:val="16"/>
          <w:lang w:val="en-US"/>
        </w:rPr>
        <w:t>on</w:t>
      </w:r>
      <w:r w:rsidRPr="002F2FDF">
        <w:rPr>
          <w:rFonts w:ascii="Times New Roman" w:hAnsi="Times New Roman" w:cs="Times New Roman"/>
          <w:color w:val="000000" w:themeColor="text1"/>
          <w:sz w:val="16"/>
          <w:szCs w:val="16"/>
        </w:rPr>
        <w:t>. 1, д. 39, лл. 263—264. Подлинник (20604).</w:t>
      </w:r>
    </w:p>
    <w:p w14:paraId="6488B8B8" w14:textId="77777777" w:rsidR="00E62A0D" w:rsidRPr="002F2FDF" w:rsidRDefault="00E62A0D" w:rsidP="0083075A">
      <w:pPr>
        <w:spacing w:after="0" w:line="240" w:lineRule="auto"/>
        <w:jc w:val="both"/>
        <w:rPr>
          <w:rFonts w:ascii="Times New Roman" w:hAnsi="Times New Roman" w:cs="Times New Roman"/>
          <w:color w:val="000000" w:themeColor="text1"/>
          <w:sz w:val="16"/>
          <w:szCs w:val="16"/>
        </w:rPr>
      </w:pPr>
    </w:p>
    <w:p w14:paraId="0008FEC9" w14:textId="7A10F77B" w:rsidR="005F2B51" w:rsidRDefault="005F2B51"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00671DB6" w14:textId="77777777" w:rsidR="005F2B51" w:rsidRDefault="005F2B51"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EEB8B70" w14:textId="4984381A" w:rsidR="005F2B51" w:rsidRPr="00FB4F67" w:rsidRDefault="005F2B51" w:rsidP="0083075A">
      <w:pPr>
        <w:spacing w:after="0" w:line="240" w:lineRule="auto"/>
        <w:jc w:val="both"/>
        <w:rPr>
          <w:rFonts w:ascii="Times New Roman" w:hAnsi="Times New Roman" w:cs="Times New Roman"/>
          <w:color w:val="0070C0"/>
          <w:sz w:val="16"/>
          <w:szCs w:val="16"/>
        </w:rPr>
      </w:pPr>
      <w:bookmarkStart w:id="326" w:name="bookmark965"/>
      <w:r>
        <w:rPr>
          <w:rFonts w:ascii="Times New Roman" w:hAnsi="Times New Roman" w:cs="Times New Roman"/>
          <w:color w:val="0070C0"/>
          <w:sz w:val="16"/>
          <w:szCs w:val="16"/>
        </w:rPr>
        <w:t>22 сентября (</w:t>
      </w:r>
      <w:r w:rsidRPr="00FB4F67">
        <w:rPr>
          <w:rFonts w:ascii="Times New Roman" w:hAnsi="Times New Roman" w:cs="Times New Roman"/>
          <w:color w:val="0070C0"/>
          <w:sz w:val="16"/>
          <w:szCs w:val="16"/>
        </w:rPr>
        <w:t>5 октября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районе Лешневка-Боровка наша батарея подвергла интенсивному обстрелу вражеский самолет, который после разрыва «у его хвоста круто повернул обратно и с выключенным мотором пошел на снижение в свое расположение» (23405).</w:t>
      </w:r>
      <w:bookmarkEnd w:id="326"/>
    </w:p>
    <w:p w14:paraId="7D5103A1" w14:textId="77777777" w:rsidR="005F2B51" w:rsidRPr="00FB4F67" w:rsidRDefault="005F2B51" w:rsidP="0083075A">
      <w:pPr>
        <w:spacing w:after="0" w:line="240" w:lineRule="auto"/>
        <w:jc w:val="both"/>
        <w:rPr>
          <w:rFonts w:ascii="Times New Roman" w:hAnsi="Times New Roman" w:cs="Times New Roman"/>
          <w:color w:val="0070C0"/>
          <w:sz w:val="16"/>
          <w:szCs w:val="16"/>
        </w:rPr>
      </w:pPr>
    </w:p>
    <w:p w14:paraId="28052BAF" w14:textId="419E5633" w:rsidR="005F2B51" w:rsidRPr="00FB4F67" w:rsidRDefault="005F2B5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22 сентября (</w:t>
      </w:r>
      <w:r w:rsidRPr="00FB4F67">
        <w:rPr>
          <w:rFonts w:ascii="Times New Roman" w:hAnsi="Times New Roman" w:cs="Times New Roman"/>
          <w:color w:val="0070C0"/>
          <w:sz w:val="16"/>
          <w:szCs w:val="16"/>
        </w:rPr>
        <w:t>5 октября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российский гидроавианосец «Республиканец» был идентифицирован как находящийся в Одессе. Его судьба неизвестна (23525).</w:t>
      </w:r>
    </w:p>
    <w:p w14:paraId="6969AFB7" w14:textId="77777777" w:rsidR="005F2B51" w:rsidRPr="00FB4F67" w:rsidRDefault="005F2B51" w:rsidP="0083075A">
      <w:pPr>
        <w:spacing w:after="0" w:line="240" w:lineRule="auto"/>
        <w:jc w:val="both"/>
        <w:rPr>
          <w:rFonts w:ascii="Times New Roman" w:hAnsi="Times New Roman" w:cs="Times New Roman"/>
          <w:color w:val="0070C0"/>
          <w:sz w:val="16"/>
          <w:szCs w:val="16"/>
        </w:rPr>
      </w:pPr>
    </w:p>
    <w:p w14:paraId="5A8826D1" w14:textId="74231199" w:rsidR="00AB78C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44608E7" w14:textId="77777777" w:rsidR="00AB78C2" w:rsidRPr="002F2FDF" w:rsidRDefault="00AB78C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D04BBF"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22 сентября (5 октября) </w:t>
      </w:r>
      <w:r w:rsidRPr="002F2FDF">
        <w:rPr>
          <w:rFonts w:ascii="Times New Roman" w:hAnsi="Times New Roman" w:cs="Times New Roman"/>
          <w:color w:val="000000" w:themeColor="text1"/>
          <w:kern w:val="2"/>
          <w:sz w:val="16"/>
          <w:szCs w:val="16"/>
        </w:rPr>
        <w:t>в 1917 году в России Петроградский Совет избирает своим председателем Льва Троцкого, который формирует комитет по подготовке вооруженного восстания (14790).</w:t>
      </w:r>
    </w:p>
    <w:p w14:paraId="3AF6E9AE"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p>
    <w:p w14:paraId="2D6F857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A5FE4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BF54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22 сентября </w:t>
      </w:r>
      <w:r w:rsidR="00680400" w:rsidRPr="002F2FDF">
        <w:rPr>
          <w:rFonts w:ascii="Times New Roman" w:hAnsi="Times New Roman" w:cs="Times New Roman"/>
          <w:color w:val="000000" w:themeColor="text1"/>
          <w:kern w:val="2"/>
          <w:sz w:val="16"/>
          <w:szCs w:val="16"/>
        </w:rPr>
        <w:t>(</w:t>
      </w:r>
      <w:r w:rsidR="00CF5032" w:rsidRPr="002F2FDF">
        <w:rPr>
          <w:rFonts w:ascii="Times New Roman" w:hAnsi="Times New Roman" w:cs="Times New Roman"/>
          <w:color w:val="000000" w:themeColor="text1"/>
          <w:kern w:val="2"/>
          <w:sz w:val="16"/>
          <w:szCs w:val="16"/>
        </w:rPr>
        <w:t>5</w:t>
      </w:r>
      <w:r w:rsidR="00680400" w:rsidRPr="002F2FDF">
        <w:rPr>
          <w:rFonts w:ascii="Times New Roman" w:hAnsi="Times New Roman" w:cs="Times New Roman"/>
          <w:color w:val="000000" w:themeColor="text1"/>
          <w:kern w:val="2"/>
          <w:sz w:val="16"/>
          <w:szCs w:val="16"/>
        </w:rPr>
        <w:t xml:space="preserve"> октября) </w:t>
      </w:r>
      <w:r w:rsidRPr="002F2FDF">
        <w:rPr>
          <w:rFonts w:ascii="Times New Roman" w:hAnsi="Times New Roman" w:cs="Times New Roman"/>
          <w:color w:val="000000" w:themeColor="text1"/>
          <w:kern w:val="2"/>
          <w:sz w:val="16"/>
          <w:szCs w:val="16"/>
        </w:rPr>
        <w:t>1917 года итальянский дирижабль М.10 был сбит над Просекко, двумя месяцами ранее та же участь постигла и М.12 над Хермада. М.17 сгорел во время полета по невыясненной причине 3 февраля 1918 года. После войны старый дирижабль М.1 переименовали в “Анджело Бернарди” и долгое время использовали для пассажирских перевозок. Он совершил 54 вылета и перевез 800 пассажиров (11324).</w:t>
      </w:r>
    </w:p>
    <w:p w14:paraId="36179B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C07052" w14:textId="2E2D36B0" w:rsidR="00752B3E" w:rsidRPr="002F2FDF" w:rsidRDefault="00752B3E" w:rsidP="0083075A">
      <w:pPr>
        <w:pStyle w:val="ae"/>
        <w:spacing w:before="0" w:after="0"/>
        <w:jc w:val="both"/>
        <w:rPr>
          <w:color w:val="000000" w:themeColor="text1"/>
          <w:kern w:val="2"/>
          <w:sz w:val="16"/>
          <w:szCs w:val="16"/>
        </w:rPr>
      </w:pPr>
      <w:r w:rsidRPr="002F2FDF">
        <w:rPr>
          <w:rStyle w:val="ucoz-forum-post"/>
          <w:bCs/>
          <w:color w:val="000000" w:themeColor="text1"/>
          <w:kern w:val="2"/>
          <w:sz w:val="16"/>
          <w:szCs w:val="16"/>
        </w:rPr>
        <w:t xml:space="preserve">22 сентября (5 октября) </w:t>
      </w:r>
      <w:r w:rsidRPr="002F2FDF">
        <w:rPr>
          <w:color w:val="000000" w:themeColor="text1"/>
          <w:kern w:val="2"/>
          <w:sz w:val="16"/>
          <w:szCs w:val="16"/>
        </w:rPr>
        <w:t>в 1917 году австрийские и итальянские войска провели последние и уже безрезультатные взаимные попытки атаковать в районе реки Изонцо в Альпах, что ознаменовало окончание уже Одиннадцатой Битвы при Изонцо. В ходе всех этих сражений итальянцы пытались упорно прорвать австрийскую оборону, но стороны лишь истощили силы друг друга, а линия фронта изменилась мало: итальянцы сумели отвоевать лишь город Гориция (на северо-востоке Италии на границе с современной Словенией — РП) и несколько соседних сел. При этом потери итальянской армии лишь в одной Одиннадцатой битве составили 40 тысяч человек убитыми, 108 тысяч ранеными</w:t>
      </w:r>
      <w:r w:rsidR="00E52569">
        <w:rPr>
          <w:color w:val="000000" w:themeColor="text1"/>
          <w:kern w:val="2"/>
          <w:sz w:val="16"/>
          <w:szCs w:val="16"/>
        </w:rPr>
        <w:t xml:space="preserve"> </w:t>
      </w:r>
      <w:r w:rsidRPr="002F2FDF">
        <w:rPr>
          <w:color w:val="000000" w:themeColor="text1"/>
          <w:kern w:val="2"/>
          <w:sz w:val="16"/>
          <w:szCs w:val="16"/>
        </w:rPr>
        <w:t>и 18 тысяч пленными. Потери австрийцев составили, соответственно, 20, 50 и 30 тысяч человек. Но поскольку Австро-Венгрии приходилось сражаться также еще и на восточном фронте, эта битва стала</w:t>
      </w:r>
      <w:r w:rsidR="00E52569">
        <w:rPr>
          <w:color w:val="000000" w:themeColor="text1"/>
          <w:kern w:val="2"/>
          <w:sz w:val="16"/>
          <w:szCs w:val="16"/>
        </w:rPr>
        <w:t xml:space="preserve"> </w:t>
      </w:r>
      <w:r w:rsidRPr="002F2FDF">
        <w:rPr>
          <w:color w:val="000000" w:themeColor="text1"/>
          <w:kern w:val="2"/>
          <w:sz w:val="16"/>
          <w:szCs w:val="16"/>
        </w:rPr>
        <w:t>для нее куда большим потрясением. В австрийской армии нарастало недовольство, высшее командование и политики в Вене стали опасаться, что в случае нового итальянского наступления австро-венгерская армия может уже не выстоять. В связи с этим Вена обратилась к германскому командованию с просьбой о помощи, чтобы нанести Италии</w:t>
      </w:r>
      <w:r w:rsidR="00E52569">
        <w:rPr>
          <w:color w:val="000000" w:themeColor="text1"/>
          <w:kern w:val="2"/>
          <w:sz w:val="16"/>
          <w:szCs w:val="16"/>
        </w:rPr>
        <w:t xml:space="preserve"> </w:t>
      </w:r>
      <w:r w:rsidRPr="002F2FDF">
        <w:rPr>
          <w:color w:val="000000" w:themeColor="text1"/>
          <w:kern w:val="2"/>
          <w:sz w:val="16"/>
          <w:szCs w:val="16"/>
        </w:rPr>
        <w:t>наконец</w:t>
      </w:r>
      <w:r w:rsidR="00E52569">
        <w:rPr>
          <w:color w:val="000000" w:themeColor="text1"/>
          <w:kern w:val="2"/>
          <w:sz w:val="16"/>
          <w:szCs w:val="16"/>
        </w:rPr>
        <w:t xml:space="preserve"> </w:t>
      </w:r>
      <w:r w:rsidRPr="002F2FDF">
        <w:rPr>
          <w:color w:val="000000" w:themeColor="text1"/>
          <w:kern w:val="2"/>
          <w:sz w:val="16"/>
          <w:szCs w:val="16"/>
        </w:rPr>
        <w:t>последний решительный удар (17045).</w:t>
      </w:r>
    </w:p>
    <w:p w14:paraId="6BA1CEC1" w14:textId="77777777" w:rsidR="00752B3E" w:rsidRPr="002F2FDF" w:rsidRDefault="00752B3E" w:rsidP="0083075A">
      <w:pPr>
        <w:spacing w:after="0" w:line="240" w:lineRule="auto"/>
        <w:jc w:val="both"/>
        <w:rPr>
          <w:rStyle w:val="ucoz-forum-post"/>
          <w:rFonts w:ascii="Times New Roman" w:hAnsi="Times New Roman" w:cs="Times New Roman"/>
          <w:bCs/>
          <w:color w:val="000000" w:themeColor="text1"/>
          <w:kern w:val="2"/>
          <w:sz w:val="16"/>
          <w:szCs w:val="16"/>
        </w:rPr>
      </w:pPr>
    </w:p>
    <w:p w14:paraId="3985C191" w14:textId="77777777" w:rsidR="00607337" w:rsidRPr="002F2FDF" w:rsidRDefault="00607337"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22 сентября (5 октября) </w:t>
      </w:r>
      <w:r w:rsidRPr="002F2FDF">
        <w:rPr>
          <w:rFonts w:ascii="Times New Roman" w:hAnsi="Times New Roman" w:cs="Times New Roman"/>
          <w:color w:val="000000" w:themeColor="text1"/>
          <w:kern w:val="2"/>
          <w:sz w:val="16"/>
          <w:szCs w:val="16"/>
        </w:rPr>
        <w:t>в 1917 году в лексиконе американцев появилось новое слово: джаз. "Literary Digest" авторитетно разъяснял, что "джаз - это музыка, заставляющая людей трястись, прыгать и корчиться". Правда, до сих пор так и не выяснено, откуда произошел этот термин, ведь даже его написание многократно менялось - chas, jasm, gism, jas, jass, jaz. Современное его написание - jazz - утвердилось лишь в 1920-е годы. Существует немало версий происхождения слова джаз, в том числе следующие: от французского jaser (болтать, говорить скороговоркой); от английского chase (гнаться, преследовать); от африканского jaiza (название определенного типа звучания барабанов); от арабского jazib (соблазнитель); от имен легендарных джазовых музыкантов - chas (от Charles), jas (от Jasper); от звукоподражания jass, имитирующего звучание африканских медных тарелок, и др. Есть основания предполагать, что слово джаз употреблялось в середине XIX века как название экстатического, ободряющего выкрика у негров, а в 1910-х годах бытовало в Чикаго и имело не вполне пристойный смысл. В 1915 году оно вошло в название джазового оркестра Т.Брауна "Torn Browns;s Dixieland Jass Band", выступавшего в Чикаго, а в 1917 появилось на грампластинке, записанной знаменитым новоорлеанским оркестром "Original Dixieland Jazz (Jass) Band" (14790).</w:t>
      </w:r>
    </w:p>
    <w:p w14:paraId="5B5FB077" w14:textId="77777777" w:rsidR="00607337" w:rsidRPr="002F2FDF" w:rsidRDefault="00607337" w:rsidP="0083075A">
      <w:pPr>
        <w:spacing w:after="0" w:line="240" w:lineRule="auto"/>
        <w:jc w:val="both"/>
        <w:rPr>
          <w:rFonts w:ascii="Times New Roman" w:hAnsi="Times New Roman" w:cs="Times New Roman"/>
          <w:color w:val="000000" w:themeColor="text1"/>
          <w:kern w:val="2"/>
          <w:sz w:val="16"/>
          <w:szCs w:val="16"/>
        </w:rPr>
      </w:pPr>
    </w:p>
    <w:p w14:paraId="0101A871" w14:textId="77777777" w:rsidR="00CF503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7A7970C" w14:textId="77777777" w:rsidR="00CF5032" w:rsidRPr="002F2FDF" w:rsidRDefault="00CF503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5A7058" w14:textId="77777777" w:rsidR="00CF5032" w:rsidRPr="002F2FDF" w:rsidRDefault="00CF5032"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До 23 сентября (6 октября) 1917 продолжалась сдача Дуксом всей партии по майскому контракту № 5583 с Авиационным отделом Главного управления кораблестроения. Отправка по назначению (нарядам) и на склад проходила в период с 9 августа по 27 сентября (15464).</w:t>
      </w:r>
    </w:p>
    <w:p w14:paraId="2F949BC3" w14:textId="77777777" w:rsidR="00CF5032" w:rsidRPr="002F2FDF" w:rsidRDefault="00CF5032" w:rsidP="0083075A">
      <w:pPr>
        <w:pStyle w:val="2"/>
        <w:spacing w:before="0" w:beforeAutospacing="0" w:after="0" w:afterAutospacing="0"/>
        <w:jc w:val="both"/>
        <w:rPr>
          <w:b w:val="0"/>
          <w:color w:val="000000" w:themeColor="text1"/>
          <w:kern w:val="2"/>
          <w:sz w:val="16"/>
          <w:szCs w:val="16"/>
        </w:rPr>
      </w:pPr>
    </w:p>
    <w:p w14:paraId="73285FBA" w14:textId="77777777" w:rsidR="00CF503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EED653E" w14:textId="77777777" w:rsidR="00CF5032" w:rsidRPr="002F2FDF" w:rsidRDefault="00CF503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51F356"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Не ранее 23 сентября (6 октября) 1917 г. Докладная записка и. о. уполномоченного по снабжению металлами Петроградского района главноуполномоченному по снабжению металлами М. П. Чернышеву о состоянии снабжения металлами и топливом заводов Петрограда и возможной остановке Обуховского, Путиловского, Невского судостроительного и других заводов вследствие отсутствия топлива.</w:t>
      </w:r>
    </w:p>
    <w:p w14:paraId="76F0EECC"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152-155</w:t>
      </w:r>
    </w:p>
    <w:p w14:paraId="14061008"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Центральная коллегия по разгрузке и эвакуации Петрограда, оп. 1, д. 149, л.1. 4—5 об. Заверенная копия.</w:t>
      </w:r>
    </w:p>
    <w:p w14:paraId="47A1C990"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исполнение личного Вашего распоряжения 23 сентября представляю при сем данные об обеспеченности металлургических заводов Петроградского района сырыми металлами:</w:t>
      </w:r>
    </w:p>
    <w:p w14:paraId="24BE7E2B"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Обуховский завод на 1 сентября имел в наличности: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41"/>
        <w:gridCol w:w="540"/>
        <w:gridCol w:w="352"/>
      </w:tblGrid>
      <w:tr w:rsidR="002B1C74" w:rsidRPr="002F2FDF" w14:paraId="2EE0ADC8" w14:textId="77777777" w:rsidTr="00C7105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FAFDD4"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Чугуна бакальского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88F6C"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581220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3012A"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пуд.</w:t>
            </w:r>
          </w:p>
        </w:tc>
      </w:tr>
      <w:tr w:rsidR="002B1C74" w:rsidRPr="002F2FDF" w14:paraId="007F6C62" w14:textId="77777777" w:rsidTr="00C7105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779F81"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Зеркального чугуна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F0D81"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5C83B"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437FBE7F" w14:textId="77777777" w:rsidTr="00C7105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6DA346"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Болванки (для завалки в мартеновскую печь)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D8CB3"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B6CF4" w14:textId="37C4D8E3" w:rsidR="00CF5032"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bl>
    <w:p w14:paraId="16BBD4DF"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Бакальским чугуном завод обеспечен на 7 месяцев работы, зеркальный чугун закуплен в количестве 10 тыс. пуд. у Путиловского завода, и этими 13 021 пудами завод может работать несколько месяцев, болванки хватит лишь на месяц, но она может быть заменена ломом, на котором завод продержится еще до 2 месяцев.</w:t>
      </w:r>
    </w:p>
    <w:p w14:paraId="3EE23478"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Крайне остро на Обуховском заводе положение с топливом. На 1 сентября наличие его было: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7"/>
        <w:gridCol w:w="540"/>
        <w:gridCol w:w="342"/>
      </w:tblGrid>
      <w:tr w:rsidR="002B1C74" w:rsidRPr="002F2FDF" w14:paraId="6FBCAA4E"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03C80C"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E2FC7"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BC0B5"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Пуд</w:t>
            </w:r>
          </w:p>
        </w:tc>
      </w:tr>
      <w:tr w:rsidR="002B1C74" w:rsidRPr="002F2FDF" w14:paraId="1B753073"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DE6846"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Антрацита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31BAB"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971F2"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7AE1DD40"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D07607"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CEAF8"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F12D3"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509D5510"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F1CDB8"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Мазута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DF437"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EE328"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bl>
    <w:p w14:paraId="3ED5375B"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22 сентября наличность выражается в таких цифрах:</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7"/>
        <w:gridCol w:w="2731"/>
      </w:tblGrid>
      <w:tr w:rsidR="002B1C74" w:rsidRPr="002F2FDF" w14:paraId="36D1444D"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B97128"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6CFDE"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66000 пуд., или на 3 дня работы завода</w:t>
            </w:r>
          </w:p>
        </w:tc>
      </w:tr>
      <w:tr w:rsidR="002B1C74" w:rsidRPr="002F2FDF" w14:paraId="317D575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3610D9"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Антрацита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10443"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49000 » или на 4 дня работы завода</w:t>
            </w:r>
          </w:p>
        </w:tc>
      </w:tr>
      <w:tr w:rsidR="002B1C74" w:rsidRPr="002F2FDF" w14:paraId="6C267244"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8D0FCE"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43232"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35000 » или на 23 дня работы завода</w:t>
            </w:r>
          </w:p>
        </w:tc>
      </w:tr>
      <w:tr w:rsidR="002B1C74" w:rsidRPr="002F2FDF" w14:paraId="06B7C30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FA8D32"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Мазута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77F9F"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100000 » или на 20 дней работы завода</w:t>
            </w:r>
          </w:p>
        </w:tc>
      </w:tr>
    </w:tbl>
    <w:p w14:paraId="52C22D06"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завод остановится из-за недостатка угля и антрацита, как только прекратится доставка их.</w:t>
      </w:r>
    </w:p>
    <w:p w14:paraId="7E462993"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сырых металлов завод нуждается лишь в литейном чугуне и гематите.</w:t>
      </w:r>
    </w:p>
    <w:p w14:paraId="64B5E9E8"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Ижорский завод имеет на 1 сентября запас южного и бакальского чугуна 700 тыс. пуд. и литейного — 27 тыс. пуд. и ожидает получения в сентябре назначенного по программе прокатки чугуна 30 тыс. пуд., из них 20 тыс. пуд. уже получено. Этого количества хватит до конца года.</w:t>
      </w:r>
    </w:p>
    <w:p w14:paraId="31DB4CB6"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Топлива имеется на 20 сентября: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7"/>
        <w:gridCol w:w="2372"/>
      </w:tblGrid>
      <w:tr w:rsidR="002B1C74" w:rsidRPr="002F2FDF" w14:paraId="089ADD2A"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1ABD61"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01538"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380000 пуд.</w:t>
            </w:r>
          </w:p>
        </w:tc>
      </w:tr>
      <w:tr w:rsidR="002B1C74" w:rsidRPr="002F2FDF" w14:paraId="4E40DA0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23433D"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Нефти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750BB"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270000 пуд., т. е. на месяц работы</w:t>
            </w:r>
          </w:p>
        </w:tc>
      </w:tr>
    </w:tbl>
    <w:p w14:paraId="28F9B61C"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назначенного на сентябрь следует получить каменного угля и антрацита 170 тыс. и нефти — 160 тыс. пуд.</w:t>
      </w:r>
    </w:p>
    <w:p w14:paraId="0ECC090C"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Петроградские железопрокатные и проволочные заводы Донецко-Юрьевского металлургического об-ва на 1 сентября имели: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10"/>
        <w:gridCol w:w="792"/>
      </w:tblGrid>
      <w:tr w:rsidR="002B1C74" w:rsidRPr="002F2FDF" w14:paraId="3A4B8C71"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83BFAA"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Болванки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CC057"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57225 пуд.</w:t>
            </w:r>
          </w:p>
        </w:tc>
      </w:tr>
      <w:tr w:rsidR="002B1C74" w:rsidRPr="002F2FDF" w14:paraId="2BCA4EB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57A5C9"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Старой брони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00EF2"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15000 »</w:t>
            </w:r>
          </w:p>
        </w:tc>
      </w:tr>
      <w:tr w:rsidR="002B1C74" w:rsidRPr="002F2FDF" w14:paraId="00F2CF5F"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3B163B"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Фосфористой гаечной заготовки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0950B"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18000 »</w:t>
            </w:r>
          </w:p>
        </w:tc>
      </w:tr>
      <w:tr w:rsidR="002B1C74" w:rsidRPr="002F2FDF" w14:paraId="0112293E"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0A1319"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Кроме того, после 1 сентября поступило болванки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BB100"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 »</w:t>
            </w:r>
          </w:p>
        </w:tc>
      </w:tr>
    </w:tbl>
    <w:p w14:paraId="30C4D3A4"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Дальнейших поступлений металла не ожидается, а имеющегося достаточно для действия завода до конца октября, т. е. до времени его закрытия согласно распоряжению главноуполномоченного по снабжению металлами от 1 августа № 24948. Кроме того, на заводе имеется 69 тыс. пуд. уральского чугуна, в том числе 3500 пуд. фосфористого. Весь чугун предполагается уступить Путиловскому заводу. Что касается топлива, то угля на прокатном заводе 53 тыс. [пуд.] и его хватит до конца работы, на проволочном же заводе всего 3000 пуд. угля и имеется дубликатов на 6000 пуд. Ежемесячный расход 25 тыс. пуд. Недостаток на проволочном заводе топлива может быть отчасти покрыт с прокатного завода.</w:t>
      </w:r>
    </w:p>
    <w:p w14:paraId="09F80330"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Невский судостроительный и механический завод имеет на 1 сентября: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01"/>
        <w:gridCol w:w="752"/>
      </w:tblGrid>
      <w:tr w:rsidR="002B1C74" w:rsidRPr="002F2FDF" w14:paraId="58D2A945"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9F07CB"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Чугуна литейного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AAD2F"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64085 пуд</w:t>
            </w:r>
          </w:p>
        </w:tc>
      </w:tr>
      <w:tr w:rsidR="002B1C74" w:rsidRPr="002F2FDF" w14:paraId="69E8E13E"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B49F50"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передельного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076C3"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43535 »</w:t>
            </w:r>
          </w:p>
        </w:tc>
      </w:tr>
      <w:tr w:rsidR="002B1C74" w:rsidRPr="002F2FDF" w14:paraId="43C3553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15EF87"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зеркального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2C604"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18674 »</w:t>
            </w:r>
          </w:p>
        </w:tc>
      </w:tr>
      <w:tr w:rsidR="002B1C74" w:rsidRPr="002F2FDF" w14:paraId="6ED3496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A980BD"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Силико-ишигеля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CB75C"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2268 »</w:t>
            </w:r>
          </w:p>
        </w:tc>
      </w:tr>
      <w:tr w:rsidR="002B1C74" w:rsidRPr="002F2FDF" w14:paraId="5F27E976"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B47798"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Ферросилиция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CE773"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11148 »</w:t>
            </w:r>
          </w:p>
        </w:tc>
      </w:tr>
      <w:tr w:rsidR="002B1C74" w:rsidRPr="002F2FDF" w14:paraId="618DE008"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344709"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Ферромарганца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5DEB8"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77 »</w:t>
            </w:r>
          </w:p>
        </w:tc>
      </w:tr>
    </w:tbl>
    <w:p w14:paraId="1AD86CAC"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Литейного чугуна по настоящему расходу его хватит на 6 месяцев, передельного на 3 месяца, специального на 3 месяца. Болванки имеется 206 291 пуд., или на 4 месяца, заготовки 53 226 пуд., или на 1% месяца; последняя получается из болванки и, следовательно, будет пополняться при работе завода. Топлива на 25 сентября на заводе: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02"/>
        <w:gridCol w:w="792"/>
      </w:tblGrid>
      <w:tr w:rsidR="002B1C74" w:rsidRPr="002F2FDF" w14:paraId="037D432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CDCD2F"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Паровичного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587F3"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Нет</w:t>
            </w:r>
          </w:p>
        </w:tc>
      </w:tr>
      <w:tr w:rsidR="002B1C74" w:rsidRPr="002F2FDF" w14:paraId="5B7716D1"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851842"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Генераторного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0A2EC"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15000 пуд.</w:t>
            </w:r>
          </w:p>
        </w:tc>
      </w:tr>
      <w:tr w:rsidR="002B1C74" w:rsidRPr="002F2FDF" w14:paraId="6C4259AA"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B33D07"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Кузнечного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8D4A4"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1740 »</w:t>
            </w:r>
          </w:p>
        </w:tc>
      </w:tr>
      <w:tr w:rsidR="002B1C74" w:rsidRPr="002F2FDF" w14:paraId="0437B6DA"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76C78B"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Антрацита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1F1D8"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9130 »</w:t>
            </w:r>
          </w:p>
        </w:tc>
      </w:tr>
      <w:tr w:rsidR="002B1C74" w:rsidRPr="002F2FDF" w14:paraId="54FE570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6E7254"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4F600"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20000 »</w:t>
            </w:r>
          </w:p>
        </w:tc>
      </w:tr>
      <w:tr w:rsidR="002B1C74" w:rsidRPr="002F2FDF" w14:paraId="7F42090A"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5CCF0E"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Нефти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01211"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177116 »</w:t>
            </w:r>
          </w:p>
        </w:tc>
      </w:tr>
    </w:tbl>
    <w:p w14:paraId="2361AFEF"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замене паровичного' угля генераторным того и другого сорта хватит на 1 %—2 дня, кузнечного угля на 15 дней, антрацита на 6 дней, кокса — на 12 дней и нефти на месяц.</w:t>
      </w:r>
    </w:p>
    <w:p w14:paraId="75A71B7E"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Кроме того, на заводе имеются накладные на топливо, находящееся в пути, а именно: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51"/>
        <w:gridCol w:w="999"/>
      </w:tblGrid>
      <w:tr w:rsidR="002B1C74" w:rsidRPr="002F2FDF" w14:paraId="35D32334"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D6AF67"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паровичный 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3DB5C"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12 вагонов</w:t>
            </w:r>
          </w:p>
        </w:tc>
      </w:tr>
      <w:tr w:rsidR="002B1C74" w:rsidRPr="002F2FDF" w14:paraId="5CDF9627"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FA4001"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генераторный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765675"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 »</w:t>
            </w:r>
          </w:p>
        </w:tc>
      </w:tr>
      <w:tr w:rsidR="002B1C74" w:rsidRPr="002F2FDF" w14:paraId="63CD81BE"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90333C"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антрацит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A28D7"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 »</w:t>
            </w:r>
          </w:p>
        </w:tc>
      </w:tr>
      <w:tr w:rsidR="002B1C74" w:rsidRPr="002F2FDF" w14:paraId="7AA31BD4"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F7345B"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кокс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07B32"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4 »</w:t>
            </w:r>
          </w:p>
        </w:tc>
      </w:tr>
    </w:tbl>
    <w:p w14:paraId="5E6F9F28"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Александровский завод Николаевской ж. д. имеет на 1 сентября: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68"/>
        <w:gridCol w:w="672"/>
      </w:tblGrid>
      <w:tr w:rsidR="002B1C74" w:rsidRPr="002F2FDF" w14:paraId="741B0830"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39A735"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Чугуна уральского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088BF"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8400 пуд</w:t>
            </w:r>
          </w:p>
        </w:tc>
      </w:tr>
      <w:tr w:rsidR="002B1C74" w:rsidRPr="002F2FDF" w14:paraId="16C324F0"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15FC91"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литеиного южного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72C82"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8162 »</w:t>
            </w:r>
          </w:p>
        </w:tc>
      </w:tr>
      <w:tr w:rsidR="002B1C74" w:rsidRPr="002F2FDF" w14:paraId="693409CC"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6CB706"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белого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635A1"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6000 »</w:t>
            </w:r>
          </w:p>
        </w:tc>
      </w:tr>
      <w:tr w:rsidR="002B1C74" w:rsidRPr="002F2FDF" w14:paraId="0674BA6E"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68CCAD"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марганцовистого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0C790"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1010 »</w:t>
            </w:r>
          </w:p>
        </w:tc>
      </w:tr>
      <w:tr w:rsidR="002B1C74" w:rsidRPr="002F2FDF" w14:paraId="4E51A4CF"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20BCA4"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фосфористого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1BFA3"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2000 »</w:t>
            </w:r>
          </w:p>
        </w:tc>
      </w:tr>
      <w:tr w:rsidR="002B1C74" w:rsidRPr="002F2FDF" w14:paraId="154C8FAF"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2C75D0"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Заготовки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07386"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7879 »</w:t>
            </w:r>
          </w:p>
        </w:tc>
      </w:tr>
    </w:tbl>
    <w:p w14:paraId="3530E24C"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вследствие забастовок стоит, между тем имеет значительный для него запас топлива, а именно: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7"/>
        <w:gridCol w:w="792"/>
      </w:tblGrid>
      <w:tr w:rsidR="002B1C74" w:rsidRPr="002F2FDF" w14:paraId="38D429F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666084"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178CE"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24202 пуд.</w:t>
            </w:r>
          </w:p>
        </w:tc>
      </w:tr>
      <w:tr w:rsidR="002B1C74" w:rsidRPr="002F2FDF" w14:paraId="42D2FE2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59B162"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Антрацита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6C43C"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97214 »</w:t>
            </w:r>
          </w:p>
        </w:tc>
      </w:tr>
      <w:tr w:rsidR="002B1C74" w:rsidRPr="002F2FDF" w14:paraId="6F14694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6CD52B"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A9288"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65647 »</w:t>
            </w:r>
          </w:p>
        </w:tc>
      </w:tr>
    </w:tbl>
    <w:p w14:paraId="7D17F559"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Путиловский завод имеет на 16 сентября:*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20"/>
        <w:gridCol w:w="872"/>
      </w:tblGrid>
      <w:tr w:rsidR="002B1C74" w:rsidRPr="002F2FDF" w14:paraId="099B226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2C63D3"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Чугуна передельного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E5F4F"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689860 пуд,</w:t>
            </w:r>
          </w:p>
        </w:tc>
      </w:tr>
      <w:tr w:rsidR="002B1C74" w:rsidRPr="002F2FDF" w14:paraId="45F34EDD"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82C46C"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литейного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62D43"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14550 »</w:t>
            </w:r>
          </w:p>
        </w:tc>
      </w:tr>
      <w:tr w:rsidR="002B1C74" w:rsidRPr="002F2FDF" w14:paraId="4943B73E"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2540F0"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специального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90A10"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310578 »</w:t>
            </w:r>
          </w:p>
        </w:tc>
      </w:tr>
      <w:tr w:rsidR="002B1C74" w:rsidRPr="002F2FDF" w14:paraId="52B6C918"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D99E8A"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Болванки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3E5E1"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65726 »</w:t>
            </w:r>
          </w:p>
        </w:tc>
      </w:tr>
      <w:tr w:rsidR="002B1C74" w:rsidRPr="002F2FDF" w14:paraId="2AADEA2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4D8E30"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Заготовки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49391"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381358 »</w:t>
            </w:r>
          </w:p>
        </w:tc>
      </w:tr>
    </w:tbl>
    <w:p w14:paraId="6CFBE6A0" w14:textId="34BFA405"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Чугуна передельного, идущего в мартеновские печи, хватит на 61/2</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месяцев, литейного — на 10 дней, специального чугуна достаточно на очень продолжительный срок. Топлива на заводе в наличности: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43"/>
        <w:gridCol w:w="2081"/>
      </w:tblGrid>
      <w:tr w:rsidR="002B1C74" w:rsidRPr="002F2FDF" w14:paraId="095073B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CB84E2"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Угля каменного паровичного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59637"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80142 пуд., или на |2 дня</w:t>
            </w:r>
          </w:p>
        </w:tc>
      </w:tr>
      <w:tr w:rsidR="002B1C74" w:rsidRPr="002F2FDF" w14:paraId="713FAC97"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7485CD"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 кузнечного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E0482"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2353 » » » 1 день</w:t>
            </w:r>
          </w:p>
        </w:tc>
      </w:tr>
      <w:tr w:rsidR="002B1C74" w:rsidRPr="002F2FDF" w14:paraId="014323A0"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CD13FE"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Антрацита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4C9EC"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21178 » » » 1 »</w:t>
            </w:r>
          </w:p>
        </w:tc>
      </w:tr>
      <w:tr w:rsidR="002B1C74" w:rsidRPr="002F2FDF" w14:paraId="6C6E141A"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BA7025"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CF134"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51196 » » » 16 диен</w:t>
            </w:r>
          </w:p>
        </w:tc>
      </w:tr>
      <w:tr w:rsidR="002B1C74" w:rsidRPr="002F2FDF" w14:paraId="368A20D9"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0623BA"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Нефтяных остатков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58131"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627184 » » » 2 месяца работы</w:t>
            </w:r>
          </w:p>
        </w:tc>
      </w:tr>
    </w:tbl>
    <w:p w14:paraId="6C1AFBD2"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Завод Русского об-ва для изготовления снарядов и военных припасов (бывший ГІарвиайнен) имеет на 18 сентября: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88"/>
        <w:gridCol w:w="867"/>
      </w:tblGrid>
      <w:tr w:rsidR="002B1C74" w:rsidRPr="002F2FDF" w14:paraId="041AAD4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3BA312"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Чугуна шведского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BC614"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119384 пуд,</w:t>
            </w:r>
          </w:p>
        </w:tc>
      </w:tr>
      <w:tr w:rsidR="002B1C74" w:rsidRPr="002F2FDF" w14:paraId="43A9212C"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75751A"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Болванки мартеновской стали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A1BCB"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36191 »</w:t>
            </w:r>
          </w:p>
        </w:tc>
      </w:tr>
      <w:tr w:rsidR="002B1C74" w:rsidRPr="002F2FDF" w14:paraId="6A467498"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6A7A70"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Инструментальной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7F247"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7797 »</w:t>
            </w:r>
          </w:p>
        </w:tc>
      </w:tr>
      <w:tr w:rsidR="002B1C74" w:rsidRPr="002F2FDF" w14:paraId="279C04D8"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F3CD27"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Болванки для снарядов, бомо и шрапнелей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21427"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465584 »</w:t>
            </w:r>
          </w:p>
        </w:tc>
      </w:tr>
      <w:tr w:rsidR="002B1C74" w:rsidRPr="002F2FDF" w14:paraId="5D16A1C9"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72A2CB"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Заготовки для 3-дюй.ѵювых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C14CB"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48032 »</w:t>
            </w:r>
          </w:p>
        </w:tc>
      </w:tr>
    </w:tbl>
    <w:p w14:paraId="4849878B" w14:textId="326D24D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Чугун и мартеновская сталь идет для переплавки в тиглях, и ею завод обеспечен на несколько месяцев, болванкой тоже надолго, заготовкой на 1/2</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месяца.</w:t>
      </w:r>
    </w:p>
    <w:p w14:paraId="47E1AC13"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Топливо на заводе: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7"/>
        <w:gridCol w:w="1389"/>
      </w:tblGrid>
      <w:tr w:rsidR="002B1C74" w:rsidRPr="002F2FDF" w14:paraId="187F9665"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9320CE"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E58C1"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1144 пуд. на Уг дня</w:t>
            </w:r>
          </w:p>
        </w:tc>
      </w:tr>
      <w:tr w:rsidR="002B1C74" w:rsidRPr="002F2FDF" w14:paraId="4FC92661"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B94F98"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Нефти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F6F2E"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3369 » » 3 »</w:t>
            </w:r>
          </w:p>
        </w:tc>
      </w:tr>
      <w:tr w:rsidR="002B1C74" w:rsidRPr="002F2FDF" w14:paraId="112D3D9E"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D23C04"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54B0F"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7323 » » 2 месяца</w:t>
            </w:r>
          </w:p>
        </w:tc>
      </w:tr>
    </w:tbl>
    <w:p w14:paraId="0FA18E99"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приведенных данных о металлургических заводах Петрограда видно, что сырым металлом заводы обеспечены на более или менее продолжительный срок работы, так как если на одних заводах и ощущается недостаток некоторых металлов, то он может быть пополнен избытком с других заводов. Между тем с топливом положение критическое, особенно на заводах Обуховском, Невском судостроительном, заиоде Об-ва для изготовления снарядов и военных припасов. Исключение составляет в этом отношении Александровский завод, но при малом расходе топлина он своими запасами не может существенно облегчить положение других заводов.</w:t>
      </w:r>
    </w:p>
    <w:p w14:paraId="43E83FE6"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при малейшей задержке в доставке минерального топлива заводы Обуховский, Путиловский, завод Об-ва для изготовления снарядов и Невский судостроительный обречены на неизбеяшую остановку (15662).</w:t>
      </w:r>
    </w:p>
    <w:p w14:paraId="3FE83CDC" w14:textId="77777777" w:rsidR="00CF5032" w:rsidRPr="002F2FDF" w:rsidRDefault="00CF5032" w:rsidP="0083075A">
      <w:pPr>
        <w:spacing w:after="0" w:line="240" w:lineRule="auto"/>
        <w:jc w:val="both"/>
        <w:rPr>
          <w:rFonts w:ascii="Times New Roman" w:hAnsi="Times New Roman" w:cs="Times New Roman"/>
          <w:color w:val="000000" w:themeColor="text1"/>
          <w:kern w:val="2"/>
          <w:sz w:val="16"/>
          <w:szCs w:val="16"/>
        </w:rPr>
      </w:pPr>
    </w:p>
    <w:p w14:paraId="4B73A9C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F43FE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9390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сентября (6 октября) 1917 при посадке скользнул на крыло и упал, разбив самолет, лет</w:t>
      </w:r>
      <w:r w:rsidRPr="002F2FDF">
        <w:rPr>
          <w:rFonts w:ascii="Times New Roman" w:hAnsi="Times New Roman" w:cs="Times New Roman"/>
          <w:color w:val="000000" w:themeColor="text1"/>
          <w:kern w:val="2"/>
          <w:sz w:val="16"/>
          <w:szCs w:val="16"/>
        </w:rPr>
        <w:softHyphen/>
        <w:t>чик 2-го као Крылов. Он получил травмы и был отправлен в госпиталь (3954).</w:t>
      </w:r>
    </w:p>
    <w:p w14:paraId="5E1AC8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646201" w14:textId="76C72393" w:rsidR="005F2B51" w:rsidRPr="00FB4F67" w:rsidRDefault="005F2B5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23 сентября (</w:t>
      </w:r>
      <w:r w:rsidRPr="00FB4F67">
        <w:rPr>
          <w:rFonts w:ascii="Times New Roman" w:hAnsi="Times New Roman" w:cs="Times New Roman"/>
          <w:color w:val="0070C0"/>
          <w:sz w:val="16"/>
          <w:szCs w:val="16"/>
        </w:rPr>
        <w:t>6 октября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было отмечено появление неприятельского аэроплана в глубоком тылу русских войск. Германский летательный аппарат провел воздушную разведку м. Лахва (Мозырский уезд) (23405).</w:t>
      </w:r>
    </w:p>
    <w:p w14:paraId="0410ABE4" w14:textId="77777777" w:rsidR="005F2B51" w:rsidRPr="00FB4F67" w:rsidRDefault="005F2B51" w:rsidP="0083075A">
      <w:pPr>
        <w:spacing w:after="0" w:line="240" w:lineRule="auto"/>
        <w:jc w:val="both"/>
        <w:rPr>
          <w:rFonts w:ascii="Times New Roman" w:hAnsi="Times New Roman" w:cs="Times New Roman"/>
          <w:color w:val="0070C0"/>
          <w:sz w:val="16"/>
          <w:szCs w:val="16"/>
        </w:rPr>
      </w:pPr>
    </w:p>
    <w:p w14:paraId="44982AF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CB407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92F9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сентября (6 октября) 1917 ВЦИК и Демократическое совещание приняли решение созвать 20 октября съезд Советов (3908,263).</w:t>
      </w:r>
    </w:p>
    <w:p w14:paraId="3E675F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B823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сентября (6 октября) 1917 Петросовет избрал своим председателем Л.Д.Троцкого, который сформировал комитет по подготовке вооруженного восстания (3481).</w:t>
      </w:r>
    </w:p>
    <w:p w14:paraId="193EF0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AEB9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23-26 сентября (6-9 октября) 1917 была всероссийская забастовка железнодорожников (3908,262).</w:t>
      </w:r>
    </w:p>
    <w:p w14:paraId="301ABC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B68CC0" w14:textId="77777777" w:rsidR="00607337" w:rsidRPr="002F2FDF" w:rsidRDefault="00607337"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23 сентября (6 октября) </w:t>
      </w:r>
      <w:r w:rsidRPr="002F2FDF">
        <w:rPr>
          <w:rFonts w:ascii="Times New Roman" w:hAnsi="Times New Roman" w:cs="Times New Roman"/>
          <w:color w:val="000000" w:themeColor="text1"/>
          <w:kern w:val="2"/>
          <w:sz w:val="16"/>
          <w:szCs w:val="16"/>
        </w:rPr>
        <w:t>в 1917 году тайное возвращение Ленина в Петроград (14791).</w:t>
      </w:r>
    </w:p>
    <w:p w14:paraId="52424CC2" w14:textId="77777777" w:rsidR="00607337" w:rsidRPr="002F2FDF" w:rsidRDefault="00607337" w:rsidP="0083075A">
      <w:pPr>
        <w:spacing w:after="0" w:line="240" w:lineRule="auto"/>
        <w:jc w:val="both"/>
        <w:rPr>
          <w:rFonts w:ascii="Times New Roman" w:hAnsi="Times New Roman" w:cs="Times New Roman"/>
          <w:color w:val="000000" w:themeColor="text1"/>
          <w:kern w:val="2"/>
          <w:sz w:val="16"/>
          <w:szCs w:val="16"/>
        </w:rPr>
      </w:pPr>
    </w:p>
    <w:p w14:paraId="5487925B" w14:textId="77777777" w:rsidR="00607337" w:rsidRPr="002F2FDF" w:rsidRDefault="00607337"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23 сентября (6 октября) </w:t>
      </w:r>
      <w:r w:rsidRPr="002F2FDF">
        <w:rPr>
          <w:rFonts w:ascii="Times New Roman" w:hAnsi="Times New Roman" w:cs="Times New Roman"/>
          <w:color w:val="000000" w:themeColor="text1"/>
          <w:kern w:val="2"/>
          <w:sz w:val="16"/>
          <w:szCs w:val="16"/>
        </w:rPr>
        <w:t>в 1917 году уход большевиков из Предпарламента. Большевики порывают с социалистическими партиями и провозглашают революционный путь в борьбе за власть (14791).</w:t>
      </w:r>
    </w:p>
    <w:p w14:paraId="70068BC4" w14:textId="77777777" w:rsidR="00607337" w:rsidRPr="002F2FDF" w:rsidRDefault="00607337" w:rsidP="0083075A">
      <w:pPr>
        <w:spacing w:after="0" w:line="240" w:lineRule="auto"/>
        <w:jc w:val="both"/>
        <w:rPr>
          <w:rFonts w:ascii="Times New Roman" w:hAnsi="Times New Roman" w:cs="Times New Roman"/>
          <w:color w:val="000000" w:themeColor="text1"/>
          <w:kern w:val="2"/>
          <w:sz w:val="16"/>
          <w:szCs w:val="16"/>
        </w:rPr>
      </w:pPr>
    </w:p>
    <w:p w14:paraId="462CCED2" w14:textId="77777777" w:rsidR="00607337" w:rsidRPr="002F2FDF" w:rsidRDefault="00607337"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23 сентября (6 октября) </w:t>
      </w:r>
      <w:r w:rsidRPr="002F2FDF">
        <w:rPr>
          <w:rFonts w:ascii="Times New Roman" w:hAnsi="Times New Roman" w:cs="Times New Roman"/>
          <w:color w:val="000000" w:themeColor="text1"/>
          <w:kern w:val="2"/>
          <w:sz w:val="16"/>
          <w:szCs w:val="16"/>
        </w:rPr>
        <w:t>в 1917 году большевики создали в Петрограде курсы подготовки руководителей вооруженного восстания на местах (под видом курсов организаторов выборов в Учредительное Собрание) (14791).</w:t>
      </w:r>
    </w:p>
    <w:p w14:paraId="4007286E" w14:textId="77777777" w:rsidR="00607337" w:rsidRPr="002F2FDF" w:rsidRDefault="00607337" w:rsidP="0083075A">
      <w:pPr>
        <w:spacing w:after="0" w:line="240" w:lineRule="auto"/>
        <w:jc w:val="both"/>
        <w:rPr>
          <w:rFonts w:ascii="Times New Roman" w:hAnsi="Times New Roman" w:cs="Times New Roman"/>
          <w:color w:val="000000" w:themeColor="text1"/>
          <w:kern w:val="2"/>
          <w:sz w:val="16"/>
          <w:szCs w:val="16"/>
        </w:rPr>
      </w:pPr>
    </w:p>
    <w:p w14:paraId="6DA6CB2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2CC13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0F0D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сентября (6 октября) 1917 в США Литературным дайджестом в обиход было введено слово джаз (3481).</w:t>
      </w:r>
    </w:p>
    <w:p w14:paraId="0E7795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C1CD1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1E514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4832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сентября (7 октября) 1917 потерпел аварию морской торпедоносец ГАСН (гидроаэроплан специального назначения) Д.П.Григоровича и М.М.Шишмарева - зав. КБ на заводе Т.Т.Щетинина. Это был первый в мире специализированный торпедоносец, который проектировался и строился с 1916. Летал с 24 августа 1917 А.Е.Грузинов. Мореходность и управляемость были хорошими, но у военной приемки были замечания (237,130).</w:t>
      </w:r>
    </w:p>
    <w:p w14:paraId="58B9B3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1F76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сентября (7 октября) 1917 самолёт ГАСН в очередном испытательном полёте потер</w:t>
      </w:r>
      <w:r w:rsidRPr="002F2FDF">
        <w:rPr>
          <w:rFonts w:ascii="Times New Roman" w:hAnsi="Times New Roman" w:cs="Times New Roman"/>
          <w:color w:val="000000" w:themeColor="text1"/>
          <w:kern w:val="2"/>
          <w:sz w:val="16"/>
          <w:szCs w:val="16"/>
        </w:rPr>
        <w:softHyphen/>
        <w:t>пел аварию. Военная приёмка по</w:t>
      </w:r>
      <w:r w:rsidRPr="002F2FDF">
        <w:rPr>
          <w:rFonts w:ascii="Times New Roman" w:hAnsi="Times New Roman" w:cs="Times New Roman"/>
          <w:color w:val="000000" w:themeColor="text1"/>
          <w:kern w:val="2"/>
          <w:sz w:val="16"/>
          <w:szCs w:val="16"/>
        </w:rPr>
        <w:softHyphen/>
        <w:t>считала самолёт недоработанным и требующим доводки. 24 августа 1917 г. состоялся первый полет ГАСН. Он оказался удовлетвори</w:t>
      </w:r>
      <w:r w:rsidRPr="002F2FDF">
        <w:rPr>
          <w:rFonts w:ascii="Times New Roman" w:hAnsi="Times New Roman" w:cs="Times New Roman"/>
          <w:color w:val="000000" w:themeColor="text1"/>
          <w:kern w:val="2"/>
          <w:sz w:val="16"/>
          <w:szCs w:val="16"/>
        </w:rPr>
        <w:softHyphen/>
        <w:t>тельным, но потребовалось выпол</w:t>
      </w:r>
      <w:r w:rsidRPr="002F2FDF">
        <w:rPr>
          <w:rFonts w:ascii="Times New Roman" w:hAnsi="Times New Roman" w:cs="Times New Roman"/>
          <w:color w:val="000000" w:themeColor="text1"/>
          <w:kern w:val="2"/>
          <w:sz w:val="16"/>
          <w:szCs w:val="16"/>
        </w:rPr>
        <w:softHyphen/>
        <w:t>нить доработки: изменить центров</w:t>
      </w:r>
      <w:r w:rsidRPr="002F2FDF">
        <w:rPr>
          <w:rFonts w:ascii="Times New Roman" w:hAnsi="Times New Roman" w:cs="Times New Roman"/>
          <w:color w:val="000000" w:themeColor="text1"/>
          <w:kern w:val="2"/>
          <w:sz w:val="16"/>
          <w:szCs w:val="16"/>
        </w:rPr>
        <w:softHyphen/>
        <w:t>ку, установить другое крыло, уве</w:t>
      </w:r>
      <w:r w:rsidRPr="002F2FDF">
        <w:rPr>
          <w:rFonts w:ascii="Times New Roman" w:hAnsi="Times New Roman" w:cs="Times New Roman"/>
          <w:color w:val="000000" w:themeColor="text1"/>
          <w:kern w:val="2"/>
          <w:sz w:val="16"/>
          <w:szCs w:val="16"/>
        </w:rPr>
        <w:softHyphen/>
        <w:t>личить прочность подкрыльных по</w:t>
      </w:r>
      <w:r w:rsidRPr="002F2FDF">
        <w:rPr>
          <w:rFonts w:ascii="Times New Roman" w:hAnsi="Times New Roman" w:cs="Times New Roman"/>
          <w:color w:val="000000" w:themeColor="text1"/>
          <w:kern w:val="2"/>
          <w:sz w:val="16"/>
          <w:szCs w:val="16"/>
        </w:rPr>
        <w:softHyphen/>
        <w:t>плавков. История повторялась - ни один самолет Григоровича не по</w:t>
      </w:r>
      <w:r w:rsidRPr="002F2FDF">
        <w:rPr>
          <w:rFonts w:ascii="Times New Roman" w:hAnsi="Times New Roman" w:cs="Times New Roman"/>
          <w:color w:val="000000" w:themeColor="text1"/>
          <w:kern w:val="2"/>
          <w:sz w:val="16"/>
          <w:szCs w:val="16"/>
        </w:rPr>
        <w:softHyphen/>
        <w:t>шел с первого предъявления, все они нуждались в существенных доработ</w:t>
      </w:r>
      <w:r w:rsidRPr="002F2FDF">
        <w:rPr>
          <w:rFonts w:ascii="Times New Roman" w:hAnsi="Times New Roman" w:cs="Times New Roman"/>
          <w:color w:val="000000" w:themeColor="text1"/>
          <w:kern w:val="2"/>
          <w:sz w:val="16"/>
          <w:szCs w:val="16"/>
        </w:rPr>
        <w:softHyphen/>
        <w:t>ках. К этому вре</w:t>
      </w:r>
      <w:r w:rsidRPr="002F2FDF">
        <w:rPr>
          <w:rFonts w:ascii="Times New Roman" w:hAnsi="Times New Roman" w:cs="Times New Roman"/>
          <w:color w:val="000000" w:themeColor="text1"/>
          <w:kern w:val="2"/>
          <w:sz w:val="16"/>
          <w:szCs w:val="16"/>
        </w:rPr>
        <w:softHyphen/>
        <w:t>мени Д.П.Григорович уже ушёл из «Гамаюна», открыв опытный завод, затем произошла Октябрьская ре</w:t>
      </w:r>
      <w:r w:rsidRPr="002F2FDF">
        <w:rPr>
          <w:rFonts w:ascii="Times New Roman" w:hAnsi="Times New Roman" w:cs="Times New Roman"/>
          <w:color w:val="000000" w:themeColor="text1"/>
          <w:kern w:val="2"/>
          <w:sz w:val="16"/>
          <w:szCs w:val="16"/>
        </w:rPr>
        <w:softHyphen/>
        <w:t>волюция (11872).</w:t>
      </w:r>
    </w:p>
    <w:p w14:paraId="3D1F24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C12E2F" w14:textId="77777777" w:rsidR="003431D2" w:rsidRPr="002F2FDF" w:rsidRDefault="003431D2" w:rsidP="0083075A">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2F2FDF">
        <w:rPr>
          <w:rFonts w:ascii="Times New Roman" w:eastAsia="Arial Unicode MS" w:hAnsi="Times New Roman" w:cs="Times New Roman"/>
          <w:color w:val="000000" w:themeColor="text1"/>
          <w:kern w:val="2"/>
          <w:sz w:val="16"/>
          <w:szCs w:val="16"/>
        </w:rPr>
        <w:lastRenderedPageBreak/>
        <w:t xml:space="preserve">24 сентября </w:t>
      </w:r>
      <w:r w:rsidR="00680400" w:rsidRPr="002F2FDF">
        <w:rPr>
          <w:rFonts w:ascii="Times New Roman" w:eastAsia="Arial Unicode MS" w:hAnsi="Times New Roman" w:cs="Times New Roman"/>
          <w:color w:val="000000" w:themeColor="text1"/>
          <w:kern w:val="2"/>
          <w:sz w:val="16"/>
          <w:szCs w:val="16"/>
        </w:rPr>
        <w:t xml:space="preserve">(7 октября) </w:t>
      </w:r>
      <w:r w:rsidRPr="002F2FDF">
        <w:rPr>
          <w:rFonts w:ascii="Times New Roman" w:eastAsia="Arial Unicode MS" w:hAnsi="Times New Roman" w:cs="Times New Roman"/>
          <w:color w:val="000000" w:themeColor="text1"/>
          <w:kern w:val="2"/>
          <w:sz w:val="16"/>
          <w:szCs w:val="16"/>
        </w:rPr>
        <w:t>1917 г. при совершении посадки на ГАСН был поврежден один поплавок, что потребовало внесения в его конст</w:t>
      </w:r>
      <w:r w:rsidRPr="002F2FDF">
        <w:rPr>
          <w:rFonts w:ascii="Times New Roman" w:eastAsia="Arial Unicode MS" w:hAnsi="Times New Roman" w:cs="Times New Roman"/>
          <w:color w:val="000000" w:themeColor="text1"/>
          <w:kern w:val="2"/>
          <w:sz w:val="16"/>
          <w:szCs w:val="16"/>
        </w:rPr>
        <w:softHyphen/>
        <w:t>рукцию дополнительных усилений. После произведенного ремонта самолет починили и снова испыта</w:t>
      </w:r>
      <w:r w:rsidRPr="002F2FDF">
        <w:rPr>
          <w:rFonts w:ascii="Times New Roman" w:eastAsia="Arial Unicode MS" w:hAnsi="Times New Roman" w:cs="Times New Roman"/>
          <w:color w:val="000000" w:themeColor="text1"/>
          <w:kern w:val="2"/>
          <w:sz w:val="16"/>
          <w:szCs w:val="16"/>
        </w:rPr>
        <w:softHyphen/>
        <w:t>ли в полете. Голенищев-Кутузов, являющийся наблюдающим от Мор</w:t>
      </w:r>
      <w:r w:rsidRPr="002F2FDF">
        <w:rPr>
          <w:rFonts w:ascii="Times New Roman" w:eastAsia="Arial Unicode MS" w:hAnsi="Times New Roman" w:cs="Times New Roman"/>
          <w:color w:val="000000" w:themeColor="text1"/>
          <w:kern w:val="2"/>
          <w:sz w:val="16"/>
          <w:szCs w:val="16"/>
        </w:rPr>
        <w:softHyphen/>
        <w:t>ского ведомства за постройкой ГАСН, так описывал свои впечатле</w:t>
      </w:r>
      <w:r w:rsidRPr="002F2FDF">
        <w:rPr>
          <w:rFonts w:ascii="Times New Roman" w:eastAsia="Arial Unicode MS" w:hAnsi="Times New Roman" w:cs="Times New Roman"/>
          <w:color w:val="000000" w:themeColor="text1"/>
          <w:kern w:val="2"/>
          <w:sz w:val="16"/>
          <w:szCs w:val="16"/>
        </w:rPr>
        <w:softHyphen/>
        <w:t>ния от его испытаний: «В море было свежо, сопровождавшие моторные лодки держались плохо, на аппа</w:t>
      </w:r>
      <w:r w:rsidRPr="002F2FDF">
        <w:rPr>
          <w:rFonts w:ascii="Times New Roman" w:eastAsia="Arial Unicode MS" w:hAnsi="Times New Roman" w:cs="Times New Roman"/>
          <w:color w:val="000000" w:themeColor="text1"/>
          <w:kern w:val="2"/>
          <w:sz w:val="16"/>
          <w:szCs w:val="16"/>
        </w:rPr>
        <w:softHyphen/>
        <w:t>рат такое состояние не оказывало никакого влияния. Водные качества этого аппарата и его управляемость оказались прекрасными... если на спуске прочертить две линии по</w:t>
      </w:r>
      <w:r w:rsidRPr="002F2FDF">
        <w:rPr>
          <w:rFonts w:ascii="Times New Roman" w:eastAsia="Arial Unicode MS" w:hAnsi="Times New Roman" w:cs="Times New Roman"/>
          <w:color w:val="000000" w:themeColor="text1"/>
          <w:kern w:val="2"/>
          <w:sz w:val="16"/>
          <w:szCs w:val="16"/>
        </w:rPr>
        <w:softHyphen/>
        <w:t>плавков, то, пользуясь моторами, можно точно выйти на них даже при боковом ветре».</w:t>
      </w:r>
    </w:p>
    <w:p w14:paraId="0415BD76" w14:textId="77777777" w:rsidR="003431D2" w:rsidRPr="002F2FDF" w:rsidRDefault="003431D2" w:rsidP="0083075A">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2F2FDF">
        <w:rPr>
          <w:rFonts w:ascii="Times New Roman" w:eastAsia="Arial Unicode MS" w:hAnsi="Times New Roman" w:cs="Times New Roman"/>
          <w:color w:val="000000" w:themeColor="text1"/>
          <w:kern w:val="2"/>
          <w:sz w:val="16"/>
          <w:szCs w:val="16"/>
        </w:rPr>
        <w:t>Дальнейшая доводка ГАСН в связи с развернувшимися револю</w:t>
      </w:r>
      <w:r w:rsidRPr="002F2FDF">
        <w:rPr>
          <w:rFonts w:ascii="Times New Roman" w:eastAsia="Arial Unicode MS" w:hAnsi="Times New Roman" w:cs="Times New Roman"/>
          <w:color w:val="000000" w:themeColor="text1"/>
          <w:kern w:val="2"/>
          <w:sz w:val="16"/>
          <w:szCs w:val="16"/>
        </w:rPr>
        <w:softHyphen/>
        <w:t>ционными событиями была прекра</w:t>
      </w:r>
      <w:r w:rsidRPr="002F2FDF">
        <w:rPr>
          <w:rFonts w:ascii="Times New Roman" w:eastAsia="Arial Unicode MS" w:hAnsi="Times New Roman" w:cs="Times New Roman"/>
          <w:color w:val="000000" w:themeColor="text1"/>
          <w:kern w:val="2"/>
          <w:sz w:val="16"/>
          <w:szCs w:val="16"/>
        </w:rPr>
        <w:softHyphen/>
        <w:t>щена, однако сам первый экземп</w:t>
      </w:r>
      <w:r w:rsidRPr="002F2FDF">
        <w:rPr>
          <w:rFonts w:ascii="Times New Roman" w:eastAsia="Arial Unicode MS" w:hAnsi="Times New Roman" w:cs="Times New Roman"/>
          <w:color w:val="000000" w:themeColor="text1"/>
          <w:kern w:val="2"/>
          <w:sz w:val="16"/>
          <w:szCs w:val="16"/>
        </w:rPr>
        <w:softHyphen/>
        <w:t>ляр и весь задел в течение несколь</w:t>
      </w:r>
      <w:r w:rsidRPr="002F2FDF">
        <w:rPr>
          <w:rFonts w:ascii="Times New Roman" w:eastAsia="Arial Unicode MS" w:hAnsi="Times New Roman" w:cs="Times New Roman"/>
          <w:color w:val="000000" w:themeColor="text1"/>
          <w:kern w:val="2"/>
          <w:sz w:val="16"/>
          <w:szCs w:val="16"/>
        </w:rPr>
        <w:softHyphen/>
        <w:t>ких лет сохранялись сначала на заводе Щетинина, который поме</w:t>
      </w:r>
      <w:r w:rsidRPr="002F2FDF">
        <w:rPr>
          <w:rFonts w:ascii="Times New Roman" w:eastAsia="Arial Unicode MS" w:hAnsi="Times New Roman" w:cs="Times New Roman"/>
          <w:color w:val="000000" w:themeColor="text1"/>
          <w:kern w:val="2"/>
          <w:sz w:val="16"/>
          <w:szCs w:val="16"/>
        </w:rPr>
        <w:softHyphen/>
        <w:t>нял свое название на «Гамаюн», а позднее на Государственном авиа</w:t>
      </w:r>
      <w:r w:rsidRPr="002F2FDF">
        <w:rPr>
          <w:rFonts w:ascii="Times New Roman" w:eastAsia="Arial Unicode MS" w:hAnsi="Times New Roman" w:cs="Times New Roman"/>
          <w:color w:val="000000" w:themeColor="text1"/>
          <w:kern w:val="2"/>
          <w:sz w:val="16"/>
          <w:szCs w:val="16"/>
        </w:rPr>
        <w:softHyphen/>
        <w:t>ционном заводе №3 «Красный лет</w:t>
      </w:r>
      <w:r w:rsidRPr="002F2FDF">
        <w:rPr>
          <w:rFonts w:ascii="Times New Roman" w:eastAsia="Arial Unicode MS" w:hAnsi="Times New Roman" w:cs="Times New Roman"/>
          <w:color w:val="000000" w:themeColor="text1"/>
          <w:kern w:val="2"/>
          <w:sz w:val="16"/>
          <w:szCs w:val="16"/>
        </w:rPr>
        <w:softHyphen/>
        <w:t>чик» (12086).</w:t>
      </w:r>
    </w:p>
    <w:p w14:paraId="5111F90F" w14:textId="77777777" w:rsidR="003431D2" w:rsidRPr="002F2FDF" w:rsidRDefault="003431D2" w:rsidP="0083075A">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p>
    <w:p w14:paraId="04CB40DC" w14:textId="78075629" w:rsidR="00AE2B0B" w:rsidRPr="00FB4F67" w:rsidRDefault="00AE2B0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24 сентября </w:t>
      </w:r>
      <w:r>
        <w:rPr>
          <w:rFonts w:ascii="Times New Roman" w:hAnsi="Times New Roman" w:cs="Times New Roman"/>
          <w:color w:val="0070C0"/>
          <w:sz w:val="16"/>
          <w:szCs w:val="16"/>
        </w:rPr>
        <w:t xml:space="preserve">(7 октября) </w:t>
      </w:r>
      <w:r w:rsidRPr="00FB4F67">
        <w:rPr>
          <w:rFonts w:ascii="Times New Roman" w:hAnsi="Times New Roman" w:cs="Times New Roman"/>
          <w:color w:val="0070C0"/>
          <w:sz w:val="16"/>
          <w:szCs w:val="16"/>
        </w:rPr>
        <w:t>1917 г. при соверше</w:t>
      </w:r>
      <w:r w:rsidRPr="00FB4F67">
        <w:rPr>
          <w:rFonts w:ascii="Times New Roman" w:hAnsi="Times New Roman" w:cs="Times New Roman"/>
          <w:color w:val="0070C0"/>
          <w:sz w:val="16"/>
          <w:szCs w:val="16"/>
        </w:rPr>
        <w:softHyphen/>
        <w:t>нии посадки ГАСН был поврежден один попла</w:t>
      </w:r>
      <w:r w:rsidRPr="00FB4F67">
        <w:rPr>
          <w:rFonts w:ascii="Times New Roman" w:hAnsi="Times New Roman" w:cs="Times New Roman"/>
          <w:color w:val="0070C0"/>
          <w:sz w:val="16"/>
          <w:szCs w:val="16"/>
        </w:rPr>
        <w:softHyphen/>
        <w:t>вок, что потребовало внесения в его конст</w:t>
      </w:r>
      <w:r w:rsidRPr="00FB4F67">
        <w:rPr>
          <w:rFonts w:ascii="Times New Roman" w:hAnsi="Times New Roman" w:cs="Times New Roman"/>
          <w:color w:val="0070C0"/>
          <w:sz w:val="16"/>
          <w:szCs w:val="16"/>
        </w:rPr>
        <w:softHyphen/>
        <w:t>рукцию дополнительных усилений. После произведенного ремонта самолет почини</w:t>
      </w:r>
      <w:r w:rsidRPr="00FB4F67">
        <w:rPr>
          <w:rFonts w:ascii="Times New Roman" w:hAnsi="Times New Roman" w:cs="Times New Roman"/>
          <w:color w:val="0070C0"/>
          <w:sz w:val="16"/>
          <w:szCs w:val="16"/>
        </w:rPr>
        <w:softHyphen/>
        <w:t>ли и снова испытали в полете. Голенищев- Кутузов, являющийся наблюдающим от Морского ведомства за постройкой ГАСН, так описывал свои впечатления от его ис</w:t>
      </w:r>
      <w:r w:rsidRPr="00FB4F67">
        <w:rPr>
          <w:rFonts w:ascii="Times New Roman" w:hAnsi="Times New Roman" w:cs="Times New Roman"/>
          <w:color w:val="0070C0"/>
          <w:sz w:val="16"/>
          <w:szCs w:val="16"/>
        </w:rPr>
        <w:softHyphen/>
        <w:t>пытаний: «В море было свежо, сопровож</w:t>
      </w:r>
      <w:r w:rsidRPr="00FB4F67">
        <w:rPr>
          <w:rFonts w:ascii="Times New Roman" w:hAnsi="Times New Roman" w:cs="Times New Roman"/>
          <w:color w:val="0070C0"/>
          <w:sz w:val="16"/>
          <w:szCs w:val="16"/>
        </w:rPr>
        <w:softHyphen/>
        <w:t>давшие моторные лодки держались плохо, на аппарат такое состояние не оказывало никакого влияния. Водные качества этого аппарата и его управляемость оказались прекрасными... если на спуске прочертить две линии поплавков, то, пользуясь мото</w:t>
      </w:r>
      <w:r w:rsidRPr="00FB4F67">
        <w:rPr>
          <w:rFonts w:ascii="Times New Roman" w:hAnsi="Times New Roman" w:cs="Times New Roman"/>
          <w:color w:val="0070C0"/>
          <w:sz w:val="16"/>
          <w:szCs w:val="16"/>
        </w:rPr>
        <w:softHyphen/>
        <w:t>рами, можно точно выйти на них даже при боковом ветре».</w:t>
      </w:r>
    </w:p>
    <w:p w14:paraId="0483DCB7" w14:textId="77777777" w:rsidR="00AE2B0B" w:rsidRPr="00FB4F67" w:rsidRDefault="00AE2B0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Дальнейшая доводка ГАСН в связи с раз</w:t>
      </w:r>
      <w:r w:rsidRPr="00FB4F67">
        <w:rPr>
          <w:rFonts w:ascii="Times New Roman" w:hAnsi="Times New Roman" w:cs="Times New Roman"/>
          <w:color w:val="0070C0"/>
          <w:sz w:val="16"/>
          <w:szCs w:val="16"/>
        </w:rPr>
        <w:softHyphen/>
        <w:t>вернувшимися революционными событиями была прекращена, однако сам первый эк</w:t>
      </w:r>
      <w:r w:rsidRPr="00FB4F67">
        <w:rPr>
          <w:rFonts w:ascii="Times New Roman" w:hAnsi="Times New Roman" w:cs="Times New Roman"/>
          <w:color w:val="0070C0"/>
          <w:sz w:val="16"/>
          <w:szCs w:val="16"/>
        </w:rPr>
        <w:softHyphen/>
        <w:t>земпляр и весь задел в течение нескольких лет сохранялись сначала на заводе Щетини</w:t>
      </w:r>
      <w:r w:rsidRPr="00FB4F67">
        <w:rPr>
          <w:rFonts w:ascii="Times New Roman" w:hAnsi="Times New Roman" w:cs="Times New Roman"/>
          <w:color w:val="0070C0"/>
          <w:sz w:val="16"/>
          <w:szCs w:val="16"/>
        </w:rPr>
        <w:softHyphen/>
        <w:t>на, который поменял свое название на «Га</w:t>
      </w:r>
      <w:r w:rsidRPr="00FB4F67">
        <w:rPr>
          <w:rFonts w:ascii="Times New Roman" w:hAnsi="Times New Roman" w:cs="Times New Roman"/>
          <w:color w:val="0070C0"/>
          <w:sz w:val="16"/>
          <w:szCs w:val="16"/>
        </w:rPr>
        <w:softHyphen/>
        <w:t>маюн», а позднее на Государственном авиа</w:t>
      </w:r>
      <w:r w:rsidRPr="00FB4F67">
        <w:rPr>
          <w:rFonts w:ascii="Times New Roman" w:hAnsi="Times New Roman" w:cs="Times New Roman"/>
          <w:color w:val="0070C0"/>
          <w:sz w:val="16"/>
          <w:szCs w:val="16"/>
        </w:rPr>
        <w:softHyphen/>
        <w:t>ционном заводе №3 «Красный летчик» (23374).</w:t>
      </w:r>
    </w:p>
    <w:p w14:paraId="51B71313" w14:textId="77777777" w:rsidR="00AE2B0B" w:rsidRPr="00FB4F67" w:rsidRDefault="00AE2B0B" w:rsidP="0083075A">
      <w:pPr>
        <w:spacing w:after="0" w:line="240" w:lineRule="auto"/>
        <w:jc w:val="both"/>
        <w:rPr>
          <w:rFonts w:ascii="Times New Roman" w:hAnsi="Times New Roman" w:cs="Times New Roman"/>
          <w:color w:val="0070C0"/>
          <w:sz w:val="16"/>
          <w:szCs w:val="16"/>
        </w:rPr>
      </w:pPr>
    </w:p>
    <w:p w14:paraId="77639B63" w14:textId="19D7D270" w:rsidR="00AE2B0B" w:rsidRPr="00FB4F67" w:rsidRDefault="00AE2B0B" w:rsidP="0083075A">
      <w:pPr>
        <w:spacing w:after="0" w:line="240" w:lineRule="auto"/>
        <w:jc w:val="both"/>
        <w:rPr>
          <w:rFonts w:ascii="Times New Roman" w:hAnsi="Times New Roman" w:cs="Times New Roman"/>
          <w:color w:val="0070C0"/>
          <w:sz w:val="16"/>
          <w:szCs w:val="16"/>
        </w:rPr>
      </w:pPr>
      <w:bookmarkStart w:id="327" w:name="bookmark940"/>
      <w:r w:rsidRPr="00FB4F67">
        <w:rPr>
          <w:rFonts w:ascii="Times New Roman" w:hAnsi="Times New Roman" w:cs="Times New Roman"/>
          <w:color w:val="0070C0"/>
          <w:sz w:val="16"/>
          <w:szCs w:val="16"/>
        </w:rPr>
        <w:t xml:space="preserve">24 сентября </w:t>
      </w:r>
      <w:r>
        <w:rPr>
          <w:rFonts w:ascii="Times New Roman" w:hAnsi="Times New Roman" w:cs="Times New Roman"/>
          <w:color w:val="0070C0"/>
          <w:sz w:val="16"/>
          <w:szCs w:val="16"/>
        </w:rPr>
        <w:t xml:space="preserve">(7 октября) </w:t>
      </w:r>
      <w:r w:rsidRPr="00FB4F67">
        <w:rPr>
          <w:rFonts w:ascii="Times New Roman" w:hAnsi="Times New Roman" w:cs="Times New Roman"/>
          <w:color w:val="0070C0"/>
          <w:sz w:val="16"/>
          <w:szCs w:val="16"/>
        </w:rPr>
        <w:t>1917 г. гидроплан потерпел аварию в одном из испытательных полетов. Военная приемка сочла ГАСН недоработанным и требующим доводки.</w:t>
      </w:r>
    </w:p>
    <w:p w14:paraId="434D1CDA" w14:textId="77777777" w:rsidR="00AE2B0B" w:rsidRPr="00FB4F67" w:rsidRDefault="00AE2B0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этому времени Григорович открыл собственный завод. Затем - революция, Гражданская война, и о ГАСН надолго забыли. Лишь в 1921 г. Главкоавиа дал за</w:t>
      </w:r>
      <w:r w:rsidRPr="00FB4F67">
        <w:rPr>
          <w:rFonts w:ascii="Times New Roman" w:hAnsi="Times New Roman" w:cs="Times New Roman"/>
          <w:color w:val="0070C0"/>
          <w:sz w:val="16"/>
          <w:szCs w:val="16"/>
        </w:rPr>
        <w:softHyphen/>
        <w:t>дание на возобновление работы. Завод «Красный летчик» (бывший «Гамаюн») восстановил машину, поврежденную четы</w:t>
      </w:r>
      <w:r w:rsidRPr="00FB4F67">
        <w:rPr>
          <w:rFonts w:ascii="Times New Roman" w:hAnsi="Times New Roman" w:cs="Times New Roman"/>
          <w:color w:val="0070C0"/>
          <w:sz w:val="16"/>
          <w:szCs w:val="16"/>
        </w:rPr>
        <w:softHyphen/>
        <w:t>ре года назад. Хотели заменить моторы на более мощные английские, но достать их не удалось (23484).</w:t>
      </w:r>
    </w:p>
    <w:p w14:paraId="0058A2A7" w14:textId="77777777" w:rsidR="00AE2B0B" w:rsidRPr="00FB4F67" w:rsidRDefault="00AE2B0B" w:rsidP="0083075A">
      <w:pPr>
        <w:spacing w:after="0" w:line="240" w:lineRule="auto"/>
        <w:jc w:val="both"/>
        <w:rPr>
          <w:rFonts w:ascii="Times New Roman" w:hAnsi="Times New Roman" w:cs="Times New Roman"/>
          <w:color w:val="0070C0"/>
          <w:sz w:val="16"/>
          <w:szCs w:val="16"/>
        </w:rPr>
      </w:pPr>
    </w:p>
    <w:bookmarkEnd w:id="327"/>
    <w:p w14:paraId="398CA032" w14:textId="77777777" w:rsidR="00A32C90" w:rsidRPr="002F2FDF" w:rsidRDefault="0069777D"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2F2FDF">
        <w:rPr>
          <w:rFonts w:ascii="Times New Roman" w:hAnsi="Times New Roman" w:cs="Times New Roman"/>
          <w:i/>
          <w:iCs/>
          <w:color w:val="000000" w:themeColor="text1"/>
          <w:kern w:val="2"/>
          <w:sz w:val="16"/>
          <w:szCs w:val="16"/>
        </w:rPr>
        <w:t>Д</w:t>
      </w:r>
      <w:r w:rsidR="00A32C90" w:rsidRPr="002F2FDF">
        <w:rPr>
          <w:rFonts w:ascii="Times New Roman" w:hAnsi="Times New Roman" w:cs="Times New Roman"/>
          <w:i/>
          <w:iCs/>
          <w:color w:val="000000" w:themeColor="text1"/>
          <w:kern w:val="2"/>
          <w:sz w:val="16"/>
          <w:szCs w:val="16"/>
        </w:rPr>
        <w:t>ругие оборонные отрасли:</w:t>
      </w:r>
    </w:p>
    <w:p w14:paraId="62EA7FA5" w14:textId="77777777" w:rsidR="00A32C90" w:rsidRPr="002F2FDF" w:rsidRDefault="00A32C90"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592FC2D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сентября (7 октября) 1917 Доклад зам. председателя совета Союза представителей металлургической и железоделательной промышленности П. А. Тикстона на III конференции промышленников Юга России о положении металлургической промышленности.</w:t>
      </w:r>
    </w:p>
    <w:p w14:paraId="1852B38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130-131</w:t>
      </w:r>
    </w:p>
    <w:p w14:paraId="37BD504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92, оп. 1, д. 1004, лл. 45—46. Гектогр.</w:t>
      </w:r>
    </w:p>
    <w:p w14:paraId="74BE7E26" w14:textId="5A886330"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что мы только что прослушали из доклада о той анархии, которая царит на угольных копях,</w:t>
      </w:r>
      <w:hyperlink r:id="rId547" w:anchor="_ftn1" w:history="1">
        <w:r w:rsidRPr="002F2FDF">
          <w:rPr>
            <w:rFonts w:ascii="Times New Roman" w:hAnsi="Times New Roman" w:cs="Times New Roman"/>
            <w:color w:val="000000" w:themeColor="text1"/>
            <w:kern w:val="2"/>
            <w:sz w:val="16"/>
            <w:szCs w:val="16"/>
          </w:rPr>
          <w:t>[1]</w:t>
        </w:r>
      </w:hyperlink>
      <w:r w:rsidRPr="002F2FDF">
        <w:rPr>
          <w:rFonts w:ascii="Times New Roman" w:hAnsi="Times New Roman" w:cs="Times New Roman"/>
          <w:color w:val="000000" w:themeColor="text1"/>
          <w:kern w:val="2"/>
          <w:sz w:val="16"/>
          <w:szCs w:val="16"/>
        </w:rPr>
        <w:t xml:space="preserve"> полностью относится и к металлургическим заводам, которые работают в тех же условиях и находятся в том же хаосе, в котором находится вся фабрично-заводская промышленность всей России, в том числе и промышленность Донецкого бассейна. Я приведу вам лишь несколько цифровых данных, чтобы иллюстрировать производительность металлургических заводов, тех заводов, которые являются .в настоящее время одним из факторов обороны страны. Как всем известно, прошлый 1916 год был годом плохим и производительность уже тогда была понижена, но тем не менее по сравнению с теми цифрами производительность 1917 г. еще более понизилась. Выплавка чугуна за первую половину 1916 г. была 83 млн, в 1917 г. за первую половину было всего 70 млн, во вторую половину 1916 г. выплавлено было 93 млн, а за вторую половину 1917 г. предполагают выплавить лишь 68 млн, причем за последние месяцы приняты цифры в 11 1/2 млн выплавки чугуна, которые взяты слишком оптимистически, ибо последние сведения говорят за то, что мы не достигнем этого количества. Следовательно, если мы сравним эти два года, 1916 г. и 1917 г., то мы увидим, что в 1916 г. было выплавлено 176 млн, а в 1917 г. будет выплавлено лишь 138 млн. Если мы возьмем фактические данные за 8 месяцев, то окажется, что вместо 114 млн прошлого года мы выплавили только 93 млн, или, иначе говоря, мы уменьшили производительность на 21 млн, т. е. на 19.5%. В прошлом году в среднем выплавляли 141/4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млн в месяц, а в этом году за эти 8 месяцев было выплавлено не более 113/4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млн, но за последние 4 месяца это количество безусловно не будет выплавлено. Между тем, когда мы делали подсчет на 41-м съезде горнопромышленников,</w:t>
      </w:r>
      <w:hyperlink r:id="rId548" w:anchor="_ftn2" w:history="1">
        <w:r w:rsidRPr="002F2FDF">
          <w:rPr>
            <w:rFonts w:ascii="Times New Roman" w:hAnsi="Times New Roman" w:cs="Times New Roman"/>
            <w:color w:val="000000" w:themeColor="text1"/>
            <w:kern w:val="2"/>
            <w:sz w:val="16"/>
            <w:szCs w:val="16"/>
          </w:rPr>
          <w:t>[2]</w:t>
        </w:r>
      </w:hyperlink>
      <w:r w:rsidRPr="002F2FDF">
        <w:rPr>
          <w:rFonts w:ascii="Times New Roman" w:hAnsi="Times New Roman" w:cs="Times New Roman"/>
          <w:color w:val="000000" w:themeColor="text1"/>
          <w:kern w:val="2"/>
          <w:sz w:val="16"/>
          <w:szCs w:val="16"/>
        </w:rPr>
        <w:t xml:space="preserve"> мы все-таки рассчитывали, что при принятии известных мер мы сможем довести выплавку чугуна до 181/2 млн в месяц. Но наши надежды не оправдались. То же самое, что сказано о чугуне, можно сказать и о продуктах, изготовленных из этого чугуна. Я должен обратить внимание на расстройство транспорта. Благодаря тому, что топливо поставляется нерегулярно — так, например, сегодня прибывает, а завтра благодаря расстройству транспорта не прибывает, —то топливо зачастую приходится жечь напрасно. Постоянно на заводах находится несколько доменных печей, от 7 до 16, под парами, т. е.. таким образом, совершенно непроизводительно жгут топливо. Этой причины тоже нельзя избежать, пока хоть сколько-нибудь не будет урегулирован транспорт. Все эти причины, как-то: недостаток топлива и нерегулярный его подвоз — ставят перед металлургами весьма острый вопрос о том, что делать дальше, ибо для всех топлива не хватает и, по-видимому, приходится заводы закрыть. Ясное дело, что при этих условиях финансовое положение металлургических заводов крайне печальное. Даже наиболее сильные в финансовом отношении предприятия, которые еще в прошлом году имели весьма и весьма крупные суммы на текущих счетах, поневоле все свои оборотные средства исчерпали и исчерпали весь кредит, который только можно было; приходится закладывать товар, приходится брать ссуды, словом, приходится [делать] все те операции, которые проделывались в годину самого тяжкого кризиса. Таково положение, в котором находятся в настоящее время металлургические заводы. Выход из этого положения может быть только один, а именно увеличение производительности труда, ибо все в основе имеет под собою транспорт, расстройство которого произошло оттого, что производительность труда упала до минимума, отчего нет топлива, отчего нет металла, а следовательно, все вопросы в конце концов сводятся к вопросу о необходимости повышения производительности всех работ. Это наиболее важный вопрос. Никаких выводов из того, что я сказал, пока я делать не буду, ибо все выводы являются вообще не только по металлургии, но и для всех остальных донецких предприятий. Этим выводам будет посвящен особый доклад,</w:t>
      </w:r>
      <w:hyperlink r:id="rId549" w:anchor="_ftn3" w:history="1">
        <w:r w:rsidRPr="002F2FDF">
          <w:rPr>
            <w:rFonts w:ascii="Times New Roman" w:hAnsi="Times New Roman" w:cs="Times New Roman"/>
            <w:color w:val="000000" w:themeColor="text1"/>
            <w:kern w:val="2"/>
            <w:sz w:val="16"/>
            <w:szCs w:val="16"/>
          </w:rPr>
          <w:t>[3]</w:t>
        </w:r>
      </w:hyperlink>
      <w:r w:rsidRPr="002F2FDF">
        <w:rPr>
          <w:rFonts w:ascii="Times New Roman" w:hAnsi="Times New Roman" w:cs="Times New Roman"/>
          <w:color w:val="000000" w:themeColor="text1"/>
          <w:kern w:val="2"/>
          <w:sz w:val="16"/>
          <w:szCs w:val="16"/>
        </w:rPr>
        <w:t xml:space="preserve"> и бюро подготовило известные резолюции, которые так же относятся и к металлургии, как и ко всем другим отраслям Донецкого бассейна. На этом я кончаю свое краткое сообщение.</w:t>
      </w:r>
    </w:p>
    <w:p w14:paraId="4AFA7263" w14:textId="77777777" w:rsidR="00A32C90"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50" w:anchor="_ftnref1" w:history="1">
        <w:r w:rsidR="00A32C90" w:rsidRPr="002F2FDF">
          <w:rPr>
            <w:rFonts w:ascii="Times New Roman" w:hAnsi="Times New Roman" w:cs="Times New Roman"/>
            <w:color w:val="000000" w:themeColor="text1"/>
            <w:kern w:val="2"/>
            <w:sz w:val="16"/>
            <w:szCs w:val="16"/>
          </w:rPr>
          <w:t>[1]</w:t>
        </w:r>
      </w:hyperlink>
      <w:r w:rsidR="00A32C90" w:rsidRPr="002F2FDF">
        <w:rPr>
          <w:rFonts w:ascii="Times New Roman" w:hAnsi="Times New Roman" w:cs="Times New Roman"/>
          <w:color w:val="000000" w:themeColor="text1"/>
          <w:kern w:val="2"/>
          <w:sz w:val="16"/>
          <w:szCs w:val="16"/>
        </w:rPr>
        <w:t xml:space="preserve"> П. А. Тикстон имеет в виду доклад Я. Д. Прядкина «О современном состоянии каменноугольной и антрацитной промышленности» (ЦГВИА, ф. 369, оп. 14, д. 14, лл. 263—268; ЦГИАЛ, ф. 92, оп. 1, д. 1004, лл. 42—45).</w:t>
      </w:r>
    </w:p>
    <w:p w14:paraId="0503201A" w14:textId="77777777" w:rsidR="00A32C90"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51" w:anchor="_ftnref2" w:history="1">
        <w:r w:rsidR="00A32C90" w:rsidRPr="002F2FDF">
          <w:rPr>
            <w:rFonts w:ascii="Times New Roman" w:hAnsi="Times New Roman" w:cs="Times New Roman"/>
            <w:color w:val="000000" w:themeColor="text1"/>
            <w:kern w:val="2"/>
            <w:sz w:val="16"/>
            <w:szCs w:val="16"/>
          </w:rPr>
          <w:t>[2]</w:t>
        </w:r>
      </w:hyperlink>
      <w:r w:rsidR="00A32C90" w:rsidRPr="002F2FDF">
        <w:rPr>
          <w:rFonts w:ascii="Times New Roman" w:hAnsi="Times New Roman" w:cs="Times New Roman"/>
          <w:color w:val="000000" w:themeColor="text1"/>
          <w:kern w:val="2"/>
          <w:sz w:val="16"/>
          <w:szCs w:val="16"/>
        </w:rPr>
        <w:t xml:space="preserve"> 41-й съезд горнопромышленников Юга России состоялся в Харькове 24 ноября— 4 декабря 1916 г. На съезде были прочитаны доклады и приняты резолюции по вопросу о состоянии каменноугольной, железорудной, соляной промышленности, о повышении производительности труда, о ценах на уголь и др. (Труды 41-го съезда горнопромышленников Юга России, стенографический отчет, Харьков, 1917).</w:t>
      </w:r>
    </w:p>
    <w:p w14:paraId="63F33AA4" w14:textId="77777777" w:rsidR="00A32C90"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52" w:anchor="_ftnref3" w:history="1">
        <w:r w:rsidR="00A32C90" w:rsidRPr="002F2FDF">
          <w:rPr>
            <w:rFonts w:ascii="Times New Roman" w:hAnsi="Times New Roman" w:cs="Times New Roman"/>
            <w:color w:val="000000" w:themeColor="text1"/>
            <w:kern w:val="2"/>
            <w:sz w:val="16"/>
            <w:szCs w:val="16"/>
          </w:rPr>
          <w:t>[3]</w:t>
        </w:r>
      </w:hyperlink>
      <w:r w:rsidR="00A32C90" w:rsidRPr="002F2FDF">
        <w:rPr>
          <w:rFonts w:ascii="Times New Roman" w:hAnsi="Times New Roman" w:cs="Times New Roman"/>
          <w:color w:val="000000" w:themeColor="text1"/>
          <w:kern w:val="2"/>
          <w:sz w:val="16"/>
          <w:szCs w:val="16"/>
        </w:rPr>
        <w:t xml:space="preserve"> Доклад «Об условиях, при которых возможно существование промышленности, п о заработной плате» был сделан на съезде Б. Н. Соколовым (см. док 1937 вышел приказ НКОП № 86) (15677).</w:t>
      </w:r>
    </w:p>
    <w:p w14:paraId="051DA47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p w14:paraId="5D39FDA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сентября (7 октября) 1917 Сообщение А. М. Роговского на III конференции промышленников Юга России о железорудной промышленности Криворожского бассейна.</w:t>
      </w:r>
    </w:p>
    <w:p w14:paraId="14C4ECE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130</w:t>
      </w:r>
    </w:p>
    <w:p w14:paraId="61C014D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92, оп. 1, д, 1004, л. 46 об. Гектогр.</w:t>
      </w:r>
    </w:p>
    <w:p w14:paraId="20ECFA5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Полная зависимость железорудной промышленности от действия металлургических заводов Юга России ясна всем; железорудная промышленность могла развиваться только в пределах потребности последних.</w:t>
      </w:r>
    </w:p>
    <w:p w14:paraId="3E4C9AD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первые семь месяцев с. г. средняя добыча железной руды выразилась в 21 млн пуд. в месяц, против 26 млн в прошлом году. Отправка не превышала в среднем 18 млн против 24 млн в 1916 г.; таким образом, ежемесячно в среднем запасы железной руды на рудниках увеличивались на 3 млн пуд. и из 65 млн, бывших на 1 января 1917 г. достигли 89 млн на 1 августа. Это увеличение запасов поглотило оборотные средства предприятий, вызывает понижение добычи и может вызвать закрытие отдельных рудников, если не будут осуществлены меры к облегчению финансового положения предприятий. Число рабочих вполне достаточно на поддержание добычи руды на уровне потребности металлургических заводов (15678).</w:t>
      </w:r>
    </w:p>
    <w:p w14:paraId="1BDD360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p w14:paraId="3EF5D380" w14:textId="4FE4EF01" w:rsidR="005F2B51" w:rsidRDefault="005F2B51"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11265DBA" w14:textId="77777777" w:rsidR="005F2B51" w:rsidRDefault="005F2B51"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7E66557" w14:textId="5AF55DA8" w:rsidR="005F2B51" w:rsidRPr="00FB4F67" w:rsidRDefault="005F2B51" w:rsidP="0083075A">
      <w:pPr>
        <w:spacing w:after="0" w:line="240" w:lineRule="auto"/>
        <w:jc w:val="both"/>
        <w:rPr>
          <w:rFonts w:ascii="Times New Roman" w:hAnsi="Times New Roman" w:cs="Times New Roman"/>
          <w:color w:val="0070C0"/>
          <w:sz w:val="16"/>
          <w:szCs w:val="16"/>
        </w:rPr>
      </w:pPr>
      <w:bookmarkStart w:id="328" w:name="bookmark966"/>
      <w:r>
        <w:rPr>
          <w:rFonts w:ascii="Times New Roman" w:hAnsi="Times New Roman" w:cs="Times New Roman"/>
          <w:color w:val="0070C0"/>
          <w:sz w:val="16"/>
          <w:szCs w:val="16"/>
        </w:rPr>
        <w:t>24 сентября (</w:t>
      </w:r>
      <w:r w:rsidRPr="00FB4F67">
        <w:rPr>
          <w:rFonts w:ascii="Times New Roman" w:hAnsi="Times New Roman" w:cs="Times New Roman"/>
          <w:color w:val="0070C0"/>
          <w:sz w:val="16"/>
          <w:szCs w:val="16"/>
        </w:rPr>
        <w:t>7 октября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летчики авиационного отряда Черного моря в придунайском районе сбили немецкий самолет, совершивший вынужденную посадку в расположении русских частей. Неприятельский аппарат и его экипаж взяты в плен. В свою </w:t>
      </w:r>
      <w:bookmarkStart w:id="329" w:name="bookmark967"/>
      <w:bookmarkEnd w:id="328"/>
      <w:r w:rsidRPr="00FB4F67">
        <w:rPr>
          <w:rFonts w:ascii="Times New Roman" w:hAnsi="Times New Roman" w:cs="Times New Roman"/>
          <w:color w:val="0070C0"/>
          <w:sz w:val="16"/>
          <w:szCs w:val="16"/>
        </w:rPr>
        <w:t>очередь авиация противника подвергла бомбардировке м. Ляцкорунь и д. Фридоровце (в 30 км севернее г. Каменец-Подольск), сбросив на них 10 бомб (23405).</w:t>
      </w:r>
      <w:bookmarkEnd w:id="329"/>
    </w:p>
    <w:p w14:paraId="2CCA79FF" w14:textId="77777777" w:rsidR="005F2B51" w:rsidRPr="00FB4F67" w:rsidRDefault="005F2B51" w:rsidP="0083075A">
      <w:pPr>
        <w:spacing w:after="0" w:line="240" w:lineRule="auto"/>
        <w:jc w:val="both"/>
        <w:rPr>
          <w:rFonts w:ascii="Times New Roman" w:hAnsi="Times New Roman" w:cs="Times New Roman"/>
          <w:color w:val="0070C0"/>
          <w:sz w:val="16"/>
          <w:szCs w:val="16"/>
        </w:rPr>
      </w:pPr>
    </w:p>
    <w:p w14:paraId="6EB6F8BC" w14:textId="43090547" w:rsidR="005F2B51" w:rsidRPr="00FB4F67" w:rsidRDefault="005F2B5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24 сентября (</w:t>
      </w:r>
      <w:r w:rsidRPr="00FB4F67">
        <w:rPr>
          <w:rFonts w:ascii="Times New Roman" w:hAnsi="Times New Roman" w:cs="Times New Roman"/>
          <w:color w:val="0070C0"/>
          <w:sz w:val="16"/>
          <w:szCs w:val="16"/>
        </w:rPr>
        <w:t>7 октября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французский ESC.SOP.582 стал учебным отрядом в Симферополе в Крыму. Эскадрильей руководил лейтенант Ромейер, отрядом руководил комендант Мортюрё, а инструктажем руководил лейтенант Бенвилье. Другие французские летчики во главе с лейтенантом Шнайдером были отправлены в качестве инструкторов во франко-румынскую школу в Одессе, которую возглавлял румынский летчик капитан Стефан Протопопеску.</w:t>
      </w:r>
    </w:p>
    <w:p w14:paraId="7C7140F9" w14:textId="77777777" w:rsidR="005F2B51" w:rsidRPr="00FB4F67" w:rsidRDefault="005F2B5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В течение октября французский ESC.N.581 во главе с лейтенантом Лахманном находился во французском авиапарке в Киеве. К 15 декабря часть перевели в Лубны, к востоку от Киева. 26 декабря капитан Баловойн стал временным командиром. Лахманн вернулся в качестве командира 1 января 1918 г. 2 января 1918 г. ESC. N.581 и ESC.SOP.582 получили приказ двигаться в Москву и 15 марта погрузились из Мурманска на британские корабли, направлявшиеся во Францию (23525).</w:t>
      </w:r>
    </w:p>
    <w:p w14:paraId="1FD69A41" w14:textId="77777777" w:rsidR="005F2B51" w:rsidRPr="00FB4F67" w:rsidRDefault="005F2B51" w:rsidP="0083075A">
      <w:pPr>
        <w:spacing w:after="0" w:line="240" w:lineRule="auto"/>
        <w:jc w:val="both"/>
        <w:rPr>
          <w:rFonts w:ascii="Times New Roman" w:hAnsi="Times New Roman" w:cs="Times New Roman"/>
          <w:color w:val="0070C0"/>
          <w:sz w:val="16"/>
          <w:szCs w:val="16"/>
        </w:rPr>
      </w:pPr>
    </w:p>
    <w:p w14:paraId="106D5633" w14:textId="77BFB8ED"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D909E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2AA6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сентября (7 октября) 1917 В.И.Л. тайно вернулся в Петроград (3481).</w:t>
      </w:r>
    </w:p>
    <w:p w14:paraId="3F4CDF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30E9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сентября (7 октября) 1917 большевики ушли из Предпарламента, порвали с соцпартиями и провозгласили курс на революцию (3481).</w:t>
      </w:r>
    </w:p>
    <w:p w14:paraId="067C72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3066E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сентября (7 октября) 1917 большевики создали в Петрограде курсы подготовки руководителей вооруженного восстания на местах (под видом курсов организаторов выборов в Учредительное Собрание) (4962).</w:t>
      </w:r>
    </w:p>
    <w:p w14:paraId="2EE8279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885D3B" w14:textId="77777777" w:rsidR="005F2B51" w:rsidRPr="00FB4F67" w:rsidRDefault="005F2B5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24 сентября (</w:t>
      </w:r>
      <w:r w:rsidRPr="00FB4F67">
        <w:rPr>
          <w:rFonts w:ascii="Times New Roman" w:hAnsi="Times New Roman" w:cs="Times New Roman"/>
          <w:color w:val="0070C0"/>
          <w:sz w:val="16"/>
          <w:szCs w:val="16"/>
        </w:rPr>
        <w:t>7 октября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Петрограде Временное правительство было снова реформировано и стало Третьим коалиционным правительством. К этому времени в отрядах в ключевых городах России служило около 200 000 вооруженных красногвардейцев (большевиков) (23525).</w:t>
      </w:r>
    </w:p>
    <w:p w14:paraId="5E6D9BC4" w14:textId="77777777" w:rsidR="005F2B51" w:rsidRPr="00FB4F67" w:rsidRDefault="005F2B51" w:rsidP="0083075A">
      <w:pPr>
        <w:spacing w:after="0" w:line="240" w:lineRule="auto"/>
        <w:jc w:val="both"/>
        <w:rPr>
          <w:rFonts w:ascii="Times New Roman" w:hAnsi="Times New Roman" w:cs="Times New Roman"/>
          <w:color w:val="0070C0"/>
          <w:sz w:val="16"/>
          <w:szCs w:val="16"/>
        </w:rPr>
      </w:pPr>
    </w:p>
    <w:p w14:paraId="7255D2FC" w14:textId="77777777" w:rsidR="00C11BD2" w:rsidRPr="002F2FDF" w:rsidRDefault="00C11B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18BF073" w14:textId="77777777" w:rsidR="00C11BD2" w:rsidRPr="002F2FDF" w:rsidRDefault="00C11B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6B88D5" w14:textId="77777777" w:rsidR="00C11BD2" w:rsidRPr="002F2FDF" w:rsidRDefault="00C11BD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24 сентября (7 октября) 1917 Цеппелин ВМС Германии L 57, модифицированный, чтобы иметь возможность совершать дальние перелеты из Ямбола, Болгария, в Махендж, Германская Восточная Африка, для доставки медикаментов и боеприпасов немецким наземным войскам, и как таковой самый крупный из дирижаблей, когда-либо построенных к тому времени - длинна 743 фута (226,5 метра),2 418 700 кубических футов (68 490 кубических метров) газообразного водорода, терпит крушение и погибает в результате пожара при попытке взлета для испытательного полета в плохую погоду (20341).</w:t>
      </w:r>
    </w:p>
    <w:p w14:paraId="2A6D0D13" w14:textId="77777777" w:rsidR="00C11BD2" w:rsidRPr="002F2FDF" w:rsidRDefault="00C11BD2" w:rsidP="0083075A">
      <w:pPr>
        <w:spacing w:after="0" w:line="240" w:lineRule="auto"/>
        <w:jc w:val="both"/>
        <w:rPr>
          <w:rFonts w:ascii="Times New Roman" w:hAnsi="Times New Roman" w:cs="Times New Roman"/>
          <w:color w:val="000000" w:themeColor="text1"/>
          <w:sz w:val="16"/>
          <w:szCs w:val="16"/>
        </w:rPr>
      </w:pPr>
    </w:p>
    <w:p w14:paraId="1B429BD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561BA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307B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25 сентября (8 октября) 1917 на гидроаэроплане Энгельс-3 (Э-III) N 1 с Рон 120 нр устранили порок, вызванный тем, что из-за недостаточного свинцового груза, предотвращавшего гироскопический эффект более мощного мотора, машина зарывалась правым крылом в воду и не выходила на редан. Добавили груз и машину 10 октября 1917 приняли (2843,65).</w:t>
      </w:r>
    </w:p>
    <w:p w14:paraId="6C00F8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5051D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25 сентября </w:t>
      </w:r>
      <w:r w:rsidR="00680400" w:rsidRPr="002F2FDF">
        <w:rPr>
          <w:rFonts w:ascii="Times New Roman" w:hAnsi="Times New Roman" w:cs="Times New Roman"/>
          <w:color w:val="000000" w:themeColor="text1"/>
          <w:kern w:val="2"/>
          <w:sz w:val="16"/>
          <w:szCs w:val="16"/>
        </w:rPr>
        <w:t xml:space="preserve">(8 октября) </w:t>
      </w:r>
      <w:r w:rsidRPr="002F2FDF">
        <w:rPr>
          <w:rFonts w:ascii="Times New Roman" w:hAnsi="Times New Roman" w:cs="Times New Roman"/>
          <w:color w:val="000000" w:themeColor="text1"/>
          <w:kern w:val="2"/>
          <w:sz w:val="16"/>
          <w:szCs w:val="16"/>
        </w:rPr>
        <w:t>1917 недостаток конструкции лл Энгельса устранили, скорее всего путем увеличения противовеса, и согласно Шаврову 10 октября аэроплан был якобы принят флотом (автор не нашел подтверждения этой информации). Аппарат Э.1П №2 со</w:t>
      </w:r>
      <w:r w:rsidRPr="002F2FDF">
        <w:rPr>
          <w:rFonts w:ascii="Times New Roman" w:hAnsi="Times New Roman" w:cs="Times New Roman"/>
          <w:color w:val="000000" w:themeColor="text1"/>
          <w:kern w:val="2"/>
          <w:sz w:val="16"/>
          <w:szCs w:val="16"/>
        </w:rPr>
        <w:softHyphen/>
        <w:t>брали к 1 августа 1917 г., но затем планировалось вносить в него какие-то улучшения по результатам испытаний №1.</w:t>
      </w:r>
    </w:p>
    <w:p w14:paraId="305FCAD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F4928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сентября (8 октября) 1917 морские авиаторы сообщили фирме Лебедева о том, что, хотя контракт и не подлежал расторжению, предварительные сравнительные испытания пленного "Фридрихсха</w:t>
      </w:r>
      <w:r w:rsidRPr="002F2FDF">
        <w:rPr>
          <w:rFonts w:ascii="Times New Roman" w:hAnsi="Times New Roman" w:cs="Times New Roman"/>
          <w:color w:val="000000" w:themeColor="text1"/>
          <w:kern w:val="2"/>
          <w:sz w:val="16"/>
          <w:szCs w:val="16"/>
        </w:rPr>
        <w:softHyphen/>
        <w:t>фена" и его копии с мотором "Испано-Суиза" были бы все же необходимы (2843).</w:t>
      </w:r>
    </w:p>
    <w:p w14:paraId="72A7619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5808C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сентября (8 октября) 1917 под Херсоном развернулись актив</w:t>
      </w:r>
      <w:r w:rsidRPr="002F2FDF">
        <w:rPr>
          <w:rFonts w:ascii="Times New Roman" w:hAnsi="Times New Roman" w:cs="Times New Roman"/>
          <w:color w:val="000000" w:themeColor="text1"/>
          <w:kern w:val="2"/>
          <w:sz w:val="16"/>
          <w:szCs w:val="16"/>
        </w:rPr>
        <w:softHyphen/>
        <w:t>ные строительные работы. Правда, смету вскоре же сократили. Но шла война, и потому из военного фонда добавили 2000000 рублей, а Управле</w:t>
      </w:r>
      <w:r w:rsidRPr="002F2FDF">
        <w:rPr>
          <w:rFonts w:ascii="Times New Roman" w:hAnsi="Times New Roman" w:cs="Times New Roman"/>
          <w:color w:val="000000" w:themeColor="text1"/>
          <w:kern w:val="2"/>
          <w:sz w:val="16"/>
          <w:szCs w:val="16"/>
        </w:rPr>
        <w:softHyphen/>
        <w:t>ние ВВФ 6 ноября 1917 г. выделило еще 5590000 рублей. Ведь испыта</w:t>
      </w:r>
      <w:r w:rsidRPr="002F2FDF">
        <w:rPr>
          <w:rFonts w:ascii="Times New Roman" w:hAnsi="Times New Roman" w:cs="Times New Roman"/>
          <w:color w:val="000000" w:themeColor="text1"/>
          <w:kern w:val="2"/>
          <w:sz w:val="16"/>
          <w:szCs w:val="16"/>
        </w:rPr>
        <w:softHyphen/>
        <w:t>тельный центр должен работать и на фронт. Строительные же работы в Херсоне некоторое время продолжались и после революции. Оттуда в адрес Увофлота, теперь уже советского, не</w:t>
      </w:r>
      <w:r w:rsidRPr="002F2FDF">
        <w:rPr>
          <w:rFonts w:ascii="Times New Roman" w:hAnsi="Times New Roman" w:cs="Times New Roman"/>
          <w:color w:val="000000" w:themeColor="text1"/>
          <w:kern w:val="2"/>
          <w:sz w:val="16"/>
          <w:szCs w:val="16"/>
        </w:rPr>
        <w:softHyphen/>
        <w:t>прерывно продолжали идти запросы на денежные ссуды. Обновленный состав Увофлота не упускал из своего поля зрения строящийся испытатель</w:t>
      </w:r>
      <w:r w:rsidRPr="002F2FDF">
        <w:rPr>
          <w:rFonts w:ascii="Times New Roman" w:hAnsi="Times New Roman" w:cs="Times New Roman"/>
          <w:color w:val="000000" w:themeColor="text1"/>
          <w:kern w:val="2"/>
          <w:sz w:val="16"/>
          <w:szCs w:val="16"/>
        </w:rPr>
        <w:softHyphen/>
        <w:t>ный центр, всячески намереваясь оказать ему помощь. Последний денеж</w:t>
      </w:r>
      <w:r w:rsidRPr="002F2FDF">
        <w:rPr>
          <w:rFonts w:ascii="Times New Roman" w:hAnsi="Times New Roman" w:cs="Times New Roman"/>
          <w:color w:val="000000" w:themeColor="text1"/>
          <w:kern w:val="2"/>
          <w:sz w:val="16"/>
          <w:szCs w:val="16"/>
        </w:rPr>
        <w:softHyphen/>
        <w:t>ный перевод от имени Увофлота был сделан 8 (21) декабря 1917 г., но... эти деньги до Херсона не дошли. Спустя 9 месяцев, 11 сентября 1918 г., в Уп</w:t>
      </w:r>
      <w:r w:rsidRPr="002F2FDF">
        <w:rPr>
          <w:rFonts w:ascii="Times New Roman" w:hAnsi="Times New Roman" w:cs="Times New Roman"/>
          <w:color w:val="000000" w:themeColor="text1"/>
          <w:kern w:val="2"/>
          <w:sz w:val="16"/>
          <w:szCs w:val="16"/>
        </w:rPr>
        <w:softHyphen/>
        <w:t>равление Воздухофлота пришла очередная телеграмма [39]: “Прошу пе</w:t>
      </w:r>
      <w:r w:rsidRPr="002F2FDF">
        <w:rPr>
          <w:rFonts w:ascii="Times New Roman" w:hAnsi="Times New Roman" w:cs="Times New Roman"/>
          <w:color w:val="000000" w:themeColor="text1"/>
          <w:kern w:val="2"/>
          <w:sz w:val="16"/>
          <w:szCs w:val="16"/>
        </w:rPr>
        <w:softHyphen/>
        <w:t>ревода денег в Херсон авиакомпании. Декабрьская ассигновка задержа</w:t>
      </w:r>
      <w:r w:rsidRPr="002F2FDF">
        <w:rPr>
          <w:rFonts w:ascii="Times New Roman" w:hAnsi="Times New Roman" w:cs="Times New Roman"/>
          <w:color w:val="000000" w:themeColor="text1"/>
          <w:kern w:val="2"/>
          <w:sz w:val="16"/>
          <w:szCs w:val="16"/>
        </w:rPr>
        <w:softHyphen/>
        <w:t>на войной с Украиной. Перевод повторите. Без денег пропадет часть ма</w:t>
      </w:r>
      <w:r w:rsidRPr="002F2FDF">
        <w:rPr>
          <w:rFonts w:ascii="Times New Roman" w:hAnsi="Times New Roman" w:cs="Times New Roman"/>
          <w:color w:val="000000" w:themeColor="text1"/>
          <w:kern w:val="2"/>
          <w:sz w:val="16"/>
          <w:szCs w:val="16"/>
        </w:rPr>
        <w:softHyphen/>
        <w:t>териалов. Тлг. № 327. Фан-дер-Флит”.</w:t>
      </w:r>
    </w:p>
    <w:p w14:paraId="3E552D7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следующий день после подачи телеграммы №327 Фан-дер-Флит повторил запрос: “Петроград. Авиасовету. Прошу содействовать перево</w:t>
      </w:r>
      <w:r w:rsidRPr="002F2FDF">
        <w:rPr>
          <w:rFonts w:ascii="Times New Roman" w:hAnsi="Times New Roman" w:cs="Times New Roman"/>
          <w:color w:val="000000" w:themeColor="text1"/>
          <w:kern w:val="2"/>
          <w:sz w:val="16"/>
          <w:szCs w:val="16"/>
        </w:rPr>
        <w:softHyphen/>
        <w:t>ду Увофлотом отпущенного кредита авиационных заводов на сумму 3300000 руб. Деньги крайне нужны. Тлг. № 328. Фан-дер-Флит” [39].</w:t>
      </w:r>
    </w:p>
    <w:p w14:paraId="64BE9F3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этом переписка оборвалась - к Херсону подступила война. Вре</w:t>
      </w:r>
      <w:r w:rsidRPr="002F2FDF">
        <w:rPr>
          <w:rFonts w:ascii="Times New Roman" w:hAnsi="Times New Roman" w:cs="Times New Roman"/>
          <w:color w:val="000000" w:themeColor="text1"/>
          <w:kern w:val="2"/>
          <w:sz w:val="16"/>
          <w:szCs w:val="16"/>
        </w:rPr>
        <w:softHyphen/>
        <w:t>менными хозяевами этих краев стали петлюровцы, австро-германские и турецкие интервенты, а позже и французские. Значительная часть специ</w:t>
      </w:r>
      <w:r w:rsidRPr="002F2FDF">
        <w:rPr>
          <w:rFonts w:ascii="Times New Roman" w:hAnsi="Times New Roman" w:cs="Times New Roman"/>
          <w:color w:val="000000" w:themeColor="text1"/>
          <w:kern w:val="2"/>
          <w:sz w:val="16"/>
          <w:szCs w:val="16"/>
        </w:rPr>
        <w:softHyphen/>
        <w:t>алистов Главного Авиационного центра осталась на юге и попала с вол</w:t>
      </w:r>
      <w:r w:rsidRPr="002F2FDF">
        <w:rPr>
          <w:rFonts w:ascii="Times New Roman" w:hAnsi="Times New Roman" w:cs="Times New Roman"/>
          <w:color w:val="000000" w:themeColor="text1"/>
          <w:kern w:val="2"/>
          <w:sz w:val="16"/>
          <w:szCs w:val="16"/>
        </w:rPr>
        <w:softHyphen/>
        <w:t>ной эмиграции в зарубежные страны. Последние самолёты из Херсона выводили летчики А.Е. Раевский и Н.А. Жемчужин.</w:t>
      </w:r>
    </w:p>
    <w:p w14:paraId="7FEE475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Главного аэродрома А.Н. Вегенер 23 февраля 1918 г. всту</w:t>
      </w:r>
      <w:r w:rsidRPr="002F2FDF">
        <w:rPr>
          <w:rFonts w:ascii="Times New Roman" w:hAnsi="Times New Roman" w:cs="Times New Roman"/>
          <w:color w:val="000000" w:themeColor="text1"/>
          <w:kern w:val="2"/>
          <w:sz w:val="16"/>
          <w:szCs w:val="16"/>
        </w:rPr>
        <w:softHyphen/>
        <w:t>пил в Красную Армию и, начиная с 1918 г., добивался возобновления ра</w:t>
      </w:r>
      <w:r w:rsidRPr="002F2FDF">
        <w:rPr>
          <w:rFonts w:ascii="Times New Roman" w:hAnsi="Times New Roman" w:cs="Times New Roman"/>
          <w:color w:val="000000" w:themeColor="text1"/>
          <w:kern w:val="2"/>
          <w:sz w:val="16"/>
          <w:szCs w:val="16"/>
        </w:rPr>
        <w:softHyphen/>
        <w:t>боты Главного аэродрома. В 1918 году создается Совет Главного аэродро</w:t>
      </w:r>
      <w:r w:rsidRPr="002F2FDF">
        <w:rPr>
          <w:rFonts w:ascii="Times New Roman" w:hAnsi="Times New Roman" w:cs="Times New Roman"/>
          <w:color w:val="000000" w:themeColor="text1"/>
          <w:kern w:val="2"/>
          <w:sz w:val="16"/>
          <w:szCs w:val="16"/>
        </w:rPr>
        <w:softHyphen/>
        <w:t>ма, он назначается председателем Совета (11425).</w:t>
      </w:r>
    </w:p>
    <w:p w14:paraId="73347A7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4B5D1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25 сентября </w:t>
      </w:r>
      <w:r w:rsidR="00680400" w:rsidRPr="002F2FDF">
        <w:rPr>
          <w:rFonts w:ascii="Times New Roman" w:hAnsi="Times New Roman" w:cs="Times New Roman"/>
          <w:color w:val="000000" w:themeColor="text1"/>
          <w:kern w:val="2"/>
          <w:sz w:val="16"/>
          <w:szCs w:val="16"/>
        </w:rPr>
        <w:t xml:space="preserve">(8 октября) </w:t>
      </w:r>
      <w:r w:rsidRPr="002F2FDF">
        <w:rPr>
          <w:rFonts w:ascii="Times New Roman" w:hAnsi="Times New Roman" w:cs="Times New Roman"/>
          <w:color w:val="000000" w:themeColor="text1"/>
          <w:kern w:val="2"/>
          <w:sz w:val="16"/>
          <w:szCs w:val="16"/>
        </w:rPr>
        <w:t>1917 г. судя по "Отчету о состоянии технической части Завода Авиа</w:t>
      </w:r>
      <w:r w:rsidRPr="002F2FDF">
        <w:rPr>
          <w:rFonts w:ascii="Times New Roman" w:hAnsi="Times New Roman" w:cs="Times New Roman"/>
          <w:color w:val="000000" w:themeColor="text1"/>
          <w:kern w:val="2"/>
          <w:sz w:val="16"/>
          <w:szCs w:val="16"/>
        </w:rPr>
        <w:softHyphen/>
        <w:t>ционных Измерительных Приборов" (Доклады военному министру, в Военный Совет и главному началь</w:t>
      </w:r>
      <w:r w:rsidRPr="002F2FDF">
        <w:rPr>
          <w:rFonts w:ascii="Times New Roman" w:hAnsi="Times New Roman" w:cs="Times New Roman"/>
          <w:color w:val="000000" w:themeColor="text1"/>
          <w:kern w:val="2"/>
          <w:sz w:val="16"/>
          <w:szCs w:val="16"/>
        </w:rPr>
        <w:softHyphen/>
        <w:t>нику снабжения о мероприятиях по организации завода авиацион</w:t>
      </w:r>
      <w:r w:rsidRPr="002F2FDF">
        <w:rPr>
          <w:rFonts w:ascii="Times New Roman" w:hAnsi="Times New Roman" w:cs="Times New Roman"/>
          <w:color w:val="000000" w:themeColor="text1"/>
          <w:kern w:val="2"/>
          <w:sz w:val="16"/>
          <w:szCs w:val="16"/>
        </w:rPr>
        <w:softHyphen/>
        <w:t>ных измерительных приборов, комплектовании его рабочей силой и предоставлении заказов по" изготовлению измерительных при</w:t>
      </w:r>
      <w:r w:rsidRPr="002F2FDF">
        <w:rPr>
          <w:rFonts w:ascii="Times New Roman" w:hAnsi="Times New Roman" w:cs="Times New Roman"/>
          <w:color w:val="000000" w:themeColor="text1"/>
          <w:kern w:val="2"/>
          <w:sz w:val="16"/>
          <w:szCs w:val="16"/>
        </w:rPr>
        <w:softHyphen/>
        <w:t>боров. Отчеты о состоянии технической и научно-технической части завода. 25 июня - 23 августа 1917 г. - ЦГВИА, ф.493, оп.9, ед. хр.81.), создавалось передовое по тому времени предприятие, где пред</w:t>
      </w:r>
      <w:r w:rsidRPr="002F2FDF">
        <w:rPr>
          <w:rFonts w:ascii="Times New Roman" w:hAnsi="Times New Roman" w:cs="Times New Roman"/>
          <w:color w:val="000000" w:themeColor="text1"/>
          <w:kern w:val="2"/>
          <w:sz w:val="16"/>
          <w:szCs w:val="16"/>
        </w:rPr>
        <w:softHyphen/>
        <w:t>полагалось использовать передовой опыт западных стран в области конструирования и технологии авиационных приборов.</w:t>
      </w:r>
    </w:p>
    <w:p w14:paraId="493EC27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Первая очередь завода, именуемая в "Отчете" технической частью, состояла из следующих подразделений: технической конторы; научно-технического отдела; технического отдела; отдела мастер</w:t>
      </w:r>
      <w:r w:rsidRPr="002F2FDF">
        <w:rPr>
          <w:rFonts w:ascii="Times New Roman" w:hAnsi="Times New Roman" w:cs="Times New Roman"/>
          <w:color w:val="000000" w:themeColor="text1"/>
          <w:kern w:val="2"/>
          <w:sz w:val="16"/>
          <w:szCs w:val="16"/>
        </w:rPr>
        <w:softHyphen/>
        <w:t>ских.</w:t>
      </w:r>
    </w:p>
    <w:p w14:paraId="07B77F9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Функции технической конторы заключались в следующем:</w:t>
      </w:r>
    </w:p>
    <w:p w14:paraId="25A773D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распределение работы по отделам и наблюдение за ходом этих работ (распределительный стол);</w:t>
      </w:r>
    </w:p>
    <w:p w14:paraId="2413D5B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приемка и браковка как изделий завода, так и материалов и оборудования, получаемых извне (приемочная часть);</w:t>
      </w:r>
    </w:p>
    <w:p w14:paraId="27FAF32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расчет себестоимости изделий, исследование путей ее сни</w:t>
      </w:r>
      <w:r w:rsidRPr="002F2FDF">
        <w:rPr>
          <w:rFonts w:ascii="Times New Roman" w:hAnsi="Times New Roman" w:cs="Times New Roman"/>
          <w:color w:val="000000" w:themeColor="text1"/>
          <w:kern w:val="2"/>
          <w:sz w:val="16"/>
          <w:szCs w:val="16"/>
        </w:rPr>
        <w:softHyphen/>
        <w:t>жения (калькуляционный стол).</w:t>
      </w:r>
    </w:p>
    <w:p w14:paraId="614EC39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25 сентября распределительный и калькуляционный столы бы</w:t>
      </w:r>
      <w:r w:rsidRPr="002F2FDF">
        <w:rPr>
          <w:rFonts w:ascii="Times New Roman" w:hAnsi="Times New Roman" w:cs="Times New Roman"/>
          <w:color w:val="000000" w:themeColor="text1"/>
          <w:kern w:val="2"/>
          <w:sz w:val="16"/>
          <w:szCs w:val="16"/>
        </w:rPr>
        <w:softHyphen/>
        <w:t>ли сформированы и выполняли свою работу. Приемочная часть нахо</w:t>
      </w:r>
      <w:r w:rsidRPr="002F2FDF">
        <w:rPr>
          <w:rFonts w:ascii="Times New Roman" w:hAnsi="Times New Roman" w:cs="Times New Roman"/>
          <w:color w:val="000000" w:themeColor="text1"/>
          <w:kern w:val="2"/>
          <w:sz w:val="16"/>
          <w:szCs w:val="16"/>
        </w:rPr>
        <w:softHyphen/>
        <w:t>дилась в стадии организации, ее функции выполняли временные'под</w:t>
      </w:r>
      <w:r w:rsidRPr="002F2FDF">
        <w:rPr>
          <w:rFonts w:ascii="Times New Roman" w:hAnsi="Times New Roman" w:cs="Times New Roman"/>
          <w:color w:val="000000" w:themeColor="text1"/>
          <w:kern w:val="2"/>
          <w:sz w:val="16"/>
          <w:szCs w:val="16"/>
        </w:rPr>
        <w:softHyphen/>
        <w:t>разделения: оборудование приникала строительная, комиссия, мате</w:t>
      </w:r>
      <w:r w:rsidRPr="002F2FDF">
        <w:rPr>
          <w:rFonts w:ascii="Times New Roman" w:hAnsi="Times New Roman" w:cs="Times New Roman"/>
          <w:color w:val="000000" w:themeColor="text1"/>
          <w:kern w:val="2"/>
          <w:sz w:val="16"/>
          <w:szCs w:val="16"/>
        </w:rPr>
        <w:softHyphen/>
        <w:t>риалы - отдел заготовок, мастера принимали полуфабрикаты, а по</w:t>
      </w:r>
      <w:r w:rsidRPr="002F2FDF">
        <w:rPr>
          <w:rFonts w:ascii="Times New Roman" w:hAnsi="Times New Roman" w:cs="Times New Roman"/>
          <w:color w:val="000000" w:themeColor="text1"/>
          <w:kern w:val="2"/>
          <w:sz w:val="16"/>
          <w:szCs w:val="16"/>
        </w:rPr>
        <w:softHyphen/>
        <w:t>веркой приборов занимался научно-технический отдел.</w:t>
      </w:r>
    </w:p>
    <w:p w14:paraId="25B20F9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Научно-технический отдел представлял собой как бы научно-исследовательский институт в миниатюре. Он состоял из следующих лабораторий (Доклады военному министру, в Военный Совет и главному началь</w:t>
      </w:r>
      <w:r w:rsidRPr="002F2FDF">
        <w:rPr>
          <w:rFonts w:ascii="Times New Roman" w:hAnsi="Times New Roman" w:cs="Times New Roman"/>
          <w:color w:val="000000" w:themeColor="text1"/>
          <w:kern w:val="2"/>
          <w:sz w:val="16"/>
          <w:szCs w:val="16"/>
        </w:rPr>
        <w:softHyphen/>
        <w:t>нику снабжения о мероприятиях по организации завода авиацион</w:t>
      </w:r>
      <w:r w:rsidRPr="002F2FDF">
        <w:rPr>
          <w:rFonts w:ascii="Times New Roman" w:hAnsi="Times New Roman" w:cs="Times New Roman"/>
          <w:color w:val="000000" w:themeColor="text1"/>
          <w:kern w:val="2"/>
          <w:sz w:val="16"/>
          <w:szCs w:val="16"/>
        </w:rPr>
        <w:softHyphen/>
        <w:t>ных измерительных приборов, комплектовании его рабочей силой и предоставлении заказов по" изготовлению измерительных при</w:t>
      </w:r>
      <w:r w:rsidRPr="002F2FDF">
        <w:rPr>
          <w:rFonts w:ascii="Times New Roman" w:hAnsi="Times New Roman" w:cs="Times New Roman"/>
          <w:color w:val="000000" w:themeColor="text1"/>
          <w:kern w:val="2"/>
          <w:sz w:val="16"/>
          <w:szCs w:val="16"/>
        </w:rPr>
        <w:softHyphen/>
        <w:t>боров. Отчеты о состоянии технической и научно-технической части завода. 25 июня - 23 августа 1917 г. - ЦГВИА, ф.493, оп.9, ед. хр. 81.): I) вычислительной; 2) физической; 3) химической; 4) аэродинамической; 5) фотографической; 6) пове</w:t>
      </w:r>
      <w:r w:rsidRPr="002F2FDF">
        <w:rPr>
          <w:rFonts w:ascii="Times New Roman" w:hAnsi="Times New Roman" w:cs="Times New Roman"/>
          <w:color w:val="000000" w:themeColor="text1"/>
          <w:kern w:val="2"/>
          <w:sz w:val="16"/>
          <w:szCs w:val="16"/>
        </w:rPr>
        <w:softHyphen/>
        <w:t>рочной; 7) библиотеки.</w:t>
      </w:r>
    </w:p>
    <w:p w14:paraId="3B0D9D6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г. функционировали вычислительная, физичес</w:t>
      </w:r>
      <w:r w:rsidRPr="002F2FDF">
        <w:rPr>
          <w:rFonts w:ascii="Times New Roman" w:hAnsi="Times New Roman" w:cs="Times New Roman"/>
          <w:color w:val="000000" w:themeColor="text1"/>
          <w:kern w:val="2"/>
          <w:sz w:val="16"/>
          <w:szCs w:val="16"/>
        </w:rPr>
        <w:softHyphen/>
        <w:t>кая, поверочная лаборатории и библиотека.</w:t>
      </w:r>
    </w:p>
    <w:p w14:paraId="145C481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Перед отделом были поставлены следующие задачи:</w:t>
      </w:r>
    </w:p>
    <w:p w14:paraId="3345913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исследования в области теории аэронавигационных и аэро</w:t>
      </w:r>
      <w:r w:rsidRPr="002F2FDF">
        <w:rPr>
          <w:rFonts w:ascii="Times New Roman" w:hAnsi="Times New Roman" w:cs="Times New Roman"/>
          <w:color w:val="000000" w:themeColor="text1"/>
          <w:kern w:val="2"/>
          <w:sz w:val="16"/>
          <w:szCs w:val="16"/>
        </w:rPr>
        <w:softHyphen/>
        <w:t>артиллерийских приборов;</w:t>
      </w:r>
    </w:p>
    <w:p w14:paraId="0EE19B9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исследования конструкций указанных выше приборов, имеющих</w:t>
      </w:r>
      <w:r w:rsidRPr="002F2FDF">
        <w:rPr>
          <w:rFonts w:ascii="Times New Roman" w:hAnsi="Times New Roman" w:cs="Times New Roman"/>
          <w:color w:val="000000" w:themeColor="text1"/>
          <w:kern w:val="2"/>
          <w:sz w:val="16"/>
          <w:szCs w:val="16"/>
        </w:rPr>
        <w:softHyphen/>
        <w:t>ся в продаже;</w:t>
      </w:r>
    </w:p>
    <w:p w14:paraId="0019CB5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решение вопросов научного и технического характера, воз</w:t>
      </w:r>
      <w:r w:rsidRPr="002F2FDF">
        <w:rPr>
          <w:rFonts w:ascii="Times New Roman" w:hAnsi="Times New Roman" w:cs="Times New Roman"/>
          <w:color w:val="000000" w:themeColor="text1"/>
          <w:kern w:val="2"/>
          <w:sz w:val="16"/>
          <w:szCs w:val="16"/>
        </w:rPr>
        <w:softHyphen/>
        <w:t>никающих при изучении, конструировании и производстве приборов.</w:t>
      </w:r>
    </w:p>
    <w:p w14:paraId="78999A6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Нормальную работу отдела тормозили трудности в оборудовании лабораторий необходимыми инструментами и приборами, которые рань</w:t>
      </w:r>
      <w:r w:rsidRPr="002F2FDF">
        <w:rPr>
          <w:rFonts w:ascii="Times New Roman" w:hAnsi="Times New Roman" w:cs="Times New Roman"/>
          <w:color w:val="000000" w:themeColor="text1"/>
          <w:kern w:val="2"/>
          <w:sz w:val="16"/>
          <w:szCs w:val="16"/>
        </w:rPr>
        <w:softHyphen/>
        <w:t>ше привозились из-за границы, а в описываемое время отсутствова</w:t>
      </w:r>
      <w:r w:rsidRPr="002F2FDF">
        <w:rPr>
          <w:rFonts w:ascii="Times New Roman" w:hAnsi="Times New Roman" w:cs="Times New Roman"/>
          <w:color w:val="000000" w:themeColor="text1"/>
          <w:kern w:val="2"/>
          <w:sz w:val="16"/>
          <w:szCs w:val="16"/>
        </w:rPr>
        <w:softHyphen/>
        <w:t>ли на рынке. Поэтому многие необходимые приборы приходилось кон</w:t>
      </w:r>
      <w:r w:rsidRPr="002F2FDF">
        <w:rPr>
          <w:rFonts w:ascii="Times New Roman" w:hAnsi="Times New Roman" w:cs="Times New Roman"/>
          <w:color w:val="000000" w:themeColor="text1"/>
          <w:kern w:val="2"/>
          <w:sz w:val="16"/>
          <w:szCs w:val="16"/>
        </w:rPr>
        <w:softHyphen/>
        <w:t>струировать в отделе и изготавливать в мастерских завода.</w:t>
      </w:r>
    </w:p>
    <w:p w14:paraId="37C508D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Основное внимание уделялось вопросам, связанным со следую</w:t>
      </w:r>
      <w:r w:rsidRPr="002F2FDF">
        <w:rPr>
          <w:rFonts w:ascii="Times New Roman" w:hAnsi="Times New Roman" w:cs="Times New Roman"/>
          <w:color w:val="000000" w:themeColor="text1"/>
          <w:kern w:val="2"/>
          <w:sz w:val="16"/>
          <w:szCs w:val="16"/>
        </w:rPr>
        <w:softHyphen/>
        <w:t>щими приборами: высотомером, тахометром, анемотахометром, ком</w:t>
      </w:r>
      <w:r w:rsidRPr="002F2FDF">
        <w:rPr>
          <w:rFonts w:ascii="Times New Roman" w:hAnsi="Times New Roman" w:cs="Times New Roman"/>
          <w:color w:val="000000" w:themeColor="text1"/>
          <w:kern w:val="2"/>
          <w:sz w:val="16"/>
          <w:szCs w:val="16"/>
        </w:rPr>
        <w:softHyphen/>
        <w:t>пасом.</w:t>
      </w:r>
    </w:p>
    <w:p w14:paraId="1CF0A97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Согласно "Отчету по научно-техническому отделу к 25 сентяб</w:t>
      </w:r>
      <w:r w:rsidRPr="002F2FDF">
        <w:rPr>
          <w:rFonts w:ascii="Times New Roman" w:hAnsi="Times New Roman" w:cs="Times New Roman"/>
          <w:color w:val="000000" w:themeColor="text1"/>
          <w:kern w:val="2"/>
          <w:sz w:val="16"/>
          <w:szCs w:val="16"/>
        </w:rPr>
        <w:softHyphen/>
        <w:t>ря 1917 г." /19, л.34,35/ были выполнены следующие работы: ' I. По высотомеру:</w:t>
      </w:r>
    </w:p>
    <w:p w14:paraId="57A2557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составлены уравнения для расчета анероидной коробки пру</w:t>
      </w:r>
      <w:r w:rsidRPr="002F2FDF">
        <w:rPr>
          <w:rFonts w:ascii="Times New Roman" w:hAnsi="Times New Roman" w:cs="Times New Roman"/>
          <w:color w:val="000000" w:themeColor="text1"/>
          <w:kern w:val="2"/>
          <w:sz w:val="16"/>
          <w:szCs w:val="16"/>
        </w:rPr>
        <w:softHyphen/>
        <w:t>жинного высотомера, исходя из максимальной высоты полета, диапа</w:t>
      </w:r>
      <w:r w:rsidRPr="002F2FDF">
        <w:rPr>
          <w:rFonts w:ascii="Times New Roman" w:hAnsi="Times New Roman" w:cs="Times New Roman"/>
          <w:color w:val="000000" w:themeColor="text1"/>
          <w:kern w:val="2"/>
          <w:sz w:val="16"/>
          <w:szCs w:val="16"/>
        </w:rPr>
        <w:softHyphen/>
        <w:t>зона изменения давления на высоте, равной 0, начальной средней температуры;</w:t>
      </w:r>
    </w:p>
    <w:p w14:paraId="09B6375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составлены формулы для переделки высотомера, рассчитан</w:t>
      </w:r>
      <w:r w:rsidRPr="002F2FDF">
        <w:rPr>
          <w:rFonts w:ascii="Times New Roman" w:hAnsi="Times New Roman" w:cs="Times New Roman"/>
          <w:color w:val="000000" w:themeColor="text1"/>
          <w:kern w:val="2"/>
          <w:sz w:val="16"/>
          <w:szCs w:val="16"/>
        </w:rPr>
        <w:softHyphen/>
        <w:t>ного на максимальную высоту 3000 м, для полетов на высоте 5000 м;</w:t>
      </w:r>
    </w:p>
    <w:p w14:paraId="2E74B38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начаты опыты над упругостью крышки анероиддой 'коробки с пониженным и. обычным атмосферным давлением внутри;</w:t>
      </w:r>
    </w:p>
    <w:p w14:paraId="4E1930F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спроектированы и сданы для изготовления в мастерские при</w:t>
      </w:r>
      <w:r w:rsidRPr="002F2FDF">
        <w:rPr>
          <w:rFonts w:ascii="Times New Roman" w:hAnsi="Times New Roman" w:cs="Times New Roman"/>
          <w:color w:val="000000" w:themeColor="text1"/>
          <w:kern w:val="2"/>
          <w:sz w:val="16"/>
          <w:szCs w:val="16"/>
        </w:rPr>
        <w:softHyphen/>
        <w:t>боры для изучения влияния температуры на показания высотомера;</w:t>
      </w:r>
    </w:p>
    <w:p w14:paraId="3778608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спроектирован ряд приборов для изучения силы и постоян</w:t>
      </w:r>
      <w:r w:rsidRPr="002F2FDF">
        <w:rPr>
          <w:rFonts w:ascii="Times New Roman" w:hAnsi="Times New Roman" w:cs="Times New Roman"/>
          <w:color w:val="000000" w:themeColor="text1"/>
          <w:kern w:val="2"/>
          <w:sz w:val="16"/>
          <w:szCs w:val="16"/>
        </w:rPr>
        <w:softHyphen/>
        <w:t>ства пружин в зависимости от способа изготовления (навивание и закалка), материала, температуры и т.д.;</w:t>
      </w:r>
    </w:p>
    <w:p w14:paraId="201BEAF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начато изучение вопроса о применении переменной шкалы вы</w:t>
      </w:r>
      <w:r w:rsidRPr="002F2FDF">
        <w:rPr>
          <w:rFonts w:ascii="Times New Roman" w:hAnsi="Times New Roman" w:cs="Times New Roman"/>
          <w:color w:val="000000" w:themeColor="text1"/>
          <w:kern w:val="2"/>
          <w:sz w:val="16"/>
          <w:szCs w:val="16"/>
        </w:rPr>
        <w:softHyphen/>
        <w:t>сот для устранения ошибок колебания начального давления;</w:t>
      </w:r>
    </w:p>
    <w:p w14:paraId="6A12E4D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сделан критический разбор конструкций всех существующих (русских и заграничных) высотомеров и высотографов;</w:t>
      </w:r>
    </w:p>
    <w:p w14:paraId="71E212C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начата разработка инструкций по сборке, регулировке и по</w:t>
      </w:r>
      <w:r w:rsidRPr="002F2FDF">
        <w:rPr>
          <w:rFonts w:ascii="Times New Roman" w:hAnsi="Times New Roman" w:cs="Times New Roman"/>
          <w:color w:val="000000" w:themeColor="text1"/>
          <w:kern w:val="2"/>
          <w:sz w:val="16"/>
          <w:szCs w:val="16"/>
        </w:rPr>
        <w:softHyphen/>
        <w:t>верке высотомера.</w:t>
      </w:r>
    </w:p>
    <w:p w14:paraId="08F6394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По тахометру:</w:t>
      </w:r>
    </w:p>
    <w:p w14:paraId="68FF1C7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критический разбор конструкций всех существующих тахомет</w:t>
      </w:r>
      <w:r w:rsidRPr="002F2FDF">
        <w:rPr>
          <w:rFonts w:ascii="Times New Roman" w:hAnsi="Times New Roman" w:cs="Times New Roman"/>
          <w:color w:val="000000" w:themeColor="text1"/>
          <w:kern w:val="2"/>
          <w:sz w:val="16"/>
          <w:szCs w:val="16"/>
        </w:rPr>
        <w:softHyphen/>
        <w:t>ров;</w:t>
      </w:r>
    </w:p>
    <w:p w14:paraId="1DF5229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разработка инструкций по сборке, регулировке и проверке тахометров;</w:t>
      </w:r>
    </w:p>
    <w:p w14:paraId="603C7DE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разработка общей теории центробежного тахометра с целью более точного расчета шкалы и упрощения тарирования;</w:t>
      </w:r>
    </w:p>
    <w:p w14:paraId="0BB7D81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составлены формулы для расчета магнитоэлектрического тахо</w:t>
      </w:r>
      <w:r w:rsidRPr="002F2FDF">
        <w:rPr>
          <w:rFonts w:ascii="Times New Roman" w:hAnsi="Times New Roman" w:cs="Times New Roman"/>
          <w:color w:val="000000" w:themeColor="text1"/>
          <w:kern w:val="2"/>
          <w:sz w:val="16"/>
          <w:szCs w:val="16"/>
        </w:rPr>
        <w:softHyphen/>
        <w:t>метра;</w:t>
      </w:r>
    </w:p>
    <w:p w14:paraId="26E9F93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начато изучение малых колебаний тахометра;</w:t>
      </w:r>
    </w:p>
    <w:p w14:paraId="790BA84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поставлена задача о теории гибкого вала (одинарного и двойного) с расчетом на прочность;</w:t>
      </w:r>
    </w:p>
    <w:p w14:paraId="4F435CB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По анемотахометру:</w:t>
      </w:r>
    </w:p>
    <w:p w14:paraId="6648F03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начаты подготовительные работы по организации аэродинами</w:t>
      </w:r>
      <w:r w:rsidRPr="002F2FDF">
        <w:rPr>
          <w:rFonts w:ascii="Times New Roman" w:hAnsi="Times New Roman" w:cs="Times New Roman"/>
          <w:color w:val="000000" w:themeColor="text1"/>
          <w:kern w:val="2"/>
          <w:sz w:val="16"/>
          <w:szCs w:val="16"/>
        </w:rPr>
        <w:softHyphen/>
        <w:t>ческой лаборатории;</w:t>
      </w:r>
    </w:p>
    <w:p w14:paraId="17341AA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определено соотношение между вращательной скоростью робин-зовой крестовины некоторых типов анемотахометров и'скоростью воз</w:t>
      </w:r>
      <w:r w:rsidRPr="002F2FDF">
        <w:rPr>
          <w:rFonts w:ascii="Times New Roman" w:hAnsi="Times New Roman" w:cs="Times New Roman"/>
          <w:color w:val="000000" w:themeColor="text1"/>
          <w:kern w:val="2"/>
          <w:sz w:val="16"/>
          <w:szCs w:val="16"/>
        </w:rPr>
        <w:softHyphen/>
        <w:t>душного потока;</w:t>
      </w:r>
    </w:p>
    <w:p w14:paraId="44EEC2F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начата разработка аяемотахометра с магнитоэлектрическим счетчиком.</w:t>
      </w:r>
    </w:p>
    <w:p w14:paraId="16B98EB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По компасу:</w:t>
      </w:r>
    </w:p>
    <w:p w14:paraId="67A3C86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спроектирована и строится электрическая печь с масляной ванной для закалки магнитов; " -</w:t>
      </w:r>
    </w:p>
    <w:p w14:paraId="114D23A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начата разработка устройства для намагничивания стальных брусков (соленоида);</w:t>
      </w:r>
    </w:p>
    <w:p w14:paraId="575D11D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начаты исследования по выбору и обработке материала для компасных компенсационных магнитов и способов их намагничивания;</w:t>
      </w:r>
    </w:p>
    <w:p w14:paraId="28820E9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теоретическое рассмотрение вопроса о вращении картушки и жидкости компаса в полете; </w:t>
      </w:r>
      <w:r w:rsidRPr="002F2FDF">
        <w:rPr>
          <w:rFonts w:ascii="Times New Roman" w:hAnsi="Times New Roman" w:cs="Times New Roman"/>
          <w:color w:val="000000" w:themeColor="text1"/>
          <w:kern w:val="2"/>
          <w:sz w:val="16"/>
          <w:szCs w:val="16"/>
          <w:vertAlign w:val="superscript"/>
        </w:rPr>
        <w:t>:</w:t>
      </w:r>
    </w:p>
    <w:p w14:paraId="20778F0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теоретическое рассмотрение вопроса о девиации вообще и креновой девиация на самолете, в частности.</w:t>
      </w:r>
    </w:p>
    <w:p w14:paraId="25B5D76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работах отдела принимали участие следующие лица:</w:t>
      </w:r>
    </w:p>
    <w:p w14:paraId="4C15738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начальник отдела А.Ф.Гаврилов, оставленный при кафедре математики Московского университета;</w:t>
      </w:r>
    </w:p>
    <w:p w14:paraId="6DFE6F4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старший лаборант Г.Ф.Комовский, ассистент по физике Мос</w:t>
      </w:r>
      <w:r w:rsidRPr="002F2FDF">
        <w:rPr>
          <w:rFonts w:ascii="Times New Roman" w:hAnsi="Times New Roman" w:cs="Times New Roman"/>
          <w:color w:val="000000" w:themeColor="text1"/>
          <w:kern w:val="2"/>
          <w:sz w:val="16"/>
          <w:szCs w:val="16"/>
        </w:rPr>
        <w:softHyphen/>
        <w:t>ковского университета;</w:t>
      </w:r>
    </w:p>
    <w:p w14:paraId="54FF606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младший лаборант М.Н.Иванов, окончивший физико-математи</w:t>
      </w:r>
      <w:r w:rsidRPr="002F2FDF">
        <w:rPr>
          <w:rFonts w:ascii="Times New Roman" w:hAnsi="Times New Roman" w:cs="Times New Roman"/>
          <w:color w:val="000000" w:themeColor="text1"/>
          <w:kern w:val="2"/>
          <w:sz w:val="16"/>
          <w:szCs w:val="16"/>
        </w:rPr>
        <w:softHyphen/>
        <w:t>ческий факультет;</w:t>
      </w:r>
    </w:p>
    <w:p w14:paraId="6421AA5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младший лаборант Н.Н.Андреев, прослушавший курс физико-математического факультета;</w:t>
      </w:r>
    </w:p>
    <w:p w14:paraId="7A9035B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вычислитель А.А.Якерин, окончивший физико-математический факультет;</w:t>
      </w:r>
    </w:p>
    <w:p w14:paraId="0969F8E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библиотекарь, прослушавший курс физико-математического факультета;</w:t>
      </w:r>
    </w:p>
    <w:p w14:paraId="417EE2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заведующий поверочной лабораторией физико-математического факультета Б.В.Фаерштейн;</w:t>
      </w:r>
    </w:p>
    <w:p w14:paraId="3BC3486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консультант Я.Д.Тамаркин, профессор Электротехнического Института, магистр прикладной математики.</w:t>
      </w:r>
    </w:p>
    <w:p w14:paraId="4DBC4D7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Технический отдел имел своими задачами конструирование аэро</w:t>
      </w:r>
      <w:r w:rsidRPr="002F2FDF">
        <w:rPr>
          <w:rFonts w:ascii="Times New Roman" w:hAnsi="Times New Roman" w:cs="Times New Roman"/>
          <w:color w:val="000000" w:themeColor="text1"/>
          <w:kern w:val="2"/>
          <w:sz w:val="16"/>
          <w:szCs w:val="16"/>
        </w:rPr>
        <w:softHyphen/>
        <w:t>навигационных приборов, разработку технологии изготовления при</w:t>
      </w:r>
      <w:r w:rsidRPr="002F2FDF">
        <w:rPr>
          <w:rFonts w:ascii="Times New Roman" w:hAnsi="Times New Roman" w:cs="Times New Roman"/>
          <w:color w:val="000000" w:themeColor="text1"/>
          <w:kern w:val="2"/>
          <w:sz w:val="16"/>
          <w:szCs w:val="16"/>
        </w:rPr>
        <w:softHyphen/>
        <w:t>боров и соответствующей оснастки.</w:t>
      </w:r>
    </w:p>
    <w:p w14:paraId="4BF57A3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г. техническим отделом была разработана вся конструкторская документация на тахометр (три варианта), анемо-тахометр (два варианта) и демультипликатор (2 варианта). Парал</w:t>
      </w:r>
      <w:r w:rsidRPr="002F2FDF">
        <w:rPr>
          <w:rFonts w:ascii="Times New Roman" w:hAnsi="Times New Roman" w:cs="Times New Roman"/>
          <w:color w:val="000000" w:themeColor="text1"/>
          <w:kern w:val="2"/>
          <w:sz w:val="16"/>
          <w:szCs w:val="16"/>
        </w:rPr>
        <w:softHyphen/>
        <w:t>лельно с конструированием указанных приборов, были разработаны приспособления, необходимые для их массового производства (25 комплектов). Рабочие чертежи этих приспособлений сданы в мастер</w:t>
      </w:r>
      <w:r w:rsidRPr="002F2FDF">
        <w:rPr>
          <w:rFonts w:ascii="Times New Roman" w:hAnsi="Times New Roman" w:cs="Times New Roman"/>
          <w:color w:val="000000" w:themeColor="text1"/>
          <w:kern w:val="2"/>
          <w:sz w:val="16"/>
          <w:szCs w:val="16"/>
        </w:rPr>
        <w:softHyphen/>
        <w:t>ские для изготовления с тем, чтобы к моменту, когда будут го</w:t>
      </w:r>
      <w:r w:rsidRPr="002F2FDF">
        <w:rPr>
          <w:rFonts w:ascii="Times New Roman" w:hAnsi="Times New Roman" w:cs="Times New Roman"/>
          <w:color w:val="000000" w:themeColor="text1"/>
          <w:kern w:val="2"/>
          <w:sz w:val="16"/>
          <w:szCs w:val="16"/>
        </w:rPr>
        <w:softHyphen/>
        <w:t>товы помещения и установлены станки, работа могла сразу пойти полным ходом .</w:t>
      </w:r>
    </w:p>
    <w:p w14:paraId="235F817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Отдел мастерских имел своей главной задачей массовое произ</w:t>
      </w:r>
      <w:r w:rsidRPr="002F2FDF">
        <w:rPr>
          <w:rFonts w:ascii="Times New Roman" w:hAnsi="Times New Roman" w:cs="Times New Roman"/>
          <w:color w:val="000000" w:themeColor="text1"/>
          <w:kern w:val="2"/>
          <w:sz w:val="16"/>
          <w:szCs w:val="16"/>
        </w:rPr>
        <w:softHyphen/>
        <w:t>водство аэронавигагаонных приборов. В сентябре 1917 г. функцио</w:t>
      </w:r>
      <w:r w:rsidRPr="002F2FDF">
        <w:rPr>
          <w:rFonts w:ascii="Times New Roman" w:hAnsi="Times New Roman" w:cs="Times New Roman"/>
          <w:color w:val="000000" w:themeColor="text1"/>
          <w:kern w:val="2"/>
          <w:sz w:val="16"/>
          <w:szCs w:val="16"/>
        </w:rPr>
        <w:softHyphen/>
        <w:t>нировала часть мастерских: деревообделочная, слесарно-механичес-кая, часовая, сборочная, никелировочная, литейная. Мастерские выполняли заказы, переданные им вместе с мастерской Центральной аэронавигационной станции. Началось изготовление опытных тахо</w:t>
      </w:r>
      <w:r w:rsidRPr="002F2FDF">
        <w:rPr>
          <w:rFonts w:ascii="Times New Roman" w:hAnsi="Times New Roman" w:cs="Times New Roman"/>
          <w:color w:val="000000" w:themeColor="text1"/>
          <w:kern w:val="2"/>
          <w:sz w:val="16"/>
          <w:szCs w:val="16"/>
        </w:rPr>
        <w:softHyphen/>
        <w:t>метров и анемотахометров. Выполнялись также работы по оборудо</w:t>
      </w:r>
      <w:r w:rsidRPr="002F2FDF">
        <w:rPr>
          <w:rFonts w:ascii="Times New Roman" w:hAnsi="Times New Roman" w:cs="Times New Roman"/>
          <w:color w:val="000000" w:themeColor="text1"/>
          <w:kern w:val="2"/>
          <w:sz w:val="16"/>
          <w:szCs w:val="16"/>
        </w:rPr>
        <w:softHyphen/>
        <w:t>ванию завода инвентарем и приспособлениями, необходимыми для массового производства приборов. Но станков, для которых эти приспособления и инструменты были предназначены, не было.</w:t>
      </w:r>
    </w:p>
    <w:p w14:paraId="21F60C5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документе, относящемуся к октябрю 1917 г., говорится, что "возрастают трудности с покупкой станков... Ввиду неполуче</w:t>
      </w:r>
      <w:r w:rsidRPr="002F2FDF">
        <w:rPr>
          <w:rFonts w:ascii="Times New Roman" w:hAnsi="Times New Roman" w:cs="Times New Roman"/>
          <w:color w:val="000000" w:themeColor="text1"/>
          <w:kern w:val="2"/>
          <w:sz w:val="16"/>
          <w:szCs w:val="16"/>
        </w:rPr>
        <w:softHyphen/>
        <w:t>ния своевременно валюты американское правительство станки рек-визует. Трудности, связанные с падением курса рубля, трудности транспортировки. Приходится изменять план заготовки и покупать в России станки случайные, не вполне соответствующие намеченным типам".</w:t>
      </w:r>
    </w:p>
    <w:p w14:paraId="77435CB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Собранные станки в количестве 100 штук не могли быть ис</w:t>
      </w:r>
      <w:r w:rsidRPr="002F2FDF">
        <w:rPr>
          <w:rFonts w:ascii="Times New Roman" w:hAnsi="Times New Roman" w:cs="Times New Roman"/>
          <w:color w:val="000000" w:themeColor="text1"/>
          <w:kern w:val="2"/>
          <w:sz w:val="16"/>
          <w:szCs w:val="16"/>
        </w:rPr>
        <w:softHyphen/>
        <w:t>пользованы полностью, т.к. завершение строительства затягивалось (11077).</w:t>
      </w:r>
    </w:p>
    <w:p w14:paraId="6E48916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FFDE3B" w14:textId="77777777" w:rsidR="0069777D" w:rsidRPr="002F2FDF" w:rsidRDefault="0069777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2FD8355" w14:textId="77777777" w:rsidR="0069777D" w:rsidRPr="002F2FDF" w:rsidRDefault="0069777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A41E21" w14:textId="77777777" w:rsidR="0069777D" w:rsidRPr="002F2FDF" w:rsidRDefault="0069777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shd w:val="clear" w:color="auto" w:fill="FFFFFF"/>
        </w:rPr>
        <w:t>25 сентября (8 октября) 1917 начальник мастерских 2-го коренного парка направил в ГВТУ доклад о ходе работ, где среди прочего было следующее: «В настоящее время мотор с автомобиля Бенц снят, и вместе с дрезиной отправлен в город Рыбинск на завод «Русский Рено». Броня и шасси находятся в парке».</w:t>
      </w:r>
    </w:p>
    <w:p w14:paraId="1D24D86B" w14:textId="0F02E5E6" w:rsidR="0069777D" w:rsidRPr="002F2FDF" w:rsidRDefault="0069777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shd w:val="clear" w:color="auto" w:fill="FFFFFF"/>
        </w:rPr>
        <w:t>Дальнейшую судьбу бронедрезины установить не удалось, но есть большая вероятность того, что двигатель на нее так и не поставили, а впоследствии разобрали.</w:t>
      </w:r>
      <w:r w:rsidR="00E52569">
        <w:rPr>
          <w:rFonts w:ascii="Times New Roman" w:hAnsi="Times New Roman" w:cs="Times New Roman"/>
          <w:color w:val="000000" w:themeColor="text1"/>
          <w:sz w:val="16"/>
          <w:szCs w:val="16"/>
          <w:shd w:val="clear" w:color="auto" w:fill="FFFFFF"/>
        </w:rPr>
        <w:t xml:space="preserve"> </w:t>
      </w:r>
    </w:p>
    <w:p w14:paraId="298F413C" w14:textId="77777777" w:rsidR="0069777D" w:rsidRPr="002F2FDF" w:rsidRDefault="0069777D" w:rsidP="0083075A">
      <w:pPr>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shd w:val="clear" w:color="auto" w:fill="FFFFFF"/>
        </w:rPr>
        <w:t>Судьба бронедрезин одесской постройки оказалась длиннее. Обе они использовались для работы на головных участках батальонов 2-й Заамурской железнодорожной бригады вплоть до лета 1917 года. В июне одна из них вошла в состав броневого ударного железнодорожного отряда полковника Кондырина, действовавшего на Юго-Западном фронте. В ходе начавшейся Гражданской войны одна из них попала в руки красных и действовала под Царицыным до лета 1919 года. Ее дальнейший боевой путь и судьба второй дрезины автору неизвестны (18626).</w:t>
      </w:r>
    </w:p>
    <w:p w14:paraId="77C675C2" w14:textId="77777777" w:rsidR="0069777D" w:rsidRPr="002F2FDF" w:rsidRDefault="0069777D" w:rsidP="0083075A">
      <w:pPr>
        <w:spacing w:after="0" w:line="240" w:lineRule="auto"/>
        <w:jc w:val="both"/>
        <w:rPr>
          <w:rFonts w:ascii="Times New Roman" w:hAnsi="Times New Roman" w:cs="Times New Roman"/>
          <w:color w:val="000000" w:themeColor="text1"/>
          <w:sz w:val="16"/>
          <w:szCs w:val="16"/>
        </w:rPr>
      </w:pPr>
    </w:p>
    <w:p w14:paraId="13A080F3" w14:textId="77777777" w:rsidR="003431D2" w:rsidRPr="002F2FDF" w:rsidRDefault="00CC1BE3"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F7FAC4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016DB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сентября (8 октября) 1917 в связи с началом подготовки главных сил Черноморского флота к проведению в октябре 1917 года крупной Синопской десантной операции, требовавшей новых лл, контр-адмирал А. Немитц послал на имя морского министра и начальника генштаба телеграммы.</w:t>
      </w:r>
    </w:p>
    <w:p w14:paraId="41DA253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моем распоряжении, - сообщалось в одной из них, - име</w:t>
      </w:r>
      <w:r w:rsidRPr="002F2FDF">
        <w:rPr>
          <w:rFonts w:ascii="Times New Roman" w:hAnsi="Times New Roman" w:cs="Times New Roman"/>
          <w:color w:val="000000" w:themeColor="text1"/>
          <w:kern w:val="2"/>
          <w:sz w:val="16"/>
          <w:szCs w:val="16"/>
        </w:rPr>
        <w:softHyphen/>
        <w:t>ются лишь устаревшие машины в небольшом количестве, не способные удовлетворить хотя бы потребности только развед</w:t>
      </w:r>
      <w:r w:rsidRPr="002F2FDF">
        <w:rPr>
          <w:rFonts w:ascii="Times New Roman" w:hAnsi="Times New Roman" w:cs="Times New Roman"/>
          <w:color w:val="000000" w:themeColor="text1"/>
          <w:kern w:val="2"/>
          <w:sz w:val="16"/>
          <w:szCs w:val="16"/>
        </w:rPr>
        <w:softHyphen/>
        <w:t>ки неприятельского побережья”. Признавая “задачи Чер</w:t>
      </w:r>
      <w:r w:rsidRPr="002F2FDF">
        <w:rPr>
          <w:rFonts w:ascii="Times New Roman" w:hAnsi="Times New Roman" w:cs="Times New Roman"/>
          <w:color w:val="000000" w:themeColor="text1"/>
          <w:kern w:val="2"/>
          <w:sz w:val="16"/>
          <w:szCs w:val="16"/>
        </w:rPr>
        <w:softHyphen/>
        <w:t>номорского флота не менее важными, чем у Балтийского”, командующий просил удовлетворять острые потребности в рав</w:t>
      </w:r>
      <w:r w:rsidRPr="002F2FDF">
        <w:rPr>
          <w:rFonts w:ascii="Times New Roman" w:hAnsi="Times New Roman" w:cs="Times New Roman"/>
          <w:color w:val="000000" w:themeColor="text1"/>
          <w:kern w:val="2"/>
          <w:sz w:val="16"/>
          <w:szCs w:val="16"/>
        </w:rPr>
        <w:softHyphen/>
        <w:t>ной мере.</w:t>
      </w:r>
    </w:p>
    <w:p w14:paraId="68D1DFB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будучи уверенным в положительном ответе, Немитц об</w:t>
      </w:r>
      <w:r w:rsidRPr="002F2FDF">
        <w:rPr>
          <w:rFonts w:ascii="Times New Roman" w:hAnsi="Times New Roman" w:cs="Times New Roman"/>
          <w:color w:val="000000" w:themeColor="text1"/>
          <w:kern w:val="2"/>
          <w:sz w:val="16"/>
          <w:szCs w:val="16"/>
        </w:rPr>
        <w:softHyphen/>
        <w:t>ратился за поддержкой к Верховному Главнокомандующему генерал-лейтенанту Духонину. Тот сразу же переслал телеграм</w:t>
      </w:r>
      <w:r w:rsidRPr="002F2FDF">
        <w:rPr>
          <w:rFonts w:ascii="Times New Roman" w:hAnsi="Times New Roman" w:cs="Times New Roman"/>
          <w:color w:val="000000" w:themeColor="text1"/>
          <w:kern w:val="2"/>
          <w:sz w:val="16"/>
          <w:szCs w:val="16"/>
        </w:rPr>
        <w:softHyphen/>
        <w:t>му Вердеревскому и предложил обратить внимание на нужды черноморской авиации. Но переписка на высшем уровне дала мало прока из-за нарушения сроков доставки импорт</w:t>
      </w:r>
      <w:r w:rsidRPr="002F2FDF">
        <w:rPr>
          <w:rFonts w:ascii="Times New Roman" w:hAnsi="Times New Roman" w:cs="Times New Roman"/>
          <w:color w:val="000000" w:themeColor="text1"/>
          <w:kern w:val="2"/>
          <w:sz w:val="16"/>
          <w:szCs w:val="16"/>
        </w:rPr>
        <w:softHyphen/>
        <w:t>ных моторов.</w:t>
      </w:r>
    </w:p>
    <w:p w14:paraId="567FF5D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ходе подготовки к десантной операции “Нахимов” с целя</w:t>
      </w:r>
      <w:r w:rsidRPr="002F2FDF">
        <w:rPr>
          <w:rFonts w:ascii="Times New Roman" w:hAnsi="Times New Roman" w:cs="Times New Roman"/>
          <w:color w:val="000000" w:themeColor="text1"/>
          <w:kern w:val="2"/>
          <w:sz w:val="16"/>
          <w:szCs w:val="16"/>
        </w:rPr>
        <w:softHyphen/>
        <w:t>ми выяснения характера береговой обороны, местоположения турецких войск, состояния дорожных путей, была проведена разведка побережья на участке Инеболу-Синоп-Самсун. В ней участвовали гидрокрейсера “Республиканец”, “Авиатор”, “Ру</w:t>
      </w:r>
      <w:r w:rsidRPr="002F2FDF">
        <w:rPr>
          <w:rFonts w:ascii="Times New Roman" w:hAnsi="Times New Roman" w:cs="Times New Roman"/>
          <w:color w:val="000000" w:themeColor="text1"/>
          <w:kern w:val="2"/>
          <w:sz w:val="16"/>
          <w:szCs w:val="16"/>
        </w:rPr>
        <w:softHyphen/>
        <w:t>мыния” (всего с 16 летающими лодками), 4 эсминца и 2 катера. Оперативное прикрытие обеспечивали линкор “Свободная Рос</w:t>
      </w:r>
      <w:r w:rsidRPr="002F2FDF">
        <w:rPr>
          <w:rFonts w:ascii="Times New Roman" w:hAnsi="Times New Roman" w:cs="Times New Roman"/>
          <w:color w:val="000000" w:themeColor="text1"/>
          <w:kern w:val="2"/>
          <w:sz w:val="16"/>
          <w:szCs w:val="16"/>
        </w:rPr>
        <w:softHyphen/>
        <w:t>сия”, крейсер “Память “Меркурия” и 2 эсминца. Несмотря на отдельные недостатки, летчики и моряки осуществили съемку и наблюдения, пригодные для последующих действий.</w:t>
      </w:r>
    </w:p>
    <w:p w14:paraId="0607708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условиях нового революционного подъема в стране Став</w:t>
      </w:r>
      <w:r w:rsidRPr="002F2FDF">
        <w:rPr>
          <w:rFonts w:ascii="Times New Roman" w:hAnsi="Times New Roman" w:cs="Times New Roman"/>
          <w:color w:val="000000" w:themeColor="text1"/>
          <w:kern w:val="2"/>
          <w:sz w:val="16"/>
          <w:szCs w:val="16"/>
        </w:rPr>
        <w:softHyphen/>
        <w:t>ка не смогла выделить достаточное количество сил и средств для проведения крупной десантной операции.</w:t>
      </w:r>
    </w:p>
    <w:p w14:paraId="6674DE0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Поэтому решила ограничиться “морским набегом” на Си-ноп с высадкой тактического десанта (8 пехотных батальонов, 8 кавалерийских эскадронов, части усиления) для оказания на Турцию “политического давления” и освобождения пленных англичан. Накануне созываемой в Париже конференции союз</w:t>
      </w:r>
      <w:r w:rsidRPr="002F2FDF">
        <w:rPr>
          <w:rFonts w:ascii="Times New Roman" w:hAnsi="Times New Roman" w:cs="Times New Roman"/>
          <w:color w:val="000000" w:themeColor="text1"/>
          <w:kern w:val="2"/>
          <w:sz w:val="16"/>
          <w:szCs w:val="16"/>
        </w:rPr>
        <w:softHyphen/>
        <w:t>ных держав такая успешно осуществленная акция могла стать “козырной картой” российской делегации (11283).</w:t>
      </w:r>
    </w:p>
    <w:p w14:paraId="2C77B8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E6F7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25 сентября </w:t>
      </w:r>
      <w:r w:rsidR="00680400" w:rsidRPr="002F2FDF">
        <w:rPr>
          <w:rFonts w:ascii="Times New Roman" w:hAnsi="Times New Roman" w:cs="Times New Roman"/>
          <w:color w:val="000000" w:themeColor="text1"/>
          <w:kern w:val="2"/>
          <w:sz w:val="16"/>
          <w:szCs w:val="16"/>
        </w:rPr>
        <w:t xml:space="preserve">(8 октября) </w:t>
      </w:r>
      <w:r w:rsidRPr="002F2FDF">
        <w:rPr>
          <w:rFonts w:ascii="Times New Roman" w:hAnsi="Times New Roman" w:cs="Times New Roman"/>
          <w:color w:val="000000" w:themeColor="text1"/>
          <w:kern w:val="2"/>
          <w:sz w:val="16"/>
          <w:szCs w:val="16"/>
        </w:rPr>
        <w:t>1917, когда для подготовке флота к Синопской десантной операции, планировавшейся на октябрь 1917 г., выявилась необходимость обновления парка самолётов, контр-адмирал А. Немитц послал на имя морского министра и начальника генштаба телеграммы с просьбой о поставке новой техники. Одновременно он обратился за поддержкой к Верховному Главнокомандующему генерал-лейтенанту Духонину. Последний направил телеграмму Вердеревскому. Однако переписка, по объективным причинам, не привела к положительным результатам.</w:t>
      </w:r>
    </w:p>
    <w:p w14:paraId="42B4E8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ходе подготовки к десантной операции провели разведку побережья на участке Инеболу-Синоп- Самсун. В ней участвовали авиатранспорты "Республиканец", "Авиатор", "Румыния" (всего с 16 летающими лодками на борту), четыре эсминца и два катера. Оперативное прикрытие обеспечивали линкор "Свободная Россия", крейсер "Память "Меркурия" и два эсминца. Были получены данные, полезные для разработки плана операции.</w:t>
      </w:r>
    </w:p>
    <w:p w14:paraId="313AA5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 в условиях полнейшего хаоса и неразберихи в стране, Ставка не смогла выделить достаточное количество сил и средств для крупной десантной операции.</w:t>
      </w:r>
    </w:p>
    <w:p w14:paraId="31E002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Поэтому решили ограничиться "морским набегом" на Синоп с высадкой тактического десанта, чтобы оказать на Турцию "политическое давление" и освободить пленных англичан. Однако свержение Временного правительства и установление власти Советов вынудило "главковерха" Духонина подчиниться распоряжению Советского правительства и 27 октября отменить проведение набеговой операции (11933).</w:t>
      </w:r>
    </w:p>
    <w:p w14:paraId="79D816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D908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25 сентября (8 октября) 1917. Открытие 2-го съезда БФ. Съезд проходил в Гельсингфорсе на яхте «Полярная Звезда». На нем присутствовал 121 делегат, представлявший 57850 моряков БФ. Председателем съезда был избран П. Е. Дыбенко, секретарем — А. Г. Железняков. Подавляющее большинство делегатов поддерживали большевиков, требовавших немедленного созыва Всероссийского съезда Советов и передачи Советам всей власти. Съезд принял обращение к морякам других флотов, в котором выдвигались требования передачи земли крестьянам, демократического мира, рабочего контроля над производством и созыва Всероссийского съезда Советов, а также решил организационные вопросы: утвердил новый устав Центробалта и назначил его перевыборы, избрал делегатов на II Всероссийский съезд Советов. Участники съезда утвердили «Инструкцию для комиссаров», предусматривавшую контроль матросских комитетов над всеми распоряжениями командования, и потребовали от Временного правительства освобождения участников июльских событий. </w:t>
      </w:r>
    </w:p>
    <w:p w14:paraId="2E18E2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октября на заключительном заседании было принято обращение «К угнетенным всех стран», в котором балтийцы заявили: «Флот исполнит свой долг перед великой революцией. Мы обязались твердо держать фронт и оберегать доступы к Петрограду. Мы выполним свое обязательство... Мы идем в бой не во имя исполнения договоров наших правителей с союзниками, опутывающих цепями руки русской свободы. Мы исполняем верховное веление нашего революционного сознания».</w:t>
      </w:r>
    </w:p>
    <w:p w14:paraId="0BBB06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Обращение призывало народы воюющих стран выступить в поддержку русской революции. </w:t>
      </w:r>
    </w:p>
    <w:p w14:paraId="210243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Решения 2-го съезда БФ сыграли большую роль в подготовке матросских масс к вооруженному восстанию (11712).</w:t>
      </w:r>
    </w:p>
    <w:p w14:paraId="6EE312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52100D" w14:textId="4B1A0B87" w:rsidR="005F2B51" w:rsidRPr="00FB4F67" w:rsidRDefault="005F2B51" w:rsidP="0083075A">
      <w:pPr>
        <w:spacing w:after="0" w:line="240" w:lineRule="auto"/>
        <w:jc w:val="both"/>
        <w:rPr>
          <w:rFonts w:ascii="Times New Roman" w:hAnsi="Times New Roman" w:cs="Times New Roman"/>
          <w:color w:val="0070C0"/>
          <w:sz w:val="16"/>
          <w:szCs w:val="16"/>
        </w:rPr>
      </w:pPr>
      <w:bookmarkStart w:id="330" w:name="bookmark968"/>
      <w:bookmarkStart w:id="331" w:name="bookmark969"/>
      <w:bookmarkStart w:id="332" w:name="bookmark970"/>
      <w:r>
        <w:rPr>
          <w:rFonts w:ascii="Times New Roman" w:hAnsi="Times New Roman" w:cs="Times New Roman"/>
          <w:color w:val="0070C0"/>
          <w:sz w:val="16"/>
          <w:szCs w:val="16"/>
        </w:rPr>
        <w:t>25 сентября (</w:t>
      </w:r>
      <w:r w:rsidRPr="00FB4F67">
        <w:rPr>
          <w:rFonts w:ascii="Times New Roman" w:hAnsi="Times New Roman" w:cs="Times New Roman"/>
          <w:color w:val="0070C0"/>
          <w:sz w:val="16"/>
          <w:szCs w:val="16"/>
        </w:rPr>
        <w:t>8 октября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на Рижском направлении, в районе мызы Хинценберга (Рижское направление), командир 14-го авиаотряда истребителей военный летчик штабс-капитан Н.И. Белоусович в воздушном бою сбил германский самолет. На Бучачском направлении (Румынский фронт) французские летчики Лакман и Кудурье записали на свой счет уничтоженный ими вражеский аэроплан, сгоревший при падении.</w:t>
      </w:r>
    </w:p>
    <w:p w14:paraId="3D3EB164" w14:textId="77777777" w:rsidR="005F2B51" w:rsidRPr="00FB4F67" w:rsidRDefault="005F2B51" w:rsidP="0083075A">
      <w:pPr>
        <w:spacing w:after="0" w:line="240" w:lineRule="auto"/>
        <w:jc w:val="both"/>
        <w:rPr>
          <w:rFonts w:ascii="Times New Roman" w:hAnsi="Times New Roman" w:cs="Times New Roman"/>
          <w:color w:val="0070C0"/>
          <w:sz w:val="16"/>
          <w:szCs w:val="16"/>
        </w:rPr>
      </w:pPr>
      <w:bookmarkStart w:id="333" w:name="bookmark971"/>
      <w:bookmarkStart w:id="334" w:name="bookmark972"/>
      <w:bookmarkStart w:id="335" w:name="bookmark973"/>
      <w:bookmarkStart w:id="336" w:name="bookmark974"/>
      <w:r w:rsidRPr="00FB4F67">
        <w:rPr>
          <w:rFonts w:ascii="Times New Roman" w:hAnsi="Times New Roman" w:cs="Times New Roman"/>
          <w:color w:val="0070C0"/>
          <w:sz w:val="16"/>
          <w:szCs w:val="16"/>
        </w:rPr>
        <w:t>В районе Рижского залива немецкая морская авиация (14 аппаратов) совершила налет на м. Церель, «причем некоторые из них снизились над водою и безрезультатно выпустили мины „Уайтхеда“ по [морскому] транспорту». На следующий день воздушный налет повторился. Утром восемь неприятельских гидросамолетов попытались подвергнуть бомбардировке Церельскую батарею и д. Мендо (8 км северо-восточнее Цереля). Объектом нападения также стал г. Гай-наш, на который был совершен групповой воздушный налет противника (7 самолетов). На город сброшено 15 бомб, при их разрыве было убито два человека, один ранен. В полосе Западного фронта бомбардировке с воздуха подвергся строительный отряд земского союза при Мальковичах (Гродненская губ.) и м. Раков (Минская губ.).</w:t>
      </w:r>
      <w:bookmarkEnd w:id="333"/>
      <w:bookmarkEnd w:id="334"/>
      <w:bookmarkEnd w:id="335"/>
      <w:bookmarkEnd w:id="336"/>
    </w:p>
    <w:p w14:paraId="29282E09" w14:textId="77777777" w:rsidR="005F2B51" w:rsidRPr="00FB4F67" w:rsidRDefault="005F2B51" w:rsidP="0083075A">
      <w:pPr>
        <w:spacing w:after="0" w:line="240" w:lineRule="auto"/>
        <w:jc w:val="both"/>
        <w:rPr>
          <w:rFonts w:ascii="Times New Roman" w:hAnsi="Times New Roman" w:cs="Times New Roman"/>
          <w:color w:val="0070C0"/>
          <w:sz w:val="16"/>
          <w:szCs w:val="16"/>
        </w:rPr>
      </w:pPr>
      <w:bookmarkStart w:id="337" w:name="bookmark975"/>
      <w:bookmarkStart w:id="338" w:name="bookmark976"/>
      <w:r w:rsidRPr="00FB4F67">
        <w:rPr>
          <w:rFonts w:ascii="Times New Roman" w:hAnsi="Times New Roman" w:cs="Times New Roman"/>
          <w:color w:val="0070C0"/>
          <w:sz w:val="16"/>
          <w:szCs w:val="16"/>
        </w:rPr>
        <w:t>На Кавказском фронте, где воздушные бои были большой редкостью, особенно отличился командир 2-го Кавказского авиаотряда штабс-капитан М.С. Мачавариани. 8 октября в районе г. Эрзинджан (Турция), занятого русскими войсками, в результате перехвата в воздухе пулеметным огнем он подбил турецкий «Альбатрос» (7-я авиационная рота). Экипаж самолета (летчик младший лейтенант Веджихи и летчик-наблюдатель лейтенант Бахаттин) попал в плен. В тот же день летчик 7-го авиаотряда истребителей прапорщик В.И. Янченко одержал свою 15-ю победу, сбив очередной самолет противника, упавший в неприятельском расположении, в районе м. Збриж (15 км южнее Гусятина)</w:t>
      </w:r>
      <w:bookmarkEnd w:id="337"/>
      <w:bookmarkEnd w:id="338"/>
      <w:r w:rsidRPr="00FB4F67">
        <w:rPr>
          <w:rFonts w:ascii="Times New Roman" w:hAnsi="Times New Roman" w:cs="Times New Roman"/>
          <w:color w:val="0070C0"/>
          <w:sz w:val="16"/>
          <w:szCs w:val="16"/>
        </w:rPr>
        <w:t xml:space="preserve"> (23405).</w:t>
      </w:r>
      <w:bookmarkEnd w:id="330"/>
      <w:bookmarkEnd w:id="331"/>
      <w:bookmarkEnd w:id="332"/>
    </w:p>
    <w:p w14:paraId="057AC78B" w14:textId="77777777" w:rsidR="005F2B51" w:rsidRPr="00FB4F67" w:rsidRDefault="005F2B51" w:rsidP="0083075A">
      <w:pPr>
        <w:spacing w:after="0" w:line="240" w:lineRule="auto"/>
        <w:jc w:val="both"/>
        <w:rPr>
          <w:rFonts w:ascii="Times New Roman" w:hAnsi="Times New Roman" w:cs="Times New Roman"/>
          <w:color w:val="0070C0"/>
          <w:sz w:val="16"/>
          <w:szCs w:val="16"/>
        </w:rPr>
      </w:pPr>
    </w:p>
    <w:p w14:paraId="5245E2C8" w14:textId="4F0D6504" w:rsidR="005F2B51" w:rsidRPr="00FB4F67" w:rsidRDefault="005F2B5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25 сентября (</w:t>
      </w:r>
      <w:r w:rsidRPr="00FB4F67">
        <w:rPr>
          <w:rFonts w:ascii="Times New Roman" w:hAnsi="Times New Roman" w:cs="Times New Roman"/>
          <w:color w:val="0070C0"/>
          <w:sz w:val="16"/>
          <w:szCs w:val="16"/>
        </w:rPr>
        <w:t>8 октября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Полковник А. А. Козаков, командир 1-й БАГ, был вызван на Георгиевский собор в Петроград. Он отсутствовал в своей команде в течение 25 дней, возобновив свои обязанности в начале ноября (23525).</w:t>
      </w:r>
    </w:p>
    <w:p w14:paraId="5E19F0D7" w14:textId="77777777" w:rsidR="005F2B51" w:rsidRPr="00FB4F67" w:rsidRDefault="005F2B51" w:rsidP="0083075A">
      <w:pPr>
        <w:spacing w:after="0" w:line="240" w:lineRule="auto"/>
        <w:jc w:val="both"/>
        <w:rPr>
          <w:rFonts w:ascii="Times New Roman" w:hAnsi="Times New Roman" w:cs="Times New Roman"/>
          <w:color w:val="0070C0"/>
          <w:sz w:val="16"/>
          <w:szCs w:val="16"/>
        </w:rPr>
      </w:pPr>
    </w:p>
    <w:p w14:paraId="1849DCB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4A644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AC6B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сентября (8 октября) 1917 А.Ф.Керенский сформировал третье коалиционное правительство (1348,86).</w:t>
      </w:r>
    </w:p>
    <w:p w14:paraId="46A928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892E23" w14:textId="77777777" w:rsidR="0016518E" w:rsidRPr="002F2FDF" w:rsidRDefault="0016518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сентября (8 октября) 1917 Керенский формирует Третье коалиционное правительство - 6 кадетов, 1 эсер, 3 меньшевика, 2 трудовика, 1 «независимый» и 2 военных специалиста. Троцкий выпущен из тюрьмы под залог, он тут же возглавил Петроградский Совет. И сформировал комитет по подготовке вооруженного восстания</w:t>
      </w:r>
      <w:r w:rsidR="000B53BF" w:rsidRPr="002F2FDF">
        <w:rPr>
          <w:rFonts w:ascii="Times New Roman" w:hAnsi="Times New Roman" w:cs="Times New Roman"/>
          <w:color w:val="000000" w:themeColor="text1"/>
          <w:kern w:val="2"/>
          <w:sz w:val="16"/>
          <w:szCs w:val="16"/>
        </w:rPr>
        <w:t xml:space="preserve"> (12629)</w:t>
      </w:r>
      <w:r w:rsidRPr="002F2FDF">
        <w:rPr>
          <w:rFonts w:ascii="Times New Roman" w:hAnsi="Times New Roman" w:cs="Times New Roman"/>
          <w:color w:val="000000" w:themeColor="text1"/>
          <w:kern w:val="2"/>
          <w:sz w:val="16"/>
          <w:szCs w:val="16"/>
        </w:rPr>
        <w:t>.</w:t>
      </w:r>
    </w:p>
    <w:p w14:paraId="43BBD9A5" w14:textId="77777777" w:rsidR="0016518E" w:rsidRPr="002F2FDF" w:rsidRDefault="0016518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995C1F"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25 сентября (8 октября) </w:t>
      </w:r>
      <w:r w:rsidRPr="002F2FDF">
        <w:rPr>
          <w:rFonts w:ascii="Times New Roman" w:hAnsi="Times New Roman" w:cs="Times New Roman"/>
          <w:color w:val="000000" w:themeColor="text1"/>
          <w:kern w:val="2"/>
          <w:sz w:val="16"/>
          <w:szCs w:val="16"/>
        </w:rPr>
        <w:t>в 1917 году в Петрограде создается третье и последнее коалиционное правительство во главе с А.Ф.Керенским. Председателем Петроградского совета был избран Лев Троцкий. До этого момента в Петроградском совете господствовали меньшевики и эсеры. Совет сыграл значительную роль в ходе Февральской революции, начав свои заседания в Таврическом дворце. Председателем Исполкома Петроградского Совета рабочих депутатов (с марта - рабочих и солдатских депутатов) стал меньшевик Н.С.Чхеидзе, а его заместителями эсер А.Ф.Керенский и меньшевик М.И.Скобелев. К середине лета настроения в революционной среде изменились, а после подавления корниловского мятежа сменилось руководство Совета. Его возглавил большевик Лев Троцкий. Правда сам Троцкий стал большевиком только весной 1917 года (14793).</w:t>
      </w:r>
    </w:p>
    <w:p w14:paraId="4E6FC82F"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p>
    <w:p w14:paraId="315F9262" w14:textId="77777777" w:rsidR="00896779" w:rsidRPr="002F2FDF" w:rsidRDefault="00896779" w:rsidP="0083075A">
      <w:pPr>
        <w:pStyle w:val="ae"/>
        <w:spacing w:before="0" w:after="0"/>
        <w:jc w:val="both"/>
        <w:rPr>
          <w:color w:val="000000" w:themeColor="text1"/>
          <w:kern w:val="2"/>
          <w:sz w:val="16"/>
          <w:szCs w:val="16"/>
        </w:rPr>
      </w:pPr>
      <w:r w:rsidRPr="002F2FDF">
        <w:rPr>
          <w:color w:val="000000" w:themeColor="text1"/>
          <w:kern w:val="2"/>
          <w:sz w:val="16"/>
          <w:szCs w:val="16"/>
        </w:rPr>
        <w:t>25 сентября (8 октября) 1917 по итогам прошедшего в Петрограде Демократического совещания было сформировано Временное правительство уже третьего состава. Посты министра-председателя и Верховного главнокомандующего сохранил за собой Александр Керенский, его заместителем и одновременно министром торговли и промышленности стал кадет Александр Коновалов, министром иностранных дел — Михаил Терещенко, военным министром — Александр Верховский. Теперь в составе Временного правительства было 4 кадета, 2 эсера, 3 меньшевика, 1 трудовик и три беспартийных министра (17045).</w:t>
      </w:r>
    </w:p>
    <w:p w14:paraId="3A7F953D" w14:textId="77777777" w:rsidR="00896779" w:rsidRPr="002F2FDF" w:rsidRDefault="00896779" w:rsidP="0083075A">
      <w:pPr>
        <w:spacing w:after="0" w:line="240" w:lineRule="auto"/>
        <w:jc w:val="both"/>
        <w:rPr>
          <w:rStyle w:val="ucoz-forum-post"/>
          <w:rFonts w:ascii="Times New Roman" w:hAnsi="Times New Roman" w:cs="Times New Roman"/>
          <w:bCs/>
          <w:color w:val="000000" w:themeColor="text1"/>
          <w:kern w:val="2"/>
          <w:sz w:val="16"/>
          <w:szCs w:val="16"/>
        </w:rPr>
      </w:pPr>
    </w:p>
    <w:p w14:paraId="4B8D249E"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25 сентября (8 октября) </w:t>
      </w:r>
      <w:r w:rsidRPr="002F2FDF">
        <w:rPr>
          <w:rFonts w:ascii="Times New Roman" w:hAnsi="Times New Roman" w:cs="Times New Roman"/>
          <w:color w:val="000000" w:themeColor="text1"/>
          <w:kern w:val="2"/>
          <w:sz w:val="16"/>
          <w:szCs w:val="16"/>
        </w:rPr>
        <w:t>в 1917 году лидер большевиков Л.Троцкий избран председателем Петросовета (14793).</w:t>
      </w:r>
    </w:p>
    <w:p w14:paraId="00C2AAFA"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p>
    <w:p w14:paraId="4725E9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сентября (8 октября) 1917 Л.Д.Троцкий стал председателем Петросовета (3186).</w:t>
      </w:r>
    </w:p>
    <w:p w14:paraId="148255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22C1D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B730E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F4A41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w:t>
      </w:r>
      <w:r w:rsidRPr="002F2FDF">
        <w:rPr>
          <w:rFonts w:ascii="Times New Roman" w:hAnsi="Times New Roman" w:cs="Times New Roman"/>
          <w:color w:val="000000" w:themeColor="text1"/>
          <w:kern w:val="2"/>
          <w:sz w:val="16"/>
          <w:szCs w:val="16"/>
        </w:rPr>
        <w:softHyphen/>
        <w:t>чатая 26 сентября (9 октября) 1917 верховным командованием Германии стра</w:t>
      </w:r>
      <w:r w:rsidRPr="002F2FDF">
        <w:rPr>
          <w:rFonts w:ascii="Times New Roman" w:hAnsi="Times New Roman" w:cs="Times New Roman"/>
          <w:color w:val="000000" w:themeColor="text1"/>
          <w:kern w:val="2"/>
          <w:sz w:val="16"/>
          <w:szCs w:val="16"/>
        </w:rPr>
        <w:softHyphen/>
        <w:t>тегическая операция по захвату Моонзундского архипелага и разгрому находящихся в Рижском заливе морских сил Рос</w:t>
      </w:r>
      <w:r w:rsidRPr="002F2FDF">
        <w:rPr>
          <w:rFonts w:ascii="Times New Roman" w:hAnsi="Times New Roman" w:cs="Times New Roman"/>
          <w:color w:val="000000" w:themeColor="text1"/>
          <w:kern w:val="2"/>
          <w:sz w:val="16"/>
          <w:szCs w:val="16"/>
        </w:rPr>
        <w:softHyphen/>
        <w:t>сии была характерна многократным превосходством против</w:t>
      </w:r>
      <w:r w:rsidRPr="002F2FDF">
        <w:rPr>
          <w:rFonts w:ascii="Times New Roman" w:hAnsi="Times New Roman" w:cs="Times New Roman"/>
          <w:color w:val="000000" w:themeColor="text1"/>
          <w:kern w:val="2"/>
          <w:sz w:val="16"/>
          <w:szCs w:val="16"/>
        </w:rPr>
        <w:softHyphen/>
        <w:t>ника. В частности, немцы применили в операции 9 дирижаб</w:t>
      </w:r>
      <w:r w:rsidRPr="002F2FDF">
        <w:rPr>
          <w:rFonts w:ascii="Times New Roman" w:hAnsi="Times New Roman" w:cs="Times New Roman"/>
          <w:color w:val="000000" w:themeColor="text1"/>
          <w:kern w:val="2"/>
          <w:sz w:val="16"/>
          <w:szCs w:val="16"/>
        </w:rPr>
        <w:softHyphen/>
        <w:t>лей и 94 аэроплана, тогда как русские имели в своем распоря</w:t>
      </w:r>
      <w:r w:rsidRPr="002F2FDF">
        <w:rPr>
          <w:rFonts w:ascii="Times New Roman" w:hAnsi="Times New Roman" w:cs="Times New Roman"/>
          <w:color w:val="000000" w:themeColor="text1"/>
          <w:kern w:val="2"/>
          <w:sz w:val="16"/>
          <w:szCs w:val="16"/>
        </w:rPr>
        <w:softHyphen/>
        <w:t>жении лишь 30 аэропланов. Когда утром 29 сентября вражеские войска стали высажи</w:t>
      </w:r>
      <w:r w:rsidRPr="002F2FDF">
        <w:rPr>
          <w:rFonts w:ascii="Times New Roman" w:hAnsi="Times New Roman" w:cs="Times New Roman"/>
          <w:color w:val="000000" w:themeColor="text1"/>
          <w:kern w:val="2"/>
          <w:sz w:val="16"/>
          <w:szCs w:val="16"/>
        </w:rPr>
        <w:softHyphen/>
        <w:t>ваться на северный берег острова Эзель, германские эсминцы из бухты Тага-Лахт открыли артогонь по Папенсгольмской (бывшей Килькондской) воздушной станции. Все наши гидро</w:t>
      </w:r>
      <w:r w:rsidRPr="002F2FDF">
        <w:rPr>
          <w:rFonts w:ascii="Times New Roman" w:hAnsi="Times New Roman" w:cs="Times New Roman"/>
          <w:color w:val="000000" w:themeColor="text1"/>
          <w:kern w:val="2"/>
          <w:sz w:val="16"/>
          <w:szCs w:val="16"/>
        </w:rPr>
        <w:softHyphen/>
        <w:t>самолеты днем перелетели сперва на Аренсбургский пост, находившийся на южном берегу острова, а затем на материк. После вторжения в Рижский залив эскадры германских лин</w:t>
      </w:r>
      <w:r w:rsidRPr="002F2FDF">
        <w:rPr>
          <w:rFonts w:ascii="Times New Roman" w:hAnsi="Times New Roman" w:cs="Times New Roman"/>
          <w:color w:val="000000" w:themeColor="text1"/>
          <w:kern w:val="2"/>
          <w:sz w:val="16"/>
          <w:szCs w:val="16"/>
        </w:rPr>
        <w:softHyphen/>
        <w:t>коров и жестокого боя 4 октября с русскими броненосцами “Сла</w:t>
      </w:r>
      <w:r w:rsidRPr="002F2FDF">
        <w:rPr>
          <w:rFonts w:ascii="Times New Roman" w:hAnsi="Times New Roman" w:cs="Times New Roman"/>
          <w:color w:val="000000" w:themeColor="text1"/>
          <w:kern w:val="2"/>
          <w:sz w:val="16"/>
          <w:szCs w:val="16"/>
        </w:rPr>
        <w:softHyphen/>
        <w:t>ва”, “Гражданин” (бывший “Цесаревич”) и крейсером “Баян”, окончившегося затоплением моряками в северном выходе из пролива тяжело поврежденной “Славы”, командование Балтий</w:t>
      </w:r>
      <w:r w:rsidRPr="002F2FDF">
        <w:rPr>
          <w:rFonts w:ascii="Times New Roman" w:hAnsi="Times New Roman" w:cs="Times New Roman"/>
          <w:color w:val="000000" w:themeColor="text1"/>
          <w:kern w:val="2"/>
          <w:sz w:val="16"/>
          <w:szCs w:val="16"/>
        </w:rPr>
        <w:softHyphen/>
        <w:t>ского флота приняло решение об эвакуации сил и средств с Моонзундских островов (11283).</w:t>
      </w:r>
    </w:p>
    <w:p w14:paraId="0F4850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4B4D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сентября (9 октября) 1917 ротмистр 1 БАГ Казаков убыл, на заседание “Георгиевской Думы”, оставив командование группой подъесаулу Шангину (3954).</w:t>
      </w:r>
    </w:p>
    <w:p w14:paraId="37F15C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63ECE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1853A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1D85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26—27 сентября (8-9 октября) 1917 год в письме В. И. Ленина “Марксизм и восстание” в ЦК РСДРП (б) обращено внимание на необходимость умелого использования связи (11072).</w:t>
      </w:r>
    </w:p>
    <w:p w14:paraId="0AA534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EDE515" w14:textId="77777777" w:rsidR="005C783F"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77A526A" w14:textId="77777777" w:rsidR="005C783F" w:rsidRPr="002F2FDF" w:rsidRDefault="005C783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B862AD" w14:textId="77777777" w:rsidR="005C783F" w:rsidRPr="002F2FDF" w:rsidRDefault="005C783F" w:rsidP="0083075A">
      <w:pPr>
        <w:pStyle w:val="ae"/>
        <w:spacing w:before="0" w:after="0"/>
        <w:jc w:val="both"/>
        <w:rPr>
          <w:color w:val="000000" w:themeColor="text1"/>
          <w:kern w:val="2"/>
          <w:sz w:val="16"/>
          <w:szCs w:val="16"/>
        </w:rPr>
      </w:pPr>
      <w:r w:rsidRPr="002F2FDF">
        <w:rPr>
          <w:color w:val="000000" w:themeColor="text1"/>
          <w:kern w:val="2"/>
          <w:sz w:val="16"/>
          <w:szCs w:val="16"/>
        </w:rPr>
        <w:t>26 сентября (9 октября) 1917 британские, канадские и австралийские части начали штурм германских укреплений в районе городка Полькапелль в 4 км к северу от Ипра на западе Бельгии. Продвинуться вперед им так и не удалось, во многом и из-за погоды — непрекращающиеся ливни превратили поле боя в сплошное болото. Но и при этом немцам удалось отстоять свои позиции ценой огромных потерь — 35 тысяч убитыми, ранеными и пленными против 11 тысяч со стороны Антанты (17045).</w:t>
      </w:r>
    </w:p>
    <w:p w14:paraId="0EAE9391" w14:textId="77777777" w:rsidR="005C783F" w:rsidRPr="002F2FDF" w:rsidRDefault="005C783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5FD9F2" w14:textId="77777777" w:rsidR="005C783F" w:rsidRPr="002F2FDF" w:rsidRDefault="005C783F" w:rsidP="0083075A">
      <w:pPr>
        <w:pStyle w:val="ae"/>
        <w:spacing w:before="0" w:after="0"/>
        <w:jc w:val="both"/>
        <w:rPr>
          <w:color w:val="000000" w:themeColor="text1"/>
          <w:kern w:val="2"/>
          <w:sz w:val="16"/>
          <w:szCs w:val="16"/>
        </w:rPr>
      </w:pPr>
      <w:r w:rsidRPr="002F2FDF">
        <w:rPr>
          <w:color w:val="000000" w:themeColor="text1"/>
          <w:kern w:val="2"/>
          <w:sz w:val="16"/>
          <w:szCs w:val="16"/>
        </w:rPr>
        <w:t>Всего с 26 сентября по 2 октября (9 по 15 октября) 1917 германские подводные лодки затопили 59 судов стран Антанты и нейтральных государств (17045).</w:t>
      </w:r>
    </w:p>
    <w:p w14:paraId="2A390291" w14:textId="77777777" w:rsidR="005C783F" w:rsidRPr="002F2FDF" w:rsidRDefault="005C783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242C7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lastRenderedPageBreak/>
        <w:t>Авиапромышленность:</w:t>
      </w:r>
    </w:p>
    <w:p w14:paraId="4ECBEA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E9DC2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сентября (10 октября) 1917 г. дирекция РБВЗ направила письмо в Управление Военно-воздушного флота по поводу прочности самолета: “...Настоящая война дает ряд примеров боевой рабо</w:t>
      </w:r>
      <w:r w:rsidRPr="002F2FDF">
        <w:rPr>
          <w:rFonts w:ascii="Times New Roman" w:hAnsi="Times New Roman" w:cs="Times New Roman"/>
          <w:color w:val="000000" w:themeColor="text1"/>
          <w:kern w:val="2"/>
          <w:sz w:val="16"/>
          <w:szCs w:val="16"/>
        </w:rPr>
        <w:softHyphen/>
        <w:t>ты “Муромцев”, доказывая их мощность и огромные результаты, которые достигаются этими машинами в боевом отношении - бомбометанием, фотографичес</w:t>
      </w:r>
      <w:r w:rsidRPr="002F2FDF">
        <w:rPr>
          <w:rFonts w:ascii="Times New Roman" w:hAnsi="Times New Roman" w:cs="Times New Roman"/>
          <w:color w:val="000000" w:themeColor="text1"/>
          <w:kern w:val="2"/>
          <w:sz w:val="16"/>
          <w:szCs w:val="16"/>
        </w:rPr>
        <w:softHyphen/>
        <w:t>кой разведкой, способностью вести продолжительный огневой бой с воздушным противником. Необоснованный теоретический подсчет запаса прочности этого типа воздушных кораблей, произве</w:t>
      </w:r>
      <w:r w:rsidRPr="002F2FDF">
        <w:rPr>
          <w:rFonts w:ascii="Times New Roman" w:hAnsi="Times New Roman" w:cs="Times New Roman"/>
          <w:color w:val="000000" w:themeColor="text1"/>
          <w:kern w:val="2"/>
          <w:sz w:val="16"/>
          <w:szCs w:val="16"/>
        </w:rPr>
        <w:softHyphen/>
        <w:t>денный в комиссии проф. Фан-дер-Флита, набросил тень на доброе имя “Муромцев”, но немедленно произ</w:t>
      </w:r>
      <w:r w:rsidRPr="002F2FDF">
        <w:rPr>
          <w:rFonts w:ascii="Times New Roman" w:hAnsi="Times New Roman" w:cs="Times New Roman"/>
          <w:color w:val="000000" w:themeColor="text1"/>
          <w:kern w:val="2"/>
          <w:sz w:val="16"/>
          <w:szCs w:val="16"/>
        </w:rPr>
        <w:softHyphen/>
        <w:t>веденная практическая проверка прочности частей ко</w:t>
      </w:r>
      <w:r w:rsidRPr="002F2FDF">
        <w:rPr>
          <w:rFonts w:ascii="Times New Roman" w:hAnsi="Times New Roman" w:cs="Times New Roman"/>
          <w:color w:val="000000" w:themeColor="text1"/>
          <w:kern w:val="2"/>
          <w:sz w:val="16"/>
          <w:szCs w:val="16"/>
        </w:rPr>
        <w:softHyphen/>
        <w:t>рабля в лаборатории Политехнического Института рассеяла сомнения в достаточном запасе прочности “Муромцев” и выяснила с полной убедительностью ошибочность теоретического расчета Комиссии”. Не ограничившись прочностью, комиссия занима</w:t>
      </w:r>
      <w:r w:rsidRPr="002F2FDF">
        <w:rPr>
          <w:rFonts w:ascii="Times New Roman" w:hAnsi="Times New Roman" w:cs="Times New Roman"/>
          <w:color w:val="000000" w:themeColor="text1"/>
          <w:kern w:val="2"/>
          <w:sz w:val="16"/>
          <w:szCs w:val="16"/>
        </w:rPr>
        <w:softHyphen/>
        <w:t>лась анализом концепции развития “Муромцев”, что было связано с появлением типа Е и с предполагаемой установкой на машины этого типа еще более мощных (260—300 л.с.) и тяжелых двигателей “Рено”. По мнению профессора А.П.Фан-дер-Флита, высказанного им в ав</w:t>
      </w:r>
      <w:r w:rsidRPr="002F2FDF">
        <w:rPr>
          <w:rFonts w:ascii="Times New Roman" w:hAnsi="Times New Roman" w:cs="Times New Roman"/>
          <w:color w:val="000000" w:themeColor="text1"/>
          <w:kern w:val="2"/>
          <w:sz w:val="16"/>
          <w:szCs w:val="16"/>
        </w:rPr>
        <w:softHyphen/>
        <w:t>густе 1917 г., дальнейшее увеличение мощности мото</w:t>
      </w:r>
      <w:r w:rsidRPr="002F2FDF">
        <w:rPr>
          <w:rFonts w:ascii="Times New Roman" w:hAnsi="Times New Roman" w:cs="Times New Roman"/>
          <w:color w:val="000000" w:themeColor="text1"/>
          <w:kern w:val="2"/>
          <w:sz w:val="16"/>
          <w:szCs w:val="16"/>
        </w:rPr>
        <w:softHyphen/>
        <w:t>ров “Муромцев” являлось нецелесообразным, так как при этом возрастал вес машины, поэтому повысить лет</w:t>
      </w:r>
      <w:r w:rsidRPr="002F2FDF">
        <w:rPr>
          <w:rFonts w:ascii="Times New Roman" w:hAnsi="Times New Roman" w:cs="Times New Roman"/>
          <w:color w:val="000000" w:themeColor="text1"/>
          <w:kern w:val="2"/>
          <w:sz w:val="16"/>
          <w:szCs w:val="16"/>
        </w:rPr>
        <w:softHyphen/>
        <w:t>ные характеристики лучше совершенствованием аэро</w:t>
      </w:r>
      <w:r w:rsidRPr="002F2FDF">
        <w:rPr>
          <w:rFonts w:ascii="Times New Roman" w:hAnsi="Times New Roman" w:cs="Times New Roman"/>
          <w:color w:val="000000" w:themeColor="text1"/>
          <w:kern w:val="2"/>
          <w:sz w:val="16"/>
          <w:szCs w:val="16"/>
        </w:rPr>
        <w:softHyphen/>
        <w:t>динамики самолета, в частности, установкой капотов на моторы. Сикорский также пришел к мнению о необходимос</w:t>
      </w:r>
      <w:r w:rsidRPr="002F2FDF">
        <w:rPr>
          <w:rFonts w:ascii="Times New Roman" w:hAnsi="Times New Roman" w:cs="Times New Roman"/>
          <w:color w:val="000000" w:themeColor="text1"/>
          <w:kern w:val="2"/>
          <w:sz w:val="16"/>
          <w:szCs w:val="16"/>
        </w:rPr>
        <w:softHyphen/>
        <w:t>ти снижения аэродинамического сопротивления и на</w:t>
      </w:r>
      <w:r w:rsidRPr="002F2FDF">
        <w:rPr>
          <w:rFonts w:ascii="Times New Roman" w:hAnsi="Times New Roman" w:cs="Times New Roman"/>
          <w:color w:val="000000" w:themeColor="text1"/>
          <w:kern w:val="2"/>
          <w:sz w:val="16"/>
          <w:szCs w:val="16"/>
        </w:rPr>
        <w:softHyphen/>
        <w:t>чал разработку последней модификации “Муромца” -тип Ж. В ней резко уменьшалось число стоек, растяжек, выступающих в поток частей. Поликарпов принимал деятельное участие в этих работах, но завершить их не удалось (10667).</w:t>
      </w:r>
    </w:p>
    <w:p w14:paraId="49AFA81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D1931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сентября (10 октября) 1917 г. дирекция РБВЗ направила письмо в Управление Военно-воздушного флота по поводу прочности самолета ИМ:</w:t>
      </w:r>
    </w:p>
    <w:p w14:paraId="6D04AD6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«…Настоящая война дает ряд примеров боевой работы «Муромцев», доказывая их мощность и огромные результаты, которые достигаются этими машинами в боевом отношении — бомбометанием, фотографической разведкой, способностью вести продолжительный огневой бой с воздушным противником.</w:t>
      </w:r>
    </w:p>
    <w:p w14:paraId="677E00F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Необоснованный теоретический подсчет запаса прочности этого типа воздушных кораблей, произведенный в комиссии проф. Фан-дер-Флита, набросил тень на доброе имя «Муромцев», но немедленно произведенная практическая проверка прочности частей корабля в лаборатории Политехнического Института рассеяла сомнения в достаточном запасе прочности «Муромцев» и выяснила с полной убедительностью ошибочность теоретического расчета Комиссии».</w:t>
      </w:r>
    </w:p>
    <w:p w14:paraId="67F70F5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ограничившись прочностью, комиссия занималась анализом концепции развития «Муромцев», что было связано с появлением типа Е и с предполагаемой установкой на машины этого типа еще более мощных (260–300 л.с.) и тяжелых двигателей «Рено».</w:t>
      </w:r>
    </w:p>
    <w:p w14:paraId="0C155F9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мнению профессора А. Л. Фан-дер-Флита, высказанного им в августе 1917 г., дальнейшее увеличение мощности моторов «Муромцев» нецелесообразно, так как при этом растет вес машины, поэтому повысить летные характеристики лучше совершенствованием аэродинамики самолета, в частности установкой капотов на моторы.</w:t>
      </w:r>
    </w:p>
    <w:p w14:paraId="2B01FB6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Сикорский также пришел к мнению о необходимости снижения аэродинамического сопротивления и начал разработку последней модификации «Муромца» — тип Ж. В ней резко уменьшалось число стоек, растяжек, выступающих в поток частей, но новая модификация так и не была построена (15125).</w:t>
      </w:r>
    </w:p>
    <w:p w14:paraId="0616717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p w14:paraId="260AB96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сентября (октября) 1917 г. в Хлебной гавани Одессы был испытан плоскодонный вариант аэролодки. Он имел дли</w:t>
      </w:r>
      <w:r w:rsidRPr="002F2FDF">
        <w:rPr>
          <w:rFonts w:ascii="Times New Roman" w:hAnsi="Times New Roman" w:cs="Times New Roman"/>
          <w:color w:val="000000" w:themeColor="text1"/>
          <w:kern w:val="2"/>
          <w:sz w:val="16"/>
          <w:szCs w:val="16"/>
        </w:rPr>
        <w:softHyphen/>
        <w:t>ну 5,025 м и ширину 2,5 м, продемонстрировал в безветренную погоду ско</w:t>
      </w:r>
      <w:r w:rsidRPr="002F2FDF">
        <w:rPr>
          <w:rFonts w:ascii="Times New Roman" w:hAnsi="Times New Roman" w:cs="Times New Roman"/>
          <w:color w:val="000000" w:themeColor="text1"/>
          <w:kern w:val="2"/>
          <w:sz w:val="16"/>
          <w:szCs w:val="16"/>
        </w:rPr>
        <w:softHyphen/>
        <w:t>рость 80 км/ч и хорошую маневренность. От ненадежной цепной передачи пришлось отказаться, двигатель Анзани непосредственно приводил воздуш</w:t>
      </w:r>
      <w:r w:rsidRPr="002F2FDF">
        <w:rPr>
          <w:rFonts w:ascii="Times New Roman" w:hAnsi="Times New Roman" w:cs="Times New Roman"/>
          <w:color w:val="000000" w:themeColor="text1"/>
          <w:kern w:val="2"/>
          <w:sz w:val="16"/>
          <w:szCs w:val="16"/>
        </w:rPr>
        <w:softHyphen/>
        <w:t>ный винт диаметром 2,5 м. Установленные в башенках пулеметы не только обеспечивали обстрел вперед и вбок, но и позволяли вести зенитный огонь</w:t>
      </w:r>
      <w:r w:rsidRPr="002F2FDF">
        <w:rPr>
          <w:rFonts w:ascii="Times New Roman" w:hAnsi="Times New Roman" w:cs="Times New Roman"/>
          <w:color w:val="000000" w:themeColor="text1"/>
          <w:kern w:val="2"/>
          <w:sz w:val="16"/>
          <w:szCs w:val="16"/>
          <w:vertAlign w:val="superscript"/>
        </w:rPr>
        <w:t>156</w:t>
      </w:r>
      <w:r w:rsidRPr="002F2FDF">
        <w:rPr>
          <w:rFonts w:ascii="Times New Roman" w:hAnsi="Times New Roman" w:cs="Times New Roman"/>
          <w:color w:val="000000" w:themeColor="text1"/>
          <w:kern w:val="2"/>
          <w:sz w:val="16"/>
          <w:szCs w:val="16"/>
        </w:rPr>
        <w:t>. Из-за последующих политических событий вариант глиссера с килевидным днищем закончен не был (15740).</w:t>
      </w:r>
    </w:p>
    <w:p w14:paraId="04780EA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p w14:paraId="0CD6A271"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сентября (10 октября) 1917 г., находясь под прессингом руководства предприятия, военный приемщик поручик Станюкович выдал удостоверение о приемке первых 50 «Ньюпоров» (сер. №№ 101-150), изготовленных на Симферопольском заводе Анатра «по внешнему осмотру» — без испытаний в полете. Подобное решение вызвало гнев УВВФ, потребовавшего отозвать это свидетельство, поскольку «острой нехватки моторов нет». Однако двигатели в Симферополь так и не поступили. Уже после Октябрьского переворота, 5 декабря 1917 г. Станюкович отправил в Петроград рапорт, в котором указал, что принятые 50 «Ньюпоров» в настоящее время собираются (интересно, как он их принимал тремя месяцами ранее — кусками, что ли?), и для проведения летных испытаний просил прислать хотя бы 5 моторов. 19 декабря пришел ответ из УВВФ — на складах моторы «Рон» отсутствуют. 18 января 1918 г. Станюковича обнадежили, обещая прислать в скором времени требуемые двигатели из Архангельска, и 5 февраля он подписал свидетельство о приемке очередных 50 истребителей (сер. №№ 151-200). Таким образом, формально контракт был выполнен, хотя реально ни один (!) самолет не поднялся в воздух. Впоследствии часть остававшихся в Симферополе «Ньюпоров» все-таки получила двигатели, поскольку с января 1919 г., по крайней мере, 10 таких самолетов с анатровскими серийными номерами появились в списках мат-части Добровольческой армии (12252).</w:t>
      </w:r>
    </w:p>
    <w:p w14:paraId="21227C01"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rPr>
      </w:pPr>
    </w:p>
    <w:p w14:paraId="0870D43E" w14:textId="77777777" w:rsidR="006D25BA" w:rsidRPr="002F2FDF" w:rsidRDefault="006D25B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B8AF901" w14:textId="77777777" w:rsidR="006D25BA" w:rsidRPr="002F2FDF" w:rsidRDefault="006D25B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4DD3AA" w14:textId="77777777" w:rsidR="00CB4F0A" w:rsidRDefault="00CB4F0A" w:rsidP="0083075A">
      <w:pPr>
        <w:autoSpaceDE w:val="0"/>
        <w:autoSpaceDN w:val="0"/>
        <w:adjustRightInd w:val="0"/>
        <w:spacing w:after="0" w:line="240" w:lineRule="auto"/>
        <w:jc w:val="both"/>
        <w:rPr>
          <w:rFonts w:ascii="Times New Roman" w:hAnsi="Times New Roman" w:cs="Times New Roman"/>
          <w:color w:val="0070C0"/>
          <w:kern w:val="2"/>
          <w:sz w:val="16"/>
          <w:szCs w:val="16"/>
        </w:rPr>
      </w:pPr>
      <w:r>
        <w:rPr>
          <w:rFonts w:ascii="Times New Roman" w:hAnsi="Times New Roman" w:cs="Times New Roman"/>
          <w:color w:val="0070C0"/>
          <w:kern w:val="2"/>
          <w:sz w:val="16"/>
          <w:szCs w:val="16"/>
        </w:rPr>
        <w:t>27 сентября (10 октября) 1917 г. на Кавказском фронте командир авиаотряда шт.-капитан Михаил Сергеевич Мачавариани в воздушном бою сбил турецкий самолет. Летчик и летнаб были взяты в плен. Это была одна из первых и редких побед на Кавказском фронте.</w:t>
      </w:r>
    </w:p>
    <w:p w14:paraId="1ABDFD12" w14:textId="77777777" w:rsidR="00CB4F0A" w:rsidRPr="008F70A0" w:rsidRDefault="00CB4F0A" w:rsidP="0083075A">
      <w:pPr>
        <w:autoSpaceDE w:val="0"/>
        <w:autoSpaceDN w:val="0"/>
        <w:adjustRightInd w:val="0"/>
        <w:spacing w:after="0" w:line="240" w:lineRule="auto"/>
        <w:jc w:val="both"/>
        <w:rPr>
          <w:rFonts w:ascii="Times New Roman" w:hAnsi="Times New Roman" w:cs="Times New Roman"/>
          <w:color w:val="0070C0"/>
          <w:kern w:val="2"/>
          <w:sz w:val="16"/>
          <w:szCs w:val="16"/>
        </w:rPr>
      </w:pPr>
      <w:r>
        <w:rPr>
          <w:rFonts w:ascii="Times New Roman" w:hAnsi="Times New Roman" w:cs="Times New Roman"/>
          <w:color w:val="0070C0"/>
          <w:kern w:val="2"/>
          <w:sz w:val="16"/>
          <w:szCs w:val="16"/>
        </w:rPr>
        <w:t>/Сообщение штаба ВГК от 28 сентября 1917 г. № 1235; «Русский инвалид», 29.9.17/ (23320).</w:t>
      </w:r>
    </w:p>
    <w:p w14:paraId="05A26CFD" w14:textId="77777777" w:rsidR="00CB4F0A" w:rsidRDefault="00CB4F0A" w:rsidP="0083075A">
      <w:pPr>
        <w:spacing w:after="0" w:line="240" w:lineRule="auto"/>
        <w:jc w:val="both"/>
        <w:rPr>
          <w:rFonts w:ascii="Times New Roman" w:hAnsi="Times New Roman" w:cs="Times New Roman"/>
          <w:color w:val="0070C0"/>
          <w:sz w:val="16"/>
          <w:szCs w:val="16"/>
        </w:rPr>
      </w:pPr>
    </w:p>
    <w:p w14:paraId="026EA126" w14:textId="77777777" w:rsidR="006D25BA" w:rsidRPr="002F2FDF" w:rsidRDefault="006D25B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27 сентября (10 октября) 1917 г. в приложении к сводке от сообщалось: «21 сентября на фронте северной Га</w:t>
      </w:r>
      <w:r w:rsidRPr="002F2FDF">
        <w:rPr>
          <w:rFonts w:ascii="Times New Roman" w:hAnsi="Times New Roman" w:cs="Times New Roman"/>
          <w:color w:val="000000" w:themeColor="text1"/>
          <w:sz w:val="16"/>
          <w:szCs w:val="16"/>
        </w:rPr>
        <w:softHyphen/>
        <w:t>лиции неприятельский лётчик бомбами зажёг наш аэростат; нам удалось спасти только поло</w:t>
      </w:r>
      <w:r w:rsidRPr="002F2FDF">
        <w:rPr>
          <w:rFonts w:ascii="Times New Roman" w:hAnsi="Times New Roman" w:cs="Times New Roman"/>
          <w:color w:val="000000" w:themeColor="text1"/>
          <w:sz w:val="16"/>
          <w:szCs w:val="16"/>
        </w:rPr>
        <w:softHyphen/>
        <w:t>вину его оболочки» (20120).</w:t>
      </w:r>
    </w:p>
    <w:p w14:paraId="6928E3A0" w14:textId="77777777" w:rsidR="006D25BA" w:rsidRPr="002F2FDF" w:rsidRDefault="006D25BA" w:rsidP="0083075A">
      <w:pPr>
        <w:spacing w:after="0" w:line="240" w:lineRule="auto"/>
        <w:jc w:val="both"/>
        <w:rPr>
          <w:rFonts w:ascii="Times New Roman" w:hAnsi="Times New Roman" w:cs="Times New Roman"/>
          <w:color w:val="000000" w:themeColor="text1"/>
          <w:sz w:val="16"/>
          <w:szCs w:val="16"/>
        </w:rPr>
      </w:pPr>
    </w:p>
    <w:p w14:paraId="6B80B8D3" w14:textId="1A33AF4C" w:rsidR="005F2B51" w:rsidRPr="00FB4F67" w:rsidRDefault="005F2B5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kern w:val="2"/>
          <w:sz w:val="16"/>
          <w:szCs w:val="16"/>
        </w:rPr>
        <w:t xml:space="preserve">27 сентября (10 октября) </w:t>
      </w:r>
      <w:r w:rsidRPr="00FB4F67">
        <w:rPr>
          <w:rFonts w:ascii="Times New Roman" w:hAnsi="Times New Roman" w:cs="Times New Roman"/>
          <w:color w:val="0070C0"/>
          <w:sz w:val="16"/>
          <w:szCs w:val="16"/>
        </w:rPr>
        <w:t xml:space="preserve">1917 г. девять германских гидросамолетов сбросили 23 бомбы в район м. Церель и в русские суда, причинив незначительные </w:t>
      </w:r>
      <w:bookmarkStart w:id="339" w:name="bookmark977"/>
      <w:r w:rsidRPr="00FB4F67">
        <w:rPr>
          <w:rFonts w:ascii="Times New Roman" w:hAnsi="Times New Roman" w:cs="Times New Roman"/>
          <w:color w:val="0070C0"/>
          <w:sz w:val="16"/>
          <w:szCs w:val="16"/>
        </w:rPr>
        <w:t>повреждения одному из грузовых пароходов. «Наши летчики энергичным налетом разогнали неприятельские самолеты, заставив двух из них снизиться в воду» (23405).</w:t>
      </w:r>
      <w:bookmarkEnd w:id="339"/>
    </w:p>
    <w:p w14:paraId="443F5942" w14:textId="77777777" w:rsidR="005F2B51" w:rsidRPr="00FB4F67" w:rsidRDefault="005F2B51" w:rsidP="0083075A">
      <w:pPr>
        <w:spacing w:after="0" w:line="240" w:lineRule="auto"/>
        <w:jc w:val="both"/>
        <w:rPr>
          <w:rFonts w:ascii="Times New Roman" w:hAnsi="Times New Roman" w:cs="Times New Roman"/>
          <w:color w:val="0070C0"/>
          <w:sz w:val="16"/>
          <w:szCs w:val="16"/>
        </w:rPr>
      </w:pPr>
    </w:p>
    <w:p w14:paraId="377FC858" w14:textId="19A46409" w:rsidR="00D72DBD" w:rsidRPr="00FB4F67" w:rsidRDefault="00D72DBD"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kern w:val="2"/>
          <w:sz w:val="16"/>
          <w:szCs w:val="16"/>
        </w:rPr>
        <w:t xml:space="preserve">27 сентября (10 октября) 1917 г. </w:t>
      </w:r>
      <w:r w:rsidRPr="00FB4F67">
        <w:rPr>
          <w:rFonts w:ascii="Times New Roman" w:hAnsi="Times New Roman" w:cs="Times New Roman"/>
          <w:color w:val="0070C0"/>
          <w:sz w:val="16"/>
          <w:szCs w:val="16"/>
        </w:rPr>
        <w:t>13-й морской АО Черноморского флота с двумя «Ньюпор-17» вступил в строй в Сулине. К 14 декабря в составе подразделения было шесть исправных и два неработающих Nieuport 17. В конце января — начале февраля 1918 г. часть вышла из Сулины в Одессу, где оставалась до 29 сентября, когда ушла в район Дона на службу к белым (23525).</w:t>
      </w:r>
    </w:p>
    <w:p w14:paraId="3C35BAA6" w14:textId="77777777" w:rsidR="00D72DBD" w:rsidRPr="00FB4F67" w:rsidRDefault="00D72DBD" w:rsidP="0083075A">
      <w:pPr>
        <w:spacing w:after="0" w:line="240" w:lineRule="auto"/>
        <w:jc w:val="both"/>
        <w:rPr>
          <w:rFonts w:ascii="Times New Roman" w:hAnsi="Times New Roman" w:cs="Times New Roman"/>
          <w:color w:val="0070C0"/>
          <w:sz w:val="16"/>
          <w:szCs w:val="16"/>
        </w:rPr>
      </w:pPr>
    </w:p>
    <w:p w14:paraId="42FBF99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7A418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51F0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сентября (10 октября) 1917 ЦК РСДРП(б) принял решение о подготовке вооруженного восстания. за голосовали В.И.Л., Я.М.С., И.В.С., Л.Д.Т. Против - Каменев и Зиновьев (3481).</w:t>
      </w:r>
    </w:p>
    <w:p w14:paraId="5B9066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B28DA4"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27 сентября (10 октября) </w:t>
      </w:r>
      <w:r w:rsidRPr="002F2FDF">
        <w:rPr>
          <w:rFonts w:ascii="Times New Roman" w:hAnsi="Times New Roman" w:cs="Times New Roman"/>
          <w:color w:val="000000" w:themeColor="text1"/>
          <w:kern w:val="2"/>
          <w:sz w:val="16"/>
          <w:szCs w:val="16"/>
        </w:rPr>
        <w:t>в 1917 году принятие ЦК РСДРП (б) решения о подготовке вооруженного восстания. За резолюцию о вооруженном восстании проголосовали Ленин, Свердлов, Сталин, Троцкий, против - Каменев, Зиновьев (14795).</w:t>
      </w:r>
    </w:p>
    <w:p w14:paraId="55F0A059"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p>
    <w:p w14:paraId="31A7090A" w14:textId="77777777" w:rsidR="00132B49" w:rsidRPr="002F2FDF" w:rsidRDefault="00132B4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0128C1D" w14:textId="77777777" w:rsidR="00132B49" w:rsidRPr="002F2FDF" w:rsidRDefault="00132B4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5FE454" w14:textId="77777777" w:rsidR="00132B49" w:rsidRPr="00815ED5" w:rsidRDefault="00132B49"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28 сентября (11 октября) 1917 г. в </w:t>
      </w:r>
      <w:r w:rsidRPr="00815ED5">
        <w:rPr>
          <w:rFonts w:ascii="Times New Roman" w:hAnsi="Times New Roman" w:cs="Times New Roman"/>
          <w:color w:val="0070C0"/>
          <w:sz w:val="16"/>
          <w:szCs w:val="16"/>
        </w:rPr>
        <w:t>Полтаве умер известный изобретатель н об</w:t>
      </w:r>
      <w:r>
        <w:rPr>
          <w:rFonts w:ascii="Times New Roman" w:hAnsi="Times New Roman" w:cs="Times New Roman"/>
          <w:color w:val="0070C0"/>
          <w:sz w:val="16"/>
          <w:szCs w:val="16"/>
        </w:rPr>
        <w:t>л</w:t>
      </w:r>
      <w:r w:rsidRPr="00815ED5">
        <w:rPr>
          <w:rFonts w:ascii="Times New Roman" w:hAnsi="Times New Roman" w:cs="Times New Roman"/>
          <w:color w:val="0070C0"/>
          <w:sz w:val="16"/>
          <w:szCs w:val="16"/>
        </w:rPr>
        <w:t>а</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ти воздухоплавательной техники</w:t>
      </w:r>
      <w:r>
        <w:rPr>
          <w:rFonts w:ascii="Times New Roman" w:hAnsi="Times New Roman" w:cs="Times New Roman"/>
          <w:color w:val="0070C0"/>
          <w:sz w:val="16"/>
          <w:szCs w:val="16"/>
        </w:rPr>
        <w:t>, старший механик Воздухоплавательной</w:t>
      </w:r>
      <w:r w:rsidRPr="00815ED5">
        <w:rPr>
          <w:rFonts w:ascii="Times New Roman" w:hAnsi="Times New Roman" w:cs="Times New Roman"/>
          <w:color w:val="0070C0"/>
          <w:sz w:val="16"/>
          <w:szCs w:val="16"/>
        </w:rPr>
        <w:t xml:space="preserve"> школы </w:t>
      </w:r>
      <w:r>
        <w:rPr>
          <w:rFonts w:ascii="Times New Roman" w:hAnsi="Times New Roman" w:cs="Times New Roman"/>
          <w:color w:val="0070C0"/>
          <w:sz w:val="16"/>
          <w:szCs w:val="16"/>
        </w:rPr>
        <w:t>Александр Елизарович Г</w:t>
      </w:r>
      <w:r w:rsidRPr="00815ED5">
        <w:rPr>
          <w:rFonts w:ascii="Times New Roman" w:hAnsi="Times New Roman" w:cs="Times New Roman"/>
          <w:color w:val="0070C0"/>
          <w:sz w:val="16"/>
          <w:szCs w:val="16"/>
        </w:rPr>
        <w:t>арут</w:t>
      </w:r>
      <w:r>
        <w:rPr>
          <w:rFonts w:ascii="Times New Roman" w:hAnsi="Times New Roman" w:cs="Times New Roman"/>
          <w:color w:val="0070C0"/>
          <w:sz w:val="16"/>
          <w:szCs w:val="16"/>
        </w:rPr>
        <w:t>. Гарут</w:t>
      </w:r>
      <w:r w:rsidRPr="00815ED5">
        <w:rPr>
          <w:rFonts w:ascii="Times New Roman" w:hAnsi="Times New Roman" w:cs="Times New Roman"/>
          <w:color w:val="0070C0"/>
          <w:sz w:val="16"/>
          <w:szCs w:val="16"/>
        </w:rPr>
        <w:t xml:space="preserve"> па происхождение </w:t>
      </w:r>
      <w:r>
        <w:rPr>
          <w:rFonts w:ascii="Times New Roman" w:hAnsi="Times New Roman" w:cs="Times New Roman"/>
          <w:color w:val="0070C0"/>
          <w:sz w:val="16"/>
          <w:szCs w:val="16"/>
        </w:rPr>
        <w:t>ф</w:t>
      </w:r>
      <w:r w:rsidRPr="00815ED5">
        <w:rPr>
          <w:rFonts w:ascii="Times New Roman" w:hAnsi="Times New Roman" w:cs="Times New Roman"/>
          <w:color w:val="0070C0"/>
          <w:sz w:val="16"/>
          <w:szCs w:val="16"/>
        </w:rPr>
        <w:t>ранцуз</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состоявший но русской службе </w:t>
      </w:r>
      <w:r>
        <w:rPr>
          <w:rFonts w:ascii="Times New Roman" w:hAnsi="Times New Roman" w:cs="Times New Roman"/>
          <w:color w:val="0070C0"/>
          <w:sz w:val="16"/>
          <w:szCs w:val="16"/>
        </w:rPr>
        <w:t xml:space="preserve">ч 1882 г.. Начинач с 1986 г. </w:t>
      </w:r>
      <w:r w:rsidRPr="00815ED5">
        <w:rPr>
          <w:rFonts w:ascii="Times New Roman" w:hAnsi="Times New Roman" w:cs="Times New Roman"/>
          <w:color w:val="0070C0"/>
          <w:sz w:val="16"/>
          <w:szCs w:val="16"/>
        </w:rPr>
        <w:t>Гарут вое время работам а Учебно</w:t>
      </w: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о</w:t>
      </w:r>
      <w:r>
        <w:rPr>
          <w:rFonts w:ascii="Times New Roman" w:hAnsi="Times New Roman" w:cs="Times New Roman"/>
          <w:color w:val="0070C0"/>
          <w:sz w:val="16"/>
          <w:szCs w:val="16"/>
        </w:rPr>
        <w:t>з</w:t>
      </w:r>
      <w:r w:rsidRPr="00815ED5">
        <w:rPr>
          <w:rFonts w:ascii="Times New Roman" w:hAnsi="Times New Roman" w:cs="Times New Roman"/>
          <w:color w:val="0070C0"/>
          <w:sz w:val="16"/>
          <w:szCs w:val="16"/>
        </w:rPr>
        <w:t>духопла</w:t>
      </w: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ат</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льном парке</w:t>
      </w:r>
      <w:r>
        <w:rPr>
          <w:rFonts w:ascii="Times New Roman" w:hAnsi="Times New Roman" w:cs="Times New Roman"/>
          <w:color w:val="0070C0"/>
          <w:sz w:val="16"/>
          <w:szCs w:val="16"/>
        </w:rPr>
        <w:t>, где получил известность, как</w:t>
      </w:r>
      <w:r w:rsidRPr="00815ED5">
        <w:rPr>
          <w:rFonts w:ascii="Times New Roman" w:hAnsi="Times New Roman" w:cs="Times New Roman"/>
          <w:color w:val="0070C0"/>
          <w:sz w:val="16"/>
          <w:szCs w:val="16"/>
        </w:rPr>
        <w:t xml:space="preserve"> конструктор лебедок для привязных</w:t>
      </w:r>
      <w:r>
        <w:rPr>
          <w:rFonts w:ascii="Times New Roman" w:hAnsi="Times New Roman" w:cs="Times New Roman"/>
          <w:color w:val="0070C0"/>
          <w:sz w:val="16"/>
          <w:szCs w:val="16"/>
        </w:rPr>
        <w:t xml:space="preserve"> аэ</w:t>
      </w:r>
      <w:r w:rsidRPr="00815ED5">
        <w:rPr>
          <w:rFonts w:ascii="Times New Roman" w:hAnsi="Times New Roman" w:cs="Times New Roman"/>
          <w:color w:val="0070C0"/>
          <w:sz w:val="16"/>
          <w:szCs w:val="16"/>
        </w:rPr>
        <w:t>ростатоя, газодобы</w:t>
      </w: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ател</w:t>
      </w:r>
      <w:r>
        <w:rPr>
          <w:rFonts w:ascii="Times New Roman" w:hAnsi="Times New Roman" w:cs="Times New Roman"/>
          <w:color w:val="0070C0"/>
          <w:sz w:val="16"/>
          <w:szCs w:val="16"/>
        </w:rPr>
        <w:t>ьны</w:t>
      </w:r>
      <w:r w:rsidRPr="00815ED5">
        <w:rPr>
          <w:rFonts w:ascii="Times New Roman" w:hAnsi="Times New Roman" w:cs="Times New Roman"/>
          <w:color w:val="0070C0"/>
          <w:sz w:val="16"/>
          <w:szCs w:val="16"/>
        </w:rPr>
        <w:t>х аппаратов</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различных станков п оборудования для азро</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тат</w:t>
      </w:r>
      <w:r>
        <w:rPr>
          <w:rFonts w:ascii="Times New Roman" w:hAnsi="Times New Roman" w:cs="Times New Roman"/>
          <w:color w:val="0070C0"/>
          <w:sz w:val="16"/>
          <w:szCs w:val="16"/>
        </w:rPr>
        <w:t>, а также</w:t>
      </w:r>
      <w:r w:rsidRPr="00815ED5">
        <w:rPr>
          <w:rFonts w:ascii="Times New Roman" w:hAnsi="Times New Roman" w:cs="Times New Roman"/>
          <w:color w:val="0070C0"/>
          <w:sz w:val="16"/>
          <w:szCs w:val="16"/>
        </w:rPr>
        <w:t xml:space="preserve"> принимал участ</w:t>
      </w:r>
      <w:r>
        <w:rPr>
          <w:rFonts w:ascii="Times New Roman" w:hAnsi="Times New Roman" w:cs="Times New Roman"/>
          <w:color w:val="0070C0"/>
          <w:sz w:val="16"/>
          <w:szCs w:val="16"/>
        </w:rPr>
        <w:t>ие</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 xml:space="preserve"> постройке </w:t>
      </w:r>
      <w:r>
        <w:rPr>
          <w:rFonts w:ascii="Times New Roman" w:hAnsi="Times New Roman" w:cs="Times New Roman"/>
          <w:color w:val="0070C0"/>
          <w:sz w:val="16"/>
          <w:szCs w:val="16"/>
        </w:rPr>
        <w:t>дирижабля «Кобчик»</w:t>
      </w:r>
      <w:r w:rsidRPr="00815ED5">
        <w:rPr>
          <w:rFonts w:ascii="Times New Roman" w:hAnsi="Times New Roman" w:cs="Times New Roman"/>
          <w:color w:val="0070C0"/>
          <w:sz w:val="16"/>
          <w:szCs w:val="16"/>
        </w:rPr>
        <w:t xml:space="preserve">. Гарут оказал большую услугу русскому поенному </w:t>
      </w: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о</w:t>
      </w:r>
      <w:r>
        <w:rPr>
          <w:rFonts w:ascii="Times New Roman" w:hAnsi="Times New Roman" w:cs="Times New Roman"/>
          <w:color w:val="0070C0"/>
          <w:sz w:val="16"/>
          <w:szCs w:val="16"/>
        </w:rPr>
        <w:t>з</w:t>
      </w:r>
      <w:r w:rsidRPr="00815ED5">
        <w:rPr>
          <w:rFonts w:ascii="Times New Roman" w:hAnsi="Times New Roman" w:cs="Times New Roman"/>
          <w:color w:val="0070C0"/>
          <w:sz w:val="16"/>
          <w:szCs w:val="16"/>
        </w:rPr>
        <w:t>духоп</w:t>
      </w:r>
      <w:r>
        <w:rPr>
          <w:rFonts w:ascii="Times New Roman" w:hAnsi="Times New Roman" w:cs="Times New Roman"/>
          <w:color w:val="0070C0"/>
          <w:sz w:val="16"/>
          <w:szCs w:val="16"/>
        </w:rPr>
        <w:t>л</w:t>
      </w:r>
      <w:r w:rsidRPr="00815ED5">
        <w:rPr>
          <w:rFonts w:ascii="Times New Roman" w:hAnsi="Times New Roman" w:cs="Times New Roman"/>
          <w:color w:val="0070C0"/>
          <w:sz w:val="16"/>
          <w:szCs w:val="16"/>
        </w:rPr>
        <w:t>а</w:t>
      </w:r>
      <w:r>
        <w:rPr>
          <w:rFonts w:ascii="Times New Roman" w:hAnsi="Times New Roman" w:cs="Times New Roman"/>
          <w:color w:val="0070C0"/>
          <w:sz w:val="16"/>
          <w:szCs w:val="16"/>
        </w:rPr>
        <w:t>вани</w:t>
      </w:r>
      <w:r w:rsidRPr="00815ED5">
        <w:rPr>
          <w:rFonts w:ascii="Times New Roman" w:hAnsi="Times New Roman" w:cs="Times New Roman"/>
          <w:color w:val="0070C0"/>
          <w:sz w:val="16"/>
          <w:szCs w:val="16"/>
        </w:rPr>
        <w:t>ю.</w:t>
      </w:r>
    </w:p>
    <w:p w14:paraId="7FC73C7C" w14:textId="77777777" w:rsidR="00132B49" w:rsidRDefault="00132B49"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/«Ново</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 xml:space="preserve"> время</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за </w:t>
      </w:r>
      <w:r>
        <w:rPr>
          <w:rFonts w:ascii="Times New Roman" w:hAnsi="Times New Roman" w:cs="Times New Roman"/>
          <w:color w:val="0070C0"/>
          <w:sz w:val="16"/>
          <w:szCs w:val="16"/>
        </w:rPr>
        <w:t>29</w:t>
      </w:r>
      <w:r w:rsidRPr="00815ED5">
        <w:rPr>
          <w:rFonts w:ascii="Times New Roman" w:hAnsi="Times New Roman" w:cs="Times New Roman"/>
          <w:color w:val="0070C0"/>
          <w:sz w:val="16"/>
          <w:szCs w:val="16"/>
        </w:rPr>
        <w:t xml:space="preserve"> сентября 1</w:t>
      </w:r>
      <w:r>
        <w:rPr>
          <w:rFonts w:ascii="Times New Roman" w:hAnsi="Times New Roman" w:cs="Times New Roman"/>
          <w:color w:val="0070C0"/>
          <w:sz w:val="16"/>
          <w:szCs w:val="16"/>
        </w:rPr>
        <w:t>917 г./ (23320).</w:t>
      </w:r>
    </w:p>
    <w:p w14:paraId="19685650" w14:textId="77777777" w:rsidR="00132B49" w:rsidRDefault="00132B49" w:rsidP="0083075A">
      <w:pPr>
        <w:spacing w:after="0" w:line="240" w:lineRule="auto"/>
        <w:jc w:val="both"/>
        <w:rPr>
          <w:rFonts w:ascii="Times New Roman" w:hAnsi="Times New Roman" w:cs="Times New Roman"/>
          <w:color w:val="0070C0"/>
          <w:sz w:val="16"/>
          <w:szCs w:val="16"/>
        </w:rPr>
      </w:pPr>
    </w:p>
    <w:p w14:paraId="06BB6EA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F906C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F3824E" w14:textId="12B7DBF3" w:rsidR="00E21703" w:rsidRPr="00FB4F67" w:rsidRDefault="00E21703" w:rsidP="0083075A">
      <w:pPr>
        <w:spacing w:after="0" w:line="240" w:lineRule="auto"/>
        <w:jc w:val="both"/>
        <w:rPr>
          <w:rFonts w:ascii="Times New Roman" w:hAnsi="Times New Roman" w:cs="Times New Roman"/>
          <w:color w:val="0070C0"/>
          <w:sz w:val="16"/>
          <w:szCs w:val="16"/>
        </w:rPr>
      </w:pPr>
      <w:bookmarkStart w:id="340" w:name="bookmark978"/>
      <w:r>
        <w:rPr>
          <w:rFonts w:ascii="Times New Roman" w:hAnsi="Times New Roman" w:cs="Times New Roman"/>
          <w:color w:val="0070C0"/>
          <w:sz w:val="16"/>
          <w:szCs w:val="16"/>
        </w:rPr>
        <w:t>28 сентября (</w:t>
      </w:r>
      <w:r w:rsidRPr="00FB4F67">
        <w:rPr>
          <w:rFonts w:ascii="Times New Roman" w:hAnsi="Times New Roman" w:cs="Times New Roman"/>
          <w:color w:val="0070C0"/>
          <w:sz w:val="16"/>
          <w:szCs w:val="16"/>
        </w:rPr>
        <w:t>11 октября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районе с. Гусятина (Тарнопольская губ.) неприятель произвел усиленную воздушную разведку, в которой было задействовано более 30 самолетов.</w:t>
      </w:r>
      <w:bookmarkEnd w:id="340"/>
    </w:p>
    <w:p w14:paraId="27DAC5AD" w14:textId="77777777" w:rsidR="00E21703" w:rsidRPr="00FB4F67" w:rsidRDefault="00E21703" w:rsidP="0083075A">
      <w:pPr>
        <w:spacing w:after="0" w:line="240" w:lineRule="auto"/>
        <w:jc w:val="both"/>
        <w:rPr>
          <w:rFonts w:ascii="Times New Roman" w:hAnsi="Times New Roman" w:cs="Times New Roman"/>
          <w:color w:val="0070C0"/>
          <w:sz w:val="16"/>
          <w:szCs w:val="16"/>
        </w:rPr>
      </w:pPr>
      <w:bookmarkStart w:id="341" w:name="bookmark979"/>
      <w:r w:rsidRPr="00FB4F67">
        <w:rPr>
          <w:rFonts w:ascii="Times New Roman" w:hAnsi="Times New Roman" w:cs="Times New Roman"/>
          <w:color w:val="0070C0"/>
          <w:sz w:val="16"/>
          <w:szCs w:val="16"/>
        </w:rPr>
        <w:t>В районе железной дороги Ковель - Сарны нашей зенитной батареей сбит неприятельский самолет. Летчик-солдат разбился, а офицер-наблюдатель взят в плен. Одновременно вблизи Мариановки (в 25 км южнее Гусятина) в воздухе загорелся и упал вражеский летательный аппарат. Его экипаж погиб.</w:t>
      </w:r>
      <w:bookmarkEnd w:id="341"/>
    </w:p>
    <w:p w14:paraId="0EDE4170" w14:textId="77777777" w:rsidR="00E21703" w:rsidRPr="00FB4F67" w:rsidRDefault="00E21703" w:rsidP="0083075A">
      <w:pPr>
        <w:spacing w:after="0" w:line="240" w:lineRule="auto"/>
        <w:jc w:val="both"/>
        <w:rPr>
          <w:rFonts w:ascii="Times New Roman" w:hAnsi="Times New Roman" w:cs="Times New Roman"/>
          <w:color w:val="0070C0"/>
          <w:sz w:val="16"/>
          <w:szCs w:val="16"/>
        </w:rPr>
      </w:pPr>
      <w:bookmarkStart w:id="342" w:name="bookmark980"/>
      <w:r w:rsidRPr="00FB4F67">
        <w:rPr>
          <w:rFonts w:ascii="Times New Roman" w:hAnsi="Times New Roman" w:cs="Times New Roman"/>
          <w:color w:val="0070C0"/>
          <w:sz w:val="16"/>
          <w:szCs w:val="16"/>
        </w:rPr>
        <w:t>Пользуясь штилевой и ясной погодой, противник произвел значительное количество вылетов на воздушную разведку, преимущественно в районе Моонзундских островов. На Северном фронте летчик штабс-капитан Н.В. Коссовский сбил одноместный неприятельский самолет, упавший в районе юго-западнее мызы Кроненберга (23405).</w:t>
      </w:r>
      <w:bookmarkEnd w:id="342"/>
    </w:p>
    <w:p w14:paraId="7F811304" w14:textId="77777777" w:rsidR="00E21703" w:rsidRPr="00FB4F67" w:rsidRDefault="00E21703" w:rsidP="0083075A">
      <w:pPr>
        <w:spacing w:after="0" w:line="240" w:lineRule="auto"/>
        <w:jc w:val="both"/>
        <w:rPr>
          <w:rFonts w:ascii="Times New Roman" w:hAnsi="Times New Roman" w:cs="Times New Roman"/>
          <w:color w:val="0070C0"/>
          <w:sz w:val="16"/>
          <w:szCs w:val="16"/>
        </w:rPr>
      </w:pPr>
    </w:p>
    <w:p w14:paraId="429322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сентября (11 октября) 1917 боями за высадку в бухте Тагалахт началось сражение за Моонзунд (3124).</w:t>
      </w:r>
    </w:p>
    <w:p w14:paraId="219C00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BC6C6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F97F4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8127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сентября по 6 октября (12 по 19 октября) 1917 немцы провели Моонзундскую операцию Альбион. Обороняли 116 русских кораблей, 30 самолетов, 12 тыс. чел. (2438,417).</w:t>
      </w:r>
    </w:p>
    <w:p w14:paraId="7CC67F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Моонзундской операции участвовало 30 гидросамолетов против 102 самолетов и 6 дирижаблей немцев (438,374).</w:t>
      </w:r>
    </w:p>
    <w:p w14:paraId="662342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AA031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bookmarkStart w:id="343" w:name="_Hlk119490901"/>
      <w:r w:rsidRPr="002F2FDF">
        <w:rPr>
          <w:rFonts w:ascii="Times New Roman" w:hAnsi="Times New Roman" w:cs="Times New Roman"/>
          <w:color w:val="000000" w:themeColor="text1"/>
          <w:kern w:val="2"/>
          <w:sz w:val="16"/>
          <w:szCs w:val="16"/>
        </w:rPr>
        <w:t>29 сентября 1917 началась Моонзундская операция Балтий</w:t>
      </w:r>
      <w:r w:rsidRPr="002F2FDF">
        <w:rPr>
          <w:rFonts w:ascii="Times New Roman" w:hAnsi="Times New Roman" w:cs="Times New Roman"/>
          <w:color w:val="000000" w:themeColor="text1"/>
          <w:kern w:val="2"/>
          <w:sz w:val="16"/>
          <w:szCs w:val="16"/>
        </w:rPr>
        <w:softHyphen/>
        <w:t>ского флота, в которой участвовало до 30 гидросамолетов против 102 самолетов и 6 дирижаблей противника. Балтийские цедоикя корректировали огонь- судовых батарей и мешали налетам немецкой авиации, все попытки которой атоковсть русские корабли остались безрезультатными. Операция продол</w:t>
      </w:r>
      <w:r w:rsidRPr="002F2FDF">
        <w:rPr>
          <w:rFonts w:ascii="Times New Roman" w:hAnsi="Times New Roman" w:cs="Times New Roman"/>
          <w:color w:val="000000" w:themeColor="text1"/>
          <w:kern w:val="2"/>
          <w:sz w:val="16"/>
          <w:szCs w:val="16"/>
        </w:rPr>
        <w:softHyphen/>
        <w:t>жалась до 6 октября. (Боевая летопись русского флоте., стр.387).</w:t>
      </w:r>
    </w:p>
    <w:p w14:paraId="2245EB7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bookmarkEnd w:id="343"/>
    <w:p w14:paraId="67DF0DE8" w14:textId="77777777" w:rsidR="00132B49" w:rsidRPr="00CC245D" w:rsidRDefault="00132B49"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CC245D">
        <w:rPr>
          <w:rFonts w:ascii="Times New Roman" w:hAnsi="Times New Roman" w:cs="Times New Roman"/>
          <w:color w:val="0070C0"/>
          <w:kern w:val="2"/>
          <w:sz w:val="16"/>
          <w:szCs w:val="16"/>
        </w:rPr>
        <w:t>29 сентября (12 октября) 1917 г. началась Моонзундская операция Балтий</w:t>
      </w:r>
      <w:r w:rsidRPr="00CC245D">
        <w:rPr>
          <w:rFonts w:ascii="Times New Roman" w:hAnsi="Times New Roman" w:cs="Times New Roman"/>
          <w:color w:val="0070C0"/>
          <w:kern w:val="2"/>
          <w:sz w:val="16"/>
          <w:szCs w:val="16"/>
        </w:rPr>
        <w:softHyphen/>
        <w:t>ского флота, в которой участвовало до 30 гидросамолетов против 102 самолетов и 6 дирижаблей противника. Балтийские летчики корректировали огонь судовых батарей и мешали налетам немецкой авиации, все попытки которой атаковать русские корабли остались безрезультатными. Операция продол</w:t>
      </w:r>
      <w:r w:rsidRPr="00CC245D">
        <w:rPr>
          <w:rFonts w:ascii="Times New Roman" w:hAnsi="Times New Roman" w:cs="Times New Roman"/>
          <w:color w:val="0070C0"/>
          <w:kern w:val="2"/>
          <w:sz w:val="16"/>
          <w:szCs w:val="16"/>
        </w:rPr>
        <w:softHyphen/>
        <w:t>жалась до 6 октября.</w:t>
      </w:r>
    </w:p>
    <w:p w14:paraId="73256A39" w14:textId="77777777" w:rsidR="00132B49" w:rsidRPr="00CC245D" w:rsidRDefault="00132B49"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CC245D">
        <w:rPr>
          <w:rFonts w:ascii="Times New Roman" w:hAnsi="Times New Roman" w:cs="Times New Roman"/>
          <w:color w:val="0070C0"/>
          <w:kern w:val="2"/>
          <w:sz w:val="16"/>
          <w:szCs w:val="16"/>
        </w:rPr>
        <w:t>/Боевая летопись русского флоте., стр.387/ (23320).</w:t>
      </w:r>
    </w:p>
    <w:p w14:paraId="7D6910F4" w14:textId="77777777" w:rsidR="00132B49" w:rsidRPr="00CC245D" w:rsidRDefault="00132B49"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p>
    <w:p w14:paraId="6F67FB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29 сентября по 6 октября (с 12 по 19 октября) 1917 была Оборона Моонзундского арх.</w:t>
      </w:r>
    </w:p>
    <w:p w14:paraId="03317F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ходе первой мировой войны германское командование планировало захват Моонзундского арх. в целях уничтожения русских морских сил в Рижском зал. и создания условий для нанесения удара по революционному Петрограду. К операции были привлечены основные силы германского флота Открытого моря — свыше 300 кораблей и судов (в том числе 1 ЛКР, 10 ЛК, 9 КРЛ. 57 ЭМ, 11 М, 6 ПЛ, 1 ЗМ, 3 ЗС, 90 ТЩ, 5 СКР, 1 АВТР, около 110 ТР и ВС), 102 самолета и 6 дирижаблей, сведенные в Морской отряд особого назначения. Десантный корпус насчитывал около 25 тыс. человек со 125 орудиями и минометами и 225 пулеметами. </w:t>
      </w:r>
    </w:p>
    <w:p w14:paraId="1D07F0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Русские морские силы на Балтике к тому времени состояли из 116 кораблей и судов (в том числе 2 устаревших ЛК, 3 КР, 33 ЭМ, 3 М, 3 КЛ, 2 ЗМ, 3 ЗС, 3 ПЛ, 17 ТЩ, 9 СКР), 30 самолетов. Гарнизон островов насчитывал 10 тыс. штыков, 2 тыс. сабель, 64 полевых орудия, 118 пулеметов. Основу противодесантной обороны составляли 9 береговых и 12 зенитных батарей (74 орудия калибром 75–305 мм) и минные заграждения (более 2800 мин) — Моонзундская минно-артиллерийская позиция. </w:t>
      </w:r>
    </w:p>
    <w:p w14:paraId="549C14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Контрреволюционное командование морских сил и гарнизона не приняло должных мер для укрепления обороны архипелага. Оборону возглавили большевистские организации БФ, солдатские и матросские комитеты. Центробалт направил комиссаров в войска и морские силы Рижского залива, на береговые батареи.</w:t>
      </w:r>
    </w:p>
    <w:p w14:paraId="02D982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 рассвете 29 сентября главные силы германского флота подошли к о. Эзель (Сааремаа) севернее б. Тага-Лахт и, подавив артиллерийским огнем сопротивление русских батарей, приступили к высадке десанта. Германские линкоры «Байерн» и «Гроссер Курфюрст» подорвались на минах, но продолжали участвовать в операции. Во время высадки десанта при входе в бухту подорвался и затонул транспорт «Корсика». Под давлением высадившегося десанта части русского гарнизона острова с боями отошли к Аренсбургу (Кингисепп). </w:t>
      </w:r>
    </w:p>
    <w:p w14:paraId="6D754F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тот же день канлодка «Грозящий» и эсминцы «Генерал Кондратенко», «Пограничник» и «Десна» вступили в бой с 7 германскими эсминцами, не допустив их прорыва на Кассарский плес. </w:t>
      </w:r>
    </w:p>
    <w:p w14:paraId="487B9D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 октября 1917 противник снова предпринял попытку прорваться на Кассарский плес. Около 14 ч линкор «Кайзер» с дистанции 110 каб открыл огонь по находившимся в дозоре эсминцам «Победитель», «Забияка», «Гром» и «Константин». Снявшись с якорей и открыв ответный огонь, эсминцы стали отходить. Получивший тяжелые повреждения и взятый на буксир подошедшей канлодкой «Храбрый» эсминец «Гром» тоже вел огонь по врагу. Выйдя из-под обстрела, русские корабли продолжали наблюдение за противником. </w:t>
      </w:r>
    </w:p>
    <w:p w14:paraId="49474E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Около 15 ч 10 мин неожиданно появившиеся из тумана 9 германских эсминцев, разделившись на две группы, предприняли мапевр, пытаясь отрезать русским кораблям отход в прол. Моонзунд (Муху-Вяйн). Во время завязавшегося боя 2 вражеских эсминца были повреждены и прекратили погоню. Трос, на котором канлодка буксировала эсминец «Гром», лопнул, возобновить буксировку не удалось и ввиду тяжелого положения эсминца было решено затопить его. Сняв с «Грома» команду и отходя с остальными эсминцами, канлодка «Храбрый» вела бой с атакующими вражескими кораблями и потопила один из них. Оставшийся на «Громе» минный старшина Ф. Е. Самончук выпустил торпеду по одному из эсминцев противника, а затем взорвал свой корабль. При появлении шедших на выручку 7 русских эсминцев вражеские корабли прекратили бой и отошли. </w:t>
      </w:r>
    </w:p>
    <w:p w14:paraId="4F8C43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ночь на 2 октября 1917 по приказу командования минный заградитель «Припять» выставил мины на Кассарском плесе, на которых днем подорвался германский эсминец. Два других корабля противника, пытаясь обойти минные заграждения, сели на мель. </w:t>
      </w:r>
    </w:p>
    <w:p w14:paraId="52FB73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Днем 2 октября под натиском превосходящих сил вражеского десанта гарнизон о. Эзель был вынужден оставить остров. </w:t>
      </w:r>
    </w:p>
    <w:p w14:paraId="139AB7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Утром 4 октября вражеские тральщики под прикрытием миноносцев приступили к тралению проходов в районе русских минных заграждений перед Моопзундом. Несмотря на значительное превосходство сил противника (2 ЛК, 2 КР, 11 ЭМ), начальник морских сил Рижского залива контр-адмирал Бахирев, располагая всего двумя старыми линкорами «Слава» и «Гражданин» и броненосным крейсером «Баян», решил дать бой у Куйваста (Приморск) на минно-артиллерийской позиции. Русские линкоры открыли огонь по неприятельским тральщикам и вынудили их отойти (один тральщик был потоплен, другой — подбит). Оба германских линкора с дистанции 130 каб открыли огонь по русским кораблям. Под прикрытием дымовой завесы тральщики вновь возобновили траление. </w:t>
      </w:r>
    </w:p>
    <w:p w14:paraId="3171BA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Около полудня, обойдя с востока минные заграждения, германская эскадра попыталась прорваться в прол. Моонзунд. Во время боя крейсер «Адмирал Макаров», стоявший на якоре в проливе, своим огнем парализовал действия германских эсминцев на Кассарском плесе. В ходе боя «Слава» получила семь попаданий, два из них ниже ватерлинии, в результате чего корабль принял более 1 тыс. т воды и получил крен; два снаряда попали в линкор «Гражданин» и один — в крейсер «Баян». Но несмотря на это. корабли успешно отражали атаки вражеских самолетов, уклоняясь от сброшенных на них мин. Один самолет был сбит огнем «Славы». </w:t>
      </w:r>
    </w:p>
    <w:p w14:paraId="7305C3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Полученные повреждения вынудили русские корабли начать отход. Сильно увеличившаяся осадка «Славы» не позволяла ей пройти через прол. Моонзунд, и линкор пришлось затопить у южного входа. Остальные корабли ушли на север, затопив 4 транспорта и выставив минные заграждения на фарватере прол. Моонзунд. </w:t>
      </w:r>
    </w:p>
    <w:p w14:paraId="3F297B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Лишенный поддержки с моря, гарнизон не мог успешно оборонять острова архипелага, поэтому по приказу командования он был эвакуирован, а база в Рогокюле ликвидирована. Но, несмотря на захват Моонзундского арх., немцам так и не удалось уничтожить русские корабли в прол. Моонзунд, и 7 октября германское командование было вынуждено отказаться от прорыва эскадры в Финский зал. </w:t>
      </w:r>
    </w:p>
    <w:p w14:paraId="35698B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Обороняя дальние подступы к революционному Петрограду, моряки-балтийцы доказали, свою преданность делу революции. Героически сражаясь с превосходящими силами противника, они уничтожили 12 эсминцев и миноносцев, 6 тральщиков, сбили 2 самолета, повредили 3 линкора и 13 эсминцев и миноносцев. </w:t>
      </w:r>
    </w:p>
    <w:p w14:paraId="2D0B65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Моряки Балтики сорвали попытку международной реакции подавить революцию в России силами германского империализма. Героическая оборона Моонзунда способствовала победе Октябрьского вооруженного восстания в Петрограде (11712).</w:t>
      </w:r>
    </w:p>
    <w:p w14:paraId="29336B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DD1969" w14:textId="77777777" w:rsidR="00C2390E" w:rsidRPr="00FB4F67" w:rsidRDefault="00C2390E" w:rsidP="0083075A">
      <w:pPr>
        <w:spacing w:after="0" w:line="240" w:lineRule="auto"/>
        <w:jc w:val="both"/>
        <w:rPr>
          <w:rFonts w:ascii="Times New Roman" w:hAnsi="Times New Roman" w:cs="Times New Roman"/>
          <w:color w:val="0070C0"/>
          <w:sz w:val="16"/>
          <w:szCs w:val="16"/>
        </w:rPr>
      </w:pPr>
      <w:bookmarkStart w:id="344" w:name="bookmark984"/>
      <w:r>
        <w:rPr>
          <w:rFonts w:ascii="Times New Roman" w:hAnsi="Times New Roman" w:cs="Times New Roman"/>
          <w:color w:val="0070C0"/>
          <w:sz w:val="16"/>
          <w:szCs w:val="16"/>
        </w:rPr>
        <w:t>29 сентября по 7 октября (</w:t>
      </w:r>
      <w:r w:rsidRPr="00FB4F67">
        <w:rPr>
          <w:rFonts w:ascii="Times New Roman" w:hAnsi="Times New Roman" w:cs="Times New Roman"/>
          <w:color w:val="0070C0"/>
          <w:sz w:val="16"/>
          <w:szCs w:val="16"/>
        </w:rPr>
        <w:t>12-20 октября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была Моонзундская оборонительная операция - одноа из последних операций в ходе кампании 1917 г. С целью захвата Моонзундского архипелага в Балтийском море противник сосредоточил крупные морские и сухопутные силы с привлечением шести военных дирижаблей и 94 самолетов различных типов (из них 75 боеспособных). Им противостояла малочисленная русская зенитная артиллерия Моонзундских островов (12 батарей - 27 орудий), </w:t>
      </w:r>
      <w:bookmarkStart w:id="345" w:name="bookmark985"/>
      <w:bookmarkEnd w:id="344"/>
      <w:r w:rsidRPr="00FB4F67">
        <w:rPr>
          <w:rFonts w:ascii="Times New Roman" w:hAnsi="Times New Roman" w:cs="Times New Roman"/>
          <w:color w:val="0070C0"/>
          <w:sz w:val="16"/>
          <w:szCs w:val="16"/>
        </w:rPr>
        <w:t>шесть воздушных станций и авиационный пост Балтийского моря (более 40 самолетов и гидропланов, большинство в неисправном состоянии).</w:t>
      </w:r>
      <w:bookmarkEnd w:id="345"/>
    </w:p>
    <w:p w14:paraId="0324D133" w14:textId="77777777" w:rsidR="00C2390E" w:rsidRPr="00FB4F67" w:rsidRDefault="00C2390E" w:rsidP="0083075A">
      <w:pPr>
        <w:spacing w:after="0" w:line="240" w:lineRule="auto"/>
        <w:jc w:val="both"/>
        <w:rPr>
          <w:rFonts w:ascii="Times New Roman" w:hAnsi="Times New Roman" w:cs="Times New Roman"/>
          <w:color w:val="0070C0"/>
          <w:sz w:val="16"/>
          <w:szCs w:val="16"/>
        </w:rPr>
      </w:pPr>
      <w:bookmarkStart w:id="346" w:name="bookmark986"/>
      <w:r w:rsidRPr="00FB4F67">
        <w:rPr>
          <w:rFonts w:ascii="Times New Roman" w:hAnsi="Times New Roman" w:cs="Times New Roman"/>
          <w:color w:val="0070C0"/>
          <w:sz w:val="16"/>
          <w:szCs w:val="16"/>
        </w:rPr>
        <w:t>Их дополняли огневые средства гарнизона островов (107-й и 118-й пехотных дивизий): 140 пулеметов и 60 легких позиционных орудий</w:t>
      </w:r>
      <w:hyperlink w:anchor="bookmark2019" w:tooltip="Current Document">
        <w:r w:rsidRPr="00FB4F67">
          <w:rPr>
            <w:rStyle w:val="a5"/>
            <w:rFonts w:ascii="Times New Roman" w:hAnsi="Times New Roman" w:cs="Times New Roman"/>
            <w:color w:val="0070C0"/>
            <w:sz w:val="16"/>
            <w:szCs w:val="16"/>
          </w:rPr>
          <w:t>[—]</w:t>
        </w:r>
      </w:hyperlink>
      <w:r w:rsidRPr="00FB4F67">
        <w:rPr>
          <w:rFonts w:ascii="Times New Roman" w:hAnsi="Times New Roman" w:cs="Times New Roman"/>
          <w:color w:val="0070C0"/>
          <w:sz w:val="16"/>
          <w:szCs w:val="16"/>
        </w:rPr>
        <w:t>.</w:t>
      </w:r>
      <w:bookmarkEnd w:id="346"/>
    </w:p>
    <w:p w14:paraId="367A5557" w14:textId="77777777" w:rsidR="00C2390E" w:rsidRPr="00FB4F67" w:rsidRDefault="00C239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Десантной операции германского командования под кодовым названием «Альбион» предшествовали активные действия воздушных сил противника. Наши морские летчики стремились свести к минимуму степень их воздействия на военные объекты Моонзундских позиций. Тем не менее, имея значительный перевес в воздушных средствах, немецкая авиация совершала периодические налеты на объекты Моонзундского архипелага и суда Балтийского флота.</w:t>
      </w:r>
    </w:p>
    <w:p w14:paraId="0E28ACD9" w14:textId="77777777" w:rsidR="00C2390E" w:rsidRPr="00FB4F67" w:rsidRDefault="00C2390E" w:rsidP="0083075A">
      <w:pPr>
        <w:spacing w:after="0" w:line="240" w:lineRule="auto"/>
        <w:jc w:val="both"/>
        <w:rPr>
          <w:rFonts w:ascii="Times New Roman" w:hAnsi="Times New Roman" w:cs="Times New Roman"/>
          <w:color w:val="0070C0"/>
          <w:sz w:val="16"/>
          <w:szCs w:val="16"/>
        </w:rPr>
      </w:pPr>
      <w:bookmarkStart w:id="347" w:name="bookmark987"/>
      <w:r w:rsidRPr="00FB4F67">
        <w:rPr>
          <w:rFonts w:ascii="Times New Roman" w:hAnsi="Times New Roman" w:cs="Times New Roman"/>
          <w:color w:val="0070C0"/>
          <w:sz w:val="16"/>
          <w:szCs w:val="16"/>
        </w:rPr>
        <w:t>В ходе проведения противником десантной операции по захвату стратегически важных островов в Рижском заливе ему пришлось столкнуться с активным сопротивлением их защитников. 12 октября с целью исключить захват имущества воздушной станции Кильконд (о. Эзель) ее начальник штабс-капитан Вавилов ценой собственной жизни уничтожил ее объекты и оставшееся оборудование. В тот же вечер летательный аппарат морского летчика мичмана И.Н. Зайцевского в районе Папенхольма был атакован четырьмя немецкими гидропланами. Русский летчик был вынужден опустить свой аппарат на воду, перебравшись на берег, продолжить бой, ведя пулеметный огонь из укрытия по вражеским самолетам. Последние вскоре были вынуждены ретироваться.</w:t>
      </w:r>
      <w:bookmarkEnd w:id="347"/>
    </w:p>
    <w:p w14:paraId="497BBAD4" w14:textId="77777777" w:rsidR="00C2390E" w:rsidRPr="00FB4F67" w:rsidRDefault="00C2390E" w:rsidP="0083075A">
      <w:pPr>
        <w:spacing w:after="0" w:line="240" w:lineRule="auto"/>
        <w:jc w:val="both"/>
        <w:rPr>
          <w:rFonts w:ascii="Times New Roman" w:hAnsi="Times New Roman" w:cs="Times New Roman"/>
          <w:color w:val="0070C0"/>
          <w:sz w:val="16"/>
          <w:szCs w:val="16"/>
        </w:rPr>
      </w:pPr>
      <w:bookmarkStart w:id="348" w:name="bookmark988"/>
      <w:r w:rsidRPr="00FB4F67">
        <w:rPr>
          <w:rFonts w:ascii="Times New Roman" w:hAnsi="Times New Roman" w:cs="Times New Roman"/>
          <w:color w:val="0070C0"/>
          <w:sz w:val="16"/>
          <w:szCs w:val="16"/>
        </w:rPr>
        <w:t>В течение дня немецкая авиация активно поддерживала с воздуха действия своих сухопутных и морских сил. Несколько раз неприятельские гидросамолеты появлялись у Куйваста, проводя бомбардировку находившегося в дозоре у бона миноносца «Деятельный» (23405).</w:t>
      </w:r>
      <w:bookmarkEnd w:id="348"/>
    </w:p>
    <w:p w14:paraId="2ABB211F" w14:textId="77777777" w:rsidR="00C2390E" w:rsidRPr="00FB4F67" w:rsidRDefault="00C2390E" w:rsidP="0083075A">
      <w:pPr>
        <w:spacing w:after="0" w:line="240" w:lineRule="auto"/>
        <w:jc w:val="both"/>
        <w:rPr>
          <w:rFonts w:ascii="Times New Roman" w:hAnsi="Times New Roman" w:cs="Times New Roman"/>
          <w:color w:val="0070C0"/>
          <w:sz w:val="16"/>
          <w:szCs w:val="16"/>
        </w:rPr>
      </w:pPr>
    </w:p>
    <w:p w14:paraId="34A800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29 сентября по 6 октября (с 12 по 19 октября) 1917 Германские войска, создав многократное превосходство в силах, проводят операцию по захвату Моонзундских островов. Ядро германских морских сил в этой операции составляли 10 линейных кораблей, сопровождаемые 68-ю эскадренными миноносцами, в то время как русские </w:t>
      </w:r>
      <w:r w:rsidRPr="002F2FDF">
        <w:rPr>
          <w:rFonts w:ascii="Times New Roman" w:hAnsi="Times New Roman" w:cs="Times New Roman"/>
          <w:color w:val="000000" w:themeColor="text1"/>
          <w:kern w:val="2"/>
          <w:sz w:val="16"/>
          <w:szCs w:val="16"/>
        </w:rPr>
        <w:lastRenderedPageBreak/>
        <w:t>морские силы располагали только 2 дредноутами, имели 3 крейсера (1 линейный) и 33 эскадренных миноносца. Кроме того с германской стороны принимали участие 6 подводных лодок (против 3 русских), 6 дирижаблей и 94 самолета (против 30 русских).</w:t>
      </w:r>
    </w:p>
    <w:p w14:paraId="2C3948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Русские моряки оказали героическое сопротивление. Моонзундские о-ва были заняты германцами ценой больших потерь. Русские были вытеснены из Рижского залива. Но попытки противника задержать и уничтожить русские корабли в проливе Моонзунд не осуществились; заградив минами путь, они ушли в Финский залив.</w:t>
      </w:r>
    </w:p>
    <w:p w14:paraId="2CAEFC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Молль: "Виндавские гидросамолеты потопили, кроме одного торгового судна, два больших эскадренных миноносца и причинили серьезные разрушения русским авиастанциям в Лебаре и Пешенгольме. Самолеты с Ангерна потопили два судна, совершенно уничтожили морскую авиастанцию в Аренсбурге и вывели из строя 12-дюймовую батарею на острове Эдель.</w:t>
      </w:r>
    </w:p>
    <w:p w14:paraId="5011A7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Хотя отдельные бомбардировки радиопередающей станции в Руно и имели целый ряд последствий, но ими не было достигнуто окончательное ее разрушение, и поэтому... было решено высадить на Руно самолеты под защитой пулеметов нескольких истребителей и окончательно уничтожить боевое оборудование... Хотя русская команда и имела в своем распоряжении пушку и пулеметы, но они были настолько подавлены нашими бомбами и пулеметным огнем, что двум нашим самолетам удалось спуститься невредимыми, подойти к берегу и взорвать там наблюдательную станцию, береговую базу подводводных лодок и пристани. Сомнительными и одновременно жуткими были те минуты, когда самолеты стояли на берегу, оставленные летчиками, и легко могли быть разбиты или забраны русскими. Успех дела был блестящий: остров Руно... уже не тревожил больше нашей авиации" (11999).</w:t>
      </w:r>
    </w:p>
    <w:p w14:paraId="50510D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72D4CE"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29 сентября (12 октября) </w:t>
      </w:r>
      <w:r w:rsidRPr="002F2FDF">
        <w:rPr>
          <w:rFonts w:ascii="Times New Roman" w:hAnsi="Times New Roman" w:cs="Times New Roman"/>
          <w:color w:val="000000" w:themeColor="text1"/>
          <w:kern w:val="2"/>
          <w:sz w:val="16"/>
          <w:szCs w:val="16"/>
        </w:rPr>
        <w:t>в 1917 году началась Моонзундская оборонительная операция Балтийского флота и гарнизона Моонзундского архипелага против германского флота и десанта. Операция завершилась 19 октября. Несмотря на мужественное сопротивление, противник захватил архипелаг, но, понеся тяжелые потери в кораблях (12 эсминцев и миноносцев, 6 тральщиков было потоплено, 3 линкора и 13 эсминцев получили значительные повреждения) и сухопутных силах, вынужден был отказаться от планов прорыва в финский залив и разгрома Балтийского флота (14797).</w:t>
      </w:r>
    </w:p>
    <w:p w14:paraId="605AC6CA"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p>
    <w:p w14:paraId="15891910" w14:textId="4322EDFE" w:rsidR="005C783F" w:rsidRPr="002F2FDF" w:rsidRDefault="005C783F" w:rsidP="0083075A">
      <w:pPr>
        <w:pStyle w:val="ae"/>
        <w:spacing w:before="0" w:after="0"/>
        <w:jc w:val="both"/>
        <w:rPr>
          <w:color w:val="000000" w:themeColor="text1"/>
          <w:kern w:val="2"/>
          <w:sz w:val="16"/>
          <w:szCs w:val="16"/>
        </w:rPr>
      </w:pPr>
      <w:r w:rsidRPr="002F2FDF">
        <w:rPr>
          <w:rStyle w:val="ucoz-forum-post"/>
          <w:bCs/>
          <w:color w:val="000000" w:themeColor="text1"/>
          <w:kern w:val="2"/>
          <w:sz w:val="16"/>
          <w:szCs w:val="16"/>
        </w:rPr>
        <w:t xml:space="preserve">29 сентября (12 октября) </w:t>
      </w:r>
      <w:r w:rsidRPr="002F2FDF">
        <w:rPr>
          <w:color w:val="000000" w:themeColor="text1"/>
          <w:kern w:val="2"/>
          <w:sz w:val="16"/>
          <w:szCs w:val="16"/>
        </w:rPr>
        <w:t>в 1917 году немцы начали операцию «Альбион», главной целью которой был захват Моонзундских островов в Балтийском море у западных берегов нынешней Эстонии. Для русской армии это сражение обернулось еще одним крупным поражением. Оно было тем более горьким, что о готовящемся десанте на острова Эзель и Даго (ныне Сааремаа и Хийумаа) русской разведке было известно вплоть до часа его высадки, а Балтийский флот в этот раз был готов сражаться и действительно героически оборонял острова</w:t>
      </w:r>
      <w:r w:rsidR="00E52569">
        <w:rPr>
          <w:color w:val="000000" w:themeColor="text1"/>
          <w:kern w:val="2"/>
          <w:sz w:val="16"/>
          <w:szCs w:val="16"/>
        </w:rPr>
        <w:t xml:space="preserve"> </w:t>
      </w:r>
      <w:r w:rsidRPr="002F2FDF">
        <w:rPr>
          <w:color w:val="000000" w:themeColor="text1"/>
          <w:kern w:val="2"/>
          <w:sz w:val="16"/>
          <w:szCs w:val="16"/>
        </w:rPr>
        <w:t>как ближние подступы к революционному Петрограду.</w:t>
      </w:r>
    </w:p>
    <w:p w14:paraId="479340F2" w14:textId="77777777" w:rsidR="005C783F" w:rsidRPr="002F2FDF" w:rsidRDefault="005C783F" w:rsidP="0083075A">
      <w:pPr>
        <w:pStyle w:val="ae"/>
        <w:spacing w:before="0" w:after="0"/>
        <w:jc w:val="both"/>
        <w:rPr>
          <w:color w:val="000000" w:themeColor="text1"/>
          <w:kern w:val="2"/>
          <w:sz w:val="16"/>
          <w:szCs w:val="16"/>
        </w:rPr>
      </w:pPr>
      <w:r w:rsidRPr="002F2FDF">
        <w:rPr>
          <w:color w:val="000000" w:themeColor="text1"/>
          <w:kern w:val="2"/>
          <w:sz w:val="16"/>
          <w:szCs w:val="16"/>
        </w:rPr>
        <w:t>Однако германский флот по не зависящим от русских причинам опоздал на сутки, и операция все равно началась внезапно. Немецкие корабли сравнительно легко миновали минные заграждения (лишь два линкора подорвались на минах, но отделались легкими повреждениями). Огнем корабельных орудий и бомбардировкой с самолетов были подавлены русские береговые батареи, после чего пехотный полк практически без сопротивления высадился на юго-западном берегу Эзеля. Для передвижения по острову немцы использовали велосипеды, но добраться до всех его уголков, где располагались другие русские батареи, смогли лишь к 15 октября. До этого в течение трех дней батареи продолжали обстреливать немецкие корабли, нанося им особенно большие повреждения в Ирбенском проливе (между Эзелем и Курляндским полуостровом).</w:t>
      </w:r>
    </w:p>
    <w:p w14:paraId="772F5E59" w14:textId="77777777" w:rsidR="005C783F" w:rsidRPr="002F2FDF" w:rsidRDefault="005C783F" w:rsidP="0083075A">
      <w:pPr>
        <w:pStyle w:val="ae"/>
        <w:spacing w:before="0" w:after="0"/>
        <w:jc w:val="both"/>
        <w:rPr>
          <w:color w:val="000000" w:themeColor="text1"/>
          <w:kern w:val="2"/>
          <w:sz w:val="16"/>
          <w:szCs w:val="16"/>
        </w:rPr>
      </w:pPr>
      <w:r w:rsidRPr="002F2FDF">
        <w:rPr>
          <w:color w:val="000000" w:themeColor="text1"/>
          <w:kern w:val="2"/>
          <w:sz w:val="16"/>
          <w:szCs w:val="16"/>
        </w:rPr>
        <w:t>Другой отряд немецких кораблей подошел к северной окраине Эзеля и вошел в пролив Соэлозунд (ныне Соэла, между эстонскими островами Сааремаа и Хийумаа). Некоторые корабли высадили десант и на остров Даго, но там немецкую эскадру встретили эсминцы Балтийского флота, сражавшиеся под революционными красными флагами. Несмотря на героизм моряков, силы оказались неравными. В ходе боя был серьезно поврежден и частично затоплен русский эсминец «Грозящий». Лишь к середине дня, когда к русской эскадре присоединился еще один эсминец — «Десна», германский флот был вынужден отойти к западному входу в пролив.</w:t>
      </w:r>
    </w:p>
    <w:p w14:paraId="6F4385BF" w14:textId="77777777" w:rsidR="005C783F" w:rsidRPr="002F2FDF" w:rsidRDefault="005C783F" w:rsidP="0083075A">
      <w:pPr>
        <w:pStyle w:val="ae"/>
        <w:spacing w:before="0" w:after="0"/>
        <w:jc w:val="both"/>
        <w:rPr>
          <w:color w:val="000000" w:themeColor="text1"/>
          <w:kern w:val="2"/>
          <w:sz w:val="16"/>
          <w:szCs w:val="16"/>
        </w:rPr>
      </w:pPr>
      <w:r w:rsidRPr="002F2FDF">
        <w:rPr>
          <w:color w:val="000000" w:themeColor="text1"/>
          <w:kern w:val="2"/>
          <w:sz w:val="16"/>
          <w:szCs w:val="16"/>
        </w:rPr>
        <w:t>Дуэли между германскими и русскими кораблями продолжались несколько дней. 14 октября был сильно поврежден, а потом и потоплен русский эсминец «Гром». Потери понесла и немецкая эскадра — 14 октября от попаданий снарядов и при лавировании на мелководье вышли из строя четыре эсминца, на следующий день еще один германский эсминец подорвался на мине, а два других сели на мель (17045).</w:t>
      </w:r>
    </w:p>
    <w:p w14:paraId="0C6EF5B0" w14:textId="77777777" w:rsidR="005C783F" w:rsidRPr="002F2FDF" w:rsidRDefault="005C783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DD8252" w14:textId="7FF827A8" w:rsidR="002E02D2" w:rsidRPr="00FB4F67" w:rsidRDefault="002E02D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29 сентября (</w:t>
      </w:r>
      <w:r w:rsidRPr="00FB4F67">
        <w:rPr>
          <w:rFonts w:ascii="Times New Roman" w:hAnsi="Times New Roman" w:cs="Times New Roman"/>
          <w:color w:val="0070C0"/>
          <w:sz w:val="16"/>
          <w:szCs w:val="16"/>
        </w:rPr>
        <w:t>12 октября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рано утром в Балтийском море немцы начали операцию «Альбион» — комбинированную атаку с моря, суши и воздуха при поддержке авианосца «Санта Елена» на удерживаемый русскими остров Эзель. Российские военно-морские летчики не смогли обнаружить силы вторжения (23525).</w:t>
      </w:r>
    </w:p>
    <w:p w14:paraId="15DD62BA" w14:textId="77777777" w:rsidR="002E02D2" w:rsidRPr="00FB4F67" w:rsidRDefault="002E02D2" w:rsidP="0083075A">
      <w:pPr>
        <w:spacing w:after="0" w:line="240" w:lineRule="auto"/>
        <w:jc w:val="both"/>
        <w:rPr>
          <w:rFonts w:ascii="Times New Roman" w:hAnsi="Times New Roman" w:cs="Times New Roman"/>
          <w:color w:val="0070C0"/>
          <w:sz w:val="16"/>
          <w:szCs w:val="16"/>
        </w:rPr>
      </w:pPr>
    </w:p>
    <w:p w14:paraId="17D419D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EEEEE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4E9E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сентября (12 октября) 1917 был создан ВРК - легального в качестве комитета обороны Петрограда. Включал большевиков, левых эсеров, меньшевиков-интернационалистов и анархистов (3481).</w:t>
      </w:r>
    </w:p>
    <w:p w14:paraId="361900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2C31CD"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29 сентября (12) октября </w:t>
      </w:r>
      <w:r w:rsidRPr="002F2FDF">
        <w:rPr>
          <w:rFonts w:ascii="Times New Roman" w:hAnsi="Times New Roman" w:cs="Times New Roman"/>
          <w:color w:val="000000" w:themeColor="text1"/>
          <w:kern w:val="2"/>
          <w:sz w:val="16"/>
          <w:szCs w:val="16"/>
        </w:rPr>
        <w:t>в 1917 году создание Военно-Революционного комитета. Он создается легально как комитет обороны Петрограда, а фактически станет центром подготовки вооруженного восстания. В ВРК вошли большевики, левые эсеры, меньшевики-интернационалисты, анархисты (14797).</w:t>
      </w:r>
    </w:p>
    <w:p w14:paraId="527F8467"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p>
    <w:p w14:paraId="010731DF" w14:textId="77777777" w:rsidR="005C783F"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C10F24F" w14:textId="77777777" w:rsidR="005C783F" w:rsidRPr="002F2FDF" w:rsidRDefault="005C783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2F42A9" w14:textId="6BFEE2F1" w:rsidR="006D25BA" w:rsidRPr="002F2FDF" w:rsidRDefault="006D25B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29 сентября (13 октября) 1917 Роланд D VI совершил первый полет. Как и D III он имел мотор Мерседес D III мощностью 160</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л.</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с. И хотя на этом их сходство заканчивалось, ничего более ничего революционного, кроме фюзеляжа и крепления крыла, в его конструкции не было, но поскольку новая технология «Клинкеррумпф» была пока не отработана, решили строить не три опытных образца, положенных по процедуре типовых испытаний, а только один.</w:t>
      </w:r>
    </w:p>
    <w:p w14:paraId="691D0A75" w14:textId="0E2BC1D5" w:rsidR="006D25BA" w:rsidRPr="002F2FDF" w:rsidRDefault="006D25B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Прочность и жесткость фюзеляжа «Клинкеррумпф» были найдены достаточными, как и устойчивость, за исключением канала курса. Обзор из кабины вышел хороший везде, кроме важнейшего в бою направления вперед и вверх, за которое так радели и все же недосмотрели при проектировании. Но самолет вяло разгонялся на взлете и имел слабые летные данные. Танцен заявил, что они могут быть повышены установкой новых моторов, которые уже есть. Правда, с силовой установкой возникла непонятная проблема</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хотя система охлаждения с поверхностным радиатором «Тивесунд Браун» была такой же, как на многих других самолетах, на полных оборотах у земли он перегревался. Пришлось на новом доработанном опытном образце Роланд D VIa переделать систему управления мотором, ограничив обороты за счет особой конструкции сектора газа. Заодно сместили крылья, улучшив обзор в нужном направлении, ввели роговую компенсацию рулевых поверхностей, снизив нагрузки на ручку и педали. Новый фюзеляж с нижним килем, к которому теперь крепился костыль шасси, уменьшил стояночный угол самолета и сопротивление на разбеге. Горизонтальное оперение сделали свободнонесущим. Этот самолет наряду с 1-м опытным образцом участвовал в конкурсе истребителей, проводившемся IdFlieg в январе-феврале 1918</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г. в Адлерсхофе.  (22862).</w:t>
      </w:r>
    </w:p>
    <w:p w14:paraId="1A272C22" w14:textId="77777777" w:rsidR="006D25BA" w:rsidRPr="002F2FDF" w:rsidRDefault="006D25BA" w:rsidP="0083075A">
      <w:pPr>
        <w:spacing w:after="0" w:line="240" w:lineRule="auto"/>
        <w:jc w:val="both"/>
        <w:rPr>
          <w:rFonts w:ascii="Times New Roman" w:hAnsi="Times New Roman" w:cs="Times New Roman"/>
          <w:color w:val="000000" w:themeColor="text1"/>
          <w:sz w:val="16"/>
          <w:szCs w:val="16"/>
        </w:rPr>
      </w:pPr>
    </w:p>
    <w:p w14:paraId="60276CFC" w14:textId="77777777" w:rsidR="006D25BA" w:rsidRPr="002F2FDF" w:rsidRDefault="006D25BA" w:rsidP="0083075A">
      <w:pPr>
        <w:pStyle w:val="ae"/>
        <w:spacing w:before="0" w:after="0"/>
        <w:jc w:val="both"/>
        <w:rPr>
          <w:color w:val="000000" w:themeColor="text1"/>
          <w:kern w:val="2"/>
          <w:sz w:val="16"/>
          <w:szCs w:val="16"/>
        </w:rPr>
      </w:pPr>
      <w:r w:rsidRPr="002F2FDF">
        <w:rPr>
          <w:rStyle w:val="ucoz-forum-post"/>
          <w:bCs/>
          <w:color w:val="000000" w:themeColor="text1"/>
          <w:kern w:val="2"/>
          <w:sz w:val="16"/>
          <w:szCs w:val="16"/>
        </w:rPr>
        <w:t xml:space="preserve">29 сентября (12) октября </w:t>
      </w:r>
      <w:r w:rsidRPr="002F2FDF">
        <w:rPr>
          <w:color w:val="000000" w:themeColor="text1"/>
          <w:kern w:val="2"/>
          <w:sz w:val="16"/>
          <w:szCs w:val="16"/>
        </w:rPr>
        <w:t>в 1917 году неудачей обернулась атака на деревню Пашендейль (фламандский вариант — Пассендале, которая и дала название битве, продолжавшейся в этих местах с июля по ноябрь 1917 года — РП) в 8 километрах к северо-востоку от Ипра, предпринятая британскими, новозеландскими и австралийскими частями. Союзники потеряли убитыми и ранеными около 13 000 человек. В их числе оказались и 2735 новозеландцев, часть которых погибла страшной смертью, утонув в трясине размокших от бесконечных дождей и артобстрелов полей. В Новой Зеландии 12 октября до сих пор считают одним из самых черных дней в истории страны. 13 октября британский главнокомандующий Дуглас Хейг принял решение о приостановке операции до кардинального улучшения погоды (17045).</w:t>
      </w:r>
    </w:p>
    <w:p w14:paraId="638CFB7A" w14:textId="77777777" w:rsidR="006D25BA" w:rsidRPr="002F2FDF" w:rsidRDefault="006D25B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5C3BA4" w14:textId="77777777" w:rsidR="00A32C90"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968F30C" w14:textId="77777777" w:rsidR="00A32C90" w:rsidRPr="002F2FDF" w:rsidRDefault="00A32C9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40DF9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Style w:val="10pt0"/>
          <w:rFonts w:ascii="Times New Roman" w:hAnsi="Times New Roman" w:cs="Times New Roman"/>
          <w:b w:val="0"/>
          <w:color w:val="000000" w:themeColor="text1"/>
          <w:kern w:val="2"/>
          <w:sz w:val="16"/>
          <w:szCs w:val="16"/>
        </w:rPr>
        <w:t>На</w:t>
      </w:r>
      <w:r w:rsidRPr="002F2FDF">
        <w:rPr>
          <w:rFonts w:ascii="Times New Roman" w:hAnsi="Times New Roman" w:cs="Times New Roman"/>
          <w:color w:val="000000" w:themeColor="text1"/>
          <w:kern w:val="2"/>
          <w:sz w:val="16"/>
          <w:szCs w:val="16"/>
        </w:rPr>
        <w:t xml:space="preserve"> 30 сентября (13 октября) 191</w:t>
      </w:r>
      <w:r w:rsidRPr="002F2FDF">
        <w:rPr>
          <w:rStyle w:val="10pt0"/>
          <w:rFonts w:ascii="Times New Roman" w:hAnsi="Times New Roman" w:cs="Times New Roman"/>
          <w:b w:val="0"/>
          <w:color w:val="000000" w:themeColor="text1"/>
          <w:kern w:val="2"/>
          <w:sz w:val="16"/>
          <w:szCs w:val="16"/>
        </w:rPr>
        <w:t xml:space="preserve">7 г. </w:t>
      </w:r>
      <w:r w:rsidRPr="002F2FDF">
        <w:rPr>
          <w:rFonts w:ascii="Times New Roman" w:hAnsi="Times New Roman" w:cs="Times New Roman"/>
          <w:color w:val="000000" w:themeColor="text1"/>
          <w:kern w:val="2"/>
          <w:sz w:val="16"/>
          <w:szCs w:val="16"/>
        </w:rPr>
        <w:t>в УВВФ</w:t>
      </w:r>
      <w:r w:rsidRPr="002F2FDF">
        <w:rPr>
          <w:rStyle w:val="10pt0"/>
          <w:rFonts w:ascii="Times New Roman" w:hAnsi="Times New Roman" w:cs="Times New Roman"/>
          <w:b w:val="0"/>
          <w:color w:val="000000" w:themeColor="text1"/>
          <w:kern w:val="2"/>
          <w:sz w:val="16"/>
          <w:szCs w:val="16"/>
        </w:rPr>
        <w:t xml:space="preserve"> назначили р</w:t>
      </w:r>
      <w:r w:rsidRPr="002F2FDF">
        <w:rPr>
          <w:rFonts w:ascii="Times New Roman" w:hAnsi="Times New Roman" w:cs="Times New Roman"/>
          <w:color w:val="000000" w:themeColor="text1"/>
          <w:kern w:val="2"/>
          <w:sz w:val="16"/>
          <w:szCs w:val="16"/>
        </w:rPr>
        <w:t>ассмотрение «земельного вопроса» по М.С.Жемличке, но</w:t>
      </w:r>
      <w:r w:rsidRPr="002F2FDF">
        <w:rPr>
          <w:rStyle w:val="10pt0"/>
          <w:rFonts w:ascii="Times New Roman" w:hAnsi="Times New Roman" w:cs="Times New Roman"/>
          <w:b w:val="0"/>
          <w:color w:val="000000" w:themeColor="text1"/>
          <w:kern w:val="2"/>
          <w:sz w:val="16"/>
          <w:szCs w:val="16"/>
        </w:rPr>
        <w:t>,</w:t>
      </w:r>
      <w:r w:rsidRPr="002F2FDF">
        <w:rPr>
          <w:rFonts w:ascii="Times New Roman" w:hAnsi="Times New Roman" w:cs="Times New Roman"/>
          <w:color w:val="000000" w:themeColor="text1"/>
          <w:kern w:val="2"/>
          <w:sz w:val="16"/>
          <w:szCs w:val="16"/>
        </w:rPr>
        <w:t xml:space="preserve"> неясно, успели ли конца года оформить купчую (15761).</w:t>
      </w:r>
    </w:p>
    <w:p w14:paraId="65CD66B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p w14:paraId="13EB28D2" w14:textId="77777777" w:rsidR="00A32C90"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3F89B0B1" w14:textId="77777777" w:rsidR="00A32C90" w:rsidRPr="002F2FDF" w:rsidRDefault="00A32C9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4C5D2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ранее 30 сентября (13 октября) 1917 г. Протокол комиссии по обследованию причин падения производительности Мытищинского вагоностроительного завода за январь—сентябрь 1917 г.</w:t>
      </w:r>
    </w:p>
    <w:p w14:paraId="2C9F704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155-160</w:t>
      </w:r>
    </w:p>
    <w:p w14:paraId="7BA2061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ГИАМО, ф. 848, оп. 1, св. 13, д. 162, лл. 9—12. Копия.</w:t>
      </w:r>
    </w:p>
    <w:p w14:paraId="11D16F9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p w14:paraId="2AB29A7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Протокол комиссии по обследованию причин падения производительности Мытищинского завода.</w:t>
      </w:r>
    </w:p>
    <w:p w14:paraId="20DBCFC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Комиссия составлена на основании отношения уполномоченного Особого совещания по обороне государства 26 июля с. г. за № 44023/93</w:t>
      </w:r>
      <w:hyperlink r:id="rId553" w:anchor="_ftn2" w:history="1">
        <w:r w:rsidRPr="002F2FDF">
          <w:rPr>
            <w:rFonts w:ascii="Times New Roman" w:hAnsi="Times New Roman" w:cs="Times New Roman"/>
            <w:color w:val="000000" w:themeColor="text1"/>
            <w:kern w:val="2"/>
            <w:sz w:val="16"/>
            <w:szCs w:val="16"/>
          </w:rPr>
          <w:t>[2]</w:t>
        </w:r>
      </w:hyperlink>
      <w:r w:rsidRPr="002F2FDF">
        <w:rPr>
          <w:rFonts w:ascii="Times New Roman" w:hAnsi="Times New Roman" w:cs="Times New Roman"/>
          <w:color w:val="000000" w:themeColor="text1"/>
          <w:kern w:val="2"/>
          <w:sz w:val="16"/>
          <w:szCs w:val="16"/>
        </w:rPr>
        <w:t xml:space="preserve"> старшему инженеру отдела по испытанию и освидетельствованию заказов МІІС инж. А. И. Котельникову вследствие запроса Московского Совета рабочих депутатов, имеющего заявление от заводского комитета рабочих Мытищинского вагоностроительного завода</w:t>
      </w:r>
      <w:hyperlink r:id="rId554" w:anchor="_ftn3" w:history="1">
        <w:r w:rsidRPr="002F2FDF">
          <w:rPr>
            <w:rFonts w:ascii="Times New Roman" w:hAnsi="Times New Roman" w:cs="Times New Roman"/>
            <w:color w:val="000000" w:themeColor="text1"/>
            <w:kern w:val="2"/>
            <w:sz w:val="16"/>
            <w:szCs w:val="16"/>
          </w:rPr>
          <w:t>[3]</w:t>
        </w:r>
      </w:hyperlink>
      <w:r w:rsidRPr="002F2FDF">
        <w:rPr>
          <w:rFonts w:ascii="Times New Roman" w:hAnsi="Times New Roman" w:cs="Times New Roman"/>
          <w:color w:val="000000" w:themeColor="text1"/>
          <w:kern w:val="2"/>
          <w:sz w:val="16"/>
          <w:szCs w:val="16"/>
        </w:rPr>
        <w:t xml:space="preserve"> с просьбой о расследовании причин упадка и медленности заводского производства.</w:t>
      </w:r>
    </w:p>
    <w:p w14:paraId="2BBF8A6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Состав комиссии: инженер отдела, член Московского заводского совещания А. И. Котельников; инженер, управляющий завода</w:t>
      </w:r>
    </w:p>
    <w:p w14:paraId="6E2E056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A. И. Тарасов; старший конструктор, секретарь контрольной комиссии</w:t>
      </w:r>
    </w:p>
    <w:p w14:paraId="76916A9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B. И. Бабин; рабочий, председатель заводского комитета рабочих</w:t>
      </w:r>
    </w:p>
    <w:p w14:paraId="43B456D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И. Башмаков; рабочий, секретарь заводского комитета рабочих М. Ф. Мансуров.</w:t>
      </w:r>
    </w:p>
    <w:p w14:paraId="787534E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Первое заседание 18 августа, от 10 час. утра до 12 час. дня.</w:t>
      </w:r>
    </w:p>
    <w:p w14:paraId="437C3D5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Возникает вопрос — с какого времени начать обследование причин падения и медленности производства.</w:t>
      </w:r>
    </w:p>
    <w:p w14:paraId="104B0DE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Ввиду того, что в минувшем 1916 г. средняя производительность завода была 150</w:t>
      </w:r>
      <w:hyperlink r:id="rId555" w:anchor="_ftn4" w:history="1">
        <w:r w:rsidRPr="002F2FDF">
          <w:rPr>
            <w:rFonts w:ascii="Times New Roman" w:hAnsi="Times New Roman" w:cs="Times New Roman"/>
            <w:color w:val="000000" w:themeColor="text1"/>
            <w:kern w:val="2"/>
            <w:sz w:val="16"/>
            <w:szCs w:val="16"/>
          </w:rPr>
          <w:t>[4]</w:t>
        </w:r>
      </w:hyperlink>
      <w:r w:rsidRPr="002F2FDF">
        <w:rPr>
          <w:rFonts w:ascii="Times New Roman" w:hAnsi="Times New Roman" w:cs="Times New Roman"/>
          <w:color w:val="000000" w:themeColor="text1"/>
          <w:kern w:val="2"/>
          <w:sz w:val="16"/>
          <w:szCs w:val="16"/>
        </w:rPr>
        <w:t xml:space="preserve"> товарных единиц (кроме пассажирских и трамвайных вагонов), каковая цифра начинает падать с начала 1917 г., постановлено начать рассмотрение с 1 января 1917 г., а если потребуют того обстоятельства, которые будут выясняться при обследовании, то произвести частичное обследование работы и прежних лет.</w:t>
      </w:r>
    </w:p>
    <w:p w14:paraId="2A6106B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p w14:paraId="674BBCB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Предлагается рассмотрению январский выпуск настоящего года: 140 товарных вагонов и 3 пассажирских вагона IV класса.</w:t>
      </w:r>
    </w:p>
    <w:p w14:paraId="5F93028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Пассажирский вагон IV класса признается эквивалентным по рабочей силе 5 товарным вагонам, поэтому общий выпуск за январь месяц, приведенный к товарным единицам, равняется 155 единицам, каковая цифра признается благополучной по производительности.</w:t>
      </w:r>
    </w:p>
    <w:p w14:paraId="25D4FDA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p w14:paraId="7713351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В феврале был выпущен 51 товарный вагон и 5 пассажирских IV классса, т. е. согласно принятому постановлению во 2-м пункте сего протокола всего 76 товарных единиц.</w:t>
      </w:r>
    </w:p>
    <w:p w14:paraId="36E7F21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Выпуск признать неудовлетворительным; установлено, что не хватало швеллеров для рам, а также не было в должном количестве и топлива. Швеллера были своевременно заказаны и включены в прокатку, но не были доставлены на завод. За отсутствием угля котлы работали на нефти и то половинной производительностью вследствие недостаточного количества и этого рода топлива. В мастерских нельзя было держать достаточную для работы температуру, и поэтому весь месяц завод работал только до 2 час. дня. Экономические соображения говорили за то, что заводу следовало бы на это время закрыться. В отношении производительности труда признано, что она не изменилась: если были кое-какие колебания от нормы, то их можно объяснить неблагоприятными условиями работы в плохо отапливаемых помещениях.</w:t>
      </w:r>
    </w:p>
    <w:p w14:paraId="7B3F549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p w14:paraId="479DF95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В марте выпущено было 38 товарных вагонов и 5 пассажирских IV класса, т. е. всего 63 товарных единицы.</w:t>
      </w:r>
    </w:p>
    <w:p w14:paraId="1272F3B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Из ведомости, при сем прилагаемой,</w:t>
      </w:r>
      <w:hyperlink r:id="rId556" w:anchor="_ftn5" w:history="1">
        <w:r w:rsidRPr="002F2FDF">
          <w:rPr>
            <w:rFonts w:ascii="Times New Roman" w:hAnsi="Times New Roman" w:cs="Times New Roman"/>
            <w:color w:val="000000" w:themeColor="text1"/>
            <w:kern w:val="2"/>
            <w:sz w:val="16"/>
            <w:szCs w:val="16"/>
          </w:rPr>
          <w:t>[5]</w:t>
        </w:r>
      </w:hyperlink>
      <w:r w:rsidRPr="002F2FDF">
        <w:rPr>
          <w:rFonts w:ascii="Times New Roman" w:hAnsi="Times New Roman" w:cs="Times New Roman"/>
          <w:color w:val="000000" w:themeColor="text1"/>
          <w:kern w:val="2"/>
          <w:sz w:val="16"/>
          <w:szCs w:val="16"/>
        </w:rPr>
        <w:t xml:space="preserve"> поступления на завод материалов усматривается недостаток швеллеров и топлива; кроме того, до журналу работ установлено, что со 2 марта по 6-е включительно (в дни государственного переворота) завод не работал. Всех рабочих дней за март было 21, из них 12 дней работали до 2 час. дня.</w:t>
      </w:r>
    </w:p>
    <w:p w14:paraId="5EFD8CE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Причины понижения производительности завода отчасти те же, что п в феврале. Кроме того, признается, что дни государственного переворота д последовавшие за ним революционное время и время организаций рабочих партий не могли не отразиться в значительной мере на производительности труда, а следовательно, и на производительности завода.</w:t>
      </w:r>
    </w:p>
    <w:p w14:paraId="40133B5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p w14:paraId="3CD7F54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В апреле было выпущено 57 товарных вагонов и 5 пассажирских вагонов IV класса, т. е. всего 82 товарных единицы.</w:t>
      </w:r>
    </w:p>
    <w:p w14:paraId="43EAB1D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Устанавливается, что материал и топливо были в достаточном количестве. Число рабочих дней вследствие праздников св. пасхи, а также других праздников упало до 17 дней, при этом в апреле месяце был введен 8-часовой рабочий день.</w:t>
      </w:r>
    </w:p>
    <w:p w14:paraId="1DB54C4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Комиссия прервала свои занятия и возобновила их 19 числа в 71/2 час. утра до 111/2 час. утра.</w:t>
      </w:r>
    </w:p>
    <w:p w14:paraId="4F3C7BC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p w14:paraId="5E65C41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По возобновлении занятий комиссия рассмотрела вопрос об изменении производительности труда в связи с переходом от 9-часового к 8-часовому рабочему дню.</w:t>
      </w:r>
    </w:p>
    <w:p w14:paraId="012123D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Останавливаясь на этом обстоятельстве, комиссия постановила: интенсивность ручного труда, несвязанного с работой станков, не должна понизиться с переходом от 9-часового к 8-часовому дню, ибо при меньшем рабочем дне имеется большее количество времени для отдыха, а при лучшем отдыхе интенсивность работы должна повышаться.</w:t>
      </w:r>
    </w:p>
    <w:p w14:paraId="6F68B563" w14:textId="5E75AE71"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Производительность рабочих, работающих на станках, автоматически упала в прямой пропорции 9 к 8. Затем, имея в круглых цифрах число рабочих 1-й, 2-й групп равными 1000 и 500 чел., установлено, что производительность упала на 1/9 от прежней величины только у 1/3 общего чнсла работающих на заводе, и, следовательно, относя к общему количеству рабочих, получим падение производительности на заводе от перехода на 8-часовой день равным 1/9 Х1/3=1/27, или 0.037, что составит 3.7%, а с округлением — 4%. Введя это понижение производительности п уменьшив норму выпуска 150 товарных вагонов в пропорции 24 рабочих дней к 17, мы получим норму выпуска для апреля при нормальных условиях равной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102</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вагона. В действительности же было выпущено 82 товарных единицы. Недовыпуск комиссия объясняет влиянием революционного времени и других событий, нервирующих трудящихся и понижающих интенсивность их труда.</w:t>
      </w:r>
    </w:p>
    <w:p w14:paraId="1F037F5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В последующие 3 месяца выпуски выражались в следующих цифрах: в мае — 85 единиц (75 товарных вагонов и 1 пробный вагон-ледник, приравненный к 10 товарным единицам), в июне — 145 единиц и в июле — 183 единицы.</w:t>
      </w:r>
    </w:p>
    <w:p w14:paraId="6439130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За это время завод был обеспечен и материалом и топливом. Сделано было сопоставление выпусков за май, июнь и июль нынешнего года с выпусками за эти же месяцы прошлого года, когда завод тоже был обеспечен материалом и работал при нормальных условиях.</w:t>
      </w:r>
    </w:p>
    <w:p w14:paraId="7C9BFF5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Прилагается таблица с указанием выпуска и числа рабочих:</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80"/>
        <w:gridCol w:w="1158"/>
        <w:gridCol w:w="1156"/>
        <w:gridCol w:w="1158"/>
        <w:gridCol w:w="1171"/>
      </w:tblGrid>
      <w:tr w:rsidR="002B1C74" w:rsidRPr="002F2FDF" w14:paraId="4BC0F6B7"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7A04404" w14:textId="428E7455"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5E0DF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54AA5A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r>
      <w:tr w:rsidR="002B1C74" w:rsidRPr="002F2FDF" w14:paraId="4E8107B9"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4C5B39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88151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D7CF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Выпуск вагонов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F6AA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AF2C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Выпуск вагонов</w:t>
            </w:r>
          </w:p>
        </w:tc>
      </w:tr>
      <w:tr w:rsidR="002B1C74" w:rsidRPr="002F2FDF" w14:paraId="0F4F7EA2"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12240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D79B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2178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E420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8F80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w:t>
            </w:r>
          </w:p>
        </w:tc>
      </w:tr>
      <w:tr w:rsidR="002B1C74" w:rsidRPr="002F2FDF" w14:paraId="2D0E783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B9C3C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8623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D99C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2069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2D26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145</w:t>
            </w:r>
          </w:p>
        </w:tc>
      </w:tr>
      <w:tr w:rsidR="002B1C74" w:rsidRPr="002F2FDF" w14:paraId="72F1D1A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266B5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0932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A92B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A616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6680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183</w:t>
            </w:r>
          </w:p>
        </w:tc>
      </w:tr>
      <w:tr w:rsidR="002B1C74" w:rsidRPr="002F2FDF" w14:paraId="6DD50FE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059A5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за 3 месяца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FA46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2A2E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FC36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7C6D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413</w:t>
            </w:r>
          </w:p>
        </w:tc>
      </w:tr>
    </w:tbl>
    <w:p w14:paraId="21D13A23" w14:textId="1B5AE7F0"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Средняя производительность 1000 чел. за 1 месяц в 1916 г. и 1917 г. равны:</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 131.5 вагонов и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93.25</w:t>
      </w:r>
      <w:hyperlink r:id="rId557" w:anchor="_ftn6" w:history="1">
        <w:r w:rsidRPr="002F2FDF">
          <w:rPr>
            <w:rFonts w:ascii="Times New Roman" w:hAnsi="Times New Roman" w:cs="Times New Roman"/>
            <w:color w:val="000000" w:themeColor="text1"/>
            <w:kern w:val="2"/>
            <w:sz w:val="16"/>
            <w:szCs w:val="16"/>
          </w:rPr>
          <w:t>[6]</w:t>
        </w:r>
      </w:hyperlink>
      <w:r w:rsidRPr="002F2FDF">
        <w:rPr>
          <w:rFonts w:ascii="Times New Roman" w:hAnsi="Times New Roman" w:cs="Times New Roman"/>
          <w:color w:val="000000" w:themeColor="text1"/>
          <w:kern w:val="2"/>
          <w:sz w:val="16"/>
          <w:szCs w:val="16"/>
        </w:rPr>
        <w:t xml:space="preserve"> вагона, стало быть, производительность при рабочем 9-часовом дне пала бы в 1917 г. в сравнении с 1916 г. на 38.25 вагона, или на 29%. Сбросив с 29% установленное в 4% сокращение вследствие уменьшения рабочего дня с 9 на 8 час., полу чим сокращение производительности труда рабочих за 3 рассмотренных месяца по сравнению с таковыми прошлого года на 25%.</w:t>
      </w:r>
    </w:p>
    <w:p w14:paraId="72B0235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Причины этого комиссия усматривает, во-первых, в том, что в это время (в мае и в начале июня) велись между комитетом рабочих и администрацией завода переговоры о расценках, затем составлялись расценки, в выработке которых, кроме комитета, участвовали бригады рабочих; в расценках, которые изменялись в корне, конечно, были заинтересованы все рабочие, поэтому неизбежно проявлялась нервность и постоянное отрывание от работы для обсуждения и выработки цен. Во-вторых, безусловно, не перестают отражаться все еще продолжающиеся революционные события. В-третьих, имеет свою долю влияния продолжающееся ухудшение условий жизни и питания.</w:t>
      </w:r>
    </w:p>
    <w:p w14:paraId="6A4967A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p w14:paraId="1D1B170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В августе выпуск равен 84 товарным вагонам и 3 пассажирским IV класса, т. е. всего 99 товарным единицам.</w:t>
      </w:r>
    </w:p>
    <w:p w14:paraId="334EACA7" w14:textId="636580DC"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 Была задержка в материалах: железе для упряжи и рессорной стали; сопоставляя цифру 99 изготовленных вагонов за август месяц со средним выпуском за май, июнь и июль с. г., т. е. с цифрой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138, получим дальнейшее уменьшение производительности завода, выражающееся: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0.28, или 28% среднего выпуска за май, июнь и июль с. г.</w:t>
      </w:r>
    </w:p>
    <w:p w14:paraId="6C423EF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Суммируя же упадок производительности в 25% за упомянутые месяцы, определенный в 7-м пункте, с только что установленной цифрой упадка в 28% за август месяц, комиссия устанавливает общую цифру упадка производительности завода за август месяц по сравнению с выпусками за май, июль и июль прошлого года, равную 25+28=53%.</w:t>
      </w:r>
    </w:p>
    <w:p w14:paraId="44772BD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10 час. из состава комиссии, временно, по неотложным делам заводского комитета выбывает А. И. Башмаков. Его замещает Д. М. Комков — член заводского комитета рабочих.</w:t>
      </w:r>
    </w:p>
    <w:p w14:paraId="2ADA300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p w14:paraId="0F712A4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При дальнейшем обсуждении и ознакомлении Д. М. Комкова с работой комиссии Д. М. Комков заявляет, что письмо заводского комитета рабочих нужно понимать лишь как желание комитета установить причины прогрессивного упадка за время войны (только) производства завода без отношения к производительности труда рабочих.</w:t>
      </w:r>
    </w:p>
    <w:p w14:paraId="036EAB7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Так как в самом начале работы комиссия и в дальнейшем весь ее состав ни разу не остановились на узком толковании смысла письма заводского комитета рабочих, который указывается Д. М. Комковым, то ни у кого не явилось сомнения в правильности работы комиссии, которая занялась исследованием всех причин упадка и медленности производства завода, начиная с того времени, когда выпуски вагонов начали падать ниже минимальной цифры 150 товарных единиц в месяц, почему заявление Д. М. Комкова комиссия признает неосновательным.</w:t>
      </w:r>
    </w:p>
    <w:p w14:paraId="47B4183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Заседание окончено в 11% час. дня. Занятия совещания возобновились 30 сентября с. г. в 71/2 час. утра и продолжались до 101/2 час. дня.</w:t>
      </w:r>
    </w:p>
    <w:p w14:paraId="6311F41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10</w:t>
      </w:r>
    </w:p>
    <w:p w14:paraId="42CDBE5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Обсуждение причин падения цифры выпуска вагонов за август месяц.</w:t>
      </w:r>
    </w:p>
    <w:p w14:paraId="6A0CF5D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При обсуждении выяснилось, что из-за недостатка рессорной стали нельзя было выпустить с завода все имеющиеся уже в готовом виде в мастерских вагоны и что большое количество таковых (от 50 до 60 вагонов) перешло в счет выпуска за сентябрь.</w:t>
      </w:r>
    </w:p>
    <w:p w14:paraId="0E3FFCD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p w14:paraId="47D3A5B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Выпуск за сентябрь месяц равен 150 товарным вагонам и 15 вагоно-ледникам, т. е. 225 товарным единицам.</w:t>
      </w:r>
    </w:p>
    <w:p w14:paraId="1D8A112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Сопоставляя цифру выпуска за сентябрь с. г. 225 с цифрой 138 среднего выпуска за май, июнь, июль с. г., получим = 63% повышения</w:t>
      </w:r>
    </w:p>
    <w:p w14:paraId="54C03E8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производительности завода. Сравнивая же сентябрьский выпуск за май, июнь и июль пр. г., по отношению к которому выпуск за эти же месяцы с. г. имеет в 25% понижение, комиссия устанавливает, что выпуск за сентябрь с. г. превышает средний выпуск за май, июнь и июль пр. г. на 63—25=38%. Этот излишек выпуска за сентябрь, который выразится в 138x0.38=53 товарных единицах, несомненно явился за счет недовыпуска уже готовых, но задержавшихся из-за отсутствия рессор вагонов за август месяц, количество которых и указано комиссией в предыдущем пункте цифрой от 50 до 60 вагонов. Установив же общую цифру упадка производительности за август и сентябрь месяцы, равную 53—38 = 15%, и принимая во внимание, что недовыпуск вагонов в августе компенсируется излишком выпуска за сентябрь, комиссия устанавливает средний упадок производительности завода за эти 2 месяца равным 15 : 2 = 7.5%.</w:t>
      </w:r>
    </w:p>
    <w:p w14:paraId="6E2AF66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 же касается выпуска вагонов за октябрь месяц, то комиссия, имея надежду на планомерное получение материалов в ближайшее время, полагает, что падение производительности завода не будет выше установленной средней цифры понижения за август и сентябрь с. г., т. е. 7.5%.</w:t>
      </w:r>
    </w:p>
    <w:p w14:paraId="013C1DA6" w14:textId="77777777" w:rsidR="00A32C90"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58" w:anchor="_ftnref1" w:history="1">
        <w:r w:rsidR="00A32C90" w:rsidRPr="002F2FDF">
          <w:rPr>
            <w:rFonts w:ascii="Times New Roman" w:hAnsi="Times New Roman" w:cs="Times New Roman"/>
            <w:color w:val="000000" w:themeColor="text1"/>
            <w:kern w:val="2"/>
            <w:sz w:val="16"/>
            <w:szCs w:val="16"/>
          </w:rPr>
          <w:t>[1]</w:t>
        </w:r>
      </w:hyperlink>
      <w:r w:rsidR="00A32C90" w:rsidRPr="002F2FDF">
        <w:rPr>
          <w:rFonts w:ascii="Times New Roman" w:hAnsi="Times New Roman" w:cs="Times New Roman"/>
          <w:color w:val="000000" w:themeColor="text1"/>
          <w:kern w:val="2"/>
          <w:sz w:val="16"/>
          <w:szCs w:val="16"/>
        </w:rPr>
        <w:t xml:space="preserve"> Датируется по содержанию док.</w:t>
      </w:r>
    </w:p>
    <w:p w14:paraId="7A4A1463" w14:textId="77777777" w:rsidR="00A32C90"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59" w:anchor="_ftnref2" w:history="1">
        <w:r w:rsidR="00A32C90" w:rsidRPr="002F2FDF">
          <w:rPr>
            <w:rFonts w:ascii="Times New Roman" w:hAnsi="Times New Roman" w:cs="Times New Roman"/>
            <w:color w:val="000000" w:themeColor="text1"/>
            <w:kern w:val="2"/>
            <w:sz w:val="16"/>
            <w:szCs w:val="16"/>
          </w:rPr>
          <w:t>[2]</w:t>
        </w:r>
      </w:hyperlink>
      <w:r w:rsidR="00A32C90" w:rsidRPr="002F2FDF">
        <w:rPr>
          <w:rFonts w:ascii="Times New Roman" w:hAnsi="Times New Roman" w:cs="Times New Roman"/>
          <w:color w:val="000000" w:themeColor="text1"/>
          <w:kern w:val="2"/>
          <w:sz w:val="16"/>
          <w:szCs w:val="16"/>
        </w:rPr>
        <w:t xml:space="preserve"> В деле не имеется.</w:t>
      </w:r>
    </w:p>
    <w:p w14:paraId="06FD04D1" w14:textId="77777777" w:rsidR="00A32C90"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60" w:anchor="_ftnref3" w:history="1">
        <w:r w:rsidR="00A32C90" w:rsidRPr="002F2FDF">
          <w:rPr>
            <w:rFonts w:ascii="Times New Roman" w:hAnsi="Times New Roman" w:cs="Times New Roman"/>
            <w:color w:val="000000" w:themeColor="text1"/>
            <w:kern w:val="2"/>
            <w:sz w:val="16"/>
            <w:szCs w:val="16"/>
          </w:rPr>
          <w:t>[3]</w:t>
        </w:r>
      </w:hyperlink>
      <w:r w:rsidR="00A32C90" w:rsidRPr="002F2FDF">
        <w:rPr>
          <w:rFonts w:ascii="Times New Roman" w:hAnsi="Times New Roman" w:cs="Times New Roman"/>
          <w:color w:val="000000" w:themeColor="text1"/>
          <w:kern w:val="2"/>
          <w:sz w:val="16"/>
          <w:szCs w:val="16"/>
        </w:rPr>
        <w:t xml:space="preserve"> В том же деле, л. 8.</w:t>
      </w:r>
    </w:p>
    <w:p w14:paraId="33AE85B1" w14:textId="77777777" w:rsidR="00A32C90"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61" w:anchor="_ftnref4" w:history="1">
        <w:r w:rsidR="00A32C90" w:rsidRPr="002F2FDF">
          <w:rPr>
            <w:rFonts w:ascii="Times New Roman" w:hAnsi="Times New Roman" w:cs="Times New Roman"/>
            <w:color w:val="000000" w:themeColor="text1"/>
            <w:kern w:val="2"/>
            <w:sz w:val="16"/>
            <w:szCs w:val="16"/>
          </w:rPr>
          <w:t>[4]</w:t>
        </w:r>
      </w:hyperlink>
      <w:r w:rsidR="00A32C90" w:rsidRPr="002F2FDF">
        <w:rPr>
          <w:rFonts w:ascii="Times New Roman" w:hAnsi="Times New Roman" w:cs="Times New Roman"/>
          <w:color w:val="000000" w:themeColor="text1"/>
          <w:kern w:val="2"/>
          <w:sz w:val="16"/>
          <w:szCs w:val="16"/>
        </w:rPr>
        <w:t xml:space="preserve"> Это — минимальная цифра выпуска вагонов, ниже которой, по мнению управляющего заводом А. И. Тарасова, производство не может идти безубыточно. (Прим. док.).</w:t>
      </w:r>
    </w:p>
    <w:p w14:paraId="494BA0E1" w14:textId="77777777" w:rsidR="00A32C90"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62" w:anchor="_ftnref5" w:history="1">
        <w:r w:rsidR="00A32C90" w:rsidRPr="002F2FDF">
          <w:rPr>
            <w:rFonts w:ascii="Times New Roman" w:hAnsi="Times New Roman" w:cs="Times New Roman"/>
            <w:color w:val="000000" w:themeColor="text1"/>
            <w:kern w:val="2"/>
            <w:sz w:val="16"/>
            <w:szCs w:val="16"/>
          </w:rPr>
          <w:t>[5]</w:t>
        </w:r>
      </w:hyperlink>
      <w:r w:rsidR="00A32C90" w:rsidRPr="002F2FDF">
        <w:rPr>
          <w:rFonts w:ascii="Times New Roman" w:hAnsi="Times New Roman" w:cs="Times New Roman"/>
          <w:color w:val="000000" w:themeColor="text1"/>
          <w:kern w:val="2"/>
          <w:sz w:val="16"/>
          <w:szCs w:val="16"/>
        </w:rPr>
        <w:t xml:space="preserve"> В том же деле, л. 4.</w:t>
      </w:r>
    </w:p>
    <w:p w14:paraId="7567BFD0" w14:textId="77777777" w:rsidR="00A32C90"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63" w:anchor="_ftnref6" w:history="1">
        <w:r w:rsidR="00A32C90" w:rsidRPr="002F2FDF">
          <w:rPr>
            <w:rFonts w:ascii="Times New Roman" w:hAnsi="Times New Roman" w:cs="Times New Roman"/>
            <w:color w:val="000000" w:themeColor="text1"/>
            <w:kern w:val="2"/>
            <w:sz w:val="16"/>
            <w:szCs w:val="16"/>
          </w:rPr>
          <w:t>[6]</w:t>
        </w:r>
      </w:hyperlink>
      <w:r w:rsidR="00A32C90" w:rsidRPr="002F2FDF">
        <w:rPr>
          <w:rFonts w:ascii="Times New Roman" w:hAnsi="Times New Roman" w:cs="Times New Roman"/>
          <w:color w:val="000000" w:themeColor="text1"/>
          <w:kern w:val="2"/>
          <w:sz w:val="16"/>
          <w:szCs w:val="16"/>
        </w:rPr>
        <w:t xml:space="preserve"> формулы (15661).</w:t>
      </w:r>
    </w:p>
    <w:p w14:paraId="283673D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p w14:paraId="74BEA300" w14:textId="52913D0D" w:rsidR="00C2390E" w:rsidRDefault="00C2390E"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5E8E1D32" w14:textId="77777777" w:rsidR="00C2390E" w:rsidRDefault="00C2390E"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D02EA86" w14:textId="3BFADC93" w:rsidR="00C2390E" w:rsidRPr="00FB4F67" w:rsidRDefault="00C2390E"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30 сентября (</w:t>
      </w:r>
      <w:r w:rsidRPr="00FB4F67">
        <w:rPr>
          <w:rFonts w:ascii="Times New Roman" w:hAnsi="Times New Roman" w:cs="Times New Roman"/>
          <w:color w:val="0070C0"/>
          <w:sz w:val="16"/>
          <w:szCs w:val="16"/>
        </w:rPr>
        <w:t>13 октября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Балтийском море два немецких самолета с озера Ангерн приземлились на острове Руно и оказали помощь в его захвате. В ходе операции «Альбион» немцы захватили 20 000 пленных, 100 орудий и около десяти самолетов (23525).</w:t>
      </w:r>
    </w:p>
    <w:p w14:paraId="43EBC49C" w14:textId="77777777" w:rsidR="00C2390E" w:rsidRPr="00FB4F67" w:rsidRDefault="00C2390E" w:rsidP="0083075A">
      <w:pPr>
        <w:spacing w:after="0" w:line="240" w:lineRule="auto"/>
        <w:jc w:val="both"/>
        <w:rPr>
          <w:rFonts w:ascii="Times New Roman" w:hAnsi="Times New Roman" w:cs="Times New Roman"/>
          <w:color w:val="0070C0"/>
          <w:sz w:val="16"/>
          <w:szCs w:val="16"/>
        </w:rPr>
      </w:pPr>
    </w:p>
    <w:p w14:paraId="5F07789B" w14:textId="29E55E91" w:rsidR="00C2390E" w:rsidRPr="00FB4F67" w:rsidRDefault="00C2390E"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30 сентября (</w:t>
      </w:r>
      <w:r w:rsidRPr="00FB4F67">
        <w:rPr>
          <w:rFonts w:ascii="Times New Roman" w:hAnsi="Times New Roman" w:cs="Times New Roman"/>
          <w:color w:val="0070C0"/>
          <w:sz w:val="16"/>
          <w:szCs w:val="16"/>
        </w:rPr>
        <w:t>13 октября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проводившие возле о. Руно разведку эскадренные эсминцы «Автроил» и «Лейтенант Ильин» подверглись атаки с воздуха вражеским авиазвеном. Огнем корабельной артиллерии немецкие самолеты были отогнаны. В тот же день, с оставлением нашими войсками Аренсбурга, ликвидации подверглась находившаяся там воздушная станция. Ее самолетный парк (6 аппаратов) по воздуху был переброшен в Куйваст (23405).</w:t>
      </w:r>
    </w:p>
    <w:p w14:paraId="3CAAC134" w14:textId="77777777" w:rsidR="00C2390E" w:rsidRPr="00FB4F67" w:rsidRDefault="00C2390E" w:rsidP="0083075A">
      <w:pPr>
        <w:spacing w:after="0" w:line="240" w:lineRule="auto"/>
        <w:jc w:val="both"/>
        <w:rPr>
          <w:rFonts w:ascii="Times New Roman" w:hAnsi="Times New Roman" w:cs="Times New Roman"/>
          <w:color w:val="0070C0"/>
          <w:sz w:val="16"/>
          <w:szCs w:val="16"/>
        </w:rPr>
      </w:pPr>
    </w:p>
    <w:p w14:paraId="4C07D54D" w14:textId="50802166"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38EDA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4EAC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сентября (13 октября) 1917 в португальской деревне Фатима в 80 милях от Лиссабона 70 тыс. чел. видели сверкающий диск, который спикировал к самой земле испуская тепло, маневрировал 10 мин. и затем улетел (3710).</w:t>
      </w:r>
    </w:p>
    <w:p w14:paraId="3741B3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863D0B" w14:textId="77777777" w:rsidR="005C783F" w:rsidRPr="002F2FDF" w:rsidRDefault="005C783F" w:rsidP="0083075A">
      <w:pPr>
        <w:pStyle w:val="ae"/>
        <w:spacing w:before="0" w:after="0"/>
        <w:jc w:val="both"/>
        <w:rPr>
          <w:color w:val="000000" w:themeColor="text1"/>
          <w:kern w:val="2"/>
          <w:sz w:val="16"/>
          <w:szCs w:val="16"/>
        </w:rPr>
      </w:pPr>
      <w:r w:rsidRPr="002F2FDF">
        <w:rPr>
          <w:color w:val="000000" w:themeColor="text1"/>
          <w:kern w:val="2"/>
          <w:sz w:val="16"/>
          <w:szCs w:val="16"/>
        </w:rPr>
        <w:t>30 сентября (13 октября) 1917 в небольшом городе Фатима в центральной части Португалии произошло явление, которое католической церковью официально признано чудом, — явление Девы Марии, поведавшей о скором конце войны. Серия непонятных событий в этом городе и его окрестностях продолжалась к тому моменту уже более двух лет. Детям из Фатимы якобы часто являлись фигуры, напоминающие Деву Марию и ангелов, которые призывали их к молитве, чтобы на землю вернулся мир. Во время одного из таких «пришествий» женская фигура пообещала детям являться 13-го числа каждого месяца в определенном месте на окраине города. Дети рассказали об увиденном взрослым, и вскоре на места явлений стали собираться сотни, а потом и тысячи людей.</w:t>
      </w:r>
    </w:p>
    <w:p w14:paraId="2EE0C1F0" w14:textId="6F33FFE4" w:rsidR="005C783F" w:rsidRPr="002F2FDF" w:rsidRDefault="005C783F" w:rsidP="0083075A">
      <w:pPr>
        <w:pStyle w:val="ae"/>
        <w:spacing w:before="0" w:after="0"/>
        <w:jc w:val="both"/>
        <w:rPr>
          <w:color w:val="000000" w:themeColor="text1"/>
          <w:kern w:val="2"/>
          <w:sz w:val="16"/>
          <w:szCs w:val="16"/>
        </w:rPr>
      </w:pPr>
      <w:r w:rsidRPr="002F2FDF">
        <w:rPr>
          <w:color w:val="000000" w:themeColor="text1"/>
          <w:kern w:val="2"/>
          <w:sz w:val="16"/>
          <w:szCs w:val="16"/>
        </w:rPr>
        <w:t>13 октября в ожидании очередного ожидаемого явления Девы Марии собралось до 70 тысяч человек, представлявших все слои местного общества. С утра шел проливной дождь, но потом, по свидетельству участников, тучи вдруг расступились и выглянуло необычайно яркое солнце, которое к тому же</w:t>
      </w:r>
      <w:r w:rsidR="00E52569">
        <w:rPr>
          <w:color w:val="000000" w:themeColor="text1"/>
          <w:kern w:val="2"/>
          <w:sz w:val="16"/>
          <w:szCs w:val="16"/>
        </w:rPr>
        <w:t xml:space="preserve"> </w:t>
      </w:r>
      <w:r w:rsidRPr="002F2FDF">
        <w:rPr>
          <w:color w:val="000000" w:themeColor="text1"/>
          <w:kern w:val="2"/>
          <w:sz w:val="16"/>
          <w:szCs w:val="16"/>
        </w:rPr>
        <w:t>якобы двигалось по необычной траектории. Почти все заметили непонятные изменения светила, а многие говорили, что видели Деву Марию и слышали ее слова: «Война скоро кончится, и солдаты вернутся домой». Некоторые утверждали также, что слышали слова о том, что</w:t>
      </w:r>
      <w:r w:rsidR="00E52569">
        <w:rPr>
          <w:color w:val="000000" w:themeColor="text1"/>
          <w:kern w:val="2"/>
          <w:sz w:val="16"/>
          <w:szCs w:val="16"/>
        </w:rPr>
        <w:t xml:space="preserve"> </w:t>
      </w:r>
      <w:r w:rsidRPr="002F2FDF">
        <w:rPr>
          <w:color w:val="000000" w:themeColor="text1"/>
          <w:kern w:val="2"/>
          <w:sz w:val="16"/>
          <w:szCs w:val="16"/>
        </w:rPr>
        <w:t>если люди не перестанут обижать Господа, пройдет немного времени и начнется другая война, еще ужасней. Другим Дева Мария якобы сказала, что она придет просить «посвящения России моему Непорочному Сердцу». Богородица в канун большевистского переворота будто бы сообщила, что если ее просьба будет услышана, то Россия обратится к Богу, а если нет, то она распространит свои прегрешения по всему миру, вызывая войны и избиение церкви. Представители католической церкви практически сразу начали расследование событий в Фатиме, и через 13 лет оно было официально признано чудом (17045).</w:t>
      </w:r>
    </w:p>
    <w:p w14:paraId="7F7CE03C" w14:textId="77777777" w:rsidR="005C783F" w:rsidRPr="002F2FDF" w:rsidRDefault="005C783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B36C0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2437F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8474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сентября 1917 на Опытном аэродроме Морского ведомства при Петроградской школе морской авиации испытывали М-9, оснащенный 160 нр Сальмсоном Р.9 вместо обычного 150 нр П.9. Получилось лучше, но было уже поздно (2809,9).</w:t>
      </w:r>
    </w:p>
    <w:p w14:paraId="7E6C5B2A" w14:textId="77777777" w:rsidR="003431D2" w:rsidRPr="002F2FDF" w:rsidRDefault="003431D2" w:rsidP="0083075A">
      <w:pPr>
        <w:spacing w:after="0" w:line="240" w:lineRule="auto"/>
        <w:jc w:val="both"/>
        <w:rPr>
          <w:rFonts w:ascii="Times New Roman" w:hAnsi="Times New Roman" w:cs="Times New Roman"/>
          <w:color w:val="0070C0"/>
          <w:sz w:val="16"/>
          <w:szCs w:val="16"/>
        </w:rPr>
      </w:pPr>
    </w:p>
    <w:p w14:paraId="299BE906" w14:textId="77777777" w:rsidR="002B1C74" w:rsidRPr="002F2FDF" w:rsidRDefault="002B1C74" w:rsidP="0083075A">
      <w:pPr>
        <w:spacing w:after="0" w:line="240" w:lineRule="auto"/>
        <w:jc w:val="both"/>
        <w:rPr>
          <w:rFonts w:ascii="Times New Roman" w:hAnsi="Times New Roman" w:cs="Times New Roman"/>
          <w:color w:val="0070C0"/>
          <w:sz w:val="16"/>
          <w:szCs w:val="16"/>
        </w:rPr>
      </w:pPr>
      <w:r w:rsidRPr="002F2FDF">
        <w:rPr>
          <w:rFonts w:ascii="Times New Roman" w:hAnsi="Times New Roman" w:cs="Times New Roman"/>
          <w:color w:val="0070C0"/>
          <w:sz w:val="16"/>
          <w:szCs w:val="16"/>
        </w:rPr>
        <w:t>В конце сентября 1917 Дукс выполнили июльский заказ на «Ньюпоры-XVlI» по с Авиационным отделом Главного управления кораблестроения (15464).</w:t>
      </w:r>
    </w:p>
    <w:p w14:paraId="5D4757D4" w14:textId="77777777" w:rsidR="002B1C74" w:rsidRPr="002F2FDF" w:rsidRDefault="002B1C74" w:rsidP="0083075A">
      <w:pPr>
        <w:spacing w:after="0" w:line="240" w:lineRule="auto"/>
        <w:jc w:val="both"/>
        <w:rPr>
          <w:rFonts w:ascii="Times New Roman" w:hAnsi="Times New Roman" w:cs="Times New Roman"/>
          <w:color w:val="0070C0"/>
          <w:sz w:val="16"/>
          <w:szCs w:val="16"/>
        </w:rPr>
      </w:pPr>
    </w:p>
    <w:p w14:paraId="1DF2690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7B2D9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4FD0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сентября 1917 г, Временное правительство вернулось к вопросу о приобретении Царицынского завода, столкнувшись с угрозой немецкого наступления на Петроград и возникшей в этой связи необходимостью эвакуации производств Петроградского промышленного района вглубь России. Довести до логического конца процесс выкупа предприятия в казну помешали революционные события октября 1917 г, и последовавшая за этим очередная смена политического режима. В начальный период своего существования Советом народных комиссаров при определенных условиях признавалась возможность выкупа предприятий у бывших владельцев, тем более, что громадная часть владельцев русских заводов в любых промышленных областях являлась поданными чужих государств. Вопрос о выделении средств стал дебатироваться на различных уровнях, включавших в себя Главное морское хозяйственное управление, Управление делами заводов Морского комиссариата, Комитет хозяйственной политики ВСНХ, Высший совет народного хозяйства, Совет народных комиссаров и т.д. (11448)</w:t>
      </w:r>
    </w:p>
    <w:p w14:paraId="47F261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8528D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77BE7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6B9E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сентября 1917 г. германские войска развернули стратегическую операцию по захвату Моонзундского архипелага и уничтожению морских сил, находившихся в Рижском заливе. В ней приняли участие девять дирижаблей и 94 самолёта. Одновременно с высадкой немецких войск на о. Эзель, эскадренные миноносцы противника начали обстрел Папенгольмской (бывшей Килькондской) воздушной станции, которой командовал штабс-капитан Вавилов и 29 сентября вывели её из строя. Все русские самолеты перелетели на Арен- сбургский пост (южное побережье острова), а впоследствии на материк.</w:t>
      </w:r>
    </w:p>
    <w:p w14:paraId="16B1CE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вторжения в Рижский золив немецких кораблей и боя 4 октября с линейным кораблём "Слава", броненосцем "Гражданин" (бывший "Цесаревич") и крейсером "Баян", командование Балтийским флотом приняло решение об эвакуации с Моонзундских островов.</w:t>
      </w:r>
    </w:p>
    <w:p w14:paraId="3E450A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Довести состав воздушной дивизии Балтийского моря до штатного состава не удалось. После оставления в сентябре-октябре 1917 г. Риги, островов Рижского залива и Моонзундского архипелага, дивизия понесла большие потери. Пришлось вместо потерянных станций обустраивать посты в Наргене, Балтийском порту, Нарве и Котке и сформировать два отряда истребителей на сухопутных самолётах: один - под командованием старшего лейтенанта М.И.Сафонова, второй - под командованием старшего лейтенанта А.Н. Проко- фьева-Северского. Ещё летом, для их базирования оборудовали аэродромы на Цереле, в Аренсбурге, Куйвасте (о. Моон). Гапсале и Вер- дере. Впрочем, осенью они все оказались у немцев (11928).</w:t>
      </w:r>
    </w:p>
    <w:p w14:paraId="79AA6A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BDA6E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BB8C0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CF7D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Во второй половине сентября 1917 поле</w:t>
      </w:r>
      <w:r w:rsidRPr="002F2FDF">
        <w:rPr>
          <w:rFonts w:ascii="Times New Roman" w:hAnsi="Times New Roman" w:cs="Times New Roman"/>
          <w:color w:val="000000" w:themeColor="text1"/>
          <w:kern w:val="2"/>
          <w:sz w:val="16"/>
          <w:szCs w:val="16"/>
        </w:rPr>
        <w:softHyphen/>
        <w:t>тов в 1БАГ стало меньше из-за плохой пого</w:t>
      </w:r>
      <w:r w:rsidRPr="002F2FDF">
        <w:rPr>
          <w:rFonts w:ascii="Times New Roman" w:hAnsi="Times New Roman" w:cs="Times New Roman"/>
          <w:color w:val="000000" w:themeColor="text1"/>
          <w:kern w:val="2"/>
          <w:sz w:val="16"/>
          <w:szCs w:val="16"/>
        </w:rPr>
        <w:softHyphen/>
        <w:t>ды, а в донесениях летчиков чаще ста</w:t>
      </w:r>
      <w:r w:rsidRPr="002F2FDF">
        <w:rPr>
          <w:rFonts w:ascii="Times New Roman" w:hAnsi="Times New Roman" w:cs="Times New Roman"/>
          <w:color w:val="000000" w:themeColor="text1"/>
          <w:kern w:val="2"/>
          <w:sz w:val="16"/>
          <w:szCs w:val="16"/>
        </w:rPr>
        <w:softHyphen/>
        <w:t>ла встречаться фраза: “Летал для пат</w:t>
      </w:r>
      <w:r w:rsidRPr="002F2FDF">
        <w:rPr>
          <w:rFonts w:ascii="Times New Roman" w:hAnsi="Times New Roman" w:cs="Times New Roman"/>
          <w:color w:val="000000" w:themeColor="text1"/>
          <w:kern w:val="2"/>
          <w:sz w:val="16"/>
          <w:szCs w:val="16"/>
        </w:rPr>
        <w:softHyphen/>
        <w:t>рульной службы на фронте армии, са</w:t>
      </w:r>
      <w:r w:rsidRPr="002F2FDF">
        <w:rPr>
          <w:rFonts w:ascii="Times New Roman" w:hAnsi="Times New Roman" w:cs="Times New Roman"/>
          <w:color w:val="000000" w:themeColor="text1"/>
          <w:kern w:val="2"/>
          <w:sz w:val="16"/>
          <w:szCs w:val="16"/>
        </w:rPr>
        <w:softHyphen/>
        <w:t>молетов противника не встретил” (3954).</w:t>
      </w:r>
    </w:p>
    <w:p w14:paraId="480B93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1A9B6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AC8F8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730BFF" w14:textId="77777777" w:rsidR="00B45BC6" w:rsidRPr="002F2FDF" w:rsidRDefault="00B45BC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сентябре 1917 г. Центральный авиационный комитет отметил, что «идея морского истребителя не осуществлена до осени 1917 г.», и нужен французский SPAD S.VII с мотором в 200 сил и колесным шасси, что подвело черту под развитие этого класса самолетов в России.</w:t>
      </w:r>
    </w:p>
    <w:p w14:paraId="7BA02520" w14:textId="77777777" w:rsidR="00B45BC6" w:rsidRPr="002F2FDF" w:rsidRDefault="00B45BC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Истребители SPAD русским морякам так и не дали, но Ньюпор 17 и другие машины этого семейства они все же получили, и у российской морской авиации даже появились свои асы, хотя сведения о них не вполне достоверны. Недостаточная дальность и продолжительность полета М-11 не позволяли не только долететь до турецкого или хотя бы болгарского берега, не говоря уже о немецком, но даже преследовать противника дальше, чем на 45 км в море. По сравнению с М-5 и М-9 заметно ухудшилась мореходность, летчики жаловались на перебои в подаче топлива в мотор и невозможность запуска его в воздухе, как они это делали на двухместных М-5 и М-9. Завод рекламацию не отклонил, но от этого проблема никуда не делась (22832).</w:t>
      </w:r>
    </w:p>
    <w:p w14:paraId="49BD479E" w14:textId="77777777" w:rsidR="00B45BC6" w:rsidRPr="002F2FDF" w:rsidRDefault="00B45BC6" w:rsidP="0083075A">
      <w:pPr>
        <w:spacing w:after="0" w:line="240" w:lineRule="auto"/>
        <w:jc w:val="both"/>
        <w:rPr>
          <w:rFonts w:ascii="Times New Roman" w:hAnsi="Times New Roman" w:cs="Times New Roman"/>
          <w:color w:val="000000" w:themeColor="text1"/>
          <w:sz w:val="16"/>
          <w:szCs w:val="16"/>
        </w:rPr>
      </w:pPr>
    </w:p>
    <w:p w14:paraId="4AF0C7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директор РБВЗ писал в Управление ВФ о необходимости выпуска нового типа корабля под моторы Рено в 300 нр. Просил денег на постройку опытной машины. Было поздно. За 1917 сделали только 4 машины (2669,43).</w:t>
      </w:r>
    </w:p>
    <w:p w14:paraId="1228CE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7A73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сентябре 1917 г. директор РБВЗ писал в Управление Воздушного Флота о необходимости выпуска нового типа корабля. Он ссылался на то, что Эскадра наметила себе желаемый корабль с такими боевыми характеристиками как: скорость 150 км/час, потолок около 4,5 км, скорость подъема на 3 км за 30 минут и не менее 30 пудов нагрузки сверх 4 часового запаса горючего. Выполнение этих требований, как писал глава завода будет достигнуто лишь при моторах "Рено" в 300 сил. В связи с этим была просьба предоставить эти двигатели, возмещение расходов на постройку и испытание опытного корабля. Но было уже поздно. За 1917 год Эскадра получила только 4 корабля, да и то в конце года, их не успели даже собрать. Это были "Муромцы" нового типа Г-3 (№236-238 и 243) (11277). </w:t>
      </w:r>
    </w:p>
    <w:p w14:paraId="6E9FB0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45CD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г. в Управление Воздушного Флота о необходимости выпуска нового типа корабля. Он ссылался на то, что Эскадра наметила себе желаемый корабль с такими боевыми характеристиками как: скорость 150 км/час, потолок около 4,5 км, скорость подъема на 3 км за 30 минут и не менее 30 пудов нагрузки сверх 4 часового запаса горючего. Выполнение этих требований, как писал глава завода будет достигнуто лишь при моторах "Рено" в 300 сил. В связи с этим была просьба предоставить эти двигатели, возмещение расходов на постройку и испытание опытного корабля. Но было уже поздно. За 1917 год Эскадра получила только 4 корабля, да и то в конце года, их не успели даже собрать. Это были "Муромцы" нового типа Г-3 (№236-238 и 243) (12038).</w:t>
      </w:r>
    </w:p>
    <w:p w14:paraId="33E38F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17FA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года Директор РБВЗ сообщал в Управление Воздушного Флота о необходимости выпуска нового типа корабля. Он ссылался на то, что Эскадра наметила себе желаемый аппарат с такими боевыми характеристиками как: скорость 150 км/час, потолок до 4,5 км, скорость подъёма на 3 км за 30 минут и не менее 30 пудов нагрузки сверх 4 часового запаса горючего. Выполнение этих требований, как писал глава завода, будет достигнуто лишь при моторах "Рено" в 300 сил. В связи с этим была просьба предоставить эти двигатели и возместить расходы на постройку и испытание опытного корабля. Но было уже поздно. За 1917 год Эскадра получила только четыре корабля, да и то в конце года, их не успели даже собрать в связи с революционными событиями. Это были "Муромцы" нового типа Г-3 (№№ 236-238 и 243) (12041).</w:t>
      </w:r>
    </w:p>
    <w:p w14:paraId="7EE5C1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2B0F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ш-к Н.А.Макаров возбудил ходатайство о перелете на одноместном самолете Анадис с двигателем Испано в 140-150 нр и монококовым фюзеляжем, который с 23 октября по 11 ноября 1916 проходили испытания и до осени 1917 оставался на заводе А.А.Анатра, по маршруту Одесса-Салоники-Рим-Марсель-Париж-Россия. Полет разрешили (92,175).</w:t>
      </w:r>
    </w:p>
    <w:p w14:paraId="41F3C3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AFC9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Центральный авиационный комитет отметил имея в виду М-11, что "идея морского истребителя не осуществлена до осени 1917 г...нужен Спад с Испано 200 нр" (92,225).</w:t>
      </w:r>
    </w:p>
    <w:p w14:paraId="55CEC6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9FBC3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завод Дукс получил получил беспроцентную ссуду в 2.758 млн. руб. для постройки самолетов Фарман и Ньюпор. Цену Спада в связи с высокой инфляцией повысили с 13.7 тыс. руб. до 25.09 тыс. руб. (9651,44).</w:t>
      </w:r>
    </w:p>
    <w:p w14:paraId="2304315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E4D833" w14:textId="77777777" w:rsidR="00A32C90" w:rsidRPr="002F2FDF" w:rsidRDefault="00A32C90"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В сентябре 1917 Дукс получил беспроцентную ссуду в 2,758 млн. руб. В том же месяце из-за галопирующей инфляции комиссия Московского заводского совещания согласилась с ходатайством правления завода о повышении закупочных цен на «Ньюпоры» с 12 тыс. до 17,4 тыс. руб., на «Спады» — с 13,7 тыс. руб. до 25,09 тыс. руб. (15464).</w:t>
      </w:r>
    </w:p>
    <w:p w14:paraId="50470C52" w14:textId="77777777" w:rsidR="00A32C90" w:rsidRPr="002F2FDF" w:rsidRDefault="00A32C90" w:rsidP="0083075A">
      <w:pPr>
        <w:pStyle w:val="2"/>
        <w:spacing w:before="0" w:beforeAutospacing="0" w:after="0" w:afterAutospacing="0"/>
        <w:jc w:val="both"/>
        <w:rPr>
          <w:b w:val="0"/>
          <w:color w:val="000000" w:themeColor="text1"/>
          <w:kern w:val="2"/>
          <w:sz w:val="16"/>
          <w:szCs w:val="16"/>
        </w:rPr>
      </w:pPr>
    </w:p>
    <w:p w14:paraId="50B07FED" w14:textId="77777777" w:rsidR="0069777D" w:rsidRPr="002F2FDF" w:rsidRDefault="0069777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сентябре 1917-го московский завод «Дукс» прекратил отгрузку самолетов на фронт, к концу года стояло (частично – без двигателей) более 370 машин! Комитет рабочих и служащих предприятия жаловался в Увофлот: «Все мастерские и склады завода забиты аппаратами до такой степени, что невозможно вести дальнейшую сборку». Огромные авиационные запасы хранились на территории крупнейшего в России 1-го Центрального авиапарка-склада, располагавшегося в районе Ходынки. Осенью 1917-го там находилось 70 истребителей «Ньюпор-23», 23 «Ньюпора-17», 4 «Спада», 12 разведчиков «Фарман-40», 15 «Кодронов» и 72 английских самолета различных марок (преимущественно «Сопвичей»). Итого 196 аппаратов. Длинные складские корпуса были так переполнены, что многое приходилось держать под открытым небом. Очевидцы вспоминали о кое-как накрытых брезентом «поленницах» из самолетных винтов, о многоярусных нагромождениях различных ящиков, бочек с горючим и смазочными маслами.</w:t>
      </w:r>
    </w:p>
    <w:p w14:paraId="1E2894A5" w14:textId="77777777" w:rsidR="0069777D" w:rsidRPr="002F2FDF" w:rsidRDefault="0069777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Приехавший из Петрограда для инспекции авиапарка А.В. Горшков был поражен, с одной стороны, количеством хранящегося там добра, а с другой – полным отсутствием охраны и элементарного порядка. Горшков писал в своих мемуарах, что к моменту его прибытия всю территорию парка охраняла... одна винтовка, прислоненная к забору. Куда подевался часовой, выяснить так и не удалось. Зато скоро выяснилось, что со склада уже «исчезло» несколько десятков пулеметов, более 80 ящиков с патронами и сотни комплектов летного обмундирования, не считая всякой «мелочи» вроде шлемов, ботинок, планшетов, компасов или биноклей. Чтобы предотвратить дальнейшее разграбление, Горшков добился выделения для круглосуточной охраны авиапарка роты латышских стрелков в количестве 150 человек (18562).</w:t>
      </w:r>
    </w:p>
    <w:p w14:paraId="15DB46D9" w14:textId="77777777" w:rsidR="0069777D" w:rsidRPr="002F2FDF" w:rsidRDefault="0069777D" w:rsidP="0083075A">
      <w:pPr>
        <w:spacing w:after="0" w:line="240" w:lineRule="auto"/>
        <w:jc w:val="both"/>
        <w:rPr>
          <w:rFonts w:ascii="Times New Roman" w:hAnsi="Times New Roman" w:cs="Times New Roman"/>
          <w:color w:val="000000" w:themeColor="text1"/>
          <w:sz w:val="16"/>
          <w:szCs w:val="16"/>
        </w:rPr>
      </w:pPr>
    </w:p>
    <w:p w14:paraId="1839C28F" w14:textId="77777777" w:rsidR="00A32C90" w:rsidRPr="002F2FDF" w:rsidRDefault="00A32C90"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С сентября 1917 г. Дукс фактически прекратил отгрузку на фронт готовой продукции. По разным сводкам выполнения заказов, датированным концом 1917 г. — началом 1918 г., «Дукс» сдал в казну: «Фарманы» разных типов — 183 (заказано по контрактам 375), из них «Фарман-ХХХ» с «Сальмсоном» — 85 (200); «Ньюпор-Х» — 33 (500), «Ньюпоры» (типы XI—XXIV) — 251 (340), «Спад 7» — 12 (200).14 Так же плохо работали и другие заводы. «Моска» из 125 заказанных истребителей МБбис к 30 октября сдал только 25, а мастерские Безобразова из 15 заказанных «Фарманов» вообще не сдали ни одного (15464).</w:t>
      </w:r>
    </w:p>
    <w:p w14:paraId="7AE9A59D" w14:textId="77777777" w:rsidR="00A32C90" w:rsidRPr="002F2FDF" w:rsidRDefault="00A32C90" w:rsidP="0083075A">
      <w:pPr>
        <w:pStyle w:val="2"/>
        <w:spacing w:before="0" w:beforeAutospacing="0" w:after="0" w:afterAutospacing="0"/>
        <w:jc w:val="both"/>
        <w:rPr>
          <w:b w:val="0"/>
          <w:color w:val="000000" w:themeColor="text1"/>
          <w:kern w:val="2"/>
          <w:sz w:val="16"/>
          <w:szCs w:val="16"/>
        </w:rPr>
      </w:pPr>
    </w:p>
    <w:p w14:paraId="708364A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месяце 1917 из-за галопирующей инфляции комис</w:t>
      </w:r>
      <w:r w:rsidRPr="002F2FDF">
        <w:rPr>
          <w:rFonts w:ascii="Times New Roman" w:hAnsi="Times New Roman" w:cs="Times New Roman"/>
          <w:color w:val="000000" w:themeColor="text1"/>
          <w:kern w:val="2"/>
          <w:sz w:val="16"/>
          <w:szCs w:val="16"/>
        </w:rPr>
        <w:softHyphen/>
        <w:t>сия Московского заводского совещания согласилась с хо</w:t>
      </w:r>
      <w:r w:rsidRPr="002F2FDF">
        <w:rPr>
          <w:rFonts w:ascii="Times New Roman" w:hAnsi="Times New Roman" w:cs="Times New Roman"/>
          <w:color w:val="000000" w:themeColor="text1"/>
          <w:kern w:val="2"/>
          <w:sz w:val="16"/>
          <w:szCs w:val="16"/>
        </w:rPr>
        <w:softHyphen/>
        <w:t>датайством правления завода о повышении закупочных цен на “Спады” — с 13,7 тыс. руб. до 25,09 тыс. руб. (9651).</w:t>
      </w:r>
    </w:p>
    <w:p w14:paraId="7BBA4FB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91C8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1917-го военный летчик штабс-капитан Н.А.Макаров предложил осуществить на самолете Анадис дальний перелет по маршруту Одесса-Салоники-Рим-Марсель-Париж с последующим возвращением в Россию. Перелет разрешили, уже 14 октября машину испытали в воздухе с полной нагрузкой 500 кг. Интересно, что в дополнение к опознавательным русским кокардам "Анадис" весьма живописно раскрасили: на фюзеляже нарисовали двуглавого орла и флаги стран Антанты, а на крыльях - полуобнаженных девушек. Спустя два месяца летчик, Макаров отправился в перелет, однако из-за отказа двигателя потерпел аварию в районе г.Яссы, в Румынии. Дальнейшая история самолета неизвестна (9806).</w:t>
      </w:r>
    </w:p>
    <w:p w14:paraId="34B72B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105A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г. самолетостроительные заводы имели в производстве 600 самолетов. Авиазаводы для них могли дать только 90 двигателей, что вместе с импортными двигателями могло обеспечить лишь 320 самолетов. Таким образом, почти 50 % построенных в России самолетов оставалось без двигателей (9705).</w:t>
      </w:r>
    </w:p>
    <w:p w14:paraId="786743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9E1B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г. УВВФ решило организовать южный склад в Верхнеднепровске, но привести в исполнение этот замысел не удалось (9705).</w:t>
      </w:r>
    </w:p>
    <w:p w14:paraId="488C0B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8F38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сентябре 1917 г. согласно списка самолетов, имеющихся в центральном авиационном складе в Москве, видно, что на складе находилось 70 “Ньюпоров-23” с двигателями “Рон” мощностью 110 л. с., 23 “Ньюпора-17”, четыре “Спада” с двигателями “Испано-Сюиза” мощностью 140 л. с., 12 “Фар-манов-40”, 15 “Кодронов” и другие самолеты. Здесь же хранились 72 английские машины, в числе которых были “Сопвичи” и “Вик-керсы”. Все эти самолеты считались в то время лучшими, </w:t>
      </w:r>
      <w:r w:rsidRPr="002F2FDF">
        <w:rPr>
          <w:rFonts w:ascii="Times New Roman" w:hAnsi="Times New Roman" w:cs="Times New Roman"/>
          <w:color w:val="000000" w:themeColor="text1"/>
          <w:kern w:val="2"/>
          <w:sz w:val="16"/>
          <w:szCs w:val="16"/>
        </w:rPr>
        <w:lastRenderedPageBreak/>
        <w:t>действующая армия в них крайне нуждалась. На складе находилось 157 заграничных авиадвигателей, в том числе “Испано-Сюиза”, “Рено”, “Сальмсон” мощностью 175 л. с., “Санбим”, “Фиат” и другие. Кроме того, в пути следования из Архангельска в Москву застряли 143 ящика с французскими и английскими самолетами и 182 ящика с французскими, английскими и итальянскими авиадвигателями. В условиях бурного прогресса авиационной техники такая медлительность в доставке авиагрузов приводила к тому, что закупленные за границей даже современные самолеты и двигатели успевали устареть раньше, чем они попадали в авиаотряды (9705).</w:t>
      </w:r>
    </w:p>
    <w:p w14:paraId="746CBD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A1178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все еще не выпустив ни одного самолета, правление “Матиаса” попыталось получить новые авансы и обратилось в УВВФ с просьбой выдать очеред</w:t>
      </w:r>
      <w:r w:rsidRPr="002F2FDF">
        <w:rPr>
          <w:rFonts w:ascii="Times New Roman" w:hAnsi="Times New Roman" w:cs="Times New Roman"/>
          <w:color w:val="000000" w:themeColor="text1"/>
          <w:kern w:val="2"/>
          <w:sz w:val="16"/>
          <w:szCs w:val="16"/>
        </w:rPr>
        <w:softHyphen/>
        <w:t>ной заказ на поставку в первом полугодии 1918 г. 160 “Спадов”. Ес</w:t>
      </w:r>
      <w:r w:rsidRPr="002F2FDF">
        <w:rPr>
          <w:rFonts w:ascii="Times New Roman" w:hAnsi="Times New Roman" w:cs="Times New Roman"/>
          <w:color w:val="000000" w:themeColor="text1"/>
          <w:kern w:val="2"/>
          <w:sz w:val="16"/>
          <w:szCs w:val="16"/>
        </w:rPr>
        <w:softHyphen/>
        <w:t>тественно, эта просьба не была удовлетворена (11154).</w:t>
      </w:r>
    </w:p>
    <w:p w14:paraId="610F421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668BB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г. несмотря на все трудности, части и детали «истребителя» Ботезата были готовы, и УВВФ предоставило «ДЕКА» ангар на Комендантском аэродроме для окончательной сборки самолета. 16 октября у ангара был вы</w:t>
      </w:r>
      <w:r w:rsidRPr="002F2FDF">
        <w:rPr>
          <w:rFonts w:ascii="Times New Roman" w:hAnsi="Times New Roman" w:cs="Times New Roman"/>
          <w:color w:val="000000" w:themeColor="text1"/>
          <w:kern w:val="2"/>
          <w:sz w:val="16"/>
          <w:szCs w:val="16"/>
        </w:rPr>
        <w:softHyphen/>
        <w:t>ставлен караул, а через неделю в Петрограде произошел большевистский переворот, и события стали развиваться так, что ни на какое продолжение ра</w:t>
      </w:r>
      <w:r w:rsidRPr="002F2FDF">
        <w:rPr>
          <w:rFonts w:ascii="Times New Roman" w:hAnsi="Times New Roman" w:cs="Times New Roman"/>
          <w:color w:val="000000" w:themeColor="text1"/>
          <w:kern w:val="2"/>
          <w:sz w:val="16"/>
          <w:szCs w:val="16"/>
        </w:rPr>
        <w:softHyphen/>
        <w:t>бот, казалось бы, рассчитывать уже не приходилось. Однако механики «ДЕКА» под руководством Ботезата, которому сначала удавалось поддерживать хоро</w:t>
      </w:r>
      <w:r w:rsidRPr="002F2FDF">
        <w:rPr>
          <w:rFonts w:ascii="Times New Roman" w:hAnsi="Times New Roman" w:cs="Times New Roman"/>
          <w:color w:val="000000" w:themeColor="text1"/>
          <w:kern w:val="2"/>
          <w:sz w:val="16"/>
          <w:szCs w:val="16"/>
        </w:rPr>
        <w:softHyphen/>
        <w:t>шие отношения с новой властью, на одном энтузиазме, без зарплаты, в холод</w:t>
      </w:r>
      <w:r w:rsidRPr="002F2FDF">
        <w:rPr>
          <w:rFonts w:ascii="Times New Roman" w:hAnsi="Times New Roman" w:cs="Times New Roman"/>
          <w:color w:val="000000" w:themeColor="text1"/>
          <w:kern w:val="2"/>
          <w:sz w:val="16"/>
          <w:szCs w:val="16"/>
        </w:rPr>
        <w:softHyphen/>
        <w:t>ном ангаре на Комендантском аэродроме в середине декабря 1917 г. все-таки собрали самолет.</w:t>
      </w:r>
    </w:p>
    <w:p w14:paraId="760A1FB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Машина представляла собой большой трехстоечный биплан с ферменным хвостом. Размах верхнего крыла превышал размах нижнего. Промежуточ</w:t>
      </w:r>
      <w:r w:rsidRPr="002F2FDF">
        <w:rPr>
          <w:rFonts w:ascii="Times New Roman" w:hAnsi="Times New Roman" w:cs="Times New Roman"/>
          <w:color w:val="000000" w:themeColor="text1"/>
          <w:kern w:val="2"/>
          <w:sz w:val="16"/>
          <w:szCs w:val="16"/>
        </w:rPr>
        <w:softHyphen/>
        <w:t>ные коробки крыльёв создавали поперечное V и придавали несущим поверх</w:t>
      </w:r>
      <w:r w:rsidRPr="002F2FDF">
        <w:rPr>
          <w:rFonts w:ascii="Times New Roman" w:hAnsi="Times New Roman" w:cs="Times New Roman"/>
          <w:color w:val="000000" w:themeColor="text1"/>
          <w:kern w:val="2"/>
          <w:sz w:val="16"/>
          <w:szCs w:val="16"/>
        </w:rPr>
        <w:softHyphen/>
        <w:t>ностям характерную форму чайки. Это было сделано Ботезатом для повы</w:t>
      </w:r>
      <w:r w:rsidRPr="002F2FDF">
        <w:rPr>
          <w:rFonts w:ascii="Times New Roman" w:hAnsi="Times New Roman" w:cs="Times New Roman"/>
          <w:color w:val="000000" w:themeColor="text1"/>
          <w:kern w:val="2"/>
          <w:sz w:val="16"/>
          <w:szCs w:val="16"/>
        </w:rPr>
        <w:softHyphen/>
        <w:t>шения поперечной устойчивости самолета. Удобообтекаемый совершенных аэродинамических форм фюзеляж-гондола имел передовую по тому време</w:t>
      </w:r>
      <w:r w:rsidRPr="002F2FDF">
        <w:rPr>
          <w:rFonts w:ascii="Times New Roman" w:hAnsi="Times New Roman" w:cs="Times New Roman"/>
          <w:color w:val="000000" w:themeColor="text1"/>
          <w:kern w:val="2"/>
          <w:sz w:val="16"/>
          <w:szCs w:val="16"/>
        </w:rPr>
        <w:softHyphen/>
        <w:t>ни полумонококовую конструкцию. В нем находилась закрытая пилотская кабина с большой площадью остекления. За пилотским креслом оставалось место для размещения еще одного-двух человек или груза. Заднюю часть гондолы занимало моторное отделение, в котором располагался двигатель «Рено» мощностью 220 л. с. с толкающим винтом, причем механик имел воз</w:t>
      </w:r>
      <w:r w:rsidRPr="002F2FDF">
        <w:rPr>
          <w:rFonts w:ascii="Times New Roman" w:hAnsi="Times New Roman" w:cs="Times New Roman"/>
          <w:color w:val="000000" w:themeColor="text1"/>
          <w:kern w:val="2"/>
          <w:sz w:val="16"/>
          <w:szCs w:val="16"/>
        </w:rPr>
        <w:softHyphen/>
        <w:t>можность доступа к нему в полете. Топливные и масляные баки располага</w:t>
      </w:r>
      <w:r w:rsidRPr="002F2FDF">
        <w:rPr>
          <w:rFonts w:ascii="Times New Roman" w:hAnsi="Times New Roman" w:cs="Times New Roman"/>
          <w:color w:val="000000" w:themeColor="text1"/>
          <w:kern w:val="2"/>
          <w:sz w:val="16"/>
          <w:szCs w:val="16"/>
        </w:rPr>
        <w:softHyphen/>
        <w:t>лись над двигателем, а еще выше был установлен выхлоп с глушителем сис</w:t>
      </w:r>
      <w:r w:rsidRPr="002F2FDF">
        <w:rPr>
          <w:rFonts w:ascii="Times New Roman" w:hAnsi="Times New Roman" w:cs="Times New Roman"/>
          <w:color w:val="000000" w:themeColor="text1"/>
          <w:kern w:val="2"/>
          <w:sz w:val="16"/>
          <w:szCs w:val="16"/>
        </w:rPr>
        <w:softHyphen/>
        <w:t>темы Еремеева. Два радиатора охлаждения располагались по бокам гондо</w:t>
      </w:r>
      <w:r w:rsidRPr="002F2FDF">
        <w:rPr>
          <w:rFonts w:ascii="Times New Roman" w:hAnsi="Times New Roman" w:cs="Times New Roman"/>
          <w:color w:val="000000" w:themeColor="text1"/>
          <w:kern w:val="2"/>
          <w:sz w:val="16"/>
          <w:szCs w:val="16"/>
        </w:rPr>
        <w:softHyphen/>
        <w:t>лы, между крыльями. Задней частью фюзеляжа служила ферма по типу «Ву- азена» из стальных труб с четырьмя силовыми рамами. Ботезат рассматривал возможность замены двигателя на «Рено» 300 л. с. Конструкция позволяла сделать это.</w:t>
      </w:r>
    </w:p>
    <w:p w14:paraId="7D700A4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Нижнее и верхнее крылья имели одинаковую хорду, равную размаху. Каж</w:t>
      </w:r>
      <w:r w:rsidRPr="002F2FDF">
        <w:rPr>
          <w:rFonts w:ascii="Times New Roman" w:hAnsi="Times New Roman" w:cs="Times New Roman"/>
          <w:color w:val="000000" w:themeColor="text1"/>
          <w:kern w:val="2"/>
          <w:sz w:val="16"/>
          <w:szCs w:val="16"/>
        </w:rPr>
        <w:softHyphen/>
        <w:t>дое крыло состояло из двух стальных лонжеронов, металлических кромок, деревянных нервюр и полотняной обшивки с металлическими накладками. Профилированные стойки и подкосы верхнего крыла были сделаны из ме</w:t>
      </w:r>
      <w:r w:rsidRPr="002F2FDF">
        <w:rPr>
          <w:rFonts w:ascii="Times New Roman" w:hAnsi="Times New Roman" w:cs="Times New Roman"/>
          <w:color w:val="000000" w:themeColor="text1"/>
          <w:kern w:val="2"/>
          <w:sz w:val="16"/>
          <w:szCs w:val="16"/>
        </w:rPr>
        <w:softHyphen/>
        <w:t>талла. Сильно развитые элероны большой площади находились на верхнем крыле, содержали по 11 нервюр и имели по два рычажка управления.</w:t>
      </w:r>
    </w:p>
    <w:p w14:paraId="4E46E1E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Хвостовое оперение состояло из руля поворота и рулей высоты. Рули име</w:t>
      </w:r>
      <w:r w:rsidRPr="002F2FDF">
        <w:rPr>
          <w:rFonts w:ascii="Times New Roman" w:hAnsi="Times New Roman" w:cs="Times New Roman"/>
          <w:color w:val="000000" w:themeColor="text1"/>
          <w:kern w:val="2"/>
          <w:sz w:val="16"/>
          <w:szCs w:val="16"/>
        </w:rPr>
        <w:softHyphen/>
        <w:t>ли подкосы к ферме. Тросы управления от расчаленных рычажков на рулях тянулись вдоль балок фермы. В кабине пилота находился стандартный набор рычагов управления. В дальнейшем на самолет предполагалось установить гироскопический автопилот.</w:t>
      </w:r>
    </w:p>
    <w:p w14:paraId="1054C62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Шасси было обычным, трехстоечным, с задней опорой. Ферменная конст</w:t>
      </w:r>
      <w:r w:rsidRPr="002F2FDF">
        <w:rPr>
          <w:rFonts w:ascii="Times New Roman" w:hAnsi="Times New Roman" w:cs="Times New Roman"/>
          <w:color w:val="000000" w:themeColor="text1"/>
          <w:kern w:val="2"/>
          <w:sz w:val="16"/>
          <w:szCs w:val="16"/>
        </w:rPr>
        <w:softHyphen/>
        <w:t>рукция была выполнена из стальных труб. Поскольку испытания предпола</w:t>
      </w:r>
      <w:r w:rsidRPr="002F2FDF">
        <w:rPr>
          <w:rFonts w:ascii="Times New Roman" w:hAnsi="Times New Roman" w:cs="Times New Roman"/>
          <w:color w:val="000000" w:themeColor="text1"/>
          <w:kern w:val="2"/>
          <w:sz w:val="16"/>
          <w:szCs w:val="16"/>
        </w:rPr>
        <w:softHyphen/>
        <w:t>галось начать зимой, на самолет были установлены плоские алюминиевые лыжи без обтекателей.</w:t>
      </w:r>
    </w:p>
    <w:p w14:paraId="1F43070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своего времени самолет Г. А. Ботезата был передовым не только по аэро</w:t>
      </w:r>
      <w:r w:rsidRPr="002F2FDF">
        <w:rPr>
          <w:rFonts w:ascii="Times New Roman" w:hAnsi="Times New Roman" w:cs="Times New Roman"/>
          <w:color w:val="000000" w:themeColor="text1"/>
          <w:kern w:val="2"/>
          <w:sz w:val="16"/>
          <w:szCs w:val="16"/>
        </w:rPr>
        <w:softHyphen/>
        <w:t>динамике, но и по конструкции и применяемым материалам. По общим раз</w:t>
      </w:r>
      <w:r w:rsidRPr="002F2FDF">
        <w:rPr>
          <w:rFonts w:ascii="Times New Roman" w:hAnsi="Times New Roman" w:cs="Times New Roman"/>
          <w:color w:val="000000" w:themeColor="text1"/>
          <w:kern w:val="2"/>
          <w:sz w:val="16"/>
          <w:szCs w:val="16"/>
        </w:rPr>
        <w:softHyphen/>
        <w:t>мерам он представлял собой крупнейший одномоторный аппарат отечествен</w:t>
      </w:r>
      <w:r w:rsidRPr="002F2FDF">
        <w:rPr>
          <w:rFonts w:ascii="Times New Roman" w:hAnsi="Times New Roman" w:cs="Times New Roman"/>
          <w:color w:val="000000" w:themeColor="text1"/>
          <w:kern w:val="2"/>
          <w:sz w:val="16"/>
          <w:szCs w:val="16"/>
        </w:rPr>
        <w:softHyphen/>
        <w:t>ной конструкции.</w:t>
      </w:r>
    </w:p>
    <w:p w14:paraId="6971AC9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Самолет был готов, но возникла проблема с летчиком-испытателем. Боль</w:t>
      </w:r>
      <w:r w:rsidRPr="002F2FDF">
        <w:rPr>
          <w:rFonts w:ascii="Times New Roman" w:hAnsi="Times New Roman" w:cs="Times New Roman"/>
          <w:color w:val="000000" w:themeColor="text1"/>
          <w:kern w:val="2"/>
          <w:sz w:val="16"/>
          <w:szCs w:val="16"/>
        </w:rPr>
        <w:softHyphen/>
        <w:t>шинство опытных пилотов предпочло после революции исчезнуть из Петро</w:t>
      </w:r>
      <w:r w:rsidRPr="002F2FDF">
        <w:rPr>
          <w:rFonts w:ascii="Times New Roman" w:hAnsi="Times New Roman" w:cs="Times New Roman"/>
          <w:color w:val="000000" w:themeColor="text1"/>
          <w:kern w:val="2"/>
          <w:sz w:val="16"/>
          <w:szCs w:val="16"/>
        </w:rPr>
        <w:softHyphen/>
        <w:t>града. Ботезату привели летчика, который почти никогда не летал, но зато об</w:t>
      </w:r>
      <w:r w:rsidRPr="002F2FDF">
        <w:rPr>
          <w:rFonts w:ascii="Times New Roman" w:hAnsi="Times New Roman" w:cs="Times New Roman"/>
          <w:color w:val="000000" w:themeColor="text1"/>
          <w:kern w:val="2"/>
          <w:sz w:val="16"/>
          <w:szCs w:val="16"/>
        </w:rPr>
        <w:softHyphen/>
        <w:t>ладал несомненным достоинством — «стоял на большевистских позициях».</w:t>
      </w:r>
    </w:p>
    <w:p w14:paraId="48F6681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Летчик порулил минут пятнадцать на собранном самолете и заявил о сво</w:t>
      </w:r>
      <w:r w:rsidRPr="002F2FDF">
        <w:rPr>
          <w:rFonts w:ascii="Times New Roman" w:hAnsi="Times New Roman" w:cs="Times New Roman"/>
          <w:color w:val="000000" w:themeColor="text1"/>
          <w:kern w:val="2"/>
          <w:sz w:val="16"/>
          <w:szCs w:val="16"/>
        </w:rPr>
        <w:softHyphen/>
        <w:t>ей готовности лететь. Первые летные испытания были назначены на 20 декаб</w:t>
      </w:r>
      <w:r w:rsidRPr="002F2FDF">
        <w:rPr>
          <w:rFonts w:ascii="Times New Roman" w:hAnsi="Times New Roman" w:cs="Times New Roman"/>
          <w:color w:val="000000" w:themeColor="text1"/>
          <w:kern w:val="2"/>
          <w:sz w:val="16"/>
          <w:szCs w:val="16"/>
        </w:rPr>
        <w:softHyphen/>
        <w:t>ря 1917 г. Блестевший под зимним солнцем металлической обшивкой само</w:t>
      </w:r>
      <w:r w:rsidRPr="002F2FDF">
        <w:rPr>
          <w:rFonts w:ascii="Times New Roman" w:hAnsi="Times New Roman" w:cs="Times New Roman"/>
          <w:color w:val="000000" w:themeColor="text1"/>
          <w:kern w:val="2"/>
          <w:sz w:val="16"/>
          <w:szCs w:val="16"/>
        </w:rPr>
        <w:softHyphen/>
        <w:t>лет стоял перед ангаром. Летчик занял свое место. По договоренности с Боте</w:t>
      </w:r>
      <w:r w:rsidRPr="002F2FDF">
        <w:rPr>
          <w:rFonts w:ascii="Times New Roman" w:hAnsi="Times New Roman" w:cs="Times New Roman"/>
          <w:color w:val="000000" w:themeColor="text1"/>
          <w:kern w:val="2"/>
          <w:sz w:val="16"/>
          <w:szCs w:val="16"/>
        </w:rPr>
        <w:softHyphen/>
        <w:t>затом он должен был сначала сделать ряд небольших подлетов, почувство</w:t>
      </w:r>
      <w:r w:rsidRPr="002F2FDF">
        <w:rPr>
          <w:rFonts w:ascii="Times New Roman" w:hAnsi="Times New Roman" w:cs="Times New Roman"/>
          <w:color w:val="000000" w:themeColor="text1"/>
          <w:kern w:val="2"/>
          <w:sz w:val="16"/>
          <w:szCs w:val="16"/>
        </w:rPr>
        <w:softHyphen/>
        <w:t>вать машину, убедиться в ее пилотажных качествах и уж только потом идти в полет по кругу. Горе-пилот спутал все планы. Резко взяв с места, он добежал до середины взлетной полосы, сделал два-три коротких прыжка и вдруг под</w:t>
      </w:r>
      <w:r w:rsidRPr="002F2FDF">
        <w:rPr>
          <w:rFonts w:ascii="Times New Roman" w:hAnsi="Times New Roman" w:cs="Times New Roman"/>
          <w:color w:val="000000" w:themeColor="text1"/>
          <w:kern w:val="2"/>
          <w:sz w:val="16"/>
          <w:szCs w:val="16"/>
        </w:rPr>
        <w:softHyphen/>
        <w:t>скочил на шесть-семь метров. Наблюдавшие с земли механики и рабочие «ДЕКА» потом утверждали: «Поперечная устойчивость аэроплана была по</w:t>
      </w:r>
      <w:r w:rsidRPr="002F2FDF">
        <w:rPr>
          <w:rFonts w:ascii="Times New Roman" w:hAnsi="Times New Roman" w:cs="Times New Roman"/>
          <w:color w:val="000000" w:themeColor="text1"/>
          <w:kern w:val="2"/>
          <w:sz w:val="16"/>
          <w:szCs w:val="16"/>
        </w:rPr>
        <w:softHyphen/>
        <w:t>разительная, не было заметно, чтобы он покачнулся» Самолет шел на од</w:t>
      </w:r>
      <w:r w:rsidRPr="002F2FDF">
        <w:rPr>
          <w:rFonts w:ascii="Times New Roman" w:hAnsi="Times New Roman" w:cs="Times New Roman"/>
          <w:color w:val="000000" w:themeColor="text1"/>
          <w:kern w:val="2"/>
          <w:sz w:val="16"/>
          <w:szCs w:val="16"/>
        </w:rPr>
        <w:softHyphen/>
        <w:t>ной высоте, приближаясь к концу аэродрома. Все, кто следил за полетом, были в ужасе. Летчик точно шел на стоящую там одинокую березу. Он заме</w:t>
      </w:r>
      <w:r w:rsidRPr="002F2FDF">
        <w:rPr>
          <w:rFonts w:ascii="Times New Roman" w:hAnsi="Times New Roman" w:cs="Times New Roman"/>
          <w:color w:val="000000" w:themeColor="text1"/>
          <w:kern w:val="2"/>
          <w:sz w:val="16"/>
          <w:szCs w:val="16"/>
        </w:rPr>
        <w:softHyphen/>
        <w:t>тил ее только в нескольких метрах, попытался поднять самолет, но было уже поздно. Грациозный серебряный самолет, качнувшись на правое крыло, рух</w:t>
      </w:r>
      <w:r w:rsidRPr="002F2FDF">
        <w:rPr>
          <w:rFonts w:ascii="Times New Roman" w:hAnsi="Times New Roman" w:cs="Times New Roman"/>
          <w:color w:val="000000" w:themeColor="text1"/>
          <w:kern w:val="2"/>
          <w:sz w:val="16"/>
          <w:szCs w:val="16"/>
        </w:rPr>
        <w:softHyphen/>
        <w:t>нул с работающим мотором на левое, едва не убив случайно оказавшегося там зеваку.</w:t>
      </w:r>
    </w:p>
    <w:p w14:paraId="3004B27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Когда присутствующие подбежали к месту падения, красавец-самолет ле</w:t>
      </w:r>
      <w:r w:rsidRPr="002F2FDF">
        <w:rPr>
          <w:rFonts w:ascii="Times New Roman" w:hAnsi="Times New Roman" w:cs="Times New Roman"/>
          <w:color w:val="000000" w:themeColor="text1"/>
          <w:kern w:val="2"/>
          <w:sz w:val="16"/>
          <w:szCs w:val="16"/>
        </w:rPr>
        <w:softHyphen/>
        <w:t>жал, уткнувшись носом в землю. Полумонококовая конструкция гондолы выдержала удар, все остальное было искорежено. Виновника вытащили через окно. Он был цел и невредим, только гордо демонстрировал всем окровавлен</w:t>
      </w:r>
      <w:r w:rsidRPr="002F2FDF">
        <w:rPr>
          <w:rFonts w:ascii="Times New Roman" w:hAnsi="Times New Roman" w:cs="Times New Roman"/>
          <w:color w:val="000000" w:themeColor="text1"/>
          <w:kern w:val="2"/>
          <w:sz w:val="16"/>
          <w:szCs w:val="16"/>
        </w:rPr>
        <w:softHyphen/>
        <w:t>ный палец. На вопрос, почему он нарушил полетное задание, горе-летчик при</w:t>
      </w:r>
      <w:r w:rsidRPr="002F2FDF">
        <w:rPr>
          <w:rFonts w:ascii="Times New Roman" w:hAnsi="Times New Roman" w:cs="Times New Roman"/>
          <w:color w:val="000000" w:themeColor="text1"/>
          <w:kern w:val="2"/>
          <w:sz w:val="16"/>
          <w:szCs w:val="16"/>
        </w:rPr>
        <w:softHyphen/>
        <w:t>знался, что при подлетах набрал слишком высокую скорость, не заметил при</w:t>
      </w:r>
      <w:r w:rsidRPr="002F2FDF">
        <w:rPr>
          <w:rFonts w:ascii="Times New Roman" w:hAnsi="Times New Roman" w:cs="Times New Roman"/>
          <w:color w:val="000000" w:themeColor="text1"/>
          <w:kern w:val="2"/>
          <w:sz w:val="16"/>
          <w:szCs w:val="16"/>
        </w:rPr>
        <w:softHyphen/>
        <w:t>ближения конца аэродрома, расстерялся и не смог остановить самолет. По</w:t>
      </w:r>
      <w:r w:rsidRPr="002F2FDF">
        <w:rPr>
          <w:rFonts w:ascii="Times New Roman" w:hAnsi="Times New Roman" w:cs="Times New Roman"/>
          <w:color w:val="000000" w:themeColor="text1"/>
          <w:kern w:val="2"/>
          <w:sz w:val="16"/>
          <w:szCs w:val="16"/>
        </w:rPr>
        <w:softHyphen/>
        <w:t>здно заметив березу, он попытался «перескочить через нее и уйти на круг», но это оказалось ему не под силу. Самолет зацепился хвостом за березу, вывер</w:t>
      </w:r>
      <w:r w:rsidRPr="002F2FDF">
        <w:rPr>
          <w:rFonts w:ascii="Times New Roman" w:hAnsi="Times New Roman" w:cs="Times New Roman"/>
          <w:color w:val="000000" w:themeColor="text1"/>
          <w:kern w:val="2"/>
          <w:sz w:val="16"/>
          <w:szCs w:val="16"/>
        </w:rPr>
        <w:softHyphen/>
        <w:t>нул руль поворота, сломал винт, осколки которого повредили ферму.</w:t>
      </w:r>
    </w:p>
    <w:p w14:paraId="3F3E82B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время полета аэроплан был устойчив, слушался рулей, развил боль</w:t>
      </w:r>
      <w:r w:rsidRPr="002F2FDF">
        <w:rPr>
          <w:rFonts w:ascii="Times New Roman" w:hAnsi="Times New Roman" w:cs="Times New Roman"/>
          <w:color w:val="000000" w:themeColor="text1"/>
          <w:kern w:val="2"/>
          <w:sz w:val="16"/>
          <w:szCs w:val="16"/>
        </w:rPr>
        <w:softHyphen/>
        <w:t>шую скорость, никаких неправильностей не заметил», — указал в объясни</w:t>
      </w:r>
      <w:r w:rsidRPr="002F2FDF">
        <w:rPr>
          <w:rFonts w:ascii="Times New Roman" w:hAnsi="Times New Roman" w:cs="Times New Roman"/>
          <w:color w:val="000000" w:themeColor="text1"/>
          <w:kern w:val="2"/>
          <w:sz w:val="16"/>
          <w:szCs w:val="16"/>
        </w:rPr>
        <w:softHyphen/>
        <w:t>тельной записке виновник аварии (15740).</w:t>
      </w:r>
    </w:p>
    <w:p w14:paraId="5C28EB3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p w14:paraId="28D45CD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или октябре 1917 прекратили после сдачи 98 двигателей сборку французского «Рено» в 220 л.с. Согласно же докладу начальника Управления ВВС П.И. Баранова Рев</w:t>
      </w:r>
      <w:r w:rsidRPr="002F2FDF">
        <w:rPr>
          <w:rFonts w:ascii="Times New Roman" w:hAnsi="Times New Roman" w:cs="Times New Roman"/>
          <w:color w:val="000000" w:themeColor="text1"/>
          <w:kern w:val="2"/>
          <w:sz w:val="16"/>
          <w:szCs w:val="16"/>
        </w:rPr>
        <w:softHyphen/>
        <w:t xml:space="preserve">военсовету, сделанном в начале 1929 г., французский «Рено» в 220 л.с. выпускался по январь 1918 г. </w:t>
      </w:r>
      <w:r w:rsidRPr="002F2FDF">
        <w:rPr>
          <w:rFonts w:ascii="Times New Roman" w:hAnsi="Times New Roman" w:cs="Times New Roman"/>
          <w:color w:val="000000" w:themeColor="text1"/>
          <w:kern w:val="2"/>
          <w:sz w:val="16"/>
          <w:szCs w:val="16"/>
          <w:lang w:val="en-US"/>
        </w:rPr>
        <w:t>c</w:t>
      </w:r>
      <w:r w:rsidRPr="002F2FDF">
        <w:rPr>
          <w:rFonts w:ascii="Times New Roman" w:hAnsi="Times New Roman" w:cs="Times New Roman"/>
          <w:color w:val="000000" w:themeColor="text1"/>
          <w:kern w:val="2"/>
          <w:sz w:val="16"/>
          <w:szCs w:val="16"/>
        </w:rPr>
        <w:t xml:space="preserve"> июля 1916 г. Эти двигатели собирались из импортных де</w:t>
      </w:r>
      <w:r w:rsidRPr="002F2FDF">
        <w:rPr>
          <w:rFonts w:ascii="Times New Roman" w:hAnsi="Times New Roman" w:cs="Times New Roman"/>
          <w:color w:val="000000" w:themeColor="text1"/>
          <w:kern w:val="2"/>
          <w:sz w:val="16"/>
          <w:szCs w:val="16"/>
        </w:rPr>
        <w:softHyphen/>
        <w:t>талей Автомобильно-экипажными мастерскими общества «Русский Рено» в Петрограде, которое получило заказ на 150 моторов этого типа. Возможно, что М-3 в советское время не производился, а только эксплуа</w:t>
      </w:r>
      <w:r w:rsidRPr="002F2FDF">
        <w:rPr>
          <w:rFonts w:ascii="Times New Roman" w:hAnsi="Times New Roman" w:cs="Times New Roman"/>
          <w:color w:val="000000" w:themeColor="text1"/>
          <w:kern w:val="2"/>
          <w:sz w:val="16"/>
          <w:szCs w:val="16"/>
        </w:rPr>
        <w:softHyphen/>
        <w:t>тировался и ремонтировался.</w:t>
      </w:r>
    </w:p>
    <w:p w14:paraId="75F9B4D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М-3</w:t>
      </w:r>
    </w:p>
    <w:p w14:paraId="079B59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Именовался также «Рено-220». Французские моторы Рено </w:t>
      </w:r>
      <w:r w:rsidRPr="002F2FDF">
        <w:rPr>
          <w:rFonts w:ascii="Times New Roman" w:hAnsi="Times New Roman" w:cs="Times New Roman"/>
          <w:color w:val="000000" w:themeColor="text1"/>
          <w:kern w:val="2"/>
          <w:sz w:val="16"/>
          <w:szCs w:val="16"/>
          <w:lang w:val="en-US"/>
        </w:rPr>
        <w:t>W</w:t>
      </w:r>
      <w:r w:rsidRPr="002F2FDF">
        <w:rPr>
          <w:rFonts w:ascii="Times New Roman" w:hAnsi="Times New Roman" w:cs="Times New Roman"/>
          <w:color w:val="000000" w:themeColor="text1"/>
          <w:kern w:val="2"/>
          <w:sz w:val="16"/>
          <w:szCs w:val="16"/>
        </w:rPr>
        <w:t>С соби</w:t>
      </w:r>
      <w:r w:rsidRPr="002F2FDF">
        <w:rPr>
          <w:rFonts w:ascii="Times New Roman" w:hAnsi="Times New Roman" w:cs="Times New Roman"/>
          <w:color w:val="000000" w:themeColor="text1"/>
          <w:kern w:val="2"/>
          <w:sz w:val="16"/>
          <w:szCs w:val="16"/>
        </w:rPr>
        <w:softHyphen/>
        <w:t>рались из импортных деталей Автомобильно-экипажными мастерскими общества «Русский Рено» в Петрограде. К сентябрю 1917 г. изготовлено 98 экз. из заказанной партии в 150 моторов.</w:t>
      </w:r>
    </w:p>
    <w:p w14:paraId="6DCCE77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дальнейшем предполагалось освоение усовершенствованного варианта двигателя с алюминиевыми поршнями (вместо чугунных) с доведением мощности до 280 л.с.</w:t>
      </w:r>
    </w:p>
    <w:p w14:paraId="68D9A0D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Характеристики:</w:t>
      </w:r>
    </w:p>
    <w:p w14:paraId="7FFC50D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12-цшиндровый, рядный У-образный, безредукторный;</w:t>
      </w:r>
    </w:p>
    <w:p w14:paraId="0DB52D4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диаметр цилиндра/ход поршня 125/150 мм;</w:t>
      </w:r>
    </w:p>
    <w:p w14:paraId="7A97D8F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мощность 220/225 л.с.;</w:t>
      </w:r>
    </w:p>
    <w:p w14:paraId="2E6C189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вес 367 кг.</w:t>
      </w:r>
    </w:p>
    <w:p w14:paraId="03F8E33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Устанавливался на самолетах «Илья Муромец» серий «В» и «Г» (11582).</w:t>
      </w:r>
    </w:p>
    <w:p w14:paraId="7E31F7A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F64B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пути следования из Архангельска в Москву застряли 143 ящика с французскими и английскими самолетами и 182 ящика с французскими, английскими и итальянскими авиадвигателями. Они так и не дошли до фронта.Такая медлительность в доставке на фронт даже своевременно закупленной техники неизменно приводила к тому, что российские летчики постоянно летали на уже устаревших образцах, а порой и снятых к этому времени с вооружения.</w:t>
      </w:r>
    </w:p>
    <w:p w14:paraId="4CA966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DC41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г. из списка самолетов, имеющихся в центральном авиационном складе в Москве видно, что на складе находилось 70 "Ньюпоров-23" с двигателями "Рон" мощностью 110 л. е., 23 "Ньюпора-17", 4 "СПАДа" с двигателями "Испано-Сюиза" мощностью 140 л. е., 12 "Фарманов-40", 15 "Кодронов" и другие самолеты. Здесь же хранились 72 английские машины, в числе которых были "Сопвичи" и "Виккерсы", а также сотни современных моторов (11999).</w:t>
      </w:r>
    </w:p>
    <w:p w14:paraId="31BFC5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FF57B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2D58A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23F4F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русскому военному атташе была от</w:t>
      </w:r>
      <w:r w:rsidRPr="002F2FDF">
        <w:rPr>
          <w:rFonts w:ascii="Times New Roman" w:hAnsi="Times New Roman" w:cs="Times New Roman"/>
          <w:color w:val="000000" w:themeColor="text1"/>
          <w:kern w:val="2"/>
          <w:sz w:val="16"/>
          <w:szCs w:val="16"/>
        </w:rPr>
        <w:softHyphen/>
        <w:t>правлена телеграмма следующего содержания: “Просим при</w:t>
      </w:r>
      <w:r w:rsidRPr="002F2FDF">
        <w:rPr>
          <w:rFonts w:ascii="Times New Roman" w:hAnsi="Times New Roman" w:cs="Times New Roman"/>
          <w:color w:val="000000" w:themeColor="text1"/>
          <w:kern w:val="2"/>
          <w:sz w:val="16"/>
          <w:szCs w:val="16"/>
        </w:rPr>
        <w:softHyphen/>
        <w:t>остановить приобретение тракторов Шнейдера среднего ти</w:t>
      </w:r>
      <w:r w:rsidRPr="002F2FDF">
        <w:rPr>
          <w:rFonts w:ascii="Times New Roman" w:hAnsi="Times New Roman" w:cs="Times New Roman"/>
          <w:color w:val="000000" w:themeColor="text1"/>
          <w:kern w:val="2"/>
          <w:sz w:val="16"/>
          <w:szCs w:val="16"/>
        </w:rPr>
        <w:softHyphen/>
        <w:t>па, которые по указанию Ставки оказались непригодными для службы на нашем фронте. Благоволите сообщить результаты испытаний танков легкого типа “Рено” с одним пулеметом”. В том же 1917 г. французы предлагали начать выпуск ори</w:t>
      </w:r>
      <w:r w:rsidRPr="002F2FDF">
        <w:rPr>
          <w:rFonts w:ascii="Times New Roman" w:hAnsi="Times New Roman" w:cs="Times New Roman"/>
          <w:color w:val="000000" w:themeColor="text1"/>
          <w:kern w:val="2"/>
          <w:sz w:val="16"/>
          <w:szCs w:val="16"/>
        </w:rPr>
        <w:softHyphen/>
        <w:t>гинальных танков на заводе “Русский Рено” в Рыбинске. Предполагалось, что это будут боевые машины массой около 12 т на шасси гусеничного трактора с вооружением из 75-мм пушки и 8-мм пулемета Гочкис. Но рабочих чертежей танка кроме разрезов общего вида заранее прислано в Россию не было. Ожидалось, что осенью из Франции прибудут специа</w:t>
      </w:r>
      <w:r w:rsidRPr="002F2FDF">
        <w:rPr>
          <w:rFonts w:ascii="Times New Roman" w:hAnsi="Times New Roman" w:cs="Times New Roman"/>
          <w:color w:val="000000" w:themeColor="text1"/>
          <w:kern w:val="2"/>
          <w:sz w:val="16"/>
          <w:szCs w:val="16"/>
        </w:rPr>
        <w:softHyphen/>
        <w:t>листы для организации производства, а также документация на танк, выпуск которого начнется в 1918 г. Временная техническая комиссия при Главном военно-техническом управлении, направленная в Великобританию для закупки легковых, грузовых и бронированных ма</w:t>
      </w:r>
      <w:r w:rsidRPr="002F2FDF">
        <w:rPr>
          <w:rFonts w:ascii="Times New Roman" w:hAnsi="Times New Roman" w:cs="Times New Roman"/>
          <w:color w:val="000000" w:themeColor="text1"/>
          <w:kern w:val="2"/>
          <w:sz w:val="16"/>
          <w:szCs w:val="16"/>
        </w:rPr>
        <w:softHyphen/>
        <w:t>шин, сообщила летом 1917 г., что “новый тип тяжелых по</w:t>
      </w:r>
      <w:r w:rsidRPr="002F2FDF">
        <w:rPr>
          <w:rFonts w:ascii="Times New Roman" w:hAnsi="Times New Roman" w:cs="Times New Roman"/>
          <w:color w:val="000000" w:themeColor="text1"/>
          <w:kern w:val="2"/>
          <w:sz w:val="16"/>
          <w:szCs w:val="16"/>
        </w:rPr>
        <w:softHyphen/>
        <w:t>левых крейсеров английской армии номер 2 (видимо, речь идет о танках Мк. IV, или даже Мк. V) значительно у совершенст</w:t>
      </w:r>
      <w:r w:rsidRPr="002F2FDF">
        <w:rPr>
          <w:rFonts w:ascii="Times New Roman" w:hAnsi="Times New Roman" w:cs="Times New Roman"/>
          <w:color w:val="000000" w:themeColor="text1"/>
          <w:kern w:val="2"/>
          <w:sz w:val="16"/>
          <w:szCs w:val="16"/>
        </w:rPr>
        <w:softHyphen/>
        <w:t>вован, как в отношении скорости движения, так и в отноше</w:t>
      </w:r>
      <w:r w:rsidRPr="002F2FDF">
        <w:rPr>
          <w:rFonts w:ascii="Times New Roman" w:hAnsi="Times New Roman" w:cs="Times New Roman"/>
          <w:color w:val="000000" w:themeColor="text1"/>
          <w:kern w:val="2"/>
          <w:sz w:val="16"/>
          <w:szCs w:val="16"/>
        </w:rPr>
        <w:softHyphen/>
        <w:t>нии внутреннего устройства”. Комиссия также отметила превосходство английских танков над французскими в плане их проходимости, чем также внесла сумятицу в умы отечественных танковых теоретиков. Но как бы то ни было, работы А. Кегресса по переводу части серийных бронеавтомобилей на полугусеничный ход постепенно реализовывались, прошел испытания второй бронированный трактор Гулькевича, на базе конструкции которого планировалось развернуть постройку серии по</w:t>
      </w:r>
      <w:r w:rsidRPr="002F2FDF">
        <w:rPr>
          <w:rFonts w:ascii="Times New Roman" w:hAnsi="Times New Roman" w:cs="Times New Roman"/>
          <w:color w:val="000000" w:themeColor="text1"/>
          <w:kern w:val="2"/>
          <w:sz w:val="16"/>
          <w:szCs w:val="16"/>
        </w:rPr>
        <w:softHyphen/>
        <w:t xml:space="preserve">добных </w:t>
      </w:r>
      <w:r w:rsidRPr="002F2FDF">
        <w:rPr>
          <w:rFonts w:ascii="Times New Roman" w:hAnsi="Times New Roman" w:cs="Times New Roman"/>
          <w:color w:val="000000" w:themeColor="text1"/>
          <w:kern w:val="2"/>
          <w:sz w:val="16"/>
          <w:szCs w:val="16"/>
        </w:rPr>
        <w:lastRenderedPageBreak/>
        <w:t>машин, для чего из Великобритании в мае—июне 1917 г. прибыла “комиссия по постройке в России брони</w:t>
      </w:r>
      <w:r w:rsidRPr="002F2FDF">
        <w:rPr>
          <w:rFonts w:ascii="Times New Roman" w:hAnsi="Times New Roman" w:cs="Times New Roman"/>
          <w:color w:val="000000" w:themeColor="text1"/>
          <w:kern w:val="2"/>
          <w:sz w:val="16"/>
          <w:szCs w:val="16"/>
        </w:rPr>
        <w:softHyphen/>
        <w:t>рованных тракторов”. Во Франции продолжались перего</w:t>
      </w:r>
      <w:r w:rsidRPr="002F2FDF">
        <w:rPr>
          <w:rFonts w:ascii="Times New Roman" w:hAnsi="Times New Roman" w:cs="Times New Roman"/>
          <w:color w:val="000000" w:themeColor="text1"/>
          <w:kern w:val="2"/>
          <w:sz w:val="16"/>
          <w:szCs w:val="16"/>
        </w:rPr>
        <w:softHyphen/>
        <w:t>воры по закупке малых танков “Рено” (10733,32).</w:t>
      </w:r>
    </w:p>
    <w:p w14:paraId="4F7955D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DDDB3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г. перспективы оснащения русской армии бронетракторами и танками виделись в весьма радужном свете. Но...25 октября (7 ноября) 1917 г. Временное правительство пало и “все планы по перевооружению Русской армии к кам</w:t>
      </w:r>
      <w:r w:rsidRPr="002F2FDF">
        <w:rPr>
          <w:rFonts w:ascii="Times New Roman" w:hAnsi="Times New Roman" w:cs="Times New Roman"/>
          <w:color w:val="000000" w:themeColor="text1"/>
          <w:kern w:val="2"/>
          <w:sz w:val="16"/>
          <w:szCs w:val="16"/>
        </w:rPr>
        <w:softHyphen/>
        <w:t>пании 1918 г. полетели в пропасть”. Но несмотря на смуту и Гражданскую войну, захлест</w:t>
      </w:r>
      <w:r w:rsidRPr="002F2FDF">
        <w:rPr>
          <w:rFonts w:ascii="Times New Roman" w:hAnsi="Times New Roman" w:cs="Times New Roman"/>
          <w:color w:val="000000" w:themeColor="text1"/>
          <w:kern w:val="2"/>
          <w:sz w:val="16"/>
          <w:szCs w:val="16"/>
        </w:rPr>
        <w:softHyphen/>
        <w:t>нувшие страну, работы Путиловского завода по переводу бронеавтомобилей на полугусеничный ход потихоньку продолжались. В 1919 г. была выпущена первая партия из пяти бронеавтомобилей “Остин” на полугусеничном шасси Кегресса, которые обладали неплохой проходимостью на местности. Будучи приданными 2-й стрелковой дивизии, эти бронеавтомобили поддержали пулеметным огнем на</w:t>
      </w:r>
      <w:r w:rsidRPr="002F2FDF">
        <w:rPr>
          <w:rFonts w:ascii="Times New Roman" w:hAnsi="Times New Roman" w:cs="Times New Roman"/>
          <w:color w:val="000000" w:themeColor="text1"/>
          <w:kern w:val="2"/>
          <w:sz w:val="16"/>
          <w:szCs w:val="16"/>
        </w:rPr>
        <w:softHyphen/>
        <w:t>ступление пехотинцев и способствовали успешной контр</w:t>
      </w:r>
      <w:r w:rsidRPr="002F2FDF">
        <w:rPr>
          <w:rFonts w:ascii="Times New Roman" w:hAnsi="Times New Roman" w:cs="Times New Roman"/>
          <w:color w:val="000000" w:themeColor="text1"/>
          <w:kern w:val="2"/>
          <w:sz w:val="16"/>
          <w:szCs w:val="16"/>
        </w:rPr>
        <w:softHyphen/>
        <w:t>атаке при освобождении села Б. Карлино. Но это была уже их служба в рядах Красной армии (10733,33).</w:t>
      </w:r>
    </w:p>
    <w:p w14:paraId="6630825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05DD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была подготовлена вывод и записка ГВТУ военного ведомства в Особое совещание по обороне государства по АМО. В ней говорилось:</w:t>
      </w:r>
    </w:p>
    <w:p w14:paraId="720065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Постройка всех зданий, необходимых для осуществления всей предположенной по первоначальному договору производительности завода АМО, является вполне законченной, так как недостающие 5% постройки падают на здания второстепенного и третьестепенного значения. Поэтому никакой поддержки предприятию АМО не требуется.</w:t>
      </w:r>
    </w:p>
    <w:p w14:paraId="1439E9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Оборудование завода АМО обстоит вполне удовлетворительно, так как фактически в распоряжении завода АМО имеется вполне готового оборудования 85%. Не остающие 15% оборудования падают на станки и приспособления второстепенного значения, кои на выпуск предполагаемого годового количества автомобилей влиять не могут. ...</w:t>
      </w:r>
    </w:p>
    <w:p w14:paraId="0CC745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Завод АМО, вступивший в особые договорные отношения с итальянским заводом ФИАТ и получивший от последнего лицензию на право пользования его патентами и чертежами, находится в обладании прекрасно разработанного во всех отношениях типа грузового автомобиля 1,5 т, который единогласно признается автомобильными авторитетами наилучшим для условий работ в русской армии".</w:t>
      </w:r>
    </w:p>
    <w:p w14:paraId="53C518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Можно, разумеется, говорить о степени объективности составленной записки. Выгодно или невыгодно кому-то было так утверждать - неизвестно. Но сейчас, по прошествии многих лет, ясно, что прежде всего причины социально-экономические, а потом уже технические не позволили в более ранние сроки начать производство первых автомобилей. Не хватало оборотных средств, мешали общая производственная анархия, подрыв авторитета специалистов, рабочая вольница, война. После гражданской - половина рабочих не имели квалификации и прогуливали. Сказалась нехватка производственного опыта у оставшихся на заводе старых специалистов. Но в тех условиях и Г. Форд ничего бы не сделал. Попытки организовать производство АМО-Ф-15 делались в 1918 г. и начиная с 1921 г. Технические ресурсы завода позволяли строить полуторатонные грузовики, но нужно было создавать школу своего автомобилестроения. Она создавалась постепенно - в процессе восстановления "Уайтов", через крупный ремонт (11195).</w:t>
      </w:r>
    </w:p>
    <w:p w14:paraId="4B4AE4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1DE3AF"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года в Москве был создан завод “Мотомашина”, первое по ремонту мотоциклов, где скопилось более полутора тысяч разбитых мотоциклов с эмблемами фирм Германии, Франции, Англии, США и других стран, участниц первой мировой войны и вооруженной интервенции. Многообразие машин дало повод рабочим в шутку называть свой склад “мотоциклетным интернационалом”. Поначалу в месяц восстанавливали от силы 3—5 машин, а постепенно штат увеличивался, накапливался опыт, и к середине 1921 года ежемесячный выпуск отремонтированных мотоциклов достиг 30 (11396).</w:t>
      </w:r>
    </w:p>
    <w:p w14:paraId="7CB47E6C"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62EAD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г. в здании бывшего завода Ефремова, построенного в 1917, но не оснащённого оборудованием, располагавшимся на 11-м километре Петроград</w:t>
      </w:r>
      <w:r w:rsidRPr="002F2FDF">
        <w:rPr>
          <w:rFonts w:ascii="Times New Roman" w:hAnsi="Times New Roman" w:cs="Times New Roman"/>
          <w:color w:val="000000" w:themeColor="text1"/>
          <w:kern w:val="2"/>
          <w:sz w:val="16"/>
          <w:szCs w:val="16"/>
        </w:rPr>
        <w:softHyphen/>
        <w:t>ского шоссе ор</w:t>
      </w:r>
      <w:r w:rsidRPr="002F2FDF">
        <w:rPr>
          <w:rFonts w:ascii="Times New Roman" w:hAnsi="Times New Roman" w:cs="Times New Roman"/>
          <w:color w:val="000000" w:themeColor="text1"/>
          <w:kern w:val="2"/>
          <w:sz w:val="16"/>
          <w:szCs w:val="16"/>
        </w:rPr>
        <w:softHyphen/>
        <w:t>ганизовали единственный в стране мотоцикло-ремонтный завод “Мотомашина”. На его территорию перевезли мастерские Северного фронта, и в январе 1918 г. нача</w:t>
      </w:r>
      <w:r w:rsidRPr="002F2FDF">
        <w:rPr>
          <w:rFonts w:ascii="Times New Roman" w:hAnsi="Times New Roman" w:cs="Times New Roman"/>
          <w:color w:val="000000" w:themeColor="text1"/>
          <w:kern w:val="2"/>
          <w:sz w:val="16"/>
          <w:szCs w:val="16"/>
        </w:rPr>
        <w:softHyphen/>
        <w:t>ли работать. Предприятие было в ведении ВСНХ и обслуживало только учреждения. На заводе трудились около 180 рабочих и служащих, в цехах размещались 70 станков и 20 слесарных рабо</w:t>
      </w:r>
      <w:r w:rsidRPr="002F2FDF">
        <w:rPr>
          <w:rFonts w:ascii="Times New Roman" w:hAnsi="Times New Roman" w:cs="Times New Roman"/>
          <w:color w:val="000000" w:themeColor="text1"/>
          <w:kern w:val="2"/>
          <w:sz w:val="16"/>
          <w:szCs w:val="16"/>
        </w:rPr>
        <w:softHyphen/>
        <w:t>чих мест, оборудованных тисками. На склад этого предприятия отовсюду привозили разбитые мотоциклы различных марок для капитального ремонта. Снача</w:t>
      </w:r>
      <w:r w:rsidRPr="002F2FDF">
        <w:rPr>
          <w:rFonts w:ascii="Times New Roman" w:hAnsi="Times New Roman" w:cs="Times New Roman"/>
          <w:color w:val="000000" w:themeColor="text1"/>
          <w:kern w:val="2"/>
          <w:sz w:val="16"/>
          <w:szCs w:val="16"/>
        </w:rPr>
        <w:softHyphen/>
        <w:t>ла восстанавливали 2-3 машины в месяц, но к 1922 г. ежемесяч</w:t>
      </w:r>
      <w:r w:rsidRPr="002F2FDF">
        <w:rPr>
          <w:rFonts w:ascii="Times New Roman" w:hAnsi="Times New Roman" w:cs="Times New Roman"/>
          <w:color w:val="000000" w:themeColor="text1"/>
          <w:kern w:val="2"/>
          <w:sz w:val="16"/>
          <w:szCs w:val="16"/>
        </w:rPr>
        <w:softHyphen/>
        <w:t>ный выпуск достигал 30 экземпляров. В то время на складе хра</w:t>
      </w:r>
      <w:r w:rsidRPr="002F2FDF">
        <w:rPr>
          <w:rFonts w:ascii="Times New Roman" w:hAnsi="Times New Roman" w:cs="Times New Roman"/>
          <w:color w:val="000000" w:themeColor="text1"/>
          <w:kern w:val="2"/>
          <w:sz w:val="16"/>
          <w:szCs w:val="16"/>
        </w:rPr>
        <w:softHyphen/>
        <w:t>нили более 800 разбитых мотоциклов. Завод также обслуживал мотоциклы в учреждениях. Завод “Мотомашина” славился высоким качеством выпуска</w:t>
      </w:r>
      <w:r w:rsidRPr="002F2FDF">
        <w:rPr>
          <w:rFonts w:ascii="Times New Roman" w:hAnsi="Times New Roman" w:cs="Times New Roman"/>
          <w:color w:val="000000" w:themeColor="text1"/>
          <w:kern w:val="2"/>
          <w:sz w:val="16"/>
          <w:szCs w:val="16"/>
        </w:rPr>
        <w:softHyphen/>
        <w:t>емой продукции. Пожалуй, самым значительным признанием этой деятельности стал Почётный диплом, которым отметили от</w:t>
      </w:r>
      <w:r w:rsidRPr="002F2FDF">
        <w:rPr>
          <w:rFonts w:ascii="Times New Roman" w:hAnsi="Times New Roman" w:cs="Times New Roman"/>
          <w:color w:val="000000" w:themeColor="text1"/>
          <w:kern w:val="2"/>
          <w:sz w:val="16"/>
          <w:szCs w:val="16"/>
        </w:rPr>
        <w:softHyphen/>
        <w:t>ремонтированные на заводе мотоциклы, участвовавшие в мото</w:t>
      </w:r>
      <w:r w:rsidRPr="002F2FDF">
        <w:rPr>
          <w:rFonts w:ascii="Times New Roman" w:hAnsi="Times New Roman" w:cs="Times New Roman"/>
          <w:color w:val="000000" w:themeColor="text1"/>
          <w:kern w:val="2"/>
          <w:sz w:val="16"/>
          <w:szCs w:val="16"/>
        </w:rPr>
        <w:softHyphen/>
        <w:t>пробеге 1923 г. по маршруту Москва-Петроград-Москва и при</w:t>
      </w:r>
      <w:r w:rsidRPr="002F2FDF">
        <w:rPr>
          <w:rFonts w:ascii="Times New Roman" w:hAnsi="Times New Roman" w:cs="Times New Roman"/>
          <w:color w:val="000000" w:themeColor="text1"/>
          <w:kern w:val="2"/>
          <w:sz w:val="16"/>
          <w:szCs w:val="16"/>
        </w:rPr>
        <w:softHyphen/>
        <w:t>шедшие на финиш в наилучшем состоянии [3.19] (11429).</w:t>
      </w:r>
    </w:p>
    <w:p w14:paraId="74D94D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885E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года мотовагон “Заамурец” был направлен в Одессу, где ему подняли башенные сферы, приклепав к ним кольцевые броневые пояса. На башнях установили броневые будки для командных постов. Планируемая замена моторов на более мощные и установка электромоторов для вращения башен были прерваны событиями октября 1917 года и развалом армии... (9643).</w:t>
      </w:r>
    </w:p>
    <w:p w14:paraId="3DB02E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E68041" w14:textId="42749F14"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г. Временное правительство выделило 6 млн руб. для продолжения работы ЦОЗ и размещения на его территории части Обуховского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завода, которому было предложено срочно эвакуироваться в связи с угрожающим положением Петрограда. Намечалось до зимы отправить на ЦОЗ 28</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комплектов заготовок для пушек, два паровых молота, сталелитейную оснастку, полуфабрикаты. В 1918 г. ЦОЗ был национализирован. Завод ремонтирует оружие, бронемашины, бронепоезда, орудия и изготавливает сельскохозяйственное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оборудование, судовые валы, ремонтирует паровые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машины мельниц и маслобойных заводов. Руководство ищет любую работу, но денег на зарплату</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и содержание завода нет; постоянно идут структурные перестройки (15132).</w:t>
      </w:r>
    </w:p>
    <w:p w14:paraId="67D3166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p w14:paraId="280F50A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ранее сентября 1917 г. Ведомость Горного департамента Министерства торговли и промышленности о производстве, вывозе и запасах донецкого минерального топлива за 1916 г. и восемь месяцев 1917 г.</w:t>
      </w:r>
    </w:p>
    <w:p w14:paraId="6E94D07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74-80</w:t>
      </w:r>
    </w:p>
    <w:p w14:paraId="5E0EEE0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37, оп. 72, д. 99, л. 26, Типогр. экз.</w:t>
      </w:r>
    </w:p>
    <w:p w14:paraId="7DCE596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МИНЕРАЛЬНОЕ ТОПЛИВО</w:t>
      </w:r>
    </w:p>
    <w:p w14:paraId="7047F27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Добыча и производство [в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47"/>
        <w:gridCol w:w="700"/>
        <w:gridCol w:w="580"/>
        <w:gridCol w:w="620"/>
        <w:gridCol w:w="508"/>
        <w:gridCol w:w="700"/>
        <w:gridCol w:w="595"/>
      </w:tblGrid>
      <w:tr w:rsidR="002B1C74" w:rsidRPr="002F2FDF" w14:paraId="0C43A695"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32CE45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C40D13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Каменного угля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DA7359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Антрацита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2C009C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r>
      <w:tr w:rsidR="002B1C74" w:rsidRPr="002F2FDF" w14:paraId="39FAF1F8"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A5A57B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E3695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DC78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BC54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D1D9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45AE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F58B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r>
      <w:tr w:rsidR="002B1C74" w:rsidRPr="002F2FDF" w14:paraId="734FED5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21853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186A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844B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1A86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56EE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C495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67C0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150.00</w:t>
            </w:r>
          </w:p>
        </w:tc>
      </w:tr>
      <w:tr w:rsidR="002B1C74" w:rsidRPr="002F2FDF" w14:paraId="4869FCB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50ADD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A1AE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6C4D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968E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A641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EE86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7732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149.00</w:t>
            </w:r>
          </w:p>
        </w:tc>
      </w:tr>
      <w:tr w:rsidR="002B1C74" w:rsidRPr="002F2FDF" w14:paraId="141D9F4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11700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4353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AED1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6E20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9E96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B08F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4376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164.23</w:t>
            </w:r>
          </w:p>
        </w:tc>
      </w:tr>
      <w:tr w:rsidR="002B1C74" w:rsidRPr="002F2FDF" w14:paraId="488CC31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73C66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00B7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94.00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4426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4140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21E2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A7E9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121.00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6BC2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95.00</w:t>
            </w:r>
          </w:p>
        </w:tc>
      </w:tr>
      <w:tr w:rsidR="002B1C74" w:rsidRPr="002F2FDF" w14:paraId="4483868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260A0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C586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7824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D3C4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F286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D7D0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127.50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2B41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140.00</w:t>
            </w:r>
          </w:p>
        </w:tc>
      </w:tr>
      <w:tr w:rsidR="002B1C74" w:rsidRPr="002F2FDF" w14:paraId="78B8668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CD07B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ED2E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97.00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E8BD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116.22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7845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D7B6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3673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127.00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AC80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147.22</w:t>
            </w:r>
          </w:p>
        </w:tc>
      </w:tr>
      <w:tr w:rsidR="002B1C74" w:rsidRPr="002F2FDF" w14:paraId="48B9442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41DC1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4A42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9A76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73E2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953F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7CC4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3AE0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144.00</w:t>
            </w:r>
          </w:p>
        </w:tc>
      </w:tr>
      <w:tr w:rsidR="002B1C74" w:rsidRPr="002F2FDF" w14:paraId="64BCF27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774ED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7CE4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0E9D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7762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BC39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BCF3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08B2B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137.00</w:t>
            </w:r>
          </w:p>
        </w:tc>
      </w:tr>
      <w:tr w:rsidR="002B1C74" w:rsidRPr="002F2FDF" w14:paraId="70AB2021"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AFA7B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1C61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9131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BDE55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43D3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CE4B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FC8E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149.00</w:t>
            </w:r>
          </w:p>
        </w:tc>
      </w:tr>
      <w:tr w:rsidR="002B1C74" w:rsidRPr="002F2FDF" w14:paraId="7232ED7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FC868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0C7B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ADB5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DC8B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8DC3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5AA8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C213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157.00</w:t>
            </w:r>
          </w:p>
        </w:tc>
      </w:tr>
      <w:tr w:rsidR="002B1C74" w:rsidRPr="002F2FDF" w14:paraId="65DC5C91"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CD71D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5C73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9191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5894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18DB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7772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412A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171.80</w:t>
            </w:r>
          </w:p>
        </w:tc>
      </w:tr>
      <w:tr w:rsidR="002B1C74" w:rsidRPr="002F2FDF" w14:paraId="54ED24F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D826F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B374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49A6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5165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72A8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65D0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A7D1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147.00</w:t>
            </w:r>
          </w:p>
        </w:tc>
      </w:tr>
      <w:tr w:rsidR="002B1C74" w:rsidRPr="002F2FDF" w14:paraId="48E5A74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AFA9C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 за весь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17B9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FBF4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1375.45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8E14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7314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9DAB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77BC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1751.25</w:t>
            </w:r>
          </w:p>
        </w:tc>
      </w:tr>
      <w:tr w:rsidR="002B1C74" w:rsidRPr="002F2FDF" w14:paraId="63CDA617" w14:textId="77777777" w:rsidTr="00607337">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2D4FA73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По телеграфным данным. (Прим . док.).</w:t>
            </w:r>
          </w:p>
        </w:tc>
      </w:tr>
    </w:tbl>
    <w:p w14:paraId="6369AF66" w14:textId="34890C20"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27"/>
        <w:gridCol w:w="620"/>
        <w:gridCol w:w="508"/>
        <w:gridCol w:w="624"/>
        <w:gridCol w:w="586"/>
        <w:gridCol w:w="580"/>
        <w:gridCol w:w="523"/>
      </w:tblGrid>
      <w:tr w:rsidR="002B1C74" w:rsidRPr="002F2FDF" w14:paraId="7C6463D0"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7ABD3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7BA973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Кокса на копях</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C46F7F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Кокса на заводах</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9A364F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 кокса</w:t>
            </w:r>
          </w:p>
        </w:tc>
      </w:tr>
      <w:tr w:rsidR="002B1C74" w:rsidRPr="002F2FDF" w14:paraId="20CB476A"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25622D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836AB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2F6A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D59A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4641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0575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46D8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r>
      <w:tr w:rsidR="002B1C74" w:rsidRPr="002F2FDF" w14:paraId="67F6EEA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7F5FC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A774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0F207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DFD5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D4A6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C09B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C8E9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22.75</w:t>
            </w:r>
          </w:p>
        </w:tc>
      </w:tr>
      <w:tr w:rsidR="002B1C74" w:rsidRPr="002F2FDF" w14:paraId="6DA4EC2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2F490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2484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B630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29C7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A7A4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1838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ECEE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21.17</w:t>
            </w:r>
          </w:p>
        </w:tc>
      </w:tr>
      <w:tr w:rsidR="002B1C74" w:rsidRPr="002F2FDF" w14:paraId="01F53EF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048BC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2410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69D1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6320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953B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D56E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C3B2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23.51</w:t>
            </w:r>
          </w:p>
        </w:tc>
      </w:tr>
      <w:tr w:rsidR="002B1C74" w:rsidRPr="002F2FDF" w14:paraId="41333EE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7CC19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B015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E53E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55F5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8778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F7DB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5D9D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20.21</w:t>
            </w:r>
          </w:p>
        </w:tc>
      </w:tr>
      <w:tr w:rsidR="002B1C74" w:rsidRPr="002F2FDF" w14:paraId="37E4287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0162C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69ED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15.60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798C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E11B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A957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5A77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7408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20.81</w:t>
            </w:r>
          </w:p>
        </w:tc>
      </w:tr>
      <w:tr w:rsidR="002B1C74" w:rsidRPr="002F2FDF" w14:paraId="500A788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F1C6A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E076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F9A8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7A37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6696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5E96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830F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21.18</w:t>
            </w:r>
          </w:p>
        </w:tc>
      </w:tr>
      <w:tr w:rsidR="002B1C74" w:rsidRPr="002F2FDF" w14:paraId="64AFBA1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BF7B6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D475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71EF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C9AD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CF62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C446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833F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23.47</w:t>
            </w:r>
          </w:p>
        </w:tc>
      </w:tr>
      <w:tr w:rsidR="002B1C74" w:rsidRPr="002F2FDF" w14:paraId="24558352"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82F95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3870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FA88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16.77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20C0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53F0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0472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7CD2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23.62</w:t>
            </w:r>
          </w:p>
        </w:tc>
      </w:tr>
      <w:tr w:rsidR="002B1C74" w:rsidRPr="002F2FDF" w14:paraId="1C5EBC6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9B9EE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BF40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CE6B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CBDB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72C9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7502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B94F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23.16</w:t>
            </w:r>
          </w:p>
        </w:tc>
      </w:tr>
      <w:tr w:rsidR="002B1C74" w:rsidRPr="002F2FDF" w14:paraId="588BD02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6E416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0475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E9C1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802D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2BBB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836B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8FA0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23.96</w:t>
            </w:r>
          </w:p>
        </w:tc>
      </w:tr>
      <w:tr w:rsidR="002B1C74" w:rsidRPr="002F2FDF" w14:paraId="65A35A5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BE4A0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BD0A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0812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7203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AB0A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88B2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F3AE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23.32</w:t>
            </w:r>
          </w:p>
        </w:tc>
      </w:tr>
      <w:tr w:rsidR="002B1C74" w:rsidRPr="002F2FDF" w14:paraId="7ADDE16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CD1B0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Декабрь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21B68" w14:textId="6E347E27"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22C0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04B82" w14:textId="0612A1EB"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D85D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3FA6B" w14:textId="3AB259D1"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AC40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22.40</w:t>
            </w:r>
          </w:p>
        </w:tc>
      </w:tr>
      <w:tr w:rsidR="002B1C74" w:rsidRPr="002F2FDF" w14:paraId="7E80CA5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1D2F7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 за весь год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2E82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03C8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E577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E3CF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55CD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79C3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269.56</w:t>
            </w:r>
          </w:p>
        </w:tc>
      </w:tr>
      <w:tr w:rsidR="00474654" w:rsidRPr="002F2FDF" w14:paraId="671C5351" w14:textId="77777777" w:rsidTr="00607337">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2DDF35B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По телеграфным данным. (Прим. док.).</w:t>
            </w:r>
          </w:p>
        </w:tc>
      </w:tr>
    </w:tbl>
    <w:p w14:paraId="44B5403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47"/>
        <w:gridCol w:w="508"/>
        <w:gridCol w:w="508"/>
        <w:gridCol w:w="2505"/>
        <w:gridCol w:w="2668"/>
      </w:tblGrid>
      <w:tr w:rsidR="002B1C74" w:rsidRPr="002F2FDF" w14:paraId="4CADD297"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86D462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328837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Брикетов</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448ECB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рабочих на каменноугольных и антрацитных конях к концу периода</w:t>
            </w:r>
          </w:p>
        </w:tc>
      </w:tr>
      <w:tr w:rsidR="002B1C74" w:rsidRPr="002F2FDF" w14:paraId="42F229C1"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374C7D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236CE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5C60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B4BA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2B76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r>
      <w:tr w:rsidR="002B1C74" w:rsidRPr="002F2FDF" w14:paraId="2224143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38B45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A742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69EC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65BB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291.337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9350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208.000</w:t>
            </w:r>
          </w:p>
        </w:tc>
      </w:tr>
      <w:tr w:rsidR="002B1C74" w:rsidRPr="002F2FDF" w14:paraId="5A8464B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27CD6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EEEC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C5C9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9853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291.572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97AA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219.000</w:t>
            </w:r>
          </w:p>
        </w:tc>
      </w:tr>
      <w:tr w:rsidR="002B1C74" w:rsidRPr="002F2FDF" w14:paraId="6CF3A65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19865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3B61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0.65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D34D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12DE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283.809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B6D0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220.000</w:t>
            </w:r>
          </w:p>
        </w:tc>
      </w:tr>
      <w:tr w:rsidR="002B1C74" w:rsidRPr="002F2FDF" w14:paraId="7DAB104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42871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6666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0.65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496A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5495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285.875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B1D9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217.000</w:t>
            </w:r>
          </w:p>
        </w:tc>
      </w:tr>
      <w:tr w:rsidR="002B1C74" w:rsidRPr="002F2FDF" w14:paraId="7AE3AD2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9C7F9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85B6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1.15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7BFE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91AC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276.000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5A18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220.000</w:t>
            </w:r>
          </w:p>
        </w:tc>
      </w:tr>
      <w:tr w:rsidR="002B1C74" w:rsidRPr="002F2FDF" w14:paraId="04FFC6B1"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77D3C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4E5F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1.15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8138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2A64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278.000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178A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222.000</w:t>
            </w:r>
          </w:p>
        </w:tc>
      </w:tr>
      <w:tr w:rsidR="002B1C74" w:rsidRPr="002F2FDF" w14:paraId="6BA41DD1"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76241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3F54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66E7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9208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274.000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2A01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233.460</w:t>
            </w:r>
          </w:p>
        </w:tc>
      </w:tr>
      <w:tr w:rsidR="002B1C74" w:rsidRPr="002F2FDF" w14:paraId="6DFDF76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18D31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7C07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0B47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8C58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F773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236.975</w:t>
            </w:r>
          </w:p>
        </w:tc>
      </w:tr>
      <w:tr w:rsidR="002B1C74" w:rsidRPr="002F2FDF" w14:paraId="48377D3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0A57D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85F9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9170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621D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E1AD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246.462</w:t>
            </w:r>
          </w:p>
        </w:tc>
      </w:tr>
      <w:tr w:rsidR="002B1C74" w:rsidRPr="002F2FDF" w14:paraId="6716ED5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CCB20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59B3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0786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8D99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F861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258.898</w:t>
            </w:r>
          </w:p>
        </w:tc>
      </w:tr>
      <w:tr w:rsidR="002B1C74" w:rsidRPr="002F2FDF" w14:paraId="00E43D2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9C71D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8C87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E172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A076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BFAE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283.940</w:t>
            </w:r>
          </w:p>
        </w:tc>
      </w:tr>
      <w:tr w:rsidR="002B1C74" w:rsidRPr="002F2FDF" w14:paraId="52F3E17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0A58C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Декабрь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CCE2B" w14:textId="3262E4B8"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E20F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25E7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E0B4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288.000</w:t>
            </w:r>
          </w:p>
        </w:tc>
      </w:tr>
      <w:tr w:rsidR="002B1C74" w:rsidRPr="002F2FDF" w14:paraId="5E8866D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1E368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 за весь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EA2C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7559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AEBD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5EE6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237.800</w:t>
            </w:r>
            <w:hyperlink r:id="rId564" w:anchor="bookmark60" w:history="1">
              <w:r w:rsidRPr="002F2FDF">
                <w:rPr>
                  <w:rFonts w:ascii="Times New Roman" w:hAnsi="Times New Roman" w:cs="Times New Roman"/>
                  <w:color w:val="000000" w:themeColor="text1"/>
                  <w:kern w:val="2"/>
                  <w:sz w:val="16"/>
                  <w:szCs w:val="16"/>
                </w:rPr>
                <w:t>**</w:t>
              </w:r>
            </w:hyperlink>
          </w:p>
        </w:tc>
      </w:tr>
      <w:tr w:rsidR="002B1C74" w:rsidRPr="002F2FDF" w14:paraId="6026CA92" w14:textId="77777777" w:rsidTr="00607337">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1DF5759" w14:textId="2636527D"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телеграфным данным (Прим . док.);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**Среднее в месяц. (Прим. док.).</w:t>
            </w:r>
          </w:p>
        </w:tc>
      </w:tr>
    </w:tbl>
    <w:p w14:paraId="4B3629B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том числе: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47"/>
        <w:gridCol w:w="566"/>
        <w:gridCol w:w="566"/>
        <w:gridCol w:w="508"/>
        <w:gridCol w:w="508"/>
        <w:gridCol w:w="580"/>
        <w:gridCol w:w="523"/>
      </w:tblGrid>
      <w:tr w:rsidR="002B1C74" w:rsidRPr="002F2FDF" w14:paraId="59E97E2D" w14:textId="77777777" w:rsidTr="00A32C90">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7EA3F4B" w14:textId="6EE3ABA9"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8B11D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Каменного угля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23826A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Антрацита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F30459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r>
      <w:tr w:rsidR="002B1C74" w:rsidRPr="002F2FDF" w14:paraId="349C98FD" w14:textId="77777777" w:rsidTr="00A32C9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D9A6E8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8ECCE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81CB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2DEB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7EA7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B20C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5B06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r>
      <w:tr w:rsidR="002B1C74" w:rsidRPr="002F2FDF" w14:paraId="08A4F57D"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A5DF4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1-ю четверть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3779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347.15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EC85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366.23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7D90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E3A2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A158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447.47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8C5B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463.23</w:t>
            </w:r>
          </w:p>
        </w:tc>
      </w:tr>
      <w:tr w:rsidR="002B1C74" w:rsidRPr="002F2FDF" w14:paraId="4D116AF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6A7C4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D73C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03D1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374A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E8BA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0318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7DF6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382.22</w:t>
            </w:r>
          </w:p>
        </w:tc>
      </w:tr>
      <w:tr w:rsidR="002B1C74" w:rsidRPr="002F2FDF" w14:paraId="2CA72FDD"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40B68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3-ю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7597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0372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1600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D227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F0A3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8A10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430.00</w:t>
            </w:r>
          </w:p>
        </w:tc>
      </w:tr>
      <w:tr w:rsidR="002B1C74" w:rsidRPr="002F2FDF" w14:paraId="76300D39"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E3F75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4-ю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4BE7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AB5D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FBDB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D2A6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0C26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ED57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476.80</w:t>
            </w:r>
          </w:p>
        </w:tc>
      </w:tr>
      <w:tr w:rsidR="002B1C74" w:rsidRPr="002F2FDF" w14:paraId="752D12F9"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78302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1-ю треть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B358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1908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34B8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4B5B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BC7C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568.47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C142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558.23</w:t>
            </w:r>
          </w:p>
        </w:tc>
      </w:tr>
      <w:tr w:rsidR="002B1C74" w:rsidRPr="002F2FDF" w14:paraId="50AE4C43"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3DC44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EDDB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D534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448.22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FDC4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2465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15A7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941.97*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7449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568.22</w:t>
            </w:r>
          </w:p>
        </w:tc>
      </w:tr>
      <w:tr w:rsidR="002B1C74" w:rsidRPr="002F2FDF" w14:paraId="2CE18134"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B07B2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З-ю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19F0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F705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4AEE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7188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4E4D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CA27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624.80</w:t>
            </w:r>
          </w:p>
        </w:tc>
      </w:tr>
      <w:tr w:rsidR="002B1C74" w:rsidRPr="002F2FDF" w14:paraId="5151BF57"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2676C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8077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638.15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413A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31EB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E815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5A4A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822.97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B5D2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845.45</w:t>
            </w:r>
          </w:p>
        </w:tc>
      </w:tr>
      <w:tr w:rsidR="002B1C74" w:rsidRPr="002F2FDF" w14:paraId="0182107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26577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5D7BC" w14:textId="6214B854"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1EB9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6C9DB" w14:textId="53B512F5"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ABF8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2B0AD" w14:textId="2EAFEEDF"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0C8B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905.80</w:t>
            </w:r>
          </w:p>
        </w:tc>
      </w:tr>
      <w:tr w:rsidR="00474654" w:rsidRPr="002F2FDF" w14:paraId="0631CDE9" w14:textId="77777777" w:rsidTr="00A32C90">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75BD9CB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 в док.; следует: 485.50</w:t>
            </w:r>
          </w:p>
        </w:tc>
      </w:tr>
    </w:tbl>
    <w:p w14:paraId="3FB50FE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p w14:paraId="2030DE5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IIродолжение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78"/>
        <w:gridCol w:w="541"/>
        <w:gridCol w:w="541"/>
        <w:gridCol w:w="654"/>
        <w:gridCol w:w="577"/>
        <w:gridCol w:w="508"/>
        <w:gridCol w:w="523"/>
      </w:tblGrid>
      <w:tr w:rsidR="002B1C74" w:rsidRPr="002F2FDF" w14:paraId="568CCB54" w14:textId="77777777" w:rsidTr="00A32C90">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CEE1B7" w14:textId="75D23007"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4B5D3B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Кокса на копях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8E49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Кокса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609B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заводах</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9E6B7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 кокса</w:t>
            </w:r>
          </w:p>
        </w:tc>
      </w:tr>
      <w:tr w:rsidR="002B1C74" w:rsidRPr="002F2FDF" w14:paraId="072720C4" w14:textId="77777777" w:rsidTr="00A32C9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2614A5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6D592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2D31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9C91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5459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C570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45E6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r>
      <w:tr w:rsidR="002B1C74" w:rsidRPr="002F2FDF" w14:paraId="4A220E0D"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20B64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1-ю четверть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D88A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1283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1C9B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50AC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AB02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5D0A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67.43</w:t>
            </w:r>
          </w:p>
        </w:tc>
      </w:tr>
      <w:tr w:rsidR="002B1C74" w:rsidRPr="002F2FDF" w14:paraId="54CE365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81E6D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2-ю »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1589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153B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5041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BEA0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2E2DE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4514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62.20</w:t>
            </w:r>
          </w:p>
        </w:tc>
      </w:tr>
      <w:tr w:rsidR="002B1C74" w:rsidRPr="002F2FDF" w14:paraId="1EA103DC"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0811A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3-ю »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B2B2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298E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0E94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313D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C723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6D61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70.00</w:t>
            </w:r>
          </w:p>
        </w:tc>
      </w:tr>
      <w:tr w:rsidR="002B1C74" w:rsidRPr="002F2FDF" w14:paraId="3D7CD887"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1DC30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4-ю »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E93B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4CC1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6394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0A8C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17.92</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8569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E35A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69.80</w:t>
            </w:r>
          </w:p>
        </w:tc>
      </w:tr>
      <w:tr w:rsidR="002B1C74" w:rsidRPr="002F2FDF" w14:paraId="331B625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8B87D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1-ю треть.....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7F46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94DB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76E6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18.48</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22D5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1717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AB19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87.64</w:t>
            </w:r>
          </w:p>
        </w:tc>
      </w:tr>
      <w:tr w:rsidR="002B1C74" w:rsidRPr="002F2FDF" w14:paraId="509D76F5"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97A3D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2-ю »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5C7A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902E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0F1F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07F3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CD75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D07B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88.99</w:t>
            </w:r>
          </w:p>
        </w:tc>
      </w:tr>
      <w:tr w:rsidR="002B1C74" w:rsidRPr="002F2FDF" w14:paraId="450C976C"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E9646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3-ю »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E981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E8DA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68.43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D99C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1847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4B2C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AA65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92.80</w:t>
            </w:r>
          </w:p>
        </w:tc>
      </w:tr>
      <w:tr w:rsidR="002B1C74" w:rsidRPr="002F2FDF" w14:paraId="2F929756"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19E41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1-е полугодие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F7E9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7A6C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6880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E071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2787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50E4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129.63</w:t>
            </w:r>
          </w:p>
        </w:tc>
      </w:tr>
      <w:tr w:rsidR="002B1C74" w:rsidRPr="002F2FDF" w14:paraId="08C8A287"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C47F4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2-е »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3BA1B" w14:textId="04416009"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78C8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102.09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7E90C" w14:textId="42E3AEAB"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4338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37.84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95E11" w14:textId="1AE2B2FC"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A897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139.80</w:t>
            </w:r>
          </w:p>
        </w:tc>
      </w:tr>
    </w:tbl>
    <w:p w14:paraId="140FD808" w14:textId="41CDD0D8"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A32C90" w:rsidRPr="002F2FDF">
        <w:rPr>
          <w:rFonts w:ascii="Times New Roman" w:hAnsi="Times New Roman" w:cs="Times New Roman"/>
          <w:color w:val="000000" w:themeColor="text1"/>
          <w:kern w:val="2"/>
          <w:sz w:val="16"/>
          <w:szCs w:val="16"/>
        </w:rPr>
        <w:t>IIродолжение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7"/>
        <w:gridCol w:w="508"/>
        <w:gridCol w:w="508"/>
        <w:gridCol w:w="2685"/>
        <w:gridCol w:w="2700"/>
      </w:tblGrid>
      <w:tr w:rsidR="002B1C74" w:rsidRPr="002F2FDF" w14:paraId="0212ABAB"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EDF6D38" w14:textId="7C074700"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6DCDA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Брикетов</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77E82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рабочих на каменноугольных и антрацитовых копях за средний период</w:t>
            </w:r>
          </w:p>
        </w:tc>
      </w:tr>
      <w:tr w:rsidR="002B1C74" w:rsidRPr="002F2FDF" w14:paraId="5B73EEE8"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1505DC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2A0D3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9956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5608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4887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r>
      <w:tr w:rsidR="002B1C74" w:rsidRPr="002F2FDF" w14:paraId="0DCF9638"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A1248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1-ю четверть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33E9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5D24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0749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672D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216.000</w:t>
            </w:r>
          </w:p>
        </w:tc>
      </w:tr>
      <w:tr w:rsidR="002B1C74" w:rsidRPr="002F2FDF" w14:paraId="58846BF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C2912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832F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8938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0CC2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279.958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3F46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219.600</w:t>
            </w:r>
          </w:p>
        </w:tc>
      </w:tr>
      <w:tr w:rsidR="002B1C74" w:rsidRPr="002F2FDF" w14:paraId="4D1C82C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2E93F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3-ю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F04C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834C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D2CA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5E5C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239.000</w:t>
            </w:r>
          </w:p>
        </w:tc>
      </w:tr>
      <w:tr w:rsidR="002B1C74" w:rsidRPr="002F2FDF" w14:paraId="169F493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D18F1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4-ю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A4E4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AB29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33EA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74BA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277.000</w:t>
            </w:r>
          </w:p>
        </w:tc>
      </w:tr>
      <w:tr w:rsidR="002B1C74" w:rsidRPr="002F2FDF" w14:paraId="010A821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C7EE1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1-ю треть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5A38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01EE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D829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7C76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216.000</w:t>
            </w:r>
          </w:p>
        </w:tc>
      </w:tr>
      <w:tr w:rsidR="002B1C74" w:rsidRPr="002F2FDF" w14:paraId="32E76F1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2D1F2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18FA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11FF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45FE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F456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228.000</w:t>
            </w:r>
          </w:p>
        </w:tc>
      </w:tr>
      <w:tr w:rsidR="002B1C74" w:rsidRPr="002F2FDF" w14:paraId="4A72F36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9EA9C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З-ю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486B2" w14:textId="15B609D0"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02C1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9190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1AF6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269.000</w:t>
            </w:r>
          </w:p>
        </w:tc>
      </w:tr>
      <w:tr w:rsidR="002B1C74" w:rsidRPr="002F2FDF" w14:paraId="5A561A7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F0D9B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C06E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1E78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CA39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284.432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D183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217.800</w:t>
            </w:r>
          </w:p>
        </w:tc>
      </w:tr>
      <w:tr w:rsidR="002B1C74" w:rsidRPr="002F2FDF" w14:paraId="1F7FC0E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43360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BA33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199E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9DE6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4F03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258.000</w:t>
            </w:r>
          </w:p>
        </w:tc>
      </w:tr>
    </w:tbl>
    <w:p w14:paraId="03171E0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О коксовых печах на каменноугольных рудниках и доменных заводах</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00"/>
        <w:gridCol w:w="1813"/>
        <w:gridCol w:w="3484"/>
        <w:gridCol w:w="1812"/>
        <w:gridCol w:w="2413"/>
      </w:tblGrid>
      <w:tr w:rsidR="002B1C74" w:rsidRPr="002F2FDF" w14:paraId="6A0BC36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E7C56A" w14:textId="2503814C"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D494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Имеющихся коксовых печей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1FEF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Предельная месячная производительность имеющихся коксовых печей [в млн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01EF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Строящихся коксовых печей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057F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перестраивающихся . коксовых печей</w:t>
            </w:r>
          </w:p>
        </w:tc>
      </w:tr>
      <w:tr w:rsidR="002B1C74" w:rsidRPr="002F2FDF" w14:paraId="22C2088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54E98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28 каменноугольных рудниках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F3A4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BA10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1CED8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0E3D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r>
      <w:tr w:rsidR="002B1C74" w:rsidRPr="002F2FDF" w14:paraId="64316921"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CEC15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11 доменных заводах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C3FA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3F9E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82C3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678B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5F286CA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9B0BB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 на копях и заводах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DB84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2A61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A088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63D3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r>
    </w:tbl>
    <w:p w14:paraId="2CDE446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Вывоз минерального топлива по железным дорогам [в млн пуд.] (По данным Харьковского горнозаводского комитета)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47"/>
        <w:gridCol w:w="566"/>
        <w:gridCol w:w="566"/>
        <w:gridCol w:w="540"/>
        <w:gridCol w:w="508"/>
        <w:gridCol w:w="540"/>
        <w:gridCol w:w="523"/>
      </w:tblGrid>
      <w:tr w:rsidR="002B1C74" w:rsidRPr="002F2FDF" w14:paraId="7AD0E6E3"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5F2DA3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A95B2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Каменного угля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C1B8AD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Антрацита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7AB1EF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Кокса</w:t>
            </w:r>
          </w:p>
        </w:tc>
      </w:tr>
      <w:tr w:rsidR="002B1C74" w:rsidRPr="002F2FDF" w14:paraId="6FF2E693"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B3692F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B0FB5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77B9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C5BA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486F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B345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2A57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r>
      <w:tr w:rsidR="002B1C74" w:rsidRPr="002F2FDF" w14:paraId="7A0E0E98"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848A8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2C03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41A9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E4BA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95CA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4265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0CAB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12.66</w:t>
            </w:r>
          </w:p>
        </w:tc>
      </w:tr>
      <w:tr w:rsidR="002B1C74" w:rsidRPr="002F2FDF" w14:paraId="75615CB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52D2E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2DC1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219D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67C5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DD02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57566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9F53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12.01</w:t>
            </w:r>
          </w:p>
        </w:tc>
      </w:tr>
      <w:tr w:rsidR="002B1C74" w:rsidRPr="002F2FDF" w14:paraId="7820258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2E4CC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4D4B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09F6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0447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EF0B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6009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06AD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12.38</w:t>
            </w:r>
          </w:p>
        </w:tc>
      </w:tr>
      <w:tr w:rsidR="002B1C74" w:rsidRPr="002F2FDF" w14:paraId="4005E0F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4CA14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5118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DC92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B7D1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BC37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65E5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EB6C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14.24</w:t>
            </w:r>
          </w:p>
        </w:tc>
      </w:tr>
      <w:tr w:rsidR="002B1C74" w:rsidRPr="002F2FDF" w14:paraId="2AB1692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93DE7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B1FD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0C74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8EE2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4B9B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564C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7916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14.05</w:t>
            </w:r>
          </w:p>
        </w:tc>
      </w:tr>
      <w:tr w:rsidR="002B1C74" w:rsidRPr="002F2FDF" w14:paraId="269F90D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1C672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EC09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EAD3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8848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01B1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B094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EF7A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12.54</w:t>
            </w:r>
          </w:p>
        </w:tc>
      </w:tr>
      <w:tr w:rsidR="002B1C74" w:rsidRPr="002F2FDF" w14:paraId="795B76C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856E5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6C35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0C23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86BA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29.70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61F0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084E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10.80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7E22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12.77</w:t>
            </w:r>
          </w:p>
        </w:tc>
      </w:tr>
      <w:tr w:rsidR="002B1C74" w:rsidRPr="002F2FDF" w14:paraId="2615E1B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E9ED7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6E6D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270F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489A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2727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CFC3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3C4E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13.10</w:t>
            </w:r>
          </w:p>
        </w:tc>
      </w:tr>
      <w:tr w:rsidR="002B1C74" w:rsidRPr="002F2FDF" w14:paraId="679C182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80A60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E737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0B86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68.59</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E4FC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69C5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7BD4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4E4D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12.91</w:t>
            </w:r>
          </w:p>
        </w:tc>
      </w:tr>
      <w:tr w:rsidR="002B1C74" w:rsidRPr="002F2FDF" w14:paraId="2360DE0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572FE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6E4A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DB12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3107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CA95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A045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64AD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11.30</w:t>
            </w:r>
          </w:p>
        </w:tc>
      </w:tr>
      <w:tr w:rsidR="002B1C74" w:rsidRPr="002F2FDF" w14:paraId="7E4ED6D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32DC4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8936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C0F4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281B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807E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4E7E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0D2A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11.10</w:t>
            </w:r>
          </w:p>
        </w:tc>
      </w:tr>
      <w:tr w:rsidR="002B1C74" w:rsidRPr="002F2FDF" w14:paraId="2F0D478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94E57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3439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B5F23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B194D" w14:textId="6F007614"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6849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8E0EF" w14:textId="5709C483"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9E90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10.80</w:t>
            </w:r>
          </w:p>
        </w:tc>
      </w:tr>
      <w:tr w:rsidR="002B1C74" w:rsidRPr="002F2FDF" w14:paraId="0D76D83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7CB57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 за весь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995E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7ACC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D5365" w14:textId="10E6DC7F"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52D7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315.37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F38E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5DE1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149.86</w:t>
            </w:r>
          </w:p>
        </w:tc>
      </w:tr>
      <w:tr w:rsidR="002B1C74" w:rsidRPr="002F2FDF" w14:paraId="18F67C78" w14:textId="77777777" w:rsidTr="00607337">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2351ECC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телеграфным данным. (Прим. док.).</w:t>
            </w:r>
          </w:p>
        </w:tc>
      </w:tr>
    </w:tbl>
    <w:p w14:paraId="4311D51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Продолжение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47"/>
        <w:gridCol w:w="508"/>
        <w:gridCol w:w="508"/>
        <w:gridCol w:w="1488"/>
        <w:gridCol w:w="1602"/>
        <w:gridCol w:w="738"/>
        <w:gridCol w:w="693"/>
        <w:gridCol w:w="967"/>
        <w:gridCol w:w="1202"/>
      </w:tblGrid>
      <w:tr w:rsidR="002B1C74" w:rsidRPr="002F2FDF" w14:paraId="5502ED26"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E27E65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Месяцы</w:t>
            </w:r>
          </w:p>
        </w:tc>
        <w:tc>
          <w:tcPr>
            <w:tcW w:w="0" w:type="auto"/>
            <w:gridSpan w:val="2"/>
            <w:vMerge w:val="restart"/>
            <w:tcBorders>
              <w:top w:val="outset" w:sz="6" w:space="0" w:color="auto"/>
              <w:left w:val="outset" w:sz="6" w:space="0" w:color="auto"/>
              <w:bottom w:val="outset" w:sz="6" w:space="0" w:color="auto"/>
              <w:right w:val="outset" w:sz="6" w:space="0" w:color="auto"/>
            </w:tcBorders>
            <w:vAlign w:val="center"/>
            <w:hideMark/>
          </w:tcPr>
          <w:p w14:paraId="7BBC401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Брикетов</w:t>
            </w:r>
          </w:p>
        </w:tc>
        <w:tc>
          <w:tcPr>
            <w:tcW w:w="0" w:type="auto"/>
            <w:gridSpan w:val="2"/>
            <w:vMerge w:val="restart"/>
            <w:tcBorders>
              <w:top w:val="outset" w:sz="6" w:space="0" w:color="auto"/>
              <w:left w:val="outset" w:sz="6" w:space="0" w:color="auto"/>
              <w:bottom w:val="outset" w:sz="6" w:space="0" w:color="auto"/>
              <w:right w:val="outset" w:sz="6" w:space="0" w:color="auto"/>
            </w:tcBorders>
            <w:vAlign w:val="center"/>
            <w:hideMark/>
          </w:tcPr>
          <w:p w14:paraId="7FF2A94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каменного угля, антрацита и брикетов</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B56338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том числе всего минерального топлива</w:t>
            </w:r>
          </w:p>
        </w:tc>
      </w:tr>
      <w:tr w:rsidR="002B1C74" w:rsidRPr="002F2FDF" w14:paraId="3CCB3337"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C50AC5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6DF1324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59233E3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177FA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железных дорог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8890D2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металлургических заводов</w:t>
            </w:r>
          </w:p>
        </w:tc>
      </w:tr>
      <w:tr w:rsidR="002B1C74" w:rsidRPr="002F2FDF" w14:paraId="38D9B8E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78A3EA" w14:textId="08469F3E"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5272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C6A5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7B37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DAB3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EFB2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5152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85B4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330F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r>
      <w:tr w:rsidR="002B1C74" w:rsidRPr="002F2FDF" w14:paraId="42FDE1F8"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97AC4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9976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33D2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E44C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276C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4090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C70F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95E55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CAE0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25.30</w:t>
            </w:r>
          </w:p>
        </w:tc>
      </w:tr>
      <w:tr w:rsidR="002B1C74" w:rsidRPr="002F2FDF" w14:paraId="4C80CA3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D2B83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2F17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7803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E60B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2640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106.59</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3C51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DFDA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966E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EA22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23.39</w:t>
            </w:r>
          </w:p>
        </w:tc>
      </w:tr>
      <w:tr w:rsidR="002B1C74" w:rsidRPr="002F2FDF" w14:paraId="0585730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DAF52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BAA1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914C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F5A7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E198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59CB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A086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1FF5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C5F0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25.38</w:t>
            </w:r>
          </w:p>
        </w:tc>
      </w:tr>
      <w:tr w:rsidR="002B1C74" w:rsidRPr="002F2FDF" w14:paraId="14D374A8"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9A4F7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89C5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1BFE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B805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6923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109.61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5472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7ECA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E86C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55E6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24.98</w:t>
            </w:r>
          </w:p>
        </w:tc>
      </w:tr>
      <w:tr w:rsidR="002B1C74" w:rsidRPr="002F2FDF" w14:paraId="017467D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2EFF6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949B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CF06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E945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E15B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4D3B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B0E7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5BB4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F3FE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25.51</w:t>
            </w:r>
          </w:p>
        </w:tc>
      </w:tr>
      <w:tr w:rsidR="002B1C74" w:rsidRPr="002F2FDF" w14:paraId="7782D15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BFE5E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ІІюнь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3265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178C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2EFC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506A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CAEF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44.90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167C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7885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6A19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27.98</w:t>
            </w:r>
          </w:p>
        </w:tc>
      </w:tr>
      <w:tr w:rsidR="002B1C74" w:rsidRPr="002F2FDF" w14:paraId="6711EC9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A6A1A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40E1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D1F1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D5DB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96.90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0F21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480E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39.80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1CCE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E74A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22.20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CF0E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27.91</w:t>
            </w:r>
          </w:p>
        </w:tc>
      </w:tr>
      <w:tr w:rsidR="002B1C74" w:rsidRPr="002F2FDF" w14:paraId="0ACCF13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AF822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1E03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2D4E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F5E1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A6C7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F89E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9AB1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5AB9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935FB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26.47</w:t>
            </w:r>
          </w:p>
        </w:tc>
      </w:tr>
      <w:tr w:rsidR="002B1C74" w:rsidRPr="002F2FDF" w14:paraId="2A350AA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4E81C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49A7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76B1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3A48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C773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7139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8273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4E66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9036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25.60</w:t>
            </w:r>
          </w:p>
        </w:tc>
      </w:tr>
      <w:tr w:rsidR="002B1C74" w:rsidRPr="002F2FDF" w14:paraId="12A5D85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E62FA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CBE55E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383D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6D7E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4B2B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930D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33C1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5EB1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9BBC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23.40</w:t>
            </w:r>
          </w:p>
        </w:tc>
      </w:tr>
      <w:tr w:rsidR="002B1C74" w:rsidRPr="002F2FDF" w14:paraId="4FFF99A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69AF5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9653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DC91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7B7A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DE5D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6AD2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DF21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DEB7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E550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23.90</w:t>
            </w:r>
          </w:p>
        </w:tc>
      </w:tr>
      <w:tr w:rsidR="002B1C74" w:rsidRPr="002F2FDF" w14:paraId="35ADFC4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B6351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EBD1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A0FF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3A8C3" w14:textId="77D382D8"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E0A8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572D2" w14:textId="6F2B210A"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29D1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20533" w14:textId="564B467D"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E610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25.40</w:t>
            </w:r>
          </w:p>
        </w:tc>
      </w:tr>
      <w:tr w:rsidR="002B1C74" w:rsidRPr="002F2FDF" w14:paraId="055EC6D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B4E1D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 за весь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A284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8778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20.92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E24F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C4CE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1361.30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E1BF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3D6D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565D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0FFB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306.22**</w:t>
            </w:r>
          </w:p>
        </w:tc>
      </w:tr>
      <w:tr w:rsidR="002B1C74" w:rsidRPr="002F2FDF" w14:paraId="2743028E" w14:textId="77777777" w:rsidTr="00607337">
        <w:trPr>
          <w:tblCellSpacing w:w="15"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1FFF7BF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телеграфным данным. (Прим. док.), ** Так в док.; следует.: 305.22</w:t>
            </w:r>
          </w:p>
        </w:tc>
      </w:tr>
    </w:tbl>
    <w:p w14:paraId="50C5BCEE" w14:textId="36C579C6"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59"/>
        <w:gridCol w:w="561"/>
        <w:gridCol w:w="571"/>
        <w:gridCol w:w="508"/>
        <w:gridCol w:w="508"/>
        <w:gridCol w:w="508"/>
        <w:gridCol w:w="508"/>
        <w:gridCol w:w="508"/>
        <w:gridCol w:w="523"/>
      </w:tblGrid>
      <w:tr w:rsidR="002B1C74" w:rsidRPr="002F2FDF" w14:paraId="7F118719"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CEDCAE8" w14:textId="57B3B7AA"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98DF4F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Каменного угля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FB2A3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Антрацита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8EE68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Кокса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82DC5F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Брикетов</w:t>
            </w:r>
          </w:p>
        </w:tc>
      </w:tr>
      <w:tr w:rsidR="002B1C74" w:rsidRPr="002F2FDF" w14:paraId="17B4BD50"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E78C48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17CE4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22B5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5EB3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CAC4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A658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5D34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7C9A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ECFC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r>
      <w:tr w:rsidR="002B1C74" w:rsidRPr="002F2FDF" w14:paraId="3764420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CF614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Среднее за месяц</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2E77C" w14:textId="3EC510A8"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756F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0102F" w14:textId="500D75F8"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9955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41D21" w14:textId="01828B2D"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E36A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2AECE" w14:textId="19238033"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8F96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1.71</w:t>
            </w:r>
          </w:p>
        </w:tc>
      </w:tr>
      <w:tr w:rsidR="002B1C74" w:rsidRPr="002F2FDF" w14:paraId="1C0B523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45D22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1-ю четверть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BB9D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199.81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57C9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234.41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9A6F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8149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AFF8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8F47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77C0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F047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5.80</w:t>
            </w:r>
          </w:p>
        </w:tc>
      </w:tr>
      <w:tr w:rsidR="002B1C74" w:rsidRPr="002F2FDF" w14:paraId="068ABDA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5D49D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78D3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20AA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F193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7DCC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83.87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C964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EFF0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AC7D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29A6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4.88</w:t>
            </w:r>
          </w:p>
        </w:tc>
      </w:tr>
      <w:tr w:rsidR="002B1C74" w:rsidRPr="002F2FDF" w14:paraId="33A20212"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99C3B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3-ю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5675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97E9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A63D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4E1A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98.26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2C15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07E2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54E1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7124E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4.98</w:t>
            </w:r>
          </w:p>
        </w:tc>
      </w:tr>
      <w:tr w:rsidR="002B1C74" w:rsidRPr="002F2FDF" w14:paraId="1C2C590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36371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4-ю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C634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A0A5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206.56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B7A2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92B9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B07E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A983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E160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0C0A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5.26</w:t>
            </w:r>
          </w:p>
        </w:tc>
      </w:tr>
      <w:tr w:rsidR="002B1C74" w:rsidRPr="002F2FDF" w14:paraId="1AFC1EF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614E5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1-ю треть .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855A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264.03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A918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EBCB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98.59</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B9BC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47B6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F3B9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EF98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7CE2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7.19</w:t>
            </w:r>
          </w:p>
        </w:tc>
      </w:tr>
      <w:tr w:rsidR="002B1C74" w:rsidRPr="002F2FDF" w14:paraId="234B870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3C7BB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2E5B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4375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297.81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CAB0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97.70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8EC0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397E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6ED6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D7D2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61B2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6.80</w:t>
            </w:r>
          </w:p>
        </w:tc>
      </w:tr>
      <w:tr w:rsidR="002B1C74" w:rsidRPr="002F2FDF" w14:paraId="191BF84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88AAD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3-ю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E6E3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62C3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AE85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0FBF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F3E2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0F92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3E91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13A7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6.93</w:t>
            </w:r>
          </w:p>
        </w:tc>
      </w:tr>
      <w:tr w:rsidR="002B1C74" w:rsidRPr="002F2FDF" w14:paraId="13D6C8C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0FFBC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BE30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1718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455.53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D877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37D6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EE51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647F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77.87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3AE9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CB05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10.68</w:t>
            </w:r>
          </w:p>
        </w:tc>
      </w:tr>
      <w:tr w:rsidR="002B1C74" w:rsidRPr="002F2FDF" w14:paraId="576C88B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E0A6A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6F96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B24B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419.62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B2AD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8193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170.15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CC81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439F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1D53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7D4FD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10.23</w:t>
            </w:r>
          </w:p>
        </w:tc>
      </w:tr>
      <w:tr w:rsidR="002B1C74" w:rsidRPr="002F2FDF" w14:paraId="0352A1A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C531A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Среднее в месяц за 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E28A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AAB5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C218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F8B6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44B0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E5BF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B4DE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8723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1.78</w:t>
            </w:r>
          </w:p>
        </w:tc>
      </w:tr>
    </w:tbl>
    <w:p w14:paraId="1410D00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Продолжение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59"/>
        <w:gridCol w:w="1769"/>
        <w:gridCol w:w="1769"/>
        <w:gridCol w:w="716"/>
        <w:gridCol w:w="715"/>
        <w:gridCol w:w="975"/>
        <w:gridCol w:w="1194"/>
      </w:tblGrid>
      <w:tr w:rsidR="002B1C74" w:rsidRPr="002F2FDF" w14:paraId="07066C18"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408504A" w14:textId="69EA5412"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gridSpan w:val="2"/>
            <w:vMerge w:val="restart"/>
            <w:tcBorders>
              <w:top w:val="outset" w:sz="6" w:space="0" w:color="auto"/>
              <w:left w:val="outset" w:sz="6" w:space="0" w:color="auto"/>
              <w:bottom w:val="outset" w:sz="6" w:space="0" w:color="auto"/>
              <w:right w:val="outset" w:sz="6" w:space="0" w:color="auto"/>
            </w:tcBorders>
            <w:vAlign w:val="center"/>
            <w:hideMark/>
          </w:tcPr>
          <w:p w14:paraId="2DFD11E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каменного угля, антрацита, кокса и брикетов</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0A3CD4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том числе всего минерального топлива</w:t>
            </w:r>
          </w:p>
        </w:tc>
      </w:tr>
      <w:tr w:rsidR="002B1C74" w:rsidRPr="002F2FDF" w14:paraId="5570031F"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C6D85A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30ACFC3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75555D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железных дорог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FCB4DA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металлургических заводов</w:t>
            </w:r>
          </w:p>
        </w:tc>
      </w:tr>
      <w:tr w:rsidR="002B1C74" w:rsidRPr="002F2FDF" w14:paraId="6A6387F0"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534A03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F343A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7708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4C57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8E2B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F4B9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3E56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r>
      <w:tr w:rsidR="002B1C74" w:rsidRPr="002F2FDF" w14:paraId="6508087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62E9E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Среднее за месяц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39249" w14:textId="16B54D58"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FFF2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113.13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BF566" w14:textId="6E389E43"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2246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BF8F5" w14:textId="15530AA0"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AB1E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25.54</w:t>
            </w:r>
          </w:p>
        </w:tc>
      </w:tr>
      <w:tr w:rsidR="002B1C74" w:rsidRPr="002F2FDF" w14:paraId="6C10328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3AA33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1-ю четверть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5305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301.50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CDAB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338.61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E930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BBF3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2D5D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1F8B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74.07</w:t>
            </w:r>
          </w:p>
        </w:tc>
      </w:tr>
      <w:tr w:rsidR="002B1C74" w:rsidRPr="002F2FDF" w14:paraId="3E16FE7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6EE19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0ECE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DBA6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4E2C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BB7B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149.97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3CAC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6682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78.47</w:t>
            </w:r>
          </w:p>
        </w:tc>
      </w:tr>
      <w:tr w:rsidR="002B1C74" w:rsidRPr="002F2FDF" w14:paraId="5B643A3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2D8BC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3-ю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7212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F142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41CB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E737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144.83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FA38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10D9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79.98</w:t>
            </w:r>
          </w:p>
        </w:tc>
      </w:tr>
      <w:tr w:rsidR="002B1C74" w:rsidRPr="002F2FDF" w14:paraId="1DD3A2A8"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1B4BA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4-ю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32AA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722D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316.91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0E02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44C0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4844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451D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72.70</w:t>
            </w:r>
          </w:p>
        </w:tc>
      </w:tr>
      <w:tr w:rsidR="002B1C74" w:rsidRPr="002F2FDF" w14:paraId="210DB501"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13D7C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1-ю треть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ACC5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407.25 </w:t>
            </w:r>
            <w:hyperlink r:id="rId565" w:anchor="bookmark64" w:history="1">
              <w:r w:rsidRPr="002F2FDF">
                <w:rPr>
                  <w:rFonts w:ascii="Times New Roman" w:hAnsi="Times New Roman" w:cs="Times New Roman"/>
                  <w:color w:val="000000" w:themeColor="text1"/>
                  <w:kern w:val="2"/>
                  <w:sz w:val="16"/>
                  <w:szCs w:val="16"/>
                </w:rPr>
                <w:t>б</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078DB23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448.22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9EF6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2D21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347C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55B5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99.05</w:t>
            </w:r>
          </w:p>
        </w:tc>
      </w:tr>
      <w:tr w:rsidR="002B1C74" w:rsidRPr="002F2FDF" w14:paraId="0DBEAC1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E5BB2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8E40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368.20 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1218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1413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ED15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205.62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1B69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6C3B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107.87</w:t>
            </w:r>
          </w:p>
        </w:tc>
      </w:tr>
      <w:tr w:rsidR="002B1C74" w:rsidRPr="002F2FDF" w14:paraId="272B0C7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DD47D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3-ю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B1B7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97BD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429.26 .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00E1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96A4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F5BD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43C5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99.30</w:t>
            </w:r>
          </w:p>
        </w:tc>
      </w:tr>
      <w:tr w:rsidR="002B1C74" w:rsidRPr="002F2FDF" w14:paraId="3BE9E8D8"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8A735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8CF3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596.34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14FD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689.30 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F9D3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EA80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13A6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B940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152.54</w:t>
            </w:r>
          </w:p>
        </w:tc>
      </w:tr>
      <w:tr w:rsidR="002B1C74" w:rsidRPr="002F2FDF" w14:paraId="5687486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96715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6423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7E3C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672.00 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9CC9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AA1E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1B90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48F3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153.68ж</w:t>
            </w:r>
          </w:p>
        </w:tc>
      </w:tr>
      <w:tr w:rsidR="002B1C74" w:rsidRPr="002F2FDF" w14:paraId="3565A05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F1C1A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Среднее в месяц за 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F17E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99.39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4086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114.88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22B7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A068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8B5B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01D6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25.42</w:t>
            </w:r>
          </w:p>
        </w:tc>
      </w:tr>
      <w:tr w:rsidR="002B1C74" w:rsidRPr="002F2FDF" w14:paraId="714736E6" w14:textId="77777777" w:rsidTr="00607337">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16C3DC0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Так в док.; следует: 301,51;</w:t>
            </w:r>
          </w:p>
          <w:p w14:paraId="72DBDC0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Так в док.; следует: 404,46;</w:t>
            </w:r>
          </w:p>
          <w:p w14:paraId="7794747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Так в док.; следует: 366,20</w:t>
            </w:r>
          </w:p>
          <w:p w14:paraId="15460D7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 Так в док.; следует: 595,74</w:t>
            </w:r>
          </w:p>
          <w:p w14:paraId="3B7F8CA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 Так в док.; следует: 595,74</w:t>
            </w:r>
          </w:p>
          <w:p w14:paraId="27430D1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 Так в док.; следует: 671,99</w:t>
            </w:r>
          </w:p>
          <w:p w14:paraId="525A67A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ж. Так в док.; следует: 152,68</w:t>
            </w:r>
          </w:p>
        </w:tc>
      </w:tr>
    </w:tbl>
    <w:p w14:paraId="54120F7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Основное и дополнительное назначение в сравнении с фактической погрузкой, а также причины недогруза минерального топлива за январь—август 1917 г.</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4"/>
        <w:gridCol w:w="695"/>
        <w:gridCol w:w="637"/>
        <w:gridCol w:w="500"/>
        <w:gridCol w:w="2987"/>
        <w:gridCol w:w="525"/>
        <w:gridCol w:w="696"/>
        <w:gridCol w:w="1383"/>
        <w:gridCol w:w="527"/>
      </w:tblGrid>
      <w:tr w:rsidR="002B1C74" w:rsidRPr="002F2FDF" w14:paraId="5EA5FE1F"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3E8101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8BDFD4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Назначение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BA9513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9EC54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Фактическая погрузка против назначенной</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B0374D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Причины недогруза по месяцам</w:t>
            </w:r>
          </w:p>
        </w:tc>
      </w:tr>
      <w:tr w:rsidR="002B1C74" w:rsidRPr="002F2FDF" w14:paraId="1F4B1442"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112D6F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ACC695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основное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EF1F24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дополни</w:t>
            </w:r>
          </w:p>
          <w:p w14:paraId="62E7F57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тельное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7BFC89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38023B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5E65CD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отказы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183D97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p w14:paraId="1A3AFA7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неподано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3A72BE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них</w:t>
            </w:r>
          </w:p>
        </w:tc>
      </w:tr>
      <w:tr w:rsidR="002B1C74" w:rsidRPr="002F2FDF" w14:paraId="06AA02D1"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E54E05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92E9A6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BE661D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044820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F3DD36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E34C5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F3809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99E1E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недостаток вагонов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D013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запре</w:t>
            </w:r>
          </w:p>
          <w:p w14:paraId="53A5473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щений</w:t>
            </w:r>
          </w:p>
        </w:tc>
      </w:tr>
      <w:tr w:rsidR="002B1C74" w:rsidRPr="002F2FDF" w14:paraId="1F645BA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3ACCB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D4D1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147.10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2804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034B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2C29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1108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3B87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7F07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0D33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13.60</w:t>
            </w:r>
          </w:p>
        </w:tc>
      </w:tr>
      <w:tr w:rsidR="002B1C74" w:rsidRPr="002F2FDF" w14:paraId="542C96D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1CA14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426E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127.55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5BE1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A657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166.30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2D89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C4E0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A6AA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BBD5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BF03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6.80</w:t>
            </w:r>
          </w:p>
        </w:tc>
      </w:tr>
      <w:tr w:rsidR="002B1C74" w:rsidRPr="002F2FDF" w14:paraId="1ED3E98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A2F2E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D17A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125.04</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1410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79726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6BBB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C8E0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1C35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FB2C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B464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4.30</w:t>
            </w:r>
          </w:p>
        </w:tc>
      </w:tr>
      <w:tr w:rsidR="002B1C74" w:rsidRPr="002F2FDF" w14:paraId="414066F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B2FB3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C740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B09F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A9DD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597F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3E9A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7562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0EFA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5EF0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2.30</w:t>
            </w:r>
          </w:p>
        </w:tc>
      </w:tr>
      <w:tr w:rsidR="002B1C74" w:rsidRPr="002F2FDF" w14:paraId="08AAED4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BBEAA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4D97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8505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E57A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61AF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4E8B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FB74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6E4A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DB30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4.20</w:t>
            </w:r>
          </w:p>
        </w:tc>
      </w:tr>
      <w:tr w:rsidR="002B1C74" w:rsidRPr="002F2FDF" w14:paraId="3E6CEC5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5D00A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DD96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B52F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A86D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3363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43D4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FC52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BC1D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8FA7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6.20</w:t>
            </w:r>
          </w:p>
        </w:tc>
      </w:tr>
      <w:tr w:rsidR="002B1C74" w:rsidRPr="002F2FDF" w14:paraId="749C2C0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B381E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C1D0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2EE7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2F8F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4E16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7506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47D8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04C0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28EC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9.80</w:t>
            </w:r>
          </w:p>
        </w:tc>
      </w:tr>
      <w:tr w:rsidR="002B1C74" w:rsidRPr="002F2FDF" w14:paraId="3ECC76E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51EA2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18DE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D8A5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0367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75D5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5673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697A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5C61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DAFC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5.50</w:t>
            </w:r>
          </w:p>
        </w:tc>
      </w:tr>
    </w:tbl>
    <w:p w14:paraId="44FB269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 Запасы минерального топлива к концу месяца на каменноугольных и антрацитовых копях</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7"/>
        <w:gridCol w:w="583"/>
        <w:gridCol w:w="549"/>
        <w:gridCol w:w="540"/>
        <w:gridCol w:w="508"/>
        <w:gridCol w:w="620"/>
        <w:gridCol w:w="655"/>
        <w:gridCol w:w="595"/>
        <w:gridCol w:w="610"/>
      </w:tblGrid>
      <w:tr w:rsidR="002B1C74" w:rsidRPr="002F2FDF" w14:paraId="66AAB667"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203FCB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02E97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Каменного угля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C39D7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Антрацита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B7E097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3E360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Кокса (на копях)</w:t>
            </w:r>
          </w:p>
        </w:tc>
      </w:tr>
      <w:tr w:rsidR="002B1C74" w:rsidRPr="002F2FDF" w14:paraId="7D72D738"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E2478C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3AC26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0241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61F5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D05E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92D3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861D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E13D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B719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r>
      <w:tr w:rsidR="002B1C74" w:rsidRPr="002F2FDF" w14:paraId="746DA62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B7863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4C40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0DE1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3FB6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FA3D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D1C4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109.01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30AA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CF63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DBF3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11.27</w:t>
            </w:r>
          </w:p>
        </w:tc>
      </w:tr>
      <w:tr w:rsidR="002B1C74" w:rsidRPr="002F2FDF" w14:paraId="1C79110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8B1CA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7E6D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FF00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97.47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8AE5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4F90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1541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114.78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396B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185.83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A230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EABF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11.25</w:t>
            </w:r>
          </w:p>
        </w:tc>
      </w:tr>
      <w:tr w:rsidR="002B1C74" w:rsidRPr="002F2FDF" w14:paraId="18B080A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902D1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F820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50.00 </w:t>
            </w:r>
            <w:hyperlink r:id="rId566" w:anchor="bookmark65" w:history="1">
              <w:r w:rsidRPr="002F2FDF">
                <w:rPr>
                  <w:rFonts w:ascii="Times New Roman" w:hAnsi="Times New Roman" w:cs="Times New Roman"/>
                  <w:color w:val="000000" w:themeColor="text1"/>
                  <w:kern w:val="2"/>
                  <w:sz w:val="16"/>
                  <w:szCs w:val="16"/>
                </w:rPr>
                <w:t>*</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74CB63D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97.90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2E6A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79F1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97.23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DEF1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128.00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A541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195.13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8F79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FDBD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12.18</w:t>
            </w:r>
          </w:p>
        </w:tc>
      </w:tr>
      <w:tr w:rsidR="002B1C74" w:rsidRPr="002F2FDF" w14:paraId="6B22247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43273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4E99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2E41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4CE5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DFD0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20D8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106.00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DCF2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1069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6157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8.60</w:t>
            </w:r>
          </w:p>
        </w:tc>
      </w:tr>
      <w:tr w:rsidR="002B1C74" w:rsidRPr="002F2FDF" w14:paraId="29ADBE8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DD9F7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BF8A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E85F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54AA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D321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83.91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8A01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97.00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32BA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138.91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DE16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D40D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6.01</w:t>
            </w:r>
          </w:p>
        </w:tc>
      </w:tr>
      <w:tr w:rsidR="002B1C74" w:rsidRPr="002F2FDF" w14:paraId="00D566F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72A73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4E97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CDB2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F98F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B3D7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248B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B59D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22EA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564B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5.27</w:t>
            </w:r>
          </w:p>
        </w:tc>
      </w:tr>
      <w:tr w:rsidR="002B1C74" w:rsidRPr="002F2FDF" w14:paraId="4E89C2B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DD060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DEA2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CBFC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73E1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4F25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09C4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78ED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F48C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824D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4.61</w:t>
            </w:r>
          </w:p>
        </w:tc>
      </w:tr>
      <w:tr w:rsidR="002B1C74" w:rsidRPr="002F2FDF" w14:paraId="0AB5CB9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00B1D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25AA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C3CD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7CAB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8C5E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D908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E61C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B291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3A6E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3.74</w:t>
            </w:r>
          </w:p>
        </w:tc>
      </w:tr>
      <w:tr w:rsidR="002B1C74" w:rsidRPr="002F2FDF" w14:paraId="23E6FFD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4F84F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CEB4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A938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982B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9ACC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654D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284D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E1A4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39D5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3.04</w:t>
            </w:r>
          </w:p>
        </w:tc>
      </w:tr>
      <w:tr w:rsidR="002B1C74" w:rsidRPr="002F2FDF" w14:paraId="5C2AE65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F0FB7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D19A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E899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04E5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AA1E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1A7E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24CD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A8F5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1B236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4.14</w:t>
            </w:r>
          </w:p>
        </w:tc>
      </w:tr>
      <w:tr w:rsidR="002B1C74" w:rsidRPr="002F2FDF" w14:paraId="7C1BB89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D448A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380A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BBF8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F08E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5CA4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EEF4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D26B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32AB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AD8C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5.24</w:t>
            </w:r>
          </w:p>
        </w:tc>
      </w:tr>
      <w:tr w:rsidR="002B1C74" w:rsidRPr="002F2FDF" w14:paraId="39F609B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845DD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06F0C" w14:textId="6CF8AA42"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101D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F7C53" w14:textId="535AE01D"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16E5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2F8EA" w14:textId="2A0CC131"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405C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E2B77" w14:textId="5BFA3580"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61FF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4.00</w:t>
            </w:r>
          </w:p>
        </w:tc>
      </w:tr>
      <w:tr w:rsidR="002B1C74" w:rsidRPr="002F2FDF" w14:paraId="7F3C253F" w14:textId="77777777" w:rsidTr="00607337">
        <w:trPr>
          <w:tblCellSpacing w:w="15"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2EE0C04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7753B72C" w14:textId="77777777" w:rsidTr="00607337">
        <w:trPr>
          <w:tblCellSpacing w:w="15"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416DE57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телеграфным данным. (Прим. док.).</w:t>
            </w:r>
          </w:p>
          <w:p w14:paraId="3008B83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Так в док.; следует: 170.00</w:t>
            </w:r>
          </w:p>
          <w:p w14:paraId="598FA90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Опущены сведения о вывозе руды, чугуна, соли и флюсов.</w:t>
            </w:r>
          </w:p>
        </w:tc>
      </w:tr>
    </w:tbl>
    <w:p w14:paraId="61A7001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Телеграфные сведения о назначении и погрузке минерального топлива по роду топлива и по дорогам отправления, а также других горнозаводских грузов за август 1917 г.</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16"/>
        <w:gridCol w:w="2700"/>
        <w:gridCol w:w="1668"/>
        <w:gridCol w:w="2580"/>
        <w:gridCol w:w="355"/>
      </w:tblGrid>
      <w:tr w:rsidR="002B1C74" w:rsidRPr="002F2FDF" w14:paraId="12FF80A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BAEB16" w14:textId="37134BA4"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9937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Назначено (вместе с дополнительным)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A37D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Погружено (в млн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CC1C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Увеличение (+) или уменьшение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3534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142D3BA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F630D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BD90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2D62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EC84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5F60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36.4</w:t>
            </w:r>
          </w:p>
        </w:tc>
      </w:tr>
      <w:tr w:rsidR="002B1C74" w:rsidRPr="002F2FDF" w14:paraId="521C538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560A8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Антрацита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D970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6FEA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3CE6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1B2F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35.9</w:t>
            </w:r>
          </w:p>
        </w:tc>
      </w:tr>
      <w:tr w:rsidR="002B1C74" w:rsidRPr="002F2FDF" w14:paraId="082709F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BD1DB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8B2E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3B96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BB54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7168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14.4</w:t>
            </w:r>
          </w:p>
        </w:tc>
      </w:tr>
      <w:tr w:rsidR="002B1C74" w:rsidRPr="002F2FDF" w14:paraId="5FE05E2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B5031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39CF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85D0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5DE7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3430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34.0</w:t>
            </w:r>
          </w:p>
        </w:tc>
      </w:tr>
      <w:tr w:rsidR="002B1C74" w:rsidRPr="002F2FDF" w14:paraId="58D159F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88F7D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дорогам: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93F6F" w14:textId="78F224D2"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36BF9" w14:textId="2C5BFD6B"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229D1" w14:textId="3A389036"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B023B" w14:textId="74674C20" w:rsidR="00A32C90"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9AC9EC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752BF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Екатерининской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4E81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8A54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9765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E213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33.1</w:t>
            </w:r>
          </w:p>
        </w:tc>
      </w:tr>
      <w:tr w:rsidR="002B1C74" w:rsidRPr="002F2FDF" w14:paraId="2501A522"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5539A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Южным..........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1760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A244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F0FB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B8BDF"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44.1</w:t>
            </w:r>
          </w:p>
        </w:tc>
      </w:tr>
      <w:tr w:rsidR="002B1C74" w:rsidRPr="002F2FDF" w14:paraId="6DB35CF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28C8E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Юго-Восточным......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FADD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DEBB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8FC8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CF5E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26.1</w:t>
            </w:r>
          </w:p>
        </w:tc>
      </w:tr>
      <w:tr w:rsidR="002B1C74" w:rsidRPr="002F2FDF" w14:paraId="0115E41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03324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Северо-Донецкой......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D661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2BAC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43B2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D753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40.9</w:t>
            </w:r>
          </w:p>
        </w:tc>
      </w:tr>
      <w:tr w:rsidR="002B1C74" w:rsidRPr="002F2FDF" w14:paraId="1FAC791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DC39E5"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5E37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4AA1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E2E6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—42.3 </w:t>
            </w:r>
            <w:hyperlink r:id="rId567" w:anchor="bookmark67" w:history="1">
              <w:r w:rsidRPr="002F2FDF">
                <w:rPr>
                  <w:rFonts w:ascii="Times New Roman" w:hAnsi="Times New Roman" w:cs="Times New Roman"/>
                  <w:color w:val="000000" w:themeColor="text1"/>
                  <w:kern w:val="2"/>
                  <w:sz w:val="16"/>
                  <w:szCs w:val="16"/>
                </w:rPr>
                <w:t>*</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6CD76E3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34.0</w:t>
            </w:r>
          </w:p>
        </w:tc>
      </w:tr>
      <w:tr w:rsidR="002B1C74" w:rsidRPr="002F2FDF" w14:paraId="47B76B9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AF49D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0A40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29CF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C1DD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0F1C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58.2</w:t>
            </w:r>
          </w:p>
        </w:tc>
      </w:tr>
      <w:tr w:rsidR="002B1C74" w:rsidRPr="002F2FDF" w14:paraId="568F6BE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A7E1C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Флюсов............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CE87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F8D1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3FC4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2ED1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33.3</w:t>
            </w:r>
          </w:p>
        </w:tc>
      </w:tr>
      <w:tr w:rsidR="002B1C74" w:rsidRPr="002F2FDF" w14:paraId="5F1D27A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2AFB6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C1FC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CAC7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1963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CAA4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29.8</w:t>
            </w:r>
          </w:p>
        </w:tc>
      </w:tr>
      <w:tr w:rsidR="002B1C74" w:rsidRPr="002F2FDF" w14:paraId="09E7FDD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8724E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Чугуна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FC00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7C8F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519C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99DD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20.6</w:t>
            </w:r>
          </w:p>
        </w:tc>
      </w:tr>
      <w:tr w:rsidR="002B1C74" w:rsidRPr="002F2FDF" w14:paraId="6C0FA80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0213A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горнозаводских грузов .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97CE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9BECD"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99552"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20BE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39.1</w:t>
            </w:r>
          </w:p>
        </w:tc>
      </w:tr>
      <w:tr w:rsidR="002B1C74" w:rsidRPr="002F2FDF" w14:paraId="6E60313F" w14:textId="77777777" w:rsidTr="00607337">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2FAF2D0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Так в док.; следует: —42.4 ** Так в док.; следует: —74.4</w:t>
            </w:r>
          </w:p>
        </w:tc>
      </w:tr>
    </w:tbl>
    <w:p w14:paraId="7B4E42CE" w14:textId="77777777" w:rsidR="00A32C90" w:rsidRPr="002F2FDF" w:rsidRDefault="00000000"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pict w14:anchorId="067972D4">
          <v:rect id="_x0000_i1028" style="width:186.45pt;height:0" o:hrpct="330" o:hrstd="t" o:hr="t" fillcolor="#a0a0a0" stroked="f"/>
        </w:pict>
      </w:r>
    </w:p>
    <w:p w14:paraId="0465E209" w14:textId="77777777" w:rsidR="00A32C90"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68" w:anchor="_ftnref1" w:history="1">
        <w:r w:rsidR="00A32C90" w:rsidRPr="002F2FDF">
          <w:rPr>
            <w:rFonts w:ascii="Times New Roman" w:hAnsi="Times New Roman" w:cs="Times New Roman"/>
            <w:color w:val="000000" w:themeColor="text1"/>
            <w:kern w:val="2"/>
            <w:sz w:val="16"/>
            <w:szCs w:val="16"/>
          </w:rPr>
          <w:t>[1]</w:t>
        </w:r>
      </w:hyperlink>
      <w:r w:rsidR="00A32C90" w:rsidRPr="002F2FDF">
        <w:rPr>
          <w:rFonts w:ascii="Times New Roman" w:hAnsi="Times New Roman" w:cs="Times New Roman"/>
          <w:color w:val="000000" w:themeColor="text1"/>
          <w:kern w:val="2"/>
          <w:sz w:val="16"/>
          <w:szCs w:val="16"/>
        </w:rPr>
        <w:t xml:space="preserve"> Датируется по содержанию док. (15697).</w:t>
      </w:r>
    </w:p>
    <w:p w14:paraId="539D16D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p w14:paraId="4C82DA7A"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 1917 г. Проект представления Управления делами Особого совещания по топливу председателю Главного экономического комитета о необходимости сооружения второго нефтепровода Грозный— Петровск для разгрузки грозненских промыслов от нефтепродуктов.</w:t>
      </w:r>
    </w:p>
    <w:p w14:paraId="53044B04"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84-85</w:t>
      </w:r>
    </w:p>
    <w:p w14:paraId="66BECA5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92, оп. 1, д. 1855, лл. 338, 341, 341об. Черновик.</w:t>
      </w:r>
    </w:p>
    <w:p w14:paraId="40656F68"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Нефтяная секция Особого совещания но топливу в заседании 31 августа с. г. при обсуждении общего вопроса о мерах к усилению добычи нефти и улучшению условий транспорта нефтяных продуктов признала настоятельно необходимым вновь возбудить вопрос о скорейшем сооружении второго нефтепровода между Петровском и Грозным</w:t>
      </w:r>
      <w:hyperlink r:id="rId569" w:anchor="_ftn2" w:history="1">
        <w:r w:rsidRPr="002F2FDF">
          <w:rPr>
            <w:rFonts w:ascii="Times New Roman" w:hAnsi="Times New Roman" w:cs="Times New Roman"/>
            <w:color w:val="000000" w:themeColor="text1"/>
            <w:kern w:val="2"/>
            <w:sz w:val="16"/>
            <w:szCs w:val="16"/>
          </w:rPr>
          <w:t>[2]</w:t>
        </w:r>
      </w:hyperlink>
      <w:r w:rsidRPr="002F2FDF">
        <w:rPr>
          <w:rFonts w:ascii="Times New Roman" w:hAnsi="Times New Roman" w:cs="Times New Roman"/>
          <w:color w:val="000000" w:themeColor="text1"/>
          <w:kern w:val="2"/>
          <w:sz w:val="16"/>
          <w:szCs w:val="16"/>
        </w:rPr>
        <w:t>, для какового сооружения требовалось бы 430 тыс. пуд. железа для труб и 280 тыс. пуд. для хранилищ.</w:t>
      </w:r>
    </w:p>
    <w:p w14:paraId="0E6FAFAB"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недостаточной производительности металлургических заводов указанное количество необходимого для сооружения нефтепровода металла Металлургическим комитетом до сих пор не было предоставлено, и Никополь-Мариупольский завод, приступивший к работам по сооружению сего нефтепровода и изготовивший уже 50 тыс. иуд. труб, должен был последние прекратить.</w:t>
      </w:r>
    </w:p>
    <w:p w14:paraId="6DB2E02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Основной причиной отказа в предоставлении металла на это сооружение послужило то обстоятельство, что таковое предоставление, сопряженное с отвлечением на это дело значительного количества железа, может затруднить удовлетворение в железе текущей потребности цефтяной промышленности.</w:t>
      </w:r>
    </w:p>
    <w:p w14:paraId="024E186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Вопрос о сооружении нефтепровода был отложен на неопределенное время. Между тем в данное время в Грозненском промысловом районе наблюдается резкое повышение добычи за счет фонтанной нефти, при этом продолжающееся и ныне бурение, а равно преобладание тартальной добычи дают основание полагать, что наблюдающееся усиление является неслучайным и, по всей вероятности, будет иметь место и в будущем .</w:t>
      </w:r>
    </w:p>
    <w:p w14:paraId="0909FD69"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Наряду с указанным ростом добычи в Грозненском промысловом районе стали также увеличиваться затруднения в транспортировании нефтяных продуктов, вызванные усилением добычи парафинистых нефтей и недостатком вагонов-цистерн.</w:t>
      </w:r>
    </w:p>
    <w:p w14:paraId="5F4B532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невозможности усилить в данное время вывоз нефти в цистернах, а равно и вследствие недостаточной пропускной способности нефтепровода об-ва «И. А. Ахвердов и К0», принимающего для перекачки не более 5 млн. пуд. ежемесячно, в Грозненском промысловом районе ныне наблюдается угрожающее скопление темных нефтяных продуктов, коими заполнена значительная часть имеющихся на промыслах хранилищ.</w:t>
      </w:r>
    </w:p>
    <w:p w14:paraId="67C1DDDE"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Правда, хотя и предприняты меры к предотвращению создавшихся затруднений, как-то благодаря содействию нефтяной секции Совещания, железнодорожный тариф на участке Грозный—Петровск понижен и сделано распоряжение о присылке в Грозный 250 вагонов-цистерн с Закавказской</w:t>
      </w:r>
    </w:p>
    <w:p w14:paraId="13696EFC"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ж. д., тем не менее положение продолжает оставаться критическим; более 10 млн пуд. прироста ежемесячной добычи оказались заблокированными в Грозном, вызвав переполнение всех хранилищ и печальную необходимость закрытия 11 фонтанных и 67 тартальных скважин с первоначальной суточной добычей приблизительно в 1200 тыс. пуд. из тартальных и в 650 тыс. пуд. фонтанирующих скважин (что составляет более 20 млн пуд. ежемесячной добычи).</w:t>
      </w:r>
    </w:p>
    <w:p w14:paraId="4ED36B2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Произведенное на месте командированным от Управления делами инж. В. К. Борисевичем обследование затруднений, вызываемых усилением добычи парафинистых нефтей, подтвердило необходимость скорейшего сооружения второго грозненского нефтепровода.</w:t>
      </w:r>
    </w:p>
    <w:p w14:paraId="1FC2741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обсуждении сего вопроса в нефтяной секции отмечалось, что необходимое количество металла для сооружения нефтепровода может быть найдено, так как на многих металлургических заводах констатируются огромные залежи железа, не востребованного разными ведомствами и учреждениями.</w:t>
      </w:r>
    </w:p>
    <w:p w14:paraId="01EC3D53"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Нефтяная секция Особого совещания по топливу, всемерно поддерживая поступившее в Особое совещание по топливу ходатайство Совета съезда терских нефтепромышленников о незамедлительном разрешении Никополь-Мариуиольскому заводу прокатки сверх отпускаемой Кавказской нефтепромышленности нормы металла дополнительно 400 тыс. пуд. ежемесячно для окончания работ по постройке помянутого нефтепровода, с своей стороны предоставление железа, потребного для сего Нико-поль-Мариуиольскому заводу, находит безусловно необходимым.</w:t>
      </w:r>
    </w:p>
    <w:p w14:paraId="5EF937A6"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Докладывая о вышеизложенном, Управление делами имеет честь покорнейше просить вас, г. председатель, о знесении сего вопроса в Экономический комитет при Временном правительстве.</w:t>
      </w:r>
    </w:p>
    <w:p w14:paraId="19D8B260"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Управляющий делами Особого совещания.</w:t>
      </w:r>
    </w:p>
    <w:p w14:paraId="293FD9E7"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 о. начальника нефтяного отдела.</w:t>
      </w:r>
    </w:p>
    <w:p w14:paraId="11974245" w14:textId="77777777" w:rsidR="00A32C90"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70" w:anchor="_ftnref1" w:history="1">
        <w:r w:rsidR="00A32C90" w:rsidRPr="002F2FDF">
          <w:rPr>
            <w:rFonts w:ascii="Times New Roman" w:hAnsi="Times New Roman" w:cs="Times New Roman"/>
            <w:color w:val="000000" w:themeColor="text1"/>
            <w:kern w:val="2"/>
            <w:sz w:val="16"/>
            <w:szCs w:val="16"/>
          </w:rPr>
          <w:t>[1]</w:t>
        </w:r>
      </w:hyperlink>
      <w:r w:rsidR="00A32C90" w:rsidRPr="002F2FDF">
        <w:rPr>
          <w:rFonts w:ascii="Times New Roman" w:hAnsi="Times New Roman" w:cs="Times New Roman"/>
          <w:color w:val="000000" w:themeColor="text1"/>
          <w:kern w:val="2"/>
          <w:sz w:val="16"/>
          <w:szCs w:val="16"/>
        </w:rPr>
        <w:t xml:space="preserve"> Датируется по содержанию док.</w:t>
      </w:r>
    </w:p>
    <w:p w14:paraId="72D61240" w14:textId="77777777" w:rsidR="00A32C90"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71" w:anchor="_ftnref2" w:history="1">
        <w:r w:rsidR="00A32C90" w:rsidRPr="002F2FDF">
          <w:rPr>
            <w:rFonts w:ascii="Times New Roman" w:hAnsi="Times New Roman" w:cs="Times New Roman"/>
            <w:color w:val="000000" w:themeColor="text1"/>
            <w:kern w:val="2"/>
            <w:sz w:val="16"/>
            <w:szCs w:val="16"/>
          </w:rPr>
          <w:t>[2]</w:t>
        </w:r>
      </w:hyperlink>
      <w:r w:rsidR="00A32C90" w:rsidRPr="002F2FDF">
        <w:rPr>
          <w:rFonts w:ascii="Times New Roman" w:hAnsi="Times New Roman" w:cs="Times New Roman"/>
          <w:color w:val="000000" w:themeColor="text1"/>
          <w:kern w:val="2"/>
          <w:sz w:val="16"/>
          <w:szCs w:val="16"/>
        </w:rPr>
        <w:t xml:space="preserve"> См. док 1937 вышел приказ НКОП № 359 </w:t>
      </w:r>
      <w:hyperlink r:id="rId572" w:history="1">
        <w:r w:rsidR="00A32C90" w:rsidRPr="002F2FDF">
          <w:rPr>
            <w:rFonts w:ascii="Times New Roman" w:hAnsi="Times New Roman" w:cs="Times New Roman"/>
            <w:color w:val="000000" w:themeColor="text1"/>
            <w:kern w:val="2"/>
            <w:sz w:val="16"/>
            <w:szCs w:val="16"/>
          </w:rPr>
          <w:t>«Из журнала заседания Нефтяной секции Особого совещания по топливу о необходимости сооружения второго нефтепровода…»</w:t>
        </w:r>
      </w:hyperlink>
      <w:r w:rsidR="00A32C90" w:rsidRPr="002F2FDF">
        <w:rPr>
          <w:rFonts w:ascii="Times New Roman" w:hAnsi="Times New Roman" w:cs="Times New Roman"/>
          <w:color w:val="000000" w:themeColor="text1"/>
          <w:kern w:val="2"/>
          <w:sz w:val="16"/>
          <w:szCs w:val="16"/>
        </w:rPr>
        <w:t xml:space="preserve"> (15694).</w:t>
      </w:r>
    </w:p>
    <w:p w14:paraId="19872281" w14:textId="77777777" w:rsidR="00A32C90" w:rsidRPr="002F2FDF" w:rsidRDefault="00A32C90" w:rsidP="0083075A">
      <w:pPr>
        <w:spacing w:after="0" w:line="240" w:lineRule="auto"/>
        <w:jc w:val="both"/>
        <w:rPr>
          <w:rFonts w:ascii="Times New Roman" w:hAnsi="Times New Roman" w:cs="Times New Roman"/>
          <w:color w:val="000000" w:themeColor="text1"/>
          <w:kern w:val="2"/>
          <w:sz w:val="16"/>
          <w:szCs w:val="16"/>
        </w:rPr>
      </w:pPr>
    </w:p>
    <w:p w14:paraId="04EF6D09" w14:textId="77777777" w:rsidR="00531997" w:rsidRPr="002F2FDF" w:rsidRDefault="00531997"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сентябре 1917г. военному агенту в Париже поручили “сообщить результаты испытаний танков легкого типа “Рено" с одним пулеметом” (в это время завод “Рено” только-только закончил постройкой первые серийные легкие танки). В октябре находящаяся в Англии комиссия ГВТУ обратила внимание на “новый тип тяжелых полевых крейсеров английской армии” (скорее всего, имелся в виду прототип тяжелого Mk V, но термин “крейсер” наводит на мысль и о прототипе среднего Мк А). В обоих случаях подчеркивалась проходимость танков, имевшая “огромное для русских условий значение”. Однако ни французские, ни английские танки так и не попали в Россию – союзники, сами лишь разворачивавшие выпуск нового средства войны, не слишком спешили делиться им с русской стороной (англичане предпочитали не только “маскировать” свои работы мифическими "русскими заказами”, но даже показывали танки русским представителям неохотно), а тут еще и начавшаяся русская революция. Зато в 1918 г. танки союзников “добрались” сюда для противодействий красным армиям, после чего в качестве трофеев все-таки стали первой материальной частью танковых сил, но уже РККА.</w:t>
      </w:r>
    </w:p>
    <w:p w14:paraId="7036B40E" w14:textId="77777777" w:rsidR="00531997" w:rsidRPr="002F2FDF" w:rsidRDefault="00531997"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Новый план формирования броневых частей русской армии выглядел вполне реально, тактический и технический опыт личного состава бронечастей также обещал удачное применение новых машин, однако реализовать план не удалось даже частично. И помешала этому не революция сама по себе, а общее положение надорвавшейся русской промышленности и глубокий финансовый кризис – то есть те же причины, которые и подготовили революцию.</w:t>
      </w:r>
    </w:p>
    <w:p w14:paraId="7DA6695B" w14:textId="77777777" w:rsidR="00531997" w:rsidRPr="002F2FDF" w:rsidRDefault="00531997"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Все это вызвало приостановку работ, затрудняло необходимые новые закупки шасси и оборудования, а развернувшиеся с февраля 1917г. события лишь довершили дело (20250).</w:t>
      </w:r>
    </w:p>
    <w:p w14:paraId="7424B407" w14:textId="77777777" w:rsidR="00531997" w:rsidRPr="002F2FDF" w:rsidRDefault="00531997" w:rsidP="0083075A">
      <w:pPr>
        <w:shd w:val="clear" w:color="auto" w:fill="FFFFFF"/>
        <w:spacing w:after="0" w:line="240" w:lineRule="auto"/>
        <w:jc w:val="both"/>
        <w:rPr>
          <w:rFonts w:ascii="Times New Roman" w:hAnsi="Times New Roman" w:cs="Times New Roman"/>
          <w:color w:val="000000" w:themeColor="text1"/>
          <w:sz w:val="16"/>
          <w:szCs w:val="16"/>
        </w:rPr>
      </w:pPr>
    </w:p>
    <w:p w14:paraId="70436F13" w14:textId="77777777" w:rsidR="008F10E6" w:rsidRPr="002F2FDF" w:rsidRDefault="008F10E6"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 сентябре 1917 г. в MBО командир 2-й запасной бригады рапортовал, что бригаде тяжелой артиллерии остро не хватало тракторов и грузовиков, но «если бы и были отпущены автомобили — то обслуживающий их персонал так плохо обучен, что в самом скором времени все машины ломаются настолько основательно, что пользоваться ими нет возможности» (18409).</w:t>
      </w:r>
    </w:p>
    <w:p w14:paraId="66091F4A" w14:textId="77777777" w:rsidR="008F10E6" w:rsidRPr="002F2FDF" w:rsidRDefault="008F10E6" w:rsidP="0083075A">
      <w:pPr>
        <w:spacing w:after="0" w:line="240" w:lineRule="auto"/>
        <w:jc w:val="both"/>
        <w:rPr>
          <w:rFonts w:ascii="Times New Roman" w:hAnsi="Times New Roman" w:cs="Times New Roman"/>
          <w:color w:val="000000" w:themeColor="text1"/>
          <w:sz w:val="16"/>
          <w:szCs w:val="16"/>
        </w:rPr>
      </w:pPr>
    </w:p>
    <w:p w14:paraId="07024F99" w14:textId="77777777" w:rsidR="008F10E6" w:rsidRPr="002F2FDF" w:rsidRDefault="008F10E6" w:rsidP="0083075A">
      <w:pPr>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shd w:val="clear" w:color="auto" w:fill="FFFFFF"/>
        </w:rPr>
        <w:t>В сентябре 1917 года «Заамурец» направили в Одессу, где ему увеличили размер башен, приклепав к полусферич-ской части броневые кольца высотой около 400 мм. Кроме того, на башнях смонтировали броневые будки для командиров орудий, установили новые радиаторы большего размера. Для улучшения вентиляции центрального каземата в крыше прорезали три вентиляционных отверстия, закрытых броневыми колпаками. Кроме того, на «Заамурце» планировалось установить более мощные двигатели в 80-100 л.с. и электромоторы для вращения башен, однако события октября 1917 года и последовавший за этим развал страны и армии не позволили осуществить эти работы (18626).</w:t>
      </w:r>
    </w:p>
    <w:p w14:paraId="7EB461C4" w14:textId="77777777" w:rsidR="008F10E6" w:rsidRPr="002F2FDF" w:rsidRDefault="008F10E6" w:rsidP="0083075A">
      <w:pPr>
        <w:spacing w:after="0" w:line="240" w:lineRule="auto"/>
        <w:jc w:val="both"/>
        <w:rPr>
          <w:rFonts w:ascii="Times New Roman" w:hAnsi="Times New Roman" w:cs="Times New Roman"/>
          <w:color w:val="000000" w:themeColor="text1"/>
          <w:sz w:val="16"/>
          <w:szCs w:val="16"/>
        </w:rPr>
      </w:pPr>
    </w:p>
    <w:p w14:paraId="69179D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г. Золотов с группой рабочих выехал на Черное море для сдачи катеров ЗК. Вернувшись в 12.1917 г. обратно, он обнаружил на предприятии только 4 человек, оставшихся охранять верфь. Верфь практически прекратила существование.</w:t>
      </w:r>
    </w:p>
    <w:p w14:paraId="4A0051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революции на Петроградской верфи моторных судов до 06.1918 г. достраивались сторожевые катера, затем из-за отсутствия заказов верфь не действовала. С конца 1918 г. начат ремонт катеров. С 1922 г. на базе верфи А.Л. Золотовым организована частная катерно-шлюпочная мастерская. Выполнялись редкие заказы по строительству новых катеров и ремонт. В 03.1928 г. мастерская получила заказ на постройку деревянных катеров «ЗК» («Золотовский катер») для Морпогранохраны. С 1930 г. по немецким чертежам начата постройка «КМ» («катер малый»). Вначале мощность мастерской была не более двух катеров в год. С 1931 г. «ЗК» строилось, в среднем, по 6 шт. в год, а «КМ» - до 10 шт. в год.</w:t>
      </w:r>
    </w:p>
    <w:p w14:paraId="094BCC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03.1930 г. Золотов добровольно передал верфь государству. Верфь была национализирована и передана в ведение ГУ погранохраны ОПТУ, преобразована в Государственную судостроительную мастерскую Морпогранохраны ОГПУ для постройки пограничных судов. А.Л. Золотов был зачислен в мастерскую конструктором и строителем. С 1933 г. стала Отделением Судостроительной верфи Морпогранохраны ОГПУ, а с 1939 г. - цехом № 6 завода № 5.</w:t>
      </w:r>
    </w:p>
    <w:p w14:paraId="3BFF56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1930 г. в составе мастерской были: двухэтажный эллинг, кузница и несколько сараев. В том же году мастерская была расширена: ей передана часть территории соседнего леспильного завода, где был построен второй эллинг; закуплено новое оборудование.</w:t>
      </w:r>
    </w:p>
    <w:p w14:paraId="4DA0EE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С 1933 г. основные заказы на катера выполнялись новой верфью, в Отделении строились малые катера, шлюпки и спортивные суда^ в т.ч. клинкерные лодки для академической гребли.</w:t>
      </w:r>
    </w:p>
    <w:p w14:paraId="31FCA1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1941 г. построено 46 катеров КМ-2 и КМ-4, в 1942 г. - 20, в 1943 г. - 53, в 1944 г. - 63. Всего в период войны построено 192 катера КМ.</w:t>
      </w:r>
    </w:p>
    <w:p w14:paraId="43C693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войны в цехе № 6 строились различные шлюпки и ялы.</w:t>
      </w:r>
    </w:p>
    <w:p w14:paraId="34144F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1956 г. цех № 6 передан ЦКБ-5 в качестве филиала (далее - ЦКБ «Редан»).</w:t>
      </w:r>
    </w:p>
    <w:p w14:paraId="0A281F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территории (1930 г.)- 0,5 га.</w:t>
      </w:r>
    </w:p>
    <w:p w14:paraId="405D87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(1917 г.)- 155 чел., (1930 г.)- около 10 рабочих, (01.1931 г.)- 55 чел.</w:t>
      </w:r>
    </w:p>
    <w:p w14:paraId="5F33D4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(03.1930-33 г.)- Д.Л. Блинов.</w:t>
      </w:r>
    </w:p>
    <w:p w14:paraId="625AF1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катера: сторожевые: СК (-1916)-12, 19-метровые (1916-18)- 6; пограничные ЗК (1928-35), КМ (1930-), «Кунгас-Кавасаки» (1935-), сторожевые КМ-2, КМ-4 (1930-е-42-); РПК; ялы: Ял-2, -4, -6, -10 (1940-е- 50-е) (11982).</w:t>
      </w:r>
    </w:p>
    <w:p w14:paraId="55FC3C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AC456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3EEE8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F580C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был издан приказ штаба верховного главнокомандования о деятельности авиации, в котором подводились итоги за истекшие весну и лето. Приказ отмечал "исключительно доблестное и самоотверженное отношение к делу всего личного состава боевых авиационных частей... Понеся потери более значительные, чем прочие рода войск,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w:t>
      </w:r>
    </w:p>
    <w:p w14:paraId="7FD4D4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два последних месяца авиачасти Юго-Западного фронта совершили 3983 самолето-вылета общей продолжительностью 5928 часов, провели около 200 воздушных боев, сбив 23 самолета противника (5 самолетов сбила артиллерия). Вражеские самолеты при встрече с русскими старались избегать боя, потому что никто кроме русских не атаковал в лоб. Русские летчики-истребители действовали не только в составе звеньев из 2-3 самолетов, но и в одиночку, смело ввязывались в групповые и одиночные бои.</w:t>
      </w:r>
    </w:p>
    <w:p w14:paraId="22F3AA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Однако несмотря на все эти оптимистические сводки и настойчивые требования командования, обстановка в авиачастях России была уже не столь боевой как прежде (11999).</w:t>
      </w:r>
    </w:p>
    <w:p w14:paraId="78EFA3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52DD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года "Муромец" с № 243, был приведен "в полную негодность, благодаря плохому хранению" и отправлен для ремонта на завод. Лишь 30 октября его смогли отправить на базу ЭВК в Винницу (12041).</w:t>
      </w:r>
    </w:p>
    <w:p w14:paraId="31F8B7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B634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интенсивность полетов 1БАГ пошла на убыль, воздушные бои стали реже, на фронте наступило относи</w:t>
      </w:r>
      <w:r w:rsidRPr="002F2FDF">
        <w:rPr>
          <w:rFonts w:ascii="Times New Roman" w:hAnsi="Times New Roman" w:cs="Times New Roman"/>
          <w:color w:val="000000" w:themeColor="text1"/>
          <w:kern w:val="2"/>
          <w:sz w:val="16"/>
          <w:szCs w:val="16"/>
        </w:rPr>
        <w:softHyphen/>
        <w:t>тельное затишье (3954).</w:t>
      </w:r>
    </w:p>
    <w:p w14:paraId="421588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1E93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за сентябрь 1917 летчики 1БАГ совершили 225 боевых вылетов, провели 36 воздушных боев, сбили один и подбили один самолет противника. Свои поте</w:t>
      </w:r>
      <w:r w:rsidRPr="002F2FDF">
        <w:rPr>
          <w:rFonts w:ascii="Times New Roman" w:hAnsi="Times New Roman" w:cs="Times New Roman"/>
          <w:color w:val="000000" w:themeColor="text1"/>
          <w:kern w:val="2"/>
          <w:sz w:val="16"/>
          <w:szCs w:val="16"/>
        </w:rPr>
        <w:softHyphen/>
        <w:t>ри - один пилот погиб, двое ранены (3954).</w:t>
      </w:r>
    </w:p>
    <w:p w14:paraId="631395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101CD6" w14:textId="224E1329" w:rsidR="005E24BE" w:rsidRPr="002F2FDF" w:rsidRDefault="005E24BE"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В сентябре 1917 года в</w:t>
      </w:r>
      <w:r w:rsidR="009F3E62">
        <w:rPr>
          <w:color w:val="000000" w:themeColor="text1"/>
          <w:sz w:val="16"/>
          <w:szCs w:val="16"/>
        </w:rPr>
        <w:t xml:space="preserve"> </w:t>
      </w:r>
      <w:hyperlink r:id="rId573" w:tooltip="Российская республика" w:history="1">
        <w:r w:rsidRPr="002F2FDF">
          <w:rPr>
            <w:rStyle w:val="a5"/>
            <w:rFonts w:eastAsiaTheme="majorEastAsia"/>
            <w:color w:val="000000" w:themeColor="text1"/>
            <w:sz w:val="16"/>
            <w:szCs w:val="16"/>
            <w:bdr w:val="none" w:sz="0" w:space="0" w:color="auto" w:frame="1"/>
          </w:rPr>
          <w:t>Российской Республике</w:t>
        </w:r>
      </w:hyperlink>
      <w:r w:rsidR="009F3E62">
        <w:rPr>
          <w:rStyle w:val="a5"/>
          <w:rFonts w:eastAsiaTheme="majorEastAsia"/>
          <w:color w:val="000000" w:themeColor="text1"/>
          <w:sz w:val="16"/>
          <w:szCs w:val="16"/>
          <w:bdr w:val="none" w:sz="0" w:space="0" w:color="auto" w:frame="1"/>
        </w:rPr>
        <w:t xml:space="preserve"> </w:t>
      </w:r>
      <w:r w:rsidRPr="002F2FDF">
        <w:rPr>
          <w:color w:val="000000" w:themeColor="text1"/>
          <w:sz w:val="16"/>
          <w:szCs w:val="16"/>
        </w:rPr>
        <w:t>возникает ещё один руководящий орган авиацией и воздухоплаванием, помимо</w:t>
      </w:r>
      <w:r w:rsidR="009F3E62">
        <w:rPr>
          <w:color w:val="000000" w:themeColor="text1"/>
          <w:sz w:val="16"/>
          <w:szCs w:val="16"/>
        </w:rPr>
        <w:t xml:space="preserve"> </w:t>
      </w:r>
      <w:r w:rsidRPr="002F2FDF">
        <w:rPr>
          <w:color w:val="000000" w:themeColor="text1"/>
          <w:sz w:val="16"/>
          <w:szCs w:val="16"/>
          <w:bdr w:val="none" w:sz="0" w:space="0" w:color="auto" w:frame="1"/>
        </w:rPr>
        <w:t>ПУАиВ</w:t>
      </w:r>
      <w:r w:rsidR="00E52569">
        <w:rPr>
          <w:color w:val="000000" w:themeColor="text1"/>
          <w:sz w:val="16"/>
          <w:szCs w:val="16"/>
        </w:rPr>
        <w:t xml:space="preserve"> </w:t>
      </w:r>
      <w:r w:rsidRPr="002F2FDF">
        <w:rPr>
          <w:color w:val="000000" w:themeColor="text1"/>
          <w:sz w:val="16"/>
          <w:szCs w:val="16"/>
        </w:rPr>
        <w:t>—</w:t>
      </w:r>
      <w:r w:rsidR="00E52569">
        <w:rPr>
          <w:color w:val="000000" w:themeColor="text1"/>
          <w:sz w:val="16"/>
          <w:szCs w:val="16"/>
        </w:rPr>
        <w:t xml:space="preserve"> </w:t>
      </w:r>
      <w:hyperlink r:id="rId574" w:tooltip="Управление военно-воздушного флота (страница отсутствует)" w:history="1">
        <w:r w:rsidRPr="002F2FDF">
          <w:rPr>
            <w:rStyle w:val="a5"/>
            <w:rFonts w:eastAsiaTheme="majorEastAsia"/>
            <w:color w:val="000000" w:themeColor="text1"/>
            <w:sz w:val="16"/>
            <w:szCs w:val="16"/>
            <w:bdr w:val="none" w:sz="0" w:space="0" w:color="auto" w:frame="1"/>
          </w:rPr>
          <w:t>Управления военно-воздушного флота</w:t>
        </w:r>
      </w:hyperlink>
      <w:r w:rsidR="00E52569">
        <w:rPr>
          <w:color w:val="000000" w:themeColor="text1"/>
          <w:sz w:val="16"/>
          <w:szCs w:val="16"/>
        </w:rPr>
        <w:t xml:space="preserve"> </w:t>
      </w:r>
      <w:r w:rsidRPr="002F2FDF">
        <w:rPr>
          <w:color w:val="000000" w:themeColor="text1"/>
          <w:sz w:val="16"/>
          <w:szCs w:val="16"/>
        </w:rPr>
        <w:t>(УВВФ или УВоФлот) и</w:t>
      </w:r>
      <w:r w:rsidR="00E52569">
        <w:rPr>
          <w:color w:val="000000" w:themeColor="text1"/>
          <w:sz w:val="16"/>
          <w:szCs w:val="16"/>
        </w:rPr>
        <w:t xml:space="preserve"> </w:t>
      </w:r>
      <w:hyperlink r:id="rId575" w:tooltip="Управление морской авиации (страница отсутствует)" w:history="1">
        <w:r w:rsidRPr="002F2FDF">
          <w:rPr>
            <w:rStyle w:val="a5"/>
            <w:rFonts w:eastAsiaTheme="majorEastAsia"/>
            <w:color w:val="000000" w:themeColor="text1"/>
            <w:sz w:val="16"/>
            <w:szCs w:val="16"/>
            <w:bdr w:val="none" w:sz="0" w:space="0" w:color="auto" w:frame="1"/>
          </w:rPr>
          <w:t>Управления морской авиации</w:t>
        </w:r>
      </w:hyperlink>
      <w:r w:rsidR="00E52569">
        <w:rPr>
          <w:color w:val="000000" w:themeColor="text1"/>
          <w:sz w:val="16"/>
          <w:szCs w:val="16"/>
        </w:rPr>
        <w:t xml:space="preserve"> </w:t>
      </w:r>
      <w:r w:rsidRPr="002F2FDF">
        <w:rPr>
          <w:color w:val="000000" w:themeColor="text1"/>
          <w:sz w:val="16"/>
          <w:szCs w:val="16"/>
        </w:rPr>
        <w:t>(УМА)</w:t>
      </w:r>
      <w:r w:rsidR="00E52569">
        <w:rPr>
          <w:color w:val="000000" w:themeColor="text1"/>
          <w:sz w:val="16"/>
          <w:szCs w:val="16"/>
        </w:rPr>
        <w:t xml:space="preserve"> </w:t>
      </w:r>
      <w:r w:rsidRPr="002F2FDF">
        <w:rPr>
          <w:color w:val="000000" w:themeColor="text1"/>
          <w:sz w:val="16"/>
          <w:szCs w:val="16"/>
        </w:rPr>
        <w:t>—</w:t>
      </w:r>
      <w:r w:rsidR="00E52569">
        <w:rPr>
          <w:color w:val="000000" w:themeColor="text1"/>
          <w:sz w:val="16"/>
          <w:szCs w:val="16"/>
        </w:rPr>
        <w:t xml:space="preserve"> </w:t>
      </w:r>
    </w:p>
    <w:p w14:paraId="7C2F3001" w14:textId="7E43147F" w:rsidR="005E24BE" w:rsidRPr="002F2FDF" w:rsidRDefault="00000000" w:rsidP="0083075A">
      <w:pPr>
        <w:pStyle w:val="ae"/>
        <w:shd w:val="clear" w:color="auto" w:fill="FFFFFF"/>
        <w:spacing w:before="0" w:after="0"/>
        <w:jc w:val="both"/>
        <w:textAlignment w:val="baseline"/>
        <w:rPr>
          <w:color w:val="000000" w:themeColor="text1"/>
          <w:sz w:val="16"/>
          <w:szCs w:val="16"/>
        </w:rPr>
      </w:pPr>
      <w:hyperlink r:id="rId576" w:tooltip="Всероссийский совет авиации (страница отсутствует)" w:history="1">
        <w:r w:rsidR="005E24BE" w:rsidRPr="002F2FDF">
          <w:rPr>
            <w:rStyle w:val="a5"/>
            <w:rFonts w:eastAsiaTheme="majorEastAsia"/>
            <w:color w:val="000000" w:themeColor="text1"/>
            <w:sz w:val="16"/>
            <w:szCs w:val="16"/>
            <w:bdr w:val="none" w:sz="0" w:space="0" w:color="auto" w:frame="1"/>
          </w:rPr>
          <w:t>Всероссийский совет авиации</w:t>
        </w:r>
      </w:hyperlink>
      <w:r w:rsidR="00E52569">
        <w:rPr>
          <w:color w:val="000000" w:themeColor="text1"/>
          <w:sz w:val="16"/>
          <w:szCs w:val="16"/>
          <w:bdr w:val="none" w:sz="0" w:space="0" w:color="auto" w:frame="1"/>
        </w:rPr>
        <w:t xml:space="preserve"> </w:t>
      </w:r>
      <w:r w:rsidR="005E24BE" w:rsidRPr="002F2FDF">
        <w:rPr>
          <w:color w:val="000000" w:themeColor="text1"/>
          <w:sz w:val="16"/>
          <w:szCs w:val="16"/>
          <w:bdr w:val="none" w:sz="0" w:space="0" w:color="auto" w:frame="1"/>
        </w:rPr>
        <w:t>(</w:t>
      </w:r>
      <w:hyperlink r:id="rId577" w:tooltip="Авиасовет (страница отсутствует)" w:history="1">
        <w:r w:rsidR="005E24BE" w:rsidRPr="002F2FDF">
          <w:rPr>
            <w:rStyle w:val="a5"/>
            <w:rFonts w:eastAsiaTheme="majorEastAsia"/>
            <w:color w:val="000000" w:themeColor="text1"/>
            <w:sz w:val="16"/>
            <w:szCs w:val="16"/>
            <w:bdr w:val="none" w:sz="0" w:space="0" w:color="auto" w:frame="1"/>
          </w:rPr>
          <w:t>Авиасовет</w:t>
        </w:r>
      </w:hyperlink>
      <w:r w:rsidR="005E24BE" w:rsidRPr="002F2FDF">
        <w:rPr>
          <w:color w:val="000000" w:themeColor="text1"/>
          <w:sz w:val="16"/>
          <w:szCs w:val="16"/>
          <w:bdr w:val="none" w:sz="0" w:space="0" w:color="auto" w:frame="1"/>
        </w:rPr>
        <w:t>)</w:t>
      </w:r>
      <w:r w:rsidR="005E24BE" w:rsidRPr="002F2FDF">
        <w:rPr>
          <w:color w:val="000000" w:themeColor="text1"/>
          <w:sz w:val="16"/>
          <w:szCs w:val="16"/>
        </w:rPr>
        <w:t>, избранный Первым Всероссийским авиационным</w:t>
      </w:r>
      <w:r w:rsidR="00E52569">
        <w:rPr>
          <w:color w:val="000000" w:themeColor="text1"/>
          <w:sz w:val="16"/>
          <w:szCs w:val="16"/>
        </w:rPr>
        <w:t xml:space="preserve"> </w:t>
      </w:r>
      <w:hyperlink r:id="rId578" w:tooltip="Съезд" w:history="1">
        <w:r w:rsidR="005E24BE" w:rsidRPr="002F2FDF">
          <w:rPr>
            <w:rStyle w:val="a5"/>
            <w:rFonts w:eastAsiaTheme="majorEastAsia"/>
            <w:color w:val="000000" w:themeColor="text1"/>
            <w:sz w:val="16"/>
            <w:szCs w:val="16"/>
            <w:bdr w:val="none" w:sz="0" w:space="0" w:color="auto" w:frame="1"/>
          </w:rPr>
          <w:t>съездом</w:t>
        </w:r>
      </w:hyperlink>
      <w:r w:rsidR="00E52569">
        <w:rPr>
          <w:color w:val="000000" w:themeColor="text1"/>
          <w:sz w:val="16"/>
          <w:szCs w:val="16"/>
        </w:rPr>
        <w:t xml:space="preserve"> </w:t>
      </w:r>
      <w:r w:rsidR="005E24BE" w:rsidRPr="002F2FDF">
        <w:rPr>
          <w:color w:val="000000" w:themeColor="text1"/>
          <w:sz w:val="16"/>
          <w:szCs w:val="16"/>
        </w:rPr>
        <w:t>и утверждённый приказом военного министра РР</w:t>
      </w:r>
      <w:r w:rsidR="00E52569">
        <w:rPr>
          <w:color w:val="000000" w:themeColor="text1"/>
          <w:sz w:val="16"/>
          <w:szCs w:val="16"/>
        </w:rPr>
        <w:t xml:space="preserve"> </w:t>
      </w:r>
      <w:hyperlink r:id="rId579" w:tooltip="Генерал-майор" w:history="1">
        <w:r w:rsidR="005E24BE" w:rsidRPr="002F2FDF">
          <w:rPr>
            <w:rStyle w:val="a5"/>
            <w:rFonts w:eastAsiaTheme="majorEastAsia"/>
            <w:color w:val="000000" w:themeColor="text1"/>
            <w:sz w:val="16"/>
            <w:szCs w:val="16"/>
            <w:bdr w:val="none" w:sz="0" w:space="0" w:color="auto" w:frame="1"/>
          </w:rPr>
          <w:t>генерал-майором</w:t>
        </w:r>
      </w:hyperlink>
      <w:r w:rsidR="00E52569">
        <w:rPr>
          <w:color w:val="000000" w:themeColor="text1"/>
          <w:sz w:val="16"/>
          <w:szCs w:val="16"/>
        </w:rPr>
        <w:t xml:space="preserve"> </w:t>
      </w:r>
      <w:r w:rsidR="005E24BE" w:rsidRPr="002F2FDF">
        <w:rPr>
          <w:color w:val="000000" w:themeColor="text1"/>
          <w:sz w:val="16"/>
          <w:szCs w:val="16"/>
        </w:rPr>
        <w:t>Верховским</w:t>
      </w:r>
      <w:hyperlink r:id="rId580" w:anchor="cite_note-autogenerated2-3" w:history="1">
        <w:r w:rsidR="005E24BE" w:rsidRPr="002F2FDF">
          <w:rPr>
            <w:rStyle w:val="a5"/>
            <w:rFonts w:eastAsiaTheme="majorEastAsia"/>
            <w:color w:val="000000" w:themeColor="text1"/>
            <w:sz w:val="16"/>
            <w:szCs w:val="16"/>
            <w:bdr w:val="none" w:sz="0" w:space="0" w:color="auto" w:frame="1"/>
          </w:rPr>
          <w:t>[3]</w:t>
        </w:r>
      </w:hyperlink>
      <w:r w:rsidR="005E24BE" w:rsidRPr="002F2FDF">
        <w:rPr>
          <w:color w:val="000000" w:themeColor="text1"/>
          <w:sz w:val="16"/>
          <w:szCs w:val="16"/>
        </w:rPr>
        <w:t>.(20110).</w:t>
      </w:r>
    </w:p>
    <w:p w14:paraId="395196A4" w14:textId="77777777" w:rsidR="005E24BE" w:rsidRPr="002F2FDF" w:rsidRDefault="005E24BE" w:rsidP="0083075A">
      <w:pPr>
        <w:spacing w:after="0" w:line="240" w:lineRule="auto"/>
        <w:jc w:val="both"/>
        <w:rPr>
          <w:rFonts w:ascii="Times New Roman" w:hAnsi="Times New Roman" w:cs="Times New Roman"/>
          <w:color w:val="000000" w:themeColor="text1"/>
          <w:sz w:val="16"/>
          <w:szCs w:val="16"/>
        </w:rPr>
      </w:pPr>
    </w:p>
    <w:p w14:paraId="0A0CEA39" w14:textId="77777777" w:rsidR="005E24BE" w:rsidRPr="002F2FDF" w:rsidRDefault="005E24B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одной из сентябрьских армейских разве</w:t>
      </w:r>
      <w:r w:rsidRPr="002F2FDF">
        <w:rPr>
          <w:rFonts w:ascii="Times New Roman" w:hAnsi="Times New Roman" w:cs="Times New Roman"/>
          <w:color w:val="000000" w:themeColor="text1"/>
          <w:sz w:val="16"/>
          <w:szCs w:val="16"/>
        </w:rPr>
        <w:softHyphen/>
        <w:t>дывательных сводок отмечалось, что на фронте Особой армии и на её стыках с соседями: «... с ар</w:t>
      </w:r>
      <w:r w:rsidRPr="002F2FDF">
        <w:rPr>
          <w:rFonts w:ascii="Times New Roman" w:hAnsi="Times New Roman" w:cs="Times New Roman"/>
          <w:color w:val="000000" w:themeColor="text1"/>
          <w:sz w:val="16"/>
          <w:szCs w:val="16"/>
        </w:rPr>
        <w:softHyphen/>
        <w:t>тиллерийских наблюдательных пунктов и све</w:t>
      </w:r>
      <w:r w:rsidRPr="002F2FDF">
        <w:rPr>
          <w:rFonts w:ascii="Times New Roman" w:hAnsi="Times New Roman" w:cs="Times New Roman"/>
          <w:color w:val="000000" w:themeColor="text1"/>
          <w:sz w:val="16"/>
          <w:szCs w:val="16"/>
        </w:rPr>
        <w:softHyphen/>
        <w:t>товой засечкой замечено 176 батарей, из них за</w:t>
      </w:r>
      <w:r w:rsidRPr="002F2FDF">
        <w:rPr>
          <w:rFonts w:ascii="Times New Roman" w:hAnsi="Times New Roman" w:cs="Times New Roman"/>
          <w:color w:val="000000" w:themeColor="text1"/>
          <w:sz w:val="16"/>
          <w:szCs w:val="16"/>
        </w:rPr>
        <w:softHyphen/>
        <w:t>несены также и звуковой засечкой 12 батарей; с аэростатов замечено 10 батарей, обнаружено нашими аэропланами 25 и засняты с аэропланов 80 батарей. Всего было всеми способами обнару</w:t>
      </w:r>
      <w:r w:rsidRPr="002F2FDF">
        <w:rPr>
          <w:rFonts w:ascii="Times New Roman" w:hAnsi="Times New Roman" w:cs="Times New Roman"/>
          <w:color w:val="000000" w:themeColor="text1"/>
          <w:sz w:val="16"/>
          <w:szCs w:val="16"/>
        </w:rPr>
        <w:softHyphen/>
        <w:t>жено перед армией 183 неприятельские батареи. Многие замеченные или сфотографированные батареи с воздуха были также обнаружены и на</w:t>
      </w:r>
      <w:r w:rsidRPr="002F2FDF">
        <w:rPr>
          <w:rFonts w:ascii="Times New Roman" w:hAnsi="Times New Roman" w:cs="Times New Roman"/>
          <w:color w:val="000000" w:themeColor="text1"/>
          <w:sz w:val="16"/>
          <w:szCs w:val="16"/>
        </w:rPr>
        <w:softHyphen/>
        <w:t>земным наблюдением» (20120).</w:t>
      </w:r>
    </w:p>
    <w:p w14:paraId="2C823B9D" w14:textId="77777777" w:rsidR="005E24BE" w:rsidRPr="002F2FDF" w:rsidRDefault="005E24BE" w:rsidP="0083075A">
      <w:pPr>
        <w:spacing w:after="0" w:line="240" w:lineRule="auto"/>
        <w:jc w:val="both"/>
        <w:rPr>
          <w:rFonts w:ascii="Times New Roman" w:hAnsi="Times New Roman" w:cs="Times New Roman"/>
          <w:color w:val="000000" w:themeColor="text1"/>
          <w:sz w:val="16"/>
          <w:szCs w:val="16"/>
        </w:rPr>
      </w:pPr>
    </w:p>
    <w:p w14:paraId="18FE7806" w14:textId="77777777" w:rsidR="009F3E62" w:rsidRPr="00815ED5" w:rsidRDefault="009F3E6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В сентябре 1917 г. </w:t>
      </w:r>
      <w:r w:rsidRPr="00815ED5">
        <w:rPr>
          <w:rFonts w:ascii="Times New Roman" w:hAnsi="Times New Roman" w:cs="Times New Roman"/>
          <w:color w:val="0070C0"/>
          <w:sz w:val="16"/>
          <w:szCs w:val="16"/>
        </w:rPr>
        <w:t>Центральная а</w:t>
      </w:r>
      <w:r>
        <w:rPr>
          <w:rFonts w:ascii="Times New Roman" w:hAnsi="Times New Roman" w:cs="Times New Roman"/>
          <w:color w:val="0070C0"/>
          <w:sz w:val="16"/>
          <w:szCs w:val="16"/>
        </w:rPr>
        <w:t>э</w:t>
      </w:r>
      <w:r w:rsidRPr="00815ED5">
        <w:rPr>
          <w:rFonts w:ascii="Times New Roman" w:hAnsi="Times New Roman" w:cs="Times New Roman"/>
          <w:color w:val="0070C0"/>
          <w:sz w:val="16"/>
          <w:szCs w:val="16"/>
        </w:rPr>
        <w:t>рона</w:t>
      </w:r>
      <w:r>
        <w:rPr>
          <w:rFonts w:ascii="Times New Roman" w:hAnsi="Times New Roman" w:cs="Times New Roman"/>
          <w:color w:val="0070C0"/>
          <w:sz w:val="16"/>
          <w:szCs w:val="16"/>
        </w:rPr>
        <w:t>ви</w:t>
      </w:r>
      <w:r w:rsidRPr="00815ED5">
        <w:rPr>
          <w:rFonts w:ascii="Times New Roman" w:hAnsi="Times New Roman" w:cs="Times New Roman"/>
          <w:color w:val="0070C0"/>
          <w:sz w:val="16"/>
          <w:szCs w:val="16"/>
        </w:rPr>
        <w:t>гационна</w:t>
      </w:r>
      <w:r>
        <w:rPr>
          <w:rFonts w:ascii="Times New Roman" w:hAnsi="Times New Roman" w:cs="Times New Roman"/>
          <w:color w:val="0070C0"/>
          <w:sz w:val="16"/>
          <w:szCs w:val="16"/>
        </w:rPr>
        <w:t>я</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т</w:t>
      </w:r>
      <w:r>
        <w:rPr>
          <w:rFonts w:ascii="Times New Roman" w:hAnsi="Times New Roman" w:cs="Times New Roman"/>
          <w:color w:val="0070C0"/>
          <w:sz w:val="16"/>
          <w:szCs w:val="16"/>
        </w:rPr>
        <w:t>а</w:t>
      </w:r>
      <w:r w:rsidRPr="00815ED5">
        <w:rPr>
          <w:rFonts w:ascii="Times New Roman" w:hAnsi="Times New Roman" w:cs="Times New Roman"/>
          <w:color w:val="0070C0"/>
          <w:sz w:val="16"/>
          <w:szCs w:val="16"/>
        </w:rPr>
        <w:t>нци</w:t>
      </w:r>
      <w:r>
        <w:rPr>
          <w:rFonts w:ascii="Times New Roman" w:hAnsi="Times New Roman" w:cs="Times New Roman"/>
          <w:color w:val="0070C0"/>
          <w:sz w:val="16"/>
          <w:szCs w:val="16"/>
        </w:rPr>
        <w:t>я, с</w:t>
      </w:r>
      <w:r w:rsidRPr="00815ED5">
        <w:rPr>
          <w:rFonts w:ascii="Times New Roman" w:hAnsi="Times New Roman" w:cs="Times New Roman"/>
          <w:color w:val="0070C0"/>
          <w:sz w:val="16"/>
          <w:szCs w:val="16"/>
        </w:rPr>
        <w:t xml:space="preserve">формированная по приказу начальника штаба </w:t>
      </w: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 xml:space="preserve">ГК от 11 марта </w:t>
      </w:r>
      <w:r>
        <w:rPr>
          <w:rFonts w:ascii="Times New Roman" w:hAnsi="Times New Roman" w:cs="Times New Roman"/>
          <w:color w:val="0070C0"/>
          <w:sz w:val="16"/>
          <w:szCs w:val="16"/>
        </w:rPr>
        <w:t xml:space="preserve">1916 </w:t>
      </w:r>
      <w:r w:rsidRPr="00815ED5">
        <w:rPr>
          <w:rFonts w:ascii="Times New Roman" w:hAnsi="Times New Roman" w:cs="Times New Roman"/>
          <w:color w:val="0070C0"/>
          <w:sz w:val="16"/>
          <w:szCs w:val="16"/>
        </w:rPr>
        <w:t>года</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расформирована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 xml:space="preserve"> передачей личного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 xml:space="preserve">тава </w:t>
      </w:r>
      <w:r>
        <w:rPr>
          <w:rFonts w:ascii="Times New Roman" w:hAnsi="Times New Roman" w:cs="Times New Roman"/>
          <w:color w:val="0070C0"/>
          <w:sz w:val="16"/>
          <w:szCs w:val="16"/>
        </w:rPr>
        <w:t>В</w:t>
      </w:r>
      <w:r w:rsidRPr="00815ED5">
        <w:rPr>
          <w:rFonts w:ascii="Times New Roman" w:hAnsi="Times New Roman" w:cs="Times New Roman"/>
          <w:color w:val="0070C0"/>
          <w:sz w:val="16"/>
          <w:szCs w:val="16"/>
        </w:rPr>
        <w:t>оенной школ</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 xml:space="preserve"> летчиков</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наблюдателей</w:t>
      </w:r>
      <w:r>
        <w:rPr>
          <w:rFonts w:ascii="Times New Roman" w:hAnsi="Times New Roman" w:cs="Times New Roman"/>
          <w:color w:val="0070C0"/>
          <w:sz w:val="16"/>
          <w:szCs w:val="16"/>
        </w:rPr>
        <w:t>, а</w:t>
      </w:r>
      <w:r w:rsidRPr="00815ED5">
        <w:rPr>
          <w:rFonts w:ascii="Times New Roman" w:hAnsi="Times New Roman" w:cs="Times New Roman"/>
          <w:color w:val="0070C0"/>
          <w:sz w:val="16"/>
          <w:szCs w:val="16"/>
        </w:rPr>
        <w:t xml:space="preserve"> имущества и инвентаря - а</w:t>
      </w:r>
      <w:r>
        <w:rPr>
          <w:rFonts w:ascii="Times New Roman" w:hAnsi="Times New Roman" w:cs="Times New Roman"/>
          <w:color w:val="0070C0"/>
          <w:sz w:val="16"/>
          <w:szCs w:val="16"/>
        </w:rPr>
        <w:t>виас</w:t>
      </w:r>
      <w:r w:rsidRPr="00815ED5">
        <w:rPr>
          <w:rFonts w:ascii="Times New Roman" w:hAnsi="Times New Roman" w:cs="Times New Roman"/>
          <w:color w:val="0070C0"/>
          <w:sz w:val="16"/>
          <w:szCs w:val="16"/>
        </w:rPr>
        <w:t>кл</w:t>
      </w:r>
      <w:r>
        <w:rPr>
          <w:rFonts w:ascii="Times New Roman" w:hAnsi="Times New Roman" w:cs="Times New Roman"/>
          <w:color w:val="0070C0"/>
          <w:sz w:val="16"/>
          <w:szCs w:val="16"/>
        </w:rPr>
        <w:t>а</w:t>
      </w:r>
      <w:r w:rsidRPr="00815ED5">
        <w:rPr>
          <w:rFonts w:ascii="Times New Roman" w:hAnsi="Times New Roman" w:cs="Times New Roman"/>
          <w:color w:val="0070C0"/>
          <w:sz w:val="16"/>
          <w:szCs w:val="16"/>
        </w:rPr>
        <w:t xml:space="preserve">ду и </w:t>
      </w:r>
      <w:r>
        <w:rPr>
          <w:rFonts w:ascii="Times New Roman" w:hAnsi="Times New Roman" w:cs="Times New Roman"/>
          <w:color w:val="0070C0"/>
          <w:sz w:val="16"/>
          <w:szCs w:val="16"/>
        </w:rPr>
        <w:t>з</w:t>
      </w:r>
      <w:r w:rsidRPr="00815ED5">
        <w:rPr>
          <w:rFonts w:ascii="Times New Roman" w:hAnsi="Times New Roman" w:cs="Times New Roman"/>
          <w:color w:val="0070C0"/>
          <w:sz w:val="16"/>
          <w:szCs w:val="16"/>
        </w:rPr>
        <w:t>аводу измери</w:t>
      </w:r>
      <w:r w:rsidRPr="00815ED5">
        <w:rPr>
          <w:rFonts w:ascii="Times New Roman" w:hAnsi="Times New Roman" w:cs="Times New Roman"/>
          <w:color w:val="0070C0"/>
          <w:sz w:val="16"/>
          <w:szCs w:val="16"/>
        </w:rPr>
        <w:softHyphen/>
        <w:t>тельных приборов в Москве,</w:t>
      </w:r>
    </w:p>
    <w:p w14:paraId="754F3B65" w14:textId="77777777" w:rsidR="009F3E62" w:rsidRDefault="009F3E62"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/ЦГВИ</w:t>
      </w:r>
      <w:r>
        <w:rPr>
          <w:rFonts w:ascii="Times New Roman" w:hAnsi="Times New Roman" w:cs="Times New Roman"/>
          <w:color w:val="0070C0"/>
          <w:sz w:val="16"/>
          <w:szCs w:val="16"/>
        </w:rPr>
        <w:t>А</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4</w:t>
      </w:r>
      <w:r>
        <w:rPr>
          <w:rFonts w:ascii="Times New Roman" w:hAnsi="Times New Roman" w:cs="Times New Roman"/>
          <w:color w:val="0070C0"/>
          <w:sz w:val="16"/>
          <w:szCs w:val="16"/>
        </w:rPr>
        <w:t>9</w:t>
      </w:r>
      <w:r w:rsidRPr="00815ED5">
        <w:rPr>
          <w:rFonts w:ascii="Times New Roman" w:hAnsi="Times New Roman" w:cs="Times New Roman"/>
          <w:color w:val="0070C0"/>
          <w:sz w:val="16"/>
          <w:szCs w:val="16"/>
        </w:rPr>
        <w:t>3</w:t>
      </w:r>
      <w:r>
        <w:rPr>
          <w:rFonts w:ascii="Times New Roman" w:hAnsi="Times New Roman" w:cs="Times New Roman"/>
          <w:color w:val="0070C0"/>
          <w:sz w:val="16"/>
          <w:szCs w:val="16"/>
        </w:rPr>
        <w:t>, оп. 11, д. 94, л. 50/ (23320).</w:t>
      </w:r>
    </w:p>
    <w:p w14:paraId="7BA67AE3" w14:textId="77777777" w:rsidR="009F3E62" w:rsidRDefault="009F3E62" w:rsidP="0083075A">
      <w:pPr>
        <w:spacing w:after="0" w:line="240" w:lineRule="auto"/>
        <w:jc w:val="both"/>
        <w:rPr>
          <w:rFonts w:ascii="Times New Roman" w:hAnsi="Times New Roman" w:cs="Times New Roman"/>
          <w:color w:val="0070C0"/>
          <w:sz w:val="16"/>
          <w:szCs w:val="16"/>
        </w:rPr>
      </w:pPr>
    </w:p>
    <w:p w14:paraId="50C844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года в целях упорядочения постановки работы в округах в Петрограде было созвано совещание из лиц, ведающих разведкой в штабах этих округов. На этом совещании под руководством представителей Отдела 2-го генерал-квартирмейстера детально были выработаны схемы организаций негласной агентуры для каждого округа в отдельности, были поставлены им задачи и были исчислены необходимые на разведку кредиты (7559). Уделяя главное внимание постановке работы негласной заграничной агентуры, Главное управление Генерального штаба в то же время стремилось в своих мероприятиях к тому, чтобы создать в общей системе военного управления высший центральный разведывательный орган, который имел бы возможность: 1) объединить работу организаций, ведающих разведкой и руководить идейной стороной этой работы; 2) сосредоточить у себя сведения поступающие от всех существующих источников и 3) подвергать эти сведения всесторонней оценке и тщательному изучению; 4) давать проверенные и исчерпывающие выводы по всем вопросам военной жизни иностранных государств и по вопросам политическо-экономическим, поскольку они имеют отношение к военной мощи этих государств (7559).</w:t>
      </w:r>
    </w:p>
    <w:p w14:paraId="2E0556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494D2F" w14:textId="77777777" w:rsidR="00AE2B0B" w:rsidRPr="00FB4F67" w:rsidRDefault="00AE2B0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сентябре 1917 г. командир 2-й запасной бригады тяжелой артиллерии, сообщал в МВО, что бригаде остро не хватало тракторов и грузовиков, но «если бы и были от</w:t>
      </w:r>
      <w:r w:rsidRPr="00FB4F67">
        <w:rPr>
          <w:rFonts w:ascii="Times New Roman" w:hAnsi="Times New Roman" w:cs="Times New Roman"/>
          <w:color w:val="0070C0"/>
          <w:sz w:val="16"/>
          <w:szCs w:val="16"/>
        </w:rPr>
        <w:softHyphen/>
        <w:t>пущены автомобили, — то обслуживающий их персонал так плохо обучен, что в самом скором времени все машины ломаются настолько основательно, что пользоваться ими нет возможности» (РГВИА. Ф. 509. On. 1. Д. 1. Л. 49—51 об. Фонштейн — ГАУ, 7.IX.1917; Там же. Д. 8. Л. 224 об. В 1913 г. намечено было создание шести тыловых авторемонтных мастерских, но до начала войны с этим не успели. См.: История автомобильного транспорта России до 1917 [года]. М., 1994. С. 109) (23452).</w:t>
      </w:r>
    </w:p>
    <w:p w14:paraId="0A22AFFC" w14:textId="77777777" w:rsidR="00AE2B0B" w:rsidRPr="00FB4F67" w:rsidRDefault="00AE2B0B" w:rsidP="0083075A">
      <w:pPr>
        <w:spacing w:after="0" w:line="240" w:lineRule="auto"/>
        <w:jc w:val="both"/>
        <w:rPr>
          <w:rFonts w:ascii="Times New Roman" w:hAnsi="Times New Roman" w:cs="Times New Roman"/>
          <w:color w:val="0070C0"/>
          <w:sz w:val="16"/>
          <w:szCs w:val="16"/>
        </w:rPr>
      </w:pPr>
    </w:p>
    <w:p w14:paraId="6FC61AF4" w14:textId="77777777" w:rsidR="00AE2B0B" w:rsidRPr="00FB4F67" w:rsidRDefault="00AE2B0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сентябре 1917 г. военный летчик штабс-капитан Н.А.Макаров предложил осущест</w:t>
      </w:r>
      <w:r w:rsidRPr="00FB4F67">
        <w:rPr>
          <w:rFonts w:ascii="Times New Roman" w:hAnsi="Times New Roman" w:cs="Times New Roman"/>
          <w:color w:val="0070C0"/>
          <w:sz w:val="16"/>
          <w:szCs w:val="16"/>
        </w:rPr>
        <w:softHyphen/>
        <w:t>вить на самолете «Анадис» дальний перелет по маршруту Одесса-Салоники—Рим—Мар- сель—Париж с последующим возвращением в Россию. Перелет был разрешен, уже 14 октября машину испытали в воздухе с пол</w:t>
      </w:r>
      <w:r w:rsidRPr="00FB4F67">
        <w:rPr>
          <w:rFonts w:ascii="Times New Roman" w:hAnsi="Times New Roman" w:cs="Times New Roman"/>
          <w:color w:val="0070C0"/>
          <w:sz w:val="16"/>
          <w:szCs w:val="16"/>
        </w:rPr>
        <w:softHyphen/>
        <w:t>ной нагрузкой 500 кг. Интересно, что в до</w:t>
      </w:r>
      <w:r w:rsidRPr="00FB4F67">
        <w:rPr>
          <w:rFonts w:ascii="Times New Roman" w:hAnsi="Times New Roman" w:cs="Times New Roman"/>
          <w:color w:val="0070C0"/>
          <w:sz w:val="16"/>
          <w:szCs w:val="16"/>
        </w:rPr>
        <w:softHyphen/>
        <w:t>полнение к опознавательным русским ко</w:t>
      </w:r>
      <w:r w:rsidRPr="00FB4F67">
        <w:rPr>
          <w:rFonts w:ascii="Times New Roman" w:hAnsi="Times New Roman" w:cs="Times New Roman"/>
          <w:color w:val="0070C0"/>
          <w:sz w:val="16"/>
          <w:szCs w:val="16"/>
        </w:rPr>
        <w:softHyphen/>
        <w:t>кардам «Анадис» весьма живописно раскра</w:t>
      </w:r>
      <w:r w:rsidRPr="00FB4F67">
        <w:rPr>
          <w:rFonts w:ascii="Times New Roman" w:hAnsi="Times New Roman" w:cs="Times New Roman"/>
          <w:color w:val="0070C0"/>
          <w:sz w:val="16"/>
          <w:szCs w:val="16"/>
        </w:rPr>
        <w:softHyphen/>
        <w:t>сили: на фюзеляже нарисовали двуглавого орла и флаги стран Антанты, на крыльях, полуобнаженных девушек.</w:t>
      </w:r>
    </w:p>
    <w:p w14:paraId="1E04FCA0" w14:textId="77777777" w:rsidR="00AE2B0B" w:rsidRPr="00FB4F67" w:rsidRDefault="00AE2B0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ноябре 1917 г. летчик Макаров отпра</w:t>
      </w:r>
      <w:r w:rsidRPr="00FB4F67">
        <w:rPr>
          <w:rFonts w:ascii="Times New Roman" w:hAnsi="Times New Roman" w:cs="Times New Roman"/>
          <w:color w:val="0070C0"/>
          <w:sz w:val="16"/>
          <w:szCs w:val="16"/>
        </w:rPr>
        <w:softHyphen/>
        <w:t>вился в перелет, однако по причине отказа двигателя потерпел аварию в районе горо</w:t>
      </w:r>
      <w:r w:rsidRPr="00FB4F67">
        <w:rPr>
          <w:rFonts w:ascii="Times New Roman" w:hAnsi="Times New Roman" w:cs="Times New Roman"/>
          <w:color w:val="0070C0"/>
          <w:sz w:val="16"/>
          <w:szCs w:val="16"/>
        </w:rPr>
        <w:softHyphen/>
        <w:t>да Яссы в Румынии. Дальнейшая история самолета неизвестна (23374).</w:t>
      </w:r>
    </w:p>
    <w:p w14:paraId="405C54E0" w14:textId="77777777" w:rsidR="00AE2B0B" w:rsidRPr="00FB4F67" w:rsidRDefault="00AE2B0B" w:rsidP="0083075A">
      <w:pPr>
        <w:spacing w:after="0" w:line="240" w:lineRule="auto"/>
        <w:jc w:val="both"/>
        <w:rPr>
          <w:rFonts w:ascii="Times New Roman" w:hAnsi="Times New Roman" w:cs="Times New Roman"/>
          <w:color w:val="0070C0"/>
          <w:sz w:val="16"/>
          <w:szCs w:val="16"/>
        </w:rPr>
      </w:pPr>
    </w:p>
    <w:p w14:paraId="3130EB8B" w14:textId="77777777" w:rsidR="00AE2B0B" w:rsidRPr="00FB4F67" w:rsidRDefault="00AE2B0B" w:rsidP="0083075A">
      <w:pPr>
        <w:spacing w:after="0" w:line="240" w:lineRule="auto"/>
        <w:jc w:val="both"/>
        <w:rPr>
          <w:rFonts w:ascii="Times New Roman" w:hAnsi="Times New Roman" w:cs="Times New Roman"/>
          <w:color w:val="0070C0"/>
          <w:sz w:val="16"/>
          <w:szCs w:val="16"/>
        </w:rPr>
      </w:pPr>
      <w:bookmarkStart w:id="349" w:name="bookmark850"/>
      <w:bookmarkStart w:id="350" w:name="bookmark851"/>
      <w:r w:rsidRPr="00FB4F67">
        <w:rPr>
          <w:rFonts w:ascii="Times New Roman" w:hAnsi="Times New Roman" w:cs="Times New Roman"/>
          <w:color w:val="0070C0"/>
          <w:sz w:val="16"/>
          <w:szCs w:val="16"/>
        </w:rPr>
        <w:t>В сентябре 1917 г. приказе начальника Штаба ВГК нашли свое отражение действия нашей авиации в весенне-летней кампании. В нем, в частности, отмечалось «исключительно доблестное и самоотверженное отношение к делу всего личного состава боевых авиационных частей» и отмечены заслуги наших летчиков в ходе самой операции: «Понеся потери более значительные, чем прочие рода войск,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(23405).</w:t>
      </w:r>
      <w:bookmarkEnd w:id="349"/>
      <w:bookmarkEnd w:id="350"/>
    </w:p>
    <w:p w14:paraId="3CC908FD" w14:textId="77777777" w:rsidR="00AE2B0B" w:rsidRPr="00FB4F67" w:rsidRDefault="00AE2B0B" w:rsidP="0083075A">
      <w:pPr>
        <w:spacing w:after="0" w:line="240" w:lineRule="auto"/>
        <w:jc w:val="both"/>
        <w:rPr>
          <w:rFonts w:ascii="Times New Roman" w:hAnsi="Times New Roman" w:cs="Times New Roman"/>
          <w:color w:val="0070C0"/>
          <w:sz w:val="16"/>
          <w:szCs w:val="16"/>
        </w:rPr>
      </w:pPr>
    </w:p>
    <w:p w14:paraId="076AB56B" w14:textId="77777777" w:rsidR="00AE2B0B" w:rsidRPr="00FB4F67" w:rsidRDefault="00AE2B0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сентябре 1917 г. военный летчик штабс-капитан Н.А.Макаров предложил осущест</w:t>
      </w:r>
      <w:r w:rsidRPr="00FB4F67">
        <w:rPr>
          <w:rFonts w:ascii="Times New Roman" w:hAnsi="Times New Roman" w:cs="Times New Roman"/>
          <w:color w:val="0070C0"/>
          <w:sz w:val="16"/>
          <w:szCs w:val="16"/>
        </w:rPr>
        <w:softHyphen/>
        <w:t>вить на самолете «Анадис» дальний перелет по маршруту Одесса-Салоники—Рим—Мар- сель—Париж с последующим возвращением в Россию. Перелет был разрешен (23405).</w:t>
      </w:r>
    </w:p>
    <w:p w14:paraId="23BE85BE" w14:textId="77777777" w:rsidR="00AE2B0B" w:rsidRPr="00FB4F67" w:rsidRDefault="00AE2B0B" w:rsidP="0083075A">
      <w:pPr>
        <w:spacing w:after="0" w:line="240" w:lineRule="auto"/>
        <w:jc w:val="both"/>
        <w:rPr>
          <w:rFonts w:ascii="Times New Roman" w:hAnsi="Times New Roman" w:cs="Times New Roman"/>
          <w:color w:val="0070C0"/>
          <w:sz w:val="16"/>
          <w:szCs w:val="16"/>
        </w:rPr>
      </w:pPr>
    </w:p>
    <w:p w14:paraId="5F1D8285" w14:textId="77777777" w:rsidR="00AE2B0B" w:rsidRPr="00FB4F67" w:rsidRDefault="00AE2B0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сентябре 1917 г. в связи с работой 1-го Всероссийского съезда, проходившего в Москве, возникло еще одно авиационное правление - Всероссийский авиационный совет (АВИА-Совет). Это было государственное учреждение невоенного значения, которым руководил летчик-наблюдатель Подпоручик Д.Д. Хризосколео. Вскоре после революции в ноябре она раскололась на различные политические фракции (23525).</w:t>
      </w:r>
    </w:p>
    <w:p w14:paraId="0A250083" w14:textId="77777777" w:rsidR="00AE2B0B" w:rsidRPr="00FB4F67" w:rsidRDefault="00AE2B0B" w:rsidP="0083075A">
      <w:pPr>
        <w:spacing w:after="0" w:line="240" w:lineRule="auto"/>
        <w:jc w:val="both"/>
        <w:rPr>
          <w:rFonts w:ascii="Times New Roman" w:hAnsi="Times New Roman" w:cs="Times New Roman"/>
          <w:color w:val="0070C0"/>
          <w:sz w:val="16"/>
          <w:szCs w:val="16"/>
        </w:rPr>
      </w:pPr>
    </w:p>
    <w:p w14:paraId="48914D0C" w14:textId="77777777" w:rsidR="00AE2B0B" w:rsidRPr="00FB4F67" w:rsidRDefault="00AE2B0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сентябре 1917 г. Петроградскому военно-морскому авиационному училищу было приказано перебраться в Ораниенбаум, к западу от Петрограда, на берегу Финского залива (23525).</w:t>
      </w:r>
    </w:p>
    <w:p w14:paraId="0945ACB0" w14:textId="77777777" w:rsidR="00AE2B0B" w:rsidRPr="00FB4F67" w:rsidRDefault="00AE2B0B" w:rsidP="0083075A">
      <w:pPr>
        <w:spacing w:after="0" w:line="240" w:lineRule="auto"/>
        <w:jc w:val="both"/>
        <w:rPr>
          <w:rFonts w:ascii="Times New Roman" w:hAnsi="Times New Roman" w:cs="Times New Roman"/>
          <w:color w:val="0070C0"/>
          <w:sz w:val="16"/>
          <w:szCs w:val="16"/>
        </w:rPr>
      </w:pPr>
    </w:p>
    <w:p w14:paraId="50FEA1EB" w14:textId="77777777" w:rsidR="00AE2B0B" w:rsidRPr="00FB4F67" w:rsidRDefault="00AE2B0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сентябре 1917 г. в Черном море российский 26-й ВКО был ненадолго придан флоту в устье Дуная, а 36-й ВКО служил в этом качестве до ноября (23525).</w:t>
      </w:r>
    </w:p>
    <w:p w14:paraId="5396A73C" w14:textId="77777777" w:rsidR="00AE2B0B" w:rsidRPr="00FB4F67" w:rsidRDefault="00AE2B0B" w:rsidP="0083075A">
      <w:pPr>
        <w:spacing w:after="0" w:line="240" w:lineRule="auto"/>
        <w:jc w:val="both"/>
        <w:rPr>
          <w:rFonts w:ascii="Times New Roman" w:hAnsi="Times New Roman" w:cs="Times New Roman"/>
          <w:color w:val="0070C0"/>
          <w:sz w:val="16"/>
          <w:szCs w:val="16"/>
        </w:rPr>
      </w:pPr>
    </w:p>
    <w:p w14:paraId="1DD826C4" w14:textId="77777777" w:rsidR="008F10E6" w:rsidRPr="002F2FDF" w:rsidRDefault="008F10E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lastRenderedPageBreak/>
        <w:t>Жизнь и внутренняя политика:</w:t>
      </w:r>
    </w:p>
    <w:p w14:paraId="0853F85C" w14:textId="77777777" w:rsidR="008F10E6" w:rsidRPr="002F2FDF" w:rsidRDefault="008F10E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6B9C05" w14:textId="77777777" w:rsidR="008F10E6" w:rsidRPr="002F2FDF" w:rsidRDefault="008F10E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сентябре 1917 г. Военное министерство (А.А. Маниковский) предложило Временному правительству воспользоваться неистраченными армейскими запасами, чтобы преодолеть «затруднения в получении хлеба от населения»: для этого Московский областной продовольственный комитет должен был обменять на хлеб «накопившееся негодное имущество». В особых условиях разрушенного гражданского снабжения могло найти сбыт даже «все то, что оказывается в армии изношенным и пришедшим в негодность для дальнейшего употребления и затруднительно для починки распоряжением интендантства»: потрепанное обмундирование, белье, теплые вещи, обувь, конская принадлежность, обозное имущество, металлический лом и пр. [РГИА, ф. 1276, оп. 13, д. 452, л. 13] (18408).</w:t>
      </w:r>
    </w:p>
    <w:p w14:paraId="734D20F0" w14:textId="77777777" w:rsidR="008F10E6" w:rsidRPr="002F2FDF" w:rsidRDefault="008F10E6" w:rsidP="0083075A">
      <w:pPr>
        <w:spacing w:after="0" w:line="240" w:lineRule="auto"/>
        <w:jc w:val="both"/>
        <w:rPr>
          <w:rFonts w:ascii="Times New Roman" w:hAnsi="Times New Roman" w:cs="Times New Roman"/>
          <w:color w:val="000000" w:themeColor="text1"/>
          <w:sz w:val="16"/>
          <w:szCs w:val="16"/>
        </w:rPr>
      </w:pPr>
    </w:p>
    <w:p w14:paraId="70F58F1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77E97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64479A" w14:textId="77777777" w:rsidR="00A44B9C" w:rsidRPr="002F2FDF" w:rsidRDefault="00A44B9C"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сентябре 1917 г., несмотря на то, что за три недели войсковых испытаний оба новых истребителя Фоккера были сбиты, и погибли два аса, новый заказ на сто серийных истребителей Фоккер Dr I не только не был отменен, но от фирмы потребовали всячески ускорить его исполнение — ими планировалось полностью перевооружить формируемую 1-ю истребительную эскадру (22781).</w:t>
      </w:r>
    </w:p>
    <w:p w14:paraId="3F1BB351" w14:textId="77777777" w:rsidR="00A44B9C" w:rsidRPr="002F2FDF" w:rsidRDefault="00A44B9C" w:rsidP="0083075A">
      <w:pPr>
        <w:shd w:val="clear" w:color="auto" w:fill="FFFFFF"/>
        <w:spacing w:after="0" w:line="240" w:lineRule="auto"/>
        <w:jc w:val="both"/>
        <w:rPr>
          <w:rFonts w:ascii="Times New Roman" w:hAnsi="Times New Roman" w:cs="Times New Roman"/>
          <w:color w:val="000000" w:themeColor="text1"/>
          <w:sz w:val="16"/>
          <w:szCs w:val="16"/>
        </w:rPr>
      </w:pPr>
    </w:p>
    <w:p w14:paraId="24BAF222" w14:textId="77777777" w:rsidR="00A44B9C" w:rsidRPr="002F2FDF" w:rsidRDefault="00A44B9C"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сентябре 1917 г. завод «Альбатрос» в Герризе получил заказ № 2 на 250 самолетов Альбатрос D Va, а в октябре и третий контракт — еще 550 машин. Завод отчитался по ним полностью, построив 1 062 самолета этой модификации, их поставки начались в октябре 1917 г. и завершились в начале следующего года. Первые Альбатросы D Va комплектовались моторами Мерседес D III в нефорсированном варианте, но с конца 1917 г. пошли Мерседесы D IIIa, а с начала 1918 г. — и D IIIav. При той же мощности 160 л. с. на взлете и у земли, они давали 220 л. с. на границе высотности 1 000 м за счет очередного наращивания степени сжатия, увеличения октанового числа топлива, обогащения смеси и роста оборотов с 1 400 до 1 600 в минуту (22792).</w:t>
      </w:r>
    </w:p>
    <w:p w14:paraId="32E7D5AC" w14:textId="77777777" w:rsidR="00A44B9C" w:rsidRPr="002F2FDF" w:rsidRDefault="00A44B9C" w:rsidP="0083075A">
      <w:pPr>
        <w:shd w:val="clear" w:color="auto" w:fill="FFFFFF"/>
        <w:spacing w:after="0" w:line="240" w:lineRule="auto"/>
        <w:jc w:val="both"/>
        <w:rPr>
          <w:rFonts w:ascii="Times New Roman" w:hAnsi="Times New Roman" w:cs="Times New Roman"/>
          <w:color w:val="000000" w:themeColor="text1"/>
          <w:sz w:val="16"/>
          <w:szCs w:val="16"/>
        </w:rPr>
      </w:pPr>
    </w:p>
    <w:p w14:paraId="02FD00BA" w14:textId="202970C9" w:rsidR="00A44B9C" w:rsidRPr="002F2FDF" w:rsidRDefault="00A44B9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сентябре 1917 г. LFG Роланд D IV (Dr I) был передан на официальные (типовые) испытания в IdFlieg.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В конце сентября 1917 г. самолет потерпел тяжелую аварию – фюзеляж ремонту не подлежал. Тем не менее, самолет восстановили, изготовив фюзеляж заново (в большинстве источников указывается, что фюзеляж был взят от серийного самолета LFG Roland D VI, но опытный его экземпляр с подобным, но меньшей длины фюзеляжем совершил первый полет только в ноябре 1917 г., а в серию был запущен в 1918 г.).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В конце осени 1917 г. самолет испытания возобновил, но на вооружение принят не был, т.к. интерес к трипланам у командования ВВС Германии пропал, а его летные данные были слабы.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Технология и силовая схема фюзеляжа, отработанная на этом самолете, были использованы в проекте LFG Roland D VI (с изменениями в размерах) (23168).</w:t>
      </w:r>
    </w:p>
    <w:p w14:paraId="3F119FDC" w14:textId="77777777" w:rsidR="00A44B9C" w:rsidRPr="002F2FDF" w:rsidRDefault="00A44B9C" w:rsidP="0083075A">
      <w:pPr>
        <w:spacing w:after="0" w:line="240" w:lineRule="auto"/>
        <w:jc w:val="both"/>
        <w:rPr>
          <w:rFonts w:ascii="Times New Roman" w:hAnsi="Times New Roman" w:cs="Times New Roman"/>
          <w:color w:val="000000" w:themeColor="text1"/>
          <w:sz w:val="16"/>
          <w:szCs w:val="16"/>
        </w:rPr>
      </w:pPr>
    </w:p>
    <w:p w14:paraId="36450B3D" w14:textId="77777777" w:rsidR="00A44B9C" w:rsidRPr="002F2FDF" w:rsidRDefault="00A44B9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 сентября 1917 по май 1918 гг. в Вене построили 46 серийных летающих лодок — истребителей ГанзаБранденбург W 18, которые иногда именовались Феникс А.50 по номеру головной машины. На всех их предусмотренных чертежами моторов не хватило, но заменяющие Австро-Даймлер AD 6 (185) и особенно Иеро 6N мощностью 230 л. с. оказались даже лучше, и некоторые самолеты с ними разгонялись до 204 км/ч. В серии шли и другие изменения, — например, по конструкции надстройки перед кабиной и установке вооружения. Эти гидропланы применялись до конца войны в основном на Адриатике (22841).</w:t>
      </w:r>
    </w:p>
    <w:p w14:paraId="11CCEE2B" w14:textId="77777777" w:rsidR="00A44B9C" w:rsidRPr="002F2FDF" w:rsidRDefault="00A44B9C" w:rsidP="0083075A">
      <w:pPr>
        <w:spacing w:after="0" w:line="240" w:lineRule="auto"/>
        <w:jc w:val="both"/>
        <w:rPr>
          <w:rFonts w:ascii="Times New Roman" w:hAnsi="Times New Roman" w:cs="Times New Roman"/>
          <w:color w:val="000000" w:themeColor="text1"/>
          <w:sz w:val="16"/>
          <w:szCs w:val="16"/>
        </w:rPr>
      </w:pPr>
    </w:p>
    <w:p w14:paraId="7DD99446" w14:textId="77777777" w:rsidR="00A44B9C" w:rsidRPr="002F2FDF" w:rsidRDefault="00A44B9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сентябре 1917 г. под влиянием успешного боевого применения немецкого истребителя-триплана Fokker Dr I руководство авиационного арсенала (K.u.K. Fliegerarsenal, Flars) Императорских и королевских ВВС Австро-Венгрии выпустило ТТТ на истребитель-триплан для авиационных предприятий страны. Среди прочих эти требования получила и фирма Wiener Karosserie Flugzeugfabrik, но сокращение WKF, чей авиационный филиал располагался в р-не Асперн г. Вена.</w:t>
      </w:r>
    </w:p>
    <w:p w14:paraId="1F1A4B86" w14:textId="4203DAE8" w:rsidR="00A44B9C" w:rsidRPr="002F2FDF" w:rsidRDefault="00A44B9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Сразу же после получения задания проектирование самолета начал заместитель главного инженера авиационного филиала Альфред Гасснер (Alfred Gassner).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Проектирование велось на базе двухместного биплана-разведчика WKF DD Тип C, но в его конструкцию были внесены столь значительные изменения, что одноместный истребитель WKF Dr I стал самолетом полностью нового типа (23141).</w:t>
      </w:r>
    </w:p>
    <w:p w14:paraId="4ED02487" w14:textId="77777777" w:rsidR="00A44B9C" w:rsidRPr="002F2FDF" w:rsidRDefault="00A44B9C" w:rsidP="0083075A">
      <w:pPr>
        <w:spacing w:after="0" w:line="240" w:lineRule="auto"/>
        <w:jc w:val="both"/>
        <w:rPr>
          <w:rFonts w:ascii="Times New Roman" w:hAnsi="Times New Roman" w:cs="Times New Roman"/>
          <w:color w:val="000000" w:themeColor="text1"/>
          <w:sz w:val="16"/>
          <w:szCs w:val="16"/>
        </w:rPr>
      </w:pPr>
    </w:p>
    <w:p w14:paraId="7AFA685B" w14:textId="77777777" w:rsidR="00A44B9C" w:rsidRPr="002F2FDF" w:rsidRDefault="00A44B9C"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г. состоялся первый полёт Юнкерс J7, затем создали ещё несколько модифи</w:t>
      </w:r>
      <w:r w:rsidRPr="002F2FDF">
        <w:rPr>
          <w:rFonts w:ascii="Times New Roman" w:hAnsi="Times New Roman" w:cs="Times New Roman"/>
          <w:color w:val="000000" w:themeColor="text1"/>
          <w:kern w:val="2"/>
          <w:sz w:val="16"/>
          <w:szCs w:val="16"/>
        </w:rPr>
        <w:softHyphen/>
        <w:t>каций. На испытаниях J7 достиг вертикальной скорости 7,2 м/с, набирал высоту 5000 м за 23,7 минуты. Эти данные были лучше, чем у участвовавших в “Конкурсе одноместных истребителей” аэропланов “Фоккер”, “Румплер”, “Альбатрос”, LVG “Rоland” с аналогич</w:t>
      </w:r>
      <w:r w:rsidRPr="002F2FDF">
        <w:rPr>
          <w:rFonts w:ascii="Times New Roman" w:hAnsi="Times New Roman" w:cs="Times New Roman"/>
          <w:color w:val="000000" w:themeColor="text1"/>
          <w:kern w:val="2"/>
          <w:sz w:val="16"/>
          <w:szCs w:val="16"/>
        </w:rPr>
        <w:softHyphen/>
        <w:t>ным двигателем Мерседес, но несколько хуже, чем у самолёта фирмы “Pfalz und Siemense” с собственным лёгким ротативным двигателем (11696).</w:t>
      </w:r>
    </w:p>
    <w:p w14:paraId="738277B2" w14:textId="77777777" w:rsidR="00A44B9C" w:rsidRPr="002F2FDF" w:rsidRDefault="00A44B9C"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858270" w14:textId="77777777" w:rsidR="00A44B9C" w:rsidRPr="002F2FDF" w:rsidRDefault="00A44B9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т.к. как при дальних нападениях, так и при нападениях на прифронтовую полосу в поддержку наземных войск приходилось переходить к ночным вылетам, завод Сименс- Шукерт приступил прежде всего к выпуску улучшенных типов гигантских самолетов "Гота" для "Бомбардировочной эскадры 3". Новые модели поднимали от 4 до 8 человек, используя от 3 до 7 пулеметов и от 3 до 5 моторов. Гигантские самолеты могли брать на борт до 2,5 т бомб, достигали высоты до 5900 м и скорости от 130 до 140 км/час. Их глубина проникновения составляла таким образом, от 600 до 700 км. С этими самолетами-гигантами, число которых из-за низкой производительности все еще оставалось недостаточным, германский штаб продолжил дальнюю войну против Англии (11999).</w:t>
      </w:r>
    </w:p>
    <w:p w14:paraId="4DE9DDE0" w14:textId="77777777" w:rsidR="00A44B9C" w:rsidRPr="002F2FDF" w:rsidRDefault="00A44B9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F1B664" w14:textId="77777777" w:rsidR="00A44B9C" w:rsidRPr="002F2FDF" w:rsidRDefault="00A44B9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в Германии была сформирована Главная авиационная мастерская, которая возникла путем слияния прежней авиационной мастерской с управлением испытательных аэродромов и с отделом сырьевого снабжения; под отличным руководством своего начальника она оказала фронту неоценимую помощь (11282).</w:t>
      </w:r>
    </w:p>
    <w:p w14:paraId="16EECFE8" w14:textId="77777777" w:rsidR="00A44B9C" w:rsidRPr="002F2FDF" w:rsidRDefault="00A44B9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36E59E" w14:textId="77777777" w:rsidR="00A44B9C" w:rsidRPr="002F2FDF" w:rsidRDefault="00A44B9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года командующий германскими воздушными силами предложил уменьшить число формируемых отрядов (А) с 17 до 7, увеличив вместе с тем число самолетов в каждом отряде до 9 вместо 6 ранее. Освободившиеся благодаря отмене формирования 10 новых отрядов с их парками 90 самолетов должны были пойти на усиление 30 отрядов (А), состав которых мог быть таким образом увеличен до 9 самолетов с соответствующим персоналом. Эта новая организация дала значительную экономию в офицерском составе, солдатах и автомобилях. Повышение числа самолетов до 9 оказалось также необходимым и для авиаотрядов, подчиненных штабам армий, так как выполняемые ими задачи, преимущественно по дальней разведке и фотографированию, требовали пополнения их специальными самолетами. Таким путем к марту 1918 года возникло 13 специальных фотосъемочных авиаотрядов. Наряду с ними первоначально были сохранены отделения маршрутных съемок (11282).</w:t>
      </w:r>
    </w:p>
    <w:p w14:paraId="2813C547" w14:textId="77777777" w:rsidR="00A44B9C" w:rsidRPr="002F2FDF" w:rsidRDefault="00A44B9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2E8EEC" w14:textId="77777777" w:rsidR="00A44B9C" w:rsidRPr="002F2FDF" w:rsidRDefault="00A44B9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сентябре 1917 во время второй бомбардировки Константинополя единственный Handley Page O / 100 в Средиземном море был сбит в заливе Ксерос из- за отказа двигателя, а его экипаж взят в плен османскими войсками (20341).</w:t>
      </w:r>
    </w:p>
    <w:p w14:paraId="6F2DAF99" w14:textId="77777777" w:rsidR="00A44B9C" w:rsidRPr="002F2FDF" w:rsidRDefault="00A44B9C" w:rsidP="0083075A">
      <w:pPr>
        <w:spacing w:after="0" w:line="240" w:lineRule="auto"/>
        <w:jc w:val="both"/>
        <w:rPr>
          <w:rFonts w:ascii="Times New Roman" w:hAnsi="Times New Roman" w:cs="Times New Roman"/>
          <w:color w:val="000000" w:themeColor="text1"/>
          <w:sz w:val="16"/>
          <w:szCs w:val="16"/>
        </w:rPr>
      </w:pPr>
    </w:p>
    <w:p w14:paraId="451A6577" w14:textId="77777777" w:rsidR="00A44B9C" w:rsidRPr="002F2FDF" w:rsidRDefault="00A44B9C"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В сентябре 1917 года во Франции с приходом нового премьерминистра, Винсена снимают с должности, на его места назначается бывший авиатор Ж-Л. Дюмесниль (J-L Dumesnil). Дюмесниль передает СФА в Министерство вооружения и военной промышленности, что вызывает протесты со стороны Дюваля. В конце декабря 1917 года на пост начальника Управления военной авиации Военного министерства назначается полковник Ди (Dhi). Он параллельно становится руководителем Центральной службой по производству авиационной техники в министерстве вооружения. В январе 1918 года СТАе возглавил известный изобретатель А. Како (Albert Caquot), который навел порядок в системе производства авиационной техники — к концу войны французские предприятия выпускали до 100 самолётов в сутки (19791).</w:t>
      </w:r>
    </w:p>
    <w:p w14:paraId="20B37042" w14:textId="77777777" w:rsidR="00A44B9C" w:rsidRPr="002F2FDF" w:rsidRDefault="00A44B9C" w:rsidP="0083075A">
      <w:pPr>
        <w:pStyle w:val="ae"/>
        <w:shd w:val="clear" w:color="auto" w:fill="FFFFFF"/>
        <w:spacing w:before="0" w:after="0"/>
        <w:jc w:val="both"/>
        <w:textAlignment w:val="baseline"/>
        <w:rPr>
          <w:color w:val="000000" w:themeColor="text1"/>
          <w:sz w:val="16"/>
          <w:szCs w:val="16"/>
        </w:rPr>
      </w:pPr>
    </w:p>
    <w:p w14:paraId="4FA5D6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1917 было наступление французских войск против частей австро-венгерского 19ак в р-не г.Поградец (7594).</w:t>
      </w:r>
    </w:p>
    <w:p w14:paraId="281FBE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D78493"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u w:color="002060"/>
        </w:rPr>
      </w:pPr>
      <w:r w:rsidRPr="002F2FDF">
        <w:rPr>
          <w:rFonts w:ascii="Times New Roman" w:hAnsi="Times New Roman" w:cs="Times New Roman"/>
          <w:color w:val="000000" w:themeColor="text1"/>
          <w:kern w:val="2"/>
          <w:sz w:val="16"/>
          <w:szCs w:val="16"/>
          <w:u w:color="002060"/>
        </w:rPr>
        <w:t>В сентябре 1917 г., считая, что в конструкции A7V достигнут рациональный предел соотношения боевой массы и мощности вооружения, Фольмером, который в инициативном порядке разработал конструктивные принципы легкой боевой машины с пулеметным вооружением и экипажем 2-3 человека, был представлен к утверждению проект легкого танка LK. Особенностью его конструкции должно было стать широкое использование узлов и агрегатов изъятых из эксплуатации и находящихся на складах легковых автомобилей. Основная задача заключалась в ограничении боевой массы нового танка, что определялось наличием автомобилей в основном с двигателями мощностью 45-60 л. с.</w:t>
      </w:r>
    </w:p>
    <w:p w14:paraId="3B05E67A"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u w:color="002060"/>
        </w:rPr>
      </w:pPr>
      <w:r w:rsidRPr="002F2FDF">
        <w:rPr>
          <w:rFonts w:ascii="Times New Roman" w:hAnsi="Times New Roman" w:cs="Times New Roman"/>
          <w:color w:val="000000" w:themeColor="text1"/>
          <w:kern w:val="2"/>
          <w:sz w:val="16"/>
          <w:szCs w:val="16"/>
          <w:u w:color="002060"/>
        </w:rPr>
        <w:t>Первый образец LK изготовили к 1918 г. Для массового производства была предложена усовершенствованная конструкция – танк LK-II. Однако трудности войны не позволили развернуть массовое производство этих легких машин в Германии (12148).</w:t>
      </w:r>
    </w:p>
    <w:p w14:paraId="6C679F73" w14:textId="77777777" w:rsidR="00247666" w:rsidRPr="002F2FDF" w:rsidRDefault="00247666" w:rsidP="0083075A">
      <w:pPr>
        <w:spacing w:after="0" w:line="240" w:lineRule="auto"/>
        <w:jc w:val="both"/>
        <w:rPr>
          <w:rFonts w:ascii="Times New Roman" w:hAnsi="Times New Roman" w:cs="Times New Roman"/>
          <w:color w:val="000000" w:themeColor="text1"/>
          <w:kern w:val="2"/>
          <w:sz w:val="16"/>
          <w:szCs w:val="16"/>
          <w:u w:color="002060"/>
        </w:rPr>
      </w:pPr>
    </w:p>
    <w:p w14:paraId="7EC2F64C" w14:textId="77777777" w:rsidR="00A44B9C" w:rsidRPr="002F2FDF" w:rsidRDefault="00A44B9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сентябре 1917 г. англичане приступили к разработке «десантного» танка специальной конструкции с использованием агрегатов Mk V. Для того чтобы обеспечить максимальное пространство для десантников, отказались от спонсонов и вооружения в них, а двигатель с радиатором сместили вперед. Отделение для десанта расположили между двигателем и коробкой передач. Машина, получившая обозначение Мk IX, могла перевозить до 30 десантников, а ее экипаж состоял из 4 человек (командира, водителя, механика и пулеметчика). Посадка осуществлялась через большие овальные двери, по две на каждом борту. В лобовом и кормовом листах </w:t>
      </w:r>
      <w:r w:rsidRPr="002F2FDF">
        <w:rPr>
          <w:rFonts w:ascii="Times New Roman" w:hAnsi="Times New Roman" w:cs="Times New Roman"/>
          <w:color w:val="000000" w:themeColor="text1"/>
          <w:sz w:val="16"/>
          <w:szCs w:val="16"/>
        </w:rPr>
        <w:lastRenderedPageBreak/>
        <w:t>корпуса установили по одному пулемету, а в бортах сделали лючки для стрельбы из карабинов десанта. На крыше рубки имелась наблюдательная башенка. Несмотря на то, что Мk IX пытались облегчить даже за счет уменьшения толщины бронирования до 12 мм, высокое удельное давление на грунт (2 кг/см2 при полной загрузке) существенно ограничивало проходимость. Максимальная скорость хода Мk IX составляла 6,5 км/ч. Было заказано 200 Мk IX, но до заключения перемирия успели построить только три, которые в боевых действиях участия, естественно, не принимали. Всего же собрали чуть более трех десятков Мk IX, они использовались после войны и получили кличку Pig (свинья) (22790).</w:t>
      </w:r>
    </w:p>
    <w:p w14:paraId="186FC436" w14:textId="77777777" w:rsidR="00A44B9C" w:rsidRPr="002F2FDF" w:rsidRDefault="00A44B9C" w:rsidP="0083075A">
      <w:pPr>
        <w:spacing w:after="0" w:line="240" w:lineRule="auto"/>
        <w:jc w:val="both"/>
        <w:rPr>
          <w:rFonts w:ascii="Times New Roman" w:hAnsi="Times New Roman" w:cs="Times New Roman"/>
          <w:color w:val="000000" w:themeColor="text1"/>
          <w:sz w:val="16"/>
          <w:szCs w:val="16"/>
        </w:rPr>
      </w:pPr>
    </w:p>
    <w:p w14:paraId="1562A13A" w14:textId="77777777" w:rsidR="00AE2B0B" w:rsidRPr="002F2FDF" w:rsidRDefault="00AE2B0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3CFF45B" w14:textId="77777777" w:rsidR="00AE2B0B" w:rsidRPr="002F2FDF" w:rsidRDefault="00AE2B0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75C526" w14:textId="77777777" w:rsidR="00AE2B0B" w:rsidRPr="00FB4F67" w:rsidRDefault="00AE2B0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w:t>
      </w:r>
      <w:r w:rsidRPr="00FB4F67">
        <w:rPr>
          <w:rFonts w:ascii="Times New Roman" w:hAnsi="Times New Roman" w:cs="Times New Roman"/>
          <w:color w:val="0070C0"/>
          <w:sz w:val="16"/>
          <w:szCs w:val="16"/>
        </w:rPr>
        <w:t xml:space="preserve"> сентябре-октябре 1917 г. великий князь Александр Михайлович проживал в своем имении Ай-Тодор под Ялтой в сопровождении генерала Н. Ф. Фогеля (23525).</w:t>
      </w:r>
    </w:p>
    <w:p w14:paraId="711926E8" w14:textId="77777777" w:rsidR="00AE2B0B" w:rsidRPr="00FB4F67" w:rsidRDefault="00AE2B0B" w:rsidP="0083075A">
      <w:pPr>
        <w:spacing w:after="0" w:line="240" w:lineRule="auto"/>
        <w:jc w:val="both"/>
        <w:rPr>
          <w:rFonts w:ascii="Times New Roman" w:hAnsi="Times New Roman" w:cs="Times New Roman"/>
          <w:color w:val="0070C0"/>
          <w:sz w:val="16"/>
          <w:szCs w:val="16"/>
        </w:rPr>
      </w:pPr>
    </w:p>
    <w:p w14:paraId="7606F50A" w14:textId="77777777" w:rsidR="00A44B9C" w:rsidRPr="002F2FDF" w:rsidRDefault="00A44B9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3F3759A" w14:textId="77777777" w:rsidR="00A44B9C" w:rsidRPr="002F2FDF" w:rsidRDefault="00A44B9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875B41" w14:textId="77777777" w:rsidR="00A44B9C" w:rsidRPr="002F2FDF" w:rsidRDefault="00A44B9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сентябре-ноябре 1917 г. завод в Бранденбурге сдал последние 5 машин Ганза-Бранденбург GW с номерами с 1080 по 1084. Их опять переделали, выпустив с удлиненными на 560 мм крыльями и при этом с еще более короткими элеронами, снова поменяли профиль крыла, уменьшили угол поперечного V консолей и опять снабдили новым оперением. Увеличение диаметра воздушных винтов на 3-й серии дало обратный эффект, и теперь их сделали меньше, чем на прототипе. Но из всех нововведений полезными оказались старая конструкция укороченного фюзеляжа с «узким» миделем и наконец-то изжитые щели шириной по 50 мм между его бортами и консолями нижнего крыла (23073).</w:t>
      </w:r>
    </w:p>
    <w:p w14:paraId="09C4B644" w14:textId="77777777" w:rsidR="00A44B9C" w:rsidRPr="002F2FDF" w:rsidRDefault="00A44B9C" w:rsidP="0083075A">
      <w:pPr>
        <w:spacing w:after="0" w:line="240" w:lineRule="auto"/>
        <w:jc w:val="both"/>
        <w:rPr>
          <w:rFonts w:ascii="Times New Roman" w:hAnsi="Times New Roman" w:cs="Times New Roman"/>
          <w:color w:val="000000" w:themeColor="text1"/>
          <w:sz w:val="16"/>
          <w:szCs w:val="16"/>
        </w:rPr>
      </w:pPr>
    </w:p>
    <w:p w14:paraId="5E5CE36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C8CE4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27B7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осени 1917 Черноморский флот занимался перевозками, обеспечивая Кавказский фронт. Противолодочное охранение и разведку вели лётчики 5-го дивизиона. На воздушных станциях в Сухуме, Батуме, Платане имелось по четыре гидросамолёта, на воздушных постах в Трапезунде и Ризе - по два колесных аэроплана (11933).</w:t>
      </w:r>
    </w:p>
    <w:p w14:paraId="72A66D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CE2F0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1EF01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0E2103" w14:textId="77777777" w:rsidR="00BF655D" w:rsidRPr="00FB4F67" w:rsidRDefault="00BF655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Осенью 1917 г. в России существовали 34 авиапредприятия, на которых трудились более 12 тысяч рабочих. Из них 14 заводов выпускали самолеты, семь - моторы, три - воздушные винты и лыжи, два - магнето, один - авиаприборы, остальные заканчивали строительство. Полностью функционировал авиазавод С. С. Щетинина («Гамаюн»), заводы В. А. Лебедева в Петербурге, Таганроге и Пензе, собиравшие гидросамолеты и знаменитые многомоторники «Илья Муромец». Работало авиационное отделение питерского Русско-Балтийского вагонного завода, московский завод «Дуке», заводы А. А. Анатры в Одессе и Симферополе, В. Ф. Адаменко в Крыму. Промышленный выпуск самолетов освоили предприятие итальянского конструктора Ф. Э. Моски в Москве, мастерская Ф. Ф. Терещенко под Киевом, фабрика Ф. Мельцера в Петрограде. В районе Херсона создавался крупнейший опытно-исследовательский авиационный центр - «Авиагородок».</w:t>
      </w:r>
    </w:p>
    <w:p w14:paraId="3B156308" w14:textId="77777777" w:rsidR="00BF655D" w:rsidRPr="00FB4F67" w:rsidRDefault="00BF655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Наблюдается и существенный рост мощностей в моторостроении за счет капиталовложений французских фирм. Помимо существующего в Москве моторного завода «Гном и Рон», возник ещё завод «Сальмсон». В Рыбинске развернулось строительство цехов компании «Рено». Фирма «Дюфлон и Константинович» (Дека) в 1916 г. организовала создание завода в Александровске. Производством авиадвигателей собственной конструкции занимались РБВЗ, экипажно-автомобильная фабрика П. Ильина и акционерное товарищество «Мотор» (23485).</w:t>
      </w:r>
    </w:p>
    <w:p w14:paraId="3E84F5CF" w14:textId="77777777" w:rsidR="00BF655D" w:rsidRPr="00FB4F67" w:rsidRDefault="00BF655D" w:rsidP="0083075A">
      <w:pPr>
        <w:spacing w:after="0" w:line="240" w:lineRule="auto"/>
        <w:jc w:val="both"/>
        <w:rPr>
          <w:rFonts w:ascii="Times New Roman" w:hAnsi="Times New Roman" w:cs="Times New Roman"/>
          <w:color w:val="0070C0"/>
          <w:sz w:val="16"/>
          <w:szCs w:val="16"/>
        </w:rPr>
      </w:pPr>
    </w:p>
    <w:p w14:paraId="490CE8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Осенью 1917 г. новые корабли ИМ №236, 237, 238 и 243 отправили в Винницу, но они уже не успели принять участия в боях (11277).</w:t>
      </w:r>
    </w:p>
    <w:p w14:paraId="0F4F99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B9C0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Осенью 1917 года новые корабли модификации Г-3 №№ 236, 237, 238 также были отправлены в Винницу, но они уже не успели принять участия в боях (12041).</w:t>
      </w:r>
    </w:p>
    <w:p w14:paraId="201A9C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DBCB45" w14:textId="77777777" w:rsidR="00BF655D" w:rsidRPr="00FB4F67" w:rsidRDefault="00BF655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До осени 1917 затянулась по причине отсутствия двигате</w:t>
      </w:r>
      <w:r w:rsidRPr="00FB4F67">
        <w:rPr>
          <w:rFonts w:ascii="Times New Roman" w:hAnsi="Times New Roman" w:cs="Times New Roman"/>
          <w:color w:val="0070C0"/>
          <w:sz w:val="16"/>
          <w:szCs w:val="16"/>
        </w:rPr>
        <w:softHyphen/>
        <w:t>лей поставка 15 С-16з по контракту от 4 января 1917 г.  и в связи с на</w:t>
      </w:r>
      <w:r w:rsidRPr="00FB4F67">
        <w:rPr>
          <w:rFonts w:ascii="Times New Roman" w:hAnsi="Times New Roman" w:cs="Times New Roman"/>
          <w:color w:val="0070C0"/>
          <w:sz w:val="16"/>
          <w:szCs w:val="16"/>
        </w:rPr>
        <w:softHyphen/>
        <w:t>чавшимися революционными беспорядка ми, казалась бесперспективной. Лишь в мае 1919 г. два С-16з поступили в Мос</w:t>
      </w:r>
      <w:r w:rsidRPr="00FB4F67">
        <w:rPr>
          <w:rFonts w:ascii="Times New Roman" w:hAnsi="Times New Roman" w:cs="Times New Roman"/>
          <w:color w:val="0070C0"/>
          <w:sz w:val="16"/>
          <w:szCs w:val="16"/>
        </w:rPr>
        <w:softHyphen/>
        <w:t>ковскую школу авиации и еще пять (три в 1919 г. и два в 1920 г.) в Дивизион Воз</w:t>
      </w:r>
      <w:r w:rsidRPr="00FB4F67">
        <w:rPr>
          <w:rFonts w:ascii="Times New Roman" w:hAnsi="Times New Roman" w:cs="Times New Roman"/>
          <w:color w:val="0070C0"/>
          <w:sz w:val="16"/>
          <w:szCs w:val="16"/>
        </w:rPr>
        <w:softHyphen/>
        <w:t>душных Кораблей в Сарапуле. В Дивизио</w:t>
      </w:r>
      <w:r w:rsidRPr="00FB4F67">
        <w:rPr>
          <w:rFonts w:ascii="Times New Roman" w:hAnsi="Times New Roman" w:cs="Times New Roman"/>
          <w:color w:val="0070C0"/>
          <w:sz w:val="16"/>
          <w:szCs w:val="16"/>
        </w:rPr>
        <w:softHyphen/>
        <w:t>не самолеты использовались как учебные до 1922 г. (23374).</w:t>
      </w:r>
    </w:p>
    <w:p w14:paraId="3911CF3D" w14:textId="77777777" w:rsidR="00BF655D" w:rsidRPr="00FB4F67" w:rsidRDefault="00BF655D" w:rsidP="0083075A">
      <w:pPr>
        <w:spacing w:after="0" w:line="240" w:lineRule="auto"/>
        <w:jc w:val="both"/>
        <w:rPr>
          <w:rFonts w:ascii="Times New Roman" w:hAnsi="Times New Roman" w:cs="Times New Roman"/>
          <w:color w:val="0070C0"/>
          <w:sz w:val="16"/>
          <w:szCs w:val="16"/>
        </w:rPr>
      </w:pPr>
    </w:p>
    <w:p w14:paraId="21E32378" w14:textId="77777777" w:rsidR="00BF655D" w:rsidRPr="00FB4F67" w:rsidRDefault="00BF655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Осенью 1917 г., чтобы хоть как-то оснастить Эс</w:t>
      </w:r>
      <w:r w:rsidRPr="00FB4F67">
        <w:rPr>
          <w:rFonts w:ascii="Times New Roman" w:hAnsi="Times New Roman" w:cs="Times New Roman"/>
          <w:color w:val="0070C0"/>
          <w:sz w:val="16"/>
          <w:szCs w:val="16"/>
        </w:rPr>
        <w:softHyphen/>
        <w:t>кадру, Управление Военно-Воздуш</w:t>
      </w:r>
      <w:r w:rsidRPr="00FB4F67">
        <w:rPr>
          <w:rFonts w:ascii="Times New Roman" w:hAnsi="Times New Roman" w:cs="Times New Roman"/>
          <w:color w:val="0070C0"/>
          <w:sz w:val="16"/>
          <w:szCs w:val="16"/>
        </w:rPr>
        <w:softHyphen/>
        <w:t>ного флота заказало на симферопольском заводе «Анатра» пятьдесят двухмоторных бом</w:t>
      </w:r>
      <w:r w:rsidRPr="00FB4F67">
        <w:rPr>
          <w:rFonts w:ascii="Times New Roman" w:hAnsi="Times New Roman" w:cs="Times New Roman"/>
          <w:color w:val="0070C0"/>
          <w:sz w:val="16"/>
          <w:szCs w:val="16"/>
        </w:rPr>
        <w:softHyphen/>
        <w:t>бардировщиков «Анадва-ВХ». Ори</w:t>
      </w:r>
      <w:r w:rsidRPr="00FB4F67">
        <w:rPr>
          <w:rFonts w:ascii="Times New Roman" w:hAnsi="Times New Roman" w:cs="Times New Roman"/>
          <w:color w:val="0070C0"/>
          <w:sz w:val="16"/>
          <w:szCs w:val="16"/>
        </w:rPr>
        <w:softHyphen/>
        <w:t>гинальный пятиместный двухфю</w:t>
      </w:r>
      <w:r w:rsidRPr="00FB4F67">
        <w:rPr>
          <w:rFonts w:ascii="Times New Roman" w:hAnsi="Times New Roman" w:cs="Times New Roman"/>
          <w:color w:val="0070C0"/>
          <w:sz w:val="16"/>
          <w:szCs w:val="16"/>
        </w:rPr>
        <w:softHyphen/>
        <w:t>зеляжный трёхстоечный биплан большого размаха состоял из двух фюзеляжей лёгких самолётов «Ана- саль». Под центропланом верхнего крыла монтировалась дополни</w:t>
      </w:r>
      <w:r w:rsidRPr="00FB4F67">
        <w:rPr>
          <w:rFonts w:ascii="Times New Roman" w:hAnsi="Times New Roman" w:cs="Times New Roman"/>
          <w:color w:val="0070C0"/>
          <w:sz w:val="16"/>
          <w:szCs w:val="16"/>
        </w:rPr>
        <w:softHyphen/>
        <w:t>тельная гондола для стрелка. Само</w:t>
      </w:r>
      <w:r w:rsidRPr="00FB4F67">
        <w:rPr>
          <w:rFonts w:ascii="Times New Roman" w:hAnsi="Times New Roman" w:cs="Times New Roman"/>
          <w:color w:val="0070C0"/>
          <w:sz w:val="16"/>
          <w:szCs w:val="16"/>
        </w:rPr>
        <w:softHyphen/>
        <w:t>лёт мог брать на борт свыше 350 кг бомб, но его дальность полёта была значительно меньше, чем у «Му</w:t>
      </w:r>
      <w:r w:rsidRPr="00FB4F67">
        <w:rPr>
          <w:rFonts w:ascii="Times New Roman" w:hAnsi="Times New Roman" w:cs="Times New Roman"/>
          <w:color w:val="0070C0"/>
          <w:sz w:val="16"/>
          <w:szCs w:val="16"/>
        </w:rPr>
        <w:softHyphen/>
        <w:t>ромца». Кроме того, осенью 1917 г. русские лётчики должны были на</w:t>
      </w:r>
      <w:r w:rsidRPr="00FB4F67">
        <w:rPr>
          <w:rFonts w:ascii="Times New Roman" w:hAnsi="Times New Roman" w:cs="Times New Roman"/>
          <w:color w:val="0070C0"/>
          <w:sz w:val="16"/>
          <w:szCs w:val="16"/>
        </w:rPr>
        <w:softHyphen/>
        <w:t>чать перегонку из Италии через го</w:t>
      </w:r>
      <w:r w:rsidRPr="00FB4F67">
        <w:rPr>
          <w:rFonts w:ascii="Times New Roman" w:hAnsi="Times New Roman" w:cs="Times New Roman"/>
          <w:color w:val="0070C0"/>
          <w:sz w:val="16"/>
          <w:szCs w:val="16"/>
        </w:rPr>
        <w:softHyphen/>
        <w:t>лову врага трёхмоторных тяжёлых бомбардировщиков «Капрони-33». Первый такой перелёт был намечен на конец октября 1917 г. По понят</w:t>
      </w:r>
      <w:r w:rsidRPr="00FB4F67">
        <w:rPr>
          <w:rFonts w:ascii="Times New Roman" w:hAnsi="Times New Roman" w:cs="Times New Roman"/>
          <w:color w:val="0070C0"/>
          <w:sz w:val="16"/>
          <w:szCs w:val="16"/>
        </w:rPr>
        <w:softHyphen/>
        <w:t>ным причинам он не состоялся. Ни одной «Анадвы» ЭВК тоже не по</w:t>
      </w:r>
      <w:r w:rsidRPr="00FB4F67">
        <w:rPr>
          <w:rFonts w:ascii="Times New Roman" w:hAnsi="Times New Roman" w:cs="Times New Roman"/>
          <w:color w:val="0070C0"/>
          <w:sz w:val="16"/>
          <w:szCs w:val="16"/>
        </w:rPr>
        <w:softHyphen/>
        <w:t>лучила (23469).</w:t>
      </w:r>
    </w:p>
    <w:p w14:paraId="21D46C5E" w14:textId="77777777" w:rsidR="00BF655D" w:rsidRPr="00FB4F67" w:rsidRDefault="00BF655D" w:rsidP="0083075A">
      <w:pPr>
        <w:spacing w:after="0" w:line="240" w:lineRule="auto"/>
        <w:jc w:val="both"/>
        <w:rPr>
          <w:rFonts w:ascii="Times New Roman" w:hAnsi="Times New Roman" w:cs="Times New Roman"/>
          <w:color w:val="0070C0"/>
          <w:sz w:val="16"/>
          <w:szCs w:val="16"/>
        </w:rPr>
      </w:pPr>
    </w:p>
    <w:p w14:paraId="37F5CE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Осенью 1917 на Дукс поступили чертежи DH-9 (92,307) или его предшественника DH-4 (88,101).</w:t>
      </w:r>
    </w:p>
    <w:p w14:paraId="6C0E63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Пополнение и обновление российского самолетного парка, осуществляемое за счет поставок союзников, вскоре после начала войны натолкнулось на серьезные трудности. Мало того, что союзники старались сбыть России устаревшие и снятые с вооружения их армий аппараты, к тому же и возможности получения такой малоэффективной авиатехники значительно сократилось из-за активизации Германией морской войны. Все это заставило царское правительство усиленно субсидировать авиапромышленность. Большие авиа заказы получали в первую очередь иностранные предприниматели, которым теперь стало выгодно наладить в России, помимо сборки, производство авиационной продукции. Прибыли в самолетостроении возросли до 50% от вложенного капитала. В г. Ярославле, Бердянске, Пензе, Таганроге, Александровске, Симферополе возводились цехи новых заводов. В результате выпуск самолетов резко увеличился. Если перед войной ежемесячно собиралось 40 машин различных типов, то в 1917 г. только завод С.С.Щетинина ("Первое Всероссийское товарищество воздухоплавания"), В.А.Лебедева. Русско-Балтийский вагоностроительный завод в Петрограде, заводы А.А.Анатра - в Одессе и Симферополе (276). "Дукс" давал 75-100 самолетов в месяц (276).</w:t>
      </w:r>
    </w:p>
    <w:p w14:paraId="7F1B90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массовом порядке производились аппараты, скопированные с немецких и французских образцов. Из 16 типов самолетов, состоявших на вооружении в 1916 г., только два были русскими по конструкции, а из 9 типов авиамоторов - только один (276).</w:t>
      </w:r>
    </w:p>
    <w:p w14:paraId="5F8DDF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C46780" w14:textId="77777777" w:rsidR="008256FD" w:rsidRPr="002F2FDF" w:rsidRDefault="008256FD"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Вплоть до осени 1917 г. Ю.А.Меллер всячески боролся за расширение производства Дукс, и, в первую очередь, территории завода. История «Дукса» в Тверской- Ямской слободе ведет свое начало с весны 1901 г. 13 апреля заключили договор купли—продажи, по которому некий И.П.Гущин продал АО «Дукс Ю.А.Меллер» «собственное свое пустопорожнее дворовое место, состоящее в Москве Сущевской части, 2 участка, за Камер-Коллежским валом по проезду Ямского поля, под № 1345, из десятка № 1235 новый, по плану под № 8, доставшееся ему, Гущину, по приговору ямщиков Московской Ямской слободы от 24 июля 1890 г.»» (15464).</w:t>
      </w:r>
    </w:p>
    <w:p w14:paraId="69C37B34" w14:textId="77777777" w:rsidR="008256FD" w:rsidRPr="002F2FDF" w:rsidRDefault="008256FD" w:rsidP="0083075A">
      <w:pPr>
        <w:pStyle w:val="2"/>
        <w:spacing w:before="0" w:beforeAutospacing="0" w:after="0" w:afterAutospacing="0"/>
        <w:jc w:val="both"/>
        <w:rPr>
          <w:b w:val="0"/>
          <w:color w:val="000000" w:themeColor="text1"/>
          <w:kern w:val="2"/>
          <w:sz w:val="16"/>
          <w:szCs w:val="16"/>
        </w:rPr>
      </w:pPr>
    </w:p>
    <w:p w14:paraId="0B5A74B4" w14:textId="77777777" w:rsidR="008256FD" w:rsidRPr="002F2FDF" w:rsidRDefault="008256F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осени 1917 года по начало 1922 года на железных дорогах бывшей российской империи всеми воюющими сторонами было задействовано более 500 бронепоездов различных конструкций (15218).</w:t>
      </w:r>
    </w:p>
    <w:p w14:paraId="283BC5B4" w14:textId="77777777" w:rsidR="008256FD" w:rsidRPr="002F2FDF" w:rsidRDefault="008256FD" w:rsidP="0083075A">
      <w:pPr>
        <w:spacing w:after="0" w:line="240" w:lineRule="auto"/>
        <w:jc w:val="both"/>
        <w:rPr>
          <w:rFonts w:ascii="Times New Roman" w:hAnsi="Times New Roman" w:cs="Times New Roman"/>
          <w:color w:val="000000" w:themeColor="text1"/>
          <w:kern w:val="2"/>
          <w:sz w:val="16"/>
          <w:szCs w:val="16"/>
        </w:rPr>
      </w:pPr>
    </w:p>
    <w:p w14:paraId="181C5998" w14:textId="77777777" w:rsidR="008256FD" w:rsidRPr="002F2FDF" w:rsidRDefault="008256FD"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Осенью 1917, в конце войны, продукция Дукс не отличалась высоким качеством, которое едва улучшалось даже под давлением «наблюдающих офицеров» (военной приемки). Серийный выпуск болъшого количества новых и модернизированных типов самолетов, частая смена модифнкации, слишком большой заказ военного ведомства, перегрузивший завод, спешка, малоквалифицированные кадры, пришедшие на завод в годы войны, затрудняли разработку и освоение прогрессивных технологий и привели к падению качества выпускаемых самолетов. Все это усугублялось недостатком высококачественных материалов, конструктивными и технологическими недостатками образцов самолетов и чертежей, поступавших от иностранных фирм. С фронта телеграфировали, что на «Фармане-ХХХ» из-за малого расстояния от концов винта до стоек хвостовой фермы в винт нередко попадали тросы рулевого управления.</w:t>
      </w:r>
    </w:p>
    <w:p w14:paraId="12A5CF79" w14:textId="77777777" w:rsidR="008256FD" w:rsidRPr="002F2FDF" w:rsidRDefault="008256FD"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Если до войны качество самолетов «Дукса» ставилось в пример другим заводам, но с началом войны ситуация стала обратной. Инспектор авиации армий Юго-Западного фронта В.М.Ткачев докладывал, что налицо «небрежная поставка самолетов русскими заводами, в частности заводом «Дукс», что выяснено, главным образом, в 8-м истребительном и 4-м сибирском корпусных отрядах. В первом, по заявлению командира отряда, не могли собрать «Бебе» завода «Дукс» вследствие того, что части самолета не подходили друг к другу; во втором — в полете вылетали стойки хвостовой фермы вследствие поломки болтов, скрепляющих стойки с лонжеронами.» Так выявился серьезный конструктивный дефект, устранить который удалось только с помощью авиационной науки в лице группы Н.Е.Жуковского.</w:t>
      </w:r>
    </w:p>
    <w:p w14:paraId="7E1511B8" w14:textId="77777777" w:rsidR="008256FD" w:rsidRPr="002F2FDF" w:rsidRDefault="008256FD" w:rsidP="0083075A">
      <w:pPr>
        <w:pStyle w:val="2"/>
        <w:spacing w:before="0" w:beforeAutospacing="0" w:after="0" w:afterAutospacing="0"/>
        <w:jc w:val="both"/>
        <w:rPr>
          <w:b w:val="0"/>
          <w:color w:val="000000" w:themeColor="text1"/>
          <w:kern w:val="2"/>
          <w:sz w:val="16"/>
          <w:szCs w:val="16"/>
        </w:rPr>
      </w:pPr>
    </w:p>
    <w:p w14:paraId="0955CBF7" w14:textId="77777777" w:rsidR="008256FD" w:rsidRPr="002F2FDF" w:rsidRDefault="008256FD"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lastRenderedPageBreak/>
        <w:t>Осенью 1917 г. на Центральном парке-складе авиационного и воздухоплавательного имущества скопились огромные авиационные запасы. Среди прочего там стояли 70 «Ньюпоров-23», 23 «Ньюпора-17», 4 «Спада 7», 12 «Фарманов-40», 15 «Кодронов» и 72 английских самолета, главным образом, «Сопвича». Всего больше 200 машин. К началу 1918 г. в парк-складе в ремонте находилось еще около 100 самолетов и 50 без двигателей (15464).</w:t>
      </w:r>
    </w:p>
    <w:p w14:paraId="3B7E699E" w14:textId="77777777" w:rsidR="008256FD" w:rsidRPr="002F2FDF" w:rsidRDefault="008256FD" w:rsidP="0083075A">
      <w:pPr>
        <w:pStyle w:val="2"/>
        <w:spacing w:before="0" w:beforeAutospacing="0" w:after="0" w:afterAutospacing="0"/>
        <w:jc w:val="both"/>
        <w:rPr>
          <w:b w:val="0"/>
          <w:color w:val="000000" w:themeColor="text1"/>
          <w:kern w:val="2"/>
          <w:sz w:val="16"/>
          <w:szCs w:val="16"/>
        </w:rPr>
      </w:pPr>
    </w:p>
    <w:p w14:paraId="7BA6B6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Осенью 1917 г. построили двухместный разведчик "Лебедь"-ХХI в 7 экземплярах. Это был моноплан с двигателем "Сальмсон" 150 л.с., набиравший высоту 2000 м за 20 минут. В целом его летные данные были невысокими и в серию он не пошел. Отдельные экземпляры этого типа летали до 1921 г. "Лебедь"-ХХIV так и остался на бумаге, так как поставки предназначенных для него моторов "Фиат" 230 л.с. и "Испано-Сюиза" 200 л.с. союзники прекратили во второй половине 1917 г, не успев толком и начать (11183).</w:t>
      </w:r>
    </w:p>
    <w:p w14:paraId="45B9FF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CFF920" w14:textId="77777777" w:rsidR="00BF655D" w:rsidRPr="00FB4F67" w:rsidRDefault="00BF655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Осенью 1917 началось осво</w:t>
      </w:r>
      <w:r w:rsidRPr="00FB4F67">
        <w:rPr>
          <w:rFonts w:ascii="Times New Roman" w:hAnsi="Times New Roman" w:cs="Times New Roman"/>
          <w:color w:val="0070C0"/>
          <w:sz w:val="16"/>
          <w:szCs w:val="16"/>
        </w:rPr>
        <w:softHyphen/>
        <w:t>ение двух</w:t>
      </w:r>
      <w:r w:rsidRPr="00FB4F67">
        <w:rPr>
          <w:rFonts w:ascii="Times New Roman" w:hAnsi="Times New Roman" w:cs="Times New Roman"/>
          <w:color w:val="0070C0"/>
          <w:sz w:val="16"/>
          <w:szCs w:val="16"/>
        </w:rPr>
        <w:softHyphen/>
        <w:t>стоечного разведчика «Лебедь-XVII», спроек</w:t>
      </w:r>
      <w:r w:rsidRPr="00FB4F67">
        <w:rPr>
          <w:rFonts w:ascii="Times New Roman" w:hAnsi="Times New Roman" w:cs="Times New Roman"/>
          <w:color w:val="0070C0"/>
          <w:sz w:val="16"/>
          <w:szCs w:val="16"/>
        </w:rPr>
        <w:softHyphen/>
        <w:t>тированный С.Б. Гуревичем, который стал прямым развитием «Лебедь-XII», на заводе Лебедева в Петрограде. До конца го</w:t>
      </w:r>
      <w:r w:rsidRPr="00FB4F67">
        <w:rPr>
          <w:rFonts w:ascii="Times New Roman" w:hAnsi="Times New Roman" w:cs="Times New Roman"/>
          <w:color w:val="0070C0"/>
          <w:sz w:val="16"/>
          <w:szCs w:val="16"/>
        </w:rPr>
        <w:softHyphen/>
        <w:t>да удалось построить несколько экземпля</w:t>
      </w:r>
      <w:r w:rsidRPr="00FB4F67">
        <w:rPr>
          <w:rFonts w:ascii="Times New Roman" w:hAnsi="Times New Roman" w:cs="Times New Roman"/>
          <w:color w:val="0070C0"/>
          <w:sz w:val="16"/>
          <w:szCs w:val="16"/>
        </w:rPr>
        <w:softHyphen/>
        <w:t>ров. По крайней мере, один из них исполь</w:t>
      </w:r>
      <w:r w:rsidRPr="00FB4F67">
        <w:rPr>
          <w:rFonts w:ascii="Times New Roman" w:hAnsi="Times New Roman" w:cs="Times New Roman"/>
          <w:color w:val="0070C0"/>
          <w:sz w:val="16"/>
          <w:szCs w:val="16"/>
        </w:rPr>
        <w:softHyphen/>
        <w:t>зовался в Красной Армии (23374).</w:t>
      </w:r>
    </w:p>
    <w:p w14:paraId="71950927" w14:textId="77777777" w:rsidR="00BF655D" w:rsidRPr="00FB4F67" w:rsidRDefault="00BF655D" w:rsidP="0083075A">
      <w:pPr>
        <w:spacing w:after="0" w:line="240" w:lineRule="auto"/>
        <w:jc w:val="both"/>
        <w:rPr>
          <w:rFonts w:ascii="Times New Roman" w:hAnsi="Times New Roman" w:cs="Times New Roman"/>
          <w:color w:val="0070C0"/>
          <w:sz w:val="16"/>
          <w:szCs w:val="16"/>
        </w:rPr>
      </w:pPr>
    </w:p>
    <w:p w14:paraId="0B9950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Осенью 1917 на родину в Италию уехал Ф.Э.Моска (92,155).</w:t>
      </w:r>
    </w:p>
    <w:p w14:paraId="13B7AC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A231E2" w14:textId="77777777" w:rsidR="009117EA" w:rsidRPr="002F2FDF" w:rsidRDefault="009117E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Осенью 1917 г. производство самолетов МБ-бис попытались возобновить, и после Октябрьской революции большинство построенных в этот период аэропланов, соответствующих чертежам 2-й серии, оказалось в Красном воздушном флоте. Но даже там они уже считались непригодными к боевой работе и использовались как тренировочные. Последние «бисы» служили в Московской и Егорьевской авиашколах РККВФ до начала 1920-х гг (22754).</w:t>
      </w:r>
    </w:p>
    <w:p w14:paraId="0B604EFF" w14:textId="77777777" w:rsidR="009117EA" w:rsidRPr="002F2FDF" w:rsidRDefault="009117EA" w:rsidP="0083075A">
      <w:pPr>
        <w:spacing w:after="0" w:line="240" w:lineRule="auto"/>
        <w:jc w:val="both"/>
        <w:rPr>
          <w:rFonts w:ascii="Times New Roman" w:hAnsi="Times New Roman" w:cs="Times New Roman"/>
          <w:color w:val="000000" w:themeColor="text1"/>
          <w:sz w:val="16"/>
          <w:szCs w:val="16"/>
        </w:rPr>
      </w:pPr>
    </w:p>
    <w:p w14:paraId="3B13AF20" w14:textId="77777777" w:rsidR="00BF655D" w:rsidRPr="00FB4F67" w:rsidRDefault="00BF655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Осенью 1917 г. был готов истребитель Ботезат и представ</w:t>
      </w:r>
      <w:r w:rsidRPr="00FB4F67">
        <w:rPr>
          <w:rFonts w:ascii="Times New Roman" w:hAnsi="Times New Roman" w:cs="Times New Roman"/>
          <w:color w:val="0070C0"/>
          <w:sz w:val="16"/>
          <w:szCs w:val="16"/>
        </w:rPr>
        <w:softHyphen/>
        <w:t>лял собой крупный трехстоечный биплан с толкающим винтом, закрытой 3-местной пилотской кабиной-гондолой и ферменной хвостовой частью по типу французского самолета «Вуазен». Солидные размеры ап</w:t>
      </w:r>
      <w:r w:rsidRPr="00FB4F67">
        <w:rPr>
          <w:rFonts w:ascii="Times New Roman" w:hAnsi="Times New Roman" w:cs="Times New Roman"/>
          <w:color w:val="0070C0"/>
          <w:sz w:val="16"/>
          <w:szCs w:val="16"/>
        </w:rPr>
        <w:softHyphen/>
        <w:t>парата имели свое объяснение — в даль</w:t>
      </w:r>
      <w:r w:rsidRPr="00FB4F67">
        <w:rPr>
          <w:rFonts w:ascii="Times New Roman" w:hAnsi="Times New Roman" w:cs="Times New Roman"/>
          <w:color w:val="0070C0"/>
          <w:sz w:val="16"/>
          <w:szCs w:val="16"/>
        </w:rPr>
        <w:softHyphen/>
        <w:t>нейшем в носовой части гондолы экипажа предполагалось разместить 37-мм пушку.</w:t>
      </w:r>
    </w:p>
    <w:p w14:paraId="7D322EA5" w14:textId="77777777" w:rsidR="00BF655D" w:rsidRPr="00FB4F67" w:rsidRDefault="00BF655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Двигатель «Рено» 220 л.с. размещался в кормовой части обтекаемой кабины, при этом имелась возможность обслуживания и ремонта силовой установки во время по</w:t>
      </w:r>
      <w:r w:rsidRPr="00FB4F67">
        <w:rPr>
          <w:rFonts w:ascii="Times New Roman" w:hAnsi="Times New Roman" w:cs="Times New Roman"/>
          <w:color w:val="0070C0"/>
          <w:sz w:val="16"/>
          <w:szCs w:val="16"/>
        </w:rPr>
        <w:softHyphen/>
        <w:t>лета.</w:t>
      </w:r>
    </w:p>
    <w:p w14:paraId="09346FD9" w14:textId="77777777" w:rsidR="00BF655D" w:rsidRPr="00FB4F67" w:rsidRDefault="00BF655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Самолет строился в мастерских авиаци</w:t>
      </w:r>
      <w:r w:rsidRPr="00FB4F67">
        <w:rPr>
          <w:rFonts w:ascii="Times New Roman" w:hAnsi="Times New Roman" w:cs="Times New Roman"/>
          <w:color w:val="0070C0"/>
          <w:sz w:val="16"/>
          <w:szCs w:val="16"/>
        </w:rPr>
        <w:softHyphen/>
        <w:t>онного отделения акционерного общества ДЕКА (Товарищество Дюфлон, Константи</w:t>
      </w:r>
      <w:r w:rsidRPr="00FB4F67">
        <w:rPr>
          <w:rFonts w:ascii="Times New Roman" w:hAnsi="Times New Roman" w:cs="Times New Roman"/>
          <w:color w:val="0070C0"/>
          <w:sz w:val="16"/>
          <w:szCs w:val="16"/>
        </w:rPr>
        <w:softHyphen/>
        <w:t>нович и Ко)</w:t>
      </w:r>
    </w:p>
    <w:p w14:paraId="3BB38DB5" w14:textId="77777777" w:rsidR="00BF655D" w:rsidRPr="00FB4F67" w:rsidRDefault="00BF655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Испытания самолета состоялись 20 дека</w:t>
      </w:r>
      <w:r w:rsidRPr="00FB4F67">
        <w:rPr>
          <w:rFonts w:ascii="Times New Roman" w:hAnsi="Times New Roman" w:cs="Times New Roman"/>
          <w:color w:val="0070C0"/>
          <w:sz w:val="16"/>
          <w:szCs w:val="16"/>
        </w:rPr>
        <w:softHyphen/>
        <w:t>бря 1917 г. К сожалению, летчик, взявший</w:t>
      </w:r>
      <w:r w:rsidRPr="00FB4F67">
        <w:rPr>
          <w:rFonts w:ascii="Times New Roman" w:hAnsi="Times New Roman" w:cs="Times New Roman"/>
          <w:color w:val="0070C0"/>
          <w:sz w:val="16"/>
          <w:szCs w:val="16"/>
        </w:rPr>
        <w:softHyphen/>
        <w:t>ся за проведение первого полета (имя его история умалчивает), оказался недостаточ</w:t>
      </w:r>
      <w:r w:rsidRPr="00FB4F67">
        <w:rPr>
          <w:rFonts w:ascii="Times New Roman" w:hAnsi="Times New Roman" w:cs="Times New Roman"/>
          <w:color w:val="0070C0"/>
          <w:sz w:val="16"/>
          <w:szCs w:val="16"/>
        </w:rPr>
        <w:softHyphen/>
        <w:t>но профессиональным, не справился с уп</w:t>
      </w:r>
      <w:r w:rsidRPr="00FB4F67">
        <w:rPr>
          <w:rFonts w:ascii="Times New Roman" w:hAnsi="Times New Roman" w:cs="Times New Roman"/>
          <w:color w:val="0070C0"/>
          <w:sz w:val="16"/>
          <w:szCs w:val="16"/>
        </w:rPr>
        <w:softHyphen/>
        <w:t>равлением и самолет разбил. Хотя даже спустя год, в начале 1919 г., высказыва</w:t>
      </w:r>
      <w:r w:rsidRPr="00FB4F67">
        <w:rPr>
          <w:rFonts w:ascii="Times New Roman" w:hAnsi="Times New Roman" w:cs="Times New Roman"/>
          <w:color w:val="0070C0"/>
          <w:sz w:val="16"/>
          <w:szCs w:val="16"/>
        </w:rPr>
        <w:softHyphen/>
        <w:t>лись предложения о восстановлении само</w:t>
      </w:r>
      <w:r w:rsidRPr="00FB4F67">
        <w:rPr>
          <w:rFonts w:ascii="Times New Roman" w:hAnsi="Times New Roman" w:cs="Times New Roman"/>
          <w:color w:val="0070C0"/>
          <w:sz w:val="16"/>
          <w:szCs w:val="16"/>
        </w:rPr>
        <w:softHyphen/>
        <w:t>лета Ботезата, дальнейшего продолжения работа не имела (23374).</w:t>
      </w:r>
    </w:p>
    <w:p w14:paraId="7250233B" w14:textId="77777777" w:rsidR="00BF655D" w:rsidRPr="00FB4F67" w:rsidRDefault="00BF655D" w:rsidP="0083075A">
      <w:pPr>
        <w:spacing w:after="0" w:line="240" w:lineRule="auto"/>
        <w:jc w:val="both"/>
        <w:rPr>
          <w:rFonts w:ascii="Times New Roman" w:hAnsi="Times New Roman" w:cs="Times New Roman"/>
          <w:color w:val="0070C0"/>
          <w:sz w:val="16"/>
          <w:szCs w:val="16"/>
        </w:rPr>
      </w:pPr>
    </w:p>
    <w:p w14:paraId="07647D68" w14:textId="77777777" w:rsidR="00BF655D" w:rsidRPr="00FB4F67" w:rsidRDefault="00BF655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Осенью 1917 г. Вре</w:t>
      </w:r>
      <w:r w:rsidRPr="00FB4F67">
        <w:rPr>
          <w:rFonts w:ascii="Times New Roman" w:hAnsi="Times New Roman" w:cs="Times New Roman"/>
          <w:color w:val="0070C0"/>
          <w:sz w:val="16"/>
          <w:szCs w:val="16"/>
        </w:rPr>
        <w:softHyphen/>
        <w:t>менное правительство обратилось к США с просьбой ежемесячно присылать по 125 самолетов. Однако власть захватили большевики, и это послужило при</w:t>
      </w:r>
      <w:r w:rsidRPr="00FB4F67">
        <w:rPr>
          <w:rFonts w:ascii="Times New Roman" w:hAnsi="Times New Roman" w:cs="Times New Roman"/>
          <w:color w:val="0070C0"/>
          <w:sz w:val="16"/>
          <w:szCs w:val="16"/>
        </w:rPr>
        <w:softHyphen/>
        <w:t>чиной отказа в военной помощи. «Недавнее развитие событий делало бы крайне неразумным продолжать обеспечивать Россию имуществом, которое может ока</w:t>
      </w:r>
      <w:r w:rsidRPr="00FB4F67">
        <w:rPr>
          <w:rFonts w:ascii="Times New Roman" w:hAnsi="Times New Roman" w:cs="Times New Roman"/>
          <w:color w:val="0070C0"/>
          <w:sz w:val="16"/>
          <w:szCs w:val="16"/>
        </w:rPr>
        <w:softHyphen/>
        <w:t>заться в руках противника»,—гласило решение Воен</w:t>
      </w:r>
      <w:r w:rsidRPr="00FB4F67">
        <w:rPr>
          <w:rFonts w:ascii="Times New Roman" w:hAnsi="Times New Roman" w:cs="Times New Roman"/>
          <w:color w:val="0070C0"/>
          <w:sz w:val="16"/>
          <w:szCs w:val="16"/>
        </w:rPr>
        <w:softHyphen/>
        <w:t>ного департамента США (23545).</w:t>
      </w:r>
    </w:p>
    <w:p w14:paraId="352BB2B5" w14:textId="77777777" w:rsidR="00BF655D" w:rsidRPr="00FB4F67" w:rsidRDefault="00BF655D" w:rsidP="0083075A">
      <w:pPr>
        <w:spacing w:after="0" w:line="240" w:lineRule="auto"/>
        <w:jc w:val="both"/>
        <w:rPr>
          <w:rFonts w:ascii="Times New Roman" w:hAnsi="Times New Roman" w:cs="Times New Roman"/>
          <w:color w:val="0070C0"/>
          <w:sz w:val="16"/>
          <w:szCs w:val="16"/>
        </w:rPr>
      </w:pPr>
    </w:p>
    <w:p w14:paraId="08C34057" w14:textId="77777777" w:rsidR="009117EA" w:rsidRPr="002F2FDF" w:rsidRDefault="009117EA" w:rsidP="0083075A">
      <w:pPr>
        <w:pStyle w:val="ae"/>
        <w:shd w:val="clear" w:color="auto" w:fill="FFFFFF"/>
        <w:spacing w:before="0" w:after="0"/>
        <w:jc w:val="both"/>
        <w:rPr>
          <w:color w:val="000000" w:themeColor="text1"/>
          <w:sz w:val="16"/>
          <w:szCs w:val="16"/>
        </w:rPr>
      </w:pPr>
      <w:r w:rsidRPr="002F2FDF">
        <w:rPr>
          <w:color w:val="000000" w:themeColor="text1"/>
          <w:sz w:val="16"/>
          <w:szCs w:val="16"/>
        </w:rPr>
        <w:t>Осенью 1917 г. во Франции было куплено несколько аэростатов системы «Како», способных вести работу при скорости ветра до 25 м/с и подниматься выше других. Но незначительное количество этих аэростатов не могло изменить общего положения в привязном воздухоплавании (22857).</w:t>
      </w:r>
    </w:p>
    <w:p w14:paraId="458809D2" w14:textId="77777777" w:rsidR="009117EA" w:rsidRPr="002F2FDF" w:rsidRDefault="009117EA" w:rsidP="0083075A">
      <w:pPr>
        <w:pStyle w:val="ae"/>
        <w:shd w:val="clear" w:color="auto" w:fill="FFFFFF"/>
        <w:spacing w:before="0" w:after="0"/>
        <w:jc w:val="both"/>
        <w:rPr>
          <w:color w:val="000000" w:themeColor="text1"/>
          <w:sz w:val="16"/>
          <w:szCs w:val="16"/>
        </w:rPr>
      </w:pPr>
    </w:p>
    <w:p w14:paraId="086ED1A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Осенью 1917 г. АИС представила компании Мельцера проект летающей лодки, который был отвергнут, т.к. фирма собиралась начать производство гидроаэропланов Теллье (2843).</w:t>
      </w:r>
    </w:p>
    <w:p w14:paraId="1E6ED9A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A197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Осенью 1917 к Макаров начал дальний перелет во Францию на Анатра Анадис конструкции и Декана с целью "посетить фронты и заводы, увидать авиацию союзников, показать русских л, чтобы союзники лучше снабжали нас". В пути самолет потерпел поломку и перелет прервался (3803).</w:t>
      </w:r>
    </w:p>
    <w:p w14:paraId="5B2C48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EB14D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осени 1917 г. ни один из новых частных заводов, созданных в феврале 1916 г. на деньги государственных кредитов («Аксай» в Нахичевани, «Кузнецов, Рябушинский и компания» (АМО) и РБВЗ под Москвой, «Русский Рено» в Рыбинске и завод Акционерного общества воздухоплавания В.А. Лебедева в Ярославле), не успел вступить в строй действующих. Период политической нестабильности после отрече</w:t>
      </w:r>
      <w:r w:rsidRPr="002F2FDF">
        <w:rPr>
          <w:rFonts w:ascii="Times New Roman" w:hAnsi="Times New Roman" w:cs="Times New Roman"/>
          <w:color w:val="000000" w:themeColor="text1"/>
          <w:kern w:val="2"/>
          <w:sz w:val="16"/>
          <w:szCs w:val="16"/>
        </w:rPr>
        <w:softHyphen/>
        <w:t>ния царя Николая II и перенапряженность экономики военными поставка</w:t>
      </w:r>
      <w:r w:rsidRPr="002F2FDF">
        <w:rPr>
          <w:rFonts w:ascii="Times New Roman" w:hAnsi="Times New Roman" w:cs="Times New Roman"/>
          <w:color w:val="000000" w:themeColor="text1"/>
          <w:kern w:val="2"/>
          <w:sz w:val="16"/>
          <w:szCs w:val="16"/>
        </w:rPr>
        <w:softHyphen/>
        <w:t>ми привели к экономическому спаду. К осени 1917 г. выпуск авиамоторов в стране упал примерно втрое от уровня 1916 г. Октябрьская революция еще больше парализовала авиапромышленность. Вследствие нарушения снабжения и отсутствия финансирования заводы один за другим останавливались. Достройка незавершенных предприятий приостановилась. Авиации новая власть поначалу придавала очень мало значения. 12 июня 1918 г. ВСНХ отнес авиазаводы к 4-й (последней) ка</w:t>
      </w:r>
      <w:r w:rsidRPr="002F2FDF">
        <w:rPr>
          <w:rFonts w:ascii="Times New Roman" w:hAnsi="Times New Roman" w:cs="Times New Roman"/>
          <w:color w:val="000000" w:themeColor="text1"/>
          <w:kern w:val="2"/>
          <w:sz w:val="16"/>
          <w:szCs w:val="16"/>
        </w:rPr>
        <w:softHyphen/>
        <w:t>тегории по снабжению. Прекратился ввоз комплектующих из-за границы. После начала Гражданской войны часть рабочих и служащих призвали в армию, другие искали себе новую работу (11852).</w:t>
      </w:r>
    </w:p>
    <w:p w14:paraId="718B597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F4108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Осенью 1917 г. на российских моторных заводах работали 1870 человек. С другой стороны, выпуск продукции упал примерно втрое по сравнению с уровнем 1916 г. Отечественными моторами можно было обеспечить не более 5% потребностей самолетостроительных заводов. По подсчетам бывшего военного атташе в Париже графа А.А. Игна</w:t>
      </w:r>
      <w:r w:rsidRPr="002F2FDF">
        <w:rPr>
          <w:rFonts w:ascii="Times New Roman" w:hAnsi="Times New Roman" w:cs="Times New Roman"/>
          <w:color w:val="000000" w:themeColor="text1"/>
          <w:kern w:val="2"/>
          <w:sz w:val="16"/>
          <w:szCs w:val="16"/>
        </w:rPr>
        <w:softHyphen/>
        <w:t>тьева, реально в Россию прибыло свыше 4000 моторов. Часть из них была вывезена из северных портов в центральную часть России уже после Октябрьской революции. Нехватка авиационных двигателей привела к решению использовать трофейные. Немецких авиамоторов разных типов захватили на фронте до полутора сотен, как с самолетами, так и без них (11852).</w:t>
      </w:r>
    </w:p>
    <w:p w14:paraId="732A22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8692BB" w14:textId="77777777" w:rsidR="008256FD" w:rsidRPr="002F2FDF" w:rsidRDefault="008256FD"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Осенью 1917 г. Григорашвили построил ряд воздушных винтов для новых опытных аппаратов конструкции Григоровича, Шишкова и Вилиша. В их чис</w:t>
      </w:r>
      <w:r w:rsidRPr="002F2FDF">
        <w:rPr>
          <w:rFonts w:ascii="Times New Roman" w:hAnsi="Times New Roman" w:cs="Times New Roman"/>
          <w:color w:val="000000" w:themeColor="text1"/>
          <w:kern w:val="2"/>
          <w:sz w:val="16"/>
          <w:szCs w:val="16"/>
        </w:rPr>
        <w:softHyphen/>
        <w:t>ло входил и уникальный четырехлопастный пропеллер для морского самоле</w:t>
      </w:r>
      <w:r w:rsidRPr="002F2FDF">
        <w:rPr>
          <w:rFonts w:ascii="Times New Roman" w:hAnsi="Times New Roman" w:cs="Times New Roman"/>
          <w:color w:val="000000" w:themeColor="text1"/>
          <w:kern w:val="2"/>
          <w:sz w:val="16"/>
          <w:szCs w:val="16"/>
        </w:rPr>
        <w:softHyphen/>
        <w:t>та М-18. Эти аппараты, преимущественно истребители, разрабатывались в соответствии с принятой Управлением морской авиации большой програм</w:t>
      </w:r>
      <w:r w:rsidRPr="002F2FDF">
        <w:rPr>
          <w:rFonts w:ascii="Times New Roman" w:hAnsi="Times New Roman" w:cs="Times New Roman"/>
          <w:color w:val="000000" w:themeColor="text1"/>
          <w:kern w:val="2"/>
          <w:sz w:val="16"/>
          <w:szCs w:val="16"/>
        </w:rPr>
        <w:softHyphen/>
        <w:t>мой усиления Военно-Воздушных Сил флота. Так как летно-технические ха</w:t>
      </w:r>
      <w:r w:rsidRPr="002F2FDF">
        <w:rPr>
          <w:rFonts w:ascii="Times New Roman" w:hAnsi="Times New Roman" w:cs="Times New Roman"/>
          <w:color w:val="000000" w:themeColor="text1"/>
          <w:kern w:val="2"/>
          <w:sz w:val="16"/>
          <w:szCs w:val="16"/>
        </w:rPr>
        <w:softHyphen/>
        <w:t>рактеристики опытных самолетов определить заранее не было возможности (иногда в ходе разработки и доводки менялся даже тип двигателя), то под каж</w:t>
      </w:r>
      <w:r w:rsidRPr="002F2FDF">
        <w:rPr>
          <w:rFonts w:ascii="Times New Roman" w:hAnsi="Times New Roman" w:cs="Times New Roman"/>
          <w:color w:val="000000" w:themeColor="text1"/>
          <w:kern w:val="2"/>
          <w:sz w:val="16"/>
          <w:szCs w:val="16"/>
        </w:rPr>
        <w:softHyphen/>
        <w:t>дый самолет приходилось строить по серии винтов, отличавшихся парамет</w:t>
      </w:r>
      <w:r w:rsidRPr="002F2FDF">
        <w:rPr>
          <w:rFonts w:ascii="Times New Roman" w:hAnsi="Times New Roman" w:cs="Times New Roman"/>
          <w:color w:val="000000" w:themeColor="text1"/>
          <w:kern w:val="2"/>
          <w:sz w:val="16"/>
          <w:szCs w:val="16"/>
        </w:rPr>
        <w:softHyphen/>
        <w:t>рами, и постоянно вносить в них изменения в соответствии с новыми услови</w:t>
      </w:r>
      <w:r w:rsidRPr="002F2FDF">
        <w:rPr>
          <w:rFonts w:ascii="Times New Roman" w:hAnsi="Times New Roman" w:cs="Times New Roman"/>
          <w:color w:val="000000" w:themeColor="text1"/>
          <w:kern w:val="2"/>
          <w:sz w:val="16"/>
          <w:szCs w:val="16"/>
        </w:rPr>
        <w:softHyphen/>
        <w:t>ями заказчика. Это, безусловно, удорожало производство, но Мельцер неспро</w:t>
      </w:r>
      <w:r w:rsidRPr="002F2FDF">
        <w:rPr>
          <w:rFonts w:ascii="Times New Roman" w:hAnsi="Times New Roman" w:cs="Times New Roman"/>
          <w:color w:val="000000" w:themeColor="text1"/>
          <w:kern w:val="2"/>
          <w:sz w:val="16"/>
          <w:szCs w:val="16"/>
        </w:rPr>
        <w:softHyphen/>
        <w:t>ста шел на дополнительные расходы. Разумная коммерческая политика по отношению к морскому ведомству позволила ему потеснить не только Лебе</w:t>
      </w:r>
      <w:r w:rsidRPr="002F2FDF">
        <w:rPr>
          <w:rFonts w:ascii="Times New Roman" w:hAnsi="Times New Roman" w:cs="Times New Roman"/>
          <w:color w:val="000000" w:themeColor="text1"/>
          <w:kern w:val="2"/>
          <w:sz w:val="16"/>
          <w:szCs w:val="16"/>
        </w:rPr>
        <w:softHyphen/>
        <w:t>дева, но и такого традиционного поставщика летающих лодок, как Щетинина. Разнообразие заказов позволяло его инженерам и рабочим накапливать бес</w:t>
      </w:r>
      <w:r w:rsidRPr="002F2FDF">
        <w:rPr>
          <w:rFonts w:ascii="Times New Roman" w:hAnsi="Times New Roman" w:cs="Times New Roman"/>
          <w:color w:val="000000" w:themeColor="text1"/>
          <w:kern w:val="2"/>
          <w:sz w:val="16"/>
          <w:szCs w:val="16"/>
        </w:rPr>
        <w:softHyphen/>
        <w:t>ценный опыт конструирования и постройки (15740).</w:t>
      </w:r>
    </w:p>
    <w:p w14:paraId="6FB7CB80" w14:textId="77777777" w:rsidR="008256FD" w:rsidRPr="002F2FDF" w:rsidRDefault="008256FD"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7906D6D9" w14:textId="77777777" w:rsidR="008256FD" w:rsidRPr="002F2FDF" w:rsidRDefault="008256FD"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осени 1917 г. винты Григорашвили стали вытеснять в морской авиации винты иностранных конструкций. «Условный» заказ был выполнен почти наполовину. Готовились испытания новых опытных морских самолетов с его винтами. Однако все было уже кончено. Наступил октябрь. Р. Ф. Мельцеру первое время удавалось находить общий язык с новой властью и кое-как под</w:t>
      </w:r>
      <w:r w:rsidRPr="002F2FDF">
        <w:rPr>
          <w:rFonts w:ascii="Times New Roman" w:hAnsi="Times New Roman" w:cs="Times New Roman"/>
          <w:color w:val="000000" w:themeColor="text1"/>
          <w:kern w:val="2"/>
          <w:sz w:val="16"/>
          <w:szCs w:val="16"/>
        </w:rPr>
        <w:softHyphen/>
        <w:t>держивать производство, но весной 1918 г. был аннулирован заказ на морские самолеты, а летом — и на воздушные винты. В апреле 1919 г. решением боль</w:t>
      </w:r>
      <w:r w:rsidRPr="002F2FDF">
        <w:rPr>
          <w:rFonts w:ascii="Times New Roman" w:hAnsi="Times New Roman" w:cs="Times New Roman"/>
          <w:color w:val="000000" w:themeColor="text1"/>
          <w:kern w:val="2"/>
          <w:sz w:val="16"/>
          <w:szCs w:val="16"/>
        </w:rPr>
        <w:softHyphen/>
        <w:t>шевистского ВСНХ завод Мельцера был переведен на производство мебели. Выпуск воздушных винтов на предприятии удалось восстановить только пе</w:t>
      </w:r>
      <w:r w:rsidRPr="002F2FDF">
        <w:rPr>
          <w:rFonts w:ascii="Times New Roman" w:hAnsi="Times New Roman" w:cs="Times New Roman"/>
          <w:color w:val="000000" w:themeColor="text1"/>
          <w:kern w:val="2"/>
          <w:sz w:val="16"/>
          <w:szCs w:val="16"/>
        </w:rPr>
        <w:softHyphen/>
        <w:t>ред Великой Отечественной войной (15740).</w:t>
      </w:r>
    </w:p>
    <w:p w14:paraId="166D2BA9" w14:textId="77777777" w:rsidR="008256FD" w:rsidRPr="002F2FDF" w:rsidRDefault="008256FD"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385E3D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осени 1917 г. во Франции подавляющее большинство аэропланов Ньюпор целиком красили в серебристый цвет аэролаком, смешанным с алюминиевой пудрой. Добавление в лак алюминиевого пигмента делало полотняную обшивку более стойкой к разрушающему воздействию ультрафиолетовых лучей и атмосферной влаги. Так же красили и самолеты, поставляемые в Россию. Иногда встречались "ньюпоры", покрашенные сверху и с боков в двухцветный зелено-коричневый камуфляж. Позже во Франции появилась более сложная пятицветная окраска, сочетавшая два оттенка зеленого, песочный, темно-коричневый и черный цвета. Но в нашу страну таких аэропланов попало буквально единицы. Среди множества фотографий красноармейских "ньюпоров" времен Гражданской войны всего на одной виден самолет, покрашенный подобным образом.</w:t>
      </w:r>
    </w:p>
    <w:p w14:paraId="126C3C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Французские истребители SPAD VII, поступившие в Россию незадолго до революции, были светло-желтого цвета. Такой колер имело обшивочное полотно, покрытое аэролаком без добавления алюминиевого пигмента. Металлические капоты и панели обшивки носовой части фюзеляжа тоже покрывались полупрозрачным желтым лаком. Межкрыльевые стойки ни у "ньюпоров", ни у "спадов" не красили.</w:t>
      </w:r>
    </w:p>
    <w:p w14:paraId="5D67C0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Поступавшие на вооружение белых армий английские "сопвичи" ("Полуторастоечный", "Снайп" и "Кэмел"), Де Хэвилленд DH.9 и DH.9a, RAF SE.5 и RAF RE.8, а также Авро 504 были покрашены сверху и с боков в зелено-коричневый защитный цвет, который англичане называли PC 10 (Pigmented Cellulose Specification №10 - "пигментированная целлюлоза 10-го стандарта"). Снизу эти машины имели светло-желтый цвет полотна, покрытого аэролаком, такой же, как у "спадов". Алюминиевые капоты "кэмелов", "снайпов" и "полуторастоеч- ных", как правило, не красились (краска плохо держалась на металле), равно как и деревянные межкрыльевые стойки.</w:t>
      </w:r>
    </w:p>
    <w:p w14:paraId="705797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России импортные машины не перекрашивались, порой на них даже не меняли опознавательные знаки, благо цвета английской, французской и русской кокард были одни и те же, различались они только их чередованием.</w:t>
      </w:r>
    </w:p>
    <w:p w14:paraId="6B5223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самолетах, выпущенных на российских заводах в годы Первой мировой и Гражданской войн, использовались два основных типа окраски. Точнее, даже один, поскольку второй нельзя назвать окраской в прямом смысле слова. Он сводился к покрытию деревянных и полотняных поверхностей обшивки, по образцу французских "ньюпоров", прозрачным нитроцеллюлозным аэролаком (раствор целлулоида в ацетоне), в котором предварительно был размешан порошок алюминия.</w:t>
      </w:r>
    </w:p>
    <w:p w14:paraId="4916A6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зависимости от количества алюминиевого пигмента в лаке и тонкости его помола самолеты, покрашенные подобным образом, выглядели ярко-серебристыми, тускло-серебристыми либо серебристо- серыми. Межкрыльевые стойки, капоты и металлические участки обшивки не окрашивались. Аналогично красили самолеты, построенные в 1918 - 1920 гг. на крупнейшем в России московском авиазаводе "Дукс", петроградском заводе Лебедева и ряде других предприятий.</w:t>
      </w:r>
    </w:p>
    <w:p w14:paraId="051079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Второй способ был еще проще и заключался в покрытии самолета несколькими слоями аэролака без какого-либо цветного пигмента. Для первых слоев покрытия использовали нитролак, обеспечивавший натяжение полотна. Его наносили кистями, чтобы он лучше впитывался. Иногда сверху клали еще слой масляного лака, защищавший от влаги. От этого белый обшивочный перкаль (ситец) приобретал характерный блеск и желтоватый оттенок, который от долгого пребывания на солнце постепенно темнел. Дерево и фанера тоже становились чуть темнее своего естественного цвета и более блестящими. Лаковое покрытие придавало материалам влагостойкость, а также обеспечивало дополнительную прочность и улучшало натяжение полотна.</w:t>
      </w:r>
    </w:p>
    <w:p w14:paraId="641D4A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Никаких защитных и камуфляжных окрасок в отечественной авиации тех лет не применялось. Исключения, как говорилось выше, составляли лишь импортные и трофейные машины, поступавшие в Россию уже окрашенными. Очевидно, в этом просто не было необходимости, учитывая относительно малую интенсивность боевых действий в воздухе и слабую активность вражеской авиации. Сырость и вызываемая ею плесень были для аэропланов красных гораздо более опасным врагом, чем малочисленные белогвардейские самолеты, которые крайне редко предпринимали попытки вступить в бой или атаковать аэродромы красных. А для защиты от плесени вполне хватало аэролака и "серебрянки" (11987).</w:t>
      </w:r>
    </w:p>
    <w:p w14:paraId="52C762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153924" w14:textId="77777777" w:rsidR="008F10E6" w:rsidRPr="002F2FDF" w:rsidRDefault="008F10E6" w:rsidP="0083075A">
      <w:pPr>
        <w:pStyle w:val="ae"/>
        <w:spacing w:before="0" w:after="0"/>
        <w:jc w:val="both"/>
        <w:rPr>
          <w:color w:val="000000" w:themeColor="text1"/>
          <w:sz w:val="16"/>
          <w:szCs w:val="16"/>
        </w:rPr>
      </w:pPr>
      <w:r w:rsidRPr="002F2FDF">
        <w:rPr>
          <w:color w:val="000000" w:themeColor="text1"/>
          <w:sz w:val="16"/>
          <w:szCs w:val="16"/>
        </w:rPr>
        <w:t xml:space="preserve">До осени 1917 во Франции подавляющее большинство самолетов </w:t>
      </w:r>
      <w:r w:rsidRPr="002F2FDF">
        <w:rPr>
          <w:color w:val="000000" w:themeColor="text1"/>
          <w:sz w:val="16"/>
          <w:szCs w:val="16"/>
          <w:shd w:val="clear" w:color="auto" w:fill="FFFFFF" w:themeFill="background1"/>
        </w:rPr>
        <w:t>«Ньюпор» различных модификаций, предназначенных в т.ч. и для роставки в Россию,</w:t>
      </w:r>
      <w:r w:rsidRPr="002F2FDF">
        <w:rPr>
          <w:color w:val="000000" w:themeColor="text1"/>
          <w:sz w:val="16"/>
          <w:szCs w:val="16"/>
        </w:rPr>
        <w:t xml:space="preserve"> целиком окрашивали в серебристый цвет аэролака, смешанного с алюминиевой пудрой. Считалось, что добавление в лак алюминиевого пигмента делает полотняную обшивку более стойкой к разрушающему воздействию ультрафиолетовых солнечных лучей и атмосферной влаги. Так же красили самолеты, поставляемые в Россию. Иногда встречались «Ньюпоры», окрашенные сверху и с боков в двухцветный зелено-коричневый камуфляж. Позже появился более сложный пятицветный камуфляж, состоявший из двух оттенков зеленого, песочного, темно-коричневого и черного цветов. Но в нашу страну такие аэропланы попали буквально в единичных экземплярах. Среди множества фотографий красноармейских «Ньюпоров» времен Гражданской войны всего на одной виден самолет, расцвеченный подобным образом.</w:t>
      </w:r>
    </w:p>
    <w:p w14:paraId="373DEC20" w14:textId="77777777" w:rsidR="008F10E6" w:rsidRPr="002F2FDF" w:rsidRDefault="008F10E6" w:rsidP="0083075A">
      <w:pPr>
        <w:pStyle w:val="ae"/>
        <w:spacing w:before="0" w:after="0"/>
        <w:jc w:val="both"/>
        <w:rPr>
          <w:color w:val="000000" w:themeColor="text1"/>
          <w:sz w:val="16"/>
          <w:szCs w:val="16"/>
        </w:rPr>
      </w:pPr>
      <w:r w:rsidRPr="002F2FDF">
        <w:rPr>
          <w:color w:val="000000" w:themeColor="text1"/>
          <w:sz w:val="16"/>
          <w:szCs w:val="16"/>
        </w:rPr>
        <w:t>Французские истребители «Спад» S-VII, поступившие в Россию незадолго до революции, были светло-желтого цвета. Такую окраску имело обшивочное полотно, покрытое аэролаком без добавления алюминиевого пигмента. Металлические капоты и панели обшивки носовой части фюзеляжа тоже окрашивались полупрозрачным желтым лаком. Межкрыльевые стойки ни у «Ньюпоров», ни у «Спадов», не красили.</w:t>
      </w:r>
    </w:p>
    <w:p w14:paraId="5D985D7E" w14:textId="77777777" w:rsidR="008F10E6" w:rsidRPr="002F2FDF" w:rsidRDefault="008F10E6" w:rsidP="0083075A">
      <w:pPr>
        <w:pStyle w:val="ae"/>
        <w:spacing w:before="0" w:after="0"/>
        <w:jc w:val="both"/>
        <w:rPr>
          <w:color w:val="000000" w:themeColor="text1"/>
          <w:sz w:val="16"/>
          <w:szCs w:val="16"/>
        </w:rPr>
      </w:pPr>
      <w:r w:rsidRPr="002F2FDF">
        <w:rPr>
          <w:color w:val="000000" w:themeColor="text1"/>
          <w:sz w:val="16"/>
          <w:szCs w:val="16"/>
        </w:rPr>
        <w:t>Поступавшие на вооружение белых армий английские самолеты Сопвич «Полуторастоечный», Сопвич «Снайп», Сопвич «Кэмел», «Де Хэвилленд» DH.9 и DH.9a, RAF SE.5, RAF RE.8, а также «Авро-504» были окрашены сверху и с боков в зелено-коричневый защитный цвет, который англичане называли PC 10 (Pigmented Cellulose Specification №10 – «пигментированная целлюлоза 10-го стандарта»). Снизу эти машины имели светло-желтый цвет полотна, покрытого аэролаком, такой же, как у «спадов». Алюминиевые капоты «Кэмелов», «Снайпов» и «Полуторастоечных», как правило, не окрашивались (краска плохо держалась на металле), равно как и деревянные межкрыльевые стойки.</w:t>
      </w:r>
    </w:p>
    <w:p w14:paraId="39478AC2" w14:textId="77777777" w:rsidR="008F10E6" w:rsidRPr="002F2FDF" w:rsidRDefault="008F10E6" w:rsidP="0083075A">
      <w:pPr>
        <w:pStyle w:val="ae"/>
        <w:spacing w:before="0" w:after="0"/>
        <w:jc w:val="both"/>
        <w:rPr>
          <w:color w:val="000000" w:themeColor="text1"/>
          <w:sz w:val="16"/>
          <w:szCs w:val="16"/>
        </w:rPr>
      </w:pPr>
      <w:r w:rsidRPr="002F2FDF">
        <w:rPr>
          <w:color w:val="000000" w:themeColor="text1"/>
          <w:sz w:val="16"/>
          <w:szCs w:val="16"/>
        </w:rPr>
        <w:t>Более полутора сотен британских аэропланов, захваченных красноармейцами в 1919—1920 годах на фронтах Гражданской войны, летали в составе Красного Воздушного флота в своей «родной» окраске. Только английские «кокарды» на них заменяли белыми кругами, поверх которых изображали красные звезды (иногда звезды рисовали прямо на «кокардах», без белой подложки), а рули поворота, которые у англичан были раскрашены в вертикальные красно-бело-синие полосы, перекрашивали в красный, черный либо в защитный цвет. Иногда на рулях рисовали звезды, либо эмблемы авиаотрядов, как на истребителе Сопвич «Снайп» красвоенлета Г. Сапожникова.</w:t>
      </w:r>
    </w:p>
    <w:p w14:paraId="08A3021B" w14:textId="77777777" w:rsidR="008F10E6" w:rsidRPr="002F2FDF" w:rsidRDefault="008F10E6" w:rsidP="0083075A">
      <w:pPr>
        <w:pStyle w:val="ae"/>
        <w:spacing w:before="0" w:after="0"/>
        <w:jc w:val="both"/>
        <w:rPr>
          <w:color w:val="000000" w:themeColor="text1"/>
          <w:sz w:val="16"/>
          <w:szCs w:val="16"/>
        </w:rPr>
      </w:pPr>
      <w:r w:rsidRPr="002F2FDF">
        <w:rPr>
          <w:color w:val="000000" w:themeColor="text1"/>
          <w:sz w:val="16"/>
          <w:szCs w:val="16"/>
        </w:rPr>
        <w:t>На самолетах, выпущенных на российских заводах за годы Первой мировой и Гражданской войн, использовались два основных типа окраски. Точнее, один, поскольку второй нельзя назвать окраской в прямом смысле слова. Он состоял в покрытии деревянных и полотняных поверхностей обшивки по образцу французских «Ньюпоров» прозрачным аэролаком (раствор целлулоида в ацетоне), в котором предварительно был размешан порошок алюминия.</w:t>
      </w:r>
    </w:p>
    <w:p w14:paraId="7094802D" w14:textId="77777777" w:rsidR="008F10E6" w:rsidRPr="002F2FDF" w:rsidRDefault="008F10E6" w:rsidP="0083075A">
      <w:pPr>
        <w:pStyle w:val="ae"/>
        <w:spacing w:before="0" w:after="0"/>
        <w:jc w:val="both"/>
        <w:rPr>
          <w:color w:val="000000" w:themeColor="text1"/>
          <w:sz w:val="16"/>
          <w:szCs w:val="16"/>
        </w:rPr>
      </w:pPr>
      <w:r w:rsidRPr="002F2FDF">
        <w:rPr>
          <w:color w:val="000000" w:themeColor="text1"/>
          <w:sz w:val="16"/>
          <w:szCs w:val="16"/>
        </w:rPr>
        <w:t>В зависимости от количества алюминиевого пигмента в лаке и тонкости его помола, самолеты, окрашенные подобным образом, выглядели ярко-серебристыми, тускло-серебристыми, либо серебристо-серыми. Межкрыльевые стойки, капоты и металлические участки обшивки не окрашивались. Подобным образом красили самолеты, построенные в 1916—1920 годах на крупнейшем в России московском авиазаводе «Дукс», петроградском заводе Лебедева и ряде других предприятий.</w:t>
      </w:r>
    </w:p>
    <w:p w14:paraId="0C062B4C" w14:textId="77777777" w:rsidR="008F10E6" w:rsidRPr="002F2FDF" w:rsidRDefault="008F10E6" w:rsidP="0083075A">
      <w:pPr>
        <w:pStyle w:val="ae"/>
        <w:spacing w:before="0" w:after="0"/>
        <w:jc w:val="both"/>
        <w:rPr>
          <w:color w:val="000000" w:themeColor="text1"/>
          <w:sz w:val="16"/>
          <w:szCs w:val="16"/>
        </w:rPr>
      </w:pPr>
      <w:r w:rsidRPr="002F2FDF">
        <w:rPr>
          <w:color w:val="000000" w:themeColor="text1"/>
          <w:sz w:val="16"/>
          <w:szCs w:val="16"/>
        </w:rPr>
        <w:t>Второй способ был еще проще и заключался в покрытии самолета несколькими слоями аэролака без какого-либо цветного пигмента. От этого белый обшивочный перкаль (ситец) приобретал характерный блеск и желтоватый оттенок, который от долгого пребывания на солнце постепенно темнел. Дерево и фанера тоже становились блестящими и чуть темнее своего естественного цвета. Лаковое покрытие придавало материалам влагостойкость, а также обеспечивало дополнительную прочность и улучшало натяжение полотна.</w:t>
      </w:r>
    </w:p>
    <w:p w14:paraId="63B7BA47" w14:textId="77777777" w:rsidR="008F10E6" w:rsidRPr="002F2FDF" w:rsidRDefault="008F10E6" w:rsidP="0083075A">
      <w:pPr>
        <w:pStyle w:val="ae"/>
        <w:spacing w:before="0" w:after="0"/>
        <w:jc w:val="both"/>
        <w:rPr>
          <w:color w:val="000000" w:themeColor="text1"/>
          <w:sz w:val="16"/>
          <w:szCs w:val="16"/>
        </w:rPr>
      </w:pPr>
      <w:r w:rsidRPr="002F2FDF">
        <w:rPr>
          <w:color w:val="000000" w:themeColor="text1"/>
          <w:sz w:val="16"/>
          <w:szCs w:val="16"/>
        </w:rPr>
        <w:t>Никаких защитных и камуфляжных окрасок в советской авиации тех лет не применялось. Исключения, как уже говорилось, составляли импортные и трофейные машины, поступавшие в Россию уже окрашенными. Очевидно, в этом просто не было необходимости, учитывая относительно малую интенсивность боевых действий в воздухе и слабую активность вражеской авиации. Сырость и вызываемая ею плесень были для красвоенлетов гораздо более опасным врагом, чем малочисленные белогвардейские аэропланы, которые крайне редко предпринимали попытки вступить в бой или атаковать советские аэродромы. А для защиты от этого врага вполне хватало аэролака и «серебрянки» (18565).</w:t>
      </w:r>
    </w:p>
    <w:p w14:paraId="1A72346D" w14:textId="77777777" w:rsidR="008F10E6" w:rsidRPr="002F2FDF" w:rsidRDefault="008F10E6" w:rsidP="0083075A">
      <w:pPr>
        <w:spacing w:after="0" w:line="240" w:lineRule="auto"/>
        <w:jc w:val="both"/>
        <w:rPr>
          <w:rFonts w:ascii="Times New Roman" w:hAnsi="Times New Roman" w:cs="Times New Roman"/>
          <w:color w:val="000000" w:themeColor="text1"/>
          <w:sz w:val="16"/>
          <w:szCs w:val="16"/>
        </w:rPr>
      </w:pPr>
    </w:p>
    <w:p w14:paraId="2A51EC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Осенью 1917 на М-9 Д.П.Г. испытывали секретную бомбу и П.А.Шишкова, которую раскручивали от специальной вертушки перед сбросом для обеспечения стабильности полета. В конце 1917 Шишков с коллегами отбыл в Англию. Всего на вооружении в России было почти 20 типов бомб и англичане высоко оценивали зажигательные (2809,27).</w:t>
      </w:r>
    </w:p>
    <w:p w14:paraId="23D885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81ED5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477A52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ADB9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Осенью 1917 года завод АМО был на 50-60 % оборудован, располагал запасами металла, топлива, инструментов, продолжал получать заказанное оборудование. Завод оценивался представителя ГВТУ как первоклассное производственное сооружение, к тому же рассчитанное на большую производительность, чем это предусматривалось контрактом. Последующая история 1-ого государственного автомобильного завода - ЗИС - ЗИЛа подтвердила эту оценку (11863).</w:t>
      </w:r>
    </w:p>
    <w:p w14:paraId="35A0BA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43AD27" w14:textId="77777777" w:rsidR="005A202B" w:rsidRPr="00FB4F67" w:rsidRDefault="005A202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Осенью 1917 г. Начальник мастерских Н.И.  Фонштейн обращал внимание и на еще большую угрозу: вскоре «в ТАОН вольется новая боль</w:t>
      </w:r>
      <w:r w:rsidRPr="00FB4F67">
        <w:rPr>
          <w:rFonts w:ascii="Times New Roman" w:hAnsi="Times New Roman" w:cs="Times New Roman"/>
          <w:color w:val="0070C0"/>
          <w:sz w:val="16"/>
          <w:szCs w:val="16"/>
        </w:rPr>
        <w:softHyphen/>
        <w:t>шая партия автомашин» и гусеничных тракторов (сейчас на фронте 30 гусеничных тракторов, а будет около 600), фрон</w:t>
      </w:r>
      <w:r w:rsidRPr="00FB4F67">
        <w:rPr>
          <w:rFonts w:ascii="Times New Roman" w:hAnsi="Times New Roman" w:cs="Times New Roman"/>
          <w:color w:val="0070C0"/>
          <w:sz w:val="16"/>
          <w:szCs w:val="16"/>
        </w:rPr>
        <w:softHyphen/>
        <w:t>товые автомастерские к ремонту их не приспособлены, и «положение еще более ухудшится». К этой деятельности подключится и Депо, если его усилить и «дать ему возмож</w:t>
      </w:r>
      <w:r w:rsidRPr="00FB4F67">
        <w:rPr>
          <w:rFonts w:ascii="Times New Roman" w:hAnsi="Times New Roman" w:cs="Times New Roman"/>
          <w:color w:val="0070C0"/>
          <w:sz w:val="16"/>
          <w:szCs w:val="16"/>
        </w:rPr>
        <w:softHyphen/>
        <w:t>ность скорее разгрузиться от машин, получаемых из-за гра</w:t>
      </w:r>
      <w:r w:rsidRPr="00FB4F67">
        <w:rPr>
          <w:rFonts w:ascii="Times New Roman" w:hAnsi="Times New Roman" w:cs="Times New Roman"/>
          <w:color w:val="0070C0"/>
          <w:sz w:val="16"/>
          <w:szCs w:val="16"/>
        </w:rPr>
        <w:softHyphen/>
        <w:t>ницы и идущих на переформирование, на фронт» (Осенью 1915 г. из Архангельска телеграфировали, что туда больше не следует направлять автомобили: этим грузом уже «загромождены тут огромные пространства» (РГВИА. Ф. 369. Оп. 16. Д. 97. Л. 184)). Но ре</w:t>
      </w:r>
      <w:r w:rsidRPr="00FB4F67">
        <w:rPr>
          <w:rFonts w:ascii="Times New Roman" w:hAnsi="Times New Roman" w:cs="Times New Roman"/>
          <w:color w:val="0070C0"/>
          <w:sz w:val="16"/>
          <w:szCs w:val="16"/>
        </w:rPr>
        <w:softHyphen/>
        <w:t>шение было принято иное. В ноябре 1917 г. Фонштейн рапортовал ГАУ: «Переезд Депо машин в Ростов закончен. К работам по сборке тракторов [в] Ростове уже приступле- но и [в] скором времени отпуск вполне собранных тракто</w:t>
      </w:r>
      <w:r w:rsidRPr="00FB4F67">
        <w:rPr>
          <w:rFonts w:ascii="Times New Roman" w:hAnsi="Times New Roman" w:cs="Times New Roman"/>
          <w:color w:val="0070C0"/>
          <w:sz w:val="16"/>
          <w:szCs w:val="16"/>
        </w:rPr>
        <w:softHyphen/>
        <w:t>ров будет продолжаться по-прежнему» (РГВИА. Ф. 509. On. 1. Д. 1. Л. 51 об.; Д. 8. Л. 220) (23452).</w:t>
      </w:r>
    </w:p>
    <w:p w14:paraId="4456883C" w14:textId="77777777" w:rsidR="005A202B" w:rsidRPr="00FB4F67" w:rsidRDefault="005A202B" w:rsidP="0083075A">
      <w:pPr>
        <w:spacing w:after="0" w:line="240" w:lineRule="auto"/>
        <w:jc w:val="both"/>
        <w:rPr>
          <w:rFonts w:ascii="Times New Roman" w:hAnsi="Times New Roman" w:cs="Times New Roman"/>
          <w:color w:val="0070C0"/>
          <w:sz w:val="16"/>
          <w:szCs w:val="16"/>
        </w:rPr>
      </w:pPr>
    </w:p>
    <w:p w14:paraId="722F1C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Осень 1917 г. В строй вступил ЛК "Император Александр III" (10678).</w:t>
      </w:r>
    </w:p>
    <w:p w14:paraId="147608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1F545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FF3F0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4C8654" w14:textId="77777777" w:rsidR="008F10E6" w:rsidRPr="002F2FDF" w:rsidRDefault="008F10E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Осенью 1917-го на территории крупнейшего в России 1-го Центрального авиапарка-склада, располагавшегося в районе Ходынки находилось 70 истребителей «Ньюпор-23», 23 «Ньюпора-17», 4 «Спада», 12 разведчиков «Фарман-40», 15 «Кодронов» и 72 английских самолета различных марок (преимущественно «Сопвичей»). Итого 196 аппаратов. Длинные складские корпуса были так переполнены, что многое приходилось держать под открытым небом. Очевидцы вспоминали о кое-как накрытых брезентом «поленницах» из самолетных винтов, о многоярусных нагромождениях различных ящиков, бочек с горючим и смазочными маслами.</w:t>
      </w:r>
    </w:p>
    <w:p w14:paraId="6EC9FE0F" w14:textId="77777777" w:rsidR="008F10E6" w:rsidRPr="002F2FDF" w:rsidRDefault="008F10E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Приехавший из Петрограда для инспекции авиапарка А.В. Горшков был поражен, с одной стороны, количеством хранящегося там добра, а с другой – полным отсутствием охраны и элементарного порядка. Горшков писал в своих мемуарах, что к моменту его прибытия всю территорию парка охраняла... одна винтовка, прислоненная к забору. Куда подевался часовой, выяснить так и не удалось. Зато скоро выяснилось, что со склада уже «исчезло» несколько десятков пулеметов, более 80 ящиков с патронами и сотни комплектов летного обмундирования, не считая всякой «мелочи» вроде шлемов, ботинок, планшетов, компасов или биноклей. Чтобы </w:t>
      </w:r>
      <w:r w:rsidRPr="002F2FDF">
        <w:rPr>
          <w:rFonts w:ascii="Times New Roman" w:hAnsi="Times New Roman" w:cs="Times New Roman"/>
          <w:color w:val="000000" w:themeColor="text1"/>
          <w:sz w:val="16"/>
          <w:szCs w:val="16"/>
        </w:rPr>
        <w:lastRenderedPageBreak/>
        <w:t>предотвратить дальнейшее разграбление, Горшков добился выделения для круглосуточной охраны авиапарка роты латышских стрелков в количестве 150 человек (18562).</w:t>
      </w:r>
    </w:p>
    <w:p w14:paraId="56247278" w14:textId="77777777" w:rsidR="008F10E6" w:rsidRPr="002F2FDF" w:rsidRDefault="008F10E6" w:rsidP="0083075A">
      <w:pPr>
        <w:spacing w:after="0" w:line="240" w:lineRule="auto"/>
        <w:jc w:val="both"/>
        <w:rPr>
          <w:rFonts w:ascii="Times New Roman" w:hAnsi="Times New Roman" w:cs="Times New Roman"/>
          <w:color w:val="000000" w:themeColor="text1"/>
          <w:sz w:val="16"/>
          <w:szCs w:val="16"/>
        </w:rPr>
      </w:pPr>
    </w:p>
    <w:p w14:paraId="4F484A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осени 1917 года управляемое воздухоплавание в России практически было сведено к нулю. На складах хранились лишь разрозненные агрегаты и элементы конструкции ряда дирижаблей и не было ни одного пригодного к эксплуатации аппарата. Только в армии существовали отдельные воздухоплавательные отряды, обслуживавшие привязные аэростаты, да в Петрограде продолжала свою работу единственная воздухоплавательная школа по подготовке военных воздухоплавателей (10731).</w:t>
      </w:r>
    </w:p>
    <w:p w14:paraId="235FC3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E985D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Осенью 1917 года в Евраторию перевели Киевскую школу летчиков-наблюдате</w:t>
      </w:r>
      <w:r w:rsidRPr="002F2FDF">
        <w:rPr>
          <w:rFonts w:ascii="Times New Roman" w:hAnsi="Times New Roman" w:cs="Times New Roman"/>
          <w:color w:val="000000" w:themeColor="text1"/>
          <w:kern w:val="2"/>
          <w:sz w:val="16"/>
          <w:szCs w:val="16"/>
        </w:rPr>
        <w:softHyphen/>
        <w:t>лей (553), где с конца 1916 года была начата организация Высшей военной авиационной шко</w:t>
      </w:r>
      <w:r w:rsidRPr="002F2FDF">
        <w:rPr>
          <w:rFonts w:ascii="Times New Roman" w:hAnsi="Times New Roman" w:cs="Times New Roman"/>
          <w:color w:val="000000" w:themeColor="text1"/>
          <w:kern w:val="2"/>
          <w:sz w:val="16"/>
          <w:szCs w:val="16"/>
        </w:rPr>
        <w:softHyphen/>
        <w:t>лы, в которой должны были проходить курс высше</w:t>
      </w:r>
      <w:r w:rsidRPr="002F2FDF">
        <w:rPr>
          <w:rFonts w:ascii="Times New Roman" w:hAnsi="Times New Roman" w:cs="Times New Roman"/>
          <w:color w:val="000000" w:themeColor="text1"/>
          <w:kern w:val="2"/>
          <w:sz w:val="16"/>
          <w:szCs w:val="16"/>
        </w:rPr>
        <w:softHyphen/>
        <w:t>го пилотажа и совершенст</w:t>
      </w:r>
      <w:r w:rsidRPr="002F2FDF">
        <w:rPr>
          <w:rFonts w:ascii="Times New Roman" w:hAnsi="Times New Roman" w:cs="Times New Roman"/>
          <w:color w:val="000000" w:themeColor="text1"/>
          <w:kern w:val="2"/>
          <w:sz w:val="16"/>
          <w:szCs w:val="16"/>
        </w:rPr>
        <w:softHyphen/>
        <w:t>воваться летчики-истребите</w:t>
      </w:r>
      <w:r w:rsidRPr="002F2FDF">
        <w:rPr>
          <w:rFonts w:ascii="Times New Roman" w:hAnsi="Times New Roman" w:cs="Times New Roman"/>
          <w:color w:val="000000" w:themeColor="text1"/>
          <w:kern w:val="2"/>
          <w:sz w:val="16"/>
          <w:szCs w:val="16"/>
        </w:rPr>
        <w:softHyphen/>
        <w:t>ли. Однако отсутствие необ</w:t>
      </w:r>
      <w:r w:rsidRPr="002F2FDF">
        <w:rPr>
          <w:rFonts w:ascii="Times New Roman" w:hAnsi="Times New Roman" w:cs="Times New Roman"/>
          <w:color w:val="000000" w:themeColor="text1"/>
          <w:kern w:val="2"/>
          <w:sz w:val="16"/>
          <w:szCs w:val="16"/>
        </w:rPr>
        <w:softHyphen/>
        <w:t>ходимой материальной базы не дало возможности этому осуществиться (553).</w:t>
      </w:r>
    </w:p>
    <w:p w14:paraId="38C08EC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3243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Осенью 1917 г. был учрежден и 4-й Отдельный трак</w:t>
      </w:r>
      <w:r w:rsidRPr="002F2FDF">
        <w:rPr>
          <w:rFonts w:ascii="Times New Roman" w:hAnsi="Times New Roman" w:cs="Times New Roman"/>
          <w:color w:val="000000" w:themeColor="text1"/>
          <w:kern w:val="2"/>
          <w:sz w:val="16"/>
          <w:szCs w:val="16"/>
        </w:rPr>
        <w:softHyphen/>
        <w:t>торный тяжелый дивизион в составе четы</w:t>
      </w:r>
      <w:r w:rsidRPr="002F2FDF">
        <w:rPr>
          <w:rFonts w:ascii="Times New Roman" w:hAnsi="Times New Roman" w:cs="Times New Roman"/>
          <w:color w:val="000000" w:themeColor="text1"/>
          <w:kern w:val="2"/>
          <w:sz w:val="16"/>
          <w:szCs w:val="16"/>
        </w:rPr>
        <w:softHyphen/>
        <w:t>рех батарей, оснащенных 280-мм гаубица</w:t>
      </w:r>
      <w:r w:rsidRPr="002F2FDF">
        <w:rPr>
          <w:rFonts w:ascii="Times New Roman" w:hAnsi="Times New Roman" w:cs="Times New Roman"/>
          <w:color w:val="000000" w:themeColor="text1"/>
          <w:kern w:val="2"/>
          <w:sz w:val="16"/>
          <w:szCs w:val="16"/>
        </w:rPr>
        <w:softHyphen/>
        <w:t>ми «Шнейдер» (11874).</w:t>
      </w:r>
    </w:p>
    <w:p w14:paraId="7964E0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34598C" w14:textId="77777777" w:rsidR="005E24BE" w:rsidRPr="002F2FDF" w:rsidRDefault="005E24B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Осенью 1917 г. боевая активность русских армий сошла на нет. С фронта хлынули толпы дезертиров, и командование оказалось не в силах этому помешать. В этих условиях военно-воздушный флот не прекращал своей боевой деятельности, однако интенсивность полетов значительно снизилась из-за резкого ухудшения в снабжении горючим, боеприпасами и новыми самолетами. Положение еще более осложнилось после октябрьского переворота. Участились самосуды над офицерами, воровство и поджоги авиационного имущества. Революционные комитеты, созданные из солдат аэродромного обслуживания, всю войну просидевших в тылу, устанавливали новые порядки. Были отменены офицерские звания и награды, командование авиачастями перешло в руки комиссаров. Последние боевые вылеты состоялись в начале ноября. Вскоре ревкомы армий их запретили - разрешалось лишь изредка совершать тренировочные полеты в районе аэродрома. 20 декабря новый Верховный Главнокомандующий прапорщик Крыленко с бандой пьяных петроградских солдат занял Ставку. Заключительное обращение генерала Вячеслава Ткачева к своим войскам стало реквиемом русскому Военно-воздушному флоту: "Захват Ставки большевиками ставит меня в безвыходное положение... Считаю своим последним нравственным долгом перед Родиной в ее тяжелые дни испытаний бороться всеми силами и средствами с преступниками народа и государства- большевиками. В дни наступившей разрухи и смертельной опасности для нашей многострадальной Родины верю, что наши доблестные летчики до конца исполнят свой долг и останутся на своем тяжелом, но славном посту, вплетая новые лавры в венец славы нашей родной авиации..." (11237).</w:t>
      </w:r>
    </w:p>
    <w:p w14:paraId="685C4DF6" w14:textId="77777777" w:rsidR="005E24BE" w:rsidRPr="002F2FDF" w:rsidRDefault="005E24B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1580F2" w14:textId="77777777" w:rsidR="00A27F39" w:rsidRPr="002F2FDF" w:rsidRDefault="00A27F3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A009B36" w14:textId="77777777" w:rsidR="00A27F39" w:rsidRPr="002F2FDF" w:rsidRDefault="00A27F3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4F0B2E" w14:textId="77777777" w:rsidR="00A27F39" w:rsidRPr="002F2FDF" w:rsidRDefault="00A27F39" w:rsidP="0083075A">
      <w:pPr>
        <w:pStyle w:val="a3"/>
        <w:rPr>
          <w:color w:val="000000" w:themeColor="text1"/>
          <w:lang w:val="ru-RU"/>
        </w:rPr>
      </w:pPr>
      <w:r w:rsidRPr="002F2FDF">
        <w:rPr>
          <w:color w:val="000000" w:themeColor="text1"/>
          <w:lang w:val="ru-RU"/>
        </w:rPr>
        <w:t>Осенью 1917 г. в 15 губерниях европейской части России цены на рожь повысились в среднем на 184% (18078).</w:t>
      </w:r>
    </w:p>
    <w:p w14:paraId="776CD620" w14:textId="77777777" w:rsidR="00A27F39" w:rsidRPr="002F2FDF" w:rsidRDefault="00A27F39" w:rsidP="0083075A">
      <w:pPr>
        <w:pStyle w:val="a3"/>
        <w:rPr>
          <w:color w:val="000000" w:themeColor="text1"/>
          <w:lang w:val="ru-RU"/>
        </w:rPr>
      </w:pPr>
    </w:p>
    <w:p w14:paraId="255F717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99125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6699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осени 1917 года постройка дирижаблей была ограничена, так как материалы требовались для строительства самолетов, в которых нуждалась армия. С этого времени ежемесячно в строй вступал лишь 1 воздушный корабль. Однако это не помешало нам продолжать налеты на Англию, но при этом мы должны были стараться избегать новых потерь, чтобы флот при выполнении боевых операций был обеспечен столь необходимой ему воздушной разведкой (11324).</w:t>
      </w:r>
    </w:p>
    <w:p w14:paraId="6B1F8E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AF56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Осенью 1917 года командующий германскими воздушными силами, стремясь предохранить авиаотряды от чрезмерного ослабления, он отменил оправдавшее себя на практике распоряжение об откомандировании в истребительные эскадрильи только тех летчиков, которые проходили службу в авиаотрядах. Таким образом, в дальнейшем истребительные эскадрильи пополнялись также и такими летчиками, которые еще ни разу не летали над позициями неприятеля. Обусловленные этим недочеты должны были сглаживаться особо тщательной подготовкой курсантов в школах при истребительных эскадрильях. Разработанная летом программа в течение зимы была в отдельных деталях изменена и расширена (11282).</w:t>
      </w:r>
    </w:p>
    <w:p w14:paraId="458CFC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BC51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Осенью 1917 года на основе опыта Фландрского сражения немцами была предпринята реорганизация армейских авиапарков. Личный состав парков был усилен за счет сокращения штатов парковых обозов. Благодаря этому парки получили более опытный квалифицированный персонал и смогли лучше удовлетворять возросшие требования, вызванные скоплением в одной армии многих авиачастей (11282).</w:t>
      </w:r>
    </w:p>
    <w:p w14:paraId="6F91E0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5DE094" w14:textId="77777777" w:rsidR="00874C46" w:rsidRPr="002F2FDF" w:rsidRDefault="00874C4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Осенью 1917-го, разработку ударного беспилотника начали и немцы. В отличие от американцев, они не могли себе позволить выбрасывать по 400 долларов за одноразовый беспилотник и создавали аппарат многоразового применения Fledermaus («Летучая мышь»). Это уже был настоящий дрон, возвращающийся на базу после бомбардировки. Для сохранения аппарата после возвращения впервые предлагалось использовать спасательный парашют. С самого начала Fledermaus проектировался беспилотным, как и торпеда Кеттеринга. Цельнодеревянный аппарат должен был иметь скорость 200–220 км/ч и нести бомбовую нагрузку не менее 100 кг. Сброс бомб осуществлялся путем подачи радиосигнала с земли на электрическое реле замка бомбодержателя. Летучая мышь имела достаточно высокие летно-технические характеристики, несмотря на мотор мощностью всего 100 л. с. (22758).</w:t>
      </w:r>
    </w:p>
    <w:p w14:paraId="787D6847" w14:textId="77777777" w:rsidR="00874C46" w:rsidRPr="002F2FDF" w:rsidRDefault="00874C46" w:rsidP="0083075A">
      <w:pPr>
        <w:spacing w:after="0" w:line="240" w:lineRule="auto"/>
        <w:jc w:val="both"/>
        <w:rPr>
          <w:rFonts w:ascii="Times New Roman" w:hAnsi="Times New Roman" w:cs="Times New Roman"/>
          <w:color w:val="000000" w:themeColor="text1"/>
          <w:sz w:val="16"/>
          <w:szCs w:val="16"/>
        </w:rPr>
      </w:pPr>
    </w:p>
    <w:p w14:paraId="7E1655D0" w14:textId="77777777" w:rsidR="00874C46" w:rsidRPr="002F2FDF" w:rsidRDefault="00874C4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 осени 1917 г. на Альбатросы D V стали ставить серийные моторы Мерседес D IIIa, причем еще раз форсированные — в документах поставщика они именовались D IIIaü, что означало «D IIIa с увеличенной (über) степенью сжатия». Для этого снова переделали поршни — их донца стали выпуклыми. Новый карбюратор получил высотный корректор, меняющий обогащение смеси в зависимости не только от положения сектора газа, но и от барометрической высоты полета. Был сделан обогрев его входного патрубка водой из системы охлаждения мотора для исключения его обледенения на большой высоте (от чего, правда, было больше вреда, чем пользы, так как перегрев входящего воздуха уменьшал теплоотдачу топливовоздушной смеси) (22792).</w:t>
      </w:r>
    </w:p>
    <w:p w14:paraId="39E70DAA" w14:textId="77777777" w:rsidR="00874C46" w:rsidRPr="002F2FDF" w:rsidRDefault="00874C46" w:rsidP="0083075A">
      <w:pPr>
        <w:spacing w:after="0" w:line="240" w:lineRule="auto"/>
        <w:jc w:val="both"/>
        <w:rPr>
          <w:rFonts w:ascii="Times New Roman" w:hAnsi="Times New Roman" w:cs="Times New Roman"/>
          <w:color w:val="000000" w:themeColor="text1"/>
          <w:sz w:val="16"/>
          <w:szCs w:val="16"/>
        </w:rPr>
      </w:pPr>
    </w:p>
    <w:p w14:paraId="70040B65" w14:textId="77777777" w:rsidR="00874C46" w:rsidRPr="002F2FDF" w:rsidRDefault="00874C4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Осенью 1917 г. началась постройка Фениксов D I, но оказалось, что хотя мотор Иеро 6Е выпускали уже несколько заводов, ни один из них не мог дать их сразу хотя бы полтораста. Потому было решено разбить заказ на три равные части. При запуске в серию были введены новые изменения — капот упрощен, его верх сняли, переделали фюзеляж перед ним, поставили небольшой заголовник. Серия 128 получила моторы выпуска венского завода «Варчаловски, Эйсслер и Ко.». Из 50 плановых самолетов доделали только 31, остальным моторов не хватило. Из этого заказа для нужд морской авиации забрали восемь истребителей, остальные пошли ВВС — первые были сданы в декабре 1917 г., последние — в 1918-м. Пять планеров достроили в серии 228 с моторами Иеро 6Е будапештского «Ганц-Фиата» — таких сделали 55 штук. Но следующую, 328-ю серию снова не доделали — чешский «БрайфельдДанек» дал двигателей только на 34 самолета. И даже с дополнительной дюжиной машин для моряков план не выполнили, отгрузив во всех сериях только 132 самолета. Впрочем, тормозили дело не только дефицит моторов, но и недостатки самолета. Для их исправления Лео Криште увеличил бак, сделал новый руль высоты с роговой компенсацией, провел мероприятия по облегчению конструкции и ее упрощению. При этом он допустил существенное ухудшение прочности планера. Новые истребители начали выпускаться под маркой Феникс D II тремя сериями — 122, 222 и 322, с моторами Иеро 6Е тех же производителей. По ходу выпуска на них ввели стабилизатор увеличенной площади, но случилось несколько аварий и катастроф, связанных с разрушением планера (прежде всего фюзеляжа), и к середине 1918 г. вышло распоряжение самолет с вооружения снять. К тому времени успели построить 48 таких истребителей (22825).</w:t>
      </w:r>
    </w:p>
    <w:p w14:paraId="66361D52" w14:textId="77777777" w:rsidR="00874C46" w:rsidRPr="002F2FDF" w:rsidRDefault="00874C46" w:rsidP="0083075A">
      <w:pPr>
        <w:spacing w:after="0" w:line="240" w:lineRule="auto"/>
        <w:jc w:val="both"/>
        <w:rPr>
          <w:rFonts w:ascii="Times New Roman" w:hAnsi="Times New Roman" w:cs="Times New Roman"/>
          <w:color w:val="000000" w:themeColor="text1"/>
          <w:sz w:val="16"/>
          <w:szCs w:val="16"/>
        </w:rPr>
      </w:pPr>
    </w:p>
    <w:p w14:paraId="450FC7E7" w14:textId="3D4FA7D2" w:rsidR="00874C46" w:rsidRPr="002F2FDF" w:rsidRDefault="00874C4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Осенью 1917 г. А. Фоккер выполнил на пятиплане Фоккер V.8 первый полет. Почувствовав, что машина плохо управляется, сразу после отрыва он выполнил благополучную посадку прямо перед собой.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Самолет был доработан и летные испытания продолжились. Однако улучшить управляемость не удалось и ни в одном полете не удалось выполнить маневрирование, что не позволило снять летные данные.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Испытания были прекращены и самолет списали (23161).</w:t>
      </w:r>
    </w:p>
    <w:p w14:paraId="0974BF17" w14:textId="77777777" w:rsidR="00874C46" w:rsidRPr="002F2FDF" w:rsidRDefault="00874C46" w:rsidP="0083075A">
      <w:pPr>
        <w:spacing w:after="0" w:line="240" w:lineRule="auto"/>
        <w:jc w:val="both"/>
        <w:rPr>
          <w:rFonts w:ascii="Times New Roman" w:hAnsi="Times New Roman" w:cs="Times New Roman"/>
          <w:color w:val="000000" w:themeColor="text1"/>
          <w:sz w:val="16"/>
          <w:szCs w:val="16"/>
        </w:rPr>
      </w:pPr>
    </w:p>
    <w:p w14:paraId="5ED3847C" w14:textId="4EED3FB7" w:rsidR="00874C46" w:rsidRPr="002F2FDF" w:rsidRDefault="00874C4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Осенью 1917 г. были сданы первые самолеты Пфальц D IIIa в улучшенном варианте. Выпуск самолета в предыдущем варианте остановили до окончания контракта, приняв лишь около 280 штук, из-за опасностей сваливания в штопор. Стабилизатор пришлось увеличивать, а пулеметы установить снаружи фюзеляжа, где до них можно было достать руками для устранения задержек при стрельбе. К новому 1918</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г. в войсках их было уже 114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завод наконец-то освоил технологию выклейки фюзеляжа и киля (22868).</w:t>
      </w:r>
    </w:p>
    <w:p w14:paraId="738E6C8C" w14:textId="77777777" w:rsidR="00874C46" w:rsidRPr="002F2FDF" w:rsidRDefault="00874C46" w:rsidP="0083075A">
      <w:pPr>
        <w:spacing w:after="0" w:line="240" w:lineRule="auto"/>
        <w:jc w:val="both"/>
        <w:rPr>
          <w:rFonts w:ascii="Times New Roman" w:hAnsi="Times New Roman" w:cs="Times New Roman"/>
          <w:color w:val="000000" w:themeColor="text1"/>
          <w:sz w:val="16"/>
          <w:szCs w:val="16"/>
        </w:rPr>
      </w:pPr>
    </w:p>
    <w:p w14:paraId="39E73F74" w14:textId="13248942" w:rsidR="00874C46" w:rsidRPr="002F2FDF" w:rsidRDefault="00874C4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 осени 1917 г. на заводе «Ллойд» (по-немецки она именовалась Ungarische Lloyd Flugzeug und Motoren Fabrik, по-венгерски Magyar Lloyd Repülőgép- és Motorgyár) в г. Асод (Aszód, ныне – север Венгрии, обл. Пешт) строился самолет Ллойд 40.15. Данные о его облете в декабре 1917 следует считать ошибочными, т.к. найден датируемый 01.03.18 г. отчет о том, что самолет 40.15 все еще не закончен и находится в постройке. Документов о его летных испытаниях не обнаружено.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Видимо, </w:t>
      </w:r>
      <w:r w:rsidRPr="002F2FDF">
        <w:rPr>
          <w:rFonts w:ascii="Times New Roman" w:hAnsi="Times New Roman" w:cs="Times New Roman"/>
          <w:color w:val="000000" w:themeColor="text1"/>
          <w:sz w:val="16"/>
          <w:szCs w:val="16"/>
        </w:rPr>
        <w:lastRenderedPageBreak/>
        <w:t>финансирование достройки самолета было прекращено, т.к. даже по расчету летные данные самолета получались низкими, см. ТТХ, а командование ВВС Австро-Венгрии к началу 1918 г. полностью утратило интерес к самолетам-трипланам, поскольку они не имели перспектив развития с ростом мощности моторов (23133).</w:t>
      </w:r>
    </w:p>
    <w:p w14:paraId="777A2412" w14:textId="77777777" w:rsidR="00874C46" w:rsidRPr="002F2FDF" w:rsidRDefault="00874C46" w:rsidP="0083075A">
      <w:pPr>
        <w:spacing w:after="0" w:line="240" w:lineRule="auto"/>
        <w:jc w:val="both"/>
        <w:rPr>
          <w:rFonts w:ascii="Times New Roman" w:hAnsi="Times New Roman" w:cs="Times New Roman"/>
          <w:color w:val="000000" w:themeColor="text1"/>
          <w:sz w:val="16"/>
          <w:szCs w:val="16"/>
        </w:rPr>
      </w:pPr>
    </w:p>
    <w:p w14:paraId="23C6CC10" w14:textId="31D5086E" w:rsidR="00874C46" w:rsidRPr="002F2FDF" w:rsidRDefault="00874C4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Осенью 1917 г. заказ на строительство самолета WKF D</w:t>
      </w:r>
      <w:r w:rsidRPr="002F2FDF">
        <w:rPr>
          <w:rFonts w:ascii="Times New Roman" w:hAnsi="Times New Roman" w:cs="Times New Roman"/>
          <w:color w:val="000000" w:themeColor="text1"/>
          <w:sz w:val="16"/>
          <w:szCs w:val="16"/>
          <w:lang w:val="en-US"/>
        </w:rPr>
        <w:t>r</w:t>
      </w:r>
      <w:r w:rsidRPr="002F2FDF">
        <w:rPr>
          <w:rFonts w:ascii="Times New Roman" w:hAnsi="Times New Roman" w:cs="Times New Roman"/>
          <w:color w:val="000000" w:themeColor="text1"/>
          <w:sz w:val="16"/>
          <w:szCs w:val="16"/>
        </w:rPr>
        <w:t xml:space="preserve"> фирмой WKF был утвержден Flars и он получил регистрационный номер 80.05 – как следующая машина после WKF DD Тип C (рег. № 80.04).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Самолет был построен головным заводом в Асперне осенью 1917 г. (хотя к тому времени уже работало специально для этого предназначенное опытное производство в Хеннерсдорфе.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Был сдан на заводские испытания в частичной комплектации – без вооружения (23141).</w:t>
      </w:r>
    </w:p>
    <w:p w14:paraId="1C8F4FAA" w14:textId="77777777" w:rsidR="00874C46" w:rsidRPr="002F2FDF" w:rsidRDefault="00874C46" w:rsidP="0083075A">
      <w:pPr>
        <w:spacing w:after="0" w:line="240" w:lineRule="auto"/>
        <w:jc w:val="both"/>
        <w:rPr>
          <w:rFonts w:ascii="Times New Roman" w:hAnsi="Times New Roman" w:cs="Times New Roman"/>
          <w:color w:val="000000" w:themeColor="text1"/>
          <w:sz w:val="16"/>
          <w:szCs w:val="16"/>
        </w:rPr>
      </w:pPr>
    </w:p>
    <w:p w14:paraId="40EFFC08" w14:textId="518BD72F" w:rsidR="00874C46" w:rsidRPr="002F2FDF" w:rsidRDefault="00874C4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Осенью 1917 г. началось серийное производство истребителя Феникс D I серии 128 выпуска завода «Феникс» в Вене-Штадлау. При запуске в серию самолет получил дальнейшие доработки: установлен мотор Hiero 6E (200 л.с., самолеты этой серии комплектовались моторами производства фирмы Warchalowski Eißler &amp; Co., г. Вена); капот упрощен, его верхняя часть снята (хотя она требовалась по условиям зимней эксплуатации самолета); изменена конструкция и форма верхней части НЧФ (она приобрела наклон от кабины к носу); за кабиной установлен небольшой заголовник.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Всего в этой серии было заказано 50 самолетов, но построено только 31 в связи с невозможностью дальнейшего получения моторов от этого производителя. Первые</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самолеты были сданы в декабре 1917 г., последние – в 1918 г.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Задел планеров был частично достроен в виде серии 228.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Из этого заказа для нужд морской авиации было изъято 8 самолетов (рег. № с А97 по А104), им были присвоены новые регистрационные номера морской авиации с J.1 по J.8. Феникс D I серии 228 выпуска завода «Феникс» в Вене-Штадлау, истребитель. Всего в этой серии было заказано 50 самолетов, но в 1918 г. построено 55 – часть использовала планеры других серий. Они конструктивно ничем не отличались от машин серии 128, но комплектовались моторами Hiero 6E (200 л.с.) выпуска завода Ganz-Fiat (Будапешт, Венгрия) (23149).</w:t>
      </w:r>
    </w:p>
    <w:p w14:paraId="51A49F7D" w14:textId="77777777" w:rsidR="00874C46" w:rsidRPr="002F2FDF" w:rsidRDefault="00874C46" w:rsidP="0083075A">
      <w:pPr>
        <w:spacing w:after="0" w:line="240" w:lineRule="auto"/>
        <w:jc w:val="both"/>
        <w:rPr>
          <w:rFonts w:ascii="Times New Roman" w:hAnsi="Times New Roman" w:cs="Times New Roman"/>
          <w:color w:val="000000" w:themeColor="text1"/>
          <w:sz w:val="16"/>
          <w:szCs w:val="16"/>
        </w:rPr>
      </w:pPr>
    </w:p>
    <w:p w14:paraId="4A4EF0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Осенью 1917 года Антанте было послано по радиотелеграфу предостережение относительно недопустимости бомбардировок беззащитных германских городов. Немцы угрожали обстрелом Парижа в том случае, если налеты на мирные города не прекратятся. Когда неприятельские летчики в ночь под Рождество 1917 года произвели нападение на незащищенный город Маннгейм, а в течение января 1918 года подвергли бомбардировке Трир, Гейдельберг, Раштадт и Фрейбург 1-я и 2-я бомбардировочные эскадры получили приказ о нападении на Париж (11282). </w:t>
      </w:r>
    </w:p>
    <w:p w14:paraId="5165B6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0EA8BF" w14:textId="77777777" w:rsidR="00C45126" w:rsidRPr="002F2FDF" w:rsidRDefault="00C45126"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Осенью 1917 года Германия приступила к постройке подводных крейсеров, со временем перенесших военные действия в самые отдаленные районы Мирового океана, в том числе к Североамериканскому побережью, Азорским островам, к западному берегу Африки. И, естественно, вновь — на русский Север. Они делились на два класса: бывшие торговые подводные лодки U151 — U157 и специально построенные подводные лодки, из коих по открытым источникам в строй вступили только U139 — U140. После создания двигателя мощностью в 3000 л.с. немцы приступили к постройке океанских подводных крейсеров (U142 — U150). На них были установлены командирские перископы с тонкими верхушками и зенитные перископы, были улучшены радиоустановки, позволившие значительно увеличить район действия радиосвязи, и средства, облегчавшие взаимное опознавание лодок (17007).</w:t>
      </w:r>
    </w:p>
    <w:p w14:paraId="3B6C70E4" w14:textId="77777777" w:rsidR="00C45126" w:rsidRPr="002F2FDF" w:rsidRDefault="00C45126"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p>
    <w:p w14:paraId="4A33BBE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DBDA9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12C5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октябрю 1917 англичане передали на Дукс в Москве основную часть чертежей DH.4 и также стал основой Р-1 (3572,15).</w:t>
      </w:r>
    </w:p>
    <w:p w14:paraId="5B30BE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0D36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октябрю 1917 г., к моменту свершения Великой Октябрьской социалистической революции, в авиационной промышленности России сложилось тяжелое экономическое положение, явившееся следствием глубокого политического и экономического кризиса, охватившего всю страну. По одним данным, накануне Октября в России существовало 20 самолетных и 9 моторных заводов, причем из них полностью специализировались на производстве авиационной техники только 7 самолетных и 2 моторных предприятия, остальные лишь частично выполняли авиационные заказы. По другим сведениям, полученным в результате изучения первоисточников, в России в то время функционировало 19 авиационных предприятий, из которых работало около 12 тыс. рабочих и служащих (10-12 тыс. - 80,.17). До октября 1917 вся авиационная индустрия находилась в руках частных предпринимателей, ведущую роль здесь играли иностранные и особенно французские капиталисты (275). Государственное управление авиационными предприятиями сводилось к функциям регулирования и выражалось в распределении заказов, предоставлении субсидий и займов, научно-технической помощи (275).</w:t>
      </w:r>
    </w:p>
    <w:p w14:paraId="2DE125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5E6C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октябрю 1917 в авиастроении насчитывалось 34 производственных предприятия, в том числе строительство семи из них еще не было закончено. Из 27 действовавших заводов 14 производили самолеты, 7 - моторы, 3 - воздушные винты и лыжи, 2 - магнето и 1 - авиаприборы. В отрасли было занято 10-12 тыс. рабочих, их них 20% - на моторостроительных заводах (66,17).</w:t>
      </w:r>
    </w:p>
    <w:p w14:paraId="0E6229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авиапредприятия являлись частновладельческими. Казенных заводов не было. В самолето, особенно в авиамоторостроении, были сильны позиции иностранного капитала. Из-за границы ввозились моторы, магнето, свечи зажигания, тросы, различные детали и даже дерево для воздушных винтов. В России в основном осуществлялась сборка самолетов (276). Некоторые владельцы заводов сокращали, а то и свертывали производство и переводили капиталы за границу (80,17).</w:t>
      </w:r>
    </w:p>
    <w:p w14:paraId="66EC28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Только 10-15% устанавливаемых на самолетах авиадвигателей изготовлялись русскими авиазаводами, а остальные закупались за рубежом. Основу отечественного авиамоторостроения составляли предприятия, являвшиеся почти исключительно собственностью иностранцев. Накануне Великой Октябрьской социалистической революции производством авиамоторов занимались в Москве - акционерные общества "Гном и Рон" и "Мотор", завод французской фирмы "Сальмсон" и автомобильная фабрика П.Ильина; в Петрограде - Русско-Балтийский вагоностроительный завод, который с 1915 г. наладил выпуск моторов типа "Бенц" конструкции инженера Киреева; в Александровске Екатеринославской Губернии (ныне г. Запорожье) - завод "Дека", открытый в 1917 г. акционерным обществом "Дюфлон и Константинович" (276). Русская промышленность удовлетворяла потребности армии в самолетах на 9%, а в моторах - на 5%. Из 1000 самолетов, состоявших на вооружении, большая часть нуждалась в ремонте (80,17).</w:t>
      </w:r>
    </w:p>
    <w:p w14:paraId="0CD0DE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F446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октябрю 1917 г. в России на</w:t>
      </w:r>
      <w:r w:rsidRPr="002F2FDF">
        <w:rPr>
          <w:rFonts w:ascii="Times New Roman" w:hAnsi="Times New Roman" w:cs="Times New Roman"/>
          <w:color w:val="000000" w:themeColor="text1"/>
          <w:kern w:val="2"/>
          <w:sz w:val="16"/>
          <w:szCs w:val="16"/>
        </w:rPr>
        <w:softHyphen/>
        <w:t>считывалось 18 авиационных пред</w:t>
      </w:r>
      <w:r w:rsidRPr="002F2FDF">
        <w:rPr>
          <w:rFonts w:ascii="Times New Roman" w:hAnsi="Times New Roman" w:cs="Times New Roman"/>
          <w:color w:val="000000" w:themeColor="text1"/>
          <w:kern w:val="2"/>
          <w:sz w:val="16"/>
          <w:szCs w:val="16"/>
        </w:rPr>
        <w:softHyphen/>
        <w:t>приятий различной мощности и спе</w:t>
      </w:r>
      <w:r w:rsidRPr="002F2FDF">
        <w:rPr>
          <w:rFonts w:ascii="Times New Roman" w:hAnsi="Times New Roman" w:cs="Times New Roman"/>
          <w:color w:val="000000" w:themeColor="text1"/>
          <w:kern w:val="2"/>
          <w:sz w:val="16"/>
          <w:szCs w:val="16"/>
        </w:rPr>
        <w:softHyphen/>
        <w:t>циализации (11 самолетостроитель</w:t>
      </w:r>
      <w:r w:rsidRPr="002F2FDF">
        <w:rPr>
          <w:rFonts w:ascii="Times New Roman" w:hAnsi="Times New Roman" w:cs="Times New Roman"/>
          <w:color w:val="000000" w:themeColor="text1"/>
          <w:kern w:val="2"/>
          <w:sz w:val="16"/>
          <w:szCs w:val="16"/>
        </w:rPr>
        <w:softHyphen/>
        <w:t>ных, 5 моторостроительных и 2 по производству воздушных винтов). После октября часть заводов не работала (преимущественно на юге России), а производительность оставшихся из-за отсутствия комп</w:t>
      </w:r>
      <w:r w:rsidRPr="002F2FDF">
        <w:rPr>
          <w:rFonts w:ascii="Times New Roman" w:hAnsi="Times New Roman" w:cs="Times New Roman"/>
          <w:color w:val="000000" w:themeColor="text1"/>
          <w:kern w:val="2"/>
          <w:sz w:val="16"/>
          <w:szCs w:val="16"/>
        </w:rPr>
        <w:softHyphen/>
        <w:t>лектующих, сырья, топлива, продо</w:t>
      </w:r>
      <w:r w:rsidRPr="002F2FDF">
        <w:rPr>
          <w:rFonts w:ascii="Times New Roman" w:hAnsi="Times New Roman" w:cs="Times New Roman"/>
          <w:color w:val="000000" w:themeColor="text1"/>
          <w:kern w:val="2"/>
          <w:sz w:val="16"/>
          <w:szCs w:val="16"/>
        </w:rPr>
        <w:softHyphen/>
        <w:t>вольствия, потери части рабочих и инженеров, существенно снизилась. К тому же владельцы некоторых предприятий откровенно игнориро</w:t>
      </w:r>
      <w:r w:rsidRPr="002F2FDF">
        <w:rPr>
          <w:rFonts w:ascii="Times New Roman" w:hAnsi="Times New Roman" w:cs="Times New Roman"/>
          <w:color w:val="000000" w:themeColor="text1"/>
          <w:kern w:val="2"/>
          <w:sz w:val="16"/>
          <w:szCs w:val="16"/>
        </w:rPr>
        <w:softHyphen/>
        <w:t>вали исполнение военных заказов. В связи с этим по декретам Совета Народных Комиссаров (от 17 ян</w:t>
      </w:r>
      <w:r w:rsidRPr="002F2FDF">
        <w:rPr>
          <w:rFonts w:ascii="Times New Roman" w:hAnsi="Times New Roman" w:cs="Times New Roman"/>
          <w:color w:val="000000" w:themeColor="text1"/>
          <w:kern w:val="2"/>
          <w:sz w:val="16"/>
          <w:szCs w:val="16"/>
        </w:rPr>
        <w:softHyphen/>
        <w:t>варя и от 28 июня 1918 г.) ряд пред</w:t>
      </w:r>
      <w:r w:rsidRPr="002F2FDF">
        <w:rPr>
          <w:rFonts w:ascii="Times New Roman" w:hAnsi="Times New Roman" w:cs="Times New Roman"/>
          <w:color w:val="000000" w:themeColor="text1"/>
          <w:kern w:val="2"/>
          <w:sz w:val="16"/>
          <w:szCs w:val="16"/>
        </w:rPr>
        <w:softHyphen/>
        <w:t>приятий был национализирован. Приступили к восстановлению за</w:t>
      </w:r>
      <w:r w:rsidRPr="002F2FDF">
        <w:rPr>
          <w:rFonts w:ascii="Times New Roman" w:hAnsi="Times New Roman" w:cs="Times New Roman"/>
          <w:color w:val="000000" w:themeColor="text1"/>
          <w:kern w:val="2"/>
          <w:sz w:val="16"/>
          <w:szCs w:val="16"/>
        </w:rPr>
        <w:softHyphen/>
        <w:t>водов, в частности «Дукс», «Мотор» в Москве и завода «Гамаюн» (с 1922 г. назывался Государственным авиазаводом № 3 «Красный лет</w:t>
      </w:r>
      <w:r w:rsidRPr="002F2FDF">
        <w:rPr>
          <w:rFonts w:ascii="Times New Roman" w:hAnsi="Times New Roman" w:cs="Times New Roman"/>
          <w:color w:val="000000" w:themeColor="text1"/>
          <w:kern w:val="2"/>
          <w:sz w:val="16"/>
          <w:szCs w:val="16"/>
        </w:rPr>
        <w:softHyphen/>
        <w:t>чик», с 1927 г. заводом № 3) не мог работать в полную мощность, так как отсутствовала часть черте</w:t>
      </w:r>
      <w:r w:rsidRPr="002F2FDF">
        <w:rPr>
          <w:rFonts w:ascii="Times New Roman" w:hAnsi="Times New Roman" w:cs="Times New Roman"/>
          <w:color w:val="000000" w:themeColor="text1"/>
          <w:kern w:val="2"/>
          <w:sz w:val="16"/>
          <w:szCs w:val="16"/>
        </w:rPr>
        <w:softHyphen/>
        <w:t>жей и другая необходимая для про</w:t>
      </w:r>
      <w:r w:rsidRPr="002F2FDF">
        <w:rPr>
          <w:rFonts w:ascii="Times New Roman" w:hAnsi="Times New Roman" w:cs="Times New Roman"/>
          <w:color w:val="000000" w:themeColor="text1"/>
          <w:kern w:val="2"/>
          <w:sz w:val="16"/>
          <w:szCs w:val="16"/>
        </w:rPr>
        <w:softHyphen/>
        <w:t>изводства документация (она ока</w:t>
      </w:r>
      <w:r w:rsidRPr="002F2FDF">
        <w:rPr>
          <w:rFonts w:ascii="Times New Roman" w:hAnsi="Times New Roman" w:cs="Times New Roman"/>
          <w:color w:val="000000" w:themeColor="text1"/>
          <w:kern w:val="2"/>
          <w:sz w:val="16"/>
          <w:szCs w:val="16"/>
        </w:rPr>
        <w:softHyphen/>
        <w:t>залась утерянной). В этот период завод занимался преимущественно ремонтом авиационной техники. И тогда вспомнили о заготовках од- нореданных трехместных летающих лодок «Телье» - двухстоечного бип</w:t>
      </w:r>
      <w:r w:rsidRPr="002F2FDF">
        <w:rPr>
          <w:rFonts w:ascii="Times New Roman" w:hAnsi="Times New Roman" w:cs="Times New Roman"/>
          <w:color w:val="000000" w:themeColor="text1"/>
          <w:kern w:val="2"/>
          <w:sz w:val="16"/>
          <w:szCs w:val="16"/>
        </w:rPr>
        <w:softHyphen/>
        <w:t>лана с толкающей силовой уста</w:t>
      </w:r>
      <w:r w:rsidRPr="002F2FDF">
        <w:rPr>
          <w:rFonts w:ascii="Times New Roman" w:hAnsi="Times New Roman" w:cs="Times New Roman"/>
          <w:color w:val="000000" w:themeColor="text1"/>
          <w:kern w:val="2"/>
          <w:sz w:val="16"/>
          <w:szCs w:val="16"/>
        </w:rPr>
        <w:softHyphen/>
        <w:t>новкой, включающей двигатель «Испано-Сюиза» мощностью 200 л.с. Лодку и чертежи, приобретенные в свое время во Франции, передали на завод Дукса. В 1920 г. заготовки 20 корпусов и крылья с завода Дук</w:t>
      </w:r>
      <w:r w:rsidRPr="002F2FDF">
        <w:rPr>
          <w:rFonts w:ascii="Times New Roman" w:hAnsi="Times New Roman" w:cs="Times New Roman"/>
          <w:color w:val="000000" w:themeColor="text1"/>
          <w:kern w:val="2"/>
          <w:sz w:val="16"/>
          <w:szCs w:val="16"/>
        </w:rPr>
        <w:softHyphen/>
        <w:t>са поступили на завод «Красный летчик», где собрали 10 лодок. Вес</w:t>
      </w:r>
      <w:r w:rsidRPr="002F2FDF">
        <w:rPr>
          <w:rFonts w:ascii="Times New Roman" w:hAnsi="Times New Roman" w:cs="Times New Roman"/>
          <w:color w:val="000000" w:themeColor="text1"/>
          <w:kern w:val="2"/>
          <w:sz w:val="16"/>
          <w:szCs w:val="16"/>
        </w:rPr>
        <w:softHyphen/>
        <w:t>ной одну лодку при испытаниях разбили и потеряли к ним интерес. Собственно, и двигателей для них не оказалось  (12085).</w:t>
      </w:r>
    </w:p>
    <w:p w14:paraId="0D5243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FDD912" w14:textId="77777777" w:rsidR="006B5704" w:rsidRPr="002F2FDF" w:rsidRDefault="006B5704" w:rsidP="0083075A">
      <w:pPr>
        <w:pStyle w:val="ae"/>
        <w:spacing w:before="0" w:after="0"/>
        <w:jc w:val="both"/>
        <w:rPr>
          <w:color w:val="000000" w:themeColor="text1"/>
          <w:sz w:val="16"/>
          <w:szCs w:val="16"/>
        </w:rPr>
      </w:pPr>
      <w:r w:rsidRPr="002F2FDF">
        <w:rPr>
          <w:color w:val="000000" w:themeColor="text1"/>
          <w:sz w:val="16"/>
          <w:szCs w:val="16"/>
        </w:rPr>
        <w:t>К октябрю 1917 г. главный корпус нового завода Лебедева в Таганроге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(18369).</w:t>
      </w:r>
    </w:p>
    <w:p w14:paraId="507D437B" w14:textId="77777777" w:rsidR="006B5704" w:rsidRPr="002F2FDF" w:rsidRDefault="006B5704" w:rsidP="0083075A">
      <w:pPr>
        <w:pStyle w:val="ae"/>
        <w:spacing w:before="0" w:after="0"/>
        <w:jc w:val="both"/>
        <w:rPr>
          <w:color w:val="000000" w:themeColor="text1"/>
          <w:sz w:val="16"/>
          <w:szCs w:val="16"/>
        </w:rPr>
      </w:pPr>
    </w:p>
    <w:p w14:paraId="31AF4EF3" w14:textId="77777777" w:rsidR="00CA0EAE" w:rsidRPr="002F2FDF" w:rsidRDefault="00CA0EA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октябрю 1917 года на заводе Лебедева в Таганроге в производстве было занято свыше 300 рабочих. Во вновь возведенных и еще не пол-ностью оснащенных заводских корпусах уже идет сборка французских самолетов “Вуазен L”, английских “Сопвичей”, а затем собираются и отечественные оригинальные самолеты—разведчики “Лебедь XII”. Всего этих машин было собрано на двух заводах фирмы - Петроградском и Таганрогском - 216 единиц. В Таганроге тогда же были соб-раны и облетаны две морские машины, поставленные на поплавки “Лебедь XII”. Они получили название “Лебедь Морской” (11642).</w:t>
      </w:r>
    </w:p>
    <w:p w14:paraId="2D747FD1" w14:textId="77777777" w:rsidR="00CA0EAE" w:rsidRPr="002F2FDF" w:rsidRDefault="00CA0EA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45E768" w14:textId="114A36E2" w:rsidR="00CA0EAE" w:rsidRPr="002F2FDF" w:rsidRDefault="00CA0EAE" w:rsidP="0083075A">
      <w:pPr>
        <w:pStyle w:val="ae"/>
        <w:shd w:val="clear" w:color="auto" w:fill="FFFFFF"/>
        <w:spacing w:before="0" w:after="0"/>
        <w:jc w:val="both"/>
        <w:rPr>
          <w:color w:val="000000" w:themeColor="text1"/>
          <w:sz w:val="16"/>
          <w:szCs w:val="16"/>
        </w:rPr>
      </w:pPr>
      <w:r w:rsidRPr="002F2FDF">
        <w:rPr>
          <w:color w:val="000000" w:themeColor="text1"/>
          <w:sz w:val="16"/>
          <w:szCs w:val="16"/>
        </w:rPr>
        <w:t>К октябрю 1917 г. главный корпус нового завода Лебедева в Таганроге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w:t>
      </w:r>
      <w:r w:rsidRPr="002F2FDF">
        <w:rPr>
          <w:color w:val="000000" w:themeColor="text1"/>
          <w:sz w:val="16"/>
          <w:szCs w:val="16"/>
          <w:shd w:val="clear" w:color="auto" w:fill="FFFFFF"/>
        </w:rPr>
        <w:t>РГВИА. Ф. 369. Оп. 9. Д. 56</w:t>
      </w:r>
      <w:r w:rsidRPr="002F2FDF">
        <w:rPr>
          <w:color w:val="000000" w:themeColor="text1"/>
          <w:sz w:val="16"/>
          <w:szCs w:val="16"/>
        </w:rPr>
        <w:t>).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w:t>
      </w:r>
      <w:r w:rsidRPr="002F2FDF">
        <w:rPr>
          <w:color w:val="000000" w:themeColor="text1"/>
          <w:sz w:val="16"/>
          <w:szCs w:val="16"/>
          <w:vertAlign w:val="superscript"/>
        </w:rPr>
        <w:t>2</w:t>
      </w:r>
      <w:r w:rsidRPr="002F2FDF">
        <w:rPr>
          <w:color w:val="000000" w:themeColor="text1"/>
          <w:sz w:val="16"/>
          <w:szCs w:val="16"/>
        </w:rPr>
        <w:t>. Экономический кризис 1917 г. не позволил полностью закончить строительство и особенно оборудование новых филиалов.</w:t>
      </w:r>
      <w:r w:rsidR="00E52569">
        <w:rPr>
          <w:color w:val="000000" w:themeColor="text1"/>
          <w:sz w:val="16"/>
          <w:szCs w:val="16"/>
        </w:rPr>
        <w:t xml:space="preserve"> </w:t>
      </w:r>
      <w:r w:rsidRPr="002F2FDF">
        <w:rPr>
          <w:color w:val="000000" w:themeColor="text1"/>
          <w:sz w:val="16"/>
          <w:szCs w:val="16"/>
        </w:rPr>
        <w:t xml:space="preserve"> Наиболее законченный из них, Таганрогский стал впоследствии основой крупнейшего авиационного завода им. Димитрова (21552).</w:t>
      </w:r>
    </w:p>
    <w:p w14:paraId="6DCB5B84" w14:textId="77777777" w:rsidR="00CA0EAE" w:rsidRPr="002F2FDF" w:rsidRDefault="00CA0EAE" w:rsidP="0083075A">
      <w:pPr>
        <w:spacing w:after="0" w:line="240" w:lineRule="auto"/>
        <w:jc w:val="both"/>
        <w:rPr>
          <w:rFonts w:ascii="Times New Roman" w:hAnsi="Times New Roman" w:cs="Times New Roman"/>
          <w:color w:val="000000" w:themeColor="text1"/>
          <w:sz w:val="16"/>
          <w:szCs w:val="16"/>
        </w:rPr>
      </w:pPr>
    </w:p>
    <w:p w14:paraId="2D82D5E2" w14:textId="77777777" w:rsidR="00CA0EAE" w:rsidRPr="002F2FDF" w:rsidRDefault="00CA0EA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lang w:eastAsia="ru-RU" w:bidi="ru-RU"/>
        </w:rPr>
        <w:t>К октябрю 1917 г. на заводе Лебедева в Таганроге в производстве было занято свыше 300 рабочих. Однако на</w:t>
      </w:r>
      <w:r w:rsidRPr="002F2FDF">
        <w:rPr>
          <w:rFonts w:ascii="Times New Roman" w:hAnsi="Times New Roman" w:cs="Times New Roman"/>
          <w:color w:val="000000" w:themeColor="text1"/>
          <w:sz w:val="16"/>
          <w:szCs w:val="16"/>
          <w:lang w:eastAsia="ru-RU" w:bidi="ru-RU"/>
        </w:rPr>
        <w:softHyphen/>
        <w:t>ступала другая эпоха...</w:t>
      </w:r>
    </w:p>
    <w:p w14:paraId="0F540D8E" w14:textId="77777777" w:rsidR="00CA0EAE" w:rsidRPr="002F2FDF" w:rsidRDefault="00CA0EAE" w:rsidP="0083075A">
      <w:pPr>
        <w:spacing w:after="0" w:line="240" w:lineRule="auto"/>
        <w:jc w:val="both"/>
        <w:rPr>
          <w:rFonts w:ascii="Times New Roman" w:hAnsi="Times New Roman" w:cs="Times New Roman"/>
          <w:color w:val="000000" w:themeColor="text1"/>
          <w:sz w:val="16"/>
          <w:szCs w:val="16"/>
          <w:lang w:eastAsia="ru-RU" w:bidi="ru-RU"/>
        </w:rPr>
      </w:pPr>
      <w:r w:rsidRPr="002F2FDF">
        <w:rPr>
          <w:rFonts w:ascii="Times New Roman" w:hAnsi="Times New Roman" w:cs="Times New Roman"/>
          <w:color w:val="000000" w:themeColor="text1"/>
          <w:sz w:val="16"/>
          <w:szCs w:val="16"/>
          <w:lang w:eastAsia="ru-RU" w:bidi="ru-RU"/>
        </w:rPr>
        <w:t>В последовавшей круговерти смены властей, немецкой оккупации, занятия Таганрога частями Добровольческой Армии завод практически не работал. В период нахожде</w:t>
      </w:r>
      <w:r w:rsidRPr="002F2FDF">
        <w:rPr>
          <w:rFonts w:ascii="Times New Roman" w:hAnsi="Times New Roman" w:cs="Times New Roman"/>
          <w:color w:val="000000" w:themeColor="text1"/>
          <w:sz w:val="16"/>
          <w:szCs w:val="16"/>
          <w:lang w:eastAsia="ru-RU" w:bidi="ru-RU"/>
        </w:rPr>
        <w:softHyphen/>
        <w:t>ния Таганрога под властью верховного руководителя Во</w:t>
      </w:r>
      <w:r w:rsidRPr="002F2FDF">
        <w:rPr>
          <w:rFonts w:ascii="Times New Roman" w:hAnsi="Times New Roman" w:cs="Times New Roman"/>
          <w:color w:val="000000" w:themeColor="text1"/>
          <w:sz w:val="16"/>
          <w:szCs w:val="16"/>
          <w:lang w:eastAsia="ru-RU" w:bidi="ru-RU"/>
        </w:rPr>
        <w:softHyphen/>
        <w:t>оруженных Сил Юга России генерала Деникина белые пытались использовать завод в качестве ремонтной базы для собственной авиации (20273).</w:t>
      </w:r>
    </w:p>
    <w:p w14:paraId="2698BAE2" w14:textId="77777777" w:rsidR="00CA0EAE" w:rsidRPr="002F2FDF" w:rsidRDefault="00CA0EAE" w:rsidP="0083075A">
      <w:pPr>
        <w:spacing w:after="0" w:line="240" w:lineRule="auto"/>
        <w:jc w:val="both"/>
        <w:rPr>
          <w:rFonts w:ascii="Times New Roman" w:hAnsi="Times New Roman" w:cs="Times New Roman"/>
          <w:color w:val="000000" w:themeColor="text1"/>
          <w:sz w:val="16"/>
          <w:szCs w:val="16"/>
        </w:rPr>
      </w:pPr>
    </w:p>
    <w:p w14:paraId="7092AB8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октября 1917 на заводе «Мотор», а также на двух заводах объединения Русско-Балтийский вагонный завод (РБВЗ) работа</w:t>
      </w:r>
      <w:r w:rsidRPr="002F2FDF">
        <w:rPr>
          <w:rFonts w:ascii="Times New Roman" w:hAnsi="Times New Roman" w:cs="Times New Roman"/>
          <w:color w:val="000000" w:themeColor="text1"/>
          <w:kern w:val="2"/>
          <w:sz w:val="16"/>
          <w:szCs w:val="16"/>
        </w:rPr>
        <w:softHyphen/>
        <w:t>ли группы конструкторов и приданный им штат рабочих и служащих. Позднее подобная группа возникла на заводе ДЕКА. Но никакой опреде</w:t>
      </w:r>
      <w:r w:rsidRPr="002F2FDF">
        <w:rPr>
          <w:rFonts w:ascii="Times New Roman" w:hAnsi="Times New Roman" w:cs="Times New Roman"/>
          <w:color w:val="000000" w:themeColor="text1"/>
          <w:kern w:val="2"/>
          <w:sz w:val="16"/>
          <w:szCs w:val="16"/>
        </w:rPr>
        <w:softHyphen/>
        <w:t>ленной структуры они не имели, многие их члены совмещали конструи</w:t>
      </w:r>
      <w:r w:rsidRPr="002F2FDF">
        <w:rPr>
          <w:rFonts w:ascii="Times New Roman" w:hAnsi="Times New Roman" w:cs="Times New Roman"/>
          <w:color w:val="000000" w:themeColor="text1"/>
          <w:kern w:val="2"/>
          <w:sz w:val="16"/>
          <w:szCs w:val="16"/>
        </w:rPr>
        <w:softHyphen/>
        <w:t>рование с выполнением других обязанностей. У них не было и штат</w:t>
      </w:r>
      <w:r w:rsidRPr="002F2FDF">
        <w:rPr>
          <w:rFonts w:ascii="Times New Roman" w:hAnsi="Times New Roman" w:cs="Times New Roman"/>
          <w:color w:val="000000" w:themeColor="text1"/>
          <w:kern w:val="2"/>
          <w:sz w:val="16"/>
          <w:szCs w:val="16"/>
        </w:rPr>
        <w:softHyphen/>
        <w:t>ных руководителей. Люди, которые возглавляли эти группы, занимались параллельно серийным производством или административной работой. Специальных цехов или участков для изготовления опытных моторов не выделяли. Большинство деталей делали на основном производстве, лишь для окончательной сборки и наладки привлекали опытных рабочих. Пред</w:t>
      </w:r>
      <w:r w:rsidRPr="002F2FDF">
        <w:rPr>
          <w:rFonts w:ascii="Times New Roman" w:hAnsi="Times New Roman" w:cs="Times New Roman"/>
          <w:color w:val="000000" w:themeColor="text1"/>
          <w:kern w:val="2"/>
          <w:sz w:val="16"/>
          <w:szCs w:val="16"/>
        </w:rPr>
        <w:softHyphen/>
        <w:t>приятия, принадлежавшие иностранным фирмам, такие как «Гном и Рон» и «Сальмсон», работали полностью по привозной документации и само</w:t>
      </w:r>
      <w:r w:rsidRPr="002F2FDF">
        <w:rPr>
          <w:rFonts w:ascii="Times New Roman" w:hAnsi="Times New Roman" w:cs="Times New Roman"/>
          <w:color w:val="000000" w:themeColor="text1"/>
          <w:kern w:val="2"/>
          <w:sz w:val="16"/>
          <w:szCs w:val="16"/>
        </w:rPr>
        <w:softHyphen/>
        <w:t>стоятельных опытно-конструкторских работ не вели. При Временном пра</w:t>
      </w:r>
      <w:r w:rsidRPr="002F2FDF">
        <w:rPr>
          <w:rFonts w:ascii="Times New Roman" w:hAnsi="Times New Roman" w:cs="Times New Roman"/>
          <w:color w:val="000000" w:themeColor="text1"/>
          <w:kern w:val="2"/>
          <w:sz w:val="16"/>
          <w:szCs w:val="16"/>
        </w:rPr>
        <w:softHyphen/>
        <w:t>вительстве эти положение сохранялось. В первые годы после Октябрьской революции даже эти небольшие коллективы перестали существовать. Многие специалисты эмигрирова</w:t>
      </w:r>
      <w:r w:rsidRPr="002F2FDF">
        <w:rPr>
          <w:rFonts w:ascii="Times New Roman" w:hAnsi="Times New Roman" w:cs="Times New Roman"/>
          <w:color w:val="000000" w:themeColor="text1"/>
          <w:kern w:val="2"/>
          <w:sz w:val="16"/>
          <w:szCs w:val="16"/>
        </w:rPr>
        <w:softHyphen/>
        <w:t>ли, некоторые погибли в Гражданской войне или сменили поле деятель</w:t>
      </w:r>
      <w:r w:rsidRPr="002F2FDF">
        <w:rPr>
          <w:rFonts w:ascii="Times New Roman" w:hAnsi="Times New Roman" w:cs="Times New Roman"/>
          <w:color w:val="000000" w:themeColor="text1"/>
          <w:kern w:val="2"/>
          <w:sz w:val="16"/>
          <w:szCs w:val="16"/>
        </w:rPr>
        <w:softHyphen/>
        <w:t>ности. Только на заводе «Мотор», эвакуированном из Риги в Москву, и втором московском заводе, «Икар» (бывшем «Гном и Рон»), про</w:t>
      </w:r>
      <w:r w:rsidRPr="002F2FDF">
        <w:rPr>
          <w:rFonts w:ascii="Times New Roman" w:hAnsi="Times New Roman" w:cs="Times New Roman"/>
          <w:color w:val="000000" w:themeColor="text1"/>
          <w:kern w:val="2"/>
          <w:sz w:val="16"/>
          <w:szCs w:val="16"/>
        </w:rPr>
        <w:softHyphen/>
        <w:t>должали работать небольшие группы инженеров и техников, которые больше занимались поддержанием производства в условиях экономи</w:t>
      </w:r>
      <w:r w:rsidRPr="002F2FDF">
        <w:rPr>
          <w:rFonts w:ascii="Times New Roman" w:hAnsi="Times New Roman" w:cs="Times New Roman"/>
          <w:color w:val="000000" w:themeColor="text1"/>
          <w:kern w:val="2"/>
          <w:sz w:val="16"/>
          <w:szCs w:val="16"/>
        </w:rPr>
        <w:softHyphen/>
        <w:t>ческой разрухи. Но отдельные энтузиасты продолжали проектировать новые двигатели (11852).</w:t>
      </w:r>
    </w:p>
    <w:p w14:paraId="45CA94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B5E9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октябрю 1917 г. имея заказы на 2290 аэропланов, Военное ведомство получило для них всего 525 моторов, включая поставленные из-за грани</w:t>
      </w:r>
      <w:r w:rsidRPr="002F2FDF">
        <w:rPr>
          <w:rFonts w:ascii="Times New Roman" w:hAnsi="Times New Roman" w:cs="Times New Roman"/>
          <w:color w:val="000000" w:themeColor="text1"/>
          <w:kern w:val="2"/>
          <w:sz w:val="16"/>
          <w:szCs w:val="16"/>
        </w:rPr>
        <w:softHyphen/>
        <w:t>цы. Так, завод «Дукс» получил всего 20 двигателей на 60 строившихся истребителей БРАВ. В 1917 г. разные предприятия собрали от четверти до трети запланированного количества моторов. Например, завод «Гном и Рон» сдал 69 двигателей «Рон» из 200 заказанных и 61 «Моносупап» из 150, завод «Сальмсон» — 271 мотор из 900. Временное правительство пыталось исправить положение, размещая до</w:t>
      </w:r>
      <w:r w:rsidRPr="002F2FDF">
        <w:rPr>
          <w:rFonts w:ascii="Times New Roman" w:hAnsi="Times New Roman" w:cs="Times New Roman"/>
          <w:color w:val="000000" w:themeColor="text1"/>
          <w:kern w:val="2"/>
          <w:sz w:val="16"/>
          <w:szCs w:val="16"/>
        </w:rPr>
        <w:softHyphen/>
        <w:t>полнительные заказы в разных странах. Так, в июле 1917 г. велись пере</w:t>
      </w:r>
      <w:r w:rsidRPr="002F2FDF">
        <w:rPr>
          <w:rFonts w:ascii="Times New Roman" w:hAnsi="Times New Roman" w:cs="Times New Roman"/>
          <w:color w:val="000000" w:themeColor="text1"/>
          <w:kern w:val="2"/>
          <w:sz w:val="16"/>
          <w:szCs w:val="16"/>
        </w:rPr>
        <w:softHyphen/>
        <w:t>говоры с правительством США. Но ни один мотор, заказанный в этот период, в Россию не прибыл. Октябрьская революция еще в большей степени парализовала авиапро</w:t>
      </w:r>
      <w:r w:rsidRPr="002F2FDF">
        <w:rPr>
          <w:rFonts w:ascii="Times New Roman" w:hAnsi="Times New Roman" w:cs="Times New Roman"/>
          <w:color w:val="000000" w:themeColor="text1"/>
          <w:kern w:val="2"/>
          <w:sz w:val="16"/>
          <w:szCs w:val="16"/>
        </w:rPr>
        <w:softHyphen/>
        <w:t>мышленность (11852).</w:t>
      </w:r>
    </w:p>
    <w:p w14:paraId="68D4E9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0AE3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октябрю 1917 в авиастроении было 34 завода, но 7 из них были не закончены строительством (80,17):</w:t>
      </w:r>
    </w:p>
    <w:p w14:paraId="7BD67D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- 14 - самолетные;</w:t>
      </w:r>
    </w:p>
    <w:p w14:paraId="6E9943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- 7 - моторные;</w:t>
      </w:r>
    </w:p>
    <w:p w14:paraId="08CA36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- 3 - винты и лыжи;</w:t>
      </w:r>
    </w:p>
    <w:p w14:paraId="50AC27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- 2 - магнето;</w:t>
      </w:r>
    </w:p>
    <w:p w14:paraId="777838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- 1 - приборы.</w:t>
      </w:r>
    </w:p>
    <w:p w14:paraId="5A2711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10-12 тыс. рабочих (20% в моторостроении) (80,17).</w:t>
      </w:r>
    </w:p>
    <w:p w14:paraId="27D607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другим данным было 18 действовавших заводов, включая:</w:t>
      </w:r>
    </w:p>
    <w:p w14:paraId="58DA65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- 11 - самолетных;</w:t>
      </w:r>
    </w:p>
    <w:p w14:paraId="4D870E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- 5 двигателестроительных;</w:t>
      </w:r>
    </w:p>
    <w:p w14:paraId="513A6C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 пропеллерных;</w:t>
      </w:r>
    </w:p>
    <w:p w14:paraId="495B1D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10 тыс. рабочих и служащих (356,28).</w:t>
      </w:r>
    </w:p>
    <w:p w14:paraId="477BED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Основными были завод Дукс в Москве, С.С.Щетинина и В.А.Лебедева в Петрограде, А.А.Анатра в Симферополе - 7 тыс. рабочих и 87% ОФ (66,26).</w:t>
      </w:r>
    </w:p>
    <w:p w14:paraId="7864FE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1000 самолетов на вооружении, но своя промышленность удовлетворяла потребности по самолетам на 9%, а по моторам - на 7% (80,17).</w:t>
      </w:r>
    </w:p>
    <w:p w14:paraId="558A82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C69B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октябрю 1917 г. основные отечественные самолетостроительные заводы, имея заказы на 2290 самолетов, получили от военного ведомства только 525 двигателей. Программа по самолетостроению на последующее полугодие была обеспечена двигателями только на 15 % Поставки из-за границы, главным образом из Франции, за годы войны не превысили 4 тыс. двигателей. Закупленные за границей моторы поступали в авиационные отряды без магнето, которые либо терялись в пути, либо оставались лежать на складах в Архангельске, либо разворовывались и продавались по дорогой цене на “черном рынке”. Между тем спрос авиации на двигатели продолжал расти. Из-за отсутствия двигателей готовые самолеты не поступали в авиачасти. Это создавало крайне напряженное, а порой прямо катастрофическое положение для русской авиации. Особенно сильно давал себя чувствовать недостаток двигателей в 1917 г. (9705).</w:t>
      </w:r>
    </w:p>
    <w:p w14:paraId="0755B2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9E09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данным В.Б.Ш. в октябре 1917 были следующие авиазаводы:</w:t>
      </w:r>
    </w:p>
    <w:p w14:paraId="32E04C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списку предприятий, помещенных в таблице, следует добавить мастерские Ф. Ф. Терещенко в Червонном (не попавшие в учет 1918 г.), четыре предприятия (Стефанковича, Сакова, Безобразова и Стеглау), еще не успевших начать работу в 1917 г., и Ижорский завод (частично). Не учтены мелкие предприятия и смежники.</w:t>
      </w:r>
    </w:p>
    <w:p w14:paraId="61E27B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таблицу не включено несколько предприятий, строившихся в 1917 г., но не начавших выпуска продукции. Это самолетостроительные заводы Щетинина в Ярославле и Лебедева в Ярославле и Таганроге, завод “Авиаприбор” в Москве и двигателестроительные заводы “Русский Рено” в Рыбинске, акционерное общество “Аксай” и завод РБВЗ в Филях под Москвой. Завод Лебедева Пензе начал выпуск воздушных винтов. Их начали также выпускать и мастерские В. П. Хорькова, братьев Я. и И. Кон, Н. Яковлева и Центрального Военно-промышленного комитета. Началась, но не была доведена организация производства магнето на фабрике “Искромет” в Москве и Зингера в Подольске.</w:t>
      </w:r>
    </w:p>
    <w:p w14:paraId="48B8EE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12. Сведения о русских авиазаводах </w:t>
      </w:r>
    </w:p>
    <w:tbl>
      <w:tblPr>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1833"/>
        <w:gridCol w:w="659"/>
        <w:gridCol w:w="586"/>
        <w:gridCol w:w="782"/>
        <w:gridCol w:w="488"/>
        <w:gridCol w:w="409"/>
        <w:gridCol w:w="372"/>
        <w:gridCol w:w="630"/>
        <w:gridCol w:w="377"/>
        <w:gridCol w:w="492"/>
        <w:gridCol w:w="413"/>
        <w:gridCol w:w="430"/>
        <w:gridCol w:w="537"/>
        <w:gridCol w:w="415"/>
        <w:gridCol w:w="563"/>
        <w:gridCol w:w="467"/>
        <w:gridCol w:w="384"/>
        <w:gridCol w:w="448"/>
      </w:tblGrid>
      <w:tr w:rsidR="002B1C74" w:rsidRPr="002F2FDF" w14:paraId="2EE2FDD0" w14:textId="77777777" w:rsidTr="003431D2">
        <w:trPr>
          <w:jc w:val="center"/>
        </w:trPr>
        <w:tc>
          <w:tcPr>
            <w:tcW w:w="1833" w:type="dxa"/>
            <w:tcBorders>
              <w:top w:val="single" w:sz="12" w:space="0" w:color="000000"/>
            </w:tcBorders>
          </w:tcPr>
          <w:p w14:paraId="79B178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Предприятие</w:t>
            </w:r>
          </w:p>
        </w:tc>
        <w:tc>
          <w:tcPr>
            <w:tcW w:w="659" w:type="dxa"/>
            <w:tcBorders>
              <w:top w:val="single" w:sz="12" w:space="0" w:color="000000"/>
            </w:tcBorders>
          </w:tcPr>
          <w:p w14:paraId="287107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 основания и год перехода на авиационное строительство</w:t>
            </w:r>
          </w:p>
        </w:tc>
        <w:tc>
          <w:tcPr>
            <w:tcW w:w="586" w:type="dxa"/>
            <w:tcBorders>
              <w:top w:val="single" w:sz="12" w:space="0" w:color="000000"/>
            </w:tcBorders>
          </w:tcPr>
          <w:p w14:paraId="132C5A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территории, кв. саж.</w:t>
            </w:r>
          </w:p>
        </w:tc>
        <w:tc>
          <w:tcPr>
            <w:tcW w:w="782" w:type="dxa"/>
            <w:tcBorders>
              <w:top w:val="single" w:sz="12" w:space="0" w:color="000000"/>
            </w:tcBorders>
          </w:tcPr>
          <w:p w14:paraId="27AB13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строений, каменн./деревянн, кв. саж.</w:t>
            </w:r>
          </w:p>
        </w:tc>
        <w:tc>
          <w:tcPr>
            <w:tcW w:w="488" w:type="dxa"/>
            <w:tcBorders>
              <w:top w:val="single" w:sz="12" w:space="0" w:color="000000"/>
            </w:tcBorders>
          </w:tcPr>
          <w:p w14:paraId="691E61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Мощность, л.с.</w:t>
            </w:r>
          </w:p>
        </w:tc>
        <w:tc>
          <w:tcPr>
            <w:tcW w:w="409" w:type="dxa"/>
            <w:gridSpan w:val="2"/>
            <w:tcBorders>
              <w:top w:val="single" w:sz="12" w:space="0" w:color="000000"/>
            </w:tcBorders>
          </w:tcPr>
          <w:p w14:paraId="4D974D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w:t>
            </w:r>
          </w:p>
        </w:tc>
        <w:tc>
          <w:tcPr>
            <w:tcW w:w="630" w:type="dxa"/>
            <w:tcBorders>
              <w:top w:val="single" w:sz="12" w:space="0" w:color="000000"/>
            </w:tcBorders>
          </w:tcPr>
          <w:p w14:paraId="408E6E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служащих в 1917 г.</w:t>
            </w:r>
          </w:p>
        </w:tc>
        <w:tc>
          <w:tcPr>
            <w:tcW w:w="377" w:type="dxa"/>
            <w:gridSpan w:val="5"/>
            <w:tcBorders>
              <w:top w:val="single" w:sz="12" w:space="0" w:color="000000"/>
            </w:tcBorders>
          </w:tcPr>
          <w:p w14:paraId="334272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рабочих по годам</w:t>
            </w:r>
          </w:p>
        </w:tc>
        <w:tc>
          <w:tcPr>
            <w:tcW w:w="415" w:type="dxa"/>
            <w:gridSpan w:val="5"/>
            <w:tcBorders>
              <w:top w:val="single" w:sz="12" w:space="0" w:color="000000"/>
            </w:tcBorders>
          </w:tcPr>
          <w:p w14:paraId="172CDB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Сдано единиц продукции по годам</w:t>
            </w:r>
          </w:p>
        </w:tc>
      </w:tr>
      <w:tr w:rsidR="002B1C74" w:rsidRPr="002F2FDF" w14:paraId="55F24392" w14:textId="77777777">
        <w:trPr>
          <w:jc w:val="center"/>
        </w:trPr>
        <w:tc>
          <w:tcPr>
            <w:tcW w:w="1833" w:type="dxa"/>
          </w:tcPr>
          <w:p w14:paraId="552FE1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59" w:type="dxa"/>
          </w:tcPr>
          <w:p w14:paraId="28F6CC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86" w:type="dxa"/>
          </w:tcPr>
          <w:p w14:paraId="1F1C49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82" w:type="dxa"/>
          </w:tcPr>
          <w:p w14:paraId="1B2DB9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88" w:type="dxa"/>
          </w:tcPr>
          <w:p w14:paraId="44340B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09" w:type="dxa"/>
          </w:tcPr>
          <w:p w14:paraId="1BB566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Двигателей</w:t>
            </w:r>
          </w:p>
        </w:tc>
        <w:tc>
          <w:tcPr>
            <w:tcW w:w="372" w:type="dxa"/>
          </w:tcPr>
          <w:p w14:paraId="1919E6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Станков</w:t>
            </w:r>
          </w:p>
        </w:tc>
        <w:tc>
          <w:tcPr>
            <w:tcW w:w="630" w:type="dxa"/>
          </w:tcPr>
          <w:p w14:paraId="11A709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7" w:type="dxa"/>
          </w:tcPr>
          <w:p w14:paraId="502ECD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tc>
        <w:tc>
          <w:tcPr>
            <w:tcW w:w="492" w:type="dxa"/>
          </w:tcPr>
          <w:p w14:paraId="2E81B5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tc>
        <w:tc>
          <w:tcPr>
            <w:tcW w:w="413" w:type="dxa"/>
          </w:tcPr>
          <w:p w14:paraId="410D6F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430" w:type="dxa"/>
          </w:tcPr>
          <w:p w14:paraId="3B6A1F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w:t>
            </w:r>
          </w:p>
        </w:tc>
        <w:tc>
          <w:tcPr>
            <w:tcW w:w="537" w:type="dxa"/>
          </w:tcPr>
          <w:p w14:paraId="715808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1918</w:t>
            </w:r>
          </w:p>
        </w:tc>
        <w:tc>
          <w:tcPr>
            <w:tcW w:w="415" w:type="dxa"/>
          </w:tcPr>
          <w:p w14:paraId="5944B6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tc>
        <w:tc>
          <w:tcPr>
            <w:tcW w:w="563" w:type="dxa"/>
          </w:tcPr>
          <w:p w14:paraId="3C15EA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tc>
        <w:tc>
          <w:tcPr>
            <w:tcW w:w="467" w:type="dxa"/>
          </w:tcPr>
          <w:p w14:paraId="2FD4F7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384" w:type="dxa"/>
          </w:tcPr>
          <w:p w14:paraId="18350F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w:t>
            </w:r>
          </w:p>
        </w:tc>
        <w:tc>
          <w:tcPr>
            <w:tcW w:w="448" w:type="dxa"/>
          </w:tcPr>
          <w:p w14:paraId="46A57E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r>
      <w:tr w:rsidR="002B1C74" w:rsidRPr="002F2FDF" w14:paraId="700BDD31" w14:textId="77777777">
        <w:trPr>
          <w:jc w:val="center"/>
        </w:trPr>
        <w:tc>
          <w:tcPr>
            <w:tcW w:w="1833" w:type="dxa"/>
          </w:tcPr>
          <w:p w14:paraId="4A1720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Русско-Балтийский вагопный завод (РБВЗ)</w:t>
            </w:r>
          </w:p>
        </w:tc>
        <w:tc>
          <w:tcPr>
            <w:tcW w:w="659" w:type="dxa"/>
          </w:tcPr>
          <w:p w14:paraId="7451BC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1910</w:t>
            </w:r>
          </w:p>
        </w:tc>
        <w:tc>
          <w:tcPr>
            <w:tcW w:w="586" w:type="dxa"/>
          </w:tcPr>
          <w:p w14:paraId="7EC003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8031</w:t>
            </w:r>
          </w:p>
        </w:tc>
        <w:tc>
          <w:tcPr>
            <w:tcW w:w="782" w:type="dxa"/>
          </w:tcPr>
          <w:p w14:paraId="275DB5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912 1755</w:t>
            </w:r>
          </w:p>
        </w:tc>
        <w:tc>
          <w:tcPr>
            <w:tcW w:w="488" w:type="dxa"/>
          </w:tcPr>
          <w:p w14:paraId="5102D8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w:t>
            </w:r>
          </w:p>
        </w:tc>
        <w:tc>
          <w:tcPr>
            <w:tcW w:w="409" w:type="dxa"/>
          </w:tcPr>
          <w:p w14:paraId="7547A0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w:t>
            </w:r>
          </w:p>
        </w:tc>
        <w:tc>
          <w:tcPr>
            <w:tcW w:w="372" w:type="dxa"/>
          </w:tcPr>
          <w:p w14:paraId="57E75F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w:t>
            </w:r>
          </w:p>
        </w:tc>
        <w:tc>
          <w:tcPr>
            <w:tcW w:w="630" w:type="dxa"/>
          </w:tcPr>
          <w:p w14:paraId="6254CF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176</w:t>
            </w:r>
          </w:p>
        </w:tc>
        <w:tc>
          <w:tcPr>
            <w:tcW w:w="377" w:type="dxa"/>
          </w:tcPr>
          <w:p w14:paraId="6AB633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270</w:t>
            </w:r>
          </w:p>
        </w:tc>
        <w:tc>
          <w:tcPr>
            <w:tcW w:w="492" w:type="dxa"/>
          </w:tcPr>
          <w:p w14:paraId="6AF346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400</w:t>
            </w:r>
          </w:p>
        </w:tc>
        <w:tc>
          <w:tcPr>
            <w:tcW w:w="413" w:type="dxa"/>
          </w:tcPr>
          <w:p w14:paraId="11F573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478</w:t>
            </w:r>
          </w:p>
        </w:tc>
        <w:tc>
          <w:tcPr>
            <w:tcW w:w="430" w:type="dxa"/>
          </w:tcPr>
          <w:p w14:paraId="106486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475</w:t>
            </w:r>
          </w:p>
        </w:tc>
        <w:tc>
          <w:tcPr>
            <w:tcW w:w="537" w:type="dxa"/>
          </w:tcPr>
          <w:p w14:paraId="7B86BD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427</w:t>
            </w:r>
          </w:p>
        </w:tc>
        <w:tc>
          <w:tcPr>
            <w:tcW w:w="415" w:type="dxa"/>
          </w:tcPr>
          <w:p w14:paraId="7B1701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563" w:type="dxa"/>
          </w:tcPr>
          <w:p w14:paraId="3C90A1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467" w:type="dxa"/>
          </w:tcPr>
          <w:p w14:paraId="1388BC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w:t>
            </w:r>
          </w:p>
        </w:tc>
        <w:tc>
          <w:tcPr>
            <w:tcW w:w="384" w:type="dxa"/>
          </w:tcPr>
          <w:p w14:paraId="7FB05C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Pr>
          <w:p w14:paraId="2BC999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220</w:t>
            </w:r>
          </w:p>
        </w:tc>
      </w:tr>
      <w:tr w:rsidR="002B1C74" w:rsidRPr="002F2FDF" w14:paraId="144C28A7" w14:textId="77777777">
        <w:trPr>
          <w:jc w:val="center"/>
        </w:trPr>
        <w:tc>
          <w:tcPr>
            <w:tcW w:w="1833" w:type="dxa"/>
          </w:tcPr>
          <w:p w14:paraId="12318B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Авиационное отделение в Риге и Петрограде</w:t>
            </w:r>
          </w:p>
        </w:tc>
        <w:tc>
          <w:tcPr>
            <w:tcW w:w="659" w:type="dxa"/>
          </w:tcPr>
          <w:p w14:paraId="11B03B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1912</w:t>
            </w:r>
          </w:p>
        </w:tc>
        <w:tc>
          <w:tcPr>
            <w:tcW w:w="586" w:type="dxa"/>
          </w:tcPr>
          <w:p w14:paraId="30D741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82" w:type="dxa"/>
          </w:tcPr>
          <w:p w14:paraId="4CF630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88" w:type="dxa"/>
          </w:tcPr>
          <w:p w14:paraId="1BC248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09" w:type="dxa"/>
          </w:tcPr>
          <w:p w14:paraId="076FDA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2" w:type="dxa"/>
          </w:tcPr>
          <w:p w14:paraId="690E29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0" w:type="dxa"/>
          </w:tcPr>
          <w:p w14:paraId="5F6A47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7" w:type="dxa"/>
          </w:tcPr>
          <w:p w14:paraId="0B3F35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12E64E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285D01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30" w:type="dxa"/>
          </w:tcPr>
          <w:p w14:paraId="130B7B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37" w:type="dxa"/>
          </w:tcPr>
          <w:p w14:paraId="3A8F8D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5" w:type="dxa"/>
          </w:tcPr>
          <w:p w14:paraId="302F0B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17C677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33DC10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1C685F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Pr>
          <w:p w14:paraId="6B220C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0CC13E00" w14:textId="77777777">
        <w:trPr>
          <w:jc w:val="center"/>
        </w:trPr>
        <w:tc>
          <w:tcPr>
            <w:tcW w:w="1833" w:type="dxa"/>
          </w:tcPr>
          <w:p w14:paraId="48C05B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1-го Всероссийского товарищества воздухоплавания С. С. Щетинина. Петроград</w:t>
            </w:r>
          </w:p>
        </w:tc>
        <w:tc>
          <w:tcPr>
            <w:tcW w:w="659" w:type="dxa"/>
          </w:tcPr>
          <w:p w14:paraId="167C2B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1909</w:t>
            </w:r>
          </w:p>
        </w:tc>
        <w:tc>
          <w:tcPr>
            <w:tcW w:w="586" w:type="dxa"/>
          </w:tcPr>
          <w:p w14:paraId="34A3C8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2689 (с аэродромом 2846)</w:t>
            </w:r>
          </w:p>
        </w:tc>
        <w:tc>
          <w:tcPr>
            <w:tcW w:w="782" w:type="dxa"/>
          </w:tcPr>
          <w:p w14:paraId="0A43B2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1775 913 104 2741</w:t>
            </w:r>
          </w:p>
        </w:tc>
        <w:tc>
          <w:tcPr>
            <w:tcW w:w="488" w:type="dxa"/>
          </w:tcPr>
          <w:p w14:paraId="6221DD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350 50</w:t>
            </w:r>
          </w:p>
        </w:tc>
        <w:tc>
          <w:tcPr>
            <w:tcW w:w="409" w:type="dxa"/>
          </w:tcPr>
          <w:p w14:paraId="484A2D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w:t>
            </w:r>
          </w:p>
        </w:tc>
        <w:tc>
          <w:tcPr>
            <w:tcW w:w="372" w:type="dxa"/>
          </w:tcPr>
          <w:p w14:paraId="60CCC1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w:t>
            </w:r>
          </w:p>
        </w:tc>
        <w:tc>
          <w:tcPr>
            <w:tcW w:w="630" w:type="dxa"/>
          </w:tcPr>
          <w:p w14:paraId="2A31FB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300</w:t>
            </w:r>
          </w:p>
        </w:tc>
        <w:tc>
          <w:tcPr>
            <w:tcW w:w="377" w:type="dxa"/>
          </w:tcPr>
          <w:p w14:paraId="5A8E31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400</w:t>
            </w:r>
          </w:p>
        </w:tc>
        <w:tc>
          <w:tcPr>
            <w:tcW w:w="492" w:type="dxa"/>
          </w:tcPr>
          <w:p w14:paraId="1C17F8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700</w:t>
            </w:r>
          </w:p>
        </w:tc>
        <w:tc>
          <w:tcPr>
            <w:tcW w:w="413" w:type="dxa"/>
          </w:tcPr>
          <w:p w14:paraId="5EA45D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30" w:type="dxa"/>
          </w:tcPr>
          <w:p w14:paraId="62938C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1470</w:t>
            </w:r>
          </w:p>
        </w:tc>
        <w:tc>
          <w:tcPr>
            <w:tcW w:w="537" w:type="dxa"/>
          </w:tcPr>
          <w:p w14:paraId="517A3D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5" w:type="dxa"/>
          </w:tcPr>
          <w:p w14:paraId="598764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w:t>
            </w:r>
          </w:p>
        </w:tc>
        <w:tc>
          <w:tcPr>
            <w:tcW w:w="563" w:type="dxa"/>
          </w:tcPr>
          <w:p w14:paraId="3A3653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w:t>
            </w:r>
          </w:p>
        </w:tc>
        <w:tc>
          <w:tcPr>
            <w:tcW w:w="467" w:type="dxa"/>
          </w:tcPr>
          <w:p w14:paraId="511FB3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4830CE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Pr>
          <w:p w14:paraId="13645F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1340</w:t>
            </w:r>
          </w:p>
        </w:tc>
      </w:tr>
      <w:tr w:rsidR="002B1C74" w:rsidRPr="002F2FDF" w14:paraId="269C796F" w14:textId="77777777">
        <w:trPr>
          <w:jc w:val="center"/>
        </w:trPr>
        <w:tc>
          <w:tcPr>
            <w:tcW w:w="1833" w:type="dxa"/>
          </w:tcPr>
          <w:p w14:paraId="6C7448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“Акционерное общество воздухоплавания В. А. Лебедев”. Петроград</w:t>
            </w:r>
          </w:p>
        </w:tc>
        <w:tc>
          <w:tcPr>
            <w:tcW w:w="659" w:type="dxa"/>
          </w:tcPr>
          <w:p w14:paraId="440415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w:t>
            </w:r>
          </w:p>
        </w:tc>
        <w:tc>
          <w:tcPr>
            <w:tcW w:w="586" w:type="dxa"/>
          </w:tcPr>
          <w:p w14:paraId="6BBA3C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25000</w:t>
            </w:r>
          </w:p>
        </w:tc>
        <w:tc>
          <w:tcPr>
            <w:tcW w:w="782" w:type="dxa"/>
          </w:tcPr>
          <w:p w14:paraId="62A442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211 3559</w:t>
            </w:r>
          </w:p>
        </w:tc>
        <w:tc>
          <w:tcPr>
            <w:tcW w:w="488" w:type="dxa"/>
          </w:tcPr>
          <w:p w14:paraId="52A377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153</w:t>
            </w:r>
          </w:p>
        </w:tc>
        <w:tc>
          <w:tcPr>
            <w:tcW w:w="409" w:type="dxa"/>
          </w:tcPr>
          <w:p w14:paraId="641A4F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w:t>
            </w:r>
          </w:p>
        </w:tc>
        <w:tc>
          <w:tcPr>
            <w:tcW w:w="372" w:type="dxa"/>
          </w:tcPr>
          <w:p w14:paraId="60674E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w:t>
            </w:r>
          </w:p>
        </w:tc>
        <w:tc>
          <w:tcPr>
            <w:tcW w:w="630" w:type="dxa"/>
          </w:tcPr>
          <w:p w14:paraId="76447F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c>
          <w:tcPr>
            <w:tcW w:w="377" w:type="dxa"/>
          </w:tcPr>
          <w:p w14:paraId="3CDF1F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56BD61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3A5A70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867</w:t>
            </w:r>
          </w:p>
        </w:tc>
        <w:tc>
          <w:tcPr>
            <w:tcW w:w="430" w:type="dxa"/>
          </w:tcPr>
          <w:p w14:paraId="3A89F3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1156</w:t>
            </w:r>
          </w:p>
        </w:tc>
        <w:tc>
          <w:tcPr>
            <w:tcW w:w="537" w:type="dxa"/>
          </w:tcPr>
          <w:p w14:paraId="5956E4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720</w:t>
            </w:r>
          </w:p>
        </w:tc>
        <w:tc>
          <w:tcPr>
            <w:tcW w:w="415" w:type="dxa"/>
          </w:tcPr>
          <w:p w14:paraId="758358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w:t>
            </w:r>
          </w:p>
        </w:tc>
        <w:tc>
          <w:tcPr>
            <w:tcW w:w="563" w:type="dxa"/>
          </w:tcPr>
          <w:p w14:paraId="4AD74C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187</w:t>
            </w:r>
          </w:p>
        </w:tc>
        <w:tc>
          <w:tcPr>
            <w:tcW w:w="467" w:type="dxa"/>
          </w:tcPr>
          <w:p w14:paraId="40AA95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'227</w:t>
            </w:r>
          </w:p>
        </w:tc>
        <w:tc>
          <w:tcPr>
            <w:tcW w:w="384" w:type="dxa"/>
          </w:tcPr>
          <w:p w14:paraId="6B2753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213</w:t>
            </w:r>
          </w:p>
        </w:tc>
        <w:tc>
          <w:tcPr>
            <w:tcW w:w="448" w:type="dxa"/>
          </w:tcPr>
          <w:p w14:paraId="5EB37B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674</w:t>
            </w:r>
          </w:p>
        </w:tc>
      </w:tr>
      <w:tr w:rsidR="002B1C74" w:rsidRPr="002F2FDF" w14:paraId="0E23DAA9" w14:textId="77777777">
        <w:trPr>
          <w:jc w:val="center"/>
        </w:trPr>
        <w:tc>
          <w:tcPr>
            <w:tcW w:w="1833" w:type="dxa"/>
          </w:tcPr>
          <w:p w14:paraId="5BEB6C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В. В. Слюсаренко. Рига. Петроград</w:t>
            </w:r>
          </w:p>
        </w:tc>
        <w:tc>
          <w:tcPr>
            <w:tcW w:w="659" w:type="dxa"/>
          </w:tcPr>
          <w:p w14:paraId="71A092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1912 1914</w:t>
            </w:r>
          </w:p>
        </w:tc>
        <w:tc>
          <w:tcPr>
            <w:tcW w:w="586" w:type="dxa"/>
          </w:tcPr>
          <w:p w14:paraId="3824B2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2 590</w:t>
            </w:r>
          </w:p>
        </w:tc>
        <w:tc>
          <w:tcPr>
            <w:tcW w:w="782" w:type="dxa"/>
          </w:tcPr>
          <w:p w14:paraId="72D443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213 461</w:t>
            </w:r>
          </w:p>
        </w:tc>
        <w:tc>
          <w:tcPr>
            <w:tcW w:w="488" w:type="dxa"/>
          </w:tcPr>
          <w:p w14:paraId="5440FA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w:t>
            </w:r>
          </w:p>
        </w:tc>
        <w:tc>
          <w:tcPr>
            <w:tcW w:w="409" w:type="dxa"/>
          </w:tcPr>
          <w:p w14:paraId="5BC3E2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372" w:type="dxa"/>
          </w:tcPr>
          <w:p w14:paraId="04C54B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w:t>
            </w:r>
          </w:p>
        </w:tc>
        <w:tc>
          <w:tcPr>
            <w:tcW w:w="630" w:type="dxa"/>
          </w:tcPr>
          <w:p w14:paraId="1FE0AC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377" w:type="dxa"/>
          </w:tcPr>
          <w:p w14:paraId="094761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127831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280B27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w:t>
            </w:r>
          </w:p>
        </w:tc>
        <w:tc>
          <w:tcPr>
            <w:tcW w:w="430" w:type="dxa"/>
          </w:tcPr>
          <w:p w14:paraId="4EEFF0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220</w:t>
            </w:r>
          </w:p>
        </w:tc>
        <w:tc>
          <w:tcPr>
            <w:tcW w:w="537" w:type="dxa"/>
          </w:tcPr>
          <w:p w14:paraId="65D9AB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214</w:t>
            </w:r>
          </w:p>
        </w:tc>
        <w:tc>
          <w:tcPr>
            <w:tcW w:w="415" w:type="dxa"/>
          </w:tcPr>
          <w:p w14:paraId="6A9024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563" w:type="dxa"/>
          </w:tcPr>
          <w:p w14:paraId="36CC2C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467" w:type="dxa"/>
          </w:tcPr>
          <w:p w14:paraId="51E193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w:t>
            </w:r>
          </w:p>
        </w:tc>
        <w:tc>
          <w:tcPr>
            <w:tcW w:w="384" w:type="dxa"/>
          </w:tcPr>
          <w:p w14:paraId="55E328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w:t>
            </w:r>
          </w:p>
        </w:tc>
        <w:tc>
          <w:tcPr>
            <w:tcW w:w="448" w:type="dxa"/>
          </w:tcPr>
          <w:p w14:paraId="068743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134</w:t>
            </w:r>
          </w:p>
        </w:tc>
      </w:tr>
      <w:tr w:rsidR="002B1C74" w:rsidRPr="002F2FDF" w14:paraId="1736D61A" w14:textId="77777777">
        <w:trPr>
          <w:jc w:val="center"/>
        </w:trPr>
        <w:tc>
          <w:tcPr>
            <w:tcW w:w="1833" w:type="dxa"/>
          </w:tcPr>
          <w:p w14:paraId="10883A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Фабрика А. А. Пороховщикова. Петроград</w:t>
            </w:r>
          </w:p>
        </w:tc>
        <w:tc>
          <w:tcPr>
            <w:tcW w:w="659" w:type="dxa"/>
          </w:tcPr>
          <w:p w14:paraId="554551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tc>
        <w:tc>
          <w:tcPr>
            <w:tcW w:w="586" w:type="dxa"/>
          </w:tcPr>
          <w:p w14:paraId="5F4D98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1 500</w:t>
            </w:r>
          </w:p>
        </w:tc>
        <w:tc>
          <w:tcPr>
            <w:tcW w:w="782" w:type="dxa"/>
          </w:tcPr>
          <w:p w14:paraId="3ED1B5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360 60</w:t>
            </w:r>
          </w:p>
        </w:tc>
        <w:tc>
          <w:tcPr>
            <w:tcW w:w="488" w:type="dxa"/>
          </w:tcPr>
          <w:p w14:paraId="0E2255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w:t>
            </w:r>
          </w:p>
        </w:tc>
        <w:tc>
          <w:tcPr>
            <w:tcW w:w="409" w:type="dxa"/>
          </w:tcPr>
          <w:p w14:paraId="56312B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372" w:type="dxa"/>
          </w:tcPr>
          <w:p w14:paraId="374C4A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w:t>
            </w:r>
          </w:p>
        </w:tc>
        <w:tc>
          <w:tcPr>
            <w:tcW w:w="630" w:type="dxa"/>
          </w:tcPr>
          <w:p w14:paraId="04C138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377" w:type="dxa"/>
          </w:tcPr>
          <w:p w14:paraId="03A907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c>
          <w:tcPr>
            <w:tcW w:w="492" w:type="dxa"/>
          </w:tcPr>
          <w:p w14:paraId="068E45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c>
          <w:tcPr>
            <w:tcW w:w="413" w:type="dxa"/>
          </w:tcPr>
          <w:p w14:paraId="1B1D55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97</w:t>
            </w:r>
          </w:p>
        </w:tc>
        <w:tc>
          <w:tcPr>
            <w:tcW w:w="430" w:type="dxa"/>
          </w:tcPr>
          <w:p w14:paraId="4F646A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w:t>
            </w:r>
          </w:p>
        </w:tc>
        <w:tc>
          <w:tcPr>
            <w:tcW w:w="537" w:type="dxa"/>
          </w:tcPr>
          <w:p w14:paraId="5A6334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w:t>
            </w:r>
          </w:p>
        </w:tc>
        <w:tc>
          <w:tcPr>
            <w:tcW w:w="415" w:type="dxa"/>
          </w:tcPr>
          <w:p w14:paraId="2AE161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563" w:type="dxa"/>
          </w:tcPr>
          <w:p w14:paraId="236067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44630D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26F6A9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Pr>
          <w:p w14:paraId="5FC4AD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53E4E957" w14:textId="77777777">
        <w:trPr>
          <w:jc w:val="center"/>
        </w:trPr>
        <w:tc>
          <w:tcPr>
            <w:tcW w:w="1833" w:type="dxa"/>
          </w:tcPr>
          <w:p w14:paraId="2DC06E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Фабрика Ф. Мельцера. Петроград</w:t>
            </w:r>
          </w:p>
        </w:tc>
        <w:tc>
          <w:tcPr>
            <w:tcW w:w="659" w:type="dxa"/>
          </w:tcPr>
          <w:p w14:paraId="4A5165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1885 1916 (самолеты)</w:t>
            </w:r>
          </w:p>
        </w:tc>
        <w:tc>
          <w:tcPr>
            <w:tcW w:w="586" w:type="dxa"/>
          </w:tcPr>
          <w:p w14:paraId="2FA3AC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1 118</w:t>
            </w:r>
          </w:p>
        </w:tc>
        <w:tc>
          <w:tcPr>
            <w:tcW w:w="782" w:type="dxa"/>
          </w:tcPr>
          <w:p w14:paraId="3510BD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687</w:t>
            </w:r>
          </w:p>
        </w:tc>
        <w:tc>
          <w:tcPr>
            <w:tcW w:w="488" w:type="dxa"/>
          </w:tcPr>
          <w:p w14:paraId="5E39DD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194</w:t>
            </w:r>
          </w:p>
        </w:tc>
        <w:tc>
          <w:tcPr>
            <w:tcW w:w="409" w:type="dxa"/>
          </w:tcPr>
          <w:p w14:paraId="6CE505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w:t>
            </w:r>
          </w:p>
        </w:tc>
        <w:tc>
          <w:tcPr>
            <w:tcW w:w="372" w:type="dxa"/>
          </w:tcPr>
          <w:p w14:paraId="290CB5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w:t>
            </w:r>
          </w:p>
        </w:tc>
        <w:tc>
          <w:tcPr>
            <w:tcW w:w="630" w:type="dxa"/>
          </w:tcPr>
          <w:p w14:paraId="679535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w:t>
            </w:r>
          </w:p>
        </w:tc>
        <w:tc>
          <w:tcPr>
            <w:tcW w:w="377" w:type="dxa"/>
          </w:tcPr>
          <w:p w14:paraId="623FB9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242</w:t>
            </w:r>
          </w:p>
        </w:tc>
        <w:tc>
          <w:tcPr>
            <w:tcW w:w="492" w:type="dxa"/>
          </w:tcPr>
          <w:p w14:paraId="41CE4D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200</w:t>
            </w:r>
          </w:p>
        </w:tc>
        <w:tc>
          <w:tcPr>
            <w:tcW w:w="413" w:type="dxa"/>
          </w:tcPr>
          <w:p w14:paraId="228A16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500</w:t>
            </w:r>
          </w:p>
        </w:tc>
        <w:tc>
          <w:tcPr>
            <w:tcW w:w="430" w:type="dxa"/>
          </w:tcPr>
          <w:p w14:paraId="268FB1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255</w:t>
            </w:r>
          </w:p>
        </w:tc>
        <w:tc>
          <w:tcPr>
            <w:tcW w:w="537" w:type="dxa"/>
          </w:tcPr>
          <w:p w14:paraId="718B28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324</w:t>
            </w:r>
          </w:p>
        </w:tc>
        <w:tc>
          <w:tcPr>
            <w:tcW w:w="415" w:type="dxa"/>
          </w:tcPr>
          <w:p w14:paraId="02A2D3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3B94D6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57EF52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1338E3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Pr>
          <w:p w14:paraId="087D8F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Гидросамолетов 4 Винтов 2663</w:t>
            </w:r>
          </w:p>
        </w:tc>
      </w:tr>
      <w:tr w:rsidR="002B1C74" w:rsidRPr="002F2FDF" w14:paraId="2E708ABB" w14:textId="77777777">
        <w:trPr>
          <w:jc w:val="center"/>
        </w:trPr>
        <w:tc>
          <w:tcPr>
            <w:tcW w:w="1833" w:type="dxa"/>
          </w:tcPr>
          <w:p w14:paraId="0FD89A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Акционерное общество “Дукс” Москва</w:t>
            </w:r>
          </w:p>
        </w:tc>
        <w:tc>
          <w:tcPr>
            <w:tcW w:w="659" w:type="dxa"/>
          </w:tcPr>
          <w:p w14:paraId="03B4AF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1894 1910 (самолеты)</w:t>
            </w:r>
          </w:p>
        </w:tc>
        <w:tc>
          <w:tcPr>
            <w:tcW w:w="586" w:type="dxa"/>
          </w:tcPr>
          <w:p w14:paraId="45BEC5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10980</w:t>
            </w:r>
          </w:p>
        </w:tc>
        <w:tc>
          <w:tcPr>
            <w:tcW w:w="782" w:type="dxa"/>
          </w:tcPr>
          <w:p w14:paraId="42B367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3680 3000</w:t>
            </w:r>
          </w:p>
        </w:tc>
        <w:tc>
          <w:tcPr>
            <w:tcW w:w="488" w:type="dxa"/>
          </w:tcPr>
          <w:p w14:paraId="778ED7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480</w:t>
            </w:r>
          </w:p>
        </w:tc>
        <w:tc>
          <w:tcPr>
            <w:tcW w:w="409" w:type="dxa"/>
          </w:tcPr>
          <w:p w14:paraId="3DF9C3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c>
          <w:tcPr>
            <w:tcW w:w="372" w:type="dxa"/>
          </w:tcPr>
          <w:p w14:paraId="31D621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195</w:t>
            </w:r>
          </w:p>
        </w:tc>
        <w:tc>
          <w:tcPr>
            <w:tcW w:w="630" w:type="dxa"/>
          </w:tcPr>
          <w:p w14:paraId="7EC51D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300</w:t>
            </w:r>
          </w:p>
        </w:tc>
        <w:tc>
          <w:tcPr>
            <w:tcW w:w="377" w:type="dxa"/>
          </w:tcPr>
          <w:p w14:paraId="6B129E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725</w:t>
            </w:r>
          </w:p>
        </w:tc>
        <w:tc>
          <w:tcPr>
            <w:tcW w:w="492" w:type="dxa"/>
          </w:tcPr>
          <w:p w14:paraId="445A28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850</w:t>
            </w:r>
          </w:p>
        </w:tc>
        <w:tc>
          <w:tcPr>
            <w:tcW w:w="413" w:type="dxa"/>
          </w:tcPr>
          <w:p w14:paraId="51DCDB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1575</w:t>
            </w:r>
          </w:p>
        </w:tc>
        <w:tc>
          <w:tcPr>
            <w:tcW w:w="430" w:type="dxa"/>
          </w:tcPr>
          <w:p w14:paraId="20E832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2120</w:t>
            </w:r>
          </w:p>
        </w:tc>
        <w:tc>
          <w:tcPr>
            <w:tcW w:w="537" w:type="dxa"/>
          </w:tcPr>
          <w:p w14:paraId="06F247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540</w:t>
            </w:r>
          </w:p>
        </w:tc>
        <w:tc>
          <w:tcPr>
            <w:tcW w:w="415" w:type="dxa"/>
          </w:tcPr>
          <w:p w14:paraId="17A92A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180</w:t>
            </w:r>
          </w:p>
        </w:tc>
        <w:tc>
          <w:tcPr>
            <w:tcW w:w="563" w:type="dxa"/>
          </w:tcPr>
          <w:p w14:paraId="4FD82C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367</w:t>
            </w:r>
          </w:p>
        </w:tc>
        <w:tc>
          <w:tcPr>
            <w:tcW w:w="467" w:type="dxa"/>
          </w:tcPr>
          <w:p w14:paraId="3339E1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461</w:t>
            </w:r>
          </w:p>
        </w:tc>
        <w:tc>
          <w:tcPr>
            <w:tcW w:w="384" w:type="dxa"/>
          </w:tcPr>
          <w:p w14:paraId="4E8CA8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543</w:t>
            </w:r>
          </w:p>
        </w:tc>
        <w:tc>
          <w:tcPr>
            <w:tcW w:w="448" w:type="dxa"/>
          </w:tcPr>
          <w:p w14:paraId="05371D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1569</w:t>
            </w:r>
          </w:p>
        </w:tc>
      </w:tr>
      <w:tr w:rsidR="002B1C74" w:rsidRPr="002F2FDF" w14:paraId="23656EA9" w14:textId="77777777">
        <w:trPr>
          <w:jc w:val="center"/>
        </w:trPr>
        <w:tc>
          <w:tcPr>
            <w:tcW w:w="1833" w:type="dxa"/>
          </w:tcPr>
          <w:p w14:paraId="2E8701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Авиационный завод Ф. Моска. Москва</w:t>
            </w:r>
          </w:p>
        </w:tc>
        <w:tc>
          <w:tcPr>
            <w:tcW w:w="659" w:type="dxa"/>
          </w:tcPr>
          <w:p w14:paraId="0C47BB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tc>
        <w:tc>
          <w:tcPr>
            <w:tcW w:w="586" w:type="dxa"/>
          </w:tcPr>
          <w:p w14:paraId="36F13A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1 530</w:t>
            </w:r>
          </w:p>
        </w:tc>
        <w:tc>
          <w:tcPr>
            <w:tcW w:w="782" w:type="dxa"/>
          </w:tcPr>
          <w:p w14:paraId="5F4EC3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530</w:t>
            </w:r>
          </w:p>
        </w:tc>
        <w:tc>
          <w:tcPr>
            <w:tcW w:w="488" w:type="dxa"/>
          </w:tcPr>
          <w:p w14:paraId="6B9D87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w:t>
            </w:r>
          </w:p>
        </w:tc>
        <w:tc>
          <w:tcPr>
            <w:tcW w:w="409" w:type="dxa"/>
          </w:tcPr>
          <w:p w14:paraId="156E2C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c>
          <w:tcPr>
            <w:tcW w:w="372" w:type="dxa"/>
          </w:tcPr>
          <w:p w14:paraId="3EBFD3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w:t>
            </w:r>
          </w:p>
        </w:tc>
        <w:tc>
          <w:tcPr>
            <w:tcW w:w="630" w:type="dxa"/>
          </w:tcPr>
          <w:p w14:paraId="602492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w:t>
            </w:r>
          </w:p>
        </w:tc>
        <w:tc>
          <w:tcPr>
            <w:tcW w:w="377" w:type="dxa"/>
          </w:tcPr>
          <w:p w14:paraId="760413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15637B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w:t>
            </w:r>
          </w:p>
        </w:tc>
        <w:tc>
          <w:tcPr>
            <w:tcW w:w="413" w:type="dxa"/>
          </w:tcPr>
          <w:p w14:paraId="247B5F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82</w:t>
            </w:r>
          </w:p>
        </w:tc>
        <w:tc>
          <w:tcPr>
            <w:tcW w:w="430" w:type="dxa"/>
          </w:tcPr>
          <w:p w14:paraId="2C06B0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260</w:t>
            </w:r>
          </w:p>
        </w:tc>
        <w:tc>
          <w:tcPr>
            <w:tcW w:w="537" w:type="dxa"/>
          </w:tcPr>
          <w:p w14:paraId="17B3DB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193</w:t>
            </w:r>
          </w:p>
        </w:tc>
        <w:tc>
          <w:tcPr>
            <w:tcW w:w="415" w:type="dxa"/>
          </w:tcPr>
          <w:p w14:paraId="69EB0A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78FFF9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467" w:type="dxa"/>
          </w:tcPr>
          <w:p w14:paraId="0F105A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w:t>
            </w:r>
          </w:p>
        </w:tc>
        <w:tc>
          <w:tcPr>
            <w:tcW w:w="384" w:type="dxa"/>
          </w:tcPr>
          <w:p w14:paraId="017D4D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w:t>
            </w:r>
          </w:p>
        </w:tc>
        <w:tc>
          <w:tcPr>
            <w:tcW w:w="448" w:type="dxa"/>
          </w:tcPr>
          <w:p w14:paraId="3F0E51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w:t>
            </w:r>
          </w:p>
        </w:tc>
      </w:tr>
      <w:tr w:rsidR="002B1C74" w:rsidRPr="002F2FDF" w14:paraId="60694DCF" w14:textId="77777777">
        <w:trPr>
          <w:jc w:val="center"/>
        </w:trPr>
        <w:tc>
          <w:tcPr>
            <w:tcW w:w="1833" w:type="dxa"/>
          </w:tcPr>
          <w:p w14:paraId="0552FD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А. А. Анатра. Одесса</w:t>
            </w:r>
          </w:p>
        </w:tc>
        <w:tc>
          <w:tcPr>
            <w:tcW w:w="659" w:type="dxa"/>
          </w:tcPr>
          <w:p w14:paraId="5BC188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w:t>
            </w:r>
          </w:p>
        </w:tc>
        <w:tc>
          <w:tcPr>
            <w:tcW w:w="586" w:type="dxa"/>
          </w:tcPr>
          <w:p w14:paraId="2A9B8E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240 000 (с аэродромом)</w:t>
            </w:r>
          </w:p>
        </w:tc>
        <w:tc>
          <w:tcPr>
            <w:tcW w:w="782" w:type="dxa"/>
          </w:tcPr>
          <w:p w14:paraId="2CC004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2402 560</w:t>
            </w:r>
          </w:p>
        </w:tc>
        <w:tc>
          <w:tcPr>
            <w:tcW w:w="488" w:type="dxa"/>
          </w:tcPr>
          <w:p w14:paraId="5D7428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230</w:t>
            </w:r>
          </w:p>
        </w:tc>
        <w:tc>
          <w:tcPr>
            <w:tcW w:w="409" w:type="dxa"/>
          </w:tcPr>
          <w:p w14:paraId="4C4259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w:t>
            </w:r>
          </w:p>
        </w:tc>
        <w:tc>
          <w:tcPr>
            <w:tcW w:w="372" w:type="dxa"/>
          </w:tcPr>
          <w:p w14:paraId="28676A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131</w:t>
            </w:r>
          </w:p>
        </w:tc>
        <w:tc>
          <w:tcPr>
            <w:tcW w:w="630" w:type="dxa"/>
          </w:tcPr>
          <w:p w14:paraId="226716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234</w:t>
            </w:r>
          </w:p>
        </w:tc>
        <w:tc>
          <w:tcPr>
            <w:tcW w:w="377" w:type="dxa"/>
          </w:tcPr>
          <w:p w14:paraId="67D8C0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w:t>
            </w:r>
          </w:p>
        </w:tc>
        <w:tc>
          <w:tcPr>
            <w:tcW w:w="492" w:type="dxa"/>
          </w:tcPr>
          <w:p w14:paraId="0154CE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w:t>
            </w:r>
          </w:p>
        </w:tc>
        <w:tc>
          <w:tcPr>
            <w:tcW w:w="413" w:type="dxa"/>
          </w:tcPr>
          <w:p w14:paraId="2D8361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1100</w:t>
            </w:r>
          </w:p>
        </w:tc>
        <w:tc>
          <w:tcPr>
            <w:tcW w:w="430" w:type="dxa"/>
          </w:tcPr>
          <w:p w14:paraId="24391F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1450</w:t>
            </w:r>
          </w:p>
        </w:tc>
        <w:tc>
          <w:tcPr>
            <w:tcW w:w="537" w:type="dxa"/>
          </w:tcPr>
          <w:p w14:paraId="3E6F6E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1899</w:t>
            </w:r>
          </w:p>
        </w:tc>
        <w:tc>
          <w:tcPr>
            <w:tcW w:w="415" w:type="dxa"/>
          </w:tcPr>
          <w:p w14:paraId="53F169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6F77E3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656F2F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433</w:t>
            </w:r>
          </w:p>
        </w:tc>
        <w:tc>
          <w:tcPr>
            <w:tcW w:w="384" w:type="dxa"/>
          </w:tcPr>
          <w:p w14:paraId="75726B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623</w:t>
            </w:r>
          </w:p>
        </w:tc>
        <w:tc>
          <w:tcPr>
            <w:tcW w:w="448" w:type="dxa"/>
          </w:tcPr>
          <w:p w14:paraId="417FD7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1056</w:t>
            </w:r>
          </w:p>
        </w:tc>
      </w:tr>
      <w:tr w:rsidR="002B1C74" w:rsidRPr="002F2FDF" w14:paraId="6E192A1A" w14:textId="77777777">
        <w:trPr>
          <w:jc w:val="center"/>
        </w:trPr>
        <w:tc>
          <w:tcPr>
            <w:tcW w:w="1833" w:type="dxa"/>
          </w:tcPr>
          <w:p w14:paraId="42DADA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А. А. Анатра. Симферополь</w:t>
            </w:r>
          </w:p>
        </w:tc>
        <w:tc>
          <w:tcPr>
            <w:tcW w:w="659" w:type="dxa"/>
          </w:tcPr>
          <w:p w14:paraId="60F7E5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586" w:type="dxa"/>
          </w:tcPr>
          <w:p w14:paraId="212461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39600</w:t>
            </w:r>
          </w:p>
        </w:tc>
        <w:tc>
          <w:tcPr>
            <w:tcW w:w="782" w:type="dxa"/>
          </w:tcPr>
          <w:p w14:paraId="0BB6FA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2346 179</w:t>
            </w:r>
          </w:p>
        </w:tc>
        <w:tc>
          <w:tcPr>
            <w:tcW w:w="488" w:type="dxa"/>
          </w:tcPr>
          <w:p w14:paraId="05A4C9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w:t>
            </w:r>
          </w:p>
        </w:tc>
        <w:tc>
          <w:tcPr>
            <w:tcW w:w="409" w:type="dxa"/>
          </w:tcPr>
          <w:p w14:paraId="1DCB68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w:t>
            </w:r>
          </w:p>
        </w:tc>
        <w:tc>
          <w:tcPr>
            <w:tcW w:w="372" w:type="dxa"/>
          </w:tcPr>
          <w:p w14:paraId="1F6F86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w:t>
            </w:r>
          </w:p>
        </w:tc>
        <w:tc>
          <w:tcPr>
            <w:tcW w:w="630" w:type="dxa"/>
          </w:tcPr>
          <w:p w14:paraId="1474EC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100</w:t>
            </w:r>
          </w:p>
        </w:tc>
        <w:tc>
          <w:tcPr>
            <w:tcW w:w="377" w:type="dxa"/>
          </w:tcPr>
          <w:p w14:paraId="64AEE6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24CB84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2E9F2C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295</w:t>
            </w:r>
          </w:p>
        </w:tc>
        <w:tc>
          <w:tcPr>
            <w:tcW w:w="430" w:type="dxa"/>
          </w:tcPr>
          <w:p w14:paraId="2B6CC3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635</w:t>
            </w:r>
          </w:p>
        </w:tc>
        <w:tc>
          <w:tcPr>
            <w:tcW w:w="537" w:type="dxa"/>
          </w:tcPr>
          <w:p w14:paraId="0699E8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635</w:t>
            </w:r>
          </w:p>
        </w:tc>
        <w:tc>
          <w:tcPr>
            <w:tcW w:w="415" w:type="dxa"/>
          </w:tcPr>
          <w:p w14:paraId="5989CC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167537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29DAA2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5</w:t>
            </w:r>
          </w:p>
        </w:tc>
        <w:tc>
          <w:tcPr>
            <w:tcW w:w="384" w:type="dxa"/>
          </w:tcPr>
          <w:p w14:paraId="438A01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45</w:t>
            </w:r>
          </w:p>
        </w:tc>
        <w:tc>
          <w:tcPr>
            <w:tcW w:w="448" w:type="dxa"/>
          </w:tcPr>
          <w:p w14:paraId="2068C3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50</w:t>
            </w:r>
          </w:p>
        </w:tc>
      </w:tr>
      <w:tr w:rsidR="002B1C74" w:rsidRPr="002F2FDF" w14:paraId="5450D5C1" w14:textId="77777777">
        <w:trPr>
          <w:jc w:val="center"/>
        </w:trPr>
        <w:tc>
          <w:tcPr>
            <w:tcW w:w="1833" w:type="dxa"/>
          </w:tcPr>
          <w:p w14:paraId="56710C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акционерного общества Матиас. Бердянск</w:t>
            </w:r>
          </w:p>
        </w:tc>
        <w:tc>
          <w:tcPr>
            <w:tcW w:w="659" w:type="dxa"/>
          </w:tcPr>
          <w:p w14:paraId="49E90C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1884 1917 (самолеты)</w:t>
            </w:r>
          </w:p>
        </w:tc>
        <w:tc>
          <w:tcPr>
            <w:tcW w:w="586" w:type="dxa"/>
          </w:tcPr>
          <w:p w14:paraId="0C96E4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180 000 (с аэродромом;</w:t>
            </w:r>
          </w:p>
        </w:tc>
        <w:tc>
          <w:tcPr>
            <w:tcW w:w="782" w:type="dxa"/>
          </w:tcPr>
          <w:p w14:paraId="13C1D1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6279</w:t>
            </w:r>
          </w:p>
        </w:tc>
        <w:tc>
          <w:tcPr>
            <w:tcW w:w="488" w:type="dxa"/>
          </w:tcPr>
          <w:p w14:paraId="0D802F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w:t>
            </w:r>
          </w:p>
        </w:tc>
        <w:tc>
          <w:tcPr>
            <w:tcW w:w="409" w:type="dxa"/>
          </w:tcPr>
          <w:p w14:paraId="09B03B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w:t>
            </w:r>
          </w:p>
        </w:tc>
        <w:tc>
          <w:tcPr>
            <w:tcW w:w="372" w:type="dxa"/>
          </w:tcPr>
          <w:p w14:paraId="48E6D1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77</w:t>
            </w:r>
          </w:p>
        </w:tc>
        <w:tc>
          <w:tcPr>
            <w:tcW w:w="630" w:type="dxa"/>
          </w:tcPr>
          <w:p w14:paraId="5A00D4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w:t>
            </w:r>
          </w:p>
        </w:tc>
        <w:tc>
          <w:tcPr>
            <w:tcW w:w="377" w:type="dxa"/>
          </w:tcPr>
          <w:p w14:paraId="6CE41B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05F237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384AFA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30" w:type="dxa"/>
          </w:tcPr>
          <w:p w14:paraId="2F6DD4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37" w:type="dxa"/>
          </w:tcPr>
          <w:p w14:paraId="237CB3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472</w:t>
            </w:r>
          </w:p>
        </w:tc>
        <w:tc>
          <w:tcPr>
            <w:tcW w:w="415" w:type="dxa"/>
          </w:tcPr>
          <w:p w14:paraId="020B49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061F92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0453EC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22B73F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448" w:type="dxa"/>
          </w:tcPr>
          <w:p w14:paraId="6AFBAE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r>
      <w:tr w:rsidR="002B1C74" w:rsidRPr="002F2FDF" w14:paraId="560FD9A8" w14:textId="77777777">
        <w:trPr>
          <w:jc w:val="center"/>
        </w:trPr>
        <w:tc>
          <w:tcPr>
            <w:tcW w:w="1833" w:type="dxa"/>
          </w:tcPr>
          <w:p w14:paraId="3C252D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1-й Крымский завод аэропланов В. Ф. Аламенко. Крым, Карасубазар</w:t>
            </w:r>
          </w:p>
        </w:tc>
        <w:tc>
          <w:tcPr>
            <w:tcW w:w="659" w:type="dxa"/>
          </w:tcPr>
          <w:p w14:paraId="794B65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w:t>
            </w:r>
          </w:p>
        </w:tc>
        <w:tc>
          <w:tcPr>
            <w:tcW w:w="586" w:type="dxa"/>
          </w:tcPr>
          <w:p w14:paraId="5C75D9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17 800</w:t>
            </w:r>
          </w:p>
        </w:tc>
        <w:tc>
          <w:tcPr>
            <w:tcW w:w="782" w:type="dxa"/>
          </w:tcPr>
          <w:p w14:paraId="30148F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360</w:t>
            </w:r>
          </w:p>
        </w:tc>
        <w:tc>
          <w:tcPr>
            <w:tcW w:w="488" w:type="dxa"/>
          </w:tcPr>
          <w:p w14:paraId="1FE081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409" w:type="dxa"/>
          </w:tcPr>
          <w:p w14:paraId="02D518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372" w:type="dxa"/>
          </w:tcPr>
          <w:p w14:paraId="4422F3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0" w:type="dxa"/>
          </w:tcPr>
          <w:p w14:paraId="0BE69A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377" w:type="dxa"/>
          </w:tcPr>
          <w:p w14:paraId="28B5B0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5D3D23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c>
          <w:tcPr>
            <w:tcW w:w="413" w:type="dxa"/>
          </w:tcPr>
          <w:p w14:paraId="0D7A70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w:t>
            </w:r>
          </w:p>
        </w:tc>
        <w:tc>
          <w:tcPr>
            <w:tcW w:w="430" w:type="dxa"/>
          </w:tcPr>
          <w:p w14:paraId="2D4635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175</w:t>
            </w:r>
          </w:p>
        </w:tc>
        <w:tc>
          <w:tcPr>
            <w:tcW w:w="537" w:type="dxa"/>
          </w:tcPr>
          <w:p w14:paraId="79907E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104</w:t>
            </w:r>
          </w:p>
        </w:tc>
        <w:tc>
          <w:tcPr>
            <w:tcW w:w="415" w:type="dxa"/>
          </w:tcPr>
          <w:p w14:paraId="37416D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641B55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467" w:type="dxa"/>
          </w:tcPr>
          <w:p w14:paraId="07B3D2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384" w:type="dxa"/>
          </w:tcPr>
          <w:p w14:paraId="1890F9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448" w:type="dxa"/>
          </w:tcPr>
          <w:p w14:paraId="0CC0A8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r>
      <w:tr w:rsidR="002B1C74" w:rsidRPr="002F2FDF" w14:paraId="5DAB3E20" w14:textId="77777777">
        <w:trPr>
          <w:jc w:val="center"/>
        </w:trPr>
        <w:tc>
          <w:tcPr>
            <w:tcW w:w="1833" w:type="dxa"/>
          </w:tcPr>
          <w:p w14:paraId="391DDC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Общество “Гном” и “Рон” Москва</w:t>
            </w:r>
          </w:p>
        </w:tc>
        <w:tc>
          <w:tcPr>
            <w:tcW w:w="659" w:type="dxa"/>
          </w:tcPr>
          <w:p w14:paraId="49916B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w:t>
            </w:r>
          </w:p>
        </w:tc>
        <w:tc>
          <w:tcPr>
            <w:tcW w:w="586" w:type="dxa"/>
          </w:tcPr>
          <w:p w14:paraId="6ACE0F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600</w:t>
            </w:r>
          </w:p>
        </w:tc>
        <w:tc>
          <w:tcPr>
            <w:tcW w:w="782" w:type="dxa"/>
          </w:tcPr>
          <w:p w14:paraId="7E3AAF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715 90</w:t>
            </w:r>
          </w:p>
        </w:tc>
        <w:tc>
          <w:tcPr>
            <w:tcW w:w="488" w:type="dxa"/>
          </w:tcPr>
          <w:p w14:paraId="2C6E0E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146</w:t>
            </w:r>
          </w:p>
        </w:tc>
        <w:tc>
          <w:tcPr>
            <w:tcW w:w="409" w:type="dxa"/>
          </w:tcPr>
          <w:p w14:paraId="153FEF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w:t>
            </w:r>
          </w:p>
        </w:tc>
        <w:tc>
          <w:tcPr>
            <w:tcW w:w="372" w:type="dxa"/>
          </w:tcPr>
          <w:p w14:paraId="50C53B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93</w:t>
            </w:r>
          </w:p>
        </w:tc>
        <w:tc>
          <w:tcPr>
            <w:tcW w:w="630" w:type="dxa"/>
          </w:tcPr>
          <w:p w14:paraId="397EC8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w:t>
            </w:r>
          </w:p>
        </w:tc>
        <w:tc>
          <w:tcPr>
            <w:tcW w:w="377" w:type="dxa"/>
          </w:tcPr>
          <w:p w14:paraId="4FE10C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w:t>
            </w:r>
          </w:p>
        </w:tc>
        <w:tc>
          <w:tcPr>
            <w:tcW w:w="492" w:type="dxa"/>
          </w:tcPr>
          <w:p w14:paraId="07AE98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260</w:t>
            </w:r>
          </w:p>
        </w:tc>
        <w:tc>
          <w:tcPr>
            <w:tcW w:w="413" w:type="dxa"/>
          </w:tcPr>
          <w:p w14:paraId="501434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326</w:t>
            </w:r>
          </w:p>
        </w:tc>
        <w:tc>
          <w:tcPr>
            <w:tcW w:w="430" w:type="dxa"/>
          </w:tcPr>
          <w:p w14:paraId="322A58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380</w:t>
            </w:r>
          </w:p>
        </w:tc>
        <w:tc>
          <w:tcPr>
            <w:tcW w:w="537" w:type="dxa"/>
          </w:tcPr>
          <w:p w14:paraId="1D963D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312</w:t>
            </w:r>
          </w:p>
        </w:tc>
        <w:tc>
          <w:tcPr>
            <w:tcW w:w="415" w:type="dxa"/>
          </w:tcPr>
          <w:p w14:paraId="27C8E9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228</w:t>
            </w:r>
          </w:p>
        </w:tc>
        <w:tc>
          <w:tcPr>
            <w:tcW w:w="563" w:type="dxa"/>
          </w:tcPr>
          <w:p w14:paraId="61C58E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194</w:t>
            </w:r>
          </w:p>
        </w:tc>
        <w:tc>
          <w:tcPr>
            <w:tcW w:w="467" w:type="dxa"/>
          </w:tcPr>
          <w:p w14:paraId="72F63E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117</w:t>
            </w:r>
          </w:p>
        </w:tc>
        <w:tc>
          <w:tcPr>
            <w:tcW w:w="384" w:type="dxa"/>
          </w:tcPr>
          <w:p w14:paraId="6BC39A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102</w:t>
            </w:r>
          </w:p>
        </w:tc>
        <w:tc>
          <w:tcPr>
            <w:tcW w:w="448" w:type="dxa"/>
          </w:tcPr>
          <w:p w14:paraId="4A0FDD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641</w:t>
            </w:r>
          </w:p>
        </w:tc>
      </w:tr>
      <w:tr w:rsidR="002B1C74" w:rsidRPr="002F2FDF" w14:paraId="23E558C3" w14:textId="77777777">
        <w:trPr>
          <w:jc w:val="center"/>
        </w:trPr>
        <w:tc>
          <w:tcPr>
            <w:tcW w:w="1833" w:type="dxa"/>
          </w:tcPr>
          <w:p w14:paraId="0D7B44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Товарищество “Мотор” (существовало с 1898 г.). Москва</w:t>
            </w:r>
          </w:p>
        </w:tc>
        <w:tc>
          <w:tcPr>
            <w:tcW w:w="659" w:type="dxa"/>
          </w:tcPr>
          <w:p w14:paraId="4D023A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1911 1915</w:t>
            </w:r>
          </w:p>
        </w:tc>
        <w:tc>
          <w:tcPr>
            <w:tcW w:w="586" w:type="dxa"/>
          </w:tcPr>
          <w:p w14:paraId="698E19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2 401</w:t>
            </w:r>
          </w:p>
        </w:tc>
        <w:tc>
          <w:tcPr>
            <w:tcW w:w="782" w:type="dxa"/>
          </w:tcPr>
          <w:p w14:paraId="0B7C00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88" w:type="dxa"/>
          </w:tcPr>
          <w:p w14:paraId="2F3980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201</w:t>
            </w:r>
          </w:p>
        </w:tc>
        <w:tc>
          <w:tcPr>
            <w:tcW w:w="409" w:type="dxa"/>
          </w:tcPr>
          <w:p w14:paraId="4C0223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372" w:type="dxa"/>
          </w:tcPr>
          <w:p w14:paraId="09256A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94</w:t>
            </w:r>
          </w:p>
        </w:tc>
        <w:tc>
          <w:tcPr>
            <w:tcW w:w="630" w:type="dxa"/>
          </w:tcPr>
          <w:p w14:paraId="7B77C0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w:t>
            </w:r>
          </w:p>
        </w:tc>
        <w:tc>
          <w:tcPr>
            <w:tcW w:w="377" w:type="dxa"/>
          </w:tcPr>
          <w:p w14:paraId="3C1D38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480EC9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205</w:t>
            </w:r>
          </w:p>
        </w:tc>
        <w:tc>
          <w:tcPr>
            <w:tcW w:w="413" w:type="dxa"/>
          </w:tcPr>
          <w:p w14:paraId="7A494C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215</w:t>
            </w:r>
          </w:p>
        </w:tc>
        <w:tc>
          <w:tcPr>
            <w:tcW w:w="430" w:type="dxa"/>
          </w:tcPr>
          <w:p w14:paraId="69067D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w:t>
            </w:r>
          </w:p>
        </w:tc>
        <w:tc>
          <w:tcPr>
            <w:tcW w:w="537" w:type="dxa"/>
          </w:tcPr>
          <w:p w14:paraId="390DE5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290</w:t>
            </w:r>
          </w:p>
        </w:tc>
        <w:tc>
          <w:tcPr>
            <w:tcW w:w="415" w:type="dxa"/>
          </w:tcPr>
          <w:p w14:paraId="653977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68B120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6E4658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1BC9E2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448" w:type="dxa"/>
          </w:tcPr>
          <w:p w14:paraId="2B0618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r>
      <w:tr w:rsidR="002B1C74" w:rsidRPr="002F2FDF" w14:paraId="42962070" w14:textId="77777777">
        <w:trPr>
          <w:jc w:val="center"/>
        </w:trPr>
        <w:tc>
          <w:tcPr>
            <w:tcW w:w="1833" w:type="dxa"/>
          </w:tcPr>
          <w:p w14:paraId="308AE7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РБВЗ. Петроград</w:t>
            </w:r>
          </w:p>
        </w:tc>
        <w:tc>
          <w:tcPr>
            <w:tcW w:w="659" w:type="dxa"/>
          </w:tcPr>
          <w:p w14:paraId="5BEFC2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tc>
        <w:tc>
          <w:tcPr>
            <w:tcW w:w="586" w:type="dxa"/>
          </w:tcPr>
          <w:p w14:paraId="181478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678</w:t>
            </w:r>
          </w:p>
        </w:tc>
        <w:tc>
          <w:tcPr>
            <w:tcW w:w="782" w:type="dxa"/>
          </w:tcPr>
          <w:p w14:paraId="645502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600 78</w:t>
            </w:r>
          </w:p>
        </w:tc>
        <w:tc>
          <w:tcPr>
            <w:tcW w:w="488" w:type="dxa"/>
          </w:tcPr>
          <w:p w14:paraId="2C5DAD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409" w:type="dxa"/>
          </w:tcPr>
          <w:p w14:paraId="20D75B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w:t>
            </w:r>
          </w:p>
        </w:tc>
        <w:tc>
          <w:tcPr>
            <w:tcW w:w="372" w:type="dxa"/>
          </w:tcPr>
          <w:p w14:paraId="00DE2B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117</w:t>
            </w:r>
          </w:p>
        </w:tc>
        <w:tc>
          <w:tcPr>
            <w:tcW w:w="630" w:type="dxa"/>
          </w:tcPr>
          <w:p w14:paraId="663A53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w:t>
            </w:r>
          </w:p>
        </w:tc>
        <w:tc>
          <w:tcPr>
            <w:tcW w:w="377" w:type="dxa"/>
          </w:tcPr>
          <w:p w14:paraId="669CC9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27F14A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6EC44F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266</w:t>
            </w:r>
          </w:p>
        </w:tc>
        <w:tc>
          <w:tcPr>
            <w:tcW w:w="430" w:type="dxa"/>
          </w:tcPr>
          <w:p w14:paraId="7C2D4E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430</w:t>
            </w:r>
          </w:p>
        </w:tc>
        <w:tc>
          <w:tcPr>
            <w:tcW w:w="537" w:type="dxa"/>
          </w:tcPr>
          <w:p w14:paraId="712B98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374</w:t>
            </w:r>
          </w:p>
        </w:tc>
        <w:tc>
          <w:tcPr>
            <w:tcW w:w="415" w:type="dxa"/>
          </w:tcPr>
          <w:p w14:paraId="3087E9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563" w:type="dxa"/>
          </w:tcPr>
          <w:p w14:paraId="69097E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2C367C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w:t>
            </w:r>
          </w:p>
        </w:tc>
        <w:tc>
          <w:tcPr>
            <w:tcW w:w="384" w:type="dxa"/>
          </w:tcPr>
          <w:p w14:paraId="41443C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43+11</w:t>
            </w:r>
          </w:p>
        </w:tc>
        <w:tc>
          <w:tcPr>
            <w:tcW w:w="448" w:type="dxa"/>
          </w:tcPr>
          <w:p w14:paraId="71E03D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w:t>
            </w:r>
          </w:p>
        </w:tc>
      </w:tr>
      <w:tr w:rsidR="002B1C74" w:rsidRPr="002F2FDF" w14:paraId="369765F8" w14:textId="77777777">
        <w:trPr>
          <w:jc w:val="center"/>
        </w:trPr>
        <w:tc>
          <w:tcPr>
            <w:tcW w:w="1833" w:type="dxa"/>
          </w:tcPr>
          <w:p w14:paraId="14672F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“Дюфлон и Константинович” (Дека). Александровск Екатеринославской губернии</w:t>
            </w:r>
          </w:p>
        </w:tc>
        <w:tc>
          <w:tcPr>
            <w:tcW w:w="659" w:type="dxa"/>
          </w:tcPr>
          <w:p w14:paraId="5595E7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586" w:type="dxa"/>
          </w:tcPr>
          <w:p w14:paraId="72E163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18 260</w:t>
            </w:r>
          </w:p>
        </w:tc>
        <w:tc>
          <w:tcPr>
            <w:tcW w:w="782" w:type="dxa"/>
          </w:tcPr>
          <w:p w14:paraId="4BB86C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185Б</w:t>
            </w:r>
          </w:p>
        </w:tc>
        <w:tc>
          <w:tcPr>
            <w:tcW w:w="488" w:type="dxa"/>
          </w:tcPr>
          <w:p w14:paraId="7D3040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w:t>
            </w:r>
          </w:p>
        </w:tc>
        <w:tc>
          <w:tcPr>
            <w:tcW w:w="409" w:type="dxa"/>
          </w:tcPr>
          <w:p w14:paraId="3F210D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372" w:type="dxa"/>
          </w:tcPr>
          <w:p w14:paraId="720F64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118</w:t>
            </w:r>
          </w:p>
        </w:tc>
        <w:tc>
          <w:tcPr>
            <w:tcW w:w="630" w:type="dxa"/>
          </w:tcPr>
          <w:p w14:paraId="538119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w:t>
            </w:r>
          </w:p>
        </w:tc>
        <w:tc>
          <w:tcPr>
            <w:tcW w:w="377" w:type="dxa"/>
          </w:tcPr>
          <w:p w14:paraId="1AAF05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476CFD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3B516C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w:t>
            </w:r>
          </w:p>
        </w:tc>
        <w:tc>
          <w:tcPr>
            <w:tcW w:w="430" w:type="dxa"/>
          </w:tcPr>
          <w:p w14:paraId="3DBB57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420</w:t>
            </w:r>
          </w:p>
        </w:tc>
        <w:tc>
          <w:tcPr>
            <w:tcW w:w="537" w:type="dxa"/>
          </w:tcPr>
          <w:p w14:paraId="571288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416</w:t>
            </w:r>
          </w:p>
        </w:tc>
        <w:tc>
          <w:tcPr>
            <w:tcW w:w="415" w:type="dxa"/>
          </w:tcPr>
          <w:p w14:paraId="7D051C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481097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3FA21E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497F54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Pr>
          <w:p w14:paraId="34D3A6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39B34D6D" w14:textId="77777777">
        <w:trPr>
          <w:jc w:val="center"/>
        </w:trPr>
        <w:tc>
          <w:tcPr>
            <w:tcW w:w="1833" w:type="dxa"/>
          </w:tcPr>
          <w:p w14:paraId="692FBB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Акционерное общество экипажноавтомобильной фабрики “П. Ильин”. Москва</w:t>
            </w:r>
          </w:p>
        </w:tc>
        <w:tc>
          <w:tcPr>
            <w:tcW w:w="659" w:type="dxa"/>
          </w:tcPr>
          <w:p w14:paraId="674B3A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1908 1916 (двигатели)</w:t>
            </w:r>
          </w:p>
        </w:tc>
        <w:tc>
          <w:tcPr>
            <w:tcW w:w="586" w:type="dxa"/>
          </w:tcPr>
          <w:p w14:paraId="4C09F1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1 300</w:t>
            </w:r>
          </w:p>
        </w:tc>
        <w:tc>
          <w:tcPr>
            <w:tcW w:w="782" w:type="dxa"/>
          </w:tcPr>
          <w:p w14:paraId="3478EF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780 70</w:t>
            </w:r>
          </w:p>
        </w:tc>
        <w:tc>
          <w:tcPr>
            <w:tcW w:w="488" w:type="dxa"/>
          </w:tcPr>
          <w:p w14:paraId="1E8243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w:t>
            </w:r>
          </w:p>
        </w:tc>
        <w:tc>
          <w:tcPr>
            <w:tcW w:w="409" w:type="dxa"/>
          </w:tcPr>
          <w:p w14:paraId="06648B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w:t>
            </w:r>
          </w:p>
        </w:tc>
        <w:tc>
          <w:tcPr>
            <w:tcW w:w="372" w:type="dxa"/>
          </w:tcPr>
          <w:p w14:paraId="5A4772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86</w:t>
            </w:r>
          </w:p>
        </w:tc>
        <w:tc>
          <w:tcPr>
            <w:tcW w:w="630" w:type="dxa"/>
          </w:tcPr>
          <w:p w14:paraId="01F144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96</w:t>
            </w:r>
          </w:p>
        </w:tc>
        <w:tc>
          <w:tcPr>
            <w:tcW w:w="377" w:type="dxa"/>
          </w:tcPr>
          <w:p w14:paraId="1FE897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3911AA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178</w:t>
            </w:r>
          </w:p>
        </w:tc>
        <w:tc>
          <w:tcPr>
            <w:tcW w:w="413" w:type="dxa"/>
          </w:tcPr>
          <w:p w14:paraId="75B623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170</w:t>
            </w:r>
          </w:p>
        </w:tc>
        <w:tc>
          <w:tcPr>
            <w:tcW w:w="430" w:type="dxa"/>
          </w:tcPr>
          <w:p w14:paraId="677A9B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275</w:t>
            </w:r>
          </w:p>
        </w:tc>
        <w:tc>
          <w:tcPr>
            <w:tcW w:w="537" w:type="dxa"/>
          </w:tcPr>
          <w:p w14:paraId="6599B0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305</w:t>
            </w:r>
          </w:p>
        </w:tc>
        <w:tc>
          <w:tcPr>
            <w:tcW w:w="415" w:type="dxa"/>
          </w:tcPr>
          <w:p w14:paraId="541EE7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4097AE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467" w:type="dxa"/>
          </w:tcPr>
          <w:p w14:paraId="16084F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w:t>
            </w:r>
          </w:p>
        </w:tc>
        <w:tc>
          <w:tcPr>
            <w:tcW w:w="384" w:type="dxa"/>
          </w:tcPr>
          <w:p w14:paraId="57E33E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448" w:type="dxa"/>
          </w:tcPr>
          <w:p w14:paraId="43E4C0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7E68DBB6" w14:textId="77777777">
        <w:trPr>
          <w:jc w:val="center"/>
        </w:trPr>
        <w:tc>
          <w:tcPr>
            <w:tcW w:w="1833" w:type="dxa"/>
          </w:tcPr>
          <w:p w14:paraId="2EAE32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“Сальмсон”. Москва</w:t>
            </w:r>
          </w:p>
        </w:tc>
        <w:tc>
          <w:tcPr>
            <w:tcW w:w="659" w:type="dxa"/>
          </w:tcPr>
          <w:p w14:paraId="6BD630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tc>
        <w:tc>
          <w:tcPr>
            <w:tcW w:w="586" w:type="dxa"/>
          </w:tcPr>
          <w:p w14:paraId="131ED4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82" w:type="dxa"/>
          </w:tcPr>
          <w:p w14:paraId="20B9D1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88" w:type="dxa"/>
          </w:tcPr>
          <w:p w14:paraId="1399F4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09" w:type="dxa"/>
          </w:tcPr>
          <w:p w14:paraId="1456ED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2" w:type="dxa"/>
          </w:tcPr>
          <w:p w14:paraId="65D150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0" w:type="dxa"/>
          </w:tcPr>
          <w:p w14:paraId="29F83F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7" w:type="dxa"/>
          </w:tcPr>
          <w:p w14:paraId="339DE1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4AE367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110820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30" w:type="dxa"/>
          </w:tcPr>
          <w:p w14:paraId="7FD79D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37" w:type="dxa"/>
          </w:tcPr>
          <w:p w14:paraId="0DBD0E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5" w:type="dxa"/>
          </w:tcPr>
          <w:p w14:paraId="28ED4E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32D9F2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6E36BF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4556D1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Pr>
          <w:p w14:paraId="2E9DFF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17 марта 1917 г. 228</w:t>
            </w:r>
          </w:p>
        </w:tc>
      </w:tr>
      <w:tr w:rsidR="002B1C74" w:rsidRPr="002F2FDF" w14:paraId="68998685" w14:textId="77777777">
        <w:trPr>
          <w:jc w:val="center"/>
        </w:trPr>
        <w:tc>
          <w:tcPr>
            <w:tcW w:w="1833" w:type="dxa"/>
            <w:tcBorders>
              <w:bottom w:val="single" w:sz="12" w:space="0" w:color="000000"/>
            </w:tcBorders>
          </w:tcPr>
          <w:p w14:paraId="17C1BE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Фабрика воздушных винтов А. Засса и Е. Ланского. Петроград</w:t>
            </w:r>
          </w:p>
        </w:tc>
        <w:tc>
          <w:tcPr>
            <w:tcW w:w="659" w:type="dxa"/>
            <w:tcBorders>
              <w:bottom w:val="single" w:sz="12" w:space="0" w:color="000000"/>
            </w:tcBorders>
          </w:tcPr>
          <w:p w14:paraId="7EA664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(винты)</w:t>
            </w:r>
          </w:p>
        </w:tc>
        <w:tc>
          <w:tcPr>
            <w:tcW w:w="586" w:type="dxa"/>
            <w:tcBorders>
              <w:bottom w:val="single" w:sz="12" w:space="0" w:color="000000"/>
            </w:tcBorders>
          </w:tcPr>
          <w:p w14:paraId="506F3A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1 800</w:t>
            </w:r>
          </w:p>
        </w:tc>
        <w:tc>
          <w:tcPr>
            <w:tcW w:w="782" w:type="dxa"/>
            <w:tcBorders>
              <w:bottom w:val="single" w:sz="12" w:space="0" w:color="000000"/>
            </w:tcBorders>
          </w:tcPr>
          <w:p w14:paraId="5611C1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88" w:type="dxa"/>
            <w:tcBorders>
              <w:bottom w:val="single" w:sz="12" w:space="0" w:color="000000"/>
            </w:tcBorders>
          </w:tcPr>
          <w:p w14:paraId="022EF8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91</w:t>
            </w:r>
          </w:p>
        </w:tc>
        <w:tc>
          <w:tcPr>
            <w:tcW w:w="409" w:type="dxa"/>
            <w:tcBorders>
              <w:bottom w:val="single" w:sz="12" w:space="0" w:color="000000"/>
            </w:tcBorders>
          </w:tcPr>
          <w:p w14:paraId="5EFE7C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372" w:type="dxa"/>
            <w:tcBorders>
              <w:bottom w:val="single" w:sz="12" w:space="0" w:color="000000"/>
            </w:tcBorders>
          </w:tcPr>
          <w:p w14:paraId="63F310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630" w:type="dxa"/>
            <w:tcBorders>
              <w:bottom w:val="single" w:sz="12" w:space="0" w:color="000000"/>
            </w:tcBorders>
          </w:tcPr>
          <w:p w14:paraId="7EC46C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377" w:type="dxa"/>
            <w:tcBorders>
              <w:bottom w:val="single" w:sz="12" w:space="0" w:color="000000"/>
            </w:tcBorders>
          </w:tcPr>
          <w:p w14:paraId="5074FC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c>
          <w:tcPr>
            <w:tcW w:w="492" w:type="dxa"/>
            <w:tcBorders>
              <w:bottom w:val="single" w:sz="12" w:space="0" w:color="000000"/>
            </w:tcBorders>
          </w:tcPr>
          <w:p w14:paraId="331674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c>
          <w:tcPr>
            <w:tcW w:w="413" w:type="dxa"/>
            <w:tcBorders>
              <w:bottom w:val="single" w:sz="12" w:space="0" w:color="000000"/>
            </w:tcBorders>
          </w:tcPr>
          <w:p w14:paraId="7F85B2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97</w:t>
            </w:r>
          </w:p>
        </w:tc>
        <w:tc>
          <w:tcPr>
            <w:tcW w:w="430" w:type="dxa"/>
            <w:tcBorders>
              <w:bottom w:val="single" w:sz="12" w:space="0" w:color="000000"/>
            </w:tcBorders>
          </w:tcPr>
          <w:p w14:paraId="4710AF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w:t>
            </w:r>
          </w:p>
        </w:tc>
        <w:tc>
          <w:tcPr>
            <w:tcW w:w="537" w:type="dxa"/>
            <w:tcBorders>
              <w:bottom w:val="single" w:sz="12" w:space="0" w:color="000000"/>
            </w:tcBorders>
          </w:tcPr>
          <w:p w14:paraId="66177B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5" w:type="dxa"/>
            <w:tcBorders>
              <w:bottom w:val="single" w:sz="12" w:space="0" w:color="000000"/>
            </w:tcBorders>
          </w:tcPr>
          <w:p w14:paraId="2DDD73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Borders>
              <w:bottom w:val="single" w:sz="12" w:space="0" w:color="000000"/>
            </w:tcBorders>
          </w:tcPr>
          <w:p w14:paraId="239822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Borders>
              <w:bottom w:val="single" w:sz="12" w:space="0" w:color="000000"/>
            </w:tcBorders>
          </w:tcPr>
          <w:p w14:paraId="1E64AF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Borders>
              <w:bottom w:val="single" w:sz="12" w:space="0" w:color="000000"/>
            </w:tcBorders>
          </w:tcPr>
          <w:p w14:paraId="17A906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Borders>
              <w:bottom w:val="single" w:sz="12" w:space="0" w:color="000000"/>
            </w:tcBorders>
          </w:tcPr>
          <w:p w14:paraId="4A6D92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1132</w:t>
            </w:r>
          </w:p>
        </w:tc>
      </w:tr>
    </w:tbl>
    <w:p w14:paraId="64CA96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По данным комиссии авиасовета по обследованию авиазаводов в начале 1918 г. с поправками, сделанными по первичным источникам (92).</w:t>
      </w:r>
    </w:p>
    <w:p w14:paraId="4B0056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 Численность рабочих на русских авиапредприятиях </w:t>
      </w:r>
    </w:p>
    <w:tbl>
      <w:tblPr>
        <w:tblW w:w="0" w:type="auto"/>
        <w:tblInd w:w="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3029"/>
        <w:gridCol w:w="1042"/>
        <w:gridCol w:w="1042"/>
        <w:gridCol w:w="1166"/>
        <w:gridCol w:w="1291"/>
        <w:gridCol w:w="1787"/>
      </w:tblGrid>
      <w:tr w:rsidR="002B1C74" w:rsidRPr="002F2FDF" w14:paraId="4619821E" w14:textId="77777777">
        <w:tc>
          <w:tcPr>
            <w:tcW w:w="3029" w:type="dxa"/>
            <w:tcBorders>
              <w:top w:val="single" w:sz="12" w:space="0" w:color="000000"/>
            </w:tcBorders>
          </w:tcPr>
          <w:p w14:paraId="66F7F4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Заводы</w:t>
            </w:r>
          </w:p>
        </w:tc>
        <w:tc>
          <w:tcPr>
            <w:tcW w:w="1042" w:type="dxa"/>
            <w:tcBorders>
              <w:top w:val="single" w:sz="12" w:space="0" w:color="000000"/>
            </w:tcBorders>
          </w:tcPr>
          <w:p w14:paraId="517C72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 г.</w:t>
            </w:r>
          </w:p>
        </w:tc>
        <w:tc>
          <w:tcPr>
            <w:tcW w:w="1042" w:type="dxa"/>
            <w:tcBorders>
              <w:top w:val="single" w:sz="12" w:space="0" w:color="000000"/>
            </w:tcBorders>
          </w:tcPr>
          <w:p w14:paraId="2E3524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w:t>
            </w:r>
          </w:p>
        </w:tc>
        <w:tc>
          <w:tcPr>
            <w:tcW w:w="1166" w:type="dxa"/>
            <w:tcBorders>
              <w:top w:val="single" w:sz="12" w:space="0" w:color="000000"/>
            </w:tcBorders>
          </w:tcPr>
          <w:p w14:paraId="47B7E2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1291" w:type="dxa"/>
            <w:tcBorders>
              <w:top w:val="single" w:sz="12" w:space="0" w:color="000000"/>
            </w:tcBorders>
          </w:tcPr>
          <w:p w14:paraId="747A15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1787" w:type="dxa"/>
            <w:tcBorders>
              <w:top w:val="single" w:sz="12" w:space="0" w:color="000000"/>
            </w:tcBorders>
          </w:tcPr>
          <w:p w14:paraId="0A85B2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Начало 1918 г.</w:t>
            </w:r>
          </w:p>
        </w:tc>
      </w:tr>
      <w:tr w:rsidR="002B1C74" w:rsidRPr="002F2FDF" w14:paraId="10AC85F0" w14:textId="77777777">
        <w:tc>
          <w:tcPr>
            <w:tcW w:w="3029" w:type="dxa"/>
          </w:tcPr>
          <w:p w14:paraId="5BA17F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Самолетостроительные</w:t>
            </w:r>
          </w:p>
        </w:tc>
        <w:tc>
          <w:tcPr>
            <w:tcW w:w="1042" w:type="dxa"/>
          </w:tcPr>
          <w:p w14:paraId="5DB5AE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5/1871/8</w:t>
            </w:r>
          </w:p>
        </w:tc>
        <w:tc>
          <w:tcPr>
            <w:tcW w:w="1042" w:type="dxa"/>
          </w:tcPr>
          <w:p w14:paraId="1DFF79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8/2180/9</w:t>
            </w:r>
          </w:p>
        </w:tc>
        <w:tc>
          <w:tcPr>
            <w:tcW w:w="1166" w:type="dxa"/>
          </w:tcPr>
          <w:p w14:paraId="6CED1E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9/5029/10</w:t>
            </w:r>
          </w:p>
        </w:tc>
        <w:tc>
          <w:tcPr>
            <w:tcW w:w="1291" w:type="dxa"/>
          </w:tcPr>
          <w:p w14:paraId="5FB3FC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11/7385/11</w:t>
            </w:r>
          </w:p>
        </w:tc>
        <w:tc>
          <w:tcPr>
            <w:tcW w:w="1787" w:type="dxa"/>
          </w:tcPr>
          <w:p w14:paraId="16E600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11/5893/11</w:t>
            </w:r>
          </w:p>
        </w:tc>
      </w:tr>
      <w:tr w:rsidR="002B1C74" w:rsidRPr="002F2FDF" w14:paraId="74834119" w14:textId="77777777">
        <w:tc>
          <w:tcPr>
            <w:tcW w:w="3029" w:type="dxa"/>
          </w:tcPr>
          <w:p w14:paraId="459AFE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Двигателестроительные</w:t>
            </w:r>
          </w:p>
        </w:tc>
        <w:tc>
          <w:tcPr>
            <w:tcW w:w="1042" w:type="dxa"/>
          </w:tcPr>
          <w:p w14:paraId="661736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2/253/2</w:t>
            </w:r>
          </w:p>
        </w:tc>
        <w:tc>
          <w:tcPr>
            <w:tcW w:w="1042" w:type="dxa"/>
          </w:tcPr>
          <w:p w14:paraId="2380B7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3/363/5</w:t>
            </w:r>
          </w:p>
        </w:tc>
        <w:tc>
          <w:tcPr>
            <w:tcW w:w="1166" w:type="dxa"/>
          </w:tcPr>
          <w:p w14:paraId="1C119C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5/1168/6</w:t>
            </w:r>
          </w:p>
        </w:tc>
        <w:tc>
          <w:tcPr>
            <w:tcW w:w="1291" w:type="dxa"/>
          </w:tcPr>
          <w:p w14:paraId="6AB9C5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5/1872/6</w:t>
            </w:r>
          </w:p>
        </w:tc>
        <w:tc>
          <w:tcPr>
            <w:tcW w:w="1787" w:type="dxa"/>
          </w:tcPr>
          <w:p w14:paraId="73C8AC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5/1699/6</w:t>
            </w:r>
          </w:p>
        </w:tc>
      </w:tr>
      <w:tr w:rsidR="002B1C74" w:rsidRPr="002F2FDF" w14:paraId="1E3A63AA" w14:textId="77777777">
        <w:tc>
          <w:tcPr>
            <w:tcW w:w="3029" w:type="dxa"/>
          </w:tcPr>
          <w:p w14:paraId="6A653F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Пропеллерные</w:t>
            </w:r>
          </w:p>
        </w:tc>
        <w:tc>
          <w:tcPr>
            <w:tcW w:w="1042" w:type="dxa"/>
          </w:tcPr>
          <w:p w14:paraId="494DDF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42" w:type="dxa"/>
          </w:tcPr>
          <w:p w14:paraId="4B8098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1166" w:type="dxa"/>
          </w:tcPr>
          <w:p w14:paraId="1F6B6D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2/400/2</w:t>
            </w:r>
          </w:p>
        </w:tc>
        <w:tc>
          <w:tcPr>
            <w:tcW w:w="1291" w:type="dxa"/>
          </w:tcPr>
          <w:p w14:paraId="7762A5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2/385/2</w:t>
            </w:r>
          </w:p>
        </w:tc>
        <w:tc>
          <w:tcPr>
            <w:tcW w:w="1787" w:type="dxa"/>
          </w:tcPr>
          <w:p w14:paraId="1E6B87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2/369/2</w:t>
            </w:r>
          </w:p>
        </w:tc>
      </w:tr>
      <w:tr w:rsidR="002B1C74" w:rsidRPr="002F2FDF" w14:paraId="2CCFBA1C" w14:textId="77777777">
        <w:tc>
          <w:tcPr>
            <w:tcW w:w="3029" w:type="dxa"/>
          </w:tcPr>
          <w:p w14:paraId="410E37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1042" w:type="dxa"/>
          </w:tcPr>
          <w:p w14:paraId="597961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7/2129</w:t>
            </w:r>
          </w:p>
        </w:tc>
        <w:tc>
          <w:tcPr>
            <w:tcW w:w="1042" w:type="dxa"/>
          </w:tcPr>
          <w:p w14:paraId="20B06D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11/2823</w:t>
            </w:r>
          </w:p>
        </w:tc>
        <w:tc>
          <w:tcPr>
            <w:tcW w:w="1166" w:type="dxa"/>
          </w:tcPr>
          <w:p w14:paraId="2B6BF5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16/6597</w:t>
            </w:r>
          </w:p>
        </w:tc>
        <w:tc>
          <w:tcPr>
            <w:tcW w:w="1291" w:type="dxa"/>
          </w:tcPr>
          <w:p w14:paraId="67ADEC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16/9572</w:t>
            </w:r>
          </w:p>
        </w:tc>
        <w:tc>
          <w:tcPr>
            <w:tcW w:w="1787" w:type="dxa"/>
          </w:tcPr>
          <w:p w14:paraId="164D41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16/7961</w:t>
            </w:r>
          </w:p>
        </w:tc>
      </w:tr>
      <w:tr w:rsidR="002B1C74" w:rsidRPr="002F2FDF" w14:paraId="3A98E54E" w14:textId="77777777">
        <w:tc>
          <w:tcPr>
            <w:tcW w:w="3029" w:type="dxa"/>
            <w:tcBorders>
              <w:bottom w:val="single" w:sz="12" w:space="0" w:color="000000"/>
            </w:tcBorders>
          </w:tcPr>
          <w:p w14:paraId="38239D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рабочих и служащих</w:t>
            </w:r>
          </w:p>
        </w:tc>
        <w:tc>
          <w:tcPr>
            <w:tcW w:w="1042" w:type="dxa"/>
            <w:tcBorders>
              <w:bottom w:val="single" w:sz="12" w:space="0" w:color="000000"/>
            </w:tcBorders>
          </w:tcPr>
          <w:p w14:paraId="495AAB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42" w:type="dxa"/>
            <w:tcBorders>
              <w:bottom w:val="single" w:sz="12" w:space="0" w:color="000000"/>
            </w:tcBorders>
          </w:tcPr>
          <w:p w14:paraId="367D85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66" w:type="dxa"/>
            <w:tcBorders>
              <w:bottom w:val="single" w:sz="12" w:space="0" w:color="000000"/>
            </w:tcBorders>
          </w:tcPr>
          <w:p w14:paraId="086828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11 037</w:t>
            </w:r>
          </w:p>
        </w:tc>
        <w:tc>
          <w:tcPr>
            <w:tcW w:w="1291" w:type="dxa"/>
            <w:tcBorders>
              <w:bottom w:val="single" w:sz="12" w:space="0" w:color="000000"/>
            </w:tcBorders>
          </w:tcPr>
          <w:p w14:paraId="1ED4C9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9360</w:t>
            </w:r>
          </w:p>
        </w:tc>
        <w:tc>
          <w:tcPr>
            <w:tcW w:w="1787" w:type="dxa"/>
            <w:tcBorders>
              <w:bottom w:val="single" w:sz="12" w:space="0" w:color="000000"/>
            </w:tcBorders>
          </w:tcPr>
          <w:p w14:paraId="64375A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16A1A9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Левая цифра означает число заводов, по которым дается число рабочих, средняя цифра — число рабочих на этих заводах, правая цифра — количество всех имевшихся заводов, выпускавших однотипную продукцию (92).</w:t>
      </w:r>
    </w:p>
    <w:p w14:paraId="52E77D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14. Количество самолетов, построенных в России в 1909-1917 гг. </w:t>
      </w:r>
    </w:p>
    <w:tbl>
      <w:tblPr>
        <w:tblW w:w="0" w:type="auto"/>
        <w:tblInd w:w="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3967"/>
        <w:gridCol w:w="516"/>
        <w:gridCol w:w="516"/>
        <w:gridCol w:w="631"/>
        <w:gridCol w:w="516"/>
        <w:gridCol w:w="516"/>
        <w:gridCol w:w="516"/>
        <w:gridCol w:w="516"/>
        <w:gridCol w:w="516"/>
        <w:gridCol w:w="516"/>
        <w:gridCol w:w="631"/>
      </w:tblGrid>
      <w:tr w:rsidR="002B1C74" w:rsidRPr="002F2FDF" w14:paraId="6088157F" w14:textId="77777777">
        <w:tc>
          <w:tcPr>
            <w:tcW w:w="3967" w:type="dxa"/>
            <w:tcBorders>
              <w:top w:val="single" w:sz="12" w:space="0" w:color="000000"/>
            </w:tcBorders>
          </w:tcPr>
          <w:p w14:paraId="15D6E0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или строительная организация</w:t>
            </w:r>
          </w:p>
        </w:tc>
        <w:tc>
          <w:tcPr>
            <w:tcW w:w="516" w:type="dxa"/>
            <w:tcBorders>
              <w:top w:val="single" w:sz="12" w:space="0" w:color="000000"/>
            </w:tcBorders>
          </w:tcPr>
          <w:p w14:paraId="6F692B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1909</w:t>
            </w:r>
          </w:p>
        </w:tc>
        <w:tc>
          <w:tcPr>
            <w:tcW w:w="516" w:type="dxa"/>
            <w:tcBorders>
              <w:top w:val="single" w:sz="12" w:space="0" w:color="000000"/>
            </w:tcBorders>
          </w:tcPr>
          <w:p w14:paraId="30A428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1910</w:t>
            </w:r>
          </w:p>
        </w:tc>
        <w:tc>
          <w:tcPr>
            <w:tcW w:w="631" w:type="dxa"/>
            <w:tcBorders>
              <w:top w:val="single" w:sz="12" w:space="0" w:color="000000"/>
            </w:tcBorders>
          </w:tcPr>
          <w:p w14:paraId="24A8D3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191 1</w:t>
            </w:r>
          </w:p>
        </w:tc>
        <w:tc>
          <w:tcPr>
            <w:tcW w:w="516" w:type="dxa"/>
            <w:tcBorders>
              <w:top w:val="single" w:sz="12" w:space="0" w:color="000000"/>
            </w:tcBorders>
          </w:tcPr>
          <w:p w14:paraId="7BB47A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1912</w:t>
            </w:r>
          </w:p>
        </w:tc>
        <w:tc>
          <w:tcPr>
            <w:tcW w:w="516" w:type="dxa"/>
            <w:tcBorders>
              <w:top w:val="single" w:sz="12" w:space="0" w:color="000000"/>
            </w:tcBorders>
          </w:tcPr>
          <w:p w14:paraId="55D4FA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w:t>
            </w:r>
          </w:p>
        </w:tc>
        <w:tc>
          <w:tcPr>
            <w:tcW w:w="516" w:type="dxa"/>
            <w:tcBorders>
              <w:top w:val="single" w:sz="12" w:space="0" w:color="000000"/>
            </w:tcBorders>
          </w:tcPr>
          <w:p w14:paraId="6699EA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tc>
        <w:tc>
          <w:tcPr>
            <w:tcW w:w="516" w:type="dxa"/>
            <w:tcBorders>
              <w:top w:val="single" w:sz="12" w:space="0" w:color="000000"/>
            </w:tcBorders>
          </w:tcPr>
          <w:p w14:paraId="39B76B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tc>
        <w:tc>
          <w:tcPr>
            <w:tcW w:w="516" w:type="dxa"/>
            <w:tcBorders>
              <w:top w:val="single" w:sz="12" w:space="0" w:color="000000"/>
            </w:tcBorders>
          </w:tcPr>
          <w:p w14:paraId="4CB318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516" w:type="dxa"/>
            <w:tcBorders>
              <w:top w:val="single" w:sz="12" w:space="0" w:color="000000"/>
            </w:tcBorders>
          </w:tcPr>
          <w:p w14:paraId="0DC80D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w:t>
            </w:r>
          </w:p>
        </w:tc>
        <w:tc>
          <w:tcPr>
            <w:tcW w:w="631" w:type="dxa"/>
            <w:tcBorders>
              <w:top w:val="single" w:sz="12" w:space="0" w:color="000000"/>
            </w:tcBorders>
          </w:tcPr>
          <w:p w14:paraId="4EB067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r>
      <w:tr w:rsidR="002B1C74" w:rsidRPr="002F2FDF" w14:paraId="7414496F" w14:textId="77777777">
        <w:tc>
          <w:tcPr>
            <w:tcW w:w="3967" w:type="dxa"/>
          </w:tcPr>
          <w:p w14:paraId="5FAD9B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РБВЗ</w:t>
            </w:r>
          </w:p>
        </w:tc>
        <w:tc>
          <w:tcPr>
            <w:tcW w:w="516" w:type="dxa"/>
          </w:tcPr>
          <w:p w14:paraId="223558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380A1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631" w:type="dxa"/>
          </w:tcPr>
          <w:p w14:paraId="28B8DC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516" w:type="dxa"/>
          </w:tcPr>
          <w:p w14:paraId="5702C3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516" w:type="dxa"/>
          </w:tcPr>
          <w:p w14:paraId="201F87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w:t>
            </w:r>
          </w:p>
        </w:tc>
        <w:tc>
          <w:tcPr>
            <w:tcW w:w="516" w:type="dxa"/>
          </w:tcPr>
          <w:p w14:paraId="74A825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w:t>
            </w:r>
          </w:p>
        </w:tc>
        <w:tc>
          <w:tcPr>
            <w:tcW w:w="516" w:type="dxa"/>
          </w:tcPr>
          <w:p w14:paraId="71ACA0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516" w:type="dxa"/>
          </w:tcPr>
          <w:p w14:paraId="069D81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w:t>
            </w:r>
          </w:p>
        </w:tc>
        <w:tc>
          <w:tcPr>
            <w:tcW w:w="516" w:type="dxa"/>
          </w:tcPr>
          <w:p w14:paraId="6377B4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631" w:type="dxa"/>
          </w:tcPr>
          <w:p w14:paraId="025E3B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w:t>
            </w:r>
          </w:p>
        </w:tc>
      </w:tr>
      <w:tr w:rsidR="002B1C74" w:rsidRPr="002F2FDF" w14:paraId="78378595" w14:textId="77777777">
        <w:tc>
          <w:tcPr>
            <w:tcW w:w="3967" w:type="dxa"/>
          </w:tcPr>
          <w:p w14:paraId="49522E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Щетинина</w:t>
            </w:r>
          </w:p>
        </w:tc>
        <w:tc>
          <w:tcPr>
            <w:tcW w:w="516" w:type="dxa"/>
          </w:tcPr>
          <w:p w14:paraId="70C323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92D69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631" w:type="dxa"/>
          </w:tcPr>
          <w:p w14:paraId="2E2DC1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516" w:type="dxa"/>
          </w:tcPr>
          <w:p w14:paraId="2C6F02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w:t>
            </w:r>
          </w:p>
        </w:tc>
        <w:tc>
          <w:tcPr>
            <w:tcW w:w="516" w:type="dxa"/>
          </w:tcPr>
          <w:p w14:paraId="39D0E5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w:t>
            </w:r>
          </w:p>
        </w:tc>
        <w:tc>
          <w:tcPr>
            <w:tcW w:w="516" w:type="dxa"/>
          </w:tcPr>
          <w:p w14:paraId="1DF181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w:t>
            </w:r>
          </w:p>
        </w:tc>
        <w:tc>
          <w:tcPr>
            <w:tcW w:w="516" w:type="dxa"/>
          </w:tcPr>
          <w:p w14:paraId="550C10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250</w:t>
            </w:r>
          </w:p>
        </w:tc>
        <w:tc>
          <w:tcPr>
            <w:tcW w:w="516" w:type="dxa"/>
          </w:tcPr>
          <w:p w14:paraId="4AF2FE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460</w:t>
            </w:r>
          </w:p>
        </w:tc>
        <w:tc>
          <w:tcPr>
            <w:tcW w:w="516" w:type="dxa"/>
          </w:tcPr>
          <w:p w14:paraId="6718D9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400</w:t>
            </w:r>
          </w:p>
        </w:tc>
        <w:tc>
          <w:tcPr>
            <w:tcW w:w="631" w:type="dxa"/>
          </w:tcPr>
          <w:p w14:paraId="3F6DF4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1360</w:t>
            </w:r>
          </w:p>
        </w:tc>
      </w:tr>
      <w:tr w:rsidR="002B1C74" w:rsidRPr="002F2FDF" w14:paraId="1D958722" w14:textId="77777777">
        <w:tc>
          <w:tcPr>
            <w:tcW w:w="3967" w:type="dxa"/>
          </w:tcPr>
          <w:p w14:paraId="050CAB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Лебедева</w:t>
            </w:r>
          </w:p>
        </w:tc>
        <w:tc>
          <w:tcPr>
            <w:tcW w:w="516" w:type="dxa"/>
          </w:tcPr>
          <w:p w14:paraId="521E14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671732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7FF0B2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00AF0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4EAAD0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A1410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w:t>
            </w:r>
          </w:p>
        </w:tc>
        <w:tc>
          <w:tcPr>
            <w:tcW w:w="516" w:type="dxa"/>
          </w:tcPr>
          <w:p w14:paraId="3EBD89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w:t>
            </w:r>
          </w:p>
        </w:tc>
        <w:tc>
          <w:tcPr>
            <w:tcW w:w="516" w:type="dxa"/>
          </w:tcPr>
          <w:p w14:paraId="084951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w:t>
            </w:r>
          </w:p>
        </w:tc>
        <w:tc>
          <w:tcPr>
            <w:tcW w:w="516" w:type="dxa"/>
          </w:tcPr>
          <w:p w14:paraId="7FD99E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223</w:t>
            </w:r>
          </w:p>
        </w:tc>
        <w:tc>
          <w:tcPr>
            <w:tcW w:w="631" w:type="dxa"/>
          </w:tcPr>
          <w:p w14:paraId="5A983E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700</w:t>
            </w:r>
          </w:p>
        </w:tc>
      </w:tr>
      <w:tr w:rsidR="002B1C74" w:rsidRPr="002F2FDF" w14:paraId="49FF8043" w14:textId="77777777">
        <w:tc>
          <w:tcPr>
            <w:tcW w:w="3967" w:type="dxa"/>
          </w:tcPr>
          <w:p w14:paraId="0C6DED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Слюсаренко</w:t>
            </w:r>
          </w:p>
        </w:tc>
        <w:tc>
          <w:tcPr>
            <w:tcW w:w="516" w:type="dxa"/>
          </w:tcPr>
          <w:p w14:paraId="7049CC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A49B9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59683B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ED244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389C3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471FB2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516" w:type="dxa"/>
          </w:tcPr>
          <w:p w14:paraId="260A98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516" w:type="dxa"/>
          </w:tcPr>
          <w:p w14:paraId="7F7D53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w:t>
            </w:r>
          </w:p>
        </w:tc>
        <w:tc>
          <w:tcPr>
            <w:tcW w:w="516" w:type="dxa"/>
          </w:tcPr>
          <w:p w14:paraId="060050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w:t>
            </w:r>
          </w:p>
        </w:tc>
        <w:tc>
          <w:tcPr>
            <w:tcW w:w="631" w:type="dxa"/>
          </w:tcPr>
          <w:p w14:paraId="550F60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138</w:t>
            </w:r>
          </w:p>
        </w:tc>
      </w:tr>
      <w:tr w:rsidR="002B1C74" w:rsidRPr="002F2FDF" w14:paraId="430FB734" w14:textId="77777777">
        <w:tc>
          <w:tcPr>
            <w:tcW w:w="3967" w:type="dxa"/>
          </w:tcPr>
          <w:p w14:paraId="69E874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“Дукс”</w:t>
            </w:r>
          </w:p>
        </w:tc>
        <w:tc>
          <w:tcPr>
            <w:tcW w:w="516" w:type="dxa"/>
          </w:tcPr>
          <w:p w14:paraId="15C4EE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EFC83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631" w:type="dxa"/>
          </w:tcPr>
          <w:p w14:paraId="7848CC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516" w:type="dxa"/>
          </w:tcPr>
          <w:p w14:paraId="1BD251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516" w:type="dxa"/>
          </w:tcPr>
          <w:p w14:paraId="6E9EEF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w:t>
            </w:r>
          </w:p>
        </w:tc>
        <w:tc>
          <w:tcPr>
            <w:tcW w:w="516" w:type="dxa"/>
          </w:tcPr>
          <w:p w14:paraId="625531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w:t>
            </w:r>
          </w:p>
        </w:tc>
        <w:tc>
          <w:tcPr>
            <w:tcW w:w="516" w:type="dxa"/>
          </w:tcPr>
          <w:p w14:paraId="796AE8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382</w:t>
            </w:r>
          </w:p>
        </w:tc>
        <w:tc>
          <w:tcPr>
            <w:tcW w:w="516" w:type="dxa"/>
          </w:tcPr>
          <w:p w14:paraId="156A89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481</w:t>
            </w:r>
          </w:p>
        </w:tc>
        <w:tc>
          <w:tcPr>
            <w:tcW w:w="516" w:type="dxa"/>
          </w:tcPr>
          <w:p w14:paraId="332EC1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543</w:t>
            </w:r>
          </w:p>
        </w:tc>
        <w:tc>
          <w:tcPr>
            <w:tcW w:w="631" w:type="dxa"/>
          </w:tcPr>
          <w:p w14:paraId="23B3C8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1733</w:t>
            </w:r>
          </w:p>
        </w:tc>
      </w:tr>
      <w:tr w:rsidR="002B1C74" w:rsidRPr="002F2FDF" w14:paraId="5ADDBC46" w14:textId="77777777">
        <w:tc>
          <w:tcPr>
            <w:tcW w:w="3967" w:type="dxa"/>
          </w:tcPr>
          <w:p w14:paraId="4CF41D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Моска</w:t>
            </w:r>
          </w:p>
        </w:tc>
        <w:tc>
          <w:tcPr>
            <w:tcW w:w="516" w:type="dxa"/>
          </w:tcPr>
          <w:p w14:paraId="4C0D7F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CD30B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076DFB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214901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8C983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5C2CC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516" w:type="dxa"/>
          </w:tcPr>
          <w:p w14:paraId="0D1CD8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w:t>
            </w:r>
          </w:p>
        </w:tc>
        <w:tc>
          <w:tcPr>
            <w:tcW w:w="516" w:type="dxa"/>
          </w:tcPr>
          <w:p w14:paraId="26A816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w:t>
            </w:r>
          </w:p>
        </w:tc>
        <w:tc>
          <w:tcPr>
            <w:tcW w:w="516" w:type="dxa"/>
          </w:tcPr>
          <w:p w14:paraId="1964E6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c>
          <w:tcPr>
            <w:tcW w:w="631" w:type="dxa"/>
          </w:tcPr>
          <w:p w14:paraId="4EE5A4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w:t>
            </w:r>
          </w:p>
        </w:tc>
      </w:tr>
      <w:tr w:rsidR="002B1C74" w:rsidRPr="002F2FDF" w14:paraId="3A6AB587" w14:textId="77777777">
        <w:tc>
          <w:tcPr>
            <w:tcW w:w="3967" w:type="dxa"/>
          </w:tcPr>
          <w:p w14:paraId="078CA5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Анатра (Одесса)</w:t>
            </w:r>
          </w:p>
        </w:tc>
        <w:tc>
          <w:tcPr>
            <w:tcW w:w="516" w:type="dxa"/>
          </w:tcPr>
          <w:p w14:paraId="39A83C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62606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7BCD29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8AB65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25850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116CD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w:t>
            </w:r>
          </w:p>
        </w:tc>
        <w:tc>
          <w:tcPr>
            <w:tcW w:w="516" w:type="dxa"/>
          </w:tcPr>
          <w:p w14:paraId="62E3C0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270</w:t>
            </w:r>
          </w:p>
        </w:tc>
        <w:tc>
          <w:tcPr>
            <w:tcW w:w="516" w:type="dxa"/>
          </w:tcPr>
          <w:p w14:paraId="564F1B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359</w:t>
            </w:r>
          </w:p>
        </w:tc>
        <w:tc>
          <w:tcPr>
            <w:tcW w:w="516" w:type="dxa"/>
          </w:tcPr>
          <w:p w14:paraId="33E908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347</w:t>
            </w:r>
          </w:p>
        </w:tc>
        <w:tc>
          <w:tcPr>
            <w:tcW w:w="631" w:type="dxa"/>
          </w:tcPr>
          <w:p w14:paraId="0E003E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1056</w:t>
            </w:r>
          </w:p>
        </w:tc>
      </w:tr>
      <w:tr w:rsidR="002B1C74" w:rsidRPr="002F2FDF" w14:paraId="58B35243" w14:textId="77777777">
        <w:tc>
          <w:tcPr>
            <w:tcW w:w="3967" w:type="dxa"/>
          </w:tcPr>
          <w:p w14:paraId="2AC2CD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Анатра (Симферополь)</w:t>
            </w:r>
          </w:p>
        </w:tc>
        <w:tc>
          <w:tcPr>
            <w:tcW w:w="516" w:type="dxa"/>
          </w:tcPr>
          <w:p w14:paraId="0E57DF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C12D5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598F82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1964F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2E792F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A20FA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E3029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8B139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516" w:type="dxa"/>
          </w:tcPr>
          <w:p w14:paraId="4208D7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c>
          <w:tcPr>
            <w:tcW w:w="631" w:type="dxa"/>
          </w:tcPr>
          <w:p w14:paraId="683F1F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r>
      <w:tr w:rsidR="002B1C74" w:rsidRPr="002F2FDF" w14:paraId="4DD8AC04" w14:textId="77777777">
        <w:tc>
          <w:tcPr>
            <w:tcW w:w="3967" w:type="dxa"/>
          </w:tcPr>
          <w:p w14:paraId="7267B1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Терещенко</w:t>
            </w:r>
          </w:p>
        </w:tc>
        <w:tc>
          <w:tcPr>
            <w:tcW w:w="516" w:type="dxa"/>
          </w:tcPr>
          <w:p w14:paraId="0F21A5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516" w:type="dxa"/>
          </w:tcPr>
          <w:p w14:paraId="18E6F3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6F193C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516" w:type="dxa"/>
          </w:tcPr>
          <w:p w14:paraId="363814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516" w:type="dxa"/>
          </w:tcPr>
          <w:p w14:paraId="207F0E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516" w:type="dxa"/>
          </w:tcPr>
          <w:p w14:paraId="456ED2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516" w:type="dxa"/>
          </w:tcPr>
          <w:p w14:paraId="4787D9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516" w:type="dxa"/>
          </w:tcPr>
          <w:p w14:paraId="41A551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516" w:type="dxa"/>
          </w:tcPr>
          <w:p w14:paraId="7E3278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631" w:type="dxa"/>
          </w:tcPr>
          <w:p w14:paraId="713D0A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w:t>
            </w:r>
          </w:p>
        </w:tc>
      </w:tr>
      <w:tr w:rsidR="002B1C74" w:rsidRPr="002F2FDF" w14:paraId="7DAD7A6E" w14:textId="77777777">
        <w:tc>
          <w:tcPr>
            <w:tcW w:w="3967" w:type="dxa"/>
          </w:tcPr>
          <w:p w14:paraId="0C4BFC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Адаменко</w:t>
            </w:r>
          </w:p>
        </w:tc>
        <w:tc>
          <w:tcPr>
            <w:tcW w:w="516" w:type="dxa"/>
          </w:tcPr>
          <w:p w14:paraId="5A2D4A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169542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7714E4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79146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1B449C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23B52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28D1D3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516" w:type="dxa"/>
          </w:tcPr>
          <w:p w14:paraId="14AAD8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516" w:type="dxa"/>
          </w:tcPr>
          <w:p w14:paraId="7938A1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631" w:type="dxa"/>
          </w:tcPr>
          <w:p w14:paraId="0C9650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r>
      <w:tr w:rsidR="002B1C74" w:rsidRPr="002F2FDF" w14:paraId="4498338B" w14:textId="77777777">
        <w:tc>
          <w:tcPr>
            <w:tcW w:w="3967" w:type="dxa"/>
          </w:tcPr>
          <w:p w14:paraId="033ED8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Матиас</w:t>
            </w:r>
          </w:p>
        </w:tc>
        <w:tc>
          <w:tcPr>
            <w:tcW w:w="516" w:type="dxa"/>
          </w:tcPr>
          <w:p w14:paraId="1D0781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43F0AC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031289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92D8D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63ACA9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1DE6A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CBA0F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9019F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1E44AE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631" w:type="dxa"/>
          </w:tcPr>
          <w:p w14:paraId="4BF301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r>
      <w:tr w:rsidR="002B1C74" w:rsidRPr="002F2FDF" w14:paraId="5C9CF918" w14:textId="77777777">
        <w:tc>
          <w:tcPr>
            <w:tcW w:w="3967" w:type="dxa"/>
          </w:tcPr>
          <w:p w14:paraId="1DFE25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Фабрика Мельцера</w:t>
            </w:r>
          </w:p>
        </w:tc>
        <w:tc>
          <w:tcPr>
            <w:tcW w:w="516" w:type="dxa"/>
          </w:tcPr>
          <w:p w14:paraId="39FDF0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E074C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58FC9C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6E054E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CA263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CE2BD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19624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7F979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8AD69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631" w:type="dxa"/>
          </w:tcPr>
          <w:p w14:paraId="6FB3B7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r>
      <w:tr w:rsidR="002B1C74" w:rsidRPr="002F2FDF" w14:paraId="5C660E48" w14:textId="77777777">
        <w:tc>
          <w:tcPr>
            <w:tcW w:w="3967" w:type="dxa"/>
          </w:tcPr>
          <w:p w14:paraId="0D0CFE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Одесский морской батальон</w:t>
            </w:r>
          </w:p>
        </w:tc>
        <w:tc>
          <w:tcPr>
            <w:tcW w:w="516" w:type="dxa"/>
          </w:tcPr>
          <w:p w14:paraId="468603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516" w:type="dxa"/>
          </w:tcPr>
          <w:p w14:paraId="1E39AD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631" w:type="dxa"/>
          </w:tcPr>
          <w:p w14:paraId="25D1B7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516" w:type="dxa"/>
          </w:tcPr>
          <w:p w14:paraId="7967A3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17FCCB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82904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89765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231DC3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47E8BE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46DE62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r>
      <w:tr w:rsidR="002B1C74" w:rsidRPr="002F2FDF" w14:paraId="5C17EE4D" w14:textId="77777777">
        <w:tc>
          <w:tcPr>
            <w:tcW w:w="3967" w:type="dxa"/>
          </w:tcPr>
          <w:p w14:paraId="523EB8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Киевская воздухоплавательная рота</w:t>
            </w:r>
          </w:p>
        </w:tc>
        <w:tc>
          <w:tcPr>
            <w:tcW w:w="516" w:type="dxa"/>
          </w:tcPr>
          <w:p w14:paraId="4B3E7F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516" w:type="dxa"/>
          </w:tcPr>
          <w:p w14:paraId="37B367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631" w:type="dxa"/>
          </w:tcPr>
          <w:p w14:paraId="788571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516" w:type="dxa"/>
          </w:tcPr>
          <w:p w14:paraId="32709C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516" w:type="dxa"/>
          </w:tcPr>
          <w:p w14:paraId="2526B5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91ABF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22761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6BD80D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A9005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622262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r>
      <w:tr w:rsidR="002B1C74" w:rsidRPr="002F2FDF" w14:paraId="097C89A9" w14:textId="77777777">
        <w:tc>
          <w:tcPr>
            <w:tcW w:w="3967" w:type="dxa"/>
          </w:tcPr>
          <w:p w14:paraId="1D1DE3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Калеп</w:t>
            </w:r>
          </w:p>
        </w:tc>
        <w:tc>
          <w:tcPr>
            <w:tcW w:w="516" w:type="dxa"/>
          </w:tcPr>
          <w:p w14:paraId="1EAF81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4E04E6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631" w:type="dxa"/>
          </w:tcPr>
          <w:p w14:paraId="2D1DB7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516" w:type="dxa"/>
          </w:tcPr>
          <w:p w14:paraId="68032F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D4154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2E4FE1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49900B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614F1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C9305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0F3543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r>
      <w:tr w:rsidR="002B1C74" w:rsidRPr="002F2FDF" w14:paraId="740A6AFB" w14:textId="77777777">
        <w:tc>
          <w:tcPr>
            <w:tcW w:w="3967" w:type="dxa"/>
          </w:tcPr>
          <w:p w14:paraId="09B9DD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Летные школы</w:t>
            </w:r>
          </w:p>
        </w:tc>
        <w:tc>
          <w:tcPr>
            <w:tcW w:w="516" w:type="dxa"/>
          </w:tcPr>
          <w:p w14:paraId="3A7B1C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2010B3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3BD3FF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516" w:type="dxa"/>
          </w:tcPr>
          <w:p w14:paraId="4EF2B2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516" w:type="dxa"/>
          </w:tcPr>
          <w:p w14:paraId="4FB9AA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516" w:type="dxa"/>
          </w:tcPr>
          <w:p w14:paraId="20C2C5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516" w:type="dxa"/>
          </w:tcPr>
          <w:p w14:paraId="6B2A7B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516" w:type="dxa"/>
          </w:tcPr>
          <w:p w14:paraId="57CCC7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661061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1D8435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w:t>
            </w:r>
          </w:p>
        </w:tc>
      </w:tr>
      <w:tr w:rsidR="002B1C74" w:rsidRPr="002F2FDF" w14:paraId="0B07D6AE" w14:textId="77777777">
        <w:tc>
          <w:tcPr>
            <w:tcW w:w="3967" w:type="dxa"/>
          </w:tcPr>
          <w:p w14:paraId="4EB704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Разные лица</w:t>
            </w:r>
          </w:p>
        </w:tc>
        <w:tc>
          <w:tcPr>
            <w:tcW w:w="516" w:type="dxa"/>
          </w:tcPr>
          <w:p w14:paraId="5E4538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516" w:type="dxa"/>
          </w:tcPr>
          <w:p w14:paraId="209304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w:t>
            </w:r>
          </w:p>
        </w:tc>
        <w:tc>
          <w:tcPr>
            <w:tcW w:w="631" w:type="dxa"/>
          </w:tcPr>
          <w:p w14:paraId="43316C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516" w:type="dxa"/>
          </w:tcPr>
          <w:p w14:paraId="5A256A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w:t>
            </w:r>
          </w:p>
        </w:tc>
        <w:tc>
          <w:tcPr>
            <w:tcW w:w="516" w:type="dxa"/>
          </w:tcPr>
          <w:p w14:paraId="687A24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516" w:type="dxa"/>
          </w:tcPr>
          <w:p w14:paraId="30D418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516" w:type="dxa"/>
          </w:tcPr>
          <w:p w14:paraId="53B15B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516" w:type="dxa"/>
          </w:tcPr>
          <w:p w14:paraId="562284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c>
          <w:tcPr>
            <w:tcW w:w="516" w:type="dxa"/>
          </w:tcPr>
          <w:p w14:paraId="055147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w:t>
            </w:r>
          </w:p>
        </w:tc>
        <w:tc>
          <w:tcPr>
            <w:tcW w:w="631" w:type="dxa"/>
          </w:tcPr>
          <w:p w14:paraId="1A3C01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180</w:t>
            </w:r>
          </w:p>
        </w:tc>
      </w:tr>
      <w:tr w:rsidR="002B1C74" w:rsidRPr="002F2FDF" w14:paraId="36FEE786" w14:textId="77777777">
        <w:tc>
          <w:tcPr>
            <w:tcW w:w="3967" w:type="dxa"/>
          </w:tcPr>
          <w:p w14:paraId="46C385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Прочие организации *</w:t>
            </w:r>
          </w:p>
        </w:tc>
        <w:tc>
          <w:tcPr>
            <w:tcW w:w="516" w:type="dxa"/>
          </w:tcPr>
          <w:p w14:paraId="55D484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4FDBC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2535E4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516" w:type="dxa"/>
          </w:tcPr>
          <w:p w14:paraId="1F7AA7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516" w:type="dxa"/>
          </w:tcPr>
          <w:p w14:paraId="3F6E5A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516" w:type="dxa"/>
          </w:tcPr>
          <w:p w14:paraId="0791BE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w:t>
            </w:r>
          </w:p>
        </w:tc>
        <w:tc>
          <w:tcPr>
            <w:tcW w:w="516" w:type="dxa"/>
          </w:tcPr>
          <w:p w14:paraId="7D3AC0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c>
          <w:tcPr>
            <w:tcW w:w="516" w:type="dxa"/>
          </w:tcPr>
          <w:p w14:paraId="51F634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136</w:t>
            </w:r>
          </w:p>
        </w:tc>
        <w:tc>
          <w:tcPr>
            <w:tcW w:w="516" w:type="dxa"/>
          </w:tcPr>
          <w:p w14:paraId="6D399C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161</w:t>
            </w:r>
          </w:p>
        </w:tc>
        <w:tc>
          <w:tcPr>
            <w:tcW w:w="631" w:type="dxa"/>
          </w:tcPr>
          <w:p w14:paraId="564884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431</w:t>
            </w:r>
          </w:p>
        </w:tc>
      </w:tr>
      <w:tr w:rsidR="002B1C74" w:rsidRPr="002F2FDF" w14:paraId="29857126" w14:textId="77777777">
        <w:tc>
          <w:tcPr>
            <w:tcW w:w="3967" w:type="dxa"/>
            <w:tcBorders>
              <w:bottom w:val="single" w:sz="12" w:space="0" w:color="000000"/>
            </w:tcBorders>
          </w:tcPr>
          <w:p w14:paraId="6C04E2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516" w:type="dxa"/>
            <w:tcBorders>
              <w:bottom w:val="single" w:sz="12" w:space="0" w:color="000000"/>
            </w:tcBorders>
          </w:tcPr>
          <w:p w14:paraId="127B25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516" w:type="dxa"/>
            <w:tcBorders>
              <w:bottom w:val="single" w:sz="12" w:space="0" w:color="000000"/>
            </w:tcBorders>
          </w:tcPr>
          <w:p w14:paraId="194A67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w:t>
            </w:r>
          </w:p>
        </w:tc>
        <w:tc>
          <w:tcPr>
            <w:tcW w:w="631" w:type="dxa"/>
            <w:tcBorders>
              <w:bottom w:val="single" w:sz="12" w:space="0" w:color="000000"/>
            </w:tcBorders>
          </w:tcPr>
          <w:p w14:paraId="5681CC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w:t>
            </w:r>
          </w:p>
        </w:tc>
        <w:tc>
          <w:tcPr>
            <w:tcW w:w="516" w:type="dxa"/>
            <w:tcBorders>
              <w:bottom w:val="single" w:sz="12" w:space="0" w:color="000000"/>
            </w:tcBorders>
          </w:tcPr>
          <w:p w14:paraId="4C7C4B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170</w:t>
            </w:r>
          </w:p>
        </w:tc>
        <w:tc>
          <w:tcPr>
            <w:tcW w:w="516" w:type="dxa"/>
            <w:tcBorders>
              <w:bottom w:val="single" w:sz="12" w:space="0" w:color="000000"/>
            </w:tcBorders>
          </w:tcPr>
          <w:p w14:paraId="576B76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280</w:t>
            </w:r>
          </w:p>
        </w:tc>
        <w:tc>
          <w:tcPr>
            <w:tcW w:w="516" w:type="dxa"/>
            <w:tcBorders>
              <w:bottom w:val="single" w:sz="12" w:space="0" w:color="000000"/>
            </w:tcBorders>
          </w:tcPr>
          <w:p w14:paraId="50BA80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535</w:t>
            </w:r>
          </w:p>
        </w:tc>
        <w:tc>
          <w:tcPr>
            <w:tcW w:w="516" w:type="dxa"/>
            <w:tcBorders>
              <w:bottom w:val="single" w:sz="12" w:space="0" w:color="000000"/>
            </w:tcBorders>
          </w:tcPr>
          <w:p w14:paraId="1DE468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1305</w:t>
            </w:r>
          </w:p>
        </w:tc>
        <w:tc>
          <w:tcPr>
            <w:tcW w:w="516" w:type="dxa"/>
            <w:tcBorders>
              <w:bottom w:val="single" w:sz="12" w:space="0" w:color="000000"/>
            </w:tcBorders>
          </w:tcPr>
          <w:p w14:paraId="5E93F2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1870</w:t>
            </w:r>
          </w:p>
        </w:tc>
        <w:tc>
          <w:tcPr>
            <w:tcW w:w="516" w:type="dxa"/>
            <w:tcBorders>
              <w:bottom w:val="single" w:sz="12" w:space="0" w:color="000000"/>
            </w:tcBorders>
          </w:tcPr>
          <w:p w14:paraId="6CC56E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1897</w:t>
            </w:r>
          </w:p>
        </w:tc>
        <w:tc>
          <w:tcPr>
            <w:tcW w:w="631" w:type="dxa"/>
            <w:tcBorders>
              <w:bottom w:val="single" w:sz="12" w:space="0" w:color="000000"/>
            </w:tcBorders>
          </w:tcPr>
          <w:p w14:paraId="6D1A6A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6270</w:t>
            </w:r>
          </w:p>
        </w:tc>
      </w:tr>
    </w:tbl>
    <w:p w14:paraId="7F5291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Сюда включены и самолеты, построенные различными предприятиями, но не сданные (92). </w:t>
      </w:r>
    </w:p>
    <w:p w14:paraId="1D9D10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86AE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октябрю 1917 г. завод Анатра в Одессе выпускал ежемесячно 50 самолетов. Симферопольский авиазавод из-за несвоевременной доставки оборудования только в середине 1917 г. начал давать продукцию - 15-20 машин ежемесячно. Это были, главным образом, летающие лодки. Завод располагал большими механическим, сборочным и деревообделочным цехами. На нем было занято около тысячи рабочих и служащих. Качество производившихся самолетов было удовлетворительным, хотя вследствие крайней спешки при выполнении заказов обнаружился ряд дефектов - плохая клейка обшивки крыльев, неудовлетворительное крепление стоек, небрежная сборка. Подполковник Ткачев, инспектируя авиаотряды Юго-Западного фронта, доносил в ставку: "Самолет Анаде 2, по заявлению всех командиров отрядов, вполне удовлетворительный. Большим недостатком сейчас является только неполная тяга мотора в полете, что объясняют слабой вентиляцией в месте помещения мотора, почему возможно всасывание мотором части отработанных и уже выброшенных газов" (11862).</w:t>
      </w:r>
    </w:p>
    <w:p w14:paraId="22D36A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B1713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Накануне революционных событий октяб</w:t>
      </w:r>
      <w:r w:rsidRPr="002F2FDF">
        <w:rPr>
          <w:rFonts w:ascii="Times New Roman" w:hAnsi="Times New Roman" w:cs="Times New Roman"/>
          <w:color w:val="000000" w:themeColor="text1"/>
          <w:kern w:val="2"/>
          <w:sz w:val="16"/>
          <w:szCs w:val="16"/>
        </w:rPr>
        <w:softHyphen/>
        <w:t>ря 1917 года Украина в авиационном от</w:t>
      </w:r>
      <w:r w:rsidRPr="002F2FDF">
        <w:rPr>
          <w:rFonts w:ascii="Times New Roman" w:hAnsi="Times New Roman" w:cs="Times New Roman"/>
          <w:color w:val="000000" w:themeColor="text1"/>
          <w:kern w:val="2"/>
          <w:sz w:val="16"/>
          <w:szCs w:val="16"/>
        </w:rPr>
        <w:softHyphen/>
        <w:t>ношении выглядела весьма солидно. Здесь был заложен ряд авиационных центров и признанных школ, построено много оригинальных летательных ап</w:t>
      </w:r>
      <w:r w:rsidRPr="002F2FDF">
        <w:rPr>
          <w:rFonts w:ascii="Times New Roman" w:hAnsi="Times New Roman" w:cs="Times New Roman"/>
          <w:color w:val="000000" w:themeColor="text1"/>
          <w:kern w:val="2"/>
          <w:sz w:val="16"/>
          <w:szCs w:val="16"/>
        </w:rPr>
        <w:softHyphen/>
        <w:t>паратов, действовал один из крупнейших в России самолетостроительных заводов “Анатра” в Одессе и наиболее современный моторостроительный завод “Дека” в Запорожье. После первой мировой войны в Украине оставались авиационные части Юго-Запад</w:t>
      </w:r>
      <w:r w:rsidRPr="002F2FDF">
        <w:rPr>
          <w:rFonts w:ascii="Times New Roman" w:hAnsi="Times New Roman" w:cs="Times New Roman"/>
          <w:color w:val="000000" w:themeColor="text1"/>
          <w:kern w:val="2"/>
          <w:sz w:val="16"/>
          <w:szCs w:val="16"/>
        </w:rPr>
        <w:softHyphen/>
        <w:t>ного и Румынского фронтов, среди них известная Эскадра воздушных кораблей (553).</w:t>
      </w:r>
    </w:p>
    <w:p w14:paraId="4C516B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9C3491" w14:textId="77777777" w:rsidR="00CA0EAE" w:rsidRPr="002F2FDF" w:rsidRDefault="00CA0EA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октябрю 1917 г. в России работы по авиа</w:t>
      </w:r>
      <w:r w:rsidRPr="002F2FDF">
        <w:rPr>
          <w:rFonts w:ascii="Times New Roman" w:hAnsi="Times New Roman" w:cs="Times New Roman"/>
          <w:color w:val="000000" w:themeColor="text1"/>
          <w:sz w:val="16"/>
          <w:szCs w:val="16"/>
        </w:rPr>
        <w:softHyphen/>
        <w:t>ции и воздухоплаванию велись в Расчётно-испытательном бюро (РИБ) при аэродинамической лаборатории МВТУ и в столичных аэродина</w:t>
      </w:r>
      <w:r w:rsidRPr="002F2FDF">
        <w:rPr>
          <w:rFonts w:ascii="Times New Roman" w:hAnsi="Times New Roman" w:cs="Times New Roman"/>
          <w:color w:val="000000" w:themeColor="text1"/>
          <w:sz w:val="16"/>
          <w:szCs w:val="16"/>
        </w:rPr>
        <w:softHyphen/>
        <w:t>мических лабораториях Кораблестроительного факультета Петербургского политехнического института и Петербургского института путей сообщения. В дальнейшем, после ряда преобра</w:t>
      </w:r>
      <w:r w:rsidRPr="002F2FDF">
        <w:rPr>
          <w:rFonts w:ascii="Times New Roman" w:hAnsi="Times New Roman" w:cs="Times New Roman"/>
          <w:color w:val="000000" w:themeColor="text1"/>
          <w:sz w:val="16"/>
          <w:szCs w:val="16"/>
        </w:rPr>
        <w:softHyphen/>
        <w:t>зований, они сформировали костяк советской авиационной и воздухоплавательной науки. Ис</w:t>
      </w:r>
      <w:r w:rsidRPr="002F2FDF">
        <w:rPr>
          <w:rFonts w:ascii="Times New Roman" w:hAnsi="Times New Roman" w:cs="Times New Roman"/>
          <w:color w:val="000000" w:themeColor="text1"/>
          <w:sz w:val="16"/>
          <w:szCs w:val="16"/>
        </w:rPr>
        <w:softHyphen/>
        <w:t>пытаниями воздухоплавательной техники зани</w:t>
      </w:r>
      <w:r w:rsidRPr="002F2FDF">
        <w:rPr>
          <w:rFonts w:ascii="Times New Roman" w:hAnsi="Times New Roman" w:cs="Times New Roman"/>
          <w:color w:val="000000" w:themeColor="text1"/>
          <w:sz w:val="16"/>
          <w:szCs w:val="16"/>
        </w:rPr>
        <w:softHyphen/>
        <w:t>мались лаборатории ОВШ, перешедшие к ВВВШ (20120).</w:t>
      </w:r>
    </w:p>
    <w:p w14:paraId="3F99919E" w14:textId="77777777" w:rsidR="00CA0EAE" w:rsidRPr="002F2FDF" w:rsidRDefault="00CA0EA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Аэростатный отдел «Летучей лаборатории».</w:t>
      </w:r>
    </w:p>
    <w:p w14:paraId="01742674" w14:textId="77777777" w:rsidR="00CA0EAE" w:rsidRPr="002F2FDF" w:rsidRDefault="00CA0EAE" w:rsidP="0083075A">
      <w:pPr>
        <w:spacing w:after="0" w:line="240" w:lineRule="auto"/>
        <w:jc w:val="both"/>
        <w:rPr>
          <w:rFonts w:ascii="Times New Roman" w:hAnsi="Times New Roman" w:cs="Times New Roman"/>
          <w:color w:val="000000" w:themeColor="text1"/>
          <w:sz w:val="16"/>
          <w:szCs w:val="16"/>
        </w:rPr>
      </w:pPr>
    </w:p>
    <w:p w14:paraId="6A95040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1C78E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B872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октябрю 1917 г. из шести автозаводов в наилучшем положении находился московский АМО, строительство которого было закончено на 75% и имевшего в распоряжении 500 новейших американских станков. В цехах предприятия намечали делать полуторатонные грузовики модели "15 тер" по чертежам итальянской фирмы ФИАТ, Руководство АМО, понимая, что заказанные ему первые 150 машин оно не сможет сдать к указанному в договоре сроку, марту 1917 г., закупило в Италии комплекты деталей и начало сборку автомобилей "ФИАТ-15 тер". Таким образом, пока, поступали детали, АМО собрал в 1917 г. 432 машины, в 1918-779 и в 1919-108, т. е. всего 1319 автомобилей. Завод в Филях к октябрю 1917 г. располагал 25 станками и недостроенными заводскими корпусами. Правда, другие отделения РБВЗ, эвакуированные в Петроград и Тверь, работали, причем последний дал 300 комплектов поковок и литья для легковых машин. Ярославское предприятие заводчика В. А. Лебедева не выполнило взятых обязательств и временно приступило к изготовлению кабин и кузовов (сделали около 200 штук), которые шли на сборку грузовиков ФИАТ, монтируемых из итальянских деталей. Для постройки автомобилей "Лебедь-А" в Ярославле владелец завода купил в Англии лицензию и в опытном порядке собрал из закупленных английских деталей несколько машин "Кросслей". Но основные корпуса предприятия он не достроил, а оборудование не смонтировал в запланированном количестве. Остальные заводы оказались в таком же положении, и производства автомобилей наладить не смогли" .Катастрофическое положение пришлось выправлять закупками за рубежом. К началу 1916 г. русская армия располагала 5,3 тыс. автомобилей. За год импортировала 6,8 тыс., но и этого дополнительного количества оказалось недостаточно по сравнению с автомобильным парком армий Германии, Франции и Англии (12098).</w:t>
      </w:r>
    </w:p>
    <w:p w14:paraId="321D31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F498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октябрю 1917 благодаря развитию производств химической промышленности было развернуто и строительство специальных заводов взрывчатых веществ. Всего, по данным В.Н. Ипатьева, к концу войны было построено 25 мастерских и заводов по производству взрывчатых веществ. Наряду с частными заводами, которые численно преобладали в этой группе, строилось два казенных: в Нижнем Новгороде и в Грозном (не был достроен). Все это позволило значительно увеличить производство взрывчатых веществ, которое за 11 месяцев 1915 г. составляло 503,0 тыс. пудов, за весь 1916 г. - 1668,7 тыс. пудов, а за 6 месяцев 1917 г. - 1243, 4 тыс. пудов [РГВИА. Ф. 369. Оп. 16. Д. 89. Л. 16об.-17, 33об.-34.] (11863).</w:t>
      </w:r>
    </w:p>
    <w:p w14:paraId="567A7C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FF4B5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3F96F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43FD2D" w14:textId="77777777" w:rsidR="00510171" w:rsidRPr="002F2FDF" w:rsidRDefault="00510171"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К октябрю 1917 г. в военно-воздушном флоте России насчитывалось более 300 различных частей, учреждений и учебных заведений, около 1500 самолетов, до 35000 военнослужащих (15464).</w:t>
      </w:r>
    </w:p>
    <w:p w14:paraId="3C547426" w14:textId="77777777" w:rsidR="00510171" w:rsidRPr="002F2FDF" w:rsidRDefault="00510171" w:rsidP="0083075A">
      <w:pPr>
        <w:pStyle w:val="2"/>
        <w:spacing w:before="0" w:beforeAutospacing="0" w:after="0" w:afterAutospacing="0"/>
        <w:jc w:val="both"/>
        <w:rPr>
          <w:b w:val="0"/>
          <w:color w:val="000000" w:themeColor="text1"/>
          <w:kern w:val="2"/>
          <w:sz w:val="16"/>
          <w:szCs w:val="16"/>
        </w:rPr>
      </w:pPr>
    </w:p>
    <w:p w14:paraId="05DE4C10" w14:textId="3A724649" w:rsidR="00CA0EAE" w:rsidRPr="002F2FDF" w:rsidRDefault="00CA0EA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октябрю 1917 г. на флоте имелись воздушная дивизия Балтийского моря в составе 2-х воздушных бригад и отряда корабельной авиации и воздушная дивизия Черного моря в составе 2-х воздушных бригад, дивизиона корабельной авиации и отряда дирижаблей. В строю находилось 269 самолетов (аппаратов) разных типов и назначений</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[10]</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и 101 летчик. Однако и эти силы использовать в полной мере было невозможно. С вторжением войск кайзеровской Германии в марте — апреле 1918 г. на Украину и в Крым были начаты боевые операции германо-турецкого флота на Черном море. Врагам вскоре удалось захватить значительную часть побережья Черного моря. В этих условиях Советское правительство вынуждено было отдать приказ о затоплении боевых кораблей Черноморского флота в Новороссийске. С гибелью флота перестала существовать и воздушная дивизия Черного моря.</w:t>
      </w:r>
    </w:p>
    <w:p w14:paraId="3C18C5C6" w14:textId="77777777" w:rsidR="00CA0EAE" w:rsidRPr="002F2FDF" w:rsidRDefault="00CA0EA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Не лучше сложилась обстановка и на Балтийском театре. Немецкий империализм стремился с суши и моря захватить Петроград. Части молодой Красной Армии и корабли Балтийского флота преградили путь врагу, доказали свою способность защитить социалистическое Отечество и заставили Германию пойти на заключение мира.</w:t>
      </w:r>
    </w:p>
    <w:p w14:paraId="1D680D1B" w14:textId="77777777" w:rsidR="00CA0EAE" w:rsidRPr="002F2FDF" w:rsidRDefault="00CA0EA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 условиям Брестского мирного договора Советская Россия должна была в самый короткий срок увести свои корабли из Ревеля и Гельсингфорса. Моряки Балтийского флота с честью выполнили приказ Советского правительства. 236 кораблей в феврале — мае 1918 г. совершили легендарный "Ледовый поход" из Гельсингфорса в Кронштадт. Одновременно в глубь России была эвакуирована и воздушная дивизия Балтийского моря, дислоцировавшаяся в Ревеле и Гельсингфорсе (19929).</w:t>
      </w:r>
    </w:p>
    <w:p w14:paraId="3BCB85EC" w14:textId="77777777" w:rsidR="00CA0EAE" w:rsidRPr="002F2FDF" w:rsidRDefault="00CA0EAE" w:rsidP="0083075A">
      <w:pPr>
        <w:spacing w:after="0" w:line="240" w:lineRule="auto"/>
        <w:jc w:val="both"/>
        <w:rPr>
          <w:rFonts w:ascii="Times New Roman" w:hAnsi="Times New Roman" w:cs="Times New Roman"/>
          <w:color w:val="000000" w:themeColor="text1"/>
          <w:sz w:val="16"/>
          <w:szCs w:val="16"/>
        </w:rPr>
      </w:pPr>
    </w:p>
    <w:p w14:paraId="09DD82A8" w14:textId="77777777" w:rsidR="00CA0EAE" w:rsidRPr="002F2FDF" w:rsidRDefault="00CA0EA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октябрю 1917 г. Военно-воздушный флот России разделялся на авиацию действующей армии – Полевое Управление авиации и воздухоплавания при Штабе Верховного главкома и тыловую – Управление ВВФ Военного министерства. Военно-воздушный флот включал 300 авиа- и воздухоплавательных частей, учреждений и учебных заведений с личным составом 35 тыс. солдат и офицеров (0,5% от численности сухопутной армии), в том числе 2 тыс. летчиков и летчиков-наблюдателей из числа офицеров и 295 летчиков – нижних чинов. Авиачасть составляла около 1,5 тыс. самолетов 30 различных типов [Елисеев С.П., Нечаев В.Н., Ефремов Р.В. «Авиация переживает критический период…» // Военно-исторический журнал. 2011. № 7., c. 3–4, 8] (19962).</w:t>
      </w:r>
    </w:p>
    <w:p w14:paraId="11EA2B4B" w14:textId="77777777" w:rsidR="00CA0EAE" w:rsidRPr="002F2FDF" w:rsidRDefault="00CA0EAE" w:rsidP="0083075A">
      <w:pPr>
        <w:spacing w:after="0" w:line="240" w:lineRule="auto"/>
        <w:jc w:val="both"/>
        <w:rPr>
          <w:rFonts w:ascii="Times New Roman" w:hAnsi="Times New Roman" w:cs="Times New Roman"/>
          <w:color w:val="000000" w:themeColor="text1"/>
          <w:sz w:val="16"/>
          <w:szCs w:val="16"/>
        </w:rPr>
      </w:pPr>
    </w:p>
    <w:p w14:paraId="732C766E" w14:textId="77777777" w:rsidR="001157F8" w:rsidRPr="002F2FDF" w:rsidRDefault="001157F8"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К октябрю 1917 г. в военно-воздушном флоте России насчитывалось более 300 различных частей, учреждений и учебных заведений, около 1500 самолетов, до 35000 военнослужащих (15464).</w:t>
      </w:r>
    </w:p>
    <w:p w14:paraId="0BC857EB" w14:textId="77777777" w:rsidR="001157F8" w:rsidRPr="002F2FDF" w:rsidRDefault="001157F8" w:rsidP="0083075A">
      <w:pPr>
        <w:pStyle w:val="2"/>
        <w:spacing w:before="0" w:beforeAutospacing="0" w:after="0" w:afterAutospacing="0"/>
        <w:jc w:val="both"/>
        <w:rPr>
          <w:b w:val="0"/>
          <w:color w:val="000000" w:themeColor="text1"/>
          <w:kern w:val="2"/>
          <w:sz w:val="16"/>
          <w:szCs w:val="16"/>
        </w:rPr>
      </w:pPr>
    </w:p>
    <w:p w14:paraId="1FE192E3" w14:textId="77777777" w:rsidR="001157F8" w:rsidRPr="002F2FDF" w:rsidRDefault="001157F8"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октябрю 1917 года самолетный парк на</w:t>
      </w:r>
      <w:r w:rsidRPr="002F2FDF">
        <w:rPr>
          <w:rFonts w:ascii="Times New Roman" w:hAnsi="Times New Roman" w:cs="Times New Roman"/>
          <w:color w:val="000000" w:themeColor="text1"/>
          <w:kern w:val="2"/>
          <w:sz w:val="16"/>
          <w:szCs w:val="16"/>
        </w:rPr>
        <w:softHyphen/>
        <w:t>считывал около 1500 аэропланов, большинство из которых нуждалось в ремонте. Преобладающая часть аэропланов находилась в боевых частях русской ар</w:t>
      </w:r>
      <w:r w:rsidRPr="002F2FDF">
        <w:rPr>
          <w:rFonts w:ascii="Times New Roman" w:hAnsi="Times New Roman" w:cs="Times New Roman"/>
          <w:color w:val="000000" w:themeColor="text1"/>
          <w:kern w:val="2"/>
          <w:sz w:val="16"/>
          <w:szCs w:val="16"/>
        </w:rPr>
        <w:softHyphen/>
        <w:t>мии, и читатель уже мог увидеть, какая борьба за право контроля развернулась вокруг авиачастей в Украине. Некоторое количество летательных аппаратов нахо</w:t>
      </w:r>
      <w:r w:rsidRPr="002F2FDF">
        <w:rPr>
          <w:rFonts w:ascii="Times New Roman" w:hAnsi="Times New Roman" w:cs="Times New Roman"/>
          <w:color w:val="000000" w:themeColor="text1"/>
          <w:kern w:val="2"/>
          <w:sz w:val="16"/>
          <w:szCs w:val="16"/>
        </w:rPr>
        <w:softHyphen/>
        <w:t>дилось в авиашколах, которые также стали объектом пристального внимания как красных, так и белых, всех оттенков. Так, крупнейшая Севастопольская школа располагала 120 учебными самолетами, а так</w:t>
      </w:r>
      <w:r w:rsidRPr="002F2FDF">
        <w:rPr>
          <w:rFonts w:ascii="Times New Roman" w:hAnsi="Times New Roman" w:cs="Times New Roman"/>
          <w:color w:val="000000" w:themeColor="text1"/>
          <w:kern w:val="2"/>
          <w:sz w:val="16"/>
          <w:szCs w:val="16"/>
        </w:rPr>
        <w:softHyphen/>
        <w:t>же ремонтными мастерскими и другой материальной базой. В октябре 1917 года руководство школой взял в свои руки революционный комитет, организовав</w:t>
      </w:r>
      <w:r w:rsidRPr="002F2FDF">
        <w:rPr>
          <w:rFonts w:ascii="Times New Roman" w:hAnsi="Times New Roman" w:cs="Times New Roman"/>
          <w:color w:val="000000" w:themeColor="text1"/>
          <w:kern w:val="2"/>
          <w:sz w:val="16"/>
          <w:szCs w:val="16"/>
        </w:rPr>
        <w:softHyphen/>
        <w:t>ший даже занятия. Но с началом боевых действий школа неоднократно переходила из рук в руки, по</w:t>
      </w:r>
      <w:r w:rsidRPr="002F2FDF">
        <w:rPr>
          <w:rFonts w:ascii="Times New Roman" w:hAnsi="Times New Roman" w:cs="Times New Roman"/>
          <w:color w:val="000000" w:themeColor="text1"/>
          <w:kern w:val="2"/>
          <w:sz w:val="16"/>
          <w:szCs w:val="16"/>
        </w:rPr>
        <w:softHyphen/>
        <w:t>бывав под контролем всех властей, пытавшихся укре</w:t>
      </w:r>
      <w:r w:rsidRPr="002F2FDF">
        <w:rPr>
          <w:rFonts w:ascii="Times New Roman" w:hAnsi="Times New Roman" w:cs="Times New Roman"/>
          <w:color w:val="000000" w:themeColor="text1"/>
          <w:kern w:val="2"/>
          <w:sz w:val="16"/>
          <w:szCs w:val="16"/>
        </w:rPr>
        <w:softHyphen/>
        <w:t>питься на полуострове, и к концу гражданской вой</w:t>
      </w:r>
      <w:r w:rsidRPr="002F2FDF">
        <w:rPr>
          <w:rFonts w:ascii="Times New Roman" w:hAnsi="Times New Roman" w:cs="Times New Roman"/>
          <w:color w:val="000000" w:themeColor="text1"/>
          <w:kern w:val="2"/>
          <w:sz w:val="16"/>
          <w:szCs w:val="16"/>
        </w:rPr>
        <w:softHyphen/>
        <w:t>ны оказалась совершенно разграбленной: материаль</w:t>
      </w:r>
      <w:r w:rsidRPr="002F2FDF">
        <w:rPr>
          <w:rFonts w:ascii="Times New Roman" w:hAnsi="Times New Roman" w:cs="Times New Roman"/>
          <w:color w:val="000000" w:themeColor="text1"/>
          <w:kern w:val="2"/>
          <w:sz w:val="16"/>
          <w:szCs w:val="16"/>
        </w:rPr>
        <w:softHyphen/>
        <w:t>ная часть уничтожена, здания сожжены (553).</w:t>
      </w:r>
    </w:p>
    <w:p w14:paraId="2BCCD101" w14:textId="77777777" w:rsidR="001157F8" w:rsidRPr="002F2FDF" w:rsidRDefault="001157F8"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7AD23A" w14:textId="77777777" w:rsidR="001157F8" w:rsidRPr="002F2FDF" w:rsidRDefault="001157F8"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октябрю 1917 г. в воздушном флоте России насчиты</w:t>
      </w:r>
      <w:r w:rsidRPr="002F2FDF">
        <w:rPr>
          <w:rFonts w:ascii="Times New Roman" w:hAnsi="Times New Roman" w:cs="Times New Roman"/>
          <w:color w:val="000000" w:themeColor="text1"/>
          <w:kern w:val="2"/>
          <w:sz w:val="16"/>
          <w:szCs w:val="16"/>
        </w:rPr>
        <w:softHyphen/>
        <w:t>валось более 300 различных частей, учреждений и учебных заведений, до 35 тыс. солдат и офицеров, около 1500 само</w:t>
      </w:r>
      <w:r w:rsidRPr="002F2FDF">
        <w:rPr>
          <w:rFonts w:ascii="Times New Roman" w:hAnsi="Times New Roman" w:cs="Times New Roman"/>
          <w:color w:val="000000" w:themeColor="text1"/>
          <w:kern w:val="2"/>
          <w:sz w:val="16"/>
          <w:szCs w:val="16"/>
        </w:rPr>
        <w:softHyphen/>
        <w:t>летов. В его состав входили (ЦГАВИА):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588"/>
        <w:gridCol w:w="2988"/>
      </w:tblGrid>
      <w:tr w:rsidR="002B1C74" w:rsidRPr="002F2FDF" w14:paraId="4775745C" w14:textId="77777777" w:rsidTr="00607337">
        <w:tc>
          <w:tcPr>
            <w:tcW w:w="6588" w:type="dxa"/>
            <w:tcBorders>
              <w:top w:val="single" w:sz="12" w:space="0" w:color="auto"/>
            </w:tcBorders>
            <w:shd w:val="clear" w:color="auto" w:fill="FFFFFF"/>
          </w:tcPr>
          <w:p w14:paraId="61DFE41E"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Управление воздушного флота</w:t>
            </w:r>
          </w:p>
        </w:tc>
        <w:tc>
          <w:tcPr>
            <w:tcW w:w="2988" w:type="dxa"/>
            <w:tcBorders>
              <w:top w:val="single" w:sz="12" w:space="0" w:color="auto"/>
            </w:tcBorders>
            <w:shd w:val="clear" w:color="auto" w:fill="FFFFFF"/>
          </w:tcPr>
          <w:p w14:paraId="653F4636"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r>
      <w:tr w:rsidR="002B1C74" w:rsidRPr="002F2FDF" w14:paraId="2FA5E975" w14:textId="77777777" w:rsidTr="00607337">
        <w:tc>
          <w:tcPr>
            <w:tcW w:w="6588" w:type="dxa"/>
            <w:shd w:val="clear" w:color="auto" w:fill="FFFFFF"/>
          </w:tcPr>
          <w:p w14:paraId="7FFDD917"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Канцелярия полевого генерал-инспек</w:t>
            </w:r>
            <w:r w:rsidRPr="002F2FDF">
              <w:rPr>
                <w:rFonts w:ascii="Times New Roman" w:hAnsi="Times New Roman" w:cs="Times New Roman"/>
                <w:color w:val="000000" w:themeColor="text1"/>
                <w:kern w:val="2"/>
                <w:sz w:val="16"/>
                <w:szCs w:val="16"/>
              </w:rPr>
              <w:softHyphen/>
              <w:t>тора авиации и воздухоплавания</w:t>
            </w:r>
          </w:p>
        </w:tc>
        <w:tc>
          <w:tcPr>
            <w:tcW w:w="2988" w:type="dxa"/>
            <w:shd w:val="clear" w:color="auto" w:fill="FFFFFF"/>
          </w:tcPr>
          <w:p w14:paraId="487E483B"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r>
      <w:tr w:rsidR="002B1C74" w:rsidRPr="002F2FDF" w14:paraId="7B3ED5C3" w14:textId="77777777" w:rsidTr="00607337">
        <w:tc>
          <w:tcPr>
            <w:tcW w:w="6588" w:type="dxa"/>
            <w:shd w:val="clear" w:color="auto" w:fill="FFFFFF"/>
          </w:tcPr>
          <w:p w14:paraId="0AFA082C"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Управление морской авиации</w:t>
            </w:r>
          </w:p>
        </w:tc>
        <w:tc>
          <w:tcPr>
            <w:tcW w:w="2988" w:type="dxa"/>
            <w:shd w:val="clear" w:color="auto" w:fill="FFFFFF"/>
          </w:tcPr>
          <w:p w14:paraId="35182B38"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r>
      <w:tr w:rsidR="002B1C74" w:rsidRPr="002F2FDF" w14:paraId="16712151" w14:textId="77777777" w:rsidTr="00607337">
        <w:tc>
          <w:tcPr>
            <w:tcW w:w="6588" w:type="dxa"/>
            <w:shd w:val="clear" w:color="auto" w:fill="FFFFFF"/>
          </w:tcPr>
          <w:p w14:paraId="349B928D"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Фронтовые полевые управления ави</w:t>
            </w:r>
            <w:r w:rsidRPr="002F2FDF">
              <w:rPr>
                <w:rFonts w:ascii="Times New Roman" w:hAnsi="Times New Roman" w:cs="Times New Roman"/>
                <w:color w:val="000000" w:themeColor="text1"/>
                <w:kern w:val="2"/>
                <w:sz w:val="16"/>
                <w:szCs w:val="16"/>
              </w:rPr>
              <w:softHyphen/>
              <w:t>ации и воздухоплавания</w:t>
            </w:r>
          </w:p>
        </w:tc>
        <w:tc>
          <w:tcPr>
            <w:tcW w:w="2988" w:type="dxa"/>
            <w:shd w:val="clear" w:color="auto" w:fill="FFFFFF"/>
          </w:tcPr>
          <w:p w14:paraId="4F51F6AD"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r>
      <w:tr w:rsidR="002B1C74" w:rsidRPr="002F2FDF" w14:paraId="13B259EB" w14:textId="77777777" w:rsidTr="00607337">
        <w:tc>
          <w:tcPr>
            <w:tcW w:w="6588" w:type="dxa"/>
            <w:shd w:val="clear" w:color="auto" w:fill="FFFFFF"/>
          </w:tcPr>
          <w:p w14:paraId="0D17EB6F"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Армейские полевые управления авиа</w:t>
            </w:r>
            <w:r w:rsidRPr="002F2FDF">
              <w:rPr>
                <w:rFonts w:ascii="Times New Roman" w:hAnsi="Times New Roman" w:cs="Times New Roman"/>
                <w:color w:val="000000" w:themeColor="text1"/>
                <w:kern w:val="2"/>
                <w:sz w:val="16"/>
                <w:szCs w:val="16"/>
              </w:rPr>
              <w:softHyphen/>
              <w:t>ции и воздухоплавания</w:t>
            </w:r>
          </w:p>
        </w:tc>
        <w:tc>
          <w:tcPr>
            <w:tcW w:w="2988" w:type="dxa"/>
            <w:shd w:val="clear" w:color="auto" w:fill="FFFFFF"/>
          </w:tcPr>
          <w:p w14:paraId="69AFADFB"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w:t>
            </w:r>
          </w:p>
        </w:tc>
      </w:tr>
      <w:tr w:rsidR="002B1C74" w:rsidRPr="002F2FDF" w14:paraId="7778D67B" w14:textId="77777777" w:rsidTr="00607337">
        <w:tc>
          <w:tcPr>
            <w:tcW w:w="6588" w:type="dxa"/>
            <w:shd w:val="clear" w:color="auto" w:fill="FFFFFF"/>
          </w:tcPr>
          <w:p w14:paraId="3C3036C8"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Авиационные дивизионы</w:t>
            </w:r>
          </w:p>
        </w:tc>
        <w:tc>
          <w:tcPr>
            <w:tcW w:w="2988" w:type="dxa"/>
            <w:shd w:val="clear" w:color="auto" w:fill="FFFFFF"/>
          </w:tcPr>
          <w:p w14:paraId="20B26928"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r>
      <w:tr w:rsidR="002B1C74" w:rsidRPr="002F2FDF" w14:paraId="4B15AD2A" w14:textId="77777777" w:rsidTr="00607337">
        <w:tc>
          <w:tcPr>
            <w:tcW w:w="6588" w:type="dxa"/>
            <w:shd w:val="clear" w:color="auto" w:fill="FFFFFF"/>
          </w:tcPr>
          <w:p w14:paraId="71C91A4D"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Управления боевых групп</w:t>
            </w:r>
          </w:p>
        </w:tc>
        <w:tc>
          <w:tcPr>
            <w:tcW w:w="2988" w:type="dxa"/>
            <w:shd w:val="clear" w:color="auto" w:fill="FFFFFF"/>
          </w:tcPr>
          <w:p w14:paraId="4B02F249"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r>
      <w:tr w:rsidR="002B1C74" w:rsidRPr="002F2FDF" w14:paraId="7DB78DEE" w14:textId="77777777" w:rsidTr="00607337">
        <w:tc>
          <w:tcPr>
            <w:tcW w:w="6588" w:type="dxa"/>
            <w:shd w:val="clear" w:color="auto" w:fill="FFFFFF"/>
          </w:tcPr>
          <w:p w14:paraId="19A10B83"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Авиаотряды</w:t>
            </w:r>
          </w:p>
        </w:tc>
        <w:tc>
          <w:tcPr>
            <w:tcW w:w="2988" w:type="dxa"/>
            <w:shd w:val="clear" w:color="auto" w:fill="FFFFFF"/>
          </w:tcPr>
          <w:p w14:paraId="52435F9B"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91</w:t>
            </w:r>
          </w:p>
        </w:tc>
      </w:tr>
      <w:tr w:rsidR="002B1C74" w:rsidRPr="002F2FDF" w14:paraId="7F833645" w14:textId="77777777" w:rsidTr="00607337">
        <w:tc>
          <w:tcPr>
            <w:tcW w:w="6588" w:type="dxa"/>
            <w:shd w:val="clear" w:color="auto" w:fill="FFFFFF"/>
          </w:tcPr>
          <w:p w14:paraId="05CCCE63"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Эскадра воздушных кораблей “Илья Муромец”</w:t>
            </w:r>
          </w:p>
        </w:tc>
        <w:tc>
          <w:tcPr>
            <w:tcW w:w="2988" w:type="dxa"/>
            <w:shd w:val="clear" w:color="auto" w:fill="FFFFFF"/>
          </w:tcPr>
          <w:p w14:paraId="1D16673C"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r>
      <w:tr w:rsidR="002B1C74" w:rsidRPr="002F2FDF" w14:paraId="4FF90F33" w14:textId="77777777" w:rsidTr="00607337">
        <w:tc>
          <w:tcPr>
            <w:tcW w:w="6588" w:type="dxa"/>
            <w:shd w:val="clear" w:color="auto" w:fill="FFFFFF"/>
          </w:tcPr>
          <w:p w14:paraId="67C5EE39"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Управления гидроавиации морей</w:t>
            </w:r>
          </w:p>
        </w:tc>
        <w:tc>
          <w:tcPr>
            <w:tcW w:w="2988" w:type="dxa"/>
            <w:shd w:val="clear" w:color="auto" w:fill="FFFFFF"/>
          </w:tcPr>
          <w:p w14:paraId="2F50F5F9"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r>
      <w:tr w:rsidR="002B1C74" w:rsidRPr="002F2FDF" w14:paraId="7AB8F80B" w14:textId="77777777" w:rsidTr="00607337">
        <w:tc>
          <w:tcPr>
            <w:tcW w:w="6588" w:type="dxa"/>
            <w:shd w:val="clear" w:color="auto" w:fill="FFFFFF"/>
          </w:tcPr>
          <w:p w14:paraId="20C8E4C8"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Управления воздушных дивизий</w:t>
            </w:r>
          </w:p>
        </w:tc>
        <w:tc>
          <w:tcPr>
            <w:tcW w:w="2988" w:type="dxa"/>
            <w:shd w:val="clear" w:color="auto" w:fill="FFFFFF"/>
          </w:tcPr>
          <w:p w14:paraId="55FD8A8C"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r>
      <w:tr w:rsidR="002B1C74" w:rsidRPr="002F2FDF" w14:paraId="316C88BF" w14:textId="77777777" w:rsidTr="00607337">
        <w:tc>
          <w:tcPr>
            <w:tcW w:w="6588" w:type="dxa"/>
            <w:shd w:val="clear" w:color="auto" w:fill="FFFFFF"/>
          </w:tcPr>
          <w:p w14:paraId="2510C060"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Управления воздушных бригад</w:t>
            </w:r>
          </w:p>
        </w:tc>
        <w:tc>
          <w:tcPr>
            <w:tcW w:w="2988" w:type="dxa"/>
            <w:shd w:val="clear" w:color="auto" w:fill="FFFFFF"/>
          </w:tcPr>
          <w:p w14:paraId="0EB0D874"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r>
      <w:tr w:rsidR="002B1C74" w:rsidRPr="002F2FDF" w14:paraId="66C91281" w14:textId="77777777" w:rsidTr="00607337">
        <w:tc>
          <w:tcPr>
            <w:tcW w:w="6588" w:type="dxa"/>
            <w:shd w:val="clear" w:color="auto" w:fill="FFFFFF"/>
          </w:tcPr>
          <w:p w14:paraId="2BC6E07A"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Дивизион корабельной авиации</w:t>
            </w:r>
          </w:p>
        </w:tc>
        <w:tc>
          <w:tcPr>
            <w:tcW w:w="2988" w:type="dxa"/>
            <w:shd w:val="clear" w:color="auto" w:fill="FFFFFF"/>
          </w:tcPr>
          <w:p w14:paraId="079E810A"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r>
      <w:tr w:rsidR="002B1C74" w:rsidRPr="002F2FDF" w14:paraId="6D4E72A2" w14:textId="77777777" w:rsidTr="00607337">
        <w:tc>
          <w:tcPr>
            <w:tcW w:w="6588" w:type="dxa"/>
            <w:shd w:val="clear" w:color="auto" w:fill="FFFFFF"/>
          </w:tcPr>
          <w:p w14:paraId="4AD7CFB4"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Воздухоплавательные дивизионы</w:t>
            </w:r>
          </w:p>
        </w:tc>
        <w:tc>
          <w:tcPr>
            <w:tcW w:w="2988" w:type="dxa"/>
            <w:shd w:val="clear" w:color="auto" w:fill="FFFFFF"/>
          </w:tcPr>
          <w:p w14:paraId="54481B5C"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r>
      <w:tr w:rsidR="002B1C74" w:rsidRPr="002F2FDF" w14:paraId="23B33FDF" w14:textId="77777777" w:rsidTr="00607337">
        <w:tc>
          <w:tcPr>
            <w:tcW w:w="6588" w:type="dxa"/>
            <w:shd w:val="clear" w:color="auto" w:fill="FFFFFF"/>
          </w:tcPr>
          <w:p w14:paraId="7590A55D"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Воздухоплавательные отряды армей</w:t>
            </w:r>
            <w:r w:rsidRPr="002F2FDF">
              <w:rPr>
                <w:rFonts w:ascii="Times New Roman" w:hAnsi="Times New Roman" w:cs="Times New Roman"/>
                <w:color w:val="000000" w:themeColor="text1"/>
                <w:kern w:val="2"/>
                <w:sz w:val="16"/>
                <w:szCs w:val="16"/>
              </w:rPr>
              <w:softHyphen/>
              <w:t>ские</w:t>
            </w:r>
          </w:p>
        </w:tc>
        <w:tc>
          <w:tcPr>
            <w:tcW w:w="2988" w:type="dxa"/>
            <w:shd w:val="clear" w:color="auto" w:fill="FFFFFF"/>
          </w:tcPr>
          <w:p w14:paraId="4924CC02"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w:t>
            </w:r>
          </w:p>
        </w:tc>
      </w:tr>
      <w:tr w:rsidR="002B1C74" w:rsidRPr="002F2FDF" w14:paraId="47768922" w14:textId="77777777" w:rsidTr="00607337">
        <w:tc>
          <w:tcPr>
            <w:tcW w:w="6588" w:type="dxa"/>
            <w:shd w:val="clear" w:color="auto" w:fill="FFFFFF"/>
          </w:tcPr>
          <w:p w14:paraId="2EA60B01"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Воздухоплавательные отряды корпус</w:t>
            </w:r>
            <w:r w:rsidRPr="002F2FDF">
              <w:rPr>
                <w:rFonts w:ascii="Times New Roman" w:hAnsi="Times New Roman" w:cs="Times New Roman"/>
                <w:color w:val="000000" w:themeColor="text1"/>
                <w:kern w:val="2"/>
                <w:sz w:val="16"/>
                <w:szCs w:val="16"/>
              </w:rPr>
              <w:softHyphen/>
              <w:t>ные</w:t>
            </w:r>
          </w:p>
        </w:tc>
        <w:tc>
          <w:tcPr>
            <w:tcW w:w="2988" w:type="dxa"/>
            <w:shd w:val="clear" w:color="auto" w:fill="FFFFFF"/>
          </w:tcPr>
          <w:p w14:paraId="3300F9A9"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w:t>
            </w:r>
          </w:p>
        </w:tc>
      </w:tr>
      <w:tr w:rsidR="002B1C74" w:rsidRPr="002F2FDF" w14:paraId="20D452D9" w14:textId="77777777" w:rsidTr="00607337">
        <w:tc>
          <w:tcPr>
            <w:tcW w:w="6588" w:type="dxa"/>
            <w:shd w:val="clear" w:color="auto" w:fill="FFFFFF"/>
          </w:tcPr>
          <w:p w14:paraId="2977B4CB"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Аэрофотометрические, аэрофото</w:t>
            </w:r>
            <w:r w:rsidRPr="002F2FDF">
              <w:rPr>
                <w:rFonts w:ascii="Times New Roman" w:hAnsi="Times New Roman" w:cs="Times New Roman"/>
                <w:color w:val="000000" w:themeColor="text1"/>
                <w:kern w:val="2"/>
                <w:sz w:val="16"/>
                <w:szCs w:val="16"/>
              </w:rPr>
              <w:softHyphen/>
              <w:t>графические и другие специальные части</w:t>
            </w:r>
          </w:p>
        </w:tc>
        <w:tc>
          <w:tcPr>
            <w:tcW w:w="2988" w:type="dxa"/>
            <w:shd w:val="clear" w:color="auto" w:fill="FFFFFF"/>
          </w:tcPr>
          <w:p w14:paraId="705FA89C"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r>
      <w:tr w:rsidR="002B1C74" w:rsidRPr="002F2FDF" w14:paraId="01849642" w14:textId="77777777" w:rsidTr="00607337">
        <w:tc>
          <w:tcPr>
            <w:tcW w:w="6588" w:type="dxa"/>
            <w:shd w:val="clear" w:color="auto" w:fill="FFFFFF"/>
          </w:tcPr>
          <w:p w14:paraId="0C7B1126"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Авиационные и воздухоплавательные школы</w:t>
            </w:r>
          </w:p>
        </w:tc>
        <w:tc>
          <w:tcPr>
            <w:tcW w:w="2988" w:type="dxa"/>
            <w:shd w:val="clear" w:color="auto" w:fill="FFFFFF"/>
          </w:tcPr>
          <w:p w14:paraId="684D88C3"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r>
      <w:tr w:rsidR="002B1C74" w:rsidRPr="002F2FDF" w14:paraId="60B8E714" w14:textId="77777777" w:rsidTr="00607337">
        <w:tc>
          <w:tcPr>
            <w:tcW w:w="6588" w:type="dxa"/>
            <w:shd w:val="clear" w:color="auto" w:fill="FFFFFF"/>
          </w:tcPr>
          <w:p w14:paraId="5685074A"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Центральная аэронавигационная станция</w:t>
            </w:r>
          </w:p>
        </w:tc>
        <w:tc>
          <w:tcPr>
            <w:tcW w:w="2988" w:type="dxa"/>
            <w:shd w:val="clear" w:color="auto" w:fill="FFFFFF"/>
          </w:tcPr>
          <w:p w14:paraId="48758D42"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r>
      <w:tr w:rsidR="002B1C74" w:rsidRPr="002F2FDF" w14:paraId="40468B1A" w14:textId="77777777" w:rsidTr="00607337">
        <w:tc>
          <w:tcPr>
            <w:tcW w:w="6588" w:type="dxa"/>
            <w:shd w:val="clear" w:color="auto" w:fill="FFFFFF"/>
          </w:tcPr>
          <w:p w14:paraId="3085DCC2"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Главный аэродром УВВФ</w:t>
            </w:r>
          </w:p>
        </w:tc>
        <w:tc>
          <w:tcPr>
            <w:tcW w:w="2988" w:type="dxa"/>
            <w:shd w:val="clear" w:color="auto" w:fill="FFFFFF"/>
          </w:tcPr>
          <w:p w14:paraId="1A72C6EF"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r>
      <w:tr w:rsidR="002B1C74" w:rsidRPr="002F2FDF" w14:paraId="35FC5238" w14:textId="77777777" w:rsidTr="00607337">
        <w:tc>
          <w:tcPr>
            <w:tcW w:w="6588" w:type="dxa"/>
            <w:shd w:val="clear" w:color="auto" w:fill="FFFFFF"/>
          </w:tcPr>
          <w:p w14:paraId="6D533AD6"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Центральные авиационные парки склады</w:t>
            </w:r>
          </w:p>
        </w:tc>
        <w:tc>
          <w:tcPr>
            <w:tcW w:w="2988" w:type="dxa"/>
            <w:shd w:val="clear" w:color="auto" w:fill="FFFFFF"/>
          </w:tcPr>
          <w:p w14:paraId="2D050E24"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r>
      <w:tr w:rsidR="002B1C74" w:rsidRPr="002F2FDF" w14:paraId="116834E5" w14:textId="77777777" w:rsidTr="00607337">
        <w:tc>
          <w:tcPr>
            <w:tcW w:w="6588" w:type="dxa"/>
            <w:shd w:val="clear" w:color="auto" w:fill="FFFFFF"/>
          </w:tcPr>
          <w:p w14:paraId="2BEB11B3"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Фронтовые авиапарки</w:t>
            </w:r>
          </w:p>
        </w:tc>
        <w:tc>
          <w:tcPr>
            <w:tcW w:w="2988" w:type="dxa"/>
            <w:shd w:val="clear" w:color="auto" w:fill="FFFFFF"/>
          </w:tcPr>
          <w:p w14:paraId="7412D452"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r>
      <w:tr w:rsidR="002B1C74" w:rsidRPr="002F2FDF" w14:paraId="09A23DA3" w14:textId="77777777" w:rsidTr="00607337">
        <w:tc>
          <w:tcPr>
            <w:tcW w:w="6588" w:type="dxa"/>
            <w:shd w:val="clear" w:color="auto" w:fill="FFFFFF"/>
          </w:tcPr>
          <w:p w14:paraId="65C1E644"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Поезда-мастерские</w:t>
            </w:r>
          </w:p>
        </w:tc>
        <w:tc>
          <w:tcPr>
            <w:tcW w:w="2988" w:type="dxa"/>
            <w:shd w:val="clear" w:color="auto" w:fill="FFFFFF"/>
          </w:tcPr>
          <w:p w14:paraId="5AABBDEE"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r>
      <w:tr w:rsidR="002B1C74" w:rsidRPr="002F2FDF" w14:paraId="7B2F924E" w14:textId="77777777" w:rsidTr="00607337">
        <w:tc>
          <w:tcPr>
            <w:tcW w:w="6588" w:type="dxa"/>
            <w:shd w:val="clear" w:color="auto" w:fill="FFFFFF"/>
          </w:tcPr>
          <w:p w14:paraId="30235874"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Авиационные базы</w:t>
            </w:r>
          </w:p>
        </w:tc>
        <w:tc>
          <w:tcPr>
            <w:tcW w:w="2988" w:type="dxa"/>
            <w:shd w:val="clear" w:color="auto" w:fill="FFFFFF"/>
          </w:tcPr>
          <w:p w14:paraId="5705237F"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r>
      <w:tr w:rsidR="002B1C74" w:rsidRPr="002F2FDF" w14:paraId="16278663" w14:textId="77777777" w:rsidTr="00607337">
        <w:tc>
          <w:tcPr>
            <w:tcW w:w="6588" w:type="dxa"/>
            <w:shd w:val="clear" w:color="auto" w:fill="FFFFFF"/>
          </w:tcPr>
          <w:p w14:paraId="6B0CAC00"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Воздухоплавательные парки</w:t>
            </w:r>
          </w:p>
        </w:tc>
        <w:tc>
          <w:tcPr>
            <w:tcW w:w="2988" w:type="dxa"/>
            <w:shd w:val="clear" w:color="auto" w:fill="FFFFFF"/>
          </w:tcPr>
          <w:p w14:paraId="602F6AF8"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r>
      <w:tr w:rsidR="002B1C74" w:rsidRPr="002F2FDF" w14:paraId="515C727C" w14:textId="77777777" w:rsidTr="00607337">
        <w:tc>
          <w:tcPr>
            <w:tcW w:w="6588" w:type="dxa"/>
            <w:shd w:val="clear" w:color="auto" w:fill="FFFFFF"/>
          </w:tcPr>
          <w:p w14:paraId="055B32B9"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Воздухоплавательные роты</w:t>
            </w:r>
          </w:p>
        </w:tc>
        <w:tc>
          <w:tcPr>
            <w:tcW w:w="2988" w:type="dxa"/>
            <w:shd w:val="clear" w:color="auto" w:fill="FFFFFF"/>
          </w:tcPr>
          <w:p w14:paraId="16B5A3DF"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r>
      <w:tr w:rsidR="002B1C74" w:rsidRPr="002F2FDF" w14:paraId="5E28CD83" w14:textId="77777777" w:rsidTr="00607337">
        <w:tc>
          <w:tcPr>
            <w:tcW w:w="6588" w:type="dxa"/>
            <w:shd w:val="clear" w:color="auto" w:fill="FFFFFF"/>
          </w:tcPr>
          <w:p w14:paraId="62A0DC08"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Запасные авиабатальоны</w:t>
            </w:r>
          </w:p>
        </w:tc>
        <w:tc>
          <w:tcPr>
            <w:tcW w:w="2988" w:type="dxa"/>
            <w:shd w:val="clear" w:color="auto" w:fill="FFFFFF"/>
          </w:tcPr>
          <w:p w14:paraId="502608B4"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r>
      <w:tr w:rsidR="002B1C74" w:rsidRPr="002F2FDF" w14:paraId="399C6D3A" w14:textId="77777777" w:rsidTr="00607337">
        <w:tc>
          <w:tcPr>
            <w:tcW w:w="6588" w:type="dxa"/>
            <w:tcBorders>
              <w:bottom w:val="single" w:sz="12" w:space="0" w:color="auto"/>
            </w:tcBorders>
            <w:shd w:val="clear" w:color="auto" w:fill="FFFFFF"/>
          </w:tcPr>
          <w:p w14:paraId="5E60F88C"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Запасные воздухоплавательные батальоны</w:t>
            </w:r>
          </w:p>
        </w:tc>
        <w:tc>
          <w:tcPr>
            <w:tcW w:w="2988" w:type="dxa"/>
            <w:tcBorders>
              <w:bottom w:val="single" w:sz="12" w:space="0" w:color="auto"/>
            </w:tcBorders>
            <w:shd w:val="clear" w:color="auto" w:fill="FFFFFF"/>
          </w:tcPr>
          <w:p w14:paraId="492C0A85"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r>
    </w:tbl>
    <w:p w14:paraId="41172CE7" w14:textId="77777777" w:rsidR="001157F8" w:rsidRPr="002F2FDF" w:rsidRDefault="001157F8"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организационном отношении воздушный флот не был самостоятельным, а входил в состав инженерных войск и рассматривался как одно из средств разведки и связи. Уп</w:t>
      </w:r>
      <w:r w:rsidRPr="002F2FDF">
        <w:rPr>
          <w:rFonts w:ascii="Times New Roman" w:hAnsi="Times New Roman" w:cs="Times New Roman"/>
          <w:color w:val="000000" w:themeColor="text1"/>
          <w:kern w:val="2"/>
          <w:sz w:val="16"/>
          <w:szCs w:val="16"/>
        </w:rPr>
        <w:softHyphen/>
        <w:t>равление им распределялось между тремя центральными органами.</w:t>
      </w:r>
    </w:p>
    <w:p w14:paraId="312263CC" w14:textId="77777777" w:rsidR="001157F8" w:rsidRPr="002F2FDF" w:rsidRDefault="001157F8"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Управление воздушного флота (Увофлот), подчинявше</w:t>
      </w:r>
      <w:r w:rsidRPr="002F2FDF">
        <w:rPr>
          <w:rFonts w:ascii="Times New Roman" w:hAnsi="Times New Roman" w:cs="Times New Roman"/>
          <w:color w:val="000000" w:themeColor="text1"/>
          <w:kern w:val="2"/>
          <w:sz w:val="16"/>
          <w:szCs w:val="16"/>
        </w:rPr>
        <w:softHyphen/>
        <w:t>еся военному министру, ведало авиацией и воздухоплавани</w:t>
      </w:r>
      <w:r w:rsidRPr="002F2FDF">
        <w:rPr>
          <w:rFonts w:ascii="Times New Roman" w:hAnsi="Times New Roman" w:cs="Times New Roman"/>
          <w:color w:val="000000" w:themeColor="text1"/>
          <w:kern w:val="2"/>
          <w:sz w:val="16"/>
          <w:szCs w:val="16"/>
        </w:rPr>
        <w:softHyphen/>
        <w:t>ем внутренних военных округов, учебными заведениями, техническим снабжением фронтовых частей, размещением заказов на авиационную технику и оружие на заводах страны, заграничными авиационными поставками. Во главе Увофлота стояли генерал-майор Н. В. Пневский, после Февральской революции — профессор Николаевской военно-инженерной академии, военный инженер генерал-майор Д. В. Яковлев.</w:t>
      </w:r>
    </w:p>
    <w:p w14:paraId="0F5B66B3" w14:textId="77777777" w:rsidR="001157F8" w:rsidRPr="002F2FDF" w:rsidRDefault="001157F8"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Морскую авиацию возглавляло Управление морской ави</w:t>
      </w:r>
      <w:r w:rsidRPr="002F2FDF">
        <w:rPr>
          <w:rFonts w:ascii="Times New Roman" w:hAnsi="Times New Roman" w:cs="Times New Roman"/>
          <w:color w:val="000000" w:themeColor="text1"/>
          <w:kern w:val="2"/>
          <w:sz w:val="16"/>
          <w:szCs w:val="16"/>
        </w:rPr>
        <w:softHyphen/>
        <w:t>ации (УМА), входившее в состав морского ведомства.</w:t>
      </w:r>
    </w:p>
    <w:p w14:paraId="407F8F7C" w14:textId="77777777" w:rsidR="001157F8" w:rsidRPr="002F2FDF" w:rsidRDefault="001157F8"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Боевым применением авиации на сухопутном театре войны ведала Канцелярия полевого генерал-инспектора авиации и воздухоплавания при Ставке Верховного главно</w:t>
      </w:r>
      <w:r w:rsidRPr="002F2FDF">
        <w:rPr>
          <w:rFonts w:ascii="Times New Roman" w:hAnsi="Times New Roman" w:cs="Times New Roman"/>
          <w:color w:val="000000" w:themeColor="text1"/>
          <w:kern w:val="2"/>
          <w:sz w:val="16"/>
          <w:szCs w:val="16"/>
        </w:rPr>
        <w:softHyphen/>
        <w:t>командующего — Авиаканц. Полевым генерал-инспектором являлся великий князь Александр Михайлович, после Фев</w:t>
      </w:r>
      <w:r w:rsidRPr="002F2FDF">
        <w:rPr>
          <w:rFonts w:ascii="Times New Roman" w:hAnsi="Times New Roman" w:cs="Times New Roman"/>
          <w:color w:val="000000" w:themeColor="text1"/>
          <w:kern w:val="2"/>
          <w:sz w:val="16"/>
          <w:szCs w:val="16"/>
        </w:rPr>
        <w:softHyphen/>
        <w:t>ральской революции 1917 г. на эту должность был назначен 9 апреля полковник С. А. Немченко, а 21 июня — военный летчик подполковник В. М. Ткачев.</w:t>
      </w:r>
    </w:p>
    <w:p w14:paraId="78B05332" w14:textId="77777777" w:rsidR="001157F8" w:rsidRPr="002F2FDF" w:rsidRDefault="001157F8"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Особое место среди руководящих органов воздушного флота занимал Всероссийский совет авиации (Авиасовет), избранный в сентябре 1917 г. I Всероссийским авиацион</w:t>
      </w:r>
      <w:r w:rsidRPr="002F2FDF">
        <w:rPr>
          <w:rFonts w:ascii="Times New Roman" w:hAnsi="Times New Roman" w:cs="Times New Roman"/>
          <w:color w:val="000000" w:themeColor="text1"/>
          <w:kern w:val="2"/>
          <w:sz w:val="16"/>
          <w:szCs w:val="16"/>
        </w:rPr>
        <w:softHyphen/>
        <w:t>ным съездом. Этот общественный орган провозгласил себя “чисто технической организацией, стоящей в стороне от классовой борьбы”. В действительности фразы о беспартий</w:t>
      </w:r>
      <w:r w:rsidRPr="002F2FDF">
        <w:rPr>
          <w:rFonts w:ascii="Times New Roman" w:hAnsi="Times New Roman" w:cs="Times New Roman"/>
          <w:color w:val="000000" w:themeColor="text1"/>
          <w:kern w:val="2"/>
          <w:sz w:val="16"/>
          <w:szCs w:val="16"/>
        </w:rPr>
        <w:softHyphen/>
        <w:t>ности и аполитичности служили целям маскировки контр</w:t>
      </w:r>
      <w:r w:rsidRPr="002F2FDF">
        <w:rPr>
          <w:rFonts w:ascii="Times New Roman" w:hAnsi="Times New Roman" w:cs="Times New Roman"/>
          <w:color w:val="000000" w:themeColor="text1"/>
          <w:kern w:val="2"/>
          <w:sz w:val="16"/>
          <w:szCs w:val="16"/>
        </w:rPr>
        <w:softHyphen/>
        <w:t>революционных действий большинства членов совета (66,10).</w:t>
      </w:r>
    </w:p>
    <w:p w14:paraId="1F74AC7D"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09ECA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Рассматривая значение авиации 1913—1916 годов, нельзя не учитывать, что уже за три года первой мировой войны авиа</w:t>
      </w:r>
      <w:r w:rsidRPr="002F2FDF">
        <w:rPr>
          <w:rFonts w:ascii="Times New Roman" w:hAnsi="Times New Roman" w:cs="Times New Roman"/>
          <w:color w:val="000000" w:themeColor="text1"/>
          <w:kern w:val="2"/>
          <w:sz w:val="16"/>
          <w:szCs w:val="16"/>
        </w:rPr>
        <w:softHyphen/>
        <w:t>ция главных воевавших стран испытала большие перемены, несравненно более быстрые, чем другие виды вооружения и другие роды войск (11092).</w:t>
      </w:r>
    </w:p>
    <w:p w14:paraId="49C9D50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FE7D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канун октябрьской революции в ЭВК в летном состоянии оставалось не более шести самолетов С-16, то. Они достались в феврале 1918 г. австро-германским войскам, отсупавшим в Винницу, а затем находились в составе украинизированной “Эскадры повiтровiх кораблiв”, прекратившей свое существование осенью того же года. 0 применении С-16сер. в ЭВК сохранилось очень мало информаций. Главное внимание в боевой деятельности этого подразделения уделялось полетам воздушных кора6лей “Илья Муромец” . Малые самолеты в ЭВК выполняли вспомогательные функции и не имели даже собственных экипажей. С-16сер. преимущественно использовались для учебных целей в школе ЭВК и тренировочных полетов в боевых отрядах “муромцев” , Там, в отличие от истребительных авиаотрядов, отношение к С-16сер, было вполне доброжелательным. Опытному персоналу хорошо оборудованных мастерских ЭВК удалось устранить под непосредственным руководством И. И. Сикорского и Г. И. Лаврова ряд недостатков С-16сер., вызванных небрежностью сборки и отсутствием на заводе кондиционных материалов. Пилотажные характеристики хорошо отрегулированного самолета были столь высокими, что С-16сер. широко использовались для обучения на них начинающих пилотов. Многие прославившиеся впоследствии летчики прошли подготовку в школе ЭВК на С-16. Так, “артиллерийский офицер” воздушного корабля “Илья Муромец “капитан А. Н. Журавченко, ставший позднее профессором, крупнейшим советским специалистом по динамике полета, сдал 11 ноября 1916 г. на С-16сер. экзамен на звание военного летчика. До этого он совершил часовой самостоятельный полет, поднявшись на высоту 2670 м и спустившись по спирали на место взлета. Ведущим инструктором по обучению полетам на С-16сер. был поручик А, А. Кованько. В боевых отрядах ЭВК самолеты С-16сер. использовались для тренировок летчиков с целью сбережения ресурса “муромцев” и для связи с другими отрядами и базой ЭВК. Известно также, что летчики “муромцев” поднимались на приписанных к боевым отрядам “Сикорских-маленьких” для перехвата вражеских самолетов, совершавших налеты на аэродромы базирования воздушных кораблей, но сведений о каких-либо выдающихся победах не имеется. Главной причиной ограниченного применения С-16сер. в качестве истребителей-перехватчиков в ЭВК, так же как и в истребительных авиаотрядах, было отсутствие мощных двигателей. Эскадра получила ля своих легких самолетов только “ремонтно” моторы, да и то с огромным трудом. Августейший заведующий “легкой” авиацией наотрез отказывался делиться новейшими двигателями с истребителями “тяжелой” авиации, не без злорадства напоминая управлению Военно воздушного Флота (ВВФ) , что в 1915 г. генерал Шидловский “отрицал необходимость охраны “муромцев” истребителями” , доказывая их высокую боевую неуязвимость. Великий Князь не хотел учитывать, что на дворе стоял уже 1917 год и “муромцам” нужны были истребители хотя бы для прикрытия мест базирования. В результате на С-16сер. в ЭВК ставились двигатели, которые удавалось “выбить” для официально утвержденных учебных самолетов эскадренной школы. Это были подержанные моторы “Гном” , “Рон” и “Калеп” различной мощности. Например, в ноябре 1917 г. “долгожителю” Nо. 202 эксплуатировался с “Гномом” в 50 л. с., снятым со старого учебного “Фармана1Ч” . Были проблемы также и с вооружением самолетов. В связи с недостаточной надежностью синхронизаторов Лаврова пулеметы на С-16сер. перенесли в процессе эксплуатации на верхнее крыло, Пулеметы, кстати, также были “ремонтные” , т.е. добытые всеми правдами и неправдами благодаря связям М, В. Шидловского после ремонта на Тульском оружейном заводе, Естественно, оснащенные слабосильными моторами и недостаточно эффективным вооружением, эскадренные С-16сер. оказывали на противника больше моральное, чем боевое воздействие. Поднявшись с аэродрома базирования отряда “муромцев” , они могли спугнуть вражеский бомбардировщик, но догнать и связать его боем были уже не в состоянии. Самолеты С-15сер. показали пример исключительного по тем временам “долгожительство” . Их “служба” не прекратилась с падением Украинской Народной Республики, уже в 1918 г. летчики переправили всеми правдами и неправдами часть войскового авиационного имущества на Дон в формируемую Добровольческую Армию. Особенно много удалось захватить в 1919 г., когда Вооруженные Силы Юга России заняли большую часть фкраины (11188).</w:t>
      </w:r>
    </w:p>
    <w:p w14:paraId="6420AE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E297E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3E962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846C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 </w:t>
      </w:r>
      <w:r w:rsidR="001157F8" w:rsidRPr="002F2FDF">
        <w:rPr>
          <w:rFonts w:ascii="Times New Roman" w:hAnsi="Times New Roman" w:cs="Times New Roman"/>
          <w:color w:val="000000" w:themeColor="text1"/>
          <w:kern w:val="2"/>
          <w:sz w:val="16"/>
          <w:szCs w:val="16"/>
        </w:rPr>
        <w:t xml:space="preserve">(14) </w:t>
      </w:r>
      <w:r w:rsidRPr="002F2FDF">
        <w:rPr>
          <w:rFonts w:ascii="Times New Roman" w:hAnsi="Times New Roman" w:cs="Times New Roman"/>
          <w:color w:val="000000" w:themeColor="text1"/>
          <w:kern w:val="2"/>
          <w:sz w:val="16"/>
          <w:szCs w:val="16"/>
        </w:rPr>
        <w:t xml:space="preserve">октября 1917 г. был готов самолет системы Г. А. Ботезата, построенный по контракту ГВТУ с акционерным обществом заводов электромеханических сооружений (бывшее Товарищество Дюфлон - Константинович и К° - “Дека”) на постройку в 20-месячный срок двух самолетов системы Г. А. Ботезата. Общая стоимость заказа составляла 26 тыс. руб.) Это был биплан с толкающим винтом и двигателем “Рено” мощностью 220 л. с. Два таких двигателя были выданы заводу ГВТУ. Автоматическое равновесие в полете обеспечивалось с помощью специального прибора, сконструированного по принципу гироскопа. К сожалению, чертежи этой интересной машины не сохранились. На самолете профессора Ботезата еще до официальной приемки УВВФ был совершен пробный полет, закончившийся катастрофой. Из представленных военному ведомству показаний участников и свидетелей полета и гибели аэроплана следует, что это произошло в результате нелепой случайности. При взлете машина задела за березу и при падении разбилась. Коллегия УВВФ, рассмотрев заявление по этому поводу со стороны завода, постановила: </w:t>
      </w:r>
      <w:r w:rsidRPr="002F2FDF">
        <w:rPr>
          <w:rFonts w:ascii="Times New Roman" w:hAnsi="Times New Roman" w:cs="Times New Roman"/>
          <w:color w:val="000000" w:themeColor="text1"/>
          <w:kern w:val="2"/>
          <w:sz w:val="16"/>
          <w:szCs w:val="16"/>
        </w:rPr>
        <w:lastRenderedPageBreak/>
        <w:t>“Считать контракт на заказ двух аэропланов профессора Ботезата расторгнутым, выданных заводу в виде аванса сумм с него не взыскивать. Обязать завод возвратить Управлению военно-воздушного флота стоящий на аэроплане мотор”. Военное ведомство считало схему самолета Ботезата “нерациональной”. От его ремонта отказались под предлогом, что “ввиду отъезда автора за границу без его личного руководства трудно ожидать положительных результатов”. Двигатели были изъяты у завода и отправлены в Петроградский парк-склад авиационно-воздухоплавательного имущества. Так печально закончилась попытка опытной постройки самолета, который можно считать одним из первых самолетов, снабженных автопилотом (9705).</w:t>
      </w:r>
    </w:p>
    <w:p w14:paraId="2234B5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17905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1 по 10 </w:t>
      </w:r>
      <w:r w:rsidR="001157F8" w:rsidRPr="002F2FDF">
        <w:rPr>
          <w:rFonts w:ascii="Times New Roman" w:hAnsi="Times New Roman" w:cs="Times New Roman"/>
          <w:color w:val="000000" w:themeColor="text1"/>
          <w:kern w:val="2"/>
          <w:sz w:val="16"/>
          <w:szCs w:val="16"/>
        </w:rPr>
        <w:t xml:space="preserve">(14-23) </w:t>
      </w:r>
      <w:r w:rsidRPr="002F2FDF">
        <w:rPr>
          <w:rFonts w:ascii="Times New Roman" w:hAnsi="Times New Roman" w:cs="Times New Roman"/>
          <w:color w:val="000000" w:themeColor="text1"/>
          <w:kern w:val="2"/>
          <w:sz w:val="16"/>
          <w:szCs w:val="16"/>
        </w:rPr>
        <w:t>октября 1917 ожидался к испытаниям первый МВ-5, а второй — к концу октября 1917 г. Конструкция морского истребителя ВМ-5 разрабатывалась А.Ю. Виллишем еще с того времени, когда он сотрудничал с В.А. Лебедевым (см. соответствующую главу) и первый опытный экземпляр этой модели под мотор "Клерже" 130 л.с. даже мог быть начат построй</w:t>
      </w:r>
      <w:r w:rsidRPr="002F2FDF">
        <w:rPr>
          <w:rFonts w:ascii="Times New Roman" w:hAnsi="Times New Roman" w:cs="Times New Roman"/>
          <w:color w:val="000000" w:themeColor="text1"/>
          <w:kern w:val="2"/>
          <w:sz w:val="16"/>
          <w:szCs w:val="16"/>
        </w:rPr>
        <w:softHyphen/>
        <w:t>кой в конце 1916 г. на фирме названного предпринимателя. Затем проект перекочевал на фабрику Ф. Мельцера, которая 15 июля 1917 г. получила официальный заказ на изготов</w:t>
      </w:r>
      <w:r w:rsidRPr="002F2FDF">
        <w:rPr>
          <w:rFonts w:ascii="Times New Roman" w:hAnsi="Times New Roman" w:cs="Times New Roman"/>
          <w:color w:val="000000" w:themeColor="text1"/>
          <w:kern w:val="2"/>
          <w:sz w:val="16"/>
          <w:szCs w:val="16"/>
        </w:rPr>
        <w:softHyphen/>
        <w:t>ление двух истребителей Виллиша,каждый со 135-сильным "Клерже", данный в отмену ус</w:t>
      </w:r>
      <w:r w:rsidRPr="002F2FDF">
        <w:rPr>
          <w:rFonts w:ascii="Times New Roman" w:hAnsi="Times New Roman" w:cs="Times New Roman"/>
          <w:color w:val="000000" w:themeColor="text1"/>
          <w:kern w:val="2"/>
          <w:sz w:val="16"/>
          <w:szCs w:val="16"/>
        </w:rPr>
        <w:softHyphen/>
        <w:t>ловного контракта на два аппарата типа Э.1П с теми же двигателями. Сборку опытных машин планировалось осуществить в течение месяца, но потом программу их выпуска пе</w:t>
      </w:r>
      <w:r w:rsidRPr="002F2FDF">
        <w:rPr>
          <w:rFonts w:ascii="Times New Roman" w:hAnsi="Times New Roman" w:cs="Times New Roman"/>
          <w:color w:val="000000" w:themeColor="text1"/>
          <w:kern w:val="2"/>
          <w:sz w:val="16"/>
          <w:szCs w:val="16"/>
        </w:rPr>
        <w:softHyphen/>
        <w:t>ресмотрели с установлением более поздних сроков исполнения (2843)</w:t>
      </w:r>
    </w:p>
    <w:p w14:paraId="3208F8E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565D0B" w14:textId="6D134D45" w:rsidR="00C2390E" w:rsidRPr="00FB4F67" w:rsidRDefault="00C2390E"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 (</w:t>
      </w:r>
      <w:r w:rsidRPr="00FB4F67">
        <w:rPr>
          <w:rFonts w:ascii="Times New Roman" w:hAnsi="Times New Roman" w:cs="Times New Roman"/>
          <w:color w:val="0070C0"/>
          <w:sz w:val="16"/>
          <w:szCs w:val="16"/>
        </w:rPr>
        <w:t>14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«Анадис»  испытали в воздухе с пол</w:t>
      </w:r>
      <w:r w:rsidRPr="00FB4F67">
        <w:rPr>
          <w:rFonts w:ascii="Times New Roman" w:hAnsi="Times New Roman" w:cs="Times New Roman"/>
          <w:color w:val="0070C0"/>
          <w:sz w:val="16"/>
          <w:szCs w:val="16"/>
        </w:rPr>
        <w:softHyphen/>
        <w:t>ной нагрузкой 500 кг. Интересно, что в до</w:t>
      </w:r>
      <w:r w:rsidRPr="00FB4F67">
        <w:rPr>
          <w:rFonts w:ascii="Times New Roman" w:hAnsi="Times New Roman" w:cs="Times New Roman"/>
          <w:color w:val="0070C0"/>
          <w:sz w:val="16"/>
          <w:szCs w:val="16"/>
        </w:rPr>
        <w:softHyphen/>
        <w:t>полнение к опознавательным русским ко</w:t>
      </w:r>
      <w:r w:rsidRPr="00FB4F67">
        <w:rPr>
          <w:rFonts w:ascii="Times New Roman" w:hAnsi="Times New Roman" w:cs="Times New Roman"/>
          <w:color w:val="0070C0"/>
          <w:sz w:val="16"/>
          <w:szCs w:val="16"/>
        </w:rPr>
        <w:softHyphen/>
        <w:t>кардам «Анадис» весьма живописно раскра</w:t>
      </w:r>
      <w:r w:rsidRPr="00FB4F67">
        <w:rPr>
          <w:rFonts w:ascii="Times New Roman" w:hAnsi="Times New Roman" w:cs="Times New Roman"/>
          <w:color w:val="0070C0"/>
          <w:sz w:val="16"/>
          <w:szCs w:val="16"/>
        </w:rPr>
        <w:softHyphen/>
        <w:t>сили: на фюзеляже нарисовали двуглавого орла и флаги стран Антанты, на крыльях, полуобнаженных девушек.</w:t>
      </w:r>
    </w:p>
    <w:p w14:paraId="4D3C5247" w14:textId="77777777" w:rsidR="00C2390E" w:rsidRPr="00FB4F67" w:rsidRDefault="00C239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ноябре 1917 г. летчик Макаров отпра</w:t>
      </w:r>
      <w:r w:rsidRPr="00FB4F67">
        <w:rPr>
          <w:rFonts w:ascii="Times New Roman" w:hAnsi="Times New Roman" w:cs="Times New Roman"/>
          <w:color w:val="0070C0"/>
          <w:sz w:val="16"/>
          <w:szCs w:val="16"/>
        </w:rPr>
        <w:softHyphen/>
        <w:t>вился в перелет, однако по причине отказа двигателя потерпел аварию в районе горо</w:t>
      </w:r>
      <w:r w:rsidRPr="00FB4F67">
        <w:rPr>
          <w:rFonts w:ascii="Times New Roman" w:hAnsi="Times New Roman" w:cs="Times New Roman"/>
          <w:color w:val="0070C0"/>
          <w:sz w:val="16"/>
          <w:szCs w:val="16"/>
        </w:rPr>
        <w:softHyphen/>
        <w:t>да Яссы в Румынии. Дальнейшая история самолета неизвестна (23374).</w:t>
      </w:r>
    </w:p>
    <w:p w14:paraId="1E2D3B1F" w14:textId="77777777" w:rsidR="00C2390E" w:rsidRPr="00FB4F67" w:rsidRDefault="00C2390E" w:rsidP="0083075A">
      <w:pPr>
        <w:spacing w:after="0" w:line="240" w:lineRule="auto"/>
        <w:jc w:val="both"/>
        <w:rPr>
          <w:rFonts w:ascii="Times New Roman" w:hAnsi="Times New Roman" w:cs="Times New Roman"/>
          <w:color w:val="0070C0"/>
          <w:sz w:val="16"/>
          <w:szCs w:val="16"/>
        </w:rPr>
      </w:pPr>
    </w:p>
    <w:p w14:paraId="1D427318" w14:textId="77777777" w:rsidR="001157F8"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19460EC7"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B19E78"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октября 1917 г. Сообщение «Торгово-промышленной газеты» о закрытии промышленных предприятий за период с 1 марта по 1 августа 1917 г., по данным Министерства торговли и промышленности.</w:t>
      </w:r>
    </w:p>
    <w:p w14:paraId="4C192195"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44-46</w:t>
      </w:r>
    </w:p>
    <w:p w14:paraId="7B2A2F9C"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Одним из самых ярких показателей тяжелого положения нашей промышленности являются все учащающиеся случаи закрытия промышленных предприятий. Ввиду исключительной важности этого явления как для государства, так и для рабочего класса Отделом промышленности Министерства торговли и промышленности собраны через чинов фабричной инспекции данные о числе подчиненных надзору фабричной инспекции промышленных предприятий, приостановивших производство после 1 марта и к 1 августа его не возобновивших.</w:t>
      </w:r>
    </w:p>
    <w:p w14:paraId="1C7175C0"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Согласно этим данным, оказывается, что за период март—июль прекратили работы 568 предприятий со 104 372 рабочими. Среднее число рабочих на одно заведение составляет 183 чел. Это указывает, что приостановка производства главным образом наблюдалась в небольших предприятиях, которые вследствие своей экономической и финансовой слабости особенно страдают от дороговизны рабочих рук и сырья, а равно и от других ненормальных явлений пореволюционного времени.</w:t>
      </w:r>
    </w:p>
    <w:p w14:paraId="47BF06D0"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отдельным месяцам число закрывшихся предприятий и число рабочих в них распределялись следующим образом: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28"/>
        <w:gridCol w:w="2152"/>
        <w:gridCol w:w="1497"/>
      </w:tblGrid>
      <w:tr w:rsidR="002B1C74" w:rsidRPr="002F2FDF" w14:paraId="37B9440B"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753F05"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F540B"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закрывшихся заведений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810CD"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рабочих в них</w:t>
            </w:r>
          </w:p>
        </w:tc>
      </w:tr>
      <w:tr w:rsidR="002B1C74" w:rsidRPr="002F2FDF" w14:paraId="3167E0F0"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741CFB"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8B1DB"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C153E"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6644</w:t>
            </w:r>
          </w:p>
        </w:tc>
      </w:tr>
      <w:tr w:rsidR="002B1C74" w:rsidRPr="002F2FDF" w14:paraId="4FCD5249"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2D22DD"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F63A8"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F091D"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2816</w:t>
            </w:r>
          </w:p>
        </w:tc>
      </w:tr>
      <w:tr w:rsidR="002B1C74" w:rsidRPr="002F2FDF" w14:paraId="3D19F46C"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DA8F91"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2675E"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47C1A"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8701</w:t>
            </w:r>
          </w:p>
        </w:tc>
      </w:tr>
      <w:tr w:rsidR="002B1C74" w:rsidRPr="002F2FDF" w14:paraId="7FBB81F2"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C29A31"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22429"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23B58"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88755</w:t>
            </w:r>
          </w:p>
        </w:tc>
      </w:tr>
      <w:tr w:rsidR="002B1C74" w:rsidRPr="002F2FDF" w14:paraId="6803DBB6"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751F18"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6B110"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38862"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47754</w:t>
            </w:r>
          </w:p>
        </w:tc>
      </w:tr>
    </w:tbl>
    <w:p w14:paraId="7710B339"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Как видно из таблицы, уже первый после революции месяц ознаменовался приостановкой производства большого числа фабрик и заводов. В апреле число закрывшихся заведений было несколько меньше, но в следующие месяцы как число закрывшихся заведений, так и число освобождавшихся ими рабочих непрерывно возрастало. В частности, в июле по сравнению с мартом число закрывшихся заведений увеличилось более чем в 2)4 раза, а число рабочих более чем в 7 раз [см. верхнюю таблицу на стр. 45].</w:t>
      </w:r>
    </w:p>
    <w:p w14:paraId="56B8974E"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Как видно из приведенных данных, наибольшее число закрывшихся предприятий приходилось на обработку пищевых и вкусовых веществ — 196 заведений, второе место занимает обработка металлов — 91 заведение, затем следуют: обработка дерева •— 76 заведений, обработка хлопка — 49 заведений, обработка минеральных веществ — 44 заведения. По числу рабочих первое место занимает обработка хлопка — 53 417 чел., второе — обработка пищевых и вкусовых веществ —14 992 рабочих и третье — обработка металлов — 10 802 рабочих.</w:t>
      </w:r>
    </w:p>
    <w:p w14:paraId="02916015"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Большое число закрывшихся предприятий в группе обработки пищевых и вкусовых веществ объясняется тем, что вследствие неполучения</w:t>
      </w:r>
    </w:p>
    <w:p w14:paraId="1E1FC9D1"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зерна для номола целый ряд мукомольных мельниц вынужден был приостановить производство. Закрытие лесопильных заводов вызвано непод-возом сырья (кряжей) и повышенными требованиями рабочих. Закрытие хлонкообрабатываюіцих заведений вызвано отсутствием хлопка и топлива. В отличие от прочих производств, где приостановка работ коснулась главным образом небольших предприятий, в области хлопчатобумажной промышленности прекратили работы преимущественно крупные предприятия (среднее число рабочих на одно заведение составляло 1090 чел.).</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12"/>
        <w:gridCol w:w="748"/>
        <w:gridCol w:w="630"/>
      </w:tblGrid>
      <w:tr w:rsidR="002B1C74" w:rsidRPr="002F2FDF" w14:paraId="3C51947B"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8E15A5"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126B2"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w:t>
            </w:r>
          </w:p>
          <w:p w14:paraId="6D9646A4"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заведений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0E276"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w:t>
            </w:r>
          </w:p>
          <w:p w14:paraId="3D9C9D76"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рабочих</w:t>
            </w:r>
          </w:p>
        </w:tc>
      </w:tr>
      <w:tr w:rsidR="002B1C74" w:rsidRPr="002F2FDF" w14:paraId="2EEB371F"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B9F9A5"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Обработка: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AE2F2" w14:textId="73D1CDBB" w:rsidR="001157F8"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113A3" w14:textId="579CABB3" w:rsidR="001157F8"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48A255C7"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AE711D"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металлов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618A4"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BFA69"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10802</w:t>
            </w:r>
          </w:p>
        </w:tc>
      </w:tr>
      <w:tr w:rsidR="002B1C74" w:rsidRPr="002F2FDF" w14:paraId="179528C5"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C17FA6"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минеральных веществ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ABA4E"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A0241"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5704</w:t>
            </w:r>
          </w:p>
        </w:tc>
      </w:tr>
      <w:tr w:rsidR="002B1C74" w:rsidRPr="002F2FDF" w14:paraId="2E58A90A"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49C709"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животных продуктов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58A53"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854C4"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901</w:t>
            </w:r>
          </w:p>
        </w:tc>
      </w:tr>
      <w:tr w:rsidR="002B1C74" w:rsidRPr="002F2FDF" w14:paraId="6FF5723B"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59A333"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пищевых и вкусовых веществ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6A8B3"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2DEAC"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14992</w:t>
            </w:r>
          </w:p>
        </w:tc>
      </w:tr>
      <w:tr w:rsidR="002B1C74" w:rsidRPr="002F2FDF" w14:paraId="107DD5CA"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2C241D"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Химические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24EEA"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A53CD"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1596</w:t>
            </w:r>
          </w:p>
        </w:tc>
      </w:tr>
      <w:tr w:rsidR="002B1C74" w:rsidRPr="002F2FDF" w14:paraId="5893C96E"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7F52AA"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Прочие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32B03"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5D11B"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w:t>
            </w:r>
          </w:p>
        </w:tc>
      </w:tr>
      <w:tr w:rsidR="002B1C74" w:rsidRPr="002F2FDF" w14:paraId="733C97E8"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A36BE2"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Обработка: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E9EA8" w14:textId="698B4557" w:rsidR="001157F8"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97FE7" w14:textId="7747E229" w:rsidR="001157F8"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4759D02"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9C9B0F"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хлопка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59159"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5E9C3"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53417</w:t>
            </w:r>
          </w:p>
        </w:tc>
      </w:tr>
      <w:tr w:rsidR="002B1C74" w:rsidRPr="002F2FDF" w14:paraId="066AC665"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150DED"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шерсти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3F96A"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439D0"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2305</w:t>
            </w:r>
          </w:p>
        </w:tc>
      </w:tr>
      <w:tr w:rsidR="002B1C74" w:rsidRPr="002F2FDF" w14:paraId="1B5C88D4"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49BE66"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шелка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A2141"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A780E"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6226</w:t>
            </w:r>
          </w:p>
        </w:tc>
      </w:tr>
      <w:tr w:rsidR="002B1C74" w:rsidRPr="002F2FDF" w14:paraId="054F86DC"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F9FB64"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льна, пеньки и джута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E0504"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3548D"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1152</w:t>
            </w:r>
          </w:p>
        </w:tc>
      </w:tr>
      <w:tr w:rsidR="002B1C74" w:rsidRPr="002F2FDF" w14:paraId="10FE4958"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F54D1C"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Смешанные производства по обработке волокнистых веществ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C04F0"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635E4"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2771</w:t>
            </w:r>
          </w:p>
        </w:tc>
      </w:tr>
      <w:tr w:rsidR="002B1C74" w:rsidRPr="002F2FDF" w14:paraId="259C3563"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505C76"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Производства бумажное и полиграфическое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7C3C7"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E89E0"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1465</w:t>
            </w:r>
          </w:p>
        </w:tc>
      </w:tr>
      <w:tr w:rsidR="002B1C74" w:rsidRPr="002F2FDF" w14:paraId="3FFD98E1"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B8D6BA"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.Механическая обработка дерева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28D83"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BC2D1"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2971</w:t>
            </w:r>
          </w:p>
        </w:tc>
      </w:tr>
    </w:tbl>
    <w:p w14:paraId="7EDEB81E"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 как вопрос о причинах закрытия промышленных заведений представляет громадную важность, то мы считаем нужным привести более точные данные по этому вопросу.</w:t>
      </w:r>
    </w:p>
    <w:p w14:paraId="414A4292"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Причины закрытия, по данным Отдела промышленности, распределяются следующим образом: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96"/>
        <w:gridCol w:w="748"/>
        <w:gridCol w:w="630"/>
      </w:tblGrid>
      <w:tr w:rsidR="002B1C74" w:rsidRPr="002F2FDF" w14:paraId="65D3AC42"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E8B5A0"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Причины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CAC1D"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w:t>
            </w:r>
          </w:p>
          <w:p w14:paraId="19B3D171"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заведений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6AE19"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w:t>
            </w:r>
          </w:p>
          <w:p w14:paraId="3E01CAF3"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рабочих</w:t>
            </w:r>
          </w:p>
        </w:tc>
      </w:tr>
      <w:tr w:rsidR="002B1C74" w:rsidRPr="002F2FDF" w14:paraId="2C39FB73"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8453F8"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60B76" w14:textId="1D5DAFF8" w:rsidR="001157F8"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29AD1" w14:textId="309DD6DF" w:rsidR="001157F8"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3C7F28B7"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70351B"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хлопка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22DD7"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5738F"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8877</w:t>
            </w:r>
          </w:p>
        </w:tc>
      </w:tr>
      <w:tr w:rsidR="002B1C74" w:rsidRPr="002F2FDF" w14:paraId="49F20D7D"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49C061"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зерна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64984"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F2598"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6097</w:t>
            </w:r>
          </w:p>
        </w:tc>
      </w:tr>
      <w:tr w:rsidR="002B1C74" w:rsidRPr="002F2FDF" w14:paraId="0145C470"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FC4302"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материалов (кроме хлопка и зерна) .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39253"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13187"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14675</w:t>
            </w:r>
          </w:p>
        </w:tc>
      </w:tr>
      <w:tr w:rsidR="002B1C74" w:rsidRPr="002F2FDF" w14:paraId="7A53B245"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8DBF99"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топлива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C324B"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2220DE"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28573</w:t>
            </w:r>
          </w:p>
        </w:tc>
      </w:tr>
      <w:tr w:rsidR="002B1C74" w:rsidRPr="002F2FDF" w14:paraId="2C57465D"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EB0829"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зерна и топлива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4F9EB"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46AEF"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741</w:t>
            </w:r>
          </w:p>
        </w:tc>
      </w:tr>
      <w:tr w:rsidR="002B1C74" w:rsidRPr="002F2FDF" w14:paraId="2238BB0E"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333B13"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хлопка и топлива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E00D9"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36079"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19938</w:t>
            </w:r>
          </w:p>
        </w:tc>
      </w:tr>
      <w:tr w:rsidR="002B1C74" w:rsidRPr="002F2FDF" w14:paraId="5E930C4C"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6CCB4C"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материалов и топлива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010D4"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2765A"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3981</w:t>
            </w:r>
          </w:p>
        </w:tc>
      </w:tr>
      <w:tr w:rsidR="002B1C74" w:rsidRPr="002F2FDF" w14:paraId="56E18C65"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4BA2E4"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материалов и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4D227"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F0D63"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338</w:t>
            </w:r>
          </w:p>
        </w:tc>
      </w:tr>
      <w:tr w:rsidR="002B1C74" w:rsidRPr="002F2FDF" w14:paraId="634DFD8E"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D3DB3B"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E266C"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4DBB9"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350</w:t>
            </w:r>
          </w:p>
        </w:tc>
      </w:tr>
      <w:tr w:rsidR="002B1C74" w:rsidRPr="002F2FDF" w14:paraId="6E5739CB"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051703"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заказов и спроса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0B38B"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4B317"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3893</w:t>
            </w:r>
          </w:p>
        </w:tc>
      </w:tr>
      <w:tr w:rsidR="002B1C74" w:rsidRPr="002F2FDF" w14:paraId="2EA19078"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5102AE"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продовольствия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09045"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B96B6"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116</w:t>
            </w:r>
          </w:p>
        </w:tc>
      </w:tr>
      <w:tr w:rsidR="002B1C74" w:rsidRPr="002F2FDF" w14:paraId="40DC684C"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3028F5"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Уход рабочих на полевые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FFEEB"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354E3"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1786</w:t>
            </w:r>
          </w:p>
        </w:tc>
      </w:tr>
      <w:tr w:rsidR="002B1C74" w:rsidRPr="002F2FDF" w14:paraId="12D13FE6"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9A11A9"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4695E"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B2757"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5610</w:t>
            </w:r>
          </w:p>
        </w:tc>
      </w:tr>
      <w:tr w:rsidR="002B1C74" w:rsidRPr="002F2FDF" w14:paraId="6B0892F8"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8D27CF"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Недоразумения с рабочими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CEE17"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6C38C"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2691</w:t>
            </w:r>
          </w:p>
        </w:tc>
      </w:tr>
      <w:tr w:rsidR="002B1C74" w:rsidRPr="002F2FDF" w14:paraId="0C07E112"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FB2E60"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Убыточность и финансовые затруднения .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F0380"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60B2F"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4370</w:t>
            </w:r>
          </w:p>
        </w:tc>
      </w:tr>
      <w:tr w:rsidR="002B1C74" w:rsidRPr="002F2FDF" w14:paraId="05D88EB8"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521E99"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C89C1"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D9778"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1483</w:t>
            </w:r>
          </w:p>
        </w:tc>
      </w:tr>
      <w:tr w:rsidR="002B1C74" w:rsidRPr="002F2FDF" w14:paraId="1BDE6E46"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E7DE31"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Призыв владельцев или заведующих в войска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3E43A"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76A87"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113</w:t>
            </w:r>
          </w:p>
        </w:tc>
      </w:tr>
      <w:tr w:rsidR="002B1C74" w:rsidRPr="002F2FDF" w14:paraId="647A7135"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3933DE"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Прочие причины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7AD95"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AF01D"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740</w:t>
            </w:r>
          </w:p>
        </w:tc>
      </w:tr>
    </w:tbl>
    <w:p w14:paraId="4855F4F1"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Как видно из приведенных данных, наибольшее число заведений закрылось вследствие недостатка материалов и, в частности, зерна. Второе место среди причин занимали чрезмерные требования рабочих, третье — недостаток заказов и спроса, четвертое — отсутствие топлива. Довольно многочисленную группу составляли убыточность и финансовые затруднения (22 заведения) и ремонт заведений (23 заведения).</w:t>
      </w:r>
    </w:p>
    <w:p w14:paraId="24A2909A"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Следует отметить еще одну категорию причин, вызвавших приостановку работ предприятий, а именно — уход рабочих на сельскохозяйственные работы. Уход этот был вызван отсутствием рабочих сил в деревне для производства сельскохозяйственных работ.</w:t>
      </w:r>
    </w:p>
    <w:p w14:paraId="0B922FA0"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Рассматривая причины приостановки производства заведениями, мы видим, что отсутствие рабочих в общем играло среди указанных причин ничтожное значение. Так, только 8 заведений с 350 рабочими прекратили свое действие из-за отсутствия рабочих. Это подтверждает то положение, что на рынке труда недостаток рабочих ныне, в особенности в отношении квалифицированных рабочих, не ощущается, сменяясь по многим районам даже их избытком.</w:t>
      </w:r>
    </w:p>
    <w:p w14:paraId="0239D223"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полной картины наблюдающегося повсюду разрушения промышленности, взрощенной у нас с таким трудом, следует еще остановиться на вопросе о закрытии промышленных заведений по губерниям.</w:t>
      </w:r>
    </w:p>
    <w:p w14:paraId="7F3F475A"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более промышленным губерниям общее число приостановивших производство заведений распределялось следующим образом: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58"/>
        <w:gridCol w:w="748"/>
        <w:gridCol w:w="630"/>
      </w:tblGrid>
      <w:tr w:rsidR="002B1C74" w:rsidRPr="002F2FDF" w14:paraId="6152D653"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A14235"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Губернии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5B50E"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w:t>
            </w:r>
          </w:p>
          <w:p w14:paraId="10AFD712"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заведений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A801E"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w:t>
            </w:r>
          </w:p>
          <w:p w14:paraId="0D71C9AE"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рабочих</w:t>
            </w:r>
          </w:p>
        </w:tc>
      </w:tr>
      <w:tr w:rsidR="002B1C74" w:rsidRPr="002F2FDF" w14:paraId="6017DFEE"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F51E3F"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62688"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132D4"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45378</w:t>
            </w:r>
          </w:p>
        </w:tc>
      </w:tr>
      <w:tr w:rsidR="002B1C74" w:rsidRPr="002F2FDF" w14:paraId="2FF28425"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F6A367"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Петроградская.........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75626"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0BE55"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4522</w:t>
            </w:r>
          </w:p>
        </w:tc>
      </w:tr>
      <w:tr w:rsidR="002B1C74" w:rsidRPr="002F2FDF" w14:paraId="176057E4"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C43AF0"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Саратовская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5C534"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B48AF"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2795</w:t>
            </w:r>
          </w:p>
        </w:tc>
      </w:tr>
      <w:tr w:rsidR="002B1C74" w:rsidRPr="002F2FDF" w14:paraId="56CC2674"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187209"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Самарская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DBA38D"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E41B9"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4015</w:t>
            </w:r>
          </w:p>
        </w:tc>
      </w:tr>
      <w:tr w:rsidR="002B1C74" w:rsidRPr="002F2FDF" w14:paraId="7B738D21"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EC1E95"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Калужская..........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E304B"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F71F5"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2522</w:t>
            </w:r>
          </w:p>
        </w:tc>
      </w:tr>
      <w:tr w:rsidR="002B1C74" w:rsidRPr="002F2FDF" w14:paraId="7D64E2A5"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FA35FC"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Кубанская обл.........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5B5EE"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11378"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2078</w:t>
            </w:r>
          </w:p>
        </w:tc>
      </w:tr>
      <w:tr w:rsidR="002B1C74" w:rsidRPr="002F2FDF" w14:paraId="5AC29699"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57BE1E"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Владимирская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54736"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9B2F2"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14156</w:t>
            </w:r>
          </w:p>
        </w:tc>
      </w:tr>
    </w:tbl>
    <w:p w14:paraId="76185D9F"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Как видно из таблицы, наибольшее число приостановивших производство заведений приходится на Московскую губ., второе место занимает Петроградская губ., а третье — Саратовская. По числу освободившихся в указанных заведениях рабочих на первом месте стоит Московская губ., на втором — Владимирская, а на третьем — Петроградская. В Московской и Владимирской губерниях приостановка наблюдалась главным образом на текстильных фабриках, а в Петроградской — на механических заводах.</w:t>
      </w:r>
    </w:p>
    <w:p w14:paraId="1FCC9686"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Тенденция к закрытию промышленных предприятий все усиливается</w:t>
      </w:r>
      <w:hyperlink r:id="rId581" w:anchor="_ftn1" w:history="1">
        <w:r w:rsidRPr="002F2FDF">
          <w:rPr>
            <w:rFonts w:ascii="Times New Roman" w:hAnsi="Times New Roman" w:cs="Times New Roman"/>
            <w:color w:val="000000" w:themeColor="text1"/>
            <w:kern w:val="2"/>
            <w:sz w:val="16"/>
            <w:szCs w:val="16"/>
          </w:rPr>
          <w:t>[1]</w:t>
        </w:r>
      </w:hyperlink>
      <w:r w:rsidRPr="002F2FDF">
        <w:rPr>
          <w:rFonts w:ascii="Times New Roman" w:hAnsi="Times New Roman" w:cs="Times New Roman"/>
          <w:color w:val="000000" w:themeColor="text1"/>
          <w:kern w:val="2"/>
          <w:sz w:val="16"/>
          <w:szCs w:val="16"/>
        </w:rPr>
        <w:t>. Все увеличиваются трудности по снабжению промышленности топливом и сырьем…</w:t>
      </w:r>
      <w:hyperlink r:id="rId582" w:anchor="_ftn2" w:history="1">
        <w:r w:rsidRPr="002F2FDF">
          <w:rPr>
            <w:rFonts w:ascii="Times New Roman" w:hAnsi="Times New Roman" w:cs="Times New Roman"/>
            <w:color w:val="000000" w:themeColor="text1"/>
            <w:kern w:val="2"/>
            <w:sz w:val="16"/>
            <w:szCs w:val="16"/>
          </w:rPr>
          <w:t>[2]</w:t>
        </w:r>
      </w:hyperlink>
    </w:p>
    <w:p w14:paraId="06B74C9A"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 Деревянко. «.Торгово-промышленная газета», № 213, 1/14 октября 1917 г.</w:t>
      </w:r>
    </w:p>
    <w:p w14:paraId="41027315" w14:textId="77777777" w:rsidR="001157F8"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83" w:anchor="_ftnref1" w:history="1">
        <w:r w:rsidR="001157F8" w:rsidRPr="002F2FDF">
          <w:rPr>
            <w:rFonts w:ascii="Times New Roman" w:hAnsi="Times New Roman" w:cs="Times New Roman"/>
            <w:color w:val="000000" w:themeColor="text1"/>
            <w:kern w:val="2"/>
            <w:sz w:val="16"/>
            <w:szCs w:val="16"/>
          </w:rPr>
          <w:t>[1]</w:t>
        </w:r>
      </w:hyperlink>
      <w:r w:rsidR="001157F8" w:rsidRPr="002F2FDF">
        <w:rPr>
          <w:rFonts w:ascii="Times New Roman" w:hAnsi="Times New Roman" w:cs="Times New Roman"/>
          <w:color w:val="000000" w:themeColor="text1"/>
          <w:kern w:val="2"/>
          <w:sz w:val="16"/>
          <w:szCs w:val="16"/>
        </w:rPr>
        <w:t xml:space="preserve"> По данным Министерства труда, приведенным в статье П. Самойлова, опубликованной в журнале «Промышленность и торговля» (№ 42—43 от 25 ноября 1917 г.), в августе и сентябре месяцах было закрыто еще 231 предприятие. По далеко неполным данным Министерства труда, количество безработных увеличилось еще на 61 тыс. чел. В первую очередь закрывались металлообрабатывающие заводы.</w:t>
      </w:r>
    </w:p>
    <w:p w14:paraId="1605BCE1" w14:textId="77777777" w:rsidR="001157F8"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84" w:anchor="_ftnref2" w:history="1">
        <w:r w:rsidR="001157F8" w:rsidRPr="002F2FDF">
          <w:rPr>
            <w:rFonts w:ascii="Times New Roman" w:hAnsi="Times New Roman" w:cs="Times New Roman"/>
            <w:color w:val="000000" w:themeColor="text1"/>
            <w:kern w:val="2"/>
            <w:sz w:val="16"/>
            <w:szCs w:val="16"/>
          </w:rPr>
          <w:t>[2]</w:t>
        </w:r>
      </w:hyperlink>
      <w:r w:rsidR="001157F8" w:rsidRPr="002F2FDF">
        <w:rPr>
          <w:rFonts w:ascii="Times New Roman" w:hAnsi="Times New Roman" w:cs="Times New Roman"/>
          <w:color w:val="000000" w:themeColor="text1"/>
          <w:kern w:val="2"/>
          <w:sz w:val="16"/>
          <w:szCs w:val="16"/>
        </w:rPr>
        <w:t xml:space="preserve"> Опущен конец статьи, содержащий обычные в устах буржуазного экономиста обвинения рабочих в развале промышленности и насилиях над предпринимателями (15710).</w:t>
      </w:r>
    </w:p>
    <w:p w14:paraId="752BCBD1"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p>
    <w:p w14:paraId="2C370717"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октября 1917 Резолюция 1 конференции представителей рудничных комитетов Донецкого бассейна о причинах падения добычи топлива в Донбассе и о мерах ее предотвращения</w:t>
      </w:r>
    </w:p>
    <w:p w14:paraId="5617C210"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84-85</w:t>
      </w:r>
    </w:p>
    <w:p w14:paraId="687CCF4E"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ЦГАОР, ф. 472, оп. 1, д. 18, л. 162. Копия.</w:t>
      </w:r>
    </w:p>
    <w:p w14:paraId="1729C7F8"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Заслушав доклад тов. В. П. Рейниша о положении страны в связи с падением добычи топлива в Донецком бассейне и заслушав доклады мест, I конференция рудничных комитетов Донецкого бассейна констатирует:</w:t>
      </w:r>
    </w:p>
    <w:p w14:paraId="38E92666"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Хищническое ведение добычи, установив, что подготовительные работы, которые могли бы обеспечить дальнейшую добычу угля, не ведутся.</w:t>
      </w:r>
    </w:p>
    <w:p w14:paraId="6372DE76"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Дальнейшее падение добычи несет за собой весь ужас безработицы п анархии.</w:t>
      </w:r>
    </w:p>
    <w:p w14:paraId="48CD32AD"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Низкая заработная плата и полуголодное существование в корне убивают истощенный организм рудничных рабочих.</w:t>
      </w:r>
    </w:p>
    <w:p w14:paraId="031E0093"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Затянувшаяся война, убивающая все живые и производительные силы страны.</w:t>
      </w:r>
    </w:p>
    <w:p w14:paraId="3108C632"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Игнорирование указаний и пожеланий рабочих организаций, направленных к поднятию добычи, и открытый поход контрреволюционной буржуазии против революции и пролетариата.</w:t>
      </w:r>
    </w:p>
    <w:p w14:paraId="38A827E3"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Недопустимое индифферентное отношение администрации рудников к исполнению своих служебных обязанностей.</w:t>
      </w:r>
    </w:p>
    <w:p w14:paraId="260EF107"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Бегство со своих постов и оставление администрацией рудников на произвол судьбы вносит страшную анархию в жизнь рудника.</w:t>
      </w:r>
    </w:p>
    <w:p w14:paraId="264170E9"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Пересмотр и изменение инструкций о ведении горных работ.</w:t>
      </w:r>
    </w:p>
    <w:p w14:paraId="37956C8B"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Конференция заявляет, что рабочие Донецкого бассейна, учитывая всю важность переживаемого момента, постановили добиваться всеми имеющимися в распоряжении рабочих средствами:</w:t>
      </w:r>
    </w:p>
    <w:p w14:paraId="7A71D86D"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Немедленного введения минимальной заработной платы и таксировки цен продуктов потребления в общегосударственном масштабе.</w:t>
      </w:r>
    </w:p>
    <w:p w14:paraId="7C88B5D2"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Разрешения беспрепятственного ввоза в Донецкий бассейн продовольствия рабочими организациями.</w:t>
      </w:r>
    </w:p>
    <w:p w14:paraId="23B42C9B"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Издания решительных законов по проведению строжайшего контроля промышленности, предоставления широких прав рабочим организациям для проведения контроля на местах.</w:t>
      </w:r>
    </w:p>
    <w:p w14:paraId="521FFEC3"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Снабжения экстренно рудников и шахт всеми необходимыми материалами и техническим оборудованием: рельсами, лошадьми и т. д.</w:t>
      </w:r>
    </w:p>
    <w:p w14:paraId="307D717B"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Конференция категорически заявляет, что дальнейшее игнорирование указанных положений грозит полной приостановкой работ не только в Донецком бассейне, но и всей промышленности и полной остановкой транспорта.</w:t>
      </w:r>
    </w:p>
    <w:p w14:paraId="57775213" w14:textId="77777777" w:rsidR="001157F8"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85" w:anchor="_ftnref1" w:history="1">
        <w:r w:rsidR="001157F8" w:rsidRPr="002F2FDF">
          <w:rPr>
            <w:rFonts w:ascii="Times New Roman" w:hAnsi="Times New Roman" w:cs="Times New Roman"/>
            <w:color w:val="000000" w:themeColor="text1"/>
            <w:kern w:val="2"/>
            <w:sz w:val="16"/>
            <w:szCs w:val="16"/>
          </w:rPr>
          <w:t>[1]</w:t>
        </w:r>
      </w:hyperlink>
      <w:r w:rsidR="001157F8" w:rsidRPr="002F2FDF">
        <w:rPr>
          <w:rFonts w:ascii="Times New Roman" w:hAnsi="Times New Roman" w:cs="Times New Roman"/>
          <w:color w:val="000000" w:themeColor="text1"/>
          <w:kern w:val="2"/>
          <w:sz w:val="16"/>
          <w:szCs w:val="16"/>
        </w:rPr>
        <w:t xml:space="preserve"> Конференция представителей рудничных комитетов Донецкого бассейна состоялась в Дебальцеве 1 октября 1917 г. На конференции был заслушан основной доклад Б. ГІ. Рейниша «О положении страны в связи с падением добычи топлива в Донецком бассейне», а также сообщения представителей рудничных комитетов об </w:t>
      </w:r>
      <w:r w:rsidR="001157F8" w:rsidRPr="002F2FDF">
        <w:rPr>
          <w:rFonts w:ascii="Times New Roman" w:hAnsi="Times New Roman" w:cs="Times New Roman"/>
          <w:color w:val="000000" w:themeColor="text1"/>
          <w:kern w:val="2"/>
          <w:sz w:val="16"/>
          <w:szCs w:val="16"/>
        </w:rPr>
        <w:lastRenderedPageBreak/>
        <w:t>экономическом положении рабочих, состоянии и условиях добычи топлива и т. д. Участники конференции приняли публикуемую резолюцию. (Известия Московского Совета рабочих депутатов, № 185, 12 октября 1917 г.) (15693).</w:t>
      </w:r>
    </w:p>
    <w:p w14:paraId="17948D4E"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p>
    <w:p w14:paraId="38FD9A1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40E2D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0358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1 (14) октября 1917 в ВВФ состояло 91 отряд: 39 корпусных, 12 армейских, 15 истребительных, 7 Сибирских, 4 кавказских, 2 гвардейских 3 артиллерийских и по одному Туркестанский, Гренадерский, 1-й Польский, Петроградский, Кронштадский, Одесский, ревельский6 Чудовский (гидроавиационный). В Эскадре ВК было 5 отрядов в составе 30 экипажей. Было и 87 воздухоплавательных станций (3658).</w:t>
      </w:r>
    </w:p>
    <w:p w14:paraId="1E5884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DD9B19" w14:textId="05197A61" w:rsidR="00E44BF8" w:rsidRPr="002F2FDF" w:rsidRDefault="00E44BF8" w:rsidP="0083075A">
      <w:pPr>
        <w:pStyle w:val="ae"/>
        <w:spacing w:before="0" w:after="0"/>
        <w:jc w:val="both"/>
        <w:rPr>
          <w:color w:val="000000" w:themeColor="text1"/>
          <w:kern w:val="2"/>
          <w:sz w:val="16"/>
          <w:szCs w:val="16"/>
        </w:rPr>
      </w:pPr>
      <w:r w:rsidRPr="002F2FDF">
        <w:rPr>
          <w:color w:val="000000" w:themeColor="text1"/>
          <w:kern w:val="2"/>
          <w:sz w:val="16"/>
          <w:szCs w:val="16"/>
        </w:rPr>
        <w:t>На 1</w:t>
      </w:r>
      <w:r w:rsidR="00E52569">
        <w:rPr>
          <w:color w:val="000000" w:themeColor="text1"/>
          <w:kern w:val="2"/>
          <w:sz w:val="16"/>
          <w:szCs w:val="16"/>
        </w:rPr>
        <w:t xml:space="preserve"> </w:t>
      </w:r>
      <w:r w:rsidRPr="002F2FDF">
        <w:rPr>
          <w:color w:val="000000" w:themeColor="text1"/>
          <w:kern w:val="2"/>
          <w:sz w:val="16"/>
          <w:szCs w:val="16"/>
        </w:rPr>
        <w:t>(14) октября 1917</w:t>
      </w:r>
      <w:r w:rsidR="00E52569">
        <w:rPr>
          <w:color w:val="000000" w:themeColor="text1"/>
          <w:kern w:val="2"/>
          <w:sz w:val="16"/>
          <w:szCs w:val="16"/>
        </w:rPr>
        <w:t xml:space="preserve"> </w:t>
      </w:r>
      <w:r w:rsidRPr="002F2FDF">
        <w:rPr>
          <w:color w:val="000000" w:themeColor="text1"/>
          <w:kern w:val="2"/>
          <w:sz w:val="16"/>
          <w:szCs w:val="16"/>
        </w:rPr>
        <w:t>года в подчинении ПУАВ имелся 91</w:t>
      </w:r>
      <w:r w:rsidR="00E52569">
        <w:rPr>
          <w:color w:val="000000" w:themeColor="text1"/>
          <w:kern w:val="2"/>
          <w:sz w:val="16"/>
          <w:szCs w:val="16"/>
        </w:rPr>
        <w:t xml:space="preserve"> </w:t>
      </w:r>
      <w:r w:rsidRPr="002F2FDF">
        <w:rPr>
          <w:color w:val="000000" w:themeColor="text1"/>
          <w:kern w:val="2"/>
          <w:sz w:val="16"/>
          <w:szCs w:val="16"/>
        </w:rPr>
        <w:t>авиаотряд. Эскадра воздушных кораблей, оперативно подчинённая НШ</w:t>
      </w:r>
      <w:r w:rsidR="00E52569">
        <w:rPr>
          <w:color w:val="000000" w:themeColor="text1"/>
          <w:kern w:val="2"/>
          <w:sz w:val="16"/>
          <w:szCs w:val="16"/>
        </w:rPr>
        <w:t xml:space="preserve"> </w:t>
      </w:r>
      <w:r w:rsidRPr="002F2FDF">
        <w:rPr>
          <w:color w:val="000000" w:themeColor="text1"/>
          <w:kern w:val="2"/>
          <w:sz w:val="16"/>
          <w:szCs w:val="16"/>
        </w:rPr>
        <w:t>ВГК, состояла из 5</w:t>
      </w:r>
      <w:r w:rsidR="00E52569">
        <w:rPr>
          <w:color w:val="000000" w:themeColor="text1"/>
          <w:kern w:val="2"/>
          <w:sz w:val="16"/>
          <w:szCs w:val="16"/>
        </w:rPr>
        <w:t xml:space="preserve"> </w:t>
      </w:r>
      <w:r w:rsidRPr="002F2FDF">
        <w:rPr>
          <w:color w:val="000000" w:themeColor="text1"/>
          <w:kern w:val="2"/>
          <w:sz w:val="16"/>
          <w:szCs w:val="16"/>
        </w:rPr>
        <w:t>авиаотрядов (всего 30</w:t>
      </w:r>
      <w:r w:rsidR="00E52569">
        <w:rPr>
          <w:color w:val="000000" w:themeColor="text1"/>
          <w:kern w:val="2"/>
          <w:sz w:val="16"/>
          <w:szCs w:val="16"/>
        </w:rPr>
        <w:t xml:space="preserve"> </w:t>
      </w:r>
      <w:r w:rsidRPr="002F2FDF">
        <w:rPr>
          <w:color w:val="000000" w:themeColor="text1"/>
          <w:kern w:val="2"/>
          <w:sz w:val="16"/>
          <w:szCs w:val="16"/>
        </w:rPr>
        <w:t>экипажей). Воздухоплавательная служба включала 87 отрядов (17042).</w:t>
      </w:r>
    </w:p>
    <w:p w14:paraId="0493E2D4" w14:textId="77777777" w:rsidR="00E44BF8" w:rsidRPr="002F2FDF" w:rsidRDefault="00E44B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71A33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bookmarkStart w:id="351" w:name="_Hlk119516290"/>
      <w:r w:rsidRPr="002F2FDF">
        <w:rPr>
          <w:rFonts w:ascii="Times New Roman" w:hAnsi="Times New Roman" w:cs="Times New Roman"/>
          <w:color w:val="000000" w:themeColor="text1"/>
          <w:kern w:val="2"/>
          <w:sz w:val="16"/>
          <w:szCs w:val="16"/>
        </w:rPr>
        <w:t>1 (14) октября 1917 по данным отдела по устройству и службе войск на 1 октября в ВВФ состояло авиационных отрядов 91, из коих: 39 корпусных, 12 армейских, 15 истребитель</w:t>
      </w:r>
      <w:r w:rsidRPr="002F2FDF">
        <w:rPr>
          <w:rFonts w:ascii="Times New Roman" w:hAnsi="Times New Roman" w:cs="Times New Roman"/>
          <w:color w:val="000000" w:themeColor="text1"/>
          <w:kern w:val="2"/>
          <w:sz w:val="16"/>
          <w:szCs w:val="16"/>
        </w:rPr>
        <w:softHyphen/>
        <w:t>ных, 7 Сибирских;^ Кавказских, 2 Гвардейских, 3 Артилле</w:t>
      </w:r>
      <w:r w:rsidRPr="002F2FDF">
        <w:rPr>
          <w:rFonts w:ascii="Times New Roman" w:hAnsi="Times New Roman" w:cs="Times New Roman"/>
          <w:color w:val="000000" w:themeColor="text1"/>
          <w:kern w:val="2"/>
          <w:sz w:val="16"/>
          <w:szCs w:val="16"/>
        </w:rPr>
        <w:softHyphen/>
        <w:t>рийских и по одному: Туркестанский, Гренадерский, 1-й Поль</w:t>
      </w:r>
      <w:r w:rsidRPr="002F2FDF">
        <w:rPr>
          <w:rFonts w:ascii="Times New Roman" w:hAnsi="Times New Roman" w:cs="Times New Roman"/>
          <w:color w:val="000000" w:themeColor="text1"/>
          <w:kern w:val="2"/>
          <w:sz w:val="16"/>
          <w:szCs w:val="16"/>
        </w:rPr>
        <w:softHyphen/>
        <w:t>ский, Петроградский, Кронштадтский, Одесский, Ревсльский, Чудский (гидрозвиэционный) и один отряд при школе летчи</w:t>
      </w:r>
      <w:r w:rsidRPr="002F2FDF">
        <w:rPr>
          <w:rFonts w:ascii="Times New Roman" w:hAnsi="Times New Roman" w:cs="Times New Roman"/>
          <w:color w:val="000000" w:themeColor="text1"/>
          <w:kern w:val="2"/>
          <w:sz w:val="16"/>
          <w:szCs w:val="16"/>
        </w:rPr>
        <w:softHyphen/>
        <w:t>ков-наблюдателей. Эскадра воздушных кораблей состояла из 5 отрядов в составе 30 экипажей. Воздухоплавание было представлено 87 воздухоплавательными отрядами. Кроме того, в ВВФ оставалось все то, что было сформировано за время войны (см.сводку на 1 марта 1917 г.). (ЦГВИА. Ф. 493, оп. 3, Д.102, лл.102-103).</w:t>
      </w:r>
    </w:p>
    <w:p w14:paraId="7A8EC09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bookmarkEnd w:id="351"/>
    <w:p w14:paraId="03775FF3" w14:textId="77777777" w:rsidR="00510171" w:rsidRPr="00A922C3" w:rsidRDefault="00510171"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A922C3">
        <w:rPr>
          <w:rFonts w:ascii="Times New Roman" w:hAnsi="Times New Roman" w:cs="Times New Roman"/>
          <w:color w:val="0070C0"/>
          <w:kern w:val="2"/>
          <w:sz w:val="16"/>
          <w:szCs w:val="16"/>
        </w:rPr>
        <w:t>1 (14) октября 1917 по данным отдела по устройству и службе войск на 1 октября в ВВФ состояло авиационных отрядов 91, из коих: 39 корпусных, 12 армейских, 15 истребитель</w:t>
      </w:r>
      <w:r w:rsidRPr="00A922C3">
        <w:rPr>
          <w:rFonts w:ascii="Times New Roman" w:hAnsi="Times New Roman" w:cs="Times New Roman"/>
          <w:color w:val="0070C0"/>
          <w:kern w:val="2"/>
          <w:sz w:val="16"/>
          <w:szCs w:val="16"/>
        </w:rPr>
        <w:softHyphen/>
        <w:t>ных, 7 Сибирских;^ Кавказских, 2 Гвардейских, 3 Артилле</w:t>
      </w:r>
      <w:r w:rsidRPr="00A922C3">
        <w:rPr>
          <w:rFonts w:ascii="Times New Roman" w:hAnsi="Times New Roman" w:cs="Times New Roman"/>
          <w:color w:val="0070C0"/>
          <w:kern w:val="2"/>
          <w:sz w:val="16"/>
          <w:szCs w:val="16"/>
        </w:rPr>
        <w:softHyphen/>
        <w:t>рийских и по одному: Туркестанский, Гренадерский, 1-й Поль</w:t>
      </w:r>
      <w:r w:rsidRPr="00A922C3">
        <w:rPr>
          <w:rFonts w:ascii="Times New Roman" w:hAnsi="Times New Roman" w:cs="Times New Roman"/>
          <w:color w:val="0070C0"/>
          <w:kern w:val="2"/>
          <w:sz w:val="16"/>
          <w:szCs w:val="16"/>
        </w:rPr>
        <w:softHyphen/>
        <w:t>ский, Петроградский, Кронштадтский, Одесский, Рев</w:t>
      </w:r>
      <w:r>
        <w:rPr>
          <w:rFonts w:ascii="Times New Roman" w:hAnsi="Times New Roman" w:cs="Times New Roman"/>
          <w:color w:val="0070C0"/>
          <w:kern w:val="2"/>
          <w:sz w:val="16"/>
          <w:szCs w:val="16"/>
        </w:rPr>
        <w:t>е</w:t>
      </w:r>
      <w:r w:rsidRPr="00A922C3">
        <w:rPr>
          <w:rFonts w:ascii="Times New Roman" w:hAnsi="Times New Roman" w:cs="Times New Roman"/>
          <w:color w:val="0070C0"/>
          <w:kern w:val="2"/>
          <w:sz w:val="16"/>
          <w:szCs w:val="16"/>
        </w:rPr>
        <w:t>льский, Чудский (гидро</w:t>
      </w:r>
      <w:r>
        <w:rPr>
          <w:rFonts w:ascii="Times New Roman" w:hAnsi="Times New Roman" w:cs="Times New Roman"/>
          <w:color w:val="0070C0"/>
          <w:kern w:val="2"/>
          <w:sz w:val="16"/>
          <w:szCs w:val="16"/>
        </w:rPr>
        <w:t>а</w:t>
      </w:r>
      <w:r w:rsidRPr="00A922C3">
        <w:rPr>
          <w:rFonts w:ascii="Times New Roman" w:hAnsi="Times New Roman" w:cs="Times New Roman"/>
          <w:color w:val="0070C0"/>
          <w:kern w:val="2"/>
          <w:sz w:val="16"/>
          <w:szCs w:val="16"/>
        </w:rPr>
        <w:t>ви</w:t>
      </w:r>
      <w:r>
        <w:rPr>
          <w:rFonts w:ascii="Times New Roman" w:hAnsi="Times New Roman" w:cs="Times New Roman"/>
          <w:color w:val="0070C0"/>
          <w:kern w:val="2"/>
          <w:sz w:val="16"/>
          <w:szCs w:val="16"/>
        </w:rPr>
        <w:t>а</w:t>
      </w:r>
      <w:r w:rsidRPr="00A922C3">
        <w:rPr>
          <w:rFonts w:ascii="Times New Roman" w:hAnsi="Times New Roman" w:cs="Times New Roman"/>
          <w:color w:val="0070C0"/>
          <w:kern w:val="2"/>
          <w:sz w:val="16"/>
          <w:szCs w:val="16"/>
        </w:rPr>
        <w:t>ционный) и один отряд при школе летчи</w:t>
      </w:r>
      <w:r w:rsidRPr="00A922C3">
        <w:rPr>
          <w:rFonts w:ascii="Times New Roman" w:hAnsi="Times New Roman" w:cs="Times New Roman"/>
          <w:color w:val="0070C0"/>
          <w:kern w:val="2"/>
          <w:sz w:val="16"/>
          <w:szCs w:val="16"/>
        </w:rPr>
        <w:softHyphen/>
        <w:t>ков-наблюдателей. Эскадра воздушных кораблей состояла из 5 отрядов в составе 30 экипажей. Воздухоплавание было представлено 87 воздухоплавательными отрядами. Кроме того, в ВВФ оставалось все то, что было сформировано за время войны (см.сводку на 1 марта 1917 г.).</w:t>
      </w:r>
    </w:p>
    <w:p w14:paraId="15A89405" w14:textId="77777777" w:rsidR="00510171" w:rsidRPr="00A922C3" w:rsidRDefault="00510171"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A922C3">
        <w:rPr>
          <w:rFonts w:ascii="Times New Roman" w:hAnsi="Times New Roman" w:cs="Times New Roman"/>
          <w:color w:val="0070C0"/>
          <w:kern w:val="2"/>
          <w:sz w:val="16"/>
          <w:szCs w:val="16"/>
        </w:rPr>
        <w:t>/ЦГВИА. Ф. 493, оп. 3, д. 102, лл. 102-103/ (23320).</w:t>
      </w:r>
    </w:p>
    <w:p w14:paraId="7F4333C4" w14:textId="77777777" w:rsidR="00510171" w:rsidRPr="00A922C3" w:rsidRDefault="00510171"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p>
    <w:p w14:paraId="517FD56C" w14:textId="77777777" w:rsidR="00C977C1" w:rsidRPr="002F2FDF" w:rsidRDefault="00C977C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1 (14) октября 1917 г. в подчинении в ПУАВ состояли 96 авиаотрядов. Авиатехника была представлена около 1,5 тыс. самолетов (более 25 различных типов). Многие из них были неисправны. Разнотипность самолетов затрудняла их ремонт. На вооружении состояли в основном самолеты иностранных конструкций. Из типов отечественных машин выделялся тяжелый четырехмоторный воздушный корабль «Илья Муромец». Особое место среди руководящих органов авиации и воздухоплавания занимал Всероссийский совет Воздушного флота (Авиасовет) в составе 29 человек (по другим данным – в составе 31 человека), избранный на 1-м Всероссийском авиационном съезде, проходившем с 8 июля до 26 августа 1917 г. в Москве. Это был исполнительный коллегиальный орган по координации деятельности авиационных частей и учреждений. «Левое крыло» Авиасовета представляли в основном А.В. Сергеев (от Западного фронта), П.С. Дубенский (от Эскадры воздушных кораблей «Илья Муромец»), И.К. Кириллов (от воздухоплавательных частей), Н.В. Васильев (от авиапарков), Н. Зражевский (от Петроградских авиазаводов), В.С. Горшков и Я.Т. Конкин (от авиационных отрядов), А.П. Комаров и З.Я. Ландау (от гидроавиации). Наиболее активную позицию среди левых в Авиасовете занимал член РСДРП(б) с 1911 г. летчик-солдат А.В. Сергеев (19566).</w:t>
      </w:r>
    </w:p>
    <w:p w14:paraId="302B6547" w14:textId="77777777" w:rsidR="00C977C1" w:rsidRPr="002F2FDF" w:rsidRDefault="00C977C1" w:rsidP="0083075A">
      <w:pPr>
        <w:spacing w:after="0" w:line="240" w:lineRule="auto"/>
        <w:jc w:val="both"/>
        <w:rPr>
          <w:rFonts w:ascii="Times New Roman" w:hAnsi="Times New Roman" w:cs="Times New Roman"/>
          <w:color w:val="000000" w:themeColor="text1"/>
          <w:sz w:val="16"/>
          <w:szCs w:val="16"/>
        </w:rPr>
      </w:pPr>
    </w:p>
    <w:p w14:paraId="0BD934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октября 1917 один из трёх самолетов противника был атакован в районе Гу</w:t>
      </w:r>
      <w:r w:rsidRPr="002F2FDF">
        <w:rPr>
          <w:rFonts w:ascii="Times New Roman" w:hAnsi="Times New Roman" w:cs="Times New Roman"/>
          <w:color w:val="000000" w:themeColor="text1"/>
          <w:kern w:val="2"/>
          <w:sz w:val="16"/>
          <w:szCs w:val="16"/>
        </w:rPr>
        <w:softHyphen/>
        <w:t>сятина двумя летчиками 7-го истротряда 1БАГ штабс-ротмистром Гроховальским и прапорщиком Янченко. В бою принимал участие и летчик 4-го као старший унтер-офицер Павлов. Сби</w:t>
      </w:r>
      <w:r w:rsidRPr="002F2FDF">
        <w:rPr>
          <w:rFonts w:ascii="Times New Roman" w:hAnsi="Times New Roman" w:cs="Times New Roman"/>
          <w:color w:val="000000" w:themeColor="text1"/>
          <w:kern w:val="2"/>
          <w:sz w:val="16"/>
          <w:szCs w:val="16"/>
        </w:rPr>
        <w:softHyphen/>
        <w:t>тый самолет упал у Кутковце на нашей территории. “Альбатрос” С.Ill при па</w:t>
      </w:r>
      <w:r w:rsidRPr="002F2FDF">
        <w:rPr>
          <w:rFonts w:ascii="Times New Roman" w:hAnsi="Times New Roman" w:cs="Times New Roman"/>
          <w:color w:val="000000" w:themeColor="text1"/>
          <w:kern w:val="2"/>
          <w:sz w:val="16"/>
          <w:szCs w:val="16"/>
        </w:rPr>
        <w:softHyphen/>
        <w:t>дении был совершенно разбит, экипаж погиб. Две решительных атаки прове</w:t>
      </w:r>
      <w:r w:rsidRPr="002F2FDF">
        <w:rPr>
          <w:rFonts w:ascii="Times New Roman" w:hAnsi="Times New Roman" w:cs="Times New Roman"/>
          <w:color w:val="000000" w:themeColor="text1"/>
          <w:kern w:val="2"/>
          <w:sz w:val="16"/>
          <w:szCs w:val="16"/>
        </w:rPr>
        <w:softHyphen/>
        <w:t>ли Гроховальский и Янченко, им и была отдана эта победа. Павлов в своих вос</w:t>
      </w:r>
      <w:r w:rsidRPr="002F2FDF">
        <w:rPr>
          <w:rFonts w:ascii="Times New Roman" w:hAnsi="Times New Roman" w:cs="Times New Roman"/>
          <w:color w:val="000000" w:themeColor="text1"/>
          <w:kern w:val="2"/>
          <w:sz w:val="16"/>
          <w:szCs w:val="16"/>
        </w:rPr>
        <w:softHyphen/>
        <w:t>поминаниях утверждает, что бой с пя</w:t>
      </w:r>
      <w:r w:rsidRPr="002F2FDF">
        <w:rPr>
          <w:rFonts w:ascii="Times New Roman" w:hAnsi="Times New Roman" w:cs="Times New Roman"/>
          <w:color w:val="000000" w:themeColor="text1"/>
          <w:kern w:val="2"/>
          <w:sz w:val="16"/>
          <w:szCs w:val="16"/>
        </w:rPr>
        <w:softHyphen/>
        <w:t>тью самолетами противника он вел один и сбил истребитель “Роланд” с немецким летчиком Шольцем. Изуче</w:t>
      </w:r>
      <w:r w:rsidRPr="002F2FDF">
        <w:rPr>
          <w:rFonts w:ascii="Times New Roman" w:hAnsi="Times New Roman" w:cs="Times New Roman"/>
          <w:color w:val="000000" w:themeColor="text1"/>
          <w:kern w:val="2"/>
          <w:sz w:val="16"/>
          <w:szCs w:val="16"/>
        </w:rPr>
        <w:softHyphen/>
        <w:t>ние архивных документов показало, что ни одно из этих его утверждений не соответствует действительности (3954).</w:t>
      </w:r>
    </w:p>
    <w:p w14:paraId="26CD63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7A18FF" w14:textId="787600A1"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1 </w:t>
      </w:r>
      <w:r w:rsidR="00510171">
        <w:rPr>
          <w:rFonts w:ascii="Times New Roman" w:hAnsi="Times New Roman" w:cs="Times New Roman"/>
          <w:color w:val="000000" w:themeColor="text1"/>
          <w:kern w:val="2"/>
          <w:sz w:val="16"/>
          <w:szCs w:val="16"/>
        </w:rPr>
        <w:t xml:space="preserve">(14) </w:t>
      </w:r>
      <w:r w:rsidRPr="002F2FDF">
        <w:rPr>
          <w:rFonts w:ascii="Times New Roman" w:hAnsi="Times New Roman" w:cs="Times New Roman"/>
          <w:color w:val="000000" w:themeColor="text1"/>
          <w:kern w:val="2"/>
          <w:sz w:val="16"/>
          <w:szCs w:val="16"/>
        </w:rPr>
        <w:t xml:space="preserve">октября </w:t>
      </w:r>
      <w:r w:rsidR="00510171">
        <w:rPr>
          <w:rFonts w:ascii="Times New Roman" w:hAnsi="Times New Roman" w:cs="Times New Roman"/>
          <w:color w:val="000000" w:themeColor="text1"/>
          <w:kern w:val="2"/>
          <w:sz w:val="16"/>
          <w:szCs w:val="16"/>
        </w:rPr>
        <w:t>1917 г. с</w:t>
      </w:r>
      <w:r w:rsidRPr="002F2FDF">
        <w:rPr>
          <w:rFonts w:ascii="Times New Roman" w:hAnsi="Times New Roman" w:cs="Times New Roman"/>
          <w:color w:val="000000" w:themeColor="text1"/>
          <w:kern w:val="2"/>
          <w:sz w:val="16"/>
          <w:szCs w:val="16"/>
        </w:rPr>
        <w:t xml:space="preserve"> 1 июня на Румынском фронте потери были незначительными: летчик-ас Григорий Сук из 9-го истребительного АО разбился на своем аэродроме, 4 человека получили ранения в воздушных боях, по различным причинам были разбиты 3 самолета. За это же время противник потерял в воздушных боях и в результате вынужденных посадок на русской территории 29 самолетов, из них 20 - от действий авиаторов, 4 - от огня зенитной артиллерии, 2 - от пулеметного обстрела и 3 - по другим причинам (11237).</w:t>
      </w:r>
    </w:p>
    <w:p w14:paraId="571DB5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CC62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 (14) октября 1917 противник снова предпринял попытку прорваться на Кассарский плес. Около 14 ч линкор «Кайзер» с дистанции 110 каб открыл огонь по находившимся в дозоре эсминцам «Победитель», «Забияка», «Гром» и «Константин». Снявшись с якорей и открыв ответный огонь, эсминцы стали отходить. Получивший тяжелые повреждения и взятый на буксир подошедшей канлодкой «Храбрый» эсминец «Гром» тоже вел огонь по врагу. Выйдя из-под обстрела, русские корабли продолжали наблюдение за противником. </w:t>
      </w:r>
    </w:p>
    <w:p w14:paraId="20EECA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Около 15 ч 10 мин неожиданно появившиеся из тумана 9 германских эсминцев, разделившись на две группы, предприняли мапевр, пытаясь отрезать русским кораблям отход в прол. Моонзунд (Муху-Вяйн). Во время завязавшегося боя 2 вражеских эсминца были повреждены и прекратили погоню. Трос, на котором канлодка буксировала эсминец «Гром», лопнул, возобновить буксировку не удалось и ввиду тяжелого положения эсминца было решено затопить его. Сняв с «Грома» команду и отходя с остальными эсминцами, канлодка «Храбрый» вела бой с атакующими вражескими кораблями и потопила один из них. Оставшийся на «Громе» минный старшина Ф. Е. Самончук выпустил торпеду по одному из эсминцев противника, а затем взорвал свой корабль. При появлении шедших на выручку 7 русских эсминцев вражеские корабли прекратили бой и отошли. </w:t>
      </w:r>
    </w:p>
    <w:p w14:paraId="03D082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ночь на 2 октября 1917 по приказу командования минный заградитель «Припять» выставил мины на Кассарском плесе, на которых днем подорвался германский эсминец. Два других корабля противника, пытаясь обойти минные заграждения, сели на мель. </w:t>
      </w:r>
    </w:p>
    <w:p w14:paraId="713A0F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Днем 2 октября под натиском превосходящих сил вражеского десанта гарнизон о. Эзель был вынужден оставить остров. </w:t>
      </w:r>
    </w:p>
    <w:p w14:paraId="5B6A49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Утром 4 октября вражеские тральщики под прикрытием миноносцев приступили к тралению проходов в районе русских минных заграждений перед Моопзундом. Несмотря на значительное превосходство сил противника (2 ЛК, 2 КР, 11 ЭМ), начальник морских сил Рижского залива контр-адмирал Бахирев, располагая всего двумя старыми линкорами «Слава» и «Гражданин» и броненосным крейсером «Баян», решил дать бой у Куйваста (Приморск) на минно-артиллерийской позиции. Русские линкоры открыли огонь по неприятельским тральщикам и вынудили их отойти (один тральщик был потоплен, другой — подбит). Оба германских линкора с дистанции 130 каб открыли огонь по русским кораблям. Под прикрытием дымовой завесы тральщики вновь возобновили траление. </w:t>
      </w:r>
    </w:p>
    <w:p w14:paraId="179395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Около полудня, обойдя с востока минные заграждения, германская эскадра попыталась прорваться в прол. Моонзунд. Во время боя крейсер «Адмирал Макаров», стоявший на якоре в проливе, своим огнем парализовал действия германских эсминцев на Кассарском плесе. В ходе боя «Слава» получила семь попаданий, два из них ниже ватерлинии, в результате чего корабль принял более 1 тыс. т воды и получил крен; два снаряда попали в линкор «Гражданин» и один — в крейсер «Баян». Но несмотря на это. корабли успешно отражали атаки вражеских самолетов, уклоняясь от сброшенных на них мин. Один самолет был сбит огнем «Славы». </w:t>
      </w:r>
    </w:p>
    <w:p w14:paraId="13D6CC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Полученные повреждения вынудили русские корабли начать отход. Сильно увеличившаяся осадка «Славы» не позволяла ей пройти через прол. Моонзунд, и линкор пришлось затопить у южного входа. Остальные корабли ушли на север, затопив 4 транспорта и выставив минные заграждения на фарватере прол. Моонзунд. </w:t>
      </w:r>
    </w:p>
    <w:p w14:paraId="327167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Лишенный поддержки с моря, гарнизон не мог успешно оборонять острова архипелага, поэтому по приказу командования он был эвакуирован, а база в Рогокюле ликвидирована. Но, несмотря на захват Моонзундского арх., немцам так и не удалось уничтожить русские корабли в прол. Моонзунд, и 7 октября германское командование было вынуждено отказаться от прорыва эскадры в Финский зал. </w:t>
      </w:r>
    </w:p>
    <w:p w14:paraId="43AB00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Обороняя дальние подступы к революционному Петрограду, моряки-балтийцы доказали, свою преданность делу революции. Героически сражаясь с превосходящими силами противника, они уничтожили 12 эсминцев и миноносцев, 6 тральщиков, сбили 2 самолета, повредили 3 линкора и 13 эсминцев и миноносцев. </w:t>
      </w:r>
    </w:p>
    <w:p w14:paraId="124C64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Моряки Балтики сорвали попытку международной реакции подавить революцию в России силами германского империализма. Героическая оборона Моонзунда способствовала победе Октябрьского вооруженного восстания в Петрограде (11712).</w:t>
      </w:r>
    </w:p>
    <w:p w14:paraId="17A7B4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0E73DF" w14:textId="152A71A5" w:rsidR="00C2390E" w:rsidRPr="00FB4F67" w:rsidRDefault="00C2390E" w:rsidP="0083075A">
      <w:pPr>
        <w:spacing w:after="0" w:line="240" w:lineRule="auto"/>
        <w:jc w:val="both"/>
        <w:rPr>
          <w:rFonts w:ascii="Times New Roman" w:hAnsi="Times New Roman" w:cs="Times New Roman"/>
          <w:color w:val="0070C0"/>
          <w:sz w:val="16"/>
          <w:szCs w:val="16"/>
        </w:rPr>
      </w:pPr>
      <w:bookmarkStart w:id="352" w:name="bookmark989"/>
      <w:r>
        <w:rPr>
          <w:rFonts w:ascii="Times New Roman" w:hAnsi="Times New Roman" w:cs="Times New Roman"/>
          <w:color w:val="0070C0"/>
          <w:sz w:val="16"/>
          <w:szCs w:val="16"/>
        </w:rPr>
        <w:t>1 (</w:t>
      </w:r>
      <w:r w:rsidRPr="00FB4F67">
        <w:rPr>
          <w:rFonts w:ascii="Times New Roman" w:hAnsi="Times New Roman" w:cs="Times New Roman"/>
          <w:color w:val="0070C0"/>
          <w:sz w:val="16"/>
          <w:szCs w:val="16"/>
        </w:rPr>
        <w:t>14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боевой порядок ВВС России (с севера на юг) был следующим: Петроградский АО в Петрограде; Кронштадтский АО в Кронштадте; 12-я армия с 10-й КАО, 23-й КАО, 33-й КАО, 12-й армейской АО, 1-й ФАО, 12-й ФАО и 4-й БАГ с 5-й ФАО, 13-й ФАО, 14-й ФАО и 15-й ФАО; 1-я армия с АО 5-й армии; 5-я армия в составе 13-й КАО, 17-й КАО, 29-й КАО, 38-й КАО, 1-й армии АО и 11-й ФАО; 3-я армия с 15-й КАО, 25-й КАО, 50-й КАО, 3-й ФАО и 3-я БАГ с 1-й КАО, 3-я БАГ с 1-й КАО. 11-й КАО и 22-й КАО; 10-я армия в составе 18-й КАО, 34-й КАО, 7-й Сибирской КАО. 10-я армия АО; 2-я армия в составе 21-й КАО, 24-й КАО, 2-й армии АО, 5-й Сибирской КАО, 6-й Сибирский КАО и Гренадерский КАО; 11-я армия с АО 11-й армии, АО 13-й армии. 6-я армия АО, 1-я гвардейская КАО, 35-я КАО, 3-я Сибирская КАО, 2-я артиллерийская АО, 2-я ФАО. и 2-й БАГ с 3-м КАО, 7-м КАО и 8-м КАО; 7-я армия в составе 2-й гвардейской КАО, 12-й КАО, 32-й КАО, 9-й армейской АО, 2-й Сибирской КАО, 4-й артиллерийской АО, 7-й ФАО и 1-й БАГ в составе 2-й КАО, 4-й КАО и 19-й КАО; 13-я армия в составе 9-й КАО, </w:t>
      </w:r>
      <w:r w:rsidRPr="00FB4F67">
        <w:rPr>
          <w:rFonts w:ascii="Times New Roman" w:hAnsi="Times New Roman" w:cs="Times New Roman"/>
          <w:color w:val="0070C0"/>
          <w:sz w:val="16"/>
          <w:szCs w:val="16"/>
        </w:rPr>
        <w:lastRenderedPageBreak/>
        <w:t>31-й КАО. 37-я КАО, 4-я Сибирская КАО, 1-я Туркестанская КАО и 6-я ФАО; 8-я армия с 5-й КАО, 16-й КАО, 3-й армейской АО, 8-й армейской АО и 8-й ФАО; 9-я армия в составе 26-й КАО, 28-й КАО, 30-й КАО и 9-й ФАО; 4-я армия с 14-й КАО. 27 КАО. 4-я армия АО и 4-я ФАО; 6-я армия в составе 6-й КАО, 20-й КАО. 36-я КАО и 10-я ФАО; Кавказская армия в составе 1-й, 2-й, 3-й и 4-й Кавказских К АО; В резерве или на переформировании находились 41-я КАО, 1-я артиллерийская АО и четыре неустановленные части (23525).</w:t>
      </w:r>
    </w:p>
    <w:p w14:paraId="79800089" w14:textId="77777777" w:rsidR="00C2390E" w:rsidRPr="00FB4F67" w:rsidRDefault="00C2390E" w:rsidP="0083075A">
      <w:pPr>
        <w:spacing w:after="0" w:line="240" w:lineRule="auto"/>
        <w:jc w:val="both"/>
        <w:rPr>
          <w:rFonts w:ascii="Times New Roman" w:hAnsi="Times New Roman" w:cs="Times New Roman"/>
          <w:color w:val="0070C0"/>
          <w:sz w:val="16"/>
          <w:szCs w:val="16"/>
        </w:rPr>
      </w:pPr>
    </w:p>
    <w:p w14:paraId="344A12D9" w14:textId="22D3BB49" w:rsidR="00C2390E" w:rsidRPr="00FB4F67" w:rsidRDefault="00C2390E" w:rsidP="0083075A">
      <w:pPr>
        <w:spacing w:after="0" w:line="240" w:lineRule="auto"/>
        <w:jc w:val="both"/>
        <w:rPr>
          <w:rFonts w:ascii="Times New Roman" w:hAnsi="Times New Roman" w:cs="Times New Roman"/>
          <w:color w:val="0070C0"/>
          <w:sz w:val="16"/>
          <w:szCs w:val="16"/>
        </w:rPr>
      </w:pPr>
      <w:bookmarkStart w:id="353" w:name="bookmark981"/>
      <w:bookmarkStart w:id="354" w:name="bookmark982"/>
      <w:bookmarkEnd w:id="352"/>
      <w:r>
        <w:rPr>
          <w:rFonts w:ascii="Times New Roman" w:hAnsi="Times New Roman" w:cs="Times New Roman"/>
          <w:color w:val="0070C0"/>
          <w:sz w:val="16"/>
          <w:szCs w:val="16"/>
        </w:rPr>
        <w:t>1 (</w:t>
      </w:r>
      <w:r w:rsidRPr="00FB4F67">
        <w:rPr>
          <w:rFonts w:ascii="Times New Roman" w:hAnsi="Times New Roman" w:cs="Times New Roman"/>
          <w:color w:val="0070C0"/>
          <w:sz w:val="16"/>
          <w:szCs w:val="16"/>
        </w:rPr>
        <w:t>14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в полосе Юго-Западного фронта военные летчики 7-го авиаотряда истребителей штабс-ротмистр Т.-В.А. Гроховальский и прапорщик В.И. Янченко атаковали четыре неприятельских аэроплана в районе Городка (на Гусятинском направлении) и сбили один из них - германский разведчик «Альбатрос» C. III, упавший в нашем тылу. Остальные три самолета противника уклонились от дальнейшего боя и ушли в свое расположение</w:t>
      </w:r>
      <w:hyperlink w:anchor="bookmark2015" w:tooltip="Current Document">
        <w:r w:rsidRPr="00FB4F67">
          <w:rPr>
            <w:rStyle w:val="a5"/>
            <w:rFonts w:ascii="Times New Roman" w:hAnsi="Times New Roman" w:cs="Times New Roman"/>
            <w:color w:val="0070C0"/>
            <w:sz w:val="16"/>
            <w:szCs w:val="16"/>
          </w:rPr>
          <w:t>!</w:t>
        </w:r>
      </w:hyperlink>
      <w:r w:rsidRPr="00FB4F67">
        <w:rPr>
          <w:rFonts w:ascii="Times New Roman" w:hAnsi="Times New Roman" w:cs="Times New Roman"/>
          <w:color w:val="0070C0"/>
          <w:sz w:val="16"/>
          <w:szCs w:val="16"/>
        </w:rPr>
        <w:t>.</w:t>
      </w:r>
      <w:bookmarkEnd w:id="353"/>
      <w:bookmarkEnd w:id="354"/>
    </w:p>
    <w:p w14:paraId="18C1DF28" w14:textId="77777777" w:rsidR="00C2390E" w:rsidRPr="00FB4F67" w:rsidRDefault="00C2390E" w:rsidP="0083075A">
      <w:pPr>
        <w:spacing w:after="0" w:line="240" w:lineRule="auto"/>
        <w:jc w:val="both"/>
        <w:rPr>
          <w:rFonts w:ascii="Times New Roman" w:hAnsi="Times New Roman" w:cs="Times New Roman"/>
          <w:color w:val="0070C0"/>
          <w:sz w:val="16"/>
          <w:szCs w:val="16"/>
        </w:rPr>
      </w:pPr>
      <w:bookmarkStart w:id="355" w:name="bookmark983"/>
      <w:r w:rsidRPr="00FB4F67">
        <w:rPr>
          <w:rFonts w:ascii="Times New Roman" w:hAnsi="Times New Roman" w:cs="Times New Roman"/>
          <w:color w:val="0070C0"/>
          <w:sz w:val="16"/>
          <w:szCs w:val="16"/>
        </w:rPr>
        <w:t>В этот же день на Румынском фронте военный летчик 9-го авиаотряда истребителей прапорщик Г.Э. Сук в воздушном бою сбил германский летательный аппарат истребительного типа, упавший юго- восточнее Радауца. В обоих случаях экипажи вражеских самолетов погибли (23405).</w:t>
      </w:r>
      <w:bookmarkEnd w:id="355"/>
    </w:p>
    <w:p w14:paraId="609AD094" w14:textId="77777777" w:rsidR="00C2390E" w:rsidRPr="00FB4F67" w:rsidRDefault="00C2390E" w:rsidP="0083075A">
      <w:pPr>
        <w:spacing w:after="0" w:line="240" w:lineRule="auto"/>
        <w:jc w:val="both"/>
        <w:rPr>
          <w:rFonts w:ascii="Times New Roman" w:hAnsi="Times New Roman" w:cs="Times New Roman"/>
          <w:color w:val="0070C0"/>
          <w:sz w:val="16"/>
          <w:szCs w:val="16"/>
        </w:rPr>
      </w:pPr>
    </w:p>
    <w:p w14:paraId="2E40AFCF" w14:textId="286C9714" w:rsidR="00C2390E" w:rsidRPr="00FB4F67" w:rsidRDefault="00C2390E"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 (</w:t>
      </w:r>
      <w:r w:rsidRPr="00FB4F67">
        <w:rPr>
          <w:rFonts w:ascii="Times New Roman" w:hAnsi="Times New Roman" w:cs="Times New Roman"/>
          <w:color w:val="0070C0"/>
          <w:sz w:val="16"/>
          <w:szCs w:val="16"/>
        </w:rPr>
        <w:t>14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вражеская авиагруппа (9 </w:t>
      </w:r>
      <w:bookmarkStart w:id="356" w:name="bookmark990"/>
      <w:bookmarkStart w:id="357" w:name="bookmark991"/>
      <w:r w:rsidRPr="00FB4F67">
        <w:rPr>
          <w:rFonts w:ascii="Times New Roman" w:hAnsi="Times New Roman" w:cs="Times New Roman"/>
          <w:color w:val="0070C0"/>
          <w:sz w:val="16"/>
          <w:szCs w:val="16"/>
        </w:rPr>
        <w:t>гидроаэропланов) атаковала два наших аппарата, вылетевших с Цереля на разведку. В ходе воздушного боя один русский самолет был сбит и упал в море, другой - дотянул до Рогекюля (Рохукула). В свою очередь в районе о. Эзель морской летчик З.К. Галактионов уничтожил неприятельский летательный аппарат.</w:t>
      </w:r>
      <w:bookmarkEnd w:id="356"/>
      <w:bookmarkEnd w:id="357"/>
    </w:p>
    <w:p w14:paraId="02A55D36" w14:textId="77777777" w:rsidR="00C2390E" w:rsidRPr="00FB4F67" w:rsidRDefault="00C2390E" w:rsidP="0083075A">
      <w:pPr>
        <w:spacing w:after="0" w:line="240" w:lineRule="auto"/>
        <w:jc w:val="both"/>
        <w:rPr>
          <w:rFonts w:ascii="Times New Roman" w:hAnsi="Times New Roman" w:cs="Times New Roman"/>
          <w:color w:val="0070C0"/>
          <w:sz w:val="16"/>
          <w:szCs w:val="16"/>
        </w:rPr>
      </w:pPr>
      <w:bookmarkStart w:id="358" w:name="bookmark992"/>
      <w:r w:rsidRPr="00FB4F67">
        <w:rPr>
          <w:rFonts w:ascii="Times New Roman" w:hAnsi="Times New Roman" w:cs="Times New Roman"/>
          <w:color w:val="0070C0"/>
          <w:sz w:val="16"/>
          <w:szCs w:val="16"/>
        </w:rPr>
        <w:t>Несмотря на создавшееся критическое положение, морские летчики, как и экипажи морских сил Балтийского моря, приняв ранее обращение на II съезде военных моряков в Гельсингфорсе (Хельсинки) «твердо держать фронт и оберегать подступы к Петрограду», оказали наступавшему противнику упорное сопротивление. Нередко нашим летчикам, решавшим разведывательно-бомбардировочные задачи, приходилось, как отмечено выше, ввязываться в воздушные бои с превосходящими силами немецкой авиации.</w:t>
      </w:r>
      <w:bookmarkEnd w:id="358"/>
    </w:p>
    <w:p w14:paraId="1CF59F42" w14:textId="77777777" w:rsidR="00C2390E" w:rsidRPr="00FB4F67" w:rsidRDefault="00C2390E" w:rsidP="0083075A">
      <w:pPr>
        <w:spacing w:after="0" w:line="240" w:lineRule="auto"/>
        <w:jc w:val="both"/>
        <w:rPr>
          <w:rFonts w:ascii="Times New Roman" w:hAnsi="Times New Roman" w:cs="Times New Roman"/>
          <w:color w:val="0070C0"/>
          <w:sz w:val="16"/>
          <w:szCs w:val="16"/>
        </w:rPr>
      </w:pPr>
      <w:bookmarkStart w:id="359" w:name="bookmark993"/>
      <w:r w:rsidRPr="00FB4F67">
        <w:rPr>
          <w:rFonts w:ascii="Times New Roman" w:hAnsi="Times New Roman" w:cs="Times New Roman"/>
          <w:color w:val="0070C0"/>
          <w:sz w:val="16"/>
          <w:szCs w:val="16"/>
        </w:rPr>
        <w:t>Нерешенным вопросом являлось отсутствие тесного взаимодействия между нашими воздушными и морскими силами. Иногда это приводило к трагическим последствиям. Имелись случаи, когда русские самолеты попадали под «дружественный» обстрел и даже сбивались огнем своей корабельной артиллерии.</w:t>
      </w:r>
      <w:bookmarkEnd w:id="359"/>
    </w:p>
    <w:p w14:paraId="15EB7B20" w14:textId="77777777" w:rsidR="00C2390E" w:rsidRPr="00FB4F67" w:rsidRDefault="00C239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14 октября немецкая авиация предприняла попытку с воздуха уничтожить воздушную станцию в районе г. Кильконд.</w:t>
      </w:r>
    </w:p>
    <w:p w14:paraId="05DF446F" w14:textId="77777777" w:rsidR="00C2390E" w:rsidRPr="00FB4F67" w:rsidRDefault="00C239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Первоначально летно-техническому составу станции удавалось минимизировать последствия налетов, используя умелую маскировку и ложные сооружения. Однако противнику удалось провести тщательную воздушную рекогносцировку местности и скорректировать свои воздушные удары. В результате вся деятельность станции оказалась практически парализована. С приближением к ней передовых частей германского десантного корпуса она подверглась ожесточенному артиллерийскому обстрелу. Под шквальным огнем русские летчики сумели погрузить неисправные летательные аппараты на транспорт, а на исправных самолетах обеспечивали с воздуха их воздушное прикрытие. Оставшееся авиационное имущество было уничтожено на месте.</w:t>
      </w:r>
    </w:p>
    <w:p w14:paraId="61510694" w14:textId="77777777" w:rsidR="00C2390E" w:rsidRPr="00FB4F67" w:rsidRDefault="00C239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Немецкая сторона оперативно переоборудовала захваченный русский аэродром для своих нужд и перебазировала туда восемь гидросамолетов, обслуживавших 42-ю немецкую пехотную дивизию. Позднее на бывшую русскую воздушную станцию вблизи г. Аренсбург прибыл полевой авиаотряд № 16, обеспечивая поддержку с воздуха </w:t>
      </w:r>
      <w:bookmarkStart w:id="360" w:name="bookmark994"/>
      <w:r w:rsidRPr="00FB4F67">
        <w:rPr>
          <w:rFonts w:ascii="Times New Roman" w:hAnsi="Times New Roman" w:cs="Times New Roman"/>
          <w:color w:val="0070C0"/>
          <w:sz w:val="16"/>
          <w:szCs w:val="16"/>
        </w:rPr>
        <w:t>десантной операции. Так, по донесениям воздушной разведки и корректировки артиллерийского огня, 2-я флотилия миноносцев сумела подавить сопротивление нашей полевой артиллерии, а 15 октября огнем 4-й эскадры был вызван пожар на Церельском маяке (23405).</w:t>
      </w:r>
      <w:bookmarkEnd w:id="360"/>
    </w:p>
    <w:p w14:paraId="5A8FCF72" w14:textId="77777777" w:rsidR="00C2390E" w:rsidRDefault="00C2390E"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5370D610" w14:textId="658B131A" w:rsidR="004231CF" w:rsidRPr="00FB4F67" w:rsidRDefault="004231CF" w:rsidP="0083075A">
      <w:pPr>
        <w:spacing w:after="0" w:line="240" w:lineRule="auto"/>
        <w:jc w:val="both"/>
        <w:rPr>
          <w:rFonts w:ascii="Times New Roman" w:hAnsi="Times New Roman" w:cs="Times New Roman"/>
          <w:color w:val="0070C0"/>
          <w:sz w:val="16"/>
          <w:szCs w:val="16"/>
        </w:rPr>
      </w:pPr>
      <w:bookmarkStart w:id="361" w:name="bookmark953"/>
      <w:bookmarkStart w:id="362" w:name="bookmark954"/>
      <w:r w:rsidRPr="00FB4F67">
        <w:rPr>
          <w:rFonts w:ascii="Times New Roman" w:hAnsi="Times New Roman" w:cs="Times New Roman"/>
          <w:color w:val="0070C0"/>
          <w:sz w:val="16"/>
          <w:szCs w:val="16"/>
        </w:rPr>
        <w:t xml:space="preserve">В ночь на 1 </w:t>
      </w:r>
      <w:r>
        <w:rPr>
          <w:rFonts w:ascii="Times New Roman" w:hAnsi="Times New Roman" w:cs="Times New Roman"/>
          <w:color w:val="0070C0"/>
          <w:sz w:val="16"/>
          <w:szCs w:val="16"/>
        </w:rPr>
        <w:t xml:space="preserve">(14) </w:t>
      </w:r>
      <w:r w:rsidRPr="00FB4F67">
        <w:rPr>
          <w:rFonts w:ascii="Times New Roman" w:hAnsi="Times New Roman" w:cs="Times New Roman"/>
          <w:color w:val="0070C0"/>
          <w:sz w:val="16"/>
          <w:szCs w:val="16"/>
        </w:rPr>
        <w:t>октября 1917 г. противник произвел ряд воздушных атак на м. Церель (о. Эзель), сбросив «несколько бомб, которыми был вызван пожар, закончившийся взрывом одного из складов боевых припасов (пороховой погреб № 12). При этом доблестно погибло несколько офицеров и матросов, самоотверженно работавших при тушении пожара». Позднее было установлено, что жертв оказалось намного больше: 70 человек убито, 44 - ранено (по другим данным - погибли 4 офицера (в том числе полковник корпуса гидрографов К.В. Ломан) и 70 матросов; ранение различной тяжести получили 3 офицера и 44 нижних чина).</w:t>
      </w:r>
      <w:bookmarkEnd w:id="361"/>
      <w:bookmarkEnd w:id="362"/>
    </w:p>
    <w:p w14:paraId="2AD0F81C" w14:textId="77777777" w:rsidR="004231CF" w:rsidRPr="00FB4F67" w:rsidRDefault="004231CF" w:rsidP="0083075A">
      <w:pPr>
        <w:spacing w:after="0" w:line="240" w:lineRule="auto"/>
        <w:jc w:val="both"/>
        <w:rPr>
          <w:rFonts w:ascii="Times New Roman" w:hAnsi="Times New Roman" w:cs="Times New Roman"/>
          <w:color w:val="0070C0"/>
          <w:sz w:val="16"/>
          <w:szCs w:val="16"/>
        </w:rPr>
      </w:pPr>
      <w:bookmarkStart w:id="363" w:name="bookmark955"/>
      <w:bookmarkStart w:id="364" w:name="bookmark956"/>
      <w:r w:rsidRPr="00FB4F67">
        <w:rPr>
          <w:rFonts w:ascii="Times New Roman" w:hAnsi="Times New Roman" w:cs="Times New Roman"/>
          <w:color w:val="0070C0"/>
          <w:sz w:val="16"/>
          <w:szCs w:val="16"/>
        </w:rPr>
        <w:t>В середине того же дня неприятельские гидроаэропланы вновь попытались приблизиться к Церелю, но «вылетевшие навстречу наши летчики принудили их удалиться и выбросить бомбы в море». Одновременно на Юго-Западном фронте состоялось три воздушных боя русских летчиков с неприятельскими аэропланами.</w:t>
      </w:r>
      <w:bookmarkEnd w:id="363"/>
      <w:bookmarkEnd w:id="364"/>
    </w:p>
    <w:p w14:paraId="2DCB0AE9" w14:textId="77777777" w:rsidR="004231CF" w:rsidRPr="00FB4F67" w:rsidRDefault="004231CF" w:rsidP="0083075A">
      <w:pPr>
        <w:spacing w:after="0" w:line="240" w:lineRule="auto"/>
        <w:jc w:val="both"/>
        <w:rPr>
          <w:rFonts w:ascii="Times New Roman" w:hAnsi="Times New Roman" w:cs="Times New Roman"/>
          <w:color w:val="0070C0"/>
          <w:sz w:val="16"/>
          <w:szCs w:val="16"/>
        </w:rPr>
      </w:pPr>
      <w:bookmarkStart w:id="365" w:name="bookmark957"/>
      <w:r w:rsidRPr="00FB4F67">
        <w:rPr>
          <w:rFonts w:ascii="Times New Roman" w:hAnsi="Times New Roman" w:cs="Times New Roman"/>
          <w:color w:val="0070C0"/>
          <w:sz w:val="16"/>
          <w:szCs w:val="16"/>
        </w:rPr>
        <w:t>В последующие дни германская морская авиация продолжала проводить разведку у м. Церель и у г. Гайнаш, одновременно сбросив 15 бомб (23405).</w:t>
      </w:r>
      <w:bookmarkEnd w:id="365"/>
    </w:p>
    <w:p w14:paraId="616E6416" w14:textId="77777777" w:rsidR="004231CF" w:rsidRPr="00FB4F67" w:rsidRDefault="004231C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 октября 1917 г. Специальная комиссия, составлен</w:t>
      </w:r>
      <w:r w:rsidRPr="00FB4F67">
        <w:rPr>
          <w:rFonts w:ascii="Times New Roman" w:hAnsi="Times New Roman" w:cs="Times New Roman"/>
          <w:color w:val="0070C0"/>
          <w:sz w:val="16"/>
          <w:szCs w:val="16"/>
        </w:rPr>
        <w:softHyphen/>
        <w:t>ная из фронтовых летчиков, инструкторов Гатчинской авиашколы, представителей Управления Военно-Воздушного флота и завода Лебедева своим актом определяла самолет как устаревший тип. Утверждалось, что «Лебедь-XII» обладает малой полетной скоростью и грузоподъ</w:t>
      </w:r>
      <w:r w:rsidRPr="00FB4F67">
        <w:rPr>
          <w:rFonts w:ascii="Times New Roman" w:hAnsi="Times New Roman" w:cs="Times New Roman"/>
          <w:color w:val="0070C0"/>
          <w:sz w:val="16"/>
          <w:szCs w:val="16"/>
        </w:rPr>
        <w:softHyphen/>
        <w:t>емностью, имеет ряд неустранимых недо</w:t>
      </w:r>
      <w:r w:rsidRPr="00FB4F67">
        <w:rPr>
          <w:rFonts w:ascii="Times New Roman" w:hAnsi="Times New Roman" w:cs="Times New Roman"/>
          <w:color w:val="0070C0"/>
          <w:sz w:val="16"/>
          <w:szCs w:val="16"/>
        </w:rPr>
        <w:softHyphen/>
        <w:t>статков в топливной и охладительных сис</w:t>
      </w:r>
      <w:r w:rsidRPr="00FB4F67">
        <w:rPr>
          <w:rFonts w:ascii="Times New Roman" w:hAnsi="Times New Roman" w:cs="Times New Roman"/>
          <w:color w:val="0070C0"/>
          <w:sz w:val="16"/>
          <w:szCs w:val="16"/>
        </w:rPr>
        <w:softHyphen/>
        <w:t>темах. Дальнейшая постройка «Лебедь-ХИ» признавалась нежелательной.</w:t>
      </w:r>
    </w:p>
    <w:p w14:paraId="630278DB" w14:textId="77777777" w:rsidR="004231CF" w:rsidRPr="00FB4F67" w:rsidRDefault="004231C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После этого производство самолета зна</w:t>
      </w:r>
      <w:r w:rsidRPr="00FB4F67">
        <w:rPr>
          <w:rFonts w:ascii="Times New Roman" w:hAnsi="Times New Roman" w:cs="Times New Roman"/>
          <w:color w:val="0070C0"/>
          <w:sz w:val="16"/>
          <w:szCs w:val="16"/>
        </w:rPr>
        <w:softHyphen/>
        <w:t>чительно сократилось, однако продолжа</w:t>
      </w:r>
      <w:r w:rsidRPr="00FB4F67">
        <w:rPr>
          <w:rFonts w:ascii="Times New Roman" w:hAnsi="Times New Roman" w:cs="Times New Roman"/>
          <w:color w:val="0070C0"/>
          <w:sz w:val="16"/>
          <w:szCs w:val="16"/>
        </w:rPr>
        <w:softHyphen/>
        <w:t>лось вплоть до 1918 г. (построили еще 24 экземпляра) (23374).</w:t>
      </w:r>
    </w:p>
    <w:p w14:paraId="70E353BB" w14:textId="77777777" w:rsidR="004231CF" w:rsidRPr="00FB4F67" w:rsidRDefault="004231CF" w:rsidP="0083075A">
      <w:pPr>
        <w:spacing w:after="0" w:line="240" w:lineRule="auto"/>
        <w:jc w:val="both"/>
        <w:rPr>
          <w:rFonts w:ascii="Times New Roman" w:hAnsi="Times New Roman" w:cs="Times New Roman"/>
          <w:color w:val="0070C0"/>
          <w:sz w:val="16"/>
          <w:szCs w:val="16"/>
        </w:rPr>
      </w:pPr>
    </w:p>
    <w:p w14:paraId="17D1A60D" w14:textId="68ECAC03"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0DC03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3815FAF" w14:textId="578E970E"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октября 1917 В.И.Л. пишет обращение "К рабочим, крестьянам и солдатам" с призывом свергнуть правительство А.Керенского и передать власть Советам (3908,265).</w:t>
      </w:r>
      <w:r w:rsidR="00531BA2" w:rsidRPr="002F2FDF">
        <w:rPr>
          <w:rFonts w:ascii="Times New Roman" w:hAnsi="Times New Roman" w:cs="Times New Roman"/>
          <w:color w:val="000000" w:themeColor="text1"/>
          <w:kern w:val="2"/>
          <w:sz w:val="16"/>
          <w:szCs w:val="16"/>
        </w:rPr>
        <w:t>Большевики не вправе ждать съезда Советов, они должны взять власть тотчас. Этим они спасают и всемирную революцию (ибо иначе грозит сделка империалистов всех стран, кои после расстрелов в Германии будут покладисты друг к другу и против нас объединятся) и русскую революцию (иначе волна настоящей анархии может стать сильнее, чем мы ), и жизни сотням тысяч людей на войне. Если нельзя взять власть без восстания, надо идти на восстание тотчас.</w:t>
      </w:r>
      <w:r w:rsidR="00E52569">
        <w:rPr>
          <w:rFonts w:ascii="Times New Roman" w:hAnsi="Times New Roman" w:cs="Times New Roman"/>
          <w:color w:val="000000" w:themeColor="text1"/>
          <w:kern w:val="2"/>
          <w:sz w:val="16"/>
          <w:szCs w:val="16"/>
        </w:rPr>
        <w:t xml:space="preserve"> </w:t>
      </w:r>
      <w:r w:rsidR="00531BA2" w:rsidRPr="002F2FDF">
        <w:rPr>
          <w:rFonts w:ascii="Times New Roman" w:hAnsi="Times New Roman" w:cs="Times New Roman"/>
          <w:color w:val="000000" w:themeColor="text1"/>
          <w:kern w:val="2"/>
          <w:sz w:val="16"/>
          <w:szCs w:val="16"/>
        </w:rPr>
        <w:t xml:space="preserve"> Очень может быть, что именно теперь можно взять власть без восстания: например, если бы Московский Совет сразу тотчас взял власть и объявил себя (вместе с Питерским Советом) правительством. В Москве победа обеспечена и воевать некому. В Питере можно выждать. Правительству нечего делать и нет спасения, оно сдастся. Ибо Московский Совет, взяв власть, банки, фабрики, "Русское Слово" [одна из самых распространенных ежедневных газет России. Поддерживала Временное правительство. - Ред.], получает гигантскую базу и силу, агитируя перед всей Россией, ставя вопрос так: мир мы предложим завтра, если бонапартист </w:t>
      </w:r>
      <w:hyperlink r:id="rId586" w:tgtFrame="_parent" w:history="1">
        <w:r w:rsidR="00531BA2" w:rsidRPr="002F2FDF">
          <w:rPr>
            <w:rStyle w:val="a5"/>
            <w:rFonts w:ascii="Times New Roman" w:hAnsi="Times New Roman" w:cs="Times New Roman"/>
            <w:bCs/>
            <w:iCs/>
            <w:color w:val="000000" w:themeColor="text1"/>
            <w:kern w:val="2"/>
            <w:sz w:val="16"/>
            <w:szCs w:val="16"/>
            <w:u w:val="none"/>
          </w:rPr>
          <w:t>Керенский</w:t>
        </w:r>
      </w:hyperlink>
      <w:r w:rsidR="00531BA2" w:rsidRPr="002F2FDF">
        <w:rPr>
          <w:rFonts w:ascii="Times New Roman" w:hAnsi="Times New Roman" w:cs="Times New Roman"/>
          <w:color w:val="000000" w:themeColor="text1"/>
          <w:kern w:val="2"/>
          <w:sz w:val="16"/>
          <w:szCs w:val="16"/>
        </w:rPr>
        <w:t xml:space="preserve"> сдастся (а если не сдастся, то мы его свергнем). Землю крестьянам тотчас, уступки железнодорожникам и почтовым служащим тотчас и т.д....(17033).</w:t>
      </w:r>
    </w:p>
    <w:p w14:paraId="4540BB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661250" w14:textId="77777777" w:rsidR="00A27F39" w:rsidRPr="002F2FDF" w:rsidRDefault="00A27F39"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К 1 (14) октября 1917 г. в частных банках, Госбанке и сберегательных кассах имелось вкладов на 16 млрд рублей, не считая вкладов процентными бумагами в сберкассах. Из них около 9 млрд хранилось в коммерческих банках, обществах взаимного кредита и городских общественных банках. В национализированном банке, по данным Сокольникова, осталось вкладов и текущих счетов на 6,5-7 млрд рублей.</w:t>
      </w:r>
    </w:p>
    <w:p w14:paraId="69D967B8" w14:textId="77777777" w:rsidR="00A27F39" w:rsidRPr="002F2FDF" w:rsidRDefault="00A27F39" w:rsidP="0083075A">
      <w:pPr>
        <w:pStyle w:val="a3"/>
        <w:rPr>
          <w:color w:val="000000" w:themeColor="text1"/>
          <w:lang w:val="ru-RU"/>
        </w:rPr>
      </w:pPr>
      <w:r w:rsidRPr="002F2FDF">
        <w:rPr>
          <w:rFonts w:eastAsia="Times New Roman"/>
          <w:color w:val="000000" w:themeColor="text1"/>
          <w:lang w:val="ru-RU" w:eastAsia="ru-RU"/>
        </w:rPr>
        <w:t>С момента национализации выдача вкладов частным лицам на личные потребности была прекращена на 2 месяца, а затем открыта, но в весьма ограниченных размерах. С другой стороны всеобщий банковский саботаж вообще делал невозможным обслуживание выдач по вкладам. Сокольников считал, что это имело огромное значение, так как помогло сломить к началу февраля интеллигентский и чиновничий саботаж, удалось остановить субсидирование гражданской войны буржуазными классами. "Никакой надзор, никакой контроль не мог бы помешать банковскому субсидированию саботажа и гражданской войны..." - восклицал Сокольников (18085).</w:t>
      </w:r>
    </w:p>
    <w:p w14:paraId="546CE3D2" w14:textId="77777777" w:rsidR="00A27F39" w:rsidRPr="002F2FDF" w:rsidRDefault="00A27F39" w:rsidP="0083075A">
      <w:pPr>
        <w:pStyle w:val="a3"/>
        <w:rPr>
          <w:color w:val="000000" w:themeColor="text1"/>
          <w:lang w:val="ru-RU"/>
        </w:rPr>
      </w:pPr>
    </w:p>
    <w:p w14:paraId="706CD14B" w14:textId="53EE7ACC" w:rsidR="00C977C1" w:rsidRPr="002F2FDF" w:rsidRDefault="00C977C1"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1 (14) октября</w:t>
      </w:r>
      <w:r w:rsidR="00E52569">
        <w:rPr>
          <w:color w:val="000000" w:themeColor="text1"/>
          <w:sz w:val="16"/>
          <w:szCs w:val="16"/>
        </w:rPr>
        <w:t xml:space="preserve"> </w:t>
      </w:r>
      <w:r w:rsidRPr="002F2FDF">
        <w:rPr>
          <w:color w:val="000000" w:themeColor="text1"/>
          <w:sz w:val="16"/>
          <w:szCs w:val="16"/>
        </w:rPr>
        <w:t>1917 правительство ввело в действие Указ о ликвидации Земских Начальников, а также дворянских сословных органов (18371).</w:t>
      </w:r>
    </w:p>
    <w:p w14:paraId="19A61A91" w14:textId="77777777" w:rsidR="00C977C1" w:rsidRPr="002F2FDF" w:rsidRDefault="00C977C1" w:rsidP="0083075A">
      <w:pPr>
        <w:pStyle w:val="ae"/>
        <w:spacing w:before="0" w:after="0"/>
        <w:jc w:val="both"/>
        <w:rPr>
          <w:color w:val="000000" w:themeColor="text1"/>
          <w:sz w:val="16"/>
          <w:szCs w:val="16"/>
        </w:rPr>
      </w:pPr>
    </w:p>
    <w:p w14:paraId="1455EAF2" w14:textId="77777777" w:rsidR="001157F8"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3F22F738"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72E6C0" w14:textId="77777777"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 xml:space="preserve">1 (14) октября 1917 г. </w:t>
      </w:r>
      <w:r w:rsidRPr="002F2FDF">
        <w:rPr>
          <w:rFonts w:ascii="Times New Roman" w:hAnsi="Times New Roman" w:cs="Times New Roman"/>
          <w:color w:val="000000" w:themeColor="text1"/>
          <w:kern w:val="2"/>
          <w:sz w:val="16"/>
          <w:szCs w:val="16"/>
        </w:rPr>
        <w:t>Телеграмма Б. А. Бахметьева Министерству иностранных дел о непропорциональном распределении американских кредитов между союзными армиями и необходимости более широкого финансирования России</w:t>
      </w:r>
    </w:p>
    <w:p w14:paraId="420B318F" w14:textId="6809465F"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558-559</w:t>
      </w:r>
    </w:p>
    <w:p w14:paraId="427924AC" w14:textId="3C2836FD" w:rsidR="001157F8" w:rsidRPr="002F2FDF" w:rsidRDefault="001157F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АВПР, ф. Канцелярии, д. 61, лл. 472—474. Копия.</w:t>
      </w:r>
    </w:p>
    <w:p w14:paraId="3C80BFA3" w14:textId="77777777" w:rsidR="001157F8" w:rsidRPr="002F2FDF" w:rsidRDefault="001157F8" w:rsidP="0083075A">
      <w:pPr>
        <w:pStyle w:val="rtejustify"/>
        <w:spacing w:before="0" w:after="0"/>
        <w:rPr>
          <w:color w:val="000000" w:themeColor="text1"/>
          <w:kern w:val="2"/>
          <w:sz w:val="16"/>
          <w:szCs w:val="16"/>
        </w:rPr>
      </w:pPr>
      <w:r w:rsidRPr="002F2FDF">
        <w:rPr>
          <w:color w:val="000000" w:themeColor="text1"/>
          <w:kern w:val="2"/>
          <w:sz w:val="16"/>
          <w:szCs w:val="16"/>
        </w:rPr>
        <w:t xml:space="preserve">В связи с исчерпанием прежде отпущенных кредитов приступил к переговорам о дальнейших ассигнованиях, определив минимум таковых до 1 января примерно в 235 млн дол. Благодаря вполне искренним отношениям, которые удалось установить за последнее время с Министерством финансов, мне было доверительно раскрыто все финансовое положение С. А. С. Штатов, которое в последнее время крайне беспокоит правительство. Исчисленные потребности обыкновенного и военного бюджета составляют примерно 22 млрд дол. на бюджетный год, кончающийся 1 июля 1918 г. Эти потребности покрываются лишь в размере 4300 млн нормальными поступлениями и увеличенными налогами, остаток же приходится покрывать путем кредитных операций, которых по настоящее время разрешено всего [на] 5 млрд дол. (условным минимумом). Подписка на последние 3 млрд происходит в настоящее время далеко не с тем успехом, который ожидался. Вместе с тем финансовое законодательство не позволяет воспользоваться для увеличения средств эмиссией кредитных билетов. Изменение же эмиссионного закона в настоящее время представляется невозможным по политическим соображениям и могло бы быть осуществлено лишь после, когда фактическое участие американских войск в военных действиях подготовит общественное мнение для подобных законодательных новелл. Вместе с тем огромные заказы, помещаемые в настоящее время в связи с организацией американской армии, требуют огромных расходов именно в ближайшее время, что ставит казначейство в весьма серьезное положение. В связи с этим казначейство очень затрудняется удовлетворять все возрастающие потребности союзников, о чем предполагается сделать заявление через послов непосредственно правительствам. На текущие потребности и заказы в октябре мне пока отпущено 50 млн дол., причем я из тактических соображении заявил правительству, что, принимая эту сумму как кредит на текущие потребности, я даже не намерен официально извещать об этом свое правительство, потому считаю настоятельно </w:t>
      </w:r>
      <w:r w:rsidRPr="002F2FDF">
        <w:rPr>
          <w:color w:val="000000" w:themeColor="text1"/>
          <w:kern w:val="2"/>
          <w:sz w:val="16"/>
          <w:szCs w:val="16"/>
        </w:rPr>
        <w:lastRenderedPageBreak/>
        <w:t>необходимым в ближайшее время обеспечить значительно большую сумму, особенно в связи с необходимостью покрытия значительных заказов на кожу, сапоги и земледельческие машины. Успешности моих настояний значительно будет способствовать, если я буду поддержан заявлением американского посла в Петрограде. В то время как ходатайства союзных представителей усиленно подкрепляются различными заявлениями с мест, я оказываюсь почти изолированным в своей деятельности. Настоятельно прошу склонить Фрэнсиса к самому энергичному настоянию перед американским правительством о необходимости оказать нам широкий кредит на покупку земледельческих машин и сапог, причем подчеркнуть, что снабжение обувью не только армии, но и нужд гражданского населения имеет первостепенное военно-политическое значение. Вместе с тем желательно, чтобы учреждения в России прониклись убеждением о затруднительности, в связи с создавшимся положением, получать широкие кредиты из Америки и соответствующим образом составляли бы программы, американских заказов. Считаю нужным отметить, что общие затруднения, испытываемые американским казначейством, могут даже привести к сокращению отпуска средств на поддержание курса английского фунта стерлингов, каковое поддержание стерлинга как мировой валюты считалось до последнего времени совершенно необходимым не в пример валютам всех других стран, имея в виду, что всякое колебание стерлинга должно иметь самое разрушающее влияние на общее положение союзнического дела. Ознакомление с финансовыми потребностями союзников создало у меня впечатление крайней несоразмерности ассигнований на различные армии, не соответствующих настоящему общефинансовому положению. В частности, строго доверительно сообщаю, что Англия и Франция имеют в виду затратить 735 млн фр. на снабжение от 6 до 9 дивизий греческих войск. Подобные же широкие масштабы, несоизмеримые со скудностью русского снабжения, применяются в отношении других армий. Американцы начинают сознавать подобное некоординирование расходов и, думаю, готовы будут поддержать вопрос о наиболее нам соответственном распределении сумм, что должно будет привести к более широкому снабжению России. Это могло бы быть достигнуто лишь на междусоюзнической конференции, где самым энергичным образом должны быть выставлены стратегические заслуги русской армии даже в ее настоящем положении, что, по-видимому, недостаточно ясно в настоящее время понимается. Эти же мотивы подтверждают желательность функционирования междусоюзнического совета, где Россия могла бы систематически настаивать на важности своих военно-политических задач. Настоящую телеграмму прошу сообщить министру финансов (15169).</w:t>
      </w:r>
    </w:p>
    <w:p w14:paraId="3244B24C" w14:textId="77777777" w:rsidR="001157F8" w:rsidRPr="002F2FDF" w:rsidRDefault="001157F8"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Бахметьев (15169).</w:t>
      </w:r>
    </w:p>
    <w:p w14:paraId="1078DE89" w14:textId="77777777" w:rsidR="001157F8" w:rsidRPr="002F2FDF" w:rsidRDefault="001157F8"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07FDE7D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2B3F4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AB50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октября 1917 была казнена Мата Хари - танцовщица, обвиненная в шпионаже (2100).</w:t>
      </w:r>
    </w:p>
    <w:p w14:paraId="13446B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E3949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FC8C0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7E44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октября 1917 забраковали самолет Лебедь-12 (438,361) - как устаревший (2549,11), хотя 13 июня 1917 особая комиссия под председательством Г.А.Ботезата дала оценку самолету Лебедь-12 и признав нежелательным посылку машины на фронт указала на возможность использования ее в качестве учебного самолета (438,361).</w:t>
      </w:r>
    </w:p>
    <w:p w14:paraId="5E2989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9893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 (15) октября 1917 г. Актом новая комиссия из пилотов фронтовых авиачастей, инструкторов Гатчинской авиашколы, представителей Управления Военно-Воздушного флота и завода Лебедева, созданная для разрешенения спорных вопросов в связи с испытаниями Лебедь ХП, подтвердила непригодность самолета "Лебедь"-ХII как устаревшего типа с малой грузоподъемностью и недостаточной скоростью, обладающего рядом конструктивных недостатаков в топливной и охладительной системах двигателя. Вывод комиссии был однозначен: </w:t>
      </w:r>
      <w:r w:rsidRPr="002F2FDF">
        <w:rPr>
          <w:rFonts w:ascii="Times New Roman" w:hAnsi="Times New Roman" w:cs="Times New Roman"/>
          <w:iCs/>
          <w:color w:val="000000" w:themeColor="text1"/>
          <w:kern w:val="2"/>
          <w:sz w:val="16"/>
          <w:szCs w:val="16"/>
        </w:rPr>
        <w:t>"дальнейшая постройка нежелательна"</w:t>
      </w:r>
      <w:r w:rsidRPr="002F2FDF">
        <w:rPr>
          <w:rFonts w:ascii="Times New Roman" w:hAnsi="Times New Roman" w:cs="Times New Roman"/>
          <w:color w:val="000000" w:themeColor="text1"/>
          <w:kern w:val="2"/>
          <w:sz w:val="16"/>
          <w:szCs w:val="16"/>
        </w:rPr>
        <w:t xml:space="preserve">. </w:t>
      </w:r>
    </w:p>
    <w:p w14:paraId="4A5602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результате серийное производство было значительно сокращено. И все же, несмотря на серьезные недостатки, особенно заметные и недопустимые в 1917 г., "Лебедь"-ХII оставался в действующей армии до окончания войны. Учебный вариант использовался в школе авиации Императорского Всероссийского Аэро-Клуба (зав. №№ 442, 449, 450), Гатчинской военной авиашколе (399, 439, 456, 466), школе Московского общества воздухоплавания (446, 452, 454), Одесской авиашколе (448 и 455), Киевской школе летчиков-наблюдателей (447 и 458) и Кавказской авиашколе (451, 453 и 480). Более полусотни самолетов "Лебедь"-ХII во второй половине 1917 г. поступило в Школу воздушного боя в Красном Селе (заказ Морского ведомства), часть из них была имела двойное управление. </w:t>
      </w:r>
    </w:p>
    <w:p w14:paraId="60A213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Несколько иные выводы сделала испытательная комиссия, созданная предписанием начальника Управления ВВФ для сравнительных испытаний самолетов "Лебедь"-XII, "Анасаль" и "Фарман"-30. Полеты проходили с 31 октября по 20 ноября 1917 г. на Главном аэродроме. Комиисия признала прочность и тщательность конструкции разведчика 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 </w:t>
      </w:r>
    </w:p>
    <w:p w14:paraId="44CDD2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гидроавиаотряда,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 </w:t>
      </w:r>
    </w:p>
    <w:p w14:paraId="2702A1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2B0D3F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4EB95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октября 1917 г. Центральное прав</w:t>
      </w:r>
      <w:r w:rsidRPr="002F2FDF">
        <w:rPr>
          <w:rFonts w:ascii="Times New Roman" w:hAnsi="Times New Roman" w:cs="Times New Roman"/>
          <w:color w:val="000000" w:themeColor="text1"/>
          <w:kern w:val="2"/>
          <w:sz w:val="16"/>
          <w:szCs w:val="16"/>
        </w:rPr>
        <w:softHyphen/>
        <w:t>ление направило в четыре адреса: комиссару труда, заводскому совеща</w:t>
      </w:r>
      <w:r w:rsidRPr="002F2FDF">
        <w:rPr>
          <w:rFonts w:ascii="Times New Roman" w:hAnsi="Times New Roman" w:cs="Times New Roman"/>
          <w:color w:val="000000" w:themeColor="text1"/>
          <w:kern w:val="2"/>
          <w:sz w:val="16"/>
          <w:szCs w:val="16"/>
        </w:rPr>
        <w:softHyphen/>
        <w:t>нию, заводскому комитету завода “Гном-Рон" и администрации:</w:t>
      </w:r>
    </w:p>
    <w:p w14:paraId="0529EF4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"Заслушав заявление товарищей с завода "Гном-Рон" и тов. Ершова, де</w:t>
      </w:r>
      <w:r w:rsidRPr="002F2FDF">
        <w:rPr>
          <w:rFonts w:ascii="Times New Roman" w:hAnsi="Times New Roman" w:cs="Times New Roman"/>
          <w:color w:val="000000" w:themeColor="text1"/>
          <w:kern w:val="2"/>
          <w:sz w:val="16"/>
          <w:szCs w:val="16"/>
        </w:rPr>
        <w:softHyphen/>
        <w:t>легированного от Центрального правления союза металлистов, считаем:</w:t>
      </w:r>
    </w:p>
    <w:p w14:paraId="34CCCC4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Что расчет рабочих должен производиться с ведома и согласия за</w:t>
      </w:r>
      <w:r w:rsidRPr="002F2FDF">
        <w:rPr>
          <w:rFonts w:ascii="Times New Roman" w:hAnsi="Times New Roman" w:cs="Times New Roman"/>
          <w:color w:val="000000" w:themeColor="text1"/>
          <w:kern w:val="2"/>
          <w:sz w:val="16"/>
          <w:szCs w:val="16"/>
        </w:rPr>
        <w:softHyphen/>
        <w:t>водского комитета и профессионального союза;</w:t>
      </w:r>
    </w:p>
    <w:p w14:paraId="2FC6CCE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Что вопрос о расчете на данном заводе сорока рабочих слесарей расследуется в настоящее время Московским районным заводским со</w:t>
      </w:r>
      <w:r w:rsidRPr="002F2FDF">
        <w:rPr>
          <w:rFonts w:ascii="Times New Roman" w:hAnsi="Times New Roman" w:cs="Times New Roman"/>
          <w:color w:val="000000" w:themeColor="text1"/>
          <w:kern w:val="2"/>
          <w:sz w:val="16"/>
          <w:szCs w:val="16"/>
        </w:rPr>
        <w:softHyphen/>
        <w:t>вещанием.</w:t>
      </w:r>
    </w:p>
    <w:p w14:paraId="78AFFB2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Что, не дожидаясь результатов расследования, заводоуправление не в праве рассчитывать указанных рабочих. Постановляет:</w:t>
      </w:r>
    </w:p>
    <w:p w14:paraId="124318A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Требовать от заводоуправления до результатов расследования за</w:t>
      </w:r>
      <w:r w:rsidRPr="002F2FDF">
        <w:rPr>
          <w:rFonts w:ascii="Times New Roman" w:hAnsi="Times New Roman" w:cs="Times New Roman"/>
          <w:color w:val="000000" w:themeColor="text1"/>
          <w:kern w:val="2"/>
          <w:sz w:val="16"/>
          <w:szCs w:val="16"/>
        </w:rPr>
        <w:softHyphen/>
        <w:t>водским совещанием настоящего дела рабочих не рассчитывать.</w:t>
      </w:r>
    </w:p>
    <w:p w14:paraId="33169B7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Принять меры к усовершенствованию работ литейной мастерской, находя, что при этом условии работы на заводе "Гном-Рон" будет доста</w:t>
      </w:r>
      <w:r w:rsidRPr="002F2FDF">
        <w:rPr>
          <w:rFonts w:ascii="Times New Roman" w:hAnsi="Times New Roman" w:cs="Times New Roman"/>
          <w:color w:val="000000" w:themeColor="text1"/>
          <w:kern w:val="2"/>
          <w:sz w:val="16"/>
          <w:szCs w:val="16"/>
        </w:rPr>
        <w:softHyphen/>
        <w:t>точно для полного состава рабочих.</w:t>
      </w:r>
    </w:p>
    <w:p w14:paraId="0556C5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Если эти требования по предъявлении немедленно не будут удовлетво</w:t>
      </w:r>
      <w:r w:rsidRPr="002F2FDF">
        <w:rPr>
          <w:rFonts w:ascii="Times New Roman" w:hAnsi="Times New Roman" w:cs="Times New Roman"/>
          <w:color w:val="000000" w:themeColor="text1"/>
          <w:kern w:val="2"/>
          <w:sz w:val="16"/>
          <w:szCs w:val="16"/>
        </w:rPr>
        <w:softHyphen/>
        <w:t>рены, то Центральное правление союза металлистов на данном заводе объявляет стачку с 3 октября 1917 г." (10225,79).</w:t>
      </w:r>
    </w:p>
    <w:p w14:paraId="6CF4CB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1F82E7" w14:textId="77777777" w:rsidR="00AB78C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01ED9A15" w14:textId="77777777" w:rsidR="00AB78C2" w:rsidRPr="002F2FDF" w:rsidRDefault="00AB78C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3CDA05"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октября 1917 По докладу Подготовительной но общим вопросам комиссии о ходе поставок предметов интендантского снабжения к 1 июня 1917 г. председательствующий в Особом совещании по обороне государства 18 августа с. г. постановил: просить Центральный военно-промышленный комитет и Главный по снабжению армии комитет Всероссийских земского и городского союзов представить Особому совещанию по обороне государства через Подготовительную по общим вопросам комиссию свои объяснения главнейших причин недопоставок предметов интендантского снабжения и соображения о тех мерах, которые могли бы способствовать возможному их устранению.</w:t>
      </w:r>
    </w:p>
    <w:p w14:paraId="2084A2C0"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160-163</w:t>
      </w:r>
    </w:p>
    <w:p w14:paraId="1B645B52"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369, оп. 16, д. 439, лл. 208—211. Подлинник.</w:t>
      </w:r>
    </w:p>
    <w:p w14:paraId="74101BC6"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настоящее время Главным комитетом Всероссийских земского и городского союзов представлены соображения по сему предмету в отношении от 5 сентября с. г. за № 31526 следующего содержания:</w:t>
      </w:r>
    </w:p>
    <w:p w14:paraId="2906639B"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«Вследствие запроса Особого совещания от 22 августа с. г. за № 17145, настоящее отношение имеет своей целью выяснить причины недопоставок по заказам военного ведомства, исполняемых Главным комитетом.</w:t>
      </w:r>
    </w:p>
    <w:p w14:paraId="752801B4"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мнению Отдела заказов, все причины недопоставок разделяются на две основные категории — старые, ставшие постоянными, и новые, временные. Наиболее существенны и серьезны причины постоянные: недостаток материала, металла и кож, недостаток топлива, угля, расстройство транспорта, изношенность технического оборудования и т. п.</w:t>
      </w:r>
    </w:p>
    <w:p w14:paraId="1AD652C6"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«Сроки всех заказов 2-й очереди истекли 1 июля с. г., но материал, необходимый для их выполнения, до сих пор не получен полностью. Так, железо для повозок [образца] 1884 г. будет получено полностью в октябре с. г., для повозок обывательских — в ноябре-декабре, для подков не ранее января-февраля будущего года; кож </w:t>
      </w:r>
      <w:r w:rsidRPr="002F2FDF">
        <w:rPr>
          <w:rFonts w:ascii="Times New Roman" w:hAnsi="Times New Roman" w:cs="Times New Roman"/>
          <w:color w:val="000000" w:themeColor="text1"/>
          <w:kern w:val="2"/>
          <w:sz w:val="16"/>
          <w:szCs w:val="16"/>
        </w:rPr>
        <w:lastRenderedPageBreak/>
        <w:t>до сего времени получено не более четверти части общей потребности. При таких условиях обеспеченности материалами не может быть и речи о своевременном выполнении заказа.</w:t>
      </w:r>
    </w:p>
    <w:p w14:paraId="2B323D7D"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«Столь же неудовлетворительно обстоит дело с топливом, в частности кузнечным углем. Иногда, даже при некоторой обеспеченности материалами, мастерские принуждены были останавливать работу вследствие отсутствия угля.</w:t>
      </w:r>
    </w:p>
    <w:p w14:paraId="416DA9CB"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«Весьма значительную роль в несвоевременном выполнении заказов играет расстройство транспорта. Бывали случаи, когда в течение двух, трех и более месяцев не представлялось возможности доставить по назначению железо, уголь и другой заготовочный материал. Таким образом, даже имевшийся в наличности запас сырья доставлялся по назначению далеко не равномерно. Комитеты и частные предприниматели в особенности не были уверены, что завтрашний день будет обеспечен работой, и потому часто во избежание простоя и непосильных расходов в лучшем случае не увеличивали количества рабочих и держали производительность на уровне ниже среднего.</w:t>
      </w:r>
    </w:p>
    <w:p w14:paraId="2717B23B"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без влияния осталась и трехлетняя работа машин и станков. Машины и станки изнашивались, часто ломались, требовали значительного капитального ремонта или полнейшей смены. Но если капитальный ремонт затруднителен в настоящее время и требует значительной затраты времени, то полная замена машин и станков, за очень редким исключением, является совершенно невозможной.</w:t>
      </w:r>
    </w:p>
    <w:p w14:paraId="531D40F9"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числу причин, названных выше временными, относится главным образом упадок производительности труда рабочего. Значительное повышение заработной платы рабочих, а также введение в делом ряде производств поденного заработка вместо существовавшего до того сдельного расценка в сильной степени понизили производительность труда...</w:t>
      </w:r>
      <w:hyperlink r:id="rId587" w:anchor="_ftn1" w:history="1">
        <w:r w:rsidRPr="002F2FDF">
          <w:rPr>
            <w:rFonts w:ascii="Times New Roman" w:hAnsi="Times New Roman" w:cs="Times New Roman"/>
            <w:color w:val="000000" w:themeColor="text1"/>
            <w:kern w:val="2"/>
            <w:sz w:val="16"/>
            <w:szCs w:val="16"/>
          </w:rPr>
          <w:t>[1]</w:t>
        </w:r>
      </w:hyperlink>
    </w:p>
    <w:p w14:paraId="24526B7F"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«Отдел прилагает при сем составленный шорно-седельной секцией фабрикантов сравнительный обзор уменьшения производительности труда рабочих на заводах Москвы в связи с увеличением заработной платы.</w:t>
      </w:r>
      <w:hyperlink r:id="rId588" w:anchor="_ftn2" w:history="1">
        <w:r w:rsidRPr="002F2FDF">
          <w:rPr>
            <w:rFonts w:ascii="Times New Roman" w:hAnsi="Times New Roman" w:cs="Times New Roman"/>
            <w:color w:val="000000" w:themeColor="text1"/>
            <w:kern w:val="2"/>
            <w:sz w:val="16"/>
            <w:szCs w:val="16"/>
          </w:rPr>
          <w:t>[2]</w:t>
        </w:r>
      </w:hyperlink>
    </w:p>
    <w:p w14:paraId="08F2B537"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«Несомненно, что частые забастовки рабочих тоже отражаются на упадке производительности.</w:t>
      </w:r>
    </w:p>
    <w:p w14:paraId="621EBCCB"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«Правда, в последнее время в некоторых отраслях производства производительность заводов стала приближаться к своему прежнему, нормальному уровню, однако такое явление далеко еще нельзя назвать общим, и строить на нем предположения о повышении в ближайшем будущем производительности во всех видах производства при настоящем положении вещей не представляется оснований.</w:t>
      </w:r>
    </w:p>
    <w:p w14:paraId="503DB254"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заключение Отдел заказов не может не обратить внимания на указание Подготовительной комиссии на то, что главнейшие в количественном отношении недопоставки падают на работающие по поручению военного ведомства организации — Центральный военно-промышленный комитет н Всероссийские земский и городской союзы.</w:t>
      </w:r>
    </w:p>
    <w:p w14:paraId="69EF20A5"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«Это явление объясняется тем, что между тем как ведомства в деле непосредственных заготовок продолжали использовать своих старых поставщиков, по преимуществу заводы с налаженным производством, общественные организации поставили своей задачей мобилизацию новых, до того времени не привлекавшихся к снаряжению армии сил, и немало времени и труда потребовалось на организацию такого трудного в условиях военного времени дела.</w:t>
      </w:r>
    </w:p>
    <w:p w14:paraId="15C45BDF"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«Далее Отдел заказов может напомнить, что по крайней мере в дореволюционный период общественные организации находились в смысле снабжения материалами в значительно худшем положении, чем частные поставщики ведомств. Последние или получили все количество материала, обусловленное по договору, а если получили менее причитавшегося, то срок исполнения заказов удлинялся, и, таким образом, частные поставщики, за очень редкими исключениями, имели возможность выполнять заказы к установленным первоначально или продленным впоследствии срокам. Земгор же, как это указано выше, получал материал в большинстве случаев в количестве менее 50% общей потребности, а иногда (кожи, например) всего 25%».</w:t>
      </w:r>
    </w:p>
    <w:p w14:paraId="29052C24"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сношению комитета приложена записка, приводящая примеры уменьшения производительности труда рабочих на заводах Москвы в связи с увеличением заработной платы.</w:t>
      </w:r>
      <w:hyperlink r:id="rId589" w:anchor="_ftn3" w:history="1">
        <w:r w:rsidRPr="002F2FDF">
          <w:rPr>
            <w:rFonts w:ascii="Times New Roman" w:hAnsi="Times New Roman" w:cs="Times New Roman"/>
            <w:color w:val="000000" w:themeColor="text1"/>
            <w:kern w:val="2"/>
            <w:sz w:val="16"/>
            <w:szCs w:val="16"/>
          </w:rPr>
          <w:t>[3]</w:t>
        </w:r>
      </w:hyperlink>
    </w:p>
    <w:p w14:paraId="467B2869"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 Центрального военно-промышленного комитета поступило по тому же поводу сношение от 23 сентября № 108953, в котором указывается следующее:</w:t>
      </w:r>
    </w:p>
    <w:p w14:paraId="7DCA1AFC"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«Главными причинами недопоставок предметов интендантского снабжения по заказам комитета являются следующие:</w:t>
      </w:r>
    </w:p>
    <w:p w14:paraId="4D7A2364"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Недостаток материалов, необходимых для изготовления названных предметов и топлива. Исключительно вследствие недостатка металла произошла огромная недопоставка шипов (до 80%), подков (до 70%) и подковных гвоздей. Точно так же недопоставка упряжи и седел поставщиками объясняется главным образом неполучением необходимого железа и железных частей упряжи (пряжек и пр.), сыромятной кожи, шерсти, войлока, брезентной ткани; причина недопоставки людского снаряжения — недостаток кожи.</w:t>
      </w:r>
    </w:p>
    <w:p w14:paraId="61AC9841"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«Как частные случаи, иллюстрирующие указанную причину недопоставок, можно указать следующие: Ижорская фабрика додков, имеющая заказ на 4 млн подков, получила через вещевой отдел только 4000 пуд. подковного железа, из которого возможно сделать только 88 тыс. шт.; фабрика закрылась. Недостаток рессорной стали, осевого и шинного железа почти парализовал деятельность таких военно-промышленных комитетов, как Екатеринославский, Ростовский, Николаевский; отпуск ведомствами шиповой стали, упавший до 10 тыс. пуд. в месяц, вызывает ликвидацию уже налаженных шиповых заводов; отсутствие топлива и особенно кузнечного угля приостанавливает работу кузниц.</w:t>
      </w:r>
    </w:p>
    <w:p w14:paraId="3559E927"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Расстройство транспорта. Указанное обстоятельство особенно резко отразилось на ходе работ по изготовлению стальных касок (заказ Главного интендантского управления), так как материал для касок, заготовленный на уральском Сергинско-Уфалейском заводе, в течение 3— 5 месяцев не мог быть вывезенным в районы изготовления касок (Москва, Одесса, Харьков).</w:t>
      </w:r>
    </w:p>
    <w:p w14:paraId="55525A74"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«Вследствие расстройства транспорта необходимые материалы иногда вовсе не доставляются по назначению. Например, Сампсониевское торгово-промышленное акц. общ-во для исполнения заказа вещевого отдела Центрального военно-промышленного комитета на упряжь догрузило на ст. Сасово Московско-Казанской ж. д. канат 26 января 1917 г., но таковой обществом до сих пор не получен.</w:t>
      </w:r>
    </w:p>
    <w:p w14:paraId="5364F373"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Недостаточность цен. Договорные цены установлены в дореволюционное время и для настоящего момента, вследствие неимоверного увеличения стоимости материалов и рабочей платы, являются совершенно неприемлемыми. Предприятия, особенно крупные, вынуждены за отсутствием средств, сокращать, приостанавливать и даже совсем ликвидировать производство. Вследствие недостаточности цен произошла, например, недопоставка (до 90%) носилок, заказанных Санитарным отделом Центрального военно-промышленного комитета по наряду Главного интендантского управления. Точно так же некоторые поставщики в районе Омского военно-промышленного комитета не сдают заказанной им упряжи вследствие вздорожания материалов и производства.</w:t>
      </w:r>
    </w:p>
    <w:p w14:paraId="62DC5E6A"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Непомерные требования рабочих, частые забастовки и конфликты администрацией. Эти обстоятельства чрезвычайно тормозят дело изготовления заказанных предметов, особенно в больших предприятиях.</w:t>
      </w:r>
    </w:p>
    <w:p w14:paraId="3B1EE7F8"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Для некоторых предметов интендантского снабжения одной из причин недопоставок является новизна дела и отсутствие специалистов. Так, по этой причине произошла задержка в изготовлении кавалерийских седел в районах Забайкальского и Киевского военно-промышленных комитетов.</w:t>
      </w:r>
    </w:p>
    <w:p w14:paraId="2BB5D84E"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 касается мер, которые могли бы способствовать возможному устранению главнейших причин недопоставок, то необходимо заметить, что причины эти вытекают почти, исключительно из общего расстройства хозяйственной жизни страны, а следовательно, и меры к их устранению лежат в общем улучшении этой жизни. Впрочем, одна из указанных причин недопоставок, именно недостаточность цен на заготовляемые предметы, могла бы быть устранена или по крайней мере смягчена в ближайшем же времени. Порядок пересмотра договоров и цен, установленный правилами 6 июня с. г. комиссией генерала Гурко, чрезвычайно сложен и медлителен. Необходимо упрощение и ускорение этого дела, в противном случае наша промышленность и дело выполнения заказов па оборону окажутся в чрезмерно тяжелом положении».</w:t>
      </w:r>
      <w:hyperlink r:id="rId590" w:anchor="_ftn4" w:history="1">
        <w:r w:rsidRPr="002F2FDF">
          <w:rPr>
            <w:rFonts w:ascii="Times New Roman" w:hAnsi="Times New Roman" w:cs="Times New Roman"/>
            <w:color w:val="000000" w:themeColor="text1"/>
            <w:kern w:val="2"/>
            <w:sz w:val="16"/>
            <w:szCs w:val="16"/>
          </w:rPr>
          <w:t>[4]</w:t>
        </w:r>
      </w:hyperlink>
    </w:p>
    <w:p w14:paraId="7A37FF8D"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Приводимые выше объяснения комитетов поступили на рассмотрение Подготовительной по общим вопросам комиссии. Заслушав эти объяснения в устных докладах представителей Центрального военно-промышленного комитета А. И. Грабовского и П. И. Широких и Главного комитета Земгора М. Н. Рагисткина</w:t>
      </w:r>
      <w:hyperlink r:id="rId591" w:anchor="_ftn5" w:history="1">
        <w:r w:rsidRPr="002F2FDF">
          <w:rPr>
            <w:rFonts w:ascii="Times New Roman" w:hAnsi="Times New Roman" w:cs="Times New Roman"/>
            <w:color w:val="000000" w:themeColor="text1"/>
            <w:kern w:val="2"/>
            <w:sz w:val="16"/>
            <w:szCs w:val="16"/>
          </w:rPr>
          <w:t>[5]</w:t>
        </w:r>
      </w:hyperlink>
      <w:r w:rsidRPr="002F2FDF">
        <w:rPr>
          <w:rFonts w:ascii="Times New Roman" w:hAnsi="Times New Roman" w:cs="Times New Roman"/>
          <w:color w:val="000000" w:themeColor="text1"/>
          <w:kern w:val="2"/>
          <w:sz w:val="16"/>
          <w:szCs w:val="16"/>
        </w:rPr>
        <w:t>, комиссия усмотрела, что каких-либо особых мер для устранения указываемых причин недопоставок она предложить в настоящее время не может, так как причины эти слишком хорошо известны Особому совещанию по обороне. Некоторого внимания заслуживает лишь заключительное указание записки Центрального военно-промышленного комитета, однако выставляемое им пожелание получило уже удовлетворение в одобренном 20 сентября председательствующим Особого совещания по обороне докладе Комиссии по руководству делом пересмотра контрактов (так называемой Комиссии В. И. Гурко).</w:t>
      </w:r>
    </w:p>
    <w:p w14:paraId="5153AE8C"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таких условиях подготовительная комиссия ограничилась тем. что постановила представленные Главным по снабжению армией комитетом Всероссийских земского и городского союзов и Центральным военно-промышленным комитетом объяснения причин недопоставок принять к сведению.</w:t>
      </w:r>
    </w:p>
    <w:p w14:paraId="125C011C"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Ген.-майор Саткевич.</w:t>
      </w:r>
    </w:p>
    <w:p w14:paraId="6EA35740" w14:textId="77777777" w:rsidR="00AB78C2"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92" w:anchor="_ftnref1" w:history="1">
        <w:r w:rsidR="00AB78C2" w:rsidRPr="002F2FDF">
          <w:rPr>
            <w:rFonts w:ascii="Times New Roman" w:hAnsi="Times New Roman" w:cs="Times New Roman"/>
            <w:color w:val="000000" w:themeColor="text1"/>
            <w:kern w:val="2"/>
            <w:sz w:val="16"/>
            <w:szCs w:val="16"/>
          </w:rPr>
          <w:t>[1]</w:t>
        </w:r>
      </w:hyperlink>
      <w:r w:rsidR="00AB78C2" w:rsidRPr="002F2FDF">
        <w:rPr>
          <w:rFonts w:ascii="Times New Roman" w:hAnsi="Times New Roman" w:cs="Times New Roman"/>
          <w:color w:val="000000" w:themeColor="text1"/>
          <w:kern w:val="2"/>
          <w:sz w:val="16"/>
          <w:szCs w:val="16"/>
        </w:rPr>
        <w:t xml:space="preserve"> Опущена таблица о производительности труда рабочих на кожевенном заводе Акц . об-ва «Поставщик» за 1-ю и 2-ю четверти 1917 г., а также связанные с таблицей выводы.</w:t>
      </w:r>
    </w:p>
    <w:p w14:paraId="0B57286A" w14:textId="77777777" w:rsidR="00AB78C2"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93" w:anchor="_ftnref2" w:history="1">
        <w:r w:rsidR="00AB78C2" w:rsidRPr="002F2FDF">
          <w:rPr>
            <w:rFonts w:ascii="Times New Roman" w:hAnsi="Times New Roman" w:cs="Times New Roman"/>
            <w:color w:val="000000" w:themeColor="text1"/>
            <w:kern w:val="2"/>
            <w:sz w:val="16"/>
            <w:szCs w:val="16"/>
          </w:rPr>
          <w:t>[2]</w:t>
        </w:r>
      </w:hyperlink>
      <w:r w:rsidR="00AB78C2" w:rsidRPr="002F2FDF">
        <w:rPr>
          <w:rFonts w:ascii="Times New Roman" w:hAnsi="Times New Roman" w:cs="Times New Roman"/>
          <w:color w:val="000000" w:themeColor="text1"/>
          <w:kern w:val="2"/>
          <w:sz w:val="16"/>
          <w:szCs w:val="16"/>
        </w:rPr>
        <w:t xml:space="preserve"> В деле не имеется.</w:t>
      </w:r>
    </w:p>
    <w:p w14:paraId="29B62F38" w14:textId="77777777" w:rsidR="00AB78C2"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94" w:anchor="_ftnref3" w:history="1">
        <w:r w:rsidR="00AB78C2" w:rsidRPr="002F2FDF">
          <w:rPr>
            <w:rFonts w:ascii="Times New Roman" w:hAnsi="Times New Roman" w:cs="Times New Roman"/>
            <w:color w:val="000000" w:themeColor="text1"/>
            <w:kern w:val="2"/>
            <w:sz w:val="16"/>
            <w:szCs w:val="16"/>
          </w:rPr>
          <w:t>[3]</w:t>
        </w:r>
      </w:hyperlink>
      <w:r w:rsidR="00AB78C2" w:rsidRPr="002F2FDF">
        <w:rPr>
          <w:rFonts w:ascii="Times New Roman" w:hAnsi="Times New Roman" w:cs="Times New Roman"/>
          <w:color w:val="000000" w:themeColor="text1"/>
          <w:kern w:val="2"/>
          <w:sz w:val="16"/>
          <w:szCs w:val="16"/>
        </w:rPr>
        <w:t xml:space="preserve"> В деле не имеется.</w:t>
      </w:r>
    </w:p>
    <w:p w14:paraId="4D3E4079" w14:textId="77777777" w:rsidR="00AB78C2"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95" w:anchor="_ftnref4" w:history="1">
        <w:r w:rsidR="00AB78C2" w:rsidRPr="002F2FDF">
          <w:rPr>
            <w:rFonts w:ascii="Times New Roman" w:hAnsi="Times New Roman" w:cs="Times New Roman"/>
            <w:color w:val="000000" w:themeColor="text1"/>
            <w:kern w:val="2"/>
            <w:sz w:val="16"/>
            <w:szCs w:val="16"/>
          </w:rPr>
          <w:t>[4]</w:t>
        </w:r>
      </w:hyperlink>
      <w:r w:rsidR="00AB78C2" w:rsidRPr="002F2FDF">
        <w:rPr>
          <w:rFonts w:ascii="Times New Roman" w:hAnsi="Times New Roman" w:cs="Times New Roman"/>
          <w:color w:val="000000" w:themeColor="text1"/>
          <w:kern w:val="2"/>
          <w:sz w:val="16"/>
          <w:szCs w:val="16"/>
        </w:rPr>
        <w:t xml:space="preserve"> Приведенный далее текст написан карандашом ген.-майором А . Л . Саткееичем.</w:t>
      </w:r>
    </w:p>
    <w:p w14:paraId="683C4695" w14:textId="77777777" w:rsidR="00AB78C2"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596" w:anchor="_ftnref5" w:history="1">
        <w:r w:rsidR="00AB78C2" w:rsidRPr="002F2FDF">
          <w:rPr>
            <w:rFonts w:ascii="Times New Roman" w:hAnsi="Times New Roman" w:cs="Times New Roman"/>
            <w:color w:val="000000" w:themeColor="text1"/>
            <w:kern w:val="2"/>
            <w:sz w:val="16"/>
            <w:szCs w:val="16"/>
          </w:rPr>
          <w:t>[5]</w:t>
        </w:r>
      </w:hyperlink>
      <w:r w:rsidR="00AB78C2" w:rsidRPr="002F2FDF">
        <w:rPr>
          <w:rFonts w:ascii="Times New Roman" w:hAnsi="Times New Roman" w:cs="Times New Roman"/>
          <w:color w:val="000000" w:themeColor="text1"/>
          <w:kern w:val="2"/>
          <w:sz w:val="16"/>
          <w:szCs w:val="16"/>
        </w:rPr>
        <w:t xml:space="preserve"> Фамилия написана неразборчиво (15666).</w:t>
      </w:r>
    </w:p>
    <w:p w14:paraId="6B6CC028" w14:textId="77777777" w:rsidR="00AB78C2" w:rsidRPr="002F2FDF" w:rsidRDefault="00AB78C2" w:rsidP="0083075A">
      <w:pPr>
        <w:spacing w:after="0" w:line="240" w:lineRule="auto"/>
        <w:jc w:val="both"/>
        <w:rPr>
          <w:rFonts w:ascii="Times New Roman" w:hAnsi="Times New Roman" w:cs="Times New Roman"/>
          <w:color w:val="000000" w:themeColor="text1"/>
          <w:kern w:val="2"/>
          <w:sz w:val="16"/>
          <w:szCs w:val="16"/>
        </w:rPr>
      </w:pPr>
    </w:p>
    <w:p w14:paraId="4614AC4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222E3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8C39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 (15) октября 1917 л 4 иао прап. А.П.Голышев, патрулируя в районе Вормешти в Румынии, заметил Бранденбург, шедший к Бакеу, и стал его преследовать. С первой же атаки - подбил и вынудил сесть. Когда л пытались сжечь машину - открыл пулеметный огонь. Отказал мотор. Спланировал к месту посадки и взял в плен л, а л-н отправил в ближайший госпиталь (438,375).</w:t>
      </w:r>
    </w:p>
    <w:p w14:paraId="317D2D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3F059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bookmarkStart w:id="366" w:name="_Hlk119516516"/>
      <w:r w:rsidRPr="002F2FDF">
        <w:rPr>
          <w:rFonts w:ascii="Times New Roman" w:hAnsi="Times New Roman" w:cs="Times New Roman"/>
          <w:color w:val="000000" w:themeColor="text1"/>
          <w:kern w:val="2"/>
          <w:sz w:val="16"/>
          <w:szCs w:val="16"/>
        </w:rPr>
        <w:t>2 (15) октября 1917 летчик 4-го истребительного отряда прапорщик Алексой Пстрови-ч-Голышев, патрулируя г районе Вермешти (Румынский фронт), заметил неприятельский самолет "Бранденбург", шедший к городу Бакеу, и стал его проследовать. С пергой же атаки Голышев подбил самолет и вынудил его сесть. Когда лет</w:t>
      </w:r>
      <w:r w:rsidRPr="002F2FDF">
        <w:rPr>
          <w:rFonts w:ascii="Times New Roman" w:hAnsi="Times New Roman" w:cs="Times New Roman"/>
          <w:color w:val="000000" w:themeColor="text1"/>
          <w:kern w:val="2"/>
          <w:sz w:val="16"/>
          <w:szCs w:val="16"/>
        </w:rPr>
        <w:softHyphen/>
        <w:t>чики вышли из самолета и пытались его сжечь, Голышев открыл по ним пулеметный огонь, но г это гремя у него остановился мотор. Спланировав к мосту поездки неприятельского самолета, Голышев взял летчиков в плен, а летчика-наблюдателя, который был ронон во время боя, отправил г ближайший госпиталь. (Сообщение штаба ВГК за б октября 1917 г. № 1244).</w:t>
      </w:r>
    </w:p>
    <w:p w14:paraId="4EC7256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bookmarkEnd w:id="366"/>
    <w:p w14:paraId="1CDFE9CB" w14:textId="77777777" w:rsidR="00EE3D36" w:rsidRPr="00EE3D36" w:rsidRDefault="00EE3D36"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EE3D36">
        <w:rPr>
          <w:rFonts w:ascii="Times New Roman" w:hAnsi="Times New Roman" w:cs="Times New Roman"/>
          <w:color w:val="0070C0"/>
          <w:kern w:val="2"/>
          <w:sz w:val="16"/>
          <w:szCs w:val="16"/>
        </w:rPr>
        <w:t>2 (15) октября 1917 летчик 4-го истребительного отряда прапорщик Алексой Пстрови-ч-Голышев, патрулируя г районе Вермешти (Румынский фронт), заметил неприятельский самолет "Бранденбург", шедший к городу Бакеу, и стал его проследовать. С пергой же атаки Голышев подбил самолет и вынудил его сесть. Когда лет</w:t>
      </w:r>
      <w:r w:rsidRPr="00EE3D36">
        <w:rPr>
          <w:rFonts w:ascii="Times New Roman" w:hAnsi="Times New Roman" w:cs="Times New Roman"/>
          <w:color w:val="0070C0"/>
          <w:kern w:val="2"/>
          <w:sz w:val="16"/>
          <w:szCs w:val="16"/>
        </w:rPr>
        <w:softHyphen/>
        <w:t>чики вышли из самолета и пытались его сжечь, Голышев открыл по ним пулеметный огонь, но г это гремя у него остановился мотор. Спланировав к мосту поездки неприятельского самолета, Голышев взял летчиков в плен, а летчика-наблюдателя, который был ронон во время боя, отправил г ближайший госпиталь.</w:t>
      </w:r>
    </w:p>
    <w:p w14:paraId="5518DDB2" w14:textId="77777777" w:rsidR="00EE3D36" w:rsidRPr="00EE3D36" w:rsidRDefault="00EE3D36"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EE3D36">
        <w:rPr>
          <w:rFonts w:ascii="Times New Roman" w:hAnsi="Times New Roman" w:cs="Times New Roman"/>
          <w:color w:val="0070C0"/>
          <w:kern w:val="2"/>
          <w:sz w:val="16"/>
          <w:szCs w:val="16"/>
        </w:rPr>
        <w:t>/Сообщение штаба ВГК за б октября 1917 г. № 1244/ (23320).</w:t>
      </w:r>
    </w:p>
    <w:p w14:paraId="35FDE469" w14:textId="77777777" w:rsidR="00EE3D36" w:rsidRPr="00EE3D36" w:rsidRDefault="00EE3D36"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p>
    <w:p w14:paraId="48F405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октября 1917 л есаул Е.И.Виташевский совершил первый в России перелет через Кавказский хребет из Тифлиса во Владикавказ. Поднимался до 3400 м (438,375).</w:t>
      </w:r>
    </w:p>
    <w:p w14:paraId="54846B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2C335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bookmarkStart w:id="367" w:name="_Hlk119516644"/>
      <w:r w:rsidRPr="002F2FDF">
        <w:rPr>
          <w:rFonts w:ascii="Times New Roman" w:hAnsi="Times New Roman" w:cs="Times New Roman"/>
          <w:color w:val="000000" w:themeColor="text1"/>
          <w:kern w:val="2"/>
          <w:sz w:val="16"/>
          <w:szCs w:val="16"/>
        </w:rPr>
        <w:t>2 (15) октября 1917 военный летчик есаул Евгений Иванович Виташсв-ский совершил первый в России перелет через Кавказский хробет из Тифлиса во Владй&amp;вказ. Высота полета достигала 3400 м (Приказ по Кавказской авиашколе № 413 от II ноября 1917 г.)</w:t>
      </w:r>
    </w:p>
    <w:p w14:paraId="75B97F5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bookmarkEnd w:id="367"/>
    <w:p w14:paraId="66B20CC5" w14:textId="77777777" w:rsidR="00EE3D36" w:rsidRDefault="00EE3D36"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736453">
        <w:rPr>
          <w:rFonts w:ascii="Times New Roman" w:hAnsi="Times New Roman" w:cs="Times New Roman"/>
          <w:color w:val="0070C0"/>
          <w:kern w:val="2"/>
          <w:sz w:val="16"/>
          <w:szCs w:val="16"/>
        </w:rPr>
        <w:t>2 (15) октября 1917 военный летчик есаул Евгений Иванович Виташсвский совершил первый в России перелет через Кавказский хр</w:t>
      </w:r>
      <w:r>
        <w:rPr>
          <w:rFonts w:ascii="Times New Roman" w:hAnsi="Times New Roman" w:cs="Times New Roman"/>
          <w:color w:val="0070C0"/>
          <w:kern w:val="2"/>
          <w:sz w:val="16"/>
          <w:szCs w:val="16"/>
        </w:rPr>
        <w:t>е</w:t>
      </w:r>
      <w:r w:rsidRPr="00736453">
        <w:rPr>
          <w:rFonts w:ascii="Times New Roman" w:hAnsi="Times New Roman" w:cs="Times New Roman"/>
          <w:color w:val="0070C0"/>
          <w:kern w:val="2"/>
          <w:sz w:val="16"/>
          <w:szCs w:val="16"/>
        </w:rPr>
        <w:t>бет из Тифлиса во Влад</w:t>
      </w:r>
      <w:r>
        <w:rPr>
          <w:rFonts w:ascii="Times New Roman" w:hAnsi="Times New Roman" w:cs="Times New Roman"/>
          <w:color w:val="0070C0"/>
          <w:kern w:val="2"/>
          <w:sz w:val="16"/>
          <w:szCs w:val="16"/>
        </w:rPr>
        <w:t>икав</w:t>
      </w:r>
      <w:r w:rsidRPr="00736453">
        <w:rPr>
          <w:rFonts w:ascii="Times New Roman" w:hAnsi="Times New Roman" w:cs="Times New Roman"/>
          <w:color w:val="0070C0"/>
          <w:kern w:val="2"/>
          <w:sz w:val="16"/>
          <w:szCs w:val="16"/>
        </w:rPr>
        <w:t>каз. Высота полета достигала 3400 м</w:t>
      </w:r>
      <w:r>
        <w:rPr>
          <w:rFonts w:ascii="Times New Roman" w:hAnsi="Times New Roman" w:cs="Times New Roman"/>
          <w:color w:val="0070C0"/>
          <w:kern w:val="2"/>
          <w:sz w:val="16"/>
          <w:szCs w:val="16"/>
        </w:rPr>
        <w:t>.</w:t>
      </w:r>
    </w:p>
    <w:p w14:paraId="57A0D9E6" w14:textId="77777777" w:rsidR="00EE3D36" w:rsidRPr="00736453" w:rsidRDefault="00EE3D36"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Pr>
          <w:rFonts w:ascii="Times New Roman" w:hAnsi="Times New Roman" w:cs="Times New Roman"/>
          <w:color w:val="0070C0"/>
          <w:kern w:val="2"/>
          <w:sz w:val="16"/>
          <w:szCs w:val="16"/>
        </w:rPr>
        <w:t>/</w:t>
      </w:r>
      <w:r w:rsidRPr="00736453">
        <w:rPr>
          <w:rFonts w:ascii="Times New Roman" w:hAnsi="Times New Roman" w:cs="Times New Roman"/>
          <w:color w:val="0070C0"/>
          <w:kern w:val="2"/>
          <w:sz w:val="16"/>
          <w:szCs w:val="16"/>
        </w:rPr>
        <w:t xml:space="preserve">Приказ по Кавказской авиашколе № 413 от </w:t>
      </w:r>
      <w:r>
        <w:rPr>
          <w:rFonts w:ascii="Times New Roman" w:hAnsi="Times New Roman" w:cs="Times New Roman"/>
          <w:color w:val="0070C0"/>
          <w:kern w:val="2"/>
          <w:sz w:val="16"/>
          <w:szCs w:val="16"/>
        </w:rPr>
        <w:t>11</w:t>
      </w:r>
      <w:r w:rsidRPr="00736453">
        <w:rPr>
          <w:rFonts w:ascii="Times New Roman" w:hAnsi="Times New Roman" w:cs="Times New Roman"/>
          <w:color w:val="0070C0"/>
          <w:kern w:val="2"/>
          <w:sz w:val="16"/>
          <w:szCs w:val="16"/>
        </w:rPr>
        <w:t xml:space="preserve"> ноября 1917 г.</w:t>
      </w:r>
      <w:r>
        <w:rPr>
          <w:rFonts w:ascii="Times New Roman" w:hAnsi="Times New Roman" w:cs="Times New Roman"/>
          <w:color w:val="0070C0"/>
          <w:kern w:val="2"/>
          <w:sz w:val="16"/>
          <w:szCs w:val="16"/>
        </w:rPr>
        <w:t>/ (23320</w:t>
      </w:r>
      <w:r w:rsidRPr="00736453">
        <w:rPr>
          <w:rFonts w:ascii="Times New Roman" w:hAnsi="Times New Roman" w:cs="Times New Roman"/>
          <w:color w:val="0070C0"/>
          <w:kern w:val="2"/>
          <w:sz w:val="16"/>
          <w:szCs w:val="16"/>
        </w:rPr>
        <w:t>)</w:t>
      </w:r>
    </w:p>
    <w:p w14:paraId="50D441D1" w14:textId="77777777" w:rsidR="00EE3D36" w:rsidRPr="00736453" w:rsidRDefault="00EE3D36"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p>
    <w:p w14:paraId="721F3C45" w14:textId="016ACA62" w:rsidR="00A71B3E" w:rsidRPr="00FB4F67" w:rsidRDefault="00A71B3E" w:rsidP="0083075A">
      <w:pPr>
        <w:spacing w:after="0" w:line="240" w:lineRule="auto"/>
        <w:jc w:val="both"/>
        <w:rPr>
          <w:rFonts w:ascii="Times New Roman" w:hAnsi="Times New Roman" w:cs="Times New Roman"/>
          <w:color w:val="0070C0"/>
          <w:sz w:val="16"/>
          <w:szCs w:val="16"/>
        </w:rPr>
      </w:pPr>
      <w:bookmarkStart w:id="368" w:name="bookmark1008"/>
      <w:r>
        <w:rPr>
          <w:rFonts w:ascii="Times New Roman" w:hAnsi="Times New Roman" w:cs="Times New Roman"/>
          <w:color w:val="0070C0"/>
          <w:sz w:val="16"/>
          <w:szCs w:val="16"/>
        </w:rPr>
        <w:t>2 (</w:t>
      </w:r>
      <w:r w:rsidRPr="00FB4F67">
        <w:rPr>
          <w:rFonts w:ascii="Times New Roman" w:hAnsi="Times New Roman" w:cs="Times New Roman"/>
          <w:color w:val="0070C0"/>
          <w:sz w:val="16"/>
          <w:szCs w:val="16"/>
        </w:rPr>
        <w:t>15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на Румынском фронте военный летчик 4-го истребительного отряда прапорщик А.П. Голышев, патрулируя в районе Вермешти, заметил неприятельский самолет «Бранденбург», шедший к г. Бакеу (Бакэу), и стал его проследовать. С первой же атаки русский летчик подбил самолет и вынудил его приземлиться. Когда австрийские летчики вышли из самолета и пытались его сжечь, Голышев открыл по ним пулеметный огонь, но в это время у него заглох мотор. Спланировав к месту посадки неприятельского самолета, Голышев взял летчиков в плен, а летчика-наблюдателя, который получил ранение во время боя, отправил в ближайший госпиталь (23405).</w:t>
      </w:r>
      <w:bookmarkEnd w:id="368"/>
    </w:p>
    <w:p w14:paraId="33582345" w14:textId="77777777" w:rsidR="00A71B3E" w:rsidRPr="00FB4F67" w:rsidRDefault="00A71B3E" w:rsidP="0083075A">
      <w:pPr>
        <w:spacing w:after="0" w:line="240" w:lineRule="auto"/>
        <w:jc w:val="both"/>
        <w:rPr>
          <w:rFonts w:ascii="Times New Roman" w:hAnsi="Times New Roman" w:cs="Times New Roman"/>
          <w:color w:val="0070C0"/>
          <w:sz w:val="16"/>
          <w:szCs w:val="16"/>
        </w:rPr>
      </w:pPr>
      <w:bookmarkStart w:id="369" w:name="bookmark1009"/>
      <w:bookmarkStart w:id="370" w:name="bookmark1010"/>
    </w:p>
    <w:bookmarkEnd w:id="369"/>
    <w:bookmarkEnd w:id="370"/>
    <w:p w14:paraId="574DDFD0" w14:textId="43A8D233" w:rsidR="00A71B3E" w:rsidRPr="00FB4F67" w:rsidRDefault="00A71B3E"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2/3 (</w:t>
      </w:r>
      <w:r w:rsidRPr="00FB4F67">
        <w:rPr>
          <w:rFonts w:ascii="Times New Roman" w:hAnsi="Times New Roman" w:cs="Times New Roman"/>
          <w:color w:val="0070C0"/>
          <w:sz w:val="16"/>
          <w:szCs w:val="16"/>
        </w:rPr>
        <w:t>15/16</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в Балтийском море немецкие дирижабли бомбили Пернау, последний оставшийся российский порт в Рижском заливе (23525).</w:t>
      </w:r>
    </w:p>
    <w:p w14:paraId="61900EEB" w14:textId="77777777" w:rsidR="00A71B3E" w:rsidRPr="00FB4F67" w:rsidRDefault="00A71B3E" w:rsidP="0083075A">
      <w:pPr>
        <w:spacing w:after="0" w:line="240" w:lineRule="auto"/>
        <w:jc w:val="both"/>
        <w:rPr>
          <w:rFonts w:ascii="Times New Roman" w:hAnsi="Times New Roman" w:cs="Times New Roman"/>
          <w:color w:val="0070C0"/>
          <w:sz w:val="16"/>
          <w:szCs w:val="16"/>
        </w:rPr>
      </w:pPr>
    </w:p>
    <w:p w14:paraId="68563E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ночь на 2 (15) октября 1917 по приказу командования минный заградитель «Припять» выставил мины на Кассарском плесе, на которых днем подорвался германский эсминец. Два других корабля противника, пытаясь обойти минные заграждения, сели на мель. </w:t>
      </w:r>
    </w:p>
    <w:p w14:paraId="4FBB2D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Днем 2 октября под натиском превосходящих сил вражеского десанта гарнизон о. Эзель был вынужден оставить остров. </w:t>
      </w:r>
    </w:p>
    <w:p w14:paraId="5ACA8D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Утром 4 октября вражеские тральщики под прикрытием миноносцев приступили к тралению проходов в районе русских минных заграждений перед Моопзундом. Несмотря на значительное превосходство сил противника (2 ЛК, 2 КР, 11 ЭМ), начальник морских сил Рижского залива контр-адмирал Бахирев, располагая всего двумя старыми линкорами «Слава» и «Гражданин» и броненосным крейсером «Баян», решил дать бой у Куйваста (Приморск) на минно-артиллерийской позиции. Русские линкоры открыли огонь по неприятельским тральщикам и вынудили их отойти (один тральщик был потоплен, другой — подбит). Оба германских линкора с дистанции 130 каб открыли огонь по русским кораблям. Под прикрытием дымовой завесы тральщики вновь возобновили траление. </w:t>
      </w:r>
    </w:p>
    <w:p w14:paraId="279BD9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Около полудня, обойдя с востока минные заграждения, германская эскадра попыталась прорваться в прол. Моонзунд. Во время боя крейсер «Адмирал Макаров», стоявший на якоре в проливе, своим огнем парализовал действия германских эсминцев на Кассарском плесе. В ходе боя «Слава» получила семь попаданий, два из них ниже ватерлинии, в результате чего корабль принял более 1 тыс. т воды и получил крен; два снаряда попали в линкор «Гражданин» и один — в крейсер «Баян». Но несмотря на это. корабли успешно отражали атаки вражеских самолетов, уклоняясь от сброшенных на них мин. Один самолет был сбит огнем «Славы». </w:t>
      </w:r>
    </w:p>
    <w:p w14:paraId="21053F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Полученные повреждения вынудили русские корабли начать отход. Сильно увеличившаяся осадка «Славы» не позволяла ей пройти через прол. Моонзунд, и линкор пришлось затопить у южного входа. Остальные корабли ушли на север, затопив 4 транспорта и выставив минные заграждения на фарватере прол. Моонзунд. </w:t>
      </w:r>
    </w:p>
    <w:p w14:paraId="6169C2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Лишенный поддержки с моря, гарнизон не мог успешно оборонять острова архипелага, поэтому по приказу командования он был эвакуирован, а база в Рогокюле ликвидирована. Но, несмотря на захват Моонзундского арх., немцам так и не удалось уничтожить русские корабли в прол. Моонзунд, и 7 октября германское командование было вынуждено отказаться от прорыва эскадры в Финский зал. </w:t>
      </w:r>
    </w:p>
    <w:p w14:paraId="316971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Обороняя дальние подступы к революционному Петрограду, моряки-балтийцы доказали, свою преданность делу революции. Героически сражаясь с превосходящими силами противника, они уничтожили 12 эсминцев и миноносцев, 6 тральщиков, сбили 2 самолета, повредили 3 линкора и 13 эсминцев и миноносцев. </w:t>
      </w:r>
    </w:p>
    <w:p w14:paraId="352581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Моряки Балтики сорвали попытку международной реакции подавить революцию в России силами германского империализма. Героическая оборона Моонзунда способствовала победе Октябрьского вооруженного восстания в Петрограде (11712).</w:t>
      </w:r>
    </w:p>
    <w:p w14:paraId="7AEA25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A2D699" w14:textId="77777777" w:rsidR="00EE4596" w:rsidRPr="002F2FDF" w:rsidRDefault="00EE459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октября 1917 года после испытания «Джеффери», в присутствии членов штаба Юго-Западного фронта решено было «отказаться от применения этих машин для выполнения задачи особого назначения, а использовать их для выполнения задач обыкновенных броневых автомобилей, причём благодаря неудовлетворительному размещению и конструкции бойниц (пулемётных) лишь при условии совместной работы одновременно не менее 2-х таких броневиков». После октябрьского переворота 1917 года бронедивизион Особого назначения был «украинизирован» и включён в состав вооружённых сил Центральной Рады – правительства провозгласившей независимость Украины. Однако Центральная Рада не смогла долго удержаться у власти и бронеавтомобили «Джеффери» пошли по рукам. Большая их часть досталась Красной Армии и была передана во вновь сформированные бронеотряды (17005).</w:t>
      </w:r>
    </w:p>
    <w:p w14:paraId="190F6BCC" w14:textId="77777777" w:rsidR="00EE4596" w:rsidRPr="002F2FDF" w:rsidRDefault="00EE459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A73E22" w14:textId="77777777" w:rsidR="00C977C1" w:rsidRPr="002F2FDF" w:rsidRDefault="00C977C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E079410" w14:textId="77777777" w:rsidR="00C977C1" w:rsidRPr="002F2FDF" w:rsidRDefault="00C977C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C81171" w14:textId="57F49417" w:rsidR="00C977C1" w:rsidRPr="002F2FDF" w:rsidRDefault="00C977C1"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2 (15) октября</w:t>
      </w:r>
      <w:r w:rsidR="00E52569">
        <w:rPr>
          <w:color w:val="000000" w:themeColor="text1"/>
          <w:sz w:val="16"/>
          <w:szCs w:val="16"/>
        </w:rPr>
        <w:t xml:space="preserve"> </w:t>
      </w:r>
      <w:r w:rsidRPr="002F2FDF">
        <w:rPr>
          <w:color w:val="000000" w:themeColor="text1"/>
          <w:sz w:val="16"/>
          <w:szCs w:val="16"/>
        </w:rPr>
        <w:t>1917 Временное Правительство еще раз акцентировало внимание общества на своем полновластии</w:t>
      </w:r>
      <w:r w:rsidR="00E52569">
        <w:rPr>
          <w:color w:val="000000" w:themeColor="text1"/>
          <w:sz w:val="16"/>
          <w:szCs w:val="16"/>
        </w:rPr>
        <w:t xml:space="preserve"> </w:t>
      </w:r>
      <w:r w:rsidRPr="002F2FDF">
        <w:rPr>
          <w:color w:val="000000" w:themeColor="text1"/>
          <w:sz w:val="16"/>
          <w:szCs w:val="16"/>
        </w:rPr>
        <w:t>– создан Временный Совет Российской республики (Предпарламент) (18371).</w:t>
      </w:r>
    </w:p>
    <w:p w14:paraId="7D51D78A" w14:textId="77777777" w:rsidR="00C977C1" w:rsidRPr="002F2FDF" w:rsidRDefault="00C977C1" w:rsidP="0083075A">
      <w:pPr>
        <w:pStyle w:val="ae"/>
        <w:spacing w:before="0" w:after="0"/>
        <w:jc w:val="both"/>
        <w:rPr>
          <w:color w:val="000000" w:themeColor="text1"/>
          <w:sz w:val="16"/>
          <w:szCs w:val="16"/>
        </w:rPr>
      </w:pPr>
    </w:p>
    <w:p w14:paraId="47C6D1E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16E6B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4E4D01" w14:textId="77777777" w:rsidR="00607F19" w:rsidRPr="002F2FDF" w:rsidRDefault="00607F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(15) октября 1917 первый полет Alcock Scout (20341).</w:t>
      </w:r>
    </w:p>
    <w:p w14:paraId="7FECFD2C" w14:textId="77777777" w:rsidR="00607F19" w:rsidRPr="002F2FDF" w:rsidRDefault="00607F19" w:rsidP="0083075A">
      <w:pPr>
        <w:spacing w:after="0" w:line="240" w:lineRule="auto"/>
        <w:jc w:val="both"/>
        <w:rPr>
          <w:rFonts w:ascii="Times New Roman" w:hAnsi="Times New Roman" w:cs="Times New Roman"/>
          <w:color w:val="000000" w:themeColor="text1"/>
          <w:sz w:val="16"/>
          <w:szCs w:val="16"/>
        </w:rPr>
      </w:pPr>
    </w:p>
    <w:p w14:paraId="41B96AB5" w14:textId="1FC9AE76" w:rsidR="00607F19" w:rsidRPr="002F2FDF" w:rsidRDefault="00607F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(15) октября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Первый полёт Alcock Scout.</w:t>
      </w:r>
    </w:p>
    <w:p w14:paraId="013F86FC" w14:textId="77777777" w:rsidR="00607F19" w:rsidRPr="002F2FDF" w:rsidRDefault="00607F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Alcock Scout, также известный как A.1 и Sopwith Mouse, был любопытным экспериментальным истребителем-бипланом, недолго летавший во время Первой мировой войны. Он был собран лейтенантом Джоном Алкоком в Модросе на базе Королевской военно-морской авиации в Эгейском море. Алкок взял носовой фюзеляж и нижние крылья триплана Sopwith, верхние крылья Sopwith Pup и хвостовое оперение Sopwith Camel и соединил их с фюзеляжем и вертикальной хвостовой поверхностью оригинальной конструкции. Оснащён двигателем Clerget 9Z мощностью 110 л.с. и имел пулемёт .303 Vickers. Алкок никогда не летал на нём сам, но сослуживец по эскадрилье Норман Старбак совершил на нём несколько полётов, первый 15 октября 1917 года. Однако он разбился в начале 1918 года, был списан и больше никогда не летал (22336).</w:t>
      </w:r>
    </w:p>
    <w:p w14:paraId="7D2A343B" w14:textId="77777777" w:rsidR="00607F19" w:rsidRPr="002F2FDF" w:rsidRDefault="00607F19" w:rsidP="0083075A">
      <w:pPr>
        <w:spacing w:after="0" w:line="240" w:lineRule="auto"/>
        <w:jc w:val="both"/>
        <w:rPr>
          <w:rFonts w:ascii="Times New Roman" w:hAnsi="Times New Roman" w:cs="Times New Roman"/>
          <w:color w:val="000000" w:themeColor="text1"/>
          <w:sz w:val="16"/>
          <w:szCs w:val="16"/>
        </w:rPr>
      </w:pPr>
    </w:p>
    <w:p w14:paraId="741526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 (15) октября 1917 года начались летные испытания английского жесткого дирижабля R.23, разработка которого началась летом 1915 года коллективом “Виккерса”, который знаменовал собой технологический и производственный шаг, приближающий его к цеппелину. Его тело объемом 26 600 куб. м имело длинный облегченный киль, но вместе с тем одинарное (простое) хвостовое оперение. На дирижабле размещались четыре двигателя Роллс-Ройс “Игл”; по одному в передней и задней гондолах и два в средней. Мощность каждого “Игла” равнялась 250 л. с. Столь мощная силовая установка позволяла дирижаблю развить скорость 83,6 км/ч при грузоподъемности 5,95 т. Однако Адмиралтейство сочло эти показатели недостаточными. Снова подтвердился тот факт, что британские конструкторы дирижаблей, не обремененные долгой практической работой в этой области, не смогли обеспечить соотношение прочности и минимального веса конструкции. Снова пришлось ее </w:t>
      </w:r>
      <w:r w:rsidRPr="002F2FDF">
        <w:rPr>
          <w:rFonts w:ascii="Times New Roman" w:hAnsi="Times New Roman" w:cs="Times New Roman"/>
          <w:color w:val="000000" w:themeColor="text1"/>
          <w:kern w:val="2"/>
          <w:sz w:val="16"/>
          <w:szCs w:val="16"/>
        </w:rPr>
        <w:lastRenderedPageBreak/>
        <w:t>облегчать и использовать детали от уже знакомого нам L-33. С “германца” была снята боковая мотогондола и установлена вместо задней мотогондолы R.23. В октябре 1917 года R.23 был принят в состав флота. Кроме всего [281] прочего летом 1918 года дирижабль использовался в качестве носителя истребителя Сопвич 2F.1 “Кэмэл”. В ноябре наблюдал за германскими подводными лодками, которые сдались в Гарвиче. В 1919 году он был сдан на металлолом (11324).</w:t>
      </w:r>
    </w:p>
    <w:p w14:paraId="6A7E7B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4C80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октября 1917 германские войска предприняли наступление в Восточной Африке (сражение под Махивой) (3907,91).</w:t>
      </w:r>
    </w:p>
    <w:p w14:paraId="3EE104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6AD0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октября 1917 голландская балерина Маргаретта Гертруда Зелле (Мата Хари) была расстреляна в Венсене близ Парижа как агент немецкой разведки (3186).</w:t>
      </w:r>
    </w:p>
    <w:p w14:paraId="71BC4D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E4CCC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октября 1917 в Париже казнена голландская супершпионка Мата Хари (перед расстрелом послала воздушный поцелуй палачам) (4962).</w:t>
      </w:r>
    </w:p>
    <w:p w14:paraId="678FEAA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299050"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 (15) октября </w:t>
      </w:r>
      <w:r w:rsidRPr="002F2FDF">
        <w:rPr>
          <w:rFonts w:ascii="Times New Roman" w:hAnsi="Times New Roman" w:cs="Times New Roman"/>
          <w:color w:val="000000" w:themeColor="text1"/>
          <w:kern w:val="2"/>
          <w:sz w:val="16"/>
          <w:szCs w:val="16"/>
        </w:rPr>
        <w:t>в 1917 году в Париже, в Венсенских казармах, куда её привезли из тюрьмы Сен-Лазар, расстреливают французскую танцовщицу Гертрудy Маргарет Зелле (сценический псевдоним - Мата Хари), обвиненную в шпионаже в пользу Германии (перед расстрелом послала воздушный поцелуй палачам) (14800).</w:t>
      </w:r>
    </w:p>
    <w:p w14:paraId="309214C5"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p>
    <w:p w14:paraId="6F339CE2" w14:textId="310029DC" w:rsidR="005C783F" w:rsidRPr="002F2FDF" w:rsidRDefault="005C783F" w:rsidP="0083075A">
      <w:pPr>
        <w:pStyle w:val="ae"/>
        <w:spacing w:before="0" w:after="0"/>
        <w:jc w:val="both"/>
        <w:rPr>
          <w:color w:val="000000" w:themeColor="text1"/>
          <w:kern w:val="2"/>
          <w:sz w:val="16"/>
          <w:szCs w:val="16"/>
        </w:rPr>
      </w:pPr>
      <w:r w:rsidRPr="002F2FDF">
        <w:rPr>
          <w:color w:val="000000" w:themeColor="text1"/>
          <w:kern w:val="2"/>
          <w:sz w:val="16"/>
          <w:szCs w:val="16"/>
        </w:rPr>
        <w:t>2 (15) октября 1917 у южных берегов Ирландии произошел морской бой между американским противолодочным эсминцем «Кэсин» и германской подводной лодкой U-61. Увидев эсминец, подводная лодка, у которой оставалась лишь одна торпеда, попыталась оторваться от погони, но не смогла погрузиться достаточно глубоко из-за мелководья. После того</w:t>
      </w:r>
      <w:r w:rsidR="00E52569">
        <w:rPr>
          <w:color w:val="000000" w:themeColor="text1"/>
          <w:kern w:val="2"/>
          <w:sz w:val="16"/>
          <w:szCs w:val="16"/>
        </w:rPr>
        <w:t xml:space="preserve"> </w:t>
      </w:r>
      <w:r w:rsidRPr="002F2FDF">
        <w:rPr>
          <w:color w:val="000000" w:themeColor="text1"/>
          <w:kern w:val="2"/>
          <w:sz w:val="16"/>
          <w:szCs w:val="16"/>
        </w:rPr>
        <w:t>как «Кэсин» нагнал ее, немцы выстрелили по нему последней торпедой. Эсминец получил серьезные повреждения, но не затонул, лишь потеряв ход. Воспользовавшись этим, подлодка</w:t>
      </w:r>
      <w:r w:rsidR="00E52569">
        <w:rPr>
          <w:color w:val="000000" w:themeColor="text1"/>
          <w:kern w:val="2"/>
          <w:sz w:val="16"/>
          <w:szCs w:val="16"/>
        </w:rPr>
        <w:t xml:space="preserve"> </w:t>
      </w:r>
      <w:r w:rsidRPr="002F2FDF">
        <w:rPr>
          <w:color w:val="000000" w:themeColor="text1"/>
          <w:kern w:val="2"/>
          <w:sz w:val="16"/>
          <w:szCs w:val="16"/>
        </w:rPr>
        <w:t>наконец</w:t>
      </w:r>
      <w:r w:rsidR="00E52569">
        <w:rPr>
          <w:color w:val="000000" w:themeColor="text1"/>
          <w:kern w:val="2"/>
          <w:sz w:val="16"/>
          <w:szCs w:val="16"/>
        </w:rPr>
        <w:t xml:space="preserve"> </w:t>
      </w:r>
      <w:r w:rsidRPr="002F2FDF">
        <w:rPr>
          <w:color w:val="000000" w:themeColor="text1"/>
          <w:kern w:val="2"/>
          <w:sz w:val="16"/>
          <w:szCs w:val="16"/>
        </w:rPr>
        <w:t>сумела уйти и была потоплена лишь несколько месяцев спустя (17045).</w:t>
      </w:r>
    </w:p>
    <w:p w14:paraId="2A1689B5" w14:textId="77777777" w:rsidR="005C783F" w:rsidRPr="002F2FDF" w:rsidRDefault="005C783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ADA51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9A44A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D8C7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октября 1917 компанию В.А.Лебедева сообщила Управлению морской авиации и воздухоплавания, что сконструирован и испытан "двухмоторный гидроаэроплан", который мог использоваться как р. и и. Это был Лебедь-16 с 2 Рон 80 нр. Считается, что машина была построена и испытана еще в 1916 и В.А.Лебедев просто морочил голову (2843,55).</w:t>
      </w:r>
    </w:p>
    <w:p w14:paraId="1D662F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3E075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октября 1917 г. компания В.А. Лебедева сообщила Управлению морской авиации и воздухоплавания о том, что ее инженеры сконструировали и испытали "двухмоторный гид</w:t>
      </w:r>
      <w:r w:rsidRPr="002F2FDF">
        <w:rPr>
          <w:rFonts w:ascii="Times New Roman" w:hAnsi="Times New Roman" w:cs="Times New Roman"/>
          <w:color w:val="000000" w:themeColor="text1"/>
          <w:kern w:val="2"/>
          <w:sz w:val="16"/>
          <w:szCs w:val="16"/>
        </w:rPr>
        <w:softHyphen/>
        <w:t>роаэроплан", который мог использоваться как разведчик или истребитель, будучи в послед</w:t>
      </w:r>
      <w:r w:rsidRPr="002F2FDF">
        <w:rPr>
          <w:rFonts w:ascii="Times New Roman" w:hAnsi="Times New Roman" w:cs="Times New Roman"/>
          <w:color w:val="000000" w:themeColor="text1"/>
          <w:kern w:val="2"/>
          <w:sz w:val="16"/>
          <w:szCs w:val="16"/>
        </w:rPr>
        <w:softHyphen/>
        <w:t>нем случае вооружен двумя пулеметами с суммарной зоной обстрела почти в 360°. При этом, однако, отмечалось, что самолет с двумя 80-сильными двигателями "Рон" опробовали только на колесном шасси, а для опытов с поплавками требовалось получить два мотора той же марки, но мощностью 120 л.с. каждый. Водные эксперименты предполагалось осу</w:t>
      </w:r>
      <w:r w:rsidRPr="002F2FDF">
        <w:rPr>
          <w:rFonts w:ascii="Times New Roman" w:hAnsi="Times New Roman" w:cs="Times New Roman"/>
          <w:color w:val="000000" w:themeColor="text1"/>
          <w:kern w:val="2"/>
          <w:sz w:val="16"/>
          <w:szCs w:val="16"/>
        </w:rPr>
        <w:softHyphen/>
        <w:t>ществить в Таганроге.</w:t>
      </w:r>
    </w:p>
    <w:p w14:paraId="0AAC2B8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Скорее всего, это сообщение осталось без ответа, тогда как на деле сама модель была не морским самолетом, а конструкцией, известной под обозначением "Лебедь 16". По Шав-рову, она являлась двухмоторным трехместным двухстосчным бипланом неустановленных размеров (но близких к некоему "Фарману XX" — по всей вероятности, аппарату "Фарман" тип АФ.20, производившемуся в России заводами ПРТВ Щетинина и фирмы Анатра). Ма</w:t>
      </w:r>
      <w:r w:rsidRPr="002F2FDF">
        <w:rPr>
          <w:rFonts w:ascii="Times New Roman" w:hAnsi="Times New Roman" w:cs="Times New Roman"/>
          <w:color w:val="000000" w:themeColor="text1"/>
          <w:kern w:val="2"/>
          <w:sz w:val="16"/>
          <w:szCs w:val="16"/>
        </w:rPr>
        <w:softHyphen/>
        <w:t>шина действительно имела два мотора "Рон" по 80 л.с., установленных на Л-образных стой</w:t>
      </w:r>
      <w:r w:rsidRPr="002F2FDF">
        <w:rPr>
          <w:rFonts w:ascii="Times New Roman" w:hAnsi="Times New Roman" w:cs="Times New Roman"/>
          <w:color w:val="000000" w:themeColor="text1"/>
          <w:kern w:val="2"/>
          <w:sz w:val="16"/>
          <w:szCs w:val="16"/>
        </w:rPr>
        <w:softHyphen/>
        <w:t>ках в коробке крыльев и закрытых капотами обтекаемой формы. В фанерном фюзеляже, располагаясь одно позади другого, находились места переднего стрелка, пилота и механика (заднего стрелка). Верхняя и нижняя главные несущие поверхности были неодинаковы по размаху, а шасси повторяло "Лебедь 12".</w:t>
      </w:r>
    </w:p>
    <w:p w14:paraId="0A0EF0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Первый опытный экземпляр аэроплана построили в 1916 г. и в начале 1917 г. его ис</w:t>
      </w:r>
      <w:r w:rsidRPr="002F2FDF">
        <w:rPr>
          <w:rFonts w:ascii="Times New Roman" w:hAnsi="Times New Roman" w:cs="Times New Roman"/>
          <w:color w:val="000000" w:themeColor="text1"/>
          <w:kern w:val="2"/>
          <w:sz w:val="16"/>
          <w:szCs w:val="16"/>
        </w:rPr>
        <w:softHyphen/>
        <w:t>пытал пилот компании А.П. Гончаров. В целом, аппарат показал неплохие результаты, но дальнейшие опыты с ним были по какой-то причине остановлены. Без сомнения, в конце 1917 г. В.А. Лебедев пробовал заинтересовать Морское ведомство этой моделью, выдавая ее за новейшую разработку, и к тому же за гидроаэроплан (2843).</w:t>
      </w:r>
    </w:p>
    <w:p w14:paraId="7A35CD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2382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3-19 (16 октября 1 ноября ) октября 1917 завод Дукс сдал в полете 6 Спадов с ИС в 150 нр, изготовленных по контракту № 5583 с Авиационным Комитетом Морского Ведомства от 6 (19) мая 1917 (9651,44).</w:t>
      </w:r>
    </w:p>
    <w:p w14:paraId="5653B3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2317C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153F7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3870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октября 1917 года наштаверхом [начальник штаба Верховного главнокомандующего] утвердил &lt;Наставление по организации разведывательной службы в действующей армии&gt;. Наставление это, выработанное специалистом своего дела, - сразу укладывало в должные рамки все дело разведывательной службы&gt; (стр. 5-6) (7559).</w:t>
      </w:r>
    </w:p>
    <w:p w14:paraId="794D52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5293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Воздушные победы, одержанные Сафоновым 3 </w:t>
      </w:r>
      <w:r w:rsidR="001157F8" w:rsidRPr="002F2FDF">
        <w:rPr>
          <w:rFonts w:ascii="Times New Roman" w:hAnsi="Times New Roman" w:cs="Times New Roman"/>
          <w:color w:val="000000" w:themeColor="text1"/>
          <w:kern w:val="2"/>
          <w:sz w:val="16"/>
          <w:szCs w:val="16"/>
        </w:rPr>
        <w:t xml:space="preserve">(16) </w:t>
      </w:r>
      <w:r w:rsidRPr="002F2FDF">
        <w:rPr>
          <w:rFonts w:ascii="Times New Roman" w:hAnsi="Times New Roman" w:cs="Times New Roman"/>
          <w:color w:val="000000" w:themeColor="text1"/>
          <w:kern w:val="2"/>
          <w:sz w:val="16"/>
          <w:szCs w:val="16"/>
        </w:rPr>
        <w:t xml:space="preserve">и 4 </w:t>
      </w:r>
      <w:r w:rsidR="001157F8" w:rsidRPr="002F2FDF">
        <w:rPr>
          <w:rFonts w:ascii="Times New Roman" w:hAnsi="Times New Roman" w:cs="Times New Roman"/>
          <w:color w:val="000000" w:themeColor="text1"/>
          <w:kern w:val="2"/>
          <w:sz w:val="16"/>
          <w:szCs w:val="16"/>
        </w:rPr>
        <w:t xml:space="preserve">(17) </w:t>
      </w:r>
      <w:r w:rsidRPr="002F2FDF">
        <w:rPr>
          <w:rFonts w:ascii="Times New Roman" w:hAnsi="Times New Roman" w:cs="Times New Roman"/>
          <w:color w:val="000000" w:themeColor="text1"/>
          <w:kern w:val="2"/>
          <w:sz w:val="16"/>
          <w:szCs w:val="16"/>
        </w:rPr>
        <w:t>октября 1917, представляются наиболее убедительными: сбит и упал гидросамолёт "Фридрихсхофен", о двухмоторный бомбардировщик, после пулемётной очереди с дальности 20 м стал рассыпаться и загорелся. Две последние победы Сафонов одержал на самолёте "Ньюпор-17". В октябре Михаил Сафонов получает очередной чин старшего лейтенанта. В ноябре 1917 г. Сафонова назначают начальником 2-го истребительного авиаотряда и в течении двух дней (16 и 17 ноября) он одерживает две очередные воздушные победы. После Октябрьской революции Сафонов продолжал служить в авиации флота Балтийского моря. В ряде статей и публикации утверждается, что к концу 1917 г. старший лейтенант Михаил Сафонов довёл счёт сбитых самолётов до 11, что не подтверждается документами. Более-менее реальным представляется, что на счету экипажа Сафонова пять или шесть сбитых и повреждённых самолётов. 19 марта 1918 г. на основании декрета Совета Народных Комиссаров увидел свет приказ по флоту и Морскому ведомству № 102, которым и был уволен со службы старший лейтенант Михаил Иванович Сафонов. Он, как и большинство офицеров, не принял революцию. Сафонов, братья Зайцевские и В. А. Порфененко заключили контракт с финским правительством о службе в гражданской авиации. Однако можно предполагать, что имелась в виду и деятельность, далёкая от гражданской. 11 апреля 1918 года с Комендантского аэродрома в Петрограде заговорщики "угнали" четыре самолёта, взяли курс на Финляндию и приземлились в "столице финской контрреволюции" городе Восо. Сафонов летел с женой. В мое гражданская война в Финляндии закончилось, а в России оно только начиналось. Летом 1918 г, через оккупированную немцами территорию, Сафонов добрался до Новочеркасска, где вступил в Добровольческую армию генерала А. И. Деникина. Подробностей о его службе в этот период не сохранилось. После поражения белого движения в России Сафонов оказался в Персии, затем в Индии. Из Индии семья перебралось в Китай и Сафонов поступил на службу к правителю Манчжурии Чжан Цзо Линю, врагом которого была партия Гоминьдан. Когда в начале 1924 г. начались военные действия между Чжан Цзо Линем и Гоминьданом, Сафонов участвовал в боях и в мае 1924 г. его самолёт был сбит наземным огнём во время патрулирования над рекой Минг (по другим данным работал на Китайских гражданских авиалиниях и в мае 1924 г. погиб в авиакатастрофе). Награды: орден св. Анны 4-й степени, закрепленный но кортике с надписью "Зо храбрость"; св. Станислава 3-й ст. с мечами и бантом; св. Владимира 4-й ст. с мечами и бантом (11928).</w:t>
      </w:r>
    </w:p>
    <w:p w14:paraId="48FDAE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2D0A40" w14:textId="77777777" w:rsidR="00305E0A" w:rsidRPr="002F2FDF" w:rsidRDefault="00305E0A" w:rsidP="0083075A">
      <w:pPr>
        <w:pStyle w:val="ae"/>
        <w:spacing w:before="0" w:after="0"/>
        <w:jc w:val="both"/>
        <w:rPr>
          <w:color w:val="000000" w:themeColor="text1"/>
          <w:kern w:val="2"/>
          <w:sz w:val="16"/>
          <w:szCs w:val="16"/>
        </w:rPr>
      </w:pPr>
      <w:r w:rsidRPr="002F2FDF">
        <w:rPr>
          <w:color w:val="000000" w:themeColor="text1"/>
          <w:kern w:val="2"/>
          <w:sz w:val="16"/>
          <w:szCs w:val="16"/>
        </w:rPr>
        <w:t>3 (16) октября 1917 германские тральщики завершили расчистку от мин Ирбенского пролива (соединяет Рижский залив и Балтийское море, между южной оконечностью острова Сааремаа и материковой частью Латвии) и фарватера Рижского залива для прохода основных сил немецкой эскадры. Несколькими днями ранее в рамках операции «Альбион» германский флот высадил десант на основные острова Моонзундского архипелага (у западного побережья Эстонии), захватив часть русских береговых батарей. После этого в Рижский залив вошли главные силы эскадры — линкоры «Кениг» и «Кронпринц Вильгельм», легкие крейсеры «Кольберг», «Страсбург» и «Аугсбург» в сопровождении нескольких десятков эсминцев и миноносцев. В этот день русская эскадра решила не принимать бой и отступила в северном направлении в Моонзундский пролив (отделяет Моонзундские острова от побережья Эстонии) (17045).</w:t>
      </w:r>
    </w:p>
    <w:p w14:paraId="25EF03A8" w14:textId="77777777" w:rsidR="00305E0A" w:rsidRPr="002F2FDF" w:rsidRDefault="00305E0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6C05AB" w14:textId="77777777" w:rsidR="00305E0A" w:rsidRPr="002F2FDF" w:rsidRDefault="00305E0A" w:rsidP="0083075A">
      <w:pPr>
        <w:pStyle w:val="ae"/>
        <w:spacing w:before="0" w:after="0"/>
        <w:jc w:val="both"/>
        <w:rPr>
          <w:color w:val="000000" w:themeColor="text1"/>
          <w:kern w:val="2"/>
          <w:sz w:val="16"/>
          <w:szCs w:val="16"/>
        </w:rPr>
      </w:pPr>
      <w:r w:rsidRPr="002F2FDF">
        <w:rPr>
          <w:color w:val="000000" w:themeColor="text1"/>
          <w:kern w:val="2"/>
          <w:sz w:val="16"/>
          <w:szCs w:val="16"/>
        </w:rPr>
        <w:t>3 (16) октября 1917 в связи с угрозой окружения, возникшей из-за немецких десантов, русский Генеральный штаб отдал приказ об эвакуации Ревеля (ныне Таллинн) — последнего крупного препятствия на пути германских войск к Петрограду. Значительная часть жителей устремились из города, образовав давку на вокзале (17045).</w:t>
      </w:r>
    </w:p>
    <w:p w14:paraId="14224F75" w14:textId="53535934" w:rsidR="00305E0A" w:rsidRDefault="00305E0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510A84" w14:textId="5650B838" w:rsidR="00C2390E" w:rsidRPr="00FB4F67" w:rsidRDefault="00C2390E"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 (</w:t>
      </w:r>
      <w:r w:rsidRPr="00FB4F67">
        <w:rPr>
          <w:rFonts w:ascii="Times New Roman" w:hAnsi="Times New Roman" w:cs="Times New Roman"/>
          <w:color w:val="0070C0"/>
          <w:sz w:val="16"/>
          <w:szCs w:val="16"/>
        </w:rPr>
        <w:t>16</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силами команды Церельской батареи уничтожены оставшиеся орудия (в том числе 47-мм зенитные), лишив противника ценного трофея. В течение дня были отмечены разведывательные полеты цеппелинов в западной части о. Даго и у входа в Финский залив. В районе о. Моон немецкая авиация продолжала наносить штурмовые удары по обозам и небольшим группам наших войск. Русские летчики оказывали противнику упорное сопротивление. Над Куйвастом в результате перехвата в воздухе лейтенантом М.И. Сафоновым сбил германский гидросамолет, пилотируемый лейтенантом Кейнбургом. В этот день в воздушных боях также участвовали летчики К.М. Жеребцов и Д. Штевен (23405).</w:t>
      </w:r>
    </w:p>
    <w:p w14:paraId="480D3E3F" w14:textId="77777777" w:rsidR="00C2390E" w:rsidRPr="00FB4F67" w:rsidRDefault="00C2390E" w:rsidP="0083075A">
      <w:pPr>
        <w:spacing w:after="0" w:line="240" w:lineRule="auto"/>
        <w:jc w:val="both"/>
        <w:rPr>
          <w:rFonts w:ascii="Times New Roman" w:hAnsi="Times New Roman" w:cs="Times New Roman"/>
          <w:color w:val="0070C0"/>
          <w:sz w:val="16"/>
          <w:szCs w:val="16"/>
        </w:rPr>
      </w:pPr>
    </w:p>
    <w:p w14:paraId="3F19DDFD" w14:textId="3F0037E7" w:rsidR="00C2390E" w:rsidRPr="00FB4F67" w:rsidRDefault="00C2390E"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 (</w:t>
      </w:r>
      <w:r w:rsidRPr="00FB4F67">
        <w:rPr>
          <w:rFonts w:ascii="Times New Roman" w:hAnsi="Times New Roman" w:cs="Times New Roman"/>
          <w:color w:val="0070C0"/>
          <w:sz w:val="16"/>
          <w:szCs w:val="16"/>
        </w:rPr>
        <w:t>16</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летчик французской службы лейтенант Лакман атаковал неприятельский привязной аэростат и сжег его. Это стало пятой воздушной победой союзного авиатора (23405).</w:t>
      </w:r>
    </w:p>
    <w:p w14:paraId="5E660A5A" w14:textId="77777777" w:rsidR="00C2390E" w:rsidRPr="00FB4F67" w:rsidRDefault="00C2390E" w:rsidP="0083075A">
      <w:pPr>
        <w:spacing w:after="0" w:line="240" w:lineRule="auto"/>
        <w:jc w:val="both"/>
        <w:rPr>
          <w:rFonts w:ascii="Times New Roman" w:hAnsi="Times New Roman" w:cs="Times New Roman"/>
          <w:color w:val="0070C0"/>
          <w:sz w:val="16"/>
          <w:szCs w:val="16"/>
        </w:rPr>
      </w:pPr>
    </w:p>
    <w:p w14:paraId="0BA7F790" w14:textId="2D37AC6A" w:rsidR="00C2390E" w:rsidRPr="00FB4F67" w:rsidRDefault="00C2390E"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 (</w:t>
      </w:r>
      <w:r w:rsidRPr="00FB4F67">
        <w:rPr>
          <w:rFonts w:ascii="Times New Roman" w:hAnsi="Times New Roman" w:cs="Times New Roman"/>
          <w:color w:val="0070C0"/>
          <w:sz w:val="16"/>
          <w:szCs w:val="16"/>
        </w:rPr>
        <w:t>16</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остров Эзель был полностью захвачен противником (23525).</w:t>
      </w:r>
    </w:p>
    <w:p w14:paraId="45D1131F" w14:textId="77777777" w:rsidR="00C2390E" w:rsidRPr="00FB4F67" w:rsidRDefault="00C2390E" w:rsidP="0083075A">
      <w:pPr>
        <w:spacing w:after="0" w:line="240" w:lineRule="auto"/>
        <w:jc w:val="both"/>
        <w:rPr>
          <w:rFonts w:ascii="Times New Roman" w:hAnsi="Times New Roman" w:cs="Times New Roman"/>
          <w:color w:val="0070C0"/>
          <w:sz w:val="16"/>
          <w:szCs w:val="16"/>
        </w:rPr>
      </w:pPr>
    </w:p>
    <w:p w14:paraId="3F920AE3" w14:textId="126BFBF8" w:rsidR="006F7B4F" w:rsidRPr="006F7B4F" w:rsidRDefault="006F7B4F" w:rsidP="0083075A">
      <w:pPr>
        <w:autoSpaceDE w:val="0"/>
        <w:autoSpaceDN w:val="0"/>
        <w:adjustRightInd w:val="0"/>
        <w:spacing w:after="0" w:line="240" w:lineRule="auto"/>
        <w:jc w:val="both"/>
        <w:rPr>
          <w:rFonts w:ascii="Times New Roman" w:hAnsi="Times New Roman" w:cs="Times New Roman"/>
          <w:i/>
          <w:color w:val="000000" w:themeColor="text1"/>
          <w:kern w:val="2"/>
          <w:sz w:val="16"/>
          <w:szCs w:val="16"/>
        </w:rPr>
      </w:pPr>
      <w:r w:rsidRPr="006F7B4F">
        <w:rPr>
          <w:rFonts w:ascii="Times New Roman" w:hAnsi="Times New Roman" w:cs="Times New Roman"/>
          <w:i/>
          <w:color w:val="000000" w:themeColor="text1"/>
          <w:kern w:val="2"/>
          <w:sz w:val="16"/>
          <w:szCs w:val="16"/>
        </w:rPr>
        <w:t>Жизнь и внутренняя политика:</w:t>
      </w:r>
    </w:p>
    <w:p w14:paraId="235268A9" w14:textId="77777777" w:rsidR="006F7B4F" w:rsidRPr="006F7B4F" w:rsidRDefault="006F7B4F" w:rsidP="0083075A">
      <w:pPr>
        <w:autoSpaceDE w:val="0"/>
        <w:autoSpaceDN w:val="0"/>
        <w:adjustRightInd w:val="0"/>
        <w:spacing w:after="0" w:line="240" w:lineRule="auto"/>
        <w:jc w:val="both"/>
        <w:rPr>
          <w:rFonts w:ascii="Times New Roman" w:hAnsi="Times New Roman" w:cs="Times New Roman"/>
          <w:i/>
          <w:color w:val="000000" w:themeColor="text1"/>
          <w:kern w:val="2"/>
          <w:sz w:val="16"/>
          <w:szCs w:val="16"/>
        </w:rPr>
      </w:pPr>
    </w:p>
    <w:p w14:paraId="0D788258" w14:textId="3C884888" w:rsidR="006F7B4F" w:rsidRPr="002F2FDF" w:rsidRDefault="006F7B4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3/</w:t>
      </w:r>
      <w:r w:rsidRPr="002F2FDF">
        <w:rPr>
          <w:rFonts w:ascii="Times New Roman" w:hAnsi="Times New Roman" w:cs="Times New Roman"/>
          <w:color w:val="000000" w:themeColor="text1"/>
          <w:kern w:val="2"/>
          <w:sz w:val="16"/>
          <w:szCs w:val="16"/>
        </w:rPr>
        <w:t>4 (16/17) октября 1917 Собор РПЦ принял послание по поводу выборов в Учредительное собрание (3481).</w:t>
      </w:r>
    </w:p>
    <w:p w14:paraId="632D2D1A" w14:textId="77777777" w:rsidR="006F7B4F" w:rsidRPr="002F2FDF" w:rsidRDefault="006F7B4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4F094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A23D7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0DAE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октября 1917 в британском парламенте без всяких проблем проходит билль о создании отдельного министерства авиации в Англии (11999).</w:t>
      </w:r>
    </w:p>
    <w:p w14:paraId="53EF0C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C5CD7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0367CE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70C6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 </w:t>
      </w:r>
      <w:r w:rsidR="001157F8" w:rsidRPr="002F2FDF">
        <w:rPr>
          <w:rFonts w:ascii="Times New Roman" w:hAnsi="Times New Roman" w:cs="Times New Roman"/>
          <w:color w:val="000000" w:themeColor="text1"/>
          <w:kern w:val="2"/>
          <w:sz w:val="16"/>
          <w:szCs w:val="16"/>
        </w:rPr>
        <w:t xml:space="preserve">(17) </w:t>
      </w:r>
      <w:r w:rsidRPr="002F2FDF">
        <w:rPr>
          <w:rFonts w:ascii="Times New Roman" w:hAnsi="Times New Roman" w:cs="Times New Roman"/>
          <w:color w:val="000000" w:themeColor="text1"/>
          <w:kern w:val="2"/>
          <w:sz w:val="16"/>
          <w:szCs w:val="16"/>
        </w:rPr>
        <w:t>октября 1917 года. «Феодор Стратилат», построенный на верфи Акционерного общества «Беккер и К°» в Ревеле, где строилась серия из пяти кораблей этого типа: «Громоносец» (с 9 июня 1914 года — «Изяслав»), «Прямислав», «Брячислав», «Автроил», «Феодор Стратилат» с артиллерийским вооружением из пяти 102-мм орудий каждый — более сильным, чем на современных им английских миноносцах, заложенный 23 ноября 1914 года, спустили на воду. В связи с угрозой захвата Ревеля германскими войсками в октябре 1917 года корабли отбуксировали для достройки в Петроград (11866).</w:t>
      </w:r>
    </w:p>
    <w:p w14:paraId="417BD5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B8520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8309C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E47A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(16/17) октября 1917 было Моонзундское морское сражение (3481).</w:t>
      </w:r>
    </w:p>
    <w:p w14:paraId="373419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CC2B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октября 1917 3 эскадра германских линкоров вошла в Рижский залив и начала поиск русских морских сил, сосредоточенных на рейде Куйваст. Был бой линкоров Слава, Гражданин и крейсера Баян с линкорами Кениг и Кронпринц Вильгельм. Славу взорвал экипаж. Российский БФ разбили (3124).</w:t>
      </w:r>
    </w:p>
    <w:p w14:paraId="07B242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BEB24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октября 1917 после вторжения в Рижский залив эскадры германских лин</w:t>
      </w:r>
      <w:r w:rsidRPr="002F2FDF">
        <w:rPr>
          <w:rFonts w:ascii="Times New Roman" w:hAnsi="Times New Roman" w:cs="Times New Roman"/>
          <w:color w:val="000000" w:themeColor="text1"/>
          <w:kern w:val="2"/>
          <w:sz w:val="16"/>
          <w:szCs w:val="16"/>
        </w:rPr>
        <w:softHyphen/>
        <w:t>коров и жестокого боя с русскими броненосцами “Сла</w:t>
      </w:r>
      <w:r w:rsidRPr="002F2FDF">
        <w:rPr>
          <w:rFonts w:ascii="Times New Roman" w:hAnsi="Times New Roman" w:cs="Times New Roman"/>
          <w:color w:val="000000" w:themeColor="text1"/>
          <w:kern w:val="2"/>
          <w:sz w:val="16"/>
          <w:szCs w:val="16"/>
        </w:rPr>
        <w:softHyphen/>
        <w:t>ва”, “Гражданин” (бывший “Цесаревич”) и крейсером “Баян”, окончившегося затоплением моряками в северном выходе из пролива тяжело поврежденной “Славы”, командование Балтий</w:t>
      </w:r>
      <w:r w:rsidRPr="002F2FDF">
        <w:rPr>
          <w:rFonts w:ascii="Times New Roman" w:hAnsi="Times New Roman" w:cs="Times New Roman"/>
          <w:color w:val="000000" w:themeColor="text1"/>
          <w:kern w:val="2"/>
          <w:sz w:val="16"/>
          <w:szCs w:val="16"/>
        </w:rPr>
        <w:softHyphen/>
        <w:t>ского флота приняло решение об эвакуации сил и средств с Моонзундских островов (11283).</w:t>
      </w:r>
    </w:p>
    <w:p w14:paraId="1ACB07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FAA073" w14:textId="36F5CBB3"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 </w:t>
      </w:r>
      <w:r w:rsidR="001157F8" w:rsidRPr="002F2FDF">
        <w:rPr>
          <w:rFonts w:ascii="Times New Roman" w:hAnsi="Times New Roman" w:cs="Times New Roman"/>
          <w:color w:val="000000" w:themeColor="text1"/>
          <w:kern w:val="2"/>
          <w:sz w:val="16"/>
          <w:szCs w:val="16"/>
        </w:rPr>
        <w:t xml:space="preserve">(17) </w:t>
      </w:r>
      <w:r w:rsidRPr="002F2FDF">
        <w:rPr>
          <w:rFonts w:ascii="Times New Roman" w:hAnsi="Times New Roman" w:cs="Times New Roman"/>
          <w:color w:val="000000" w:themeColor="text1"/>
          <w:kern w:val="2"/>
          <w:sz w:val="16"/>
          <w:szCs w:val="16"/>
        </w:rPr>
        <w:t xml:space="preserve">октября </w:t>
      </w:r>
      <w:r w:rsidR="006F7B4F">
        <w:rPr>
          <w:rFonts w:ascii="Times New Roman" w:hAnsi="Times New Roman" w:cs="Times New Roman"/>
          <w:color w:val="000000" w:themeColor="text1"/>
          <w:kern w:val="2"/>
          <w:sz w:val="16"/>
          <w:szCs w:val="16"/>
        </w:rPr>
        <w:t>1917 г. п</w:t>
      </w:r>
      <w:r w:rsidR="006F7B4F" w:rsidRPr="002F2FDF">
        <w:rPr>
          <w:rFonts w:ascii="Times New Roman" w:hAnsi="Times New Roman" w:cs="Times New Roman"/>
          <w:color w:val="000000" w:themeColor="text1"/>
          <w:kern w:val="2"/>
          <w:sz w:val="16"/>
          <w:szCs w:val="16"/>
        </w:rPr>
        <w:t xml:space="preserve">осле вторжения в Рижский золив немецких кораблей и боя </w:t>
      </w:r>
      <w:r w:rsidRPr="002F2FDF">
        <w:rPr>
          <w:rFonts w:ascii="Times New Roman" w:hAnsi="Times New Roman" w:cs="Times New Roman"/>
          <w:color w:val="000000" w:themeColor="text1"/>
          <w:kern w:val="2"/>
          <w:sz w:val="16"/>
          <w:szCs w:val="16"/>
        </w:rPr>
        <w:t>с линейным кораблём "Слава", броненосцем "Гражданин" (бывший "Цесаревич") и крейсером "Баян", командование Балтийским флотом приняло решение об эвакуации с Моонзундских островов. Довести состав воздушной дивизии Балтийского моря до штатного состава не удалось. После оставления в сентябре-октябре 1917 г. Риги, островов Рижского залива и Моонзундского архипелага, дивизия понесла большие потери. Пришлось вместо потерянных станций обустраивать посты в Наргене, Балтийском порту, Нарве и Котке и сформировать два отряда истребителей на сухопутных самолётах: один - под командованием старшего лейтенанта М.И.Сафонова, второй - под командованием старшего лейтенанта А.Н. Проко- фьева-Северского. Ещё летом, для их базирования оборудовали аэродромы на Цереле, в Аренсбурге, Куйвасте (о. Моон). Гапсале и Вер- дере. Впрочем, осенью они все оказались у немцев (11928).</w:t>
      </w:r>
    </w:p>
    <w:p w14:paraId="1EEA47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D240CC" w14:textId="71CE62EF"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 (17) октября 1917 </w:t>
      </w:r>
      <w:r w:rsidR="006F7B4F">
        <w:rPr>
          <w:rFonts w:ascii="Times New Roman" w:hAnsi="Times New Roman" w:cs="Times New Roman"/>
          <w:color w:val="000000" w:themeColor="text1"/>
          <w:kern w:val="2"/>
          <w:sz w:val="16"/>
          <w:szCs w:val="16"/>
        </w:rPr>
        <w:t>г. у</w:t>
      </w:r>
      <w:r w:rsidR="006F7B4F" w:rsidRPr="002F2FDF">
        <w:rPr>
          <w:rFonts w:ascii="Times New Roman" w:hAnsi="Times New Roman" w:cs="Times New Roman"/>
          <w:color w:val="000000" w:themeColor="text1"/>
          <w:kern w:val="2"/>
          <w:sz w:val="16"/>
          <w:szCs w:val="16"/>
        </w:rPr>
        <w:t xml:space="preserve">тром </w:t>
      </w:r>
      <w:r w:rsidRPr="002F2FDF">
        <w:rPr>
          <w:rFonts w:ascii="Times New Roman" w:hAnsi="Times New Roman" w:cs="Times New Roman"/>
          <w:color w:val="000000" w:themeColor="text1"/>
          <w:kern w:val="2"/>
          <w:sz w:val="16"/>
          <w:szCs w:val="16"/>
        </w:rPr>
        <w:t xml:space="preserve">вражеские тральщики под прикрытием миноносцев приступили к тралению проходов в районе русских минных заграждений перед Моопзундом. Несмотря на значительное превосходство сил противника (2 ЛК, 2 КР, 11 ЭМ), начальник морских сил Рижского залива контр-адмирал Бахирев, располагая всего двумя старыми линкорами «Слава» и «Гражданин» и броненосным крейсером «Баян», решил дать бой у Куйваста (Приморск) на минно-артиллерийской позиции. Русские линкоры открыли огонь по неприятельским тральщикам и вынудили их отойти (один тральщик был потоплен, другой — подбит). Оба германских линкора с дистанции 130 каб открыли огонь по русским кораблям. Под прикрытием дымовой завесы тральщики вновь возобновили траление. </w:t>
      </w:r>
    </w:p>
    <w:p w14:paraId="490C8F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Около полудня, обойдя с востока минные заграждения, германская эскадра попыталась прорваться в прол. Моонзунд. Во время боя крейсер «Адмирал Макаров», стоявший на якоре в проливе, своим огнем парализовал действия германских эсминцев на Кассарском плесе. В ходе боя «Слава» получила семь попаданий, два из них ниже ватерлинии, в результате чего корабль принял более 1 тыс. т воды и получил крен; два снаряда попали в линкор «Гражданин» и один — в крейсер «Баян». Но несмотря на это. корабли успешно отражали атаки вражеских самолетов, уклоняясь от сброшенных на них мин. Один самолет был сбит огнем «Славы». </w:t>
      </w:r>
    </w:p>
    <w:p w14:paraId="01DAAC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Полученные повреждения вынудили русские корабли начать отход. Сильно увеличившаяся осадка «Славы» не позволяла ей пройти через прол. Моонзунд, и линкор пришлось затопить у южного входа. Остальные корабли ушли на север, затопив 4 транспорта и выставив минные заграждения на фарватере прол. Моонзунд. </w:t>
      </w:r>
    </w:p>
    <w:p w14:paraId="3D21B5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Лишенный поддержки с моря, гарнизон не мог успешно оборонять острова архипелага, поэтому по приказу командования он был эвакуирован, а база в Рогокюле ликвидирована. Но, несмотря на захват Моонзундского арх., немцам так и не удалось уничтожить русские корабли в прол. Моонзунд, и 7 октября германское командование было вынуждено отказаться от прорыва эскадры в Финский зал. </w:t>
      </w:r>
    </w:p>
    <w:p w14:paraId="5146D1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Обороняя дальние подступы к революционному Петрограду, моряки-балтийцы доказали, свою преданность делу революции. Героически сражаясь с превосходящими силами противника, они уничтожили 12 эсминцев и миноносцев, 6 тральщиков, сбили 2 самолета, повредили 3 линкора и 13 эсминцев и миноносцев. </w:t>
      </w:r>
    </w:p>
    <w:p w14:paraId="24D7A7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Моряки Балтики сорвали попытку международной реакции подавить революцию в России силами германского империализма. Героическая оборона Моонзунда способствовала победе Октябрьского вооруженного восстания в Петрограде (11712).</w:t>
      </w:r>
    </w:p>
    <w:p w14:paraId="002F72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4043F2"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октября в 1917 году в ходе проведения Моонзундской операции состоялся бой линкоров «Слава», «Гражданин» и крейсера «Баян» с германской эскадрой у Куйвасту (Моонзундский архипелаг), в ходе которого была отражена попытка немецкой эскадры прорваться в Моонзундский пролив (14802).</w:t>
      </w:r>
    </w:p>
    <w:p w14:paraId="377B6432"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p>
    <w:p w14:paraId="13BFACC1" w14:textId="77777777" w:rsidR="00305E0A" w:rsidRPr="002F2FDF" w:rsidRDefault="00305E0A" w:rsidP="0083075A">
      <w:pPr>
        <w:pStyle w:val="ae"/>
        <w:spacing w:before="0" w:after="0"/>
        <w:jc w:val="both"/>
        <w:rPr>
          <w:color w:val="000000" w:themeColor="text1"/>
          <w:kern w:val="2"/>
          <w:sz w:val="16"/>
          <w:szCs w:val="16"/>
        </w:rPr>
      </w:pPr>
      <w:r w:rsidRPr="002F2FDF">
        <w:rPr>
          <w:color w:val="000000" w:themeColor="text1"/>
          <w:kern w:val="2"/>
          <w:sz w:val="16"/>
          <w:szCs w:val="16"/>
        </w:rPr>
        <w:t>4 (17) октября 1917 у южного входа в Моонзундский пролив в районе деревни Куйвасту (расположена на восточном побережье острова Муху, в те годы Моон, напротив материковой части Эстонии) произошел главный морской бой между германскими и русскими эскадрами. Русские корабли, занявшие позиции на рейде Куйвасту, открыли огонь по приблизившимся германским тральщикам. Последние для защиты сначала выставили дымовую завесу, затем им на помощь подошли германские дредноуты, которые открыли огонь по флагманам русской эскадры — эскадренным броненосцам «Слава» и «Гражданин».</w:t>
      </w:r>
    </w:p>
    <w:p w14:paraId="3B5332BE" w14:textId="77777777" w:rsidR="00305E0A" w:rsidRPr="002F2FDF" w:rsidRDefault="00305E0A" w:rsidP="0083075A">
      <w:pPr>
        <w:pStyle w:val="ae"/>
        <w:spacing w:before="0" w:after="0"/>
        <w:jc w:val="both"/>
        <w:rPr>
          <w:color w:val="000000" w:themeColor="text1"/>
          <w:kern w:val="2"/>
          <w:sz w:val="16"/>
          <w:szCs w:val="16"/>
        </w:rPr>
      </w:pPr>
      <w:r w:rsidRPr="002F2FDF">
        <w:rPr>
          <w:color w:val="000000" w:themeColor="text1"/>
          <w:kern w:val="2"/>
          <w:sz w:val="16"/>
          <w:szCs w:val="16"/>
        </w:rPr>
        <w:t>В ходе боя на «Славе» из-за поломки вышла из строя носовая башня главного калибра и броненосец остался с двумя кормовыми 305-мм орудиями против 20 германских такого же калибра. За короткий срок броненосец получил три попадания ниже ватерлинии, и из-за увеличившейся осадки уже не мог уйти через мелководный Моонзундский пролив. Командир корабля капитан 1 ранга Антонов запросил у командующего русским флотом адмирала Бахирева разрешение взорвать корабль. Однако Бахирев принял другое решение — затопить корабль в фарватере Рижского залива на входе в Моонзундский пролив, чтобы преградить путь германской эскадре. Однако полностью реализовать этот план не удалось — вода продолжала поступать в трюмы «Славы», машинная команда сбежала, бросив боевые посты, и корабль потерял управляемость. В итоге броненосец выскочил носом на мель у кромки канала, так его и не перегородив. Команда корабля была снята подошедшими эсминцами «Сильный», «Войсковой» и «Донской казак».</w:t>
      </w:r>
    </w:p>
    <w:p w14:paraId="01CE7992" w14:textId="77777777" w:rsidR="00305E0A" w:rsidRPr="002F2FDF" w:rsidRDefault="00305E0A" w:rsidP="0083075A">
      <w:pPr>
        <w:pStyle w:val="ae"/>
        <w:spacing w:before="0" w:after="0"/>
        <w:jc w:val="both"/>
        <w:rPr>
          <w:color w:val="000000" w:themeColor="text1"/>
          <w:kern w:val="2"/>
          <w:sz w:val="16"/>
          <w:szCs w:val="16"/>
        </w:rPr>
      </w:pPr>
      <w:r w:rsidRPr="002F2FDF">
        <w:rPr>
          <w:color w:val="000000" w:themeColor="text1"/>
          <w:kern w:val="2"/>
          <w:sz w:val="16"/>
          <w:szCs w:val="16"/>
        </w:rPr>
        <w:t>После боя русская эскадра отступила на север через Моонзундский пролив, немцы же, после того как на мине подорвался еще один эсминец, преследовать ее не решились (17045).</w:t>
      </w:r>
    </w:p>
    <w:p w14:paraId="691A81A5" w14:textId="77777777" w:rsidR="00305E0A" w:rsidRPr="002F2FDF" w:rsidRDefault="00305E0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690B57" w14:textId="52350C94" w:rsidR="003130C4" w:rsidRPr="00FB4F67" w:rsidRDefault="003130C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В ночь с </w:t>
      </w:r>
      <w:r>
        <w:rPr>
          <w:rFonts w:ascii="Times New Roman" w:hAnsi="Times New Roman" w:cs="Times New Roman"/>
          <w:color w:val="0070C0"/>
          <w:sz w:val="16"/>
          <w:szCs w:val="16"/>
        </w:rPr>
        <w:t>4 на 5 (</w:t>
      </w:r>
      <w:r w:rsidRPr="00FB4F67">
        <w:rPr>
          <w:rFonts w:ascii="Times New Roman" w:hAnsi="Times New Roman" w:cs="Times New Roman"/>
          <w:color w:val="0070C0"/>
          <w:sz w:val="16"/>
          <w:szCs w:val="16"/>
        </w:rPr>
        <w:t>17 на 18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немцы заняли остров Луна, а 19 октября был захвачен остров Даго. Потеря аэродромов на этих островах побудила Балтийский флот России отдать приказ открыть воздушные посты в Наргене, Балтийском порту, Нарве и далее на восток в Котке для защиты подступов к Петрограду (23525).</w:t>
      </w:r>
    </w:p>
    <w:p w14:paraId="4AE4BFAD" w14:textId="77777777" w:rsidR="003130C4" w:rsidRPr="00FB4F67" w:rsidRDefault="003130C4" w:rsidP="0083075A">
      <w:pPr>
        <w:spacing w:after="0" w:line="240" w:lineRule="auto"/>
        <w:jc w:val="both"/>
        <w:rPr>
          <w:rFonts w:ascii="Times New Roman" w:hAnsi="Times New Roman" w:cs="Times New Roman"/>
          <w:color w:val="0070C0"/>
          <w:sz w:val="16"/>
          <w:szCs w:val="16"/>
        </w:rPr>
      </w:pPr>
    </w:p>
    <w:p w14:paraId="449A3D18" w14:textId="7EF3D9E2" w:rsidR="003130C4" w:rsidRPr="00FB4F67" w:rsidRDefault="003130C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4 (</w:t>
      </w:r>
      <w:r w:rsidRPr="00FB4F67">
        <w:rPr>
          <w:rFonts w:ascii="Times New Roman" w:hAnsi="Times New Roman" w:cs="Times New Roman"/>
          <w:color w:val="0070C0"/>
          <w:sz w:val="16"/>
          <w:szCs w:val="16"/>
        </w:rPr>
        <w:t>17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утром противник предпринял попытку бомбардировать наши корабли, находившиеся на рейде, и береговые позиции о. Моон. Шесть неприятельских гидросамолетов сбросили на морские суда до 15 бомб большой мощности. Четыре из них упали на рейде, восемь - на пристань и пост службы связи, три - вблизи артиллерийских батарей. Несмотря на внешний эффект, они не причинили русским судам и посту никакого вреда.</w:t>
      </w:r>
    </w:p>
    <w:p w14:paraId="6C26951D" w14:textId="77777777" w:rsidR="003130C4" w:rsidRPr="00FB4F67" w:rsidRDefault="003130C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Следующий воздушный налет (силами 6 гидросамолетов) немецкая авиация совершила днем, атаковав наши корабли в Моонзундском канале при отходе их под огнем противника из бухты Куйваст. Всего было сброшено до 40 крупнокалиберных бомб. По свидетельству очевидцев, взрывы главным образом отмечались возле снимавшихся с якоря заградителей. В ходе бомбардировки ни одно судно не пострадало.</w:t>
      </w:r>
    </w:p>
    <w:p w14:paraId="1F3359BF" w14:textId="77777777" w:rsidR="003130C4" w:rsidRPr="00FB4F67" w:rsidRDefault="003130C4" w:rsidP="0083075A">
      <w:pPr>
        <w:spacing w:after="0" w:line="240" w:lineRule="auto"/>
        <w:jc w:val="both"/>
        <w:rPr>
          <w:rFonts w:ascii="Times New Roman" w:hAnsi="Times New Roman" w:cs="Times New Roman"/>
          <w:color w:val="0070C0"/>
          <w:sz w:val="16"/>
          <w:szCs w:val="16"/>
        </w:rPr>
      </w:pPr>
      <w:bookmarkStart w:id="371" w:name="bookmark1003"/>
      <w:bookmarkStart w:id="372" w:name="bookmark1004"/>
      <w:r w:rsidRPr="00FB4F67">
        <w:rPr>
          <w:rFonts w:ascii="Times New Roman" w:hAnsi="Times New Roman" w:cs="Times New Roman"/>
          <w:color w:val="0070C0"/>
          <w:sz w:val="16"/>
          <w:szCs w:val="16"/>
        </w:rPr>
        <w:t>Стрельбой корабельной артиллерии немецкие гидросамолеты были отогнаны, два летательных аппарата удалось подбить: одного огнем с линкора «Слава», второго - с эскадренного миноносца «Финн».</w:t>
      </w:r>
      <w:bookmarkEnd w:id="371"/>
      <w:bookmarkEnd w:id="372"/>
    </w:p>
    <w:p w14:paraId="1006B08F" w14:textId="77777777" w:rsidR="003130C4" w:rsidRPr="00FB4F67" w:rsidRDefault="003130C4"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Одновременно противник силами авиагруппы (4 аппарата) совершил налет на пристань рейда Куйваст и позиции Моонских батарей. На указанные объекты были сброшены бомбы большой мощности. Накануне налета германская сторона провела с воздуха тщательную их рекогносцировку с привлечением авиации и цеппелина. Несмотря на решение начальника 3-й авиационной станции (п-ов Вердер) лейтенанта Б.П. Берга провести воздушную разведку подходивших к Моонзундскому </w:t>
      </w:r>
      <w:r w:rsidRPr="00FB4F67">
        <w:rPr>
          <w:rFonts w:ascii="Times New Roman" w:hAnsi="Times New Roman" w:cs="Times New Roman"/>
          <w:color w:val="0070C0"/>
          <w:sz w:val="16"/>
          <w:szCs w:val="16"/>
        </w:rPr>
        <w:lastRenderedPageBreak/>
        <w:t>архипелагу морских сил неприятеля, личный состав отказался выполнить его приказ, сославшись на свою малочисленность. Приблизившись к полуострову, немецкие корабли открыли по батарее № 33 и авиационной станции плотный огонь, причинив им большие разрушения (23405).</w:t>
      </w:r>
    </w:p>
    <w:p w14:paraId="6BB00BF4" w14:textId="77777777" w:rsidR="003130C4" w:rsidRPr="00FB4F67" w:rsidRDefault="003130C4" w:rsidP="0083075A">
      <w:pPr>
        <w:spacing w:after="0" w:line="240" w:lineRule="auto"/>
        <w:jc w:val="both"/>
        <w:rPr>
          <w:rFonts w:ascii="Times New Roman" w:hAnsi="Times New Roman" w:cs="Times New Roman"/>
          <w:color w:val="0070C0"/>
          <w:sz w:val="16"/>
          <w:szCs w:val="16"/>
        </w:rPr>
      </w:pPr>
    </w:p>
    <w:p w14:paraId="5BC77DB5" w14:textId="75B575B3" w:rsidR="003130C4" w:rsidRPr="00FB4F67" w:rsidRDefault="003130C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4 (</w:t>
      </w:r>
      <w:r w:rsidRPr="00FB4F67">
        <w:rPr>
          <w:rFonts w:ascii="Times New Roman" w:hAnsi="Times New Roman" w:cs="Times New Roman"/>
          <w:color w:val="0070C0"/>
          <w:sz w:val="16"/>
          <w:szCs w:val="16"/>
        </w:rPr>
        <w:t>17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севернее г. Тыргу-Окна наш летчик после воздушного боя сбил австрийский «Бранденбург». Оба летчика были взяты в плен (23405). </w:t>
      </w:r>
    </w:p>
    <w:p w14:paraId="0F2E8284" w14:textId="77777777" w:rsidR="003130C4" w:rsidRPr="00FB4F67" w:rsidRDefault="003130C4" w:rsidP="0083075A">
      <w:pPr>
        <w:spacing w:after="0" w:line="240" w:lineRule="auto"/>
        <w:jc w:val="both"/>
        <w:rPr>
          <w:rFonts w:ascii="Times New Roman" w:hAnsi="Times New Roman" w:cs="Times New Roman"/>
          <w:color w:val="0070C0"/>
          <w:sz w:val="16"/>
          <w:szCs w:val="16"/>
        </w:rPr>
      </w:pPr>
    </w:p>
    <w:p w14:paraId="0651BBCD" w14:textId="0C4C74B4" w:rsidR="003130C4" w:rsidRPr="00FB4F67" w:rsidRDefault="003130C4"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4 (</w:t>
      </w:r>
      <w:r w:rsidRPr="00FB4F67">
        <w:rPr>
          <w:rFonts w:ascii="Times New Roman" w:hAnsi="Times New Roman" w:cs="Times New Roman"/>
          <w:color w:val="0070C0"/>
          <w:sz w:val="16"/>
          <w:szCs w:val="16"/>
        </w:rPr>
        <w:t>17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в Балтийском море немецкие военные корабли при поддержке гидросамолетов повредили русский линкор «Слава» к северу от Мунзунда. «Славу» спустила ее команда (23525).</w:t>
      </w:r>
    </w:p>
    <w:p w14:paraId="089E63A5" w14:textId="77777777" w:rsidR="003130C4" w:rsidRPr="00FB4F67" w:rsidRDefault="003130C4" w:rsidP="0083075A">
      <w:pPr>
        <w:spacing w:after="0" w:line="240" w:lineRule="auto"/>
        <w:jc w:val="both"/>
        <w:rPr>
          <w:rFonts w:ascii="Times New Roman" w:hAnsi="Times New Roman" w:cs="Times New Roman"/>
          <w:color w:val="0070C0"/>
          <w:sz w:val="16"/>
          <w:szCs w:val="16"/>
        </w:rPr>
      </w:pPr>
    </w:p>
    <w:p w14:paraId="38EC8C3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5CBA1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129E2F" w14:textId="77777777" w:rsidR="00305E0A" w:rsidRPr="002F2FDF" w:rsidRDefault="00305E0A" w:rsidP="0083075A">
      <w:pPr>
        <w:pStyle w:val="ae"/>
        <w:spacing w:before="0" w:after="0"/>
        <w:jc w:val="both"/>
        <w:rPr>
          <w:color w:val="000000" w:themeColor="text1"/>
          <w:kern w:val="2"/>
          <w:sz w:val="16"/>
          <w:szCs w:val="16"/>
        </w:rPr>
      </w:pPr>
      <w:r w:rsidRPr="002F2FDF">
        <w:rPr>
          <w:color w:val="000000" w:themeColor="text1"/>
          <w:kern w:val="2"/>
          <w:sz w:val="16"/>
          <w:szCs w:val="16"/>
        </w:rPr>
        <w:t>4 (17) октября 1917 в Петрограде состоялось совещание Временного правительства, на котором обсуждался вопрос о переезде правительства и учредительного собрания в Москву ввиду угрозы приближения германских войск. Предложение было принято единогласно, но возникли разногласия о сроках. Глава Временного правительства Александр Керенский настаивал на немедленной эвакуации, остальные министры полагали, что для подготовки переезда нужно минимум две недели (17045).</w:t>
      </w:r>
    </w:p>
    <w:p w14:paraId="754B5626" w14:textId="77777777" w:rsidR="00305E0A" w:rsidRPr="002F2FDF" w:rsidRDefault="00305E0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34F147" w14:textId="77777777" w:rsidR="000F08C4" w:rsidRPr="002F2FDF" w:rsidRDefault="000F08C4"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октября 1917</w:t>
      </w:r>
      <w:r w:rsidRPr="002F2FDF">
        <w:rPr>
          <w:rFonts w:ascii="Times New Roman" w:hAnsi="Times New Roman" w:cs="Times New Roman"/>
          <w:bCs/>
          <w:color w:val="000000" w:themeColor="text1"/>
          <w:kern w:val="2"/>
          <w:sz w:val="16"/>
          <w:szCs w:val="16"/>
        </w:rPr>
        <w:t xml:space="preserve"> состоялось заседание Временного правительства, на котором впервые специально был поставлен вопрос о предполагаемом выступлении большевиков. Министры были единодушны в том, что угроза вооруженного мятежа является реальной. Однако правительство явно недооценивало степень организованности противника. Предполагалось, что восстание, как и в июле, будет носить характер стихийного движения, главными участниками которого станут солдаты. В этой связи некоторыми из присутствующих предлагалось даже искусственно спровоцировать выступление, с тем чтобы подавить его в зародыше. Министр юстиции Малянтович говорил: «Я боюсь перехитрить. Когда будет голод, будет поздно. Поэтому проверить свои силы, принять меры, вызвать выступление и его подавить!» Его поддержал министр иностранных дел Терещенко: «Надо идти на верную победу, и можно даже вызвать их (прямые действия со стороны большевиков) (17326).</w:t>
      </w:r>
    </w:p>
    <w:p w14:paraId="18192C34" w14:textId="77777777" w:rsidR="000F08C4" w:rsidRPr="002F2FDF" w:rsidRDefault="000F08C4"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C18097" w14:textId="77777777" w:rsidR="00C977C1" w:rsidRPr="002F2FDF" w:rsidRDefault="00C977C1"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4 (17) октября 1917</w:t>
      </w:r>
      <w:r w:rsidRPr="002F2FDF">
        <w:rPr>
          <w:color w:val="000000" w:themeColor="text1"/>
          <w:sz w:val="16"/>
          <w:szCs w:val="16"/>
        </w:rPr>
        <w:t xml:space="preserve"> Временное Правительство принимает решение о скорейшей эвакуации в Москву правительства, высших учреждений, некоторых фабрик и заводов. Для большевиков это стало поводом для резких нападок: «</w:t>
      </w:r>
      <w:r w:rsidRPr="002F2FDF">
        <w:rPr>
          <w:rStyle w:val="af0"/>
          <w:i w:val="0"/>
          <w:color w:val="000000" w:themeColor="text1"/>
          <w:sz w:val="16"/>
          <w:szCs w:val="16"/>
        </w:rPr>
        <w:t>Временное правительство собирается уезжать в Москву. Оно хочет отдать немцам Петроград. Мы же ни за что Петрограда не отдадим немцам, мы будем защищать его до последней капли крови и всех вас зовем на защиту его</w:t>
      </w:r>
      <w:r w:rsidRPr="002F2FDF">
        <w:rPr>
          <w:color w:val="000000" w:themeColor="text1"/>
          <w:sz w:val="16"/>
          <w:szCs w:val="16"/>
        </w:rPr>
        <w:t>».</w:t>
      </w:r>
    </w:p>
    <w:p w14:paraId="526ECF16" w14:textId="6C9F7669" w:rsidR="00C977C1" w:rsidRPr="002F2FDF" w:rsidRDefault="00C977C1" w:rsidP="0083075A">
      <w:pPr>
        <w:pStyle w:val="ae"/>
        <w:spacing w:before="0" w:after="0"/>
        <w:jc w:val="both"/>
        <w:rPr>
          <w:color w:val="000000" w:themeColor="text1"/>
          <w:sz w:val="16"/>
          <w:szCs w:val="16"/>
        </w:rPr>
      </w:pPr>
      <w:r w:rsidRPr="002F2FDF">
        <w:rPr>
          <w:color w:val="000000" w:themeColor="text1"/>
          <w:sz w:val="16"/>
          <w:szCs w:val="16"/>
        </w:rPr>
        <w:t>Правление Никольской мануфактуры «Саввы Морозова сын и К</w:t>
      </w:r>
      <w:r w:rsidRPr="002F2FDF">
        <w:rPr>
          <w:color w:val="000000" w:themeColor="text1"/>
          <w:sz w:val="16"/>
          <w:szCs w:val="16"/>
          <w:vertAlign w:val="superscript"/>
        </w:rPr>
        <w:t>о</w:t>
      </w:r>
      <w:r w:rsidRPr="002F2FDF">
        <w:rPr>
          <w:color w:val="000000" w:themeColor="text1"/>
          <w:sz w:val="16"/>
          <w:szCs w:val="16"/>
        </w:rPr>
        <w:t>» обратились к губернскому комиссару с жалобой на действия местного Совета Рабочих Депутатов, в президиуме которого состояли председатель Городской Думы И.В.</w:t>
      </w:r>
      <w:r w:rsidR="00E52569">
        <w:rPr>
          <w:color w:val="000000" w:themeColor="text1"/>
          <w:sz w:val="16"/>
          <w:szCs w:val="16"/>
        </w:rPr>
        <w:t xml:space="preserve"> </w:t>
      </w:r>
      <w:r w:rsidRPr="002F2FDF">
        <w:rPr>
          <w:color w:val="000000" w:themeColor="text1"/>
          <w:sz w:val="16"/>
          <w:szCs w:val="16"/>
        </w:rPr>
        <w:t>Бугров и Городской Голова В.А.</w:t>
      </w:r>
      <w:r w:rsidR="00E52569">
        <w:rPr>
          <w:color w:val="000000" w:themeColor="text1"/>
          <w:sz w:val="16"/>
          <w:szCs w:val="16"/>
        </w:rPr>
        <w:t xml:space="preserve"> </w:t>
      </w:r>
      <w:r w:rsidRPr="002F2FDF">
        <w:rPr>
          <w:color w:val="000000" w:themeColor="text1"/>
          <w:sz w:val="16"/>
          <w:szCs w:val="16"/>
        </w:rPr>
        <w:t>Барышников. Совет по постановлению Городской Думы «</w:t>
      </w:r>
      <w:r w:rsidRPr="002F2FDF">
        <w:rPr>
          <w:rStyle w:val="af0"/>
          <w:i w:val="0"/>
          <w:color w:val="000000" w:themeColor="text1"/>
          <w:sz w:val="16"/>
          <w:szCs w:val="16"/>
        </w:rPr>
        <w:t>реквизировал</w:t>
      </w:r>
      <w:r w:rsidRPr="002F2FDF">
        <w:rPr>
          <w:color w:val="000000" w:themeColor="text1"/>
          <w:sz w:val="16"/>
          <w:szCs w:val="16"/>
        </w:rPr>
        <w:t>» для своих нужд две квартиры в доме, принадлежащем мануфактуре. В этих квартирах проживали бывший сотрудник фирмы Оглоблин и доктор Резвяков. Губернский комиссар А. Эйслер направил письмо на рассмотрение городскому голове И.В.</w:t>
      </w:r>
      <w:r w:rsidR="00E52569">
        <w:rPr>
          <w:color w:val="000000" w:themeColor="text1"/>
          <w:sz w:val="16"/>
          <w:szCs w:val="16"/>
        </w:rPr>
        <w:t xml:space="preserve"> </w:t>
      </w:r>
      <w:r w:rsidRPr="002F2FDF">
        <w:rPr>
          <w:color w:val="000000" w:themeColor="text1"/>
          <w:sz w:val="16"/>
          <w:szCs w:val="16"/>
        </w:rPr>
        <w:t>Бугрову (18371).</w:t>
      </w:r>
    </w:p>
    <w:p w14:paraId="000B5B9C" w14:textId="77777777" w:rsidR="00C977C1" w:rsidRPr="002F2FDF" w:rsidRDefault="00C977C1" w:rsidP="0083075A">
      <w:pPr>
        <w:pStyle w:val="ae"/>
        <w:spacing w:before="0" w:after="0"/>
        <w:jc w:val="both"/>
        <w:rPr>
          <w:color w:val="000000" w:themeColor="text1"/>
          <w:sz w:val="16"/>
          <w:szCs w:val="16"/>
        </w:rPr>
      </w:pPr>
    </w:p>
    <w:p w14:paraId="4EC61044" w14:textId="77777777" w:rsidR="000F08C4" w:rsidRPr="002F2FDF" w:rsidRDefault="000F08C4"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4-5-6 (17 — 18 — 19) октября 1917 г. Троцкий выдал оружие рабочим. С решением Троцкого и Ленина не согласились Зиновьев и Каменев. 17 октября они написали свое заявление и 18 октября опубликовали заметку «</w:t>
      </w:r>
      <w:r w:rsidRPr="002F2FDF">
        <w:rPr>
          <w:rFonts w:ascii="Times New Roman" w:eastAsia="Times New Roman" w:hAnsi="Times New Roman" w:cs="Times New Roman"/>
          <w:bCs/>
          <w:iCs/>
          <w:color w:val="000000" w:themeColor="text1"/>
          <w:kern w:val="2"/>
          <w:sz w:val="16"/>
          <w:szCs w:val="16"/>
          <w:lang w:eastAsia="ru-RU"/>
        </w:rPr>
        <w:t>Ю.Каменев о «выступлении</w:t>
      </w:r>
      <w:r w:rsidRPr="002F2FDF">
        <w:rPr>
          <w:rFonts w:ascii="Times New Roman" w:eastAsia="Times New Roman" w:hAnsi="Times New Roman" w:cs="Times New Roman"/>
          <w:color w:val="000000" w:themeColor="text1"/>
          <w:kern w:val="2"/>
          <w:sz w:val="16"/>
          <w:szCs w:val="16"/>
          <w:lang w:eastAsia="ru-RU"/>
        </w:rPr>
        <w:t>» в газете М.Горького «</w:t>
      </w:r>
      <w:r w:rsidRPr="002F2FDF">
        <w:rPr>
          <w:rFonts w:ascii="Times New Roman" w:eastAsia="Times New Roman" w:hAnsi="Times New Roman" w:cs="Times New Roman"/>
          <w:bCs/>
          <w:iCs/>
          <w:color w:val="000000" w:themeColor="text1"/>
          <w:kern w:val="2"/>
          <w:sz w:val="16"/>
          <w:szCs w:val="16"/>
          <w:lang w:eastAsia="ru-RU"/>
        </w:rPr>
        <w:t>Новая жизнь</w:t>
      </w:r>
      <w:r w:rsidRPr="002F2FDF">
        <w:rPr>
          <w:rFonts w:ascii="Times New Roman" w:eastAsia="Times New Roman" w:hAnsi="Times New Roman" w:cs="Times New Roman"/>
          <w:color w:val="000000" w:themeColor="text1"/>
          <w:kern w:val="2"/>
          <w:sz w:val="16"/>
          <w:szCs w:val="16"/>
          <w:lang w:eastAsia="ru-RU"/>
        </w:rPr>
        <w:t>», которая считалась «меньшевистской». Джугашвили-Сталин и Ульянов-Ленин трактуют выдачу врагам «</w:t>
      </w:r>
      <w:r w:rsidRPr="002F2FDF">
        <w:rPr>
          <w:rFonts w:ascii="Times New Roman" w:eastAsia="Times New Roman" w:hAnsi="Times New Roman" w:cs="Times New Roman"/>
          <w:bCs/>
          <w:iCs/>
          <w:color w:val="000000" w:themeColor="text1"/>
          <w:kern w:val="2"/>
          <w:sz w:val="16"/>
          <w:szCs w:val="16"/>
          <w:lang w:eastAsia="ru-RU"/>
        </w:rPr>
        <w:t>секрета полишинеля</w:t>
      </w:r>
      <w:r w:rsidRPr="002F2FDF">
        <w:rPr>
          <w:rFonts w:ascii="Times New Roman" w:eastAsia="Times New Roman" w:hAnsi="Times New Roman" w:cs="Times New Roman"/>
          <w:color w:val="000000" w:themeColor="text1"/>
          <w:kern w:val="2"/>
          <w:sz w:val="16"/>
          <w:szCs w:val="16"/>
          <w:lang w:eastAsia="ru-RU"/>
        </w:rPr>
        <w:t xml:space="preserve">» как «страшную измену». Вслед за своими заклятыми друзьями на следующий день 19-го октября Ленин печатает свою статью в газете «Рабочий путь». Власти у Временного правительства уже не было – ордера ВРК признают на «казенных складах». Выгнать правительство из Зимнего дворца – так стоял вопрос. Это и было выполнено в день </w:t>
      </w:r>
      <w:r w:rsidRPr="002F2FDF">
        <w:rPr>
          <w:rFonts w:ascii="Times New Roman" w:eastAsia="Times New Roman" w:hAnsi="Times New Roman" w:cs="Times New Roman"/>
          <w:bCs/>
          <w:iCs/>
          <w:color w:val="000000" w:themeColor="text1"/>
          <w:kern w:val="2"/>
          <w:sz w:val="16"/>
          <w:szCs w:val="16"/>
          <w:lang w:eastAsia="ru-RU"/>
        </w:rPr>
        <w:t>рождения «великого революционера» Лейбы Бронштейна — Льва Троцкого – 25 октября (7 ноября)</w:t>
      </w:r>
      <w:r w:rsidR="00F87E9C" w:rsidRPr="002F2FDF">
        <w:rPr>
          <w:rFonts w:ascii="Times New Roman" w:eastAsia="Times New Roman" w:hAnsi="Times New Roman" w:cs="Times New Roman"/>
          <w:bCs/>
          <w:iCs/>
          <w:color w:val="000000" w:themeColor="text1"/>
          <w:kern w:val="2"/>
          <w:sz w:val="16"/>
          <w:szCs w:val="16"/>
          <w:lang w:eastAsia="ru-RU"/>
        </w:rPr>
        <w:t xml:space="preserve"> (17326)</w:t>
      </w:r>
      <w:r w:rsidRPr="002F2FDF">
        <w:rPr>
          <w:rFonts w:ascii="Times New Roman" w:eastAsia="Times New Roman" w:hAnsi="Times New Roman" w:cs="Times New Roman"/>
          <w:color w:val="000000" w:themeColor="text1"/>
          <w:kern w:val="2"/>
          <w:sz w:val="16"/>
          <w:szCs w:val="16"/>
          <w:lang w:eastAsia="ru-RU"/>
        </w:rPr>
        <w:t>.</w:t>
      </w:r>
    </w:p>
    <w:p w14:paraId="1F6ADB12" w14:textId="77777777" w:rsidR="000F08C4" w:rsidRPr="002F2FDF" w:rsidRDefault="000F08C4"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B691D7"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 (17) октября в 1917 году собор Русской православной церкви принимает послание ко всем чадам по поводу приближающихся выборов в Учредительное собрание: «...Пусть победит в себе наш народ обуревающий его дух нечестия и ненависти, и тогда дружным усилием легко и светло совершит он государственный труд свой...» </w:t>
      </w:r>
    </w:p>
    <w:p w14:paraId="6A058FAA"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p>
    <w:p w14:paraId="72654D3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34F21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D356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октября 1917 в британских ВВС создана 8-я бомбардировочная бригада из самолетов типа "Хендли-Пейдж" (11999).</w:t>
      </w:r>
    </w:p>
    <w:p w14:paraId="2FAB76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E15D0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3BA0C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380CD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октября 1917 на фабрике Ф.Мельцера был построен первый ВМ-5 Ю.А.Виллиша (иначе ВМV или ВМ-V) с заводским номером 3. Доставили на станцию на Крестовском острове, но из-за наступившей зимы решили опробовать на лыжах. был на комендантском аэродроме до июля 1918 (2843,66).</w:t>
      </w:r>
    </w:p>
    <w:p w14:paraId="2F50C6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D86FE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октября 1917 г. подготовили к испытаниям первый аппарат ВМ-5 (иначе В.М.У и ВМ-У) с заводским номером 3, называвшийся в современной переписке В.М.У №3 ил ч ВМ-У №3. Его доставили на станцию фирмы на Крестовском острове, но из-за наступившей зимы самолет не мог быть опробован на воде и был поставлен на лыжное шасси. Впрочем, о его приемных испытаниях ничего не известно, тогда как новый 1918 год он встретил на Комендантском аэродроме. В июле аэроплан все еще находился там, но, по всей видимости, никаких опытов с ним так и не предпринималось. Второй прототип закончили строительством в ноябре или декабре 1917 г. Один из этих ВМ-5, по непонятной причине числившийся как ВМ-5 №2 (скорее всего, "№2" обозначал здесь 2-й экспериментальный истребитель типа ВМ-5, хотя простая опечатка также возможна), перелетел на морскую авиационную станцию в Ораниенбауме 18 октября 1918 г., будучи движим мотором "Клерже" мощностью 130 л.с. В ноябре того же года планировалось испытать его на лыжах, т.к. Финский залив опять замерз. В конце концов специальная комиссия опробовала машину в период с 25 по 29 марта 1919 г., но о результатах ничего не сообщалось (2843).</w:t>
      </w:r>
    </w:p>
    <w:p w14:paraId="3249CEE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925F0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октября 1917 на заводе Адаменко сдали еще 5 аппа</w:t>
      </w:r>
      <w:r w:rsidRPr="002F2FDF">
        <w:rPr>
          <w:rFonts w:ascii="Times New Roman" w:hAnsi="Times New Roman" w:cs="Times New Roman"/>
          <w:color w:val="000000" w:themeColor="text1"/>
          <w:kern w:val="2"/>
          <w:sz w:val="16"/>
          <w:szCs w:val="16"/>
        </w:rPr>
        <w:softHyphen/>
        <w:t>ратов, но судьба остальных пятнадцати повисла в воздухе. Несмот</w:t>
      </w:r>
      <w:r w:rsidRPr="002F2FDF">
        <w:rPr>
          <w:rFonts w:ascii="Times New Roman" w:hAnsi="Times New Roman" w:cs="Times New Roman"/>
          <w:color w:val="000000" w:themeColor="text1"/>
          <w:kern w:val="2"/>
          <w:sz w:val="16"/>
          <w:szCs w:val="16"/>
        </w:rPr>
        <w:softHyphen/>
        <w:t>ря на нараставший революционный бардак, некоторые государст</w:t>
      </w:r>
      <w:r w:rsidRPr="002F2FDF">
        <w:rPr>
          <w:rFonts w:ascii="Times New Roman" w:hAnsi="Times New Roman" w:cs="Times New Roman"/>
          <w:color w:val="000000" w:themeColor="text1"/>
          <w:kern w:val="2"/>
          <w:sz w:val="16"/>
          <w:szCs w:val="16"/>
        </w:rPr>
        <w:softHyphen/>
        <w:t>венные структуры, в том числе и УВВФ, продолжали работать как бы по инерции, и 23 ноября начальник этого ведомства разрешил Адаменко поставить оставшиеся “Фарманы XVI” до 20 апреля 1918 г. с удержанием причитающейся по контракту неустойки (11124).</w:t>
      </w:r>
    </w:p>
    <w:p w14:paraId="0E54B92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50FC8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4F52A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6782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 (18-19) октября 1917 эвакуировались с Моонзунда (3124).</w:t>
      </w:r>
    </w:p>
    <w:p w14:paraId="6A04BD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EDD417" w14:textId="34313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5 (18) октября 1917 </w:t>
      </w:r>
      <w:r w:rsidR="006F7B4F">
        <w:rPr>
          <w:rFonts w:ascii="Times New Roman" w:hAnsi="Times New Roman" w:cs="Times New Roman"/>
          <w:color w:val="000000" w:themeColor="text1"/>
          <w:kern w:val="2"/>
          <w:sz w:val="16"/>
          <w:szCs w:val="16"/>
        </w:rPr>
        <w:t>д</w:t>
      </w:r>
      <w:r w:rsidR="006F7B4F" w:rsidRPr="002F2FDF">
        <w:rPr>
          <w:rFonts w:ascii="Times New Roman" w:hAnsi="Times New Roman" w:cs="Times New Roman"/>
          <w:color w:val="000000" w:themeColor="text1"/>
          <w:kern w:val="2"/>
          <w:sz w:val="16"/>
          <w:szCs w:val="16"/>
        </w:rPr>
        <w:t xml:space="preserve">нем </w:t>
      </w:r>
      <w:r w:rsidRPr="002F2FDF">
        <w:rPr>
          <w:rFonts w:ascii="Times New Roman" w:hAnsi="Times New Roman" w:cs="Times New Roman"/>
          <w:color w:val="000000" w:themeColor="text1"/>
          <w:kern w:val="2"/>
          <w:sz w:val="16"/>
          <w:szCs w:val="16"/>
        </w:rPr>
        <w:t>радиостанция Морского генерального шта</w:t>
      </w:r>
      <w:r w:rsidRPr="002F2FDF">
        <w:rPr>
          <w:rFonts w:ascii="Times New Roman" w:hAnsi="Times New Roman" w:cs="Times New Roman"/>
          <w:color w:val="000000" w:themeColor="text1"/>
          <w:kern w:val="2"/>
          <w:sz w:val="16"/>
          <w:szCs w:val="16"/>
        </w:rPr>
        <w:softHyphen/>
        <w:t>ба получила тревожную шифрограмму командующего фло</w:t>
      </w:r>
      <w:r w:rsidRPr="002F2FDF">
        <w:rPr>
          <w:rFonts w:ascii="Times New Roman" w:hAnsi="Times New Roman" w:cs="Times New Roman"/>
          <w:color w:val="000000" w:themeColor="text1"/>
          <w:kern w:val="2"/>
          <w:sz w:val="16"/>
          <w:szCs w:val="16"/>
        </w:rPr>
        <w:softHyphen/>
        <w:t>том контр-адмирала Развозова, в которой сообщалось, что во время Моонзундской противодесантной операции авиацион</w:t>
      </w:r>
      <w:r w:rsidRPr="002F2FDF">
        <w:rPr>
          <w:rFonts w:ascii="Times New Roman" w:hAnsi="Times New Roman" w:cs="Times New Roman"/>
          <w:color w:val="000000" w:themeColor="text1"/>
          <w:kern w:val="2"/>
          <w:sz w:val="16"/>
          <w:szCs w:val="16"/>
        </w:rPr>
        <w:softHyphen/>
        <w:t>ные отряды лишились “почти 60 процентов аэропланов”. Он просил контр-адмирала Капниста спешно прислать “возмож</w:t>
      </w:r>
      <w:r w:rsidRPr="002F2FDF">
        <w:rPr>
          <w:rFonts w:ascii="Times New Roman" w:hAnsi="Times New Roman" w:cs="Times New Roman"/>
          <w:color w:val="000000" w:themeColor="text1"/>
          <w:kern w:val="2"/>
          <w:sz w:val="16"/>
          <w:szCs w:val="16"/>
        </w:rPr>
        <w:softHyphen/>
        <w:t>но большее количество аэропланов, задержав их посылку в другие места”. Резко ослабленные отряда не могли прово</w:t>
      </w:r>
      <w:r w:rsidRPr="002F2FDF">
        <w:rPr>
          <w:rFonts w:ascii="Times New Roman" w:hAnsi="Times New Roman" w:cs="Times New Roman"/>
          <w:color w:val="000000" w:themeColor="text1"/>
          <w:kern w:val="2"/>
          <w:sz w:val="16"/>
          <w:szCs w:val="16"/>
        </w:rPr>
        <w:softHyphen/>
        <w:t>дить регулярную воздушную разведку (11283).</w:t>
      </w:r>
    </w:p>
    <w:p w14:paraId="08EE57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9873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5 </w:t>
      </w:r>
      <w:r w:rsidR="001157F8" w:rsidRPr="002F2FDF">
        <w:rPr>
          <w:rFonts w:ascii="Times New Roman" w:hAnsi="Times New Roman" w:cs="Times New Roman"/>
          <w:color w:val="000000" w:themeColor="text1"/>
          <w:kern w:val="2"/>
          <w:sz w:val="16"/>
          <w:szCs w:val="16"/>
        </w:rPr>
        <w:t xml:space="preserve">(18) </w:t>
      </w:r>
      <w:r w:rsidRPr="002F2FDF">
        <w:rPr>
          <w:rFonts w:ascii="Times New Roman" w:hAnsi="Times New Roman" w:cs="Times New Roman"/>
          <w:color w:val="000000" w:themeColor="text1"/>
          <w:kern w:val="2"/>
          <w:sz w:val="16"/>
          <w:szCs w:val="16"/>
        </w:rPr>
        <w:t>октября 1917 Морской генеральный штаб получил телеграмму от контр-адмирала Развозова, что при проведении Моонзундской противодесантной операции флот потерял более половины самолётов и это исключает возможность ведения регулярной воздушной разведки. Просьба балтийцев о помощи была воспринята, но сделать ничего не удалось и 19 октября русские корабли через Моонзундский пролив вошли в Финский залив, куда немецкие корабли не рискнули заходить (11928).</w:t>
      </w:r>
    </w:p>
    <w:p w14:paraId="0595B9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039FD7" w14:textId="4376D4AA" w:rsidR="00305E0A" w:rsidRPr="002F2FDF" w:rsidRDefault="00305E0A"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5 (18) октября 1917, чтобы не допустить прорыва германской эскадры, по приказу адмирала Бахирева в Моонзундском проливе были затоплены несколько транспортным судов. </w:t>
      </w:r>
      <w:r w:rsidR="00E52569">
        <w:rPr>
          <w:color w:val="000000" w:themeColor="text1"/>
          <w:kern w:val="2"/>
          <w:sz w:val="16"/>
          <w:szCs w:val="16"/>
        </w:rPr>
        <w:t xml:space="preserve"> </w:t>
      </w:r>
      <w:r w:rsidRPr="002F2FDF">
        <w:rPr>
          <w:color w:val="000000" w:themeColor="text1"/>
          <w:kern w:val="2"/>
          <w:sz w:val="16"/>
          <w:szCs w:val="16"/>
        </w:rPr>
        <w:t>Попутно была проведена эвакуация части гарнизонов островов Моон (ныне Муху), и Даго (ныне Хииумаа) (17045).</w:t>
      </w:r>
    </w:p>
    <w:p w14:paraId="1217D193" w14:textId="77777777" w:rsidR="00305E0A" w:rsidRPr="002F2FDF" w:rsidRDefault="00305E0A" w:rsidP="0083075A">
      <w:pPr>
        <w:pStyle w:val="ae"/>
        <w:spacing w:before="0" w:after="0"/>
        <w:jc w:val="both"/>
        <w:rPr>
          <w:color w:val="000000" w:themeColor="text1"/>
          <w:kern w:val="2"/>
          <w:sz w:val="16"/>
          <w:szCs w:val="16"/>
        </w:rPr>
      </w:pPr>
    </w:p>
    <w:p w14:paraId="36CFBF68" w14:textId="77777777" w:rsidR="00305E0A" w:rsidRPr="002F2FDF" w:rsidRDefault="00305E0A" w:rsidP="0083075A">
      <w:pPr>
        <w:pStyle w:val="ae"/>
        <w:spacing w:before="0" w:after="0"/>
        <w:jc w:val="both"/>
        <w:rPr>
          <w:color w:val="000000" w:themeColor="text1"/>
          <w:kern w:val="2"/>
          <w:sz w:val="16"/>
          <w:szCs w:val="16"/>
        </w:rPr>
      </w:pPr>
      <w:r w:rsidRPr="002F2FDF">
        <w:rPr>
          <w:color w:val="000000" w:themeColor="text1"/>
          <w:kern w:val="2"/>
          <w:sz w:val="16"/>
          <w:szCs w:val="16"/>
        </w:rPr>
        <w:t>5 (18) октября 1917 немцы полностью заняли остров Моон, 20 октября — остров Даго. Большая часть гарнизона островов — более 20 тысяч солдат и матросов — были взяты в плен. Русские войска потеряли всю находившуюся на островах военную технику — 141 орудие, 130 пулеметов, 40 самолётов. Потери немцев составили около 400 человек убитыми и ранеными, 9 боевых кораблей (4 эсминца, 4 патрульных судна и тральщик), повреждения получили 3 линкора и более десятка эсминцев.</w:t>
      </w:r>
    </w:p>
    <w:p w14:paraId="5AEECBCD" w14:textId="77777777" w:rsidR="00305E0A" w:rsidRPr="002F2FDF" w:rsidRDefault="00305E0A" w:rsidP="0083075A">
      <w:pPr>
        <w:pStyle w:val="ae"/>
        <w:spacing w:before="0" w:after="0"/>
        <w:jc w:val="both"/>
        <w:rPr>
          <w:color w:val="000000" w:themeColor="text1"/>
          <w:kern w:val="2"/>
          <w:sz w:val="16"/>
          <w:szCs w:val="16"/>
        </w:rPr>
      </w:pPr>
      <w:r w:rsidRPr="002F2FDF">
        <w:rPr>
          <w:color w:val="000000" w:themeColor="text1"/>
          <w:kern w:val="2"/>
          <w:sz w:val="16"/>
          <w:szCs w:val="16"/>
        </w:rPr>
        <w:t>Британский военный историк Нейл Грант так оценил итоги Моодзундской операции: «Оккупировав Эзель (ныне Сааремаа) немцы обеспечили себе господствующее положение на Балтике, однако их положение было оспорено англичанами. Были нанесены повреждения нескольким немецким линкорам, которые подорвались на минах, подводные лодки заставили отступить германский флот» (17045).</w:t>
      </w:r>
    </w:p>
    <w:p w14:paraId="160D5B35" w14:textId="77777777" w:rsidR="00305E0A" w:rsidRPr="002F2FDF" w:rsidRDefault="00305E0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55A866" w14:textId="4C68FA6E" w:rsidR="00063416" w:rsidRPr="00FB4F67" w:rsidRDefault="00063416" w:rsidP="0083075A">
      <w:pPr>
        <w:spacing w:after="0" w:line="240" w:lineRule="auto"/>
        <w:jc w:val="both"/>
        <w:rPr>
          <w:rFonts w:ascii="Times New Roman" w:hAnsi="Times New Roman" w:cs="Times New Roman"/>
          <w:color w:val="0070C0"/>
          <w:sz w:val="16"/>
          <w:szCs w:val="16"/>
        </w:rPr>
      </w:pPr>
      <w:bookmarkStart w:id="373" w:name="bookmark1005"/>
      <w:bookmarkStart w:id="374" w:name="bookmark1006"/>
      <w:r>
        <w:rPr>
          <w:rFonts w:ascii="Times New Roman" w:hAnsi="Times New Roman" w:cs="Times New Roman"/>
          <w:color w:val="0070C0"/>
          <w:sz w:val="16"/>
          <w:szCs w:val="16"/>
        </w:rPr>
        <w:t>5 (</w:t>
      </w:r>
      <w:r w:rsidRPr="00FB4F67">
        <w:rPr>
          <w:rFonts w:ascii="Times New Roman" w:hAnsi="Times New Roman" w:cs="Times New Roman"/>
          <w:color w:val="0070C0"/>
          <w:sz w:val="16"/>
          <w:szCs w:val="16"/>
        </w:rPr>
        <w:t>18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германские войска высадились на острова Моон и Даго, которые защищали части русской 107-й пехотной дивизии. Местами наши войска оказывали противнику упорное сопротивление, но в основной массе среди них преобладали панические настроения. В создавшейся обстановке командование морских сил Рижского залива попыталось организовать эвакуацию подразделений и частей (в том числе авиационных) Моонзундского архипелага на материк. Днем с о. Моон в Гаспаль перелетели четыре наших летчика. В ходе полета один из летательных аппаратов упал в море и разбился, пилот остался невредимым. Была ликвидирована авиационная станция в Гогенхольме (о. Даго). Взлетевшие с нее два самолета оказались подбиты «дружественным огнем» русских кораблей. Одного летчика подобрал линкор «Гражданин», другой сумел дотянуть до берега (п-ов Вердер), посадить аппарат и уничтожить его, с целью исключения возможности попадания его к противнику</w:t>
      </w:r>
      <w:hyperlink w:anchor="bookmark2038" w:tooltip="Current Document">
        <w:r w:rsidRPr="00FB4F67">
          <w:rPr>
            <w:rStyle w:val="a5"/>
            <w:rFonts w:ascii="Times New Roman" w:hAnsi="Times New Roman" w:cs="Times New Roman"/>
            <w:color w:val="0070C0"/>
            <w:sz w:val="16"/>
            <w:szCs w:val="16"/>
          </w:rPr>
          <w:t>[—]</w:t>
        </w:r>
      </w:hyperlink>
      <w:r w:rsidRPr="00FB4F67">
        <w:rPr>
          <w:rFonts w:ascii="Times New Roman" w:hAnsi="Times New Roman" w:cs="Times New Roman"/>
          <w:color w:val="0070C0"/>
          <w:sz w:val="16"/>
          <w:szCs w:val="16"/>
        </w:rPr>
        <w:t>. Одновременно предпринимались попытки активного противодействия со стороны нашей морской авиации. Проводивший воздушную разведку неприятельских сил лейтенант М.И. Сафонов атаковал группу немецких гидросамолетов, бомбивших с воздуха русские суда. Прицельным пулеметным огнем он заставил один из вражеских аппаратов резко пойти на снижение.</w:t>
      </w:r>
      <w:bookmarkEnd w:id="373"/>
      <w:bookmarkEnd w:id="374"/>
    </w:p>
    <w:p w14:paraId="3F2A2919" w14:textId="77777777" w:rsidR="00063416" w:rsidRPr="00FB4F67" w:rsidRDefault="00063416" w:rsidP="0083075A">
      <w:pPr>
        <w:spacing w:after="0" w:line="240" w:lineRule="auto"/>
        <w:jc w:val="both"/>
        <w:rPr>
          <w:rFonts w:ascii="Times New Roman" w:hAnsi="Times New Roman" w:cs="Times New Roman"/>
          <w:color w:val="0070C0"/>
          <w:sz w:val="16"/>
          <w:szCs w:val="16"/>
        </w:rPr>
      </w:pPr>
      <w:bookmarkStart w:id="375" w:name="bookmark1007"/>
      <w:r w:rsidRPr="00FB4F67">
        <w:rPr>
          <w:rFonts w:ascii="Times New Roman" w:hAnsi="Times New Roman" w:cs="Times New Roman"/>
          <w:color w:val="0070C0"/>
          <w:sz w:val="16"/>
          <w:szCs w:val="16"/>
        </w:rPr>
        <w:t>Учитывая дальнейшую бесполезность организованного сопротивления, командование Балтийского флота с согласия Центробалта приняло решение полностью оставить Моонзундский архипелаг. К вечеру следующего дня корабли и суда морских сил Рижского залива, имея на борту остатки гарнизона, покинули острова. В свою очередь германское командование вследствие понесенных больших потерь (в составе военно-морского флота) было вынуждено отказаться от прорыва в Финский залив и отвело свои основные силы из Балтики в Северное море. В качестве трофеев противнику достались: шесть ангаров, десять самолетов (в неисправном состоянии), 141 артиллерийское орудие (в том числе 47 тяжелых), 130 пулеметов и т. д.</w:t>
      </w:r>
      <w:bookmarkEnd w:id="375"/>
      <w:r w:rsidRPr="00FB4F67">
        <w:rPr>
          <w:rFonts w:ascii="Times New Roman" w:hAnsi="Times New Roman" w:cs="Times New Roman"/>
          <w:color w:val="0070C0"/>
          <w:sz w:val="16"/>
          <w:szCs w:val="16"/>
        </w:rPr>
        <w:t xml:space="preserve"> </w:t>
      </w:r>
    </w:p>
    <w:p w14:paraId="4F7767F7" w14:textId="77777777" w:rsidR="00063416" w:rsidRPr="00FB4F67" w:rsidRDefault="00063416"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После успешно проведенной операции в Рижском заливе руководство немецкой 8-й армии перешло к обороне и больше не предпринимало активных действий против русского Северного фронта. Но на сухопутном театре военных действий накал в воздушном пространстве не снижался (23405).</w:t>
      </w:r>
    </w:p>
    <w:p w14:paraId="32DC5E4D" w14:textId="77777777" w:rsidR="00063416" w:rsidRPr="00FB4F67" w:rsidRDefault="00063416" w:rsidP="0083075A">
      <w:pPr>
        <w:spacing w:after="0" w:line="240" w:lineRule="auto"/>
        <w:jc w:val="both"/>
        <w:rPr>
          <w:rFonts w:ascii="Times New Roman" w:hAnsi="Times New Roman" w:cs="Times New Roman"/>
          <w:color w:val="0070C0"/>
          <w:sz w:val="16"/>
          <w:szCs w:val="16"/>
        </w:rPr>
      </w:pPr>
    </w:p>
    <w:p w14:paraId="1970AAA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2500E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3FAC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октября 1917 вышел приказ Временного правительства об отправке частей Петроградского гарнизона на фронт в связи с падением Риги (3908,265).</w:t>
      </w:r>
    </w:p>
    <w:p w14:paraId="39D9ED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817B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октября 1917 ЦК РСДРП(б) по настоянию В.И.Л. и Л.Д.Т. принял решение об уходе большевиков из Предпарламента (3908,265).</w:t>
      </w:r>
    </w:p>
    <w:p w14:paraId="1A740D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34B2E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октября 1917 ЦК РСДРП (б) обязал большевиков покинуть Предпарламент России (4962).</w:t>
      </w:r>
    </w:p>
    <w:p w14:paraId="0DBFC4E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F26163" w14:textId="77777777" w:rsidR="00305E0A" w:rsidRPr="002F2FDF" w:rsidRDefault="00305E0A" w:rsidP="0083075A">
      <w:pPr>
        <w:pStyle w:val="ae"/>
        <w:spacing w:before="0" w:after="0"/>
        <w:jc w:val="both"/>
        <w:rPr>
          <w:color w:val="000000" w:themeColor="text1"/>
          <w:kern w:val="2"/>
          <w:sz w:val="16"/>
          <w:szCs w:val="16"/>
        </w:rPr>
      </w:pPr>
      <w:r w:rsidRPr="002F2FDF">
        <w:rPr>
          <w:color w:val="000000" w:themeColor="text1"/>
          <w:kern w:val="2"/>
          <w:sz w:val="16"/>
          <w:szCs w:val="16"/>
        </w:rPr>
        <w:t>5 (18) октября 1917 Временным правительством был разработан план эвакуации петроградской промышленности и исполнительных учреждений. Примечательно, что им не предусматривался переезд Совета солдатских и рабочих депутатов, поскольку он не подчинялся Временному правительству. 20 октября о планах эвакуации сообщили газеты, чем тут же воспользовались большевики. Выступая в этот же день перед солдатской секцией Совета, Лев Троцкий убедил ее принять резолюцию, осуждающую решение правительства. Резолюция гласила: «Если правительство не в состоянии защитить Петроград, оно должно либо заключить мир, либо передать власть другому правительству».</w:t>
      </w:r>
    </w:p>
    <w:p w14:paraId="3D8EC9AA" w14:textId="77777777" w:rsidR="00305E0A" w:rsidRPr="002F2FDF" w:rsidRDefault="00305E0A" w:rsidP="0083075A">
      <w:pPr>
        <w:pStyle w:val="ae"/>
        <w:spacing w:before="0" w:after="0"/>
        <w:jc w:val="both"/>
        <w:rPr>
          <w:color w:val="000000" w:themeColor="text1"/>
          <w:kern w:val="2"/>
          <w:sz w:val="16"/>
          <w:szCs w:val="16"/>
        </w:rPr>
      </w:pPr>
      <w:r w:rsidRPr="002F2FDF">
        <w:rPr>
          <w:color w:val="000000" w:themeColor="text1"/>
          <w:kern w:val="2"/>
          <w:sz w:val="16"/>
          <w:szCs w:val="16"/>
        </w:rPr>
        <w:t>Историк Ричард Пайпс так оценил планы переезда Временного Правительства: «С военной и политической точек зрения меры эти были вполне осмысленными: то же самое сделали в 1914 году французы, когда немцы подходили к Парижу, да и большевики в марте 1918 года, оказавшись в аналогичных обстоятельствах, пошли тем же путем. Но в тот момент социалистическая интеллигенция усмотрела в намечавшейся эвакуации очередную уловку «буржуазии», пожелавшей сдать врагу «красный Петроград»» (17045).</w:t>
      </w:r>
    </w:p>
    <w:p w14:paraId="29DB492A" w14:textId="77777777" w:rsidR="00305E0A" w:rsidRPr="002F2FDF" w:rsidRDefault="00305E0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9291E5" w14:textId="77777777" w:rsidR="000F08C4"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7DF3DC86" w14:textId="77777777" w:rsidR="000F08C4" w:rsidRPr="002F2FDF" w:rsidRDefault="000F08C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5FF4D2" w14:textId="77777777" w:rsidR="000F08C4" w:rsidRPr="002F2FDF" w:rsidRDefault="000F08C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5 (18) октября</w:t>
      </w:r>
      <w:r w:rsidRPr="002F2FDF">
        <w:rPr>
          <w:rFonts w:ascii="Times New Roman" w:hAnsi="Times New Roman" w:cs="Times New Roman"/>
          <w:bCs/>
          <w:color w:val="000000" w:themeColor="text1"/>
          <w:kern w:val="2"/>
          <w:sz w:val="16"/>
          <w:szCs w:val="16"/>
        </w:rPr>
        <w:t xml:space="preserve"> 1917 Керенский пригласил Моэма и ознакомил его с посланием для британского премьер-министра Ллойд-Джорджа, настолько секретным, что оно даже не было записано на бумаге. Керенский попросил Моэма немедленно отправиться в Лондон и лично передать его адресату. Смысл послания заключался в том, что Керенский не продержится, если не будет снабжён союзниками оружием и боеприпасами. Он также просит заменить английского посла. В тот же день Моэм отправился в Норвегию, а оттуда на британском миноносце в Шотландию (17326).</w:t>
      </w:r>
    </w:p>
    <w:p w14:paraId="6F3FE4BE" w14:textId="77777777" w:rsidR="000F08C4" w:rsidRPr="002F2FDF" w:rsidRDefault="000F08C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373FA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F9233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C6E2F1" w14:textId="77777777" w:rsidR="00AB4BA0" w:rsidRPr="002F2FDF" w:rsidRDefault="00AB4BA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5 (18) октября 1917 г. немецкая подлодка U-93 потопила бразильское судно «Macao», которое шло во Францию с грузом продовольствия – фасоли и кофе. В ответ Бразилия объявила войну странам «оси» (17326).</w:t>
      </w:r>
    </w:p>
    <w:p w14:paraId="76FD3846" w14:textId="77777777" w:rsidR="00AB4BA0" w:rsidRPr="002F2FDF" w:rsidRDefault="00AB4BA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64D7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октября 1917 женщиной добровольцем Армии спасения был изжарен первый пончик doughnut для американской армии во Франции (2100).</w:t>
      </w:r>
    </w:p>
    <w:p w14:paraId="16BAB5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DA2BB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3CCA7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46DD1E" w14:textId="4ED8C735"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r w:rsidRPr="002F2FDF">
        <w:rPr>
          <w:rFonts w:ascii="Times New Roman" w:hAnsi="Times New Roman" w:cs="Times New Roman"/>
          <w:iCs/>
          <w:color w:val="000000" w:themeColor="text1"/>
          <w:kern w:val="2"/>
          <w:sz w:val="16"/>
          <w:szCs w:val="16"/>
        </w:rPr>
        <w:t>—</w:t>
      </w:r>
      <w:r w:rsidRPr="002F2FDF">
        <w:rPr>
          <w:rFonts w:ascii="Times New Roman" w:hAnsi="Times New Roman" w:cs="Times New Roman"/>
          <w:color w:val="000000" w:themeColor="text1"/>
          <w:kern w:val="2"/>
          <w:sz w:val="16"/>
          <w:szCs w:val="16"/>
        </w:rPr>
        <w:t xml:space="preserve">19 </w:t>
      </w:r>
      <w:r w:rsidR="001157F8" w:rsidRPr="002F2FDF">
        <w:rPr>
          <w:rFonts w:ascii="Times New Roman" w:hAnsi="Times New Roman" w:cs="Times New Roman"/>
          <w:color w:val="000000" w:themeColor="text1"/>
          <w:kern w:val="2"/>
          <w:sz w:val="16"/>
          <w:szCs w:val="16"/>
        </w:rPr>
        <w:t xml:space="preserve">(19) </w:t>
      </w:r>
      <w:r w:rsidRPr="002F2FDF">
        <w:rPr>
          <w:rFonts w:ascii="Times New Roman" w:hAnsi="Times New Roman" w:cs="Times New Roman"/>
          <w:color w:val="000000" w:themeColor="text1"/>
          <w:kern w:val="2"/>
          <w:sz w:val="16"/>
          <w:szCs w:val="16"/>
        </w:rPr>
        <w:t xml:space="preserve">октября </w:t>
      </w:r>
      <w:r w:rsidR="006F7B4F">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1917 г. “Дукс” сдал в полете 6 “Спадов” с мотором “Испано-Сюиза” в 150 л.с., а еще два — лишь в апреле 1918 г. из заказа Авиационного комитета Морского ведомства и контракта № 5583 на поставку среди аэропланов других типов 10 “Спадов” от 6 мая 1917 г. (9651).</w:t>
      </w:r>
    </w:p>
    <w:p w14:paraId="329DB2B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DF23F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973F8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0F2A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октября 1917 в ночь германские бомбардировщики предпринимают нападение на русские позиции. Противовоздушная артиллерия ведет мощный обстрел германских самолетов.</w:t>
      </w:r>
    </w:p>
    <w:p w14:paraId="0DD75D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Келлер: "От рвущихся гранат некоторые самолеты подкидываются, стонут и трещат по всем швам; осколки с грохотом бьют по крыльям...</w:t>
      </w:r>
    </w:p>
    <w:p w14:paraId="1A34D0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прожекторы направляют свои световые щупальца в пространство над целью. Они ищут нас, стараясь достичь и охватить нас своими могучими руками. Увеличивая скорость, мы стараемся избегнуть этих объятий, но ничто не помогает... прожектор улавливает наш самолет и цепко держит его в своем свете. Все остальные прожекторы тотчас же направляют свои лучи тоже на нас. Никак не выбраться из этой переделки. Артиллерия ожесточенно стреляет, и вот уже несчастье: сильный треск где-то в левом крыле. "Ну, теперь конец", - шевелится мысль... Но оказалось, еще не так скверно. Осколок попал только в левый пропеллер и расщепил его. Пилот немедленно выключает левый мотор... Тем временем мы отошли от цели, и прожекторы и артиллерия оставляют нас в покое, набрасываясь на самолет, следующий за нами...</w:t>
      </w:r>
    </w:p>
    <w:p w14:paraId="7738C6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Воздушный поход строевым порядком целой группы в темноте невозможен, так как видимость от самолета к самолету очень плохая, и потому была бы очень большая опасность столкновений..."</w:t>
      </w:r>
    </w:p>
    <w:p w14:paraId="582E1A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донесения: "В ночь с 18 на 19 октября дивизион бомбардировал несколькими налетами... сбросив 14 ООО кг бомб. Один бомбардировщик сбит, другой - не возвратился..." (11999).</w:t>
      </w:r>
    </w:p>
    <w:p w14:paraId="7BB9B8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E6B5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сентября 1917 г. состоялось Заседание Центрального авиакомитета о выделении из Эскадры отряда воздушных кораблей в Морское Ведомство. На нем было предложено вооружить "Муромцы" съемными минными аппаратами и "использовать его для минных атак (самодвижущиеся мины)". Этот вопрос так и остался открытым. Осенью 1917 г. новые корабли №236, 237, 238 и 243 отправили в Винницу, но они уже не успели принять участия в боях (11277).</w:t>
      </w:r>
    </w:p>
    <w:p w14:paraId="13D75E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5C55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октября 1917 русские корабли покинули Моонзунд (3124).</w:t>
      </w:r>
    </w:p>
    <w:p w14:paraId="194DF1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2591A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252BA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BAFF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октября 1917 была официально распущена Госдума и Временный комитет Госдумы (3908,265).</w:t>
      </w:r>
    </w:p>
    <w:p w14:paraId="12D723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717CA3" w14:textId="77777777" w:rsidR="00460F40" w:rsidRPr="002F2FDF" w:rsidRDefault="00460F40"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6 (19) октября 1917</w:t>
      </w:r>
      <w:r w:rsidRPr="002F2FDF">
        <w:rPr>
          <w:color w:val="000000" w:themeColor="text1"/>
          <w:sz w:val="16"/>
          <w:szCs w:val="16"/>
        </w:rPr>
        <w:t xml:space="preserve"> Временное правительство распустило Государственную думу и Государственный Совет (18371).</w:t>
      </w:r>
    </w:p>
    <w:p w14:paraId="36C7603E" w14:textId="77777777" w:rsidR="00460F40" w:rsidRPr="002F2FDF" w:rsidRDefault="00460F40" w:rsidP="0083075A">
      <w:pPr>
        <w:pStyle w:val="ae"/>
        <w:spacing w:before="0" w:after="0"/>
        <w:jc w:val="both"/>
        <w:rPr>
          <w:color w:val="000000" w:themeColor="text1"/>
          <w:sz w:val="16"/>
          <w:szCs w:val="16"/>
        </w:rPr>
      </w:pPr>
    </w:p>
    <w:p w14:paraId="19C3FB00" w14:textId="77777777" w:rsidR="00CD2298" w:rsidRPr="002F2FDF" w:rsidRDefault="00CD2298"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октября 1917 А. Керенский распустил Госдуму России (4962).</w:t>
      </w:r>
    </w:p>
    <w:p w14:paraId="0E80E5A0" w14:textId="77777777" w:rsidR="00CD2298" w:rsidRPr="002F2FDF" w:rsidRDefault="00CD2298"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F5EE91"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lastRenderedPageBreak/>
        <w:t xml:space="preserve">6 (19) октября </w:t>
      </w:r>
      <w:r w:rsidRPr="002F2FDF">
        <w:rPr>
          <w:rFonts w:ascii="Times New Roman" w:hAnsi="Times New Roman" w:cs="Times New Roman"/>
          <w:color w:val="000000" w:themeColor="text1"/>
          <w:kern w:val="2"/>
          <w:sz w:val="16"/>
          <w:szCs w:val="16"/>
        </w:rPr>
        <w:t>в 1917 году по требованию Совета Керенский распускает IV Госдуму, законный пятилетний срок полномочий которой заканчивается 7 ноября (14804).</w:t>
      </w:r>
    </w:p>
    <w:p w14:paraId="52CDD012"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p>
    <w:p w14:paraId="3CB42081"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6 (19) октября </w:t>
      </w:r>
      <w:r w:rsidRPr="002F2FDF">
        <w:rPr>
          <w:rFonts w:ascii="Times New Roman" w:hAnsi="Times New Roman" w:cs="Times New Roman"/>
          <w:color w:val="000000" w:themeColor="text1"/>
          <w:kern w:val="2"/>
          <w:sz w:val="16"/>
          <w:szCs w:val="16"/>
        </w:rPr>
        <w:t>в 1917 году лидеры левых эсеров обещают большевикам поддержку в случае совершения последними вооруженного переворота (14804).</w:t>
      </w:r>
    </w:p>
    <w:p w14:paraId="654FB6CC"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p>
    <w:p w14:paraId="3E24AA51" w14:textId="77777777" w:rsidR="000F08C4" w:rsidRPr="002F2FDF" w:rsidRDefault="000F08C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октября 1917 г.</w:t>
      </w:r>
      <w:r w:rsidRPr="002F2FDF">
        <w:rPr>
          <w:rFonts w:ascii="Times New Roman" w:hAnsi="Times New Roman" w:cs="Times New Roman"/>
          <w:bCs/>
          <w:color w:val="000000" w:themeColor="text1"/>
          <w:kern w:val="2"/>
          <w:sz w:val="16"/>
          <w:szCs w:val="16"/>
        </w:rPr>
        <w:t xml:space="preserve"> Верховский (военный министр) оповестил кабинет министров, что «в свете нынешних взглядов на вопрос о мире, </w:t>
      </w:r>
      <w:r w:rsidRPr="002F2FDF">
        <w:rPr>
          <w:rFonts w:ascii="Times New Roman" w:hAnsi="Times New Roman" w:cs="Times New Roman"/>
          <w:bCs/>
          <w:iCs/>
          <w:color w:val="000000" w:themeColor="text1"/>
          <w:kern w:val="2"/>
          <w:sz w:val="16"/>
          <w:szCs w:val="16"/>
        </w:rPr>
        <w:t>катастрофа неизбежна</w:t>
      </w:r>
      <w:r w:rsidRPr="002F2FDF">
        <w:rPr>
          <w:rFonts w:ascii="Times New Roman" w:hAnsi="Times New Roman" w:cs="Times New Roman"/>
          <w:bCs/>
          <w:color w:val="000000" w:themeColor="text1"/>
          <w:kern w:val="2"/>
          <w:sz w:val="16"/>
          <w:szCs w:val="16"/>
        </w:rPr>
        <w:t>». Выступая перед центральным комитетом партии кадетов он признал: «При нынешних обстоятельствах продолжение борьбы невозможно, и всякая попытка продлить войну только приблизит общую катастрофу». Перед подкомитетами по обороне и иностранным делам он изложил детали: не хватает продовольствия для трех миллионов солдат, в то время как лишь полное обеспечение питанием и жильем могло предотвратить бегство солдат из траншей. Угасает всякий энтузиазм тех, кто надеялся на удивительную регенерацию армии свободной России. Министр Кишкин, по профессии психиатр, мрачно заключает: «Пассивность и нерешительность стали симптомами умственной болезни нашего правительства… Наш премьер</w:t>
      </w:r>
      <w:r w:rsidRPr="002F2FDF">
        <w:rPr>
          <w:rFonts w:ascii="Times New Roman" w:hAnsi="Times New Roman" w:cs="Times New Roman"/>
          <w:bCs/>
          <w:color w:val="000000" w:themeColor="text1"/>
          <w:kern w:val="2"/>
          <w:sz w:val="16"/>
          <w:szCs w:val="16"/>
        </w:rPr>
        <w:noBreakHyphen/>
        <w:t>министр виновен в общей разочаровывающей ситуации». Дисциплину можно обеспечить лишь выделением из армии 150 тысяч офицеров в качестве сил внутренней безопасности. Власть всех комитетов ограничить. Патриотическую пропаганду усилить (17326).</w:t>
      </w:r>
    </w:p>
    <w:p w14:paraId="1FA6C915" w14:textId="77777777" w:rsidR="000F08C4" w:rsidRPr="002F2FDF" w:rsidRDefault="000F08C4" w:rsidP="0083075A">
      <w:pPr>
        <w:spacing w:after="0" w:line="240" w:lineRule="auto"/>
        <w:jc w:val="both"/>
        <w:rPr>
          <w:rFonts w:ascii="Times New Roman" w:hAnsi="Times New Roman" w:cs="Times New Roman"/>
          <w:color w:val="000000" w:themeColor="text1"/>
          <w:kern w:val="2"/>
          <w:sz w:val="16"/>
          <w:szCs w:val="16"/>
        </w:rPr>
      </w:pPr>
    </w:p>
    <w:p w14:paraId="5C7CF46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октября 1917 лидеры левых эсеров пообещали большевикам поддержку в случае совершения последними вооруженного переворота (4962).</w:t>
      </w:r>
    </w:p>
    <w:p w14:paraId="40BA1CF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F5227E"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6 (19) октября </w:t>
      </w:r>
      <w:r w:rsidRPr="002F2FDF">
        <w:rPr>
          <w:rFonts w:ascii="Times New Roman" w:hAnsi="Times New Roman" w:cs="Times New Roman"/>
          <w:color w:val="000000" w:themeColor="text1"/>
          <w:kern w:val="2"/>
          <w:sz w:val="16"/>
          <w:szCs w:val="16"/>
        </w:rPr>
        <w:t>в 1917 году командующий 1-м Украинским (бывшим 34-м) корпусом генерал-лейтенант Павел Скоропадский В Чигирине съездом украинского Вольного казачества провозглашен атаманом. Интересное совпадение - в 1706 году в эти же дни Мазепа окончательно переходит на сторону шведов, что 6 ноября принесет гетманскую булаву полковнику Ивану Скоропадскому (14804).</w:t>
      </w:r>
    </w:p>
    <w:p w14:paraId="5D39068D"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p>
    <w:p w14:paraId="6FBD33B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октября 1917 в Чигирине съезд украинского Вольного казачества провозгласил генерала Павла Скоропадского своим атаманом (4962).</w:t>
      </w:r>
    </w:p>
    <w:p w14:paraId="48754A1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A956E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октября 1917 украинские кадеты отозвали своих представителей из Центральной Рады (4962).</w:t>
      </w:r>
    </w:p>
    <w:p w14:paraId="397805B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7FBB28" w14:textId="77777777" w:rsidR="00607337"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5B3BD588" w14:textId="77777777" w:rsidR="00607337" w:rsidRPr="002F2FDF" w:rsidRDefault="0060733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7BA0BE" w14:textId="77777777" w:rsidR="00607337" w:rsidRPr="002F2FDF" w:rsidRDefault="00607337"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 xml:space="preserve">6 (19) октября 1917 г. </w:t>
      </w:r>
      <w:r w:rsidRPr="002F2FDF">
        <w:rPr>
          <w:rFonts w:ascii="Times New Roman" w:hAnsi="Times New Roman" w:cs="Times New Roman"/>
          <w:color w:val="000000" w:themeColor="text1"/>
          <w:kern w:val="2"/>
          <w:sz w:val="16"/>
          <w:szCs w:val="16"/>
        </w:rPr>
        <w:t>Письмо директора Особенной канцелярии по кредитной части К. Е. Замена ген. А. А. Михельсону о затруднениях в получении новых кредитов в США.</w:t>
      </w:r>
    </w:p>
    <w:p w14:paraId="1ED266CD" w14:textId="0957618E" w:rsidR="00607337" w:rsidRPr="002F2FDF" w:rsidRDefault="006073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559-560</w:t>
      </w:r>
    </w:p>
    <w:p w14:paraId="08BE8EC8" w14:textId="3B965051" w:rsidR="00607337" w:rsidRPr="002F2FDF" w:rsidRDefault="006073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ЦГИАЛ, ф. 1525, оп. 1, д. 681, л. 112—112об. Подлинник.</w:t>
      </w:r>
    </w:p>
    <w:p w14:paraId="11784D00" w14:textId="77777777" w:rsidR="00607337" w:rsidRPr="002F2FDF" w:rsidRDefault="00607337" w:rsidP="0083075A">
      <w:pPr>
        <w:pStyle w:val="rtejustify"/>
        <w:spacing w:before="0" w:after="0"/>
        <w:rPr>
          <w:color w:val="000000" w:themeColor="text1"/>
          <w:kern w:val="2"/>
          <w:sz w:val="16"/>
          <w:szCs w:val="16"/>
        </w:rPr>
      </w:pPr>
      <w:r w:rsidRPr="002F2FDF">
        <w:rPr>
          <w:color w:val="000000" w:themeColor="text1"/>
          <w:kern w:val="2"/>
          <w:sz w:val="16"/>
          <w:szCs w:val="16"/>
        </w:rPr>
        <w:t>Милостивый государь, Александр Александрович.</w:t>
      </w:r>
    </w:p>
    <w:p w14:paraId="4F2EB145" w14:textId="77777777" w:rsidR="00607337" w:rsidRPr="002F2FDF" w:rsidRDefault="00607337" w:rsidP="0083075A">
      <w:pPr>
        <w:pStyle w:val="rtejustify"/>
        <w:spacing w:before="0" w:after="0"/>
        <w:rPr>
          <w:color w:val="000000" w:themeColor="text1"/>
          <w:kern w:val="2"/>
          <w:sz w:val="16"/>
          <w:szCs w:val="16"/>
        </w:rPr>
      </w:pPr>
      <w:r w:rsidRPr="002F2FDF">
        <w:rPr>
          <w:color w:val="000000" w:themeColor="text1"/>
          <w:kern w:val="2"/>
          <w:sz w:val="16"/>
          <w:szCs w:val="16"/>
        </w:rPr>
        <w:t>Согласно телеграмме представителя Министерства финансов в Вашингтоне, выписка коей при сем прилагается, правительство Соединенных Штатов не идет в должной мере навстречу нашим пожеланиям относительно открытия новых кредитов. Так, например, в счет испрашиваемого нами кредита до 1 января 1918 г. в сумме 235 млн. дол. будет по всей вероятности получено лишь 50 млн. дол. Между тем предположенные заказы на земледельческие орудия, сапоги и кожу для подошв, срочное изготовление коих является настоятельно необходимым, уже превышают последнюю сумму.</w:t>
      </w:r>
    </w:p>
    <w:p w14:paraId="4D538DB7" w14:textId="77777777" w:rsidR="00607337" w:rsidRPr="002F2FDF" w:rsidRDefault="00607337" w:rsidP="0083075A">
      <w:pPr>
        <w:pStyle w:val="rtejustify"/>
        <w:spacing w:before="0" w:after="0"/>
        <w:rPr>
          <w:color w:val="000000" w:themeColor="text1"/>
          <w:kern w:val="2"/>
          <w:sz w:val="16"/>
          <w:szCs w:val="16"/>
        </w:rPr>
      </w:pPr>
      <w:r w:rsidRPr="002F2FDF">
        <w:rPr>
          <w:color w:val="000000" w:themeColor="text1"/>
          <w:kern w:val="2"/>
          <w:sz w:val="16"/>
          <w:szCs w:val="16"/>
        </w:rPr>
        <w:t>Некоторые затруднения при ведении финансовых переговоров в Соединенных Штатах объясняются нашими представителями также и тем обстоятельством, что посольство Соединенных Штатов в Петрограде, по-видимому, не в достаточной степени поддерживает наши пожелания.</w:t>
      </w:r>
    </w:p>
    <w:p w14:paraId="197083AB" w14:textId="77777777" w:rsidR="00607337" w:rsidRPr="002F2FDF" w:rsidRDefault="00607337" w:rsidP="0083075A">
      <w:pPr>
        <w:pStyle w:val="rtejustify"/>
        <w:spacing w:before="0" w:after="0"/>
        <w:rPr>
          <w:color w:val="000000" w:themeColor="text1"/>
          <w:kern w:val="2"/>
          <w:sz w:val="16"/>
          <w:szCs w:val="16"/>
        </w:rPr>
      </w:pPr>
      <w:r w:rsidRPr="002F2FDF">
        <w:rPr>
          <w:color w:val="000000" w:themeColor="text1"/>
          <w:kern w:val="2"/>
          <w:sz w:val="16"/>
          <w:szCs w:val="16"/>
        </w:rPr>
        <w:t>Сообщая об изложенном и принимая во внимание, что из беседы с советником американского посольства Mr. Butler Wright</w:t>
      </w:r>
      <w:hyperlink r:id="rId597" w:anchor="_ftn2" w:history="1">
        <w:r w:rsidRPr="002F2FDF">
          <w:rPr>
            <w:rStyle w:val="a5"/>
            <w:color w:val="000000" w:themeColor="text1"/>
            <w:kern w:val="2"/>
            <w:sz w:val="16"/>
            <w:szCs w:val="16"/>
          </w:rPr>
          <w:t>[2]</w:t>
        </w:r>
      </w:hyperlink>
      <w:r w:rsidRPr="002F2FDF">
        <w:rPr>
          <w:color w:val="000000" w:themeColor="text1"/>
          <w:kern w:val="2"/>
          <w:sz w:val="16"/>
          <w:szCs w:val="16"/>
        </w:rPr>
        <w:t xml:space="preserve"> я вынес впечатление, что в вопросе об открытии кредитов в Америке для оплаты наших заказов весьма желательно было бы заручиться поддержкой ген. W.V. Jedson, я позволяю себе обратиться к вам с просьбой не отказать переговорить по изложенному делу с ген. Jedson и просить его оказать нам свое содействие как здесь в посольстве, так и в Вашингтоне.</w:t>
      </w:r>
    </w:p>
    <w:p w14:paraId="0C77F6F7" w14:textId="77777777" w:rsidR="00607337" w:rsidRPr="002F2FDF" w:rsidRDefault="00607337" w:rsidP="0083075A">
      <w:pPr>
        <w:pStyle w:val="rtejustify"/>
        <w:spacing w:before="0" w:after="0"/>
        <w:rPr>
          <w:color w:val="000000" w:themeColor="text1"/>
          <w:kern w:val="2"/>
          <w:sz w:val="16"/>
          <w:szCs w:val="16"/>
        </w:rPr>
      </w:pPr>
      <w:r w:rsidRPr="002F2FDF">
        <w:rPr>
          <w:color w:val="000000" w:themeColor="text1"/>
          <w:kern w:val="2"/>
          <w:sz w:val="16"/>
          <w:szCs w:val="16"/>
        </w:rPr>
        <w:t>Пользуясь случаем прошу Вас принять уверение в совершенном почтении и искренней преданности.</w:t>
      </w:r>
    </w:p>
    <w:p w14:paraId="714A0BEA" w14:textId="77777777" w:rsidR="00607337" w:rsidRPr="002F2FDF" w:rsidRDefault="00607337" w:rsidP="0083075A">
      <w:pPr>
        <w:pStyle w:val="rteright"/>
        <w:spacing w:before="0" w:beforeAutospacing="0" w:after="0" w:afterAutospacing="0"/>
        <w:jc w:val="both"/>
        <w:rPr>
          <w:color w:val="000000" w:themeColor="text1"/>
          <w:kern w:val="2"/>
          <w:sz w:val="16"/>
          <w:szCs w:val="16"/>
        </w:rPr>
      </w:pPr>
      <w:r w:rsidRPr="002F2FDF">
        <w:rPr>
          <w:color w:val="000000" w:themeColor="text1"/>
          <w:kern w:val="2"/>
          <w:sz w:val="16"/>
          <w:szCs w:val="16"/>
        </w:rPr>
        <w:t>Замен (15168).</w:t>
      </w:r>
    </w:p>
    <w:p w14:paraId="40B7F3F6" w14:textId="77777777" w:rsidR="00607337" w:rsidRPr="002F2FDF" w:rsidRDefault="00607337"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6C170A31" w14:textId="77777777" w:rsidR="003431D2" w:rsidRPr="002F2FDF" w:rsidRDefault="00CC1BE3" w:rsidP="0083075A">
      <w:pPr>
        <w:tabs>
          <w:tab w:val="left" w:pos="11199"/>
        </w:tabs>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AEEF43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1C7425" w14:textId="313D27AA"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 (19) октября 1917 года </w:t>
      </w:r>
      <w:r w:rsidR="006F7B4F">
        <w:rPr>
          <w:rFonts w:ascii="Times New Roman" w:hAnsi="Times New Roman" w:cs="Times New Roman"/>
          <w:color w:val="000000" w:themeColor="text1"/>
          <w:kern w:val="2"/>
          <w:sz w:val="16"/>
          <w:szCs w:val="16"/>
        </w:rPr>
        <w:t>д</w:t>
      </w:r>
      <w:r w:rsidR="006F7B4F" w:rsidRPr="002F2FDF">
        <w:rPr>
          <w:rFonts w:ascii="Times New Roman" w:hAnsi="Times New Roman" w:cs="Times New Roman"/>
          <w:color w:val="000000" w:themeColor="text1"/>
          <w:kern w:val="2"/>
          <w:sz w:val="16"/>
          <w:szCs w:val="16"/>
        </w:rPr>
        <w:t xml:space="preserve">нем </w:t>
      </w:r>
      <w:r w:rsidRPr="002F2FDF">
        <w:rPr>
          <w:rFonts w:ascii="Times New Roman" w:hAnsi="Times New Roman" w:cs="Times New Roman"/>
          <w:color w:val="000000" w:themeColor="text1"/>
          <w:kern w:val="2"/>
          <w:sz w:val="16"/>
          <w:szCs w:val="16"/>
        </w:rPr>
        <w:t xml:space="preserve">11 цеппелинов поднялись в воздух. Их целью стали объекты на территории Англии, в том числе и Лондон. Один из кораблей, L-53, в ходе выполнения задания пролетел расстояние 1690 км со средней скоростью 64 км/ч за 27 часов 25 минут. На борту находились 20 человек, 3000 кг бомб, 24 500 кг балласта и 4600 кг топлива, из которых за полет было израсходовано 4070 кг. Налет закончился трагедией для немецких воздухоплавателей. На большой высоте мощность “Майбахов” упала до такой степени, что дирижабли стали “игрушками” внезапно усилившегося ветра. Четыре из них, о чем мы уже говорили, были потеряны после того, как ветер отнес их в воздушное пространство Франции: L-44 сбит огнем французской артиллерии; L-45 после вынужденной посадки на французской территории уничтожен экипажем; L-49 после вынужденной посадки попал неповрежденным в руки противника; L-50 с четырьмя членами экипажа на борту, продрейфовав через всю Францию, пропал без вести над Средиземным морем. Пятый дирижабль из участвовавших в эскадренном налете в ночь 19-20 октября 1917 года, L-55, был поврежден зенитным огнем, но дотянул до Германии, сел около Тифенорта в Тюрингене и позже был разобран. В том, что рейд цеппелинов не удался, нет ни малейшей заслуги британской системы ПВО. Налет еще раз продемонстрировал беспомощность наземных средств обороны перед летящими на большой высоте цеппелинами. Из семидесяти трех летчиков КВК, которые поднялись той ночью на перехват германских дирижаблей, ни один не смог подняться до высоты 6500 м, на которой летело большинство цеппелинов. Только потеря мощности двигателей и “высотная болезнь” экипажей воздушных кораблей на этот раз защитили Англию. </w:t>
      </w:r>
    </w:p>
    <w:p w14:paraId="7AA07A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Специальный корреспондент газеты “Матэн” дал весьма эмоциональное описание воздушного боя около Бурбон-ле-Бен: “После 10 часов утра 20 октября 1917 года на мирных полях Лангра разыгралась потрясающая драма. L-49, за которым следовал L-50, пролетел над городом. Чудовища, казалось, сообразовались с движениями друг друга и старались защитить одно другое от атак французских эскадрилий, которые носились вокруг них и нападали со стороны Корсье, Лангра и Дижона. А внизу топы зрителей с нетерпением [219] следили за каждой фазой борьбы. </w:t>
      </w:r>
    </w:p>
    <w:p w14:paraId="799499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Над Бурбон-ле-Беном, на высоте приблизительно 1000 футов, в 11 часов положение было таково, что стало казаться возможным падение L-49. Его окружили 5 аэропланов и беспрерывно в него стреляли. Цеппелин боролся отчаянно. Над маленьким тихим городком раздавалась беспрерывная орудийная стрельба, смешанная с жужжанием моторов дирижаблей и аэропланов. Все жители Бурбон-ле-Бена были у окон и на улицах и, затаив дыхание, ожидали окончания боя. </w:t>
      </w:r>
    </w:p>
    <w:p w14:paraId="54DCA9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Вскоре L-49 повернул по направлению к Анонкуру, следуя по большой дороге, теснимый целым роем французских аэропланов. Он пересек вершины холмов и затем в нескольких милях от города, в маленькой деревушке Ле Корнэ, тихо упал на землю, оперевшись кормой на небольшой холм, между тем как его нос застрял в реке Апанс, протекающей около большой дороги от Анонкура до Бурбон-ле-Бена. Весь экипаж в числе девятнадцати человек выскочил из упавшего дирижабля. Командир едва успел сделать из револьвера несколько выстрелов в цеппелин, как вдруг из соседних зарослей появился человек, мирный житель, занимавшийся в свободное время охотой. Заметив его, немцы прекратили огонь. Охотник, прицелившись, пригрозил: “Если вы тронетесь с места — я стреляю”. Командир L-49 подчинился этой угрозе, опустил свой револьвер, и остальные восемнадцать человек последовали его примеру. </w:t>
      </w:r>
    </w:p>
    <w:p w14:paraId="306292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Охотник, помешавший уничтожению L-49, оказался демобилизованным солдатом. В одном из приказов генерал Кастельно похвально отозвался о нем за продемонстрированную необычайную смелость и хладнокровие. Около [220] полудня закончился последний акт этой драмы. Прибывший летчик охранял пленников, которые вскоре были отправлены в Бурбон-ле-Бен под радостные возгласы жителей. </w:t>
      </w:r>
    </w:p>
    <w:p w14:paraId="50A746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L-50, также поврежденный, пролетел над L-49 и попытался его зажечь, но это ему не удалось. Невдалеке от Лекорнэ, из-за потери большого количества несущего газа, L-50 вынужден был приземлиться. После короткого совещания было принято решение во что бы то ни стало спасти дирижабль. Для того чтобы облегчить корабль, команда быстро отцепила одну из гондол, и L-50 с четырьмя членами экипажа на борту взмыл в воздух. Двенадцать человек из состава экипажа остались на земле и вскоре были взяты в плен. </w:t>
      </w:r>
    </w:p>
    <w:p w14:paraId="3C3635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Вся честь в этом славном деле принадлежит лейтенанту Лефевру и его доблестной 152-й эскадрилье, известной под названием “крокодилов”, которые и были виновниками пленения L-49 и бегства L-50. </w:t>
      </w:r>
    </w:p>
    <w:p w14:paraId="06BB3A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L-45 спустился у реки Буеш, недалеко от фермы г-жи Дюпон, у которой работали пленные немцы. Когда они заметили дирижабль, то с криком “Цеппелин! Цеппелин!” бросились к нему из близлежащего дубняка. Команда выпрыгнула из дирижабля и подожгла его. Они думали, что находятся в Швейцарии, но вскоре выяснилось, что это Франция. Они быстро сдались”. </w:t>
      </w:r>
    </w:p>
    <w:p w14:paraId="57AE64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Парижский журнал “Иллюстратьон” поведал несколько интересных подробностей, касающихся дирижабля L-44. “В Сен-Клемане предостережение о налете было дано в четыре часа утра в полной темноте. Все кругом заволокло густым туманом, и вся команда воздушной обороны была на своих местах. Несколько дежурных аэропланов покинули свои ангары, и пилоты нетерпеливо ожидали первых лучей восхода солнца. </w:t>
      </w:r>
    </w:p>
    <w:p w14:paraId="584F9E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xml:space="preserve">При первых проблесках дня взлетели 5 охотников и смело проникли в еще достаточно плотную ночную мглу. В половине седьмого утра один из цеппелинов уже лежал разрушенный на лугу; он был подбит седьмым выстрелом, сделанным доблестными артиллеристами 174-го отряда Корпуса воздушной обороны. </w:t>
      </w:r>
    </w:p>
    <w:p w14:paraId="018B62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Под командой самого генерала Жерара мы все еще продолжали поиски, пока не стало темнеть. Посреди полей, покрытых серо-зеленым жнивом, лежала груда обломков, от которых в вечернем воздухе поднималась тонкая струйка дыма. </w:t>
      </w:r>
    </w:p>
    <w:p w14:paraId="5B4169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Все, что осталось от чудовища, представляло из себя смешанную массу алюминия с клочками неприятно пахнущей материи и с разбитыми машинами, под которыми лежало еще несколько тел убитых людей из экипажа. По возвращении в главную квартиру, генерал Жерар имел удовольствие услышать от начальника авиационного отряда, что все пятеро из его летчиков вернулись целыми и невредимыми после погони за другим цеппелином, который спустился у Бурбон-ле-Бена или его окрестностях. </w:t>
      </w:r>
    </w:p>
    <w:p w14:paraId="7788A6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Третий дирижабль, тот самый, который оставил одну из своих гондол с частью экипажа, по-видимому поднялся на большую высоту, “сбросив” этот большой груз. [221] </w:t>
      </w:r>
    </w:p>
    <w:p w14:paraId="5073CA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“Ах, — вздохнул генерал, — если бы здесь был мой Гинемер!” </w:t>
      </w:r>
    </w:p>
    <w:p w14:paraId="052414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Во всяком случае ясно, что Германия в этот день потеряла четыре цеппелина. </w:t>
      </w:r>
    </w:p>
    <w:p w14:paraId="543FFF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Теперь окончательно установлено, что пятый цеппелин утонул в Средиземном море. Его видели около Тулона, плывущим мимо берегов в вертикальном положении. Его состояние казалось безнадежным, но нельзя было считать его окончательно погибшим до получения следующего сообщения: “Тулон, 26 октября. Шестидневные поиски не обнаружили никаких следов погибшего в Средиземном море цеппелина. Из недавно полученных сведений известно, что цеппелин был потерян из виду в субботу (20 октября) ровно в 18.35 в тридцати милях к югу от островов”. </w:t>
      </w:r>
    </w:p>
    <w:p w14:paraId="36416B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Два летчика в это же время видели цеппелин, углубившийся носом в море и затем исчезнувший. </w:t>
      </w:r>
    </w:p>
    <w:p w14:paraId="06C399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Возможно, что шестой цеппелин приземлился в Германии, но об этом в официальных донесениях не упоминалось. </w:t>
      </w:r>
    </w:p>
    <w:p w14:paraId="18ED5F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Нам известно, что в тот же самый несчастливый для немцев день, когда L-49 взяли в плен невредимым во Франции, была получена радиотелеграмма, подтверждающая, что шестой цеппелин, не [222] имея никого на борту, был унесен ветром и легко поврежден. </w:t>
      </w:r>
    </w:p>
    <w:p w14:paraId="658685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Это было, как теперь известно, отчаянное предприятие наших врагов под начальством капитана барона Хорста фон Буттлара Бранденфельс, о котором говорят в Берлине, что он особенно удачно атаковал Лондон, Манчестер, Бирмингем, Ноттингем, Дерби, Ловстофт, Гулль, Гримсби, Гарвич и Мэплтон. </w:t>
      </w:r>
    </w:p>
    <w:p w14:paraId="74BE6C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То же самое сообщение говорит, что благодаря противному ветру и густому туману, четыре дирижабля, под начальством капитанов Габберта, Кулля, Ганса Гейера и Швандера перелетели через французскую боевую зону, где согласно сообщениям французов они были или подстрелены, или принуждены спуститься. </w:t>
      </w:r>
    </w:p>
    <w:p w14:paraId="485E1B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настоящее время не имеется никаких достоверных сведений относительно страшной участи, постигшей экипажи: сначала люди должны были вынести сильнейший холод, а потом, спустившись ниже, они погибли от огня. </w:t>
      </w:r>
    </w:p>
    <w:p w14:paraId="5D426D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Организаторы этих полетов приготовили для своих же людей действительно самую ужасную смерть”.</w:t>
      </w:r>
    </w:p>
    <w:p w14:paraId="587F90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того времени как с цеппелинами случались аварии над французской территорией, французские инженеры были заняты изучением их частей. Вот что говорил один из начальников французских ВВС о L-49: “В конструкции цеппелина найдено много интересных, продуманных деталей. Между баллонетами, окруженными внешней оболочкой, расположены трубы, служащие для выведения наверх просачивающегося газа. В проходе внутри оболочки имеется балласт, бензиновые баки и несколько кроватей. Всего имеется 4 гондолы. В передней помещается командир и большая часть экипажа, механизм беспроволочного телеграфа и один из пяти моторов. </w:t>
      </w:r>
    </w:p>
    <w:p w14:paraId="30C678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Дирижабль может развить нормальную скорость от 55 до 60 миль в час. Все принадлежности и оборудование носят след безупречной работы. Балласт, бомбы и другие предметы ночью обозначаются светящимися номерами. Чтобы попасть из одной гондолы в другую, приходится проделать довольно опасное путешествие, так как надо подняться по веревочной лестнице и пройти по внутреннему коридору. </w:t>
      </w:r>
    </w:p>
    <w:p w14:paraId="4906B3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Цеппелин достиг высоты 7000 м над Лондоном, и ему пришлось бороться не только с сильным северным ветром, но и с сильным холодом, так как температура упала до 33 градусов ниже нуля по Фаренгейту. Люди отморозили себе руки и находились в полубессознательном состоянии от холода. </w:t>
      </w:r>
    </w:p>
    <w:p w14:paraId="211E67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Водяной балласт замерз, хотя, чтобы предупредить это, к нему было примешано нужное количество спирта. Хотя и имеется приспособление со стороны гондол для того, чтобы подогревать радиаторы, но и их вода замерзла. Компас был в хорошем состоянии, но в подобных условиях совершенно бесполезен. </w:t>
      </w:r>
    </w:p>
    <w:p w14:paraId="268463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Оболочки восемнадцати баллонетов сделаны из кишечной перепонки, т. е. из верхней кожи бычьих и овечьих кишок, обтянутых по внутренней стороне бумажной материей. [223] </w:t>
      </w:r>
    </w:p>
    <w:p w14:paraId="3FD6FA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Внешняя обшивка, заключающая баллонеты и идущая вокруг всего корпуса дирижабля, сделана из бумажной лакированной материи и с внешней стороны выкрашена в черный цвет так, чтобы быть как можно более незаметной для лучей прожектора. </w:t>
      </w:r>
    </w:p>
    <w:p w14:paraId="355A91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Для этих “сверхцеппелинов” полагался экипаж, состоявший из двадцати двух человек офицеров и солдат при непродолжительных перелетах. При длительных полетах, как например при налетах на Англию, экипаж уменьшают до восемнадцати человек, чтобы можно было захватить больше бензина. [224] </w:t>
      </w:r>
    </w:p>
    <w:p w14:paraId="6E910F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Из пяти моторов три находятся впереди, два из них в двух боковых гондолах; кормовая гондола имеет два мотора. Каждая гондола оснащена сзади только одним пропеллером. Два мотора задней гондолы работают одновременно только в экстренном случае. Если они оба соединены с пропеллером, то дирижабль развивает скорость около 60 миль в час. Обыкновенно работают четыре мотора, пятый в запасе. Все они снабжены хорошими глушителями. </w:t>
      </w:r>
    </w:p>
    <w:p w14:paraId="4E1318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Вооружение L-49 достаточно слабое — лишь 2 пулемета, и нет верхней платформы, как у предыдущих цеппелинов. </w:t>
      </w:r>
    </w:p>
    <w:p w14:paraId="4DB0BF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При изучении L-49 создается впечатление, что все было подчинено достижению наибольшей высоты полета с целью избежать неприятельских атак как с земли, так и в воздухе. Предельная грузоподъемность для налетов на Англию — 2500 кг бомб”. </w:t>
      </w:r>
    </w:p>
    <w:p w14:paraId="10A6C5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Одним из уроков этого трагического налета стало то, что дирижабли уже не следовало больше облегчать для повышения высоты полета. В высоких слоях атмосферы, как показал случай над Британией, господствует очень сильный ветер, с которым обычные моторы уже не справлялись. Двигатели “Майбах” HSL на этих высотах теряли до половины своей мощности, а это для огромных кораблей объемом почти 56 000 куб. м было совершенно неприемлемо. Осенью 1917 года появились первые высотные моторы “Майбах” Mb.IV мощностью 245 л. с., степень сжатия которых была повышена. На высоте 6000 м они развивали мощность 142 л. с., а когда степень сжатия была увеличена — 162 л. с. </w:t>
      </w:r>
    </w:p>
    <w:p w14:paraId="68F6C7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Высотные полеты временно решали проблему преодоления английской ПВО, но при этом возникли новые затруднения, оценить которые раньше было невозможно, и именно они явились [225] причиной того, что налеты стали проводиться все реже и реже. Продолжительные полеты на сильном морозе, часто до 40° С, и недостаток кислорода в разряженных слоях атмосферы крайне изнуряли экипаж, и многие опытные пилоты, не будучи в состоянии переносить этой высоты, списывались с дирижаблей. Особенно трудно было вначале, пока еще не изобрели компактные кислородные аппараты: иногда случалось, что часть экипажа теряла в полете сознание. Ситуация улучшилась, когда дирижабли стали снабжаться специальными кислородными аппаратами фирмы “Аренд и Нойландт” с мундштуками или масками для дыхания (11324).</w:t>
      </w:r>
    </w:p>
    <w:p w14:paraId="5E4533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D71591" w14:textId="77777777" w:rsidR="00EF1095" w:rsidRPr="002F2FDF" w:rsidRDefault="00EF109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С 6 (</w:t>
      </w:r>
      <w:r w:rsidRPr="002F2FDF">
        <w:rPr>
          <w:rFonts w:ascii="Times New Roman" w:hAnsi="Times New Roman" w:cs="Times New Roman"/>
          <w:color w:val="000000" w:themeColor="text1"/>
          <w:kern w:val="2"/>
          <w:sz w:val="16"/>
          <w:szCs w:val="16"/>
        </w:rPr>
        <w:t xml:space="preserve">19) на 7 (20) октября 1917 г. </w:t>
      </w:r>
      <w:r w:rsidRPr="002F2FDF">
        <w:rPr>
          <w:rFonts w:ascii="Times New Roman" w:hAnsi="Times New Roman" w:cs="Times New Roman"/>
          <w:bCs/>
          <w:color w:val="000000" w:themeColor="text1"/>
          <w:kern w:val="2"/>
          <w:sz w:val="16"/>
          <w:szCs w:val="16"/>
        </w:rPr>
        <w:t xml:space="preserve">при налете на Англию из 11 немецких дирижаблей было потеряно четыре: «L-44», «L-45», «L-45», «L-50». После этого налета на обратном пути их захватил сильнейший шторм с ветром на высоте до </w:t>
      </w:r>
      <w:r w:rsidRPr="002F2FDF">
        <w:rPr>
          <w:rFonts w:ascii="Times New Roman" w:hAnsi="Times New Roman" w:cs="Times New Roman"/>
          <w:bCs/>
          <w:iCs/>
          <w:color w:val="000000" w:themeColor="text1"/>
          <w:kern w:val="2"/>
          <w:sz w:val="16"/>
          <w:szCs w:val="16"/>
        </w:rPr>
        <w:t>130</w:t>
      </w:r>
      <w:r w:rsidRPr="002F2FDF">
        <w:rPr>
          <w:rFonts w:ascii="Times New Roman" w:hAnsi="Times New Roman" w:cs="Times New Roman"/>
          <w:bCs/>
          <w:color w:val="000000" w:themeColor="text1"/>
          <w:kern w:val="2"/>
          <w:sz w:val="16"/>
          <w:szCs w:val="16"/>
        </w:rPr>
        <w:t xml:space="preserve"> км/час; шторм загнал дирижабли на территорию Франции, на которой они и погибли при различных обстоятельствах (17326).</w:t>
      </w:r>
    </w:p>
    <w:p w14:paraId="19632CC0" w14:textId="77777777" w:rsidR="00EF1095" w:rsidRPr="002F2FDF" w:rsidRDefault="00EF109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3AB233" w14:textId="77777777" w:rsidR="00292519" w:rsidRPr="002F2FDF" w:rsidRDefault="002925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6-7 (19–20) октября (ночь) 1917 ВМФ Германии отправляет 13 цеппелинов в высотный рейд на центр Англии, но они попадают в неожиданный шторм. Два не покидают свои ангары; остальные 11 отправились в Англию и потерялись в шторме. Большинство бомбит открытую сельскую местность, хотя L 41 повреждает Austin Motor Works в Лонгбридже, а L 45 бомбит Нортгемптон и Лондон, убивая 24 и ранив девять человек. Британцы используют зенитные орудия вокруг Лондона, чтобы не пропускать цеппелины в город, и эта атака стала известна как "Тихий рейд". Хотя 73 британских самолеты взлетают на перехвать - никто не имеет возможности достичь рабочей высоты цеппелинов. Шторм разбросал цеппелинов по Германии, Нидерландам , Бельгии и Франции во время обратных рейсов, и только шесть из них благополучно достигли Германии. L 55 устанавливает рекорд высоты для дирижаблей в 24 000 футов (7 315 метров) во время полета домой, прежде чем будет поврежден и не подлежит ремонту в результате жесткой посадки в Германии; L 44 подбит французской артиллерией над Западным фронтом; L 49 приземляется во Франции и попадает в плен вместе со всей своей командой; L 45 приземляется во Франции и уничтожается ее экипажем, который попадает в плен; L 50 совершает жесткую посадку во Франции, после чего 15 членам экипажа удается покинуть дирижабль и они попадают в плен, а дирижабль уносится прочь и пересекает Францию, прежде чем исчезнуть над Средиземным морем с четырьмя людьми на борту (20341).</w:t>
      </w:r>
    </w:p>
    <w:p w14:paraId="09D349DD" w14:textId="77777777" w:rsidR="00292519" w:rsidRPr="002F2FDF" w:rsidRDefault="00292519" w:rsidP="0083075A">
      <w:pPr>
        <w:spacing w:after="0" w:line="240" w:lineRule="auto"/>
        <w:jc w:val="both"/>
        <w:rPr>
          <w:rFonts w:ascii="Times New Roman" w:hAnsi="Times New Roman" w:cs="Times New Roman"/>
          <w:color w:val="000000" w:themeColor="text1"/>
          <w:sz w:val="16"/>
          <w:szCs w:val="16"/>
        </w:rPr>
      </w:pPr>
    </w:p>
    <w:p w14:paraId="4B1D53DB" w14:textId="77777777" w:rsidR="00292519" w:rsidRPr="002F2FDF" w:rsidRDefault="002925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6 (19) октября 1917 Армия США открывает « Поле любви» в Далласе , штат Техас, в качестве базы летной подготовки. Позднее аэродром переоборудован для гражданского использования и до 1974 года был основным коммерческим аэропортом Даллас – Форт-Уэрт и сегодня продолжает служить важным региональным аэропортом (20341).</w:t>
      </w:r>
    </w:p>
    <w:p w14:paraId="3F26C3DD" w14:textId="77777777" w:rsidR="00292519" w:rsidRPr="002F2FDF" w:rsidRDefault="00292519" w:rsidP="0083075A">
      <w:pPr>
        <w:spacing w:after="0" w:line="240" w:lineRule="auto"/>
        <w:jc w:val="both"/>
        <w:rPr>
          <w:rFonts w:ascii="Times New Roman" w:hAnsi="Times New Roman" w:cs="Times New Roman"/>
          <w:color w:val="000000" w:themeColor="text1"/>
          <w:sz w:val="16"/>
          <w:szCs w:val="16"/>
        </w:rPr>
      </w:pPr>
    </w:p>
    <w:p w14:paraId="6B90426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84F46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4301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7 </w:t>
      </w:r>
      <w:r w:rsidR="001157F8" w:rsidRPr="002F2FDF">
        <w:rPr>
          <w:rFonts w:ascii="Times New Roman" w:hAnsi="Times New Roman" w:cs="Times New Roman"/>
          <w:color w:val="000000" w:themeColor="text1"/>
          <w:kern w:val="2"/>
          <w:sz w:val="16"/>
          <w:szCs w:val="16"/>
        </w:rPr>
        <w:t xml:space="preserve">(20) </w:t>
      </w:r>
      <w:r w:rsidRPr="002F2FDF">
        <w:rPr>
          <w:rFonts w:ascii="Times New Roman" w:hAnsi="Times New Roman" w:cs="Times New Roman"/>
          <w:color w:val="000000" w:themeColor="text1"/>
          <w:kern w:val="2"/>
          <w:sz w:val="16"/>
          <w:szCs w:val="16"/>
        </w:rPr>
        <w:t>октября 1917 производителю вручили некоторые общие виды аппарата, называвшегося "Разведчик типа "Аист" ("Аист" - производное от АИС), которые были необ</w:t>
      </w:r>
      <w:r w:rsidRPr="002F2FDF">
        <w:rPr>
          <w:rFonts w:ascii="Times New Roman" w:hAnsi="Times New Roman" w:cs="Times New Roman"/>
          <w:color w:val="000000" w:themeColor="text1"/>
          <w:kern w:val="2"/>
          <w:sz w:val="16"/>
          <w:szCs w:val="16"/>
        </w:rPr>
        <w:softHyphen/>
        <w:t xml:space="preserve">ходимы для исчисления стоимости сборки двух прототипов. На деле руководство Управления морской авиации и воздухоплавания одновременно предполагало </w:t>
      </w:r>
      <w:r w:rsidRPr="002F2FDF">
        <w:rPr>
          <w:rFonts w:ascii="Times New Roman" w:hAnsi="Times New Roman" w:cs="Times New Roman"/>
          <w:color w:val="000000" w:themeColor="text1"/>
          <w:kern w:val="2"/>
          <w:sz w:val="16"/>
          <w:szCs w:val="16"/>
        </w:rPr>
        <w:lastRenderedPageBreak/>
        <w:t>доверить строительство "Аистов" и фирме Щетинина, и переговоры с последним уже велись. Однако, к 13 октября работа над двумя опытными машинами под двигатели "Испано-Суиза" 200 л.с. была вклю</w:t>
      </w:r>
      <w:r w:rsidRPr="002F2FDF">
        <w:rPr>
          <w:rFonts w:ascii="Times New Roman" w:hAnsi="Times New Roman" w:cs="Times New Roman"/>
          <w:color w:val="000000" w:themeColor="text1"/>
          <w:kern w:val="2"/>
          <w:sz w:val="16"/>
          <w:szCs w:val="16"/>
        </w:rPr>
        <w:softHyphen/>
        <w:t>чена в программу завода Мельцера. Как обычно, задолго до того трудности в отношении этих аппаратов возникли еще на стадии выбора типа мотора. 17 июля 1917 г. МГШ инфор</w:t>
      </w:r>
      <w:r w:rsidRPr="002F2FDF">
        <w:rPr>
          <w:rFonts w:ascii="Times New Roman" w:hAnsi="Times New Roman" w:cs="Times New Roman"/>
          <w:color w:val="000000" w:themeColor="text1"/>
          <w:kern w:val="2"/>
          <w:sz w:val="16"/>
          <w:szCs w:val="16"/>
        </w:rPr>
        <w:softHyphen/>
        <w:t>мировал Отдел воздушного плавания ГУК о том, что поставки двигателей "Испано-Суиза" задерживаются, тогда как Британское Адмиралтейство обещало снабдить Морское ведомство 25 и 50 моторами "Санбим" мощностью 170 и 320 л.с. соответственно. Это сообщение послу</w:t>
      </w:r>
      <w:r w:rsidRPr="002F2FDF">
        <w:rPr>
          <w:rFonts w:ascii="Times New Roman" w:hAnsi="Times New Roman" w:cs="Times New Roman"/>
          <w:color w:val="000000" w:themeColor="text1"/>
          <w:kern w:val="2"/>
          <w:sz w:val="16"/>
          <w:szCs w:val="16"/>
        </w:rPr>
        <w:softHyphen/>
        <w:t>жило толчком к заказу опытного двухмоторного самолета под 2 "Санбима" 320 л.с. у Гри</w:t>
      </w:r>
      <w:r w:rsidRPr="002F2FDF">
        <w:rPr>
          <w:rFonts w:ascii="Times New Roman" w:hAnsi="Times New Roman" w:cs="Times New Roman"/>
          <w:color w:val="000000" w:themeColor="text1"/>
          <w:kern w:val="2"/>
          <w:sz w:val="16"/>
          <w:szCs w:val="16"/>
        </w:rPr>
        <w:softHyphen/>
        <w:t>горовича и одномоторного под "Санбим" 170 л.с. — у АИС. В октябре про эти "Санбимы" уже и не вспоминали; напротив, сначала обсуждался вариант использования двигателей "Ис</w:t>
      </w:r>
      <w:r w:rsidRPr="002F2FDF">
        <w:rPr>
          <w:rFonts w:ascii="Times New Roman" w:hAnsi="Times New Roman" w:cs="Times New Roman"/>
          <w:color w:val="000000" w:themeColor="text1"/>
          <w:kern w:val="2"/>
          <w:sz w:val="16"/>
          <w:szCs w:val="16"/>
        </w:rPr>
        <w:softHyphen/>
        <w:t>пано-Суиза", а затем взгляды обратились и к 200-сильным "Рено". В конце концов, 2 ноября Мельцеру послали официальный контракт на строительство 5 разведчиков "Аист", три из которых должны были оснащаться моторами "Испано-Суиза" 200 л.с., а два оставшихся — "Рено" 220 л.с. Заказ давался в счет апрельского условного поручения на сборку летающих лодок Энгельса и Григоровича, а цена одного поплавкового аэроплана составляла к этому времени 45.000 руб. Скорее всего, ни один из прототипов не был закончен, хотя В.Б. Шавров утверждал, что один "Аист" все же был. По тому же источнику модель представляла собой одномоторный двухместный двухстоечный биплан с силовой установкой тянущего типа. Его фюзеляж-монокок выполнялся из фанеры, а крылья имели деревянный каркас, обтянутый полотном и усиленный проволочными растяжками. Каждый из двух основных слегка килс-ватых поплавков образовывался ясеневым внутренним набором и комбинированной обшивкой из фанеры в верхней части и тонких досок красного дерева на медных заклепках внизу до ватерлинии. Для выбора наиболее удачной формы поплавков были произведены испытания их моделей в Опытовом бассейне Морского ведомства. Водное шасси включало в себя систему стоек, изготовленных из стальных труб с обтекателями (2843).</w:t>
      </w:r>
    </w:p>
    <w:p w14:paraId="09A0B2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D5062C" w14:textId="77777777" w:rsidR="006F7B4F" w:rsidRPr="002F2FDF" w:rsidRDefault="006F7B4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B5ABBC6" w14:textId="77777777" w:rsidR="006F7B4F" w:rsidRPr="002F2FDF" w:rsidRDefault="006F7B4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E90E5A" w14:textId="77777777" w:rsidR="006F7B4F" w:rsidRPr="002F2FDF" w:rsidRDefault="006F7B4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октября 1917 в Мариинском дворце открылся Предпарламент. Большевики, как обычно, демонстративно его покинули. А ведь могли и не приходить. Нет, они пришли и покинули. Военный министр Верховский проанализировал состояние армии и пришел к выводу, что дальнейшее ведение боевых действий проблематично. Массовое дезертирство, из рук вон плохое снабжение и так далее. Большевистская разлагающая агитация стояла на последнем месте (12629).</w:t>
      </w:r>
    </w:p>
    <w:p w14:paraId="2FD87B99" w14:textId="77777777" w:rsidR="006F7B4F" w:rsidRPr="002F2FDF" w:rsidRDefault="006F7B4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0A5B73" w14:textId="77777777" w:rsidR="006F7B4F" w:rsidRPr="002F2FDF" w:rsidRDefault="006F7B4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октября 1917 открылся Временный Совет Российской Республики (Предпарламент). Большевики покинули его с первого заседания (3908,265).</w:t>
      </w:r>
    </w:p>
    <w:p w14:paraId="6B630D76" w14:textId="77777777" w:rsidR="006F7B4F" w:rsidRPr="002F2FDF" w:rsidRDefault="006F7B4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085B08" w14:textId="77777777" w:rsidR="006F7B4F" w:rsidRPr="002F2FDF" w:rsidRDefault="006F7B4F"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7 (20) октября </w:t>
      </w:r>
      <w:r w:rsidRPr="002F2FDF">
        <w:rPr>
          <w:rFonts w:ascii="Times New Roman" w:hAnsi="Times New Roman" w:cs="Times New Roman"/>
          <w:color w:val="000000" w:themeColor="text1"/>
          <w:kern w:val="2"/>
          <w:sz w:val="16"/>
          <w:szCs w:val="16"/>
        </w:rPr>
        <w:t>в 1917 году в России начинает работу Предпарламент, заседание которого сразу покидают большевики (14805).</w:t>
      </w:r>
    </w:p>
    <w:p w14:paraId="259922CA" w14:textId="77777777" w:rsidR="006F7B4F" w:rsidRPr="002F2FDF" w:rsidRDefault="006F7B4F" w:rsidP="0083075A">
      <w:pPr>
        <w:spacing w:after="0" w:line="240" w:lineRule="auto"/>
        <w:jc w:val="both"/>
        <w:rPr>
          <w:rFonts w:ascii="Times New Roman" w:hAnsi="Times New Roman" w:cs="Times New Roman"/>
          <w:color w:val="000000" w:themeColor="text1"/>
          <w:kern w:val="2"/>
          <w:sz w:val="16"/>
          <w:szCs w:val="16"/>
        </w:rPr>
      </w:pPr>
    </w:p>
    <w:p w14:paraId="7ED873E6" w14:textId="77777777" w:rsidR="006F7B4F" w:rsidRPr="002F2FDF" w:rsidRDefault="006F7B4F" w:rsidP="0083075A">
      <w:pPr>
        <w:pStyle w:val="ae"/>
        <w:spacing w:before="0" w:after="0"/>
        <w:jc w:val="both"/>
        <w:rPr>
          <w:color w:val="000000" w:themeColor="text1"/>
          <w:kern w:val="2"/>
          <w:sz w:val="16"/>
          <w:szCs w:val="16"/>
        </w:rPr>
      </w:pPr>
      <w:r w:rsidRPr="002F2FDF">
        <w:rPr>
          <w:color w:val="000000" w:themeColor="text1"/>
          <w:kern w:val="2"/>
          <w:sz w:val="16"/>
          <w:szCs w:val="16"/>
        </w:rPr>
        <w:t>7 (20) октября 1917 в Петрограде открылось первое заседание «Временного совета Российской республики» — совещательного органа при Временном правительстве, известного также как Предпарламент. В его состав входило 555 человек: 135 эсеров, 92 меньшевика, 75 кадетов, 30 народных социалистов. 58 мандатов было также выделено и большевикам, но они демонстративно покинули заседание (17045).</w:t>
      </w:r>
    </w:p>
    <w:p w14:paraId="50E33A8F" w14:textId="77777777" w:rsidR="006F7B4F" w:rsidRPr="002F2FDF" w:rsidRDefault="006F7B4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4A7177" w14:textId="77777777" w:rsidR="006F7B4F" w:rsidRPr="002F2FDF" w:rsidRDefault="006F7B4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октября 1917 открылся Предпарламент. В.И.Л. вернулся в Петроград (1348,87).</w:t>
      </w:r>
    </w:p>
    <w:p w14:paraId="1AEFC331" w14:textId="77777777" w:rsidR="006F7B4F" w:rsidRPr="002F2FDF" w:rsidRDefault="006F7B4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79B9CE" w14:textId="45E8C449" w:rsidR="000551B1" w:rsidRPr="00FB4F67" w:rsidRDefault="000551B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7 (</w:t>
      </w:r>
      <w:r w:rsidRPr="00FB4F67">
        <w:rPr>
          <w:rFonts w:ascii="Times New Roman" w:hAnsi="Times New Roman" w:cs="Times New Roman"/>
          <w:color w:val="0070C0"/>
          <w:sz w:val="16"/>
          <w:szCs w:val="16"/>
        </w:rPr>
        <w:t>20</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в Петрограде в Третьем коалиционном правительстве Керенского нарастал кризис, поскольку левые социалисты-революционеры отказались сотрудничать в ходе разбирательства (23525).</w:t>
      </w:r>
    </w:p>
    <w:p w14:paraId="74D9F8B0" w14:textId="77777777" w:rsidR="000551B1" w:rsidRPr="00FB4F67" w:rsidRDefault="000551B1" w:rsidP="0083075A">
      <w:pPr>
        <w:spacing w:after="0" w:line="240" w:lineRule="auto"/>
        <w:jc w:val="both"/>
        <w:rPr>
          <w:rFonts w:ascii="Times New Roman" w:hAnsi="Times New Roman" w:cs="Times New Roman"/>
          <w:color w:val="0070C0"/>
          <w:sz w:val="16"/>
          <w:szCs w:val="16"/>
        </w:rPr>
      </w:pPr>
    </w:p>
    <w:p w14:paraId="7B1FE3EC" w14:textId="77777777" w:rsidR="006F7B4F" w:rsidRPr="002F2FDF" w:rsidRDefault="006F7B4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октября 1917 В.И.Л. тайно вернулся в Петроград (3481).</w:t>
      </w:r>
    </w:p>
    <w:p w14:paraId="1177CC9F" w14:textId="77777777" w:rsidR="006F7B4F" w:rsidRPr="002F2FDF" w:rsidRDefault="006F7B4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F1BB37" w14:textId="77777777" w:rsidR="006F7B4F" w:rsidRPr="002F2FDF" w:rsidRDefault="006F7B4F"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7 (20) октября </w:t>
      </w:r>
      <w:r w:rsidRPr="002F2FDF">
        <w:rPr>
          <w:rFonts w:ascii="Times New Roman" w:hAnsi="Times New Roman" w:cs="Times New Roman"/>
          <w:color w:val="000000" w:themeColor="text1"/>
          <w:kern w:val="2"/>
          <w:sz w:val="16"/>
          <w:szCs w:val="16"/>
        </w:rPr>
        <w:t>в 1917 году нелегальный приезд В.И.Ленина из Выборга в Петроград (14805).</w:t>
      </w:r>
    </w:p>
    <w:p w14:paraId="43A80373" w14:textId="77777777" w:rsidR="006F7B4F" w:rsidRPr="002F2FDF" w:rsidRDefault="006F7B4F" w:rsidP="0083075A">
      <w:pPr>
        <w:spacing w:after="0" w:line="240" w:lineRule="auto"/>
        <w:jc w:val="both"/>
        <w:rPr>
          <w:rFonts w:ascii="Times New Roman" w:hAnsi="Times New Roman" w:cs="Times New Roman"/>
          <w:color w:val="000000" w:themeColor="text1"/>
          <w:kern w:val="2"/>
          <w:sz w:val="16"/>
          <w:szCs w:val="16"/>
        </w:rPr>
      </w:pPr>
    </w:p>
    <w:p w14:paraId="1F991DC8" w14:textId="77777777" w:rsidR="006F7B4F" w:rsidRPr="002F2FDF" w:rsidRDefault="006F7B4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01854AD" w14:textId="77777777" w:rsidR="006F7B4F" w:rsidRPr="002F2FDF" w:rsidRDefault="006F7B4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755494" w14:textId="77777777" w:rsidR="006F7B4F" w:rsidRPr="002F2FDF" w:rsidRDefault="006F7B4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октября 1917 в один день Германия потеряла пять цеппелинов LZ-85 (L-45) и LZ-96 (L-49) - совершили вынужденную посадку во Франции, LZ-93 (L-44) - был сбит над Францией, LZ-89 (L-50) - сбит над Средиземным морем, LZ-101 (L-55) - сел на вынужденную в Германии (3481).</w:t>
      </w:r>
    </w:p>
    <w:p w14:paraId="403A828A" w14:textId="77777777" w:rsidR="006F7B4F" w:rsidRPr="002F2FDF" w:rsidRDefault="006F7B4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AEBAA2" w14:textId="77777777" w:rsidR="006F7B4F" w:rsidRPr="002F2FDF" w:rsidRDefault="006F7B4F"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7 (20) октября </w:t>
      </w:r>
      <w:r w:rsidRPr="002F2FDF">
        <w:rPr>
          <w:rFonts w:ascii="Times New Roman" w:hAnsi="Times New Roman" w:cs="Times New Roman"/>
          <w:color w:val="000000" w:themeColor="text1"/>
          <w:kern w:val="2"/>
          <w:sz w:val="16"/>
          <w:szCs w:val="16"/>
        </w:rPr>
        <w:t>в 1917 году германское морское воздухоплавательное подразделение несет саме тяжелые потери в течение одного дня. На базу не возвращаются пять цеппелинов: «LZ-85» («L-45») и «LZ-96» («L-49») совершили вынужденную посадку во Франции, «LZ-93» («L-44») сбит над Францией. «LZ-89» («L-50») погиб над Средиземным морем, а» LZ-101» («L-55») совершил вынужденную посадку в Германии. «LZ-50» («L-16») разбился днем раньше.</w:t>
      </w:r>
    </w:p>
    <w:p w14:paraId="0D3A8BCE" w14:textId="77777777" w:rsidR="006F7B4F" w:rsidRPr="002F2FDF" w:rsidRDefault="006F7B4F" w:rsidP="0083075A">
      <w:pPr>
        <w:spacing w:after="0" w:line="240" w:lineRule="auto"/>
        <w:jc w:val="both"/>
        <w:rPr>
          <w:rFonts w:ascii="Times New Roman" w:hAnsi="Times New Roman" w:cs="Times New Roman"/>
          <w:color w:val="000000" w:themeColor="text1"/>
          <w:kern w:val="2"/>
          <w:sz w:val="16"/>
          <w:szCs w:val="16"/>
        </w:rPr>
      </w:pPr>
    </w:p>
    <w:p w14:paraId="7B09AEED" w14:textId="77777777" w:rsidR="006F7B4F" w:rsidRPr="002F2FDF" w:rsidRDefault="006F7B4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D88A3AC" w14:textId="77777777" w:rsidR="006F7B4F" w:rsidRPr="002F2FDF" w:rsidRDefault="006F7B4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F8E044" w14:textId="77777777" w:rsidR="00836BBB" w:rsidRPr="00FB4F67" w:rsidRDefault="00836BB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октября 1917 г. военный приемщик, штабс-ка</w:t>
      </w:r>
      <w:r w:rsidRPr="00FB4F67">
        <w:rPr>
          <w:rFonts w:ascii="Times New Roman" w:hAnsi="Times New Roman" w:cs="Times New Roman"/>
          <w:color w:val="0070C0"/>
          <w:sz w:val="16"/>
          <w:szCs w:val="16"/>
        </w:rPr>
        <w:softHyphen/>
        <w:t>питан Быстрицкий, присутствующий при испытаниях триплана Безобразова 2 октября 1914 г., докладывал великому князю Александру Михайловичу:</w:t>
      </w:r>
    </w:p>
    <w:p w14:paraId="46C07E2C" w14:textId="77777777" w:rsidR="00836BBB" w:rsidRPr="00FB4F67" w:rsidRDefault="00836BB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«Полет, сделанный в присутствии мос</w:t>
      </w:r>
      <w:r w:rsidRPr="00FB4F67">
        <w:rPr>
          <w:rFonts w:ascii="Times New Roman" w:hAnsi="Times New Roman" w:cs="Times New Roman"/>
          <w:color w:val="0070C0"/>
          <w:sz w:val="16"/>
          <w:szCs w:val="16"/>
        </w:rPr>
        <w:softHyphen/>
        <w:t>ковского губернатора графа Муравьева, был произведен около недели назад в ча</w:t>
      </w:r>
      <w:r w:rsidRPr="00FB4F67">
        <w:rPr>
          <w:rFonts w:ascii="Times New Roman" w:hAnsi="Times New Roman" w:cs="Times New Roman"/>
          <w:color w:val="0070C0"/>
          <w:sz w:val="16"/>
          <w:szCs w:val="16"/>
        </w:rPr>
        <w:softHyphen/>
        <w:t>сы занятия школы (Московской школы авиации — М.М.), почему я и многие воен</w:t>
      </w:r>
      <w:r w:rsidRPr="00FB4F67">
        <w:rPr>
          <w:rFonts w:ascii="Times New Roman" w:hAnsi="Times New Roman" w:cs="Times New Roman"/>
          <w:color w:val="0070C0"/>
          <w:sz w:val="16"/>
          <w:szCs w:val="16"/>
        </w:rPr>
        <w:softHyphen/>
        <w:t>ные летчики наблюдали его.</w:t>
      </w:r>
    </w:p>
    <w:p w14:paraId="61B54648" w14:textId="77777777" w:rsidR="00836BBB" w:rsidRPr="00FB4F67" w:rsidRDefault="00836BB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Полет был совершен с общей полезной нагрузкой около 85 кг, продолжался 10 мин., разбег при взлете около 60—70 м. Пробег при спуске — около 70—80 м. Вы</w:t>
      </w:r>
      <w:r w:rsidRPr="00FB4F67">
        <w:rPr>
          <w:rFonts w:ascii="Times New Roman" w:hAnsi="Times New Roman" w:cs="Times New Roman"/>
          <w:color w:val="0070C0"/>
          <w:sz w:val="16"/>
          <w:szCs w:val="16"/>
        </w:rPr>
        <w:softHyphen/>
        <w:t>сота полета не превосходила 100 м. Ско</w:t>
      </w:r>
      <w:r w:rsidRPr="00FB4F67">
        <w:rPr>
          <w:rFonts w:ascii="Times New Roman" w:hAnsi="Times New Roman" w:cs="Times New Roman"/>
          <w:color w:val="0070C0"/>
          <w:sz w:val="16"/>
          <w:szCs w:val="16"/>
        </w:rPr>
        <w:softHyphen/>
        <w:t>рость около 100 км/час».</w:t>
      </w:r>
    </w:p>
    <w:p w14:paraId="0256325E" w14:textId="77777777" w:rsidR="00836BBB" w:rsidRPr="00FB4F67" w:rsidRDefault="00836BB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Летные и технические характеристики триплана Безобразова</w:t>
      </w:r>
    </w:p>
    <w:tbl>
      <w:tblPr>
        <w:tblOverlap w:val="never"/>
        <w:tblW w:w="0" w:type="auto"/>
        <w:tblLayout w:type="fixed"/>
        <w:tblCellMar>
          <w:left w:w="10" w:type="dxa"/>
          <w:right w:w="10" w:type="dxa"/>
        </w:tblCellMar>
        <w:tblLook w:val="0000" w:firstRow="0" w:lastRow="0" w:firstColumn="0" w:lastColumn="0" w:noHBand="0" w:noVBand="0"/>
      </w:tblPr>
      <w:tblGrid>
        <w:gridCol w:w="3125"/>
        <w:gridCol w:w="2597"/>
      </w:tblGrid>
      <w:tr w:rsidR="00836BBB" w:rsidRPr="00FB4F67" w14:paraId="79DF3C2D" w14:textId="77777777" w:rsidTr="00B85784">
        <w:trPr>
          <w:trHeight w:val="269"/>
        </w:trPr>
        <w:tc>
          <w:tcPr>
            <w:tcW w:w="3125" w:type="dxa"/>
            <w:tcBorders>
              <w:top w:val="single" w:sz="4" w:space="0" w:color="auto"/>
              <w:left w:val="single" w:sz="4" w:space="0" w:color="auto"/>
            </w:tcBorders>
            <w:shd w:val="clear" w:color="auto" w:fill="auto"/>
            <w:vAlign w:val="bottom"/>
          </w:tcPr>
          <w:p w14:paraId="3FD6FD71" w14:textId="77777777" w:rsidR="00836BBB" w:rsidRPr="00FB4F67" w:rsidRDefault="00836BB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Размах крыльев (м)</w:t>
            </w:r>
          </w:p>
        </w:tc>
        <w:tc>
          <w:tcPr>
            <w:tcW w:w="2597" w:type="dxa"/>
            <w:tcBorders>
              <w:top w:val="single" w:sz="4" w:space="0" w:color="auto"/>
              <w:right w:val="single" w:sz="4" w:space="0" w:color="auto"/>
            </w:tcBorders>
            <w:shd w:val="clear" w:color="auto" w:fill="auto"/>
            <w:vAlign w:val="bottom"/>
          </w:tcPr>
          <w:p w14:paraId="35C5A1DC" w14:textId="77777777" w:rsidR="00836BBB" w:rsidRPr="00FB4F67" w:rsidRDefault="00836BB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13,30</w:t>
            </w:r>
          </w:p>
        </w:tc>
      </w:tr>
      <w:tr w:rsidR="00836BBB" w:rsidRPr="00FB4F67" w14:paraId="09E32ADE" w14:textId="77777777" w:rsidTr="00B85784">
        <w:trPr>
          <w:trHeight w:val="187"/>
        </w:trPr>
        <w:tc>
          <w:tcPr>
            <w:tcW w:w="3125" w:type="dxa"/>
            <w:tcBorders>
              <w:left w:val="single" w:sz="4" w:space="0" w:color="auto"/>
            </w:tcBorders>
            <w:shd w:val="clear" w:color="auto" w:fill="auto"/>
            <w:vAlign w:val="bottom"/>
          </w:tcPr>
          <w:p w14:paraId="04148097" w14:textId="77777777" w:rsidR="00836BBB" w:rsidRPr="00FB4F67" w:rsidRDefault="00836BB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Длина в линии полета (м)</w:t>
            </w:r>
          </w:p>
        </w:tc>
        <w:tc>
          <w:tcPr>
            <w:tcW w:w="2597" w:type="dxa"/>
            <w:tcBorders>
              <w:right w:val="single" w:sz="4" w:space="0" w:color="auto"/>
            </w:tcBorders>
            <w:shd w:val="clear" w:color="auto" w:fill="auto"/>
            <w:vAlign w:val="bottom"/>
          </w:tcPr>
          <w:p w14:paraId="2195C63F" w14:textId="77777777" w:rsidR="00836BBB" w:rsidRPr="00FB4F67" w:rsidRDefault="00836BB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6,9 (8,0*)</w:t>
            </w:r>
          </w:p>
        </w:tc>
      </w:tr>
      <w:tr w:rsidR="00836BBB" w:rsidRPr="00FB4F67" w14:paraId="2316B1B9" w14:textId="77777777" w:rsidTr="00B85784">
        <w:trPr>
          <w:trHeight w:val="197"/>
        </w:trPr>
        <w:tc>
          <w:tcPr>
            <w:tcW w:w="3125" w:type="dxa"/>
            <w:tcBorders>
              <w:left w:val="single" w:sz="4" w:space="0" w:color="auto"/>
            </w:tcBorders>
            <w:shd w:val="clear" w:color="auto" w:fill="auto"/>
            <w:vAlign w:val="bottom"/>
          </w:tcPr>
          <w:p w14:paraId="6AF0412A" w14:textId="77777777" w:rsidR="00836BBB" w:rsidRPr="00FB4F67" w:rsidRDefault="00836BB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Площадь крыльев (м2)</w:t>
            </w:r>
          </w:p>
        </w:tc>
        <w:tc>
          <w:tcPr>
            <w:tcW w:w="2597" w:type="dxa"/>
            <w:tcBorders>
              <w:right w:val="single" w:sz="4" w:space="0" w:color="auto"/>
            </w:tcBorders>
            <w:shd w:val="clear" w:color="auto" w:fill="auto"/>
            <w:vAlign w:val="bottom"/>
          </w:tcPr>
          <w:p w14:paraId="1E00E325" w14:textId="77777777" w:rsidR="00836BBB" w:rsidRPr="00FB4F67" w:rsidRDefault="00836BB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около 20,0 (17,0*)</w:t>
            </w:r>
          </w:p>
        </w:tc>
      </w:tr>
      <w:tr w:rsidR="00836BBB" w:rsidRPr="00FB4F67" w14:paraId="7FBDD5D5" w14:textId="77777777" w:rsidTr="00B85784">
        <w:trPr>
          <w:trHeight w:val="197"/>
        </w:trPr>
        <w:tc>
          <w:tcPr>
            <w:tcW w:w="3125" w:type="dxa"/>
            <w:tcBorders>
              <w:left w:val="single" w:sz="4" w:space="0" w:color="auto"/>
            </w:tcBorders>
            <w:shd w:val="clear" w:color="auto" w:fill="auto"/>
          </w:tcPr>
          <w:p w14:paraId="38ACD149" w14:textId="77777777" w:rsidR="00836BBB" w:rsidRPr="00FB4F67" w:rsidRDefault="00836BB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Вес пустого (кг)</w:t>
            </w:r>
          </w:p>
        </w:tc>
        <w:tc>
          <w:tcPr>
            <w:tcW w:w="2597" w:type="dxa"/>
            <w:tcBorders>
              <w:right w:val="single" w:sz="4" w:space="0" w:color="auto"/>
            </w:tcBorders>
            <w:shd w:val="clear" w:color="auto" w:fill="auto"/>
          </w:tcPr>
          <w:p w14:paraId="58E5B782" w14:textId="77777777" w:rsidR="00836BBB" w:rsidRPr="00FB4F67" w:rsidRDefault="00836BB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388</w:t>
            </w:r>
          </w:p>
        </w:tc>
      </w:tr>
      <w:tr w:rsidR="00836BBB" w:rsidRPr="00FB4F67" w14:paraId="6769936A" w14:textId="77777777" w:rsidTr="00B85784">
        <w:trPr>
          <w:trHeight w:val="192"/>
        </w:trPr>
        <w:tc>
          <w:tcPr>
            <w:tcW w:w="3125" w:type="dxa"/>
            <w:tcBorders>
              <w:left w:val="single" w:sz="4" w:space="0" w:color="auto"/>
            </w:tcBorders>
            <w:shd w:val="clear" w:color="auto" w:fill="auto"/>
            <w:vAlign w:val="bottom"/>
          </w:tcPr>
          <w:p w14:paraId="30C143E4" w14:textId="77777777" w:rsidR="00836BBB" w:rsidRPr="00FB4F67" w:rsidRDefault="00836BB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Полетный вес (кг)</w:t>
            </w:r>
          </w:p>
        </w:tc>
        <w:tc>
          <w:tcPr>
            <w:tcW w:w="2597" w:type="dxa"/>
            <w:tcBorders>
              <w:right w:val="single" w:sz="4" w:space="0" w:color="auto"/>
            </w:tcBorders>
            <w:shd w:val="clear" w:color="auto" w:fill="auto"/>
            <w:vAlign w:val="bottom"/>
          </w:tcPr>
          <w:p w14:paraId="015650E2" w14:textId="77777777" w:rsidR="00836BBB" w:rsidRPr="00FB4F67" w:rsidRDefault="00836BB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547 (400*)</w:t>
            </w:r>
          </w:p>
        </w:tc>
      </w:tr>
      <w:tr w:rsidR="00836BBB" w:rsidRPr="00FB4F67" w14:paraId="10D59962" w14:textId="77777777" w:rsidTr="00B85784">
        <w:trPr>
          <w:trHeight w:val="202"/>
        </w:trPr>
        <w:tc>
          <w:tcPr>
            <w:tcW w:w="3125" w:type="dxa"/>
            <w:tcBorders>
              <w:left w:val="single" w:sz="4" w:space="0" w:color="auto"/>
            </w:tcBorders>
            <w:shd w:val="clear" w:color="auto" w:fill="auto"/>
          </w:tcPr>
          <w:p w14:paraId="584934E1" w14:textId="77777777" w:rsidR="00836BBB" w:rsidRPr="00FB4F67" w:rsidRDefault="00836BB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Скорость у земли (км/ч )</w:t>
            </w:r>
          </w:p>
        </w:tc>
        <w:tc>
          <w:tcPr>
            <w:tcW w:w="2597" w:type="dxa"/>
            <w:tcBorders>
              <w:right w:val="single" w:sz="4" w:space="0" w:color="auto"/>
            </w:tcBorders>
            <w:shd w:val="clear" w:color="auto" w:fill="auto"/>
          </w:tcPr>
          <w:p w14:paraId="0B7E8C36" w14:textId="77777777" w:rsidR="00836BBB" w:rsidRPr="00FB4F67" w:rsidRDefault="00836BB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100</w:t>
            </w:r>
          </w:p>
        </w:tc>
      </w:tr>
      <w:tr w:rsidR="00836BBB" w:rsidRPr="00FB4F67" w14:paraId="121EEA1E" w14:textId="77777777" w:rsidTr="00B85784">
        <w:trPr>
          <w:trHeight w:val="226"/>
        </w:trPr>
        <w:tc>
          <w:tcPr>
            <w:tcW w:w="3125" w:type="dxa"/>
            <w:tcBorders>
              <w:left w:val="single" w:sz="4" w:space="0" w:color="auto"/>
              <w:bottom w:val="single" w:sz="4" w:space="0" w:color="auto"/>
            </w:tcBorders>
            <w:shd w:val="clear" w:color="auto" w:fill="auto"/>
          </w:tcPr>
          <w:p w14:paraId="6D6A0D0E" w14:textId="77777777" w:rsidR="00836BBB" w:rsidRPr="00FB4F67" w:rsidRDefault="00836BB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Потолок (м)</w:t>
            </w:r>
          </w:p>
        </w:tc>
        <w:tc>
          <w:tcPr>
            <w:tcW w:w="2597" w:type="dxa"/>
            <w:tcBorders>
              <w:bottom w:val="single" w:sz="4" w:space="0" w:color="auto"/>
              <w:right w:val="single" w:sz="4" w:space="0" w:color="auto"/>
            </w:tcBorders>
            <w:shd w:val="clear" w:color="auto" w:fill="auto"/>
          </w:tcPr>
          <w:p w14:paraId="1883C4BB" w14:textId="77777777" w:rsidR="00836BBB" w:rsidRPr="00FB4F67" w:rsidRDefault="00836BB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2000</w:t>
            </w:r>
          </w:p>
        </w:tc>
      </w:tr>
    </w:tbl>
    <w:p w14:paraId="47082C82" w14:textId="77777777" w:rsidR="00836BBB" w:rsidRPr="00FB4F67" w:rsidRDefault="00836BB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(23374).</w:t>
      </w:r>
    </w:p>
    <w:p w14:paraId="1FA04621" w14:textId="77777777" w:rsidR="00836BBB" w:rsidRPr="00FB4F67" w:rsidRDefault="00836BBB" w:rsidP="0083075A">
      <w:pPr>
        <w:spacing w:after="0" w:line="240" w:lineRule="auto"/>
        <w:jc w:val="both"/>
        <w:rPr>
          <w:rFonts w:ascii="Times New Roman" w:hAnsi="Times New Roman" w:cs="Times New Roman"/>
          <w:color w:val="0070C0"/>
          <w:sz w:val="16"/>
          <w:szCs w:val="16"/>
        </w:rPr>
      </w:pPr>
    </w:p>
    <w:p w14:paraId="0F1BD3C3" w14:textId="77777777" w:rsidR="006F7B4F" w:rsidRPr="002F2FDF" w:rsidRDefault="006F7B4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3997A154" w14:textId="77777777" w:rsidR="006F7B4F" w:rsidRPr="002F2FDF" w:rsidRDefault="006F7B4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14EF6B" w14:textId="77777777" w:rsidR="006F7B4F" w:rsidRPr="002F2FDF" w:rsidRDefault="006F7B4F"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октября 1917 Г.Остапенко из Киева предложил ТК ГВТУ Шар-самокат - сухопутный броненосец (9527,290).</w:t>
      </w:r>
    </w:p>
    <w:p w14:paraId="03319A37" w14:textId="77777777" w:rsidR="006F7B4F" w:rsidRPr="002F2FDF" w:rsidRDefault="006F7B4F"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72C383" w14:textId="79035BAA" w:rsidR="00836BBB" w:rsidRDefault="00836BB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3FA89E5C" w14:textId="77777777" w:rsidR="00836BBB" w:rsidRDefault="00836BB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42CFF8ED" w14:textId="77777777" w:rsidR="00836BBB" w:rsidRPr="002F2FDF" w:rsidRDefault="00836BB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октября 1917 после захвата немцами Моонзунда вновь встал вопрос о базировании торпедоносцев, окончательно зашедший в тупик в конце месяца (11240).</w:t>
      </w:r>
    </w:p>
    <w:p w14:paraId="3F8D7D34" w14:textId="77777777" w:rsidR="00836BBB" w:rsidRPr="002F2FDF" w:rsidRDefault="00836BB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FC38D5" w14:textId="60C34E88"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B1D39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2CAEAA" w14:textId="77777777" w:rsidR="0046469F" w:rsidRPr="002F2FDF" w:rsidRDefault="0046469F" w:rsidP="0083075A">
      <w:pPr>
        <w:pStyle w:val="a3"/>
        <w:rPr>
          <w:color w:val="000000" w:themeColor="text1"/>
          <w:lang w:val="ru-RU"/>
        </w:rPr>
      </w:pPr>
      <w:r w:rsidRPr="002F2FDF">
        <w:rPr>
          <w:color w:val="000000" w:themeColor="text1"/>
          <w:lang w:val="ru-RU"/>
        </w:rPr>
        <w:t>В начале октября 1917 г. в обращении находилось "керенок" на 16 млрд руб. при золотом запасе на 1,3 млрд. Номинальный объем наличных денег в обращении при значительном сокращении товарной массы увеличился в 2,4 раза по сравнению с 1 марта того же года (18078).</w:t>
      </w:r>
    </w:p>
    <w:p w14:paraId="7C35B294" w14:textId="77777777" w:rsidR="0046469F" w:rsidRPr="002F2FDF" w:rsidRDefault="0046469F" w:rsidP="0083075A">
      <w:pPr>
        <w:pStyle w:val="a3"/>
        <w:rPr>
          <w:color w:val="000000" w:themeColor="text1"/>
          <w:lang w:val="ru-RU"/>
        </w:rPr>
      </w:pPr>
    </w:p>
    <w:p w14:paraId="0C0B8123" w14:textId="77777777" w:rsidR="00373D7A"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065CC58" w14:textId="77777777" w:rsidR="00373D7A" w:rsidRPr="002F2FDF" w:rsidRDefault="00373D7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5D2163"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8 (21) октября </w:t>
      </w:r>
      <w:r w:rsidRPr="002F2FDF">
        <w:rPr>
          <w:rFonts w:ascii="Times New Roman" w:hAnsi="Times New Roman" w:cs="Times New Roman"/>
          <w:color w:val="000000" w:themeColor="text1"/>
          <w:kern w:val="2"/>
          <w:sz w:val="16"/>
          <w:szCs w:val="16"/>
        </w:rPr>
        <w:t>в 1917 году переход Петроградского гарнизона на сторону ВРК (14806).</w:t>
      </w:r>
    </w:p>
    <w:p w14:paraId="2BD6AF81"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p>
    <w:p w14:paraId="6617A7DA"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8 (21) октября </w:t>
      </w:r>
      <w:r w:rsidRPr="002F2FDF">
        <w:rPr>
          <w:rFonts w:ascii="Times New Roman" w:hAnsi="Times New Roman" w:cs="Times New Roman"/>
          <w:color w:val="000000" w:themeColor="text1"/>
          <w:kern w:val="2"/>
          <w:sz w:val="16"/>
          <w:szCs w:val="16"/>
        </w:rPr>
        <w:t>в 1917 году вернувшийся из Финляндии в Россию В.И.Ленин публикует статью "Советы постороннего", в которой излагает программу вооруженного восстания (14806).</w:t>
      </w:r>
    </w:p>
    <w:p w14:paraId="348F34AE"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p>
    <w:p w14:paraId="74E4D2E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97C8E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66A0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октября 1917 войска США впервые попали на фронт (под французским командованием) (2100).</w:t>
      </w:r>
    </w:p>
    <w:p w14:paraId="1E252D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5AA76E" w14:textId="0B6B2142"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 xml:space="preserve">October </w:t>
      </w:r>
      <w:r w:rsidR="006F7B4F" w:rsidRPr="006F7B4F">
        <w:rPr>
          <w:rFonts w:ascii="Times New Roman" w:hAnsi="Times New Roman" w:cs="Times New Roman"/>
          <w:color w:val="000000" w:themeColor="text1"/>
          <w:kern w:val="2"/>
          <w:sz w:val="16"/>
          <w:szCs w:val="16"/>
          <w:lang w:val="en-US"/>
        </w:rPr>
        <w:t>8 (</w:t>
      </w:r>
      <w:r w:rsidRPr="002F2FDF">
        <w:rPr>
          <w:rFonts w:ascii="Times New Roman" w:hAnsi="Times New Roman" w:cs="Times New Roman"/>
          <w:color w:val="000000" w:themeColor="text1"/>
          <w:kern w:val="2"/>
          <w:sz w:val="16"/>
          <w:szCs w:val="16"/>
          <w:lang w:val="en-US"/>
        </w:rPr>
        <w:t>21</w:t>
      </w:r>
      <w:r w:rsidR="006F7B4F" w:rsidRPr="006F7B4F">
        <w:rPr>
          <w:rFonts w:ascii="Times New Roman" w:hAnsi="Times New Roman" w:cs="Times New Roman"/>
          <w:color w:val="000000" w:themeColor="text1"/>
          <w:kern w:val="2"/>
          <w:sz w:val="16"/>
          <w:szCs w:val="16"/>
          <w:lang w:val="en-US"/>
        </w:rPr>
        <w:t>)</w:t>
      </w:r>
      <w:r w:rsidRPr="002F2FDF">
        <w:rPr>
          <w:rFonts w:ascii="Times New Roman" w:hAnsi="Times New Roman" w:cs="Times New Roman"/>
          <w:color w:val="000000" w:themeColor="text1"/>
          <w:kern w:val="2"/>
          <w:sz w:val="16"/>
          <w:szCs w:val="16"/>
          <w:lang w:val="en-US"/>
        </w:rPr>
        <w:t>, 1917 The 12-cylinder Liberty engine was successfully flown for the first time in a Curtiss HS-1 flying boat at Buffalo, N.Y. This flight and other successful demonstrations led to the adoption of both the engine and the airplane as standard service types (1090).</w:t>
      </w:r>
    </w:p>
    <w:p w14:paraId="17D5E2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036E9D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октября 1917 в Буфф ало, Нью Йорк состоялись первые летные испытания 12-цилиндрового авиамотора Либерти на летающей лодке Curtiss HS-1. После данной демонстрации мотор и самолет были запущены в серийное производство как стандартные (1090).</w:t>
      </w:r>
    </w:p>
    <w:p w14:paraId="45A67C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0166B4" w14:textId="77777777" w:rsidR="00507A1A"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13CDC4D6" w14:textId="77777777" w:rsidR="00507A1A" w:rsidRPr="002F2FDF" w:rsidRDefault="00507A1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04F71E"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октября 1917 Почто-телеграмма председателя правительственного правления Путиловского завода ген. Н. Ф. Дроздова председателю Особого совещания по обороне об остановке большинства цехов завода вследствие отсутствия угля.</w:t>
      </w:r>
    </w:p>
    <w:p w14:paraId="51892EA3"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163-164</w:t>
      </w:r>
    </w:p>
    <w:p w14:paraId="16CEFCE8"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369, оп. 14, д. 15, лл. 114—115. Подлинник.</w:t>
      </w:r>
    </w:p>
    <w:p w14:paraId="1DC91405"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Правительственное правление сообщает, что на Путиловском заводе угля совершенно нет.</w:t>
      </w:r>
    </w:p>
    <w:p w14:paraId="4611BF16"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середины прошлой недели большая часть завода стоит; так, сегодня не работают следующие мастерские: новозакалочная, староотжигательная, кузница, литейная, мартеновская, старомеханическая, пулелитная. термическая, шрапнельно-термическая, тигельная, тигельно-кузнечная. фасонно-сталелитейная и шинопрокатная. Работают частью: пушечнозакалочная, новоотжигательная, кирпичная, паровозо-механическая. прессовая и электролитейная.</w:t>
      </w:r>
    </w:p>
    <w:p w14:paraId="31DC7C78"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изложенного Правительственное правление просит не отказать в содействии к предоставлению Путиловскому заводу угля.</w:t>
      </w:r>
    </w:p>
    <w:p w14:paraId="729FDA63"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Председатель Правительственного правления ген.-лейтенант Дроздов (15660).</w:t>
      </w:r>
    </w:p>
    <w:p w14:paraId="7989FD26"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p>
    <w:p w14:paraId="3DC19E4E" w14:textId="3E17B789"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9 (22) октября 1917 </w:t>
      </w:r>
      <w:r w:rsidR="006F7B4F">
        <w:rPr>
          <w:rFonts w:ascii="Times New Roman" w:hAnsi="Times New Roman" w:cs="Times New Roman"/>
          <w:color w:val="000000" w:themeColor="text1"/>
          <w:kern w:val="2"/>
          <w:sz w:val="16"/>
          <w:szCs w:val="16"/>
        </w:rPr>
        <w:t>вышло с</w:t>
      </w:r>
      <w:r w:rsidRPr="002F2FDF">
        <w:rPr>
          <w:rFonts w:ascii="Times New Roman" w:hAnsi="Times New Roman" w:cs="Times New Roman"/>
          <w:color w:val="000000" w:themeColor="text1"/>
          <w:kern w:val="2"/>
          <w:sz w:val="16"/>
          <w:szCs w:val="16"/>
        </w:rPr>
        <w:t>ообщение Донецкого металлического об-ва штампования в Главное военно-техническое управление о невыполнении сентябрьской программы прокатки железа.</w:t>
      </w:r>
    </w:p>
    <w:p w14:paraId="47E2E7C8"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132</w:t>
      </w:r>
    </w:p>
    <w:p w14:paraId="66E2CE80"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807, оп. 1, д. 113, л. 87. Подлинник.</w:t>
      </w:r>
    </w:p>
    <w:p w14:paraId="26190574"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Имеем честь сообщить, что ввиду неполучения топлива наш железопрокатный завод бездействовал в течение всего сентября месяца с. г., почему сентябрьская программа прокатки исполнена не была.</w:t>
      </w:r>
    </w:p>
    <w:p w14:paraId="28F2FDC5"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Управляющий конторой [подпись неразборчива].</w:t>
      </w:r>
    </w:p>
    <w:p w14:paraId="0CFE451D"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доверенности Донецкого металлического об-ва штампования (15676).</w:t>
      </w:r>
    </w:p>
    <w:p w14:paraId="11AE1526"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p>
    <w:p w14:paraId="5E6DFB5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C501C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6A3F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октября 1917 начались волнения в гарнизоне Петрограда в связи с приказом об отправке на фронт. Петросовет обвинил А.Керенского в подготовке к сдаче Петрограда немцам (3908,265).</w:t>
      </w:r>
    </w:p>
    <w:p w14:paraId="4F0DDD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F3939B" w14:textId="77777777" w:rsidR="000B53BF" w:rsidRPr="002F2FDF" w:rsidRDefault="000B53B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октября 1917 п Правые социалисты внесли в Петроградский совет предложение создать Комитет революционной обороны для защиты столицы. Раздать рабочим оружие? Конечно, большевики были "за" (12629).</w:t>
      </w:r>
    </w:p>
    <w:p w14:paraId="58727D52" w14:textId="77777777" w:rsidR="000B53BF" w:rsidRPr="002F2FDF" w:rsidRDefault="000B53B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3E8E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октября 1917 Б.Савинков был исключен из партии эсеров за причастность к корниловскому мятежу и сблизился с крайне правыми (в Предпарламент был избран от Кубанского округа - антибольшевистски настроенного казачества) (3908,265).</w:t>
      </w:r>
    </w:p>
    <w:p w14:paraId="69F64A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966939"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9 (22) октября </w:t>
      </w:r>
      <w:r w:rsidRPr="002F2FDF">
        <w:rPr>
          <w:rFonts w:ascii="Times New Roman" w:hAnsi="Times New Roman" w:cs="Times New Roman"/>
          <w:color w:val="000000" w:themeColor="text1"/>
          <w:kern w:val="2"/>
          <w:sz w:val="16"/>
          <w:szCs w:val="16"/>
        </w:rPr>
        <w:t>в 1917 году в России Съезд Советов принимает резолюцию, призывающую к заключению перемирия между воюющими сторонами (14807).</w:t>
      </w:r>
    </w:p>
    <w:p w14:paraId="2D4F886C"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p>
    <w:p w14:paraId="5F317378"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9 (22) октября </w:t>
      </w:r>
      <w:r w:rsidRPr="002F2FDF">
        <w:rPr>
          <w:rFonts w:ascii="Times New Roman" w:hAnsi="Times New Roman" w:cs="Times New Roman"/>
          <w:color w:val="000000" w:themeColor="text1"/>
          <w:kern w:val="2"/>
          <w:sz w:val="16"/>
          <w:szCs w:val="16"/>
        </w:rPr>
        <w:t>в 1917 году В.И.Ульянов (Ленин), замаскировавшись отправился из Финляндии в Петроград (14807).</w:t>
      </w:r>
    </w:p>
    <w:p w14:paraId="0727B371"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p>
    <w:p w14:paraId="191B984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2AE4F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2B30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октября 1917 морскому ведомству была сдана первая лл Энгельс III - морской истребитель Е.Р.Энгельса, которые фабрика Ф.Мельцеру выпускала с 24 августа 1917 согласно заказу на 60 машин от 27 апреля 1917. Работой руководил А.Ю.Виллиш, так как Е.Р.Энгельс разбился на этой машине 5 декабря 1916 (92,233).</w:t>
      </w:r>
    </w:p>
    <w:p w14:paraId="07DDF4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FD880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октября 1917 аэроплан Энгельс 3 был якобы принят флотом (автор не нашел подтверждения этой информации). Аппарат Э.1П №2 со</w:t>
      </w:r>
      <w:r w:rsidRPr="002F2FDF">
        <w:rPr>
          <w:rFonts w:ascii="Times New Roman" w:hAnsi="Times New Roman" w:cs="Times New Roman"/>
          <w:color w:val="000000" w:themeColor="text1"/>
          <w:kern w:val="2"/>
          <w:sz w:val="16"/>
          <w:szCs w:val="16"/>
        </w:rPr>
        <w:softHyphen/>
        <w:t>брали к 1 августа 1917 г., но затем планировалось вносить в него какие-то улучшения по результатам испытаний №1.</w:t>
      </w:r>
    </w:p>
    <w:p w14:paraId="6158EE8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C2A2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ок</w:t>
      </w:r>
      <w:r w:rsidRPr="002F2FDF">
        <w:rPr>
          <w:rFonts w:ascii="Times New Roman" w:hAnsi="Times New Roman" w:cs="Times New Roman"/>
          <w:color w:val="000000" w:themeColor="text1"/>
          <w:kern w:val="2"/>
          <w:sz w:val="16"/>
          <w:szCs w:val="16"/>
        </w:rPr>
        <w:softHyphen/>
        <w:t>тября 1917 г. первый самолет Энгельса был сдан морскому ведомству. Второй передан не вполне законченным и лишь в марте 1920 г. Военно-морс</w:t>
      </w:r>
      <w:r w:rsidRPr="002F2FDF">
        <w:rPr>
          <w:rFonts w:ascii="Times New Roman" w:hAnsi="Times New Roman" w:cs="Times New Roman"/>
          <w:color w:val="000000" w:themeColor="text1"/>
          <w:kern w:val="2"/>
          <w:sz w:val="16"/>
          <w:szCs w:val="16"/>
        </w:rPr>
        <w:softHyphen/>
        <w:t>кой школе авиации, эвакуирован</w:t>
      </w:r>
      <w:r w:rsidRPr="002F2FDF">
        <w:rPr>
          <w:rFonts w:ascii="Times New Roman" w:hAnsi="Times New Roman" w:cs="Times New Roman"/>
          <w:color w:val="000000" w:themeColor="text1"/>
          <w:kern w:val="2"/>
          <w:sz w:val="16"/>
          <w:szCs w:val="16"/>
        </w:rPr>
        <w:softHyphen/>
        <w:t>ной в Нижний Новгород; самолет был окончательно завершен и ис</w:t>
      </w:r>
      <w:r w:rsidRPr="002F2FDF">
        <w:rPr>
          <w:rFonts w:ascii="Times New Roman" w:hAnsi="Times New Roman" w:cs="Times New Roman"/>
          <w:color w:val="000000" w:themeColor="text1"/>
          <w:kern w:val="2"/>
          <w:sz w:val="16"/>
          <w:szCs w:val="16"/>
        </w:rPr>
        <w:softHyphen/>
        <w:t>пытан на лыжах. Осенью школа перебазировалась в другой город, где через год самолет, уже сомни</w:t>
      </w:r>
      <w:r w:rsidRPr="002F2FDF">
        <w:rPr>
          <w:rFonts w:ascii="Times New Roman" w:hAnsi="Times New Roman" w:cs="Times New Roman"/>
          <w:color w:val="000000" w:themeColor="text1"/>
          <w:kern w:val="2"/>
          <w:sz w:val="16"/>
          <w:szCs w:val="16"/>
        </w:rPr>
        <w:softHyphen/>
        <w:t>тельной сохранности испытан С. А. Кочеригиным. При попытке разбе</w:t>
      </w:r>
      <w:r w:rsidRPr="002F2FDF">
        <w:rPr>
          <w:rFonts w:ascii="Times New Roman" w:hAnsi="Times New Roman" w:cs="Times New Roman"/>
          <w:color w:val="000000" w:themeColor="text1"/>
          <w:kern w:val="2"/>
          <w:sz w:val="16"/>
          <w:szCs w:val="16"/>
        </w:rPr>
        <w:softHyphen/>
        <w:t>га отломались поплавки вместе с опущенными концами крыльев, са</w:t>
      </w:r>
      <w:r w:rsidRPr="002F2FDF">
        <w:rPr>
          <w:rFonts w:ascii="Times New Roman" w:hAnsi="Times New Roman" w:cs="Times New Roman"/>
          <w:color w:val="000000" w:themeColor="text1"/>
          <w:kern w:val="2"/>
          <w:sz w:val="16"/>
          <w:szCs w:val="16"/>
        </w:rPr>
        <w:softHyphen/>
        <w:t>молёт реконструировали, поставив поплавки от М-5 на стойках. При второй попытке произошел капот на разбеге, после чего самолет уже не восстанавливали (11872).</w:t>
      </w:r>
    </w:p>
    <w:p w14:paraId="64F062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C9EA33" w14:textId="3870EF7B" w:rsidR="0054283F" w:rsidRPr="00FB4F67" w:rsidRDefault="0054283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10 </w:t>
      </w:r>
      <w:r>
        <w:rPr>
          <w:rFonts w:ascii="Times New Roman" w:hAnsi="Times New Roman" w:cs="Times New Roman"/>
          <w:color w:val="0070C0"/>
          <w:sz w:val="16"/>
          <w:szCs w:val="16"/>
        </w:rPr>
        <w:t xml:space="preserve">(23) </w:t>
      </w:r>
      <w:r w:rsidRPr="00FB4F67">
        <w:rPr>
          <w:rFonts w:ascii="Times New Roman" w:hAnsi="Times New Roman" w:cs="Times New Roman"/>
          <w:color w:val="0070C0"/>
          <w:sz w:val="16"/>
          <w:szCs w:val="16"/>
        </w:rPr>
        <w:t>октя</w:t>
      </w:r>
      <w:r w:rsidRPr="00FB4F67">
        <w:rPr>
          <w:rFonts w:ascii="Times New Roman" w:hAnsi="Times New Roman" w:cs="Times New Roman"/>
          <w:color w:val="0070C0"/>
          <w:sz w:val="16"/>
          <w:szCs w:val="16"/>
        </w:rPr>
        <w:softHyphen/>
        <w:t>бря 1917 г. после уста</w:t>
      </w:r>
      <w:r w:rsidRPr="00FB4F67">
        <w:rPr>
          <w:rFonts w:ascii="Times New Roman" w:hAnsi="Times New Roman" w:cs="Times New Roman"/>
          <w:color w:val="0070C0"/>
          <w:sz w:val="16"/>
          <w:szCs w:val="16"/>
        </w:rPr>
        <w:softHyphen/>
        <w:t>новки свинцового противовеса в левом крыле, благодаря которому самолет удалось испытать, первый экземпляр «Энгельс-lll» сдали морскому ведомству. Дальнейшая судьба этого экземпляра не ясна.</w:t>
      </w:r>
    </w:p>
    <w:p w14:paraId="4D2A6145" w14:textId="77777777" w:rsidR="0054283F" w:rsidRPr="00FB4F67" w:rsidRDefault="0054283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Второй экземпляр «Энгельс-lll» в конце 1918 г. отправили в Петроградскую школу морской авиации, эвакуированную в Ниж</w:t>
      </w:r>
      <w:r w:rsidRPr="00FB4F67">
        <w:rPr>
          <w:rFonts w:ascii="Times New Roman" w:hAnsi="Times New Roman" w:cs="Times New Roman"/>
          <w:color w:val="0070C0"/>
          <w:sz w:val="16"/>
          <w:szCs w:val="16"/>
        </w:rPr>
        <w:softHyphen/>
        <w:t>ний Новгород. Интерес к самолету про</w:t>
      </w:r>
      <w:r w:rsidRPr="00FB4F67">
        <w:rPr>
          <w:rFonts w:ascii="Times New Roman" w:hAnsi="Times New Roman" w:cs="Times New Roman"/>
          <w:color w:val="0070C0"/>
          <w:sz w:val="16"/>
          <w:szCs w:val="16"/>
        </w:rPr>
        <w:softHyphen/>
        <w:t>явился лишь в 1920 г., когда школа вновь поменяла место дислокации и перебралась в Самару. Здесь, в 1921 г. состоялась бе</w:t>
      </w:r>
      <w:r w:rsidRPr="00FB4F67">
        <w:rPr>
          <w:rFonts w:ascii="Times New Roman" w:hAnsi="Times New Roman" w:cs="Times New Roman"/>
          <w:color w:val="0070C0"/>
          <w:sz w:val="16"/>
          <w:szCs w:val="16"/>
        </w:rPr>
        <w:softHyphen/>
        <w:t>зуспешная попытка взлета с воды, закон</w:t>
      </w:r>
      <w:r w:rsidRPr="00FB4F67">
        <w:rPr>
          <w:rFonts w:ascii="Times New Roman" w:hAnsi="Times New Roman" w:cs="Times New Roman"/>
          <w:color w:val="0070C0"/>
          <w:sz w:val="16"/>
          <w:szCs w:val="16"/>
        </w:rPr>
        <w:softHyphen/>
        <w:t>чившаяся повреждением законцовок кры</w:t>
      </w:r>
      <w:r w:rsidRPr="00FB4F67">
        <w:rPr>
          <w:rFonts w:ascii="Times New Roman" w:hAnsi="Times New Roman" w:cs="Times New Roman"/>
          <w:color w:val="0070C0"/>
          <w:sz w:val="16"/>
          <w:szCs w:val="16"/>
        </w:rPr>
        <w:softHyphen/>
        <w:t>ла. После ремонта на крыле установили боковые поплавки с самолета М-5 и вновь приступили к испытаниям. На взлете лета</w:t>
      </w:r>
      <w:r w:rsidRPr="00FB4F67">
        <w:rPr>
          <w:rFonts w:ascii="Times New Roman" w:hAnsi="Times New Roman" w:cs="Times New Roman"/>
          <w:color w:val="0070C0"/>
          <w:sz w:val="16"/>
          <w:szCs w:val="16"/>
        </w:rPr>
        <w:softHyphen/>
        <w:t>ющая лодка перевернулась и более не вос</w:t>
      </w:r>
      <w:r w:rsidRPr="00FB4F67">
        <w:rPr>
          <w:rFonts w:ascii="Times New Roman" w:hAnsi="Times New Roman" w:cs="Times New Roman"/>
          <w:color w:val="0070C0"/>
          <w:sz w:val="16"/>
          <w:szCs w:val="16"/>
        </w:rPr>
        <w:softHyphen/>
        <w:t>станавливалась (23374).</w:t>
      </w:r>
    </w:p>
    <w:p w14:paraId="6DE27D7D" w14:textId="77777777" w:rsidR="0054283F" w:rsidRPr="00FB4F67" w:rsidRDefault="0054283F" w:rsidP="0083075A">
      <w:pPr>
        <w:spacing w:after="0" w:line="240" w:lineRule="auto"/>
        <w:jc w:val="both"/>
        <w:rPr>
          <w:rFonts w:ascii="Times New Roman" w:hAnsi="Times New Roman" w:cs="Times New Roman"/>
          <w:color w:val="0070C0"/>
          <w:sz w:val="16"/>
          <w:szCs w:val="16"/>
        </w:rPr>
      </w:pPr>
    </w:p>
    <w:p w14:paraId="74F2D4D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октября 1917 состоялось 356-е по счету заседание членов Совещания по судостроению, на котором снова рассматривался “кризисный вопрос”. Центральные морские учреждения оказались неспособны</w:t>
      </w:r>
      <w:r w:rsidRPr="002F2FDF">
        <w:rPr>
          <w:rFonts w:ascii="Times New Roman" w:hAnsi="Times New Roman" w:cs="Times New Roman"/>
          <w:color w:val="000000" w:themeColor="text1"/>
          <w:kern w:val="2"/>
          <w:sz w:val="16"/>
          <w:szCs w:val="16"/>
        </w:rPr>
        <w:softHyphen/>
        <w:t>ми оказать требуемую помощь авиации Балтийского и Черно</w:t>
      </w:r>
      <w:r w:rsidRPr="002F2FDF">
        <w:rPr>
          <w:rFonts w:ascii="Times New Roman" w:hAnsi="Times New Roman" w:cs="Times New Roman"/>
          <w:color w:val="000000" w:themeColor="text1"/>
          <w:kern w:val="2"/>
          <w:sz w:val="16"/>
          <w:szCs w:val="16"/>
        </w:rPr>
        <w:softHyphen/>
        <w:t>морского флотов из-за отсутствия на аэропланных заводах моторов необходимых мощностей. В результате продолжительной дискуссии была одобрена ини</w:t>
      </w:r>
      <w:r w:rsidRPr="002F2FDF">
        <w:rPr>
          <w:rFonts w:ascii="Times New Roman" w:hAnsi="Times New Roman" w:cs="Times New Roman"/>
          <w:color w:val="000000" w:themeColor="text1"/>
          <w:kern w:val="2"/>
          <w:sz w:val="16"/>
          <w:szCs w:val="16"/>
        </w:rPr>
        <w:softHyphen/>
        <w:t>циатива, проявленная начальником Морского генерального штаба. Незадолго до того, с ведома министра, он обратился к французскому представителю при русской Ставке с официаль</w:t>
      </w:r>
      <w:r w:rsidRPr="002F2FDF">
        <w:rPr>
          <w:rFonts w:ascii="Times New Roman" w:hAnsi="Times New Roman" w:cs="Times New Roman"/>
          <w:color w:val="000000" w:themeColor="text1"/>
          <w:kern w:val="2"/>
          <w:sz w:val="16"/>
          <w:szCs w:val="16"/>
        </w:rPr>
        <w:softHyphen/>
        <w:t>ной просьбой об оказании помощи флотам путем срочной доставки 225 моторов “Рон”, 170 моторов “Рено” и 150 истре</w:t>
      </w:r>
      <w:r w:rsidRPr="002F2FDF">
        <w:rPr>
          <w:rFonts w:ascii="Times New Roman" w:hAnsi="Times New Roman" w:cs="Times New Roman"/>
          <w:color w:val="000000" w:themeColor="text1"/>
          <w:kern w:val="2"/>
          <w:sz w:val="16"/>
          <w:szCs w:val="16"/>
        </w:rPr>
        <w:softHyphen/>
        <w:t>бителей типа “Ньюпор”. Военное министерство Франции со</w:t>
      </w:r>
      <w:r w:rsidRPr="002F2FDF">
        <w:rPr>
          <w:rFonts w:ascii="Times New Roman" w:hAnsi="Times New Roman" w:cs="Times New Roman"/>
          <w:color w:val="000000" w:themeColor="text1"/>
          <w:kern w:val="2"/>
          <w:sz w:val="16"/>
          <w:szCs w:val="16"/>
        </w:rPr>
        <w:softHyphen/>
        <w:t>гласилось помочь Морскому министерству России на льгот</w:t>
      </w:r>
      <w:r w:rsidRPr="002F2FDF">
        <w:rPr>
          <w:rFonts w:ascii="Times New Roman" w:hAnsi="Times New Roman" w:cs="Times New Roman"/>
          <w:color w:val="000000" w:themeColor="text1"/>
          <w:kern w:val="2"/>
          <w:sz w:val="16"/>
          <w:szCs w:val="16"/>
        </w:rPr>
        <w:softHyphen/>
        <w:t>ных условиях за 39 миллионов франков или 14,7 миллиона рублей в золотой валюте. Но сделка запоздала (11283).</w:t>
      </w:r>
    </w:p>
    <w:p w14:paraId="22DB8E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1440A7" w14:textId="77777777" w:rsidR="00292519" w:rsidRPr="002F2FDF" w:rsidRDefault="002925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10 (23) октября 1917 г.</w:t>
      </w:r>
    </w:p>
    <w:p w14:paraId="76013243" w14:textId="77777777" w:rsidR="00292519" w:rsidRPr="002F2FDF" w:rsidRDefault="002925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Представление Управления военного воздушного флота Подготовительной комиссии по авиационным вопросам при Особом совещании по обороне о необходимости перехода от твердых цеп к текучим ценам при заключении контрактов на поставку авиационного имущества на первую половину 1918 г.</w:t>
      </w:r>
    </w:p>
    <w:p w14:paraId="26F22E40" w14:textId="77777777" w:rsidR="00292519" w:rsidRPr="002F2FDF" w:rsidRDefault="002925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10 октября 1917 г.</w:t>
      </w:r>
    </w:p>
    <w:p w14:paraId="33E5151B" w14:textId="77777777" w:rsidR="00292519" w:rsidRPr="002F2FDF" w:rsidRDefault="002925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Секретно</w:t>
      </w:r>
    </w:p>
    <w:p w14:paraId="76678E10" w14:textId="77777777" w:rsidR="00292519" w:rsidRPr="002F2FDF" w:rsidRDefault="002925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связи с предстоящим распределением между заводами заказов на аэропланы, авиационные двигатели и прочие предметы военного воздухоплавания Управлением военного воздушного флота были запрошены владельцы и представители заводов, работающих по заказам управления, о том количестве изделии, которое может быть ими исполнено в течение первой половины 1918 г., а равно о ценах на озпаченные изделия.</w:t>
      </w:r>
    </w:p>
    <w:p w14:paraId="7DC1F32B" w14:textId="77777777" w:rsidR="00292519" w:rsidRPr="002F2FDF" w:rsidRDefault="002925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Вопрос о размещении заказов препятствий в настоящее время не встречает. Предполагаемая производительность наших старых п вновь организуемых заводов дает таковым полную возможность принять исполнение всех заказов, предположенных управлением.</w:t>
      </w:r>
    </w:p>
    <w:p w14:paraId="149AC677" w14:textId="77777777" w:rsidR="00292519" w:rsidRPr="002F2FDF" w:rsidRDefault="002925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Что же касается вопроса о ценах на означенные изделия, то владельцы заводов в связи с событиями переживаемого времени категорически отказались указать твердые цены на первую половину 1918 г. и предложили принять заказы, исходя из себестоимости изделий и определенного процента чистой прибыли.</w:t>
      </w:r>
    </w:p>
    <w:p w14:paraId="10BC70DD" w14:textId="77777777" w:rsidR="00292519" w:rsidRPr="002F2FDF" w:rsidRDefault="002925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Управление военного воздушного флота, принимая во внимание создавшееся положение промышленного рынка, крайнюю неустойчивость цен на рабочие руки и на материалы, находит, что провести при сдаче заказов закрепление цен на изделия на девять месяцев вперед представляет значительные затруднения.</w:t>
      </w:r>
    </w:p>
    <w:p w14:paraId="28429984" w14:textId="77777777" w:rsidR="00292519" w:rsidRPr="002F2FDF" w:rsidRDefault="002925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Передача же заказов по себестоимости с назначением известного процента чистой прибыли является мерою нежелательной, так как это дало бы возможность предпринимателю широко использовать средства казны и мало заботиться о понижении стоимости изделий.</w:t>
      </w:r>
    </w:p>
    <w:p w14:paraId="1E081E85" w14:textId="77777777" w:rsidR="00292519" w:rsidRPr="002F2FDF" w:rsidRDefault="002925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Ввиду изложенного управление считает безусловно необходимым в отношении заказов, даваемых на срок первой половины 1917 г., установить текучие цены, т. е. такие цены, которые периодически менялись бы в зависимости от состояния трудового и материального рынка, причем пересмотр цен производился бы особой комиссией через каждые четыре месяца; новая цена должна быть обязательна для поставщика даже и в том случае, если она окажется ниже цены предыдущего периода. Оценочная комиссия должна быть составлена из представителей районного заводского совещания, местного общества фабрикантов и заводчиков, Увофлота и поставщиков в равном количестве представителей последних.</w:t>
      </w:r>
    </w:p>
    <w:p w14:paraId="38878552" w14:textId="77777777" w:rsidR="00292519" w:rsidRPr="002F2FDF" w:rsidRDefault="002925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Вместе с тем управление считает необходимым указать, что правила 6 июня и 28 августа с. г. об изменении условий заключенных контрактов являются недостаточными для разрешения означенного вопроса.</w:t>
      </w:r>
    </w:p>
    <w:p w14:paraId="42126CB0" w14:textId="77777777" w:rsidR="00292519" w:rsidRPr="002F2FDF" w:rsidRDefault="002925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Регулируя вопросы о повышении контрактных цен исключительно в интересах поставщика, означенные правила не предоставляют казне права возбуждать вопросы о понижении контрактных цен в связи с падением заработной платы и стоимости материалов. С другой стороны, устанавливая строго определенные условия повышения контрактных цен, означенные правила не представляют гарантии поставщику в том, что повышение цен последует в желательном для него размере.</w:t>
      </w:r>
    </w:p>
    <w:p w14:paraId="57E063DE" w14:textId="77777777" w:rsidR="00292519" w:rsidRPr="002F2FDF" w:rsidRDefault="002925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Таким образом, правила 6 нюня и 28 августа с. г. ни в какой мере не устраняют потребности в установлении проектируемых текучих цен на изделия.</w:t>
      </w:r>
    </w:p>
    <w:p w14:paraId="566423DF" w14:textId="77777777" w:rsidR="00292519" w:rsidRPr="002F2FDF" w:rsidRDefault="002925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 д. начальника Управления</w:t>
      </w:r>
    </w:p>
    <w:p w14:paraId="5AC11540" w14:textId="77777777" w:rsidR="00292519" w:rsidRPr="002F2FDF" w:rsidRDefault="002925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воепный инженер-генерал-майор Яковлев.</w:t>
      </w:r>
    </w:p>
    <w:p w14:paraId="3C592007" w14:textId="77777777" w:rsidR="00292519" w:rsidRPr="002F2FDF" w:rsidRDefault="002925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ЦГВИЛ</w:t>
      </w:r>
      <w:r w:rsidRPr="002F2FDF">
        <w:rPr>
          <w:rFonts w:ascii="Times New Roman" w:hAnsi="Times New Roman" w:cs="Times New Roman"/>
          <w:color w:val="000000" w:themeColor="text1"/>
          <w:sz w:val="16"/>
          <w:szCs w:val="16"/>
          <w:lang w:val="en-US"/>
        </w:rPr>
        <w:t xml:space="preserve">, </w:t>
      </w:r>
      <w:r w:rsidRPr="002F2FDF">
        <w:rPr>
          <w:rFonts w:ascii="Times New Roman" w:hAnsi="Times New Roman" w:cs="Times New Roman"/>
          <w:color w:val="000000" w:themeColor="text1"/>
          <w:sz w:val="16"/>
          <w:szCs w:val="16"/>
        </w:rPr>
        <w:t>ф</w:t>
      </w:r>
      <w:r w:rsidRPr="002F2FDF">
        <w:rPr>
          <w:rFonts w:ascii="Times New Roman" w:hAnsi="Times New Roman" w:cs="Times New Roman"/>
          <w:color w:val="000000" w:themeColor="text1"/>
          <w:sz w:val="16"/>
          <w:szCs w:val="16"/>
          <w:lang w:val="en-US"/>
        </w:rPr>
        <w:t xml:space="preserve">. 369, on. 8, </w:t>
      </w:r>
      <w:r w:rsidRPr="002F2FDF">
        <w:rPr>
          <w:rFonts w:ascii="Times New Roman" w:hAnsi="Times New Roman" w:cs="Times New Roman"/>
          <w:color w:val="000000" w:themeColor="text1"/>
          <w:sz w:val="16"/>
          <w:szCs w:val="16"/>
        </w:rPr>
        <w:t>д</w:t>
      </w:r>
      <w:r w:rsidRPr="002F2FDF">
        <w:rPr>
          <w:rFonts w:ascii="Times New Roman" w:hAnsi="Times New Roman" w:cs="Times New Roman"/>
          <w:color w:val="000000" w:themeColor="text1"/>
          <w:sz w:val="16"/>
          <w:szCs w:val="16"/>
          <w:lang w:val="en-US"/>
        </w:rPr>
        <w:t xml:space="preserve">. 43, </w:t>
      </w:r>
      <w:r w:rsidRPr="002F2FDF">
        <w:rPr>
          <w:rFonts w:ascii="Times New Roman" w:hAnsi="Times New Roman" w:cs="Times New Roman"/>
          <w:color w:val="000000" w:themeColor="text1"/>
          <w:sz w:val="16"/>
          <w:szCs w:val="16"/>
        </w:rPr>
        <w:t>лл</w:t>
      </w:r>
      <w:r w:rsidRPr="002F2FDF">
        <w:rPr>
          <w:rFonts w:ascii="Times New Roman" w:hAnsi="Times New Roman" w:cs="Times New Roman"/>
          <w:color w:val="000000" w:themeColor="text1"/>
          <w:sz w:val="16"/>
          <w:szCs w:val="16"/>
          <w:lang w:val="en-US"/>
        </w:rPr>
        <w:t xml:space="preserve">. 27—28. </w:t>
      </w:r>
      <w:r w:rsidRPr="002F2FDF">
        <w:rPr>
          <w:rFonts w:ascii="Times New Roman" w:hAnsi="Times New Roman" w:cs="Times New Roman"/>
          <w:color w:val="000000" w:themeColor="text1"/>
          <w:sz w:val="16"/>
          <w:szCs w:val="16"/>
        </w:rPr>
        <w:t>Подлинник (20642).</w:t>
      </w:r>
    </w:p>
    <w:p w14:paraId="422E75F9" w14:textId="77777777" w:rsidR="00292519" w:rsidRPr="002F2FDF" w:rsidRDefault="00292519" w:rsidP="0083075A">
      <w:pPr>
        <w:spacing w:after="0" w:line="240" w:lineRule="auto"/>
        <w:jc w:val="both"/>
        <w:rPr>
          <w:rFonts w:ascii="Times New Roman" w:hAnsi="Times New Roman" w:cs="Times New Roman"/>
          <w:color w:val="000000" w:themeColor="text1"/>
          <w:sz w:val="16"/>
          <w:szCs w:val="16"/>
        </w:rPr>
      </w:pPr>
    </w:p>
    <w:p w14:paraId="5BED00C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E4459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395A1F" w14:textId="705D0AC9" w:rsidR="00460F40" w:rsidRPr="002F2FDF" w:rsidRDefault="00460F40"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10 (23) октября</w:t>
      </w:r>
      <w:r w:rsidR="00E52569">
        <w:rPr>
          <w:color w:val="000000" w:themeColor="text1"/>
          <w:sz w:val="16"/>
          <w:szCs w:val="16"/>
        </w:rPr>
        <w:t xml:space="preserve"> </w:t>
      </w:r>
      <w:r w:rsidRPr="002F2FDF">
        <w:rPr>
          <w:color w:val="000000" w:themeColor="text1"/>
          <w:sz w:val="16"/>
          <w:szCs w:val="16"/>
        </w:rPr>
        <w:t>1917 на Богородском снаряжательном заводе Н.А.</w:t>
      </w:r>
      <w:r w:rsidR="00E52569">
        <w:rPr>
          <w:color w:val="000000" w:themeColor="text1"/>
          <w:sz w:val="16"/>
          <w:szCs w:val="16"/>
        </w:rPr>
        <w:t xml:space="preserve"> </w:t>
      </w:r>
      <w:r w:rsidRPr="002F2FDF">
        <w:rPr>
          <w:color w:val="000000" w:themeColor="text1"/>
          <w:sz w:val="16"/>
          <w:szCs w:val="16"/>
        </w:rPr>
        <w:t>Второва в Затишье избит и «</w:t>
      </w:r>
      <w:r w:rsidRPr="002F2FDF">
        <w:rPr>
          <w:rStyle w:val="af0"/>
          <w:i w:val="0"/>
          <w:color w:val="000000" w:themeColor="text1"/>
          <w:sz w:val="16"/>
          <w:szCs w:val="16"/>
        </w:rPr>
        <w:t>вывезен на вагонетке со словами</w:t>
      </w:r>
      <w:r w:rsidR="00E52569">
        <w:rPr>
          <w:color w:val="000000" w:themeColor="text1"/>
          <w:sz w:val="16"/>
          <w:szCs w:val="16"/>
        </w:rPr>
        <w:t xml:space="preserve"> </w:t>
      </w:r>
      <w:r w:rsidRPr="002F2FDF">
        <w:rPr>
          <w:color w:val="000000" w:themeColor="text1"/>
          <w:sz w:val="16"/>
          <w:szCs w:val="16"/>
        </w:rPr>
        <w:t>«</w:t>
      </w:r>
      <w:r w:rsidRPr="002F2FDF">
        <w:rPr>
          <w:rStyle w:val="af0"/>
          <w:i w:val="0"/>
          <w:color w:val="000000" w:themeColor="text1"/>
          <w:sz w:val="16"/>
          <w:szCs w:val="16"/>
        </w:rPr>
        <w:t>Улепетывай, пока цел</w:t>
      </w:r>
      <w:r w:rsidRPr="002F2FDF">
        <w:rPr>
          <w:color w:val="000000" w:themeColor="text1"/>
          <w:sz w:val="16"/>
          <w:szCs w:val="16"/>
        </w:rPr>
        <w:t>» заведующий 1-й снаряжательной мастерской подпоручик М.И.</w:t>
      </w:r>
      <w:r w:rsidR="00E52569">
        <w:rPr>
          <w:color w:val="000000" w:themeColor="text1"/>
          <w:sz w:val="16"/>
          <w:szCs w:val="16"/>
        </w:rPr>
        <w:t xml:space="preserve"> </w:t>
      </w:r>
      <w:r w:rsidRPr="002F2FDF">
        <w:rPr>
          <w:color w:val="000000" w:themeColor="text1"/>
          <w:sz w:val="16"/>
          <w:szCs w:val="16"/>
        </w:rPr>
        <w:t>Сладков. На завод выезжал помощник комиссара Е.А.</w:t>
      </w:r>
      <w:r w:rsidR="00E52569">
        <w:rPr>
          <w:color w:val="000000" w:themeColor="text1"/>
          <w:sz w:val="16"/>
          <w:szCs w:val="16"/>
        </w:rPr>
        <w:t xml:space="preserve"> </w:t>
      </w:r>
      <w:r w:rsidRPr="002F2FDF">
        <w:rPr>
          <w:color w:val="000000" w:themeColor="text1"/>
          <w:sz w:val="16"/>
          <w:szCs w:val="16"/>
        </w:rPr>
        <w:t>Литкенс (1888-1922) во главе комиссии «</w:t>
      </w:r>
      <w:r w:rsidRPr="002F2FDF">
        <w:rPr>
          <w:rStyle w:val="af0"/>
          <w:i w:val="0"/>
          <w:color w:val="000000" w:themeColor="text1"/>
          <w:sz w:val="16"/>
          <w:szCs w:val="16"/>
        </w:rPr>
        <w:t>из представителей общественных организаций</w:t>
      </w:r>
      <w:r w:rsidRPr="002F2FDF">
        <w:rPr>
          <w:color w:val="000000" w:themeColor="text1"/>
          <w:sz w:val="16"/>
          <w:szCs w:val="16"/>
        </w:rPr>
        <w:t>». В состав комиссии входили, среди прочих, уездный комиссар А.С.</w:t>
      </w:r>
      <w:r w:rsidR="00E52569">
        <w:rPr>
          <w:color w:val="000000" w:themeColor="text1"/>
          <w:sz w:val="16"/>
          <w:szCs w:val="16"/>
        </w:rPr>
        <w:t xml:space="preserve"> </w:t>
      </w:r>
      <w:r w:rsidRPr="002F2FDF">
        <w:rPr>
          <w:color w:val="000000" w:themeColor="text1"/>
          <w:sz w:val="16"/>
          <w:szCs w:val="16"/>
        </w:rPr>
        <w:t>Киселев, начальник гарнизона г. Богородска подполковник Орел, уполномоченный Главного Артиллерийского Управления подполковник артиллерии П.Д.</w:t>
      </w:r>
      <w:r w:rsidR="00E52569">
        <w:rPr>
          <w:color w:val="000000" w:themeColor="text1"/>
          <w:sz w:val="16"/>
          <w:szCs w:val="16"/>
        </w:rPr>
        <w:t xml:space="preserve"> </w:t>
      </w:r>
      <w:r w:rsidRPr="002F2FDF">
        <w:rPr>
          <w:color w:val="000000" w:themeColor="text1"/>
          <w:sz w:val="16"/>
          <w:szCs w:val="16"/>
        </w:rPr>
        <w:t>Ягелло (1868-1943), председатель Областного Богородского Совета Рабочих Депутатов И. Погодин. Губернский комиссар направил материалы дела прокурору московского окружного суда. К расследованию подключилось Управление Уполномоченного Главного Артиллерийского Управления «</w:t>
      </w:r>
      <w:r w:rsidRPr="002F2FDF">
        <w:rPr>
          <w:rStyle w:val="af0"/>
          <w:i w:val="0"/>
          <w:color w:val="000000" w:themeColor="text1"/>
          <w:sz w:val="16"/>
          <w:szCs w:val="16"/>
        </w:rPr>
        <w:t>по заготовлению снарядов по французскому образцу</w:t>
      </w:r>
      <w:r w:rsidRPr="002F2FDF">
        <w:rPr>
          <w:color w:val="000000" w:themeColor="text1"/>
          <w:sz w:val="16"/>
          <w:szCs w:val="16"/>
        </w:rPr>
        <w:t xml:space="preserve">». </w:t>
      </w:r>
      <w:r w:rsidRPr="002F2FDF">
        <w:rPr>
          <w:rStyle w:val="a7"/>
          <w:rFonts w:eastAsiaTheme="majorEastAsia"/>
          <w:b w:val="0"/>
          <w:color w:val="000000" w:themeColor="text1"/>
          <w:sz w:val="16"/>
          <w:szCs w:val="16"/>
        </w:rPr>
        <w:t>13 (26) октября</w:t>
      </w:r>
      <w:r w:rsidR="00E52569">
        <w:rPr>
          <w:rStyle w:val="a7"/>
          <w:rFonts w:eastAsiaTheme="majorEastAsia"/>
          <w:b w:val="0"/>
          <w:color w:val="000000" w:themeColor="text1"/>
          <w:sz w:val="16"/>
          <w:szCs w:val="16"/>
        </w:rPr>
        <w:t xml:space="preserve"> </w:t>
      </w:r>
      <w:r w:rsidRPr="002F2FDF">
        <w:rPr>
          <w:color w:val="000000" w:themeColor="text1"/>
          <w:sz w:val="16"/>
          <w:szCs w:val="16"/>
        </w:rPr>
        <w:t>– Арсений Иванович Морозов направил Губернскому комиссару заявление о готовящихся в Богородске 15-20 октября погромах. Распоряжением губернского комиссара в г. Богородск и на ст. Щелково направлено по взводу солдат - для предотвращения погромов. Из-за «</w:t>
      </w:r>
      <w:r w:rsidRPr="002F2FDF">
        <w:rPr>
          <w:rStyle w:val="af0"/>
          <w:i w:val="0"/>
          <w:color w:val="000000" w:themeColor="text1"/>
          <w:sz w:val="16"/>
          <w:szCs w:val="16"/>
        </w:rPr>
        <w:t>опасности создавшегося положения на заводе для работников завода и окрестного населения</w:t>
      </w:r>
      <w:r w:rsidRPr="002F2FDF">
        <w:rPr>
          <w:color w:val="000000" w:themeColor="text1"/>
          <w:sz w:val="16"/>
          <w:szCs w:val="16"/>
        </w:rPr>
        <w:t>», завод решено временно закрыть, локаут продлился до 25 октября. Комиссия решила, что одна из главных причин события в «</w:t>
      </w:r>
      <w:r w:rsidRPr="002F2FDF">
        <w:rPr>
          <w:rStyle w:val="af0"/>
          <w:i w:val="0"/>
          <w:color w:val="000000" w:themeColor="text1"/>
          <w:sz w:val="16"/>
          <w:szCs w:val="16"/>
        </w:rPr>
        <w:t>личном соревновании и борьбе за власть</w:t>
      </w:r>
      <w:r w:rsidRPr="002F2FDF">
        <w:rPr>
          <w:color w:val="000000" w:themeColor="text1"/>
          <w:sz w:val="16"/>
          <w:szCs w:val="16"/>
        </w:rPr>
        <w:t>» между бывшим председателем Завкома Хрониным и товарищем председателя Завкома Хрусталевым, что «</w:t>
      </w:r>
      <w:r w:rsidRPr="002F2FDF">
        <w:rPr>
          <w:rStyle w:val="af0"/>
          <w:i w:val="0"/>
          <w:color w:val="000000" w:themeColor="text1"/>
          <w:sz w:val="16"/>
          <w:szCs w:val="16"/>
        </w:rPr>
        <w:t>создало столь нервную и тяжелую атмосферу на заводе</w:t>
      </w:r>
      <w:r w:rsidRPr="002F2FDF">
        <w:rPr>
          <w:color w:val="000000" w:themeColor="text1"/>
          <w:sz w:val="16"/>
          <w:szCs w:val="16"/>
        </w:rPr>
        <w:t>». Комиссия постановила: «</w:t>
      </w:r>
      <w:r w:rsidRPr="002F2FDF">
        <w:rPr>
          <w:rStyle w:val="af0"/>
          <w:i w:val="0"/>
          <w:color w:val="000000" w:themeColor="text1"/>
          <w:sz w:val="16"/>
          <w:szCs w:val="16"/>
        </w:rPr>
        <w:t>немедленно удалить Хронина и Хрусталева с территории завода и с установлением нормальных отношений между служащими и рабочими завод может быть открыт для работ</w:t>
      </w:r>
      <w:r w:rsidRPr="002F2FDF">
        <w:rPr>
          <w:color w:val="000000" w:themeColor="text1"/>
          <w:sz w:val="16"/>
          <w:szCs w:val="16"/>
        </w:rPr>
        <w:t>». Погодин высказал свое мнение: «</w:t>
      </w:r>
      <w:r w:rsidRPr="002F2FDF">
        <w:rPr>
          <w:rStyle w:val="af0"/>
          <w:i w:val="0"/>
          <w:color w:val="000000" w:themeColor="text1"/>
          <w:sz w:val="16"/>
          <w:szCs w:val="16"/>
        </w:rPr>
        <w:t>Хронина надо удалить, но не могу сказать того же о Хрусталеве</w:t>
      </w:r>
      <w:r w:rsidRPr="002F2FDF">
        <w:rPr>
          <w:color w:val="000000" w:themeColor="text1"/>
          <w:sz w:val="16"/>
          <w:szCs w:val="16"/>
        </w:rPr>
        <w:t>». 16 октября А. Эйслер сообщил Прокурору об удалении с завода обоих. Позже А. Эйслер запретил Хронину «</w:t>
      </w:r>
      <w:r w:rsidRPr="002F2FDF">
        <w:rPr>
          <w:rStyle w:val="af0"/>
          <w:i w:val="0"/>
          <w:color w:val="000000" w:themeColor="text1"/>
          <w:sz w:val="16"/>
          <w:szCs w:val="16"/>
        </w:rPr>
        <w:t>проживание в Богородском уезде</w:t>
      </w:r>
      <w:r w:rsidRPr="002F2FDF">
        <w:rPr>
          <w:color w:val="000000" w:themeColor="text1"/>
          <w:sz w:val="16"/>
          <w:szCs w:val="16"/>
        </w:rPr>
        <w:t>» (18371).</w:t>
      </w:r>
    </w:p>
    <w:p w14:paraId="26430605" w14:textId="77777777" w:rsidR="00460F40" w:rsidRPr="002F2FDF" w:rsidRDefault="00460F40" w:rsidP="0083075A">
      <w:pPr>
        <w:pStyle w:val="ae"/>
        <w:spacing w:before="0" w:after="0"/>
        <w:jc w:val="both"/>
        <w:rPr>
          <w:rStyle w:val="a7"/>
          <w:rFonts w:eastAsiaTheme="majorEastAsia"/>
          <w:b w:val="0"/>
          <w:color w:val="000000" w:themeColor="text1"/>
          <w:sz w:val="16"/>
          <w:szCs w:val="16"/>
        </w:rPr>
      </w:pPr>
    </w:p>
    <w:p w14:paraId="744AAE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 </w:t>
      </w:r>
      <w:r w:rsidR="001157F8" w:rsidRPr="002F2FDF">
        <w:rPr>
          <w:rFonts w:ascii="Times New Roman" w:hAnsi="Times New Roman" w:cs="Times New Roman"/>
          <w:color w:val="000000" w:themeColor="text1"/>
          <w:kern w:val="2"/>
          <w:sz w:val="16"/>
          <w:szCs w:val="16"/>
        </w:rPr>
        <w:t xml:space="preserve">(23) </w:t>
      </w:r>
      <w:r w:rsidRPr="002F2FDF">
        <w:rPr>
          <w:rFonts w:ascii="Times New Roman" w:hAnsi="Times New Roman" w:cs="Times New Roman"/>
          <w:color w:val="000000" w:themeColor="text1"/>
          <w:kern w:val="2"/>
          <w:sz w:val="16"/>
          <w:szCs w:val="16"/>
        </w:rPr>
        <w:t>октября 1917 г. Особое совещание по обороне по докладу Маниковского постановило “приступить безотлагательно” к вывозу из Петрограда военных предприятий; начальник ГАУ ген. В.А. Лехович 12 октября распорядился объявить начальникам заводов это постановление и “срочно провести эвакуацию казенных заводов”. Одним из пунктов постановления Особого совещания по обороне предполагалась “разработка плана эвакуации” (РГВИА. Ф. 504. Оп. 6. Д. 205. Л. 415). Начала проводиться эвакуации некоторых предприятий Петрограда (Петроградский орудийный завод: 17 октября 1917 г. — РГВИА. Ф. 29. Оп. 3. Д. 1023. Л. 104; Оптическая мастерская Обуховского — на Царицынский завод: ЖОСО № 191, 6 сентября 1917 г.) (11329).</w:t>
      </w:r>
    </w:p>
    <w:p w14:paraId="701475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DF5CAA"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октября 1917 Сообщение уполномоченного по снабжению металлами на Юге России полк. А. В. Панкина Особому совещанию по обороне об остановках доменных и мартеновских печей на металлургических заводах Юга России вследствие неполучения топлива.</w:t>
      </w:r>
    </w:p>
    <w:p w14:paraId="22F2DD92"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139-140</w:t>
      </w:r>
    </w:p>
    <w:p w14:paraId="5A2AEE86"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369, оп. 14, д. 14, лл. 281, 282. Копия.</w:t>
      </w:r>
    </w:p>
    <w:p w14:paraId="3C0D6545"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этого месяца наблюдается значительное количество эпизодических остановок доменных и мартеновских печей на металлургических заводах вследствие неполучения топлива.</w:t>
      </w:r>
    </w:p>
    <w:p w14:paraId="68F2D2B1"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получаемые на местах, говорят о самовольной реквизиции угля железнодорожными агентами вплоть до начальников станций. Котя эти сведения не могу подтвердить документально,</w:t>
      </w:r>
      <w:hyperlink r:id="rId598" w:anchor="_ftn1" w:history="1">
        <w:r w:rsidRPr="002F2FDF">
          <w:rPr>
            <w:rFonts w:ascii="Times New Roman" w:hAnsi="Times New Roman" w:cs="Times New Roman"/>
            <w:color w:val="000000" w:themeColor="text1"/>
            <w:kern w:val="2"/>
            <w:sz w:val="16"/>
            <w:szCs w:val="16"/>
          </w:rPr>
          <w:t>[1]</w:t>
        </w:r>
      </w:hyperlink>
      <w:r w:rsidRPr="002F2FDF">
        <w:rPr>
          <w:rFonts w:ascii="Times New Roman" w:hAnsi="Times New Roman" w:cs="Times New Roman"/>
          <w:color w:val="000000" w:themeColor="text1"/>
          <w:kern w:val="2"/>
          <w:sz w:val="16"/>
          <w:szCs w:val="16"/>
        </w:rPr>
        <w:t xml:space="preserve"> но об этом заявляют мне часто представители металлургических заводов.</w:t>
      </w:r>
    </w:p>
    <w:p w14:paraId="4689CD35"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своей стороны я обратился в порайонный комитет с просьбой об устранении и предотвращении этих явлений.</w:t>
      </w:r>
    </w:p>
    <w:p w14:paraId="2F923C3A"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Препровождаю при сем подробную ведомость остановок доменных п мартеновских печей.</w:t>
      </w:r>
    </w:p>
    <w:p w14:paraId="181D4BF9"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Уважающий Вас и преданный А. Панкин.</w:t>
      </w:r>
    </w:p>
    <w:p w14:paraId="36F84D33"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ВЕДОМОСТЬ ОСТАНОВОК ДОМЕННЫХ И МАРТЕНОВСКИХ ПЕЧЕЙ НА ЮГЕ РОССИИ</w:t>
      </w:r>
    </w:p>
    <w:p w14:paraId="6EB66AC7"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Брянский завод. Работает 3 доменных печи (плохой кокс); работает 5 мартеновских печей; мартеновская печь № 2 остановлена 1 октября для ремонта; проволочный привод остановлен 19 октября на неделю вследствие ремонта печи.</w:t>
      </w:r>
    </w:p>
    <w:p w14:paraId="672B388C"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Днепровский завод. Работает 2 доменных печи; печь № 2 остановлена 18 октября, печь № 5 остановлена 19 октября, вследствие реквизиции угля и кокса. Вследствие недостатка угля остановлены проволочные, прокатные и кузнечные отделения. Проволочное отделение предполагалось пустить 16 октября. Телеграммой [от] 17 октября инж. Дунаев уведомил, что прокатные отделения работают: проволочный мелкосортный, среднесортный, рельсобалочный станы. 17 октября предположено пустить бандажное и осевое и листопрокатное отделения.</w:t>
      </w:r>
    </w:p>
    <w:p w14:paraId="00252E34"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Донецко-Юрьевский завод. Работает 2 доменных печи (поступлений газового и коксового угля нет).</w:t>
      </w:r>
    </w:p>
    <w:p w14:paraId="2D6A1E1D"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Дружковоки й [завод]. Работает 1 доменная печь. Печь № 2 остановлена 4 октября для ремонта. 20 октября остановлен коксовый, бессемеровский, прокатный, штамповка стаканов вследствие недостатка угля.</w:t>
      </w:r>
    </w:p>
    <w:p w14:paraId="5B12123B"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Новороссийский [завод]. Работает 3 доменных печи. Домна № 1 закончена постройкой, но не может быть пущена в ход по недостатку кокса. Старомартеновская № 1 остановлена 10 октября, старомартеиовская № 6 остановлена 4 октября для ремонта, старомартеновская № 5 остановлена 17 октября для ремонта, новомартеновская № 3 остановлена 20 октября для ремонта, новомартеновская № 2 пущена в ход 22 октября.</w:t>
      </w:r>
    </w:p>
    <w:p w14:paraId="5F524589"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«Русский Провиданс». Работает 2 доменных печи. 10 октября остановлен, листопрокатный стан на неделю для ремонта паровой машины. 10 октября остановлена 1 мартеновская печь.</w:t>
      </w:r>
    </w:p>
    <w:p w14:paraId="72428C62"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Никополь-Мариупольский [завод]. Существует 2 доменных печи. 27 октября остановлен завод из-за недостатка топлива. 8 октября пущена в ход одна мартеновская печь № 8, 11 октября пущен в ход железопрокатный цех.</w:t>
      </w:r>
    </w:p>
    <w:p w14:paraId="7E106FDA"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Гартмана. Завод остановлен 10 октября по недостатку газовых углей. Остановлена электрическая станция.</w:t>
      </w:r>
    </w:p>
    <w:p w14:paraId="579FFFE5"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 стан тиновекий [завод]. 10 октября остановлена 1 доменная печь для капитального ремонта, который продлится 3 месяца. Работает 2 мартеновских печи. (№ 2 и № 4). Мартеновская печь № 5 остановлена 9 октября.</w:t>
      </w:r>
    </w:p>
    <w:p w14:paraId="3028DE37"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Шодуара. Работает 1 доменная печь. Мартеновская печь № 5 остановлена 4 октября по недостатку угля. Весь цех был остановлен 6 октября; 12 октября пущены 2 печи (№ 2 и № 4). 16 октября листопрокатный цех завода В не работал, 17 и 18 октября не работал болваночный цех вследствие ремонта. 19 октября работы во всех цехах завода Б остановлены по недостатку...</w:t>
      </w:r>
      <w:hyperlink r:id="rId599" w:anchor="_ftn2" w:history="1">
        <w:r w:rsidRPr="002F2FDF">
          <w:rPr>
            <w:rFonts w:ascii="Times New Roman" w:hAnsi="Times New Roman" w:cs="Times New Roman"/>
            <w:color w:val="000000" w:themeColor="text1"/>
            <w:kern w:val="2"/>
            <w:sz w:val="16"/>
            <w:szCs w:val="16"/>
          </w:rPr>
          <w:t>[2]</w:t>
        </w:r>
      </w:hyperlink>
      <w:r w:rsidRPr="002F2FDF">
        <w:rPr>
          <w:rFonts w:ascii="Times New Roman" w:hAnsi="Times New Roman" w:cs="Times New Roman"/>
          <w:color w:val="000000" w:themeColor="text1"/>
          <w:kern w:val="2"/>
          <w:sz w:val="16"/>
          <w:szCs w:val="16"/>
        </w:rPr>
        <w:t xml:space="preserve"> (кроме холодной прокатки). Вследствие прибытия небольшой партии...</w:t>
      </w:r>
      <w:hyperlink r:id="rId600" w:anchor="_ftn3" w:history="1">
        <w:r w:rsidRPr="002F2FDF">
          <w:rPr>
            <w:rFonts w:ascii="Times New Roman" w:hAnsi="Times New Roman" w:cs="Times New Roman"/>
            <w:color w:val="000000" w:themeColor="text1"/>
            <w:kern w:val="2"/>
            <w:sz w:val="16"/>
            <w:szCs w:val="16"/>
          </w:rPr>
          <w:t>[3]</w:t>
        </w:r>
      </w:hyperlink>
      <w:r w:rsidRPr="002F2FDF">
        <w:rPr>
          <w:rFonts w:ascii="Times New Roman" w:hAnsi="Times New Roman" w:cs="Times New Roman"/>
          <w:color w:val="000000" w:themeColor="text1"/>
          <w:kern w:val="2"/>
          <w:sz w:val="16"/>
          <w:szCs w:val="16"/>
        </w:rPr>
        <w:t xml:space="preserve"> возобновлены работы в снарядном и лопаточном цехах, а также частично в обжигательном цехе.</w:t>
      </w:r>
    </w:p>
    <w:p w14:paraId="2AE1BEA5"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Об-во штампования. Мартеновский цех остановлен с 6 сентября по недостатку топлива. Прокатка происходит с 10 октября. Завод не работает с 1 сентября но 10 октября.</w:t>
      </w:r>
    </w:p>
    <w:p w14:paraId="315B918A"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Кадиевский [завод]. Работает 2 доменных печи.</w:t>
      </w:r>
    </w:p>
    <w:p w14:paraId="20EB2D8E"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Ольховский [завод]. Работает 1 доменная печь.</w:t>
      </w:r>
    </w:p>
    <w:p w14:paraId="793F72EE"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Гданцевский [завод]. Работает 2 доменных печп.</w:t>
      </w:r>
    </w:p>
    <w:p w14:paraId="12290635"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Краматорский [завод]. Вследствие неполучения кокса и руды 15 октября остановлена одна доменная печь; холодная завалка печей мартенов; содержание марганца очень низкое.</w:t>
      </w:r>
    </w:p>
    <w:p w14:paraId="4ADFC88A"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Таганрогский [завод]. Работает 1 доменная печь. Недостаток руды и топлива. Вследствие недостаточной подачи кокса выдута домна № 3.</w:t>
      </w:r>
    </w:p>
    <w:p w14:paraId="061D3333"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Макеевский [завод]. Мартеновская печь № 1 была остановлена для ремонта. 11 октября вследствие забастовки остановлены доменная и мартеновская лечи.</w:t>
      </w:r>
    </w:p>
    <w:p w14:paraId="2941CF92"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Сулинский [завод]. Работают 1 доменная печь и 5 мартеновских печей.</w:t>
      </w:r>
    </w:p>
    <w:p w14:paraId="5CC4D5AD"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Царицынский [завод]. Работают 4 больших и 2 малых мартеновских печи.</w:t>
      </w:r>
    </w:p>
    <w:p w14:paraId="06462C30"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Керченский [завод]. Завод остановлен 10 июля 1917 г.</w:t>
      </w:r>
    </w:p>
    <w:p w14:paraId="4D19D4D9" w14:textId="77777777" w:rsidR="00507A1A"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601" w:anchor="_ftnref1" w:history="1">
        <w:r w:rsidR="00507A1A" w:rsidRPr="002F2FDF">
          <w:rPr>
            <w:rFonts w:ascii="Times New Roman" w:hAnsi="Times New Roman" w:cs="Times New Roman"/>
            <w:color w:val="000000" w:themeColor="text1"/>
            <w:kern w:val="2"/>
            <w:sz w:val="16"/>
            <w:szCs w:val="16"/>
          </w:rPr>
          <w:t>[1]</w:t>
        </w:r>
      </w:hyperlink>
      <w:r w:rsidR="00507A1A" w:rsidRPr="002F2FDF">
        <w:rPr>
          <w:rFonts w:ascii="Times New Roman" w:hAnsi="Times New Roman" w:cs="Times New Roman"/>
          <w:color w:val="000000" w:themeColor="text1"/>
          <w:kern w:val="2"/>
          <w:sz w:val="16"/>
          <w:szCs w:val="16"/>
        </w:rPr>
        <w:t xml:space="preserve"> В настоящее время это официально подтверждено Уполобороной. А. Панкин. (Прим . док.).</w:t>
      </w:r>
    </w:p>
    <w:p w14:paraId="73077780" w14:textId="77777777" w:rsidR="00507A1A"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602" w:anchor="_ftnref2" w:history="1">
        <w:r w:rsidR="00507A1A" w:rsidRPr="002F2FDF">
          <w:rPr>
            <w:rFonts w:ascii="Times New Roman" w:hAnsi="Times New Roman" w:cs="Times New Roman"/>
            <w:color w:val="000000" w:themeColor="text1"/>
            <w:kern w:val="2"/>
            <w:sz w:val="16"/>
            <w:szCs w:val="16"/>
          </w:rPr>
          <w:t>[2]</w:t>
        </w:r>
      </w:hyperlink>
      <w:r w:rsidR="00507A1A" w:rsidRPr="002F2FDF">
        <w:rPr>
          <w:rFonts w:ascii="Times New Roman" w:hAnsi="Times New Roman" w:cs="Times New Roman"/>
          <w:color w:val="000000" w:themeColor="text1"/>
          <w:kern w:val="2"/>
          <w:sz w:val="16"/>
          <w:szCs w:val="16"/>
        </w:rPr>
        <w:t xml:space="preserve"> Пропуск в тексте.</w:t>
      </w:r>
    </w:p>
    <w:p w14:paraId="00804E35" w14:textId="77777777" w:rsidR="00507A1A"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603" w:anchor="_ftnref3" w:history="1">
        <w:r w:rsidR="00507A1A" w:rsidRPr="002F2FDF">
          <w:rPr>
            <w:rFonts w:ascii="Times New Roman" w:hAnsi="Times New Roman" w:cs="Times New Roman"/>
            <w:color w:val="000000" w:themeColor="text1"/>
            <w:kern w:val="2"/>
            <w:sz w:val="16"/>
            <w:szCs w:val="16"/>
          </w:rPr>
          <w:t>[3]</w:t>
        </w:r>
      </w:hyperlink>
      <w:r w:rsidR="00507A1A" w:rsidRPr="002F2FDF">
        <w:rPr>
          <w:rFonts w:ascii="Times New Roman" w:hAnsi="Times New Roman" w:cs="Times New Roman"/>
          <w:color w:val="000000" w:themeColor="text1"/>
          <w:kern w:val="2"/>
          <w:sz w:val="16"/>
          <w:szCs w:val="16"/>
        </w:rPr>
        <w:t xml:space="preserve"> Пропуск в тексте (15672).</w:t>
      </w:r>
    </w:p>
    <w:p w14:paraId="5544FF86"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p>
    <w:p w14:paraId="530BA15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038FD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5512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октября 1917 в управ</w:t>
      </w:r>
      <w:r w:rsidRPr="002F2FDF">
        <w:rPr>
          <w:rFonts w:ascii="Times New Roman" w:hAnsi="Times New Roman" w:cs="Times New Roman"/>
          <w:color w:val="000000" w:themeColor="text1"/>
          <w:kern w:val="2"/>
          <w:sz w:val="16"/>
          <w:szCs w:val="16"/>
        </w:rPr>
        <w:softHyphen/>
        <w:t>ление 1БАГ пришел приказ по Ар</w:t>
      </w:r>
      <w:r w:rsidRPr="002F2FDF">
        <w:rPr>
          <w:rFonts w:ascii="Times New Roman" w:hAnsi="Times New Roman" w:cs="Times New Roman"/>
          <w:color w:val="000000" w:themeColor="text1"/>
          <w:kern w:val="2"/>
          <w:sz w:val="16"/>
          <w:szCs w:val="16"/>
        </w:rPr>
        <w:softHyphen/>
        <w:t>мии и Флоту от 8.09.17 о производст</w:t>
      </w:r>
      <w:r w:rsidRPr="002F2FDF">
        <w:rPr>
          <w:rFonts w:ascii="Times New Roman" w:hAnsi="Times New Roman" w:cs="Times New Roman"/>
          <w:color w:val="000000" w:themeColor="text1"/>
          <w:kern w:val="2"/>
          <w:sz w:val="16"/>
          <w:szCs w:val="16"/>
        </w:rPr>
        <w:softHyphen/>
        <w:t>ве Казакова в чин подполковника (3954).</w:t>
      </w:r>
    </w:p>
    <w:p w14:paraId="4BB15F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42F0FD" w14:textId="7081D5C1" w:rsidR="000551B1" w:rsidRPr="00FB4F67" w:rsidRDefault="000551B1" w:rsidP="0083075A">
      <w:pPr>
        <w:spacing w:after="0" w:line="240" w:lineRule="auto"/>
        <w:jc w:val="both"/>
        <w:rPr>
          <w:rFonts w:ascii="Times New Roman" w:hAnsi="Times New Roman" w:cs="Times New Roman"/>
          <w:color w:val="0070C0"/>
          <w:sz w:val="16"/>
          <w:szCs w:val="16"/>
        </w:rPr>
      </w:pPr>
      <w:bookmarkStart w:id="376" w:name="bookmark1011"/>
      <w:r>
        <w:rPr>
          <w:rFonts w:ascii="Times New Roman" w:hAnsi="Times New Roman" w:cs="Times New Roman"/>
          <w:color w:val="0070C0"/>
          <w:sz w:val="16"/>
          <w:szCs w:val="16"/>
        </w:rPr>
        <w:t>10 (</w:t>
      </w:r>
      <w:r w:rsidRPr="00FB4F67">
        <w:rPr>
          <w:rFonts w:ascii="Times New Roman" w:hAnsi="Times New Roman" w:cs="Times New Roman"/>
          <w:color w:val="0070C0"/>
          <w:sz w:val="16"/>
          <w:szCs w:val="16"/>
        </w:rPr>
        <w:t>23</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 ни одного из 50 анадв, а три из 40 кодронов (23525)..</w:t>
      </w:r>
    </w:p>
    <w:p w14:paraId="0D241D1D" w14:textId="77777777" w:rsidR="000551B1" w:rsidRPr="00FB4F67" w:rsidRDefault="000551B1" w:rsidP="0083075A">
      <w:pPr>
        <w:spacing w:after="0" w:line="240" w:lineRule="auto"/>
        <w:jc w:val="both"/>
        <w:rPr>
          <w:rFonts w:ascii="Times New Roman" w:hAnsi="Times New Roman" w:cs="Times New Roman"/>
          <w:color w:val="0070C0"/>
          <w:sz w:val="16"/>
          <w:szCs w:val="16"/>
        </w:rPr>
      </w:pPr>
    </w:p>
    <w:p w14:paraId="2062582C" w14:textId="3D88909F" w:rsidR="000551B1" w:rsidRPr="00FB4F67" w:rsidRDefault="000551B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10 (</w:t>
      </w:r>
      <w:r w:rsidRPr="00FB4F67">
        <w:rPr>
          <w:rFonts w:ascii="Times New Roman" w:hAnsi="Times New Roman" w:cs="Times New Roman"/>
          <w:color w:val="0070C0"/>
          <w:sz w:val="16"/>
          <w:szCs w:val="16"/>
        </w:rPr>
        <w:t>23</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на Збаржском направлении были зафиксированы разведывательные полеты шести неприятельских самолетов. По оценке наших наблюдателей, «противник держался очень осторожно и вглубь нашего расположения не проникал». В тот же день в районе г. Серет наш аэростат был внезапно атакован и обстрелян зажигательными пулями двумя неприятельскими самолетами. По словам очевидцев, «аэростат загорелся и быстро упал на землю. Наблюдатель подпоручик Ползов на парашюте благополучно спустился на землю» (23405).</w:t>
      </w:r>
      <w:bookmarkEnd w:id="376"/>
    </w:p>
    <w:p w14:paraId="77DD4255" w14:textId="77777777" w:rsidR="000551B1" w:rsidRPr="00FB4F67" w:rsidRDefault="000551B1" w:rsidP="0083075A">
      <w:pPr>
        <w:spacing w:after="0" w:line="240" w:lineRule="auto"/>
        <w:jc w:val="both"/>
        <w:rPr>
          <w:rFonts w:ascii="Times New Roman" w:hAnsi="Times New Roman" w:cs="Times New Roman"/>
          <w:color w:val="0070C0"/>
          <w:sz w:val="16"/>
          <w:szCs w:val="16"/>
        </w:rPr>
      </w:pPr>
    </w:p>
    <w:p w14:paraId="6EA01F8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FE71D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5116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октября 1917 ЦК РСДРП(б) на своем заседании в обстановки конспирации принял решение о подготовке вооруженного восстания. За голосовали В.И.Л., Я.М.С., И.В.С., Л.Д.Т. - всего 10. Против - Каменев и Зиновьев (3481). Создали Политбюро, в которое вошли В.И.Л., Г.Зиновьев, Л.Каменев, Л.Д.Т., Г. Сокольников и А.Бубнов (3908,265).</w:t>
      </w:r>
    </w:p>
    <w:p w14:paraId="31DF6D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749C4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октября 1917 неожиданно появившийся на заседании ЦК РСДРП (б) Ленин переломил ход голосования и настоял на принятии резолюции о вооруженном восстании (4962).</w:t>
      </w:r>
    </w:p>
    <w:p w14:paraId="0B9C087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9A07B7" w14:textId="77777777" w:rsidR="000551B1" w:rsidRPr="00FB4F67" w:rsidRDefault="000551B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10 (</w:t>
      </w:r>
      <w:r w:rsidRPr="00FB4F67">
        <w:rPr>
          <w:rFonts w:ascii="Times New Roman" w:hAnsi="Times New Roman" w:cs="Times New Roman"/>
          <w:color w:val="0070C0"/>
          <w:sz w:val="16"/>
          <w:szCs w:val="16"/>
        </w:rPr>
        <w:t>23</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в Петрограде большевистская партия проголосовала за принцип вооруженного восстания (23525).</w:t>
      </w:r>
    </w:p>
    <w:p w14:paraId="7726FD86" w14:textId="77777777" w:rsidR="000551B1" w:rsidRPr="00FB4F67" w:rsidRDefault="000551B1" w:rsidP="0083075A">
      <w:pPr>
        <w:spacing w:after="0" w:line="240" w:lineRule="auto"/>
        <w:jc w:val="both"/>
        <w:rPr>
          <w:rFonts w:ascii="Times New Roman" w:hAnsi="Times New Roman" w:cs="Times New Roman"/>
          <w:color w:val="0070C0"/>
          <w:sz w:val="16"/>
          <w:szCs w:val="16"/>
        </w:rPr>
      </w:pPr>
    </w:p>
    <w:p w14:paraId="7BFC96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 (23) октября 1917 ЦК РСДРП (б) принял решение о проведении восстания. В Смольном был создан Петроградский военно-революционный комитет — легальный штаб восстания. По настоянию В. И. Ленина ЦК РСДРП (б) решил начать восстание 24 октября. </w:t>
      </w:r>
    </w:p>
    <w:p w14:paraId="243299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Утром 24 октября ВРК обратился к населению Петрограда с призывом к борьбе с контрреволюцией, отдал приказ привести революционные силы в боевую готовность. Комиссары ВРК были направлены в воинские части и на корабли. Рабочие занимали заводы и фабрики, выделяли патрули для охраны, высылали отряды в распоряжение ВРК, за несколько часов они овладели большинством районов города. Юнкера пытались развести мосты через Неву, чтобы отрезать рабочие окраины от центра, однако отряды Красной гвардии, матросы и солдаты сорвали их замысел. К вечеру солдаты заняли Центральный телеграф, а отряд матросов — Петроградское телеграфное агентство. Были захвачены или изолированы опорные базы контрреволюции, офицерские училища, Петропавловская крепость. </w:t>
      </w:r>
    </w:p>
    <w:p w14:paraId="4437D2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Поздно вечером в Смольный прибыл Ленин и возглавил руководство восстанием. Вооруженные силы революции перешли в решающее наступление. Ночью и утром были заняты Центральная телефонная станция, почтамт, Государственный банк, вокзалы и другие важные объекты. </w:t>
      </w:r>
    </w:p>
    <w:p w14:paraId="2C8389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Утром 25 октября было опубликовано написанное В. И. Лениным обращение ВРК «К гражданам России!» о низложении Временного правительства и переходе государственной власти к ВРК. К 12 ч матросы заняли военный порт, радиостанцию, Главное Адмиралтейство. Днем продолжалась ликвидация очагов сопротивления контрреволюции. Моряки участвовали в захвате мостов, Мариинского дворца, где заседал Предпарламент, здания Главного штаба. К вечеру был окружен Зимний дворец. </w:t>
      </w:r>
    </w:p>
    <w:p w14:paraId="4D3484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21 ч 40 мин по сигнальному выстрелу крейсера «Аврора» начался штурм Зимнего дворца, где под охраной юнкеров Временное правительство ожидало подхода войск с фронта. </w:t>
      </w:r>
    </w:p>
    <w:p w14:paraId="72C0D5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Центробалт предоставил в распоряжение ВРК 11 кораблей. Линкор «Заря Свободы» занял позицию в Морском канале для прикрытия подступов к Петрограду с юга. Крейсер «Аврора» стоял на Неве близ Николаевского моста (мост Лейтенанта Шмидта), перед ним — эсминцы «Самсон» и «Забияка», напротив, у правого берега, — минный заградитель «Амур», учебное судно «Верный», сторожевое судно «Ястреб», заградитель «Хопер» и яхта «Зарница», между Николаевским и Дворцовым мостами — тральщики № 14 и 15. В случае необходимости крейсер, эсминцы и артиллерия Петропавловской крепости должны были вести огонь по силам контрреволюции. На левом фланге — от Мойки до Адмиралтейства — сосредоточивались матросы 2-го Балтийского флотского экипажа и солдаты Кексгольмского полка, Гвардейский флотский экипаж находился в резерве. БФ выделил для штурма Зимнего более 11 тыс. человек. Несмотря на сопротивление юнкеров, отряды восставших под руководством В. Л. Антонова-Овсеенко, Н. И. Подвойского и Г. И. Чудновского прорвались в Зимний дворец и в 2 ч 10 мин 26.10 арестовали членов низложенного Временного правительства. </w:t>
      </w:r>
    </w:p>
    <w:p w14:paraId="6ABA07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3 ч 10 мин об этом было сообщено II Всероссийскому съезду Советов, который принял обращение: «Опираясь на волю громадного большинства рабочих, солдат и крестьян, опираясь на совершившееся в Петрограде победоносное восстание рабочих и гарнизона, съезд берет власть в свои руки». На съезде были приняты декреты о мире, о земле и образовано Советское правительство — Совет Народных Комиссаров во главе с В. И. Ульяновым (Лениным). 27 октября СНК обратился по радио к народам и правительствам воюющих держав с предложением немедленно начать переговоры о заключении справедливого мира.</w:t>
      </w:r>
    </w:p>
    <w:p w14:paraId="7DBE80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Великая победа 25 октября 1917 — классический образец вооруженного восстания, подготовленного революционными рабочими, солдатами и матросами БФ под руководством партии большевиков во главе с Лениным. Вождь революции высоко оценивал роль моряков в восстании. В подписанном им 30.10 обращении говорилось: «Балтийский флот, верный делу революции, пришел на поддержку восставшего народа» (11712).</w:t>
      </w:r>
    </w:p>
    <w:p w14:paraId="105E62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EFE273"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10 (23) октября </w:t>
      </w:r>
      <w:r w:rsidRPr="002F2FDF">
        <w:rPr>
          <w:rFonts w:ascii="Times New Roman" w:hAnsi="Times New Roman" w:cs="Times New Roman"/>
          <w:color w:val="000000" w:themeColor="text1"/>
          <w:kern w:val="2"/>
          <w:sz w:val="16"/>
          <w:szCs w:val="16"/>
        </w:rPr>
        <w:t>в 1917 году в Петрограде на конспиративном заседании ЦК РСДРП(б) В.И.Ленин при поддержке Л.Д.Троцкого и вопреки возражениям Г.Е.Зиновьева и Л.Б.Каменева потребовал развернуть практическую подготовку к вооруженному восстанию с целью передачи власти Советам, в которых в это время преобладали большевики. В случае непринятия партией этого курса Ленин угрожал своим выходом из ЦК, прямым обращением к массам и разгоном большевистского партийного руководства. Из 21 члена ЦК на заседании присутствовали 12, из которых за ленинскую резолюцию проголосовали 10, и, таким образом, судьбоносное решение было принято меньшинством ЦК (14808).</w:t>
      </w:r>
    </w:p>
    <w:p w14:paraId="00CF21C2"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p>
    <w:p w14:paraId="254EC9FF" w14:textId="77777777" w:rsidR="00305E0A" w:rsidRPr="002F2FDF" w:rsidRDefault="00305E0A" w:rsidP="0083075A">
      <w:pPr>
        <w:pStyle w:val="ae"/>
        <w:spacing w:before="0" w:after="0"/>
        <w:jc w:val="both"/>
        <w:rPr>
          <w:color w:val="000000" w:themeColor="text1"/>
          <w:kern w:val="2"/>
          <w:sz w:val="16"/>
          <w:szCs w:val="16"/>
        </w:rPr>
      </w:pPr>
      <w:r w:rsidRPr="002F2FDF">
        <w:rPr>
          <w:rStyle w:val="ucoz-forum-post"/>
          <w:bCs/>
          <w:color w:val="000000" w:themeColor="text1"/>
          <w:kern w:val="2"/>
          <w:sz w:val="16"/>
          <w:szCs w:val="16"/>
        </w:rPr>
        <w:t xml:space="preserve">10 (23) октября </w:t>
      </w:r>
      <w:r w:rsidRPr="002F2FDF">
        <w:rPr>
          <w:color w:val="000000" w:themeColor="text1"/>
          <w:kern w:val="2"/>
          <w:sz w:val="16"/>
          <w:szCs w:val="16"/>
        </w:rPr>
        <w:t>в 1917 году в Петрограде в конспиративной обстановке прошло заседание Центрального комитета РСДРП(б) (партии большевиков). Лидер партии Владимир Ленин добился принятия резолюции о необходимости скорейшего вооруженного восстания с целью захвата власти в стране 10 голосами «за» при 2 «против» (Лев Каменев и Григорий Зиновьев). Одним из центров подготовки восстания стал так называемый Военно-Революционный комитет (ВРК), созданный 25 октября по инициативе председателя Петроградского совета Льва Троцкого вполне легально, под предлогом защиты Петрограда от наступавших немцев и мятежников-корниловцев. С призывом присоединиться к нему Совет обратился к солдатам столичного гарнизона, красногвардейцам и кронштадтским морякам (17045).</w:t>
      </w:r>
    </w:p>
    <w:p w14:paraId="5AA81028" w14:textId="77777777" w:rsidR="00305E0A" w:rsidRPr="002F2FDF" w:rsidRDefault="00305E0A" w:rsidP="0083075A">
      <w:pPr>
        <w:pStyle w:val="ae"/>
        <w:spacing w:before="0" w:after="0"/>
        <w:jc w:val="both"/>
        <w:rPr>
          <w:color w:val="000000" w:themeColor="text1"/>
          <w:kern w:val="2"/>
          <w:sz w:val="16"/>
          <w:szCs w:val="16"/>
        </w:rPr>
      </w:pPr>
    </w:p>
    <w:p w14:paraId="7C80AFAC" w14:textId="77777777" w:rsidR="00305E0A" w:rsidRPr="002F2FDF" w:rsidRDefault="00305E0A" w:rsidP="0083075A">
      <w:pPr>
        <w:pStyle w:val="ae"/>
        <w:spacing w:before="0" w:after="0"/>
        <w:jc w:val="both"/>
        <w:rPr>
          <w:color w:val="000000" w:themeColor="text1"/>
          <w:kern w:val="2"/>
          <w:sz w:val="16"/>
          <w:szCs w:val="16"/>
        </w:rPr>
      </w:pPr>
      <w:r w:rsidRPr="002F2FDF">
        <w:rPr>
          <w:rStyle w:val="ucoz-forum-post"/>
          <w:bCs/>
          <w:color w:val="000000" w:themeColor="text1"/>
          <w:kern w:val="2"/>
          <w:sz w:val="16"/>
          <w:szCs w:val="16"/>
        </w:rPr>
        <w:t xml:space="preserve">10 (23) октября </w:t>
      </w:r>
      <w:r w:rsidRPr="002F2FDF">
        <w:rPr>
          <w:color w:val="000000" w:themeColor="text1"/>
          <w:kern w:val="2"/>
          <w:sz w:val="16"/>
          <w:szCs w:val="16"/>
        </w:rPr>
        <w:t>в 1917 году в Грозном был образован так называемый «Чеченский комитет завоеваний революции». Он провозгласил себя основной властью в Грозненском и Веденском округах, образовал собственный чеченский банк, продовольственные комитеты и ввел обязательный суд по шариату (17045).</w:t>
      </w:r>
    </w:p>
    <w:p w14:paraId="6FE0599C" w14:textId="77777777" w:rsidR="00305E0A" w:rsidRPr="002F2FDF" w:rsidRDefault="00305E0A" w:rsidP="0083075A">
      <w:pPr>
        <w:spacing w:after="0" w:line="240" w:lineRule="auto"/>
        <w:jc w:val="both"/>
        <w:rPr>
          <w:rStyle w:val="ucoz-forum-post"/>
          <w:rFonts w:ascii="Times New Roman" w:hAnsi="Times New Roman" w:cs="Times New Roman"/>
          <w:bCs/>
          <w:color w:val="000000" w:themeColor="text1"/>
          <w:kern w:val="2"/>
          <w:sz w:val="16"/>
          <w:szCs w:val="16"/>
        </w:rPr>
      </w:pPr>
    </w:p>
    <w:p w14:paraId="0CDAA6E4"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10 (23) октября </w:t>
      </w:r>
      <w:r w:rsidRPr="002F2FDF">
        <w:rPr>
          <w:rFonts w:ascii="Times New Roman" w:hAnsi="Times New Roman" w:cs="Times New Roman"/>
          <w:color w:val="000000" w:themeColor="text1"/>
          <w:kern w:val="2"/>
          <w:sz w:val="16"/>
          <w:szCs w:val="16"/>
        </w:rPr>
        <w:t>в 1917 году генерал Скоропадский избирается гетманом украинского казачества. Ядовитую карикатуру на Скоропадского нарисовал М.Булгаков в "Днях Турбиных" (14808).</w:t>
      </w:r>
    </w:p>
    <w:p w14:paraId="3B413DFD"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p>
    <w:p w14:paraId="50F3DF7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октября 1917 генерал Скоропадский избран гетманом украинского казачества. (4962).</w:t>
      </w:r>
    </w:p>
    <w:p w14:paraId="36D18A5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B3F8F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66367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84EF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10 (23) октября 1917 в Англии вышел приказ о формировании воздухоплавательного крыла аэростатов заграждения и к середине февраля 1918 было три фартука (1804,6).</w:t>
      </w:r>
    </w:p>
    <w:p w14:paraId="0CD6E0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684B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C 10 по 26 октября (23 октября - 9 ноября) 1917 проходила Мальмезонская операция 6 французской армии, которая прорвала немецкую оборону и ликвидировала выступ немецкого фронта за счет тесного взаимодействия пехоты с артиллерией, танками и авиацией (2438,288).</w:t>
      </w:r>
    </w:p>
    <w:p w14:paraId="7E2B49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B9C6F5" w14:textId="77777777" w:rsidR="00644C44" w:rsidRPr="002F2FDF" w:rsidRDefault="00644C44" w:rsidP="0083075A">
      <w:pPr>
        <w:pStyle w:val="ae"/>
        <w:spacing w:before="0" w:after="0"/>
        <w:jc w:val="both"/>
        <w:rPr>
          <w:color w:val="000000" w:themeColor="text1"/>
          <w:kern w:val="2"/>
          <w:sz w:val="16"/>
          <w:szCs w:val="16"/>
        </w:rPr>
      </w:pPr>
      <w:r w:rsidRPr="002F2FDF">
        <w:rPr>
          <w:color w:val="000000" w:themeColor="text1"/>
          <w:kern w:val="2"/>
          <w:sz w:val="16"/>
          <w:szCs w:val="16"/>
        </w:rPr>
        <w:t>10 (23) октября 1917 французские войска перешли в наступление в районе удерживаемого германцами форта Мальмезон (в 100 км к северо-востоку от Парижа). Форт имел стратегическое значение, так как находился на возвышенности и позволял контролировать все окрестности. Вялотекущие бои за эти высоты велись уже несколько месяцев, но на этот раз французы подготовили решающий удар. На 10-километровом участке фронта были сосредоточены 12 дивизий и 1860 артиллерийских орудий, в том числе почти тысяча тяжелых, при этом каждой дивизии было придано по 12 танков и одной авиаэскадрилье. Атаке предшествовала мощная 6-дневная артиллерийская подготовка.</w:t>
      </w:r>
    </w:p>
    <w:p w14:paraId="3B128E6E" w14:textId="408350F9" w:rsidR="00644C44" w:rsidRPr="002F2FDF" w:rsidRDefault="00644C44" w:rsidP="0083075A">
      <w:pPr>
        <w:pStyle w:val="ae"/>
        <w:spacing w:before="0" w:after="0"/>
        <w:jc w:val="both"/>
        <w:rPr>
          <w:color w:val="000000" w:themeColor="text1"/>
          <w:kern w:val="2"/>
          <w:sz w:val="16"/>
          <w:szCs w:val="16"/>
        </w:rPr>
      </w:pPr>
      <w:r w:rsidRPr="002F2FDF">
        <w:rPr>
          <w:color w:val="000000" w:themeColor="text1"/>
          <w:kern w:val="2"/>
          <w:sz w:val="16"/>
          <w:szCs w:val="16"/>
        </w:rPr>
        <w:t>Ранним утром 23 октября французам при поддержке танков удалось сходу захватить три оборонительных линии немцев. К середине дня они смогли продвинуться на 2 км и занять города Шавиньон и Вандесон. На следующий день, после того</w:t>
      </w:r>
      <w:r w:rsidR="00E52569">
        <w:rPr>
          <w:color w:val="000000" w:themeColor="text1"/>
          <w:kern w:val="2"/>
          <w:sz w:val="16"/>
          <w:szCs w:val="16"/>
        </w:rPr>
        <w:t xml:space="preserve"> </w:t>
      </w:r>
      <w:r w:rsidRPr="002F2FDF">
        <w:rPr>
          <w:color w:val="000000" w:themeColor="text1"/>
          <w:kern w:val="2"/>
          <w:sz w:val="16"/>
          <w:szCs w:val="16"/>
        </w:rPr>
        <w:t>как французы подтянули артиллерию на новые позиции, немцы начали отступать с высот Мальмезона. Потери французов в ходе операции составили 12 тысяч человек убитыми и ранеными. Немцы потеряли 18 тысяч человек, причем большую часть — до 12 тысяч — пленными (17045).</w:t>
      </w:r>
    </w:p>
    <w:p w14:paraId="51EEDB3D" w14:textId="77777777" w:rsidR="00644C44" w:rsidRPr="002F2FDF" w:rsidRDefault="00644C44" w:rsidP="0083075A">
      <w:pPr>
        <w:spacing w:after="0" w:line="240" w:lineRule="auto"/>
        <w:jc w:val="both"/>
        <w:rPr>
          <w:rStyle w:val="ucoz-forum-post"/>
          <w:rFonts w:ascii="Times New Roman" w:hAnsi="Times New Roman" w:cs="Times New Roman"/>
          <w:bCs/>
          <w:color w:val="000000" w:themeColor="text1"/>
          <w:kern w:val="2"/>
          <w:sz w:val="16"/>
          <w:szCs w:val="16"/>
        </w:rPr>
      </w:pPr>
    </w:p>
    <w:p w14:paraId="535DA5BA"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10 (23) октября </w:t>
      </w:r>
      <w:r w:rsidRPr="002F2FDF">
        <w:rPr>
          <w:rFonts w:ascii="Times New Roman" w:hAnsi="Times New Roman" w:cs="Times New Roman"/>
          <w:color w:val="000000" w:themeColor="text1"/>
          <w:kern w:val="2"/>
          <w:sz w:val="16"/>
          <w:szCs w:val="16"/>
        </w:rPr>
        <w:t>в 1917 году американские части впервые принимают участие в боевых действиях первой мировой войны (район Люневиля, Франция) (14808).</w:t>
      </w:r>
    </w:p>
    <w:p w14:paraId="4AAB9FFE"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p>
    <w:p w14:paraId="3525C1CB" w14:textId="77777777" w:rsidR="00644C44" w:rsidRPr="002F2FDF" w:rsidRDefault="00644C44" w:rsidP="0083075A">
      <w:pPr>
        <w:pStyle w:val="ae"/>
        <w:spacing w:before="0" w:after="0"/>
        <w:jc w:val="both"/>
        <w:rPr>
          <w:color w:val="000000" w:themeColor="text1"/>
          <w:kern w:val="2"/>
          <w:sz w:val="16"/>
          <w:szCs w:val="16"/>
        </w:rPr>
      </w:pPr>
      <w:r w:rsidRPr="002F2FDF">
        <w:rPr>
          <w:color w:val="000000" w:themeColor="text1"/>
          <w:kern w:val="2"/>
          <w:sz w:val="16"/>
          <w:szCs w:val="16"/>
        </w:rPr>
        <w:t>В период с 10 по 16 (23 по 29) октября 1917 германские подводные лодки затопили 33 судна стран Антанты и нейтральных государств (17045).</w:t>
      </w:r>
    </w:p>
    <w:p w14:paraId="04885F84" w14:textId="77777777" w:rsidR="00644C44" w:rsidRPr="002F2FDF" w:rsidRDefault="00644C4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224B55" w14:textId="77777777" w:rsidR="008F6208" w:rsidRPr="002F2FDF" w:rsidRDefault="008F620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3B0BB6B" w14:textId="77777777" w:rsidR="008F6208" w:rsidRPr="002F2FDF" w:rsidRDefault="008F620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9D4A7E" w14:textId="7AB2349F" w:rsidR="00A71B3E" w:rsidRPr="00FB4F67" w:rsidRDefault="00A71B3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11 (2</w:t>
      </w:r>
      <w:r>
        <w:rPr>
          <w:rFonts w:ascii="Times New Roman" w:hAnsi="Times New Roman" w:cs="Times New Roman"/>
          <w:color w:val="0070C0"/>
          <w:sz w:val="16"/>
          <w:szCs w:val="16"/>
        </w:rPr>
        <w:t>4</w:t>
      </w:r>
      <w:r w:rsidRPr="00FB4F67">
        <w:rPr>
          <w:rFonts w:ascii="Times New Roman" w:hAnsi="Times New Roman" w:cs="Times New Roman"/>
          <w:color w:val="0070C0"/>
          <w:sz w:val="16"/>
          <w:szCs w:val="16"/>
        </w:rPr>
        <w:t>) октября) 1917 г. с завода РБВЗ на аэродром Винница по железной дороге отправлен «Илья Муромец» Г-72 (ИМ Г-72 № 237).</w:t>
      </w:r>
    </w:p>
    <w:p w14:paraId="3C3FB6DD" w14:textId="77777777" w:rsidR="00A71B3E" w:rsidRPr="00FB4F67" w:rsidRDefault="00A71B3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Не известно, был ли на заводе собран и облетан.</w:t>
      </w:r>
    </w:p>
    <w:p w14:paraId="7357161F" w14:textId="77777777" w:rsidR="00A71B3E" w:rsidRPr="00FB4F67" w:rsidRDefault="00A71B3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Заложен как машина серии Г-1, но достроен как новый тип Г-3 с 2 внутренними моторами «Рено» (предп. Renault 8Gd 200 л.с. на взлете, 196 на боевом и 192 на крейсерском режимах) и 2 внешними моторами РБЗ-6 по 150 л.с.</w:t>
      </w:r>
    </w:p>
    <w:p w14:paraId="6EF89B4B" w14:textId="77777777" w:rsidR="00A71B3E" w:rsidRPr="00FB4F67" w:rsidRDefault="00A71B3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 месте получения собран не был и в строй не вошел – на день 25.10.17 г. (07.11.17 г.), когда состоялась Октябрьская революция, даже не был разгружен – оставался на железнодорожных платформах (23553).</w:t>
      </w:r>
    </w:p>
    <w:p w14:paraId="526A8C26" w14:textId="77777777" w:rsidR="00A71B3E" w:rsidRPr="00FB4F67" w:rsidRDefault="00A71B3E" w:rsidP="0083075A">
      <w:pPr>
        <w:spacing w:after="0" w:line="240" w:lineRule="auto"/>
        <w:jc w:val="both"/>
        <w:rPr>
          <w:rFonts w:ascii="Times New Roman" w:hAnsi="Times New Roman" w:cs="Times New Roman"/>
          <w:color w:val="0070C0"/>
          <w:sz w:val="16"/>
          <w:szCs w:val="16"/>
        </w:rPr>
      </w:pPr>
    </w:p>
    <w:p w14:paraId="6663ED5C"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11 (24) октября 1917 года</w:t>
      </w:r>
    </w:p>
    <w:p w14:paraId="2295D7FD"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Совершенно секретно </w:t>
      </w:r>
    </w:p>
    <w:p w14:paraId="698BB829"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Журнал № 201  </w:t>
      </w:r>
    </w:p>
    <w:p w14:paraId="3024E007"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Особого Совещания для обсуждения и объединения  мероприятий по обороне государства. </w:t>
      </w:r>
    </w:p>
    <w:p w14:paraId="11B32BEF"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11 октября 1917 года. </w:t>
      </w:r>
    </w:p>
    <w:p w14:paraId="21A93CED"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Председательствовал  П. И. Пальчинский. </w:t>
      </w:r>
    </w:p>
    <w:p w14:paraId="7493266A"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Присутствовали: </w:t>
      </w:r>
    </w:p>
    <w:p w14:paraId="4C3593F0"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военного министерства: </w:t>
      </w:r>
    </w:p>
    <w:p w14:paraId="3E793987"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Генерал-лейтенант Н. А. Бабиков. </w:t>
      </w:r>
    </w:p>
    <w:p w14:paraId="4BA0B3A1"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В. А. Лехович. </w:t>
      </w:r>
    </w:p>
    <w:p w14:paraId="6F17FB2E"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Н. И. Богатко. </w:t>
      </w:r>
    </w:p>
    <w:p w14:paraId="060C0FCC"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морского министерства: </w:t>
      </w:r>
    </w:p>
    <w:p w14:paraId="17C6B0CC"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Адмирал  В. А. Канин. </w:t>
      </w:r>
    </w:p>
    <w:p w14:paraId="3C79319D"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Капитан I-го ранга   С. А. Кукель. </w:t>
      </w:r>
    </w:p>
    <w:p w14:paraId="10713406"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Л. Г. Гончаров. </w:t>
      </w:r>
    </w:p>
    <w:p w14:paraId="61E57171"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Полковник  Г. В.  Снегоцкий. </w:t>
      </w:r>
    </w:p>
    <w:p w14:paraId="3A3DDCC9"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министерства финансов: </w:t>
      </w:r>
    </w:p>
    <w:p w14:paraId="724BD199"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Действительный статский советник  . А. И. Ефимович. </w:t>
      </w:r>
    </w:p>
    <w:p w14:paraId="61B4DED4"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Государственного контроля: </w:t>
      </w:r>
    </w:p>
    <w:p w14:paraId="72D55BC8"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Действительный статский советник  . А. Д. Приселков. </w:t>
      </w:r>
    </w:p>
    <w:p w14:paraId="7E2EEFA7"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министерства торговли и промышленности: </w:t>
      </w:r>
    </w:p>
    <w:p w14:paraId="69ACDE5D"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Управляющий отделом промышленности  В. Е. Варзар. </w:t>
      </w:r>
    </w:p>
    <w:p w14:paraId="27DB8A00"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министерства путей сообщения: </w:t>
      </w:r>
    </w:p>
    <w:p w14:paraId="2C49F147"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Инженер путей сообщения  Н. К. Антошин. </w:t>
      </w:r>
    </w:p>
    <w:p w14:paraId="2BB9EB04"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 Всероссийского городского союза: </w:t>
      </w:r>
    </w:p>
    <w:p w14:paraId="1679B11A"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Уполномоченный Земгора  Н. К. Волков. </w:t>
      </w:r>
    </w:p>
    <w:p w14:paraId="558BF235"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Особо приглашенные в заседание: </w:t>
      </w:r>
    </w:p>
    <w:p w14:paraId="74D7CB32"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 от инфантерии  А. А. Поливанов. </w:t>
      </w:r>
    </w:p>
    <w:p w14:paraId="159B253E"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Действительный тайный советник  С. И.  Тимашев. </w:t>
      </w:r>
    </w:p>
    <w:p w14:paraId="7BF07A89"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.В. И.  Тимирязев. </w:t>
      </w:r>
    </w:p>
    <w:p w14:paraId="5399D0C1"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Тайный советник  В. И. Карпов. </w:t>
      </w:r>
    </w:p>
    <w:p w14:paraId="4EEA6709"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Генерал-лейтенант  А. А. Якимович. </w:t>
      </w:r>
    </w:p>
    <w:p w14:paraId="117FA5D4"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А. К. овчинников. </w:t>
      </w:r>
    </w:p>
    <w:p w14:paraId="69097C85"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А.  Ф. Бринк. </w:t>
      </w:r>
    </w:p>
    <w:p w14:paraId="2BFAF799"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Н.  Ф. Дроздов. </w:t>
      </w:r>
    </w:p>
    <w:p w14:paraId="55F97708"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Вице-адмирал  Л. Б. Корвин. </w:t>
      </w:r>
    </w:p>
    <w:p w14:paraId="5E584E90"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Генерал-майор  А. А.  Саткевич. </w:t>
      </w:r>
    </w:p>
    <w:p w14:paraId="7CCAD049"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А. А. Михельсон. </w:t>
      </w:r>
    </w:p>
    <w:p w14:paraId="0BA588E4"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Гюлессен. </w:t>
      </w:r>
    </w:p>
    <w:p w14:paraId="68815CC8"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С. И.  Чердынцев. </w:t>
      </w:r>
    </w:p>
    <w:p w14:paraId="45D14936"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Вв.  С. Михайлов. </w:t>
      </w:r>
    </w:p>
    <w:p w14:paraId="08F26D52"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Д. В. Яковлев. </w:t>
      </w:r>
    </w:p>
    <w:p w14:paraId="575887F4"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М. Н. Орлов. </w:t>
      </w:r>
    </w:p>
    <w:p w14:paraId="7A647913"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И. А. Крылов. </w:t>
      </w:r>
    </w:p>
    <w:p w14:paraId="7B85BB25"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Инженер путей сообщения  . И.  С. Каннегисер. </w:t>
      </w:r>
    </w:p>
    <w:p w14:paraId="54697459"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Действительный статский советник  .В. П. Литвинов-Фалинский. </w:t>
      </w:r>
    </w:p>
    <w:p w14:paraId="6CA1688D"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 В. А. Жандр. </w:t>
      </w:r>
    </w:p>
    <w:p w14:paraId="0734CA7C"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Профессор  . А.  С. Ломшаков. </w:t>
      </w:r>
    </w:p>
    <w:p w14:paraId="0F48A1D6"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Горный инженер  Ф. А. Иванов. </w:t>
      </w:r>
    </w:p>
    <w:p w14:paraId="7075375A"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Представитель Министерства Труда  . Г. Д. Красинский. </w:t>
      </w:r>
    </w:p>
    <w:p w14:paraId="5BD962C4"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Н. В.  Савич. </w:t>
      </w:r>
    </w:p>
    <w:p w14:paraId="3DAEE8C6"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Полковник   Войно-Родзевич. </w:t>
      </w:r>
    </w:p>
    <w:p w14:paraId="7A24B929"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Представитель Центрального комитета военно-технической помощи   Н. П. Козлов. </w:t>
      </w:r>
    </w:p>
    <w:p w14:paraId="6DE053CD"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Представитель главного комитета объединенной промышленности  К. П.  Федоров. </w:t>
      </w:r>
    </w:p>
    <w:p w14:paraId="51FBCDB1"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Заместитель председателя Центрального военно-промышленного комитета . Н. Н. Изнар. </w:t>
      </w:r>
    </w:p>
    <w:p w14:paraId="440EE0A2"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Я. Д. Прядкин. </w:t>
      </w:r>
    </w:p>
    <w:p w14:paraId="09CC7ED2"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     Делопроизводитель Особого Совещания: </w:t>
      </w:r>
    </w:p>
    <w:p w14:paraId="0529FB36"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Подполковник  С. И. Качалов. </w:t>
      </w:r>
    </w:p>
    <w:p w14:paraId="3696ED95"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открытии  заседания  управляющий  делами  Особого  Совещания  генерал-лейтенант Н.  А.  Бабиков огласил резолюцию по журналу Совещания от 7 октября сего года за № 200 и сообщил о сделанных распоряжениях по исполнению этой резолюции. </w:t>
      </w:r>
    </w:p>
    <w:p w14:paraId="572531FD"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Совещание перешло к рассмотрению доклада подготовительной комиссии по артиллерийским вопросам о ходатайстве Особого правления по делам акционерного общества «Сименс и Гальске» и «Сименс —  Шуккерт» о выдаче аванса в размере 50 % от превышения себестоимости  взрывателей 3 ГТ на 12 сентября сего года над контрактной ценой. Этот  аванс, всего в размере 6  650  000 руб лей, по мнению общества, даст ему  возможность  покрыть  сделанные  перерасходы  и  продолжить  как  производство взрывателей, так и деятельность заводов общества. Со своей  стороны  главное  артиллерийское  управление,  признав,  что  доплата  за  взрыватели по контракту может определиться в сумме 4 460 000 руб лей,  полагало возможным выдать названному обществу в виде ссуды теперь  же 3 568 000 руб лей, с тем чтобы означенная ссуда была зачтена при выдаче суммы, которая определится комиссией по пересмотру контрактов  по контракту за № 20420 1915 года. </w:t>
      </w:r>
    </w:p>
    <w:p w14:paraId="48FB8DFA"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Рассмотрев означенное дело, комиссия обратила внимание на крайнюю неясность и неопределенность представленного правлением финансового плана, причем баланса совершенно не было представлено. При таких  условиях  комиссия  была  совершенно  лишена  возможности  внести  какое-либо  суждение  о  финансовом  положении  общества  и  денежных  его оборотах. Ввиду сего комиссия, отметив незначительную производительность завода, затруднилась принять какое-либо определенное решение по существу настоящего ходатайства общества. </w:t>
      </w:r>
    </w:p>
    <w:p w14:paraId="75828C34"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сему  поводу  член  правления  акционерного  общества  «Сименс  и Гальске» и «Сименс  — Шуккерт» В.  Е.  Варзар, приводя финансовую  справку о положении предприятия, указывает, что завод общества прекрасно оборудован и производительность его, безусловно, могла бы увеличиться, если бы было достаточное количество металла и топлива. При  настоящем же положении вещей на заводе находится излишнее количество рабочих, которых, однако, правление не может уволить вследствие  сопротивления со стороны рабочих завода. Тем не менее ввиду ожидаемой эвакуации завода в Нижний Новгород число рабочих будет сокращено. </w:t>
      </w:r>
    </w:p>
    <w:p w14:paraId="2C49A5AC"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Что же касается ходатайства о выдаче испрашиваемых средств, то  отказ в отпуске таковых мог бы поставить общество в крайне затруднительное положение и заводы могли бы закрыться. </w:t>
      </w:r>
    </w:p>
    <w:p w14:paraId="206577DA"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  своей  стороны  Ф.  А.  Иванов  замечает,  что  в  рабочую  комиссию  поступило  ходатайство  о  повышении  рабочим  названного  завода  заработной  платы,  ввиду  чего  комиссия  признавала  бы  возможным  выдать  обществу испрашиваемую ссуду. </w:t>
      </w:r>
    </w:p>
    <w:p w14:paraId="6FB39ACB"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Председательствующий  П.  И.  Пальчинский,  разделяя  мнение  подготовительной комиссии, замечает, что необходимо предложить правлению завода представить все необходимые финансовые расчеты, без которых едва ли возможно вынести какое-либо определенное решение об  отпуске  средств  правлению  общества.  До  сего  времени  правление  этих  данных не дало, равно как не доставило в подготовительную комиссию и  плана эвакуации предприятия; точно так же неизвестны и меры, которые  ранее правление принимало для увольнения соответствующего количества рабочих. </w:t>
      </w:r>
    </w:p>
    <w:p w14:paraId="58464B37"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Н.  В.  Савич,  присоединяясь  к  мнению  Председательствующего,  полагает  желательным  издание  циркулярного  распоряжения  правлением  секвестрованных предприятий о необходимости представления при ходатайствах об отпуске денежных сумм подробного финансового плана и  сообщения о тех мерах, которые приняты к увольнению излишнего количества рабочих, а также и представления плана работ по эвакуации. </w:t>
      </w:r>
    </w:p>
    <w:p w14:paraId="1BC0655C"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 своей стороны С.  И.  Тимашев признает возможным до представления правлением общества «Сименс и Гальске» и «Сименс — Шуккерт»  подробного финансового плана разрешить выдачу ссуды в размере одного миллиона рублей для неотложных нужд общества в ближайшее время, так как иначе общество будет поставлено в крайне затруднительное  положение. </w:t>
      </w:r>
    </w:p>
    <w:p w14:paraId="3EFD2EDF"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Е. Варзар разъясняет, что правление неоднократно делало попытки  к увольнению излишнего количества рабочих, но, несмотря на поддержку,  оказываемую  заводским  комитетом  в  этом  отношении,  правлению  рассчитать ненужных рабочих до сего времени не удалось из опасения  возможного террора со стороны последних. </w:t>
      </w:r>
    </w:p>
    <w:p w14:paraId="11FC008C"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Председательствующий  указывает,  что  надлежало  бы  довести  до  сведения  Временного  Правительства  о  том  тяжелом  положении,  которое создалось на заводах вследствие постоянных угроз со стороны рабочих по  отношению  к  администрации  и  лицам  технического  персонала.  </w:t>
      </w:r>
    </w:p>
    <w:p w14:paraId="0BADC50B"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Безусловно, что ввиду насилий со стороны рабочих администрация заводов  лишена  возможности  принимать  какие-либо  меры,  направленные  к  упорядочению  дела  на  предприятиях  и  поднятию  на  них  производительности, которая на некоторых заводах понизилась до 60 %. При  таком  положении  дела  возникает  вопрос,  насколько  целесообразными  представляются ассигнования тех средств, которые ныне производятся  государством по заказам на нужды обороны. Посему являлось бы необходимым авторитетное вмешательство органов государственной власти,  а также обсуждение сего вопроса во Временном Совете Российской Республики  во  избежание  гибельных  последствий  несвоевременного  исполнения данных заказов для обороны государства. </w:t>
      </w:r>
    </w:p>
    <w:p w14:paraId="246CE3BB"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сему  поводу  начальник  главного  артиллерийского  управления  генерал-лейтенант В.  А. Лехович замечает, что, несмотря на все трудности и угрозы со стороны рабочих, администрация казенных артиллерийских заводов всегда была на высоте своего положения и исполняла возложенные на нее обязательства по долгу службы, не боясь никаких угроз.  </w:t>
      </w:r>
    </w:p>
    <w:p w14:paraId="00694146"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Однако несомненно, что администрация как казенных, так и частных заводов не встречает поддержки со стороны органов государственной власти, и посему многие мероприятия, намеченные заводоуправлениями, не  могут быть осуществлены. </w:t>
      </w:r>
    </w:p>
    <w:p w14:paraId="60F9C0B7"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Представитель Министерства Труда Г.  Д.  Красинский полагает, что  недостаточно одних только репрессивных мер, а необходимо провести и  реформы, облегчающие положение рабочих. </w:t>
      </w:r>
    </w:p>
    <w:p w14:paraId="686325B7"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обмене мнениями Совещание признает возможным разрешить отпуск особому правлению акционерного общества «Сименс и Гальске» и  «Сименс — Шуккерт» ссуды в размере одного миллиона руб лей на условиях, установленных главным артиллерийским управлением, предложив  правлению представить в подготовительную комиссию план эвакуации  предприятия  и  сообщить  о  принятых  правлением  мерах  к  увольнению  излишнего количества рабочих завода. Вместе с сим Совещание не встречает препятствий к принятию предположений Председательствующего о  необходимости довести до сведения Временного Правительства о тяжелом положении, создавшемся на предприятиях ввиду террора со стороны  части рабочих. </w:t>
      </w:r>
    </w:p>
    <w:p w14:paraId="3EAAC1A9"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Совещание  одобряет  доклад  той  же  комиссии  о  выдаче  акционерному обществу «Сименс и Гальске» дополнительного аванса без  обес печения в размере 50 % по контракту за №  149 1917 года на поставку  головных ударных трубок образца 1915 года. </w:t>
      </w:r>
    </w:p>
    <w:p w14:paraId="37D4449D"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Далее Совещание, по докладу той же комиссии, признает возможным  разрешить  отпуск  правительственному  правлению  общества  Путиловских заводов ссуды в размере 15  000  000 руб лей на условиях, установленных совещанием сенатора Лазаревского, признав необходимым скорейшее рассмотрение этим совещанием дела о Путиловском заводе. </w:t>
      </w:r>
    </w:p>
    <w:p w14:paraId="65591B2B"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Вслед за тем Совещание рассмотрело и одобрило доклад той же комиссии  о  выдаче  Обуховскому  заводу  беспроцентной  ссуды  в  размере  8  000  000 руб лей, на основаниях п. б ст.  2 постановления Особого Совещания от 11 сентября сего года. </w:t>
      </w:r>
    </w:p>
    <w:p w14:paraId="26741C2F"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Далее Совещание, заслушав в закрытом заседании доклад начальника  управления </w:t>
      </w:r>
      <w:r w:rsidRPr="002F2FDF">
        <w:rPr>
          <w:rFonts w:ascii="Times New Roman" w:hAnsi="Times New Roman" w:cs="Times New Roman"/>
          <w:color w:val="000000" w:themeColor="text1"/>
          <w:sz w:val="16"/>
          <w:szCs w:val="16"/>
          <w:highlight w:val="yellow"/>
        </w:rPr>
        <w:t>военного воздушного флота</w:t>
      </w:r>
      <w:r w:rsidRPr="002F2FDF">
        <w:rPr>
          <w:rFonts w:ascii="Times New Roman" w:hAnsi="Times New Roman" w:cs="Times New Roman"/>
          <w:color w:val="000000" w:themeColor="text1"/>
          <w:sz w:val="16"/>
          <w:szCs w:val="16"/>
        </w:rPr>
        <w:t xml:space="preserve"> генерал-майора Д.  В.  Яковлева  о положении авиационного снабжения армии, полагает необходимым о суждениях,  высказанных  по  поводу  сего  доклада,  довести  до  сведения  Временного Правительства. </w:t>
      </w:r>
    </w:p>
    <w:p w14:paraId="4F6A0F90"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Совещание  переходит  к  рассмотрению  вопроса  о  положении  дел на заводах «Респиратор» и «Противогаз». Комиссия, образованная  для обследования этих заводов, не могла прийти к какому-либо определенному решению, между тем центральный военно-промышленный комитет отказывается от дальнейшего ведения дела и ходатайствует о передаче его в ведение других органов. </w:t>
      </w:r>
    </w:p>
    <w:p w14:paraId="32E3F502"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сему   поводу   Председательствующий   полагает,   что   представлялось  бы  крайне  желательным  ввиду  отказа  Центрального  военно-промышленного   комитета    передать    упомянутые     заводы   со  всем  инвентарем из ведения этого комитета в заведывание комитета военно-технической  помощи,  который  и  являлся  бы  вместе  с  сим  ответственным  за  все  заказы,  исполняющиеся  по  заказам,  данным  Центральному  военно-промышленному комитету. Для ведения же дела надлежало бы  назначить правительственное правление на указанные заводы в составе  представителей комитета военно-технической помощи, химического комитета при главном артиллерийском управлении, Центрального военно-промышленного комитета и Петроградского заводского совещания. Кроме  того,  ввиду  важности  этих  заводов  для  нужд  обороны  являлось  бы  желательным ныне же приступить к их эвакуации с полной ликвидацией  их в Петрограде, что не представит особых затруднений. </w:t>
      </w:r>
    </w:p>
    <w:p w14:paraId="6E3B2491"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обмене  мнениями  Совещание  разделяет  мнение  Председательствующего. </w:t>
      </w:r>
    </w:p>
    <w:p w14:paraId="6DF6BC85"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Совещание,  по  рассмотрению  ходатайства  правительственного  правления  Русско-Балтийского  общества  о  выдаче  ему  денежных  средств на покрытие текущих расходов по Ревельскому и Таганрогскому заводам, не встречает препятствий к отпуску краткосрочной беспроцентной ссуды в размере трех миллионов рублей, с тем чтобы условия этого  отпуска были выработаны подготовительной комиссией по артиллерийским вопросам. </w:t>
      </w:r>
    </w:p>
    <w:p w14:paraId="2DAB1F3F"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Далее  Совещание  переходит  к  рассмотрению  дела  реквизиционно-секвестрационной  комиссии  о  порядке  выдачи  заказов  предприятиям,  находящимся под секвестром. Журналом от 8  января 1917 года междуведомственная   комиссия   под   председательством   генерал-лейтенанта  А.  А.  Якимовича  признала,  что  секвестрованным  предприятиям  надлежит предоставлять заказы по договорам и назначать по ним цены в таком размере, который допускал бы в конечном итоге чистую прибыль в  8 %, излишек же свыше этого процента должен обращаться на погашение  ссуд, а если таковых нет, то на расширение предприятия. Это постановление  комиссии  3  апреля  сего  года  было  утверждено  за  Военного  министра  помощником  его  генералом  от  артиллерии  А.  А.  Маниковским.  </w:t>
      </w:r>
    </w:p>
    <w:p w14:paraId="18DA8124"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Однако  9  июня  сего  года  вр.  управляющий  военным  министерством,  генерал-майор  Якубович,  сношением  на  имя  генерала  от  артиллерии  А.  А.  Маниковского, находя, что вышеуказанное постановление комиссии не согласно с духом закона об управлении секвестрованным и предприятиями,  просил  пересмотреть  </w:t>
      </w:r>
      <w:r w:rsidRPr="002F2FDF">
        <w:rPr>
          <w:rFonts w:ascii="Times New Roman" w:hAnsi="Times New Roman" w:cs="Times New Roman"/>
          <w:color w:val="000000" w:themeColor="text1"/>
          <w:sz w:val="16"/>
          <w:szCs w:val="16"/>
        </w:rPr>
        <w:lastRenderedPageBreak/>
        <w:t xml:space="preserve">постановление  междуведомственной  комиссии на предмет признания за правительственными установлениями  права  давать  секвестрованным  предприятиям  принудительные  заказы, с отпуском необходимых средств для исполнения их и с уплатой  предприятиям по окончании поставки чистой прибыли в установленном  размере. Ввиду сего 17 августа сего года под председательством генерал-лейтенанта Якимовича была вновь созвана междуведомственная комиссия, которая, ознакомившись с содержанием сношения вр. управлявшего  военным министерством, постановила остаться по указанному вопросу  при прежнем своем мнении. </w:t>
      </w:r>
    </w:p>
    <w:p w14:paraId="1198FFF9"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Рассмотрев  означенное  дело,  реквизиционно-секвестрационная  комиссия вполне присоединилась к заключению междуведомственной комиссии генерал-лейтенанта Якимовича. </w:t>
      </w:r>
    </w:p>
    <w:p w14:paraId="35A0A848"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 своей стороны Председательствующий указывает, что Особое Совещание всегда разделяло по означенному вопросу точку зрения междуведомственной  комиссии  от  8  января  1917  года  и  не  встречало  каких-либо  по  сему  поводу  возражений  со  стороны  министерства  финансов,  Государственного  контроля  и  других  ведомств.  Поэтому  не  имеется  и  ныне  каких-либо  оснований  к  изменению  указанной  точки  зрения  Совещания,  ввиду  чего  упомянутое  постановление  междуведомственной  комиссии подлежало бы одобрению. </w:t>
      </w:r>
    </w:p>
    <w:p w14:paraId="6F64AE2A"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Совещание разделяет мнение Председательствующего. </w:t>
      </w:r>
    </w:p>
    <w:p w14:paraId="047A8390"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Совещание, по докладу той же комиссии о наложении секвестра  на  судостроительный  и  механический  завод  Вадона  в  Херсоне  и  передаче его в управление Херсонского военно-промышленного комитета, признает необходимым отложить рассмотрение означенного дела до  представления морским ведомством программы работ по ремонту судов Черного моря, с наименованием заводов, исполняющих ремонт, поручив  вместе с тем Одесскому заводскому совещанию назначить на завод Вадона правительственного инспектора впредь до выяснения вопроса о дальнейшей деятельности завода. </w:t>
      </w:r>
    </w:p>
    <w:p w14:paraId="6B15D9FE"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заключение Совещание, по ходатайству Петроградского арматурно-электрического акционерного общества о выдаче аванса в счет повышения  цен  по  исполняющимся  заказам,  полагает  возможным  разрешить  отпуск   краткосрочной   беспроцентной   ссуды   в   размере   одного   миллиона  рублей  с  погашением  из  ближайших  поступлений  платежей  за  изделия. </w:t>
      </w:r>
    </w:p>
    <w:p w14:paraId="4058C555"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13  октября.  — Резолюция Председателя Особого Совещания для обсуждения и объединения мероприятий по обороне государства по журналу Особого Совещания от 11 октября 1917 года за № 201. </w:t>
      </w:r>
    </w:p>
    <w:p w14:paraId="289722A0"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4918184F"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  По  докладу  подготовительной  комиссии  по  артиллерийским  вопросам о ходатайстве Особого правления акционерного общества «Сименс и Гальске» и «Сименс — Шуккерт» о выдаче аванса в счет повышения контрактной цены по заказу на взрыватели 3 ГТ: </w:t>
      </w:r>
    </w:p>
    <w:p w14:paraId="3C6973C7"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а)  разрешить  отпуск  названному  правлению  этого  общества  ссуды  в размере одного миллиона (1  000  000) руб лей, с тем чтобы означенная  ссуда была зачтена при выдаче суммы, которая определится комиссией  по пересмотру контрактов по контракту за № 20420 1915 года; </w:t>
      </w:r>
    </w:p>
    <w:p w14:paraId="348B7468"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б)  предложить  упомянутому  правлению  представить  в  подготовительную  комиссию  план  эвакуации  предприятия  и  сообщить  о  принятых  правлением  мерах  к  увольнению  излишнего  количества  рабочих   завода и </w:t>
      </w:r>
    </w:p>
    <w:p w14:paraId="64FD8ED3"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 довести до сведения Временного Правительства о тяжелом положении,  создавшемся  на  предприятиях  ввиду  террора  со  стороны  части  рабочих. </w:t>
      </w:r>
    </w:p>
    <w:p w14:paraId="6E5D14B5"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2) Одобрить доклад той же комиссии о выдаче акционерному обществу «Сименс и Гальске» дополнительного аванса без обеспечения в размере 50 % по контракту за №  149 1917 года на поставку головных ударных трубок образца 1915 года. </w:t>
      </w:r>
    </w:p>
    <w:p w14:paraId="03F05EB7"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3) По докладу той же комиссии о выдаче ссуды обществу Путиловских заводов: разрешить отпуск правительственному правлению названного общества ссуды в размере пятнадцати миллионов (15 000 000) рублей на условиях, установленных совещанием сенатора Лазаревского. </w:t>
      </w:r>
    </w:p>
    <w:p w14:paraId="376E48CE"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4) Одобрить доклад той же комиссии о выдаче Обуховскому заводу  беспроцентной ссуды в размере восьми миллионов (8 000 000) руб лей, на  основании ст.  2 п. б постановления Особого Совещания от 11  сентября  сего года. </w:t>
      </w:r>
    </w:p>
    <w:p w14:paraId="1CEBD4C4"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5) Довести до сведения Временного Правительства чрез Военного министра о суждениях Особого Совещания по поводу доклада начальника  управления военного воздушного флота генерал-майора Д. В. Яковлева о  положении авиационного снабжения армии. </w:t>
      </w:r>
    </w:p>
    <w:p w14:paraId="1E4E1316"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6) По вопросу о положении дел на заводах «Респиратор» и «Противогаз»:</w:t>
      </w:r>
    </w:p>
    <w:p w14:paraId="343EE917"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а) передать упомянутые заводы со всем инвентарем из ведения центрального  военно-промышленного  комитета  в  заведывание  комитета  военно-технической помощи; </w:t>
      </w:r>
    </w:p>
    <w:p w14:paraId="6C80F6BD"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б)  признать  подлежащими  передаче  комитету  военно-технической  помощи права и обязанности Центрального военно-промышленного комитета по имеющимся у означенных заводов заказам и контрактам; </w:t>
      </w:r>
    </w:p>
    <w:p w14:paraId="2A869344"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 назначить в состав правительственного правления на заводах представителей  комитета  военно-технической  помощи,  химического  комитета  при  главном  артиллерийском  управлении,  Центрального  военно-промышленного комитета и Петроградского заводского совещания; </w:t>
      </w:r>
    </w:p>
    <w:p w14:paraId="07CC730B"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 признать необходимым ныне же приступить к эвакуации этих заводов, с полной ликвидацией их в Петрограде. </w:t>
      </w:r>
    </w:p>
    <w:p w14:paraId="49663095"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7)  По  ходатайству  правительственного  правления  Русско-Балтийского общества о выдаче ему денежных средств на покрытие текущих расходов по Ревельскому и Таганрогскому заводам: разрешить отпуск краткосрочной беспроцентной ссуды в размере трех миллионов (3  000  000)  рублей, с тем чтобы условия этого отпуска были выработаны подготовительной комиссией по артиллерийским вопросам. </w:t>
      </w:r>
    </w:p>
    <w:p w14:paraId="706297D2"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8) По докладу реквизиционно-секвестрационной комиссии о порядке  выдачи заказов предприятиям, находящимся под секвестром: одобрить  постановление  по  сему  предмету  междуведомственной  комиссии  под  председательством  генерал-лейтенанта  А.  А.  Якимовича  от  17  августа  1917 года. </w:t>
      </w:r>
    </w:p>
    <w:p w14:paraId="11674F60"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9) По докладу той же комиссии о наложении секвестра на судостроительный и механический завод Вадона в Херсоне и передаче его в управление Херсонского военно-промышленного комитета: </w:t>
      </w:r>
    </w:p>
    <w:p w14:paraId="435CC18F"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а)  отложить  рассмотрение  означенного  дела  до  представления  морским  ведомством  программы  работ  по  ремонту  судов  Черного  моря  с  наименованием заводов, исполняющих ремонт; </w:t>
      </w:r>
    </w:p>
    <w:p w14:paraId="587A60D1"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б)  поручить  Одесскому  заводскому  совещанию  назначить  на  завод  Вадона правительственного инспектора впредь до выяснения вопроса о  дальнейшей деятельности завода. </w:t>
      </w:r>
    </w:p>
    <w:p w14:paraId="69E111E8"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10) По ходатайству Петроградского арматурно-электрического акционерного общества о выдаче аванса в счет повышении цен по исполняющимся заказам: разрешить отпуск краткосрочной беспроцентной ссуды  в размере одного миллиона (1 000 000) рублей с погашением из ближайших поступлений платежей за изделия. </w:t>
      </w:r>
    </w:p>
    <w:p w14:paraId="7A78E544"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Председательствующий в Особом Совещании П. Пальчинский. </w:t>
      </w:r>
    </w:p>
    <w:p w14:paraId="0B0068CD"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Управляющий делами Особого Совещания генерал-лейтенант Бабиков (20688). </w:t>
      </w:r>
    </w:p>
    <w:p w14:paraId="29C14722" w14:textId="77777777" w:rsidR="008F6208" w:rsidRPr="002F2FDF" w:rsidRDefault="008F6208" w:rsidP="0083075A">
      <w:pPr>
        <w:spacing w:after="0" w:line="240" w:lineRule="auto"/>
        <w:jc w:val="both"/>
        <w:rPr>
          <w:rFonts w:ascii="Times New Roman" w:hAnsi="Times New Roman" w:cs="Times New Roman"/>
          <w:color w:val="000000" w:themeColor="text1"/>
          <w:sz w:val="16"/>
          <w:szCs w:val="16"/>
        </w:rPr>
      </w:pPr>
    </w:p>
    <w:p w14:paraId="7EC50B7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855BD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45803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октября 1917 лидеры большевиков Зиновьев и Каменев направили во все инстанции письмо "К текущему моменту", в котором раскрыли планы Ленина по вооруженному восстанию (4962).</w:t>
      </w:r>
    </w:p>
    <w:p w14:paraId="5154A70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98AAB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октября 1917 под давлением матросов Временное правительство освободило лидер кронштадтских большевиков матрос Федор Раскольников (4962).</w:t>
      </w:r>
    </w:p>
    <w:p w14:paraId="76D9C28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09DBD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44487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33B5C5" w14:textId="77777777" w:rsidR="00E15B27" w:rsidRPr="002F2FDF" w:rsidRDefault="00E15B2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11 (24) октября 1917 г. испытали французский средний танк следующего поколения и «Шнейдер» получил заказ на изготовление 400 танков Schneider CA-3, однако в феврале 1918 г. программа была заморожена, а позже ее и вовсе отменили (22820).</w:t>
      </w:r>
    </w:p>
    <w:p w14:paraId="78D11157" w14:textId="77777777" w:rsidR="00E15B27" w:rsidRPr="002F2FDF" w:rsidRDefault="00E15B27" w:rsidP="0083075A">
      <w:pPr>
        <w:spacing w:after="0" w:line="240" w:lineRule="auto"/>
        <w:jc w:val="both"/>
        <w:rPr>
          <w:rFonts w:ascii="Times New Roman" w:hAnsi="Times New Roman" w:cs="Times New Roman"/>
          <w:color w:val="000000" w:themeColor="text1"/>
          <w:sz w:val="16"/>
          <w:szCs w:val="16"/>
        </w:rPr>
      </w:pPr>
    </w:p>
    <w:p w14:paraId="3400A8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11-27 октября (24 - 10 ноября) 1917 австро-германская армия преследовала итальянскую армию у Caporetto в Италии (2100) и совершила прорыв (2252). Итальянцы создали рубеж по реке Пьява (3907,91).</w:t>
      </w:r>
    </w:p>
    <w:p w14:paraId="184545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74DF3A"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11 (24) октября </w:t>
      </w:r>
      <w:r w:rsidRPr="002F2FDF">
        <w:rPr>
          <w:rFonts w:ascii="Times New Roman" w:hAnsi="Times New Roman" w:cs="Times New Roman"/>
          <w:color w:val="000000" w:themeColor="text1"/>
          <w:kern w:val="2"/>
          <w:sz w:val="16"/>
          <w:szCs w:val="16"/>
        </w:rPr>
        <w:t>в 1917 году австро-германские войска (14-я германская армия при поддержке 10-й и 2-й австро-венгерской армий)начали наступление на позиции 2-й и 3-й итальянских армий. В течении трех дней фронт итальянских войск был прован что привело к катастрофическим последствиям. Итальянская армия потеряла свыше 130 тысяч убитыми и ранеными, 355 тыс. пленными (по итальянским данным, 40 тысяч убитыми и ранеными и 215 тысяч пленными), 3152 орудия, 1732 миномёта, 3 тысячи пулемётов и др., большое количество продовольствия и около 14 тысяч км2 территории. Около 300 тысяч солдат, утративших боеспособность, бежало с фронта в глубь страны. Лишь с помощью переброшенных 11 англо-французских дивизий Антанте удалось к 9 ноября стабилизировать фронт по реке Пьяве (14809).</w:t>
      </w:r>
    </w:p>
    <w:p w14:paraId="02A47FD4"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p>
    <w:p w14:paraId="7BC88DA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октября 1917 австрийские войска прорвали оборону итальянской армии у Капоретто (4962).</w:t>
      </w:r>
    </w:p>
    <w:p w14:paraId="57EE3A5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423A08" w14:textId="77777777" w:rsidR="00644C44" w:rsidRPr="002F2FDF" w:rsidRDefault="00644C44"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11 (24) октября 1917 германские дивизии, переброшенные в ответ на настоятельные просьбы о помощи австрийцев, нанесли внезапный сокрушительный удар </w:t>
      </w:r>
      <w:r w:rsidRPr="002F2FDF">
        <w:rPr>
          <w:color w:val="000000" w:themeColor="text1"/>
          <w:kern w:val="2"/>
          <w:sz w:val="16"/>
          <w:szCs w:val="16"/>
        </w:rPr>
        <w:lastRenderedPageBreak/>
        <w:t>итальянской армии в районе городка Капоретто (ныне Кобарид на северо-западе Словении у границы с Италией).</w:t>
      </w:r>
    </w:p>
    <w:p w14:paraId="2CB937D9" w14:textId="0620AFB2" w:rsidR="00644C44" w:rsidRPr="002F2FDF" w:rsidRDefault="00644C44" w:rsidP="0083075A">
      <w:pPr>
        <w:pStyle w:val="ae"/>
        <w:spacing w:before="0" w:after="0"/>
        <w:jc w:val="both"/>
        <w:rPr>
          <w:color w:val="000000" w:themeColor="text1"/>
          <w:kern w:val="2"/>
          <w:sz w:val="16"/>
          <w:szCs w:val="16"/>
        </w:rPr>
      </w:pPr>
      <w:r w:rsidRPr="002F2FDF">
        <w:rPr>
          <w:color w:val="000000" w:themeColor="text1"/>
          <w:kern w:val="2"/>
          <w:sz w:val="16"/>
          <w:szCs w:val="16"/>
        </w:rPr>
        <w:t>До этого больше двух лет ситуация на австро-итальянском фронте, пролегающего большей частью в Альпах — от северных берегов Адриатического моря вдоль северо-восточных и северных границ Италии до границ со Швейцарией, — оставалась относительно стабильной. Основные бои разворачивались к северу от Адриатики в районе реки Изонцо, где итальянская армия предприняла более десятка попыток крупных наступлений, завершившихся фиаско. При этом обе стороны несли тяжелейшие потери, что в первую очередь подтачивало силы Австро-Венгрии, которая одновременно воевала еще и на Восточном фронте. После развернувшейся в августе-октябре 1917 года крайне кровопролитной, уже одиннадцатой по счету, Битвы при Изонцо, руководство Австро-Венгрии убедило германское командование выделить резервы, чтобы нанести итальянцам</w:t>
      </w:r>
      <w:r w:rsidR="00E52569">
        <w:rPr>
          <w:color w:val="000000" w:themeColor="text1"/>
          <w:kern w:val="2"/>
          <w:sz w:val="16"/>
          <w:szCs w:val="16"/>
        </w:rPr>
        <w:t xml:space="preserve"> </w:t>
      </w:r>
      <w:r w:rsidRPr="002F2FDF">
        <w:rPr>
          <w:color w:val="000000" w:themeColor="text1"/>
          <w:kern w:val="2"/>
          <w:sz w:val="16"/>
          <w:szCs w:val="16"/>
        </w:rPr>
        <w:t>наконец</w:t>
      </w:r>
      <w:r w:rsidR="00E52569">
        <w:rPr>
          <w:color w:val="000000" w:themeColor="text1"/>
          <w:kern w:val="2"/>
          <w:sz w:val="16"/>
          <w:szCs w:val="16"/>
        </w:rPr>
        <w:t xml:space="preserve"> </w:t>
      </w:r>
      <w:r w:rsidRPr="002F2FDF">
        <w:rPr>
          <w:color w:val="000000" w:themeColor="text1"/>
          <w:kern w:val="2"/>
          <w:sz w:val="16"/>
          <w:szCs w:val="16"/>
        </w:rPr>
        <w:t>решительный удар.</w:t>
      </w:r>
    </w:p>
    <w:p w14:paraId="58A04BBC" w14:textId="77777777" w:rsidR="00644C44" w:rsidRPr="002F2FDF" w:rsidRDefault="00644C44" w:rsidP="0083075A">
      <w:pPr>
        <w:pStyle w:val="ae"/>
        <w:spacing w:before="0" w:after="0"/>
        <w:jc w:val="both"/>
        <w:rPr>
          <w:color w:val="000000" w:themeColor="text1"/>
          <w:kern w:val="2"/>
          <w:sz w:val="16"/>
          <w:szCs w:val="16"/>
        </w:rPr>
      </w:pPr>
      <w:r w:rsidRPr="002F2FDF">
        <w:rPr>
          <w:color w:val="000000" w:themeColor="text1"/>
          <w:kern w:val="2"/>
          <w:sz w:val="16"/>
          <w:szCs w:val="16"/>
        </w:rPr>
        <w:t>В это же самое время, исходя из тех же соображений, за помощью к британцам и французам обращался и итальянский главнокомандующий Луиджи Кадорна. Но союзники долго отказывали ему, ссылаясь на нехватку резервов для Западного фронта. В результате австрийцы и германцы перешли в наступление первыми. Для этого Германия отправила на Итальянский фронт 6 дивизий и 776 артиллерийских орудий. Их переброску удалось почти до последнего момента держать в секрете, и итальянцы не успели укрепить позиции и подготовить резервы.</w:t>
      </w:r>
    </w:p>
    <w:p w14:paraId="18864537" w14:textId="77777777" w:rsidR="00644C44" w:rsidRPr="002F2FDF" w:rsidRDefault="00644C44" w:rsidP="0083075A">
      <w:pPr>
        <w:pStyle w:val="ae"/>
        <w:spacing w:before="0" w:after="0"/>
        <w:jc w:val="both"/>
        <w:rPr>
          <w:color w:val="000000" w:themeColor="text1"/>
          <w:kern w:val="2"/>
          <w:sz w:val="16"/>
          <w:szCs w:val="16"/>
        </w:rPr>
      </w:pPr>
      <w:r w:rsidRPr="002F2FDF">
        <w:rPr>
          <w:color w:val="000000" w:themeColor="text1"/>
          <w:kern w:val="2"/>
          <w:sz w:val="16"/>
          <w:szCs w:val="16"/>
        </w:rPr>
        <w:t>Для решающего удара немцы выбрали удачное место — относительно слабый участок итальянской обороны в районе Капоретто. 24 октября после короткой, но мощной артподготовки (на 1 километре линии фронта было сосредоточено по 200-250 орудий, часть снарядов была начинена отравляющими газами) германские батальоны пошли в атаку и быстро заняли все итальянские укрепления, командные пункты и прилегающие к фронту дороги. По флангам итальянцев атаковали (хоть и с меньшей силой) «привычные» для них австрийские части, не позволяя перебросить резервы.</w:t>
      </w:r>
    </w:p>
    <w:p w14:paraId="721A0141" w14:textId="77777777" w:rsidR="00644C44" w:rsidRPr="002F2FDF" w:rsidRDefault="00644C44"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Уже к вечеру большая часть итальянской армии беспорядочно отступала. Сам Капоретто был захвачен в первые часы. Именно события тех дней Эрнест Хемингуэй описал в романе «Прощай, оружие!».</w:t>
      </w:r>
    </w:p>
    <w:p w14:paraId="6AAF163E" w14:textId="77777777" w:rsidR="00644C44" w:rsidRPr="002F2FDF" w:rsidRDefault="00644C44" w:rsidP="0083075A">
      <w:pPr>
        <w:pStyle w:val="ae"/>
        <w:spacing w:before="0" w:after="0"/>
        <w:jc w:val="both"/>
        <w:rPr>
          <w:color w:val="000000" w:themeColor="text1"/>
          <w:kern w:val="2"/>
          <w:sz w:val="16"/>
          <w:szCs w:val="16"/>
        </w:rPr>
      </w:pPr>
      <w:r w:rsidRPr="002F2FDF">
        <w:rPr>
          <w:color w:val="000000" w:themeColor="text1"/>
          <w:kern w:val="2"/>
          <w:sz w:val="16"/>
          <w:szCs w:val="16"/>
        </w:rPr>
        <w:t>К 26 октября немцы продвинулись уже на 10-15 км и заняли горный хребет, за которым им открывались широкие и плодородные равнины северной Италии. Из-за этого крупная итальянская группировка в районе реки Изонцо, чуть южнее, оказалась под угрозой полного окружения. В такой ситуации генерал Кадорна приказал войскам спешно отходить на запад на 20-40 км и создавать новую оборонительную линию на реке Тальяменто. Опыта столь масштабных передислокаций, особенно в условиях немногочисленных горных дорог, итальянская армия не имела, многие офицеры не могли организовать грамотный и продуманный отход, среди солдат царила паника. Еще больший хаос в колонны отступающих войск вносили тысячи беженцев.</w:t>
      </w:r>
    </w:p>
    <w:p w14:paraId="59F53DA3" w14:textId="77777777" w:rsidR="00644C44" w:rsidRPr="002F2FDF" w:rsidRDefault="00644C44" w:rsidP="0083075A">
      <w:pPr>
        <w:pStyle w:val="ae"/>
        <w:spacing w:before="0" w:after="0"/>
        <w:jc w:val="both"/>
        <w:rPr>
          <w:color w:val="000000" w:themeColor="text1"/>
          <w:kern w:val="2"/>
          <w:sz w:val="16"/>
          <w:szCs w:val="16"/>
        </w:rPr>
      </w:pPr>
      <w:r w:rsidRPr="002F2FDF">
        <w:rPr>
          <w:color w:val="000000" w:themeColor="text1"/>
          <w:kern w:val="2"/>
          <w:sz w:val="16"/>
          <w:szCs w:val="16"/>
        </w:rPr>
        <w:t>28 октября немцы и австрийцы вступили в крупный город Удине, где, помимо прочего, ранее находился итальянский штаб, и в Горицию (на северо-востоке современной Италии). Спешно отступавшим итальянцам пришлось взорвать всю свою артиллерию и боеприпасы, но противнику достались склады с продовольствием итальянской армии.</w:t>
      </w:r>
    </w:p>
    <w:p w14:paraId="304A6C62" w14:textId="77777777" w:rsidR="00644C44" w:rsidRPr="002F2FDF" w:rsidRDefault="00644C44" w:rsidP="0083075A">
      <w:pPr>
        <w:pStyle w:val="ae"/>
        <w:spacing w:before="0" w:after="0"/>
        <w:jc w:val="both"/>
        <w:rPr>
          <w:color w:val="000000" w:themeColor="text1"/>
          <w:kern w:val="2"/>
          <w:sz w:val="16"/>
          <w:szCs w:val="16"/>
        </w:rPr>
      </w:pPr>
      <w:r w:rsidRPr="002F2FDF">
        <w:rPr>
          <w:color w:val="000000" w:themeColor="text1"/>
          <w:kern w:val="2"/>
          <w:sz w:val="16"/>
          <w:szCs w:val="16"/>
        </w:rPr>
        <w:t>Масштабы неожиданного успеха поражали даже самих немцев, включая командующего Эриха Людендорфа, который в те дни сожалел, что не смог найти для Итальянского фронта еще несколько дивизий — тогда у немцев и австрийцев были бы реальные шансы вообще вывести Италию из войны.</w:t>
      </w:r>
    </w:p>
    <w:p w14:paraId="322CC119" w14:textId="5AD08BF0" w:rsidR="00644C44" w:rsidRPr="002F2FDF" w:rsidRDefault="00644C4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На этом фоне французское командование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наконец</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начало срочную переброску подкреплений на помощь итальянцам. Военный историк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генерал Андрей Зайончковский</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писал: «Часть автомобилей была перевезена [французами] по железной дороге в Ниццу, в течение двух недель они работали по подвозу пехоты и снабжения. Часть автоколонн самостоятельно перешла [из Франции] через Альпы, совершив переход через горные перевалы высотой в 1500 метров по дорогам, покрытым снегом, с крутыми поворотами и частыми подъемами» (17045).</w:t>
      </w:r>
    </w:p>
    <w:p w14:paraId="79F89938" w14:textId="77777777" w:rsidR="00644C44" w:rsidRPr="002F2FDF" w:rsidRDefault="00644C4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1B01F0" w14:textId="77777777" w:rsidR="00C27B4B"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4263320" w14:textId="77777777" w:rsidR="00C27B4B" w:rsidRPr="002F2FDF" w:rsidRDefault="00C27B4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840B6C" w14:textId="77777777" w:rsidR="00C27B4B" w:rsidRPr="002F2FDF" w:rsidRDefault="00C27B4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октября 1917 «наличной покупкой» (т.е. без предварительного заключения контракта) у фирмы было приобретено 5 «Моранов G», которые так и остались на заводе ввиду отсутствия заявок из школ. В общей сложности в течение Первой мировой войны «Анатра» получила заказы на 65 «Моранов G» и, как минимум, 50 «Ньюпоров IV». Интересно отметить, что 25 августа 1916 г. был принят «Ньюпор» сер. № 180, переоборудованный в учебный биплан. К сожалению, более подробных сведений об этом аппарате обнаружить не удалось (12252).</w:t>
      </w:r>
    </w:p>
    <w:p w14:paraId="1CB6FBF0" w14:textId="77777777" w:rsidR="00C27B4B" w:rsidRPr="002F2FDF" w:rsidRDefault="00C27B4B" w:rsidP="0083075A">
      <w:pPr>
        <w:spacing w:after="0" w:line="240" w:lineRule="auto"/>
        <w:jc w:val="both"/>
        <w:rPr>
          <w:rFonts w:ascii="Times New Roman" w:hAnsi="Times New Roman" w:cs="Times New Roman"/>
          <w:color w:val="000000" w:themeColor="text1"/>
          <w:kern w:val="2"/>
          <w:sz w:val="16"/>
          <w:szCs w:val="16"/>
        </w:rPr>
      </w:pPr>
    </w:p>
    <w:p w14:paraId="32EBE787" w14:textId="77777777" w:rsidR="00460F40" w:rsidRPr="002F2FDF" w:rsidRDefault="00460F4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1F1DE882" w14:textId="77777777" w:rsidR="00460F40" w:rsidRPr="002F2FDF" w:rsidRDefault="00460F4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6D7B1F" w14:textId="557207D4" w:rsidR="00460F40" w:rsidRPr="002F2FDF" w:rsidRDefault="00460F40"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12-17 (25-30) октября</w:t>
      </w:r>
      <w:r w:rsidR="00E52569">
        <w:rPr>
          <w:color w:val="000000" w:themeColor="text1"/>
          <w:sz w:val="16"/>
          <w:szCs w:val="16"/>
        </w:rPr>
        <w:t xml:space="preserve"> </w:t>
      </w:r>
      <w:r w:rsidRPr="002F2FDF">
        <w:rPr>
          <w:color w:val="000000" w:themeColor="text1"/>
          <w:sz w:val="16"/>
          <w:szCs w:val="16"/>
        </w:rPr>
        <w:t>– состоялась вторая конференция Фабзавкомов Москвы, ее делегаты предложили возложить ответственность за разруху на имущие классы, выход видели в «</w:t>
      </w:r>
      <w:r w:rsidRPr="002F2FDF">
        <w:rPr>
          <w:rStyle w:val="af0"/>
          <w:i w:val="0"/>
          <w:color w:val="000000" w:themeColor="text1"/>
          <w:sz w:val="16"/>
          <w:szCs w:val="16"/>
        </w:rPr>
        <w:t>немедленной национализации</w:t>
      </w:r>
      <w:r w:rsidRPr="002F2FDF">
        <w:rPr>
          <w:color w:val="000000" w:themeColor="text1"/>
          <w:sz w:val="16"/>
          <w:szCs w:val="16"/>
        </w:rPr>
        <w:t>» ряда отраслей, промышленном и банковском контроле. Три четверти делегатов на конференции</w:t>
      </w:r>
      <w:r w:rsidR="00E52569">
        <w:rPr>
          <w:color w:val="000000" w:themeColor="text1"/>
          <w:sz w:val="16"/>
          <w:szCs w:val="16"/>
        </w:rPr>
        <w:t xml:space="preserve"> </w:t>
      </w:r>
      <w:r w:rsidRPr="002F2FDF">
        <w:rPr>
          <w:color w:val="000000" w:themeColor="text1"/>
          <w:sz w:val="16"/>
          <w:szCs w:val="16"/>
        </w:rPr>
        <w:t>– большевики (18371).</w:t>
      </w:r>
    </w:p>
    <w:p w14:paraId="5819416E" w14:textId="77777777" w:rsidR="00460F40" w:rsidRPr="002F2FDF" w:rsidRDefault="00460F40" w:rsidP="0083075A">
      <w:pPr>
        <w:pStyle w:val="picture-center"/>
        <w:spacing w:before="0" w:beforeAutospacing="0" w:after="0" w:afterAutospacing="0"/>
        <w:jc w:val="both"/>
        <w:rPr>
          <w:iCs/>
          <w:color w:val="000000" w:themeColor="text1"/>
          <w:sz w:val="16"/>
          <w:szCs w:val="16"/>
        </w:rPr>
      </w:pPr>
    </w:p>
    <w:p w14:paraId="5BF00BC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2FFA9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0646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октября 1917 немцы начали высадку на Моонзундском архипелаге и мы еле-еле успели вывезти самолеты с авиастанции в Кильконде (1085,66).</w:t>
      </w:r>
    </w:p>
    <w:p w14:paraId="1CC875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4228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12 </w:t>
      </w:r>
      <w:r w:rsidR="001157F8" w:rsidRPr="002F2FDF">
        <w:rPr>
          <w:rFonts w:ascii="Times New Roman" w:hAnsi="Times New Roman" w:cs="Times New Roman"/>
          <w:color w:val="000000" w:themeColor="text1"/>
          <w:kern w:val="2"/>
          <w:sz w:val="16"/>
          <w:szCs w:val="16"/>
        </w:rPr>
        <w:t xml:space="preserve">(25) </w:t>
      </w:r>
      <w:r w:rsidRPr="002F2FDF">
        <w:rPr>
          <w:rFonts w:ascii="Times New Roman" w:hAnsi="Times New Roman" w:cs="Times New Roman"/>
          <w:color w:val="000000" w:themeColor="text1"/>
          <w:kern w:val="2"/>
          <w:sz w:val="16"/>
          <w:szCs w:val="16"/>
        </w:rPr>
        <w:t>октября 1917 г. поручик Гренадерского корпусного воздухоплавательного отряда Печенев не успел отвязать флаг и вместе с подожженным аэростатом упал и разбился. По традиции на каждом аэростате, как на корабле, имелся свой флаг, и если наблюдатели покидали аэростат в воздухе, они обязаны были брать с собой и флаг. Нередко это приводило к трагическим последствиям (11238).</w:t>
      </w:r>
    </w:p>
    <w:p w14:paraId="722950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0741B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F704A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F119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октября 1917 был создан ВРК - легального в качестве комитета обороны Петрограда. Включал большевиков, левых эсеров, меньшевиков-интернационалистов и анархистов (3481) и был штабом вооруженного восстания. Обратился к солдатам столичного гарнизона, к красногвардейцам и кронштадским морякам с призывом присоединится к нему (3908,266).</w:t>
      </w:r>
    </w:p>
    <w:p w14:paraId="397668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A1DF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октября 1917 Петросовет создал ВРК для обороны города от немцев. Большевики преобразовали его в штаб по подготовке вооруженного восстания (1348,87).</w:t>
      </w:r>
    </w:p>
    <w:p w14:paraId="7303075D" w14:textId="77777777" w:rsidR="0028394A" w:rsidRPr="002F2FDF" w:rsidRDefault="0028394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3E8268" w14:textId="77777777" w:rsidR="00507A1A"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371DA0EE" w14:textId="77777777" w:rsidR="00507A1A" w:rsidRPr="002F2FDF" w:rsidRDefault="00507A1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B39970"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Style w:val="af0"/>
          <w:rFonts w:ascii="Times New Roman" w:hAnsi="Times New Roman" w:cs="Times New Roman"/>
          <w:i w:val="0"/>
          <w:color w:val="000000" w:themeColor="text1"/>
          <w:kern w:val="2"/>
          <w:sz w:val="16"/>
          <w:szCs w:val="16"/>
        </w:rPr>
        <w:t>12 (25) октября 1917 г.</w:t>
      </w:r>
      <w:r w:rsidRPr="002F2FDF">
        <w:rPr>
          <w:rFonts w:ascii="Times New Roman" w:hAnsi="Times New Roman" w:cs="Times New Roman"/>
          <w:color w:val="000000" w:themeColor="text1"/>
          <w:kern w:val="2"/>
          <w:sz w:val="16"/>
          <w:szCs w:val="16"/>
        </w:rPr>
        <w:t xml:space="preserve"> Сообщение газеты «Вестник Временного правительства» о принятых Министерством внутренних дел мерах по охране предприятий иностранных подданных</w:t>
      </w:r>
    </w:p>
    <w:p w14:paraId="33122266" w14:textId="1A38B4D6"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472</w:t>
      </w:r>
    </w:p>
    <w:p w14:paraId="59BE6C2F" w14:textId="5E48234A"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Газ. «Вестник Вр. пр-ва», № 175, 12 октября 1917 г.</w:t>
      </w:r>
    </w:p>
    <w:p w14:paraId="79492BB3" w14:textId="77777777" w:rsidR="00507A1A" w:rsidRPr="002F2FDF" w:rsidRDefault="00507A1A" w:rsidP="0083075A">
      <w:pPr>
        <w:pStyle w:val="rtejustify"/>
        <w:spacing w:before="0" w:after="0"/>
        <w:rPr>
          <w:color w:val="000000" w:themeColor="text1"/>
          <w:kern w:val="2"/>
          <w:sz w:val="16"/>
          <w:szCs w:val="16"/>
        </w:rPr>
      </w:pPr>
      <w:r w:rsidRPr="002F2FDF">
        <w:rPr>
          <w:color w:val="000000" w:themeColor="text1"/>
          <w:kern w:val="2"/>
          <w:sz w:val="16"/>
          <w:szCs w:val="16"/>
        </w:rPr>
        <w:t>Подданные союзных России держав, участвующие своими капиталами в различного рода промышленных предприятиях, находящихся в России, в частности в Петрограде и Донецком бассейне, за последнее время стали обращаться в Министерство иностранных дел через представителей своих стран с жалобами на чинимые рабочими этих предприятий затруднения. высказывая при этом опасение за свою личную и имущественную безопасность.</w:t>
      </w:r>
    </w:p>
    <w:p w14:paraId="071E700F" w14:textId="77777777" w:rsidR="00507A1A" w:rsidRPr="002F2FDF" w:rsidRDefault="00507A1A" w:rsidP="0083075A">
      <w:pPr>
        <w:pStyle w:val="rtejustify"/>
        <w:spacing w:before="0" w:after="0"/>
        <w:rPr>
          <w:color w:val="000000" w:themeColor="text1"/>
          <w:kern w:val="2"/>
          <w:sz w:val="16"/>
          <w:szCs w:val="16"/>
        </w:rPr>
      </w:pPr>
      <w:r w:rsidRPr="002F2FDF">
        <w:rPr>
          <w:color w:val="000000" w:themeColor="text1"/>
          <w:kern w:val="2"/>
          <w:sz w:val="16"/>
          <w:szCs w:val="16"/>
        </w:rPr>
        <w:t>В предотвращение возможных со стороны населения эксцессов Министерством внутренних дел предложено губернским, областным и городским комиссарам принять самые энергичные меры к охране предприятий иностранных подданных, а также личной безопасности их самих и их служащих.</w:t>
      </w:r>
    </w:p>
    <w:p w14:paraId="35BDB702" w14:textId="77777777" w:rsidR="00507A1A" w:rsidRPr="002F2FDF" w:rsidRDefault="00000000" w:rsidP="0083075A">
      <w:pPr>
        <w:pStyle w:val="ae"/>
        <w:spacing w:before="0" w:after="0"/>
        <w:jc w:val="both"/>
        <w:rPr>
          <w:color w:val="000000" w:themeColor="text1"/>
          <w:kern w:val="2"/>
          <w:sz w:val="16"/>
          <w:szCs w:val="16"/>
        </w:rPr>
      </w:pPr>
      <w:hyperlink r:id="rId604" w:anchor="_ftnref1" w:history="1">
        <w:r w:rsidR="00507A1A" w:rsidRPr="002F2FDF">
          <w:rPr>
            <w:rStyle w:val="a5"/>
            <w:color w:val="000000" w:themeColor="text1"/>
            <w:kern w:val="2"/>
            <w:sz w:val="16"/>
            <w:szCs w:val="16"/>
          </w:rPr>
          <w:t>[1]</w:t>
        </w:r>
      </w:hyperlink>
      <w:r w:rsidR="00507A1A" w:rsidRPr="002F2FDF">
        <w:rPr>
          <w:color w:val="000000" w:themeColor="text1"/>
          <w:kern w:val="2"/>
          <w:sz w:val="16"/>
          <w:szCs w:val="16"/>
        </w:rPr>
        <w:t xml:space="preserve"> См. док. №582 </w:t>
      </w:r>
      <w:hyperlink r:id="rId605" w:history="1">
        <w:r w:rsidR="00507A1A" w:rsidRPr="002F2FDF">
          <w:rPr>
            <w:rStyle w:val="a5"/>
            <w:color w:val="000000" w:themeColor="text1"/>
            <w:kern w:val="2"/>
            <w:sz w:val="16"/>
            <w:szCs w:val="16"/>
          </w:rPr>
          <w:t>"Обращение французского посольства в Петрограде к Временному правительству с требованием принять срочные меры для защиты интересов французских капиталистов в Донбассе"</w:t>
        </w:r>
      </w:hyperlink>
      <w:r w:rsidR="00507A1A" w:rsidRPr="002F2FDF">
        <w:rPr>
          <w:rStyle w:val="a5"/>
          <w:color w:val="000000" w:themeColor="text1"/>
          <w:kern w:val="2"/>
          <w:sz w:val="16"/>
          <w:szCs w:val="16"/>
        </w:rPr>
        <w:t xml:space="preserve"> (15194).</w:t>
      </w:r>
    </w:p>
    <w:p w14:paraId="4A228D1C" w14:textId="77777777" w:rsidR="00507A1A" w:rsidRPr="002F2FDF" w:rsidRDefault="00507A1A"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1D03AA46" w14:textId="77777777" w:rsidR="00E15B27" w:rsidRPr="002F2FDF" w:rsidRDefault="00E15B2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0A80E7B" w14:textId="77777777" w:rsidR="00E15B27" w:rsidRPr="002F2FDF" w:rsidRDefault="00E15B2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751D4B" w14:textId="77777777" w:rsidR="00E15B27" w:rsidRPr="002F2FDF" w:rsidRDefault="00E15B2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12 (25-го) октября 1917 головную машину 2-й серии Фоккер Dr I заказа W.Nr.141/17 направили на типовые испытания в Адлерсхоф — она прошла их к 5 ноября 1917 г. без замечаний.</w:t>
      </w:r>
    </w:p>
    <w:p w14:paraId="7BF1AAB9" w14:textId="77777777" w:rsidR="00E15B27" w:rsidRPr="002F2FDF" w:rsidRDefault="00E15B2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Истребитель Фоккер Dr I при запуске в производство, начиная с первой серийной машины W.Nr.104/17, получил ряд отличий от прототипа V.5: чуть увеличили размахи крыльев, улучшили ряд силовых узлов, на концы нижнего крыла поставили «лыжи» — деревянные рессоры, предотвращающие касание земли на посадке с креном. Сдача самолетов пошла в октябре 1917 г.</w:t>
      </w:r>
    </w:p>
    <w:p w14:paraId="012F6B4E" w14:textId="77777777" w:rsidR="00E15B27" w:rsidRPr="002F2FDF" w:rsidRDefault="00E15B2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концу октября сдали уже 70 самолетов из ста заказанных, остальные находились в производстве, их готовность была намечена на ноябрь (22781).</w:t>
      </w:r>
    </w:p>
    <w:p w14:paraId="133438A0" w14:textId="77777777" w:rsidR="00E15B27" w:rsidRPr="002F2FDF" w:rsidRDefault="00E15B27" w:rsidP="0083075A">
      <w:pPr>
        <w:spacing w:after="0" w:line="240" w:lineRule="auto"/>
        <w:jc w:val="both"/>
        <w:rPr>
          <w:rFonts w:ascii="Times New Roman" w:hAnsi="Times New Roman" w:cs="Times New Roman"/>
          <w:color w:val="000000" w:themeColor="text1"/>
          <w:sz w:val="16"/>
          <w:szCs w:val="16"/>
        </w:rPr>
      </w:pPr>
    </w:p>
    <w:p w14:paraId="2A8C4CA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36588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3524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октября 1917 в программа завода Ф.Мельцера включили строительство двух опытных машин - разведчиков типа Аист П.А.Шишкова под 2ИС 200 нр (2843,75).</w:t>
      </w:r>
    </w:p>
    <w:p w14:paraId="16B5E1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92AA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13 (26) октября 1917 работа над двумя опытными машинами под двигатели "Испано-Суиза" 200 л.с. была вклю</w:t>
      </w:r>
      <w:r w:rsidRPr="002F2FDF">
        <w:rPr>
          <w:rFonts w:ascii="Times New Roman" w:hAnsi="Times New Roman" w:cs="Times New Roman"/>
          <w:color w:val="000000" w:themeColor="text1"/>
          <w:kern w:val="2"/>
          <w:sz w:val="16"/>
          <w:szCs w:val="16"/>
        </w:rPr>
        <w:softHyphen/>
        <w:t>чена в программу завода Мельцера. Как обычно, задолго до того трудности в отношении этих аппаратов возникли еще на стадии выбора типа мотора. 17 июля 1917 г. МГШ инфор</w:t>
      </w:r>
      <w:r w:rsidRPr="002F2FDF">
        <w:rPr>
          <w:rFonts w:ascii="Times New Roman" w:hAnsi="Times New Roman" w:cs="Times New Roman"/>
          <w:color w:val="000000" w:themeColor="text1"/>
          <w:kern w:val="2"/>
          <w:sz w:val="16"/>
          <w:szCs w:val="16"/>
        </w:rPr>
        <w:softHyphen/>
        <w:t>мировал Отдел воздушного плавания ГУК о том, что поставки двигателей "Испано-Суиза" задерживаются, тогда как Британское Адмиралтейство обещало снабдить Морское ведомство 25 и 50 моторами "Санбим" мощностью 170 и 320 л.с. соответственно. Это сообщение послу</w:t>
      </w:r>
      <w:r w:rsidRPr="002F2FDF">
        <w:rPr>
          <w:rFonts w:ascii="Times New Roman" w:hAnsi="Times New Roman" w:cs="Times New Roman"/>
          <w:color w:val="000000" w:themeColor="text1"/>
          <w:kern w:val="2"/>
          <w:sz w:val="16"/>
          <w:szCs w:val="16"/>
        </w:rPr>
        <w:softHyphen/>
        <w:t>жило толчком к заказу опытного двухмоторного самолета под 2 "Санбима" 320 л.с. у Гри</w:t>
      </w:r>
      <w:r w:rsidRPr="002F2FDF">
        <w:rPr>
          <w:rFonts w:ascii="Times New Roman" w:hAnsi="Times New Roman" w:cs="Times New Roman"/>
          <w:color w:val="000000" w:themeColor="text1"/>
          <w:kern w:val="2"/>
          <w:sz w:val="16"/>
          <w:szCs w:val="16"/>
        </w:rPr>
        <w:softHyphen/>
        <w:t>горовича и одномоторного под "Санбим" 170 л.с. — у АИС. В октябре про эти "Санбимы" уже и не вспоминали; напротив, сначала обсуждался вариант использования двигателей "Ис</w:t>
      </w:r>
      <w:r w:rsidRPr="002F2FDF">
        <w:rPr>
          <w:rFonts w:ascii="Times New Roman" w:hAnsi="Times New Roman" w:cs="Times New Roman"/>
          <w:color w:val="000000" w:themeColor="text1"/>
          <w:kern w:val="2"/>
          <w:sz w:val="16"/>
          <w:szCs w:val="16"/>
        </w:rPr>
        <w:softHyphen/>
        <w:t>пано-Суиза", а затем взгляды обратились и к 200-сильным "Рено". В конце концов, 2 ноября Мельцеру послали официальный контракт на строительство 5 разведчиков "Аист", три из которых должны были оснащаться моторами "Испано-Суиза" 200 л.с., а два оставшихся — "Рено" 220 л.с. Заказ давался в счет апрельского условного поручения на сборку летающих лодок Энгельса и Григоровича, а цена одного поплавкового аэроплана составляла к этому времени 45.000 руб. Скорее всего, ни один из прототипов не был закончен, хотя В.Б. Шавров утверждал, что один "Аист" все же был. По тому же источнику модель представляла собой одномоторный двухместный двухстоечный биплан с силовой установкой тянущего типа. Его фюзеляж-монокок выполнялся из фанеры, а крылья имели деревянный каркас, обтянутый полотном и усиленный проволочными растяжками. Каждый из двух основных слегка килс-ватых поплавков образовывался ясеневым внутренним набором и комбинированной обшивкой из фанеры в верхней части и тонких досок красного дерева на медных заклепках внизу до ватерлинии. Для выбора наиболее удачной формы поплавков были произведены испытания их моделей в Опытовом бассейне Морского ведомства. Водное шасси включало в себя систему стоек, изготовленных из стальных труб с обтекателями (2843).</w:t>
      </w:r>
    </w:p>
    <w:p w14:paraId="47AEB5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6BC54C" w14:textId="77777777" w:rsidR="00644C44"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57CA9D0" w14:textId="77777777" w:rsidR="00644C44" w:rsidRPr="002F2FDF" w:rsidRDefault="00644C4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8B42B1" w14:textId="77777777" w:rsidR="00644C44" w:rsidRPr="002F2FDF" w:rsidRDefault="00644C44" w:rsidP="0083075A">
      <w:pPr>
        <w:pStyle w:val="ae"/>
        <w:spacing w:before="0" w:after="0"/>
        <w:jc w:val="both"/>
        <w:rPr>
          <w:color w:val="000000" w:themeColor="text1"/>
          <w:kern w:val="2"/>
          <w:sz w:val="16"/>
          <w:szCs w:val="16"/>
        </w:rPr>
      </w:pPr>
      <w:r w:rsidRPr="002F2FDF">
        <w:rPr>
          <w:color w:val="000000" w:themeColor="text1"/>
          <w:kern w:val="2"/>
          <w:sz w:val="16"/>
          <w:szCs w:val="16"/>
        </w:rPr>
        <w:t>13 (26) октября 1917 немецкая эскадра обстреляла порт и русские береговые укрепления в Залисмюнде (ныне Салацгрива на севере Латвии) (17045).</w:t>
      </w:r>
    </w:p>
    <w:p w14:paraId="6B8A47A1" w14:textId="77777777" w:rsidR="00644C44" w:rsidRPr="002F2FDF" w:rsidRDefault="00644C4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378398" w14:textId="21570B83" w:rsidR="000551B1" w:rsidRPr="00FB4F67" w:rsidRDefault="000551B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13 (</w:t>
      </w:r>
      <w:r w:rsidRPr="00FB4F67">
        <w:rPr>
          <w:rFonts w:ascii="Times New Roman" w:hAnsi="Times New Roman" w:cs="Times New Roman"/>
          <w:color w:val="0070C0"/>
          <w:sz w:val="16"/>
          <w:szCs w:val="16"/>
        </w:rPr>
        <w:t>26</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неприятельский аэроплан подверг бомбардировке район д. Витчовка, сбросив шесть бомб. На следующий день был совершен налет на наши объекты в д. Сыдонувка. Одновременно противник проводил усиленную воздушную разведку на Подкаменском и Волочиском направлениях (23405).</w:t>
      </w:r>
    </w:p>
    <w:p w14:paraId="40C04672" w14:textId="77777777" w:rsidR="000551B1" w:rsidRPr="00FB4F67" w:rsidRDefault="000551B1" w:rsidP="0083075A">
      <w:pPr>
        <w:spacing w:after="0" w:line="240" w:lineRule="auto"/>
        <w:jc w:val="both"/>
        <w:rPr>
          <w:rFonts w:ascii="Times New Roman" w:hAnsi="Times New Roman" w:cs="Times New Roman"/>
          <w:color w:val="0070C0"/>
          <w:sz w:val="16"/>
          <w:szCs w:val="16"/>
        </w:rPr>
      </w:pPr>
    </w:p>
    <w:p w14:paraId="32EAE8B2" w14:textId="77777777" w:rsidR="00644C44"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8EDBC38" w14:textId="77777777" w:rsidR="00644C44" w:rsidRPr="002F2FDF" w:rsidRDefault="00644C4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5A9C17" w14:textId="77777777" w:rsidR="00644C44" w:rsidRPr="002F2FDF" w:rsidRDefault="00644C44" w:rsidP="0083075A">
      <w:pPr>
        <w:pStyle w:val="ae"/>
        <w:spacing w:before="0" w:after="0"/>
        <w:jc w:val="both"/>
        <w:rPr>
          <w:color w:val="000000" w:themeColor="text1"/>
          <w:kern w:val="2"/>
          <w:sz w:val="16"/>
          <w:szCs w:val="16"/>
        </w:rPr>
      </w:pPr>
      <w:r w:rsidRPr="002F2FDF">
        <w:rPr>
          <w:color w:val="000000" w:themeColor="text1"/>
          <w:kern w:val="2"/>
          <w:sz w:val="16"/>
          <w:szCs w:val="16"/>
        </w:rPr>
        <w:t>13 (26) октября 1917 войска союзников возобновили атаки на германские позиции в окрестностях города Ипр на западе Бельгии. На этот раз они штурмовали деревню Пашендейл (фламандский вариант — Пассендале), по названию которой продолжавшиеся еще с июля в этом районе бои вошли в историю как Битва при Пашендейле. Главная роль отводилась канадским частям, которых по флангам поддерживали британцы и французы. Добиться успеха в этот день, однако, наступавшим не удалось, и из-за непрекращающихся дождей и тяжелых потерь операция была отложена (17045).</w:t>
      </w:r>
    </w:p>
    <w:p w14:paraId="5622FFFC" w14:textId="77777777" w:rsidR="00644C44" w:rsidRPr="002F2FDF" w:rsidRDefault="00644C4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C35A64" w14:textId="77777777" w:rsidR="00644C44" w:rsidRPr="002F2FDF" w:rsidRDefault="00644C44" w:rsidP="0083075A">
      <w:pPr>
        <w:pStyle w:val="ae"/>
        <w:spacing w:before="0" w:after="0"/>
        <w:jc w:val="both"/>
        <w:rPr>
          <w:color w:val="000000" w:themeColor="text1"/>
          <w:kern w:val="2"/>
          <w:sz w:val="16"/>
          <w:szCs w:val="16"/>
        </w:rPr>
      </w:pPr>
      <w:r w:rsidRPr="002F2FDF">
        <w:rPr>
          <w:color w:val="000000" w:themeColor="text1"/>
          <w:kern w:val="2"/>
          <w:sz w:val="16"/>
          <w:szCs w:val="16"/>
        </w:rPr>
        <w:t>К 13 (26) октября 1917 немцы продвинулись уже на 10-15 км и заняли горный хребет, за которым им открывались широкие и плодородные равнины северной Италии. Из-за этого крупная итальянская группировка в районе реки Изонцо, чуть южнее, оказалась под угрозой полного окружения. В такой ситуации генерал Кадорна приказал войскам спешно отходить на запад на 20-40 км и создавать новую оборонительную линию на реке Тальяменто. Опыта столь масштабных передислокаций, особенно в условиях немногочисленных горных дорог, итальянская армия не имела, многие офицеры не могли организовать грамотный и продуманный отход, среди солдат царила паника. Еще больший хаос в колонны отступающих войск вносили тысячи беженцев.</w:t>
      </w:r>
    </w:p>
    <w:p w14:paraId="3C6F5AC3" w14:textId="77777777" w:rsidR="00644C44" w:rsidRPr="002F2FDF" w:rsidRDefault="00644C44" w:rsidP="0083075A">
      <w:pPr>
        <w:pStyle w:val="ae"/>
        <w:spacing w:before="0" w:after="0"/>
        <w:jc w:val="both"/>
        <w:rPr>
          <w:color w:val="000000" w:themeColor="text1"/>
          <w:kern w:val="2"/>
          <w:sz w:val="16"/>
          <w:szCs w:val="16"/>
        </w:rPr>
      </w:pPr>
      <w:r w:rsidRPr="002F2FDF">
        <w:rPr>
          <w:color w:val="000000" w:themeColor="text1"/>
          <w:kern w:val="2"/>
          <w:sz w:val="16"/>
          <w:szCs w:val="16"/>
        </w:rPr>
        <w:t>28 октября немцы и австрийцы вступили в крупный город Удине, где, помимо прочего, ранее находился итальянский штаб, и в Горицию (на северо-востоке современной Италии). Спешно отступавшим итальянцам пришлось взорвать всю свою артиллерию и боеприпасы, но противнику достались склады с продовольствием итальянской армии.</w:t>
      </w:r>
    </w:p>
    <w:p w14:paraId="16F9B9AB" w14:textId="77777777" w:rsidR="00644C44" w:rsidRPr="002F2FDF" w:rsidRDefault="00644C44" w:rsidP="0083075A">
      <w:pPr>
        <w:pStyle w:val="ae"/>
        <w:spacing w:before="0" w:after="0"/>
        <w:jc w:val="both"/>
        <w:rPr>
          <w:color w:val="000000" w:themeColor="text1"/>
          <w:kern w:val="2"/>
          <w:sz w:val="16"/>
          <w:szCs w:val="16"/>
        </w:rPr>
      </w:pPr>
      <w:r w:rsidRPr="002F2FDF">
        <w:rPr>
          <w:color w:val="000000" w:themeColor="text1"/>
          <w:kern w:val="2"/>
          <w:sz w:val="16"/>
          <w:szCs w:val="16"/>
        </w:rPr>
        <w:t>Масштабы неожиданного успеха поражали даже самих немцев, включая командующего Эриха Людендорфа, который в те дни сожалел, что не смог найти для Итальянского фронта еще несколько дивизий — тогда у немцев и австрийцев были бы реальные шансы вообще вывести Италию из войны.</w:t>
      </w:r>
    </w:p>
    <w:p w14:paraId="05548BE6" w14:textId="6A93BE2A" w:rsidR="00644C44" w:rsidRPr="002F2FDF" w:rsidRDefault="00644C4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На этом фоне французское командование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наконец</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начало срочную переброску подкреплений на помощь итальянцам. Военный историк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генерал Андрей Зайончковский</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писал: «Часть автомобилей была перевезена [французами] по железной дороге в Ниццу, в течение двух недель они работали по подвозу пехоты и снабжения. Часть автоколонн самостоятельно перешла [из Франции] через Альпы, совершив переход через горные перевалы высотой в 1500 метров по дорогам, покрытым снегом, с крутыми поворотами и частыми подъемами» (17045).</w:t>
      </w:r>
    </w:p>
    <w:p w14:paraId="1787A191" w14:textId="77777777" w:rsidR="00644C44" w:rsidRPr="002F2FDF" w:rsidRDefault="00644C4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4DF53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EC437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9266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октября 1917 был испытан с нагрузкой 500 кг одноместный самолет Анадис с двигателем Испано в 140-150 нр и монококовым фюзеляжем, который с 23 октября по 11 ноября 1916 проходили испытания и до осени 1917 оставался на заводе А.А.Анатра. В сентябре 1917 ш-к Н.А.Макаров возбудил ходатайство о перелете на этой машине по маршруту Одесса-Салоники-Рим-Марсель-Париж-Россия. Полет разрешили (92,175).</w:t>
      </w:r>
    </w:p>
    <w:p w14:paraId="038046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1EB5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октября 1917 Анадис испытали в воздухе с полной нагрузкой 500 кг. Интересно, что в дополнение к опознавательным русским кокардам "Анадис" весьма живописно раскрасили: на фюзеляже нарисовали двуглавого орла и флаги стран Антанты, а на крыльях - полуобнаженных девушек. Спустя два месяца летчик, Макаров отправился в перелет, однако из-за отказа двигателя потерпел аварию в районе г.Яссы, в Румынии. Дальнейшая история самолета неизвестна (9806).</w:t>
      </w:r>
    </w:p>
    <w:p w14:paraId="143851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9E43C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59A04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A3D8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октября 1917 1-я БАГ по приказу коман</w:t>
      </w:r>
      <w:r w:rsidRPr="002F2FDF">
        <w:rPr>
          <w:rFonts w:ascii="Times New Roman" w:hAnsi="Times New Roman" w:cs="Times New Roman"/>
          <w:color w:val="000000" w:themeColor="text1"/>
          <w:kern w:val="2"/>
          <w:sz w:val="16"/>
          <w:szCs w:val="16"/>
        </w:rPr>
        <w:softHyphen/>
        <w:t>дования перелетела на новое место стоянки в Дунаевцы. По мнению ко</w:t>
      </w:r>
      <w:r w:rsidRPr="002F2FDF">
        <w:rPr>
          <w:rFonts w:ascii="Times New Roman" w:hAnsi="Times New Roman" w:cs="Times New Roman"/>
          <w:color w:val="000000" w:themeColor="text1"/>
          <w:kern w:val="2"/>
          <w:sz w:val="16"/>
          <w:szCs w:val="16"/>
        </w:rPr>
        <w:softHyphen/>
        <w:t>мандования, такое расположение группы позволяло с уходом француз</w:t>
      </w:r>
      <w:r w:rsidRPr="002F2FDF">
        <w:rPr>
          <w:rFonts w:ascii="Times New Roman" w:hAnsi="Times New Roman" w:cs="Times New Roman"/>
          <w:color w:val="000000" w:themeColor="text1"/>
          <w:kern w:val="2"/>
          <w:sz w:val="16"/>
          <w:szCs w:val="16"/>
        </w:rPr>
        <w:softHyphen/>
        <w:t>ского дивизиона из Каменец-Подольска передать ей задачи по прикрытию района Нижнего Збруча (3954).</w:t>
      </w:r>
    </w:p>
    <w:p w14:paraId="28C356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251956" w14:textId="4E0A251C" w:rsidR="000551B1" w:rsidRPr="00FB4F67" w:rsidRDefault="000551B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14 (</w:t>
      </w:r>
      <w:r w:rsidRPr="00FB4F67">
        <w:rPr>
          <w:rFonts w:ascii="Times New Roman" w:hAnsi="Times New Roman" w:cs="Times New Roman"/>
          <w:color w:val="0070C0"/>
          <w:sz w:val="16"/>
          <w:szCs w:val="16"/>
        </w:rPr>
        <w:t>27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в полосе Юго-Западного фронта в районе севернее д. Погост-Заречный, вследствие порчи мотора, упал германский самолет. При падении аппарат загорелся и упал на землю, объятый пламенем. Экипаж самолета (два офицера), входившего в состав 218-го германского авиационного отряда, взят в плен. По другой версии - неприятельский летательный аппарат совершил вынужденную посадку у с. Иванчицы (Ровненская обл.) в районе дислокации 31-го армейского корпуса. Перед своим пленением немцы сумели его сжечь на земле. Ранее в полосе ответственности корпуса были отмечены полеты до 15 самолетов противника с бомбардировкой места </w:t>
      </w:r>
      <w:bookmarkStart w:id="377" w:name="bookmark1012"/>
      <w:bookmarkStart w:id="378" w:name="bookmark1013"/>
      <w:r w:rsidRPr="00FB4F67">
        <w:rPr>
          <w:rFonts w:ascii="Times New Roman" w:hAnsi="Times New Roman" w:cs="Times New Roman"/>
          <w:color w:val="0070C0"/>
          <w:sz w:val="16"/>
          <w:szCs w:val="16"/>
        </w:rPr>
        <w:t>дислокации его штаба (сброшено пять бомб). По данным разведки, над фронтом 11-й армии ЮЗФ было отмечено появление 26 неприятельских аэропланов. Один из них безрезультатно произвел бомбометание д. Сыдонувка (сброшено две бомбы) (23405).</w:t>
      </w:r>
      <w:bookmarkEnd w:id="377"/>
      <w:bookmarkEnd w:id="378"/>
    </w:p>
    <w:p w14:paraId="1E49AD25" w14:textId="77777777" w:rsidR="000551B1" w:rsidRPr="00FB4F67" w:rsidRDefault="000551B1" w:rsidP="0083075A">
      <w:pPr>
        <w:spacing w:after="0" w:line="240" w:lineRule="auto"/>
        <w:jc w:val="both"/>
        <w:rPr>
          <w:rFonts w:ascii="Times New Roman" w:hAnsi="Times New Roman" w:cs="Times New Roman"/>
          <w:color w:val="0070C0"/>
          <w:sz w:val="16"/>
          <w:szCs w:val="16"/>
        </w:rPr>
      </w:pPr>
    </w:p>
    <w:p w14:paraId="0B842110" w14:textId="183D92AD" w:rsidR="000551B1" w:rsidRPr="00FB4F67" w:rsidRDefault="000551B1" w:rsidP="0083075A">
      <w:pPr>
        <w:spacing w:after="0" w:line="240" w:lineRule="auto"/>
        <w:jc w:val="both"/>
        <w:rPr>
          <w:rFonts w:ascii="Times New Roman" w:hAnsi="Times New Roman" w:cs="Times New Roman"/>
          <w:color w:val="0070C0"/>
          <w:sz w:val="16"/>
          <w:szCs w:val="16"/>
        </w:rPr>
      </w:pPr>
      <w:bookmarkStart w:id="379" w:name="bookmark1024"/>
      <w:bookmarkStart w:id="380" w:name="bookmark1025"/>
      <w:r w:rsidRPr="00FB4F67">
        <w:rPr>
          <w:rFonts w:ascii="Times New Roman" w:hAnsi="Times New Roman" w:cs="Times New Roman"/>
          <w:color w:val="0070C0"/>
          <w:sz w:val="16"/>
          <w:szCs w:val="16"/>
        </w:rPr>
        <w:t xml:space="preserve">В период с </w:t>
      </w:r>
      <w:r>
        <w:rPr>
          <w:rFonts w:ascii="Times New Roman" w:hAnsi="Times New Roman" w:cs="Times New Roman"/>
          <w:color w:val="0070C0"/>
          <w:sz w:val="16"/>
          <w:szCs w:val="16"/>
        </w:rPr>
        <w:t>14 (</w:t>
      </w:r>
      <w:r w:rsidRPr="00FB4F67">
        <w:rPr>
          <w:rFonts w:ascii="Times New Roman" w:hAnsi="Times New Roman" w:cs="Times New Roman"/>
          <w:color w:val="0070C0"/>
          <w:sz w:val="16"/>
          <w:szCs w:val="16"/>
        </w:rPr>
        <w:t>27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по </w:t>
      </w:r>
      <w:r>
        <w:rPr>
          <w:rFonts w:ascii="Times New Roman" w:hAnsi="Times New Roman" w:cs="Times New Roman"/>
          <w:color w:val="0070C0"/>
          <w:sz w:val="16"/>
          <w:szCs w:val="16"/>
        </w:rPr>
        <w:t>21 октябпя (</w:t>
      </w:r>
      <w:r w:rsidRPr="00FB4F67">
        <w:rPr>
          <w:rFonts w:ascii="Times New Roman" w:hAnsi="Times New Roman" w:cs="Times New Roman"/>
          <w:color w:val="0070C0"/>
          <w:sz w:val="16"/>
          <w:szCs w:val="16"/>
        </w:rPr>
        <w:t>3 ноября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полосе Кавказского фронта были отмечены полеты четырех турецких самолетов. В Битлис- Ванском районе вражеские летчики безрезультатно провели бомбардировку позиций русских войск. По сведениям воздушной и агентурной разведки, турецкая сторона на Кавказском направлении имела группировку до 40 самолетов (из них около 10 аппаратов бомбардировочного типа) (23405).</w:t>
      </w:r>
      <w:bookmarkEnd w:id="379"/>
      <w:bookmarkEnd w:id="380"/>
    </w:p>
    <w:p w14:paraId="66F51443" w14:textId="77777777" w:rsidR="000551B1" w:rsidRPr="00FB4F67" w:rsidRDefault="000551B1" w:rsidP="0083075A">
      <w:pPr>
        <w:spacing w:after="0" w:line="240" w:lineRule="auto"/>
        <w:jc w:val="both"/>
        <w:rPr>
          <w:rFonts w:ascii="Times New Roman" w:hAnsi="Times New Roman" w:cs="Times New Roman"/>
          <w:color w:val="0070C0"/>
          <w:sz w:val="16"/>
          <w:szCs w:val="16"/>
        </w:rPr>
      </w:pPr>
    </w:p>
    <w:p w14:paraId="68D759A8" w14:textId="77777777" w:rsidR="00AD0B31" w:rsidRPr="002F2FDF" w:rsidRDefault="00AD0B3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8976101" w14:textId="77777777" w:rsidR="00AD0B31" w:rsidRPr="002F2FDF" w:rsidRDefault="00AD0B3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7132C9" w14:textId="3BCC4D81" w:rsidR="00AD0B31" w:rsidRPr="002F2FDF" w:rsidRDefault="00AD0B31"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14 (27) октября</w:t>
      </w:r>
      <w:r w:rsidR="00E52569">
        <w:rPr>
          <w:rStyle w:val="a7"/>
          <w:rFonts w:eastAsiaTheme="majorEastAsia"/>
          <w:b w:val="0"/>
          <w:color w:val="000000" w:themeColor="text1"/>
          <w:sz w:val="16"/>
          <w:szCs w:val="16"/>
        </w:rPr>
        <w:t xml:space="preserve"> </w:t>
      </w:r>
      <w:r w:rsidRPr="002F2FDF">
        <w:rPr>
          <w:rStyle w:val="a7"/>
          <w:rFonts w:eastAsiaTheme="majorEastAsia"/>
          <w:b w:val="0"/>
          <w:color w:val="000000" w:themeColor="text1"/>
          <w:sz w:val="16"/>
          <w:szCs w:val="16"/>
        </w:rPr>
        <w:t>1917</w:t>
      </w:r>
      <w:r w:rsidRPr="002F2FDF">
        <w:rPr>
          <w:color w:val="000000" w:themeColor="text1"/>
          <w:sz w:val="16"/>
          <w:szCs w:val="16"/>
        </w:rPr>
        <w:t xml:space="preserve"> в Москве начал свою работу Х Съезд Партии Конституционных Демократов («Народной Свободы», «кадетов»), закончил он свою работу 16 октября. Главный вопрос</w:t>
      </w:r>
      <w:r w:rsidR="00E52569">
        <w:rPr>
          <w:color w:val="000000" w:themeColor="text1"/>
          <w:sz w:val="16"/>
          <w:szCs w:val="16"/>
        </w:rPr>
        <w:t xml:space="preserve"> </w:t>
      </w:r>
      <w:r w:rsidRPr="002F2FDF">
        <w:rPr>
          <w:color w:val="000000" w:themeColor="text1"/>
          <w:sz w:val="16"/>
          <w:szCs w:val="16"/>
        </w:rPr>
        <w:t>– выборы в Учредительное собрание. Кадеты искали возможность повлиять в свою пользу на выборы в Учредительное собрание, но успеха не имели. Видный кадет В.Д.</w:t>
      </w:r>
      <w:r w:rsidR="00E52569">
        <w:rPr>
          <w:color w:val="000000" w:themeColor="text1"/>
          <w:sz w:val="16"/>
          <w:szCs w:val="16"/>
        </w:rPr>
        <w:t xml:space="preserve"> </w:t>
      </w:r>
      <w:r w:rsidRPr="002F2FDF">
        <w:rPr>
          <w:color w:val="000000" w:themeColor="text1"/>
          <w:sz w:val="16"/>
          <w:szCs w:val="16"/>
        </w:rPr>
        <w:t>Набоков назначен товарищем председателя «Всероссийской комиссии по выборам в Учредительное собрание». Отношение к войне было сформулировано так: «</w:t>
      </w:r>
      <w:r w:rsidRPr="002F2FDF">
        <w:rPr>
          <w:rStyle w:val="af0"/>
          <w:i w:val="0"/>
          <w:color w:val="000000" w:themeColor="text1"/>
          <w:sz w:val="16"/>
          <w:szCs w:val="16"/>
        </w:rPr>
        <w:t>война в полном согласии с союзниками до победного конца, восстановление боеспособности армии путем установления дисциплинарной власти начальников и введения в надлежащие рамки функций армейских комитетов</w:t>
      </w:r>
      <w:r w:rsidRPr="002F2FDF">
        <w:rPr>
          <w:color w:val="000000" w:themeColor="text1"/>
          <w:sz w:val="16"/>
          <w:szCs w:val="16"/>
        </w:rPr>
        <w:t>». И о государственной власти: «…</w:t>
      </w:r>
      <w:r w:rsidR="00E52569">
        <w:rPr>
          <w:color w:val="000000" w:themeColor="text1"/>
          <w:sz w:val="16"/>
          <w:szCs w:val="16"/>
        </w:rPr>
        <w:t xml:space="preserve"> </w:t>
      </w:r>
      <w:r w:rsidRPr="002F2FDF">
        <w:rPr>
          <w:rStyle w:val="af0"/>
          <w:i w:val="0"/>
          <w:color w:val="000000" w:themeColor="text1"/>
          <w:sz w:val="16"/>
          <w:szCs w:val="16"/>
        </w:rPr>
        <w:t>применение властью в надлежащих случаях принудительного аппарата, восстановление органов власти в провинции</w:t>
      </w:r>
      <w:r w:rsidRPr="002F2FDF">
        <w:rPr>
          <w:color w:val="000000" w:themeColor="text1"/>
          <w:sz w:val="16"/>
          <w:szCs w:val="16"/>
        </w:rPr>
        <w:t>» (18371).</w:t>
      </w:r>
    </w:p>
    <w:p w14:paraId="5BB6378A" w14:textId="77777777" w:rsidR="00AD0B31" w:rsidRPr="002F2FDF" w:rsidRDefault="00AD0B31" w:rsidP="0083075A">
      <w:pPr>
        <w:pStyle w:val="ae"/>
        <w:spacing w:before="0" w:after="0"/>
        <w:jc w:val="both"/>
        <w:rPr>
          <w:color w:val="000000" w:themeColor="text1"/>
          <w:sz w:val="16"/>
          <w:szCs w:val="16"/>
        </w:rPr>
      </w:pPr>
    </w:p>
    <w:p w14:paraId="787D7FE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1A081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354624" w14:textId="78CE2BF9" w:rsidR="00240462" w:rsidRPr="002F2FDF" w:rsidRDefault="0024046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14 (27) октября 1917 г. по требованию Инспекции ВВС Германии (IdFlieg) фирмы «Фоккер» и «Юнкерс» учредили совместное предприятие, чтобы первая компания получила опыт работы с прогрессивными свободнонесущими металлическими монопланами и навыки проектирования на основе инженерного расчета, а вторая</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переняла эффективную систему массового производства самолетов. Но методы работы больше пилота, чем инженера, Антона Фоккера и профессора без летных навыков Гуго Юнкерса оказались несовместимы (22877).</w:t>
      </w:r>
    </w:p>
    <w:p w14:paraId="4CD09DEE" w14:textId="77777777" w:rsidR="00240462" w:rsidRPr="002F2FDF" w:rsidRDefault="00240462" w:rsidP="0083075A">
      <w:pPr>
        <w:spacing w:after="0" w:line="240" w:lineRule="auto"/>
        <w:jc w:val="both"/>
        <w:rPr>
          <w:rFonts w:ascii="Times New Roman" w:hAnsi="Times New Roman" w:cs="Times New Roman"/>
          <w:color w:val="000000" w:themeColor="text1"/>
          <w:sz w:val="16"/>
          <w:szCs w:val="16"/>
        </w:rPr>
      </w:pPr>
    </w:p>
    <w:p w14:paraId="059241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октября 1917 в Нью Йорке состоялся парад 20 тыс. суфражисток (2100).</w:t>
      </w:r>
    </w:p>
    <w:p w14:paraId="56F85A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A2623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09FB8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7F31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октября 1917 погиб русский военный летчик Турун- даевский, командир 13-го корпусного авиаотряда. Турун- даевский на своем "Ньюпоре" вступил в бой с германским "Альбатросом" и умелым маневрированием вынудил немецкого пилота пересечь линию фронта в направлении русских позиций. Однако полностью прижать немцев к земле не успел, был сбит русской артиллерией (11999).</w:t>
      </w:r>
    </w:p>
    <w:p w14:paraId="0C8DA7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501C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октября 1917 в Петрограде состоялось пленарное заседание Съезда по технической обороне государства. Присутствовало 169 делегатов. Организовали 11 секций, включая воздушной разведки (3659).</w:t>
      </w:r>
    </w:p>
    <w:p w14:paraId="69570A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4BE31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октября 1917 в Петрограде состоялось пленарное заседание съезда по технической обороне государства. Присутствовало 169 делегатов, в том числе 68 от различных министерств и учреждений военного ведомства. Цель съезда - "необходимость выслушать от лучших людей новые идеи, которые могли бы послу</w:t>
      </w:r>
      <w:r w:rsidRPr="002F2FDF">
        <w:rPr>
          <w:rFonts w:ascii="Times New Roman" w:hAnsi="Times New Roman" w:cs="Times New Roman"/>
          <w:color w:val="000000" w:themeColor="text1"/>
          <w:kern w:val="2"/>
          <w:sz w:val="16"/>
          <w:szCs w:val="16"/>
        </w:rPr>
        <w:softHyphen/>
        <w:t>жить ко всемирному усилению техники и правильной ее органи</w:t>
      </w:r>
      <w:r w:rsidRPr="002F2FDF">
        <w:rPr>
          <w:rFonts w:ascii="Times New Roman" w:hAnsi="Times New Roman" w:cs="Times New Roman"/>
          <w:color w:val="000000" w:themeColor="text1"/>
          <w:kern w:val="2"/>
          <w:sz w:val="16"/>
          <w:szCs w:val="16"/>
        </w:rPr>
        <w:softHyphen/>
        <w:t>зации". Было организовано 11 секций, г том число и "Секция воздушной разведки".</w:t>
      </w:r>
    </w:p>
    <w:p w14:paraId="3954E3B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(ЦГАСА. ф.28, оп.1, д.15, лл.199,239).</w:t>
      </w:r>
    </w:p>
    <w:p w14:paraId="08B1D4C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DDDC78" w14:textId="77777777" w:rsidR="006F7B4F" w:rsidRPr="00815ED5" w:rsidRDefault="006F7B4F"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15 </w:t>
      </w:r>
      <w:r>
        <w:rPr>
          <w:rFonts w:ascii="Times New Roman" w:hAnsi="Times New Roman" w:cs="Times New Roman"/>
          <w:color w:val="0070C0"/>
          <w:sz w:val="16"/>
          <w:szCs w:val="16"/>
        </w:rPr>
        <w:t xml:space="preserve">(28) </w:t>
      </w:r>
      <w:r w:rsidRPr="00815ED5">
        <w:rPr>
          <w:rFonts w:ascii="Times New Roman" w:hAnsi="Times New Roman" w:cs="Times New Roman"/>
          <w:color w:val="0070C0"/>
          <w:sz w:val="16"/>
          <w:szCs w:val="16"/>
        </w:rPr>
        <w:t>октября</w:t>
      </w:r>
      <w:r>
        <w:rPr>
          <w:rFonts w:ascii="Times New Roman" w:hAnsi="Times New Roman" w:cs="Times New Roman"/>
          <w:color w:val="0070C0"/>
          <w:sz w:val="16"/>
          <w:szCs w:val="16"/>
        </w:rPr>
        <w:t xml:space="preserve">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815ED5">
        <w:rPr>
          <w:rFonts w:ascii="Times New Roman" w:hAnsi="Times New Roman" w:cs="Times New Roman"/>
          <w:color w:val="0070C0"/>
          <w:sz w:val="16"/>
          <w:szCs w:val="16"/>
        </w:rPr>
        <w:t xml:space="preserve"> Петрограде состоялось пленарное заседание с</w:t>
      </w:r>
      <w:r>
        <w:rPr>
          <w:rFonts w:ascii="Times New Roman" w:hAnsi="Times New Roman" w:cs="Times New Roman"/>
          <w:color w:val="0070C0"/>
          <w:sz w:val="16"/>
          <w:szCs w:val="16"/>
        </w:rPr>
        <w:t>ъ</w:t>
      </w:r>
      <w:r w:rsidRPr="00815ED5">
        <w:rPr>
          <w:rFonts w:ascii="Times New Roman" w:hAnsi="Times New Roman" w:cs="Times New Roman"/>
          <w:color w:val="0070C0"/>
          <w:sz w:val="16"/>
          <w:szCs w:val="16"/>
        </w:rPr>
        <w:t>езда по технической обороне государства.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Присутствовало 169 делегатов, в том числе 68 от различных министерств и учреждений военного ве</w:t>
      </w:r>
      <w:r w:rsidRPr="00815ED5">
        <w:rPr>
          <w:rFonts w:ascii="Times New Roman" w:hAnsi="Times New Roman" w:cs="Times New Roman"/>
          <w:color w:val="0070C0"/>
          <w:sz w:val="16"/>
          <w:szCs w:val="16"/>
        </w:rPr>
        <w:softHyphen/>
        <w:t xml:space="preserve">домства. </w:t>
      </w:r>
      <w:r>
        <w:rPr>
          <w:rFonts w:ascii="Times New Roman" w:hAnsi="Times New Roman" w:cs="Times New Roman"/>
          <w:color w:val="0070C0"/>
          <w:sz w:val="16"/>
          <w:szCs w:val="16"/>
        </w:rPr>
        <w:t>Ц</w:t>
      </w:r>
      <w:r w:rsidRPr="00815ED5">
        <w:rPr>
          <w:rFonts w:ascii="Times New Roman" w:hAnsi="Times New Roman" w:cs="Times New Roman"/>
          <w:color w:val="0070C0"/>
          <w:sz w:val="16"/>
          <w:szCs w:val="16"/>
        </w:rPr>
        <w:t>ель с</w:t>
      </w:r>
      <w:r>
        <w:rPr>
          <w:rFonts w:ascii="Times New Roman" w:hAnsi="Times New Roman" w:cs="Times New Roman"/>
          <w:color w:val="0070C0"/>
          <w:sz w:val="16"/>
          <w:szCs w:val="16"/>
        </w:rPr>
        <w:t>ъ</w:t>
      </w:r>
      <w:r w:rsidRPr="00815ED5">
        <w:rPr>
          <w:rFonts w:ascii="Times New Roman" w:hAnsi="Times New Roman" w:cs="Times New Roman"/>
          <w:color w:val="0070C0"/>
          <w:sz w:val="16"/>
          <w:szCs w:val="16"/>
        </w:rPr>
        <w:t>езда - "необходимость выслушать от лучших людей новые идеи, которые могли бы послужить ко всемерному усилению тех</w:t>
      </w:r>
      <w:r w:rsidRPr="00815ED5">
        <w:rPr>
          <w:rFonts w:ascii="Times New Roman" w:hAnsi="Times New Roman" w:cs="Times New Roman"/>
          <w:color w:val="0070C0"/>
          <w:sz w:val="16"/>
          <w:szCs w:val="16"/>
        </w:rPr>
        <w:softHyphen/>
        <w:t>ники и правильной ее организации”.</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Было организовано 11 секций,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 том числе и “Секция воздушной разв</w:t>
      </w:r>
      <w:r>
        <w:rPr>
          <w:rFonts w:ascii="Times New Roman" w:hAnsi="Times New Roman" w:cs="Times New Roman"/>
          <w:color w:val="0070C0"/>
          <w:sz w:val="16"/>
          <w:szCs w:val="16"/>
        </w:rPr>
        <w:t>е</w:t>
      </w:r>
      <w:r w:rsidRPr="00815ED5">
        <w:rPr>
          <w:rFonts w:ascii="Times New Roman" w:hAnsi="Times New Roman" w:cs="Times New Roman"/>
          <w:color w:val="0070C0"/>
          <w:sz w:val="16"/>
          <w:szCs w:val="16"/>
        </w:rPr>
        <w:t>дки”.</w:t>
      </w:r>
    </w:p>
    <w:p w14:paraId="685FD9C8" w14:textId="77777777" w:rsidR="006F7B4F" w:rsidRDefault="006F7B4F"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Ц</w:t>
      </w:r>
      <w:r w:rsidRPr="00815ED5">
        <w:rPr>
          <w:rFonts w:ascii="Times New Roman" w:hAnsi="Times New Roman" w:cs="Times New Roman"/>
          <w:color w:val="0070C0"/>
          <w:sz w:val="16"/>
          <w:szCs w:val="16"/>
        </w:rPr>
        <w:t>ГАСА,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28,</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д. 15</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199,239/</w:t>
      </w:r>
      <w:r>
        <w:rPr>
          <w:rFonts w:ascii="Times New Roman" w:hAnsi="Times New Roman" w:cs="Times New Roman"/>
          <w:color w:val="0070C0"/>
          <w:sz w:val="16"/>
          <w:szCs w:val="16"/>
        </w:rPr>
        <w:t xml:space="preserve"> (23320).</w:t>
      </w:r>
    </w:p>
    <w:p w14:paraId="4032C6F7" w14:textId="77777777" w:rsidR="006F7B4F" w:rsidRPr="00815ED5" w:rsidRDefault="006F7B4F" w:rsidP="0083075A">
      <w:pPr>
        <w:spacing w:after="0" w:line="240" w:lineRule="auto"/>
        <w:jc w:val="both"/>
        <w:rPr>
          <w:rFonts w:ascii="Times New Roman" w:hAnsi="Times New Roman" w:cs="Times New Roman"/>
          <w:color w:val="0070C0"/>
          <w:sz w:val="16"/>
          <w:szCs w:val="16"/>
        </w:rPr>
      </w:pPr>
    </w:p>
    <w:p w14:paraId="293DA214" w14:textId="77777777" w:rsidR="00644C44"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C7F986E" w14:textId="77777777" w:rsidR="00644C44" w:rsidRPr="002F2FDF" w:rsidRDefault="00644C4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079286" w14:textId="16AD1202" w:rsidR="00644C44" w:rsidRPr="002F2FDF" w:rsidRDefault="00644C44" w:rsidP="0083075A">
      <w:pPr>
        <w:pStyle w:val="ae"/>
        <w:spacing w:before="0" w:after="0"/>
        <w:jc w:val="both"/>
        <w:rPr>
          <w:color w:val="000000" w:themeColor="text1"/>
          <w:kern w:val="2"/>
          <w:sz w:val="16"/>
          <w:szCs w:val="16"/>
        </w:rPr>
      </w:pPr>
      <w:r w:rsidRPr="002F2FDF">
        <w:rPr>
          <w:color w:val="000000" w:themeColor="text1"/>
          <w:kern w:val="2"/>
          <w:sz w:val="16"/>
          <w:szCs w:val="16"/>
        </w:rPr>
        <w:t>15 (28) октября 1917 газета «Русские ведомости» (№236) сообщила о бесчинствах, творимых солдатами на железных дорогах, и жалобах на них со стороны железнодорожников. В Кременчуге, Воронеже и Липецке солдаты грабили грузовые составы и</w:t>
      </w:r>
      <w:r w:rsidR="00E52569">
        <w:rPr>
          <w:color w:val="000000" w:themeColor="text1"/>
          <w:kern w:val="2"/>
          <w:sz w:val="16"/>
          <w:szCs w:val="16"/>
        </w:rPr>
        <w:t xml:space="preserve"> </w:t>
      </w:r>
      <w:r w:rsidRPr="002F2FDF">
        <w:rPr>
          <w:color w:val="000000" w:themeColor="text1"/>
          <w:kern w:val="2"/>
          <w:sz w:val="16"/>
          <w:szCs w:val="16"/>
        </w:rPr>
        <w:t>багаж пассажиров, нападали на самих пассажиров. В Воронеже и Бологом они громили также сами вагоны, выбивая стекла и ломая крыши. «Работать невозможно», — жаловались железнодорожники. В Белгороде погром перекинулся и на город, где дезертиры и присоединившиеся к ним местные жители разгромили продуктовые магазины и богатые дома (17045).</w:t>
      </w:r>
    </w:p>
    <w:p w14:paraId="6B8CDAFF" w14:textId="77777777" w:rsidR="00644C44" w:rsidRPr="002F2FDF" w:rsidRDefault="00644C4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61370B" w14:textId="3A28084F" w:rsidR="00C82BFF" w:rsidRDefault="00C82BFF"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26ED1B70" w14:textId="77777777" w:rsidR="00C82BFF" w:rsidRDefault="00C82BFF"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142610A" w14:textId="77777777" w:rsidR="00C82BFF" w:rsidRPr="00FB4F67" w:rsidRDefault="00C82BF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28 октября 1917 г. в полосе Юго-Западного фронта противник выполнил 10 самолето-вылетов, сбросив бомбу на станцию Волочиск. В тот же день в районе южнее г. Пинск упал и сгорел немецкий аэроплан. Неприятельские летчики попали в плен (23405).</w:t>
      </w:r>
    </w:p>
    <w:p w14:paraId="1A91B62B" w14:textId="77777777" w:rsidR="00C82BFF" w:rsidRPr="00FB4F67" w:rsidRDefault="00C82BFF" w:rsidP="0083075A">
      <w:pPr>
        <w:spacing w:after="0" w:line="240" w:lineRule="auto"/>
        <w:jc w:val="both"/>
        <w:rPr>
          <w:rFonts w:ascii="Times New Roman" w:hAnsi="Times New Roman" w:cs="Times New Roman"/>
          <w:color w:val="0070C0"/>
          <w:sz w:val="16"/>
          <w:szCs w:val="16"/>
        </w:rPr>
      </w:pPr>
    </w:p>
    <w:p w14:paraId="63065B12" w14:textId="77777777" w:rsidR="00C82BFF" w:rsidRPr="00FB4F67" w:rsidRDefault="00C82BF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28 октября 1917 г. попытка германских летчиков осуществить бомбардировку румынского порта Сулин завершилась для них неудачно. Поднятые по тревоге русские истребители в коротком бою сумели подбить два неприятельских аппарата, опустившиеся в расположении своих войск (23405).</w:t>
      </w:r>
    </w:p>
    <w:p w14:paraId="05E0BE60" w14:textId="77777777" w:rsidR="00C82BFF" w:rsidRPr="00FB4F67" w:rsidRDefault="00C82BFF" w:rsidP="0083075A">
      <w:pPr>
        <w:spacing w:after="0" w:line="240" w:lineRule="auto"/>
        <w:jc w:val="both"/>
        <w:rPr>
          <w:rFonts w:ascii="Times New Roman" w:hAnsi="Times New Roman" w:cs="Times New Roman"/>
          <w:color w:val="0070C0"/>
          <w:sz w:val="16"/>
          <w:szCs w:val="16"/>
        </w:rPr>
      </w:pPr>
    </w:p>
    <w:p w14:paraId="15BA4AF2" w14:textId="798964CE"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6D9E5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418E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октября 1917 управляемый с самолета немецкий катер, начиненный взрывчаткой (был разработан и изготовлен еще к концу 1915, имел водоизмещение 6 т и скорость до 30 узлов, дальность 50 км и 200 кг взрывчатки) был успешно использован для атаки по английским кораблям в море и подорвали монитор (3415,24).</w:t>
      </w:r>
    </w:p>
    <w:p w14:paraId="3DFD3E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62BA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ок</w:t>
      </w:r>
      <w:r w:rsidRPr="002F2FDF">
        <w:rPr>
          <w:rFonts w:ascii="Times New Roman" w:hAnsi="Times New Roman" w:cs="Times New Roman"/>
          <w:color w:val="000000" w:themeColor="text1"/>
          <w:kern w:val="2"/>
          <w:sz w:val="16"/>
          <w:szCs w:val="16"/>
        </w:rPr>
        <w:softHyphen/>
        <w:t>тября 1917 г. в 40 милях от Остенде немецкие радиоуправляемые катера повредили британский монитор “Эребус” водоизмещением 8586 т. Монитор получил сильные повреждения, но сумел вернуться в порт. Взрывающиеся катера были созданны цо проекту доктора Сименса — главы компании “Сименс — Шункерт”. Часть катеров управлялась по электропроводам длиной около 20 миль, а часть — по радио. Оператор управлял катерами с берега или с борта гидросамолета (10675).</w:t>
      </w:r>
    </w:p>
    <w:p w14:paraId="61ACA0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9177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октября 1917 г., наконец, удалась атака по английским кораблям в море: был подорван монитор, надолго вышедший из строя. Этим собственно и исчерпываются успехи взрывающихся катеров в первой мировой войне. К юнцу 1915 года в Германии были изготовлены уже боевые взрывающиеся катера. Их водоизмещение составляло 6 т, скорость — до 30 узлов. Катер нес взрывчатый заряд весом более 200 кг и мог наводиться на цель по радио с берегового поста на дальности до 40 км. При корректировке с самолета дальность действия катера увеличивалась до 50 км. Катера базировались на захваченных бельгийских портах и с их помощью было предпринято несколько попыток атаковать неприятеля. Первая такая попытка (впервые в истории) 24 апреля 1917 г. была неудачной: на катере вышла из строя радиоустановка (11916).</w:t>
      </w:r>
    </w:p>
    <w:p w14:paraId="05A69B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B0F24E"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октября 1917 г. в 40 милях от Остенде был атакован британский монитор «Эребус» водоизмещением 8586 т. Монитор получил сильные повреждения, но сумел вернуться в порт (15117).</w:t>
      </w:r>
    </w:p>
    <w:p w14:paraId="164C7BF8"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p>
    <w:p w14:paraId="0F3CA6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октября 1917 премьер-министром Италии стал Витторио Орландо (3907,91).</w:t>
      </w:r>
    </w:p>
    <w:p w14:paraId="24CF01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863D91" w14:textId="77777777" w:rsidR="00AD0B31" w:rsidRPr="002F2FDF" w:rsidRDefault="00AD0B3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CF4C0D0" w14:textId="77777777" w:rsidR="00AD0B31" w:rsidRPr="002F2FDF" w:rsidRDefault="00AD0B3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95BCEF" w14:textId="77777777" w:rsidR="00AD0B31" w:rsidRPr="002F2FDF" w:rsidRDefault="00AD0B3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середине октября 1917 накануне Октябрьского переворота воздушный флот России представлял собой внушительную силу. В него входило свыше 300 различных частей и подразделений, в том числе 14 авиационных дивизионов, 91 авиаотряд, Эскадра воздушных кораблей «Илья Муромец» (4 боевых отряда), 87 воздухоплавательных отрядов, 32 гидроотряда, 11 авиационных и воздухоплавательных школ, дивизион корабельной авиации, восемь авиапарков, а также многочисленные поезда-мастерские, авиабазы, воздухоплавательные парки и т.д. В этих частях насчитывалось до 35000 солдат и офицеров и около 1500 аэропланов различных типов.</w:t>
      </w:r>
    </w:p>
    <w:p w14:paraId="2F7E00B4" w14:textId="77777777" w:rsidR="00AD0B31" w:rsidRPr="002F2FDF" w:rsidRDefault="00AD0B3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Руководство воздушным флотом распределялось между тремя центральными органами. Авиацией внутренних военных округов, учебными заведениями, организацией снабжения фронтовых частей и закупкой авиатехники ведало Управление Военно-воздушного флота (Увофлот или УВВФ), подчинявшееся военному министру. После Февральской революции во главе Увофлота встал профессор Николаевской военно-инженерной академии, генерал-майор Д.В.Яковлев.</w:t>
      </w:r>
    </w:p>
    <w:p w14:paraId="0FEDD82E" w14:textId="77777777" w:rsidR="00AD0B31" w:rsidRPr="002F2FDF" w:rsidRDefault="00AD0B3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Авиацию ВМФ возглавляло Управление морской авиации (УМА).</w:t>
      </w:r>
    </w:p>
    <w:p w14:paraId="328B0792" w14:textId="56D9828B" w:rsidR="00AD0B31" w:rsidRPr="002F2FDF" w:rsidRDefault="00AD0B3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Наконец, боевым применением авиации на фронтах руководило Полевое управление авиации и воздухоплавания при штабе Верховного главнокомандующего (ПУАиВ), образованное 16 апреля 1917 г. (в 1917 году все даты даны по старому стилю, в дальнейшем – по новому.</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Прим. авт.) на базе «Авиаканца» – Канцелярии полевого генерал-инспектора авиации, ранее выполнявшей аналогичные функции. Очевидно, «по-инерции» в тогдашних документах новообразованное Управление нередко продолжали именовать «Авиаканцем». 23 апреля начальником ПУАиВ с правами командира корпуса был назначен полковник С.А. Немченко.</w:t>
      </w:r>
    </w:p>
    <w:p w14:paraId="1AAE41FC" w14:textId="77777777" w:rsidR="00AD0B31" w:rsidRPr="002F2FDF" w:rsidRDefault="00AD0B3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Затем его ненадолго сменил более популярный в авиационных кругах полковник С.А. Ульянин, ранее являвшийся заместителем начальника УВВФ. Но вскоре, сославшись на незнание специфики действий фронтовой авиации, он, так и не приступив к своим обязанностям, и даже не приехав в Ставку, вернулся на прежнюю должность.</w:t>
      </w:r>
    </w:p>
    <w:p w14:paraId="2A262123" w14:textId="393BA4CE" w:rsidR="00AD0B31" w:rsidRPr="002F2FDF" w:rsidRDefault="00AD0B3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9</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июня начальником ПУАиВ был назначен известный боевой летчик подполковник (с августа – полковник) В.М. Ткачев, начавший воевать еще в 1914 году в составе 11-го корпусного авиаотряда, а затем возглавлявший 20-й корпусной авиаотряд и инспекцию авиации Юго-Западного фронта.</w:t>
      </w:r>
    </w:p>
    <w:p w14:paraId="13D20539" w14:textId="77777777" w:rsidR="00AD0B31" w:rsidRPr="002F2FDF" w:rsidRDefault="00AD0B3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сентябре 1917-го на волне всеобщей демократизации возник еще один руководящий орган – Всероссийский совет авиации (Авиасовет), избранный Первым Всероссийским авиационным съездом и утвержденный приказом военного министра генерал-майора Верховского. Эту общественную организацию с непонятным статусом, но большими амбициями возглавил летчик-наблюдатель член партии эсеров поручик Д.Д. Хризосколео. Многопартийный состав Авиасовета обусловил его </w:t>
      </w:r>
      <w:r w:rsidRPr="002F2FDF">
        <w:rPr>
          <w:rFonts w:ascii="Times New Roman" w:hAnsi="Times New Roman" w:cs="Times New Roman"/>
          <w:color w:val="000000" w:themeColor="text1"/>
          <w:sz w:val="16"/>
          <w:szCs w:val="16"/>
        </w:rPr>
        <w:lastRenderedPageBreak/>
        <w:t>раскол сразу же после октябрьского переворота. Часть депутатов по тем или иным соображениям поддержала большевиков, остальные же встретили очередную революцию в штыки.</w:t>
      </w:r>
    </w:p>
    <w:p w14:paraId="7B1F1673" w14:textId="77777777" w:rsidR="00AD0B31" w:rsidRPr="002F2FDF" w:rsidRDefault="00AD0B3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Через день после своего знаменитого бегства из Зимнего дворца председатель Временного правительства Керенский пытался организовать поход казачьих дивизий на Петроград для восстановления «законной власти». Поначалу его поддержали пилоты Гатчинской летной школы. 30 октября два аэроплана разбросали над столицей антибольшевистские листовки, однако этим и ограничилось их участие в «наведении порядка». Вскоре в Гатчину нагрянули отряды революционных матросов. Офицеры в большинстве своем разбежались, а оставшиеся нижние чины перешли на сторону красных. Вскоре большинство авиаотрядов Петроградского военного округа объявили себя «воздушными отрядами красной гвардии». Так началось зарождение советских военно-воздушных сил (18562).</w:t>
      </w:r>
    </w:p>
    <w:p w14:paraId="72AD2333" w14:textId="77777777" w:rsidR="00AD0B31" w:rsidRPr="002F2FDF" w:rsidRDefault="00AD0B31" w:rsidP="0083075A">
      <w:pPr>
        <w:spacing w:after="0" w:line="240" w:lineRule="auto"/>
        <w:jc w:val="both"/>
        <w:rPr>
          <w:rFonts w:ascii="Times New Roman" w:hAnsi="Times New Roman" w:cs="Times New Roman"/>
          <w:color w:val="000000" w:themeColor="text1"/>
          <w:sz w:val="16"/>
          <w:szCs w:val="16"/>
        </w:rPr>
      </w:pPr>
    </w:p>
    <w:p w14:paraId="178FA6EC" w14:textId="77777777" w:rsidR="008F5998" w:rsidRPr="00FB4F67" w:rsidRDefault="008F599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середине октября 1917 г. 3-й боевой отряд ЭВК, которым командовал штабс капитан И.С. Башко, получил приказ переброситься из Стриховцев на Юго-Западном фронте в Станьково, под Минском, на Западном фронте, с ИМ-Киевским, ИМ-XIII, ИМ-XI. и ИМ-XV (23525).</w:t>
      </w:r>
    </w:p>
    <w:p w14:paraId="7D035E15" w14:textId="77777777" w:rsidR="008F5998" w:rsidRPr="00FB4F67" w:rsidRDefault="008F5998" w:rsidP="0083075A">
      <w:pPr>
        <w:spacing w:after="0" w:line="240" w:lineRule="auto"/>
        <w:jc w:val="both"/>
        <w:rPr>
          <w:rFonts w:ascii="Times New Roman" w:hAnsi="Times New Roman" w:cs="Times New Roman"/>
          <w:color w:val="0070C0"/>
          <w:sz w:val="16"/>
          <w:szCs w:val="16"/>
        </w:rPr>
      </w:pPr>
    </w:p>
    <w:p w14:paraId="772C4B3E" w14:textId="77777777" w:rsidR="00507A1A"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94F8321" w14:textId="77777777" w:rsidR="00507A1A" w:rsidRPr="002F2FDF" w:rsidRDefault="00507A1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6681B2"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октября 1917 у ангара на Комендантском аэродроме с истребителем Ботезата был вы</w:t>
      </w:r>
      <w:r w:rsidRPr="002F2FDF">
        <w:rPr>
          <w:rFonts w:ascii="Times New Roman" w:hAnsi="Times New Roman" w:cs="Times New Roman"/>
          <w:color w:val="000000" w:themeColor="text1"/>
          <w:kern w:val="2"/>
          <w:sz w:val="16"/>
          <w:szCs w:val="16"/>
        </w:rPr>
        <w:softHyphen/>
        <w:t>ставлен караул, а через неделю в Петрограде произошел большевистский переворот, и события стали развиваться так, что ни на какое продолжение ра</w:t>
      </w:r>
      <w:r w:rsidRPr="002F2FDF">
        <w:rPr>
          <w:rFonts w:ascii="Times New Roman" w:hAnsi="Times New Roman" w:cs="Times New Roman"/>
          <w:color w:val="000000" w:themeColor="text1"/>
          <w:kern w:val="2"/>
          <w:sz w:val="16"/>
          <w:szCs w:val="16"/>
        </w:rPr>
        <w:softHyphen/>
        <w:t>бот, казалось бы, рассчитывать уже не приходилось. Однако механики «ДЕКА» под руководством Ботезата, которому сначала удавалось поддерживать хоро</w:t>
      </w:r>
      <w:r w:rsidRPr="002F2FDF">
        <w:rPr>
          <w:rFonts w:ascii="Times New Roman" w:hAnsi="Times New Roman" w:cs="Times New Roman"/>
          <w:color w:val="000000" w:themeColor="text1"/>
          <w:kern w:val="2"/>
          <w:sz w:val="16"/>
          <w:szCs w:val="16"/>
        </w:rPr>
        <w:softHyphen/>
        <w:t>шие отношения с новой властью, на одном энтузиазме, без зарплаты, в холод</w:t>
      </w:r>
      <w:r w:rsidRPr="002F2FDF">
        <w:rPr>
          <w:rFonts w:ascii="Times New Roman" w:hAnsi="Times New Roman" w:cs="Times New Roman"/>
          <w:color w:val="000000" w:themeColor="text1"/>
          <w:kern w:val="2"/>
          <w:sz w:val="16"/>
          <w:szCs w:val="16"/>
        </w:rPr>
        <w:softHyphen/>
        <w:t>ном ангаре на Комендантском аэродроме в середине декабря 1917 г. все-таки собрали самолет.</w:t>
      </w:r>
    </w:p>
    <w:p w14:paraId="498A7B7B"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Машина представляла собой большой трехстоечный биплан с ферменным хвостом. Размах верхнего крыла превышал размах нижнего. Промежуточ</w:t>
      </w:r>
      <w:r w:rsidRPr="002F2FDF">
        <w:rPr>
          <w:rFonts w:ascii="Times New Roman" w:hAnsi="Times New Roman" w:cs="Times New Roman"/>
          <w:color w:val="000000" w:themeColor="text1"/>
          <w:kern w:val="2"/>
          <w:sz w:val="16"/>
          <w:szCs w:val="16"/>
        </w:rPr>
        <w:softHyphen/>
        <w:t>ные коробки крыльёв создавали поперечное V и придавали несущим поверх</w:t>
      </w:r>
      <w:r w:rsidRPr="002F2FDF">
        <w:rPr>
          <w:rFonts w:ascii="Times New Roman" w:hAnsi="Times New Roman" w:cs="Times New Roman"/>
          <w:color w:val="000000" w:themeColor="text1"/>
          <w:kern w:val="2"/>
          <w:sz w:val="16"/>
          <w:szCs w:val="16"/>
        </w:rPr>
        <w:softHyphen/>
        <w:t>ностям характерную форму чайки. Это было сделано Ботезатом для повы</w:t>
      </w:r>
      <w:r w:rsidRPr="002F2FDF">
        <w:rPr>
          <w:rFonts w:ascii="Times New Roman" w:hAnsi="Times New Roman" w:cs="Times New Roman"/>
          <w:color w:val="000000" w:themeColor="text1"/>
          <w:kern w:val="2"/>
          <w:sz w:val="16"/>
          <w:szCs w:val="16"/>
        </w:rPr>
        <w:softHyphen/>
        <w:t>шения поперечной устойчивости самолета. Удобообтекаемый совершенных аэродинамических форм фюзеляж-гондола имел передовую по тому време</w:t>
      </w:r>
      <w:r w:rsidRPr="002F2FDF">
        <w:rPr>
          <w:rFonts w:ascii="Times New Roman" w:hAnsi="Times New Roman" w:cs="Times New Roman"/>
          <w:color w:val="000000" w:themeColor="text1"/>
          <w:kern w:val="2"/>
          <w:sz w:val="16"/>
          <w:szCs w:val="16"/>
        </w:rPr>
        <w:softHyphen/>
        <w:t>ни полумонококовую конструкцию. В нем находилась закрытая пилотская кабина с большой площадью остекления. За пилотским креслом оставалось место для размещения еще одного-двух человек или груза. Заднюю часть гондолы занимало моторное отделение, в котором располагался двигатель «Рено» мощностью 220 л. с. с толкающим винтом, причем механик имел воз</w:t>
      </w:r>
      <w:r w:rsidRPr="002F2FDF">
        <w:rPr>
          <w:rFonts w:ascii="Times New Roman" w:hAnsi="Times New Roman" w:cs="Times New Roman"/>
          <w:color w:val="000000" w:themeColor="text1"/>
          <w:kern w:val="2"/>
          <w:sz w:val="16"/>
          <w:szCs w:val="16"/>
        </w:rPr>
        <w:softHyphen/>
        <w:t>можность доступа к нему в полете. Топливные и масляные баки располага</w:t>
      </w:r>
      <w:r w:rsidRPr="002F2FDF">
        <w:rPr>
          <w:rFonts w:ascii="Times New Roman" w:hAnsi="Times New Roman" w:cs="Times New Roman"/>
          <w:color w:val="000000" w:themeColor="text1"/>
          <w:kern w:val="2"/>
          <w:sz w:val="16"/>
          <w:szCs w:val="16"/>
        </w:rPr>
        <w:softHyphen/>
        <w:t>лись над двигателем, а еще выше был установлен выхлоп с глушителем сис</w:t>
      </w:r>
      <w:r w:rsidRPr="002F2FDF">
        <w:rPr>
          <w:rFonts w:ascii="Times New Roman" w:hAnsi="Times New Roman" w:cs="Times New Roman"/>
          <w:color w:val="000000" w:themeColor="text1"/>
          <w:kern w:val="2"/>
          <w:sz w:val="16"/>
          <w:szCs w:val="16"/>
        </w:rPr>
        <w:softHyphen/>
        <w:t>темы Еремеева. Два радиатора охлаждения располагались по бокам гондо</w:t>
      </w:r>
      <w:r w:rsidRPr="002F2FDF">
        <w:rPr>
          <w:rFonts w:ascii="Times New Roman" w:hAnsi="Times New Roman" w:cs="Times New Roman"/>
          <w:color w:val="000000" w:themeColor="text1"/>
          <w:kern w:val="2"/>
          <w:sz w:val="16"/>
          <w:szCs w:val="16"/>
        </w:rPr>
        <w:softHyphen/>
        <w:t>лы, между крыльями. Задней частью фюзеляжа служила ферма по типу «Ву- азена» из стальных труб с четырьмя силовыми рамами. Ботезат рассматривал возможность замены двигателя на «Рено» 300 л. с. Конструкция позволяла сделать это.</w:t>
      </w:r>
    </w:p>
    <w:p w14:paraId="60AFF439"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Нижнее и верхнее крылья имели одинаковую хорду, равную размаху. Каж</w:t>
      </w:r>
      <w:r w:rsidRPr="002F2FDF">
        <w:rPr>
          <w:rFonts w:ascii="Times New Roman" w:hAnsi="Times New Roman" w:cs="Times New Roman"/>
          <w:color w:val="000000" w:themeColor="text1"/>
          <w:kern w:val="2"/>
          <w:sz w:val="16"/>
          <w:szCs w:val="16"/>
        </w:rPr>
        <w:softHyphen/>
        <w:t>дое крыло состояло из двух стальных лонжеронов, металлических кромок, деревянных нервюр и полотняной обшивки с металлическими накладками. Профилированные стойки и подкосы верхнего крыла были сделаны из ме</w:t>
      </w:r>
      <w:r w:rsidRPr="002F2FDF">
        <w:rPr>
          <w:rFonts w:ascii="Times New Roman" w:hAnsi="Times New Roman" w:cs="Times New Roman"/>
          <w:color w:val="000000" w:themeColor="text1"/>
          <w:kern w:val="2"/>
          <w:sz w:val="16"/>
          <w:szCs w:val="16"/>
        </w:rPr>
        <w:softHyphen/>
        <w:t>талла. Сильно развитые элероны большой площади находились на верхнем крыле, содержали по 11 нервюр и имели по два рычажка управления.</w:t>
      </w:r>
    </w:p>
    <w:p w14:paraId="5939270A"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Хвостовое оперение состояло из руля поворота и рулей высоты. Рули име</w:t>
      </w:r>
      <w:r w:rsidRPr="002F2FDF">
        <w:rPr>
          <w:rFonts w:ascii="Times New Roman" w:hAnsi="Times New Roman" w:cs="Times New Roman"/>
          <w:color w:val="000000" w:themeColor="text1"/>
          <w:kern w:val="2"/>
          <w:sz w:val="16"/>
          <w:szCs w:val="16"/>
        </w:rPr>
        <w:softHyphen/>
        <w:t>ли подкосы к ферме. Тросы управления от расчаленных рычажков на рулях тянулись вдоль балок фермы. В кабине пилота находился стандартный набор рычагов управления. В дальнейшем на самолет предполагалось установить гироскопический автопилот.</w:t>
      </w:r>
    </w:p>
    <w:p w14:paraId="009B9FE6"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Шасси было обычным, трехстоечным, с задней опорой. Ферменная конст</w:t>
      </w:r>
      <w:r w:rsidRPr="002F2FDF">
        <w:rPr>
          <w:rFonts w:ascii="Times New Roman" w:hAnsi="Times New Roman" w:cs="Times New Roman"/>
          <w:color w:val="000000" w:themeColor="text1"/>
          <w:kern w:val="2"/>
          <w:sz w:val="16"/>
          <w:szCs w:val="16"/>
        </w:rPr>
        <w:softHyphen/>
        <w:t>рукция была выполнена из стальных труб. Поскольку испытания предпола</w:t>
      </w:r>
      <w:r w:rsidRPr="002F2FDF">
        <w:rPr>
          <w:rFonts w:ascii="Times New Roman" w:hAnsi="Times New Roman" w:cs="Times New Roman"/>
          <w:color w:val="000000" w:themeColor="text1"/>
          <w:kern w:val="2"/>
          <w:sz w:val="16"/>
          <w:szCs w:val="16"/>
        </w:rPr>
        <w:softHyphen/>
        <w:t>галось начать зимой, на самолет были установлены плоские алюминиевые лыжи без обтекателей.</w:t>
      </w:r>
    </w:p>
    <w:p w14:paraId="6D51F84B"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своего времени самолет Г. А. Ботезата был передовым не только по аэро</w:t>
      </w:r>
      <w:r w:rsidRPr="002F2FDF">
        <w:rPr>
          <w:rFonts w:ascii="Times New Roman" w:hAnsi="Times New Roman" w:cs="Times New Roman"/>
          <w:color w:val="000000" w:themeColor="text1"/>
          <w:kern w:val="2"/>
          <w:sz w:val="16"/>
          <w:szCs w:val="16"/>
        </w:rPr>
        <w:softHyphen/>
        <w:t>динамике, но и по конструкции и применяемым материалам. По общим раз</w:t>
      </w:r>
      <w:r w:rsidRPr="002F2FDF">
        <w:rPr>
          <w:rFonts w:ascii="Times New Roman" w:hAnsi="Times New Roman" w:cs="Times New Roman"/>
          <w:color w:val="000000" w:themeColor="text1"/>
          <w:kern w:val="2"/>
          <w:sz w:val="16"/>
          <w:szCs w:val="16"/>
        </w:rPr>
        <w:softHyphen/>
        <w:t>мерам он представлял собой крупнейший одномоторный аппарат отечествен</w:t>
      </w:r>
      <w:r w:rsidRPr="002F2FDF">
        <w:rPr>
          <w:rFonts w:ascii="Times New Roman" w:hAnsi="Times New Roman" w:cs="Times New Roman"/>
          <w:color w:val="000000" w:themeColor="text1"/>
          <w:kern w:val="2"/>
          <w:sz w:val="16"/>
          <w:szCs w:val="16"/>
        </w:rPr>
        <w:softHyphen/>
        <w:t>ной конструкции.</w:t>
      </w:r>
    </w:p>
    <w:p w14:paraId="7CAF48DC"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Самолет был готов, но возникла проблема с летчиком-испытателем. Боль</w:t>
      </w:r>
      <w:r w:rsidRPr="002F2FDF">
        <w:rPr>
          <w:rFonts w:ascii="Times New Roman" w:hAnsi="Times New Roman" w:cs="Times New Roman"/>
          <w:color w:val="000000" w:themeColor="text1"/>
          <w:kern w:val="2"/>
          <w:sz w:val="16"/>
          <w:szCs w:val="16"/>
        </w:rPr>
        <w:softHyphen/>
        <w:t>шинство опытных пилотов предпочло после революции исчезнуть из Петро</w:t>
      </w:r>
      <w:r w:rsidRPr="002F2FDF">
        <w:rPr>
          <w:rFonts w:ascii="Times New Roman" w:hAnsi="Times New Roman" w:cs="Times New Roman"/>
          <w:color w:val="000000" w:themeColor="text1"/>
          <w:kern w:val="2"/>
          <w:sz w:val="16"/>
          <w:szCs w:val="16"/>
        </w:rPr>
        <w:softHyphen/>
        <w:t>града. Ботезату привели летчика, который почти никогда не летал, но зато об</w:t>
      </w:r>
      <w:r w:rsidRPr="002F2FDF">
        <w:rPr>
          <w:rFonts w:ascii="Times New Roman" w:hAnsi="Times New Roman" w:cs="Times New Roman"/>
          <w:color w:val="000000" w:themeColor="text1"/>
          <w:kern w:val="2"/>
          <w:sz w:val="16"/>
          <w:szCs w:val="16"/>
        </w:rPr>
        <w:softHyphen/>
        <w:t>ладал несомненным достоинством — «стоял на большевистских позициях».</w:t>
      </w:r>
    </w:p>
    <w:p w14:paraId="6B8B0FCA"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Летчик порулил минут пятнадцать на собранном самолете и заявил о сво</w:t>
      </w:r>
      <w:r w:rsidRPr="002F2FDF">
        <w:rPr>
          <w:rFonts w:ascii="Times New Roman" w:hAnsi="Times New Roman" w:cs="Times New Roman"/>
          <w:color w:val="000000" w:themeColor="text1"/>
          <w:kern w:val="2"/>
          <w:sz w:val="16"/>
          <w:szCs w:val="16"/>
        </w:rPr>
        <w:softHyphen/>
        <w:t>ей готовности лететь. Первые летные испытания были назначены на 20 декаб</w:t>
      </w:r>
      <w:r w:rsidRPr="002F2FDF">
        <w:rPr>
          <w:rFonts w:ascii="Times New Roman" w:hAnsi="Times New Roman" w:cs="Times New Roman"/>
          <w:color w:val="000000" w:themeColor="text1"/>
          <w:kern w:val="2"/>
          <w:sz w:val="16"/>
          <w:szCs w:val="16"/>
        </w:rPr>
        <w:softHyphen/>
        <w:t>ря 1917 г. Блестевший под зимним солнцем металлической обшивкой само</w:t>
      </w:r>
      <w:r w:rsidRPr="002F2FDF">
        <w:rPr>
          <w:rFonts w:ascii="Times New Roman" w:hAnsi="Times New Roman" w:cs="Times New Roman"/>
          <w:color w:val="000000" w:themeColor="text1"/>
          <w:kern w:val="2"/>
          <w:sz w:val="16"/>
          <w:szCs w:val="16"/>
        </w:rPr>
        <w:softHyphen/>
        <w:t>лет стоял перед ангаром. Летчик занял свое место. По договоренности с Боте</w:t>
      </w:r>
      <w:r w:rsidRPr="002F2FDF">
        <w:rPr>
          <w:rFonts w:ascii="Times New Roman" w:hAnsi="Times New Roman" w:cs="Times New Roman"/>
          <w:color w:val="000000" w:themeColor="text1"/>
          <w:kern w:val="2"/>
          <w:sz w:val="16"/>
          <w:szCs w:val="16"/>
        </w:rPr>
        <w:softHyphen/>
        <w:t>затом он должен был сначала сделать ряд небольших подлетов, почувство</w:t>
      </w:r>
      <w:r w:rsidRPr="002F2FDF">
        <w:rPr>
          <w:rFonts w:ascii="Times New Roman" w:hAnsi="Times New Roman" w:cs="Times New Roman"/>
          <w:color w:val="000000" w:themeColor="text1"/>
          <w:kern w:val="2"/>
          <w:sz w:val="16"/>
          <w:szCs w:val="16"/>
        </w:rPr>
        <w:softHyphen/>
        <w:t>вать машину, убедиться в ее пилотажных качествах и уж только потом идти в полет по кругу. Горе-пилот спутал все планы. Резко взяв с места, он добежал до середины взлетной полосы, сделал два-три коротких прыжка и вдруг под</w:t>
      </w:r>
      <w:r w:rsidRPr="002F2FDF">
        <w:rPr>
          <w:rFonts w:ascii="Times New Roman" w:hAnsi="Times New Roman" w:cs="Times New Roman"/>
          <w:color w:val="000000" w:themeColor="text1"/>
          <w:kern w:val="2"/>
          <w:sz w:val="16"/>
          <w:szCs w:val="16"/>
        </w:rPr>
        <w:softHyphen/>
        <w:t>скочил на шесть-семь метров. Наблюдавшие с земли механики и рабочие «ДЕКА» потом утверждали: «Поперечная устойчивость аэроплана была по</w:t>
      </w:r>
      <w:r w:rsidRPr="002F2FDF">
        <w:rPr>
          <w:rFonts w:ascii="Times New Roman" w:hAnsi="Times New Roman" w:cs="Times New Roman"/>
          <w:color w:val="000000" w:themeColor="text1"/>
          <w:kern w:val="2"/>
          <w:sz w:val="16"/>
          <w:szCs w:val="16"/>
        </w:rPr>
        <w:softHyphen/>
        <w:t>разительная, не было заметно, чтобы он покачнулся» Самолет шел на од</w:t>
      </w:r>
      <w:r w:rsidRPr="002F2FDF">
        <w:rPr>
          <w:rFonts w:ascii="Times New Roman" w:hAnsi="Times New Roman" w:cs="Times New Roman"/>
          <w:color w:val="000000" w:themeColor="text1"/>
          <w:kern w:val="2"/>
          <w:sz w:val="16"/>
          <w:szCs w:val="16"/>
        </w:rPr>
        <w:softHyphen/>
        <w:t>ной высоте, приближаясь к концу аэродрома. Все, кто следил за полетом, были в ужасе. Летчик точно шел на стоящую там одинокую березу. Он заме</w:t>
      </w:r>
      <w:r w:rsidRPr="002F2FDF">
        <w:rPr>
          <w:rFonts w:ascii="Times New Roman" w:hAnsi="Times New Roman" w:cs="Times New Roman"/>
          <w:color w:val="000000" w:themeColor="text1"/>
          <w:kern w:val="2"/>
          <w:sz w:val="16"/>
          <w:szCs w:val="16"/>
        </w:rPr>
        <w:softHyphen/>
        <w:t>тил ее только в нескольких метрах, попытался поднять самолет, но было уже поздно. Грациозный серебряный самолет, качнувшись на правое крыло, рух</w:t>
      </w:r>
      <w:r w:rsidRPr="002F2FDF">
        <w:rPr>
          <w:rFonts w:ascii="Times New Roman" w:hAnsi="Times New Roman" w:cs="Times New Roman"/>
          <w:color w:val="000000" w:themeColor="text1"/>
          <w:kern w:val="2"/>
          <w:sz w:val="16"/>
          <w:szCs w:val="16"/>
        </w:rPr>
        <w:softHyphen/>
        <w:t>нул с работающим мотором на левое, едва не убив случайно оказавшегося там зеваку. Когда присутствующие подбежали к месту падения, красавец-самолет ле</w:t>
      </w:r>
      <w:r w:rsidRPr="002F2FDF">
        <w:rPr>
          <w:rFonts w:ascii="Times New Roman" w:hAnsi="Times New Roman" w:cs="Times New Roman"/>
          <w:color w:val="000000" w:themeColor="text1"/>
          <w:kern w:val="2"/>
          <w:sz w:val="16"/>
          <w:szCs w:val="16"/>
        </w:rPr>
        <w:softHyphen/>
        <w:t>жал, уткнувшись носом в землю. Полумонококовая конструкция гондолы выдержала удар, все остальное было искорежено. Виновника вытащили через окно. Он был цел и невредим, только гордо демонстрировал всем окровавлен</w:t>
      </w:r>
      <w:r w:rsidRPr="002F2FDF">
        <w:rPr>
          <w:rFonts w:ascii="Times New Roman" w:hAnsi="Times New Roman" w:cs="Times New Roman"/>
          <w:color w:val="000000" w:themeColor="text1"/>
          <w:kern w:val="2"/>
          <w:sz w:val="16"/>
          <w:szCs w:val="16"/>
        </w:rPr>
        <w:softHyphen/>
        <w:t>ный палец. На вопрос, почему он нарушил полетное задание, горе-летчик при</w:t>
      </w:r>
      <w:r w:rsidRPr="002F2FDF">
        <w:rPr>
          <w:rFonts w:ascii="Times New Roman" w:hAnsi="Times New Roman" w:cs="Times New Roman"/>
          <w:color w:val="000000" w:themeColor="text1"/>
          <w:kern w:val="2"/>
          <w:sz w:val="16"/>
          <w:szCs w:val="16"/>
        </w:rPr>
        <w:softHyphen/>
        <w:t>знался, что при подлетах набрал слишком высокую скорость, не заметил при</w:t>
      </w:r>
      <w:r w:rsidRPr="002F2FDF">
        <w:rPr>
          <w:rFonts w:ascii="Times New Roman" w:hAnsi="Times New Roman" w:cs="Times New Roman"/>
          <w:color w:val="000000" w:themeColor="text1"/>
          <w:kern w:val="2"/>
          <w:sz w:val="16"/>
          <w:szCs w:val="16"/>
        </w:rPr>
        <w:softHyphen/>
        <w:t>ближения конца аэродрома, расстерялся и не смог остановить самолет. По</w:t>
      </w:r>
      <w:r w:rsidRPr="002F2FDF">
        <w:rPr>
          <w:rFonts w:ascii="Times New Roman" w:hAnsi="Times New Roman" w:cs="Times New Roman"/>
          <w:color w:val="000000" w:themeColor="text1"/>
          <w:kern w:val="2"/>
          <w:sz w:val="16"/>
          <w:szCs w:val="16"/>
        </w:rPr>
        <w:softHyphen/>
        <w:t>здно заметив березу, он попытался «перескочить через нее и уйти на круг», но это оказалось ему не под силу. Самолет зацепился хвостом за березу, вывер</w:t>
      </w:r>
      <w:r w:rsidRPr="002F2FDF">
        <w:rPr>
          <w:rFonts w:ascii="Times New Roman" w:hAnsi="Times New Roman" w:cs="Times New Roman"/>
          <w:color w:val="000000" w:themeColor="text1"/>
          <w:kern w:val="2"/>
          <w:sz w:val="16"/>
          <w:szCs w:val="16"/>
        </w:rPr>
        <w:softHyphen/>
        <w:t>нул руль поворота, сломал винт, осколки которого повредили ферму. «Во время полета аэроплан был устойчив, слушался рулей, развил боль</w:t>
      </w:r>
      <w:r w:rsidRPr="002F2FDF">
        <w:rPr>
          <w:rFonts w:ascii="Times New Roman" w:hAnsi="Times New Roman" w:cs="Times New Roman"/>
          <w:color w:val="000000" w:themeColor="text1"/>
          <w:kern w:val="2"/>
          <w:sz w:val="16"/>
          <w:szCs w:val="16"/>
        </w:rPr>
        <w:softHyphen/>
        <w:t>шую скорость, никаких неправильностей не заметил», — указал в объясни</w:t>
      </w:r>
      <w:r w:rsidRPr="002F2FDF">
        <w:rPr>
          <w:rFonts w:ascii="Times New Roman" w:hAnsi="Times New Roman" w:cs="Times New Roman"/>
          <w:color w:val="000000" w:themeColor="text1"/>
          <w:kern w:val="2"/>
          <w:sz w:val="16"/>
          <w:szCs w:val="16"/>
        </w:rPr>
        <w:softHyphen/>
        <w:t>тельной записке виновник аварии (15740).</w:t>
      </w:r>
    </w:p>
    <w:p w14:paraId="50E99990" w14:textId="77777777" w:rsidR="00507A1A" w:rsidRPr="002F2FDF" w:rsidRDefault="00507A1A" w:rsidP="0083075A">
      <w:pPr>
        <w:spacing w:after="0" w:line="240" w:lineRule="auto"/>
        <w:jc w:val="both"/>
        <w:rPr>
          <w:rFonts w:ascii="Times New Roman" w:hAnsi="Times New Roman" w:cs="Times New Roman"/>
          <w:color w:val="000000" w:themeColor="text1"/>
          <w:kern w:val="2"/>
          <w:sz w:val="16"/>
          <w:szCs w:val="16"/>
        </w:rPr>
      </w:pPr>
    </w:p>
    <w:p w14:paraId="0751DFDD" w14:textId="77777777" w:rsidR="00CB3E65" w:rsidRPr="00FB4F67" w:rsidRDefault="00CB3E65" w:rsidP="0083075A">
      <w:pPr>
        <w:spacing w:after="0" w:line="240" w:lineRule="auto"/>
        <w:jc w:val="both"/>
        <w:rPr>
          <w:rFonts w:ascii="Times New Roman" w:hAnsi="Times New Roman" w:cs="Times New Roman"/>
          <w:color w:val="0070C0"/>
          <w:sz w:val="16"/>
          <w:szCs w:val="16"/>
        </w:rPr>
      </w:pPr>
      <w:bookmarkStart w:id="381" w:name="bookmark1002"/>
      <w:r w:rsidRPr="00FB4F67">
        <w:rPr>
          <w:rFonts w:ascii="Times New Roman" w:hAnsi="Times New Roman" w:cs="Times New Roman"/>
          <w:color w:val="0070C0"/>
          <w:sz w:val="16"/>
          <w:szCs w:val="16"/>
        </w:rPr>
        <w:t>16 (29) октября 1917 г. с РБВЗ на аэродром Винница по железной дороге отправлен с завода РБВЗ «Илья Муромец» Г-73 (ИМ Г-73 № 238). Не известно, был ли на заводе собран и облетан.</w:t>
      </w:r>
    </w:p>
    <w:p w14:paraId="6B05D595" w14:textId="77777777" w:rsidR="00CB3E65" w:rsidRPr="00FB4F67" w:rsidRDefault="00CB3E6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Заложен как машина серии Г-1, но достроен как новый тип Г-3 с 2 внутренними моторами «Рено» (предп. Renault 8Gd 200 л.с. на взлете, 196 на боевом и 192 на крейсерском режимах) и 2 внешними моторами РБЗ-6 по 150 л.с..</w:t>
      </w:r>
    </w:p>
    <w:p w14:paraId="59DFAD16" w14:textId="77777777" w:rsidR="00CB3E65" w:rsidRPr="00FB4F67" w:rsidRDefault="00CB3E6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 месте получения собран не был и в строй не вошел – на день 25.10.17 г. (07.11.17 г.), когда состоялась Октябрьская революция, даже не был разгружен – оставался на железнодорожных платформах (23553).</w:t>
      </w:r>
    </w:p>
    <w:p w14:paraId="75001DD9" w14:textId="77777777" w:rsidR="00CB3E65" w:rsidRPr="00FB4F67" w:rsidRDefault="00CB3E65" w:rsidP="0083075A">
      <w:pPr>
        <w:spacing w:after="0" w:line="240" w:lineRule="auto"/>
        <w:jc w:val="both"/>
        <w:rPr>
          <w:rFonts w:ascii="Times New Roman" w:hAnsi="Times New Roman" w:cs="Times New Roman"/>
          <w:color w:val="0070C0"/>
          <w:sz w:val="16"/>
          <w:szCs w:val="16"/>
        </w:rPr>
      </w:pPr>
    </w:p>
    <w:bookmarkEnd w:id="381"/>
    <w:p w14:paraId="2CB519C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AAAD9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71BC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октября 1917 был вновь избран большевистский Центробалт (П. Е. Дыбенко — председатель, Н. А. Ховрин, Н. Ф. Измайлов, Ф. С. Аверичкин и другие). В ночь на 25 октября по заданию ВРК он направил в Петроград 11 кораблей и 10 тыс. матросов, которые сыграли важную роль в победе Октябрьского вооруженного восстания. С 5 декабря Центробалт принял на себя непосредственное руководство БФ, а 4 марта 1918 передал свои функции новому органу революционного командования — Совету комиссаров БФ (11712).</w:t>
      </w:r>
    </w:p>
    <w:p w14:paraId="715860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45200C" w14:textId="735501AA" w:rsidR="00C82BFF" w:rsidRPr="00FB4F67" w:rsidRDefault="00C82BFF" w:rsidP="0083075A">
      <w:pPr>
        <w:spacing w:after="0" w:line="240" w:lineRule="auto"/>
        <w:jc w:val="both"/>
        <w:rPr>
          <w:rFonts w:ascii="Times New Roman" w:hAnsi="Times New Roman" w:cs="Times New Roman"/>
          <w:color w:val="0070C0"/>
          <w:sz w:val="16"/>
          <w:szCs w:val="16"/>
        </w:rPr>
      </w:pPr>
      <w:bookmarkStart w:id="382" w:name="bookmark1017"/>
      <w:bookmarkStart w:id="383" w:name="bookmark1018"/>
      <w:bookmarkStart w:id="384" w:name="bookmark1019"/>
      <w:r>
        <w:rPr>
          <w:rFonts w:ascii="Times New Roman" w:hAnsi="Times New Roman" w:cs="Times New Roman"/>
          <w:color w:val="0070C0"/>
          <w:sz w:val="16"/>
          <w:szCs w:val="16"/>
        </w:rPr>
        <w:t>16 (</w:t>
      </w:r>
      <w:r w:rsidRPr="00FB4F67">
        <w:rPr>
          <w:rFonts w:ascii="Times New Roman" w:hAnsi="Times New Roman" w:cs="Times New Roman"/>
          <w:color w:val="0070C0"/>
          <w:sz w:val="16"/>
          <w:szCs w:val="16"/>
        </w:rPr>
        <w:t>29</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летчики противника сбросили 20 бомб (безрезультатно) на ст. Малиновка (в 25 км к северо-востоку от г. Двинск). Одновременно был совершен налет на д. Витневка. Также немецкая авиация активно действовала в районе Псковского шоссе (23405).</w:t>
      </w:r>
      <w:bookmarkEnd w:id="382"/>
      <w:bookmarkEnd w:id="383"/>
      <w:bookmarkEnd w:id="384"/>
    </w:p>
    <w:p w14:paraId="2BEB3677" w14:textId="77777777" w:rsidR="00C82BFF" w:rsidRPr="00FB4F67" w:rsidRDefault="00C82BFF" w:rsidP="0083075A">
      <w:pPr>
        <w:spacing w:after="0" w:line="240" w:lineRule="auto"/>
        <w:jc w:val="both"/>
        <w:rPr>
          <w:rFonts w:ascii="Times New Roman" w:hAnsi="Times New Roman" w:cs="Times New Roman"/>
          <w:color w:val="0070C0"/>
          <w:sz w:val="16"/>
          <w:szCs w:val="16"/>
        </w:rPr>
      </w:pPr>
    </w:p>
    <w:p w14:paraId="79953F5B" w14:textId="2EDD9B47" w:rsidR="00C82BFF" w:rsidRPr="00FB4F67" w:rsidRDefault="00C82BFF"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16 (</w:t>
      </w:r>
      <w:r w:rsidRPr="00FB4F67">
        <w:rPr>
          <w:rFonts w:ascii="Times New Roman" w:hAnsi="Times New Roman" w:cs="Times New Roman"/>
          <w:color w:val="0070C0"/>
          <w:sz w:val="16"/>
          <w:szCs w:val="16"/>
        </w:rPr>
        <w:t>29</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в районе г. Тыргу-Окна (Румыния) был снижен неприятельский летательный аппарат, севший за линией фронта в поврежденном состоянии (23405).</w:t>
      </w:r>
    </w:p>
    <w:p w14:paraId="6DAC74E0" w14:textId="77777777" w:rsidR="00C82BFF" w:rsidRPr="00FB4F67" w:rsidRDefault="00C82BFF" w:rsidP="0083075A">
      <w:pPr>
        <w:spacing w:after="0" w:line="240" w:lineRule="auto"/>
        <w:jc w:val="both"/>
        <w:rPr>
          <w:rFonts w:ascii="Times New Roman" w:hAnsi="Times New Roman" w:cs="Times New Roman"/>
          <w:color w:val="0070C0"/>
          <w:sz w:val="16"/>
          <w:szCs w:val="16"/>
        </w:rPr>
      </w:pPr>
    </w:p>
    <w:p w14:paraId="667EA3F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36571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D09593" w14:textId="77777777" w:rsidR="0046469F" w:rsidRPr="002F2FDF" w:rsidRDefault="0046469F" w:rsidP="0083075A">
      <w:pPr>
        <w:autoSpaceDE w:val="0"/>
        <w:autoSpaceDN w:val="0"/>
        <w:adjustRightInd w:val="0"/>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16 (29) октября 1917 года Новый министр продовольствия С.Н. Прокопович на заседании Предпарламента заявил: «Под влиянием полного истощения запасов как на фронте, так и внутри страны Временное правительство вынуждено было прибегнуть к крайней мере — к удвоению цен. По старым ценам население хлеб не везло. И если те­перь по удвоенным ценам мы всё-таки не получим хлеба, который нам будет нужен, ко­нечно, мы вынуждены будем прибегнуть к воинской силе». Впрочем, никакой силы у Временного правительства уже не было. Через 9 дней случился Октябрьский переворот (18086).</w:t>
      </w:r>
    </w:p>
    <w:p w14:paraId="2E06E146" w14:textId="77777777" w:rsidR="0046469F" w:rsidRPr="002F2FDF" w:rsidRDefault="0046469F" w:rsidP="0083075A">
      <w:pPr>
        <w:pStyle w:val="a3"/>
        <w:rPr>
          <w:color w:val="000000" w:themeColor="text1"/>
          <w:lang w:val="ru-RU"/>
        </w:rPr>
      </w:pPr>
    </w:p>
    <w:p w14:paraId="58FD0F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октября 1917 на расширенном заседании ЦК партии большевиков была одобрена проведенная В.И.Л. резолюция о восстании, техническая подготовка которого была поручена ВРЦ, действующем от имени партии совместно с ВРК (3908,266).</w:t>
      </w:r>
    </w:p>
    <w:p w14:paraId="7F3915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00DD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октября 1917 расширенное заседание ЦК РСДРП(б) одобрило резолюцию ЦК о восстании и поручает его подготовку ВРК (1348,87).</w:t>
      </w:r>
    </w:p>
    <w:p w14:paraId="5841EA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DF91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октября 1917 был создан ВРК Петроградского Совета (2239).</w:t>
      </w:r>
    </w:p>
    <w:p w14:paraId="62E05C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434866" w14:textId="77777777" w:rsidR="000B53BF" w:rsidRPr="002F2FDF" w:rsidRDefault="000B53B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16 (29) октября. Пленум Петроградского совета одобрил Военно-революционного комитета. Рабочим выдали оружие и сформировали боевые отряды. Что и требовалось доказать. Расширенное заседание ЦК РСДРП подтвердило свою резолюцию о проведении вооруженного восстания. Уже не имело значения, что будут делать другие. Да пусть они хоть войну выиграют и засыплют народ шоколадом - восстание состоится при любой погоде (12629).</w:t>
      </w:r>
    </w:p>
    <w:p w14:paraId="343D663E" w14:textId="77777777" w:rsidR="000B53BF" w:rsidRPr="002F2FDF" w:rsidRDefault="000B53B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8835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16-19 октября (29 октября - 1 ноября) 1917 в Петрограде прошло совещание пролетарских организаций культурного просвещения под руководством А.Луначарского, которые с ноября стали Пролеткультом (3908,266).</w:t>
      </w:r>
    </w:p>
    <w:p w14:paraId="2E7F65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6FF415" w14:textId="77777777" w:rsidR="000F5178" w:rsidRPr="002F2FDF" w:rsidRDefault="000F5178"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16 (29) октября </w:t>
      </w:r>
      <w:r w:rsidRPr="002F2FDF">
        <w:rPr>
          <w:rFonts w:ascii="Times New Roman" w:hAnsi="Times New Roman" w:cs="Times New Roman"/>
          <w:color w:val="000000" w:themeColor="text1"/>
          <w:kern w:val="2"/>
          <w:sz w:val="16"/>
          <w:szCs w:val="16"/>
        </w:rPr>
        <w:t>в 1917 году состоялось расширенное заседание ЦК РСДРП(б), на котором был избран Военно-революционный центр по руководству вооруженным восстанием (14814).</w:t>
      </w:r>
    </w:p>
    <w:p w14:paraId="29F3A857" w14:textId="77777777" w:rsidR="000F5178" w:rsidRPr="002F2FDF" w:rsidRDefault="000F5178" w:rsidP="0083075A">
      <w:pPr>
        <w:spacing w:after="0" w:line="240" w:lineRule="auto"/>
        <w:jc w:val="both"/>
        <w:rPr>
          <w:rFonts w:ascii="Times New Roman" w:hAnsi="Times New Roman" w:cs="Times New Roman"/>
          <w:color w:val="000000" w:themeColor="text1"/>
          <w:kern w:val="2"/>
          <w:sz w:val="16"/>
          <w:szCs w:val="16"/>
        </w:rPr>
      </w:pPr>
    </w:p>
    <w:p w14:paraId="7453F0CF" w14:textId="77777777" w:rsidR="00240462" w:rsidRPr="002F2FDF" w:rsidRDefault="0024046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34A1841" w14:textId="77777777" w:rsidR="00240462" w:rsidRPr="002F2FDF" w:rsidRDefault="0024046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A4C32A" w14:textId="77777777" w:rsidR="00240462" w:rsidRPr="002F2FDF" w:rsidRDefault="0024046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16-17 (29–30) октября (ночь) 1917 три немецких бомбардировщика Luftstreitkräfte отправились в первый за четыре недели налет на Англию. Два переправляются в Кале , Франция, из-за плохой погоды; третий достигает Англии и бомбит побережье Эссекса (20341).</w:t>
      </w:r>
    </w:p>
    <w:p w14:paraId="2DE00C82" w14:textId="77777777" w:rsidR="00240462" w:rsidRPr="002F2FDF" w:rsidRDefault="00240462" w:rsidP="0083075A">
      <w:pPr>
        <w:spacing w:after="0" w:line="240" w:lineRule="auto"/>
        <w:jc w:val="both"/>
        <w:rPr>
          <w:rFonts w:ascii="Times New Roman" w:hAnsi="Times New Roman" w:cs="Times New Roman"/>
          <w:color w:val="000000" w:themeColor="text1"/>
          <w:sz w:val="16"/>
          <w:szCs w:val="16"/>
        </w:rPr>
      </w:pPr>
    </w:p>
    <w:p w14:paraId="074CA06F" w14:textId="77777777" w:rsidR="00240462" w:rsidRPr="002F2FDF" w:rsidRDefault="0024046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16 (29) октября 1917 г. в полете на показ самолета Фоккер Dr I летчикам своей части из-за разрушения крыла на двойной мертвой петле разбился командир Jasta 15 Гонтерман. Через два дня, заходя на посадку, погиб лейтенант Пастор из Jasta 11. В обоих случаях разрушилось верхнее крыло. По приказу Рихтгофена обломки самолета Гонтермана были исследованы. В верхнем крыле начальник технической службы эскадрильи Jasta 11 нашел заводской брак, о чем доложил IdFlieg. Инспекция запретила полеты на всех самолетах этого типа. Повторные типовые испытания и выборочный осмотр самолетов со снятием их обшивки выявили многочисленные разрушения деталей, и чем больше часов налетал конкретный самолет, тем больше было разрушений. По мнению комиссии, причиной их был не заводской брак, а недостаток прочности конструкции. По рекомендациям технических служб JG I и Jasta 15, на уже сданных и строящихся самолетах усилили вспомогательные нервюры на законцовках крыльев и увеличили их количество, улучшили их крепление к стенкам верхних крыльев, к которым навешивались элероны, сами стенки также были усилены. Полотняная обшивка теперь пришивалась к приклеенным к деревянным полкам нервюр лентам, а не прибивалась гвоздями. Весь каркас лакировался для защиты от сырости. Военные также требовали убрать отверстия облегчения в стенках лонжеронов, считая, что через них внутрь их коробов попадает вода, но Фоккер отказался. Он заявил, что конденсат там все равно будет и через эти отверстия он лишь испаряется лучше. После серии опытов переделали роговую компенсацию элеронов — новые снизили крутильные нагрузки на законцовки верхнего крыла, которые и были причиной катастроф, и при этом самолет сохранил мягкость управления по крену и главное свое достоинство — просто фантастическую маневренность (22781).</w:t>
      </w:r>
    </w:p>
    <w:p w14:paraId="21B3878F" w14:textId="77777777" w:rsidR="00240462" w:rsidRPr="002F2FDF" w:rsidRDefault="00240462" w:rsidP="0083075A">
      <w:pPr>
        <w:spacing w:after="0" w:line="240" w:lineRule="auto"/>
        <w:jc w:val="both"/>
        <w:rPr>
          <w:rFonts w:ascii="Times New Roman" w:hAnsi="Times New Roman" w:cs="Times New Roman"/>
          <w:color w:val="000000" w:themeColor="text1"/>
          <w:sz w:val="16"/>
          <w:szCs w:val="16"/>
        </w:rPr>
      </w:pPr>
    </w:p>
    <w:p w14:paraId="038DDBD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43860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987361" w14:textId="77777777" w:rsidR="00CB3E65" w:rsidRPr="00FB4F67" w:rsidRDefault="00CB3E6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17 (30) октября 1917 г. производство ИМ было приостановлено. Оставшийся задел — несколько само</w:t>
      </w:r>
      <w:r w:rsidRPr="00FB4F67">
        <w:rPr>
          <w:rFonts w:ascii="Times New Roman" w:hAnsi="Times New Roman" w:cs="Times New Roman"/>
          <w:color w:val="0070C0"/>
          <w:sz w:val="16"/>
          <w:szCs w:val="16"/>
        </w:rPr>
        <w:softHyphen/>
        <w:t>летов — с перерывами достраивался в течение трех лет. Всего за время войны было отправлено на фронт примерно 70 воздушных кораблей «Илья Муромец» различных мо</w:t>
      </w:r>
      <w:r w:rsidRPr="00FB4F67">
        <w:rPr>
          <w:rFonts w:ascii="Times New Roman" w:hAnsi="Times New Roman" w:cs="Times New Roman"/>
          <w:color w:val="0070C0"/>
          <w:sz w:val="16"/>
          <w:szCs w:val="16"/>
        </w:rPr>
        <w:softHyphen/>
        <w:t>дификаций (23177).</w:t>
      </w:r>
    </w:p>
    <w:p w14:paraId="4A8F1CF7" w14:textId="77777777" w:rsidR="00CB3E65" w:rsidRPr="00FB4F67" w:rsidRDefault="00CB3E65" w:rsidP="0083075A">
      <w:pPr>
        <w:spacing w:after="0" w:line="240" w:lineRule="auto"/>
        <w:jc w:val="both"/>
        <w:rPr>
          <w:rFonts w:ascii="Times New Roman" w:hAnsi="Times New Roman" w:cs="Times New Roman"/>
          <w:color w:val="0070C0"/>
          <w:sz w:val="16"/>
          <w:szCs w:val="16"/>
        </w:rPr>
      </w:pPr>
    </w:p>
    <w:p w14:paraId="31ED8A2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октября 1917 военпред на заводе “Матиас” прапорщик Павлинец получил телеграмму из УВВФ: “Прошу принять самыя решительный меры для ускорения постройки заказанных заводу Матиас Фарсалеи”. А через 5 дней завод с инспекцией посетила комиссия УВВФ в составе п-ка Мезенцева, к-на Шереметьевского и двух инженеров. Мнения членов комиссии разделились. Мезенцев считал, что “Мати</w:t>
      </w:r>
      <w:r w:rsidRPr="002F2FDF">
        <w:rPr>
          <w:rFonts w:ascii="Times New Roman" w:hAnsi="Times New Roman" w:cs="Times New Roman"/>
          <w:color w:val="000000" w:themeColor="text1"/>
          <w:kern w:val="2"/>
          <w:sz w:val="16"/>
          <w:szCs w:val="16"/>
        </w:rPr>
        <w:softHyphen/>
        <w:t>ас” сможет сдать к концу года 66 “Фарманов”, а Шереметьевский и Павлинец сочли такие планы нереальными. При этом завод призна</w:t>
      </w:r>
      <w:r w:rsidRPr="002F2FDF">
        <w:rPr>
          <w:rFonts w:ascii="Times New Roman" w:hAnsi="Times New Roman" w:cs="Times New Roman"/>
          <w:color w:val="000000" w:themeColor="text1"/>
          <w:kern w:val="2"/>
          <w:sz w:val="16"/>
          <w:szCs w:val="16"/>
        </w:rPr>
        <w:softHyphen/>
        <w:t>вался наиболее современным по оборудованию среди всех пред</w:t>
      </w:r>
      <w:r w:rsidRPr="002F2FDF">
        <w:rPr>
          <w:rFonts w:ascii="Times New Roman" w:hAnsi="Times New Roman" w:cs="Times New Roman"/>
          <w:color w:val="000000" w:themeColor="text1"/>
          <w:kern w:val="2"/>
          <w:sz w:val="16"/>
          <w:szCs w:val="16"/>
        </w:rPr>
        <w:softHyphen/>
        <w:t>приятий отрасли (11154).</w:t>
      </w:r>
    </w:p>
    <w:p w14:paraId="00D8BAB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8047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17 </w:t>
      </w:r>
      <w:r w:rsidR="001157F8" w:rsidRPr="002F2FDF">
        <w:rPr>
          <w:rFonts w:ascii="Times New Roman" w:hAnsi="Times New Roman" w:cs="Times New Roman"/>
          <w:color w:val="000000" w:themeColor="text1"/>
          <w:kern w:val="2"/>
          <w:sz w:val="16"/>
          <w:szCs w:val="16"/>
        </w:rPr>
        <w:t xml:space="preserve">(30) </w:t>
      </w:r>
      <w:r w:rsidRPr="002F2FDF">
        <w:rPr>
          <w:rFonts w:ascii="Times New Roman" w:hAnsi="Times New Roman" w:cs="Times New Roman"/>
          <w:color w:val="000000" w:themeColor="text1"/>
          <w:kern w:val="2"/>
          <w:sz w:val="16"/>
          <w:szCs w:val="16"/>
        </w:rPr>
        <w:t>октября 1917 г. производство ИМ было приостановлено. Оставшийся задел — несколько самолетов — с перерывами достраивался в течение трех лет. “Муромцы” подняли сам процесс использования самолета в качестве боевой машины на новую высоту. Они успешно бомбили железнодорожные узлы и скопления живой силы противника, проводили глубокую разведку в тылу противника, обстреливали колонны войск на марше, расчеты артиллерийских орудий. В эскадре были разработаны новые приборы, прицелы, методики обработки целей, что в сочетании с инерционностью машины и комфортабельными условиями для экипажа позволяло добиваться поразительной точности бомбометания. Тактико-технические данные корабля, его грузоподъемность и дальность обеспечивали достижение стратегических целей в тылу противника. На “Муромце” с отечественными двигателями впервые была поднята бомба в 410 кг. Ни один самолет в мире тогда не мог этого сделать. Использование большого калибра давало результативность в воздействии на фортификационные сооружения противника. В качестве дальнего разведчика (т.е. без бомб и с дополнительным топливом) “Муромец” мог держаться в воздухе 9–10 ч, что по тому времени было уж совершенно невероятно. На особую высоту была поднята аэрофотосъемка. С применением лучших в мире отечественных фотоаппаратов системы Потте впервые была снята линия укреплений противника длиной в несколько десятков километров. Данные же стратегической разведки оказывали неоценимую помощь командованию русской армии. Впервые в мире были осуществлены и отработаны групповые налеты — прообраз массированных, что давало особую эффективность применения тяжелых машин. Последовательное использование боевого опыта и раскрытие заложенных потенциальных возможностей воздушного гиганта позволили И. И. Сикорскому превратить “Илью Муромца” в “летающую крепость” с полным сферическим обстрелом. Несмотря на большое количество боевых вылетов (около 400), за всю войну был сбит только один корабль (и то при самых неблагоприятных обстоятельствах) и три подбито, но они дотянули до своей территории. Кроме того, “Муромцы” сбили более дюжины вражеских истребителей. Пожалуй, ни один тип бомбардировщика в мире ни в те времена, ни сейчас не может похвастаться таким соотношением. Более того, оно всегда в пользу истребителей. Если говорить о других странах, то не только соединений тяжелых кораблей, а к началу войны и самолетов, подобных “Муромцу”, у них не было. Самый первый “иностранец” из этой когорты был “Капрони” (Ка-32). Он стал поступать в войска только с августа 1915 г. Это был второй после “Ильи Муромца” многомоторный бомбардировщик, запущенный в серийное производство и широко применявшийся в боевых действиях. Другие самолеты с разнесенными двигателями появились в первых образцах лишь в 1914 г., да и то в двухмоторных вариантах ( “Гота Г-1”, Германия; “Моран-Солнье-25”, Франция и др. ). В серию они пошли только через год. Как по размерам, так и по боевой нагрузке и эффективности боевого применения они значительно уступали “Муромцам” (11196).</w:t>
      </w:r>
    </w:p>
    <w:p w14:paraId="7552B2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0BF77A" w14:textId="77777777" w:rsidR="00C90ABE" w:rsidRPr="00815ED5" w:rsidRDefault="00C90ABE"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 xml:space="preserve">17 </w:t>
      </w:r>
      <w:r>
        <w:rPr>
          <w:rFonts w:ascii="Times New Roman" w:hAnsi="Times New Roman" w:cs="Times New Roman"/>
          <w:color w:val="0070C0"/>
          <w:sz w:val="16"/>
          <w:szCs w:val="16"/>
        </w:rPr>
        <w:t xml:space="preserve">(30) октября 1917 г. </w:t>
      </w:r>
      <w:r w:rsidRPr="00815ED5">
        <w:rPr>
          <w:rFonts w:ascii="Times New Roman" w:hAnsi="Times New Roman" w:cs="Times New Roman"/>
          <w:color w:val="0070C0"/>
          <w:sz w:val="16"/>
          <w:szCs w:val="16"/>
        </w:rPr>
        <w:t>Технический комитет УВ</w:t>
      </w:r>
      <w:r>
        <w:rPr>
          <w:rFonts w:ascii="Times New Roman" w:hAnsi="Times New Roman" w:cs="Times New Roman"/>
          <w:color w:val="0070C0"/>
          <w:sz w:val="16"/>
          <w:szCs w:val="16"/>
        </w:rPr>
        <w:t>ВФ</w:t>
      </w:r>
      <w:r w:rsidRPr="00815ED5">
        <w:rPr>
          <w:rFonts w:ascii="Times New Roman" w:hAnsi="Times New Roman" w:cs="Times New Roman"/>
          <w:color w:val="0070C0"/>
          <w:sz w:val="16"/>
          <w:szCs w:val="16"/>
        </w:rPr>
        <w:t xml:space="preserve"> рассмотрел проект бескла</w:t>
      </w:r>
      <w:r w:rsidRPr="00815ED5">
        <w:rPr>
          <w:rFonts w:ascii="Times New Roman" w:hAnsi="Times New Roman" w:cs="Times New Roman"/>
          <w:color w:val="0070C0"/>
          <w:sz w:val="16"/>
          <w:szCs w:val="16"/>
        </w:rPr>
        <w:softHyphen/>
        <w:t>панного авиадвигателя,</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предложенный рядовым запасного авиационного батальона Владимиром Петровичем Просолуповым.</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Изобретатель предпо</w:t>
      </w:r>
      <w:r w:rsidRPr="00815ED5">
        <w:rPr>
          <w:rFonts w:ascii="Times New Roman" w:hAnsi="Times New Roman" w:cs="Times New Roman"/>
          <w:color w:val="0070C0"/>
          <w:sz w:val="16"/>
          <w:szCs w:val="16"/>
        </w:rPr>
        <w:softHyphen/>
        <w:t>лагал добиться бесшумной и более надежной работы двигателя и про</w:t>
      </w:r>
      <w:r w:rsidRPr="00815ED5">
        <w:rPr>
          <w:rFonts w:ascii="Times New Roman" w:hAnsi="Times New Roman" w:cs="Times New Roman"/>
          <w:color w:val="0070C0"/>
          <w:sz w:val="16"/>
          <w:szCs w:val="16"/>
        </w:rPr>
        <w:softHyphen/>
        <w:t>сил оказать ему содействие в дальнейшей разработке проекта.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Техком не оцепил идеи бесклапанного двигателя и ответил автору проекта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"Мотор интереса не представляет".</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Как известно,</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английская фирма</w:t>
      </w:r>
      <w:r>
        <w:rPr>
          <w:rFonts w:ascii="Times New Roman" w:hAnsi="Times New Roman" w:cs="Times New Roman"/>
          <w:color w:val="0070C0"/>
          <w:sz w:val="16"/>
          <w:szCs w:val="16"/>
        </w:rPr>
        <w:t xml:space="preserve"> Б</w:t>
      </w:r>
      <w:r w:rsidRPr="00815ED5">
        <w:rPr>
          <w:rFonts w:ascii="Times New Roman" w:hAnsi="Times New Roman" w:cs="Times New Roman"/>
          <w:color w:val="0070C0"/>
          <w:sz w:val="16"/>
          <w:szCs w:val="16"/>
        </w:rPr>
        <w:t>ри</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толь, взявшаяся за разработку идеи бесклапанного двигателя значительно позже,</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достигла больших успехов в этой области.</w:t>
      </w:r>
    </w:p>
    <w:p w14:paraId="4621F955" w14:textId="77777777" w:rsidR="00C90ABE" w:rsidRDefault="00C90ABE"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 xml:space="preserve">493, </w:t>
      </w:r>
      <w:r>
        <w:rPr>
          <w:rFonts w:ascii="Times New Roman" w:hAnsi="Times New Roman" w:cs="Times New Roman"/>
          <w:color w:val="0070C0"/>
          <w:sz w:val="16"/>
          <w:szCs w:val="16"/>
        </w:rPr>
        <w:t>оп</w:t>
      </w:r>
      <w:r w:rsidRPr="00815ED5">
        <w:rPr>
          <w:rFonts w:ascii="Times New Roman" w:hAnsi="Times New Roman" w:cs="Times New Roman"/>
          <w:color w:val="0070C0"/>
          <w:sz w:val="16"/>
          <w:szCs w:val="16"/>
        </w:rPr>
        <w:t xml:space="preserve">. 10, </w:t>
      </w:r>
      <w:r>
        <w:rPr>
          <w:rFonts w:ascii="Times New Roman" w:hAnsi="Times New Roman" w:cs="Times New Roman"/>
          <w:color w:val="0070C0"/>
          <w:sz w:val="16"/>
          <w:szCs w:val="16"/>
        </w:rPr>
        <w:t>д</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127/</w:t>
      </w:r>
      <w:r>
        <w:rPr>
          <w:rFonts w:ascii="Times New Roman" w:hAnsi="Times New Roman" w:cs="Times New Roman"/>
          <w:color w:val="0070C0"/>
          <w:sz w:val="16"/>
          <w:szCs w:val="16"/>
        </w:rPr>
        <w:t xml:space="preserve"> (23320).</w:t>
      </w:r>
    </w:p>
    <w:p w14:paraId="20670EF1" w14:textId="77777777" w:rsidR="00C90ABE" w:rsidRPr="00815ED5" w:rsidRDefault="00C90ABE" w:rsidP="0083075A">
      <w:pPr>
        <w:spacing w:after="0" w:line="240" w:lineRule="auto"/>
        <w:jc w:val="both"/>
        <w:rPr>
          <w:rFonts w:ascii="Times New Roman" w:hAnsi="Times New Roman" w:cs="Times New Roman"/>
          <w:color w:val="0070C0"/>
          <w:sz w:val="16"/>
          <w:szCs w:val="16"/>
        </w:rPr>
      </w:pPr>
    </w:p>
    <w:p w14:paraId="0D3DECF0" w14:textId="09008EA1" w:rsidR="00C82BFF" w:rsidRDefault="00C82BFF"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66859272" w14:textId="77777777" w:rsidR="00C82BFF" w:rsidRDefault="00C82BFF"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D500073" w14:textId="3A1236A1" w:rsidR="00C82BFF" w:rsidRPr="00FB4F67" w:rsidRDefault="00C82BFF"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17 (</w:t>
      </w:r>
      <w:r w:rsidRPr="00FB4F67">
        <w:rPr>
          <w:rFonts w:ascii="Times New Roman" w:hAnsi="Times New Roman" w:cs="Times New Roman"/>
          <w:color w:val="0070C0"/>
          <w:sz w:val="16"/>
          <w:szCs w:val="16"/>
        </w:rPr>
        <w:t>30</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в Одессе польский персонал из Русского авиапарка, летной школы и авиазавода Анатра сформировал Одесское отделение польской авиации (Polski Oddzial Awiacyjny Odessa). В его составе было пять самолетов, и им руководил летчик Унтер-офицер Сулковски. Подразделение было расформировано в Одессе с приходом австро-германских войск 18 апреля 1918 года (23525).</w:t>
      </w:r>
    </w:p>
    <w:p w14:paraId="712DF7DE" w14:textId="77777777" w:rsidR="00C82BFF" w:rsidRPr="00FB4F67" w:rsidRDefault="00C82BFF" w:rsidP="0083075A">
      <w:pPr>
        <w:spacing w:after="0" w:line="240" w:lineRule="auto"/>
        <w:jc w:val="both"/>
        <w:rPr>
          <w:rFonts w:ascii="Times New Roman" w:hAnsi="Times New Roman" w:cs="Times New Roman"/>
          <w:color w:val="0070C0"/>
          <w:sz w:val="16"/>
          <w:szCs w:val="16"/>
        </w:rPr>
      </w:pPr>
    </w:p>
    <w:p w14:paraId="00A5E1F6" w14:textId="1BB76AB6"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6DA3F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BB823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октября 1917 Александр Керенский заверил членов Временного правительства, что войска Петроградского гарнизона без труда подавят попытку большевиков захватить власть (4962).</w:t>
      </w:r>
    </w:p>
    <w:p w14:paraId="0D7FF03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2F6592" w14:textId="77777777" w:rsidR="000F5178" w:rsidRPr="002F2FDF" w:rsidRDefault="000F5178"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17 (30) октября </w:t>
      </w:r>
      <w:r w:rsidRPr="002F2FDF">
        <w:rPr>
          <w:rFonts w:ascii="Times New Roman" w:hAnsi="Times New Roman" w:cs="Times New Roman"/>
          <w:color w:val="000000" w:themeColor="text1"/>
          <w:kern w:val="2"/>
          <w:sz w:val="16"/>
          <w:szCs w:val="16"/>
        </w:rPr>
        <w:t>в 1917 году заседание Временного правительства. Один из выступающих заявляет: «...мы выжидаем и не принимаем некоторых мер, например, закрытия газет, призывающих к восстанию, не закрываем митингов... Наша тактика «ожидания событий» уже вредна... и страшна...» (14815).</w:t>
      </w:r>
    </w:p>
    <w:p w14:paraId="3558419F" w14:textId="77777777" w:rsidR="000F5178" w:rsidRPr="002F2FDF" w:rsidRDefault="000F5178" w:rsidP="0083075A">
      <w:pPr>
        <w:spacing w:after="0" w:line="240" w:lineRule="auto"/>
        <w:jc w:val="both"/>
        <w:rPr>
          <w:rFonts w:ascii="Times New Roman" w:hAnsi="Times New Roman" w:cs="Times New Roman"/>
          <w:color w:val="000000" w:themeColor="text1"/>
          <w:kern w:val="2"/>
          <w:sz w:val="16"/>
          <w:szCs w:val="16"/>
        </w:rPr>
      </w:pPr>
    </w:p>
    <w:p w14:paraId="15DA315B" w14:textId="77777777" w:rsidR="0046469F" w:rsidRPr="002F2FDF" w:rsidRDefault="0046469F" w:rsidP="0083075A">
      <w:pPr>
        <w:pStyle w:val="a3"/>
        <w:rPr>
          <w:color w:val="000000" w:themeColor="text1"/>
          <w:lang w:val="ru-RU"/>
        </w:rPr>
      </w:pPr>
      <w:r w:rsidRPr="002F2FDF">
        <w:rPr>
          <w:color w:val="000000" w:themeColor="text1"/>
          <w:lang w:val="ru-RU"/>
        </w:rPr>
        <w:t xml:space="preserve">17 (30) октября 1917 г. появились денежные суррогаты в Екатеринбурге, 10 (23) ноября в Воронеже, в это же время в Астрахани было введено чековое обращение. 22 декабря 1917 г. (4 января 1918 г.) выпущены кредитные билеты Украинской Народной республики в Киеве. Проекты введения местных бон вынашивались в Вятке, Екатеринославле, Одессе, Тифлисе, Ростове-на-Дону. Первоначально совещание представителей правлений частных банков в Петрограде 27 ноября (10 декабря) 1917 г. высказалось против выпуска бон местными отделениями. Но денежный голод в провинции все более разрастался и местные банковские комитеты стали прибегать к выпуску в обращение различного рода денежных суррогатов. Иногда комитеты ограничивались тем, что выпускали из имеющихся у них запасов наиболее подходящие для указанной роли государственные бумаги: купоны истекших сроков, билеты (серии) государственного казначейства, облигации "Займа Свободы". </w:t>
      </w:r>
      <w:r w:rsidRPr="002F2FDF">
        <w:rPr>
          <w:color w:val="000000" w:themeColor="text1"/>
          <w:lang w:val="ru-RU"/>
        </w:rPr>
        <w:lastRenderedPageBreak/>
        <w:t>Такая ситуация наблюдалась в Баку, Казани, Армавире, Ростове-на-Дону, Туле и других городах. В других случаях комитеты выпускали совершенно новые денежные суррогаты: особые чеки, боны и т.д. Таким образом, вопрос о создании дополнительного эмиссионного аппарата обострился и требовал разрешения в срочном порядке.83 (18085)</w:t>
      </w:r>
    </w:p>
    <w:p w14:paraId="6EA42195" w14:textId="77777777" w:rsidR="0046469F" w:rsidRPr="002F2FDF" w:rsidRDefault="0046469F" w:rsidP="0083075A">
      <w:pPr>
        <w:pStyle w:val="a3"/>
        <w:rPr>
          <w:color w:val="000000" w:themeColor="text1"/>
          <w:lang w:val="ru-RU"/>
        </w:rPr>
      </w:pPr>
    </w:p>
    <w:p w14:paraId="29A953CE" w14:textId="6A1B9043" w:rsidR="006A7032" w:rsidRPr="002F2FDF" w:rsidRDefault="006A7032"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17 (30)</w:t>
      </w:r>
      <w:r w:rsidR="00E52569">
        <w:rPr>
          <w:rStyle w:val="a7"/>
          <w:rFonts w:eastAsiaTheme="majorEastAsia"/>
          <w:b w:val="0"/>
          <w:color w:val="000000" w:themeColor="text1"/>
          <w:sz w:val="16"/>
          <w:szCs w:val="16"/>
        </w:rPr>
        <w:t xml:space="preserve"> </w:t>
      </w:r>
      <w:r w:rsidRPr="002F2FDF">
        <w:rPr>
          <w:rStyle w:val="a7"/>
          <w:rFonts w:eastAsiaTheme="majorEastAsia"/>
          <w:b w:val="0"/>
          <w:color w:val="000000" w:themeColor="text1"/>
          <w:sz w:val="16"/>
          <w:szCs w:val="16"/>
        </w:rPr>
        <w:t>1917</w:t>
      </w:r>
      <w:r w:rsidRPr="002F2FDF">
        <w:rPr>
          <w:color w:val="000000" w:themeColor="text1"/>
          <w:sz w:val="16"/>
          <w:szCs w:val="16"/>
        </w:rPr>
        <w:t xml:space="preserve"> в Петрограде начала работу Первая Всероссийская Конференция Фабрично-Заводских Комитетов (закончила работу 22 октября (4 ноября), среди участников: 86 делегатов</w:t>
      </w:r>
      <w:r w:rsidR="00E52569">
        <w:rPr>
          <w:color w:val="000000" w:themeColor="text1"/>
          <w:sz w:val="16"/>
          <w:szCs w:val="16"/>
        </w:rPr>
        <w:t xml:space="preserve"> </w:t>
      </w:r>
      <w:r w:rsidRPr="002F2FDF">
        <w:rPr>
          <w:color w:val="000000" w:themeColor="text1"/>
          <w:sz w:val="16"/>
          <w:szCs w:val="16"/>
        </w:rPr>
        <w:t>– большевики, 22</w:t>
      </w:r>
      <w:r w:rsidR="00E52569">
        <w:rPr>
          <w:color w:val="000000" w:themeColor="text1"/>
          <w:sz w:val="16"/>
          <w:szCs w:val="16"/>
        </w:rPr>
        <w:t xml:space="preserve"> </w:t>
      </w:r>
      <w:r w:rsidRPr="002F2FDF">
        <w:rPr>
          <w:color w:val="000000" w:themeColor="text1"/>
          <w:sz w:val="16"/>
          <w:szCs w:val="16"/>
        </w:rPr>
        <w:t>– эсеры, 11</w:t>
      </w:r>
      <w:r w:rsidR="00E52569">
        <w:rPr>
          <w:color w:val="000000" w:themeColor="text1"/>
          <w:sz w:val="16"/>
          <w:szCs w:val="16"/>
        </w:rPr>
        <w:t xml:space="preserve"> </w:t>
      </w:r>
      <w:r w:rsidRPr="002F2FDF">
        <w:rPr>
          <w:color w:val="000000" w:themeColor="text1"/>
          <w:sz w:val="16"/>
          <w:szCs w:val="16"/>
        </w:rPr>
        <w:t>– анархо-синдикалисты, 8</w:t>
      </w:r>
      <w:r w:rsidR="00E52569">
        <w:rPr>
          <w:color w:val="000000" w:themeColor="text1"/>
          <w:sz w:val="16"/>
          <w:szCs w:val="16"/>
        </w:rPr>
        <w:t xml:space="preserve"> </w:t>
      </w:r>
      <w:r w:rsidRPr="002F2FDF">
        <w:rPr>
          <w:color w:val="000000" w:themeColor="text1"/>
          <w:sz w:val="16"/>
          <w:szCs w:val="16"/>
        </w:rPr>
        <w:t>– меньшевики, 6</w:t>
      </w:r>
      <w:r w:rsidR="00E52569">
        <w:rPr>
          <w:color w:val="000000" w:themeColor="text1"/>
          <w:sz w:val="16"/>
          <w:szCs w:val="16"/>
        </w:rPr>
        <w:t xml:space="preserve"> </w:t>
      </w:r>
      <w:r w:rsidRPr="002F2FDF">
        <w:rPr>
          <w:color w:val="000000" w:themeColor="text1"/>
          <w:sz w:val="16"/>
          <w:szCs w:val="16"/>
        </w:rPr>
        <w:t>– эсеры-максималисты. Из резолюции: «…</w:t>
      </w:r>
      <w:r w:rsidR="00E52569">
        <w:rPr>
          <w:color w:val="000000" w:themeColor="text1"/>
          <w:sz w:val="16"/>
          <w:szCs w:val="16"/>
        </w:rPr>
        <w:t xml:space="preserve"> </w:t>
      </w:r>
      <w:r w:rsidRPr="002F2FDF">
        <w:rPr>
          <w:rStyle w:val="af0"/>
          <w:i w:val="0"/>
          <w:color w:val="000000" w:themeColor="text1"/>
          <w:sz w:val="16"/>
          <w:szCs w:val="16"/>
        </w:rPr>
        <w:t>Низвергнув самодержавие в политической области, рабочий класс стремится доставить торжество демократическому строю и в области своей производственной деятельности. Выражением этого стремления является идея рабочего контроля, естественно возникшая в обстановке хозяйственного развала, созданного преступной политикой господствующих классов</w:t>
      </w:r>
      <w:r w:rsidRPr="002F2FDF">
        <w:rPr>
          <w:color w:val="000000" w:themeColor="text1"/>
          <w:sz w:val="16"/>
          <w:szCs w:val="16"/>
        </w:rPr>
        <w:t>». Напомним, что первый опыт создания подобия фабричного комитета историки относят еще к 1820 году, когда Фряновские фабричные старосты получили право контролировать начисление заработной платы. Традиции фабричного самоуправления, как элемент социальной справедливости, давно укоренены в русском сознании. На сходство фабзавкомов с традиционными российскими формами самоуправления первым обратил внимание еще В.И.</w:t>
      </w:r>
      <w:r w:rsidR="00E52569">
        <w:rPr>
          <w:color w:val="000000" w:themeColor="text1"/>
          <w:sz w:val="16"/>
          <w:szCs w:val="16"/>
        </w:rPr>
        <w:t xml:space="preserve"> </w:t>
      </w:r>
      <w:r w:rsidRPr="002F2FDF">
        <w:rPr>
          <w:color w:val="000000" w:themeColor="text1"/>
          <w:sz w:val="16"/>
          <w:szCs w:val="16"/>
        </w:rPr>
        <w:t>Ленин (18371).</w:t>
      </w:r>
    </w:p>
    <w:p w14:paraId="6000D748" w14:textId="77777777" w:rsidR="006A7032" w:rsidRPr="002F2FDF" w:rsidRDefault="006A7032" w:rsidP="0083075A">
      <w:pPr>
        <w:pStyle w:val="ae"/>
        <w:spacing w:before="0" w:after="0"/>
        <w:jc w:val="both"/>
        <w:rPr>
          <w:rStyle w:val="a7"/>
          <w:rFonts w:eastAsiaTheme="majorEastAsia"/>
          <w:b w:val="0"/>
          <w:color w:val="000000" w:themeColor="text1"/>
          <w:sz w:val="16"/>
          <w:szCs w:val="16"/>
        </w:rPr>
      </w:pPr>
    </w:p>
    <w:p w14:paraId="1B4FD002" w14:textId="77777777" w:rsidR="003E53DB"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FEB90F3" w14:textId="77777777" w:rsidR="003E53DB" w:rsidRPr="002F2FDF" w:rsidRDefault="003E53D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3222CD" w14:textId="77777777" w:rsidR="00D477F6" w:rsidRPr="002F2FDF" w:rsidRDefault="00D477F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17 (30) октября 1917 немецкий ас лейтенант Генрих Гонтерманн выполняет фигуры высшего пилотажа, когда отрывается верхнее крыло его истребителя Fokker Dr.I. В последующей аварии он смертельно ранен. Его 39 побед свяжут его с лейтенантом Карлом Менкхоффом, ставшим 13-м по результативности немецким асом Первой мировой войны (20341).</w:t>
      </w:r>
    </w:p>
    <w:p w14:paraId="196DE3EC" w14:textId="77777777" w:rsidR="00D477F6" w:rsidRPr="002F2FDF" w:rsidRDefault="00D477F6" w:rsidP="0083075A">
      <w:pPr>
        <w:spacing w:after="0" w:line="240" w:lineRule="auto"/>
        <w:jc w:val="both"/>
        <w:rPr>
          <w:rFonts w:ascii="Times New Roman" w:hAnsi="Times New Roman" w:cs="Times New Roman"/>
          <w:color w:val="000000" w:themeColor="text1"/>
          <w:sz w:val="16"/>
          <w:szCs w:val="16"/>
        </w:rPr>
      </w:pPr>
    </w:p>
    <w:p w14:paraId="27CD9938" w14:textId="77777777" w:rsidR="00D477F6" w:rsidRPr="002F2FDF" w:rsidRDefault="00D477F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17-18 (30–31) октября (ночь) 1917 двадцать два немецких бомбардировщика Gotha отправились в рейд на Лондон, в их бомбовой загрузке были включены недавно разработанные 4,5-кг (9,9 фунта) зажигательные бомбы . Менее половины бомбардировщиков достигают района Лондона; они бомбят восточные окраины города, и многие зажигательные бомбы не загораются. Остальные самолеты бомбят Кент, где они разрушают газовое хранилище в Рамсгейте, но мало чего добиваются. Пять бомбардировщиков разбиваются при попытке приземлиться по возвращении на свои базы. Плохая погода предотвратит очередной набег на Англию до декабря (20341).</w:t>
      </w:r>
    </w:p>
    <w:p w14:paraId="157BD3EF" w14:textId="77777777" w:rsidR="00D477F6" w:rsidRPr="002F2FDF" w:rsidRDefault="00D477F6" w:rsidP="0083075A">
      <w:pPr>
        <w:spacing w:after="0" w:line="240" w:lineRule="auto"/>
        <w:jc w:val="both"/>
        <w:rPr>
          <w:rFonts w:ascii="Times New Roman" w:hAnsi="Times New Roman" w:cs="Times New Roman"/>
          <w:color w:val="000000" w:themeColor="text1"/>
          <w:sz w:val="16"/>
          <w:szCs w:val="16"/>
        </w:rPr>
      </w:pPr>
    </w:p>
    <w:p w14:paraId="6B24AB44" w14:textId="77777777" w:rsidR="003E53DB" w:rsidRPr="002F2FDF" w:rsidRDefault="003E53DB" w:rsidP="0083075A">
      <w:pPr>
        <w:pStyle w:val="ae"/>
        <w:spacing w:before="0" w:after="0"/>
        <w:jc w:val="both"/>
        <w:rPr>
          <w:color w:val="000000" w:themeColor="text1"/>
          <w:kern w:val="2"/>
          <w:sz w:val="16"/>
          <w:szCs w:val="16"/>
        </w:rPr>
      </w:pPr>
      <w:r w:rsidRPr="002F2FDF">
        <w:rPr>
          <w:color w:val="000000" w:themeColor="text1"/>
          <w:kern w:val="2"/>
          <w:sz w:val="16"/>
          <w:szCs w:val="16"/>
        </w:rPr>
        <w:t>17 (30) октября 1917 г. в Италию начали прибывать английские и французские дивизии, спешно отправленные союзниками для спасения итальянской армии, беспорядочно отступавшей под натиском германских и австрийских войск. Армии Центральных держав нанесли итальянцам внезапный сокрушительный удар неделей ранее в районе городка Капоретто (ныне Кобарид на северо-западе Словении у границы с Италией — РП). Чтобы избежать окружения, итальянскому командованию пришлось в экстренном порядке отводить войска по всей восточной части фронта, бросив артиллерию и склады. Из-за сложных горных условий и плохой организации отступление итальянской армии превратилось в паническое бегство, в ходе которого целые дивизии либо сдавались в плен неприятелю, либо дезертировали.</w:t>
      </w:r>
    </w:p>
    <w:p w14:paraId="78CB4C9B" w14:textId="77777777" w:rsidR="003E53DB" w:rsidRPr="002F2FDF" w:rsidRDefault="003E53DB" w:rsidP="0083075A">
      <w:pPr>
        <w:pStyle w:val="ae"/>
        <w:spacing w:before="0" w:after="0"/>
        <w:jc w:val="both"/>
        <w:rPr>
          <w:color w:val="000000" w:themeColor="text1"/>
          <w:kern w:val="2"/>
          <w:sz w:val="16"/>
          <w:szCs w:val="16"/>
        </w:rPr>
      </w:pPr>
      <w:r w:rsidRPr="002F2FDF">
        <w:rPr>
          <w:color w:val="000000" w:themeColor="text1"/>
          <w:kern w:val="2"/>
          <w:sz w:val="16"/>
          <w:szCs w:val="16"/>
        </w:rPr>
        <w:t>К 31 октября сохранившие боеспособность итальянские части заняли оборону по реке Тальяменто (на северо-востоке нынешней Италии — РП), в 40-50 километрах позади прежних позиций.</w:t>
      </w:r>
    </w:p>
    <w:p w14:paraId="2A46CEB8" w14:textId="77777777" w:rsidR="003E53DB" w:rsidRPr="002F2FDF" w:rsidRDefault="003E53DB" w:rsidP="0083075A">
      <w:pPr>
        <w:pStyle w:val="ae"/>
        <w:spacing w:before="0" w:after="0"/>
        <w:jc w:val="both"/>
        <w:rPr>
          <w:color w:val="000000" w:themeColor="text1"/>
          <w:kern w:val="2"/>
          <w:sz w:val="16"/>
          <w:szCs w:val="16"/>
        </w:rPr>
      </w:pPr>
      <w:r w:rsidRPr="002F2FDF">
        <w:rPr>
          <w:color w:val="000000" w:themeColor="text1"/>
          <w:kern w:val="2"/>
          <w:sz w:val="16"/>
          <w:szCs w:val="16"/>
        </w:rPr>
        <w:t>3 ноября главнокомандующий итальянской армией генерал Кадорна так описал председателю совета министров положение дел на фронте: «2-я армия потеряла 180 тысяч пленными, 400 тысяч человек рассеялись, людская масса утратила моральную устойчивость. &lt;…&gt; Если мне удастся отвести 3-ю и 4-ю армии в полном порядке, я намереваюсь сыграть свою последнюю карту на Пьаве (река на северо-востоке Италии — РП) и ждать там решительного сражения».</w:t>
      </w:r>
    </w:p>
    <w:p w14:paraId="79753EC9" w14:textId="77777777" w:rsidR="003E53DB" w:rsidRPr="002F2FDF" w:rsidRDefault="003E53DB" w:rsidP="0083075A">
      <w:pPr>
        <w:pStyle w:val="ae"/>
        <w:spacing w:before="0" w:after="0"/>
        <w:jc w:val="both"/>
        <w:rPr>
          <w:color w:val="000000" w:themeColor="text1"/>
          <w:kern w:val="2"/>
          <w:sz w:val="16"/>
          <w:szCs w:val="16"/>
        </w:rPr>
      </w:pPr>
      <w:r w:rsidRPr="002F2FDF">
        <w:rPr>
          <w:color w:val="000000" w:themeColor="text1"/>
          <w:kern w:val="2"/>
          <w:sz w:val="16"/>
          <w:szCs w:val="16"/>
        </w:rPr>
        <w:t>4 ноября командование итальянской армии, опасаясь окружения, отдало приказ об отходе и с рубежа реки Тальяменто. Новый рубеж итальянской обороны был определен по линии Нижнее течение реки Пьаве — гора Граппа — плато Семи Общин (17045).</w:t>
      </w:r>
    </w:p>
    <w:p w14:paraId="21F68BF9" w14:textId="77777777" w:rsidR="003E53DB" w:rsidRPr="002F2FDF" w:rsidRDefault="003E53D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64991D" w14:textId="77777777" w:rsidR="003E53DB" w:rsidRPr="002F2FDF" w:rsidRDefault="003E53DB" w:rsidP="0083075A">
      <w:pPr>
        <w:pStyle w:val="ae"/>
        <w:spacing w:before="0" w:after="0"/>
        <w:jc w:val="both"/>
        <w:rPr>
          <w:color w:val="000000" w:themeColor="text1"/>
          <w:kern w:val="2"/>
          <w:sz w:val="16"/>
          <w:szCs w:val="16"/>
        </w:rPr>
      </w:pPr>
      <w:r w:rsidRPr="002F2FDF">
        <w:rPr>
          <w:color w:val="000000" w:themeColor="text1"/>
          <w:kern w:val="2"/>
          <w:sz w:val="16"/>
          <w:szCs w:val="16"/>
        </w:rPr>
        <w:t>В течение недели с 17 (30) октября по 23 октября (5 ноября) 1917 германскими подводными лодками было потоплено и повреждено 37 торговых судна стран Антанты и нейтральных держав (17045).</w:t>
      </w:r>
    </w:p>
    <w:p w14:paraId="5052B637" w14:textId="77777777" w:rsidR="003E53DB" w:rsidRPr="002F2FDF" w:rsidRDefault="003E53D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253D2A" w14:textId="77777777" w:rsidR="00CD2298"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FA83E49" w14:textId="77777777" w:rsidR="00CD2298" w:rsidRPr="002F2FDF" w:rsidRDefault="00CD229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6A620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октября 1917 Из журнала № 203 заседания Особого совещания по обороне по вопросу о положении каменноугольной промышленности Юга России.</w:t>
      </w:r>
    </w:p>
    <w:p w14:paraId="30400CA6"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86-89</w:t>
      </w:r>
    </w:p>
    <w:p w14:paraId="24320F41"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369, оп. 1, д. 383, лл. 179—189. Копия.</w:t>
      </w:r>
    </w:p>
    <w:p w14:paraId="2F7FE703"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октября 1917 г.</w:t>
      </w:r>
    </w:p>
    <w:p w14:paraId="58CE32FB"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hyperlink r:id="rId606" w:anchor="_ftn1" w:history="1">
        <w:r w:rsidRPr="002F2FDF">
          <w:rPr>
            <w:rFonts w:ascii="Times New Roman" w:hAnsi="Times New Roman" w:cs="Times New Roman"/>
            <w:color w:val="000000" w:themeColor="text1"/>
            <w:kern w:val="2"/>
            <w:sz w:val="16"/>
            <w:szCs w:val="16"/>
          </w:rPr>
          <w:t>[1]</w:t>
        </w:r>
      </w:hyperlink>
      <w:r w:rsidRPr="002F2FDF">
        <w:rPr>
          <w:rFonts w:ascii="Times New Roman" w:hAnsi="Times New Roman" w:cs="Times New Roman"/>
          <w:color w:val="000000" w:themeColor="text1"/>
          <w:kern w:val="2"/>
          <w:sz w:val="16"/>
          <w:szCs w:val="16"/>
        </w:rPr>
        <w:t xml:space="preserve"> Далее Совещание заслушало сообщение председательствующего по поводу представленного инж. Прядкиным доклада о положении каменноугольной и антрацитовой промышленности на Юге России</w:t>
      </w:r>
      <w:hyperlink r:id="rId607" w:anchor="_ftn2" w:history="1">
        <w:r w:rsidRPr="002F2FDF">
          <w:rPr>
            <w:rFonts w:ascii="Times New Roman" w:hAnsi="Times New Roman" w:cs="Times New Roman"/>
            <w:color w:val="000000" w:themeColor="text1"/>
            <w:kern w:val="2"/>
            <w:sz w:val="16"/>
            <w:szCs w:val="16"/>
          </w:rPr>
          <w:t>[2]</w:t>
        </w:r>
      </w:hyperlink>
      <w:r w:rsidRPr="002F2FDF">
        <w:rPr>
          <w:rFonts w:ascii="Times New Roman" w:hAnsi="Times New Roman" w:cs="Times New Roman"/>
          <w:color w:val="000000" w:themeColor="text1"/>
          <w:kern w:val="2"/>
          <w:sz w:val="16"/>
          <w:szCs w:val="16"/>
        </w:rPr>
        <w:t>. По данным этого доклада, промышленная деятельность Донецкого бассейна в 1917 г. характеризуется следующими цифрами: [см. таблицу]</w:t>
      </w:r>
    </w:p>
    <w:p w14:paraId="7986BFA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Каменный уголь и антрацит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7"/>
        <w:gridCol w:w="526"/>
        <w:gridCol w:w="254"/>
        <w:gridCol w:w="470"/>
        <w:gridCol w:w="30"/>
        <w:gridCol w:w="3570"/>
        <w:gridCol w:w="30"/>
        <w:gridCol w:w="470"/>
        <w:gridCol w:w="254"/>
        <w:gridCol w:w="966"/>
        <w:gridCol w:w="1200"/>
      </w:tblGrid>
      <w:tr w:rsidR="002B1C74" w:rsidRPr="002F2FDF" w14:paraId="6400A47F" w14:textId="77777777" w:rsidTr="0028394A">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173DFF5"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Месяцы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56395F2"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Добыто</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287C1385"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Вывезено по железной дороге минерального топлива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05AE68"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рабочих к концу месяца</w:t>
            </w:r>
          </w:p>
        </w:tc>
      </w:tr>
      <w:tr w:rsidR="002B1C74" w:rsidRPr="002F2FDF" w14:paraId="46069E87" w14:textId="77777777" w:rsidTr="0028394A">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7B37861"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1DC55B"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028FCAB"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F71DFF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AA219C"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82274"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EB29B"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r>
      <w:tr w:rsidR="002B1C74" w:rsidRPr="002F2FDF" w14:paraId="0A626CC7" w14:textId="77777777" w:rsidTr="0028394A">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6FC800E"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p>
        </w:tc>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1FC958D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Млн. пуд.</w:t>
            </w:r>
          </w:p>
        </w:tc>
      </w:tr>
      <w:tr w:rsidR="002B1C74" w:rsidRPr="002F2FDF" w14:paraId="77DD34F4"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F3D000"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7F9BAB"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154.09</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83B8C7"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472F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109.31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4CB9BA4"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112.16</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21EAC9D"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291.337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0A1D4"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203.000</w:t>
            </w:r>
          </w:p>
        </w:tc>
      </w:tr>
      <w:tr w:rsidR="002B1C74" w:rsidRPr="002F2FDF" w14:paraId="75EB40B1"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457DFB"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0FF0471"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143.38</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25A1914"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0C651"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89.30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844F826"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106.59</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F0CB35"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291.572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07E55"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2,19.000</w:t>
            </w:r>
          </w:p>
        </w:tc>
      </w:tr>
      <w:tr w:rsidR="002B1C74" w:rsidRPr="002F2FDF" w14:paraId="198B9BC2"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1DC0E2"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Март</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97D7E3C"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E609F5C"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E64E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102.90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8022C57"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119.86</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66BDC72"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283.809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4EF42"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220.000</w:t>
            </w:r>
          </w:p>
        </w:tc>
      </w:tr>
      <w:tr w:rsidR="002B1C74" w:rsidRPr="002F2FDF" w14:paraId="5AE6ED16"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E320B8"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36AF201"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121.00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8D31549"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4745B"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105.73</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506A93"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109.61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71566FC"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285.857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CCCBB"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217.000</w:t>
            </w:r>
          </w:p>
        </w:tc>
      </w:tr>
      <w:tr w:rsidR="002B1C74" w:rsidRPr="002F2FDF" w14:paraId="58743B92"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2245F3"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5E256C5"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127.50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276EB9"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FA107"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90.10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6139A6"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121.77</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2ED6050"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489B8"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220.000</w:t>
            </w:r>
          </w:p>
        </w:tc>
      </w:tr>
      <w:tr w:rsidR="002B1C74" w:rsidRPr="002F2FDF" w14:paraId="5673D5BE"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1E472C"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A9D5BD7"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127.00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1D946DC"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147.22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03425"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99.00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C5D6190"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119.32</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5747700"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622DB"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222.000</w:t>
            </w:r>
          </w:p>
        </w:tc>
      </w:tr>
      <w:tr w:rsidR="002B1C74" w:rsidRPr="002F2FDF" w14:paraId="653B5227"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DBBDFB"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D14057F"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423C5A2"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1B24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96.90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E01A3F0"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123.50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FFB0CF9"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D7DAE"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233.460</w:t>
            </w:r>
          </w:p>
        </w:tc>
      </w:tr>
      <w:tr w:rsidR="002B1C74" w:rsidRPr="002F2FDF" w14:paraId="339D2D1D"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CB891F"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5833C5"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112.00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8C6C750"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90B1F"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88.20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D8C93E8"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119.23</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512F77B"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D1F78"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236.975</w:t>
            </w:r>
          </w:p>
        </w:tc>
      </w:tr>
      <w:tr w:rsidR="002B1C74" w:rsidRPr="002F2FDF" w14:paraId="277FDAA3"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D8884E"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0F1D8D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115.00*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918E5B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21C29"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83.00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C6F3A04"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112.35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211A596"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A482D"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246.462</w:t>
            </w:r>
          </w:p>
        </w:tc>
      </w:tr>
      <w:tr w:rsidR="002B1C74" w:rsidRPr="002F2FDF" w14:paraId="5920870F"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F37574"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Октябрь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CEDE5F8"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D9C1444"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23EE3"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1F33732"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104.91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9963DD"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8E1F0"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258.898</w:t>
            </w:r>
          </w:p>
        </w:tc>
      </w:tr>
      <w:tr w:rsidR="002B1C74" w:rsidRPr="002F2FDF" w14:paraId="63E3C389" w14:textId="77777777" w:rsidTr="0028394A">
        <w:trPr>
          <w:tblCellSpacing w:w="15"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4FEA203E"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*Цифры, подчеркнутые пунктиром, предположительны (Поим. док.).</w:t>
            </w:r>
          </w:p>
        </w:tc>
      </w:tr>
    </w:tbl>
    <w:p w14:paraId="33D156E1" w14:textId="736F8084" w:rsidR="00CD2298"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20"/>
        <w:gridCol w:w="580"/>
        <w:gridCol w:w="508"/>
        <w:gridCol w:w="1718"/>
        <w:gridCol w:w="1972"/>
        <w:gridCol w:w="1056"/>
        <w:gridCol w:w="1110"/>
      </w:tblGrid>
      <w:tr w:rsidR="002B1C74" w:rsidRPr="002F2FDF" w14:paraId="54C14FD7" w14:textId="77777777" w:rsidTr="0028394A">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0FED61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684730"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Добыто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7FC890"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Вывезено по железной дороге минерального топлива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33E3699"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рабочих к концу месяца</w:t>
            </w:r>
          </w:p>
        </w:tc>
      </w:tr>
      <w:tr w:rsidR="002B1C74" w:rsidRPr="002F2FDF" w14:paraId="57482792" w14:textId="77777777" w:rsidTr="0028394A">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720D728"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EACA28"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A5C51"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4459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EE4EF"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1834F"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7496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1916 г.</w:t>
            </w:r>
          </w:p>
        </w:tc>
      </w:tr>
      <w:tr w:rsidR="002B1C74" w:rsidRPr="002F2FDF" w14:paraId="0597465E" w14:textId="77777777" w:rsidTr="0028394A">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0622F17F"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млн пуд.</w:t>
            </w:r>
          </w:p>
        </w:tc>
      </w:tr>
      <w:tr w:rsidR="002B1C74" w:rsidRPr="002F2FDF" w14:paraId="0172496F"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734497"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B106D"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1E895"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484CD"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7A33B"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E0AD1"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1BB7C"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283.940</w:t>
            </w:r>
          </w:p>
        </w:tc>
      </w:tr>
      <w:tr w:rsidR="002B1C74" w:rsidRPr="002F2FDF" w14:paraId="68AAD333"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77E272"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6EEF4"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9ED2E"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CDA79"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628DB"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A0552"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AD143"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288.000</w:t>
            </w:r>
          </w:p>
        </w:tc>
      </w:tr>
      <w:tr w:rsidR="002B1C74" w:rsidRPr="002F2FDF" w14:paraId="3EC15EF8"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753FE3"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весь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0EB0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5B6F9"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1751.2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94E38"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A7311"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1361.30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D19E8"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7C51B"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_</w:t>
            </w:r>
          </w:p>
        </w:tc>
      </w:tr>
      <w:tr w:rsidR="002B1C74" w:rsidRPr="002F2FDF" w14:paraId="68DFAAA7"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6538D9"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Среднее месячное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28DC3"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53CC5"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91D9F"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21E3F"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F4DA5"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2AF65"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237.800</w:t>
            </w:r>
          </w:p>
        </w:tc>
      </w:tr>
      <w:tr w:rsidR="002B1C74" w:rsidRPr="002F2FDF" w14:paraId="207368B2"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A2B756"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042F2"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51C8C"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245.23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51083"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7296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C8759"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284.428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131E2"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217.800</w:t>
            </w:r>
          </w:p>
        </w:tc>
      </w:tr>
      <w:tr w:rsidR="002B1C74" w:rsidRPr="002F2FDF" w14:paraId="54D74E35"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8433FB"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2-е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AEA52"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BFFDD"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3A458"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47C64"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4D98E"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273.800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ACC2B"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259.000</w:t>
            </w:r>
          </w:p>
        </w:tc>
      </w:tr>
      <w:tr w:rsidR="002B1C74" w:rsidRPr="002F2FDF" w14:paraId="3889E3C5"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E0371F"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1-ю треть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F815E"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2DC93"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4BCAF"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751C8"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90EB8"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67101"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231.000</w:t>
            </w:r>
          </w:p>
        </w:tc>
      </w:tr>
      <w:tr w:rsidR="002B1C74" w:rsidRPr="002F2FDF" w14:paraId="41012C55"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F3BD15"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За 2-ю треть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9912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2DD7C"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7C719"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DD708"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F3CA6"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697F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228.000</w:t>
            </w:r>
          </w:p>
        </w:tc>
      </w:tr>
      <w:tr w:rsidR="002B1C74" w:rsidRPr="002F2FDF" w14:paraId="5343BD42"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0EA2E7"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З-ю треть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C5294"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8EFBB"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18512"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AB67E"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7C708"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B4DC8"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269.000</w:t>
            </w:r>
          </w:p>
        </w:tc>
      </w:tr>
      <w:tr w:rsidR="002B1C74" w:rsidRPr="002F2FDF" w14:paraId="39CA7F5D" w14:textId="77777777" w:rsidTr="0028394A">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68C07161"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*Цифры, подчеркнутые пунктиром, предположительны. (Поим. док.).</w:t>
            </w:r>
          </w:p>
        </w:tc>
      </w:tr>
    </w:tbl>
    <w:p w14:paraId="2884E68F"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этой, таблицы усматривается, что, несмотря на увеличение рабочих рук в 1917 г. на 20%, производительность добычи минерального топлива упала приблизительно также на 20% и вероятная добыча угля на последнюю треть года составит на 24.5% менее добычи в 1916 г.</w:t>
      </w:r>
    </w:p>
    <w:p w14:paraId="0D8DB247"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результате такого падения производительности неизбежны следующие последствия: дальнейшее расстройство и уменьшение добычи топлива до пределов технической и экономической невозможности продолжать производство и йодное финансовое разорение предприятий. Для страны последствия сокращения добычи топлива еще более гибельны, чем для горной промышленности. Для удовлетворения насущной потребности страны в топливе по минимальным «голодным нормам» необходимо вывозить из Донецкого бассейна по 125 млн пуд. в месяц, и если в первой половине 1917 г. главной причиной сокращения добычи было расстройство транспорта, то в настоящее время производство топлива отстало от транспорта и запасы угля быстро тают. В результате железные дороги могут получить необходимое им для ежедневной работы количество топлива лишь путем остановки целого ряда предприятий; металлургические же заводы Юга России вследствие незначительного количества назначенного им топлива должны будут остановить в дальнейшем свою деятельность. Главной причиной такого сокращения добычи топлива следует признать падение производительности труда рабочих, достигающее до 50%, происходящее от общих условий, переживаемых в настоящее время страной.</w:t>
      </w:r>
    </w:p>
    <w:p w14:paraId="0FFCF55C"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Анархия, отсутствие дисциплины, нежелание работать, вмешательство в организацию работ, насилия над лицами надзора и руководителями работ создают такую обстановку, при которой правильная организация производства невозможна.</w:t>
      </w:r>
    </w:p>
    <w:p w14:paraId="765D7A4C"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этом администрация предприятий не является более хозяином дела, что лишает ее возможности установить ответственность за качество работ, исполнение ее распоряжений и подчинение установленным правилам внутреннего распорядка, а также подобрать кадры опытных рабочих для более ответственных работ; угрозы же и насилия, безнаказанно чинимые рабочими над лицами администрации и надзора, до насильственного удаления последних из предприятий включительно, создают такую обстановку, при которой невозможно какое бы то ни было планомерное ведение дела, проведение какой-нибудь технической и хозяйственной программы. Что же касается рабочих организаций (Советы рабочих депутатов, общественные и заводские комитеты и пр.), то они пользуются влиянием на рабочих лишь постольку, поскольку их деятельность не стесняет рабочих в их домогательствах и поскольку такие организации избегают мероприятий, направленных к поддержанию дисциплины, порядка и увеличению производительности; в противном случае они теряют свой авторитет, и члены их подвергаются постоянному переизбранию</w:t>
      </w:r>
      <w:hyperlink r:id="rId608" w:anchor="_ftn3" w:history="1">
        <w:r w:rsidRPr="002F2FDF">
          <w:rPr>
            <w:rFonts w:ascii="Times New Roman" w:hAnsi="Times New Roman" w:cs="Times New Roman"/>
            <w:color w:val="000000" w:themeColor="text1"/>
            <w:kern w:val="2"/>
            <w:sz w:val="16"/>
            <w:szCs w:val="16"/>
          </w:rPr>
          <w:t>[3]</w:t>
        </w:r>
      </w:hyperlink>
      <w:r w:rsidRPr="002F2FDF">
        <w:rPr>
          <w:rFonts w:ascii="Times New Roman" w:hAnsi="Times New Roman" w:cs="Times New Roman"/>
          <w:color w:val="000000" w:themeColor="text1"/>
          <w:kern w:val="2"/>
          <w:sz w:val="16"/>
          <w:szCs w:val="16"/>
        </w:rPr>
        <w:t>.</w:t>
      </w:r>
    </w:p>
    <w:p w14:paraId="7B29B86E"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это ведет к тому, что влияние этих организаций и их деятельность крайне слабы, и рабочие по-прежнему остаются неорганизованными. Между тем эти организации при бездействии правительственной власти на месте являются полными хозяевами положения, не останавливаясь для достижения своих целей пред какими-либо угрозами.</w:t>
      </w:r>
    </w:p>
    <w:p w14:paraId="0A9559DD"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Отсутствие фактической возможности у промышленников противостоять постоянным требованиям увеличения заработной платы привело к тому, что многие категории рабочих достигли заработной платы, значительно превышающей их потребности, что приводит к уменьшению числа выходов на работы и числа рабочих часов. Несмотря на это, рабочие предъявляют все новые требования, причем размеры последних превосходят часто всякую практическую возможность их удовлетворения.</w:t>
      </w:r>
    </w:p>
    <w:p w14:paraId="1EA5172E"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Указанное положение вещей приводит к такой технической обстановке труда, при которой заботы об его использовании в смысле повышения производительности не имеют никакой реальной почвы.</w:t>
      </w:r>
    </w:p>
    <w:p w14:paraId="3E76F369"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Чувствуя всю ненормальность созданных условий и сознавая громадную ответственность за судьбы промышленности, рабочие считают тем не менее промышленников виновниками настоящего положения вещей и обвиняют их в «саботаже», умышленной задержке производства и т. д. Однако все многочисленные комиссии, снаряженные для расследования этих обвинений, не могли установить ни одного факта злоумышленных действий промышленников.</w:t>
      </w:r>
    </w:p>
    <w:p w14:paraId="7464E9B8"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 же касается финансового положения предприятий, то оно доведено до крайней степени напряжения. Оборотные средства совершенно истощены благодаря повышенной заработной плате, дороговизне материалов и необходимости заблаговременной их заготовки, а также огромным расходам на заготовку предметов продовольствия для рабочих, ввиду чего финансовый крах и остановка из-за отсутствия средств многих предприятий неизбежны.</w:t>
      </w:r>
    </w:p>
    <w:p w14:paraId="5E672B3B"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вышеизложенным выводам по поводу положения в Донецком бассейне пришло и совещание чинов инспекции этого бассейна, созванное 19 сентября с. г. в Макеевке по распоряжению главноуполномоченного по топливу К. В. Кирша</w:t>
      </w:r>
      <w:hyperlink r:id="rId609" w:anchor="_ftn4" w:history="1">
        <w:r w:rsidRPr="002F2FDF">
          <w:rPr>
            <w:rFonts w:ascii="Times New Roman" w:hAnsi="Times New Roman" w:cs="Times New Roman"/>
            <w:color w:val="000000" w:themeColor="text1"/>
            <w:kern w:val="2"/>
            <w:sz w:val="16"/>
            <w:szCs w:val="16"/>
          </w:rPr>
          <w:t>[4]</w:t>
        </w:r>
      </w:hyperlink>
      <w:r w:rsidRPr="002F2FDF">
        <w:rPr>
          <w:rFonts w:ascii="Times New Roman" w:hAnsi="Times New Roman" w:cs="Times New Roman"/>
          <w:color w:val="000000" w:themeColor="text1"/>
          <w:kern w:val="2"/>
          <w:sz w:val="16"/>
          <w:szCs w:val="16"/>
        </w:rPr>
        <w:t>.</w:t>
      </w:r>
    </w:p>
    <w:p w14:paraId="36F26C26"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поводу заслушанного доклада приглашенный на заседание К. В. Кирш отмечает, что положение дел не только в Донецком бассейне, но и во всей стране катастрофическое. Отдельные частные мероприятия по отношению к тем или иным заводам и промышленности не принесут никакой пользы, если не будет твердой правительственной власти, которая одна лишь может водворить порядок и создать нормальные условия для развития производительности.</w:t>
      </w:r>
    </w:p>
    <w:p w14:paraId="0D2BAEFF"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 своей стороны представитель Министерства труда Г, Д. Красинский указывает, что причинами современной разрухи в промышленности являются несомненно общие ненормальные экономико-политические условия жизни государства, вызванные войной и революцией.</w:t>
      </w:r>
    </w:p>
    <w:p w14:paraId="5FE52129"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Однако положение дел в Донецком бассейне не представляется, по имеющимся данным, столь тяжелым, как это обрисовано в докладе Прядкина, а возможно предполагать некоторое улучшение в сем отношении. Со своей стороны Министерство труда принимает все зависящие от него меры к поднятию производительности труда рабочих, заботясь вместе с тем об улучшении их экономического положения.</w:t>
      </w:r>
    </w:p>
    <w:p w14:paraId="74360865"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Председатель Государственной думы М. В. Родзянко замечает, что благодаря бездействию правительства и неимению власти на местах разруха принимает все более грозный и тревожный характер. При полном отсутствии правительственного аппарата темные силы страны ныне властвуют и терроризируют всю промышленность. Государство гибнет, и наследия предков, завоеванные с величайшими трудами, утрачиваются и исчезают в волнах революции.</w:t>
      </w:r>
    </w:p>
    <w:p w14:paraId="57ECF71D"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Несомненно, что данные, изложенные в докладе инж. Прядкина, не являются преувеличенными, однако причину катастрофического положения в Донецком бассейне следует искать в том, что рабочие, забыв свое русское происхождение, желают мира во что бы то ни стало и полагают, что остановкой снабжения углем страны они достигнут желанной им цели.</w:t>
      </w:r>
    </w:p>
    <w:p w14:paraId="38D0E715"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Особое совещание по обороне государства должно немедленно довести до сведения Временного правительства, что государство на краю гибели и что в случае дальнейшего бездействия наступит катастрофа в области промышленности.</w:t>
      </w:r>
    </w:p>
    <w:p w14:paraId="413DD869"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 своей стороны С. И. Тимашев, разделяя мнение М. В. Родзянко,, указывает, что рабочая масса, требуя увеличения заработной платы, действует бессознательно, не отдавая себе ясного отчета во всех последствиях исполнения означенных требований.</w:t>
      </w:r>
    </w:p>
    <w:p w14:paraId="7CA40E6E"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поводу сего И. С. Каннегисер полагает, что аппарат власти может проявляться лишь в конкретных мероприятиях, проводимых с известной твердостью. Одной из этих существеннейших мер является издание закона, по которому категорически бы запрещалось выдавать заработную плату служащим и рабочим предприятий за забастовочное время; в этом случае фабриканты при всяких обстоятельствах могли бы сослаться на упомянутый закон, что гарантировало бы их до известной степени от угроз и насилий со стороны рабочей массы.</w:t>
      </w:r>
    </w:p>
    <w:p w14:paraId="3CCA8D71"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Председатель Совещания отмечает, что им в комиссии по обороне, образованной во Временном совете Российской республики, было сделано членам этой комиссии информационное сообщение о положении дел на заводах, работающих на оборону, причем им было указано на необходимость принятия решительных мер в борьбе с современной разрухой в промышленности во избежание гибельных последствий.</w:t>
      </w:r>
    </w:p>
    <w:p w14:paraId="41A10F14"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Временное правительство должно проявить в этом отношении всю твердость власти, а Особое совещание — довести до его сведения о необходимости упорядочения дел на заводах, работающих на оборону государства.</w:t>
      </w:r>
    </w:p>
    <w:p w14:paraId="5ACC42BD"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Особое совещание не в состоянии будет выполнить возложенные на него задачи. Кроме того, ввиду сокращения количества получаемого топлива, деятельность некоторых заводов придется прекратить; ввиду сего надлежало бы предложить главным довольствующим управлениям военного и морского ведомств представить список заводов, работающих на оборону, закрытие коих при современных условиях является желательным по соображениям лучшего использования топлива и сырья.</w:t>
      </w:r>
    </w:p>
    <w:p w14:paraId="692929A5"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Совещание единогласно присоединяется к мнению председательствующего.</w:t>
      </w:r>
    </w:p>
    <w:p w14:paraId="6B2F88BD" w14:textId="77777777" w:rsidR="00CD2298"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610" w:anchor="_ftnref1" w:history="1">
        <w:r w:rsidR="00CD2298" w:rsidRPr="002F2FDF">
          <w:rPr>
            <w:rFonts w:ascii="Times New Roman" w:hAnsi="Times New Roman" w:cs="Times New Roman"/>
            <w:color w:val="000000" w:themeColor="text1"/>
            <w:kern w:val="2"/>
            <w:sz w:val="16"/>
            <w:szCs w:val="16"/>
          </w:rPr>
          <w:t>[1]</w:t>
        </w:r>
      </w:hyperlink>
      <w:r w:rsidR="00CD2298" w:rsidRPr="002F2FDF">
        <w:rPr>
          <w:rFonts w:ascii="Times New Roman" w:hAnsi="Times New Roman" w:cs="Times New Roman"/>
          <w:color w:val="000000" w:themeColor="text1"/>
          <w:kern w:val="2"/>
          <w:sz w:val="16"/>
          <w:szCs w:val="16"/>
        </w:rPr>
        <w:t xml:space="preserve"> Опущено начало док. с изложением других вопросов повестки дня.</w:t>
      </w:r>
    </w:p>
    <w:p w14:paraId="199DA6C9" w14:textId="77777777" w:rsidR="00CD2298"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611" w:anchor="_ftnref2" w:history="1">
        <w:r w:rsidR="00CD2298" w:rsidRPr="002F2FDF">
          <w:rPr>
            <w:rFonts w:ascii="Times New Roman" w:hAnsi="Times New Roman" w:cs="Times New Roman"/>
            <w:color w:val="000000" w:themeColor="text1"/>
            <w:kern w:val="2"/>
            <w:sz w:val="16"/>
            <w:szCs w:val="16"/>
          </w:rPr>
          <w:t>[2]</w:t>
        </w:r>
      </w:hyperlink>
      <w:r w:rsidR="00CD2298" w:rsidRPr="002F2FDF">
        <w:rPr>
          <w:rFonts w:ascii="Times New Roman" w:hAnsi="Times New Roman" w:cs="Times New Roman"/>
          <w:color w:val="000000" w:themeColor="text1"/>
          <w:kern w:val="2"/>
          <w:sz w:val="16"/>
          <w:szCs w:val="16"/>
        </w:rPr>
        <w:t xml:space="preserve"> Упоминаемый доклад Я, Д. Прядкина обнаружить не удалось. Судя по изложению этого доклада П. И. Пальчинским, он содержит все основные положения, выдвинутые Я. Д. Прядкиным в докладе на III конференции представителей промышленников Юга России 24 сентября 1917 г. (ЦГВИА, ф. 369, оп. 14, д. 14, лл. 263—268). В этом докладе Я. Д. Прядкин обрушивался на рабочий классе характерными для всего буржуазного лагеря обвинениями, объявляя его единственным виновником наступающего экономического развала страны, выгораживал промышленников и требовал от правительственных органов принятия немедленных мер для обуздания рабочего класса. Как видно из публикуемого док., это требование нашло полное понимание и поддержку у Особого совещания по обороне.</w:t>
      </w:r>
    </w:p>
    <w:p w14:paraId="501424B1" w14:textId="77777777" w:rsidR="00CD2298"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612" w:anchor="_ftnref3" w:history="1">
        <w:r w:rsidR="00CD2298" w:rsidRPr="002F2FDF">
          <w:rPr>
            <w:rFonts w:ascii="Times New Roman" w:hAnsi="Times New Roman" w:cs="Times New Roman"/>
            <w:color w:val="000000" w:themeColor="text1"/>
            <w:kern w:val="2"/>
            <w:sz w:val="16"/>
            <w:szCs w:val="16"/>
          </w:rPr>
          <w:t>[3]</w:t>
        </w:r>
      </w:hyperlink>
      <w:r w:rsidR="00CD2298" w:rsidRPr="002F2FDF">
        <w:rPr>
          <w:rFonts w:ascii="Times New Roman" w:hAnsi="Times New Roman" w:cs="Times New Roman"/>
          <w:color w:val="000000" w:themeColor="text1"/>
          <w:kern w:val="2"/>
          <w:sz w:val="16"/>
          <w:szCs w:val="16"/>
        </w:rPr>
        <w:t xml:space="preserve"> Тенденциозный и клеветнический характер подобных утверждений П. И. ГІаль-чинского отчетливо виден из сравнения с док 1937 вышел приказ НКОП №№ 360, 362, 370, освещающими причины падения добычи топлива в Донецком бассейне.</w:t>
      </w:r>
    </w:p>
    <w:p w14:paraId="2FD07291" w14:textId="77777777" w:rsidR="00CD2298"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613" w:anchor="_ftnref4" w:history="1">
        <w:r w:rsidR="00CD2298" w:rsidRPr="002F2FDF">
          <w:rPr>
            <w:rFonts w:ascii="Times New Roman" w:hAnsi="Times New Roman" w:cs="Times New Roman"/>
            <w:color w:val="000000" w:themeColor="text1"/>
            <w:kern w:val="2"/>
            <w:sz w:val="16"/>
            <w:szCs w:val="16"/>
          </w:rPr>
          <w:t>[4]</w:t>
        </w:r>
      </w:hyperlink>
      <w:r w:rsidR="00CD2298" w:rsidRPr="002F2FDF">
        <w:rPr>
          <w:rFonts w:ascii="Times New Roman" w:hAnsi="Times New Roman" w:cs="Times New Roman"/>
          <w:color w:val="000000" w:themeColor="text1"/>
          <w:kern w:val="2"/>
          <w:sz w:val="16"/>
          <w:szCs w:val="16"/>
        </w:rPr>
        <w:t xml:space="preserve"> Совещание чинов инспекции Донецкого бассейна состоялось в Макеевке 19 сентября 1917 г. Иа нем были заслушаны доклады представителей районов об общем состоянии добычи и запасах топлива, в которых указывалось на понижение производительности труда, происходящее якобы вследствие высоких заработков рабочих, дающих им возможность реже выходить на работу. (Известия Особого совещания по топливу. 1917, № 7) (15692).</w:t>
      </w:r>
    </w:p>
    <w:p w14:paraId="6AC7FD77"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p>
    <w:p w14:paraId="1553A17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4650C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D7D84C" w14:textId="6B33015F" w:rsidR="00C82BFF" w:rsidRPr="00FB4F67" w:rsidRDefault="00C82BF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 xml:space="preserve">По состоянию на </w:t>
      </w:r>
      <w:r>
        <w:rPr>
          <w:rFonts w:ascii="Times New Roman" w:hAnsi="Times New Roman" w:cs="Times New Roman"/>
          <w:color w:val="0070C0"/>
          <w:sz w:val="16"/>
          <w:szCs w:val="16"/>
        </w:rPr>
        <w:t>18 (</w:t>
      </w:r>
      <w:r w:rsidRPr="00FB4F67">
        <w:rPr>
          <w:rFonts w:ascii="Times New Roman" w:hAnsi="Times New Roman" w:cs="Times New Roman"/>
          <w:color w:val="0070C0"/>
          <w:sz w:val="16"/>
          <w:szCs w:val="16"/>
        </w:rPr>
        <w:t>31</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Севастопольская офицерская авиационная школа (с мая 1912 г.) выпустила 609 летчиков, в том числе 376 офицеров и 233 рядовых (23525).</w:t>
      </w:r>
    </w:p>
    <w:p w14:paraId="5591C8E4" w14:textId="77777777" w:rsidR="00C82BFF" w:rsidRPr="00FB4F67" w:rsidRDefault="00C82BFF" w:rsidP="0083075A">
      <w:pPr>
        <w:spacing w:after="0" w:line="240" w:lineRule="auto"/>
        <w:jc w:val="both"/>
        <w:rPr>
          <w:rFonts w:ascii="Times New Roman" w:hAnsi="Times New Roman" w:cs="Times New Roman"/>
          <w:color w:val="0070C0"/>
          <w:sz w:val="16"/>
          <w:szCs w:val="16"/>
        </w:rPr>
      </w:pPr>
    </w:p>
    <w:p w14:paraId="54D4BCED" w14:textId="0C006E7E" w:rsidR="00C82BFF" w:rsidRPr="00FB4F67" w:rsidRDefault="00C82BFF"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18 (</w:t>
      </w:r>
      <w:r w:rsidRPr="00FB4F67">
        <w:rPr>
          <w:rFonts w:ascii="Times New Roman" w:hAnsi="Times New Roman" w:cs="Times New Roman"/>
          <w:color w:val="0070C0"/>
          <w:sz w:val="16"/>
          <w:szCs w:val="16"/>
        </w:rPr>
        <w:t>31</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октября 1917 г. в ходе воздушного боя русские летчики заставили неприятельский самолет ретироваться за линию фронта. Второй вражеский аппарат был атакован нашими </w:t>
      </w:r>
      <w:bookmarkStart w:id="385" w:name="bookmark1022"/>
      <w:bookmarkStart w:id="386" w:name="bookmark1023"/>
      <w:r w:rsidRPr="00FB4F67">
        <w:rPr>
          <w:rFonts w:ascii="Times New Roman" w:hAnsi="Times New Roman" w:cs="Times New Roman"/>
          <w:color w:val="0070C0"/>
          <w:sz w:val="16"/>
          <w:szCs w:val="16"/>
        </w:rPr>
        <w:t>истребителями в полосе 1-й армии. Неприятельские летчики поспешили (со снижением высоты) уйти в расположение своих войск. В этот день в районе н/п Крейцбург противник совершил групповой налет (5 самолетов типа «Таубе» и «Альбатрос») и сбросил на объекты русских войск три бомбы (без видимых результатов). В Двинском районе наблюдательные посты отметили появление 12 неприятельских летательных аппаратов, четыре из них атаковали ст. Малиновка, сбросив на нее 22 бомбы и повредив станционные пути (23405).</w:t>
      </w:r>
      <w:bookmarkEnd w:id="385"/>
      <w:bookmarkEnd w:id="386"/>
    </w:p>
    <w:p w14:paraId="0060B1BC" w14:textId="77777777" w:rsidR="00C82BFF" w:rsidRPr="00FB4F67" w:rsidRDefault="00C82BFF" w:rsidP="0083075A">
      <w:pPr>
        <w:spacing w:after="0" w:line="240" w:lineRule="auto"/>
        <w:jc w:val="both"/>
        <w:rPr>
          <w:rFonts w:ascii="Times New Roman" w:hAnsi="Times New Roman" w:cs="Times New Roman"/>
          <w:color w:val="0070C0"/>
          <w:sz w:val="16"/>
          <w:szCs w:val="16"/>
        </w:rPr>
      </w:pPr>
    </w:p>
    <w:p w14:paraId="27BE52E6" w14:textId="77777777" w:rsidR="00C82BFF" w:rsidRPr="002F2FDF" w:rsidRDefault="00C82BF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октября 1917 эсминцы Пылкий и Быстрый в бухте Инеада артогнем потопили турецкий эсминец Хамид Абад, 2 парохода и повредили 3 тральщика (3123).</w:t>
      </w:r>
    </w:p>
    <w:p w14:paraId="4B7F0FA1" w14:textId="77777777" w:rsidR="00C82BFF" w:rsidRPr="002F2FDF" w:rsidRDefault="00C82BF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8777AA" w14:textId="77777777" w:rsidR="00C82BFF" w:rsidRPr="002F2FDF" w:rsidRDefault="00C82BF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18 по 24 октября (31 октября по 5 ноября) 1917 линкоры Свободная Россия и Воля, 2-я бригада линкоров, крейсер Память Меркурия, 5 эсминцев и гидроавиатранспорт Румыния пытались перехватить легкий крейсер Бреслау (3123).</w:t>
      </w:r>
    </w:p>
    <w:p w14:paraId="3C06AF57" w14:textId="77777777" w:rsidR="00C82BFF" w:rsidRPr="002F2FDF" w:rsidRDefault="00C82BF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4DBF3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AACF4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2BA3D7" w14:textId="77777777" w:rsidR="000B53BF" w:rsidRPr="002F2FDF" w:rsidRDefault="000B53B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октября 1917 Совещание представителей полков по предложению Троцкого приняло резолюцию о неподчинении гарнизона Временному правительству; исполняться могли только те приказы штаба военного округа, которые подтверждены солдатской секцией Петроградского совета (12629).</w:t>
      </w:r>
    </w:p>
    <w:p w14:paraId="1D395FE0" w14:textId="77777777" w:rsidR="000B53BF" w:rsidRPr="002F2FDF" w:rsidRDefault="000B53B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1FD603" w14:textId="77777777" w:rsidR="00C119B3" w:rsidRPr="002F2FDF" w:rsidRDefault="00C119B3" w:rsidP="0083075A">
      <w:pPr>
        <w:pStyle w:val="ae"/>
        <w:spacing w:before="0" w:after="0"/>
        <w:jc w:val="both"/>
        <w:rPr>
          <w:color w:val="000000" w:themeColor="text1"/>
          <w:kern w:val="2"/>
          <w:sz w:val="16"/>
          <w:szCs w:val="16"/>
        </w:rPr>
      </w:pPr>
      <w:r w:rsidRPr="002F2FDF">
        <w:rPr>
          <w:color w:val="000000" w:themeColor="text1"/>
          <w:kern w:val="2"/>
          <w:sz w:val="16"/>
          <w:szCs w:val="16"/>
        </w:rPr>
        <w:t>18 (31) октября 1917 в Петрограде состоялось гарнизонное совещание (представителей расквартированных в городе полков), большинство участников которого высказались за поддержку вооруженного восстания против Временного правительства, если оно произойдет под руководством Петроградского совета. 3 ноября представители полков признали Петроградский совет единственной законной властью. Одновременно созданный по инициативе большевиков — формально, для обороны Петрограда — Военно-революционный комитет (ВРК) начал назначать в воинские части своих комиссаров, заменяя ими комиссаров Временного правительства. В ночь на 4 ноября представители ВРК объявили командующему Петроградским военным округом Георгию Полковникову о назначении своих комиссаров и в штаб округа, но Полковников вначале отказался сотрудничать с ними, и лишь 5 ноября согласился на компромисс — создание при штабе консультативного органа для координации действий с ВРК, который так и не заработал на практике (17045).</w:t>
      </w:r>
    </w:p>
    <w:p w14:paraId="09620F6E" w14:textId="77777777" w:rsidR="00C119B3" w:rsidRPr="002F2FDF" w:rsidRDefault="00C119B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F696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октября 1917 в газете А.М.Г. Новая жизнь Каменев опубликовал статью, где резко выступил против готовящегося восстания, которое считал несвоевременным (3908,266).</w:t>
      </w:r>
    </w:p>
    <w:p w14:paraId="3BF3A9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AE2E6B" w14:textId="77777777" w:rsidR="000F5178" w:rsidRPr="002F2FDF" w:rsidRDefault="000F5178"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18 (31) октября в</w:t>
      </w:r>
      <w:r w:rsidRPr="002F2FDF">
        <w:rPr>
          <w:rFonts w:ascii="Times New Roman" w:hAnsi="Times New Roman" w:cs="Times New Roman"/>
          <w:color w:val="000000" w:themeColor="text1"/>
          <w:kern w:val="2"/>
          <w:sz w:val="16"/>
          <w:szCs w:val="16"/>
        </w:rPr>
        <w:t xml:space="preserve"> 1917 году в горьковской газете «Новая жизнь» опубликована статья Л.Каменева, в которой тот открыл планы большевиков по поводу предстоящего восстания (14816).</w:t>
      </w:r>
    </w:p>
    <w:p w14:paraId="6E377724" w14:textId="77777777" w:rsidR="000F5178" w:rsidRPr="002F2FDF" w:rsidRDefault="000F5178" w:rsidP="0083075A">
      <w:pPr>
        <w:spacing w:after="0" w:line="240" w:lineRule="auto"/>
        <w:jc w:val="both"/>
        <w:rPr>
          <w:rFonts w:ascii="Times New Roman" w:hAnsi="Times New Roman" w:cs="Times New Roman"/>
          <w:color w:val="000000" w:themeColor="text1"/>
          <w:kern w:val="2"/>
          <w:sz w:val="16"/>
          <w:szCs w:val="16"/>
        </w:rPr>
      </w:pPr>
    </w:p>
    <w:p w14:paraId="60E289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октября 1917 Л.Б.Каменев выступил в газете Новая жизнь с публичным протестом против готовящегося восстания (1348,87).</w:t>
      </w:r>
    </w:p>
    <w:p w14:paraId="6DCA82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0CCC0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EFD23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5747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октября 1917 состоялся очередной налет 22-х немецких "Гота" на Лондон с 83 десятифунтовыми бомбами на борту. Налет был отражен силами британских ВВС. 5 самолетов было сбито на обратном пути. Погибло 10 горожан (10999).</w:t>
      </w:r>
    </w:p>
    <w:p w14:paraId="7F610F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966701" w14:textId="77777777" w:rsidR="00C119B3" w:rsidRPr="002F2FDF" w:rsidRDefault="00C119B3" w:rsidP="0083075A">
      <w:pPr>
        <w:pStyle w:val="ae"/>
        <w:spacing w:before="0" w:after="0"/>
        <w:jc w:val="both"/>
        <w:rPr>
          <w:color w:val="000000" w:themeColor="text1"/>
          <w:kern w:val="2"/>
          <w:sz w:val="16"/>
          <w:szCs w:val="16"/>
        </w:rPr>
      </w:pPr>
      <w:r w:rsidRPr="002F2FDF">
        <w:rPr>
          <w:color w:val="000000" w:themeColor="text1"/>
          <w:kern w:val="2"/>
          <w:sz w:val="16"/>
          <w:szCs w:val="16"/>
        </w:rPr>
        <w:t>К 18 (31) октября 1917 сохранившие боеспособность итальянские части заняли оборону по реке Тальяменто (на северо-востоке нынешней Италии — РП), в 40-50 километрах позади прежних позиций.</w:t>
      </w:r>
    </w:p>
    <w:p w14:paraId="29FA6882" w14:textId="77777777" w:rsidR="00C119B3" w:rsidRPr="002F2FDF" w:rsidRDefault="00C119B3" w:rsidP="0083075A">
      <w:pPr>
        <w:pStyle w:val="ae"/>
        <w:spacing w:before="0" w:after="0"/>
        <w:jc w:val="both"/>
        <w:rPr>
          <w:color w:val="000000" w:themeColor="text1"/>
          <w:kern w:val="2"/>
          <w:sz w:val="16"/>
          <w:szCs w:val="16"/>
        </w:rPr>
      </w:pPr>
      <w:r w:rsidRPr="002F2FDF">
        <w:rPr>
          <w:color w:val="000000" w:themeColor="text1"/>
          <w:kern w:val="2"/>
          <w:sz w:val="16"/>
          <w:szCs w:val="16"/>
        </w:rPr>
        <w:t>3 ноября главнокомандующий итальянской армией генерал Кадорна так описал председателю совета министров положение дел на фронте: «2-я армия потеряла 180 тысяч пленными, 400 тысяч человек рассеялись, людская масса утратила моральную устойчивость. &lt;…&gt; Если мне удастся отвести 3-ю и 4-ю армии в полном порядке, я намереваюсь сыграть свою последнюю карту на Пьаве (река на северо-востоке Италии — РП) и ждать там решительного сражения».</w:t>
      </w:r>
    </w:p>
    <w:p w14:paraId="06880039" w14:textId="77777777" w:rsidR="00C119B3" w:rsidRPr="002F2FDF" w:rsidRDefault="00C119B3" w:rsidP="0083075A">
      <w:pPr>
        <w:pStyle w:val="ae"/>
        <w:spacing w:before="0" w:after="0"/>
        <w:jc w:val="both"/>
        <w:rPr>
          <w:color w:val="000000" w:themeColor="text1"/>
          <w:kern w:val="2"/>
          <w:sz w:val="16"/>
          <w:szCs w:val="16"/>
        </w:rPr>
      </w:pPr>
      <w:r w:rsidRPr="002F2FDF">
        <w:rPr>
          <w:color w:val="000000" w:themeColor="text1"/>
          <w:kern w:val="2"/>
          <w:sz w:val="16"/>
          <w:szCs w:val="16"/>
        </w:rPr>
        <w:t>4 ноября командование итальянской армии, опасаясь окружения, отдало приказ об отходе и с рубежа реки Тальяменто. Новый рубеж итальянской обороны был определен по линии Нижнее течение реки Пьаве — гора Граппа — плато Семи Общин (17045).</w:t>
      </w:r>
    </w:p>
    <w:p w14:paraId="2A7D38A4" w14:textId="77777777" w:rsidR="00C119B3" w:rsidRPr="002F2FDF" w:rsidRDefault="00C119B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F2AC5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18C976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E1FB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октября (1 ноября) 1917 года Автомобильный комитет ГВТУ, куда поступил на рассмотрение проект “Вездехода-2”, признал конструкцию “недостаточноразработанной, а посему затраты казны по выполнению проекта в настоящем еговиде излишними” (11194).</w:t>
      </w:r>
    </w:p>
    <w:p w14:paraId="0F7ABA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5BB370"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ранее 19 октября (1 ноября) 1917 Изложение доклада главноуполномоченного по донецкому топливу И. Г. Сергеева на районном продовольственном съезде Юга России о снабжении страны жидким и твердым минеральным топливом,</w:t>
      </w:r>
    </w:p>
    <w:p w14:paraId="42FFBF68"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90-93</w:t>
      </w:r>
    </w:p>
    <w:p w14:paraId="685ECC06"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ГЭК, оп. 1, д. 11, лл. 12—15. Копия.</w:t>
      </w:r>
    </w:p>
    <w:p w14:paraId="17C5FAD1"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 Г. Сергеевым был сделан доклад о положении с топливом и о тех мерах, которые продовольственные органы должны предпринять для предотвращения надвигающейся катастрофы. С этой целыо им был использован материал доклада проф. Кирша министру торговли</w:t>
      </w:r>
      <w:hyperlink r:id="rId614" w:anchor="_ftn3" w:history="1">
        <w:r w:rsidRPr="002F2FDF">
          <w:rPr>
            <w:rFonts w:ascii="Times New Roman" w:hAnsi="Times New Roman" w:cs="Times New Roman"/>
            <w:color w:val="000000" w:themeColor="text1"/>
            <w:kern w:val="2"/>
            <w:sz w:val="16"/>
            <w:szCs w:val="16"/>
          </w:rPr>
          <w:t>[3]</w:t>
        </w:r>
      </w:hyperlink>
      <w:r w:rsidRPr="002F2FDF">
        <w:rPr>
          <w:rFonts w:ascii="Times New Roman" w:hAnsi="Times New Roman" w:cs="Times New Roman"/>
          <w:color w:val="000000" w:themeColor="text1"/>
          <w:kern w:val="2"/>
          <w:sz w:val="16"/>
          <w:szCs w:val="16"/>
        </w:rPr>
        <w:t>.</w:t>
      </w:r>
    </w:p>
    <w:p w14:paraId="2133E856"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доклада И. Г. Сергеева выяснилось, что у нас за все время подъема российской промышленности, начиная с 1912 г., ощущался недостаток в собственном топливе, но до войны недостаток пополнялся на 30% ввозом из-за границы и из Домбровского бассейна.</w:t>
      </w:r>
    </w:p>
    <w:p w14:paraId="5F64FEDC"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начала войны усилившийся транспорт и работы на оборону вызвали большое потребление топлива (так, одни железные дороги, расходовавшие в 1912 г. 800 млн пуд., в 1916 г. повысили расход до 1200 млн пуд.), и только накопленные в течение прежнего времени запасы ввезенного топлива дали возможность в первые полтора года войны свести баланс.</w:t>
      </w:r>
    </w:p>
    <w:p w14:paraId="40923309"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1916 г. благодаря высокой добыче в Донецком бассейне (рекордная цифра 1760 млн пуд. против 1627 млн пуд. в 1915г. и 1683 млн пуд. в 1914г., т. е. по 147 млн пуд. в месяц при общем вывозе за год из бассейна 1361 млн пуд., или по '113.5 млн пуд. в месяц) потеря Домбровского бассейна во второй половине 1916 г. не давала себя еще особенно чувствовать, но недостаток в топливе уже намечался, так что пришлось приступить к постепенному сокращению производств.</w:t>
      </w:r>
    </w:p>
    <w:p w14:paraId="43BCB670"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положение с топливом идет к резкому ухудшению. Добыча угля в Донецком бассейне падает с каждым месяцем, что видно из следующих цифр:</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7"/>
        <w:gridCol w:w="924"/>
        <w:gridCol w:w="939"/>
      </w:tblGrid>
      <w:tr w:rsidR="002B1C74" w:rsidRPr="002F2FDF" w14:paraId="09004A7B" w14:textId="77777777" w:rsidTr="00CD229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AFBC2E" w14:textId="44DCD920" w:rsidR="00CD2298"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31438"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B6437"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r>
      <w:tr w:rsidR="002B1C74" w:rsidRPr="002F2FDF" w14:paraId="32B773F1" w14:textId="77777777" w:rsidTr="00CD229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360282"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B2D6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144 млн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9FC78"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127 млн пуд,</w:t>
            </w:r>
          </w:p>
        </w:tc>
      </w:tr>
      <w:tr w:rsidR="002B1C74" w:rsidRPr="002F2FDF" w14:paraId="02CE4F77" w14:textId="77777777" w:rsidTr="00CD229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E7B10D"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02B05"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137 »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F3CD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 » »</w:t>
            </w:r>
          </w:p>
        </w:tc>
      </w:tr>
      <w:tr w:rsidR="002B1C74" w:rsidRPr="002F2FDF" w14:paraId="633FE3BE" w14:textId="77777777" w:rsidTr="00CD229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CB3AA8"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6223C"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149 »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C5B86"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112 » »</w:t>
            </w:r>
          </w:p>
        </w:tc>
      </w:tr>
      <w:tr w:rsidR="002B1C74" w:rsidRPr="002F2FDF" w14:paraId="69916458" w14:textId="77777777" w:rsidTr="00CD229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10D57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A80E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146.5 »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05173"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 » »</w:t>
            </w:r>
          </w:p>
        </w:tc>
      </w:tr>
    </w:tbl>
    <w:p w14:paraId="09C36D52"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этом среднее число рабочих за 1916 г. повысилось до 235 тыс. человек против 180 тыс. в 1915 г. Одним рабочим в среднем за 1916 г. было добыто около 7400 пуд. вместо 9000 пуд. в 1915 г. и 9200 в 1913 г.</w:t>
      </w:r>
    </w:p>
    <w:p w14:paraId="2945A51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Насколько велико падение добычи угля видно из того, что наш слабый, пришедший в совершенное расстройство транспорт почти целиком справляется с добычей, забирая все под метелку, тогда как прежние годы на рудниках оставались невывезенные запасы. Теперь вывоз опережает добычу: запасы в Донецком бассейне, выражающиеся на 1 апреля 1917 г. в 134.5 млн пуд., к 1 сентября понизились до 78 млн пуд. Если в октябре добыча не увеличится, то в ноябре можно ждать катастрофы.</w:t>
      </w:r>
    </w:p>
    <w:p w14:paraId="6FDBA6C4"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Если мы возьмем общую сумму топлива, необходимого для технического потребления Европейской России в 1917 г., она выразится в количестве 3000 млн пуд., из которых 1505 млн пуд. (50.7%) должен покрыть Донецкий бассейн, так как остальные 50% покрываются дровами, нефтью и торфом.</w:t>
      </w:r>
    </w:p>
    <w:p w14:paraId="5899A29D"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Вся же добыча Донецкого бассейна в 1917 г. при нормальной работе не превысит 1550 млн. Из этого количества надо исключить около 30—35 млн на потерю при коксовании, потребление угля рудниками для себя, вывоз для дорог частного пользования, что в конечном итоге могло бы дать при нормальной работе цифру в 1500 млн пуд., но уже цифры последних месяцев дают результаты, значительно уменьшенные.</w:t>
      </w:r>
    </w:p>
    <w:p w14:paraId="19005327"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Особенно резко тяжелое положение с топливом отразится на железных дорогах, которые уже теперь питаются за счет сокращения промышленности, главным образом металлургии. Надо отметить, что наибольший процент сокращения добычи падает на курные угли, на которых главным образом работают железные дороги и металлургия.</w:t>
      </w:r>
    </w:p>
    <w:p w14:paraId="3C82CB25"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Запасы топлива на железных дорогах сильно сократились против прошлого года (в сентябре 1917 г. было 15 млн. пуд. против 1916 г. — 54 млн. пуд.), доходя до суточных норм, а иногда и совсем отсутствуют. Некоторые дороги, в том числе южные, в последнее время должны были прибегнуть к отцепке вагонов с углем, направляемых на север, чтобы самим не стать, и только таким способом удалось предотвратить сокращение, а может быть, и прекращение движения. Но в данный момент железные дороги подошли вплотную к вопросу о сокращении движения не только пассажирского, но и товарного. Расход топлива железными дорогами в 1916 г. колебался от 54 до 60 млн пуд. в месяц, в октябре же этого года они едва ли получат более 40 млн и то при условии почти полного прекращения отпуска угля промышленности. Правительством уже вырабатывается план сокращения товарного движения; предположено возить лишь военные грузы и продукты продовольствия, недостаток в которых действительно сильно отразится на питании населения.</w:t>
      </w:r>
    </w:p>
    <w:p w14:paraId="00B82B54"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 касается снабжения углем промышленности, то металлургические заводы Юга России недополучат больше 30% необходимого количества угля; вместо необходимых 30 млн в месяц и доставленных в сентябре 21 млн пуд. получат лишь '14 млн пуд. Выплавка металлов упадет с 11 млн до 8 млн и даже ниже</w:t>
      </w:r>
      <w:hyperlink r:id="rId615" w:anchor="_ftn4" w:history="1">
        <w:r w:rsidRPr="002F2FDF">
          <w:rPr>
            <w:rFonts w:ascii="Times New Roman" w:hAnsi="Times New Roman" w:cs="Times New Roman"/>
            <w:color w:val="000000" w:themeColor="text1"/>
            <w:kern w:val="2"/>
            <w:sz w:val="16"/>
            <w:szCs w:val="16"/>
          </w:rPr>
          <w:t>[4]</w:t>
        </w:r>
      </w:hyperlink>
      <w:r w:rsidRPr="002F2FDF">
        <w:rPr>
          <w:rFonts w:ascii="Times New Roman" w:hAnsi="Times New Roman" w:cs="Times New Roman"/>
          <w:color w:val="000000" w:themeColor="text1"/>
          <w:kern w:val="2"/>
          <w:sz w:val="16"/>
          <w:szCs w:val="16"/>
        </w:rPr>
        <w:t>.</w:t>
      </w:r>
    </w:p>
    <w:p w14:paraId="3462E3AC"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Петроградский район из 110 млн пуд. донецкого топлива получит не больше 46, т. е. меньше половины против голодного минимума. Московский район (12 губерний) вместо 60 млн пуд. получит не более 23 млн пуд. донецкого топлива.</w:t>
      </w:r>
    </w:p>
    <w:p w14:paraId="50C51321"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таком же грозном положении находится также снабжение предприятий нефтью, что особенно сильно отразится на текстильной промышленности, лишенной совершенно донецкого топлива. В 1916 г. текстильной промышленностью было сожжено 36 млн пуд. нефти, а в 1917 г. она едва ли получит 9.</w:t>
      </w:r>
    </w:p>
    <w:p w14:paraId="337BAF92"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Положение с нефтью рисуется в следующих чертах: подвоз нефтяного топлива по Волге из Астрахани благодаря осложнениям с судовыми командами, а летом — и мелководью будет ниже против 1916 г. на 43 млн пуд. и ниже предполагаемого в 1917 г. на 60 млн пуд. Ввиду того что железные дороги нефтяного района донецкого топлива получают мало, сократить потребление жидкого у них нельзя, что и вызовет сокращение за счет промышленности более чем на 30%. Осложнения в Баку, если они не коснутся пристаней, не отразятся дурно в этом году ввиду закрывающейся навигации, но бедствия 1918 г. будут неисчислимы; неспокойно также в Грозном, нефтепровод до Петровска пострадал. Нефтяные запасы на волжских пристанях, распределительных складах и у потребителей были уже исчерпаны к началу весны 1917 г. В настоящее время принимаются меры хотя бы к некоторому увеличению вывоза нефти до нижневолжских пристаней, хотя бы до Царицына, чтобы везти на большие расстояния, в частности вывезти железнодорожным путем из Царицына. Если события в Баку охватят рабочих на судах и пристанях, то и эта возможность будет неиспользована.</w:t>
      </w:r>
    </w:p>
    <w:p w14:paraId="2B0B3647"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Положение с древесным топливом также становится угрожающим. Обнаружившийся недостаток донецкого топлива побудил промышленные предприятия, железные дороги и земства переходить на дрова. Заготовки усилились и теперь развиваются. Организация городов и земств потребовала финансовую помощь государства, но казначейство не в силах удовлетворить все запросы.</w:t>
      </w:r>
    </w:p>
    <w:p w14:paraId="682E0B25"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Частная инициатива встречает затруднения в рабочих руках, в продовольствии и фураже, инструментах, гуже и железнодорожном транспорте, не говоря уже о затруднениях в земельных и местных лесных комитетах. В результате всюду, за весьма редкими исключениями, наблюдается приостановка заготовки дров силами частной лесопромышленности. Таким образом, сильное сокращение, а в некоторых местах полное прекращение частных дровяных заготовок выдвигает особенно настойчиво на этот путь общественные организации, но и они встречают препятствия в форме недостатка средств, рук, а главное — продуктов продовольствия и фуража. Заготовки стали производиться далеко от железных дорог, и условия жизни и гужа осложнились, и если сейчас идут дрова, то только прежних заготовок; запасы незначительные, и постепенное их истощение приведет к отопительному голоду, особенно с наступлением зимы, когда нужда в топливе возрастет. Здесь помощь органов продовольствия в снабжении армии дровосеков необходимым для них продовольствием должна быть большая.</w:t>
      </w:r>
    </w:p>
    <w:p w14:paraId="496E83F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Меры к увеличению заготовок принимаются. Но удержать их на уровне прошлогоднего поступления, быть может, удастся для таких лишь ответственных центров, как Москва и Петроград, да и там, принимая во внимание громадное недополучение этими городами других видов топлива, общий дефицит будет громадный.</w:t>
      </w:r>
    </w:p>
    <w:p w14:paraId="2FC9D920"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 касается торфа, его участие в общем количестве потребляемого топлива невелико (около 2%), а потому существенного значения он не имеет. В рабочих руках и там затруднение, но добычу удалось удержать на уровне 1916 г.</w:t>
      </w:r>
    </w:p>
    <w:p w14:paraId="6D9B6927"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эти данные говорят за то, что полное почти истощение запасов и недополучение главных видов топлива ведет к тому, что удовлетворение наиболее бесспорных нужд государства становится совершенно невозможным. Ознакомив с общими перспективами в деле снабжения страны топливом, И. Г. Сергеев коснулся тех главных условий падения добычи, которые особенно могут интересовать продовольственные органы. Причины эти разнообразны: слабый состав рабочих (70% военнообязанных, женщин, подростков, военнопленных), общая усталость ввиду отсутствия отдыха, недостаток делового контакта между промышленниками и рабочими, неурегулирование вопроса о заработной плате, изношенность механического оборудования, недостаток ремонтных средств и материалов, отсутствие подготовительных работ, финансовые затруднения, затруднения в гуже, неустойчивость настроения и недостаточная во многих местах обеспеченность рабочих продовольствием (сало считается роскошью).</w:t>
      </w:r>
    </w:p>
    <w:p w14:paraId="7E1DF6C6"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Суммируя все вышеизложенное, И. Г. Сергеев наметил то взаимоотношение ы ту связь, которая существует между топливом, продовольствием, транспортом и промышленностью. Получается какой-то заколдованный круг. Плохо работает транспорт но недостатку, между прочим, топлива и материалов, нет топлива на местах, потому что его не везет железная дорога. Расстройство и сокращение транспорта заставляют выгружать уже нагруженные вагоны с хлебом (за последние дни, но словам М. Ф. Кузнецова, было разгружено в Харькове до 250 вагонов). Из-за недостатка топлива приходится также сокращать мельницы. С другой стороны, крестьяне слабо дают хлеб, потому что у них нет мануфактуры и железа. Нет железа и мануфактуры опять из-за недостатка топлива на фабриках и железных дорогах. Создается целый ряд кризисов, которые тесно друг с другом переплелись, и, кажется, трудно найти исходную точку в этом кольце. Но все же, по словам И. Г. Сергеева, эта точка — исходный пункт всего — есть топливо. Будет топливо — наладится транспорт, оживится промышленность, крестьяне взамен хлеба получат железо и мануфактуру, тем самым усилят подвоз хлеба в приемные пункты.</w:t>
      </w:r>
      <w:hyperlink r:id="rId616" w:anchor="_ftn5" w:history="1">
        <w:r w:rsidRPr="002F2FDF">
          <w:rPr>
            <w:rFonts w:ascii="Times New Roman" w:hAnsi="Times New Roman" w:cs="Times New Roman"/>
            <w:color w:val="000000" w:themeColor="text1"/>
            <w:kern w:val="2"/>
            <w:sz w:val="16"/>
            <w:szCs w:val="16"/>
          </w:rPr>
          <w:t>[5]</w:t>
        </w:r>
      </w:hyperlink>
    </w:p>
    <w:p w14:paraId="5E9102A3" w14:textId="77777777" w:rsidR="00CD2298"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617" w:anchor="_ftnref1" w:history="1">
        <w:r w:rsidR="00CD2298" w:rsidRPr="002F2FDF">
          <w:rPr>
            <w:rFonts w:ascii="Times New Roman" w:hAnsi="Times New Roman" w:cs="Times New Roman"/>
            <w:color w:val="000000" w:themeColor="text1"/>
            <w:kern w:val="2"/>
            <w:sz w:val="16"/>
            <w:szCs w:val="16"/>
          </w:rPr>
          <w:t>[1]</w:t>
        </w:r>
      </w:hyperlink>
      <w:r w:rsidR="00CD2298" w:rsidRPr="002F2FDF">
        <w:rPr>
          <w:rFonts w:ascii="Times New Roman" w:hAnsi="Times New Roman" w:cs="Times New Roman"/>
          <w:color w:val="000000" w:themeColor="text1"/>
          <w:kern w:val="2"/>
          <w:sz w:val="16"/>
          <w:szCs w:val="16"/>
        </w:rPr>
        <w:t xml:space="preserve"> Районный продовольственный съезд Юга России состоялся 19— 20 октября 1917 г. в Харькове.</w:t>
      </w:r>
    </w:p>
    <w:p w14:paraId="7C1F1907" w14:textId="77777777" w:rsidR="00CD2298"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618" w:anchor="_ftnref2" w:history="1">
        <w:r w:rsidR="00CD2298" w:rsidRPr="002F2FDF">
          <w:rPr>
            <w:rFonts w:ascii="Times New Roman" w:hAnsi="Times New Roman" w:cs="Times New Roman"/>
            <w:color w:val="000000" w:themeColor="text1"/>
            <w:kern w:val="2"/>
            <w:sz w:val="16"/>
            <w:szCs w:val="16"/>
          </w:rPr>
          <w:t>[2]</w:t>
        </w:r>
      </w:hyperlink>
      <w:r w:rsidR="00CD2298" w:rsidRPr="002F2FDF">
        <w:rPr>
          <w:rFonts w:ascii="Times New Roman" w:hAnsi="Times New Roman" w:cs="Times New Roman"/>
          <w:color w:val="000000" w:themeColor="text1"/>
          <w:kern w:val="2"/>
          <w:sz w:val="16"/>
          <w:szCs w:val="16"/>
        </w:rPr>
        <w:t xml:space="preserve"> Датируется по времени работы съезда</w:t>
      </w:r>
    </w:p>
    <w:p w14:paraId="50101E5F" w14:textId="77777777" w:rsidR="00CD2298"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619" w:anchor="_ftnref3" w:history="1">
        <w:r w:rsidR="00CD2298" w:rsidRPr="002F2FDF">
          <w:rPr>
            <w:rFonts w:ascii="Times New Roman" w:hAnsi="Times New Roman" w:cs="Times New Roman"/>
            <w:color w:val="000000" w:themeColor="text1"/>
            <w:kern w:val="2"/>
            <w:sz w:val="16"/>
            <w:szCs w:val="16"/>
          </w:rPr>
          <w:t>[3]</w:t>
        </w:r>
      </w:hyperlink>
      <w:r w:rsidR="00CD2298" w:rsidRPr="002F2FDF">
        <w:rPr>
          <w:rFonts w:ascii="Times New Roman" w:hAnsi="Times New Roman" w:cs="Times New Roman"/>
          <w:color w:val="000000" w:themeColor="text1"/>
          <w:kern w:val="2"/>
          <w:sz w:val="16"/>
          <w:szCs w:val="16"/>
        </w:rPr>
        <w:t xml:space="preserve"> В деле не имеется.</w:t>
      </w:r>
    </w:p>
    <w:p w14:paraId="156A1408" w14:textId="77777777" w:rsidR="00CD2298"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620" w:anchor="_ftnref4" w:history="1">
        <w:r w:rsidR="00CD2298" w:rsidRPr="002F2FDF">
          <w:rPr>
            <w:rFonts w:ascii="Times New Roman" w:hAnsi="Times New Roman" w:cs="Times New Roman"/>
            <w:color w:val="000000" w:themeColor="text1"/>
            <w:kern w:val="2"/>
            <w:sz w:val="16"/>
            <w:szCs w:val="16"/>
          </w:rPr>
          <w:t>[4]</w:t>
        </w:r>
      </w:hyperlink>
      <w:r w:rsidR="00CD2298" w:rsidRPr="002F2FDF">
        <w:rPr>
          <w:rFonts w:ascii="Times New Roman" w:hAnsi="Times New Roman" w:cs="Times New Roman"/>
          <w:color w:val="000000" w:themeColor="text1"/>
          <w:kern w:val="2"/>
          <w:sz w:val="16"/>
          <w:szCs w:val="16"/>
        </w:rPr>
        <w:t xml:space="preserve"> В докладе главноуполномоченного по донецкому топливу И. Г. Сергеева на VIII Всероссийском съезде государственных органов по топливу в г. Харькове 4—6 декабря 1917 г. были подведены предварительные итоги снабжения топливом важнейших потребительских групп в 1917 г. По этим данным, потребители недополучили около 30% против того голодного минимума, который был установлен на IV съезде уполномоченных по топливу 2—4 декабря 1916 г. в Харькове. В частности, железные дороги недополучили, по сравнению с прошлогодним назначением, около 20% топлива, металлургическая промышленность — 36—40%. Особенно крупными были недополучения топлива районами, отдаленными от источников топлива, в частности Петроградским и Московским. (Известия Особого совещания по топливу, 1917, № 7, стр. 5).</w:t>
      </w:r>
    </w:p>
    <w:p w14:paraId="218F3181" w14:textId="77777777" w:rsidR="00CD2298"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621" w:anchor="_ftnref5" w:history="1">
        <w:r w:rsidR="00CD2298" w:rsidRPr="002F2FDF">
          <w:rPr>
            <w:rFonts w:ascii="Times New Roman" w:hAnsi="Times New Roman" w:cs="Times New Roman"/>
            <w:color w:val="000000" w:themeColor="text1"/>
            <w:kern w:val="2"/>
            <w:sz w:val="16"/>
            <w:szCs w:val="16"/>
          </w:rPr>
          <w:t>[5]</w:t>
        </w:r>
      </w:hyperlink>
      <w:r w:rsidR="00CD2298" w:rsidRPr="002F2FDF">
        <w:rPr>
          <w:rFonts w:ascii="Times New Roman" w:hAnsi="Times New Roman" w:cs="Times New Roman"/>
          <w:color w:val="000000" w:themeColor="text1"/>
          <w:kern w:val="2"/>
          <w:sz w:val="16"/>
          <w:szCs w:val="16"/>
        </w:rPr>
        <w:t xml:space="preserve"> Опущен конец доклада о мерах со стороны продовольственных органов для поднятия добычи топлива (15691).</w:t>
      </w:r>
    </w:p>
    <w:p w14:paraId="0D6AD6FE"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p>
    <w:p w14:paraId="56C6796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72D62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3342C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октяб</w:t>
      </w:r>
      <w:r w:rsidRPr="002F2FDF">
        <w:rPr>
          <w:rFonts w:ascii="Times New Roman" w:hAnsi="Times New Roman" w:cs="Times New Roman"/>
          <w:color w:val="000000" w:themeColor="text1"/>
          <w:kern w:val="2"/>
          <w:sz w:val="16"/>
          <w:szCs w:val="16"/>
        </w:rPr>
        <w:softHyphen/>
        <w:t>ря (1 ноября) 1917 затихли боевые действия на Балтийском театре после ухода через Моонзундскнй канал последних русских кораблей в Финский залив, куда германские корабли прорваться не посмели. 2 декабря 1917 года в Брест-Литовске между гер</w:t>
      </w:r>
      <w:r w:rsidRPr="002F2FDF">
        <w:rPr>
          <w:rFonts w:ascii="Times New Roman" w:hAnsi="Times New Roman" w:cs="Times New Roman"/>
          <w:color w:val="000000" w:themeColor="text1"/>
          <w:kern w:val="2"/>
          <w:sz w:val="16"/>
          <w:szCs w:val="16"/>
        </w:rPr>
        <w:softHyphen/>
        <w:t>мано-австрийским и российским командованием было зак</w:t>
      </w:r>
      <w:r w:rsidRPr="002F2FDF">
        <w:rPr>
          <w:rFonts w:ascii="Times New Roman" w:hAnsi="Times New Roman" w:cs="Times New Roman"/>
          <w:color w:val="000000" w:themeColor="text1"/>
          <w:kern w:val="2"/>
          <w:sz w:val="16"/>
          <w:szCs w:val="16"/>
        </w:rPr>
        <w:softHyphen/>
        <w:t>лючено соглашение о 28-суточном перемирии на всем Вос</w:t>
      </w:r>
      <w:r w:rsidRPr="002F2FDF">
        <w:rPr>
          <w:rFonts w:ascii="Times New Roman" w:hAnsi="Times New Roman" w:cs="Times New Roman"/>
          <w:color w:val="000000" w:themeColor="text1"/>
          <w:kern w:val="2"/>
          <w:sz w:val="16"/>
          <w:szCs w:val="16"/>
        </w:rPr>
        <w:softHyphen/>
        <w:t>точном фронте. Аналогичное перемирие на Кавказском фронте состоялось через трое суток (11283).</w:t>
      </w:r>
    </w:p>
    <w:p w14:paraId="2094FD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DB1A7E" w14:textId="77777777" w:rsidR="00B23481" w:rsidRPr="002F2FDF" w:rsidRDefault="00B2348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6941125" w14:textId="77777777" w:rsidR="00B23481" w:rsidRPr="002F2FDF" w:rsidRDefault="00B2348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6262D9" w14:textId="77777777" w:rsidR="00B23481" w:rsidRPr="002F2FDF" w:rsidRDefault="00B23481"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С 19 октября (1 ноября) 1917</w:t>
      </w:r>
      <w:r w:rsidRPr="002F2FDF">
        <w:rPr>
          <w:color w:val="000000" w:themeColor="text1"/>
          <w:sz w:val="16"/>
          <w:szCs w:val="16"/>
        </w:rPr>
        <w:t xml:space="preserve"> кадетская газета «Свободный народ» начала вести «</w:t>
      </w:r>
      <w:r w:rsidRPr="002F2FDF">
        <w:rPr>
          <w:rStyle w:val="af0"/>
          <w:i w:val="0"/>
          <w:color w:val="000000" w:themeColor="text1"/>
          <w:sz w:val="16"/>
          <w:szCs w:val="16"/>
        </w:rPr>
        <w:t>постоянную колонку о подготовке большевиков к перевороту</w:t>
      </w:r>
      <w:r w:rsidRPr="002F2FDF">
        <w:rPr>
          <w:color w:val="000000" w:themeColor="text1"/>
          <w:sz w:val="16"/>
          <w:szCs w:val="16"/>
        </w:rPr>
        <w:t>», а в квартире П. Милюкова начал постоянное дежурство вооруженный охранник.</w:t>
      </w:r>
    </w:p>
    <w:p w14:paraId="4E7717B1" w14:textId="5C0E7E3E" w:rsidR="00B23481" w:rsidRPr="002F2FDF" w:rsidRDefault="00B23481" w:rsidP="0083075A">
      <w:pPr>
        <w:pStyle w:val="ae"/>
        <w:spacing w:before="0" w:after="0"/>
        <w:jc w:val="both"/>
        <w:rPr>
          <w:color w:val="000000" w:themeColor="text1"/>
          <w:sz w:val="16"/>
          <w:szCs w:val="16"/>
        </w:rPr>
      </w:pPr>
      <w:r w:rsidRPr="002F2FDF">
        <w:rPr>
          <w:color w:val="000000" w:themeColor="text1"/>
          <w:sz w:val="16"/>
          <w:szCs w:val="16"/>
        </w:rPr>
        <w:t>В этот день В.И.</w:t>
      </w:r>
      <w:r w:rsidR="00E52569">
        <w:rPr>
          <w:color w:val="000000" w:themeColor="text1"/>
          <w:sz w:val="16"/>
          <w:szCs w:val="16"/>
        </w:rPr>
        <w:t xml:space="preserve"> </w:t>
      </w:r>
      <w:r w:rsidRPr="002F2FDF">
        <w:rPr>
          <w:color w:val="000000" w:themeColor="text1"/>
          <w:sz w:val="16"/>
          <w:szCs w:val="16"/>
        </w:rPr>
        <w:t>Ленин написал в ЦК РСДРП(б) письмо, в котором он «</w:t>
      </w:r>
      <w:r w:rsidRPr="002F2FDF">
        <w:rPr>
          <w:rStyle w:val="af0"/>
          <w:i w:val="0"/>
          <w:color w:val="000000" w:themeColor="text1"/>
          <w:sz w:val="16"/>
          <w:szCs w:val="16"/>
        </w:rPr>
        <w:t>обвинял Зиновьева и Каменева в штрейкбрехерстве и требовал исключить их из партии за их выступления против вооруженного восстания</w:t>
      </w:r>
      <w:r w:rsidRPr="002F2FDF">
        <w:rPr>
          <w:color w:val="000000" w:themeColor="text1"/>
          <w:sz w:val="16"/>
          <w:szCs w:val="16"/>
        </w:rPr>
        <w:t>». Г.Е.</w:t>
      </w:r>
      <w:r w:rsidR="00E52569">
        <w:rPr>
          <w:color w:val="000000" w:themeColor="text1"/>
          <w:sz w:val="16"/>
          <w:szCs w:val="16"/>
        </w:rPr>
        <w:t xml:space="preserve"> </w:t>
      </w:r>
      <w:r w:rsidRPr="002F2FDF">
        <w:rPr>
          <w:color w:val="000000" w:themeColor="text1"/>
          <w:sz w:val="16"/>
          <w:szCs w:val="16"/>
        </w:rPr>
        <w:t>Зиновьев (Радомысленский) (1883-1936) и Л.Б.</w:t>
      </w:r>
      <w:r w:rsidR="00E52569">
        <w:rPr>
          <w:color w:val="000000" w:themeColor="text1"/>
          <w:sz w:val="16"/>
          <w:szCs w:val="16"/>
        </w:rPr>
        <w:t xml:space="preserve"> </w:t>
      </w:r>
      <w:r w:rsidRPr="002F2FDF">
        <w:rPr>
          <w:color w:val="000000" w:themeColor="text1"/>
          <w:sz w:val="16"/>
          <w:szCs w:val="16"/>
        </w:rPr>
        <w:t>Каменев (Розенфельд) (1883-1936) вскоре вернулись в «</w:t>
      </w:r>
      <w:r w:rsidRPr="002F2FDF">
        <w:rPr>
          <w:rStyle w:val="af0"/>
          <w:i w:val="0"/>
          <w:color w:val="000000" w:themeColor="text1"/>
          <w:sz w:val="16"/>
          <w:szCs w:val="16"/>
        </w:rPr>
        <w:t>русло ленинской политики</w:t>
      </w:r>
      <w:r w:rsidRPr="002F2FDF">
        <w:rPr>
          <w:color w:val="000000" w:themeColor="text1"/>
          <w:sz w:val="16"/>
          <w:szCs w:val="16"/>
        </w:rPr>
        <w:t>», а после Октября занимали высшие посты в органах советской власти (18371).</w:t>
      </w:r>
    </w:p>
    <w:p w14:paraId="49D4BAB1" w14:textId="77777777" w:rsidR="00B23481" w:rsidRPr="002F2FDF" w:rsidRDefault="00B23481" w:rsidP="0083075A">
      <w:pPr>
        <w:pStyle w:val="ae"/>
        <w:spacing w:before="0" w:after="0"/>
        <w:jc w:val="both"/>
        <w:rPr>
          <w:color w:val="000000" w:themeColor="text1"/>
          <w:sz w:val="16"/>
          <w:szCs w:val="16"/>
        </w:rPr>
      </w:pPr>
    </w:p>
    <w:p w14:paraId="010AE68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1A3A94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6B22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октября (1 ноября) 1917 газета Рабочий и солдат предложила прекратить войну разбросав с аэропланов листовки на немецком языке (271,72).</w:t>
      </w:r>
    </w:p>
    <w:p w14:paraId="2D0792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87501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017FB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2AE1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По состоянию на 19 октября (1 ноября) 1917 года Франция располагала на фронте 754 истребителями, 541 бомбардировщиком, 1207 самолетами других типов. Всего 2502 машины. К этому стоит прибавить 200 самолетов, находившихся в ремонте. Получается около трех тысяч машин первой линии. Это немного, поскольку сюда же входят самолеты, находившиеся на Ближнем Востоке, в Греции и Африке. В Германии динамичнее других развивалась фирма "Альбатрос Верке". В 1914 году фирма выпустила 370 самолетов, на ней работало 450 человек. В 1918 году эти цифры выросли до 5200 и 4800, соответственно. Аналогично росло и число летчиков в действующей армии (11262). Следует заметить, что летный состав во всех странах комплектовался за счет добровольцев. Основной приток добровольцев шел из числа технического персонала летных частей. Первоначально от летчиков не требовалось каких-то особых знаний. Добровольцев быстро зачисляли в наблюдатели, стрелки и даже пилоты. Жалованье летного состава было высоким, но риск просто огромным. В ходе войны конструкция самолетов резко усложнилась, поэтому летный и технический состав приходилось специально готовить. Появились летные школы, школы разведки и наблюдения. Следом появились школы фоторазведки, навигации, бомбометания, школы бортовых стрелков и механиков, школы ночного пилотажа и др. Инструкторами в школах были фронтовые летчики, которые свои знания набрали в ходе фронтовой практики. Как правило, это были летчики, находившиеся на отдыхе или на лечении. Не все справлялись с этой задачей, поскольку летать и учить летать довольно разные задачи. Отличными учителями оказались француз Шарль Нюнжессер, немец Освальд Бельке, австрийцы Брумовский и Линке-Кроуфорд. А такие асы как Жорж Гинемер и Вернер Фосс оказались никудышными учителями. Вплоть до конца Первой Мировой войны пилот считался всего лишь "извозчиком", "водителем", управлявшим транспортным средством. Как правило, пилот имел звание унтер-офицера, а то и вовсе был гражданским лицом, выполнявшим приказы наблюдателя, который всегда был офицером. Навыки пилотажа ценились ниже, чем умение читать карту и ориентироваться на местности. Зато летчик-истребитель, летавший самостоятельно, совмещал в одном лице и пилота и наблюдателя. Служба в авиации в годы Первой Мировой войны была необычайно опасна. Если в бою самолет получал небольшие повреждения или пилот оказывался легко раненым, еще можно было надеяться на благополучное приземление. Но злейшим врагом был огонь. Если самолет загорался, то летчики предпочитали покинуть машину без парашюта, чем сгореть живьем. Состоявшие из дерева и ткани, имевшие на борту запас бензина самолеты горели как спички. Летчикам запрещали пользоваться парашютом, считая, что так они будут до конца использовать возможности самолета. Запрет был бессмысленным, так как пилоты-добровольцы и без того имели неплохую мотивацию. При этом парашюты применялись достаточно широко наблюдателями на аэростатах, с помощью парашютов в тыл противнику забрасывали диверсантов. Запрет использовать парашюты для летчиков официально обосновывался довольно шатко: дескать, в кабине нет места, да и парашюты недостаточно надежны. Можно подумать, что прыгая без парашюта, летчик получал больше шансов уцелеть. Колторпу, создателю английского парашюта, запретили налаживать его массовый выпуск. В Германии существовали парашюты системы Хайнеке и Пульсена, но и тут летчики летали без парашютов. Отсутствие парашютов асы-истребители терпели, так как были уверены в своих способностях и верили в то, что им-то парашют не понадобиться. Неизвестно, сколько погибших летчиков могли бы остаться в живых, если бы у них был парашют, но без сомнения доля неоправданных потерь была велика. Несомненно, Вернер Фосс остался бы в живых, так как его самолет был сбит на большой высоте, и оставшийся невредимым пилот мог только смотреть на приближающуюся к нему землю. В похожей ситуации погиб австрийский ас Франк Линке-Кроуфорд и многие другие пилоты. В конце войны ситуация все же изменилась. В 1917 году в Великобритании введено обязательное применение парашютов в авиации. В Германии обязательное применение парашютов ввели в начале 1918 года. Многие летчики спаслись благодаря парашютам. Например, немецкий ас Рудольф Бертольд дважды прыгал с парашютом из горящего "Фоккера". В годы войны все воюющие армии потеряли несколько тысяч летчиков. Служба в авиации была очень опасна. Если пехотинец, получив ранение, имел право уйти в тыл на перевязку, то летчик мог только погибнуть, поскольку отступать ему было некуда. Кто-то подсчитал, что среднее время жизни боевого летчика в 1917 году составляло всего три недели. Наверное, имена многих пилотов были бы забыты навсегда, если бы не майор де Роз, командующий авиацией V-й французской армии. Де Роз создал систему асов. Сначала он регистрировал победы пилотов из своей эскадрильи капитана Брокара. Затем он отобрал лучших и разработал систему, по которой пилоты могли бы соревноваться друг с другом. Это была не слишком справедливая система, так как она охватывала только летчиков-истребителей. Но благодаря ей истребители стали элитой авиации, кумирами толпы и фаворитами командиров. Другие виды авиации также имели своих героев, но они гибли в безвестности, затмеваемые сиянием славы истребителей. Система асов быстро распространилась во французской авиации, а затем и в авиации других стран. Титул аса пилот получал, одержав пять побед в воздухе. В Германии и Австро-Венгрии титул аса не присваивался, но подсчет сбитых самолетов велся. Способ подсчета побед был во всех странах разный, но обычно победой считался сбитый самолет противника, падение которого мог подтвердить какой-нибудь свидетель. Если же свидетелей победы не было, ее не засчитывали. Знаменитым асам верили на слово, но молодые пилоты при отсутствии свидетелей обходились лишь внутренним чувством удовольствия от хорошо сделанной работы. Такая система, впрочем, была вполне оправдана, так как часто случалось, что пилот был уверен в своей победе, но падения своей жертвы не видел, а в действительности противник благополучно возвращался на аэродром или совершал успешную вынужденную посадку. Как правило, такие предполагаемые победы отмечались в рапортах, но к счету пилота не прибавлялись. Хорошие пилоты часто действовали в одиночку, залетая глубоко за линию фронта, где могли рассчитывать только на себя. Самым неудачливым пилотом в отношении пропорции заявленных к засчитанным победам был австрийский пилот морской авиации Готфрид Банфильд, который в одиночных полетах над морем заявил 20 сбитых самолетов противника. Но из этого числа удалось подтвердить только девять побед. За воздушную победу засчитывалось и уничтожение аэростата наблюдения. Вопреки распространенному мнению, сбить аэростат было довольно сложным делом. Обычно аэростаты были неплохо прикрыты зенитной артиллерией, а поблизости находились истребители. Если пилоту не удавалось захватить наблюдателя врасплох, то аэростат быстро опускали на землю. Некоторые пилоты специализировались на борьбе с аэростатами. Лучшим из этих специалистов был бельгиец Вилли Коппенс, который из 37 побед 26 одержал над аэростатами. Во время атаки на последний из них, Коппенс потерял ногу (11262).</w:t>
      </w:r>
    </w:p>
    <w:p w14:paraId="6F28BE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21D43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1D77B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B273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октября (1 ноября) 1917 канцлером Германии стал граф фон Гертлинг (3481).</w:t>
      </w:r>
    </w:p>
    <w:p w14:paraId="4302E2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C99A0F" w14:textId="77777777" w:rsidR="00CD2298"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31280F1C" w14:textId="77777777" w:rsidR="00CD2298" w:rsidRPr="002F2FDF" w:rsidRDefault="00CD229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D880F5"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октября (2 ноября) 1917 Телеграмма председателя Особого совещания по топливу К. В. Кирша пом. военного министра ген. А. А. Маниловскому о сокращении работ металлургических заводов и необходимости сокращения бензольного производства вследствие острого топливного кризиса.</w:t>
      </w:r>
    </w:p>
    <w:p w14:paraId="54D82466"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132</w:t>
      </w:r>
    </w:p>
    <w:p w14:paraId="02F93E64"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507, оп. 1, д. 300, л. 41. Подлинник.</w:t>
      </w:r>
    </w:p>
    <w:p w14:paraId="2EDB33EF"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наблюдающегося в настоящее время резкого падения добычи донецкого топлива и обусловленных этим минимальных назначений означенного топлива даже важнейшим его потребителям, последние, в том числе и железные дороги, испытывают самый острый топливный кризис.</w:t>
      </w:r>
    </w:p>
    <w:p w14:paraId="2A6414BF"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предупреждения остановки движения на железных дорогах за недостатком топлива, а равно и для предотвращения остановки предприятий, обслуживающих продовольствие армии іі населения, и других особо важных для обороны, как например пороховых заводов (Шостенский и др.), представляется совершенно неизбежным в целях экономии топлива сократить целый ряд отечественных производств, а также и работу металлургических заводов.</w:t>
      </w:r>
    </w:p>
    <w:p w14:paraId="5C7CA15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Последним ввиду этого на ноябрь с. г. предположено назначить лишь 14 млн иуд. донецкого топлива вместо 22—25. Так как из нормы металлургии снабжаются также и коксовые печи, то указанное резкое сокращение этой нормы может повлечь за собой сокращение работы коксовых нечей, вырабатывающих, между прочим, бензол.</w:t>
      </w:r>
    </w:p>
    <w:p w14:paraId="3446DBDA"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сего прошу вас не отказать в распоряжении о срочном выяснении вопроса о возможности сокращения производства бензола в зависимости от его наличия и в связи с необходимостью, при производстве бензола в нынешнем размере, сокращения железнодорожного движения н производства продовольствия.]</w:t>
      </w:r>
    </w:p>
    <w:p w14:paraId="1D6D1217"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случае если сокращение производства бензола признано будет возможным, то ближайшая разработка плана указанного сокращения могла бы быть произведена представителем военного ведомства совместно с харьковским Главйоуполномоченным по донецкому топливу.</w:t>
      </w:r>
    </w:p>
    <w:p w14:paraId="7C5BB24D"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 последующем просьба уведомить.</w:t>
      </w:r>
    </w:p>
    <w:p w14:paraId="64D42BC8"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председателя Особого совещания К. Кирш (15675).</w:t>
      </w:r>
    </w:p>
    <w:p w14:paraId="3AA08294" w14:textId="77777777" w:rsidR="00CD2298" w:rsidRPr="002F2FDF" w:rsidRDefault="00CD2298" w:rsidP="0083075A">
      <w:pPr>
        <w:spacing w:after="0" w:line="240" w:lineRule="auto"/>
        <w:jc w:val="both"/>
        <w:rPr>
          <w:rFonts w:ascii="Times New Roman" w:hAnsi="Times New Roman" w:cs="Times New Roman"/>
          <w:color w:val="000000" w:themeColor="text1"/>
          <w:kern w:val="2"/>
          <w:sz w:val="16"/>
          <w:szCs w:val="16"/>
        </w:rPr>
      </w:pPr>
    </w:p>
    <w:p w14:paraId="3ABE4953" w14:textId="77777777" w:rsidR="001157F8"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10FBBA9" w14:textId="77777777" w:rsidR="001157F8" w:rsidRPr="002F2FDF" w:rsidRDefault="001157F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9F19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20—23 октября (2 - 5 ноября) 1917 Петроградский Военно-революционный комитет назначил около 600 комиссаров во все фронты и армии, в штаб Петроградского военного округа, во все части и учреждения (11072).</w:t>
      </w:r>
    </w:p>
    <w:p w14:paraId="499AE0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DD69AC" w14:textId="27E8B7A2" w:rsidR="00D11E26" w:rsidRPr="00FB4F67" w:rsidRDefault="00D11E2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20 октября (</w:t>
      </w:r>
      <w:r w:rsidRPr="00FB4F67">
        <w:rPr>
          <w:rFonts w:ascii="Times New Roman" w:hAnsi="Times New Roman" w:cs="Times New Roman"/>
          <w:color w:val="0070C0"/>
          <w:sz w:val="16"/>
          <w:szCs w:val="16"/>
        </w:rPr>
        <w:t>2 ноября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Петроградский Совет сформировал «Военно-революционный комитет» (ВРК), целью которого было управление штабом и гарнизоном Петроградского округа. 4-го ВРК приказал войскам в Московском округе подчиняться только им. 3 ноября власти в Петрограде узнали, что русские войска на Северном фронте сложили оружие и ведут братание с врагом (23525).</w:t>
      </w:r>
    </w:p>
    <w:p w14:paraId="0C2BB811" w14:textId="77777777" w:rsidR="00D11E26" w:rsidRPr="00FB4F67" w:rsidRDefault="00D11E26" w:rsidP="0083075A">
      <w:pPr>
        <w:spacing w:after="0" w:line="240" w:lineRule="auto"/>
        <w:jc w:val="both"/>
        <w:rPr>
          <w:rFonts w:ascii="Times New Roman" w:hAnsi="Times New Roman" w:cs="Times New Roman"/>
          <w:color w:val="0070C0"/>
          <w:sz w:val="16"/>
          <w:szCs w:val="16"/>
        </w:rPr>
      </w:pPr>
    </w:p>
    <w:p w14:paraId="55A3E23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B2B70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95B0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октября (2 ноября) 1917 британский министр иностранных дел А.Бальфур в письме к лидеру британских сионистов лорду Л.Ротшильду сообщил о согласии британского правительства на "создание в Палестине национального очага для еврейского народа" - Декларация Бальфура (3481).</w:t>
      </w:r>
    </w:p>
    <w:p w14:paraId="3598F7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504415" w14:textId="77777777" w:rsidR="00C119B3" w:rsidRPr="002F2FDF" w:rsidRDefault="00C119B3" w:rsidP="0083075A">
      <w:pPr>
        <w:pStyle w:val="ae"/>
        <w:spacing w:before="0" w:after="0"/>
        <w:jc w:val="both"/>
        <w:rPr>
          <w:color w:val="000000" w:themeColor="text1"/>
          <w:kern w:val="2"/>
          <w:sz w:val="16"/>
          <w:szCs w:val="16"/>
        </w:rPr>
      </w:pPr>
      <w:r w:rsidRPr="002F2FDF">
        <w:rPr>
          <w:rStyle w:val="ucoz-forum-post"/>
          <w:bCs/>
          <w:color w:val="000000" w:themeColor="text1"/>
          <w:kern w:val="2"/>
          <w:sz w:val="16"/>
          <w:szCs w:val="16"/>
        </w:rPr>
        <w:t xml:space="preserve">20 октября (2 ноября) </w:t>
      </w:r>
      <w:r w:rsidRPr="002F2FDF">
        <w:rPr>
          <w:color w:val="000000" w:themeColor="text1"/>
          <w:kern w:val="2"/>
          <w:sz w:val="16"/>
          <w:szCs w:val="16"/>
        </w:rPr>
        <w:t>в 1917 году министр иностранных дел Великобритании Артур Бальфур направил представителю еврейской общины лорду Уолтеру Ротшильду официальное письмо для передачи Сионистской федерации Великобритании. В историю оно вошло как «Декларация Бальфура» и стало важнейшим шагом на пути создания еврейского государства. В декларации говорилось:</w:t>
      </w:r>
    </w:p>
    <w:p w14:paraId="4A50AA54" w14:textId="77777777" w:rsidR="00C119B3" w:rsidRPr="002F2FDF" w:rsidRDefault="00C119B3" w:rsidP="0083075A">
      <w:pPr>
        <w:pStyle w:val="ae"/>
        <w:spacing w:before="0" w:after="0"/>
        <w:jc w:val="both"/>
        <w:rPr>
          <w:color w:val="000000" w:themeColor="text1"/>
          <w:kern w:val="2"/>
          <w:sz w:val="16"/>
          <w:szCs w:val="16"/>
        </w:rPr>
      </w:pPr>
      <w:r w:rsidRPr="002F2FDF">
        <w:rPr>
          <w:color w:val="000000" w:themeColor="text1"/>
          <w:kern w:val="2"/>
          <w:sz w:val="16"/>
          <w:szCs w:val="16"/>
        </w:rPr>
        <w:t>«Уважаемый лорд Ротшильд,</w:t>
      </w:r>
    </w:p>
    <w:p w14:paraId="13A3240C" w14:textId="77777777" w:rsidR="00C119B3" w:rsidRPr="002F2FDF" w:rsidRDefault="00C119B3" w:rsidP="0083075A">
      <w:pPr>
        <w:pStyle w:val="ae"/>
        <w:spacing w:before="0" w:after="0"/>
        <w:jc w:val="both"/>
        <w:rPr>
          <w:color w:val="000000" w:themeColor="text1"/>
          <w:kern w:val="2"/>
          <w:sz w:val="16"/>
          <w:szCs w:val="16"/>
        </w:rPr>
      </w:pPr>
      <w:r w:rsidRPr="002F2FDF">
        <w:rPr>
          <w:color w:val="000000" w:themeColor="text1"/>
          <w:kern w:val="2"/>
          <w:sz w:val="16"/>
          <w:szCs w:val="16"/>
        </w:rPr>
        <w:t>Имею честь передать Вам от имени правительства Его Величества следующую декларацию, в которой выражается сочувствие сионистским устремлениям евреев, представленную на рассмотрение кабинета министров и им одобренную:</w:t>
      </w:r>
    </w:p>
    <w:p w14:paraId="74AA976E" w14:textId="77777777" w:rsidR="00C119B3" w:rsidRPr="002F2FDF" w:rsidRDefault="00C119B3" w:rsidP="0083075A">
      <w:pPr>
        <w:pStyle w:val="ae"/>
        <w:spacing w:before="0" w:after="0"/>
        <w:jc w:val="both"/>
        <w:rPr>
          <w:color w:val="000000" w:themeColor="text1"/>
          <w:kern w:val="2"/>
          <w:sz w:val="16"/>
          <w:szCs w:val="16"/>
        </w:rPr>
      </w:pPr>
      <w:r w:rsidRPr="002F2FDF">
        <w:rPr>
          <w:color w:val="000000" w:themeColor="text1"/>
          <w:kern w:val="2"/>
          <w:sz w:val="16"/>
          <w:szCs w:val="16"/>
        </w:rPr>
        <w:t>«Правительство Его Величества с одобрением рассматривает вопрос о создании в Палестине национального очага для еврейского народа, и приложит все усилия для содействия достижению этой цели; при этом ясно подразумевается, что не должно производиться никаких действий, которые могли бы нарушить гражданские и религиозные права существующих нееврейских общин в Палестине или же права и политический статус, которыми пользуются евреи в любой другой стране».</w:t>
      </w:r>
    </w:p>
    <w:p w14:paraId="4F804435" w14:textId="77777777" w:rsidR="00C119B3" w:rsidRPr="002F2FDF" w:rsidRDefault="00C119B3" w:rsidP="0083075A">
      <w:pPr>
        <w:pStyle w:val="ae"/>
        <w:spacing w:before="0" w:after="0"/>
        <w:jc w:val="both"/>
        <w:rPr>
          <w:color w:val="000000" w:themeColor="text1"/>
          <w:kern w:val="2"/>
          <w:sz w:val="16"/>
          <w:szCs w:val="16"/>
        </w:rPr>
      </w:pPr>
      <w:r w:rsidRPr="002F2FDF">
        <w:rPr>
          <w:color w:val="000000" w:themeColor="text1"/>
          <w:kern w:val="2"/>
          <w:sz w:val="16"/>
          <w:szCs w:val="16"/>
        </w:rPr>
        <w:t>Я был бы весьма признателен Вам, если бы Вы довели эту Декларацию до сведения Сионистской федерации.</w:t>
      </w:r>
    </w:p>
    <w:p w14:paraId="06C578CE" w14:textId="77777777" w:rsidR="00C119B3" w:rsidRPr="002F2FDF" w:rsidRDefault="00C119B3" w:rsidP="0083075A">
      <w:pPr>
        <w:pStyle w:val="ae"/>
        <w:spacing w:before="0" w:after="0"/>
        <w:jc w:val="both"/>
        <w:rPr>
          <w:color w:val="000000" w:themeColor="text1"/>
          <w:kern w:val="2"/>
          <w:sz w:val="16"/>
          <w:szCs w:val="16"/>
        </w:rPr>
      </w:pPr>
      <w:r w:rsidRPr="002F2FDF">
        <w:rPr>
          <w:color w:val="000000" w:themeColor="text1"/>
          <w:kern w:val="2"/>
          <w:sz w:val="16"/>
          <w:szCs w:val="16"/>
        </w:rPr>
        <w:t>Искренне Ваш, Артур Джеймс Бальфур» (17045).</w:t>
      </w:r>
    </w:p>
    <w:p w14:paraId="60B81841" w14:textId="77777777" w:rsidR="00C119B3" w:rsidRPr="002F2FDF" w:rsidRDefault="00C119B3" w:rsidP="0083075A">
      <w:pPr>
        <w:spacing w:after="0" w:line="240" w:lineRule="auto"/>
        <w:jc w:val="both"/>
        <w:rPr>
          <w:rStyle w:val="ucoz-forum-post"/>
          <w:rFonts w:ascii="Times New Roman" w:hAnsi="Times New Roman" w:cs="Times New Roman"/>
          <w:bCs/>
          <w:color w:val="000000" w:themeColor="text1"/>
          <w:kern w:val="2"/>
          <w:sz w:val="16"/>
          <w:szCs w:val="16"/>
        </w:rPr>
      </w:pPr>
    </w:p>
    <w:p w14:paraId="11874FE8"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20 октября (2 ноября) </w:t>
      </w:r>
      <w:r w:rsidRPr="002F2FDF">
        <w:rPr>
          <w:rFonts w:ascii="Times New Roman" w:hAnsi="Times New Roman" w:cs="Times New Roman"/>
          <w:color w:val="000000" w:themeColor="text1"/>
          <w:kern w:val="2"/>
          <w:sz w:val="16"/>
          <w:szCs w:val="16"/>
        </w:rPr>
        <w:t>в 1917 году заключается американо-японское соглашение Лансинга-Исии в форме обмена нотами между государственным секретарем США Р.Лансингом (R.Lansing) и уполномоченным Японии К.Исии. США признают «наличие особых интересов Японии в Китае», Япония признает американскую доктрину «открытых дверей». Будет аннулировано США в 1923 (14818).</w:t>
      </w:r>
    </w:p>
    <w:p w14:paraId="0F11260A"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p>
    <w:p w14:paraId="1FED0E4C" w14:textId="77777777" w:rsidR="00C27B4B"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44A4A15" w14:textId="77777777" w:rsidR="00C27B4B" w:rsidRPr="002F2FDF" w:rsidRDefault="00C27B4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08E49E" w14:textId="77777777" w:rsidR="00C27B4B" w:rsidRPr="002F2FDF" w:rsidRDefault="00C27B4B"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21 октября </w:t>
      </w:r>
      <w:r w:rsidR="001157F8" w:rsidRPr="002F2FDF">
        <w:rPr>
          <w:color w:val="000000" w:themeColor="text1"/>
          <w:kern w:val="2"/>
          <w:sz w:val="16"/>
          <w:szCs w:val="16"/>
        </w:rPr>
        <w:t xml:space="preserve">(3 ноября) </w:t>
      </w:r>
      <w:r w:rsidRPr="002F2FDF">
        <w:rPr>
          <w:color w:val="000000" w:themeColor="text1"/>
          <w:kern w:val="2"/>
          <w:sz w:val="16"/>
          <w:szCs w:val="16"/>
        </w:rPr>
        <w:t>1917 ГАУ корректирует заказ ружей-пулеметов Мадсена с 15000 до 10000 штук и заказывает 9000 ружей-пулеметов системы В.Г. Федорова.</w:t>
      </w:r>
    </w:p>
    <w:p w14:paraId="1D3744D6" w14:textId="77777777" w:rsidR="00C27B4B" w:rsidRPr="002F2FDF" w:rsidRDefault="00C27B4B" w:rsidP="0083075A">
      <w:pPr>
        <w:pStyle w:val="ae"/>
        <w:spacing w:before="0" w:after="0"/>
        <w:jc w:val="both"/>
        <w:rPr>
          <w:color w:val="000000" w:themeColor="text1"/>
          <w:kern w:val="2"/>
          <w:sz w:val="16"/>
          <w:szCs w:val="16"/>
        </w:rPr>
      </w:pPr>
      <w:r w:rsidRPr="002F2FDF">
        <w:rPr>
          <w:color w:val="000000" w:themeColor="text1"/>
          <w:kern w:val="2"/>
          <w:sz w:val="16"/>
          <w:szCs w:val="16"/>
        </w:rPr>
        <w:t>Корпуса «А» и «Б» расположены в северной части заводской территории и ориентированы главными фасадами на север - в сторону старого города, находящегося за линией железной дороги. Они построены в 1916-1917 гг. по проекту Б.М. Великовского в стиле неоклассицизма, что придает комплексу завода им. Дегтярева дополнительное историческое архитектурное своеобразие (12221).</w:t>
      </w:r>
    </w:p>
    <w:p w14:paraId="6C588B80" w14:textId="77777777" w:rsidR="00C27B4B" w:rsidRPr="002F2FDF" w:rsidRDefault="00C27B4B" w:rsidP="0083075A">
      <w:pPr>
        <w:pStyle w:val="ae"/>
        <w:spacing w:before="0" w:after="0"/>
        <w:jc w:val="both"/>
        <w:rPr>
          <w:color w:val="000000" w:themeColor="text1"/>
          <w:kern w:val="2"/>
          <w:sz w:val="16"/>
          <w:szCs w:val="16"/>
        </w:rPr>
      </w:pPr>
    </w:p>
    <w:p w14:paraId="1BEC8B76"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октября (3 ноября) 1917 Циркуляр Управления главноуполномоченного по снабжению металлами о сокращении нормы выплавки и прокатки металлов заводами Юга России в связи с падением добычи угля в Донецком бассейне.</w:t>
      </w:r>
    </w:p>
    <w:p w14:paraId="5CAEFF50"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133</w:t>
      </w:r>
    </w:p>
    <w:p w14:paraId="40858AE9"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ЦГИАЛ, ф. 95, оп. 20, д. 633, л. 4—4 об. Гектогр.</w:t>
      </w:r>
    </w:p>
    <w:p w14:paraId="5E2EE73B"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Вследствие падения добычи минерального топлива, угля и антрацита в Донецком бассейне со 150 млн пуд. (март 1917 г.) до 100 млн нуд. (сентябрь 1917 г.) и дальнейшего катастрофического падения работы рудников, а также наступления зимнего периода норма топлива металлургическим заводам Юга России сведена с ноября месяца к 6 млн пуд. привозного угля, 6 млн иуд. привозного кокса и 2 млн пуд. антрацита вместо отпускаемых ранее 7.5 млн пуд. угля и 10 млн пуд. кокса.</w:t>
      </w:r>
    </w:p>
    <w:p w14:paraId="4869B36D"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Недостаточное снабжение металлургических заводов топливом ведет к сокращению выплавки и прокатки металлов, которых .в соответствии с отпускаемым горючим можно ожидать по Югу России с ноября месяца не более 2.5 млн пуд. чугуна и 6 млн—6250 тыс. пуд. прокатного металла в месяц, что ниже действительно получаемого ведомствами прокатного металла с Юга за последние месяцы (около 7.7 млн—7 млн) и значительно ниже назначенной ведомствам общей нормы прокатного металла на период октябрь—декабрь (10 689 тыс. пуд.).</w:t>
      </w:r>
    </w:p>
    <w:p w14:paraId="1A153324"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счет ожидаемого к получению прокатного металла предположено изготовить [в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73"/>
        <w:gridCol w:w="2475"/>
        <w:gridCol w:w="2236"/>
        <w:gridCol w:w="2439"/>
      </w:tblGrid>
      <w:tr w:rsidR="002B1C74" w:rsidRPr="002F2FDF" w14:paraId="15861AE3"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57BE0D" w14:textId="3A7FA574" w:rsidR="00373D7A"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2C79F"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Предположено изготовить в ноябре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102DD"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Установленная норма на 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7CBE6"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Фактическое исполнение за август</w:t>
            </w:r>
          </w:p>
        </w:tc>
      </w:tr>
      <w:tr w:rsidR="002B1C74" w:rsidRPr="002F2FDF" w14:paraId="2015E56A"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C23242"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Снарядной заготовки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EE5DE"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551F7"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3148000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61BD0"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2000000</w:t>
            </w:r>
          </w:p>
        </w:tc>
      </w:tr>
      <w:tr w:rsidR="002B1C74" w:rsidRPr="002F2FDF" w14:paraId="61F0B728"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0EC7E3"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Обжатой заготовки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701AA"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7CB6D"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3D7F5"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200000</w:t>
            </w:r>
          </w:p>
        </w:tc>
      </w:tr>
      <w:tr w:rsidR="002B1C74" w:rsidRPr="002F2FDF" w14:paraId="207F2300"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AF5B9C"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Сортового железа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A66F5"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CA56F"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3161000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38AC2"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2100000</w:t>
            </w:r>
          </w:p>
        </w:tc>
      </w:tr>
      <w:tr w:rsidR="002B1C74" w:rsidRPr="002F2FDF" w14:paraId="226EAB8B"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6E677A"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Листового железа и трубы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4A12A"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7AD09"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1469000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617DE"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800000</w:t>
            </w:r>
          </w:p>
        </w:tc>
      </w:tr>
      <w:tr w:rsidR="002B1C74" w:rsidRPr="002F2FDF" w14:paraId="2047A69A"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B7ABC5"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Кровельного железа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567DA"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DF461"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51371"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75000</w:t>
            </w:r>
          </w:p>
        </w:tc>
      </w:tr>
      <w:tr w:rsidR="002B1C74" w:rsidRPr="002F2FDF" w14:paraId="329B3C93"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CF1F89"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Жести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9B072"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2F1FD"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A31F4"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75000</w:t>
            </w:r>
          </w:p>
        </w:tc>
      </w:tr>
      <w:tr w:rsidR="002B1C74" w:rsidRPr="002F2FDF" w14:paraId="663142E1"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6FB2A4"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Проволоки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4EBE2"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A20AE"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49C69"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650000</w:t>
            </w:r>
          </w:p>
        </w:tc>
      </w:tr>
      <w:tr w:rsidR="002B1C74" w:rsidRPr="002F2FDF" w14:paraId="5F7E3E2D"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DFB0AC"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Рельсов легких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95E6C"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827F5"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1A9DD"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230000</w:t>
            </w:r>
          </w:p>
        </w:tc>
      </w:tr>
      <w:tr w:rsidR="002B1C74" w:rsidRPr="002F2FDF" w14:paraId="3081BB45"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243BB6"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Рельсов тяжелых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37628"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8A97B"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837000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AC26D"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600000</w:t>
            </w:r>
          </w:p>
        </w:tc>
      </w:tr>
      <w:tr w:rsidR="002B1C74" w:rsidRPr="002F2FDF" w14:paraId="6DA71CF1"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FA20A7"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Балок и швеллеров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397A9"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E04EF"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03D28"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150000</w:t>
            </w:r>
          </w:p>
        </w:tc>
      </w:tr>
      <w:tr w:rsidR="002B1C74" w:rsidRPr="002F2FDF" w14:paraId="30795319"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0E3BAB"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Бандажей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3DB2D"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C0ED6"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1F825"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100000</w:t>
            </w:r>
          </w:p>
        </w:tc>
      </w:tr>
      <w:tr w:rsidR="002B1C74" w:rsidRPr="002F2FDF" w14:paraId="2BE38C35"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75ADA4"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331F5"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08BDA"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1E9D0"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60000</w:t>
            </w:r>
          </w:p>
        </w:tc>
      </w:tr>
      <w:tr w:rsidR="002B1C74" w:rsidRPr="002F2FDF" w14:paraId="304DE6F0"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869735"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Чугуна литейного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3B0CE"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2C5E6"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2757000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ED428"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2500000</w:t>
            </w:r>
          </w:p>
        </w:tc>
      </w:tr>
    </w:tbl>
    <w:p w14:paraId="37A147F3"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изменение установленных главным уполномоченным но снабжению металлами ведомственных норм на период ноябрь—декабрь благоволите сократить предоставленные вашему ведомству нормы по сортам пропорционально указанному соотношению между ожидаемой выработкой по сортам в ноябре и установленной главным уполномоченным нормой металла по сортам на период октябрь—декабрь.</w:t>
      </w:r>
    </w:p>
    <w:p w14:paraId="4152090C"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Заместитель главного уполномоченного, ген.-майор Чердынцев.</w:t>
      </w:r>
    </w:p>
    <w:p w14:paraId="0331EE0D"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отдела, горный инженер Горский (15674).</w:t>
      </w:r>
    </w:p>
    <w:p w14:paraId="2D861049"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p>
    <w:p w14:paraId="70E712D9" w14:textId="35DCC566" w:rsidR="00D11E26" w:rsidRDefault="00D11E26"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64D0C343" w14:textId="77777777" w:rsidR="00D11E26" w:rsidRDefault="00D11E26"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7DFBF60" w14:textId="16C09E36" w:rsidR="00D11E26" w:rsidRPr="00FB4F67" w:rsidRDefault="00D11E2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21 октября (</w:t>
      </w:r>
      <w:r w:rsidRPr="00FB4F67">
        <w:rPr>
          <w:rFonts w:ascii="Times New Roman" w:hAnsi="Times New Roman" w:cs="Times New Roman"/>
          <w:color w:val="0070C0"/>
          <w:sz w:val="16"/>
          <w:szCs w:val="16"/>
        </w:rPr>
        <w:t>3 ноября</w:t>
      </w:r>
      <w:r>
        <w:rPr>
          <w:rFonts w:ascii="Times New Roman" w:hAnsi="Times New Roman" w:cs="Times New Roman"/>
          <w:color w:val="0070C0"/>
          <w:sz w:val="16"/>
          <w:szCs w:val="16"/>
        </w:rPr>
        <w:t>) 1917 г.</w:t>
      </w:r>
      <w:r w:rsidRPr="00FB4F67">
        <w:rPr>
          <w:rFonts w:ascii="Times New Roman" w:hAnsi="Times New Roman" w:cs="Times New Roman"/>
          <w:color w:val="0070C0"/>
          <w:sz w:val="16"/>
          <w:szCs w:val="16"/>
        </w:rPr>
        <w:t xml:space="preserve"> власти в Петрограде узнали, что русские войска на Северном фронте сложили оружие и ведут братание с врагом (23525).</w:t>
      </w:r>
    </w:p>
    <w:p w14:paraId="1DBD9E25" w14:textId="77777777" w:rsidR="00D11E26" w:rsidRPr="00FB4F67" w:rsidRDefault="00D11E26" w:rsidP="0083075A">
      <w:pPr>
        <w:spacing w:after="0" w:line="240" w:lineRule="auto"/>
        <w:jc w:val="both"/>
        <w:rPr>
          <w:rFonts w:ascii="Times New Roman" w:hAnsi="Times New Roman" w:cs="Times New Roman"/>
          <w:color w:val="0070C0"/>
          <w:sz w:val="16"/>
          <w:szCs w:val="16"/>
        </w:rPr>
      </w:pPr>
    </w:p>
    <w:p w14:paraId="0B2B96C5" w14:textId="6BCAF974"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243AA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E948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октября (3 ноября) 1917 на заседании Петросовета ВРК был определен как высший военный орган для столичных войск. На чрезвычайном заседании представители всех полков поддержали это решение (2239).</w:t>
      </w:r>
    </w:p>
    <w:p w14:paraId="489512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E42459" w14:textId="616016DF" w:rsidR="00FC6555" w:rsidRPr="002F2FDF" w:rsidRDefault="00FC6555" w:rsidP="0083075A">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r w:rsidRPr="002F2FDF">
        <w:rPr>
          <w:rFonts w:ascii="Times New Roman" w:hAnsi="Times New Roman" w:cs="Times New Roman"/>
          <w:bCs/>
          <w:color w:val="000000" w:themeColor="text1"/>
          <w:kern w:val="2"/>
          <w:sz w:val="16"/>
          <w:szCs w:val="16"/>
        </w:rPr>
        <w:t xml:space="preserve">21 </w:t>
      </w:r>
      <w:bookmarkStart w:id="387" w:name="YANDEX_16"/>
      <w:bookmarkEnd w:id="387"/>
      <w:r w:rsidR="00E52569">
        <w:rPr>
          <w:rStyle w:val="highlight"/>
          <w:rFonts w:ascii="Times New Roman" w:hAnsi="Times New Roman" w:cs="Times New Roman"/>
          <w:bCs/>
          <w:color w:val="000000" w:themeColor="text1"/>
          <w:kern w:val="2"/>
          <w:sz w:val="16"/>
          <w:szCs w:val="16"/>
        </w:rPr>
        <w:t xml:space="preserve"> </w:t>
      </w:r>
      <w:r w:rsidRPr="002F2FDF">
        <w:rPr>
          <w:rStyle w:val="highlight"/>
          <w:rFonts w:ascii="Times New Roman" w:hAnsi="Times New Roman" w:cs="Times New Roman"/>
          <w:bCs/>
          <w:color w:val="000000" w:themeColor="text1"/>
          <w:kern w:val="2"/>
          <w:sz w:val="16"/>
          <w:szCs w:val="16"/>
        </w:rPr>
        <w:t>октября</w:t>
      </w:r>
      <w:r w:rsidR="00E52569">
        <w:rPr>
          <w:rStyle w:val="highlight"/>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 xml:space="preserve"> (3 ноября) 1917 прошло совещание представителей полков гарнизона, которые признали Петроградский совет единственной законной властью в городе. С этого момента ВРК стал назначать своих комиссаров в военные части, заменяя комиссаров Временного правительства. В ночь на </w:t>
      </w:r>
      <w:bookmarkStart w:id="388" w:name="YANDEX_17"/>
      <w:bookmarkEnd w:id="388"/>
      <w:r w:rsidR="00E52569">
        <w:rPr>
          <w:rStyle w:val="highlight"/>
          <w:rFonts w:ascii="Times New Roman" w:hAnsi="Times New Roman" w:cs="Times New Roman"/>
          <w:bCs/>
          <w:color w:val="000000" w:themeColor="text1"/>
          <w:kern w:val="2"/>
          <w:sz w:val="16"/>
          <w:szCs w:val="16"/>
        </w:rPr>
        <w:t xml:space="preserve"> </w:t>
      </w:r>
      <w:r w:rsidRPr="002F2FDF">
        <w:rPr>
          <w:rStyle w:val="highlight"/>
          <w:rFonts w:ascii="Times New Roman" w:hAnsi="Times New Roman" w:cs="Times New Roman"/>
          <w:bCs/>
          <w:color w:val="000000" w:themeColor="text1"/>
          <w:kern w:val="2"/>
          <w:sz w:val="16"/>
          <w:szCs w:val="16"/>
        </w:rPr>
        <w:t>22</w:t>
      </w:r>
      <w:r w:rsidR="00E52569">
        <w:rPr>
          <w:rStyle w:val="highlight"/>
          <w:rFonts w:ascii="Times New Roman" w:hAnsi="Times New Roman" w:cs="Times New Roman"/>
          <w:bCs/>
          <w:color w:val="000000" w:themeColor="text1"/>
          <w:kern w:val="2"/>
          <w:sz w:val="16"/>
          <w:szCs w:val="16"/>
        </w:rPr>
        <w:t xml:space="preserve"> </w:t>
      </w:r>
      <w:bookmarkStart w:id="389" w:name="YANDEX_18"/>
      <w:bookmarkEnd w:id="389"/>
      <w:r w:rsidR="00E52569">
        <w:rPr>
          <w:rStyle w:val="highlight"/>
          <w:rFonts w:ascii="Times New Roman" w:hAnsi="Times New Roman" w:cs="Times New Roman"/>
          <w:bCs/>
          <w:color w:val="000000" w:themeColor="text1"/>
          <w:kern w:val="2"/>
          <w:sz w:val="16"/>
          <w:szCs w:val="16"/>
        </w:rPr>
        <w:t xml:space="preserve"> </w:t>
      </w:r>
      <w:r w:rsidRPr="002F2FDF">
        <w:rPr>
          <w:rStyle w:val="highlight"/>
          <w:rFonts w:ascii="Times New Roman" w:hAnsi="Times New Roman" w:cs="Times New Roman"/>
          <w:bCs/>
          <w:color w:val="000000" w:themeColor="text1"/>
          <w:kern w:val="2"/>
          <w:sz w:val="16"/>
          <w:szCs w:val="16"/>
        </w:rPr>
        <w:t>октября</w:t>
      </w:r>
      <w:r w:rsidR="00E52569">
        <w:rPr>
          <w:rStyle w:val="highlight"/>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 xml:space="preserve"> Военно-революционный комитет потребовал от штаба Петроградского военного округа признать полномочия своих комиссаров, а </w:t>
      </w:r>
      <w:bookmarkStart w:id="390" w:name="YANDEX_19"/>
      <w:bookmarkEnd w:id="390"/>
      <w:r w:rsidR="00E52569">
        <w:rPr>
          <w:rStyle w:val="highlight"/>
          <w:rFonts w:ascii="Times New Roman" w:hAnsi="Times New Roman" w:cs="Times New Roman"/>
          <w:bCs/>
          <w:color w:val="000000" w:themeColor="text1"/>
          <w:kern w:val="2"/>
          <w:sz w:val="16"/>
          <w:szCs w:val="16"/>
        </w:rPr>
        <w:t xml:space="preserve"> </w:t>
      </w:r>
      <w:r w:rsidRPr="002F2FDF">
        <w:rPr>
          <w:rStyle w:val="highlight"/>
          <w:rFonts w:ascii="Times New Roman" w:hAnsi="Times New Roman" w:cs="Times New Roman"/>
          <w:bCs/>
          <w:color w:val="000000" w:themeColor="text1"/>
          <w:kern w:val="2"/>
          <w:sz w:val="16"/>
          <w:szCs w:val="16"/>
        </w:rPr>
        <w:t>22</w:t>
      </w:r>
      <w:r w:rsidR="00E52569">
        <w:rPr>
          <w:rStyle w:val="highlight"/>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 xml:space="preserve">-го заявил о подчинении себе гарнизона. 23 </w:t>
      </w:r>
      <w:bookmarkStart w:id="391" w:name="YANDEX_20"/>
      <w:bookmarkEnd w:id="391"/>
      <w:r w:rsidR="00E52569">
        <w:rPr>
          <w:rStyle w:val="highlight"/>
          <w:rFonts w:ascii="Times New Roman" w:hAnsi="Times New Roman" w:cs="Times New Roman"/>
          <w:bCs/>
          <w:color w:val="000000" w:themeColor="text1"/>
          <w:kern w:val="2"/>
          <w:sz w:val="16"/>
          <w:szCs w:val="16"/>
        </w:rPr>
        <w:t xml:space="preserve"> </w:t>
      </w:r>
      <w:r w:rsidRPr="002F2FDF">
        <w:rPr>
          <w:rStyle w:val="highlight"/>
          <w:rFonts w:ascii="Times New Roman" w:hAnsi="Times New Roman" w:cs="Times New Roman"/>
          <w:bCs/>
          <w:color w:val="000000" w:themeColor="text1"/>
          <w:kern w:val="2"/>
          <w:sz w:val="16"/>
          <w:szCs w:val="16"/>
        </w:rPr>
        <w:t>октября</w:t>
      </w:r>
      <w:r w:rsidR="00E52569">
        <w:rPr>
          <w:rStyle w:val="highlight"/>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 xml:space="preserve"> ВРК добился права создать консультативный орган при штабе Петроградского округа. В тот же день Троцкий лично провел агитацию в Петропавловской крепости, где ещё сомневались, чью сторону принять. К 24 </w:t>
      </w:r>
      <w:bookmarkStart w:id="392" w:name="YANDEX_21"/>
      <w:bookmarkEnd w:id="392"/>
      <w:r w:rsidR="00E52569">
        <w:rPr>
          <w:rStyle w:val="highlight"/>
          <w:rFonts w:ascii="Times New Roman" w:hAnsi="Times New Roman" w:cs="Times New Roman"/>
          <w:bCs/>
          <w:color w:val="000000" w:themeColor="text1"/>
          <w:kern w:val="2"/>
          <w:sz w:val="16"/>
          <w:szCs w:val="16"/>
        </w:rPr>
        <w:t xml:space="preserve"> </w:t>
      </w:r>
      <w:r w:rsidRPr="002F2FDF">
        <w:rPr>
          <w:rStyle w:val="highlight"/>
          <w:rFonts w:ascii="Times New Roman" w:hAnsi="Times New Roman" w:cs="Times New Roman"/>
          <w:bCs/>
          <w:color w:val="000000" w:themeColor="text1"/>
          <w:kern w:val="2"/>
          <w:sz w:val="16"/>
          <w:szCs w:val="16"/>
        </w:rPr>
        <w:t>октября</w:t>
      </w:r>
      <w:r w:rsidR="00E52569">
        <w:rPr>
          <w:rStyle w:val="highlight"/>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 xml:space="preserve"> ВРК назначил своих комиссаров в 51 часть, а также на арсеналы, склады оружия, железнодорожные станции и заводы. Фактически уже к началу восстания левые силы установили военный контроль за столицей. Временное правительство было недееспособно и не смогло решительно ответить. Как впоследствии признал сам Троцкий, «вооруженное восстание совершилось в Петрограде в два приема: в первой половине </w:t>
      </w:r>
      <w:r w:rsidR="00E52569">
        <w:rPr>
          <w:rStyle w:val="highlight"/>
          <w:rFonts w:ascii="Times New Roman" w:hAnsi="Times New Roman" w:cs="Times New Roman"/>
          <w:bCs/>
          <w:color w:val="000000" w:themeColor="text1"/>
          <w:kern w:val="2"/>
          <w:sz w:val="16"/>
          <w:szCs w:val="16"/>
        </w:rPr>
        <w:t xml:space="preserve"> </w:t>
      </w:r>
      <w:r w:rsidRPr="002F2FDF">
        <w:rPr>
          <w:rStyle w:val="highlight"/>
          <w:rFonts w:ascii="Times New Roman" w:hAnsi="Times New Roman" w:cs="Times New Roman"/>
          <w:bCs/>
          <w:color w:val="000000" w:themeColor="text1"/>
          <w:kern w:val="2"/>
          <w:sz w:val="16"/>
          <w:szCs w:val="16"/>
        </w:rPr>
        <w:t>октября</w:t>
      </w:r>
      <w:r w:rsidR="00E52569">
        <w:rPr>
          <w:rStyle w:val="highlight"/>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 xml:space="preserve">, когда петроградские полки, подчиняясь постановлению Совета, вполне отвечавшему их собственным настроениям, безнаказанно отказались выполнить приказ главнокомандования, и 25 </w:t>
      </w:r>
      <w:r w:rsidR="00E52569">
        <w:rPr>
          <w:rStyle w:val="highlight"/>
          <w:rFonts w:ascii="Times New Roman" w:hAnsi="Times New Roman" w:cs="Times New Roman"/>
          <w:bCs/>
          <w:color w:val="000000" w:themeColor="text1"/>
          <w:kern w:val="2"/>
          <w:sz w:val="16"/>
          <w:szCs w:val="16"/>
        </w:rPr>
        <w:t xml:space="preserve"> </w:t>
      </w:r>
      <w:r w:rsidRPr="002F2FDF">
        <w:rPr>
          <w:rStyle w:val="highlight"/>
          <w:rFonts w:ascii="Times New Roman" w:hAnsi="Times New Roman" w:cs="Times New Roman"/>
          <w:bCs/>
          <w:color w:val="000000" w:themeColor="text1"/>
          <w:kern w:val="2"/>
          <w:sz w:val="16"/>
          <w:szCs w:val="16"/>
        </w:rPr>
        <w:t>октября</w:t>
      </w:r>
      <w:r w:rsidR="00E52569">
        <w:rPr>
          <w:rStyle w:val="highlight"/>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 когда понадобилось уже только небольшое дополнительное восстание, рассекавшее пуповину февральской государственности» (17031).</w:t>
      </w:r>
    </w:p>
    <w:p w14:paraId="605326F3" w14:textId="77777777" w:rsidR="00FC6555" w:rsidRPr="002F2FDF" w:rsidRDefault="00FC655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0A1017" w14:textId="77777777" w:rsidR="000B53BF" w:rsidRPr="002F2FDF" w:rsidRDefault="000B53B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21 октября (3 ноября) 1917 повторилась весенняя ситуация двоевластия. Временное правительство и Петроградский совет, в котором левые партии имели большинство, тянули одеяло в разные стороны. Правительство приказывало частям гарнизона отправляться на фронт, Совет это дело отменял. Командующий округом запрещал выдавать рабочим оружие с арсеналов, но Совет выписывал ордера и оружие выдавалось. Правительство пыталось вооружить своих сторонников, но на склады приходили представители Совета и закрывали склад. Наконец совещание представителей полков петроградского гарнизона приняло резолюцию: единственной </w:t>
      </w:r>
      <w:r w:rsidRPr="002F2FDF">
        <w:rPr>
          <w:rFonts w:ascii="Times New Roman" w:hAnsi="Times New Roman" w:cs="Times New Roman"/>
          <w:color w:val="000000" w:themeColor="text1"/>
          <w:kern w:val="2"/>
          <w:sz w:val="16"/>
          <w:szCs w:val="16"/>
        </w:rPr>
        <w:lastRenderedPageBreak/>
        <w:t>властью считать петроградский Совет. Попытки Керенского вызвать в столицу верные ему войска ни к чему не привели. Заигрался, Александ Федорович, чего уж теперь (12629).</w:t>
      </w:r>
    </w:p>
    <w:p w14:paraId="2A183E10" w14:textId="77777777" w:rsidR="000B53BF" w:rsidRPr="002F2FDF" w:rsidRDefault="000B53B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11C1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октября (3 ноября) 1917 В. И. Ленин в статье “Советы постороннего” указывает на большое значение связи во время восстания (11072).</w:t>
      </w:r>
    </w:p>
    <w:p w14:paraId="673770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E6DE4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7E9C4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1A94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21 октября (3 ноября) 1917 года специальный дирижабль на базе конструкции LZ-120, у которого длина корпуса была увеличена на 30 метров, перебазировался на наиболее близкую к цели воздушную базу Ямбол (Болгария). Модернизации сначала был подвергнут L-57, стоящий на сборочных стапелях воздухоплавательного завода в Штаакене. Сборка продолжалась всего четыре недели, однако L-57 погиб в первом же испытательном полете, попав в ураган в районе Ютеборга. Ему на смену в двухнедельный срок был собран новый дирижабль L-59. Характеристики получились следующие: объем 68 500 куб. м, длина 226,5 м, суммарная мощность пяти моторов достигала 1200 л. с., скорость 103 км/ч. [226]. Возвращения L-59 обратно в Германию не планировалось — весь экипаж в составе двадцати человек должен был остаться в распоряжении генерала Леттова-Форбекс. Цеппелин дважды вылетал из Ямбола и дважды по условиям плохой погоды вынужден был вернуться. Наконец, 21 ноября 1917 года в 8.34 дирижабль вылетел в Восточную Африку, имея на борту следующий груз: </w:t>
      </w:r>
    </w:p>
    <w:p w14:paraId="7CB292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артснарядов, ручных гранат, винтовочных патронов 7400 кг; </w:t>
      </w:r>
    </w:p>
    <w:p w14:paraId="69A1AB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пулеметов и другого вооружения, а также полевых раций 3260 кг; </w:t>
      </w:r>
    </w:p>
    <w:p w14:paraId="7A429F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разного имущества, обмундирования 200 кг; </w:t>
      </w:r>
    </w:p>
    <w:p w14:paraId="68E615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оптических приборов и прицелов 50 кг; </w:t>
      </w:r>
    </w:p>
    <w:p w14:paraId="5DE508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медикаментов и перевязочных средств 2970 кг; </w:t>
      </w:r>
    </w:p>
    <w:p w14:paraId="368344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почты 53 кг; </w:t>
      </w:r>
    </w:p>
    <w:p w14:paraId="64E8D3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книг 53 кг. </w:t>
      </w:r>
    </w:p>
    <w:p w14:paraId="531304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Необходимо отметить, что воздушная обстановка в пути оставалась неясной, так как совершенно отсутствовали метеорологические данные над территорией стран противника и всей Африки. Дирижабль миновал район Смирны, пересек Средиземное море и пошел западнее Нила, мимо острова Сирос, Фарофра и Дахель. </w:t>
      </w:r>
    </w:p>
    <w:p w14:paraId="1BAF84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Условия полета над Африкой были испытаны впервые. Резкое охлаждение ночью заставляло расходовать балласт. Днем температура в гондолах поднималась до изнуряющих величин, а суточные ее колебания еще над Малой Азией достигали 40°С. </w:t>
      </w:r>
    </w:p>
    <w:p w14:paraId="377575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Вертикальные течения и вихри в южных районах Сахары существенным образом осложняли полет и вызывали острые приступы морской болезни у всех членов экипажа, даже у самых закаленных. Неожиданным и приятным открытием стал тот факт, что муссоны над пустыней Сахара в нижних слоях в это время года дуют с севера-востока, а в верхних — с юга, что способствовало увеличению скорости полета в обоих направлениях. </w:t>
      </w:r>
    </w:p>
    <w:p w14:paraId="302E11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Параллельно с боевыми операциями на Западном и Восточном фронтах шла отчаянная борьба за удержание колоний Того, Камеруна и Восточной Африки. Ее исход мог оказать решительное влияние на сохранение за Германией хотя бы части своих колоний. Поэтому понятно, насколько большое политическое значение придавалось результатам боев в Африке. В частности, в Восточной Африке отряды под командованием Леттова-Форбекс упорно сражались против численно превосходивших и технически более оснащенных сил противника. Отсутствие связи с окруженными частями не позволяло судить об их положении. Однако несомненным был тот факт, что немецкие войска испытывали крайнюю нужду в продовольствии, медикаментах и боеприпасах. Бывший немецкий колониальный врач Зупица внес предложение об использовании дирижабля для оказания помощи окруженным частям по воздуху. Его предложение было принято, но в наличии не было ни одного дирижабля, который мог бы выполнить такой полет и при этом доставить достаточное количество необходимых грузов. Совершенный незадолго до этого LZ-120 полет продолжительностью в 101 час доказал, что долететь до Восточной Африки можно. Оставался открытым вопрос обеспечения нужной грузоподъемности. Произведенные расчеты показали, что для выполнения всех условий полета необходимо иметь воздушный корабль значительно большего объема, чем находившиеся в это время в строю (11324). </w:t>
      </w:r>
    </w:p>
    <w:p w14:paraId="72520E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05DCDE" w14:textId="77777777" w:rsidR="00C119B3" w:rsidRPr="002F2FDF" w:rsidRDefault="00C119B3" w:rsidP="0083075A">
      <w:pPr>
        <w:pStyle w:val="ae"/>
        <w:spacing w:before="0" w:after="0"/>
        <w:jc w:val="both"/>
        <w:rPr>
          <w:color w:val="000000" w:themeColor="text1"/>
          <w:kern w:val="2"/>
          <w:sz w:val="16"/>
          <w:szCs w:val="16"/>
        </w:rPr>
      </w:pPr>
      <w:r w:rsidRPr="002F2FDF">
        <w:rPr>
          <w:color w:val="000000" w:themeColor="text1"/>
          <w:kern w:val="2"/>
          <w:sz w:val="16"/>
          <w:szCs w:val="16"/>
        </w:rPr>
        <w:t>21 октября (3 ноября) 1917 главнокомандующий итальянской армией генерал Кадорна так описал председателю совета министров положение дел на фронте: «2-я армия потеряла 180 тысяч пленными, 400 тысяч человек рассеялись, людская масса утратила моральную устойчивость. &lt;…&gt; Если мне удастся отвести 3-ю и 4-ю армии в полном порядке, я намереваюсь сыграть свою последнюю карту на Пьаве (река на северо-востоке Италии — РП) и ждать там решительного сражения».</w:t>
      </w:r>
    </w:p>
    <w:p w14:paraId="68F704CA" w14:textId="77777777" w:rsidR="00C119B3" w:rsidRPr="002F2FDF" w:rsidRDefault="00C119B3" w:rsidP="0083075A">
      <w:pPr>
        <w:pStyle w:val="ae"/>
        <w:spacing w:before="0" w:after="0"/>
        <w:jc w:val="both"/>
        <w:rPr>
          <w:color w:val="000000" w:themeColor="text1"/>
          <w:kern w:val="2"/>
          <w:sz w:val="16"/>
          <w:szCs w:val="16"/>
        </w:rPr>
      </w:pPr>
      <w:r w:rsidRPr="002F2FDF">
        <w:rPr>
          <w:color w:val="000000" w:themeColor="text1"/>
          <w:kern w:val="2"/>
          <w:sz w:val="16"/>
          <w:szCs w:val="16"/>
        </w:rPr>
        <w:t>4 ноября командование итальянской армии, опасаясь окружения, отдало приказ об отходе и с рубежа реки Тальяменто. Новый рубеж итальянской обороны был определен по линии Нижнее течение реки Пьаве — гора Граппа — плато Семи Общин (17045).</w:t>
      </w:r>
    </w:p>
    <w:p w14:paraId="677FB8E9" w14:textId="77777777" w:rsidR="00C119B3" w:rsidRPr="002F2FDF" w:rsidRDefault="00C119B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E5A25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99148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9C39B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октября (4 ноября) 1917 завод Матиас с инспекцией посетила комиссия УВВФ в составе п-ка Мезенцева, к-на Шереметьевского и двух инженеров. Мнения членов комиссии разделились. Мезенцев считал, что “Мати</w:t>
      </w:r>
      <w:r w:rsidRPr="002F2FDF">
        <w:rPr>
          <w:rFonts w:ascii="Times New Roman" w:hAnsi="Times New Roman" w:cs="Times New Roman"/>
          <w:color w:val="000000" w:themeColor="text1"/>
          <w:kern w:val="2"/>
          <w:sz w:val="16"/>
          <w:szCs w:val="16"/>
        </w:rPr>
        <w:softHyphen/>
        <w:t>ас” сможет сдать к концу года 66 “Фарманов”, а Шереметьевский и Павлинец сочли такие планы нереальными. При этом завод призна</w:t>
      </w:r>
      <w:r w:rsidRPr="002F2FDF">
        <w:rPr>
          <w:rFonts w:ascii="Times New Roman" w:hAnsi="Times New Roman" w:cs="Times New Roman"/>
          <w:color w:val="000000" w:themeColor="text1"/>
          <w:kern w:val="2"/>
          <w:sz w:val="16"/>
          <w:szCs w:val="16"/>
        </w:rPr>
        <w:softHyphen/>
        <w:t>вался наиболее современным по оборудованию среди всех пред</w:t>
      </w:r>
      <w:r w:rsidRPr="002F2FDF">
        <w:rPr>
          <w:rFonts w:ascii="Times New Roman" w:hAnsi="Times New Roman" w:cs="Times New Roman"/>
          <w:color w:val="000000" w:themeColor="text1"/>
          <w:kern w:val="2"/>
          <w:sz w:val="16"/>
          <w:szCs w:val="16"/>
        </w:rPr>
        <w:softHyphen/>
        <w:t>приятий отрасли (11154).</w:t>
      </w:r>
    </w:p>
    <w:p w14:paraId="555E99D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4092B7" w14:textId="77777777" w:rsidR="000B53BF"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r w:rsidR="000B53BF" w:rsidRPr="002F2FDF">
        <w:rPr>
          <w:rFonts w:ascii="Times New Roman" w:hAnsi="Times New Roman" w:cs="Times New Roman"/>
          <w:iCs/>
          <w:color w:val="000000" w:themeColor="text1"/>
          <w:kern w:val="2"/>
          <w:sz w:val="16"/>
          <w:szCs w:val="16"/>
        </w:rPr>
        <w:t>:</w:t>
      </w:r>
    </w:p>
    <w:p w14:paraId="2D494681" w14:textId="77777777" w:rsidR="000B53BF" w:rsidRPr="002F2FDF" w:rsidRDefault="000B53B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229C66" w14:textId="77777777" w:rsidR="000B53BF" w:rsidRPr="002F2FDF" w:rsidRDefault="000B53B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октября (4 ноября) 1917 был день, когда правые социалисты и кадеты планировали взять власть (12629).</w:t>
      </w:r>
    </w:p>
    <w:p w14:paraId="1DD6F795" w14:textId="77777777" w:rsidR="000B53BF" w:rsidRPr="002F2FDF" w:rsidRDefault="000B53B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E4D2CA" w14:textId="560643E7" w:rsidR="00FC6555" w:rsidRPr="002F2FDF" w:rsidRDefault="00FC6555" w:rsidP="0083075A">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r w:rsidRPr="002F2FDF">
        <w:rPr>
          <w:rFonts w:ascii="Times New Roman" w:hAnsi="Times New Roman" w:cs="Times New Roman"/>
          <w:bCs/>
          <w:color w:val="000000" w:themeColor="text1"/>
          <w:kern w:val="2"/>
          <w:sz w:val="16"/>
          <w:szCs w:val="16"/>
        </w:rPr>
        <w:t xml:space="preserve">В ночь на </w:t>
      </w:r>
      <w:r w:rsidR="00E52569">
        <w:rPr>
          <w:rStyle w:val="highlight"/>
          <w:rFonts w:ascii="Times New Roman" w:hAnsi="Times New Roman" w:cs="Times New Roman"/>
          <w:bCs/>
          <w:color w:val="000000" w:themeColor="text1"/>
          <w:kern w:val="2"/>
          <w:sz w:val="16"/>
          <w:szCs w:val="16"/>
        </w:rPr>
        <w:t xml:space="preserve"> </w:t>
      </w:r>
      <w:r w:rsidRPr="002F2FDF">
        <w:rPr>
          <w:rStyle w:val="highlight"/>
          <w:rFonts w:ascii="Times New Roman" w:hAnsi="Times New Roman" w:cs="Times New Roman"/>
          <w:bCs/>
          <w:color w:val="000000" w:themeColor="text1"/>
          <w:kern w:val="2"/>
          <w:sz w:val="16"/>
          <w:szCs w:val="16"/>
        </w:rPr>
        <w:t>22</w:t>
      </w:r>
      <w:r w:rsidR="00E52569">
        <w:rPr>
          <w:rStyle w:val="highlight"/>
          <w:rFonts w:ascii="Times New Roman" w:hAnsi="Times New Roman" w:cs="Times New Roman"/>
          <w:bCs/>
          <w:color w:val="000000" w:themeColor="text1"/>
          <w:kern w:val="2"/>
          <w:sz w:val="16"/>
          <w:szCs w:val="16"/>
        </w:rPr>
        <w:t xml:space="preserve">  </w:t>
      </w:r>
      <w:r w:rsidRPr="002F2FDF">
        <w:rPr>
          <w:rStyle w:val="highlight"/>
          <w:rFonts w:ascii="Times New Roman" w:hAnsi="Times New Roman" w:cs="Times New Roman"/>
          <w:bCs/>
          <w:color w:val="000000" w:themeColor="text1"/>
          <w:kern w:val="2"/>
          <w:sz w:val="16"/>
          <w:szCs w:val="16"/>
        </w:rPr>
        <w:t>октября</w:t>
      </w:r>
      <w:r w:rsidR="00E52569">
        <w:rPr>
          <w:rStyle w:val="highlight"/>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 xml:space="preserve"> (4 ноября) 1917 Военно-революционный комитет потребовал от штаба Петроградского военного округа признать полномочия своих комиссаров, а </w:t>
      </w:r>
      <w:r w:rsidR="00E52569">
        <w:rPr>
          <w:rStyle w:val="highlight"/>
          <w:rFonts w:ascii="Times New Roman" w:hAnsi="Times New Roman" w:cs="Times New Roman"/>
          <w:bCs/>
          <w:color w:val="000000" w:themeColor="text1"/>
          <w:kern w:val="2"/>
          <w:sz w:val="16"/>
          <w:szCs w:val="16"/>
        </w:rPr>
        <w:t xml:space="preserve"> </w:t>
      </w:r>
      <w:r w:rsidRPr="002F2FDF">
        <w:rPr>
          <w:rStyle w:val="highlight"/>
          <w:rFonts w:ascii="Times New Roman" w:hAnsi="Times New Roman" w:cs="Times New Roman"/>
          <w:bCs/>
          <w:color w:val="000000" w:themeColor="text1"/>
          <w:kern w:val="2"/>
          <w:sz w:val="16"/>
          <w:szCs w:val="16"/>
        </w:rPr>
        <w:t>22</w:t>
      </w:r>
      <w:r w:rsidR="00E52569">
        <w:rPr>
          <w:rStyle w:val="highlight"/>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 xml:space="preserve">-го заявил о подчинении себе гарнизона. 23 </w:t>
      </w:r>
      <w:r w:rsidR="00E52569">
        <w:rPr>
          <w:rStyle w:val="highlight"/>
          <w:rFonts w:ascii="Times New Roman" w:hAnsi="Times New Roman" w:cs="Times New Roman"/>
          <w:bCs/>
          <w:color w:val="000000" w:themeColor="text1"/>
          <w:kern w:val="2"/>
          <w:sz w:val="16"/>
          <w:szCs w:val="16"/>
        </w:rPr>
        <w:t xml:space="preserve"> </w:t>
      </w:r>
      <w:r w:rsidRPr="002F2FDF">
        <w:rPr>
          <w:rStyle w:val="highlight"/>
          <w:rFonts w:ascii="Times New Roman" w:hAnsi="Times New Roman" w:cs="Times New Roman"/>
          <w:bCs/>
          <w:color w:val="000000" w:themeColor="text1"/>
          <w:kern w:val="2"/>
          <w:sz w:val="16"/>
          <w:szCs w:val="16"/>
        </w:rPr>
        <w:t>октября</w:t>
      </w:r>
      <w:r w:rsidR="00E52569">
        <w:rPr>
          <w:rStyle w:val="highlight"/>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 xml:space="preserve"> ВРК добился права создать консультативный орган при штабе Петроградского округа. В тот же день Троцкий лично провел агитацию в Петропавловской крепости, где ещё сомневались, чью сторону принять. К 24 </w:t>
      </w:r>
      <w:r w:rsidR="00E52569">
        <w:rPr>
          <w:rStyle w:val="highlight"/>
          <w:rFonts w:ascii="Times New Roman" w:hAnsi="Times New Roman" w:cs="Times New Roman"/>
          <w:bCs/>
          <w:color w:val="000000" w:themeColor="text1"/>
          <w:kern w:val="2"/>
          <w:sz w:val="16"/>
          <w:szCs w:val="16"/>
        </w:rPr>
        <w:t xml:space="preserve"> </w:t>
      </w:r>
      <w:r w:rsidRPr="002F2FDF">
        <w:rPr>
          <w:rStyle w:val="highlight"/>
          <w:rFonts w:ascii="Times New Roman" w:hAnsi="Times New Roman" w:cs="Times New Roman"/>
          <w:bCs/>
          <w:color w:val="000000" w:themeColor="text1"/>
          <w:kern w:val="2"/>
          <w:sz w:val="16"/>
          <w:szCs w:val="16"/>
        </w:rPr>
        <w:t>октября</w:t>
      </w:r>
      <w:r w:rsidR="00E52569">
        <w:rPr>
          <w:rStyle w:val="highlight"/>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 xml:space="preserve"> ВРК назначил своих комиссаров в 51 часть, а также на арсеналы, склады оружия, железнодорожные станции и заводы. Фактически уже к началу восстания левые силы установили военный контроль за столицей. Временное правительство было недееспособно и не смогло решительно ответить. Как впоследствии признал сам Троцкий, «вооруженное восстание совершилось в Петрограде в два приема: в первой половине </w:t>
      </w:r>
      <w:r w:rsidR="00E52569">
        <w:rPr>
          <w:rStyle w:val="highlight"/>
          <w:rFonts w:ascii="Times New Roman" w:hAnsi="Times New Roman" w:cs="Times New Roman"/>
          <w:bCs/>
          <w:color w:val="000000" w:themeColor="text1"/>
          <w:kern w:val="2"/>
          <w:sz w:val="16"/>
          <w:szCs w:val="16"/>
        </w:rPr>
        <w:t xml:space="preserve"> </w:t>
      </w:r>
      <w:r w:rsidRPr="002F2FDF">
        <w:rPr>
          <w:rStyle w:val="highlight"/>
          <w:rFonts w:ascii="Times New Roman" w:hAnsi="Times New Roman" w:cs="Times New Roman"/>
          <w:bCs/>
          <w:color w:val="000000" w:themeColor="text1"/>
          <w:kern w:val="2"/>
          <w:sz w:val="16"/>
          <w:szCs w:val="16"/>
        </w:rPr>
        <w:t>октября</w:t>
      </w:r>
      <w:r w:rsidR="00E52569">
        <w:rPr>
          <w:rStyle w:val="highlight"/>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 xml:space="preserve">, когда петроградские полки, подчиняясь постановлению Совета, вполне отвечавшему их собственным настроениям, безнаказанно отказались выполнить приказ главнокомандования, и 25 </w:t>
      </w:r>
      <w:r w:rsidR="00E52569">
        <w:rPr>
          <w:rStyle w:val="highlight"/>
          <w:rFonts w:ascii="Times New Roman" w:hAnsi="Times New Roman" w:cs="Times New Roman"/>
          <w:bCs/>
          <w:color w:val="000000" w:themeColor="text1"/>
          <w:kern w:val="2"/>
          <w:sz w:val="16"/>
          <w:szCs w:val="16"/>
        </w:rPr>
        <w:t xml:space="preserve"> </w:t>
      </w:r>
      <w:r w:rsidRPr="002F2FDF">
        <w:rPr>
          <w:rStyle w:val="highlight"/>
          <w:rFonts w:ascii="Times New Roman" w:hAnsi="Times New Roman" w:cs="Times New Roman"/>
          <w:bCs/>
          <w:color w:val="000000" w:themeColor="text1"/>
          <w:kern w:val="2"/>
          <w:sz w:val="16"/>
          <w:szCs w:val="16"/>
        </w:rPr>
        <w:t>октября</w:t>
      </w:r>
      <w:r w:rsidR="00E52569">
        <w:rPr>
          <w:rStyle w:val="highlight"/>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 когда понадобилось уже только небольшое дополнительное восстание, рассекавшее пуповину февральской государственности» (17031).</w:t>
      </w:r>
    </w:p>
    <w:p w14:paraId="17776A0D" w14:textId="77777777" w:rsidR="00FC6555" w:rsidRPr="002F2FDF" w:rsidRDefault="00FC655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2C1FF4" w14:textId="77777777" w:rsidR="00FC6555" w:rsidRPr="002F2FDF" w:rsidRDefault="00FC655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октября (4 ноября) 1917 ВРК Петроградского совета объявил, что признает действительными лишь утвержденные им приказы (3908,266).</w:t>
      </w:r>
    </w:p>
    <w:p w14:paraId="46D2CC6D" w14:textId="77777777" w:rsidR="00FC6555" w:rsidRPr="002F2FDF" w:rsidRDefault="00FC655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F943F2" w14:textId="77777777" w:rsidR="00FC6555" w:rsidRPr="002F2FDF" w:rsidRDefault="00FC655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октября (4 ноября) 1917 ВРК Петросовета объявил о том, что действительны лишь утвержденные им приказы (3481).</w:t>
      </w:r>
    </w:p>
    <w:p w14:paraId="38B0664B" w14:textId="77777777" w:rsidR="00FC6555" w:rsidRPr="002F2FDF" w:rsidRDefault="00FC655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511ABE" w14:textId="77777777" w:rsidR="00FC6555" w:rsidRPr="002F2FDF" w:rsidRDefault="00FC655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октября (4 ноября) 1917 стал днем Петросовета. На всех фабриках состоялись многотысячные митинги (2239).</w:t>
      </w:r>
    </w:p>
    <w:p w14:paraId="5C7BE082" w14:textId="77777777" w:rsidR="00FC6555" w:rsidRPr="002F2FDF" w:rsidRDefault="00FC655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60D43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8BAE9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8B56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октября (4 ноября) 1917 г. впервые полетел четырехмоторный высокоплан Дорнье RsIII, отличающийся коротким и широким лодочным корпусом. Этот аппарат благополучно прошел испытания и стал первым крупным гидросамолетом, нашедшим практическое применение. В феврале 1918 г. RsIII с экипажем из 4-х человек и полной нагрузкой совершил 7-часовой перелет от Боденского озера к берегам Северного моря. На фронте самолет выполнил несколько боевых воздушных разведок, длившихся по 10-12 часов каждая (11961).</w:t>
      </w:r>
    </w:p>
    <w:p w14:paraId="3D8B61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22D1F4" w14:textId="77777777" w:rsidR="00C119B3" w:rsidRPr="002F2FDF" w:rsidRDefault="00C119B3" w:rsidP="0083075A">
      <w:pPr>
        <w:pStyle w:val="ae"/>
        <w:spacing w:before="0" w:after="0"/>
        <w:jc w:val="both"/>
        <w:rPr>
          <w:color w:val="000000" w:themeColor="text1"/>
          <w:kern w:val="2"/>
          <w:sz w:val="16"/>
          <w:szCs w:val="16"/>
        </w:rPr>
      </w:pPr>
      <w:r w:rsidRPr="002F2FDF">
        <w:rPr>
          <w:color w:val="000000" w:themeColor="text1"/>
          <w:kern w:val="2"/>
          <w:sz w:val="16"/>
          <w:szCs w:val="16"/>
        </w:rPr>
        <w:t>22 октября (4 ноября) 1917 г. британские и канадские дивизии заняли окраину деревни Пашендейл (фламандский вариант Пассендале) в окрестностях города Ипр на западе Бельгии, по названию которой ожесточенные бои, продолжавшиеся в этой местности с июля 1917 года, вошли в историю как Битва при Пашендейле. К этому моменту практически все пространство в районе Ипра из-за непрекращающихся дождей и артиллерийских обстрелов превратилось в непролазную трясину. Британский историк Беззил Лиддел Гарт приводит такой случай: «Высокопоставленный офицер из главного штаба впервые решил проехать на фронт, где протекала [наступательная] операция, к концу четвертого месяца боев на этом направлении. По мере приближения машины к окрестностям поля боя, напоминавшим болота, он становился все взволнованнее и взволнованнее, и, наконец, истерично разразился слезами, вскричав: «Боже мой, боже мой, неужели мы действительно посылали сюда людей сражаться…», на что его спутник ответил, что впереди местность еще хуже» (17045).</w:t>
      </w:r>
    </w:p>
    <w:p w14:paraId="7DDD34B6" w14:textId="77777777" w:rsidR="00C119B3" w:rsidRPr="002F2FDF" w:rsidRDefault="00C119B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3C175D" w14:textId="77777777" w:rsidR="00C119B3" w:rsidRPr="002F2FDF" w:rsidRDefault="003E53DB" w:rsidP="0083075A">
      <w:pPr>
        <w:pStyle w:val="ae"/>
        <w:spacing w:before="0" w:after="0"/>
        <w:jc w:val="both"/>
        <w:rPr>
          <w:color w:val="000000" w:themeColor="text1"/>
          <w:kern w:val="2"/>
          <w:sz w:val="16"/>
          <w:szCs w:val="16"/>
        </w:rPr>
      </w:pPr>
      <w:r w:rsidRPr="002F2FDF">
        <w:rPr>
          <w:color w:val="000000" w:themeColor="text1"/>
          <w:kern w:val="2"/>
          <w:sz w:val="16"/>
          <w:szCs w:val="16"/>
        </w:rPr>
        <w:lastRenderedPageBreak/>
        <w:t xml:space="preserve">22 октября (4 ноября) 1917 г. </w:t>
      </w:r>
      <w:r w:rsidR="00C119B3" w:rsidRPr="002F2FDF">
        <w:rPr>
          <w:color w:val="000000" w:themeColor="text1"/>
          <w:kern w:val="2"/>
          <w:sz w:val="16"/>
          <w:szCs w:val="16"/>
        </w:rPr>
        <w:t>командование итальянской армии, опасаясь окружения, отдало приказ об отходе и с рубежа реки Тальяменто. Новый рубеж итальянской обороны был определен по линии Нижнее течение реки Пьаве — гора Граппа — плато Семи Общин (17045).</w:t>
      </w:r>
    </w:p>
    <w:p w14:paraId="5E591E54" w14:textId="77777777" w:rsidR="00C119B3" w:rsidRPr="002F2FDF" w:rsidRDefault="00C119B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ED6AA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E21AF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5DA1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октября (4 ноября) 1917 Крейсер Аврора, который в 1917 г. находился в ремонте на Франко-Русском заводе. по окончании ремонта он был предъявлен Постоянной комиссии для приемных испытаний. Предполагалось, что крейсер выйдет в море на пробу машин. Но приказом Центробалта крейсер Аврора был задержан в Петрограде (10700).</w:t>
      </w:r>
    </w:p>
    <w:p w14:paraId="3C10EA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FA691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49D6E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AF3B0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октября (5 ноября) 1917 военпред на заводе “Матиас” прапорщик Павлинец в телеграмме от Павлинец отме</w:t>
      </w:r>
      <w:r w:rsidRPr="002F2FDF">
        <w:rPr>
          <w:rFonts w:ascii="Times New Roman" w:hAnsi="Times New Roman" w:cs="Times New Roman"/>
          <w:color w:val="000000" w:themeColor="text1"/>
          <w:kern w:val="2"/>
          <w:sz w:val="16"/>
          <w:szCs w:val="16"/>
        </w:rPr>
        <w:softHyphen/>
        <w:t>чал возрастание большевистского влияния на предприятии, одной из причин которого стало недовольство рабочих наличием на заводе лиц с высокими окладами (инженеры, летчики-испытатели), кото</w:t>
      </w:r>
      <w:r w:rsidRPr="002F2FDF">
        <w:rPr>
          <w:rFonts w:ascii="Times New Roman" w:hAnsi="Times New Roman" w:cs="Times New Roman"/>
          <w:color w:val="000000" w:themeColor="text1"/>
          <w:kern w:val="2"/>
          <w:sz w:val="16"/>
          <w:szCs w:val="16"/>
        </w:rPr>
        <w:softHyphen/>
        <w:t>рые, по их мнению, не были заняты в производстве. Большевистский переворот в Петрограде лишь усугубил положение. Ссылаясь на разрыв связи с центром и, как следствие, перебои в финансирова</w:t>
      </w:r>
      <w:r w:rsidRPr="002F2FDF">
        <w:rPr>
          <w:rFonts w:ascii="Times New Roman" w:hAnsi="Times New Roman" w:cs="Times New Roman"/>
          <w:color w:val="000000" w:themeColor="text1"/>
          <w:kern w:val="2"/>
          <w:sz w:val="16"/>
          <w:szCs w:val="16"/>
        </w:rPr>
        <w:softHyphen/>
        <w:t>нии, руководство “Матиаса” 7 ноября объявило о приостановке с 22 числа текущего месяца всех работ на предприятии. Это решение Павлинец опротестовал. Его поддержало УВВФ, уполномочившее военпреда в случае приостановки работ сместить руководство заво</w:t>
      </w:r>
      <w:r w:rsidRPr="002F2FDF">
        <w:rPr>
          <w:rFonts w:ascii="Times New Roman" w:hAnsi="Times New Roman" w:cs="Times New Roman"/>
          <w:color w:val="000000" w:themeColor="text1"/>
          <w:kern w:val="2"/>
          <w:sz w:val="16"/>
          <w:szCs w:val="16"/>
        </w:rPr>
        <w:softHyphen/>
        <w:t>да и до прибытия военной администрации самостоятельно органи</w:t>
      </w:r>
      <w:r w:rsidRPr="002F2FDF">
        <w:rPr>
          <w:rFonts w:ascii="Times New Roman" w:hAnsi="Times New Roman" w:cs="Times New Roman"/>
          <w:color w:val="000000" w:themeColor="text1"/>
          <w:kern w:val="2"/>
          <w:sz w:val="16"/>
          <w:szCs w:val="16"/>
        </w:rPr>
        <w:softHyphen/>
        <w:t>зовать работу по выполнению заказов. Павлинец имел и поддержку со стороны заводского комитета. Высказывалось даже предположе</w:t>
      </w:r>
      <w:r w:rsidRPr="002F2FDF">
        <w:rPr>
          <w:rFonts w:ascii="Times New Roman" w:hAnsi="Times New Roman" w:cs="Times New Roman"/>
          <w:color w:val="000000" w:themeColor="text1"/>
          <w:kern w:val="2"/>
          <w:sz w:val="16"/>
          <w:szCs w:val="16"/>
        </w:rPr>
        <w:softHyphen/>
        <w:t>ние принять завод в казну — то есть, конфисковать в пользу госу</w:t>
      </w:r>
      <w:r w:rsidRPr="002F2FDF">
        <w:rPr>
          <w:rFonts w:ascii="Times New Roman" w:hAnsi="Times New Roman" w:cs="Times New Roman"/>
          <w:color w:val="000000" w:themeColor="text1"/>
          <w:kern w:val="2"/>
          <w:sz w:val="16"/>
          <w:szCs w:val="16"/>
        </w:rPr>
        <w:softHyphen/>
        <w:t>дарства. Основания для этого были, поскольку по состоянию на 27 ноября фирма получила в общей сложности 3,5 млн. руб. казен</w:t>
      </w:r>
      <w:r w:rsidRPr="002F2FDF">
        <w:rPr>
          <w:rFonts w:ascii="Times New Roman" w:hAnsi="Times New Roman" w:cs="Times New Roman"/>
          <w:color w:val="000000" w:themeColor="text1"/>
          <w:kern w:val="2"/>
          <w:sz w:val="16"/>
          <w:szCs w:val="16"/>
        </w:rPr>
        <w:softHyphen/>
        <w:t>ных денег, но так и не смогла изготовить ни одного самолета. Несмотря на все перипетии того времени, финансовые поступления продолжались, и к концу года сумма долгов “Матиаса” казне достиг</w:t>
      </w:r>
      <w:r w:rsidRPr="002F2FDF">
        <w:rPr>
          <w:rFonts w:ascii="Times New Roman" w:hAnsi="Times New Roman" w:cs="Times New Roman"/>
          <w:color w:val="000000" w:themeColor="text1"/>
          <w:kern w:val="2"/>
          <w:sz w:val="16"/>
          <w:szCs w:val="16"/>
        </w:rPr>
        <w:softHyphen/>
        <w:t>ла размеров стоимости всего предприятия (11154).</w:t>
      </w:r>
    </w:p>
    <w:p w14:paraId="1B78760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55A9E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C6349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FA0EFE" w14:textId="6F88C376" w:rsidR="00FC6555" w:rsidRPr="002F2FDF" w:rsidRDefault="00FC6555" w:rsidP="0083075A">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r w:rsidRPr="002F2FDF">
        <w:rPr>
          <w:rFonts w:ascii="Times New Roman" w:hAnsi="Times New Roman" w:cs="Times New Roman"/>
          <w:bCs/>
          <w:color w:val="000000" w:themeColor="text1"/>
          <w:kern w:val="2"/>
          <w:sz w:val="16"/>
          <w:szCs w:val="16"/>
        </w:rPr>
        <w:t xml:space="preserve">23 </w:t>
      </w:r>
      <w:r w:rsidR="00E52569">
        <w:rPr>
          <w:rStyle w:val="highlight"/>
          <w:rFonts w:ascii="Times New Roman" w:hAnsi="Times New Roman" w:cs="Times New Roman"/>
          <w:bCs/>
          <w:color w:val="000000" w:themeColor="text1"/>
          <w:kern w:val="2"/>
          <w:sz w:val="16"/>
          <w:szCs w:val="16"/>
        </w:rPr>
        <w:t xml:space="preserve"> </w:t>
      </w:r>
      <w:r w:rsidRPr="002F2FDF">
        <w:rPr>
          <w:rStyle w:val="highlight"/>
          <w:rFonts w:ascii="Times New Roman" w:hAnsi="Times New Roman" w:cs="Times New Roman"/>
          <w:bCs/>
          <w:color w:val="000000" w:themeColor="text1"/>
          <w:kern w:val="2"/>
          <w:sz w:val="16"/>
          <w:szCs w:val="16"/>
        </w:rPr>
        <w:t>октября</w:t>
      </w:r>
      <w:r w:rsidR="00E52569">
        <w:rPr>
          <w:rStyle w:val="highlight"/>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 xml:space="preserve"> (5 ноября) 1917 ВРК добился права создать консультативный орган при штабе Петроградского округа. В тот же день Троцкий лично провел агитацию в Петропавловской крепости, где ещё сомневались, чью сторону принять. К 24 </w:t>
      </w:r>
      <w:r w:rsidR="00E52569">
        <w:rPr>
          <w:rStyle w:val="highlight"/>
          <w:rFonts w:ascii="Times New Roman" w:hAnsi="Times New Roman" w:cs="Times New Roman"/>
          <w:bCs/>
          <w:color w:val="000000" w:themeColor="text1"/>
          <w:kern w:val="2"/>
          <w:sz w:val="16"/>
          <w:szCs w:val="16"/>
        </w:rPr>
        <w:t xml:space="preserve"> </w:t>
      </w:r>
      <w:r w:rsidRPr="002F2FDF">
        <w:rPr>
          <w:rStyle w:val="highlight"/>
          <w:rFonts w:ascii="Times New Roman" w:hAnsi="Times New Roman" w:cs="Times New Roman"/>
          <w:bCs/>
          <w:color w:val="000000" w:themeColor="text1"/>
          <w:kern w:val="2"/>
          <w:sz w:val="16"/>
          <w:szCs w:val="16"/>
        </w:rPr>
        <w:t>октября</w:t>
      </w:r>
      <w:r w:rsidR="00E52569">
        <w:rPr>
          <w:rStyle w:val="highlight"/>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 xml:space="preserve"> ВРК назначил своих комиссаров в 51 часть, а также на арсеналы, склады оружия, железнодорожные станции и заводы. Фактически уже к началу восстания левые силы установили военный контроль за столицей. Временное правительство было недееспособно и не смогло решительно ответить. Как впоследствии признал сам Троцкий, «вооруженное восстание совершилось в Петрограде в два приема: в первой половине </w:t>
      </w:r>
      <w:r w:rsidR="00E52569">
        <w:rPr>
          <w:rStyle w:val="highlight"/>
          <w:rFonts w:ascii="Times New Roman" w:hAnsi="Times New Roman" w:cs="Times New Roman"/>
          <w:bCs/>
          <w:color w:val="000000" w:themeColor="text1"/>
          <w:kern w:val="2"/>
          <w:sz w:val="16"/>
          <w:szCs w:val="16"/>
        </w:rPr>
        <w:t xml:space="preserve"> </w:t>
      </w:r>
      <w:r w:rsidRPr="002F2FDF">
        <w:rPr>
          <w:rStyle w:val="highlight"/>
          <w:rFonts w:ascii="Times New Roman" w:hAnsi="Times New Roman" w:cs="Times New Roman"/>
          <w:bCs/>
          <w:color w:val="000000" w:themeColor="text1"/>
          <w:kern w:val="2"/>
          <w:sz w:val="16"/>
          <w:szCs w:val="16"/>
        </w:rPr>
        <w:t>октября</w:t>
      </w:r>
      <w:r w:rsidR="00E52569">
        <w:rPr>
          <w:rStyle w:val="highlight"/>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 xml:space="preserve">, когда петроградские полки, подчиняясь постановлению Совета, вполне отвечавшему их собственным настроениям, безнаказанно отказались выполнить приказ главнокомандования, и 25 </w:t>
      </w:r>
      <w:r w:rsidR="00E52569">
        <w:rPr>
          <w:rStyle w:val="highlight"/>
          <w:rFonts w:ascii="Times New Roman" w:hAnsi="Times New Roman" w:cs="Times New Roman"/>
          <w:bCs/>
          <w:color w:val="000000" w:themeColor="text1"/>
          <w:kern w:val="2"/>
          <w:sz w:val="16"/>
          <w:szCs w:val="16"/>
        </w:rPr>
        <w:t xml:space="preserve"> </w:t>
      </w:r>
      <w:r w:rsidRPr="002F2FDF">
        <w:rPr>
          <w:rStyle w:val="highlight"/>
          <w:rFonts w:ascii="Times New Roman" w:hAnsi="Times New Roman" w:cs="Times New Roman"/>
          <w:bCs/>
          <w:color w:val="000000" w:themeColor="text1"/>
          <w:kern w:val="2"/>
          <w:sz w:val="16"/>
          <w:szCs w:val="16"/>
        </w:rPr>
        <w:t>октября</w:t>
      </w:r>
      <w:r w:rsidR="00E52569">
        <w:rPr>
          <w:rStyle w:val="highlight"/>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 когда понадобилось уже только небольшое дополнительное восстание, рассекавшее пуповину февральской государственности» (17031).</w:t>
      </w:r>
    </w:p>
    <w:p w14:paraId="4F1E1E75" w14:textId="77777777" w:rsidR="00FC6555" w:rsidRPr="002F2FDF" w:rsidRDefault="00FC655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8355D4" w14:textId="2FCB7442" w:rsidR="00C119B3" w:rsidRPr="002F2FDF" w:rsidRDefault="00C119B3" w:rsidP="0083075A">
      <w:pPr>
        <w:pStyle w:val="ae"/>
        <w:spacing w:before="0" w:after="0"/>
        <w:jc w:val="both"/>
        <w:rPr>
          <w:color w:val="000000" w:themeColor="text1"/>
          <w:kern w:val="2"/>
          <w:sz w:val="16"/>
          <w:szCs w:val="16"/>
        </w:rPr>
      </w:pPr>
      <w:r w:rsidRPr="002F2FDF">
        <w:rPr>
          <w:bCs/>
          <w:color w:val="000000" w:themeColor="text1"/>
          <w:kern w:val="2"/>
          <w:sz w:val="16"/>
          <w:szCs w:val="16"/>
        </w:rPr>
        <w:t xml:space="preserve">23 </w:t>
      </w:r>
      <w:r w:rsidR="00E52569">
        <w:rPr>
          <w:rStyle w:val="highlight"/>
          <w:bCs/>
          <w:color w:val="000000" w:themeColor="text1"/>
          <w:kern w:val="2"/>
          <w:sz w:val="16"/>
          <w:szCs w:val="16"/>
        </w:rPr>
        <w:t xml:space="preserve"> </w:t>
      </w:r>
      <w:r w:rsidRPr="002F2FDF">
        <w:rPr>
          <w:rStyle w:val="highlight"/>
          <w:bCs/>
          <w:color w:val="000000" w:themeColor="text1"/>
          <w:kern w:val="2"/>
          <w:sz w:val="16"/>
          <w:szCs w:val="16"/>
        </w:rPr>
        <w:t>октября</w:t>
      </w:r>
      <w:r w:rsidR="00E52569">
        <w:rPr>
          <w:rStyle w:val="highlight"/>
          <w:bCs/>
          <w:color w:val="000000" w:themeColor="text1"/>
          <w:kern w:val="2"/>
          <w:sz w:val="16"/>
          <w:szCs w:val="16"/>
        </w:rPr>
        <w:t xml:space="preserve"> </w:t>
      </w:r>
      <w:r w:rsidRPr="002F2FDF">
        <w:rPr>
          <w:bCs/>
          <w:color w:val="000000" w:themeColor="text1"/>
          <w:kern w:val="2"/>
          <w:sz w:val="16"/>
          <w:szCs w:val="16"/>
        </w:rPr>
        <w:t xml:space="preserve"> (5 ноября) 1917 </w:t>
      </w:r>
      <w:r w:rsidRPr="002F2FDF">
        <w:rPr>
          <w:color w:val="000000" w:themeColor="text1"/>
          <w:kern w:val="2"/>
          <w:sz w:val="16"/>
          <w:szCs w:val="16"/>
        </w:rPr>
        <w:t>ВРК издал очередной приказ, предоставлявший его комиссарам право накладывать вето на приказы командиров воинских частей. Также в этот день на сторону большевиков перешел гарнизон Петропавловской крепости, который «распропагандировал» лично один из вождей большевиков и фактический руководитель ВРК Лев Троцкий (формально ВРК возглавлял левый эсер Павел Лазимир). Гарнизон крепости сразу же захватил находящийся неподалеку Кронверкский арсенал и начал раздачу оружия отрядам Красной гвардии.</w:t>
      </w:r>
    </w:p>
    <w:p w14:paraId="3680925D" w14:textId="77777777" w:rsidR="00C119B3" w:rsidRPr="002F2FDF" w:rsidRDefault="00C119B3" w:rsidP="0083075A">
      <w:pPr>
        <w:pStyle w:val="ae"/>
        <w:spacing w:before="0" w:after="0"/>
        <w:jc w:val="both"/>
        <w:rPr>
          <w:color w:val="000000" w:themeColor="text1"/>
          <w:kern w:val="2"/>
          <w:sz w:val="16"/>
          <w:szCs w:val="16"/>
        </w:rPr>
      </w:pPr>
      <w:r w:rsidRPr="002F2FDF">
        <w:rPr>
          <w:color w:val="000000" w:themeColor="text1"/>
          <w:kern w:val="2"/>
          <w:sz w:val="16"/>
          <w:szCs w:val="16"/>
        </w:rPr>
        <w:t>Ночью 5 ноября глава Временного правительства Александр Керенский, в свою очередь, отдал приказ начальнику штаба Петроградского военного округа генералу Якову Багратуни направить Петросовету ультиматум: либо Совет отзывает своих комиссаров, либо военные власти применят силу. В этот же день Багратуни приказал юнкерам военных училищ в Петрограде, учащимся школ прапорщиков и другим частям прибыть на Дворцовую площадь (17045).</w:t>
      </w:r>
    </w:p>
    <w:p w14:paraId="7D7BC649" w14:textId="77777777" w:rsidR="00C119B3" w:rsidRPr="002F2FDF" w:rsidRDefault="00C119B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72C9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октября (5 ноября) 1917 вышло распоряжение А.Керенского о закрытии большевистских газет (3908,266).</w:t>
      </w:r>
    </w:p>
    <w:p w14:paraId="1EB534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BD99A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0CBBB4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0DDA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октября (5 ноября) 1917 г., орган Временного правительства Междуведомственный Комитет заграничному снабжению вынес решение о невозвращении Особых бригад и использовать их если не на фронте, то в качестве рабочей силы. Таким образом, это решение послужило основанием для введения в действие т.н. системы трияжа (фр. triage - отборка, сортировка). 16 ноября выходит постановление военного министра Ж.Клемансо N27576 1/11 о разделении русских контингентов на три категории: желающих сражаться вместе с союзниками, добровольцев-рабочих и тех, кто не хочет ни сражаться, ни работать. К сожалению, точные цифры по распределению русских военнослужащих по категориям трияжа отсутствуют. Известно, что самой многочисленной стала третья категория, самой малочисленной - первая. Положение русских военнослужащих в трудовых батальонах (2-я категория) не было везде одинаковым, а зависело от того, как к ним относились на данном предприятии (лесные заготовки, рудники, частные заводы). Известны случаи, когда условия работы оказывались вполне сносными (11035).</w:t>
      </w:r>
    </w:p>
    <w:p w14:paraId="668F17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80AD3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58214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477D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октября (5 ноября) 1917 г Першинг возглавил американские войска в бою против немцев (2100).</w:t>
      </w:r>
    </w:p>
    <w:p w14:paraId="239A14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0C3F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октября (5 ноября) 1917 на конференции союзных держав в Рапалло в Италии принимается решение о создании Верховного военного совета союзных войск (3481) в Версале и первое заседание состоялось 29 ноября (3907,91).</w:t>
      </w:r>
    </w:p>
    <w:p w14:paraId="15DCAF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435F56"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23 октября (5 ноября)</w:t>
      </w:r>
      <w:r w:rsidRPr="002F2FDF">
        <w:rPr>
          <w:rFonts w:ascii="Times New Roman" w:hAnsi="Times New Roman" w:cs="Times New Roman"/>
          <w:color w:val="000000" w:themeColor="text1"/>
          <w:kern w:val="2"/>
          <w:sz w:val="16"/>
          <w:szCs w:val="16"/>
        </w:rPr>
        <w:t xml:space="preserve"> в 1917 году на конференции союзных держав в Рапалло, Северо-Западная Италия, принимается решение о создании Верховного военного совета союзных войск (первое заседание 29 ноября в Версале) (14821).</w:t>
      </w:r>
    </w:p>
    <w:p w14:paraId="09AD458E"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p>
    <w:p w14:paraId="57520DD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1EA90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B1C2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октября (6 ноября) 1917 аэроплан "Малютка" с мотором "Клерже" 80 л.с. будучи пе</w:t>
      </w:r>
      <w:r w:rsidRPr="002F2FDF">
        <w:rPr>
          <w:rFonts w:ascii="Times New Roman" w:hAnsi="Times New Roman" w:cs="Times New Roman"/>
          <w:color w:val="000000" w:themeColor="text1"/>
          <w:kern w:val="2"/>
          <w:sz w:val="16"/>
          <w:szCs w:val="16"/>
        </w:rPr>
        <w:softHyphen/>
        <w:t>ревезенной к месту опытов, подробности коих неизвестны, несмотря на то, что гидроаэроп</w:t>
      </w:r>
      <w:r w:rsidRPr="002F2FDF">
        <w:rPr>
          <w:rFonts w:ascii="Times New Roman" w:hAnsi="Times New Roman" w:cs="Times New Roman"/>
          <w:color w:val="000000" w:themeColor="text1"/>
          <w:kern w:val="2"/>
          <w:sz w:val="16"/>
          <w:szCs w:val="16"/>
        </w:rPr>
        <w:softHyphen/>
        <w:t>лан был благополучно принят в казну и получил флотский номер С-7 упал в воду из-за неисправности рулевых тяг и разбился. Его экипаж отправился в госпиталь, а обломки прибуксировали к берегу и извлекли из воды на следующий день. В ноябре их отправили в столицу, где они и сгинули (2843).</w:t>
      </w:r>
    </w:p>
    <w:p w14:paraId="248B7C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3EDF9F" w14:textId="77777777" w:rsidR="00373D7A"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5159DDF" w14:textId="77777777" w:rsidR="00373D7A" w:rsidRPr="002F2FDF" w:rsidRDefault="00373D7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5635F3" w14:textId="77777777" w:rsidR="00B23481" w:rsidRPr="002F2FDF" w:rsidRDefault="00B2348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24 октября (6 ноября) 1917 г. № 796 (за день до Октябрьской революции) были утверждены приказом ВГК Новые штат ПУАВ и Положение о нем. По новому штату в ПУАВ находилось в распоряжении не НШ ВГК, а непосредственно – Верховного Главнокомандующего. Оно имело шесть отделений (организационно-оперативное, инспекторское, по сбору и обработке боевого материала, по снабжению и учету имущества, по вооружению и воздушной артиллерии и радиотелеграфное). Сношения ПУАВ с Увофлотом осуществлялись через подачу к 15 числа каждого месяца данных о работе действующей авиации.</w:t>
      </w:r>
    </w:p>
    <w:p w14:paraId="6B607F1F" w14:textId="77777777" w:rsidR="00B23481" w:rsidRPr="002F2FDF" w:rsidRDefault="00B2348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После Октябрьской революции 1917 г. подполковник В.М. Ткачев по письменному заявлению сложил с себя полномочия начальника ПУАВ (19566).</w:t>
      </w:r>
    </w:p>
    <w:p w14:paraId="6FF9ABEA" w14:textId="77777777" w:rsidR="00B23481" w:rsidRPr="002F2FDF" w:rsidRDefault="00B23481" w:rsidP="0083075A">
      <w:pPr>
        <w:spacing w:after="0" w:line="240" w:lineRule="auto"/>
        <w:jc w:val="both"/>
        <w:rPr>
          <w:rFonts w:ascii="Times New Roman" w:hAnsi="Times New Roman" w:cs="Times New Roman"/>
          <w:color w:val="000000" w:themeColor="text1"/>
          <w:sz w:val="16"/>
          <w:szCs w:val="16"/>
        </w:rPr>
      </w:pPr>
    </w:p>
    <w:p w14:paraId="58452053"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24 октября (6 ноября) </w:t>
      </w:r>
      <w:r w:rsidRPr="002F2FDF">
        <w:rPr>
          <w:rFonts w:ascii="Times New Roman" w:hAnsi="Times New Roman" w:cs="Times New Roman"/>
          <w:color w:val="000000" w:themeColor="text1"/>
          <w:kern w:val="2"/>
          <w:sz w:val="16"/>
          <w:szCs w:val="16"/>
        </w:rPr>
        <w:t>в 1917 году из дневника профессора Ю.В.Готье: «За эти дни общие дела не изменились ни к лучшему, ни к худшему. Больших успехов немцы не сделали, но высадились на уголке Эстляндии и заняли весь архипелаг к югу от Финского залива, приобретя базу для будущих действий против Петрограда. Все это делается - по верному замечанию господина Керенского - «не их силой, а нашим бессильем (речь Керенского в предпарламенте)» (14809).</w:t>
      </w:r>
    </w:p>
    <w:p w14:paraId="6EF5F4C7"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p>
    <w:p w14:paraId="67FCC098" w14:textId="568CAFE3" w:rsidR="007B10CD" w:rsidRPr="00FB4F67" w:rsidRDefault="007B10CD"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24 октября (</w:t>
      </w:r>
      <w:r w:rsidRPr="00FB4F67">
        <w:rPr>
          <w:rFonts w:ascii="Times New Roman" w:hAnsi="Times New Roman" w:cs="Times New Roman"/>
          <w:color w:val="0070C0"/>
          <w:sz w:val="16"/>
          <w:szCs w:val="16"/>
        </w:rPr>
        <w:t>6 ноября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Петрограде генерал А. И. Верховский подал в отставку с поста военного министра России. Его сменил его заместитель генерал князь Г. А. Туманов. 7-го Туманов был арестован ВРК, а затем убит взбунтовавшимися матросами. Генерал Верховский вскоре перешел на сторону красных (23525).</w:t>
      </w:r>
    </w:p>
    <w:p w14:paraId="553112AF" w14:textId="77777777" w:rsidR="007B10CD" w:rsidRDefault="007B10CD"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6CBC7452" w14:textId="6E4481B6"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4C75B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560C8E" w14:textId="77777777" w:rsidR="00CB3E65" w:rsidRPr="00FB4F67" w:rsidRDefault="00CB3E6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24 октября (6 ноября) 1917 радиостанция «Авроры» передала распоряжение революционным войскам, охранявшим подступы к Петрограду, быть в полной боевой готовности, «не допускать в Петроград ни одной войсковой части, о которой не было бы известно какое положение приняла она, но отношению к нынешним событиям, высылать навстречу каждой части агитаторов, задерживать корниловские эшелоны.</w:t>
      </w:r>
    </w:p>
    <w:p w14:paraId="552C8045" w14:textId="77777777" w:rsidR="00CB3E65" w:rsidRPr="00FB4F67" w:rsidRDefault="00CB3E6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Как отмечается в «Истории гражданской войны в СССР», это был первый в истории опыт использования радио «восставшим пролетариатом».</w:t>
      </w:r>
    </w:p>
    <w:p w14:paraId="2741CB5B" w14:textId="77777777" w:rsidR="00CB3E65" w:rsidRPr="00FB4F67" w:rsidRDefault="00CB3E6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Радио связало Военно-революционный комитет со всей страной и обеспечило еще более сплоченный отпор солдат и железнодорожников всяким попыткам временного правительства перебросить к Петрограду войска с фронта (23318).</w:t>
      </w:r>
    </w:p>
    <w:p w14:paraId="2223384E" w14:textId="77777777" w:rsidR="00CB3E65" w:rsidRPr="00FB4F67" w:rsidRDefault="00CB3E65" w:rsidP="0083075A">
      <w:pPr>
        <w:spacing w:after="0" w:line="240" w:lineRule="auto"/>
        <w:jc w:val="both"/>
        <w:rPr>
          <w:rFonts w:ascii="Times New Roman" w:hAnsi="Times New Roman" w:cs="Times New Roman"/>
          <w:color w:val="0070C0"/>
          <w:sz w:val="16"/>
          <w:szCs w:val="16"/>
        </w:rPr>
      </w:pPr>
    </w:p>
    <w:p w14:paraId="4957EB9A" w14:textId="77777777" w:rsidR="004C240B" w:rsidRPr="002F2FDF" w:rsidRDefault="004C240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24-25 октября (6-7 ноября) 1917 во время Октябрьского вооружённого вос</w:t>
      </w:r>
      <w:r w:rsidRPr="002F2FDF">
        <w:rPr>
          <w:rFonts w:ascii="Times New Roman" w:hAnsi="Times New Roman" w:cs="Times New Roman"/>
          <w:color w:val="000000" w:themeColor="text1"/>
          <w:sz w:val="16"/>
          <w:szCs w:val="16"/>
        </w:rPr>
        <w:softHyphen/>
        <w:t>стания в Петрограде ОВШ, Запасной воздухоплавательный батальон, учебный отряд и другие команды общей чис</w:t>
      </w:r>
      <w:r w:rsidRPr="002F2FDF">
        <w:rPr>
          <w:rFonts w:ascii="Times New Roman" w:hAnsi="Times New Roman" w:cs="Times New Roman"/>
          <w:color w:val="000000" w:themeColor="text1"/>
          <w:sz w:val="16"/>
          <w:szCs w:val="16"/>
        </w:rPr>
        <w:softHyphen/>
        <w:t>ленностью до 1500 человек перешли на сторону Советской власти и даже участвовали в боях за Зимний дворец (20120).</w:t>
      </w:r>
    </w:p>
    <w:p w14:paraId="4CF646A4" w14:textId="77777777" w:rsidR="004C240B" w:rsidRPr="002F2FDF" w:rsidRDefault="004C240B" w:rsidP="0083075A">
      <w:pPr>
        <w:spacing w:after="0" w:line="240" w:lineRule="auto"/>
        <w:jc w:val="both"/>
        <w:rPr>
          <w:rFonts w:ascii="Times New Roman" w:hAnsi="Times New Roman" w:cs="Times New Roman"/>
          <w:color w:val="000000" w:themeColor="text1"/>
          <w:sz w:val="16"/>
          <w:szCs w:val="16"/>
        </w:rPr>
      </w:pPr>
    </w:p>
    <w:p w14:paraId="3F161A93" w14:textId="19FB9F4F" w:rsidR="00B23481" w:rsidRPr="002F2FDF" w:rsidRDefault="00B23481"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24 октября (6 ноября)</w:t>
      </w:r>
      <w:r w:rsidR="00E52569">
        <w:rPr>
          <w:color w:val="000000" w:themeColor="text1"/>
          <w:sz w:val="16"/>
          <w:szCs w:val="16"/>
        </w:rPr>
        <w:t xml:space="preserve"> </w:t>
      </w:r>
      <w:r w:rsidRPr="002F2FDF">
        <w:rPr>
          <w:color w:val="000000" w:themeColor="text1"/>
          <w:sz w:val="16"/>
          <w:szCs w:val="16"/>
        </w:rPr>
        <w:t>1917 не менее 20-ти тысяч красногвардейцев под руководством Петроградского Военно-Революционного Комитета участвовали в захвате мостов и других ключевых пунктов города (18371).</w:t>
      </w:r>
    </w:p>
    <w:p w14:paraId="4E0661DA" w14:textId="77777777" w:rsidR="00B23481" w:rsidRPr="002F2FDF" w:rsidRDefault="00B23481" w:rsidP="0083075A">
      <w:pPr>
        <w:pStyle w:val="ae"/>
        <w:spacing w:before="0" w:after="0"/>
        <w:jc w:val="both"/>
        <w:rPr>
          <w:color w:val="000000" w:themeColor="text1"/>
          <w:sz w:val="16"/>
          <w:szCs w:val="16"/>
        </w:rPr>
      </w:pPr>
    </w:p>
    <w:p w14:paraId="65E4C9FA" w14:textId="77777777" w:rsidR="009B7C68" w:rsidRPr="002F2FDF" w:rsidRDefault="009B7C68" w:rsidP="0083075A">
      <w:pPr>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24 октября (6 ноября) 1917 (</w:t>
      </w:r>
      <w:r w:rsidRPr="002F2FDF">
        <w:rPr>
          <w:rFonts w:ascii="Times New Roman" w:hAnsi="Times New Roman" w:cs="Times New Roman"/>
          <w:iCs/>
          <w:color w:val="000000" w:themeColor="text1"/>
          <w:kern w:val="2"/>
          <w:sz w:val="16"/>
          <w:szCs w:val="16"/>
        </w:rPr>
        <w:t>хроника событий Октябрьской революции с 25 октября по 29 октября 1917 г. (по старому стилю), изложенную в газете "Петроградский листок" от 12 ноября 1917 г. Хроника эта интересна тем, что расписана по часам и сделана по горячим следам. Газета была настроена антибольшевистски):</w:t>
      </w:r>
    </w:p>
    <w:p w14:paraId="1525573C" w14:textId="77777777" w:rsidR="009B7C68" w:rsidRPr="002F2FDF" w:rsidRDefault="009B7C6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Вечер, 24-го октября</w:t>
      </w:r>
      <w:r w:rsidRPr="002F2FDF">
        <w:rPr>
          <w:rFonts w:ascii="Times New Roman" w:hAnsi="Times New Roman" w:cs="Times New Roman"/>
          <w:color w:val="000000" w:themeColor="text1"/>
          <w:kern w:val="2"/>
          <w:sz w:val="16"/>
          <w:szCs w:val="16"/>
        </w:rPr>
        <w:t>. Воззвание к населению Вр. Правительства за подписью заместителя мин.-председателя А. Коновалова. Назначение Н.М. Кишкина генер.-губерн. Петрограда. Вр. Прав. в Зимнем дворце</w:t>
      </w:r>
      <w:r w:rsidRPr="002F2FDF">
        <w:rPr>
          <w:rFonts w:ascii="Times New Roman" w:hAnsi="Times New Roman" w:cs="Times New Roman"/>
          <w:iCs/>
          <w:color w:val="000000" w:themeColor="text1"/>
          <w:kern w:val="2"/>
          <w:sz w:val="16"/>
          <w:szCs w:val="16"/>
        </w:rPr>
        <w:t xml:space="preserve"> (17030).</w:t>
      </w:r>
    </w:p>
    <w:p w14:paraId="54906359" w14:textId="77777777" w:rsidR="009B7C68" w:rsidRPr="002F2FDF" w:rsidRDefault="009B7C68" w:rsidP="0083075A">
      <w:pPr>
        <w:spacing w:after="0" w:line="240" w:lineRule="auto"/>
        <w:jc w:val="both"/>
        <w:rPr>
          <w:rFonts w:ascii="Times New Roman" w:hAnsi="Times New Roman" w:cs="Times New Roman"/>
          <w:color w:val="000000" w:themeColor="text1"/>
          <w:kern w:val="2"/>
          <w:sz w:val="16"/>
          <w:szCs w:val="16"/>
        </w:rPr>
      </w:pPr>
    </w:p>
    <w:p w14:paraId="42404345" w14:textId="0383C453" w:rsidR="00FC6555" w:rsidRPr="002F2FDF" w:rsidRDefault="00FC6555" w:rsidP="0083075A">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r w:rsidRPr="002F2FDF">
        <w:rPr>
          <w:rFonts w:ascii="Times New Roman" w:hAnsi="Times New Roman" w:cs="Times New Roman"/>
          <w:bCs/>
          <w:color w:val="000000" w:themeColor="text1"/>
          <w:kern w:val="2"/>
          <w:sz w:val="16"/>
          <w:szCs w:val="16"/>
        </w:rPr>
        <w:t xml:space="preserve">К 24 </w:t>
      </w:r>
      <w:r w:rsidR="00E52569">
        <w:rPr>
          <w:rStyle w:val="highlight"/>
          <w:rFonts w:ascii="Times New Roman" w:hAnsi="Times New Roman" w:cs="Times New Roman"/>
          <w:bCs/>
          <w:color w:val="000000" w:themeColor="text1"/>
          <w:kern w:val="2"/>
          <w:sz w:val="16"/>
          <w:szCs w:val="16"/>
        </w:rPr>
        <w:t xml:space="preserve"> </w:t>
      </w:r>
      <w:r w:rsidRPr="002F2FDF">
        <w:rPr>
          <w:rStyle w:val="highlight"/>
          <w:rFonts w:ascii="Times New Roman" w:hAnsi="Times New Roman" w:cs="Times New Roman"/>
          <w:bCs/>
          <w:color w:val="000000" w:themeColor="text1"/>
          <w:kern w:val="2"/>
          <w:sz w:val="16"/>
          <w:szCs w:val="16"/>
        </w:rPr>
        <w:t>октября</w:t>
      </w:r>
      <w:r w:rsidR="00E52569">
        <w:rPr>
          <w:rStyle w:val="highlight"/>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 xml:space="preserve"> (6 ноября) 1917 ВРК назначил своих комиссаров в 51 часть, а также на арсеналы, склады оружия, железнодорожные станции и заводы. Фактически уже к началу восстания левые силы установили военный контроль за столицей. Временное правительство было недееспособно и не смогло решительно ответить. Как впоследствии признал сам Троцкий, «вооруженное восстание совершилось в Петрограде в два приема: в первой половине </w:t>
      </w:r>
      <w:r w:rsidR="00E52569">
        <w:rPr>
          <w:rStyle w:val="highlight"/>
          <w:rFonts w:ascii="Times New Roman" w:hAnsi="Times New Roman" w:cs="Times New Roman"/>
          <w:bCs/>
          <w:color w:val="000000" w:themeColor="text1"/>
          <w:kern w:val="2"/>
          <w:sz w:val="16"/>
          <w:szCs w:val="16"/>
        </w:rPr>
        <w:t xml:space="preserve"> </w:t>
      </w:r>
      <w:r w:rsidRPr="002F2FDF">
        <w:rPr>
          <w:rStyle w:val="highlight"/>
          <w:rFonts w:ascii="Times New Roman" w:hAnsi="Times New Roman" w:cs="Times New Roman"/>
          <w:bCs/>
          <w:color w:val="000000" w:themeColor="text1"/>
          <w:kern w:val="2"/>
          <w:sz w:val="16"/>
          <w:szCs w:val="16"/>
        </w:rPr>
        <w:t>октября</w:t>
      </w:r>
      <w:r w:rsidR="00E52569">
        <w:rPr>
          <w:rStyle w:val="highlight"/>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 xml:space="preserve">, когда петроградские полки, подчиняясь постановлению Совета, вполне отвечавшему их собственным настроениям, безнаказанно отказались выполнить приказ главнокомандования, и 25 </w:t>
      </w:r>
      <w:r w:rsidR="00E52569">
        <w:rPr>
          <w:rStyle w:val="highlight"/>
          <w:rFonts w:ascii="Times New Roman" w:hAnsi="Times New Roman" w:cs="Times New Roman"/>
          <w:bCs/>
          <w:color w:val="000000" w:themeColor="text1"/>
          <w:kern w:val="2"/>
          <w:sz w:val="16"/>
          <w:szCs w:val="16"/>
        </w:rPr>
        <w:t xml:space="preserve"> </w:t>
      </w:r>
      <w:r w:rsidRPr="002F2FDF">
        <w:rPr>
          <w:rStyle w:val="highlight"/>
          <w:rFonts w:ascii="Times New Roman" w:hAnsi="Times New Roman" w:cs="Times New Roman"/>
          <w:bCs/>
          <w:color w:val="000000" w:themeColor="text1"/>
          <w:kern w:val="2"/>
          <w:sz w:val="16"/>
          <w:szCs w:val="16"/>
        </w:rPr>
        <w:t>октября</w:t>
      </w:r>
      <w:r w:rsidR="00E52569">
        <w:rPr>
          <w:rStyle w:val="highlight"/>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 когда понадобилось уже только небольшое дополнительное восстание, рассекавшее пуповину февральской государственности» (17031).</w:t>
      </w:r>
    </w:p>
    <w:p w14:paraId="36618429" w14:textId="77777777" w:rsidR="00FC6555" w:rsidRPr="002F2FDF" w:rsidRDefault="00FC655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17E76B" w14:textId="77777777" w:rsidR="009B7C68" w:rsidRPr="002F2FDF" w:rsidRDefault="009B7C6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октября (6 ноября) 1917 большевики начали брать власть. Методично, спокойно и без стрельбы. Не было никаких ухарских выходок. Никто не мог понять, что происходит, а когда поняли, все уже было кончено. В 5.00 правительство закрыло "Правду" и большевистские типографии, но через 2 часа они опять были под контролем революционеров. 16.00 - по приказу Керенского юнкера развели мосты и взяли их под охрану. 17.00 - матросы заняли телеграф. 18.00 - юнкера отбили телеграф и отрезали Смольный от внешнего мира. В Питер прибыли матросы из Кронштадта. 19.00 - солдаты и матросы взяли под контроль мосты. 22.00 - Ленин уходит в Смольный (12629).</w:t>
      </w:r>
    </w:p>
    <w:p w14:paraId="6E15DB7F" w14:textId="77777777" w:rsidR="009B7C68" w:rsidRPr="002F2FDF" w:rsidRDefault="009B7C6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9278FE" w14:textId="13F5D8EA" w:rsidR="000B3C99" w:rsidRPr="002F2FDF" w:rsidRDefault="000B3C9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24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октября</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(6 ноября) 1917 В.И.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Ленин</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писал членам ЦК партии: “Изо всех сил убеждаю товарищей, что теперь все висит на волоске, что на очереди стоят вопросы, которые не совещаниями решаются, не съездами (хотя бы даже съездами Советов), а исключительно народами, массой, борьбой вооруженных масс… Надо, во что бы то ни стало, сегодня вечером, сегодня ночью арестовать правительство, обезоружив (победив, если будут сопротивляться) юнкеров и т.д. Нельзя ждать! Можно потерять все!” И далее: “Правительство колеблется. Надо добить его во что бы то ни стало!</w:t>
      </w:r>
      <w:r w:rsidRPr="002F2FDF">
        <w:rPr>
          <w:rFonts w:ascii="Times New Roman" w:hAnsi="Times New Roman" w:cs="Times New Roman"/>
          <w:bCs/>
          <w:color w:val="000000" w:themeColor="text1"/>
          <w:kern w:val="2"/>
          <w:sz w:val="16"/>
          <w:szCs w:val="16"/>
        </w:rPr>
        <w:t xml:space="preserve"> Промедление в выступлении смерти подобно</w:t>
      </w:r>
      <w:r w:rsidRPr="002F2FDF">
        <w:rPr>
          <w:rFonts w:ascii="Times New Roman" w:hAnsi="Times New Roman" w:cs="Times New Roman"/>
          <w:color w:val="000000" w:themeColor="text1"/>
          <w:kern w:val="2"/>
          <w:sz w:val="16"/>
          <w:szCs w:val="16"/>
        </w:rPr>
        <w:t>” (17032).</w:t>
      </w:r>
    </w:p>
    <w:p w14:paraId="29388ACE" w14:textId="77777777" w:rsidR="000B3C99" w:rsidRPr="002F2FDF" w:rsidRDefault="000B3C9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31D534"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24 октября (6 ноября)</w:t>
      </w:r>
      <w:r w:rsidRPr="002F2FDF">
        <w:rPr>
          <w:rFonts w:ascii="Times New Roman" w:hAnsi="Times New Roman" w:cs="Times New Roman"/>
          <w:color w:val="000000" w:themeColor="text1"/>
          <w:kern w:val="2"/>
          <w:sz w:val="16"/>
          <w:szCs w:val="16"/>
        </w:rPr>
        <w:t xml:space="preserve"> в 1917 году Временное правительство приказывает опечатать типографии большевистских газет (14822).</w:t>
      </w:r>
    </w:p>
    <w:p w14:paraId="07CD19F7"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p>
    <w:p w14:paraId="6269C5C3"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24 октября (6 ноября)</w:t>
      </w:r>
      <w:r w:rsidRPr="002F2FDF">
        <w:rPr>
          <w:rFonts w:ascii="Times New Roman" w:hAnsi="Times New Roman" w:cs="Times New Roman"/>
          <w:color w:val="000000" w:themeColor="text1"/>
          <w:kern w:val="2"/>
          <w:sz w:val="16"/>
          <w:szCs w:val="16"/>
        </w:rPr>
        <w:t xml:space="preserve"> в 1917 году открытый разрыв Петроградского совета с Временным правительством. Захват Красной гвардией невских мостов, почт, телеграфов, вокзалов. Начало Октябрьского восстания в Петрограде. Временное правительство приказывает опечатать типографии большевистских газет. Последний предреволюционный день. Маргарита Фофанова, связная Ленина с ЦК, будет рассказывать, что Владимир Ильич в этот день посылал ее с записками несколько раз - требовал, убеждал, настаивал: надо начинать! После 6 часов вечера Ленин покинул свое последнее конспиративное убежище, оставив Фофановой записку: «...Ушел туда, куда вы не хотели, чтобы я уходил. До свидания. Ильич». Филолог Валериан Чудовский, который погибнет потом в 30-е в период репрессий, записывает в дневнике: »Петроград, 24 октября 1917 г. Господь да спасет Россию! Проклятый город опять охвачен мятежом. Темные улицы полны возбужденной толпой, все ждут великих событий, но событий не видно, - и это особенно страшно, ибо все знают, что то, чего не видно, все же свершается. В четвертый раз уличная чернь посягает на власть; в те разы мы видели вооруженные полчища, мы слышали пальбу, была борьба - на этот раз ничего такого и это страшно...» </w:t>
      </w:r>
      <w:r w:rsidR="00873E5B" w:rsidRPr="002F2FDF">
        <w:rPr>
          <w:rFonts w:ascii="Times New Roman" w:hAnsi="Times New Roman" w:cs="Times New Roman"/>
          <w:color w:val="000000" w:themeColor="text1"/>
          <w:kern w:val="2"/>
          <w:sz w:val="16"/>
          <w:szCs w:val="16"/>
        </w:rPr>
        <w:t>(17045).</w:t>
      </w:r>
    </w:p>
    <w:p w14:paraId="0ED4AA0D"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p>
    <w:p w14:paraId="0F8C70E5" w14:textId="77777777" w:rsidR="00873E5B" w:rsidRPr="002F2FDF" w:rsidRDefault="00873E5B" w:rsidP="0083075A">
      <w:pPr>
        <w:pStyle w:val="ae"/>
        <w:spacing w:before="0" w:after="0"/>
        <w:jc w:val="both"/>
        <w:rPr>
          <w:color w:val="000000" w:themeColor="text1"/>
          <w:kern w:val="2"/>
          <w:sz w:val="16"/>
          <w:szCs w:val="16"/>
        </w:rPr>
      </w:pPr>
      <w:r w:rsidRPr="002F2FDF">
        <w:rPr>
          <w:color w:val="000000" w:themeColor="text1"/>
          <w:kern w:val="2"/>
          <w:sz w:val="16"/>
          <w:szCs w:val="16"/>
        </w:rPr>
        <w:t>24 октября (6 ноября) 1917 началась открытая вооруженная борьба между Военно-революционным комитетом (ВРК), который контролировали большевики и левые эсеры, и Временным правительством. Временное правительство издало распоряжение об аресте тиража большевистской газеты «Рабочий путь» (очередное новое название ранее закрытой «Правды»), печатавшегося в типографии «Труд». Туда направились милиционеры и юнкера и начали арестовывать тираж. Узнав об этом, руководители ВРК, созданного формально для защиты Петрограда от немцев и новых «корниловцев», связались с отрядами Красной гвардии и комитетами воинских частей. «Петроградскому Совету грозит прямая опасность, — говорилось в обращении ВРК, — ночью контрреволюционные заговорщики пытались вызвать из окрестностей юнкеров и ударные батальоны в Петроград. Газеты «Солдат» и «Рабочий путь» закрыты. Настоящим предписывается привести полк в боевую готовность. Ждите дальнейших распоряжений. Всякое промедление и замешательство будет рассматриваться как измена революции» (17045).</w:t>
      </w:r>
    </w:p>
    <w:p w14:paraId="19D3AF33" w14:textId="77777777" w:rsidR="00873E5B" w:rsidRPr="002F2FDF" w:rsidRDefault="00873E5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F4FF3B" w14:textId="77777777" w:rsidR="00873E5B" w:rsidRPr="002F2FDF" w:rsidRDefault="00873E5B" w:rsidP="0083075A">
      <w:pPr>
        <w:pStyle w:val="ae"/>
        <w:spacing w:before="0" w:after="0"/>
        <w:jc w:val="both"/>
        <w:rPr>
          <w:color w:val="000000" w:themeColor="text1"/>
          <w:kern w:val="2"/>
          <w:sz w:val="16"/>
          <w:szCs w:val="16"/>
        </w:rPr>
      </w:pPr>
      <w:r w:rsidRPr="002F2FDF">
        <w:rPr>
          <w:color w:val="000000" w:themeColor="text1"/>
          <w:kern w:val="2"/>
          <w:sz w:val="16"/>
          <w:szCs w:val="16"/>
        </w:rPr>
        <w:t>24 октября (6 ноября) 1917 Временное правительство также решило усилить собственную охрану, но для защиты Зимнего дворца в течение суток удалось привлечь лишь около 100 инвалидов войны из числа георгиевских кавалеров (многие, включая командира отряда, на протезах), юнкеров-артиллеристов и роту ударного женского батальона. К этому времени уже состоялось заседание ЦК РСДРП(б), на котором было принято решение о начале вооруженного выступления.</w:t>
      </w:r>
    </w:p>
    <w:p w14:paraId="19F0741F" w14:textId="77777777" w:rsidR="00873E5B" w:rsidRPr="002F2FDF" w:rsidRDefault="00873E5B" w:rsidP="0083075A">
      <w:pPr>
        <w:pStyle w:val="ae"/>
        <w:spacing w:before="0" w:after="0"/>
        <w:jc w:val="both"/>
        <w:rPr>
          <w:color w:val="000000" w:themeColor="text1"/>
          <w:kern w:val="2"/>
          <w:sz w:val="16"/>
          <w:szCs w:val="16"/>
        </w:rPr>
      </w:pPr>
      <w:r w:rsidRPr="002F2FDF">
        <w:rPr>
          <w:color w:val="000000" w:themeColor="text1"/>
          <w:kern w:val="2"/>
          <w:sz w:val="16"/>
          <w:szCs w:val="16"/>
        </w:rPr>
        <w:t>Керенский, в свою очередь, отправился за поддержкой на проходившее в тот же день заседание Временного совета Российской республики (он же — Предпарламент, совещательный орган при Временном правительстве, созданный ранее на Демократическом совещании 3 октября взамен распущенной Государственной думы. — РП), попросив его о поддержке. Но Предпарламент отказался предоставить Керенскому чрезвычайные полномочия для подавления начинающегося восстания, приняв резолюцию с критикой действий Временного правительства.</w:t>
      </w:r>
    </w:p>
    <w:p w14:paraId="38A37C24" w14:textId="77777777" w:rsidR="00873E5B" w:rsidRPr="002F2FDF" w:rsidRDefault="00873E5B" w:rsidP="0083075A">
      <w:pPr>
        <w:pStyle w:val="ae"/>
        <w:spacing w:before="0" w:after="0"/>
        <w:jc w:val="both"/>
        <w:rPr>
          <w:color w:val="000000" w:themeColor="text1"/>
          <w:kern w:val="2"/>
          <w:sz w:val="16"/>
          <w:szCs w:val="16"/>
        </w:rPr>
      </w:pPr>
      <w:r w:rsidRPr="002F2FDF">
        <w:rPr>
          <w:color w:val="000000" w:themeColor="text1"/>
          <w:kern w:val="2"/>
          <w:sz w:val="16"/>
          <w:szCs w:val="16"/>
        </w:rPr>
        <w:t>ВРК тогда обратился с воззванием «К населению Петрограда», в котором говорилось, что Петросовет взял на себя «охрану революционного порядка от покушений контрреволюционных погромщиков».</w:t>
      </w:r>
    </w:p>
    <w:p w14:paraId="72DE315D" w14:textId="77777777" w:rsidR="00873E5B" w:rsidRPr="002F2FDF" w:rsidRDefault="00873E5B" w:rsidP="0083075A">
      <w:pPr>
        <w:pStyle w:val="ae"/>
        <w:spacing w:before="0" w:after="0"/>
        <w:jc w:val="both"/>
        <w:rPr>
          <w:color w:val="000000" w:themeColor="text1"/>
          <w:kern w:val="2"/>
          <w:sz w:val="16"/>
          <w:szCs w:val="16"/>
        </w:rPr>
      </w:pPr>
      <w:r w:rsidRPr="002F2FDF">
        <w:rPr>
          <w:color w:val="000000" w:themeColor="text1"/>
          <w:kern w:val="2"/>
          <w:sz w:val="16"/>
          <w:szCs w:val="16"/>
        </w:rPr>
        <w:t>Временное правительство, в свою очередь, распорядилось развести мосты через Неву, чтобы отрезать красногвардейцев в северной половине города от Зимнего дворца. Но посланным исполнять приказ юнкерам удалось развести только не самый важный Николаевский мост (на Васильевский остров) и некоторое время удерживать Дворцовый (рядом с Зимним дворцом), а уже на Литейном мосту их встретили и разоружили красногвардейцы. Также поздним вечером отряды красногвардейцев начали брать под контроль вокзалы (последний, Варшавский, был занят к 8 утра 7 ноября).</w:t>
      </w:r>
    </w:p>
    <w:p w14:paraId="5118B724" w14:textId="77777777" w:rsidR="00873E5B" w:rsidRPr="002F2FDF" w:rsidRDefault="00873E5B" w:rsidP="0083075A">
      <w:pPr>
        <w:pStyle w:val="ae"/>
        <w:spacing w:before="0" w:after="0"/>
        <w:jc w:val="both"/>
        <w:rPr>
          <w:color w:val="000000" w:themeColor="text1"/>
          <w:kern w:val="2"/>
          <w:sz w:val="16"/>
          <w:szCs w:val="16"/>
        </w:rPr>
      </w:pPr>
      <w:r w:rsidRPr="002F2FDF">
        <w:rPr>
          <w:color w:val="000000" w:themeColor="text1"/>
          <w:kern w:val="2"/>
          <w:sz w:val="16"/>
          <w:szCs w:val="16"/>
        </w:rPr>
        <w:t>Около полуночи лидер большевиков Владимир Ленин покинул конспиративную квартиру и прибыл в Смольный. Несмотря на численный перевес красногвардейцев, Ленин опасался быть случайно узнанным по дороге кем-нибудь из сторонников Временного правительства и изменил внешность, сбрив бороду и усы (17045).</w:t>
      </w:r>
    </w:p>
    <w:p w14:paraId="3C36D1BF" w14:textId="77777777" w:rsidR="00873E5B" w:rsidRPr="002F2FDF" w:rsidRDefault="00873E5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1954EB" w14:textId="77777777" w:rsidR="009B7C68" w:rsidRPr="002F2FDF" w:rsidRDefault="009B7C6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ночь с 24 на 25 октября (с 6 на 7 ноября) 1917 были заняты все важнейшие пункты города. В.И.Л. пришел в Смольный для участия во 2-м съезде Советов. Министры собрались в Зимнем. А.Керенский отбыл в Гатчину за подкреплениями (3908,267).</w:t>
      </w:r>
    </w:p>
    <w:p w14:paraId="4CDB8E9E" w14:textId="77777777" w:rsidR="009B7C68" w:rsidRPr="002F2FDF" w:rsidRDefault="009B7C6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FB15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октября (6 ноября) 1917 А.Керенский издал приказ о расследовании деятельности ВРК. Временное правительство вызвало в Петроград военные подкрепления. Большевики не дали правительственным войскам развести мосты (3908,266).</w:t>
      </w:r>
    </w:p>
    <w:p w14:paraId="447B2B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4FC3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октября (6 ноября) 1917 произошел открытый разрыв Петросовета с Временным правительством и началось восстание (1348,87).</w:t>
      </w:r>
    </w:p>
    <w:p w14:paraId="4317D1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распоряжению ВП юнкера заняли типографию большевистской газеты Рабочий путь и Л.Д.Т., возглавлявший ВРК Петросовета, приказал их выбить. Заодно заняли и телеграф, почту, вокзалы, другие стратегические объекты (3186).</w:t>
      </w:r>
    </w:p>
    <w:p w14:paraId="03C5C0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3D32BD" w14:textId="38546543" w:rsidR="007B10CD" w:rsidRPr="00FB4F67" w:rsidRDefault="007B10CD"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24 октября (</w:t>
      </w:r>
      <w:r w:rsidRPr="00FB4F67">
        <w:rPr>
          <w:rFonts w:ascii="Times New Roman" w:hAnsi="Times New Roman" w:cs="Times New Roman"/>
          <w:color w:val="0070C0"/>
          <w:sz w:val="16"/>
          <w:szCs w:val="16"/>
        </w:rPr>
        <w:t>6 ноября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Петрограде Александр Керенский потерпел неудачу в попытке возбудить уголовное дело против большевистского ВРК. Правительство отказалось поддержать его и вынесло вотум недоверия (23525).</w:t>
      </w:r>
    </w:p>
    <w:p w14:paraId="49D05872" w14:textId="77777777" w:rsidR="007B10CD" w:rsidRPr="00FB4F67" w:rsidRDefault="007B10CD" w:rsidP="0083075A">
      <w:pPr>
        <w:spacing w:after="0" w:line="240" w:lineRule="auto"/>
        <w:jc w:val="both"/>
        <w:rPr>
          <w:rFonts w:ascii="Times New Roman" w:hAnsi="Times New Roman" w:cs="Times New Roman"/>
          <w:color w:val="0070C0"/>
          <w:sz w:val="16"/>
          <w:szCs w:val="16"/>
        </w:rPr>
      </w:pPr>
    </w:p>
    <w:p w14:paraId="546C6C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октября (6 ноября) 1917 Радиостанция крейсера “Аврора” была использована для передачи основных распоряжений Военно-революционного комитета в революционные гарнизоны, охранявшие Петроград (11072).</w:t>
      </w:r>
    </w:p>
    <w:p w14:paraId="5E9BA3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E02D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октября (6 ноября) 1917 появился приказ о закрытии большевистской типографии (3481).</w:t>
      </w:r>
    </w:p>
    <w:p w14:paraId="1A31F6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BF27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октября (6 ноября) 1917 началось вооруженное восстание в Петрограде и к вечеру 25 остался только Зимний (66,13).</w:t>
      </w:r>
    </w:p>
    <w:p w14:paraId="055912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1D6F1F"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24 октября (6 ноября) </w:t>
      </w:r>
      <w:r w:rsidRPr="002F2FDF">
        <w:rPr>
          <w:rFonts w:ascii="Times New Roman" w:hAnsi="Times New Roman" w:cs="Times New Roman"/>
          <w:color w:val="000000" w:themeColor="text1"/>
          <w:kern w:val="2"/>
          <w:sz w:val="16"/>
          <w:szCs w:val="16"/>
        </w:rPr>
        <w:t>в 1917 году из Гельсингфорса Центральный Комитет Балтийского флота (Центробалт) по радиотелеграфу передал распоряжение крейсеру «Аврора» и другим кораблям и морским частям, расположенным в Петрограде, о полном подчинении Военно-революционному комитету (ВРК). Днем радиостанция крейсера «Аврора» передала приказ ВРК вооруженным силам революции, охранявшим подступы к Петрограду, находиться в полной боевой готовности и не допускать в город ни одной воинской части, не выяснив ее отношения к происходящим событиям (14809).</w:t>
      </w:r>
    </w:p>
    <w:p w14:paraId="153CE49C"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p>
    <w:p w14:paraId="5C1B012C"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24 октября (6 ноября) </w:t>
      </w:r>
      <w:r w:rsidRPr="002F2FDF">
        <w:rPr>
          <w:rFonts w:ascii="Times New Roman" w:hAnsi="Times New Roman" w:cs="Times New Roman"/>
          <w:color w:val="000000" w:themeColor="text1"/>
          <w:kern w:val="2"/>
          <w:sz w:val="16"/>
          <w:szCs w:val="16"/>
        </w:rPr>
        <w:t>в 1917 году лидеры большевиков Зиновьев и Каменев направляют во все инстанции письмо «К текущему моменту», в котором раскрывают планы Ленина по вооруженному восстанию (14809).</w:t>
      </w:r>
    </w:p>
    <w:p w14:paraId="1308E049" w14:textId="77777777" w:rsidR="00373D7A" w:rsidRPr="002F2FDF" w:rsidRDefault="00373D7A" w:rsidP="0083075A">
      <w:pPr>
        <w:spacing w:after="0" w:line="240" w:lineRule="auto"/>
        <w:jc w:val="both"/>
        <w:rPr>
          <w:rFonts w:ascii="Times New Roman" w:hAnsi="Times New Roman" w:cs="Times New Roman"/>
          <w:color w:val="000000" w:themeColor="text1"/>
          <w:kern w:val="2"/>
          <w:sz w:val="16"/>
          <w:szCs w:val="16"/>
        </w:rPr>
      </w:pPr>
    </w:p>
    <w:p w14:paraId="56910831"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24 октября (6 ноября) </w:t>
      </w:r>
      <w:r w:rsidRPr="002F2FDF">
        <w:rPr>
          <w:rFonts w:ascii="Times New Roman" w:hAnsi="Times New Roman" w:cs="Times New Roman"/>
          <w:color w:val="000000" w:themeColor="text1"/>
          <w:kern w:val="2"/>
          <w:sz w:val="16"/>
          <w:szCs w:val="16"/>
        </w:rPr>
        <w:t>в 1917 году под давлением матросов Временное правительство освобождает лидера кронштадтских большевиков матроса Федорa Раскольникова (14809).</w:t>
      </w:r>
    </w:p>
    <w:p w14:paraId="14F41812"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p>
    <w:p w14:paraId="734C1CF7"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24 октября (6 ноября) </w:t>
      </w:r>
      <w:r w:rsidRPr="002F2FDF">
        <w:rPr>
          <w:rFonts w:ascii="Times New Roman" w:hAnsi="Times New Roman" w:cs="Times New Roman"/>
          <w:color w:val="000000" w:themeColor="text1"/>
          <w:kern w:val="2"/>
          <w:sz w:val="16"/>
          <w:szCs w:val="16"/>
        </w:rPr>
        <w:t>в 1917 году приступает к работе "Особая комиссия по составлению проекта основных государственных законов", по которому Россия должна была стать республикой с двухпалатным парламентом, подчиненным президенту с годовым сроком правления (14809).</w:t>
      </w:r>
    </w:p>
    <w:p w14:paraId="4A0012EF"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p>
    <w:p w14:paraId="7FE3478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D3C8E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40A4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октября (6 ноября) 1917 в сражении близ Карпоретто австро-венгерские войска одержали победу над итальянской армией. Продвинулись к р. Пьяве, угрожая Венеции (3186).</w:t>
      </w:r>
    </w:p>
    <w:p w14:paraId="7604C5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238842"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24 октября (6 ноября)</w:t>
      </w:r>
      <w:r w:rsidRPr="002F2FDF">
        <w:rPr>
          <w:rFonts w:ascii="Times New Roman" w:hAnsi="Times New Roman" w:cs="Times New Roman"/>
          <w:color w:val="000000" w:themeColor="text1"/>
          <w:kern w:val="2"/>
          <w:sz w:val="16"/>
          <w:szCs w:val="16"/>
        </w:rPr>
        <w:t xml:space="preserve"> в 1917 году на Западном фронте канадские и британские войска занимают Пасхендале в Северо-Западной Бельгии (14822).</w:t>
      </w:r>
    </w:p>
    <w:p w14:paraId="5E2F0B4A"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p>
    <w:p w14:paraId="4DD10261" w14:textId="77777777" w:rsidR="00826055" w:rsidRPr="002F2FDF" w:rsidRDefault="00826055" w:rsidP="0083075A">
      <w:pPr>
        <w:pStyle w:val="ae"/>
        <w:spacing w:before="0" w:after="0"/>
        <w:jc w:val="both"/>
        <w:rPr>
          <w:color w:val="000000" w:themeColor="text1"/>
          <w:kern w:val="2"/>
          <w:sz w:val="16"/>
          <w:szCs w:val="16"/>
        </w:rPr>
      </w:pPr>
      <w:r w:rsidRPr="002F2FDF">
        <w:rPr>
          <w:bCs/>
          <w:color w:val="000000" w:themeColor="text1"/>
          <w:kern w:val="2"/>
          <w:sz w:val="16"/>
          <w:szCs w:val="16"/>
        </w:rPr>
        <w:t>24 октября (6 ноября)</w:t>
      </w:r>
      <w:r w:rsidRPr="002F2FDF">
        <w:rPr>
          <w:color w:val="000000" w:themeColor="text1"/>
          <w:kern w:val="2"/>
          <w:sz w:val="16"/>
          <w:szCs w:val="16"/>
        </w:rPr>
        <w:t xml:space="preserve"> в 1917 году канадские и британские части провели последнюю атаку на деревню Пашендейль (фламандский вариант Пассендале) в окрестностях города Ипр на западе Бельгии. Всего за 3 часа им удалось занять оставшиеся от нее руины. 10 ноября канадцы отбили у немцев и господствующую высоту чуть к северу от деревни. На этом наступательная операция союзников, продолжавшаяся с июля, и вошедшая в историю как Битва при Пашендейле, была звершена. При этом союзникам так и не удалось достичь главной цели — захвата побережья Бельгии, что лишило бы германские подводные лодки баз снабжения.</w:t>
      </w:r>
    </w:p>
    <w:p w14:paraId="66551DAD" w14:textId="77777777" w:rsidR="00826055" w:rsidRPr="002F2FDF" w:rsidRDefault="00826055" w:rsidP="0083075A">
      <w:pPr>
        <w:pStyle w:val="ae"/>
        <w:spacing w:before="0" w:after="0"/>
        <w:jc w:val="both"/>
        <w:rPr>
          <w:color w:val="000000" w:themeColor="text1"/>
          <w:kern w:val="2"/>
          <w:sz w:val="16"/>
          <w:szCs w:val="16"/>
        </w:rPr>
      </w:pPr>
      <w:r w:rsidRPr="002F2FDF">
        <w:rPr>
          <w:color w:val="000000" w:themeColor="text1"/>
          <w:kern w:val="2"/>
          <w:sz w:val="16"/>
          <w:szCs w:val="16"/>
        </w:rPr>
        <w:t>Битва при Пашендейле стала не только одним из самых кровопролитных сражений Первой мировой войны (союзники за 4 месяца потеряли убитыми, ранеными и пленными 509 тысяч человек, немцы — более 348 тысяч), но и символом тягот и страданий войны. В те дни почти все время шли проливные дожди, превращавшие поле боя при постоянных артобстрелах в непролазную трясину, в которой гибли многие солдаты (17045).</w:t>
      </w:r>
    </w:p>
    <w:p w14:paraId="6A6058E7" w14:textId="77777777" w:rsidR="00826055" w:rsidRPr="002F2FDF" w:rsidRDefault="0082605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3F74B5" w14:textId="77777777" w:rsidR="00826055" w:rsidRPr="002F2FDF" w:rsidRDefault="00826055" w:rsidP="0083075A">
      <w:pPr>
        <w:pStyle w:val="ae"/>
        <w:spacing w:before="0" w:after="0"/>
        <w:jc w:val="both"/>
        <w:rPr>
          <w:color w:val="000000" w:themeColor="text1"/>
          <w:kern w:val="2"/>
          <w:sz w:val="16"/>
          <w:szCs w:val="16"/>
        </w:rPr>
      </w:pPr>
      <w:r w:rsidRPr="002F2FDF">
        <w:rPr>
          <w:color w:val="000000" w:themeColor="text1"/>
          <w:kern w:val="2"/>
          <w:sz w:val="16"/>
          <w:szCs w:val="16"/>
        </w:rPr>
        <w:t>В период с 24 по 30 октября (6 по 12 ноября) 1917 немецкие подводные лодки затопили 26 судов стран Антанты и нейтральных государств (17045).</w:t>
      </w:r>
    </w:p>
    <w:p w14:paraId="566CEE9D" w14:textId="77777777" w:rsidR="00826055" w:rsidRPr="002F2FDF" w:rsidRDefault="0082605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0AD2F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64CA7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CD20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октября (7 ноября) 1917 обломки аэроплана Малютка, который разбился 24 октября 1917, прибуксировали к берегу и извлекли из воды и в ноябре отправили в столицу, где они и сгинули (2843).</w:t>
      </w:r>
    </w:p>
    <w:p w14:paraId="196223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F61C6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0ABCB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4EFC87" w14:textId="77777777" w:rsidR="00C90ABE" w:rsidRDefault="00C90ABE"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25 октября (7 ноября) 1917 </w:t>
      </w:r>
    </w:p>
    <w:p w14:paraId="69A0FC16" w14:textId="3EA3F732"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Участие в Октябрьской революции рабочих коллекти</w:t>
      </w:r>
      <w:r w:rsidRPr="002F2FDF">
        <w:rPr>
          <w:rFonts w:ascii="Times New Roman" w:hAnsi="Times New Roman" w:cs="Times New Roman"/>
          <w:color w:val="000000" w:themeColor="text1"/>
          <w:kern w:val="2"/>
          <w:sz w:val="16"/>
          <w:szCs w:val="16"/>
        </w:rPr>
        <w:softHyphen/>
        <w:t>вов боеприпасных предприятий, сосредоточенных в Петрограде, Москве, Самаре, Перми, Туле, Казани, на Урале, в Донбассе и дру</w:t>
      </w:r>
      <w:r w:rsidRPr="002F2FDF">
        <w:rPr>
          <w:rFonts w:ascii="Times New Roman" w:hAnsi="Times New Roman" w:cs="Times New Roman"/>
          <w:color w:val="000000" w:themeColor="text1"/>
          <w:kern w:val="2"/>
          <w:sz w:val="16"/>
          <w:szCs w:val="16"/>
        </w:rPr>
        <w:softHyphen/>
        <w:t>гих промышленных центрах страны, было одной из важных предпо</w:t>
      </w:r>
      <w:r w:rsidRPr="002F2FDF">
        <w:rPr>
          <w:rFonts w:ascii="Times New Roman" w:hAnsi="Times New Roman" w:cs="Times New Roman"/>
          <w:color w:val="000000" w:themeColor="text1"/>
          <w:kern w:val="2"/>
          <w:sz w:val="16"/>
          <w:szCs w:val="16"/>
        </w:rPr>
        <w:softHyphen/>
        <w:t>сылок ее победы.</w:t>
      </w:r>
    </w:p>
    <w:p w14:paraId="5FF3CDC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Большой удельный вес в промышленности России — 22 % по объему продукции и 12 % по числу рабочих — занимала в канун Октябрьской революции промышленность Петрограда. Она отлича</w:t>
      </w:r>
      <w:r w:rsidRPr="002F2FDF">
        <w:rPr>
          <w:rFonts w:ascii="Times New Roman" w:hAnsi="Times New Roman" w:cs="Times New Roman"/>
          <w:color w:val="000000" w:themeColor="text1"/>
          <w:kern w:val="2"/>
          <w:sz w:val="16"/>
          <w:szCs w:val="16"/>
        </w:rPr>
        <w:softHyphen/>
        <w:t>лась чрезвычайно высокой степенью концентрации. Более 90 % объ</w:t>
      </w:r>
      <w:r w:rsidRPr="002F2FDF">
        <w:rPr>
          <w:rFonts w:ascii="Times New Roman" w:hAnsi="Times New Roman" w:cs="Times New Roman"/>
          <w:color w:val="000000" w:themeColor="text1"/>
          <w:kern w:val="2"/>
          <w:sz w:val="16"/>
          <w:szCs w:val="16"/>
        </w:rPr>
        <w:softHyphen/>
        <w:t>ема продукции выпускали 79 предприятий-гигантов с числен</w:t>
      </w:r>
      <w:r w:rsidRPr="002F2FDF">
        <w:rPr>
          <w:rFonts w:ascii="Times New Roman" w:hAnsi="Times New Roman" w:cs="Times New Roman"/>
          <w:color w:val="000000" w:themeColor="text1"/>
          <w:kern w:val="2"/>
          <w:sz w:val="16"/>
          <w:szCs w:val="16"/>
        </w:rPr>
        <w:softHyphen/>
        <w:t>ностью рабочих более 1000 человек на каждом. В их число входили многие казенные заводы артиллерийского ведомства, в том числе и боеприпасные. Так, например, в первой половине 1917 г. на Путиловском заводе работало более 27 тыс. рабочих, на Петроград</w:t>
      </w:r>
      <w:r w:rsidRPr="002F2FDF">
        <w:rPr>
          <w:rFonts w:ascii="Times New Roman" w:hAnsi="Times New Roman" w:cs="Times New Roman"/>
          <w:color w:val="000000" w:themeColor="text1"/>
          <w:kern w:val="2"/>
          <w:sz w:val="16"/>
          <w:szCs w:val="16"/>
        </w:rPr>
        <w:softHyphen/>
        <w:t>ском трубочном — 19 тыс., на Петроградском патронном — более 12 тыс., на Охтинском заводе взрывчатых веществ — 10 200 чел., на Охтинском пороховом — 5,5 тыс. Более 5 тыс. рабочих было на тру</w:t>
      </w:r>
      <w:r w:rsidRPr="002F2FDF">
        <w:rPr>
          <w:rFonts w:ascii="Times New Roman" w:hAnsi="Times New Roman" w:cs="Times New Roman"/>
          <w:color w:val="000000" w:themeColor="text1"/>
          <w:kern w:val="2"/>
          <w:sz w:val="16"/>
          <w:szCs w:val="16"/>
        </w:rPr>
        <w:softHyphen/>
        <w:t>бочном и гильзовом заводах акционерного общества П. В. Баранов</w:t>
      </w:r>
      <w:r w:rsidRPr="002F2FDF">
        <w:rPr>
          <w:rFonts w:ascii="Times New Roman" w:hAnsi="Times New Roman" w:cs="Times New Roman"/>
          <w:color w:val="000000" w:themeColor="text1"/>
          <w:kern w:val="2"/>
          <w:sz w:val="16"/>
          <w:szCs w:val="16"/>
        </w:rPr>
        <w:softHyphen/>
        <w:t>ского, на заводе Русского общества по изготовлению снарядов (бывший “Парвиайнен”) и др. [34, с. 400—402].</w:t>
      </w:r>
    </w:p>
    <w:p w14:paraId="272A39D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2,5 года войны в три раза возросло число рабочих в химиче</w:t>
      </w:r>
      <w:r w:rsidRPr="002F2FDF">
        <w:rPr>
          <w:rFonts w:ascii="Times New Roman" w:hAnsi="Times New Roman" w:cs="Times New Roman"/>
          <w:color w:val="000000" w:themeColor="text1"/>
          <w:kern w:val="2"/>
          <w:sz w:val="16"/>
          <w:szCs w:val="16"/>
        </w:rPr>
        <w:softHyphen/>
        <w:t>ской промышленности Петрограда. Однако увеличили выпуск про</w:t>
      </w:r>
      <w:r w:rsidRPr="002F2FDF">
        <w:rPr>
          <w:rFonts w:ascii="Times New Roman" w:hAnsi="Times New Roman" w:cs="Times New Roman"/>
          <w:color w:val="000000" w:themeColor="text1"/>
          <w:kern w:val="2"/>
          <w:sz w:val="16"/>
          <w:szCs w:val="16"/>
        </w:rPr>
        <w:softHyphen/>
        <w:t>дукции лишь те предприятия, которые были связаны с работой на оборону. Это были прежде всего заводы, изготовлявшие порох и взрывчатые вещества. В мае 1917 г. Охтинскому казенному заводу взрывчатых веществ на увеличение выпуска продукции было отпуще</w:t>
      </w:r>
      <w:r w:rsidRPr="002F2FDF">
        <w:rPr>
          <w:rFonts w:ascii="Times New Roman" w:hAnsi="Times New Roman" w:cs="Times New Roman"/>
          <w:color w:val="000000" w:themeColor="text1"/>
          <w:kern w:val="2"/>
          <w:sz w:val="16"/>
          <w:szCs w:val="16"/>
        </w:rPr>
        <w:softHyphen/>
        <w:t>но около 2 млн руб. В первой половине 1917 г. на Охтинском порохо</w:t>
      </w:r>
      <w:r w:rsidRPr="002F2FDF">
        <w:rPr>
          <w:rFonts w:ascii="Times New Roman" w:hAnsi="Times New Roman" w:cs="Times New Roman"/>
          <w:color w:val="000000" w:themeColor="text1"/>
          <w:kern w:val="2"/>
          <w:sz w:val="16"/>
          <w:szCs w:val="16"/>
        </w:rPr>
        <w:softHyphen/>
        <w:t>вом заводе было построено новое производство серной кислоты, а выпуск пороха был доведен до 750 пудов в сутки.</w:t>
      </w:r>
    </w:p>
    <w:p w14:paraId="19F8B7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Русское общество для выделки и продажи пороха увеличило чис</w:t>
      </w:r>
      <w:r w:rsidRPr="002F2FDF">
        <w:rPr>
          <w:rFonts w:ascii="Times New Roman" w:hAnsi="Times New Roman" w:cs="Times New Roman"/>
          <w:color w:val="000000" w:themeColor="text1"/>
          <w:kern w:val="2"/>
          <w:sz w:val="16"/>
          <w:szCs w:val="16"/>
        </w:rPr>
        <w:softHyphen/>
        <w:t>ло рабочих на своем заводе в Шлиссельбурге до 1300 человек, поро</w:t>
      </w:r>
      <w:r w:rsidRPr="002F2FDF">
        <w:rPr>
          <w:rFonts w:ascii="Times New Roman" w:hAnsi="Times New Roman" w:cs="Times New Roman"/>
          <w:color w:val="000000" w:themeColor="text1"/>
          <w:kern w:val="2"/>
          <w:sz w:val="16"/>
          <w:szCs w:val="16"/>
        </w:rPr>
        <w:softHyphen/>
        <w:t>ховой завод Акционерного общества Б. Винера — до 1120 человек [34, с. 410].</w:t>
      </w:r>
    </w:p>
    <w:p w14:paraId="759DF86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Промышленность Петрограда в рассматриваемое время играла решающую роль в выпуске военной продукции. Достаточно отме</w:t>
      </w:r>
      <w:r w:rsidRPr="002F2FDF">
        <w:rPr>
          <w:rFonts w:ascii="Times New Roman" w:hAnsi="Times New Roman" w:cs="Times New Roman"/>
          <w:color w:val="000000" w:themeColor="text1"/>
          <w:kern w:val="2"/>
          <w:sz w:val="16"/>
          <w:szCs w:val="16"/>
        </w:rPr>
        <w:softHyphen/>
        <w:t>тить, что по снабжению боеприпасами Петроград с его ближайшими окрестностями занимал первое место, поставляя не менее 60 % их общего количества [21, с. 164; 34, с. 400].</w:t>
      </w:r>
    </w:p>
    <w:p w14:paraId="484EFD3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Подавляющая часть промышленности Петрограда, насчитывав</w:t>
      </w:r>
      <w:r w:rsidRPr="002F2FDF">
        <w:rPr>
          <w:rFonts w:ascii="Times New Roman" w:hAnsi="Times New Roman" w:cs="Times New Roman"/>
          <w:color w:val="000000" w:themeColor="text1"/>
          <w:kern w:val="2"/>
          <w:sz w:val="16"/>
          <w:szCs w:val="16"/>
        </w:rPr>
        <w:softHyphen/>
        <w:t>шей к этому времени более 1000 фабрично-заводских предприятий с 392,8 тыс. рабочих, а с ближайшими окрестностями — 417 тыс. ра</w:t>
      </w:r>
      <w:r w:rsidRPr="002F2FDF">
        <w:rPr>
          <w:rFonts w:ascii="Times New Roman" w:hAnsi="Times New Roman" w:cs="Times New Roman"/>
          <w:color w:val="000000" w:themeColor="text1"/>
          <w:kern w:val="2"/>
          <w:sz w:val="16"/>
          <w:szCs w:val="16"/>
        </w:rPr>
        <w:softHyphen/>
        <w:t>бочих, была занята выполнением военных заказов. Изготовлением 3-дюймовых снарядов, которое было очень выгодным, стали зани</w:t>
      </w:r>
      <w:r w:rsidRPr="002F2FDF">
        <w:rPr>
          <w:rFonts w:ascii="Times New Roman" w:hAnsi="Times New Roman" w:cs="Times New Roman"/>
          <w:color w:val="000000" w:themeColor="text1"/>
          <w:kern w:val="2"/>
          <w:sz w:val="16"/>
          <w:szCs w:val="16"/>
        </w:rPr>
        <w:softHyphen/>
        <w:t>маться текстильные, табачные и даже шоколадные фабрики. Борьбу за получение заказов на 3-дюймовые артиллерийские снаряды на</w:t>
      </w:r>
      <w:r w:rsidRPr="002F2FDF">
        <w:rPr>
          <w:rFonts w:ascii="Times New Roman" w:hAnsi="Times New Roman" w:cs="Times New Roman"/>
          <w:color w:val="000000" w:themeColor="text1"/>
          <w:kern w:val="2"/>
          <w:sz w:val="16"/>
          <w:szCs w:val="16"/>
        </w:rPr>
        <w:softHyphen/>
        <w:t>чальник ГАУ генерал А. А. Маниковский назвал “отвратительной вакханалией” [31, 34].</w:t>
      </w:r>
    </w:p>
    <w:p w14:paraId="19557F4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Рабочие военных, в частности боеприпасных, заводов Петрогра</w:t>
      </w:r>
      <w:r w:rsidRPr="002F2FDF">
        <w:rPr>
          <w:rFonts w:ascii="Times New Roman" w:hAnsi="Times New Roman" w:cs="Times New Roman"/>
          <w:color w:val="000000" w:themeColor="text1"/>
          <w:kern w:val="2"/>
          <w:sz w:val="16"/>
          <w:szCs w:val="16"/>
        </w:rPr>
        <w:softHyphen/>
        <w:t>да были одним из крупнейших отрядов пролетариата столицы, сы</w:t>
      </w:r>
      <w:r w:rsidRPr="002F2FDF">
        <w:rPr>
          <w:rFonts w:ascii="Times New Roman" w:hAnsi="Times New Roman" w:cs="Times New Roman"/>
          <w:color w:val="000000" w:themeColor="text1"/>
          <w:kern w:val="2"/>
          <w:sz w:val="16"/>
          <w:szCs w:val="16"/>
        </w:rPr>
        <w:softHyphen/>
        <w:t>гравшим важную роль в подготовке и проведении Октябрьской рево</w:t>
      </w:r>
      <w:r w:rsidRPr="002F2FDF">
        <w:rPr>
          <w:rFonts w:ascii="Times New Roman" w:hAnsi="Times New Roman" w:cs="Times New Roman"/>
          <w:color w:val="000000" w:themeColor="text1"/>
          <w:kern w:val="2"/>
          <w:sz w:val="16"/>
          <w:szCs w:val="16"/>
        </w:rPr>
        <w:softHyphen/>
        <w:t>люции. Всего на заводах, полигонах и складах Петрограда, бывших в ведении Главного артиллерийского управления, работало в 1917 г. около 100 тыс. человек, что составляло около одной трети общего числа рабочих Петрограда 1181.</w:t>
      </w:r>
    </w:p>
    <w:p w14:paraId="00016FA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ходе подготовки и проведения Октябрьской революции круп</w:t>
      </w:r>
      <w:r w:rsidRPr="002F2FDF">
        <w:rPr>
          <w:rFonts w:ascii="Times New Roman" w:hAnsi="Times New Roman" w:cs="Times New Roman"/>
          <w:color w:val="000000" w:themeColor="text1"/>
          <w:kern w:val="2"/>
          <w:sz w:val="16"/>
          <w:szCs w:val="16"/>
        </w:rPr>
        <w:softHyphen/>
        <w:t>нейшие государственные заводы артиллерийского ведомства — Тру</w:t>
      </w:r>
      <w:r w:rsidRPr="002F2FDF">
        <w:rPr>
          <w:rFonts w:ascii="Times New Roman" w:hAnsi="Times New Roman" w:cs="Times New Roman"/>
          <w:color w:val="000000" w:themeColor="text1"/>
          <w:kern w:val="2"/>
          <w:sz w:val="16"/>
          <w:szCs w:val="16"/>
        </w:rPr>
        <w:softHyphen/>
        <w:t>бочный, Охтинский, Путиловский, Сестрорецкий оружейный и дру</w:t>
      </w:r>
      <w:r w:rsidRPr="002F2FDF">
        <w:rPr>
          <w:rFonts w:ascii="Times New Roman" w:hAnsi="Times New Roman" w:cs="Times New Roman"/>
          <w:color w:val="000000" w:themeColor="text1"/>
          <w:kern w:val="2"/>
          <w:sz w:val="16"/>
          <w:szCs w:val="16"/>
        </w:rPr>
        <w:softHyphen/>
        <w:t>гие, а также и многочисленные частные боеприпасные заводы были надежными бастионами большевиков. Возникшие впервые в Петро</w:t>
      </w:r>
      <w:r w:rsidRPr="002F2FDF">
        <w:rPr>
          <w:rFonts w:ascii="Times New Roman" w:hAnsi="Times New Roman" w:cs="Times New Roman"/>
          <w:color w:val="000000" w:themeColor="text1"/>
          <w:kern w:val="2"/>
          <w:sz w:val="16"/>
          <w:szCs w:val="16"/>
        </w:rPr>
        <w:softHyphen/>
        <w:t>граде на заводах артиллерийского ведомства в ходе Февральской революции фабрично-заводские комитеты практически готовили и создавали условия для успешного исхода Октябрьского вооруженно</w:t>
      </w:r>
      <w:r w:rsidRPr="002F2FDF">
        <w:rPr>
          <w:rFonts w:ascii="Times New Roman" w:hAnsi="Times New Roman" w:cs="Times New Roman"/>
          <w:color w:val="000000" w:themeColor="text1"/>
          <w:kern w:val="2"/>
          <w:sz w:val="16"/>
          <w:szCs w:val="16"/>
        </w:rPr>
        <w:softHyphen/>
        <w:t>го восстания.</w:t>
      </w:r>
    </w:p>
    <w:p w14:paraId="5225733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Фабзавкомы брали в свои руки контроль над производством, над распределением сырья, топлива, продовольствия, смещали завод</w:t>
      </w:r>
      <w:r w:rsidRPr="002F2FDF">
        <w:rPr>
          <w:rFonts w:ascii="Times New Roman" w:hAnsi="Times New Roman" w:cs="Times New Roman"/>
          <w:color w:val="000000" w:themeColor="text1"/>
          <w:kern w:val="2"/>
          <w:sz w:val="16"/>
          <w:szCs w:val="16"/>
        </w:rPr>
        <w:softHyphen/>
        <w:t>скую администрацию, устанавливали правила внутреннего распоряд</w:t>
      </w:r>
      <w:r w:rsidRPr="002F2FDF">
        <w:rPr>
          <w:rFonts w:ascii="Times New Roman" w:hAnsi="Times New Roman" w:cs="Times New Roman"/>
          <w:color w:val="000000" w:themeColor="text1"/>
          <w:kern w:val="2"/>
          <w:sz w:val="16"/>
          <w:szCs w:val="16"/>
        </w:rPr>
        <w:softHyphen/>
        <w:t>ка, боролись против саботажа и локаутов буржуазии и т. д. [12].</w:t>
      </w:r>
    </w:p>
    <w:p w14:paraId="01C125F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защиты завоеванных прав и охраны предприятий рабочие боеприпасных заводов Петрограда с первых дней Февральской рево</w:t>
      </w:r>
      <w:r w:rsidRPr="002F2FDF">
        <w:rPr>
          <w:rFonts w:ascii="Times New Roman" w:hAnsi="Times New Roman" w:cs="Times New Roman"/>
          <w:color w:val="000000" w:themeColor="text1"/>
          <w:kern w:val="2"/>
          <w:sz w:val="16"/>
          <w:szCs w:val="16"/>
        </w:rPr>
        <w:softHyphen/>
        <w:t>люции приступили к созданию рабочей милиции. К 7 марта 1917 г. в отрядах рабочей милиции столицы было около 2600 человек. В канун Октябрьского вооруженного восстания на всех петроградских бое</w:t>
      </w:r>
      <w:r w:rsidRPr="002F2FDF">
        <w:rPr>
          <w:rFonts w:ascii="Times New Roman" w:hAnsi="Times New Roman" w:cs="Times New Roman"/>
          <w:color w:val="000000" w:themeColor="text1"/>
          <w:kern w:val="2"/>
          <w:sz w:val="16"/>
          <w:szCs w:val="16"/>
        </w:rPr>
        <w:softHyphen/>
        <w:t>припасных заводах существовали многочисленные отряды красно</w:t>
      </w:r>
      <w:r w:rsidRPr="002F2FDF">
        <w:rPr>
          <w:rFonts w:ascii="Times New Roman" w:hAnsi="Times New Roman" w:cs="Times New Roman"/>
          <w:color w:val="000000" w:themeColor="text1"/>
          <w:kern w:val="2"/>
          <w:sz w:val="16"/>
          <w:szCs w:val="16"/>
        </w:rPr>
        <w:softHyphen/>
        <w:t>гвардейцев (на Трубочном заводе — 2000 бойцов).</w:t>
      </w:r>
    </w:p>
    <w:p w14:paraId="69DA9CD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промышленном районе Москвы и Московской губернии, где было сосредоточено около 20 % российского фабрично-заводского пролетариата, имелось много государственных и частных предприя</w:t>
      </w:r>
      <w:r w:rsidRPr="002F2FDF">
        <w:rPr>
          <w:rFonts w:ascii="Times New Roman" w:hAnsi="Times New Roman" w:cs="Times New Roman"/>
          <w:color w:val="000000" w:themeColor="text1"/>
          <w:kern w:val="2"/>
          <w:sz w:val="16"/>
          <w:szCs w:val="16"/>
        </w:rPr>
        <w:softHyphen/>
        <w:t>тий, занимавшихся производством боеприпасов. В их числе можно назвать снарядный завод Михельсона, дроболитейный и патронный заводы, Мастерские тяжелой и осадной артиллерии (Мастяжарт), военно-артиллерийский завод, Бутырский снарядный завод, Московский склад огнестрельных припасов, свинцово-прокатную и кап</w:t>
      </w:r>
      <w:r w:rsidRPr="002F2FDF">
        <w:rPr>
          <w:rFonts w:ascii="Times New Roman" w:hAnsi="Times New Roman" w:cs="Times New Roman"/>
          <w:color w:val="000000" w:themeColor="text1"/>
          <w:kern w:val="2"/>
          <w:sz w:val="16"/>
          <w:szCs w:val="16"/>
        </w:rPr>
        <w:softHyphen/>
        <w:t>сюльную фабрику Балашихина и др. Вокруг Москвы располагались также Богородский завод взрывчатых веществ и снаряжения, По</w:t>
      </w:r>
      <w:r w:rsidRPr="002F2FDF">
        <w:rPr>
          <w:rFonts w:ascii="Times New Roman" w:hAnsi="Times New Roman" w:cs="Times New Roman"/>
          <w:color w:val="000000" w:themeColor="text1"/>
          <w:kern w:val="2"/>
          <w:sz w:val="16"/>
          <w:szCs w:val="16"/>
        </w:rPr>
        <w:softHyphen/>
        <w:t>дольский патронный завод, Троицкий снаряжательный завод, Твер</w:t>
      </w:r>
      <w:r w:rsidRPr="002F2FDF">
        <w:rPr>
          <w:rFonts w:ascii="Times New Roman" w:hAnsi="Times New Roman" w:cs="Times New Roman"/>
          <w:color w:val="000000" w:themeColor="text1"/>
          <w:kern w:val="2"/>
          <w:sz w:val="16"/>
          <w:szCs w:val="16"/>
        </w:rPr>
        <w:softHyphen/>
        <w:t>ская снаряжательная мастерская, Владимирский пороховой завод, артиллерийский арсенал в Брянске. Недалеко от Москвы, в Туле, находились старейшие в стране военные заводы: казенный оружей</w:t>
      </w:r>
      <w:r w:rsidRPr="002F2FDF">
        <w:rPr>
          <w:rFonts w:ascii="Times New Roman" w:hAnsi="Times New Roman" w:cs="Times New Roman"/>
          <w:color w:val="000000" w:themeColor="text1"/>
          <w:kern w:val="2"/>
          <w:sz w:val="16"/>
          <w:szCs w:val="16"/>
        </w:rPr>
        <w:softHyphen/>
        <w:t>ный завод и частный патронно-гильзовый.</w:t>
      </w:r>
    </w:p>
    <w:p w14:paraId="02C0E19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машиностроительном, снарядном и чугунолитейном заводе Михельсона в Замоскворецком районе Москвы (ныне Электромеха</w:t>
      </w:r>
      <w:r w:rsidRPr="002F2FDF">
        <w:rPr>
          <w:rFonts w:ascii="Times New Roman" w:hAnsi="Times New Roman" w:cs="Times New Roman"/>
          <w:color w:val="000000" w:themeColor="text1"/>
          <w:kern w:val="2"/>
          <w:sz w:val="16"/>
          <w:szCs w:val="16"/>
        </w:rPr>
        <w:softHyphen/>
        <w:t>нический завод имени Владимира Ильича) в январе 1917 г. работало около 2 тыс. рабочих.</w:t>
      </w:r>
    </w:p>
    <w:p w14:paraId="3C9A5E4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На Мастяжарте, расположенном в Лефортовском районе Моск</w:t>
      </w:r>
      <w:r w:rsidRPr="002F2FDF">
        <w:rPr>
          <w:rFonts w:ascii="Times New Roman" w:hAnsi="Times New Roman" w:cs="Times New Roman"/>
          <w:color w:val="000000" w:themeColor="text1"/>
          <w:kern w:val="2"/>
          <w:sz w:val="16"/>
          <w:szCs w:val="16"/>
        </w:rPr>
        <w:softHyphen/>
        <w:t>вы, в феврале 1917 г. работало около 3 тыс. рабочих-солдат. Московский склад огнестрельных припасов, являвшийся базис</w:t>
      </w:r>
      <w:r w:rsidRPr="002F2FDF">
        <w:rPr>
          <w:rFonts w:ascii="Times New Roman" w:hAnsi="Times New Roman" w:cs="Times New Roman"/>
          <w:color w:val="000000" w:themeColor="text1"/>
          <w:kern w:val="2"/>
          <w:sz w:val="16"/>
          <w:szCs w:val="16"/>
        </w:rPr>
        <w:softHyphen/>
        <w:t>ным складом 27-го артиллерийского полка и располагавшийся в рай</w:t>
      </w:r>
      <w:r w:rsidRPr="002F2FDF">
        <w:rPr>
          <w:rFonts w:ascii="Times New Roman" w:hAnsi="Times New Roman" w:cs="Times New Roman"/>
          <w:color w:val="000000" w:themeColor="text1"/>
          <w:kern w:val="2"/>
          <w:sz w:val="16"/>
          <w:szCs w:val="16"/>
        </w:rPr>
        <w:softHyphen/>
        <w:t>оне станции Лосиноостровской, в конце 1917 г. обслуживали и охра</w:t>
      </w:r>
      <w:r w:rsidRPr="002F2FDF">
        <w:rPr>
          <w:rFonts w:ascii="Times New Roman" w:hAnsi="Times New Roman" w:cs="Times New Roman"/>
          <w:color w:val="000000" w:themeColor="text1"/>
          <w:kern w:val="2"/>
          <w:sz w:val="16"/>
          <w:szCs w:val="16"/>
        </w:rPr>
        <w:softHyphen/>
        <w:t>няли до 8 тыс. солдат. Этот склад снабжал боеприпасами все 140 от</w:t>
      </w:r>
      <w:r w:rsidRPr="002F2FDF">
        <w:rPr>
          <w:rFonts w:ascii="Times New Roman" w:hAnsi="Times New Roman" w:cs="Times New Roman"/>
          <w:color w:val="000000" w:themeColor="text1"/>
          <w:kern w:val="2"/>
          <w:sz w:val="16"/>
          <w:szCs w:val="16"/>
        </w:rPr>
        <w:softHyphen/>
        <w:t>рядов Красной гвардии г. Москвы, общая численность которых до</w:t>
      </w:r>
      <w:r w:rsidRPr="002F2FDF">
        <w:rPr>
          <w:rFonts w:ascii="Times New Roman" w:hAnsi="Times New Roman" w:cs="Times New Roman"/>
          <w:color w:val="000000" w:themeColor="text1"/>
          <w:kern w:val="2"/>
          <w:sz w:val="16"/>
          <w:szCs w:val="16"/>
        </w:rPr>
        <w:softHyphen/>
        <w:t>стигла к 25 октября 1917 г. примерно 10 тыс. человек.</w:t>
      </w:r>
    </w:p>
    <w:p w14:paraId="091EB0A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числа боеприпасных предприятий, расположенных в По</w:t>
      </w:r>
      <w:r w:rsidRPr="002F2FDF">
        <w:rPr>
          <w:rFonts w:ascii="Times New Roman" w:hAnsi="Times New Roman" w:cs="Times New Roman"/>
          <w:color w:val="000000" w:themeColor="text1"/>
          <w:kern w:val="2"/>
          <w:sz w:val="16"/>
          <w:szCs w:val="16"/>
        </w:rPr>
        <w:softHyphen/>
        <w:t>волжье, выделяется Самарский трубочный завод, на котором в 1917 г. работало свыше 24 тыс. рабочих и активно действовала ячей</w:t>
      </w:r>
      <w:r w:rsidRPr="002F2FDF">
        <w:rPr>
          <w:rFonts w:ascii="Times New Roman" w:hAnsi="Times New Roman" w:cs="Times New Roman"/>
          <w:color w:val="000000" w:themeColor="text1"/>
          <w:kern w:val="2"/>
          <w:sz w:val="16"/>
          <w:szCs w:val="16"/>
        </w:rPr>
        <w:softHyphen/>
        <w:t>ка большевиков, составлявшая ядро Самарской организации РСДРП (б). Большая заслуга принадлежит рабочим Трубочного за</w:t>
      </w:r>
      <w:r w:rsidRPr="002F2FDF">
        <w:rPr>
          <w:rFonts w:ascii="Times New Roman" w:hAnsi="Times New Roman" w:cs="Times New Roman"/>
          <w:color w:val="000000" w:themeColor="text1"/>
          <w:kern w:val="2"/>
          <w:sz w:val="16"/>
          <w:szCs w:val="16"/>
        </w:rPr>
        <w:softHyphen/>
        <w:t>вода в том, что революция в Самаре совершилась бескровно и 26 ок</w:t>
      </w:r>
      <w:r w:rsidRPr="002F2FDF">
        <w:rPr>
          <w:rFonts w:ascii="Times New Roman" w:hAnsi="Times New Roman" w:cs="Times New Roman"/>
          <w:color w:val="000000" w:themeColor="text1"/>
          <w:kern w:val="2"/>
          <w:sz w:val="16"/>
          <w:szCs w:val="16"/>
        </w:rPr>
        <w:softHyphen/>
        <w:t>тября 1917 г. В. В. Куйбышев провозгласил в г. Самаре советскую власть [30, 32].</w:t>
      </w:r>
    </w:p>
    <w:p w14:paraId="796B69E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Самарско-Сергиевском заводе взрывчатых веществ число работающих к концу первой мировой войны достигло 25 тыс. чело</w:t>
      </w:r>
      <w:r w:rsidRPr="002F2FDF">
        <w:rPr>
          <w:rFonts w:ascii="Times New Roman" w:hAnsi="Times New Roman" w:cs="Times New Roman"/>
          <w:color w:val="000000" w:themeColor="text1"/>
          <w:kern w:val="2"/>
          <w:sz w:val="16"/>
          <w:szCs w:val="16"/>
        </w:rPr>
        <w:softHyphen/>
        <w:t>век. Военное ведомство прислало на завод много солдат для исполь</w:t>
      </w:r>
      <w:r w:rsidRPr="002F2FDF">
        <w:rPr>
          <w:rFonts w:ascii="Times New Roman" w:hAnsi="Times New Roman" w:cs="Times New Roman"/>
          <w:color w:val="000000" w:themeColor="text1"/>
          <w:kern w:val="2"/>
          <w:sz w:val="16"/>
          <w:szCs w:val="16"/>
        </w:rPr>
        <w:softHyphen/>
        <w:t>зования их в качестве рабочих. В первых числах марта 1917 г. на общем собрании рабочих завода и делегатов от местного воинского гарнизона был избран Совет рабочих и солдатских депутатов завод</w:t>
      </w:r>
      <w:r w:rsidRPr="002F2FDF">
        <w:rPr>
          <w:rFonts w:ascii="Times New Roman" w:hAnsi="Times New Roman" w:cs="Times New Roman"/>
          <w:color w:val="000000" w:themeColor="text1"/>
          <w:kern w:val="2"/>
          <w:sz w:val="16"/>
          <w:szCs w:val="16"/>
        </w:rPr>
        <w:softHyphen/>
        <w:t>ского поселка Иващенково, который создал боевую дружину из че</w:t>
      </w:r>
      <w:r w:rsidRPr="002F2FDF">
        <w:rPr>
          <w:rFonts w:ascii="Times New Roman" w:hAnsi="Times New Roman" w:cs="Times New Roman"/>
          <w:color w:val="000000" w:themeColor="text1"/>
          <w:kern w:val="2"/>
          <w:sz w:val="16"/>
          <w:szCs w:val="16"/>
        </w:rPr>
        <w:softHyphen/>
        <w:t>тырехсот рабочих и ста солдат охранного батальона. Дружина ива-щенковских вооруженных рабочих приняла участие во многих бое</w:t>
      </w:r>
      <w:r w:rsidRPr="002F2FDF">
        <w:rPr>
          <w:rFonts w:ascii="Times New Roman" w:hAnsi="Times New Roman" w:cs="Times New Roman"/>
          <w:color w:val="000000" w:themeColor="text1"/>
          <w:kern w:val="2"/>
          <w:sz w:val="16"/>
          <w:szCs w:val="16"/>
        </w:rPr>
        <w:softHyphen/>
        <w:t>вых действиях за установление советской власти в Поволжье и за</w:t>
      </w:r>
      <w:r w:rsidRPr="002F2FDF">
        <w:rPr>
          <w:rFonts w:ascii="Times New Roman" w:hAnsi="Times New Roman" w:cs="Times New Roman"/>
          <w:color w:val="000000" w:themeColor="text1"/>
          <w:kern w:val="2"/>
          <w:sz w:val="16"/>
          <w:szCs w:val="16"/>
        </w:rPr>
        <w:softHyphen/>
        <w:t>щите ее завоеваний [40].</w:t>
      </w:r>
    </w:p>
    <w:p w14:paraId="28CBADF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старейшем Казанском казенном пороховом заводе, основан</w:t>
      </w:r>
      <w:r w:rsidRPr="002F2FDF">
        <w:rPr>
          <w:rFonts w:ascii="Times New Roman" w:hAnsi="Times New Roman" w:cs="Times New Roman"/>
          <w:color w:val="000000" w:themeColor="text1"/>
          <w:kern w:val="2"/>
          <w:sz w:val="16"/>
          <w:szCs w:val="16"/>
        </w:rPr>
        <w:softHyphen/>
        <w:t>ном в 1798 г., после Февральской революции подлинным хозяином стал большевистский заводской комитет, который ввел восьмичасо</w:t>
      </w:r>
      <w:r w:rsidRPr="002F2FDF">
        <w:rPr>
          <w:rFonts w:ascii="Times New Roman" w:hAnsi="Times New Roman" w:cs="Times New Roman"/>
          <w:color w:val="000000" w:themeColor="text1"/>
          <w:kern w:val="2"/>
          <w:sz w:val="16"/>
          <w:szCs w:val="16"/>
        </w:rPr>
        <w:softHyphen/>
        <w:t>вой рабочий день и новую систему оплаты труда, повысил вдвое за</w:t>
      </w:r>
      <w:r w:rsidRPr="002F2FDF">
        <w:rPr>
          <w:rFonts w:ascii="Times New Roman" w:hAnsi="Times New Roman" w:cs="Times New Roman"/>
          <w:color w:val="000000" w:themeColor="text1"/>
          <w:kern w:val="2"/>
          <w:sz w:val="16"/>
          <w:szCs w:val="16"/>
        </w:rPr>
        <w:softHyphen/>
        <w:t>работную плату рабочим, добился снабжения завода сырьем и мате</w:t>
      </w:r>
      <w:r w:rsidRPr="002F2FDF">
        <w:rPr>
          <w:rFonts w:ascii="Times New Roman" w:hAnsi="Times New Roman" w:cs="Times New Roman"/>
          <w:color w:val="000000" w:themeColor="text1"/>
          <w:kern w:val="2"/>
          <w:sz w:val="16"/>
          <w:szCs w:val="16"/>
        </w:rPr>
        <w:softHyphen/>
        <w:t>риалами, денежными средствами и продовольствием для рабочих. Завком ввел выдачу хлебного пайка работникам завода. Комиссия завкома по контролю за деятельностью администрации добилась быстрейшего пуска снаряжательной мастерской, которая с конца 1917 г. и затем в трудные годы Гражданской войны непрерывно по</w:t>
      </w:r>
      <w:r w:rsidRPr="002F2FDF">
        <w:rPr>
          <w:rFonts w:ascii="Times New Roman" w:hAnsi="Times New Roman" w:cs="Times New Roman"/>
          <w:color w:val="000000" w:themeColor="text1"/>
          <w:kern w:val="2"/>
          <w:sz w:val="16"/>
          <w:szCs w:val="16"/>
        </w:rPr>
        <w:softHyphen/>
        <w:t>ставляла снаряды фронту. Большую помощь в создании и работе снаряжательной мастерской оказали рабочие Охтинского завода взрывчатых веществ, эвакуированные из Петрограда в Казань в ок</w:t>
      </w:r>
      <w:r w:rsidRPr="002F2FDF">
        <w:rPr>
          <w:rFonts w:ascii="Times New Roman" w:hAnsi="Times New Roman" w:cs="Times New Roman"/>
          <w:color w:val="000000" w:themeColor="text1"/>
          <w:kern w:val="2"/>
          <w:sz w:val="16"/>
          <w:szCs w:val="16"/>
        </w:rPr>
        <w:softHyphen/>
        <w:t>тябре 1917 г.</w:t>
      </w:r>
    </w:p>
    <w:p w14:paraId="28DCF8B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Заводской комитет порохового завода организовал отряды рабо</w:t>
      </w:r>
      <w:r w:rsidRPr="002F2FDF">
        <w:rPr>
          <w:rFonts w:ascii="Times New Roman" w:hAnsi="Times New Roman" w:cs="Times New Roman"/>
          <w:color w:val="000000" w:themeColor="text1"/>
          <w:kern w:val="2"/>
          <w:sz w:val="16"/>
          <w:szCs w:val="16"/>
        </w:rPr>
        <w:softHyphen/>
        <w:t>чей милиции, а затем Красной гвардии, которые насчитывали в сере</w:t>
      </w:r>
      <w:r w:rsidRPr="002F2FDF">
        <w:rPr>
          <w:rFonts w:ascii="Times New Roman" w:hAnsi="Times New Roman" w:cs="Times New Roman"/>
          <w:color w:val="000000" w:themeColor="text1"/>
          <w:kern w:val="2"/>
          <w:sz w:val="16"/>
          <w:szCs w:val="16"/>
        </w:rPr>
        <w:softHyphen/>
        <w:t>дине октября 1917 г. около 400 вооруженных рабочих. Заводской комитет наряду с контролем производства и решением социальных вопросов провел большую работу по обеспечению отрядов Красной гвардии оружием и боеприпасами, доставленными с Ижевского ору</w:t>
      </w:r>
      <w:r w:rsidRPr="002F2FDF">
        <w:rPr>
          <w:rFonts w:ascii="Times New Roman" w:hAnsi="Times New Roman" w:cs="Times New Roman"/>
          <w:color w:val="000000" w:themeColor="text1"/>
          <w:kern w:val="2"/>
          <w:sz w:val="16"/>
          <w:szCs w:val="16"/>
        </w:rPr>
        <w:softHyphen/>
        <w:t>жейного завода и захваченными на заводском стрельбище и местном артиллерийском складе. Вооруженные рабочие завода сыграли веду</w:t>
      </w:r>
      <w:r w:rsidRPr="002F2FDF">
        <w:rPr>
          <w:rFonts w:ascii="Times New Roman" w:hAnsi="Times New Roman" w:cs="Times New Roman"/>
          <w:color w:val="000000" w:themeColor="text1"/>
          <w:kern w:val="2"/>
          <w:sz w:val="16"/>
          <w:szCs w:val="16"/>
        </w:rPr>
        <w:softHyphen/>
        <w:t>щую роль в практически бескровной победе вооруженного Октябрь</w:t>
      </w:r>
      <w:r w:rsidRPr="002F2FDF">
        <w:rPr>
          <w:rFonts w:ascii="Times New Roman" w:hAnsi="Times New Roman" w:cs="Times New Roman"/>
          <w:color w:val="000000" w:themeColor="text1"/>
          <w:kern w:val="2"/>
          <w:sz w:val="16"/>
          <w:szCs w:val="16"/>
        </w:rPr>
        <w:softHyphen/>
        <w:t>ского восстания в г. Казани.</w:t>
      </w:r>
    </w:p>
    <w:p w14:paraId="403DD86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Урале важную роль арсеналов и боевых отрядов революцион</w:t>
      </w:r>
      <w:r w:rsidRPr="002F2FDF">
        <w:rPr>
          <w:rFonts w:ascii="Times New Roman" w:hAnsi="Times New Roman" w:cs="Times New Roman"/>
          <w:color w:val="000000" w:themeColor="text1"/>
          <w:kern w:val="2"/>
          <w:sz w:val="16"/>
          <w:szCs w:val="16"/>
        </w:rPr>
        <w:softHyphen/>
        <w:t>ной армии пролетариата сыграли рабочие коллективы государствен</w:t>
      </w:r>
      <w:r w:rsidRPr="002F2FDF">
        <w:rPr>
          <w:rFonts w:ascii="Times New Roman" w:hAnsi="Times New Roman" w:cs="Times New Roman"/>
          <w:color w:val="000000" w:themeColor="text1"/>
          <w:kern w:val="2"/>
          <w:sz w:val="16"/>
          <w:szCs w:val="16"/>
        </w:rPr>
        <w:softHyphen/>
        <w:t>ных и частных артиллерийских и боеприпасных заводов Перми, Зла</w:t>
      </w:r>
      <w:r w:rsidRPr="002F2FDF">
        <w:rPr>
          <w:rFonts w:ascii="Times New Roman" w:hAnsi="Times New Roman" w:cs="Times New Roman"/>
          <w:color w:val="000000" w:themeColor="text1"/>
          <w:kern w:val="2"/>
          <w:sz w:val="16"/>
          <w:szCs w:val="16"/>
        </w:rPr>
        <w:softHyphen/>
        <w:t>тоуста, Невьянска, Верхней Туры и других промышленных центров этого края.</w:t>
      </w:r>
    </w:p>
    <w:p w14:paraId="1FA4889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Корпуса артиллерийских снарядов издавна производили ураль</w:t>
      </w:r>
      <w:r w:rsidRPr="002F2FDF">
        <w:rPr>
          <w:rFonts w:ascii="Times New Roman" w:hAnsi="Times New Roman" w:cs="Times New Roman"/>
          <w:color w:val="000000" w:themeColor="text1"/>
          <w:kern w:val="2"/>
          <w:sz w:val="16"/>
          <w:szCs w:val="16"/>
        </w:rPr>
        <w:softHyphen/>
        <w:t>ские горные заводы: Златоустовский, Кусинский, Невьянский, Сат-кинский, Каменский, Баранчихинский, Верхнетуринский, Боткин</w:t>
      </w:r>
      <w:r w:rsidRPr="002F2FDF">
        <w:rPr>
          <w:rFonts w:ascii="Times New Roman" w:hAnsi="Times New Roman" w:cs="Times New Roman"/>
          <w:color w:val="000000" w:themeColor="text1"/>
          <w:kern w:val="2"/>
          <w:sz w:val="16"/>
          <w:szCs w:val="16"/>
        </w:rPr>
        <w:softHyphen/>
        <w:t>ский. Корпуса снарядов крупных калибров изготовляли на Мотови-лихинском орудийном заводе в Перми. В период первой мировой войны к изготовлению снарядных корпусов привлекли также казен</w:t>
      </w:r>
      <w:r w:rsidRPr="002F2FDF">
        <w:rPr>
          <w:rFonts w:ascii="Times New Roman" w:hAnsi="Times New Roman" w:cs="Times New Roman"/>
          <w:color w:val="000000" w:themeColor="text1"/>
          <w:kern w:val="2"/>
          <w:sz w:val="16"/>
          <w:szCs w:val="16"/>
        </w:rPr>
        <w:softHyphen/>
        <w:t>ный Ижевский оружейный завод 13].</w:t>
      </w:r>
    </w:p>
    <w:p w14:paraId="0617FAA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старейшем Златоустовском казенном механическом, железо</w:t>
      </w:r>
      <w:r w:rsidRPr="002F2FDF">
        <w:rPr>
          <w:rFonts w:ascii="Times New Roman" w:hAnsi="Times New Roman" w:cs="Times New Roman"/>
          <w:color w:val="000000" w:themeColor="text1"/>
          <w:kern w:val="2"/>
          <w:sz w:val="16"/>
          <w:szCs w:val="16"/>
        </w:rPr>
        <w:softHyphen/>
        <w:t>делательном и металлургическом заводе (ныне машиностроитель</w:t>
      </w:r>
      <w:r w:rsidRPr="002F2FDF">
        <w:rPr>
          <w:rFonts w:ascii="Times New Roman" w:hAnsi="Times New Roman" w:cs="Times New Roman"/>
          <w:color w:val="000000" w:themeColor="text1"/>
          <w:kern w:val="2"/>
          <w:sz w:val="16"/>
          <w:szCs w:val="16"/>
        </w:rPr>
        <w:softHyphen/>
        <w:t>ный завод имени В. И. Ленина), основанном в 1754 г., работало в сен</w:t>
      </w:r>
      <w:r w:rsidRPr="002F2FDF">
        <w:rPr>
          <w:rFonts w:ascii="Times New Roman" w:hAnsi="Times New Roman" w:cs="Times New Roman"/>
          <w:color w:val="000000" w:themeColor="text1"/>
          <w:kern w:val="2"/>
          <w:sz w:val="16"/>
          <w:szCs w:val="16"/>
        </w:rPr>
        <w:softHyphen/>
        <w:t>тябре 1917 г. без малого 19 тыс. человек [8]. С 6 ноября 1917 г. управление заводом перешло в руки заводского комитета, избранного 18 октября.</w:t>
      </w:r>
    </w:p>
    <w:p w14:paraId="60F748D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Заводы по производству вооружения и боеприпасов в период под</w:t>
      </w:r>
      <w:r w:rsidRPr="002F2FDF">
        <w:rPr>
          <w:rFonts w:ascii="Times New Roman" w:hAnsi="Times New Roman" w:cs="Times New Roman"/>
          <w:color w:val="000000" w:themeColor="text1"/>
          <w:kern w:val="2"/>
          <w:sz w:val="16"/>
          <w:szCs w:val="16"/>
        </w:rPr>
        <w:softHyphen/>
        <w:t>готовки и проведения Октябрьской революции были не только источ</w:t>
      </w:r>
      <w:r w:rsidRPr="002F2FDF">
        <w:rPr>
          <w:rFonts w:ascii="Times New Roman" w:hAnsi="Times New Roman" w:cs="Times New Roman"/>
          <w:color w:val="000000" w:themeColor="text1"/>
          <w:kern w:val="2"/>
          <w:sz w:val="16"/>
          <w:szCs w:val="16"/>
        </w:rPr>
        <w:softHyphen/>
        <w:t>никами формирования вооруженных сил восставшего пролетариата, но и надежными арсеналами, обеспечившими вооружение отрядов рабочей милиции и Красной гвардии. Вооружение рабочего класса было одним из самых важных условий победы революции. В. И. Ле</w:t>
      </w:r>
      <w:r w:rsidRPr="002F2FDF">
        <w:rPr>
          <w:rFonts w:ascii="Times New Roman" w:hAnsi="Times New Roman" w:cs="Times New Roman"/>
          <w:color w:val="000000" w:themeColor="text1"/>
          <w:kern w:val="2"/>
          <w:sz w:val="16"/>
          <w:szCs w:val="16"/>
        </w:rPr>
        <w:softHyphen/>
        <w:t>нин, большевики и завкомы предприятий проявляли о нем чрезвы</w:t>
      </w:r>
      <w:r w:rsidRPr="002F2FDF">
        <w:rPr>
          <w:rFonts w:ascii="Times New Roman" w:hAnsi="Times New Roman" w:cs="Times New Roman"/>
          <w:color w:val="000000" w:themeColor="text1"/>
          <w:kern w:val="2"/>
          <w:sz w:val="16"/>
          <w:szCs w:val="16"/>
        </w:rPr>
        <w:softHyphen/>
        <w:t>чайную заботу [19, 20].</w:t>
      </w:r>
    </w:p>
    <w:p w14:paraId="09B2ED4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Члены фабзавкомов военных предприятий и артиллерийских складов затрачивали много энергии, находчивости и изобретатель</w:t>
      </w:r>
      <w:r w:rsidRPr="002F2FDF">
        <w:rPr>
          <w:rFonts w:ascii="Times New Roman" w:hAnsi="Times New Roman" w:cs="Times New Roman"/>
          <w:color w:val="000000" w:themeColor="text1"/>
          <w:kern w:val="2"/>
          <w:sz w:val="16"/>
          <w:szCs w:val="16"/>
        </w:rPr>
        <w:softHyphen/>
        <w:t>ности для добывания оружия. Сестрорецкий оружейный, Петроград</w:t>
      </w:r>
      <w:r w:rsidRPr="002F2FDF">
        <w:rPr>
          <w:rFonts w:ascii="Times New Roman" w:hAnsi="Times New Roman" w:cs="Times New Roman"/>
          <w:color w:val="000000" w:themeColor="text1"/>
          <w:kern w:val="2"/>
          <w:sz w:val="16"/>
          <w:szCs w:val="16"/>
        </w:rPr>
        <w:softHyphen/>
        <w:t>ский патронный, Охтинский и Шлиссельбургский пороховые заводы, Охтинский завод взрывчатых веществ и некоторые другие столичные заводы снабжали оружием и боеприпасами красногвардейские отряды не только Петрограда, но и других районов страны. Петроград</w:t>
      </w:r>
      <w:r w:rsidRPr="002F2FDF">
        <w:rPr>
          <w:rFonts w:ascii="Times New Roman" w:hAnsi="Times New Roman" w:cs="Times New Roman"/>
          <w:color w:val="000000" w:themeColor="text1"/>
          <w:kern w:val="2"/>
          <w:sz w:val="16"/>
          <w:szCs w:val="16"/>
        </w:rPr>
        <w:softHyphen/>
        <w:t>ский патронный завод, управление которым накануне Октябрьского вооруженного восстания взял в свои руки заводской комитет, выдал Красной гвардии Петрограда в дни восстания более 182 тыс. патро</w:t>
      </w:r>
      <w:r w:rsidRPr="002F2FDF">
        <w:rPr>
          <w:rFonts w:ascii="Times New Roman" w:hAnsi="Times New Roman" w:cs="Times New Roman"/>
          <w:color w:val="000000" w:themeColor="text1"/>
          <w:kern w:val="2"/>
          <w:sz w:val="16"/>
          <w:szCs w:val="16"/>
        </w:rPr>
        <w:softHyphen/>
        <w:t>нов [10, .с. 87 |.</w:t>
      </w:r>
    </w:p>
    <w:p w14:paraId="3044751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 Ленин отмечал огромное значение Тульского оружейного завода как базы снабжения оружием боевых сил революции. Только в ноябре—декабре 1917 г. с арсенала Тульского завода было выдано в 140 городов и крупных населенных пунктов 1800 пулеметов, свыше 200 тыс. винтовок, 5500 револьверов, более 10 млн патронов.</w:t>
      </w:r>
    </w:p>
    <w:p w14:paraId="4D4D8A3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Важную роль в снабжении оружием боевых сил революции в вос</w:t>
      </w:r>
      <w:r w:rsidRPr="002F2FDF">
        <w:rPr>
          <w:rFonts w:ascii="Times New Roman" w:hAnsi="Times New Roman" w:cs="Times New Roman"/>
          <w:color w:val="000000" w:themeColor="text1"/>
          <w:kern w:val="2"/>
          <w:sz w:val="16"/>
          <w:szCs w:val="16"/>
        </w:rPr>
        <w:softHyphen/>
        <w:t>точных районах страны играл Ижевский оружейный завод, особенно в первые дни после победы Октября. По распоряжениям советских и партийных органов только в декабре 1917 г. им было отправлено рабочим Урала и Поволжья около 5,5 тыс. винтовок для вооружения отрядов Красной гвардии, в том числе красногвардейцам Казани, Самарскому Совету (2 тыс. винтовок), Златоустовскому комитету РСДРП (б) (500 винтовок), рабочим Верхнетуринского завода (2 пулемета, 150 винтовок, револьверы).</w:t>
      </w:r>
    </w:p>
    <w:p w14:paraId="32BD228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Фабзавкомы предприятий Москвы получали оружие для красно</w:t>
      </w:r>
      <w:r w:rsidRPr="002F2FDF">
        <w:rPr>
          <w:rFonts w:ascii="Times New Roman" w:hAnsi="Times New Roman" w:cs="Times New Roman"/>
          <w:color w:val="000000" w:themeColor="text1"/>
          <w:kern w:val="2"/>
          <w:sz w:val="16"/>
          <w:szCs w:val="16"/>
        </w:rPr>
        <w:softHyphen/>
        <w:t>гвардейских отрядов от рабочих организаций Симоновского склада оружия и боеприпасов, пороховых погребов Крутицких казарм, с Мызо-Раевского военного склада огнестрельных припасов на стан</w:t>
      </w:r>
      <w:r w:rsidRPr="002F2FDF">
        <w:rPr>
          <w:rFonts w:ascii="Times New Roman" w:hAnsi="Times New Roman" w:cs="Times New Roman"/>
          <w:color w:val="000000" w:themeColor="text1"/>
          <w:kern w:val="2"/>
          <w:sz w:val="16"/>
          <w:szCs w:val="16"/>
        </w:rPr>
        <w:softHyphen/>
        <w:t>ции Лосиноостровская. На ряде московских предприятий рабочие изготовляли сами различные виды оружия.</w:t>
      </w:r>
    </w:p>
    <w:p w14:paraId="1CE32D4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Источниками снабжения красногвардейцев оружием и боеприпа</w:t>
      </w:r>
      <w:r w:rsidRPr="002F2FDF">
        <w:rPr>
          <w:rFonts w:ascii="Times New Roman" w:hAnsi="Times New Roman" w:cs="Times New Roman"/>
          <w:color w:val="000000" w:themeColor="text1"/>
          <w:kern w:val="2"/>
          <w:sz w:val="16"/>
          <w:szCs w:val="16"/>
        </w:rPr>
        <w:softHyphen/>
        <w:t>сами были также военные заводы и склады Самары, Ижевска, Сор-.мова, Подольска и других городов.</w:t>
      </w:r>
    </w:p>
    <w:p w14:paraId="524CBD2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то же время заводские комитеты предприятий, производящих оружие, приложили много сил и изобретательности, чтобы оружие и боеприпасы не попали в руки врага. Они установили строгий рабочий контроль за производством, учетом, хранением и отпуском оружия, прекратили выдачу оружия и боеприпасов по нарядам Временного правительства, ГАУ и командования военных округов. Это закрыло каналы, по которым силы контрреволюции могли бы получать ору</w:t>
      </w:r>
      <w:r w:rsidRPr="002F2FDF">
        <w:rPr>
          <w:rFonts w:ascii="Times New Roman" w:hAnsi="Times New Roman" w:cs="Times New Roman"/>
          <w:color w:val="000000" w:themeColor="text1"/>
          <w:kern w:val="2"/>
          <w:sz w:val="16"/>
          <w:szCs w:val="16"/>
        </w:rPr>
        <w:softHyphen/>
        <w:t>жие [24, с. 256; 251.</w:t>
      </w:r>
    </w:p>
    <w:p w14:paraId="6501827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Революционные части армии и флота и подавляющее большин</w:t>
      </w:r>
      <w:r w:rsidRPr="002F2FDF">
        <w:rPr>
          <w:rFonts w:ascii="Times New Roman" w:hAnsi="Times New Roman" w:cs="Times New Roman"/>
          <w:color w:val="000000" w:themeColor="text1"/>
          <w:kern w:val="2"/>
          <w:sz w:val="16"/>
          <w:szCs w:val="16"/>
        </w:rPr>
        <w:softHyphen/>
        <w:t>ство отрядов Красной гвардии в дни Октябрьского вооруженного восстания обладали вполне современным для того времени вооруже</w:t>
      </w:r>
      <w:r w:rsidRPr="002F2FDF">
        <w:rPr>
          <w:rFonts w:ascii="Times New Roman" w:hAnsi="Times New Roman" w:cs="Times New Roman"/>
          <w:color w:val="000000" w:themeColor="text1"/>
          <w:kern w:val="2"/>
          <w:sz w:val="16"/>
          <w:szCs w:val="16"/>
        </w:rPr>
        <w:softHyphen/>
        <w:t>нием и достаточным количеством боеприпасов (5484).</w:t>
      </w:r>
    </w:p>
    <w:p w14:paraId="05F8093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8777D4"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позднее 25 октября (7 ноября) 1917 г. Записка совета Союза представителей металлургической и железоделательной промышленности о необходимости закрытия четырех металлургических заводов Юга России в связи с сокращением добычи донецкого минерального топлива.</w:t>
      </w:r>
    </w:p>
    <w:p w14:paraId="430CAD7F"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134-138</w:t>
      </w:r>
    </w:p>
    <w:p w14:paraId="5868C4CA"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 ЦГВИА, ф. 369, оп. 14, д. 33, лл. 154—163. Копия.</w:t>
      </w:r>
    </w:p>
    <w:p w14:paraId="4652698D"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Добыча минерального топлива (угля и антрацита) в Донецком бассейне в связи с чрезвычайным понижением интенсивности труда горнорабочих начиная с марта месяца с. г. катастрофически падает: с 154 млн пуд. в марте эта цифра понизилась до 100 млн в сентябре месяце (по предварительным данным). Результатом такого угрожающего падения добычи минерального топлива явилось настоящее критическое положение, вследствие которого при ежемесячной добыче всего в 100 млн пуд. и при вывозе в 81.7 млн пуд. (сентябрь) эта незначительная добыча покрывает только потребности железных дорог и флота, оставляя в распоряжении всех остальных потребителей России весьма незначительное количество.</w:t>
      </w:r>
    </w:p>
    <w:p w14:paraId="62A81CD7"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особенно тяжелом положении оказывается южная металлургическая промышленность. При интенсивном действии всех заводов требуется ежемесячно вывозить из Донецкого бассейна на металлургические заводы но 32 млн пуд. топлива при выплавке 18 млн пуд. чугуна, между тем за первое полугодие 1917 г. на эти заводы погружено 132 млн пуд. и поступило в действительности около 115 млн, т. е. в среднем по 19.1 млн пуд. ежемесячно, а с июля месяца с. г. поступление твердого топлива на заводы еще более упало и составляет не более 15—16 млн пуд. в месяц.</w:t>
      </w:r>
    </w:p>
    <w:p w14:paraId="66673D0B"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таком резком сокращении поступления топлива (в особенности угля) на металлургические заводы создалось такое положение, что в течение сентября месяца большинство сталелитейных и прокатных отделений работали крайне нерегулярно, расходуя на пуд производимого металла значительно большее количество топлива, чем следовало, причем на некоторых заводах прокатные отделения останавливались на 2—3 недели. Кроме того, много мартеновских печей подогревалось в ожидании прибытия горючего и тем самым расходовали топливо непроизводительно.</w:t>
      </w:r>
    </w:p>
    <w:p w14:paraId="219DC024"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общем уменьшении подвоза минерального топлива заводам — с 19.1 млн в первой половине 1917 г. до 15 млн в сентябре — сокращение вывоза произошло главным образом за счет угля, вывоз которого упал с 10.1 млн пуд до 7 млн, тогда как вывоз кокса упал с 10 млн в первом полугодии 1917 г. до 9 млн за последние месяцы. Это обстоятельство объясняется тем, что производство кокса при столь значительном падении добычи угля почти не подвергалось сокращению, достигая в первом полугодии 120 млн пуд., т. е. 20 млн в месяц, и приблизительно 19.1 млн в последние месяцы. Таким образом, при сокращении добычи минерального топлива с 154 млн пуд. (в том числе 34 млн пуд. антрацита) до 100 млн в сентябре (в том числе 28 млн пуд. антрацита), т. е. на 35%, производство кокса за это время сократилось всего лишь на 4%.</w:t>
      </w:r>
    </w:p>
    <w:p w14:paraId="3BE0E332"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таком несоответствии добычи угля и производства кокса начиная с июля месяца заводы выплавляли такие количества чугуна, которые за недостатком подвоза угля невозможно было перерабатывать в готовые изделия. Кроме того, хотя выплавка чугуна и сокращалась, но далеко не в такой степени, в какой уменьшалась добыча угля, а именно: с января выплавка чугуна упала с 13 млн пуд. до 11.4 млн в июне и около 11 млн в августе, т. е. упала на 15%, а падение добычи угля за тот же период, как указано выше, определилось в 35%, при этом в некоторые весенние месяцы, например в мае, выплавка чугуна даже превышала выплавку в январе 1917 г. (в мае — 13.5 млн, в январе — 13 млн).</w:t>
      </w:r>
    </w:p>
    <w:p w14:paraId="3D78BEE5"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Характерно, что одновременно с падением выплавки чугуна число работающих домен не уменьшалось: так, в январе работало 42 домны, которые выплавили 12.956 млн пуд., в мае также 42 домны с выплавкой в 13.534 млн, а в июле 41 домна с выплавкой в 11.374 млн. Это доказывает, что начиная с июля месяца доменные печи работают очень замедленным ходом, используя в настоящее время не более 75% своей производительной способности и расходуя при этом от 15—25% лишнего кокса.</w:t>
      </w:r>
    </w:p>
    <w:p w14:paraId="5C4026D7"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Подобное положение, при котором горючее используется крайне неудовлетворительно, представляется совершенно недопустимым именно теперь, когда ощущается громадный недостаток в донецком топливе. Поэтому для более производительного расходования топлива необходимо: 1) привести в соответствие производство и вывоз кокса с непрерывно понижающимися добычей и вывозом угля; 2) сократить число работающих домен с той целью, чтобы все оставшиеся в ходу домны могли работать полным, незамедленным ходом и 3) чтобы весь выплавленный при таких условиях чугун переделывался бы в готовые изделия, за исключением чугуна тех заводов, на которых не имеется передельных отделений и которые отпускают чугун на рынок; для осуществления этой последней задачи необходимо снабдить заводы достаточным количеством угля для сталелитейного и прокатного переделов. При таком распределении работ, несмотря на уменьшение добычи горючего, представляется возможным, почти не сокращая производства готовых изделий по сравнению с первым полугодием 1917 г., которое составляло в среднем 8,1 млн пѵд. ежемесячно, закрыть некоторые заводы, с тем чтобы освободившееся от этих заводов топливо направить на остальные заводы, работа коих, согласно вышеизложенному, будет происходить при более благоприятных условиях и при более целесообразной утилизации горючего.</w:t>
      </w:r>
    </w:p>
    <w:p w14:paraId="241EE32B"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выборе подлежащих закрытию заводов приходится руководствоваться следующими соображениями: при остановке некоторых заводов прекратится производство определенных, необходимых изделий, поэтому надобно выбрать такие заводы, сортамент которых более ограничен и полностью может быть выполнен на других заводах. По обследовании этого вопроса такими заводами, из 17 ныне действующих доменных заводов, после остановленного Керченского, оказываются: «Русский Про-виданс», Константиновский, Дружковский и Кадиевский.</w:t>
      </w:r>
      <w:hyperlink r:id="rId622" w:anchor="_ftn2" w:history="1">
        <w:r w:rsidRPr="002F2FDF">
          <w:rPr>
            <w:rFonts w:ascii="Times New Roman" w:hAnsi="Times New Roman" w:cs="Times New Roman"/>
            <w:color w:val="000000" w:themeColor="text1"/>
            <w:kern w:val="2"/>
            <w:sz w:val="16"/>
            <w:szCs w:val="16"/>
          </w:rPr>
          <w:t>[2]</w:t>
        </w:r>
      </w:hyperlink>
    </w:p>
    <w:p w14:paraId="4FFDB306"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Общая выплавка чугуна всех заводов Юга России за август месяц с. г. определилась в 11 млн пуд., из которых 1.6 млн пуд. выплавлено на 4 вышеупомянутых заводах. Это количество чугуна может быть без затруднений произведено на остающихся в работе 13 заводах, если им предоставить горючее, назначенное для 4 указанных заводов. 13 заводов выплавили в августе 9.4 млн пуд. чугуна, расходуя кокса при замедленном ходе домен на 15—25% выше нормального; если же эти заводы будут иметь возможность работать на домнах более нормально и предполагая, что при этом произойдет сокращение в расходе кокса на выплавку в 10%, то мы получим, что производительность доменных печей этих заводов повысится приблизительно на 1 млн пуд. при том же общем количестве расхода кокса.</w:t>
      </w:r>
    </w:p>
    <w:p w14:paraId="52C9D52E"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отношению к выпуску готовых изделий завод Кадиевский</w:t>
      </w:r>
      <w:hyperlink r:id="rId623" w:anchor="_ftn3" w:history="1">
        <w:r w:rsidRPr="002F2FDF">
          <w:rPr>
            <w:rFonts w:ascii="Times New Roman" w:hAnsi="Times New Roman" w:cs="Times New Roman"/>
            <w:color w:val="000000" w:themeColor="text1"/>
            <w:kern w:val="2"/>
            <w:sz w:val="16"/>
            <w:szCs w:val="16"/>
          </w:rPr>
          <w:t>[3]</w:t>
        </w:r>
      </w:hyperlink>
      <w:r w:rsidRPr="002F2FDF">
        <w:rPr>
          <w:rFonts w:ascii="Times New Roman" w:hAnsi="Times New Roman" w:cs="Times New Roman"/>
          <w:color w:val="000000" w:themeColor="text1"/>
          <w:kern w:val="2"/>
          <w:sz w:val="16"/>
          <w:szCs w:val="16"/>
        </w:rPr>
        <w:t xml:space="preserve"> не окажет никакого влияния, так как он является заводом исключительно доменным, без передельных отделений, и отпускавшим весь чугун на рынок в виде чугуна литейного и передельного;</w:t>
      </w:r>
      <w:hyperlink r:id="rId624" w:anchor="_ftn4" w:history="1">
        <w:r w:rsidRPr="002F2FDF">
          <w:rPr>
            <w:rFonts w:ascii="Times New Roman" w:hAnsi="Times New Roman" w:cs="Times New Roman"/>
            <w:color w:val="000000" w:themeColor="text1"/>
            <w:kern w:val="2"/>
            <w:sz w:val="16"/>
            <w:szCs w:val="16"/>
          </w:rPr>
          <w:t>[4]</w:t>
        </w:r>
      </w:hyperlink>
      <w:r w:rsidRPr="002F2FDF">
        <w:rPr>
          <w:rFonts w:ascii="Times New Roman" w:hAnsi="Times New Roman" w:cs="Times New Roman"/>
          <w:color w:val="000000" w:themeColor="text1"/>
          <w:kern w:val="2"/>
          <w:sz w:val="16"/>
          <w:szCs w:val="16"/>
        </w:rPr>
        <w:t xml:space="preserve"> остановка же заводов Дружковского, «Русский Провиданс» и Константиновского вызовет уменьшение выпуска готовых изделий на 1 млн пуд. в месяц следующего сортамента: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78"/>
        <w:gridCol w:w="952"/>
      </w:tblGrid>
      <w:tr w:rsidR="002B1C74" w:rsidRPr="002F2FDF" w14:paraId="4C103D05"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04240C"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Рельсов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7AE22"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250000 пуд.</w:t>
            </w:r>
          </w:p>
        </w:tc>
      </w:tr>
      <w:tr w:rsidR="002B1C74" w:rsidRPr="002F2FDF" w14:paraId="732664EC"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01CD86"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Балок и швеллеров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645F4"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50000 »</w:t>
            </w:r>
          </w:p>
        </w:tc>
      </w:tr>
      <w:tr w:rsidR="002B1C74" w:rsidRPr="002F2FDF" w14:paraId="500F4FD7"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FAB649"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Сортового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FCE70"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400000 »</w:t>
            </w:r>
          </w:p>
        </w:tc>
      </w:tr>
      <w:tr w:rsidR="002B1C74" w:rsidRPr="002F2FDF" w14:paraId="290AF049"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76CAF0"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Снарядной стали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43F3D"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150000 »</w:t>
            </w:r>
          </w:p>
        </w:tc>
      </w:tr>
      <w:tr w:rsidR="002B1C74" w:rsidRPr="002F2FDF" w14:paraId="36FB89F7"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B0F44B"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Листов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89791"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120000 »</w:t>
            </w:r>
          </w:p>
        </w:tc>
      </w:tr>
      <w:tr w:rsidR="002B1C74" w:rsidRPr="002F2FDF" w14:paraId="7E3C20E7"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E89EF8"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Проволоки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792EA"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30000 »</w:t>
            </w:r>
          </w:p>
        </w:tc>
      </w:tr>
      <w:tr w:rsidR="002B1C74" w:rsidRPr="002F2FDF" w14:paraId="210F0CD4"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C72E89"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117E8"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1000000 пуд.</w:t>
            </w:r>
          </w:p>
        </w:tc>
      </w:tr>
    </w:tbl>
    <w:p w14:paraId="596BEA12"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Необходимо указать, что приведенное производство прокатных изделий изготовлялось 4 заводами в то время, когда все заводы получали 10 млн пуд. угля, а так как на октябрь и последующие месяцы нельзя ожидать общего вывоза угля для всех заводов более 7 млн пуд., то соответственно с этим и поступление угля на останавливаемые заводы сократится в этой же пропорции, а следовательно, и их производство готовых изделий упадет до 70% от бывшего, т. е. до 700 тыс. пуд. Усиленная и более планомерная по сравнению с настоящим временем работа 13 заводов при получении ими достаточного количества угля даст им возможность при выработке готовых изделий получать их с меньшим угаром и при меньшем количестве обрезков, что свободно покроет собою приведенное сокращение выпуска готовых изделий от остановки 4 заводов, без какой-либо затраты лишнего металла.</w:t>
      </w:r>
    </w:p>
    <w:p w14:paraId="1BFF9234"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Как видно из перечисленных сортов изделий, изготовление их на других заводах не представляет никаких затруднений как по своему качеству, так и по количеству, ибо прокатные средства всех заводов использованы не более как наполовину. Для этого необходимо, чтобы топливо, освобождающееся на закрываемых заводах, было предоставлено заводам, продолжающим работать. Количество этого топлива определится из следующих данных: на 1.6 млн пуд. чугуна расходовалось 2.3 млн пуд, кокса, на производство которого необходимо 3.1 млн пуд. угля; кроме того, на выработку 1 млн пуд. готовых изделий расходовалось 1.3 млн пуд. угля, следовательно, всего вместе освобождается 4.4 млн пуд.</w:t>
      </w:r>
    </w:p>
    <w:p w14:paraId="36988A51"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закрытие 4 заводов повлечет за собою только сокращение отпуска чугуна на рынок, приблизительно на 600 тыс. пуд., невзирая на то, что при уменьшающейся добыче угля металлургические заводы будут получать вместо ранее доставлявшихся 10 млн пуд. угля всего лишь 7 млн, т.е. то количество угля, которое получали все заводы за последние 3 месяца, сокращение же отпуска чугуна на рынок легко может быть покрыто в течение нескольких месяцев из накопившихся на заводах складов чугуна.</w:t>
      </w:r>
    </w:p>
    <w:p w14:paraId="14FF0C76"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сказанное может быть выполнено лишь в том случае, если весь уголь, освобождающийся при закрытии 4 заводов, будет распределен исключительно между металлургическими заводами Юга России.</w:t>
      </w:r>
    </w:p>
    <w:p w14:paraId="178DC5D7"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Следовательно, закрытие 4 указанных заводов даст возможность:</w:t>
      </w:r>
    </w:p>
    <w:p w14:paraId="34EB7AB6"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удержать производительность остальных 13 заводов в такой мере, чтобы сохранить среднюю ежемесячную (за 1-е полугодие 1917 г.) производительность готовых изделий 17 заводов, даже если уменьшить фактическое получение всеми металлургическими заводами угля (с 10 млн иуд. до 7 млн) и 2) привести производство кокса в соответствие с необходимой выплавкой чугуна, сократив выработку кокса на 2.3 млн нуд. в месяц.</w:t>
      </w:r>
    </w:p>
    <w:p w14:paraId="48CF5509"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Чтобы достигнуть намеченной цели, необходимо:</w:t>
      </w:r>
    </w:p>
    <w:p w14:paraId="54FE0798"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Сократить производство кокса на 2.3 м л н в месяц. Производство (среднее) кокса на Юге составляло за последние месяцы с. г. около 19 млн пуд. ежемесячно. Так как потребление кокса 4 останавливаемыми заводами за тот же период составляло около 2.3 млн пуд. в месяц, то общая производительность коксовых печей должна составлять впредь около 16.7 млн пуд.</w:t>
      </w:r>
    </w:p>
    <w:p w14:paraId="30763D71"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Необходимо дать распоряжение Монотоиу произвести указанное сокращение производства кокса в ноябре с. г., причем в первую очередь остановить коксовые печи на 4 указанных заводах, а затем, во вторую очередь, остановить на прочих заводах и рудниках те из печей без рекупирации, газы коих не эксплуатируются.</w:t>
      </w:r>
    </w:p>
    <w:p w14:paraId="431FEF1E"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Назначать остальным 13 заводам ежемесячно основной наряд не менее 9 млн нуд. угля. На ноябрь и последующие месяцы комиссией при Главном экономическом комитете иод председательством Я. Д. Прядкина</w:t>
      </w:r>
      <w:hyperlink r:id="rId625" w:anchor="_ftn5" w:history="1">
        <w:r w:rsidRPr="002F2FDF">
          <w:rPr>
            <w:rFonts w:ascii="Times New Roman" w:hAnsi="Times New Roman" w:cs="Times New Roman"/>
            <w:color w:val="000000" w:themeColor="text1"/>
            <w:kern w:val="2"/>
            <w:sz w:val="16"/>
            <w:szCs w:val="16"/>
          </w:rPr>
          <w:t>[5]</w:t>
        </w:r>
      </w:hyperlink>
      <w:r w:rsidRPr="002F2FDF">
        <w:rPr>
          <w:rFonts w:ascii="Times New Roman" w:hAnsi="Times New Roman" w:cs="Times New Roman"/>
          <w:color w:val="000000" w:themeColor="text1"/>
          <w:kern w:val="2"/>
          <w:sz w:val="16"/>
          <w:szCs w:val="16"/>
        </w:rPr>
        <w:t xml:space="preserve"> ежемесячная потребность металлургических заводов Юга России в топливе определена в 18.8 млн пуд., из которых 8.3 млн иуд. кокса, 9 млн пуд. угля и 1.5 млн антрацита.</w:t>
      </w:r>
    </w:p>
    <w:p w14:paraId="3B252E49"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Поэтому необходимо, чтобы 13 заводам был назначен наряд угля в 9 млн нуд., и тогда, после обычных сокращений, эти заводы получат 7 млн пуд.</w:t>
      </w:r>
    </w:p>
    <w:p w14:paraId="1C6D7EF0"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Назначать всем заводам не более 1.5 млн пуд. а нтрацита в месяц.</w:t>
      </w:r>
    </w:p>
    <w:p w14:paraId="2FAB7D8D"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Увеличение потребления антрацита взамен угля возможно, но при условии проведения с должной постепенностью, почему на ближайшие месяцы нельзя рассчитывать па потребление более как в 2 раза против современного, выразившегося за последний месяц цифрой в 700 тыс. пуд. Дальнейшее увеличение потребления антрацита возможно во всяком случае лишь в более отдаленном будущем.</w:t>
      </w:r>
    </w:p>
    <w:p w14:paraId="60FC652F"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случае возможного увеличения добычи топлива в Донецком бассейне не представится необходимым пускать в ход остановленные заводы до тех нор, пока это увеличение не примет значительной величины и постоянного характера; до этого же времени на 13 остающихся в действии заводах, где имеется 46 доменных печей, можно выплавлять в месяц до 14.490 млн пуд. и выпускать до 10.95 млн пуд. готовых изделий; в июле месяце 1916 г. все металлургические заводы Юга России выплавили 15.4 млн иуд. чугуна, а в июне того же года эти заводы выпустили 10.7 млн готовых изделий; эти цифры для 1916 г. были наивысшими.</w:t>
      </w:r>
    </w:p>
    <w:p w14:paraId="4DC2A98B" w14:textId="67FEC7FC"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прилагаемой карте</w:t>
      </w:r>
      <w:hyperlink r:id="rId626" w:anchor="_ftn6" w:history="1">
        <w:r w:rsidRPr="002F2FDF">
          <w:rPr>
            <w:rFonts w:ascii="Times New Roman" w:hAnsi="Times New Roman" w:cs="Times New Roman"/>
            <w:color w:val="000000" w:themeColor="text1"/>
            <w:kern w:val="2"/>
            <w:sz w:val="16"/>
            <w:szCs w:val="16"/>
          </w:rPr>
          <w:t>[6]</w:t>
        </w:r>
      </w:hyperlink>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показаны отдельными цветами бассейны угольный и рудный Криворожский, а также и взаимное положение заводов по отношению к этим бассейнам; кружками, полузачерчеиными. обозначены намеченные к остановке заводы; по отношению к Криворожскому бассейну эти заводы находятся в неблагоприятных условиях, получая руду на расстоянии 450—500 верст.</w:t>
      </w:r>
    </w:p>
    <w:p w14:paraId="3FEF21CC"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Сокращение добычи угля в Донецком бассейне, при одновременном возрастании количества задолжаемых рабочих, несомненно обязано падению производительности труда на рудниках. В свою очередь сокращение добычи угля вызывает расстройство всей промышленности и. в частности, вынуждает к принятию столь крайних мер, как закрытие нескольких металлургических заводов, влекущее за собой как сокращение выплавки металлов, так и увольнение значительного количества рабочих. Ввиду этого настоятельно необходимо издание особого правительственного акта, указывающего на истинные причины сокращения выплавки металла и на государственную необходимость закрытия части металлургических заводов.</w:t>
      </w:r>
    </w:p>
    <w:p w14:paraId="53F062F4"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Закрытию заводов должна предшествовать соответственная мера действительной охраны имущества и административного персонала от возможных насилий, а рабочим необходимо предоставить льготы по выезду из заводов на родину.</w:t>
      </w:r>
    </w:p>
    <w:p w14:paraId="48110E4C"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Закрытие заводов должно быть выполнено таким образом и содержаться они должны по закрытии в таком состоянии, чтобы они могли быть пущены в ход при первой же возможности, когда горнорабочие придут к сознанию необходимости повысить производительность труда и добыча угля возрастет.</w:t>
      </w:r>
    </w:p>
    <w:p w14:paraId="515E436A"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Указанные меры по остановке заводов повлекут за собой крупные затраты, которые в настоящее время совершенно не по силам предприятиям, уже и без того обремененным чрезмерными расходами и исчерпавшим все свои финансовые средства. Так как сохранение и использование в наилучшем отношении металлургических заводов, как одного из важнейших промышленных аппаратов государства, является предметом забот правительства, а необходимость в закрытии некоторых заводов вызывается самыми насущными интересами страны, то представляется вполне справедливым, чтобы вызываемые проводимыми для этого мерами расходы были приняты на счет казны. По приблизительному подсчету единовременный расход на закрытие 4 заводов достигает 4 млн руб., а ежемесячное содержание этих заводов будет обходиться около 400 тыс. руб. Цифра в 4 млн руб. приведена на том основании, что остановка Керченского завода обошлась приблизительно в 800 тыс. руб., на этом заводе было занято 2000 рабочих; на 4 же останавливаемых заводах задолжено около 10 тыс. рабочих; ежемесячное содержание Керченского завода, который имеет небольшое количество передельных отделений, причем рудные карьеры, находящиеся близ завода, будут частично работать, обходится в 80 тыс. руб.</w:t>
      </w:r>
    </w:p>
    <w:p w14:paraId="284D1020"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Выплата расходов, вызываемых вышеуказанными мерами, могла бы быть произведена с помощью субсидий останавливаемым заводам. Однако принимая во внимание: 1) что денежные средства для оплаты расходов но закрытию заводов нужны будут немедленно по прекращении производства и что расходы по содержанию в исправности заводов во время остановки должны оплачиваться без замедления, 2) что закрывающиеся заводы не имеют собственных средств для оплаты этих расходов впредь до возмещения их казной и 3) что срочное и своевременное возмещение этих расходов казною оказалось бы трудно выполнимым, представлялось бы более простым и целесообразным обязать Сометалл</w:t>
      </w:r>
      <w:hyperlink r:id="rId627" w:anchor="_ftn7" w:history="1">
        <w:r w:rsidRPr="002F2FDF">
          <w:rPr>
            <w:rFonts w:ascii="Times New Roman" w:hAnsi="Times New Roman" w:cs="Times New Roman"/>
            <w:color w:val="000000" w:themeColor="text1"/>
            <w:kern w:val="2"/>
            <w:sz w:val="16"/>
            <w:szCs w:val="16"/>
          </w:rPr>
          <w:t>[7]</w:t>
        </w:r>
      </w:hyperlink>
      <w:r w:rsidRPr="002F2FDF">
        <w:rPr>
          <w:rFonts w:ascii="Times New Roman" w:hAnsi="Times New Roman" w:cs="Times New Roman"/>
          <w:color w:val="000000" w:themeColor="text1"/>
          <w:kern w:val="2"/>
          <w:sz w:val="16"/>
          <w:szCs w:val="16"/>
        </w:rPr>
        <w:t xml:space="preserve"> принять на себя посредничество в отношении возмещения останавливающимся заводам расходов по остановке и содержанию заводов на следующих основаниях.</w:t>
      </w:r>
    </w:p>
    <w:p w14:paraId="2F707491"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устанавливаемым твердым ценам на металлы прибавляется 20 коп. на пуд чугуна с соответственными коэффициентами для других изделий, а именно: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10"/>
        <w:gridCol w:w="355"/>
      </w:tblGrid>
      <w:tr w:rsidR="002B1C74" w:rsidRPr="002F2FDF" w14:paraId="5CA5BC7D"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34A975"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литой болванки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5AB9E"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w:t>
            </w:r>
          </w:p>
        </w:tc>
      </w:tr>
      <w:tr w:rsidR="002B1C74" w:rsidRPr="002F2FDF" w14:paraId="43192F03"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3CFD6C"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сортового железа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2F54D"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1.30</w:t>
            </w:r>
          </w:p>
        </w:tc>
      </w:tr>
      <w:tr w:rsidR="002B1C74" w:rsidRPr="002F2FDF" w14:paraId="13D5C214"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2D6E17"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снарядной заготовки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546B1"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1.95</w:t>
            </w:r>
          </w:p>
        </w:tc>
      </w:tr>
      <w:tr w:rsidR="002B1C74" w:rsidRPr="002F2FDF" w14:paraId="4713F1A8"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834193"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листов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762BE"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1.85</w:t>
            </w:r>
          </w:p>
        </w:tc>
      </w:tr>
      <w:tr w:rsidR="002B1C74" w:rsidRPr="002F2FDF" w14:paraId="33D890E5"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2AA3AE"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рельсов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62865"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w:t>
            </w:r>
          </w:p>
        </w:tc>
      </w:tr>
      <w:tr w:rsidR="002B1C74" w:rsidRPr="002F2FDF" w14:paraId="3D39C3B7"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3B71BE"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осей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7439E"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1.65</w:t>
            </w:r>
          </w:p>
        </w:tc>
      </w:tr>
      <w:tr w:rsidR="002B1C74" w:rsidRPr="002F2FDF" w14:paraId="38661F3A"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16099D"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бандажей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BB1F1"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1.65</w:t>
            </w:r>
          </w:p>
        </w:tc>
      </w:tr>
      <w:tr w:rsidR="002B1C74" w:rsidRPr="002F2FDF" w14:paraId="002B4CFC"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C8C225"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балок и швеллеров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CE99E"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w:t>
            </w:r>
          </w:p>
        </w:tc>
      </w:tr>
      <w:tr w:rsidR="002B1C74" w:rsidRPr="002F2FDF" w14:paraId="0520B7C6"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351952"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проволоки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913FD"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w:t>
            </w:r>
          </w:p>
        </w:tc>
      </w:tr>
    </w:tbl>
    <w:p w14:paraId="5336CAF8"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тем, чтобы суммы, получающиеся от добавочной платы к твердым ценам. отдавались работающими заводами Сометаллу по особому между ними соглашению для распределения этих сумм Сометаллом между закрывающимися заводами в покрытие расходов по остановке и содержанию заводов.</w:t>
      </w:r>
    </w:p>
    <w:p w14:paraId="78157417"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Если бы по окончании ликвидационного периода и по погашении всех единовременных затрат по закрытию заводов поступления добавочной платы стали превышать расходы по содержанию остановленных заводов или если бы со временем оказалось возможным вновь пустить в ход некоторые из этих заводов, то размер добавочной платы должен быть соответственно сокращен.</w:t>
      </w:r>
    </w:p>
    <w:p w14:paraId="6A139B0D" w14:textId="77777777" w:rsidR="00CF4618"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628" w:anchor="_ftnref1" w:history="1">
        <w:r w:rsidR="00CF4618" w:rsidRPr="002F2FDF">
          <w:rPr>
            <w:rFonts w:ascii="Times New Roman" w:hAnsi="Times New Roman" w:cs="Times New Roman"/>
            <w:color w:val="000000" w:themeColor="text1"/>
            <w:kern w:val="2"/>
            <w:sz w:val="16"/>
            <w:szCs w:val="16"/>
          </w:rPr>
          <w:t>[1]</w:t>
        </w:r>
      </w:hyperlink>
      <w:r w:rsidR="00CF4618" w:rsidRPr="002F2FDF">
        <w:rPr>
          <w:rFonts w:ascii="Times New Roman" w:hAnsi="Times New Roman" w:cs="Times New Roman"/>
          <w:color w:val="000000" w:themeColor="text1"/>
          <w:kern w:val="2"/>
          <w:sz w:val="16"/>
          <w:szCs w:val="16"/>
        </w:rPr>
        <w:t xml:space="preserve"> Датируется по препроводительной.</w:t>
      </w:r>
    </w:p>
    <w:p w14:paraId="0D3035F1" w14:textId="77777777" w:rsidR="00CF4618"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629" w:anchor="_ftnref2" w:history="1">
        <w:r w:rsidR="00CF4618" w:rsidRPr="002F2FDF">
          <w:rPr>
            <w:rFonts w:ascii="Times New Roman" w:hAnsi="Times New Roman" w:cs="Times New Roman"/>
            <w:color w:val="000000" w:themeColor="text1"/>
            <w:kern w:val="2"/>
            <w:sz w:val="16"/>
            <w:szCs w:val="16"/>
          </w:rPr>
          <w:t>[2]</w:t>
        </w:r>
      </w:hyperlink>
      <w:r w:rsidR="00CF4618" w:rsidRPr="002F2FDF">
        <w:rPr>
          <w:rFonts w:ascii="Times New Roman" w:hAnsi="Times New Roman" w:cs="Times New Roman"/>
          <w:color w:val="000000" w:themeColor="text1"/>
          <w:kern w:val="2"/>
          <w:sz w:val="16"/>
          <w:szCs w:val="16"/>
        </w:rPr>
        <w:t xml:space="preserve"> Вопрос о закрытии названных четырех металлургических заводов дважды обсуждался в Металлургическом совещании при Монотопе, в которых принимали участие представители Совета съезда горнопромышленников Юга России П. С. Сергеев и М. И. Диденко. В связи с закрытием заводов П. С. Сергеев потребовал от правительственных органов выполнения двух принципиальных условий: 1) главноуполномочен-ный должен объявить, что закрытие происходит не по вине промышленников; 2) правительство должно компенсировать те заводы, которые будут закрыты. Представители горнопромышленников и правительства высказались за закрытие названных заводов, в то время как рабочая фракция предложила заводов не закрывать и принять все возможные меры к тому, чтобы могли работать и в дальнейшем, так как с закрытием заводов лишалось работы свыше 13 тыс. рабочих и служащих, а страна лишалась : 5 млн луд. сырого чугуна и около 1 млн пуд. прокатных изделий. Вследствие разногласий совещание не приняло никакого решения (Известия Особого совещания по топлив; 1917/1918, № 7, стр. 46—49). 25 октября 1917 г. Управление делами Особого совешанг по обороне телеграфировало полк. А. В. Панкину о том, что Главная экономическая комиссия Министерства торговли и промышленности постановила временно закрыть четыре названных завода и что предполагается правительственное сообщение о пп-чинах закрытия (ЦГВИА, ф. 369, оп. 16, д. 640, л. 45).</w:t>
      </w:r>
    </w:p>
    <w:p w14:paraId="0D920777" w14:textId="77777777" w:rsidR="00CF4618"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630" w:anchor="_ftnref3" w:history="1">
        <w:r w:rsidR="00CF4618" w:rsidRPr="002F2FDF">
          <w:rPr>
            <w:rFonts w:ascii="Times New Roman" w:hAnsi="Times New Roman" w:cs="Times New Roman"/>
            <w:color w:val="000000" w:themeColor="text1"/>
            <w:kern w:val="2"/>
            <w:sz w:val="16"/>
            <w:szCs w:val="16"/>
          </w:rPr>
          <w:t>[3]</w:t>
        </w:r>
      </w:hyperlink>
      <w:r w:rsidR="00CF4618" w:rsidRPr="002F2FDF">
        <w:rPr>
          <w:rFonts w:ascii="Times New Roman" w:hAnsi="Times New Roman" w:cs="Times New Roman"/>
          <w:color w:val="000000" w:themeColor="text1"/>
          <w:kern w:val="2"/>
          <w:sz w:val="16"/>
          <w:szCs w:val="16"/>
        </w:rPr>
        <w:t xml:space="preserve"> См. док 1937 вышел приказ НКОП № 227.</w:t>
      </w:r>
    </w:p>
    <w:p w14:paraId="36351A73" w14:textId="77777777" w:rsidR="00CF4618"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631" w:anchor="_ftnref4" w:history="1">
        <w:r w:rsidR="00CF4618" w:rsidRPr="002F2FDF">
          <w:rPr>
            <w:rFonts w:ascii="Times New Roman" w:hAnsi="Times New Roman" w:cs="Times New Roman"/>
            <w:color w:val="000000" w:themeColor="text1"/>
            <w:kern w:val="2"/>
            <w:sz w:val="16"/>
            <w:szCs w:val="16"/>
          </w:rPr>
          <w:t>[4]</w:t>
        </w:r>
      </w:hyperlink>
      <w:r w:rsidR="00CF4618" w:rsidRPr="002F2FDF">
        <w:rPr>
          <w:rFonts w:ascii="Times New Roman" w:hAnsi="Times New Roman" w:cs="Times New Roman"/>
          <w:color w:val="000000" w:themeColor="text1"/>
          <w:kern w:val="2"/>
          <w:sz w:val="16"/>
          <w:szCs w:val="16"/>
        </w:rPr>
        <w:t xml:space="preserve"> Телеграммой от 14 октября 1917 г. ген. Н. А. Бабиков сообщил полк. А. В. Паккину о согласии председателя Особого совещания по обороне на закрытие Кадиевского завода «в целях планомерного использования топлива» (ЦГВИА, ф. 369, оп. 16, д. 64; л. 32).</w:t>
      </w:r>
    </w:p>
    <w:p w14:paraId="2E448CCA" w14:textId="77777777" w:rsidR="00CF4618"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632" w:anchor="_ftnref5" w:history="1">
        <w:r w:rsidR="00CF4618" w:rsidRPr="002F2FDF">
          <w:rPr>
            <w:rFonts w:ascii="Times New Roman" w:hAnsi="Times New Roman" w:cs="Times New Roman"/>
            <w:color w:val="000000" w:themeColor="text1"/>
            <w:kern w:val="2"/>
            <w:sz w:val="16"/>
            <w:szCs w:val="16"/>
          </w:rPr>
          <w:t>[5]</w:t>
        </w:r>
      </w:hyperlink>
      <w:r w:rsidR="00CF4618" w:rsidRPr="002F2FDF">
        <w:rPr>
          <w:rFonts w:ascii="Times New Roman" w:hAnsi="Times New Roman" w:cs="Times New Roman"/>
          <w:color w:val="000000" w:themeColor="text1"/>
          <w:kern w:val="2"/>
          <w:sz w:val="16"/>
          <w:szCs w:val="16"/>
        </w:rPr>
        <w:t xml:space="preserve"> Комиссия при Главном экономическом комитете под председательстве* Я. Д. Прядкина занималась определением ежемесячной потребности в топливе по категориям потребителей.</w:t>
      </w:r>
    </w:p>
    <w:p w14:paraId="16D9E126" w14:textId="77777777" w:rsidR="00CF4618"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633" w:anchor="_ftnref6" w:history="1">
        <w:r w:rsidR="00CF4618" w:rsidRPr="002F2FDF">
          <w:rPr>
            <w:rFonts w:ascii="Times New Roman" w:hAnsi="Times New Roman" w:cs="Times New Roman"/>
            <w:color w:val="000000" w:themeColor="text1"/>
            <w:kern w:val="2"/>
            <w:sz w:val="16"/>
            <w:szCs w:val="16"/>
          </w:rPr>
          <w:t>[6]</w:t>
        </w:r>
      </w:hyperlink>
      <w:r w:rsidR="00CF4618" w:rsidRPr="002F2FDF">
        <w:rPr>
          <w:rFonts w:ascii="Times New Roman" w:hAnsi="Times New Roman" w:cs="Times New Roman"/>
          <w:color w:val="000000" w:themeColor="text1"/>
          <w:kern w:val="2"/>
          <w:sz w:val="16"/>
          <w:szCs w:val="16"/>
        </w:rPr>
        <w:t xml:space="preserve"> В деле не имеется.</w:t>
      </w:r>
    </w:p>
    <w:p w14:paraId="3F9F3862" w14:textId="77777777" w:rsidR="00CF4618" w:rsidRPr="002F2FDF" w:rsidRDefault="00000000" w:rsidP="0083075A">
      <w:pPr>
        <w:spacing w:after="0" w:line="240" w:lineRule="auto"/>
        <w:jc w:val="both"/>
        <w:rPr>
          <w:rFonts w:ascii="Times New Roman" w:hAnsi="Times New Roman" w:cs="Times New Roman"/>
          <w:color w:val="000000" w:themeColor="text1"/>
          <w:kern w:val="2"/>
          <w:sz w:val="16"/>
          <w:szCs w:val="16"/>
        </w:rPr>
      </w:pPr>
      <w:hyperlink r:id="rId634" w:anchor="_ftnref7" w:history="1">
        <w:r w:rsidR="00CF4618" w:rsidRPr="002F2FDF">
          <w:rPr>
            <w:rFonts w:ascii="Times New Roman" w:hAnsi="Times New Roman" w:cs="Times New Roman"/>
            <w:color w:val="000000" w:themeColor="text1"/>
            <w:kern w:val="2"/>
            <w:sz w:val="16"/>
            <w:szCs w:val="16"/>
          </w:rPr>
          <w:t>[7]</w:t>
        </w:r>
      </w:hyperlink>
      <w:r w:rsidR="00CF4618" w:rsidRPr="002F2FDF">
        <w:rPr>
          <w:rFonts w:ascii="Times New Roman" w:hAnsi="Times New Roman" w:cs="Times New Roman"/>
          <w:color w:val="000000" w:themeColor="text1"/>
          <w:kern w:val="2"/>
          <w:sz w:val="16"/>
          <w:szCs w:val="16"/>
        </w:rPr>
        <w:t xml:space="preserve"> Имеется в виду, вероятно. Союз представителей металлургической и желез:-делательной промышленности (15673).</w:t>
      </w:r>
    </w:p>
    <w:p w14:paraId="5A42EFAD"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p>
    <w:p w14:paraId="54F1A52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55992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6271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25 октября (7 ноября) 1917 российские ВВС насчитывали около 2200 самолетов, из которых 1109 числилось за французской авиацией и авиашколами, 240 - в морской авиации, около 800 - в ремонте и резерве и 35 - в ЭВК. Российские ВВС занимали, по-прежнему, 4-е место в мире, но лидировали в применении тяжелой бомбардировочной авиации и в гидроавиации.</w:t>
      </w:r>
    </w:p>
    <w:p w14:paraId="23A2AB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организационном отношении российские ВВС имели четкую структуру, базисным звеном которой являлся авиаотряд. Авиаотряды подразделялись на корпусные, армейские и истребительные, а в морской авиации - на корабельные (размещенные на авиатранспортах) и береговые. Если вначале в авиаотрядах по штату имелось по 6-8 аэропланов, то к моменту выхода России из войны - по 8-10 . Подчинялись они штабам соответствующих корпусов армий и других объединений, а в плане технического и кадрового обеспечения являлись составными частями авиационных рот. Всего к этому моменту в российских ВВС насчитывалось 132 авиаотряда (против 39, имевшихся к началу войны), из них 91 в сухопутных войсках, из них истребительных - 17 (фронтовых - 15 и противовоздушной обороны городов - 2); разведывательных - 71 (армейских - 12, корпусных - 56, крепостных - 2 и учебных - 1); корректировочных - 3, а также 5 - в ЭВК и 36 - в морской авиации.</w:t>
      </w:r>
    </w:p>
    <w:p w14:paraId="32894E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Морская авиация состояла из двух дивизий: воздушная дивизия Балтийского моря и воздушная дивизия Черного моря. Дивизия состояла из двух воздушных бригад, имевших по 2-3 воздушных дивизиона. В каждом воздушном дивизионе было по 2-3 авиаотряда. 5 авиаотрядов базировались на пяти транспортах (4 - в Черном море и 1 - в Балтийском). За весь период участия России в войне на фронт поступило 6812 самолетов (в морскую авиацию - 1030), из них 73% было произведено в России, в основном по французским образцам.</w:t>
      </w:r>
    </w:p>
    <w:p w14:paraId="58A279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Непосредственно в авиаотрядах, действовавших на фронтах, из 662 летчиков 263 были солдатами. Вместе с воздухоплавателями личный состав воздушных сил доходил до 2000 человек.  Общее число привлеченных в воздушный флот вместе с тыловыми учреждениями и школами составляло на этот момент в России 35 тысяч человек.</w:t>
      </w:r>
    </w:p>
    <w:p w14:paraId="6C20E2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Таков был состав ВВС России на момент ее фактического выхода из активных участников Первой мировой войны.</w:t>
      </w:r>
    </w:p>
    <w:p w14:paraId="448D72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лета 1914 по конец 1917 российская промышленность произвела 5012 аэропланов и закуплено за границей было 1800.</w:t>
      </w:r>
    </w:p>
    <w:p w14:paraId="015E43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к концу этого года в России имелось 27 предприятий (14 строили самолеты, 7 - двигатели, 3 - воздушные винты, лыжи, поплавки, 2 - магнето, 1 - авиаприборы). На этих предприятиях было занято около 10 тыс. рабочих. 81% фондов имели и 87% самолетов производили предприятия ДУКС, РБВЗ, Анатра, Лебедева, Щетинина; на них было занято около 8 тысяч рабочих.</w:t>
      </w:r>
    </w:p>
    <w:p w14:paraId="1846F4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Если к 1 мая 1916 г. отечественное самолетостроение получило от предприятий России 461 двигатель, или 36% от необходимого количества, то к концу 1917 г. русские заводы покрыли только 5% заказов. Основные отечественные самолетостроительные заводы, имея заказы на 2290 самолетов, получили от военного ведомства к октябрю 1917 г. только 525 двигателей. Программа была обеспечена только на 15%. Таким образом, почти 50% построенных в России самолетов оставалось без двигателей.</w:t>
      </w:r>
    </w:p>
    <w:p w14:paraId="7513FF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этого года в России было 12 действующих авиационных школ.</w:t>
      </w:r>
    </w:p>
    <w:p w14:paraId="1B4B4F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Киевскую школу летчиков-наблюдателей в 1917 г. перевели в Евпаторию.</w:t>
      </w:r>
    </w:p>
    <w:p w14:paraId="3323DF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была организована небольшая летная школа в Феодосии.</w:t>
      </w:r>
    </w:p>
    <w:p w14:paraId="02485C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Севастополе работала военная школа морских летчиков, где обучение велось на гидросамолетах Григоровича.</w:t>
      </w:r>
    </w:p>
    <w:p w14:paraId="2D2352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годы войны германскими дирижаблями на Россию было сброшено 60 322 кг бомб.</w:t>
      </w:r>
    </w:p>
    <w:p w14:paraId="3F17A8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"ИМ" совершили за время войны более 400 боевых вылетов, сбросив около 65 т бомб. </w:t>
      </w:r>
    </w:p>
    <w:p w14:paraId="09B02C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из 150 русских летчиков-истребителей было 26 асов . За годы войны русские летчики сбили 188 германских самолетов (11999).</w:t>
      </w:r>
    </w:p>
    <w:p w14:paraId="46B48B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4FB0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25 октября </w:t>
      </w:r>
      <w:r w:rsidR="001157F8" w:rsidRPr="002F2FDF">
        <w:rPr>
          <w:rFonts w:ascii="Times New Roman" w:hAnsi="Times New Roman" w:cs="Times New Roman"/>
          <w:color w:val="000000" w:themeColor="text1"/>
          <w:kern w:val="2"/>
          <w:sz w:val="16"/>
          <w:szCs w:val="16"/>
        </w:rPr>
        <w:t xml:space="preserve">(7 ноября) </w:t>
      </w:r>
      <w:r w:rsidRPr="002F2FDF">
        <w:rPr>
          <w:rFonts w:ascii="Times New Roman" w:hAnsi="Times New Roman" w:cs="Times New Roman"/>
          <w:color w:val="000000" w:themeColor="text1"/>
          <w:kern w:val="2"/>
          <w:sz w:val="16"/>
          <w:szCs w:val="16"/>
        </w:rPr>
        <w:t>1917:</w:t>
      </w:r>
    </w:p>
    <w:p w14:paraId="6724C8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СОСТОЯНИЕ ЭВК В НОЧЬ НА 25-26 ОКТЯБРЯ 1917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tblGrid>
      <w:tr w:rsidR="002B1C74" w:rsidRPr="002F2FDF" w14:paraId="7245DBBD" w14:textId="77777777">
        <w:tc>
          <w:tcPr>
            <w:tcW w:w="5605" w:type="dxa"/>
            <w:tcBorders>
              <w:top w:val="single" w:sz="12" w:space="0" w:color="auto"/>
            </w:tcBorders>
          </w:tcPr>
          <w:p w14:paraId="092F2F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1-й боевой отряд, Румынский фронт, Волга -</w:t>
            </w:r>
          </w:p>
        </w:tc>
      </w:tr>
      <w:tr w:rsidR="002B1C74" w:rsidRPr="002F2FDF" w14:paraId="4832F7A8" w14:textId="77777777">
        <w:tc>
          <w:tcPr>
            <w:tcW w:w="5605" w:type="dxa"/>
          </w:tcPr>
          <w:p w14:paraId="7D0BC935" w14:textId="77777777" w:rsidR="003431D2"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w:t>
            </w:r>
            <w:r w:rsidR="003431D2" w:rsidRPr="002F2FDF">
              <w:rPr>
                <w:rFonts w:ascii="Times New Roman" w:hAnsi="Times New Roman" w:cs="Times New Roman"/>
                <w:color w:val="000000" w:themeColor="text1"/>
                <w:kern w:val="2"/>
                <w:sz w:val="16"/>
                <w:szCs w:val="16"/>
              </w:rPr>
              <w:t>ийка</w:t>
            </w:r>
          </w:p>
        </w:tc>
      </w:tr>
      <w:tr w:rsidR="002B1C74" w:rsidRPr="002F2FDF" w14:paraId="3480EDDC" w14:textId="77777777">
        <w:tc>
          <w:tcPr>
            <w:tcW w:w="5605" w:type="dxa"/>
          </w:tcPr>
          <w:p w14:paraId="6653B6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IX подполковника Нижевского P.JI.</w:t>
            </w:r>
          </w:p>
        </w:tc>
      </w:tr>
      <w:tr w:rsidR="002B1C74" w:rsidRPr="002F2FDF" w14:paraId="01925D54" w14:textId="77777777">
        <w:tc>
          <w:tcPr>
            <w:tcW w:w="5605" w:type="dxa"/>
          </w:tcPr>
          <w:p w14:paraId="5131E1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XVI поручика Кованько А.А.</w:t>
            </w:r>
          </w:p>
        </w:tc>
      </w:tr>
      <w:tr w:rsidR="002B1C74" w:rsidRPr="002F2FDF" w14:paraId="61876F0C" w14:textId="77777777">
        <w:tc>
          <w:tcPr>
            <w:tcW w:w="5605" w:type="dxa"/>
          </w:tcPr>
          <w:p w14:paraId="671311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2-й боевой отряд, Юго-Западный фронт,</w:t>
            </w:r>
          </w:p>
        </w:tc>
      </w:tr>
      <w:tr w:rsidR="002B1C74" w:rsidRPr="002F2FDF" w14:paraId="024D51E9" w14:textId="77777777">
        <w:tc>
          <w:tcPr>
            <w:tcW w:w="5605" w:type="dxa"/>
          </w:tcPr>
          <w:p w14:paraId="23BC1A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Стрнховцы</w:t>
            </w:r>
          </w:p>
        </w:tc>
      </w:tr>
      <w:tr w:rsidR="002B1C74" w:rsidRPr="002F2FDF" w14:paraId="61A0BB6C" w14:textId="77777777">
        <w:tc>
          <w:tcPr>
            <w:tcW w:w="5605" w:type="dxa"/>
          </w:tcPr>
          <w:p w14:paraId="6B4C1A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III капитана Жигайлова Е.И.</w:t>
            </w:r>
          </w:p>
        </w:tc>
      </w:tr>
      <w:tr w:rsidR="002B1C74" w:rsidRPr="002F2FDF" w14:paraId="1D755D12" w14:textId="77777777">
        <w:tc>
          <w:tcPr>
            <w:tcW w:w="5605" w:type="dxa"/>
          </w:tcPr>
          <w:p w14:paraId="6E430D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VIII есаула Лобова В.Д.</w:t>
            </w:r>
          </w:p>
        </w:tc>
      </w:tr>
      <w:tr w:rsidR="002B1C74" w:rsidRPr="002F2FDF" w14:paraId="6766C6C5" w14:textId="77777777">
        <w:tc>
          <w:tcPr>
            <w:tcW w:w="5605" w:type="dxa"/>
          </w:tcPr>
          <w:p w14:paraId="3A804F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 ротмистра Середницкого А.В.</w:t>
            </w:r>
          </w:p>
        </w:tc>
      </w:tr>
      <w:tr w:rsidR="002B1C74" w:rsidRPr="002F2FDF" w14:paraId="134B5D77" w14:textId="77777777">
        <w:tc>
          <w:tcPr>
            <w:tcW w:w="5605" w:type="dxa"/>
          </w:tcPr>
          <w:p w14:paraId="6CE474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XII поручика Кроткова Ю.А.</w:t>
            </w:r>
          </w:p>
        </w:tc>
      </w:tr>
      <w:tr w:rsidR="002B1C74" w:rsidRPr="002F2FDF" w14:paraId="2C3E47AA" w14:textId="77777777">
        <w:tc>
          <w:tcPr>
            <w:tcW w:w="5605" w:type="dxa"/>
          </w:tcPr>
          <w:p w14:paraId="4D4D5E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3-й боевой отряд, Западный фронт, Стань</w:t>
            </w:r>
          </w:p>
        </w:tc>
      </w:tr>
      <w:tr w:rsidR="002B1C74" w:rsidRPr="002F2FDF" w14:paraId="592B5FD2" w14:textId="77777777">
        <w:tc>
          <w:tcPr>
            <w:tcW w:w="5605" w:type="dxa"/>
          </w:tcPr>
          <w:p w14:paraId="6C5021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XIV подпоручика Гаврилова А.А.</w:t>
            </w:r>
          </w:p>
        </w:tc>
      </w:tr>
      <w:tr w:rsidR="002B1C74" w:rsidRPr="002F2FDF" w14:paraId="7A45851A" w14:textId="77777777">
        <w:tc>
          <w:tcPr>
            <w:tcW w:w="5605" w:type="dxa"/>
          </w:tcPr>
          <w:p w14:paraId="7007E768" w14:textId="77777777" w:rsidR="003431D2" w:rsidRPr="002F2FDF" w:rsidRDefault="001157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w:t>
            </w:r>
            <w:r w:rsidR="003431D2" w:rsidRPr="002F2FDF">
              <w:rPr>
                <w:rFonts w:ascii="Times New Roman" w:hAnsi="Times New Roman" w:cs="Times New Roman"/>
                <w:color w:val="000000" w:themeColor="text1"/>
                <w:kern w:val="2"/>
                <w:sz w:val="16"/>
                <w:szCs w:val="16"/>
              </w:rPr>
              <w:t>ово</w:t>
            </w:r>
          </w:p>
        </w:tc>
      </w:tr>
      <w:tr w:rsidR="002B1C74" w:rsidRPr="002F2FDF" w14:paraId="7FCB5E88" w14:textId="77777777">
        <w:tc>
          <w:tcPr>
            <w:tcW w:w="5605" w:type="dxa"/>
          </w:tcPr>
          <w:p w14:paraId="58102E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Киевский полковника Башко И.С.</w:t>
            </w:r>
          </w:p>
        </w:tc>
      </w:tr>
      <w:tr w:rsidR="002B1C74" w:rsidRPr="002F2FDF" w14:paraId="08E5502D" w14:textId="77777777">
        <w:tc>
          <w:tcPr>
            <w:tcW w:w="5605" w:type="dxa"/>
          </w:tcPr>
          <w:p w14:paraId="37F68F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 штабс-капитана Грека Г.В.</w:t>
            </w:r>
          </w:p>
        </w:tc>
      </w:tr>
      <w:tr w:rsidR="002B1C74" w:rsidRPr="002F2FDF" w14:paraId="4DC4DA50" w14:textId="77777777">
        <w:tc>
          <w:tcPr>
            <w:tcW w:w="5605" w:type="dxa"/>
          </w:tcPr>
          <w:p w14:paraId="60418C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XIII капитана Белякова А.И.</w:t>
            </w:r>
          </w:p>
        </w:tc>
      </w:tr>
      <w:tr w:rsidR="002B1C74" w:rsidRPr="002F2FDF" w14:paraId="2E9CAA87" w14:textId="77777777">
        <w:tc>
          <w:tcPr>
            <w:tcW w:w="5605" w:type="dxa"/>
          </w:tcPr>
          <w:p w14:paraId="13F810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XV штабс-капитана Демичева-Иванова</w:t>
            </w:r>
          </w:p>
        </w:tc>
      </w:tr>
      <w:tr w:rsidR="002B1C74" w:rsidRPr="002F2FDF" w14:paraId="787A8497" w14:textId="77777777">
        <w:tc>
          <w:tcPr>
            <w:tcW w:w="5605" w:type="dxa"/>
          </w:tcPr>
          <w:p w14:paraId="4B46DC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И.Г.</w:t>
            </w:r>
          </w:p>
        </w:tc>
      </w:tr>
      <w:tr w:rsidR="002B1C74" w:rsidRPr="002F2FDF" w14:paraId="44E03C69" w14:textId="77777777">
        <w:tc>
          <w:tcPr>
            <w:tcW w:w="5605" w:type="dxa"/>
          </w:tcPr>
          <w:p w14:paraId="0F3D7C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4-й запасной отряд, база, Юго-Западный</w:t>
            </w:r>
          </w:p>
        </w:tc>
      </w:tr>
      <w:tr w:rsidR="002B1C74" w:rsidRPr="002F2FDF" w14:paraId="17B76A97" w14:textId="77777777">
        <w:tc>
          <w:tcPr>
            <w:tcW w:w="5605" w:type="dxa"/>
          </w:tcPr>
          <w:p w14:paraId="697A66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фронт, Винница</w:t>
            </w:r>
          </w:p>
        </w:tc>
      </w:tr>
      <w:tr w:rsidR="002B1C74" w:rsidRPr="002F2FDF" w14:paraId="5768817C" w14:textId="77777777">
        <w:tc>
          <w:tcPr>
            <w:tcW w:w="5605" w:type="dxa"/>
          </w:tcPr>
          <w:p w14:paraId="7280EF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поручика Плешкова Г.Г.</w:t>
            </w:r>
          </w:p>
        </w:tc>
      </w:tr>
      <w:tr w:rsidR="002B1C74" w:rsidRPr="002F2FDF" w14:paraId="287A06A7" w14:textId="77777777">
        <w:tc>
          <w:tcPr>
            <w:tcW w:w="5605" w:type="dxa"/>
          </w:tcPr>
          <w:p w14:paraId="5F3C54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ротмистра Романова В.А.</w:t>
            </w:r>
          </w:p>
        </w:tc>
      </w:tr>
      <w:tr w:rsidR="002B1C74" w:rsidRPr="002F2FDF" w14:paraId="6F2025BE" w14:textId="77777777">
        <w:tc>
          <w:tcPr>
            <w:tcW w:w="5605" w:type="dxa"/>
          </w:tcPr>
          <w:p w14:paraId="6C5E0C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учебный</w:t>
            </w:r>
          </w:p>
        </w:tc>
      </w:tr>
      <w:tr w:rsidR="002B1C74" w:rsidRPr="002F2FDF" w14:paraId="33F02FC1" w14:textId="77777777">
        <w:tc>
          <w:tcPr>
            <w:tcW w:w="5605" w:type="dxa"/>
          </w:tcPr>
          <w:p w14:paraId="3F54D1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IV капитана Шарова Я.Н.</w:t>
            </w:r>
          </w:p>
        </w:tc>
      </w:tr>
      <w:tr w:rsidR="002B1C74" w:rsidRPr="002F2FDF" w14:paraId="56EF854E" w14:textId="77777777">
        <w:tc>
          <w:tcPr>
            <w:tcW w:w="5605" w:type="dxa"/>
          </w:tcPr>
          <w:p w14:paraId="2064D2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 капитана Алехновича Г.В.</w:t>
            </w:r>
          </w:p>
        </w:tc>
      </w:tr>
      <w:tr w:rsidR="002B1C74" w:rsidRPr="002F2FDF" w14:paraId="6A697721" w14:textId="77777777">
        <w:tc>
          <w:tcPr>
            <w:tcW w:w="5605" w:type="dxa"/>
          </w:tcPr>
          <w:p w14:paraId="3DD9DF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 поручика Лутца А.Ю.</w:t>
            </w:r>
          </w:p>
        </w:tc>
      </w:tr>
      <w:tr w:rsidR="002B1C74" w:rsidRPr="002F2FDF" w14:paraId="49EFC7D9" w14:textId="77777777">
        <w:tc>
          <w:tcPr>
            <w:tcW w:w="5605" w:type="dxa"/>
          </w:tcPr>
          <w:p w14:paraId="6B0C17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XIV учебный</w:t>
            </w:r>
          </w:p>
        </w:tc>
      </w:tr>
      <w:tr w:rsidR="002B1C74" w:rsidRPr="002F2FDF" w14:paraId="42F7BAD4" w14:textId="77777777">
        <w:tc>
          <w:tcPr>
            <w:tcW w:w="5605" w:type="dxa"/>
          </w:tcPr>
          <w:p w14:paraId="0ED2AB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№237, 238 на платформах</w:t>
            </w:r>
          </w:p>
        </w:tc>
      </w:tr>
      <w:tr w:rsidR="002B1C74" w:rsidRPr="002F2FDF" w14:paraId="58FA8F9C" w14:textId="77777777">
        <w:tc>
          <w:tcPr>
            <w:tcW w:w="5605" w:type="dxa"/>
            <w:tcBorders>
              <w:bottom w:val="single" w:sz="12" w:space="0" w:color="auto"/>
            </w:tcBorders>
          </w:tcPr>
          <w:p w14:paraId="34C732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20 кораблей.</w:t>
            </w:r>
          </w:p>
        </w:tc>
      </w:tr>
    </w:tbl>
    <w:p w14:paraId="1F642C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базе в Виннице имелось 8 кораблей, которые были в различных стадиях ремонта, сборки, регулировки и установки моторов и радиаторов. Десять машин находилось на фронте. Ощутимый урон нанесла сильная буря, начавшаяся 15 ноября. На базе было поломано 11 малых аппаратов, 2 учебных и 2 боевых корабля, а во 2-м боевом отряде на Юго-За- падном фронте - 4 корабля (12038).</w:t>
      </w:r>
    </w:p>
    <w:p w14:paraId="61160D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D8A507" w14:textId="77777777" w:rsidR="00E063D4" w:rsidRPr="002F2FDF" w:rsidRDefault="00E063D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25 октября (7 ноября) 1917 г. прапорщик Селитренников и охотник (доброволец) Наумов из состава 36-го корпусного воздухоплавательного отряда вы</w:t>
      </w:r>
      <w:r w:rsidRPr="002F2FDF">
        <w:rPr>
          <w:rFonts w:ascii="Times New Roman" w:hAnsi="Times New Roman" w:cs="Times New Roman"/>
          <w:color w:val="000000" w:themeColor="text1"/>
          <w:sz w:val="16"/>
          <w:szCs w:val="16"/>
        </w:rPr>
        <w:softHyphen/>
        <w:t>полняли задание в корзине змейкового аэростата, буксируемого бронекатером Дунайской военной флотилии. При возвращении к береговой сто</w:t>
      </w:r>
      <w:r w:rsidRPr="002F2FDF">
        <w:rPr>
          <w:rFonts w:ascii="Times New Roman" w:hAnsi="Times New Roman" w:cs="Times New Roman"/>
          <w:color w:val="000000" w:themeColor="text1"/>
          <w:sz w:val="16"/>
          <w:szCs w:val="16"/>
        </w:rPr>
        <w:softHyphen/>
        <w:t>янке Чатал-Киой аэростат был атакован герман</w:t>
      </w:r>
      <w:r w:rsidRPr="002F2FDF">
        <w:rPr>
          <w:rFonts w:ascii="Times New Roman" w:hAnsi="Times New Roman" w:cs="Times New Roman"/>
          <w:color w:val="000000" w:themeColor="text1"/>
          <w:sz w:val="16"/>
          <w:szCs w:val="16"/>
        </w:rPr>
        <w:softHyphen/>
        <w:t>ским истребителем, пилотируемым фельдфебе</w:t>
      </w:r>
      <w:r w:rsidRPr="002F2FDF">
        <w:rPr>
          <w:rFonts w:ascii="Times New Roman" w:hAnsi="Times New Roman" w:cs="Times New Roman"/>
          <w:color w:val="000000" w:themeColor="text1"/>
          <w:sz w:val="16"/>
          <w:szCs w:val="16"/>
        </w:rPr>
        <w:softHyphen/>
        <w:t>лем Шусслером. После загорания аэростата они выбросились с парашютами с высоты 300-350 м. Парашют Наумова, накрытый в воздухе пылаю</w:t>
      </w:r>
      <w:r w:rsidRPr="002F2FDF">
        <w:rPr>
          <w:rFonts w:ascii="Times New Roman" w:hAnsi="Times New Roman" w:cs="Times New Roman"/>
          <w:color w:val="000000" w:themeColor="text1"/>
          <w:sz w:val="16"/>
          <w:szCs w:val="16"/>
        </w:rPr>
        <w:softHyphen/>
        <w:t>щей оболочкой, загорелся, но воздухоплаватель ухватился за стропы подвески корзины и благо</w:t>
      </w:r>
      <w:r w:rsidRPr="002F2FDF">
        <w:rPr>
          <w:rFonts w:ascii="Times New Roman" w:hAnsi="Times New Roman" w:cs="Times New Roman"/>
          <w:color w:val="000000" w:themeColor="text1"/>
          <w:sz w:val="16"/>
          <w:szCs w:val="16"/>
        </w:rPr>
        <w:softHyphen/>
        <w:t>получно опустился в воду с остатками аэростата. Воздухоплавателей спас буксировавший аэро</w:t>
      </w:r>
      <w:r w:rsidRPr="002F2FDF">
        <w:rPr>
          <w:rFonts w:ascii="Times New Roman" w:hAnsi="Times New Roman" w:cs="Times New Roman"/>
          <w:color w:val="000000" w:themeColor="text1"/>
          <w:sz w:val="16"/>
          <w:szCs w:val="16"/>
        </w:rPr>
        <w:softHyphen/>
        <w:t>стат бронекатер, отогнавший вражеский самолёт огнём 57-мм орудия и двух пулемётов «Максим» (20120).</w:t>
      </w:r>
    </w:p>
    <w:p w14:paraId="053FAD47" w14:textId="77777777" w:rsidR="00E063D4" w:rsidRPr="002F2FDF" w:rsidRDefault="00E063D4" w:rsidP="0083075A">
      <w:pPr>
        <w:spacing w:after="0" w:line="240" w:lineRule="auto"/>
        <w:jc w:val="both"/>
        <w:rPr>
          <w:rFonts w:ascii="Times New Roman" w:hAnsi="Times New Roman" w:cs="Times New Roman"/>
          <w:color w:val="000000" w:themeColor="text1"/>
          <w:sz w:val="16"/>
          <w:szCs w:val="16"/>
        </w:rPr>
      </w:pPr>
    </w:p>
    <w:p w14:paraId="2612DC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25 октября </w:t>
      </w:r>
      <w:r w:rsidR="001157F8" w:rsidRPr="002F2FDF">
        <w:rPr>
          <w:rFonts w:ascii="Times New Roman" w:hAnsi="Times New Roman" w:cs="Times New Roman"/>
          <w:color w:val="000000" w:themeColor="text1"/>
          <w:kern w:val="2"/>
          <w:sz w:val="16"/>
          <w:szCs w:val="16"/>
        </w:rPr>
        <w:t xml:space="preserve">(7 ноября) </w:t>
      </w:r>
      <w:r w:rsidRPr="002F2FDF">
        <w:rPr>
          <w:rFonts w:ascii="Times New Roman" w:hAnsi="Times New Roman" w:cs="Times New Roman"/>
          <w:color w:val="000000" w:themeColor="text1"/>
          <w:kern w:val="2"/>
          <w:sz w:val="16"/>
          <w:szCs w:val="16"/>
        </w:rPr>
        <w:t>1917 г. вышла резолюция общего собрания представителей судов минной дивизии:</w:t>
      </w:r>
    </w:p>
    <w:p w14:paraId="3CAE55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"Мы, представители судов "Автроил", "Изяслав", "Гавриил", единогласно постановили: требовать перехода всей власти к Всероссийскому съезду Советов; требовать немедленного роспуска Предпарламента Российской республики, созданного для оплота буржуазии и контрреволюционного правительства; никакой торговли за власть с буржуазными классами быть не может, ибо, добиваясь власти, они направляют ее против народа и стремятся восстановить свое господство над трудящимися. Вся наша сила за Советами, и мы в любой момент по их призыву готовы пойти на баррикадный бой против буржуазных классов" (10700).</w:t>
      </w:r>
    </w:p>
    <w:p w14:paraId="0704C1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91AE3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Вечером 25 октября </w:t>
      </w:r>
      <w:r w:rsidR="001157F8" w:rsidRPr="002F2FDF">
        <w:rPr>
          <w:rFonts w:ascii="Times New Roman" w:hAnsi="Times New Roman" w:cs="Times New Roman"/>
          <w:color w:val="000000" w:themeColor="text1"/>
          <w:kern w:val="2"/>
          <w:sz w:val="16"/>
          <w:szCs w:val="16"/>
        </w:rPr>
        <w:t xml:space="preserve">(7 ноября) </w:t>
      </w:r>
      <w:r w:rsidRPr="002F2FDF">
        <w:rPr>
          <w:rFonts w:ascii="Times New Roman" w:hAnsi="Times New Roman" w:cs="Times New Roman"/>
          <w:color w:val="000000" w:themeColor="text1"/>
          <w:kern w:val="2"/>
          <w:sz w:val="16"/>
          <w:szCs w:val="16"/>
        </w:rPr>
        <w:t>1917 г. Константин Василье</w:t>
      </w:r>
      <w:r w:rsidRPr="002F2FDF">
        <w:rPr>
          <w:rFonts w:ascii="Times New Roman" w:hAnsi="Times New Roman" w:cs="Times New Roman"/>
          <w:color w:val="000000" w:themeColor="text1"/>
          <w:kern w:val="2"/>
          <w:sz w:val="16"/>
          <w:szCs w:val="16"/>
        </w:rPr>
        <w:softHyphen/>
        <w:t>вич Акашев, переодевшись в офицерскую форму и обманув юнкеров Михайловского артиллерий</w:t>
      </w:r>
      <w:r w:rsidRPr="002F2FDF">
        <w:rPr>
          <w:rFonts w:ascii="Times New Roman" w:hAnsi="Times New Roman" w:cs="Times New Roman"/>
          <w:color w:val="000000" w:themeColor="text1"/>
          <w:kern w:val="2"/>
          <w:sz w:val="16"/>
          <w:szCs w:val="16"/>
        </w:rPr>
        <w:softHyphen/>
        <w:t>ского училища, увел их отряд от Зимнего дворца, чем облегчил его захват (10667).</w:t>
      </w:r>
    </w:p>
    <w:p w14:paraId="5BD5687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1694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октября (7 ноября) около 23 часов по указанию Я. М. Свердлова матросы полигона И. Дунаев и М. Журавлев, приняли под свое командование батарею 3-дм полевых орудий, заменив колеблющихся артиллеристов Петропавловской крепости, и открыли огонь по Зимнему дворцу сделав при этом 30-35 выстрелов картечными снарядами. Эта стрельба имела больше психологический характер, чем боевой. Только один снаряд попал в карниз здания на третьем этаже, все остальные разорвались над Невой (12031).</w:t>
      </w:r>
    </w:p>
    <w:p w14:paraId="6E5BF1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5958E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6B3D4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69D913" w14:textId="784815A0" w:rsidR="007B10CD" w:rsidRPr="00FB4F67" w:rsidRDefault="007B10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25 октября </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7 ноября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года большевистская «Октябрьская» революция свергла Временное правительство Керенского и захватила власть в Петрограде и в штабе Северного фронта в Пскове. 8-го ВРК разослал телеграммы на все фронты, сообщая, что они свергли правительство и до образования правительства Советов вся власть передана ВРК. 9-го Ленин был избран председателем Совета Народных Комиссаров, а Троцкий — наркомом иностранных дел. 10 числа красногвардейцы осадили Кремль в Москве, где кровопролитные бои продолжались до 15 числа. Красногвардейцы захватили власть в Ярославле, Казани и Самаре иборолись за контроль над Смоленском (23525).</w:t>
      </w:r>
    </w:p>
    <w:p w14:paraId="79B9AEED" w14:textId="77777777" w:rsidR="007B10CD" w:rsidRPr="00FB4F67" w:rsidRDefault="007B10CD" w:rsidP="0083075A">
      <w:pPr>
        <w:spacing w:after="0" w:line="240" w:lineRule="auto"/>
        <w:jc w:val="both"/>
        <w:rPr>
          <w:rFonts w:ascii="Times New Roman" w:hAnsi="Times New Roman" w:cs="Times New Roman"/>
          <w:color w:val="0070C0"/>
          <w:sz w:val="16"/>
          <w:szCs w:val="16"/>
        </w:rPr>
      </w:pPr>
    </w:p>
    <w:p w14:paraId="1B34DFFA" w14:textId="77777777" w:rsidR="00CB3E65" w:rsidRPr="00FB4F67" w:rsidRDefault="00CB3E6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25 октября (7 ноября) 1917 г. в 10 часов радиостанция крейсера «Аврора» передала «всем, всем» написанное В. И. Лениным известное обращение «К гражданам России», в котором сообщалось, что временное правительство низложено и государственная власть перешла в руки пролетариата (23318).</w:t>
      </w:r>
    </w:p>
    <w:p w14:paraId="56812F65" w14:textId="77777777" w:rsidR="00CB3E65" w:rsidRPr="00FB4F67" w:rsidRDefault="00CB3E65" w:rsidP="0083075A">
      <w:pPr>
        <w:spacing w:after="0" w:line="240" w:lineRule="auto"/>
        <w:jc w:val="both"/>
        <w:rPr>
          <w:rFonts w:ascii="Times New Roman" w:hAnsi="Times New Roman" w:cs="Times New Roman"/>
          <w:color w:val="0070C0"/>
          <w:sz w:val="16"/>
          <w:szCs w:val="16"/>
        </w:rPr>
      </w:pPr>
    </w:p>
    <w:p w14:paraId="6BEC431C" w14:textId="77777777" w:rsidR="00B23481" w:rsidRPr="002F2FDF" w:rsidRDefault="00B2348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25 октября (7 ноября) 1917. Вечером в Политехническом музее собрался объединенный пленум Московских Советов рабочих и солдатских депутатов. На бурном и долгом заседании приняли резолюцию, поддерживающую петроградские революционные события. Был избран московский Военно-революционный комитет (ВРК), который приступил к немедленным действиям. Эсеры отказались войти в состав ВРК, а меньшевики вошли, чтобы препятствовать действиям большевиков. Деятельностью ВРК по решению МК РСДРП (б) руководил Боевой партийный съезд.</w:t>
      </w:r>
    </w:p>
    <w:p w14:paraId="61D778E3" w14:textId="77777777" w:rsidR="00B23481" w:rsidRPr="002F2FDF" w:rsidRDefault="00B2348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Этим же вечером собралась на экстренное заседание Городская Дума, принявшая резолюцию, что только она является законной властью. Городской голова эсер Руднев сформировал Комитет общественной безопасности, куда вошли юнкера, офицеры Московского гарнизона и добровольцы "домовой охраны".</w:t>
      </w:r>
    </w:p>
    <w:p w14:paraId="22459613" w14:textId="77777777" w:rsidR="00B23481" w:rsidRPr="002F2FDF" w:rsidRDefault="00B2348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Вечером вооруженными отрядами 56-го запасного полка захвачен телеграф, у почтамта выставлена охрана. Телефонное сообщие между Москвой и Петроградом прервано.</w:t>
      </w:r>
    </w:p>
    <w:p w14:paraId="629B292C" w14:textId="77777777" w:rsidR="00B23481" w:rsidRPr="002F2FDF" w:rsidRDefault="00B23481" w:rsidP="0083075A">
      <w:pPr>
        <w:spacing w:after="0" w:line="240" w:lineRule="auto"/>
        <w:jc w:val="both"/>
        <w:rPr>
          <w:rFonts w:ascii="Times New Roman" w:hAnsi="Times New Roman" w:cs="Times New Roman"/>
          <w:color w:val="000000" w:themeColor="text1"/>
          <w:sz w:val="16"/>
          <w:szCs w:val="16"/>
        </w:rPr>
      </w:pPr>
    </w:p>
    <w:p w14:paraId="758767C1" w14:textId="503E880D" w:rsidR="00B23481" w:rsidRPr="002F2FDF" w:rsidRDefault="00B23481"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25 октября (7 ноября) 1917</w:t>
      </w:r>
      <w:r w:rsidRPr="002F2FDF">
        <w:rPr>
          <w:color w:val="000000" w:themeColor="text1"/>
          <w:sz w:val="16"/>
          <w:szCs w:val="16"/>
        </w:rPr>
        <w:t xml:space="preserve"> в Петрограде в 22 часа 45 минут и до 6 утра следующего дня II Всероссийский Съезд Советов Рабочих и Солдатских Депутатов провел свое первое заседание, открывал его меньшевик Ф.И.</w:t>
      </w:r>
      <w:r w:rsidR="00E52569">
        <w:rPr>
          <w:color w:val="000000" w:themeColor="text1"/>
          <w:sz w:val="16"/>
          <w:szCs w:val="16"/>
        </w:rPr>
        <w:t xml:space="preserve"> </w:t>
      </w:r>
      <w:r w:rsidRPr="002F2FDF">
        <w:rPr>
          <w:color w:val="000000" w:themeColor="text1"/>
          <w:sz w:val="16"/>
          <w:szCs w:val="16"/>
        </w:rPr>
        <w:t>Дан (Гурвич, 1971-1947). Из 649-ти делегатов большевиков - 390, эсеров</w:t>
      </w:r>
      <w:r w:rsidR="00E52569">
        <w:rPr>
          <w:color w:val="000000" w:themeColor="text1"/>
          <w:sz w:val="16"/>
          <w:szCs w:val="16"/>
        </w:rPr>
        <w:t xml:space="preserve"> </w:t>
      </w:r>
      <w:r w:rsidRPr="002F2FDF">
        <w:rPr>
          <w:color w:val="000000" w:themeColor="text1"/>
          <w:sz w:val="16"/>
          <w:szCs w:val="16"/>
        </w:rPr>
        <w:t>– 160, меньшевиков</w:t>
      </w:r>
      <w:r w:rsidR="00E52569">
        <w:rPr>
          <w:color w:val="000000" w:themeColor="text1"/>
          <w:sz w:val="16"/>
          <w:szCs w:val="16"/>
        </w:rPr>
        <w:t xml:space="preserve"> </w:t>
      </w:r>
      <w:r w:rsidRPr="002F2FDF">
        <w:rPr>
          <w:color w:val="000000" w:themeColor="text1"/>
          <w:sz w:val="16"/>
          <w:szCs w:val="16"/>
        </w:rPr>
        <w:t>– 72, объединенных интернационалистов</w:t>
      </w:r>
      <w:r w:rsidR="00E52569">
        <w:rPr>
          <w:color w:val="000000" w:themeColor="text1"/>
          <w:sz w:val="16"/>
          <w:szCs w:val="16"/>
        </w:rPr>
        <w:t xml:space="preserve"> </w:t>
      </w:r>
      <w:r w:rsidRPr="002F2FDF">
        <w:rPr>
          <w:color w:val="000000" w:themeColor="text1"/>
          <w:sz w:val="16"/>
          <w:szCs w:val="16"/>
        </w:rPr>
        <w:t>– 14, меньшевиков-интернационалистов</w:t>
      </w:r>
      <w:r w:rsidR="00E52569">
        <w:rPr>
          <w:color w:val="000000" w:themeColor="text1"/>
          <w:sz w:val="16"/>
          <w:szCs w:val="16"/>
        </w:rPr>
        <w:t xml:space="preserve"> </w:t>
      </w:r>
      <w:r w:rsidRPr="002F2FDF">
        <w:rPr>
          <w:color w:val="000000" w:themeColor="text1"/>
          <w:sz w:val="16"/>
          <w:szCs w:val="16"/>
        </w:rPr>
        <w:t>– 6, украинских социалистов</w:t>
      </w:r>
      <w:r w:rsidR="00E52569">
        <w:rPr>
          <w:color w:val="000000" w:themeColor="text1"/>
          <w:sz w:val="16"/>
          <w:szCs w:val="16"/>
        </w:rPr>
        <w:t xml:space="preserve"> </w:t>
      </w:r>
      <w:r w:rsidRPr="002F2FDF">
        <w:rPr>
          <w:color w:val="000000" w:themeColor="text1"/>
          <w:sz w:val="16"/>
          <w:szCs w:val="16"/>
        </w:rPr>
        <w:t>– 7. После того, как правые социалисты покинули съезд, сложилась большевистско-левоэсеровская коалиция, имевшая около двух третей голосов. Большевики уже контролировали весь Петроград, в 2 часа 4 минуты ночи взят Зимний, через 6 минут арестованы министры Временного правительства, вскоре доставленные в Петропавловскую крепость. При взятии Зимнего дворца погибло 6 человек</w:t>
      </w:r>
      <w:r w:rsidR="00E52569">
        <w:rPr>
          <w:color w:val="000000" w:themeColor="text1"/>
          <w:sz w:val="16"/>
          <w:szCs w:val="16"/>
        </w:rPr>
        <w:t xml:space="preserve"> </w:t>
      </w:r>
      <w:r w:rsidRPr="002F2FDF">
        <w:rPr>
          <w:color w:val="000000" w:themeColor="text1"/>
          <w:sz w:val="16"/>
          <w:szCs w:val="16"/>
        </w:rPr>
        <w:t xml:space="preserve">– </w:t>
      </w:r>
      <w:r w:rsidRPr="002F2FDF">
        <w:rPr>
          <w:color w:val="000000" w:themeColor="text1"/>
          <w:sz w:val="16"/>
          <w:szCs w:val="16"/>
        </w:rPr>
        <w:lastRenderedPageBreak/>
        <w:t>охранявшие его «павловцы». В 3 часа 10 минут Каменев сообщает о взятии Зимнего дворца и аресте министров. Съезд принимает обращение «К рабочим, солдатам и крестьянам»: «</w:t>
      </w:r>
      <w:r w:rsidRPr="002F2FDF">
        <w:rPr>
          <w:rStyle w:val="af0"/>
          <w:i w:val="0"/>
          <w:color w:val="000000" w:themeColor="text1"/>
          <w:sz w:val="16"/>
          <w:szCs w:val="16"/>
        </w:rPr>
        <w:t>Временное правительство низложено… Съезд постановляет: вся власть на местах переходит к Советам рабочих, солдатских и крестьянских депутатов</w:t>
      </w:r>
      <w:r w:rsidRPr="002F2FDF">
        <w:rPr>
          <w:color w:val="000000" w:themeColor="text1"/>
          <w:sz w:val="16"/>
          <w:szCs w:val="16"/>
        </w:rPr>
        <w:t>». Делегату Анатолию Железнякову поручают возглавить один из отрядов для штурма Зимнего дворца в ночь с 25 на 26 октября. Он же участвует в аресте министров Временного правительства.</w:t>
      </w:r>
    </w:p>
    <w:p w14:paraId="66A45118" w14:textId="460BE152" w:rsidR="00B23481" w:rsidRPr="002F2FDF" w:rsidRDefault="00B23481" w:rsidP="0083075A">
      <w:pPr>
        <w:pStyle w:val="ae"/>
        <w:spacing w:before="0" w:after="0"/>
        <w:jc w:val="both"/>
        <w:rPr>
          <w:color w:val="000000" w:themeColor="text1"/>
          <w:sz w:val="16"/>
          <w:szCs w:val="16"/>
        </w:rPr>
      </w:pPr>
      <w:r w:rsidRPr="002F2FDF">
        <w:rPr>
          <w:rStyle w:val="af0"/>
          <w:i w:val="0"/>
          <w:color w:val="000000" w:themeColor="text1"/>
          <w:sz w:val="16"/>
          <w:szCs w:val="16"/>
        </w:rPr>
        <w:t>Объединенные интернационалисты</w:t>
      </w:r>
      <w:r w:rsidR="00E52569">
        <w:rPr>
          <w:rStyle w:val="af0"/>
          <w:i w:val="0"/>
          <w:color w:val="000000" w:themeColor="text1"/>
          <w:sz w:val="16"/>
          <w:szCs w:val="16"/>
        </w:rPr>
        <w:t xml:space="preserve"> </w:t>
      </w:r>
      <w:r w:rsidRPr="002F2FDF">
        <w:rPr>
          <w:rStyle w:val="af0"/>
          <w:i w:val="0"/>
          <w:color w:val="000000" w:themeColor="text1"/>
          <w:sz w:val="16"/>
          <w:szCs w:val="16"/>
        </w:rPr>
        <w:t>– платформа, выработанная «объединенцами» на своей конференции 18-22 октября 1917 в Петрограде, отрицала возможность победы социалистической революции и строительства социализма в одной, отдельно взятой стране. В вопросе о войне они высказывались за необходимости давления на империалистические правительства за мир без аннексий и контрибуций. Хозяйственную разруху считали возможным преодолеть только государственным регулированием производства, участием фабзавкомов в органах управления и контроля за производством. Высказывались за безвозмездное отчуждение удельных, кабинетских, монастырских, церковных и превышающих трудовую норму частновладельческих имений. Их отличало от большевиков в этом вопросе только одно - они выступали за вознаграждение владельцев отчуждаемой земли.</w:t>
      </w:r>
    </w:p>
    <w:p w14:paraId="48C7FAD5" w14:textId="50B5BFFF" w:rsidR="00B23481" w:rsidRPr="002F2FDF" w:rsidRDefault="00B23481" w:rsidP="0083075A">
      <w:pPr>
        <w:pStyle w:val="ae"/>
        <w:spacing w:before="0" w:after="0"/>
        <w:jc w:val="both"/>
        <w:rPr>
          <w:color w:val="000000" w:themeColor="text1"/>
          <w:sz w:val="16"/>
          <w:szCs w:val="16"/>
        </w:rPr>
      </w:pPr>
      <w:r w:rsidRPr="002F2FDF">
        <w:rPr>
          <w:rStyle w:val="af0"/>
          <w:i w:val="0"/>
          <w:color w:val="000000" w:themeColor="text1"/>
          <w:sz w:val="16"/>
          <w:szCs w:val="16"/>
        </w:rPr>
        <w:t>Меньшевики-интернационалисты - группа, организационно-обособившаяся в 1917</w:t>
      </w:r>
      <w:r w:rsidR="00E52569">
        <w:rPr>
          <w:rStyle w:val="af0"/>
          <w:i w:val="0"/>
          <w:color w:val="000000" w:themeColor="text1"/>
          <w:sz w:val="16"/>
          <w:szCs w:val="16"/>
        </w:rPr>
        <w:t xml:space="preserve"> </w:t>
      </w:r>
      <w:r w:rsidRPr="002F2FDF">
        <w:rPr>
          <w:rStyle w:val="af0"/>
          <w:i w:val="0"/>
          <w:color w:val="000000" w:themeColor="text1"/>
          <w:sz w:val="16"/>
          <w:szCs w:val="16"/>
        </w:rPr>
        <w:t>г. Отличало их от большинства меньшевиков во главе с Даном отрицательное отношение к коалиции с буржуазией. Однако, для них также характерны основные черты всего «меньшевизма»: туманность лозунгов, непоследовательность, а потому и бесплодность.</w:t>
      </w:r>
    </w:p>
    <w:p w14:paraId="3AEE938C" w14:textId="77777777" w:rsidR="00B23481" w:rsidRPr="002F2FDF" w:rsidRDefault="00B23481" w:rsidP="0083075A">
      <w:pPr>
        <w:pStyle w:val="ae"/>
        <w:spacing w:before="0" w:after="0"/>
        <w:jc w:val="both"/>
        <w:rPr>
          <w:color w:val="000000" w:themeColor="text1"/>
          <w:sz w:val="16"/>
          <w:szCs w:val="16"/>
        </w:rPr>
      </w:pPr>
      <w:r w:rsidRPr="002F2FDF">
        <w:rPr>
          <w:rStyle w:val="af0"/>
          <w:i w:val="0"/>
          <w:color w:val="000000" w:themeColor="text1"/>
          <w:sz w:val="16"/>
          <w:szCs w:val="16"/>
        </w:rPr>
        <w:t>Украинские социалисты - украинские социал-демократы были объединены до 1904 года в Революционной украинской партии (РУП), затем ее большинство, отбросив все национальные требования и предположительной автономии Украины, вошло в РСДРП, как автономная часть под названием «Украинский социал-демократический союз», со своими руководящими органами, но уже без собственной платформы.</w:t>
      </w:r>
    </w:p>
    <w:p w14:paraId="6D9F375A" w14:textId="22752F12" w:rsidR="00B23481" w:rsidRPr="002F2FDF" w:rsidRDefault="00B23481" w:rsidP="0083075A">
      <w:pPr>
        <w:pStyle w:val="ae"/>
        <w:spacing w:before="0" w:after="0"/>
        <w:jc w:val="both"/>
        <w:rPr>
          <w:color w:val="000000" w:themeColor="text1"/>
          <w:sz w:val="16"/>
          <w:szCs w:val="16"/>
        </w:rPr>
      </w:pPr>
      <w:r w:rsidRPr="002F2FDF">
        <w:rPr>
          <w:color w:val="000000" w:themeColor="text1"/>
          <w:sz w:val="16"/>
          <w:szCs w:val="16"/>
        </w:rPr>
        <w:t>Съезд начался довольно мирно, лозунг «Вся власть Советам» большинством представлялся как объединительный для «левых» представителей меньшевиков, эсеров, еврейской социал-демократической партии, Бунда… Но, эсеры и бундовцы, «</w:t>
      </w:r>
      <w:r w:rsidRPr="002F2FDF">
        <w:rPr>
          <w:rStyle w:val="af0"/>
          <w:i w:val="0"/>
          <w:color w:val="000000" w:themeColor="text1"/>
          <w:sz w:val="16"/>
          <w:szCs w:val="16"/>
        </w:rPr>
        <w:t>осудившие большевистский заговор</w:t>
      </w:r>
      <w:r w:rsidRPr="002F2FDF">
        <w:rPr>
          <w:color w:val="000000" w:themeColor="text1"/>
          <w:sz w:val="16"/>
          <w:szCs w:val="16"/>
        </w:rPr>
        <w:t>» и убежденные в том, что «</w:t>
      </w:r>
      <w:r w:rsidRPr="002F2FDF">
        <w:rPr>
          <w:rStyle w:val="af0"/>
          <w:i w:val="0"/>
          <w:color w:val="000000" w:themeColor="text1"/>
          <w:sz w:val="16"/>
          <w:szCs w:val="16"/>
        </w:rPr>
        <w:t>Ленин не продержится и трех дней</w:t>
      </w:r>
      <w:r w:rsidRPr="002F2FDF">
        <w:rPr>
          <w:color w:val="000000" w:themeColor="text1"/>
          <w:sz w:val="16"/>
          <w:szCs w:val="16"/>
        </w:rPr>
        <w:t>», покинули зал заседаний, ушли и представители некоторых других партий. Большевики остались в подавляющем большинстве, Троцкий смог заявить: «…</w:t>
      </w:r>
      <w:r w:rsidR="00E52569">
        <w:rPr>
          <w:color w:val="000000" w:themeColor="text1"/>
          <w:sz w:val="16"/>
          <w:szCs w:val="16"/>
        </w:rPr>
        <w:t xml:space="preserve"> </w:t>
      </w:r>
      <w:r w:rsidRPr="002F2FDF">
        <w:rPr>
          <w:rStyle w:val="af0"/>
          <w:i w:val="0"/>
          <w:color w:val="000000" w:themeColor="text1"/>
          <w:sz w:val="16"/>
          <w:szCs w:val="16"/>
        </w:rPr>
        <w:t>вы жалкие одиночки, вы банкроты, ваша роль сыграна, идите туда, где теперь ваше место</w:t>
      </w:r>
      <w:r w:rsidR="00E52569">
        <w:rPr>
          <w:rStyle w:val="af0"/>
          <w:i w:val="0"/>
          <w:color w:val="000000" w:themeColor="text1"/>
          <w:sz w:val="16"/>
          <w:szCs w:val="16"/>
        </w:rPr>
        <w:t xml:space="preserve"> </w:t>
      </w:r>
      <w:r w:rsidRPr="002F2FDF">
        <w:rPr>
          <w:rStyle w:val="af0"/>
          <w:i w:val="0"/>
          <w:color w:val="000000" w:themeColor="text1"/>
          <w:sz w:val="16"/>
          <w:szCs w:val="16"/>
        </w:rPr>
        <w:t>– на свалку истории</w:t>
      </w:r>
      <w:r w:rsidRPr="002F2FDF">
        <w:rPr>
          <w:color w:val="000000" w:themeColor="text1"/>
          <w:sz w:val="16"/>
          <w:szCs w:val="16"/>
        </w:rPr>
        <w:t>!». После этих слов ушли и меньшевики. Тогда это было реакцией на «злобу дня», сегодня мы воспринимаем поведение ушедших, как роковую ошибку.</w:t>
      </w:r>
    </w:p>
    <w:p w14:paraId="101B5B34" w14:textId="6AE4B394" w:rsidR="00B23481" w:rsidRPr="002F2FDF" w:rsidRDefault="00B23481" w:rsidP="0083075A">
      <w:pPr>
        <w:pStyle w:val="ae"/>
        <w:spacing w:before="0" w:after="0"/>
        <w:jc w:val="both"/>
        <w:rPr>
          <w:color w:val="000000" w:themeColor="text1"/>
          <w:sz w:val="16"/>
          <w:szCs w:val="16"/>
        </w:rPr>
      </w:pPr>
      <w:r w:rsidRPr="002F2FDF">
        <w:rPr>
          <w:rStyle w:val="af0"/>
          <w:i w:val="0"/>
          <w:color w:val="000000" w:themeColor="text1"/>
          <w:sz w:val="16"/>
          <w:szCs w:val="16"/>
        </w:rPr>
        <w:t>Еврейская социал-демократическая рабочая партия</w:t>
      </w:r>
      <w:r w:rsidR="00E52569">
        <w:rPr>
          <w:rStyle w:val="af0"/>
          <w:i w:val="0"/>
          <w:color w:val="000000" w:themeColor="text1"/>
          <w:sz w:val="16"/>
          <w:szCs w:val="16"/>
        </w:rPr>
        <w:t xml:space="preserve"> </w:t>
      </w:r>
      <w:r w:rsidRPr="002F2FDF">
        <w:rPr>
          <w:rStyle w:val="af0"/>
          <w:i w:val="0"/>
          <w:color w:val="000000" w:themeColor="text1"/>
          <w:sz w:val="16"/>
          <w:szCs w:val="16"/>
        </w:rPr>
        <w:t>– «Поалей Цион» (Рабочие Сиона). Образовалась в 1901 году, называла себя марксистской, народнической, ортодоксально марксистской… Выступала за создание еврейского государства в Палестине, были и варианты</w:t>
      </w:r>
      <w:r w:rsidR="00E52569">
        <w:rPr>
          <w:rStyle w:val="af0"/>
          <w:i w:val="0"/>
          <w:color w:val="000000" w:themeColor="text1"/>
          <w:sz w:val="16"/>
          <w:szCs w:val="16"/>
        </w:rPr>
        <w:t xml:space="preserve"> </w:t>
      </w:r>
      <w:r w:rsidRPr="002F2FDF">
        <w:rPr>
          <w:rStyle w:val="af0"/>
          <w:i w:val="0"/>
          <w:color w:val="000000" w:themeColor="text1"/>
          <w:sz w:val="16"/>
          <w:szCs w:val="16"/>
        </w:rPr>
        <w:t>– в Уганде и Месопотамии. Собственно как социал-демократическая рабочая партия стала известна с февраля 1906 года. Партия декларировала «руководствоваться интересами пролетариата</w:t>
      </w:r>
      <w:r w:rsidR="00E52569">
        <w:rPr>
          <w:rStyle w:val="af0"/>
          <w:i w:val="0"/>
          <w:color w:val="000000" w:themeColor="text1"/>
          <w:sz w:val="16"/>
          <w:szCs w:val="16"/>
        </w:rPr>
        <w:t xml:space="preserve"> </w:t>
      </w:r>
      <w:r w:rsidRPr="002F2FDF">
        <w:rPr>
          <w:rStyle w:val="af0"/>
          <w:i w:val="0"/>
          <w:color w:val="000000" w:themeColor="text1"/>
          <w:sz w:val="16"/>
          <w:szCs w:val="16"/>
        </w:rPr>
        <w:t>– класса наемного труда», о пролетариате говорилось, что он «завоюет власть и использует свою диктатуру для уничтожения классовой структуры общества вместе с частной собственностью на орудия производства и средства сообщения, чтобы устранить всякую возможность хозяйственной конкуренции и эксплуатации». Октябрьская революция была партией встречена враждебно, но она отвергала насильственные методы борьбы против Советов. Распад партии начался в 1922 году, а летом 1928 года она прекратила свое существование.</w:t>
      </w:r>
    </w:p>
    <w:p w14:paraId="048695C3" w14:textId="206855C6" w:rsidR="00B23481" w:rsidRPr="002F2FDF" w:rsidRDefault="00B23481" w:rsidP="0083075A">
      <w:pPr>
        <w:pStyle w:val="ae"/>
        <w:spacing w:before="0" w:after="0"/>
        <w:jc w:val="both"/>
        <w:rPr>
          <w:color w:val="000000" w:themeColor="text1"/>
          <w:sz w:val="16"/>
          <w:szCs w:val="16"/>
        </w:rPr>
      </w:pPr>
      <w:r w:rsidRPr="002F2FDF">
        <w:rPr>
          <w:rStyle w:val="af0"/>
          <w:i w:val="0"/>
          <w:color w:val="000000" w:themeColor="text1"/>
          <w:sz w:val="16"/>
          <w:szCs w:val="16"/>
        </w:rPr>
        <w:t>БУНД -</w:t>
      </w:r>
      <w:r w:rsidR="00E52569">
        <w:rPr>
          <w:rStyle w:val="af0"/>
          <w:i w:val="0"/>
          <w:color w:val="000000" w:themeColor="text1"/>
          <w:sz w:val="16"/>
          <w:szCs w:val="16"/>
        </w:rPr>
        <w:t xml:space="preserve"> </w:t>
      </w:r>
      <w:r w:rsidRPr="002F2FDF">
        <w:rPr>
          <w:rStyle w:val="af0"/>
          <w:i w:val="0"/>
          <w:color w:val="000000" w:themeColor="text1"/>
          <w:sz w:val="16"/>
          <w:szCs w:val="16"/>
        </w:rPr>
        <w:t>Всеобщий еврейский рабочий союз в Литве, Польше и России,</w:t>
      </w:r>
      <w:r w:rsidR="00E52569">
        <w:rPr>
          <w:rStyle w:val="af0"/>
          <w:i w:val="0"/>
          <w:color w:val="000000" w:themeColor="text1"/>
          <w:sz w:val="16"/>
          <w:szCs w:val="16"/>
        </w:rPr>
        <w:t xml:space="preserve">  </w:t>
      </w:r>
      <w:r w:rsidRPr="002F2FDF">
        <w:rPr>
          <w:rStyle w:val="af0"/>
          <w:i w:val="0"/>
          <w:color w:val="000000" w:themeColor="text1"/>
          <w:sz w:val="16"/>
          <w:szCs w:val="16"/>
        </w:rPr>
        <w:t>еврейская социалистическая партия, действовавшая в Восточной Европе с 90-х годов XIX века</w:t>
      </w:r>
      <w:r w:rsidR="00E52569">
        <w:rPr>
          <w:rStyle w:val="af0"/>
          <w:i w:val="0"/>
          <w:color w:val="000000" w:themeColor="text1"/>
          <w:sz w:val="16"/>
          <w:szCs w:val="16"/>
        </w:rPr>
        <w:t xml:space="preserve"> </w:t>
      </w:r>
      <w:r w:rsidRPr="002F2FDF">
        <w:rPr>
          <w:rStyle w:val="af0"/>
          <w:i w:val="0"/>
          <w:color w:val="000000" w:themeColor="text1"/>
          <w:sz w:val="16"/>
          <w:szCs w:val="16"/>
        </w:rPr>
        <w:t>— до 40-х годов XX века. Бунд считал себя единственным представителем интересов достаточно многочисленного на этих землях еврейского рабочего класса. Партия выступала «за далеко идущую демократию и обобществление</w:t>
      </w:r>
      <w:r w:rsidR="00E52569">
        <w:rPr>
          <w:rStyle w:val="af0"/>
          <w:i w:val="0"/>
          <w:color w:val="000000" w:themeColor="text1"/>
          <w:sz w:val="16"/>
          <w:szCs w:val="16"/>
        </w:rPr>
        <w:t xml:space="preserve"> </w:t>
      </w:r>
      <w:r w:rsidRPr="002F2FDF">
        <w:rPr>
          <w:rStyle w:val="af0"/>
          <w:i w:val="0"/>
          <w:color w:val="000000" w:themeColor="text1"/>
          <w:sz w:val="16"/>
          <w:szCs w:val="16"/>
          <w:u w:val="single"/>
        </w:rPr>
        <w:t>средств производства</w:t>
      </w:r>
      <w:r w:rsidRPr="002F2FDF">
        <w:rPr>
          <w:rStyle w:val="af0"/>
          <w:i w:val="0"/>
          <w:color w:val="000000" w:themeColor="text1"/>
          <w:sz w:val="16"/>
          <w:szCs w:val="16"/>
        </w:rPr>
        <w:t>».</w:t>
      </w:r>
      <w:r w:rsidR="00E52569">
        <w:rPr>
          <w:rStyle w:val="af0"/>
          <w:i w:val="0"/>
          <w:color w:val="000000" w:themeColor="text1"/>
          <w:sz w:val="16"/>
          <w:szCs w:val="16"/>
        </w:rPr>
        <w:t xml:space="preserve"> </w:t>
      </w:r>
      <w:r w:rsidRPr="002F2FDF">
        <w:rPr>
          <w:rStyle w:val="af0"/>
          <w:i w:val="0"/>
          <w:color w:val="000000" w:themeColor="text1"/>
          <w:sz w:val="16"/>
          <w:szCs w:val="16"/>
        </w:rPr>
        <w:t>Октябрьскую Революциюбундовцы встретили отрицательно, считая приход к власти большевиков «узурпацией народной воли», допускали военные действия против</w:t>
      </w:r>
      <w:r w:rsidR="00E52569">
        <w:rPr>
          <w:rStyle w:val="af0"/>
          <w:i w:val="0"/>
          <w:color w:val="000000" w:themeColor="text1"/>
          <w:sz w:val="16"/>
          <w:szCs w:val="16"/>
        </w:rPr>
        <w:t xml:space="preserve"> </w:t>
      </w:r>
      <w:r w:rsidRPr="002F2FDF">
        <w:rPr>
          <w:rStyle w:val="af0"/>
          <w:i w:val="0"/>
          <w:color w:val="000000" w:themeColor="text1"/>
          <w:sz w:val="16"/>
          <w:szCs w:val="16"/>
        </w:rPr>
        <w:t>большевиков. В декабре 1917 года на очередном съезде партия приняла установку на парламентский, демократический путь борьбы с</w:t>
      </w:r>
      <w:r w:rsidR="00E52569">
        <w:rPr>
          <w:rStyle w:val="af0"/>
          <w:i w:val="0"/>
          <w:color w:val="000000" w:themeColor="text1"/>
          <w:sz w:val="16"/>
          <w:szCs w:val="16"/>
        </w:rPr>
        <w:t xml:space="preserve"> </w:t>
      </w:r>
      <w:r w:rsidRPr="002F2FDF">
        <w:rPr>
          <w:rStyle w:val="af0"/>
          <w:i w:val="0"/>
          <w:color w:val="000000" w:themeColor="text1"/>
          <w:sz w:val="16"/>
          <w:szCs w:val="16"/>
        </w:rPr>
        <w:t>большевиками, полагая, что</w:t>
      </w:r>
      <w:r w:rsidR="00E52569">
        <w:rPr>
          <w:rStyle w:val="af0"/>
          <w:i w:val="0"/>
          <w:color w:val="000000" w:themeColor="text1"/>
          <w:sz w:val="16"/>
          <w:szCs w:val="16"/>
        </w:rPr>
        <w:t xml:space="preserve"> </w:t>
      </w:r>
      <w:r w:rsidRPr="002F2FDF">
        <w:rPr>
          <w:rStyle w:val="af0"/>
          <w:i w:val="0"/>
          <w:color w:val="000000" w:themeColor="text1"/>
          <w:sz w:val="16"/>
          <w:szCs w:val="16"/>
        </w:rPr>
        <w:t>Учредительное собрание</w:t>
      </w:r>
      <w:r w:rsidR="00E52569">
        <w:rPr>
          <w:rStyle w:val="af0"/>
          <w:i w:val="0"/>
          <w:color w:val="000000" w:themeColor="text1"/>
          <w:sz w:val="16"/>
          <w:szCs w:val="16"/>
        </w:rPr>
        <w:t xml:space="preserve"> </w:t>
      </w:r>
      <w:r w:rsidRPr="002F2FDF">
        <w:rPr>
          <w:rStyle w:val="af0"/>
          <w:i w:val="0"/>
          <w:color w:val="000000" w:themeColor="text1"/>
          <w:sz w:val="16"/>
          <w:szCs w:val="16"/>
        </w:rPr>
        <w:t>отстранит их от власти. После разгона</w:t>
      </w:r>
      <w:r w:rsidR="00E52569">
        <w:rPr>
          <w:rStyle w:val="af0"/>
          <w:i w:val="0"/>
          <w:color w:val="000000" w:themeColor="text1"/>
          <w:sz w:val="16"/>
          <w:szCs w:val="16"/>
        </w:rPr>
        <w:t xml:space="preserve"> </w:t>
      </w:r>
      <w:r w:rsidRPr="002F2FDF">
        <w:rPr>
          <w:rStyle w:val="af0"/>
          <w:i w:val="0"/>
          <w:color w:val="000000" w:themeColor="text1"/>
          <w:sz w:val="16"/>
          <w:szCs w:val="16"/>
        </w:rPr>
        <w:t>Учредительного собрания</w:t>
      </w:r>
      <w:r w:rsidR="00E52569">
        <w:rPr>
          <w:rStyle w:val="af0"/>
          <w:i w:val="0"/>
          <w:color w:val="000000" w:themeColor="text1"/>
          <w:sz w:val="16"/>
          <w:szCs w:val="16"/>
        </w:rPr>
        <w:t xml:space="preserve"> </w:t>
      </w:r>
      <w:r w:rsidRPr="002F2FDF">
        <w:rPr>
          <w:rStyle w:val="af0"/>
          <w:i w:val="0"/>
          <w:color w:val="000000" w:themeColor="text1"/>
          <w:sz w:val="16"/>
          <w:szCs w:val="16"/>
        </w:rPr>
        <w:t>и подписания</w:t>
      </w:r>
      <w:r w:rsidR="00E52569">
        <w:rPr>
          <w:rStyle w:val="af0"/>
          <w:i w:val="0"/>
          <w:color w:val="000000" w:themeColor="text1"/>
          <w:sz w:val="16"/>
          <w:szCs w:val="16"/>
        </w:rPr>
        <w:t xml:space="preserve"> </w:t>
      </w:r>
      <w:r w:rsidRPr="002F2FDF">
        <w:rPr>
          <w:rStyle w:val="af0"/>
          <w:i w:val="0"/>
          <w:color w:val="000000" w:themeColor="text1"/>
          <w:sz w:val="16"/>
          <w:szCs w:val="16"/>
        </w:rPr>
        <w:t>Брестского мира, Бунд сделал ставку на свержение Советской власти. В мае 1918</w:t>
      </w:r>
      <w:r w:rsidR="00E52569">
        <w:rPr>
          <w:rStyle w:val="af0"/>
          <w:i w:val="0"/>
          <w:color w:val="000000" w:themeColor="text1"/>
          <w:sz w:val="16"/>
          <w:szCs w:val="16"/>
        </w:rPr>
        <w:t xml:space="preserve"> </w:t>
      </w:r>
      <w:r w:rsidRPr="002F2FDF">
        <w:rPr>
          <w:rStyle w:val="af0"/>
          <w:i w:val="0"/>
          <w:color w:val="000000" w:themeColor="text1"/>
          <w:sz w:val="16"/>
          <w:szCs w:val="16"/>
        </w:rPr>
        <w:t>г. в партии возобладала более умеренная линия</w:t>
      </w:r>
      <w:r w:rsidR="00E52569">
        <w:rPr>
          <w:rStyle w:val="af0"/>
          <w:i w:val="0"/>
          <w:color w:val="000000" w:themeColor="text1"/>
          <w:sz w:val="16"/>
          <w:szCs w:val="16"/>
        </w:rPr>
        <w:t xml:space="preserve"> </w:t>
      </w:r>
      <w:r w:rsidRPr="002F2FDF">
        <w:rPr>
          <w:rStyle w:val="af0"/>
          <w:i w:val="0"/>
          <w:color w:val="000000" w:themeColor="text1"/>
          <w:sz w:val="16"/>
          <w:szCs w:val="16"/>
        </w:rPr>
        <w:t>— «борьба с</w:t>
      </w:r>
      <w:r w:rsidR="00E52569">
        <w:rPr>
          <w:rStyle w:val="af0"/>
          <w:i w:val="0"/>
          <w:color w:val="000000" w:themeColor="text1"/>
          <w:sz w:val="16"/>
          <w:szCs w:val="16"/>
        </w:rPr>
        <w:t xml:space="preserve"> </w:t>
      </w:r>
      <w:r w:rsidRPr="002F2FDF">
        <w:rPr>
          <w:rStyle w:val="af0"/>
          <w:i w:val="0"/>
          <w:color w:val="000000" w:themeColor="text1"/>
          <w:sz w:val="16"/>
          <w:szCs w:val="16"/>
        </w:rPr>
        <w:t>большевизмом</w:t>
      </w:r>
      <w:r w:rsidR="00E52569">
        <w:rPr>
          <w:rStyle w:val="af0"/>
          <w:i w:val="0"/>
          <w:color w:val="000000" w:themeColor="text1"/>
          <w:sz w:val="16"/>
          <w:szCs w:val="16"/>
        </w:rPr>
        <w:t xml:space="preserve"> </w:t>
      </w:r>
      <w:r w:rsidRPr="002F2FDF">
        <w:rPr>
          <w:rStyle w:val="af0"/>
          <w:i w:val="0"/>
          <w:color w:val="000000" w:themeColor="text1"/>
          <w:sz w:val="16"/>
          <w:szCs w:val="16"/>
        </w:rPr>
        <w:t>в Советах и путём Советов» (18371).</w:t>
      </w:r>
    </w:p>
    <w:p w14:paraId="3A2C1256" w14:textId="77777777" w:rsidR="00B23481" w:rsidRPr="002F2FDF" w:rsidRDefault="00B23481" w:rsidP="0083075A">
      <w:pPr>
        <w:pStyle w:val="ae"/>
        <w:spacing w:before="0" w:after="0"/>
        <w:jc w:val="both"/>
        <w:rPr>
          <w:color w:val="000000" w:themeColor="text1"/>
          <w:sz w:val="16"/>
          <w:szCs w:val="16"/>
        </w:rPr>
      </w:pPr>
      <w:r w:rsidRPr="002F2FDF">
        <w:rPr>
          <w:color w:val="000000" w:themeColor="text1"/>
          <w:sz w:val="16"/>
          <w:szCs w:val="16"/>
        </w:rPr>
        <w:t>Когда солдат петроградской роты самокатчиков доставил Ленину в Смольный сообщение о взятии Зимнего, тот уже писал от имени новой власти «Декрет о земле».</w:t>
      </w:r>
    </w:p>
    <w:p w14:paraId="47C8456F" w14:textId="218DB664" w:rsidR="00B23481" w:rsidRPr="002F2FDF" w:rsidRDefault="00B23481" w:rsidP="0083075A">
      <w:pPr>
        <w:pStyle w:val="ae"/>
        <w:spacing w:before="0" w:after="0"/>
        <w:jc w:val="both"/>
        <w:rPr>
          <w:color w:val="000000" w:themeColor="text1"/>
          <w:sz w:val="16"/>
          <w:szCs w:val="16"/>
        </w:rPr>
      </w:pPr>
      <w:r w:rsidRPr="002F2FDF">
        <w:rPr>
          <w:color w:val="000000" w:themeColor="text1"/>
          <w:sz w:val="16"/>
          <w:szCs w:val="16"/>
        </w:rPr>
        <w:t>Находившийся в это время в Петрограде на II Съезде Советов председатель Московского Совета рабочих Депутатов В.П.</w:t>
      </w:r>
      <w:r w:rsidR="00E52569">
        <w:rPr>
          <w:color w:val="000000" w:themeColor="text1"/>
          <w:sz w:val="16"/>
          <w:szCs w:val="16"/>
        </w:rPr>
        <w:t xml:space="preserve"> </w:t>
      </w:r>
      <w:r w:rsidRPr="002F2FDF">
        <w:rPr>
          <w:color w:val="000000" w:themeColor="text1"/>
          <w:sz w:val="16"/>
          <w:szCs w:val="16"/>
        </w:rPr>
        <w:t>Ногин обратился к московским большевикам: «…</w:t>
      </w:r>
      <w:r w:rsidR="00E52569">
        <w:rPr>
          <w:color w:val="000000" w:themeColor="text1"/>
          <w:sz w:val="16"/>
          <w:szCs w:val="16"/>
        </w:rPr>
        <w:t xml:space="preserve"> </w:t>
      </w:r>
      <w:r w:rsidRPr="002F2FDF">
        <w:rPr>
          <w:rStyle w:val="af0"/>
          <w:i w:val="0"/>
          <w:color w:val="000000" w:themeColor="text1"/>
          <w:sz w:val="16"/>
          <w:szCs w:val="16"/>
        </w:rPr>
        <w:t>в столице восстание, нужно поддержать</w:t>
      </w:r>
      <w:r w:rsidRPr="002F2FDF">
        <w:rPr>
          <w:color w:val="000000" w:themeColor="text1"/>
          <w:sz w:val="16"/>
          <w:szCs w:val="16"/>
        </w:rPr>
        <w:t>». На собравшемся в Политехническом музее совместном заседании Совета Рабочих Депутатов и Совета Солдатских Депутатов (они объединятся только 17 ноября) большевики заявили о создании Военно-Революционного Комитета для «</w:t>
      </w:r>
      <w:r w:rsidRPr="002F2FDF">
        <w:rPr>
          <w:rStyle w:val="af0"/>
          <w:i w:val="0"/>
          <w:color w:val="000000" w:themeColor="text1"/>
          <w:sz w:val="16"/>
          <w:szCs w:val="16"/>
        </w:rPr>
        <w:t>оказания всемерной поддержки Петроградского Совета Рабочих и Солдатских Депутатов</w:t>
      </w:r>
      <w:r w:rsidRPr="002F2FDF">
        <w:rPr>
          <w:color w:val="000000" w:themeColor="text1"/>
          <w:sz w:val="16"/>
          <w:szCs w:val="16"/>
        </w:rPr>
        <w:t>», то есть заявили о взятии власти Советами. Резолюция прошла большинством голосов, эсеры участия в голосовании не принимали. Центром противодействия большевикам стала Московская городская дума, где был создан Комитет Общественной Безопасности во главе с правыми эсерами В. Рудневым и К. Рябцевым</w:t>
      </w:r>
    </w:p>
    <w:p w14:paraId="691C8525" w14:textId="6CCBA3AE" w:rsidR="00B23481" w:rsidRPr="002F2FDF" w:rsidRDefault="00B23481" w:rsidP="0083075A">
      <w:pPr>
        <w:pStyle w:val="ae"/>
        <w:spacing w:before="0" w:after="0"/>
        <w:jc w:val="both"/>
        <w:rPr>
          <w:color w:val="000000" w:themeColor="text1"/>
          <w:sz w:val="16"/>
          <w:szCs w:val="16"/>
        </w:rPr>
      </w:pPr>
      <w:r w:rsidRPr="002F2FDF">
        <w:rPr>
          <w:color w:val="000000" w:themeColor="text1"/>
          <w:sz w:val="16"/>
          <w:szCs w:val="16"/>
        </w:rPr>
        <w:t>Московский Губернский Совет Рабочих Депутатов направил Обращение всем уездным и районным Советам: «</w:t>
      </w:r>
      <w:r w:rsidRPr="002F2FDF">
        <w:rPr>
          <w:rStyle w:val="af0"/>
          <w:i w:val="0"/>
          <w:color w:val="000000" w:themeColor="text1"/>
          <w:sz w:val="16"/>
          <w:szCs w:val="16"/>
        </w:rPr>
        <w:t>Сегодня ночью Петроградские рабочие и солдаты взяли все государственные учреждения, вокзалы, занимают Зимний дворец. Временное правительство будет низложено… В Москве Советы принимают меры к взятию всей власти… Губернский СРД предлагает… 1) Создать на местах пятерки, обладающие всей властью. 2)Образовать Красную Гвардию. 3) Реквизировать для вооружения последней все частное оружие под расписку Совета. 4) Реквизировать все автомобили. 5) Организовать охрану телеграфа, телефона, казначейства и станций. 6) Ввести постоянный контроль телеграмм и телефона. 7) Подчинить себе милицию, если она не надежна</w:t>
      </w:r>
      <w:r w:rsidR="00E52569">
        <w:rPr>
          <w:rStyle w:val="af0"/>
          <w:i w:val="0"/>
          <w:color w:val="000000" w:themeColor="text1"/>
          <w:sz w:val="16"/>
          <w:szCs w:val="16"/>
        </w:rPr>
        <w:t xml:space="preserve"> </w:t>
      </w:r>
      <w:r w:rsidRPr="002F2FDF">
        <w:rPr>
          <w:rStyle w:val="af0"/>
          <w:i w:val="0"/>
          <w:color w:val="000000" w:themeColor="text1"/>
          <w:sz w:val="16"/>
          <w:szCs w:val="16"/>
        </w:rPr>
        <w:t>– разоружить. 8) Завязать тесную связь с войсками, о ненадежных донести Губернскому Совету. 9) Создать строжайшую охрану винных и пивных складов. 10) Организовать постоянные дежурства</w:t>
      </w:r>
      <w:r w:rsidRPr="002F2FDF">
        <w:rPr>
          <w:color w:val="000000" w:themeColor="text1"/>
          <w:sz w:val="16"/>
          <w:szCs w:val="16"/>
        </w:rPr>
        <w:t>…</w:t>
      </w:r>
      <w:r w:rsidR="00E52569">
        <w:rPr>
          <w:color w:val="000000" w:themeColor="text1"/>
          <w:sz w:val="16"/>
          <w:szCs w:val="16"/>
        </w:rPr>
        <w:t xml:space="preserve"> </w:t>
      </w:r>
      <w:r w:rsidRPr="002F2FDF">
        <w:rPr>
          <w:rStyle w:val="af0"/>
          <w:i w:val="0"/>
          <w:color w:val="000000" w:themeColor="text1"/>
          <w:sz w:val="16"/>
          <w:szCs w:val="16"/>
        </w:rPr>
        <w:t>В соблюдении порядка главный залог удачи и сохранения победы</w:t>
      </w:r>
      <w:r w:rsidRPr="002F2FDF">
        <w:rPr>
          <w:color w:val="000000" w:themeColor="text1"/>
          <w:sz w:val="16"/>
          <w:szCs w:val="16"/>
        </w:rPr>
        <w:t>…» (18371).</w:t>
      </w:r>
    </w:p>
    <w:p w14:paraId="062CC3C5" w14:textId="77777777" w:rsidR="00B23481" w:rsidRPr="002F2FDF" w:rsidRDefault="00B23481" w:rsidP="0083075A">
      <w:pPr>
        <w:pStyle w:val="ae"/>
        <w:spacing w:before="0" w:after="0"/>
        <w:jc w:val="both"/>
        <w:rPr>
          <w:rStyle w:val="a7"/>
          <w:rFonts w:eastAsiaTheme="majorEastAsia"/>
          <w:b w:val="0"/>
          <w:color w:val="000000" w:themeColor="text1"/>
          <w:sz w:val="16"/>
          <w:szCs w:val="16"/>
        </w:rPr>
      </w:pPr>
    </w:p>
    <w:p w14:paraId="7E5F228C"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октября (7 ноября) 1917(</w:t>
      </w:r>
      <w:r w:rsidRPr="002F2FDF">
        <w:rPr>
          <w:rFonts w:ascii="Times New Roman" w:hAnsi="Times New Roman" w:cs="Times New Roman"/>
          <w:iCs/>
          <w:color w:val="000000" w:themeColor="text1"/>
          <w:kern w:val="2"/>
          <w:sz w:val="16"/>
          <w:szCs w:val="16"/>
        </w:rPr>
        <w:t>хроника событий Октябрьской революции с 25 октября по 29 октября 1917 г. (по старому стилю), изложенную в газете "Петроградский листок" от 12 ноября 1917 г. Хроника эта интересна тем, что расписана по часам и сделана по горячим следам. Газета была настроена антибольшевистски)</w:t>
      </w:r>
      <w:r w:rsidRPr="002F2FDF">
        <w:rPr>
          <w:rFonts w:ascii="Times New Roman" w:hAnsi="Times New Roman" w:cs="Times New Roman"/>
          <w:color w:val="000000" w:themeColor="text1"/>
          <w:kern w:val="2"/>
          <w:sz w:val="16"/>
          <w:szCs w:val="16"/>
        </w:rPr>
        <w:t>:</w:t>
      </w:r>
    </w:p>
    <w:p w14:paraId="22BD47BA"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ч. ночи. Переход Балтийского вокзала в руки революционного комитета (Кексгольмский полк).</w:t>
      </w:r>
    </w:p>
    <w:p w14:paraId="52756F94"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ч. ночи. Совещание членов Правительства в главном штабе.</w:t>
      </w:r>
    </w:p>
    <w:p w14:paraId="7E4665C4"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ч. ночи. Занятие революционным комитетом Гос. банка.</w:t>
      </w:r>
    </w:p>
    <w:p w14:paraId="6DBB0AB5"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7 ч. утра. Прибытие двух крейсеров («Аврора» и «Заря Свободы») и миноносцев из Кронштадта. Занятие Кексгольмским полком телефонной станции. Гос. банк занят матросами. </w:t>
      </w:r>
    </w:p>
    <w:p w14:paraId="3B96C15B"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ч. 30 м. Варшавский вокзал переходит к революционному комитету.</w:t>
      </w:r>
    </w:p>
    <w:p w14:paraId="2184A6CA"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ч. Переезд Керенского и членов Вр. Правительства в Зимний дворец.</w:t>
      </w:r>
    </w:p>
    <w:p w14:paraId="78FF47FB"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½ час. Радиотелеграмма из Зимнего дворца: пусть ответит страна на безумную попытку поднять восстание.</w:t>
      </w:r>
    </w:p>
    <w:p w14:paraId="747955A7"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ч. Заседание комитета общественной безопасности в гор. Думе.</w:t>
      </w:r>
    </w:p>
    <w:p w14:paraId="6DD7D00A"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11 ч. Освобождение по приказу рев. Комитета Рошаля, Хаустова, Захарова, Толкачева и др. </w:t>
      </w:r>
    </w:p>
    <w:p w14:paraId="0B5510E3"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«большевиков».</w:t>
      </w:r>
    </w:p>
    <w:p w14:paraId="597594AD"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ч. дня. Керенский в сопровождении помощника главнокомандующего, поручика Козьмина и адъютантов в открытом автомобиле выезжает на один из вокзалов для отправления на фронт.</w:t>
      </w:r>
    </w:p>
    <w:p w14:paraId="0ED5A43E"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½ ч. дня. Разгон Вр. Совета республики в Мариинском дворце. Арест министра продовольствия С.Н. Прокоповича на набережной и Гвоздева (оба освобождены).</w:t>
      </w:r>
    </w:p>
    <w:p w14:paraId="350A8783"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ч. дня. Захват телеграфа. Цензура агентских телеграмм. Прекращение приема частных депеш.</w:t>
      </w:r>
    </w:p>
    <w:p w14:paraId="6FFD6DC6"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ч. 35 м. Заседание петроградского Совета Р. и С. Депутатов.</w:t>
      </w:r>
    </w:p>
    <w:p w14:paraId="6869462E"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ч. Заседание городской Думы.</w:t>
      </w:r>
    </w:p>
    <w:p w14:paraId="29B6394A"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ч. Юнкера с орудиями у Зимнего дворца. Патрули военно–революционного комитета на улицах. Секвестр типографии «Биржевых Ведомостей».</w:t>
      </w:r>
    </w:p>
    <w:p w14:paraId="4EC098E9"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ч. 45 м. Казанская площадь занята восставшими. Установка пулеметов.</w:t>
      </w:r>
    </w:p>
    <w:p w14:paraId="4DB6F1FE"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ч. 30 м. Восстание на площади Зимнего дворца.</w:t>
      </w:r>
    </w:p>
    <w:p w14:paraId="7E6E84D2"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ч. 30 м. Слух, будто из Пскова идет к Петрограду армия во главе с Керенским.</w:t>
      </w:r>
    </w:p>
    <w:p w14:paraId="70EA6D8A"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ч. Миноносцы подходят по Неве к Зимнему дворцу.</w:t>
      </w:r>
    </w:p>
    <w:p w14:paraId="6C792DB5"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ч. 40 м. Броневики военно–революционного комитета у штаба округа. Ультиматум военно–революционного комитета – двадцать минут для сдачи.</w:t>
      </w:r>
    </w:p>
    <w:p w14:paraId="7FDB6C37"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ч. 50 м. Совещание в Зимнем дворце с участием командующего округом г.–м Багратуни, ген.–губернатора и членов Вр. Правительства.</w:t>
      </w:r>
    </w:p>
    <w:p w14:paraId="1FD376BD"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ч. 20 м. Красногвардейцы, матросы и солдаты окружают штаб. Отказ ген. Багратуни от командования округом.</w:t>
      </w:r>
    </w:p>
    <w:p w14:paraId="0E7EF4C6"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ч. 40 м. Оставшийся в полном одиночестве без офицеров и солдат, ген. И.Н. Пораделов сдает штаб.</w:t>
      </w:r>
    </w:p>
    <w:p w14:paraId="378107AD"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ч. 45 м. Арест членов Вр. Правительства: М.И. Терещенко и А.В. Карташева.</w:t>
      </w:r>
    </w:p>
    <w:p w14:paraId="6C105714"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ч. веч. Перестрелка на улицах. Прибытие из Гельсингфорса четырех миноносцев и учебного судна «Верный». Занятие типографии «Русская Воля».</w:t>
      </w:r>
    </w:p>
    <w:p w14:paraId="49E9954C"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½ час. Стрельба из орудий по Зимнему дворцу.</w:t>
      </w:r>
    </w:p>
    <w:p w14:paraId="21116857"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ч. 45 м. Открытие всероссийского съезда Советом Р. и С. Депутатов.</w:t>
      </w:r>
    </w:p>
    <w:p w14:paraId="33DCA261"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ч. веч. Воззвание Исполн. Ком. Всероссийск. Совета Кр. Депутатов. Проект директории большевиков: Ленин, Троцкий, Зиновьев, Каменев и Володарский.</w:t>
      </w:r>
    </w:p>
    <w:p w14:paraId="324E35BC"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Заседание гор. Думы. Решение отправиться в Зимний дворец, и если суждено погибнуть, то вместе с осажденными министрами.</w:t>
      </w:r>
    </w:p>
    <w:p w14:paraId="7D70469C"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½ ч. веч. Половина Зимнего дворца в руках восставших (17030).</w:t>
      </w:r>
    </w:p>
    <w:p w14:paraId="5751BC4A"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B15931" w14:textId="77777777" w:rsidR="00873E5B" w:rsidRPr="002F2FDF" w:rsidRDefault="00873E5B" w:rsidP="0083075A">
      <w:pPr>
        <w:pStyle w:val="ae"/>
        <w:spacing w:before="0" w:after="0"/>
        <w:jc w:val="both"/>
        <w:rPr>
          <w:color w:val="000000" w:themeColor="text1"/>
          <w:kern w:val="2"/>
          <w:sz w:val="16"/>
          <w:szCs w:val="16"/>
        </w:rPr>
      </w:pPr>
      <w:r w:rsidRPr="002F2FDF">
        <w:rPr>
          <w:color w:val="000000" w:themeColor="text1"/>
          <w:kern w:val="2"/>
          <w:sz w:val="16"/>
          <w:szCs w:val="16"/>
        </w:rPr>
        <w:t>25 октября (7 ноября) 1917 в 2 часа ночи отряд вооруженных солдат и матросов от имени ВРК занял телеграф и Петроградское телеграфное агентство. Тут же в Кронштадт и Гельсингфорс (Хельсинки) были направлены телеграммы с требованием подтянуть к Петрограду боевые корабли с отрядами матросов. Отряды красногвардейцев, тем временем, занимали все новые узловые точки города и к утру контролировали типографию газеты «Биржевые Ведомости», гостиницу «Астория», электростанцию и телефонную станцию. Охранявшие их юнкера были разоружены. В 09:30 отряд матросов занял Госбанк. Вскоре в управление милиции поступило сообщение о том, что Зимний дворец изолирован, а его телефонная сеть отключена. Попытка небольшого отряда юнкеров во главе с комиссаром Временного правительства Владимиром Станкевичем отбить телефонную станцию закончилась неудачей, а вызванные Керенским в Петроград курсанты школы прапорщиков (около 2000 штыков) из предместий столицы добраться не смогли, так как Балтийский вокзал уже был занят силами ВРК. Крейсер «Аврора» подошел к Николаевскому мосту, сам мост был отбит у юнкеров и вновь сведен.</w:t>
      </w:r>
    </w:p>
    <w:p w14:paraId="2FB7A5BD" w14:textId="77777777" w:rsidR="00873E5B" w:rsidRPr="002F2FDF" w:rsidRDefault="00873E5B" w:rsidP="0083075A">
      <w:pPr>
        <w:pStyle w:val="ae"/>
        <w:spacing w:before="0" w:after="0"/>
        <w:jc w:val="both"/>
        <w:rPr>
          <w:color w:val="000000" w:themeColor="text1"/>
          <w:kern w:val="2"/>
          <w:sz w:val="16"/>
          <w:szCs w:val="16"/>
        </w:rPr>
      </w:pPr>
      <w:r w:rsidRPr="002F2FDF">
        <w:rPr>
          <w:color w:val="000000" w:themeColor="text1"/>
          <w:kern w:val="2"/>
          <w:sz w:val="16"/>
          <w:szCs w:val="16"/>
        </w:rPr>
        <w:t>Керенский в ночь на 7 ноября перемещался между штабом Петроградского военного округа, откуда пытался подтянуть новые, верные правительству части, и Зимним дворцом, где шло заседание Временного правительства. Командующий военным округом Георгий Полковников зачитал Керенскому доклад, в котором оценил положение как «критическое» и проинформировал, что «в распоряжении правительства нет никаких войск». Тогда Керенский сместил Полковникова с должности за нерешительность и лично обратился с воззванием к 1-му, 4-му и 14-му казачьему полкам принять участие в защите «революционной демократии». Но большинство бойцов не вышли из казарм, и к Зимнему дворцу прибыли лишь около 200 казаков.</w:t>
      </w:r>
    </w:p>
    <w:p w14:paraId="335DFDBB" w14:textId="77777777" w:rsidR="00873E5B" w:rsidRPr="002F2FDF" w:rsidRDefault="00873E5B" w:rsidP="0083075A">
      <w:pPr>
        <w:pStyle w:val="ae"/>
        <w:spacing w:before="0" w:after="0"/>
        <w:jc w:val="both"/>
        <w:rPr>
          <w:color w:val="000000" w:themeColor="text1"/>
          <w:kern w:val="2"/>
          <w:sz w:val="16"/>
          <w:szCs w:val="16"/>
        </w:rPr>
      </w:pPr>
      <w:r w:rsidRPr="002F2FDF">
        <w:rPr>
          <w:color w:val="000000" w:themeColor="text1"/>
          <w:kern w:val="2"/>
          <w:sz w:val="16"/>
          <w:szCs w:val="16"/>
        </w:rPr>
        <w:t>Уже ранним утром на транспортных судах в город начали прибывать матросы из Кронштадта, которые высадились на Васильевском острове. Их прикрывал крейсер «Аврора», линкор «Заря Свободы» и два миноносца.</w:t>
      </w:r>
    </w:p>
    <w:p w14:paraId="37DBC002" w14:textId="77777777" w:rsidR="00873E5B" w:rsidRPr="002F2FDF" w:rsidRDefault="00873E5B" w:rsidP="0083075A">
      <w:pPr>
        <w:pStyle w:val="ae"/>
        <w:spacing w:before="0" w:after="0"/>
        <w:jc w:val="both"/>
        <w:rPr>
          <w:color w:val="000000" w:themeColor="text1"/>
          <w:kern w:val="2"/>
          <w:sz w:val="16"/>
          <w:szCs w:val="16"/>
        </w:rPr>
      </w:pPr>
      <w:r w:rsidRPr="002F2FDF">
        <w:rPr>
          <w:color w:val="000000" w:themeColor="text1"/>
          <w:kern w:val="2"/>
          <w:sz w:val="16"/>
          <w:szCs w:val="16"/>
        </w:rPr>
        <w:t>К 11 часам утра 7 ноября Керенский на автомобиле в сопровождении нескольких офицеров выехал из Петрограда в Псков, где располагался штаб Северного фронта. Позднее большевики распространили легенду, будто Керенский бежал из Зимнего дворца, переодевшись в женское платье, что было полной выдумкой. Исполнять обязанности главы правительства Керенский оставил министра торговли и промышленности Александра Коновалова.</w:t>
      </w:r>
    </w:p>
    <w:p w14:paraId="0461D4BD" w14:textId="77777777" w:rsidR="00873E5B" w:rsidRPr="002F2FDF" w:rsidRDefault="00873E5B" w:rsidP="0083075A">
      <w:pPr>
        <w:pStyle w:val="ae"/>
        <w:spacing w:before="0" w:after="0"/>
        <w:jc w:val="both"/>
        <w:rPr>
          <w:color w:val="000000" w:themeColor="text1"/>
          <w:kern w:val="2"/>
          <w:sz w:val="16"/>
          <w:szCs w:val="16"/>
        </w:rPr>
      </w:pPr>
      <w:r w:rsidRPr="002F2FDF">
        <w:rPr>
          <w:color w:val="000000" w:themeColor="text1"/>
          <w:kern w:val="2"/>
          <w:sz w:val="16"/>
          <w:szCs w:val="16"/>
        </w:rPr>
        <w:t>День 7 ноября ушел у восставших на штурм Предпарламента, заседавшего в Мариинском дворце неподалеку от уже занятой «Астории». К полудню здание было оцеплено революционными солдатами, а с 12:30 они начали заходить и внутрь, требуя от делегатов разойтись. Видный политик, министр иностранных дел в первом составе Временного правительства Павел Милюков позднее так писал о бесславном конце этого органа: «</w:t>
      </w:r>
      <w:r w:rsidRPr="002F2FDF">
        <w:rPr>
          <w:rStyle w:val="HTML5"/>
          <w:i w:val="0"/>
          <w:color w:val="000000" w:themeColor="text1"/>
          <w:kern w:val="2"/>
          <w:sz w:val="16"/>
          <w:szCs w:val="16"/>
        </w:rPr>
        <w:t>Никакой попытки оставить группу членов, чтобы реагировать на события, не было сделано. В этом сказалось общее сознание бессилия этого эфемерного учреждения и невозможность для него, после принятой накануне резолюции, предпринимать какие бы то ни было совместные действия».</w:t>
      </w:r>
    </w:p>
    <w:p w14:paraId="382AF921" w14:textId="77777777" w:rsidR="00873E5B" w:rsidRPr="002F2FDF" w:rsidRDefault="00873E5B" w:rsidP="0083075A">
      <w:pPr>
        <w:pStyle w:val="ae"/>
        <w:spacing w:before="0" w:after="0"/>
        <w:jc w:val="both"/>
        <w:rPr>
          <w:color w:val="000000" w:themeColor="text1"/>
          <w:kern w:val="2"/>
          <w:sz w:val="16"/>
          <w:szCs w:val="16"/>
        </w:rPr>
      </w:pPr>
      <w:r w:rsidRPr="002F2FDF">
        <w:rPr>
          <w:color w:val="000000" w:themeColor="text1"/>
          <w:kern w:val="2"/>
          <w:sz w:val="16"/>
          <w:szCs w:val="16"/>
        </w:rPr>
        <w:t>Штурм собственно Зимнего дворца начался около девяти часов вечера с холостого выстрела из Петропавловской крепости и последовавшего затем также холостого выстрела с крейсера «Аврора». Отряды революционных матросов и красногвардейцев проникли в Зимний дворец со стороны Эрмитажа. К двум часам ночи Временное правительство капитулировало и было арестовано, защищавшие дворец юнкера, женщины и инвалиды сложили оружие.</w:t>
      </w:r>
    </w:p>
    <w:p w14:paraId="63A42FBE" w14:textId="77777777" w:rsidR="00873E5B" w:rsidRPr="002F2FDF" w:rsidRDefault="00873E5B" w:rsidP="0083075A">
      <w:pPr>
        <w:pStyle w:val="ae"/>
        <w:spacing w:before="0" w:after="0"/>
        <w:jc w:val="both"/>
        <w:rPr>
          <w:color w:val="000000" w:themeColor="text1"/>
          <w:kern w:val="2"/>
          <w:sz w:val="16"/>
          <w:szCs w:val="16"/>
        </w:rPr>
      </w:pPr>
      <w:r w:rsidRPr="002F2FDF">
        <w:rPr>
          <w:color w:val="000000" w:themeColor="text1"/>
          <w:kern w:val="2"/>
          <w:sz w:val="16"/>
          <w:szCs w:val="16"/>
        </w:rPr>
        <w:t>Восстание совпало по времени со II Всероссийским съездом Советов, который открылся 7 ноября в 22:40 в здании Смольного института. Депутаты из числа правых эсеров, узнав о начавшемся перевороте, в знак протеста покинули съезд. Но своим уходом они не смогли нарушить кворум, а левые эсеры, часть меньшевиков и анархистов и делегаты от национальных групп поддержали действия большевиков.</w:t>
      </w:r>
    </w:p>
    <w:p w14:paraId="2CC8742D" w14:textId="77777777" w:rsidR="00873E5B" w:rsidRPr="002F2FDF" w:rsidRDefault="00873E5B" w:rsidP="0083075A">
      <w:pPr>
        <w:pStyle w:val="ae"/>
        <w:spacing w:before="0" w:after="0"/>
        <w:jc w:val="both"/>
        <w:rPr>
          <w:color w:val="000000" w:themeColor="text1"/>
          <w:kern w:val="2"/>
          <w:sz w:val="16"/>
          <w:szCs w:val="16"/>
        </w:rPr>
      </w:pPr>
      <w:r w:rsidRPr="002F2FDF">
        <w:rPr>
          <w:color w:val="000000" w:themeColor="text1"/>
          <w:kern w:val="2"/>
          <w:sz w:val="16"/>
          <w:szCs w:val="16"/>
        </w:rPr>
        <w:t>Фраза лидера большевиков Владимира Ленина — «Революция, о необходимости которой так долго говорили большевики, свершилась!» — вызвала на съезде овацию. Опираясь на победившее восстание, Съезд воззванием «Рабочим, солдатам и крестьянам!» провозгласил переход власти к Советам.</w:t>
      </w:r>
    </w:p>
    <w:p w14:paraId="211DA842" w14:textId="77777777" w:rsidR="00873E5B" w:rsidRPr="002F2FDF" w:rsidRDefault="00873E5B" w:rsidP="0083075A">
      <w:pPr>
        <w:pStyle w:val="ae"/>
        <w:spacing w:before="0" w:after="0"/>
        <w:jc w:val="both"/>
        <w:rPr>
          <w:color w:val="000000" w:themeColor="text1"/>
          <w:kern w:val="2"/>
          <w:sz w:val="16"/>
          <w:szCs w:val="16"/>
        </w:rPr>
      </w:pPr>
      <w:r w:rsidRPr="002F2FDF">
        <w:rPr>
          <w:color w:val="000000" w:themeColor="text1"/>
          <w:kern w:val="2"/>
          <w:sz w:val="16"/>
          <w:szCs w:val="16"/>
        </w:rPr>
        <w:t>Победившие большевики немедленно приступили к законотворческой деятельности. Первыми законами стали так называемый «Декрет о мире» (призыв ко всем воюющим странам и народам немедленно приступить к переговорам о заключении всеобщего мира без аннексий и контрибуций, не получивший положительного отклика ни от одной из воевавших стран), и «Декрет о земле», согласно которому помещичья земля подлежала конфискации и передаче для обработки крестьянам, но при этом все земли, леса, воды и недра национализировались. Эти декреты были утверждены съездом Советов 8 ноября (17045).</w:t>
      </w:r>
    </w:p>
    <w:p w14:paraId="09CCB183" w14:textId="77777777" w:rsidR="00873E5B" w:rsidRPr="002F2FDF" w:rsidRDefault="00873E5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C2B7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октября (7 ноября) 1917 восставшие захватили всю столицу кроме Зимнего. ВРК объявил о низложении Временного правительства и именем совета взял власть в свои руки (3908,267).</w:t>
      </w:r>
    </w:p>
    <w:p w14:paraId="250C12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3279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октября (7 ноября) 1917 Захват центральной телефонной станции в Петрограде отрядами Красной гвардии и подразделениями Кексгольмского полка. Радисты крейсера “Аврора” передали радиограмму о захвате государственной власти Петроградским Советом рабочих и солдатских депутатов и Военно-революционным комитетом. Занят военно-морской порт с радиостанцией “Новая Голландия” (11072).</w:t>
      </w:r>
    </w:p>
    <w:p w14:paraId="3A74E8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01BFD9" w14:textId="256055FF" w:rsidR="000B53BF" w:rsidRPr="002F2FDF" w:rsidRDefault="000B53B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октября (7 ноября) 1917 в 01.25 - занят Главпочтамт. 02.00 - занят Николаевский вокзал и электростанция. 03.30 - крейсер "Аврора" паркуется у Николаевского моста. 06.00 - матросы заняли Госбанк и закрыли все центральные газеты. 07.00 - занята центральная телефонная станция. 10.00 - обращение ВРК "К гражданам России!". Временное правительство объявлено низложенным. Керенский убыл на фронт. 13.00 - занят Мариинский дворец, распущен Предпарламент. 18.00 - взяли в кольцо Зимний дворец. 19.00 - предъявлен ультиматум Временному правительству. 21.40 - бабахнула "Аврора" и орудия Петропавловки. Возле Зимнего первые стычки. 22.40 -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II Всероссийский съезд Советов. 23.00 - начался захват Зимнего. Юнкеров отпустили под честное слово, женскому батальону повезло меньше (12629).</w:t>
      </w:r>
    </w:p>
    <w:p w14:paraId="0829BFCD" w14:textId="77777777" w:rsidR="000B53BF" w:rsidRPr="002F2FDF" w:rsidRDefault="000B53BF" w:rsidP="0083075A">
      <w:pPr>
        <w:spacing w:after="0" w:line="240" w:lineRule="auto"/>
        <w:jc w:val="both"/>
        <w:rPr>
          <w:rFonts w:ascii="Times New Roman" w:hAnsi="Times New Roman" w:cs="Times New Roman"/>
          <w:color w:val="000000" w:themeColor="text1"/>
          <w:kern w:val="2"/>
          <w:sz w:val="16"/>
          <w:szCs w:val="16"/>
        </w:rPr>
      </w:pPr>
    </w:p>
    <w:p w14:paraId="44AFD8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октября (7 ноября) 1917 Б.В.Савинков пытался деблокировать осажденный Зимний, но казаки отказались поддержать правительство А.Керенского. Б.В.С. отбыл в Гатчину (3908,267).</w:t>
      </w:r>
    </w:p>
    <w:p w14:paraId="3DA1D0D6" w14:textId="77777777" w:rsidR="00C90ABE" w:rsidRPr="002F2FDF" w:rsidRDefault="00C90AB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D582C7" w14:textId="77777777" w:rsidR="00C90ABE" w:rsidRPr="002F2FDF" w:rsidRDefault="00C90AB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ночь с 25 на 26 октября (</w:t>
      </w:r>
      <w:r>
        <w:rPr>
          <w:rFonts w:ascii="Times New Roman" w:hAnsi="Times New Roman" w:cs="Times New Roman"/>
          <w:color w:val="000000" w:themeColor="text1"/>
          <w:kern w:val="2"/>
          <w:sz w:val="16"/>
          <w:szCs w:val="16"/>
        </w:rPr>
        <w:t>7-</w:t>
      </w:r>
      <w:r w:rsidRPr="002F2FDF">
        <w:rPr>
          <w:rFonts w:ascii="Times New Roman" w:hAnsi="Times New Roman" w:cs="Times New Roman"/>
          <w:color w:val="000000" w:themeColor="text1"/>
          <w:kern w:val="2"/>
          <w:sz w:val="16"/>
          <w:szCs w:val="16"/>
        </w:rPr>
        <w:t>8 ноября) 1917 был штурм Зимнего и арест министров ВП (3481). Стреляла Аврора и восставшие заняли дворец в 2:30 ночи 26 октября 1917 (3908,267).</w:t>
      </w:r>
    </w:p>
    <w:p w14:paraId="3106C863" w14:textId="77777777" w:rsidR="00C90ABE" w:rsidRPr="002F2FDF" w:rsidRDefault="00C90AB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9C8E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октября (7 ноября) 1917 г. После вооруженного восстания в Петрограде государственная власть переходит к Всероссийскому Съезду Советов рабочих и солдатских депутатов, исполнительным органом которого является Всероссийский центральный исполнительный комитет (ВЦИК). На основании декрета 2-го Всероссийского съезда Советов при ВЦИК создается Совет Народных Комиссаров (СНК) РСФСР, объединивший и возглавивший 13 комиссариатов: Земледелия, Труда, Почт и телеграфов, Юстиции, Финансов, Военных и морских дел, По делам торговли и промышленности, Железнодорожных дел, Иностранных дел, Народного просвещения, По делам национальностей, По делам продовольствия, Внутренних дел. Наркомом внутренних дел РСФСР назначен Рыков Алексей Иванович (10303).</w:t>
      </w:r>
    </w:p>
    <w:p w14:paraId="1D2297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2A08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Утром 25 октября (7 ноября) 1917 было опубликовано написанное В. И. Лениным обращение ВРК «К гражданам России!» о низложении Временного правительства и переходе государственной власти к ВРК. К 12 ч матросы заняли военный порт, радиостанцию, Главное Адмиралтейство. Днем продолжалась ликвидация очагов сопротивления контрреволюции. Моряки участвовали в захвате мостов, Мариинского дворца, где заседал Предпарламент, здания Главного штаба. К вечеру был окружен Зимний дворец. </w:t>
      </w:r>
    </w:p>
    <w:p w14:paraId="0E9DAD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21 ч 40 мин по сигнальному выстрелу крейсера «Аврора» начался штурм Зимнего дворца, где под охраной юнкеров Временное правительство ожидало подхода войск с фронта. </w:t>
      </w:r>
    </w:p>
    <w:p w14:paraId="522615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Центробалт предоставил в распоряжение ВРК 11 кораблей. Линкор «Заря Свободы» занял позицию в Морском канале для прикрытия подступов к Петрограду с юга. Крейсер «Аврора» стоял на Неве близ Николаевского моста (мост Лейтенанта Шмидта), перед ним — эсминцы «Самсон» и «Забияка», напротив, у правого берега, — минный заградитель «Амур», учебное судно «Верный», сторожевое судно «Ястреб», заградитель «Хопер» и яхта «Зарница», между Николаевским и Дворцовым мостами — тральщики № 14 и 15. В случае необходимости крейсер, эсминцы и артиллерия Петропавловской крепости должны были вести огонь по силам контрреволюции. На левом фланге — от Мойки до Адмиралтейства — сосредоточивались матросы 2-го Балтийского флотского экипажа и солдаты Кексгольмского полка, Гвардейский флотский экипаж находился в резерве. БФ выделил для штурма Зимнего более 11 тыс. человек. Несмотря на сопротивление юнкеров, отряды восставших под руководством В. Л. Антонова-Овсеенко, Н. И. Подвойского и Г. И. Чудновского прорвались в Зимний дворец и в 2 ч 10 мин 26.10 арестовали членов низложенного Временного правительства. </w:t>
      </w:r>
    </w:p>
    <w:p w14:paraId="1A08E1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3 ч 10 мин об этом было сообщено II Всероссийскому съезду Советов, который принял обращение: «Опираясь на волю громадного большинства рабочих, солдат и крестьян, опираясь на совершившееся в Петрограде победоносное восстание рабочих и гарнизона, съезд берет власть в свои руки». На съезде были приняты декреты о мире, о земле и образовано Советское правительство — Совет Народных Комиссаров во главе с В. И. Ульяновым (Лениным). 27 октября СНК обратился по радио к народам и правительствам воюющих держав с предложением немедленно начать переговоры о заключении справедливого мира.</w:t>
      </w:r>
    </w:p>
    <w:p w14:paraId="61AEBC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Великая победа 25 октября 1917 — классический образец вооруженного восстания, подготовленного революционными рабочими, солдатами и матросами БФ под руководством партии большевиков во главе с Лениным. Вождь революции высоко оценивал роль моряков в восстании. В подписанном им 30.10 обращении говорилось: «Балтийский флот, верный делу революции, пришел на поддержку восставшего народа» (11712).</w:t>
      </w:r>
    </w:p>
    <w:p w14:paraId="0782D3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E72496" w14:textId="77777777" w:rsidR="00CF4618" w:rsidRPr="002F2FDF" w:rsidRDefault="00CF4618"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lastRenderedPageBreak/>
        <w:t>25 октября (7 ноября) 1917 г. первая в Москве радиостанция, самая мощная в России, построенная поле после начала войны менее чем за 100 дней на Ходынке для радиосвязм с Францией и Англией, приняла радиосигнал с «Авроры» о начале вооруженного восстания. На следующий день все 158 большевиков «Дукса» пришли на Нижнюю Масловку, в дом № 49, для участия в расширенном собрании райкома РСДРП(б) совместно с райсоветом и районной думой, избрав ревком и районный штаб Красной гвардии. Предревкома избрали большевика «Дукса» Н.М.Ганчукова, начштаба Красной гвардии — члена МК РСДРП(б) маляра «Дукса» И.Н.Григорьева. В ревком и штаб Красной гвардии вошли большевики «Дукса» Л А. Качалин, И.Ф.Баранов, С.П.Морозов, С.П.Исаев (15464).</w:t>
      </w:r>
    </w:p>
    <w:p w14:paraId="7E73754A" w14:textId="77777777" w:rsidR="00CF4618" w:rsidRPr="002F2FDF" w:rsidRDefault="00CF4618" w:rsidP="0083075A">
      <w:pPr>
        <w:pStyle w:val="2"/>
        <w:spacing w:before="0" w:beforeAutospacing="0" w:after="0" w:afterAutospacing="0"/>
        <w:jc w:val="both"/>
        <w:rPr>
          <w:b w:val="0"/>
          <w:color w:val="000000" w:themeColor="text1"/>
          <w:kern w:val="2"/>
          <w:sz w:val="16"/>
          <w:szCs w:val="16"/>
        </w:rPr>
      </w:pPr>
    </w:p>
    <w:p w14:paraId="2E67A02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25 октября </w:t>
      </w:r>
      <w:r w:rsidR="001157F8" w:rsidRPr="002F2FDF">
        <w:rPr>
          <w:rFonts w:ascii="Times New Roman" w:hAnsi="Times New Roman" w:cs="Times New Roman"/>
          <w:color w:val="000000" w:themeColor="text1"/>
          <w:kern w:val="2"/>
          <w:sz w:val="16"/>
          <w:szCs w:val="16"/>
        </w:rPr>
        <w:t xml:space="preserve">(7 ноября) </w:t>
      </w:r>
      <w:r w:rsidRPr="002F2FDF">
        <w:rPr>
          <w:rFonts w:ascii="Times New Roman" w:hAnsi="Times New Roman" w:cs="Times New Roman"/>
          <w:color w:val="000000" w:themeColor="text1"/>
          <w:kern w:val="2"/>
          <w:sz w:val="16"/>
          <w:szCs w:val="16"/>
        </w:rPr>
        <w:t>1917 140 отрядов Красной гвардии Москвы насчитывали около 10 тыс. чел. (5484,115).</w:t>
      </w:r>
    </w:p>
    <w:p w14:paraId="5878C7C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94C036"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25 октября (7 ноября) </w:t>
      </w:r>
      <w:r w:rsidRPr="002F2FDF">
        <w:rPr>
          <w:rFonts w:ascii="Times New Roman" w:hAnsi="Times New Roman" w:cs="Times New Roman"/>
          <w:color w:val="000000" w:themeColor="text1"/>
          <w:kern w:val="2"/>
          <w:sz w:val="16"/>
          <w:szCs w:val="16"/>
        </w:rPr>
        <w:t>в 1917 году Александр Федорович Керенский отправился в Гатчину, где надеялся собрать войско. (по словам Степана Керенского, внука) (14810).</w:t>
      </w:r>
    </w:p>
    <w:p w14:paraId="619EA3D1"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p>
    <w:p w14:paraId="1DFF7EB7"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25 октября (7 ноября) </w:t>
      </w:r>
      <w:r w:rsidRPr="002F2FDF">
        <w:rPr>
          <w:rFonts w:ascii="Times New Roman" w:hAnsi="Times New Roman" w:cs="Times New Roman"/>
          <w:color w:val="000000" w:themeColor="text1"/>
          <w:kern w:val="2"/>
          <w:sz w:val="16"/>
          <w:szCs w:val="16"/>
        </w:rPr>
        <w:t>в 1917 году "Известия ВЦИК" печатают редакционную статью "Кризис советской организации", которая называет Советы временными бараками, приютившими демократию после падения самодержавия (14810).</w:t>
      </w:r>
    </w:p>
    <w:p w14:paraId="6DACFAA2"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p>
    <w:p w14:paraId="201815FC" w14:textId="77777777" w:rsidR="00F91B7A" w:rsidRPr="002F2FDF" w:rsidRDefault="00F91B7A"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октября (7 ноября) 1917 в Баку создана Тюркская демократическая партия “Мусават” (4962).</w:t>
      </w:r>
    </w:p>
    <w:p w14:paraId="57102535" w14:textId="77777777" w:rsidR="00F91B7A" w:rsidRPr="002F2FDF" w:rsidRDefault="00F91B7A"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705918" w14:textId="77777777" w:rsidR="00F15D5E" w:rsidRPr="002F2FDF" w:rsidRDefault="00F15D5E" w:rsidP="0083075A">
      <w:pPr>
        <w:pStyle w:val="ae"/>
        <w:spacing w:before="0" w:after="0"/>
        <w:jc w:val="both"/>
        <w:rPr>
          <w:color w:val="000000" w:themeColor="text1"/>
          <w:kern w:val="2"/>
          <w:sz w:val="16"/>
          <w:szCs w:val="16"/>
        </w:rPr>
      </w:pPr>
      <w:r w:rsidRPr="002F2FDF">
        <w:rPr>
          <w:rStyle w:val="ucoz-forum-post"/>
          <w:bCs/>
          <w:color w:val="000000" w:themeColor="text1"/>
          <w:kern w:val="2"/>
          <w:sz w:val="16"/>
          <w:szCs w:val="16"/>
        </w:rPr>
        <w:t xml:space="preserve">25 октября (7 ноября) </w:t>
      </w:r>
      <w:r w:rsidRPr="002F2FDF">
        <w:rPr>
          <w:color w:val="000000" w:themeColor="text1"/>
          <w:kern w:val="2"/>
          <w:sz w:val="16"/>
          <w:szCs w:val="16"/>
        </w:rPr>
        <w:t>в 1917 году после известий об успехе восстания в Петрограде московские большевики создали свой Боевой центр, отправив патрули к почтамту и агитаторов в казармы 56-го пехотного полка — с приказом занять Кремль, банки и другие важные объекты, но солдаты его исполнять не торопились.</w:t>
      </w:r>
    </w:p>
    <w:p w14:paraId="6E16A457" w14:textId="77777777" w:rsidR="00F15D5E" w:rsidRPr="002F2FDF" w:rsidRDefault="00F15D5E" w:rsidP="0083075A">
      <w:pPr>
        <w:pStyle w:val="ae"/>
        <w:spacing w:before="0" w:after="0"/>
        <w:jc w:val="both"/>
        <w:rPr>
          <w:color w:val="000000" w:themeColor="text1"/>
          <w:kern w:val="2"/>
          <w:sz w:val="16"/>
          <w:szCs w:val="16"/>
        </w:rPr>
      </w:pPr>
      <w:r w:rsidRPr="002F2FDF">
        <w:rPr>
          <w:color w:val="000000" w:themeColor="text1"/>
          <w:kern w:val="2"/>
          <w:sz w:val="16"/>
          <w:szCs w:val="16"/>
        </w:rPr>
        <w:t>Вечером 7 ноября на заседании Мосгордумы, в которой большинство составляли эсеры, было решено поддержать Временное правительство и образовать Комитет общественной безопасности (КОБ), который возглавили председатель думы, правый эсер Вадим Руднев и командующий Московского военного округа Константин Рябцев. КОБ поддержали московские юнкера и расквартированные в городе казаки.</w:t>
      </w:r>
    </w:p>
    <w:p w14:paraId="75AB8767" w14:textId="77777777" w:rsidR="00F15D5E" w:rsidRPr="002F2FDF" w:rsidRDefault="00F15D5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Большевики, в свою очередь, образовали также Московский военно-революционный комитет (МВРК), который потребовал от расквартированных в городе войск исполнять только его распоряжения (17045).</w:t>
      </w:r>
    </w:p>
    <w:p w14:paraId="5076668A" w14:textId="77777777" w:rsidR="00F15D5E" w:rsidRPr="002F2FDF" w:rsidRDefault="00F15D5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489A2A" w14:textId="77777777" w:rsidR="00826055" w:rsidRPr="002F2FDF" w:rsidRDefault="00826055" w:rsidP="0083075A">
      <w:pPr>
        <w:pStyle w:val="ae"/>
        <w:spacing w:before="0" w:after="0"/>
        <w:jc w:val="both"/>
        <w:rPr>
          <w:color w:val="000000" w:themeColor="text1"/>
          <w:kern w:val="2"/>
          <w:sz w:val="16"/>
          <w:szCs w:val="16"/>
        </w:rPr>
      </w:pPr>
      <w:r w:rsidRPr="002F2FDF">
        <w:rPr>
          <w:bCs/>
          <w:color w:val="000000" w:themeColor="text1"/>
          <w:kern w:val="2"/>
          <w:sz w:val="16"/>
          <w:szCs w:val="16"/>
        </w:rPr>
        <w:t>25 октября (7 ноября)</w:t>
      </w:r>
      <w:r w:rsidRPr="002F2FDF">
        <w:rPr>
          <w:color w:val="000000" w:themeColor="text1"/>
          <w:kern w:val="2"/>
          <w:sz w:val="16"/>
          <w:szCs w:val="16"/>
        </w:rPr>
        <w:t xml:space="preserve"> в 1917 году Донской войсковой атаман Алексей Каледин выступил с обращением, объявив захват власти в Петрограде преступным, и заявил, что впредь до восстановления законной власти Войсковое правительство принимает на себя всю власть в Донской области. 8 ноября Каледина поддержали кубанский атаман Александр Филимонов, терский атаман Михаил Караулов и оренбургский атаман Александр Дутов. До 13 ноября продолжались бои между «красными» солдатами и казаками в Пскове (17045).</w:t>
      </w:r>
    </w:p>
    <w:p w14:paraId="214F3BE4" w14:textId="77777777" w:rsidR="00826055" w:rsidRPr="002F2FDF" w:rsidRDefault="0082605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B94C40" w14:textId="77777777" w:rsidR="008849C8" w:rsidRPr="002F2FDF" w:rsidRDefault="008849C8" w:rsidP="0083075A">
      <w:pPr>
        <w:pStyle w:val="a3"/>
        <w:rPr>
          <w:color w:val="000000" w:themeColor="text1"/>
          <w:lang w:val="ru-RU"/>
        </w:rPr>
      </w:pPr>
      <w:r w:rsidRPr="002F2FDF">
        <w:rPr>
          <w:color w:val="000000" w:themeColor="text1"/>
          <w:lang w:val="ru-RU"/>
        </w:rPr>
        <w:t>Ко времени Октябрьской революции масса денег в обращении примерно в 10 раз превышала показатель 1914 года, индекс розничных цен повысился в 13 раз. Экономическая разруха ухудшала снабжение городов продовольствием. Временное правительство, управлявшее страной с марта по ноябрь 1917 года (по новому стилю), впервые в истории России ввело рационирование (карточное распределение) хлеба и некоторых других продуктов для городского населения. Оно выпустило собственные бумажные деньги, слившиеся с царскими деньгами в одну обесценивающуюся массу (18079).</w:t>
      </w:r>
    </w:p>
    <w:p w14:paraId="1AAF3CD2" w14:textId="77777777" w:rsidR="008849C8" w:rsidRPr="002F2FDF" w:rsidRDefault="008849C8" w:rsidP="0083075A">
      <w:pPr>
        <w:pStyle w:val="a3"/>
        <w:rPr>
          <w:color w:val="000000" w:themeColor="text1"/>
          <w:lang w:val="ru-RU"/>
        </w:rPr>
      </w:pPr>
    </w:p>
    <w:p w14:paraId="4FBD0AA5" w14:textId="77777777" w:rsidR="008849C8" w:rsidRPr="002F2FDF" w:rsidRDefault="008849C8" w:rsidP="0083075A">
      <w:pPr>
        <w:pStyle w:val="a3"/>
        <w:rPr>
          <w:color w:val="000000" w:themeColor="text1"/>
          <w:lang w:val="ru-RU"/>
        </w:rPr>
      </w:pPr>
      <w:r w:rsidRPr="002F2FDF">
        <w:rPr>
          <w:rFonts w:eastAsia="Times New Roman"/>
          <w:color w:val="000000" w:themeColor="text1"/>
          <w:lang w:val="ru-RU" w:eastAsia="ru-RU"/>
        </w:rPr>
        <w:t>25 октября (7 ноября) 1917 г. около полудня частные коммерческие банки Петрограда стали закрываться. 8 ноября (26 октября) они не работали. 9 ноября (27 октября) представители банков на своем совещании постановили, что банки будут открыты в часы, когда открыт Госбанк. По желанию банкиры могли ограничить выдачу на одного клиента 10000 рублей наличными, а остальное выдавать чеками на Госбанк. 27-28 октября (9-10 ноября) банки работали с 12 до 13 часов, выдачи в некоторых из них превысили поступления, но паники у публики не было. 30 октября (12 ноября) 1917 коммерческие банки закрылись вследствие напряженного положения на улицах и нарушения телефонной связи, кроме того, чеки на Госбанк оказались во многих случаях не оплачены. Банкиры решили сократить выдачу на клиента до 3000 рублей наличными, остальное опять выдавать чеками на Государственный банк (18085)</w:t>
      </w:r>
    </w:p>
    <w:p w14:paraId="224E4B49" w14:textId="77777777" w:rsidR="008849C8" w:rsidRPr="002F2FDF" w:rsidRDefault="008849C8" w:rsidP="0083075A">
      <w:pPr>
        <w:pStyle w:val="a3"/>
        <w:rPr>
          <w:color w:val="000000" w:themeColor="text1"/>
          <w:lang w:val="ru-RU"/>
        </w:rPr>
      </w:pPr>
    </w:p>
    <w:p w14:paraId="30AB0636" w14:textId="77777777" w:rsidR="008849C8" w:rsidRPr="002F2FDF" w:rsidRDefault="008849C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октября (7 ноября) 1917 в Москве состоялся первый бенефис А.Вертинского (3481).</w:t>
      </w:r>
    </w:p>
    <w:p w14:paraId="2C1A2587" w14:textId="77777777" w:rsidR="008849C8" w:rsidRPr="002F2FDF" w:rsidRDefault="008849C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6DEC08" w14:textId="47C512EA" w:rsidR="00CB3E65" w:rsidRDefault="00CB3E65"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Векшняя политика:</w:t>
      </w:r>
    </w:p>
    <w:p w14:paraId="693F2EE5" w14:textId="77777777" w:rsidR="00CB3E65" w:rsidRDefault="00CB3E65"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7F70632" w14:textId="794EF794" w:rsidR="00CB3E65" w:rsidRPr="00FB4F67" w:rsidRDefault="00CB3E6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На 25 октября </w:t>
      </w:r>
      <w:r>
        <w:rPr>
          <w:rFonts w:ascii="Times New Roman" w:hAnsi="Times New Roman" w:cs="Times New Roman"/>
          <w:color w:val="0070C0"/>
          <w:sz w:val="16"/>
          <w:szCs w:val="16"/>
        </w:rPr>
        <w:t xml:space="preserve">(7 ноября) </w:t>
      </w:r>
      <w:r w:rsidRPr="00FB4F67">
        <w:rPr>
          <w:rFonts w:ascii="Times New Roman" w:hAnsi="Times New Roman" w:cs="Times New Roman"/>
          <w:color w:val="0070C0"/>
          <w:sz w:val="16"/>
          <w:szCs w:val="16"/>
        </w:rPr>
        <w:t>1917 г. «Царские долги» к моменту прихода большевиков к власти по кредитам и облигациям в золотом эквиваленте составлял примерно 13,5 тысяч тонн золота (в пересчёте на курс 2011 г. - примерно 624 млрд, долларов). Причем на долю Франции приходилось почти 90 % от общей суммы задолженности, остальная часть приходилась на долю Англии. 3 февраля 1918 г. ВЦИК РСФСР своим декретом аннулирует внешний и внутренний долг России по договорам и облигациям царского и Временного правительства. Для</w:t>
      </w:r>
    </w:p>
    <w:p w14:paraId="1AB5816F" w14:textId="77777777" w:rsidR="00CB3E65" w:rsidRPr="00FB4F67" w:rsidRDefault="00CB3E6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Англии это был очень больной удар, а для Франции, разоренной войной, это было просто смертельно. Стоимость франка после этого стала стремительно падать, а значение доллара, наоборот, расти. Отказ Ленина от уплаты «царских долгов» был самым крупным дефолтом в мировой финансовой истории.</w:t>
      </w:r>
    </w:p>
    <w:p w14:paraId="40334DED" w14:textId="77777777" w:rsidR="00CB3E65" w:rsidRPr="00FB4F67" w:rsidRDefault="00CB3E6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октябре 1917 г. наличность золота в монетах и слитках в Государственном банке составляла около 1,1 млрд, золотых руб., а если добавить золото румынской казны, которая находилась на хранении в России, то получится 1,2 млрд. Теперь, по сведениям Наркомфина, к началу 1922 г. свободная наличность в золоте и иностранной валюте составляла лишь немногим более 0,1 млрд. руб. Получается, что весь золотой запас Российской империи был использован всего за четыре года (23485).</w:t>
      </w:r>
    </w:p>
    <w:p w14:paraId="0B414555" w14:textId="77777777" w:rsidR="00CB3E65" w:rsidRPr="00FB4F67" w:rsidRDefault="00CB3E65" w:rsidP="0083075A">
      <w:pPr>
        <w:spacing w:after="0" w:line="240" w:lineRule="auto"/>
        <w:jc w:val="both"/>
        <w:rPr>
          <w:rFonts w:ascii="Times New Roman" w:hAnsi="Times New Roman" w:cs="Times New Roman"/>
          <w:color w:val="0070C0"/>
          <w:sz w:val="16"/>
          <w:szCs w:val="16"/>
        </w:rPr>
      </w:pPr>
    </w:p>
    <w:p w14:paraId="021E72B4" w14:textId="2F04E12C"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52321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D7A1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октября (7 ноября) 1917 британский генерал Алленби прорвал турецкую оборону в третьей битве при Газе (2100) и захватил горд (3907,92).</w:t>
      </w:r>
    </w:p>
    <w:p w14:paraId="5E544C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F8A4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октября (7 ноября) 1917 был переизбран президент Вудро Вильсон, хотя точные данные появились на несколько дней позже (2100).</w:t>
      </w:r>
    </w:p>
    <w:p w14:paraId="77B9F3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C3C206"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25 октября (7 ноября)</w:t>
      </w:r>
      <w:r w:rsidRPr="002F2FDF">
        <w:rPr>
          <w:rFonts w:ascii="Times New Roman" w:hAnsi="Times New Roman" w:cs="Times New Roman"/>
          <w:color w:val="000000" w:themeColor="text1"/>
          <w:kern w:val="2"/>
          <w:sz w:val="16"/>
          <w:szCs w:val="16"/>
        </w:rPr>
        <w:t xml:space="preserve"> в 1917 году провозглашена Декларация Бальфура о создании еврейского государства в Палестине.</w:t>
      </w:r>
    </w:p>
    <w:p w14:paraId="77F740E9"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Декларация Бальфура подала сигнал к началу британской военной кампании в Палестине под командованием лорда Эдмунда Алленби. В его войсках были солдаты Еврейского легиона — группы евреев-добровольцев из Англии, США, Канады и Палестины. В первый день праздника Ханукка в 1917 году войска лорда Алленби вступили в Иерусалим. Всего через месяц после подписания Декларации Бальфура Палестина была освобождена от власти турок (кроме севера страны, остававшегося под турецким владычеством до сентября 1918 года).</w:t>
      </w:r>
    </w:p>
    <w:p w14:paraId="63821797"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Декларация Бальфура </w:t>
      </w:r>
    </w:p>
    <w:p w14:paraId="10CFD9E5"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Министерство иностранных дел, </w:t>
      </w:r>
    </w:p>
    <w:p w14:paraId="10E6D819"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 ноября 1917 года </w:t>
      </w:r>
    </w:p>
    <w:p w14:paraId="02FCE983"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Уважаемый лорд Ротшильд, </w:t>
      </w:r>
    </w:p>
    <w:p w14:paraId="3B97036F"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Имею честь передать Вам от имени правительства Его Величества следующую декларацию, в которой выражается сочувствие сионистским устремлениям евреев, представленную на рассмотрение кабинета министров и им одобренную: </w:t>
      </w:r>
    </w:p>
    <w:p w14:paraId="2B6B7FB0"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«Правительство Его Величества с одобрением рассматривает вопрос о создании в Палестине национального очага для еврейского народа и приложит все усилия для содействия достижению этой цели; при этом ясно подразумевается, что не должно производиться никаких действий, которые могли бы нарушить гражданские и религиозные права существующих неевропейских общин в Палестине или же права и политический статус, которыми пользуются евреи в любой другой стране».</w:t>
      </w:r>
    </w:p>
    <w:p w14:paraId="560E3C8E"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 был бы весьма признателен Вам, если бы Вы довели эту Декларацию до сведения Сионистской федерации.</w:t>
      </w:r>
    </w:p>
    <w:p w14:paraId="7B360792"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Искренне Ваш, </w:t>
      </w:r>
    </w:p>
    <w:p w14:paraId="62CD7322"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Артур Джеймс Бальфур (14823).</w:t>
      </w:r>
    </w:p>
    <w:p w14:paraId="7EC6CC5E"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p>
    <w:p w14:paraId="4C382267" w14:textId="49511D30" w:rsidR="007B10CD" w:rsidRDefault="007B10CD"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4D06FC2B" w14:textId="77777777" w:rsidR="007B10CD" w:rsidRDefault="007B10CD"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004D2D1" w14:textId="77777777" w:rsidR="007B10CD" w:rsidRPr="00FB4F67" w:rsidRDefault="007B10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В начале ноября 1917 г. Военно-Воздушный Флот насчитывал около 35 тыс. солдат и офицеров, около 1,5 тыс. самолетов, а также следующие соединения и части: УВОФЛОТ; АВИАКАНТЫ; УМА: Инспекторы авиации и воздухоплавания на фронте (5); Полевые командиры авиации и воздухоплавания (14); авиационные батальоны (14); Боевые авиагруппы (4); АО (91); Боевые авиаотряды ЭВК ИМ (5); Балтийская авиационная дивизия (1); Черноморская авиадивизия (1); Команды авиационных батальонов (2); авиационные бригады (4); дивизия корабельной авиации (1); авиационные батальоны (14); Армейские ВО (28); КВО (59); Секции специалистов по аэрофотометрии и аэрофотографии (8); Авиационные и воздухоплавательные школы (11); Центральный аэронавигационный отдел (1); Главный </w:t>
      </w:r>
      <w:r w:rsidRPr="00FB4F67">
        <w:rPr>
          <w:rFonts w:ascii="Times New Roman" w:hAnsi="Times New Roman" w:cs="Times New Roman"/>
          <w:color w:val="0070C0"/>
          <w:sz w:val="16"/>
          <w:szCs w:val="16"/>
        </w:rPr>
        <w:lastRenderedPageBreak/>
        <w:t>аэродром УВВФ (1); Центральные авиационные материальные парки (5); Передние воздушные парки (7); передвижные ремонтные мастерские (11); авиабазы (14); авиационные парки (4); авиационные компании (2); Западный авиационный батальон (1); Западный авиационный батальон (2) (23525).</w:t>
      </w:r>
    </w:p>
    <w:p w14:paraId="7418638E" w14:textId="77777777" w:rsidR="007B10CD" w:rsidRPr="00FB4F67" w:rsidRDefault="007B10CD" w:rsidP="0083075A">
      <w:pPr>
        <w:spacing w:after="0" w:line="240" w:lineRule="auto"/>
        <w:jc w:val="both"/>
        <w:rPr>
          <w:rFonts w:ascii="Times New Roman" w:hAnsi="Times New Roman" w:cs="Times New Roman"/>
          <w:color w:val="0070C0"/>
          <w:sz w:val="16"/>
          <w:szCs w:val="16"/>
        </w:rPr>
      </w:pPr>
    </w:p>
    <w:p w14:paraId="2B9B3D5E" w14:textId="208C9A45"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D8E05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7615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октября (8 ноября) 1917 г., когда штурмом был взят Зимний дворец и арестовано Временное правительство, из Николаева в Петроград пришла обычная деловая телеграмма:</w:t>
      </w:r>
    </w:p>
    <w:p w14:paraId="691869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Петроград. Комиссии по испытаниям судов</w:t>
      </w:r>
    </w:p>
    <w:p w14:paraId="6884AB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Пятого ноября командируйте в Николаев Витстедта, Рейнгарда, Морица и одного инженер-механика для приемки эльпидифоров.</w:t>
      </w:r>
    </w:p>
    <w:p w14:paraId="44B698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Лопатин, Комипи</w:t>
      </w:r>
    </w:p>
    <w:p w14:paraId="2BF58F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обороте лопатинской телеграммы от руки написана резолюция:</w:t>
      </w:r>
    </w:p>
    <w:p w14:paraId="06A08F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Сообщить телеграммой генералу Лопатину, что по восстановлении в Петрограде нормальных условий будут командированы в Николаев Витстедт, Мориц и Рейнгард</w:t>
      </w:r>
    </w:p>
    <w:p w14:paraId="58AF32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30 октября 1917 г. </w:t>
      </w:r>
    </w:p>
    <w:p w14:paraId="544310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Инженер-механик капитан 1-го ранга Поляков (10700).</w:t>
      </w:r>
    </w:p>
    <w:p w14:paraId="2BD96E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6F179B" w14:textId="4EC61EF8" w:rsidR="003431D2" w:rsidRPr="002F2FDF" w:rsidRDefault="00C90AB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октября (8 ноября) 1917 г.</w:t>
      </w:r>
      <w:r>
        <w:rPr>
          <w:rFonts w:ascii="Times New Roman" w:hAnsi="Times New Roman" w:cs="Times New Roman"/>
          <w:color w:val="000000" w:themeColor="text1"/>
          <w:kern w:val="2"/>
          <w:sz w:val="16"/>
          <w:szCs w:val="16"/>
        </w:rPr>
        <w:t xml:space="preserve"> п</w:t>
      </w:r>
      <w:r w:rsidR="003431D2" w:rsidRPr="002F2FDF">
        <w:rPr>
          <w:rFonts w:ascii="Times New Roman" w:hAnsi="Times New Roman" w:cs="Times New Roman"/>
          <w:color w:val="000000" w:themeColor="text1"/>
          <w:kern w:val="2"/>
          <w:sz w:val="16"/>
          <w:szCs w:val="16"/>
        </w:rPr>
        <w:t>осле Октябрьской революции управление заводом РОБТиТ оста</w:t>
      </w:r>
      <w:r w:rsidR="003431D2" w:rsidRPr="002F2FDF">
        <w:rPr>
          <w:rFonts w:ascii="Times New Roman" w:hAnsi="Times New Roman" w:cs="Times New Roman"/>
          <w:color w:val="000000" w:themeColor="text1"/>
          <w:kern w:val="2"/>
          <w:sz w:val="16"/>
          <w:szCs w:val="16"/>
        </w:rPr>
        <w:softHyphen/>
        <w:t>лось в руках прежней администрации, однако в соответствии с постановлением ВЦИК был устаповлен контроль за ее деятельностью со стороны заводского комитета (11481).</w:t>
      </w:r>
    </w:p>
    <w:p w14:paraId="73E969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7C806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F5806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4AB1CB" w14:textId="77777777" w:rsidR="00CB3E65" w:rsidRPr="00FB4F67" w:rsidRDefault="00CB3E6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26 октября (8 ноября) 1917 года радиостанция крейсера «Аврора» обнародовали по радио текст Декрета о мире (с помощью азбуки Морзе) (23318).</w:t>
      </w:r>
    </w:p>
    <w:p w14:paraId="5493724A" w14:textId="77777777" w:rsidR="00CB3E65" w:rsidRPr="00FB4F67" w:rsidRDefault="00CB3E65" w:rsidP="0083075A">
      <w:pPr>
        <w:spacing w:after="0" w:line="240" w:lineRule="auto"/>
        <w:jc w:val="both"/>
        <w:rPr>
          <w:rFonts w:ascii="Times New Roman" w:hAnsi="Times New Roman" w:cs="Times New Roman"/>
          <w:color w:val="0070C0"/>
          <w:sz w:val="16"/>
          <w:szCs w:val="16"/>
        </w:rPr>
      </w:pPr>
    </w:p>
    <w:p w14:paraId="6DF6A250" w14:textId="5961746C" w:rsidR="007B10CD" w:rsidRPr="00FB4F67" w:rsidRDefault="007B10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26 октября (8 ноября) 1917 г. в Петрограде большевики созвали Второй съезд Советов, который принял Декрет о земле и мире и учредил большевистское «Временное правительство» во главе с Лениным (23525).</w:t>
      </w:r>
    </w:p>
    <w:p w14:paraId="29BDCBF4" w14:textId="77777777" w:rsidR="007B10CD" w:rsidRPr="00FB4F67" w:rsidRDefault="007B10CD" w:rsidP="0083075A">
      <w:pPr>
        <w:spacing w:after="0" w:line="240" w:lineRule="auto"/>
        <w:jc w:val="both"/>
        <w:rPr>
          <w:rFonts w:ascii="Times New Roman" w:hAnsi="Times New Roman" w:cs="Times New Roman"/>
          <w:color w:val="0070C0"/>
          <w:sz w:val="16"/>
          <w:szCs w:val="16"/>
        </w:rPr>
      </w:pPr>
    </w:p>
    <w:p w14:paraId="714610E7" w14:textId="7E204574" w:rsidR="007B10CD" w:rsidRPr="00FB4F67" w:rsidRDefault="007B10C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26 октября (</w:t>
      </w:r>
      <w:r>
        <w:rPr>
          <w:rFonts w:ascii="Times New Roman" w:hAnsi="Times New Roman" w:cs="Times New Roman"/>
          <w:color w:val="0070C0"/>
          <w:sz w:val="16"/>
          <w:szCs w:val="16"/>
        </w:rPr>
        <w:t xml:space="preserve">с </w:t>
      </w:r>
      <w:r w:rsidRPr="00FB4F67">
        <w:rPr>
          <w:rFonts w:ascii="Times New Roman" w:hAnsi="Times New Roman" w:cs="Times New Roman"/>
          <w:color w:val="0070C0"/>
          <w:sz w:val="16"/>
          <w:szCs w:val="16"/>
        </w:rPr>
        <w:t xml:space="preserve">8 ноября 8 по </w:t>
      </w:r>
      <w:r>
        <w:rPr>
          <w:rFonts w:ascii="Times New Roman" w:hAnsi="Times New Roman" w:cs="Times New Roman"/>
          <w:color w:val="0070C0"/>
          <w:sz w:val="16"/>
          <w:szCs w:val="16"/>
        </w:rPr>
        <w:t>1 (</w:t>
      </w:r>
      <w:r w:rsidRPr="00FB4F67">
        <w:rPr>
          <w:rFonts w:ascii="Times New Roman" w:hAnsi="Times New Roman" w:cs="Times New Roman"/>
          <w:color w:val="0070C0"/>
          <w:sz w:val="16"/>
          <w:szCs w:val="16"/>
        </w:rPr>
        <w:t>14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ноября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Царском Селе красногвардейцы разгромили наступление казачьей кавалерии генерала Краснова на Петроград (23525).</w:t>
      </w:r>
    </w:p>
    <w:p w14:paraId="28034FC7" w14:textId="77777777" w:rsidR="007B10CD" w:rsidRPr="00FB4F67" w:rsidRDefault="007B10CD" w:rsidP="0083075A">
      <w:pPr>
        <w:spacing w:after="0" w:line="240" w:lineRule="auto"/>
        <w:jc w:val="both"/>
        <w:rPr>
          <w:rFonts w:ascii="Times New Roman" w:hAnsi="Times New Roman" w:cs="Times New Roman"/>
          <w:color w:val="0070C0"/>
          <w:sz w:val="16"/>
          <w:szCs w:val="16"/>
        </w:rPr>
      </w:pPr>
    </w:p>
    <w:p w14:paraId="215FFBB1" w14:textId="77777777" w:rsidR="00AA209E" w:rsidRPr="002F2FDF" w:rsidRDefault="00AA209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26 октября (8 ноября) 1917 в ОВШ прибыл пред</w:t>
      </w:r>
      <w:r w:rsidRPr="002F2FDF">
        <w:rPr>
          <w:rFonts w:ascii="Times New Roman" w:hAnsi="Times New Roman" w:cs="Times New Roman"/>
          <w:color w:val="000000" w:themeColor="text1"/>
          <w:sz w:val="16"/>
          <w:szCs w:val="16"/>
        </w:rPr>
        <w:softHyphen/>
        <w:t>ставитель Военно-революционного комитета (ВРК) лётчик А.В. Можаев и после доклада о по</w:t>
      </w:r>
      <w:r w:rsidRPr="002F2FDF">
        <w:rPr>
          <w:rFonts w:ascii="Times New Roman" w:hAnsi="Times New Roman" w:cs="Times New Roman"/>
          <w:color w:val="000000" w:themeColor="text1"/>
          <w:sz w:val="16"/>
          <w:szCs w:val="16"/>
        </w:rPr>
        <w:softHyphen/>
        <w:t>литическом положении призвал стойко поддер</w:t>
      </w:r>
      <w:r w:rsidRPr="002F2FDF">
        <w:rPr>
          <w:rFonts w:ascii="Times New Roman" w:hAnsi="Times New Roman" w:cs="Times New Roman"/>
          <w:color w:val="000000" w:themeColor="text1"/>
          <w:sz w:val="16"/>
          <w:szCs w:val="16"/>
        </w:rPr>
        <w:softHyphen/>
        <w:t>живать рабоче-крестьянскую власть, предложил выбрать комиссара и выслать в Смольный пред</w:t>
      </w:r>
      <w:r w:rsidRPr="002F2FDF">
        <w:rPr>
          <w:rFonts w:ascii="Times New Roman" w:hAnsi="Times New Roman" w:cs="Times New Roman"/>
          <w:color w:val="000000" w:themeColor="text1"/>
          <w:sz w:val="16"/>
          <w:szCs w:val="16"/>
        </w:rPr>
        <w:softHyphen/>
        <w:t>ставителя от солдат. 28 октября выбранный ко</w:t>
      </w:r>
      <w:r w:rsidRPr="002F2FDF">
        <w:rPr>
          <w:rFonts w:ascii="Times New Roman" w:hAnsi="Times New Roman" w:cs="Times New Roman"/>
          <w:color w:val="000000" w:themeColor="text1"/>
          <w:sz w:val="16"/>
          <w:szCs w:val="16"/>
        </w:rPr>
        <w:softHyphen/>
        <w:t>миссаром от ОВШ рядовой Е.И. Ахматович при</w:t>
      </w:r>
      <w:r w:rsidRPr="002F2FDF">
        <w:rPr>
          <w:rFonts w:ascii="Times New Roman" w:hAnsi="Times New Roman" w:cs="Times New Roman"/>
          <w:color w:val="000000" w:themeColor="text1"/>
          <w:sz w:val="16"/>
          <w:szCs w:val="16"/>
        </w:rPr>
        <w:softHyphen/>
        <w:t>нял участие в собрании в Смольном, на котором было организовано Бюро комиссаров авиации и воздухоплавания при ВРК (председатель пре</w:t>
      </w:r>
      <w:r w:rsidRPr="002F2FDF">
        <w:rPr>
          <w:rFonts w:ascii="Times New Roman" w:hAnsi="Times New Roman" w:cs="Times New Roman"/>
          <w:color w:val="000000" w:themeColor="text1"/>
          <w:sz w:val="16"/>
          <w:szCs w:val="16"/>
        </w:rPr>
        <w:softHyphen/>
        <w:t>зидиума — А.В. Можаев) (20120).</w:t>
      </w:r>
    </w:p>
    <w:p w14:paraId="7A4780AD" w14:textId="77777777" w:rsidR="00AA209E" w:rsidRPr="002F2FDF" w:rsidRDefault="00AA209E" w:rsidP="0083075A">
      <w:pPr>
        <w:spacing w:after="0" w:line="240" w:lineRule="auto"/>
        <w:jc w:val="both"/>
        <w:rPr>
          <w:rStyle w:val="aff8"/>
          <w:rFonts w:ascii="Times New Roman" w:eastAsia="Segoe UI" w:hAnsi="Times New Roman" w:cs="Times New Roman"/>
          <w:b w:val="0"/>
          <w:bCs w:val="0"/>
          <w:color w:val="000000" w:themeColor="text1"/>
          <w:sz w:val="16"/>
          <w:szCs w:val="16"/>
        </w:rPr>
      </w:pPr>
    </w:p>
    <w:p w14:paraId="5EF2D7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октября (8 ноября) 1917 авиачасти Петроградского гарнизона перешли на сторону народа и поступили в распоряжение ВРК (455,39).</w:t>
      </w:r>
    </w:p>
    <w:p w14:paraId="2545F9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75F3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октября (8 ноября) 1917 В.И.Л. отдал распоряжение о запрещении подъема самолетов Петроградского гарнизона в воздух без письменного на то разрешения ВРК (1849,12).</w:t>
      </w:r>
    </w:p>
    <w:p w14:paraId="300ECE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1245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октября (8 ноября) 1917 съезд образовал в составе СНК Комитет по военным и морским делам (505,16). Вошли В.А.Антонов-Овсеенко, П.Е.Дыбенко, И.В.Крыленко</w:t>
      </w:r>
    </w:p>
    <w:p w14:paraId="2EFB5D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2D568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октября (8 ноября) 1917 г. на II Всероссийском съез</w:t>
      </w:r>
      <w:r w:rsidRPr="002F2FDF">
        <w:rPr>
          <w:rFonts w:ascii="Times New Roman" w:hAnsi="Times New Roman" w:cs="Times New Roman"/>
          <w:color w:val="000000" w:themeColor="text1"/>
          <w:kern w:val="2"/>
          <w:sz w:val="16"/>
          <w:szCs w:val="16"/>
        </w:rPr>
        <w:softHyphen/>
        <w:t>де Советов был образован Ко</w:t>
      </w:r>
      <w:r w:rsidRPr="002F2FDF">
        <w:rPr>
          <w:rFonts w:ascii="Times New Roman" w:hAnsi="Times New Roman" w:cs="Times New Roman"/>
          <w:color w:val="000000" w:themeColor="text1"/>
          <w:kern w:val="2"/>
          <w:sz w:val="16"/>
          <w:szCs w:val="16"/>
        </w:rPr>
        <w:softHyphen/>
        <w:t>митет по военным и морским делам, образованный в составе СНК - Первый центральный органо военного управления в Советской Республике. 23 ноября преобразован в Коллегию по управлению военным ведомством, переименованную затем в Народный комиссариат по военным делам (Наркомво-ен). В задачи Наркомвоена входили: демократизация и демобилизация старой армии; чистка от “контрреволюционных элементов” бывшего Военного министерства и реорганизация его аппарата, использование военных специалистов, а также создание Красной армии и управле</w:t>
      </w:r>
      <w:r w:rsidRPr="002F2FDF">
        <w:rPr>
          <w:rFonts w:ascii="Times New Roman" w:hAnsi="Times New Roman" w:cs="Times New Roman"/>
          <w:color w:val="000000" w:themeColor="text1"/>
          <w:kern w:val="2"/>
          <w:sz w:val="16"/>
          <w:szCs w:val="16"/>
        </w:rPr>
        <w:softHyphen/>
        <w:t>ние ею. Были ликвидированы политические органы министерства, реорганизованы техни</w:t>
      </w:r>
      <w:r w:rsidRPr="002F2FDF">
        <w:rPr>
          <w:rFonts w:ascii="Times New Roman" w:hAnsi="Times New Roman" w:cs="Times New Roman"/>
          <w:color w:val="000000" w:themeColor="text1"/>
          <w:kern w:val="2"/>
          <w:sz w:val="16"/>
          <w:szCs w:val="16"/>
        </w:rPr>
        <w:softHyphen/>
        <w:t>ческие и снабженческие органы. Наркомвоен осуществлял управление сухопутными войска</w:t>
      </w:r>
      <w:r w:rsidRPr="002F2FDF">
        <w:rPr>
          <w:rFonts w:ascii="Times New Roman" w:hAnsi="Times New Roman" w:cs="Times New Roman"/>
          <w:color w:val="000000" w:themeColor="text1"/>
          <w:kern w:val="2"/>
          <w:sz w:val="16"/>
          <w:szCs w:val="16"/>
        </w:rPr>
        <w:softHyphen/>
        <w:t>ми, учет формируемых соединений, руководство обеспечением и снабжением армии, санитарно-медицинское обслуживание, финансирование армии, разработку уставов и воинских инструкций и др. Центральные учреждения Наркомвоена - отдел, затем Комиссариат по де</w:t>
      </w:r>
      <w:r w:rsidRPr="002F2FDF">
        <w:rPr>
          <w:rFonts w:ascii="Times New Roman" w:hAnsi="Times New Roman" w:cs="Times New Roman"/>
          <w:color w:val="000000" w:themeColor="text1"/>
          <w:kern w:val="2"/>
          <w:sz w:val="16"/>
          <w:szCs w:val="16"/>
        </w:rPr>
        <w:softHyphen/>
        <w:t>мобилизации старой армии; Всероссийская коллегия по формированию Красной армии, за</w:t>
      </w:r>
      <w:r w:rsidRPr="002F2FDF">
        <w:rPr>
          <w:rFonts w:ascii="Times New Roman" w:hAnsi="Times New Roman" w:cs="Times New Roman"/>
          <w:color w:val="000000" w:themeColor="text1"/>
          <w:kern w:val="2"/>
          <w:sz w:val="16"/>
          <w:szCs w:val="16"/>
        </w:rPr>
        <w:softHyphen/>
        <w:t>тем Всероссийский главный штаб; Всероссийское бюро военных комиссаров и др. Военно-оперативное руководство боевыми действиями осуществляли Оперативный отдел штаба Московского военного округа, Революционный полевой штаб при Ставке Верховного глав</w:t>
      </w:r>
      <w:r w:rsidRPr="002F2FDF">
        <w:rPr>
          <w:rFonts w:ascii="Times New Roman" w:hAnsi="Times New Roman" w:cs="Times New Roman"/>
          <w:color w:val="000000" w:themeColor="text1"/>
          <w:kern w:val="2"/>
          <w:sz w:val="16"/>
          <w:szCs w:val="16"/>
        </w:rPr>
        <w:softHyphen/>
        <w:t>нокомандующего и Комитет революционной обороны Петрограда, с марта 1918 г. - Высший военный совет. С сентября 1918 г. оперативное руководство военными действиями осущес</w:t>
      </w:r>
      <w:r w:rsidRPr="002F2FDF">
        <w:rPr>
          <w:rFonts w:ascii="Times New Roman" w:hAnsi="Times New Roman" w:cs="Times New Roman"/>
          <w:color w:val="000000" w:themeColor="text1"/>
          <w:kern w:val="2"/>
          <w:sz w:val="16"/>
          <w:szCs w:val="16"/>
        </w:rPr>
        <w:softHyphen/>
        <w:t>твлял Реввоенсовет Республики, возглавляемый наркомом по военным и морским делам. Местные органы Наркомвоена - военные отделы (10711,666).</w:t>
      </w:r>
    </w:p>
    <w:p w14:paraId="725E13B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286C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26 октября (8 ноября) 1917 был образован Военно-Морской революционный комитет (ВМРК). </w:t>
      </w:r>
    </w:p>
    <w:p w14:paraId="0FE90C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ВМРК был создан по инициативе В. И. Ленина на совещании моряков — делегатов II Всероссийского съезда Советов. В его состав было избрано 10 человек, в том числе 7 большевиков. Возглавил ВМРК балтийский матрос-большевик И. И. Вахрамеев. Вновь созданный комитет принял решение о роспуске Центрофлота, большинство которого находилось под влиянием эсеров и меньшевиков. </w:t>
      </w:r>
    </w:p>
    <w:p w14:paraId="7A9E1D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ВМРК, непосредственно подчиненный Петроградскому ВРК, сыграл важную роль в мобилизации моряков-балтийцев на осуществление революционных преобразований и в перестройке управления морским ведомством. Одним из важнейших мероприятий ВМРК явились подготовка и проведение I Всероссийского съезда военного флота. По решению этого съезда ВМРК, как выполнивший свою задачу, 26.11 1917 был распущен (11712).</w:t>
      </w:r>
    </w:p>
    <w:p w14:paraId="1EE619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Комитет был образован на основании постановления II Всероссийского съезда Советов и вошел в состав СНК. Он ведал сухопутными, морскими и воздушными силами Советской Республики и ее защитой от внутренней и внешней контрреволюции. В его состав первоначально входили члены Петроградского ВРК В. А. Антонов-Овсеенко, Н. В. Крыленко, П. Е. Дыбенко, затем он пополнился представителями Военной организации при ЦК РСДРП (б) и ВРК и получил название Совета народных комиссаров по военным и морским делам (11712).</w:t>
      </w:r>
    </w:p>
    <w:p w14:paraId="7C5D89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D12DAE" w14:textId="72D22DC5" w:rsidR="00C90ABE" w:rsidRDefault="00C90AB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октября (8 ноября) 1917 года</w:t>
      </w:r>
    </w:p>
    <w:p w14:paraId="2B5FC809" w14:textId="7EAE9D30"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Состояние ЭВК на 26 октября </w:t>
      </w:r>
      <w:r w:rsidR="001157F8" w:rsidRPr="002F2FDF">
        <w:rPr>
          <w:rFonts w:ascii="Times New Roman" w:hAnsi="Times New Roman" w:cs="Times New Roman"/>
          <w:color w:val="000000" w:themeColor="text1"/>
          <w:kern w:val="2"/>
          <w:sz w:val="16"/>
          <w:szCs w:val="16"/>
        </w:rPr>
        <w:t xml:space="preserve">(8 ноября) </w:t>
      </w:r>
      <w:r w:rsidRPr="002F2FDF">
        <w:rPr>
          <w:rFonts w:ascii="Times New Roman" w:hAnsi="Times New Roman" w:cs="Times New Roman"/>
          <w:color w:val="000000" w:themeColor="text1"/>
          <w:kern w:val="2"/>
          <w:sz w:val="16"/>
          <w:szCs w:val="16"/>
        </w:rPr>
        <w:t>1917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B1C74" w:rsidRPr="002F2FDF" w14:paraId="4CB82A9B" w14:textId="77777777">
        <w:tc>
          <w:tcPr>
            <w:tcW w:w="5605" w:type="dxa"/>
            <w:tcBorders>
              <w:top w:val="single" w:sz="12" w:space="0" w:color="auto"/>
            </w:tcBorders>
          </w:tcPr>
          <w:p w14:paraId="1489D5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Корабль</w:t>
            </w:r>
          </w:p>
        </w:tc>
        <w:tc>
          <w:tcPr>
            <w:tcW w:w="5605" w:type="dxa"/>
            <w:tcBorders>
              <w:top w:val="single" w:sz="12" w:space="0" w:color="auto"/>
            </w:tcBorders>
          </w:tcPr>
          <w:p w14:paraId="06C19D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Командир</w:t>
            </w:r>
          </w:p>
        </w:tc>
      </w:tr>
      <w:tr w:rsidR="002B1C74" w:rsidRPr="002F2FDF" w14:paraId="06F7756A" w14:textId="77777777">
        <w:tc>
          <w:tcPr>
            <w:tcW w:w="5605" w:type="dxa"/>
          </w:tcPr>
          <w:p w14:paraId="504752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1-й боевой отряд, Румынский фронт, Болгарийка</w:t>
            </w:r>
          </w:p>
        </w:tc>
        <w:tc>
          <w:tcPr>
            <w:tcW w:w="5605" w:type="dxa"/>
          </w:tcPr>
          <w:p w14:paraId="5B4527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1D516136" w14:textId="77777777">
        <w:tc>
          <w:tcPr>
            <w:tcW w:w="5605" w:type="dxa"/>
          </w:tcPr>
          <w:p w14:paraId="5E6021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IX</w:t>
            </w:r>
          </w:p>
        </w:tc>
        <w:tc>
          <w:tcPr>
            <w:tcW w:w="5605" w:type="dxa"/>
          </w:tcPr>
          <w:p w14:paraId="28F6C0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Подполковник Р.Л. Нижевский</w:t>
            </w:r>
          </w:p>
        </w:tc>
      </w:tr>
      <w:tr w:rsidR="002B1C74" w:rsidRPr="002F2FDF" w14:paraId="11336905" w14:textId="77777777">
        <w:tc>
          <w:tcPr>
            <w:tcW w:w="5605" w:type="dxa"/>
          </w:tcPr>
          <w:p w14:paraId="560B0B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XVI</w:t>
            </w:r>
          </w:p>
        </w:tc>
        <w:tc>
          <w:tcPr>
            <w:tcW w:w="5605" w:type="dxa"/>
          </w:tcPr>
          <w:p w14:paraId="00BDEC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Поручик А.А. Кованько</w:t>
            </w:r>
          </w:p>
        </w:tc>
      </w:tr>
      <w:tr w:rsidR="002B1C74" w:rsidRPr="002F2FDF" w14:paraId="62BA8C62" w14:textId="77777777">
        <w:tc>
          <w:tcPr>
            <w:tcW w:w="5605" w:type="dxa"/>
          </w:tcPr>
          <w:p w14:paraId="7C509C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2-й боевой отряд, Юго-Западный фронт, Стриховцы</w:t>
            </w:r>
          </w:p>
        </w:tc>
        <w:tc>
          <w:tcPr>
            <w:tcW w:w="5605" w:type="dxa"/>
          </w:tcPr>
          <w:p w14:paraId="3B9BCA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64D90011" w14:textId="77777777">
        <w:tc>
          <w:tcPr>
            <w:tcW w:w="5605" w:type="dxa"/>
          </w:tcPr>
          <w:p w14:paraId="29A887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III</w:t>
            </w:r>
          </w:p>
        </w:tc>
        <w:tc>
          <w:tcPr>
            <w:tcW w:w="5605" w:type="dxa"/>
          </w:tcPr>
          <w:p w14:paraId="415E97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Капитан Е.И. Жигайлов</w:t>
            </w:r>
          </w:p>
        </w:tc>
      </w:tr>
      <w:tr w:rsidR="002B1C74" w:rsidRPr="002F2FDF" w14:paraId="59833F3C" w14:textId="77777777">
        <w:tc>
          <w:tcPr>
            <w:tcW w:w="5605" w:type="dxa"/>
          </w:tcPr>
          <w:p w14:paraId="73E46A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VIII</w:t>
            </w:r>
          </w:p>
        </w:tc>
        <w:tc>
          <w:tcPr>
            <w:tcW w:w="5605" w:type="dxa"/>
          </w:tcPr>
          <w:p w14:paraId="1CDCB1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Есаул В.Д. Лобов</w:t>
            </w:r>
          </w:p>
        </w:tc>
      </w:tr>
      <w:tr w:rsidR="002B1C74" w:rsidRPr="002F2FDF" w14:paraId="46358AE8" w14:textId="77777777">
        <w:tc>
          <w:tcPr>
            <w:tcW w:w="5605" w:type="dxa"/>
          </w:tcPr>
          <w:p w14:paraId="1B1DC6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w:t>
            </w:r>
          </w:p>
        </w:tc>
        <w:tc>
          <w:tcPr>
            <w:tcW w:w="5605" w:type="dxa"/>
          </w:tcPr>
          <w:p w14:paraId="604B5C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Ротмистр А.В. Середницкий</w:t>
            </w:r>
          </w:p>
        </w:tc>
      </w:tr>
      <w:tr w:rsidR="002B1C74" w:rsidRPr="002F2FDF" w14:paraId="60A5F467" w14:textId="77777777">
        <w:tc>
          <w:tcPr>
            <w:tcW w:w="5605" w:type="dxa"/>
          </w:tcPr>
          <w:p w14:paraId="0F1EC8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XII</w:t>
            </w:r>
          </w:p>
        </w:tc>
        <w:tc>
          <w:tcPr>
            <w:tcW w:w="5605" w:type="dxa"/>
          </w:tcPr>
          <w:p w14:paraId="2AF3A8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Поручик Ю.А. Кроткое</w:t>
            </w:r>
          </w:p>
        </w:tc>
      </w:tr>
      <w:tr w:rsidR="002B1C74" w:rsidRPr="002F2FDF" w14:paraId="7120CF99" w14:textId="77777777">
        <w:tc>
          <w:tcPr>
            <w:tcW w:w="5605" w:type="dxa"/>
          </w:tcPr>
          <w:p w14:paraId="599E0A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3-й боевой отряд, Западный фронт, Станьково</w:t>
            </w:r>
          </w:p>
        </w:tc>
        <w:tc>
          <w:tcPr>
            <w:tcW w:w="5605" w:type="dxa"/>
          </w:tcPr>
          <w:p w14:paraId="1EF67C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357691F5" w14:textId="77777777">
        <w:tc>
          <w:tcPr>
            <w:tcW w:w="5605" w:type="dxa"/>
          </w:tcPr>
          <w:p w14:paraId="12C90B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"Киевский"</w:t>
            </w:r>
          </w:p>
        </w:tc>
        <w:tc>
          <w:tcPr>
            <w:tcW w:w="5605" w:type="dxa"/>
          </w:tcPr>
          <w:p w14:paraId="45DC74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Полковник И.С. Башко</w:t>
            </w:r>
          </w:p>
        </w:tc>
      </w:tr>
      <w:tr w:rsidR="002B1C74" w:rsidRPr="002F2FDF" w14:paraId="2ED51A77" w14:textId="77777777">
        <w:tc>
          <w:tcPr>
            <w:tcW w:w="5605" w:type="dxa"/>
          </w:tcPr>
          <w:p w14:paraId="20CA39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w:t>
            </w:r>
          </w:p>
        </w:tc>
        <w:tc>
          <w:tcPr>
            <w:tcW w:w="5605" w:type="dxa"/>
          </w:tcPr>
          <w:p w14:paraId="08FB61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Штабс-капитан Г.В. Грек</w:t>
            </w:r>
          </w:p>
        </w:tc>
      </w:tr>
      <w:tr w:rsidR="002B1C74" w:rsidRPr="002F2FDF" w14:paraId="05411BF7" w14:textId="77777777">
        <w:tc>
          <w:tcPr>
            <w:tcW w:w="5605" w:type="dxa"/>
          </w:tcPr>
          <w:p w14:paraId="406523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XIII</w:t>
            </w:r>
          </w:p>
        </w:tc>
        <w:tc>
          <w:tcPr>
            <w:tcW w:w="5605" w:type="dxa"/>
          </w:tcPr>
          <w:p w14:paraId="031CDC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Капитан А.И. Беляков</w:t>
            </w:r>
          </w:p>
        </w:tc>
      </w:tr>
      <w:tr w:rsidR="002B1C74" w:rsidRPr="002F2FDF" w14:paraId="45BA9288" w14:textId="77777777">
        <w:tc>
          <w:tcPr>
            <w:tcW w:w="5605" w:type="dxa"/>
          </w:tcPr>
          <w:p w14:paraId="2DDA88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XV</w:t>
            </w:r>
          </w:p>
        </w:tc>
        <w:tc>
          <w:tcPr>
            <w:tcW w:w="5605" w:type="dxa"/>
          </w:tcPr>
          <w:p w14:paraId="33B1C4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Штабс-капитан И.Г. Демичев-Иванов</w:t>
            </w:r>
          </w:p>
        </w:tc>
      </w:tr>
      <w:tr w:rsidR="002B1C74" w:rsidRPr="002F2FDF" w14:paraId="56B13CB7" w14:textId="77777777">
        <w:tc>
          <w:tcPr>
            <w:tcW w:w="5605" w:type="dxa"/>
          </w:tcPr>
          <w:p w14:paraId="219433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4-й запасной отряд, база, Юго-Западный фронт, Винница</w:t>
            </w:r>
          </w:p>
        </w:tc>
        <w:tc>
          <w:tcPr>
            <w:tcW w:w="5605" w:type="dxa"/>
          </w:tcPr>
          <w:p w14:paraId="4D97E1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6A8267CD" w14:textId="77777777">
        <w:tc>
          <w:tcPr>
            <w:tcW w:w="5605" w:type="dxa"/>
          </w:tcPr>
          <w:p w14:paraId="687311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w:t>
            </w:r>
          </w:p>
        </w:tc>
        <w:tc>
          <w:tcPr>
            <w:tcW w:w="5605" w:type="dxa"/>
          </w:tcPr>
          <w:p w14:paraId="218446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Поручик Г.Г. Плешков</w:t>
            </w:r>
          </w:p>
        </w:tc>
      </w:tr>
      <w:tr w:rsidR="002B1C74" w:rsidRPr="002F2FDF" w14:paraId="6D14D462" w14:textId="77777777">
        <w:tc>
          <w:tcPr>
            <w:tcW w:w="5605" w:type="dxa"/>
          </w:tcPr>
          <w:p w14:paraId="27D516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II</w:t>
            </w:r>
          </w:p>
        </w:tc>
        <w:tc>
          <w:tcPr>
            <w:tcW w:w="5605" w:type="dxa"/>
          </w:tcPr>
          <w:p w14:paraId="34C10C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Ротмистр В.А. Романов</w:t>
            </w:r>
          </w:p>
        </w:tc>
      </w:tr>
      <w:tr w:rsidR="002B1C74" w:rsidRPr="002F2FDF" w14:paraId="088FFD02" w14:textId="77777777">
        <w:tc>
          <w:tcPr>
            <w:tcW w:w="5605" w:type="dxa"/>
          </w:tcPr>
          <w:p w14:paraId="5324B1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w:t>
            </w:r>
          </w:p>
        </w:tc>
        <w:tc>
          <w:tcPr>
            <w:tcW w:w="5605" w:type="dxa"/>
          </w:tcPr>
          <w:p w14:paraId="41B99B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Учебный</w:t>
            </w:r>
          </w:p>
        </w:tc>
      </w:tr>
      <w:tr w:rsidR="002B1C74" w:rsidRPr="002F2FDF" w14:paraId="0A03989F" w14:textId="77777777">
        <w:tc>
          <w:tcPr>
            <w:tcW w:w="5605" w:type="dxa"/>
          </w:tcPr>
          <w:p w14:paraId="16E9F8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IV</w:t>
            </w:r>
          </w:p>
        </w:tc>
        <w:tc>
          <w:tcPr>
            <w:tcW w:w="5605" w:type="dxa"/>
          </w:tcPr>
          <w:p w14:paraId="28E8E7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Капитан Я.Н. Шаров</w:t>
            </w:r>
          </w:p>
        </w:tc>
      </w:tr>
      <w:tr w:rsidR="002B1C74" w:rsidRPr="002F2FDF" w14:paraId="3133D53F" w14:textId="77777777">
        <w:tc>
          <w:tcPr>
            <w:tcW w:w="5605" w:type="dxa"/>
          </w:tcPr>
          <w:p w14:paraId="4702B2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w:t>
            </w:r>
          </w:p>
        </w:tc>
        <w:tc>
          <w:tcPr>
            <w:tcW w:w="5605" w:type="dxa"/>
          </w:tcPr>
          <w:p w14:paraId="4D898E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Капитан Г.В. Алехнович</w:t>
            </w:r>
          </w:p>
        </w:tc>
      </w:tr>
      <w:tr w:rsidR="002B1C74" w:rsidRPr="002F2FDF" w14:paraId="4C4BA14A" w14:textId="77777777">
        <w:tc>
          <w:tcPr>
            <w:tcW w:w="5605" w:type="dxa"/>
          </w:tcPr>
          <w:p w14:paraId="2C88AD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w:t>
            </w:r>
          </w:p>
        </w:tc>
        <w:tc>
          <w:tcPr>
            <w:tcW w:w="5605" w:type="dxa"/>
          </w:tcPr>
          <w:p w14:paraId="1275CD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Поручик А.Ю. Лутц</w:t>
            </w:r>
          </w:p>
        </w:tc>
      </w:tr>
      <w:tr w:rsidR="002B1C74" w:rsidRPr="002F2FDF" w14:paraId="3201CDF5" w14:textId="77777777">
        <w:tc>
          <w:tcPr>
            <w:tcW w:w="5605" w:type="dxa"/>
          </w:tcPr>
          <w:p w14:paraId="0C776B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XIV</w:t>
            </w:r>
          </w:p>
        </w:tc>
        <w:tc>
          <w:tcPr>
            <w:tcW w:w="5605" w:type="dxa"/>
          </w:tcPr>
          <w:p w14:paraId="5C5488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Подпоручик А.А. Гаврилов</w:t>
            </w:r>
          </w:p>
        </w:tc>
      </w:tr>
      <w:tr w:rsidR="002B1C74" w:rsidRPr="002F2FDF" w14:paraId="43433F8D" w14:textId="77777777">
        <w:tc>
          <w:tcPr>
            <w:tcW w:w="5605" w:type="dxa"/>
          </w:tcPr>
          <w:p w14:paraId="0A46F1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XIV</w:t>
            </w:r>
          </w:p>
        </w:tc>
        <w:tc>
          <w:tcPr>
            <w:tcW w:w="5605" w:type="dxa"/>
          </w:tcPr>
          <w:p w14:paraId="5E9CDF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Учебный</w:t>
            </w:r>
          </w:p>
        </w:tc>
      </w:tr>
      <w:tr w:rsidR="002B1C74" w:rsidRPr="002F2FDF" w14:paraId="415872D9" w14:textId="77777777">
        <w:tc>
          <w:tcPr>
            <w:tcW w:w="5605" w:type="dxa"/>
          </w:tcPr>
          <w:p w14:paraId="05E9C9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 № 237</w:t>
            </w:r>
          </w:p>
        </w:tc>
        <w:tc>
          <w:tcPr>
            <w:tcW w:w="5605" w:type="dxa"/>
          </w:tcPr>
          <w:p w14:paraId="74F3A0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платформе</w:t>
            </w:r>
          </w:p>
        </w:tc>
      </w:tr>
      <w:tr w:rsidR="002B1C74" w:rsidRPr="002F2FDF" w14:paraId="015DFC23" w14:textId="77777777">
        <w:tc>
          <w:tcPr>
            <w:tcW w:w="5605" w:type="dxa"/>
            <w:tcBorders>
              <w:bottom w:val="single" w:sz="12" w:space="0" w:color="auto"/>
            </w:tcBorders>
          </w:tcPr>
          <w:p w14:paraId="793ACB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 № 238</w:t>
            </w:r>
          </w:p>
        </w:tc>
        <w:tc>
          <w:tcPr>
            <w:tcW w:w="5605" w:type="dxa"/>
            <w:tcBorders>
              <w:bottom w:val="single" w:sz="12" w:space="0" w:color="auto"/>
            </w:tcBorders>
          </w:tcPr>
          <w:p w14:paraId="5F98BB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платформе</w:t>
            </w:r>
          </w:p>
        </w:tc>
      </w:tr>
    </w:tbl>
    <w:p w14:paraId="0D9E8E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20 кораблей</w:t>
      </w:r>
    </w:p>
    <w:p w14:paraId="16BA74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0820C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4DE51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E90CC8" w14:textId="3D82D232" w:rsidR="00ED2748" w:rsidRPr="002F2FDF" w:rsidRDefault="00ED2748"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26 октября (8 ноября)</w:t>
      </w:r>
      <w:r w:rsidR="00E52569">
        <w:rPr>
          <w:color w:val="000000" w:themeColor="text1"/>
          <w:sz w:val="16"/>
          <w:szCs w:val="16"/>
        </w:rPr>
        <w:t xml:space="preserve"> </w:t>
      </w:r>
      <w:r w:rsidRPr="002F2FDF">
        <w:rPr>
          <w:color w:val="000000" w:themeColor="text1"/>
          <w:sz w:val="16"/>
          <w:szCs w:val="16"/>
        </w:rPr>
        <w:t>1917 с 21 часа этого дня до 5 часов 15 минут следующего состоялось второе заседание II Всероссийского Съезда Рабочих и Солдатских Депутатов. Приняты первые Декреты новой власти: о мире, о земле, о полноте власти Советов, постановление об отмене смертной казни на фронте и др. Сформировано Временное Рабочее и Крестьянское Правительство</w:t>
      </w:r>
      <w:r w:rsidR="00E52569">
        <w:rPr>
          <w:color w:val="000000" w:themeColor="text1"/>
          <w:sz w:val="16"/>
          <w:szCs w:val="16"/>
        </w:rPr>
        <w:t xml:space="preserve"> </w:t>
      </w:r>
      <w:r w:rsidRPr="002F2FDF">
        <w:rPr>
          <w:color w:val="000000" w:themeColor="text1"/>
          <w:sz w:val="16"/>
          <w:szCs w:val="16"/>
        </w:rPr>
        <w:t>– Совет Народных Комиссаров во главе с В.И.</w:t>
      </w:r>
      <w:r w:rsidR="00E52569">
        <w:rPr>
          <w:color w:val="000000" w:themeColor="text1"/>
          <w:sz w:val="16"/>
          <w:szCs w:val="16"/>
        </w:rPr>
        <w:t xml:space="preserve"> </w:t>
      </w:r>
      <w:r w:rsidRPr="002F2FDF">
        <w:rPr>
          <w:color w:val="000000" w:themeColor="text1"/>
          <w:sz w:val="16"/>
          <w:szCs w:val="16"/>
        </w:rPr>
        <w:t>Лениным. Полномочия Комиссаров прежнего (эсеро-меньшевистского) состава Центрального Исполнительного Комитета Совета Рабочих и Солдатских Депутатов в армии и на местах объявлялись прекращенными.</w:t>
      </w:r>
    </w:p>
    <w:p w14:paraId="7A9C00C9" w14:textId="77777777" w:rsidR="00ED2748" w:rsidRPr="002F2FDF" w:rsidRDefault="00ED2748" w:rsidP="0083075A">
      <w:pPr>
        <w:pStyle w:val="ae"/>
        <w:spacing w:before="0" w:after="0"/>
        <w:jc w:val="both"/>
        <w:rPr>
          <w:color w:val="000000" w:themeColor="text1"/>
          <w:sz w:val="16"/>
          <w:szCs w:val="16"/>
        </w:rPr>
      </w:pPr>
      <w:r w:rsidRPr="002F2FDF">
        <w:rPr>
          <w:color w:val="000000" w:themeColor="text1"/>
          <w:sz w:val="16"/>
          <w:szCs w:val="16"/>
        </w:rPr>
        <w:t>Всероссийский Совет Фабзавкомов (ЦСФЗК) обсуждал с Лениным и представителями профсоюзов планы создания Всероссийского Совета Народного хозяйства, Декрет об его учреждении будет подписан 2 декабря.</w:t>
      </w:r>
    </w:p>
    <w:p w14:paraId="4DD71EB2" w14:textId="77777777" w:rsidR="00ED2748" w:rsidRPr="002F2FDF" w:rsidRDefault="00ED2748" w:rsidP="0083075A">
      <w:pPr>
        <w:pStyle w:val="ae"/>
        <w:spacing w:before="0" w:after="0"/>
        <w:jc w:val="both"/>
        <w:rPr>
          <w:color w:val="000000" w:themeColor="text1"/>
          <w:sz w:val="16"/>
          <w:szCs w:val="16"/>
        </w:rPr>
      </w:pPr>
      <w:r w:rsidRPr="002F2FDF">
        <w:rPr>
          <w:color w:val="000000" w:themeColor="text1"/>
          <w:sz w:val="16"/>
          <w:szCs w:val="16"/>
        </w:rPr>
        <w:t>Группа правых эсеров, народных социалистов и умеренных социал-демократов организовали «Комитет Спасения Родины и Революции».</w:t>
      </w:r>
    </w:p>
    <w:p w14:paraId="50C18049" w14:textId="77777777" w:rsidR="00ED2748" w:rsidRPr="002F2FDF" w:rsidRDefault="00ED2748" w:rsidP="0083075A">
      <w:pPr>
        <w:pStyle w:val="ae"/>
        <w:spacing w:before="0" w:after="0"/>
        <w:jc w:val="both"/>
        <w:rPr>
          <w:color w:val="000000" w:themeColor="text1"/>
          <w:sz w:val="16"/>
          <w:szCs w:val="16"/>
        </w:rPr>
      </w:pPr>
      <w:r w:rsidRPr="002F2FDF">
        <w:rPr>
          <w:color w:val="000000" w:themeColor="text1"/>
          <w:sz w:val="16"/>
          <w:szCs w:val="16"/>
        </w:rPr>
        <w:t>Меньшевики сформулировали свою позицию так: «</w:t>
      </w:r>
      <w:r w:rsidRPr="002F2FDF">
        <w:rPr>
          <w:rStyle w:val="af0"/>
          <w:i w:val="0"/>
          <w:color w:val="000000" w:themeColor="text1"/>
          <w:sz w:val="16"/>
          <w:szCs w:val="16"/>
        </w:rPr>
        <w:t>Необходимо считаться, прежде всего, с тем трагическим фактом, что всякая насильственная ликвидация большевистского переворота неизбежно явится вместе с тем ликвидацией всех завоеваний русской революции</w:t>
      </w:r>
      <w:r w:rsidRPr="002F2FDF">
        <w:rPr>
          <w:color w:val="000000" w:themeColor="text1"/>
          <w:sz w:val="16"/>
          <w:szCs w:val="16"/>
        </w:rPr>
        <w:t>». Такую же позицию занимали левые эсеры.</w:t>
      </w:r>
    </w:p>
    <w:p w14:paraId="2A634065" w14:textId="05223376" w:rsidR="00ED2748" w:rsidRPr="002F2FDF" w:rsidRDefault="00ED2748" w:rsidP="0083075A">
      <w:pPr>
        <w:pStyle w:val="ae"/>
        <w:spacing w:before="0" w:after="0"/>
        <w:jc w:val="both"/>
        <w:rPr>
          <w:color w:val="000000" w:themeColor="text1"/>
          <w:sz w:val="16"/>
          <w:szCs w:val="16"/>
        </w:rPr>
      </w:pPr>
      <w:r w:rsidRPr="002F2FDF">
        <w:rPr>
          <w:color w:val="000000" w:themeColor="text1"/>
          <w:sz w:val="16"/>
          <w:szCs w:val="16"/>
        </w:rPr>
        <w:t>В Москве в этот день состоялись переговоры между большевистским Военно-Революционным Комитетом и эсеровским Комитетом Общественной Безопасности. В них принимал участие В.П.</w:t>
      </w:r>
      <w:r w:rsidR="00E52569">
        <w:rPr>
          <w:color w:val="000000" w:themeColor="text1"/>
          <w:sz w:val="16"/>
          <w:szCs w:val="16"/>
        </w:rPr>
        <w:t xml:space="preserve"> </w:t>
      </w:r>
      <w:r w:rsidRPr="002F2FDF">
        <w:rPr>
          <w:color w:val="000000" w:themeColor="text1"/>
          <w:sz w:val="16"/>
          <w:szCs w:val="16"/>
        </w:rPr>
        <w:t>Ногин, ставший уже Наркомом внутренних дел. В результате переговоров большевики вывели из Кремля отряд Ярославского, а командующий войсками Московского округа правый эсер К. Рябцев согласился не ставить караулы юнкеров внутри Кремля. Через день эсеры совершили акт злодейского террора, который разрушил договоренности и привел к кровопролитным боям в Москве (18371).</w:t>
      </w:r>
    </w:p>
    <w:p w14:paraId="3CAA2E4B" w14:textId="77777777" w:rsidR="00ED2748" w:rsidRPr="002F2FDF" w:rsidRDefault="00ED2748" w:rsidP="0083075A">
      <w:pPr>
        <w:spacing w:after="0" w:line="240" w:lineRule="auto"/>
        <w:jc w:val="both"/>
        <w:rPr>
          <w:rFonts w:ascii="Times New Roman" w:hAnsi="Times New Roman" w:cs="Times New Roman"/>
          <w:color w:val="000000" w:themeColor="text1"/>
          <w:sz w:val="16"/>
          <w:szCs w:val="16"/>
        </w:rPr>
      </w:pPr>
    </w:p>
    <w:p w14:paraId="67BED7A6" w14:textId="77777777" w:rsidR="00ED2748" w:rsidRPr="002F2FDF" w:rsidRDefault="00ED274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26 октября (8 ноября) 1917. Не вышли московские газеты "Русское слово", "Русские ведомости", "Раннее утро", "Утро России". Их редакции в 4 часа утра по приказу ВРК были заняты воинскими караулами, которые никого внутрь не пропускали. Рабочие дружины выставили посты у Крымского, Большого Каменного, Москворецкого и Устьинского мостов. К вечеру отряды юнкеров и офицеров сосредоточились в Манеже и около Кремля. На заводе Михельсона солдатам и рабочим начали раздавать оружие. Приказом ВРК Е. Ярославский назначен комиссаром Кремля.</w:t>
      </w:r>
    </w:p>
    <w:p w14:paraId="1F63E46E" w14:textId="77777777" w:rsidR="00ED2748" w:rsidRPr="002F2FDF" w:rsidRDefault="00ED2748" w:rsidP="0083075A">
      <w:pPr>
        <w:spacing w:after="0" w:line="240" w:lineRule="auto"/>
        <w:jc w:val="both"/>
        <w:rPr>
          <w:rFonts w:ascii="Times New Roman" w:hAnsi="Times New Roman" w:cs="Times New Roman"/>
          <w:color w:val="000000" w:themeColor="text1"/>
          <w:sz w:val="16"/>
          <w:szCs w:val="16"/>
        </w:rPr>
      </w:pPr>
    </w:p>
    <w:p w14:paraId="563F23BB" w14:textId="77777777" w:rsidR="00ED2748" w:rsidRPr="002F2FDF" w:rsidRDefault="00ED2748" w:rsidP="0083075A">
      <w:pPr>
        <w:pStyle w:val="ae"/>
        <w:spacing w:before="0" w:after="0"/>
        <w:jc w:val="both"/>
        <w:rPr>
          <w:color w:val="000000" w:themeColor="text1"/>
          <w:sz w:val="16"/>
          <w:szCs w:val="16"/>
        </w:rPr>
      </w:pPr>
      <w:r w:rsidRPr="002F2FDF">
        <w:rPr>
          <w:color w:val="000000" w:themeColor="text1"/>
          <w:sz w:val="16"/>
          <w:szCs w:val="16"/>
        </w:rPr>
        <w:t>26 октября (8 ноября) 1917 Правление СДПФ и исполком профсоюзов Финляндии приветствовали победу большевиков. Под впечатлением событий в России 31 октября – 6 ноября (13-19 ноября) в Финляндии проходила всеобщая забастовка с лозунгами экономических и политических требований рабочих. Одновременно Красная Гвардия разоружала отряды шюцкора, занимала административные здания, вокзалы, телеграфные и телефонные станции, брала на себя охрану общественного порядка. Во многих городах власть фактически перешла к рабочим. Однако Центральный революционный совет (образованный в ноябре) после утверждения сеймом принятых еще летом постановлений о взятии на себя верховной власти, законов о 8-часовом рабочем дне и демократизации системы коммунальных выборов, призвал рабочих прекратить забастовку (18525).</w:t>
      </w:r>
    </w:p>
    <w:p w14:paraId="4F4A999F" w14:textId="77777777" w:rsidR="00ED2748" w:rsidRPr="002F2FDF" w:rsidRDefault="00ED2748" w:rsidP="0083075A">
      <w:pPr>
        <w:pStyle w:val="ae"/>
        <w:spacing w:before="0" w:after="0"/>
        <w:jc w:val="both"/>
        <w:rPr>
          <w:color w:val="000000" w:themeColor="text1"/>
          <w:sz w:val="16"/>
          <w:szCs w:val="16"/>
        </w:rPr>
      </w:pPr>
    </w:p>
    <w:p w14:paraId="7BF436AF"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октября (8 ноября) 1917 (</w:t>
      </w:r>
      <w:r w:rsidRPr="002F2FDF">
        <w:rPr>
          <w:rFonts w:ascii="Times New Roman" w:hAnsi="Times New Roman" w:cs="Times New Roman"/>
          <w:iCs/>
          <w:color w:val="000000" w:themeColor="text1"/>
          <w:kern w:val="2"/>
          <w:sz w:val="16"/>
          <w:szCs w:val="16"/>
        </w:rPr>
        <w:t>хроника событий Октябрьской революции с 25 октября по 29 октября 1917 г. (по старому стилю), изложенную в газете "Петроградский листок" от 12 ноября 1917 г. Хроника эта интересна тем, что расписана по часам и сделана по горячим следам. Газета была настроена антибольшевистски)</w:t>
      </w:r>
      <w:r w:rsidRPr="002F2FDF">
        <w:rPr>
          <w:rFonts w:ascii="Times New Roman" w:hAnsi="Times New Roman" w:cs="Times New Roman"/>
          <w:color w:val="000000" w:themeColor="text1"/>
          <w:kern w:val="2"/>
          <w:sz w:val="16"/>
          <w:szCs w:val="16"/>
        </w:rPr>
        <w:t>:</w:t>
      </w:r>
    </w:p>
    <w:p w14:paraId="62E2D42E"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 ч. 45 м.</w:t>
      </w:r>
      <w:r w:rsidRPr="002F2FDF">
        <w:rPr>
          <w:rFonts w:ascii="Times New Roman" w:hAnsi="Times New Roman" w:cs="Times New Roman"/>
          <w:color w:val="000000" w:themeColor="text1"/>
          <w:kern w:val="2"/>
          <w:sz w:val="16"/>
          <w:szCs w:val="16"/>
        </w:rPr>
        <w:t xml:space="preserve"> Известия о сдаче Зимнего дворца. </w:t>
      </w:r>
    </w:p>
    <w:p w14:paraId="32F2C540"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 ч. ночи</w:t>
      </w:r>
      <w:r w:rsidRPr="002F2FDF">
        <w:rPr>
          <w:rFonts w:ascii="Times New Roman" w:hAnsi="Times New Roman" w:cs="Times New Roman"/>
          <w:color w:val="000000" w:themeColor="text1"/>
          <w:kern w:val="2"/>
          <w:sz w:val="16"/>
          <w:szCs w:val="16"/>
        </w:rPr>
        <w:t xml:space="preserve">. После неудачной попытки проникнуть к осажденному Зимнему дворцу гласные Думы, члены различных фракций и Совета Крестьянских Депутатов открывают заседание для принятия мер спасения родины. Постановлено образовать комитет спасения родины и революции. В состав его вошли по 3 представителя от следующих групп: городской Думы, Исп. Комитета Совета Р. и С. Депутатов, Исп. Комитета Совета Кр. Депутатов, фракции соц.-рев. И соц.-дем., съезда советов, железнодорожного союза, почтово-телеграфного союза, центрального комитета партии с.-д., Совета Российской Республики, фронтовых организаций. </w:t>
      </w:r>
    </w:p>
    <w:p w14:paraId="2685E83E"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конце заседания гор. Думой вынесена историческая резолюция: «Принимая во внимание, 1) что Временному Правительству предъявлен ультиматум сдаться под угрозой применения против него оружия; 2) что единственным органом , призванным решить вопрос о власти, является Учредительное Собрание, созыв которого подготовлен Вр. Правительством, от выборов в которое отделяет нас менее 3-х недель; 3) что применение грубой физической силы в решении вопроса о власти при таких обстоятельствах совершенно недопустимо, - петроградская городская Дума, как единственный орган, правильно избранный населением столицы, выражает свой решительный протест против акта насилия и выражает Вр. Правительству, в состав которого делегированы и члены социалистических партий, свою моральную поддержку». </w:t>
      </w:r>
    </w:p>
    <w:p w14:paraId="7A2B4AA4"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 ч. 10 м. ночи</w:t>
      </w:r>
      <w:r w:rsidRPr="002F2FDF">
        <w:rPr>
          <w:rFonts w:ascii="Times New Roman" w:hAnsi="Times New Roman" w:cs="Times New Roman"/>
          <w:color w:val="000000" w:themeColor="text1"/>
          <w:kern w:val="2"/>
          <w:sz w:val="16"/>
          <w:szCs w:val="16"/>
        </w:rPr>
        <w:t xml:space="preserve">. Арест всех членов Вр. Правительства, ген.-губернатора и его помощников в Зимнем дворце. </w:t>
      </w:r>
    </w:p>
    <w:p w14:paraId="69DB77A7"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 ч. 30 м. ночи</w:t>
      </w:r>
      <w:r w:rsidRPr="002F2FDF">
        <w:rPr>
          <w:rFonts w:ascii="Times New Roman" w:hAnsi="Times New Roman" w:cs="Times New Roman"/>
          <w:color w:val="000000" w:themeColor="text1"/>
          <w:kern w:val="2"/>
          <w:sz w:val="16"/>
          <w:szCs w:val="16"/>
        </w:rPr>
        <w:t xml:space="preserve">. Постановления Всероссийского съезда Советов Р. и С. Депутатов: отмена смертной казни; право агитации в армии; амнистия. </w:t>
      </w:r>
    </w:p>
    <w:p w14:paraId="238A2819"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 ч. ночи</w:t>
      </w:r>
      <w:r w:rsidRPr="002F2FDF">
        <w:rPr>
          <w:rFonts w:ascii="Times New Roman" w:hAnsi="Times New Roman" w:cs="Times New Roman"/>
          <w:color w:val="000000" w:themeColor="text1"/>
          <w:kern w:val="2"/>
          <w:sz w:val="16"/>
          <w:szCs w:val="16"/>
        </w:rPr>
        <w:t xml:space="preserve">. Уход из Совета Р. и С. Депутатов представителей всех партий, за исключением большевиков. </w:t>
      </w:r>
    </w:p>
    <w:p w14:paraId="0631062D"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Обыск в редакции «Наше Общее Дело». Арест В.Л. Бурцева. Арестованный отвезен в Петропавловскую крепость и заключен в Трубецком бастионе. </w:t>
      </w:r>
    </w:p>
    <w:p w14:paraId="21C69D94"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6 ½ ч. утра</w:t>
      </w:r>
      <w:r w:rsidRPr="002F2FDF">
        <w:rPr>
          <w:rFonts w:ascii="Times New Roman" w:hAnsi="Times New Roman" w:cs="Times New Roman"/>
          <w:color w:val="000000" w:themeColor="text1"/>
          <w:kern w:val="2"/>
          <w:sz w:val="16"/>
          <w:szCs w:val="16"/>
        </w:rPr>
        <w:t xml:space="preserve">. Редакцией газеты «День» получено извещение Исп. Комитета петроградского Совета Р. и С. Депутат., что, по постановлению военно-революционного комитета газета приостановлена «за поднятую травлю советов». </w:t>
      </w:r>
    </w:p>
    <w:p w14:paraId="5B97F734"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7 ч. утра</w:t>
      </w:r>
      <w:r w:rsidRPr="002F2FDF">
        <w:rPr>
          <w:rFonts w:ascii="Times New Roman" w:hAnsi="Times New Roman" w:cs="Times New Roman"/>
          <w:color w:val="000000" w:themeColor="text1"/>
          <w:kern w:val="2"/>
          <w:sz w:val="16"/>
          <w:szCs w:val="16"/>
        </w:rPr>
        <w:t xml:space="preserve">. Комиссар в.-револ. Комитета в сопровождении группы вооруженных матросов явился в редакцию «Нового» и «Вечернего Времени», объявив, что не допустит выхода обеих газет, а типография реквизируется для набора и печатания «Рабочего Пути», «Солдата» и «Деревенской Бедноты» - органов большевиков. </w:t>
      </w:r>
    </w:p>
    <w:p w14:paraId="6FF367D2"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Манифест «Правительства 3-й революции»: «немедленное предложение мира, отмена помещичьей собственности на землю, рабочий контроль над производством и создание советского правительства». </w:t>
      </w:r>
    </w:p>
    <w:p w14:paraId="67E2CCA3"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8 ч. утра</w:t>
      </w:r>
      <w:r w:rsidRPr="002F2FDF">
        <w:rPr>
          <w:rFonts w:ascii="Times New Roman" w:hAnsi="Times New Roman" w:cs="Times New Roman"/>
          <w:color w:val="000000" w:themeColor="text1"/>
          <w:kern w:val="2"/>
          <w:sz w:val="16"/>
          <w:szCs w:val="16"/>
        </w:rPr>
        <w:t xml:space="preserve">. Газеты, за исключением социалистических, не вышли. </w:t>
      </w:r>
    </w:p>
    <w:p w14:paraId="02D1720B"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10 ч. утра</w:t>
      </w:r>
      <w:r w:rsidRPr="002F2FDF">
        <w:rPr>
          <w:rFonts w:ascii="Times New Roman" w:hAnsi="Times New Roman" w:cs="Times New Roman"/>
          <w:color w:val="000000" w:themeColor="text1"/>
          <w:kern w:val="2"/>
          <w:sz w:val="16"/>
          <w:szCs w:val="16"/>
        </w:rPr>
        <w:t xml:space="preserve">. Большевик комиссар Урицкий посетил мин. иностр. дел и потребовал предъявления ему тайных договоров, заключенных между Россией и союзниками. Г. Урицкому в министерстве ответили, что служащим ведомства ничего о тайных договорах неизвестно, но, если г. Урицкому угодно, он может поискать в тех сотнях шкафов, которыми уставлены коридоры и комнаты министерства. </w:t>
      </w:r>
    </w:p>
    <w:p w14:paraId="3810C7E5"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 ч. дня</w:t>
      </w:r>
      <w:r w:rsidRPr="002F2FDF">
        <w:rPr>
          <w:rFonts w:ascii="Times New Roman" w:hAnsi="Times New Roman" w:cs="Times New Roman"/>
          <w:color w:val="000000" w:themeColor="text1"/>
          <w:kern w:val="2"/>
          <w:sz w:val="16"/>
          <w:szCs w:val="16"/>
        </w:rPr>
        <w:t xml:space="preserve">. Заседание городской Думы. Посещение делегацией большевиков гор. Думы. Ответ гор. Головы, что «не может быть речи о каких-либо «трениях», так как налицо нападение не только Вр. Правительство, но и на городское управление». </w:t>
      </w:r>
    </w:p>
    <w:p w14:paraId="76D162FF"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Вы овладели властью, - заявил гор. голова большевикам, - но это еще недостаточно- нужно общественное признание власти и, пока его не будет, гор. управление вас не признает. </w:t>
      </w:r>
    </w:p>
    <w:p w14:paraId="59CFDA6E"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 том же заседании гласный Думы В.И. Чарнолусский в присутствии группы гласных отказался подать руку Луначарскому, заявив: «Изменникам и предателям родины я не нахожу возможным подавать руку». («Рабочая Газета»). </w:t>
      </w:r>
    </w:p>
    <w:p w14:paraId="15FB894D"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 ч. 35 м. дня</w:t>
      </w:r>
      <w:r w:rsidRPr="002F2FDF">
        <w:rPr>
          <w:rFonts w:ascii="Times New Roman" w:hAnsi="Times New Roman" w:cs="Times New Roman"/>
          <w:color w:val="000000" w:themeColor="text1"/>
          <w:kern w:val="2"/>
          <w:sz w:val="16"/>
          <w:szCs w:val="16"/>
        </w:rPr>
        <w:t xml:space="preserve">. Экстренное заседание петроградского Совета Р. и С. Депутатов. Доклад Н. Троцкого: «Небывалый в истории опыт создания власти, которая не знала бы иных целей, кроме потребностей солдат, крестьян и рабочих». «Лучшие силы буржуазной науки поймут, по словам Троцкого, что условия, созданные Советами Р., С. И Кр. Депутатов, - есть лучшие условия для их работы». </w:t>
      </w:r>
    </w:p>
    <w:p w14:paraId="6DCF128E"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Речи Ленина, Зиновьева и Луначарского. </w:t>
      </w:r>
    </w:p>
    <w:p w14:paraId="3C07CBA5"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 ч. дня</w:t>
      </w:r>
      <w:r w:rsidRPr="002F2FDF">
        <w:rPr>
          <w:rFonts w:ascii="Times New Roman" w:hAnsi="Times New Roman" w:cs="Times New Roman"/>
          <w:color w:val="000000" w:themeColor="text1"/>
          <w:kern w:val="2"/>
          <w:sz w:val="16"/>
          <w:szCs w:val="16"/>
        </w:rPr>
        <w:t xml:space="preserve">. Заседание Всерос. Комитета Спасения Родины и Революции. Воззвание к гражданам по поводу насилия над Вр. Правительством и неслыханного преступления против родины со стороны большевиков. Призыв к ополчению и отпору. </w:t>
      </w:r>
    </w:p>
    <w:p w14:paraId="121C4EBD"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4 ч. дня</w:t>
      </w:r>
      <w:r w:rsidRPr="002F2FDF">
        <w:rPr>
          <w:rFonts w:ascii="Times New Roman" w:hAnsi="Times New Roman" w:cs="Times New Roman"/>
          <w:color w:val="000000" w:themeColor="text1"/>
          <w:kern w:val="2"/>
          <w:sz w:val="16"/>
          <w:szCs w:val="16"/>
        </w:rPr>
        <w:t xml:space="preserve">. «Разгром сокровищ Зимнего дворца солдатами, набивавшими себе карманы всем, что попадется под руку, не щадя ничего». («Раб. Газета»). </w:t>
      </w:r>
    </w:p>
    <w:p w14:paraId="63055B4F"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4 ½ ч. дня</w:t>
      </w:r>
      <w:r w:rsidRPr="002F2FDF">
        <w:rPr>
          <w:rFonts w:ascii="Times New Roman" w:hAnsi="Times New Roman" w:cs="Times New Roman"/>
          <w:color w:val="000000" w:themeColor="text1"/>
          <w:kern w:val="2"/>
          <w:sz w:val="16"/>
          <w:szCs w:val="16"/>
        </w:rPr>
        <w:t xml:space="preserve">. Вторичный арест мин. продовольствия С.Н. Прокоповича, препровожденного в Совет Р. и С. Депутатов. 8 ч. утра. </w:t>
      </w:r>
    </w:p>
    <w:p w14:paraId="5F8CDDCF"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5 ч. дня</w:t>
      </w:r>
      <w:r w:rsidRPr="002F2FDF">
        <w:rPr>
          <w:rFonts w:ascii="Times New Roman" w:hAnsi="Times New Roman" w:cs="Times New Roman"/>
          <w:color w:val="000000" w:themeColor="text1"/>
          <w:kern w:val="2"/>
          <w:sz w:val="16"/>
          <w:szCs w:val="16"/>
        </w:rPr>
        <w:t xml:space="preserve">. Отрядом солдат Кексгольмского полка, по распоряжению военно-революционного комитета, занято помещение военного министерства с помещающимся там прямым проводом со ставкой. </w:t>
      </w:r>
    </w:p>
    <w:p w14:paraId="3A262E8F"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6 ч. вечера</w:t>
      </w:r>
      <w:r w:rsidRPr="002F2FDF">
        <w:rPr>
          <w:rFonts w:ascii="Times New Roman" w:hAnsi="Times New Roman" w:cs="Times New Roman"/>
          <w:color w:val="000000" w:themeColor="text1"/>
          <w:kern w:val="2"/>
          <w:sz w:val="16"/>
          <w:szCs w:val="16"/>
        </w:rPr>
        <w:t xml:space="preserve">. Заседание гор. Думы, которую большевики грозят «разогнать» в случае противодействия их намерениям. </w:t>
      </w:r>
    </w:p>
    <w:p w14:paraId="65D4EE0D"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заседании Думы единогласно постановлено: </w:t>
      </w:r>
    </w:p>
    <w:p w14:paraId="34BD5B37"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xml:space="preserve">В случае разгона гор. Думы немедленно создать ее в другом месте. </w:t>
      </w:r>
    </w:p>
    <w:p w14:paraId="5F61156F"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Объявить неприкосновенность частных жилищ и призвать через домовые комитеты население Петрограда давать решительный отпор всяким попыткам врывания в частные квартиры, не останавливаясь перед применением оружия в интересах самообороны граждан. </w:t>
      </w:r>
    </w:p>
    <w:p w14:paraId="2A8035F7"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Признать, что должность члена гор. управы и звание гласного гор. Думы несовместимы с должностью комиссара военно-революционного комитета в гор. учреждениях. </w:t>
      </w:r>
    </w:p>
    <w:p w14:paraId="13A31B20"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Предложить членам управы, состоящим комиссарами военно-революционного комитета в городских учреждениях, выйти из состава гор. управы или оставить должность комиссара военно-революционного комитета. </w:t>
      </w:r>
    </w:p>
    <w:p w14:paraId="73545EA8"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Признать за центральной и районными гор. думами право немедленного закрытия всех заведений трактирного промысла, чайных, столовых и т.п. </w:t>
      </w:r>
    </w:p>
    <w:p w14:paraId="06C0508A"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7 ч. вечера</w:t>
      </w:r>
      <w:r w:rsidRPr="002F2FDF">
        <w:rPr>
          <w:rFonts w:ascii="Times New Roman" w:hAnsi="Times New Roman" w:cs="Times New Roman"/>
          <w:color w:val="000000" w:themeColor="text1"/>
          <w:kern w:val="2"/>
          <w:sz w:val="16"/>
          <w:szCs w:val="16"/>
        </w:rPr>
        <w:t xml:space="preserve">. Призыв гор. общественного самоуправления к гражданам, городским и земским самоуправлениям объединиться и выступить на защиту завоеваний русской революции и независимости общественного самоуправления. </w:t>
      </w:r>
    </w:p>
    <w:p w14:paraId="1ADE7B34"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8 ч. вечера</w:t>
      </w:r>
      <w:r w:rsidRPr="002F2FDF">
        <w:rPr>
          <w:rFonts w:ascii="Times New Roman" w:hAnsi="Times New Roman" w:cs="Times New Roman"/>
          <w:color w:val="000000" w:themeColor="text1"/>
          <w:kern w:val="2"/>
          <w:sz w:val="16"/>
          <w:szCs w:val="16"/>
        </w:rPr>
        <w:t xml:space="preserve">. Приказ военно-рев. Комитета: «Офицеры, которые прямо и открыто не присоединились к заговору, устроенному комитетом, должны быть немедленно арестованы, как враги». </w:t>
      </w:r>
    </w:p>
    <w:p w14:paraId="64292ECA"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9 ч. вечера</w:t>
      </w:r>
      <w:r w:rsidRPr="002F2FDF">
        <w:rPr>
          <w:rFonts w:ascii="Times New Roman" w:hAnsi="Times New Roman" w:cs="Times New Roman"/>
          <w:color w:val="000000" w:themeColor="text1"/>
          <w:kern w:val="2"/>
          <w:sz w:val="16"/>
          <w:szCs w:val="16"/>
        </w:rPr>
        <w:t xml:space="preserve">. Заседание Всер. Комитета Спасения Родины и Революции. Известие о создании такого же комитета в Москве. </w:t>
      </w:r>
    </w:p>
    <w:p w14:paraId="1AF4DE5E"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Найден в Мойке труп тов. воен. министра кн. Туманова, исколотого штыками солдат, производивших арест генерала, по постановлению военно-революционного комитета. </w:t>
      </w:r>
    </w:p>
    <w:p w14:paraId="3F036D9A"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10 ч. вечера</w:t>
      </w:r>
      <w:r w:rsidRPr="002F2FDF">
        <w:rPr>
          <w:rFonts w:ascii="Times New Roman" w:hAnsi="Times New Roman" w:cs="Times New Roman"/>
          <w:color w:val="000000" w:themeColor="text1"/>
          <w:kern w:val="2"/>
          <w:sz w:val="16"/>
          <w:szCs w:val="16"/>
        </w:rPr>
        <w:t xml:space="preserve">. Военно-революционный комитет постановил немедленно доставить ген. Корнилова и всех изобличенных участников его заговора в Петроград для заключения в Петропавловской крепости и для немедленного предания строгому военно-революционному суду. Сопротивляющихся этому постановлению комитет объявляет изменниками революции и распоряжения их объявляет недействительными и не подлежащими исполнению. (Слухи о побеге ген. Корнилова). </w:t>
      </w:r>
    </w:p>
    <w:p w14:paraId="0190824B"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11 ч. вечера</w:t>
      </w:r>
      <w:r w:rsidRPr="002F2FDF">
        <w:rPr>
          <w:rFonts w:ascii="Times New Roman" w:hAnsi="Times New Roman" w:cs="Times New Roman"/>
          <w:color w:val="000000" w:themeColor="text1"/>
          <w:kern w:val="2"/>
          <w:sz w:val="16"/>
          <w:szCs w:val="16"/>
        </w:rPr>
        <w:t xml:space="preserve">. У Царскосельского вокзала матросы останавливают воз с пачками номеров газеты «Речь»; по их приказу уличные мальчишки устраивают костры и предают сожжению номера газеты. </w:t>
      </w:r>
    </w:p>
    <w:p w14:paraId="1FE32674"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12 ч. ночи</w:t>
      </w:r>
      <w:r w:rsidRPr="002F2FDF">
        <w:rPr>
          <w:rFonts w:ascii="Times New Roman" w:hAnsi="Times New Roman" w:cs="Times New Roman"/>
          <w:color w:val="000000" w:themeColor="text1"/>
          <w:kern w:val="2"/>
          <w:sz w:val="16"/>
          <w:szCs w:val="16"/>
        </w:rPr>
        <w:t>. Декрет и мире. Предложение всем правительствам и народам воюющих стран заключить перемирие не менее как на три месяца для переговоров о мире.</w:t>
      </w:r>
    </w:p>
    <w:p w14:paraId="6846F440" w14:textId="77777777" w:rsidR="009615CB" w:rsidRPr="002F2FDF" w:rsidRDefault="009615C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(17030).</w:t>
      </w:r>
    </w:p>
    <w:p w14:paraId="1D7F746A" w14:textId="77777777" w:rsidR="00C90ABE" w:rsidRDefault="00C90ABE" w:rsidP="0083075A">
      <w:pPr>
        <w:spacing w:after="0" w:line="240" w:lineRule="auto"/>
        <w:jc w:val="both"/>
        <w:rPr>
          <w:rFonts w:ascii="Times New Roman" w:hAnsi="Times New Roman" w:cs="Times New Roman"/>
          <w:color w:val="000000" w:themeColor="text1"/>
          <w:kern w:val="2"/>
          <w:sz w:val="16"/>
          <w:szCs w:val="16"/>
        </w:rPr>
      </w:pPr>
    </w:p>
    <w:p w14:paraId="1D225ACA" w14:textId="55439A33" w:rsidR="00A21D78" w:rsidRPr="002F2FDF" w:rsidRDefault="00A21D7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октября (8 ноября) 1917 у Троцкого день рождения! 02.10 - арест Временного правительства (караул устал!). 05.00 - Съезд принял воззвание к стране "Вся власть Советам!". Правые социалисты покинули съезд и организовали Комитет спасения Родины и революции, большевики получили большинство. Декрет о мире (без аннексий и контрибуций) - не выполнен, декрет о земле (отчуждение всей земли в пользу государства и отмена частной собственности на землю), Декларация прав народов России (самоопределение и все такое) - не выполнен, декрет об отмене смертной казни - продержался до 1918 года. Высший орган власти - ВЦИК под председательством Каменева, потом Свердлова. Сформирован Совет Народных Комиссаров - "Однородное социалистическое правительство", что не помешало поиметь внутрипартийную оппозицию во главе с Каменевым, Зиновьевым, Рыковым и Ногиным (12629).</w:t>
      </w:r>
    </w:p>
    <w:p w14:paraId="4A01B68C" w14:textId="77777777" w:rsidR="00A21D78" w:rsidRPr="002F2FDF" w:rsidRDefault="00A21D7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C4F7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октября (8 ноября) 1917, открывшийся в Смольном Второй съезд Советов (390 большевиков и 150 левых эсеров из 650 делегатов), объявил в обращении "Рабочим, солдатам и крестьянам" (3908,267) о переходе власти в руки советов. Принял декреты о мире, земле и создал первое правительство (3481) - Временное правительство - СНК - Совнарком под председательством В.И.Л. с полномочиями до Учредительного собрания. Избрали и ВЦИК под председательством Л.Б.Каменева (3908,267). Л.Д.Т. стал НКИД, А.И.Р - наркомом внутренних дел, И.В.С. - наркомом национальностей, А.Г.Шляпников - наркомом труда (3908,268).</w:t>
      </w:r>
    </w:p>
    <w:p w14:paraId="2554A6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Меньшевики и правые эсеры, выступавшие против переворота, покинули съезд (3908,267).</w:t>
      </w:r>
    </w:p>
    <w:p w14:paraId="3B8651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Съезд принял также Обращение к фронту и казакам и отменил смертную казнь (3908,268). В обращении к фронту предложил всем армиям создать ВРК и обязал ГК подчиняться их распоряжениям</w:t>
      </w:r>
    </w:p>
    <w:p w14:paraId="2AF28D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октября (8 ноября) 1917 II Всероссийский съезд Советов в специальном обращении "К фронту" предложил всем армиям создать временные революционные комитеты для обеспечения революционного порядка и твердости фронта. Съезд обязал главнокомандующих подчиняться распоряжениям комитетов (4216).</w:t>
      </w:r>
    </w:p>
    <w:p w14:paraId="363978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C08F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октября (8 ноября) 1917 Петроградский городской совет создал Комитет спасения родины и революции, в состав которого вошли меньшевики и правые эсеры, не приемлющие действия большевиков (3908,268).</w:t>
      </w:r>
    </w:p>
    <w:p w14:paraId="575A75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58E13F" w14:textId="4D2ABB64" w:rsidR="001B7625" w:rsidRPr="002F2FDF" w:rsidRDefault="001B7625"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В ночь на 26 октября (8 ноября) 1917 правые социалисты из Петроградской городской думы и Предпарламента в противовес Военно-революционному комитету Троцкого создали свой </w:t>
      </w:r>
      <w:r w:rsidR="00E52569">
        <w:rPr>
          <w:color w:val="000000" w:themeColor="text1"/>
          <w:kern w:val="2"/>
          <w:sz w:val="16"/>
          <w:szCs w:val="16"/>
        </w:rPr>
        <w:t xml:space="preserve"> </w:t>
      </w:r>
      <w:r w:rsidRPr="002F2FDF">
        <w:rPr>
          <w:color w:val="000000" w:themeColor="text1"/>
          <w:kern w:val="2"/>
          <w:sz w:val="16"/>
          <w:szCs w:val="16"/>
        </w:rPr>
        <w:t>Комитет спасения Родины и революции во главе с правым эсером Абрамом Гоцем. Он распространял антибольшевистские листовки, призывал к саботажу работников госучреждений. Также антибольшевистский комитет поддерживал вооруженное сопротивление большевикам в Москве и попытку Керенского отбить Петроград (17045).</w:t>
      </w:r>
    </w:p>
    <w:p w14:paraId="20C5FC44" w14:textId="77777777" w:rsidR="001B7625" w:rsidRPr="002F2FDF" w:rsidRDefault="001B762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6B70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ночь с 26 на 27 октября (8-9 ноября) 1917 прошло заключительное заседание 2 Съезда Советов (1348,87).</w:t>
      </w:r>
    </w:p>
    <w:p w14:paraId="42B5A6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C6C33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октября (8 ноября) 1917 г. на II Всероссийском съезде рабочих и солдатских депутатов был образован как временное советское правительство Совет народных комиссаров. На III Всероссийском съезде Советов 18(31) января было устранено из названия советского прави</w:t>
      </w:r>
      <w:r w:rsidRPr="002F2FDF">
        <w:rPr>
          <w:rFonts w:ascii="Times New Roman" w:hAnsi="Times New Roman" w:cs="Times New Roman"/>
          <w:color w:val="000000" w:themeColor="text1"/>
          <w:kern w:val="2"/>
          <w:sz w:val="16"/>
          <w:szCs w:val="16"/>
        </w:rPr>
        <w:softHyphen/>
        <w:t>тельства слово “временное”. Конституция 1918 г. закрепила название СНК, а также его сос</w:t>
      </w:r>
      <w:r w:rsidRPr="002F2FDF">
        <w:rPr>
          <w:rFonts w:ascii="Times New Roman" w:hAnsi="Times New Roman" w:cs="Times New Roman"/>
          <w:color w:val="000000" w:themeColor="text1"/>
          <w:kern w:val="2"/>
          <w:sz w:val="16"/>
          <w:szCs w:val="16"/>
        </w:rPr>
        <w:softHyphen/>
        <w:t>тав: наркомы 18 наркоматов. В компетенцию СНК входили политические, военные, эконо</w:t>
      </w:r>
      <w:r w:rsidRPr="002F2FDF">
        <w:rPr>
          <w:rFonts w:ascii="Times New Roman" w:hAnsi="Times New Roman" w:cs="Times New Roman"/>
          <w:color w:val="000000" w:themeColor="text1"/>
          <w:kern w:val="2"/>
          <w:sz w:val="16"/>
          <w:szCs w:val="16"/>
        </w:rPr>
        <w:softHyphen/>
        <w:t>мические и культурные вопросы. Структура аппарата СНК: управление делами СНК во гла</w:t>
      </w:r>
      <w:r w:rsidRPr="002F2FDF">
        <w:rPr>
          <w:rFonts w:ascii="Times New Roman" w:hAnsi="Times New Roman" w:cs="Times New Roman"/>
          <w:color w:val="000000" w:themeColor="text1"/>
          <w:kern w:val="2"/>
          <w:sz w:val="16"/>
          <w:szCs w:val="16"/>
        </w:rPr>
        <w:softHyphen/>
        <w:t>ве с В. Д. Бонч-Бруевичем, секретариат (Ы. П. Горбунов), финотдел, отдел или бюро печати (10711,666).</w:t>
      </w:r>
    </w:p>
    <w:p w14:paraId="5D3BBC1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ABB78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октября (8 ноября) 1917 г. в соответствии с решением II съезда Советов был создан Наркомат продовольствия РСФСР. Основной задачей Наркомпрода являлась заготовка продоволь</w:t>
      </w:r>
      <w:r w:rsidRPr="002F2FDF">
        <w:rPr>
          <w:rFonts w:ascii="Times New Roman" w:hAnsi="Times New Roman" w:cs="Times New Roman"/>
          <w:color w:val="000000" w:themeColor="text1"/>
          <w:kern w:val="2"/>
          <w:sz w:val="16"/>
          <w:szCs w:val="16"/>
        </w:rPr>
        <w:softHyphen/>
        <w:t>ствия и предметов широкого потребления и распределение их по всей территории РСФСР Деятельность наркомата, в том числе огдела по снабжению армии (до февраля 1918 г.), прохо</w:t>
      </w:r>
      <w:r w:rsidRPr="002F2FDF">
        <w:rPr>
          <w:rFonts w:ascii="Times New Roman" w:hAnsi="Times New Roman" w:cs="Times New Roman"/>
          <w:color w:val="000000" w:themeColor="text1"/>
          <w:kern w:val="2"/>
          <w:sz w:val="16"/>
          <w:szCs w:val="16"/>
        </w:rPr>
        <w:softHyphen/>
        <w:t>дила в тесном контакте с ВСНХ, Советом обороны, наркоматами по военным и морским де</w:t>
      </w:r>
      <w:r w:rsidRPr="002F2FDF">
        <w:rPr>
          <w:rFonts w:ascii="Times New Roman" w:hAnsi="Times New Roman" w:cs="Times New Roman"/>
          <w:color w:val="000000" w:themeColor="text1"/>
          <w:kern w:val="2"/>
          <w:sz w:val="16"/>
          <w:szCs w:val="16"/>
        </w:rPr>
        <w:softHyphen/>
        <w:t>лам и другими. К 1919 г. в составе центрального аппарата Наркомпрода произошли измене</w:t>
      </w:r>
      <w:r w:rsidRPr="002F2FDF">
        <w:rPr>
          <w:rFonts w:ascii="Times New Roman" w:hAnsi="Times New Roman" w:cs="Times New Roman"/>
          <w:color w:val="000000" w:themeColor="text1"/>
          <w:kern w:val="2"/>
          <w:sz w:val="16"/>
          <w:szCs w:val="16"/>
        </w:rPr>
        <w:softHyphen/>
        <w:t>ния. В него вошли как организационно-административные управления, координирующие общие вопросы работы наркомата, так и функциональные, в том числе и Главное управление по снабжению Красной армии и флота продуктами продовольствия и предметами первой не</w:t>
      </w:r>
      <w:r w:rsidRPr="002F2FDF">
        <w:rPr>
          <w:rFonts w:ascii="Times New Roman" w:hAnsi="Times New Roman" w:cs="Times New Roman"/>
          <w:color w:val="000000" w:themeColor="text1"/>
          <w:kern w:val="2"/>
          <w:sz w:val="16"/>
          <w:szCs w:val="16"/>
        </w:rPr>
        <w:softHyphen/>
        <w:t>обходимости (Главснабпродарм, 1919-1922 гг.), функции которого до августа 1919 г. исполнял Цекопродарм. С образованием СССР на правах объединенного (союзно-республиканского) наркомата был создан Наркомат продовольствия СССР, а в республиках продолжали действовать республиканские наркомпроды. Свою деятельность окончательно продоволь</w:t>
      </w:r>
      <w:r w:rsidRPr="002F2FDF">
        <w:rPr>
          <w:rFonts w:ascii="Times New Roman" w:hAnsi="Times New Roman" w:cs="Times New Roman"/>
          <w:color w:val="000000" w:themeColor="text1"/>
          <w:kern w:val="2"/>
          <w:sz w:val="16"/>
          <w:szCs w:val="16"/>
        </w:rPr>
        <w:softHyphen/>
        <w:t>ственные органы закончили к маю 1924 г., когда были упразднены (10711,666).</w:t>
      </w:r>
    </w:p>
    <w:p w14:paraId="71AC11C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32DC6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октября (8 ноября) 1917 г. об образовании Рабоче-крестьянского прави</w:t>
      </w:r>
      <w:r w:rsidRPr="002F2FDF">
        <w:rPr>
          <w:rFonts w:ascii="Times New Roman" w:hAnsi="Times New Roman" w:cs="Times New Roman"/>
          <w:color w:val="000000" w:themeColor="text1"/>
          <w:kern w:val="2"/>
          <w:sz w:val="16"/>
          <w:szCs w:val="16"/>
        </w:rPr>
        <w:softHyphen/>
        <w:t>тельства декретом II Всероссийского съезда Советов был образован Наркомат финансов РСФСР (НКФ). В задачи НКФ входили: кассовое обслуживание советских учреждений и предпри</w:t>
      </w:r>
      <w:r w:rsidRPr="002F2FDF">
        <w:rPr>
          <w:rFonts w:ascii="Times New Roman" w:hAnsi="Times New Roman" w:cs="Times New Roman"/>
          <w:color w:val="000000" w:themeColor="text1"/>
          <w:kern w:val="2"/>
          <w:sz w:val="16"/>
          <w:szCs w:val="16"/>
        </w:rPr>
        <w:softHyphen/>
        <w:t>ятий, установление и взимание налогов, разработка проекта денежной реформы (проведена в 1922 г.), а также система общих налоговых мероприятий. Местными органами НКФ были финотделы при исполкомах Советов. С объединением республик в единое союзное государ</w:t>
      </w:r>
      <w:r w:rsidRPr="002F2FDF">
        <w:rPr>
          <w:rFonts w:ascii="Times New Roman" w:hAnsi="Times New Roman" w:cs="Times New Roman"/>
          <w:color w:val="000000" w:themeColor="text1"/>
          <w:kern w:val="2"/>
          <w:sz w:val="16"/>
          <w:szCs w:val="16"/>
        </w:rPr>
        <w:softHyphen/>
        <w:t>ство создается объединенный (союзно-республиканский) Наркомфин СССР. К концу 1923 г. определилась система организации Бюджетного управления Наркомфина. В его составе имелось 8 отделов. Первый-четвертый сметные отделы рассматривали финансовые сметы СССР, вызывающие новые расходы или сверхлимитные ассигнования, составляли бюджет</w:t>
      </w:r>
      <w:r w:rsidRPr="002F2FDF">
        <w:rPr>
          <w:rFonts w:ascii="Times New Roman" w:hAnsi="Times New Roman" w:cs="Times New Roman"/>
          <w:color w:val="000000" w:themeColor="text1"/>
          <w:kern w:val="2"/>
          <w:sz w:val="16"/>
          <w:szCs w:val="16"/>
        </w:rPr>
        <w:softHyphen/>
        <w:t>ные планы по наркоматам и разассигновывали кредиты (10711,666).</w:t>
      </w:r>
    </w:p>
    <w:p w14:paraId="473F396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8A35B4"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26 октября (8 ноября) </w:t>
      </w:r>
      <w:r w:rsidRPr="002F2FDF">
        <w:rPr>
          <w:rFonts w:ascii="Times New Roman" w:hAnsi="Times New Roman" w:cs="Times New Roman"/>
          <w:color w:val="000000" w:themeColor="text1"/>
          <w:kern w:val="2"/>
          <w:sz w:val="16"/>
          <w:szCs w:val="16"/>
        </w:rPr>
        <w:t>в 1917 году принимаются Декреты о мире и земле. Советская Россия аннулировала все договора, заключенные прежде царской Россией (14811).</w:t>
      </w:r>
    </w:p>
    <w:p w14:paraId="543B1BF2"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p>
    <w:p w14:paraId="7AABFFC8"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26 октября (8 ноября) </w:t>
      </w:r>
      <w:r w:rsidRPr="002F2FDF">
        <w:rPr>
          <w:rFonts w:ascii="Times New Roman" w:hAnsi="Times New Roman" w:cs="Times New Roman"/>
          <w:color w:val="000000" w:themeColor="text1"/>
          <w:kern w:val="2"/>
          <w:sz w:val="16"/>
          <w:szCs w:val="16"/>
        </w:rPr>
        <w:t>в 1917 году В.И.Ленин принял в Смольном председателя технического комитета Царскосельской радиостанции Н.Р.Дождикова, передавшего ему перехваченные заграничные радиограммы и сводки о положении на фронтах. С этого дня все сообщения из-за границы, принимавшиеся Царскосельской (впоследствии названной Детскосельской) радиостанцией, доставлялись в Смольный Председателю Совнаркома (14811).</w:t>
      </w:r>
    </w:p>
    <w:p w14:paraId="338098F0" w14:textId="77777777" w:rsidR="00CF4618" w:rsidRPr="002F2FDF" w:rsidRDefault="00CF4618" w:rsidP="0083075A">
      <w:pPr>
        <w:spacing w:after="0" w:line="240" w:lineRule="auto"/>
        <w:jc w:val="both"/>
        <w:rPr>
          <w:rFonts w:ascii="Times New Roman" w:hAnsi="Times New Roman" w:cs="Times New Roman"/>
          <w:color w:val="000000" w:themeColor="text1"/>
          <w:kern w:val="2"/>
          <w:sz w:val="16"/>
          <w:szCs w:val="16"/>
        </w:rPr>
      </w:pPr>
    </w:p>
    <w:p w14:paraId="6777FDA3" w14:textId="5C103834" w:rsidR="00CF4618" w:rsidRPr="002F2FDF" w:rsidRDefault="00CF4618" w:rsidP="0083075A">
      <w:pPr>
        <w:pStyle w:val="ae"/>
        <w:spacing w:before="0" w:after="0"/>
        <w:jc w:val="both"/>
        <w:rPr>
          <w:color w:val="000000" w:themeColor="text1"/>
          <w:kern w:val="2"/>
          <w:sz w:val="16"/>
          <w:szCs w:val="16"/>
        </w:rPr>
      </w:pPr>
      <w:r w:rsidRPr="002F2FDF">
        <w:rPr>
          <w:color w:val="000000" w:themeColor="text1"/>
          <w:kern w:val="2"/>
          <w:sz w:val="16"/>
          <w:szCs w:val="16"/>
        </w:rPr>
        <w:t>26 октября (8 ноября) 1917</w:t>
      </w:r>
      <w:r w:rsidR="00E52569">
        <w:rPr>
          <w:color w:val="000000" w:themeColor="text1"/>
          <w:kern w:val="2"/>
          <w:sz w:val="16"/>
          <w:szCs w:val="16"/>
        </w:rPr>
        <w:t xml:space="preserve"> </w:t>
      </w:r>
      <w:r w:rsidRPr="002F2FDF">
        <w:rPr>
          <w:color w:val="000000" w:themeColor="text1"/>
          <w:kern w:val="2"/>
          <w:sz w:val="16"/>
          <w:szCs w:val="16"/>
        </w:rPr>
        <w:t>г. в первом утвержденном составе нового органа исполнительной власти – Совета народных комиссаров</w:t>
      </w:r>
      <w:r w:rsidR="00E52569">
        <w:rPr>
          <w:color w:val="000000" w:themeColor="text1"/>
          <w:kern w:val="2"/>
          <w:sz w:val="16"/>
          <w:szCs w:val="16"/>
        </w:rPr>
        <w:t xml:space="preserve"> </w:t>
      </w:r>
      <w:r w:rsidRPr="002F2FDF">
        <w:rPr>
          <w:color w:val="000000" w:themeColor="text1"/>
          <w:kern w:val="2"/>
          <w:sz w:val="16"/>
          <w:szCs w:val="16"/>
        </w:rPr>
        <w:t>–были определены задачи отдельных комиссариатов, в том числе и Народного комиссариата почт и телеграфов, который возглавил Н.П. Авилов (Глебов). Он должен был в кратчайший срок восстановить все функции бывшего Министерства почт и телеграфов (15736).</w:t>
      </w:r>
    </w:p>
    <w:p w14:paraId="014A36E0" w14:textId="77777777" w:rsidR="00CF4618" w:rsidRPr="002F2FDF" w:rsidRDefault="00CF4618" w:rsidP="0083075A">
      <w:pPr>
        <w:pStyle w:val="ae"/>
        <w:spacing w:before="0" w:after="0"/>
        <w:jc w:val="both"/>
        <w:rPr>
          <w:color w:val="000000" w:themeColor="text1"/>
          <w:kern w:val="2"/>
          <w:sz w:val="16"/>
          <w:szCs w:val="16"/>
        </w:rPr>
      </w:pPr>
    </w:p>
    <w:p w14:paraId="1727EE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октября (8 ноября) 1917 Царскосельская радиостанция передала радиограмму всем армейским комитетам действующей армии, всем советам солдатских депутатов о свержении правительства Керенского (11072).</w:t>
      </w:r>
    </w:p>
    <w:p w14:paraId="720841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D5A9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C 26 по 31 октября (7-12 ноября) 1917 был мятеж Керенского-Краснова - ликвидировали 10 тыс. революционных войск (2438,306).</w:t>
      </w:r>
    </w:p>
    <w:p w14:paraId="3CE0F6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6F507A" w14:textId="77777777" w:rsidR="00F15D5E" w:rsidRPr="002F2FDF" w:rsidRDefault="00F15D5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26 октября (8 ноября) 1917 начался поход Керенского и Краснова на Петроград (3481).</w:t>
      </w:r>
    </w:p>
    <w:p w14:paraId="526F1DA1" w14:textId="77777777" w:rsidR="00F15D5E" w:rsidRPr="002F2FDF" w:rsidRDefault="00F15D5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D08401" w14:textId="0DF74DE2" w:rsidR="001B7625" w:rsidRPr="002F2FDF" w:rsidRDefault="001B7625" w:rsidP="0083075A">
      <w:pPr>
        <w:pStyle w:val="ae"/>
        <w:spacing w:before="0" w:after="0"/>
        <w:jc w:val="both"/>
        <w:rPr>
          <w:color w:val="000000" w:themeColor="text1"/>
          <w:kern w:val="2"/>
          <w:sz w:val="16"/>
          <w:szCs w:val="16"/>
        </w:rPr>
      </w:pPr>
      <w:r w:rsidRPr="002F2FDF">
        <w:rPr>
          <w:color w:val="000000" w:themeColor="text1"/>
          <w:kern w:val="2"/>
          <w:sz w:val="16"/>
          <w:szCs w:val="16"/>
        </w:rPr>
        <w:t>26 октября (8 ноября) 1917</w:t>
      </w:r>
      <w:r w:rsidR="00E52569">
        <w:rPr>
          <w:color w:val="000000" w:themeColor="text1"/>
          <w:kern w:val="2"/>
          <w:sz w:val="16"/>
          <w:szCs w:val="16"/>
        </w:rPr>
        <w:t xml:space="preserve"> </w:t>
      </w:r>
      <w:r w:rsidRPr="002F2FDF">
        <w:rPr>
          <w:color w:val="000000" w:themeColor="text1"/>
          <w:kern w:val="2"/>
          <w:sz w:val="16"/>
          <w:szCs w:val="16"/>
        </w:rPr>
        <w:t>г. вечером казачьи части в количестве около 700 человек, расквартированные к югу от Пскова, в результате уговоров Керенского загрузились в вагоны и отбыли в направлении Петрограда. Казаки откликнулись на просьбу Керенского неохотно, так как считали себя «корниловцами» и помнили, как Керенский совсем недавно подавил Корниловский мятеж. Причем, в самом Пскове эшелоны с ними пытались задержать пробольшевистски настроенные солдаты. Петр Краснов позднее вспоминал: «Слабого состава сотни, по 70 человек. &lt;…&gt; Меньше полка нормального штата. А если нам придется спешиться, откинуть одну треть на коноводов — останется боевой силы всего 466 человек — две роты военного времени! Командующий армией и две роты! Мне смешно… Игра в солдатики! Как она соблазнительна с ее пышными титулами и фразами» (17045).</w:t>
      </w:r>
    </w:p>
    <w:p w14:paraId="5964DE06" w14:textId="77777777" w:rsidR="001B7625" w:rsidRPr="002F2FDF" w:rsidRDefault="001B762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A666D9" w14:textId="77777777" w:rsidR="00334613" w:rsidRPr="002F2FDF" w:rsidRDefault="00334613" w:rsidP="0083075A">
      <w:pPr>
        <w:pStyle w:val="ae"/>
        <w:spacing w:before="0" w:after="0"/>
        <w:jc w:val="both"/>
        <w:rPr>
          <w:color w:val="000000" w:themeColor="text1"/>
          <w:kern w:val="2"/>
          <w:sz w:val="16"/>
          <w:szCs w:val="16"/>
        </w:rPr>
      </w:pPr>
      <w:r w:rsidRPr="002F2FDF">
        <w:rPr>
          <w:rStyle w:val="ucoz-forum-post"/>
          <w:bCs/>
          <w:color w:val="000000" w:themeColor="text1"/>
          <w:kern w:val="2"/>
          <w:sz w:val="16"/>
          <w:szCs w:val="16"/>
        </w:rPr>
        <w:t xml:space="preserve">26 октября (8 ноября) </w:t>
      </w:r>
      <w:r w:rsidRPr="002F2FDF">
        <w:rPr>
          <w:color w:val="000000" w:themeColor="text1"/>
          <w:kern w:val="2"/>
          <w:sz w:val="16"/>
          <w:szCs w:val="16"/>
        </w:rPr>
        <w:t>в 1917 году постановлением ВРК также были закрыты первые «контрреволюционные и буржуазные» газеты — «Биржевые ведомости», кадетская «Речь», меньшевистский «День» и некоторые другие. В «Декрете о печати», опубликованном 9 ноября, говорилось что закрытию подлежат лишь органы прессы, «призывающие к открытому сопротивлению или неповиновению Рабочему и Крестьянскому правительству», и «сеющие смуту путем явно клеветнического извращения фактов». Указывалось на временный характер закрытия газет до нормализации обстановки (такая «нормализация» наступит лишь более чем через 70 лет) (17045).</w:t>
      </w:r>
    </w:p>
    <w:p w14:paraId="43C43E11" w14:textId="77777777" w:rsidR="00334613" w:rsidRPr="002F2FDF" w:rsidRDefault="0033461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8DE498" w14:textId="77777777" w:rsidR="00F15D5E" w:rsidRPr="002F2FDF" w:rsidRDefault="00F15D5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октября (8 ноября) 1917 началось вооруженное восстание в Москве (3481).</w:t>
      </w:r>
    </w:p>
    <w:p w14:paraId="108793EE" w14:textId="77777777" w:rsidR="00F15D5E" w:rsidRPr="002F2FDF" w:rsidRDefault="00F15D5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42DCD7" w14:textId="77777777" w:rsidR="00F15D5E" w:rsidRPr="002F2FDF" w:rsidRDefault="00F15D5E" w:rsidP="0083075A">
      <w:pPr>
        <w:pStyle w:val="ae"/>
        <w:spacing w:before="0" w:after="0"/>
        <w:jc w:val="both"/>
        <w:rPr>
          <w:color w:val="000000" w:themeColor="text1"/>
          <w:kern w:val="2"/>
          <w:sz w:val="16"/>
          <w:szCs w:val="16"/>
        </w:rPr>
      </w:pPr>
      <w:r w:rsidRPr="002F2FDF">
        <w:rPr>
          <w:color w:val="000000" w:themeColor="text1"/>
          <w:kern w:val="2"/>
          <w:sz w:val="16"/>
          <w:szCs w:val="16"/>
        </w:rPr>
        <w:t>В ночь на 26 октября (8 ноября) 1917 в Москве солдаты, перешедшие на сторону МВРК, ворвались в типографии и не позволили печатать никаких газет, кроме «Известий» и «Социал-Демократа». Одновременно комендант московского Кремля по требованию МВРК начал раздавать рабочим оружие из арсеналов (17045).</w:t>
      </w:r>
    </w:p>
    <w:p w14:paraId="6C1EF39A" w14:textId="77777777" w:rsidR="00F15D5E" w:rsidRPr="002F2FDF" w:rsidRDefault="00F15D5E" w:rsidP="0083075A">
      <w:pPr>
        <w:pStyle w:val="ae"/>
        <w:spacing w:before="0" w:after="0"/>
        <w:jc w:val="both"/>
        <w:rPr>
          <w:rStyle w:val="ucoz-forum-post"/>
          <w:bCs/>
          <w:color w:val="000000" w:themeColor="text1"/>
          <w:kern w:val="2"/>
          <w:sz w:val="16"/>
          <w:szCs w:val="16"/>
        </w:rPr>
      </w:pPr>
    </w:p>
    <w:p w14:paraId="7A7450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октября (8 ноября) 1917 Украинская Центральная Рада выступила с 3-м Универсалом, провозгласившим образование Украинской Народной Республики (3263,633).</w:t>
      </w:r>
    </w:p>
    <w:p w14:paraId="5B3E84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8005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октября (8 ноября) 1917 атаман А.Каледин объявил о принятии им всей полноты власти на Дону и начал разгон Советов (3908,268).</w:t>
      </w:r>
    </w:p>
    <w:p w14:paraId="325CC6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2D1ED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октября (8 ноября) 1917 донской атаман А. Каледин объявил военное положение в Донбассе, введя туда казаков (4962).</w:t>
      </w:r>
    </w:p>
    <w:p w14:paraId="5A052FC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0650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октября (8 ноября) 1917 в день ареста Временного правительства на продовольственных складах Петрограда имелось всего 30 тыс. пудов хлеба, в то время как даже по голодной норме — полфунта (примерно 200 граммов) хлеба на человека в сутки — городу требовалось 48 тыс. пудов зерна (</w:t>
      </w:r>
      <w:r w:rsidRPr="002F2FDF">
        <w:rPr>
          <w:rFonts w:ascii="Times New Roman" w:hAnsi="Times New Roman" w:cs="Times New Roman"/>
          <w:iCs/>
          <w:color w:val="000000" w:themeColor="text1"/>
          <w:kern w:val="2"/>
          <w:sz w:val="16"/>
          <w:szCs w:val="16"/>
        </w:rPr>
        <w:t xml:space="preserve">Бабурин Д.С. </w:t>
      </w:r>
      <w:r w:rsidRPr="002F2FDF">
        <w:rPr>
          <w:rFonts w:ascii="Times New Roman" w:hAnsi="Times New Roman" w:cs="Times New Roman"/>
          <w:color w:val="000000" w:themeColor="text1"/>
          <w:kern w:val="2"/>
          <w:sz w:val="16"/>
          <w:szCs w:val="16"/>
        </w:rPr>
        <w:t>Наркомпрод в первые годы Советской власти // Исторические записки. Т. 61. М.: Изд-во АН СССР, 1957. С. 335.). В этих условиях, еще не овладев Государственным банком и эмиссионным аппаратом (Первые 5 млн. руб. на экстренные нужды по снабжению армии продовольствием и другие необходимые расходы Совнарком получил только 17 ноября), большевистское руководство было вынуждено спешно заняться решением продовольственной проблемы. 15 ноября 1917 года Совнарком поручил Петроградскому военно-революционному комитету (ВРК) “принять самые решительные меры к искоренению спекуляции и саботажа, скрывания запасов, злостной задержки грузов и пр.” (Собрание узаконений и распоряжений рабочего и крестьянского правительства (далее — СУ). 1917. № 3. Ст. 33.). Во исполнение этого указания ВРК уже в ноябре начал посылать в хлебные губернии специально сформированные отряды рабочих и матросов для конфискации продовольствия. Формально заготовки сельскохозяйственных продуктов осуществлялись на основе товарообмена, но поскольку промышленных товаров не хватало, основную часть стоимости продуктов крестьяне получали стремительно продолжавшими обесцениваться денежными знаками. Не удивительно, что уже в декабре неповиновение крестьян, отказывавшихся, по сути, безвозмездно отдавать хлеб, стало приобретать массовый характер. Надо отметить, что при всем этом государственная хлебная монополия и твердые закупочные цены на хлеб, поддержанные принявшими Наркомат земледелия левыми эсерами, продолжали сохраняться (11177).</w:t>
      </w:r>
    </w:p>
    <w:p w14:paraId="51410C6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868A63" w14:textId="77777777" w:rsidR="00F91B7A" w:rsidRPr="002F2FDF" w:rsidRDefault="00F91B7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26 октября (8 ноября) 1917 на 1-м съезде «Мусават», которая объединилась с «Тюркской партией федералистов», возникла «Тюркская демократическая партия федералистов-мусаватистов». Съезд принял (с незначительными изменениями) программу партии федералистов, по которой будущий государственный строй России представлялся «в форме федеративной демократической республики на началах национально-территориальной автономии» (17034).</w:t>
      </w:r>
    </w:p>
    <w:p w14:paraId="0F77DB2C" w14:textId="77777777" w:rsidR="00F91B7A" w:rsidRPr="002F2FDF" w:rsidRDefault="00F91B7A"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1FED5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7E111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7A6D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октября (8 ноября) 1917 вышло воззвание группы Спартака к рабочим и солдатам, призывавшее к борьбе за свержение монархии и установление социалистической республики (3481).</w:t>
      </w:r>
    </w:p>
    <w:p w14:paraId="23D9A3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4F240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A25B8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2A64D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октября (9 ноября) 1917 известие о свержении Временного правительства и установ</w:t>
      </w:r>
      <w:r w:rsidRPr="002F2FDF">
        <w:rPr>
          <w:rFonts w:ascii="Times New Roman" w:hAnsi="Times New Roman" w:cs="Times New Roman"/>
          <w:color w:val="000000" w:themeColor="text1"/>
          <w:kern w:val="2"/>
          <w:sz w:val="16"/>
          <w:szCs w:val="16"/>
        </w:rPr>
        <w:softHyphen/>
        <w:t>лении Советской власти вынудило “главковерха” Духонина подчиниться распоряжению Советского правительства и отменить проведение Синопской набеговой операции. Попытка генеральской верхушки Ставки заняться подготовкой контр</w:t>
      </w:r>
      <w:r w:rsidRPr="002F2FDF">
        <w:rPr>
          <w:rFonts w:ascii="Times New Roman" w:hAnsi="Times New Roman" w:cs="Times New Roman"/>
          <w:color w:val="000000" w:themeColor="text1"/>
          <w:kern w:val="2"/>
          <w:sz w:val="16"/>
          <w:szCs w:val="16"/>
        </w:rPr>
        <w:softHyphen/>
        <w:t>революционного реванша была решительно пресечена (11293).</w:t>
      </w:r>
    </w:p>
    <w:p w14:paraId="096B7B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6BC1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27 октября </w:t>
      </w:r>
      <w:r w:rsidR="001157F8" w:rsidRPr="002F2FDF">
        <w:rPr>
          <w:rFonts w:ascii="Times New Roman" w:hAnsi="Times New Roman" w:cs="Times New Roman"/>
          <w:color w:val="000000" w:themeColor="text1"/>
          <w:kern w:val="2"/>
          <w:sz w:val="16"/>
          <w:szCs w:val="16"/>
        </w:rPr>
        <w:t xml:space="preserve">(9 ноября) </w:t>
      </w:r>
      <w:r w:rsidRPr="002F2FDF">
        <w:rPr>
          <w:rFonts w:ascii="Times New Roman" w:hAnsi="Times New Roman" w:cs="Times New Roman"/>
          <w:color w:val="000000" w:themeColor="text1"/>
          <w:kern w:val="2"/>
          <w:sz w:val="16"/>
          <w:szCs w:val="16"/>
        </w:rPr>
        <w:t>1917 свержение Временного правительства и установление власти Советов вынудило "главковерха" Духонина подчиниться распоряжению Советского правительства и отменить проведение набеговой операции (11933).</w:t>
      </w:r>
    </w:p>
    <w:p w14:paraId="6FE9F8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EF3384" w14:textId="77777777" w:rsidR="00ED2748" w:rsidRPr="002F2FDF" w:rsidRDefault="00ED274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C985A3E" w14:textId="77777777" w:rsidR="00ED2748" w:rsidRPr="002F2FDF" w:rsidRDefault="00ED274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CAF023" w14:textId="77777777" w:rsidR="00ED2748" w:rsidRPr="002F2FDF" w:rsidRDefault="00ED2748" w:rsidP="0083075A">
      <w:pPr>
        <w:pStyle w:val="p1"/>
        <w:spacing w:before="0" w:beforeAutospacing="0" w:after="0" w:afterAutospacing="0"/>
        <w:jc w:val="both"/>
        <w:rPr>
          <w:color w:val="000000" w:themeColor="text1"/>
          <w:sz w:val="16"/>
          <w:szCs w:val="16"/>
        </w:rPr>
      </w:pPr>
      <w:r w:rsidRPr="002F2FDF">
        <w:rPr>
          <w:color w:val="000000" w:themeColor="text1"/>
          <w:sz w:val="16"/>
          <w:szCs w:val="16"/>
        </w:rPr>
        <w:t>27 октября 1917 Маниковский предписал немедленно подготовиться Воронежский завод взрывателей к «приему Сестрорецкого и Петроградского трубочного заводов, эвакуируемых спешно в г. Воронеж», и комиссия начала хлопотать о прокладке кабеля от городской электростанции и искать материал «в громадном количестве» для железнодорожной ветки и внутренних рельсовых путей. К концу ноября из 3,4 млн. руб., предназначенных на оборудование силовой станции, было израсходовано 2,6 млн. 13 января 1918 г. архитектор рапортовал, «что работы на силовой станции производятся днем и ночью непрерывно» (18409).</w:t>
      </w:r>
    </w:p>
    <w:p w14:paraId="136B52F9" w14:textId="77777777" w:rsidR="00ED2748" w:rsidRPr="002F2FDF" w:rsidRDefault="00ED2748" w:rsidP="0083075A">
      <w:pPr>
        <w:pStyle w:val="p1"/>
        <w:spacing w:before="0" w:beforeAutospacing="0" w:after="0" w:afterAutospacing="0"/>
        <w:jc w:val="both"/>
        <w:rPr>
          <w:color w:val="000000" w:themeColor="text1"/>
          <w:sz w:val="16"/>
          <w:szCs w:val="16"/>
        </w:rPr>
      </w:pPr>
    </w:p>
    <w:p w14:paraId="175ACF4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1CED9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6E228F"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октября (9 ноября) 1917 (</w:t>
      </w:r>
      <w:r w:rsidRPr="002F2FDF">
        <w:rPr>
          <w:rFonts w:ascii="Times New Roman" w:hAnsi="Times New Roman" w:cs="Times New Roman"/>
          <w:iCs/>
          <w:color w:val="000000" w:themeColor="text1"/>
          <w:kern w:val="2"/>
          <w:sz w:val="16"/>
          <w:szCs w:val="16"/>
        </w:rPr>
        <w:t>хроника событий Октябрьской революции с 25 октября по 29 октября 1917 г. (по старому стилю), изложенную в газете "Петроградский листок" от 12 ноября 1917 г. Хроника эта интересна тем, что расписана по часам и сделана по горячим следам. Газета была настроена антибольшевистски)</w:t>
      </w:r>
      <w:r w:rsidRPr="002F2FDF">
        <w:rPr>
          <w:rFonts w:ascii="Times New Roman" w:hAnsi="Times New Roman" w:cs="Times New Roman"/>
          <w:color w:val="000000" w:themeColor="text1"/>
          <w:kern w:val="2"/>
          <w:sz w:val="16"/>
          <w:szCs w:val="16"/>
        </w:rPr>
        <w:t>:</w:t>
      </w:r>
    </w:p>
    <w:p w14:paraId="67309CEA"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Буржуазные газеты не вышли: им было предложено воздержаться от выхода до вторника. Большинство типографий их захвачено большевиками, печатающими в миллионах экземпляров «декрет о мире». Из чувства солидарности газеты решили не выходить. Революционная печать явно раскололась на два лагеря: торжествующих победу большевиков и социалистов всех фракций, называющих эту победу «распятием революции». В социалистических газетах плакаты с лозунгами: «Да здравствует комитет спасения родины и революции!», «Вся власть Учред. Собранию!» </w:t>
      </w:r>
    </w:p>
    <w:p w14:paraId="4F00BC76"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Первый номер «Известий» большевистского исполнительного комитета. Отказ сотрудников от работы в издании. Призыв «Известий» бойкотировать в рабочих кварталах и казармах «желтую» и «зеленую» прессу и «корниловские» социалистические газеты (?!). «Рабочий Путь» вышел под старым заглавием «Правда». </w:t>
      </w:r>
    </w:p>
    <w:p w14:paraId="6A4AD394"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социалистических газетах от имени объединенной партии с.-д., с.-р. и народных социалистов напечатаны воззвания, что «захват власти большевиками путем военного заговора над волей народа есть узурпация прав народа и что для защиты свободы и республики должны быть созданы комитеты общественного спасения.</w:t>
      </w:r>
    </w:p>
    <w:p w14:paraId="53A3D75D"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Протест обще-казачьего съезда против большевиков. Приказ верховного главнокомандующего всем начальникам и комиссарам сохранять, во имя спасения России, свои посты во время смуты, вызванной безумием большевиков.</w:t>
      </w:r>
    </w:p>
    <w:p w14:paraId="4F89FBA0"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Военно-революционным комитетом назначены временно, до утверждения их съездом советов: </w:t>
      </w:r>
    </w:p>
    <w:p w14:paraId="7B871817"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Комиссаром министерства иностранных дел Урицкий, а по другой версии и Троцкий, министерств юстиции и внутренних дел Рыков, министерства труда Шляпников, министерства государственного призрения Коллонтай, министерства торговли и промышленности, путей сообщения и государственного контроля Гольдендах-Рязанов, морского министерства – матрос Коврин (из кронштадцев), министерства почт и телеграфов Спиро, государственных театров Муравьев, по типографиям Дербышев, комиссаром гор. Петрограда поручик Нестеров и северного фронта – Позерн. </w:t>
      </w:r>
    </w:p>
    <w:p w14:paraId="08B42AF0"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11 ч. дня</w:t>
      </w:r>
      <w:r w:rsidRPr="002F2FDF">
        <w:rPr>
          <w:rFonts w:ascii="Times New Roman" w:hAnsi="Times New Roman" w:cs="Times New Roman"/>
          <w:color w:val="000000" w:themeColor="text1"/>
          <w:kern w:val="2"/>
          <w:sz w:val="16"/>
          <w:szCs w:val="16"/>
        </w:rPr>
        <w:t xml:space="preserve">. Комиссары большевиков явились в министерства. Служащие покинули здания министерств, не желая подчиняться новым ставленникам. Приказ комиссара министра труда Шляпникова служащим явиться на свои посты 28-го октября. Не явившиеся будут считаться покинувшими свои места. </w:t>
      </w:r>
    </w:p>
    <w:p w14:paraId="02DFE0FA"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xml:space="preserve">Царское занято. Войска военно-революционного комитета бежали. </w:t>
      </w:r>
    </w:p>
    <w:p w14:paraId="61C69B9A"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12 ч. дня</w:t>
      </w:r>
      <w:r w:rsidRPr="002F2FDF">
        <w:rPr>
          <w:rFonts w:ascii="Times New Roman" w:hAnsi="Times New Roman" w:cs="Times New Roman"/>
          <w:color w:val="000000" w:themeColor="text1"/>
          <w:kern w:val="2"/>
          <w:sz w:val="16"/>
          <w:szCs w:val="16"/>
        </w:rPr>
        <w:t xml:space="preserve">. Телеграмма с Дона: казачьи войска заняли Донецкий бассейн. Все правительственные учреждения в руках казаков. </w:t>
      </w:r>
    </w:p>
    <w:p w14:paraId="1B4C5969"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 ч. дня</w:t>
      </w:r>
      <w:r w:rsidRPr="002F2FDF">
        <w:rPr>
          <w:rFonts w:ascii="Times New Roman" w:hAnsi="Times New Roman" w:cs="Times New Roman"/>
          <w:color w:val="000000" w:themeColor="text1"/>
          <w:kern w:val="2"/>
          <w:sz w:val="16"/>
          <w:szCs w:val="16"/>
        </w:rPr>
        <w:t xml:space="preserve">. Экстренное заседание гор. Думы по вопросу о продовольствии. Хлебных запасов в столице хватило всего лишь на 10 дней. Постановление, за невозможностью печатать «Вестн. Гор. Самоуправления» (цензура комиссаров), печатать номера без цензуры на ротаторе. Избрание комиссии для редактирования воззвания к населению. </w:t>
      </w:r>
    </w:p>
    <w:p w14:paraId="5B0EE24A"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 ч. дня</w:t>
      </w:r>
      <w:r w:rsidRPr="002F2FDF">
        <w:rPr>
          <w:rFonts w:ascii="Times New Roman" w:hAnsi="Times New Roman" w:cs="Times New Roman"/>
          <w:color w:val="000000" w:themeColor="text1"/>
          <w:kern w:val="2"/>
          <w:sz w:val="16"/>
          <w:szCs w:val="16"/>
        </w:rPr>
        <w:t xml:space="preserve">. Военно-революционный комитет получил сведения, что на станциях Дно и Гатчина сосредоточены эшелоны казачьих войск и тяжелой артиллерии, идущие на Петроград для усмирения большевиков. </w:t>
      </w:r>
    </w:p>
    <w:p w14:paraId="650C2638"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Арест военно-морским революционным комитетом состава центрофлота. </w:t>
      </w:r>
    </w:p>
    <w:p w14:paraId="1E231D6B"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 ч. дня</w:t>
      </w:r>
      <w:r w:rsidRPr="002F2FDF">
        <w:rPr>
          <w:rFonts w:ascii="Times New Roman" w:hAnsi="Times New Roman" w:cs="Times New Roman"/>
          <w:color w:val="000000" w:themeColor="text1"/>
          <w:kern w:val="2"/>
          <w:sz w:val="16"/>
          <w:szCs w:val="16"/>
        </w:rPr>
        <w:t xml:space="preserve">. Заседание комитета спасения. Здание гор. Думы окружено матросами. Слухи о насильственном разгоне Думы. Обыски у выходящих с заседания. </w:t>
      </w:r>
    </w:p>
    <w:p w14:paraId="442C5B00"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4 ч. дня</w:t>
      </w:r>
      <w:r w:rsidRPr="002F2FDF">
        <w:rPr>
          <w:rFonts w:ascii="Times New Roman" w:hAnsi="Times New Roman" w:cs="Times New Roman"/>
          <w:color w:val="000000" w:themeColor="text1"/>
          <w:kern w:val="2"/>
          <w:sz w:val="16"/>
          <w:szCs w:val="16"/>
        </w:rPr>
        <w:t xml:space="preserve">. Освобождение из Петропавловской крепости (под домашний арест) мин. Маслова, Салазкина и адм. Вердеревского. </w:t>
      </w:r>
    </w:p>
    <w:p w14:paraId="74ABF3A0"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5 ч. дня</w:t>
      </w:r>
      <w:r w:rsidRPr="002F2FDF">
        <w:rPr>
          <w:rFonts w:ascii="Times New Roman" w:hAnsi="Times New Roman" w:cs="Times New Roman"/>
          <w:color w:val="000000" w:themeColor="text1"/>
          <w:kern w:val="2"/>
          <w:sz w:val="16"/>
          <w:szCs w:val="16"/>
        </w:rPr>
        <w:t xml:space="preserve">. Получены сведения, что в Гатчине казаки заняли вокзал и почту. Комитет общественной безопасности вступил в соглашение с профессиональными союзами дворников и домовыми комитетами для охраны города. </w:t>
      </w:r>
    </w:p>
    <w:p w14:paraId="03AE3F29"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6 ч. вечера</w:t>
      </w:r>
      <w:r w:rsidRPr="002F2FDF">
        <w:rPr>
          <w:rFonts w:ascii="Times New Roman" w:hAnsi="Times New Roman" w:cs="Times New Roman"/>
          <w:color w:val="000000" w:themeColor="text1"/>
          <w:kern w:val="2"/>
          <w:sz w:val="16"/>
          <w:szCs w:val="16"/>
        </w:rPr>
        <w:t xml:space="preserve">. Отказ наборщиков типографии «Правительственного Вестника» набирать очередной номер газеты – официоза большевистского правительства (номер набран и отпечатан в захваченной типографии «Русской Воли»). </w:t>
      </w:r>
    </w:p>
    <w:p w14:paraId="4EB9A916"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7 ч. веч.</w:t>
      </w:r>
      <w:r w:rsidRPr="002F2FDF">
        <w:rPr>
          <w:rFonts w:ascii="Times New Roman" w:hAnsi="Times New Roman" w:cs="Times New Roman"/>
          <w:color w:val="000000" w:themeColor="text1"/>
          <w:kern w:val="2"/>
          <w:sz w:val="16"/>
          <w:szCs w:val="16"/>
        </w:rPr>
        <w:t xml:space="preserve"> Телеграмма из Гатчины, что там находится Керенский с войсками и тяжелой артиллерией. </w:t>
      </w:r>
    </w:p>
    <w:p w14:paraId="43989CBD"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Первое заседание нового исп. комитета Совета Р. и С. Депутатов. Временным председателем избран Розенфельд-Каменев, секретарем Ованесов. </w:t>
      </w:r>
    </w:p>
    <w:p w14:paraId="50C1E024"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8 ч. веч.</w:t>
      </w:r>
      <w:r w:rsidRPr="002F2FDF">
        <w:rPr>
          <w:rFonts w:ascii="Times New Roman" w:hAnsi="Times New Roman" w:cs="Times New Roman"/>
          <w:color w:val="000000" w:themeColor="text1"/>
          <w:kern w:val="2"/>
          <w:sz w:val="16"/>
          <w:szCs w:val="16"/>
        </w:rPr>
        <w:t xml:space="preserve"> Заседание гор. Думы. Делегат союза союзов заявляет о постановлении 16-ти организаций прекратить занятия во всех правительственных учреждениях и отдать все свои силы комитету спасения. </w:t>
      </w:r>
    </w:p>
    <w:p w14:paraId="38C0AAFB"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Посылка от имени гор. Думы трех эмиссаров в Гатчину для посредничества между двумя борющимися странами, для предотвращения кровопролития. </w:t>
      </w:r>
    </w:p>
    <w:p w14:paraId="526C3A38"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9 ч. веч.</w:t>
      </w:r>
      <w:r w:rsidRPr="002F2FDF">
        <w:rPr>
          <w:rFonts w:ascii="Times New Roman" w:hAnsi="Times New Roman" w:cs="Times New Roman"/>
          <w:color w:val="000000" w:themeColor="text1"/>
          <w:kern w:val="2"/>
          <w:sz w:val="16"/>
          <w:szCs w:val="16"/>
        </w:rPr>
        <w:t xml:space="preserve"> Известия из Нарвы, что местный гарнизон присоединяется к военно-революционному комитету. </w:t>
      </w:r>
    </w:p>
    <w:p w14:paraId="1D026AC9"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10 ч. веч.</w:t>
      </w:r>
      <w:r w:rsidRPr="002F2FDF">
        <w:rPr>
          <w:rFonts w:ascii="Times New Roman" w:hAnsi="Times New Roman" w:cs="Times New Roman"/>
          <w:color w:val="000000" w:themeColor="text1"/>
          <w:kern w:val="2"/>
          <w:sz w:val="16"/>
          <w:szCs w:val="16"/>
        </w:rPr>
        <w:t xml:space="preserve"> Гор. Дума разослала за подписью начальника милиции телефонограмму комиссарам районов с предписанием всей милиции оставаться на постах и не подчиняться приказам из военно-революционного комитета, потребовавшего от комиссаров некоторых районов сдачи дел. </w:t>
      </w:r>
    </w:p>
    <w:p w14:paraId="00C75ED7"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11 ч. веч.</w:t>
      </w:r>
      <w:r w:rsidRPr="002F2FDF">
        <w:rPr>
          <w:rFonts w:ascii="Times New Roman" w:hAnsi="Times New Roman" w:cs="Times New Roman"/>
          <w:color w:val="000000" w:themeColor="text1"/>
          <w:kern w:val="2"/>
          <w:sz w:val="16"/>
          <w:szCs w:val="16"/>
        </w:rPr>
        <w:t xml:space="preserve"> Служащие телеграфного агентства, убедясь в фабрикации агентских телеграмм комиссаром – большевиком, в знак протеста оставили работу в агентстве. </w:t>
      </w:r>
    </w:p>
    <w:p w14:paraId="7B8E0BF5"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 ч. ночи</w:t>
      </w:r>
      <w:r w:rsidRPr="002F2FDF">
        <w:rPr>
          <w:rFonts w:ascii="Times New Roman" w:hAnsi="Times New Roman" w:cs="Times New Roman"/>
          <w:color w:val="000000" w:themeColor="text1"/>
          <w:kern w:val="2"/>
          <w:sz w:val="16"/>
          <w:szCs w:val="16"/>
        </w:rPr>
        <w:t xml:space="preserve">. Возобновление последнего заседания всерос. съезда советов. Законопроект о земельной реформе принимается большинством одного, при 8 воздержавшихся. </w:t>
      </w:r>
    </w:p>
    <w:p w14:paraId="136DBC81"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 ч. ночи</w:t>
      </w:r>
      <w:r w:rsidRPr="002F2FDF">
        <w:rPr>
          <w:rFonts w:ascii="Times New Roman" w:hAnsi="Times New Roman" w:cs="Times New Roman"/>
          <w:color w:val="000000" w:themeColor="text1"/>
          <w:kern w:val="2"/>
          <w:sz w:val="16"/>
          <w:szCs w:val="16"/>
        </w:rPr>
        <w:t xml:space="preserve">. На том же съезде принимается (после речи Троцкого против коалиции) однородный состав власти (из большевиков) под именем народных комиссаров. (См. ниже). </w:t>
      </w:r>
    </w:p>
    <w:p w14:paraId="73E561AC"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 ч. ночи</w:t>
      </w:r>
      <w:r w:rsidRPr="002F2FDF">
        <w:rPr>
          <w:rFonts w:ascii="Times New Roman" w:hAnsi="Times New Roman" w:cs="Times New Roman"/>
          <w:color w:val="000000" w:themeColor="text1"/>
          <w:kern w:val="2"/>
          <w:sz w:val="16"/>
          <w:szCs w:val="16"/>
        </w:rPr>
        <w:t xml:space="preserve">. Голосование за списки большевистских кандидатов в комиссары. Выборы в новый ц. исп. комитет Совета. Из ста человек комитета проходят – 70 человек большевиков, остальные левые с.-р., меньшевики-интернационалисты и т.д. Съезд, однако, постановляет, что состав Ц. И. К. может быть пополнен представителями демократических групп, воинских частей, а также представителями тех групп, которые ушли со съезда. </w:t>
      </w:r>
    </w:p>
    <w:p w14:paraId="41E10842"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5 ч. ночи</w:t>
      </w:r>
      <w:r w:rsidRPr="002F2FDF">
        <w:rPr>
          <w:rFonts w:ascii="Times New Roman" w:hAnsi="Times New Roman" w:cs="Times New Roman"/>
          <w:color w:val="000000" w:themeColor="text1"/>
          <w:kern w:val="2"/>
          <w:sz w:val="16"/>
          <w:szCs w:val="16"/>
        </w:rPr>
        <w:t xml:space="preserve">. Закрытие съезда советов. Список комиссаров утвержден большинством путем открытого голосования. Предложение произвести поименное голосование. За поздним временем предложение снимается. Председатель (Каменев) объявляет съезд закрытым, не произведя подсчета голосов. </w:t>
      </w:r>
    </w:p>
    <w:p w14:paraId="7106A0B8"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6 ч. утра</w:t>
      </w:r>
      <w:r w:rsidRPr="002F2FDF">
        <w:rPr>
          <w:rFonts w:ascii="Times New Roman" w:hAnsi="Times New Roman" w:cs="Times New Roman"/>
          <w:color w:val="000000" w:themeColor="text1"/>
          <w:kern w:val="2"/>
          <w:sz w:val="16"/>
          <w:szCs w:val="16"/>
        </w:rPr>
        <w:t xml:space="preserve">. Список народных комиссаров: </w:t>
      </w:r>
    </w:p>
    <w:p w14:paraId="26509D65"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Председатель Совета - </w:t>
      </w:r>
      <w:r w:rsidRPr="002F2FDF">
        <w:rPr>
          <w:rFonts w:ascii="Times New Roman" w:hAnsi="Times New Roman" w:cs="Times New Roman"/>
          <w:bCs/>
          <w:color w:val="000000" w:themeColor="text1"/>
          <w:kern w:val="2"/>
          <w:sz w:val="16"/>
          <w:szCs w:val="16"/>
        </w:rPr>
        <w:t xml:space="preserve">Владимир Ульянов (Ленин). </w:t>
      </w:r>
    </w:p>
    <w:p w14:paraId="7DB2EA8E"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Народный комиссар по внутренним делам - </w:t>
      </w:r>
      <w:r w:rsidRPr="002F2FDF">
        <w:rPr>
          <w:rFonts w:ascii="Times New Roman" w:hAnsi="Times New Roman" w:cs="Times New Roman"/>
          <w:bCs/>
          <w:color w:val="000000" w:themeColor="text1"/>
          <w:kern w:val="2"/>
          <w:sz w:val="16"/>
          <w:szCs w:val="16"/>
        </w:rPr>
        <w:t xml:space="preserve">А.И. Рыков. </w:t>
      </w:r>
    </w:p>
    <w:p w14:paraId="53DD32A2"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Земледелия - </w:t>
      </w:r>
      <w:r w:rsidRPr="002F2FDF">
        <w:rPr>
          <w:rFonts w:ascii="Times New Roman" w:hAnsi="Times New Roman" w:cs="Times New Roman"/>
          <w:bCs/>
          <w:color w:val="000000" w:themeColor="text1"/>
          <w:kern w:val="2"/>
          <w:sz w:val="16"/>
          <w:szCs w:val="16"/>
        </w:rPr>
        <w:t xml:space="preserve">В.П. Милютин. </w:t>
      </w:r>
    </w:p>
    <w:p w14:paraId="67EC642A"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Труда - </w:t>
      </w:r>
      <w:r w:rsidRPr="002F2FDF">
        <w:rPr>
          <w:rFonts w:ascii="Times New Roman" w:hAnsi="Times New Roman" w:cs="Times New Roman"/>
          <w:bCs/>
          <w:color w:val="000000" w:themeColor="text1"/>
          <w:kern w:val="2"/>
          <w:sz w:val="16"/>
          <w:szCs w:val="16"/>
        </w:rPr>
        <w:t xml:space="preserve">А.Г. Шляпников. </w:t>
      </w:r>
    </w:p>
    <w:p w14:paraId="72CB8E00"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 делам военным и морским – комитет в составе: </w:t>
      </w:r>
      <w:r w:rsidRPr="002F2FDF">
        <w:rPr>
          <w:rFonts w:ascii="Times New Roman" w:hAnsi="Times New Roman" w:cs="Times New Roman"/>
          <w:bCs/>
          <w:color w:val="000000" w:themeColor="text1"/>
          <w:kern w:val="2"/>
          <w:sz w:val="16"/>
          <w:szCs w:val="16"/>
        </w:rPr>
        <w:t xml:space="preserve">В.А. Овсеенко (Антонов), Н.В. Крыленко и Ф.М. Дыбенко. </w:t>
      </w:r>
    </w:p>
    <w:p w14:paraId="061381AD"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 делам торговли и промышленности - </w:t>
      </w:r>
      <w:r w:rsidRPr="002F2FDF">
        <w:rPr>
          <w:rFonts w:ascii="Times New Roman" w:hAnsi="Times New Roman" w:cs="Times New Roman"/>
          <w:bCs/>
          <w:color w:val="000000" w:themeColor="text1"/>
          <w:kern w:val="2"/>
          <w:sz w:val="16"/>
          <w:szCs w:val="16"/>
        </w:rPr>
        <w:t xml:space="preserve">В.П. Ногин. </w:t>
      </w:r>
    </w:p>
    <w:p w14:paraId="35627E13"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Народного просвещения - </w:t>
      </w:r>
      <w:r w:rsidRPr="002F2FDF">
        <w:rPr>
          <w:rFonts w:ascii="Times New Roman" w:hAnsi="Times New Roman" w:cs="Times New Roman"/>
          <w:bCs/>
          <w:color w:val="000000" w:themeColor="text1"/>
          <w:kern w:val="2"/>
          <w:sz w:val="16"/>
          <w:szCs w:val="16"/>
        </w:rPr>
        <w:t xml:space="preserve">А.В. Луначарский. </w:t>
      </w:r>
    </w:p>
    <w:p w14:paraId="1E8B6989"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Финансов - </w:t>
      </w:r>
      <w:r w:rsidRPr="002F2FDF">
        <w:rPr>
          <w:rFonts w:ascii="Times New Roman" w:hAnsi="Times New Roman" w:cs="Times New Roman"/>
          <w:bCs/>
          <w:color w:val="000000" w:themeColor="text1"/>
          <w:kern w:val="2"/>
          <w:sz w:val="16"/>
          <w:szCs w:val="16"/>
        </w:rPr>
        <w:t xml:space="preserve">Н.И. Скворцов (Степанов). </w:t>
      </w:r>
    </w:p>
    <w:p w14:paraId="655C5CF2"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 делам иностранным - </w:t>
      </w:r>
      <w:r w:rsidRPr="002F2FDF">
        <w:rPr>
          <w:rFonts w:ascii="Times New Roman" w:hAnsi="Times New Roman" w:cs="Times New Roman"/>
          <w:bCs/>
          <w:color w:val="000000" w:themeColor="text1"/>
          <w:kern w:val="2"/>
          <w:sz w:val="16"/>
          <w:szCs w:val="16"/>
        </w:rPr>
        <w:t xml:space="preserve">Л.Д. Бронштейн (Троцкий). </w:t>
      </w:r>
    </w:p>
    <w:p w14:paraId="2366A840"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Юстиции - </w:t>
      </w:r>
      <w:r w:rsidRPr="002F2FDF">
        <w:rPr>
          <w:rFonts w:ascii="Times New Roman" w:hAnsi="Times New Roman" w:cs="Times New Roman"/>
          <w:bCs/>
          <w:color w:val="000000" w:themeColor="text1"/>
          <w:kern w:val="2"/>
          <w:sz w:val="16"/>
          <w:szCs w:val="16"/>
        </w:rPr>
        <w:t xml:space="preserve">Г.И. Оппоков (Ломов). </w:t>
      </w:r>
    </w:p>
    <w:p w14:paraId="34516E27"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 делам продовольствия - </w:t>
      </w:r>
      <w:r w:rsidRPr="002F2FDF">
        <w:rPr>
          <w:rFonts w:ascii="Times New Roman" w:hAnsi="Times New Roman" w:cs="Times New Roman"/>
          <w:bCs/>
          <w:color w:val="000000" w:themeColor="text1"/>
          <w:kern w:val="2"/>
          <w:sz w:val="16"/>
          <w:szCs w:val="16"/>
        </w:rPr>
        <w:t xml:space="preserve">И.А. Теодорович. </w:t>
      </w:r>
    </w:p>
    <w:p w14:paraId="32FB8BE9"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Почт и телеграфов - </w:t>
      </w:r>
      <w:r w:rsidRPr="002F2FDF">
        <w:rPr>
          <w:rFonts w:ascii="Times New Roman" w:hAnsi="Times New Roman" w:cs="Times New Roman"/>
          <w:bCs/>
          <w:color w:val="000000" w:themeColor="text1"/>
          <w:kern w:val="2"/>
          <w:sz w:val="16"/>
          <w:szCs w:val="16"/>
        </w:rPr>
        <w:t xml:space="preserve">Н.П. Авилов (Глебов). </w:t>
      </w:r>
    </w:p>
    <w:p w14:paraId="773336E4"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Председатель по делам национальностей - </w:t>
      </w:r>
      <w:r w:rsidRPr="002F2FDF">
        <w:rPr>
          <w:rFonts w:ascii="Times New Roman" w:hAnsi="Times New Roman" w:cs="Times New Roman"/>
          <w:bCs/>
          <w:color w:val="000000" w:themeColor="text1"/>
          <w:kern w:val="2"/>
          <w:sz w:val="16"/>
          <w:szCs w:val="16"/>
        </w:rPr>
        <w:t xml:space="preserve">И.В. Джугашвили (Сталин). </w:t>
      </w:r>
    </w:p>
    <w:p w14:paraId="02CDD373"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7 ч. утра</w:t>
      </w:r>
      <w:r w:rsidRPr="002F2FDF">
        <w:rPr>
          <w:rFonts w:ascii="Times New Roman" w:hAnsi="Times New Roman" w:cs="Times New Roman"/>
          <w:color w:val="000000" w:themeColor="text1"/>
          <w:kern w:val="2"/>
          <w:sz w:val="16"/>
          <w:szCs w:val="16"/>
        </w:rPr>
        <w:t xml:space="preserve">. Пост народного комиссара по делам железнодорожным временно остается незамещенным, в виду заявления железнодорожного союза, что до утверждения власти от всех соц. партий он не может поддерживать большевистское, узко партийное правительство. </w:t>
      </w:r>
    </w:p>
    <w:p w14:paraId="2D3597C1"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8 ч. утра</w:t>
      </w:r>
      <w:r w:rsidRPr="002F2FDF">
        <w:rPr>
          <w:rFonts w:ascii="Times New Roman" w:hAnsi="Times New Roman" w:cs="Times New Roman"/>
          <w:color w:val="000000" w:themeColor="text1"/>
          <w:kern w:val="2"/>
          <w:sz w:val="16"/>
          <w:szCs w:val="16"/>
        </w:rPr>
        <w:t xml:space="preserve">. Цензура военно-революционного комитета сообщений центрофлота. Декрет о его роспуске. </w:t>
      </w:r>
    </w:p>
    <w:p w14:paraId="7C0B8AB3"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9 ч. утра</w:t>
      </w:r>
      <w:r w:rsidRPr="002F2FDF">
        <w:rPr>
          <w:rFonts w:ascii="Times New Roman" w:hAnsi="Times New Roman" w:cs="Times New Roman"/>
          <w:color w:val="000000" w:themeColor="text1"/>
          <w:kern w:val="2"/>
          <w:sz w:val="16"/>
          <w:szCs w:val="16"/>
        </w:rPr>
        <w:t xml:space="preserve">. Ходившие по городу слухи подтверждаются телеграммой с Дона войск атамана ген. Каледина об образовании временно, до восстановления власти и порядка в России, в Донской области войскового правительства, обещающего поддержку существующему Врем. Правительству в союзе с правительством других казачьих войск. </w:t>
      </w:r>
    </w:p>
    <w:p w14:paraId="61D4DFB9"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Комитет спасения действует в составе делегатов (по три человека) кр. совета кр. депутатов, Ц. И. К. Р. и С. Депутатов (выбранного до захвата власти большевиками), от фракции эсеров, меньшевиков, нар. социалистов «Единства», центр. комитета эсеров и 9 представителей от гор. самоуправления (кадетов, эсеров, с.-д., нар. социалистов). </w:t>
      </w:r>
    </w:p>
    <w:p w14:paraId="3E97AF39"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комитету и резолюции гор. Думы, не признающей новой власти, присоединились служащие многочисленных учреждений столицы, союз увечных воинов и др. Матросы с крейсера «Аврора» вступили в переговоры с гор. Думой (17030).</w:t>
      </w:r>
    </w:p>
    <w:p w14:paraId="5C29F094"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FF33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октября (9 ноября) 1917 закончился 2 съезд Советов принятием декретов о мире, о земле, об образовании СНК во главе с В.И.Л. (1348,87).</w:t>
      </w:r>
    </w:p>
    <w:p w14:paraId="0C69CD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0F4E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октября (9 ноября) 1917 На заседании Военно-революционного комитета Петроградского Совета с участием ответственных работников Военной организации при ЦК РСДРП(б) сконструирован Народный комиссариат по военным и морским делам. В него кроме назначенных II Всероссийским съездом Советов в Комитет по военным и морским делам В.А. Антонова-Овсеенко, П.Е. Дыбенко и Н.В. Крыленко вошли Н.И. Подвойский, В.Н. Васильевский, К.С. Еремеев, П.Е. Лазимир, К.А. Мехоношин, Э.М. Склянский (4216).</w:t>
      </w:r>
    </w:p>
    <w:p w14:paraId="30427E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02A352" w14:textId="77777777" w:rsidR="00A6454A" w:rsidRPr="002F2FDF" w:rsidRDefault="00A6454A"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27 октября (9 ноября) </w:t>
      </w:r>
      <w:r w:rsidRPr="002F2FDF">
        <w:rPr>
          <w:rFonts w:ascii="Times New Roman" w:hAnsi="Times New Roman" w:cs="Times New Roman"/>
          <w:color w:val="000000" w:themeColor="text1"/>
          <w:kern w:val="2"/>
          <w:sz w:val="16"/>
          <w:szCs w:val="16"/>
        </w:rPr>
        <w:t>в 1917 году завершается II Съезд Советов (14825).</w:t>
      </w:r>
    </w:p>
    <w:p w14:paraId="3A40268E" w14:textId="77777777" w:rsidR="00A6454A" w:rsidRPr="002F2FDF" w:rsidRDefault="00A6454A" w:rsidP="0083075A">
      <w:pPr>
        <w:spacing w:after="0" w:line="240" w:lineRule="auto"/>
        <w:jc w:val="both"/>
        <w:rPr>
          <w:rFonts w:ascii="Times New Roman" w:hAnsi="Times New Roman" w:cs="Times New Roman"/>
          <w:color w:val="000000" w:themeColor="text1"/>
          <w:kern w:val="2"/>
          <w:sz w:val="16"/>
          <w:szCs w:val="16"/>
        </w:rPr>
      </w:pPr>
    </w:p>
    <w:p w14:paraId="4A13DE0B" w14:textId="6247A50F" w:rsidR="00ED2748" w:rsidRPr="002F2FDF" w:rsidRDefault="00ED2748"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27 октября (9 ноября) 1917</w:t>
      </w:r>
      <w:r w:rsidRPr="002F2FDF">
        <w:rPr>
          <w:color w:val="000000" w:themeColor="text1"/>
          <w:sz w:val="16"/>
          <w:szCs w:val="16"/>
        </w:rPr>
        <w:t xml:space="preserve"> ЦК РСДРП(б) на своем заседании подтвердил необходимость созыва Учредительного Собрания. В.И.</w:t>
      </w:r>
      <w:r w:rsidR="00E52569">
        <w:rPr>
          <w:color w:val="000000" w:themeColor="text1"/>
          <w:sz w:val="16"/>
          <w:szCs w:val="16"/>
        </w:rPr>
        <w:t xml:space="preserve"> </w:t>
      </w:r>
      <w:r w:rsidRPr="002F2FDF">
        <w:rPr>
          <w:color w:val="000000" w:themeColor="text1"/>
          <w:sz w:val="16"/>
          <w:szCs w:val="16"/>
        </w:rPr>
        <w:t>Ленин подписал Постановление Правительства: «</w:t>
      </w:r>
      <w:r w:rsidRPr="002F2FDF">
        <w:rPr>
          <w:rStyle w:val="af0"/>
          <w:i w:val="0"/>
          <w:color w:val="000000" w:themeColor="text1"/>
          <w:sz w:val="16"/>
          <w:szCs w:val="16"/>
        </w:rPr>
        <w:t>Выборы в Учредительное собрание должны быть произведены в назначенный срок 12 ноября</w:t>
      </w:r>
      <w:r w:rsidRPr="002F2FDF">
        <w:rPr>
          <w:color w:val="000000" w:themeColor="text1"/>
          <w:sz w:val="16"/>
          <w:szCs w:val="16"/>
        </w:rPr>
        <w:t>» (18371).</w:t>
      </w:r>
    </w:p>
    <w:p w14:paraId="773A2F46" w14:textId="77777777" w:rsidR="00ED2748" w:rsidRPr="002F2FDF" w:rsidRDefault="00ED2748" w:rsidP="0083075A">
      <w:pPr>
        <w:pStyle w:val="ae"/>
        <w:spacing w:before="0" w:after="0"/>
        <w:jc w:val="both"/>
        <w:rPr>
          <w:color w:val="000000" w:themeColor="text1"/>
          <w:sz w:val="16"/>
          <w:szCs w:val="16"/>
        </w:rPr>
      </w:pPr>
    </w:p>
    <w:p w14:paraId="6710DD04" w14:textId="7EB34204" w:rsidR="00175851" w:rsidRPr="00FB4F67" w:rsidRDefault="0017585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37 октября (</w:t>
      </w:r>
      <w:r w:rsidRPr="00FB4F67">
        <w:rPr>
          <w:rFonts w:ascii="Times New Roman" w:hAnsi="Times New Roman" w:cs="Times New Roman"/>
          <w:color w:val="0070C0"/>
          <w:sz w:val="16"/>
          <w:szCs w:val="16"/>
        </w:rPr>
        <w:t>9 ноября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Петрограде большевики приняли Декрет о печати, объявлявший войну всей оппозиционной печати. За ноябрь-декабрь красные закрыли 122 газеты; в январе-марте 1918 г. еще 216; а в апреле-июле закрыли еще 234 (23525).</w:t>
      </w:r>
    </w:p>
    <w:p w14:paraId="0CFBE1C2" w14:textId="77777777" w:rsidR="00175851" w:rsidRPr="00FB4F67" w:rsidRDefault="00175851" w:rsidP="0083075A">
      <w:pPr>
        <w:spacing w:after="0" w:line="240" w:lineRule="auto"/>
        <w:jc w:val="both"/>
        <w:rPr>
          <w:rFonts w:ascii="Times New Roman" w:hAnsi="Times New Roman" w:cs="Times New Roman"/>
          <w:color w:val="0070C0"/>
          <w:sz w:val="16"/>
          <w:szCs w:val="16"/>
        </w:rPr>
      </w:pPr>
    </w:p>
    <w:p w14:paraId="0E34841F" w14:textId="77777777" w:rsidR="00ED2748" w:rsidRPr="002F2FDF" w:rsidRDefault="00ED274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27 октября (9 ноября) 1917. Москва объявлена на военном положении. Утром на Красной площади перестреливались с выпущенными из тюрем дезертирами юнкера. По городу мечутся грузовики, нагруженные солдатами с винтовками на изготовку. Большевики укрепились в Кремле. В электротеатре "Художественный" началась запись студентов в Белую гвардию. Милиция заявила о своем подчинении ВРК. Домовые комитеты начали вооружать квартиронанимателей. Когда замолкли вечерние колокола и московские обыватели возвращались из храмов домой, город оглушили ружейные залпы -шла борьба за Кремль.</w:t>
      </w:r>
    </w:p>
    <w:p w14:paraId="0FBD5E20" w14:textId="77777777" w:rsidR="00ED2748" w:rsidRPr="002F2FDF" w:rsidRDefault="00ED2748" w:rsidP="0083075A">
      <w:pPr>
        <w:spacing w:after="0" w:line="240" w:lineRule="auto"/>
        <w:jc w:val="both"/>
        <w:rPr>
          <w:rFonts w:ascii="Times New Roman" w:hAnsi="Times New Roman" w:cs="Times New Roman"/>
          <w:color w:val="000000" w:themeColor="text1"/>
          <w:sz w:val="16"/>
          <w:szCs w:val="16"/>
        </w:rPr>
      </w:pPr>
    </w:p>
    <w:p w14:paraId="6ED0A253" w14:textId="77777777" w:rsidR="00A6454A" w:rsidRPr="002F2FDF" w:rsidRDefault="00A6454A"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27 октября (9 ноября) </w:t>
      </w:r>
      <w:r w:rsidRPr="002F2FDF">
        <w:rPr>
          <w:rFonts w:ascii="Times New Roman" w:hAnsi="Times New Roman" w:cs="Times New Roman"/>
          <w:color w:val="000000" w:themeColor="text1"/>
          <w:kern w:val="2"/>
          <w:sz w:val="16"/>
          <w:szCs w:val="16"/>
        </w:rPr>
        <w:t>в 1917 году советское правительство выступило с обращением "Ко всем народам", в котором призвало к скорейшему заключению всеобщего мира без аннексий и контрибуций. В тот же день глава Временного правительства Керенский и командир 3-го казачьего корпуса генерал Краснов попытались захватить Петроград. Однако три дня спустя казаки перешли на сторону большевиков, а Керенский бежал (14825).</w:t>
      </w:r>
    </w:p>
    <w:p w14:paraId="54F04CE7" w14:textId="77777777" w:rsidR="00A6454A" w:rsidRPr="002F2FDF" w:rsidRDefault="00A6454A" w:rsidP="0083075A">
      <w:pPr>
        <w:spacing w:after="0" w:line="240" w:lineRule="auto"/>
        <w:jc w:val="both"/>
        <w:rPr>
          <w:rFonts w:ascii="Times New Roman" w:hAnsi="Times New Roman" w:cs="Times New Roman"/>
          <w:color w:val="000000" w:themeColor="text1"/>
          <w:kern w:val="2"/>
          <w:sz w:val="16"/>
          <w:szCs w:val="16"/>
        </w:rPr>
      </w:pPr>
    </w:p>
    <w:p w14:paraId="21C31269" w14:textId="77777777" w:rsidR="00A6454A" w:rsidRPr="002F2FDF" w:rsidRDefault="00A6454A" w:rsidP="0083075A">
      <w:pPr>
        <w:pStyle w:val="ae"/>
        <w:spacing w:before="0" w:after="0"/>
        <w:jc w:val="both"/>
        <w:rPr>
          <w:color w:val="000000" w:themeColor="text1"/>
          <w:kern w:val="2"/>
          <w:sz w:val="16"/>
          <w:szCs w:val="16"/>
        </w:rPr>
      </w:pPr>
      <w:r w:rsidRPr="002F2FDF">
        <w:rPr>
          <w:color w:val="000000" w:themeColor="text1"/>
          <w:kern w:val="2"/>
          <w:sz w:val="16"/>
          <w:szCs w:val="16"/>
        </w:rPr>
        <w:t>В ночь на 9 ноября 1917 года В.И. Ленин с членами правительства приехал на захваченную большевиками радиостанцию «Новая Голландия» для передачи написанного им воззвания «Радио всем» с призывом к армейским и другим комитетам, солдатам и матросам взять в свои руки дело заключения мира с Германией. Были захвачены и другие мощные искровые радиостанции, в том числе Царскосельская и Ходынская в Москве (15736).</w:t>
      </w:r>
    </w:p>
    <w:p w14:paraId="53A60D7A" w14:textId="77777777" w:rsidR="00A6454A" w:rsidRPr="002F2FDF" w:rsidRDefault="00A6454A" w:rsidP="0083075A">
      <w:pPr>
        <w:pStyle w:val="ae"/>
        <w:spacing w:before="0" w:after="0"/>
        <w:jc w:val="both"/>
        <w:rPr>
          <w:color w:val="000000" w:themeColor="text1"/>
          <w:kern w:val="2"/>
          <w:sz w:val="16"/>
          <w:szCs w:val="16"/>
        </w:rPr>
      </w:pPr>
    </w:p>
    <w:p w14:paraId="245FD82A" w14:textId="77777777" w:rsidR="00A6454A" w:rsidRPr="002F2FDF" w:rsidRDefault="00A6454A"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lastRenderedPageBreak/>
        <w:t xml:space="preserve">27 октября (9 ноября) </w:t>
      </w:r>
      <w:r w:rsidRPr="002F2FDF">
        <w:rPr>
          <w:rFonts w:ascii="Times New Roman" w:hAnsi="Times New Roman" w:cs="Times New Roman"/>
          <w:color w:val="000000" w:themeColor="text1"/>
          <w:kern w:val="2"/>
          <w:sz w:val="16"/>
          <w:szCs w:val="16"/>
        </w:rPr>
        <w:t>в 1917 году на основе министерства создан Наркомат торговли и промышленности (14825).</w:t>
      </w:r>
    </w:p>
    <w:p w14:paraId="0BF48ABE" w14:textId="77777777" w:rsidR="00A6454A" w:rsidRPr="002F2FDF" w:rsidRDefault="00A6454A" w:rsidP="0083075A">
      <w:pPr>
        <w:spacing w:after="0" w:line="240" w:lineRule="auto"/>
        <w:jc w:val="both"/>
        <w:rPr>
          <w:rFonts w:ascii="Times New Roman" w:hAnsi="Times New Roman" w:cs="Times New Roman"/>
          <w:color w:val="000000" w:themeColor="text1"/>
          <w:kern w:val="2"/>
          <w:sz w:val="16"/>
          <w:szCs w:val="16"/>
        </w:rPr>
      </w:pPr>
    </w:p>
    <w:p w14:paraId="3F7B5970" w14:textId="77777777" w:rsidR="00A21D78" w:rsidRPr="002F2FDF" w:rsidRDefault="00A21D7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октября (9 ноября) 1917 партия кадетов объявлена вне закона, запрещены все контрреволюционные издания. Керенский подружился на фронте с генералом Красновым. Решили сообща идти на Питер - бить большевиков. Командующий Северным фронтом Клембовский не поддержал их начинания, но и перечить не стал. У Краснова 600 сабель, 12 орудий и 1 броневик (12629).</w:t>
      </w:r>
    </w:p>
    <w:p w14:paraId="7A230349" w14:textId="77777777" w:rsidR="00A21D78" w:rsidRPr="002F2FDF" w:rsidRDefault="00A21D7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4213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27 по 30 октября (9-12 ноября) 1917 было неудачное наступление Краснова на Петроград (1348,87), организованное А.Керенским (3481) и Б.В.Савинковым (3908,268).</w:t>
      </w:r>
    </w:p>
    <w:p w14:paraId="7DEF81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5298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октября (9 ноября) 1917 началось стягивание войск к Петрограду и прежде всего казачьей дивизии первого донского корпуса под командованием Краснова и Керенского (2239).</w:t>
      </w:r>
    </w:p>
    <w:p w14:paraId="43C233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4D593E" w14:textId="5755CAD0" w:rsidR="001B7625" w:rsidRPr="002F2FDF" w:rsidRDefault="001B7625" w:rsidP="0083075A">
      <w:pPr>
        <w:pStyle w:val="ae"/>
        <w:spacing w:before="0" w:after="0"/>
        <w:jc w:val="both"/>
        <w:rPr>
          <w:color w:val="000000" w:themeColor="text1"/>
          <w:kern w:val="2"/>
          <w:sz w:val="16"/>
          <w:szCs w:val="16"/>
        </w:rPr>
      </w:pPr>
      <w:r w:rsidRPr="002F2FDF">
        <w:rPr>
          <w:rStyle w:val="ucoz-forum-post"/>
          <w:bCs/>
          <w:color w:val="000000" w:themeColor="text1"/>
          <w:kern w:val="2"/>
          <w:sz w:val="16"/>
          <w:szCs w:val="16"/>
        </w:rPr>
        <w:t xml:space="preserve">27 октября (9 ноября) </w:t>
      </w:r>
      <w:r w:rsidRPr="002F2FDF">
        <w:rPr>
          <w:color w:val="000000" w:themeColor="text1"/>
          <w:kern w:val="2"/>
          <w:sz w:val="16"/>
          <w:szCs w:val="16"/>
        </w:rPr>
        <w:t>в 1917 году казаки, отправившиеся вечером 8 ноября из Пскова, высадились в Гатчине (40 км к югу от Петрограда), соединившись там с еще двумя сотнями верных Временному правительству солдат, прибывших из Новгорода. В Гатчине находилось до 1,5 тысячи «красных» солдат, но при виде высаживающихся из вагонов казаков у них сложились преувеличенные представления об их численности, и они в страхе начали сдавать оружие. Казаки не знали, как им охранять такое количество пленных, чем их кормить и попросту распустили по домам. Но силы Краснова по-прежнему исчислялись несколькими сотнями бойцов. Позднее он вспоминал: «Идти с этими силами на Царское Село, где гарнизон насчитывал 16 000, и далее на Петроград, где было около 200</w:t>
      </w:r>
      <w:r w:rsidR="00E52569">
        <w:rPr>
          <w:color w:val="000000" w:themeColor="text1"/>
          <w:kern w:val="2"/>
          <w:sz w:val="16"/>
          <w:szCs w:val="16"/>
        </w:rPr>
        <w:t xml:space="preserve"> </w:t>
      </w:r>
      <w:r w:rsidRPr="002F2FDF">
        <w:rPr>
          <w:color w:val="000000" w:themeColor="text1"/>
          <w:kern w:val="2"/>
          <w:sz w:val="16"/>
          <w:szCs w:val="16"/>
        </w:rPr>
        <w:t>000, — никакая тактика не позволяла; это было бы не безумство храбрых, а просто глупость» (17045).</w:t>
      </w:r>
    </w:p>
    <w:p w14:paraId="0E6567D5" w14:textId="77777777" w:rsidR="001B7625" w:rsidRPr="002F2FDF" w:rsidRDefault="001B762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4D14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октября (9 ноября) 1917 начались бои в Москве. Рабочие нашли на Казанском вокзале вагоны с оружием (1322,24).</w:t>
      </w:r>
    </w:p>
    <w:p w14:paraId="1F20B5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DEF2F8" w14:textId="77777777" w:rsidR="00F15D5E" w:rsidRPr="002F2FDF" w:rsidRDefault="00F15D5E" w:rsidP="0083075A">
      <w:pPr>
        <w:pStyle w:val="ae"/>
        <w:spacing w:before="0" w:after="0"/>
        <w:jc w:val="both"/>
        <w:rPr>
          <w:color w:val="000000" w:themeColor="text1"/>
          <w:kern w:val="2"/>
          <w:sz w:val="16"/>
          <w:szCs w:val="16"/>
        </w:rPr>
      </w:pPr>
      <w:r w:rsidRPr="002F2FDF">
        <w:rPr>
          <w:rStyle w:val="ucoz-forum-post"/>
          <w:bCs/>
          <w:color w:val="000000" w:themeColor="text1"/>
          <w:kern w:val="2"/>
          <w:sz w:val="16"/>
          <w:szCs w:val="16"/>
        </w:rPr>
        <w:t xml:space="preserve">27 октября (9 ноября) </w:t>
      </w:r>
      <w:r w:rsidRPr="002F2FDF">
        <w:rPr>
          <w:color w:val="000000" w:themeColor="text1"/>
          <w:kern w:val="2"/>
          <w:sz w:val="16"/>
          <w:szCs w:val="16"/>
        </w:rPr>
        <w:t>в 1917 году в здании Александровского военного училища (в районе нынешней Арбатской площади) собралось около 300 офицеров и юнкеров, которые составили ядро сопротивления большевикам. Примкнувший к ним отряд студентов-добровольцев назвал себя «Белой гвардией» (в противовес «Красной гвардии»), что считается датой рождения этого термина. В 18:00, узнав о продвижении войск Красного и Керенского на Петроград, Константин Рябцев объявил в Москве военное положение и выдвинул МВРК ультиматум — сдать Кремль, разоружить мятежные части и самораспуститься. В тот же день юнкера успешно атаковали отряд «красных» солдат — 45 человек из 150 были убиты или ранены. Вечером осмелевшие «белые» заняли всю западную часть Москвы вплоть до Дорогомилово, отбили почтамт, телеграф и телефонную станцию (17045).</w:t>
      </w:r>
    </w:p>
    <w:p w14:paraId="381BF248" w14:textId="77777777" w:rsidR="00F15D5E" w:rsidRPr="002F2FDF" w:rsidRDefault="00F15D5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2A73FF" w14:textId="77777777" w:rsidR="008849C8" w:rsidRPr="002F2FDF" w:rsidRDefault="008849C8" w:rsidP="0083075A">
      <w:pPr>
        <w:pStyle w:val="a3"/>
        <w:rPr>
          <w:color w:val="000000" w:themeColor="text1"/>
          <w:lang w:val="ru-RU"/>
        </w:rPr>
      </w:pPr>
      <w:r w:rsidRPr="002F2FDF">
        <w:rPr>
          <w:rFonts w:eastAsia="Times New Roman"/>
          <w:color w:val="000000" w:themeColor="text1"/>
          <w:lang w:val="ru-RU" w:eastAsia="ru-RU"/>
        </w:rPr>
        <w:t xml:space="preserve">27-28 октября (9-10 ноября) </w:t>
      </w:r>
      <w:r w:rsidR="00103C92" w:rsidRPr="002F2FDF">
        <w:rPr>
          <w:rFonts w:eastAsia="Times New Roman"/>
          <w:color w:val="000000" w:themeColor="text1"/>
          <w:lang w:val="ru-RU" w:eastAsia="ru-RU"/>
        </w:rPr>
        <w:t xml:space="preserve">1917 </w:t>
      </w:r>
      <w:r w:rsidRPr="002F2FDF">
        <w:rPr>
          <w:rFonts w:eastAsia="Times New Roman"/>
          <w:color w:val="000000" w:themeColor="text1"/>
          <w:lang w:val="ru-RU" w:eastAsia="ru-RU"/>
        </w:rPr>
        <w:t>банки работали с 12 до 13 часов, выдачи в некоторых из них превысили поступления, но паники у публики не было. 30 октября (12 ноября) 1917 коммерческие банки закрылись вследствие напряженного положения на улицах и нарушения телефонной связи, кроме того, чеки на Госбанк оказались во многих случаях не оплачены. Банкиры решили сократить выдачу на клиента до 3000 рублей наличными, остальное опять выдавать чеками на Государственный банк.72 (18085)</w:t>
      </w:r>
    </w:p>
    <w:p w14:paraId="2EB0CE30" w14:textId="77777777" w:rsidR="008849C8" w:rsidRPr="002F2FDF" w:rsidRDefault="008849C8" w:rsidP="0083075A">
      <w:pPr>
        <w:pStyle w:val="a3"/>
        <w:rPr>
          <w:color w:val="000000" w:themeColor="text1"/>
          <w:lang w:val="ru-RU"/>
        </w:rPr>
      </w:pPr>
    </w:p>
    <w:p w14:paraId="123B51F7" w14:textId="77777777" w:rsidR="00AA209E" w:rsidRPr="002F2FDF" w:rsidRDefault="00AA209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8C428A1" w14:textId="77777777" w:rsidR="00AA209E" w:rsidRPr="002F2FDF" w:rsidRDefault="00AA209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4E5911" w14:textId="22809EA4" w:rsidR="00AA209E" w:rsidRPr="002F2FDF" w:rsidRDefault="00AA209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27 октября (9 ноября)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Первый полёт экспериментального истребителя Siemens-Schuckert DDr.I.</w:t>
      </w:r>
    </w:p>
    <w:p w14:paraId="70BBE01A" w14:textId="77777777" w:rsidR="00AA209E" w:rsidRPr="002F2FDF" w:rsidRDefault="00AA209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начале 1917 года на Западном фронте появились британские истребители-трипланы Sopwith Triplane. Германия ответила на это своим Fokker Dr.I, на котором летал известный лётчик-ас Манфред фон Рихтгофен по прозвищу «Красный барон». Но работу над подобными проектами вели и другие компании. В середине 1917 года разработку своего истребителя DDr.I начала Siemens-Schuckert.</w:t>
      </w:r>
    </w:p>
    <w:p w14:paraId="72913A41" w14:textId="77777777" w:rsidR="00AA209E" w:rsidRPr="002F2FDF" w:rsidRDefault="00AA209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Это был одноместный триплан с толкающим и тянущим винтами, выполненный из дерева. Оснащался 2 × двигателями Siemens-Halske Sh.1 мощностью 110 л.с. каждый. Вооружение состояло из 2 × 7.9-мм пулемётов LMG 08/15.</w:t>
      </w:r>
    </w:p>
    <w:p w14:paraId="4874D6B5" w14:textId="77777777" w:rsidR="00AA209E" w:rsidRPr="002F2FDF" w:rsidRDefault="00AA209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Siemens-Schuckert DDr.I был одним из первых самолётов схемы «тяни-толкай». К сожалению, первый его полёт оказался и последним. Истребитель разбился и не подлежал восстановлению. Проекты DDr.I и аналогичный DDr.II с более мощными двигателями были закрыты (22310).</w:t>
      </w:r>
    </w:p>
    <w:p w14:paraId="455DCAC6" w14:textId="77777777" w:rsidR="00AA209E" w:rsidRPr="002F2FDF" w:rsidRDefault="00AA209E" w:rsidP="0083075A">
      <w:pPr>
        <w:spacing w:after="0" w:line="240" w:lineRule="auto"/>
        <w:jc w:val="both"/>
        <w:rPr>
          <w:rStyle w:val="aff8"/>
          <w:rFonts w:ascii="Times New Roman" w:eastAsia="Segoe UI" w:hAnsi="Times New Roman" w:cs="Times New Roman"/>
          <w:b w:val="0"/>
          <w:bCs w:val="0"/>
          <w:color w:val="000000" w:themeColor="text1"/>
          <w:sz w:val="16"/>
          <w:szCs w:val="16"/>
        </w:rPr>
      </w:pPr>
    </w:p>
    <w:p w14:paraId="3A38F2C9" w14:textId="77777777" w:rsidR="00AA209E" w:rsidRPr="002F2FDF" w:rsidRDefault="00AA209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27 октября (9 ноября) 1917 первый полет Siemens-Schuckert DDr.I (20341).</w:t>
      </w:r>
    </w:p>
    <w:p w14:paraId="35C6CF3A" w14:textId="77777777" w:rsidR="00AA209E" w:rsidRPr="002F2FDF" w:rsidRDefault="00AA209E" w:rsidP="0083075A">
      <w:pPr>
        <w:spacing w:after="0" w:line="240" w:lineRule="auto"/>
        <w:jc w:val="both"/>
        <w:rPr>
          <w:rFonts w:ascii="Times New Roman" w:hAnsi="Times New Roman" w:cs="Times New Roman"/>
          <w:color w:val="000000" w:themeColor="text1"/>
          <w:sz w:val="16"/>
          <w:szCs w:val="16"/>
        </w:rPr>
      </w:pPr>
    </w:p>
    <w:p w14:paraId="4FE2C50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9AD83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8FE7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октября (10 ноября) 1917 двойную побе</w:t>
      </w:r>
      <w:r w:rsidRPr="002F2FDF">
        <w:rPr>
          <w:rFonts w:ascii="Times New Roman" w:hAnsi="Times New Roman" w:cs="Times New Roman"/>
          <w:color w:val="000000" w:themeColor="text1"/>
          <w:kern w:val="2"/>
          <w:sz w:val="16"/>
          <w:szCs w:val="16"/>
        </w:rPr>
        <w:softHyphen/>
        <w:t>ду одержали л као 1БАГ прапорщики Смирнов и Липский. Южнее Гусятина были замечены три “Бранденбурга”. Смирнов и Липский взлетели на перехват. Вскоре у Липского забарахлил двигатель и Смир</w:t>
      </w:r>
      <w:r w:rsidRPr="002F2FDF">
        <w:rPr>
          <w:rFonts w:ascii="Times New Roman" w:hAnsi="Times New Roman" w:cs="Times New Roman"/>
          <w:color w:val="000000" w:themeColor="text1"/>
          <w:kern w:val="2"/>
          <w:sz w:val="16"/>
          <w:szCs w:val="16"/>
        </w:rPr>
        <w:softHyphen/>
        <w:t>нов первым атаковал ближайший са</w:t>
      </w:r>
      <w:r w:rsidRPr="002F2FDF">
        <w:rPr>
          <w:rFonts w:ascii="Times New Roman" w:hAnsi="Times New Roman" w:cs="Times New Roman"/>
          <w:color w:val="000000" w:themeColor="text1"/>
          <w:kern w:val="2"/>
          <w:sz w:val="16"/>
          <w:szCs w:val="16"/>
        </w:rPr>
        <w:softHyphen/>
        <w:t>молет противника. Он попал, несмот</w:t>
      </w:r>
      <w:r w:rsidRPr="002F2FDF">
        <w:rPr>
          <w:rFonts w:ascii="Times New Roman" w:hAnsi="Times New Roman" w:cs="Times New Roman"/>
          <w:color w:val="000000" w:themeColor="text1"/>
          <w:kern w:val="2"/>
          <w:sz w:val="16"/>
          <w:szCs w:val="16"/>
        </w:rPr>
        <w:softHyphen/>
        <w:t>ря на то, что стрелял с предельной ди</w:t>
      </w:r>
      <w:r w:rsidRPr="002F2FDF">
        <w:rPr>
          <w:rFonts w:ascii="Times New Roman" w:hAnsi="Times New Roman" w:cs="Times New Roman"/>
          <w:color w:val="000000" w:themeColor="text1"/>
          <w:kern w:val="2"/>
          <w:sz w:val="16"/>
          <w:szCs w:val="16"/>
        </w:rPr>
        <w:softHyphen/>
        <w:t>станции. Вражеский самолет “...начал скользить вниз, как лист, внезапно взорвавшись в огне и оставив длин</w:t>
      </w:r>
      <w:r w:rsidRPr="002F2FDF">
        <w:rPr>
          <w:rFonts w:ascii="Times New Roman" w:hAnsi="Times New Roman" w:cs="Times New Roman"/>
          <w:color w:val="000000" w:themeColor="text1"/>
          <w:kern w:val="2"/>
          <w:sz w:val="16"/>
          <w:szCs w:val="16"/>
        </w:rPr>
        <w:softHyphen/>
        <w:t>ный хвост маслянистого черного ды</w:t>
      </w:r>
      <w:r w:rsidRPr="002F2FDF">
        <w:rPr>
          <w:rFonts w:ascii="Times New Roman" w:hAnsi="Times New Roman" w:cs="Times New Roman"/>
          <w:color w:val="000000" w:themeColor="text1"/>
          <w:kern w:val="2"/>
          <w:sz w:val="16"/>
          <w:szCs w:val="16"/>
        </w:rPr>
        <w:softHyphen/>
        <w:t>ма”. Он упал в районе Зеленая Сло</w:t>
      </w:r>
      <w:r w:rsidRPr="002F2FDF">
        <w:rPr>
          <w:rFonts w:ascii="Times New Roman" w:hAnsi="Times New Roman" w:cs="Times New Roman"/>
          <w:color w:val="000000" w:themeColor="text1"/>
          <w:kern w:val="2"/>
          <w:sz w:val="16"/>
          <w:szCs w:val="16"/>
        </w:rPr>
        <w:softHyphen/>
        <w:t>бодка в тылу русских войск. При пре</w:t>
      </w:r>
      <w:r w:rsidRPr="002F2FDF">
        <w:rPr>
          <w:rFonts w:ascii="Times New Roman" w:hAnsi="Times New Roman" w:cs="Times New Roman"/>
          <w:color w:val="000000" w:themeColor="text1"/>
          <w:kern w:val="2"/>
          <w:sz w:val="16"/>
          <w:szCs w:val="16"/>
        </w:rPr>
        <w:softHyphen/>
        <w:t>следовании второго аэроплана у Смирнова отказал пулемет и он мог лишь отвлекать противника, имитируя атаки. Тем временем “...Липский смог незаметно приблизиться. Прежде чем противник сообразил, что происхо</w:t>
      </w:r>
      <w:r w:rsidRPr="002F2FDF">
        <w:rPr>
          <w:rFonts w:ascii="Times New Roman" w:hAnsi="Times New Roman" w:cs="Times New Roman"/>
          <w:color w:val="000000" w:themeColor="text1"/>
          <w:kern w:val="2"/>
          <w:sz w:val="16"/>
          <w:szCs w:val="16"/>
        </w:rPr>
        <w:softHyphen/>
        <w:t>дит, Липский спикировал, послав вихрь пуль в него. Немец быстро заго</w:t>
      </w:r>
      <w:r w:rsidRPr="002F2FDF">
        <w:rPr>
          <w:rFonts w:ascii="Times New Roman" w:hAnsi="Times New Roman" w:cs="Times New Roman"/>
          <w:color w:val="000000" w:themeColor="text1"/>
          <w:kern w:val="2"/>
          <w:sz w:val="16"/>
          <w:szCs w:val="16"/>
        </w:rPr>
        <w:softHyphen/>
        <w:t>релся и последовал вниз за своим то</w:t>
      </w:r>
      <w:r w:rsidRPr="002F2FDF">
        <w:rPr>
          <w:rFonts w:ascii="Times New Roman" w:hAnsi="Times New Roman" w:cs="Times New Roman"/>
          <w:color w:val="000000" w:themeColor="text1"/>
          <w:kern w:val="2"/>
          <w:sz w:val="16"/>
          <w:szCs w:val="16"/>
        </w:rPr>
        <w:softHyphen/>
        <w:t>варищем”. Согласно сообщению 7-го авиадивизиона, “в 17 ч 30 мин еще один “Бранденбург” был подбит, лет</w:t>
      </w:r>
      <w:r w:rsidRPr="002F2FDF">
        <w:rPr>
          <w:rFonts w:ascii="Times New Roman" w:hAnsi="Times New Roman" w:cs="Times New Roman"/>
          <w:color w:val="000000" w:themeColor="text1"/>
          <w:kern w:val="2"/>
          <w:sz w:val="16"/>
          <w:szCs w:val="16"/>
        </w:rPr>
        <w:softHyphen/>
        <w:t>чик выпал из аппарата и разбился. Са</w:t>
      </w:r>
      <w:r w:rsidRPr="002F2FDF">
        <w:rPr>
          <w:rFonts w:ascii="Times New Roman" w:hAnsi="Times New Roman" w:cs="Times New Roman"/>
          <w:color w:val="000000" w:themeColor="text1"/>
          <w:kern w:val="2"/>
          <w:sz w:val="16"/>
          <w:szCs w:val="16"/>
        </w:rPr>
        <w:softHyphen/>
        <w:t>молет упал на проволочные загражде</w:t>
      </w:r>
      <w:r w:rsidRPr="002F2FDF">
        <w:rPr>
          <w:rFonts w:ascii="Times New Roman" w:hAnsi="Times New Roman" w:cs="Times New Roman"/>
          <w:color w:val="000000" w:themeColor="text1"/>
          <w:kern w:val="2"/>
          <w:sz w:val="16"/>
          <w:szCs w:val="16"/>
        </w:rPr>
        <w:softHyphen/>
        <w:t>ния у дёр. Зелена и был уничтожен на</w:t>
      </w:r>
      <w:r w:rsidRPr="002F2FDF">
        <w:rPr>
          <w:rFonts w:ascii="Times New Roman" w:hAnsi="Times New Roman" w:cs="Times New Roman"/>
          <w:color w:val="000000" w:themeColor="text1"/>
          <w:kern w:val="2"/>
          <w:sz w:val="16"/>
          <w:szCs w:val="16"/>
        </w:rPr>
        <w:softHyphen/>
        <w:t>шей артиллерией. Третий ушел в тыл с большим снижением”. Австрийские данные подтверждают гибель, по крайней мере, одного экипажа из 9-й авиароты - пилот капрал Рыба и летнаб лейтенант Баркал упали в пламе</w:t>
      </w:r>
      <w:r w:rsidRPr="002F2FDF">
        <w:rPr>
          <w:rFonts w:ascii="Times New Roman" w:hAnsi="Times New Roman" w:cs="Times New Roman"/>
          <w:color w:val="000000" w:themeColor="text1"/>
          <w:kern w:val="2"/>
          <w:sz w:val="16"/>
          <w:szCs w:val="16"/>
        </w:rPr>
        <w:softHyphen/>
        <w:t>ни на “Бранденбурге” C.I за линией фронта (3954).</w:t>
      </w:r>
    </w:p>
    <w:p w14:paraId="4BBDFD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B4A0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октября (10 ноября) 1917 г. в районе Гусятина (Юго-Западный фронт) произошел воздушный бой трех немецких “Бранденбургов” с двумя русскими истребителями 19-го корпусного авиаотряда, которые пилотировали прапорщик Смирнов и унтер-офицер Липский. Смирнов сбил один из аэропланов противника, который упал, объятый пламенем, в тылу русских войск у деревни Зеленая Слобода. Остальные два немецких аэроплана повернули назад, пытаясь уйти. Преследуя их, Липский сбил второго “Бранден-бурга”, который упал на проволочные заграждения у деревни Зелена. Третий самолет противника ушел в свой тыл с большим снижением и сел, по-видимому, вынужденно, у деревни Круживенка (9705).</w:t>
      </w:r>
    </w:p>
    <w:p w14:paraId="768020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58BD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октября (10 ноября) 1917 на Юго-Западном фронте в районе Гусятина произошел воздушный бой трех германских "Бранденбургов" с двумя русскими истребителями 19-го корпусного авиаотряда, которые пилотировали прапорщик Смирнов и унтер-офицер Липский. Смирнов сбил один из аэропланов противника, и тот упал, объятый пламенем, в тылу русских войск у деревни Зеленая Слобода. Два других "Бран- денбурга" попытались уйти. Липский в преследовании сбил одного из них, и тот упал на проволочные заграждения у деревни Зелена. Третий германский самолет совершил вынужденную посадку в своем тылу у деревни Круживенка (11999).</w:t>
      </w:r>
    </w:p>
    <w:p w14:paraId="637BE9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AEF0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октября (10 ноября) 1917 после митинга, на котором выступала некая Евгения Бош, произошло восстание Винницкого гарнизона. В результате стычек между верными Временному правительству офицерами и солдатами получили ранения четыре нижних чина и один был убит. Многие офицеры уехали из части в тыл. Тогда на базе в Виннице имелось 8 кораблей, которые были в различных стадиях ремон­та, сборки, регулировки и установки моторов и радиаторов. Десять машин находилось на фронте. Ощутимый урон нанесла сильная буря, начавшаяся 15 ноября. На базе было поло­мано 11 малых аппаратов, 2 учебных и 2 боевых корабля, а во 2-м боевом отряде на Юго-За­падном фронте — 4 корабля (11277).</w:t>
      </w:r>
    </w:p>
    <w:p w14:paraId="09455D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1202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октября (10 ноября) 1917 после митинга в ЭВК, на котором выступала некая Евгения Бош, произошло восстание Винницкого гарнизона. В результате стычек между верными Временному правительству офицерами и солдатами получили ранения четыре нижних чина и один был убит. Многие офицеры уехали из части в тыл.</w:t>
      </w:r>
    </w:p>
    <w:p w14:paraId="5EFC37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Тогда на базе в Виннице имелось восемь кораблей, которые были в различных стадиях ремонта, сборки, регулировки и установки моторов и радиаторов. Десять машин находилось на фронте. Ощутимый урон нанесла сильная буря, начавшаяся 15 ноября. На базе было поломано 11 малых аппаратов, два учебных и два боевых корабля, а во 2-м боевом отряде на Юго-Западном фронте - четыре корабля (12041).</w:t>
      </w:r>
    </w:p>
    <w:p w14:paraId="0CD6EA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7D14C3" w14:textId="77777777" w:rsidR="002831F2" w:rsidRPr="00FB4F67" w:rsidRDefault="002831F2" w:rsidP="0083075A">
      <w:pPr>
        <w:spacing w:after="0" w:line="240" w:lineRule="auto"/>
        <w:jc w:val="both"/>
        <w:rPr>
          <w:rFonts w:ascii="Times New Roman" w:hAnsi="Times New Roman" w:cs="Times New Roman"/>
          <w:color w:val="0070C0"/>
          <w:sz w:val="16"/>
          <w:szCs w:val="16"/>
        </w:rPr>
      </w:pPr>
      <w:bookmarkStart w:id="393" w:name="bookmark1014"/>
      <w:bookmarkStart w:id="394" w:name="bookmark1015"/>
      <w:bookmarkStart w:id="395" w:name="bookmark1016"/>
      <w:r w:rsidRPr="00FB4F67">
        <w:rPr>
          <w:rFonts w:ascii="Times New Roman" w:hAnsi="Times New Roman" w:cs="Times New Roman"/>
          <w:color w:val="0070C0"/>
          <w:sz w:val="16"/>
          <w:szCs w:val="16"/>
        </w:rPr>
        <w:t xml:space="preserve">28 октября </w:t>
      </w:r>
      <w:r>
        <w:rPr>
          <w:rFonts w:ascii="Times New Roman" w:hAnsi="Times New Roman" w:cs="Times New Roman"/>
          <w:color w:val="0070C0"/>
          <w:sz w:val="16"/>
          <w:szCs w:val="16"/>
        </w:rPr>
        <w:t xml:space="preserve">(10 ноября) </w:t>
      </w:r>
      <w:r w:rsidRPr="00FB4F67">
        <w:rPr>
          <w:rFonts w:ascii="Times New Roman" w:hAnsi="Times New Roman" w:cs="Times New Roman"/>
          <w:color w:val="0070C0"/>
          <w:sz w:val="16"/>
          <w:szCs w:val="16"/>
        </w:rPr>
        <w:t xml:space="preserve">1917 </w:t>
      </w:r>
      <w:r>
        <w:rPr>
          <w:rFonts w:ascii="Times New Roman" w:hAnsi="Times New Roman" w:cs="Times New Roman"/>
          <w:color w:val="0070C0"/>
          <w:sz w:val="16"/>
          <w:szCs w:val="16"/>
        </w:rPr>
        <w:t>г</w:t>
      </w:r>
      <w:r w:rsidRPr="00FB4F67">
        <w:rPr>
          <w:rFonts w:ascii="Times New Roman" w:hAnsi="Times New Roman" w:cs="Times New Roman"/>
          <w:color w:val="0070C0"/>
          <w:sz w:val="16"/>
          <w:szCs w:val="16"/>
        </w:rPr>
        <w:t>. после митинга, на котором большевичка Бош провоцировала солдат расправ</w:t>
      </w:r>
      <w:r w:rsidRPr="00FB4F67">
        <w:rPr>
          <w:rFonts w:ascii="Times New Roman" w:hAnsi="Times New Roman" w:cs="Times New Roman"/>
          <w:color w:val="0070C0"/>
          <w:sz w:val="16"/>
          <w:szCs w:val="16"/>
        </w:rPr>
        <w:softHyphen/>
        <w:t>ляться с офицерами, произошло восстание винницкого гарнизона. Сторонники Временного прави</w:t>
      </w:r>
      <w:r w:rsidRPr="00FB4F67">
        <w:rPr>
          <w:rFonts w:ascii="Times New Roman" w:hAnsi="Times New Roman" w:cs="Times New Roman"/>
          <w:color w:val="0070C0"/>
          <w:sz w:val="16"/>
          <w:szCs w:val="16"/>
        </w:rPr>
        <w:softHyphen/>
        <w:t>тельства подавили мятеж, но раз</w:t>
      </w:r>
      <w:r w:rsidRPr="00FB4F67">
        <w:rPr>
          <w:rFonts w:ascii="Times New Roman" w:hAnsi="Times New Roman" w:cs="Times New Roman"/>
          <w:color w:val="0070C0"/>
          <w:sz w:val="16"/>
          <w:szCs w:val="16"/>
        </w:rPr>
        <w:softHyphen/>
        <w:t xml:space="preserve">вал остановить было уже нельзя. В этих условиях эвакуировать ЭВК вглубь России стало </w:t>
      </w:r>
      <w:r w:rsidRPr="00FB4F67">
        <w:rPr>
          <w:rFonts w:ascii="Times New Roman" w:hAnsi="Times New Roman" w:cs="Times New Roman"/>
          <w:color w:val="0070C0"/>
          <w:sz w:val="16"/>
          <w:szCs w:val="16"/>
        </w:rPr>
        <w:lastRenderedPageBreak/>
        <w:t>невозможно. При подходе немцев и реальной угрозе захвата «Муромцев» боль</w:t>
      </w:r>
      <w:r w:rsidRPr="00FB4F67">
        <w:rPr>
          <w:rFonts w:ascii="Times New Roman" w:hAnsi="Times New Roman" w:cs="Times New Roman"/>
          <w:color w:val="0070C0"/>
          <w:sz w:val="16"/>
          <w:szCs w:val="16"/>
        </w:rPr>
        <w:softHyphen/>
        <w:t>шая часть кораблей была сожжена. Так бесславно закончилась исто</w:t>
      </w:r>
      <w:r w:rsidRPr="00FB4F67">
        <w:rPr>
          <w:rFonts w:ascii="Times New Roman" w:hAnsi="Times New Roman" w:cs="Times New Roman"/>
          <w:color w:val="0070C0"/>
          <w:sz w:val="16"/>
          <w:szCs w:val="16"/>
        </w:rPr>
        <w:softHyphen/>
        <w:t>рия создания и боевой работы первого в мире соединения стра</w:t>
      </w:r>
      <w:r w:rsidRPr="00FB4F67">
        <w:rPr>
          <w:rFonts w:ascii="Times New Roman" w:hAnsi="Times New Roman" w:cs="Times New Roman"/>
          <w:color w:val="0070C0"/>
          <w:sz w:val="16"/>
          <w:szCs w:val="16"/>
        </w:rPr>
        <w:softHyphen/>
        <w:t>тегической авиации (23469).</w:t>
      </w:r>
    </w:p>
    <w:p w14:paraId="259261FF" w14:textId="77777777" w:rsidR="002831F2" w:rsidRPr="00FB4F67" w:rsidRDefault="002831F2" w:rsidP="0083075A">
      <w:pPr>
        <w:spacing w:after="0" w:line="240" w:lineRule="auto"/>
        <w:jc w:val="both"/>
        <w:rPr>
          <w:rFonts w:ascii="Times New Roman" w:hAnsi="Times New Roman" w:cs="Times New Roman"/>
          <w:color w:val="0070C0"/>
          <w:sz w:val="16"/>
          <w:szCs w:val="16"/>
        </w:rPr>
      </w:pPr>
    </w:p>
    <w:bookmarkEnd w:id="393"/>
    <w:bookmarkEnd w:id="394"/>
    <w:bookmarkEnd w:id="395"/>
    <w:p w14:paraId="2BF488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октября (10 ноября) 1917 войска Керенского и Краснова наступали на Петроград, захватили Гатчину и Царское село. Тут то В.И.Л. и заинтересовался возможностями применения авиации и дал указание на формирование отряда на Комендантском аэродроме, который был ближе всего к противнику (278,167). Красногвардейцы отбили наступление (2239).</w:t>
      </w:r>
    </w:p>
    <w:p w14:paraId="5F17C2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48F688" w14:textId="27A8D8F7" w:rsidR="00412A61" w:rsidRDefault="00412A61"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 xml:space="preserve">28 октября (10 ноября) 1917 г. в связи </w:t>
      </w:r>
      <w:r w:rsidR="009F5E8B">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 заня</w:t>
      </w:r>
      <w:r>
        <w:rPr>
          <w:rFonts w:ascii="Times New Roman" w:hAnsi="Times New Roman" w:cs="Times New Roman"/>
          <w:color w:val="0070C0"/>
          <w:sz w:val="16"/>
          <w:szCs w:val="16"/>
        </w:rPr>
        <w:t>т</w:t>
      </w:r>
      <w:r w:rsidRPr="005D7D69">
        <w:rPr>
          <w:rFonts w:ascii="Times New Roman" w:hAnsi="Times New Roman" w:cs="Times New Roman"/>
          <w:color w:val="0070C0"/>
          <w:sz w:val="16"/>
          <w:szCs w:val="16"/>
        </w:rPr>
        <w:t xml:space="preserve">ием </w:t>
      </w:r>
      <w:r>
        <w:rPr>
          <w:rFonts w:ascii="Times New Roman" w:hAnsi="Times New Roman" w:cs="Times New Roman"/>
          <w:color w:val="0070C0"/>
          <w:sz w:val="16"/>
          <w:szCs w:val="16"/>
        </w:rPr>
        <w:t>к</w:t>
      </w:r>
      <w:r w:rsidRPr="005D7D69">
        <w:rPr>
          <w:rFonts w:ascii="Times New Roman" w:hAnsi="Times New Roman" w:cs="Times New Roman"/>
          <w:color w:val="0070C0"/>
          <w:sz w:val="16"/>
          <w:szCs w:val="16"/>
        </w:rPr>
        <w:t>о</w:t>
      </w:r>
      <w:r>
        <w:rPr>
          <w:rFonts w:ascii="Times New Roman" w:hAnsi="Times New Roman" w:cs="Times New Roman"/>
          <w:color w:val="0070C0"/>
          <w:sz w:val="16"/>
          <w:szCs w:val="16"/>
        </w:rPr>
        <w:t>н</w:t>
      </w:r>
      <w:r w:rsidRPr="005D7D69">
        <w:rPr>
          <w:rFonts w:ascii="Times New Roman" w:hAnsi="Times New Roman" w:cs="Times New Roman"/>
          <w:color w:val="0070C0"/>
          <w:sz w:val="16"/>
          <w:szCs w:val="16"/>
        </w:rPr>
        <w:t>трревол</w:t>
      </w:r>
      <w:r>
        <w:rPr>
          <w:rFonts w:ascii="Times New Roman" w:hAnsi="Times New Roman" w:cs="Times New Roman"/>
          <w:color w:val="0070C0"/>
          <w:sz w:val="16"/>
          <w:szCs w:val="16"/>
        </w:rPr>
        <w:t>юционными</w:t>
      </w:r>
      <w:r w:rsidRPr="005D7D69">
        <w:rPr>
          <w:rFonts w:ascii="Times New Roman" w:hAnsi="Times New Roman" w:cs="Times New Roman"/>
          <w:color w:val="0070C0"/>
          <w:sz w:val="16"/>
          <w:szCs w:val="16"/>
        </w:rPr>
        <w:t xml:space="preserve"> войсками Кереискс</w:t>
      </w:r>
      <w:r>
        <w:rPr>
          <w:rFonts w:ascii="Times New Roman" w:hAnsi="Times New Roman" w:cs="Times New Roman"/>
          <w:color w:val="0070C0"/>
          <w:sz w:val="16"/>
          <w:szCs w:val="16"/>
        </w:rPr>
        <w:t>ого</w:t>
      </w:r>
      <w:r w:rsidRPr="005D7D69">
        <w:rPr>
          <w:rFonts w:ascii="Times New Roman" w:hAnsi="Times New Roman" w:cs="Times New Roman"/>
          <w:color w:val="0070C0"/>
          <w:sz w:val="16"/>
          <w:szCs w:val="16"/>
        </w:rPr>
        <w:t xml:space="preserve"> Гатчины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Царского села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угрозы Петрограду В.</w:t>
      </w:r>
      <w:r>
        <w:rPr>
          <w:rFonts w:ascii="Times New Roman" w:hAnsi="Times New Roman" w:cs="Times New Roman"/>
          <w:color w:val="0070C0"/>
          <w:sz w:val="16"/>
          <w:szCs w:val="16"/>
        </w:rPr>
        <w:t>Л</w:t>
      </w:r>
      <w:r w:rsidRPr="005D7D69">
        <w:rPr>
          <w:rFonts w:ascii="Times New Roman" w:hAnsi="Times New Roman" w:cs="Times New Roman"/>
          <w:color w:val="0070C0"/>
          <w:sz w:val="16"/>
          <w:szCs w:val="16"/>
        </w:rPr>
        <w:t>.Леннн,</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руководив</w:t>
      </w:r>
      <w:r>
        <w:rPr>
          <w:rFonts w:ascii="Times New Roman" w:hAnsi="Times New Roman" w:cs="Times New Roman"/>
          <w:color w:val="0070C0"/>
          <w:sz w:val="16"/>
          <w:szCs w:val="16"/>
        </w:rPr>
        <w:t>ш</w:t>
      </w:r>
      <w:r w:rsidRPr="005D7D69">
        <w:rPr>
          <w:rFonts w:ascii="Times New Roman" w:hAnsi="Times New Roman" w:cs="Times New Roman"/>
          <w:color w:val="0070C0"/>
          <w:sz w:val="16"/>
          <w:szCs w:val="16"/>
        </w:rPr>
        <w:t>ий обороной столицы,</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прибыл в штаб военного округа для в</w:t>
      </w:r>
      <w:r>
        <w:rPr>
          <w:rFonts w:ascii="Times New Roman" w:hAnsi="Times New Roman" w:cs="Times New Roman"/>
          <w:color w:val="0070C0"/>
          <w:sz w:val="16"/>
          <w:szCs w:val="16"/>
        </w:rPr>
        <w:t>ыяс</w:t>
      </w:r>
      <w:r w:rsidRPr="005D7D69">
        <w:rPr>
          <w:rFonts w:ascii="Times New Roman" w:hAnsi="Times New Roman" w:cs="Times New Roman"/>
          <w:color w:val="0070C0"/>
          <w:sz w:val="16"/>
          <w:szCs w:val="16"/>
        </w:rPr>
        <w:t>не</w:t>
      </w:r>
      <w:r w:rsidRPr="005D7D69">
        <w:rPr>
          <w:rFonts w:ascii="Times New Roman" w:hAnsi="Times New Roman" w:cs="Times New Roman"/>
          <w:color w:val="0070C0"/>
          <w:sz w:val="16"/>
          <w:szCs w:val="16"/>
        </w:rPr>
        <w:softHyphen/>
        <w:t>ния вопроса об использовании авиации в помощь красногвардейским отрядам.</w:t>
      </w:r>
      <w:r>
        <w:rPr>
          <w:rFonts w:ascii="Times New Roman" w:hAnsi="Times New Roman" w:cs="Times New Roman"/>
          <w:color w:val="0070C0"/>
          <w:sz w:val="16"/>
          <w:szCs w:val="16"/>
        </w:rPr>
        <w:t xml:space="preserve"> В</w:t>
      </w:r>
      <w:r w:rsidRPr="005D7D69">
        <w:rPr>
          <w:rFonts w:ascii="Times New Roman" w:hAnsi="Times New Roman" w:cs="Times New Roman"/>
          <w:color w:val="0070C0"/>
          <w:sz w:val="16"/>
          <w:szCs w:val="16"/>
        </w:rPr>
        <w:t>ыяснив такую возможность,</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Ленин отдал распоряжение коман</w:t>
      </w:r>
      <w:r w:rsidRPr="005D7D69">
        <w:rPr>
          <w:rFonts w:ascii="Times New Roman" w:hAnsi="Times New Roman" w:cs="Times New Roman"/>
          <w:color w:val="0070C0"/>
          <w:sz w:val="16"/>
          <w:szCs w:val="16"/>
        </w:rPr>
        <w:softHyphen/>
        <w:t xml:space="preserve">дующему округом о сосредоточении на корпусном аэродроме возможно большего количества самолетов и использовании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х на защиту рево</w:t>
      </w:r>
      <w:r>
        <w:rPr>
          <w:rFonts w:ascii="Times New Roman" w:hAnsi="Times New Roman" w:cs="Times New Roman"/>
          <w:color w:val="0070C0"/>
          <w:sz w:val="16"/>
          <w:szCs w:val="16"/>
        </w:rPr>
        <w:t>люции.</w:t>
      </w:r>
    </w:p>
    <w:p w14:paraId="6B26B2DE" w14:textId="77777777" w:rsidR="00412A61" w:rsidRDefault="00412A61"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/"Вестник воздуиного флота" ,1957,</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 4</w:t>
      </w:r>
      <w:r>
        <w:rPr>
          <w:rFonts w:ascii="Times New Roman" w:hAnsi="Times New Roman" w:cs="Times New Roman"/>
          <w:color w:val="0070C0"/>
          <w:sz w:val="16"/>
          <w:szCs w:val="16"/>
        </w:rPr>
        <w:t>;</w:t>
      </w:r>
      <w:r w:rsidRPr="005D7D69">
        <w:rPr>
          <w:rFonts w:ascii="Times New Roman" w:hAnsi="Times New Roman" w:cs="Times New Roman"/>
          <w:color w:val="0070C0"/>
          <w:sz w:val="16"/>
          <w:szCs w:val="16"/>
        </w:rPr>
        <w:t xml:space="preserve"> воспоминание </w:t>
      </w:r>
      <w:r>
        <w:rPr>
          <w:rFonts w:ascii="Times New Roman" w:hAnsi="Times New Roman" w:cs="Times New Roman"/>
          <w:color w:val="0070C0"/>
          <w:sz w:val="16"/>
          <w:szCs w:val="16"/>
        </w:rPr>
        <w:t>М</w:t>
      </w:r>
      <w:r w:rsidRPr="005D7D69">
        <w:rPr>
          <w:rFonts w:ascii="Times New Roman" w:hAnsi="Times New Roman" w:cs="Times New Roman"/>
          <w:color w:val="0070C0"/>
          <w:sz w:val="16"/>
          <w:szCs w:val="16"/>
        </w:rPr>
        <w:t>.П.Строева/</w:t>
      </w:r>
      <w:r>
        <w:rPr>
          <w:rFonts w:ascii="Times New Roman" w:hAnsi="Times New Roman" w:cs="Times New Roman"/>
          <w:color w:val="0070C0"/>
          <w:sz w:val="16"/>
          <w:szCs w:val="16"/>
        </w:rPr>
        <w:t xml:space="preserve"> (23370).</w:t>
      </w:r>
    </w:p>
    <w:p w14:paraId="46A8EB54" w14:textId="77777777" w:rsidR="00412A61" w:rsidRPr="005D7D69" w:rsidRDefault="00412A61" w:rsidP="0083075A">
      <w:pPr>
        <w:spacing w:after="0" w:line="240" w:lineRule="auto"/>
        <w:jc w:val="both"/>
        <w:rPr>
          <w:rFonts w:ascii="Times New Roman" w:hAnsi="Times New Roman" w:cs="Times New Roman"/>
          <w:color w:val="0070C0"/>
          <w:sz w:val="16"/>
          <w:szCs w:val="16"/>
        </w:rPr>
      </w:pPr>
    </w:p>
    <w:p w14:paraId="2D9B86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октября (10 ноября) 1917 в связи с занятием контрреволюционными войсками Керенского Гатчины и Царского Села и угрозы Петрограду, В.И.Л. прибыл в штаб ВО для выяснения вопроса об использовании авиации для помощи красногвардейским отрядам. Дал распоряжение сосредоточить на Корпусном аэродроме как можно большего числа самолетов для защиты Петрограда (438,387).</w:t>
      </w:r>
    </w:p>
    <w:p w14:paraId="428F63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333436" w14:textId="77777777" w:rsidR="008C783F" w:rsidRPr="005D7D69" w:rsidRDefault="008C783F"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 xml:space="preserve">28 октября (10 ноября) 1917 г. солдаты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рабочие петроградского парка-склада ав</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ац</w:t>
      </w:r>
      <w:r>
        <w:rPr>
          <w:rFonts w:ascii="Times New Roman" w:hAnsi="Times New Roman" w:cs="Times New Roman"/>
          <w:color w:val="0070C0"/>
          <w:sz w:val="16"/>
          <w:szCs w:val="16"/>
        </w:rPr>
        <w:t>ионного имущест</w:t>
      </w:r>
      <w:r w:rsidRPr="005D7D69">
        <w:rPr>
          <w:rFonts w:ascii="Times New Roman" w:hAnsi="Times New Roman" w:cs="Times New Roman"/>
          <w:color w:val="0070C0"/>
          <w:sz w:val="16"/>
          <w:szCs w:val="16"/>
        </w:rPr>
        <w:t>ва,</w:t>
      </w:r>
      <w:r>
        <w:rPr>
          <w:rFonts w:ascii="Times New Roman" w:hAnsi="Times New Roman" w:cs="Times New Roman"/>
          <w:color w:val="0070C0"/>
          <w:sz w:val="16"/>
          <w:szCs w:val="16"/>
        </w:rPr>
        <w:t xml:space="preserve"> с</w:t>
      </w:r>
      <w:r w:rsidRPr="005D7D69">
        <w:rPr>
          <w:rFonts w:ascii="Times New Roman" w:hAnsi="Times New Roman" w:cs="Times New Roman"/>
          <w:color w:val="0070C0"/>
          <w:sz w:val="16"/>
          <w:szCs w:val="16"/>
        </w:rPr>
        <w:t>о</w:t>
      </w:r>
      <w:r>
        <w:rPr>
          <w:rFonts w:ascii="Times New Roman" w:hAnsi="Times New Roman" w:cs="Times New Roman"/>
          <w:color w:val="0070C0"/>
          <w:sz w:val="16"/>
          <w:szCs w:val="16"/>
        </w:rPr>
        <w:t>б</w:t>
      </w:r>
      <w:r w:rsidRPr="005D7D69">
        <w:rPr>
          <w:rFonts w:ascii="Times New Roman" w:hAnsi="Times New Roman" w:cs="Times New Roman"/>
          <w:color w:val="0070C0"/>
          <w:sz w:val="16"/>
          <w:szCs w:val="16"/>
        </w:rPr>
        <w:t>рав</w:t>
      </w:r>
      <w:r>
        <w:rPr>
          <w:rFonts w:ascii="Times New Roman" w:hAnsi="Times New Roman" w:cs="Times New Roman"/>
          <w:color w:val="0070C0"/>
          <w:sz w:val="16"/>
          <w:szCs w:val="16"/>
        </w:rPr>
        <w:t>шиес</w:t>
      </w:r>
      <w:r w:rsidRPr="005D7D69">
        <w:rPr>
          <w:rFonts w:ascii="Times New Roman" w:hAnsi="Times New Roman" w:cs="Times New Roman"/>
          <w:color w:val="0070C0"/>
          <w:sz w:val="16"/>
          <w:szCs w:val="16"/>
        </w:rPr>
        <w:t>я на митинг в количестве 650 человек,</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вы</w:t>
      </w:r>
      <w:r>
        <w:rPr>
          <w:rFonts w:ascii="Times New Roman" w:hAnsi="Times New Roman" w:cs="Times New Roman"/>
          <w:color w:val="0070C0"/>
          <w:sz w:val="16"/>
          <w:szCs w:val="16"/>
        </w:rPr>
        <w:t>не</w:t>
      </w:r>
      <w:r w:rsidRPr="005D7D69">
        <w:rPr>
          <w:rFonts w:ascii="Times New Roman" w:hAnsi="Times New Roman" w:cs="Times New Roman"/>
          <w:color w:val="0070C0"/>
          <w:sz w:val="16"/>
          <w:szCs w:val="16"/>
        </w:rPr>
        <w:t>сл</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р</w:t>
      </w:r>
      <w:r>
        <w:rPr>
          <w:rFonts w:ascii="Times New Roman" w:hAnsi="Times New Roman" w:cs="Times New Roman"/>
          <w:color w:val="0070C0"/>
          <w:sz w:val="16"/>
          <w:szCs w:val="16"/>
        </w:rPr>
        <w:t>езолюцию</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Приветствуем второй </w:t>
      </w:r>
      <w:r>
        <w:rPr>
          <w:rFonts w:ascii="Times New Roman" w:hAnsi="Times New Roman" w:cs="Times New Roman"/>
          <w:color w:val="0070C0"/>
          <w:sz w:val="16"/>
          <w:szCs w:val="16"/>
        </w:rPr>
        <w:t>съ</w:t>
      </w:r>
      <w:r w:rsidRPr="005D7D69">
        <w:rPr>
          <w:rFonts w:ascii="Times New Roman" w:hAnsi="Times New Roman" w:cs="Times New Roman"/>
          <w:color w:val="0070C0"/>
          <w:sz w:val="16"/>
          <w:szCs w:val="16"/>
        </w:rPr>
        <w:t xml:space="preserve">езд </w:t>
      </w:r>
      <w:r>
        <w:rPr>
          <w:rFonts w:ascii="Times New Roman" w:hAnsi="Times New Roman" w:cs="Times New Roman"/>
          <w:color w:val="0070C0"/>
          <w:sz w:val="16"/>
          <w:szCs w:val="16"/>
        </w:rPr>
        <w:t>В</w:t>
      </w:r>
      <w:r w:rsidRPr="005D7D69">
        <w:rPr>
          <w:rFonts w:ascii="Times New Roman" w:hAnsi="Times New Roman" w:cs="Times New Roman"/>
          <w:color w:val="0070C0"/>
          <w:sz w:val="16"/>
          <w:szCs w:val="16"/>
        </w:rPr>
        <w:t>с</w:t>
      </w:r>
      <w:r>
        <w:rPr>
          <w:rFonts w:ascii="Times New Roman" w:hAnsi="Times New Roman" w:cs="Times New Roman"/>
          <w:color w:val="0070C0"/>
          <w:sz w:val="16"/>
          <w:szCs w:val="16"/>
        </w:rPr>
        <w:t>е</w:t>
      </w:r>
      <w:r w:rsidRPr="005D7D69">
        <w:rPr>
          <w:rFonts w:ascii="Times New Roman" w:hAnsi="Times New Roman" w:cs="Times New Roman"/>
          <w:color w:val="0070C0"/>
          <w:sz w:val="16"/>
          <w:szCs w:val="16"/>
        </w:rPr>
        <w:t>росс</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йск</w:t>
      </w:r>
      <w:r>
        <w:rPr>
          <w:rFonts w:ascii="Times New Roman" w:hAnsi="Times New Roman" w:cs="Times New Roman"/>
          <w:color w:val="0070C0"/>
          <w:sz w:val="16"/>
          <w:szCs w:val="16"/>
        </w:rPr>
        <w:t>ого</w:t>
      </w:r>
      <w:r w:rsidRPr="005D7D69">
        <w:rPr>
          <w:rFonts w:ascii="Times New Roman" w:hAnsi="Times New Roman" w:cs="Times New Roman"/>
          <w:color w:val="0070C0"/>
          <w:sz w:val="16"/>
          <w:szCs w:val="16"/>
        </w:rPr>
        <w:t xml:space="preserve"> сове</w:t>
      </w:r>
      <w:r w:rsidRPr="005D7D69">
        <w:rPr>
          <w:rFonts w:ascii="Times New Roman" w:hAnsi="Times New Roman" w:cs="Times New Roman"/>
          <w:color w:val="0070C0"/>
          <w:sz w:val="16"/>
          <w:szCs w:val="16"/>
        </w:rPr>
        <w:softHyphen/>
        <w:t>т</w:t>
      </w:r>
      <w:r>
        <w:rPr>
          <w:rFonts w:ascii="Times New Roman" w:hAnsi="Times New Roman" w:cs="Times New Roman"/>
          <w:color w:val="0070C0"/>
          <w:sz w:val="16"/>
          <w:szCs w:val="16"/>
        </w:rPr>
        <w:t>а</w:t>
      </w:r>
      <w:r w:rsidRPr="005D7D69">
        <w:rPr>
          <w:rFonts w:ascii="Times New Roman" w:hAnsi="Times New Roman" w:cs="Times New Roman"/>
          <w:color w:val="0070C0"/>
          <w:sz w:val="16"/>
          <w:szCs w:val="16"/>
        </w:rPr>
        <w:t xml:space="preserve"> р</w:t>
      </w:r>
      <w:r>
        <w:rPr>
          <w:rFonts w:ascii="Times New Roman" w:hAnsi="Times New Roman" w:cs="Times New Roman"/>
          <w:color w:val="0070C0"/>
          <w:sz w:val="16"/>
          <w:szCs w:val="16"/>
        </w:rPr>
        <w:t>а</w:t>
      </w:r>
      <w:r w:rsidRPr="005D7D69">
        <w:rPr>
          <w:rFonts w:ascii="Times New Roman" w:hAnsi="Times New Roman" w:cs="Times New Roman"/>
          <w:color w:val="0070C0"/>
          <w:sz w:val="16"/>
          <w:szCs w:val="16"/>
        </w:rPr>
        <w:t>боч</w:t>
      </w:r>
      <w:r>
        <w:rPr>
          <w:rFonts w:ascii="Times New Roman" w:hAnsi="Times New Roman" w:cs="Times New Roman"/>
          <w:color w:val="0070C0"/>
          <w:sz w:val="16"/>
          <w:szCs w:val="16"/>
        </w:rPr>
        <w:t>их и</w:t>
      </w:r>
      <w:r w:rsidRPr="005D7D69">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о</w:t>
      </w:r>
      <w:r>
        <w:rPr>
          <w:rFonts w:ascii="Times New Roman" w:hAnsi="Times New Roman" w:cs="Times New Roman"/>
          <w:color w:val="0070C0"/>
          <w:sz w:val="16"/>
          <w:szCs w:val="16"/>
        </w:rPr>
        <w:t>л</w:t>
      </w:r>
      <w:r w:rsidRPr="005D7D69">
        <w:rPr>
          <w:rFonts w:ascii="Times New Roman" w:hAnsi="Times New Roman" w:cs="Times New Roman"/>
          <w:color w:val="0070C0"/>
          <w:sz w:val="16"/>
          <w:szCs w:val="16"/>
        </w:rPr>
        <w:t>датск</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х депутатов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партии боль</w:t>
      </w:r>
      <w:r>
        <w:rPr>
          <w:rFonts w:ascii="Times New Roman" w:hAnsi="Times New Roman" w:cs="Times New Roman"/>
          <w:color w:val="0070C0"/>
          <w:sz w:val="16"/>
          <w:szCs w:val="16"/>
        </w:rPr>
        <w:t>ш</w:t>
      </w:r>
      <w:r w:rsidRPr="005D7D69">
        <w:rPr>
          <w:rFonts w:ascii="Times New Roman" w:hAnsi="Times New Roman" w:cs="Times New Roman"/>
          <w:color w:val="0070C0"/>
          <w:sz w:val="16"/>
          <w:szCs w:val="16"/>
        </w:rPr>
        <w:t>ев</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ков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левых соци</w:t>
      </w:r>
      <w:r>
        <w:rPr>
          <w:rFonts w:ascii="Times New Roman" w:hAnsi="Times New Roman" w:cs="Times New Roman"/>
          <w:color w:val="0070C0"/>
          <w:sz w:val="16"/>
          <w:szCs w:val="16"/>
        </w:rPr>
        <w:t>ал-рево</w:t>
      </w:r>
      <w:r w:rsidRPr="005D7D69">
        <w:rPr>
          <w:rFonts w:ascii="Times New Roman" w:hAnsi="Times New Roman" w:cs="Times New Roman"/>
          <w:color w:val="0070C0"/>
          <w:sz w:val="16"/>
          <w:szCs w:val="16"/>
        </w:rPr>
        <w:t>л</w:t>
      </w:r>
      <w:r>
        <w:rPr>
          <w:rFonts w:ascii="Times New Roman" w:hAnsi="Times New Roman" w:cs="Times New Roman"/>
          <w:color w:val="0070C0"/>
          <w:sz w:val="16"/>
          <w:szCs w:val="16"/>
        </w:rPr>
        <w:t>юционеров</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взяв</w:t>
      </w:r>
      <w:r>
        <w:rPr>
          <w:rFonts w:ascii="Times New Roman" w:hAnsi="Times New Roman" w:cs="Times New Roman"/>
          <w:color w:val="0070C0"/>
          <w:sz w:val="16"/>
          <w:szCs w:val="16"/>
        </w:rPr>
        <w:t xml:space="preserve">ших </w:t>
      </w:r>
      <w:r w:rsidRPr="005D7D69">
        <w:rPr>
          <w:rFonts w:ascii="Times New Roman" w:hAnsi="Times New Roman" w:cs="Times New Roman"/>
          <w:color w:val="0070C0"/>
          <w:sz w:val="16"/>
          <w:szCs w:val="16"/>
        </w:rPr>
        <w:t xml:space="preserve">в </w:t>
      </w:r>
      <w:r>
        <w:rPr>
          <w:rFonts w:ascii="Times New Roman" w:hAnsi="Times New Roman" w:cs="Times New Roman"/>
          <w:color w:val="0070C0"/>
          <w:sz w:val="16"/>
          <w:szCs w:val="16"/>
        </w:rPr>
        <w:t>св</w:t>
      </w:r>
      <w:r w:rsidRPr="005D7D69">
        <w:rPr>
          <w:rFonts w:ascii="Times New Roman" w:hAnsi="Times New Roman" w:cs="Times New Roman"/>
          <w:color w:val="0070C0"/>
          <w:sz w:val="16"/>
          <w:szCs w:val="16"/>
        </w:rPr>
        <w:t>о</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руки дело освобождения трудовое народа России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избавления от проклятого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га войны.</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Вме</w:t>
      </w:r>
      <w:r w:rsidRPr="005D7D69">
        <w:rPr>
          <w:rFonts w:ascii="Times New Roman" w:hAnsi="Times New Roman" w:cs="Times New Roman"/>
          <w:color w:val="0070C0"/>
          <w:sz w:val="16"/>
          <w:szCs w:val="16"/>
        </w:rPr>
        <w:softHyphen/>
        <w:t xml:space="preserve">сте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 тем</w:t>
      </w:r>
      <w:r>
        <w:rPr>
          <w:rFonts w:ascii="Times New Roman" w:hAnsi="Times New Roman" w:cs="Times New Roman"/>
          <w:color w:val="0070C0"/>
          <w:sz w:val="16"/>
          <w:szCs w:val="16"/>
        </w:rPr>
        <w:t>, с заявлением</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что если дело дойдет до открытой схватки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 измен</w:t>
      </w:r>
      <w:r>
        <w:rPr>
          <w:rFonts w:ascii="Times New Roman" w:hAnsi="Times New Roman" w:cs="Times New Roman"/>
          <w:color w:val="0070C0"/>
          <w:sz w:val="16"/>
          <w:szCs w:val="16"/>
        </w:rPr>
        <w:t>ник</w:t>
      </w:r>
      <w:r w:rsidRPr="005D7D69">
        <w:rPr>
          <w:rFonts w:ascii="Times New Roman" w:hAnsi="Times New Roman" w:cs="Times New Roman"/>
          <w:color w:val="0070C0"/>
          <w:sz w:val="16"/>
          <w:szCs w:val="16"/>
        </w:rPr>
        <w:t xml:space="preserve">ом революции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народу </w:t>
      </w:r>
      <w:r>
        <w:rPr>
          <w:rFonts w:ascii="Times New Roman" w:hAnsi="Times New Roman" w:cs="Times New Roman"/>
          <w:color w:val="0070C0"/>
          <w:sz w:val="16"/>
          <w:szCs w:val="16"/>
        </w:rPr>
        <w:t>Ке</w:t>
      </w:r>
      <w:r w:rsidRPr="005D7D69">
        <w:rPr>
          <w:rFonts w:ascii="Times New Roman" w:hAnsi="Times New Roman" w:cs="Times New Roman"/>
          <w:color w:val="0070C0"/>
          <w:sz w:val="16"/>
          <w:szCs w:val="16"/>
        </w:rPr>
        <w:t>ре</w:t>
      </w:r>
      <w:r>
        <w:rPr>
          <w:rFonts w:ascii="Times New Roman" w:hAnsi="Times New Roman" w:cs="Times New Roman"/>
          <w:color w:val="0070C0"/>
          <w:sz w:val="16"/>
          <w:szCs w:val="16"/>
        </w:rPr>
        <w:t>н</w:t>
      </w:r>
      <w:r w:rsidRPr="005D7D69">
        <w:rPr>
          <w:rFonts w:ascii="Times New Roman" w:hAnsi="Times New Roman" w:cs="Times New Roman"/>
          <w:color w:val="0070C0"/>
          <w:sz w:val="16"/>
          <w:szCs w:val="16"/>
        </w:rPr>
        <w:t>ский,</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то мы все готовы у</w:t>
      </w:r>
      <w:r>
        <w:rPr>
          <w:rFonts w:ascii="Times New Roman" w:hAnsi="Times New Roman" w:cs="Times New Roman"/>
          <w:color w:val="0070C0"/>
          <w:sz w:val="16"/>
          <w:szCs w:val="16"/>
        </w:rPr>
        <w:t>ме</w:t>
      </w:r>
      <w:r w:rsidRPr="005D7D69">
        <w:rPr>
          <w:rFonts w:ascii="Times New Roman" w:hAnsi="Times New Roman" w:cs="Times New Roman"/>
          <w:color w:val="0070C0"/>
          <w:sz w:val="16"/>
          <w:szCs w:val="16"/>
        </w:rPr>
        <w:t>р</w:t>
      </w:r>
      <w:r>
        <w:rPr>
          <w:rFonts w:ascii="Times New Roman" w:hAnsi="Times New Roman" w:cs="Times New Roman"/>
          <w:color w:val="0070C0"/>
          <w:sz w:val="16"/>
          <w:szCs w:val="16"/>
        </w:rPr>
        <w:t>е</w:t>
      </w:r>
      <w:r w:rsidRPr="005D7D69">
        <w:rPr>
          <w:rFonts w:ascii="Times New Roman" w:hAnsi="Times New Roman" w:cs="Times New Roman"/>
          <w:color w:val="0070C0"/>
          <w:sz w:val="16"/>
          <w:szCs w:val="16"/>
        </w:rPr>
        <w:t>ть,</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но</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не дадим вырвать власть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з рук народа...»</w:t>
      </w:r>
    </w:p>
    <w:p w14:paraId="6866B4A3" w14:textId="77777777" w:rsidR="008C783F" w:rsidRDefault="008C783F"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/Документы Великой Пролетарской Революции, 1938, т. 1. стр. 88/ (23370).</w:t>
      </w:r>
    </w:p>
    <w:p w14:paraId="472CB3D2" w14:textId="77777777" w:rsidR="008C783F" w:rsidRDefault="008C783F" w:rsidP="0083075A">
      <w:pPr>
        <w:spacing w:after="0" w:line="240" w:lineRule="auto"/>
        <w:jc w:val="both"/>
        <w:rPr>
          <w:rFonts w:ascii="Times New Roman" w:hAnsi="Times New Roman" w:cs="Times New Roman"/>
          <w:color w:val="0070C0"/>
          <w:sz w:val="16"/>
          <w:szCs w:val="16"/>
        </w:rPr>
      </w:pPr>
    </w:p>
    <w:p w14:paraId="11ECF1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(29 - 237, 130) (10 или 11 ноября) октября 1917 по указанию В.И.Л. был сформирован первый социалистический авиаотряд (108,16) для борьбы с войсками Керенского - Краснова. Приказ звучал "...авиационным частям привести в боевую готовность все боевые аппараты, четырем аэропланам на рассвете быть на Корпусном аэродроме и ждать распоряжений. Остальным быть готовым в резерве..." (66,21).</w:t>
      </w:r>
    </w:p>
    <w:p w14:paraId="4A05EE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8F8C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октября (10 ноября) 1917 по указанию В.И.Л. было создано "Бюро комиссаров Воздушного Флота", приступившее к подбору авиационных кадров и организации охраны и сбора авиационного имущества (271,75).</w:t>
      </w:r>
    </w:p>
    <w:p w14:paraId="7E143E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Состоялось собрание военных комиссаров авиации с представителями команд авиационных и воздухоплавательных частей и именно это собрание избрало Бюро как орган ВРК (1849,13).</w:t>
      </w:r>
    </w:p>
    <w:p w14:paraId="69BA58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другим данным 28 октября 1917 по указанию В.И.Л. в Петрограде был создан первый орган по управлению ВФ - Бюро комиссаров авиации и воздухоплавания (УВВФ) в составе 8 чел. во главе с А.В.Можаевым. На первом заседании решили подчинить бюро штабу революции в Смольном и переизбрать во всех авиачастях командиров и солдатские комитеты (356,25).</w:t>
      </w:r>
    </w:p>
    <w:p w14:paraId="2CCED8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третьим данным в Петрограде, в Смольном при Военно-революционном комитете под председательством А.В.Можаева 28 октября 1917 было образовано Бюро военных комиссаров авиационных и воздухоплавательных частей Петроградского гарнизона (579,215), а в Москве чуть позже под руководством Б.И.Россинского сформировался Военно-революционный комитет по авиации Московского военного округа (580,127).</w:t>
      </w:r>
    </w:p>
    <w:p w14:paraId="16632A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Есть данные, что при ВРК Петроградского совета было организовано не только Бюро военных комиссаров авиационных и воздухоплавательных частей Петроградского гарнизона, но и Отдел организации революционно-воздушных сил (80,18). Для установление политического контроля над деятельностью Увофлота Петроградское бюро направило в Увофлот своих представителей и в т.ч. А.В.Можаева, К.В.Акашева и С.А.Андреева (80,18).</w:t>
      </w:r>
    </w:p>
    <w:p w14:paraId="7566EB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Наряду со своими основными функциями - борьбой за подчинение военных воздухоплавательных частей указаниям Советского правительства, организацией новых военных авиационных отрядов, обеспечением работы авиашкол - эти органы осуществляли надзор за деятельностью авиационных предприятий. Однако заводы контролировались лишь в той мере, в какой это вызывалось необходимостью обеспечения выполнения военных заказов. В случае затяжных конфликтов между предпринимателями и рабочими неблагополучные предприятия конфисковывались (275).</w:t>
      </w:r>
    </w:p>
    <w:p w14:paraId="0861BF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Бюро военных комиссаров авиационных и воздухоплавательных частей Петроградского гарнизона и Военно-революционный комитет по авиации Московского военного округа функционировали некоторое время параллельно с еще существовавшими учреждениями свергнутого буржуазного Временного правительства, занимавшими непримиримые позиции по отношению к Советской власти. Основным из них было Управление военно-воздушного флота (Увофлот), ликвидированное в декабре 1917 г (275).</w:t>
      </w:r>
    </w:p>
    <w:p w14:paraId="290A35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A26E00" w14:textId="77777777" w:rsidR="00A6454A" w:rsidRPr="002F2FDF" w:rsidRDefault="00A6454A"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28 октября (10 ноября) </w:t>
      </w:r>
      <w:r w:rsidRPr="002F2FDF">
        <w:rPr>
          <w:rFonts w:ascii="Times New Roman" w:hAnsi="Times New Roman" w:cs="Times New Roman"/>
          <w:color w:val="000000" w:themeColor="text1"/>
          <w:kern w:val="2"/>
          <w:sz w:val="16"/>
          <w:szCs w:val="16"/>
        </w:rPr>
        <w:t>в 1917 году по указу Владимира Ильича Ленина Военно-революционный комитет образовал Бюро комиссаров авиации и воздухоплавания. Его председателем был избран А.В.Можаев, солдат-летчик, коммунист. Началось формирование первых авиационных отрядов, основу которых составляли авиаторы и самолеты дореволюционной России, находившиеся на фронтах продолжавшейся мировой войны. Из Киева и Полтавы самолеты и имущество вывозились под огнем немецких войск и петлюровских банд, 1-й авиационный парк оставил Одессу в тот момент, когда немцы входили в город. В общей сложности с фронтов было выведено более 50 истребительных, разведывательных и воздухоплавательных отрядов, в которых насчитывалось около 300 самолетов 19 различных типов. Это были в основном разведчики типа "Фарман-30", "Сопвич" и "Ньюпор-10", истребители "Ньюпор-17" и "Ньюпор-23". Скорость их полета не превышала 135-170 км/час, а потолок - 4500-5000 м. К концу 1918 года в составе Красного воздушного флота было 269 летчиков и 59 летчиков-наблюдателей. В 1918-1920 годах в стране уже действовало 12 авиационных школ и курсов, подготовивших за годы гражданской войны 1100 летчиков и 240 летчиков-наблюдателей. За годы гражданской войны летчики провели 144 воздушных боя и сбили 21 самолет противника, было совершено более 20 тысяч самолето-вылетов, сброшено свыше 95 тысяч бомб и 9 тысяч кг агитационной литературы. Высшей награды того времени - ордена Красного Знамени удостоены 219 летчиков и летчиков-наблюдателей, 19 из них - дважды, а И.У.Павлов, П.X.Межерауп, С.А.Монастырев, Ю.И.Арватов, Я.Н.Моисеев и летчик-наблюдатель Е.М.Ухин - трижды (14826).</w:t>
      </w:r>
    </w:p>
    <w:p w14:paraId="7D62988A" w14:textId="77777777" w:rsidR="00A6454A" w:rsidRPr="002F2FDF" w:rsidRDefault="00A6454A" w:rsidP="0083075A">
      <w:pPr>
        <w:spacing w:after="0" w:line="240" w:lineRule="auto"/>
        <w:jc w:val="both"/>
        <w:rPr>
          <w:rFonts w:ascii="Times New Roman" w:hAnsi="Times New Roman" w:cs="Times New Roman"/>
          <w:color w:val="000000" w:themeColor="text1"/>
          <w:kern w:val="2"/>
          <w:sz w:val="16"/>
          <w:szCs w:val="16"/>
        </w:rPr>
      </w:pPr>
    </w:p>
    <w:p w14:paraId="549798CC" w14:textId="77777777" w:rsidR="00412A61" w:rsidRPr="005D7D69" w:rsidRDefault="00412A61"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28 октября (10 ноября) 1917 г. в Петрограде, при Военно-революционном комитете приказом его председателя Н. И.Подвойского было создано Бюро комисса</w:t>
      </w:r>
      <w:r w:rsidRPr="005D7D69">
        <w:rPr>
          <w:rFonts w:ascii="Times New Roman" w:hAnsi="Times New Roman" w:cs="Times New Roman"/>
          <w:color w:val="0070C0"/>
          <w:sz w:val="16"/>
          <w:szCs w:val="16"/>
        </w:rPr>
        <w:softHyphen/>
        <w:t>ров авиаспоЕннх и воздухоплавательных частей - первый революцион</w:t>
      </w:r>
      <w:r w:rsidRPr="005D7D69">
        <w:rPr>
          <w:rFonts w:ascii="Times New Roman" w:hAnsi="Times New Roman" w:cs="Times New Roman"/>
          <w:color w:val="0070C0"/>
          <w:sz w:val="16"/>
          <w:szCs w:val="16"/>
        </w:rPr>
        <w:softHyphen/>
        <w:t>ней орган по созданию советского воздушного флота. Бюро было соз</w:t>
      </w:r>
      <w:r w:rsidRPr="005D7D69">
        <w:rPr>
          <w:rFonts w:ascii="Times New Roman" w:hAnsi="Times New Roman" w:cs="Times New Roman"/>
          <w:color w:val="0070C0"/>
          <w:sz w:val="16"/>
          <w:szCs w:val="16"/>
        </w:rPr>
        <w:softHyphen/>
        <w:t>дано из восьми представителей авиа- и воздухчастей Петрограда, Гатчины, Ораниенбаума и некоторых пригородов столицы. Председателем был утверждав Александр Васильевич Можаев - бывший слесарь завода "Дукс, один из организаторов там стачки в 1912 году. Штаб Бюро разместился в Смольном, в непосредственной близости с кабинетом В.И.Ленина. На первом же заседании Бюро наметило первоочередные задачи по созданию советского воздушного флота, советизация всех авиа- и воздухчастей, охранение авиационного и воздухоплавательного имущества, формирование авиа- и воздухочастей, подбор для них надежных кадров, образование центрального ап</w:t>
      </w:r>
      <w:r w:rsidRPr="005D7D69">
        <w:rPr>
          <w:rFonts w:ascii="Times New Roman" w:hAnsi="Times New Roman" w:cs="Times New Roman"/>
          <w:color w:val="0070C0"/>
          <w:sz w:val="16"/>
          <w:szCs w:val="16"/>
        </w:rPr>
        <w:softHyphen/>
        <w:t>парата по управлению воздушным флотом и др. Этими мероприятиями было положено начало советскому воздушному флоту, за два месяца своей деятельности бюро сформировало шесть Социалистических авнаотрядов, которые тотчас же выступили на защиту завоеваний Октября.</w:t>
      </w:r>
    </w:p>
    <w:p w14:paraId="56CDAF1D" w14:textId="77777777" w:rsidR="00412A61" w:rsidRPr="005D7D69" w:rsidRDefault="00412A61"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/"Вестник воздуиного флота", 1933 № 2; 1957 № 10/ (23370).</w:t>
      </w:r>
    </w:p>
    <w:p w14:paraId="2BC3BFAE" w14:textId="77777777" w:rsidR="00412A61" w:rsidRPr="005D7D69" w:rsidRDefault="00412A61" w:rsidP="0083075A">
      <w:pPr>
        <w:spacing w:after="0" w:line="240" w:lineRule="auto"/>
        <w:jc w:val="both"/>
        <w:rPr>
          <w:rFonts w:ascii="Times New Roman" w:hAnsi="Times New Roman" w:cs="Times New Roman"/>
          <w:color w:val="0070C0"/>
          <w:sz w:val="16"/>
          <w:szCs w:val="16"/>
        </w:rPr>
      </w:pPr>
    </w:p>
    <w:p w14:paraId="4AE08544" w14:textId="789429B4" w:rsidR="0013042E" w:rsidRPr="00FB4F67" w:rsidRDefault="0017585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28 октября (</w:t>
      </w:r>
      <w:r w:rsidR="0013042E" w:rsidRPr="00FB4F67">
        <w:rPr>
          <w:rFonts w:ascii="Times New Roman" w:hAnsi="Times New Roman" w:cs="Times New Roman"/>
          <w:color w:val="0070C0"/>
          <w:sz w:val="16"/>
          <w:szCs w:val="16"/>
        </w:rPr>
        <w:t>10 ноября</w:t>
      </w:r>
      <w:r>
        <w:rPr>
          <w:rFonts w:ascii="Times New Roman" w:hAnsi="Times New Roman" w:cs="Times New Roman"/>
          <w:color w:val="0070C0"/>
          <w:sz w:val="16"/>
          <w:szCs w:val="16"/>
        </w:rPr>
        <w:t>)</w:t>
      </w:r>
      <w:r w:rsidR="0013042E" w:rsidRPr="00FB4F67">
        <w:rPr>
          <w:rFonts w:ascii="Times New Roman" w:hAnsi="Times New Roman" w:cs="Times New Roman"/>
          <w:color w:val="0070C0"/>
          <w:sz w:val="16"/>
          <w:szCs w:val="16"/>
        </w:rPr>
        <w:t xml:space="preserve"> 1917 г. в Петрограде было создано Бюро комиссаров авиации и воздухоплавания (Петроградское бюро комиссаров авиации и воздухоплавания) под председательством комиссара К. В. Акашева, в которое вошли А. В. Можаев, Е. И. Ахматович, С. Е. Андреев и М. Д. Ермолаев, вскоре перешедшие на сторону белых. в Херсоне на юге России.</w:t>
      </w:r>
    </w:p>
    <w:p w14:paraId="22655E51" w14:textId="77777777" w:rsidR="0013042E" w:rsidRPr="00FB4F67" w:rsidRDefault="0013042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этот период большевики образовали Авиационный совет, в который вошли такие люди, как А.В. Сергеев, П.С. Дубенский, З.Я. Ландау, Я.Т. Конкин и В.С. Горшков. Между двумя группами возник конфликт, но они объединились, чтобы взять на себя бразды правления существующим Правлением Воздушного Флота, которое состояло из антибольшевиков. Еще существовавший Военно-Воздушный Флот возглавляли три отдельных Главка.</w:t>
      </w:r>
    </w:p>
    <w:p w14:paraId="25E01063" w14:textId="77777777" w:rsidR="0013042E" w:rsidRPr="00FB4F67" w:rsidRDefault="0013042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Это было подчиненное Военному министру Управление воздушного флота (Управление воздушного флота), отвечавшее за авиацию и воздухоплавательные части в тылу, куда входили школы, авиапарки, склады и снабжение фронтовых частей. Управление морской авиации (УМА) (Управление морской авиации), в ведении которого находились отряды морской авиации. И Генеральное управление полевой авиации и авиационного инспектора (АВИАКАНЦ) (Полевого управления авиации и воздухоплавания) при Ставке Верховного Главнокомандующего, которое возглавляло все части фронта. Части морской авиации оперативно подчинялись командующим флотами и их штабам.</w:t>
      </w:r>
    </w:p>
    <w:p w14:paraId="1FE159F8" w14:textId="77777777" w:rsidR="0013042E" w:rsidRPr="00FB4F67" w:rsidRDefault="0013042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этот хаотичный период УВОФЛОТ (Управление воздушного флота) перестал функционировать, поскольку 11 ноября красные сформировали новое Управление военно-воздушного флота. Управление морской авиации по-прежнему продолжало функционировать.</w:t>
      </w:r>
    </w:p>
    <w:p w14:paraId="234534D2" w14:textId="77777777" w:rsidR="0013042E" w:rsidRPr="00FB4F67" w:rsidRDefault="0013042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Красные быстро взяли под свой контроль Офицерскую воздухоплавательную школу на Войковом поле; Кронштадтская крепость АО; Петроградский АО в Царском Селе; школа аэроклуба; Военная авиационная школа в Гатчине; Корпусной и Комендантский аэродромы; военно-морское авиационное училище в Красном Селе; и военно-морское авиационное училище в Ораниенбауме (23525).</w:t>
      </w:r>
    </w:p>
    <w:p w14:paraId="310818D5" w14:textId="77777777" w:rsidR="0013042E" w:rsidRPr="00FB4F67" w:rsidRDefault="0013042E" w:rsidP="0083075A">
      <w:pPr>
        <w:spacing w:after="0" w:line="240" w:lineRule="auto"/>
        <w:jc w:val="both"/>
        <w:rPr>
          <w:rFonts w:ascii="Times New Roman" w:hAnsi="Times New Roman" w:cs="Times New Roman"/>
          <w:color w:val="0070C0"/>
          <w:sz w:val="16"/>
          <w:szCs w:val="16"/>
        </w:rPr>
      </w:pPr>
    </w:p>
    <w:p w14:paraId="1EAD743B" w14:textId="77777777" w:rsidR="0013042E" w:rsidRPr="00FB4F67" w:rsidRDefault="0013042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10 ноября 1917 г. солдаты гарнизона ЭВК в Виннице подняли восстание против своих офицеров, у которых было захвачено оружие (в том числе пулеметный склад ЭВК). На базе в ремонте или сборке находилось восемь ИМ. На фронте осталось всего десять дежурных ИМ. 28 ноября на Винницу обрушился сильный шторм, выбив два служебных и два учебных корабля, а также одиннадцать Sikorskiy S-16, Farmans и Voisins (23525).</w:t>
      </w:r>
    </w:p>
    <w:p w14:paraId="7F50AE88" w14:textId="77777777" w:rsidR="0013042E" w:rsidRPr="00FB4F67" w:rsidRDefault="0013042E" w:rsidP="0083075A">
      <w:pPr>
        <w:spacing w:after="0" w:line="240" w:lineRule="auto"/>
        <w:jc w:val="both"/>
        <w:rPr>
          <w:rFonts w:ascii="Times New Roman" w:hAnsi="Times New Roman" w:cs="Times New Roman"/>
          <w:color w:val="0070C0"/>
          <w:sz w:val="16"/>
          <w:szCs w:val="16"/>
        </w:rPr>
      </w:pPr>
    </w:p>
    <w:p w14:paraId="554492F6" w14:textId="77777777" w:rsidR="0013042E" w:rsidRPr="00FB4F67" w:rsidRDefault="0013042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10 ноября 1917 г. донской атаман генерал А. М. Каледин прибыл в столицу Дона Новочеркасск и начал работу по формированию антибольшевистских отрядов для борьбы с красными (23525).</w:t>
      </w:r>
    </w:p>
    <w:p w14:paraId="42C6D570" w14:textId="77777777" w:rsidR="0013042E" w:rsidRPr="00FB4F67" w:rsidRDefault="0013042E" w:rsidP="0083075A">
      <w:pPr>
        <w:spacing w:after="0" w:line="240" w:lineRule="auto"/>
        <w:jc w:val="both"/>
        <w:rPr>
          <w:rFonts w:ascii="Times New Roman" w:hAnsi="Times New Roman" w:cs="Times New Roman"/>
          <w:color w:val="0070C0"/>
          <w:sz w:val="16"/>
          <w:szCs w:val="16"/>
        </w:rPr>
      </w:pPr>
    </w:p>
    <w:p w14:paraId="2304A25D" w14:textId="77777777" w:rsidR="00905338" w:rsidRPr="002F2FDF" w:rsidRDefault="00905338" w:rsidP="0083075A">
      <w:pPr>
        <w:pStyle w:val="191"/>
        <w:shd w:val="clear" w:color="auto" w:fill="auto"/>
        <w:spacing w:before="0"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w:t>
      </w:r>
      <w:r w:rsidRPr="002F2FDF">
        <w:rPr>
          <w:rFonts w:ascii="Times New Roman" w:hAnsi="Times New Roman" w:cs="Times New Roman"/>
          <w:color w:val="000000" w:themeColor="text1"/>
          <w:sz w:val="16"/>
          <w:szCs w:val="16"/>
          <w:lang w:val="ru-RU"/>
        </w:rPr>
        <w:t>8</w:t>
      </w:r>
      <w:r w:rsidRPr="002F2FDF">
        <w:rPr>
          <w:rFonts w:ascii="Times New Roman" w:hAnsi="Times New Roman" w:cs="Times New Roman"/>
          <w:color w:val="000000" w:themeColor="text1"/>
          <w:sz w:val="16"/>
          <w:szCs w:val="16"/>
        </w:rPr>
        <w:t xml:space="preserve"> октября </w:t>
      </w:r>
      <w:r w:rsidRPr="002F2FDF">
        <w:rPr>
          <w:rFonts w:ascii="Times New Roman" w:hAnsi="Times New Roman" w:cs="Times New Roman"/>
          <w:color w:val="000000" w:themeColor="text1"/>
          <w:sz w:val="16"/>
          <w:szCs w:val="16"/>
          <w:lang w:val="ru-RU"/>
        </w:rPr>
        <w:t>(</w:t>
      </w:r>
      <w:r w:rsidRPr="002F2FDF">
        <w:rPr>
          <w:rFonts w:ascii="Times New Roman" w:hAnsi="Times New Roman" w:cs="Times New Roman"/>
          <w:color w:val="000000" w:themeColor="text1"/>
          <w:sz w:val="16"/>
          <w:szCs w:val="16"/>
        </w:rPr>
        <w:t>1</w:t>
      </w:r>
      <w:r w:rsidRPr="002F2FDF">
        <w:rPr>
          <w:rFonts w:ascii="Times New Roman" w:hAnsi="Times New Roman" w:cs="Times New Roman"/>
          <w:color w:val="000000" w:themeColor="text1"/>
          <w:sz w:val="16"/>
          <w:szCs w:val="16"/>
          <w:lang w:val="ru-RU"/>
        </w:rPr>
        <w:t>0</w:t>
      </w:r>
      <w:r w:rsidRPr="002F2FDF">
        <w:rPr>
          <w:rFonts w:ascii="Times New Roman" w:hAnsi="Times New Roman" w:cs="Times New Roman"/>
          <w:color w:val="000000" w:themeColor="text1"/>
          <w:sz w:val="16"/>
          <w:szCs w:val="16"/>
        </w:rPr>
        <w:t xml:space="preserve"> ноября) 1917 г. был создан Путиловский Стальной противосамолетный артдивизион, в состав которого кроме восьми зенитных пушек вошли и 12-14 станковых пулеметов. К началу 1918 года в воздушную оборону Петрограда входили 13 противосамолетных батарей и пять пулеметных взводов. После переезда прави</w:t>
      </w:r>
      <w:r w:rsidRPr="002F2FDF">
        <w:rPr>
          <w:rFonts w:ascii="Times New Roman" w:hAnsi="Times New Roman" w:cs="Times New Roman"/>
          <w:color w:val="000000" w:themeColor="text1"/>
          <w:sz w:val="16"/>
          <w:szCs w:val="16"/>
        </w:rPr>
        <w:softHyphen/>
        <w:t>тельства в Москву в апреле 1918 г. началось формирование московской системы ПВО</w:t>
      </w:r>
      <w:r w:rsidRPr="002F2FDF">
        <w:rPr>
          <w:rFonts w:ascii="Times New Roman" w:hAnsi="Times New Roman" w:cs="Times New Roman"/>
          <w:color w:val="000000" w:themeColor="text1"/>
          <w:sz w:val="16"/>
          <w:szCs w:val="16"/>
          <w:lang w:val="ru-RU"/>
        </w:rPr>
        <w:t xml:space="preserve"> (19860)</w:t>
      </w:r>
      <w:r w:rsidRPr="002F2FDF">
        <w:rPr>
          <w:rFonts w:ascii="Times New Roman" w:hAnsi="Times New Roman" w:cs="Times New Roman"/>
          <w:color w:val="000000" w:themeColor="text1"/>
          <w:sz w:val="16"/>
          <w:szCs w:val="16"/>
        </w:rPr>
        <w:t>.</w:t>
      </w:r>
    </w:p>
    <w:p w14:paraId="03D598C3" w14:textId="77777777" w:rsidR="00905338" w:rsidRPr="002F2FDF" w:rsidRDefault="00905338" w:rsidP="0083075A">
      <w:pPr>
        <w:shd w:val="clear" w:color="auto" w:fill="FFFFFF"/>
        <w:spacing w:after="0" w:line="240" w:lineRule="auto"/>
        <w:jc w:val="both"/>
        <w:rPr>
          <w:rFonts w:ascii="Times New Roman" w:hAnsi="Times New Roman" w:cs="Times New Roman"/>
          <w:color w:val="000000" w:themeColor="text1"/>
          <w:sz w:val="16"/>
          <w:szCs w:val="16"/>
        </w:rPr>
      </w:pPr>
    </w:p>
    <w:p w14:paraId="4A82DC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октября (10 ноября) 1917 советским самолетом была произведена воздушная разведка войск Керенского на подступах к Петрограду (271,75).</w:t>
      </w:r>
    </w:p>
    <w:p w14:paraId="194734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B10D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октября (10 ноября) 1917 летчик И.С.Лапоногов по заданию солдатского комитета летал бросать листовки над расположением частей генерала Краснова (66,67).</w:t>
      </w:r>
    </w:p>
    <w:p w14:paraId="32529F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20E3CD" w14:textId="77777777" w:rsidR="00BE6188" w:rsidRPr="005D7D69" w:rsidRDefault="00BE6188"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 xml:space="preserve">28 октября (10 ноября) 1917 г. </w:t>
      </w:r>
      <w:r>
        <w:rPr>
          <w:rFonts w:ascii="Times New Roman" w:hAnsi="Times New Roman" w:cs="Times New Roman"/>
          <w:color w:val="0070C0"/>
          <w:sz w:val="16"/>
          <w:szCs w:val="16"/>
        </w:rPr>
        <w:t>л</w:t>
      </w:r>
      <w:r w:rsidRPr="005D7D69">
        <w:rPr>
          <w:rFonts w:ascii="Times New Roman" w:hAnsi="Times New Roman" w:cs="Times New Roman"/>
          <w:color w:val="0070C0"/>
          <w:sz w:val="16"/>
          <w:szCs w:val="16"/>
        </w:rPr>
        <w:t>етчик Гатчинской авиа</w:t>
      </w:r>
      <w:r>
        <w:rPr>
          <w:rFonts w:ascii="Times New Roman" w:hAnsi="Times New Roman" w:cs="Times New Roman"/>
          <w:color w:val="0070C0"/>
          <w:sz w:val="16"/>
          <w:szCs w:val="16"/>
        </w:rPr>
        <w:t>шко</w:t>
      </w:r>
      <w:r w:rsidRPr="005D7D69">
        <w:rPr>
          <w:rFonts w:ascii="Times New Roman" w:hAnsi="Times New Roman" w:cs="Times New Roman"/>
          <w:color w:val="0070C0"/>
          <w:sz w:val="16"/>
          <w:szCs w:val="16"/>
        </w:rPr>
        <w:t>л</w:t>
      </w:r>
      <w:r>
        <w:rPr>
          <w:rFonts w:ascii="Times New Roman" w:hAnsi="Times New Roman" w:cs="Times New Roman"/>
          <w:color w:val="0070C0"/>
          <w:sz w:val="16"/>
          <w:szCs w:val="16"/>
        </w:rPr>
        <w:t>ы</w:t>
      </w:r>
      <w:r w:rsidRPr="005D7D69">
        <w:rPr>
          <w:rFonts w:ascii="Times New Roman" w:hAnsi="Times New Roman" w:cs="Times New Roman"/>
          <w:color w:val="0070C0"/>
          <w:sz w:val="16"/>
          <w:szCs w:val="16"/>
        </w:rPr>
        <w:t xml:space="preserve"> Иосиф Семенович Лапоногов по заданию солдатского комитета вылетел в район Дудергс</w:t>
      </w:r>
      <w:r>
        <w:rPr>
          <w:rFonts w:ascii="Times New Roman" w:hAnsi="Times New Roman" w:cs="Times New Roman"/>
          <w:color w:val="0070C0"/>
          <w:sz w:val="16"/>
          <w:szCs w:val="16"/>
        </w:rPr>
        <w:t>го</w:t>
      </w:r>
      <w:r w:rsidRPr="005D7D69">
        <w:rPr>
          <w:rFonts w:ascii="Times New Roman" w:hAnsi="Times New Roman" w:cs="Times New Roman"/>
          <w:color w:val="0070C0"/>
          <w:sz w:val="16"/>
          <w:szCs w:val="16"/>
        </w:rPr>
        <w:t>фск</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х высот с грузом </w:t>
      </w:r>
      <w:r>
        <w:rPr>
          <w:rFonts w:ascii="Times New Roman" w:hAnsi="Times New Roman" w:cs="Times New Roman"/>
          <w:color w:val="0070C0"/>
          <w:sz w:val="16"/>
          <w:szCs w:val="16"/>
        </w:rPr>
        <w:t>а</w:t>
      </w:r>
      <w:r w:rsidRPr="005D7D69">
        <w:rPr>
          <w:rFonts w:ascii="Times New Roman" w:hAnsi="Times New Roman" w:cs="Times New Roman"/>
          <w:color w:val="0070C0"/>
          <w:sz w:val="16"/>
          <w:szCs w:val="16"/>
        </w:rPr>
        <w:t>гитли</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товок и разбросал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х над расположением казачьей д</w:t>
      </w:r>
      <w:r>
        <w:rPr>
          <w:rFonts w:ascii="Times New Roman" w:hAnsi="Times New Roman" w:cs="Times New Roman"/>
          <w:color w:val="0070C0"/>
          <w:sz w:val="16"/>
          <w:szCs w:val="16"/>
        </w:rPr>
        <w:t>ивизии</w:t>
      </w:r>
      <w:r w:rsidRPr="005D7D69">
        <w:rPr>
          <w:rFonts w:ascii="Times New Roman" w:hAnsi="Times New Roman" w:cs="Times New Roman"/>
          <w:color w:val="0070C0"/>
          <w:sz w:val="16"/>
          <w:szCs w:val="16"/>
        </w:rPr>
        <w:t xml:space="preserve"> г</w:t>
      </w:r>
      <w:r>
        <w:rPr>
          <w:rFonts w:ascii="Times New Roman" w:hAnsi="Times New Roman" w:cs="Times New Roman"/>
          <w:color w:val="0070C0"/>
          <w:sz w:val="16"/>
          <w:szCs w:val="16"/>
        </w:rPr>
        <w:t>е</w:t>
      </w:r>
      <w:r w:rsidRPr="005D7D69">
        <w:rPr>
          <w:rFonts w:ascii="Times New Roman" w:hAnsi="Times New Roman" w:cs="Times New Roman"/>
          <w:color w:val="0070C0"/>
          <w:sz w:val="16"/>
          <w:szCs w:val="16"/>
        </w:rPr>
        <w:t xml:space="preserve">н. Краснова, </w:t>
      </w:r>
      <w:r>
        <w:rPr>
          <w:rFonts w:ascii="Times New Roman" w:hAnsi="Times New Roman" w:cs="Times New Roman"/>
          <w:color w:val="0070C0"/>
          <w:sz w:val="16"/>
          <w:szCs w:val="16"/>
        </w:rPr>
        <w:t>ш</w:t>
      </w:r>
      <w:r w:rsidRPr="005D7D69">
        <w:rPr>
          <w:rFonts w:ascii="Times New Roman" w:hAnsi="Times New Roman" w:cs="Times New Roman"/>
          <w:color w:val="0070C0"/>
          <w:sz w:val="16"/>
          <w:szCs w:val="16"/>
        </w:rPr>
        <w:t>ед</w:t>
      </w:r>
      <w:r>
        <w:rPr>
          <w:rFonts w:ascii="Times New Roman" w:hAnsi="Times New Roman" w:cs="Times New Roman"/>
          <w:color w:val="0070C0"/>
          <w:sz w:val="16"/>
          <w:szCs w:val="16"/>
        </w:rPr>
        <w:t>ш</w:t>
      </w:r>
      <w:r w:rsidRPr="005D7D69">
        <w:rPr>
          <w:rFonts w:ascii="Times New Roman" w:hAnsi="Times New Roman" w:cs="Times New Roman"/>
          <w:color w:val="0070C0"/>
          <w:sz w:val="16"/>
          <w:szCs w:val="16"/>
        </w:rPr>
        <w:t xml:space="preserve">ей </w:t>
      </w:r>
      <w:r>
        <w:rPr>
          <w:rFonts w:ascii="Times New Roman" w:hAnsi="Times New Roman" w:cs="Times New Roman"/>
          <w:color w:val="0070C0"/>
          <w:sz w:val="16"/>
          <w:szCs w:val="16"/>
        </w:rPr>
        <w:t>н</w:t>
      </w:r>
      <w:r w:rsidRPr="005D7D69">
        <w:rPr>
          <w:rFonts w:ascii="Times New Roman" w:hAnsi="Times New Roman" w:cs="Times New Roman"/>
          <w:color w:val="0070C0"/>
          <w:sz w:val="16"/>
          <w:szCs w:val="16"/>
        </w:rPr>
        <w:t>а подавление вооруженного восстания в Петро граде</w:t>
      </w:r>
      <w:r>
        <w:rPr>
          <w:rFonts w:ascii="Times New Roman" w:hAnsi="Times New Roman" w:cs="Times New Roman"/>
          <w:color w:val="0070C0"/>
          <w:sz w:val="16"/>
          <w:szCs w:val="16"/>
        </w:rPr>
        <w:t>. А</w:t>
      </w:r>
      <w:r w:rsidRPr="005D7D69">
        <w:rPr>
          <w:rFonts w:ascii="Times New Roman" w:hAnsi="Times New Roman" w:cs="Times New Roman"/>
          <w:color w:val="0070C0"/>
          <w:sz w:val="16"/>
          <w:szCs w:val="16"/>
        </w:rPr>
        <w:t>гитли</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товки вызвали смятение в рядах казаков.</w:t>
      </w:r>
      <w:r>
        <w:rPr>
          <w:rFonts w:ascii="Times New Roman" w:hAnsi="Times New Roman" w:cs="Times New Roman"/>
          <w:color w:val="0070C0"/>
          <w:sz w:val="16"/>
          <w:szCs w:val="16"/>
        </w:rPr>
        <w:t xml:space="preserve"> Э</w:t>
      </w:r>
      <w:r w:rsidRPr="005D7D69">
        <w:rPr>
          <w:rFonts w:ascii="Times New Roman" w:hAnsi="Times New Roman" w:cs="Times New Roman"/>
          <w:color w:val="0070C0"/>
          <w:sz w:val="16"/>
          <w:szCs w:val="16"/>
        </w:rPr>
        <w:t>то было первое применение советского самолета в защите революция.</w:t>
      </w:r>
    </w:p>
    <w:p w14:paraId="4CCFE4F9" w14:textId="77777777" w:rsidR="00BE6188" w:rsidRDefault="00BE6188"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 xml:space="preserve">/"Гражданская авиация", 1957 </w:t>
      </w:r>
      <w:r>
        <w:rPr>
          <w:rFonts w:ascii="Times New Roman" w:hAnsi="Times New Roman" w:cs="Times New Roman"/>
          <w:color w:val="0070C0"/>
          <w:sz w:val="16"/>
          <w:szCs w:val="16"/>
        </w:rPr>
        <w:t xml:space="preserve">№ 10; </w:t>
      </w:r>
      <w:r w:rsidRPr="005D7D69">
        <w:rPr>
          <w:rFonts w:ascii="Times New Roman" w:hAnsi="Times New Roman" w:cs="Times New Roman"/>
          <w:color w:val="0070C0"/>
          <w:sz w:val="16"/>
          <w:szCs w:val="16"/>
        </w:rPr>
        <w:t>И.Лапоногов.</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Незабываемые дни/ </w:t>
      </w:r>
      <w:r>
        <w:rPr>
          <w:rFonts w:ascii="Times New Roman" w:hAnsi="Times New Roman" w:cs="Times New Roman"/>
          <w:color w:val="0070C0"/>
          <w:sz w:val="16"/>
          <w:szCs w:val="16"/>
        </w:rPr>
        <w:t>(23370).</w:t>
      </w:r>
    </w:p>
    <w:p w14:paraId="5E8FF275" w14:textId="77777777" w:rsidR="00BE6188" w:rsidRDefault="00BE6188" w:rsidP="0083075A">
      <w:pPr>
        <w:spacing w:after="0" w:line="240" w:lineRule="auto"/>
        <w:jc w:val="both"/>
        <w:rPr>
          <w:rFonts w:ascii="Times New Roman" w:hAnsi="Times New Roman" w:cs="Times New Roman"/>
          <w:color w:val="0070C0"/>
          <w:sz w:val="16"/>
          <w:szCs w:val="16"/>
        </w:rPr>
      </w:pPr>
    </w:p>
    <w:p w14:paraId="26CD621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03912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37FFD3" w14:textId="52A59323" w:rsidR="0013042E" w:rsidRPr="00FB4F67" w:rsidRDefault="0013042E"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28 оетября (</w:t>
      </w:r>
      <w:r w:rsidRPr="00FB4F67">
        <w:rPr>
          <w:rFonts w:ascii="Times New Roman" w:hAnsi="Times New Roman" w:cs="Times New Roman"/>
          <w:color w:val="0070C0"/>
          <w:sz w:val="16"/>
          <w:szCs w:val="16"/>
        </w:rPr>
        <w:t>10 ноября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Петрограде открылся II Всероссийский съезд. Ленин официально стал премьером. Большевики сформировали коалиционную администрацию с радикальными эсерами и левыми эсерами. Красные захватили Тверь, крупный военный и промышленный центр (23525).</w:t>
      </w:r>
    </w:p>
    <w:p w14:paraId="705E0130" w14:textId="77777777" w:rsidR="0013042E" w:rsidRPr="00FB4F67" w:rsidRDefault="0013042E" w:rsidP="0083075A">
      <w:pPr>
        <w:spacing w:after="0" w:line="240" w:lineRule="auto"/>
        <w:jc w:val="both"/>
        <w:rPr>
          <w:rFonts w:ascii="Times New Roman" w:hAnsi="Times New Roman" w:cs="Times New Roman"/>
          <w:color w:val="0070C0"/>
          <w:sz w:val="16"/>
          <w:szCs w:val="16"/>
        </w:rPr>
      </w:pPr>
    </w:p>
    <w:p w14:paraId="187E11CC"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октября (10 ноября) 1917 (</w:t>
      </w:r>
      <w:r w:rsidRPr="002F2FDF">
        <w:rPr>
          <w:rFonts w:ascii="Times New Roman" w:hAnsi="Times New Roman" w:cs="Times New Roman"/>
          <w:iCs/>
          <w:color w:val="000000" w:themeColor="text1"/>
          <w:kern w:val="2"/>
          <w:sz w:val="16"/>
          <w:szCs w:val="16"/>
        </w:rPr>
        <w:t>хроника событий Октябрьской революции с 25 октября по 29 октября 1917 г. (по старому стилю), изложенную в газете "Петроградский листок" от 12 ноября 1917 г. Хроника эта интересна тем, что расписана по часам и сделана по горячим следам. Газета была настроена антибольшевистски)</w:t>
      </w:r>
      <w:r w:rsidRPr="002F2FDF">
        <w:rPr>
          <w:rFonts w:ascii="Times New Roman" w:hAnsi="Times New Roman" w:cs="Times New Roman"/>
          <w:color w:val="000000" w:themeColor="text1"/>
          <w:kern w:val="2"/>
          <w:sz w:val="16"/>
          <w:szCs w:val="16"/>
        </w:rPr>
        <w:t>:</w:t>
      </w:r>
    </w:p>
    <w:p w14:paraId="377D6BD8"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Ночью</w:t>
      </w:r>
      <w:r w:rsidRPr="002F2FDF">
        <w:rPr>
          <w:rFonts w:ascii="Times New Roman" w:hAnsi="Times New Roman" w:cs="Times New Roman"/>
          <w:color w:val="000000" w:themeColor="text1"/>
          <w:kern w:val="2"/>
          <w:sz w:val="16"/>
          <w:szCs w:val="16"/>
        </w:rPr>
        <w:t xml:space="preserve">. Арестованы эмиссары гор. Думы, посланные в Гатчину. Арестовавшие их солдаты издевались над делегатами; один из них, Гоц, под конвоем был доставлен в Смольный, откуда отпущен. </w:t>
      </w:r>
    </w:p>
    <w:p w14:paraId="619F01CD"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7 ч. утра</w:t>
      </w:r>
      <w:r w:rsidRPr="002F2FDF">
        <w:rPr>
          <w:rFonts w:ascii="Times New Roman" w:hAnsi="Times New Roman" w:cs="Times New Roman"/>
          <w:color w:val="000000" w:themeColor="text1"/>
          <w:kern w:val="2"/>
          <w:sz w:val="16"/>
          <w:szCs w:val="16"/>
        </w:rPr>
        <w:t xml:space="preserve">. Из Гельсингфорса прибыли в Неву четыре миноносца. </w:t>
      </w:r>
    </w:p>
    <w:p w14:paraId="2C15087D"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8 ч. у.</w:t>
      </w:r>
      <w:r w:rsidRPr="002F2FDF">
        <w:rPr>
          <w:rFonts w:ascii="Times New Roman" w:hAnsi="Times New Roman" w:cs="Times New Roman"/>
          <w:color w:val="000000" w:themeColor="text1"/>
          <w:kern w:val="2"/>
          <w:sz w:val="16"/>
          <w:szCs w:val="16"/>
        </w:rPr>
        <w:t xml:space="preserve"> Буржуазные газеты не вышли. Социалистические: «Вестник Гор. самоуправления» и «Известия Всер. Совета Кр. Депутатов» подвергнуты цензуре. «Народное Слово», «Дело Народа», «Воля Народа» и «Голос Солдата» отбирались у газетчиков красногвардейцами и уничтожались. </w:t>
      </w:r>
    </w:p>
    <w:p w14:paraId="3DF37648"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Служащие в экспедиции «Прав. Вестн.» отказались рассылать газету, перешедшую к большевикам, по адресам подписчиков. </w:t>
      </w:r>
    </w:p>
    <w:p w14:paraId="400D7DF3"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Опубликован декрет о печати за подписью Ульянова (Ленина), председателя «совета народных комиссаров». </w:t>
      </w:r>
    </w:p>
    <w:p w14:paraId="60A5AC4A"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Большевики обещают полную свободу печати по наступлении нормальной жизни. Пока же, согласно декрету, подлежат закрытию все органы печати. – 1) призывающие к открытому сопротивлению или неповиновению (?!) рабочему и крестьянскому правительству, 2) сеющие смуту путем явно клеветнического извращения фактов</w:t>
      </w:r>
      <w:r w:rsidRPr="002F2FDF">
        <w:rPr>
          <w:rFonts w:ascii="Times New Roman" w:hAnsi="Times New Roman" w:cs="Times New Roman"/>
          <w:color w:val="000000" w:themeColor="text1"/>
          <w:kern w:val="2"/>
          <w:sz w:val="16"/>
          <w:szCs w:val="16"/>
          <w:vertAlign w:val="superscript"/>
        </w:rPr>
        <w:t>*</w:t>
      </w:r>
      <w:r w:rsidRPr="002F2FDF">
        <w:rPr>
          <w:rFonts w:ascii="Times New Roman" w:hAnsi="Times New Roman" w:cs="Times New Roman"/>
          <w:color w:val="000000" w:themeColor="text1"/>
          <w:kern w:val="2"/>
          <w:sz w:val="16"/>
          <w:szCs w:val="16"/>
        </w:rPr>
        <w:t>, 3) призывающие к деяниям явно преступным, т.е. уголовно наказуемым</w:t>
      </w:r>
      <w:r w:rsidRPr="002F2FDF">
        <w:rPr>
          <w:rFonts w:ascii="Times New Roman" w:hAnsi="Times New Roman" w:cs="Times New Roman"/>
          <w:color w:val="000000" w:themeColor="text1"/>
          <w:kern w:val="2"/>
          <w:sz w:val="16"/>
          <w:szCs w:val="16"/>
          <w:vertAlign w:val="superscript"/>
        </w:rPr>
        <w:t>**</w:t>
      </w:r>
      <w:r w:rsidRPr="002F2FDF">
        <w:rPr>
          <w:rFonts w:ascii="Times New Roman" w:hAnsi="Times New Roman" w:cs="Times New Roman"/>
          <w:color w:val="000000" w:themeColor="text1"/>
          <w:kern w:val="2"/>
          <w:sz w:val="16"/>
          <w:szCs w:val="16"/>
        </w:rPr>
        <w:t xml:space="preserve">. Запрещения могут быть временные и постоянные (?!), по постановлению совета народных комиссаров. </w:t>
      </w:r>
    </w:p>
    <w:p w14:paraId="4ECF8AFE"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Советом народных комиссаров опубликован декрет о рабочем контроле и о расширении прав гор. самоуправления в области продовольственного дела, единоличным хозяином которого объявляется гор. самоуправление. </w:t>
      </w:r>
    </w:p>
    <w:p w14:paraId="0B1412A3"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Постановление о созыве Учред. Собрания в назначенный срок 28-го ноября, при обеспечении «свободного и правильного производства выборов», подписанное от имени правительства Росс. республики «председателем совета нар. Комиссаров Владимиром Ульяновым-Лениным». </w:t>
      </w:r>
    </w:p>
    <w:p w14:paraId="1C1B9AF5"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Роспуск военно-революц. комитетом «центрофлота», приказ того же комитета об открытии всех лавок и магазинов и о реквизиции пустующих квартир и других помещений. </w:t>
      </w:r>
    </w:p>
    <w:p w14:paraId="6A147521"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Сношения со ставкой прекращены. Железнодорожный телеграф и движение в руках железнодорожного союза. Центр. комитет союза выразил протест против захвата власти одной из политических партий. </w:t>
      </w:r>
    </w:p>
    <w:p w14:paraId="2DDE61CF"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Введение предварительной цензуры в.-рев. комитетом. </w:t>
      </w:r>
    </w:p>
    <w:p w14:paraId="475B0E7A"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«Разрешенная» в.-рев. комитетом к выпуску газета «Текущий Момент» подвергается конфискации со стороны местного Василеостровского районного комиссара Совета Р. и С. Депутатов. </w:t>
      </w:r>
    </w:p>
    <w:p w14:paraId="0B4734B7"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Цензура «Вестн. Городского Самоуправления» (заявление члена управы Петрова в заседании Думы). Требование комиссаром от рабочих типографии подписки, что они, без разрешения в.-революц. комитета, не выпустят газеты. </w:t>
      </w:r>
    </w:p>
    <w:p w14:paraId="45BE1484"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9 ч. утра</w:t>
      </w:r>
      <w:r w:rsidRPr="002F2FDF">
        <w:rPr>
          <w:rFonts w:ascii="Times New Roman" w:hAnsi="Times New Roman" w:cs="Times New Roman"/>
          <w:color w:val="000000" w:themeColor="text1"/>
          <w:kern w:val="2"/>
          <w:sz w:val="16"/>
          <w:szCs w:val="16"/>
        </w:rPr>
        <w:t xml:space="preserve">. Войска Керенского в 2-х верстах от Царского. </w:t>
      </w:r>
    </w:p>
    <w:p w14:paraId="2825E319"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Кубанское войсковое правительство объявило большевиков изменниками и предателями родины и постановило всемерно защищать Вр. Правительство. </w:t>
      </w:r>
    </w:p>
    <w:p w14:paraId="5085F313"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Калуге местный большевистский совет распущен за попытку овладеть властью. Образован орган губернской власти для поддержки Вр. Правительства. </w:t>
      </w:r>
    </w:p>
    <w:p w14:paraId="3DCAF432"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10 ч. у.</w:t>
      </w:r>
      <w:r w:rsidRPr="002F2FDF">
        <w:rPr>
          <w:rFonts w:ascii="Times New Roman" w:hAnsi="Times New Roman" w:cs="Times New Roman"/>
          <w:color w:val="000000" w:themeColor="text1"/>
          <w:kern w:val="2"/>
          <w:sz w:val="16"/>
          <w:szCs w:val="16"/>
        </w:rPr>
        <w:t xml:space="preserve"> Всеобщая забастовка в прав. учреждениях. Сенаторы заседают, не считаясь с правительством захватчиков. Гос. и частные банки закрыты. Большинство магазинов, вопреки приказу, стоят с заколоченными наглухо ставнями. Приглашенные комиссарами явиться для сдачи дел заведующие отделами и товарищи министров не явились. За работой – одни красногвардейцы: роют окопы на окраинах столицы. Отправка с вокзалов полков в.-рев. комитета и красногвардейцев навстречу «неприятелю». </w:t>
      </w:r>
    </w:p>
    <w:p w14:paraId="2E070944"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Опровергается вчерашний «бой» под Гатчиной. </w:t>
      </w:r>
    </w:p>
    <w:p w14:paraId="5EFB4D25"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11 ч. утра</w:t>
      </w:r>
      <w:r w:rsidRPr="002F2FDF">
        <w:rPr>
          <w:rFonts w:ascii="Times New Roman" w:hAnsi="Times New Roman" w:cs="Times New Roman"/>
          <w:color w:val="000000" w:themeColor="text1"/>
          <w:kern w:val="2"/>
          <w:sz w:val="16"/>
          <w:szCs w:val="16"/>
        </w:rPr>
        <w:t xml:space="preserve">. Над Каменноостровским появился аэроплан, разбрасывавший воззвания, подписанные А.Ф. Керенским. </w:t>
      </w:r>
    </w:p>
    <w:p w14:paraId="69CB5D4E"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Приказ о закрытии соц. газеты «Народное Слово» (за напечатание приказа ген. Крымова, командующего войсками, идущими на Петроград). Редактор – известный писатель, б. министр продовольствия, А.В. Пешехонов арестован. </w:t>
      </w:r>
    </w:p>
    <w:p w14:paraId="39C76383"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12 ч. дня</w:t>
      </w:r>
      <w:r w:rsidRPr="002F2FDF">
        <w:rPr>
          <w:rFonts w:ascii="Times New Roman" w:hAnsi="Times New Roman" w:cs="Times New Roman"/>
          <w:color w:val="000000" w:themeColor="text1"/>
          <w:kern w:val="2"/>
          <w:sz w:val="16"/>
          <w:szCs w:val="16"/>
        </w:rPr>
        <w:t xml:space="preserve">. Обращение к гражданам президиума вр. Совета республики, что «захваченная власть большевиков» должна быть признана врагом народа и революции; с ней необходимо бороться, ее необходимо свергнуть. Совет призывает граждан сплачиваться вокруг органов местного самоуправления, отказывать в повиновении и не исполнять приказов и запретов большевистской власти, которая должна быть низложена. </w:t>
      </w:r>
    </w:p>
    <w:p w14:paraId="31415AD4"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 ч. дня</w:t>
      </w:r>
      <w:r w:rsidRPr="002F2FDF">
        <w:rPr>
          <w:rFonts w:ascii="Times New Roman" w:hAnsi="Times New Roman" w:cs="Times New Roman"/>
          <w:color w:val="000000" w:themeColor="text1"/>
          <w:kern w:val="2"/>
          <w:sz w:val="16"/>
          <w:szCs w:val="16"/>
        </w:rPr>
        <w:t xml:space="preserve">. Разоружение красногвардейцев у гор. Думы публикой. Стрельба постовых солдат в.-рев. комитета. </w:t>
      </w:r>
    </w:p>
    <w:p w14:paraId="3346405F"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 ч. дня</w:t>
      </w:r>
      <w:r w:rsidRPr="002F2FDF">
        <w:rPr>
          <w:rFonts w:ascii="Times New Roman" w:hAnsi="Times New Roman" w:cs="Times New Roman"/>
          <w:color w:val="000000" w:themeColor="text1"/>
          <w:kern w:val="2"/>
          <w:sz w:val="16"/>
          <w:szCs w:val="16"/>
        </w:rPr>
        <w:t xml:space="preserve">. Получено известие, что Царское занято войсками Вр. Правительства. </w:t>
      </w:r>
    </w:p>
    <w:p w14:paraId="29204FAF"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4 ч. дня</w:t>
      </w:r>
      <w:r w:rsidRPr="002F2FDF">
        <w:rPr>
          <w:rFonts w:ascii="Times New Roman" w:hAnsi="Times New Roman" w:cs="Times New Roman"/>
          <w:color w:val="000000" w:themeColor="text1"/>
          <w:kern w:val="2"/>
          <w:sz w:val="16"/>
          <w:szCs w:val="16"/>
        </w:rPr>
        <w:t xml:space="preserve">. Войска во главе с Керенским на станции Александровской. </w:t>
      </w:r>
    </w:p>
    <w:p w14:paraId="579DB7E0"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5 ч. веч.</w:t>
      </w:r>
      <w:r w:rsidRPr="002F2FDF">
        <w:rPr>
          <w:rFonts w:ascii="Times New Roman" w:hAnsi="Times New Roman" w:cs="Times New Roman"/>
          <w:color w:val="000000" w:themeColor="text1"/>
          <w:kern w:val="2"/>
          <w:sz w:val="16"/>
          <w:szCs w:val="16"/>
        </w:rPr>
        <w:t xml:space="preserve"> Мобилизация черных банд и погромщиков. Опасение погромов винных складов. Получено известие, что приставленная для охраны винных складов большевистская команда сама разгромила склады и перепилась. </w:t>
      </w:r>
    </w:p>
    <w:p w14:paraId="58A3FB45"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Среди гарнизона брожение: масса начинает прозревать обман большевиков. </w:t>
      </w:r>
    </w:p>
    <w:p w14:paraId="25EB5950"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6 ч. веч.</w:t>
      </w:r>
      <w:r w:rsidRPr="002F2FDF">
        <w:rPr>
          <w:rFonts w:ascii="Times New Roman" w:hAnsi="Times New Roman" w:cs="Times New Roman"/>
          <w:color w:val="000000" w:themeColor="text1"/>
          <w:kern w:val="2"/>
          <w:sz w:val="16"/>
          <w:szCs w:val="16"/>
        </w:rPr>
        <w:t xml:space="preserve"> В вечерних газетах опубликовано требование начальника штаба верховного главнокомандующего от имени армии к большевикам прекратить немедленно насильственные меры, отказаться от захвата власти и подчиниться Вр. Правительству до Учр. Собрания. </w:t>
      </w:r>
    </w:p>
    <w:p w14:paraId="50CE2455"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7 ч. веч.</w:t>
      </w:r>
      <w:r w:rsidRPr="002F2FDF">
        <w:rPr>
          <w:rFonts w:ascii="Times New Roman" w:hAnsi="Times New Roman" w:cs="Times New Roman"/>
          <w:color w:val="000000" w:themeColor="text1"/>
          <w:kern w:val="2"/>
          <w:sz w:val="16"/>
          <w:szCs w:val="16"/>
        </w:rPr>
        <w:t xml:space="preserve"> Перестрелка на Знаменской площади между красной гвардией и отрядом инвалидов. </w:t>
      </w:r>
    </w:p>
    <w:p w14:paraId="0F54BBA8"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8 ч. веч.</w:t>
      </w:r>
      <w:r w:rsidRPr="002F2FDF">
        <w:rPr>
          <w:rFonts w:ascii="Times New Roman" w:hAnsi="Times New Roman" w:cs="Times New Roman"/>
          <w:color w:val="000000" w:themeColor="text1"/>
          <w:kern w:val="2"/>
          <w:sz w:val="16"/>
          <w:szCs w:val="16"/>
        </w:rPr>
        <w:t xml:space="preserve"> Заседание горр. Думы. Протест против большевиков со стороны телефонисток. </w:t>
      </w:r>
    </w:p>
    <w:p w14:paraId="40AFC94A"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8 ч. 20 м.</w:t>
      </w:r>
      <w:r w:rsidRPr="002F2FDF">
        <w:rPr>
          <w:rFonts w:ascii="Times New Roman" w:hAnsi="Times New Roman" w:cs="Times New Roman"/>
          <w:color w:val="000000" w:themeColor="text1"/>
          <w:kern w:val="2"/>
          <w:sz w:val="16"/>
          <w:szCs w:val="16"/>
        </w:rPr>
        <w:t xml:space="preserve"> Из Смольного удалены представители социалистических газет. Информация всех газет возложена на сотрудника «Новой Жизни». </w:t>
      </w:r>
    </w:p>
    <w:p w14:paraId="32C9EAA2"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Мотив удаления: в Смольном небезопасно – он легко может подвергнуться обстрелу. </w:t>
      </w:r>
    </w:p>
    <w:p w14:paraId="073B1F06"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8 ч. 30 м.</w:t>
      </w:r>
      <w:r w:rsidRPr="002F2FDF">
        <w:rPr>
          <w:rFonts w:ascii="Times New Roman" w:hAnsi="Times New Roman" w:cs="Times New Roman"/>
          <w:color w:val="000000" w:themeColor="text1"/>
          <w:kern w:val="2"/>
          <w:sz w:val="16"/>
          <w:szCs w:val="16"/>
        </w:rPr>
        <w:t xml:space="preserve"> Слух, что Ленин и Троцкий бежали. </w:t>
      </w:r>
    </w:p>
    <w:p w14:paraId="0221D850"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9 ч. в.</w:t>
      </w:r>
      <w:r w:rsidRPr="002F2FDF">
        <w:rPr>
          <w:rFonts w:ascii="Times New Roman" w:hAnsi="Times New Roman" w:cs="Times New Roman"/>
          <w:color w:val="000000" w:themeColor="text1"/>
          <w:kern w:val="2"/>
          <w:sz w:val="16"/>
          <w:szCs w:val="16"/>
        </w:rPr>
        <w:t xml:space="preserve"> Гатчина в руках пр. войск. </w:t>
      </w:r>
    </w:p>
    <w:p w14:paraId="67743234"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Смольный укреплен мортирой и зенитными орудиями. Никто не пропускается без особых свидетельств. </w:t>
      </w:r>
    </w:p>
    <w:p w14:paraId="6FB6D71F"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10 ч. веч.</w:t>
      </w:r>
      <w:r w:rsidRPr="002F2FDF">
        <w:rPr>
          <w:rFonts w:ascii="Times New Roman" w:hAnsi="Times New Roman" w:cs="Times New Roman"/>
          <w:color w:val="000000" w:themeColor="text1"/>
          <w:kern w:val="2"/>
          <w:sz w:val="16"/>
          <w:szCs w:val="16"/>
        </w:rPr>
        <w:t xml:space="preserve"> Воззвание гор. Думы к населению: сохранить полное самообладание, не выходить без нужды на улицу, не устраивать митингов и проч. </w:t>
      </w:r>
    </w:p>
    <w:p w14:paraId="5467B61F"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vertAlign w:val="superscript"/>
        </w:rPr>
        <w:lastRenderedPageBreak/>
        <w:t>*</w:t>
      </w:r>
      <w:r w:rsidRPr="002F2FDF">
        <w:rPr>
          <w:rFonts w:ascii="Times New Roman" w:hAnsi="Times New Roman" w:cs="Times New Roman"/>
          <w:color w:val="000000" w:themeColor="text1"/>
          <w:kern w:val="2"/>
          <w:sz w:val="16"/>
          <w:szCs w:val="16"/>
        </w:rPr>
        <w:t>Большевистские «Известия», «Правда» и «Деревенская Беднота», уличенные в этом всей социалистической прессой, в счет не идут.</w:t>
      </w:r>
    </w:p>
    <w:p w14:paraId="29C2B8D3"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vertAlign w:val="superscript"/>
        </w:rPr>
        <w:t>**</w:t>
      </w:r>
      <w:r w:rsidRPr="002F2FDF">
        <w:rPr>
          <w:rFonts w:ascii="Times New Roman" w:hAnsi="Times New Roman" w:cs="Times New Roman"/>
          <w:color w:val="000000" w:themeColor="text1"/>
          <w:kern w:val="2"/>
          <w:sz w:val="16"/>
          <w:szCs w:val="16"/>
        </w:rPr>
        <w:t>За исключением состоящих под уголовным судом Ленина, Зиновьева и комп., конечно (17030).</w:t>
      </w:r>
    </w:p>
    <w:p w14:paraId="2E395045"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C923D5" w14:textId="77777777" w:rsidR="00ED2748" w:rsidRPr="002F2FDF" w:rsidRDefault="00ED274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28 октября (10 ноября) 1917. К утру юнкера выбили из Кремля 5б-й полк. Через Спасские ворота выпустили пленных. То там, то здесь кто-то кого-то расстреливал. Телефоны не работают, банки закрыты, повсюду караулы, дозоры, патрули, перестреливающиеся друг с другом. Всевозможные комитеты соревнуются: кто больше захватит комиссариатов, типографий, гаражей, складов. Стрекот пулеметов. В бой вступила артиллерия. А на очередном заседании Поместного Собора Русской Православной Церкви, что проходил в здании Московской духовной семинарии в Лиховом переулке, было принято решение о восстановлении в России патриаршества.</w:t>
      </w:r>
    </w:p>
    <w:p w14:paraId="2A708822" w14:textId="77777777" w:rsidR="00ED2748" w:rsidRPr="002F2FDF" w:rsidRDefault="00ED2748" w:rsidP="0083075A">
      <w:pPr>
        <w:spacing w:after="0" w:line="240" w:lineRule="auto"/>
        <w:jc w:val="both"/>
        <w:rPr>
          <w:rFonts w:ascii="Times New Roman" w:hAnsi="Times New Roman" w:cs="Times New Roman"/>
          <w:color w:val="000000" w:themeColor="text1"/>
          <w:sz w:val="16"/>
          <w:szCs w:val="16"/>
        </w:rPr>
      </w:pPr>
    </w:p>
    <w:p w14:paraId="3A234D74" w14:textId="77777777" w:rsidR="00ED2748" w:rsidRPr="002F2FDF" w:rsidRDefault="00ED274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28 октября (10 ноября) 1917 г. Военно-революционный комитет (ВРК) вызвал на совещание в Смольный комиссаров и представителей команд авиационных и воздухоплавательных частей и учреждений столичного гарнизона. Срочность созыва совещания была обусловлена необходимостью решения вопросов: «1) посылка авиационных отрядов на помощь восставшему пролетариату Финляндии,</w:t>
      </w:r>
    </w:p>
    <w:p w14:paraId="775F3174" w14:textId="77777777" w:rsidR="00ED2748" w:rsidRPr="002F2FDF" w:rsidRDefault="00ED274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снабжение авиаотрядов самолетами,</w:t>
      </w:r>
    </w:p>
    <w:p w14:paraId="19F938F0" w14:textId="77777777" w:rsidR="00ED2748" w:rsidRPr="002F2FDF" w:rsidRDefault="00ED274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 организация и создание центра советского воздушного флота» и</w:t>
      </w:r>
    </w:p>
    <w:p w14:paraId="090A042A" w14:textId="77777777" w:rsidR="00ED2748" w:rsidRPr="002F2FDF" w:rsidRDefault="00ED274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 формирование социалистических авиационных и воздухоплавательных частей.</w:t>
      </w:r>
    </w:p>
    <w:p w14:paraId="604E82D7" w14:textId="77777777" w:rsidR="00ED2748" w:rsidRPr="002F2FDF" w:rsidRDefault="00ED274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Совещание от 28 октября обсудило эти вопросы и в тот же день образовало постоянное Бюро военных комиссаров авиационных и воздухоплавательных частей Петроградского гарнизона – первый революционный орган, созданный для руководства Военным Воздушным флотом Республики и строительства советской авиации на новых идейных основах. Бюро сразу наметило план работы. Председателем его избрали летчика-фронтовика А.В. Можаева. Членами Бюро были избраны: К.В. Акашев, С.Г. Андреев, А.П. Онуфриев, Е.И. Ахматович, М.Г. Даксергоф, Демидов, М.Д. Ермолаев. Бюро разместилось в Смольном в комнате № 73 и стало называться: «Смольная группа». Первым делом Смольная группа приступила к формированию социалистических авиаотрядов. Под руководством Бюро было сформировано восемь красногвардейских авиаотрядов: 1-й социалистический истребительный, 2-й революционный, 1-й социалистический (разведывательный) и 2 – 6-й социалистические авиаотряды (19566).</w:t>
      </w:r>
    </w:p>
    <w:p w14:paraId="3EFE6C2A" w14:textId="77777777" w:rsidR="00ED2748" w:rsidRPr="002F2FDF" w:rsidRDefault="00ED2748" w:rsidP="0083075A">
      <w:pPr>
        <w:spacing w:after="0" w:line="240" w:lineRule="auto"/>
        <w:jc w:val="both"/>
        <w:rPr>
          <w:rFonts w:ascii="Times New Roman" w:hAnsi="Times New Roman" w:cs="Times New Roman"/>
          <w:color w:val="000000" w:themeColor="text1"/>
          <w:sz w:val="16"/>
          <w:szCs w:val="16"/>
        </w:rPr>
      </w:pPr>
    </w:p>
    <w:p w14:paraId="41885CFA" w14:textId="72774DB2" w:rsidR="00ED2748" w:rsidRPr="002F2FDF" w:rsidRDefault="00ED2748"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28 октября (10 ноября)</w:t>
      </w:r>
      <w:r w:rsidR="00E52569">
        <w:rPr>
          <w:rStyle w:val="a7"/>
          <w:rFonts w:eastAsiaTheme="majorEastAsia"/>
          <w:b w:val="0"/>
          <w:color w:val="000000" w:themeColor="text1"/>
          <w:sz w:val="16"/>
          <w:szCs w:val="16"/>
        </w:rPr>
        <w:t xml:space="preserve"> </w:t>
      </w:r>
      <w:r w:rsidRPr="002F2FDF">
        <w:rPr>
          <w:rStyle w:val="a7"/>
          <w:rFonts w:eastAsiaTheme="majorEastAsia"/>
          <w:b w:val="0"/>
          <w:color w:val="000000" w:themeColor="text1"/>
          <w:sz w:val="16"/>
          <w:szCs w:val="16"/>
        </w:rPr>
        <w:t>1917</w:t>
      </w:r>
      <w:r w:rsidRPr="002F2FDF">
        <w:rPr>
          <w:color w:val="000000" w:themeColor="text1"/>
          <w:sz w:val="16"/>
          <w:szCs w:val="16"/>
        </w:rPr>
        <w:t xml:space="preserve"> Поместный Собор принимает решение о восстановлении в России Патриаршества (18371).</w:t>
      </w:r>
    </w:p>
    <w:p w14:paraId="2763B4DE" w14:textId="77777777" w:rsidR="00ED2748" w:rsidRPr="002F2FDF" w:rsidRDefault="00ED2748" w:rsidP="0083075A">
      <w:pPr>
        <w:pStyle w:val="ae"/>
        <w:spacing w:before="0" w:after="0"/>
        <w:jc w:val="both"/>
        <w:rPr>
          <w:color w:val="000000" w:themeColor="text1"/>
          <w:sz w:val="16"/>
          <w:szCs w:val="16"/>
        </w:rPr>
      </w:pPr>
    </w:p>
    <w:p w14:paraId="371E7E84" w14:textId="52C01BBF" w:rsidR="00ED2748" w:rsidRPr="002F2FDF" w:rsidRDefault="00ED2748"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28 октября (10 ноября)</w:t>
      </w:r>
      <w:r w:rsidR="00E52569">
        <w:rPr>
          <w:rStyle w:val="a7"/>
          <w:rFonts w:eastAsiaTheme="majorEastAsia"/>
          <w:b w:val="0"/>
          <w:color w:val="000000" w:themeColor="text1"/>
          <w:sz w:val="16"/>
          <w:szCs w:val="16"/>
        </w:rPr>
        <w:t xml:space="preserve"> </w:t>
      </w:r>
      <w:r w:rsidRPr="002F2FDF">
        <w:rPr>
          <w:rStyle w:val="a7"/>
          <w:rFonts w:eastAsiaTheme="majorEastAsia"/>
          <w:b w:val="0"/>
          <w:color w:val="000000" w:themeColor="text1"/>
          <w:sz w:val="16"/>
          <w:szCs w:val="16"/>
        </w:rPr>
        <w:t>1917</w:t>
      </w:r>
      <w:r w:rsidRPr="002F2FDF">
        <w:rPr>
          <w:color w:val="000000" w:themeColor="text1"/>
          <w:sz w:val="16"/>
          <w:szCs w:val="16"/>
        </w:rPr>
        <w:t xml:space="preserve"> на территории Московского Кремля, группа юнкеров под командованием правого эсера полковника К. Рябцева обманом ввела в заблуждение коменданта Кремля О.М.</w:t>
      </w:r>
      <w:r w:rsidR="00E52569">
        <w:rPr>
          <w:color w:val="000000" w:themeColor="text1"/>
          <w:sz w:val="16"/>
          <w:szCs w:val="16"/>
        </w:rPr>
        <w:t xml:space="preserve"> </w:t>
      </w:r>
      <w:r w:rsidRPr="002F2FDF">
        <w:rPr>
          <w:color w:val="000000" w:themeColor="text1"/>
          <w:sz w:val="16"/>
          <w:szCs w:val="16"/>
        </w:rPr>
        <w:t>Берзина и расстреляла из пулеметов 500 безоружных солдат склада 56-го пехотного запасного полка, что стало «</w:t>
      </w:r>
      <w:r w:rsidRPr="002F2FDF">
        <w:rPr>
          <w:rStyle w:val="af0"/>
          <w:i w:val="0"/>
          <w:color w:val="000000" w:themeColor="text1"/>
          <w:sz w:val="16"/>
          <w:szCs w:val="16"/>
        </w:rPr>
        <w:t>детонатором</w:t>
      </w:r>
      <w:r w:rsidRPr="002F2FDF">
        <w:rPr>
          <w:color w:val="000000" w:themeColor="text1"/>
          <w:sz w:val="16"/>
          <w:szCs w:val="16"/>
        </w:rPr>
        <w:t>» последующих кровопролитных боев.</w:t>
      </w:r>
    </w:p>
    <w:p w14:paraId="27E86DF0" w14:textId="1658E2C9" w:rsidR="00ED2748" w:rsidRPr="002F2FDF" w:rsidRDefault="00ED2748" w:rsidP="0083075A">
      <w:pPr>
        <w:pStyle w:val="ae"/>
        <w:spacing w:before="0" w:after="0"/>
        <w:jc w:val="both"/>
        <w:rPr>
          <w:color w:val="000000" w:themeColor="text1"/>
          <w:sz w:val="16"/>
          <w:szCs w:val="16"/>
        </w:rPr>
      </w:pPr>
      <w:r w:rsidRPr="002F2FDF">
        <w:rPr>
          <w:color w:val="000000" w:themeColor="text1"/>
          <w:sz w:val="16"/>
          <w:szCs w:val="16"/>
        </w:rPr>
        <w:t>Член Московского Военно-Революционного Комитета А. Ломов обратился в Совет Народных Комиссаров: «…</w:t>
      </w:r>
      <w:r w:rsidR="00E52569">
        <w:rPr>
          <w:color w:val="000000" w:themeColor="text1"/>
          <w:sz w:val="16"/>
          <w:szCs w:val="16"/>
        </w:rPr>
        <w:t xml:space="preserve"> </w:t>
      </w:r>
      <w:r w:rsidRPr="002F2FDF">
        <w:rPr>
          <w:rStyle w:val="af0"/>
          <w:i w:val="0"/>
          <w:color w:val="000000" w:themeColor="text1"/>
          <w:sz w:val="16"/>
          <w:szCs w:val="16"/>
        </w:rPr>
        <w:t>У нас канонада в полном разгаре. Уверены в победе, хотя чувствуется недостаток в опытном командном составе и в отсутствии броневиков. Если Вы можете дать хотя бы одного опытного командующего, то мы бы были Вам очень благодарны…</w:t>
      </w:r>
      <w:r w:rsidRPr="002F2FDF">
        <w:rPr>
          <w:color w:val="000000" w:themeColor="text1"/>
          <w:sz w:val="16"/>
          <w:szCs w:val="16"/>
        </w:rPr>
        <w:t>» (18371).</w:t>
      </w:r>
    </w:p>
    <w:p w14:paraId="1ACE5DD1" w14:textId="77777777" w:rsidR="00ED2748" w:rsidRPr="002F2FDF" w:rsidRDefault="00ED2748" w:rsidP="0083075A">
      <w:pPr>
        <w:pStyle w:val="ae"/>
        <w:spacing w:before="0" w:after="0"/>
        <w:jc w:val="both"/>
        <w:rPr>
          <w:color w:val="000000" w:themeColor="text1"/>
          <w:sz w:val="16"/>
          <w:szCs w:val="16"/>
        </w:rPr>
      </w:pPr>
    </w:p>
    <w:p w14:paraId="79F1D5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октября (10 ноября) 1917 В.И.Л. подписав декрет о печати запретил контрреволюционные издания (те, что критикуют новую власть) (1348,87).</w:t>
      </w:r>
    </w:p>
    <w:p w14:paraId="4D908B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38B4D6" w14:textId="77777777" w:rsidR="00A21D78" w:rsidRPr="002F2FDF" w:rsidRDefault="00A21D7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октября (10 ноября) 1917 Краснов занял Гатчину и Царское Село. В этот же день в Москве штаб округа предъявил Совету ультиматум и начал боевые действия. Из Питера послали на переговоры председателя ВЦИК Каменева и члена ЦК Сокольникова. Не договорились. Бои продолжились (12629).</w:t>
      </w:r>
    </w:p>
    <w:p w14:paraId="437E4E02" w14:textId="77777777" w:rsidR="00A21D78" w:rsidRPr="002F2FDF" w:rsidRDefault="00A21D7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837B84" w14:textId="77777777" w:rsidR="00F15D5E" w:rsidRPr="002F2FDF" w:rsidRDefault="00F15D5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28 октября (10 ноября) </w:t>
      </w:r>
      <w:r w:rsidRPr="002F2FDF">
        <w:rPr>
          <w:rFonts w:ascii="Times New Roman" w:hAnsi="Times New Roman" w:cs="Times New Roman"/>
          <w:color w:val="000000" w:themeColor="text1"/>
          <w:kern w:val="2"/>
          <w:sz w:val="16"/>
          <w:szCs w:val="16"/>
        </w:rPr>
        <w:t>в 1917 году к вечеру после небольшой перестрелки войска Краснова все же заняли Царское село (ныне город Пушкин, 20 км от Санкт-Петербурга), при этом «красные» солдаты были либо разоружены, либо отступили. Но далее, несмотря на благоприятную ситуацию (антибольшевистское восстание в Петрограде), Краснов уже не мог наступать и дал войскам отдых. Большевики, тем временем, сами выдвинули отряды красногвардейцев к Царскому Селу, а на случай прорыва в Петроград Ленин распорядился ввести в Неву корабли Балтийского флота (17045).</w:t>
      </w:r>
    </w:p>
    <w:p w14:paraId="52265A28" w14:textId="77777777" w:rsidR="00F15D5E" w:rsidRPr="002F2FDF" w:rsidRDefault="00F15D5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5D9D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28-30 октября (10-12 ноября) 1917 попытка Керенского совершить контрпереворот не удалась (3481).</w:t>
      </w:r>
    </w:p>
    <w:p w14:paraId="36668F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9F90EA" w14:textId="77777777" w:rsidR="00A6454A" w:rsidRPr="002F2FDF" w:rsidRDefault="00A6454A"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28 октября (10 ноября) </w:t>
      </w:r>
      <w:r w:rsidRPr="002F2FDF">
        <w:rPr>
          <w:rFonts w:ascii="Times New Roman" w:hAnsi="Times New Roman" w:cs="Times New Roman"/>
          <w:color w:val="000000" w:themeColor="text1"/>
          <w:kern w:val="2"/>
          <w:sz w:val="16"/>
          <w:szCs w:val="16"/>
        </w:rPr>
        <w:t>в 1917 году в России попытка Керенского совершить контрпереворот терпит неудачу (события завершатся 12 ноября) (14826).</w:t>
      </w:r>
    </w:p>
    <w:p w14:paraId="5F871A8D" w14:textId="77777777" w:rsidR="00A6454A" w:rsidRPr="002F2FDF" w:rsidRDefault="00A6454A" w:rsidP="0083075A">
      <w:pPr>
        <w:spacing w:after="0" w:line="240" w:lineRule="auto"/>
        <w:jc w:val="both"/>
        <w:rPr>
          <w:rFonts w:ascii="Times New Roman" w:hAnsi="Times New Roman" w:cs="Times New Roman"/>
          <w:color w:val="000000" w:themeColor="text1"/>
          <w:kern w:val="2"/>
          <w:sz w:val="16"/>
          <w:szCs w:val="16"/>
        </w:rPr>
      </w:pPr>
    </w:p>
    <w:p w14:paraId="5D12803E" w14:textId="77777777" w:rsidR="00A6454A" w:rsidRPr="002F2FDF" w:rsidRDefault="00A6454A"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28 октября (10 ноября) </w:t>
      </w:r>
      <w:r w:rsidRPr="002F2FDF">
        <w:rPr>
          <w:rFonts w:ascii="Times New Roman" w:hAnsi="Times New Roman" w:cs="Times New Roman"/>
          <w:color w:val="000000" w:themeColor="text1"/>
          <w:kern w:val="2"/>
          <w:sz w:val="16"/>
          <w:szCs w:val="16"/>
        </w:rPr>
        <w:t xml:space="preserve">в 1917 году народный комиссариат внутренних дел России принял постановление </w:t>
      </w:r>
      <w:hyperlink r:id="rId635" w:tgtFrame="_blank" w:history="1">
        <w:r w:rsidRPr="002F2FDF">
          <w:rPr>
            <w:rFonts w:ascii="Times New Roman" w:hAnsi="Times New Roman" w:cs="Times New Roman"/>
            <w:color w:val="000000" w:themeColor="text1"/>
            <w:kern w:val="2"/>
            <w:sz w:val="16"/>
            <w:szCs w:val="16"/>
          </w:rPr>
          <w:t xml:space="preserve">"О рабочей милиции". </w:t>
        </w:r>
      </w:hyperlink>
      <w:r w:rsidRPr="002F2FDF">
        <w:rPr>
          <w:rFonts w:ascii="Times New Roman" w:hAnsi="Times New Roman" w:cs="Times New Roman"/>
          <w:color w:val="000000" w:themeColor="text1"/>
          <w:kern w:val="2"/>
          <w:sz w:val="16"/>
          <w:szCs w:val="16"/>
        </w:rPr>
        <w:t>Самого правоохранительного органа с постоянным штатом еще не было и в помине, и НКВД на первых порах предпринял попытку возложить несение милицейских обязанностей по охране правопорядка на само население, на так называемых "друзей общественного порядка". С июля же 1918 года исполнять их стал дружинник революционной охраны, о чем подробно было расписано в инструкции о несении патрульно-постовой службы. С 1962 года этот день отмечается как профессиональный праздник милиции (14826).</w:t>
      </w:r>
    </w:p>
    <w:p w14:paraId="29CEAF61" w14:textId="77777777" w:rsidR="00A6454A" w:rsidRPr="002F2FDF" w:rsidRDefault="00A6454A" w:rsidP="0083075A">
      <w:pPr>
        <w:spacing w:after="0" w:line="240" w:lineRule="auto"/>
        <w:jc w:val="both"/>
        <w:rPr>
          <w:rFonts w:ascii="Times New Roman" w:hAnsi="Times New Roman" w:cs="Times New Roman"/>
          <w:color w:val="000000" w:themeColor="text1"/>
          <w:kern w:val="2"/>
          <w:sz w:val="16"/>
          <w:szCs w:val="16"/>
        </w:rPr>
      </w:pPr>
    </w:p>
    <w:p w14:paraId="792AE271" w14:textId="77777777" w:rsidR="00A6454A" w:rsidRPr="002F2FDF" w:rsidRDefault="00A6454A"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28 октября (10 ноября) </w:t>
      </w:r>
      <w:r w:rsidRPr="002F2FDF">
        <w:rPr>
          <w:rFonts w:ascii="Times New Roman" w:hAnsi="Times New Roman" w:cs="Times New Roman"/>
          <w:color w:val="000000" w:themeColor="text1"/>
          <w:kern w:val="2"/>
          <w:sz w:val="16"/>
          <w:szCs w:val="16"/>
        </w:rPr>
        <w:t>в 1917 году поместный собор Русской православной церкви принял решение о восстановлении патриаршества (14826).</w:t>
      </w:r>
    </w:p>
    <w:p w14:paraId="7D3E10D1" w14:textId="77777777" w:rsidR="00A6454A" w:rsidRPr="002F2FDF" w:rsidRDefault="00A6454A" w:rsidP="0083075A">
      <w:pPr>
        <w:spacing w:after="0" w:line="240" w:lineRule="auto"/>
        <w:jc w:val="both"/>
        <w:rPr>
          <w:rFonts w:ascii="Times New Roman" w:hAnsi="Times New Roman" w:cs="Times New Roman"/>
          <w:color w:val="000000" w:themeColor="text1"/>
          <w:kern w:val="2"/>
          <w:sz w:val="16"/>
          <w:szCs w:val="16"/>
        </w:rPr>
      </w:pPr>
    </w:p>
    <w:p w14:paraId="511827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октября (10 ноября) 1917 было принято постановление О рабочей милиции и до 1931 была в ведении местных советов (3481).</w:t>
      </w:r>
    </w:p>
    <w:p w14:paraId="26A594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4FB638" w14:textId="77777777" w:rsidR="001B7625" w:rsidRPr="002F2FDF" w:rsidRDefault="001B7625" w:rsidP="0083075A">
      <w:pPr>
        <w:pStyle w:val="ae"/>
        <w:spacing w:before="0" w:after="0"/>
        <w:jc w:val="both"/>
        <w:rPr>
          <w:color w:val="000000" w:themeColor="text1"/>
          <w:kern w:val="2"/>
          <w:sz w:val="16"/>
          <w:szCs w:val="16"/>
        </w:rPr>
      </w:pPr>
      <w:r w:rsidRPr="002F2FDF">
        <w:rPr>
          <w:color w:val="000000" w:themeColor="text1"/>
          <w:kern w:val="2"/>
          <w:sz w:val="16"/>
          <w:szCs w:val="16"/>
        </w:rPr>
        <w:t>28 октября (10 ноября) 1917была образована новая, так называемая «рабочая» милиция (17045).</w:t>
      </w:r>
    </w:p>
    <w:p w14:paraId="420E65EC" w14:textId="77777777" w:rsidR="001B7625" w:rsidRPr="002F2FDF" w:rsidRDefault="001B762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68F7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28 октября (10 ноября) 1917 г. Народный комиссариат внутренних дел принимает постановление (Декрет) "О рабочей милиции", в котором указывается: </w:t>
      </w:r>
    </w:p>
    <w:p w14:paraId="7EFC66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"Все Советы рабочих и солдатских депутатов учреждают рабочую милицию </w:t>
      </w:r>
    </w:p>
    <w:p w14:paraId="33F77A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Рабочая милиция находится всецело и исключительно в ведении Совета рабочих и солдатских депутатов, </w:t>
      </w:r>
    </w:p>
    <w:p w14:paraId="3831D8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Военная и гражданская власти обязаны содействовать вооружению рабочей милиции и снабжению ее техническими силами вплоть до снабжения ее казенным оружием, </w:t>
      </w:r>
    </w:p>
    <w:p w14:paraId="6B3F8A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Настоящий закон вводится в действие по телеграфу".</w:t>
      </w:r>
    </w:p>
    <w:p w14:paraId="7FA1A0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Постановление становится юридической основой создания местной милиции, но при этом милицейские органы еще не имеют штатной структуры (10303).</w:t>
      </w:r>
    </w:p>
    <w:p w14:paraId="769EAE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A2A662" w14:textId="77777777" w:rsidR="00F15D5E" w:rsidRPr="002F2FDF" w:rsidRDefault="00F15D5E" w:rsidP="0083075A">
      <w:pPr>
        <w:pStyle w:val="ae"/>
        <w:spacing w:before="0" w:after="0"/>
        <w:jc w:val="both"/>
        <w:rPr>
          <w:color w:val="000000" w:themeColor="text1"/>
          <w:kern w:val="2"/>
          <w:sz w:val="16"/>
          <w:szCs w:val="16"/>
        </w:rPr>
      </w:pPr>
      <w:r w:rsidRPr="002F2FDF">
        <w:rPr>
          <w:color w:val="000000" w:themeColor="text1"/>
          <w:kern w:val="2"/>
          <w:sz w:val="16"/>
          <w:szCs w:val="16"/>
        </w:rPr>
        <w:t>28 октября (10 ноября) 1917юнкера вошли в Кремль и начали разоружать находившихся там «красных». Вначале все шло мирно, но потом солдаты и рабочие, увидев, что юнкеров совсем немного, попытались на них напасть, и в ответ был открыт огонь из пулемета. В результате были убиты, по разным данным, от 40 до 300 человек. МВРК объявил всеобщую забастовку и начал стягивать к центру отряды рабочих и солдат (17045).</w:t>
      </w:r>
    </w:p>
    <w:p w14:paraId="3AD5E514" w14:textId="77777777" w:rsidR="00F15D5E" w:rsidRPr="002F2FDF" w:rsidRDefault="00F15D5E" w:rsidP="0083075A">
      <w:pPr>
        <w:pStyle w:val="2"/>
        <w:spacing w:before="0" w:beforeAutospacing="0" w:after="0" w:afterAutospacing="0"/>
        <w:jc w:val="both"/>
        <w:rPr>
          <w:b w:val="0"/>
          <w:color w:val="000000" w:themeColor="text1"/>
          <w:kern w:val="2"/>
          <w:sz w:val="16"/>
          <w:szCs w:val="16"/>
        </w:rPr>
      </w:pPr>
    </w:p>
    <w:p w14:paraId="3AC20430" w14:textId="77777777" w:rsidR="00CF4618" w:rsidRPr="002F2FDF" w:rsidRDefault="00CF4618"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 xml:space="preserve">28 октября (10 ноября) 1917 в центре событий </w:t>
      </w:r>
      <w:r w:rsidR="009B7C68" w:rsidRPr="002F2FDF">
        <w:rPr>
          <w:b w:val="0"/>
          <w:color w:val="000000" w:themeColor="text1"/>
          <w:kern w:val="2"/>
          <w:sz w:val="16"/>
          <w:szCs w:val="16"/>
        </w:rPr>
        <w:t xml:space="preserve">в Москве </w:t>
      </w:r>
      <w:r w:rsidRPr="002F2FDF">
        <w:rPr>
          <w:b w:val="0"/>
          <w:color w:val="000000" w:themeColor="text1"/>
          <w:kern w:val="2"/>
          <w:sz w:val="16"/>
          <w:szCs w:val="16"/>
        </w:rPr>
        <w:t>оказались Николаевские казармы. «Солдаты революции» проспали нападение юнкеров, «золотопогонники» увезли из I-й артбригады два орудия и привели в негодность еще несколько пушек. Вскоре солдатам авиапарка и артиллеристам 1-й бригады, когда контрреволюционеры захватили Кремль и контролировали почти весь центр города, поручили охрану Моссовета. 1 ноября Военно-революционный комитет Москвы приказал начать артобстрел Кремля. Солдаты с Ходынки и рабочие дружины «Дукса» приняли участие в штурме Кремля — последнего оплота старой власти в Москве. После недели упорных боев 3 ноября 1917 г. в Москве установилась советская власть (15464).</w:t>
      </w:r>
    </w:p>
    <w:p w14:paraId="402769B3" w14:textId="77777777" w:rsidR="00CF4618" w:rsidRPr="002F2FDF" w:rsidRDefault="00CF4618" w:rsidP="0083075A">
      <w:pPr>
        <w:pStyle w:val="2"/>
        <w:spacing w:before="0" w:beforeAutospacing="0" w:after="0" w:afterAutospacing="0"/>
        <w:jc w:val="both"/>
        <w:rPr>
          <w:b w:val="0"/>
          <w:color w:val="000000" w:themeColor="text1"/>
          <w:kern w:val="2"/>
          <w:sz w:val="16"/>
          <w:szCs w:val="16"/>
        </w:rPr>
      </w:pPr>
    </w:p>
    <w:p w14:paraId="430EBDB6" w14:textId="77777777" w:rsidR="00A6454A"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2790C61C" w14:textId="77777777" w:rsidR="00A6454A" w:rsidRPr="002F2FDF" w:rsidRDefault="00A6454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0CF596" w14:textId="77777777" w:rsidR="00A6454A" w:rsidRPr="002F2FDF" w:rsidRDefault="00103C92" w:rsidP="0083075A">
      <w:pPr>
        <w:pStyle w:val="ae"/>
        <w:spacing w:before="0" w:after="0"/>
        <w:jc w:val="both"/>
        <w:rPr>
          <w:color w:val="000000" w:themeColor="text1"/>
          <w:kern w:val="2"/>
          <w:sz w:val="16"/>
          <w:szCs w:val="16"/>
          <w:lang w:val="en-US"/>
        </w:rPr>
      </w:pPr>
      <w:r w:rsidRPr="002F2FDF">
        <w:rPr>
          <w:color w:val="000000" w:themeColor="text1"/>
          <w:kern w:val="2"/>
          <w:sz w:val="16"/>
          <w:szCs w:val="16"/>
        </w:rPr>
        <w:t>28 октября (10 ноября)</w:t>
      </w:r>
      <w:r w:rsidR="00A6454A" w:rsidRPr="002F2FDF">
        <w:rPr>
          <w:color w:val="000000" w:themeColor="text1"/>
          <w:kern w:val="2"/>
          <w:sz w:val="16"/>
          <w:szCs w:val="16"/>
        </w:rPr>
        <w:t xml:space="preserve"> 1917, докладывая на заседании ВЦИК о переговорах с главнокомандующим Духониным, В.И. Ленин сообщил: «Мы имеем сведения, что наши радиотелеграммы доходят в Европу. &lt;…&gt; Мы имеем возможность сноситься радиотелеграфом с Парижем, и когда мирный договор будет составлен, мы будем иметь возможность сообщить французскому народу, что он может быть подписан.» </w:t>
      </w:r>
      <w:r w:rsidR="00A6454A" w:rsidRPr="002F2FDF">
        <w:rPr>
          <w:color w:val="000000" w:themeColor="text1"/>
          <w:kern w:val="2"/>
          <w:sz w:val="16"/>
          <w:szCs w:val="16"/>
          <w:lang w:val="en-US"/>
        </w:rPr>
        <w:t>(15736).</w:t>
      </w:r>
    </w:p>
    <w:p w14:paraId="24367E65" w14:textId="77777777" w:rsidR="00A6454A" w:rsidRPr="002F2FDF" w:rsidRDefault="00A6454A" w:rsidP="0083075A">
      <w:pPr>
        <w:pStyle w:val="ae"/>
        <w:spacing w:before="0" w:after="0"/>
        <w:jc w:val="both"/>
        <w:rPr>
          <w:color w:val="000000" w:themeColor="text1"/>
          <w:kern w:val="2"/>
          <w:sz w:val="16"/>
          <w:szCs w:val="16"/>
          <w:lang w:val="en-US"/>
        </w:rPr>
      </w:pPr>
    </w:p>
    <w:p w14:paraId="599BA8C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2F2FDF">
        <w:rPr>
          <w:rFonts w:ascii="Times New Roman" w:hAnsi="Times New Roman" w:cs="Times New Roman"/>
          <w:i/>
          <w:iCs/>
          <w:color w:val="000000" w:themeColor="text1"/>
          <w:kern w:val="2"/>
          <w:sz w:val="16"/>
          <w:szCs w:val="16"/>
        </w:rPr>
        <w:t>За</w:t>
      </w:r>
      <w:r w:rsidRPr="002F2FDF">
        <w:rPr>
          <w:rFonts w:ascii="Times New Roman" w:hAnsi="Times New Roman" w:cs="Times New Roman"/>
          <w:i/>
          <w:iCs/>
          <w:color w:val="000000" w:themeColor="text1"/>
          <w:kern w:val="2"/>
          <w:sz w:val="16"/>
          <w:szCs w:val="16"/>
          <w:lang w:val="en-US"/>
        </w:rPr>
        <w:t xml:space="preserve"> </w:t>
      </w:r>
      <w:r w:rsidRPr="002F2FDF">
        <w:rPr>
          <w:rFonts w:ascii="Times New Roman" w:hAnsi="Times New Roman" w:cs="Times New Roman"/>
          <w:i/>
          <w:iCs/>
          <w:color w:val="000000" w:themeColor="text1"/>
          <w:kern w:val="2"/>
          <w:sz w:val="16"/>
          <w:szCs w:val="16"/>
        </w:rPr>
        <w:t>рубежом</w:t>
      </w:r>
      <w:r w:rsidRPr="002F2FDF">
        <w:rPr>
          <w:rFonts w:ascii="Times New Roman" w:hAnsi="Times New Roman" w:cs="Times New Roman"/>
          <w:i/>
          <w:iCs/>
          <w:color w:val="000000" w:themeColor="text1"/>
          <w:kern w:val="2"/>
          <w:sz w:val="16"/>
          <w:szCs w:val="16"/>
          <w:lang w:val="en-US"/>
        </w:rPr>
        <w:t>:</w:t>
      </w:r>
    </w:p>
    <w:p w14:paraId="43A5D9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4C986744" w14:textId="17BD7239" w:rsidR="003431D2" w:rsidRPr="002F2FDF" w:rsidRDefault="00C90AB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Pr>
          <w:rFonts w:ascii="Times New Roman" w:hAnsi="Times New Roman" w:cs="Times New Roman"/>
          <w:color w:val="000000" w:themeColor="text1"/>
          <w:kern w:val="2"/>
          <w:sz w:val="16"/>
          <w:szCs w:val="16"/>
          <w:lang w:val="en-US"/>
        </w:rPr>
        <w:lastRenderedPageBreak/>
        <w:t>October 28 (</w:t>
      </w:r>
      <w:r w:rsidR="003431D2" w:rsidRPr="002F2FDF">
        <w:rPr>
          <w:rFonts w:ascii="Times New Roman" w:hAnsi="Times New Roman" w:cs="Times New Roman"/>
          <w:color w:val="000000" w:themeColor="text1"/>
          <w:kern w:val="2"/>
          <w:sz w:val="16"/>
          <w:szCs w:val="16"/>
          <w:lang w:val="en-US"/>
        </w:rPr>
        <w:t>November 10</w:t>
      </w:r>
      <w:r>
        <w:rPr>
          <w:rFonts w:ascii="Times New Roman" w:hAnsi="Times New Roman" w:cs="Times New Roman"/>
          <w:color w:val="000000" w:themeColor="text1"/>
          <w:kern w:val="2"/>
          <w:sz w:val="16"/>
          <w:szCs w:val="16"/>
          <w:lang w:val="en-US"/>
        </w:rPr>
        <w:t>)</w:t>
      </w:r>
      <w:r w:rsidR="003431D2" w:rsidRPr="002F2FDF">
        <w:rPr>
          <w:rFonts w:ascii="Times New Roman" w:hAnsi="Times New Roman" w:cs="Times New Roman"/>
          <w:color w:val="000000" w:themeColor="text1"/>
          <w:kern w:val="2"/>
          <w:sz w:val="16"/>
          <w:szCs w:val="16"/>
          <w:lang w:val="en-US"/>
        </w:rPr>
        <w:t>, 1917 A Navy "flying bomb," manufactured by the Curtiss Company, was delivered to the Sperry Flying Field at Copiague, Long Island, for test. Also called an aerial torpedo, the flying bomb was designed for automatic operation carrying 1,000 pounds of explosive with a range of 50 miles and a top speed of 90 miles per hour. In addition to this specially designed aircraft, N-9's were also converted for automatic operations as flying bombs that were closely related to the guided missile of today (1090).</w:t>
      </w:r>
    </w:p>
    <w:p w14:paraId="0DBE82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60A170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октября (10 ноября) 1917 Морская летающая бомба, изготовленная компанией Кертисс, была направлена на испытательную базу Sperry Flying Field at Copiague, Long Island для испытаний. Также называемая воздушной торпедой, летающая бомба была разработана для действий в автоматическом режиме и несла 1,000 фунтов взрывчатки и имела дальность 50 миль и скорость до 90 узлов в час. В дополнение использования в качестве торпеды, летающая бомба была прообразом современных управляемых ракет (1090).</w:t>
      </w:r>
    </w:p>
    <w:p w14:paraId="2C7105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DD526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3AEBD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9611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октября (11 ноября) 1917 бюро приступило к формированию первых авиачастей КВФ - шести первых соц. авиаотрядов (455,40). Вышел приказ командующего Петроградским ВО, который предполагал приведение в готовность всех боевых аппаратов и приказал 4 машинам быть на Корпусном аэродроме (278,167).</w:t>
      </w:r>
    </w:p>
    <w:p w14:paraId="452A4D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течение ноября-декабря в Петрограде было сформировано еще 5 авиаотрядов (108,16).</w:t>
      </w:r>
    </w:p>
    <w:p w14:paraId="02F072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60AD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октября (11 ноября) 1917 бюро приступило к практической работе и за 2.5 месяца организовали 6 авиаотрядов (356,26).</w:t>
      </w:r>
    </w:p>
    <w:p w14:paraId="60F6BF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3086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октября (11 ноября) 1917 Командующий обороной Петрограда п/полковник М.А.Муравьев, выполняя указание В.И.Л., отдал приказ: "Предписываю авиачастям привести в боевую готовность все боевые аппараты. Четырем аэропланам на рассвете быть на Корпусном аэродроме и ждать распоряжений. Остальным быть готовым в резерве и ждать распоряжений." (438,388).</w:t>
      </w:r>
    </w:p>
    <w:p w14:paraId="619C60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4F3773" w14:textId="77777777" w:rsidR="004F33D1" w:rsidRPr="005D7D69" w:rsidRDefault="004F33D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5D7D69">
        <w:rPr>
          <w:rFonts w:ascii="Times New Roman" w:hAnsi="Times New Roman" w:cs="Times New Roman"/>
          <w:color w:val="0070C0"/>
          <w:sz w:val="16"/>
          <w:szCs w:val="16"/>
        </w:rPr>
        <w:t>9 октября</w:t>
      </w:r>
      <w:r>
        <w:rPr>
          <w:rFonts w:ascii="Times New Roman" w:hAnsi="Times New Roman" w:cs="Times New Roman"/>
          <w:color w:val="0070C0"/>
          <w:sz w:val="16"/>
          <w:szCs w:val="16"/>
        </w:rPr>
        <w:t xml:space="preserve"> (11 ноября) 1917 г</w:t>
      </w:r>
      <w:r w:rsidRPr="005D7D69">
        <w:rPr>
          <w:rFonts w:ascii="Times New Roman" w:hAnsi="Times New Roman" w:cs="Times New Roman"/>
          <w:color w:val="0070C0"/>
          <w:sz w:val="16"/>
          <w:szCs w:val="16"/>
        </w:rPr>
        <w:t xml:space="preserve">. </w:t>
      </w:r>
      <w:r>
        <w:rPr>
          <w:rFonts w:ascii="Times New Roman" w:hAnsi="Times New Roman" w:cs="Times New Roman"/>
          <w:color w:val="0070C0"/>
          <w:sz w:val="16"/>
          <w:szCs w:val="16"/>
        </w:rPr>
        <w:t>к</w:t>
      </w:r>
      <w:r w:rsidRPr="005D7D69">
        <w:rPr>
          <w:rFonts w:ascii="Times New Roman" w:hAnsi="Times New Roman" w:cs="Times New Roman"/>
          <w:color w:val="0070C0"/>
          <w:sz w:val="16"/>
          <w:szCs w:val="16"/>
        </w:rPr>
        <w:t>о</w:t>
      </w:r>
      <w:r>
        <w:rPr>
          <w:rFonts w:ascii="Times New Roman" w:hAnsi="Times New Roman" w:cs="Times New Roman"/>
          <w:color w:val="0070C0"/>
          <w:sz w:val="16"/>
          <w:szCs w:val="16"/>
        </w:rPr>
        <w:t>м</w:t>
      </w:r>
      <w:r w:rsidRPr="005D7D69">
        <w:rPr>
          <w:rFonts w:ascii="Times New Roman" w:hAnsi="Times New Roman" w:cs="Times New Roman"/>
          <w:color w:val="0070C0"/>
          <w:sz w:val="16"/>
          <w:szCs w:val="16"/>
        </w:rPr>
        <w:t>анду</w:t>
      </w:r>
      <w:r>
        <w:rPr>
          <w:rFonts w:ascii="Times New Roman" w:hAnsi="Times New Roman" w:cs="Times New Roman"/>
          <w:color w:val="0070C0"/>
          <w:sz w:val="16"/>
          <w:szCs w:val="16"/>
        </w:rPr>
        <w:t>ющи</w:t>
      </w:r>
      <w:r w:rsidRPr="005D7D69">
        <w:rPr>
          <w:rFonts w:ascii="Times New Roman" w:hAnsi="Times New Roman" w:cs="Times New Roman"/>
          <w:color w:val="0070C0"/>
          <w:sz w:val="16"/>
          <w:szCs w:val="16"/>
        </w:rPr>
        <w:t>й обороной Петрограда подполковник М.Л.</w:t>
      </w:r>
      <w:r>
        <w:rPr>
          <w:rFonts w:ascii="Times New Roman" w:hAnsi="Times New Roman" w:cs="Times New Roman"/>
          <w:color w:val="0070C0"/>
          <w:sz w:val="16"/>
          <w:szCs w:val="16"/>
        </w:rPr>
        <w:t>Му</w:t>
      </w:r>
      <w:r w:rsidRPr="005D7D69">
        <w:rPr>
          <w:rFonts w:ascii="Times New Roman" w:hAnsi="Times New Roman" w:cs="Times New Roman"/>
          <w:color w:val="0070C0"/>
          <w:sz w:val="16"/>
          <w:szCs w:val="16"/>
        </w:rPr>
        <w:t>равъев, выполняя указание в Л. Денина, отдал приказ:</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"Предписываю авиац</w:t>
      </w:r>
      <w:r>
        <w:rPr>
          <w:rFonts w:ascii="Times New Roman" w:hAnsi="Times New Roman" w:cs="Times New Roman"/>
          <w:color w:val="0070C0"/>
          <w:sz w:val="16"/>
          <w:szCs w:val="16"/>
        </w:rPr>
        <w:t>ионным час</w:t>
      </w:r>
      <w:r w:rsidRPr="005D7D69">
        <w:rPr>
          <w:rFonts w:ascii="Times New Roman" w:hAnsi="Times New Roman" w:cs="Times New Roman"/>
          <w:color w:val="0070C0"/>
          <w:sz w:val="16"/>
          <w:szCs w:val="16"/>
        </w:rPr>
        <w:t xml:space="preserve">тям привести в боевую готовность все боевые аппараты. Четырем аэропланам на рассвете быть на Корпусном аэродроме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ждать р</w:t>
      </w:r>
      <w:r>
        <w:rPr>
          <w:rFonts w:ascii="Times New Roman" w:hAnsi="Times New Roman" w:cs="Times New Roman"/>
          <w:color w:val="0070C0"/>
          <w:sz w:val="16"/>
          <w:szCs w:val="16"/>
        </w:rPr>
        <w:t>асп</w:t>
      </w:r>
      <w:r w:rsidRPr="005D7D69">
        <w:rPr>
          <w:rFonts w:ascii="Times New Roman" w:hAnsi="Times New Roman" w:cs="Times New Roman"/>
          <w:color w:val="0070C0"/>
          <w:sz w:val="16"/>
          <w:szCs w:val="16"/>
        </w:rPr>
        <w:t>оряжений. Остальным быть готовым в резерве</w:t>
      </w:r>
      <w:r>
        <w:rPr>
          <w:rFonts w:ascii="Times New Roman" w:hAnsi="Times New Roman" w:cs="Times New Roman"/>
          <w:color w:val="0070C0"/>
          <w:sz w:val="16"/>
          <w:szCs w:val="16"/>
        </w:rPr>
        <w:t xml:space="preserve"> и </w:t>
      </w:r>
      <w:r w:rsidRPr="005D7D69">
        <w:rPr>
          <w:rFonts w:ascii="Times New Roman" w:hAnsi="Times New Roman" w:cs="Times New Roman"/>
          <w:color w:val="0070C0"/>
          <w:sz w:val="16"/>
          <w:szCs w:val="16"/>
        </w:rPr>
        <w:t>ждать распоряжений</w:t>
      </w:r>
      <w:r>
        <w:rPr>
          <w:rFonts w:ascii="Times New Roman" w:hAnsi="Times New Roman" w:cs="Times New Roman"/>
          <w:color w:val="0070C0"/>
          <w:sz w:val="16"/>
          <w:szCs w:val="16"/>
        </w:rPr>
        <w:t>.</w:t>
      </w:r>
    </w:p>
    <w:p w14:paraId="650F188F" w14:textId="77777777" w:rsidR="004F33D1" w:rsidRDefault="004F33D1"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 документы великой Пролетарской революции, 1938,</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т.1,</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стр.88/ </w:t>
      </w:r>
      <w:r>
        <w:rPr>
          <w:rFonts w:ascii="Times New Roman" w:hAnsi="Times New Roman" w:cs="Times New Roman"/>
          <w:color w:val="0070C0"/>
          <w:sz w:val="16"/>
          <w:szCs w:val="16"/>
        </w:rPr>
        <w:t>(23370).</w:t>
      </w:r>
    </w:p>
    <w:p w14:paraId="0F2E015D" w14:textId="77777777" w:rsidR="004F33D1" w:rsidRDefault="004F33D1" w:rsidP="0083075A">
      <w:pPr>
        <w:spacing w:after="0" w:line="240" w:lineRule="auto"/>
        <w:jc w:val="both"/>
        <w:rPr>
          <w:rFonts w:ascii="Times New Roman" w:hAnsi="Times New Roman" w:cs="Times New Roman"/>
          <w:color w:val="0070C0"/>
          <w:sz w:val="16"/>
          <w:szCs w:val="16"/>
        </w:rPr>
      </w:pPr>
    </w:p>
    <w:p w14:paraId="02ED4D55" w14:textId="77777777" w:rsidR="00636CA3" w:rsidRPr="00815ED5" w:rsidRDefault="00636CA3" w:rsidP="0083075A">
      <w:pPr>
        <w:spacing w:after="0" w:line="240" w:lineRule="auto"/>
        <w:jc w:val="both"/>
        <w:rPr>
          <w:rFonts w:ascii="Times New Roman" w:hAnsi="Times New Roman" w:cs="Times New Roman"/>
          <w:color w:val="0070C0"/>
          <w:sz w:val="16"/>
          <w:szCs w:val="16"/>
        </w:rPr>
      </w:pPr>
      <w:r w:rsidRPr="00283630">
        <w:rPr>
          <w:rFonts w:ascii="Times New Roman" w:hAnsi="Times New Roman" w:cs="Times New Roman"/>
          <w:color w:val="0070C0"/>
          <w:sz w:val="16"/>
          <w:szCs w:val="16"/>
        </w:rPr>
        <w:t>2</w:t>
      </w:r>
      <w:r w:rsidRPr="00815ED5">
        <w:rPr>
          <w:rFonts w:ascii="Times New Roman" w:hAnsi="Times New Roman" w:cs="Times New Roman"/>
          <w:color w:val="0070C0"/>
          <w:sz w:val="16"/>
          <w:szCs w:val="16"/>
        </w:rPr>
        <w:t xml:space="preserve">9 октября </w:t>
      </w:r>
      <w:r w:rsidRPr="00283630">
        <w:rPr>
          <w:rFonts w:ascii="Times New Roman" w:hAnsi="Times New Roman" w:cs="Times New Roman"/>
          <w:color w:val="0070C0"/>
          <w:sz w:val="16"/>
          <w:szCs w:val="16"/>
        </w:rPr>
        <w:t xml:space="preserve">(11 </w:t>
      </w:r>
      <w:r>
        <w:rPr>
          <w:rFonts w:ascii="Times New Roman" w:hAnsi="Times New Roman" w:cs="Times New Roman"/>
          <w:color w:val="0070C0"/>
          <w:sz w:val="16"/>
          <w:szCs w:val="16"/>
        </w:rPr>
        <w:t>ноября</w:t>
      </w:r>
      <w:r w:rsidRPr="00283630">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1917 г. </w:t>
      </w:r>
      <w:r w:rsidRPr="00815ED5">
        <w:rPr>
          <w:rFonts w:ascii="Times New Roman" w:hAnsi="Times New Roman" w:cs="Times New Roman"/>
          <w:color w:val="0070C0"/>
          <w:sz w:val="16"/>
          <w:szCs w:val="16"/>
        </w:rPr>
        <w:t>летний состав 11 КАО выступил с протестом по поводу намечавшегося расформирования отряда в связи с украинизацией авиа</w:t>
      </w:r>
      <w:r w:rsidRPr="00815ED5">
        <w:rPr>
          <w:rFonts w:ascii="Times New Roman" w:hAnsi="Times New Roman" w:cs="Times New Roman"/>
          <w:color w:val="0070C0"/>
          <w:sz w:val="16"/>
          <w:szCs w:val="16"/>
        </w:rPr>
        <w:softHyphen/>
        <w:t>отрядов, расположенных на Украине</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В протесте говорилось</w:t>
      </w:r>
      <w:r>
        <w:rPr>
          <w:rFonts w:ascii="Times New Roman" w:hAnsi="Times New Roman" w:cs="Times New Roman"/>
          <w:color w:val="0070C0"/>
          <w:sz w:val="16"/>
          <w:szCs w:val="16"/>
        </w:rPr>
        <w:t>:</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Р</w:t>
      </w:r>
      <w:r w:rsidRPr="00815ED5">
        <w:rPr>
          <w:rFonts w:ascii="Times New Roman" w:hAnsi="Times New Roman" w:cs="Times New Roman"/>
          <w:color w:val="0070C0"/>
          <w:sz w:val="16"/>
          <w:szCs w:val="16"/>
        </w:rPr>
        <w:t>асформ</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рова</w:t>
      </w:r>
      <w:r>
        <w:rPr>
          <w:rFonts w:ascii="Times New Roman" w:hAnsi="Times New Roman" w:cs="Times New Roman"/>
          <w:color w:val="0070C0"/>
          <w:sz w:val="16"/>
          <w:szCs w:val="16"/>
        </w:rPr>
        <w:t>ни</w:t>
      </w:r>
      <w:r w:rsidRPr="00815ED5">
        <w:rPr>
          <w:rFonts w:ascii="Times New Roman" w:hAnsi="Times New Roman" w:cs="Times New Roman"/>
          <w:color w:val="0070C0"/>
          <w:sz w:val="16"/>
          <w:szCs w:val="16"/>
        </w:rPr>
        <w:t xml:space="preserve">е отряда </w:t>
      </w:r>
      <w:r>
        <w:rPr>
          <w:rFonts w:ascii="Times New Roman" w:hAnsi="Times New Roman" w:cs="Times New Roman"/>
          <w:color w:val="0070C0"/>
          <w:sz w:val="16"/>
          <w:szCs w:val="16"/>
        </w:rPr>
        <w:t>с</w:t>
      </w:r>
      <w:r w:rsidRPr="00815ED5">
        <w:rPr>
          <w:rFonts w:ascii="Times New Roman" w:hAnsi="Times New Roman" w:cs="Times New Roman"/>
          <w:color w:val="0070C0"/>
          <w:sz w:val="16"/>
          <w:szCs w:val="16"/>
        </w:rPr>
        <w:t xml:space="preserve"> целью его украинизации было бы черной неблагодар</w:t>
      </w:r>
      <w:r w:rsidRPr="00815ED5">
        <w:rPr>
          <w:rFonts w:ascii="Times New Roman" w:hAnsi="Times New Roman" w:cs="Times New Roman"/>
          <w:color w:val="0070C0"/>
          <w:sz w:val="16"/>
          <w:szCs w:val="16"/>
        </w:rPr>
        <w:softHyphen/>
        <w:t>ностью в отно</w:t>
      </w:r>
      <w:r>
        <w:rPr>
          <w:rFonts w:ascii="Times New Roman" w:hAnsi="Times New Roman" w:cs="Times New Roman"/>
          <w:color w:val="0070C0"/>
          <w:sz w:val="16"/>
          <w:szCs w:val="16"/>
        </w:rPr>
        <w:t>ш</w:t>
      </w:r>
      <w:r w:rsidRPr="00815ED5">
        <w:rPr>
          <w:rFonts w:ascii="Times New Roman" w:hAnsi="Times New Roman" w:cs="Times New Roman"/>
          <w:color w:val="0070C0"/>
          <w:sz w:val="16"/>
          <w:szCs w:val="16"/>
        </w:rPr>
        <w:t>ении светлой памяти шт,-капитана Нестерова,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его пер</w:t>
      </w:r>
      <w:r w:rsidRPr="00815ED5">
        <w:rPr>
          <w:rFonts w:ascii="Times New Roman" w:hAnsi="Times New Roman" w:cs="Times New Roman"/>
          <w:color w:val="0070C0"/>
          <w:sz w:val="16"/>
          <w:szCs w:val="16"/>
        </w:rPr>
        <w:softHyphen/>
        <w:t>вого командира - великоросса по происхождению".</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Отряд был сохранен.</w:t>
      </w:r>
    </w:p>
    <w:p w14:paraId="64BC6ED3" w14:textId="77777777" w:rsidR="00636CA3" w:rsidRDefault="00636CA3"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/ЦГВИА, ф. 2008, Д. 688/</w:t>
      </w:r>
      <w:r>
        <w:rPr>
          <w:rFonts w:ascii="Times New Roman" w:hAnsi="Times New Roman" w:cs="Times New Roman"/>
          <w:color w:val="0070C0"/>
          <w:sz w:val="16"/>
          <w:szCs w:val="16"/>
        </w:rPr>
        <w:t xml:space="preserve"> (23320).</w:t>
      </w:r>
    </w:p>
    <w:p w14:paraId="2BF4704B" w14:textId="77777777" w:rsidR="00636CA3" w:rsidRPr="00815ED5" w:rsidRDefault="00636CA3" w:rsidP="0083075A">
      <w:pPr>
        <w:spacing w:after="0" w:line="240" w:lineRule="auto"/>
        <w:jc w:val="both"/>
        <w:rPr>
          <w:rFonts w:ascii="Times New Roman" w:hAnsi="Times New Roman" w:cs="Times New Roman"/>
          <w:color w:val="0070C0"/>
          <w:sz w:val="16"/>
          <w:szCs w:val="16"/>
        </w:rPr>
      </w:pPr>
    </w:p>
    <w:p w14:paraId="6EDCF621" w14:textId="061B02BF" w:rsidR="002C21EC" w:rsidRPr="00FB4F67" w:rsidRDefault="002C21EC" w:rsidP="0083075A">
      <w:pPr>
        <w:spacing w:after="0" w:line="240" w:lineRule="auto"/>
        <w:jc w:val="both"/>
        <w:rPr>
          <w:rFonts w:ascii="Times New Roman" w:hAnsi="Times New Roman" w:cs="Times New Roman"/>
          <w:color w:val="0070C0"/>
          <w:sz w:val="16"/>
          <w:szCs w:val="16"/>
        </w:rPr>
      </w:pPr>
      <w:r w:rsidRPr="00283630">
        <w:rPr>
          <w:rFonts w:ascii="Times New Roman" w:hAnsi="Times New Roman" w:cs="Times New Roman"/>
          <w:color w:val="0070C0"/>
          <w:sz w:val="16"/>
          <w:szCs w:val="16"/>
        </w:rPr>
        <w:t>2</w:t>
      </w:r>
      <w:r w:rsidRPr="00815ED5">
        <w:rPr>
          <w:rFonts w:ascii="Times New Roman" w:hAnsi="Times New Roman" w:cs="Times New Roman"/>
          <w:color w:val="0070C0"/>
          <w:sz w:val="16"/>
          <w:szCs w:val="16"/>
        </w:rPr>
        <w:t xml:space="preserve">9 октября </w:t>
      </w:r>
      <w:r w:rsidRPr="00283630">
        <w:rPr>
          <w:rFonts w:ascii="Times New Roman" w:hAnsi="Times New Roman" w:cs="Times New Roman"/>
          <w:color w:val="0070C0"/>
          <w:sz w:val="16"/>
          <w:szCs w:val="16"/>
        </w:rPr>
        <w:t xml:space="preserve">(11 </w:t>
      </w:r>
      <w:r>
        <w:rPr>
          <w:rFonts w:ascii="Times New Roman" w:hAnsi="Times New Roman" w:cs="Times New Roman"/>
          <w:color w:val="0070C0"/>
          <w:sz w:val="16"/>
          <w:szCs w:val="16"/>
        </w:rPr>
        <w:t>ноября</w:t>
      </w:r>
      <w:r w:rsidRPr="00283630">
        <w:rPr>
          <w:rFonts w:ascii="Times New Roman" w:hAnsi="Times New Roman" w:cs="Times New Roman"/>
          <w:color w:val="0070C0"/>
          <w:sz w:val="16"/>
          <w:szCs w:val="16"/>
        </w:rPr>
        <w:t xml:space="preserve">) </w:t>
      </w:r>
      <w:r w:rsidRPr="00FB4F67">
        <w:rPr>
          <w:rFonts w:ascii="Times New Roman" w:hAnsi="Times New Roman" w:cs="Times New Roman"/>
          <w:color w:val="0070C0"/>
          <w:sz w:val="16"/>
          <w:szCs w:val="16"/>
        </w:rPr>
        <w:t>1917 г. в Украине самолет «Вуазен» под управлением А. Егорова и Н. Кипчука вылетел из Киева с красным флагом в знак восстания красных в городе. Украинские войска быстро подавили восстание (23525).</w:t>
      </w:r>
    </w:p>
    <w:p w14:paraId="2DDB525E" w14:textId="77777777" w:rsidR="002C21EC" w:rsidRPr="00FB4F67" w:rsidRDefault="002C21EC" w:rsidP="0083075A">
      <w:pPr>
        <w:spacing w:after="0" w:line="240" w:lineRule="auto"/>
        <w:jc w:val="both"/>
        <w:rPr>
          <w:rFonts w:ascii="Times New Roman" w:hAnsi="Times New Roman" w:cs="Times New Roman"/>
          <w:color w:val="0070C0"/>
          <w:sz w:val="16"/>
          <w:szCs w:val="16"/>
        </w:rPr>
      </w:pPr>
    </w:p>
    <w:p w14:paraId="51F3ACCD" w14:textId="52596AFF" w:rsidR="002C21EC" w:rsidRPr="00FB4F67" w:rsidRDefault="002C21EC" w:rsidP="0083075A">
      <w:pPr>
        <w:spacing w:after="0" w:line="240" w:lineRule="auto"/>
        <w:jc w:val="both"/>
        <w:rPr>
          <w:rFonts w:ascii="Times New Roman" w:hAnsi="Times New Roman" w:cs="Times New Roman"/>
          <w:color w:val="0070C0"/>
          <w:sz w:val="16"/>
          <w:szCs w:val="16"/>
        </w:rPr>
      </w:pPr>
      <w:r w:rsidRPr="00283630">
        <w:rPr>
          <w:rFonts w:ascii="Times New Roman" w:hAnsi="Times New Roman" w:cs="Times New Roman"/>
          <w:color w:val="0070C0"/>
          <w:sz w:val="16"/>
          <w:szCs w:val="16"/>
        </w:rPr>
        <w:t>2</w:t>
      </w:r>
      <w:r w:rsidRPr="00815ED5">
        <w:rPr>
          <w:rFonts w:ascii="Times New Roman" w:hAnsi="Times New Roman" w:cs="Times New Roman"/>
          <w:color w:val="0070C0"/>
          <w:sz w:val="16"/>
          <w:szCs w:val="16"/>
        </w:rPr>
        <w:t xml:space="preserve">9 октября </w:t>
      </w:r>
      <w:r w:rsidRPr="00283630">
        <w:rPr>
          <w:rFonts w:ascii="Times New Roman" w:hAnsi="Times New Roman" w:cs="Times New Roman"/>
          <w:color w:val="0070C0"/>
          <w:sz w:val="16"/>
          <w:szCs w:val="16"/>
        </w:rPr>
        <w:t xml:space="preserve">(11 </w:t>
      </w:r>
      <w:r>
        <w:rPr>
          <w:rFonts w:ascii="Times New Roman" w:hAnsi="Times New Roman" w:cs="Times New Roman"/>
          <w:color w:val="0070C0"/>
          <w:sz w:val="16"/>
          <w:szCs w:val="16"/>
        </w:rPr>
        <w:t>ноября</w:t>
      </w:r>
      <w:r w:rsidRPr="00283630">
        <w:rPr>
          <w:rFonts w:ascii="Times New Roman" w:hAnsi="Times New Roman" w:cs="Times New Roman"/>
          <w:color w:val="0070C0"/>
          <w:sz w:val="16"/>
          <w:szCs w:val="16"/>
        </w:rPr>
        <w:t xml:space="preserve">) </w:t>
      </w:r>
      <w:r w:rsidRPr="00FB4F67">
        <w:rPr>
          <w:rFonts w:ascii="Times New Roman" w:hAnsi="Times New Roman" w:cs="Times New Roman"/>
          <w:color w:val="0070C0"/>
          <w:sz w:val="16"/>
          <w:szCs w:val="16"/>
        </w:rPr>
        <w:t>1917 г. под Петроградом красные сформировали 1-й Социалистический АО во главе с Л.А. Дудолева и 2-го Революционного АО во главе с А. М. Лабренцем, выполнявшего задачи против белогвардейцев Краснова (23525).</w:t>
      </w:r>
    </w:p>
    <w:p w14:paraId="0C390759" w14:textId="77777777" w:rsidR="002C21EC" w:rsidRPr="00FB4F67" w:rsidRDefault="002C21EC" w:rsidP="0083075A">
      <w:pPr>
        <w:spacing w:after="0" w:line="240" w:lineRule="auto"/>
        <w:jc w:val="both"/>
        <w:rPr>
          <w:rFonts w:ascii="Times New Roman" w:hAnsi="Times New Roman" w:cs="Times New Roman"/>
          <w:color w:val="0070C0"/>
          <w:sz w:val="16"/>
          <w:szCs w:val="16"/>
        </w:rPr>
      </w:pPr>
    </w:p>
    <w:p w14:paraId="02DB90C4" w14:textId="3768CFAB" w:rsidR="002C21EC" w:rsidRPr="00FB4F67" w:rsidRDefault="002C21EC" w:rsidP="0083075A">
      <w:pPr>
        <w:spacing w:after="0" w:line="240" w:lineRule="auto"/>
        <w:jc w:val="both"/>
        <w:rPr>
          <w:rFonts w:ascii="Times New Roman" w:hAnsi="Times New Roman" w:cs="Times New Roman"/>
          <w:color w:val="0070C0"/>
          <w:sz w:val="16"/>
          <w:szCs w:val="16"/>
        </w:rPr>
      </w:pPr>
      <w:r w:rsidRPr="00283630">
        <w:rPr>
          <w:rFonts w:ascii="Times New Roman" w:hAnsi="Times New Roman" w:cs="Times New Roman"/>
          <w:color w:val="0070C0"/>
          <w:sz w:val="16"/>
          <w:szCs w:val="16"/>
        </w:rPr>
        <w:t>2</w:t>
      </w:r>
      <w:r w:rsidRPr="00815ED5">
        <w:rPr>
          <w:rFonts w:ascii="Times New Roman" w:hAnsi="Times New Roman" w:cs="Times New Roman"/>
          <w:color w:val="0070C0"/>
          <w:sz w:val="16"/>
          <w:szCs w:val="16"/>
        </w:rPr>
        <w:t xml:space="preserve">9 </w:t>
      </w:r>
      <w:r>
        <w:rPr>
          <w:rFonts w:ascii="Times New Roman" w:hAnsi="Times New Roman" w:cs="Times New Roman"/>
          <w:color w:val="0070C0"/>
          <w:sz w:val="16"/>
          <w:szCs w:val="16"/>
        </w:rPr>
        <w:t xml:space="preserve">-30 </w:t>
      </w:r>
      <w:r w:rsidRPr="00815ED5">
        <w:rPr>
          <w:rFonts w:ascii="Times New Roman" w:hAnsi="Times New Roman" w:cs="Times New Roman"/>
          <w:color w:val="0070C0"/>
          <w:sz w:val="16"/>
          <w:szCs w:val="16"/>
        </w:rPr>
        <w:t xml:space="preserve">октября </w:t>
      </w:r>
      <w:r w:rsidRPr="00283630">
        <w:rPr>
          <w:rFonts w:ascii="Times New Roman" w:hAnsi="Times New Roman" w:cs="Times New Roman"/>
          <w:color w:val="0070C0"/>
          <w:sz w:val="16"/>
          <w:szCs w:val="16"/>
        </w:rPr>
        <w:t xml:space="preserve">(11 </w:t>
      </w:r>
      <w:r>
        <w:rPr>
          <w:rFonts w:ascii="Times New Roman" w:hAnsi="Times New Roman" w:cs="Times New Roman"/>
          <w:color w:val="0070C0"/>
          <w:sz w:val="16"/>
          <w:szCs w:val="16"/>
        </w:rPr>
        <w:t>-12 ноября</w:t>
      </w:r>
      <w:r w:rsidRPr="00283630">
        <w:rPr>
          <w:rFonts w:ascii="Times New Roman" w:hAnsi="Times New Roman" w:cs="Times New Roman"/>
          <w:color w:val="0070C0"/>
          <w:sz w:val="16"/>
          <w:szCs w:val="16"/>
        </w:rPr>
        <w:t xml:space="preserve">) </w:t>
      </w:r>
      <w:r w:rsidRPr="00FB4F67">
        <w:rPr>
          <w:rFonts w:ascii="Times New Roman" w:hAnsi="Times New Roman" w:cs="Times New Roman"/>
          <w:color w:val="0070C0"/>
          <w:sz w:val="16"/>
          <w:szCs w:val="16"/>
        </w:rPr>
        <w:t>1917 г. красногвардейцы захватили власть в Красноярске, Оренбурге и Красноводске (23525).</w:t>
      </w:r>
    </w:p>
    <w:p w14:paraId="3C4D61DB" w14:textId="77777777" w:rsidR="002C21EC" w:rsidRPr="00FB4F67" w:rsidRDefault="002C21EC" w:rsidP="0083075A">
      <w:pPr>
        <w:spacing w:after="0" w:line="240" w:lineRule="auto"/>
        <w:jc w:val="both"/>
        <w:rPr>
          <w:rFonts w:ascii="Times New Roman" w:hAnsi="Times New Roman" w:cs="Times New Roman"/>
          <w:color w:val="0070C0"/>
          <w:sz w:val="16"/>
          <w:szCs w:val="16"/>
        </w:rPr>
      </w:pPr>
    </w:p>
    <w:p w14:paraId="47301C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октября (11 ноября) 1917 был создан Стальной противосамолетный артдивизион из 2 батарей (8 зенитных пушек и 12 пулеметов). Был направлен в район Пулково. Красносельская зенитная автомобильная батарея стала первым формированием ПВО СССР. 12 ноября сбили белогвардейский пулемет, открыв счет (3398,392).</w:t>
      </w:r>
    </w:p>
    <w:p w14:paraId="1BBA4F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923ECF" w14:textId="77777777" w:rsidR="00EC5BE1" w:rsidRPr="002F2FDF" w:rsidRDefault="00EC5BE1"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29 октября (11 ноября) </w:t>
      </w:r>
      <w:r w:rsidRPr="002F2FDF">
        <w:rPr>
          <w:rFonts w:ascii="Times New Roman" w:hAnsi="Times New Roman" w:cs="Times New Roman"/>
          <w:color w:val="000000" w:themeColor="text1"/>
          <w:kern w:val="2"/>
          <w:sz w:val="16"/>
          <w:szCs w:val="16"/>
        </w:rPr>
        <w:t>в 1917 году создан Стальной противосамолетный дивизион, состоявший из двух батарей (8 зенитных пушек и 12 станковых пулеметов) - первая часть ПВО Советской республики. Первый бой принял 3 марта 1918 года как «Стальной» противосамолетный дивизион, после Гражданской войны стали именоваться 81-й зенитно-артиллерийский дивизион, в октябре 1931 года развёрнут в 169-й зенитный артиллерийский полк. Дивизион, направленный в район Пулкова, и красносельская зенитная автомобильная батарея стали первыми формированиями ПВО Республики. 12 ноября был сбит белогвардейский самолет, тем самым открыт боевой счет войск ПВО Республики. Полк является одним из старейших соединений зенитной артиллерии Российской Федерации. Красносельская зенитная автомобильная батарея была сформирована согласно приказу Штаба Верховного Главнокомандующего 5 октября 1914 г. Но лишь вначале марта 1915 г. Путиловский завод закончил изготовление первых 76-мм противоаэропланных пушек образца 1914 г. и их установку на автомобили. Для своего времени это была весьма хорошо оснащенная в техническом отношении войсковая единица. Кроме четырех бронированных автомобилей «Руссо-Балт Т 40/6» (носители вооружения) с пушками, на каждом из которых помещалось также по 64 снаряда и 6 номеров расчета, она имела в своем составе четыре автомобиля "Руссо-Балт М 24/40" (зарядные ящики) по 96 снарядов и по 330 кг бензина и масла, а также по три солдата в каждом, три легковых автомобиля для офицеров и команды связи, четыре мотоцикла для разведчиков и автомобиль – кухню-цейхгауз. На каждый автомобиль полагалось по два водителя: шофер и его помощник. Таким образом эта батарея была первой полностью моторизованной артиллерийской частью Русской Армии (14827).</w:t>
      </w:r>
    </w:p>
    <w:p w14:paraId="66805EAB" w14:textId="77777777" w:rsidR="00EC5BE1" w:rsidRPr="002F2FDF" w:rsidRDefault="00EC5BE1" w:rsidP="0083075A">
      <w:pPr>
        <w:spacing w:after="0" w:line="240" w:lineRule="auto"/>
        <w:jc w:val="both"/>
        <w:rPr>
          <w:rFonts w:ascii="Times New Roman" w:hAnsi="Times New Roman" w:cs="Times New Roman"/>
          <w:color w:val="000000" w:themeColor="text1"/>
          <w:kern w:val="2"/>
          <w:sz w:val="16"/>
          <w:szCs w:val="16"/>
        </w:rPr>
      </w:pPr>
    </w:p>
    <w:p w14:paraId="7D2F11C7" w14:textId="7B123C6A" w:rsidR="002F3D6F" w:rsidRDefault="002F3D6F"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5D7D69">
        <w:rPr>
          <w:rFonts w:ascii="Times New Roman" w:hAnsi="Times New Roman" w:cs="Times New Roman"/>
          <w:color w:val="0070C0"/>
          <w:sz w:val="16"/>
          <w:szCs w:val="16"/>
        </w:rPr>
        <w:t>9 октября</w:t>
      </w:r>
      <w:r>
        <w:rPr>
          <w:rFonts w:ascii="Times New Roman" w:hAnsi="Times New Roman" w:cs="Times New Roman"/>
          <w:color w:val="0070C0"/>
          <w:sz w:val="16"/>
          <w:szCs w:val="16"/>
        </w:rPr>
        <w:t xml:space="preserve"> (11 ноября) 1917 г</w:t>
      </w:r>
      <w:r w:rsidRPr="005D7D69">
        <w:rPr>
          <w:rFonts w:ascii="Times New Roman" w:hAnsi="Times New Roman" w:cs="Times New Roman"/>
          <w:color w:val="0070C0"/>
          <w:sz w:val="16"/>
          <w:szCs w:val="16"/>
        </w:rPr>
        <w:t xml:space="preserve">. </w:t>
      </w:r>
      <w:r>
        <w:rPr>
          <w:rFonts w:ascii="Times New Roman" w:hAnsi="Times New Roman" w:cs="Times New Roman"/>
          <w:color w:val="0070C0"/>
          <w:sz w:val="16"/>
          <w:szCs w:val="16"/>
        </w:rPr>
        <w:t>М</w:t>
      </w:r>
      <w:r w:rsidRPr="005D7D69">
        <w:rPr>
          <w:rFonts w:ascii="Times New Roman" w:hAnsi="Times New Roman" w:cs="Times New Roman"/>
          <w:color w:val="0070C0"/>
          <w:sz w:val="16"/>
          <w:szCs w:val="16"/>
        </w:rPr>
        <w:t>осковск</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й авиационный парк-склад доносил военно-револю</w:t>
      </w:r>
      <w:r w:rsidRPr="005D7D69">
        <w:rPr>
          <w:rFonts w:ascii="Times New Roman" w:hAnsi="Times New Roman" w:cs="Times New Roman"/>
          <w:color w:val="0070C0"/>
          <w:sz w:val="16"/>
          <w:szCs w:val="16"/>
        </w:rPr>
        <w:softHyphen/>
        <w:t>ционно^ комитету:</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«Согласн</w:t>
      </w:r>
      <w:r>
        <w:rPr>
          <w:rFonts w:ascii="Times New Roman" w:hAnsi="Times New Roman" w:cs="Times New Roman"/>
          <w:color w:val="0070C0"/>
          <w:sz w:val="16"/>
          <w:szCs w:val="16"/>
        </w:rPr>
        <w:t>ы</w:t>
      </w:r>
      <w:r w:rsidRPr="005D7D69">
        <w:rPr>
          <w:rFonts w:ascii="Times New Roman" w:hAnsi="Times New Roman" w:cs="Times New Roman"/>
          <w:color w:val="0070C0"/>
          <w:sz w:val="16"/>
          <w:szCs w:val="16"/>
        </w:rPr>
        <w:t xml:space="preserve"> вылететь </w:t>
      </w:r>
      <w:r>
        <w:rPr>
          <w:rFonts w:ascii="Times New Roman" w:hAnsi="Times New Roman" w:cs="Times New Roman"/>
          <w:color w:val="0070C0"/>
          <w:sz w:val="16"/>
          <w:szCs w:val="16"/>
        </w:rPr>
        <w:t>2-3</w:t>
      </w:r>
      <w:r w:rsidRPr="005D7D69">
        <w:rPr>
          <w:rFonts w:ascii="Times New Roman" w:hAnsi="Times New Roman" w:cs="Times New Roman"/>
          <w:color w:val="0070C0"/>
          <w:sz w:val="16"/>
          <w:szCs w:val="16"/>
        </w:rPr>
        <w:t xml:space="preserve"> аэроплана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 пулеметами </w:t>
      </w:r>
      <w:r>
        <w:rPr>
          <w:rFonts w:ascii="Times New Roman" w:hAnsi="Times New Roman" w:cs="Times New Roman"/>
          <w:color w:val="0070C0"/>
          <w:sz w:val="16"/>
          <w:szCs w:val="16"/>
        </w:rPr>
        <w:t xml:space="preserve">и </w:t>
      </w:r>
      <w:r w:rsidRPr="005D7D69">
        <w:rPr>
          <w:rFonts w:ascii="Times New Roman" w:hAnsi="Times New Roman" w:cs="Times New Roman"/>
          <w:color w:val="0070C0"/>
          <w:sz w:val="16"/>
          <w:szCs w:val="16"/>
        </w:rPr>
        <w:t>бомба</w:t>
      </w:r>
      <w:r>
        <w:rPr>
          <w:rFonts w:ascii="Times New Roman" w:hAnsi="Times New Roman" w:cs="Times New Roman"/>
          <w:color w:val="0070C0"/>
          <w:sz w:val="16"/>
          <w:szCs w:val="16"/>
        </w:rPr>
        <w:t>ми</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Ждут приказа от революционного Комитета.</w:t>
      </w:r>
      <w:r>
        <w:rPr>
          <w:rFonts w:ascii="Times New Roman" w:hAnsi="Times New Roman" w:cs="Times New Roman"/>
          <w:color w:val="0070C0"/>
          <w:sz w:val="16"/>
          <w:szCs w:val="16"/>
        </w:rPr>
        <w:t xml:space="preserve"> Л</w:t>
      </w:r>
      <w:r w:rsidRPr="005D7D69">
        <w:rPr>
          <w:rFonts w:ascii="Times New Roman" w:hAnsi="Times New Roman" w:cs="Times New Roman"/>
          <w:color w:val="0070C0"/>
          <w:sz w:val="16"/>
          <w:szCs w:val="16"/>
        </w:rPr>
        <w:t>етчик</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до некото</w:t>
      </w:r>
      <w:r w:rsidRPr="005D7D69">
        <w:rPr>
          <w:rFonts w:ascii="Times New Roman" w:hAnsi="Times New Roman" w:cs="Times New Roman"/>
          <w:color w:val="0070C0"/>
          <w:sz w:val="16"/>
          <w:szCs w:val="16"/>
        </w:rPr>
        <w:softHyphen/>
        <w:t xml:space="preserve">рой степени колеблются. Их представитель постоянно находится у </w:t>
      </w:r>
      <w:r>
        <w:rPr>
          <w:rFonts w:ascii="Times New Roman" w:hAnsi="Times New Roman" w:cs="Times New Roman"/>
          <w:color w:val="0070C0"/>
          <w:sz w:val="16"/>
          <w:szCs w:val="16"/>
        </w:rPr>
        <w:t>н</w:t>
      </w:r>
      <w:r w:rsidRPr="005D7D69">
        <w:rPr>
          <w:rFonts w:ascii="Times New Roman" w:hAnsi="Times New Roman" w:cs="Times New Roman"/>
          <w:color w:val="0070C0"/>
          <w:sz w:val="16"/>
          <w:szCs w:val="16"/>
        </w:rPr>
        <w:t>а</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 в Совете</w:t>
      </w:r>
      <w:r>
        <w:rPr>
          <w:rFonts w:ascii="Times New Roman" w:hAnsi="Times New Roman" w:cs="Times New Roman"/>
          <w:color w:val="0070C0"/>
          <w:sz w:val="16"/>
          <w:szCs w:val="16"/>
        </w:rPr>
        <w:t>. М</w:t>
      </w:r>
      <w:r w:rsidRPr="005D7D69">
        <w:rPr>
          <w:rFonts w:ascii="Times New Roman" w:hAnsi="Times New Roman" w:cs="Times New Roman"/>
          <w:color w:val="0070C0"/>
          <w:sz w:val="16"/>
          <w:szCs w:val="16"/>
        </w:rPr>
        <w:t>ос</w:t>
      </w:r>
      <w:r>
        <w:rPr>
          <w:rFonts w:ascii="Times New Roman" w:hAnsi="Times New Roman" w:cs="Times New Roman"/>
          <w:color w:val="0070C0"/>
          <w:sz w:val="16"/>
          <w:szCs w:val="16"/>
        </w:rPr>
        <w:t>к</w:t>
      </w:r>
      <w:r w:rsidRPr="005D7D69">
        <w:rPr>
          <w:rFonts w:ascii="Times New Roman" w:hAnsi="Times New Roman" w:cs="Times New Roman"/>
          <w:color w:val="0070C0"/>
          <w:sz w:val="16"/>
          <w:szCs w:val="16"/>
        </w:rPr>
        <w:t>овскпе летчики все же летали по заданию ВРК,</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но ограничивались только разведкой,</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так как ВРК высказался против ме</w:t>
      </w:r>
      <w:r>
        <w:rPr>
          <w:rFonts w:ascii="Times New Roman" w:hAnsi="Times New Roman" w:cs="Times New Roman"/>
          <w:color w:val="0070C0"/>
          <w:sz w:val="16"/>
          <w:szCs w:val="16"/>
        </w:rPr>
        <w:t>таия</w:t>
      </w:r>
      <w:r w:rsidRPr="005D7D69">
        <w:rPr>
          <w:rFonts w:ascii="Times New Roman" w:hAnsi="Times New Roman" w:cs="Times New Roman"/>
          <w:color w:val="0070C0"/>
          <w:sz w:val="16"/>
          <w:szCs w:val="16"/>
        </w:rPr>
        <w:t xml:space="preserve"> бомб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 аэропланов,</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а 31 октября он приказал</w:t>
      </w:r>
      <w:r>
        <w:rPr>
          <w:rFonts w:ascii="Times New Roman" w:hAnsi="Times New Roman" w:cs="Times New Roman"/>
          <w:color w:val="0070C0"/>
          <w:sz w:val="16"/>
          <w:szCs w:val="16"/>
        </w:rPr>
        <w:t>:</w:t>
      </w:r>
      <w:r w:rsidRPr="005D7D69">
        <w:rPr>
          <w:rFonts w:ascii="Times New Roman" w:hAnsi="Times New Roman" w:cs="Times New Roman"/>
          <w:color w:val="0070C0"/>
          <w:sz w:val="16"/>
          <w:szCs w:val="16"/>
        </w:rPr>
        <w:t xml:space="preserve"> всем войскам, преданным ВРК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Красной гвардии,</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н</w:t>
      </w:r>
      <w:r>
        <w:rPr>
          <w:rFonts w:ascii="Times New Roman" w:hAnsi="Times New Roman" w:cs="Times New Roman"/>
          <w:color w:val="0070C0"/>
          <w:sz w:val="16"/>
          <w:szCs w:val="16"/>
        </w:rPr>
        <w:t>е</w:t>
      </w:r>
      <w:r w:rsidRPr="005D7D69">
        <w:rPr>
          <w:rFonts w:ascii="Times New Roman" w:hAnsi="Times New Roman" w:cs="Times New Roman"/>
          <w:color w:val="0070C0"/>
          <w:sz w:val="16"/>
          <w:szCs w:val="16"/>
        </w:rPr>
        <w:t xml:space="preserve"> обстреливать летаю</w:t>
      </w:r>
      <w:r>
        <w:rPr>
          <w:rFonts w:ascii="Times New Roman" w:hAnsi="Times New Roman" w:cs="Times New Roman"/>
          <w:color w:val="0070C0"/>
          <w:sz w:val="16"/>
          <w:szCs w:val="16"/>
        </w:rPr>
        <w:t>щие</w:t>
      </w:r>
      <w:r w:rsidRPr="005D7D69">
        <w:rPr>
          <w:rFonts w:ascii="Times New Roman" w:hAnsi="Times New Roman" w:cs="Times New Roman"/>
          <w:color w:val="0070C0"/>
          <w:sz w:val="16"/>
          <w:szCs w:val="16"/>
        </w:rPr>
        <w:t xml:space="preserve"> аэропланы</w:t>
      </w:r>
      <w:r>
        <w:rPr>
          <w:rFonts w:ascii="Times New Roman" w:hAnsi="Times New Roman" w:cs="Times New Roman"/>
          <w:color w:val="0070C0"/>
          <w:sz w:val="16"/>
          <w:szCs w:val="16"/>
        </w:rPr>
        <w:t>.</w:t>
      </w:r>
    </w:p>
    <w:p w14:paraId="11CA0904" w14:textId="77777777" w:rsidR="002F3D6F" w:rsidRDefault="002F3D6F"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/Документы Великой Пролетарской революции, 1948,</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т.</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2,</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стр. 105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128/</w:t>
      </w:r>
      <w:r>
        <w:rPr>
          <w:rFonts w:ascii="Times New Roman" w:hAnsi="Times New Roman" w:cs="Times New Roman"/>
          <w:color w:val="0070C0"/>
          <w:sz w:val="16"/>
          <w:szCs w:val="16"/>
        </w:rPr>
        <w:t xml:space="preserve"> (23370).</w:t>
      </w:r>
    </w:p>
    <w:p w14:paraId="0EC88C8A" w14:textId="77777777" w:rsidR="002F3D6F" w:rsidRPr="005D7D69" w:rsidRDefault="002F3D6F" w:rsidP="0083075A">
      <w:pPr>
        <w:spacing w:after="0" w:line="240" w:lineRule="auto"/>
        <w:jc w:val="both"/>
        <w:rPr>
          <w:rFonts w:ascii="Times New Roman" w:hAnsi="Times New Roman" w:cs="Times New Roman"/>
          <w:color w:val="0070C0"/>
          <w:sz w:val="16"/>
          <w:szCs w:val="16"/>
        </w:rPr>
      </w:pPr>
    </w:p>
    <w:p w14:paraId="65BCAD4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2511B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220AB3" w14:textId="77777777" w:rsidR="00905338" w:rsidRPr="002F2FDF" w:rsidRDefault="009053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29 октября (11 ноября) 1917 г. вышел декрет Совета народных комиссаров "О восьмичасовом рабочем дне". В нем говорилось, что рабочее время, определяемое правилами внутреннего распорядка предприятий, не должно превышать 8 рабочих часов в сутки и 48 часов в неделю, включая сюда и время, употребляемое на чистку машин и на приведение в порядок рабочего помещения</w:t>
      </w:r>
    </w:p>
    <w:p w14:paraId="6C012C79" w14:textId="77777777" w:rsidR="00905338" w:rsidRPr="002F2FDF" w:rsidRDefault="009053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Государство строго контролировало соблюдение этой нормы продолжительности рабочего дня. В 1928-1933 гг. был осуществлен переход к 7-часовому рабочему дню. В начале 1930-х гг. была введен пятидневный рабочий цикл (рабочая пятидневка при шестом выходном дне).</w:t>
      </w:r>
    </w:p>
    <w:p w14:paraId="041407AF" w14:textId="77777777" w:rsidR="00905338" w:rsidRPr="002F2FDF" w:rsidRDefault="009053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1940 г., в связи с начавшейся Второй мировой войной 1939-1945 гг. и напряженной международной обстановкой, был издан указ президиума Верховного Совета СССР "О переходе на восьмичасовой рабочий день, на семидневную рабочую неделю" (шесть рабочих и один выходной). Работали 48 часов в неделю (21168).</w:t>
      </w:r>
    </w:p>
    <w:p w14:paraId="0F778371" w14:textId="77777777" w:rsidR="00905338" w:rsidRPr="002F2FDF" w:rsidRDefault="00905338" w:rsidP="0083075A">
      <w:pPr>
        <w:shd w:val="clear" w:color="auto" w:fill="FFFFFF"/>
        <w:spacing w:after="0" w:line="240" w:lineRule="auto"/>
        <w:jc w:val="both"/>
        <w:rPr>
          <w:rFonts w:ascii="Times New Roman" w:hAnsi="Times New Roman" w:cs="Times New Roman"/>
          <w:color w:val="000000" w:themeColor="text1"/>
          <w:sz w:val="16"/>
          <w:szCs w:val="16"/>
        </w:rPr>
      </w:pPr>
    </w:p>
    <w:p w14:paraId="4C86638F"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октября (11 ноября) 1917 (</w:t>
      </w:r>
      <w:r w:rsidRPr="002F2FDF">
        <w:rPr>
          <w:rFonts w:ascii="Times New Roman" w:hAnsi="Times New Roman" w:cs="Times New Roman"/>
          <w:iCs/>
          <w:color w:val="000000" w:themeColor="text1"/>
          <w:kern w:val="2"/>
          <w:sz w:val="16"/>
          <w:szCs w:val="16"/>
        </w:rPr>
        <w:t>хроника событий Октябрьской революции с 25 октября по 29 октября 1917 г. (по старому стилю), изложенную в газете "Петроградский листок" от 12 ноября 1917 г. Хроника эта интересна тем, что расписана по часам и сделана по горячим следам. Газета была настроена антибольшевистски)</w:t>
      </w:r>
      <w:r w:rsidRPr="002F2FDF">
        <w:rPr>
          <w:rFonts w:ascii="Times New Roman" w:hAnsi="Times New Roman" w:cs="Times New Roman"/>
          <w:color w:val="000000" w:themeColor="text1"/>
          <w:kern w:val="2"/>
          <w:sz w:val="16"/>
          <w:szCs w:val="16"/>
        </w:rPr>
        <w:t>:</w:t>
      </w:r>
    </w:p>
    <w:p w14:paraId="5AA64F7F"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ПЯТЫЙ ДЕНЬ – КРОВАВОЕ ВОСКРЕСЕНЬЕ</w:t>
      </w:r>
    </w:p>
    <w:p w14:paraId="3944A037"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Печати приказано «свободолюбцам» молчать. Закрыть социалистический «Голос Солдата». Насилие в редакции «Голос Народа», который не вышел. </w:t>
      </w:r>
    </w:p>
    <w:p w14:paraId="18C33919"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Заявление редакций «Р. Воли» и «Речи», что их газеты насильственно лишили возможности выходить. </w:t>
      </w:r>
    </w:p>
    <w:p w14:paraId="147222C4"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Типография «Биржев. Ведом.» отдана в.-р. комитетом в распоряжение анархистов. Рабочие и служащие выразили протест и отказались работать для захватчиков. </w:t>
      </w:r>
    </w:p>
    <w:p w14:paraId="79AC72E5"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Заявление сотрудников «Петр Газеты», что они не признают возможным выпуск очередного номера, продиктованного военным отделом Совета Р. и С. Депутатов. </w:t>
      </w:r>
    </w:p>
    <w:p w14:paraId="67C0B626"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Вышедшее «Народное Слово» подтверждает приход большевистского комиссара с телефонограммой от «властей» о захвате газеты и аресте редактора. </w:t>
      </w:r>
    </w:p>
    <w:p w14:paraId="6718AC7D"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Закрыт орган меньшевиков-оборонцев «Искра». </w:t>
      </w:r>
    </w:p>
    <w:p w14:paraId="389E2BB3"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Цензурного насилия не избежала и ведущая примирительную линию между всей демократией и большевиками «Новая Жизнь»: часть наборщиков «стала чинить препятствия к набору и печатанию приказа Керенского, обращения ген. Краснова к казакам и отдельных мест из сообщения о заседании в гор. Думе». </w:t>
      </w:r>
    </w:p>
    <w:p w14:paraId="26FF4846"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Самосуды, расстрелы и пьяные разгромы во всех частях столицы. </w:t>
      </w:r>
    </w:p>
    <w:p w14:paraId="2A845B88"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Воззвание к Балтийскому флоту генерального комиссара Вр. Правительства Онипко с призывом опомниться и не предавать страны бесчинству и гибели. </w:t>
      </w:r>
    </w:p>
    <w:p w14:paraId="32B8296E"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Приказ командующего войсками комитета спасения полк. Полковникова. Воззвание городской Думы о восстановлении порядка. </w:t>
      </w:r>
    </w:p>
    <w:p w14:paraId="5E1A1D34"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xml:space="preserve">Продовольственных грузов прибыло всего 2 вагона. За 28-е октября – пять. </w:t>
      </w:r>
    </w:p>
    <w:p w14:paraId="2ADF2F3B"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Призыв к сплочению около комитета спасения поддержан почти всеми профессиональными организациями. Заявление о присоединении к комитету начали поступать и от воинских частей Петрограда. </w:t>
      </w:r>
    </w:p>
    <w:p w14:paraId="4F23AE05"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«Известиях» напечатаны за подписью Ленина, Троцкого и Подвойского: </w:t>
      </w:r>
    </w:p>
    <w:p w14:paraId="26D7C983"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Приказ районным советам и фабрично-заводским комитетам поддержать армию (?!) и красную гвардию против «корниловских банд» (?!) Керенского; 2) постановление «правительства» о рабочей милиции за подписью комиссара по внутренним делам Рыкова и 3) обращение в.-р. комитета «к всему населению», где Керенский объявляется обманщиком и «корниловцем» (?!), другом помещиков, капиталистов и спекулянтов, врагом народа и «бессильным буржуазным заговорщиком», которые все «будут раздавлены беспощадно» (17030).</w:t>
      </w:r>
    </w:p>
    <w:p w14:paraId="3F5A7C4F" w14:textId="77777777" w:rsidR="00040BD8" w:rsidRPr="002F2FDF" w:rsidRDefault="00040B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5FB4C0" w14:textId="77777777" w:rsidR="00ED2748" w:rsidRPr="002F2FDF" w:rsidRDefault="00ED274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29 октября (11 ноября) 1917 в Киеве вспыхнуло восстание, поддержанное рабочими нескольких заводов и солдатами 3-го авиапарка. Сигналом к восстанию послужил облет города самолетом «Вуазен» с красным флагом. Но в ходе завязавшихся уличных боев руководство повстанцев усомнилось в надежности авиаторов и решило на всякий случай разоружить авиапарк. С его территории успели вывезти более 40 пулеметов, около 800 авиабомб и другое оружие. А вскоре Центральная Рада – украинский национальный орган власти – сумела подавить восстание (18562).</w:t>
      </w:r>
    </w:p>
    <w:p w14:paraId="2BA5D942" w14:textId="77777777" w:rsidR="00ED2748" w:rsidRPr="002F2FDF" w:rsidRDefault="00ED2748" w:rsidP="0083075A">
      <w:pPr>
        <w:spacing w:after="0" w:line="240" w:lineRule="auto"/>
        <w:jc w:val="both"/>
        <w:rPr>
          <w:rFonts w:ascii="Times New Roman" w:hAnsi="Times New Roman" w:cs="Times New Roman"/>
          <w:color w:val="000000" w:themeColor="text1"/>
          <w:sz w:val="16"/>
          <w:szCs w:val="16"/>
        </w:rPr>
      </w:pPr>
    </w:p>
    <w:p w14:paraId="148C7299" w14:textId="77777777" w:rsidR="00ED2748" w:rsidRPr="002F2FDF" w:rsidRDefault="00ED274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29 октября (11 ноября) 1917. Попытка примирения между юнкерами и революционными солдатами сорвалась. В городе не смолкает беспорядочная стрельба, от которой гибнут по преимуществу мирные жители, отважившиеся добежать до ближайшего хлебного магазина. Солдаты захватили Зачатьевский женский монастырь. Большевик Израилев устроил, несмотря на протесты причта, наблюдательный пункт на колокольне храма Христа Спасителя, откуда корректировал прицельную стрельбу по Кремлю. Солдаты и рабочие заняли Симоновские пороховые и Крымские интендантские склады. Профсоюз железнодорожников "Викжель" выдвинул ультиматум о немедленном прекращении гражданской войны в Москве, иначе пригрозил всеобщей железнодорожной забастовкой. "Рабоче-крестьянским правительством)" в Петрограде подписан "Декрет о мире" с иноземным врагом, а с соотечественниками развязана война.</w:t>
      </w:r>
    </w:p>
    <w:p w14:paraId="6B152535" w14:textId="77777777" w:rsidR="00ED2748" w:rsidRPr="002F2FDF" w:rsidRDefault="00ED274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Режиссер Евгений Вахтангов записывает; "У нас, на Остоженке, у Мансуровского переулка, пальбы идет весь день почти непрерывна Выстрелы ружейные, револьверные и пушечные. Два дня уже не выходили на улицу. Хлеба сегодня не доставали. Кормимся тем, что есть. На ночь забиваем окна, чтоб не проникал свет. Газеты не выходят, В чем дело и кто в кого стреляет - не знаем. Телефон от нас не действует: Кто звонит нам - тоже ничего не знает. Кто побеждает - "большевики" или правительственные войска - второй день неизвестна Трамваи остановлены. Вода и свет есть. Когда это кончится" (18685).</w:t>
      </w:r>
    </w:p>
    <w:p w14:paraId="254142FD" w14:textId="77777777" w:rsidR="00ED2748" w:rsidRPr="002F2FDF" w:rsidRDefault="00ED2748" w:rsidP="0083075A">
      <w:pPr>
        <w:spacing w:after="0" w:line="240" w:lineRule="auto"/>
        <w:jc w:val="both"/>
        <w:rPr>
          <w:rFonts w:ascii="Times New Roman" w:hAnsi="Times New Roman" w:cs="Times New Roman"/>
          <w:color w:val="000000" w:themeColor="text1"/>
          <w:sz w:val="16"/>
          <w:szCs w:val="16"/>
        </w:rPr>
      </w:pPr>
    </w:p>
    <w:p w14:paraId="53B3AA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октября (11 ноября) 1917 был ультиматум Викжеля с требованием образования коалиционного социалистического правительства (1348,87).</w:t>
      </w:r>
    </w:p>
    <w:p w14:paraId="2EA361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E164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октября (11 ноября) 1917 состоялись выборы в Учредительное собрание (3481).</w:t>
      </w:r>
    </w:p>
    <w:p w14:paraId="7DDDBC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9319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29-30 октября (11-12 ноября) 1917 был юнкерский мятеж в Петрограде (2443,285).</w:t>
      </w:r>
    </w:p>
    <w:p w14:paraId="2C58B7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8F48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октября (11 ноября) 1917 в Петрограде было подавлено выступление юнкеров (2239).</w:t>
      </w:r>
    </w:p>
    <w:p w14:paraId="2DD67B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559E23" w14:textId="77777777" w:rsidR="00001281" w:rsidRPr="002F2FDF" w:rsidRDefault="00001281"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29 октября (11 ноября) </w:t>
      </w:r>
      <w:r w:rsidRPr="002F2FDF">
        <w:rPr>
          <w:rFonts w:ascii="Times New Roman" w:hAnsi="Times New Roman" w:cs="Times New Roman"/>
          <w:color w:val="000000" w:themeColor="text1"/>
          <w:kern w:val="2"/>
          <w:sz w:val="16"/>
          <w:szCs w:val="16"/>
        </w:rPr>
        <w:t>в 1917 году ликвидация юнкерского мятежа в Петрограде, организованного контрреволюционерами под флагом «Комитета спасения родины и революции» (14814).</w:t>
      </w:r>
    </w:p>
    <w:p w14:paraId="27A05917" w14:textId="77777777" w:rsidR="00001281" w:rsidRPr="002F2FDF" w:rsidRDefault="00001281" w:rsidP="0083075A">
      <w:pPr>
        <w:spacing w:after="0" w:line="240" w:lineRule="auto"/>
        <w:jc w:val="both"/>
        <w:rPr>
          <w:rFonts w:ascii="Times New Roman" w:hAnsi="Times New Roman" w:cs="Times New Roman"/>
          <w:color w:val="000000" w:themeColor="text1"/>
          <w:kern w:val="2"/>
          <w:sz w:val="16"/>
          <w:szCs w:val="16"/>
        </w:rPr>
      </w:pPr>
    </w:p>
    <w:p w14:paraId="4D869FEC" w14:textId="77777777" w:rsidR="00EC5BE1" w:rsidRPr="002F2FDF" w:rsidRDefault="00EC5BE1"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29 октября (11 ноября) </w:t>
      </w:r>
      <w:r w:rsidRPr="002F2FDF">
        <w:rPr>
          <w:rFonts w:ascii="Times New Roman" w:hAnsi="Times New Roman" w:cs="Times New Roman"/>
          <w:color w:val="000000" w:themeColor="text1"/>
          <w:kern w:val="2"/>
          <w:sz w:val="16"/>
          <w:szCs w:val="16"/>
        </w:rPr>
        <w:t>в 1917 году в Петрограде начался юнкерский мятеж. С утра юнкера Николаевского инженерного училища (размещавшегося в Инженерном замке) захватили городскую телефонную станцию и стали разоружать красноармейцев на улицах города. К «николаевцам» присоединились юнкера Владимирского училища. Петроград был немедленно объявлен на осадном положении. Уже через несколько часов телефонная станция была отбита, а Инженерный замок - штаб мятежа - окружен. Вскоре мятеж был подавлен (14827).</w:t>
      </w:r>
    </w:p>
    <w:p w14:paraId="40B1EF09" w14:textId="77777777" w:rsidR="00EC5BE1" w:rsidRPr="002F2FDF" w:rsidRDefault="00EC5BE1" w:rsidP="0083075A">
      <w:pPr>
        <w:spacing w:after="0" w:line="240" w:lineRule="auto"/>
        <w:jc w:val="both"/>
        <w:rPr>
          <w:rFonts w:ascii="Times New Roman" w:hAnsi="Times New Roman" w:cs="Times New Roman"/>
          <w:color w:val="000000" w:themeColor="text1"/>
          <w:kern w:val="2"/>
          <w:sz w:val="16"/>
          <w:szCs w:val="16"/>
        </w:rPr>
      </w:pPr>
    </w:p>
    <w:p w14:paraId="052BFEFF" w14:textId="77777777" w:rsidR="001B7625" w:rsidRPr="002F2FDF" w:rsidRDefault="001B7625" w:rsidP="0083075A">
      <w:pPr>
        <w:pStyle w:val="ae"/>
        <w:spacing w:before="0" w:after="0"/>
        <w:jc w:val="both"/>
        <w:rPr>
          <w:color w:val="000000" w:themeColor="text1"/>
          <w:kern w:val="2"/>
          <w:sz w:val="16"/>
          <w:szCs w:val="16"/>
        </w:rPr>
      </w:pPr>
      <w:r w:rsidRPr="002F2FDF">
        <w:rPr>
          <w:rStyle w:val="ucoz-forum-post"/>
          <w:bCs/>
          <w:color w:val="000000" w:themeColor="text1"/>
          <w:kern w:val="2"/>
          <w:sz w:val="16"/>
          <w:szCs w:val="16"/>
        </w:rPr>
        <w:t xml:space="preserve">29 октября (11 ноября) </w:t>
      </w:r>
      <w:r w:rsidRPr="002F2FDF">
        <w:rPr>
          <w:color w:val="000000" w:themeColor="text1"/>
          <w:kern w:val="2"/>
          <w:sz w:val="16"/>
          <w:szCs w:val="16"/>
        </w:rPr>
        <w:t>в 1917 году Комитет спасения Родины и революции поднял первое антибольшевистское восстание в самом Петрограде, центром которого стал Михайловский замок (там размещались юнкера Николаевского инженерного училища). Смещенный с поста главкома военного округа Георгий Полковников объявил себя командующим «войсками спасения». Он запретил своим приказом всем военным частям округа исполнять приказы ВРК. На какое-то время военным удалось отбить телефонную станцию и отключить от связи Смольный, арестовать часть комиссаров ВРК и начать разоружение красногвардейцев. Но без поддержки извне они были обречены, и через два дня большевики подавили это восстание, хотя стычки были кровопролитными (большевики даже применяли артиллерию, с обеих сторон погибло около 200 человек) (17045).</w:t>
      </w:r>
    </w:p>
    <w:p w14:paraId="03E21E22" w14:textId="77777777" w:rsidR="001B7625" w:rsidRPr="002F2FDF" w:rsidRDefault="001B762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AAB940" w14:textId="77777777" w:rsidR="00F15D5E" w:rsidRPr="002F2FDF" w:rsidRDefault="00F15D5E" w:rsidP="0083075A">
      <w:pPr>
        <w:pStyle w:val="ae"/>
        <w:spacing w:before="0" w:after="0"/>
        <w:jc w:val="both"/>
        <w:rPr>
          <w:color w:val="000000" w:themeColor="text1"/>
          <w:kern w:val="2"/>
          <w:sz w:val="16"/>
          <w:szCs w:val="16"/>
        </w:rPr>
      </w:pPr>
      <w:r w:rsidRPr="002F2FDF">
        <w:rPr>
          <w:rStyle w:val="ucoz-forum-post"/>
          <w:bCs/>
          <w:color w:val="000000" w:themeColor="text1"/>
          <w:kern w:val="2"/>
          <w:sz w:val="16"/>
          <w:szCs w:val="16"/>
        </w:rPr>
        <w:t xml:space="preserve">29 октября (11 ноября) </w:t>
      </w:r>
      <w:r w:rsidRPr="002F2FDF">
        <w:rPr>
          <w:color w:val="000000" w:themeColor="text1"/>
          <w:kern w:val="2"/>
          <w:sz w:val="16"/>
          <w:szCs w:val="16"/>
        </w:rPr>
        <w:t>в 1917 году Ленин и Троцкий побывали на Путиловском заводе, где осмотрели орудия и бронепоезд, подготовленные для борьбы с войсками Керенского-Краснова. Затем Троцкий отбыл на Пулковские высоты, где руководил строительством баррикад и окопов. Защищать их должны были около 12 тысяч бойцов (17045).</w:t>
      </w:r>
    </w:p>
    <w:p w14:paraId="749176E2" w14:textId="77777777" w:rsidR="00F15D5E" w:rsidRPr="002F2FDF" w:rsidRDefault="00F15D5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8AA3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октября (11 ноября) 1917 был принят декрет о 8 часовом рабочем дне (1348,113).</w:t>
      </w:r>
    </w:p>
    <w:p w14:paraId="60AF58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EF124F" w14:textId="77777777" w:rsidR="001B7625" w:rsidRPr="002F2FDF" w:rsidRDefault="001B7625" w:rsidP="0083075A">
      <w:pPr>
        <w:pStyle w:val="ae"/>
        <w:spacing w:before="0" w:after="0"/>
        <w:jc w:val="both"/>
        <w:rPr>
          <w:color w:val="000000" w:themeColor="text1"/>
          <w:kern w:val="2"/>
          <w:sz w:val="16"/>
          <w:szCs w:val="16"/>
        </w:rPr>
      </w:pPr>
      <w:r w:rsidRPr="002F2FDF">
        <w:rPr>
          <w:rStyle w:val="ucoz-forum-post"/>
          <w:bCs/>
          <w:color w:val="000000" w:themeColor="text1"/>
          <w:kern w:val="2"/>
          <w:sz w:val="16"/>
          <w:szCs w:val="16"/>
        </w:rPr>
        <w:t xml:space="preserve">29 октября (11 ноября) </w:t>
      </w:r>
      <w:r w:rsidRPr="002F2FDF">
        <w:rPr>
          <w:color w:val="000000" w:themeColor="text1"/>
          <w:kern w:val="2"/>
          <w:sz w:val="16"/>
          <w:szCs w:val="16"/>
        </w:rPr>
        <w:t>в 1917 году Совет Народных Комиссаров принял еще один декрет — о 8-часовом рабочем дне, который готовился еще при Временном правительстве, и положение «О рабочем контроле», который вводился на всех предприятиях, имевших наемных рабочих (владельцы предприятий были обязаны исполнять требования «органов рабочего контроля») (17045).</w:t>
      </w:r>
    </w:p>
    <w:p w14:paraId="0B9E2603" w14:textId="77777777" w:rsidR="001B7625" w:rsidRPr="002F2FDF" w:rsidRDefault="001B762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24F5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октября (11 ноября) 1917 Собор РПЦ восстановил Патриаршество (3980,268).</w:t>
      </w:r>
    </w:p>
    <w:p w14:paraId="1DE10F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1058BC" w14:textId="77777777" w:rsidR="00EC5BE1" w:rsidRPr="002F2FDF" w:rsidRDefault="00EC5BE1"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29 октября (11 ноября) </w:t>
      </w:r>
      <w:r w:rsidRPr="002F2FDF">
        <w:rPr>
          <w:rFonts w:ascii="Times New Roman" w:hAnsi="Times New Roman" w:cs="Times New Roman"/>
          <w:color w:val="000000" w:themeColor="text1"/>
          <w:kern w:val="2"/>
          <w:sz w:val="16"/>
          <w:szCs w:val="16"/>
        </w:rPr>
        <w:t>в 1917 году окончание деятельности Предпарламента (14827).</w:t>
      </w:r>
    </w:p>
    <w:p w14:paraId="34291C42" w14:textId="77777777" w:rsidR="00EC5BE1" w:rsidRPr="002F2FDF" w:rsidRDefault="00EC5BE1" w:rsidP="0083075A">
      <w:pPr>
        <w:spacing w:after="0" w:line="240" w:lineRule="auto"/>
        <w:jc w:val="both"/>
        <w:rPr>
          <w:rFonts w:ascii="Times New Roman" w:hAnsi="Times New Roman" w:cs="Times New Roman"/>
          <w:color w:val="000000" w:themeColor="text1"/>
          <w:kern w:val="2"/>
          <w:sz w:val="16"/>
          <w:szCs w:val="16"/>
        </w:rPr>
      </w:pPr>
    </w:p>
    <w:p w14:paraId="282DE266" w14:textId="77777777" w:rsidR="00EC5BE1" w:rsidRPr="002F2FDF" w:rsidRDefault="00EC5BE1"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29 октября (11 ноября) </w:t>
      </w:r>
      <w:r w:rsidRPr="002F2FDF">
        <w:rPr>
          <w:rFonts w:ascii="Times New Roman" w:hAnsi="Times New Roman" w:cs="Times New Roman"/>
          <w:color w:val="000000" w:themeColor="text1"/>
          <w:kern w:val="2"/>
          <w:sz w:val="16"/>
          <w:szCs w:val="16"/>
        </w:rPr>
        <w:t>в 1917 году опубликование воззвания Петроградского ВРК о низложении Временного правительства (14827).</w:t>
      </w:r>
    </w:p>
    <w:p w14:paraId="03533568" w14:textId="77777777" w:rsidR="00EC5BE1" w:rsidRPr="002F2FDF" w:rsidRDefault="00EC5BE1" w:rsidP="0083075A">
      <w:pPr>
        <w:spacing w:after="0" w:line="240" w:lineRule="auto"/>
        <w:jc w:val="both"/>
        <w:rPr>
          <w:rFonts w:ascii="Times New Roman" w:hAnsi="Times New Roman" w:cs="Times New Roman"/>
          <w:color w:val="000000" w:themeColor="text1"/>
          <w:kern w:val="2"/>
          <w:sz w:val="16"/>
          <w:szCs w:val="16"/>
        </w:rPr>
      </w:pPr>
    </w:p>
    <w:p w14:paraId="2A347BCC" w14:textId="77777777" w:rsidR="00EC5BE1" w:rsidRPr="002F2FDF" w:rsidRDefault="00EC5BE1"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29 октября (11 ноября) </w:t>
      </w:r>
      <w:r w:rsidRPr="002F2FDF">
        <w:rPr>
          <w:rFonts w:ascii="Times New Roman" w:hAnsi="Times New Roman" w:cs="Times New Roman"/>
          <w:color w:val="000000" w:themeColor="text1"/>
          <w:kern w:val="2"/>
          <w:sz w:val="16"/>
          <w:szCs w:val="16"/>
        </w:rPr>
        <w:t>в 1917 году на заседании Петроградского ревкома впервые в революционной России употреблен термин «враг народа» (14827).</w:t>
      </w:r>
    </w:p>
    <w:p w14:paraId="3A7E109C" w14:textId="77777777" w:rsidR="00EC5BE1" w:rsidRPr="002F2FDF" w:rsidRDefault="00EC5BE1" w:rsidP="0083075A">
      <w:pPr>
        <w:spacing w:after="0" w:line="240" w:lineRule="auto"/>
        <w:jc w:val="both"/>
        <w:rPr>
          <w:rFonts w:ascii="Times New Roman" w:hAnsi="Times New Roman" w:cs="Times New Roman"/>
          <w:color w:val="000000" w:themeColor="text1"/>
          <w:kern w:val="2"/>
          <w:sz w:val="16"/>
          <w:szCs w:val="16"/>
        </w:rPr>
      </w:pPr>
    </w:p>
    <w:p w14:paraId="115016CD" w14:textId="77777777" w:rsidR="00EC5BE1" w:rsidRPr="002F2FDF" w:rsidRDefault="00EC5BE1"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29 октября (11 ноября) </w:t>
      </w:r>
      <w:r w:rsidRPr="002F2FDF">
        <w:rPr>
          <w:rFonts w:ascii="Times New Roman" w:hAnsi="Times New Roman" w:cs="Times New Roman"/>
          <w:color w:val="000000" w:themeColor="text1"/>
          <w:kern w:val="2"/>
          <w:sz w:val="16"/>
          <w:szCs w:val="16"/>
        </w:rPr>
        <w:t>в 1917 году на совещании представителей левых партий России принимается решение создать однородное социалистическое правительство без участия в нем большевиков (14827).</w:t>
      </w:r>
    </w:p>
    <w:p w14:paraId="4887800D" w14:textId="77777777" w:rsidR="00EC5BE1" w:rsidRPr="002F2FDF" w:rsidRDefault="00EC5BE1" w:rsidP="0083075A">
      <w:pPr>
        <w:spacing w:after="0" w:line="240" w:lineRule="auto"/>
        <w:jc w:val="both"/>
        <w:rPr>
          <w:rFonts w:ascii="Times New Roman" w:hAnsi="Times New Roman" w:cs="Times New Roman"/>
          <w:color w:val="000000" w:themeColor="text1"/>
          <w:kern w:val="2"/>
          <w:sz w:val="16"/>
          <w:szCs w:val="16"/>
        </w:rPr>
      </w:pPr>
    </w:p>
    <w:p w14:paraId="11485ACD" w14:textId="77777777" w:rsidR="00F15D5E" w:rsidRPr="002F2FDF" w:rsidRDefault="00F15D5E" w:rsidP="0083075A">
      <w:pPr>
        <w:pStyle w:val="ae"/>
        <w:spacing w:before="0" w:after="0"/>
        <w:jc w:val="both"/>
        <w:rPr>
          <w:color w:val="000000" w:themeColor="text1"/>
          <w:kern w:val="2"/>
          <w:sz w:val="16"/>
          <w:szCs w:val="16"/>
        </w:rPr>
      </w:pPr>
      <w:r w:rsidRPr="002F2FDF">
        <w:rPr>
          <w:rStyle w:val="ucoz-forum-post"/>
          <w:bCs/>
          <w:color w:val="000000" w:themeColor="text1"/>
          <w:kern w:val="2"/>
          <w:sz w:val="16"/>
          <w:szCs w:val="16"/>
        </w:rPr>
        <w:t xml:space="preserve">29 октября (11 ноября) </w:t>
      </w:r>
      <w:r w:rsidRPr="002F2FDF">
        <w:rPr>
          <w:color w:val="000000" w:themeColor="text1"/>
          <w:kern w:val="2"/>
          <w:sz w:val="16"/>
          <w:szCs w:val="16"/>
        </w:rPr>
        <w:t>в 1917 году московские улицы перегородили баррикады и начались ожесточенные бои. К концу дня «красным» удалось отбить Тверскую улицу и часть Охотного Ряда, Крымскую площадь, Таганскую площадь, почтамт, Курский и Александровский (ныне Белорусский) вокзалы. Большевики активно применяли артиллерию, что привело к разрушению множества зданий — от гостиницы «Метрополь» до храмов Кремля, который обстреливался с высот Воробьевых гор и Швивой горки (сейчас там стоит высотное здание на Котельнической набережной), из района Бабьегородской плотины (сейчас там расположен Дом Художника). При «перелетах» и «недолетах» снарядов было разрушено много домов, погибли десятки мирных жителей. В середине дня было заключено перемирие (обе стороны надеялись выиграть время и дождаться подхода дополнительных сил), но к 12 ноября часть «белых» (три кадетских корпуса и Алексеевское военное училище в Лефортово) сдались на милость МВРК, хотя юнкера продолжали удерживать Кремль (17045).</w:t>
      </w:r>
    </w:p>
    <w:p w14:paraId="1FD0296A" w14:textId="77777777" w:rsidR="00F15D5E" w:rsidRPr="002F2FDF" w:rsidRDefault="00F15D5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D191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29 по 31 октября (11-13 ноября) 1917 было вооруженное восстание в Киеве (2443,388).</w:t>
      </w:r>
    </w:p>
    <w:p w14:paraId="75BAC0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8898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октября (11 ноября) 1917 большевики пытались поднять восстание в Киеве и летал Вуазен с красным флагом, пилотируемый А.И.Егоровым (553,85).</w:t>
      </w:r>
    </w:p>
    <w:p w14:paraId="4B4A3E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50FF8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октября (11 ноября) 1917 в Киеве сигналом к началу воору</w:t>
      </w:r>
      <w:r w:rsidRPr="002F2FDF">
        <w:rPr>
          <w:rFonts w:ascii="Times New Roman" w:hAnsi="Times New Roman" w:cs="Times New Roman"/>
          <w:color w:val="000000" w:themeColor="text1"/>
          <w:kern w:val="2"/>
          <w:sz w:val="16"/>
          <w:szCs w:val="16"/>
        </w:rPr>
        <w:softHyphen/>
        <w:t>женного выступления послужил полет над городом самолета “Вуазен” с красным флагом. Пило</w:t>
      </w:r>
      <w:r w:rsidRPr="002F2FDF">
        <w:rPr>
          <w:rFonts w:ascii="Times New Roman" w:hAnsi="Times New Roman" w:cs="Times New Roman"/>
          <w:color w:val="000000" w:themeColor="text1"/>
          <w:kern w:val="2"/>
          <w:sz w:val="16"/>
          <w:szCs w:val="16"/>
        </w:rPr>
        <w:softHyphen/>
        <w:t>тировал аэроплан летчик А.Егоров с мотористом Н.Кипчуком на борту. Центральная Рада, обра</w:t>
      </w:r>
      <w:r w:rsidRPr="002F2FDF">
        <w:rPr>
          <w:rFonts w:ascii="Times New Roman" w:hAnsi="Times New Roman" w:cs="Times New Roman"/>
          <w:color w:val="000000" w:themeColor="text1"/>
          <w:kern w:val="2"/>
          <w:sz w:val="16"/>
          <w:szCs w:val="16"/>
        </w:rPr>
        <w:softHyphen/>
        <w:t>зованная еще в марте 1917 года и осуществлявшая власть в Украине, подавила восстание вооруженной рукой (553).</w:t>
      </w:r>
    </w:p>
    <w:p w14:paraId="1067A68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6B48D9" w14:textId="77777777" w:rsidR="0000128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lastRenderedPageBreak/>
        <w:t>Внешняя политика:</w:t>
      </w:r>
    </w:p>
    <w:p w14:paraId="75D6B08E" w14:textId="77777777" w:rsidR="00001281" w:rsidRPr="002F2FDF" w:rsidRDefault="0000128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401E03" w14:textId="77777777" w:rsidR="00001281" w:rsidRPr="002F2FDF" w:rsidRDefault="00001281"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октября (11 ноября) 1917 состоялось первое заседание Верховного военного совета союзных войск, решение о создании которого было принято на конференции союзных держав в Рапалло в Италии 22 октября (5 ноября) (3481).</w:t>
      </w:r>
    </w:p>
    <w:p w14:paraId="5ECC3E9E" w14:textId="77777777" w:rsidR="00001281" w:rsidRPr="002F2FDF" w:rsidRDefault="00001281"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8B11F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E3CC6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2E2B9D" w14:textId="77777777" w:rsidR="002831F2" w:rsidRPr="00FB4F67" w:rsidRDefault="002831F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30 октября (12 ноября) 1917 г. на аэродром Винница по железной дороге отправлен с завода РБВЗ «Илья Муромец» Г-78, на котором предполагалось отрабатывать торпедное вооружение, но сделано это не было , до места назначения не доставлен, в строй не вошел (23553).</w:t>
      </w:r>
    </w:p>
    <w:p w14:paraId="134C1D8D" w14:textId="77777777" w:rsidR="002831F2" w:rsidRPr="00FB4F67" w:rsidRDefault="002831F2" w:rsidP="0083075A">
      <w:pPr>
        <w:spacing w:after="0" w:line="240" w:lineRule="auto"/>
        <w:jc w:val="both"/>
        <w:rPr>
          <w:rFonts w:ascii="Times New Roman" w:hAnsi="Times New Roman" w:cs="Times New Roman"/>
          <w:color w:val="0070C0"/>
          <w:sz w:val="16"/>
          <w:szCs w:val="16"/>
        </w:rPr>
      </w:pPr>
    </w:p>
    <w:p w14:paraId="5C9F09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30 октября </w:t>
      </w:r>
      <w:r w:rsidR="001157F8" w:rsidRPr="002F2FDF">
        <w:rPr>
          <w:rFonts w:ascii="Times New Roman" w:hAnsi="Times New Roman" w:cs="Times New Roman"/>
          <w:color w:val="000000" w:themeColor="text1"/>
          <w:kern w:val="2"/>
          <w:sz w:val="16"/>
          <w:szCs w:val="16"/>
        </w:rPr>
        <w:t xml:space="preserve">(12 ноября) </w:t>
      </w:r>
      <w:r w:rsidRPr="002F2FDF">
        <w:rPr>
          <w:rFonts w:ascii="Times New Roman" w:hAnsi="Times New Roman" w:cs="Times New Roman"/>
          <w:color w:val="000000" w:themeColor="text1"/>
          <w:kern w:val="2"/>
          <w:sz w:val="16"/>
          <w:szCs w:val="16"/>
        </w:rPr>
        <w:t>1917 приведенный "в полную негодность, благодаря плохому хранению" и отправленный в сентябре для ремонта на завод РБВЗ "Муромец" с № 243 смогли отправить на базу ЭВК в Винницу (12041).</w:t>
      </w:r>
    </w:p>
    <w:p w14:paraId="5C4AE2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E2A8B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57079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F47FA4" w14:textId="3B4ADE16" w:rsidR="00175851" w:rsidRPr="00FB4F67" w:rsidRDefault="0017585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30 октября (</w:t>
      </w:r>
      <w:r w:rsidRPr="00FB4F67">
        <w:rPr>
          <w:rFonts w:ascii="Times New Roman" w:hAnsi="Times New Roman" w:cs="Times New Roman"/>
          <w:color w:val="0070C0"/>
          <w:sz w:val="16"/>
          <w:szCs w:val="16"/>
        </w:rPr>
        <w:t>12 ноября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все еще действующая Ставка в Могилеве издала прокламацию, осуждающую захват власти большевиками. В Петрограде два школьных самолета из Гатчины сбрасывали антибольшевистские листовки, но безрезультатно. Летчики в школе Гатчинского училища вскоре сдались красным морякам. Авиационные части Петроградского военного округа вскоре стали Красными АО (23525).</w:t>
      </w:r>
    </w:p>
    <w:p w14:paraId="74D193DD" w14:textId="77777777" w:rsidR="00175851" w:rsidRPr="00FB4F67" w:rsidRDefault="00175851" w:rsidP="0083075A">
      <w:pPr>
        <w:spacing w:after="0" w:line="240" w:lineRule="auto"/>
        <w:jc w:val="both"/>
        <w:rPr>
          <w:rFonts w:ascii="Times New Roman" w:hAnsi="Times New Roman" w:cs="Times New Roman"/>
          <w:color w:val="0070C0"/>
          <w:sz w:val="16"/>
          <w:szCs w:val="16"/>
        </w:rPr>
      </w:pPr>
    </w:p>
    <w:p w14:paraId="76F52C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октября (12 ноября) 1917 комиссар Временного Правительства В.С.Войтинский по приказанию Керенского телеграфировал командующим авиацией СФ и ЗФ о высылке в Царское Село для г Краснова "годных для боевых действий машин с "перцовыми" л и достаточным запасом материалов." С фронта послали 12 иао под командованием К.К.Вакуловского, однако, ему не удалось поддержать Краснова, т.к. мотористы саботировали (438,388).</w:t>
      </w:r>
    </w:p>
    <w:p w14:paraId="36C9A4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9CDF01" w14:textId="5B2DC316" w:rsidR="0048374E" w:rsidRPr="005D7D69" w:rsidRDefault="0048374E"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30 октября</w:t>
      </w:r>
      <w:r>
        <w:rPr>
          <w:rFonts w:ascii="Times New Roman" w:hAnsi="Times New Roman" w:cs="Times New Roman"/>
          <w:color w:val="0070C0"/>
          <w:sz w:val="16"/>
          <w:szCs w:val="16"/>
        </w:rPr>
        <w:t xml:space="preserve"> (12 ноября) 1917 г</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комиссар Временного правительства В.С.Войти</w:t>
      </w:r>
      <w:r>
        <w:rPr>
          <w:rFonts w:ascii="Times New Roman" w:hAnsi="Times New Roman" w:cs="Times New Roman"/>
          <w:color w:val="0070C0"/>
          <w:sz w:val="16"/>
          <w:szCs w:val="16"/>
        </w:rPr>
        <w:t>н</w:t>
      </w:r>
      <w:r w:rsidRPr="005D7D69">
        <w:rPr>
          <w:rFonts w:ascii="Times New Roman" w:hAnsi="Times New Roman" w:cs="Times New Roman"/>
          <w:color w:val="0070C0"/>
          <w:sz w:val="16"/>
          <w:szCs w:val="16"/>
        </w:rPr>
        <w:t>ский по при</w:t>
      </w:r>
      <w:r w:rsidRPr="005D7D69">
        <w:rPr>
          <w:rFonts w:ascii="Times New Roman" w:hAnsi="Times New Roman" w:cs="Times New Roman"/>
          <w:color w:val="0070C0"/>
          <w:sz w:val="16"/>
          <w:szCs w:val="16"/>
        </w:rPr>
        <w:softHyphen/>
        <w:t xml:space="preserve">казанию Керенского телеграфировал командующим авиацией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еверного</w:t>
      </w:r>
      <w:r>
        <w:rPr>
          <w:rFonts w:ascii="Times New Roman" w:hAnsi="Times New Roman" w:cs="Times New Roman"/>
          <w:color w:val="0070C0"/>
          <w:sz w:val="16"/>
          <w:szCs w:val="16"/>
        </w:rPr>
        <w:t xml:space="preserve"> и</w:t>
      </w:r>
      <w:r w:rsidRPr="005D7D69">
        <w:rPr>
          <w:rFonts w:ascii="Times New Roman" w:hAnsi="Times New Roman" w:cs="Times New Roman"/>
          <w:color w:val="0070C0"/>
          <w:sz w:val="16"/>
          <w:szCs w:val="16"/>
        </w:rPr>
        <w:t xml:space="preserve"> Западного фронтов выслать в </w:t>
      </w:r>
      <w:r>
        <w:rPr>
          <w:rFonts w:ascii="Times New Roman" w:hAnsi="Times New Roman" w:cs="Times New Roman"/>
          <w:color w:val="0070C0"/>
          <w:sz w:val="16"/>
          <w:szCs w:val="16"/>
        </w:rPr>
        <w:t>Ц</w:t>
      </w:r>
      <w:r w:rsidRPr="005D7D69">
        <w:rPr>
          <w:rFonts w:ascii="Times New Roman" w:hAnsi="Times New Roman" w:cs="Times New Roman"/>
          <w:color w:val="0070C0"/>
          <w:sz w:val="16"/>
          <w:szCs w:val="16"/>
        </w:rPr>
        <w:t>арское село для ген</w:t>
      </w:r>
      <w:r>
        <w:rPr>
          <w:rFonts w:ascii="Times New Roman" w:hAnsi="Times New Roman" w:cs="Times New Roman"/>
          <w:color w:val="0070C0"/>
          <w:sz w:val="16"/>
          <w:szCs w:val="16"/>
        </w:rPr>
        <w:t>.</w:t>
      </w:r>
      <w:r w:rsidRPr="005D7D69">
        <w:rPr>
          <w:rFonts w:ascii="Times New Roman" w:hAnsi="Times New Roman" w:cs="Times New Roman"/>
          <w:color w:val="0070C0"/>
          <w:sz w:val="16"/>
          <w:szCs w:val="16"/>
        </w:rPr>
        <w:t xml:space="preserve"> Краснова год</w:t>
      </w:r>
      <w:r w:rsidRPr="005D7D69">
        <w:rPr>
          <w:rFonts w:ascii="Times New Roman" w:hAnsi="Times New Roman" w:cs="Times New Roman"/>
          <w:color w:val="0070C0"/>
          <w:sz w:val="16"/>
          <w:szCs w:val="16"/>
        </w:rPr>
        <w:softHyphen/>
        <w:t>ные для боевых действий ма</w:t>
      </w:r>
      <w:r>
        <w:rPr>
          <w:rFonts w:ascii="Times New Roman" w:hAnsi="Times New Roman" w:cs="Times New Roman"/>
          <w:color w:val="0070C0"/>
          <w:sz w:val="16"/>
          <w:szCs w:val="16"/>
        </w:rPr>
        <w:t>ш</w:t>
      </w:r>
      <w:r w:rsidRPr="005D7D69">
        <w:rPr>
          <w:rFonts w:ascii="Times New Roman" w:hAnsi="Times New Roman" w:cs="Times New Roman"/>
          <w:color w:val="0070C0"/>
          <w:sz w:val="16"/>
          <w:szCs w:val="16"/>
        </w:rPr>
        <w:t xml:space="preserve">ины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 </w:t>
      </w:r>
      <w:r>
        <w:rPr>
          <w:rFonts w:ascii="Times New Roman" w:hAnsi="Times New Roman" w:cs="Times New Roman"/>
          <w:color w:val="0070C0"/>
          <w:sz w:val="16"/>
          <w:szCs w:val="16"/>
        </w:rPr>
        <w:t>«</w:t>
      </w:r>
      <w:r w:rsidRPr="005D7D69">
        <w:rPr>
          <w:rFonts w:ascii="Times New Roman" w:hAnsi="Times New Roman" w:cs="Times New Roman"/>
          <w:color w:val="0070C0"/>
          <w:sz w:val="16"/>
          <w:szCs w:val="16"/>
        </w:rPr>
        <w:t>перцовыми</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летчиками и достаточ</w:t>
      </w:r>
      <w:r w:rsidRPr="005D7D69">
        <w:rPr>
          <w:rFonts w:ascii="Times New Roman" w:hAnsi="Times New Roman" w:cs="Times New Roman"/>
          <w:color w:val="0070C0"/>
          <w:sz w:val="16"/>
          <w:szCs w:val="16"/>
        </w:rPr>
        <w:softHyphen/>
        <w:t>ным запасом материалов</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В ответ на </w:t>
      </w:r>
      <w:r>
        <w:rPr>
          <w:rFonts w:ascii="Times New Roman" w:hAnsi="Times New Roman" w:cs="Times New Roman"/>
          <w:color w:val="0070C0"/>
          <w:sz w:val="16"/>
          <w:szCs w:val="16"/>
        </w:rPr>
        <w:t>э</w:t>
      </w:r>
      <w:r w:rsidRPr="005D7D69">
        <w:rPr>
          <w:rFonts w:ascii="Times New Roman" w:hAnsi="Times New Roman" w:cs="Times New Roman"/>
          <w:color w:val="0070C0"/>
          <w:sz w:val="16"/>
          <w:szCs w:val="16"/>
        </w:rPr>
        <w:t xml:space="preserve">то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 фронта был послан 12-й</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истребительный отряд под командой полковника К.К.Вакуловского,</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однако,</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е</w:t>
      </w:r>
      <w:r>
        <w:rPr>
          <w:rFonts w:ascii="Times New Roman" w:hAnsi="Times New Roman" w:cs="Times New Roman"/>
          <w:color w:val="0070C0"/>
          <w:sz w:val="16"/>
          <w:szCs w:val="16"/>
        </w:rPr>
        <w:t>м</w:t>
      </w:r>
      <w:r w:rsidRPr="005D7D69">
        <w:rPr>
          <w:rFonts w:ascii="Times New Roman" w:hAnsi="Times New Roman" w:cs="Times New Roman"/>
          <w:color w:val="0070C0"/>
          <w:sz w:val="16"/>
          <w:szCs w:val="16"/>
        </w:rPr>
        <w:t>у не удалось поддержать Краснова, так как мотористы,</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узнав о цели своего похода на Петроград, разрегулировали моторы и таким образом привели отряд в состояние негодности.</w:t>
      </w:r>
    </w:p>
    <w:p w14:paraId="0323DC9E" w14:textId="32228C6A" w:rsidR="0048374E" w:rsidRDefault="0048374E"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w:t>
      </w:r>
      <w:r w:rsidRPr="005D7D69">
        <w:rPr>
          <w:rFonts w:ascii="Times New Roman" w:hAnsi="Times New Roman" w:cs="Times New Roman"/>
          <w:color w:val="0070C0"/>
          <w:sz w:val="16"/>
          <w:szCs w:val="16"/>
        </w:rPr>
        <w:t>Кра</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ный архив</w:t>
      </w:r>
      <w:r>
        <w:rPr>
          <w:rFonts w:ascii="Times New Roman" w:hAnsi="Times New Roman" w:cs="Times New Roman"/>
          <w:color w:val="0070C0"/>
          <w:sz w:val="16"/>
          <w:szCs w:val="16"/>
        </w:rPr>
        <w:t>»</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1</w:t>
      </w:r>
      <w:r>
        <w:rPr>
          <w:rFonts w:ascii="Times New Roman" w:hAnsi="Times New Roman" w:cs="Times New Roman"/>
          <w:color w:val="0070C0"/>
          <w:sz w:val="16"/>
          <w:szCs w:val="16"/>
        </w:rPr>
        <w:t>9</w:t>
      </w:r>
      <w:r w:rsidRPr="005D7D69">
        <w:rPr>
          <w:rFonts w:ascii="Times New Roman" w:hAnsi="Times New Roman" w:cs="Times New Roman"/>
          <w:color w:val="0070C0"/>
          <w:sz w:val="16"/>
          <w:szCs w:val="16"/>
        </w:rPr>
        <w:t xml:space="preserve">27 </w:t>
      </w:r>
      <w:r>
        <w:rPr>
          <w:rFonts w:ascii="Times New Roman" w:hAnsi="Times New Roman" w:cs="Times New Roman"/>
          <w:color w:val="0070C0"/>
          <w:sz w:val="16"/>
          <w:szCs w:val="16"/>
        </w:rPr>
        <w:t>№</w:t>
      </w:r>
      <w:r w:rsidRPr="005D7D69">
        <w:rPr>
          <w:rFonts w:ascii="Times New Roman" w:hAnsi="Times New Roman" w:cs="Times New Roman"/>
          <w:color w:val="0070C0"/>
          <w:sz w:val="16"/>
          <w:szCs w:val="16"/>
        </w:rPr>
        <w:t xml:space="preserve"> 8,</w:t>
      </w:r>
      <w:r>
        <w:rPr>
          <w:rFonts w:ascii="Times New Roman" w:hAnsi="Times New Roman" w:cs="Times New Roman"/>
          <w:color w:val="0070C0"/>
          <w:sz w:val="16"/>
          <w:szCs w:val="16"/>
        </w:rPr>
        <w:t xml:space="preserve"> с</w:t>
      </w:r>
      <w:r w:rsidRPr="005D7D69">
        <w:rPr>
          <w:rFonts w:ascii="Times New Roman" w:hAnsi="Times New Roman" w:cs="Times New Roman"/>
          <w:color w:val="0070C0"/>
          <w:sz w:val="16"/>
          <w:szCs w:val="16"/>
        </w:rPr>
        <w:t>тр,</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81;</w:t>
      </w:r>
      <w:r>
        <w:rPr>
          <w:rFonts w:ascii="Times New Roman" w:hAnsi="Times New Roman" w:cs="Times New Roman"/>
          <w:color w:val="0070C0"/>
          <w:sz w:val="16"/>
          <w:szCs w:val="16"/>
        </w:rPr>
        <w:t xml:space="preserve"> ВВФ</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1</w:t>
      </w:r>
      <w:r>
        <w:rPr>
          <w:rFonts w:ascii="Times New Roman" w:hAnsi="Times New Roman" w:cs="Times New Roman"/>
          <w:color w:val="0070C0"/>
          <w:sz w:val="16"/>
          <w:szCs w:val="16"/>
        </w:rPr>
        <w:t>9</w:t>
      </w:r>
      <w:r w:rsidRPr="005D7D69">
        <w:rPr>
          <w:rFonts w:ascii="Times New Roman" w:hAnsi="Times New Roman" w:cs="Times New Roman"/>
          <w:color w:val="0070C0"/>
          <w:sz w:val="16"/>
          <w:szCs w:val="16"/>
        </w:rPr>
        <w:t>33</w:t>
      </w:r>
      <w:r>
        <w:rPr>
          <w:rFonts w:ascii="Times New Roman" w:hAnsi="Times New Roman" w:cs="Times New Roman"/>
          <w:color w:val="0070C0"/>
          <w:sz w:val="16"/>
          <w:szCs w:val="16"/>
        </w:rPr>
        <w:t>, №</w:t>
      </w:r>
      <w:r w:rsidRPr="005D7D69">
        <w:rPr>
          <w:rFonts w:ascii="Times New Roman" w:hAnsi="Times New Roman" w:cs="Times New Roman"/>
          <w:color w:val="0070C0"/>
          <w:sz w:val="16"/>
          <w:szCs w:val="16"/>
        </w:rPr>
        <w:t xml:space="preserve"> 2,</w:t>
      </w:r>
      <w:r>
        <w:rPr>
          <w:rFonts w:ascii="Times New Roman" w:hAnsi="Times New Roman" w:cs="Times New Roman"/>
          <w:color w:val="0070C0"/>
          <w:sz w:val="16"/>
          <w:szCs w:val="16"/>
        </w:rPr>
        <w:t xml:space="preserve"> ст</w:t>
      </w:r>
      <w:r w:rsidRPr="005D7D69">
        <w:rPr>
          <w:rFonts w:ascii="Times New Roman" w:hAnsi="Times New Roman" w:cs="Times New Roman"/>
          <w:color w:val="0070C0"/>
          <w:sz w:val="16"/>
          <w:szCs w:val="16"/>
        </w:rPr>
        <w:t>р. 12-13/</w:t>
      </w:r>
      <w:r>
        <w:rPr>
          <w:rFonts w:ascii="Times New Roman" w:hAnsi="Times New Roman" w:cs="Times New Roman"/>
          <w:color w:val="0070C0"/>
          <w:sz w:val="16"/>
          <w:szCs w:val="16"/>
        </w:rPr>
        <w:t xml:space="preserve"> (23370).</w:t>
      </w:r>
    </w:p>
    <w:p w14:paraId="11D3562B" w14:textId="77777777" w:rsidR="0048374E" w:rsidRPr="005D7D69" w:rsidRDefault="0048374E" w:rsidP="0083075A">
      <w:pPr>
        <w:spacing w:after="0" w:line="240" w:lineRule="auto"/>
        <w:jc w:val="both"/>
        <w:rPr>
          <w:rFonts w:ascii="Times New Roman" w:hAnsi="Times New Roman" w:cs="Times New Roman"/>
          <w:color w:val="0070C0"/>
          <w:sz w:val="16"/>
          <w:szCs w:val="16"/>
        </w:rPr>
      </w:pPr>
    </w:p>
    <w:p w14:paraId="7756294C" w14:textId="236F531A" w:rsidR="0048374E" w:rsidRPr="005D7D69" w:rsidRDefault="0048374E"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30 октября</w:t>
      </w:r>
      <w:r>
        <w:rPr>
          <w:rFonts w:ascii="Times New Roman" w:hAnsi="Times New Roman" w:cs="Times New Roman"/>
          <w:color w:val="0070C0"/>
          <w:sz w:val="16"/>
          <w:szCs w:val="16"/>
        </w:rPr>
        <w:t xml:space="preserve"> (12 ноября) 1917 г</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Главковерх Керенский приказал начальнику гатчинской </w:t>
      </w:r>
      <w:r>
        <w:rPr>
          <w:rFonts w:ascii="Times New Roman" w:hAnsi="Times New Roman" w:cs="Times New Roman"/>
          <w:color w:val="0070C0"/>
          <w:sz w:val="16"/>
          <w:szCs w:val="16"/>
        </w:rPr>
        <w:t>А</w:t>
      </w:r>
      <w:r w:rsidRPr="005D7D69">
        <w:rPr>
          <w:rFonts w:ascii="Times New Roman" w:hAnsi="Times New Roman" w:cs="Times New Roman"/>
          <w:color w:val="0070C0"/>
          <w:sz w:val="16"/>
          <w:szCs w:val="16"/>
        </w:rPr>
        <w:t>в</w:t>
      </w:r>
      <w:r>
        <w:rPr>
          <w:rFonts w:ascii="Times New Roman" w:hAnsi="Times New Roman" w:cs="Times New Roman"/>
          <w:color w:val="0070C0"/>
          <w:sz w:val="16"/>
          <w:szCs w:val="16"/>
        </w:rPr>
        <w:t>иа</w:t>
      </w:r>
      <w:r w:rsidRPr="005D7D69">
        <w:rPr>
          <w:rFonts w:ascii="Times New Roman" w:hAnsi="Times New Roman" w:cs="Times New Roman"/>
          <w:color w:val="0070C0"/>
          <w:sz w:val="16"/>
          <w:szCs w:val="16"/>
        </w:rPr>
        <w:t>ш</w:t>
      </w:r>
      <w:r>
        <w:rPr>
          <w:rFonts w:ascii="Times New Roman" w:hAnsi="Times New Roman" w:cs="Times New Roman"/>
          <w:color w:val="0070C0"/>
          <w:sz w:val="16"/>
          <w:szCs w:val="16"/>
        </w:rPr>
        <w:t>к</w:t>
      </w:r>
      <w:r w:rsidRPr="005D7D69">
        <w:rPr>
          <w:rFonts w:ascii="Times New Roman" w:hAnsi="Times New Roman" w:cs="Times New Roman"/>
          <w:color w:val="0070C0"/>
          <w:sz w:val="16"/>
          <w:szCs w:val="16"/>
        </w:rPr>
        <w:t>ол</w:t>
      </w:r>
      <w:r>
        <w:rPr>
          <w:rFonts w:ascii="Times New Roman" w:hAnsi="Times New Roman" w:cs="Times New Roman"/>
          <w:color w:val="0070C0"/>
          <w:sz w:val="16"/>
          <w:szCs w:val="16"/>
        </w:rPr>
        <w:t>ы</w:t>
      </w:r>
      <w:r w:rsidRPr="005D7D69">
        <w:rPr>
          <w:rFonts w:ascii="Times New Roman" w:hAnsi="Times New Roman" w:cs="Times New Roman"/>
          <w:color w:val="0070C0"/>
          <w:sz w:val="16"/>
          <w:szCs w:val="16"/>
        </w:rPr>
        <w:t xml:space="preserve"> немедленно направить в </w:t>
      </w:r>
      <w:r>
        <w:rPr>
          <w:rFonts w:ascii="Times New Roman" w:hAnsi="Times New Roman" w:cs="Times New Roman"/>
          <w:color w:val="0070C0"/>
          <w:sz w:val="16"/>
          <w:szCs w:val="16"/>
        </w:rPr>
        <w:t>Ц</w:t>
      </w:r>
      <w:r w:rsidRPr="005D7D69">
        <w:rPr>
          <w:rFonts w:ascii="Times New Roman" w:hAnsi="Times New Roman" w:cs="Times New Roman"/>
          <w:color w:val="0070C0"/>
          <w:sz w:val="16"/>
          <w:szCs w:val="16"/>
        </w:rPr>
        <w:t>арское село в распоряжение ген. Краснова два самолета, вооруженных пулеметами. Самолеты вылетел и</w:t>
      </w:r>
      <w:r>
        <w:rPr>
          <w:rFonts w:ascii="Times New Roman" w:hAnsi="Times New Roman" w:cs="Times New Roman"/>
          <w:color w:val="0070C0"/>
          <w:sz w:val="16"/>
          <w:szCs w:val="16"/>
        </w:rPr>
        <w:t xml:space="preserve"> и</w:t>
      </w:r>
      <w:r w:rsidRPr="005D7D69">
        <w:rPr>
          <w:rFonts w:ascii="Times New Roman" w:hAnsi="Times New Roman" w:cs="Times New Roman"/>
          <w:color w:val="0070C0"/>
          <w:sz w:val="16"/>
          <w:szCs w:val="16"/>
        </w:rPr>
        <w:t>диниз них, обстрелянный революционными войсками,</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вынужденно спустился в районе </w:t>
      </w:r>
      <w:r>
        <w:rPr>
          <w:rFonts w:ascii="Times New Roman" w:hAnsi="Times New Roman" w:cs="Times New Roman"/>
          <w:color w:val="0070C0"/>
          <w:sz w:val="16"/>
          <w:szCs w:val="16"/>
        </w:rPr>
        <w:t>Ли</w:t>
      </w:r>
      <w:r w:rsidRPr="005D7D69">
        <w:rPr>
          <w:rFonts w:ascii="Times New Roman" w:hAnsi="Times New Roman" w:cs="Times New Roman"/>
          <w:color w:val="0070C0"/>
          <w:sz w:val="16"/>
          <w:szCs w:val="16"/>
        </w:rPr>
        <w:t>гово.</w:t>
      </w:r>
      <w:r>
        <w:rPr>
          <w:rFonts w:ascii="Times New Roman" w:hAnsi="Times New Roman" w:cs="Times New Roman"/>
          <w:color w:val="0070C0"/>
          <w:sz w:val="16"/>
          <w:szCs w:val="16"/>
        </w:rPr>
        <w:t xml:space="preserve"> Э</w:t>
      </w:r>
      <w:r w:rsidRPr="005D7D69">
        <w:rPr>
          <w:rFonts w:ascii="Times New Roman" w:hAnsi="Times New Roman" w:cs="Times New Roman"/>
          <w:color w:val="0070C0"/>
          <w:sz w:val="16"/>
          <w:szCs w:val="16"/>
        </w:rPr>
        <w:t>кипаж бы</w:t>
      </w:r>
      <w:r>
        <w:rPr>
          <w:rFonts w:ascii="Times New Roman" w:hAnsi="Times New Roman" w:cs="Times New Roman"/>
          <w:color w:val="0070C0"/>
          <w:sz w:val="16"/>
          <w:szCs w:val="16"/>
        </w:rPr>
        <w:t>л</w:t>
      </w:r>
      <w:r w:rsidRPr="005D7D69">
        <w:rPr>
          <w:rFonts w:ascii="Times New Roman" w:hAnsi="Times New Roman" w:cs="Times New Roman"/>
          <w:color w:val="0070C0"/>
          <w:sz w:val="16"/>
          <w:szCs w:val="16"/>
        </w:rPr>
        <w:t xml:space="preserve"> захвачен красногвардейцами.</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История не сохранила потомству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мен этих летчиков,</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первыми поднявшимися про</w:t>
      </w:r>
      <w:r w:rsidRPr="005D7D69">
        <w:rPr>
          <w:rFonts w:ascii="Times New Roman" w:hAnsi="Times New Roman" w:cs="Times New Roman"/>
          <w:color w:val="0070C0"/>
          <w:sz w:val="16"/>
          <w:szCs w:val="16"/>
        </w:rPr>
        <w:softHyphen/>
        <w:t>тив советской власти.</w:t>
      </w:r>
    </w:p>
    <w:p w14:paraId="3F7B2EF6" w14:textId="61462F5D" w:rsidR="0048374E" w:rsidRDefault="0048374E"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/ЦГА</w:t>
      </w:r>
      <w:r>
        <w:rPr>
          <w:rFonts w:ascii="Times New Roman" w:hAnsi="Times New Roman" w:cs="Times New Roman"/>
          <w:color w:val="0070C0"/>
          <w:sz w:val="16"/>
          <w:szCs w:val="16"/>
        </w:rPr>
        <w:t>О</w:t>
      </w:r>
      <w:r w:rsidRPr="005D7D69">
        <w:rPr>
          <w:rFonts w:ascii="Times New Roman" w:hAnsi="Times New Roman" w:cs="Times New Roman"/>
          <w:color w:val="0070C0"/>
          <w:sz w:val="16"/>
          <w:szCs w:val="16"/>
        </w:rPr>
        <w:t>Р,</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10</w:t>
      </w:r>
      <w:r w:rsidRPr="005D7D69">
        <w:rPr>
          <w:rFonts w:ascii="Times New Roman" w:hAnsi="Times New Roman" w:cs="Times New Roman"/>
          <w:color w:val="0070C0"/>
          <w:sz w:val="16"/>
          <w:szCs w:val="16"/>
        </w:rPr>
        <w:t>52,</w:t>
      </w:r>
      <w:r>
        <w:rPr>
          <w:rFonts w:ascii="Times New Roman" w:hAnsi="Times New Roman" w:cs="Times New Roman"/>
          <w:color w:val="0070C0"/>
          <w:sz w:val="16"/>
          <w:szCs w:val="16"/>
        </w:rPr>
        <w:t xml:space="preserve"> оп. </w:t>
      </w:r>
      <w:r w:rsidRPr="005D7D69">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д</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343,</w:t>
      </w:r>
      <w:r>
        <w:rPr>
          <w:rFonts w:ascii="Times New Roman" w:hAnsi="Times New Roman" w:cs="Times New Roman"/>
          <w:color w:val="0070C0"/>
          <w:sz w:val="16"/>
          <w:szCs w:val="16"/>
        </w:rPr>
        <w:t xml:space="preserve"> л</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28;</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«Правда</w:t>
      </w:r>
      <w:r w:rsidR="006B362D">
        <w:rPr>
          <w:rFonts w:ascii="Times New Roman" w:hAnsi="Times New Roman" w:cs="Times New Roman"/>
          <w:color w:val="0070C0"/>
          <w:sz w:val="16"/>
          <w:szCs w:val="16"/>
        </w:rPr>
        <w:t>»,</w:t>
      </w:r>
      <w:r w:rsidRPr="005D7D69">
        <w:rPr>
          <w:rFonts w:ascii="Times New Roman" w:hAnsi="Times New Roman" w:cs="Times New Roman"/>
          <w:color w:val="0070C0"/>
          <w:sz w:val="16"/>
          <w:szCs w:val="16"/>
        </w:rPr>
        <w:t xml:space="preserve"> 30 О</w:t>
      </w:r>
      <w:r w:rsidR="006B362D">
        <w:rPr>
          <w:rFonts w:ascii="Times New Roman" w:hAnsi="Times New Roman" w:cs="Times New Roman"/>
          <w:color w:val="0070C0"/>
          <w:sz w:val="16"/>
          <w:szCs w:val="16"/>
        </w:rPr>
        <w:t>кт</w:t>
      </w:r>
      <w:r w:rsidRPr="005D7D69">
        <w:rPr>
          <w:rFonts w:ascii="Times New Roman" w:hAnsi="Times New Roman" w:cs="Times New Roman"/>
          <w:color w:val="0070C0"/>
          <w:sz w:val="16"/>
          <w:szCs w:val="16"/>
        </w:rPr>
        <w:t>.</w:t>
      </w:r>
      <w:r w:rsidR="006B362D">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1</w:t>
      </w:r>
      <w:r>
        <w:rPr>
          <w:rFonts w:ascii="Times New Roman" w:hAnsi="Times New Roman" w:cs="Times New Roman"/>
          <w:color w:val="0070C0"/>
          <w:sz w:val="16"/>
          <w:szCs w:val="16"/>
        </w:rPr>
        <w:t>9</w:t>
      </w:r>
      <w:r w:rsidRPr="005D7D69">
        <w:rPr>
          <w:rFonts w:ascii="Times New Roman" w:hAnsi="Times New Roman" w:cs="Times New Roman"/>
          <w:color w:val="0070C0"/>
          <w:sz w:val="16"/>
          <w:szCs w:val="16"/>
        </w:rPr>
        <w:t>17/</w:t>
      </w:r>
      <w:r>
        <w:rPr>
          <w:rFonts w:ascii="Times New Roman" w:hAnsi="Times New Roman" w:cs="Times New Roman"/>
          <w:color w:val="0070C0"/>
          <w:sz w:val="16"/>
          <w:szCs w:val="16"/>
        </w:rPr>
        <w:t xml:space="preserve"> (23370).</w:t>
      </w:r>
    </w:p>
    <w:p w14:paraId="73C57200" w14:textId="77777777" w:rsidR="0048374E" w:rsidRPr="005D7D69" w:rsidRDefault="0048374E" w:rsidP="0083075A">
      <w:pPr>
        <w:spacing w:after="0" w:line="240" w:lineRule="auto"/>
        <w:jc w:val="both"/>
        <w:rPr>
          <w:rFonts w:ascii="Times New Roman" w:hAnsi="Times New Roman" w:cs="Times New Roman"/>
          <w:color w:val="0070C0"/>
          <w:sz w:val="16"/>
          <w:szCs w:val="16"/>
        </w:rPr>
      </w:pPr>
    </w:p>
    <w:p w14:paraId="70BB1D2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55935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5DF148" w14:textId="1C4FC364" w:rsidR="00645292" w:rsidRPr="002F2FDF" w:rsidRDefault="00645292" w:rsidP="0083075A">
      <w:pPr>
        <w:pStyle w:val="ae"/>
        <w:spacing w:before="0" w:after="0"/>
        <w:jc w:val="both"/>
        <w:rPr>
          <w:color w:val="000000" w:themeColor="text1"/>
          <w:kern w:val="2"/>
          <w:sz w:val="16"/>
          <w:szCs w:val="16"/>
        </w:rPr>
      </w:pPr>
      <w:r w:rsidRPr="002F2FDF">
        <w:rPr>
          <w:color w:val="000000" w:themeColor="text1"/>
          <w:kern w:val="2"/>
          <w:sz w:val="16"/>
          <w:szCs w:val="16"/>
        </w:rPr>
        <w:t>30 октября (12 ноября) 1917</w:t>
      </w:r>
      <w:r w:rsidR="00E52569">
        <w:rPr>
          <w:color w:val="000000" w:themeColor="text1"/>
          <w:kern w:val="2"/>
          <w:sz w:val="16"/>
          <w:szCs w:val="16"/>
        </w:rPr>
        <w:t xml:space="preserve"> </w:t>
      </w:r>
      <w:r w:rsidRPr="002F2FDF">
        <w:rPr>
          <w:color w:val="000000" w:themeColor="text1"/>
          <w:kern w:val="2"/>
          <w:sz w:val="16"/>
          <w:szCs w:val="16"/>
        </w:rPr>
        <w:t>г. В.И. Ленин подписал циркулярное сообщение, извещавшее ведомство почт и телеграфов, что:</w:t>
      </w:r>
    </w:p>
    <w:p w14:paraId="60FE4719" w14:textId="77777777" w:rsidR="00645292" w:rsidRPr="002F2FDF" w:rsidRDefault="00645292" w:rsidP="0083075A">
      <w:pPr>
        <w:pStyle w:val="ae"/>
        <w:spacing w:before="0" w:after="0"/>
        <w:jc w:val="both"/>
        <w:rPr>
          <w:color w:val="000000" w:themeColor="text1"/>
          <w:kern w:val="2"/>
          <w:sz w:val="16"/>
          <w:szCs w:val="16"/>
        </w:rPr>
      </w:pPr>
      <w:r w:rsidRPr="002F2FDF">
        <w:rPr>
          <w:color w:val="000000" w:themeColor="text1"/>
          <w:kern w:val="2"/>
          <w:sz w:val="16"/>
          <w:szCs w:val="16"/>
        </w:rPr>
        <w:t>«…вопросы связи будут впредь разрешаться народным комиссаром по Министерству почт и телеграфов или членами Коллегии, образованной при народном комиссаре по Министерству почт и телеграфов и состоящей из следующих лиц: 1) Леонид Николаевич Старк, 2) Моисей Яковлевич Зеликман, 3) Артемий Моисеевич Любович, 4) Мария Кировна Котикова, 5) Кароль Иванович Катлубовский» (15736).</w:t>
      </w:r>
    </w:p>
    <w:p w14:paraId="15FA7229" w14:textId="77777777" w:rsidR="00645292" w:rsidRPr="002F2FDF" w:rsidRDefault="00645292" w:rsidP="0083075A">
      <w:pPr>
        <w:pStyle w:val="ae"/>
        <w:spacing w:before="0" w:after="0"/>
        <w:jc w:val="both"/>
        <w:rPr>
          <w:color w:val="000000" w:themeColor="text1"/>
          <w:kern w:val="2"/>
          <w:sz w:val="16"/>
          <w:szCs w:val="16"/>
        </w:rPr>
      </w:pPr>
    </w:p>
    <w:p w14:paraId="43FA4DD6" w14:textId="77777777" w:rsidR="00ED2748" w:rsidRPr="002F2FDF" w:rsidRDefault="00ED274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30 октября (12 ноября) 1917. Весь день не прекращался ураганный огонь пулеметов по Тверскому бульвару. Большевики заняли почту и телеграф. Повсюду злые солдатские лица В пять часов вечера начался шквальный обстрел штаба Московского военного округа. В городе появилась какая-то третья вооруженная сила, стреляющая по всем, кто попадется под руку (18685).</w:t>
      </w:r>
    </w:p>
    <w:p w14:paraId="7488D465" w14:textId="77777777" w:rsidR="00ED2748" w:rsidRPr="002F2FDF" w:rsidRDefault="00ED2748" w:rsidP="0083075A">
      <w:pPr>
        <w:spacing w:after="0" w:line="240" w:lineRule="auto"/>
        <w:jc w:val="both"/>
        <w:rPr>
          <w:rFonts w:ascii="Times New Roman" w:hAnsi="Times New Roman" w:cs="Times New Roman"/>
          <w:color w:val="000000" w:themeColor="text1"/>
          <w:sz w:val="16"/>
          <w:szCs w:val="16"/>
        </w:rPr>
      </w:pPr>
    </w:p>
    <w:p w14:paraId="404915BC" w14:textId="5F9B05C4" w:rsidR="00ED2748" w:rsidRPr="002F2FDF" w:rsidRDefault="00ED2748"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30 октября (12 ноября)</w:t>
      </w:r>
      <w:r w:rsidR="00E52569">
        <w:rPr>
          <w:rStyle w:val="a7"/>
          <w:rFonts w:eastAsiaTheme="majorEastAsia"/>
          <w:b w:val="0"/>
          <w:color w:val="000000" w:themeColor="text1"/>
          <w:sz w:val="16"/>
          <w:szCs w:val="16"/>
        </w:rPr>
        <w:t xml:space="preserve"> </w:t>
      </w:r>
      <w:r w:rsidRPr="002F2FDF">
        <w:rPr>
          <w:rStyle w:val="a7"/>
          <w:rFonts w:eastAsiaTheme="majorEastAsia"/>
          <w:b w:val="0"/>
          <w:color w:val="000000" w:themeColor="text1"/>
          <w:sz w:val="16"/>
          <w:szCs w:val="16"/>
        </w:rPr>
        <w:t>1917</w:t>
      </w:r>
      <w:r w:rsidRPr="002F2FDF">
        <w:rPr>
          <w:color w:val="000000" w:themeColor="text1"/>
          <w:sz w:val="16"/>
          <w:szCs w:val="16"/>
        </w:rPr>
        <w:t xml:space="preserve"> на Поместном Соборе в этот день голосованием было решено начать выбор кандидатов в патриархи. Список кандидатов составлялся на основе записок, поданных членами Собора. Были оглашены имена 25-ти, набравших наибольшее число голосов. Среди них</w:t>
      </w:r>
      <w:r w:rsidR="00E52569">
        <w:rPr>
          <w:color w:val="000000" w:themeColor="text1"/>
          <w:sz w:val="16"/>
          <w:szCs w:val="16"/>
        </w:rPr>
        <w:t xml:space="preserve"> </w:t>
      </w:r>
      <w:r w:rsidRPr="002F2FDF">
        <w:rPr>
          <w:color w:val="000000" w:themeColor="text1"/>
          <w:sz w:val="16"/>
          <w:szCs w:val="16"/>
        </w:rPr>
        <w:t xml:space="preserve">– Александр Дмитриевич Самарин. </w:t>
      </w:r>
      <w:r w:rsidRPr="002F2FDF">
        <w:rPr>
          <w:rStyle w:val="a7"/>
          <w:rFonts w:eastAsiaTheme="majorEastAsia"/>
          <w:b w:val="0"/>
          <w:color w:val="000000" w:themeColor="text1"/>
          <w:sz w:val="16"/>
          <w:szCs w:val="16"/>
        </w:rPr>
        <w:t>31 октября (13 ноября)</w:t>
      </w:r>
      <w:r w:rsidR="00E52569">
        <w:rPr>
          <w:rStyle w:val="a7"/>
          <w:rFonts w:eastAsiaTheme="majorEastAsia"/>
          <w:b w:val="0"/>
          <w:color w:val="000000" w:themeColor="text1"/>
          <w:sz w:val="16"/>
          <w:szCs w:val="16"/>
        </w:rPr>
        <w:t xml:space="preserve"> </w:t>
      </w:r>
      <w:r w:rsidRPr="002F2FDF">
        <w:rPr>
          <w:color w:val="000000" w:themeColor="text1"/>
          <w:sz w:val="16"/>
          <w:szCs w:val="16"/>
        </w:rPr>
        <w:t>– Поместным Собором отобраны три кандидата на патриарший престол</w:t>
      </w:r>
      <w:r w:rsidR="00E52569">
        <w:rPr>
          <w:color w:val="000000" w:themeColor="text1"/>
          <w:sz w:val="16"/>
          <w:szCs w:val="16"/>
        </w:rPr>
        <w:t xml:space="preserve"> </w:t>
      </w:r>
      <w:r w:rsidRPr="002F2FDF">
        <w:rPr>
          <w:color w:val="000000" w:themeColor="text1"/>
          <w:sz w:val="16"/>
          <w:szCs w:val="16"/>
        </w:rPr>
        <w:t>– архиепископ Харьковский Антоний (Храповицкий), архиепископ Новгородский Арсений (Стадницкий) и митрополит Московский Тихон (Белавин) (18371).</w:t>
      </w:r>
    </w:p>
    <w:p w14:paraId="4ED3AEA1" w14:textId="77777777" w:rsidR="00ED2748" w:rsidRPr="002F2FDF" w:rsidRDefault="00ED2748" w:rsidP="0083075A">
      <w:pPr>
        <w:pStyle w:val="ae"/>
        <w:spacing w:before="0" w:after="0"/>
        <w:jc w:val="both"/>
        <w:rPr>
          <w:color w:val="000000" w:themeColor="text1"/>
          <w:sz w:val="16"/>
          <w:szCs w:val="16"/>
        </w:rPr>
      </w:pPr>
    </w:p>
    <w:p w14:paraId="29DF2E75" w14:textId="77777777" w:rsidR="00645292" w:rsidRPr="002F2FDF" w:rsidRDefault="00645292"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30 октября (12 ноября) </w:t>
      </w:r>
      <w:r w:rsidRPr="002F2FDF">
        <w:rPr>
          <w:rFonts w:ascii="Times New Roman" w:hAnsi="Times New Roman" w:cs="Times New Roman"/>
          <w:color w:val="000000" w:themeColor="text1"/>
          <w:kern w:val="2"/>
          <w:sz w:val="16"/>
          <w:szCs w:val="16"/>
        </w:rPr>
        <w:t>в 1917 году выборы в Учредительное собрание (14828).</w:t>
      </w:r>
    </w:p>
    <w:p w14:paraId="7205FB6B" w14:textId="77777777" w:rsidR="00645292" w:rsidRPr="002F2FDF" w:rsidRDefault="00645292" w:rsidP="0083075A">
      <w:pPr>
        <w:spacing w:after="0" w:line="240" w:lineRule="auto"/>
        <w:jc w:val="both"/>
        <w:rPr>
          <w:rFonts w:ascii="Times New Roman" w:hAnsi="Times New Roman" w:cs="Times New Roman"/>
          <w:color w:val="000000" w:themeColor="text1"/>
          <w:kern w:val="2"/>
          <w:sz w:val="16"/>
          <w:szCs w:val="16"/>
        </w:rPr>
      </w:pPr>
    </w:p>
    <w:p w14:paraId="6A8B2B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октября (12 ноября) 1917 Зимний Дворец был объявлен Государственным музеем (3481).</w:t>
      </w:r>
    </w:p>
    <w:p w14:paraId="7812F8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C7870E" w14:textId="77777777" w:rsidR="00645292" w:rsidRPr="002F2FDF" w:rsidRDefault="00645292"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30 октября (12 ноября) </w:t>
      </w:r>
      <w:r w:rsidRPr="002F2FDF">
        <w:rPr>
          <w:rFonts w:ascii="Times New Roman" w:hAnsi="Times New Roman" w:cs="Times New Roman"/>
          <w:color w:val="000000" w:themeColor="text1"/>
          <w:kern w:val="2"/>
          <w:sz w:val="16"/>
          <w:szCs w:val="16"/>
        </w:rPr>
        <w:t>в 1917 году Зимний дворец в Петрограде был объявлен Государственным музеем. Один из инициаторов этой идеи прославленный искусствовед В.Я.Курбатов в четвертом номере журнала "Аргус" писал: "Зимний дворец должен стать музеем, где достойно разместятся лучшие произведения Основного музея России...". Еще в феврале и июле в Зимний стали допускаться посетители, желающие "познакомиться с двухсотлетним оплотом русского царизма". В числе первых во дворце побывали А.Блок и Л.Рейснер, оставившие воспоминания о поразившей их здесь роскоши и пустынности. В 1918 году в Зимнем попытались устроить "Дворец Искусств": в парадных залах читали лекции, показывали фильмы, а в декабре 1922 года Зимний дворец был отдан Эрмитажу. Отныне не Эрмитаж был "частью и продолжением царской резиденции - Зимнего дворца", а дворец становился частью Эрмитажа, государственного музея. Залы дворца становились экспозициями. В просторных гостиных, где когда-то висели батальные картины, прославлявшие победы Российской империи, разместилась экспозиция французского искусства (14828).</w:t>
      </w:r>
    </w:p>
    <w:p w14:paraId="2394DA43" w14:textId="77777777" w:rsidR="00645292" w:rsidRPr="002F2FDF" w:rsidRDefault="00645292" w:rsidP="0083075A">
      <w:pPr>
        <w:spacing w:after="0" w:line="240" w:lineRule="auto"/>
        <w:jc w:val="both"/>
        <w:rPr>
          <w:rFonts w:ascii="Times New Roman" w:hAnsi="Times New Roman" w:cs="Times New Roman"/>
          <w:color w:val="000000" w:themeColor="text1"/>
          <w:kern w:val="2"/>
          <w:sz w:val="16"/>
          <w:szCs w:val="16"/>
        </w:rPr>
      </w:pPr>
    </w:p>
    <w:p w14:paraId="2085FC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30-31 октября (12-13 ноября) 1917 войска Краснова были разгромлены и красногвардейцы отбили Красное село (2239).</w:t>
      </w:r>
    </w:p>
    <w:p w14:paraId="4F2E01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E938B7" w14:textId="77777777" w:rsidR="00F15D5E" w:rsidRPr="002F2FDF" w:rsidRDefault="00F15D5E" w:rsidP="0083075A">
      <w:pPr>
        <w:pStyle w:val="ae"/>
        <w:spacing w:before="0" w:after="0"/>
        <w:jc w:val="both"/>
        <w:rPr>
          <w:color w:val="000000" w:themeColor="text1"/>
          <w:kern w:val="2"/>
          <w:sz w:val="16"/>
          <w:szCs w:val="16"/>
        </w:rPr>
      </w:pPr>
      <w:r w:rsidRPr="002F2FDF">
        <w:rPr>
          <w:rStyle w:val="ucoz-forum-post"/>
          <w:bCs/>
          <w:color w:val="000000" w:themeColor="text1"/>
          <w:kern w:val="2"/>
          <w:sz w:val="16"/>
          <w:szCs w:val="16"/>
        </w:rPr>
        <w:t xml:space="preserve">30 октября (12 ноября) </w:t>
      </w:r>
      <w:r w:rsidRPr="002F2FDF">
        <w:rPr>
          <w:color w:val="000000" w:themeColor="text1"/>
          <w:kern w:val="2"/>
          <w:sz w:val="16"/>
          <w:szCs w:val="16"/>
        </w:rPr>
        <w:t>в 1917 году с утра войска Краснова при поддержке артиллерии и бронепоезда все-таки начали наступление в районе Пулкова. Революционные войска выдержали натиск, а затем сами перешли в контратаку. Казаки при этом потеряли только трех человек, в то время как среди «красных» потери достигали 400 человек, но они продолжали «давить массой». К вечеру у казаков начали заканчиваться боеприпасы, обещанные Керенским подкрепления все не подходили, и Краснов приказал отступить в Гатчину (17045).</w:t>
      </w:r>
    </w:p>
    <w:p w14:paraId="3831848C" w14:textId="77777777" w:rsidR="00F15D5E" w:rsidRPr="002F2FDF" w:rsidRDefault="00F15D5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B6AD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октября (12 ноября) 1917 отрядами под командованием левого эсера полковника М.А.Муравьева войска П.Н.Краснова были остановлены под Пулково (3908,268).</w:t>
      </w:r>
    </w:p>
    <w:p w14:paraId="213C1A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DF9D74" w14:textId="77777777" w:rsidR="00A21D78" w:rsidRPr="002F2FDF" w:rsidRDefault="00A21D7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октября (12 ноября) 1917 казаки Краснова подошли к Пулковским высотам, где их встретили 5 тыс. красногвардейцев и моряков. Постреляли немного и на этом все кончилось. Байки Бунича о том, что казаки нарвались на немецких солдат, вооруженных большевиками, и его причитания о том, могла ли горстка (5 тыс.) революционеров остановить казачью орду в 600 сабель, остаются байками и причитаниями (12629).</w:t>
      </w:r>
    </w:p>
    <w:p w14:paraId="32A826B6" w14:textId="77777777" w:rsidR="00A21D78" w:rsidRPr="002F2FDF" w:rsidRDefault="00A21D78"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E1D71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октября (12 ноября) 1917 большевики начали артобстрел московского Кремля (4962).</w:t>
      </w:r>
    </w:p>
    <w:p w14:paraId="2E05E91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CD1AA9" w14:textId="77777777" w:rsidR="00F15D5E" w:rsidRPr="002F2FDF" w:rsidRDefault="00F15D5E" w:rsidP="0083075A">
      <w:pPr>
        <w:pStyle w:val="ae"/>
        <w:spacing w:before="0" w:after="0"/>
        <w:jc w:val="both"/>
        <w:rPr>
          <w:color w:val="000000" w:themeColor="text1"/>
          <w:kern w:val="2"/>
          <w:sz w:val="16"/>
          <w:szCs w:val="16"/>
        </w:rPr>
      </w:pPr>
      <w:r w:rsidRPr="002F2FDF">
        <w:rPr>
          <w:color w:val="000000" w:themeColor="text1"/>
          <w:kern w:val="2"/>
          <w:sz w:val="16"/>
          <w:szCs w:val="16"/>
        </w:rPr>
        <w:t>30 октября (12 ноября) 1917 часть «белых» (три кадетских корпуса и Алексеевское военное училище в Лефортово) сдались на милость МВРК, хотя юнкера продолжали удерживать Кремль (17045).</w:t>
      </w:r>
    </w:p>
    <w:p w14:paraId="5E849B69" w14:textId="77777777" w:rsidR="00F15D5E" w:rsidRPr="002F2FDF" w:rsidRDefault="00F15D5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4AF911" w14:textId="77777777" w:rsidR="00103C92" w:rsidRPr="002F2FDF" w:rsidRDefault="00103C92" w:rsidP="0083075A">
      <w:pPr>
        <w:pStyle w:val="a3"/>
        <w:rPr>
          <w:color w:val="000000" w:themeColor="text1"/>
          <w:lang w:val="ru-RU"/>
        </w:rPr>
      </w:pPr>
      <w:r w:rsidRPr="002F2FDF">
        <w:rPr>
          <w:rFonts w:eastAsia="Times New Roman"/>
          <w:color w:val="000000" w:themeColor="text1"/>
          <w:lang w:val="ru-RU" w:eastAsia="ru-RU"/>
        </w:rPr>
        <w:t>30 октября (12 ноября) 1917 коммерческие банки закрылись вследствие напряженного положения на улицах и нарушения телефонной связи, кроме того, чеки на Госбанк оказались во многих случаях не оплачены. Банкиры решили сократить выдачу на клиента до 3000 рублей наличными, остальное опять выдавать чеками на Государственный банк.72 (18085)</w:t>
      </w:r>
    </w:p>
    <w:p w14:paraId="7741C68E" w14:textId="77777777" w:rsidR="00103C92" w:rsidRPr="002F2FDF" w:rsidRDefault="00103C92" w:rsidP="0083075A">
      <w:pPr>
        <w:spacing w:after="0" w:line="240" w:lineRule="auto"/>
        <w:jc w:val="both"/>
        <w:rPr>
          <w:rFonts w:ascii="Times New Roman" w:hAnsi="Times New Roman" w:cs="Times New Roman"/>
          <w:color w:val="000000" w:themeColor="text1"/>
          <w:sz w:val="16"/>
          <w:szCs w:val="16"/>
        </w:rPr>
      </w:pPr>
    </w:p>
    <w:p w14:paraId="316B3D6F" w14:textId="77777777" w:rsidR="00103C92" w:rsidRPr="002F2FDF" w:rsidRDefault="00103C92"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hAnsi="Times New Roman" w:cs="Times New Roman"/>
          <w:color w:val="000000" w:themeColor="text1"/>
          <w:sz w:val="16"/>
          <w:szCs w:val="16"/>
        </w:rPr>
        <w:lastRenderedPageBreak/>
        <w:t xml:space="preserve">30 октября (12 ноября) 1917 г. в ответ на закрытие акционерных банков за подписями В. И. Ленина и В. Р. Менжинского вышло "Постановление об открытии банков", где предписывалось открыть банки 31 октября (13 ноября) в обычные часы. "Если банки не будут открыты и деньги по чекам не будут выдаваться, все директора и члены правления банков будут арестованы, во все банки будут назначены комиссары Временного Заместителя Народного Комиссара по Министерству финансов, под контролем которого и будет производиться уплата по чекам, имеющим печать подлежащего Фабрично Заводского Комитета". Далее утверждалось, что для обеспечения порядка во </w:t>
      </w:r>
      <w:r w:rsidRPr="002F2FDF">
        <w:rPr>
          <w:rFonts w:ascii="Times New Roman" w:eastAsia="Times New Roman" w:hAnsi="Times New Roman" w:cs="Times New Roman"/>
          <w:color w:val="000000" w:themeColor="text1"/>
          <w:sz w:val="16"/>
          <w:szCs w:val="16"/>
          <w:lang w:eastAsia="ru-RU"/>
        </w:rPr>
        <w:t>все банки будут введены воинские караулы. Вместе с тем подчеркивалось, что слухи о конфискации капиталов ложны и ничего, кроме мер, обеспечивающих интересы вкладчиков путем учета и контроля над деятельностью банков, не предполагается (18085).</w:t>
      </w:r>
    </w:p>
    <w:p w14:paraId="7A208AEF" w14:textId="77777777" w:rsidR="00103C92" w:rsidRPr="002F2FDF" w:rsidRDefault="00103C92" w:rsidP="0083075A">
      <w:pPr>
        <w:spacing w:after="0" w:line="240" w:lineRule="auto"/>
        <w:jc w:val="both"/>
        <w:rPr>
          <w:rFonts w:ascii="Times New Roman" w:eastAsia="Times New Roman" w:hAnsi="Times New Roman" w:cs="Times New Roman"/>
          <w:color w:val="000000" w:themeColor="text1"/>
          <w:sz w:val="16"/>
          <w:szCs w:val="16"/>
          <w:lang w:eastAsia="ru-RU"/>
        </w:rPr>
      </w:pPr>
    </w:p>
    <w:p w14:paraId="4D7EFB31" w14:textId="77777777" w:rsidR="00103C92" w:rsidRPr="002F2FDF" w:rsidRDefault="00103C92" w:rsidP="0083075A">
      <w:pPr>
        <w:pStyle w:val="a3"/>
        <w:rPr>
          <w:color w:val="000000" w:themeColor="text1"/>
          <w:lang w:val="ru-RU"/>
        </w:rPr>
      </w:pPr>
      <w:r w:rsidRPr="002F2FDF">
        <w:rPr>
          <w:color w:val="000000" w:themeColor="text1"/>
          <w:lang w:val="ru-RU"/>
        </w:rPr>
        <w:t>30 октября (12 ноября) 1917 г. после своего назначения Временным заместителем Народного комиссара по Министерству финансов В. Р. Менжинский издает по своему ведомству жесткий приказ: "Во всех учреждениях Министерства финансов, завтра, 31 октября, занятия должны производиться в обычное время. Если в каких-либо учреждениях Министерства финансов забастовка будет продолжаться, начальники этих учреждений будут немедленно арестованы" (18085).</w:t>
      </w:r>
    </w:p>
    <w:p w14:paraId="1B77771F" w14:textId="77777777" w:rsidR="00103C92" w:rsidRPr="002F2FDF" w:rsidRDefault="00103C92" w:rsidP="0083075A">
      <w:pPr>
        <w:pStyle w:val="a3"/>
        <w:rPr>
          <w:color w:val="000000" w:themeColor="text1"/>
          <w:lang w:val="ru-RU"/>
        </w:rPr>
      </w:pPr>
    </w:p>
    <w:p w14:paraId="51219E7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1C898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9C3B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31 октября по 20 ноября </w:t>
      </w:r>
      <w:r w:rsidR="001157F8" w:rsidRPr="002F2FDF">
        <w:rPr>
          <w:rFonts w:ascii="Times New Roman" w:hAnsi="Times New Roman" w:cs="Times New Roman"/>
          <w:color w:val="000000" w:themeColor="text1"/>
          <w:kern w:val="2"/>
          <w:sz w:val="16"/>
          <w:szCs w:val="16"/>
        </w:rPr>
        <w:t xml:space="preserve">(с 13 ноября по 3 декабря) </w:t>
      </w:r>
      <w:r w:rsidRPr="002F2FDF">
        <w:rPr>
          <w:rFonts w:ascii="Times New Roman" w:hAnsi="Times New Roman" w:cs="Times New Roman"/>
          <w:color w:val="000000" w:themeColor="text1"/>
          <w:kern w:val="2"/>
          <w:sz w:val="16"/>
          <w:szCs w:val="16"/>
        </w:rPr>
        <w:t xml:space="preserve">1917 г. на Главном аэродроме проводились полеты на Лебедь ХП. Комиисия, созданная предписанием начальника Управления ВВФ для сравнительных испытаний самолетов "Лебедь"-XII, "Анасаль" и "Фарман"-30, признала прочность и тщательность конструкции разведчика 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 </w:t>
      </w:r>
    </w:p>
    <w:p w14:paraId="1FA893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гидроавиаотряда,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 </w:t>
      </w:r>
    </w:p>
    <w:p w14:paraId="212744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7A85E6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EC5BC9" w14:textId="77777777" w:rsidR="00697B1B"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F8A36E9" w14:textId="77777777" w:rsidR="00697B1B" w:rsidRPr="002F2FDF" w:rsidRDefault="00697B1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698374" w14:textId="77777777" w:rsidR="00697B1B" w:rsidRPr="002F2FDF" w:rsidRDefault="00697B1B"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31 октября (13 ноября) </w:t>
      </w:r>
      <w:r w:rsidRPr="002F2FDF">
        <w:rPr>
          <w:rFonts w:ascii="Times New Roman" w:hAnsi="Times New Roman" w:cs="Times New Roman"/>
          <w:color w:val="000000" w:themeColor="text1"/>
          <w:kern w:val="2"/>
          <w:sz w:val="16"/>
          <w:szCs w:val="16"/>
        </w:rPr>
        <w:t>в 1917 году в Петрограде состоялся съезд военных и флотских радиоспециалистов. Съезд принял решение об использовании военной радиоаппаратуры, радиоматериалов, а также демобилизующихся радистов для организации гражданской радиосвязи. Об этих решениях было доложено Ленину. В беседе с делегацией съезда Владимир Ильич указал на необходимость организации гражданской радиосвязи и созыва съезда радистов всех ведомств. 23 декабря такой съезд был созван. В нем приняли участие радиотелеграфисты и рабочие радиопромышленности. Была выделена группа специалистов, которой поручили подготовить конкретные предложения по организации гражданской радиосвязи (14829).</w:t>
      </w:r>
    </w:p>
    <w:p w14:paraId="7EE4C7E3" w14:textId="77777777" w:rsidR="00697B1B" w:rsidRPr="002F2FDF" w:rsidRDefault="00697B1B" w:rsidP="0083075A">
      <w:pPr>
        <w:spacing w:after="0" w:line="240" w:lineRule="auto"/>
        <w:jc w:val="both"/>
        <w:rPr>
          <w:rFonts w:ascii="Times New Roman" w:hAnsi="Times New Roman" w:cs="Times New Roman"/>
          <w:color w:val="000000" w:themeColor="text1"/>
          <w:kern w:val="2"/>
          <w:sz w:val="16"/>
          <w:szCs w:val="16"/>
        </w:rPr>
      </w:pPr>
    </w:p>
    <w:p w14:paraId="29D54BF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6D14B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41D43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октября (13 ноября) 1917 К.В.Акашев был назначен членом Бюро комиссаров Воздушного флота (10667).</w:t>
      </w:r>
    </w:p>
    <w:p w14:paraId="3677DBF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ECB9A9" w14:textId="66E0A112" w:rsidR="002F3D6F" w:rsidRDefault="002F3D6F"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 xml:space="preserve">31 октября </w:t>
      </w:r>
      <w:r>
        <w:rPr>
          <w:rFonts w:ascii="Times New Roman" w:hAnsi="Times New Roman" w:cs="Times New Roman"/>
          <w:color w:val="0070C0"/>
          <w:sz w:val="16"/>
          <w:szCs w:val="16"/>
        </w:rPr>
        <w:t xml:space="preserve">1917 г. Московский РВК </w:t>
      </w:r>
      <w:r w:rsidRPr="005D7D69">
        <w:rPr>
          <w:rFonts w:ascii="Times New Roman" w:hAnsi="Times New Roman" w:cs="Times New Roman"/>
          <w:color w:val="0070C0"/>
          <w:sz w:val="16"/>
          <w:szCs w:val="16"/>
        </w:rPr>
        <w:t xml:space="preserve">приказал всем войскам, преданным ВРК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Красной гвардии,</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н</w:t>
      </w:r>
      <w:r>
        <w:rPr>
          <w:rFonts w:ascii="Times New Roman" w:hAnsi="Times New Roman" w:cs="Times New Roman"/>
          <w:color w:val="0070C0"/>
          <w:sz w:val="16"/>
          <w:szCs w:val="16"/>
        </w:rPr>
        <w:t>е</w:t>
      </w:r>
      <w:r w:rsidRPr="005D7D69">
        <w:rPr>
          <w:rFonts w:ascii="Times New Roman" w:hAnsi="Times New Roman" w:cs="Times New Roman"/>
          <w:color w:val="0070C0"/>
          <w:sz w:val="16"/>
          <w:szCs w:val="16"/>
        </w:rPr>
        <w:t xml:space="preserve"> обстреливать летаю</w:t>
      </w:r>
      <w:r>
        <w:rPr>
          <w:rFonts w:ascii="Times New Roman" w:hAnsi="Times New Roman" w:cs="Times New Roman"/>
          <w:color w:val="0070C0"/>
          <w:sz w:val="16"/>
          <w:szCs w:val="16"/>
        </w:rPr>
        <w:t>щие</w:t>
      </w:r>
      <w:r w:rsidRPr="005D7D69">
        <w:rPr>
          <w:rFonts w:ascii="Times New Roman" w:hAnsi="Times New Roman" w:cs="Times New Roman"/>
          <w:color w:val="0070C0"/>
          <w:sz w:val="16"/>
          <w:szCs w:val="16"/>
        </w:rPr>
        <w:t xml:space="preserve"> аэропланы</w:t>
      </w:r>
      <w:r>
        <w:rPr>
          <w:rFonts w:ascii="Times New Roman" w:hAnsi="Times New Roman" w:cs="Times New Roman"/>
          <w:color w:val="0070C0"/>
          <w:sz w:val="16"/>
          <w:szCs w:val="16"/>
        </w:rPr>
        <w:t>.</w:t>
      </w:r>
    </w:p>
    <w:p w14:paraId="1C9B63BC" w14:textId="77777777" w:rsidR="002F3D6F" w:rsidRDefault="002F3D6F"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/Документы Великой Пролетарской революции, 1948,</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т.</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2,</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стр. 105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128/</w:t>
      </w:r>
      <w:r>
        <w:rPr>
          <w:rFonts w:ascii="Times New Roman" w:hAnsi="Times New Roman" w:cs="Times New Roman"/>
          <w:color w:val="0070C0"/>
          <w:sz w:val="16"/>
          <w:szCs w:val="16"/>
        </w:rPr>
        <w:t xml:space="preserve"> (23370).</w:t>
      </w:r>
    </w:p>
    <w:p w14:paraId="104DE6E3" w14:textId="77777777" w:rsidR="002F3D6F" w:rsidRPr="005D7D69" w:rsidRDefault="002F3D6F" w:rsidP="0083075A">
      <w:pPr>
        <w:spacing w:after="0" w:line="240" w:lineRule="auto"/>
        <w:jc w:val="both"/>
        <w:rPr>
          <w:rFonts w:ascii="Times New Roman" w:hAnsi="Times New Roman" w:cs="Times New Roman"/>
          <w:color w:val="0070C0"/>
          <w:sz w:val="16"/>
          <w:szCs w:val="16"/>
        </w:rPr>
      </w:pPr>
    </w:p>
    <w:p w14:paraId="2F3D4D5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DCDFE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689945" w14:textId="1049313F" w:rsidR="00175851" w:rsidRPr="00FB4F67" w:rsidRDefault="0017585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31 лктября (</w:t>
      </w:r>
      <w:r w:rsidRPr="00FB4F67">
        <w:rPr>
          <w:rFonts w:ascii="Times New Roman" w:hAnsi="Times New Roman" w:cs="Times New Roman"/>
          <w:color w:val="0070C0"/>
          <w:sz w:val="16"/>
          <w:szCs w:val="16"/>
        </w:rPr>
        <w:t>13 ноября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ЦК большевиков проголосовал за концепцию социалистической коалиции (23525).</w:t>
      </w:r>
    </w:p>
    <w:p w14:paraId="42CCC408" w14:textId="77777777" w:rsidR="00175851" w:rsidRPr="00FB4F67" w:rsidRDefault="00175851" w:rsidP="0083075A">
      <w:pPr>
        <w:spacing w:after="0" w:line="240" w:lineRule="auto"/>
        <w:jc w:val="both"/>
        <w:rPr>
          <w:rFonts w:ascii="Times New Roman" w:hAnsi="Times New Roman" w:cs="Times New Roman"/>
          <w:color w:val="0070C0"/>
          <w:sz w:val="16"/>
          <w:szCs w:val="16"/>
        </w:rPr>
      </w:pPr>
    </w:p>
    <w:p w14:paraId="42A61E98" w14:textId="484E7C35" w:rsidR="00ED2748" w:rsidRPr="002F2FDF" w:rsidRDefault="00ED274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31 октября (13 ноября) 1917</w:t>
      </w:r>
      <w:r w:rsidR="00636CA3">
        <w:rPr>
          <w:rFonts w:ascii="Times New Roman" w:hAnsi="Times New Roman" w:cs="Times New Roman"/>
          <w:color w:val="000000" w:themeColor="text1"/>
          <w:sz w:val="16"/>
          <w:szCs w:val="16"/>
        </w:rPr>
        <w:t xml:space="preserve"> г</w:t>
      </w:r>
      <w:r w:rsidRPr="002F2FDF">
        <w:rPr>
          <w:rFonts w:ascii="Times New Roman" w:hAnsi="Times New Roman" w:cs="Times New Roman"/>
          <w:color w:val="000000" w:themeColor="text1"/>
          <w:sz w:val="16"/>
          <w:szCs w:val="16"/>
        </w:rPr>
        <w:t xml:space="preserve">. </w:t>
      </w:r>
      <w:r w:rsidR="00636CA3">
        <w:rPr>
          <w:rFonts w:ascii="Times New Roman" w:hAnsi="Times New Roman" w:cs="Times New Roman"/>
          <w:color w:val="000000" w:themeColor="text1"/>
          <w:sz w:val="16"/>
          <w:szCs w:val="16"/>
        </w:rPr>
        <w:t>а</w:t>
      </w:r>
      <w:r w:rsidRPr="002F2FDF">
        <w:rPr>
          <w:rFonts w:ascii="Times New Roman" w:hAnsi="Times New Roman" w:cs="Times New Roman"/>
          <w:color w:val="000000" w:themeColor="text1"/>
          <w:sz w:val="16"/>
          <w:szCs w:val="16"/>
        </w:rPr>
        <w:t>ртиллерия бьет и бьет по телефонной станции, Городской Думе, "Метрополю", жилым кварталам - с Пресни, Кудринской площади, Замоскворечья. Весь день с колоколен центра Москвы стреляют по засевшим в Кремле и уже истратившим последние патроны юнкерам Нервы москвичей, изголодавшихся в подвалах своих домов, от непрерывной канонады начинают сдавать.</w:t>
      </w:r>
    </w:p>
    <w:p w14:paraId="79F0913F" w14:textId="77777777" w:rsidR="00ED2748" w:rsidRPr="002F2FDF" w:rsidRDefault="00ED274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Режиссер Евгений Вахтангов записывает: "Весь день не работает телефон. Мы отрезаны совершенна ничего не знаем. Стрельбы идет беспрерывно" (18685).</w:t>
      </w:r>
    </w:p>
    <w:p w14:paraId="1D010A89" w14:textId="77777777" w:rsidR="00ED2748" w:rsidRPr="002F2FDF" w:rsidRDefault="00ED2748" w:rsidP="0083075A">
      <w:pPr>
        <w:spacing w:after="0" w:line="240" w:lineRule="auto"/>
        <w:jc w:val="both"/>
        <w:rPr>
          <w:rFonts w:ascii="Times New Roman" w:hAnsi="Times New Roman" w:cs="Times New Roman"/>
          <w:color w:val="000000" w:themeColor="text1"/>
          <w:sz w:val="16"/>
          <w:szCs w:val="16"/>
        </w:rPr>
      </w:pPr>
    </w:p>
    <w:p w14:paraId="4BFDEBEE" w14:textId="77777777" w:rsidR="00ED2748" w:rsidRPr="002F2FDF" w:rsidRDefault="00ED2748" w:rsidP="0083075A">
      <w:pPr>
        <w:pStyle w:val="ae"/>
        <w:spacing w:before="0" w:after="0"/>
        <w:jc w:val="both"/>
        <w:rPr>
          <w:color w:val="000000" w:themeColor="text1"/>
          <w:sz w:val="16"/>
          <w:szCs w:val="16"/>
        </w:rPr>
      </w:pPr>
      <w:r w:rsidRPr="002F2FDF">
        <w:rPr>
          <w:color w:val="000000" w:themeColor="text1"/>
          <w:sz w:val="16"/>
          <w:szCs w:val="16"/>
        </w:rPr>
        <w:t>31 октября – 6 ноября (13-19 ноября) 1917 в Финляндии проходила всеобщая забастовка с лозунгами экономических и политических требований рабочих. Одновременно Красная Гвардия разоружала отряды шюцкора, занимала административные здания, вокзалы, телеграфные и телефонные станции, брала на себя охрану общественного порядка. Во многих городах власть фактически перешла к рабочим. Однако Центральный революционный совет (образованный в ноябре) после утверждения сеймом принятых еще летом постановлений о взятии на себя верховной власти, законов о 8-часовом рабочем дне и демократизации системы коммунальных выборов, призвал рабочих прекратить забастовку (18525).</w:t>
      </w:r>
    </w:p>
    <w:p w14:paraId="6750F235" w14:textId="77777777" w:rsidR="00ED2748" w:rsidRPr="002F2FDF" w:rsidRDefault="00ED2748" w:rsidP="0083075A">
      <w:pPr>
        <w:pStyle w:val="ae"/>
        <w:spacing w:before="0" w:after="0"/>
        <w:jc w:val="both"/>
        <w:rPr>
          <w:color w:val="000000" w:themeColor="text1"/>
          <w:sz w:val="16"/>
          <w:szCs w:val="16"/>
        </w:rPr>
      </w:pPr>
    </w:p>
    <w:p w14:paraId="59C44C3E" w14:textId="77777777" w:rsidR="00636CA3" w:rsidRPr="002F2FDF" w:rsidRDefault="00636CA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октября (13 ноября) 1917 в Финляндии началась всеобщая забастовка (3481).</w:t>
      </w:r>
    </w:p>
    <w:p w14:paraId="5AADCD79" w14:textId="77777777" w:rsidR="00636CA3" w:rsidRPr="002F2FDF" w:rsidRDefault="00636CA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68D8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октября (13 ноября) 1917 при разгроме войск Краснова в районе Пулковских высот, завершившегося в этот день, были использованы данные воздушной разведки (350,41).</w:t>
      </w:r>
    </w:p>
    <w:p w14:paraId="7C562D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1F2C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октября (13 ноября) 1917 посланные в Гатчину представители большевиков смогли склонить солдат на свою сторону. А.Керенский бежал, переодевшись шофером. Б.Н.Савинков уехал на Дон к А.Каледину. П.Н.Краснов был арестован, но отпущен под честное слово и вскоре нарушил его, присоединившись к контрреволюционерам (3908,268).</w:t>
      </w:r>
    </w:p>
    <w:p w14:paraId="73F946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01D18B" w14:textId="05FFD7B2" w:rsidR="00645292" w:rsidRPr="002F2FDF" w:rsidRDefault="00645292"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31 октября </w:t>
      </w:r>
      <w:r w:rsidR="00697B1B" w:rsidRPr="002F2FDF">
        <w:rPr>
          <w:rStyle w:val="ucoz-forum-post"/>
          <w:rFonts w:ascii="Times New Roman" w:hAnsi="Times New Roman" w:cs="Times New Roman"/>
          <w:bCs/>
          <w:color w:val="000000" w:themeColor="text1"/>
          <w:kern w:val="2"/>
          <w:sz w:val="16"/>
          <w:szCs w:val="16"/>
        </w:rPr>
        <w:t>(</w:t>
      </w:r>
      <w:r w:rsidRPr="002F2FDF">
        <w:rPr>
          <w:rStyle w:val="ucoz-forum-post"/>
          <w:rFonts w:ascii="Times New Roman" w:hAnsi="Times New Roman" w:cs="Times New Roman"/>
          <w:bCs/>
          <w:color w:val="000000" w:themeColor="text1"/>
          <w:kern w:val="2"/>
          <w:sz w:val="16"/>
          <w:szCs w:val="16"/>
        </w:rPr>
        <w:t>13 ноября</w:t>
      </w:r>
      <w:r w:rsidR="00697B1B" w:rsidRPr="002F2FDF">
        <w:rPr>
          <w:rStyle w:val="ucoz-forum-post"/>
          <w:rFonts w:ascii="Times New Roman" w:hAnsi="Times New Roman" w:cs="Times New Roman"/>
          <w:bCs/>
          <w:color w:val="000000" w:themeColor="text1"/>
          <w:kern w:val="2"/>
          <w:sz w:val="16"/>
          <w:szCs w:val="16"/>
        </w:rPr>
        <w:t>)</w:t>
      </w:r>
      <w:r w:rsidR="00636CA3">
        <w:rPr>
          <w:rStyle w:val="ucoz-forum-post"/>
          <w:rFonts w:ascii="Times New Roman" w:hAnsi="Times New Roman" w:cs="Times New Roman"/>
          <w:bCs/>
          <w:color w:val="000000" w:themeColor="text1"/>
          <w:kern w:val="2"/>
          <w:sz w:val="16"/>
          <w:szCs w:val="16"/>
        </w:rPr>
        <w:t xml:space="preserve"> </w:t>
      </w:r>
      <w:r w:rsidRPr="002F2FDF">
        <w:rPr>
          <w:rFonts w:ascii="Times New Roman" w:hAnsi="Times New Roman" w:cs="Times New Roman"/>
          <w:color w:val="000000" w:themeColor="text1"/>
          <w:kern w:val="2"/>
          <w:sz w:val="16"/>
          <w:szCs w:val="16"/>
        </w:rPr>
        <w:t>в 1917 году разгром революционными войсками мятежа Керенского-Краснова (14829).</w:t>
      </w:r>
    </w:p>
    <w:p w14:paraId="09D0938C" w14:textId="77777777" w:rsidR="00645292" w:rsidRPr="002F2FDF" w:rsidRDefault="00645292" w:rsidP="0083075A">
      <w:pPr>
        <w:spacing w:after="0" w:line="240" w:lineRule="auto"/>
        <w:jc w:val="both"/>
        <w:rPr>
          <w:rFonts w:ascii="Times New Roman" w:hAnsi="Times New Roman" w:cs="Times New Roman"/>
          <w:color w:val="000000" w:themeColor="text1"/>
          <w:kern w:val="2"/>
          <w:sz w:val="16"/>
          <w:szCs w:val="16"/>
        </w:rPr>
      </w:pPr>
    </w:p>
    <w:p w14:paraId="21B9115E" w14:textId="77777777" w:rsidR="00826055" w:rsidRPr="002F2FDF" w:rsidRDefault="00826055" w:rsidP="0083075A">
      <w:pPr>
        <w:pStyle w:val="ae"/>
        <w:spacing w:before="0" w:after="0"/>
        <w:jc w:val="both"/>
        <w:rPr>
          <w:color w:val="000000" w:themeColor="text1"/>
          <w:kern w:val="2"/>
          <w:sz w:val="16"/>
          <w:szCs w:val="16"/>
        </w:rPr>
      </w:pPr>
      <w:r w:rsidRPr="002F2FDF">
        <w:rPr>
          <w:rStyle w:val="ucoz-forum-post"/>
          <w:bCs/>
          <w:color w:val="000000" w:themeColor="text1"/>
          <w:kern w:val="2"/>
          <w:sz w:val="16"/>
          <w:szCs w:val="16"/>
        </w:rPr>
        <w:t xml:space="preserve">31 октября (13 ноября) </w:t>
      </w:r>
      <w:r w:rsidRPr="002F2FDF">
        <w:rPr>
          <w:color w:val="000000" w:themeColor="text1"/>
          <w:kern w:val="2"/>
          <w:sz w:val="16"/>
          <w:szCs w:val="16"/>
        </w:rPr>
        <w:t>в 1917 году окончательно провалилась попытка главы уже низложенного Временного правительства Александра Керенского организовать наступление на захваченный большевиками Петроград. Ранее он сумел добраться до Пскова, где располагался штаб Северного фронта, и пытался сагитировать войска для похода на освобождение столицы. Однако большая часть солдат и офицеров, памятуя о том, как Керенский подавил выступление пользовавшегося авторитетом в армии генерала Корнилова, симпатий к нему не питала. Выступить с Керенским согласились лишь несколько казачьих подразделений кавалерийского корпуса генерала Петра Краснова, которые вскоре смогли дойти до Царского Села, но после боя под Пулково в силу малочисленности (всего 700 человек) и отсутствия подкреплений были вынуждены заключить с революционными солдатами и матросами перемирие.</w:t>
      </w:r>
    </w:p>
    <w:p w14:paraId="53DBFCC4" w14:textId="77777777" w:rsidR="00826055" w:rsidRPr="002F2FDF" w:rsidRDefault="00826055" w:rsidP="0083075A">
      <w:pPr>
        <w:pStyle w:val="ae"/>
        <w:spacing w:before="0" w:after="0"/>
        <w:jc w:val="both"/>
        <w:rPr>
          <w:color w:val="000000" w:themeColor="text1"/>
          <w:kern w:val="2"/>
          <w:sz w:val="16"/>
          <w:szCs w:val="16"/>
        </w:rPr>
      </w:pPr>
      <w:r w:rsidRPr="002F2FDF">
        <w:rPr>
          <w:color w:val="000000" w:themeColor="text1"/>
          <w:kern w:val="2"/>
          <w:sz w:val="16"/>
          <w:szCs w:val="16"/>
        </w:rPr>
        <w:t>В ночь на 13 ноября Лев Троцкий, находившийся на линии обороны в Пулково, телеграфировал в Петроград: «Попытка Керенского двинуть контрреволюционные войска на столицу революции получила решающий отпор. Керенский отступает, мы наступаем. Солдаты, матросы и рабочие Петрограда доказали, что умеют и хотят с оружием в руках утвердить волю и власть демократии. Буржуазия старалась изолировать армию революции, Керенский пытался сломить ее силой казачества. И то, и другое потерпело жалкое крушение… Революционная Россия и Советская власть вправе гордиться своим Пулковским отрядом, действующим под командой полковника Вальдена».</w:t>
      </w:r>
    </w:p>
    <w:p w14:paraId="397CDF31" w14:textId="77777777" w:rsidR="00826055" w:rsidRPr="002F2FDF" w:rsidRDefault="00826055" w:rsidP="0083075A">
      <w:pPr>
        <w:pStyle w:val="ae"/>
        <w:spacing w:before="0" w:after="0"/>
        <w:jc w:val="both"/>
        <w:rPr>
          <w:color w:val="000000" w:themeColor="text1"/>
          <w:kern w:val="2"/>
          <w:sz w:val="16"/>
          <w:szCs w:val="16"/>
        </w:rPr>
      </w:pPr>
      <w:r w:rsidRPr="002F2FDF">
        <w:rPr>
          <w:color w:val="000000" w:themeColor="text1"/>
          <w:kern w:val="2"/>
          <w:sz w:val="16"/>
          <w:szCs w:val="16"/>
        </w:rPr>
        <w:t>На следующий день стороны продолжили переговоры об условиях перемирия, и казаки согласились выдать большевикам Керенского. Узнав об этом, он сразу же на автомобиле покинул расположение войск Краснова. 14 ноября части большевиков вошли в Гатчину. Сам генерал Краснов сдался им, но вскоре был отпущен под «честное слово офицера, что не будет более бороться против Советской власти». Чуть позже он уехал на Дон, где стал одним из лидеров местного «белого» казачества. Казаки были также отпущены на Дон с оружием и снаряжением.</w:t>
      </w:r>
    </w:p>
    <w:p w14:paraId="068B3B89" w14:textId="7EF21AC1" w:rsidR="00826055" w:rsidRPr="002F2FDF" w:rsidRDefault="00826055" w:rsidP="0083075A">
      <w:pPr>
        <w:pStyle w:val="ae"/>
        <w:spacing w:before="0" w:after="0"/>
        <w:jc w:val="both"/>
        <w:rPr>
          <w:color w:val="000000" w:themeColor="text1"/>
          <w:kern w:val="2"/>
          <w:sz w:val="16"/>
          <w:szCs w:val="16"/>
        </w:rPr>
      </w:pPr>
      <w:r w:rsidRPr="002F2FDF">
        <w:rPr>
          <w:color w:val="000000" w:themeColor="text1"/>
          <w:kern w:val="2"/>
          <w:sz w:val="16"/>
          <w:szCs w:val="16"/>
        </w:rPr>
        <w:lastRenderedPageBreak/>
        <w:t>Псковский историк Максим Васильев так описывал сложившуюся в те дни ситуацию: «В то время большевистское правительство еще стремилось всячески заигрывать с казаками — последней боеспособной силой, способной оказать реальное сопротивление. Пацифистские настроения казаков и усиленная агитация в их среде сделали свое дело, казачьи части начали эшелонами покидать Петроградскую, Псковскую, Новгородскую и другие губернии и уходили в родные казачьи области». «Все неудержимо хлынуло на Дон, но не к Каледину, чтобы сражаться против большевиков, отстаивая свободу Дона, а домой в свои станицы, чтобы ничего не делать и отдыхать, не чувствуя и не понимая страшного позора нации», — вспоминал, в свою очередь, потом сам Петр</w:t>
      </w:r>
      <w:r w:rsidR="00E52569">
        <w:rPr>
          <w:color w:val="000000" w:themeColor="text1"/>
          <w:kern w:val="2"/>
          <w:sz w:val="16"/>
          <w:szCs w:val="16"/>
        </w:rPr>
        <w:t xml:space="preserve"> </w:t>
      </w:r>
      <w:r w:rsidRPr="002F2FDF">
        <w:rPr>
          <w:color w:val="000000" w:themeColor="text1"/>
          <w:kern w:val="2"/>
          <w:sz w:val="16"/>
          <w:szCs w:val="16"/>
        </w:rPr>
        <w:t>Краснов (17045).</w:t>
      </w:r>
    </w:p>
    <w:p w14:paraId="2677BD5B" w14:textId="77777777" w:rsidR="00826055" w:rsidRPr="002F2FDF" w:rsidRDefault="00826055" w:rsidP="0083075A">
      <w:pPr>
        <w:spacing w:after="0" w:line="240" w:lineRule="auto"/>
        <w:jc w:val="both"/>
        <w:rPr>
          <w:rStyle w:val="ucoz-forum-post"/>
          <w:rFonts w:ascii="Times New Roman" w:hAnsi="Times New Roman" w:cs="Times New Roman"/>
          <w:bCs/>
          <w:color w:val="000000" w:themeColor="text1"/>
          <w:kern w:val="2"/>
          <w:sz w:val="16"/>
          <w:szCs w:val="16"/>
        </w:rPr>
      </w:pPr>
    </w:p>
    <w:p w14:paraId="5AA80394" w14:textId="4302845B" w:rsidR="00645292" w:rsidRPr="002F2FDF" w:rsidRDefault="00697B1B"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31 октября (</w:t>
      </w:r>
      <w:r w:rsidR="00645292" w:rsidRPr="002F2FDF">
        <w:rPr>
          <w:rStyle w:val="ucoz-forum-post"/>
          <w:rFonts w:ascii="Times New Roman" w:hAnsi="Times New Roman" w:cs="Times New Roman"/>
          <w:bCs/>
          <w:color w:val="000000" w:themeColor="text1"/>
          <w:kern w:val="2"/>
          <w:sz w:val="16"/>
          <w:szCs w:val="16"/>
        </w:rPr>
        <w:t>13 ноября</w:t>
      </w:r>
      <w:r w:rsidRPr="002F2FDF">
        <w:rPr>
          <w:rStyle w:val="ucoz-forum-post"/>
          <w:rFonts w:ascii="Times New Roman" w:hAnsi="Times New Roman" w:cs="Times New Roman"/>
          <w:bCs/>
          <w:color w:val="000000" w:themeColor="text1"/>
          <w:kern w:val="2"/>
          <w:sz w:val="16"/>
          <w:szCs w:val="16"/>
        </w:rPr>
        <w:t>)</w:t>
      </w:r>
      <w:r w:rsidR="00636CA3">
        <w:rPr>
          <w:rStyle w:val="ucoz-forum-post"/>
          <w:rFonts w:ascii="Times New Roman" w:hAnsi="Times New Roman" w:cs="Times New Roman"/>
          <w:bCs/>
          <w:color w:val="000000" w:themeColor="text1"/>
          <w:kern w:val="2"/>
          <w:sz w:val="16"/>
          <w:szCs w:val="16"/>
        </w:rPr>
        <w:t xml:space="preserve"> </w:t>
      </w:r>
      <w:r w:rsidR="00645292" w:rsidRPr="002F2FDF">
        <w:rPr>
          <w:rFonts w:ascii="Times New Roman" w:hAnsi="Times New Roman" w:cs="Times New Roman"/>
          <w:color w:val="000000" w:themeColor="text1"/>
          <w:kern w:val="2"/>
          <w:sz w:val="16"/>
          <w:szCs w:val="16"/>
        </w:rPr>
        <w:t xml:space="preserve">в 1917 году на Братском кладбище в Москве (район Сокола) состоялись похороны юнкеров, офицеров и студентов, выступивших против красногвардейцев </w:t>
      </w:r>
    </w:p>
    <w:p w14:paraId="7A9E3574" w14:textId="77777777" w:rsidR="00645292" w:rsidRPr="002F2FDF" w:rsidRDefault="00645292" w:rsidP="0083075A">
      <w:pPr>
        <w:spacing w:after="0" w:line="240" w:lineRule="auto"/>
        <w:jc w:val="both"/>
        <w:rPr>
          <w:rFonts w:ascii="Times New Roman" w:hAnsi="Times New Roman" w:cs="Times New Roman"/>
          <w:color w:val="000000" w:themeColor="text1"/>
          <w:kern w:val="2"/>
          <w:sz w:val="16"/>
          <w:szCs w:val="16"/>
        </w:rPr>
      </w:pPr>
    </w:p>
    <w:p w14:paraId="2275AA8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октября (13 ноября) 1917 войсками Временного правительства подавлено большевистское восстание войск в Виннице (4962).</w:t>
      </w:r>
    </w:p>
    <w:p w14:paraId="171C2C4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DC5A5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октября (13 ноября) 1917 Совет депутатов Юзовки (ныне Донецка) осудил Октябрьскую революцию (4962).</w:t>
      </w:r>
    </w:p>
    <w:p w14:paraId="5682A9A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EDCD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октября (13 ноября) 1917 советская власть была установлена в Баку (2443,388).</w:t>
      </w:r>
    </w:p>
    <w:p w14:paraId="5FF734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9D022D" w14:textId="77777777" w:rsidR="00D16D0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7693A4A" w14:textId="77777777" w:rsidR="00D16D02" w:rsidRPr="002F2FDF" w:rsidRDefault="00D16D0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EDD65D" w14:textId="77777777" w:rsidR="00D16D02" w:rsidRPr="002F2FDF" w:rsidRDefault="00D16D02" w:rsidP="0083075A">
      <w:pPr>
        <w:pStyle w:val="ae"/>
        <w:spacing w:before="0" w:after="0"/>
        <w:jc w:val="both"/>
        <w:rPr>
          <w:color w:val="000000" w:themeColor="text1"/>
          <w:kern w:val="2"/>
          <w:sz w:val="16"/>
          <w:szCs w:val="16"/>
        </w:rPr>
      </w:pPr>
      <w:r w:rsidRPr="002F2FDF">
        <w:rPr>
          <w:rStyle w:val="ucoz-forum-post"/>
          <w:bCs/>
          <w:color w:val="000000" w:themeColor="text1"/>
          <w:kern w:val="2"/>
          <w:sz w:val="16"/>
          <w:szCs w:val="16"/>
        </w:rPr>
        <w:t xml:space="preserve">31 октября (13 ноября) </w:t>
      </w:r>
      <w:r w:rsidRPr="002F2FDF">
        <w:rPr>
          <w:color w:val="000000" w:themeColor="text1"/>
          <w:kern w:val="2"/>
          <w:sz w:val="16"/>
          <w:szCs w:val="16"/>
        </w:rPr>
        <w:t>в 1917 году германские и австрийские дивизии после небольшой передышки возобновили наступление на позиции итальянской армии на северо-востоке Италии. После прорыва фронта в конце октября в районе городка Капоретто (ныне Кобарид на северо-западе Словении у границы с Италией. — РП) итальянцам пришлось отступить почти на 100 км и занять оборону по рубежу реки Пьяве, протекающей в окрестностях Венеции. После этого австро-немецкое командование решило ударить в обход, севернее, через район горы Граппа, захват которой позволил бы начать переброску войск фактически в тыл итальянской группировке.</w:t>
      </w:r>
    </w:p>
    <w:p w14:paraId="41459171" w14:textId="107CCBD5" w:rsidR="00D16D02" w:rsidRPr="002F2FDF" w:rsidRDefault="00D16D02" w:rsidP="0083075A">
      <w:pPr>
        <w:pStyle w:val="ae"/>
        <w:spacing w:before="0" w:after="0"/>
        <w:jc w:val="both"/>
        <w:rPr>
          <w:color w:val="000000" w:themeColor="text1"/>
          <w:kern w:val="2"/>
          <w:sz w:val="16"/>
          <w:szCs w:val="16"/>
        </w:rPr>
      </w:pPr>
      <w:r w:rsidRPr="002F2FDF">
        <w:rPr>
          <w:color w:val="000000" w:themeColor="text1"/>
          <w:kern w:val="2"/>
          <w:sz w:val="16"/>
          <w:szCs w:val="16"/>
        </w:rPr>
        <w:t>Наступать предстояло в труднодоступной, пустынной местности, в отсутствие</w:t>
      </w:r>
      <w:r w:rsidR="00E52569">
        <w:rPr>
          <w:color w:val="000000" w:themeColor="text1"/>
          <w:kern w:val="2"/>
          <w:sz w:val="16"/>
          <w:szCs w:val="16"/>
        </w:rPr>
        <w:t xml:space="preserve"> </w:t>
      </w:r>
      <w:r w:rsidRPr="002F2FDF">
        <w:rPr>
          <w:color w:val="000000" w:themeColor="text1"/>
          <w:kern w:val="2"/>
          <w:sz w:val="16"/>
          <w:szCs w:val="16"/>
        </w:rPr>
        <w:t>нормальных дорог, что усложняло доставку подкреплений и боеприпасов. Австрийская дивизия «Эдельвейс», перед которой была поставлена задача взять гору, насчитывала только 4000 человек и имела всего по 50 патронов на винтовку и по 20—30 выстрелов на орудие. Тем не менее</w:t>
      </w:r>
      <w:r w:rsidR="00E52569">
        <w:rPr>
          <w:color w:val="000000" w:themeColor="text1"/>
          <w:kern w:val="2"/>
          <w:sz w:val="16"/>
          <w:szCs w:val="16"/>
        </w:rPr>
        <w:t xml:space="preserve"> </w:t>
      </w:r>
      <w:r w:rsidRPr="002F2FDF">
        <w:rPr>
          <w:color w:val="000000" w:themeColor="text1"/>
          <w:kern w:val="2"/>
          <w:sz w:val="16"/>
          <w:szCs w:val="16"/>
        </w:rPr>
        <w:t>в первые два дня наступления, начавшегося 13 ноября, дивизия прошла 8 км.</w:t>
      </w:r>
    </w:p>
    <w:p w14:paraId="24E96602" w14:textId="77777777" w:rsidR="00D16D02" w:rsidRPr="002F2FDF" w:rsidRDefault="00D16D02" w:rsidP="0083075A">
      <w:pPr>
        <w:pStyle w:val="ae"/>
        <w:spacing w:before="0" w:after="0"/>
        <w:jc w:val="both"/>
        <w:rPr>
          <w:color w:val="000000" w:themeColor="text1"/>
          <w:kern w:val="2"/>
          <w:sz w:val="16"/>
          <w:szCs w:val="16"/>
        </w:rPr>
      </w:pPr>
      <w:r w:rsidRPr="002F2FDF">
        <w:rPr>
          <w:color w:val="000000" w:themeColor="text1"/>
          <w:kern w:val="2"/>
          <w:sz w:val="16"/>
          <w:szCs w:val="16"/>
        </w:rPr>
        <w:t>16 ноября отряд из двух батальонов при поддержке трех артиллерийских батарей занял горы Прассолан и Кампиньолу, взяв при этом в плен 600 итальянских солдат, и подошел к подножию Граппы. Сопротивления австрийцы почти не встретили, но все же остановились, решив дождаться на всякий случай подкреплений. Французский военный историк Конкэ так описал события тех дней: «В это время во всем районе Граппа имелся в пределах досягаемости всего только один [итальянский] батальон, развернутый на широком фронте. Ближайший батальон поддержки мог прибыть только вечером. Таким образом, австрийцы упустили возможность занять гору Граппа ценой ничтожных потерь. Вторично такая возможность не представилась» (17045).</w:t>
      </w:r>
    </w:p>
    <w:p w14:paraId="28FB18EB" w14:textId="77777777" w:rsidR="00D16D02" w:rsidRPr="002F2FDF" w:rsidRDefault="00D16D0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F7C012" w14:textId="77777777" w:rsidR="00D16D02" w:rsidRPr="002F2FDF" w:rsidRDefault="00D16D02" w:rsidP="0083075A">
      <w:pPr>
        <w:pStyle w:val="ae"/>
        <w:spacing w:before="0" w:after="0"/>
        <w:jc w:val="both"/>
        <w:rPr>
          <w:color w:val="000000" w:themeColor="text1"/>
          <w:kern w:val="2"/>
          <w:sz w:val="16"/>
          <w:szCs w:val="16"/>
        </w:rPr>
      </w:pPr>
      <w:r w:rsidRPr="002F2FDF">
        <w:rPr>
          <w:color w:val="000000" w:themeColor="text1"/>
          <w:kern w:val="2"/>
          <w:sz w:val="16"/>
          <w:szCs w:val="16"/>
        </w:rPr>
        <w:t>В период с 31 октября – 6 ноября (13 по 19 ноября) 1917 германские подлодки потопили 42 корабля стран Антанты, один из которых — британский «Dolly Warden» — стал последней жертвой U-58 917045).</w:t>
      </w:r>
    </w:p>
    <w:p w14:paraId="12903E12" w14:textId="77777777" w:rsidR="00D16D02" w:rsidRPr="002F2FDF" w:rsidRDefault="00D16D0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A9EF9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C5A20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ADAA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октября 1917 г. изобретателю Михайлову удалось изготовить только отдельные детали аппарата. Большие трудности возникли при создании цилиндров и поршня компрессора. Специально назначенная комиссия нашла, что в “мастерских аэродрома выполняются лишь работы, имеющие характер подготовительных, заказанные же на заводе цилиндры и поршень относятся к работам исполнительным”. В конце 1917 г. начальник главного аэродрома военный летчик полковник А. Н. Вегенер писал управляющему делами технического комитета УВВФ, что изобретатель не работает в мастерских аэродрома. Модель аппарата так и не была закончена (9705).</w:t>
      </w:r>
    </w:p>
    <w:p w14:paraId="397D01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ABFBA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FE2F0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265C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октября 1917 года первый советский бронепоезд был спешно построен на питерском Путиловском заводе. На подступах к Петрограду шли бои с войсками генерала Краснова, поэтому Ленин лично приехал на завод, чтобы ускорить работу.</w:t>
      </w:r>
    </w:p>
    <w:p w14:paraId="7AA632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Конструкция бронепоезда № 1 была предельно простой: две угольные платформы, обшитые железными листами, вооружили трехдюймовыми пушками, забронировали и паровоз. После удачных для большевиков боев под Питером бронепоезд под командованием знаменитого матроса Железнякова отправили в Москву. Дальнейшая биография первого красного бронепоезда, получившего наименование "Победа или смерть", была бурной. Из Москвы он был отправлен на Украину, где участвовал в боях с войсками Центральной Рады в Донбассе, а в конце января 1918 года - в штурме Киева и установлении там советской власти.</w:t>
      </w:r>
    </w:p>
    <w:p w14:paraId="54DAA9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Основными центрами производства бронепоездов в годы Гражданской войны стали Брянск, Москва, Нижний Новгород, Коломна и Петроград. Строились и ремонтировались бронепоезда также в Киеве, Царицыне, Перми, Екатеринодаре, Луганске и других городах (11149).</w:t>
      </w:r>
    </w:p>
    <w:p w14:paraId="639B49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6074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октября 1917 года первый советский бронепоезд был спешно построен на питерском Путиловском заводе. На подступах к Петрограду шли бои с войсками генерала Краснова, поэтому Ленин лично приехал на завод, чтобы ускорить работу.</w:t>
      </w:r>
    </w:p>
    <w:p w14:paraId="2A67A5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Конструкция бронепоезда № 1 была предельно простой: две угольные платформы, обшитые железными листами, вооружили трехдюймовыми пушками, забронировали и паровоз. После удачных для большевиков боев под Питером бронепоезд под командованием знаменитого матроса Железнякова отправили в Москву. Дальнейшая биография первого красного бронепоезда, получившего наименование "Победа или смерть", была бурной. Из Москвы он был отправлен на Украину, где участвовал в боях с войсками Центральной Рады в Донбассе, а в конце января 1918 года - в штурме Киева и установлении там советской власти (11406).</w:t>
      </w:r>
    </w:p>
    <w:p w14:paraId="6533A5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67183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319BF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E07E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октября и начале ноября 1917-го управление авиацией перешло в руки военных комиссаров при Управлении Военно-Воздушного флота (Увофлота) в Петрограде. В этот период неопределенности сдача самолетов заводом прекратилась, хотя их изготовление продолжалось (9806).</w:t>
      </w:r>
    </w:p>
    <w:p w14:paraId="486AA2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EAD42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октября 1917 г. было образовано Бюро ко</w:t>
      </w:r>
      <w:r w:rsidRPr="002F2FDF">
        <w:rPr>
          <w:rFonts w:ascii="Times New Roman" w:hAnsi="Times New Roman" w:cs="Times New Roman"/>
          <w:color w:val="000000" w:themeColor="text1"/>
          <w:kern w:val="2"/>
          <w:sz w:val="16"/>
          <w:szCs w:val="16"/>
        </w:rPr>
        <w:softHyphen/>
        <w:t>миссаров Воздушного флота (председатель А.В.Можаев), 19 ноября вместо генерала Д.В.Яковлева начальником Управления Военно-воздушного флота (УВОФЛОТ) был назначен военный летчик и конструк</w:t>
      </w:r>
      <w:r w:rsidRPr="002F2FDF">
        <w:rPr>
          <w:rFonts w:ascii="Times New Roman" w:hAnsi="Times New Roman" w:cs="Times New Roman"/>
          <w:color w:val="000000" w:themeColor="text1"/>
          <w:kern w:val="2"/>
          <w:sz w:val="16"/>
          <w:szCs w:val="16"/>
        </w:rPr>
        <w:softHyphen/>
        <w:t>тор полковник С.А.Ульянин, лояльно настроенный по отношению к Советской власти. 27 ноября на авиазаво</w:t>
      </w:r>
      <w:r w:rsidRPr="002F2FDF">
        <w:rPr>
          <w:rFonts w:ascii="Times New Roman" w:hAnsi="Times New Roman" w:cs="Times New Roman"/>
          <w:color w:val="000000" w:themeColor="text1"/>
          <w:kern w:val="2"/>
          <w:sz w:val="16"/>
          <w:szCs w:val="16"/>
        </w:rPr>
        <w:softHyphen/>
        <w:t>дах постановлением ВЦИК ввели рабочий контроль. 20 декабря во главе УВОФЛОТа приказом Народного комиссариата по военным и морским делам была по</w:t>
      </w:r>
      <w:r w:rsidRPr="002F2FDF">
        <w:rPr>
          <w:rFonts w:ascii="Times New Roman" w:hAnsi="Times New Roman" w:cs="Times New Roman"/>
          <w:color w:val="000000" w:themeColor="text1"/>
          <w:kern w:val="2"/>
          <w:sz w:val="16"/>
          <w:szCs w:val="16"/>
        </w:rPr>
        <w:softHyphen/>
        <w:t>ставлена Всероссийская коллегия по управлению Рабоче-крестьянским Воздушным флотом. В ее состав во</w:t>
      </w:r>
      <w:r w:rsidRPr="002F2FDF">
        <w:rPr>
          <w:rFonts w:ascii="Times New Roman" w:hAnsi="Times New Roman" w:cs="Times New Roman"/>
          <w:color w:val="000000" w:themeColor="text1"/>
          <w:kern w:val="2"/>
          <w:sz w:val="16"/>
          <w:szCs w:val="16"/>
        </w:rPr>
        <w:softHyphen/>
        <w:t>шли К.В.Акашев, А.Д.Анощенко, Е.И.Ахматович, Ф.И.Бычков, П.С.Дубенский, З.Я.Ландау, А.П.Онуфри</w:t>
      </w:r>
      <w:r w:rsidRPr="002F2FDF">
        <w:rPr>
          <w:rFonts w:ascii="Times New Roman" w:hAnsi="Times New Roman" w:cs="Times New Roman"/>
          <w:color w:val="000000" w:themeColor="text1"/>
          <w:kern w:val="2"/>
          <w:sz w:val="16"/>
          <w:szCs w:val="16"/>
        </w:rPr>
        <w:softHyphen/>
        <w:t>ев, А.В.Сергеев, М.П.Строев. Председателем коллегии стал Константин Василье</w:t>
      </w:r>
      <w:r w:rsidRPr="002F2FDF">
        <w:rPr>
          <w:rFonts w:ascii="Times New Roman" w:hAnsi="Times New Roman" w:cs="Times New Roman"/>
          <w:color w:val="000000" w:themeColor="text1"/>
          <w:kern w:val="2"/>
          <w:sz w:val="16"/>
          <w:szCs w:val="16"/>
        </w:rPr>
        <w:softHyphen/>
        <w:t>вич Акашев. Пребывая в рядах партии эсеров, он актив</w:t>
      </w:r>
      <w:r w:rsidRPr="002F2FDF">
        <w:rPr>
          <w:rFonts w:ascii="Times New Roman" w:hAnsi="Times New Roman" w:cs="Times New Roman"/>
          <w:color w:val="000000" w:themeColor="text1"/>
          <w:kern w:val="2"/>
          <w:sz w:val="16"/>
          <w:szCs w:val="16"/>
        </w:rPr>
        <w:softHyphen/>
        <w:t>но выполнял задания и поручения партии большевиков. Вечером 25 октября 1917 г., переодевшись в офицерскую форму и обманув юнкеров Михайловского артиллерий</w:t>
      </w:r>
      <w:r w:rsidRPr="002F2FDF">
        <w:rPr>
          <w:rFonts w:ascii="Times New Roman" w:hAnsi="Times New Roman" w:cs="Times New Roman"/>
          <w:color w:val="000000" w:themeColor="text1"/>
          <w:kern w:val="2"/>
          <w:sz w:val="16"/>
          <w:szCs w:val="16"/>
        </w:rPr>
        <w:softHyphen/>
        <w:t>ского училища, он увел их отряд от Зимнего дворца, чем облегчил его захват. 31 октября Акашев был назначен членом Бюро комиссаров Воздушного флота. И вот те</w:t>
      </w:r>
      <w:r w:rsidRPr="002F2FDF">
        <w:rPr>
          <w:rFonts w:ascii="Times New Roman" w:hAnsi="Times New Roman" w:cs="Times New Roman"/>
          <w:color w:val="000000" w:themeColor="text1"/>
          <w:kern w:val="2"/>
          <w:sz w:val="16"/>
          <w:szCs w:val="16"/>
        </w:rPr>
        <w:softHyphen/>
        <w:t>перь новая должность. Если к Военно-воздушным силам, как составной ча</w:t>
      </w:r>
      <w:r w:rsidRPr="002F2FDF">
        <w:rPr>
          <w:rFonts w:ascii="Times New Roman" w:hAnsi="Times New Roman" w:cs="Times New Roman"/>
          <w:color w:val="000000" w:themeColor="text1"/>
          <w:kern w:val="2"/>
          <w:sz w:val="16"/>
          <w:szCs w:val="16"/>
        </w:rPr>
        <w:softHyphen/>
        <w:t>сти армии, проявлялось хоть какое-то внимание, то авиационная индустрия, брошенная на произвол судь</w:t>
      </w:r>
      <w:r w:rsidRPr="002F2FDF">
        <w:rPr>
          <w:rFonts w:ascii="Times New Roman" w:hAnsi="Times New Roman" w:cs="Times New Roman"/>
          <w:color w:val="000000" w:themeColor="text1"/>
          <w:kern w:val="2"/>
          <w:sz w:val="16"/>
          <w:szCs w:val="16"/>
        </w:rPr>
        <w:softHyphen/>
        <w:t>бы, быстро приходила в упадок. Производство на всех авиационных заводах Петрограда, в том числе на Рус</w:t>
      </w:r>
      <w:r w:rsidRPr="002F2FDF">
        <w:rPr>
          <w:rFonts w:ascii="Times New Roman" w:hAnsi="Times New Roman" w:cs="Times New Roman"/>
          <w:color w:val="000000" w:themeColor="text1"/>
          <w:kern w:val="2"/>
          <w:sz w:val="16"/>
          <w:szCs w:val="16"/>
        </w:rPr>
        <w:softHyphen/>
        <w:t>ско-Балтийском, было остановлено. Находясь на фронте, И.И.Сикорский с болью пере</w:t>
      </w:r>
      <w:r w:rsidRPr="002F2FDF">
        <w:rPr>
          <w:rFonts w:ascii="Times New Roman" w:hAnsi="Times New Roman" w:cs="Times New Roman"/>
          <w:color w:val="000000" w:themeColor="text1"/>
          <w:kern w:val="2"/>
          <w:sz w:val="16"/>
          <w:szCs w:val="16"/>
        </w:rPr>
        <w:softHyphen/>
        <w:t>жил развал государства и армии. Вернувшись в Петро</w:t>
      </w:r>
      <w:r w:rsidRPr="002F2FDF">
        <w:rPr>
          <w:rFonts w:ascii="Times New Roman" w:hAnsi="Times New Roman" w:cs="Times New Roman"/>
          <w:color w:val="000000" w:themeColor="text1"/>
          <w:kern w:val="2"/>
          <w:sz w:val="16"/>
          <w:szCs w:val="16"/>
        </w:rPr>
        <w:softHyphen/>
        <w:t>град, он не смог найти общего языка с близорукими деятелями из ВСНХ. Об этих событиях Игорь Иванович так писал в своей книге: “...В то время многие, и, воз</w:t>
      </w:r>
      <w:r w:rsidRPr="002F2FDF">
        <w:rPr>
          <w:rFonts w:ascii="Times New Roman" w:hAnsi="Times New Roman" w:cs="Times New Roman"/>
          <w:color w:val="000000" w:themeColor="text1"/>
          <w:kern w:val="2"/>
          <w:sz w:val="16"/>
          <w:szCs w:val="16"/>
        </w:rPr>
        <w:softHyphen/>
        <w:t>можно, большинство, еще верили, что золотая эра при</w:t>
      </w:r>
      <w:r w:rsidRPr="002F2FDF">
        <w:rPr>
          <w:rFonts w:ascii="Times New Roman" w:hAnsi="Times New Roman" w:cs="Times New Roman"/>
          <w:color w:val="000000" w:themeColor="text1"/>
          <w:kern w:val="2"/>
          <w:sz w:val="16"/>
          <w:szCs w:val="16"/>
        </w:rPr>
        <w:softHyphen/>
        <w:t>дет через год или два. В начале 1918 года я снова был в Петрограде, время научило меня смотреть в корень яв</w:t>
      </w:r>
      <w:r w:rsidRPr="002F2FDF">
        <w:rPr>
          <w:rFonts w:ascii="Times New Roman" w:hAnsi="Times New Roman" w:cs="Times New Roman"/>
          <w:color w:val="000000" w:themeColor="text1"/>
          <w:kern w:val="2"/>
          <w:sz w:val="16"/>
          <w:szCs w:val="16"/>
        </w:rPr>
        <w:softHyphen/>
        <w:t>лений. Поскольку провозглашенные идеалы и принци</w:t>
      </w:r>
      <w:r w:rsidRPr="002F2FDF">
        <w:rPr>
          <w:rFonts w:ascii="Times New Roman" w:hAnsi="Times New Roman" w:cs="Times New Roman"/>
          <w:color w:val="000000" w:themeColor="text1"/>
          <w:kern w:val="2"/>
          <w:sz w:val="16"/>
          <w:szCs w:val="16"/>
        </w:rPr>
        <w:softHyphen/>
        <w:t>пы марксистской революции не были приемлемыми для меня, я принял решение оставить Россию на неопре</w:t>
      </w:r>
      <w:r w:rsidRPr="002F2FDF">
        <w:rPr>
          <w:rFonts w:ascii="Times New Roman" w:hAnsi="Times New Roman" w:cs="Times New Roman"/>
          <w:color w:val="000000" w:themeColor="text1"/>
          <w:kern w:val="2"/>
          <w:sz w:val="16"/>
          <w:szCs w:val="16"/>
        </w:rPr>
        <w:softHyphen/>
        <w:t>деленное время. Я взял паспорт, визы, несколько реко</w:t>
      </w:r>
      <w:r w:rsidRPr="002F2FDF">
        <w:rPr>
          <w:rFonts w:ascii="Times New Roman" w:hAnsi="Times New Roman" w:cs="Times New Roman"/>
          <w:color w:val="000000" w:themeColor="text1"/>
          <w:kern w:val="2"/>
          <w:sz w:val="16"/>
          <w:szCs w:val="16"/>
        </w:rPr>
        <w:softHyphen/>
        <w:t>мендательных писем и в конце февраля отправился из Петрограда поездом в Мурманск, а оттуда в марте на борту парохода в Англию”. Никто не препятствовал его выезду за границу, как, впрочем, и не пытался удержать на Роди</w:t>
      </w:r>
      <w:r w:rsidRPr="002F2FDF">
        <w:rPr>
          <w:rFonts w:ascii="Times New Roman" w:hAnsi="Times New Roman" w:cs="Times New Roman"/>
          <w:color w:val="000000" w:themeColor="text1"/>
          <w:kern w:val="2"/>
          <w:sz w:val="16"/>
          <w:szCs w:val="16"/>
        </w:rPr>
        <w:softHyphen/>
        <w:t>не. “...Оставить Россию на неопределенное время...”. Это время растянулось у него на всю оставшуюся жизнь (10667).</w:t>
      </w:r>
    </w:p>
    <w:p w14:paraId="74DA1A0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25AFBF" w14:textId="77777777" w:rsidR="00C27B4B" w:rsidRPr="002F2FDF" w:rsidRDefault="00C27B4B" w:rsidP="0083075A">
      <w:pPr>
        <w:pStyle w:val="83"/>
        <w:shd w:val="clear" w:color="auto" w:fill="auto"/>
        <w:tabs>
          <w:tab w:val="left" w:leader="hyphen" w:pos="863"/>
        </w:tabs>
        <w:spacing w:after="0" w:line="240" w:lineRule="auto"/>
        <w:ind w:firstLine="0"/>
        <w:jc w:val="both"/>
        <w:rPr>
          <w:rFonts w:ascii="Times New Roman" w:hAnsi="Times New Roman"/>
          <w:color w:val="000000" w:themeColor="text1"/>
          <w:kern w:val="2"/>
          <w:sz w:val="16"/>
          <w:szCs w:val="16"/>
        </w:rPr>
      </w:pPr>
      <w:r w:rsidRPr="002F2FDF">
        <w:rPr>
          <w:rFonts w:ascii="Times New Roman" w:hAnsi="Times New Roman"/>
          <w:color w:val="000000" w:themeColor="text1"/>
          <w:kern w:val="2"/>
          <w:sz w:val="16"/>
          <w:szCs w:val="16"/>
        </w:rPr>
        <w:t>В конце октября 1917 г. наблюдатель Наумов опускаясь после вынужденно</w:t>
      </w:r>
      <w:r w:rsidRPr="002F2FDF">
        <w:rPr>
          <w:rFonts w:ascii="Times New Roman" w:hAnsi="Times New Roman"/>
          <w:color w:val="000000" w:themeColor="text1"/>
          <w:kern w:val="2"/>
          <w:sz w:val="16"/>
          <w:szCs w:val="16"/>
        </w:rPr>
        <w:softHyphen/>
        <w:t>го прыжка с высоты 300 м, он был накрыт горящей обо</w:t>
      </w:r>
      <w:r w:rsidRPr="002F2FDF">
        <w:rPr>
          <w:rFonts w:ascii="Times New Roman" w:hAnsi="Times New Roman"/>
          <w:color w:val="000000" w:themeColor="text1"/>
          <w:kern w:val="2"/>
          <w:sz w:val="16"/>
          <w:szCs w:val="16"/>
        </w:rPr>
        <w:softHyphen/>
        <w:t>лочкой аэростата, догнавшей его. Парашют загорелся. На</w:t>
      </w:r>
      <w:r w:rsidRPr="002F2FDF">
        <w:rPr>
          <w:rFonts w:ascii="Times New Roman" w:hAnsi="Times New Roman"/>
          <w:color w:val="000000" w:themeColor="text1"/>
          <w:kern w:val="2"/>
          <w:sz w:val="16"/>
          <w:szCs w:val="16"/>
        </w:rPr>
        <w:softHyphen/>
        <w:t>умов ухватился за остатки оболочки и вместе с ними спу</w:t>
      </w:r>
      <w:r w:rsidRPr="002F2FDF">
        <w:rPr>
          <w:rFonts w:ascii="Times New Roman" w:hAnsi="Times New Roman"/>
          <w:color w:val="000000" w:themeColor="text1"/>
          <w:kern w:val="2"/>
          <w:sz w:val="16"/>
          <w:szCs w:val="16"/>
        </w:rPr>
        <w:softHyphen/>
        <w:t>стился на землю (12120).</w:t>
      </w:r>
    </w:p>
    <w:p w14:paraId="36D4228E" w14:textId="77777777" w:rsidR="00C27B4B" w:rsidRPr="002F2FDF" w:rsidRDefault="00C27B4B" w:rsidP="0083075A">
      <w:pPr>
        <w:pStyle w:val="83"/>
        <w:shd w:val="clear" w:color="auto" w:fill="auto"/>
        <w:tabs>
          <w:tab w:val="left" w:leader="hyphen" w:pos="863"/>
        </w:tabs>
        <w:spacing w:after="0" w:line="240" w:lineRule="auto"/>
        <w:ind w:firstLine="0"/>
        <w:jc w:val="both"/>
        <w:rPr>
          <w:rFonts w:ascii="Times New Roman" w:hAnsi="Times New Roman"/>
          <w:color w:val="000000" w:themeColor="text1"/>
          <w:kern w:val="2"/>
          <w:sz w:val="16"/>
          <w:szCs w:val="16"/>
        </w:rPr>
      </w:pPr>
    </w:p>
    <w:p w14:paraId="033E784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lastRenderedPageBreak/>
        <w:t>Жизнь и внутренняя политика:</w:t>
      </w:r>
    </w:p>
    <w:p w14:paraId="0E991B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C88F0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октября 1917 года украинские больше</w:t>
      </w:r>
      <w:r w:rsidRPr="002F2FDF">
        <w:rPr>
          <w:rFonts w:ascii="Times New Roman" w:hAnsi="Times New Roman" w:cs="Times New Roman"/>
          <w:color w:val="000000" w:themeColor="text1"/>
          <w:kern w:val="2"/>
          <w:sz w:val="16"/>
          <w:szCs w:val="16"/>
        </w:rPr>
        <w:softHyphen/>
        <w:t>вики, воодушевленные успехом восстания в Петро</w:t>
      </w:r>
      <w:r w:rsidRPr="002F2FDF">
        <w:rPr>
          <w:rFonts w:ascii="Times New Roman" w:hAnsi="Times New Roman" w:cs="Times New Roman"/>
          <w:color w:val="000000" w:themeColor="text1"/>
          <w:kern w:val="2"/>
          <w:sz w:val="16"/>
          <w:szCs w:val="16"/>
        </w:rPr>
        <w:softHyphen/>
        <w:t>граде, попытались повторить опыт северной столицы применительно к Киеву. Сигналом к началу воору</w:t>
      </w:r>
      <w:r w:rsidRPr="002F2FDF">
        <w:rPr>
          <w:rFonts w:ascii="Times New Roman" w:hAnsi="Times New Roman" w:cs="Times New Roman"/>
          <w:color w:val="000000" w:themeColor="text1"/>
          <w:kern w:val="2"/>
          <w:sz w:val="16"/>
          <w:szCs w:val="16"/>
        </w:rPr>
        <w:softHyphen/>
        <w:t>женного выступления 29 октября послужил полет над городом самолета “Вуазен” с красным флагом. Пило</w:t>
      </w:r>
      <w:r w:rsidRPr="002F2FDF">
        <w:rPr>
          <w:rFonts w:ascii="Times New Roman" w:hAnsi="Times New Roman" w:cs="Times New Roman"/>
          <w:color w:val="000000" w:themeColor="text1"/>
          <w:kern w:val="2"/>
          <w:sz w:val="16"/>
          <w:szCs w:val="16"/>
        </w:rPr>
        <w:softHyphen/>
        <w:t>тировал аэроплан летчик А.Егоров с мотористом Н.Кипчуком на борту. Центральная Рада, обра</w:t>
      </w:r>
      <w:r w:rsidRPr="002F2FDF">
        <w:rPr>
          <w:rFonts w:ascii="Times New Roman" w:hAnsi="Times New Roman" w:cs="Times New Roman"/>
          <w:color w:val="000000" w:themeColor="text1"/>
          <w:kern w:val="2"/>
          <w:sz w:val="16"/>
          <w:szCs w:val="16"/>
        </w:rPr>
        <w:softHyphen/>
        <w:t>зованная еще в марте 1917 года и осуществлявшая власть в Украине, подавила восстание вооруженной рукой (553).</w:t>
      </w:r>
    </w:p>
    <w:p w14:paraId="0324BB3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4672C6" w14:textId="77777777" w:rsidR="00187993" w:rsidRPr="002F2FDF" w:rsidRDefault="0018799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5ADFAEF" w14:textId="77777777" w:rsidR="00187993" w:rsidRPr="002F2FDF" w:rsidRDefault="0018799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535ABF" w14:textId="77777777" w:rsidR="00905338" w:rsidRPr="002F2FDF" w:rsidRDefault="00905338" w:rsidP="0083075A">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rPr>
        <w:t>К концу октября 1917 г. удалось закончить постройкой первый серийный германский танк A7V (шасси № 501) (22831).</w:t>
      </w:r>
    </w:p>
    <w:p w14:paraId="01CD4C59" w14:textId="77777777" w:rsidR="00905338" w:rsidRPr="002F2FDF" w:rsidRDefault="00905338" w:rsidP="0083075A">
      <w:pPr>
        <w:spacing w:after="0" w:line="240" w:lineRule="auto"/>
        <w:jc w:val="both"/>
        <w:rPr>
          <w:rFonts w:ascii="Times New Roman" w:hAnsi="Times New Roman" w:cs="Times New Roman"/>
          <w:color w:val="000000" w:themeColor="text1"/>
          <w:sz w:val="16"/>
          <w:szCs w:val="16"/>
        </w:rPr>
      </w:pPr>
    </w:p>
    <w:p w14:paraId="332F107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F9847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F364A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октября — начале ноября 1917 г. испытывалась совершенно секретная "бомба Шишкова", бывшая, скорее всего, той самой короткой несамодвижущейся торпедой, на Опытной станции Петроградской школы морской авиации, сбрасываясь с особых держателей, укрепленных на летающей лодке М-9. Несколько позднее предполагалось ко</w:t>
      </w:r>
      <w:r w:rsidRPr="002F2FDF">
        <w:rPr>
          <w:rFonts w:ascii="Times New Roman" w:hAnsi="Times New Roman" w:cs="Times New Roman"/>
          <w:color w:val="000000" w:themeColor="text1"/>
          <w:kern w:val="2"/>
          <w:sz w:val="16"/>
          <w:szCs w:val="16"/>
        </w:rPr>
        <w:softHyphen/>
        <w:t>мандировать П.А. Шишкова в Великобританию для завершения его опытов в более "мирной" обстановке, но, вероятно, этот план не был осуществлен (2843).</w:t>
      </w:r>
    </w:p>
    <w:p w14:paraId="376950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34E12D" w14:textId="77777777" w:rsidR="006514E2" w:rsidRPr="002F2FDF" w:rsidRDefault="006514E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DAF629A" w14:textId="77777777" w:rsidR="006514E2" w:rsidRPr="002F2FDF" w:rsidRDefault="006514E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666CF6" w14:textId="77777777" w:rsidR="006514E2" w:rsidRPr="002F2FDF" w:rsidRDefault="006514E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Во второй половине октября 1917 г., накануне революции, свыше 300 авиационных и воздухоплавательных частей, учреждений и учебных заведений насчитывали в своем составе 35 тыс. солдат и офицеров, что составляло 0,5 % от численности сухопутной армии (7 518 тыс. чел.). На наземные службы в ВВФ приходилось 95 % личного состава. Имелось 295 летчиков-солдат – примерно 15 % от примерно 2000 летчиков и летчиковнаблюдателей (без состава авиашкол) (19566).</w:t>
      </w:r>
    </w:p>
    <w:p w14:paraId="406EE9FE" w14:textId="77777777" w:rsidR="006514E2" w:rsidRPr="002F2FDF" w:rsidRDefault="006514E2" w:rsidP="0083075A">
      <w:pPr>
        <w:spacing w:after="0" w:line="240" w:lineRule="auto"/>
        <w:jc w:val="both"/>
        <w:rPr>
          <w:rFonts w:ascii="Times New Roman" w:hAnsi="Times New Roman" w:cs="Times New Roman"/>
          <w:color w:val="000000" w:themeColor="text1"/>
          <w:sz w:val="16"/>
          <w:szCs w:val="16"/>
        </w:rPr>
      </w:pPr>
    </w:p>
    <w:p w14:paraId="7A1379D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835C1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5FA089" w14:textId="77777777" w:rsidR="00187993" w:rsidRPr="002F2FDF" w:rsidRDefault="0018799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октябре 1917 года в России существовали уже 34 авиапредприятия, на которых трудились до 12 тысяч рабочих. Четырнадцать заводов выпускали самолеты, семь (!) — моторы, три — воздушные винты и лыжи, два — магнето, один — авиаприборы, остальные семь находились в той или иной стадии достройки (20018).</w:t>
      </w:r>
    </w:p>
    <w:p w14:paraId="589EA413" w14:textId="77777777" w:rsidR="00187993" w:rsidRPr="002F2FDF" w:rsidRDefault="00187993" w:rsidP="0083075A">
      <w:pPr>
        <w:spacing w:after="0" w:line="240" w:lineRule="auto"/>
        <w:jc w:val="both"/>
        <w:rPr>
          <w:rFonts w:ascii="Times New Roman" w:hAnsi="Times New Roman" w:cs="Times New Roman"/>
          <w:color w:val="000000" w:themeColor="text1"/>
          <w:sz w:val="16"/>
          <w:szCs w:val="16"/>
        </w:rPr>
      </w:pPr>
    </w:p>
    <w:p w14:paraId="215DDAD9" w14:textId="77777777" w:rsidR="000F5178" w:rsidRPr="002F2FDF" w:rsidRDefault="000F5178"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До октября 1917 на Дуксе успели облетать и отправить на фронт и на склад майскую и июльскую партию из последних заказов от Морского ведомства от 6 мая, 25 июля и 12 сентября 1917 г. на постройку 50 тренировочных «Ньюпоров-Х», 35 истребителей «Ньюпор-XVII» с моторами «Рои» в 110 л.с. и 10 истребителей «Спад-VII» с моторами «Испано-Сюиза» в 150 л.с. Этим ограничилась реальная деятельность «Дукса» для военно-морской авиации России (15464).</w:t>
      </w:r>
    </w:p>
    <w:p w14:paraId="28A17553" w14:textId="77777777" w:rsidR="000F5178" w:rsidRPr="002F2FDF" w:rsidRDefault="000F5178" w:rsidP="0083075A">
      <w:pPr>
        <w:pStyle w:val="2"/>
        <w:spacing w:before="0" w:beforeAutospacing="0" w:after="0" w:afterAutospacing="0"/>
        <w:jc w:val="both"/>
        <w:rPr>
          <w:b w:val="0"/>
          <w:color w:val="000000" w:themeColor="text1"/>
          <w:kern w:val="2"/>
          <w:sz w:val="16"/>
          <w:szCs w:val="16"/>
        </w:rPr>
      </w:pPr>
    </w:p>
    <w:p w14:paraId="551EB7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1917 г. Начальник УВВФ писал военному министру: “Лучшей системы аппараты, обслуживающие Западный фронт (“Спады”, “Сопвичи”) и предназначенные к постройке на русских заводах при наличии всех средств по выполнению их, не могут быть построены только потому, что нет моторов; а когда же моторы будут готовы, тогда аппараты названных систем уже устареют” (9705).</w:t>
      </w:r>
    </w:p>
    <w:p w14:paraId="166D25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5114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1917 г. начальник УВВФ объяснял в своем докладе военному министру, что заводы, “нарождаясь в тяжелое время войны, как и вся прочая промышленность Отечества, не избежали общей участи разрухи государственного хозяйства, в течение последних 5-6 месяцев организация и оборудование этих заводов почти прекратились, станки и прочие предметы оборудования, заказанные в большинстве случаев за границей, или совсем перестали поступать, или поступление это было столь ничтожно, что окончание оборудования заводов приняло характер хронической неопределенности” (9747).</w:t>
      </w:r>
    </w:p>
    <w:p w14:paraId="659D8D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47CF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1917 г. Начальник УВВФ вынужден был признать, что “отсутствие моторов не только уменьшает производительность аэропланостроительных заводов, но в корень расстраивает ее и лишает возможности идти в этой области вперед, так как понятно, что, получая часть моторов из-за границы, наши заводы принуждены выполнять такие аппараты, которые за границей уже являются отсталыми”. Таким образом, двигатели устаревших типов, которые союзники сбывали в Россию, предопределяли выпуск военных самолетов отсталых типов. Россия отставала в производстве двигателей и от своих союзников, и от противника (9747).</w:t>
      </w:r>
    </w:p>
    <w:p w14:paraId="25F1B0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0966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1917 построенный в течение 1916-1917 гг. таганрогский авиационный завод накануне революции становится самым большим авиационным предприятием России по производственной площади, которая в то время составляла 13826 м2. У нового предприятия были хорошие перспективы для дальнейшего развития. Рядом были угольные шахты Донбасса, сам Таганрог располагал морским портом и был связан с центральной Россией железной дорогой. В городе работал большой по тем временам металлургический завод, а рядом с лебедевским заводом разместился недавно эвакуированный из Ревеля (ныне Таллина) мощный Русско-Балтийский завод, который уже построил свою крупную теплоэлектростанцию и проложил железнодорожную ветку, соединяющую завод и с морским портом, и с железнодорожной станцией.</w:t>
      </w:r>
    </w:p>
    <w:p w14:paraId="37A8DC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Новый самолетостроительный завод первоначально предназначался специально для постройки сухопутных самолетов, но в перспективе планировалось заняться и гидросамолетостроением.</w:t>
      </w:r>
    </w:p>
    <w:p w14:paraId="642B3D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Строительство капитальных кирпичных производственные зданий шло быстро и уже в начале 1917 г. на завод стали завозить закупленные в разных местах, в том числе и за границей современное оборудование, станки, механизмы, а также различные приборы, агрегаты и авиаматериалы для развертывания серийного строительства аэропланов.</w:t>
      </w:r>
    </w:p>
    <w:p w14:paraId="69F183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Первыми были построены главный корпус и помещение для малярных работ. Главный корпус состоял из восьми отдельных мастерских, расположенных под одной крышей, где потом шла сборка самолетов, установка на них моторов, приборов, механизмов.</w:t>
      </w:r>
    </w:p>
    <w:p w14:paraId="71600F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Были заключены крупные контракты с Главным Управлением Кораблестроения на постройку самолетов "Лебедь XII" и копированию трофейных немецких аппаратов "Фридрихсхафен" FF.33h "Альбатрос". Пока же во вновь возведенных и еще не полностью оснащенных заводских корпусах шла сборка французских самолетов "Вуазеп Ь&gt;, английских "Сопвичей". Сборку производили из уже готовых частей, узлов и агрегатов, покупаемых за границей или доставлявшихся сюда с других заводов фирмы. К октябрю 1917 г. на заводе в производстве было занято свыше 300 рабочих. Однако наступала уже другая эпоха...(12044).</w:t>
      </w:r>
    </w:p>
    <w:p w14:paraId="0D47C4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551C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1917 г. заводу Анатра было заказано 40 учебных самолетов “Кодрон” с двойным управлением. Двигатели и винты для них предоставляло военное ведомство. Стоимость аппарата - 13,5 тыс. руб. Завод рассчитывал сдать самолеты через два месяца партиями по 20 штук, но оформление заказа затянулось, на документе есть пометка: “Решения исполнительной комиссии не последовало”. Исполнительная комиссия находилась при военном министре, и от ее решения зависела судьба заказа на самолеты (9742).</w:t>
      </w:r>
    </w:p>
    <w:p w14:paraId="7D39E1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8DD93A" w14:textId="77777777" w:rsidR="00C27B4B" w:rsidRPr="002F2FDF" w:rsidRDefault="00C27B4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1917 г. Анатра подписала контракт № 101830/29617 на производство полусотни «Двухвосток» для Эскадры воздушных кораблей, который по понятным причинам выполнить не удалось. Пытаясь заинтересовать своим самолетом Морское ведомство, летом 1917 г. Хиони оборудовал опытный экземпляр поплавковым шасси. Но 11 августа машина, управляемая самим конструктором, потерпела аварию при посадке на воду в районе Одессы, что поставило крест на ее морской карьере (12252).</w:t>
      </w:r>
    </w:p>
    <w:p w14:paraId="4CD3502D" w14:textId="77777777" w:rsidR="00C27B4B" w:rsidRPr="002F2FDF" w:rsidRDefault="00C27B4B" w:rsidP="0083075A">
      <w:pPr>
        <w:spacing w:after="0" w:line="240" w:lineRule="auto"/>
        <w:jc w:val="both"/>
        <w:rPr>
          <w:rFonts w:ascii="Times New Roman" w:hAnsi="Times New Roman" w:cs="Times New Roman"/>
          <w:color w:val="000000" w:themeColor="text1"/>
          <w:kern w:val="2"/>
          <w:sz w:val="16"/>
          <w:szCs w:val="16"/>
        </w:rPr>
      </w:pPr>
    </w:p>
    <w:p w14:paraId="61B79A79" w14:textId="77777777" w:rsidR="00C27B4B" w:rsidRPr="002F2FDF" w:rsidRDefault="00C27B4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октября 1917 «Анатра» продолжала сдачу самолетов (правда, довольно вяло), велась переписка с УВВФ о предоставлении кредитов и подписании новых контрактов. Несмотря на провозглашение в ноябре Украинской Народной Республики (УНР), представители фирмы имели сношения лишь с петроградскими властями. Однако подписание перемирия с государствами германского блока и начало мирных переговоров в Бресте вынудило руководство фирмы задуматься о послевоенном будущем. 24 января 1918 г. А. Анатра направил в УВВФ предложение достроить часть находившихся в производстве «Анасалей» в почтовом варианте. Приведенные расчеты показывали, что с полезной нагрузкой 8-10 пудов и одним пилотом самолет сможет преодолеть без посадки 400 км со средней скоростью 130 км/ч. Но 21 марта УВВФ вынесло вердикт: «Ходатайство завода Анатра за несвоевременностью отклонить». Тем не менее, в некоторых советских документах среди самолетов, принятых в 1918 г., фигурируют 4 машины «Анатры» — возможно, в начале года все-таки было сдано несколько «Анасалей». А. Анатра также попытался продать УВВФ остававшиеся на заводе устаревшие «Фарманы» и «Мораны». Однако в начале апреля в Управлении решили отложить проведение такой операции «до выяснения ситуации с эвакуацией предприятия». И все же нельзя исключить, что из 88 «Фарманов», принятых в 1918 г. советской авиацией, часть была выпущена в Одессе (12252).</w:t>
      </w:r>
    </w:p>
    <w:p w14:paraId="5BAE02C6" w14:textId="77777777" w:rsidR="00C27B4B" w:rsidRPr="002F2FDF" w:rsidRDefault="00C27B4B" w:rsidP="0083075A">
      <w:pPr>
        <w:spacing w:after="0" w:line="240" w:lineRule="auto"/>
        <w:jc w:val="both"/>
        <w:rPr>
          <w:rFonts w:ascii="Times New Roman" w:hAnsi="Times New Roman" w:cs="Times New Roman"/>
          <w:color w:val="000000" w:themeColor="text1"/>
          <w:kern w:val="2"/>
          <w:sz w:val="16"/>
          <w:szCs w:val="16"/>
        </w:rPr>
      </w:pPr>
    </w:p>
    <w:p w14:paraId="3DAD589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октября 1917г из всех проектов морских машин на АИС практическое осуществление получили два: морской торпедоно</w:t>
      </w:r>
      <w:r w:rsidRPr="002F2FDF">
        <w:rPr>
          <w:rFonts w:ascii="Times New Roman" w:hAnsi="Times New Roman" w:cs="Times New Roman"/>
          <w:color w:val="000000" w:themeColor="text1"/>
          <w:kern w:val="2"/>
          <w:sz w:val="16"/>
          <w:szCs w:val="16"/>
        </w:rPr>
        <w:softHyphen/>
        <w:t>сец и морской поплавковый разведчик. Морской разведчик “Аист” - двухместный биплан на поплавковом шасси с двигателем “Сенбим” в 150 л.с. Расчетная скорость 150 км/час.</w:t>
      </w:r>
    </w:p>
    <w:p w14:paraId="3E2BAF6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Примечательно, что в Адмиралтействе был построен опытный бас</w:t>
      </w:r>
      <w:r w:rsidRPr="002F2FDF">
        <w:rPr>
          <w:rFonts w:ascii="Times New Roman" w:hAnsi="Times New Roman" w:cs="Times New Roman"/>
          <w:color w:val="000000" w:themeColor="text1"/>
          <w:kern w:val="2"/>
          <w:sz w:val="16"/>
          <w:szCs w:val="16"/>
        </w:rPr>
        <w:softHyphen/>
        <w:t>сейн, в котором впервые в мире проводилось моделирование различных ситуаций. В частности, в нем определялись характеристики поплавков разведчика “Аист”. Этот самолёт был полностью построен, но... октябрь 1917 г. приостановил и эти испытательные работы. Несмотря на трудности политического и экономического порядка испытательные полеты некоторое время продолжались в Петрограде: сухопутных аэропланов - на Главном аэродроме у 4-й версты Варшавской ж.д.; морских - на Опытном аэродроме АИС, что на Крестовском острове. Неблагоприятные погодные условия значительно тормозили проведение испытаний (11425).</w:t>
      </w:r>
    </w:p>
    <w:p w14:paraId="2CF5F95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70FB22" w14:textId="77777777" w:rsidR="009B4F0E" w:rsidRPr="00FB4F67" w:rsidRDefault="009B4F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октябре 1917 г. было расформировано конструкторское бюро на Крестовском острове при АИС в Пе</w:t>
      </w:r>
      <w:r w:rsidRPr="00FB4F67">
        <w:rPr>
          <w:rFonts w:ascii="Times New Roman" w:hAnsi="Times New Roman" w:cs="Times New Roman"/>
          <w:color w:val="0070C0"/>
          <w:sz w:val="16"/>
          <w:szCs w:val="16"/>
        </w:rPr>
        <w:softHyphen/>
        <w:t>тербурге. Конструкторское бюро АИС, во главе которого стояли морские инженеры П.А. Шишков и Б.Л. Сушенков под</w:t>
      </w:r>
      <w:r w:rsidRPr="00FB4F67">
        <w:rPr>
          <w:rFonts w:ascii="Times New Roman" w:hAnsi="Times New Roman" w:cs="Times New Roman"/>
          <w:color w:val="0070C0"/>
          <w:sz w:val="16"/>
          <w:szCs w:val="16"/>
        </w:rPr>
        <w:softHyphen/>
        <w:t>товило и частично реализовало ряд проек</w:t>
      </w:r>
      <w:r w:rsidRPr="00FB4F67">
        <w:rPr>
          <w:rFonts w:ascii="Times New Roman" w:hAnsi="Times New Roman" w:cs="Times New Roman"/>
          <w:color w:val="0070C0"/>
          <w:sz w:val="16"/>
          <w:szCs w:val="16"/>
        </w:rPr>
        <w:softHyphen/>
        <w:t>тов гидросамолетов и летающих лодок во</w:t>
      </w:r>
      <w:r w:rsidRPr="00FB4F67">
        <w:rPr>
          <w:rFonts w:ascii="Times New Roman" w:hAnsi="Times New Roman" w:cs="Times New Roman"/>
          <w:color w:val="0070C0"/>
          <w:sz w:val="16"/>
          <w:szCs w:val="16"/>
        </w:rPr>
        <w:softHyphen/>
        <w:t>енного назначения (23374).</w:t>
      </w:r>
    </w:p>
    <w:p w14:paraId="615F1C9E" w14:textId="77777777" w:rsidR="009B4F0E" w:rsidRPr="00FB4F67" w:rsidRDefault="009B4F0E" w:rsidP="0083075A">
      <w:pPr>
        <w:spacing w:after="0" w:line="240" w:lineRule="auto"/>
        <w:jc w:val="both"/>
        <w:rPr>
          <w:rFonts w:ascii="Times New Roman" w:hAnsi="Times New Roman" w:cs="Times New Roman"/>
          <w:color w:val="0070C0"/>
          <w:sz w:val="16"/>
          <w:szCs w:val="16"/>
        </w:rPr>
      </w:pPr>
    </w:p>
    <w:p w14:paraId="736C159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или сентябре 1917 прекратили после сдачи 98 двигателей сборку французского «Рено» в 220 л.с. Согласно же докладу начальника Управления ВВС П.И. Баранова Рев</w:t>
      </w:r>
      <w:r w:rsidRPr="002F2FDF">
        <w:rPr>
          <w:rFonts w:ascii="Times New Roman" w:hAnsi="Times New Roman" w:cs="Times New Roman"/>
          <w:color w:val="000000" w:themeColor="text1"/>
          <w:kern w:val="2"/>
          <w:sz w:val="16"/>
          <w:szCs w:val="16"/>
        </w:rPr>
        <w:softHyphen/>
        <w:t xml:space="preserve">военсовету, сделанном в начале 1929 г., французский «Рено» в 220 л.с. выпускался по январь 1918 г. </w:t>
      </w:r>
      <w:r w:rsidRPr="002F2FDF">
        <w:rPr>
          <w:rFonts w:ascii="Times New Roman" w:hAnsi="Times New Roman" w:cs="Times New Roman"/>
          <w:color w:val="000000" w:themeColor="text1"/>
          <w:kern w:val="2"/>
          <w:sz w:val="16"/>
          <w:szCs w:val="16"/>
          <w:lang w:val="en-US"/>
        </w:rPr>
        <w:t>c</w:t>
      </w:r>
      <w:r w:rsidRPr="002F2FDF">
        <w:rPr>
          <w:rFonts w:ascii="Times New Roman" w:hAnsi="Times New Roman" w:cs="Times New Roman"/>
          <w:color w:val="000000" w:themeColor="text1"/>
          <w:kern w:val="2"/>
          <w:sz w:val="16"/>
          <w:szCs w:val="16"/>
        </w:rPr>
        <w:t xml:space="preserve"> июля 1916 г. Эти двигатели собирались из импортных де</w:t>
      </w:r>
      <w:r w:rsidRPr="002F2FDF">
        <w:rPr>
          <w:rFonts w:ascii="Times New Roman" w:hAnsi="Times New Roman" w:cs="Times New Roman"/>
          <w:color w:val="000000" w:themeColor="text1"/>
          <w:kern w:val="2"/>
          <w:sz w:val="16"/>
          <w:szCs w:val="16"/>
        </w:rPr>
        <w:softHyphen/>
        <w:t>талей Автомобильно-экипажными мастерскими общества «Русский Рено» в Петрограде, которое получило заказ на 150 моторов этого типа. Возможно, что М-3 в советское время не производился, а только эксплуа</w:t>
      </w:r>
      <w:r w:rsidRPr="002F2FDF">
        <w:rPr>
          <w:rFonts w:ascii="Times New Roman" w:hAnsi="Times New Roman" w:cs="Times New Roman"/>
          <w:color w:val="000000" w:themeColor="text1"/>
          <w:kern w:val="2"/>
          <w:sz w:val="16"/>
          <w:szCs w:val="16"/>
        </w:rPr>
        <w:softHyphen/>
        <w:t>тировался и ремонтировался.</w:t>
      </w:r>
    </w:p>
    <w:p w14:paraId="148418A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М-3</w:t>
      </w:r>
    </w:p>
    <w:p w14:paraId="2AB32C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Именовался также «Рено-220». Французские моторы Рено </w:t>
      </w:r>
      <w:r w:rsidRPr="002F2FDF">
        <w:rPr>
          <w:rFonts w:ascii="Times New Roman" w:hAnsi="Times New Roman" w:cs="Times New Roman"/>
          <w:color w:val="000000" w:themeColor="text1"/>
          <w:kern w:val="2"/>
          <w:sz w:val="16"/>
          <w:szCs w:val="16"/>
          <w:lang w:val="en-US"/>
        </w:rPr>
        <w:t>W</w:t>
      </w:r>
      <w:r w:rsidRPr="002F2FDF">
        <w:rPr>
          <w:rFonts w:ascii="Times New Roman" w:hAnsi="Times New Roman" w:cs="Times New Roman"/>
          <w:color w:val="000000" w:themeColor="text1"/>
          <w:kern w:val="2"/>
          <w:sz w:val="16"/>
          <w:szCs w:val="16"/>
        </w:rPr>
        <w:t>С соби</w:t>
      </w:r>
      <w:r w:rsidRPr="002F2FDF">
        <w:rPr>
          <w:rFonts w:ascii="Times New Roman" w:hAnsi="Times New Roman" w:cs="Times New Roman"/>
          <w:color w:val="000000" w:themeColor="text1"/>
          <w:kern w:val="2"/>
          <w:sz w:val="16"/>
          <w:szCs w:val="16"/>
        </w:rPr>
        <w:softHyphen/>
        <w:t>рались из импортных деталей Автомобильно-экипажными мастерскими общества «Русский Рено» в Петрограде. К сентябрю 1917 г. изготовлено 98 экз. из заказанной партии в 150 моторов.</w:t>
      </w:r>
    </w:p>
    <w:p w14:paraId="36C1855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дальнейшем предполагалось освоение усовершенствованного варианта двигателя с алюминиевыми поршнями (вместо чугунных) с доведением мощности до 280 л.с.</w:t>
      </w:r>
    </w:p>
    <w:p w14:paraId="39259CE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Характеристики:</w:t>
      </w:r>
    </w:p>
    <w:p w14:paraId="7300D6C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12-цшиндровый, рядный У-образный, безредукторный;</w:t>
      </w:r>
    </w:p>
    <w:p w14:paraId="023D7FF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диаметр цилиндра/ход поршня 125/150 мм;</w:t>
      </w:r>
    </w:p>
    <w:p w14:paraId="0C630C9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мощность 220/225 л.с.;</w:t>
      </w:r>
    </w:p>
    <w:p w14:paraId="4EE59E0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вес 367 кг.</w:t>
      </w:r>
    </w:p>
    <w:p w14:paraId="59EC0F0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Устанавливался на самолетах «Илья Муромец» серий «В» и «Г» (11582).</w:t>
      </w:r>
    </w:p>
    <w:p w14:paraId="50088B2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D03A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1917 года завод Дека в Александровске выпустил и успешно провел испытания первых двух двигателей типа “Мерседес”.</w:t>
      </w:r>
    </w:p>
    <w:p w14:paraId="3954C1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полной консаервации завод был с 1918 по 1920 гг. В декабре 1920 года была проведена национализация завода ДЕКА и он был передан в ГУВП при ВСНХ РСФСР. Завод был переименован в Государственный авиазавод № 9 им. “Большевик” (ГАЗ-9). Управляющим завода был назначен Старов П.Г., гл. конструктором Иконников Б.М. В 1920 году завод производил запчасти к двигателям “Рон”. В 1922 году Александровск был переименован в Запорожье. В 1923 году, находясь в системе НКТП ГАЗ-9 полностью был снят с консервации и приступил к самостоятельному производству авиадвигателей. В июле 1924 года были поставлены на заводские испытания первые самостоятельно построенные два двигателя типа “Испано-Сюиза”. В процессе испытания выявился рад дефектов, над устранением которых завод работал еще почти целый год. Благодаря проведенной заводом работе по устранению дефектов, выявленных при первых заводских испытаниях, завод в августе 1925 года смог изготовить двигатель новой серии, который успешно прошел госиспытания на самолете, был принят в серийное производство и вместо “Испано-Сюиза” получил название М-6. В июле 1925 года должность управляющего была переименована на должность директора завода. Первым директором был назначен Старов П.Г. В 1926 году завод начал мелкосерийный выпуск двигателей М-6. До конца года было выпущено и сдано в эксплуатацию 42 машины, а за весь период мелкосерийного производства вплоть до 1932 года завод выпустил 346 двигателей М-6. В марте 1926 года директором завода был назначен Мартыненко С.П. В декабре 1927 года завод был переименован в завод № 29. Одновременно гл. конструктором был назначен Назаров Е.Т. 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03985C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07245E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w:t>
      </w:r>
    </w:p>
    <w:p w14:paraId="193AD8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018109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4E67AB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7A289A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02B5D8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154BA2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119CEA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Адрес: Омск, Б. Хмельницкого – 281, п/я 64</w:t>
      </w:r>
    </w:p>
    <w:p w14:paraId="4BDBA6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44A0C2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5906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октябре 1917 г. успехи радиотехники заставили военное ведомство категорически потребовать от заводов, чтобы все строящиеся аэропланы, кроме истребителей, были “приспособлены к установке на них станций беспроволочного телеграфа”. Чтобы реализовать это требование, всячески саботировавшееся отдельными заводами, необходимо было обеспечить самолету достаточную электрическую емкость (противовес). Без ее создания была немыслима правильная работа радиостанции. Это означало, что для самолетов, у которых лонжероны крыльев и фюзеляжа (или хвостовой коробки) металлические, представляющие собой достаточную электрическую </w:t>
      </w:r>
      <w:r w:rsidRPr="002F2FDF">
        <w:rPr>
          <w:rFonts w:ascii="Times New Roman" w:hAnsi="Times New Roman" w:cs="Times New Roman"/>
          <w:color w:val="000000" w:themeColor="text1"/>
          <w:kern w:val="2"/>
          <w:sz w:val="16"/>
          <w:szCs w:val="16"/>
        </w:rPr>
        <w:lastRenderedPageBreak/>
        <w:t>емкость, необходимо, чтобы все металлические части в местах соприкосновения друг с другом не были окрашены или смазаны. Практически приходилось для обеспечения контакта создавать дополнительные соединения при помощи медного или бронзового проводника (“Фарман-27”, “-30”, “Вуазен”). В самолетах с деревянными лонжеронами прокладывались бронзовые или медные канатики в 2-3 мм толщиною, которые находились в соединении со всеми металлическими частями самолета. Такие приспособления устанавливались на самолетах “Лебедь-12”, “Анатра-Д”, “Моран-Парасоль” и др. Все это очень усложняло производство аппаратов корпусного типа (9705).</w:t>
      </w:r>
    </w:p>
    <w:p w14:paraId="006575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5C899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апреля 1916 г. и по октябрь 1917 г. военно-морские силы приобрели по крайней мере 212 летающих лодок типа М-9, служивших на Черном море (не менее 102 аппаратов, плюс запасные), на Балтике (не менее 86, плюс запасные) и в школах (не менее 5). Таким образом, общий парк данной модели оказался самым многочисленным среди всех прочих (2807).</w:t>
      </w:r>
    </w:p>
    <w:p w14:paraId="2C16D24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контрактах на аппараты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2B1C74" w:rsidRPr="002F2FDF" w14:paraId="251FE438" w14:textId="77777777">
        <w:tc>
          <w:tcPr>
            <w:tcW w:w="3192" w:type="dxa"/>
            <w:tcBorders>
              <w:top w:val="single" w:sz="12" w:space="0" w:color="auto"/>
            </w:tcBorders>
            <w:shd w:val="clear" w:color="auto" w:fill="FFFFFF"/>
          </w:tcPr>
          <w:p w14:paraId="028EAC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Дата контракта</w:t>
            </w:r>
          </w:p>
        </w:tc>
        <w:tc>
          <w:tcPr>
            <w:tcW w:w="3192" w:type="dxa"/>
            <w:tcBorders>
              <w:top w:val="single" w:sz="12" w:space="0" w:color="auto"/>
            </w:tcBorders>
            <w:shd w:val="clear" w:color="auto" w:fill="FFFFFF"/>
          </w:tcPr>
          <w:p w14:paraId="367DF8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заказанных аэропланов</w:t>
            </w:r>
          </w:p>
        </w:tc>
        <w:tc>
          <w:tcPr>
            <w:tcW w:w="3192" w:type="dxa"/>
            <w:tcBorders>
              <w:top w:val="single" w:sz="12" w:space="0" w:color="auto"/>
            </w:tcBorders>
            <w:shd w:val="clear" w:color="auto" w:fill="FFFFFF"/>
          </w:tcPr>
          <w:p w14:paraId="19B08D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Условия</w:t>
            </w:r>
          </w:p>
        </w:tc>
      </w:tr>
      <w:tr w:rsidR="002B1C74" w:rsidRPr="002F2FDF" w14:paraId="461F6A0F" w14:textId="77777777">
        <w:tc>
          <w:tcPr>
            <w:tcW w:w="3192" w:type="dxa"/>
            <w:shd w:val="clear" w:color="auto" w:fill="FFFFFF"/>
          </w:tcPr>
          <w:p w14:paraId="538310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Февраль 10 1916</w:t>
            </w:r>
          </w:p>
        </w:tc>
        <w:tc>
          <w:tcPr>
            <w:tcW w:w="3192" w:type="dxa"/>
            <w:shd w:val="clear" w:color="auto" w:fill="FFFFFF"/>
          </w:tcPr>
          <w:p w14:paraId="661E29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c>
          <w:tcPr>
            <w:tcW w:w="3192" w:type="dxa"/>
            <w:shd w:val="clear" w:color="auto" w:fill="FFFFFF"/>
          </w:tcPr>
          <w:p w14:paraId="2E2E6D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выполнен в период с 16 апреля по 10 августа 1916 г.</w:t>
            </w:r>
          </w:p>
        </w:tc>
      </w:tr>
      <w:tr w:rsidR="002B1C74" w:rsidRPr="002F2FDF" w14:paraId="51744FF4" w14:textId="77777777">
        <w:tc>
          <w:tcPr>
            <w:tcW w:w="3192" w:type="dxa"/>
            <w:shd w:val="clear" w:color="auto" w:fill="FFFFFF"/>
          </w:tcPr>
          <w:p w14:paraId="3E348D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 1 1916</w:t>
            </w:r>
          </w:p>
        </w:tc>
        <w:tc>
          <w:tcPr>
            <w:tcW w:w="3192" w:type="dxa"/>
            <w:shd w:val="clear" w:color="auto" w:fill="FFFFFF"/>
          </w:tcPr>
          <w:p w14:paraId="01368E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w:t>
            </w:r>
          </w:p>
        </w:tc>
        <w:tc>
          <w:tcPr>
            <w:tcW w:w="3192" w:type="dxa"/>
            <w:shd w:val="clear" w:color="auto" w:fill="FFFFFF"/>
          </w:tcPr>
          <w:p w14:paraId="25087B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тыс. руб. за аппарат без мотора, срок исполнения июнь-август 1916 г. (выполнен к маю 1917 г.)</w:t>
            </w:r>
          </w:p>
        </w:tc>
      </w:tr>
      <w:tr w:rsidR="002B1C74" w:rsidRPr="002F2FDF" w14:paraId="6FABD03B" w14:textId="77777777">
        <w:tc>
          <w:tcPr>
            <w:tcW w:w="3192" w:type="dxa"/>
            <w:shd w:val="clear" w:color="auto" w:fill="FFFFFF"/>
          </w:tcPr>
          <w:p w14:paraId="762C27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 16 1916</w:t>
            </w:r>
          </w:p>
        </w:tc>
        <w:tc>
          <w:tcPr>
            <w:tcW w:w="3192" w:type="dxa"/>
            <w:shd w:val="clear" w:color="auto" w:fill="FFFFFF"/>
          </w:tcPr>
          <w:p w14:paraId="1704C7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3192" w:type="dxa"/>
            <w:shd w:val="clear" w:color="auto" w:fill="FFFFFF"/>
          </w:tcPr>
          <w:p w14:paraId="2D60A5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тыс. руб. за аппарат без мотора, срок исполнения июль-август 1916 г. (выполнен к 11 июля 1917 г.)</w:t>
            </w:r>
          </w:p>
        </w:tc>
      </w:tr>
      <w:tr w:rsidR="002B1C74" w:rsidRPr="002F2FDF" w14:paraId="4CDF763E" w14:textId="77777777">
        <w:tc>
          <w:tcPr>
            <w:tcW w:w="3192" w:type="dxa"/>
            <w:shd w:val="clear" w:color="auto" w:fill="FFFFFF"/>
          </w:tcPr>
          <w:p w14:paraId="2D6061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 7 1916</w:t>
            </w:r>
          </w:p>
        </w:tc>
        <w:tc>
          <w:tcPr>
            <w:tcW w:w="3192" w:type="dxa"/>
            <w:shd w:val="clear" w:color="auto" w:fill="FFFFFF"/>
          </w:tcPr>
          <w:p w14:paraId="657D75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15+5</w:t>
            </w:r>
          </w:p>
        </w:tc>
        <w:tc>
          <w:tcPr>
            <w:tcW w:w="3192" w:type="dxa"/>
            <w:shd w:val="clear" w:color="auto" w:fill="FFFFFF"/>
          </w:tcPr>
          <w:p w14:paraId="190190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тыс. 650 руб. за запасной аппарат, срок исполнения 10 сентября 1916 г. (выполнен весной 1917 г.)</w:t>
            </w:r>
          </w:p>
          <w:p w14:paraId="6C0312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первоначальный заказ на 15 аппаратов дополнен потом еще 5 машинами</w:t>
            </w:r>
          </w:p>
        </w:tc>
      </w:tr>
      <w:tr w:rsidR="002B1C74" w:rsidRPr="002F2FDF" w14:paraId="363B94A7" w14:textId="77777777">
        <w:tc>
          <w:tcPr>
            <w:tcW w:w="3192" w:type="dxa"/>
            <w:shd w:val="clear" w:color="auto" w:fill="FFFFFF"/>
          </w:tcPr>
          <w:p w14:paraId="33C7F8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 17 1917</w:t>
            </w:r>
          </w:p>
        </w:tc>
        <w:tc>
          <w:tcPr>
            <w:tcW w:w="3192" w:type="dxa"/>
            <w:shd w:val="clear" w:color="auto" w:fill="FFFFFF"/>
          </w:tcPr>
          <w:p w14:paraId="19940C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20+5</w:t>
            </w:r>
          </w:p>
        </w:tc>
        <w:tc>
          <w:tcPr>
            <w:tcW w:w="3192" w:type="dxa"/>
            <w:shd w:val="clear" w:color="auto" w:fill="FFFFFF"/>
          </w:tcPr>
          <w:p w14:paraId="5FB177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боевых и 5 запасных аппаратов; заказ выполнен к 17 сентября 1917 г.</w:t>
            </w:r>
          </w:p>
        </w:tc>
      </w:tr>
      <w:tr w:rsidR="002B1C74" w:rsidRPr="002F2FDF" w14:paraId="46413B99" w14:textId="77777777">
        <w:tc>
          <w:tcPr>
            <w:tcW w:w="3192" w:type="dxa"/>
            <w:shd w:val="clear" w:color="auto" w:fill="FFFFFF"/>
          </w:tcPr>
          <w:p w14:paraId="26C29A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 27 1917</w:t>
            </w:r>
          </w:p>
        </w:tc>
        <w:tc>
          <w:tcPr>
            <w:tcW w:w="3192" w:type="dxa"/>
            <w:shd w:val="clear" w:color="auto" w:fill="FFFFFF"/>
          </w:tcPr>
          <w:p w14:paraId="12BDF1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w:t>
            </w:r>
          </w:p>
        </w:tc>
        <w:tc>
          <w:tcPr>
            <w:tcW w:w="3192" w:type="dxa"/>
            <w:shd w:val="clear" w:color="auto" w:fill="FFFFFF"/>
          </w:tcPr>
          <w:p w14:paraId="1BE4BE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тыс. руб. за аппарат под мотор “Сальмсон” или “Санбим” 150 л. с., срок исполнения с 1 декабря 1917 г. по 1 марта 1918 г. (расторг</w:t>
            </w:r>
            <w:r w:rsidRPr="002F2FDF">
              <w:rPr>
                <w:rFonts w:ascii="Times New Roman" w:hAnsi="Times New Roman" w:cs="Times New Roman"/>
                <w:color w:val="000000" w:themeColor="text1"/>
                <w:kern w:val="2"/>
                <w:sz w:val="16"/>
                <w:szCs w:val="16"/>
              </w:rPr>
              <w:softHyphen/>
              <w:t>нут 2 ноября 1917 г.)</w:t>
            </w:r>
          </w:p>
          <w:p w14:paraId="317DE8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условный заказ, данный компании Ф. Мельцера в Петрограде</w:t>
            </w:r>
          </w:p>
        </w:tc>
      </w:tr>
      <w:tr w:rsidR="002B1C74" w:rsidRPr="002F2FDF" w14:paraId="4A01040F" w14:textId="77777777">
        <w:tc>
          <w:tcPr>
            <w:tcW w:w="3192" w:type="dxa"/>
            <w:shd w:val="clear" w:color="auto" w:fill="FFFFFF"/>
          </w:tcPr>
          <w:p w14:paraId="4F9845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 29 1917</w:t>
            </w:r>
          </w:p>
        </w:tc>
        <w:tc>
          <w:tcPr>
            <w:tcW w:w="3192" w:type="dxa"/>
            <w:shd w:val="clear" w:color="auto" w:fill="FFFFFF"/>
          </w:tcPr>
          <w:p w14:paraId="1FA8A5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3192" w:type="dxa"/>
            <w:shd w:val="clear" w:color="auto" w:fill="FFFFFF"/>
          </w:tcPr>
          <w:p w14:paraId="23D553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запасных аппаратов; возможно, тот же контракт от 17 апреля 1917 г.</w:t>
            </w:r>
          </w:p>
        </w:tc>
      </w:tr>
      <w:tr w:rsidR="002B1C74" w:rsidRPr="002F2FDF" w14:paraId="356763F7" w14:textId="77777777">
        <w:tc>
          <w:tcPr>
            <w:tcW w:w="3192" w:type="dxa"/>
            <w:shd w:val="clear" w:color="auto" w:fill="FFFFFF"/>
          </w:tcPr>
          <w:p w14:paraId="24059B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 26 1917</w:t>
            </w:r>
          </w:p>
        </w:tc>
        <w:tc>
          <w:tcPr>
            <w:tcW w:w="3192" w:type="dxa"/>
            <w:shd w:val="clear" w:color="auto" w:fill="FFFFFF"/>
          </w:tcPr>
          <w:p w14:paraId="0623A9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w:t>
            </w:r>
          </w:p>
        </w:tc>
        <w:tc>
          <w:tcPr>
            <w:tcW w:w="3192" w:type="dxa"/>
            <w:shd w:val="clear" w:color="auto" w:fill="FFFFFF"/>
          </w:tcPr>
          <w:p w14:paraId="212577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тыс. руб. за аппарат без мотора (цена могла меняться из-за инфляции), срок исполнения 20 июня 1917 г. (вероятно, частично выполнен до 1918 г.) ПРИМЕЧАНИЯ: по другим данным, контракт заключен 14 июня 1917 г.</w:t>
            </w:r>
          </w:p>
        </w:tc>
      </w:tr>
      <w:tr w:rsidR="002B1C74" w:rsidRPr="002F2FDF" w14:paraId="5871EB18" w14:textId="77777777">
        <w:tc>
          <w:tcPr>
            <w:tcW w:w="3192" w:type="dxa"/>
            <w:tcBorders>
              <w:bottom w:val="single" w:sz="12" w:space="0" w:color="auto"/>
            </w:tcBorders>
            <w:shd w:val="clear" w:color="auto" w:fill="FFFFFF"/>
          </w:tcPr>
          <w:p w14:paraId="5A72C0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 5 1917</w:t>
            </w:r>
          </w:p>
        </w:tc>
        <w:tc>
          <w:tcPr>
            <w:tcW w:w="3192" w:type="dxa"/>
            <w:tcBorders>
              <w:bottom w:val="single" w:sz="12" w:space="0" w:color="auto"/>
            </w:tcBorders>
            <w:shd w:val="clear" w:color="auto" w:fill="FFFFFF"/>
          </w:tcPr>
          <w:p w14:paraId="7F40FA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w:t>
            </w:r>
          </w:p>
        </w:tc>
        <w:tc>
          <w:tcPr>
            <w:tcW w:w="3192" w:type="dxa"/>
            <w:tcBorders>
              <w:bottom w:val="single" w:sz="12" w:space="0" w:color="auto"/>
            </w:tcBorders>
            <w:shd w:val="clear" w:color="auto" w:fill="FFFFFF"/>
          </w:tcPr>
          <w:p w14:paraId="7AC451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тыс. 500 руб. за аппарат без мотора ПРИМЕЧАНИЯ: серия аппаратов с заводскими номерами 1502-1576 заложена на ПРТВ в сентябре 1917 г., а сам наряд дан, вероятно, от полной безнадежности получить более современные машины</w:t>
            </w:r>
          </w:p>
        </w:tc>
      </w:tr>
    </w:tbl>
    <w:p w14:paraId="2554EC3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F77E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1917 г. на РБМЗ (Русско-Балтийский моторный завод (РБМЗ), Ленинградский механический завод ГУВП ВСНХ /г. Петербург,  г. Ленинград Калашниковская наб. (Васильевский остров)/) Киреевым разработан авиамотор мощностью 600 л.с., после революции работы по нему прекращены.</w:t>
      </w:r>
    </w:p>
    <w:p w14:paraId="42BFEA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1924 г. - в ведении ГУВП ВСНХ.</w:t>
      </w:r>
    </w:p>
    <w:p w14:paraId="578993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1927 г. разработка под руководством А. Г. Дукельского железнодорожных артиллерийских установок: ТМ-1- 14 (356 мм), ТМ-2-12, ТМ-3-12 (305 мм).</w:t>
      </w:r>
    </w:p>
    <w:p w14:paraId="53EF6C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Производство:</w:t>
      </w:r>
      <w:r w:rsidRPr="002F2FDF">
        <w:rPr>
          <w:rFonts w:ascii="Times New Roman" w:hAnsi="Times New Roman" w:cs="Times New Roman"/>
          <w:color w:val="000000" w:themeColor="text1"/>
          <w:kern w:val="2"/>
          <w:sz w:val="16"/>
          <w:szCs w:val="16"/>
        </w:rPr>
        <w:t xml:space="preserve"> авиамотор МБР-6 (1917).</w:t>
      </w:r>
    </w:p>
    <w:p w14:paraId="232E05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85E6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октябрь 1917 г. в России имелось 34 авиазавода, 24 из них были действующими (14 самолетостроительных, 7 моторостроительных, 3 выпускали в/винты и лыжи, 2- магнето, 1- авиаприборы), 7 строились (11982).</w:t>
      </w:r>
    </w:p>
    <w:p w14:paraId="26DCF7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704359" w14:textId="77777777" w:rsidR="009B4F0E" w:rsidRPr="00FB4F67" w:rsidRDefault="009B4F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октябре 1917 г. на «Дукс» изгото</w:t>
      </w:r>
      <w:r w:rsidRPr="00FB4F67">
        <w:rPr>
          <w:rFonts w:ascii="Times New Roman" w:hAnsi="Times New Roman" w:cs="Times New Roman"/>
          <w:color w:val="0070C0"/>
          <w:sz w:val="16"/>
          <w:szCs w:val="16"/>
        </w:rPr>
        <w:softHyphen/>
        <w:t>вили первый экземпляр л/л ВМ-5 Виллиша в соответствии с контрактом от 15 июля 1917 г., второй эк</w:t>
      </w:r>
      <w:r w:rsidRPr="00FB4F67">
        <w:rPr>
          <w:rFonts w:ascii="Times New Roman" w:hAnsi="Times New Roman" w:cs="Times New Roman"/>
          <w:color w:val="0070C0"/>
          <w:sz w:val="16"/>
          <w:szCs w:val="16"/>
        </w:rPr>
        <w:softHyphen/>
        <w:t>земпляр — месяц спустя.</w:t>
      </w:r>
    </w:p>
    <w:p w14:paraId="0ED47292" w14:textId="77777777" w:rsidR="009B4F0E" w:rsidRPr="00FB4F67" w:rsidRDefault="009B4F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Наступившая зима не позволила испы</w:t>
      </w:r>
      <w:r w:rsidRPr="00FB4F67">
        <w:rPr>
          <w:rFonts w:ascii="Times New Roman" w:hAnsi="Times New Roman" w:cs="Times New Roman"/>
          <w:color w:val="0070C0"/>
          <w:sz w:val="16"/>
          <w:szCs w:val="16"/>
        </w:rPr>
        <w:softHyphen/>
        <w:t>тать сразу ни один из этих двух самолетов, последующая неопределенность 1918-го года еще более затянула решение судьбы ВМ-5. Известно, что испытания самолета на лыжном шасси со снятыми боковыми поплавками и реданом состоялись в пери</w:t>
      </w:r>
      <w:r w:rsidRPr="00FB4F67">
        <w:rPr>
          <w:rFonts w:ascii="Times New Roman" w:hAnsi="Times New Roman" w:cs="Times New Roman"/>
          <w:color w:val="0070C0"/>
          <w:sz w:val="16"/>
          <w:szCs w:val="16"/>
        </w:rPr>
        <w:softHyphen/>
        <w:t>од 25—29 марта 1919 г. Каких-либо по</w:t>
      </w:r>
      <w:r w:rsidRPr="00FB4F67">
        <w:rPr>
          <w:rFonts w:ascii="Times New Roman" w:hAnsi="Times New Roman" w:cs="Times New Roman"/>
          <w:color w:val="0070C0"/>
          <w:sz w:val="16"/>
          <w:szCs w:val="16"/>
        </w:rPr>
        <w:softHyphen/>
        <w:t>следствий это событие не имело, дальней</w:t>
      </w:r>
      <w:r w:rsidRPr="00FB4F67">
        <w:rPr>
          <w:rFonts w:ascii="Times New Roman" w:hAnsi="Times New Roman" w:cs="Times New Roman"/>
          <w:color w:val="0070C0"/>
          <w:sz w:val="16"/>
          <w:szCs w:val="16"/>
        </w:rPr>
        <w:softHyphen/>
        <w:t>шая судьба ВМ-5 осталась неясной (23374).</w:t>
      </w:r>
    </w:p>
    <w:p w14:paraId="073BF83A" w14:textId="77777777" w:rsidR="009B4F0E" w:rsidRPr="00FB4F67" w:rsidRDefault="009B4F0E" w:rsidP="0083075A">
      <w:pPr>
        <w:spacing w:after="0" w:line="240" w:lineRule="auto"/>
        <w:jc w:val="both"/>
        <w:rPr>
          <w:rFonts w:ascii="Times New Roman" w:hAnsi="Times New Roman" w:cs="Times New Roman"/>
          <w:color w:val="0070C0"/>
          <w:sz w:val="16"/>
          <w:szCs w:val="16"/>
        </w:rPr>
      </w:pPr>
    </w:p>
    <w:p w14:paraId="22AE6A7E" w14:textId="77777777" w:rsidR="009B4F0E" w:rsidRPr="00FB4F67" w:rsidRDefault="009B4F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октябре 1917 г. представитель Управления Военно-воздушного флота в отношении таганрогского завода Лебедева докладывал: «Главный корпус почти закончен, но еще нет оборудования, поэтому на выпуск самолетов к весне 1918 г. рассчитывать нельзя» (23472).</w:t>
      </w:r>
    </w:p>
    <w:p w14:paraId="183817B4" w14:textId="77777777" w:rsidR="009B4F0E" w:rsidRPr="00FB4F67" w:rsidRDefault="009B4F0E" w:rsidP="0083075A">
      <w:pPr>
        <w:spacing w:after="0" w:line="240" w:lineRule="auto"/>
        <w:jc w:val="both"/>
        <w:rPr>
          <w:rFonts w:ascii="Times New Roman" w:hAnsi="Times New Roman" w:cs="Times New Roman"/>
          <w:color w:val="0070C0"/>
          <w:sz w:val="16"/>
          <w:szCs w:val="16"/>
        </w:rPr>
      </w:pPr>
    </w:p>
    <w:p w14:paraId="3AF20326" w14:textId="77777777" w:rsidR="009B4F0E" w:rsidRPr="00FB4F67" w:rsidRDefault="009B4F0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октябре 1917 г. инспекторы УВВС, посетившие завод Матиаса в Бердянске, признали его наиболее современным по оборудованию среди всех предприятий отрасли. Но руководство завода увязло в проблемах с получением материалов и конфликтах с революционно настроенными рабочими, и до конца 1917 г. акционерное общество «Вдова Матиас и сыновья» не выпустило ни одного самолета (23472).</w:t>
      </w:r>
    </w:p>
    <w:p w14:paraId="716F8977" w14:textId="77777777" w:rsidR="009B4F0E" w:rsidRDefault="009B4F0E" w:rsidP="0083075A">
      <w:pPr>
        <w:spacing w:line="240" w:lineRule="auto"/>
        <w:jc w:val="both"/>
        <w:rPr>
          <w:rFonts w:ascii="Times New Roman" w:hAnsi="Times New Roman" w:cs="Times New Roman"/>
          <w:color w:val="0070C0"/>
          <w:sz w:val="16"/>
          <w:szCs w:val="16"/>
        </w:rPr>
      </w:pPr>
    </w:p>
    <w:p w14:paraId="0619C76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602E8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A7C1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1917 года будущий дзержинский завод им. Свердлова начал выпуск продукции. В 1927 году завод стал носить имя Я.М. Свердлова. В ВОВ каждый второй снаряд и авиабомба, изготовленные в стране, были выпущены с завода им.Свердлова - в месяц выпускалось до 3 млн. снарядов, мин, бомб (9694).</w:t>
      </w:r>
    </w:p>
    <w:p w14:paraId="36BDDE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1F90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октября 1917 г. действовало принятое и опубликованное в 1900 г. "Положение о подрядах и поставках", действовавшее до Положение предусматривало проведение торгов трех типов: изустные торги, торги посредством запечатанных объявлений и смешанные. Изустные торги представляли собой аукцион. В публикуемых приглашениях к торгам через запечатанные объявления указывались день и час, с которого принимались пакеты с предложениями и начинались торги. Казенная цена устанавливалась по заранее составленным сметам, с учетом сведений о ценах в местностях, где предполагалось выполнение госзаказа. Казенная цена представлялась на торги в запечатанном пакете. Если полученные заявки удовлетворяли казенной цене, этот конверт уничтожался невскрытым. Если всем претендентам отказывали в подряде, казенная цена предавалась огласке. Смешанные торги отличались тем, что сначала принимали устные заявления, затем вскрывали конверты с заявками. При утверждении результатов торгов комиссия проверяла соблюдение правил производства дел, соответствие выигравшего претендента установленным требованиям, соотношение между подрядными и средними справочными ценами. При нарушении какого-либо пункта результат торгов мог быть аннулирован. С современных позиций важны два положения, при которых результаты торгов аннулировались:</w:t>
      </w:r>
    </w:p>
    <w:p w14:paraId="2F0132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если объявленные на торгах цены "казне не выгодны";</w:t>
      </w:r>
    </w:p>
    <w:p w14:paraId="5C0C71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в случае переменившихся обстоятельств, когда "самый предмет торга сделался уже ненужным" (11277).</w:t>
      </w:r>
    </w:p>
    <w:p w14:paraId="646201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Революционные события 1917 г. и последовавшая за ними Гражданская война ликвидировали саму необходимость публичных торгов на государственные поставки и подряды. Временное правительство ничего не успело создать. А революционные комитеты вообще не нуждались в подобного рода деятельности, поскольку было отринуто все, построенное и выработанное в государственной организации "старого времени" (11277).</w:t>
      </w:r>
    </w:p>
    <w:p w14:paraId="1ED287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B1FA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октябрь 1917 г с марта 1916 года заводами РАОАЗ было сдано 1442 орудия (фактически ствола) с затворами и 835 лафетов (вместо 2500 полностью готовых комплектов). Единственным предприятием, которое выполнило свою часть заказа, как и подтверждали прогнозы, был завод Лесснера. Результаты работы группы полностью соответствовали общим тенденциям работы русской промышленности в период первой мировой войны, достигшей в 1916 г, пика своей производительности. Но с марта-апреля 1917 г, как и в случае с другими российскими предприятиями, у участников "Группы Царицынского завода" наметилась устойчивая тенденция падения уровня производства пушек, пока с мая не последовал настоящий обвал. Важным этапом в деятельности "группы Виккерс " и Русского акционерного общества артиллерийских заводов стала организация поставок вооружений фирмы &lt;Виккерс&gt; в Россию во время первой мировой войны. Кроме заказов Морского министерства, фирме &lt;Виккерс&gt; в период войны последовали и крупные заказы Военного министерства. При этом Общество получало оговоренное с &lt;Виккерс&gt; вознаграждение. Общее число, заказанных британской фирме орудий - от 40-миллиметровых до самого крупного 16-дюймового, было невелико и составило 237 штук. Кроме этого, заводам Виккерса через РАОАЗ и "группу &lt;Виккерс&gt; было заказано 172 тыс. патронов для зенитных орудий (11448).</w:t>
      </w:r>
    </w:p>
    <w:p w14:paraId="7FEB9C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E6E8DA" w14:textId="77777777" w:rsidR="000F5178" w:rsidRPr="002F2FDF" w:rsidRDefault="000F517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октября 1917 г. из Англии было поставлено не менее десяти 356/52-мм пушек, а ОСЗ не сдал ни одной. Полигонные испытания 356/52-мм пушек были начаты в 1917 г. на специальном полигонном станке Дурляхера. В 1922 г. на ОСЗ хранилось 8 готовых пушек Виккерса и 7 недоделанных орудий ОСЗ, из которых 4 были с готовностью 60% (15117).</w:t>
      </w:r>
    </w:p>
    <w:p w14:paraId="117FAFAA" w14:textId="77777777" w:rsidR="000F5178" w:rsidRPr="002F2FDF" w:rsidRDefault="000F5178" w:rsidP="0083075A">
      <w:pPr>
        <w:spacing w:after="0" w:line="240" w:lineRule="auto"/>
        <w:jc w:val="both"/>
        <w:rPr>
          <w:rFonts w:ascii="Times New Roman" w:hAnsi="Times New Roman" w:cs="Times New Roman"/>
          <w:color w:val="000000" w:themeColor="text1"/>
          <w:kern w:val="2"/>
          <w:sz w:val="16"/>
          <w:szCs w:val="16"/>
        </w:rPr>
      </w:pPr>
    </w:p>
    <w:p w14:paraId="6A82D6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октября 1917 года продолжалось начатое в апреле 1916 г. строительство Сталелитейно-снарядного завода в ст. Каменской.</w:t>
      </w:r>
    </w:p>
    <w:p w14:paraId="387108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этому последнему сроку была выполнена следующая часть работ. Под здание Мартена (площадь 1 дес.) был готов фундамент. Из трех корпусов сверлильно-токарного цеха один окончен, два доведены до крыши и один — до перемычек. Два корпуса инструментального цеха — до потолков. В механической положен цоколь и в управлении — фундамент. Прокатная и молотовая не начаты. </w:t>
      </w:r>
    </w:p>
    <w:p w14:paraId="636B75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Оборудование было в значительной части заказано, причем крупные заказы даны в Англии и Америке. Из заказанного получена лишь небольшая часть предметов оборудования. Строительство завода закончилось в октябре 1917 г. и в 1918 г. было совершенно ликвидировано. </w:t>
      </w:r>
    </w:p>
    <w:p w14:paraId="2C7F89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 сметам 1916 г. стоимость постройки завода оценивалась в 49 млн рублей. </w:t>
      </w:r>
    </w:p>
    <w:p w14:paraId="33C6EF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связи с усилением на время войны мощности старых оружейных заводов — Тульского, Сестрорецкого и Ижевского, а также достройки двух новых — Екатеринославского и 2-го Тульского — естественно возникла необходимость соответствующим образом усилить производство черновых стволов и коробок и оружейной стали для снабжения всех пяти оружейных заводов. Попутно, в связи с развитием артиллерийских заводов других специальностей, также представилось необходимым усилить изготовление высокосортных сталей для взрывателей, щитов орудийных и пулеметных, патронных обойм, инструмента и т.д. </w:t>
      </w:r>
    </w:p>
    <w:p w14:paraId="71CC21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 как сталелитейный отдел Ижевского оружейного завода не мог быть расширен, по техническим причинам, в такой мере, чтобы взять указанные задачи на себя, то ГАУ в начале 1915 г. поставило вопрос перед правительством об устройстве крупного сталелитейного завода. После рассмотрения этого дела в высших инстанциях, в августе 1915 г. постройка этого завода была разрешена.</w:t>
      </w:r>
    </w:p>
    <w:p w14:paraId="3F30FC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Проект завода был составлен по следующему заданию (производительность в год):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04"/>
        <w:gridCol w:w="4080"/>
        <w:gridCol w:w="1584"/>
      </w:tblGrid>
      <w:tr w:rsidR="002B1C74" w:rsidRPr="002F2FDF" w14:paraId="79560C47" w14:textId="77777777">
        <w:tc>
          <w:tcPr>
            <w:tcW w:w="1104" w:type="dxa"/>
            <w:tcBorders>
              <w:top w:val="single" w:sz="12" w:space="0" w:color="auto"/>
            </w:tcBorders>
          </w:tcPr>
          <w:p w14:paraId="554B6E56" w14:textId="21D9D5EF"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080" w:type="dxa"/>
            <w:tcBorders>
              <w:top w:val="single" w:sz="12" w:space="0" w:color="auto"/>
            </w:tcBorders>
          </w:tcPr>
          <w:p w14:paraId="49D4AF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черновых ружейных стволов</w:t>
            </w:r>
          </w:p>
        </w:tc>
        <w:tc>
          <w:tcPr>
            <w:tcW w:w="1584" w:type="dxa"/>
            <w:tcBorders>
              <w:top w:val="single" w:sz="12" w:space="0" w:color="auto"/>
            </w:tcBorders>
          </w:tcPr>
          <w:p w14:paraId="7F65A4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1000 000 шт. </w:t>
            </w:r>
          </w:p>
        </w:tc>
      </w:tr>
      <w:tr w:rsidR="002B1C74" w:rsidRPr="002F2FDF" w14:paraId="44A6181B" w14:textId="77777777">
        <w:tc>
          <w:tcPr>
            <w:tcW w:w="1104" w:type="dxa"/>
          </w:tcPr>
          <w:p w14:paraId="752209E2" w14:textId="00DBA9AD"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080" w:type="dxa"/>
          </w:tcPr>
          <w:p w14:paraId="35E21A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сортового материала для изготовления винтовок</w:t>
            </w:r>
          </w:p>
        </w:tc>
        <w:tc>
          <w:tcPr>
            <w:tcW w:w="1584" w:type="dxa"/>
          </w:tcPr>
          <w:p w14:paraId="3E1848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400 000 пудов </w:t>
            </w:r>
          </w:p>
        </w:tc>
      </w:tr>
      <w:tr w:rsidR="002B1C74" w:rsidRPr="002F2FDF" w14:paraId="41CA0B3C" w14:textId="77777777">
        <w:tc>
          <w:tcPr>
            <w:tcW w:w="1104" w:type="dxa"/>
          </w:tcPr>
          <w:p w14:paraId="32F7ADAF" w14:textId="205812C5"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080" w:type="dxa"/>
          </w:tcPr>
          <w:p w14:paraId="62CEDF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инструментальной стали для оружейных заводов</w:t>
            </w:r>
          </w:p>
        </w:tc>
        <w:tc>
          <w:tcPr>
            <w:tcW w:w="1584" w:type="dxa"/>
          </w:tcPr>
          <w:p w14:paraId="355966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180 000 пудов </w:t>
            </w:r>
          </w:p>
        </w:tc>
      </w:tr>
      <w:tr w:rsidR="002B1C74" w:rsidRPr="002F2FDF" w14:paraId="1A00E392" w14:textId="77777777">
        <w:tc>
          <w:tcPr>
            <w:tcW w:w="1104" w:type="dxa"/>
          </w:tcPr>
          <w:p w14:paraId="7F1DD62F" w14:textId="1B03DA48"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080" w:type="dxa"/>
          </w:tcPr>
          <w:p w14:paraId="36AEBD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инструментальной стали для других заводов</w:t>
            </w:r>
          </w:p>
        </w:tc>
        <w:tc>
          <w:tcPr>
            <w:tcW w:w="1584" w:type="dxa"/>
          </w:tcPr>
          <w:p w14:paraId="68AEEE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100 000 пудов </w:t>
            </w:r>
          </w:p>
        </w:tc>
      </w:tr>
      <w:tr w:rsidR="002B1C74" w:rsidRPr="002F2FDF" w14:paraId="26C1083D" w14:textId="77777777">
        <w:tc>
          <w:tcPr>
            <w:tcW w:w="1104" w:type="dxa"/>
          </w:tcPr>
          <w:p w14:paraId="2F27128F" w14:textId="27C2B705"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080" w:type="dxa"/>
          </w:tcPr>
          <w:p w14:paraId="08FFCC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стали для взрывателей</w:t>
            </w:r>
          </w:p>
        </w:tc>
        <w:tc>
          <w:tcPr>
            <w:tcW w:w="1584" w:type="dxa"/>
          </w:tcPr>
          <w:p w14:paraId="5853ED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150 000 пудов </w:t>
            </w:r>
          </w:p>
        </w:tc>
      </w:tr>
      <w:tr w:rsidR="002B1C74" w:rsidRPr="002F2FDF" w14:paraId="3A735A02" w14:textId="77777777">
        <w:tc>
          <w:tcPr>
            <w:tcW w:w="1104" w:type="dxa"/>
          </w:tcPr>
          <w:p w14:paraId="5665E626" w14:textId="72316C16"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080" w:type="dxa"/>
          </w:tcPr>
          <w:p w14:paraId="1E3B1F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ленточной стали для обойм</w:t>
            </w:r>
          </w:p>
        </w:tc>
        <w:tc>
          <w:tcPr>
            <w:tcW w:w="1584" w:type="dxa"/>
          </w:tcPr>
          <w:p w14:paraId="5D30F6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60 000 пудов </w:t>
            </w:r>
          </w:p>
        </w:tc>
      </w:tr>
      <w:tr w:rsidR="002B1C74" w:rsidRPr="002F2FDF" w14:paraId="78656540" w14:textId="77777777">
        <w:tc>
          <w:tcPr>
            <w:tcW w:w="1104" w:type="dxa"/>
          </w:tcPr>
          <w:p w14:paraId="7650C36F" w14:textId="112E61D1"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080" w:type="dxa"/>
          </w:tcPr>
          <w:p w14:paraId="136668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пулеметных щитов</w:t>
            </w:r>
          </w:p>
        </w:tc>
        <w:tc>
          <w:tcPr>
            <w:tcW w:w="1584" w:type="dxa"/>
          </w:tcPr>
          <w:p w14:paraId="5ACFFE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3 000 пудов </w:t>
            </w:r>
          </w:p>
        </w:tc>
      </w:tr>
      <w:tr w:rsidR="002B1C74" w:rsidRPr="002F2FDF" w14:paraId="41E89DE0" w14:textId="77777777">
        <w:tc>
          <w:tcPr>
            <w:tcW w:w="1104" w:type="dxa"/>
          </w:tcPr>
          <w:p w14:paraId="64EA3605" w14:textId="1CBCBCA5"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080" w:type="dxa"/>
          </w:tcPr>
          <w:p w14:paraId="08273B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щитовых листов для артиллерии</w:t>
            </w:r>
          </w:p>
        </w:tc>
        <w:tc>
          <w:tcPr>
            <w:tcW w:w="1584" w:type="dxa"/>
          </w:tcPr>
          <w:p w14:paraId="642A32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10 000 шт. </w:t>
            </w:r>
          </w:p>
        </w:tc>
      </w:tr>
      <w:tr w:rsidR="002B1C74" w:rsidRPr="002F2FDF" w14:paraId="15887FFF" w14:textId="77777777">
        <w:tc>
          <w:tcPr>
            <w:tcW w:w="1104" w:type="dxa"/>
          </w:tcPr>
          <w:p w14:paraId="13FD7CD5" w14:textId="32773D2E"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080" w:type="dxa"/>
          </w:tcPr>
          <w:p w14:paraId="7EAAC4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различной стали для своего завода</w:t>
            </w:r>
          </w:p>
        </w:tc>
        <w:tc>
          <w:tcPr>
            <w:tcW w:w="1584" w:type="dxa"/>
          </w:tcPr>
          <w:p w14:paraId="784BF8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150 000 пудов </w:t>
            </w:r>
          </w:p>
        </w:tc>
      </w:tr>
      <w:tr w:rsidR="002B1C74" w:rsidRPr="002F2FDF" w14:paraId="5A6EAD5A" w14:textId="77777777">
        <w:tc>
          <w:tcPr>
            <w:tcW w:w="1104" w:type="dxa"/>
            <w:tcBorders>
              <w:bottom w:val="single" w:sz="12" w:space="0" w:color="auto"/>
            </w:tcBorders>
          </w:tcPr>
          <w:p w14:paraId="30A3101C" w14:textId="08A2EF7D"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080" w:type="dxa"/>
            <w:tcBorders>
              <w:bottom w:val="single" w:sz="12" w:space="0" w:color="auto"/>
            </w:tcBorders>
          </w:tcPr>
          <w:p w14:paraId="7AADDE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3-дм фугасных снарядов</w:t>
            </w:r>
          </w:p>
        </w:tc>
        <w:tc>
          <w:tcPr>
            <w:tcW w:w="1584" w:type="dxa"/>
            <w:tcBorders>
              <w:bottom w:val="single" w:sz="12" w:space="0" w:color="auto"/>
            </w:tcBorders>
          </w:tcPr>
          <w:p w14:paraId="7B2BCD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1000 000 шт. </w:t>
            </w:r>
          </w:p>
        </w:tc>
      </w:tr>
    </w:tbl>
    <w:p w14:paraId="62FD35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Намечалось построить семь печей Мартена по 30 т и три электрических печи по 1,5 тонны. Годовое производство мартеновского металла — 5 млн пудов. </w:t>
      </w:r>
    </w:p>
    <w:p w14:paraId="26EA22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Местом для постройки завода была выбрана станция Каменская Области войска Донского. Общая площадь участка составляла 750 десятин, из коих 135 десятин — под завод непосредственно. </w:t>
      </w:r>
    </w:p>
    <w:p w14:paraId="7F48A0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первоначальном проекте, составленном в первые месяцы войны, имелось в виду на Каменском заводе иметь производство только 3-дм снарядов. Так как опыт мировой войны указал на очень большую потребность в снарядах тяжелой артиллерии и изготовление их не было установлено ни на одном из казенных заводов, то ГАУ признало необходимым при Каменском сталелитейном заводе организовать отдел по изготовлению снарядов среднего и крупного калибра. Основное задание этому отделу было — изготовлять в сутки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2B1C74" w:rsidRPr="002F2FDF" w14:paraId="765CA9A7" w14:textId="77777777">
        <w:tc>
          <w:tcPr>
            <w:tcW w:w="1788" w:type="dxa"/>
            <w:tcBorders>
              <w:top w:val="single" w:sz="12" w:space="0" w:color="auto"/>
            </w:tcBorders>
          </w:tcPr>
          <w:p w14:paraId="203C60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6-дм снарядов</w:t>
            </w:r>
          </w:p>
        </w:tc>
        <w:tc>
          <w:tcPr>
            <w:tcW w:w="936" w:type="dxa"/>
            <w:tcBorders>
              <w:top w:val="single" w:sz="12" w:space="0" w:color="auto"/>
            </w:tcBorders>
          </w:tcPr>
          <w:p w14:paraId="47467E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10000 </w:t>
            </w:r>
          </w:p>
        </w:tc>
      </w:tr>
      <w:tr w:rsidR="002B1C74" w:rsidRPr="002F2FDF" w14:paraId="05213D3D" w14:textId="77777777">
        <w:tc>
          <w:tcPr>
            <w:tcW w:w="1788" w:type="dxa"/>
          </w:tcPr>
          <w:p w14:paraId="5BE55B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8-дм снарядов</w:t>
            </w:r>
          </w:p>
        </w:tc>
        <w:tc>
          <w:tcPr>
            <w:tcW w:w="936" w:type="dxa"/>
          </w:tcPr>
          <w:p w14:paraId="0900F7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1000 </w:t>
            </w:r>
          </w:p>
        </w:tc>
      </w:tr>
      <w:tr w:rsidR="002B1C74" w:rsidRPr="002F2FDF" w14:paraId="5DAF7FD8" w14:textId="77777777">
        <w:tc>
          <w:tcPr>
            <w:tcW w:w="1788" w:type="dxa"/>
            <w:tcBorders>
              <w:bottom w:val="single" w:sz="12" w:space="0" w:color="auto"/>
            </w:tcBorders>
          </w:tcPr>
          <w:p w14:paraId="6736ED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11-12-дм снарядов</w:t>
            </w:r>
          </w:p>
        </w:tc>
        <w:tc>
          <w:tcPr>
            <w:tcW w:w="936" w:type="dxa"/>
            <w:tcBorders>
              <w:bottom w:val="single" w:sz="12" w:space="0" w:color="auto"/>
            </w:tcBorders>
          </w:tcPr>
          <w:p w14:paraId="41405F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w:t>
            </w:r>
          </w:p>
        </w:tc>
      </w:tr>
    </w:tbl>
    <w:p w14:paraId="30C862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Дополнительные расходы, вызываемые сооружением снарядного отдела, выражались в следующих цифрах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2B1C74" w:rsidRPr="002F2FDF" w14:paraId="14A560A0" w14:textId="77777777">
        <w:tc>
          <w:tcPr>
            <w:tcW w:w="1788" w:type="dxa"/>
            <w:tcBorders>
              <w:top w:val="single" w:sz="12" w:space="0" w:color="auto"/>
            </w:tcBorders>
          </w:tcPr>
          <w:p w14:paraId="12860A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строительные работы</w:t>
            </w:r>
          </w:p>
        </w:tc>
        <w:tc>
          <w:tcPr>
            <w:tcW w:w="936" w:type="dxa"/>
            <w:tcBorders>
              <w:top w:val="single" w:sz="12" w:space="0" w:color="auto"/>
            </w:tcBorders>
          </w:tcPr>
          <w:p w14:paraId="3B4657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42,5 </w:t>
            </w:r>
          </w:p>
        </w:tc>
      </w:tr>
      <w:tr w:rsidR="002B1C74" w:rsidRPr="002F2FDF" w14:paraId="2CCEF290" w14:textId="77777777">
        <w:tc>
          <w:tcPr>
            <w:tcW w:w="1788" w:type="dxa"/>
          </w:tcPr>
          <w:p w14:paraId="27789B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механические работы</w:t>
            </w:r>
          </w:p>
        </w:tc>
        <w:tc>
          <w:tcPr>
            <w:tcW w:w="936" w:type="dxa"/>
          </w:tcPr>
          <w:p w14:paraId="58F0E6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93,5 </w:t>
            </w:r>
          </w:p>
        </w:tc>
      </w:tr>
      <w:tr w:rsidR="002B1C74" w:rsidRPr="002F2FDF" w14:paraId="1A867E45" w14:textId="77777777">
        <w:tc>
          <w:tcPr>
            <w:tcW w:w="1788" w:type="dxa"/>
          </w:tcPr>
          <w:p w14:paraId="1A3C45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прочие расходы</w:t>
            </w:r>
          </w:p>
        </w:tc>
        <w:tc>
          <w:tcPr>
            <w:tcW w:w="936" w:type="dxa"/>
          </w:tcPr>
          <w:p w14:paraId="153482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2,0 </w:t>
            </w:r>
          </w:p>
        </w:tc>
      </w:tr>
      <w:tr w:rsidR="002B1C74" w:rsidRPr="002F2FDF" w14:paraId="7401D2DF" w14:textId="77777777">
        <w:tc>
          <w:tcPr>
            <w:tcW w:w="1788" w:type="dxa"/>
            <w:tcBorders>
              <w:bottom w:val="single" w:sz="12" w:space="0" w:color="auto"/>
            </w:tcBorders>
          </w:tcPr>
          <w:p w14:paraId="34A6D8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936" w:type="dxa"/>
            <w:tcBorders>
              <w:bottom w:val="single" w:sz="12" w:space="0" w:color="auto"/>
            </w:tcBorders>
          </w:tcPr>
          <w:p w14:paraId="7FDA47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138,0. </w:t>
            </w:r>
          </w:p>
        </w:tc>
      </w:tr>
    </w:tbl>
    <w:p w14:paraId="0503AC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Однако к осуществлению этого дополнительного проекта приступлено не было (11329). </w:t>
      </w:r>
    </w:p>
    <w:p w14:paraId="7909DF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C4FC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Вплоть до октября 1917 года все испытания отечественных и частично приобретаемых за границей образцов артвооружения и брони для российского флота проводились только на Морском Артиллерийском Полигоне, и работа по отработке их велась в тесном взаимодействии с орудийными заводами.</w:t>
      </w:r>
    </w:p>
    <w:p w14:paraId="420B11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1856 по 1917 год председателями КМАО и одновременно начальниками МАП были: вице-адмирал В. Б. Струкгов, генерал-майор КМА К. И. Лосев, контр-адмирал В. Н. Максимов, контр-адмирал Ф. Г. Стааль, вице-адмирал Я. И. Куприянов, контр-адмирал К. К. Де-Ливрон, контр-адмирал П. С. Бурачек, контр-адмирал Р. Р. Ликер, контр-адмирал Л- Г. Фелькерзам, генерал-майор КМА А. Ф. Бринк, генерал-лейтенант КМА Ф. Л. Ремесников, генерал-майор КМА Е. А. Беркалов. На МАП, в разные годы, проходили службу командующий 2-й Тихоокеанской эскадрой вице-адмирал 3. П. Рожественский (1873-1883) и последний морской министр России, из состава временного правительства, контр-адмирал Д. Н. Вердеревский (1901-1902).</w:t>
      </w:r>
    </w:p>
    <w:p w14:paraId="3D9838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Матросы морского полигона в феврале 1917 года приняли активное участие в свержении самодержавия в России, а в октябре того же года в вооруженном перевороте по свержению Временного правительства. 25 октября (7 ноября) около 23 часов по указанию Я. М. Свердлова матросы полигона И. Дунаев и М. Журавлев, приняли под свое командование батарею 3-дм полевых орудий, заменив колеблющихся артиллеристов Петропавловской крепости, и открыли огонь по Зимнему дворцу сделав при этом 30-35 выстрелов картечными снарядами. Эта стрельба имела больше психологический характер, чем боевой. Только один снаряд попал в карниз здания на третьем этаже, все остальные разорвались над Невой (12031).</w:t>
      </w:r>
    </w:p>
    <w:p w14:paraId="13B182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EA3C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октябре 1917 г. выпуск радиоизделий на заводе «ДЕКА» прекратился. Производством радиоимущества для нужд армии и флота в годы Первой мировой войны занимались многие предприятия электрослаботочной про мышленности: петроградские заводы «Сименс и Гальске», РОБТиТ, Радиоте леграфный завод Морского ведомства, Акционерное общество «Электротех нических сооружений» (ДЕКА). В Запасном электротехническом батальоне ОЭШ было налажено производство радиопеленгаторов (Архив ВИМАИВиВС, ф. 61р, оп. 2, д. 1, л. 13.). Петроградский радиоаппаратный завод (бывший РОБТиТ) был полностью законсервирован. Оставшиеся на предприятии девять рабочих и семь служащих занимались только ремонтными работами, а все радиотеле графное имущество было сосредоточено в Москве (Русская электротехническая промышленность к началу 1921 г. М.:, 1921. С. 39.). Радиотелеграфный завод Морского ведомства, часть оборудования ко торого была эвакуирована в Нижний Новгород, после вынужденного простоя в 1919 г. в следующем году возобновил выпуск радиоаппаратуры для флота. Однако по сравнению с 1916 г. объем производства различных видов продук ции не превышал 12-18% (ЦГА СПб., ф. 945, оп. 3, д. 2, л. 48.). На Петроградском телеграфном заводе (б. «Сименса») выпуск радио средств продолжался, однако объем его был мизерным по сравнению с годами Первой мировой войны. От ГВИУ в 1916-1918 гг. </w:t>
      </w:r>
      <w:r w:rsidRPr="002F2FDF">
        <w:rPr>
          <w:rFonts w:ascii="Times New Roman" w:hAnsi="Times New Roman" w:cs="Times New Roman"/>
          <w:color w:val="000000" w:themeColor="text1"/>
          <w:kern w:val="2"/>
          <w:sz w:val="16"/>
          <w:szCs w:val="16"/>
        </w:rPr>
        <w:lastRenderedPageBreak/>
        <w:t>предприятие получило зака зы на восемьдесят тяжелых полевых, двенадцать автомобильных и 360 аэро планных радиостанций. Но к сентябрю 1920 г. из всего этого количества изго товлено было только двадцать аэропланных станций (ЦГА СПб., ф. 1324, оп. 2, д. 8, л. 146.). А за весь 1920 г. на за воде был произведен капитальный ремонт трех полевых радиостанций, собра на одна автомобильная станций и выпущено некоторое количество запасных частей к станциям различных типов (ЦГА СПб., ф. 1324, оп. 2, д. 8, л. 252.) (11870).</w:t>
      </w:r>
    </w:p>
    <w:p w14:paraId="0424CB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9CCD65" w14:textId="245B6AE5" w:rsidR="00924B0E" w:rsidRPr="002F2FDF" w:rsidRDefault="00924B0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октября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из Англии было поставлено не менее десяти 356/52-мм пушек, а ОСЗ не сдал ни одной. Полигонные испытания 356/52-мм пушек были начаты в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на специальном полигонном станке Дурляхера. В 1922</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на ОСЗ хранилось 8 готовых пушек Виккерса и 7 недоделанных орудий ОСЗ, из которых 4 были с готовностью 60</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w:t>
      </w:r>
    </w:p>
    <w:p w14:paraId="24806965" w14:textId="71935B09" w:rsidR="00924B0E" w:rsidRPr="002F2FDF" w:rsidRDefault="00924B0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итоге к 1918</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стрелять могла только одна 356/52-мм пушка, установленная на станке Дурляхера на Ржевке. На этой установке постоянно менялись стволы, и она все время находилась в готовности к стрельбе. В 1941–1944</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гг. 356-мм полигонная установка из штатного 356/52-мм ствола вела огонь по германским войскам, осаждавшим Ленинград. Установка Дурляхера находится на Ржевке и сейчас (но крайней мере она была там в 2000</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w:t>
      </w:r>
    </w:p>
    <w:p w14:paraId="6D580907" w14:textId="6BD182AF" w:rsidR="00924B0E" w:rsidRPr="002F2FDF" w:rsidRDefault="00924B0E"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Линейные крейсера типа «Измаил» достраивать не стали. [40] Разрабатывалось несколько проектов строительства морских мониторов, вооруженных 356-мм пушками, но и они не были осуществлены. В середине 1930-х годов 356/52-мм пушками вооружили железнодорожные транспортеры ТМ-1–14 (транспортер морской первый с 14-дюймовой пушкой). Всего были сформированы две железнодорожные батареи, в каждой из которых имелось по три транспортера ТМ-1–14. Одна из этих батарей базировалась под Ленинградом, а две другие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под Владивостоком (12705).</w:t>
      </w:r>
    </w:p>
    <w:p w14:paraId="655F3A5E" w14:textId="77777777" w:rsidR="00924B0E" w:rsidRPr="002F2FDF" w:rsidRDefault="00924B0E" w:rsidP="0083075A">
      <w:pPr>
        <w:spacing w:after="0" w:line="240" w:lineRule="auto"/>
        <w:jc w:val="both"/>
        <w:rPr>
          <w:rFonts w:ascii="Times New Roman" w:hAnsi="Times New Roman" w:cs="Times New Roman"/>
          <w:color w:val="000000" w:themeColor="text1"/>
          <w:kern w:val="2"/>
          <w:sz w:val="16"/>
          <w:szCs w:val="16"/>
        </w:rPr>
      </w:pPr>
    </w:p>
    <w:p w14:paraId="114F067D" w14:textId="77777777" w:rsidR="00A24778" w:rsidRPr="002F2FDF" w:rsidRDefault="00A2477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октябре 1917 г. прекратился Выпуск радиоизделий на заводе «ДЕКА». Петроградский радиоаппаратный завод (бывший РОБТиТ) был полностью законсервирован. Оставшиеся на предприятии девять рабочих и семь служащих занимались только ремонтными работами, а все радиотеле</w:t>
      </w:r>
      <w:r w:rsidRPr="002F2FDF">
        <w:rPr>
          <w:rFonts w:ascii="Times New Roman" w:hAnsi="Times New Roman" w:cs="Times New Roman"/>
          <w:color w:val="000000" w:themeColor="text1"/>
          <w:sz w:val="16"/>
          <w:szCs w:val="16"/>
        </w:rPr>
        <w:softHyphen/>
        <w:t>графное имущество было сосредоточено в Москве.</w:t>
      </w:r>
    </w:p>
    <w:p w14:paraId="1FB890D3" w14:textId="77777777" w:rsidR="00A24778" w:rsidRPr="002F2FDF" w:rsidRDefault="00A2477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Радиотелеграфный завод Морского ведомства, часть оборудования ко</w:t>
      </w:r>
      <w:r w:rsidRPr="002F2FDF">
        <w:rPr>
          <w:rFonts w:ascii="Times New Roman" w:hAnsi="Times New Roman" w:cs="Times New Roman"/>
          <w:color w:val="000000" w:themeColor="text1"/>
          <w:sz w:val="16"/>
          <w:szCs w:val="16"/>
        </w:rPr>
        <w:softHyphen/>
        <w:t>торого была эвакуирована в Нижний Новгород, после вынужденного простоя в 1919 г. в следующем году возобновил выпуск радиоаппаратуры для флота.</w:t>
      </w:r>
    </w:p>
    <w:p w14:paraId="0698B6F6" w14:textId="77777777" w:rsidR="00A24778" w:rsidRPr="002F2FDF" w:rsidRDefault="00A2477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Однако по сравнению с 1916 г. объем производства различных видов продук</w:t>
      </w:r>
      <w:r w:rsidRPr="002F2FDF">
        <w:rPr>
          <w:rFonts w:ascii="Times New Roman" w:hAnsi="Times New Roman" w:cs="Times New Roman"/>
          <w:color w:val="000000" w:themeColor="text1"/>
          <w:sz w:val="16"/>
          <w:szCs w:val="16"/>
        </w:rPr>
        <w:softHyphen/>
        <w:t>ции не превышал 12-18%.</w:t>
      </w:r>
    </w:p>
    <w:p w14:paraId="2BAFB9B6" w14:textId="77777777" w:rsidR="00A24778" w:rsidRPr="002F2FDF" w:rsidRDefault="00A2477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Петроградском телеграфном заводе (б. «Сименса») выпуск радио</w:t>
      </w:r>
      <w:r w:rsidRPr="002F2FDF">
        <w:rPr>
          <w:rFonts w:ascii="Times New Roman" w:hAnsi="Times New Roman" w:cs="Times New Roman"/>
          <w:color w:val="000000" w:themeColor="text1"/>
          <w:sz w:val="16"/>
          <w:szCs w:val="16"/>
        </w:rPr>
        <w:softHyphen/>
        <w:t>средств продолжался, однако объем его был мизерным по сравнению с годами Первой мировой войны. От ГВИУ в 1916-1918 гг. предприятие получило зака</w:t>
      </w:r>
      <w:r w:rsidRPr="002F2FDF">
        <w:rPr>
          <w:rFonts w:ascii="Times New Roman" w:hAnsi="Times New Roman" w:cs="Times New Roman"/>
          <w:color w:val="000000" w:themeColor="text1"/>
          <w:sz w:val="16"/>
          <w:szCs w:val="16"/>
        </w:rPr>
        <w:softHyphen/>
        <w:t>зы на восемьдесят тяжелых полевых, двенадцать автомобильных и 360 аэро- планных радиостанций. Но к сентябрю 1920 г. из всего этого количества изго</w:t>
      </w:r>
      <w:r w:rsidRPr="002F2FDF">
        <w:rPr>
          <w:rFonts w:ascii="Times New Roman" w:hAnsi="Times New Roman" w:cs="Times New Roman"/>
          <w:color w:val="000000" w:themeColor="text1"/>
          <w:sz w:val="16"/>
          <w:szCs w:val="16"/>
        </w:rPr>
        <w:softHyphen/>
        <w:t>товлено было только двадцать аэропланных станций . А за весь 1920 г. на за</w:t>
      </w:r>
      <w:r w:rsidRPr="002F2FDF">
        <w:rPr>
          <w:rFonts w:ascii="Times New Roman" w:hAnsi="Times New Roman" w:cs="Times New Roman"/>
          <w:color w:val="000000" w:themeColor="text1"/>
          <w:sz w:val="16"/>
          <w:szCs w:val="16"/>
        </w:rPr>
        <w:softHyphen/>
        <w:t>воде был произведен капитальный ремонт трех полевых радиостанций, собра</w:t>
      </w:r>
      <w:r w:rsidRPr="002F2FDF">
        <w:rPr>
          <w:rFonts w:ascii="Times New Roman" w:hAnsi="Times New Roman" w:cs="Times New Roman"/>
          <w:color w:val="000000" w:themeColor="text1"/>
          <w:sz w:val="16"/>
          <w:szCs w:val="16"/>
        </w:rPr>
        <w:softHyphen/>
        <w:t>на одна автомобильная станций и выпущено некоторое количество запасных частей к станциям различных типов (19098).</w:t>
      </w:r>
    </w:p>
    <w:p w14:paraId="0F743364" w14:textId="77777777" w:rsidR="00A24778" w:rsidRPr="002F2FDF" w:rsidRDefault="00A24778" w:rsidP="0083075A">
      <w:pPr>
        <w:spacing w:after="0" w:line="240" w:lineRule="auto"/>
        <w:jc w:val="both"/>
        <w:rPr>
          <w:rFonts w:ascii="Times New Roman" w:hAnsi="Times New Roman" w:cs="Times New Roman"/>
          <w:color w:val="000000" w:themeColor="text1"/>
          <w:sz w:val="16"/>
          <w:szCs w:val="16"/>
        </w:rPr>
      </w:pPr>
    </w:p>
    <w:p w14:paraId="77E4469C" w14:textId="77777777" w:rsidR="00A24778" w:rsidRPr="002F2FDF" w:rsidRDefault="00A24778" w:rsidP="0083075A">
      <w:pPr>
        <w:autoSpaceDE w:val="0"/>
        <w:autoSpaceDN w:val="0"/>
        <w:adjustRightInd w:val="0"/>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октябре 1917 г. Морское ведомство аннулировало все заказы АО «Дека» (После утверждения нового устава АО Электромеханических сооружений в 1917 г. оно стало именоваться – Акционерное общество «Дека» заводов Электротехнических сооружений, бывшее Товарищество Дюфлон, Константинович и С°» (РГИА. Ф. 1425. Оп. 2. Д. 313. Л. 154)). А после аналогичного решения ГВТУ в начале 1918 г. производственная деятельность завода была свернута. К августу 1918 г. здесь оставалось всего 56 рабочих (18297).</w:t>
      </w:r>
    </w:p>
    <w:p w14:paraId="0B75D339" w14:textId="77777777" w:rsidR="00A24778" w:rsidRPr="002F2FDF" w:rsidRDefault="00A24778" w:rsidP="0083075A">
      <w:pPr>
        <w:spacing w:after="0" w:line="240" w:lineRule="auto"/>
        <w:jc w:val="both"/>
        <w:rPr>
          <w:rFonts w:ascii="Times New Roman" w:hAnsi="Times New Roman" w:cs="Times New Roman"/>
          <w:color w:val="000000" w:themeColor="text1"/>
          <w:sz w:val="16"/>
          <w:szCs w:val="16"/>
        </w:rPr>
      </w:pPr>
    </w:p>
    <w:p w14:paraId="21B192C3" w14:textId="77777777" w:rsidR="00187993" w:rsidRPr="002F2FDF" w:rsidRDefault="00187993"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октябре 1917 находящаяся в Англии комиссия ГВТУ обратила внимание на “новый тип тяжелых полевых крейсеров английской армии” (скорее всего, имелся в виду прототип тяжелого Mk V, но термин “крейсер” наводит на мысль и о прототипе среднего Мк А). В обоих случаях подчеркивалась проходимость танков, имевшая “огромное для русских условий значение”. Однако ни французские, ни английские танки так и не попали в Россию – союзники, сами лишь разворачивавшие выпуск нового средства войны, не слишком спешили делиться им с русской стороной (англичане предпочитали не только “маскировать” свои работы мифическими "русскими заказами”, но даже показывали танки русским представителям неохотно), а тут еще и начавшаяся русская революция. Зато в 1918 г. танки союзников “добрались” сюда для противодействий красным армиям, после чего в качестве трофеев все-таки стали первой материальной частью танковых сил, но уже РККА.</w:t>
      </w:r>
    </w:p>
    <w:p w14:paraId="3457FA70" w14:textId="77777777" w:rsidR="00187993" w:rsidRPr="002F2FDF" w:rsidRDefault="00187993"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Новый план формирования броневых частей русской армии выглядел вполне реально, тактический и технический опыт личного состава бронечастей также обещал удачное применение новых машин, однако реализовать план не удалось даже частично. И помешала этому не революция сама по себе, а общее положение надорвавшейся русской промышленности и глубокий финансовый кризис – то есть те же причины, которые и подготовили революцию.</w:t>
      </w:r>
    </w:p>
    <w:p w14:paraId="2E2F6BFC" w14:textId="77777777" w:rsidR="00187993" w:rsidRPr="002F2FDF" w:rsidRDefault="00187993"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Все это вызвало приостановку работ, затрудняло необходимые новые закупки шасси и оборудования, а развернувшиеся с февраля 1917г. события лишь довершили дело (20250).</w:t>
      </w:r>
    </w:p>
    <w:p w14:paraId="6C4E7F75" w14:textId="77777777" w:rsidR="00187993" w:rsidRPr="002F2FDF" w:rsidRDefault="00187993" w:rsidP="0083075A">
      <w:pPr>
        <w:spacing w:after="0" w:line="240" w:lineRule="auto"/>
        <w:jc w:val="both"/>
        <w:rPr>
          <w:rFonts w:ascii="Times New Roman" w:hAnsi="Times New Roman" w:cs="Times New Roman"/>
          <w:color w:val="000000" w:themeColor="text1"/>
          <w:sz w:val="16"/>
          <w:szCs w:val="16"/>
        </w:rPr>
      </w:pPr>
    </w:p>
    <w:p w14:paraId="4234F19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42638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54D81A" w14:textId="77777777" w:rsidR="00187993" w:rsidRPr="002F2FDF" w:rsidRDefault="0018799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октябре 1917 в Очи, Франция, Британский королевский летный корпус формирует свое первое крыло, предназначенное для дальних бомбардировок целей в Германии. Позже она станет VIII бригадой (20341).</w:t>
      </w:r>
    </w:p>
    <w:p w14:paraId="44F31B7C" w14:textId="77777777" w:rsidR="00187993" w:rsidRPr="002F2FDF" w:rsidRDefault="00187993" w:rsidP="0083075A">
      <w:pPr>
        <w:spacing w:after="0" w:line="240" w:lineRule="auto"/>
        <w:jc w:val="both"/>
        <w:rPr>
          <w:rFonts w:ascii="Times New Roman" w:hAnsi="Times New Roman" w:cs="Times New Roman"/>
          <w:color w:val="000000" w:themeColor="text1"/>
          <w:sz w:val="16"/>
          <w:szCs w:val="16"/>
        </w:rPr>
      </w:pPr>
    </w:p>
    <w:p w14:paraId="3D724D2C" w14:textId="77777777" w:rsidR="00187993" w:rsidRPr="002F2FDF" w:rsidRDefault="0018799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октябре 1917 года РИВФ имел около 1500 машин. 300 различных частей и подразделений, в том числе 14 авиационных дивизионов, 91 авиационный отряд, 4 отряда самолётов «Илья Муромец», 87 воздухоплавательных отрядов, 32 отряда морской авиации, 11 авиационных и воздухоплавательных школ, дивизион корабельной авиации, восемь авиапарков, поезда-мастерские, авиабазы, воздухоплавательные парки (20018).</w:t>
      </w:r>
    </w:p>
    <w:p w14:paraId="650764C1" w14:textId="77777777" w:rsidR="00187993" w:rsidRPr="002F2FDF" w:rsidRDefault="00187993" w:rsidP="0083075A">
      <w:pPr>
        <w:spacing w:after="0" w:line="240" w:lineRule="auto"/>
        <w:jc w:val="both"/>
        <w:rPr>
          <w:rFonts w:ascii="Times New Roman" w:hAnsi="Times New Roman" w:cs="Times New Roman"/>
          <w:color w:val="000000" w:themeColor="text1"/>
          <w:sz w:val="16"/>
          <w:szCs w:val="16"/>
        </w:rPr>
      </w:pPr>
    </w:p>
    <w:p w14:paraId="4949DBA0" w14:textId="77777777" w:rsidR="00A24778" w:rsidRPr="002F2FDF" w:rsidRDefault="00A2477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1917 г. была создана Всероссийская коллегия по формированию Красной армии, а в составе коллегии - Отдел вооружений. Вскоре Отдел был слит со старым ГАУ в ГАУ РККА. В 07.1918 г. ГАУ создало Центральное правление артиллерийских заводов (ЦПАЗ), в ведение которого перешли все оружейные, патронные и пороховые заводы, обслуживающие сухопутную армию. 16.08.1918 г. создана Чрезвычайная комиссия по производству предметов военного снаряжения при ВСНХ, переименованная 2.11.1918 г. в Чрезвычайную комиссию по снабжению Красной армии (Чрезкомснаб), которая осуществляла контроль и согласование работы всех военных заводов. В 1918 г. создан также Глававиа. 12.06.1918 г. решением ВСНХ авиазаводы были отнесены к 4-й (последней) категории предприятий по снабжению топливом, сырьем и материалам. Декретом от 28.06.1918 г. авиапредприятия национализированы. Организация производства оставалась в ведении ВСНХ и местных советов народного хозяйства. Одновременно было создано Центральное управление снабжения (ЦУС), в которое вошли ГАУ, Главное военно-техническое управление (ГВТУ) и Главное военно-инженерное управление (ГВИУ). Таким образом, к концу 1918 г. основная часть военных заводов были в ведении ВСНХ, часть подчинялась ЦУС, некоторые специальные заводы (Тульский, Ижевский, Симбирский) подчинялись непосредственно ГАУ (11982).</w:t>
      </w:r>
    </w:p>
    <w:p w14:paraId="317B6F2E" w14:textId="77777777" w:rsidR="00A24778" w:rsidRPr="002F2FDF" w:rsidRDefault="00A2477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64FA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октябрю 1917 г. в составе воздушного флота России насчитывалось более 300 различных частей, учреждений и учебных заведений. В них проходили службу свыше 35 тысяч человек. Летноподъемный состав, являясь главным боевым элементом воздушного флота, был сравнительно немногочисленным около 2000 чел. и составлял менее 7% от всего личного состава. Более чем на 80% воздушный флот состоял из представителей строевой и обозной команды, должности которых были укомплектованы бывшими мастеровыми, рабочими и призывниками, годными к строевой службе. Таким образом, много было сделано для усиления воздушного флота России в годы Первой мировой войны. Однако достигнутые ценою огромных усилий позитивные результаты были в кратчайшее время сведены к нулю с изменением государственной власти в стране. Понимание основ, заложенных в начале XX века в вопросах военнопрофессиональной подготовки авиационных кадров, определяет бережное отношение к вопросам истории, к великому прошлому России на ее пути расширения не только географических границ, но и воздушного горизонта над страной. Требовалась также и реорганизация системы управления воздушным флотом, который в начале Первой мировой войны был представлен в виде 12 двенадцати воздухоплавательных рот, 3 трех рот управляемых аэростатов, 7 семи крепостных, Кавказской и Сибирской воздухоплавательных рот. За годы войны определились некоторые виды обеспечения, в том числе и с образованием родов авиации в составе воздушного флота, из новых профессий родились специальные службы, от нормального функционирования которых во многом зависели результаты боевой работы летчиков: метеорологическая, аэронавигационная, радиотелеграфная, фотографическая; складывались служба тыла и инженерно-техническая служба авиации. Их научно-техническая база находилась в ведении Управлении военного флота и под контролем полевого генерал - инспектора авиационного воздушного флота (11182).</w:t>
      </w:r>
    </w:p>
    <w:p w14:paraId="27E407F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133379" w14:textId="77777777" w:rsidR="00A24778" w:rsidRPr="002F2FDF" w:rsidRDefault="00A2477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октябре 1917 г. в строю находилось более 700 самолетов, что было соизмеримо с Францией (1446 самолетов) и с Германией (около 2000 самолетов), хотя в этих странах выпуск авиатехники был на порядок больше. Число авиаотрядов увеличилось с 39 до 95. В ЭВК имелось 30 экипажей самолетов «Илья Муромец». Всего за время войны в действующую армию поступило около 4000 самолетов. Их характеристики значительно улучшились.</w:t>
      </w:r>
    </w:p>
    <w:p w14:paraId="65AA9C7F" w14:textId="77777777" w:rsidR="00A24778" w:rsidRPr="002F2FDF" w:rsidRDefault="00A2477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(РГВИА. Ф. 493. Оп. 2. Д. 22. Л. 244; Ф. 493. Оп. 15. Д.9. Л. 12.</w:t>
      </w:r>
    </w:p>
    <w:p w14:paraId="5D429192" w14:textId="77777777" w:rsidR="00A24778" w:rsidRPr="002F2FDF" w:rsidRDefault="00A2477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Антошкин С.Н. Военная авиация в Первую мировую войну: дис. на соиск. уч. степ. канд. ист. наук. – М.,1997. – С. 31.</w:t>
      </w:r>
    </w:p>
    <w:p w14:paraId="5DD77B48" w14:textId="77777777" w:rsidR="00A24778" w:rsidRPr="002F2FDF" w:rsidRDefault="00A2477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РГВИА. Ф. 493. Оп. 15. Д. 9. Л. 53</w:t>
      </w:r>
    </w:p>
    <w:p w14:paraId="2EA172EB" w14:textId="77777777" w:rsidR="00A24778" w:rsidRPr="002F2FDF" w:rsidRDefault="00A2477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Можаев А.В. Краткий исторический обзор авиации // Вестник воздушного флота. – 1933. – № 2. – С. 6.</w:t>
      </w:r>
    </w:p>
    <w:p w14:paraId="02C25B38" w14:textId="77777777" w:rsidR="00A24778" w:rsidRPr="002F2FDF" w:rsidRDefault="00A2477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Мировая война в цифрах. – Л., 1934. С. 45</w:t>
      </w:r>
    </w:p>
    <w:p w14:paraId="75322F82" w14:textId="77777777" w:rsidR="00A24778" w:rsidRPr="002F2FDF" w:rsidRDefault="00A2477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Гоф В. Развитие германских военных самолетов во время войны: пер. с нем. – М., 1922. – С. 8.</w:t>
      </w:r>
    </w:p>
    <w:p w14:paraId="215588F7" w14:textId="77777777" w:rsidR="00A24778" w:rsidRPr="002F2FDF" w:rsidRDefault="00A2477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РГВИА. Ф. 493. Оп. 2. Д.17. Ч. I. Л. 144.</w:t>
      </w:r>
    </w:p>
    <w:p w14:paraId="69742426" w14:textId="77777777" w:rsidR="00A24778" w:rsidRPr="002F2FDF" w:rsidRDefault="00A2477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Воронкова С.В. Материалы Особого совещания по обороне государства. – М., 1975. – С. 42.</w:t>
      </w:r>
    </w:p>
    <w:p w14:paraId="279BBD64" w14:textId="77777777" w:rsidR="00A24778" w:rsidRPr="002F2FDF" w:rsidRDefault="00A2477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Таленский Н.А. Первая мировая война 1914 – 1918 гг. – М., 1944. – С. 122.) (19566).</w:t>
      </w:r>
    </w:p>
    <w:p w14:paraId="1CBD7B46" w14:textId="77777777" w:rsidR="00A24778" w:rsidRPr="002F2FDF" w:rsidRDefault="00A24778" w:rsidP="0083075A">
      <w:pPr>
        <w:spacing w:after="0" w:line="240" w:lineRule="auto"/>
        <w:jc w:val="both"/>
        <w:rPr>
          <w:rFonts w:ascii="Times New Roman" w:hAnsi="Times New Roman" w:cs="Times New Roman"/>
          <w:color w:val="000000" w:themeColor="text1"/>
          <w:sz w:val="16"/>
          <w:szCs w:val="16"/>
        </w:rPr>
      </w:pPr>
    </w:p>
    <w:p w14:paraId="2C2EED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1917 из-за непогоды резко сни</w:t>
      </w:r>
      <w:r w:rsidRPr="002F2FDF">
        <w:rPr>
          <w:rFonts w:ascii="Times New Roman" w:hAnsi="Times New Roman" w:cs="Times New Roman"/>
          <w:color w:val="000000" w:themeColor="text1"/>
          <w:kern w:val="2"/>
          <w:sz w:val="16"/>
          <w:szCs w:val="16"/>
        </w:rPr>
        <w:softHyphen/>
        <w:t>зилось число боевых полетов 1БАГ. Боевые действия на земле также почти пре</w:t>
      </w:r>
      <w:r w:rsidRPr="002F2FDF">
        <w:rPr>
          <w:rFonts w:ascii="Times New Roman" w:hAnsi="Times New Roman" w:cs="Times New Roman"/>
          <w:color w:val="000000" w:themeColor="text1"/>
          <w:kern w:val="2"/>
          <w:sz w:val="16"/>
          <w:szCs w:val="16"/>
        </w:rPr>
        <w:softHyphen/>
        <w:t>кратились. Воздушная разведка пока</w:t>
      </w:r>
      <w:r w:rsidRPr="002F2FDF">
        <w:rPr>
          <w:rFonts w:ascii="Times New Roman" w:hAnsi="Times New Roman" w:cs="Times New Roman"/>
          <w:color w:val="000000" w:themeColor="text1"/>
          <w:kern w:val="2"/>
          <w:sz w:val="16"/>
          <w:szCs w:val="16"/>
        </w:rPr>
        <w:softHyphen/>
        <w:t>зывала, что в тылу у противника резер</w:t>
      </w:r>
      <w:r w:rsidRPr="002F2FDF">
        <w:rPr>
          <w:rFonts w:ascii="Times New Roman" w:hAnsi="Times New Roman" w:cs="Times New Roman"/>
          <w:color w:val="000000" w:themeColor="text1"/>
          <w:kern w:val="2"/>
          <w:sz w:val="16"/>
          <w:szCs w:val="16"/>
        </w:rPr>
        <w:softHyphen/>
        <w:t>вов нет. Немцы постепенно перебра</w:t>
      </w:r>
      <w:r w:rsidRPr="002F2FDF">
        <w:rPr>
          <w:rFonts w:ascii="Times New Roman" w:hAnsi="Times New Roman" w:cs="Times New Roman"/>
          <w:color w:val="000000" w:themeColor="text1"/>
          <w:kern w:val="2"/>
          <w:sz w:val="16"/>
          <w:szCs w:val="16"/>
        </w:rPr>
        <w:softHyphen/>
        <w:t>сывали войска на западный фронт, по</w:t>
      </w:r>
      <w:r w:rsidRPr="002F2FDF">
        <w:rPr>
          <w:rFonts w:ascii="Times New Roman" w:hAnsi="Times New Roman" w:cs="Times New Roman"/>
          <w:color w:val="000000" w:themeColor="text1"/>
          <w:kern w:val="2"/>
          <w:sz w:val="16"/>
          <w:szCs w:val="16"/>
        </w:rPr>
        <w:softHyphen/>
        <w:t>нимая, что разваленная и деморализо</w:t>
      </w:r>
      <w:r w:rsidRPr="002F2FDF">
        <w:rPr>
          <w:rFonts w:ascii="Times New Roman" w:hAnsi="Times New Roman" w:cs="Times New Roman"/>
          <w:color w:val="000000" w:themeColor="text1"/>
          <w:kern w:val="2"/>
          <w:sz w:val="16"/>
          <w:szCs w:val="16"/>
        </w:rPr>
        <w:softHyphen/>
        <w:t>ванная русская армия уже не предста</w:t>
      </w:r>
      <w:r w:rsidRPr="002F2FDF">
        <w:rPr>
          <w:rFonts w:ascii="Times New Roman" w:hAnsi="Times New Roman" w:cs="Times New Roman"/>
          <w:color w:val="000000" w:themeColor="text1"/>
          <w:kern w:val="2"/>
          <w:sz w:val="16"/>
          <w:szCs w:val="16"/>
        </w:rPr>
        <w:softHyphen/>
        <w:t>вляет серьезной угрозы (3954). Казаков, чувствуя, что опасность солдатской расправы над офицерами отрядов с каждым днем становится все более реальной, стал по возмож</w:t>
      </w:r>
      <w:r w:rsidRPr="002F2FDF">
        <w:rPr>
          <w:rFonts w:ascii="Times New Roman" w:hAnsi="Times New Roman" w:cs="Times New Roman"/>
          <w:color w:val="000000" w:themeColor="text1"/>
          <w:kern w:val="2"/>
          <w:sz w:val="16"/>
          <w:szCs w:val="16"/>
        </w:rPr>
        <w:softHyphen/>
        <w:t>ности отсылать их из группы в глубь России. 3 октября убыл в Киевскую школу летнабов штабс-капитан Якобашвили, 9-го - поручик Корженко от</w:t>
      </w:r>
      <w:r w:rsidRPr="002F2FDF">
        <w:rPr>
          <w:rFonts w:ascii="Times New Roman" w:hAnsi="Times New Roman" w:cs="Times New Roman"/>
          <w:color w:val="000000" w:themeColor="text1"/>
          <w:kern w:val="2"/>
          <w:sz w:val="16"/>
          <w:szCs w:val="16"/>
        </w:rPr>
        <w:softHyphen/>
        <w:t>правился в Николаевскую академию Генштаба, 11-го старший унтер-офи</w:t>
      </w:r>
      <w:r w:rsidRPr="002F2FDF">
        <w:rPr>
          <w:rFonts w:ascii="Times New Roman" w:hAnsi="Times New Roman" w:cs="Times New Roman"/>
          <w:color w:val="000000" w:themeColor="text1"/>
          <w:kern w:val="2"/>
          <w:sz w:val="16"/>
          <w:szCs w:val="16"/>
        </w:rPr>
        <w:softHyphen/>
        <w:t>цер Завидонский - уехал в отпуск и т.д. Появилась возможность отправить од</w:t>
      </w:r>
      <w:r w:rsidRPr="002F2FDF">
        <w:rPr>
          <w:rFonts w:ascii="Times New Roman" w:hAnsi="Times New Roman" w:cs="Times New Roman"/>
          <w:color w:val="000000" w:themeColor="text1"/>
          <w:kern w:val="2"/>
          <w:sz w:val="16"/>
          <w:szCs w:val="16"/>
        </w:rPr>
        <w:softHyphen/>
        <w:t>ного летчика с группой командирован</w:t>
      </w:r>
      <w:r w:rsidRPr="002F2FDF">
        <w:rPr>
          <w:rFonts w:ascii="Times New Roman" w:hAnsi="Times New Roman" w:cs="Times New Roman"/>
          <w:color w:val="000000" w:themeColor="text1"/>
          <w:kern w:val="2"/>
          <w:sz w:val="16"/>
          <w:szCs w:val="16"/>
        </w:rPr>
        <w:softHyphen/>
        <w:t>ных во Францию. Казаков просит включить в её состав подъесаула Шангина и прапорщика Смирнова (3954). Тем не менее, боевые полеты про</w:t>
      </w:r>
      <w:r w:rsidRPr="002F2FDF">
        <w:rPr>
          <w:rFonts w:ascii="Times New Roman" w:hAnsi="Times New Roman" w:cs="Times New Roman"/>
          <w:color w:val="000000" w:themeColor="text1"/>
          <w:kern w:val="2"/>
          <w:sz w:val="16"/>
          <w:szCs w:val="16"/>
        </w:rPr>
        <w:softHyphen/>
        <w:t>должались. В отдельные дни совер</w:t>
      </w:r>
      <w:r w:rsidRPr="002F2FDF">
        <w:rPr>
          <w:rFonts w:ascii="Times New Roman" w:hAnsi="Times New Roman" w:cs="Times New Roman"/>
          <w:color w:val="000000" w:themeColor="text1"/>
          <w:kern w:val="2"/>
          <w:sz w:val="16"/>
          <w:szCs w:val="16"/>
        </w:rPr>
        <w:softHyphen/>
        <w:t>шалось до 18 вылетов на патрулиро</w:t>
      </w:r>
      <w:r w:rsidRPr="002F2FDF">
        <w:rPr>
          <w:rFonts w:ascii="Times New Roman" w:hAnsi="Times New Roman" w:cs="Times New Roman"/>
          <w:color w:val="000000" w:themeColor="text1"/>
          <w:kern w:val="2"/>
          <w:sz w:val="16"/>
          <w:szCs w:val="16"/>
        </w:rPr>
        <w:softHyphen/>
        <w:t>вание и разведку. Всего за ок</w:t>
      </w:r>
      <w:r w:rsidRPr="002F2FDF">
        <w:rPr>
          <w:rFonts w:ascii="Times New Roman" w:hAnsi="Times New Roman" w:cs="Times New Roman"/>
          <w:color w:val="000000" w:themeColor="text1"/>
          <w:kern w:val="2"/>
          <w:sz w:val="16"/>
          <w:szCs w:val="16"/>
        </w:rPr>
        <w:softHyphen/>
        <w:t>тябрь летчики группы выполнили 92 боевых полета, провели 21 воздуш</w:t>
      </w:r>
      <w:r w:rsidRPr="002F2FDF">
        <w:rPr>
          <w:rFonts w:ascii="Times New Roman" w:hAnsi="Times New Roman" w:cs="Times New Roman"/>
          <w:color w:val="000000" w:themeColor="text1"/>
          <w:kern w:val="2"/>
          <w:sz w:val="16"/>
          <w:szCs w:val="16"/>
        </w:rPr>
        <w:softHyphen/>
        <w:t>ный бой, но все - безрезультатно (3854).</w:t>
      </w:r>
    </w:p>
    <w:p w14:paraId="1F47A2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906957" w14:textId="77777777" w:rsidR="00762819" w:rsidRPr="00FB4F67" w:rsidRDefault="0076281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октябре 1917 г. специальные курсы зенитной стрельбы, сформированные в 1917 году на Северном и Юго-Западном фронтах России, были расформированы. Последние были расформированы, а первые - преобразована в Офицерскую школу зенитной стрельбы, которую возглавил Полковник В. В. Тарновский. Школу было приказано перевести в Евпаторию в Крыму, но из-за революционных событий сомнительно, чтобы школа когда-либо открылась (23525).</w:t>
      </w:r>
    </w:p>
    <w:p w14:paraId="4C263002" w14:textId="77777777" w:rsidR="00762819" w:rsidRPr="00FB4F67" w:rsidRDefault="00762819" w:rsidP="0083075A">
      <w:pPr>
        <w:spacing w:after="0" w:line="240" w:lineRule="auto"/>
        <w:jc w:val="both"/>
        <w:rPr>
          <w:rFonts w:ascii="Times New Roman" w:hAnsi="Times New Roman" w:cs="Times New Roman"/>
          <w:color w:val="0070C0"/>
          <w:sz w:val="16"/>
          <w:szCs w:val="16"/>
        </w:rPr>
      </w:pPr>
    </w:p>
    <w:p w14:paraId="700C8AE0" w14:textId="77777777" w:rsidR="00762819" w:rsidRPr="00FB4F67" w:rsidRDefault="0076281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течение октября на севере России формирование в Архангельске 1-й отдельной морской авиабазы. Это должно было помочь в переброске материалов морской авиации как в передовые, так и в тыловые районы. Такая деятельность началась уже в феврале 1917 года, когда командиром Арктического батальона морской авиации стал морской летчик лейтенант Ковалевский (23525).</w:t>
      </w:r>
    </w:p>
    <w:p w14:paraId="2C389E86" w14:textId="77777777" w:rsidR="00762819" w:rsidRPr="00FB4F67" w:rsidRDefault="00762819" w:rsidP="0083075A">
      <w:pPr>
        <w:spacing w:after="0" w:line="240" w:lineRule="auto"/>
        <w:jc w:val="both"/>
        <w:rPr>
          <w:rFonts w:ascii="Times New Roman" w:hAnsi="Times New Roman" w:cs="Times New Roman"/>
          <w:color w:val="0070C0"/>
          <w:sz w:val="16"/>
          <w:szCs w:val="16"/>
        </w:rPr>
      </w:pPr>
    </w:p>
    <w:p w14:paraId="13264AEE" w14:textId="77777777" w:rsidR="00762819" w:rsidRPr="00FB4F67" w:rsidRDefault="0076281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октябре 1917 г. на румынском фронте австро-венгры разместили две временные истребительные части: Jagdstaffel Galanesti, в 10 км к северо-западу от Радауца в Буковине, и Jagdstaffel Harja, в 33 км к северо-востоку от Кезди-Васархей на юго-востоке Венгрии. Оба они были деактивированы в декабре (23525).</w:t>
      </w:r>
    </w:p>
    <w:p w14:paraId="3F15548B" w14:textId="77777777" w:rsidR="00762819" w:rsidRPr="00FB4F67" w:rsidRDefault="00762819" w:rsidP="0083075A">
      <w:pPr>
        <w:spacing w:after="0" w:line="240" w:lineRule="auto"/>
        <w:jc w:val="both"/>
        <w:rPr>
          <w:rFonts w:ascii="Times New Roman" w:hAnsi="Times New Roman" w:cs="Times New Roman"/>
          <w:color w:val="0070C0"/>
          <w:sz w:val="16"/>
          <w:szCs w:val="16"/>
        </w:rPr>
      </w:pPr>
    </w:p>
    <w:p w14:paraId="1A2B04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октября 1917 года севастопольская школа подготовила 609 лётчиков: 376 – из офицеров и 233 – из солдат. Многие из них отличились в воздушных боях и в разведках Первой мировой войны. Ни красные, ни белые не посягнули на неё, чтя факт её создания на народные деньги и понимая, что в новом веке без авиации уже жить нельзя (11138).</w:t>
      </w:r>
    </w:p>
    <w:p w14:paraId="7F67AE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A2AC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1917 г. начался постепенный распад Эскадры. Политические страсти накалились до предела. Среди нижних чинов царило всеобщее антивоенное настроение. 28 октября после митинга, на котором выступала некая Евгения Бош, произошло восстание Винницкого гарнизона. В результате стычек между верными Временному правительству офицерами и солдатами получили ранения четыре нижних чина и один был убит. Многие офицеры уехали из части в тыл. Тогда на базе в Виннице имелось 8 кораблей, которые были в различных стадиях ремон­та, сборки, регулировки и установки моторов и радиаторов. Десять машин находилось на фронте. Ощутимый урон нанесла сильная буря, начавшаяся 15 ноября. На базе было поло­мано 11 малых аппаратов, 2 учебных и 2 боевых корабля, а во 2-м боевом отряде на Юго-За­падном фронте — 4 корабля (11277).</w:t>
      </w:r>
    </w:p>
    <w:p w14:paraId="46C75B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1080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1917 г. начался постепенный распад Эскадры. Политические страсти накалились до предела. Среди нижних чинов царило всеобщее антивоенное настроение. 28 октября после митинга, на котором выступала некая Евгения Бош, произошло восстание Винницкого гарнизона. В результате стычек между верными Временному правительству офицерами и солдатами получили ранения четыре нижних чина и один был убит. Многие офицеры уехали из части в тыл (12038).</w:t>
      </w:r>
    </w:p>
    <w:p w14:paraId="39252C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330C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После октября 1917 года А.М. Кованько был снят с должности, а на аэродроме была создана Высшая военная воздухоплавательная школа. Здесь готовили командный состав воздухоплавателей и пилотов дирижаблей для Рабоче - крестьянской Красной армии. Школа была расформирована в 1926 году, а территория Воздухоплавательного парка была отдана военной части, занимавшейся ремонтом авиационной техники. В память об этом была названа ж.д. платформа "Воздухоплавательный парк" и улица Воздухоплавательная. На здании бывшей Воздухоплавательной школы (ул. Парковая 7) имеются мемориальные доски, посвященные 100-летию УВП (1885 - 1985) и в честь столетия П.Н. Нестерова (1887 - 1914), окончившего Воздухоплавательную школу в 1912 году (11701). Во время Великой Отечественной Войны на территории ул. Парковой 7 помимо ремонта авиадвигателей располагался цех по ремонту и восстановлению знаменитых «Катюш» (11701). </w:t>
      </w:r>
    </w:p>
    <w:p w14:paraId="5B6DDE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0CB6E2" w14:textId="77777777" w:rsidR="00A713EB" w:rsidRPr="002F2FDF" w:rsidRDefault="00A713E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1917 было подготовлен документ:</w:t>
      </w:r>
    </w:p>
    <w:p w14:paraId="7FD0BEB6" w14:textId="77777777" w:rsidR="00A713EB" w:rsidRPr="002F2FDF" w:rsidRDefault="00A713E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Положение дел в Рижском заливе накануне начала операции «Альбион» (с 29 сентября по 7 октября 1917).</w:t>
      </w:r>
    </w:p>
    <w:p w14:paraId="063138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Летом 1917 года в бытность мою начальником минной обороны Балтийского моря я получил приказание командующего флотом контр-адмирала Вердеревского ознакомиться с положением дел в Рижском заливе для того, чтобы в случае попытки неприятеля завладения им вступить в командование морскими силами залива. </w:t>
      </w:r>
    </w:p>
    <w:p w14:paraId="294A39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Командующим флотом, контр-адмиралом Развозовым мне было дано предписание от 20 июля: «В случае начала операций германского флота на Рижский залив, поручаю Вам, Господин Вице-Адмирал, принять на себя общее командование Морскими Силами Рижского залива и Моонзундской позицией для объединения их действий, как то ранее было предложено.» </w:t>
      </w:r>
    </w:p>
    <w:p w14:paraId="1F9F92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Назначение мое было вызвано теми соображениями, что обстоятельства могли потребовать усиления сил Рижского залива другими частями флота и возможны были трения между вновь пришедшими флагманами и постоянно находившимся в заливе начальником минной дивизии, который все время был младшим во флоте адмиралом (сначала был контр-адмирал Развозов, затем контр-адмирал Старк). Между тем, при появлении врага всем руководить должно было лицо, уже ознакомившееся с положением дел в заливе. Я был старшим из флагманов в действующем флоте, и потому, полагаю, выбор начальства остановился на мне.</w:t>
      </w:r>
    </w:p>
    <w:p w14:paraId="47C223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 как формировать новый штаб в это время вследствие недостатка офицеров было крайне затруднительно, мне во время моего пребывания в заливе непосредственно подчинили штаб минной дивизии. В то же время я оставался начальником минной обороны.</w:t>
      </w:r>
    </w:p>
    <w:p w14:paraId="7DC7FC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знакомства с Рижским заливом я несколько раз ходил туда на миноносцах, оставаясь там по нескольку дней, и по возвращении в Гельсингфорс входил с ходатайством к командующему флотом о замеченных мной и доложенных мне нуждах.</w:t>
      </w:r>
    </w:p>
    <w:p w14:paraId="7C200C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падения Риги, со второй половины августа (21-го числа), я почти беспрерывно находился в Рижском заливе и держал свой флаг на одном из миноносцев минной дивизии. Почти все время жил на стоявшем на Куйвастском рейде транспорте «Либава», на котором помещался штаб дивизии и который был соединен телефоном и юзом с берегом. Миноносец под моим флагом стоял ошвартовленным к «Либаве».</w:t>
      </w:r>
    </w:p>
    <w:p w14:paraId="749BB3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время моего пребывания в Рижском заливе в оперативном отношении мне были подчинены находившиеся там корабли, база Рогекюль и Церельские батареи.</w:t>
      </w:r>
    </w:p>
    <w:p w14:paraId="143243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Описание происходившего не может быть полным, так как при составлении отчета я не имел всех документов и никаких секретных карт, многие обещанные мне подробные донесения начальников отдельных частей, например, минной дивизии, 2-го дивизиона сторожевых судов, дивизионов тральщиков и т.п. мне не были даны, а донесения о сухопутных операциях совершенно отсутствуют. Цель отчета — пояснить стратегическую обстановку, меры, принимавшиеся для улучшения нашего положения и выполнения данных морским силам задач, состояние материальной части, работу и положение личного состава и дать краткое беспристрастное описание событий с 29 сентября по 7 октября.</w:t>
      </w:r>
    </w:p>
    <w:p w14:paraId="675891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Летом 1917 года для противодействия завладению неприятелем Рижским заливом в состав морских сил залива были назначены линейные корабли «Гражданин» и «Слава», крейсер «Баян», минная дивизия, из которой все время часть миноносцев отрывалась для выполнения разных поручений в Финском и Ботническом заливах, небольшая часть тральщиков, всегда крайне ограниченное число сторожевых судов и изредка миноносцы сторожевой дивизии. Потом были даны подводные лодки АГ и английские С. Кроме того в состав сил входили поочередно заградители, теплоходы, «Припять», три канонерские лодки и часть дозорных катеров.</w:t>
      </w:r>
    </w:p>
    <w:p w14:paraId="4BDE9F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защиты собственно Ирбенского прохода была поставлена 305-мм Церельская батарея, которую из-за отсутствия прикрытия (работы начались только осенью) нельзя было считать законченной, и для защиты её и отчасти подступов к Аренсбургу установили несколько мелких и противоаэропланных батарей на полуострове Сворбе. Предложенное капитаном 1-го ранга Кнюпфером оборудование новых батарей на Сворбе не было исполнено вследствие изменения средств и чрезмерных требований, предъявленных командами за выполнение работ. После нападения 17 сентября неприятельских аэропланов и происшедшего взрыва 305-мм погреба выбыло из строя 7 офицеров и 114 матросов разной специальности. Не все специалисты (и то поздно) были заменены, а из офицеров — никто: их заменить было некем.</w:t>
      </w:r>
    </w:p>
    <w:p w14:paraId="36A32B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самом Ирбенском проливе давно уже было поставлено и поддерживалось минное поле, которое отнюдь нельзя было считать минной позицией: 1) южный берег пролива принадлежал неприятелю и был сильно укреплен; 2) большая площадь поля давала возможность неприятелю все время производить тральные работы, и мы не могли уловить момент, когда он действительно намерен форсировать проход; к тому же благодаря этому полю мы лишены были возможности постоянного </w:t>
      </w:r>
      <w:r w:rsidRPr="002F2FDF">
        <w:rPr>
          <w:rFonts w:ascii="Times New Roman" w:hAnsi="Times New Roman" w:cs="Times New Roman"/>
          <w:color w:val="000000" w:themeColor="text1"/>
          <w:kern w:val="2"/>
          <w:sz w:val="16"/>
          <w:szCs w:val="16"/>
        </w:rPr>
        <w:lastRenderedPageBreak/>
        <w:t>наблюдения за неприятельскими тральщиками; 3) эти тральные работы неприятель мог производить совершенно без поддержки своего флота; 4) при прорыве неприятель благодаря устройству нашей позиции все время был гарантирован от наших атак миноносцами и подводными лодками, так как его защищали наши заграждения, поставленные параллельно берегу (это была, по моему мнению, громадная ошибка); 5) неприятель имел возможность сделать вдоль самого своего берега протраленный фарватер и следить за его исправным состоянием; 6) мы не имели возможности высылать из Рижского залива неожиданно для неприятеля наши миноносцы и подводные лодки к W, в море и, следовательно, 7) это поле лишило нас возможности производить разведки в Балтийском море из Рижского залива.</w:t>
      </w:r>
    </w:p>
    <w:p w14:paraId="2CC0AB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в Ирбенском проходе минной позиции у нас не было, было лишь минное поле, засыпанное и засыпаемое минами: неприятель тралил, мы подбавляли мин. Тем не менее обстановка заставляла продолжать такую позиционную борьбу.</w:t>
      </w:r>
    </w:p>
    <w:p w14:paraId="76922D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Главная база морских сил Рижского залива — рейд Куйваст, связанный удобным и безопасным от неприятеля путем с портом Рогекюль, находился сравнительно далеко от Ирбенской и Домеснесской позиций. Базироваться же на вспомогательные базы вблизи Сворбе, например, Аренсбург и бухту Пия нельзя было, так как мы не имели возможности и средств соответственно оборудовать их, как для временной стоянки больших судов (против подводных лодок), так и для подхода к ним ночью. Для защиты самого Куйваста было поставлено к югу от него минное заграждение и удлиненно существовавшее боновое. Я хлопотал об увеличении скорострельности 254-мм Моонской батареи, но ввиду скорого появления в Рижском заливе неприятельских сил к работам приступить не успели.</w:t>
      </w:r>
    </w:p>
    <w:p w14:paraId="60D9EA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Благодаря прекращению в 1917 году работ по углублению Моонзундского канала (глубина в 1916 году доведена до 26.5 фута (9.5 метра) и предполагалась значительно больше), помощи кораблям морских сил Рижского залива от главных сил Балтийского моря ожидать нельзя было, так как даже «Андрей Первозванный» и «Республика» (бывший «Император Павел I») не считались способными уменьшать свою осадку для прохода этим каналом.</w:t>
      </w:r>
    </w:p>
    <w:p w14:paraId="2315AE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Штаб командующего флотом считал высадку неприятеля на острова Эзель и Даго невероятной. Я же лично придерживался того мнения, что при форсировании Ирбенского прохода для овладения Рижским заливом неприятелю выгодно обеспечить свою операцию путем овладения важнейшим из островов Моонзунда — Эзелем с его батареями на полуострове Сворбе и путем запирания наших морских сил во внутренних водах Моонзунда. Поэтому я обратился к командующему флотом с просьбой об устройстве добавочных батарей на островах Эзель и Даго. Из-за отсутствия свободных орудий в этом было отказано, и командующий флотом приказал только поставить батареи из имевшихся в его распоряжении 130-мм орудий на некоторых выдающихся мысах южного берега Эзеля от Аренсбурга до Кюбосара и в Перновской губе на мысе Лиу (эти батареи в 1917 году не были поставлены).</w:t>
      </w:r>
    </w:p>
    <w:p w14:paraId="11DFFD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Гарнизон на островах также нельзя было считать достаточно сильным, и командующий флотом на приказание главнокомандующего северным фронтом усилить гарнизон Пернова и его района, выделив части из крепости Императора Петра Великого и Моонзундской позиции, ответил ему юзограммой 30 августа, что выделение частей невозможно, так как крепость и позиция требуют не только оставления всех частей, но и укрепления их, что помимо этого части не укомплектованы, а некоторые не окончили формирования.</w:t>
      </w:r>
    </w:p>
    <w:p w14:paraId="59103A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Посты службы связи, одной из наиболее исправных и сохранивших порядок частей Рижского залива, были расположены в Аренсбурге и от Цереля по западным пунктам островов Эзель и Даго. На южном же берегу Эзеля их не было, и когда в Рижском заливе появились неприятельские подводные лодки, нам самим пришлось установить пост на Кюбосаре, для чего были назначены сигнальщики с больших кораблей (мое распоряжение от 26 августа и 7 сентября пост открыл свои действия). Около этого же времени служба связи оборудовала пост Вейланде.</w:t>
      </w:r>
    </w:p>
    <w:p w14:paraId="5EABFB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службы капитан 1-го ранга Новопашенный шел навстречу нашим нуждам, просьбы наши им исполнялись, если к тому представлялась возможность. Разведок фактически мы производить не могли, но все же достаточно были осведомлены о движении и возможных намерениях неприятеля из его телеграмм. Жаль только, что последние по причинам, изложенным ниже, не всегда своевременно получались.</w:t>
      </w:r>
    </w:p>
    <w:p w14:paraId="06ED65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Воздушные аппараты, несмотря на наличие у нас нескольких отличных летчиков, по техническим качествам уступали немецким, которые брали верх также и своим количеством. Число истребителей было недостаточно. Аппараты часто портились, и исправление их задерживалось. За несколько дней до высадки немцев на Эзеле, именно 26 сентября, мне пришлось юзограммой донести командующему флотом, что вследствие неисправности гидропланов летчики на Сворбе не могут вылетать, чтобы распознать появившиеся неприятельские корабли, и просить о присылке исправных, взяв их с мест, где менее нужны. Бухта, выбранная кем-то для гидропланов на рейде Куйваст, оказалась годною для подъема их только в тихую погоду и когда нет зыби. В самом начале существования воздушной базы один аппарат из имеемых двух, пробуя лететь, сломался.</w:t>
      </w:r>
    </w:p>
    <w:p w14:paraId="5C552F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Крупнейшим злом было немецкое шпионство, с которым при создавшихся в то время обстоятельствах бороться было совершенно невозможно. Кто угодно под видом солдат мог свободно проезжать по Моонзунду и Рижскому заливу, узнавать наши безопасные фарватеры и быть на островах: никакого осмотра не было ни в Рогекюле, ни в Аренсбурге. Несколько раз об этом указывалось мной начальнику охраны Моонзунда и контр-адмиралу Свешникову, доносилось и докладывалось начальству, но их приказания просто не исполнялись. На местных жителей тоже положиться было нельзя, тем более, что не везде обращение наших команд с ними было вполне человеческое. Не мудрено, что немцы знали о наших силах, наших порядках, наших секретах много более, чем можно было предполагать. Как потом уже, после занятия немцами Моонзундских островов выяснилось, была целая неприятельская организация, которая входила во многие учреждения, обо всем имела сведения, агенты её служили даже на железной дороге Гапсаль–Ревель. Наблюдалось замечательное явление — в важных случаях и при ожидании крупных событий телеграфные и телефонные провода не были исправлены. Так как суда, приходившие в Рижский залив, делались мне подчиненными и все необходимые для них сведения должны были получать из штаба минной дивизии, для избежания лишней огласки о некоторых заграждениях, ставимых нами, с разрешения командующего флотом я не извещал его штаб, так что сведения о них были известны весьма небольшому числу лиц. Этим только я и объясняю взрывы нескольких неприятельских судов за период конец сентября — начало октября.</w:t>
      </w:r>
    </w:p>
    <w:p w14:paraId="4B06F9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Как выше было указано, большие суда, входившие в состав МСРЗ., были «Слава», «Гражданин» и «Баян». Вследствие предположения, что неприятель имеет протраленный фарватер вдоль южного берега Ирбенского пролива, и возможность прорыва его миноносцами и легкими крейсерами, я усиленно хлопотал о присылке в Рижский залив сравнительно быстроходных с сильной скорострельной и дальнобойной артиллерией крейсеров «Богатырь» и «Олег», которые раньше были более года под моей командой, знали меня и участвовали вместе со мною в нескольких походах к германским берегам. В присылке их мне было отказано. На линейном корабле «Слава» дальность 305-мм артиллерии была увеличена до 115 кабельтовых, на «Гражданине» же оставалась старая — 88 кабельтовых. Благодаря прекращению работ по углублению Моонзундского канала линейных кораблей больше нельзя было ожидать в Рижском заливе. Большие корабли относительно машин и вообще материальной части не жаловались мне. Совсем другое дело обстояло с минной дивизией и мелкими судами, которые за весьма малым исключением требовали постоянных переборок и исправлений в Рогекюле или Ревеле и Гельсингфорсе после небольших походов и даже стоянок в Аренсбурге и Куйвасте. Самой исправной частью были английские подводные лодки С, о которых могу отозваться лишь с величайшей похвалой: все поручения исполнялись ими точно, не только безропотно, но и с полным желанием принести военную пользу. Наши подводные лодки АГ, недавно вступившие в строй, благодаря малой опытности личного состава и, вероятно, несовершенству механизмов, часто выходили из строя. К тому же у этих лодок база почему-то стояла на Финляндском берегу и мне, несмотря на многократные просьбы, удалось вытащить её в Рогекюль только к самому концу (начальника дивизиона мне не удалось видеть). Лодки для исправления ходили в Ревель. Я просил несколько раз начальника дивизии подводного плавания о замене неисправных, и когда была возможность, капитан 1-го ранга Владиславлев мои просьбы исполнил и выслал мне один раз «Леопард», в другой раз — «Кугуар». «Леопард» (командир лейтенант Трофимов), несмотря на свою большую величину, блестяще выполнял данное ему поручение по наблюдению за входом в Двину. «Кугуар» же 24 сентября вследствие неисправности отказался выйти на данную ему работу.</w:t>
      </w:r>
    </w:p>
    <w:p w14:paraId="65A045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Дивизия траления и сторожевых судов, где зимний ремонт сильно задержался, ввиду большой работы в Балтийском морс, Финском и Ботническом заливах могли уделить только незначительную свою часть в Рижский залив, а надобность в этих судах, особенно после появления в заливе неприятельских подводных лодок и падения Риги очень усилилось. Транспорты к Менто, в Аренсбург и Пернов уже нельзя было посылать без конвоя, и потому наличные сторожевые суда только и занимались этим делом и отвлекались от своих прямых обязанностей. Я лично несколько раз просил командующего флотом об увеличении числа мелких судов и посылал ему юзограммы с просьбой о скорейшей присылке 2-го дивизиона сторожевой дивизии с начальником дивизиона (14 сентября, 22 сентября), в которых указывал, что для надобностей Морских сил Рижского залива остаются всего два сторожевых судна. С такими же просьбами я обращался и касательно тральщиков, причем направлял юзограммы и начальнику дивизии траления. 24 сентября последний ответил мне, что за неимением свободных, ни одного тральщика дать не может. Как обстояло дело с присылкой мне мелких судов, лучше всего характеризует моя юзограмма командующему флотом от 28 сентября, то есть накануне самого появления германцев, в которой я доношу, что у меня остался только один тральщик «Минреп» и последняя русская подводная лодка вышла из строя. Того же числа мной была получена неожиданная для меня юзограмма начальника оперативной части штаба командующего флотом, что 28 или 29 перейдет в мое распоряжение первый дивизион моторных катеров-тральщиков, для того чтобы на всякий случай протралить выход из Соэлозунда. Того же числа юзограммой № 202 я просил начальника штаба минной обороны выслать в мое распоряжение мелкосидящие «Зею», «Бурею» или «Иртыша». Раньше, 13 сентября, на случай боя и вывода из него поврежденных кораблей я потребовал присылки буксира со всеми принадлежностями.</w:t>
      </w:r>
    </w:p>
    <w:p w14:paraId="50A590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падением Риги обстановка для нас значительно ухудшилась: 1) мы потеряли вторую важную базу для подводных лодок и мелких судов, и в то же время неприятель, до сих пор не имевший в Рижском заливе удобного места для стоянки своих судов и порта для ремонта их, сразу приобрел таковые и 2) правый фланг нашей армии, упирающийся в море, оказался не защищенным. Заметно стало свободное хождение неприятельских подводных лодок по заливу, постановка ими минных заграждений и обстрел наших берегов.</w:t>
      </w:r>
    </w:p>
    <w:p w14:paraId="7A9D78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Главнейшей задачей, поставленной мне, было содействие нашей армии в обороне Рижского побережья и, в частности, Перновского района. Конечно, это содействие должно было выразиться прежде всего в воспрепятствовании неприятелю форсировать Ирбенский пролив.</w:t>
      </w:r>
    </w:p>
    <w:p w14:paraId="063789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Отправляя меня в августе в Рижский залив, командующий флотом передал мне, что использование вверенных мне морских сил зависит от моего усмотрения сообразно обстоятельствам, но нужно помнить, что они, особенно минная дивизия, будут нужны при обороне Финского залива и, самое важное, центральной позиции. Если немцы прорвутся в залив и мы будем заперты с юга в Моонзунде, я своевременно получу от него в зависимости от общего плана указания, как поступить с кораблями.</w:t>
      </w:r>
    </w:p>
    <w:p w14:paraId="1BAC97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Как видно из всего вышеприведенного, нельзя сказать, чтобы обстоятельства сложились для нас вполне благоприятно, но при обыкновенных условиях могла быть надежда задержаться в заливе до появления льда в расчете, что к весне многое изменится к лучшему.</w:t>
      </w:r>
    </w:p>
    <w:p w14:paraId="472D2F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приведения всего в возможный порядок сверх выше указанных мер и беспрестанных надоедливых просьб командующему флотом и его штабу, для выполнения задачи предпринято было усиление минного поля в Ирбенском проливе и на подходе к нему от W со стороны Балтийского моря. Когда позволяла погода и обстоятельства, в местах, где работали немецкие тральщики и нами предполагался делаемый ими фарватер, по ночам ставились минные банки с теплоходов и дозорных катеров; к W работала преимущественно «Припять» с её энергичным и смелым командиром старшим лейтенантом Медведевым 2-м. Была усилена так называемая Домеснесская позиция. Для защиты 305-мм Церельской батареи от обстрела её неприятельскими кораблями в направлении от W на NW от неё был поставлен ряд банок.</w:t>
      </w:r>
    </w:p>
    <w:p w14:paraId="2B7ECC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Когда началось движение немецких судов в Балтийском море у Либавы и Виндавы, я доложил командующему флотом о желательности иметь подводные лодки на внешней позиции, снаружи Ирбенского прохода. На это начальник штаба командующего флотом сначала ответил мне, что они будут высланы, но когда я справился о точном месте, где они находятся, мне 4 сентября неожиданно ответили, что подводные лодки к Ирбену высланы не будут.</w:t>
      </w:r>
    </w:p>
    <w:p w14:paraId="3A8153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Чтобы по возможности оградить себя со стороны моря, нами предложено было с «новиков» поставить минные банки вдоль берега Балтийского моря, в районе Либава–Виндава–Люзерорт. Не имея сведений, где в море ходят наши подводные лодки, я отправил к командующему флотом офицера с докладом о предполагаемой экспедиции и через него получил ответ, что её следует отменить, так как возможная при этом потеря одного или нескольких миноносцев сильно повлияет на моральное состояние команд.</w:t>
      </w:r>
    </w:p>
    <w:p w14:paraId="0E6235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нашей главной опоре при попытке неприятеля прорвать Ирбенский проход, 305-мм Церельской батарее, установленной с таким трудом только благодаря энергии капитана 1-го ранга Кнюпфера, работы с весны оставляли желать много лучшего, и орудия, и погреба не были защищены до осени. У капитана 1-го ранга Кнюпфера происходили трения со строительной частью позиции и, по его словам, он тщетно добивался исполнения своих законных и насущных требований от штаба позиции. Лично и через меня (так как батареи в боевом отношении при появлении неприятеля в Ирбенском проходе были подчинены мне) для ускорения работ он просил командующего флотом подчинить ему строительную часть, но последний вследствие существующих законоположений не мог этого исполнить. Команды батарей были достаточно обучены и настроение людей было довольно бодрое, в чем лично я мог убедиться во время одного из посещений батареи, когда произошел налет неприятельских аэропланов. Взрыв погреба 17 сентября при значительных жертвах произвел, по докладу капитана 1-го ранга Кнюпфера, на команду удручающее впечатление.</w:t>
      </w:r>
    </w:p>
    <w:p w14:paraId="68B21F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Придавая крайне важное значение Церельской батарее, сейчас же после телеграфного донесения командующему флотом о взрыве погреба, юзограммой (17 сентября) я просил его распоряжения о срочной замене офицеров. 20 сентября по получении от капитана 1-го ранга Кнюпфера сведений об убитых и раненых специалистах юзограммой просил начальника штаба командующего флотом о скорейшей замене их по возможности желающими и знакомыми с крупной артиллерией и повторил просьбу капитана 1-го ранга Кнюпфера о назначении начальником технической части одного из артиллерийских офицеров дредноутов и командира 305-мм батареи также оттуда. Вследствие неисполнения моих просьб 25 сентября юзограммой донес командующему флотом: </w:t>
      </w:r>
    </w:p>
    <w:p w14:paraId="147873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«Сейчас батарея № 43 без офицеров. Как доносил, на неё нужен опытный артиллерийский офицер с дредноутов, иначе батарею нельзя считать действующей. Присоединяюсь к просьбе чинов на Сворбе и прошу о назначении старшего лейтенанта Машукова. Рекомендуют также Михайлова с «Полтавы». № 183 р. Бахирев.» </w:t>
      </w:r>
    </w:p>
    <w:p w14:paraId="6BE44C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получив ответа, с просьбой о нем обратился к командующему флотом 27 сентября, и только тогда был командирован Машуков сроком на 2 недели и назначен механик-электрик мичман Розенберг. Остальные офицеры заменены не были. Выбывшие из строя специалисты-матросы заменены были поздно и небольшой частью и, к сожалению, присланы были не лучшие люди.</w:t>
      </w:r>
    </w:p>
    <w:p w14:paraId="306973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время моего командования 1-й бригадой линейных кораблей я усиленно хлопотал об изготовлении для 305-мм орудий удушливых снарядов, и мне удалось добиться их получения. Снаряды были безопасны в обращении и имели достаточное количество ядовитого вещества. Узнав, что летом 1917 года бригада отказалась от них, я, переговорив с капитаном 1-го ранга Кнюпфером, юзограммой 11 сентября просил о присылке их на Церельскую батарею. Снаряды пришли на Гапсаль уже после её сдачи.</w:t>
      </w:r>
    </w:p>
    <w:p w14:paraId="587272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наблюдения за Ирбенским полем и для противодействия неприятельским тральщикам на нем сначала у Сворбе, а с появлением неприятельских подводных лодок в Аренсбурге держались дежурные отряды, в состав которых с конца августа входили миноносцы типа «Новик», угольные миноносцы, одна канонерская лодка и весьма редко, когда позволяли обстоятельства, сторожевые суда. На обязанности старшего на рейде лежала постоянная связь со мной и капитаном 1-го ранга Кнюпфером, в пасмурную погоду или при появлении неприятельских тральщиков — посылка в мешок (участок Ирбенского пролива, свободный от мин и предназначенный для маневрирования при отражении атак противника), смотря по обстоятельствам, сторожевых судов, миноносцев или миноносцев с канонеркой. Этому отряду могли даваться и другие поручения. Когда позволяла погода, наблюдение за минным полем производилось гидропланами и дозорными катерами капитана 2-го ранга Кира-Динжана. Кроме того на позицию у Домесненса посылалась подводная лодка.</w:t>
      </w:r>
    </w:p>
    <w:p w14:paraId="39AF17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Маневренное пространство на Ирбенской позиции следовало постоянно тралить, но этого выполнить нельзя было, так как штаб командующего флотом вследствие больших работ в других местах Балтийского моря не мог уделить нам значительного количества тральщиков. Поэтому работы здесь производились редко и преимущественно контрольными галсами. С появлением в Рижском заливе неприятельских подводных заградителей исправным тральщикам приходилось постоянно работать в южных выходах из Моонзунда и в местах, где были обнаружены немецкие подводные лодки.</w:t>
      </w:r>
    </w:p>
    <w:p w14:paraId="0D3023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Домеснесскую позицию, чтобы не обнаружить её границ, совсем не тралили, тем более, что её в районе почти постоянно находилась наша подводная лодка.</w:t>
      </w:r>
    </w:p>
    <w:p w14:paraId="0ADE43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сентября в маневренном мешке у шаровой вешки № 4 в пасмурную погоду взорвался на мине заграждения или был взорван самодвижущейся миной посланный из Аренсбурга на разведку эскадренный миноносец «Охотник». Ни командир, ни офицеры не пожелали оставить судно и вместе с ним пошли ко дну. Из сбивчивых объяснений спасшейся команды я склоняюсь к тому мнению, что «Охотник» был подорван миной с неприятельского гидроплана или подводной лодки, так как в это время он стал на якорь и матросы видели несколько низко летевших аэропланов. 21 сентября мешок был протрален контрольными галсами, у вешки № 4 более тщательно, и мин обнаружено не было. Конечно, не отпадает возможность того, что «Охотник» погиб от неприятельской мины заграждения. На мое донесение о гибели «Охотник» я в тот же день получил телеграфное запрещение посылать по одному миноносцы в опасные зоны с требованием неуклонного исполнения всеми этого правила. Это приказание вследствие крайней малочисленности исправных миноносцев было почти равносильно отмене посылок их куда-либо. Да и зону отправлявший «Охотника» начальник дозорной группы не мог считать опасной, так как в этих местах часто ходили миноносцы и канонерки, и в ясную погоду мешок виден с Цереля и батарей. Как потом передавали, посылка этой юзограммы командующим флотом была вынуждена обстоятельствами: для сохранения боевой силы ему нельзя было не считаться с мнениями и постановлениями разных комитетов и собраний команд. Тем же я объясняю отмену выхода подводных лодок к W от Ирбена и постановка с «новиков» минных банок вдоль Ого побережья Балтийского моря от Либавы до Люзерорта.</w:t>
      </w:r>
    </w:p>
    <w:p w14:paraId="0BCB16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случай форсирования неприятелем Ирбенского прохода были составлены инструкции для действия судов и батарей в маневренном пространстве и на Домеснесской позиции и специально для Рижского залива разработан маневренный код. для подводных лодок были назначены места на случай прорыва неприятеля и отхода наших кораблей в Моонзунд. Было подозрение, что на берегу у Домеснеса неприятелем установлена сильная батарея, присутствие которой в значительной степени изменило бы положение в пользу немцев. Попытка осмотра воздушными аппаратами была неудачна; поэтому 31 августа были посланы три «новика» обстрелять берег у Домеснеса с целью обнаружения неприятеля. На берегу замечены были пожары, но неприятель на выстрелы не отвечал.</w:t>
      </w:r>
    </w:p>
    <w:p w14:paraId="092E3D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отступления нашей армии от Риги для защиты её правого фланга против Петерскапелле нашими миноносцами 27 августа было поставлено минное заграждение с расчетом, чтобы наши корабли свободно могли маневрировать между ним и берегом и вместе с тем оно служило бы зашитой от неприятельских подводных лодок. В штаб стоявшего на фланге VI корпуса был отправлен офицер с несколькими матросами для устройства сообщения сигналами при подходе наших кораблей. По моей просьбе для защиты наших мелких судов на берегу была установлена аэробатарея и станция беспроволочного телеграфа, были разработаны карты квадратов и восстановлены сожженные при отступлении армии шифры. 26 августа я вошел в радиосвязь с VI Сибирским корпусом. Для выяснения требований, которые нам предъявляет армия, и чем и как мы можем помочь ей, был отправлен в штаб XII армии состоявший в моем распоряжении капитан 2-го ранга Муромцев.</w:t>
      </w:r>
    </w:p>
    <w:p w14:paraId="4DEBDD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уходе из Риги старшему морскому начальнику капитану 1-го ранга Постельникову не удалось закрыть вход в реку затоплением данных ему для этого пароходов (обещанных раньше капитаном 2-го ранга Котовским барж с камнями и цементом не было) и снять ограждение входа в Двину. В Риге остались лоцмана и, по полученным мною сведениям, были спрятаны до 50 паровых и моторных барказов и катеров. Трудно было думать, что неприятель будет сидеть, сложа руки, и не постарается в возможно кратчайшее время протралить и обставить вход в реку. Сначала предполагалось перекрыть вход в Двину минным заграждением, но потом, так как оно было бы недолговечно и могло стеснить нас самих, особенно в осеннюю погоду, решено было действовать подводными лодками. Поэтому и для наблюдения за входом было установлено их дежурство. Посылались действовавшие всегда без отказа английские лодки и один раз временно данный в мое распоряжение «Леопард». Лодки подходили через заграждения к Усть-Двинску вплотную и ходили вдоль самого берега. Предположения наши оправдались, фарватер был огражден и, по-видимому, протрален. На берегу был поставлен ряд прожекторов. Я просил штаб армии временами посылать летчиков, чтобы знать, что происходит на реке.</w:t>
      </w:r>
    </w:p>
    <w:p w14:paraId="6C8FE3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Для наблюдения за западным берегом Рижского залива временами посылались вдоль него миноносцы и подводные лодки. Для охраны восточного берега Рижского залива и Перновского водного района вдоль берега был установлен ряд наблюдательных постов, и начальником охраны (с подчинением мне) 30 августа командующий флотом назначил капитана 2-го ранга Нелидова, в ведение которого состояли речная флотилия, средства Усть-Двинской крепости и катера морской охраны. Я просил </w:t>
      </w:r>
      <w:r w:rsidRPr="002F2FDF">
        <w:rPr>
          <w:rFonts w:ascii="Times New Roman" w:hAnsi="Times New Roman" w:cs="Times New Roman"/>
          <w:color w:val="000000" w:themeColor="text1"/>
          <w:kern w:val="2"/>
          <w:sz w:val="16"/>
          <w:szCs w:val="16"/>
        </w:rPr>
        <w:lastRenderedPageBreak/>
        <w:t>командующего флотом ускорить постройку морской 130-мм батареи на мысе Лиу, которая могла стрелять поперек губы и защищать предполагаемые наши заграждения. Кроме того просил об установке в Перновском заливе двух 152-мм сухопутных батарей Канэ с готовыми уже платформами, которые были в распоряжении северного фронта. Для обучения стрельбе по кораблям существовавших уже Перновских сухопутных батарей (в чем, мое мнение, они сильно нуждались) мной в их распоряжение был дан плавучий щит. Кроме того. для защиты Пернова предлагал дать канонерскую лодку «Грозящий» с её 152-мм орудиями. Когда начали получаться тревожные сведения о движениях неприятеля в Балтийском морс, с заградителей и миноносцев, 28 сентября поставлены были минные заграждения против Гайнаша и при входе в Перновский залив.</w:t>
      </w:r>
    </w:p>
    <w:p w14:paraId="671995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Опыт показал, что при наличии в Рижском заливе (особенно ночью) малого числа приметных мест для определения, плавание в нем для подводных лодок в навигационном отношении не было особенно легким; и потому решено было ставить заграждения только в случае крайней надобности.</w:t>
      </w:r>
    </w:p>
    <w:p w14:paraId="5B97A3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смысле техническом суда Рижского залива, как и весь Русский флот, благодаря плохо законченным ремонтам и почти отсутствию постоянного правильного наблюдения офицерского состава за материальной частью, в 1917 году значительно понизились по сравнению с предыдущими годами. Приходилось наталкиваться на такие вещи, которые предугадать совершенно было невозможно. Для пояснения приведу несколько характеризующих состояние материальной части примеров. 26 августа посланные к Петерскапелле наши миноносцы дважды были атакованы неприятельскими аэропланами и не могли открыть огня из своих аэропушек. Миноносец сторожевой дивизии, поставленный ночью к вехе для указания места её входившему с моря кораблю, не мог открыть прожектора. Когда 4 октября для окончательного уничтожения «Славы» по ней были выпущены несколько мин Уайтхеда, взорвалась только одна. Ввиду важности случившегося я просил расследовать дело, и главный минер Балтийского флота капитан 2-го ранга барон Мирбах сказал мне, что после тщательной проверки происшедшего оказалось, что взрывов не произошло только вследствие небрежного хранения мин и отсутствия ухода за ними. «Хивинец», все время стоявший в Гельсингфорсе и никем не беспокоимый, пришел в Рижский залив с таким числом часов (до 800) работы котлов, что сразу начал проситься временно вывести его из строя. Много подобных случаев было с механизмами и котлами. Часто работы, которые раньше производили судовыми средствами и продолжительность которых определялась часами, теперь передавались мастерским и тратилось время на переход из Куйваста в Рогекюль и обратно. Кадры опытных кондукторов и сверхсрочнослужащих были уничтожены! И вообще молодежь старалась вытеснить стариков с кораблей.</w:t>
      </w:r>
    </w:p>
    <w:p w14:paraId="637183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Корабли, с весны базировавшиеся на Моонзунде, благодаря стараниям бывшего начальника минной дивизии контр-адмирала Развозова в смысле военном, то есть стрельбе артиллерийской и минной, постановке мин заграждения и тому подобное, можно сказать, были обучены удовлетворительно; к сожалению, того же нельзя сказать про суда. пришедшие в конце лета.</w:t>
      </w:r>
    </w:p>
    <w:p w14:paraId="14BD20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 самое тяжелое, при разработке планов операций и при выполнении их нам приходилось принимать в расчёт и моральный элемент, который нельзя было считать равной силы с противником: уже опыт с нашей армией показал, насколько в этом смысле мы мало надежны.</w:t>
      </w:r>
    </w:p>
    <w:p w14:paraId="369D50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Команда под влиянием агитации не доверяла офицерам; при постоянной близости к неприятелю результатом этого явилась излишняя нервность, в опасные минуты переходящая в растерянность, а в трудные — превращавшаяся даже в панику (случай с «Громом» 1 октября, со «Славой» 4 октября). Чего раньше не замечалось, на походах в теплую и ясную погоду вдали от неприятеля и в местах, где присутствие заграждений трудно предполагать, весьма многие одевали капковые жилеты. Во время стоянки в Аренсбурге мало кто ложился спать. Забота о своей безопасности доходила до того, что 11-й дивизион эскадренных миноносцев при стоянке на Аренсбургском рейде, где, кажется, бояться мало чего было, для своей охраны требовал катера и даже нарядил делегацию для поиска подходящих барказов. Главнейшей заботой «Славы» по приходе её на Куйвастский рейд были постоянные запросы о глубине в Моонзундском канале.</w:t>
      </w:r>
    </w:p>
    <w:p w14:paraId="4C2012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Дисциплина, можно сказать, отсутствовала, и в командах было сознание полной безответственности и уверенности, что они все могут сделать со своими начальниками.</w:t>
      </w:r>
    </w:p>
    <w:p w14:paraId="057138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Судовые комитеты желали вмешиваться во все, в чисто военную часть, и даже требовали своего присутствия при наборе и разборе оперативных телеграмм. На некоторых кораблях такой контроль даже был осуществлен и даже вскрывались секретные пакеты. Когда немцы обратили своё внимание на Рижский залив, неприятельские агенты и их приспешники, конечно, повели более усиленную пропаганду среди команд. Распускались невероятные слухи о положении среди страны, на фронтах, указывали точную сумму, за которую генералами была продана Рига. Если стать на точку зрения команды, верившей этим вздорным слухам, требование контроля делается легко объяснимым. Но все дело в том, что при осуществлении его секрет уже переставал оставаться секретом и, главное, к этому делу примазались бы темные силы с нечистыми от немецких денег руками. На этом же основании я уже раньше докладывал командующему флотом о недопустимости передаваемых шифром приветственных и подбадривающих радиотелеграмм, посылаемых кораблями друг другу. (Замечательно, что в этих телеграммах более всего желали лечь костьми в Рижском заливе корабли, заведомо не могшие пройти Моонзундом). Против оперативного контроля я боролся всеми возможными мерами и, наконец, добился, чтобы он был уничтожен на тех кораблях, где уже существовал.</w:t>
      </w:r>
    </w:p>
    <w:p w14:paraId="63931A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Приказания начальников обсуждались комитетами, а то и общими собраниями команды и часто не исполнялись. Здоровых кораблей, можно сказать, не было и перемен к лучшему нельзя было ожидать. Начальник минной дивизии контр-адмирал Старк передавал мне, что падение дисциплины и вообще ухудшение отношений между офицерами и командами усилилось с присоединением к морским силам Рижского залива «Славы» и «Хивинца».</w:t>
      </w:r>
    </w:p>
    <w:p w14:paraId="1D5DC0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Политиканство распространилось вовсю: чуть не ежедневные сборы делегатов с кораблей, вечные переговоры по семафору и клотиковыми лампочками, частые митинги на берегу, общие собрания на кораблях только отвлекали людей от дела, которое и так-то не особенно спорилось, и держали и без того нервничающие команды в ещё более напряженном состоянии. Некоторые командиры миноносцев, чтобы хоть немного направить умы людей к настоящему военному делу, просились на несколько дней перейти ближе к неприятелю, к Сворбе или в Аренсбург, где чаще были налеты неприятельских аэропланов.</w:t>
      </w:r>
    </w:p>
    <w:p w14:paraId="30B937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Юзограммы и телефонограммы политического и распорядительного (от разных комитетов) характера передавались в первую очередь, чисто оперативные задерживались, так что мне несколько раз и словесно и по юзу пришлось просить распоряжения командующего флотом о прекращении этого беспорядка.</w:t>
      </w:r>
    </w:p>
    <w:p w14:paraId="4C9440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августа общее собрание доверенных делегатов морских и крепостных сил Рижского залива потребовало от меня учреждения оперативного контроля, и, когда я на это не согласился, оно по телефону обратилось с этим требованием к командующему флотом, причем в разговоре указало, что общее собрание команд находит обоснованным не доверять мне до принятия выборного контроля (к сожалению, о выраженном мне недоверии я узнал много позже). Командующий флотом имел после этого разговор с ними и со мной и, согласившись со мной, просил дело уладить.</w:t>
      </w:r>
    </w:p>
    <w:p w14:paraId="6E872E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сентября на «Славе» в судовом карцере командой был арестован старший инженер-механик капитан 2-го ранга Джелепов за отказ дать подписку на резолюции относительно происходивших в то время событий. На следующий день мне пришлось его на миноносце отправить в Гельсингфорс на «Кречет» в распоряжение штаба командующего флотом. Командир «Славы» капитан 1-го ранга Антонов незадолго до боя докладывал мне, что он вообще в своей команде не уверен и что во время какой-либо операции возможен случай, что команда решит не идти в назначенное место и в случае неисполнения её желания перевяжет его и офицеров.</w:t>
      </w:r>
    </w:p>
    <w:p w14:paraId="5308F9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сентября возвращавшийся с дежурства из Аренсбурга «Победитель» под брейд-вымпелом начальника 11-го дивизиона эскадренных миноносцев капитана 2-го ранга Пилсудского вошел на рейд Куйваст большим ходом, раскачал транспорт «Либаву» со стоявшим у его борта «Новиком» и оборвал швартовы у некоторых тральщиков и дозорных судов, бывших у пристани. По просьбе контр-адмирала Старка, не раз требовавшего уменьшения хода на рейдах, я объявил своё неудовольствие «Победителю» за большой ход. На это «Победитель» поднял сигнал: «Флот извещается, начальник минной дивизии страдает от качки.» Большая часть судов на рейде этот сигнал отрепетовала. Мною была послана юзограмма (21 сентября) командующему флотом с мотивированной просьбой об отчислении меня от должности командующего морскими силами Рижского залива. С нарочным мною был отправлен более подробный рапорт об этом, также представлен подобный рапорт контр-адмирала Старка. Дело затянулось до высадки немцев на Эзель 29 сентября, когда, конечно, было уже не до решения этих споров.</w:t>
      </w:r>
    </w:p>
    <w:p w14:paraId="1A68AF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сожалению, этот случай никого ничему не научил, и тот же «Победитель» под тем же брейд-вымпелом повторил 1 октября этот в высшей мере не морской маневр уже в боевой обстановке на Кассарском плесе, когда он прошел большим ходом мимо канонерской лодки «Храбрый», шедшей малым ходом с ошвартовленным к ней подбитым неприятельскими снарядами «Громом». Швартовы были оборваны, и это было причиной гибели «Грома» (рапорт командира «Храброго» от 3 и 13 октября, донесение командующему флотом начальника минной дивизии).</w:t>
      </w:r>
    </w:p>
    <w:p w14:paraId="3D244F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Падение дисциплины среди команд выразилось и во многих кажущихся мелочах, но в жизни кораблей имеющих громадное значение: вахтенная служба упала, уезжали в отпуск и в бесчисленные политические и хозяйственные командировки нужные для боя люди и тому подобное.</w:t>
      </w:r>
    </w:p>
    <w:p w14:paraId="351A1E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Несмотря на все это, я был уверен и теперь мне кажется, я был тогда прав, что добрая половина судовых команд, пробывших с ранней весны в Рижском заливе, искренне желала дать отпор врагу и отстоять залив от овладения неприятелем.</w:t>
      </w:r>
    </w:p>
    <w:p w14:paraId="4620FA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морских батареях люди очень заботились о возможности своевременного отступления, и прислуга Моонзундских батарей для этой цели даже требовала в своё исключительное распоряжение буксиры. С сухопутными войсками, расположенными на островах, дело обстояло, по-видимому, хуже.</w:t>
      </w:r>
    </w:p>
    <w:p w14:paraId="7A39FE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Общее положение дел, конечно, не могло не отразиться и на офицерах: вечные недоразумения и трения с командой, взаимное недоверие породили нервность, частые ослушания, малое желание что-либо делать и безнадежность на улучшение отнимали энергию у офицеров. Редко, правда, но все же были разговоры среди офицеров, что все равно с такою командою ничего не поделаешь и нет никакой надежды на военный успех. Некоторые офицеры и даже командиры из-за нервного расстройства должны были покинуть свои корабли. Командир «Славы», в политическом отношении самого беспокойного корабля, капитан 1-го ранга Антонов за стоянку в Моонзунде изнервничался, часто прихварывал; по моему докладу командующему флотом и по совместному обсуждению с ним, все-таки решено было не сменять его, так как трудно было найти охотника командовать «Славой», да и команда корабля не всякого командира приняла бы.</w:t>
      </w:r>
    </w:p>
    <w:p w14:paraId="1DE421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количественном отношении боевые корабли офицерским составом были укомплектованы сносно; но на судах, особенно больших, был значительный процент совсем неопытных молодых мичманов, которые к тому же в училище или гардемаринских классах проходили сокращенный курс. Были и мичманы военного времени. Были случаи, что продвигались вверх офицеры, в мирное время не по своей воле ушедшие со службы и во время войны вновь принятые на неё.</w:t>
      </w:r>
    </w:p>
    <w:p w14:paraId="53E058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На «Хивинце» перед самым началом немецкой операции не было ни командира, ни старшего офицера, и в командование вступил совсем молодой лейтенант Афонасьев. С «Храброго» командиру из-за его родства с генералом Корниловым пришлось уйти. (Правда, его заместил достойнейший старший офицер старший лейтенант Ренненкампф.) На некоторых кораблях были командиры, выбранные самими командами. Опыт с выборными начальниками во флоте оказался неудачным; выбирались большею частью не лучшие кандидаты, а часто из-за покладистого характера; да и сами выборы происходили не всегда без инициативы и помощи самих избираемых. В защиту некоторых известных мне выбранных командиров судов Рижского залива («Охотник», «Гром» (8) и некоторых других) должен сказать, что на своих прежних должностях это были прекрасные офицеры, из которых выработались бы отличные капитаны, но их большой недостаток — непрохождение всех необходимых ступеней службы и малая для командования опытность в военно-морском деле, что и сказалось в особенно трудные минуты.</w:t>
      </w:r>
    </w:p>
    <w:p w14:paraId="60C077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Батареи и вспомогательные суда были укомплектованы хуже, а замена выбывавших из строя офицеров почти не осуществлялась.</w:t>
      </w:r>
    </w:p>
    <w:p w14:paraId="52A710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Выше мной было указано на большую нехватку офицеров на Церельской батарее уже при появлении немцев, то же самое можно сказать и про флотилию капитана 2-го ранга Нелидова: с самого начала поступления её в мое ведение я хлопотал о назначении на её суда морских офицеров (моя юзограмма в штаб командующего флотом 11 сентября), сам капитан 2-го ранга Нелидов ездил с моего согласия в штаб с просьбой о том же; штаб не мог найти свободных офицеров, и, когда неприятель был уже на островах и входил в Рижский залив, на обоих вооруженных артиллерией пароходах не было ни одного морского офицера (моя юзограмма начальнику штаба 3 октября).</w:t>
      </w:r>
    </w:p>
    <w:p w14:paraId="6E3373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Существуют подозрения, что в некоторых случаях, когда начальство находило нежелательным выполнение какого-либо приказания, оно действовало через команду, которая общим собранием выносила соответствующее постановление, и часто добивалось отмены приказания. Такие случаи в Рижском заливе мне не известны, и я уверен, что их там не было.</w:t>
      </w:r>
    </w:p>
    <w:p w14:paraId="46F133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появлении немцев не все сошло гладко, но как офицерство не было низко поставлено, как ни старались унизить его ещё больше все, кому не лень, оно терпеливо оставалось на своих постах, стремилось принести пользу России и родному флоту и, в общем, жаждало воинских подвигов.</w:t>
      </w:r>
    </w:p>
    <w:p w14:paraId="2E42B8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Командующий флотом был в гораздо худших условиях, чем я в Рижском заливе, и большую часть времени ему приходилось уделять на то, что собственно не имело прямого отношения к командованию флотом. Как он говорил позже мне, некоторые отказы его в моих просьбах делались не потому, что он не соглашался с моими доводами, а исключительно благодаря внешним обстоятельствам, совершенно не касавшимся боевого дела. Мне передавали, что некоторые срочные его приказания мне и ответы на мои просьбы делались чинами штаба во время частых, вынужденных разными причинами, его отлучек с флагманского корабля.</w:t>
      </w:r>
    </w:p>
    <w:p w14:paraId="50A06B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Первое время после падения Риги в Балтийском море было тихо, но с половины сентября я начал получать от капитана 1-го ранга Новопашенного и из штаба XII армии тревожные извещения о движении немецких судов в Балтийском море на O [Ost–восток] и в районах Либавы и Виндавы.</w:t>
      </w:r>
    </w:p>
    <w:p w14:paraId="354D5B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сентября мною получено известие, что в ближайшее время ожидается приход в Балтийское море больших неприятельских сил. Дал знать об этом капитану 1-го ранга Кнюпферу.</w:t>
      </w:r>
    </w:p>
    <w:p w14:paraId="73A8D7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сентября XII армия сообщила мне, что ночью ожидается нападение и высадка неприятеля на Эзель. Уведомил об этом Аренсбург, начальника Моонзундской позиции и капитана 1-го ранга Кнюпфера.</w:t>
      </w:r>
    </w:p>
    <w:p w14:paraId="2F55D0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сентября, по телеграмме капитана 1-го ранга Новопашенного, на параллели Фильзанда находился один отряд неприятельских миноносцев, вообще в море их две флотилии.</w:t>
      </w:r>
    </w:p>
    <w:p w14:paraId="0A1FE4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сентября начальник оперативной части штаба командующего флотом уведомил меня, что 28-го назначаются неизвестные нам операции германского флота Балтийского моря. Сообщил содержание контр-адмиралу Свешникову и приказал капитану 1-го ранга Кнюпферу быть особенно внимательным.</w:t>
      </w:r>
    </w:p>
    <w:p w14:paraId="048C00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последние дни с появлением тревожных известий о германском флоте я задержал в Рижском заливе некоторые суда, которые должны были идти на отдых.</w:t>
      </w:r>
    </w:p>
    <w:p w14:paraId="09E99D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Все, что происходило со времени поднятия моего флага в Рижском заливе до появления немцев у берегов Эзеля и Даго, достаточно освещают сохранившиеся у меня копии важнейших юзограмм и телефонограмм </w:t>
      </w:r>
    </w:p>
    <w:p w14:paraId="62484D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Прил. 3</w:t>
      </w:r>
    </w:p>
    <w:p w14:paraId="0AC7E8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Юзограмма о случае с «Победителем».</w:t>
      </w:r>
    </w:p>
    <w:p w14:paraId="322826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сентября 1917 года.</w:t>
      </w:r>
    </w:p>
    <w:p w14:paraId="494769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Комфлот. </w:t>
      </w:r>
    </w:p>
    <w:p w14:paraId="539FA6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Доношу о случае, бывшем вчера и характеризующем состояние Рижских сил. При входе на рейд «Победитель» прошел большим ходом и раскачал «Либаву» с ошвартовленным к нему «Новиком». По просьбе адмирала Старка, не раз требовавшего малый ход на рейде, я объявил свое неудовольствие «Победителю» за большой ход. На это «Победитель» объявил сигналом, что флот извещается: «Намобор страдает от качки». Как выяснилось потом, сигнал был поднят по общему постановлению команды «Победителя». Случаи неисполнения приказаний имели место уже не раз за мое кратковременное пребывание в Рижском заливе. Адмирал Старк доложил мне, что более уже не в силах оставаться на должности наминдива, просит об отчислении его и теперь подал рапорт. Со своей стороны я также прошу освободить меня от командования Рижскими силами, так как, несмотря на крепкие нервы, постоянные трения и тщетные старания поддержать порядок мешают мне отдать все способности на оборону залива, заставляют напрасно растрачивать силы, и я начинаю терять надежду на успех. Поэтому считаю себя мало пригодным к ответственной должности командующего Рижскими силами в такое важное время и считаю нравственным долгом просить заменить меня более подходящим и популярным среди команд флагманом, которого можно назначить на это время из другой части флота. Предвидя Ваши возражения, доношу, что благодаря указанному выше, в нужный момент я могу оказаться не на высоте, и тогда запоздавшая замена может не поправить дела. Эту юзограмму я прочитал адмиралу Старку, и он сказал, что причины, побуждающие его просить об отчислении, одинаковы с моими. Прошу ответа относительно меня и адмирала Старка. № 157 р.</w:t>
      </w:r>
    </w:p>
    <w:p w14:paraId="2ED111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Бахирев. </w:t>
      </w:r>
    </w:p>
    <w:p w14:paraId="259466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Прил. 4</w:t>
      </w:r>
    </w:p>
    <w:p w14:paraId="492708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СЕКРЕТНО</w:t>
      </w:r>
    </w:p>
    <w:p w14:paraId="79900B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Важнейшие юзограммы с 21 августа по 28 сентября 1917 года</w:t>
      </w:r>
    </w:p>
    <w:p w14:paraId="26152B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 VIII.</w:t>
      </w:r>
    </w:p>
    <w:p w14:paraId="152162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Комфлоту. 21 час 00 мин. Прибыл Куйваст. № 1 б. Бахирев.</w:t>
      </w:r>
    </w:p>
    <w:p w14:paraId="3CCF54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Комфлоту. Секретно. «Грозящий», «Храбрый», «Хивинец», «Генерал Кондратенко», Рижская речная флотилия, суда минной роты, транспорты и катера благополучно пришли Пернов. Миноносцы, канонерские лодки и большие пароходы сегодня перейдут в Куйваст, остальные за свежестью погоды пока оставили Пернов. № 2. Бахирев</w:t>
      </w:r>
    </w:p>
    <w:p w14:paraId="78E9AE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 VIII.</w:t>
      </w:r>
    </w:p>
    <w:p w14:paraId="37C73D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Комфлоту. Посланные ночью 4 миноносца 5-го дивизиона с рассветом подошли к норду от Петерскапелле и высадили офицера с 3 матросами для связи с 6-м корпусом и обстрела, если бы потребовался. В связь вступить не удалось. Офицер с командою остался на берегу. Во время пребывания у Петерскапелле дивизион дважды подвергался атакам около 16 гидропланов. Повреждений нет. Дважды видел перископ. На фланге корпуса, видимо, спокойно, стрельбы не было слышно. Вчера в 20 кабельтовых от Гайнаша прошла в подводном состоянии неприятельская подлодка. 11 часов 30 минут около Абро огнем 6-го дивизиона был сбит и сожжен неприятельский аэроплан. Около 13 часов у Гросс Ирбена нашими летчиками обнаружены несколько тральщиков и 6 больших кораблей: теперь мы предполагаем, что также большие тральщики. 6-ю залпами 43-й батареи тральщики были рассеяны и произведен пожар на неприятельском берегу. № 9 б. Бахирев</w:t>
      </w:r>
    </w:p>
    <w:p w14:paraId="717F1A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Комфлоту. 8 часов. Вошел в радиосвязь с корпусом. Поставлено на условленные глубины заграждение к зюйду от Куйваста. Тральщиками обнаружено и уничтожено неприятельское заграждение у Кюбосара, пересекающее створы. Ходившие для стрельбы по неприятельскому тралящему в Ирбенском проливе каравану дозорные миноносцы его не видели; вероятно, тралит около самого берега. № 20 б. Бахирев</w:t>
      </w:r>
    </w:p>
    <w:p w14:paraId="343AEC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 VIII.</w:t>
      </w:r>
    </w:p>
    <w:p w14:paraId="539176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Аренсбург. Старлейту Литвинову. Ввиду большого значения прошу в возможно скорое время выяснить, есть ли у Домеснеса батарея, из скольких орудий и примерно какого калибра. № 26 б. Бахирев</w:t>
      </w:r>
    </w:p>
    <w:p w14:paraId="0E8C21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Котовскому. Благоволите выслать карты квадратов, ибо теперь редки погоды, пригодные для высадки. В Ирбенском проходе немцы начинают усиленное траление, чему мы будем стараться мешать всеми возможными для нас средствами. № 27 б. Бахирев</w:t>
      </w:r>
    </w:p>
    <w:p w14:paraId="30E206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 VIII.</w:t>
      </w:r>
    </w:p>
    <w:p w14:paraId="6A0E21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Комфлоту. (Начало шифров). Вчера Лайдунен видел неприятельскую подводную лодку. Английская подлодка около захода солнца на 7-й позиции видела неприятельскую подлодку, атака не удалась. Свежий вест мешает неприятельскому тралению и нашим работам. 30 б. Б.</w:t>
      </w:r>
    </w:p>
    <w:p w14:paraId="3B220E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 VIII.</w:t>
      </w:r>
    </w:p>
    <w:p w14:paraId="24A276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Адмиралу Бахиреву. Начальнику речной флотилии кавторангу Нелидову поручаю организовать морскую охрану восточного побережья Рижского залива от Пернова до фланга армии с подчинением его Вам. В состав средств включаю Рижскую речную флотилию, моторные катера, находящиеся в распоряжении каперанга Бальронда, и судно «Копчик» (пограничный), равно и минную роту Усть-Двинской крепости с её плавучими средствами. Ему же поручается организация морской обороны Пернова. Благоволите соответствующими распоряжениями. 1294 оп. Развозов</w:t>
      </w:r>
    </w:p>
    <w:p w14:paraId="07B864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 VIII.</w:t>
      </w:r>
    </w:p>
    <w:p w14:paraId="47F7EB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Делегатская. У аппарата комфлот. Кто там у аппарата? У аппарата председатель общего собрания доверенных делегатов. Довожу до сведения, что это собрание сегодня 30 августа вынесло: Центральный Комитет Балтийскому флоту и Командующему флотом. Общее собрание доверенных делегатов морских и крепостных сил Рижского </w:t>
      </w:r>
      <w:r w:rsidRPr="002F2FDF">
        <w:rPr>
          <w:rFonts w:ascii="Times New Roman" w:hAnsi="Times New Roman" w:cs="Times New Roman"/>
          <w:color w:val="000000" w:themeColor="text1"/>
          <w:kern w:val="2"/>
          <w:sz w:val="16"/>
          <w:szCs w:val="16"/>
        </w:rPr>
        <w:lastRenderedPageBreak/>
        <w:t>залива на собрании 30 августа не пришло ни к какому соглашению с адмиралом Бахиревым по вопросу об установлении контроля передаточным аппаратам согласно пункту 4-го радиотелеграммы И.К.С.Р.В. и Кр. депутатов от 28 августа. Выборные контролеры из личного состава флота Константин Степанов и Яков Зотов. Общее собрание и команды судов находят обоснованным не доверять адмиралу Бахиреву впредь до принятия постановления собрания и принятия выборного контроля. Просим срочных распоряжений и утверждения означенных контролеров.</w:t>
      </w:r>
    </w:p>
    <w:p w14:paraId="0D1402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Председатель Быков, секретарь Стелков. № 1430.</w:t>
      </w:r>
    </w:p>
    <w:p w14:paraId="53B280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Переговоры с Командующим флотом.</w:t>
      </w:r>
    </w:p>
    <w:p w14:paraId="01F9F3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 аппарата адмирал Бахирев. — Здравствуйте, в чем недоразумение? — Относительно чего? — С Председателем общего собрания по поводу контроля. — Они требуют, чтобы был назначен человек, который следил бы за оперативной частью и знал бы все телеграммы, даже шифрованные, с этим согласиться не могу. — Передайте Председателю, что у нас в рубке дежурят представители от местного флотского Комитета и имеется представитель Центрального Комитета, но, согласно распоряжению Керенского, чисто оперативная часть контролю не подлежит. Конечно, под оперативными не могут посылаться ни какие другие. Некоторые оперативные, не имеющие характера секретности, мы даже сообщали комиссарам просто в порядке осведомления. Прошу Вас переговорить с собранием и дружно работать дальше, так как единственно у Вас в заливе, где, может, будут решаться судьбы России. Вновь назначенный главнокомандующий Северным фронтом Бонч-Бруевич приказом своим призывает армию и флот напрячь все силы для отражения вероятного близкого напора врага на наш фронт. По агентуре, в Либаву собираются транспортные и военные корабли в большом количестве. Пока все. Развозов</w:t>
      </w:r>
    </w:p>
    <w:p w14:paraId="6CF191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 VIII.</w:t>
      </w:r>
    </w:p>
    <w:p w14:paraId="0A57A6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Главарту флота. Прошу сообщить, сколько можно получить для «Славы» 305-мм дальнобойных кроме имеемого на ней запаса, 44 б. Б.</w:t>
      </w:r>
    </w:p>
    <w:p w14:paraId="5FA5EA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«Припять» поставила 50 рыбок на норд от Люзерорта. 3 новика обстреляли с зюйд-оста берег у Домеснеса с целью обнаружить батарею. На берегу замечен пожар, неприятель не отвечал. Из-за дальности артиллерии послал «Хивинец» в дежурство в помощь дозору 41 б. Б.</w:t>
      </w:r>
    </w:p>
    <w:p w14:paraId="7B1297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Адмиралу Бахиреву. 44 б. Дальнобойных снарядов готовых больше нет. 425 д. Федяевский</w:t>
      </w:r>
    </w:p>
    <w:p w14:paraId="135286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 IХ.</w:t>
      </w:r>
    </w:p>
    <w:p w14:paraId="6010A2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644 оп. не получил. Юзограммы № 1323 оп не понимаю. Сведений не имею. Вечером выслал 3 миноносца на разведку к вестовому берегу, из-за свежего ветра вернулись. 48 б. Б.</w:t>
      </w:r>
    </w:p>
    <w:p w14:paraId="794809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Комфлоту. Прошу распоряжения о срочной присылке базы «Оланд», так как подлодки после походов не имеют совершенно отдыха. База очень нужна в техническом отношении. 49 б. Б.</w:t>
      </w:r>
    </w:p>
    <w:p w14:paraId="5B9BFA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 IХ.</w:t>
      </w:r>
    </w:p>
    <w:p w14:paraId="09E1C4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Юзограмма Новопашенного № 644 оп. вчера в искаженном виде была передана телефоном в 15 часов. Сама юзограмма получена сегодня в 8 часов, когда и удалось её разобрать. Прошу распоряжения о передаче в первую очередь оперативных юзограмм и телефонограмм, а затем уже распорядительных и политических. 53 б. Б.</w:t>
      </w:r>
    </w:p>
    <w:p w14:paraId="354759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Начальнику Службы Связи № 644 оп. и № 648 оп. получены 2 сентября 54 б. Б.</w:t>
      </w:r>
    </w:p>
    <w:p w14:paraId="0D5057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На «Славе» имеется только 275 дальнобойных 305-мм. По наведенным справкам указанных снарядов в запасе больше нет. Находя такое количество слишком малым, прошу снять дальнобойные снаряды с фортов или кораблей, не находящихся в Моонзунде, для присылки их взамен недальнобойных. 56 б. Б.</w:t>
      </w:r>
    </w:p>
    <w:p w14:paraId="5E47C9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 IХ.</w:t>
      </w:r>
    </w:p>
    <w:p w14:paraId="031945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На «Славе» старший механик кавторанг Джелепов судовой командой арестован за отказ дать подписку на резолюции относительно последних дней. Завтра отправлю его на «Московитянине» на «Кречет». Прошу о срочном приезде правительственного комиссара. 586. Б.</w:t>
      </w:r>
    </w:p>
    <w:p w14:paraId="7B960F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Наподив. Прошу ускорить присылку базы. 596. Б.</w:t>
      </w:r>
    </w:p>
    <w:p w14:paraId="46CD1F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Наоперу. Прошу указать, в котором квадрате находятся подлодки для защиты батареи Церель. 626. Б.</w:t>
      </w:r>
    </w:p>
    <w:p w14:paraId="463C5D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 IХ.</w:t>
      </w:r>
    </w:p>
    <w:p w14:paraId="14DE2E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Намобор. На № 626. У Либавы на позиции № 2 и в южной части моря. В случае же выяснившегося намерения немцев форсировать Ирбен, будет послана одна к маяку Стейнорт и другая к Аполону. Позиции эти не обследованы и посылка туда лодок сопряжена с значительным риском, оправдываемым только при определенных указаниях на готовящийся прорыв. 1341 оп. Петров</w:t>
      </w:r>
    </w:p>
    <w:p w14:paraId="2AAC13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 IХ.</w:t>
      </w:r>
    </w:p>
    <w:p w14:paraId="267D14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Штаб Командующего флотом. Прошу сообщить юзом распубликованный в газетах от 2 сентября приказ Керенского. Сообщите о важнейших случаях в Гельсингфорсе, так как ходят разноречивые слухи. 676. Б.</w:t>
      </w:r>
    </w:p>
    <w:p w14:paraId="2777C0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Штафлот. Прошу дать распоряжение каперангу Кирилину о присылке боновой партии. 71 б. Б.</w:t>
      </w:r>
    </w:p>
    <w:p w14:paraId="380F47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Намобор. На № 716. Будет исполнено по окончании срочных работ Суропского бона. 1367 оп. Петров</w:t>
      </w:r>
    </w:p>
    <w:p w14:paraId="3D2799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 IХ.</w:t>
      </w:r>
    </w:p>
    <w:p w14:paraId="3346C9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Наштафлот. Ввиду нескорого ввода в док «Автроила» прошу его прислать в Куйваст. 746. Б.</w:t>
      </w:r>
    </w:p>
    <w:p w14:paraId="3DA50E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 IХ.</w:t>
      </w:r>
    </w:p>
    <w:p w14:paraId="002821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8 часов. Вернулась английская подлодка, подходила на 1.5 мили к Усть-Двинску, ничего не видела. Вчера вернулись миноносцы, ходившие сутки вдоль западного залива, ничего не видели. 776. Б.</w:t>
      </w:r>
    </w:p>
    <w:p w14:paraId="1E8E90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 IХ.</w:t>
      </w:r>
    </w:p>
    <w:p w14:paraId="5E38F3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По получении юзограммы № 13876 суда на рейде подняли красные флаги на стеньгах. 826. Б.</w:t>
      </w:r>
    </w:p>
    <w:p w14:paraId="49D407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Натрадив. После работ на 12-м фарватере в моем распоряжении остались 3 исправных мелкосидящих тральщика. Два находятся в Рижском заливе. Для работ у южного входа в Моонзунд необходимо иметь ещё по крайней мере пару. Прошу сделать распоряжение прислать в Моонзунд два мелкосидящих тральщика. 846. Б.</w:t>
      </w:r>
    </w:p>
    <w:p w14:paraId="663F73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Наштафлот. Прошу о срочной высылке транспорта с углем. После погрузки в понедельник «Гражданином» 400 тонн угля не останется. В Рогекюле угля нет. 856. Б.</w:t>
      </w:r>
    </w:p>
    <w:p w14:paraId="2B4175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«Псков». Главкомев, копия. Намобор. Для защиты входа в Перновский залив мною предписано начать установку двухрудийной батареи 130-мм калибра на мысе Лиу. Орудия эти будучи наиболее современными, в состоянии перестреливать всю бухту и частью противоположный берег. 1388 оп. Развозов</w:t>
      </w:r>
    </w:p>
    <w:p w14:paraId="093D7C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Намобор. Пост Кюбосар 7 сентября. 0 часов открыл действие. 4625. Юсвязь.</w:t>
      </w:r>
    </w:p>
    <w:p w14:paraId="16D025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Намобор. Сейчас «Автроил» послал в Ревель для необходимого ремонта, после чего некоторое время останется в распоряжении Комфлота. 1374 оп. Кн. Черкасский</w:t>
      </w:r>
    </w:p>
    <w:p w14:paraId="4A4AEA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Начальнику Минной Обороны. На корабле имеется один телеграфист, поэтому не могу принимать радио. 1100. Командир «Амура»</w:t>
      </w:r>
    </w:p>
    <w:p w14:paraId="372388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 IХ.</w:t>
      </w:r>
    </w:p>
    <w:p w14:paraId="693486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Командиру «Грозящего». Предложите Комитету снять контроль, о последующем донесите телефонограммою. 93 б. Б.</w:t>
      </w:r>
    </w:p>
    <w:p w14:paraId="1F066D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По донесению командира исправляющегося в Рогекюле «Грозящего» на лодке существует контроль и секретные пакеты вскрываются. Контроль приказал снять. 94 б. Б.</w:t>
      </w:r>
    </w:p>
    <w:p w14:paraId="549AC8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 IX.</w:t>
      </w:r>
    </w:p>
    <w:p w14:paraId="51157C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Аренсбург. Старлейту Литвинову. Эти дни нам необходима самая тщательная воздушная разведка. Прошу Вашего распоряжения. 95 б. Б.</w:t>
      </w:r>
    </w:p>
    <w:p w14:paraId="406527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Менто. Кавторангу Кира-Динжану. Эти дни нам нужна тщательная разведка, особенно когда пасмурно и ночью. Посылайте для этой цели катера, как только позволяет погода. Доложите каперангу Кнюпферу. 95 б. Б.</w:t>
      </w:r>
    </w:p>
    <w:p w14:paraId="03AFBA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Рогекюль. Кавторангу Нелидову. «Могучий», погрузивши то, о чем я Вам говорил, должен быть в самое короткое время отправлен в Пернов. Сообщите мне об этом и о готовности «Пскова» и «Новгорода». 87 б. Б.</w:t>
      </w:r>
    </w:p>
    <w:p w14:paraId="0782DE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Штафлот. Прошу сообщить, состоялось ли назначение морского офицера на «Могучий» флотилии кавторанга Нелидова. 98 б. Б.</w:t>
      </w:r>
    </w:p>
    <w:p w14:paraId="42A155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Командиру «Хивинца» и «Грозящего». Предвидится скорая надобность в лодке. Прошу возможно ускорить её готовность 99 б. Б.</w:t>
      </w:r>
    </w:p>
    <w:p w14:paraId="424DFD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Прошу распоряжения о высылке на Церельскую батарею удушливых (химических) снарядов, от которых отказалась 1-ая бригада линейных кораблей. 102 б. Б.</w:t>
      </w:r>
    </w:p>
    <w:p w14:paraId="450633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В настоящее время в моем распоряжении исправных подлодок; две английские, две АГ и данный на поход «Леопард». 103 б. Б.</w:t>
      </w:r>
    </w:p>
    <w:p w14:paraId="19F608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Адмиралу Бахиреву. На № 936. Контроль не снят. Комитет не хочет решать самостоятельно, а с другими ему не столковаться. Вчера обещал мне дать сегодня ответ, теперь обещает завтра. Готовность котла ожидаю в пятницу. 43. Ордовский</w:t>
      </w:r>
    </w:p>
    <w:p w14:paraId="0EABAF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Менто. Каперангу Кнюпферу. Ожидается в близкое время приход в Балтийское море больших неприятельских сил. 104 б. Б.</w:t>
      </w:r>
    </w:p>
    <w:p w14:paraId="6B851B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 IХ.</w:t>
      </w:r>
    </w:p>
    <w:p w14:paraId="6C8C36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Адмиралу Бахиреву. На № 1026. Высылаются из Кронштадта сто штук удушаюших. 4400. Федяевский</w:t>
      </w:r>
    </w:p>
    <w:p w14:paraId="5A052E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Штафлот. Флагарту. Прошу прислать 300 фугасных снарядов для 43-й батареи. 112 б. Б.</w:t>
      </w:r>
    </w:p>
    <w:p w14:paraId="13E661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Предполагаю возможным неожиданный проход вдоль берега неприятельских миноносцев и мелких крейсеров. Считаю полезным присылку «Богатыря» или «Олега». 113 б. Б.</w:t>
      </w:r>
    </w:p>
    <w:p w14:paraId="0833EA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Командир «Грозящего» донес, что контроль снят. 115 б. Б.</w:t>
      </w:r>
    </w:p>
    <w:p w14:paraId="4AAA17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Комфлот. Каперанг Кнюпфер доносит: 11 часов 20 минут утра взорвался на мине у шаровой вешки № 4 миноносец «Охотник» и быстро затонул; только что выкинуло шлюпку с 11 матросами, из них 4 ранено. Мотор и шестерка находятся в море. Высылаю за ними катера и буксиры. Из офицеров никто не пожелал оставить судна и все погибли. Матросы сообщают, что около 15 часов подходили снова к вешке, но людей больше на спасательных кругах не было. 116 б. Б.</w:t>
      </w:r>
    </w:p>
    <w:p w14:paraId="7A4B10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Намобор. Подтверждаю ранее установленное воспрещение, чтобы миноносцы никогда не ходили в опасные зоны по одному. Прошу требовать непреложного исполнения этого правила. Развозов</w:t>
      </w:r>
    </w:p>
    <w:p w14:paraId="2CD609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Намобор. Завтра предполагается поставить минное заграждение у Тахконы к норду от зюйдовой вехи. 1439 оп. Наопер</w:t>
      </w:r>
    </w:p>
    <w:p w14:paraId="2A2AE7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 IХ.</w:t>
      </w:r>
    </w:p>
    <w:p w14:paraId="4B00FA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Ввиду того, что сторожевые суда нужны для проводки в Пернов и Аренсбург и для наблюдения за неприятелем, прошу распоряжения о присылке остальных судов второго дивизиона сторожевой дивизии с начальником дивизиона. 117 б. Б.</w:t>
      </w:r>
    </w:p>
    <w:p w14:paraId="7F8DBC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Менто. «Новик». Наминдиву. По приказанию Комфлота вышел на «Самсоне» в Ревель. 120 б. Б.</w:t>
      </w:r>
    </w:p>
    <w:p w14:paraId="7B8449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 IХ.</w:t>
      </w:r>
    </w:p>
    <w:p w14:paraId="1D054B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Гельсингфорс. Начальнику 2-го дивизиона сторожевых судов. При первой возможности прибыть Куйваст. 126 б. Б.</w:t>
      </w:r>
    </w:p>
    <w:p w14:paraId="6F3FCB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Неприятельским аэропланом произведен взрыв погреба на батарее № 43. Есть убитые и раненые. 122 б. Б.</w:t>
      </w:r>
    </w:p>
    <w:p w14:paraId="7D68EA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Капитану 1 ранга Кнюпферу срочно. Сообщите потребное количество снарядов взамен уничтоженных при взрыве, а также необходимое число офицеров и матросов и каких специальностей. 123 б.</w:t>
      </w:r>
    </w:p>
    <w:p w14:paraId="3D0864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Дополнительно к № 122 б. В 1 час 05 минут аппараты произведи пожар близ погреба и в 1 час 40 минут погреб взорвался. Убиты полковник Ломан, лейтенант Тимофеев, подполковник Максютин тяжело ранены мичман Григорьев и 50 воинских чинов, легко ранены лейтенант Бартенев и прапорщик Манихин. Число убитых воинских чинов пока не выяснено. Прошу распоряжения о срочной замене офицеров. Орудия, по-видимому не повреждены. 124 б. Б.</w:t>
      </w:r>
    </w:p>
    <w:p w14:paraId="05F7FE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 IХ.</w:t>
      </w:r>
    </w:p>
    <w:p w14:paraId="15EA1F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Псков. Штаб Главкосева. Каперангу Альтфатеру. Прошу поддержать ходатайство Командарма 12 о срочной присылке в распоряжение 13-го корпуса 6 батарей Кане ввиду задержки постройки морской батареи и необходимости иметь скорострельную дальнобойную артиллерию. О последующем прошу мне сообщить. 131 б. Б.</w:t>
      </w:r>
    </w:p>
    <w:p w14:paraId="51C95B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 IХ.</w:t>
      </w:r>
    </w:p>
    <w:p w14:paraId="34D6CA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Пернов. Кавторангу Нелидову. Сообщите, посылаются ли Вами какие либо шлюпки вдоль берега. Если у Вас может явиться надобность в посылке их, войдите в сношение с сухопутным начальством и уговоритесь относительно опознавательных, которые сообщите мне. 139 б. Б.</w:t>
      </w:r>
    </w:p>
    <w:p w14:paraId="2F10B7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 IХ.</w:t>
      </w:r>
    </w:p>
    <w:p w14:paraId="2F6CA2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Аренсбург. Намонзация. По сведениям из армии сегодня ночью ожидается высадка неприятеля на Эзель. 148 б. Б.</w:t>
      </w:r>
    </w:p>
    <w:p w14:paraId="75A73E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Менто. Каперангу Кнюпферу. Из армии сообщают, что сегодня возможно нападение и высадка на Эзель. 148 б. Б.</w:t>
      </w:r>
    </w:p>
    <w:p w14:paraId="2C1A2E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Рогекюль. Аренсбург. Старшему на рейде начальнику. Прошу передать на все корабли на рейде, чтобы возможно сократили разговоры по радиотелеграфу. 156 р. Б.</w:t>
      </w:r>
    </w:p>
    <w:p w14:paraId="0379D5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 IX.</w:t>
      </w:r>
    </w:p>
    <w:p w14:paraId="73F80C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Мешок протрален контрольными галсами, мин не обнаружено. Штафлот. Прошу проверить и повторить № 1507 оп. 166 р. Б.</w:t>
      </w:r>
    </w:p>
    <w:p w14:paraId="0DF590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 IХ.</w:t>
      </w:r>
    </w:p>
    <w:p w14:paraId="20A307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Штафлот. Прошу повторить № 1507 оп. от комфлота. 168 р. Б.</w:t>
      </w:r>
    </w:p>
    <w:p w14:paraId="296E2F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Много юзограмм неважного содержания мною получены, между тем как не получено повторение Вашей юзограммы от 21 сентября № 1597 оп. с приказанием Главкосева. Эта юзограмма нами не разобрана, и мы просили её проверить и повторить, 169 р. Б.</w:t>
      </w:r>
    </w:p>
    <w:p w14:paraId="032951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Прошу о скорейшей присылке сторожевых судов, так как двум уже давно истек срок щелочить котлы и для надобностей залива остаются всего два. 170 р. Б.</w:t>
      </w:r>
    </w:p>
    <w:p w14:paraId="6334FD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Кречет. Главарту. Прошу Ваших соображений с технической стороны и распоряжения об увеличении скорости стрельбы батареи № 36. 171 р. Б.</w:t>
      </w:r>
    </w:p>
    <w:p w14:paraId="02E9DB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Аренсбург. Командиру «Самсона». Прошу быть в постоянной связи с лейтенантом Престиным. В случае появления дымов производите разведку на двух миноносцах и при возможности разгоняйте тральщики артиллерийским огнем. 172 р. Б.</w:t>
      </w:r>
    </w:p>
    <w:p w14:paraId="608ACC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Намобор. К посту Сусикас подошла шлюпка с бежавшими из германского плена 3 солдатами и вольным, которые показали, что неприятель доставил в Ригу по железной дороге две подводные лодки. 509. Насвязь</w:t>
      </w:r>
    </w:p>
    <w:p w14:paraId="47E490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 IХ.</w:t>
      </w:r>
    </w:p>
    <w:p w14:paraId="2676CE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Адмиралу Бахиреву. Директивой 2858 Главкосев приказал теперь же взять из Кронштадта нужное минимальное число орудий Кане для установки на побережье Пернова и Гайнаша. Благоволите сообщить, сколько именно орудий необходимо, каких, где они будут поставлены, кому поручена установка и кто будет за этими орудиями командирован. 1507 оп. Развозов</w:t>
      </w:r>
    </w:p>
    <w:p w14:paraId="36E4F8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 1507 оп. Я юзограммою просил Альтфатера о присылке из армии сухопутных 152-мм батарей Кане, считая, что они придут с платформами и готовою прислугою и что для обучения стрельбе по кораблям мне придется назначить инструктора офицера. Пока выясняется, что нам нужны две трёхорудийные батареи, о точном месте их донесу, переговорив с армией. — Думаю, что если брать пушки из Кронштадта, постройка батарей продлится столько же времени, что и нашей 130-мм. Если будет возможность, переговорю лично с сухопутными. Прошу ответа. Если все таки придется брать Кронштадтские орудия и батареи будут морские, полагал бы постройку поручить крепости Петра Великого и потом уже передать в ведение начальника позиции. Просимые сухопутные батареи должны быть в Луге, по словам Командарма 12. № 173 р. Б.</w:t>
      </w:r>
    </w:p>
    <w:p w14:paraId="091885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Натрадив. Если возможно, пришлите в залив «Микулу». «Ударник» после сегодняшней работы сдал. Прошу ответа, 175 р. Б.</w:t>
      </w:r>
    </w:p>
    <w:p w14:paraId="0CC7C7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 IХ.</w:t>
      </w:r>
    </w:p>
    <w:p w14:paraId="674677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Намобору. № 175 р. Все что осталось в финском заливе, это 4 богатыря. которые могут понадобиться в любой момент и стоят в полной готовности все время пополнять запасы нефтью. К сожалению, ни одного прислать не могу. 348 м. Натрадив</w:t>
      </w:r>
    </w:p>
    <w:p w14:paraId="15719A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Наштафлот. Присланная подлодка «Кугуар» неисправна, 180 р. Б.</w:t>
      </w:r>
    </w:p>
    <w:p w14:paraId="4241F1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 IХ.</w:t>
      </w:r>
    </w:p>
    <w:p w14:paraId="76E722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Прошу о скорейшей присылке на «Хивинец» командира, т.к. на лодке нет даже старшего офицера. 178 р. Б.</w:t>
      </w:r>
    </w:p>
    <w:p w14:paraId="1C1493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Каперангу Кнюпферу. Если погода позволит снарядить экспедицию Всейкова. Когда возможно прошу посылать на разведку катера. Почему летчики не выяснили до сих пор неприятельские корабли и какая причина, что они не приближаются к ним. Прошу задержать теплоходы Всейкова, они понадобятся для траления. 182 р. Б.</w:t>
      </w:r>
    </w:p>
    <w:p w14:paraId="5C59E5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Сейчас батарея № 43 без офицеров. Как доносил на неё нужен опытный артиллерийский офицер с дредноутов, иначе батарею нельзя считать действующею. Присоединяюсь к просьбе чинов на Сворбе и прошу о назначении старлейта Машукова. Рекомендуют также Михайлова с «Полтавы» 183 р. Б.</w:t>
      </w:r>
    </w:p>
    <w:p w14:paraId="7FB474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 IХ.</w:t>
      </w:r>
    </w:p>
    <w:p w14:paraId="48E6DB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Командиву срочно. В 0 часов 1 отряд миноносцев находился на параллели Фильзанда. Вообще в море до двух флотилий миноносцев. 904. Новопашенный</w:t>
      </w:r>
    </w:p>
    <w:p w14:paraId="5B8068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Прошу распоряжения разработать стрельбу с больших кораблей по атакующим минами Уайтхеда гидропланам. Мое мнение — завеса на недолетах, т.к. они должны бояться всплесков и осколков. 184 р. Б.</w:t>
      </w:r>
    </w:p>
    <w:p w14:paraId="68488C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Вчера вышедшие на разведку 3 наши дозорные катера вступили в перестрелку и разогнали бывших на NW и W в 4 милях от Михайловского маяка 10 неприятельских тральщиков-катеров, из которых один загорелся. Большие тральщики, державшиеся примерно у плавучего маяка, ушли на 3-й. Наши невредимы. Перед этим они подверглись безрезультатному пулеметному огню немецких гидропланов. Нападение немного раньше перестрелки шести гидропланов, безрезультатно выпустивших мины Уайтхеда по нашему транспорту у Сворбе, как и раньше взрыв «Пенелопы» укрепляют меня в мысли о гибели «Охотник» от мины, выпущенной с гидроплана. 186 р. Б.</w:t>
      </w:r>
    </w:p>
    <w:p w14:paraId="423FF5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Каперанг Кнюпфер донес: вчера вечером выслал катер № 18 за замеченной в море шлюпкой. При возвращении катер сел на мель. При стаскивании опрокинуло шлюпку, при чем потонули мичман Костелов и старшина Павлов, остальная команда спасена. Катер привели в гавань, имеется течь. 187 р. Б.</w:t>
      </w:r>
    </w:p>
    <w:p w14:paraId="2AB0BF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Вследствие неисправности гидропланов летчики на Сворбе не могут вылетать, чтобы распознать появляющиеся неприятельские корабли. Прошу распоряжения о скорейшей присылке исправных с тех постов, где они являются мало полезными. 188 р. Б.</w:t>
      </w:r>
    </w:p>
    <w:p w14:paraId="59B4C8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Наштамобору. Сообщите в каком состоянии «Зея», «Бурея» и «Иртыш». 189 р. Б.</w:t>
      </w:r>
    </w:p>
    <w:p w14:paraId="077038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Штаминдив. Прошу доложить вице-адмиралу Бахиреву, что я с ледоколом «Черноморский 2» прибыл в Рогекюль, я назначен в его распоряжение, жду приказаний. 237. Командир ледокола «Черноморский 2»</w:t>
      </w:r>
    </w:p>
    <w:p w14:paraId="773EAF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Командиру ледокола «Черноморский 2». Остаться в Рогекюле. 190 р. Б.</w:t>
      </w:r>
    </w:p>
    <w:p w14:paraId="3AEF6F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 IХ.</w:t>
      </w:r>
    </w:p>
    <w:p w14:paraId="0E90F8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Единственный транспорт «Буки», который может доставить уголь и материалы в Пернов и о котором я столько хлопотал, по приказанию Вашего штаба отправлен в Гельсингфорс. Если Ваш взгляд на Пернов изменился, прошу уведомить меня. Доставить что-либо туда у меня нет средств. 192 р. Б.</w:t>
      </w:r>
    </w:p>
    <w:p w14:paraId="6A9E7C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Сегодня при нападении немецких летчиков на Сворбе на пароходе «Циммерман» убит 1 матрос, ранены 4 матроса и одна женщина. Мичман Гончаревский, назначенный на батарею № 43, оказался совсем неподходящим, и Кнюпфер просит его немедленно убрать. Прошу ответа относительно Машукова и Михайлова. Прошу о скорейшей присылке на Церель обещанного Вами и генералом Винтером механика-электротехника. Остальные офицеры на батарее также не заменены, 194р. Б.</w:t>
      </w:r>
    </w:p>
    <w:p w14:paraId="5D0B95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Аренсбург. Адмиралу Свешникову. Прошу Вашего распоряжения и объявления жителям Аренсбурга, его окраин и острова Абро об обязательном тушении ночью огней, видных со стороны моря, под угрозою стрельбы по ним со стороны судов. Возвращающиеся из Аренсбурга из дозора миноносцы жалуются, что горит много огней, видных с моря. 195 р. Б.</w:t>
      </w:r>
    </w:p>
    <w:p w14:paraId="20729E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Намобор. Получены сведения, что завтра 28 начинаются неизвестная нам операция германского флота в Балтийском море 8 оп. Петров</w:t>
      </w:r>
    </w:p>
    <w:p w14:paraId="682610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Намобор. на № 192 р. Комфлот разрешил «Буки» временно оставить в Вашем распоряжении. 1582. Кн. Черкасский</w:t>
      </w:r>
    </w:p>
    <w:p w14:paraId="175B4A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Рогекюль. Каперангу Лосеву. По приказанию Комфлота дайте транспорту «Буки» 500 тонн угля и пришлите его в Куйваст. 197 р. Б.</w:t>
      </w:r>
    </w:p>
    <w:p w14:paraId="244399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Намобор. Готовность «Зеи» через 2–3 дня, готовность «Иртыша» не ранее 7 дней, «Бурея» на работе у Лапвика. 402. Беренс</w:t>
      </w:r>
    </w:p>
    <w:p w14:paraId="505F1C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Каперангу Кнюпферу. Механик-электрик мичман Розенберг назначен и уже выехал по назначению. Лейтенант Машуков командируется в Ваше распоряжение на 2 недели; надеюсь выхлопотать продление командировки. За невозможностью, по словам Комфлота, снять кого-либо с дредноутов ищем подходящего офицера на дивизии, 198 р. Б.</w:t>
      </w:r>
    </w:p>
    <w:p w14:paraId="6BDF43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Каперангу Кнюпферу. Сегодня есть основание быть особенно внимательным. Если возможно, вышлите катера на разведку. 2003. Б.</w:t>
      </w:r>
    </w:p>
    <w:p w14:paraId="6F2C62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Первая половина юзограммы — контр-адмиралу Свешникову.</w:t>
      </w:r>
    </w:p>
    <w:p w14:paraId="14CFB2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 IХ.</w:t>
      </w:r>
    </w:p>
    <w:p w14:paraId="7F0531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Пернов. Кавторангу Нелидову срочно. Сообщите по постам, батареям и в 13-й корпус, что сегодня около 12 часов наши суда и миноносцы будут ходить вдоль берега, 200 р. Б.</w:t>
      </w:r>
    </w:p>
    <w:p w14:paraId="055408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Ревель. Команпорт. Прошу распоряжения о срочной присылке в Рогекюль 500 тонн кардифного угля на транспорт «Буки» 201 р. Б.</w:t>
      </w:r>
    </w:p>
    <w:p w14:paraId="03C488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Наштамобор. Как только возможно вышлите кого-либо: «Зею», «Бурею» или «Иртыша», 202 р. Б.</w:t>
      </w:r>
    </w:p>
    <w:p w14:paraId="25B74F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Пернов. Кавторангу Нелидову. Впредь до получения от меня приказания, ограничьте посылку Ваших судов только в районах, указанных для лайб с дровами. 203 р. Б.</w:t>
      </w:r>
    </w:p>
    <w:p w14:paraId="047D6F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Бухта на рейде, выбранная для гидропланов, годна только для подъема в тихую погоду и когда нет зыби. Один аппарат из двух уже сломался, пробуя летать, 205 р. Б.</w:t>
      </w:r>
    </w:p>
    <w:p w14:paraId="5B33D6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Поставил заграждение Перновской губе и Гайнаше. 296 р. Б.</w:t>
      </w:r>
    </w:p>
    <w:p w14:paraId="6EBA26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Комфлот. У меня остался один тральщик «Минреп». Последняя русская подлодка вышла из строя, 207 р. Б.</w:t>
      </w:r>
    </w:p>
    <w:p w14:paraId="766F68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Намобор. Отдаю приказание 2 гидроплана из Папенгольма перевести на Церель. 28 или 29 перейдет в Ваше распоряжение первый дивизион моторных катеров-тральщиков, для того, чтобы на всякий случай протралить выход из Соэлозунда в море. 1589 оп. Петров (11830).</w:t>
      </w:r>
    </w:p>
    <w:p w14:paraId="2B1940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B98CEF" w14:textId="77777777" w:rsidR="002A7D93" w:rsidRPr="002F2FDF" w:rsidRDefault="002A7D9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3605823" w14:textId="77777777" w:rsidR="002A7D93" w:rsidRPr="002F2FDF" w:rsidRDefault="002A7D9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BAB38B" w14:textId="77777777" w:rsidR="00762819" w:rsidRPr="00FB4F67" w:rsidRDefault="0076281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октябре 1917 г. с марта по покупательная способность рубля снизилась в четыре раза. Это сделало невыгодным выполнение военных заказов по старым ценам (23472).</w:t>
      </w:r>
    </w:p>
    <w:p w14:paraId="7D869710" w14:textId="77777777" w:rsidR="00762819" w:rsidRPr="00FB4F67" w:rsidRDefault="00762819" w:rsidP="0083075A">
      <w:pPr>
        <w:spacing w:after="0" w:line="240" w:lineRule="auto"/>
        <w:jc w:val="both"/>
        <w:rPr>
          <w:rFonts w:ascii="Times New Roman" w:hAnsi="Times New Roman" w:cs="Times New Roman"/>
          <w:color w:val="0070C0"/>
          <w:sz w:val="16"/>
          <w:szCs w:val="16"/>
        </w:rPr>
      </w:pPr>
    </w:p>
    <w:p w14:paraId="4221E9BE" w14:textId="77777777" w:rsidR="002A7D93" w:rsidRPr="002F2FDF" w:rsidRDefault="002A7D93" w:rsidP="0083075A">
      <w:pPr>
        <w:pStyle w:val="ae"/>
        <w:spacing w:before="0" w:after="0"/>
        <w:jc w:val="both"/>
        <w:rPr>
          <w:color w:val="000000" w:themeColor="text1"/>
          <w:sz w:val="16"/>
          <w:szCs w:val="16"/>
        </w:rPr>
      </w:pPr>
      <w:r w:rsidRPr="002F2FDF">
        <w:rPr>
          <w:color w:val="000000" w:themeColor="text1"/>
          <w:sz w:val="16"/>
          <w:szCs w:val="16"/>
        </w:rPr>
        <w:t>В октябре 1917 года состоялись новые выборы в сейм, в результате которых буржуазия и националисты получили большинство. Вскоре после этого (25 октября/ 7 ноября) в Петрограде произошло вооруженное восстание, вошедшее в историю как Октябрьская революция. Правление СДПФ и исполком профсоюзов Финляндии 26 октября (8 ноября) приветствовали победу большевиков. Под впечатлением событий в России 31 октября – 6 ноября (13-19 ноября) в Финляндии проходила всеобщая забастовка с лозунгами экономических и политических требований рабочих. Одновременно Красная Гвардия разоружала отряды шюцкора, занимала административные здания, вокзалы, телеграфные и телефонные станции, брала на себя охрану общественного порядка. Во многих городах власть фактически перешла к рабочим. Однако Центральный революционный совет (образованный в ноябре) после утверждения сеймом принятых еще летом постановлений о взятии на себя верховной власти, законов о 8-часовом рабочем дне и демократизации системы коммунальных выборов, призвал рабочих прекратить забастовку (18525).</w:t>
      </w:r>
    </w:p>
    <w:p w14:paraId="2A110341" w14:textId="77777777" w:rsidR="002A7D93" w:rsidRPr="002F2FDF" w:rsidRDefault="002A7D93" w:rsidP="0083075A">
      <w:pPr>
        <w:pStyle w:val="ae"/>
        <w:spacing w:before="0" w:after="0"/>
        <w:jc w:val="both"/>
        <w:rPr>
          <w:color w:val="000000" w:themeColor="text1"/>
          <w:sz w:val="16"/>
          <w:szCs w:val="16"/>
        </w:rPr>
      </w:pPr>
    </w:p>
    <w:p w14:paraId="69B6974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CD731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A9D97C" w14:textId="77777777" w:rsidR="00890A59" w:rsidRPr="002F2FDF" w:rsidRDefault="00890A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октябре 1917 г. Инспекция ВВС Германии (IdFlieg) пригласила дирекции авиационных фирм к участию в конкурсе (Typen-Prüfung) самолетов-истребителей, который проходил на ее базе в Адлерсхофе под Берлином, но конкурс закончилось полным провалом и ни один из представленных кандидатов на замену триплана Фоккер Dr I в большую серию запущен так и не был (22789).</w:t>
      </w:r>
    </w:p>
    <w:p w14:paraId="46093281" w14:textId="77777777" w:rsidR="00890A59" w:rsidRPr="002F2FDF" w:rsidRDefault="00890A59" w:rsidP="0083075A">
      <w:pPr>
        <w:spacing w:after="0" w:line="240" w:lineRule="auto"/>
        <w:jc w:val="both"/>
        <w:rPr>
          <w:rFonts w:ascii="Times New Roman" w:hAnsi="Times New Roman" w:cs="Times New Roman"/>
          <w:color w:val="000000" w:themeColor="text1"/>
          <w:sz w:val="16"/>
          <w:szCs w:val="16"/>
        </w:rPr>
      </w:pPr>
    </w:p>
    <w:p w14:paraId="69E34B23" w14:textId="1D2E4CE8" w:rsidR="00890A59" w:rsidRPr="002F2FDF" w:rsidRDefault="00890A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октябре 1917 г. завод O.A.W. в Шнайдемюле получил заказ на 600 истребителей Альбатрос D</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Va (Альбатрос L.24) (в том же месяце свой последний 3-й заказ получил завод в Йоханништале). Первые машины были сданы в конце 1917 г., последние – в апреле 1918 г., после чего выпуск самолета был прекращен (23153).</w:t>
      </w:r>
    </w:p>
    <w:p w14:paraId="4FC67A78" w14:textId="77777777" w:rsidR="00890A59" w:rsidRPr="002F2FDF" w:rsidRDefault="00890A59" w:rsidP="0083075A">
      <w:pPr>
        <w:spacing w:after="0" w:line="240" w:lineRule="auto"/>
        <w:jc w:val="both"/>
        <w:rPr>
          <w:rFonts w:ascii="Times New Roman" w:hAnsi="Times New Roman" w:cs="Times New Roman"/>
          <w:color w:val="000000" w:themeColor="text1"/>
          <w:sz w:val="16"/>
          <w:szCs w:val="16"/>
        </w:rPr>
      </w:pPr>
    </w:p>
    <w:p w14:paraId="0C5537FF" w14:textId="55FA4372" w:rsidR="00890A59" w:rsidRPr="002F2FDF" w:rsidRDefault="00890A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октябре 1917 г. был построен заводом фирмы AEG (Allgemeine Elektrizitäts-Gesellschaft, Abteilung Flugzeugbau) и совершил первый полет</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истребитель-триплан AEG Dr I. Первые полеты показали, что все летные данные по сравнению с прототипом AEG D I ухудшились, и в октябре 1917 г. дальнейшие полеты прекратили, а самолет списали (23172).</w:t>
      </w:r>
    </w:p>
    <w:p w14:paraId="3C51E26A" w14:textId="77777777" w:rsidR="00890A59" w:rsidRPr="002F2FDF" w:rsidRDefault="00890A59" w:rsidP="0083075A">
      <w:pPr>
        <w:spacing w:after="0" w:line="240" w:lineRule="auto"/>
        <w:jc w:val="both"/>
        <w:rPr>
          <w:rFonts w:ascii="Times New Roman" w:hAnsi="Times New Roman" w:cs="Times New Roman"/>
          <w:color w:val="000000" w:themeColor="text1"/>
          <w:sz w:val="16"/>
          <w:szCs w:val="16"/>
        </w:rPr>
      </w:pPr>
    </w:p>
    <w:p w14:paraId="2C67DFDD" w14:textId="77777777" w:rsidR="00890A59" w:rsidRPr="002F2FDF" w:rsidRDefault="00890A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октябре 1917 г. облетали первый «Снайп» с мотором B.R.1. Он превзошел «Кэмел» в устойчи</w:t>
      </w:r>
      <w:r w:rsidRPr="002F2FDF">
        <w:rPr>
          <w:rFonts w:ascii="Times New Roman" w:hAnsi="Times New Roman" w:cs="Times New Roman"/>
          <w:color w:val="000000" w:themeColor="text1"/>
          <w:sz w:val="16"/>
          <w:szCs w:val="16"/>
        </w:rPr>
        <w:softHyphen/>
        <w:t>вости и управляемости, но не дотя</w:t>
      </w:r>
      <w:r w:rsidRPr="002F2FDF">
        <w:rPr>
          <w:rFonts w:ascii="Times New Roman" w:hAnsi="Times New Roman" w:cs="Times New Roman"/>
          <w:color w:val="000000" w:themeColor="text1"/>
          <w:sz w:val="16"/>
          <w:szCs w:val="16"/>
        </w:rPr>
        <w:softHyphen/>
        <w:t>нул до требуемой скорости и проиг</w:t>
      </w:r>
      <w:r w:rsidRPr="002F2FDF">
        <w:rPr>
          <w:rFonts w:ascii="Times New Roman" w:hAnsi="Times New Roman" w:cs="Times New Roman"/>
          <w:color w:val="000000" w:themeColor="text1"/>
          <w:sz w:val="16"/>
          <w:szCs w:val="16"/>
        </w:rPr>
        <w:softHyphen/>
        <w:t>рал в маневренности. Руководство фирмы обещало все быстро испра</w:t>
      </w:r>
      <w:r w:rsidRPr="002F2FDF">
        <w:rPr>
          <w:rFonts w:ascii="Times New Roman" w:hAnsi="Times New Roman" w:cs="Times New Roman"/>
          <w:color w:val="000000" w:themeColor="text1"/>
          <w:sz w:val="16"/>
          <w:szCs w:val="16"/>
        </w:rPr>
        <w:softHyphen/>
        <w:t>вить, надеясь на полученный в ноя</w:t>
      </w:r>
      <w:r w:rsidRPr="002F2FDF">
        <w:rPr>
          <w:rFonts w:ascii="Times New Roman" w:hAnsi="Times New Roman" w:cs="Times New Roman"/>
          <w:color w:val="000000" w:themeColor="text1"/>
          <w:sz w:val="16"/>
          <w:szCs w:val="16"/>
        </w:rPr>
        <w:softHyphen/>
        <w:t>бре 200-сильный двигатель B.R.2, мощность которого фирма «Бентли» обещала поднять еще на 30 л. с., что должно было дать 20 % приро</w:t>
      </w:r>
      <w:r w:rsidRPr="002F2FDF">
        <w:rPr>
          <w:rFonts w:ascii="Times New Roman" w:hAnsi="Times New Roman" w:cs="Times New Roman"/>
          <w:color w:val="000000" w:themeColor="text1"/>
          <w:sz w:val="16"/>
          <w:szCs w:val="16"/>
        </w:rPr>
        <w:softHyphen/>
        <w:t>ста скорости, но пока доработан</w:t>
      </w:r>
      <w:r w:rsidRPr="002F2FDF">
        <w:rPr>
          <w:rFonts w:ascii="Times New Roman" w:hAnsi="Times New Roman" w:cs="Times New Roman"/>
          <w:color w:val="000000" w:themeColor="text1"/>
          <w:sz w:val="16"/>
          <w:szCs w:val="16"/>
        </w:rPr>
        <w:softHyphen/>
        <w:t>ный самолет выжал только 191 км/ч и стал еще хуже в маневре. Тем не менее Томас Сопвич посте</w:t>
      </w:r>
      <w:r w:rsidRPr="002F2FDF">
        <w:rPr>
          <w:rFonts w:ascii="Times New Roman" w:hAnsi="Times New Roman" w:cs="Times New Roman"/>
          <w:color w:val="000000" w:themeColor="text1"/>
          <w:sz w:val="16"/>
          <w:szCs w:val="16"/>
        </w:rPr>
        <w:softHyphen/>
        <w:t>пенно «раскрутил» заказчика еще на пять опытных образцов, на кото</w:t>
      </w:r>
      <w:r w:rsidRPr="002F2FDF">
        <w:rPr>
          <w:rFonts w:ascii="Times New Roman" w:hAnsi="Times New Roman" w:cs="Times New Roman"/>
          <w:color w:val="000000" w:themeColor="text1"/>
          <w:sz w:val="16"/>
          <w:szCs w:val="16"/>
        </w:rPr>
        <w:softHyphen/>
        <w:t>рых пустился в разнообразные экспе</w:t>
      </w:r>
      <w:r w:rsidRPr="002F2FDF">
        <w:rPr>
          <w:rFonts w:ascii="Times New Roman" w:hAnsi="Times New Roman" w:cs="Times New Roman"/>
          <w:color w:val="000000" w:themeColor="text1"/>
          <w:sz w:val="16"/>
          <w:szCs w:val="16"/>
        </w:rPr>
        <w:softHyphen/>
        <w:t>рименты (22876).</w:t>
      </w:r>
    </w:p>
    <w:p w14:paraId="2803F595" w14:textId="77777777" w:rsidR="00890A59" w:rsidRPr="002F2FDF" w:rsidRDefault="00890A59" w:rsidP="0083075A">
      <w:pPr>
        <w:spacing w:after="0" w:line="240" w:lineRule="auto"/>
        <w:jc w:val="both"/>
        <w:rPr>
          <w:rFonts w:ascii="Times New Roman" w:hAnsi="Times New Roman" w:cs="Times New Roman"/>
          <w:color w:val="000000" w:themeColor="text1"/>
          <w:sz w:val="16"/>
          <w:szCs w:val="16"/>
        </w:rPr>
      </w:pPr>
    </w:p>
    <w:p w14:paraId="3AF115DE" w14:textId="7AF4A574" w:rsidR="00890A59" w:rsidRPr="002F2FDF" w:rsidRDefault="00890A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октябре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г. начались испытания первых трех опытных образцов новых Ньюпоров 29 (ни один из них не вобрал всех задуманных новшеств, а штатные фюзеляж и оперение были всего на одном. На них перепробовали три типа моторов и три бипланные коробки), построенных на головном заводе «Ньюпор» в юго-западном предместье Парижа Исси-ле-Мулино из задела агрегатов Ньюпора 28. И только к следующей весне удалось добиться желаемой скорости, но в мае 1918-го заказчик «накинул» еще 20 км/ч и потребовал довести высотность до 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000 м для перехвата бомбардировщиков и дирижаблей... Конструкторы Деляж и Мари ожидали чего-то такого и еще в конце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г. «перекроили» проект под двухстоечную бипланную коробку крыльев с увеличенной на 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площадью, заменив мотор на Испано-Сюизу H.S.8Fb в 300 сил. Помимо прибавки мощности, она позволила поставить синхронизаторы Биркигта, с которыми темп стрельбы двух пулеметов Виккерс Тип II калибра 7,69</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мм стал больше, чем «Альбатросов», в 4,5 раза, а превосходство над «Фоккерами» было полуторным (22890).</w:t>
      </w:r>
    </w:p>
    <w:p w14:paraId="4DE0BD17" w14:textId="77777777" w:rsidR="00890A59" w:rsidRPr="002F2FDF" w:rsidRDefault="00890A59" w:rsidP="0083075A">
      <w:pPr>
        <w:spacing w:after="0" w:line="240" w:lineRule="auto"/>
        <w:jc w:val="both"/>
        <w:rPr>
          <w:rFonts w:ascii="Times New Roman" w:hAnsi="Times New Roman" w:cs="Times New Roman"/>
          <w:color w:val="000000" w:themeColor="text1"/>
          <w:sz w:val="16"/>
          <w:szCs w:val="16"/>
        </w:rPr>
      </w:pPr>
    </w:p>
    <w:p w14:paraId="41C2F438" w14:textId="3879C108" w:rsidR="00890A59" w:rsidRPr="002F2FDF" w:rsidRDefault="00890A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октябре или ноябре 1917 г. самолет WKF Dr I совершил первый полет. Первые полеты показали, что центровка самолета слишком передняя и длина ХЧФ была увеличена на 920 мм (каким образом не ясно, вероятнее всего были сделаны новый фюзеляж и система управления РВ и РН).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Также была выявлена недостаточная жесткость свободнонесущего стабилизатора – он и верхний киль по задним л-нам были соединены подкосами (23141).</w:t>
      </w:r>
    </w:p>
    <w:p w14:paraId="37A79A8E" w14:textId="77777777" w:rsidR="00890A59" w:rsidRPr="002F2FDF" w:rsidRDefault="00890A5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9D59BE" w14:textId="6F1FF284"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1917 года начались летные испытания первого дирижабля, получившего новые “Майбахи” - LZ-105 (L-58), относящегося к серии “v”.. Погода зимой была столь неблагоприятной, что даже L-58 не смог достигнуть Британии, когда 12 декабря он с еще четырьмя цеппелинами попытался это сделать. Так, начиная с того несчастного октябрьского налета, боевая удача стала отворачиваться от морских дирижаблей (11324).</w:t>
      </w:r>
    </w:p>
    <w:p w14:paraId="5D8875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0572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1917 года R.23 был принят в состав флота. Кроме всего [281] прочего летом 1918 года дирижабль использовался в качестве носителя истребителя Сопвич 2F.1 “Кэмэл”. В ноябре наблюдал за германскими подводными лодками, которые сдались в Гарвиче. В 1919 году он был сдан на металлолом (11324).</w:t>
      </w:r>
    </w:p>
    <w:p w14:paraId="0701E4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A061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1917 года по образцу R.23 был построен фирмой “Бердмор” в Инчинанну следующий британский жесткий дирижабль — R.24. “Армстронг-Уитворт” в Барлоу примерно тогда же передал флоту R.25, а в январе 1918 года фирма “Виккерс” закончила слегка улучшенный R.26. Все эти дирижабли в конструктивном отношении не представляли собой ничего интересного и были весьма ненадежными в эксплуатации. Частым явлением стали поломки и отказы различных систем, что вынуждало практически постоянно их ремонтировать. Ни один из них не прослужил более года после окончания войны — все они были списаны. Об их пригодности к действительной службе говорит тот факт, что только R.24 применялся для охранения конвоев в 1918 году. Но можно ли считать эти несколько часов полета свидетельством боевого применения? Наверное, только формально. Таким образом, усилия и средства, затраченные на их строительство, не оправдали себя (11324).</w:t>
      </w:r>
    </w:p>
    <w:p w14:paraId="19D68F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52FB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октябре 1917 итальянские дирижабли способствовали своими активными действиями наступлению итальянской армии. За время войны воздушные корабли совершили 235 боевых вылетов, сбросив 250 т бомб и 50 т листовок. Самым активным среди них стал М.11, который 53 раза поднимался навстречу смерти. Судьба была к нему благосклонна — корабль так и не был сбит (11324).</w:t>
      </w:r>
    </w:p>
    <w:p w14:paraId="259774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54EF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1917 года ангар, в котором тогда находились М.8 и М.13, подвергся бомбардировке австрийской авиации. В итоге оба “итальянца” погибли. М.10 был сбит над Просекко 22 сентября 1917 года, двумя месяцами ранее та же участь постигла и М.12 над Хермада. М.17 сгорел во время полета по невыясненной причине 3 февраля 1918 года. После войны старый дирижабль М.1 переименовали в “Анджело Бернарди” и долгое время использовали для пассажирских перевозок. Он совершил 54 вылета и перевез 800 пассажиров (11324).</w:t>
      </w:r>
    </w:p>
    <w:p w14:paraId="5B714F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6C76E7" w14:textId="77777777" w:rsidR="00125E17" w:rsidRPr="002F2FDF" w:rsidRDefault="00125E1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1917 в Восточной Африке германские оборонительные отряды под командованием Пауля фон Летова-Вербека заняли Португальскую Восточную Африку (3186).</w:t>
      </w:r>
    </w:p>
    <w:p w14:paraId="0E1A6964" w14:textId="77777777" w:rsidR="00125E17" w:rsidRPr="002F2FDF" w:rsidRDefault="00125E1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49E344" w14:textId="77777777" w:rsidR="00125E17" w:rsidRPr="002F2FDF" w:rsidRDefault="00125E1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1917 года из одиннадцати воздушных кораблей, принимавших участие в налете на Англию, не вернулось пять. Четыре из них были снесены сильнейшим противным ветром во Францию, где и погибли, а пятому хоть и удалось достичь Центральной Германии, но при посадке он разбился. Шесть остальных, своевременно разобравшись в изменившихся погодных условиях, возвратились на станцию (11324).</w:t>
      </w:r>
    </w:p>
    <w:p w14:paraId="7BA07B8B" w14:textId="77777777" w:rsidR="00125E17" w:rsidRPr="002F2FDF" w:rsidRDefault="00125E1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B08D83" w14:textId="77777777" w:rsidR="00125E17" w:rsidRPr="002F2FDF" w:rsidRDefault="00125E1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1917 итальянские дирижабли способствовали своими активными действиями наступлению итальянской армии. За время войны воздушные корабли совершили 235 боевых вылетов, сбросив 250 т бомб и 50 т листовок. Самым активным среди них стал М.11, который 53 раза поднимался навстречу смерти. Судьба была к нему благосклонна — корабль так и не был сбит (11324).</w:t>
      </w:r>
    </w:p>
    <w:p w14:paraId="4E31CAE8" w14:textId="77777777" w:rsidR="00125E17" w:rsidRPr="002F2FDF" w:rsidRDefault="00125E1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420AD5" w14:textId="77777777" w:rsidR="00125E17" w:rsidRPr="002F2FDF" w:rsidRDefault="00125E1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1917 года ангар, в котором тогда находились итальянские дирижабли М.8 и М.13, подвергся бомбардировке австрийской авиации. В итоге оба “итальянца” погибли. М.10 был сбит над Просекко 22 сентября 1917 года, двумя месяцами ранее та же участь постигла и М.12 над Хермада. М.17 сгорел во время полета по невыясненной причине 3 февраля 1918 года. После войны старый дирижабль М.1 переименовали в “Анджело Бернарди” и долгое время использовали для пассажирских перевозок. Он совершил 54 вылета и перевез 800 пассажиров (11324).</w:t>
      </w:r>
    </w:p>
    <w:p w14:paraId="6BA68470" w14:textId="77777777" w:rsidR="00125E17" w:rsidRPr="002F2FDF" w:rsidRDefault="00125E1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33AE93" w14:textId="77777777" w:rsidR="00125E17" w:rsidRPr="002F2FDF" w:rsidRDefault="00125E17"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октябре 1917 г. Фордом был вы</w:t>
      </w:r>
      <w:r w:rsidRPr="002F2FDF">
        <w:rPr>
          <w:rFonts w:ascii="Times New Roman" w:hAnsi="Times New Roman" w:cs="Times New Roman"/>
          <w:color w:val="000000" w:themeColor="text1"/>
          <w:kern w:val="2"/>
          <w:sz w:val="16"/>
          <w:szCs w:val="16"/>
        </w:rPr>
        <w:softHyphen/>
        <w:t>пущен трактор«Фордзон» №1, в октябре 1918 г. — №22248, в октябре 1919 г. - №74810. а ок</w:t>
      </w:r>
      <w:r w:rsidRPr="002F2FDF">
        <w:rPr>
          <w:rFonts w:ascii="Times New Roman" w:hAnsi="Times New Roman" w:cs="Times New Roman"/>
          <w:color w:val="000000" w:themeColor="text1"/>
          <w:kern w:val="2"/>
          <w:sz w:val="16"/>
          <w:szCs w:val="16"/>
        </w:rPr>
        <w:softHyphen/>
        <w:t>тябре 1920 г. — №158178. Трактор «Фордзон» производился в различных модифика</w:t>
      </w:r>
      <w:r w:rsidRPr="002F2FDF">
        <w:rPr>
          <w:rFonts w:ascii="Times New Roman" w:hAnsi="Times New Roman" w:cs="Times New Roman"/>
          <w:color w:val="000000" w:themeColor="text1"/>
          <w:kern w:val="2"/>
          <w:sz w:val="16"/>
          <w:szCs w:val="16"/>
        </w:rPr>
        <w:softHyphen/>
        <w:t>циях в течение рада лет, а общий объем вы</w:t>
      </w:r>
      <w:r w:rsidRPr="002F2FDF">
        <w:rPr>
          <w:rFonts w:ascii="Times New Roman" w:hAnsi="Times New Roman" w:cs="Times New Roman"/>
          <w:color w:val="000000" w:themeColor="text1"/>
          <w:kern w:val="2"/>
          <w:sz w:val="16"/>
          <w:szCs w:val="16"/>
        </w:rPr>
        <w:softHyphen/>
        <w:t>пуска определялся шестизначной цифрой. Значительные объемы производства позво</w:t>
      </w:r>
      <w:r w:rsidRPr="002F2FDF">
        <w:rPr>
          <w:rFonts w:ascii="Times New Roman" w:hAnsi="Times New Roman" w:cs="Times New Roman"/>
          <w:color w:val="000000" w:themeColor="text1"/>
          <w:kern w:val="2"/>
          <w:sz w:val="16"/>
          <w:szCs w:val="16"/>
        </w:rPr>
        <w:softHyphen/>
        <w:t>ляли прогрессивно снижать его стоимость: если в 1918 г. трактор стоил 880 долл., ток 1922 г, он был уценен уже до 395 долл. Первые поставки «Фордзонов» осуществ</w:t>
      </w:r>
      <w:r w:rsidRPr="002F2FDF">
        <w:rPr>
          <w:rFonts w:ascii="Times New Roman" w:hAnsi="Times New Roman" w:cs="Times New Roman"/>
          <w:color w:val="000000" w:themeColor="text1"/>
          <w:kern w:val="2"/>
          <w:sz w:val="16"/>
          <w:szCs w:val="16"/>
        </w:rPr>
        <w:softHyphen/>
        <w:t>лялись еще в период Гражданской войны купцом Батолиным. Тракторы этого типа при</w:t>
      </w:r>
      <w:r w:rsidRPr="002F2FDF">
        <w:rPr>
          <w:rFonts w:ascii="Times New Roman" w:hAnsi="Times New Roman" w:cs="Times New Roman"/>
          <w:color w:val="000000" w:themeColor="text1"/>
          <w:kern w:val="2"/>
          <w:sz w:val="16"/>
          <w:szCs w:val="16"/>
        </w:rPr>
        <w:softHyphen/>
        <w:t>обретали отдельные крестьяне в Сибири, Но эти поставки в условиях политической не</w:t>
      </w:r>
      <w:r w:rsidRPr="002F2FDF">
        <w:rPr>
          <w:rFonts w:ascii="Times New Roman" w:hAnsi="Times New Roman" w:cs="Times New Roman"/>
          <w:color w:val="000000" w:themeColor="text1"/>
          <w:kern w:val="2"/>
          <w:sz w:val="16"/>
          <w:szCs w:val="16"/>
        </w:rPr>
        <w:softHyphen/>
        <w:t>стабильности и глубокого экономического кризиса были крайне незначительными. Пос</w:t>
      </w:r>
      <w:r w:rsidRPr="002F2FDF">
        <w:rPr>
          <w:rFonts w:ascii="Times New Roman" w:hAnsi="Times New Roman" w:cs="Times New Roman"/>
          <w:color w:val="000000" w:themeColor="text1"/>
          <w:kern w:val="2"/>
          <w:sz w:val="16"/>
          <w:szCs w:val="16"/>
        </w:rPr>
        <w:softHyphen/>
        <w:t>ле установления советской власти в Сибир</w:t>
      </w:r>
      <w:r w:rsidRPr="002F2FDF">
        <w:rPr>
          <w:rFonts w:ascii="Times New Roman" w:hAnsi="Times New Roman" w:cs="Times New Roman"/>
          <w:color w:val="000000" w:themeColor="text1"/>
          <w:kern w:val="2"/>
          <w:sz w:val="16"/>
          <w:szCs w:val="16"/>
        </w:rPr>
        <w:softHyphen/>
        <w:t>ском крае к 1 декабря 1920 г. были учтены всего 24 трактора различных моделей. Ос</w:t>
      </w:r>
      <w:r w:rsidRPr="002F2FDF">
        <w:rPr>
          <w:rFonts w:ascii="Times New Roman" w:hAnsi="Times New Roman" w:cs="Times New Roman"/>
          <w:color w:val="000000" w:themeColor="text1"/>
          <w:kern w:val="2"/>
          <w:sz w:val="16"/>
          <w:szCs w:val="16"/>
        </w:rPr>
        <w:softHyphen/>
        <w:t>тается заметить, что Батолин являлся также и директором С.-Петербургского управления Русско-Азиатского банка, контролировавшего деятельность Пугиловского завода. В со</w:t>
      </w:r>
      <w:r w:rsidRPr="002F2FDF">
        <w:rPr>
          <w:rFonts w:ascii="Times New Roman" w:hAnsi="Times New Roman" w:cs="Times New Roman"/>
          <w:color w:val="000000" w:themeColor="text1"/>
          <w:kern w:val="2"/>
          <w:sz w:val="16"/>
          <w:szCs w:val="16"/>
        </w:rPr>
        <w:softHyphen/>
        <w:t>ветской России с интересом относились к продукции Форда и других американских фирм, однако наличие договора с Батоли</w:t>
      </w:r>
      <w:r w:rsidRPr="002F2FDF">
        <w:rPr>
          <w:rFonts w:ascii="Times New Roman" w:hAnsi="Times New Roman" w:cs="Times New Roman"/>
          <w:color w:val="000000" w:themeColor="text1"/>
          <w:kern w:val="2"/>
          <w:sz w:val="16"/>
          <w:szCs w:val="16"/>
        </w:rPr>
        <w:softHyphen/>
        <w:t>ным и неоднозначность политической ситу</w:t>
      </w:r>
      <w:r w:rsidRPr="002F2FDF">
        <w:rPr>
          <w:rFonts w:ascii="Times New Roman" w:hAnsi="Times New Roman" w:cs="Times New Roman"/>
          <w:color w:val="000000" w:themeColor="text1"/>
          <w:kern w:val="2"/>
          <w:sz w:val="16"/>
          <w:szCs w:val="16"/>
        </w:rPr>
        <w:softHyphen/>
        <w:t>ации (советские представители преследова</w:t>
      </w:r>
      <w:r w:rsidRPr="002F2FDF">
        <w:rPr>
          <w:rFonts w:ascii="Times New Roman" w:hAnsi="Times New Roman" w:cs="Times New Roman"/>
          <w:color w:val="000000" w:themeColor="text1"/>
          <w:kern w:val="2"/>
          <w:sz w:val="16"/>
          <w:szCs w:val="16"/>
        </w:rPr>
        <w:softHyphen/>
        <w:t xml:space="preserve">лись и высылались властями </w:t>
      </w:r>
      <w:r w:rsidRPr="002F2FDF">
        <w:rPr>
          <w:rFonts w:ascii="Times New Roman" w:hAnsi="Times New Roman" w:cs="Times New Roman"/>
          <w:color w:val="000000" w:themeColor="text1"/>
          <w:kern w:val="2"/>
          <w:sz w:val="16"/>
          <w:szCs w:val="16"/>
          <w:lang w:val="en-US"/>
        </w:rPr>
        <w:t>CACLU</w:t>
      </w:r>
      <w:r w:rsidRPr="002F2FDF">
        <w:rPr>
          <w:rFonts w:ascii="Times New Roman" w:hAnsi="Times New Roman" w:cs="Times New Roman"/>
          <w:color w:val="000000" w:themeColor="text1"/>
          <w:kern w:val="2"/>
          <w:sz w:val="16"/>
          <w:szCs w:val="16"/>
        </w:rPr>
        <w:t>) препят</w:t>
      </w:r>
      <w:r w:rsidRPr="002F2FDF">
        <w:rPr>
          <w:rFonts w:ascii="Times New Roman" w:hAnsi="Times New Roman" w:cs="Times New Roman"/>
          <w:color w:val="000000" w:themeColor="text1"/>
          <w:kern w:val="2"/>
          <w:sz w:val="16"/>
          <w:szCs w:val="16"/>
        </w:rPr>
        <w:softHyphen/>
        <w:t>ствовали заключению в 1919-1921 гг. ка</w:t>
      </w:r>
      <w:r w:rsidRPr="002F2FDF">
        <w:rPr>
          <w:rFonts w:ascii="Times New Roman" w:hAnsi="Times New Roman" w:cs="Times New Roman"/>
          <w:color w:val="000000" w:themeColor="text1"/>
          <w:kern w:val="2"/>
          <w:sz w:val="16"/>
          <w:szCs w:val="16"/>
        </w:rPr>
        <w:softHyphen/>
        <w:t>ких-либо сделок.</w:t>
      </w:r>
    </w:p>
    <w:p w14:paraId="4FBD4133" w14:textId="77777777" w:rsidR="00125E17" w:rsidRPr="002F2FDF" w:rsidRDefault="00125E17"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Фордзон» принадлежал к числу легких буксирующих безрамных четырехколесных тракторов. Двигатель работал на керосине и запускался на бензине. Топливный бак вме</w:t>
      </w:r>
      <w:r w:rsidRPr="002F2FDF">
        <w:rPr>
          <w:rFonts w:ascii="Times New Roman" w:hAnsi="Times New Roman" w:cs="Times New Roman"/>
          <w:color w:val="000000" w:themeColor="text1"/>
          <w:kern w:val="2"/>
          <w:sz w:val="16"/>
          <w:szCs w:val="16"/>
        </w:rPr>
        <w:softHyphen/>
        <w:t>щал «63 кг керосина", чего хватало пример</w:t>
      </w:r>
      <w:r w:rsidRPr="002F2FDF">
        <w:rPr>
          <w:rFonts w:ascii="Times New Roman" w:hAnsi="Times New Roman" w:cs="Times New Roman"/>
          <w:color w:val="000000" w:themeColor="text1"/>
          <w:kern w:val="2"/>
          <w:sz w:val="16"/>
          <w:szCs w:val="16"/>
        </w:rPr>
        <w:softHyphen/>
        <w:t>но на 10-часовой рабочий день. Трактор мог работать с двухкорпусным плугом шириной захвата 28 дюймов (71 см) при глубине па</w:t>
      </w:r>
      <w:r w:rsidRPr="002F2FDF">
        <w:rPr>
          <w:rFonts w:ascii="Times New Roman" w:hAnsi="Times New Roman" w:cs="Times New Roman"/>
          <w:color w:val="000000" w:themeColor="text1"/>
          <w:kern w:val="2"/>
          <w:sz w:val="16"/>
          <w:szCs w:val="16"/>
        </w:rPr>
        <w:softHyphen/>
        <w:t>хоты 18—20 см. Емкость «холодильника» и водяных рубашек двигателя составляла 46 л (3/4 ведра). Два задних ведущих колеса име</w:t>
      </w:r>
      <w:r w:rsidRPr="002F2FDF">
        <w:rPr>
          <w:rFonts w:ascii="Times New Roman" w:hAnsi="Times New Roman" w:cs="Times New Roman"/>
          <w:color w:val="000000" w:themeColor="text1"/>
          <w:kern w:val="2"/>
          <w:sz w:val="16"/>
          <w:szCs w:val="16"/>
        </w:rPr>
        <w:softHyphen/>
        <w:t>ли диаметр 122 см и ширину обода 30 см, передние направляющие колеса - диаметр 71 см; на задние колеса передавалось око</w:t>
      </w:r>
      <w:r w:rsidRPr="002F2FDF">
        <w:rPr>
          <w:rFonts w:ascii="Times New Roman" w:hAnsi="Times New Roman" w:cs="Times New Roman"/>
          <w:color w:val="000000" w:themeColor="text1"/>
          <w:kern w:val="2"/>
          <w:sz w:val="16"/>
          <w:szCs w:val="16"/>
        </w:rPr>
        <w:softHyphen/>
        <w:t>ло 2/3 веса трактора. Трактор имел три ско</w:t>
      </w:r>
      <w:r w:rsidRPr="002F2FDF">
        <w:rPr>
          <w:rFonts w:ascii="Times New Roman" w:hAnsi="Times New Roman" w:cs="Times New Roman"/>
          <w:color w:val="000000" w:themeColor="text1"/>
          <w:kern w:val="2"/>
          <w:sz w:val="16"/>
          <w:szCs w:val="16"/>
        </w:rPr>
        <w:softHyphen/>
        <w:t>рости вперед (от 2,3 до 11 км/ч) и одну зад</w:t>
      </w:r>
      <w:r w:rsidRPr="002F2FDF">
        <w:rPr>
          <w:rFonts w:ascii="Times New Roman" w:hAnsi="Times New Roman" w:cs="Times New Roman"/>
          <w:color w:val="000000" w:themeColor="text1"/>
          <w:kern w:val="2"/>
          <w:sz w:val="16"/>
          <w:szCs w:val="16"/>
        </w:rPr>
        <w:softHyphen/>
        <w:t>нюю скорость (4,2 км/ч).</w:t>
      </w:r>
    </w:p>
    <w:p w14:paraId="2A7B2ED9" w14:textId="77777777" w:rsidR="00125E17" w:rsidRPr="002F2FDF" w:rsidRDefault="00125E17"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Высокая 3-я скорость позволяла ис</w:t>
      </w:r>
      <w:r w:rsidRPr="002F2FDF">
        <w:rPr>
          <w:rFonts w:ascii="Times New Roman" w:hAnsi="Times New Roman" w:cs="Times New Roman"/>
          <w:color w:val="000000" w:themeColor="text1"/>
          <w:kern w:val="2"/>
          <w:sz w:val="16"/>
          <w:szCs w:val="16"/>
        </w:rPr>
        <w:softHyphen/>
        <w:t>пользовать «Фордзон» на дорогах в каче</w:t>
      </w:r>
      <w:r w:rsidRPr="002F2FDF">
        <w:rPr>
          <w:rFonts w:ascii="Times New Roman" w:hAnsi="Times New Roman" w:cs="Times New Roman"/>
          <w:color w:val="000000" w:themeColor="text1"/>
          <w:kern w:val="2"/>
          <w:sz w:val="16"/>
          <w:szCs w:val="16"/>
        </w:rPr>
        <w:softHyphen/>
        <w:t>стве тягача, при этом штатные колеса за</w:t>
      </w:r>
      <w:r w:rsidRPr="002F2FDF">
        <w:rPr>
          <w:rFonts w:ascii="Times New Roman" w:hAnsi="Times New Roman" w:cs="Times New Roman"/>
          <w:color w:val="000000" w:themeColor="text1"/>
          <w:kern w:val="2"/>
          <w:sz w:val="16"/>
          <w:szCs w:val="16"/>
        </w:rPr>
        <w:softHyphen/>
        <w:t>менялись специальными колесами на гру- зошине. Вместе с тем, в силу особеннос</w:t>
      </w:r>
      <w:r w:rsidRPr="002F2FDF">
        <w:rPr>
          <w:rFonts w:ascii="Times New Roman" w:hAnsi="Times New Roman" w:cs="Times New Roman"/>
          <w:color w:val="000000" w:themeColor="text1"/>
          <w:kern w:val="2"/>
          <w:sz w:val="16"/>
          <w:szCs w:val="16"/>
        </w:rPr>
        <w:softHyphen/>
        <w:t>тей состояния отечественных транспортных коммуникаций, эксплуатация тягачей на грузошинах оказалась практически невоз</w:t>
      </w:r>
      <w:r w:rsidRPr="002F2FDF">
        <w:rPr>
          <w:rFonts w:ascii="Times New Roman" w:hAnsi="Times New Roman" w:cs="Times New Roman"/>
          <w:color w:val="000000" w:themeColor="text1"/>
          <w:kern w:val="2"/>
          <w:sz w:val="16"/>
          <w:szCs w:val="16"/>
        </w:rPr>
        <w:softHyphen/>
        <w:t>можной, так как колеса буксовали в незна</w:t>
      </w:r>
      <w:r w:rsidRPr="002F2FDF">
        <w:rPr>
          <w:rFonts w:ascii="Times New Roman" w:hAnsi="Times New Roman" w:cs="Times New Roman"/>
          <w:color w:val="000000" w:themeColor="text1"/>
          <w:kern w:val="2"/>
          <w:sz w:val="16"/>
          <w:szCs w:val="16"/>
        </w:rPr>
        <w:softHyphen/>
        <w:t>чительной грязи, а дороги с твердым покрытием не были распространены. Дви</w:t>
      </w:r>
      <w:r w:rsidRPr="002F2FDF">
        <w:rPr>
          <w:rFonts w:ascii="Times New Roman" w:hAnsi="Times New Roman" w:cs="Times New Roman"/>
          <w:color w:val="000000" w:themeColor="text1"/>
          <w:kern w:val="2"/>
          <w:sz w:val="16"/>
          <w:szCs w:val="16"/>
        </w:rPr>
        <w:softHyphen/>
        <w:t>жение по шоссе с установленными грунто- за цепам и вызывало сильнейшую тряску. Так, в октябре 1923 г. в ходе устроенного военным ведомством тракторного пробега у испытываемого трактора «Фордзон» из- за тряски при движении на большой ско</w:t>
      </w:r>
      <w:r w:rsidRPr="002F2FDF">
        <w:rPr>
          <w:rFonts w:ascii="Times New Roman" w:hAnsi="Times New Roman" w:cs="Times New Roman"/>
          <w:color w:val="000000" w:themeColor="text1"/>
          <w:kern w:val="2"/>
          <w:sz w:val="16"/>
          <w:szCs w:val="16"/>
        </w:rPr>
        <w:softHyphen/>
        <w:t>рости по мощеной булыжнихом дороге произошла поломка кронштейна надколесного крыла».</w:t>
      </w:r>
    </w:p>
    <w:p w14:paraId="52C11532" w14:textId="77777777" w:rsidR="00125E17" w:rsidRPr="002F2FDF" w:rsidRDefault="00125E17"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Сбоку «Фордзон» имел шкив «для работы на ремне». Ремнем приводились в действие разнообразные машины и приспособления, например молотилки, пилы, насосы и т.п. (11902).</w:t>
      </w:r>
    </w:p>
    <w:p w14:paraId="5456FB40" w14:textId="77777777" w:rsidR="00125E17" w:rsidRPr="002F2FDF" w:rsidRDefault="00125E17"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FB699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C0E26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DDB2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апрель 1916 - октябрь 1917 завод С.С.Щетинина поставил в ВМФ 212 лл М-9, в т.ч. 102 на ЧФ и 86 на БФ (2809,11).</w:t>
      </w:r>
    </w:p>
    <w:p w14:paraId="4527D8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885DCE" w14:textId="3B7B2017" w:rsidR="00B47A00" w:rsidRPr="002F2FDF" w:rsidRDefault="00B47A0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 октября-ноября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г. </w:t>
      </w:r>
      <w:r w:rsidR="000A3576" w:rsidRPr="002F2FDF">
        <w:rPr>
          <w:rFonts w:ascii="Times New Roman" w:hAnsi="Times New Roman" w:cs="Times New Roman"/>
          <w:color w:val="000000" w:themeColor="text1"/>
          <w:sz w:val="16"/>
          <w:szCs w:val="16"/>
        </w:rPr>
        <w:t>гигантский моторостроительный завод</w:t>
      </w:r>
      <w:r w:rsidR="000A3576">
        <w:rPr>
          <w:rFonts w:ascii="Times New Roman" w:hAnsi="Times New Roman" w:cs="Times New Roman"/>
          <w:color w:val="000000" w:themeColor="text1"/>
          <w:sz w:val="16"/>
          <w:szCs w:val="16"/>
        </w:rPr>
        <w:t xml:space="preserve"> в Рыбинске </w:t>
      </w:r>
      <w:r w:rsidRPr="002F2FDF">
        <w:rPr>
          <w:rFonts w:ascii="Times New Roman" w:hAnsi="Times New Roman" w:cs="Times New Roman"/>
          <w:color w:val="000000" w:themeColor="text1"/>
          <w:sz w:val="16"/>
          <w:szCs w:val="16"/>
        </w:rPr>
        <w:t>должен был начать выдавать вместе с Петроградским заводом «Рено» сотни авиамоторов мощностью в 280–300 л.с. (19989).</w:t>
      </w:r>
    </w:p>
    <w:p w14:paraId="1283801B" w14:textId="77777777" w:rsidR="00B47A00" w:rsidRPr="002F2FDF" w:rsidRDefault="00B47A00" w:rsidP="0083075A">
      <w:pPr>
        <w:spacing w:after="0" w:line="240" w:lineRule="auto"/>
        <w:jc w:val="both"/>
        <w:rPr>
          <w:rFonts w:ascii="Times New Roman" w:hAnsi="Times New Roman" w:cs="Times New Roman"/>
          <w:color w:val="000000" w:themeColor="text1"/>
          <w:sz w:val="16"/>
          <w:szCs w:val="16"/>
        </w:rPr>
      </w:pPr>
    </w:p>
    <w:p w14:paraId="24B7916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2F2FDF">
        <w:rPr>
          <w:rFonts w:ascii="Times New Roman" w:hAnsi="Times New Roman" w:cs="Times New Roman"/>
          <w:i/>
          <w:iCs/>
          <w:color w:val="000000" w:themeColor="text1"/>
          <w:kern w:val="2"/>
          <w:sz w:val="16"/>
          <w:szCs w:val="16"/>
        </w:rPr>
        <w:t>Армия</w:t>
      </w:r>
      <w:r w:rsidRPr="002F2FDF">
        <w:rPr>
          <w:rFonts w:ascii="Times New Roman" w:hAnsi="Times New Roman" w:cs="Times New Roman"/>
          <w:i/>
          <w:iCs/>
          <w:color w:val="000000" w:themeColor="text1"/>
          <w:kern w:val="2"/>
          <w:sz w:val="16"/>
          <w:szCs w:val="16"/>
          <w:lang w:val="en-US"/>
        </w:rPr>
        <w:t>:</w:t>
      </w:r>
    </w:p>
    <w:p w14:paraId="315193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21A2DD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October-December 1917 Beginning of dissolution of Imperial Russian Air Service; Tzarist squadrons defect en bloc to Lenin</w:t>
      </w:r>
      <w:r w:rsidRPr="002F2FDF">
        <w:rPr>
          <w:rFonts w:ascii="Times New Roman" w:hAnsi="Times New Roman" w:cs="Times New Roman"/>
          <w:color w:val="000000" w:themeColor="text1"/>
          <w:kern w:val="2"/>
          <w:sz w:val="16"/>
          <w:szCs w:val="16"/>
        </w:rPr>
        <w:t>Т</w:t>
      </w:r>
      <w:r w:rsidRPr="002F2FDF">
        <w:rPr>
          <w:rFonts w:ascii="Times New Roman" w:hAnsi="Times New Roman" w:cs="Times New Roman"/>
          <w:color w:val="000000" w:themeColor="text1"/>
          <w:kern w:val="2"/>
          <w:sz w:val="16"/>
          <w:szCs w:val="16"/>
          <w:lang w:val="en-US"/>
        </w:rPr>
        <w:t>s Bolsheviks, many officers are executed. Some airmen remain loyal to the government and join counterrevolutionary factions in the east and in the south. Others flee to Britain. Red Air Fleet at 36 squadrons, all under strength with no more than 150 aircraft total of predominantly obsolescent French and German types (1349).</w:t>
      </w:r>
    </w:p>
    <w:p w14:paraId="001686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55627F2C" w14:textId="77777777" w:rsidR="00B47A00" w:rsidRPr="002F2FDF" w:rsidRDefault="00B47A0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EB5A755" w14:textId="77777777" w:rsidR="00B47A00" w:rsidRPr="002F2FDF" w:rsidRDefault="00B47A0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653BC8" w14:textId="77777777" w:rsidR="00B47A00" w:rsidRPr="002F2FDF" w:rsidRDefault="00B47A0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ноябрю 1917 заводы были способны обеспечить постройку не более 1300-1400 двигателей в год. В 1917 г. производительность заводов снизилась в три раза, было выпущено всего 450 двигателей. Такое положение начальник УВВФ объяснял в своем Докладе военному министру в октябре 1917 г. тем, что заводы, нарождаясь в тяжелое время войны, как и вся прочая промышленность Отечества, не избежали общей участи разрухи государственного хозяйства, в течение последних 5-6 месяцев организация и оборудование этих заводов почти прекратились, станки и прочие предметы оборудования, заказанные в большинстве ЗДучаев за границей, или совсем перестали поступать, или поступление это было столь ничтожно, что окончание оборудования заводов приняло характер хронической неопределенности". () (19990).</w:t>
      </w:r>
    </w:p>
    <w:p w14:paraId="28B33728" w14:textId="77777777" w:rsidR="00B47A00" w:rsidRPr="002F2FDF" w:rsidRDefault="00B47A00" w:rsidP="0083075A">
      <w:pPr>
        <w:spacing w:after="0" w:line="240" w:lineRule="auto"/>
        <w:jc w:val="both"/>
        <w:rPr>
          <w:rFonts w:ascii="Times New Roman" w:hAnsi="Times New Roman" w:cs="Times New Roman"/>
          <w:color w:val="000000" w:themeColor="text1"/>
          <w:sz w:val="16"/>
          <w:szCs w:val="16"/>
        </w:rPr>
      </w:pPr>
    </w:p>
    <w:p w14:paraId="1EC4EC0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39FCF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01CD9A" w14:textId="77777777" w:rsidR="00B47A00" w:rsidRPr="002F2FDF" w:rsidRDefault="00B47A0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ноябрю 1917 г. — моменту, когда Россия прекратила воздушные действия в войне, официально насчитывалось 1846 (по некоторым источникам 19) русских асов (19996).</w:t>
      </w:r>
    </w:p>
    <w:p w14:paraId="02394406" w14:textId="77777777" w:rsidR="00B47A00" w:rsidRPr="002F2FDF" w:rsidRDefault="00B47A00" w:rsidP="0083075A">
      <w:pPr>
        <w:spacing w:after="0" w:line="240" w:lineRule="auto"/>
        <w:jc w:val="both"/>
        <w:rPr>
          <w:rFonts w:ascii="Times New Roman" w:hAnsi="Times New Roman" w:cs="Times New Roman"/>
          <w:color w:val="000000" w:themeColor="text1"/>
          <w:sz w:val="16"/>
          <w:szCs w:val="16"/>
        </w:rPr>
      </w:pPr>
    </w:p>
    <w:p w14:paraId="69F33AB2" w14:textId="77777777" w:rsidR="00B47A00" w:rsidRPr="002F2FDF" w:rsidRDefault="00B47A00" w:rsidP="0083075A">
      <w:pPr>
        <w:spacing w:after="0" w:line="240" w:lineRule="auto"/>
        <w:jc w:val="both"/>
        <w:rPr>
          <w:rFonts w:ascii="Times New Roman" w:hAnsi="Times New Roman" w:cs="Times New Roman"/>
          <w:color w:val="000000" w:themeColor="text1"/>
          <w:sz w:val="16"/>
          <w:szCs w:val="16"/>
        </w:rPr>
      </w:pPr>
      <w:bookmarkStart w:id="396" w:name="_Hlk55665877"/>
      <w:r w:rsidRPr="002F2FDF">
        <w:rPr>
          <w:rFonts w:ascii="Times New Roman" w:hAnsi="Times New Roman" w:cs="Times New Roman"/>
          <w:color w:val="000000" w:themeColor="text1"/>
          <w:sz w:val="16"/>
          <w:szCs w:val="16"/>
        </w:rPr>
        <w:t>К ноябрю 1917 г. в составе ВВФ действующей армии имелось: 13 авиадивизионов и 9 авиационных баз; 4 боевые авиагруппы; 38 корпусных, 2 гвардейских, гренадерский, Туркестанский, 7 Сибирских, 4 Кавказских, 11 армейских, 15 истребительных авиаотрядов (502 самолета и 443 летчика); 14 воздухоплавательных дивизионов, 87 воздухоплавательных отрядов (из них корпусные – 59, армейские – 13, крепостные – 15); 2 крепостные воздухоплавательные роты и 4 парка (без тыловых частей: 700 офицеров, 2800 нижних чинов) (20223).</w:t>
      </w:r>
    </w:p>
    <w:p w14:paraId="331FB86D" w14:textId="77777777" w:rsidR="00B47A00" w:rsidRPr="002F2FDF" w:rsidRDefault="00B47A00" w:rsidP="0083075A">
      <w:pPr>
        <w:spacing w:after="0" w:line="240" w:lineRule="auto"/>
        <w:jc w:val="both"/>
        <w:rPr>
          <w:rFonts w:ascii="Times New Roman" w:hAnsi="Times New Roman" w:cs="Times New Roman"/>
          <w:color w:val="000000" w:themeColor="text1"/>
          <w:sz w:val="16"/>
          <w:szCs w:val="16"/>
        </w:rPr>
      </w:pPr>
    </w:p>
    <w:bookmarkEnd w:id="396"/>
    <w:p w14:paraId="5BE807D3" w14:textId="77777777" w:rsidR="00762819" w:rsidRPr="00FB4F67" w:rsidRDefault="0076281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ноябрю 1917 г. обучение в иностранных школах прошли около 250 русских летчиков. Неясно, сколько вернулось в Россию до прихода к власти большевиков или сколько предпочло остаться за границей из-за неопределенных политических условий дома (23525).</w:t>
      </w:r>
    </w:p>
    <w:p w14:paraId="6F810DFB" w14:textId="77777777" w:rsidR="00762819" w:rsidRPr="00FB4F67" w:rsidRDefault="00762819" w:rsidP="0083075A">
      <w:pPr>
        <w:spacing w:after="0" w:line="240" w:lineRule="auto"/>
        <w:jc w:val="both"/>
        <w:rPr>
          <w:rFonts w:ascii="Times New Roman" w:hAnsi="Times New Roman" w:cs="Times New Roman"/>
          <w:color w:val="0070C0"/>
          <w:sz w:val="16"/>
          <w:szCs w:val="16"/>
        </w:rPr>
      </w:pPr>
    </w:p>
    <w:p w14:paraId="45023857" w14:textId="77777777" w:rsidR="00762819" w:rsidRPr="00FB4F67" w:rsidRDefault="0076281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началу ноября 1917 г. противник продолжал проводить активную разведку позиций наших войск. Так, по данным командования Румынского фронта, в полосе 4-й и 8-й русских армий 10 ноября были отмечены полеты 19 неприятельских самолетов (23405).</w:t>
      </w:r>
    </w:p>
    <w:p w14:paraId="013839A6" w14:textId="77777777" w:rsidR="00762819" w:rsidRPr="00FB4F67" w:rsidRDefault="00762819" w:rsidP="0083075A">
      <w:pPr>
        <w:spacing w:after="0" w:line="240" w:lineRule="auto"/>
        <w:jc w:val="both"/>
        <w:rPr>
          <w:rFonts w:ascii="Times New Roman" w:hAnsi="Times New Roman" w:cs="Times New Roman"/>
          <w:color w:val="0070C0"/>
          <w:sz w:val="16"/>
          <w:szCs w:val="16"/>
        </w:rPr>
      </w:pPr>
    </w:p>
    <w:p w14:paraId="24DC4D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К ноябрю 1917 г. большая часть самолетов ИМ Эскадры была сосредоточена на территории Украины, поэтому после заключения Брестского мира и последовавших событий для России они были потеряны. Одну из машин попытался спасти полковник И.С. Башко, который вылетел в Смоленск, но из-за поломки приземлился в расположении 1-го польского корпуса легионеров. Здесь его вначале едва не расстреляли, обвинив в осуществлении налетов на польскую кавалерию. За офицера поручился знакомый поляк, возглавлявший авиацию корпуса. В течение трех месяцев Башко демонстрировал лояльность, но в мае, получив распоряжение передать "Муромец" немцам, осуществил побег. Взлетев на "Муромце" с группой симпатизировавших ему польских легионеров (те тоже не желали сдаваться немцам), Башко вновь отправился на северо-восток. Не долетев до Смоленска, корабль опять потерпел аварию, причем его экипаж снова был арестован, теперь уже в качестве "немецких шпионов". Удивительно, но в штабе Московского округа быстро разобрались в ситуации. Башко поверили и в дальнейшем назначили на довольно высокую должность в Красной Армии. Польским легионерам разрешили выехать во Францию через Архангельск (11029).</w:t>
      </w:r>
    </w:p>
    <w:p w14:paraId="32A6C0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3150C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8F465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E18B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1 (14) ноября 1917 года из заказа на 36 152-мм гаубиц 30 принято, 29 отправлено с завода, две гаубицы нарезаны, остальные в различных стадиях скрепления (3861).</w:t>
      </w:r>
    </w:p>
    <w:p w14:paraId="31BC60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C2AD7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1855F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4A072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 состоянию на 1 </w:t>
      </w:r>
      <w:r w:rsidR="00631AD8" w:rsidRPr="002F2FDF">
        <w:rPr>
          <w:rFonts w:ascii="Times New Roman" w:hAnsi="Times New Roman" w:cs="Times New Roman"/>
          <w:color w:val="000000" w:themeColor="text1"/>
          <w:kern w:val="2"/>
          <w:sz w:val="16"/>
          <w:szCs w:val="16"/>
        </w:rPr>
        <w:t xml:space="preserve">(14) </w:t>
      </w:r>
      <w:r w:rsidRPr="002F2FDF">
        <w:rPr>
          <w:rFonts w:ascii="Times New Roman" w:hAnsi="Times New Roman" w:cs="Times New Roman"/>
          <w:color w:val="000000" w:themeColor="text1"/>
          <w:kern w:val="2"/>
          <w:sz w:val="16"/>
          <w:szCs w:val="16"/>
        </w:rPr>
        <w:t>ноября 1917 года в Эскадре имелось, в общей сложности, 38 летательных аппаратов. Кроме Россиии, ни одна из воюющих сторон до 1917 года подобными авиационными соединениями не располагала (11184).</w:t>
      </w:r>
    </w:p>
    <w:p w14:paraId="6A61D4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68D2E5" w14:textId="77777777" w:rsidR="000A3576" w:rsidRPr="005D7D69" w:rsidRDefault="000A3576"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 xml:space="preserve">1 </w:t>
      </w:r>
      <w:r>
        <w:rPr>
          <w:rFonts w:ascii="Times New Roman" w:hAnsi="Times New Roman" w:cs="Times New Roman"/>
          <w:color w:val="0070C0"/>
          <w:sz w:val="16"/>
          <w:szCs w:val="16"/>
        </w:rPr>
        <w:t xml:space="preserve">(14) </w:t>
      </w:r>
      <w:r w:rsidRPr="005D7D69">
        <w:rPr>
          <w:rFonts w:ascii="Times New Roman" w:hAnsi="Times New Roman" w:cs="Times New Roman"/>
          <w:color w:val="0070C0"/>
          <w:sz w:val="16"/>
          <w:szCs w:val="16"/>
        </w:rPr>
        <w:t>ноября</w:t>
      </w:r>
      <w:r>
        <w:rPr>
          <w:rFonts w:ascii="Times New Roman" w:hAnsi="Times New Roman" w:cs="Times New Roman"/>
          <w:color w:val="0070C0"/>
          <w:sz w:val="16"/>
          <w:szCs w:val="16"/>
        </w:rPr>
        <w:t xml:space="preserve"> 1917 г</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состоялось первое заседание комиссии по реорганизации военных авиационных и воздухоплавательных </w:t>
      </w:r>
      <w:r>
        <w:rPr>
          <w:rFonts w:ascii="Times New Roman" w:hAnsi="Times New Roman" w:cs="Times New Roman"/>
          <w:color w:val="0070C0"/>
          <w:sz w:val="16"/>
          <w:szCs w:val="16"/>
        </w:rPr>
        <w:t>ш</w:t>
      </w:r>
      <w:r w:rsidRPr="005D7D69">
        <w:rPr>
          <w:rFonts w:ascii="Times New Roman" w:hAnsi="Times New Roman" w:cs="Times New Roman"/>
          <w:color w:val="0070C0"/>
          <w:sz w:val="16"/>
          <w:szCs w:val="16"/>
        </w:rPr>
        <w:t>кол /Школьной комиссии/, образованной при Управлении В</w:t>
      </w:r>
      <w:r>
        <w:rPr>
          <w:rFonts w:ascii="Times New Roman" w:hAnsi="Times New Roman" w:cs="Times New Roman"/>
          <w:color w:val="0070C0"/>
          <w:sz w:val="16"/>
          <w:szCs w:val="16"/>
        </w:rPr>
        <w:t>В</w:t>
      </w:r>
      <w:r w:rsidRPr="005D7D69">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Обсуждались вопроси о снабжения школ хоро</w:t>
      </w:r>
      <w:r>
        <w:rPr>
          <w:rFonts w:ascii="Times New Roman" w:hAnsi="Times New Roman" w:cs="Times New Roman"/>
          <w:color w:val="0070C0"/>
          <w:sz w:val="16"/>
          <w:szCs w:val="16"/>
        </w:rPr>
        <w:t>ш</w:t>
      </w:r>
      <w:r w:rsidRPr="005D7D69">
        <w:rPr>
          <w:rFonts w:ascii="Times New Roman" w:hAnsi="Times New Roman" w:cs="Times New Roman"/>
          <w:color w:val="0070C0"/>
          <w:sz w:val="16"/>
          <w:szCs w:val="16"/>
        </w:rPr>
        <w:t>ими самолетами,</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материалами,</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о новых </w:t>
      </w:r>
      <w:r>
        <w:rPr>
          <w:rFonts w:ascii="Times New Roman" w:hAnsi="Times New Roman" w:cs="Times New Roman"/>
          <w:color w:val="0070C0"/>
          <w:sz w:val="16"/>
          <w:szCs w:val="16"/>
        </w:rPr>
        <w:t>ш</w:t>
      </w:r>
      <w:r w:rsidRPr="005D7D69">
        <w:rPr>
          <w:rFonts w:ascii="Times New Roman" w:hAnsi="Times New Roman" w:cs="Times New Roman"/>
          <w:color w:val="0070C0"/>
          <w:sz w:val="16"/>
          <w:szCs w:val="16"/>
        </w:rPr>
        <w:t>татах,</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о выс</w:t>
      </w:r>
      <w:r>
        <w:rPr>
          <w:rFonts w:ascii="Times New Roman" w:hAnsi="Times New Roman" w:cs="Times New Roman"/>
          <w:color w:val="0070C0"/>
          <w:sz w:val="16"/>
          <w:szCs w:val="16"/>
        </w:rPr>
        <w:t>ших</w:t>
      </w:r>
      <w:r w:rsidRPr="005D7D69">
        <w:rPr>
          <w:rFonts w:ascii="Times New Roman" w:hAnsi="Times New Roman" w:cs="Times New Roman"/>
          <w:color w:val="0070C0"/>
          <w:sz w:val="16"/>
          <w:szCs w:val="16"/>
        </w:rPr>
        <w:t xml:space="preserve"> авиа</w:t>
      </w:r>
      <w:r w:rsidRPr="005D7D69">
        <w:rPr>
          <w:rFonts w:ascii="Times New Roman" w:hAnsi="Times New Roman" w:cs="Times New Roman"/>
          <w:color w:val="0070C0"/>
          <w:sz w:val="16"/>
          <w:szCs w:val="16"/>
        </w:rPr>
        <w:softHyphen/>
        <w:t>ционных курсах для подготовки авиационных инженеров</w:t>
      </w:r>
      <w:r>
        <w:rPr>
          <w:rFonts w:ascii="Times New Roman" w:hAnsi="Times New Roman" w:cs="Times New Roman"/>
          <w:color w:val="0070C0"/>
          <w:sz w:val="16"/>
          <w:szCs w:val="16"/>
        </w:rPr>
        <w:t>.</w:t>
      </w:r>
      <w:r w:rsidRPr="005D7D69">
        <w:rPr>
          <w:rFonts w:ascii="Times New Roman" w:hAnsi="Times New Roman" w:cs="Times New Roman"/>
          <w:color w:val="0070C0"/>
          <w:sz w:val="16"/>
          <w:szCs w:val="16"/>
        </w:rPr>
        <w:t xml:space="preserve"> Ввиду того, что вопрос о высших авиационных курсах в свое время не был </w:t>
      </w:r>
      <w:r>
        <w:rPr>
          <w:rFonts w:ascii="Times New Roman" w:hAnsi="Times New Roman" w:cs="Times New Roman"/>
          <w:color w:val="0070C0"/>
          <w:sz w:val="16"/>
          <w:szCs w:val="16"/>
        </w:rPr>
        <w:t>о</w:t>
      </w:r>
      <w:r w:rsidRPr="005D7D69">
        <w:rPr>
          <w:rFonts w:ascii="Times New Roman" w:hAnsi="Times New Roman" w:cs="Times New Roman"/>
          <w:color w:val="0070C0"/>
          <w:sz w:val="16"/>
          <w:szCs w:val="16"/>
        </w:rPr>
        <w:t>добрен Военным советом,</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Комиссия постановила рассмотреть </w:t>
      </w:r>
      <w:r>
        <w:rPr>
          <w:rFonts w:ascii="Times New Roman" w:hAnsi="Times New Roman" w:cs="Times New Roman"/>
          <w:color w:val="0070C0"/>
          <w:sz w:val="16"/>
          <w:szCs w:val="16"/>
        </w:rPr>
        <w:t>эт</w:t>
      </w:r>
      <w:r w:rsidRPr="005D7D69">
        <w:rPr>
          <w:rFonts w:ascii="Times New Roman" w:hAnsi="Times New Roman" w:cs="Times New Roman"/>
          <w:color w:val="0070C0"/>
          <w:sz w:val="16"/>
          <w:szCs w:val="16"/>
        </w:rPr>
        <w:t>от вопрос вторично,</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внеся его на обсуждение в соответствующие и</w:t>
      </w:r>
      <w:r>
        <w:rPr>
          <w:rFonts w:ascii="Times New Roman" w:hAnsi="Times New Roman" w:cs="Times New Roman"/>
          <w:color w:val="0070C0"/>
          <w:sz w:val="16"/>
          <w:szCs w:val="16"/>
        </w:rPr>
        <w:t>н</w:t>
      </w:r>
      <w:r w:rsidRPr="005D7D69">
        <w:rPr>
          <w:rFonts w:ascii="Times New Roman" w:hAnsi="Times New Roman" w:cs="Times New Roman"/>
          <w:color w:val="0070C0"/>
          <w:sz w:val="16"/>
          <w:szCs w:val="16"/>
        </w:rPr>
        <w:t>ста</w:t>
      </w:r>
      <w:r>
        <w:rPr>
          <w:rFonts w:ascii="Times New Roman" w:hAnsi="Times New Roman" w:cs="Times New Roman"/>
          <w:color w:val="0070C0"/>
          <w:sz w:val="16"/>
          <w:szCs w:val="16"/>
        </w:rPr>
        <w:t>н</w:t>
      </w:r>
      <w:r w:rsidRPr="005D7D69">
        <w:rPr>
          <w:rFonts w:ascii="Times New Roman" w:hAnsi="Times New Roman" w:cs="Times New Roman"/>
          <w:color w:val="0070C0"/>
          <w:sz w:val="16"/>
          <w:szCs w:val="16"/>
        </w:rPr>
        <w:t>ци</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w:t>
      </w:r>
    </w:p>
    <w:p w14:paraId="1F6F6154" w14:textId="77777777" w:rsidR="000A3576" w:rsidRDefault="000A3576"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/ЦГ</w:t>
      </w:r>
      <w:r>
        <w:rPr>
          <w:rFonts w:ascii="Times New Roman" w:hAnsi="Times New Roman" w:cs="Times New Roman"/>
          <w:color w:val="0070C0"/>
          <w:sz w:val="16"/>
          <w:szCs w:val="16"/>
        </w:rPr>
        <w:t xml:space="preserve">ВИА, </w:t>
      </w:r>
      <w:r w:rsidRPr="005D7D69">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8,</w:t>
      </w:r>
      <w:r>
        <w:rPr>
          <w:rFonts w:ascii="Times New Roman" w:hAnsi="Times New Roman" w:cs="Times New Roman"/>
          <w:color w:val="0070C0"/>
          <w:sz w:val="16"/>
          <w:szCs w:val="16"/>
        </w:rPr>
        <w:t xml:space="preserve"> д</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91</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0EF58798" w14:textId="77777777" w:rsidR="000A3576" w:rsidRDefault="000A3576" w:rsidP="0083075A">
      <w:pPr>
        <w:spacing w:after="0" w:line="240" w:lineRule="auto"/>
        <w:jc w:val="both"/>
        <w:rPr>
          <w:rFonts w:ascii="Times New Roman" w:hAnsi="Times New Roman" w:cs="Times New Roman"/>
          <w:color w:val="0070C0"/>
          <w:sz w:val="16"/>
          <w:szCs w:val="16"/>
        </w:rPr>
      </w:pPr>
    </w:p>
    <w:p w14:paraId="7C5F8EE8" w14:textId="77777777" w:rsidR="000A3576" w:rsidRPr="005D7D69" w:rsidRDefault="000A3576"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 xml:space="preserve">1 </w:t>
      </w:r>
      <w:r>
        <w:rPr>
          <w:rFonts w:ascii="Times New Roman" w:hAnsi="Times New Roman" w:cs="Times New Roman"/>
          <w:color w:val="0070C0"/>
          <w:sz w:val="16"/>
          <w:szCs w:val="16"/>
        </w:rPr>
        <w:t xml:space="preserve">(14) </w:t>
      </w:r>
      <w:r w:rsidRPr="005D7D69">
        <w:rPr>
          <w:rFonts w:ascii="Times New Roman" w:hAnsi="Times New Roman" w:cs="Times New Roman"/>
          <w:color w:val="0070C0"/>
          <w:sz w:val="16"/>
          <w:szCs w:val="16"/>
        </w:rPr>
        <w:t>ноября</w:t>
      </w:r>
      <w:r>
        <w:rPr>
          <w:rFonts w:ascii="Times New Roman" w:hAnsi="Times New Roman" w:cs="Times New Roman"/>
          <w:color w:val="0070C0"/>
          <w:sz w:val="16"/>
          <w:szCs w:val="16"/>
        </w:rPr>
        <w:t xml:space="preserve"> 1917 г</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Красногвардейские части освободили Гатчину</w:t>
      </w:r>
      <w:r>
        <w:rPr>
          <w:rFonts w:ascii="Times New Roman" w:hAnsi="Times New Roman" w:cs="Times New Roman"/>
          <w:color w:val="0070C0"/>
          <w:sz w:val="16"/>
          <w:szCs w:val="16"/>
        </w:rPr>
        <w:t>. В</w:t>
      </w:r>
      <w:r w:rsidRPr="005D7D69">
        <w:rPr>
          <w:rFonts w:ascii="Times New Roman" w:hAnsi="Times New Roman" w:cs="Times New Roman"/>
          <w:color w:val="0070C0"/>
          <w:sz w:val="16"/>
          <w:szCs w:val="16"/>
        </w:rPr>
        <w:t xml:space="preserve">ойска </w:t>
      </w:r>
      <w:r>
        <w:rPr>
          <w:rFonts w:ascii="Times New Roman" w:hAnsi="Times New Roman" w:cs="Times New Roman"/>
          <w:color w:val="0070C0"/>
          <w:sz w:val="16"/>
          <w:szCs w:val="16"/>
        </w:rPr>
        <w:t>К</w:t>
      </w:r>
      <w:r w:rsidRPr="005D7D69">
        <w:rPr>
          <w:rFonts w:ascii="Times New Roman" w:hAnsi="Times New Roman" w:cs="Times New Roman"/>
          <w:color w:val="0070C0"/>
          <w:sz w:val="16"/>
          <w:szCs w:val="16"/>
        </w:rPr>
        <w:t>р</w:t>
      </w:r>
      <w:r>
        <w:rPr>
          <w:rFonts w:ascii="Times New Roman" w:hAnsi="Times New Roman" w:cs="Times New Roman"/>
          <w:color w:val="0070C0"/>
          <w:sz w:val="16"/>
          <w:szCs w:val="16"/>
        </w:rPr>
        <w:t>асн</w:t>
      </w:r>
      <w:r w:rsidRPr="005D7D69">
        <w:rPr>
          <w:rFonts w:ascii="Times New Roman" w:hAnsi="Times New Roman" w:cs="Times New Roman"/>
          <w:color w:val="0070C0"/>
          <w:sz w:val="16"/>
          <w:szCs w:val="16"/>
        </w:rPr>
        <w:t>ова-Керенокого были разбиты,</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сам «главковерх</w:t>
      </w:r>
      <w:r>
        <w:rPr>
          <w:rFonts w:ascii="Times New Roman" w:hAnsi="Times New Roman" w:cs="Times New Roman"/>
          <w:color w:val="0070C0"/>
          <w:sz w:val="16"/>
          <w:szCs w:val="16"/>
        </w:rPr>
        <w:t>»</w:t>
      </w:r>
      <w:r w:rsidRPr="005D7D69">
        <w:rPr>
          <w:rFonts w:ascii="Times New Roman" w:hAnsi="Times New Roman" w:cs="Times New Roman"/>
          <w:color w:val="0070C0"/>
          <w:sz w:val="16"/>
          <w:szCs w:val="16"/>
        </w:rPr>
        <w:t xml:space="preserve"> сбежал на </w:t>
      </w:r>
      <w:r>
        <w:rPr>
          <w:rFonts w:ascii="Times New Roman" w:hAnsi="Times New Roman" w:cs="Times New Roman"/>
          <w:color w:val="0070C0"/>
          <w:sz w:val="16"/>
          <w:szCs w:val="16"/>
        </w:rPr>
        <w:t>ю</w:t>
      </w:r>
      <w:r w:rsidRPr="005D7D69">
        <w:rPr>
          <w:rFonts w:ascii="Times New Roman" w:hAnsi="Times New Roman" w:cs="Times New Roman"/>
          <w:color w:val="0070C0"/>
          <w:sz w:val="16"/>
          <w:szCs w:val="16"/>
        </w:rPr>
        <w:t>г</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После занятия Гатчины мятежниками личный состав </w:t>
      </w:r>
      <w:r>
        <w:rPr>
          <w:rFonts w:ascii="Times New Roman" w:hAnsi="Times New Roman" w:cs="Times New Roman"/>
          <w:color w:val="0070C0"/>
          <w:sz w:val="16"/>
          <w:szCs w:val="16"/>
        </w:rPr>
        <w:t>ш</w:t>
      </w:r>
      <w:r w:rsidRPr="005D7D69">
        <w:rPr>
          <w:rFonts w:ascii="Times New Roman" w:hAnsi="Times New Roman" w:cs="Times New Roman"/>
          <w:color w:val="0070C0"/>
          <w:sz w:val="16"/>
          <w:szCs w:val="16"/>
        </w:rPr>
        <w:t>кол</w:t>
      </w:r>
      <w:r>
        <w:rPr>
          <w:rFonts w:ascii="Times New Roman" w:hAnsi="Times New Roman" w:cs="Times New Roman"/>
          <w:color w:val="0070C0"/>
          <w:sz w:val="16"/>
          <w:szCs w:val="16"/>
        </w:rPr>
        <w:t>ы</w:t>
      </w:r>
      <w:r w:rsidRPr="005D7D69">
        <w:rPr>
          <w:rFonts w:ascii="Times New Roman" w:hAnsi="Times New Roman" w:cs="Times New Roman"/>
          <w:color w:val="0070C0"/>
          <w:sz w:val="16"/>
          <w:szCs w:val="16"/>
        </w:rPr>
        <w:t xml:space="preserve"> наполовину разбе</w:t>
      </w:r>
      <w:r>
        <w:rPr>
          <w:rFonts w:ascii="Times New Roman" w:hAnsi="Times New Roman" w:cs="Times New Roman"/>
          <w:color w:val="0070C0"/>
          <w:sz w:val="16"/>
          <w:szCs w:val="16"/>
        </w:rPr>
        <w:t>жался</w:t>
      </w:r>
      <w:r w:rsidRPr="005D7D69">
        <w:rPr>
          <w:rFonts w:ascii="Times New Roman" w:hAnsi="Times New Roman" w:cs="Times New Roman"/>
          <w:color w:val="0070C0"/>
          <w:sz w:val="16"/>
          <w:szCs w:val="16"/>
        </w:rPr>
        <w:t xml:space="preserve"> за искл</w:t>
      </w:r>
      <w:r>
        <w:rPr>
          <w:rFonts w:ascii="Times New Roman" w:hAnsi="Times New Roman" w:cs="Times New Roman"/>
          <w:color w:val="0070C0"/>
          <w:sz w:val="16"/>
          <w:szCs w:val="16"/>
        </w:rPr>
        <w:t>ю</w:t>
      </w:r>
      <w:r w:rsidRPr="005D7D69">
        <w:rPr>
          <w:rFonts w:ascii="Times New Roman" w:hAnsi="Times New Roman" w:cs="Times New Roman"/>
          <w:color w:val="0070C0"/>
          <w:sz w:val="16"/>
          <w:szCs w:val="16"/>
        </w:rPr>
        <w:t>чен</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ем офицеров,</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после освобождения ее </w:t>
      </w:r>
      <w:r>
        <w:rPr>
          <w:rFonts w:ascii="Times New Roman" w:hAnsi="Times New Roman" w:cs="Times New Roman"/>
          <w:color w:val="0070C0"/>
          <w:sz w:val="16"/>
          <w:szCs w:val="16"/>
        </w:rPr>
        <w:t>ш</w:t>
      </w:r>
      <w:r w:rsidRPr="005D7D69">
        <w:rPr>
          <w:rFonts w:ascii="Times New Roman" w:hAnsi="Times New Roman" w:cs="Times New Roman"/>
          <w:color w:val="0070C0"/>
          <w:sz w:val="16"/>
          <w:szCs w:val="16"/>
        </w:rPr>
        <w:t>кольные са</w:t>
      </w:r>
      <w:r>
        <w:rPr>
          <w:rFonts w:ascii="Times New Roman" w:hAnsi="Times New Roman" w:cs="Times New Roman"/>
          <w:color w:val="0070C0"/>
          <w:sz w:val="16"/>
          <w:szCs w:val="16"/>
        </w:rPr>
        <w:t>м</w:t>
      </w:r>
      <w:r w:rsidRPr="005D7D69">
        <w:rPr>
          <w:rFonts w:ascii="Times New Roman" w:hAnsi="Times New Roman" w:cs="Times New Roman"/>
          <w:color w:val="0070C0"/>
          <w:sz w:val="16"/>
          <w:szCs w:val="16"/>
        </w:rPr>
        <w:t>олет</w:t>
      </w:r>
      <w:r>
        <w:rPr>
          <w:rFonts w:ascii="Times New Roman" w:hAnsi="Times New Roman" w:cs="Times New Roman"/>
          <w:color w:val="0070C0"/>
          <w:sz w:val="16"/>
          <w:szCs w:val="16"/>
        </w:rPr>
        <w:t>ы</w:t>
      </w:r>
      <w:r w:rsidRPr="005D7D69">
        <w:rPr>
          <w:rFonts w:ascii="Times New Roman" w:hAnsi="Times New Roman" w:cs="Times New Roman"/>
          <w:color w:val="0070C0"/>
          <w:sz w:val="16"/>
          <w:szCs w:val="16"/>
        </w:rPr>
        <w:t xml:space="preserve"> оказались в</w:t>
      </w:r>
      <w:r>
        <w:rPr>
          <w:rFonts w:ascii="Times New Roman" w:hAnsi="Times New Roman" w:cs="Times New Roman"/>
          <w:color w:val="0070C0"/>
          <w:sz w:val="16"/>
          <w:szCs w:val="16"/>
        </w:rPr>
        <w:t>ы</w:t>
      </w:r>
      <w:r w:rsidRPr="005D7D69">
        <w:rPr>
          <w:rFonts w:ascii="Times New Roman" w:hAnsi="Times New Roman" w:cs="Times New Roman"/>
          <w:color w:val="0070C0"/>
          <w:sz w:val="16"/>
          <w:szCs w:val="16"/>
        </w:rPr>
        <w:t xml:space="preserve">веденными из строя. </w:t>
      </w:r>
      <w:r>
        <w:rPr>
          <w:rFonts w:ascii="Times New Roman" w:hAnsi="Times New Roman" w:cs="Times New Roman"/>
          <w:color w:val="0070C0"/>
          <w:sz w:val="16"/>
          <w:szCs w:val="16"/>
        </w:rPr>
        <w:t>П</w:t>
      </w:r>
      <w:r w:rsidRPr="005D7D69">
        <w:rPr>
          <w:rFonts w:ascii="Times New Roman" w:hAnsi="Times New Roman" w:cs="Times New Roman"/>
          <w:color w:val="0070C0"/>
          <w:sz w:val="16"/>
          <w:szCs w:val="16"/>
        </w:rPr>
        <w:t>ока казаки Краснова находи</w:t>
      </w:r>
      <w:r w:rsidRPr="005D7D69">
        <w:rPr>
          <w:rFonts w:ascii="Times New Roman" w:hAnsi="Times New Roman" w:cs="Times New Roman"/>
          <w:color w:val="0070C0"/>
          <w:sz w:val="16"/>
          <w:szCs w:val="16"/>
        </w:rPr>
        <w:softHyphen/>
        <w:t>лись в Гат</w:t>
      </w:r>
      <w:r>
        <w:rPr>
          <w:rFonts w:ascii="Times New Roman" w:hAnsi="Times New Roman" w:cs="Times New Roman"/>
          <w:color w:val="0070C0"/>
          <w:sz w:val="16"/>
          <w:szCs w:val="16"/>
        </w:rPr>
        <w:t>чи</w:t>
      </w:r>
      <w:r w:rsidRPr="005D7D69">
        <w:rPr>
          <w:rFonts w:ascii="Times New Roman" w:hAnsi="Times New Roman" w:cs="Times New Roman"/>
          <w:color w:val="0070C0"/>
          <w:sz w:val="16"/>
          <w:szCs w:val="16"/>
        </w:rPr>
        <w:t xml:space="preserve">не, они подверглись усиленной идеологической обработке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о стороны агитаторов Запасного </w:t>
      </w:r>
      <w:r>
        <w:rPr>
          <w:rFonts w:ascii="Times New Roman" w:hAnsi="Times New Roman" w:cs="Times New Roman"/>
          <w:color w:val="0070C0"/>
          <w:sz w:val="16"/>
          <w:szCs w:val="16"/>
        </w:rPr>
        <w:t>авиационного</w:t>
      </w:r>
      <w:r w:rsidRPr="005D7D69">
        <w:rPr>
          <w:rFonts w:ascii="Times New Roman" w:hAnsi="Times New Roman" w:cs="Times New Roman"/>
          <w:color w:val="0070C0"/>
          <w:sz w:val="16"/>
          <w:szCs w:val="16"/>
        </w:rPr>
        <w:t xml:space="preserve"> батальона и были морально разоружены, что в немалой степени способствовало их поражению,</w:t>
      </w:r>
    </w:p>
    <w:p w14:paraId="78FA5F6D" w14:textId="77777777" w:rsidR="000A3576" w:rsidRDefault="000A3576"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/ВВ</w:t>
      </w:r>
      <w:r>
        <w:rPr>
          <w:rFonts w:ascii="Times New Roman" w:hAnsi="Times New Roman" w:cs="Times New Roman"/>
          <w:color w:val="0070C0"/>
          <w:sz w:val="16"/>
          <w:szCs w:val="16"/>
        </w:rPr>
        <w:t>Ф,</w:t>
      </w:r>
      <w:r w:rsidRPr="005D7D69">
        <w:rPr>
          <w:rFonts w:ascii="Times New Roman" w:hAnsi="Times New Roman" w:cs="Times New Roman"/>
          <w:color w:val="0070C0"/>
          <w:sz w:val="16"/>
          <w:szCs w:val="16"/>
        </w:rPr>
        <w:t xml:space="preserve"> 1933 </w:t>
      </w:r>
      <w:r>
        <w:rPr>
          <w:rFonts w:ascii="Times New Roman" w:hAnsi="Times New Roman" w:cs="Times New Roman"/>
          <w:color w:val="0070C0"/>
          <w:sz w:val="16"/>
          <w:szCs w:val="16"/>
        </w:rPr>
        <w:t>№</w:t>
      </w:r>
      <w:r w:rsidRPr="005D7D69">
        <w:rPr>
          <w:rFonts w:ascii="Times New Roman" w:hAnsi="Times New Roman" w:cs="Times New Roman"/>
          <w:color w:val="0070C0"/>
          <w:sz w:val="16"/>
          <w:szCs w:val="16"/>
        </w:rPr>
        <w:t xml:space="preserve"> 2;</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Октябрьское вооружен.</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восстание в Петррграде,</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ст</w:t>
      </w:r>
      <w:r>
        <w:rPr>
          <w:rFonts w:ascii="Times New Roman" w:hAnsi="Times New Roman" w:cs="Times New Roman"/>
          <w:color w:val="0070C0"/>
          <w:sz w:val="16"/>
          <w:szCs w:val="16"/>
        </w:rPr>
        <w:t>р</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780/</w:t>
      </w:r>
      <w:r>
        <w:rPr>
          <w:rFonts w:ascii="Times New Roman" w:hAnsi="Times New Roman" w:cs="Times New Roman"/>
          <w:color w:val="0070C0"/>
          <w:sz w:val="16"/>
          <w:szCs w:val="16"/>
        </w:rPr>
        <w:t xml:space="preserve"> (23370).</w:t>
      </w:r>
    </w:p>
    <w:p w14:paraId="382BD042" w14:textId="77777777" w:rsidR="000A3576" w:rsidRPr="005D7D69" w:rsidRDefault="000A3576" w:rsidP="0083075A">
      <w:pPr>
        <w:spacing w:after="0" w:line="240" w:lineRule="auto"/>
        <w:jc w:val="both"/>
        <w:rPr>
          <w:rFonts w:ascii="Times New Roman" w:hAnsi="Times New Roman" w:cs="Times New Roman"/>
          <w:color w:val="0070C0"/>
          <w:sz w:val="16"/>
          <w:szCs w:val="16"/>
        </w:rPr>
      </w:pPr>
    </w:p>
    <w:p w14:paraId="429E19A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64A2E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EC6522" w14:textId="77777777" w:rsidR="00697B1B" w:rsidRPr="002F2FDF" w:rsidRDefault="00697B1B"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1 (14) ноября 1917 г. постановлением ВЦИК и Совнаркома в России ввели положение о рабочем контроле над производством, и два месяца 1917 г. и первое полугодие 1918 г. «Дукс» работал на основе временного договора, заключенного между старыми хозяевами и советской властью (15464).</w:t>
      </w:r>
    </w:p>
    <w:p w14:paraId="55F08020" w14:textId="77777777" w:rsidR="00697B1B" w:rsidRPr="002F2FDF" w:rsidRDefault="00697B1B" w:rsidP="0083075A">
      <w:pPr>
        <w:pStyle w:val="2"/>
        <w:spacing w:before="0" w:beforeAutospacing="0" w:after="0" w:afterAutospacing="0"/>
        <w:jc w:val="both"/>
        <w:rPr>
          <w:b w:val="0"/>
          <w:color w:val="000000" w:themeColor="text1"/>
          <w:kern w:val="2"/>
          <w:sz w:val="16"/>
          <w:szCs w:val="16"/>
        </w:rPr>
      </w:pPr>
    </w:p>
    <w:p w14:paraId="06701D00" w14:textId="77777777" w:rsidR="00697B1B" w:rsidRPr="002F2FDF" w:rsidRDefault="00697B1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 (14) ноября</w:t>
      </w:r>
      <w:r w:rsidRPr="002F2FDF">
        <w:rPr>
          <w:rFonts w:ascii="Times New Roman" w:hAnsi="Times New Roman" w:cs="Times New Roman"/>
          <w:color w:val="000000" w:themeColor="text1"/>
          <w:kern w:val="2"/>
          <w:sz w:val="16"/>
          <w:szCs w:val="16"/>
        </w:rPr>
        <w:t xml:space="preserve"> в 1917 году после бегства А.Керенского Верховным главнокомандующим становится генерал Н.Духонин (14830).</w:t>
      </w:r>
    </w:p>
    <w:p w14:paraId="16154685" w14:textId="77777777" w:rsidR="00697B1B" w:rsidRPr="002F2FDF" w:rsidRDefault="00697B1B" w:rsidP="0083075A">
      <w:pPr>
        <w:spacing w:after="0" w:line="240" w:lineRule="auto"/>
        <w:jc w:val="both"/>
        <w:rPr>
          <w:rFonts w:ascii="Times New Roman" w:hAnsi="Times New Roman" w:cs="Times New Roman"/>
          <w:color w:val="000000" w:themeColor="text1"/>
          <w:kern w:val="2"/>
          <w:sz w:val="16"/>
          <w:szCs w:val="16"/>
        </w:rPr>
      </w:pPr>
    </w:p>
    <w:p w14:paraId="20957FC5" w14:textId="77777777" w:rsidR="000A3576" w:rsidRPr="002F2FDF" w:rsidRDefault="000A357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ноября 1917 после бегства А.Керенского (3481) по распоряжению СНК Верховным главнокомандующим стал г Н.Духонин (3908,269).</w:t>
      </w:r>
    </w:p>
    <w:p w14:paraId="2253597F" w14:textId="77777777" w:rsidR="000A3576" w:rsidRPr="002F2FDF" w:rsidRDefault="000A357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9D2810" w14:textId="77777777" w:rsidR="000A3576" w:rsidRPr="002F2FDF" w:rsidRDefault="000A357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ноября 1917 Начальник штаба верховного главнокомандующего генерал Н. Н. Духонин ввиду бегства Керенского объявил себя временно исполняющим обязанности верховного (4216).</w:t>
      </w:r>
    </w:p>
    <w:p w14:paraId="1216E03B" w14:textId="77777777" w:rsidR="000A3576" w:rsidRPr="002F2FDF" w:rsidRDefault="000A357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A4F900" w14:textId="77777777" w:rsidR="000A3576" w:rsidRPr="002F2FDF" w:rsidRDefault="000A357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ноября 1917 а Дутов захватил власть в Оренбурге (3481).</w:t>
      </w:r>
    </w:p>
    <w:p w14:paraId="5DF12600" w14:textId="77777777" w:rsidR="000A3576" w:rsidRPr="002F2FDF" w:rsidRDefault="000A357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3F14AA" w14:textId="77777777" w:rsidR="00697B1B" w:rsidRPr="002F2FDF" w:rsidRDefault="00697B1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 (14) ноября</w:t>
      </w:r>
      <w:r w:rsidRPr="002F2FDF">
        <w:rPr>
          <w:rFonts w:ascii="Times New Roman" w:hAnsi="Times New Roman" w:cs="Times New Roman"/>
          <w:color w:val="000000" w:themeColor="text1"/>
          <w:kern w:val="2"/>
          <w:sz w:val="16"/>
          <w:szCs w:val="16"/>
        </w:rPr>
        <w:t xml:space="preserve"> в 1917 году в Гатчине мятежный генерал Краснов арестовывается большевиками. А.Керенский бежит за границу (14830).</w:t>
      </w:r>
    </w:p>
    <w:p w14:paraId="14088804" w14:textId="77777777" w:rsidR="00697B1B" w:rsidRPr="002F2FDF" w:rsidRDefault="00697B1B" w:rsidP="0083075A">
      <w:pPr>
        <w:spacing w:after="0" w:line="240" w:lineRule="auto"/>
        <w:jc w:val="both"/>
        <w:rPr>
          <w:rFonts w:ascii="Times New Roman" w:hAnsi="Times New Roman" w:cs="Times New Roman"/>
          <w:color w:val="000000" w:themeColor="text1"/>
          <w:kern w:val="2"/>
          <w:sz w:val="16"/>
          <w:szCs w:val="16"/>
        </w:rPr>
      </w:pPr>
    </w:p>
    <w:p w14:paraId="2656B528" w14:textId="77777777" w:rsidR="00826055" w:rsidRPr="002F2FDF" w:rsidRDefault="00826055" w:rsidP="0083075A">
      <w:pPr>
        <w:pStyle w:val="ae"/>
        <w:spacing w:before="0" w:after="0"/>
        <w:jc w:val="both"/>
        <w:rPr>
          <w:color w:val="000000" w:themeColor="text1"/>
          <w:kern w:val="2"/>
          <w:sz w:val="16"/>
          <w:szCs w:val="16"/>
        </w:rPr>
      </w:pPr>
      <w:r w:rsidRPr="002F2FDF">
        <w:rPr>
          <w:bCs/>
          <w:color w:val="000000" w:themeColor="text1"/>
          <w:kern w:val="2"/>
          <w:sz w:val="16"/>
          <w:szCs w:val="16"/>
        </w:rPr>
        <w:t>1 (14) ноября</w:t>
      </w:r>
      <w:r w:rsidRPr="002F2FDF">
        <w:rPr>
          <w:color w:val="000000" w:themeColor="text1"/>
          <w:kern w:val="2"/>
          <w:sz w:val="16"/>
          <w:szCs w:val="16"/>
        </w:rPr>
        <w:t xml:space="preserve"> в 1917 году продолжили переговоры об условиях перемирия, и казаки согласились выдать большевикам Керенского. Узнав об этом, он сразу же на автомобиле покинул расположение войск Краснова. 14 ноября части большевиков вошли в Гатчину. Сам генерал Краснов сдался им, но вскоре был отпущен под «честное слово офицера, что не будет более бороться против Советской власти». Чуть позже он уехал на Дон, где стал одним из лидеров местного «белого» казачества. Казаки были также отпущены на Дон с оружием и снаряжением.</w:t>
      </w:r>
    </w:p>
    <w:p w14:paraId="67707FBE" w14:textId="5501726E" w:rsidR="00826055" w:rsidRPr="002F2FDF" w:rsidRDefault="00826055" w:rsidP="0083075A">
      <w:pPr>
        <w:pStyle w:val="ae"/>
        <w:spacing w:before="0" w:after="0"/>
        <w:jc w:val="both"/>
        <w:rPr>
          <w:color w:val="000000" w:themeColor="text1"/>
          <w:kern w:val="2"/>
          <w:sz w:val="16"/>
          <w:szCs w:val="16"/>
        </w:rPr>
      </w:pPr>
      <w:r w:rsidRPr="002F2FDF">
        <w:rPr>
          <w:color w:val="000000" w:themeColor="text1"/>
          <w:kern w:val="2"/>
          <w:sz w:val="16"/>
          <w:szCs w:val="16"/>
        </w:rPr>
        <w:t>Псковский историк Максим Васильев так описывал сложившуюся в те дни ситуацию: «В то время большевистское правительство еще стремилось всячески заигрывать с казаками — последней боеспособной силой, способной оказать реальное сопротивление. Пацифистские настроения казаков и усиленная агитация в их среде сделали свое дело, казачьи части начали эшелонами покидать Петроградскую, Псковскую, Новгородскую и другие губернии и уходили в родные казачьи области». «Все неудержимо хлынуло на Дон, но не к Каледину, чтобы сражаться против большевиков, отстаивая свободу Дона, а домой в свои станицы, чтобы ничего не делать и отдыхать, не чувствуя и не понимая страшного позора нации», — вспоминал, в свою очередь, потом сам Петр</w:t>
      </w:r>
      <w:r w:rsidR="00E52569">
        <w:rPr>
          <w:color w:val="000000" w:themeColor="text1"/>
          <w:kern w:val="2"/>
          <w:sz w:val="16"/>
          <w:szCs w:val="16"/>
        </w:rPr>
        <w:t xml:space="preserve"> </w:t>
      </w:r>
      <w:r w:rsidRPr="002F2FDF">
        <w:rPr>
          <w:color w:val="000000" w:themeColor="text1"/>
          <w:kern w:val="2"/>
          <w:sz w:val="16"/>
          <w:szCs w:val="16"/>
        </w:rPr>
        <w:t>Краснов (17045).</w:t>
      </w:r>
    </w:p>
    <w:p w14:paraId="61E18F69" w14:textId="77777777" w:rsidR="00826055" w:rsidRPr="002F2FDF" w:rsidRDefault="00826055" w:rsidP="0083075A">
      <w:pPr>
        <w:spacing w:after="0" w:line="240" w:lineRule="auto"/>
        <w:jc w:val="both"/>
        <w:rPr>
          <w:rFonts w:ascii="Times New Roman" w:hAnsi="Times New Roman" w:cs="Times New Roman"/>
          <w:bCs/>
          <w:color w:val="000000" w:themeColor="text1"/>
          <w:kern w:val="2"/>
          <w:sz w:val="16"/>
          <w:szCs w:val="16"/>
        </w:rPr>
      </w:pPr>
    </w:p>
    <w:p w14:paraId="2547A4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ноября 1917 красногвардейцы захватили Гатчину и Краснов был арестован (2239), А. Керенский бежал (4962).</w:t>
      </w:r>
    </w:p>
    <w:p w14:paraId="488C4D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77060F" w14:textId="77777777" w:rsidR="00C87824" w:rsidRPr="002F2FDF" w:rsidRDefault="00C87824"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1 (14) ноября </w:t>
      </w:r>
      <w:r w:rsidRPr="002F2FDF">
        <w:rPr>
          <w:rFonts w:ascii="Times New Roman" w:hAnsi="Times New Roman" w:cs="Times New Roman"/>
          <w:color w:val="000000" w:themeColor="text1"/>
          <w:kern w:val="2"/>
          <w:sz w:val="16"/>
          <w:szCs w:val="16"/>
        </w:rPr>
        <w:t>в 1917 году в Гатчине арестовывается генерал П.Н.Краснов и доставляется в Смольный (14817).</w:t>
      </w:r>
    </w:p>
    <w:p w14:paraId="763053F3" w14:textId="77777777" w:rsidR="00C87824" w:rsidRPr="002F2FDF" w:rsidRDefault="00C87824" w:rsidP="0083075A">
      <w:pPr>
        <w:spacing w:after="0" w:line="240" w:lineRule="auto"/>
        <w:jc w:val="both"/>
        <w:rPr>
          <w:rFonts w:ascii="Times New Roman" w:hAnsi="Times New Roman" w:cs="Times New Roman"/>
          <w:color w:val="000000" w:themeColor="text1"/>
          <w:kern w:val="2"/>
          <w:sz w:val="16"/>
          <w:szCs w:val="16"/>
        </w:rPr>
      </w:pPr>
    </w:p>
    <w:p w14:paraId="37117DB3" w14:textId="77777777" w:rsidR="00826055" w:rsidRPr="002F2FDF" w:rsidRDefault="00826055"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ноября 1917 в Гатчине матросы Дыбенко сговорились с казаками и решили выдать Керенского Советской власти. Пришлось ему бежать, переодевшись матросом, из страны. Откуда взялась байка про женское платье, трудно сказать (12629).</w:t>
      </w:r>
    </w:p>
    <w:p w14:paraId="35100F93" w14:textId="77777777" w:rsidR="00826055" w:rsidRPr="002F2FDF" w:rsidRDefault="0082605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32422F" w14:textId="77777777" w:rsidR="009B7C68" w:rsidRPr="002F2FDF" w:rsidRDefault="009B7C68"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1 (14) ноября 1917 Военно-революционный комитет Москвы приказал начать артобстрел Кремля. Солдаты с Ходынки и рабочие дружины «Дукса» приняли участие в штурме Кремля — последнего оплота старой власти в Москве. После недели упорных боев 3 ноября 1917 г. в Москве установилась советская власть (15464).</w:t>
      </w:r>
    </w:p>
    <w:p w14:paraId="5721DF5D" w14:textId="77777777" w:rsidR="009B7C68" w:rsidRPr="002F2FDF" w:rsidRDefault="009B7C68" w:rsidP="0083075A">
      <w:pPr>
        <w:pStyle w:val="2"/>
        <w:spacing w:before="0" w:beforeAutospacing="0" w:after="0" w:afterAutospacing="0"/>
        <w:jc w:val="both"/>
        <w:rPr>
          <w:b w:val="0"/>
          <w:color w:val="000000" w:themeColor="text1"/>
          <w:kern w:val="2"/>
          <w:sz w:val="16"/>
          <w:szCs w:val="16"/>
        </w:rPr>
      </w:pPr>
    </w:p>
    <w:p w14:paraId="4982C7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ноября 1917 были бои за Московский Кремль (2239).</w:t>
      </w:r>
    </w:p>
    <w:p w14:paraId="393BCF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A54763" w14:textId="2F6FCE1C" w:rsidR="002A7D93" w:rsidRPr="002F2FDF" w:rsidRDefault="002A7D93"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1 (14) ноября</w:t>
      </w:r>
      <w:r w:rsidR="00E52569">
        <w:rPr>
          <w:rStyle w:val="a7"/>
          <w:rFonts w:eastAsiaTheme="majorEastAsia"/>
          <w:b w:val="0"/>
          <w:color w:val="000000" w:themeColor="text1"/>
          <w:sz w:val="16"/>
          <w:szCs w:val="16"/>
        </w:rPr>
        <w:t xml:space="preserve"> </w:t>
      </w:r>
      <w:r w:rsidRPr="002F2FDF">
        <w:rPr>
          <w:rStyle w:val="a7"/>
          <w:rFonts w:eastAsiaTheme="majorEastAsia"/>
          <w:b w:val="0"/>
          <w:color w:val="000000" w:themeColor="text1"/>
          <w:sz w:val="16"/>
          <w:szCs w:val="16"/>
        </w:rPr>
        <w:t>1917</w:t>
      </w:r>
      <w:r w:rsidRPr="002F2FDF">
        <w:rPr>
          <w:color w:val="000000" w:themeColor="text1"/>
          <w:sz w:val="16"/>
          <w:szCs w:val="16"/>
        </w:rPr>
        <w:t xml:space="preserve"> при голосовании в ЦК РСДРП(б) по вопросу о составе правительства большая часть членов ЦК высказалась за продолжение «</w:t>
      </w:r>
      <w:r w:rsidRPr="002F2FDF">
        <w:rPr>
          <w:rStyle w:val="af0"/>
          <w:i w:val="0"/>
          <w:color w:val="000000" w:themeColor="text1"/>
          <w:sz w:val="16"/>
          <w:szCs w:val="16"/>
        </w:rPr>
        <w:t>переговоров с другими социалистическими партиями о создании нового коалиционного правительства</w:t>
      </w:r>
      <w:r w:rsidRPr="002F2FDF">
        <w:rPr>
          <w:color w:val="000000" w:themeColor="text1"/>
          <w:sz w:val="16"/>
          <w:szCs w:val="16"/>
        </w:rPr>
        <w:t>». Ленин считал, что кабинет с участием «</w:t>
      </w:r>
      <w:r w:rsidRPr="002F2FDF">
        <w:rPr>
          <w:rStyle w:val="af0"/>
          <w:i w:val="0"/>
          <w:color w:val="000000" w:themeColor="text1"/>
          <w:sz w:val="16"/>
          <w:szCs w:val="16"/>
        </w:rPr>
        <w:t>мелкобуржуазных партий</w:t>
      </w:r>
      <w:r w:rsidRPr="002F2FDF">
        <w:rPr>
          <w:color w:val="000000" w:themeColor="text1"/>
          <w:sz w:val="16"/>
          <w:szCs w:val="16"/>
        </w:rPr>
        <w:t>» будет «</w:t>
      </w:r>
      <w:r w:rsidRPr="002F2FDF">
        <w:rPr>
          <w:rStyle w:val="af0"/>
          <w:i w:val="0"/>
          <w:color w:val="000000" w:themeColor="text1"/>
          <w:sz w:val="16"/>
          <w:szCs w:val="16"/>
        </w:rPr>
        <w:t>очередным кабинетом болтунов и соглашателей</w:t>
      </w:r>
      <w:r w:rsidRPr="002F2FDF">
        <w:rPr>
          <w:color w:val="000000" w:themeColor="text1"/>
          <w:sz w:val="16"/>
          <w:szCs w:val="16"/>
        </w:rPr>
        <w:t>». В конце концов, было принято предложение Троцкого о переговорах с левыми эсерами о коалиции (18371).</w:t>
      </w:r>
    </w:p>
    <w:p w14:paraId="4DB07DF3" w14:textId="77777777" w:rsidR="002A7D93" w:rsidRPr="002F2FDF" w:rsidRDefault="002A7D93" w:rsidP="0083075A">
      <w:pPr>
        <w:pStyle w:val="ae"/>
        <w:spacing w:before="0" w:after="0"/>
        <w:jc w:val="both"/>
        <w:rPr>
          <w:color w:val="000000" w:themeColor="text1"/>
          <w:sz w:val="16"/>
          <w:szCs w:val="16"/>
        </w:rPr>
      </w:pPr>
    </w:p>
    <w:p w14:paraId="06DCBD14" w14:textId="77777777" w:rsidR="002A7D93" w:rsidRPr="002F2FDF" w:rsidRDefault="002A7D9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(14) ноября 1917. Стреляют по всей Москве. Революционные войска с боем взяли телефонную станцию. Началась усиленная бомбардировка центра города. Тяжелые орудия беспорядочно бьют по Кремлю. Руководит расстрелом величайшей русской святыни революционный деятель и астроном П. К. Штернберг, Apтиллерист Туляков панорамы в этот день не нашел - пришлось прицеливаться по Кремлю через дуло. Перелет был в двенадцать верст, убило пятерых обывателей. Второй снаряд ударил по трубе завода Гужона, третий - по Златорожскому валу. "Буржуазная" пресса, как и в предыдущие дни, не вышла. Газета "Социал-демократ", которую выпускали люди, никогда не нюхавшие фронтового пороха, заявила, что "самое имя офицера стадо слишком ненавистно народу".</w:t>
      </w:r>
    </w:p>
    <w:p w14:paraId="5D4E6E06" w14:textId="77777777" w:rsidR="002A7D93" w:rsidRPr="002F2FDF" w:rsidRDefault="002A7D9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Москвич Н. М. Щапов записывает: "Население и часть гарнизона пассивны. Солдатам помогает, кажется, ничтожная часть рабочих... Днем на улицах экипажей почти нет. Трамвай стоит. Пешеходов порядочно - бегают по знакомым узнавать новости. Патрули - по два-три солдата с ружьями. Съестные лавки торгуют, ворота заперты, за ними дежурства жильцов, организованные домовыми комитетами. Издали слышны отдельные ружейные и орудийные выстрелы" (18685).</w:t>
      </w:r>
    </w:p>
    <w:p w14:paraId="24DFBA24" w14:textId="77777777" w:rsidR="002A7D93" w:rsidRPr="002F2FDF" w:rsidRDefault="002A7D93" w:rsidP="0083075A">
      <w:pPr>
        <w:spacing w:after="0" w:line="240" w:lineRule="auto"/>
        <w:jc w:val="both"/>
        <w:rPr>
          <w:rFonts w:ascii="Times New Roman" w:hAnsi="Times New Roman" w:cs="Times New Roman"/>
          <w:color w:val="000000" w:themeColor="text1"/>
          <w:sz w:val="16"/>
          <w:szCs w:val="16"/>
        </w:rPr>
      </w:pPr>
    </w:p>
    <w:p w14:paraId="35F4C860" w14:textId="6F565344" w:rsidR="00826055" w:rsidRPr="002F2FDF" w:rsidRDefault="00826055" w:rsidP="0083075A">
      <w:pPr>
        <w:pStyle w:val="ae"/>
        <w:spacing w:before="0" w:after="0"/>
        <w:jc w:val="both"/>
        <w:rPr>
          <w:color w:val="000000" w:themeColor="text1"/>
          <w:kern w:val="2"/>
          <w:sz w:val="16"/>
          <w:szCs w:val="16"/>
        </w:rPr>
      </w:pPr>
      <w:r w:rsidRPr="002F2FDF">
        <w:rPr>
          <w:bCs/>
          <w:color w:val="000000" w:themeColor="text1"/>
          <w:kern w:val="2"/>
          <w:sz w:val="16"/>
          <w:szCs w:val="16"/>
        </w:rPr>
        <w:t>1 (14) ноября</w:t>
      </w:r>
      <w:r w:rsidRPr="002F2FDF">
        <w:rPr>
          <w:color w:val="000000" w:themeColor="text1"/>
          <w:kern w:val="2"/>
          <w:sz w:val="16"/>
          <w:szCs w:val="16"/>
        </w:rPr>
        <w:t xml:space="preserve"> в 1917 году красногвардейцы и солдаты, сумевшие взять под контроль большую часть Москвы, усилили артобстрел здания городской Думы (сегодня музей Ленина на Красной площади) и Кремля, где засели отступившие юнкера и члены КОБ. Были повреждены Успенский, Благовещенский, Архангельский, Николо-Гостунский соборы, Чудов монастырь, собор Двенадцати Апостолов, колокольня Ивана Великого, Патриаршая ризница, Малый дворец и некоторые кремлевские башни, в том числе Никольская, Беклемишевская (у нее была полностью разрушена верхняя часть) и Спасская (среди прочего</w:t>
      </w:r>
      <w:r w:rsidR="00E52569">
        <w:rPr>
          <w:color w:val="000000" w:themeColor="text1"/>
          <w:kern w:val="2"/>
          <w:sz w:val="16"/>
          <w:szCs w:val="16"/>
        </w:rPr>
        <w:t xml:space="preserve"> </w:t>
      </w:r>
      <w:r w:rsidRPr="002F2FDF">
        <w:rPr>
          <w:color w:val="000000" w:themeColor="text1"/>
          <w:kern w:val="2"/>
          <w:sz w:val="16"/>
          <w:szCs w:val="16"/>
        </w:rPr>
        <w:t xml:space="preserve">был поврежден часовой механизм </w:t>
      </w:r>
      <w:r w:rsidRPr="002F2FDF">
        <w:rPr>
          <w:color w:val="000000" w:themeColor="text1"/>
          <w:kern w:val="2"/>
          <w:sz w:val="16"/>
          <w:szCs w:val="16"/>
        </w:rPr>
        <w:lastRenderedPageBreak/>
        <w:t>кремлевских курантов). Одна из пушек, стрелявших в те дни по Кремлю, до сих пор стоит перед входом в Музей современной истории России на Тверской улице.</w:t>
      </w:r>
    </w:p>
    <w:p w14:paraId="0AB7E7CA" w14:textId="77777777" w:rsidR="00826055" w:rsidRPr="002F2FDF" w:rsidRDefault="00826055" w:rsidP="0083075A">
      <w:pPr>
        <w:pStyle w:val="ae"/>
        <w:spacing w:before="0" w:after="0"/>
        <w:jc w:val="both"/>
        <w:rPr>
          <w:color w:val="000000" w:themeColor="text1"/>
          <w:kern w:val="2"/>
          <w:sz w:val="16"/>
          <w:szCs w:val="16"/>
        </w:rPr>
      </w:pPr>
      <w:r w:rsidRPr="002F2FDF">
        <w:rPr>
          <w:color w:val="000000" w:themeColor="text1"/>
          <w:kern w:val="2"/>
          <w:sz w:val="16"/>
          <w:szCs w:val="16"/>
        </w:rPr>
        <w:t>Поместный Собор Русской православной церкви, который, несмотря на обстрел, продолжал заседание в эти дни в Успенском соборе, обратился к противоборствующим сторонам с призывом: «Во имя Божие Всероссийский Священный Собор призывает дорогих наших братьев и детей ныне воздержаться от дальнейшей ужасной кровопролитной брани, &lt;...&gt; не допускать никаких актов мести, жестокой расправы и во всех случаях щадить жизнь побежденных» (17045).</w:t>
      </w:r>
    </w:p>
    <w:p w14:paraId="4C43ECD9" w14:textId="77777777" w:rsidR="00826055" w:rsidRPr="002F2FDF" w:rsidRDefault="0082605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E231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ноября 1917 Советская власть была установлена в Ярославле, Твери, Смоленске, Рязани, Нижнем Новгороде, Казани, Самаре, Саратове, Ростове и Уфе (3908,268).</w:t>
      </w:r>
    </w:p>
    <w:p w14:paraId="548183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9E273C" w14:textId="77777777" w:rsidR="00826055" w:rsidRPr="002F2FDF" w:rsidRDefault="00826055"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 (14) ноября</w:t>
      </w:r>
      <w:r w:rsidRPr="002F2FDF">
        <w:rPr>
          <w:rFonts w:ascii="Times New Roman" w:hAnsi="Times New Roman" w:cs="Times New Roman"/>
          <w:color w:val="000000" w:themeColor="text1"/>
          <w:kern w:val="2"/>
          <w:sz w:val="16"/>
          <w:szCs w:val="16"/>
        </w:rPr>
        <w:t xml:space="preserve"> в 1917 году утверждено Положение ВЦИК о рабочем контроле (14830).</w:t>
      </w:r>
    </w:p>
    <w:p w14:paraId="5953CD96" w14:textId="77777777" w:rsidR="00826055" w:rsidRPr="002F2FDF" w:rsidRDefault="00826055" w:rsidP="0083075A">
      <w:pPr>
        <w:spacing w:after="0" w:line="240" w:lineRule="auto"/>
        <w:jc w:val="both"/>
        <w:rPr>
          <w:rFonts w:ascii="Times New Roman" w:hAnsi="Times New Roman" w:cs="Times New Roman"/>
          <w:color w:val="000000" w:themeColor="text1"/>
          <w:kern w:val="2"/>
          <w:sz w:val="16"/>
          <w:szCs w:val="16"/>
        </w:rPr>
      </w:pPr>
    </w:p>
    <w:p w14:paraId="7F02D4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ноября 1917 ЦК большевиков принял резолюцию, означающую срыв переговоров с другими партиями об образовании коалиционного правительства (1348,88).</w:t>
      </w:r>
    </w:p>
    <w:p w14:paraId="2A9D1B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2BD1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ноября 1917 власть на Украине перешла к Центральной Раде (2443,388).</w:t>
      </w:r>
    </w:p>
    <w:p w14:paraId="740949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517A0A" w14:textId="77777777" w:rsidR="00697B1B" w:rsidRPr="002F2FDF" w:rsidRDefault="00697B1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1 (14) ноября</w:t>
      </w:r>
      <w:r w:rsidRPr="002F2FDF">
        <w:rPr>
          <w:rFonts w:ascii="Times New Roman" w:hAnsi="Times New Roman" w:cs="Times New Roman"/>
          <w:color w:val="000000" w:themeColor="text1"/>
          <w:kern w:val="2"/>
          <w:sz w:val="16"/>
          <w:szCs w:val="16"/>
        </w:rPr>
        <w:t xml:space="preserve"> в 1917 году власть в Киеве захватывается Центральной Радой (14830).</w:t>
      </w:r>
    </w:p>
    <w:p w14:paraId="07C39D17" w14:textId="77777777" w:rsidR="00697B1B" w:rsidRPr="002F2FDF" w:rsidRDefault="00697B1B" w:rsidP="0083075A">
      <w:pPr>
        <w:spacing w:after="0" w:line="240" w:lineRule="auto"/>
        <w:jc w:val="both"/>
        <w:rPr>
          <w:rFonts w:ascii="Times New Roman" w:hAnsi="Times New Roman" w:cs="Times New Roman"/>
          <w:color w:val="000000" w:themeColor="text1"/>
          <w:kern w:val="2"/>
          <w:sz w:val="16"/>
          <w:szCs w:val="16"/>
        </w:rPr>
      </w:pPr>
    </w:p>
    <w:p w14:paraId="766E2B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ноября 1917 Ташкентский совет взял власть (3908,268).</w:t>
      </w:r>
    </w:p>
    <w:p w14:paraId="7B8618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74F61B" w14:textId="77777777" w:rsidR="00103C92" w:rsidRPr="002F2FDF" w:rsidRDefault="00103C92"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1 (14) ноября 1917, несмотря на угрозу забастовки служащих, банки в Петербурге открылись. Однако, в течение ноября они функционировали лишь отдельные дни и открывались на 1,5 - 2 часа в сутки. Особенно осложнилось их положение в середине месяца, когда началась забастовка в Госбанке. Такое положение привело к панике среди населения. У дверей банков с начала ноября стали собираться толпы народа, тщетно пытаясь изъять свои вклады со счетов. Этот ажиотаж привел к тому, что к 7 декабря (24 ноября) ресурсы наличности были исчерпаны. 8 декабря (25 ноября) в день зарплаты банки открылись лишь для того, чтобы выдать чеки на Госбанк. До 12 декабря (29 ноября) петроградские банки не работали )18085).</w:t>
      </w:r>
    </w:p>
    <w:p w14:paraId="3C125495" w14:textId="77777777" w:rsidR="00103C92" w:rsidRPr="002F2FDF" w:rsidRDefault="00103C92" w:rsidP="0083075A">
      <w:pPr>
        <w:spacing w:after="0" w:line="240" w:lineRule="auto"/>
        <w:jc w:val="both"/>
        <w:rPr>
          <w:rFonts w:ascii="Times New Roman" w:eastAsia="Times New Roman" w:hAnsi="Times New Roman" w:cs="Times New Roman"/>
          <w:color w:val="000000" w:themeColor="text1"/>
          <w:sz w:val="16"/>
          <w:szCs w:val="16"/>
          <w:lang w:eastAsia="ru-RU"/>
        </w:rPr>
      </w:pPr>
    </w:p>
    <w:p w14:paraId="2643ABC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0D20B3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930B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ноября 1917 представители Антанты на секретном совещании в Яссах приняли решение об использовании чехословацкого корпуса для борьбы с русской революцией (3908,269).</w:t>
      </w:r>
    </w:p>
    <w:p w14:paraId="363374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0D8E8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62226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269C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ноября Управление морской авиации и воздухоплавания после ряда дискуссий предложила Ф.Мельцеру построить 5 аппаратов Ю.А.Виллиша - контр-истребителей. Ю.А.В. эмигрировал (2843,73). В этот день был получен заказ и на 5 морских поплавковых разведчиков типа Аист П.А.Шишкова (2843,75).</w:t>
      </w:r>
    </w:p>
    <w:p w14:paraId="3F571E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29B9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ноября 1917 После ряда дискуссий руководство Управления морской авиации предложило компании Мельцера построить 5 аппаратов в счет апрельского условного заказа по цене 20.000 руб. за штуку. Фирма приняла условия и согласно Шаврову первый прототип ВМ-6 почти закончили к весне 1918 г. По понятным причинам работа не могла быть завершена. Что до А.Ю. Виллиша, то он покинул большевистскую Россию и вернулся в родные места, его дальнейшая судьба неизвестна (2843).</w:t>
      </w:r>
    </w:p>
    <w:p w14:paraId="37CEE96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контракте на аппараты ВМ-6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2F2FDF" w14:paraId="09D32449" w14:textId="77777777">
        <w:tc>
          <w:tcPr>
            <w:tcW w:w="4788" w:type="dxa"/>
            <w:tcBorders>
              <w:top w:val="single" w:sz="12" w:space="0" w:color="auto"/>
            </w:tcBorders>
            <w:shd w:val="clear" w:color="auto" w:fill="FFFFFF"/>
          </w:tcPr>
          <w:p w14:paraId="17DCFD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13FA71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 2 1917</w:t>
            </w:r>
          </w:p>
        </w:tc>
      </w:tr>
      <w:tr w:rsidR="002B1C74" w:rsidRPr="002F2FDF" w14:paraId="609C93ED" w14:textId="77777777">
        <w:tc>
          <w:tcPr>
            <w:tcW w:w="4788" w:type="dxa"/>
            <w:shd w:val="clear" w:color="auto" w:fill="FFFFFF"/>
          </w:tcPr>
          <w:p w14:paraId="0423AC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заказанных аэропланов</w:t>
            </w:r>
          </w:p>
        </w:tc>
        <w:tc>
          <w:tcPr>
            <w:tcW w:w="4788" w:type="dxa"/>
            <w:shd w:val="clear" w:color="auto" w:fill="FFFFFF"/>
          </w:tcPr>
          <w:p w14:paraId="679BD7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2E5A5090" w14:textId="77777777">
        <w:tc>
          <w:tcPr>
            <w:tcW w:w="4788" w:type="dxa"/>
            <w:shd w:val="clear" w:color="auto" w:fill="FFFFFF"/>
          </w:tcPr>
          <w:p w14:paraId="71E3CC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Заводские номера сданных аэропланов</w:t>
            </w:r>
          </w:p>
        </w:tc>
        <w:tc>
          <w:tcPr>
            <w:tcW w:w="4788" w:type="dxa"/>
            <w:shd w:val="clear" w:color="auto" w:fill="FFFFFF"/>
          </w:tcPr>
          <w:p w14:paraId="4B2390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5FD1B722" w14:textId="77777777">
        <w:tc>
          <w:tcPr>
            <w:tcW w:w="4788" w:type="dxa"/>
            <w:tcBorders>
              <w:bottom w:val="single" w:sz="12" w:space="0" w:color="auto"/>
            </w:tcBorders>
            <w:shd w:val="clear" w:color="auto" w:fill="FFFFFF"/>
          </w:tcPr>
          <w:p w14:paraId="59D178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53FE5A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20.000 руб. за аппарат без мотора. Примечания: заказ дан в счет условного контракта от 27 ап</w:t>
            </w:r>
            <w:r w:rsidRPr="002F2FDF">
              <w:rPr>
                <w:rFonts w:ascii="Times New Roman" w:hAnsi="Times New Roman" w:cs="Times New Roman"/>
                <w:color w:val="000000" w:themeColor="text1"/>
                <w:kern w:val="2"/>
                <w:sz w:val="16"/>
                <w:szCs w:val="16"/>
              </w:rPr>
              <w:softHyphen/>
              <w:t>реля 1917 г., который подлежал пересмотру; не выполнен (2843).</w:t>
            </w:r>
          </w:p>
        </w:tc>
      </w:tr>
    </w:tbl>
    <w:p w14:paraId="0B6B6A5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DB87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ноября 1917 Мельцеру послали официальный контракт на строительство 5 разведчиков "Аист", три из которых должны были оснащаться моторами "Испано-Суиза" 200 л.с., а два оставшихся — "Рено" 220 л.с. Заказ давался в счет апрельского условного поручения на сборку летающих лодок Энгельса и Григоровича, а цена одного поплавкового аэроплана составляла к этому времени 45.000 руб. Скорее всего, ни один из прототипов не был закончен, хотя В.Б. Шавров утверждал, что один "Аист" все же был. По тому же источнику модель представляла собой одномоторный двухместный двухстоечный биплан с силовой установкой тянущего типа. Его фюзеляж-монокок выполнялся из фанеры, а крылья имели деревянный каркас, обтянутый полотном и усиленный проволочными растяжками. Каждый из двух основных слегка килс-ватых поплавков образовывался ясеневым внутренним набором и комбинированной обшивкой из фанеры в верхней части и тонких досок красного дерева на медных заклепках внизу до ватерлинии. Для выбора наиболее удачной формы поплавков были произведены испытания их моделей в Опытовом бассейне Морского ведомства. Водное шасси включало в себя систему стоек, изготовленных из стальных труб с обтекателями (2843).</w:t>
      </w:r>
    </w:p>
    <w:p w14:paraId="2AE5BD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A3BDDA" w14:textId="77777777" w:rsidR="00697B1B"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6B732AF" w14:textId="77777777" w:rsidR="00697B1B" w:rsidRPr="002F2FDF" w:rsidRDefault="00697B1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2018EC" w14:textId="77777777" w:rsidR="00697B1B" w:rsidRPr="002F2FDF" w:rsidRDefault="00697B1B"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2 (15) ноября 1917 г. прапорщик Г.Сук на «Спаде-VII № 1440 одержал последнюю победу, сбив немецкий «Бранденбург». В тот же день командир 9-го отряда истребителей подпоручик И.Лойко рапортовал в штаб: «Возвращаясь из боевого полета, прапорщик Сук делал над аэродромом поворот перед посадкой, скользнул на крыло, а затем, перейдя в штопор, упал с высоты 80 м и разбился насмерть.» Была ли это смерть в результате боевых действий врага, как у Е.Крутеня, или возможное самоубийство, как это позже сделал Г.В.Алехнович на «Муромце», чтобы не попасть к уже въехавшим на летное поле чекистам, особо и не выясняли (15464).</w:t>
      </w:r>
    </w:p>
    <w:p w14:paraId="1368FC2A" w14:textId="77777777" w:rsidR="00697B1B" w:rsidRPr="002F2FDF" w:rsidRDefault="00697B1B" w:rsidP="0083075A">
      <w:pPr>
        <w:pStyle w:val="2"/>
        <w:spacing w:before="0" w:beforeAutospacing="0" w:after="0" w:afterAutospacing="0"/>
        <w:jc w:val="both"/>
        <w:rPr>
          <w:b w:val="0"/>
          <w:color w:val="000000" w:themeColor="text1"/>
          <w:kern w:val="2"/>
          <w:sz w:val="16"/>
          <w:szCs w:val="16"/>
        </w:rPr>
      </w:pPr>
    </w:p>
    <w:p w14:paraId="4D407DD6" w14:textId="2F7D386F" w:rsidR="00175851" w:rsidRPr="00FB4F67" w:rsidRDefault="0017585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 (</w:t>
      </w:r>
      <w:r w:rsidRPr="00FB4F67">
        <w:rPr>
          <w:rFonts w:ascii="Times New Roman" w:hAnsi="Times New Roman" w:cs="Times New Roman"/>
          <w:color w:val="0070C0"/>
          <w:sz w:val="16"/>
          <w:szCs w:val="16"/>
        </w:rPr>
        <w:t>15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ноября 1917 г. Полковник В.М. Ткачев ушел с поста командующего Военно-воздушным флотом. Он уехал из Ставки в Киев 2 декабря 1917 года, намереваясь в конечном итоге отправиться на Дон для службы с белыми донскими казаками. В марте 1918 года он пробрался в Екатеринослав. 1 августа 1918 года, служивший теперь у белых, он был произведен в генерал-майоры. В сентябре 1918 г. он был назначен командиром 1-го Кубанского АО и служил в Кубанской авиации до 1 апреля 1920 г., когда был назначен начальником Белой авиации на юге России при генерале Врангеле. В июне 1920 г. В.М. Ткачев получил орден Св. Николая Чудотворца. Он оставался командиром белогвардейской авиации до разгрома белых в Крыму в ноябре 1920 г.</w:t>
      </w:r>
    </w:p>
    <w:p w14:paraId="3E286298" w14:textId="77777777" w:rsidR="00175851" w:rsidRPr="00FB4F67" w:rsidRDefault="0017585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17 ноября 1920 г. эвакуировался из Крыма. Он отправился в Югославию, где в октябре 1944 года был арестован НКВД (тайной полицией) при наступлении Красной Армии. Он отсидел десять лет на каторге, прежде чем его освободили и разрешили написать мемуары «Крылья России». Он умер в Советской России 25 марта 1965 года (23525).</w:t>
      </w:r>
    </w:p>
    <w:p w14:paraId="2E5B319E" w14:textId="77777777" w:rsidR="00175851" w:rsidRPr="00FB4F67" w:rsidRDefault="00175851" w:rsidP="0083075A">
      <w:pPr>
        <w:spacing w:after="0" w:line="240" w:lineRule="auto"/>
        <w:jc w:val="both"/>
        <w:rPr>
          <w:rFonts w:ascii="Times New Roman" w:hAnsi="Times New Roman" w:cs="Times New Roman"/>
          <w:color w:val="0070C0"/>
          <w:sz w:val="16"/>
          <w:szCs w:val="16"/>
        </w:rPr>
      </w:pPr>
    </w:p>
    <w:p w14:paraId="7B8B506A" w14:textId="47648994" w:rsidR="00175851" w:rsidRPr="00FB4F67" w:rsidRDefault="0017585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 (</w:t>
      </w:r>
      <w:r w:rsidRPr="00FB4F67">
        <w:rPr>
          <w:rFonts w:ascii="Times New Roman" w:hAnsi="Times New Roman" w:cs="Times New Roman"/>
          <w:color w:val="0070C0"/>
          <w:sz w:val="16"/>
          <w:szCs w:val="16"/>
        </w:rPr>
        <w:t>15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ноября 1917 г. в Петрограде П. Е. Дыбенко был избран наркомом Морского министерства. Его начальником был назначен капитан 1-го ранга М. В. Васильевич (23525).</w:t>
      </w:r>
    </w:p>
    <w:p w14:paraId="2A98E06E" w14:textId="77777777" w:rsidR="00175851" w:rsidRPr="00FB4F67" w:rsidRDefault="00175851" w:rsidP="0083075A">
      <w:pPr>
        <w:spacing w:after="0" w:line="240" w:lineRule="auto"/>
        <w:jc w:val="both"/>
        <w:rPr>
          <w:rFonts w:ascii="Times New Roman" w:hAnsi="Times New Roman" w:cs="Times New Roman"/>
          <w:color w:val="0070C0"/>
          <w:sz w:val="16"/>
          <w:szCs w:val="16"/>
        </w:rPr>
      </w:pPr>
    </w:p>
    <w:p w14:paraId="45E6A16B" w14:textId="5EEE3261" w:rsidR="00175851" w:rsidRPr="00FB4F67" w:rsidRDefault="0017585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 (</w:t>
      </w:r>
      <w:r w:rsidRPr="00FB4F67">
        <w:rPr>
          <w:rFonts w:ascii="Times New Roman" w:hAnsi="Times New Roman" w:cs="Times New Roman"/>
          <w:color w:val="0070C0"/>
          <w:sz w:val="16"/>
          <w:szCs w:val="16"/>
        </w:rPr>
        <w:t>15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ноября 1917 г. генерал М. В. Алексеев прибыл в Новочеркасск на Дону и начал формирование первых частей антибольшевистской Добровольческой Армии (Добровольческой армии) (23525).</w:t>
      </w:r>
    </w:p>
    <w:p w14:paraId="3BCB6E52" w14:textId="77777777" w:rsidR="00175851" w:rsidRPr="00FB4F67" w:rsidRDefault="00175851" w:rsidP="0083075A">
      <w:pPr>
        <w:spacing w:after="0" w:line="240" w:lineRule="auto"/>
        <w:jc w:val="both"/>
        <w:rPr>
          <w:rFonts w:ascii="Times New Roman" w:hAnsi="Times New Roman" w:cs="Times New Roman"/>
          <w:color w:val="0070C0"/>
          <w:sz w:val="16"/>
          <w:szCs w:val="16"/>
        </w:rPr>
      </w:pPr>
    </w:p>
    <w:p w14:paraId="06542193" w14:textId="3491A317" w:rsidR="00175851" w:rsidRPr="00FB4F67" w:rsidRDefault="0017585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 (</w:t>
      </w:r>
      <w:r w:rsidRPr="00FB4F67">
        <w:rPr>
          <w:rFonts w:ascii="Times New Roman" w:hAnsi="Times New Roman" w:cs="Times New Roman"/>
          <w:color w:val="0070C0"/>
          <w:sz w:val="16"/>
          <w:szCs w:val="16"/>
        </w:rPr>
        <w:t>15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ноября 1917 г. в Закавказье красногвардейцы захватили Баку и Каспийскую военную флотилию. Флотилия оставалась под их контролем до августа 1918 года, когда англичане вошли в Баку (23525).</w:t>
      </w:r>
    </w:p>
    <w:p w14:paraId="6498B973" w14:textId="77777777" w:rsidR="00175851" w:rsidRPr="00FB4F67" w:rsidRDefault="00175851" w:rsidP="0083075A">
      <w:pPr>
        <w:spacing w:after="0" w:line="240" w:lineRule="auto"/>
        <w:jc w:val="both"/>
        <w:rPr>
          <w:rFonts w:ascii="Times New Roman" w:hAnsi="Times New Roman" w:cs="Times New Roman"/>
          <w:color w:val="0070C0"/>
          <w:sz w:val="16"/>
          <w:szCs w:val="16"/>
        </w:rPr>
      </w:pPr>
    </w:p>
    <w:p w14:paraId="3D9E9659" w14:textId="77777777" w:rsidR="00697B1B" w:rsidRPr="002F2FDF" w:rsidRDefault="00697B1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2 (15) ноября </w:t>
      </w:r>
      <w:r w:rsidRPr="002F2FDF">
        <w:rPr>
          <w:rFonts w:ascii="Times New Roman" w:hAnsi="Times New Roman" w:cs="Times New Roman"/>
          <w:color w:val="000000" w:themeColor="text1"/>
          <w:kern w:val="2"/>
          <w:sz w:val="16"/>
          <w:szCs w:val="16"/>
        </w:rPr>
        <w:t>в 1917 году указ о демобилизации старой армии (14831).</w:t>
      </w:r>
    </w:p>
    <w:p w14:paraId="07FAABED" w14:textId="77777777" w:rsidR="00697B1B" w:rsidRPr="002F2FDF" w:rsidRDefault="00697B1B" w:rsidP="0083075A">
      <w:pPr>
        <w:spacing w:after="0" w:line="240" w:lineRule="auto"/>
        <w:jc w:val="both"/>
        <w:rPr>
          <w:rFonts w:ascii="Times New Roman" w:hAnsi="Times New Roman" w:cs="Times New Roman"/>
          <w:color w:val="000000" w:themeColor="text1"/>
          <w:kern w:val="2"/>
          <w:sz w:val="16"/>
          <w:szCs w:val="16"/>
        </w:rPr>
      </w:pPr>
    </w:p>
    <w:p w14:paraId="21E08EB5" w14:textId="72E9FD4F" w:rsidR="00B6143B" w:rsidRPr="00FB4F67" w:rsidRDefault="00B6143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 </w:t>
      </w:r>
      <w:r>
        <w:rPr>
          <w:rFonts w:ascii="Times New Roman" w:hAnsi="Times New Roman" w:cs="Times New Roman"/>
          <w:color w:val="0070C0"/>
          <w:sz w:val="16"/>
          <w:szCs w:val="16"/>
        </w:rPr>
        <w:t xml:space="preserve">(15) </w:t>
      </w:r>
      <w:r w:rsidRPr="00FB4F67">
        <w:rPr>
          <w:rFonts w:ascii="Times New Roman" w:hAnsi="Times New Roman" w:cs="Times New Roman"/>
          <w:color w:val="0070C0"/>
          <w:sz w:val="16"/>
          <w:szCs w:val="16"/>
        </w:rPr>
        <w:t xml:space="preserve">ноября 1917 г. в районе д. Соломна (20 км юго-восточнее г. Волочиск) в тылу расположения русских войск совершил посадку германский самолет, потерявший ориентировку. Летчик и унтер-офицер захвачены в плен. Ранее в зоне ответственности 12-й армии (Северный фронт) над Рижским побережьем (вблизи г. Пернов и </w:t>
      </w:r>
      <w:r w:rsidRPr="00FB4F67">
        <w:rPr>
          <w:rFonts w:ascii="Times New Roman" w:hAnsi="Times New Roman" w:cs="Times New Roman"/>
          <w:color w:val="0070C0"/>
          <w:sz w:val="16"/>
          <w:szCs w:val="16"/>
        </w:rPr>
        <w:lastRenderedPageBreak/>
        <w:t>Гайнаш) наблюдательными постами было отмечено появление нескольких германских гидроаэропланов и четырех сухопутных аппаратов типа «Альбатрос», которые вели воздушную разведку в ближнем тылу наших частей (23374).</w:t>
      </w:r>
    </w:p>
    <w:p w14:paraId="3ECF82DB" w14:textId="77777777" w:rsidR="00B6143B" w:rsidRPr="00FB4F67" w:rsidRDefault="00B6143B" w:rsidP="0083075A">
      <w:pPr>
        <w:spacing w:after="0" w:line="240" w:lineRule="auto"/>
        <w:jc w:val="both"/>
        <w:rPr>
          <w:rFonts w:ascii="Times New Roman" w:hAnsi="Times New Roman" w:cs="Times New Roman"/>
          <w:color w:val="0070C0"/>
          <w:sz w:val="16"/>
          <w:szCs w:val="16"/>
        </w:rPr>
      </w:pPr>
    </w:p>
    <w:p w14:paraId="36A26389" w14:textId="77777777" w:rsidR="00697B1B" w:rsidRPr="002F2FDF" w:rsidRDefault="00697B1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2 (15) ноября </w:t>
      </w:r>
      <w:r w:rsidRPr="002F2FDF">
        <w:rPr>
          <w:rFonts w:ascii="Times New Roman" w:hAnsi="Times New Roman" w:cs="Times New Roman"/>
          <w:color w:val="000000" w:themeColor="text1"/>
          <w:kern w:val="2"/>
          <w:sz w:val="16"/>
          <w:szCs w:val="16"/>
        </w:rPr>
        <w:t>в 1917 году в Севастополе матросы-большевики расстреляли высший офицерский состав Черноморского флота. Погибло несколько десятков человек, в том числе три адмирала и среди них командующий минной бригадой капитан I ранга И.С.Кузнецов, который в молодости участвовал в восстании лейтенанта Шмидта. У матросов не было санкции на расстрел -- таким образом они отомстили за смерть своих красных командиров Николая Скородинского и Александра Скалковского, убитых во время стычки с казаками. Петроградские власти одобрили произвол черноморских большевиков. В феврале 1918 года Федор Раскольников, руководитель наркомата по морским делам, прислал в Севастополь телеграмму с требованием расстреливать любого офицера по первому подозрению в заговоре (14831).</w:t>
      </w:r>
    </w:p>
    <w:p w14:paraId="0ED160B4" w14:textId="77777777" w:rsidR="00697B1B" w:rsidRPr="002F2FDF" w:rsidRDefault="00697B1B" w:rsidP="0083075A">
      <w:pPr>
        <w:spacing w:after="0" w:line="240" w:lineRule="auto"/>
        <w:jc w:val="both"/>
        <w:rPr>
          <w:rFonts w:ascii="Times New Roman" w:hAnsi="Times New Roman" w:cs="Times New Roman"/>
          <w:color w:val="000000" w:themeColor="text1"/>
          <w:kern w:val="2"/>
          <w:sz w:val="16"/>
          <w:szCs w:val="16"/>
        </w:rPr>
      </w:pPr>
    </w:p>
    <w:p w14:paraId="11779C6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4B6F7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43AC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ноября 1917 была принята Декларация прав народов России (1348,88).</w:t>
      </w:r>
    </w:p>
    <w:p w14:paraId="413F45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69C75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ноября 1917 российский Совет Народных Комиссаров провозгласил право наций на самоопределение (4962).</w:t>
      </w:r>
    </w:p>
    <w:p w14:paraId="7C10802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1189E6" w14:textId="77777777" w:rsidR="00697B1B" w:rsidRPr="002F2FDF" w:rsidRDefault="00697B1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2 (15) ноября </w:t>
      </w:r>
      <w:r w:rsidRPr="002F2FDF">
        <w:rPr>
          <w:rFonts w:ascii="Times New Roman" w:hAnsi="Times New Roman" w:cs="Times New Roman"/>
          <w:color w:val="000000" w:themeColor="text1"/>
          <w:kern w:val="2"/>
          <w:sz w:val="16"/>
          <w:szCs w:val="16"/>
        </w:rPr>
        <w:t>в 1917 году Совет Народных Комиссаров во главе с Лениным принял "Декларацию прав народов России", провозгласившую равенство и суверенность народов бывшей Российской империи и их право на самоопределение, вплоть до отделения. Нынешняя российская Конституция право на отделение народам не предоставляет (14831).</w:t>
      </w:r>
    </w:p>
    <w:p w14:paraId="5BE410B3" w14:textId="77777777" w:rsidR="00697B1B" w:rsidRPr="002F2FDF" w:rsidRDefault="00697B1B" w:rsidP="0083075A">
      <w:pPr>
        <w:spacing w:after="0" w:line="240" w:lineRule="auto"/>
        <w:jc w:val="both"/>
        <w:rPr>
          <w:rFonts w:ascii="Times New Roman" w:hAnsi="Times New Roman" w:cs="Times New Roman"/>
          <w:color w:val="000000" w:themeColor="text1"/>
          <w:kern w:val="2"/>
          <w:sz w:val="16"/>
          <w:szCs w:val="16"/>
        </w:rPr>
      </w:pPr>
    </w:p>
    <w:p w14:paraId="57617C3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ноября 1917 русские священники крестным ходом отправились к зданию Московского ревкома с просьбой прекратить бои в столице (4962).</w:t>
      </w:r>
    </w:p>
    <w:p w14:paraId="51E6437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B7C4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ноября 1917, к вечеру рабочие завершили окружение Кремля и 3 ноября гарнизон капитулировал (1322,25).</w:t>
      </w:r>
    </w:p>
    <w:p w14:paraId="69ED4A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40FF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ноября 1917 Керенский скрылся</w:t>
      </w:r>
      <w:r w:rsidR="00A713EB"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rPr>
        <w:t xml:space="preserve"> и большевики захватили власть в Москве (2100).</w:t>
      </w:r>
    </w:p>
    <w:p w14:paraId="0B9B3C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67D889" w14:textId="21A67D57" w:rsidR="00DD479A" w:rsidRPr="002F2FDF" w:rsidRDefault="00DD479A"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2-3 (15-16) ноября</w:t>
      </w:r>
      <w:r w:rsidR="00E52569">
        <w:rPr>
          <w:color w:val="000000" w:themeColor="text1"/>
          <w:sz w:val="16"/>
          <w:szCs w:val="16"/>
        </w:rPr>
        <w:t xml:space="preserve"> </w:t>
      </w:r>
      <w:r w:rsidRPr="002F2FDF">
        <w:rPr>
          <w:color w:val="000000" w:themeColor="text1"/>
          <w:sz w:val="16"/>
          <w:szCs w:val="16"/>
        </w:rPr>
        <w:t>1917 ЦК РСДРП(б) принимает решение, в котором отвергает требование правых эсеров и меньшевиков о создании «</w:t>
      </w:r>
      <w:r w:rsidRPr="002F2FDF">
        <w:rPr>
          <w:rStyle w:val="af0"/>
          <w:i w:val="0"/>
          <w:color w:val="000000" w:themeColor="text1"/>
          <w:sz w:val="16"/>
          <w:szCs w:val="16"/>
        </w:rPr>
        <w:t>однородного социалистического правительства</w:t>
      </w:r>
      <w:r w:rsidRPr="002F2FDF">
        <w:rPr>
          <w:color w:val="000000" w:themeColor="text1"/>
          <w:sz w:val="16"/>
          <w:szCs w:val="16"/>
        </w:rPr>
        <w:t>» и закрепляет это решение «</w:t>
      </w:r>
      <w:r w:rsidRPr="002F2FDF">
        <w:rPr>
          <w:rStyle w:val="af0"/>
          <w:i w:val="0"/>
          <w:color w:val="000000" w:themeColor="text1"/>
          <w:sz w:val="16"/>
          <w:szCs w:val="16"/>
        </w:rPr>
        <w:t>Ультиматумом большинства ЦК РСДРП(б) меньшинству</w:t>
      </w:r>
      <w:r w:rsidRPr="002F2FDF">
        <w:rPr>
          <w:color w:val="000000" w:themeColor="text1"/>
          <w:sz w:val="16"/>
          <w:szCs w:val="16"/>
        </w:rPr>
        <w:t>». К меньшинству в составе ЦК примыкал и В.П.</w:t>
      </w:r>
      <w:r w:rsidR="00E52569">
        <w:rPr>
          <w:color w:val="000000" w:themeColor="text1"/>
          <w:sz w:val="16"/>
          <w:szCs w:val="16"/>
        </w:rPr>
        <w:t xml:space="preserve"> </w:t>
      </w:r>
      <w:r w:rsidRPr="002F2FDF">
        <w:rPr>
          <w:color w:val="000000" w:themeColor="text1"/>
          <w:sz w:val="16"/>
          <w:szCs w:val="16"/>
        </w:rPr>
        <w:t>Ногин</w:t>
      </w:r>
      <w:r w:rsidR="00E52569">
        <w:rPr>
          <w:color w:val="000000" w:themeColor="text1"/>
          <w:sz w:val="16"/>
          <w:szCs w:val="16"/>
        </w:rPr>
        <w:t xml:space="preserve"> </w:t>
      </w:r>
      <w:r w:rsidRPr="002F2FDF">
        <w:rPr>
          <w:color w:val="000000" w:themeColor="text1"/>
          <w:sz w:val="16"/>
          <w:szCs w:val="16"/>
        </w:rPr>
        <w:t>– вместо него в СНК был назначен другой комиссар. Таким образом, большевики сохранили большинство во главе с В.И.</w:t>
      </w:r>
      <w:r w:rsidR="00E52569">
        <w:rPr>
          <w:color w:val="000000" w:themeColor="text1"/>
          <w:sz w:val="16"/>
          <w:szCs w:val="16"/>
        </w:rPr>
        <w:t xml:space="preserve"> </w:t>
      </w:r>
      <w:r w:rsidRPr="002F2FDF">
        <w:rPr>
          <w:color w:val="000000" w:themeColor="text1"/>
          <w:sz w:val="16"/>
          <w:szCs w:val="16"/>
        </w:rPr>
        <w:t>Лениным в Совете Народных Комиссаров (18371).</w:t>
      </w:r>
    </w:p>
    <w:p w14:paraId="73EAD94E" w14:textId="77777777" w:rsidR="00DD479A" w:rsidRPr="002F2FDF" w:rsidRDefault="00DD479A" w:rsidP="0083075A">
      <w:pPr>
        <w:pStyle w:val="ae"/>
        <w:spacing w:before="0" w:after="0"/>
        <w:jc w:val="both"/>
        <w:rPr>
          <w:color w:val="000000" w:themeColor="text1"/>
          <w:sz w:val="16"/>
          <w:szCs w:val="16"/>
        </w:rPr>
      </w:pPr>
    </w:p>
    <w:p w14:paraId="139F87DD" w14:textId="77777777" w:rsidR="00DD479A" w:rsidRPr="002F2FDF" w:rsidRDefault="00DD479A" w:rsidP="0083075A">
      <w:pPr>
        <w:pStyle w:val="ae"/>
        <w:spacing w:before="0" w:after="0"/>
        <w:jc w:val="both"/>
        <w:rPr>
          <w:color w:val="000000" w:themeColor="text1"/>
          <w:sz w:val="16"/>
          <w:szCs w:val="16"/>
        </w:rPr>
      </w:pPr>
      <w:r w:rsidRPr="002F2FDF">
        <w:rPr>
          <w:color w:val="000000" w:themeColor="text1"/>
          <w:sz w:val="16"/>
          <w:szCs w:val="16"/>
        </w:rPr>
        <w:t>2 (15) ноября 1917 Московский Комитет Общественной Безопасности в 7 часов 15 минут сообщил Военно-Революционному Комитету: «</w:t>
      </w:r>
      <w:r w:rsidRPr="002F2FDF">
        <w:rPr>
          <w:rStyle w:val="af0"/>
          <w:i w:val="0"/>
          <w:color w:val="000000" w:themeColor="text1"/>
          <w:sz w:val="16"/>
          <w:szCs w:val="16"/>
        </w:rPr>
        <w:t>Артиллерийский расстрел Кремля и всей Москвы не наносит никакого вреда войскам, а разрушает лишь памятники, святыни и приводит к избиению мирных граждан. Поэтому в интересах населения Москвы Комитет Общественной Безопасности ставит Военно-Революционному Комитету вопрос: на каких конкретных условиях Военно-Революционный Комитет считает возможным немедленно прекратить военные действия. С своей стороны Комитет Общественной Безопасности заявляет, что при данных условиях он считает необходимым ликвидировать вооруженную борьбу против политической системы, осуществляемой Военно-Революционным Комитетом, перейдя к методам борьбы политической и предоставляя будущему разрешение в общегосударственном масштабе вопроса о конструкции власти в центре и на местах</w:t>
      </w:r>
      <w:r w:rsidRPr="002F2FDF">
        <w:rPr>
          <w:color w:val="000000" w:themeColor="text1"/>
          <w:sz w:val="16"/>
          <w:szCs w:val="16"/>
        </w:rPr>
        <w:t>».</w:t>
      </w:r>
    </w:p>
    <w:p w14:paraId="6A2BECF1" w14:textId="77777777" w:rsidR="00DD479A" w:rsidRPr="002F2FDF" w:rsidRDefault="00DD479A" w:rsidP="0083075A">
      <w:pPr>
        <w:pStyle w:val="ae"/>
        <w:spacing w:before="0" w:after="0"/>
        <w:jc w:val="both"/>
        <w:rPr>
          <w:color w:val="000000" w:themeColor="text1"/>
          <w:sz w:val="16"/>
          <w:szCs w:val="16"/>
        </w:rPr>
      </w:pPr>
      <w:r w:rsidRPr="002F2FDF">
        <w:rPr>
          <w:color w:val="000000" w:themeColor="text1"/>
          <w:sz w:val="16"/>
          <w:szCs w:val="16"/>
        </w:rPr>
        <w:t>В этот же день 2 ноября в 15 часов в Москве был подписан Договор между Военно-Революционным Комитетом и Комитетом Общественной безопасности, согласно которого последний «</w:t>
      </w:r>
      <w:r w:rsidRPr="002F2FDF">
        <w:rPr>
          <w:rStyle w:val="af0"/>
          <w:i w:val="0"/>
          <w:color w:val="000000" w:themeColor="text1"/>
          <w:sz w:val="16"/>
          <w:szCs w:val="16"/>
        </w:rPr>
        <w:t>прекратил свое существование</w:t>
      </w:r>
      <w:r w:rsidRPr="002F2FDF">
        <w:rPr>
          <w:color w:val="000000" w:themeColor="text1"/>
          <w:sz w:val="16"/>
          <w:szCs w:val="16"/>
        </w:rPr>
        <w:t>».</w:t>
      </w:r>
    </w:p>
    <w:p w14:paraId="322DDA94" w14:textId="5FA3B7D9" w:rsidR="00DD479A" w:rsidRPr="002F2FDF" w:rsidRDefault="00DD479A" w:rsidP="0083075A">
      <w:pPr>
        <w:pStyle w:val="ae"/>
        <w:spacing w:before="0" w:after="0"/>
        <w:jc w:val="both"/>
        <w:rPr>
          <w:color w:val="000000" w:themeColor="text1"/>
          <w:sz w:val="16"/>
          <w:szCs w:val="16"/>
        </w:rPr>
      </w:pPr>
      <w:r w:rsidRPr="002F2FDF">
        <w:rPr>
          <w:color w:val="000000" w:themeColor="text1"/>
          <w:sz w:val="16"/>
          <w:szCs w:val="16"/>
        </w:rPr>
        <w:t>Делегатское собрание служащих бруновской фабрики в Обуховской слободе, рассмотрев в этот день «</w:t>
      </w:r>
      <w:r w:rsidRPr="002F2FDF">
        <w:rPr>
          <w:rStyle w:val="af0"/>
          <w:i w:val="0"/>
          <w:color w:val="000000" w:themeColor="text1"/>
          <w:sz w:val="16"/>
          <w:szCs w:val="16"/>
        </w:rPr>
        <w:t>Текущий момент</w:t>
      </w:r>
      <w:r w:rsidRPr="002F2FDF">
        <w:rPr>
          <w:color w:val="000000" w:themeColor="text1"/>
          <w:sz w:val="16"/>
          <w:szCs w:val="16"/>
        </w:rPr>
        <w:t>», постановило: «…</w:t>
      </w:r>
      <w:r w:rsidR="00E52569">
        <w:rPr>
          <w:color w:val="000000" w:themeColor="text1"/>
          <w:sz w:val="16"/>
          <w:szCs w:val="16"/>
        </w:rPr>
        <w:t xml:space="preserve"> </w:t>
      </w:r>
      <w:r w:rsidRPr="002F2FDF">
        <w:rPr>
          <w:rStyle w:val="af0"/>
          <w:i w:val="0"/>
          <w:color w:val="000000" w:themeColor="text1"/>
          <w:sz w:val="16"/>
          <w:szCs w:val="16"/>
        </w:rPr>
        <w:t>принимая во внимание, что единственным средством водворения в стране порядка является образование Правительства, получившего власть от Учредительного собрания, созванного при наличии полных свобод печати и собраний, коллектив служащих выражает пожелание о немедленном прекращении братоубийственной смуты» (18731)</w:t>
      </w:r>
      <w:r w:rsidRPr="002F2FDF">
        <w:rPr>
          <w:color w:val="000000" w:themeColor="text1"/>
          <w:sz w:val="16"/>
          <w:szCs w:val="16"/>
        </w:rPr>
        <w:t>.</w:t>
      </w:r>
    </w:p>
    <w:p w14:paraId="2427315D" w14:textId="77777777" w:rsidR="00DD479A" w:rsidRPr="002F2FDF" w:rsidRDefault="00DD479A" w:rsidP="0083075A">
      <w:pPr>
        <w:pStyle w:val="ae"/>
        <w:spacing w:before="0" w:after="0"/>
        <w:jc w:val="both"/>
        <w:rPr>
          <w:color w:val="000000" w:themeColor="text1"/>
          <w:sz w:val="16"/>
          <w:szCs w:val="16"/>
        </w:rPr>
      </w:pPr>
    </w:p>
    <w:p w14:paraId="0E9D8F36" w14:textId="77777777" w:rsidR="00DD479A" w:rsidRPr="002F2FDF" w:rsidRDefault="00DD479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(15) ноября 1917. Всю ночь гремели орудия. К утру город, за исключением Кремля, полностью перешел в руки Военно-революционного комитета. Комитет общественной безопасности укрылся в Кремле. На улицах повсюду оборванные трамвайные провода, выбитые стекла, опустевшие баррикады. Пустынна Москва, лишь пикеты на перекрестках и грузовики с солдатами, спешащие на позиции - к стенам Кремля. Пушки, поставленные на Никольской улице, прямой наводкой бьют по Никольским воротам Кремля.</w:t>
      </w:r>
    </w:p>
    <w:p w14:paraId="4D8BB699" w14:textId="77777777" w:rsidR="00DD479A" w:rsidRPr="002F2FDF" w:rsidRDefault="00DD479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4 часа дня на Курский вокзал прибыл революционный отряд в количестве 2000 человек.</w:t>
      </w:r>
    </w:p>
    <w:p w14:paraId="03E8FD54" w14:textId="77777777" w:rsidR="00DD479A" w:rsidRPr="002F2FDF" w:rsidRDefault="00DD479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5 часов дня был подписан договор между Военно-революционным комитетом и Комитетом общественной безопасности:</w:t>
      </w:r>
    </w:p>
    <w:p w14:paraId="1C4B28A7" w14:textId="77777777" w:rsidR="00DD479A" w:rsidRPr="002F2FDF" w:rsidRDefault="00DD479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Комитет общественной безопасности прекращает свое существование.</w:t>
      </w:r>
    </w:p>
    <w:p w14:paraId="0A635DCC" w14:textId="77777777" w:rsidR="00DD479A" w:rsidRPr="002F2FDF" w:rsidRDefault="00DD479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Белая гвардия возвращает оружие и расформировывается. Офицеры остаются при присвоенном их званию оружии. В юнкерских училищах сохраняется лишь то оружие, которое необходимо для обучения. Все остальное оружие юнкерами возвращается. ВРК гарантирует всем свободу и неприкосновенность личности.</w:t>
      </w:r>
    </w:p>
    <w:p w14:paraId="21120765" w14:textId="77777777" w:rsidR="00DD479A" w:rsidRPr="002F2FDF" w:rsidRDefault="00DD479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 Для разрешения вопроса о способах разоружения, о коем говорится в п. 2, организуется комиссия из представителей ВРК, представителей командного состава и представителей организаций, принимавших участие в посредничестве.</w:t>
      </w:r>
    </w:p>
    <w:p w14:paraId="4BB26E94" w14:textId="77777777" w:rsidR="00DD479A" w:rsidRPr="002F2FDF" w:rsidRDefault="00DD479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 С момента подписи мирного договора обе стороны немедленно отдают приказ о прекращении всякой стрельбы и всяких военных действий с принятием решительных мер к неуклонному исполнению этого приказа на местах.</w:t>
      </w:r>
    </w:p>
    <w:p w14:paraId="17490925" w14:textId="77777777" w:rsidR="00DD479A" w:rsidRPr="002F2FDF" w:rsidRDefault="00DD479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 При подписании соглашения все пленные обеих сторон немедленно освобождаются.</w:t>
      </w:r>
    </w:p>
    <w:p w14:paraId="67F0A110" w14:textId="77777777" w:rsidR="00DD479A" w:rsidRPr="002F2FDF" w:rsidRDefault="00DD479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9 часов вечера ВРК подписал приказ о прекращении военных действий и разослал его по районам (18685).</w:t>
      </w:r>
    </w:p>
    <w:p w14:paraId="155FCDBD" w14:textId="77777777" w:rsidR="00DD479A" w:rsidRPr="002F2FDF" w:rsidRDefault="00DD479A" w:rsidP="0083075A">
      <w:pPr>
        <w:spacing w:after="0" w:line="240" w:lineRule="auto"/>
        <w:jc w:val="both"/>
        <w:rPr>
          <w:rFonts w:ascii="Times New Roman" w:hAnsi="Times New Roman" w:cs="Times New Roman"/>
          <w:color w:val="000000" w:themeColor="text1"/>
          <w:sz w:val="16"/>
          <w:szCs w:val="16"/>
        </w:rPr>
      </w:pPr>
    </w:p>
    <w:p w14:paraId="176486DB" w14:textId="77777777" w:rsidR="00826055" w:rsidRPr="002F2FDF" w:rsidRDefault="00826055" w:rsidP="0083075A">
      <w:pPr>
        <w:pStyle w:val="ae"/>
        <w:spacing w:before="0" w:after="0"/>
        <w:jc w:val="both"/>
        <w:rPr>
          <w:color w:val="000000" w:themeColor="text1"/>
          <w:kern w:val="2"/>
          <w:sz w:val="16"/>
          <w:szCs w:val="16"/>
        </w:rPr>
      </w:pPr>
      <w:r w:rsidRPr="002F2FDF">
        <w:rPr>
          <w:color w:val="000000" w:themeColor="text1"/>
          <w:kern w:val="2"/>
          <w:sz w:val="16"/>
          <w:szCs w:val="16"/>
        </w:rPr>
        <w:t>2 (15) ноября 1917, к вечеру между Комитетом общественной безопасности и МВРК было заключено соглашение о разоружении защищавших Кремль юнкеров, офицеров и студентов, которые после этого должны были быть отпущены. В 9 часов вечера МВРК издал приказ: «Революционные войска победили, юнкера и белая гвардия («Белой гвардией» назывался отряд студентов-добровольцев, сражавшихся вместе с юнкерами, — РП) сдают оружие. Комитет общественной безопасности распускается. Все силы буржуазии разбиты наголову и сдаются, приняв наши требования».</w:t>
      </w:r>
    </w:p>
    <w:p w14:paraId="06964612" w14:textId="77777777" w:rsidR="00826055" w:rsidRPr="002F2FDF" w:rsidRDefault="00826055" w:rsidP="0083075A">
      <w:pPr>
        <w:pStyle w:val="ae"/>
        <w:spacing w:before="0" w:after="0"/>
        <w:jc w:val="both"/>
        <w:rPr>
          <w:color w:val="000000" w:themeColor="text1"/>
          <w:kern w:val="2"/>
          <w:sz w:val="16"/>
          <w:szCs w:val="16"/>
        </w:rPr>
      </w:pPr>
      <w:r w:rsidRPr="002F2FDF">
        <w:rPr>
          <w:color w:val="000000" w:themeColor="text1"/>
          <w:kern w:val="2"/>
          <w:sz w:val="16"/>
          <w:szCs w:val="16"/>
        </w:rPr>
        <w:t>Однако окончательно сопротивление юнкеров прекратилось лишь днем 16 ноября, а их разоружение зачастую сопровождалось убийствами. Историк Алексей Бабурин в книге «Александровское военное училище» описывал такую расправу: «В училище, окруженном многочисленной толпой, шла перепись офицеров и юнкеров. Изможденные, бледные они выходили из училища и здесь же на глазах у толпы их арестовывали красногвардейцы. Сдавшиеся под честное слово большевиков защитники Москвы были повешены здесь же, в Александровском саду, возле стен Кремля, остальные — расстреляны на территории воинских казарм в Лефортово».</w:t>
      </w:r>
    </w:p>
    <w:p w14:paraId="4E0AD118" w14:textId="77777777" w:rsidR="00826055" w:rsidRPr="002F2FDF" w:rsidRDefault="00826055" w:rsidP="0083075A">
      <w:pPr>
        <w:pStyle w:val="ae"/>
        <w:spacing w:before="0" w:after="0"/>
        <w:jc w:val="both"/>
        <w:rPr>
          <w:color w:val="000000" w:themeColor="text1"/>
          <w:kern w:val="2"/>
          <w:sz w:val="16"/>
          <w:szCs w:val="16"/>
        </w:rPr>
      </w:pPr>
      <w:r w:rsidRPr="002F2FDF">
        <w:rPr>
          <w:color w:val="000000" w:themeColor="text1"/>
          <w:kern w:val="2"/>
          <w:sz w:val="16"/>
          <w:szCs w:val="16"/>
        </w:rPr>
        <w:t>Епископ Камчатский Нестор (Анисимов), ставший свидетелем кровопролития в Москве и оказывавший помощь раненым, позднее писал: «Русское оружие, в котором ощущался недостаток для обороны от сильно вооруженного неприятеля на фронте в начале войны, ныне было заготовлено, но, к ужасу нашей Родины, оно было обращено не на неприятеля, а в своих же русских братьев, на расстрел своих родных городов и святынь. &lt;...&gt; В продолжение восьми дней, сидя в подвалах, несчастные московские обыватели в районах обстрелов вынуждены были страдать и голодать, так как всякий выход из дома или подвала угрожал быть намеренно или ненамеренно убитым и застреленным. &lt;...&gt; Между Царь-пушкой и Чудовым монастырем я увидел, как неизвестный мне полковник отбивался от разъяренной окружавшей его многолюдной толпы озверевших солдат. Солдаты толкали и били его прикладами и кололи штыками. Полковник окровавленными руками хватался за штыки, ему прокалывали руки и наносили глубокие раны, он что-то пытался выкрикивать, но никто его не слушал, только кричали, чтобы немедленно его расстрелять»</w:t>
      </w:r>
      <w:r w:rsidR="00DF5463" w:rsidRPr="002F2FDF">
        <w:rPr>
          <w:color w:val="000000" w:themeColor="text1"/>
          <w:kern w:val="2"/>
          <w:sz w:val="16"/>
          <w:szCs w:val="16"/>
        </w:rPr>
        <w:t xml:space="preserve"> (17045)</w:t>
      </w:r>
      <w:r w:rsidRPr="002F2FDF">
        <w:rPr>
          <w:color w:val="000000" w:themeColor="text1"/>
          <w:kern w:val="2"/>
          <w:sz w:val="16"/>
          <w:szCs w:val="16"/>
        </w:rPr>
        <w:t>.</w:t>
      </w:r>
    </w:p>
    <w:p w14:paraId="1004542C" w14:textId="77777777" w:rsidR="00826055" w:rsidRPr="002F2FDF" w:rsidRDefault="00826055" w:rsidP="0083075A">
      <w:pPr>
        <w:spacing w:after="0" w:line="240" w:lineRule="auto"/>
        <w:jc w:val="both"/>
        <w:rPr>
          <w:rFonts w:ascii="Times New Roman" w:hAnsi="Times New Roman" w:cs="Times New Roman"/>
          <w:bCs/>
          <w:color w:val="000000" w:themeColor="text1"/>
          <w:kern w:val="2"/>
          <w:sz w:val="16"/>
          <w:szCs w:val="16"/>
        </w:rPr>
      </w:pPr>
    </w:p>
    <w:p w14:paraId="111DD648" w14:textId="77777777" w:rsidR="00697B1B" w:rsidRPr="002F2FDF" w:rsidRDefault="00697B1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2 (15) ноября </w:t>
      </w:r>
      <w:r w:rsidRPr="002F2FDF">
        <w:rPr>
          <w:rFonts w:ascii="Times New Roman" w:hAnsi="Times New Roman" w:cs="Times New Roman"/>
          <w:color w:val="000000" w:themeColor="text1"/>
          <w:kern w:val="2"/>
          <w:sz w:val="16"/>
          <w:szCs w:val="16"/>
        </w:rPr>
        <w:t>в 1917 году Марина Цветаева, подъезжая к Орлу, писала своему мужу Сергею Эфрону, участвовавшему в боях с большевиками в Москве: "Если Вы живы, если мне суждено еще раз с Вами увидеться, - слушайте: вчера прочла в газете "Южный край" - в Москве 9000 убитых... Если Бог сделает это чудо - оставит Вас в живых, я буду ходить за Вами, как собака" (14831).</w:t>
      </w:r>
    </w:p>
    <w:p w14:paraId="40B247C5" w14:textId="77777777" w:rsidR="00697B1B" w:rsidRPr="002F2FDF" w:rsidRDefault="00697B1B" w:rsidP="0083075A">
      <w:pPr>
        <w:spacing w:after="0" w:line="240" w:lineRule="auto"/>
        <w:jc w:val="both"/>
        <w:rPr>
          <w:rFonts w:ascii="Times New Roman" w:hAnsi="Times New Roman" w:cs="Times New Roman"/>
          <w:color w:val="000000" w:themeColor="text1"/>
          <w:kern w:val="2"/>
          <w:sz w:val="16"/>
          <w:szCs w:val="16"/>
        </w:rPr>
      </w:pPr>
    </w:p>
    <w:p w14:paraId="1278329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ноября 1917 на Дону генерал Михаил Алексеев приступил к созданию Добровольческой белой армии (4962).</w:t>
      </w:r>
    </w:p>
    <w:p w14:paraId="2838FB5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0FB69D"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 (15) ноября </w:t>
      </w:r>
      <w:r w:rsidRPr="002F2FDF">
        <w:rPr>
          <w:rFonts w:ascii="Times New Roman" w:hAnsi="Times New Roman" w:cs="Times New Roman"/>
          <w:color w:val="000000" w:themeColor="text1"/>
          <w:kern w:val="2"/>
          <w:sz w:val="16"/>
          <w:szCs w:val="16"/>
        </w:rPr>
        <w:t>в 1917 году в Новочеркасске было образовано "Белое Движение" для борьбы с советской властью (14818).</w:t>
      </w:r>
    </w:p>
    <w:p w14:paraId="4EDD75BB"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p>
    <w:p w14:paraId="20FA78D4"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 (15) ноября </w:t>
      </w:r>
      <w:r w:rsidRPr="002F2FDF">
        <w:rPr>
          <w:rFonts w:ascii="Times New Roman" w:hAnsi="Times New Roman" w:cs="Times New Roman"/>
          <w:color w:val="000000" w:themeColor="text1"/>
          <w:kern w:val="2"/>
          <w:sz w:val="16"/>
          <w:szCs w:val="16"/>
        </w:rPr>
        <w:t>в 1917 году Михаил Васильевич Алексеев по согласованию с донским атаманом генералом А.М.Калединым приступает в Новочеркасске к формированию воинских частей из офицеров и юнкеров «Алексеевской организации» (насчитывает около 400-500 человек) (14818).</w:t>
      </w:r>
    </w:p>
    <w:p w14:paraId="43FA1417" w14:textId="77777777" w:rsidR="00A713EB" w:rsidRPr="002F2FDF" w:rsidRDefault="00A713EB" w:rsidP="0083075A">
      <w:pPr>
        <w:spacing w:after="0" w:line="240" w:lineRule="auto"/>
        <w:jc w:val="both"/>
        <w:rPr>
          <w:rFonts w:ascii="Times New Roman" w:hAnsi="Times New Roman" w:cs="Times New Roman"/>
          <w:color w:val="000000" w:themeColor="text1"/>
          <w:kern w:val="2"/>
          <w:sz w:val="16"/>
          <w:szCs w:val="16"/>
        </w:rPr>
      </w:pPr>
    </w:p>
    <w:p w14:paraId="6BE17D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 (15) ноября 1917 г М.В.Алексеев в Новочеркасске приступил к формированию Алексеевской офицерской организации - Алексеевской организации офицеров и юнкеров (3908,269), ставшей потом ядром Добровольческой армии (3398,399).</w:t>
      </w:r>
    </w:p>
    <w:p w14:paraId="448E60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1B07D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909B9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10B7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ноября 1917 завод А.А.Анатра получил заказ на 50 (2843,12) Анадва В.Н.Хиони для эскадры воздушных кораблей (2843,12), страдавших от недостатка поставки ИМ, но успели сделать только несколько (553,81).</w:t>
      </w:r>
    </w:p>
    <w:p w14:paraId="0D4B5C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Заказ был на 50 машин для замены ИМ (92,176).</w:t>
      </w:r>
    </w:p>
    <w:p w14:paraId="1F1BAD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D8CC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ноября 1917-го последовал заказ на 50 экземпляров двухвостки Хиони на заводе Анатра, который по причине осложнившейся политической обстановки не был реализован (9806).</w:t>
      </w:r>
    </w:p>
    <w:p w14:paraId="2F3849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5C05B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ноября 1917 года завод Анатра получил за</w:t>
      </w:r>
      <w:r w:rsidRPr="002F2FDF">
        <w:rPr>
          <w:rFonts w:ascii="Times New Roman" w:hAnsi="Times New Roman" w:cs="Times New Roman"/>
          <w:color w:val="000000" w:themeColor="text1"/>
          <w:kern w:val="2"/>
          <w:sz w:val="16"/>
          <w:szCs w:val="16"/>
        </w:rPr>
        <w:softHyphen/>
        <w:t>каз, который полностью остался невыполненным, но уже из-за революционных событий. Имеются сведе</w:t>
      </w:r>
      <w:r w:rsidRPr="002F2FDF">
        <w:rPr>
          <w:rFonts w:ascii="Times New Roman" w:hAnsi="Times New Roman" w:cs="Times New Roman"/>
          <w:color w:val="000000" w:themeColor="text1"/>
          <w:kern w:val="2"/>
          <w:sz w:val="16"/>
          <w:szCs w:val="16"/>
        </w:rPr>
        <w:softHyphen/>
        <w:t>ния о том, что завод успел построить несколько эк</w:t>
      </w:r>
      <w:r w:rsidRPr="002F2FDF">
        <w:rPr>
          <w:rFonts w:ascii="Times New Roman" w:hAnsi="Times New Roman" w:cs="Times New Roman"/>
          <w:color w:val="000000" w:themeColor="text1"/>
          <w:kern w:val="2"/>
          <w:sz w:val="16"/>
          <w:szCs w:val="16"/>
        </w:rPr>
        <w:softHyphen/>
        <w:t>земпляров самолета “Анадва” тип ВХ (“Двухвостка” Хиони, “Двухвостка”, “Анатра-Хиони” № 4). В 1917 году Эскадра Воздушных кораблей, ис</w:t>
      </w:r>
      <w:r w:rsidRPr="002F2FDF">
        <w:rPr>
          <w:rFonts w:ascii="Times New Roman" w:hAnsi="Times New Roman" w:cs="Times New Roman"/>
          <w:color w:val="000000" w:themeColor="text1"/>
          <w:kern w:val="2"/>
          <w:sz w:val="16"/>
          <w:szCs w:val="16"/>
        </w:rPr>
        <w:softHyphen/>
        <w:t>пытывающая трудности со снабжением ее “Муром</w:t>
      </w:r>
      <w:r w:rsidRPr="002F2FDF">
        <w:rPr>
          <w:rFonts w:ascii="Times New Roman" w:hAnsi="Times New Roman" w:cs="Times New Roman"/>
          <w:color w:val="000000" w:themeColor="text1"/>
          <w:kern w:val="2"/>
          <w:sz w:val="16"/>
          <w:szCs w:val="16"/>
        </w:rPr>
        <w:softHyphen/>
        <w:t>цами”, настойчиво ходатайствовала о заказе пятиде</w:t>
      </w:r>
      <w:r w:rsidRPr="002F2FDF">
        <w:rPr>
          <w:rFonts w:ascii="Times New Roman" w:hAnsi="Times New Roman" w:cs="Times New Roman"/>
          <w:color w:val="000000" w:themeColor="text1"/>
          <w:kern w:val="2"/>
          <w:sz w:val="16"/>
          <w:szCs w:val="16"/>
        </w:rPr>
        <w:softHyphen/>
        <w:t>сяти “Двухвосток”. Можно с достаточным основани</w:t>
      </w:r>
      <w:r w:rsidRPr="002F2FDF">
        <w:rPr>
          <w:rFonts w:ascii="Times New Roman" w:hAnsi="Times New Roman" w:cs="Times New Roman"/>
          <w:color w:val="000000" w:themeColor="text1"/>
          <w:kern w:val="2"/>
          <w:sz w:val="16"/>
          <w:szCs w:val="16"/>
        </w:rPr>
        <w:softHyphen/>
        <w:t>ем предполагать, что основную роль в задержке с испытаниями самолета сыграло могущественное вли</w:t>
      </w:r>
      <w:r w:rsidRPr="002F2FDF">
        <w:rPr>
          <w:rFonts w:ascii="Times New Roman" w:hAnsi="Times New Roman" w:cs="Times New Roman"/>
          <w:color w:val="000000" w:themeColor="text1"/>
          <w:kern w:val="2"/>
          <w:sz w:val="16"/>
          <w:szCs w:val="16"/>
        </w:rPr>
        <w:softHyphen/>
        <w:t>яние акционеров Русско-Балтийского Вагонного за</w:t>
      </w:r>
      <w:r w:rsidRPr="002F2FDF">
        <w:rPr>
          <w:rFonts w:ascii="Times New Roman" w:hAnsi="Times New Roman" w:cs="Times New Roman"/>
          <w:color w:val="000000" w:themeColor="text1"/>
          <w:kern w:val="2"/>
          <w:sz w:val="16"/>
          <w:szCs w:val="16"/>
        </w:rPr>
        <w:softHyphen/>
        <w:t>вода, опасавшихся всякой конкуренции строивше</w:t>
      </w:r>
      <w:r w:rsidRPr="002F2FDF">
        <w:rPr>
          <w:rFonts w:ascii="Times New Roman" w:hAnsi="Times New Roman" w:cs="Times New Roman"/>
          <w:color w:val="000000" w:themeColor="text1"/>
          <w:kern w:val="2"/>
          <w:sz w:val="16"/>
          <w:szCs w:val="16"/>
        </w:rPr>
        <w:softHyphen/>
        <w:t>муся на РБВЗ самолету “Илья Муромец” и прини</w:t>
      </w:r>
      <w:r w:rsidRPr="002F2FDF">
        <w:rPr>
          <w:rFonts w:ascii="Times New Roman" w:hAnsi="Times New Roman" w:cs="Times New Roman"/>
          <w:color w:val="000000" w:themeColor="text1"/>
          <w:kern w:val="2"/>
          <w:sz w:val="16"/>
          <w:szCs w:val="16"/>
        </w:rPr>
        <w:softHyphen/>
        <w:t xml:space="preserve">мавших все меры к недопущению в армию многомоторных </w:t>
      </w:r>
      <w:r w:rsidRPr="002F2FDF">
        <w:rPr>
          <w:rFonts w:ascii="Times New Roman" w:hAnsi="Times New Roman" w:cs="Times New Roman"/>
          <w:iCs/>
          <w:color w:val="000000" w:themeColor="text1"/>
          <w:kern w:val="2"/>
          <w:sz w:val="16"/>
          <w:szCs w:val="16"/>
        </w:rPr>
        <w:t xml:space="preserve">самолетов </w:t>
      </w:r>
      <w:r w:rsidRPr="002F2FDF">
        <w:rPr>
          <w:rFonts w:ascii="Times New Roman" w:hAnsi="Times New Roman" w:cs="Times New Roman"/>
          <w:color w:val="000000" w:themeColor="text1"/>
          <w:kern w:val="2"/>
          <w:sz w:val="16"/>
          <w:szCs w:val="16"/>
        </w:rPr>
        <w:t>других фирм. И все же после дополнительных испытаний, про</w:t>
      </w:r>
      <w:r w:rsidRPr="002F2FDF">
        <w:rPr>
          <w:rFonts w:ascii="Times New Roman" w:hAnsi="Times New Roman" w:cs="Times New Roman"/>
          <w:color w:val="000000" w:themeColor="text1"/>
          <w:kern w:val="2"/>
          <w:sz w:val="16"/>
          <w:szCs w:val="16"/>
        </w:rPr>
        <w:softHyphen/>
        <w:t>веденных летчиками Эскадры Р.Л.Нижевским и Г.В.Алехновичем, самолет получил положительное заключение, и (553).</w:t>
      </w:r>
    </w:p>
    <w:p w14:paraId="6E54D49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6C6F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ноября 1917 г. 50 машин модели “Анадва” тип ВХ (“Двухвостка” Хиони, “Двухвостка”, “Анатра-Хиони” № 4) были заказаны для Эскадры воздушных кораблей, страдавшей от не</w:t>
      </w:r>
      <w:r w:rsidRPr="002F2FDF">
        <w:rPr>
          <w:rFonts w:ascii="Times New Roman" w:hAnsi="Times New Roman" w:cs="Times New Roman"/>
          <w:color w:val="000000" w:themeColor="text1"/>
          <w:kern w:val="2"/>
          <w:sz w:val="16"/>
          <w:szCs w:val="16"/>
        </w:rPr>
        <w:softHyphen/>
        <w:t>регулярных поставок многомоторных "Муромцев" производства Р-БВЗ. Контракту не суж</w:t>
      </w:r>
      <w:r w:rsidRPr="002F2FDF">
        <w:rPr>
          <w:rFonts w:ascii="Times New Roman" w:hAnsi="Times New Roman" w:cs="Times New Roman"/>
          <w:color w:val="000000" w:themeColor="text1"/>
          <w:kern w:val="2"/>
          <w:sz w:val="16"/>
          <w:szCs w:val="16"/>
        </w:rPr>
        <w:softHyphen/>
        <w:t>дено было осуществиться, но после гражданской войны в 1921 г. В.Н. Хиони сумел отре</w:t>
      </w:r>
      <w:r w:rsidRPr="002F2FDF">
        <w:rPr>
          <w:rFonts w:ascii="Times New Roman" w:hAnsi="Times New Roman" w:cs="Times New Roman"/>
          <w:color w:val="000000" w:themeColor="text1"/>
          <w:kern w:val="2"/>
          <w:sz w:val="16"/>
          <w:szCs w:val="16"/>
        </w:rPr>
        <w:softHyphen/>
        <w:t>монтировать один из прототипов, установить на нем двигатели "Сальмсон" 160 л.с. и пере</w:t>
      </w:r>
      <w:r w:rsidRPr="002F2FDF">
        <w:rPr>
          <w:rFonts w:ascii="Times New Roman" w:hAnsi="Times New Roman" w:cs="Times New Roman"/>
          <w:color w:val="000000" w:themeColor="text1"/>
          <w:kern w:val="2"/>
          <w:sz w:val="16"/>
          <w:szCs w:val="16"/>
        </w:rPr>
        <w:softHyphen/>
        <w:t>лететь в Москву, где аппарат эксплуатировался вплоть до 1923 г. (2843).</w:t>
      </w:r>
    </w:p>
    <w:p w14:paraId="26093E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9F2064" w14:textId="77777777" w:rsidR="003431D2" w:rsidRPr="002F2FDF" w:rsidRDefault="003431D2" w:rsidP="0083075A">
      <w:pPr>
        <w:tabs>
          <w:tab w:val="left" w:pos="44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ноября 1917 г. последо</w:t>
      </w:r>
      <w:r w:rsidRPr="002F2FDF">
        <w:rPr>
          <w:rFonts w:ascii="Times New Roman" w:hAnsi="Times New Roman" w:cs="Times New Roman"/>
          <w:color w:val="000000" w:themeColor="text1"/>
          <w:kern w:val="2"/>
          <w:sz w:val="16"/>
          <w:szCs w:val="16"/>
        </w:rPr>
        <w:softHyphen/>
        <w:t>вал заказ на 50 экземпляров“Анадва” тип ВХ, который по при</w:t>
      </w:r>
      <w:r w:rsidRPr="002F2FDF">
        <w:rPr>
          <w:rFonts w:ascii="Times New Roman" w:hAnsi="Times New Roman" w:cs="Times New Roman"/>
          <w:color w:val="000000" w:themeColor="text1"/>
          <w:kern w:val="2"/>
          <w:sz w:val="16"/>
          <w:szCs w:val="16"/>
        </w:rPr>
        <w:softHyphen/>
        <w:t>чине осложнившейся политической обстанов</w:t>
      </w:r>
      <w:r w:rsidRPr="002F2FDF">
        <w:rPr>
          <w:rFonts w:ascii="Times New Roman" w:hAnsi="Times New Roman" w:cs="Times New Roman"/>
          <w:color w:val="000000" w:themeColor="text1"/>
          <w:kern w:val="2"/>
          <w:sz w:val="16"/>
          <w:szCs w:val="16"/>
        </w:rPr>
        <w:softHyphen/>
        <w:t>ки не был реализован. Одновременно с сухопутным назначением, Хиони надеялся использовать свой двухфюзе</w:t>
      </w:r>
      <w:r w:rsidRPr="002F2FDF">
        <w:rPr>
          <w:rFonts w:ascii="Times New Roman" w:hAnsi="Times New Roman" w:cs="Times New Roman"/>
          <w:color w:val="000000" w:themeColor="text1"/>
          <w:kern w:val="2"/>
          <w:sz w:val="16"/>
          <w:szCs w:val="16"/>
        </w:rPr>
        <w:softHyphen/>
        <w:t>ляжный самолет в морском варианте. Для этого в середине 1917 г. «Двухвостку» обору</w:t>
      </w:r>
      <w:r w:rsidRPr="002F2FDF">
        <w:rPr>
          <w:rFonts w:ascii="Times New Roman" w:hAnsi="Times New Roman" w:cs="Times New Roman"/>
          <w:color w:val="000000" w:themeColor="text1"/>
          <w:kern w:val="2"/>
          <w:sz w:val="16"/>
          <w:szCs w:val="16"/>
        </w:rPr>
        <w:softHyphen/>
        <w:t>довали поплавковым шасси и испытали на Черном море в районе Одессы. 11 августа 1917 г. самолет, управляемый конструктором, потерпел аварию при посадке на воду, при этом пассажир, находящийся в верхней каби</w:t>
      </w:r>
      <w:r w:rsidRPr="002F2FDF">
        <w:rPr>
          <w:rFonts w:ascii="Times New Roman" w:hAnsi="Times New Roman" w:cs="Times New Roman"/>
          <w:color w:val="000000" w:themeColor="text1"/>
          <w:kern w:val="2"/>
          <w:sz w:val="16"/>
          <w:szCs w:val="16"/>
        </w:rPr>
        <w:softHyphen/>
        <w:t>не, выпал из нее и утонул. Не смотря на значи</w:t>
      </w:r>
      <w:r w:rsidRPr="002F2FDF">
        <w:rPr>
          <w:rFonts w:ascii="Times New Roman" w:hAnsi="Times New Roman" w:cs="Times New Roman"/>
          <w:color w:val="000000" w:themeColor="text1"/>
          <w:kern w:val="2"/>
          <w:sz w:val="16"/>
          <w:szCs w:val="16"/>
        </w:rPr>
        <w:softHyphen/>
        <w:t>тельный интерес к «Двухвостке» в морском варианте, дальнейшего продолжения эти опыты не имели (11973).</w:t>
      </w:r>
    </w:p>
    <w:p w14:paraId="32AA6C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19F196" w14:textId="5C266AB0" w:rsidR="00C27B4B" w:rsidRPr="002F2FDF" w:rsidRDefault="00C27B4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w:t>
      </w:r>
      <w:r w:rsidR="00B6143B">
        <w:rPr>
          <w:rFonts w:ascii="Times New Roman" w:hAnsi="Times New Roman" w:cs="Times New Roman"/>
          <w:color w:val="000000" w:themeColor="text1"/>
          <w:kern w:val="2"/>
          <w:sz w:val="16"/>
          <w:szCs w:val="16"/>
        </w:rPr>
        <w:t>6</w:t>
      </w:r>
      <w:r w:rsidRPr="002F2FDF">
        <w:rPr>
          <w:rFonts w:ascii="Times New Roman" w:hAnsi="Times New Roman" w:cs="Times New Roman"/>
          <w:color w:val="000000" w:themeColor="text1"/>
          <w:kern w:val="2"/>
          <w:sz w:val="16"/>
          <w:szCs w:val="16"/>
        </w:rPr>
        <w:t>) ноября 1917 г. с Анатрой был подписан контракт № 102322/31215, предусматривавший поставку сорока учебных бипланов «Кодрон», призванных заменить в производстве «Фарманы». Естественно, ни один самолет этого типа так и не был построен (12252).</w:t>
      </w:r>
    </w:p>
    <w:p w14:paraId="3155F56A" w14:textId="77777777" w:rsidR="00C27B4B" w:rsidRPr="002F2FDF" w:rsidRDefault="00C27B4B" w:rsidP="0083075A">
      <w:pPr>
        <w:spacing w:after="0" w:line="240" w:lineRule="auto"/>
        <w:jc w:val="both"/>
        <w:rPr>
          <w:rFonts w:ascii="Times New Roman" w:hAnsi="Times New Roman" w:cs="Times New Roman"/>
          <w:color w:val="000000" w:themeColor="text1"/>
          <w:kern w:val="2"/>
          <w:sz w:val="16"/>
          <w:szCs w:val="16"/>
        </w:rPr>
      </w:pPr>
    </w:p>
    <w:p w14:paraId="79E6A79D" w14:textId="77777777" w:rsidR="00B6143B" w:rsidRPr="00FB4F67" w:rsidRDefault="00B6143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 (16) ноября 1917 г. последовал за</w:t>
      </w:r>
      <w:r w:rsidRPr="00FB4F67">
        <w:rPr>
          <w:rFonts w:ascii="Times New Roman" w:hAnsi="Times New Roman" w:cs="Times New Roman"/>
          <w:color w:val="0070C0"/>
          <w:sz w:val="16"/>
          <w:szCs w:val="16"/>
        </w:rPr>
        <w:softHyphen/>
        <w:t>каз на 50 экземпляров двухвостки Хиони заводу Анатра, который по причи</w:t>
      </w:r>
      <w:r w:rsidRPr="00FB4F67">
        <w:rPr>
          <w:rFonts w:ascii="Times New Roman" w:hAnsi="Times New Roman" w:cs="Times New Roman"/>
          <w:color w:val="0070C0"/>
          <w:sz w:val="16"/>
          <w:szCs w:val="16"/>
        </w:rPr>
        <w:softHyphen/>
        <w:t>не осложнившейся политической обста</w:t>
      </w:r>
      <w:r w:rsidRPr="00FB4F67">
        <w:rPr>
          <w:rFonts w:ascii="Times New Roman" w:hAnsi="Times New Roman" w:cs="Times New Roman"/>
          <w:color w:val="0070C0"/>
          <w:sz w:val="16"/>
          <w:szCs w:val="16"/>
        </w:rPr>
        <w:softHyphen/>
        <w:t>новки не был реализован (23374).</w:t>
      </w:r>
    </w:p>
    <w:p w14:paraId="20B92E0B" w14:textId="77777777" w:rsidR="00B6143B" w:rsidRPr="00FB4F67" w:rsidRDefault="00B6143B" w:rsidP="0083075A">
      <w:pPr>
        <w:spacing w:after="0" w:line="240" w:lineRule="auto"/>
        <w:jc w:val="both"/>
        <w:rPr>
          <w:rFonts w:ascii="Times New Roman" w:hAnsi="Times New Roman" w:cs="Times New Roman"/>
          <w:color w:val="0070C0"/>
          <w:sz w:val="16"/>
          <w:szCs w:val="16"/>
        </w:rPr>
      </w:pPr>
    </w:p>
    <w:p w14:paraId="7B282725" w14:textId="77777777" w:rsidR="00B6143B" w:rsidRPr="00FB4F67" w:rsidRDefault="00B6143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 (16) ноября 1917 г., уже после Октябрьской революции завод «Анатра» получил заказ на 50 самолетов «Анадва» для перевооружения ЭВК, но это сделано не было (23553).</w:t>
      </w:r>
    </w:p>
    <w:p w14:paraId="4E72BDC3" w14:textId="77777777" w:rsidR="00B6143B" w:rsidRPr="00FB4F67" w:rsidRDefault="00B6143B" w:rsidP="0083075A">
      <w:pPr>
        <w:spacing w:after="0" w:line="240" w:lineRule="auto"/>
        <w:jc w:val="both"/>
        <w:rPr>
          <w:rFonts w:ascii="Times New Roman" w:hAnsi="Times New Roman" w:cs="Times New Roman"/>
          <w:color w:val="0070C0"/>
          <w:sz w:val="16"/>
          <w:szCs w:val="16"/>
        </w:rPr>
      </w:pPr>
    </w:p>
    <w:p w14:paraId="49B4A8E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2C014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D800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ноября 1917 в 11 часов утра состоялась первое заседание совета Народного комиссариата по военным делам. Присутствовали В.А. Антонов-Овсеенко, В.Н. Васильевский, И.Л. Дзевалтовский, Н.В. Крыленко, П.Е. Лазимир, Н.И. Подвойский, Э.М. Склянскнй. Решено: вопросы обороны страны изъять из ведения старого Военного министерства; выделить бюро из трех человек и организовать канцелярию Народного комиссариата по военным делам; упразднить в армии чины и знаки отличия; ликвидировать кадетские корпуса и средние военные учебные заведения; юнкерские училища преобразовать в кратковременные курсы командного состава; установись выборность командного состава; ввести для всех военнослужащих одинаковое денежное содержание (4216).</w:t>
      </w:r>
    </w:p>
    <w:p w14:paraId="329BEE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2C07A0" w14:textId="77777777" w:rsidR="002F382F" w:rsidRPr="002F2FDF" w:rsidRDefault="002F382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3 (16) ноября </w:t>
      </w:r>
      <w:r w:rsidRPr="002F2FDF">
        <w:rPr>
          <w:rFonts w:ascii="Times New Roman" w:hAnsi="Times New Roman" w:cs="Times New Roman"/>
          <w:color w:val="000000" w:themeColor="text1"/>
          <w:kern w:val="2"/>
          <w:sz w:val="16"/>
          <w:szCs w:val="16"/>
        </w:rPr>
        <w:t>в 1917 году Николай Николаевич Духонин, российский генерал-лейтенант становится временно исполняющим обязанности верховного главнокомандующего (14832).</w:t>
      </w:r>
    </w:p>
    <w:p w14:paraId="6B2D42F0" w14:textId="77777777" w:rsidR="002F382F" w:rsidRPr="002F2FDF" w:rsidRDefault="002F382F" w:rsidP="0083075A">
      <w:pPr>
        <w:spacing w:after="0" w:line="240" w:lineRule="auto"/>
        <w:jc w:val="both"/>
        <w:rPr>
          <w:rFonts w:ascii="Times New Roman" w:hAnsi="Times New Roman" w:cs="Times New Roman"/>
          <w:color w:val="000000" w:themeColor="text1"/>
          <w:kern w:val="2"/>
          <w:sz w:val="16"/>
          <w:szCs w:val="16"/>
        </w:rPr>
      </w:pPr>
    </w:p>
    <w:p w14:paraId="426DEB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ноября 1917 вышел декрет СНК Об уравнении всех военнослужащих в правах (3398,401) - есть и другие даты - 16 и 29 декабря 1917</w:t>
      </w:r>
    </w:p>
    <w:p w14:paraId="0DFAC4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58E29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4F993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9684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ноября 1917 Петроградская городская дума создала Комитет спасения родины и революции (3481).</w:t>
      </w:r>
    </w:p>
    <w:p w14:paraId="5A6C44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908F6E" w14:textId="77777777" w:rsidR="00E450B9" w:rsidRPr="002F2FDF" w:rsidRDefault="00E450B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 (16) ноября 1917. Последний снаряд был выпущен по Кремлю в шесть часов утра. Юнкера, оставшиеся без патронов, сдались. Главная святыня России, твердыня русского духа - Московский Кремль - в горячих, сочащихся кровью ранах, нанесенных рукою своего же народа. Пробоины в главном куполе Успенского собора, стенах Чудова монастыря. Обезглавлена Беклемишеве кая башня, зияет дырами собор Двенадцати апостолов, повреждены Рождественский и Архангельский. Драгоценные украшения патриархов: митры, поручи, а также старинная церковная утварь - выброшены из витрин Патриаршей ризницы и втоптаны в кучи песка и пепла. Стены храма Николая Гостуиского исписаны кощунственными надписями на русском и немецком языках. При входе в него, где хранится великая святыня - часть святых мощей святителя Николая чудотворца, устроено отхожее место. На лике Казанской иконы Божьей Матери, что на Троицких воротах, -пулевые отметины. Расстрелян и образ святителя Николая чудотворца на Никольской башне. На Соборной площади лужа крови, труп юнкера. Победившие большевики издали грозные приказы о немедленном прекращении забастовок, открытии всех магазинов, лавок, трактиров.</w:t>
      </w:r>
    </w:p>
    <w:p w14:paraId="72DB2D60" w14:textId="77777777" w:rsidR="00E450B9" w:rsidRPr="002F2FDF" w:rsidRDefault="00E450B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Прекратили забастовку служащие телеграфа.</w:t>
      </w:r>
    </w:p>
    <w:p w14:paraId="5D68A17A" w14:textId="77777777" w:rsidR="00E450B9" w:rsidRPr="002F2FDF" w:rsidRDefault="00E450B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4 часа дня началось разоружение юнкеров Александровского военного училища (18685).</w:t>
      </w:r>
    </w:p>
    <w:p w14:paraId="1207AADA" w14:textId="77777777" w:rsidR="00E450B9" w:rsidRPr="002F2FDF" w:rsidRDefault="00E450B9" w:rsidP="0083075A">
      <w:pPr>
        <w:spacing w:after="0" w:line="240" w:lineRule="auto"/>
        <w:jc w:val="both"/>
        <w:rPr>
          <w:rFonts w:ascii="Times New Roman" w:hAnsi="Times New Roman" w:cs="Times New Roman"/>
          <w:color w:val="000000" w:themeColor="text1"/>
          <w:sz w:val="16"/>
          <w:szCs w:val="16"/>
        </w:rPr>
      </w:pPr>
    </w:p>
    <w:p w14:paraId="4B3225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ноября 1917 советская власть окончательно победила в Москве (3908,269).</w:t>
      </w:r>
    </w:p>
    <w:p w14:paraId="5DD150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F73F08" w14:textId="77777777" w:rsidR="00A21D78" w:rsidRPr="002F2FDF" w:rsidRDefault="00A21D7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ноября 1917 в Москве Комитет Общественного Спасения признал Советскую власть и сложил оружие. Погибших в уличных боях (240 человек) похоронили у Кремлевской стены, чем начали длинную традицию (12629).</w:t>
      </w:r>
    </w:p>
    <w:p w14:paraId="4539FBBC" w14:textId="77777777" w:rsidR="00A21D78" w:rsidRPr="002F2FDF" w:rsidRDefault="00A21D7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7B2F5D" w14:textId="77777777" w:rsidR="00DF5463" w:rsidRPr="002F2FDF" w:rsidRDefault="00DF5463" w:rsidP="0083075A">
      <w:pPr>
        <w:pStyle w:val="ae"/>
        <w:spacing w:before="0" w:after="0"/>
        <w:jc w:val="both"/>
        <w:rPr>
          <w:color w:val="000000" w:themeColor="text1"/>
          <w:kern w:val="2"/>
          <w:sz w:val="16"/>
          <w:szCs w:val="16"/>
        </w:rPr>
      </w:pPr>
      <w:r w:rsidRPr="002F2FDF">
        <w:rPr>
          <w:color w:val="000000" w:themeColor="text1"/>
          <w:kern w:val="2"/>
          <w:sz w:val="16"/>
          <w:szCs w:val="16"/>
        </w:rPr>
        <w:t>3 (16) ноября 1917 лишь днем сопротивление юнкеров прекратилось окончательно, а их разоружение зачастую сопровождалось убийствами. Историк Алексей Бабурин в книге «Александровское военное училище» описывал такую расправу: «В училище, окруженном многочисленной толпой, шла перепись офицеров и юнкеров. Изможденные, бледные они выходили из училища и здесь же на глазах у толпы их арестовывали красногвардейцы. Сдавшиеся под честное слово большевиков защитники Москвы были повешены здесь же, в Александровском саду, возле стен Кремля, остальные — расстреляны на территории воинских казарм в Лефортово».</w:t>
      </w:r>
    </w:p>
    <w:p w14:paraId="7CD4FB57" w14:textId="77777777" w:rsidR="00DF5463" w:rsidRPr="002F2FDF" w:rsidRDefault="00DF5463" w:rsidP="0083075A">
      <w:pPr>
        <w:pStyle w:val="ae"/>
        <w:spacing w:before="0" w:after="0"/>
        <w:jc w:val="both"/>
        <w:rPr>
          <w:color w:val="000000" w:themeColor="text1"/>
          <w:kern w:val="2"/>
          <w:sz w:val="16"/>
          <w:szCs w:val="16"/>
        </w:rPr>
      </w:pPr>
      <w:r w:rsidRPr="002F2FDF">
        <w:rPr>
          <w:color w:val="000000" w:themeColor="text1"/>
          <w:kern w:val="2"/>
          <w:sz w:val="16"/>
          <w:szCs w:val="16"/>
        </w:rPr>
        <w:t>Епископ Камчатский Нестор (Анисимов), ставший свидетелем кровопролития в Москве и оказывавший помощь раненым, позднее писал: «Русское оружие, в котором ощущался недостаток для обороны от сильно вооруженного неприятеля на фронте в начале войны, ныне было заготовлено, но, к ужасу нашей Родины, оно было обращено не на неприятеля, а в своих же русских братьев, на расстрел своих родных городов и святынь. &lt;...&gt; В продолжение восьми дней, сидя в подвалах, несчастные московские обыватели в районах обстрелов вынуждены были страдать и голодать, так как всякий выход из дома или подвала угрожал быть намеренно или ненамеренно убитым и застреленным. &lt;...&gt; Между Царь-пушкой и Чудовым монастырем я увидел, как неизвестный мне полковник отбивался от разъяренной окружавшей его многолюдной толпы озверевших солдат. Солдаты толкали и били его прикладами и кололи штыками. Полковник окровавленными руками хватался за штыки, ему прокалывали руки и наносили глубокие раны, он что-то пытался выкрикивать, но никто его не слушал, только кричали, чтобы немедленно его расстрелять» (17045).</w:t>
      </w:r>
    </w:p>
    <w:p w14:paraId="11BB42C7" w14:textId="77777777" w:rsidR="00DF5463" w:rsidRPr="002F2FDF" w:rsidRDefault="00DF5463" w:rsidP="0083075A">
      <w:pPr>
        <w:spacing w:after="0" w:line="240" w:lineRule="auto"/>
        <w:jc w:val="both"/>
        <w:rPr>
          <w:rFonts w:ascii="Times New Roman" w:hAnsi="Times New Roman" w:cs="Times New Roman"/>
          <w:bCs/>
          <w:color w:val="000000" w:themeColor="text1"/>
          <w:kern w:val="2"/>
          <w:sz w:val="16"/>
          <w:szCs w:val="16"/>
        </w:rPr>
      </w:pPr>
    </w:p>
    <w:p w14:paraId="57FD7D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3 (16) ноября 1917 была обнародована Декларация прав народов России - самоопределение вплоть до отделения (3481).</w:t>
      </w:r>
    </w:p>
    <w:p w14:paraId="32CAFD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79BA9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8F8DC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3A53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ноября 1917 во Франции Жорж Клемансо сформировал надпартийный кабинет и добился от Парламента почти диктаторских полномочий (3186).</w:t>
      </w:r>
    </w:p>
    <w:p w14:paraId="6E9699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788E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ноября 1917 выходит постановление военного министра Ж.Клемансо N27576 1/11 о разделении русских контингентов на три категории: желающих сражаться вместе с союзниками, добровольцев-рабочих и тех, кто не хочет ни сражаться, ни работать. К сожалению, точные цифры по распределению русских военнослужащих по категориям трияжа отсутствуют. Известно, что самой многочисленной стала третья категория, самой малочисленной - первая. Положение русских военнослужащих в трудовых батальонах (2-я категория) не было везде одинаковым, а зависело от того, как к ним относились на данном предприятии (лесные заготовки, рудники, частные заводы). Известны случаи, когда условия работы оказывались вполне сносными (11035).</w:t>
      </w:r>
    </w:p>
    <w:p w14:paraId="05F289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9D14D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935BC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8B45AA" w14:textId="6DD6765F" w:rsidR="004B3019" w:rsidRPr="002F2FDF" w:rsidRDefault="004B3019"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4-5 (17-18) ноября</w:t>
      </w:r>
      <w:r w:rsidR="00E52569">
        <w:rPr>
          <w:color w:val="000000" w:themeColor="text1"/>
          <w:sz w:val="16"/>
          <w:szCs w:val="16"/>
        </w:rPr>
        <w:t xml:space="preserve"> </w:t>
      </w:r>
      <w:r w:rsidRPr="002F2FDF">
        <w:rPr>
          <w:color w:val="000000" w:themeColor="text1"/>
          <w:sz w:val="16"/>
          <w:szCs w:val="16"/>
        </w:rPr>
        <w:t>1917, выступая на заседании ВЦИК, члены которого хотели закрепить за собой право на утверждение Декретов и других законодательных актов, Ленин заявил: «…</w:t>
      </w:r>
      <w:r w:rsidR="00E52569">
        <w:rPr>
          <w:color w:val="000000" w:themeColor="text1"/>
          <w:sz w:val="16"/>
          <w:szCs w:val="16"/>
        </w:rPr>
        <w:t xml:space="preserve"> </w:t>
      </w:r>
      <w:r w:rsidRPr="002F2FDF">
        <w:rPr>
          <w:rStyle w:val="af0"/>
          <w:i w:val="0"/>
          <w:color w:val="000000" w:themeColor="text1"/>
          <w:sz w:val="16"/>
          <w:szCs w:val="16"/>
        </w:rPr>
        <w:t>власть большевиков опирается на доверие широких народных масс…</w:t>
      </w:r>
      <w:r w:rsidR="00E52569">
        <w:rPr>
          <w:rStyle w:val="af0"/>
          <w:i w:val="0"/>
          <w:color w:val="000000" w:themeColor="text1"/>
          <w:sz w:val="16"/>
          <w:szCs w:val="16"/>
        </w:rPr>
        <w:t xml:space="preserve"> </w:t>
      </w:r>
      <w:r w:rsidRPr="002F2FDF">
        <w:rPr>
          <w:color w:val="000000" w:themeColor="text1"/>
          <w:sz w:val="16"/>
          <w:szCs w:val="16"/>
        </w:rPr>
        <w:t>». Его поддержал Троцкий: «…</w:t>
      </w:r>
      <w:r w:rsidR="00E52569">
        <w:rPr>
          <w:color w:val="000000" w:themeColor="text1"/>
          <w:sz w:val="16"/>
          <w:szCs w:val="16"/>
        </w:rPr>
        <w:t xml:space="preserve"> </w:t>
      </w:r>
      <w:r w:rsidRPr="002F2FDF">
        <w:rPr>
          <w:rStyle w:val="af0"/>
          <w:i w:val="0"/>
          <w:color w:val="000000" w:themeColor="text1"/>
          <w:sz w:val="16"/>
          <w:szCs w:val="16"/>
        </w:rPr>
        <w:t>Наша власть выражает собой действительную волю организованных масс. Пусть декреты не гладки извне, пусть непричесаны и неприглажены, но право живого творчества стоит выше формальной безупречности</w:t>
      </w:r>
      <w:r w:rsidRPr="002F2FDF">
        <w:rPr>
          <w:color w:val="000000" w:themeColor="text1"/>
          <w:sz w:val="16"/>
          <w:szCs w:val="16"/>
        </w:rPr>
        <w:t>». Нерешенным оставался критический вопрос ответственности Совнаркома перед ВЦИКом. Совнарком в этот же день провозгласил, что все его декреты приобретают силу закона с момента их публикации в «Газете Временного Рабочего и Крестьянского Правительства» (18731).</w:t>
      </w:r>
    </w:p>
    <w:p w14:paraId="62FC8C4F" w14:textId="77777777" w:rsidR="004B3019" w:rsidRPr="002F2FDF" w:rsidRDefault="004B3019" w:rsidP="0083075A">
      <w:pPr>
        <w:pStyle w:val="ae"/>
        <w:spacing w:before="0" w:after="0"/>
        <w:jc w:val="both"/>
        <w:rPr>
          <w:color w:val="000000" w:themeColor="text1"/>
          <w:sz w:val="16"/>
          <w:szCs w:val="16"/>
        </w:rPr>
      </w:pPr>
    </w:p>
    <w:p w14:paraId="0D9F8ECA" w14:textId="77777777" w:rsidR="004B3019" w:rsidRPr="002F2FDF" w:rsidRDefault="004B30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 (17) ноября 1917. В Москве спокойно, даже непривычно без стрельбы. Но не работают ни банки, ни телефон, ни телеграф. Трамваи стоят. Комиссаром города с правами командующего округом назначен тыловой солдат АЛ. Муралов. Сбит крест с одной из глав собора Василия Блаженного. Кремлевские ворота на запоре, возле них стража. С этого дня Московский Кремль без особого распоряжения властей стал недоступен жителям Россия.</w:t>
      </w:r>
    </w:p>
    <w:p w14:paraId="3D3597ED" w14:textId="77777777" w:rsidR="004B3019" w:rsidRPr="002F2FDF" w:rsidRDefault="004B30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Москвич М. Н. Щапов записывает. "Смотрел разрушения в городе. Внутри Бульварного кольца трамвайные провода порваны. Много битых стекол. Церковь святого Ев-пла около телефонной станции изрешечена пулями; у иконы разбито стекло, икона цела, перед ней толпится народ... Оба фасада "Метрополя" пробиты снарядами, разбит северо-западный угол Думы. Несколько снарядов разворотили местами Никольские ворота в Кремле... Пострадали башня Кутафья, Троицкие ворота. На Тверской стоят орудия. Улицы полны народа Отзывы в толпе о большевиках больше нелестные. Почтамт и телеграф открылись, перед ними очереди" (18685).</w:t>
      </w:r>
    </w:p>
    <w:p w14:paraId="4C122FF2" w14:textId="77777777" w:rsidR="004B3019" w:rsidRPr="002F2FDF" w:rsidRDefault="004B3019" w:rsidP="0083075A">
      <w:pPr>
        <w:spacing w:after="0" w:line="240" w:lineRule="auto"/>
        <w:jc w:val="both"/>
        <w:rPr>
          <w:rFonts w:ascii="Times New Roman" w:hAnsi="Times New Roman" w:cs="Times New Roman"/>
          <w:color w:val="000000" w:themeColor="text1"/>
          <w:sz w:val="16"/>
          <w:szCs w:val="16"/>
        </w:rPr>
      </w:pPr>
    </w:p>
    <w:p w14:paraId="70C63060" w14:textId="77777777" w:rsidR="001F5364" w:rsidRPr="002F2FDF" w:rsidRDefault="001F5364"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ноября 1917 г.н.с. Военно-революционный комитет распустил Московскую городскую думу и сменил почти весь командный состав гарнизона – революция в Москве победила. Красную Гвардию Москвы возглавлял волновой герой латыш Ян Пече, под его командой красногвардейцы подавили сопротивление юнкеров (17326).</w:t>
      </w:r>
    </w:p>
    <w:p w14:paraId="7E3ACE6E" w14:textId="77777777" w:rsidR="001F5364" w:rsidRPr="002F2FDF" w:rsidRDefault="001F5364"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0E40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ноября 1917 в отставку из правительства (ВЦИК и СНК) ушли Л.Б.Каменев, А.И.Рыков, Г.Е.Зиновьев в знак протеста против отказа В.И.Л. и Л.Б.Т. сформировать коалиционное правительство. На следующий день после Л.Б.Каменева был назначен Я.М.Свердлов (1348,88).</w:t>
      </w:r>
    </w:p>
    <w:p w14:paraId="0ABB46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84D82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ноября 1917 в Советской России создана Продовольственная комиссия для реквизиции продуктов у зажиточных слоев населения (4962).</w:t>
      </w:r>
    </w:p>
    <w:p w14:paraId="7C663F3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9501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ноября 1917 третий Универсал украинской Центральной Рады провозгласил создание Украинской Народной Республики (не порывая с Россией Рада призвала ее преобразоваться в федерацию) (3908,269).</w:t>
      </w:r>
    </w:p>
    <w:p w14:paraId="647676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525F8A" w14:textId="41E1288E" w:rsidR="00175851" w:rsidRPr="00FB4F67" w:rsidRDefault="0017585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4 (17)</w:t>
      </w:r>
      <w:r w:rsidRPr="00FB4F67">
        <w:rPr>
          <w:rFonts w:ascii="Times New Roman" w:hAnsi="Times New Roman" w:cs="Times New Roman"/>
          <w:color w:val="0070C0"/>
          <w:sz w:val="16"/>
          <w:szCs w:val="16"/>
        </w:rPr>
        <w:t xml:space="preserve"> ноября 1917 г. в Поволжье красногвардейцы захватили Царицын (позже известный как Сталинград) (23525).</w:t>
      </w:r>
    </w:p>
    <w:p w14:paraId="5927F71D" w14:textId="77777777" w:rsidR="00175851" w:rsidRPr="00FB4F67" w:rsidRDefault="00175851" w:rsidP="0083075A">
      <w:pPr>
        <w:spacing w:after="0" w:line="240" w:lineRule="auto"/>
        <w:jc w:val="both"/>
        <w:rPr>
          <w:rFonts w:ascii="Times New Roman" w:hAnsi="Times New Roman" w:cs="Times New Roman"/>
          <w:color w:val="0070C0"/>
          <w:sz w:val="16"/>
          <w:szCs w:val="16"/>
        </w:rPr>
      </w:pPr>
    </w:p>
    <w:p w14:paraId="2F9B8BB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D4ADD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175C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ноября 1917 в Палестине британские войска отбили у турков Яффу (3481).</w:t>
      </w:r>
    </w:p>
    <w:p w14:paraId="6756FC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32C21C" w14:textId="1B1114AE" w:rsidR="00D16D02" w:rsidRPr="002F2FDF" w:rsidRDefault="00D16D02" w:rsidP="0083075A">
      <w:pPr>
        <w:pStyle w:val="ae"/>
        <w:spacing w:before="0" w:after="0"/>
        <w:jc w:val="both"/>
        <w:rPr>
          <w:color w:val="000000" w:themeColor="text1"/>
          <w:kern w:val="2"/>
          <w:sz w:val="16"/>
          <w:szCs w:val="16"/>
        </w:rPr>
      </w:pPr>
      <w:r w:rsidRPr="002F2FDF">
        <w:rPr>
          <w:color w:val="000000" w:themeColor="text1"/>
          <w:kern w:val="2"/>
          <w:sz w:val="16"/>
          <w:szCs w:val="16"/>
        </w:rPr>
        <w:t>4 (17) ноября 1917 у южных берегов Ирландии флот Соединенных Шатов одержал первую победу в борьбе с германскими подлодками. В этот день два американских эсминца «Фенинг» и «Николсон» сопровождали конвой транспортов, только вышедших из порта Куинстаун (ныне Ков). Пока пароходы выстраивались в походный ордер, один из эсминцев заметил поблизости ненадолго появившийся над поверхностью перископ. После этого эсминцы согласованно сбросили несколько глубинных бомб, и через пару минут рядом всплыла подлодка U-58 — как позже выяснилось, в результате взрывов глубинных бомб у нее вышли из строя рулевое управление и электромоторы. После того</w:t>
      </w:r>
      <w:r w:rsidR="00E52569">
        <w:rPr>
          <w:color w:val="000000" w:themeColor="text1"/>
          <w:kern w:val="2"/>
          <w:sz w:val="16"/>
          <w:szCs w:val="16"/>
        </w:rPr>
        <w:t xml:space="preserve"> </w:t>
      </w:r>
      <w:r w:rsidRPr="002F2FDF">
        <w:rPr>
          <w:color w:val="000000" w:themeColor="text1"/>
          <w:kern w:val="2"/>
          <w:sz w:val="16"/>
          <w:szCs w:val="16"/>
        </w:rPr>
        <w:t>как эсминцы дали залп из артиллерийских орудий, на лодке открылся люк и на палубе с поднятыми руками выстроилась вся команда — 36 человек, которые были взяты в плен. Лодка же быстро затонула, поскольку в последний момент немецкие моряки успели открыть кингстоны (17045).</w:t>
      </w:r>
    </w:p>
    <w:p w14:paraId="294D58C2" w14:textId="77777777" w:rsidR="00D16D02" w:rsidRPr="002F2FDF" w:rsidRDefault="00D16D0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52C0E1" w14:textId="77777777" w:rsidR="001F5364" w:rsidRPr="002F2FDF" w:rsidRDefault="001F536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 xml:space="preserve">4 (17) ноября 1917 г. германская подлодка UC-51 потоплена британским эсминцем </w:t>
      </w:r>
      <w:r w:rsidRPr="002F2FDF">
        <w:rPr>
          <w:rFonts w:ascii="Times New Roman" w:hAnsi="Times New Roman" w:cs="Times New Roman"/>
          <w:bCs/>
          <w:iCs/>
          <w:color w:val="000000" w:themeColor="text1"/>
          <w:kern w:val="2"/>
          <w:sz w:val="16"/>
          <w:szCs w:val="16"/>
        </w:rPr>
        <w:t>Firedrake (17326).</w:t>
      </w:r>
    </w:p>
    <w:p w14:paraId="5CBE2644" w14:textId="77777777" w:rsidR="001F5364" w:rsidRPr="002F2FDF" w:rsidRDefault="001F536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CEF731" w14:textId="77777777" w:rsidR="001F5364" w:rsidRPr="002F2FDF" w:rsidRDefault="001F536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 xml:space="preserve">4 (17) ноября 1917 г.н.с. германская подлодка U-58 затонула в Бристольском канале от глубинных бомб американского эсминца </w:t>
      </w:r>
      <w:r w:rsidRPr="002F2FDF">
        <w:rPr>
          <w:rFonts w:ascii="Times New Roman" w:hAnsi="Times New Roman" w:cs="Times New Roman"/>
          <w:bCs/>
          <w:iCs/>
          <w:color w:val="000000" w:themeColor="text1"/>
          <w:kern w:val="2"/>
          <w:sz w:val="16"/>
          <w:szCs w:val="16"/>
        </w:rPr>
        <w:t>Fanning (17326)</w:t>
      </w:r>
      <w:r w:rsidRPr="002F2FDF">
        <w:rPr>
          <w:rFonts w:ascii="Times New Roman" w:hAnsi="Times New Roman" w:cs="Times New Roman"/>
          <w:color w:val="000000" w:themeColor="text1"/>
          <w:kern w:val="2"/>
          <w:sz w:val="16"/>
          <w:szCs w:val="16"/>
        </w:rPr>
        <w:t>.</w:t>
      </w:r>
    </w:p>
    <w:p w14:paraId="6FEDC945" w14:textId="77777777" w:rsidR="001F5364" w:rsidRPr="002F2FDF" w:rsidRDefault="001F536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4F5E4C" w14:textId="77777777" w:rsidR="002F382F"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FE13165" w14:textId="77777777" w:rsidR="002F382F" w:rsidRPr="002F2FDF" w:rsidRDefault="002F382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E2F10D" w14:textId="2CDB1234" w:rsidR="00175851" w:rsidRPr="00FB4F67" w:rsidRDefault="0017585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5 (</w:t>
      </w:r>
      <w:r w:rsidRPr="00FB4F67">
        <w:rPr>
          <w:rFonts w:ascii="Times New Roman" w:hAnsi="Times New Roman" w:cs="Times New Roman"/>
          <w:color w:val="0070C0"/>
          <w:sz w:val="16"/>
          <w:szCs w:val="16"/>
        </w:rPr>
        <w:t>18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ноября 1917 г. в Петрограде большевики провозгласили Декларацию солдатских прав, которая включала отмену званий и выборы командиров (23525).</w:t>
      </w:r>
    </w:p>
    <w:p w14:paraId="5B46573D" w14:textId="77777777" w:rsidR="00175851" w:rsidRPr="00FB4F67" w:rsidRDefault="00175851" w:rsidP="0083075A">
      <w:pPr>
        <w:spacing w:after="0" w:line="240" w:lineRule="auto"/>
        <w:jc w:val="both"/>
        <w:rPr>
          <w:rFonts w:ascii="Times New Roman" w:hAnsi="Times New Roman" w:cs="Times New Roman"/>
          <w:color w:val="0070C0"/>
          <w:sz w:val="16"/>
          <w:szCs w:val="16"/>
        </w:rPr>
      </w:pPr>
    </w:p>
    <w:p w14:paraId="348D9EFF" w14:textId="57B3C31D" w:rsidR="00175851" w:rsidRPr="00FB4F67" w:rsidRDefault="0017585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5 (</w:t>
      </w:r>
      <w:r w:rsidRPr="00FB4F67">
        <w:rPr>
          <w:rFonts w:ascii="Times New Roman" w:hAnsi="Times New Roman" w:cs="Times New Roman"/>
          <w:color w:val="0070C0"/>
          <w:sz w:val="16"/>
          <w:szCs w:val="16"/>
        </w:rPr>
        <w:t>18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ноября 1917 г. в полосе Румынского фронта зафиксировано появление более 50 неприятельских летательных аппаратов. Русские, румынские и французские летчики пять раз вступали в воздушные бои с самолетами противника (без каких-либо результатов для противоборствующих сторон). Больше повезло их коллегам на Юго-Западном фронте. В тот же день в районе г. Тарнополь в воздушном бою был поврежден неприятельский аэроплан, снизившийся в расположении своих войск. Двумя днями ранее особо отличились пилоты 1-й боевой авиагруппы ЮЗФ: подполковник А.А. Козаков, прапорщик И.В. Смирнов и старший унтер-офицер А.Д. Ширинкин. В трех воздушных боях им удалось снизить (в расположении противника) три вражеских летательных аппарата (23405).</w:t>
      </w:r>
    </w:p>
    <w:p w14:paraId="38195C54" w14:textId="77777777" w:rsidR="00175851" w:rsidRPr="00FB4F67" w:rsidRDefault="00175851" w:rsidP="0083075A">
      <w:pPr>
        <w:spacing w:after="0" w:line="240" w:lineRule="auto"/>
        <w:jc w:val="both"/>
        <w:rPr>
          <w:rFonts w:ascii="Times New Roman" w:hAnsi="Times New Roman" w:cs="Times New Roman"/>
          <w:color w:val="0070C0"/>
          <w:sz w:val="16"/>
          <w:szCs w:val="16"/>
        </w:rPr>
      </w:pPr>
    </w:p>
    <w:p w14:paraId="0D30DAD8" w14:textId="77777777" w:rsidR="002F382F" w:rsidRPr="002F2FDF" w:rsidRDefault="002F382F"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5 (18) ноября 1917 над селом Лисовицы двухместный «Альбатрос» сбил военлет А.Д.Ширинкин из 7-го отряда истребителей. На следующий день еще одну победу одержали летчики 2-го истребительного авиаотряда при 11-й армии (15464).</w:t>
      </w:r>
    </w:p>
    <w:p w14:paraId="26483A35" w14:textId="77777777" w:rsidR="002F382F" w:rsidRPr="002F2FDF" w:rsidRDefault="002F382F" w:rsidP="0083075A">
      <w:pPr>
        <w:pStyle w:val="2"/>
        <w:spacing w:before="0" w:beforeAutospacing="0" w:after="0" w:afterAutospacing="0"/>
        <w:jc w:val="both"/>
        <w:rPr>
          <w:b w:val="0"/>
          <w:color w:val="000000" w:themeColor="text1"/>
          <w:kern w:val="2"/>
          <w:sz w:val="16"/>
          <w:szCs w:val="16"/>
        </w:rPr>
      </w:pPr>
    </w:p>
    <w:p w14:paraId="3BEDBD6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A87CA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60E4F8" w14:textId="77777777" w:rsidR="00045B2F" w:rsidRPr="002F2FDF" w:rsidRDefault="00045B2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ноября 1917 Петроградский Военно-революционный комитет назначил революционными комиссарами на главный телеграф — А. М. Любовича, С. С. Пестковского, Ю. М. Лещинского-Ленского; на центральную телефонную станцию — В. В. Яковлева, А. Т. Иосафова, Я. И. Вишняка; на почтамт — К. Я. Кадлубовского (11072).</w:t>
      </w:r>
    </w:p>
    <w:p w14:paraId="3E3CC74D" w14:textId="77777777" w:rsidR="00045B2F" w:rsidRPr="002F2FDF" w:rsidRDefault="00045B2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B69A3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ноября 1917 в Москве решением Всероссийского Священного Собора митрополит Тихон был избран Патриархом Московским и Всея Руси (3481), впервые после отмены патриаршества Петром I (4962).</w:t>
      </w:r>
    </w:p>
    <w:p w14:paraId="4446B6C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DF9E40" w14:textId="77777777" w:rsidR="002F382F" w:rsidRPr="002F2FDF" w:rsidRDefault="002F382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5 (18) ноября</w:t>
      </w:r>
      <w:r w:rsidRPr="002F2FDF">
        <w:rPr>
          <w:rFonts w:ascii="Times New Roman" w:hAnsi="Times New Roman" w:cs="Times New Roman"/>
          <w:color w:val="000000" w:themeColor="text1"/>
          <w:kern w:val="2"/>
          <w:sz w:val="16"/>
          <w:szCs w:val="16"/>
        </w:rPr>
        <w:t xml:space="preserve"> в 1917 году первый всероссийский Поместный Собор избрал митрополита Московского Тихона (в миру — Василий Иванович Беллавин, 1865–1925) Патриархом Московским и Всея Руси. 1 февраля 1918 года Тихон предал анафеме большевиков-безбожников. Патриарх писал гневные письма в Совнарком, пытаясь усовестить новых властителей, за что 6 мая 1922 года был заключен под домашний арест в Донском монастыре. Однако Тихон не желал ни уехать за границу, «ни уйти в катакомбы». 16 июня 1923 года появилось заявление Патриарха Тихона в Верховный суд РСФСР, в котором. он признал свою вину и попросил о помиловании. Дело патриарха было закрыто 21 марта 1924 года. Однако власти подчеркивали, что это только амнистия, а на самом деле Патриарх считается преступником по отношению к Советской власти (14834).</w:t>
      </w:r>
    </w:p>
    <w:p w14:paraId="08C6FDE8" w14:textId="77777777" w:rsidR="002F382F" w:rsidRPr="002F2FDF" w:rsidRDefault="002F382F" w:rsidP="0083075A">
      <w:pPr>
        <w:spacing w:after="0" w:line="240" w:lineRule="auto"/>
        <w:jc w:val="both"/>
        <w:rPr>
          <w:rFonts w:ascii="Times New Roman" w:hAnsi="Times New Roman" w:cs="Times New Roman"/>
          <w:color w:val="000000" w:themeColor="text1"/>
          <w:kern w:val="2"/>
          <w:sz w:val="16"/>
          <w:szCs w:val="16"/>
        </w:rPr>
      </w:pPr>
    </w:p>
    <w:p w14:paraId="55075C09" w14:textId="061AC215" w:rsidR="00B76A70" w:rsidRPr="002F2FDF" w:rsidRDefault="00B76A70"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lastRenderedPageBreak/>
        <w:t>5 (18) ноября</w:t>
      </w:r>
      <w:r w:rsidR="00E52569">
        <w:rPr>
          <w:color w:val="000000" w:themeColor="text1"/>
          <w:sz w:val="16"/>
          <w:szCs w:val="16"/>
        </w:rPr>
        <w:t xml:space="preserve"> </w:t>
      </w:r>
      <w:r w:rsidRPr="002F2FDF">
        <w:rPr>
          <w:color w:val="000000" w:themeColor="text1"/>
          <w:sz w:val="16"/>
          <w:szCs w:val="16"/>
        </w:rPr>
        <w:t>1917 в храме Христа Спасителя после литургии и молебна старец Зосимовой пустыни Алексий (Соловьев) вынул жребий пред Владимирской иконой Божией Матери, перенесенной из расстрелянного незадолго перед этим Успенского собора Кремля, и митрополит Киевский Владимир (Богоявленский) огласил имя нового патриарха: «митрополит Тихон» (18371).</w:t>
      </w:r>
    </w:p>
    <w:p w14:paraId="1662AC4C" w14:textId="77777777" w:rsidR="00B76A70" w:rsidRPr="002F2FDF" w:rsidRDefault="00B76A70" w:rsidP="0083075A">
      <w:pPr>
        <w:pStyle w:val="picture-center"/>
        <w:spacing w:before="0" w:beforeAutospacing="0" w:after="0" w:afterAutospacing="0"/>
        <w:jc w:val="both"/>
        <w:rPr>
          <w:iCs/>
          <w:color w:val="000000" w:themeColor="text1"/>
          <w:sz w:val="16"/>
          <w:szCs w:val="16"/>
        </w:rPr>
      </w:pPr>
    </w:p>
    <w:p w14:paraId="6278B015" w14:textId="77777777" w:rsidR="00B76A70" w:rsidRPr="002F2FDF" w:rsidRDefault="00B76A7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 (18) ноября 1917. В переполненном храме Христа Спасителя, вмещавшем двенадцать тысяч человек, после совершения часов митрополит Киевский и Галицкий Владимир на особом столике, поставленном в святом алтаре по левую сторону престола, собственноручно начертал на одинакового вида и размера пергаментах имена трех избранных кандидатов на патриаршество. Засим митрополит Владимир свернул каждый жребий в трубочку, надел на них по резиновому кольцу и вложил в особый ковчежец, где они разместились вполне свободно, встряхнув ковчежец, закрыл и перевязал его тесьмою, концы которой запечатал сургучной печатью. Взявши ковчежец в руки, митрополит Владимир вынес его из святого алтаря на солею и поставил на особо уготовленном тетраподе с левой стороны от царских врат перед малою Владимирскою иконою Божьей Матери.</w:t>
      </w:r>
    </w:p>
    <w:p w14:paraId="4B07F29D" w14:textId="77777777" w:rsidR="00B76A70" w:rsidRPr="002F2FDF" w:rsidRDefault="00B76A7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Во все время божественной литургии при ковчежце безотлучно находились профессор Казанской духовной академии Лапин, профессор Петроградской духовной академии Соколов и крестьянин села Красная Поляна Голоаецкой волости Сибирской епархии Малов. Когда читали Апостол, из Успенского собора принесли чудотворную Владимирскую икону Божьей Матери и поставили на том же тетраподе. где был ковчежец со жребиями. Слушали евангельский текст о воскрешении дочери Иаира и исцелении кровоточащей женщины. И чудилось, что дочь Иаира - символ возрождения Русской Церкви, а исцеление прикоснувшейся к ризе Христовой женщины - выздоровление кровоточащей России. Ах, как хотелось этому верить! И верили.</w:t>
      </w:r>
    </w:p>
    <w:p w14:paraId="0AF35AD6" w14:textId="77777777" w:rsidR="00B76A70" w:rsidRPr="002F2FDF" w:rsidRDefault="00B76A7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 окончании божественной литургии и молебна митрополит Владимир взошел на солею, поднял ковчежец и в виду всех присутствующих сотряс его. Принявши в руки ножницы, владыка разрезал тесьму и поднял с ковчежца крышку. Из алтаря вышел старец - затворник Зосимовой пустыни иеромонах Алексий, уже давно отвыкший видеть земное, но вернувшийся в мир.чтобы исполнить Божию волю. Он долго молился перед чудотворной Владимирской иконой Богоматери, и вместе с ним молился весь храм, потом троекратно осенил себя крестным знамением и благоговейно вынул из ковчежца по указанию Божию" жребий.</w:t>
      </w:r>
    </w:p>
    <w:p w14:paraId="34F08980" w14:textId="77777777" w:rsidR="00B76A70" w:rsidRPr="002F2FDF" w:rsidRDefault="00B76A7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Митрополит Владимир развернул его и прочел:</w:t>
      </w:r>
    </w:p>
    <w:p w14:paraId="0AD7D177" w14:textId="77777777" w:rsidR="00B76A70" w:rsidRPr="002F2FDF" w:rsidRDefault="00B76A7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Митрополит Московский и Коломенский Тихон (18685).</w:t>
      </w:r>
    </w:p>
    <w:p w14:paraId="148B6D2B" w14:textId="77777777" w:rsidR="00B76A70" w:rsidRPr="002F2FDF" w:rsidRDefault="00B76A70" w:rsidP="0083075A">
      <w:pPr>
        <w:spacing w:after="0" w:line="240" w:lineRule="auto"/>
        <w:jc w:val="both"/>
        <w:rPr>
          <w:rFonts w:ascii="Times New Roman" w:hAnsi="Times New Roman" w:cs="Times New Roman"/>
          <w:color w:val="000000" w:themeColor="text1"/>
          <w:sz w:val="16"/>
          <w:szCs w:val="16"/>
        </w:rPr>
      </w:pPr>
    </w:p>
    <w:p w14:paraId="43E7C12B" w14:textId="77777777" w:rsidR="00045B2F" w:rsidRPr="002F2FDF" w:rsidRDefault="00045B2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ноября 1917 в России после 200 летнего перерыва было восстановлено патриаршество (3263,628).</w:t>
      </w:r>
    </w:p>
    <w:p w14:paraId="2CEA7174" w14:textId="77777777" w:rsidR="00045B2F" w:rsidRPr="002F2FDF" w:rsidRDefault="00045B2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0F3905" w14:textId="77777777" w:rsidR="002F382F"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80B5268" w14:textId="77777777" w:rsidR="002F382F" w:rsidRPr="002F2FDF" w:rsidRDefault="002F382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650E3E" w14:textId="77777777" w:rsidR="002F382F" w:rsidRPr="002F2FDF" w:rsidRDefault="002F382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5 (18) ноября</w:t>
      </w:r>
      <w:r w:rsidRPr="002F2FDF">
        <w:rPr>
          <w:rFonts w:ascii="Times New Roman" w:hAnsi="Times New Roman" w:cs="Times New Roman"/>
          <w:color w:val="000000" w:themeColor="text1"/>
          <w:kern w:val="2"/>
          <w:sz w:val="16"/>
          <w:szCs w:val="16"/>
        </w:rPr>
        <w:t xml:space="preserve"> в 1917 году боевое столкновение в Гельголандской бухте. Английские крейсера "Courageous" и "Glorious" обстреливают германские рейдеры "Бруммер" и "Бремзе", но прекращают огонь, так как дульные газы 381-мм орудий начали ломать собственную 25-миллиметровую броневую палубу!</w:t>
      </w:r>
    </w:p>
    <w:p w14:paraId="10E00551" w14:textId="77777777" w:rsidR="002F382F" w:rsidRPr="002F2FDF" w:rsidRDefault="002F382F" w:rsidP="0083075A">
      <w:pPr>
        <w:spacing w:after="0" w:line="240" w:lineRule="auto"/>
        <w:jc w:val="both"/>
        <w:rPr>
          <w:rFonts w:ascii="Times New Roman" w:hAnsi="Times New Roman" w:cs="Times New Roman"/>
          <w:color w:val="000000" w:themeColor="text1"/>
          <w:kern w:val="2"/>
          <w:sz w:val="16"/>
          <w:szCs w:val="16"/>
        </w:rPr>
      </w:pPr>
    </w:p>
    <w:p w14:paraId="7D38AF04" w14:textId="77777777" w:rsidR="001F5364" w:rsidRPr="002F2FDF" w:rsidRDefault="001F536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ноября 1917 г.н.с. германская подлодка UC-47 затонула, от повреждения при таране патрульным британским судном P57 (17326).</w:t>
      </w:r>
    </w:p>
    <w:p w14:paraId="029F2E4F" w14:textId="77777777" w:rsidR="001F5364" w:rsidRPr="002F2FDF" w:rsidRDefault="001F5364" w:rsidP="0083075A">
      <w:pPr>
        <w:spacing w:after="0" w:line="240" w:lineRule="auto"/>
        <w:jc w:val="both"/>
        <w:rPr>
          <w:rFonts w:ascii="Times New Roman" w:hAnsi="Times New Roman" w:cs="Times New Roman"/>
          <w:color w:val="000000" w:themeColor="text1"/>
          <w:kern w:val="2"/>
          <w:sz w:val="16"/>
          <w:szCs w:val="16"/>
        </w:rPr>
      </w:pPr>
    </w:p>
    <w:p w14:paraId="2FC037EF" w14:textId="77777777" w:rsidR="003431D2" w:rsidRPr="002F2FDF" w:rsidRDefault="00CC1BE3"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
          <w:color w:val="000000" w:themeColor="text1"/>
          <w:kern w:val="2"/>
          <w:sz w:val="16"/>
          <w:szCs w:val="16"/>
        </w:rPr>
        <w:t>Авиапромышленность:</w:t>
      </w:r>
    </w:p>
    <w:p w14:paraId="7C2E9E3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79C03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 </w:t>
      </w:r>
      <w:r w:rsidR="00631AD8" w:rsidRPr="002F2FDF">
        <w:rPr>
          <w:rFonts w:ascii="Times New Roman" w:hAnsi="Times New Roman" w:cs="Times New Roman"/>
          <w:color w:val="000000" w:themeColor="text1"/>
          <w:kern w:val="2"/>
          <w:sz w:val="16"/>
          <w:szCs w:val="16"/>
        </w:rPr>
        <w:t xml:space="preserve">(19) </w:t>
      </w:r>
      <w:r w:rsidRPr="002F2FDF">
        <w:rPr>
          <w:rFonts w:ascii="Times New Roman" w:hAnsi="Times New Roman" w:cs="Times New Roman"/>
          <w:color w:val="000000" w:themeColor="text1"/>
          <w:kern w:val="2"/>
          <w:sz w:val="16"/>
          <w:szCs w:val="16"/>
        </w:rPr>
        <w:t>ноября 1917 г. Управле</w:t>
      </w:r>
      <w:r w:rsidRPr="002F2FDF">
        <w:rPr>
          <w:rFonts w:ascii="Times New Roman" w:hAnsi="Times New Roman" w:cs="Times New Roman"/>
          <w:color w:val="000000" w:themeColor="text1"/>
          <w:kern w:val="2"/>
          <w:sz w:val="16"/>
          <w:szCs w:val="16"/>
        </w:rPr>
        <w:softHyphen/>
        <w:t>ние ВВФ выделило еще 5590000 рублей в дополнение к смете в 2000000 руб. на строительство Главного аэродрома, строительство которого велось в Херсоне с 25 сентября. Ведь испыта</w:t>
      </w:r>
      <w:r w:rsidRPr="002F2FDF">
        <w:rPr>
          <w:rFonts w:ascii="Times New Roman" w:hAnsi="Times New Roman" w:cs="Times New Roman"/>
          <w:color w:val="000000" w:themeColor="text1"/>
          <w:kern w:val="2"/>
          <w:sz w:val="16"/>
          <w:szCs w:val="16"/>
        </w:rPr>
        <w:softHyphen/>
        <w:t>тельный центр должен работать и на фронт. Строительные же работы в Херсоне некоторое время продолжались и после революции. Оттуда в адрес Увофлота, теперь уже советского, не</w:t>
      </w:r>
      <w:r w:rsidRPr="002F2FDF">
        <w:rPr>
          <w:rFonts w:ascii="Times New Roman" w:hAnsi="Times New Roman" w:cs="Times New Roman"/>
          <w:color w:val="000000" w:themeColor="text1"/>
          <w:kern w:val="2"/>
          <w:sz w:val="16"/>
          <w:szCs w:val="16"/>
        </w:rPr>
        <w:softHyphen/>
        <w:t>прерывно продолжали идти запросы на денежные ссуды. Обновленный состав Увофлота не упускал из своего поля зрения строящийся испытатель</w:t>
      </w:r>
      <w:r w:rsidRPr="002F2FDF">
        <w:rPr>
          <w:rFonts w:ascii="Times New Roman" w:hAnsi="Times New Roman" w:cs="Times New Roman"/>
          <w:color w:val="000000" w:themeColor="text1"/>
          <w:kern w:val="2"/>
          <w:sz w:val="16"/>
          <w:szCs w:val="16"/>
        </w:rPr>
        <w:softHyphen/>
        <w:t>ный центр, всячески намереваясь оказать ему помощь. Последний денеж</w:t>
      </w:r>
      <w:r w:rsidRPr="002F2FDF">
        <w:rPr>
          <w:rFonts w:ascii="Times New Roman" w:hAnsi="Times New Roman" w:cs="Times New Roman"/>
          <w:color w:val="000000" w:themeColor="text1"/>
          <w:kern w:val="2"/>
          <w:sz w:val="16"/>
          <w:szCs w:val="16"/>
        </w:rPr>
        <w:softHyphen/>
        <w:t>ный перевод от имени Увофлота был сделан 8 (21) декабря 1917 г., но... эти деньги до Херсона не дошли. Спустя 9 месяцев, 11 сентября 1918 г., в Уп</w:t>
      </w:r>
      <w:r w:rsidRPr="002F2FDF">
        <w:rPr>
          <w:rFonts w:ascii="Times New Roman" w:hAnsi="Times New Roman" w:cs="Times New Roman"/>
          <w:color w:val="000000" w:themeColor="text1"/>
          <w:kern w:val="2"/>
          <w:sz w:val="16"/>
          <w:szCs w:val="16"/>
        </w:rPr>
        <w:softHyphen/>
        <w:t>равление Воздухофлота пришла очередная телеграмма [39]: “Прошу пе</w:t>
      </w:r>
      <w:r w:rsidRPr="002F2FDF">
        <w:rPr>
          <w:rFonts w:ascii="Times New Roman" w:hAnsi="Times New Roman" w:cs="Times New Roman"/>
          <w:color w:val="000000" w:themeColor="text1"/>
          <w:kern w:val="2"/>
          <w:sz w:val="16"/>
          <w:szCs w:val="16"/>
        </w:rPr>
        <w:softHyphen/>
        <w:t>ревода денег в Херсон авиакомпании. Декабрьская ассигновка задержа</w:t>
      </w:r>
      <w:r w:rsidRPr="002F2FDF">
        <w:rPr>
          <w:rFonts w:ascii="Times New Roman" w:hAnsi="Times New Roman" w:cs="Times New Roman"/>
          <w:color w:val="000000" w:themeColor="text1"/>
          <w:kern w:val="2"/>
          <w:sz w:val="16"/>
          <w:szCs w:val="16"/>
        </w:rPr>
        <w:softHyphen/>
        <w:t>на войной с Украиной. Перевод повторите. Без денег пропадет часть ма</w:t>
      </w:r>
      <w:r w:rsidRPr="002F2FDF">
        <w:rPr>
          <w:rFonts w:ascii="Times New Roman" w:hAnsi="Times New Roman" w:cs="Times New Roman"/>
          <w:color w:val="000000" w:themeColor="text1"/>
          <w:kern w:val="2"/>
          <w:sz w:val="16"/>
          <w:szCs w:val="16"/>
        </w:rPr>
        <w:softHyphen/>
        <w:t>териалов. Тлг. № 327. Фан-дер-Флит”.</w:t>
      </w:r>
    </w:p>
    <w:p w14:paraId="10D0A6A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следующий день после подачи телеграммы №327 Фан-дер-Флит повторил запрос: “Петроград. Авиасовету. Прошу содействовать перево</w:t>
      </w:r>
      <w:r w:rsidRPr="002F2FDF">
        <w:rPr>
          <w:rFonts w:ascii="Times New Roman" w:hAnsi="Times New Roman" w:cs="Times New Roman"/>
          <w:color w:val="000000" w:themeColor="text1"/>
          <w:kern w:val="2"/>
          <w:sz w:val="16"/>
          <w:szCs w:val="16"/>
        </w:rPr>
        <w:softHyphen/>
        <w:t>ду Увофлотом отпущенного кредита авиационных заводов на сумму 3300000 руб. Деньги крайне нужны. Тлг. № 328. Фан-дер-Флит” [39].</w:t>
      </w:r>
    </w:p>
    <w:p w14:paraId="2F95000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этом переписка оборвалась - к Херсону подступила война. Вре</w:t>
      </w:r>
      <w:r w:rsidRPr="002F2FDF">
        <w:rPr>
          <w:rFonts w:ascii="Times New Roman" w:hAnsi="Times New Roman" w:cs="Times New Roman"/>
          <w:color w:val="000000" w:themeColor="text1"/>
          <w:kern w:val="2"/>
          <w:sz w:val="16"/>
          <w:szCs w:val="16"/>
        </w:rPr>
        <w:softHyphen/>
        <w:t>менными хозяевами этих краев стали петлюровцы, австро-германские и турецкие интервенты, а позже и французские. Значительная часть специ</w:t>
      </w:r>
      <w:r w:rsidRPr="002F2FDF">
        <w:rPr>
          <w:rFonts w:ascii="Times New Roman" w:hAnsi="Times New Roman" w:cs="Times New Roman"/>
          <w:color w:val="000000" w:themeColor="text1"/>
          <w:kern w:val="2"/>
          <w:sz w:val="16"/>
          <w:szCs w:val="16"/>
        </w:rPr>
        <w:softHyphen/>
        <w:t>алистов Главного Авиационного центра осталась на юге и попала с вол</w:t>
      </w:r>
      <w:r w:rsidRPr="002F2FDF">
        <w:rPr>
          <w:rFonts w:ascii="Times New Roman" w:hAnsi="Times New Roman" w:cs="Times New Roman"/>
          <w:color w:val="000000" w:themeColor="text1"/>
          <w:kern w:val="2"/>
          <w:sz w:val="16"/>
          <w:szCs w:val="16"/>
        </w:rPr>
        <w:softHyphen/>
        <w:t>ной эмиграции в зарубежные страны. Последние самолёты из Херсона выводили летчики А.Е. Раевский и Н.А. Жемчужин.</w:t>
      </w:r>
    </w:p>
    <w:p w14:paraId="022EACF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Главного аэродрома А.Н. Вегенер 23 февраля 1918 г. всту</w:t>
      </w:r>
      <w:r w:rsidRPr="002F2FDF">
        <w:rPr>
          <w:rFonts w:ascii="Times New Roman" w:hAnsi="Times New Roman" w:cs="Times New Roman"/>
          <w:color w:val="000000" w:themeColor="text1"/>
          <w:kern w:val="2"/>
          <w:sz w:val="16"/>
          <w:szCs w:val="16"/>
        </w:rPr>
        <w:softHyphen/>
        <w:t>пил в Красную Армию и, начиная с 1918 г., добивался возобновления ра</w:t>
      </w:r>
      <w:r w:rsidRPr="002F2FDF">
        <w:rPr>
          <w:rFonts w:ascii="Times New Roman" w:hAnsi="Times New Roman" w:cs="Times New Roman"/>
          <w:color w:val="000000" w:themeColor="text1"/>
          <w:kern w:val="2"/>
          <w:sz w:val="16"/>
          <w:szCs w:val="16"/>
        </w:rPr>
        <w:softHyphen/>
        <w:t>боты Главного аэродрома. В 1918 году создается Совет Главного аэродро</w:t>
      </w:r>
      <w:r w:rsidRPr="002F2FDF">
        <w:rPr>
          <w:rFonts w:ascii="Times New Roman" w:hAnsi="Times New Roman" w:cs="Times New Roman"/>
          <w:color w:val="000000" w:themeColor="text1"/>
          <w:kern w:val="2"/>
          <w:sz w:val="16"/>
          <w:szCs w:val="16"/>
        </w:rPr>
        <w:softHyphen/>
        <w:t>ма, он назначается председателем Совета (11425).</w:t>
      </w:r>
    </w:p>
    <w:p w14:paraId="53AF325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2AF194" w14:textId="77777777" w:rsidR="00531D9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1826733" w14:textId="77777777" w:rsidR="00531D92" w:rsidRPr="002F2FDF" w:rsidRDefault="00531D9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DD0CFB" w14:textId="33813176" w:rsidR="00F00AB7" w:rsidRDefault="00F00AB7"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w:t>
      </w:r>
      <w:r w:rsidRPr="00815ED5">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(19) </w:t>
      </w:r>
      <w:r w:rsidRPr="00815ED5">
        <w:rPr>
          <w:rFonts w:ascii="Times New Roman" w:hAnsi="Times New Roman" w:cs="Times New Roman"/>
          <w:color w:val="0070C0"/>
          <w:sz w:val="16"/>
          <w:szCs w:val="16"/>
        </w:rPr>
        <w:t>ноября</w:t>
      </w:r>
      <w:r>
        <w:rPr>
          <w:rFonts w:ascii="Times New Roman" w:hAnsi="Times New Roman" w:cs="Times New Roman"/>
          <w:color w:val="0070C0"/>
          <w:sz w:val="16"/>
          <w:szCs w:val="16"/>
        </w:rPr>
        <w:t xml:space="preserve"> 1917 г</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к</w:t>
      </w:r>
      <w:r w:rsidRPr="00815ED5">
        <w:rPr>
          <w:rFonts w:ascii="Times New Roman" w:hAnsi="Times New Roman" w:cs="Times New Roman"/>
          <w:color w:val="0070C0"/>
          <w:sz w:val="16"/>
          <w:szCs w:val="16"/>
        </w:rPr>
        <w:t>омандир 7-го авиапарка /Тверь/ доносил начальнику Полевого управления авиации и воздухоплавания о том,</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что авиапарк об</w:t>
      </w:r>
      <w:r>
        <w:rPr>
          <w:rFonts w:ascii="Times New Roman" w:hAnsi="Times New Roman" w:cs="Times New Roman"/>
          <w:color w:val="0070C0"/>
          <w:sz w:val="16"/>
          <w:szCs w:val="16"/>
        </w:rPr>
        <w:t>ъ</w:t>
      </w:r>
      <w:r w:rsidRPr="00815ED5">
        <w:rPr>
          <w:rFonts w:ascii="Times New Roman" w:hAnsi="Times New Roman" w:cs="Times New Roman"/>
          <w:color w:val="0070C0"/>
          <w:sz w:val="16"/>
          <w:szCs w:val="16"/>
        </w:rPr>
        <w:t>явил себя большевистским, и работы большей частью прекращены. Солдаты партиями уходят грузить дрова у частных предпринимателей.</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Все распоряжения о под</w:t>
      </w:r>
      <w:r>
        <w:rPr>
          <w:rFonts w:ascii="Times New Roman" w:hAnsi="Times New Roman" w:cs="Times New Roman"/>
          <w:color w:val="0070C0"/>
          <w:sz w:val="16"/>
          <w:szCs w:val="16"/>
        </w:rPr>
        <w:t>д</w:t>
      </w:r>
      <w:r w:rsidRPr="00815ED5">
        <w:rPr>
          <w:rFonts w:ascii="Times New Roman" w:hAnsi="Times New Roman" w:cs="Times New Roman"/>
          <w:color w:val="0070C0"/>
          <w:sz w:val="16"/>
          <w:szCs w:val="16"/>
        </w:rPr>
        <w:t>ержании дисциплины и порядка в работе встре</w:t>
      </w:r>
      <w:r w:rsidRPr="00815ED5">
        <w:rPr>
          <w:rFonts w:ascii="Times New Roman" w:hAnsi="Times New Roman" w:cs="Times New Roman"/>
          <w:color w:val="0070C0"/>
          <w:sz w:val="16"/>
          <w:szCs w:val="16"/>
        </w:rPr>
        <w:softHyphen/>
        <w:t>чают только отпор.</w:t>
      </w:r>
    </w:p>
    <w:p w14:paraId="5C47AC95" w14:textId="77777777" w:rsidR="00F00AB7" w:rsidRPr="00815ED5" w:rsidRDefault="00F00AB7" w:rsidP="0083075A">
      <w:pPr>
        <w:spacing w:after="0" w:line="240" w:lineRule="auto"/>
        <w:jc w:val="both"/>
        <w:rPr>
          <w:rFonts w:ascii="Times New Roman" w:hAnsi="Times New Roman" w:cs="Times New Roman"/>
          <w:color w:val="0070C0"/>
          <w:sz w:val="16"/>
          <w:szCs w:val="16"/>
        </w:rPr>
      </w:pPr>
      <w:r w:rsidRPr="00815ED5">
        <w:rPr>
          <w:rFonts w:ascii="Times New Roman" w:hAnsi="Times New Roman" w:cs="Times New Roman"/>
          <w:color w:val="0070C0"/>
          <w:sz w:val="16"/>
          <w:szCs w:val="16"/>
        </w:rPr>
        <w:t>/ЦГВ</w:t>
      </w:r>
      <w:r>
        <w:rPr>
          <w:rFonts w:ascii="Times New Roman" w:hAnsi="Times New Roman" w:cs="Times New Roman"/>
          <w:color w:val="0070C0"/>
          <w:sz w:val="16"/>
          <w:szCs w:val="16"/>
        </w:rPr>
        <w:t>И</w:t>
      </w:r>
      <w:r w:rsidRPr="00815ED5">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2008,</w:t>
      </w:r>
      <w:r>
        <w:rPr>
          <w:rFonts w:ascii="Times New Roman" w:hAnsi="Times New Roman" w:cs="Times New Roman"/>
          <w:color w:val="0070C0"/>
          <w:sz w:val="16"/>
          <w:szCs w:val="16"/>
        </w:rPr>
        <w:t xml:space="preserve"> д</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774,</w:t>
      </w:r>
      <w:r>
        <w:rPr>
          <w:rFonts w:ascii="Times New Roman" w:hAnsi="Times New Roman" w:cs="Times New Roman"/>
          <w:color w:val="0070C0"/>
          <w:sz w:val="16"/>
          <w:szCs w:val="16"/>
        </w:rPr>
        <w:t xml:space="preserve"> л</w:t>
      </w:r>
      <w:r w:rsidRPr="00815ED5">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15ED5">
        <w:rPr>
          <w:rFonts w:ascii="Times New Roman" w:hAnsi="Times New Roman" w:cs="Times New Roman"/>
          <w:color w:val="0070C0"/>
          <w:sz w:val="16"/>
          <w:szCs w:val="16"/>
        </w:rPr>
        <w:t>310/</w:t>
      </w:r>
      <w:r>
        <w:rPr>
          <w:rFonts w:ascii="Times New Roman" w:hAnsi="Times New Roman" w:cs="Times New Roman"/>
          <w:color w:val="0070C0"/>
          <w:sz w:val="16"/>
          <w:szCs w:val="16"/>
        </w:rPr>
        <w:t xml:space="preserve"> (23320).</w:t>
      </w:r>
    </w:p>
    <w:p w14:paraId="44B4C132" w14:textId="77777777" w:rsidR="00F00AB7" w:rsidRDefault="00F00AB7" w:rsidP="0083075A">
      <w:pPr>
        <w:spacing w:after="0" w:line="240" w:lineRule="auto"/>
        <w:jc w:val="both"/>
        <w:rPr>
          <w:rFonts w:ascii="Times New Roman" w:hAnsi="Times New Roman" w:cs="Times New Roman"/>
          <w:color w:val="0070C0"/>
          <w:sz w:val="16"/>
          <w:szCs w:val="16"/>
        </w:rPr>
      </w:pPr>
    </w:p>
    <w:p w14:paraId="3F7CACD7" w14:textId="1364CE92" w:rsidR="00B4260C" w:rsidRPr="002F2FDF" w:rsidRDefault="00B4260C" w:rsidP="0083075A">
      <w:pPr>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rPr>
        <w:t>6 (19) ноября 1917 года</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Начальник штаба Главнокому русской армии издает приказ о создании аэрофотограмметрического отдела в составе полевого управления авиации, в задачу которого входила координация всех видов применения аэрофотосъемки в армиях. Но данный приказ уже не мог быть выполнен из-за развала русской армии в связи с революционными событиями в стране (19993).</w:t>
      </w:r>
    </w:p>
    <w:p w14:paraId="2CFF8E3F" w14:textId="77777777" w:rsidR="00B4260C" w:rsidRPr="002F2FDF" w:rsidRDefault="00B4260C" w:rsidP="0083075A">
      <w:pPr>
        <w:spacing w:after="0" w:line="240" w:lineRule="auto"/>
        <w:jc w:val="both"/>
        <w:rPr>
          <w:rFonts w:ascii="Times New Roman" w:hAnsi="Times New Roman" w:cs="Times New Roman"/>
          <w:color w:val="000000" w:themeColor="text1"/>
          <w:sz w:val="16"/>
          <w:szCs w:val="16"/>
        </w:rPr>
      </w:pPr>
    </w:p>
    <w:p w14:paraId="6A40E575" w14:textId="68DBE051" w:rsidR="000A3576" w:rsidRPr="005D7D69" w:rsidRDefault="000A357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 (1</w:t>
      </w:r>
      <w:r w:rsidR="00D11A13">
        <w:rPr>
          <w:rFonts w:ascii="Times New Roman" w:hAnsi="Times New Roman" w:cs="Times New Roman"/>
          <w:color w:val="0070C0"/>
          <w:sz w:val="16"/>
          <w:szCs w:val="16"/>
        </w:rPr>
        <w:t>9</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ноября</w:t>
      </w:r>
      <w:r>
        <w:rPr>
          <w:rFonts w:ascii="Times New Roman" w:hAnsi="Times New Roman" w:cs="Times New Roman"/>
          <w:color w:val="0070C0"/>
          <w:sz w:val="16"/>
          <w:szCs w:val="16"/>
        </w:rPr>
        <w:t xml:space="preserve"> 1817 г. в</w:t>
      </w:r>
      <w:r w:rsidRPr="005D7D69">
        <w:rPr>
          <w:rFonts w:ascii="Times New Roman" w:hAnsi="Times New Roman" w:cs="Times New Roman"/>
          <w:color w:val="0070C0"/>
          <w:sz w:val="16"/>
          <w:szCs w:val="16"/>
        </w:rPr>
        <w:t xml:space="preserve"> московской авиашколе состоялось первое после Октябрь</w:t>
      </w:r>
      <w:r w:rsidRPr="005D7D69">
        <w:rPr>
          <w:rFonts w:ascii="Times New Roman" w:hAnsi="Times New Roman" w:cs="Times New Roman"/>
          <w:color w:val="0070C0"/>
          <w:sz w:val="16"/>
          <w:szCs w:val="16"/>
        </w:rPr>
        <w:softHyphen/>
        <w:t>ской революции об</w:t>
      </w:r>
      <w:r>
        <w:rPr>
          <w:rFonts w:ascii="Times New Roman" w:hAnsi="Times New Roman" w:cs="Times New Roman"/>
          <w:color w:val="0070C0"/>
          <w:sz w:val="16"/>
          <w:szCs w:val="16"/>
        </w:rPr>
        <w:t>щ</w:t>
      </w:r>
      <w:r w:rsidRPr="005D7D69">
        <w:rPr>
          <w:rFonts w:ascii="Times New Roman" w:hAnsi="Times New Roman" w:cs="Times New Roman"/>
          <w:color w:val="0070C0"/>
          <w:sz w:val="16"/>
          <w:szCs w:val="16"/>
        </w:rPr>
        <w:t>ее собрание личного состава.</w:t>
      </w:r>
      <w:r>
        <w:rPr>
          <w:rFonts w:ascii="Times New Roman" w:hAnsi="Times New Roman" w:cs="Times New Roman"/>
          <w:color w:val="0070C0"/>
          <w:sz w:val="16"/>
          <w:szCs w:val="16"/>
        </w:rPr>
        <w:t xml:space="preserve"> С</w:t>
      </w:r>
      <w:r w:rsidRPr="005D7D69">
        <w:rPr>
          <w:rFonts w:ascii="Times New Roman" w:hAnsi="Times New Roman" w:cs="Times New Roman"/>
          <w:color w:val="0070C0"/>
          <w:sz w:val="16"/>
          <w:szCs w:val="16"/>
        </w:rPr>
        <w:t xml:space="preserve">обрание сместило о должностей начальника </w:t>
      </w:r>
      <w:r>
        <w:rPr>
          <w:rFonts w:ascii="Times New Roman" w:hAnsi="Times New Roman" w:cs="Times New Roman"/>
          <w:color w:val="0070C0"/>
          <w:sz w:val="16"/>
          <w:szCs w:val="16"/>
        </w:rPr>
        <w:t>ш</w:t>
      </w:r>
      <w:r w:rsidRPr="005D7D69">
        <w:rPr>
          <w:rFonts w:ascii="Times New Roman" w:hAnsi="Times New Roman" w:cs="Times New Roman"/>
          <w:color w:val="0070C0"/>
          <w:sz w:val="16"/>
          <w:szCs w:val="16"/>
        </w:rPr>
        <w:t xml:space="preserve">колы капитана Б. В. Руднева, его заместителя - поручика Я.Ю.Грингаута и других реакционно настроенных офицеров. Начальником </w:t>
      </w:r>
      <w:r>
        <w:rPr>
          <w:rFonts w:ascii="Times New Roman" w:hAnsi="Times New Roman" w:cs="Times New Roman"/>
          <w:color w:val="0070C0"/>
          <w:sz w:val="16"/>
          <w:szCs w:val="16"/>
        </w:rPr>
        <w:t>ш</w:t>
      </w:r>
      <w:r w:rsidRPr="005D7D69">
        <w:rPr>
          <w:rFonts w:ascii="Times New Roman" w:hAnsi="Times New Roman" w:cs="Times New Roman"/>
          <w:color w:val="0070C0"/>
          <w:sz w:val="16"/>
          <w:szCs w:val="16"/>
        </w:rPr>
        <w:t>кол</w:t>
      </w:r>
      <w:r>
        <w:rPr>
          <w:rFonts w:ascii="Times New Roman" w:hAnsi="Times New Roman" w:cs="Times New Roman"/>
          <w:color w:val="0070C0"/>
          <w:sz w:val="16"/>
          <w:szCs w:val="16"/>
        </w:rPr>
        <w:t>ы</w:t>
      </w:r>
      <w:r w:rsidRPr="005D7D69">
        <w:rPr>
          <w:rFonts w:ascii="Times New Roman" w:hAnsi="Times New Roman" w:cs="Times New Roman"/>
          <w:color w:val="0070C0"/>
          <w:sz w:val="16"/>
          <w:szCs w:val="16"/>
        </w:rPr>
        <w:t xml:space="preserve"> был избран военный летчик подпоручик Бор</w:t>
      </w:r>
      <w:r>
        <w:rPr>
          <w:rFonts w:ascii="Times New Roman" w:hAnsi="Times New Roman" w:cs="Times New Roman"/>
          <w:color w:val="0070C0"/>
          <w:sz w:val="16"/>
          <w:szCs w:val="16"/>
        </w:rPr>
        <w:t>ис</w:t>
      </w:r>
      <w:r w:rsidRPr="005D7D69">
        <w:rPr>
          <w:rFonts w:ascii="Times New Roman" w:hAnsi="Times New Roman" w:cs="Times New Roman"/>
          <w:color w:val="0070C0"/>
          <w:sz w:val="16"/>
          <w:szCs w:val="16"/>
        </w:rPr>
        <w:t xml:space="preserve"> Кон</w:t>
      </w:r>
      <w:r w:rsidRPr="005D7D69">
        <w:rPr>
          <w:rFonts w:ascii="Times New Roman" w:hAnsi="Times New Roman" w:cs="Times New Roman"/>
          <w:color w:val="0070C0"/>
          <w:sz w:val="16"/>
          <w:szCs w:val="16"/>
        </w:rPr>
        <w:softHyphen/>
        <w:t>стантинович Веллинг.</w:t>
      </w:r>
      <w:r>
        <w:rPr>
          <w:rFonts w:ascii="Times New Roman" w:hAnsi="Times New Roman" w:cs="Times New Roman"/>
          <w:color w:val="0070C0"/>
          <w:sz w:val="16"/>
          <w:szCs w:val="16"/>
        </w:rPr>
        <w:t xml:space="preserve"> С</w:t>
      </w:r>
      <w:r w:rsidRPr="005D7D69">
        <w:rPr>
          <w:rFonts w:ascii="Times New Roman" w:hAnsi="Times New Roman" w:cs="Times New Roman"/>
          <w:color w:val="0070C0"/>
          <w:sz w:val="16"/>
          <w:szCs w:val="16"/>
        </w:rPr>
        <w:t xml:space="preserve">обранно постановило возобновить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 7-го нояб</w:t>
      </w:r>
      <w:r w:rsidRPr="005D7D69">
        <w:rPr>
          <w:rFonts w:ascii="Times New Roman" w:hAnsi="Times New Roman" w:cs="Times New Roman"/>
          <w:color w:val="0070C0"/>
          <w:sz w:val="16"/>
          <w:szCs w:val="16"/>
        </w:rPr>
        <w:softHyphen/>
        <w:t>ри деятельность авна</w:t>
      </w:r>
      <w:r>
        <w:rPr>
          <w:rFonts w:ascii="Times New Roman" w:hAnsi="Times New Roman" w:cs="Times New Roman"/>
          <w:color w:val="0070C0"/>
          <w:sz w:val="16"/>
          <w:szCs w:val="16"/>
        </w:rPr>
        <w:t>ш</w:t>
      </w:r>
      <w:r w:rsidRPr="005D7D69">
        <w:rPr>
          <w:rFonts w:ascii="Times New Roman" w:hAnsi="Times New Roman" w:cs="Times New Roman"/>
          <w:color w:val="0070C0"/>
          <w:sz w:val="16"/>
          <w:szCs w:val="16"/>
        </w:rPr>
        <w:t>колы.</w:t>
      </w:r>
    </w:p>
    <w:p w14:paraId="56AFACF8" w14:textId="77777777" w:rsidR="000A3576" w:rsidRDefault="000A3576"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/ЦГА</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24</w:t>
      </w:r>
      <w:r w:rsidRPr="005D7D69">
        <w:rPr>
          <w:rFonts w:ascii="Times New Roman" w:hAnsi="Times New Roman" w:cs="Times New Roman"/>
          <w:color w:val="0070C0"/>
          <w:sz w:val="16"/>
          <w:szCs w:val="16"/>
        </w:rPr>
        <w:t>71</w:t>
      </w:r>
      <w:r>
        <w:rPr>
          <w:rFonts w:ascii="Times New Roman" w:hAnsi="Times New Roman" w:cs="Times New Roman"/>
          <w:color w:val="0070C0"/>
          <w:sz w:val="16"/>
          <w:szCs w:val="16"/>
        </w:rPr>
        <w:t>5</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оп. 1, д</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лл</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1-2/</w:t>
      </w:r>
      <w:r>
        <w:rPr>
          <w:rFonts w:ascii="Times New Roman" w:hAnsi="Times New Roman" w:cs="Times New Roman"/>
          <w:color w:val="0070C0"/>
          <w:sz w:val="16"/>
          <w:szCs w:val="16"/>
        </w:rPr>
        <w:t xml:space="preserve"> (23370).</w:t>
      </w:r>
    </w:p>
    <w:p w14:paraId="2C8B7C6A" w14:textId="77777777" w:rsidR="000A3576" w:rsidRPr="005D7D69" w:rsidRDefault="000A3576" w:rsidP="0083075A">
      <w:pPr>
        <w:spacing w:after="0" w:line="240" w:lineRule="auto"/>
        <w:jc w:val="both"/>
        <w:rPr>
          <w:rFonts w:ascii="Times New Roman" w:hAnsi="Times New Roman" w:cs="Times New Roman"/>
          <w:color w:val="0070C0"/>
          <w:sz w:val="16"/>
          <w:szCs w:val="16"/>
        </w:rPr>
      </w:pPr>
    </w:p>
    <w:p w14:paraId="22BDDE5B" w14:textId="77777777" w:rsidR="00531D92" w:rsidRPr="002F2FDF" w:rsidRDefault="00531D92"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6 (19) ноября </w:t>
      </w:r>
      <w:r w:rsidRPr="002F2FDF">
        <w:rPr>
          <w:rFonts w:ascii="Times New Roman" w:hAnsi="Times New Roman" w:cs="Times New Roman"/>
          <w:color w:val="000000" w:themeColor="text1"/>
          <w:kern w:val="2"/>
          <w:sz w:val="16"/>
          <w:szCs w:val="16"/>
        </w:rPr>
        <w:t>в 1917 году по распоряжению Главнокомандующего генерала Н.Н.Духонина Антон Иванович Деникин, Лавр Георгиевич Корнилов освобождены, как и другие арестованные по корниловскому делу; с документами на имя польского помещика пробрался на Дон (14835).</w:t>
      </w:r>
    </w:p>
    <w:p w14:paraId="690816D5" w14:textId="77777777" w:rsidR="00531D92" w:rsidRPr="002F2FDF" w:rsidRDefault="00531D92" w:rsidP="0083075A">
      <w:pPr>
        <w:spacing w:after="0" w:line="240" w:lineRule="auto"/>
        <w:jc w:val="both"/>
        <w:rPr>
          <w:rFonts w:ascii="Times New Roman" w:hAnsi="Times New Roman" w:cs="Times New Roman"/>
          <w:color w:val="000000" w:themeColor="text1"/>
          <w:kern w:val="2"/>
          <w:sz w:val="16"/>
          <w:szCs w:val="16"/>
        </w:rPr>
      </w:pPr>
    </w:p>
    <w:p w14:paraId="02676781" w14:textId="312E7DC9" w:rsidR="00175851" w:rsidRPr="00FB4F67" w:rsidRDefault="00175851"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 (</w:t>
      </w:r>
      <w:r w:rsidRPr="00FB4F67">
        <w:rPr>
          <w:rFonts w:ascii="Times New Roman" w:hAnsi="Times New Roman" w:cs="Times New Roman"/>
          <w:color w:val="0070C0"/>
          <w:sz w:val="16"/>
          <w:szCs w:val="16"/>
        </w:rPr>
        <w:t>19</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ноября 1917 г. в Петрограде большевики выступили с предложением центральным державам о немедленном перемирии на всех фронтах с целью обсуждения демократического мира (23525).</w:t>
      </w:r>
    </w:p>
    <w:p w14:paraId="53FA6DB8" w14:textId="77777777" w:rsidR="00175851" w:rsidRPr="00FB4F67" w:rsidRDefault="00175851" w:rsidP="0083075A">
      <w:pPr>
        <w:spacing w:after="0" w:line="240" w:lineRule="auto"/>
        <w:jc w:val="both"/>
        <w:rPr>
          <w:rFonts w:ascii="Times New Roman" w:hAnsi="Times New Roman" w:cs="Times New Roman"/>
          <w:color w:val="0070C0"/>
          <w:sz w:val="16"/>
          <w:szCs w:val="16"/>
        </w:rPr>
      </w:pPr>
    </w:p>
    <w:p w14:paraId="7660D80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C4D29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2D2973" w14:textId="77777777" w:rsidR="00103C92" w:rsidRPr="002F2FDF" w:rsidRDefault="00103C92"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6 (19) ноября 1917 г. на заседании СНК обсуждался вопрос о том, что бастующие чиновники получили жалование за 2 месяца вперед по 1 января 1918 г. Было решено: поручить всем комиссарам изучить сметы, и если выяснится правдоподобность этих сведений, то принять самые энергичные меры для возвращения этих денег. СНК предложил служащим или работать, или вернуть деньги. "В случае отказа - судить их, как за воровство народного имущества".</w:t>
      </w:r>
    </w:p>
    <w:p w14:paraId="5A9BE423" w14:textId="77777777" w:rsidR="00103C92" w:rsidRPr="002F2FDF" w:rsidRDefault="00103C92" w:rsidP="0083075A">
      <w:pPr>
        <w:pStyle w:val="a3"/>
        <w:rPr>
          <w:color w:val="000000" w:themeColor="text1"/>
          <w:lang w:val="ru-RU"/>
        </w:rPr>
      </w:pPr>
      <w:r w:rsidRPr="002F2FDF">
        <w:rPr>
          <w:rFonts w:eastAsia="Times New Roman"/>
          <w:color w:val="000000" w:themeColor="text1"/>
          <w:lang w:val="ru-RU" w:eastAsia="ru-RU"/>
        </w:rPr>
        <w:t>Положение для советского правительства складывалось крайне тяжелое. Большевики не могли получить денег. Их просьбы в Госбанк выделить на экстраординарные расходы 10 млн рублей не находили ответа (18085).</w:t>
      </w:r>
    </w:p>
    <w:p w14:paraId="298BF7DF" w14:textId="77777777" w:rsidR="00103C92" w:rsidRPr="002F2FDF" w:rsidRDefault="00103C92" w:rsidP="0083075A">
      <w:pPr>
        <w:pStyle w:val="a3"/>
        <w:rPr>
          <w:color w:val="000000" w:themeColor="text1"/>
          <w:lang w:val="ru-RU"/>
        </w:rPr>
      </w:pPr>
    </w:p>
    <w:p w14:paraId="79B0E1B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ноября 1917 русский экономист А. Богданов впервые применил термин “военный коммунизм”</w:t>
      </w:r>
    </w:p>
    <w:p w14:paraId="11D093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C518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ноября 1917 г Корнилов, Деникин, Лукомский бежали из Быховской тюрьмы на Дон (3481).</w:t>
      </w:r>
    </w:p>
    <w:p w14:paraId="695C99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73B357" w14:textId="77777777" w:rsidR="00A6454A" w:rsidRPr="002F2FDF" w:rsidRDefault="00A6454A"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6 (19) ноября</w:t>
      </w:r>
      <w:r w:rsidRPr="002F2FDF">
        <w:rPr>
          <w:rFonts w:ascii="Times New Roman" w:hAnsi="Times New Roman" w:cs="Times New Roman"/>
          <w:color w:val="000000" w:themeColor="text1"/>
          <w:kern w:val="2"/>
          <w:sz w:val="16"/>
          <w:szCs w:val="16"/>
        </w:rPr>
        <w:t xml:space="preserve"> в 1917 году военачальник П.Н.Краснов бежит из-под домашнего ареста, он сумеет пробраться на Дон, где будет скрываться в станице Константиновской (14822).</w:t>
      </w:r>
    </w:p>
    <w:p w14:paraId="11B3D970" w14:textId="77777777" w:rsidR="00A6454A" w:rsidRPr="002F2FDF" w:rsidRDefault="00A6454A" w:rsidP="0083075A">
      <w:pPr>
        <w:spacing w:after="0" w:line="240" w:lineRule="auto"/>
        <w:jc w:val="both"/>
        <w:rPr>
          <w:rFonts w:ascii="Times New Roman" w:hAnsi="Times New Roman" w:cs="Times New Roman"/>
          <w:color w:val="000000" w:themeColor="text1"/>
          <w:kern w:val="2"/>
          <w:sz w:val="16"/>
          <w:szCs w:val="16"/>
        </w:rPr>
      </w:pPr>
    </w:p>
    <w:p w14:paraId="6524C1CC" w14:textId="77777777" w:rsidR="00714C8B" w:rsidRPr="002F2FDF" w:rsidRDefault="00714C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6 (19) ноября 1917. Москвич RM. Щапов записывает. "Жизнь входит в колею, пошли почтальоны, трамваи, осветились улицы, открылись магазины; перестали спать не раздеваясь".</w:t>
      </w:r>
    </w:p>
    <w:p w14:paraId="4E2B9B15" w14:textId="77777777" w:rsidR="00714C8B" w:rsidRPr="002F2FDF" w:rsidRDefault="00714C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Группа гласных Городской Думы собралась в здании Думы на очередное заседание, но была разогнана представителями ВРК. Тогда они собрались в помещении университета имени Шанявского на Миусской улице и приняли обращение к москвичам не признавать власти Советов и подчиняться только распоряжениям Думы.</w:t>
      </w:r>
    </w:p>
    <w:p w14:paraId="79E944A6" w14:textId="77777777" w:rsidR="00714C8B" w:rsidRPr="002F2FDF" w:rsidRDefault="00714C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Забастовали служащие Городской управы, врачи, учителя и аптечные работники.</w:t>
      </w:r>
    </w:p>
    <w:p w14:paraId="04FB9436" w14:textId="77777777" w:rsidR="00714C8B" w:rsidRPr="002F2FDF" w:rsidRDefault="00714C8B" w:rsidP="0083075A">
      <w:pPr>
        <w:spacing w:after="0" w:line="240" w:lineRule="auto"/>
        <w:jc w:val="both"/>
        <w:rPr>
          <w:rFonts w:ascii="Times New Roman" w:hAnsi="Times New Roman" w:cs="Times New Roman"/>
          <w:color w:val="000000" w:themeColor="text1"/>
          <w:sz w:val="16"/>
          <w:szCs w:val="16"/>
        </w:rPr>
      </w:pPr>
    </w:p>
    <w:p w14:paraId="4271917E" w14:textId="326EC2DA" w:rsidR="00714C8B" w:rsidRPr="002F2FDF" w:rsidRDefault="00714C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6</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(19) ноября 1917 г. МВРК принял декрет о</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печати, согласно которому с</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8</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ноября 1917 г.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Москве разрешался беспрепятственный выход всех органов печати при условии оплаты рабочим 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служащим «прогульного времени» с</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28</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октября по день открытия газеты. Правда, восстанавливая свободу печати, ВРК предупредил, что никакие воззвания, призывающие к</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восстанию против Советов, допущены не будут.</w:t>
      </w:r>
    </w:p>
    <w:p w14:paraId="19E75941" w14:textId="38D42D41" w:rsidR="00714C8B" w:rsidRPr="002F2FDF" w:rsidRDefault="00714C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Москве сложилась противоречивая ситуация: центральные партийные органы выработали определенную политическую линию, закрыв согласно Декрету от 27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октября 1917 г. практически всю буржуазную прессу, а</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МВРК 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Московский совет (МС) провели собственную линию.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Москве действовал собственный, московский декрет о</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печати, разрешавший выход всех газетю</w:t>
      </w:r>
    </w:p>
    <w:p w14:paraId="5B57DB38" w14:textId="2DF1E020" w:rsidR="00714C8B" w:rsidRPr="002F2FDF" w:rsidRDefault="00714C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«Декретом о</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печати» от 27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октября 1917 г. большевики помимо политических проблем решили 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экономические. Наряду с</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закрытием оппозиционных изданий, советская власть стремилась подорвать материально-финансовую базу небольшевистских газет, так как последние имели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своем распоряжении хорошо оборудованные типографии, запасы бумаги 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квалифицированные кадры (19545).</w:t>
      </w:r>
    </w:p>
    <w:p w14:paraId="5481CD8E" w14:textId="77777777" w:rsidR="00714C8B" w:rsidRPr="002F2FDF" w:rsidRDefault="00714C8B" w:rsidP="0083075A">
      <w:pPr>
        <w:spacing w:after="0" w:line="240" w:lineRule="auto"/>
        <w:jc w:val="both"/>
        <w:rPr>
          <w:rFonts w:ascii="Times New Roman" w:hAnsi="Times New Roman" w:cs="Times New Roman"/>
          <w:color w:val="000000" w:themeColor="text1"/>
          <w:sz w:val="16"/>
          <w:szCs w:val="16"/>
        </w:rPr>
      </w:pPr>
    </w:p>
    <w:p w14:paraId="12B7B51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CAB6B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3D86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6 ноября по 7 декабря (с 19 ноября по 20 декабря) 1917 была битва при Камбре (Северная Франция) и англичане впервые массировано применили танки - 476 для прорыва и 73 для обороны, 1 тыс. орудий и 1 тыс. самолетов. за первый день прорвали оборону на 8-10 км вглубь, но из-за слабого взаимодействия пехоты и танков успех был утрачен (2438,269).</w:t>
      </w:r>
    </w:p>
    <w:p w14:paraId="1E5EEF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B9C1C5" w14:textId="77777777" w:rsidR="00AC0AA6" w:rsidRPr="002F2FDF" w:rsidRDefault="00AC0AA6"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6</w:t>
      </w:r>
      <w:r w:rsidRPr="002F2FDF">
        <w:rPr>
          <w:rFonts w:ascii="Times New Roman" w:hAnsi="Times New Roman" w:cs="Times New Roman"/>
          <w:color w:val="000000" w:themeColor="text1"/>
          <w:sz w:val="16"/>
          <w:szCs w:val="16"/>
        </w:rPr>
        <w:t xml:space="preserve"> (19) ноября 1917 заканчивается битва при Капоретто. 27-дневный бой застал итальянскую корпорацию Aeronautico Militare («Военный авиационный корпус») врасплох, и она потеряла большое количество оборудования, но утверждает, что сбила 39 самолетов противника в 70 воздущных боях (20341).</w:t>
      </w:r>
    </w:p>
    <w:p w14:paraId="674B9F78" w14:textId="77777777" w:rsidR="00AC0AA6" w:rsidRPr="002F2FDF" w:rsidRDefault="00AC0AA6" w:rsidP="0083075A">
      <w:pPr>
        <w:spacing w:after="0" w:line="240" w:lineRule="auto"/>
        <w:jc w:val="both"/>
        <w:rPr>
          <w:rFonts w:ascii="Times New Roman" w:hAnsi="Times New Roman" w:cs="Times New Roman"/>
          <w:color w:val="000000" w:themeColor="text1"/>
          <w:sz w:val="16"/>
          <w:szCs w:val="16"/>
        </w:rPr>
      </w:pPr>
    </w:p>
    <w:p w14:paraId="4742D644"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A22D4D4"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4BB8F5" w14:textId="77777777" w:rsidR="00AC0AA6" w:rsidRPr="002F2FDF" w:rsidRDefault="00AC0AA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ноября 1917 руководство “Матиаса” объявило о приостановке с 22 числа текущего месяца всех работ на предприятии. Это решение Павлинец опротестовал. Его поддержало УВВФ, уполномочившее военпреда в случае приостановки работ сместить руководство заво</w:t>
      </w:r>
      <w:r w:rsidRPr="002F2FDF">
        <w:rPr>
          <w:rFonts w:ascii="Times New Roman" w:hAnsi="Times New Roman" w:cs="Times New Roman"/>
          <w:color w:val="000000" w:themeColor="text1"/>
          <w:kern w:val="2"/>
          <w:sz w:val="16"/>
          <w:szCs w:val="16"/>
        </w:rPr>
        <w:softHyphen/>
        <w:t>да и до прибытия военной администрации самостоятельно органи</w:t>
      </w:r>
      <w:r w:rsidRPr="002F2FDF">
        <w:rPr>
          <w:rFonts w:ascii="Times New Roman" w:hAnsi="Times New Roman" w:cs="Times New Roman"/>
          <w:color w:val="000000" w:themeColor="text1"/>
          <w:kern w:val="2"/>
          <w:sz w:val="16"/>
          <w:szCs w:val="16"/>
        </w:rPr>
        <w:softHyphen/>
        <w:t>зовать работу по выполнению заказов. Павлинец имел и поддержку со стороны заводского комитета. Высказывалось даже предположе</w:t>
      </w:r>
      <w:r w:rsidRPr="002F2FDF">
        <w:rPr>
          <w:rFonts w:ascii="Times New Roman" w:hAnsi="Times New Roman" w:cs="Times New Roman"/>
          <w:color w:val="000000" w:themeColor="text1"/>
          <w:kern w:val="2"/>
          <w:sz w:val="16"/>
          <w:szCs w:val="16"/>
        </w:rPr>
        <w:softHyphen/>
        <w:t>ние принять завод в казну — то есть, конфисковать в пользу госу</w:t>
      </w:r>
      <w:r w:rsidRPr="002F2FDF">
        <w:rPr>
          <w:rFonts w:ascii="Times New Roman" w:hAnsi="Times New Roman" w:cs="Times New Roman"/>
          <w:color w:val="000000" w:themeColor="text1"/>
          <w:kern w:val="2"/>
          <w:sz w:val="16"/>
          <w:szCs w:val="16"/>
        </w:rPr>
        <w:softHyphen/>
        <w:t>дарства. Основания для этого были, поскольку по состоянию на 27 ноября фирма получила в общей сложности 3,5 млн. руб. казен</w:t>
      </w:r>
      <w:r w:rsidRPr="002F2FDF">
        <w:rPr>
          <w:rFonts w:ascii="Times New Roman" w:hAnsi="Times New Roman" w:cs="Times New Roman"/>
          <w:color w:val="000000" w:themeColor="text1"/>
          <w:kern w:val="2"/>
          <w:sz w:val="16"/>
          <w:szCs w:val="16"/>
        </w:rPr>
        <w:softHyphen/>
        <w:t>ных денег, но так и не смогла изготовить ни одного самолета. Несмотря на все перипетии того времени, финансовые поступления продолжались, и к концу года сумма долгов “Матиаса” казне достиг</w:t>
      </w:r>
      <w:r w:rsidRPr="002F2FDF">
        <w:rPr>
          <w:rFonts w:ascii="Times New Roman" w:hAnsi="Times New Roman" w:cs="Times New Roman"/>
          <w:color w:val="000000" w:themeColor="text1"/>
          <w:kern w:val="2"/>
          <w:sz w:val="16"/>
          <w:szCs w:val="16"/>
        </w:rPr>
        <w:softHyphen/>
        <w:t>ла размеров стоимости всего предприятия (11154). Тем временем провели корректировку производственной прог</w:t>
      </w:r>
      <w:r w:rsidRPr="002F2FDF">
        <w:rPr>
          <w:rFonts w:ascii="Times New Roman" w:hAnsi="Times New Roman" w:cs="Times New Roman"/>
          <w:color w:val="000000" w:themeColor="text1"/>
          <w:kern w:val="2"/>
          <w:sz w:val="16"/>
          <w:szCs w:val="16"/>
        </w:rPr>
        <w:softHyphen/>
        <w:t>раммы. Первый контракт остался неизменным (если не считать сры</w:t>
      </w:r>
      <w:r w:rsidRPr="002F2FDF">
        <w:rPr>
          <w:rFonts w:ascii="Times New Roman" w:hAnsi="Times New Roman" w:cs="Times New Roman"/>
          <w:color w:val="000000" w:themeColor="text1"/>
          <w:kern w:val="2"/>
          <w:sz w:val="16"/>
          <w:szCs w:val="16"/>
        </w:rPr>
        <w:softHyphen/>
        <w:t>ва всех возможных сроков), а вот второй был существенно изменен. Поскольку производство моторов “Испано-Сюиза” в Симферополе так и не наладили, от выпуска “Спадов” пришлось отказаться (11154).</w:t>
      </w:r>
    </w:p>
    <w:p w14:paraId="55037714" w14:textId="77777777" w:rsidR="00AC0AA6" w:rsidRPr="002F2FDF" w:rsidRDefault="00AC0AA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FC1F93" w14:textId="77777777" w:rsidR="00AC0AA6" w:rsidRPr="002F2FDF" w:rsidRDefault="00AC0AA6" w:rsidP="0083075A">
      <w:pPr>
        <w:pStyle w:val="1c"/>
        <w:spacing w:before="0" w:after="0"/>
        <w:jc w:val="both"/>
        <w:rPr>
          <w:color w:val="000000" w:themeColor="text1"/>
          <w:kern w:val="2"/>
          <w:sz w:val="16"/>
          <w:szCs w:val="16"/>
        </w:rPr>
      </w:pPr>
      <w:r w:rsidRPr="002F2FDF">
        <w:rPr>
          <w:color w:val="000000" w:themeColor="text1"/>
          <w:kern w:val="2"/>
          <w:sz w:val="16"/>
          <w:szCs w:val="16"/>
        </w:rPr>
        <w:t>7 (20) ноября 1917 руководство «Матиаса» объявило о приостановке с 22 числа текущего месяца всех работ на предприятии. Это решение Павлинец опротестовал. Его поддержало УВВФ, уполномочившее военпреда в случае приостановки работ сместить руководство завода и до прибытия военной администрации самостоятельно организовать работу по выполнению заказов. Павлинец имел и поддержку со стороны заводского комитета. Высказывалось даже предположение принять завод в казну — то есть, конфисковать в пользу государства. Основания для этого были, поскольку по состоянию на 27 ноября фирма получила в общей сложности 3,5 млн. руб. казенных денег, но так и не смогла изготовить ни одного самолета. Несмотря на все перипетии того времени, финансовые поступления продолжались, и к концу года сумма долгов «Матиаса» казне достигла размеров стоимости всего предприятия.</w:t>
      </w:r>
    </w:p>
    <w:p w14:paraId="6353EDB1" w14:textId="77777777" w:rsidR="00AC0AA6" w:rsidRPr="002F2FDF" w:rsidRDefault="00AC0AA6" w:rsidP="0083075A">
      <w:pPr>
        <w:pStyle w:val="1c"/>
        <w:spacing w:before="0" w:after="0"/>
        <w:jc w:val="both"/>
        <w:rPr>
          <w:color w:val="000000" w:themeColor="text1"/>
          <w:kern w:val="2"/>
          <w:sz w:val="16"/>
          <w:szCs w:val="16"/>
        </w:rPr>
      </w:pPr>
      <w:r w:rsidRPr="002F2FDF">
        <w:rPr>
          <w:color w:val="000000" w:themeColor="text1"/>
          <w:kern w:val="2"/>
          <w:sz w:val="16"/>
          <w:szCs w:val="16"/>
        </w:rPr>
        <w:t>Тем временем провели корректировку производственной программы. Первый контракт остался неизменным (если не считать срыва всех возможных сроков), а вот второй был существенно изменен. Поскольку производство моторов «Испано-Сюиза» в Симферополе так и не наладили, от выпуска «Спадов» пришлось отказаться. 4 декабря 1917 г. вышло распоряжение о постройке на бердянском заводе 100 самолетов «Анасаль» — благо, двигателей «Сальмсон» для них было в достатке. После выполнения этого заказа предполагалось, что «Матиас» перейдет к выпуску гражданской продукции (12252).</w:t>
      </w:r>
    </w:p>
    <w:p w14:paraId="25D28E59" w14:textId="77777777" w:rsidR="00AC0AA6" w:rsidRPr="002F2FDF" w:rsidRDefault="00AC0AA6" w:rsidP="0083075A">
      <w:pPr>
        <w:pStyle w:val="1c"/>
        <w:spacing w:before="0" w:after="0"/>
        <w:jc w:val="both"/>
        <w:rPr>
          <w:color w:val="000000" w:themeColor="text1"/>
          <w:kern w:val="2"/>
          <w:sz w:val="16"/>
          <w:szCs w:val="16"/>
        </w:rPr>
      </w:pPr>
    </w:p>
    <w:p w14:paraId="19ABB29E"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AF01968"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0BABF6" w14:textId="77777777" w:rsidR="00AC0AA6" w:rsidRPr="002F2FDF" w:rsidRDefault="00AC0AA6" w:rsidP="0083075A">
      <w:pPr>
        <w:pStyle w:val="p1"/>
        <w:spacing w:before="0" w:beforeAutospacing="0" w:after="0" w:afterAutospacing="0"/>
        <w:jc w:val="both"/>
        <w:rPr>
          <w:color w:val="000000" w:themeColor="text1"/>
          <w:sz w:val="16"/>
          <w:szCs w:val="16"/>
        </w:rPr>
      </w:pPr>
      <w:r w:rsidRPr="002F2FDF">
        <w:rPr>
          <w:color w:val="000000" w:themeColor="text1"/>
          <w:sz w:val="16"/>
          <w:szCs w:val="16"/>
        </w:rPr>
        <w:t>7 (20) ноября 1917 г. Совнарком думал продолжить сотрудничество с «Вестингаузом» и через три недели, 23 ноября (6 декабря), одобрил заказ этой фирме на 1,8 млн. винтовок. Но решение было принято без хозяина. 30 ноября английское правительство распорядилось всю продукцию, выпускаемую в США по действующим русским контрактам (выданным через Моргана под английский кредит), обратить на нужды менее миролюбивых союзников. 24 декабря Англо-русский подкомитет утвердил ликвидацию заказа. Когда выпуск русских винтовок окончательно прекратился, оказалось, что всего для русского правительства «Вестингауз» изготовил 1 081 490 винтовок, получив за это от англичан 40 млн. долларов (18409).</w:t>
      </w:r>
    </w:p>
    <w:p w14:paraId="12D0B58A" w14:textId="77777777" w:rsidR="00AC0AA6" w:rsidRPr="002F2FDF" w:rsidRDefault="00AC0AA6" w:rsidP="0083075A">
      <w:pPr>
        <w:pStyle w:val="p1"/>
        <w:spacing w:before="0" w:beforeAutospacing="0" w:after="0" w:afterAutospacing="0"/>
        <w:jc w:val="both"/>
        <w:rPr>
          <w:color w:val="000000" w:themeColor="text1"/>
          <w:sz w:val="16"/>
          <w:szCs w:val="16"/>
        </w:rPr>
      </w:pPr>
    </w:p>
    <w:p w14:paraId="4F607B0E" w14:textId="77777777" w:rsidR="00D11A13" w:rsidRPr="00FB4F67" w:rsidRDefault="00D11A1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7 (20) ноября 1917 г. Совнарком думал продолжить сотрудничество с «Вестингаузом» и через три недели, 23 но</w:t>
      </w:r>
      <w:r w:rsidRPr="00FB4F67">
        <w:rPr>
          <w:rFonts w:ascii="Times New Roman" w:hAnsi="Times New Roman" w:cs="Times New Roman"/>
          <w:color w:val="0070C0"/>
          <w:sz w:val="16"/>
          <w:szCs w:val="16"/>
        </w:rPr>
        <w:softHyphen/>
        <w:t>ября (6 декабря), одобрил заказ этой фирме на 1,8 млн вин</w:t>
      </w:r>
      <w:r w:rsidRPr="00FB4F67">
        <w:rPr>
          <w:rFonts w:ascii="Times New Roman" w:hAnsi="Times New Roman" w:cs="Times New Roman"/>
          <w:color w:val="0070C0"/>
          <w:sz w:val="16"/>
          <w:szCs w:val="16"/>
        </w:rPr>
        <w:softHyphen/>
        <w:t>товок. Но решение было принято без хозяина. 30 ноября английское правительство распорядилось всю продукцию, выпускаемую в США по действующим русским контрактам (выданным через Моргана под английский кредит), обра</w:t>
      </w:r>
      <w:r w:rsidRPr="00FB4F67">
        <w:rPr>
          <w:rFonts w:ascii="Times New Roman" w:hAnsi="Times New Roman" w:cs="Times New Roman"/>
          <w:color w:val="0070C0"/>
          <w:sz w:val="16"/>
          <w:szCs w:val="16"/>
        </w:rPr>
        <w:softHyphen/>
        <w:t>тить на нужды менее миролюбивых союзников. 24 декабря Англо-русский подкомитет утвердил ликвидацию заказа. Когда выпуск русских винтовок окончательно прекратился, оказалось, что всего для русского правительства «Вестин</w:t>
      </w:r>
      <w:r w:rsidRPr="00FB4F67">
        <w:rPr>
          <w:rFonts w:ascii="Times New Roman" w:hAnsi="Times New Roman" w:cs="Times New Roman"/>
          <w:color w:val="0070C0"/>
          <w:sz w:val="16"/>
          <w:szCs w:val="16"/>
        </w:rPr>
        <w:softHyphen/>
        <w:t>гауз» изготовил 1 081 490 винтовок, получив за это от ан</w:t>
      </w:r>
      <w:r w:rsidRPr="00FB4F67">
        <w:rPr>
          <w:rFonts w:ascii="Times New Roman" w:hAnsi="Times New Roman" w:cs="Times New Roman"/>
          <w:color w:val="0070C0"/>
          <w:sz w:val="16"/>
          <w:szCs w:val="16"/>
        </w:rPr>
        <w:softHyphen/>
        <w:t>гличан 40 млн долларов (Островский А.В. Указ. соч. С. 185, сн. 139. Очевидно, подразумева</w:t>
      </w:r>
      <w:r w:rsidRPr="00FB4F67">
        <w:rPr>
          <w:rFonts w:ascii="Times New Roman" w:hAnsi="Times New Roman" w:cs="Times New Roman"/>
          <w:color w:val="0070C0"/>
          <w:sz w:val="16"/>
          <w:szCs w:val="16"/>
        </w:rPr>
        <w:softHyphen/>
        <w:t>ется не новый, дополнительный заказ, а подтверждение уже исполняв</w:t>
      </w:r>
      <w:r w:rsidRPr="00FB4F67">
        <w:rPr>
          <w:rFonts w:ascii="Times New Roman" w:hAnsi="Times New Roman" w:cs="Times New Roman"/>
          <w:color w:val="0070C0"/>
          <w:sz w:val="16"/>
          <w:szCs w:val="16"/>
        </w:rPr>
        <w:softHyphen/>
        <w:t>шегося заказа на 1,8 млн ружей, ранее сокращенного (для России) до 1 млн шт.; Rielage D.C. Op. cit. Р. 100, 102) (23452).</w:t>
      </w:r>
    </w:p>
    <w:p w14:paraId="435DAEBD" w14:textId="77777777" w:rsidR="00D11A13" w:rsidRPr="00FB4F67" w:rsidRDefault="00D11A13" w:rsidP="0083075A">
      <w:pPr>
        <w:spacing w:after="0" w:line="240" w:lineRule="auto"/>
        <w:jc w:val="both"/>
        <w:rPr>
          <w:rFonts w:ascii="Times New Roman" w:hAnsi="Times New Roman" w:cs="Times New Roman"/>
          <w:color w:val="0070C0"/>
          <w:sz w:val="16"/>
          <w:szCs w:val="16"/>
        </w:rPr>
      </w:pPr>
    </w:p>
    <w:p w14:paraId="6BD1394F"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4908528"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513A4E" w14:textId="77777777" w:rsidR="00AC0AA6" w:rsidRPr="002F2FDF" w:rsidRDefault="00AC0AA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7 (20) ноября</w:t>
      </w:r>
      <w:r w:rsidRPr="002F2FDF">
        <w:rPr>
          <w:rFonts w:ascii="Times New Roman" w:hAnsi="Times New Roman" w:cs="Times New Roman"/>
          <w:color w:val="000000" w:themeColor="text1"/>
          <w:kern w:val="2"/>
          <w:sz w:val="16"/>
          <w:szCs w:val="16"/>
        </w:rPr>
        <w:t xml:space="preserve"> в 1917 году начинаются секретные русско-германские переговоры (14836).</w:t>
      </w:r>
    </w:p>
    <w:p w14:paraId="123695F6" w14:textId="77777777" w:rsidR="00AC0AA6" w:rsidRPr="002F2FDF" w:rsidRDefault="00AC0AA6" w:rsidP="0083075A">
      <w:pPr>
        <w:spacing w:after="0" w:line="240" w:lineRule="auto"/>
        <w:jc w:val="both"/>
        <w:rPr>
          <w:rFonts w:ascii="Times New Roman" w:hAnsi="Times New Roman" w:cs="Times New Roman"/>
          <w:color w:val="000000" w:themeColor="text1"/>
          <w:kern w:val="2"/>
          <w:sz w:val="16"/>
          <w:szCs w:val="16"/>
        </w:rPr>
      </w:pPr>
    </w:p>
    <w:p w14:paraId="3788A0A4" w14:textId="77777777" w:rsidR="00D11A13" w:rsidRPr="00FB4F67" w:rsidRDefault="00D11A1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7 (20) ноября 1917 г. в Петрограде советский комиссар иностранных дел Лев Троцкий официально уведомил союзников о смене правительства и издал Декрет о мире (23525).</w:t>
      </w:r>
    </w:p>
    <w:p w14:paraId="0F877598" w14:textId="77777777" w:rsidR="00D11A13" w:rsidRPr="00FB4F67" w:rsidRDefault="00D11A13" w:rsidP="0083075A">
      <w:pPr>
        <w:spacing w:after="0" w:line="240" w:lineRule="auto"/>
        <w:jc w:val="both"/>
        <w:rPr>
          <w:rFonts w:ascii="Times New Roman" w:hAnsi="Times New Roman" w:cs="Times New Roman"/>
          <w:color w:val="0070C0"/>
          <w:sz w:val="16"/>
          <w:szCs w:val="16"/>
        </w:rPr>
      </w:pPr>
    </w:p>
    <w:p w14:paraId="5AB6FCAB" w14:textId="77777777" w:rsidR="00D11A13" w:rsidRPr="00FB4F67" w:rsidRDefault="00D11A1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7 (20) ноября 1917 г. в Ставке генерал Н. Н. Духонин отказался от приказа красных вести переговоры с командованием противника о немедленном перемирии, настаивая на том, что он может действовать только по приказу центрального правительства (которого фактически уже не существовало) (23525).</w:t>
      </w:r>
    </w:p>
    <w:p w14:paraId="39080BA8" w14:textId="77777777" w:rsidR="00D11A13" w:rsidRPr="00FB4F67" w:rsidRDefault="00D11A13" w:rsidP="0083075A">
      <w:pPr>
        <w:spacing w:after="0" w:line="240" w:lineRule="auto"/>
        <w:jc w:val="both"/>
        <w:rPr>
          <w:rFonts w:ascii="Times New Roman" w:hAnsi="Times New Roman" w:cs="Times New Roman"/>
          <w:color w:val="0070C0"/>
          <w:sz w:val="16"/>
          <w:szCs w:val="16"/>
        </w:rPr>
      </w:pPr>
    </w:p>
    <w:p w14:paraId="5323A6C1"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ноября 1917 г Духонин получил приказ начать секретные переговоры с немцами о прекращении огня (2239) и в этот день был убит (3481).</w:t>
      </w:r>
    </w:p>
    <w:p w14:paraId="19C11049"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9A6FA7" w14:textId="77777777" w:rsidR="00AC0AA6" w:rsidRPr="002F2FDF" w:rsidRDefault="00AC0AA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7 (20) ноября</w:t>
      </w:r>
      <w:r w:rsidRPr="002F2FDF">
        <w:rPr>
          <w:rFonts w:ascii="Times New Roman" w:hAnsi="Times New Roman" w:cs="Times New Roman"/>
          <w:color w:val="000000" w:themeColor="text1"/>
          <w:kern w:val="2"/>
          <w:sz w:val="16"/>
          <w:szCs w:val="16"/>
        </w:rPr>
        <w:t xml:space="preserve"> в 1917 году убийство начальника Ставки генерала Духонина матросами из отряда Крыленко, который прибыл в Могилев (Ставка Главкома) для замены и как преемник Духонина на посту Главкома (14836).</w:t>
      </w:r>
    </w:p>
    <w:p w14:paraId="25BA16D0" w14:textId="77777777" w:rsidR="00AC0AA6" w:rsidRPr="002F2FDF" w:rsidRDefault="00AC0AA6" w:rsidP="0083075A">
      <w:pPr>
        <w:spacing w:after="0" w:line="240" w:lineRule="auto"/>
        <w:jc w:val="both"/>
        <w:rPr>
          <w:rFonts w:ascii="Times New Roman" w:hAnsi="Times New Roman" w:cs="Times New Roman"/>
          <w:color w:val="000000" w:themeColor="text1"/>
          <w:kern w:val="2"/>
          <w:sz w:val="16"/>
          <w:szCs w:val="16"/>
        </w:rPr>
      </w:pPr>
    </w:p>
    <w:p w14:paraId="6F09E56D"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9B38BD1"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07CFA2" w14:textId="77777777" w:rsidR="00AC0AA6" w:rsidRPr="002F2FDF" w:rsidRDefault="00AC0A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7 (20) ноября 1917. Домовые комитеты установили частью круглосуточные, частью ночные дежурства квартирантов у входа в дома для противодействия грабителям.</w:t>
      </w:r>
    </w:p>
    <w:p w14:paraId="4EB5333F" w14:textId="77777777" w:rsidR="00AC0AA6" w:rsidRPr="002F2FDF" w:rsidRDefault="00AC0A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Университетской церкви святой Татианы совершена панихида по погибшим в дни вооруженных столкновений студентам (18685).</w:t>
      </w:r>
    </w:p>
    <w:p w14:paraId="187BD6F9" w14:textId="77777777" w:rsidR="00AC0AA6" w:rsidRPr="002F2FDF" w:rsidRDefault="00AC0AA6" w:rsidP="0083075A">
      <w:pPr>
        <w:spacing w:after="0" w:line="240" w:lineRule="auto"/>
        <w:jc w:val="both"/>
        <w:rPr>
          <w:rFonts w:ascii="Times New Roman" w:hAnsi="Times New Roman" w:cs="Times New Roman"/>
          <w:color w:val="000000" w:themeColor="text1"/>
          <w:sz w:val="16"/>
          <w:szCs w:val="16"/>
        </w:rPr>
      </w:pPr>
    </w:p>
    <w:p w14:paraId="61F2D530" w14:textId="2A7D4A6D" w:rsidR="00AC0AA6" w:rsidRPr="002F2FDF" w:rsidRDefault="00AC0A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7 (20) ноября 1917 г.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Лениным 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А.</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Луначарским был подписан Декрет о</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введении государственной монополии на объявления.</w:t>
      </w:r>
    </w:p>
    <w:p w14:paraId="3BE97E43" w14:textId="74458AB9" w:rsidR="00AC0AA6" w:rsidRPr="002F2FDF" w:rsidRDefault="00AC0A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Декрет объявлял монополией государства печатание за плату объявлений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периодической печати. За напечатанные объявления издания, не имеющие на это прав, должны быть закрыты. Всем заведующим изданиями 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предприятиями, помещающими объявления за плату, 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их служащим Декретом было предписано объединиться </w:t>
      </w:r>
      <w:r w:rsidRPr="002F2FDF">
        <w:rPr>
          <w:rFonts w:ascii="Times New Roman" w:hAnsi="Times New Roman" w:cs="Times New Roman"/>
          <w:color w:val="000000" w:themeColor="text1"/>
          <w:sz w:val="16"/>
          <w:szCs w:val="16"/>
        </w:rPr>
        <w:lastRenderedPageBreak/>
        <w:t>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городские, а</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затем 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во всероссийский союз для организации приема 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печатания объявлений. Декретом был предусмотрен порядок конфискации предприятий, занимающихся печатанием объявлений самостоятельно, 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уплаты при необходимости компенсации их владельцам.</w:t>
      </w:r>
    </w:p>
    <w:p w14:paraId="079D926E" w14:textId="10061F54" w:rsidR="00AC0AA6" w:rsidRPr="002F2FDF" w:rsidRDefault="00AC0A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Незадолго до принятия данного декрета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Ленин поручил управляющему делами Совнаркома</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Д.</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Бонч-Бруевичу подсчитать, какой доход дают объявления наиболее распространенных буржуазных газет «Речь», «День», «Русское слово». Бонч-Бруевич пришел к</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выводу, что объявления буржуазных газет являются по самому приблизительному расчету главным денежным рычагом 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двигателем тех колоссальных тиражей, которые газеты имели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то время.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исторической литературе имеются цифры доходов от публикации объявлений, например, «Русского слова»</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2 млн руб., «Копейки»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1 млн руб. (19545).</w:t>
      </w:r>
    </w:p>
    <w:p w14:paraId="43074161" w14:textId="77777777" w:rsidR="00AC0AA6" w:rsidRPr="002F2FDF" w:rsidRDefault="00AC0AA6" w:rsidP="0083075A">
      <w:pPr>
        <w:spacing w:after="0" w:line="240" w:lineRule="auto"/>
        <w:jc w:val="both"/>
        <w:rPr>
          <w:rFonts w:ascii="Times New Roman" w:hAnsi="Times New Roman" w:cs="Times New Roman"/>
          <w:color w:val="000000" w:themeColor="text1"/>
          <w:sz w:val="16"/>
          <w:szCs w:val="16"/>
        </w:rPr>
      </w:pPr>
    </w:p>
    <w:p w14:paraId="086401A8"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ноября 1917 в Петрограде хлебный паек упал до 150 г (34810</w:t>
      </w:r>
    </w:p>
    <w:p w14:paraId="7FA02E38"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1A1048" w14:textId="77777777" w:rsidR="00AC0AA6" w:rsidRPr="002F2FDF" w:rsidRDefault="00AC0AA6"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7 (20) ноября 1917 г. рано утром во все воинские части была разослана телефонограмма, явиться на гарнизонное собрание в Смольный. После того, как пришли делегаты, им было сжато, но в сильных словах обрисовано сложившееся положение Советской власти. Говорилось, что для неотложных работ СНК нужны средства. Чиновничество Государственного банка денег не дает, поэтому их нужно взять.41 Л. Д. Троцкий предложил достать первые 10 млн рублей путем посылки представителей от каждой роты в Госбанк.</w:t>
      </w:r>
    </w:p>
    <w:p w14:paraId="65EF7066" w14:textId="77777777" w:rsidR="00AC0AA6" w:rsidRPr="002F2FDF" w:rsidRDefault="00AC0AA6" w:rsidP="0083075A">
      <w:pPr>
        <w:pStyle w:val="a3"/>
        <w:rPr>
          <w:rFonts w:eastAsia="Times New Roman"/>
          <w:color w:val="000000" w:themeColor="text1"/>
          <w:lang w:val="ru-RU" w:eastAsia="ru-RU"/>
        </w:rPr>
      </w:pPr>
      <w:r w:rsidRPr="002F2FDF">
        <w:rPr>
          <w:rFonts w:eastAsia="Times New Roman"/>
          <w:color w:val="000000" w:themeColor="text1"/>
          <w:lang w:val="ru-RU" w:eastAsia="ru-RU"/>
        </w:rPr>
        <w:t>Части гарнизона должны были с музыкой войти в Государственный банк и заставить выдать требуемую сумму. Собрание закончилось в 11 часов 40 минут утра. В час дня войска с музыкой стали подходить к банку. Туда же прибыли делегации Всероссийского совета крестьянских депутатов, Союза Союзов, Союза служащих и рабочих банка, члены Петроградской городской думы, представители отдельных партий и т.д.</w:t>
      </w:r>
    </w:p>
    <w:p w14:paraId="2DB7D585" w14:textId="77777777" w:rsidR="00AC0AA6" w:rsidRPr="002F2FDF" w:rsidRDefault="00AC0AA6" w:rsidP="0083075A">
      <w:pPr>
        <w:pStyle w:val="a3"/>
        <w:rPr>
          <w:color w:val="000000" w:themeColor="text1"/>
          <w:lang w:val="ru-RU"/>
        </w:rPr>
      </w:pPr>
      <w:r w:rsidRPr="002F2FDF">
        <w:rPr>
          <w:color w:val="000000" w:themeColor="text1"/>
          <w:lang w:val="ru-RU"/>
        </w:rPr>
        <w:t>За членами городской думы управляющий И. П. Шипов послал тайком еще утром, после того как к нему явился В. Р. Менжинский с предписанием ВРК не закрывать двери вплоть до прибытия отряда войск для вскрытия кассы банка. Одновременно Менжинский потребовал от управляющего аванс в 10 млн рублей на покрытие срочных расходов Совнаркома. Шипов отказал и послал одного из служащих банка в Петроградскую думу, где большинство составляли правые эсеры, меньшевики и кадеты, с просьбой воздействовать на представителей Советской власти.</w:t>
      </w:r>
    </w:p>
    <w:p w14:paraId="00870857" w14:textId="77777777" w:rsidR="00AC0AA6" w:rsidRPr="002F2FDF" w:rsidRDefault="00AC0AA6"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7 (20) ноября 1917 в банк вошла делегация гарнизона во главе с В. Р. Менжинским. Чиновники решительно протестовали против "дневного грабежа", "взлома народного сундука", заявляли, что Госбанк хранит всенародное достояние, распоряжаться коим может только власть, избранная всем народом. Менжинский вручил мандат на получение 10 млн рублей и от имени СНК заявил, что государственными преступниками будут считаться те, кто будет препятствовать исполнению распоряжений власти. На размышление дали 10 минут.</w:t>
      </w:r>
    </w:p>
    <w:p w14:paraId="5757ADD9" w14:textId="77777777" w:rsidR="00AC0AA6" w:rsidRPr="002F2FDF" w:rsidRDefault="00AC0AA6"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Но руководство банка обнаружило, что мандат на имя Менжинского в суматохе забыли дать на подпись В. И. Ленину. Отсутствовали и другие подписи. Послышались фразы: "... и вот с такими-то бумажками Совнарком требует выдачи 10-ти миллионов народных денег". Сложилась патовая ситуация. Войска без денег уходить не хотели. В Смольный отправились Председатель полкового комитета Волынского резервного полка А. Хохряков и главком Петроградского Военного Округа подполковник М. А. Муравьев.</w:t>
      </w:r>
    </w:p>
    <w:p w14:paraId="59B5392B" w14:textId="77777777" w:rsidR="00AC0AA6" w:rsidRPr="002F2FDF" w:rsidRDefault="00AC0AA6" w:rsidP="0083075A">
      <w:pPr>
        <w:pStyle w:val="a3"/>
        <w:rPr>
          <w:rFonts w:eastAsia="Times New Roman"/>
          <w:color w:val="000000" w:themeColor="text1"/>
          <w:lang w:val="ru-RU" w:eastAsia="ru-RU"/>
        </w:rPr>
      </w:pPr>
      <w:r w:rsidRPr="002F2FDF">
        <w:rPr>
          <w:rFonts w:eastAsia="Times New Roman"/>
          <w:color w:val="000000" w:themeColor="text1"/>
          <w:lang w:val="ru-RU" w:eastAsia="ru-RU"/>
        </w:rPr>
        <w:t>Делегаты появились в штабе революции около 17 часов. Обычные занятия были уже закончены, в здании царила тишина. Ленин, когда делегаты вошли к нему с докладом, работал. Не отрываясь от письма, он спросил: "Ну что у вас там" Хохряков доложил, что по поводу требования 10 млн рублей возникает целый ряд вопросов. Не указано, почему СНК обратился с требованием денег не к казначейству, а к Госбанку, в сферу деятельности которого производство расходов не входит. Бумага, переданная администрации банка, не была никем подписана. Подпись по просьбе банкиров тут же поставил В. Р. Менжинский. В бумаге не было указано, почему СНК требует именно 10 млн рублей, а не меньше и не больше. Отсутствовало указание и того, последуют ли за этим новые требования денег или Совнарком удовлетворится 10 млн рублей.</w:t>
      </w:r>
    </w:p>
    <w:p w14:paraId="185F1C09" w14:textId="77777777" w:rsidR="00AC0AA6" w:rsidRPr="002F2FDF" w:rsidRDefault="00AC0AA6" w:rsidP="0083075A">
      <w:pPr>
        <w:pStyle w:val="a3"/>
        <w:rPr>
          <w:color w:val="000000" w:themeColor="text1"/>
          <w:lang w:val="ru-RU"/>
        </w:rPr>
      </w:pPr>
      <w:r w:rsidRPr="002F2FDF">
        <w:rPr>
          <w:color w:val="000000" w:themeColor="text1"/>
          <w:lang w:val="ru-RU"/>
        </w:rPr>
        <w:t>Во время доклада Хохрякова Ленин продолжал писать, казалось, что он не слушает. Но едва докладчик дошел до того, что мандат не имел подписи, как вождь прервал его: "Значит, денег получить нельзя! А кто писал мандат" - обратился он к тем, кто был в соседней комнате. Назвали фамилию одного из видных деятелей партии. "Ведь этакая досада", - продолжал Ленин, снова возвращаясь к тому, что он писал. А затем, быстро встав, резюмировал: "Вопрос о десяти миллионах временно считать открытым. Все основания, как правовые, так и иного характера, при последующих требованиях будут неизменно указываться. Вот так! Поезжайте и ликвидируйте вопрос..."</w:t>
      </w:r>
      <w:r w:rsidRPr="002F2FDF">
        <w:rPr>
          <w:rFonts w:eastAsia="Times New Roman"/>
          <w:color w:val="000000" w:themeColor="text1"/>
          <w:lang w:val="ru-RU" w:eastAsia="ru-RU"/>
        </w:rPr>
        <w:t xml:space="preserve"> (18085)</w:t>
      </w:r>
    </w:p>
    <w:p w14:paraId="13C350F3" w14:textId="77777777" w:rsidR="00AC0AA6" w:rsidRPr="002F2FDF" w:rsidRDefault="00AC0AA6" w:rsidP="0083075A">
      <w:pPr>
        <w:pStyle w:val="a3"/>
        <w:rPr>
          <w:color w:val="000000" w:themeColor="text1"/>
          <w:lang w:val="ru-RU"/>
        </w:rPr>
      </w:pPr>
    </w:p>
    <w:p w14:paraId="47053F49"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ноября 1917 Украинская Центральная рада выступила с Третьим Универсалом, провозгласившим создание Украинской Народной Республики (3263,633).</w:t>
      </w:r>
    </w:p>
    <w:p w14:paraId="2F59B886"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08C0D4"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ноября 1917 Центральная Рада, созданная 4 марта 1917 в Киеве, провозгласила автономию Украины, но пока в составе России (70,55).</w:t>
      </w:r>
    </w:p>
    <w:p w14:paraId="0ADA37D2"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9C2C9B" w14:textId="77777777" w:rsidR="00AC0AA6" w:rsidRPr="002F2FDF" w:rsidRDefault="00AC0AA6"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7 (20) ноября 1917 </w:t>
      </w:r>
      <w:r w:rsidRPr="002F2FDF">
        <w:rPr>
          <w:rFonts w:ascii="Times New Roman" w:hAnsi="Times New Roman" w:cs="Times New Roman"/>
          <w:iCs/>
          <w:color w:val="000000" w:themeColor="text1"/>
          <w:kern w:val="2"/>
          <w:sz w:val="16"/>
          <w:szCs w:val="16"/>
        </w:rPr>
        <w:t>(7 ноября по ст. ст.</w:t>
      </w:r>
      <w:r w:rsidRPr="002F2FDF">
        <w:rPr>
          <w:rFonts w:ascii="Times New Roman" w:hAnsi="Times New Roman" w:cs="Times New Roman"/>
          <w:color w:val="000000" w:themeColor="text1"/>
          <w:kern w:val="2"/>
          <w:sz w:val="16"/>
          <w:szCs w:val="16"/>
        </w:rPr>
        <w:t>) В Киеве Центральная рада объявила себя верховным органом Украинской народной республики в составе России. Позже ее сменил гетман П. П. Скоропадский (4962).</w:t>
      </w:r>
    </w:p>
    <w:p w14:paraId="326834CA" w14:textId="77777777" w:rsidR="00AC0AA6" w:rsidRPr="002F2FDF" w:rsidRDefault="00AC0AA6"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BDF43C" w14:textId="77777777" w:rsidR="00AC0AA6" w:rsidRPr="002F2FDF" w:rsidRDefault="00AC0AA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ноября 1917 года в Киеве была провозглашена Украинская Народная Республика (УНР), высшим органом которой являлась Центральная Рада. Одной из первых задач, решавшихся новой властью, являлось создание собственных вооруженных сил, в том числе и авиации (553).</w:t>
      </w:r>
    </w:p>
    <w:p w14:paraId="2C4F8D3F" w14:textId="77777777" w:rsidR="00AC0AA6" w:rsidRPr="002F2FDF" w:rsidRDefault="00AC0AA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443E1A" w14:textId="2858973B" w:rsidR="00D11A13" w:rsidRPr="00FB4F67" w:rsidRDefault="00D11A13"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7 (20)</w:t>
      </w:r>
      <w:r w:rsidRPr="00FB4F67">
        <w:rPr>
          <w:rFonts w:ascii="Times New Roman" w:hAnsi="Times New Roman" w:cs="Times New Roman"/>
          <w:color w:val="0070C0"/>
          <w:sz w:val="16"/>
          <w:szCs w:val="16"/>
        </w:rPr>
        <w:t xml:space="preserve"> ноября 1917 г. в Киеве произошло образование Украинской Народной Республики (УНР) и начало формирования Армии УНР и Воздушного флота УНР под командованием подполковника В.Г. Баранова (бывший заместитель В.М. Киев. Баранову помогали военные летчики Л. А. Шерченко и Д. П. Левицкий, которые приступили к охране и сохранению имеющегося авиационного имущества и набору личного состава. В состав Украины входили Киевская, Подольская, Волынская, Херсонская, Полтавская, Харьковская, Екатеринославская и Таврическая губернии (23525).</w:t>
      </w:r>
    </w:p>
    <w:p w14:paraId="770F27E9" w14:textId="77777777" w:rsidR="00D11A13" w:rsidRPr="00FB4F67" w:rsidRDefault="00D11A13" w:rsidP="0083075A">
      <w:pPr>
        <w:spacing w:after="0" w:line="240" w:lineRule="auto"/>
        <w:jc w:val="both"/>
        <w:rPr>
          <w:rFonts w:ascii="Times New Roman" w:hAnsi="Times New Roman" w:cs="Times New Roman"/>
          <w:color w:val="0070C0"/>
          <w:sz w:val="16"/>
          <w:szCs w:val="16"/>
        </w:rPr>
      </w:pPr>
    </w:p>
    <w:p w14:paraId="02EA6F80" w14:textId="77777777" w:rsidR="00AC0AA6" w:rsidRPr="002F2FDF" w:rsidRDefault="00AC0AA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ноября 1917 Третий универсал Центральной рады провозгласил о создании Украинской народной республики в составе Российской республики (12629).</w:t>
      </w:r>
    </w:p>
    <w:p w14:paraId="76C42B28"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B89D6F" w14:textId="77777777" w:rsidR="00AC0AA6" w:rsidRPr="002F2FDF" w:rsidRDefault="00AC0AA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7 (20) ноября</w:t>
      </w:r>
      <w:r w:rsidRPr="002F2FDF">
        <w:rPr>
          <w:rFonts w:ascii="Times New Roman" w:hAnsi="Times New Roman" w:cs="Times New Roman"/>
          <w:color w:val="000000" w:themeColor="text1"/>
          <w:kern w:val="2"/>
          <w:sz w:val="16"/>
          <w:szCs w:val="16"/>
        </w:rPr>
        <w:t xml:space="preserve"> в 1917 году в Киеве буржуазная Центральная рада в изданном ею 3-м универсале объявляет себя верховным органом Украинской народной республики в составе России Расширенный секретариат республики возглавил С.В.Винниченко, секретарем по военым делам стал С.В.Петлюра, министром иностранных дел - украинский социалист-федералист А.В.Шульгин. Но уже в январе 1918 провозгласит самостоятельность республики. Своих обещаний (8-часовой рабочий день, передача земли крестьянам и пр.) Центральная рада выполнить не сумеет. В развернувшейся борьбе с Советской властью Рада потерпит поражение, но благодаря заключенному еще до Брестского мира соглашению с Германией о совместной борьбе против Советской России вернется вместе с австро-германской армией в Киев. Большая часть Украины будет оккупирована, ставшая ненужной Центральная рада разогнана, а вместо нее гетманом Украины будет провозглашен бывший царский генерал П.П.Скоропадский (14836).</w:t>
      </w:r>
    </w:p>
    <w:p w14:paraId="6B7C9E7D" w14:textId="77777777" w:rsidR="00AC0AA6" w:rsidRPr="002F2FDF" w:rsidRDefault="00AC0AA6" w:rsidP="0083075A">
      <w:pPr>
        <w:spacing w:after="0" w:line="240" w:lineRule="auto"/>
        <w:jc w:val="both"/>
        <w:rPr>
          <w:rFonts w:ascii="Times New Roman" w:hAnsi="Times New Roman" w:cs="Times New Roman"/>
          <w:color w:val="000000" w:themeColor="text1"/>
          <w:kern w:val="2"/>
          <w:sz w:val="16"/>
          <w:szCs w:val="16"/>
        </w:rPr>
      </w:pPr>
    </w:p>
    <w:p w14:paraId="26D90238" w14:textId="6EE9BDF1" w:rsidR="00AC0AA6" w:rsidRPr="002F2FDF" w:rsidRDefault="00AC0AA6" w:rsidP="0083075A">
      <w:pPr>
        <w:pStyle w:val="ae"/>
        <w:spacing w:before="0" w:after="0"/>
        <w:jc w:val="both"/>
        <w:rPr>
          <w:color w:val="000000" w:themeColor="text1"/>
          <w:kern w:val="2"/>
          <w:sz w:val="16"/>
          <w:szCs w:val="16"/>
        </w:rPr>
      </w:pPr>
      <w:r w:rsidRPr="002F2FDF">
        <w:rPr>
          <w:bCs/>
          <w:color w:val="000000" w:themeColor="text1"/>
          <w:kern w:val="2"/>
          <w:sz w:val="16"/>
          <w:szCs w:val="16"/>
        </w:rPr>
        <w:t>7 (20) ноября</w:t>
      </w:r>
      <w:r w:rsidRPr="002F2FDF">
        <w:rPr>
          <w:color w:val="000000" w:themeColor="text1"/>
          <w:kern w:val="2"/>
          <w:sz w:val="16"/>
          <w:szCs w:val="16"/>
        </w:rPr>
        <w:t xml:space="preserve"> в 1917 году </w:t>
      </w:r>
      <w:r w:rsidR="003032C8" w:rsidRPr="002F2FDF">
        <w:rPr>
          <w:color w:val="000000" w:themeColor="text1"/>
          <w:kern w:val="2"/>
          <w:sz w:val="16"/>
          <w:szCs w:val="16"/>
        </w:rPr>
        <w:t xml:space="preserve">Украинская Центральная Рада </w:t>
      </w:r>
      <w:r w:rsidRPr="002F2FDF">
        <w:rPr>
          <w:color w:val="000000" w:themeColor="text1"/>
          <w:kern w:val="2"/>
          <w:sz w:val="16"/>
          <w:szCs w:val="16"/>
        </w:rPr>
        <w:t>в Киеве приняла III Универсал (так на</w:t>
      </w:r>
      <w:r w:rsidR="00E52569">
        <w:rPr>
          <w:color w:val="000000" w:themeColor="text1"/>
          <w:kern w:val="2"/>
          <w:sz w:val="16"/>
          <w:szCs w:val="16"/>
        </w:rPr>
        <w:t xml:space="preserve"> </w:t>
      </w:r>
      <w:r w:rsidRPr="002F2FDF">
        <w:rPr>
          <w:color w:val="000000" w:themeColor="text1"/>
          <w:kern w:val="2"/>
          <w:sz w:val="16"/>
          <w:szCs w:val="16"/>
        </w:rPr>
        <w:t>Украине стали называть законы по аналогии с названиями указов и грамот, издававшихся польскими королями и украинскими гетманами — РП), который провозгласил создание Украинской Народной Республики (УНР). Формально республика рассматривалась как часть федерации свободных народов, и окончательного разрыва связей с Россией не произошло. В Универсале также провозглашались базовые демократические принципы: свобода слова, печати, вероисповедания, собраний, союзов, забастовок. Универсалом вводилась гарантия неприкосновенности личности и частной собственности, однако при этом упразднялась частная собственность на землю, которая признавалась собственностью всего народа. Универсал отменил смертную казнь и установил 8-часовой рабочий день. Территорией УНР объявлялись 9 губерний — Киевская, Подольская, Волынская, Черниговская, Полтавская, Харьковская, Екатеринославская, Херсонская и Таврическая. Судьбу еще ряда областей — Курщины (с центром в Курске), Холмщины (историческая область по левому берегу реки Западный Буг с центром в городе Холм, ныне Хелм в Польше — РП) и Воронежчины предполагалось решить в будущем (17045).</w:t>
      </w:r>
    </w:p>
    <w:p w14:paraId="6E36EBE4"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0489F5"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652D46DB"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042B02"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ноября 1917 г Совет Народных Комиссаров приказал исполняющему обязанности верховного главнокомандующего генералу Духонину обратиться к командованию неприятельских армий с предложением немедленно приостановить военные действия в целях открытия мирных переговоров, непрерывно докладывать Совнаркому о ходе переговоров н подписать акт перемирия только с предварительного согласия Совета Народных Комиссаров (4216).</w:t>
      </w:r>
    </w:p>
    <w:p w14:paraId="5BF2B155"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8A0045"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1390A3E"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4AC8AF" w14:textId="77777777" w:rsidR="00AC0AA6" w:rsidRPr="002F2FDF" w:rsidRDefault="00AC0AA6" w:rsidP="0083075A">
      <w:pPr>
        <w:pStyle w:val="ae"/>
        <w:spacing w:before="0" w:after="0"/>
        <w:jc w:val="both"/>
        <w:rPr>
          <w:color w:val="000000" w:themeColor="text1"/>
          <w:kern w:val="2"/>
          <w:sz w:val="16"/>
          <w:szCs w:val="16"/>
        </w:rPr>
      </w:pPr>
      <w:r w:rsidRPr="002F2FDF">
        <w:rPr>
          <w:bCs/>
          <w:color w:val="000000" w:themeColor="text1"/>
          <w:kern w:val="2"/>
          <w:sz w:val="16"/>
          <w:szCs w:val="16"/>
        </w:rPr>
        <w:t>7 (20) ноября</w:t>
      </w:r>
      <w:r w:rsidRPr="002F2FDF">
        <w:rPr>
          <w:color w:val="000000" w:themeColor="text1"/>
          <w:kern w:val="2"/>
          <w:sz w:val="16"/>
          <w:szCs w:val="16"/>
        </w:rPr>
        <w:t xml:space="preserve"> в 1917 году из болгарского города Ямбол в сторону Восточной Африки отправился германский дирижабль Л-59, который должен был доставить для армии фон Леттов-Форбека 15 тонн припасов и снаряжения, включая пулеметы и швейные машинки. Но, пройдя уже половину пути и находясь над территорией Судана, экипаж дирижабля получил радиосообщение о том, что Леттов-Форбек будто бы капитулировал, и повернул назад. Как позже выяснилось, ложное сообщение </w:t>
      </w:r>
      <w:r w:rsidRPr="002F2FDF">
        <w:rPr>
          <w:color w:val="000000" w:themeColor="text1"/>
          <w:kern w:val="2"/>
          <w:sz w:val="16"/>
          <w:szCs w:val="16"/>
        </w:rPr>
        <w:lastRenderedPageBreak/>
        <w:t>о капитуляции армии Германской Восточной Африки было передано английской разведкой, узнавшей про этот воздушный рейд. Несмотря на неудачу, огромное расстояние, которое преодолел дирижабль, продемонстрировало ранее неизвестные возможности этих летательных аппаратов (17045).</w:t>
      </w:r>
    </w:p>
    <w:p w14:paraId="7401CB72"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E6C795"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 xml:space="preserve">7 (20) </w:t>
      </w:r>
      <w:r w:rsidRPr="002F2FDF">
        <w:rPr>
          <w:rFonts w:ascii="Times New Roman" w:hAnsi="Times New Roman" w:cs="Times New Roman"/>
          <w:color w:val="000000" w:themeColor="text1"/>
          <w:kern w:val="2"/>
          <w:sz w:val="16"/>
          <w:szCs w:val="16"/>
        </w:rPr>
        <w:t>ноября</w:t>
      </w:r>
      <w:r w:rsidRPr="002F2FDF">
        <w:rPr>
          <w:rFonts w:ascii="Times New Roman" w:hAnsi="Times New Roman" w:cs="Times New Roman"/>
          <w:color w:val="000000" w:themeColor="text1"/>
          <w:kern w:val="2"/>
          <w:sz w:val="16"/>
          <w:szCs w:val="16"/>
          <w:lang w:val="en-US"/>
        </w:rPr>
        <w:t xml:space="preserve"> 1917 British launch surprise tank attack at Cambrai (1067).</w:t>
      </w:r>
    </w:p>
    <w:p w14:paraId="478359A6"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151309D4"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ноября 1917 англичане предприняли внезапную танковую атаку у Камбре (1067) и продолжалось до 7 декабря. Позже германские войска оттеснили прорвавшихся англичан (3907,92).</w:t>
      </w:r>
    </w:p>
    <w:p w14:paraId="166CB94C"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0D63B0" w14:textId="77777777" w:rsidR="00AC0AA6" w:rsidRPr="002F2FDF" w:rsidRDefault="00AC0AA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7 (20) ноября</w:t>
      </w:r>
      <w:r w:rsidRPr="002F2FDF">
        <w:rPr>
          <w:rFonts w:ascii="Times New Roman" w:hAnsi="Times New Roman" w:cs="Times New Roman"/>
          <w:color w:val="000000" w:themeColor="text1"/>
          <w:kern w:val="2"/>
          <w:sz w:val="16"/>
          <w:szCs w:val="16"/>
        </w:rPr>
        <w:t xml:space="preserve"> в 1917 году на Западном фронте началось наступление союзников под Камбре (Северо-Восточная Франция) - первая боевая операция, в которой широко использовались танковые соединения. Впервые в истории решающую роль в исход битвы вносят танковые соединения, когда 474 британских танка прорывают линию обороны немцев (14836).</w:t>
      </w:r>
    </w:p>
    <w:p w14:paraId="70B630EC" w14:textId="77777777" w:rsidR="00AC0AA6" w:rsidRPr="002F2FDF" w:rsidRDefault="00AC0AA6" w:rsidP="0083075A">
      <w:pPr>
        <w:spacing w:after="0" w:line="240" w:lineRule="auto"/>
        <w:jc w:val="both"/>
        <w:rPr>
          <w:rFonts w:ascii="Times New Roman" w:hAnsi="Times New Roman" w:cs="Times New Roman"/>
          <w:color w:val="000000" w:themeColor="text1"/>
          <w:kern w:val="2"/>
          <w:sz w:val="16"/>
          <w:szCs w:val="16"/>
        </w:rPr>
      </w:pPr>
    </w:p>
    <w:p w14:paraId="187FD3B5"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ноября - В 6 час. 10 мин. (за 1 час 20 мин. до восхода солнца) танки, развернутые позади английских окопов, двинулись в атаку, за ними по отделениям, рядами, следовала пехота.</w:t>
      </w:r>
    </w:p>
    <w:p w14:paraId="7AE997E6"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6 час. 20 мин. открыла огонь артиллерия, сопровождая танки и пехоту огневым валом. Взрывы дымовых снарядов окутали впереди лежащую местность дымовой завесой. Перед началом наступления английская авиация в течение полутора часов действовала по всей полосе обороны германских войск с целью скрыть направление главного удара. Затем, с началом наступления, все усилия авиации были сконцентрированы на главном направлении. Штурмовые атаки велись по артиллерии, штабам и резервам германских войск. Истребительная авиация, применив трехъярусное барражирование, не допустила германские самолеты к полю боя. К началу операции англичане сконцентрировали в месте прорыва 289 самолетов против 78 германских; из них 158 английских истребителей противостояли 12 германским. Абсолютное господство в воздухе накануне операции и в первый день наступления обеспечило полный успех наземных действий английских войск.</w:t>
      </w:r>
    </w:p>
    <w:p w14:paraId="6E7547E4"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Войска 3-й английской армии в сопровождении огневого вала из 1000 орудий и при поддержке 378 танков успешно прорвали тактическую зону германской обороны на участке фронта протяженностью 12 км, вклинившись в расположение противника на 8-10 км.</w:t>
      </w:r>
    </w:p>
    <w:p w14:paraId="2453E10D"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Первая волна танков прошла через проволочные заграждения, за ней последовала вторая. К 16 часам англичане продвинулись на 10 км, в последующий день еще на несколько километров (11999).</w:t>
      </w:r>
    </w:p>
    <w:p w14:paraId="40ED86DD"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5BAFA3" w14:textId="77777777" w:rsidR="00AC0AA6" w:rsidRPr="002F2FDF" w:rsidRDefault="00AC0AA6" w:rsidP="0083075A">
      <w:pPr>
        <w:pStyle w:val="ae"/>
        <w:spacing w:before="0" w:after="0"/>
        <w:jc w:val="both"/>
        <w:rPr>
          <w:color w:val="000000" w:themeColor="text1"/>
          <w:kern w:val="2"/>
          <w:sz w:val="16"/>
          <w:szCs w:val="16"/>
        </w:rPr>
      </w:pPr>
      <w:r w:rsidRPr="002F2FDF">
        <w:rPr>
          <w:color w:val="000000" w:themeColor="text1"/>
          <w:kern w:val="2"/>
          <w:sz w:val="16"/>
          <w:szCs w:val="16"/>
        </w:rPr>
        <w:t>7 (20) ноября 1917 британские части перешли в наступление на севере Франции в окрестностях городка Камбре (около 160 км от Парижа), ознаменовав начало первого в истории сражения с массовым применением танков. В общей сложности в нем было задействовано около 400 боевых машин, которые обеспечили англичанам первоначальный успех, воспользоваться которым, однако, они так и не сумели.</w:t>
      </w:r>
    </w:p>
    <w:p w14:paraId="1F6DFAE0" w14:textId="77777777" w:rsidR="00AC0AA6" w:rsidRPr="002F2FDF" w:rsidRDefault="00AC0AA6" w:rsidP="0083075A">
      <w:pPr>
        <w:pStyle w:val="ae"/>
        <w:spacing w:before="0" w:after="0"/>
        <w:jc w:val="both"/>
        <w:rPr>
          <w:color w:val="000000" w:themeColor="text1"/>
          <w:kern w:val="2"/>
          <w:sz w:val="16"/>
          <w:szCs w:val="16"/>
        </w:rPr>
      </w:pPr>
      <w:r w:rsidRPr="002F2FDF">
        <w:rPr>
          <w:color w:val="000000" w:themeColor="text1"/>
          <w:kern w:val="2"/>
          <w:sz w:val="16"/>
          <w:szCs w:val="16"/>
        </w:rPr>
        <w:t>Наступление под Камбре стало последней в 1917 году попыткой союзников нанести решительный удар германской армии на Западном фронте. Две предыдущих закончились полным провалом. Предпринятое в апреле-мае в районе городов Аррас и Суассон так называемое «Наступление Нивеля», названное по имени спланировавшего его командующего французской армией, потом вошло в историю под говорящим названием «Мясорубка Нивеля». А начатая англичанами в августе 1917 года Битва при Пашендейле (по названию деревни в окрестностях города Ипр на западе Бельгии) обернулась еще большими потерями практически без всякого результата.</w:t>
      </w:r>
    </w:p>
    <w:p w14:paraId="593E2430" w14:textId="6F4C6CA2" w:rsidR="00AC0AA6" w:rsidRPr="002F2FDF" w:rsidRDefault="00AC0AA6" w:rsidP="0083075A">
      <w:pPr>
        <w:pStyle w:val="ae"/>
        <w:spacing w:before="0" w:after="0"/>
        <w:jc w:val="both"/>
        <w:rPr>
          <w:color w:val="000000" w:themeColor="text1"/>
          <w:kern w:val="2"/>
          <w:sz w:val="16"/>
          <w:szCs w:val="16"/>
        </w:rPr>
      </w:pPr>
      <w:r w:rsidRPr="002F2FDF">
        <w:rPr>
          <w:color w:val="000000" w:themeColor="text1"/>
          <w:kern w:val="2"/>
          <w:sz w:val="16"/>
          <w:szCs w:val="16"/>
        </w:rPr>
        <w:t>В итоге британское командование разработало план нового наступления, в котором решающая роль впервые отводилась танковым соединениям. Среди прочего</w:t>
      </w:r>
      <w:r w:rsidR="00E52569">
        <w:rPr>
          <w:color w:val="000000" w:themeColor="text1"/>
          <w:kern w:val="2"/>
          <w:sz w:val="16"/>
          <w:szCs w:val="16"/>
        </w:rPr>
        <w:t xml:space="preserve"> </w:t>
      </w:r>
      <w:r w:rsidRPr="002F2FDF">
        <w:rPr>
          <w:color w:val="000000" w:themeColor="text1"/>
          <w:kern w:val="2"/>
          <w:sz w:val="16"/>
          <w:szCs w:val="16"/>
        </w:rPr>
        <w:t>это объяснялось переосмыслением роли танков в современной войне — было уже очевидно их огромное преимущество на поле боя, но командование никак не могло придумать, как это использовать для решительного прорыва обороны противника. В частности, все наступление при Пашендейле проходило по низменным полям Фландрии, которые от непрекращающихся дождей и артобстрелов превратились в непролазную трясину, в которой вязли и солдаты, и танки, что в итоге, как признали специалисты, фактически дискредитировало танковые войска в глазах солдат. Исходя из этого опыта, новое наступление британское командование после тщательной разведки решило проводить на более подходящей местности — малопересеченной и сухой, которая и нашлась к югу от Камбре.</w:t>
      </w:r>
    </w:p>
    <w:p w14:paraId="3FFF23D9" w14:textId="6CD79CB9" w:rsidR="00AC0AA6" w:rsidRPr="002F2FDF" w:rsidRDefault="00AC0AA6" w:rsidP="0083075A">
      <w:pPr>
        <w:pStyle w:val="ae"/>
        <w:spacing w:before="0" w:after="0"/>
        <w:jc w:val="both"/>
        <w:rPr>
          <w:color w:val="000000" w:themeColor="text1"/>
          <w:kern w:val="2"/>
          <w:sz w:val="16"/>
          <w:szCs w:val="16"/>
        </w:rPr>
      </w:pPr>
      <w:r w:rsidRPr="002F2FDF">
        <w:rPr>
          <w:color w:val="000000" w:themeColor="text1"/>
          <w:kern w:val="2"/>
          <w:sz w:val="16"/>
          <w:szCs w:val="16"/>
        </w:rPr>
        <w:t>Учитывая прежние неудачи, британцы тщательно подошли к подготовке операции — провели совместные тренировки по взаимодействию танковых экипажей и пехотных подразделений, отработали тактику преодоления танками глубоких и широких вражеских траншей. По этой методике</w:t>
      </w:r>
      <w:r w:rsidR="00E52569">
        <w:rPr>
          <w:color w:val="000000" w:themeColor="text1"/>
          <w:kern w:val="2"/>
          <w:sz w:val="16"/>
          <w:szCs w:val="16"/>
        </w:rPr>
        <w:t xml:space="preserve"> </w:t>
      </w:r>
      <w:r w:rsidRPr="002F2FDF">
        <w:rPr>
          <w:color w:val="000000" w:themeColor="text1"/>
          <w:kern w:val="2"/>
          <w:sz w:val="16"/>
          <w:szCs w:val="16"/>
        </w:rPr>
        <w:t>танки действовали группами не</w:t>
      </w:r>
      <w:r w:rsidR="00E52569">
        <w:rPr>
          <w:color w:val="000000" w:themeColor="text1"/>
          <w:kern w:val="2"/>
          <w:sz w:val="16"/>
          <w:szCs w:val="16"/>
        </w:rPr>
        <w:t xml:space="preserve"> </w:t>
      </w:r>
      <w:r w:rsidRPr="002F2FDF">
        <w:rPr>
          <w:color w:val="000000" w:themeColor="text1"/>
          <w:kern w:val="2"/>
          <w:sz w:val="16"/>
          <w:szCs w:val="16"/>
        </w:rPr>
        <w:t>менее чем по три машины, каждая из которых несла на себе фашину — большую связку хвороста. Один танк сначала должен был подавить сопротивление пехоты в первой линии окопов, потом второй — сбросить в нее фашину, по которой должен был пройти третий танк, сбросив, в свою</w:t>
      </w:r>
      <w:r w:rsidR="00E52569">
        <w:rPr>
          <w:color w:val="000000" w:themeColor="text1"/>
          <w:kern w:val="2"/>
          <w:sz w:val="16"/>
          <w:szCs w:val="16"/>
        </w:rPr>
        <w:t xml:space="preserve"> </w:t>
      </w:r>
      <w:r w:rsidRPr="002F2FDF">
        <w:rPr>
          <w:color w:val="000000" w:themeColor="text1"/>
          <w:kern w:val="2"/>
          <w:sz w:val="16"/>
          <w:szCs w:val="16"/>
        </w:rPr>
        <w:t>очередь, фашину уже во второй окоп, и т.д. Пехота англичан при этом тоже действовала несколькими группами, у каждой из которых была своя задача. После прорыва вражеской обороны британское командование планировало ввести в бой кавалерию, которая должна была стремительным рейдом взять сам Камбре и окружить вражескую группировку. При подготовке операции англичане строго соблюдали секретность, и при переброске к фронту танков обязательно открывали швальный огонь артиллерии и пулеметов, чтобы заглушить рев двигателей.</w:t>
      </w:r>
    </w:p>
    <w:p w14:paraId="3A0F1094" w14:textId="77777777" w:rsidR="00AC0AA6" w:rsidRPr="002F2FDF" w:rsidRDefault="00AC0AA6" w:rsidP="0083075A">
      <w:pPr>
        <w:pStyle w:val="ae"/>
        <w:spacing w:before="0" w:after="0"/>
        <w:jc w:val="both"/>
        <w:rPr>
          <w:color w:val="000000" w:themeColor="text1"/>
          <w:kern w:val="2"/>
          <w:sz w:val="16"/>
          <w:szCs w:val="16"/>
        </w:rPr>
      </w:pPr>
      <w:r w:rsidRPr="002F2FDF">
        <w:rPr>
          <w:color w:val="000000" w:themeColor="text1"/>
          <w:kern w:val="2"/>
          <w:sz w:val="16"/>
          <w:szCs w:val="16"/>
        </w:rPr>
        <w:t>Британские войска поднялись в атаку около 6 часов утра 20 ноября без традиционной артподготовки, ограничившись лишь «огненным валом», за которым шли танки, а чуть позади — пехота. Придуманная англичанам тактика сработала практически идеально, и уже к полудню им удалось продвинуться на 6-8 км, преодолев все три линии вражеской обороны. Однако британское командование опоздало с переброской кавалерии, атака которой началась с полуторачасовой задержкой. В результате немцы успели перебросить к месту прорыва подкрепления, которые встретили конницу шквальным пулеметным огнем. В итоге план и этого наступление провалился.</w:t>
      </w:r>
    </w:p>
    <w:p w14:paraId="6EFBC1F3" w14:textId="08976424" w:rsidR="00AC0AA6" w:rsidRPr="002F2FDF" w:rsidRDefault="00AC0AA6" w:rsidP="0083075A">
      <w:pPr>
        <w:pStyle w:val="ae"/>
        <w:spacing w:before="0" w:after="0"/>
        <w:jc w:val="both"/>
        <w:rPr>
          <w:color w:val="000000" w:themeColor="text1"/>
          <w:kern w:val="2"/>
          <w:sz w:val="16"/>
          <w:szCs w:val="16"/>
        </w:rPr>
      </w:pPr>
      <w:r w:rsidRPr="002F2FDF">
        <w:rPr>
          <w:color w:val="000000" w:themeColor="text1"/>
          <w:kern w:val="2"/>
          <w:sz w:val="16"/>
          <w:szCs w:val="16"/>
        </w:rPr>
        <w:t>К 22 ноября большинство танков израсходовало</w:t>
      </w:r>
      <w:r w:rsidR="00E52569">
        <w:rPr>
          <w:color w:val="000000" w:themeColor="text1"/>
          <w:kern w:val="2"/>
          <w:sz w:val="16"/>
          <w:szCs w:val="16"/>
        </w:rPr>
        <w:t xml:space="preserve"> </w:t>
      </w:r>
      <w:r w:rsidRPr="002F2FDF">
        <w:rPr>
          <w:color w:val="000000" w:themeColor="text1"/>
          <w:kern w:val="2"/>
          <w:sz w:val="16"/>
          <w:szCs w:val="16"/>
        </w:rPr>
        <w:t>запасы топлива и боеприпасов, пополнить их под огнем было невозможно, а британская пехота без поддержки танков двигаться вперед уже не могла, и завязались тяжелые позиционные бои. Немцы же продолжали стягивать резервы, готовя контрнаступление (17045).</w:t>
      </w:r>
    </w:p>
    <w:p w14:paraId="4B4C6C5B"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E5BA3F" w14:textId="77777777" w:rsidR="00AC0AA6" w:rsidRPr="002F2FDF" w:rsidRDefault="00AC0A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7 (20) ноября 1917 г. утром командир Танкового корпуса генерал Эллиса лично возглавил танковую атаку, находясь в танке Mk IV («самка») с собственным именем «Хильда» батальона H, шедшего в центре боевого порядка. В традициях британского флота он даже поднял над танком свой флаг. Правда, «Хильда» уже при прохождении первой линии германской обороны провалилась в окоп возле Рибекура, и Эллису пришлось ее покинуть.</w:t>
      </w:r>
    </w:p>
    <w:p w14:paraId="0126DEE7" w14:textId="77777777" w:rsidR="00AC0AA6" w:rsidRPr="002F2FDF" w:rsidRDefault="00AC0A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Для проведения операции был выбран участок фронта на немецкой оборонительной линии Гинденбурга, в районе города Камбрэ. Местность здесь была удобной для продвижения танков — твердый грунт, небольшое количество канав и воронок. Кроме разумного выбора местности, план танковой атаки содержал и несколько тактических новинок. Так, для достижения внезапности полностью отказались от предварительной артиллерийской подготовки — разрушить проволочные заграждения противника должны были сами танки. Также предусматривалось, что танки будут применяться массированно и в тесном взаимодействии с пехотой.</w:t>
      </w:r>
    </w:p>
    <w:p w14:paraId="4B41F97E" w14:textId="77777777" w:rsidR="00AC0AA6" w:rsidRPr="002F2FDF" w:rsidRDefault="00AC0A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Британцам удалось скрытно сосредоточить в намеченном районе сильную ударную группировку: 378 боевых и 98 специальных танков (практически весь Танковый корпус), более 1 000 орудий, восемь пехотных дивизий, один кавалерийский корпус. На участке прорыва в 12 км, на один километр немецкого фронта приходилось по 32 британских танка.</w:t>
      </w:r>
    </w:p>
    <w:p w14:paraId="3D0D2BBE" w14:textId="77777777" w:rsidR="00AC0AA6" w:rsidRPr="002F2FDF" w:rsidRDefault="00AC0A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британские танки рвали проволочные заграждения, как нитки, наматывая на гусеницы километр за километром. К вечеру они продвинулись в глубину почти на 10 км. Были прорваны все три позиции германской обороны, захвачено около 8 000 пленных и 100 орудий. Успех был обеспечен не столько «массой танков», сколько их рациональным применением в тесном взаимодействии с другими родами войск. Правда, за успех пришлось заплатить потерей 280 танков (более половины принявших участие в атаке). При этом только около полусотни были подбиты вражеским огнем, основная же часть вышла из строя по техническим причинам (самым слабым местом оказалась трансмиссия, часто разрушались гусеничные ленты (22790)</w:t>
      </w:r>
    </w:p>
    <w:p w14:paraId="3D53FC94" w14:textId="77777777" w:rsidR="00AC0AA6" w:rsidRPr="002F2FDF" w:rsidRDefault="00AC0A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После успешного прорыва у англичан практически не оставалось резервов — британский атакующий клин расплылся. Немцы же оперативно подтянули к участку прорыва свежие части и сначала остановили британцев, а спустя несколько дней перешли в успешное контрнаступление, вернув обратно территорию и в качестве бонуса захватив около 100 танков Mk IV (в основном неисправных) (22790).</w:t>
      </w:r>
    </w:p>
    <w:p w14:paraId="5A0D8A76" w14:textId="77777777" w:rsidR="00AC0AA6" w:rsidRPr="002F2FDF" w:rsidRDefault="00AC0AA6" w:rsidP="0083075A">
      <w:pPr>
        <w:spacing w:after="0" w:line="240" w:lineRule="auto"/>
        <w:jc w:val="both"/>
        <w:rPr>
          <w:rFonts w:ascii="Times New Roman" w:hAnsi="Times New Roman" w:cs="Times New Roman"/>
          <w:color w:val="000000" w:themeColor="text1"/>
          <w:sz w:val="16"/>
          <w:szCs w:val="16"/>
        </w:rPr>
      </w:pPr>
    </w:p>
    <w:p w14:paraId="5485C2C2"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период с 7 (20) по 13 (26) ноября 1945 германские подводные лодки затопили 45 судов (17045).</w:t>
      </w:r>
    </w:p>
    <w:p w14:paraId="2A8D69EA" w14:textId="77777777" w:rsidR="00AC0AA6" w:rsidRPr="002F2FDF" w:rsidRDefault="00AC0AA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461E1E" w14:textId="77777777" w:rsidR="003032C8" w:rsidRPr="002F2FDF" w:rsidRDefault="003032C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4FE434F" w14:textId="77777777" w:rsidR="003032C8" w:rsidRPr="002F2FDF" w:rsidRDefault="003032C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690271" w14:textId="77777777" w:rsidR="003032C8" w:rsidRPr="002F2FDF" w:rsidRDefault="003032C8"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ноября 1917 года Р. Ф. Мельцер заключил договор на проектирование и строи</w:t>
      </w:r>
      <w:r w:rsidRPr="002F2FDF">
        <w:rPr>
          <w:rFonts w:ascii="Times New Roman" w:hAnsi="Times New Roman" w:cs="Times New Roman"/>
          <w:color w:val="000000" w:themeColor="text1"/>
          <w:kern w:val="2"/>
          <w:sz w:val="16"/>
          <w:szCs w:val="16"/>
        </w:rPr>
        <w:softHyphen/>
        <w:t>тельство летающих лодок собственной системы с талантливым конструктором, военным летчиком Е. Р. Энгельсом, но он, к сожалению, через месяц погиб при испытаниях своего аппарата. Тогда для доводки перспективных летающих ло</w:t>
      </w:r>
      <w:r w:rsidRPr="002F2FDF">
        <w:rPr>
          <w:rFonts w:ascii="Times New Roman" w:hAnsi="Times New Roman" w:cs="Times New Roman"/>
          <w:color w:val="000000" w:themeColor="text1"/>
          <w:kern w:val="2"/>
          <w:sz w:val="16"/>
          <w:szCs w:val="16"/>
        </w:rPr>
        <w:softHyphen/>
        <w:t>док Энгельса и разработки новых летательных аппаратов был приглашен на дол</w:t>
      </w:r>
      <w:r w:rsidRPr="002F2FDF">
        <w:rPr>
          <w:rFonts w:ascii="Times New Roman" w:hAnsi="Times New Roman" w:cs="Times New Roman"/>
          <w:color w:val="000000" w:themeColor="text1"/>
          <w:kern w:val="2"/>
          <w:sz w:val="16"/>
          <w:szCs w:val="16"/>
        </w:rPr>
        <w:softHyphen/>
        <w:t>жность руководителя самолетного отделения завода конструктор А. Ю. Виллиш. 27 апреля 1917 г. Военно-Морское ведомство выдало Мельцеру заказ на 200 летающих лодок разного типа конструкций Е. Р. Энгельса и А. Ю. Вилли- ша, а также Д. П. Григоровича и П. А. Шишкова</w:t>
      </w:r>
      <w:r w:rsidRPr="002F2FDF">
        <w:rPr>
          <w:rFonts w:ascii="Times New Roman" w:hAnsi="Times New Roman" w:cs="Times New Roman"/>
          <w:color w:val="000000" w:themeColor="text1"/>
          <w:kern w:val="2"/>
          <w:sz w:val="16"/>
          <w:szCs w:val="16"/>
          <w:vertAlign w:val="superscript"/>
        </w:rPr>
        <w:t>95</w:t>
      </w:r>
      <w:r w:rsidRPr="002F2FDF">
        <w:rPr>
          <w:rFonts w:ascii="Times New Roman" w:hAnsi="Times New Roman" w:cs="Times New Roman"/>
          <w:color w:val="000000" w:themeColor="text1"/>
          <w:kern w:val="2"/>
          <w:sz w:val="16"/>
          <w:szCs w:val="16"/>
        </w:rPr>
        <w:t>. В 1917 г. должно было на</w:t>
      </w:r>
      <w:r w:rsidRPr="002F2FDF">
        <w:rPr>
          <w:rFonts w:ascii="Times New Roman" w:hAnsi="Times New Roman" w:cs="Times New Roman"/>
          <w:color w:val="000000" w:themeColor="text1"/>
          <w:kern w:val="2"/>
          <w:sz w:val="16"/>
          <w:szCs w:val="16"/>
        </w:rPr>
        <w:softHyphen/>
        <w:t>чаться их серийное строительство на заводах Мельцера в Петрограде и Бердян</w:t>
      </w:r>
      <w:r w:rsidRPr="002F2FDF">
        <w:rPr>
          <w:rFonts w:ascii="Times New Roman" w:hAnsi="Times New Roman" w:cs="Times New Roman"/>
          <w:color w:val="000000" w:themeColor="text1"/>
          <w:kern w:val="2"/>
          <w:sz w:val="16"/>
          <w:szCs w:val="16"/>
        </w:rPr>
        <w:softHyphen/>
        <w:t>ске. Для сборки и сдачи самолетов в Петрограде фирмой возводились ангары и мастерские у Комендантского аэродрома и на Крестовском острове (15740).</w:t>
      </w:r>
    </w:p>
    <w:p w14:paraId="7C8F9398" w14:textId="77777777" w:rsidR="003032C8" w:rsidRPr="002F2FDF" w:rsidRDefault="003032C8" w:rsidP="0083075A">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61E36B00" w14:textId="77777777" w:rsidR="00714C8B" w:rsidRPr="002F2FDF" w:rsidRDefault="00714C8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C8CCD24" w14:textId="77777777" w:rsidR="00714C8B" w:rsidRPr="002F2FDF" w:rsidRDefault="00714C8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A6DEBA" w14:textId="77777777" w:rsidR="00714C8B" w:rsidRPr="002F2FDF" w:rsidRDefault="00714C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начале ноября 1917 г. летно-подъемный состав военной авиации России насчитывал примерно 2000 человек, из них 295 летчиковсолдат. Значительная часть авиаторов-офицеров Советскую власть не поддержали. В то же время в ряды Красного ВФ встали бывшие офицеры русской военной авиации Ю.И. Арватов, И.А. Буоб, И.А. Валентей, И.Ф. Воедило, И.С. Железнов, А.Н. Лапчинский, С.Н. Никитин, А.В. Панкратьев, И.И. Петрожицкий, И. Савин, Е.Ф. Сапунов, П.А. Семенов, Е.К. Стоман, М.П. Строев, А.К. Туманский, А.Д. Ширинкин, Н.А. Яцук и др.</w:t>
      </w:r>
    </w:p>
    <w:p w14:paraId="4CBB8120" w14:textId="77777777" w:rsidR="00714C8B" w:rsidRPr="002F2FDF" w:rsidRDefault="00714C8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После Октябрьской революции поддержали Советскую власть всего около 300 летчиков и примерно 150 летчиковнаблюдателей. К проблеме недостатка летно-подъемного состава, присовокупилась нехватка мотористов (19566).</w:t>
      </w:r>
    </w:p>
    <w:p w14:paraId="505596B2" w14:textId="77777777" w:rsidR="00714C8B" w:rsidRPr="002F2FDF" w:rsidRDefault="00714C8B" w:rsidP="0083075A">
      <w:pPr>
        <w:spacing w:after="0" w:line="240" w:lineRule="auto"/>
        <w:jc w:val="both"/>
        <w:rPr>
          <w:rFonts w:ascii="Times New Roman" w:hAnsi="Times New Roman" w:cs="Times New Roman"/>
          <w:color w:val="000000" w:themeColor="text1"/>
          <w:sz w:val="16"/>
          <w:szCs w:val="16"/>
        </w:rPr>
      </w:pPr>
    </w:p>
    <w:p w14:paraId="5FDF6819" w14:textId="77777777" w:rsidR="00D11A13" w:rsidRPr="00FB4F67" w:rsidRDefault="00D11A1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ноября 1917 г. в ведении Департамента училища военно-воздушного флота находились следующие авиационные и воздухоплавательные школы (дата установлена): Офицерская воздухоплавательная школа в Петрограде (1904 г.) на Волковом поле; Военная авиашкола в Севастополе (1910 г.) летчики-офицеры, 1917 г. секции в Каче, Бельбеке, Симферополе, осень 1917 г. Симферопольская секция имела французских инструкторов; Военная авиационная школа в Гатчине (1911 г.), аэродром Корпусной, офицерские летные и моторные курсы, с 1 марта 1918 г. переименована в Военную школу Красного Воздушного Флота; В Петроградском политехническом институте (1915) начались теоретические авиационные курсы; Московское высшее техническое училище (1915) теоретические авиационные курсы; Военная авиационная школа в Москве (1916) на Ходынке для летчиков; Военная авиационная школа в Тифлисе (август 1916 г.) для летчиков; Военная школа летчиков-наблюдателей в Киеве (1916 г.) осенью 1917 г. переведена в Евпаторию; Военно-воздушная боевая школа в Красном Селе (1917 г.), образованная на базе бывшего Одесского училища аэроклуба; Военная авиационная школа в Петрограде (1917) на Комендантском аэродроме для солдатских летчиков; Военная авиационная школа в Одессе (1917 г.) для летчиков-истребителей, в которой работали французские инструкторы; Военная авиационная школа в Харькове (весна 1917 г.) (Гатчинское отделение) для солдатских летчиков, но не успела развить деятельность; Высшая боевая школа в Евпатории (1917) летчиков-истребителей; Аэронавигационное училище при Киеве (1917), штурманские курсы; Следующие школы подчинялись Управлению морской авиации; Морское авиационное училище в Петрограде (середина 1915 г.) на Гутуевском острове для морских летчиков, осенью 1917 г. переведено в Ораниенбаум; Школа морской авиации в Баку (февраль 1917 г.) для морских летчиков; Боевая авиашкола в Красном Селе (июнь 1917 г.) для морских летчиков; Школа морской авиации в Гапсале (июнь-сентябрь 1917 г.) неофициальная школа, в которой несколько морских унтер-офицеров обучались пилотам (23525).</w:t>
      </w:r>
    </w:p>
    <w:p w14:paraId="18A96D96" w14:textId="77777777" w:rsidR="00D11A13" w:rsidRPr="00FB4F67" w:rsidRDefault="00D11A13" w:rsidP="0083075A">
      <w:pPr>
        <w:spacing w:after="0" w:line="240" w:lineRule="auto"/>
        <w:jc w:val="both"/>
        <w:rPr>
          <w:rFonts w:ascii="Times New Roman" w:hAnsi="Times New Roman" w:cs="Times New Roman"/>
          <w:color w:val="0070C0"/>
          <w:sz w:val="16"/>
          <w:szCs w:val="16"/>
        </w:rPr>
      </w:pPr>
    </w:p>
    <w:p w14:paraId="1793231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2B6DD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539497" w14:textId="3002BD62" w:rsidR="00D11A13" w:rsidRPr="00FB4F67" w:rsidRDefault="00D11A13"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8 (</w:t>
      </w:r>
      <w:r w:rsidRPr="00FB4F67">
        <w:rPr>
          <w:rFonts w:ascii="Times New Roman" w:hAnsi="Times New Roman" w:cs="Times New Roman"/>
          <w:color w:val="0070C0"/>
          <w:sz w:val="16"/>
          <w:szCs w:val="16"/>
        </w:rPr>
        <w:t>21</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ноября 1917 г. военный комиссар прапорщик Н. В. Крыленко утвердил братание русских войск на всех фронтах. Советское правительство начало переговоры с центральными державами (23525).</w:t>
      </w:r>
    </w:p>
    <w:p w14:paraId="467843A4" w14:textId="77777777" w:rsidR="00D11A13" w:rsidRPr="00FB4F67" w:rsidRDefault="00D11A13" w:rsidP="0083075A">
      <w:pPr>
        <w:spacing w:after="0" w:line="240" w:lineRule="auto"/>
        <w:jc w:val="both"/>
        <w:rPr>
          <w:rFonts w:ascii="Times New Roman" w:hAnsi="Times New Roman" w:cs="Times New Roman"/>
          <w:color w:val="0070C0"/>
          <w:sz w:val="16"/>
          <w:szCs w:val="16"/>
        </w:rPr>
      </w:pPr>
    </w:p>
    <w:p w14:paraId="3C5ACE1C" w14:textId="77777777" w:rsidR="00A21D78" w:rsidRPr="002F2FDF" w:rsidRDefault="00A21D7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ноября 1917 Совнарком направил радиотелеграмму и. о. верховного главнокомандующего русской армии генералу Н. Н. Духонину, приказав ему немедленно предложить перемирие всем воюющим странам. В тот же день за отказ выполнить это распоряжение Н. Н. Духонину было объявлено о его смещении с должности. Наркоминдел Троцкий обратился с нотой ко всем послам союзных держав, предлагая объявить перемирие и начать мирные переговоры (12629).</w:t>
      </w:r>
    </w:p>
    <w:p w14:paraId="02A1E4A4" w14:textId="77777777" w:rsidR="00A21D78" w:rsidRPr="002F2FDF" w:rsidRDefault="00A21D7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CD113E" w14:textId="19D36654" w:rsidR="00FA7CE5" w:rsidRPr="002F2FDF" w:rsidRDefault="00FA7CE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r w:rsidR="00E52569">
        <w:rPr>
          <w:rFonts w:ascii="Times New Roman" w:hAnsi="Times New Roman" w:cs="Times New Roman"/>
          <w:color w:val="000000" w:themeColor="text1"/>
          <w:kern w:val="2"/>
          <w:sz w:val="16"/>
          <w:szCs w:val="16"/>
        </w:rPr>
        <w:t xml:space="preserve"> </w:t>
      </w:r>
      <w:hyperlink r:id="rId636" w:tooltip="21 ноября" w:history="1">
        <w:r w:rsidRPr="002F2FDF">
          <w:rPr>
            <w:rStyle w:val="a5"/>
            <w:rFonts w:ascii="Times New Roman" w:hAnsi="Times New Roman" w:cs="Times New Roman"/>
            <w:color w:val="000000" w:themeColor="text1"/>
            <w:kern w:val="2"/>
            <w:sz w:val="16"/>
            <w:szCs w:val="16"/>
            <w:u w:val="none"/>
          </w:rPr>
          <w:t>(21)</w:t>
        </w:r>
        <w:r w:rsidR="00E52569">
          <w:rPr>
            <w:rStyle w:val="a5"/>
            <w:rFonts w:ascii="Times New Roman" w:hAnsi="Times New Roman" w:cs="Times New Roman"/>
            <w:color w:val="000000" w:themeColor="text1"/>
            <w:kern w:val="2"/>
            <w:sz w:val="16"/>
            <w:szCs w:val="16"/>
            <w:u w:val="none"/>
          </w:rPr>
          <w:t xml:space="preserve"> </w:t>
        </w:r>
        <w:r w:rsidRPr="002F2FDF">
          <w:rPr>
            <w:rStyle w:val="a5"/>
            <w:rFonts w:ascii="Times New Roman" w:hAnsi="Times New Roman" w:cs="Times New Roman"/>
            <w:color w:val="000000" w:themeColor="text1"/>
            <w:kern w:val="2"/>
            <w:sz w:val="16"/>
            <w:szCs w:val="16"/>
            <w:u w:val="none"/>
          </w:rPr>
          <w:t>ноября</w:t>
        </w:r>
      </w:hyperlink>
      <w:r w:rsidR="00577C2C" w:rsidRPr="00577C2C">
        <w:rPr>
          <w:rFonts w:ascii="Times New Roman" w:hAnsi="Times New Roman" w:cs="Times New Roman"/>
          <w:color w:val="000000" w:themeColor="text1"/>
          <w:kern w:val="2"/>
          <w:sz w:val="16"/>
          <w:szCs w:val="16"/>
        </w:rPr>
        <w:t xml:space="preserve"> </w:t>
      </w:r>
      <w:r w:rsidR="00577C2C">
        <w:rPr>
          <w:rFonts w:ascii="Times New Roman" w:hAnsi="Times New Roman" w:cs="Times New Roman"/>
          <w:color w:val="000000" w:themeColor="text1"/>
          <w:kern w:val="2"/>
          <w:sz w:val="16"/>
          <w:szCs w:val="16"/>
        </w:rPr>
        <w:t>1917 г. в</w:t>
      </w:r>
      <w:r w:rsidR="00577C2C" w:rsidRPr="002F2FDF">
        <w:rPr>
          <w:rFonts w:ascii="Times New Roman" w:hAnsi="Times New Roman" w:cs="Times New Roman"/>
          <w:color w:val="000000" w:themeColor="text1"/>
          <w:kern w:val="2"/>
          <w:sz w:val="16"/>
          <w:szCs w:val="16"/>
        </w:rPr>
        <w:t xml:space="preserve"> ночь </w:t>
      </w:r>
      <w:r w:rsidRPr="002F2FDF">
        <w:rPr>
          <w:rFonts w:ascii="Times New Roman" w:hAnsi="Times New Roman" w:cs="Times New Roman"/>
          <w:color w:val="000000" w:themeColor="text1"/>
          <w:kern w:val="2"/>
          <w:sz w:val="16"/>
          <w:szCs w:val="16"/>
        </w:rPr>
        <w:t xml:space="preserve">Совнарком направил радиотелеграмму и. о. верховного главнокомандующего русской армии генералу </w:t>
      </w:r>
      <w:hyperlink r:id="rId637" w:tooltip="Духонин, Николай Николаевич" w:history="1">
        <w:r w:rsidRPr="002F2FDF">
          <w:rPr>
            <w:rStyle w:val="a5"/>
            <w:rFonts w:ascii="Times New Roman" w:hAnsi="Times New Roman" w:cs="Times New Roman"/>
            <w:color w:val="000000" w:themeColor="text1"/>
            <w:kern w:val="2"/>
            <w:sz w:val="16"/>
            <w:szCs w:val="16"/>
            <w:u w:val="none"/>
          </w:rPr>
          <w:t>Н. Н. Духонину</w:t>
        </w:r>
      </w:hyperlink>
      <w:r w:rsidRPr="002F2FDF">
        <w:rPr>
          <w:rFonts w:ascii="Times New Roman" w:hAnsi="Times New Roman" w:cs="Times New Roman"/>
          <w:color w:val="000000" w:themeColor="text1"/>
          <w:kern w:val="2"/>
          <w:sz w:val="16"/>
          <w:szCs w:val="16"/>
        </w:rPr>
        <w:t>, приказав ему обратиться к командованию армий противника с предложением прекратить военные действия и начать мирные переговоры. В предписании говорилось, что Совнарком считает необходимым «безотлагательно сделать формальное предложение перемирия всем воюющим странам, как союзным, так и находящимся с нами во враждебных действиях». 8</w:t>
      </w:r>
      <w:r w:rsidR="00E52569">
        <w:rPr>
          <w:rFonts w:ascii="Times New Roman" w:hAnsi="Times New Roman" w:cs="Times New Roman"/>
          <w:color w:val="000000" w:themeColor="text1"/>
          <w:kern w:val="2"/>
          <w:sz w:val="16"/>
          <w:szCs w:val="16"/>
        </w:rPr>
        <w:t xml:space="preserve"> </w:t>
      </w:r>
      <w:hyperlink r:id="rId638" w:tooltip="21 ноября" w:history="1">
        <w:r w:rsidRPr="002F2FDF">
          <w:rPr>
            <w:rStyle w:val="a5"/>
            <w:rFonts w:ascii="Times New Roman" w:hAnsi="Times New Roman" w:cs="Times New Roman"/>
            <w:color w:val="000000" w:themeColor="text1"/>
            <w:kern w:val="2"/>
            <w:sz w:val="16"/>
            <w:szCs w:val="16"/>
            <w:u w:val="none"/>
          </w:rPr>
          <w:t>(21)</w:t>
        </w:r>
        <w:r w:rsidR="00E52569">
          <w:rPr>
            <w:rStyle w:val="a5"/>
            <w:rFonts w:ascii="Times New Roman" w:hAnsi="Times New Roman" w:cs="Times New Roman"/>
            <w:color w:val="000000" w:themeColor="text1"/>
            <w:kern w:val="2"/>
            <w:sz w:val="16"/>
            <w:szCs w:val="16"/>
            <w:u w:val="none"/>
          </w:rPr>
          <w:t xml:space="preserve"> </w:t>
        </w:r>
        <w:r w:rsidRPr="002F2FDF">
          <w:rPr>
            <w:rStyle w:val="a5"/>
            <w:rFonts w:ascii="Times New Roman" w:hAnsi="Times New Roman" w:cs="Times New Roman"/>
            <w:color w:val="000000" w:themeColor="text1"/>
            <w:kern w:val="2"/>
            <w:sz w:val="16"/>
            <w:szCs w:val="16"/>
            <w:u w:val="none"/>
          </w:rPr>
          <w:t>ноября</w:t>
        </w:r>
      </w:hyperlink>
      <w:r w:rsidRPr="002F2FDF">
        <w:rPr>
          <w:rFonts w:ascii="Times New Roman" w:hAnsi="Times New Roman" w:cs="Times New Roman"/>
          <w:color w:val="000000" w:themeColor="text1"/>
          <w:kern w:val="2"/>
          <w:sz w:val="16"/>
          <w:szCs w:val="16"/>
        </w:rPr>
        <w:t xml:space="preserve"> за отказ выполнить это распоряжение Н. Н. Духонину было объявлено о его смещении с должности (вместо него 12</w:t>
      </w:r>
      <w:r w:rsidR="00E52569">
        <w:rPr>
          <w:rFonts w:ascii="Times New Roman" w:hAnsi="Times New Roman" w:cs="Times New Roman"/>
          <w:color w:val="000000" w:themeColor="text1"/>
          <w:kern w:val="2"/>
          <w:sz w:val="16"/>
          <w:szCs w:val="16"/>
        </w:rPr>
        <w:t xml:space="preserve"> </w:t>
      </w:r>
      <w:hyperlink r:id="rId639" w:tooltip="25 ноября" w:history="1">
        <w:r w:rsidRPr="002F2FDF">
          <w:rPr>
            <w:rStyle w:val="a5"/>
            <w:rFonts w:ascii="Times New Roman" w:hAnsi="Times New Roman" w:cs="Times New Roman"/>
            <w:color w:val="000000" w:themeColor="text1"/>
            <w:kern w:val="2"/>
            <w:sz w:val="16"/>
            <w:szCs w:val="16"/>
            <w:u w:val="none"/>
          </w:rPr>
          <w:t>(25)</w:t>
        </w:r>
        <w:r w:rsidR="00E52569">
          <w:rPr>
            <w:rStyle w:val="a5"/>
            <w:rFonts w:ascii="Times New Roman" w:hAnsi="Times New Roman" w:cs="Times New Roman"/>
            <w:color w:val="000000" w:themeColor="text1"/>
            <w:kern w:val="2"/>
            <w:sz w:val="16"/>
            <w:szCs w:val="16"/>
            <w:u w:val="none"/>
          </w:rPr>
          <w:t xml:space="preserve"> </w:t>
        </w:r>
        <w:r w:rsidRPr="002F2FDF">
          <w:rPr>
            <w:rStyle w:val="a5"/>
            <w:rFonts w:ascii="Times New Roman" w:hAnsi="Times New Roman" w:cs="Times New Roman"/>
            <w:color w:val="000000" w:themeColor="text1"/>
            <w:kern w:val="2"/>
            <w:sz w:val="16"/>
            <w:szCs w:val="16"/>
            <w:u w:val="none"/>
          </w:rPr>
          <w:t>ноября</w:t>
        </w:r>
      </w:hyperlink>
      <w:r w:rsidRPr="002F2FDF">
        <w:rPr>
          <w:rFonts w:ascii="Times New Roman" w:hAnsi="Times New Roman" w:cs="Times New Roman"/>
          <w:color w:val="000000" w:themeColor="text1"/>
          <w:kern w:val="2"/>
          <w:sz w:val="16"/>
          <w:szCs w:val="16"/>
        </w:rPr>
        <w:t xml:space="preserve"> Верховным главнокомандующим всеми сухопутными и морскими силами Российской республики назначается прапорщик царской армии </w:t>
      </w:r>
      <w:hyperlink r:id="rId640" w:tooltip="Крыленко, Николай Васильевич" w:history="1">
        <w:r w:rsidRPr="002F2FDF">
          <w:rPr>
            <w:rStyle w:val="a5"/>
            <w:rFonts w:ascii="Times New Roman" w:hAnsi="Times New Roman" w:cs="Times New Roman"/>
            <w:color w:val="000000" w:themeColor="text1"/>
            <w:kern w:val="2"/>
            <w:sz w:val="16"/>
            <w:szCs w:val="16"/>
            <w:u w:val="none"/>
          </w:rPr>
          <w:t>Н. В. Крыленко</w:t>
        </w:r>
      </w:hyperlink>
      <w:r w:rsidRPr="002F2FDF">
        <w:rPr>
          <w:rFonts w:ascii="Times New Roman" w:hAnsi="Times New Roman" w:cs="Times New Roman"/>
          <w:color w:val="000000" w:themeColor="text1"/>
          <w:kern w:val="2"/>
          <w:sz w:val="16"/>
          <w:szCs w:val="16"/>
        </w:rPr>
        <w:t xml:space="preserve">), а </w:t>
      </w:r>
      <w:hyperlink r:id="rId641" w:tooltip="Народный комиссариат по иностранным делам РСФСР" w:history="1">
        <w:r w:rsidRPr="002F2FDF">
          <w:rPr>
            <w:rStyle w:val="a5"/>
            <w:rFonts w:ascii="Times New Roman" w:hAnsi="Times New Roman" w:cs="Times New Roman"/>
            <w:color w:val="000000" w:themeColor="text1"/>
            <w:kern w:val="2"/>
            <w:sz w:val="16"/>
            <w:szCs w:val="16"/>
            <w:u w:val="none"/>
          </w:rPr>
          <w:t>Наркоминдел</w:t>
        </w:r>
      </w:hyperlink>
      <w:r w:rsidRPr="002F2FDF">
        <w:rPr>
          <w:rFonts w:ascii="Times New Roman" w:hAnsi="Times New Roman" w:cs="Times New Roman"/>
          <w:color w:val="000000" w:themeColor="text1"/>
          <w:kern w:val="2"/>
          <w:sz w:val="16"/>
          <w:szCs w:val="16"/>
        </w:rPr>
        <w:t xml:space="preserve"> обратился с </w:t>
      </w:r>
      <w:hyperlink r:id="rId642" w:tooltip="Нота (дипломатия)" w:history="1">
        <w:r w:rsidRPr="002F2FDF">
          <w:rPr>
            <w:rStyle w:val="a5"/>
            <w:rFonts w:ascii="Times New Roman" w:hAnsi="Times New Roman" w:cs="Times New Roman"/>
            <w:color w:val="000000" w:themeColor="text1"/>
            <w:kern w:val="2"/>
            <w:sz w:val="16"/>
            <w:szCs w:val="16"/>
            <w:u w:val="none"/>
          </w:rPr>
          <w:t>нотой</w:t>
        </w:r>
      </w:hyperlink>
      <w:r w:rsidRPr="002F2FDF">
        <w:rPr>
          <w:rFonts w:ascii="Times New Roman" w:hAnsi="Times New Roman" w:cs="Times New Roman"/>
          <w:color w:val="000000" w:themeColor="text1"/>
          <w:kern w:val="2"/>
          <w:sz w:val="16"/>
          <w:szCs w:val="16"/>
        </w:rPr>
        <w:t xml:space="preserve"> ко всем послам </w:t>
      </w:r>
      <w:hyperlink r:id="rId643" w:tooltip="Антанта" w:history="1">
        <w:r w:rsidRPr="002F2FDF">
          <w:rPr>
            <w:rStyle w:val="a5"/>
            <w:rFonts w:ascii="Times New Roman" w:hAnsi="Times New Roman" w:cs="Times New Roman"/>
            <w:color w:val="000000" w:themeColor="text1"/>
            <w:kern w:val="2"/>
            <w:sz w:val="16"/>
            <w:szCs w:val="16"/>
            <w:u w:val="none"/>
          </w:rPr>
          <w:t>союзных держав</w:t>
        </w:r>
      </w:hyperlink>
      <w:r w:rsidRPr="002F2FDF">
        <w:rPr>
          <w:rFonts w:ascii="Times New Roman" w:hAnsi="Times New Roman" w:cs="Times New Roman"/>
          <w:color w:val="000000" w:themeColor="text1"/>
          <w:kern w:val="2"/>
          <w:sz w:val="16"/>
          <w:szCs w:val="16"/>
        </w:rPr>
        <w:t>, предлагая объявить перемирие и начать мирные переговоры (17035).</w:t>
      </w:r>
    </w:p>
    <w:p w14:paraId="311B2AB4" w14:textId="77777777" w:rsidR="00FA7CE5" w:rsidRPr="002F2FDF" w:rsidRDefault="00FA7CE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E71641" w14:textId="77777777" w:rsidR="0068196A" w:rsidRPr="002F2FDF" w:rsidRDefault="0068196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8 (21) ноября 1917 г. временно исполняющим должность Верховного главнокомандующего ге</w:t>
      </w:r>
      <w:r w:rsidRPr="002F2FDF">
        <w:rPr>
          <w:rFonts w:ascii="Times New Roman" w:hAnsi="Times New Roman" w:cs="Times New Roman"/>
          <w:color w:val="000000" w:themeColor="text1"/>
          <w:sz w:val="16"/>
          <w:szCs w:val="16"/>
        </w:rPr>
        <w:softHyphen/>
        <w:t>нерал-лейтенантом Духониным было утверж</w:t>
      </w:r>
      <w:r w:rsidRPr="002F2FDF">
        <w:rPr>
          <w:rFonts w:ascii="Times New Roman" w:hAnsi="Times New Roman" w:cs="Times New Roman"/>
          <w:color w:val="000000" w:themeColor="text1"/>
          <w:sz w:val="16"/>
          <w:szCs w:val="16"/>
        </w:rPr>
        <w:softHyphen/>
        <w:t>дёно «Наставление по организации разведыва</w:t>
      </w:r>
      <w:r w:rsidRPr="002F2FDF">
        <w:rPr>
          <w:rFonts w:ascii="Times New Roman" w:hAnsi="Times New Roman" w:cs="Times New Roman"/>
          <w:color w:val="000000" w:themeColor="text1"/>
          <w:sz w:val="16"/>
          <w:szCs w:val="16"/>
        </w:rPr>
        <w:softHyphen/>
        <w:t>тельной службы в действующей армии» - последний документ, регламентирующий ведение артиллерийской разведки с аэростата (20120).</w:t>
      </w:r>
    </w:p>
    <w:p w14:paraId="574D9AEC" w14:textId="77777777" w:rsidR="0068196A" w:rsidRPr="002F2FDF" w:rsidRDefault="0068196A" w:rsidP="0083075A">
      <w:pPr>
        <w:spacing w:after="0" w:line="240" w:lineRule="auto"/>
        <w:jc w:val="both"/>
        <w:rPr>
          <w:rFonts w:ascii="Times New Roman" w:hAnsi="Times New Roman" w:cs="Times New Roman"/>
          <w:color w:val="000000" w:themeColor="text1"/>
          <w:sz w:val="16"/>
          <w:szCs w:val="16"/>
        </w:rPr>
      </w:pPr>
    </w:p>
    <w:p w14:paraId="7A4208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ноября 1917 Совет Народных Комиссаров освободил подполковника М. А. Муравьева от исполнения обязанностей главнокомандующего по обороне Петрограда и войсками Петроградского военного округа, назначил на эту должность В.А. Антонова-Овсеенко (4216).</w:t>
      </w:r>
    </w:p>
    <w:p w14:paraId="524120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8CCE3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FD03A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5FFEA9" w14:textId="1EB3A07A" w:rsidR="001C5D77" w:rsidRPr="002F2FDF" w:rsidRDefault="001C5D7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8</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(21) ноября по 20</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декабря 1917 г.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связи с</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восстанием Каледина,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марте 1918 г.— с</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подписанием Брестского мира,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июне 1918 г.— с</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мятежом белочехов в Москве были периоды ограничения свободного выхода газет (19545).</w:t>
      </w:r>
    </w:p>
    <w:p w14:paraId="47B976E8" w14:textId="77777777" w:rsidR="001C5D77" w:rsidRPr="002F2FDF" w:rsidRDefault="001C5D77" w:rsidP="0083075A">
      <w:pPr>
        <w:spacing w:after="0" w:line="240" w:lineRule="auto"/>
        <w:jc w:val="both"/>
        <w:rPr>
          <w:rFonts w:ascii="Times New Roman" w:hAnsi="Times New Roman" w:cs="Times New Roman"/>
          <w:color w:val="000000" w:themeColor="text1"/>
          <w:sz w:val="16"/>
          <w:szCs w:val="16"/>
        </w:rPr>
      </w:pPr>
    </w:p>
    <w:p w14:paraId="31137022" w14:textId="77777777" w:rsidR="001C5D77" w:rsidRPr="002F2FDF" w:rsidRDefault="001C5D7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8 (21) ноября 1917. Общее собрание служащих участковых комиссариатов московской городской милиции единогласно постановило прекратить работу впредь до осуществления поставленных условий: удаление ставленников Военно-революционного комитета на всех учреждений московской милиции. возвращение всех уволенных товарищей, восстановление прежнего порядка замещения должностей в милиции. На общей студенческой сходке учащихся высших учебных заведений принято решение отложить проведение занятий до 1 января 1918 года.</w:t>
      </w:r>
    </w:p>
    <w:p w14:paraId="51C197A0" w14:textId="77777777" w:rsidR="001C5D77" w:rsidRPr="002F2FDF" w:rsidRDefault="001C5D7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зале заседаний бывшей Городской Думы состоялось собранно районных дум под председательством Н. А, Семашко. Собрание заявило, что единственным органом власти в городе оно признает Моссовет. Избрали Совет районных дум, которому было передано управление городским хозяйством. Председателем бюро Совета был избран большевик М. Ф. Владимирский, заведующим отделом социального обеспечения - В. А. Обух, врачебным отделом - Н. А. Семашко.</w:t>
      </w:r>
    </w:p>
    <w:p w14:paraId="0AE2B5B6" w14:textId="77777777" w:rsidR="001C5D77" w:rsidRPr="002F2FDF" w:rsidRDefault="001C5D7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Собрание коллектива Большого театра приняло резолюцию об открытии первого сезона после Октябрьской революции.</w:t>
      </w:r>
    </w:p>
    <w:p w14:paraId="3661BFC4" w14:textId="77777777" w:rsidR="001C5D77" w:rsidRPr="002F2FDF" w:rsidRDefault="001C5D7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Московские газеты пестрели заголовками: "На развалинах", "Апофеоз братоубийства", "Со взломом". "Украденный закон", "Братский бой", "Дни ужасов", "Террор"...(18685).</w:t>
      </w:r>
    </w:p>
    <w:p w14:paraId="5F0681F7" w14:textId="77777777" w:rsidR="001C5D77" w:rsidRPr="002F2FDF" w:rsidRDefault="001C5D77" w:rsidP="0083075A">
      <w:pPr>
        <w:spacing w:after="0" w:line="240" w:lineRule="auto"/>
        <w:jc w:val="both"/>
        <w:rPr>
          <w:rFonts w:ascii="Times New Roman" w:hAnsi="Times New Roman" w:cs="Times New Roman"/>
          <w:color w:val="000000" w:themeColor="text1"/>
          <w:sz w:val="16"/>
          <w:szCs w:val="16"/>
        </w:rPr>
      </w:pPr>
    </w:p>
    <w:p w14:paraId="17B4D0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ноября 1917 вместо ушедшего в отставку Каменева (1348,88) Я.М.Свердлов избирается Председателем ВЦИК (3481).</w:t>
      </w:r>
    </w:p>
    <w:p w14:paraId="0EB63E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8AD942" w14:textId="77777777" w:rsidR="00D16D02" w:rsidRPr="002F2FDF" w:rsidRDefault="00D16D02" w:rsidP="0083075A">
      <w:pPr>
        <w:pStyle w:val="ae"/>
        <w:spacing w:before="0" w:after="0"/>
        <w:jc w:val="both"/>
        <w:rPr>
          <w:color w:val="000000" w:themeColor="text1"/>
          <w:kern w:val="2"/>
          <w:sz w:val="16"/>
          <w:szCs w:val="16"/>
        </w:rPr>
      </w:pPr>
      <w:r w:rsidRPr="002F2FDF">
        <w:rPr>
          <w:color w:val="000000" w:themeColor="text1"/>
          <w:kern w:val="2"/>
          <w:sz w:val="16"/>
          <w:szCs w:val="16"/>
        </w:rPr>
        <w:t>8 (21) ноября 1917 газета «Новая жизнь» привела свое резюме событиям в Москве: «В сущности своей Московская бойня была кошмарным кровавым избиением младенцев. С одной стороны — юноши красногвардейцы, не умеющие держать ружья в руках, и солдаты, почти не отдающие себе отчета — кого ради они идут на смерть, чего ради убивают? С другой — ничтожная количественно кучка юнкеров, мужественно исполняющих свой «долг», как это было внушено им».</w:t>
      </w:r>
    </w:p>
    <w:p w14:paraId="69BD5C44" w14:textId="77777777" w:rsidR="00D16D02" w:rsidRPr="002F2FDF" w:rsidRDefault="00D16D02" w:rsidP="0083075A">
      <w:pPr>
        <w:pStyle w:val="ae"/>
        <w:spacing w:before="0" w:after="0"/>
        <w:jc w:val="both"/>
        <w:rPr>
          <w:color w:val="000000" w:themeColor="text1"/>
          <w:kern w:val="2"/>
          <w:sz w:val="16"/>
          <w:szCs w:val="16"/>
        </w:rPr>
      </w:pPr>
      <w:r w:rsidRPr="002F2FDF">
        <w:rPr>
          <w:color w:val="000000" w:themeColor="text1"/>
          <w:kern w:val="2"/>
          <w:sz w:val="16"/>
          <w:szCs w:val="16"/>
        </w:rPr>
        <w:t>Всего в ходе боев и расправ в Москве с обеих сторон погибло несколько сотен человек, но многим офицерам и юнкерам удалось бежать и позднее пробраться на Дон (17045).</w:t>
      </w:r>
    </w:p>
    <w:p w14:paraId="20898BC0" w14:textId="77777777" w:rsidR="00D16D02" w:rsidRPr="002F2FDF" w:rsidRDefault="00D16D0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C30B0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ноября 1917 ВЦИК поручил Совнаркому решительно подавить саботаж в русских банках (4962).</w:t>
      </w:r>
    </w:p>
    <w:p w14:paraId="708B1A4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7C16F9" w14:textId="77777777" w:rsidR="005D2783" w:rsidRPr="002F2FDF" w:rsidRDefault="005D278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8 (21) ноября </w:t>
      </w:r>
      <w:r w:rsidRPr="002F2FDF">
        <w:rPr>
          <w:rFonts w:ascii="Times New Roman" w:hAnsi="Times New Roman" w:cs="Times New Roman"/>
          <w:color w:val="000000" w:themeColor="text1"/>
          <w:kern w:val="2"/>
          <w:sz w:val="16"/>
          <w:szCs w:val="16"/>
        </w:rPr>
        <w:t>в 1917 году общее собрание Российской Академии Наук приняло обращение к ученым, в котором было высказано отрицательное отношение к захвату власти большевиками (14836).</w:t>
      </w:r>
    </w:p>
    <w:p w14:paraId="6A8A07A0" w14:textId="77777777" w:rsidR="005D2783" w:rsidRPr="002F2FDF" w:rsidRDefault="005D2783" w:rsidP="0083075A">
      <w:pPr>
        <w:spacing w:after="0" w:line="240" w:lineRule="auto"/>
        <w:jc w:val="both"/>
        <w:rPr>
          <w:rFonts w:ascii="Times New Roman" w:hAnsi="Times New Roman" w:cs="Times New Roman"/>
          <w:color w:val="000000" w:themeColor="text1"/>
          <w:kern w:val="2"/>
          <w:sz w:val="16"/>
          <w:szCs w:val="16"/>
        </w:rPr>
      </w:pPr>
    </w:p>
    <w:p w14:paraId="4C5375A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38D5F4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06CC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ноября 1917 Правительство Советской России направило послам Великобритании, Франции и США и ряда других стран ноту с предложением о заключении перемирия на всех фронтах и начале переговоров о мире. Неделю спустя, не получив ответа. Объявили о предстоящем начале сепаратных переговоров о мире с Германией (3186) - это была нота, подписанная Л.Д.Т. (3481).</w:t>
      </w:r>
    </w:p>
    <w:p w14:paraId="36E6FB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592028" w14:textId="77777777" w:rsidR="005D2783" w:rsidRPr="002F2FDF" w:rsidRDefault="005D278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8 (21) ноября </w:t>
      </w:r>
      <w:r w:rsidRPr="002F2FDF">
        <w:rPr>
          <w:rFonts w:ascii="Times New Roman" w:hAnsi="Times New Roman" w:cs="Times New Roman"/>
          <w:color w:val="000000" w:themeColor="text1"/>
          <w:kern w:val="2"/>
          <w:sz w:val="16"/>
          <w:szCs w:val="16"/>
        </w:rPr>
        <w:t>в 1917 году советское правительство России посылает ноту наркома иностранных дел Л.Троцкого, в которой всем воюющим сторонам предлагается начать переговоры о мире (14836).</w:t>
      </w:r>
    </w:p>
    <w:p w14:paraId="34338B54" w14:textId="77777777" w:rsidR="005D2783" w:rsidRPr="002F2FDF" w:rsidRDefault="005D2783" w:rsidP="0083075A">
      <w:pPr>
        <w:spacing w:after="0" w:line="240" w:lineRule="auto"/>
        <w:jc w:val="both"/>
        <w:rPr>
          <w:rFonts w:ascii="Times New Roman" w:hAnsi="Times New Roman" w:cs="Times New Roman"/>
          <w:color w:val="000000" w:themeColor="text1"/>
          <w:kern w:val="2"/>
          <w:sz w:val="16"/>
          <w:szCs w:val="16"/>
        </w:rPr>
      </w:pPr>
    </w:p>
    <w:p w14:paraId="3874E577" w14:textId="77777777" w:rsidR="005D2783" w:rsidRPr="002F2FDF" w:rsidRDefault="005D278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8 (21) ноября </w:t>
      </w:r>
      <w:r w:rsidRPr="002F2FDF">
        <w:rPr>
          <w:rFonts w:ascii="Times New Roman" w:hAnsi="Times New Roman" w:cs="Times New Roman"/>
          <w:color w:val="000000" w:themeColor="text1"/>
          <w:kern w:val="2"/>
          <w:sz w:val="16"/>
          <w:szCs w:val="16"/>
        </w:rPr>
        <w:t>в 1917 году Троцкий на заседании ВЦИК заявил: "Мы бросаем в сорную корзину истории все те старые договоры, по которым нам причитались чужие территории" (14836).</w:t>
      </w:r>
    </w:p>
    <w:p w14:paraId="7793D8CC" w14:textId="77777777" w:rsidR="005D2783" w:rsidRPr="002F2FDF" w:rsidRDefault="005D2783" w:rsidP="0083075A">
      <w:pPr>
        <w:spacing w:after="0" w:line="240" w:lineRule="auto"/>
        <w:jc w:val="both"/>
        <w:rPr>
          <w:rFonts w:ascii="Times New Roman" w:hAnsi="Times New Roman" w:cs="Times New Roman"/>
          <w:color w:val="000000" w:themeColor="text1"/>
          <w:kern w:val="2"/>
          <w:sz w:val="16"/>
          <w:szCs w:val="16"/>
        </w:rPr>
      </w:pPr>
    </w:p>
    <w:p w14:paraId="7DF110C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41CA5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0D28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C 8 по 11 (21 по 24) ноября 1917 состоялся полет Цеппелина L-59 в Африку (1043,109).</w:t>
      </w:r>
    </w:p>
    <w:p w14:paraId="65CD2A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DEFDD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ноября 1917 г. германский “Цеппелин” L-59, стартовав из Ямбола в Болгарии, долетел до района Хартума в судане и вернулся назад, пролетев, таким образом, за 95 часов 7000 км без посадки.</w:t>
      </w:r>
    </w:p>
    <w:p w14:paraId="27BCE2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4DB1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8 (21) ноября 1917 года в 8.34 дирижабль L-59 вылетел в Восточную Африку, имея на борту следующий груз: </w:t>
      </w:r>
    </w:p>
    <w:p w14:paraId="03A3D0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артснарядов, ручных гранат, винтовочных патронов 7400 кг; </w:t>
      </w:r>
    </w:p>
    <w:p w14:paraId="3E7F60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пулеметов и другого вооружения, а также полевых раций 3260 кг; </w:t>
      </w:r>
    </w:p>
    <w:p w14:paraId="37A321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разного имущества, обмундирования 200 кг; </w:t>
      </w:r>
    </w:p>
    <w:p w14:paraId="08430E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оптических приборов и прицелов 50 кг; </w:t>
      </w:r>
    </w:p>
    <w:p w14:paraId="0F8E37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медикаментов и перевязочных средств 2970 кг; </w:t>
      </w:r>
    </w:p>
    <w:p w14:paraId="5DFAE9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почты 53 кг; </w:t>
      </w:r>
    </w:p>
    <w:p w14:paraId="7DD30A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книг 53 кг. </w:t>
      </w:r>
    </w:p>
    <w:p w14:paraId="243FF6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Необходимо отметить, что воздушная обстановка в пути оставалась неясной, так как совершенно отсутствовали метеорологические данные над территорией стран противника и всей Африки. Дирижабль миновал район Смирны, пересек Средиземное море и пошел западнее Нила, мимо острова Сирос, Фарофра и Дахель. </w:t>
      </w:r>
    </w:p>
    <w:p w14:paraId="44D9EF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Условия полета над Африкой были испытаны впервые. Резкое охлаждение ночью заставляло расходовать балласт. Днем температура в гондолах поднималась до изнуряющих величин, а суточные ее колебания еще над Малой Азией достигали 40°С. </w:t>
      </w:r>
    </w:p>
    <w:p w14:paraId="77B952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Вертикальные течения и вихри в южных районах Сахары существенным образом осложняли полет и вызывали острые приступы морской болезни у всех членов экипажа, даже у самых закаленных. Неожиданным и приятным открытием стал тот факт, что муссоны над пустыней Сахара в нижних слоях в это время года дуют с севера-востока, а в верхних — с юга, что способствовало увеличению скорости полета в обоих направлениях. </w:t>
      </w:r>
    </w:p>
    <w:p w14:paraId="1B8EED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Параллельно с боевыми операциями на Западном и Восточном фронтах шла отчаянная борьба за удержание колоний Того, Камеруна и Восточной Африки. Ее исход мог оказать решительное влияние на сохранение за Германией хотя бы части своих колоний. Поэтому понятно, насколько большое политическое значение придавалось результатам боев в Африке. В частности, в Восточной Африке отряды под командованием Леттова-Форбекс упорно сражались против численно превосходивших и технически более оснащенных сил противника. Отсутствие связи с окруженными частями не позволяло судить об их положении. Однако несомненным был тот факт, что немецкие войска испытывали крайнюю нужду в продовольствии, медикаментах и боеприпасах. Бывший немецкий колониальный врач Зупица внес предложение об использовании дирижабля для оказания помощи окруженным частям по воздуху. Его предложение было принято, но в наличии не было ни одного дирижабля, который мог бы выполнить такой полет и при этом доставить достаточное количество необходимых грузов. Совершенный незадолго до этого LZ-120 полет продолжительностью в 101 час доказал, что долететь до Восточной Африки можно. Оставался открытым вопрос обеспечения нужной грузоподъемности. Произведенные расчеты показали, что для выполнения всех условий полета необходимо иметь воздушный корабль значительно большего объема, чем находившиеся в это время в строю (11324). </w:t>
      </w:r>
    </w:p>
    <w:p w14:paraId="553794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E0DE52" w14:textId="77777777" w:rsidR="0068196A" w:rsidRPr="002F2FDF" w:rsidRDefault="0068196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8-11 (21–24) ноября 1917, пытаясь доставить медикаменты и боеприпасы немецким сухопутным войскам в Германской Восточной Африке, Цеппелин L 59 ВМФ Германии, специально модифицированный для полетов на большие расстояния, преодолевает 6 757 километров (4 196 статутных миль ). от Ямбола, Болгария, над европейской Турцией, Малой Азией и Средиземным морем и Африку до точки к западу от Хартума, прежде чем быть отозванной назад в Ямбол, который он достигает через 95 часов 5 минут непрерывного полета со средней скоростью 71 км. / ч (44 миль / ч). Полет устанавливает новый рекорд дальности. Дирижабль возвращается в Ямбол с достаточным количеством топлива на борту, чтобы оставаться в воздухе еще 64 часа (20341).</w:t>
      </w:r>
    </w:p>
    <w:p w14:paraId="34BDB8EC" w14:textId="77777777" w:rsidR="0068196A" w:rsidRPr="002F2FDF" w:rsidRDefault="0068196A" w:rsidP="0083075A">
      <w:pPr>
        <w:spacing w:after="0" w:line="240" w:lineRule="auto"/>
        <w:jc w:val="both"/>
        <w:rPr>
          <w:rFonts w:ascii="Times New Roman" w:hAnsi="Times New Roman" w:cs="Times New Roman"/>
          <w:color w:val="000000" w:themeColor="text1"/>
          <w:sz w:val="16"/>
          <w:szCs w:val="16"/>
        </w:rPr>
      </w:pPr>
    </w:p>
    <w:p w14:paraId="503FBF7B" w14:textId="19D5869E"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 xml:space="preserve">November </w:t>
      </w:r>
      <w:r w:rsidR="00577C2C" w:rsidRPr="00577C2C">
        <w:rPr>
          <w:rFonts w:ascii="Times New Roman" w:hAnsi="Times New Roman" w:cs="Times New Roman"/>
          <w:color w:val="000000" w:themeColor="text1"/>
          <w:kern w:val="2"/>
          <w:sz w:val="16"/>
          <w:szCs w:val="16"/>
          <w:lang w:val="en-US"/>
        </w:rPr>
        <w:t>8 (</w:t>
      </w:r>
      <w:r w:rsidRPr="002F2FDF">
        <w:rPr>
          <w:rFonts w:ascii="Times New Roman" w:hAnsi="Times New Roman" w:cs="Times New Roman"/>
          <w:color w:val="000000" w:themeColor="text1"/>
          <w:kern w:val="2"/>
          <w:sz w:val="16"/>
          <w:szCs w:val="16"/>
          <w:lang w:val="en-US"/>
        </w:rPr>
        <w:t>21</w:t>
      </w:r>
      <w:r w:rsidR="00577C2C" w:rsidRPr="00577C2C">
        <w:rPr>
          <w:rFonts w:ascii="Times New Roman" w:hAnsi="Times New Roman" w:cs="Times New Roman"/>
          <w:color w:val="000000" w:themeColor="text1"/>
          <w:kern w:val="2"/>
          <w:sz w:val="16"/>
          <w:szCs w:val="16"/>
          <w:lang w:val="en-US"/>
        </w:rPr>
        <w:t>)</w:t>
      </w:r>
      <w:r w:rsidRPr="002F2FDF">
        <w:rPr>
          <w:rFonts w:ascii="Times New Roman" w:hAnsi="Times New Roman" w:cs="Times New Roman"/>
          <w:color w:val="000000" w:themeColor="text1"/>
          <w:kern w:val="2"/>
          <w:sz w:val="16"/>
          <w:szCs w:val="16"/>
          <w:lang w:val="en-US"/>
        </w:rPr>
        <w:t>, 1917 A demonstration of the Navy N-9 flying bomb at Amityville, Long Island, was witnessed by Major Gen. George O. Squier, USA, Chief Signal Officer Subsequently the Army established a parallel aerial torpedo project (1090).</w:t>
      </w:r>
    </w:p>
    <w:p w14:paraId="38A1B6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ED632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lang w:val="en-US"/>
        </w:rPr>
        <w:t xml:space="preserve">8 </w:t>
      </w:r>
      <w:r w:rsidRPr="002F2FDF">
        <w:rPr>
          <w:rFonts w:ascii="Times New Roman" w:hAnsi="Times New Roman" w:cs="Times New Roman"/>
          <w:color w:val="000000" w:themeColor="text1"/>
          <w:kern w:val="2"/>
          <w:sz w:val="16"/>
          <w:szCs w:val="16"/>
        </w:rPr>
        <w:t>ноября</w:t>
      </w:r>
      <w:r w:rsidRPr="002F2FDF">
        <w:rPr>
          <w:rFonts w:ascii="Times New Roman" w:hAnsi="Times New Roman" w:cs="Times New Roman"/>
          <w:color w:val="000000" w:themeColor="text1"/>
          <w:kern w:val="2"/>
          <w:sz w:val="16"/>
          <w:szCs w:val="16"/>
          <w:lang w:val="en-US"/>
        </w:rPr>
        <w:t xml:space="preserve"> (21 </w:t>
      </w:r>
      <w:r w:rsidRPr="002F2FDF">
        <w:rPr>
          <w:rFonts w:ascii="Times New Roman" w:hAnsi="Times New Roman" w:cs="Times New Roman"/>
          <w:color w:val="000000" w:themeColor="text1"/>
          <w:kern w:val="2"/>
          <w:sz w:val="16"/>
          <w:szCs w:val="16"/>
        </w:rPr>
        <w:t>ноября</w:t>
      </w:r>
      <w:r w:rsidRPr="002F2FDF">
        <w:rPr>
          <w:rFonts w:ascii="Times New Roman" w:hAnsi="Times New Roman" w:cs="Times New Roman"/>
          <w:color w:val="000000" w:themeColor="text1"/>
          <w:kern w:val="2"/>
          <w:sz w:val="16"/>
          <w:szCs w:val="16"/>
          <w:lang w:val="en-US"/>
        </w:rPr>
        <w:t xml:space="preserve">) 1917 </w:t>
      </w:r>
      <w:r w:rsidRPr="002F2FDF">
        <w:rPr>
          <w:rFonts w:ascii="Times New Roman" w:hAnsi="Times New Roman" w:cs="Times New Roman"/>
          <w:color w:val="000000" w:themeColor="text1"/>
          <w:kern w:val="2"/>
          <w:sz w:val="16"/>
          <w:szCs w:val="16"/>
        </w:rPr>
        <w:t>посвидетельству</w:t>
      </w:r>
      <w:r w:rsidRPr="002F2FDF">
        <w:rPr>
          <w:rFonts w:ascii="Times New Roman" w:hAnsi="Times New Roman" w:cs="Times New Roman"/>
          <w:color w:val="000000" w:themeColor="text1"/>
          <w:kern w:val="2"/>
          <w:sz w:val="16"/>
          <w:szCs w:val="16"/>
          <w:lang w:val="en-US"/>
        </w:rPr>
        <w:t xml:space="preserve"> Major Gen. George O. Squier, USA, Chief Signal Officer </w:t>
      </w:r>
      <w:r w:rsidRPr="002F2FDF">
        <w:rPr>
          <w:rFonts w:ascii="Times New Roman" w:hAnsi="Times New Roman" w:cs="Times New Roman"/>
          <w:color w:val="000000" w:themeColor="text1"/>
          <w:kern w:val="2"/>
          <w:sz w:val="16"/>
          <w:szCs w:val="16"/>
        </w:rPr>
        <w:t>состояласьдемонстрациялетающейбомбыфлота</w:t>
      </w:r>
      <w:r w:rsidRPr="002F2FDF">
        <w:rPr>
          <w:rFonts w:ascii="Times New Roman" w:hAnsi="Times New Roman" w:cs="Times New Roman"/>
          <w:color w:val="000000" w:themeColor="text1"/>
          <w:kern w:val="2"/>
          <w:sz w:val="16"/>
          <w:szCs w:val="16"/>
          <w:lang w:val="en-US"/>
        </w:rPr>
        <w:t xml:space="preserve"> N-9 flying </w:t>
      </w:r>
      <w:r w:rsidRPr="002F2FDF">
        <w:rPr>
          <w:rFonts w:ascii="Times New Roman" w:hAnsi="Times New Roman" w:cs="Times New Roman"/>
          <w:color w:val="000000" w:themeColor="text1"/>
          <w:kern w:val="2"/>
          <w:sz w:val="16"/>
          <w:szCs w:val="16"/>
        </w:rPr>
        <w:t>в</w:t>
      </w:r>
      <w:r w:rsidRPr="002F2FDF">
        <w:rPr>
          <w:rFonts w:ascii="Times New Roman" w:hAnsi="Times New Roman" w:cs="Times New Roman"/>
          <w:color w:val="000000" w:themeColor="text1"/>
          <w:kern w:val="2"/>
          <w:sz w:val="16"/>
          <w:szCs w:val="16"/>
          <w:lang w:val="en-US"/>
        </w:rPr>
        <w:t xml:space="preserve"> Amityville, Long Island. </w:t>
      </w:r>
      <w:r w:rsidRPr="002F2FDF">
        <w:rPr>
          <w:rFonts w:ascii="Times New Roman" w:hAnsi="Times New Roman" w:cs="Times New Roman"/>
          <w:color w:val="000000" w:themeColor="text1"/>
          <w:kern w:val="2"/>
          <w:sz w:val="16"/>
          <w:szCs w:val="16"/>
        </w:rPr>
        <w:t>Соответственно армия также начала параллельный проект создания летающей торпеды (1090).</w:t>
      </w:r>
    </w:p>
    <w:p w14:paraId="6A6EE3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1CC20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94BB7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A116AD" w14:textId="77777777" w:rsidR="0068196A" w:rsidRPr="002F2FDF" w:rsidRDefault="0068196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9 (22) ноября 1917 г. начальник штаба ВГК гене</w:t>
      </w:r>
      <w:r w:rsidRPr="002F2FDF">
        <w:rPr>
          <w:rFonts w:ascii="Times New Roman" w:hAnsi="Times New Roman" w:cs="Times New Roman"/>
          <w:color w:val="000000" w:themeColor="text1"/>
          <w:sz w:val="16"/>
          <w:szCs w:val="16"/>
        </w:rPr>
        <w:softHyphen/>
        <w:t>рал-лейтенант Н.Н. Духонин издал секретный приказ № 877 о переформировании 27-го армей</w:t>
      </w:r>
      <w:r w:rsidRPr="002F2FDF">
        <w:rPr>
          <w:rFonts w:ascii="Times New Roman" w:hAnsi="Times New Roman" w:cs="Times New Roman"/>
          <w:color w:val="000000" w:themeColor="text1"/>
          <w:sz w:val="16"/>
          <w:szCs w:val="16"/>
        </w:rPr>
        <w:softHyphen/>
        <w:t>ского воздухоплавательного отряда в 1-й Поль</w:t>
      </w:r>
      <w:r w:rsidRPr="002F2FDF">
        <w:rPr>
          <w:rFonts w:ascii="Times New Roman" w:hAnsi="Times New Roman" w:cs="Times New Roman"/>
          <w:color w:val="000000" w:themeColor="text1"/>
          <w:sz w:val="16"/>
          <w:szCs w:val="16"/>
        </w:rPr>
        <w:softHyphen/>
        <w:t>ский воздухоплавательный отряд, сохранив имущество, штаты и табели отряда. Соглас</w:t>
      </w:r>
      <w:r w:rsidRPr="002F2FDF">
        <w:rPr>
          <w:rFonts w:ascii="Times New Roman" w:hAnsi="Times New Roman" w:cs="Times New Roman"/>
          <w:color w:val="000000" w:themeColor="text1"/>
          <w:sz w:val="16"/>
          <w:szCs w:val="16"/>
        </w:rPr>
        <w:softHyphen/>
        <w:t>но этому приказу переформирование должно было проводиться распоряжением командира 1-го Польского корпуса. Начальник Полевого управления авиации и воздухоплавания распоря</w:t>
      </w:r>
      <w:r w:rsidRPr="002F2FDF">
        <w:rPr>
          <w:rFonts w:ascii="Times New Roman" w:hAnsi="Times New Roman" w:cs="Times New Roman"/>
          <w:color w:val="000000" w:themeColor="text1"/>
          <w:sz w:val="16"/>
          <w:szCs w:val="16"/>
        </w:rPr>
        <w:softHyphen/>
        <w:t>дился личным составом 27-го армейского возду</w:t>
      </w:r>
      <w:r w:rsidRPr="002F2FDF">
        <w:rPr>
          <w:rFonts w:ascii="Times New Roman" w:hAnsi="Times New Roman" w:cs="Times New Roman"/>
          <w:color w:val="000000" w:themeColor="text1"/>
          <w:sz w:val="16"/>
          <w:szCs w:val="16"/>
        </w:rPr>
        <w:softHyphen/>
        <w:t>хоплавательного отряда пополнить другие воз</w:t>
      </w:r>
      <w:r w:rsidRPr="002F2FDF">
        <w:rPr>
          <w:rFonts w:ascii="Times New Roman" w:hAnsi="Times New Roman" w:cs="Times New Roman"/>
          <w:color w:val="000000" w:themeColor="text1"/>
          <w:sz w:val="16"/>
          <w:szCs w:val="16"/>
        </w:rPr>
        <w:softHyphen/>
        <w:t>духоплавательные части, а 1-й Польский отряд укомплектовать солдатами-поляками Западного фронта. Однако это распоряжение встретило сопротивление со стороны солдат подлежаще</w:t>
      </w:r>
      <w:r w:rsidRPr="002F2FDF">
        <w:rPr>
          <w:rFonts w:ascii="Times New Roman" w:hAnsi="Times New Roman" w:cs="Times New Roman"/>
          <w:color w:val="000000" w:themeColor="text1"/>
          <w:sz w:val="16"/>
          <w:szCs w:val="16"/>
        </w:rPr>
        <w:softHyphen/>
        <w:t>го переформированию отряда. Общее собрание отряда приняло решение опротестовать приказ и объявить отряд украинским. Представитель Центральной Рады при штабе ВГК попросил на</w:t>
      </w:r>
      <w:r w:rsidRPr="002F2FDF">
        <w:rPr>
          <w:rFonts w:ascii="Times New Roman" w:hAnsi="Times New Roman" w:cs="Times New Roman"/>
          <w:color w:val="000000" w:themeColor="text1"/>
          <w:sz w:val="16"/>
          <w:szCs w:val="16"/>
        </w:rPr>
        <w:softHyphen/>
        <w:t>править 27-й армейский воздухоплавательный отряд в Киев. В этих условиях временно испол</w:t>
      </w:r>
      <w:r w:rsidRPr="002F2FDF">
        <w:rPr>
          <w:rFonts w:ascii="Times New Roman" w:hAnsi="Times New Roman" w:cs="Times New Roman"/>
          <w:color w:val="000000" w:themeColor="text1"/>
          <w:sz w:val="16"/>
          <w:szCs w:val="16"/>
        </w:rPr>
        <w:softHyphen/>
        <w:t>няющий должность начальника Полевого управ</w:t>
      </w:r>
      <w:r w:rsidRPr="002F2FDF">
        <w:rPr>
          <w:rFonts w:ascii="Times New Roman" w:hAnsi="Times New Roman" w:cs="Times New Roman"/>
          <w:color w:val="000000" w:themeColor="text1"/>
          <w:sz w:val="16"/>
          <w:szCs w:val="16"/>
        </w:rPr>
        <w:softHyphen/>
        <w:t>ления авиации и воздухоплавания В.Л. Нижев- ский предложил Н.Н. Духонину сформировать Польский отряд на базе имущества Западного воздухоплавательного парка (воздухоплаватель</w:t>
      </w:r>
      <w:r w:rsidRPr="002F2FDF">
        <w:rPr>
          <w:rFonts w:ascii="Times New Roman" w:hAnsi="Times New Roman" w:cs="Times New Roman"/>
          <w:color w:val="000000" w:themeColor="text1"/>
          <w:sz w:val="16"/>
          <w:szCs w:val="16"/>
        </w:rPr>
        <w:softHyphen/>
        <w:t>ного парка Западного фронта) и укомплектовать отряд солдатами-поляками, а заодно отменить приказ о переформировании 27-го воздухопла</w:t>
      </w:r>
      <w:r w:rsidRPr="002F2FDF">
        <w:rPr>
          <w:rFonts w:ascii="Times New Roman" w:hAnsi="Times New Roman" w:cs="Times New Roman"/>
          <w:color w:val="000000" w:themeColor="text1"/>
          <w:sz w:val="16"/>
          <w:szCs w:val="16"/>
        </w:rPr>
        <w:softHyphen/>
        <w:t>вательного отряда. Н.Н. Духонин наложил на за</w:t>
      </w:r>
      <w:r w:rsidRPr="002F2FDF">
        <w:rPr>
          <w:rFonts w:ascii="Times New Roman" w:hAnsi="Times New Roman" w:cs="Times New Roman"/>
          <w:color w:val="000000" w:themeColor="text1"/>
          <w:sz w:val="16"/>
          <w:szCs w:val="16"/>
        </w:rPr>
        <w:softHyphen/>
        <w:t>писку резолюцию: «Пока это формирование не осуществлять» (20120).</w:t>
      </w:r>
    </w:p>
    <w:p w14:paraId="61EFD698" w14:textId="77777777" w:rsidR="0068196A" w:rsidRPr="002F2FDF" w:rsidRDefault="0068196A" w:rsidP="0083075A">
      <w:pPr>
        <w:spacing w:after="0" w:line="240" w:lineRule="auto"/>
        <w:jc w:val="both"/>
        <w:rPr>
          <w:rFonts w:ascii="Times New Roman" w:hAnsi="Times New Roman" w:cs="Times New Roman"/>
          <w:color w:val="000000" w:themeColor="text1"/>
          <w:sz w:val="16"/>
          <w:szCs w:val="16"/>
        </w:rPr>
      </w:pPr>
    </w:p>
    <w:p w14:paraId="4D5C6B51" w14:textId="1EC12067" w:rsidR="00D11A13" w:rsidRPr="00FB4F67" w:rsidRDefault="00D11A13"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9 (</w:t>
      </w:r>
      <w:r w:rsidRPr="00FB4F67">
        <w:rPr>
          <w:rFonts w:ascii="Times New Roman" w:hAnsi="Times New Roman" w:cs="Times New Roman"/>
          <w:color w:val="0070C0"/>
          <w:sz w:val="16"/>
          <w:szCs w:val="16"/>
        </w:rPr>
        <w:t>22</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ноября 1917 г. в Петрограде Ленин издал приказ об увольнении генерала Духонина с поста Верховного главнокомандующего Ставкой в Могилеве и замене его военным комиссаром Н. В. Крыленко. Крыленко добирался до Могилева больше недели. Красный наземный состав авиационных частей в районе Петрограда принимал участие в боях с летчиками-офицерами (23525).</w:t>
      </w:r>
    </w:p>
    <w:p w14:paraId="6D8DDE23" w14:textId="77777777" w:rsidR="00D11A13" w:rsidRPr="00FB4F67" w:rsidRDefault="00D11A13" w:rsidP="0083075A">
      <w:pPr>
        <w:spacing w:after="0" w:line="240" w:lineRule="auto"/>
        <w:jc w:val="both"/>
        <w:rPr>
          <w:rFonts w:ascii="Times New Roman" w:hAnsi="Times New Roman" w:cs="Times New Roman"/>
          <w:color w:val="0070C0"/>
          <w:sz w:val="16"/>
          <w:szCs w:val="16"/>
        </w:rPr>
      </w:pPr>
    </w:p>
    <w:p w14:paraId="768FCB24" w14:textId="3C45E144" w:rsidR="00D11A13" w:rsidRPr="00FB4F67" w:rsidRDefault="00D11A13"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9-10 (</w:t>
      </w:r>
      <w:r w:rsidRPr="00FB4F67">
        <w:rPr>
          <w:rFonts w:ascii="Times New Roman" w:hAnsi="Times New Roman" w:cs="Times New Roman"/>
          <w:color w:val="0070C0"/>
          <w:sz w:val="16"/>
          <w:szCs w:val="16"/>
        </w:rPr>
        <w:t>22-23</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ноября 1917 г. большевики приказали сформировать 1-й Социалистический АО ВРК (бывший 12-й ФАО); 2-й Революционный АО ВРК (вновь сформированный); 1-й Социалистический разведывательный АО (вновь сформированный); 2-й АО социалистической разведки (бывший АО 12-й армии); 3-й Социалистический АО (бывший Кронштадтский АО); 4-й Социалистический АО (бывший Петроградский АО); 5-й Социалистический АО (вновь образованный); и 6-й Социалистический АО (бывший Ревельский АО) (23525).</w:t>
      </w:r>
    </w:p>
    <w:p w14:paraId="0571099C" w14:textId="77777777" w:rsidR="00D11A13" w:rsidRPr="00FB4F67" w:rsidRDefault="00D11A13" w:rsidP="0083075A">
      <w:pPr>
        <w:spacing w:after="0" w:line="240" w:lineRule="auto"/>
        <w:jc w:val="both"/>
        <w:rPr>
          <w:rFonts w:ascii="Times New Roman" w:hAnsi="Times New Roman" w:cs="Times New Roman"/>
          <w:color w:val="0070C0"/>
          <w:sz w:val="16"/>
          <w:szCs w:val="16"/>
        </w:rPr>
      </w:pPr>
    </w:p>
    <w:p w14:paraId="48CB44C6" w14:textId="3AFB8800" w:rsidR="00FF33CC" w:rsidRPr="002F2FDF" w:rsidRDefault="00FF33CC"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9 (22) ноября</w:t>
      </w:r>
      <w:r w:rsidR="00E52569">
        <w:rPr>
          <w:color w:val="000000" w:themeColor="text1"/>
          <w:sz w:val="16"/>
          <w:szCs w:val="16"/>
        </w:rPr>
        <w:t xml:space="preserve"> </w:t>
      </w:r>
      <w:r w:rsidRPr="002F2FDF">
        <w:rPr>
          <w:color w:val="000000" w:themeColor="text1"/>
          <w:sz w:val="16"/>
          <w:szCs w:val="16"/>
        </w:rPr>
        <w:t>1917 Верховным главнокомандующим войсками назначен прапорщик Н.В.</w:t>
      </w:r>
      <w:r w:rsidR="00E52569">
        <w:rPr>
          <w:color w:val="000000" w:themeColor="text1"/>
          <w:sz w:val="16"/>
          <w:szCs w:val="16"/>
        </w:rPr>
        <w:t xml:space="preserve"> </w:t>
      </w:r>
      <w:r w:rsidRPr="002F2FDF">
        <w:rPr>
          <w:color w:val="000000" w:themeColor="text1"/>
          <w:sz w:val="16"/>
          <w:szCs w:val="16"/>
        </w:rPr>
        <w:t>Крыленко, его предшественник генерал-лейтенант Н.Н.</w:t>
      </w:r>
      <w:r w:rsidR="00E52569">
        <w:rPr>
          <w:color w:val="000000" w:themeColor="text1"/>
          <w:sz w:val="16"/>
          <w:szCs w:val="16"/>
        </w:rPr>
        <w:t xml:space="preserve"> </w:t>
      </w:r>
      <w:r w:rsidRPr="002F2FDF">
        <w:rPr>
          <w:color w:val="000000" w:themeColor="text1"/>
          <w:sz w:val="16"/>
          <w:szCs w:val="16"/>
        </w:rPr>
        <w:t>Духонин пал жертвой толпы (18371).</w:t>
      </w:r>
    </w:p>
    <w:p w14:paraId="391A3E44" w14:textId="77777777" w:rsidR="00FF33CC" w:rsidRPr="002F2FDF" w:rsidRDefault="00FF33CC" w:rsidP="0083075A">
      <w:pPr>
        <w:pStyle w:val="ae"/>
        <w:spacing w:before="0" w:after="0"/>
        <w:jc w:val="both"/>
        <w:rPr>
          <w:color w:val="000000" w:themeColor="text1"/>
          <w:sz w:val="16"/>
          <w:szCs w:val="16"/>
        </w:rPr>
      </w:pPr>
    </w:p>
    <w:p w14:paraId="3ED3847B" w14:textId="4E72CF20" w:rsidR="00D16D02" w:rsidRPr="002F2FDF" w:rsidRDefault="00D16D02" w:rsidP="0083075A">
      <w:pPr>
        <w:pStyle w:val="ae"/>
        <w:spacing w:before="0" w:after="0"/>
        <w:jc w:val="both"/>
        <w:rPr>
          <w:color w:val="000000" w:themeColor="text1"/>
          <w:kern w:val="2"/>
          <w:sz w:val="16"/>
          <w:szCs w:val="16"/>
        </w:rPr>
      </w:pPr>
      <w:r w:rsidRPr="002F2FDF">
        <w:rPr>
          <w:color w:val="000000" w:themeColor="text1"/>
          <w:kern w:val="2"/>
          <w:sz w:val="16"/>
          <w:szCs w:val="16"/>
        </w:rPr>
        <w:t>9 (22) ноября 1917 Ленин и Сталин от имени Совета народных комиссаров (СНК) потребовали от Верховного главнокомандующего генерала Николая Духонина начать переговоры с Германией о заключении мира. Генерал отказался, объяснив, что такие переговоры может вести только правительство, но никак не командующий армией. В связи с этим Духонину было объявлено, что он снят с должности, но должен исполнять обязанности до прибытия нового главнокомандующего. Таковым был назначен большевик, член комитета СНК по военным и морским делам</w:t>
      </w:r>
      <w:r w:rsidR="00E52569">
        <w:rPr>
          <w:color w:val="000000" w:themeColor="text1"/>
          <w:kern w:val="2"/>
          <w:sz w:val="16"/>
          <w:szCs w:val="16"/>
        </w:rPr>
        <w:t xml:space="preserve"> </w:t>
      </w:r>
      <w:r w:rsidRPr="002F2FDF">
        <w:rPr>
          <w:color w:val="000000" w:themeColor="text1"/>
          <w:kern w:val="2"/>
          <w:sz w:val="16"/>
          <w:szCs w:val="16"/>
        </w:rPr>
        <w:t>прапорщик Николай Крыленко (17045).</w:t>
      </w:r>
    </w:p>
    <w:p w14:paraId="538E2AFD" w14:textId="77777777" w:rsidR="00D16D02" w:rsidRPr="002F2FDF" w:rsidRDefault="00D16D0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1410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ноября 1917 Генерал Н.Н. Духонин отказался подчиниться Совету Народных Комиссаров и был отстранен. Верховным главнокомандующим назначен Н.В. Крыленко (4216).</w:t>
      </w:r>
    </w:p>
    <w:p w14:paraId="6CCE35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EDCA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ноября 1917 Духонин отказался начать переговоры о перемирии и был отстранен. Главнокомандующим был назначен прапорщик Крыленко (2239).</w:t>
      </w:r>
    </w:p>
    <w:p w14:paraId="6688C5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1CFCB2" w14:textId="77777777" w:rsidR="0050748F" w:rsidRPr="002F2FDF" w:rsidRDefault="0050748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ноября 1917 и.о. главнокомандующего генерал Духонин напоследок отдал приказ об освобождении быховских узников. На следующий день арестован по приказу нового ВГК Крыленко (большевистская кличка "Абрам") и убит матросами в Могилеве. Быховские заключенные пробрались на Дон, где занялись организацией добровольческого движения (12629).</w:t>
      </w:r>
    </w:p>
    <w:p w14:paraId="7B1700F7" w14:textId="77777777" w:rsidR="0050748F" w:rsidRPr="002F2FDF" w:rsidRDefault="0050748F" w:rsidP="0083075A">
      <w:pPr>
        <w:spacing w:after="0" w:line="240" w:lineRule="auto"/>
        <w:jc w:val="both"/>
        <w:rPr>
          <w:rFonts w:ascii="Times New Roman" w:hAnsi="Times New Roman" w:cs="Times New Roman"/>
          <w:color w:val="000000" w:themeColor="text1"/>
          <w:kern w:val="2"/>
          <w:sz w:val="16"/>
          <w:szCs w:val="16"/>
        </w:rPr>
      </w:pPr>
    </w:p>
    <w:p w14:paraId="3C8D0ECC" w14:textId="77777777" w:rsidR="005D2783" w:rsidRPr="002F2FDF" w:rsidRDefault="005D278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lastRenderedPageBreak/>
        <w:t xml:space="preserve">9 (22) ноября </w:t>
      </w:r>
      <w:r w:rsidRPr="002F2FDF">
        <w:rPr>
          <w:rFonts w:ascii="Times New Roman" w:hAnsi="Times New Roman" w:cs="Times New Roman"/>
          <w:color w:val="000000" w:themeColor="text1"/>
          <w:kern w:val="2"/>
          <w:sz w:val="16"/>
          <w:szCs w:val="16"/>
        </w:rPr>
        <w:t>в 1917 году генерал Н.Духонин отстраняется большевиками от командования русской армией и заменяется прапорщиком Н.Крыленко (14836).</w:t>
      </w:r>
    </w:p>
    <w:p w14:paraId="0A7D86BF" w14:textId="77777777" w:rsidR="005D2783" w:rsidRPr="002F2FDF" w:rsidRDefault="005D2783" w:rsidP="0083075A">
      <w:pPr>
        <w:spacing w:after="0" w:line="240" w:lineRule="auto"/>
        <w:jc w:val="both"/>
        <w:rPr>
          <w:rFonts w:ascii="Times New Roman" w:hAnsi="Times New Roman" w:cs="Times New Roman"/>
          <w:color w:val="000000" w:themeColor="text1"/>
          <w:kern w:val="2"/>
          <w:sz w:val="16"/>
          <w:szCs w:val="16"/>
        </w:rPr>
      </w:pPr>
    </w:p>
    <w:p w14:paraId="0CA710AD" w14:textId="77777777" w:rsidR="005D2783" w:rsidRPr="002F2FDF" w:rsidRDefault="005D278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ноября 1917 для управления войсками старой армии до ее роспуска Постановлением СНК создали революционный полевой штаб и назначили ВГК Н.В.Крыленко (3398,410).</w:t>
      </w:r>
    </w:p>
    <w:p w14:paraId="003774AC" w14:textId="77777777" w:rsidR="005D2783" w:rsidRPr="002F2FDF" w:rsidRDefault="005D278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83AA52" w14:textId="77777777" w:rsidR="005D2783" w:rsidRPr="002F2FDF" w:rsidRDefault="005D278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ноября 1917 закончились секретные переговоры с немцами (3481).</w:t>
      </w:r>
    </w:p>
    <w:p w14:paraId="582A02B3" w14:textId="77777777" w:rsidR="005D2783" w:rsidRPr="002F2FDF" w:rsidRDefault="005D278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B67F5E" w14:textId="77777777" w:rsidR="0050748F" w:rsidRPr="002F2FDF" w:rsidRDefault="0050748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ноября 1917 Ленин направил телеграмму во все полки фронтовых армий: «Пусть полки, стоящие на позициях, выбирают тотчас уполномоченных для формального вступления в переговоры о перемирии с неприятелем». В тот же день дипломатические представители союзных стран на совещании в Петрограде решили игнорировать ноту советского правительства (12629).</w:t>
      </w:r>
    </w:p>
    <w:p w14:paraId="1A411A09" w14:textId="77777777" w:rsidR="0050748F" w:rsidRPr="002F2FDF" w:rsidRDefault="0050748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90796D" w14:textId="77777777" w:rsidR="005D2783" w:rsidRPr="002F2FDF" w:rsidRDefault="005D278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9 (22) ноября </w:t>
      </w:r>
      <w:r w:rsidRPr="002F2FDF">
        <w:rPr>
          <w:rFonts w:ascii="Times New Roman" w:hAnsi="Times New Roman" w:cs="Times New Roman"/>
          <w:color w:val="000000" w:themeColor="text1"/>
          <w:kern w:val="2"/>
          <w:sz w:val="16"/>
          <w:szCs w:val="16"/>
        </w:rPr>
        <w:t>в 1917 году правительство большевиков приказало войскам на фронте начинать "братание" с германской армией и вести переговоры о перемирии (14837).</w:t>
      </w:r>
    </w:p>
    <w:p w14:paraId="178F203E" w14:textId="77777777" w:rsidR="005D2783" w:rsidRPr="002F2FDF" w:rsidRDefault="005D2783" w:rsidP="0083075A">
      <w:pPr>
        <w:spacing w:after="0" w:line="240" w:lineRule="auto"/>
        <w:jc w:val="both"/>
        <w:rPr>
          <w:rFonts w:ascii="Times New Roman" w:hAnsi="Times New Roman" w:cs="Times New Roman"/>
          <w:color w:val="000000" w:themeColor="text1"/>
          <w:kern w:val="2"/>
          <w:sz w:val="16"/>
          <w:szCs w:val="16"/>
        </w:rPr>
      </w:pPr>
    </w:p>
    <w:p w14:paraId="68D4B59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347AE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0EE66F"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9 (22) ноября 1917. Под председательством В. П. Ногина состоялось заседание Совета рабочих и солдатских депутатов. Ногин объявил виновниками кровопролития в Москве юнкеров. Большевики заняли помещения Московской конторы Государственного банка на Неглинной улице.</w:t>
      </w:r>
    </w:p>
    <w:p w14:paraId="46AB0179"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Один из основателей Коммунистической партии США публицист Джон Рид в этот день приехал из Петрограда в Москву, о чем рассказал в своей книге "Десять дней, которые потрясли мир": "В Москве вокзал был совершенно пуст. Мы зашли к комиссару, чтобы сговориться об обратных билетах Комиссар оказался мрачным и очень юным поручиком. Когда мы показали ему свои мандаты из Смольного, он вышел из себя и заявил, что он не большевик, а представитель Комитета общественной безопасности. Характерная черточка: в общей сумятице, поднявшейся при завоевании города, победителя забыли о главном вокзале... Кругом ни одного извозчика. Впрочем" пройдя несколько кварталов, мы нашли, кого искали. До смешного закутанный извозчик дремал на козлах своих узеньких санок. "Сколько до центра города" Извозчик почесал в затылке. "Вряд ли. барин, вы найдете комнату в гостинице. - сказал он. - Но за сотню, так и быть.свезу..."До революции это стоило всего два рубля! Мы стали торговаться, но он только пожимал плечами".В такое время не всякий поедет-то. - говорил он. - Тоже храбрость нужна". Больше пятидесяти рублей нам выторговать не удалось. Пока ехали по молчаливым и снежным, еле освещен -ным улицам, извозчик рассказал нам о своих приключениях за время шестидневных боев. "Едешь себе или стоишь у угла, - говорил он, - и вдруг - бац! - ядро. Бац.' - другое. Та-та-та... - пулемет. Я скорей в сторону, нахлестываю, а кругом эти черти орут. Только найдешь спокойную улочку, станешь на месте да задремлешь - бац! - опять ядро. Та-та-та... Вот черти, право, черти!"</w:t>
      </w:r>
    </w:p>
    <w:p w14:paraId="29644DEF"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центре города занесенные снегом улицы затихли в безмолвии, точно отдыхая после болезни. Редкие фонари, редкие горопливые пешеходы. Ледяной; ветер пробирал до костей. Мы бросились в первую попавшуюся гостиницу, где горели две свечи. "Да, конечно, у нас имеются очень удобные комнаты, но только все стекла выбиты. Если господа Me возражают против свежего воздуха....* На Тверской окна магазинов были разбиты, булыжная мостовая разворочена, часто попадались воронки от снарядов. Мы переходили от гостиницы в гостиницу, но одни были переполнены, а в других испуганные хозяева упорно твердили одно и то же. "Комнат нет! Нет комнат... На главных улицах, где сосредоточены банки и крупные торговые дома, были видны зияющие следы работы большевистской артиллерии. Как говорил мне один из советских работников, "когда нам не удавалось в точности установить, где юнкера и белогвардейцы, мы прямо палили по их чековым книжкам". Наконец нас приютили в огромном отеле "Националь* (как-никак мы были иностранцами, а Военно-революционный комитет обещал охранять местожительство иностранных подданных). Хозяин гостиницы показал нам в верхнем этаже окна, выбитые шрапнелью. "Скоты! - кричал он, потрясая кулаками по адресу воображаемых большевиков, - Ну, погодите! Придет день расплаты! Через несколько дней ваше смехотворное правительство пойдет к черту! Вот когда мы вам покажем!..." Мы пообедали в вегетарианской столовой с соблазнительным названием: "Я никого не ем". На стенах были развешены портреты Толстого" (18685).</w:t>
      </w:r>
    </w:p>
    <w:p w14:paraId="080E8E8A"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p>
    <w:p w14:paraId="317EE6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ноября 1917 вышел Декрет о страховании от несчастных случаев (3481).</w:t>
      </w:r>
    </w:p>
    <w:p w14:paraId="6C6CEA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60E4B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53414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1073EF" w14:textId="204110FC" w:rsidR="007C463D" w:rsidRPr="00FB4F67" w:rsidRDefault="007C463D"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10 (</w:t>
      </w:r>
      <w:r w:rsidRPr="00FB4F67">
        <w:rPr>
          <w:rFonts w:ascii="Times New Roman" w:hAnsi="Times New Roman" w:cs="Times New Roman"/>
          <w:color w:val="0070C0"/>
          <w:sz w:val="16"/>
          <w:szCs w:val="16"/>
        </w:rPr>
        <w:t>23</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ноября 1917 г. в Петрограде Советы издали приказ о постепенной демобилизации армии и отменили ношение наград на мундирах. На заседании Чрезвычайного съезда крестьянских советов большинство получили левые эсеры (23525).</w:t>
      </w:r>
    </w:p>
    <w:p w14:paraId="3B3C7EDA" w14:textId="77777777" w:rsidR="007C463D" w:rsidRPr="00FB4F67" w:rsidRDefault="007C463D" w:rsidP="0083075A">
      <w:pPr>
        <w:spacing w:after="0" w:line="240" w:lineRule="auto"/>
        <w:jc w:val="both"/>
        <w:rPr>
          <w:rFonts w:ascii="Times New Roman" w:hAnsi="Times New Roman" w:cs="Times New Roman"/>
          <w:color w:val="0070C0"/>
          <w:sz w:val="16"/>
          <w:szCs w:val="16"/>
        </w:rPr>
      </w:pPr>
    </w:p>
    <w:p w14:paraId="1ADB41AC" w14:textId="71183CD4" w:rsidR="007C463D" w:rsidRPr="00FB4F67" w:rsidRDefault="007C463D"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10 (</w:t>
      </w:r>
      <w:r w:rsidRPr="00FB4F67">
        <w:rPr>
          <w:rFonts w:ascii="Times New Roman" w:hAnsi="Times New Roman" w:cs="Times New Roman"/>
          <w:color w:val="0070C0"/>
          <w:sz w:val="16"/>
          <w:szCs w:val="16"/>
        </w:rPr>
        <w:t>23</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ноября 1917 г. в Петрограде красные создали Бюро комиссаров авиации и воздухоплавания (Бюро комиссаров авиации и воздухоплавания) в составе восьми человек с целью разоружения и расформирования всех ненадежных частей и взятия под контроль всех авиационных складов в Петрограде, Москве. и другие стратегически важные места (23525).</w:t>
      </w:r>
    </w:p>
    <w:p w14:paraId="68731A1B" w14:textId="77777777" w:rsidR="007C463D" w:rsidRPr="00FB4F67" w:rsidRDefault="007C463D" w:rsidP="0083075A">
      <w:pPr>
        <w:spacing w:after="0" w:line="240" w:lineRule="auto"/>
        <w:jc w:val="both"/>
        <w:rPr>
          <w:rFonts w:ascii="Times New Roman" w:hAnsi="Times New Roman" w:cs="Times New Roman"/>
          <w:color w:val="0070C0"/>
          <w:sz w:val="16"/>
          <w:szCs w:val="16"/>
        </w:rPr>
      </w:pPr>
    </w:p>
    <w:p w14:paraId="3A065D83" w14:textId="45B2081B"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ноября 1917 л 19 као прап. И.В.Смирнов в районе Гусятина сбил немецкий самолет, 9-</w:t>
      </w:r>
      <w:r w:rsidR="00577C2C">
        <w:rPr>
          <w:rFonts w:ascii="Times New Roman" w:hAnsi="Times New Roman" w:cs="Times New Roman"/>
          <w:color w:val="000000" w:themeColor="text1"/>
          <w:kern w:val="2"/>
          <w:sz w:val="16"/>
          <w:szCs w:val="16"/>
        </w:rPr>
        <w:t>й</w:t>
      </w:r>
      <w:r w:rsidRPr="002F2FDF">
        <w:rPr>
          <w:rFonts w:ascii="Times New Roman" w:hAnsi="Times New Roman" w:cs="Times New Roman"/>
          <w:color w:val="000000" w:themeColor="text1"/>
          <w:kern w:val="2"/>
          <w:sz w:val="16"/>
          <w:szCs w:val="16"/>
        </w:rPr>
        <w:t>, сбитый официально и 12-й - неофициально (438,376).</w:t>
      </w:r>
    </w:p>
    <w:p w14:paraId="213E4C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F9347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ноября 1917 летчик 19 КАО прапорщик Иван Васильевич Смирнов сбил в районе Гусятина немецкий самолет. Это был 9-й по счету самолет противника, официально сбитый Смирно</w:t>
      </w:r>
      <w:r w:rsidRPr="002F2FDF">
        <w:rPr>
          <w:rFonts w:ascii="Times New Roman" w:hAnsi="Times New Roman" w:cs="Times New Roman"/>
          <w:color w:val="000000" w:themeColor="text1"/>
          <w:kern w:val="2"/>
          <w:sz w:val="16"/>
          <w:szCs w:val="16"/>
        </w:rPr>
        <w:softHyphen/>
        <w:t>вым, а всего им было сбито 12 самолетов. (Телеграмма командира 7-го авиадивизиона № 17646).</w:t>
      </w:r>
    </w:p>
    <w:p w14:paraId="0C5DAE1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B0F628" w14:textId="77777777" w:rsidR="00577C2C" w:rsidRPr="00CF7554" w:rsidRDefault="00577C2C"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CF7554">
        <w:rPr>
          <w:rFonts w:ascii="Times New Roman" w:hAnsi="Times New Roman" w:cs="Times New Roman"/>
          <w:color w:val="0070C0"/>
          <w:kern w:val="2"/>
          <w:sz w:val="16"/>
          <w:szCs w:val="16"/>
        </w:rPr>
        <w:t>10 (23) ноября 1917 летчик 19 КАО прапорщик Иван Васильевич Смирнов сбил в районе Гусятина немецкий самолет. Это был 9-й по счету самолет противника, официально сбитый Смирно</w:t>
      </w:r>
      <w:r w:rsidRPr="00CF7554">
        <w:rPr>
          <w:rFonts w:ascii="Times New Roman" w:hAnsi="Times New Roman" w:cs="Times New Roman"/>
          <w:color w:val="0070C0"/>
          <w:kern w:val="2"/>
          <w:sz w:val="16"/>
          <w:szCs w:val="16"/>
        </w:rPr>
        <w:softHyphen/>
        <w:t>вым, а всего им было сбито 12 самолетов.</w:t>
      </w:r>
    </w:p>
    <w:p w14:paraId="6EE021B0" w14:textId="77777777" w:rsidR="00577C2C" w:rsidRPr="00CF7554" w:rsidRDefault="00577C2C"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r w:rsidRPr="00CF7554">
        <w:rPr>
          <w:rFonts w:ascii="Times New Roman" w:hAnsi="Times New Roman" w:cs="Times New Roman"/>
          <w:color w:val="0070C0"/>
          <w:kern w:val="2"/>
          <w:sz w:val="16"/>
          <w:szCs w:val="16"/>
        </w:rPr>
        <w:t>/Телеграмма командира 7-го авиадивизиона № 17646/ (23320).</w:t>
      </w:r>
    </w:p>
    <w:p w14:paraId="27794FE1" w14:textId="77777777" w:rsidR="00577C2C" w:rsidRPr="00CF7554" w:rsidRDefault="00577C2C" w:rsidP="0083075A">
      <w:pPr>
        <w:shd w:val="clear" w:color="auto" w:fill="FFFFFF"/>
        <w:autoSpaceDE w:val="0"/>
        <w:autoSpaceDN w:val="0"/>
        <w:adjustRightInd w:val="0"/>
        <w:spacing w:after="0" w:line="240" w:lineRule="auto"/>
        <w:jc w:val="both"/>
        <w:rPr>
          <w:rFonts w:ascii="Times New Roman" w:hAnsi="Times New Roman" w:cs="Times New Roman"/>
          <w:color w:val="0070C0"/>
          <w:kern w:val="2"/>
          <w:sz w:val="16"/>
          <w:szCs w:val="16"/>
        </w:rPr>
      </w:pPr>
    </w:p>
    <w:p w14:paraId="00EC76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ноября 1917 прапорщик Смирнов сбил австрийский двухместный разведчик в районе Лятова, что в 30 верстах северо-западнее Каменец-Подольска. Вражеский самолет разбился в нашем расположении. Казаков сообщал, что погибшие летчики были “...раздеты и ограблены на месте падения. Все до</w:t>
      </w:r>
      <w:r w:rsidRPr="002F2FDF">
        <w:rPr>
          <w:rFonts w:ascii="Times New Roman" w:hAnsi="Times New Roman" w:cs="Times New Roman"/>
          <w:color w:val="000000" w:themeColor="text1"/>
          <w:kern w:val="2"/>
          <w:sz w:val="16"/>
          <w:szCs w:val="16"/>
        </w:rPr>
        <w:softHyphen/>
        <w:t>кументы при этом исчезли. Сбитый у Лятова нового типа самолет имел мо</w:t>
      </w:r>
      <w:r w:rsidRPr="002F2FDF">
        <w:rPr>
          <w:rFonts w:ascii="Times New Roman" w:hAnsi="Times New Roman" w:cs="Times New Roman"/>
          <w:color w:val="000000" w:themeColor="text1"/>
          <w:kern w:val="2"/>
          <w:sz w:val="16"/>
          <w:szCs w:val="16"/>
        </w:rPr>
        <w:softHyphen/>
        <w:t>тор Даймлер”. У австрийцев в тот день не вернулся с боевого задания само</w:t>
      </w:r>
      <w:r w:rsidRPr="002F2FDF">
        <w:rPr>
          <w:rFonts w:ascii="Times New Roman" w:hAnsi="Times New Roman" w:cs="Times New Roman"/>
          <w:color w:val="000000" w:themeColor="text1"/>
          <w:kern w:val="2"/>
          <w:sz w:val="16"/>
          <w:szCs w:val="16"/>
        </w:rPr>
        <w:softHyphen/>
        <w:t>лет “Ллойд” C.V из 18 авиароты (Flik 18), на котором вылетели на разведку пилот Зигфрид Мараш и наблюдатель Карл Ульрих (3954).</w:t>
      </w:r>
    </w:p>
    <w:p w14:paraId="0A8B1E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0B29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ноября 1917 вышло постановление "О постепенном переходе и демобилизации старой армии" (324,18).</w:t>
      </w:r>
    </w:p>
    <w:p w14:paraId="453802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C2B61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8D0EE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4CCE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ноября 1917 был опубликован декрет ВЦИК и СНК Об уничтожении сословий и гражданских чинов, а также орденов и медалей дореволюционной России (3398,412).</w:t>
      </w:r>
    </w:p>
    <w:p w14:paraId="778B41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6013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10 - 25 ноября (с 23 ноября по 8 декабря) 1917 в Петрограде прошел чрезвычайный всероссийский съезд Советов крестьянских депутатов, на котором преобладали эсеры, и утвердил Декрет о земле (3908,269).</w:t>
      </w:r>
    </w:p>
    <w:p w14:paraId="64DEA0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BC1B68" w14:textId="5DE2BD89" w:rsidR="001519DB" w:rsidRPr="002F2FDF" w:rsidRDefault="001519DB" w:rsidP="0083075A">
      <w:pPr>
        <w:pStyle w:val="ae"/>
        <w:spacing w:before="0" w:after="0"/>
        <w:jc w:val="both"/>
        <w:rPr>
          <w:color w:val="000000" w:themeColor="text1"/>
          <w:kern w:val="2"/>
          <w:sz w:val="16"/>
          <w:szCs w:val="16"/>
        </w:rPr>
      </w:pPr>
      <w:r w:rsidRPr="002F2FDF">
        <w:rPr>
          <w:color w:val="000000" w:themeColor="text1"/>
          <w:kern w:val="2"/>
          <w:sz w:val="16"/>
          <w:szCs w:val="16"/>
        </w:rPr>
        <w:t>10 (23 ноября) 1917 в Петрограде открылся Чрезвычайный Всероссийский съезд Советов крестьянских депутатов. Большинство его делегатов составили левые и правые эсеры, а большевики имели всего 12% мандатов. Тем не менее</w:t>
      </w:r>
      <w:r w:rsidR="00E52569">
        <w:rPr>
          <w:color w:val="000000" w:themeColor="text1"/>
          <w:kern w:val="2"/>
          <w:sz w:val="16"/>
          <w:szCs w:val="16"/>
        </w:rPr>
        <w:t xml:space="preserve"> </w:t>
      </w:r>
      <w:r w:rsidRPr="002F2FDF">
        <w:rPr>
          <w:color w:val="000000" w:themeColor="text1"/>
          <w:kern w:val="2"/>
          <w:sz w:val="16"/>
          <w:szCs w:val="16"/>
        </w:rPr>
        <w:t>этот съезд в определенной мере «легитимизировал» большевистскую политику, одобрив деятельность Совета народных комиссаров (17045).</w:t>
      </w:r>
    </w:p>
    <w:p w14:paraId="0A744106" w14:textId="77777777" w:rsidR="001519DB" w:rsidRPr="002F2FDF" w:rsidRDefault="001519DB"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EF274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ноября 1917 в Петрограде большевиками создана комиссия для расследования деятельности контрреволюционных офицеров (4962).</w:t>
      </w:r>
    </w:p>
    <w:p w14:paraId="79C3573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F5B3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ноября 1917 состоялись похороны погибших при захвате Москвы у Кремлевской стены и всего похоронили 238 героев Октября (3481), (начало захоронений у Кремлевской стены) (4962).</w:t>
      </w:r>
    </w:p>
    <w:p w14:paraId="4DE853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D10F35" w14:textId="0BCC423E" w:rsidR="00FF33CC" w:rsidRPr="002F2FDF" w:rsidRDefault="00FF33CC"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10 (23) ноября</w:t>
      </w:r>
      <w:r w:rsidR="00E52569">
        <w:rPr>
          <w:color w:val="000000" w:themeColor="text1"/>
          <w:sz w:val="16"/>
          <w:szCs w:val="16"/>
        </w:rPr>
        <w:t xml:space="preserve"> </w:t>
      </w:r>
      <w:r w:rsidRPr="002F2FDF">
        <w:rPr>
          <w:color w:val="000000" w:themeColor="text1"/>
          <w:sz w:val="16"/>
          <w:szCs w:val="16"/>
        </w:rPr>
        <w:t>1917 ВЦИК утвердил декрет об уничтожении сословий и гражданских чинов, упразднивший все сословия, сословные организации и учреждения (18371).</w:t>
      </w:r>
    </w:p>
    <w:p w14:paraId="43415AB7" w14:textId="77777777" w:rsidR="00FF33CC" w:rsidRPr="002F2FDF" w:rsidRDefault="00FF33CC" w:rsidP="0083075A">
      <w:pPr>
        <w:pStyle w:val="picture-center"/>
        <w:spacing w:before="0" w:beforeAutospacing="0" w:after="0" w:afterAutospacing="0"/>
        <w:jc w:val="both"/>
        <w:rPr>
          <w:iCs/>
          <w:color w:val="000000" w:themeColor="text1"/>
          <w:sz w:val="16"/>
          <w:szCs w:val="16"/>
        </w:rPr>
      </w:pPr>
    </w:p>
    <w:p w14:paraId="3D41FEFD"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10 (23) ноября 1917. Похороны на Красной площади 229 погибших сторонников ВРК. С Кремлевской стены свешивались красные полотнища с лозунгами "Да здравствует пролетарски демократическая республика!", "Жертвам - предвестникам всемирной социалистической революции" и т. п.</w:t>
      </w:r>
    </w:p>
    <w:p w14:paraId="27E007F4"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Джон Рид записывает: "Мы протолкались сквозь густую толпу; сгрудившуюся у Кремлевской стены, и остановились на вершине одной из земляных гор. Здесь уже было несколько человек, в том числе солдат Мура-лов, избранный на пост московского коменданта, высокий бородатый человек с добродушным взглядом и простым лицом. Со всех улиц на Красную площадь стекались огромные толпы народа. Здесь были тысячи и тысячи людей, истощенных трудом и бедностью. Пришел военный оркестр, игравший "Интернационал" и вся толпа стихийно подхватила гимн, медленно и торжественно разлившийся по площади, как морская волна. С зубцов Кремлевской стены свисали до самой земли огромные красные знамена с белыми и золотыми надписями: "Мученикам авангарда мировой социалистической революции" и "Да здравствует братство рабочих всего мира!" Резкий ветер пролетал по площади, развевая знамена. Теперь начали прибывать рабочие фабрик и заводов отдаленнейших районов города; они несли сюда своих мертвых. Можно было видеть, как они идут через ворота под трепещущими знаменами, неся красные, как кровь, гробы. То были грубые ящики из неструганых досок, покрытые красной краской, и их высоко держали на плечах простые люди с лицами, залитыми слезами. За гробами шли женщины, громко рыдая или молча, окаменевшие, мертвенно-бледные; некоторые фобы были открыты, а за ними отдельно несли крышки; Иные были покрыты золотой или серебряной парчой, или к крышке была прикреплена фуражка солдата. Было много венкой из неживых, искусственных цветов... Процессия медленно продвигалась к нам по открывавшемуся перед нею и сном сдвигавшемуся неровному проходу. Теперь через ворота лился бесконечный поток знамен всех оттенков красного цвета с золотыми и серебряными надписями, с черным крепом на верхушках древков. Было несколько и анархистских знамен, черных с белыми надписями. Оркестр играл революционный похоронный марш, и вся огромная толпа, стоявшая с непокрытыми головами, вторила ему... Весь долгий день до самого вечера шла эта траурная процессия" (18685).</w:t>
      </w:r>
    </w:p>
    <w:p w14:paraId="589DDF86"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p>
    <w:p w14:paraId="3B950740" w14:textId="77777777" w:rsidR="00A21D78"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5F43E77B" w14:textId="77777777" w:rsidR="00A21D78" w:rsidRPr="002F2FDF" w:rsidRDefault="00A21D7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145397" w14:textId="038D2D0A" w:rsidR="00A21D78" w:rsidRPr="002F2FDF" w:rsidRDefault="00A21D7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ноября 1917 главы военных миссий союзных стран при штабе верховного главнокомандующего вручили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коллективную ноту, в которой выразили протест против нарушения договора от 5 сентября 1914 года, запрещавшего союзникам заключение сепаратного мира или перемирия (12629).</w:t>
      </w:r>
    </w:p>
    <w:p w14:paraId="65D7B600" w14:textId="77777777" w:rsidR="00A21D78" w:rsidRPr="002F2FDF" w:rsidRDefault="00A21D7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6DF84A" w14:textId="476FC170" w:rsidR="00FA7CE5" w:rsidRPr="002F2FDF" w:rsidRDefault="00FA7CE5" w:rsidP="0083075A">
      <w:pPr>
        <w:pStyle w:val="ae"/>
        <w:spacing w:before="0" w:after="0"/>
        <w:jc w:val="both"/>
        <w:rPr>
          <w:color w:val="000000" w:themeColor="text1"/>
          <w:kern w:val="2"/>
          <w:sz w:val="16"/>
          <w:szCs w:val="16"/>
        </w:rPr>
      </w:pPr>
      <w:r w:rsidRPr="002F2FDF">
        <w:rPr>
          <w:color w:val="000000" w:themeColor="text1"/>
          <w:kern w:val="2"/>
          <w:sz w:val="16"/>
          <w:szCs w:val="16"/>
        </w:rPr>
        <w:t>10</w:t>
      </w:r>
      <w:r w:rsidR="00E52569">
        <w:rPr>
          <w:color w:val="000000" w:themeColor="text1"/>
          <w:kern w:val="2"/>
          <w:sz w:val="16"/>
          <w:szCs w:val="16"/>
        </w:rPr>
        <w:t xml:space="preserve"> </w:t>
      </w:r>
      <w:hyperlink r:id="rId644" w:tooltip="23 ноября" w:history="1">
        <w:r w:rsidRPr="002F2FDF">
          <w:rPr>
            <w:rStyle w:val="a5"/>
            <w:color w:val="000000" w:themeColor="text1"/>
            <w:kern w:val="2"/>
            <w:sz w:val="16"/>
            <w:szCs w:val="16"/>
            <w:u w:val="none"/>
          </w:rPr>
          <w:t>(23)</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ноября</w:t>
        </w:r>
      </w:hyperlink>
      <w:r w:rsidRPr="002F2FDF">
        <w:rPr>
          <w:color w:val="000000" w:themeColor="text1"/>
          <w:kern w:val="2"/>
          <w:sz w:val="16"/>
          <w:szCs w:val="16"/>
        </w:rPr>
        <w:t xml:space="preserve"> 1917 главы военных миссий союзных стран при штабе верховного главнокомандующего вручили генералу Н. Н. Духонину коллективную ноту, в которой выразили протест против нарушения договора от </w:t>
      </w:r>
      <w:hyperlink r:id="rId645" w:tooltip="5 сентября" w:history="1">
        <w:r w:rsidRPr="002F2FDF">
          <w:rPr>
            <w:rStyle w:val="a5"/>
            <w:color w:val="000000" w:themeColor="text1"/>
            <w:kern w:val="2"/>
            <w:sz w:val="16"/>
            <w:szCs w:val="16"/>
            <w:u w:val="none"/>
          </w:rPr>
          <w:t>5 сентября</w:t>
        </w:r>
      </w:hyperlink>
      <w:hyperlink r:id="rId646" w:tooltip="1914 год" w:history="1">
        <w:r w:rsidRPr="002F2FDF">
          <w:rPr>
            <w:rStyle w:val="a5"/>
            <w:color w:val="000000" w:themeColor="text1"/>
            <w:kern w:val="2"/>
            <w:sz w:val="16"/>
            <w:szCs w:val="16"/>
            <w:u w:val="none"/>
          </w:rPr>
          <w:t>1914 года</w:t>
        </w:r>
      </w:hyperlink>
      <w:r w:rsidRPr="002F2FDF">
        <w:rPr>
          <w:color w:val="000000" w:themeColor="text1"/>
          <w:kern w:val="2"/>
          <w:sz w:val="16"/>
          <w:szCs w:val="16"/>
        </w:rPr>
        <w:t xml:space="preserve">, запрещавшего союзникам заключение </w:t>
      </w:r>
      <w:hyperlink r:id="rId647" w:tooltip="Сепаратный мир" w:history="1">
        <w:r w:rsidRPr="002F2FDF">
          <w:rPr>
            <w:rStyle w:val="a5"/>
            <w:color w:val="000000" w:themeColor="text1"/>
            <w:kern w:val="2"/>
            <w:sz w:val="16"/>
            <w:szCs w:val="16"/>
            <w:u w:val="none"/>
          </w:rPr>
          <w:t>сепаратного мира</w:t>
        </w:r>
      </w:hyperlink>
      <w:r w:rsidRPr="002F2FDF">
        <w:rPr>
          <w:color w:val="000000" w:themeColor="text1"/>
          <w:kern w:val="2"/>
          <w:sz w:val="16"/>
          <w:szCs w:val="16"/>
        </w:rPr>
        <w:t xml:space="preserve"> или перемирия. Духонин разослал текст ноты всем командующим фронтами.</w:t>
      </w:r>
    </w:p>
    <w:p w14:paraId="58DB0400" w14:textId="77777777" w:rsidR="00FA7CE5" w:rsidRPr="002F2FDF" w:rsidRDefault="00FA7CE5"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В тот же день Наркоминдел обратился к послам нейтральных государств с предложением взять на себя посредничество в организации переговоров о мире. Представители </w:t>
      </w:r>
      <w:hyperlink r:id="rId648" w:tooltip="Швеция" w:history="1">
        <w:r w:rsidRPr="002F2FDF">
          <w:rPr>
            <w:rStyle w:val="a5"/>
            <w:color w:val="000000" w:themeColor="text1"/>
            <w:kern w:val="2"/>
            <w:sz w:val="16"/>
            <w:szCs w:val="16"/>
            <w:u w:val="none"/>
          </w:rPr>
          <w:t>Швеции</w:t>
        </w:r>
      </w:hyperlink>
      <w:r w:rsidRPr="002F2FDF">
        <w:rPr>
          <w:color w:val="000000" w:themeColor="text1"/>
          <w:kern w:val="2"/>
          <w:sz w:val="16"/>
          <w:szCs w:val="16"/>
        </w:rPr>
        <w:t xml:space="preserve">, </w:t>
      </w:r>
      <w:hyperlink r:id="rId649" w:tooltip="Норвегия" w:history="1">
        <w:r w:rsidRPr="002F2FDF">
          <w:rPr>
            <w:rStyle w:val="a5"/>
            <w:color w:val="000000" w:themeColor="text1"/>
            <w:kern w:val="2"/>
            <w:sz w:val="16"/>
            <w:szCs w:val="16"/>
            <w:u w:val="none"/>
          </w:rPr>
          <w:t>Норвегии</w:t>
        </w:r>
      </w:hyperlink>
      <w:r w:rsidRPr="002F2FDF">
        <w:rPr>
          <w:color w:val="000000" w:themeColor="text1"/>
          <w:kern w:val="2"/>
          <w:sz w:val="16"/>
          <w:szCs w:val="16"/>
        </w:rPr>
        <w:t xml:space="preserve"> и </w:t>
      </w:r>
      <w:hyperlink r:id="rId650" w:tooltip="Швейцария" w:history="1">
        <w:r w:rsidRPr="002F2FDF">
          <w:rPr>
            <w:rStyle w:val="a5"/>
            <w:color w:val="000000" w:themeColor="text1"/>
            <w:kern w:val="2"/>
            <w:sz w:val="16"/>
            <w:szCs w:val="16"/>
            <w:u w:val="none"/>
          </w:rPr>
          <w:t>Швейцарии</w:t>
        </w:r>
      </w:hyperlink>
      <w:r w:rsidRPr="002F2FDF">
        <w:rPr>
          <w:color w:val="000000" w:themeColor="text1"/>
          <w:kern w:val="2"/>
          <w:sz w:val="16"/>
          <w:szCs w:val="16"/>
        </w:rPr>
        <w:t xml:space="preserve"> ограничились извещением о получении ноты. Посол </w:t>
      </w:r>
      <w:hyperlink r:id="rId651" w:tooltip="Испания" w:history="1">
        <w:r w:rsidRPr="002F2FDF">
          <w:rPr>
            <w:rStyle w:val="a5"/>
            <w:color w:val="000000" w:themeColor="text1"/>
            <w:kern w:val="2"/>
            <w:sz w:val="16"/>
            <w:szCs w:val="16"/>
            <w:u w:val="none"/>
          </w:rPr>
          <w:t>Испании</w:t>
        </w:r>
      </w:hyperlink>
      <w:r w:rsidRPr="002F2FDF">
        <w:rPr>
          <w:color w:val="000000" w:themeColor="text1"/>
          <w:kern w:val="2"/>
          <w:sz w:val="16"/>
          <w:szCs w:val="16"/>
        </w:rPr>
        <w:t xml:space="preserve">, заявивший </w:t>
      </w:r>
      <w:hyperlink r:id="rId652" w:tooltip="Народный комиссариат по иностранным делам РСФСР" w:history="1">
        <w:r w:rsidRPr="002F2FDF">
          <w:rPr>
            <w:rStyle w:val="a5"/>
            <w:color w:val="000000" w:themeColor="text1"/>
            <w:kern w:val="2"/>
            <w:sz w:val="16"/>
            <w:szCs w:val="16"/>
            <w:u w:val="none"/>
          </w:rPr>
          <w:t>НКИД</w:t>
        </w:r>
      </w:hyperlink>
      <w:r w:rsidRPr="002F2FDF">
        <w:rPr>
          <w:color w:val="000000" w:themeColor="text1"/>
          <w:kern w:val="2"/>
          <w:sz w:val="16"/>
          <w:szCs w:val="16"/>
        </w:rPr>
        <w:t xml:space="preserve">, что предложение передано в </w:t>
      </w:r>
      <w:hyperlink r:id="rId653" w:tooltip="Мадрид" w:history="1">
        <w:r w:rsidRPr="002F2FDF">
          <w:rPr>
            <w:rStyle w:val="a5"/>
            <w:color w:val="000000" w:themeColor="text1"/>
            <w:kern w:val="2"/>
            <w:sz w:val="16"/>
            <w:szCs w:val="16"/>
            <w:u w:val="none"/>
          </w:rPr>
          <w:t>Мадрид</w:t>
        </w:r>
      </w:hyperlink>
      <w:r w:rsidRPr="002F2FDF">
        <w:rPr>
          <w:color w:val="000000" w:themeColor="text1"/>
          <w:kern w:val="2"/>
          <w:sz w:val="16"/>
          <w:szCs w:val="16"/>
        </w:rPr>
        <w:t>, был немедленно отозван из России.</w:t>
      </w:r>
    </w:p>
    <w:p w14:paraId="65355B06" w14:textId="77777777" w:rsidR="00FA7CE5" w:rsidRPr="002F2FDF" w:rsidRDefault="00FA7CE5"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Отказ Антанты поддержать мирную инициативу Советского правительства и активное противодействие заключению мира вынудило Совнарком стать на путь сепаратных переговоров о мире с </w:t>
      </w:r>
      <w:hyperlink r:id="rId654" w:tooltip="Центральные державы" w:history="1">
        <w:r w:rsidRPr="002F2FDF">
          <w:rPr>
            <w:rStyle w:val="a5"/>
            <w:color w:val="000000" w:themeColor="text1"/>
            <w:kern w:val="2"/>
            <w:sz w:val="16"/>
            <w:szCs w:val="16"/>
            <w:u w:val="none"/>
          </w:rPr>
          <w:t>центральными державами</w:t>
        </w:r>
      </w:hyperlink>
      <w:r w:rsidRPr="002F2FDF">
        <w:rPr>
          <w:color w:val="000000" w:themeColor="text1"/>
          <w:kern w:val="2"/>
          <w:sz w:val="16"/>
          <w:szCs w:val="16"/>
        </w:rPr>
        <w:t>, которые были крайне заинтересованы в ликвидации своего Восточного фронта и пополнении истощившихся ресурсов за счет восстановления экономических отношений с Россией и поэтому немедленно откликнулись на советское предложение (17035).</w:t>
      </w:r>
    </w:p>
    <w:p w14:paraId="4AF1EC04" w14:textId="77777777" w:rsidR="00FA7CE5" w:rsidRPr="002F2FDF" w:rsidRDefault="00FA7CE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F8327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5B3DC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1E6D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ноября 1917 дирижабль L-59, долетевший уже до района Хартума, повинуясь неожиданно полученному по радио из центра приказу, вынужден был повернуть в обратный путь. Английская разведка, узнав по своим каналам об этом полете, сумела подбросить немцам весьма правдоподобное сообщение о капитуляции отряда Леттова-Форбекс.</w:t>
      </w:r>
    </w:p>
    <w:p w14:paraId="7A4EE8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25 ноября в 19.25 дирижабль вернулся в Ямбол, пройдя за 95 часов полета 7000 км. Из взятых в полет 21 600 кг топлива было израсходовано 11 400 кг, а оставшихся 10 200 кг теоретически хватило [227] бы еще на 64 летных часа. Перелет показал, что взятого на борт балласта было явно недостаточно для полетов в тропических условиях, поэтому пришлось выбрасывать за борт часть перевозимого груза. </w:t>
      </w:r>
    </w:p>
    <w:p w14:paraId="40404D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Все оборудование и двигатели функционировали без отказов. Поломку одной из крышек трансмиссии удалось быстро запаять, и все дело ограничилось только уменьшением на 15% мощности одного из двигателей. С технической точки зрения это воздушное путешествие можно считать в высшей степени удачным. </w:t>
      </w:r>
    </w:p>
    <w:p w14:paraId="7DE235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После приземления члены экипажа ощущали очень сильную физическую слабость, а врачи обнаружили у них нервное истощение — последнее, впрочем, можно объяснить разочарованием от сознания бесплодности перенесенных тягот и бесцельности совершенного полета. </w:t>
      </w:r>
    </w:p>
    <w:p w14:paraId="6A2D2D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L-59 еще неоднократно производил разведки над Средиземным морем и операции против Греции и Италии, так, например, особенно удачен был полет 10-11 марта 1918 года на Неаполь. Неблагоприятная погода не позволила ему долететь до Порт-Саида. </w:t>
      </w:r>
    </w:p>
    <w:p w14:paraId="62243D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апреля 1918 года он вылетел на бомбардировку Мальты, но до цели так и не добрался. При невыясненных обстоятельствах дирижабль взорвался над Отранским проливом и упал в Средиземном море. Есть непроверенные сведения, что L-59 погиб от попадания молнии (11324).</w:t>
      </w:r>
    </w:p>
    <w:p w14:paraId="235D21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059B40" w14:textId="71ADF567" w:rsidR="0068196A" w:rsidRPr="002F2FDF" w:rsidRDefault="0068196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10 (23) ноября 1917 г. года летчик-испытатель Flars К. Кригер (Karl Kriger) выполнил первый полет на самолете Кноллер «Доппельдеккер» (</w:t>
      </w:r>
      <w:r w:rsidRPr="002F2FDF">
        <w:rPr>
          <w:rFonts w:ascii="Times New Roman" w:hAnsi="Times New Roman" w:cs="Times New Roman"/>
          <w:color w:val="000000" w:themeColor="text1"/>
          <w:sz w:val="16"/>
          <w:szCs w:val="16"/>
          <w:lang w:val="en-US"/>
        </w:rPr>
        <w:t>Knoller</w:t>
      </w:r>
      <w:r w:rsidRPr="002F2FDF">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lang w:val="en-US"/>
        </w:rPr>
        <w:t>Doppeldecker</w:t>
      </w:r>
      <w:r w:rsidRPr="002F2FDF">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lang w:val="en-US"/>
        </w:rPr>
        <w:t>D</w:t>
      </w:r>
      <w:r w:rsidRPr="002F2FDF">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lang w:val="en-US"/>
        </w:rPr>
        <w:t>D</w:t>
      </w:r>
      <w:r w:rsidRPr="002F2FDF">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lang w:val="en-US"/>
        </w:rPr>
        <w:t>I</w:t>
      </w:r>
      <w:r w:rsidRPr="002F2FDF">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lang w:val="en-US"/>
        </w:rPr>
        <w:t>Knoller</w:t>
      </w:r>
      <w:r w:rsidRPr="002F2FDF">
        <w:rPr>
          <w:rFonts w:ascii="Times New Roman" w:hAnsi="Times New Roman" w:cs="Times New Roman"/>
          <w:color w:val="000000" w:themeColor="text1"/>
          <w:sz w:val="16"/>
          <w:szCs w:val="16"/>
        </w:rPr>
        <w:t xml:space="preserve"> 70, рег. № 70.01), построенном в мастерских Flars в Асперне к последней декаде ноября 1917 г. Не известно, подтвердились ли расчетные данные, но был выявлен ряд серьезных недостатков, главный из которых проистекал из гибкой конструкции верхнего крыла и способа управления по крену гошированием: периодически (и непредсказуемо) возникала обратная реакция по крену и самолет переходил в неуправляемый режим. Эффективность управления по крену даже при отсутствии обратной реакции оказалась недостаточна.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Хотя обычно управление быстро восстанавливалось и аварий не было, но оставалось крайне неудобным. Такой самолет в строевую эксплуатацию передан быть не мог (23139).</w:t>
      </w:r>
    </w:p>
    <w:p w14:paraId="4E218DE3" w14:textId="77777777" w:rsidR="0068196A" w:rsidRPr="002F2FDF" w:rsidRDefault="0068196A" w:rsidP="0083075A">
      <w:pPr>
        <w:spacing w:after="0" w:line="240" w:lineRule="auto"/>
        <w:jc w:val="both"/>
        <w:rPr>
          <w:rFonts w:ascii="Times New Roman" w:hAnsi="Times New Roman" w:cs="Times New Roman"/>
          <w:color w:val="000000" w:themeColor="text1"/>
          <w:sz w:val="16"/>
          <w:szCs w:val="16"/>
        </w:rPr>
      </w:pPr>
    </w:p>
    <w:p w14:paraId="46CDC2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ноября 1917 года 7-й автозенитной батареей полковника Хальмера было уничтожено 8-ми танков в сражении у Камбре (11282).</w:t>
      </w:r>
    </w:p>
    <w:p w14:paraId="5EBC4E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2F765B" w14:textId="77777777" w:rsidR="005D2783" w:rsidRPr="002F2FDF" w:rsidRDefault="005D278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10 (23) ноября </w:t>
      </w:r>
      <w:r w:rsidRPr="002F2FDF">
        <w:rPr>
          <w:rFonts w:ascii="Times New Roman" w:hAnsi="Times New Roman" w:cs="Times New Roman"/>
          <w:color w:val="000000" w:themeColor="text1"/>
          <w:kern w:val="2"/>
          <w:sz w:val="16"/>
          <w:szCs w:val="16"/>
        </w:rPr>
        <w:t>в 1917 году при наступлении на Фонтен-Нотр-Дам английские танки попали под огонь германской полевой артиллерии, выдвинутой для стрельбы прямой наводкой. Из 18 танков 11 были поражены. Рождение противотанковой артиллерии (14838).</w:t>
      </w:r>
    </w:p>
    <w:p w14:paraId="2CDC8C94" w14:textId="77777777" w:rsidR="005D2783" w:rsidRPr="002F2FDF" w:rsidRDefault="005D2783" w:rsidP="0083075A">
      <w:pPr>
        <w:spacing w:after="0" w:line="240" w:lineRule="auto"/>
        <w:jc w:val="both"/>
        <w:rPr>
          <w:rFonts w:ascii="Times New Roman" w:hAnsi="Times New Roman" w:cs="Times New Roman"/>
          <w:color w:val="000000" w:themeColor="text1"/>
          <w:kern w:val="2"/>
          <w:sz w:val="16"/>
          <w:szCs w:val="16"/>
        </w:rPr>
      </w:pPr>
    </w:p>
    <w:p w14:paraId="2409C5A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5EFB6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413C4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ноября 1917 советская Продкомиссия постановила послать по селам продотряды для реквизиции продуктов у кулаков (4962).</w:t>
      </w:r>
    </w:p>
    <w:p w14:paraId="79B3748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89F9A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ноября 1917 подпольное заседание Временного правительства России постановило выделить деньги на антибольшевистскую агитацию (4962).</w:t>
      </w:r>
    </w:p>
    <w:p w14:paraId="6C3AF4F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D5D48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ноября 1917 русский генерал М. Алексеев выехал в Новочеркасск для формирования Добровольческой армии (4962).</w:t>
      </w:r>
    </w:p>
    <w:p w14:paraId="2247C6B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9F3BBD" w14:textId="77777777" w:rsidR="005D2783" w:rsidRPr="002F2FDF" w:rsidRDefault="005D278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11 (24) ноября </w:t>
      </w:r>
      <w:r w:rsidRPr="002F2FDF">
        <w:rPr>
          <w:rFonts w:ascii="Times New Roman" w:hAnsi="Times New Roman" w:cs="Times New Roman"/>
          <w:color w:val="000000" w:themeColor="text1"/>
          <w:kern w:val="2"/>
          <w:sz w:val="16"/>
          <w:szCs w:val="16"/>
        </w:rPr>
        <w:t>в 1917 году выборы в Учредительное собрание, на которых большевики получают лишь около 25% голосов избирателей. В январе 1918 будет разогнано (14839).</w:t>
      </w:r>
    </w:p>
    <w:p w14:paraId="15C392A9" w14:textId="47F8A040" w:rsidR="005D2783" w:rsidRPr="002F2FDF" w:rsidRDefault="005D2783" w:rsidP="0083075A">
      <w:pPr>
        <w:spacing w:after="0" w:line="240" w:lineRule="auto"/>
        <w:jc w:val="both"/>
        <w:rPr>
          <w:rFonts w:ascii="Times New Roman" w:hAnsi="Times New Roman" w:cs="Times New Roman"/>
          <w:color w:val="000000" w:themeColor="text1"/>
          <w:kern w:val="2"/>
          <w:sz w:val="16"/>
          <w:szCs w:val="16"/>
        </w:rPr>
      </w:pPr>
    </w:p>
    <w:p w14:paraId="2828986F" w14:textId="680C27F8" w:rsidR="00C35683" w:rsidRPr="002F2FDF" w:rsidRDefault="00C35683" w:rsidP="0083075A">
      <w:pPr>
        <w:spacing w:after="0" w:line="240" w:lineRule="auto"/>
        <w:jc w:val="both"/>
        <w:rPr>
          <w:rFonts w:ascii="Times New Roman" w:hAnsi="Times New Roman" w:cs="Times New Roman"/>
          <w:i/>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AE9FC38" w14:textId="77777777" w:rsidR="00C35683" w:rsidRPr="002F2FDF" w:rsidRDefault="00C35683" w:rsidP="0083075A">
      <w:pPr>
        <w:spacing w:after="0" w:line="240" w:lineRule="auto"/>
        <w:jc w:val="both"/>
        <w:rPr>
          <w:rFonts w:ascii="Times New Roman" w:hAnsi="Times New Roman" w:cs="Times New Roman"/>
          <w:i/>
          <w:iCs/>
          <w:color w:val="000000" w:themeColor="text1"/>
          <w:kern w:val="2"/>
          <w:sz w:val="16"/>
          <w:szCs w:val="16"/>
        </w:rPr>
      </w:pPr>
    </w:p>
    <w:p w14:paraId="5E673C8C"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11 (24) ноября 1917 г.</w:t>
      </w:r>
    </w:p>
    <w:p w14:paraId="398ABC0C"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Телеграмма ген. Д. В. Яковлева ген. А. А. Игнатьеву о неисполнении программы вывоза самолетов из Франции за август—сентябрь 1917 г.</w:t>
      </w:r>
    </w:p>
    <w:p w14:paraId="1A5CF57F"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11 ноября 1917 г.</w:t>
      </w:r>
    </w:p>
    <w:p w14:paraId="7B42DA81"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1905.  Воздухофлоту [в] августе месяце было предоставлено 39 488 т для вывоза 617 аппаратов из Франции. Основание — телеграмма Главзаграна Несториусу номер 663. Фактически из Франции [в] августе месяце вывезено аппаратов: пароходами «Пандервез» — 19, «Св. Петр» — 14, «Умтали» — 3, «Нианза» — 38, «Бритиш транспорт» — 39 — итого [в] августе вывезено 115.</w:t>
      </w:r>
    </w:p>
    <w:p w14:paraId="0C5C9799" w14:textId="310E5FDA"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сентябре месяце было предоставлено 30720 т для вывоза 480 самолетов. Основание — телеграмма Главзаграна' Несториусу номер 795. Фактически [в] сентябре месяце вывезено самолетов: пароходами «Ромней» — 20, «Менелай» — 39, «Глодать» — 24, «Атхеретон» — 46. Итого [в] сентябре вывезено 132 самолета. Всего за август и сентябрь вывезено 245 самолетов, между тем как тоннаж был предоставлен на 1097 самолетов.</w:t>
      </w:r>
    </w:p>
    <w:p w14:paraId="57307371"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Номером 1905** сообщаете, что не вывезено 120, и на зиму остается 500 самолетов. Прошу сообщить, почему не использован предоставленный тоннаж. 9972.</w:t>
      </w:r>
    </w:p>
    <w:p w14:paraId="78C98BFE"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Яковлев.</w:t>
      </w:r>
    </w:p>
    <w:p w14:paraId="670C7639"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ЦГВИА, ф. 2000, on. 1, О. 6242, л. 443. Заверенная копия (20753).</w:t>
      </w:r>
    </w:p>
    <w:p w14:paraId="642058B9"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p>
    <w:p w14:paraId="0ADE1E70" w14:textId="77777777" w:rsidR="005D2783" w:rsidRPr="002F2FDF" w:rsidRDefault="005D278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Cs/>
          <w:color w:val="000000" w:themeColor="text1"/>
          <w:kern w:val="2"/>
          <w:sz w:val="16"/>
          <w:szCs w:val="16"/>
        </w:rPr>
        <w:t>Внешняя \политика:</w:t>
      </w:r>
    </w:p>
    <w:p w14:paraId="06425548" w14:textId="77777777" w:rsidR="005D2783" w:rsidRPr="002F2FDF" w:rsidRDefault="005D278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CE4D2D" w14:textId="77777777" w:rsidR="005D2783" w:rsidRPr="002F2FDF" w:rsidRDefault="005D278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(24-го) ноября 1917 имеет место первое официальное заявление представителя английского правительства о непризнании Советской власти. Оно исходило от министра Роберта Сессиля и гласило:</w:t>
      </w:r>
    </w:p>
    <w:p w14:paraId="3A737CA8" w14:textId="77777777" w:rsidR="005D2783" w:rsidRPr="002F2FDF" w:rsidRDefault="005D278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 касается признания этих людей, то хотя совершенно невозможно избегнуть определенного круга деловых сношений с ними, как например, по вопросам, возникающим из-за ареста британских подданных - за исключением этого не может быть вопроса о дипломатическом признании и сношениях с ними».</w:t>
      </w:r>
    </w:p>
    <w:p w14:paraId="7B82138B" w14:textId="77777777" w:rsidR="005D2783" w:rsidRPr="002F2FDF" w:rsidRDefault="005D278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тот же день, Сессил еще более усилил тон своего заявления, сказав: «Единственным лучем надежды является или может казаться лишь то, что делает или сможет сделать казацкий вождь Каледин».</w:t>
      </w:r>
    </w:p>
    <w:p w14:paraId="4834A585" w14:textId="77777777" w:rsidR="005D2783" w:rsidRPr="002F2FDF" w:rsidRDefault="005D278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этого заявления «Ивнинг Стандарт» в том же духе напечатала в передовице: «...союзники должны быть готовы путем максимально-авторитетной комиссии помочь в восстановлении порядка и специально оказать военную помощь Каледину, Корнилову и румынской армии».</w:t>
      </w:r>
    </w:p>
    <w:p w14:paraId="26BEBA0E" w14:textId="77777777" w:rsidR="005D2783" w:rsidRPr="002F2FDF" w:rsidRDefault="005D278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Следовательно, можно считать 24 ноября той датой, когда английское правительство в лице своего полномочного представителя в первый раз заявило о своем принципиальном согласии на интервенцию. И именно северное побережье Черного моря рассматривалось для этой цели в первую очередь (15497).</w:t>
      </w:r>
    </w:p>
    <w:p w14:paraId="7DF483A6" w14:textId="77777777" w:rsidR="005D2783" w:rsidRPr="002F2FDF" w:rsidRDefault="005D2783" w:rsidP="0083075A">
      <w:pPr>
        <w:spacing w:after="0" w:line="240" w:lineRule="auto"/>
        <w:jc w:val="both"/>
        <w:rPr>
          <w:rFonts w:ascii="Times New Roman" w:hAnsi="Times New Roman" w:cs="Times New Roman"/>
          <w:color w:val="000000" w:themeColor="text1"/>
          <w:kern w:val="2"/>
          <w:sz w:val="16"/>
          <w:szCs w:val="16"/>
        </w:rPr>
      </w:pPr>
    </w:p>
    <w:p w14:paraId="286B6BF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3C19DB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1588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12 </w:t>
      </w:r>
      <w:r w:rsidR="00631AD8" w:rsidRPr="002F2FDF">
        <w:rPr>
          <w:rFonts w:ascii="Times New Roman" w:hAnsi="Times New Roman" w:cs="Times New Roman"/>
          <w:color w:val="000000" w:themeColor="text1"/>
          <w:kern w:val="2"/>
          <w:sz w:val="16"/>
          <w:szCs w:val="16"/>
        </w:rPr>
        <w:t xml:space="preserve">(25) </w:t>
      </w:r>
      <w:r w:rsidRPr="002F2FDF">
        <w:rPr>
          <w:rFonts w:ascii="Times New Roman" w:hAnsi="Times New Roman" w:cs="Times New Roman"/>
          <w:color w:val="000000" w:themeColor="text1"/>
          <w:kern w:val="2"/>
          <w:sz w:val="16"/>
          <w:szCs w:val="16"/>
        </w:rPr>
        <w:t>ноября 1917 г. было организовано «АО механических заводов для производства арматуры, машин и предметов снабжения армии и флота» (Завод № 346 ИМ. В.М. Молотова НКСП, «АО механических заводов для производства арматуры, машин и предметов снабжения армии и флота», Северный механический и котельный завод (бывший Тильмана) ВСНХ, Завод «Знамя труда № 2», Арматурный литейно- механический завод им. Молотова ВСНХ РСФСР, НКТП, НКЧМ /г. Ленинград Васильевский остров, 25 линия 8/).</w:t>
      </w:r>
    </w:p>
    <w:p w14:paraId="20284B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 ВСНХ от 28.06.1918 г. Северный механический и котельный завод (бывший Тильмана) был национализирован и передан в ведение СНХ Северного района. Из-за отсутствия сырья и топлива производство остановлено. В 1920-21 г. завод- в ведении Районного правления заводов массового производства Секции по металлу Петроградского СНХ. В 1921 г. восстановлено производство чугунного и медного литья. В 1921-25 г. - в ведении Маштреста. В 1923 г. переименован в завод «Знамя труда», в 1925 г. вошел в состав треста «Знамя труда» и получил название «Знамя труда» № 2. Выпускал водопроводные краны, гильзы, тройники, пожарные насосы. С 1928 г. началось расширение производства, были построены сталелитейный, чугунолитейный, арматурный, модельный цех, лаборатория. Освоен выпуск стального литья и арматуры для новостроек (Магнитогорска, Кузнецка, Днепростроя, московского метро), задвижек, карбюраторов, фонтанной арматуры для нефтяников, арматуры для крекинг-процессов. В 1930-31 г.- в ведении Республиканского арматурного треста. 29.03.1931 г. переименован в арматурный литейно-механический завод им. В.М. Молотова в ведении Государственного республиканского объединения арматурной промышленности ВСНХ РСФСР. С 1932 г.- в ведении НКТП, в 1934 г. из ведения Орударса переподчинен непосредственно ГВМУ НКТП. В 1936 г. вошел в состав ГУВП НКТП." В 1939 г. завод передан в ведение НКСП, получил № 346 и перешел на выпуск судовой арматуры.</w:t>
      </w:r>
    </w:p>
    <w:p w14:paraId="44F0EF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пост. ГКО № 99сс от 11.07.1941 г. Завод им. Молотова НКЧМ подлежал эвакуации на Синарский труболитейный завод и Магнитогорский меткомбинат, в соответствии с пост. ГКО № 540 от 21.08.1941 г. завод (его часть) эвакуирован. Действовал в Ленинграде в 10.1941 г.</w:t>
      </w:r>
      <w:r w:rsidRPr="002F2FDF">
        <w:rPr>
          <w:rFonts w:ascii="Times New Roman" w:hAnsi="Times New Roman" w:cs="Times New Roman"/>
          <w:color w:val="000000" w:themeColor="text1"/>
          <w:kern w:val="2"/>
          <w:sz w:val="16"/>
          <w:szCs w:val="16"/>
          <w:vertAlign w:val="superscript"/>
        </w:rPr>
        <w:t>65</w:t>
      </w:r>
    </w:p>
    <w:p w14:paraId="6A15A8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месте эвакуированного завода № 346 в 1944 г. создан завод № 457.</w:t>
      </w:r>
    </w:p>
    <w:p w14:paraId="5BDFFF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(1922 г.)- 30 чел., (1931 г.)- около 3000 чел. Чугуно-медно-литейный завод АО механических заводов «Лангензиппен и К</w:t>
      </w:r>
      <w:r w:rsidRPr="002F2FDF">
        <w:rPr>
          <w:rFonts w:ascii="Times New Roman" w:hAnsi="Times New Roman" w:cs="Times New Roman"/>
          <w:color w:val="000000" w:themeColor="text1"/>
          <w:kern w:val="2"/>
          <w:sz w:val="16"/>
          <w:szCs w:val="16"/>
          <w:vertAlign w:val="superscript"/>
        </w:rPr>
        <w:t>0</w:t>
      </w:r>
      <w:r w:rsidRPr="002F2FDF">
        <w:rPr>
          <w:rFonts w:ascii="Times New Roman" w:hAnsi="Times New Roman" w:cs="Times New Roman"/>
          <w:color w:val="000000" w:themeColor="text1"/>
          <w:kern w:val="2"/>
          <w:sz w:val="16"/>
          <w:szCs w:val="16"/>
        </w:rPr>
        <w:t>» (11982).</w:t>
      </w:r>
    </w:p>
    <w:p w14:paraId="3B48D3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5CB978" w14:textId="714DD569" w:rsidR="00B6143B" w:rsidRDefault="00B6143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33686BFC" w14:textId="77777777" w:rsidR="00B6143B" w:rsidRDefault="00B6143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48035F9D" w14:textId="3DFA0258" w:rsidR="00B6143B" w:rsidRPr="00FB4F67" w:rsidRDefault="00B6143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12 (</w:t>
      </w:r>
      <w:r w:rsidRPr="00FB4F67">
        <w:rPr>
          <w:rFonts w:ascii="Times New Roman" w:hAnsi="Times New Roman" w:cs="Times New Roman"/>
          <w:color w:val="0070C0"/>
          <w:sz w:val="16"/>
          <w:szCs w:val="16"/>
        </w:rPr>
        <w:t>25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ноября 1917 г. Красная бригада в Минске арестовала командующего Западным фронтом генерала П.С. Балуева. На следующий день они сняли генерала В. А. Черимисова с поста командующего Северным фронтом (23525).</w:t>
      </w:r>
    </w:p>
    <w:p w14:paraId="4477E54C" w14:textId="77777777" w:rsidR="00B6143B" w:rsidRPr="00FB4F67" w:rsidRDefault="00B6143B" w:rsidP="0083075A">
      <w:pPr>
        <w:spacing w:after="0" w:line="240" w:lineRule="auto"/>
        <w:jc w:val="both"/>
        <w:rPr>
          <w:rFonts w:ascii="Times New Roman" w:hAnsi="Times New Roman" w:cs="Times New Roman"/>
          <w:color w:val="0070C0"/>
          <w:sz w:val="16"/>
          <w:szCs w:val="16"/>
        </w:rPr>
      </w:pPr>
    </w:p>
    <w:p w14:paraId="73D60D3D" w14:textId="0843FDB3"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5C6C3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4FF6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ноября 1917 начались выборы в Учредительное собрание. Большевики набрали 25%, эсеры - 58% и 13% за кадетов и другие буржуазные партии (1348,88). Меньшевики и близкие к ним национальные социал-демократические группы собрали менее 5 процентов, кадеты и другие буржуазно-помещичьи партии - 13 процентов голосов (9492).</w:t>
      </w:r>
    </w:p>
    <w:p w14:paraId="47BA6D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FD5AD5" w14:textId="77777777" w:rsidR="00231E61" w:rsidRPr="002F2FDF" w:rsidRDefault="00231E61"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12 (25) ноября </w:t>
      </w:r>
      <w:r w:rsidRPr="002F2FDF">
        <w:rPr>
          <w:rFonts w:ascii="Times New Roman" w:hAnsi="Times New Roman" w:cs="Times New Roman"/>
          <w:color w:val="000000" w:themeColor="text1"/>
          <w:kern w:val="2"/>
          <w:sz w:val="16"/>
          <w:szCs w:val="16"/>
        </w:rPr>
        <w:t>в 1917 году в Российской республике начались выборы в Учредительное собрание. Больше всех голосов - 40 процентов - получили эсеры. Большевики получили 23,9 процента голосов. В январе 1918 года было распущено (14840).</w:t>
      </w:r>
    </w:p>
    <w:p w14:paraId="73927485" w14:textId="77777777" w:rsidR="00231E61" w:rsidRPr="002F2FDF" w:rsidRDefault="00231E61" w:rsidP="0083075A">
      <w:pPr>
        <w:spacing w:after="0" w:line="240" w:lineRule="auto"/>
        <w:jc w:val="both"/>
        <w:rPr>
          <w:rFonts w:ascii="Times New Roman" w:hAnsi="Times New Roman" w:cs="Times New Roman"/>
          <w:color w:val="000000" w:themeColor="text1"/>
          <w:kern w:val="2"/>
          <w:sz w:val="16"/>
          <w:szCs w:val="16"/>
        </w:rPr>
      </w:pPr>
    </w:p>
    <w:p w14:paraId="548CF5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ноября 1917 в ходе выборов в Учредительное собрание победили эсеры и меньшевики - 62%, большевики - 25% и другие партии - 13% (3186).</w:t>
      </w:r>
    </w:p>
    <w:p w14:paraId="3EB99B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9FC822" w14:textId="77777777" w:rsidR="001519DB" w:rsidRPr="002F2FDF" w:rsidRDefault="001519DB" w:rsidP="0083075A">
      <w:pPr>
        <w:pStyle w:val="ae"/>
        <w:spacing w:before="0" w:after="0"/>
        <w:jc w:val="both"/>
        <w:rPr>
          <w:color w:val="000000" w:themeColor="text1"/>
          <w:kern w:val="2"/>
          <w:sz w:val="16"/>
          <w:szCs w:val="16"/>
        </w:rPr>
      </w:pPr>
      <w:r w:rsidRPr="002F2FDF">
        <w:rPr>
          <w:color w:val="000000" w:themeColor="text1"/>
          <w:kern w:val="2"/>
          <w:sz w:val="16"/>
          <w:szCs w:val="16"/>
        </w:rPr>
        <w:t>12 (25) ноября 1917 в России начались выборы в Учредительное собрание. Избирательные участки открылись в 46 округах из 81, в 20 других округах голосование растянулось на две недели. В 12 округах голосование было отложено на декабрь 1917 — январь 1918 года. По трем округам — Таврическому, Уральскому и «Русские войска во Франции и на Балканах» — голосование не проводилось (17045).</w:t>
      </w:r>
    </w:p>
    <w:p w14:paraId="19CDB5EB" w14:textId="77777777" w:rsidR="001519DB" w:rsidRPr="002F2FDF" w:rsidRDefault="001519D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C8AB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ноября 1917 началось выступление донских казаков во главе с А.М.Калединым (3398,417).</w:t>
      </w:r>
    </w:p>
    <w:p w14:paraId="446FB5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9CDB7A" w14:textId="77777777" w:rsidR="00231E61" w:rsidRPr="002F2FDF" w:rsidRDefault="00231E61"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12 (25) ноября </w:t>
      </w:r>
      <w:r w:rsidRPr="002F2FDF">
        <w:rPr>
          <w:rFonts w:ascii="Times New Roman" w:hAnsi="Times New Roman" w:cs="Times New Roman"/>
          <w:color w:val="000000" w:themeColor="text1"/>
          <w:kern w:val="2"/>
          <w:sz w:val="16"/>
          <w:szCs w:val="16"/>
        </w:rPr>
        <w:t>в 1917 году завершает работу Чрезвычайный Всероссийский съезд Советов крестьянских депутатов в Петрограде (14840).</w:t>
      </w:r>
    </w:p>
    <w:p w14:paraId="789C7E6E" w14:textId="77777777" w:rsidR="00231E61" w:rsidRPr="002F2FDF" w:rsidRDefault="00231E61" w:rsidP="0083075A">
      <w:pPr>
        <w:spacing w:after="0" w:line="240" w:lineRule="auto"/>
        <w:jc w:val="both"/>
        <w:rPr>
          <w:rFonts w:ascii="Times New Roman" w:hAnsi="Times New Roman" w:cs="Times New Roman"/>
          <w:color w:val="000000" w:themeColor="text1"/>
          <w:kern w:val="2"/>
          <w:sz w:val="16"/>
          <w:szCs w:val="16"/>
        </w:rPr>
      </w:pPr>
    </w:p>
    <w:p w14:paraId="26AB3B1F"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12 (25) ноября 1917. В храме Христа Спасителя по постановлению Церковного Собора отслужена панихида по всем павшим на московских улицах в дни междоусобного кровопролития.</w:t>
      </w:r>
    </w:p>
    <w:p w14:paraId="1207E32A"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Общее собрание военно революциолнных комитетов постановило, что районные военно-революционные комитеты должны прекратить свою деятельность и передать веяв исполнительным комитетам районных Советов (18685).</w:t>
      </w:r>
    </w:p>
    <w:p w14:paraId="53A27FFF"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p>
    <w:p w14:paraId="1C154D4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84174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1F54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ноября 1917 состоялся перелет германского дирижабля L-59 по маршруту Ямбол (Болгария) - Хартум (Судан) - 7250 км (3481).</w:t>
      </w:r>
    </w:p>
    <w:p w14:paraId="06E852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BDB2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12 (25) ноября 1917 в 19.25 дирижабль L-59 вернулся в Ямбол, пройдя за 95 часов полета 7000 км. Из взятых в полет 21 600 кг топлива было израсходовано 11 400 кг, а оставшихся 10 200 кг теоретически хватило [227] бы еще на 64 летных часа. Перелет показал, что взятого на борт балласта было явно недостаточно для полетов в тропических условиях, поэтому пришлось выбрасывать за борт часть перевозимого груза. </w:t>
      </w:r>
    </w:p>
    <w:p w14:paraId="1D669D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Все оборудование и двигатели функционировали без отказов. Поломку одной из крышек трансмиссии удалось быстро запаять, и все дело ограничилось только уменьшением на 15% мощности одного из двигателей. С технической точки зрения это воздушное путешествие можно считать в высшей степени удачным. </w:t>
      </w:r>
    </w:p>
    <w:p w14:paraId="04BAD0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После приземления члены экипажа ощущали очень сильную физическую слабость, а врачи обнаружили у них нервное истощение — последнее, впрочем, можно объяснить разочарованием от сознания бесплодности перенесенных тягот и бесцельности совершенного полета. </w:t>
      </w:r>
    </w:p>
    <w:p w14:paraId="0DE9CC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L-59 еще неоднократно производил разведки над Средиземным морем и операции против Греции и Италии, так, например, особенно удачен был полет 10-11 марта 1918 года на Неаполь. Неблагоприятная погода не позволила ему долететь до Порт-Саида. </w:t>
      </w:r>
    </w:p>
    <w:p w14:paraId="5D5792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апреля 1918 года он вылетел на бомбардировку Мальты, но до цели так и не добрался. При невыясненных обстоятельствах дирижабль взорвался над Отранским проливом и упал в Средиземном море. Есть непроверенные сведения, что L-59 погиб от попадания молнии (11324).</w:t>
      </w:r>
    </w:p>
    <w:p w14:paraId="03AE20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1B0BC9" w14:textId="77777777" w:rsidR="00231E61" w:rsidRPr="002F2FDF" w:rsidRDefault="00231E61" w:rsidP="0083075A">
      <w:pPr>
        <w:spacing w:after="0" w:line="240" w:lineRule="auto"/>
        <w:jc w:val="both"/>
        <w:rPr>
          <w:rStyle w:val="ucoz-forum-post"/>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12 (25) ноября 1917 года</w:t>
      </w:r>
      <w:r w:rsidRPr="002F2FDF">
        <w:rPr>
          <w:rStyle w:val="ucoz-forum-post"/>
          <w:rFonts w:ascii="Times New Roman" w:hAnsi="Times New Roman" w:cs="Times New Roman"/>
          <w:color w:val="000000" w:themeColor="text1"/>
          <w:kern w:val="2"/>
          <w:sz w:val="16"/>
          <w:szCs w:val="16"/>
        </w:rPr>
        <w:t xml:space="preserve"> Непризнанный мировой рекорд дальности по прямой для жестких дирижаблей: полет цеппелина L-59 по маршруту Ямбол (Болгария) - Хартум (Судан) протяженностью приблизительно 7250 километров (14840).</w:t>
      </w:r>
    </w:p>
    <w:p w14:paraId="0A9FEC9F" w14:textId="77777777" w:rsidR="00231E61" w:rsidRPr="002F2FDF" w:rsidRDefault="00231E61" w:rsidP="0083075A">
      <w:pPr>
        <w:spacing w:after="0" w:line="240" w:lineRule="auto"/>
        <w:jc w:val="both"/>
        <w:rPr>
          <w:rStyle w:val="ucoz-forum-post"/>
          <w:rFonts w:ascii="Times New Roman" w:hAnsi="Times New Roman" w:cs="Times New Roman"/>
          <w:color w:val="000000" w:themeColor="text1"/>
          <w:kern w:val="2"/>
          <w:sz w:val="16"/>
          <w:szCs w:val="16"/>
        </w:rPr>
      </w:pPr>
    </w:p>
    <w:p w14:paraId="344557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ноября 1917 в Берлине состоялась мирная демонстрация (2443,388).</w:t>
      </w:r>
    </w:p>
    <w:p w14:paraId="634D89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8DF47C" w14:textId="77777777" w:rsidR="00231E61" w:rsidRPr="002F2FDF" w:rsidRDefault="00231E61"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12 (25) ноября </w:t>
      </w:r>
      <w:r w:rsidRPr="002F2FDF">
        <w:rPr>
          <w:rFonts w:ascii="Times New Roman" w:hAnsi="Times New Roman" w:cs="Times New Roman"/>
          <w:color w:val="000000" w:themeColor="text1"/>
          <w:kern w:val="2"/>
          <w:sz w:val="16"/>
          <w:szCs w:val="16"/>
        </w:rPr>
        <w:t>в 1917 году народные демонстрации в Берлине с требованием мира (14840).</w:t>
      </w:r>
    </w:p>
    <w:p w14:paraId="50E8FBF5" w14:textId="77777777" w:rsidR="00231E61" w:rsidRPr="002F2FDF" w:rsidRDefault="00231E61" w:rsidP="0083075A">
      <w:pPr>
        <w:spacing w:after="0" w:line="240" w:lineRule="auto"/>
        <w:jc w:val="both"/>
        <w:rPr>
          <w:rFonts w:ascii="Times New Roman" w:hAnsi="Times New Roman" w:cs="Times New Roman"/>
          <w:color w:val="000000" w:themeColor="text1"/>
          <w:kern w:val="2"/>
          <w:sz w:val="16"/>
          <w:szCs w:val="16"/>
        </w:rPr>
      </w:pPr>
    </w:p>
    <w:p w14:paraId="1516C7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ноября 1917 была захвачена германская Юго-Восточная Африка (3481).</w:t>
      </w:r>
    </w:p>
    <w:p w14:paraId="25F865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5D13FD" w14:textId="77777777" w:rsidR="00133092" w:rsidRPr="002F2FDF" w:rsidRDefault="00133092" w:rsidP="0083075A">
      <w:pPr>
        <w:pStyle w:val="ae"/>
        <w:spacing w:before="0" w:after="0"/>
        <w:jc w:val="both"/>
        <w:rPr>
          <w:color w:val="000000" w:themeColor="text1"/>
          <w:kern w:val="2"/>
          <w:sz w:val="16"/>
          <w:szCs w:val="16"/>
        </w:rPr>
      </w:pPr>
      <w:r w:rsidRPr="002F2FDF">
        <w:rPr>
          <w:rStyle w:val="ucoz-forum-post"/>
          <w:bCs/>
          <w:color w:val="000000" w:themeColor="text1"/>
          <w:kern w:val="2"/>
          <w:sz w:val="16"/>
          <w:szCs w:val="16"/>
        </w:rPr>
        <w:t xml:space="preserve">12 (25) ноября </w:t>
      </w:r>
      <w:r w:rsidRPr="002F2FDF">
        <w:rPr>
          <w:color w:val="000000" w:themeColor="text1"/>
          <w:kern w:val="2"/>
          <w:sz w:val="16"/>
          <w:szCs w:val="16"/>
        </w:rPr>
        <w:t>в 1917 году полковник Пауль фон Леттов-Форбек, командующий войсками Восточной Германской Африки (территория нынешних Танзании, Бурунди и Руанды) — последней оставшейся немецкой колонии — вместе с небольшим отрядом переправился через реку Рувума и вторгся в Португальскую Восточную Африку. Покинуть германские территории ему пришлось под натиском превосходящих британских колониальных войск. Отряд Форбека к этому моменту насчитывал всего 200 европейцев и 2000 аскари (солдат из числа местных жителей). На португальской территории Форбек, пользуясь поддержкой местного населения, настроенного враждебно к португальской администрации, развернул партизанскую войну. К концу 1917 года для его поимки в Восточной Африке было развернуто более 150 тысяч британских и португальских солдат (17045).</w:t>
      </w:r>
    </w:p>
    <w:p w14:paraId="1ED4A01D" w14:textId="77777777" w:rsidR="00133092" w:rsidRPr="002F2FDF" w:rsidRDefault="0013309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0F2BC9" w14:textId="77777777" w:rsidR="00FF33CC" w:rsidRPr="002F2FDF" w:rsidRDefault="00FF33C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70FA127" w14:textId="77777777" w:rsidR="00FF33CC" w:rsidRPr="002F2FDF" w:rsidRDefault="00FF33C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A6148E"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shd w:val="clear" w:color="auto" w:fill="FFFFFF"/>
        </w:rPr>
        <w:t>13 (26) ноября 1917 года около 13 часов в Херсоне произошла тяжелая авиакатастрофа, повлекшая за собой первые человеческие жертвы. Летательный аппарат «Лебедь-12», пилотируемый авиатором Иваном Никифоровичем Синицей, выполнял пробный полет с пассажирами на борту. При заходе на посадку, на высоте около одной версты, прогремел сильный взрыв. Потерявший управление, рассыпающийся на части аппарат устремился к земле и упал недалеко от аэродрома, между заводом Гуревича и полотном железной дороги. Удар был настолько сильным, что мотор аэроплана ушел в землю на глубину около двух метров. Вместе с пилотом погибли пассажиры Рыков и Пейффер</w:t>
      </w:r>
      <w:r w:rsidRPr="002F2FDF">
        <w:rPr>
          <w:rFonts w:ascii="Times New Roman" w:hAnsi="Times New Roman" w:cs="Times New Roman"/>
          <w:color w:val="000000" w:themeColor="text1"/>
          <w:sz w:val="16"/>
          <w:szCs w:val="16"/>
        </w:rPr>
        <w:t xml:space="preserve"> (19167)</w:t>
      </w:r>
      <w:r w:rsidRPr="002F2FDF">
        <w:rPr>
          <w:rFonts w:ascii="Times New Roman" w:hAnsi="Times New Roman" w:cs="Times New Roman"/>
          <w:color w:val="000000" w:themeColor="text1"/>
          <w:sz w:val="16"/>
          <w:szCs w:val="16"/>
          <w:shd w:val="clear" w:color="auto" w:fill="FFFFFF"/>
        </w:rPr>
        <w:t>.</w:t>
      </w:r>
    </w:p>
    <w:p w14:paraId="676F7F0C"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p>
    <w:p w14:paraId="3B69EC1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993FE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A7EDF7" w14:textId="211EA4E0"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w:t>
      </w:r>
      <w:r w:rsidR="00B6143B">
        <w:rPr>
          <w:rFonts w:ascii="Times New Roman" w:hAnsi="Times New Roman" w:cs="Times New Roman"/>
          <w:color w:val="000000" w:themeColor="text1"/>
          <w:kern w:val="2"/>
          <w:sz w:val="16"/>
          <w:szCs w:val="16"/>
        </w:rPr>
        <w:t>6</w:t>
      </w:r>
      <w:r w:rsidRPr="002F2FDF">
        <w:rPr>
          <w:rFonts w:ascii="Times New Roman" w:hAnsi="Times New Roman" w:cs="Times New Roman"/>
          <w:color w:val="000000" w:themeColor="text1"/>
          <w:kern w:val="2"/>
          <w:sz w:val="16"/>
          <w:szCs w:val="16"/>
        </w:rPr>
        <w:t>) ноября 1917 произошел последний бой авиагруппы 1БАГ. Смирнов и Казаков “...атаковали два неприятельских самолета, один из ко</w:t>
      </w:r>
      <w:r w:rsidRPr="002F2FDF">
        <w:rPr>
          <w:rFonts w:ascii="Times New Roman" w:hAnsi="Times New Roman" w:cs="Times New Roman"/>
          <w:color w:val="000000" w:themeColor="text1"/>
          <w:kern w:val="2"/>
          <w:sz w:val="16"/>
          <w:szCs w:val="16"/>
        </w:rPr>
        <w:softHyphen/>
        <w:t>торых круто сел в ближайшем тылу противника в районе Германувка” (в 30 верстах западнее Каменец-По</w:t>
      </w:r>
      <w:r w:rsidRPr="002F2FDF">
        <w:rPr>
          <w:rFonts w:ascii="Times New Roman" w:hAnsi="Times New Roman" w:cs="Times New Roman"/>
          <w:color w:val="000000" w:themeColor="text1"/>
          <w:kern w:val="2"/>
          <w:sz w:val="16"/>
          <w:szCs w:val="16"/>
        </w:rPr>
        <w:softHyphen/>
        <w:t>дольска). Всего за ноябрь летчики группы совершили 73 боевых вылета, провели 3 воздушных боя, сбили один и подбили ещё один самолет противника (3954). Итогом боевой работы 1-й БАГ за всё время её активной деятельности (около года) стали 25 сбитых и 14 по</w:t>
      </w:r>
      <w:r w:rsidRPr="002F2FDF">
        <w:rPr>
          <w:rFonts w:ascii="Times New Roman" w:hAnsi="Times New Roman" w:cs="Times New Roman"/>
          <w:color w:val="000000" w:themeColor="text1"/>
          <w:kern w:val="2"/>
          <w:sz w:val="16"/>
          <w:szCs w:val="16"/>
        </w:rPr>
        <w:softHyphen/>
        <w:t>врежденных (или предположительно сбитых. - Прим. ред.) вражеских са</w:t>
      </w:r>
      <w:r w:rsidRPr="002F2FDF">
        <w:rPr>
          <w:rFonts w:ascii="Times New Roman" w:hAnsi="Times New Roman" w:cs="Times New Roman"/>
          <w:color w:val="000000" w:themeColor="text1"/>
          <w:kern w:val="2"/>
          <w:sz w:val="16"/>
          <w:szCs w:val="16"/>
        </w:rPr>
        <w:softHyphen/>
        <w:t>молетов. Около дюжины аэропланов, поврежденных в боях и скрывшиеся на территории противника, не вошли в счет побед из-за трудностей подтвер</w:t>
      </w:r>
      <w:r w:rsidRPr="002F2FDF">
        <w:rPr>
          <w:rFonts w:ascii="Times New Roman" w:hAnsi="Times New Roman" w:cs="Times New Roman"/>
          <w:color w:val="000000" w:themeColor="text1"/>
          <w:kern w:val="2"/>
          <w:sz w:val="16"/>
          <w:szCs w:val="16"/>
        </w:rPr>
        <w:softHyphen/>
        <w:t>ждения факта их сбития (3954).</w:t>
      </w:r>
    </w:p>
    <w:p w14:paraId="5E6100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FEB402" w14:textId="118CEA2F" w:rsidR="00B6143B" w:rsidRPr="00FB4F67" w:rsidRDefault="00B6143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13 (</w:t>
      </w:r>
      <w:r w:rsidRPr="00FB4F67">
        <w:rPr>
          <w:rFonts w:ascii="Times New Roman" w:hAnsi="Times New Roman" w:cs="Times New Roman"/>
          <w:color w:val="0070C0"/>
          <w:sz w:val="16"/>
          <w:szCs w:val="16"/>
        </w:rPr>
        <w:t>26</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ноября 1917 г. в Петрограде Троцкий официально обратился к Центральным державам с просьбой о переговорах о перемирии (23525).</w:t>
      </w:r>
    </w:p>
    <w:p w14:paraId="2F4CBA4C" w14:textId="77777777" w:rsidR="00B6143B" w:rsidRPr="00FB4F67" w:rsidRDefault="00B6143B" w:rsidP="0083075A">
      <w:pPr>
        <w:spacing w:after="0" w:line="240" w:lineRule="auto"/>
        <w:jc w:val="both"/>
        <w:rPr>
          <w:rFonts w:ascii="Times New Roman" w:hAnsi="Times New Roman" w:cs="Times New Roman"/>
          <w:color w:val="0070C0"/>
          <w:sz w:val="16"/>
          <w:szCs w:val="16"/>
        </w:rPr>
      </w:pPr>
    </w:p>
    <w:p w14:paraId="2D93BBF8" w14:textId="260ACC61" w:rsidR="00B6143B" w:rsidRPr="00FB4F67" w:rsidRDefault="00B6143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13 (</w:t>
      </w:r>
      <w:r w:rsidRPr="00FB4F67">
        <w:rPr>
          <w:rFonts w:ascii="Times New Roman" w:hAnsi="Times New Roman" w:cs="Times New Roman"/>
          <w:color w:val="0070C0"/>
          <w:sz w:val="16"/>
          <w:szCs w:val="16"/>
        </w:rPr>
        <w:t>26</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ноября 1917 г. красногвардейцы вышли из Киева и перенесли свой штаб в Харьков. 25/26 декабря они учредили там Украинскую Советскую Республику (23525).</w:t>
      </w:r>
    </w:p>
    <w:p w14:paraId="179EE214" w14:textId="77777777" w:rsidR="00B6143B" w:rsidRPr="00FB4F67" w:rsidRDefault="00B6143B" w:rsidP="0083075A">
      <w:pPr>
        <w:spacing w:after="0" w:line="240" w:lineRule="auto"/>
        <w:jc w:val="both"/>
        <w:rPr>
          <w:rFonts w:ascii="Times New Roman" w:hAnsi="Times New Roman" w:cs="Times New Roman"/>
          <w:color w:val="0070C0"/>
          <w:sz w:val="16"/>
          <w:szCs w:val="16"/>
        </w:rPr>
      </w:pPr>
    </w:p>
    <w:p w14:paraId="4A4D207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BE237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72B9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ноября 1917 в Москве состоялись похороны на Братском кладбище на Соколе юнкеров, солдат и студентов, погибших при захвате власти в Москве (3481).</w:t>
      </w:r>
    </w:p>
    <w:p w14:paraId="4C55D2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6C5207" w14:textId="77777777" w:rsidR="00231E61" w:rsidRPr="002F2FDF" w:rsidRDefault="00231E6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13 (26) ноября </w:t>
      </w:r>
      <w:r w:rsidRPr="002F2FDF">
        <w:rPr>
          <w:rFonts w:ascii="Times New Roman" w:hAnsi="Times New Roman" w:cs="Times New Roman"/>
          <w:color w:val="000000" w:themeColor="text1"/>
          <w:kern w:val="2"/>
          <w:sz w:val="16"/>
          <w:szCs w:val="16"/>
        </w:rPr>
        <w:t>в 1917 году похороны на Братском кладбище; подле Кремлевской стены вечному покою были преданы тела 238 героев Октября. А через 3 дня были преданы земле те, кто стоял по другую сторону баррикад – юнкера, солдаты, студенты... (14841).</w:t>
      </w:r>
    </w:p>
    <w:p w14:paraId="3D93A166" w14:textId="77777777" w:rsidR="00231E61" w:rsidRPr="002F2FDF" w:rsidRDefault="00231E61" w:rsidP="0083075A">
      <w:pPr>
        <w:spacing w:after="0" w:line="240" w:lineRule="auto"/>
        <w:jc w:val="both"/>
        <w:rPr>
          <w:rFonts w:ascii="Times New Roman" w:hAnsi="Times New Roman" w:cs="Times New Roman"/>
          <w:color w:val="000000" w:themeColor="text1"/>
          <w:kern w:val="2"/>
          <w:sz w:val="16"/>
          <w:szCs w:val="16"/>
        </w:rPr>
      </w:pPr>
    </w:p>
    <w:p w14:paraId="63A38B23" w14:textId="77777777" w:rsidR="00103C92" w:rsidRPr="002F2FDF" w:rsidRDefault="00103C92" w:rsidP="0083075A">
      <w:pPr>
        <w:pStyle w:val="a3"/>
        <w:rPr>
          <w:color w:val="000000" w:themeColor="text1"/>
          <w:lang w:val="ru-RU"/>
        </w:rPr>
      </w:pPr>
      <w:r w:rsidRPr="002F2FDF">
        <w:rPr>
          <w:color w:val="000000" w:themeColor="text1"/>
          <w:lang w:val="ru-RU"/>
        </w:rPr>
        <w:t>13 (26) ноября В. И. Ленин издает распоряжение: "Служащие Государственного банка, отказывающиеся признать Правительство Рабочих и Крестьян - Совет Народных Комиссаров и сдать дела по Банку, должны быть арестованы"." В тот же день приказом по Министерству финансов был назначен комиссар по Госбанку со всеми правами Управляющего Валериан Валерианович Оболенский. Одновременно вышел декрет о том, что во исполнение постановления ЦИК съезда Советов от 21 (8) ноября 1917 г. СНК постановил предоставить Комиссару Государственного банка В. В. Оболенскому право, в виде временной меры, выдать с текущего счета Государственного казначейства краткосрочный аванс Совнаркому в размере 25 млн рублей.54</w:t>
      </w:r>
    </w:p>
    <w:p w14:paraId="141DA9B1" w14:textId="77777777" w:rsidR="00103C92" w:rsidRPr="002F2FDF" w:rsidRDefault="00103C92" w:rsidP="0083075A">
      <w:pPr>
        <w:pStyle w:val="a3"/>
        <w:rPr>
          <w:color w:val="000000" w:themeColor="text1"/>
          <w:lang w:val="ru-RU"/>
        </w:rPr>
      </w:pPr>
      <w:r w:rsidRPr="002F2FDF">
        <w:rPr>
          <w:color w:val="000000" w:themeColor="text1"/>
          <w:lang w:val="ru-RU"/>
        </w:rPr>
        <w:t>После назначения в банк комиссара высшие и средние служащие открыто объявили забастовку. Они покинули банк и захватили с собой ключи от денежных касс, сейфов и шкафов с документами (18085).</w:t>
      </w:r>
    </w:p>
    <w:p w14:paraId="510394F6" w14:textId="77777777" w:rsidR="00103C92" w:rsidRPr="002F2FDF" w:rsidRDefault="00103C92" w:rsidP="0083075A">
      <w:pPr>
        <w:pStyle w:val="a3"/>
        <w:rPr>
          <w:color w:val="000000" w:themeColor="text1"/>
          <w:lang w:val="ru-RU"/>
        </w:rPr>
      </w:pPr>
    </w:p>
    <w:p w14:paraId="11767AE9" w14:textId="25632E33" w:rsidR="00FF33CC" w:rsidRPr="002F2FDF" w:rsidRDefault="00FF33CC"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13 (26) ноября</w:t>
      </w:r>
      <w:r w:rsidR="00E52569">
        <w:rPr>
          <w:color w:val="000000" w:themeColor="text1"/>
          <w:sz w:val="16"/>
          <w:szCs w:val="16"/>
        </w:rPr>
        <w:t xml:space="preserve"> </w:t>
      </w:r>
      <w:r w:rsidRPr="002F2FDF">
        <w:rPr>
          <w:color w:val="000000" w:themeColor="text1"/>
          <w:sz w:val="16"/>
          <w:szCs w:val="16"/>
        </w:rPr>
        <w:t>1917 в Петрограде начал работу IV съезд Партии эсеров (закончился 22 ноября (5 декабря), он подтвердил ранее принятые ЦК постановления об исключении из своих рядом левых эсеров. Отторгнув сотрудничающих с большевиками левых эсеров, съезд, в то же время, осудил политику ЦК за попытку создания коалиции антибольшевистских сил. Левые эсеры создали новую партию</w:t>
      </w:r>
      <w:r w:rsidR="00E52569">
        <w:rPr>
          <w:color w:val="000000" w:themeColor="text1"/>
          <w:sz w:val="16"/>
          <w:szCs w:val="16"/>
        </w:rPr>
        <w:t xml:space="preserve"> </w:t>
      </w:r>
      <w:r w:rsidRPr="002F2FDF">
        <w:rPr>
          <w:color w:val="000000" w:themeColor="text1"/>
          <w:sz w:val="16"/>
          <w:szCs w:val="16"/>
        </w:rPr>
        <w:t>– левых социалистов-революционеров. Позже представители новой партии войдут в Совет Народных Комиссаров: Штейнберг станет наркомом юстиции, Прошьян</w:t>
      </w:r>
      <w:r w:rsidR="00E52569">
        <w:rPr>
          <w:color w:val="000000" w:themeColor="text1"/>
          <w:sz w:val="16"/>
          <w:szCs w:val="16"/>
        </w:rPr>
        <w:t xml:space="preserve"> </w:t>
      </w:r>
      <w:r w:rsidRPr="002F2FDF">
        <w:rPr>
          <w:color w:val="000000" w:themeColor="text1"/>
          <w:sz w:val="16"/>
          <w:szCs w:val="16"/>
        </w:rPr>
        <w:t>– почт и телеграфа, Трутовский</w:t>
      </w:r>
      <w:r w:rsidR="00E52569">
        <w:rPr>
          <w:color w:val="000000" w:themeColor="text1"/>
          <w:sz w:val="16"/>
          <w:szCs w:val="16"/>
        </w:rPr>
        <w:t xml:space="preserve"> </w:t>
      </w:r>
      <w:r w:rsidRPr="002F2FDF">
        <w:rPr>
          <w:color w:val="000000" w:themeColor="text1"/>
          <w:sz w:val="16"/>
          <w:szCs w:val="16"/>
        </w:rPr>
        <w:t>– по местному самоуправлению, Карелин</w:t>
      </w:r>
      <w:r w:rsidR="00E52569">
        <w:rPr>
          <w:color w:val="000000" w:themeColor="text1"/>
          <w:sz w:val="16"/>
          <w:szCs w:val="16"/>
        </w:rPr>
        <w:t xml:space="preserve"> </w:t>
      </w:r>
      <w:r w:rsidRPr="002F2FDF">
        <w:rPr>
          <w:color w:val="000000" w:themeColor="text1"/>
          <w:sz w:val="16"/>
          <w:szCs w:val="16"/>
        </w:rPr>
        <w:t>– наркомом имуществ, Колегаев</w:t>
      </w:r>
      <w:r w:rsidR="00E52569">
        <w:rPr>
          <w:color w:val="000000" w:themeColor="text1"/>
          <w:sz w:val="16"/>
          <w:szCs w:val="16"/>
        </w:rPr>
        <w:t xml:space="preserve"> </w:t>
      </w:r>
      <w:r w:rsidRPr="002F2FDF">
        <w:rPr>
          <w:color w:val="000000" w:themeColor="text1"/>
          <w:sz w:val="16"/>
          <w:szCs w:val="16"/>
        </w:rPr>
        <w:t>– наркомом земледелия, Бриллиантов и Алгасов</w:t>
      </w:r>
      <w:r w:rsidR="00E52569">
        <w:rPr>
          <w:color w:val="000000" w:themeColor="text1"/>
          <w:sz w:val="16"/>
          <w:szCs w:val="16"/>
        </w:rPr>
        <w:t xml:space="preserve"> </w:t>
      </w:r>
      <w:r w:rsidRPr="002F2FDF">
        <w:rPr>
          <w:color w:val="000000" w:themeColor="text1"/>
          <w:sz w:val="16"/>
          <w:szCs w:val="16"/>
        </w:rPr>
        <w:t>– наркомами без портфелей. Левые эсеры занимали на первых порах ответственные должности в Красной Армии, на флоте, в ВЧК, в местных Советах.</w:t>
      </w:r>
      <w:r w:rsidR="00E52569">
        <w:rPr>
          <w:color w:val="000000" w:themeColor="text1"/>
          <w:sz w:val="16"/>
          <w:szCs w:val="16"/>
        </w:rPr>
        <w:t xml:space="preserve"> </w:t>
      </w:r>
    </w:p>
    <w:p w14:paraId="0955F272" w14:textId="6143D5E0" w:rsidR="00FF33CC" w:rsidRPr="002F2FDF" w:rsidRDefault="00FF33CC" w:rsidP="0083075A">
      <w:pPr>
        <w:pStyle w:val="ae"/>
        <w:spacing w:before="0" w:after="0"/>
        <w:jc w:val="both"/>
        <w:rPr>
          <w:color w:val="000000" w:themeColor="text1"/>
          <w:sz w:val="16"/>
          <w:szCs w:val="16"/>
        </w:rPr>
      </w:pPr>
      <w:r w:rsidRPr="002F2FDF">
        <w:rPr>
          <w:color w:val="000000" w:themeColor="text1"/>
          <w:sz w:val="16"/>
          <w:szCs w:val="16"/>
        </w:rPr>
        <w:t>Большевики «на паритетных началах» разделили с левыми эсерами руководство отделами ВЦИК. На заседании Московского Комитета РСДРП(б) принято Постановление, закрепившее положение о «</w:t>
      </w:r>
      <w:r w:rsidRPr="002F2FDF">
        <w:rPr>
          <w:rStyle w:val="af0"/>
          <w:i w:val="0"/>
          <w:color w:val="000000" w:themeColor="text1"/>
          <w:sz w:val="16"/>
          <w:szCs w:val="16"/>
        </w:rPr>
        <w:t>возможности блока с левыми эсерами и социал-демократами интернационалистами только на основании признания решения</w:t>
      </w:r>
      <w:r w:rsidR="00E52569">
        <w:rPr>
          <w:rStyle w:val="af0"/>
          <w:i w:val="0"/>
          <w:color w:val="000000" w:themeColor="text1"/>
          <w:sz w:val="16"/>
          <w:szCs w:val="16"/>
        </w:rPr>
        <w:t xml:space="preserve"> </w:t>
      </w:r>
      <w:r w:rsidRPr="002F2FDF">
        <w:rPr>
          <w:rStyle w:val="af0"/>
          <w:i w:val="0"/>
          <w:color w:val="000000" w:themeColor="text1"/>
          <w:sz w:val="16"/>
          <w:szCs w:val="16"/>
        </w:rPr>
        <w:t>II</w:t>
      </w:r>
      <w:r w:rsidR="00E52569">
        <w:rPr>
          <w:rStyle w:val="af0"/>
          <w:i w:val="0"/>
          <w:color w:val="000000" w:themeColor="text1"/>
          <w:sz w:val="16"/>
          <w:szCs w:val="16"/>
        </w:rPr>
        <w:t xml:space="preserve"> </w:t>
      </w:r>
      <w:r w:rsidRPr="002F2FDF">
        <w:rPr>
          <w:rStyle w:val="af0"/>
          <w:i w:val="0"/>
          <w:color w:val="000000" w:themeColor="text1"/>
          <w:sz w:val="16"/>
          <w:szCs w:val="16"/>
        </w:rPr>
        <w:t>Всероссийского съезда Советов»</w:t>
      </w:r>
      <w:r w:rsidRPr="002F2FDF">
        <w:rPr>
          <w:color w:val="000000" w:themeColor="text1"/>
          <w:sz w:val="16"/>
          <w:szCs w:val="16"/>
        </w:rPr>
        <w:t>. Было подчеркнуто, что «</w:t>
      </w:r>
      <w:r w:rsidRPr="002F2FDF">
        <w:rPr>
          <w:rStyle w:val="af0"/>
          <w:i w:val="0"/>
          <w:color w:val="000000" w:themeColor="text1"/>
          <w:sz w:val="16"/>
          <w:szCs w:val="16"/>
        </w:rPr>
        <w:t>Московская организация в вопросах о характере свершившейся революции, об органах диктатуры пролетариата стояла на ленинских позициях</w:t>
      </w:r>
      <w:r w:rsidRPr="002F2FDF">
        <w:rPr>
          <w:color w:val="000000" w:themeColor="text1"/>
          <w:sz w:val="16"/>
          <w:szCs w:val="16"/>
        </w:rPr>
        <w:t>». Рыков и Ногин не были рекомендованы для избрания в Совет Рабочих и Солдатских Депутатов «</w:t>
      </w:r>
      <w:r w:rsidRPr="002F2FDF">
        <w:rPr>
          <w:rStyle w:val="af0"/>
          <w:i w:val="0"/>
          <w:color w:val="000000" w:themeColor="text1"/>
          <w:sz w:val="16"/>
          <w:szCs w:val="16"/>
        </w:rPr>
        <w:t>ввиду недовольства широких масс их соглашательской деятельностью</w:t>
      </w:r>
      <w:r w:rsidRPr="002F2FDF">
        <w:rPr>
          <w:color w:val="000000" w:themeColor="text1"/>
          <w:sz w:val="16"/>
          <w:szCs w:val="16"/>
        </w:rPr>
        <w:t>» (18371).</w:t>
      </w:r>
    </w:p>
    <w:p w14:paraId="4142C2ED" w14:textId="77777777" w:rsidR="00FF33CC" w:rsidRPr="002F2FDF" w:rsidRDefault="00FF33CC" w:rsidP="0083075A">
      <w:pPr>
        <w:pStyle w:val="ae"/>
        <w:spacing w:before="0" w:after="0"/>
        <w:jc w:val="both"/>
        <w:rPr>
          <w:color w:val="000000" w:themeColor="text1"/>
          <w:sz w:val="16"/>
          <w:szCs w:val="16"/>
        </w:rPr>
      </w:pPr>
    </w:p>
    <w:p w14:paraId="393CCAD3" w14:textId="77777777" w:rsidR="00FF33CC" w:rsidRPr="002F2FDF" w:rsidRDefault="00FF33CC" w:rsidP="0083075A">
      <w:pPr>
        <w:pStyle w:val="ae"/>
        <w:spacing w:before="0" w:after="0"/>
        <w:jc w:val="both"/>
        <w:rPr>
          <w:color w:val="000000" w:themeColor="text1"/>
          <w:sz w:val="16"/>
          <w:szCs w:val="16"/>
        </w:rPr>
      </w:pPr>
      <w:r w:rsidRPr="002F2FDF">
        <w:rPr>
          <w:color w:val="000000" w:themeColor="text1"/>
          <w:sz w:val="16"/>
          <w:szCs w:val="16"/>
        </w:rPr>
        <w:t>13 (26) ноября 1917 финский сейм утвердил сенат (правительство) во главе с П. Свинхувудом. 23 ноября (6 декабря) сейм в одностороннем порядке провозгласил Финляндию независимым государством. 18 (31) декабря Ленин подписал «Постановление Совета Народных Комиссаров о признании независимости Финляндской Республики». В постановлении говорилось: "В ответ на обращение Финляндского Правительства о признании независимости Финляндской Республики Совет Народных Комиссаров в полном согласии с принципами права наций на самоопределение постановляет:</w:t>
      </w:r>
    </w:p>
    <w:p w14:paraId="6C3DDA7D" w14:textId="77777777" w:rsidR="00FF33CC" w:rsidRPr="002F2FDF" w:rsidRDefault="00FF33CC" w:rsidP="0083075A">
      <w:pPr>
        <w:pStyle w:val="ae"/>
        <w:spacing w:before="0" w:after="0"/>
        <w:jc w:val="both"/>
        <w:rPr>
          <w:color w:val="000000" w:themeColor="text1"/>
          <w:sz w:val="16"/>
          <w:szCs w:val="16"/>
        </w:rPr>
      </w:pPr>
      <w:r w:rsidRPr="002F2FDF">
        <w:rPr>
          <w:color w:val="000000" w:themeColor="text1"/>
          <w:sz w:val="16"/>
          <w:szCs w:val="16"/>
        </w:rPr>
        <w:t>Войти в Центральный Исполнительный комитет с предложением: а) признать государственную независимость Финляндской Республики и б) организовать, по соглашению с Финляндским Правительством, особую Комиссию из представителей обеих сторон для разработки тех практических мероприятий, которые вытекают из отделения Финляндии от России".</w:t>
      </w:r>
    </w:p>
    <w:p w14:paraId="1BF3E573" w14:textId="4153723B" w:rsidR="00FF33CC" w:rsidRPr="002F2FDF" w:rsidRDefault="00FF33CC" w:rsidP="0083075A">
      <w:pPr>
        <w:pStyle w:val="ae"/>
        <w:spacing w:before="0" w:after="0"/>
        <w:jc w:val="both"/>
        <w:rPr>
          <w:color w:val="000000" w:themeColor="text1"/>
          <w:sz w:val="16"/>
          <w:szCs w:val="16"/>
        </w:rPr>
      </w:pPr>
      <w:r w:rsidRPr="002F2FDF">
        <w:rPr>
          <w:color w:val="000000" w:themeColor="text1"/>
          <w:sz w:val="16"/>
          <w:szCs w:val="16"/>
        </w:rPr>
        <w:t>Это постановление Совнаркома лично получил в Смольном Пер Эвинд Свинхувуд, премьер-министр новообразованного государства. Однако предусмотренные в постановлении Совнаркома практические мероприятия по отделению Финляндии от России не успели осуществиться, так как в Финляндии вспыхнула гражданская война. В ночь на 10 января 1918 года[109]</w:t>
      </w:r>
      <w:r w:rsidR="00E52569">
        <w:rPr>
          <w:color w:val="000000" w:themeColor="text1"/>
          <w:sz w:val="16"/>
          <w:szCs w:val="16"/>
        </w:rPr>
        <w:t xml:space="preserve"> </w:t>
      </w:r>
      <w:r w:rsidRPr="002F2FDF">
        <w:rPr>
          <w:color w:val="000000" w:themeColor="text1"/>
          <w:sz w:val="16"/>
          <w:szCs w:val="16"/>
        </w:rPr>
        <w:t>начались вооруженные столкновения между шюцкором и отрядами финской Красной Гвардии (18525).</w:t>
      </w:r>
    </w:p>
    <w:p w14:paraId="76B61FF3" w14:textId="77777777" w:rsidR="00FF33CC" w:rsidRPr="002F2FDF" w:rsidRDefault="00FF33CC" w:rsidP="0083075A">
      <w:pPr>
        <w:pStyle w:val="ae"/>
        <w:spacing w:before="0" w:after="0"/>
        <w:jc w:val="both"/>
        <w:rPr>
          <w:color w:val="000000" w:themeColor="text1"/>
          <w:sz w:val="16"/>
          <w:szCs w:val="16"/>
        </w:rPr>
      </w:pPr>
    </w:p>
    <w:p w14:paraId="43F4AFCD"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13 (26) ноября 1917. Похороны защитников старой власти на Ваганьковском и Братском кладбищах.</w:t>
      </w:r>
    </w:p>
    <w:p w14:paraId="1D093580"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ВРК издал приказ, предписывавших предпринимателям уплатить рабочим за дни забастовки во время ноябрьских боек На заседании исполкома Московского Совета рабочих депутатов принята резолюция о слиянии Советов рабочих и солдатских депутатов (18685).</w:t>
      </w:r>
    </w:p>
    <w:p w14:paraId="055623CE"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p>
    <w:p w14:paraId="54A8411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55D521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84AC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ноября 1917 советское правительство предложило Германии и Австро-Венгрии заключить перемирие (3907,92).</w:t>
      </w:r>
    </w:p>
    <w:p w14:paraId="38E2B3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1ACE9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5B7394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0573FF" w14:textId="77777777" w:rsidR="00231E61" w:rsidRPr="002F2FDF" w:rsidRDefault="00231E6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ноября 1917 на авиазаводах постановлением ВЦИК был введен рабочий контроль. А 20 декабря во главе УВОФЛОТа приказом Народного комиссариата по военным и морским делам была поставлена Всероссийская коллегия по управлению Рабоче-Крестьянским Воздушным флотом. В ее состав вошли К. В. Акашев, А. Д. Анощенко, Е. И. Ахматович, Ф. И. Бычков, П. С. Дубенский, З. Я. Ландау, А. П. Онуфриев, А. В. Сергеев, М. П. Строев (15125).</w:t>
      </w:r>
    </w:p>
    <w:p w14:paraId="783FF392" w14:textId="77777777" w:rsidR="00231E61" w:rsidRPr="002F2FDF" w:rsidRDefault="00231E61" w:rsidP="0083075A">
      <w:pPr>
        <w:spacing w:after="0" w:line="240" w:lineRule="auto"/>
        <w:jc w:val="both"/>
        <w:rPr>
          <w:rFonts w:ascii="Times New Roman" w:hAnsi="Times New Roman" w:cs="Times New Roman"/>
          <w:color w:val="000000" w:themeColor="text1"/>
          <w:kern w:val="2"/>
          <w:sz w:val="16"/>
          <w:szCs w:val="16"/>
        </w:rPr>
      </w:pPr>
    </w:p>
    <w:p w14:paraId="487024A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14 (27) ноября 1917 г. комиссия, в состав которой входили мичман Малыиыч и инженер Сушенков из АМИС, признала ненужным отчуждение патента “Анонимного общества заводов Ньюпор” (швейцарское отделение) - проект “скользящего судна с воздушным винтом” — гидроплана (глиссера), представлявшего собой два соединенных рамой поплавка с установленной сверху гондолой экипажа - в пользу казны. Кроме перечисленных, изве</w:t>
      </w:r>
      <w:r w:rsidRPr="002F2FDF">
        <w:rPr>
          <w:rFonts w:ascii="Times New Roman" w:hAnsi="Times New Roman" w:cs="Times New Roman"/>
          <w:color w:val="000000" w:themeColor="text1"/>
          <w:kern w:val="2"/>
          <w:sz w:val="16"/>
          <w:szCs w:val="16"/>
        </w:rPr>
        <w:softHyphen/>
        <w:t>стен также п роект аппарата с подводными крыльями, поданный неким Д. Т. Рзяниным из Новоомска 16 ок</w:t>
      </w:r>
      <w:r w:rsidRPr="002F2FDF">
        <w:rPr>
          <w:rFonts w:ascii="Times New Roman" w:hAnsi="Times New Roman" w:cs="Times New Roman"/>
          <w:color w:val="000000" w:themeColor="text1"/>
          <w:kern w:val="2"/>
          <w:sz w:val="16"/>
          <w:szCs w:val="16"/>
        </w:rPr>
        <w:softHyphen/>
        <w:t>тября 1916 г. Обсуждавшие его лишенное пояснений и чертежей письмо специалисты решили, что заяви</w:t>
      </w:r>
      <w:r w:rsidRPr="002F2FDF">
        <w:rPr>
          <w:rFonts w:ascii="Times New Roman" w:hAnsi="Times New Roman" w:cs="Times New Roman"/>
          <w:color w:val="000000" w:themeColor="text1"/>
          <w:kern w:val="2"/>
          <w:sz w:val="16"/>
          <w:szCs w:val="16"/>
        </w:rPr>
        <w:softHyphen/>
        <w:t>тель сам не представлял себе того объекта, который хотел бы сотворить (2807).</w:t>
      </w:r>
    </w:p>
    <w:p w14:paraId="113AAA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AAF0A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42DFD4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FA09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14-24 </w:t>
      </w:r>
      <w:r w:rsidR="00631AD8" w:rsidRPr="002F2FDF">
        <w:rPr>
          <w:rFonts w:ascii="Times New Roman" w:hAnsi="Times New Roman" w:cs="Times New Roman"/>
          <w:color w:val="000000" w:themeColor="text1"/>
          <w:kern w:val="2"/>
          <w:sz w:val="16"/>
          <w:szCs w:val="16"/>
        </w:rPr>
        <w:t xml:space="preserve">(27) </w:t>
      </w:r>
      <w:r w:rsidRPr="002F2FDF">
        <w:rPr>
          <w:rFonts w:ascii="Times New Roman" w:hAnsi="Times New Roman" w:cs="Times New Roman"/>
          <w:color w:val="000000" w:themeColor="text1"/>
          <w:kern w:val="2"/>
          <w:sz w:val="16"/>
          <w:szCs w:val="16"/>
        </w:rPr>
        <w:t>ноября 1917 Завод ЯАЗ закрыт. Строительство прекращено. Рабочие и строители уволены. На заводе остались лишь несколько служащих и вспомогательные рабочие.</w:t>
      </w:r>
    </w:p>
    <w:p w14:paraId="56570A43" w14:textId="7C25F5A5"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января 1918 Постановлением Особого Совещания по обороне завод секвестрован с 13 января и перешел в ведение Главного военно-технического управления.</w:t>
      </w:r>
    </w:p>
    <w:p w14:paraId="643191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марта 1918. Заводской комитет обсудил вопрос о ходатайстве перед исполнительным комитетом Ярославского Совета об открытии завода.</w:t>
      </w:r>
    </w:p>
    <w:p w14:paraId="5CB2F0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марта 1918. Членами правительственного правления утверждены выдвинутые завкомом инженер А.Г. Грунау и рабочий М.К. Рыбкин.</w:t>
      </w:r>
    </w:p>
    <w:p w14:paraId="57BAFA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марта 1918. Из Смоленска прибыла первая тыловая авторемонтная мастерская Западного фронта.</w:t>
      </w:r>
    </w:p>
    <w:p w14:paraId="3B1759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марта 1918. Из под Гомеля прибыла тыловая авторемонтная мастерская Западного фронта.3 марта. Прибыл железнодорожный эшелон с имуществом склада запасных частей и материалов из-под Петрограда.</w:t>
      </w:r>
    </w:p>
    <w:p w14:paraId="09E1C2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марта 1918. Правительственное правление приняло кассу, материальные ценности и все хозяйство завода.</w:t>
      </w:r>
    </w:p>
    <w:p w14:paraId="34ED78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мая 1918. Начат ремонт автомобилей.</w:t>
      </w:r>
    </w:p>
    <w:p w14:paraId="1524DA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мая 1918. Издан декрет Совета Народных Комиссаров о поступлении всего автомобильного имущества под контроль Высшего Совета Народного Хозяйства (ВСНХ).</w:t>
      </w:r>
    </w:p>
    <w:p w14:paraId="41E614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Автосекции ВСНХ.</w:t>
      </w:r>
    </w:p>
    <w:p w14:paraId="32A41A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августа 1917 На заводе создано новое правительственное правление: Р.П. Шааб (председатель), И.Д. Чудов и В.И. Опаркин.</w:t>
      </w:r>
    </w:p>
    <w:p w14:paraId="5C86F6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февраля 1919 Председателем правительственного правления назначен ЯАЗ И.Д. Чудов.</w:t>
      </w:r>
    </w:p>
    <w:p w14:paraId="40B7E1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 1919. Завод переименован в Первый государственный авторемонтный завод с подчинением ВСНХ.</w:t>
      </w:r>
    </w:p>
    <w:p w14:paraId="6958BE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октября 1920. На заводе впервые введено единоначалие. Первым управляющим завода стал Г.И. Темчин.</w:t>
      </w:r>
    </w:p>
    <w:p w14:paraId="0C849D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569B8A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апреля. Главным инженером завода назначен В.В. Данилов.</w:t>
      </w:r>
    </w:p>
    <w:p w14:paraId="281477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мая. Управляющим заводом назначен М.А. Рякин.</w:t>
      </w:r>
    </w:p>
    <w:p w14:paraId="343B00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 Из г. Родники Ивановской области с ликвидируемого 2-го ремонтного завода передано оборудование и производство мото- и автодрезин.</w:t>
      </w:r>
    </w:p>
    <w:p w14:paraId="569731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августа. Создана школа фабрично-заводского ученичества (ФЗУ).</w:t>
      </w:r>
    </w:p>
    <w:p w14:paraId="01554D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Освоено производство первых мотодрезин, автодрезин, мотовозов, мотовагонов.</w:t>
      </w:r>
    </w:p>
    <w:p w14:paraId="4082B9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июля 1924. Создана заводская техническая библиотека-читальня.</w:t>
      </w:r>
    </w:p>
    <w:p w14:paraId="7214E3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сентября 1924. Главным инженером назначен А.М. Пашкевич,</w:t>
      </w:r>
    </w:p>
    <w:p w14:paraId="2656B7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Директорами завода работали: с 29 сентября - М.К. Евсеев, с 14 ноября - Ф.А. Никитин.</w:t>
      </w:r>
    </w:p>
    <w:p w14:paraId="67D9AE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марта 1924. Первый государственный авторемонтный завод входит в подчинение автотреста ВСНХ.</w:t>
      </w:r>
    </w:p>
    <w:p w14:paraId="24F9C4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Главными инженерами работали: с 10 апреля - В.А. Грачев, с 22 июня - В.В. Данилов.</w:t>
      </w:r>
    </w:p>
    <w:p w14:paraId="1CF87D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Создан первый отечественный большегрузный автомобиль Я-З грузоподъемностью 3 тонны, с двигателем мощностью 35 л.с. (11246).</w:t>
      </w:r>
    </w:p>
    <w:p w14:paraId="03ED8F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ACEF15" w14:textId="1F9C61B5" w:rsidR="00FF33CC" w:rsidRPr="002F2FDF" w:rsidRDefault="00FF33CC"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14 (27) ноября 1917</w:t>
      </w:r>
      <w:r w:rsidR="00E52569">
        <w:rPr>
          <w:rStyle w:val="a7"/>
          <w:rFonts w:eastAsiaTheme="majorEastAsia"/>
          <w:b w:val="0"/>
          <w:color w:val="000000" w:themeColor="text1"/>
          <w:sz w:val="16"/>
          <w:szCs w:val="16"/>
        </w:rPr>
        <w:t xml:space="preserve"> </w:t>
      </w:r>
      <w:r w:rsidRPr="002F2FDF">
        <w:rPr>
          <w:color w:val="000000" w:themeColor="text1"/>
          <w:sz w:val="16"/>
          <w:szCs w:val="16"/>
        </w:rPr>
        <w:t>Московский Военно-Революционный Комитет обязал предпринимателей оплатить рабочим за дни забастовки во время Октябрьского переворота, чуть позже владельцев предприятий обяжут выплачивать пособие работникам, мобилизованным в Красную армию (18371).</w:t>
      </w:r>
    </w:p>
    <w:p w14:paraId="445CC44E" w14:textId="77777777" w:rsidR="00FF33CC" w:rsidRPr="002F2FDF" w:rsidRDefault="00FF33CC" w:rsidP="0083075A">
      <w:pPr>
        <w:pStyle w:val="ae"/>
        <w:spacing w:before="0" w:after="0"/>
        <w:jc w:val="both"/>
        <w:rPr>
          <w:color w:val="000000" w:themeColor="text1"/>
          <w:sz w:val="16"/>
          <w:szCs w:val="16"/>
        </w:rPr>
      </w:pPr>
    </w:p>
    <w:p w14:paraId="35E3CFB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FA437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FBE1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ноября 1917 Командующий ВВФ полковник Тка</w:t>
      </w:r>
      <w:r w:rsidRPr="002F2FDF">
        <w:rPr>
          <w:rFonts w:ascii="Times New Roman" w:hAnsi="Times New Roman" w:cs="Times New Roman"/>
          <w:color w:val="000000" w:themeColor="text1"/>
          <w:kern w:val="2"/>
          <w:sz w:val="16"/>
          <w:szCs w:val="16"/>
        </w:rPr>
        <w:softHyphen/>
        <w:t>чёв отправил телеграмму в 1-ю БАГ: “9-я победа прапорщика Смирнова в дни наступающей разрухи и смертельной опасности для нашей многострадальной Родины дает уве</w:t>
      </w:r>
      <w:r w:rsidRPr="002F2FDF">
        <w:rPr>
          <w:rFonts w:ascii="Times New Roman" w:hAnsi="Times New Roman" w:cs="Times New Roman"/>
          <w:color w:val="000000" w:themeColor="text1"/>
          <w:kern w:val="2"/>
          <w:sz w:val="16"/>
          <w:szCs w:val="16"/>
        </w:rPr>
        <w:softHyphen/>
        <w:t>ренность, что наши доблестные лет</w:t>
      </w:r>
      <w:r w:rsidRPr="002F2FDF">
        <w:rPr>
          <w:rFonts w:ascii="Times New Roman" w:hAnsi="Times New Roman" w:cs="Times New Roman"/>
          <w:color w:val="000000" w:themeColor="text1"/>
          <w:kern w:val="2"/>
          <w:sz w:val="16"/>
          <w:szCs w:val="16"/>
        </w:rPr>
        <w:softHyphen/>
        <w:t>чики до конца выполнят свой долг и останутся на своем тяжелом, но слав</w:t>
      </w:r>
      <w:r w:rsidRPr="002F2FDF">
        <w:rPr>
          <w:rFonts w:ascii="Times New Roman" w:hAnsi="Times New Roman" w:cs="Times New Roman"/>
          <w:color w:val="000000" w:themeColor="text1"/>
          <w:kern w:val="2"/>
          <w:sz w:val="16"/>
          <w:szCs w:val="16"/>
        </w:rPr>
        <w:softHyphen/>
        <w:t>ном посту, вплетая лавры в венец сла</w:t>
      </w:r>
      <w:r w:rsidRPr="002F2FDF">
        <w:rPr>
          <w:rFonts w:ascii="Times New Roman" w:hAnsi="Times New Roman" w:cs="Times New Roman"/>
          <w:color w:val="000000" w:themeColor="text1"/>
          <w:kern w:val="2"/>
          <w:sz w:val="16"/>
          <w:szCs w:val="16"/>
        </w:rPr>
        <w:softHyphen/>
        <w:t>вы нашей родной авиации” (3954).</w:t>
      </w:r>
    </w:p>
    <w:p w14:paraId="2F0B6A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EE68A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ноября 1917 на Румынском фронте погиб летчик 9-го истре</w:t>
      </w:r>
      <w:r w:rsidRPr="002F2FDF">
        <w:rPr>
          <w:rFonts w:ascii="Times New Roman" w:hAnsi="Times New Roman" w:cs="Times New Roman"/>
          <w:color w:val="000000" w:themeColor="text1"/>
          <w:kern w:val="2"/>
          <w:sz w:val="16"/>
          <w:szCs w:val="16"/>
        </w:rPr>
        <w:softHyphen/>
        <w:t>бительного отряда прапорщик Григорий Эдуардович Сук (родил</w:t>
      </w:r>
      <w:r w:rsidRPr="002F2FDF">
        <w:rPr>
          <w:rFonts w:ascii="Times New Roman" w:hAnsi="Times New Roman" w:cs="Times New Roman"/>
          <w:color w:val="000000" w:themeColor="text1"/>
          <w:kern w:val="2"/>
          <w:sz w:val="16"/>
          <w:szCs w:val="16"/>
        </w:rPr>
        <w:softHyphen/>
        <w:t>ся в 1896). В 1916 году он окончил добровольцем Гатчинскую авиашколу и скоро проявил себя отважным, истребителем, сбив за год своей службы семь самолетов противника. За боевые отличия был награжден четырьмя георгиевскими крестами и произведен в чин прапорщика (ЦГАСА. ф.2008, д.2055; сообщение штаба ВГК № 1267).</w:t>
      </w:r>
    </w:p>
    <w:p w14:paraId="4C31A2A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3A1E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ноября 1917 Крыленко отправил парламентеров под белым флагом к немцам с предложением о перемирии (2239) и германское командование приняло предложение начать переговоры о перемирии (1348,114;3908,270).</w:t>
      </w:r>
    </w:p>
    <w:p w14:paraId="7BC391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B0A653" w14:textId="77777777" w:rsidR="0050748F" w:rsidRPr="002F2FDF" w:rsidRDefault="0050748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ноября 1917 Германия сообщила о согласии начать мирные переговоры с советским правительством. В тот же день Ленин от имени Совнаркома обратился с нотой к правительствам Франции, Великобритании, Италии, США, Бельгии, Сербии, Румынии, Японии и Китая, предлагая им присоединиться к мирным переговорам: «1 декабря мы приступаем к мирным переговорам. Если союзные народы не пришлют своих представителей, мы будем вести с немцами переговоры одни». Ответа не было - большевиков не признавали (12629).</w:t>
      </w:r>
    </w:p>
    <w:p w14:paraId="4BE99033" w14:textId="77777777" w:rsidR="0050748F" w:rsidRPr="002F2FDF" w:rsidRDefault="0050748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4DCA65" w14:textId="77777777" w:rsidR="00231E61" w:rsidRPr="002F2FDF" w:rsidRDefault="00231E61"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14 (27) ноября </w:t>
      </w:r>
      <w:r w:rsidRPr="002F2FDF">
        <w:rPr>
          <w:rFonts w:ascii="Times New Roman" w:hAnsi="Times New Roman" w:cs="Times New Roman"/>
          <w:color w:val="000000" w:themeColor="text1"/>
          <w:kern w:val="2"/>
          <w:sz w:val="16"/>
          <w:szCs w:val="16"/>
        </w:rPr>
        <w:t>в 1917 году германское командование принимает предложение начать переговоры о мире (14842).</w:t>
      </w:r>
    </w:p>
    <w:p w14:paraId="755A64AC" w14:textId="77777777" w:rsidR="00231E61" w:rsidRPr="002F2FDF" w:rsidRDefault="00231E61" w:rsidP="0083075A">
      <w:pPr>
        <w:spacing w:after="0" w:line="240" w:lineRule="auto"/>
        <w:jc w:val="both"/>
        <w:rPr>
          <w:rFonts w:ascii="Times New Roman" w:hAnsi="Times New Roman" w:cs="Times New Roman"/>
          <w:color w:val="000000" w:themeColor="text1"/>
          <w:kern w:val="2"/>
          <w:sz w:val="16"/>
          <w:szCs w:val="16"/>
        </w:rPr>
      </w:pPr>
    </w:p>
    <w:p w14:paraId="27D50E7A" w14:textId="68C8170E" w:rsidR="00FA7CE5" w:rsidRPr="002F2FDF" w:rsidRDefault="00FA7CE5" w:rsidP="0083075A">
      <w:pPr>
        <w:pStyle w:val="ae"/>
        <w:spacing w:before="0" w:after="0"/>
        <w:jc w:val="both"/>
        <w:rPr>
          <w:color w:val="000000" w:themeColor="text1"/>
          <w:kern w:val="2"/>
          <w:sz w:val="16"/>
          <w:szCs w:val="16"/>
        </w:rPr>
      </w:pPr>
      <w:r w:rsidRPr="002F2FDF">
        <w:rPr>
          <w:color w:val="000000" w:themeColor="text1"/>
          <w:kern w:val="2"/>
          <w:sz w:val="16"/>
          <w:szCs w:val="16"/>
        </w:rPr>
        <w:t>14</w:t>
      </w:r>
      <w:r w:rsidR="00E52569">
        <w:rPr>
          <w:color w:val="000000" w:themeColor="text1"/>
          <w:kern w:val="2"/>
          <w:sz w:val="16"/>
          <w:szCs w:val="16"/>
        </w:rPr>
        <w:t xml:space="preserve"> </w:t>
      </w:r>
      <w:hyperlink r:id="rId655" w:tooltip="27 ноября" w:history="1">
        <w:r w:rsidRPr="002F2FDF">
          <w:rPr>
            <w:rStyle w:val="a5"/>
            <w:color w:val="000000" w:themeColor="text1"/>
            <w:kern w:val="2"/>
            <w:sz w:val="16"/>
            <w:szCs w:val="16"/>
            <w:u w:val="none"/>
          </w:rPr>
          <w:t>(27)</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ноября</w:t>
        </w:r>
      </w:hyperlink>
      <w:r w:rsidRPr="002F2FDF">
        <w:rPr>
          <w:color w:val="000000" w:themeColor="text1"/>
          <w:kern w:val="2"/>
          <w:sz w:val="16"/>
          <w:szCs w:val="16"/>
        </w:rPr>
        <w:t xml:space="preserve"> 1917 </w:t>
      </w:r>
      <w:hyperlink r:id="rId656" w:tooltip="Германия" w:history="1">
        <w:r w:rsidRPr="002F2FDF">
          <w:rPr>
            <w:rStyle w:val="a5"/>
            <w:color w:val="000000" w:themeColor="text1"/>
            <w:kern w:val="2"/>
            <w:sz w:val="16"/>
            <w:szCs w:val="16"/>
            <w:u w:val="none"/>
          </w:rPr>
          <w:t>Германия</w:t>
        </w:r>
      </w:hyperlink>
      <w:r w:rsidRPr="002F2FDF">
        <w:rPr>
          <w:color w:val="000000" w:themeColor="text1"/>
          <w:kern w:val="2"/>
          <w:sz w:val="16"/>
          <w:szCs w:val="16"/>
        </w:rPr>
        <w:t xml:space="preserve"> сообщила о согласии начать мирные переговоры с советским правительством. В тот же день Ленин от имени Совнаркома обратился с нотой к правительствам </w:t>
      </w:r>
      <w:hyperlink r:id="rId657" w:tooltip="Франция" w:history="1">
        <w:r w:rsidRPr="002F2FDF">
          <w:rPr>
            <w:rStyle w:val="a5"/>
            <w:color w:val="000000" w:themeColor="text1"/>
            <w:kern w:val="2"/>
            <w:sz w:val="16"/>
            <w:szCs w:val="16"/>
            <w:u w:val="none"/>
          </w:rPr>
          <w:t>Франции</w:t>
        </w:r>
      </w:hyperlink>
      <w:r w:rsidRPr="002F2FDF">
        <w:rPr>
          <w:color w:val="000000" w:themeColor="text1"/>
          <w:kern w:val="2"/>
          <w:sz w:val="16"/>
          <w:szCs w:val="16"/>
        </w:rPr>
        <w:t xml:space="preserve">, </w:t>
      </w:r>
      <w:hyperlink r:id="rId658" w:tooltip="Великобритания" w:history="1">
        <w:r w:rsidRPr="002F2FDF">
          <w:rPr>
            <w:rStyle w:val="a5"/>
            <w:color w:val="000000" w:themeColor="text1"/>
            <w:kern w:val="2"/>
            <w:sz w:val="16"/>
            <w:szCs w:val="16"/>
            <w:u w:val="none"/>
          </w:rPr>
          <w:t>Великобритании</w:t>
        </w:r>
      </w:hyperlink>
      <w:r w:rsidRPr="002F2FDF">
        <w:rPr>
          <w:color w:val="000000" w:themeColor="text1"/>
          <w:kern w:val="2"/>
          <w:sz w:val="16"/>
          <w:szCs w:val="16"/>
        </w:rPr>
        <w:t xml:space="preserve">, </w:t>
      </w:r>
      <w:hyperlink r:id="rId659" w:tooltip="Италия" w:history="1">
        <w:r w:rsidRPr="002F2FDF">
          <w:rPr>
            <w:rStyle w:val="a5"/>
            <w:color w:val="000000" w:themeColor="text1"/>
            <w:kern w:val="2"/>
            <w:sz w:val="16"/>
            <w:szCs w:val="16"/>
            <w:u w:val="none"/>
          </w:rPr>
          <w:t>Италии</w:t>
        </w:r>
      </w:hyperlink>
      <w:r w:rsidRPr="002F2FDF">
        <w:rPr>
          <w:color w:val="000000" w:themeColor="text1"/>
          <w:kern w:val="2"/>
          <w:sz w:val="16"/>
          <w:szCs w:val="16"/>
        </w:rPr>
        <w:t xml:space="preserve">, </w:t>
      </w:r>
      <w:hyperlink r:id="rId660" w:tooltip="США" w:history="1">
        <w:r w:rsidRPr="002F2FDF">
          <w:rPr>
            <w:rStyle w:val="a5"/>
            <w:color w:val="000000" w:themeColor="text1"/>
            <w:kern w:val="2"/>
            <w:sz w:val="16"/>
            <w:szCs w:val="16"/>
            <w:u w:val="none"/>
          </w:rPr>
          <w:t>США</w:t>
        </w:r>
      </w:hyperlink>
      <w:r w:rsidRPr="002F2FDF">
        <w:rPr>
          <w:color w:val="000000" w:themeColor="text1"/>
          <w:kern w:val="2"/>
          <w:sz w:val="16"/>
          <w:szCs w:val="16"/>
        </w:rPr>
        <w:t xml:space="preserve">, </w:t>
      </w:r>
      <w:hyperlink r:id="rId661" w:tooltip="Бельгия" w:history="1">
        <w:r w:rsidRPr="002F2FDF">
          <w:rPr>
            <w:rStyle w:val="a5"/>
            <w:color w:val="000000" w:themeColor="text1"/>
            <w:kern w:val="2"/>
            <w:sz w:val="16"/>
            <w:szCs w:val="16"/>
            <w:u w:val="none"/>
          </w:rPr>
          <w:t>Бельгии</w:t>
        </w:r>
      </w:hyperlink>
      <w:r w:rsidRPr="002F2FDF">
        <w:rPr>
          <w:color w:val="000000" w:themeColor="text1"/>
          <w:kern w:val="2"/>
          <w:sz w:val="16"/>
          <w:szCs w:val="16"/>
        </w:rPr>
        <w:t xml:space="preserve">, </w:t>
      </w:r>
      <w:hyperlink r:id="rId662" w:tooltip="Сербия" w:history="1">
        <w:r w:rsidRPr="002F2FDF">
          <w:rPr>
            <w:rStyle w:val="a5"/>
            <w:color w:val="000000" w:themeColor="text1"/>
            <w:kern w:val="2"/>
            <w:sz w:val="16"/>
            <w:szCs w:val="16"/>
            <w:u w:val="none"/>
          </w:rPr>
          <w:t>Сербии</w:t>
        </w:r>
      </w:hyperlink>
      <w:r w:rsidRPr="002F2FDF">
        <w:rPr>
          <w:color w:val="000000" w:themeColor="text1"/>
          <w:kern w:val="2"/>
          <w:sz w:val="16"/>
          <w:szCs w:val="16"/>
        </w:rPr>
        <w:t xml:space="preserve">, </w:t>
      </w:r>
      <w:hyperlink r:id="rId663" w:tooltip="Румыния" w:history="1">
        <w:r w:rsidRPr="002F2FDF">
          <w:rPr>
            <w:rStyle w:val="a5"/>
            <w:color w:val="000000" w:themeColor="text1"/>
            <w:kern w:val="2"/>
            <w:sz w:val="16"/>
            <w:szCs w:val="16"/>
            <w:u w:val="none"/>
          </w:rPr>
          <w:t>Румынии</w:t>
        </w:r>
      </w:hyperlink>
      <w:r w:rsidRPr="002F2FDF">
        <w:rPr>
          <w:color w:val="000000" w:themeColor="text1"/>
          <w:kern w:val="2"/>
          <w:sz w:val="16"/>
          <w:szCs w:val="16"/>
        </w:rPr>
        <w:t xml:space="preserve">, </w:t>
      </w:r>
      <w:hyperlink r:id="rId664" w:tooltip="Япония" w:history="1">
        <w:r w:rsidRPr="002F2FDF">
          <w:rPr>
            <w:rStyle w:val="a5"/>
            <w:color w:val="000000" w:themeColor="text1"/>
            <w:kern w:val="2"/>
            <w:sz w:val="16"/>
            <w:szCs w:val="16"/>
            <w:u w:val="none"/>
          </w:rPr>
          <w:t>Японии</w:t>
        </w:r>
      </w:hyperlink>
      <w:r w:rsidRPr="002F2FDF">
        <w:rPr>
          <w:color w:val="000000" w:themeColor="text1"/>
          <w:kern w:val="2"/>
          <w:sz w:val="16"/>
          <w:szCs w:val="16"/>
        </w:rPr>
        <w:t xml:space="preserve"> и </w:t>
      </w:r>
      <w:hyperlink r:id="rId665" w:tooltip="Китай" w:history="1">
        <w:r w:rsidRPr="002F2FDF">
          <w:rPr>
            <w:rStyle w:val="a5"/>
            <w:color w:val="000000" w:themeColor="text1"/>
            <w:kern w:val="2"/>
            <w:sz w:val="16"/>
            <w:szCs w:val="16"/>
            <w:u w:val="none"/>
          </w:rPr>
          <w:t>Китая</w:t>
        </w:r>
      </w:hyperlink>
      <w:r w:rsidRPr="002F2FDF">
        <w:rPr>
          <w:color w:val="000000" w:themeColor="text1"/>
          <w:kern w:val="2"/>
          <w:sz w:val="16"/>
          <w:szCs w:val="16"/>
        </w:rPr>
        <w:t>, предлагая им присоединиться к мирным переговорам: «</w:t>
      </w:r>
      <w:r w:rsidRPr="002F2FDF">
        <w:rPr>
          <w:iCs/>
          <w:color w:val="000000" w:themeColor="text1"/>
          <w:kern w:val="2"/>
          <w:sz w:val="16"/>
          <w:szCs w:val="16"/>
        </w:rPr>
        <w:t>1 декабря мы приступаем к мирным переговорам. Если союзные народы не пришлют своих представителей, мы будем вести с немцами переговоры одни</w:t>
      </w:r>
      <w:r w:rsidRPr="002F2FDF">
        <w:rPr>
          <w:color w:val="000000" w:themeColor="text1"/>
          <w:kern w:val="2"/>
          <w:sz w:val="16"/>
          <w:szCs w:val="16"/>
        </w:rPr>
        <w:t>». Ответа получено не было</w:t>
      </w:r>
      <w:r w:rsidR="001B6F8A" w:rsidRPr="002F2FDF">
        <w:rPr>
          <w:color w:val="000000" w:themeColor="text1"/>
          <w:kern w:val="2"/>
          <w:sz w:val="16"/>
          <w:szCs w:val="16"/>
        </w:rPr>
        <w:t xml:space="preserve"> (17035)</w:t>
      </w:r>
      <w:r w:rsidRPr="002F2FDF">
        <w:rPr>
          <w:color w:val="000000" w:themeColor="text1"/>
          <w:kern w:val="2"/>
          <w:sz w:val="16"/>
          <w:szCs w:val="16"/>
        </w:rPr>
        <w:t>.</w:t>
      </w:r>
    </w:p>
    <w:p w14:paraId="339918B1" w14:textId="77777777" w:rsidR="00FA7CE5" w:rsidRPr="002F2FDF" w:rsidRDefault="00FA7CE5" w:rsidP="0083075A">
      <w:pPr>
        <w:spacing w:after="0" w:line="240" w:lineRule="auto"/>
        <w:jc w:val="both"/>
        <w:rPr>
          <w:rFonts w:ascii="Times New Roman" w:hAnsi="Times New Roman" w:cs="Times New Roman"/>
          <w:color w:val="000000" w:themeColor="text1"/>
          <w:kern w:val="2"/>
          <w:sz w:val="16"/>
          <w:szCs w:val="16"/>
        </w:rPr>
      </w:pPr>
    </w:p>
    <w:p w14:paraId="0F1E0898" w14:textId="5431B2E8" w:rsidR="00B6143B" w:rsidRPr="00FB4F67" w:rsidRDefault="00B6143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14 (</w:t>
      </w:r>
      <w:r w:rsidRPr="00FB4F67">
        <w:rPr>
          <w:rFonts w:ascii="Times New Roman" w:hAnsi="Times New Roman" w:cs="Times New Roman"/>
          <w:color w:val="0070C0"/>
          <w:sz w:val="16"/>
          <w:szCs w:val="16"/>
        </w:rPr>
        <w:t>27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ноября 1917 г. в Петрограде приказ Красной Армии № 11 провозгласил, что все военные училища и их личный состав должны перейти под контроль красных. Для решения вопросов демобилизации была созвана Российская Всеармейская конференция (23525).</w:t>
      </w:r>
    </w:p>
    <w:p w14:paraId="0E3C5CC7" w14:textId="77777777" w:rsidR="00B6143B" w:rsidRPr="00FB4F67" w:rsidRDefault="00B6143B" w:rsidP="0083075A">
      <w:pPr>
        <w:spacing w:after="0" w:line="240" w:lineRule="auto"/>
        <w:jc w:val="both"/>
        <w:rPr>
          <w:rFonts w:ascii="Times New Roman" w:hAnsi="Times New Roman" w:cs="Times New Roman"/>
          <w:color w:val="0070C0"/>
          <w:sz w:val="16"/>
          <w:szCs w:val="16"/>
        </w:rPr>
      </w:pPr>
    </w:p>
    <w:p w14:paraId="3CC0028E" w14:textId="72E1F502" w:rsidR="00B6143B" w:rsidRPr="00FB4F67" w:rsidRDefault="00B6143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14 (</w:t>
      </w:r>
      <w:r w:rsidRPr="00FB4F67">
        <w:rPr>
          <w:rFonts w:ascii="Times New Roman" w:hAnsi="Times New Roman" w:cs="Times New Roman"/>
          <w:color w:val="0070C0"/>
          <w:sz w:val="16"/>
          <w:szCs w:val="16"/>
        </w:rPr>
        <w:t>27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ноября 1917 г. в Петроградском военном округе под контролем красных находились следующие объекты: УВОФЛОТ; Офицерская авиационная школа на Волковом поле; Западный авиационный батальон и Центральный авиационно-материальный парк под Гатчиной; Военная авиашкола на Комендантском аэродроме; бывшая Аэроклубная авиашкола в Комендантском, на базе которой была создана 1-я Социалистическая авиашкола, которой руководил военный летчик А.Л. Романчук; Военная авиашкола на корпусном аэродроме; АО «Кронштадтская крепость» и АО «Петроград» в Царском Селе; Школа воздушного боя в Красном Селе; Школа морской авиации в Ораниенбауме; плюс завод морской авиации им. С.С. Щетинина (ПРТВ); заводы Слюсаренко, Лебедева, Мельцера (23525).</w:t>
      </w:r>
    </w:p>
    <w:p w14:paraId="2D2EC745" w14:textId="77777777" w:rsidR="00B6143B" w:rsidRPr="00FB4F67" w:rsidRDefault="00B6143B" w:rsidP="0083075A">
      <w:pPr>
        <w:spacing w:after="0" w:line="240" w:lineRule="auto"/>
        <w:jc w:val="both"/>
        <w:rPr>
          <w:rFonts w:ascii="Times New Roman" w:hAnsi="Times New Roman" w:cs="Times New Roman"/>
          <w:color w:val="0070C0"/>
          <w:sz w:val="16"/>
          <w:szCs w:val="16"/>
        </w:rPr>
      </w:pPr>
    </w:p>
    <w:p w14:paraId="135504E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FA92F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A2C73D"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14 (27) ноября 1917. Совместное заседание Московского Совета рабочих и Московского Совета солдатских депутатов. Выбрали единым исполком из 90 человек. Избран президиум Московского Совета рабочих и солдатских депутатов (далее сокращенно - Моссовет) ю 15 человек. Председателем президиума Моссовета избран М. Н. Покровский. ВРК сложил свои полномочил, передав всю власть Моссовету (в действительности ВРК некоторое время еще продолжал свою деятельность).</w:t>
      </w:r>
    </w:p>
    <w:p w14:paraId="77C25030"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Центральный комитет "Партии народной свободы" уполномочил князя ПД. Долгорукова приветствовать бывшего управляющего Московской конторой Государственного банка В. Я. Ковальницкого по случай его освобождения из-под стражи и выразить ему благодарность за мужественное сопротивление притязаниям большевиков.</w:t>
      </w:r>
    </w:p>
    <w:p w14:paraId="748B4A41"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Постановление СНК о назначении управляющим Московской конторой Государственного банка большевика Т. Н. Попова (18685).</w:t>
      </w:r>
    </w:p>
    <w:p w14:paraId="1EAC9388"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p>
    <w:p w14:paraId="5DA47B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ноября 1917 постановлением ВЦИК был введен Рабочий контроль (505,11) на предприятиях с числом наемных рабочих более 5. На предприятиях д.б. избираться фабзавкомы, а высший орган - Всероссийский совет рабочего контроля (3908,270).</w:t>
      </w:r>
    </w:p>
    <w:p w14:paraId="0A315E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0DAB52" w14:textId="77777777" w:rsidR="00103C92" w:rsidRPr="002F2FDF" w:rsidRDefault="00103C92"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14 (27) ноября 1917 г. начавшуюся забастовку Госбанка  возглавил Всероссийский профессиональный союз работников кредитного дела - "Банксоюз", более известный в литературе под названием "Банктруд", по наименованию своего печатного органа - журнала, издаваемого Центральным правлением профсоюза.56 Таким образом, саботаж перерос в открытую забастовку.</w:t>
      </w:r>
    </w:p>
    <w:p w14:paraId="5E723703" w14:textId="77777777" w:rsidR="00103C92" w:rsidRPr="002F2FDF" w:rsidRDefault="00103C92"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В ответ на это 14 (27) ноября В. В. Оболенский издал распоряжение по Госбанку, где говорилось, что по дошедшим до него сведениям часть служащих решила 28(15) ноября не являться на занятия в банк. "Предлагаю всем явиться. Не явившиеся до 12-ти часов дня будут уволены со службы и лишены пенсии. Военнообязанные будут сняты с учета и переданы в распоряжение воинских начальников. Директорш отделов и их помощники в случае неявки будут, согласно решению СНК, подвергнуты аресту и препровождены в Кронштадт". Однако эти угрозы не возымели действия. Высшие и средние служащие бастовали. Большевики решили опереться на низших чиновников: счетчиков, кассиров и т.д.</w:t>
      </w:r>
    </w:p>
    <w:p w14:paraId="5EB56034" w14:textId="77777777" w:rsidR="00103C92" w:rsidRPr="002F2FDF" w:rsidRDefault="00103C92" w:rsidP="0083075A">
      <w:pPr>
        <w:pStyle w:val="a3"/>
        <w:rPr>
          <w:color w:val="000000" w:themeColor="text1"/>
          <w:lang w:val="ru-RU"/>
        </w:rPr>
      </w:pPr>
      <w:r w:rsidRPr="002F2FDF">
        <w:rPr>
          <w:rFonts w:eastAsia="Times New Roman"/>
          <w:color w:val="000000" w:themeColor="text1"/>
          <w:lang w:val="ru-RU" w:eastAsia="ru-RU"/>
        </w:rPr>
        <w:t>Через три дня после объявления забастовки все ключи от Госбанка были силой захвачены комиссарами, назначенными в различные подразделения этого учреждения. 17 (30) ноября удалось получить первую партию денежных знаков. Представители Совнаркома, комиссары Госбанка, несколько красногвардейцев и 16 человек низших служащих изъяли из кассы 5 млн рублей. Они были торжественно препровождены в Совнарком и в течение 3-4 дней находились под охраной часовых в одной из соседних с кабинетом В. И. Ленина комнат (18085).</w:t>
      </w:r>
    </w:p>
    <w:p w14:paraId="6F389D3B" w14:textId="77777777" w:rsidR="00103C92" w:rsidRPr="002F2FDF" w:rsidRDefault="00103C92" w:rsidP="0083075A">
      <w:pPr>
        <w:pStyle w:val="a3"/>
        <w:rPr>
          <w:color w:val="000000" w:themeColor="text1"/>
          <w:lang w:val="ru-RU"/>
        </w:rPr>
      </w:pPr>
    </w:p>
    <w:p w14:paraId="69F4C1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ноября 1917 Народный комиссар по военным делам Н. И. Подвойский издал приказ по военному ведомству "О прекращении производства в офицеры". По этому же приказу закрывались все юнкерские, военные училища и школы прапорщиков, юнкера откомандировывались в запасные полки (4216).</w:t>
      </w:r>
    </w:p>
    <w:p w14:paraId="6DA915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983D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ноября 1917 Разграбление пивоваренного завода Дурдина на Обводном канале (11145).</w:t>
      </w:r>
    </w:p>
    <w:p w14:paraId="0D796B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2DF0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ноября 1917 атаман А.И.Дутов, руководитель Союза казачьих войск, захватил власть в Оренбурге (3908,270).</w:t>
      </w:r>
    </w:p>
    <w:p w14:paraId="2B7938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74EA81" w14:textId="77777777" w:rsidR="00DA796B"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4554E12" w14:textId="77777777" w:rsidR="00DA796B" w:rsidRPr="002F2FDF" w:rsidRDefault="00DA796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00518A"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14 (27) ноября 1917 по требованию IdFlieg было учреждено совместное предприятие «Юнкерс-Фоккер Верке А.Г.», в уставной фонд которого каждый из соучредителей внес по 1,3 млн марок. Фоккер и его ОКБ должны были перенять опыт Юнкерса в работе с прогрессивными конструкциями в том числе свободнонесущими металлическими монопланами, и навыки проектирования на основе инженерного расчета, а Юнкерс — научиться организации массового серийного производства. До того они плодотворно сотрудничали неофициально, а это экономически не выгодное ни одной из сторон решение лишь затруднило дальнейшие их отношения. К тому же способности Фоккера как «образцового фабриканта» оказались сильно преувеличены — он мог за несколько дней построить новый самолет и много месяцев «тянуть» даже небольшой серийный заказ, и переходить «на металл» он не хотел ни в коем случае. До начала 1918 г. в Герризе было построено всего лишь 318 Фоккеров Dr I, включая опытные, — истребители Альбатрос D III и D V строились по-прежнему в куда больших количествах (22781).</w:t>
      </w:r>
    </w:p>
    <w:p w14:paraId="5444C4DE"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p>
    <w:p w14:paraId="07A1085F" w14:textId="77777777" w:rsidR="00DA796B" w:rsidRPr="002F2FDF" w:rsidRDefault="00DA796B" w:rsidP="0083075A">
      <w:pPr>
        <w:pStyle w:val="ae"/>
        <w:spacing w:before="0" w:after="0"/>
        <w:jc w:val="both"/>
        <w:rPr>
          <w:color w:val="000000" w:themeColor="text1"/>
          <w:kern w:val="2"/>
          <w:sz w:val="16"/>
          <w:szCs w:val="16"/>
        </w:rPr>
      </w:pPr>
      <w:r w:rsidRPr="002F2FDF">
        <w:rPr>
          <w:color w:val="000000" w:themeColor="text1"/>
          <w:kern w:val="2"/>
          <w:sz w:val="16"/>
          <w:szCs w:val="16"/>
        </w:rPr>
        <w:t>В период с 14 (27) ноября по 21 ноября (3 декабря) 1917 германские подводные лодки затопили 53 судна (17045).</w:t>
      </w:r>
    </w:p>
    <w:p w14:paraId="47CAD37E" w14:textId="77777777" w:rsidR="00DA796B" w:rsidRPr="002F2FDF" w:rsidRDefault="00DA796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205E5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33D01A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854F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15 </w:t>
      </w:r>
      <w:r w:rsidR="00631AD8" w:rsidRPr="002F2FDF">
        <w:rPr>
          <w:rFonts w:ascii="Times New Roman" w:hAnsi="Times New Roman" w:cs="Times New Roman"/>
          <w:color w:val="000000" w:themeColor="text1"/>
          <w:kern w:val="2"/>
          <w:sz w:val="16"/>
          <w:szCs w:val="16"/>
        </w:rPr>
        <w:t xml:space="preserve">(28) </w:t>
      </w:r>
      <w:r w:rsidRPr="002F2FDF">
        <w:rPr>
          <w:rFonts w:ascii="Times New Roman" w:hAnsi="Times New Roman" w:cs="Times New Roman"/>
          <w:color w:val="000000" w:themeColor="text1"/>
          <w:kern w:val="2"/>
          <w:sz w:val="16"/>
          <w:szCs w:val="16"/>
        </w:rPr>
        <w:t>ноября 1917 года предприятие Лебедева в Ярославле было закрыто – в кассе правления отсутствовали деньги. Положенной третьей части аванса акционерному обществу Лебедева Главное Военно-техническое управление так и не выдало.</w:t>
      </w:r>
    </w:p>
    <w:p w14:paraId="0242F5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Рабочие и служащие взяли инициативу в свои руки. Созданная ими техническая комиссия после осмотра завода пришла к выводу, что состояние предприятия позволяет использовать его для капитального ремонта автомобилей в широком масштабе.</w:t>
      </w:r>
    </w:p>
    <w:p w14:paraId="5DC207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B3A6AF" w14:textId="77777777" w:rsidR="00FF33CC" w:rsidRPr="002F2FDF" w:rsidRDefault="00FF33CC" w:rsidP="0083075A">
      <w:pPr>
        <w:pStyle w:val="p1"/>
        <w:spacing w:before="0" w:beforeAutospacing="0" w:after="0" w:afterAutospacing="0"/>
        <w:jc w:val="both"/>
        <w:rPr>
          <w:color w:val="000000" w:themeColor="text1"/>
          <w:sz w:val="16"/>
          <w:szCs w:val="16"/>
        </w:rPr>
      </w:pPr>
      <w:r w:rsidRPr="002F2FDF">
        <w:rPr>
          <w:color w:val="000000" w:themeColor="text1"/>
          <w:sz w:val="16"/>
          <w:szCs w:val="16"/>
        </w:rPr>
        <w:t>15 (28) ноября 1917 особые совещания и по топливу, и по обороне были упразднены, но переданы ВСНХ — последнее к весне 1918 года занималось переводом заводов на производство мирного времени. В январе 1918 года в ВСНХ включили на правах комиссий Военно-промышленные комитеты (ВПК)[206] (18385).</w:t>
      </w:r>
    </w:p>
    <w:p w14:paraId="420E87C7" w14:textId="77777777" w:rsidR="00FF33CC" w:rsidRPr="002F2FDF" w:rsidRDefault="00FF33CC" w:rsidP="0083075A">
      <w:pPr>
        <w:pStyle w:val="p1"/>
        <w:spacing w:before="0" w:beforeAutospacing="0" w:after="0" w:afterAutospacing="0"/>
        <w:jc w:val="both"/>
        <w:rPr>
          <w:color w:val="000000" w:themeColor="text1"/>
          <w:sz w:val="16"/>
          <w:szCs w:val="16"/>
        </w:rPr>
      </w:pPr>
    </w:p>
    <w:p w14:paraId="786C18A9"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 (28) ноября 1917 г.</w:t>
      </w:r>
    </w:p>
    <w:p w14:paraId="65FB0440"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резолюция по Журналу № 205/3.  </w:t>
      </w:r>
    </w:p>
    <w:p w14:paraId="69DF0B00"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15 ноября 1917 г. </w:t>
      </w:r>
    </w:p>
    <w:p w14:paraId="2CB5F397"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17  ноября.  — Резолюция Председателя Особого Совещания для обсуждения и объединения мероприятий по обороне государства по журналу особой комиссии, образованной из представителей Министерства  Финансов,  подготовительных  комиссий  и  управления  делами  Особого  Совещания по обороне от 15 ноября 1917 года за № 205/3. </w:t>
      </w:r>
    </w:p>
    <w:p w14:paraId="5B4EB39B"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требующих того суждений комиссии решил: </w:t>
      </w:r>
    </w:p>
    <w:p w14:paraId="754D33A5"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По докладу заместителя председателя заводского совещания Московского района инженера С. Е. Вейцмана о деятельности товарищества  Ликинской  мануфактуры  А.  В.  Смирнова:  признать  необходимым  ввести в состав правления названного товарищества трех членов от правительства, согласно п. 4 ст.  10 положения об Особом Совещании, поручив упомянутому заводскому совещанию представить список кандидатов на  означенные должности и устранить трех членов правления по избранию  от товарищества. </w:t>
      </w:r>
    </w:p>
    <w:p w14:paraId="2DC34830"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По  докладу  названного  заместителя  председателя  заводского  совещания Московского района об ассигновании средств Металлическому  заводу  в  Москве:  отпустить  в  распоряжение  Председателя  упомянутого  заводского  совещания  для  выдачи  правительственному  правлению  означенного  завода  беспроцентную  ссуду  в  размере  одного  миллиона  </w:t>
      </w:r>
    </w:p>
    <w:p w14:paraId="37B52E08"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(1 000 000) рублей под обеспечение находящихся на этом заводе готовых  изделий и с погашением из ближайших поступлений платежей. </w:t>
      </w:r>
    </w:p>
    <w:p w14:paraId="3CB3C585"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 председателя Особого Совещания </w:t>
      </w:r>
    </w:p>
    <w:p w14:paraId="57AD4646"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 от артиллерии Маниковский. </w:t>
      </w:r>
    </w:p>
    <w:p w14:paraId="2D6DC5CB"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 управляющего делами </w:t>
      </w:r>
    </w:p>
    <w:p w14:paraId="6749D8D5"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действительный статский советник Кнорринг. </w:t>
      </w:r>
    </w:p>
    <w:p w14:paraId="17104649"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 203. Л. 246 и об. Подлинник. </w:t>
      </w:r>
    </w:p>
    <w:p w14:paraId="66652F5D"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p>
    <w:p w14:paraId="427BAF0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DF6F2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D4C461"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 – 19 ноября (28 ноября - 2 декабря) 1917 совместная комиссия Бюро и Авиасовета провела радикальную чистку Увофлота. Из его аппарата уволили свыше 50 «политически неблагонадежных» офицеров и специалистов. Д.В. Яковлев остался на своем посту, однако реальный контроль за работой Управления перешел к политкомиссарам из числа тех, кто и организовывал чистку. Главную роль среди них играли К.В. Акашев, С.Е. Андреев, А.В. Можаев и А.В. Сергеев (18562).</w:t>
      </w:r>
    </w:p>
    <w:p w14:paraId="6E7E895D"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p>
    <w:p w14:paraId="0768A3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ноября 1917 по указанию В.И.Л. издан приказ об учреждении должности комиссара при Управлении морской авиации и воздухоплавания (271,75).</w:t>
      </w:r>
    </w:p>
    <w:p w14:paraId="54593D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9F59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ноября 1917 на ЮЗФ возвращаясь из боевого вылета, в ходе которого он сбил Бранденбург, при посадке с высоты 80 м упал и разбился прапорщик л 9 ао Г.Сук на СПАД-VII N 1440 - последний русский пилот, погибший в первой мировой (4019,8).</w:t>
      </w:r>
    </w:p>
    <w:p w14:paraId="424327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08DC97" w14:textId="77777777" w:rsidR="00CB3CC2" w:rsidRPr="00FB4F67" w:rsidRDefault="00CB3CC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15 (28) ноября 1917 г.) самолет «Илья Муромец» Е-57 (ИМ Е-57 № 266, борт № V) экз. № 61, стратегический разведчик и тяжелый бомбардировщик был разбит.</w:t>
      </w:r>
    </w:p>
    <w:p w14:paraId="65038543" w14:textId="77777777" w:rsidR="00CB3CC2" w:rsidRPr="00FB4F67" w:rsidRDefault="00CB3CC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Всего самолет выполнил не менее трех боевых вылетов.</w:t>
      </w:r>
    </w:p>
    <w:p w14:paraId="531C57A5" w14:textId="77777777" w:rsidR="00CB3CC2" w:rsidRPr="00FB4F67" w:rsidRDefault="00CB3CC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Всего достроено и облетано 2 самолета ИМ-Е. Модификация по отношению к ИМ-Г определенные преимущества имела, однако ее запуск в серию не состоялся по организационным причинам – еще летом 1917 г. производство на РБВЗ было дезорганизовано, а после Октябрьской революции наладить выпуск новой модификации самолета оказалось невозможно (24094).</w:t>
      </w:r>
    </w:p>
    <w:p w14:paraId="015B3BE6" w14:textId="77777777" w:rsidR="00CB3CC2" w:rsidRPr="00FB4F67" w:rsidRDefault="00CB3CC2" w:rsidP="0083075A">
      <w:pPr>
        <w:spacing w:after="0" w:line="240" w:lineRule="auto"/>
        <w:jc w:val="both"/>
        <w:rPr>
          <w:rFonts w:ascii="Times New Roman" w:hAnsi="Times New Roman" w:cs="Times New Roman"/>
          <w:color w:val="0070C0"/>
          <w:sz w:val="16"/>
          <w:szCs w:val="16"/>
        </w:rPr>
      </w:pPr>
    </w:p>
    <w:p w14:paraId="254AFE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15 (28) ноября 1917 была буря, которая на базе в Виннице уничтожила и повредила много самолетов и в т.ч. ИМ (2669,43).</w:t>
      </w:r>
    </w:p>
    <w:p w14:paraId="492264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3D9D11"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 (28) ноября 1917 г. обе французские эскадрильи передислоцировали в Волочиск (на левом бе</w:t>
      </w:r>
      <w:r w:rsidRPr="002F2FDF">
        <w:rPr>
          <w:rFonts w:ascii="Times New Roman" w:hAnsi="Times New Roman" w:cs="Times New Roman"/>
          <w:color w:val="000000" w:themeColor="text1"/>
          <w:sz w:val="16"/>
          <w:szCs w:val="16"/>
        </w:rPr>
        <w:softHyphen/>
        <w:t>регу р. Збруч), в полосу действий 11-й армии Юго-Западного фронта. Здесь эскадрилья N 581 одержала две свои последние воздушные победы. Обе — на счету Л. Кудоре. 23 ноября он поднялся на перехват немецкого самолета-разведчика. Набрав высоту 5000 м (на 200 м выше противника), он спикиро</w:t>
      </w:r>
      <w:r w:rsidRPr="002F2FDF">
        <w:rPr>
          <w:rFonts w:ascii="Times New Roman" w:hAnsi="Times New Roman" w:cs="Times New Roman"/>
          <w:color w:val="000000" w:themeColor="text1"/>
          <w:sz w:val="16"/>
          <w:szCs w:val="16"/>
        </w:rPr>
        <w:softHyphen/>
        <w:t>вал на цель. Очередь, выпущенная в первом заходе, повредила пулеметную турель разведчика, но его пилот отчаянно пытался развернуть машину, дабы обстрелять французский истреби</w:t>
      </w:r>
      <w:r w:rsidRPr="002F2FDF">
        <w:rPr>
          <w:rFonts w:ascii="Times New Roman" w:hAnsi="Times New Roman" w:cs="Times New Roman"/>
          <w:color w:val="000000" w:themeColor="text1"/>
          <w:sz w:val="16"/>
          <w:szCs w:val="16"/>
        </w:rPr>
        <w:softHyphen/>
        <w:t>тель из синхронного пулемета. Тем не менее, Кудоре смог под</w:t>
      </w:r>
      <w:r w:rsidRPr="002F2FDF">
        <w:rPr>
          <w:rFonts w:ascii="Times New Roman" w:hAnsi="Times New Roman" w:cs="Times New Roman"/>
          <w:color w:val="000000" w:themeColor="text1"/>
          <w:sz w:val="16"/>
          <w:szCs w:val="16"/>
        </w:rPr>
        <w:softHyphen/>
        <w:t>жечь вражеский самолет. Тот сумел приземлиться в поле. Французский пилот сел рядом и помог немецкому экипажу (пилот получил серьезные ожоги) выбраться из горящей маши</w:t>
      </w:r>
      <w:r w:rsidRPr="002F2FDF">
        <w:rPr>
          <w:rFonts w:ascii="Times New Roman" w:hAnsi="Times New Roman" w:cs="Times New Roman"/>
          <w:color w:val="000000" w:themeColor="text1"/>
          <w:sz w:val="16"/>
          <w:szCs w:val="16"/>
        </w:rPr>
        <w:softHyphen/>
        <w:t>ны. Несколько десятков подбежавших солдат едва не устроили самосуд над всеми тремя авиаторами, приняв Кудоре за нем</w:t>
      </w:r>
      <w:r w:rsidRPr="002F2FDF">
        <w:rPr>
          <w:rFonts w:ascii="Times New Roman" w:hAnsi="Times New Roman" w:cs="Times New Roman"/>
          <w:color w:val="000000" w:themeColor="text1"/>
          <w:sz w:val="16"/>
          <w:szCs w:val="16"/>
        </w:rPr>
        <w:softHyphen/>
        <w:t>ца. К счастью, один унтер-офицер понимал по-французски, и Кудоре смог объяснить ситуацию. Сдав обоих пленных под ох</w:t>
      </w:r>
      <w:r w:rsidRPr="002F2FDF">
        <w:rPr>
          <w:rFonts w:ascii="Times New Roman" w:hAnsi="Times New Roman" w:cs="Times New Roman"/>
          <w:color w:val="000000" w:themeColor="text1"/>
          <w:sz w:val="16"/>
          <w:szCs w:val="16"/>
        </w:rPr>
        <w:softHyphen/>
        <w:t>рану унтер-офицера, он поднялся в воздух и вернулся на свой аэродром (22287).</w:t>
      </w:r>
    </w:p>
    <w:p w14:paraId="30BF6187"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p>
    <w:p w14:paraId="4769CD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ноября 1917 был опубликован декрет о демобилизации старой армии (3908,270).</w:t>
      </w:r>
    </w:p>
    <w:p w14:paraId="410D73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402915" w14:textId="369C752A" w:rsidR="00B6143B" w:rsidRPr="00FB4F67" w:rsidRDefault="00B6143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15 (</w:t>
      </w:r>
      <w:r w:rsidRPr="00FB4F67">
        <w:rPr>
          <w:rFonts w:ascii="Times New Roman" w:hAnsi="Times New Roman" w:cs="Times New Roman"/>
          <w:color w:val="0070C0"/>
          <w:sz w:val="16"/>
          <w:szCs w:val="16"/>
        </w:rPr>
        <w:t>28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ноября 1917 г. Центральные державы согласились начать переговоры о перемирии с красными в Брест-Литовске. В Ташкенте была образована Туркестанская советская республика (23525).</w:t>
      </w:r>
    </w:p>
    <w:p w14:paraId="0C74EDEA" w14:textId="77777777" w:rsidR="00B6143B" w:rsidRPr="00FB4F67" w:rsidRDefault="00B6143B" w:rsidP="0083075A">
      <w:pPr>
        <w:spacing w:after="0" w:line="240" w:lineRule="auto"/>
        <w:jc w:val="both"/>
        <w:rPr>
          <w:rFonts w:ascii="Times New Roman" w:hAnsi="Times New Roman" w:cs="Times New Roman"/>
          <w:color w:val="0070C0"/>
          <w:sz w:val="16"/>
          <w:szCs w:val="16"/>
        </w:rPr>
      </w:pPr>
    </w:p>
    <w:p w14:paraId="7CD7D0F8" w14:textId="6502FF59" w:rsidR="00B6143B" w:rsidRPr="00FB4F67" w:rsidRDefault="00B6143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15 (</w:t>
      </w:r>
      <w:r w:rsidRPr="00FB4F67">
        <w:rPr>
          <w:rFonts w:ascii="Times New Roman" w:hAnsi="Times New Roman" w:cs="Times New Roman"/>
          <w:color w:val="0070C0"/>
          <w:sz w:val="16"/>
          <w:szCs w:val="16"/>
        </w:rPr>
        <w:t>28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ноября 1917 г. в Петрограде красные назначили А. П. Онуфриева начальником УМА (Управления морской авиации). П. Е. Дыбенко возглавил Центрофлот. Полковник С.А. Ульянин возглавил старое управление Воздушного флота, заменив генерал-майора Д.В. Яковлева. Комиссары контролировали все борта (23525).</w:t>
      </w:r>
    </w:p>
    <w:p w14:paraId="7E78A550" w14:textId="77777777" w:rsidR="00B6143B" w:rsidRPr="00FB4F67" w:rsidRDefault="00B6143B" w:rsidP="0083075A">
      <w:pPr>
        <w:spacing w:after="0" w:line="240" w:lineRule="auto"/>
        <w:jc w:val="both"/>
        <w:rPr>
          <w:rFonts w:ascii="Times New Roman" w:hAnsi="Times New Roman" w:cs="Times New Roman"/>
          <w:color w:val="0070C0"/>
          <w:sz w:val="16"/>
          <w:szCs w:val="16"/>
        </w:rPr>
      </w:pPr>
    </w:p>
    <w:p w14:paraId="3C0F52B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2E5C6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0190D0" w14:textId="77777777" w:rsidR="00133092" w:rsidRPr="002F2FDF" w:rsidRDefault="00133092" w:rsidP="0083075A">
      <w:pPr>
        <w:pStyle w:val="ae"/>
        <w:spacing w:before="0" w:after="0"/>
        <w:jc w:val="both"/>
        <w:rPr>
          <w:color w:val="000000" w:themeColor="text1"/>
          <w:kern w:val="2"/>
          <w:sz w:val="16"/>
          <w:szCs w:val="16"/>
        </w:rPr>
      </w:pPr>
      <w:r w:rsidRPr="002F2FDF">
        <w:rPr>
          <w:color w:val="000000" w:themeColor="text1"/>
          <w:kern w:val="2"/>
          <w:sz w:val="16"/>
          <w:szCs w:val="16"/>
        </w:rPr>
        <w:t>15 (28) ноября 1917 в Петрограде прошло первое заседание членов Учредительного Собрания, в котором приняли участие 60 депутатов, в основном из числа правых эсеров. Всего в Учредительное собрание было выбрано чуть более 700 депутатов. Несколькими днями ранее Совет народных комиссаров (СНК) издал постановление, что для открытия работы Собрания необходимо присутствие не менее 400 делегатов, при том, что имевшиеся на тот момент комиссии Собрания не признавали СНК как легитимный орган власти. Тем не менее большевики испугались даже заседания такой небольшой группы депутатов, и, опасаясь, что к ним присоединятся депутаты от партии конституционных демократов (кадетов), СНК в тот же день 28 ноября запретил деятельность кадетов как «партию врагов народа». Тут же были арестованы лидеры кадетов Андрей Шингарев и Федор Кокошкин (спустя полтора месяца они будут убиты). 29 ноября СНК запретил все «частные совещания» депутатов Учредительного Собрания (17045).</w:t>
      </w:r>
    </w:p>
    <w:p w14:paraId="3B1D473E" w14:textId="77777777" w:rsidR="00133092" w:rsidRPr="002F2FDF" w:rsidRDefault="0013309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42DA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ноября 1917 арестовали руководителей кадетской партии (3481).</w:t>
      </w:r>
    </w:p>
    <w:p w14:paraId="38C678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0628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ноября 1917 г. Принят Декрет Совета народных комиссаров (СНК) "О борьбе со спекуляцией" (10303).</w:t>
      </w:r>
    </w:p>
    <w:p w14:paraId="544478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BE440B"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 (28) ноября 1917. В Художественном театре состоялось собрание профессионального союза московских актеров, на котором обсуждался вопрос о назначении Военно-революционным комитетом комиссара по делам театров. Принята резолюция, выражающая протест против такого назначения, как игнорирующего право Театрального комитета самостоятельно регулировать театральную жизнь. Военно-революционный комитет утвердил как обоснованный захват фабрики Ганзена фабрично-заводским комитетом и предоставил фабзавкому права юрнднческого лица, обязав описать все имущество фабрики (18685).</w:t>
      </w:r>
    </w:p>
    <w:p w14:paraId="5B45321C"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p>
    <w:p w14:paraId="08A04D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ноября 1917 в Тбилиси был создан Закавказский комиссариат (2443,388) во главе с Е.П.Гегечкори, организовавший сопротивление большевикам в Грузии, Армении и Азербайджане (3908,270).</w:t>
      </w:r>
    </w:p>
    <w:p w14:paraId="08C5BA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8D3A1E" w14:textId="77777777" w:rsidR="007A4234" w:rsidRPr="002F2FDF" w:rsidRDefault="007A4234" w:rsidP="0083075A">
      <w:pPr>
        <w:pStyle w:val="ae"/>
        <w:spacing w:before="0" w:after="0"/>
        <w:jc w:val="both"/>
        <w:rPr>
          <w:color w:val="000000" w:themeColor="text1"/>
          <w:kern w:val="2"/>
          <w:sz w:val="16"/>
          <w:szCs w:val="16"/>
        </w:rPr>
      </w:pPr>
      <w:r w:rsidRPr="002F2FDF">
        <w:rPr>
          <w:color w:val="000000" w:themeColor="text1"/>
          <w:kern w:val="2"/>
          <w:sz w:val="16"/>
          <w:szCs w:val="16"/>
        </w:rPr>
        <w:t>15 (28) ноября 1917 Закавказье отказалось признавать власть большевиков. В Тифлисе (ныне столица Грузии Тбилиси) возник так называемый Закавказский комиссариат — коалиционное правительство региона, созданное при участии грузинских меньшевиков, эсеров, армянских дашнаков и азербайджанских мусаватистов. Его председателем стал грузинский меньшевик Евгений Гегечкори. Закавказский комиссариат вступил в переговоры с консулами стран Антанты, принял решение о созыве Закавказского сейма как законодательного органа и заявил о поддержке казачьих областей России, также отказавшим большевикам в поддержке. Закавказский комиссариат, тем не менее, пока не высказывал идей отделения края от России и был готов согласиться с будущими решениями Учредительного Собрания (17045).</w:t>
      </w:r>
    </w:p>
    <w:p w14:paraId="58FB60EC" w14:textId="77777777" w:rsidR="007A4234" w:rsidRPr="002F2FDF" w:rsidRDefault="007A4234" w:rsidP="0083075A">
      <w:pPr>
        <w:pStyle w:val="ae"/>
        <w:spacing w:before="0" w:after="0"/>
        <w:jc w:val="both"/>
        <w:rPr>
          <w:color w:val="000000" w:themeColor="text1"/>
          <w:kern w:val="2"/>
          <w:sz w:val="16"/>
          <w:szCs w:val="16"/>
        </w:rPr>
      </w:pPr>
    </w:p>
    <w:p w14:paraId="3EC21746" w14:textId="5228C608" w:rsidR="007A4234" w:rsidRPr="002F2FDF" w:rsidRDefault="007A4234" w:rsidP="0083075A">
      <w:pPr>
        <w:pStyle w:val="ae"/>
        <w:spacing w:before="0" w:after="0"/>
        <w:jc w:val="both"/>
        <w:rPr>
          <w:color w:val="000000" w:themeColor="text1"/>
          <w:kern w:val="2"/>
          <w:sz w:val="16"/>
          <w:szCs w:val="16"/>
        </w:rPr>
      </w:pPr>
      <w:r w:rsidRPr="002F2FDF">
        <w:rPr>
          <w:color w:val="000000" w:themeColor="text1"/>
          <w:kern w:val="2"/>
          <w:sz w:val="16"/>
          <w:szCs w:val="16"/>
        </w:rPr>
        <w:t>15 (28) ноября 1917 парламент Финляндии взял на себя высшую власть в стране, взяв курс на отделение от России, и сформировал новый состав правительства</w:t>
      </w:r>
      <w:r w:rsidR="00E52569">
        <w:rPr>
          <w:color w:val="000000" w:themeColor="text1"/>
          <w:kern w:val="2"/>
          <w:sz w:val="16"/>
          <w:szCs w:val="16"/>
        </w:rPr>
        <w:t xml:space="preserve"> </w:t>
      </w:r>
      <w:r w:rsidRPr="002F2FDF">
        <w:rPr>
          <w:color w:val="000000" w:themeColor="text1"/>
          <w:kern w:val="2"/>
          <w:sz w:val="16"/>
          <w:szCs w:val="16"/>
        </w:rPr>
        <w:t>— сенат Финляндии — под руководством правого политика Пера Свинхувуда (17045).</w:t>
      </w:r>
    </w:p>
    <w:p w14:paraId="3703B498" w14:textId="77777777" w:rsidR="007A4234" w:rsidRPr="002F2FDF" w:rsidRDefault="007A4234"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33EE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ноября 1917 в Ташкенте первый Региональный Съезд Советов решил исключить мусульман из правительства (2955).</w:t>
      </w:r>
    </w:p>
    <w:p w14:paraId="775A48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A255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ноября 1917 вышла декларация прав наций России, разрешившее свободное исповедание ислама (2955).</w:t>
      </w:r>
    </w:p>
    <w:p w14:paraId="37ACB0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FDA4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15 </w:t>
      </w:r>
      <w:r w:rsidR="00631AD8" w:rsidRPr="002F2FDF">
        <w:rPr>
          <w:rFonts w:ascii="Times New Roman" w:hAnsi="Times New Roman" w:cs="Times New Roman"/>
          <w:color w:val="000000" w:themeColor="text1"/>
          <w:kern w:val="2"/>
          <w:sz w:val="16"/>
          <w:szCs w:val="16"/>
        </w:rPr>
        <w:t xml:space="preserve">(28) </w:t>
      </w:r>
      <w:r w:rsidRPr="002F2FDF">
        <w:rPr>
          <w:rFonts w:ascii="Times New Roman" w:hAnsi="Times New Roman" w:cs="Times New Roman"/>
          <w:color w:val="000000" w:themeColor="text1"/>
          <w:kern w:val="2"/>
          <w:sz w:val="16"/>
          <w:szCs w:val="16"/>
        </w:rPr>
        <w:t>ноября 1917 года Совнарком поручил Петроградскому военно-революционному комитету (ВРК) “принять самые решительные меры к искоренению спекуляции и саботажа, скрывания запасов, злостной задержки грузов и пр.” (Собрание узаконений и распоряжений рабочего и крестьянского правительства (далее — СУ). 1917. № 3. Ст. 33.). Во исполнение этого указания ВРК уже в ноябре начал посылать в хлебные губернии специально сформированные отряды рабочих и матросов для конфискации продовольствия. Формально заготовки сельскохозяйственных продуктов осуществлялись на основе товарообмена, но поскольку промышленных товаров не хватало, основную часть стоимости продуктов крестьяне получали стремительно продолжавшими обесцениваться денежными знаками. Не удивительно, что уже в декабре неповиновение крестьян, отказывавшихся, по сути, безвозмездно отдавать хлеб, стало приобретать массовый характер. Надо отметить, что при всем этом государственная хлебная монополия и твердые закупочные цены на хлеб, поддержанные принявшими Наркомат земледелия левыми эсерами, продолжали сохраняться (11172).</w:t>
      </w:r>
    </w:p>
    <w:p w14:paraId="7BAA2F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F358F6" w14:textId="77777777" w:rsidR="00655A59" w:rsidRPr="002F2FDF" w:rsidRDefault="00655A5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ноября 1917 г. вышел Декрет СНК «Об аресте вождей гражданской войны против революции» (17460).</w:t>
      </w:r>
    </w:p>
    <w:p w14:paraId="74A8A4DD" w14:textId="77777777" w:rsidR="00655A59" w:rsidRPr="002F2FDF" w:rsidRDefault="00655A59" w:rsidP="0083075A">
      <w:pPr>
        <w:spacing w:after="0" w:line="240" w:lineRule="auto"/>
        <w:jc w:val="both"/>
        <w:rPr>
          <w:rFonts w:ascii="Times New Roman" w:hAnsi="Times New Roman" w:cs="Times New Roman"/>
          <w:color w:val="000000" w:themeColor="text1"/>
          <w:kern w:val="2"/>
          <w:sz w:val="16"/>
          <w:szCs w:val="16"/>
        </w:rPr>
      </w:pPr>
    </w:p>
    <w:p w14:paraId="04C9A7C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73629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E5D3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ноября 1917 - 30 немецких самолетов бомбило колонну английских танков на континенте. Завязался массовый воздушный бой, в котором было сбито 11 немецких и 7 английских самолетов (11999).</w:t>
      </w:r>
    </w:p>
    <w:p w14:paraId="22F593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E0EE93"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 (28) ноября 1917 завершается строительство Naval Aircraft Factory на острове Лига Navy Yard в Филадельфии, штат Пенсильвания - за 110 дней (20341).</w:t>
      </w:r>
    </w:p>
    <w:p w14:paraId="0F2D6256" w14:textId="77777777" w:rsidR="00C35683" w:rsidRPr="002F2FDF" w:rsidRDefault="00C35683" w:rsidP="0083075A">
      <w:pPr>
        <w:spacing w:after="0" w:line="240" w:lineRule="auto"/>
        <w:jc w:val="both"/>
        <w:rPr>
          <w:rFonts w:ascii="Times New Roman" w:hAnsi="Times New Roman" w:cs="Times New Roman"/>
          <w:color w:val="000000" w:themeColor="text1"/>
          <w:sz w:val="16"/>
          <w:szCs w:val="16"/>
        </w:rPr>
      </w:pPr>
    </w:p>
    <w:p w14:paraId="421703F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8009F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E4B0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ноября 1917 завод Д.П.Г. закончил М-17 и из-за зимы его хотели испытать на лыжном шасси от М-15 (2807,88).</w:t>
      </w:r>
    </w:p>
    <w:p w14:paraId="524ECC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0E1FF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нояб</w:t>
      </w:r>
      <w:r w:rsidRPr="002F2FDF">
        <w:rPr>
          <w:rFonts w:ascii="Times New Roman" w:hAnsi="Times New Roman" w:cs="Times New Roman"/>
          <w:color w:val="000000" w:themeColor="text1"/>
          <w:kern w:val="2"/>
          <w:sz w:val="16"/>
          <w:szCs w:val="16"/>
        </w:rPr>
        <w:softHyphen/>
        <w:t>ря 1917 аппарат М-16, переделываемый Макаревичем, все-таки почти закончили в местных авиамастерских и намеревались испытать; в начале декабря речь шла уже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самолет; в конце концов, это был единствен</w:t>
      </w:r>
      <w:r w:rsidRPr="002F2FDF">
        <w:rPr>
          <w:rFonts w:ascii="Times New Roman" w:hAnsi="Times New Roman" w:cs="Times New Roman"/>
          <w:color w:val="000000" w:themeColor="text1"/>
          <w:kern w:val="2"/>
          <w:sz w:val="16"/>
          <w:szCs w:val="16"/>
        </w:rPr>
        <w:softHyphen/>
        <w:t>ный способ существенно продлить карьеру модели, или даже вдохнуть в нее новую жизнь, после того, как 20 сентября 1917 г. в докладе Управления морской авиации и воздухоплавания (УМАиВ) говори</w:t>
      </w:r>
      <w:r w:rsidRPr="002F2FDF">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1CEC7BB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536F3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6DEEA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C5B0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середине ноября 1917 взяли под контроль Госбанк и аннулировали все внешние гос. займы, составляющие 16 млрд. золотом (226,240).</w:t>
      </w:r>
    </w:p>
    <w:p w14:paraId="3B0BD0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BDCA6F" w14:textId="5D69A7FD" w:rsidR="00B6143B" w:rsidRDefault="00B6143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7BCF267A" w14:textId="77777777" w:rsidR="00B6143B" w:rsidRDefault="00B6143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63532276" w14:textId="4D409983" w:rsidR="00B6143B" w:rsidRPr="00FB4F67" w:rsidRDefault="00B6143B" w:rsidP="0083075A">
      <w:pPr>
        <w:spacing w:after="0" w:line="240" w:lineRule="auto"/>
        <w:jc w:val="both"/>
        <w:rPr>
          <w:rFonts w:ascii="Times New Roman" w:hAnsi="Times New Roman" w:cs="Times New Roman"/>
          <w:color w:val="0070C0"/>
          <w:sz w:val="16"/>
          <w:szCs w:val="16"/>
        </w:rPr>
      </w:pPr>
      <w:bookmarkStart w:id="397" w:name="bookmark1031"/>
      <w:r>
        <w:rPr>
          <w:rFonts w:ascii="Times New Roman" w:hAnsi="Times New Roman" w:cs="Times New Roman"/>
          <w:color w:val="0070C0"/>
          <w:sz w:val="16"/>
          <w:szCs w:val="16"/>
        </w:rPr>
        <w:t>16 (</w:t>
      </w:r>
      <w:r w:rsidRPr="00FB4F67">
        <w:rPr>
          <w:rFonts w:ascii="Times New Roman" w:hAnsi="Times New Roman" w:cs="Times New Roman"/>
          <w:color w:val="0070C0"/>
          <w:sz w:val="16"/>
          <w:szCs w:val="16"/>
        </w:rPr>
        <w:t>29</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ноября 1917 г. в результате ряда воздушных боев на участке фронта г. Волочиск - р. Днестр (Юго-Западный фронт) было снижено три неприятельских аэроплана, опустившиеся в расположении своих войск (23405).</w:t>
      </w:r>
      <w:bookmarkEnd w:id="397"/>
    </w:p>
    <w:p w14:paraId="075DF5BE" w14:textId="77777777" w:rsidR="00B6143B" w:rsidRPr="00FB4F67" w:rsidRDefault="00B6143B" w:rsidP="0083075A">
      <w:pPr>
        <w:spacing w:after="0" w:line="240" w:lineRule="auto"/>
        <w:jc w:val="both"/>
        <w:rPr>
          <w:rFonts w:ascii="Times New Roman" w:hAnsi="Times New Roman" w:cs="Times New Roman"/>
          <w:color w:val="0070C0"/>
          <w:sz w:val="16"/>
          <w:szCs w:val="16"/>
        </w:rPr>
      </w:pPr>
    </w:p>
    <w:p w14:paraId="4F3B5A00" w14:textId="030BEEA7" w:rsidR="00FF33CC" w:rsidRPr="002F2FDF" w:rsidRDefault="00FF33C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2F88E2A" w14:textId="77777777" w:rsidR="00FF33CC" w:rsidRPr="002F2FDF" w:rsidRDefault="00FF33C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72A4C6" w14:textId="401BFE68"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16 (29) ноября 1917</w:t>
      </w:r>
      <w:r w:rsidR="00B6143B">
        <w:rPr>
          <w:rFonts w:ascii="Times New Roman" w:hAnsi="Times New Roman" w:cs="Times New Roman"/>
          <w:color w:val="000000" w:themeColor="text1"/>
          <w:sz w:val="16"/>
          <w:szCs w:val="16"/>
        </w:rPr>
        <w:t xml:space="preserve"> ш. в Москве о</w:t>
      </w:r>
      <w:r w:rsidRPr="002F2FDF">
        <w:rPr>
          <w:rFonts w:ascii="Times New Roman" w:hAnsi="Times New Roman" w:cs="Times New Roman"/>
          <w:color w:val="000000" w:themeColor="text1"/>
          <w:sz w:val="16"/>
          <w:szCs w:val="16"/>
        </w:rPr>
        <w:t>ткрылась 4-я окружная конференция большевиков.</w:t>
      </w:r>
    </w:p>
    <w:p w14:paraId="3D27E64B"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Городская управа обратилась ко всем лицам, участвовавшим в ноябрьских боях на стороне Комитета общественной безопасности, представить свои воспоминания я другие материалы для составления отчета о произошедшем кровопролнтии.</w:t>
      </w:r>
    </w:p>
    <w:p w14:paraId="3EBAA516"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художественном салоне на Большой Дмитровке открылась выставка Общества художников ". Бубновый валет" (18685).</w:t>
      </w:r>
    </w:p>
    <w:p w14:paraId="195C0EAB"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p>
    <w:p w14:paraId="7789CB07" w14:textId="77777777" w:rsidR="00B6143B" w:rsidRPr="00FB4F67" w:rsidRDefault="00B6143B"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16 (</w:t>
      </w:r>
      <w:r w:rsidRPr="00FB4F67">
        <w:rPr>
          <w:rFonts w:ascii="Times New Roman" w:hAnsi="Times New Roman" w:cs="Times New Roman"/>
          <w:color w:val="0070C0"/>
          <w:sz w:val="16"/>
          <w:szCs w:val="16"/>
        </w:rPr>
        <w:t>29</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ноября 1917 г. в Ревеле Эстляндия (Эстония) объявила о своей независимости от России (23525).</w:t>
      </w:r>
    </w:p>
    <w:p w14:paraId="7C3EC90B" w14:textId="77777777" w:rsidR="00B6143B" w:rsidRPr="00FB4F67" w:rsidRDefault="00B6143B" w:rsidP="0083075A">
      <w:pPr>
        <w:spacing w:after="0" w:line="240" w:lineRule="auto"/>
        <w:jc w:val="both"/>
        <w:rPr>
          <w:rFonts w:ascii="Times New Roman" w:hAnsi="Times New Roman" w:cs="Times New Roman"/>
          <w:color w:val="0070C0"/>
          <w:sz w:val="16"/>
          <w:szCs w:val="16"/>
        </w:rPr>
      </w:pPr>
    </w:p>
    <w:p w14:paraId="7BAB692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9EDA5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E0EFA9" w14:textId="77777777" w:rsidR="007A4234" w:rsidRPr="002F2FDF" w:rsidRDefault="007A4234" w:rsidP="0083075A">
      <w:pPr>
        <w:pStyle w:val="ae"/>
        <w:spacing w:before="0" w:after="0"/>
        <w:jc w:val="both"/>
        <w:rPr>
          <w:color w:val="000000" w:themeColor="text1"/>
          <w:kern w:val="2"/>
          <w:sz w:val="16"/>
          <w:szCs w:val="16"/>
        </w:rPr>
      </w:pPr>
      <w:r w:rsidRPr="002F2FDF">
        <w:rPr>
          <w:color w:val="000000" w:themeColor="text1"/>
          <w:kern w:val="2"/>
          <w:sz w:val="16"/>
          <w:szCs w:val="16"/>
        </w:rPr>
        <w:t>16 (29) ноября 1917 в Париже началась конференция союзников по Антанте, на которой обсуждалось, что им теперь делать с учетом изменившейся ситуации в России. Союзники опасались, что немцы, австрийцы и турки могут захватить большие территории в России и воспользоваться их стратегическим положением и ресурсами. Обсуждались вопросы высадки британских, французских и американских десантов в российских портах с целью недопущения высадки там немцев 917045).</w:t>
      </w:r>
    </w:p>
    <w:p w14:paraId="4C56F272" w14:textId="77777777" w:rsidR="007A4234" w:rsidRPr="002F2FDF" w:rsidRDefault="007A4234"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9FE744" w14:textId="77777777" w:rsidR="00DA796B" w:rsidRPr="002F2FDF" w:rsidRDefault="00DA796B" w:rsidP="0083075A">
      <w:pPr>
        <w:pStyle w:val="ae"/>
        <w:spacing w:before="0" w:after="0"/>
        <w:jc w:val="both"/>
        <w:rPr>
          <w:color w:val="000000" w:themeColor="text1"/>
          <w:kern w:val="2"/>
          <w:sz w:val="16"/>
          <w:szCs w:val="16"/>
        </w:rPr>
      </w:pPr>
      <w:r w:rsidRPr="002F2FDF">
        <w:rPr>
          <w:color w:val="000000" w:themeColor="text1"/>
          <w:kern w:val="2"/>
          <w:sz w:val="16"/>
          <w:szCs w:val="16"/>
        </w:rPr>
        <w:t>К 16 (29) ноября 1917 итальянская армия завершила подготовку новой оборонительной линии, которая теперь проходила всего в 20 километрах к востоку от Венеции по реке Пьяве. Все атаки противника на этом рубеже были отбиты, и в первые дни декабря наступление германских и австрийских дивизий, последовавшее после разгрома итальянской армии под Капоретто (ныне Кобарид на северо-западе Словении у границы с Италией), наконец, остановилось.</w:t>
      </w:r>
    </w:p>
    <w:p w14:paraId="1777EC1B" w14:textId="77777777" w:rsidR="00DA796B" w:rsidRPr="002F2FDF" w:rsidRDefault="00DA796B" w:rsidP="0083075A">
      <w:pPr>
        <w:pStyle w:val="ae"/>
        <w:spacing w:before="0" w:after="0"/>
        <w:jc w:val="both"/>
        <w:rPr>
          <w:color w:val="000000" w:themeColor="text1"/>
          <w:kern w:val="2"/>
          <w:sz w:val="16"/>
          <w:szCs w:val="16"/>
        </w:rPr>
      </w:pPr>
      <w:r w:rsidRPr="002F2FDF">
        <w:rPr>
          <w:color w:val="000000" w:themeColor="text1"/>
          <w:kern w:val="2"/>
          <w:sz w:val="16"/>
          <w:szCs w:val="16"/>
        </w:rPr>
        <w:t>За месяц, прошедший после прорыва обороны под Капоретто, итальянская армия потеряла убитыми более 10 тысяч человек, ранеными — 30 тысяч и более 250 тысяч пленными, а также 3152 артиллерийских орудия, 1732 миномета, 22 авиационных парка. Потери германских и австрийских войск составили около 70 тысяч убитыми и ранеными (17045).</w:t>
      </w:r>
    </w:p>
    <w:p w14:paraId="6EA97776" w14:textId="77777777" w:rsidR="00DA796B" w:rsidRPr="002F2FDF" w:rsidRDefault="00DA796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58D7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ноября 1917 в газете Дейли телеграф лорд Ленсдаун, б. МИД, опубликовал письмо с предложением заключить мир с Германией на компромиссных условиях. Ллойд Джордж отверг это предложение сказав, что "нельзя останавливаться на полпути между победой и поражением" (3907,92).</w:t>
      </w:r>
    </w:p>
    <w:p w14:paraId="495B25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C791A1" w14:textId="77777777" w:rsidR="00FF33CC" w:rsidRPr="002F2FDF" w:rsidRDefault="00FF33C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B2AB63D" w14:textId="77777777" w:rsidR="00FF33CC" w:rsidRPr="002F2FDF" w:rsidRDefault="00FF33C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9E1974" w14:textId="64EC5A74" w:rsidR="00FF33CC" w:rsidRPr="002F2FDF" w:rsidRDefault="00FF33CC"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17 (30) ноября</w:t>
      </w:r>
      <w:r w:rsidR="00E52569">
        <w:rPr>
          <w:color w:val="000000" w:themeColor="text1"/>
          <w:sz w:val="16"/>
          <w:szCs w:val="16"/>
        </w:rPr>
        <w:t xml:space="preserve"> </w:t>
      </w:r>
      <w:r w:rsidRPr="002F2FDF">
        <w:rPr>
          <w:color w:val="000000" w:themeColor="text1"/>
          <w:sz w:val="16"/>
          <w:szCs w:val="16"/>
        </w:rPr>
        <w:t xml:space="preserve"> 1917 на заводе «Электросталь», построенном в кратчайшие сроки Товариществом на паях, учредителями которого являлись Н.А.</w:t>
      </w:r>
      <w:r w:rsidR="00E52569">
        <w:rPr>
          <w:color w:val="000000" w:themeColor="text1"/>
          <w:sz w:val="16"/>
          <w:szCs w:val="16"/>
        </w:rPr>
        <w:t xml:space="preserve"> </w:t>
      </w:r>
      <w:r w:rsidRPr="002F2FDF">
        <w:rPr>
          <w:color w:val="000000" w:themeColor="text1"/>
          <w:sz w:val="16"/>
          <w:szCs w:val="16"/>
        </w:rPr>
        <w:t>Второв, А.И.</w:t>
      </w:r>
      <w:r w:rsidR="00E52569">
        <w:rPr>
          <w:color w:val="000000" w:themeColor="text1"/>
          <w:sz w:val="16"/>
          <w:szCs w:val="16"/>
        </w:rPr>
        <w:t xml:space="preserve"> </w:t>
      </w:r>
      <w:r w:rsidRPr="002F2FDF">
        <w:rPr>
          <w:color w:val="000000" w:themeColor="text1"/>
          <w:sz w:val="16"/>
          <w:szCs w:val="16"/>
        </w:rPr>
        <w:t>Коновалов и М.И.</w:t>
      </w:r>
      <w:r w:rsidR="00E52569">
        <w:rPr>
          <w:color w:val="000000" w:themeColor="text1"/>
          <w:sz w:val="16"/>
          <w:szCs w:val="16"/>
        </w:rPr>
        <w:t xml:space="preserve"> </w:t>
      </w:r>
      <w:r w:rsidRPr="002F2FDF">
        <w:rPr>
          <w:color w:val="000000" w:themeColor="text1"/>
          <w:sz w:val="16"/>
          <w:szCs w:val="16"/>
        </w:rPr>
        <w:t>Терещенко (последние двое - министры Временного правительства) прошла первая плавка. Её осуществляли опытные мартеновцы, приехавшие сюда с Путиловского завода в Петрограде Иосиф Иванович Сухаржевский и Антон Абрамович Бабаев. Научное руководство осуществлял Николай Иванович Беляев (1877-1920), его имя завод будет носить несколько лет. 27 ноября плавку повторили, а с 29 декабря завод мог бы выйти на стабильный выпуск продукции. И только через несколько лет, когда разруха революции и гражданской войны была преодолена, завод выдвинулся в главного производителя легированных и специальных сталей в стране. Директор завода в это время - Виктор Леонидович Саблин (1872-1933), из справки, сохранившейся в семейном архиве Саблиных: «…</w:t>
      </w:r>
      <w:r w:rsidR="00E52569">
        <w:rPr>
          <w:color w:val="000000" w:themeColor="text1"/>
          <w:sz w:val="16"/>
          <w:szCs w:val="16"/>
        </w:rPr>
        <w:t xml:space="preserve"> </w:t>
      </w:r>
      <w:r w:rsidRPr="002F2FDF">
        <w:rPr>
          <w:rStyle w:val="af0"/>
          <w:i w:val="0"/>
          <w:color w:val="000000" w:themeColor="text1"/>
          <w:sz w:val="16"/>
          <w:szCs w:val="16"/>
        </w:rPr>
        <w:t>инженер Саблин с 20 мая 1916 года по 1 мая 1922 года состоял беспрерывно директором завода, который был им В.Л.</w:t>
      </w:r>
      <w:r w:rsidR="00E52569">
        <w:rPr>
          <w:rStyle w:val="af0"/>
          <w:i w:val="0"/>
          <w:color w:val="000000" w:themeColor="text1"/>
          <w:sz w:val="16"/>
          <w:szCs w:val="16"/>
        </w:rPr>
        <w:t xml:space="preserve"> </w:t>
      </w:r>
      <w:r w:rsidRPr="002F2FDF">
        <w:rPr>
          <w:rStyle w:val="af0"/>
          <w:i w:val="0"/>
          <w:color w:val="000000" w:themeColor="text1"/>
          <w:sz w:val="16"/>
          <w:szCs w:val="16"/>
        </w:rPr>
        <w:t>Саблиным построен, оборудован и пущен в работу. Все революционное время завод работал непрерывно, строился и оборудовался</w:t>
      </w:r>
      <w:r w:rsidRPr="002F2FDF">
        <w:rPr>
          <w:color w:val="000000" w:themeColor="text1"/>
          <w:sz w:val="16"/>
          <w:szCs w:val="16"/>
        </w:rPr>
        <w:t>…» (18371).</w:t>
      </w:r>
    </w:p>
    <w:p w14:paraId="6C434211" w14:textId="77777777" w:rsidR="00FF33CC" w:rsidRPr="002F2FDF" w:rsidRDefault="00FF33CC" w:rsidP="0083075A">
      <w:pPr>
        <w:pStyle w:val="ae"/>
        <w:spacing w:before="0" w:after="0"/>
        <w:jc w:val="both"/>
        <w:rPr>
          <w:color w:val="000000" w:themeColor="text1"/>
          <w:sz w:val="16"/>
          <w:szCs w:val="16"/>
        </w:rPr>
      </w:pPr>
    </w:p>
    <w:p w14:paraId="42AE1596" w14:textId="12D3888B" w:rsidR="00B6143B" w:rsidRDefault="00B6143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406E515D" w14:textId="77777777" w:rsidR="00B6143B" w:rsidRDefault="00B6143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63342324" w14:textId="77777777" w:rsidR="00B6143B" w:rsidRPr="00FB4F67" w:rsidRDefault="00B6143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30 ноября 1917 г. в Петрограде Троцкий объявил, что все военные действия на русском фронте прекращены (23525).</w:t>
      </w:r>
    </w:p>
    <w:p w14:paraId="62350B6B" w14:textId="77777777" w:rsidR="00B6143B" w:rsidRPr="00FB4F67" w:rsidRDefault="00B6143B" w:rsidP="0083075A">
      <w:pPr>
        <w:spacing w:after="0" w:line="240" w:lineRule="auto"/>
        <w:jc w:val="both"/>
        <w:rPr>
          <w:rFonts w:ascii="Times New Roman" w:hAnsi="Times New Roman" w:cs="Times New Roman"/>
          <w:color w:val="0070C0"/>
          <w:sz w:val="16"/>
          <w:szCs w:val="16"/>
        </w:rPr>
      </w:pPr>
    </w:p>
    <w:p w14:paraId="6B4A7897" w14:textId="2B7EF449"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30120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537018"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17 (30) ноября 1917. Вечером в контору Государственного банка явились член ВРК Г. А. Усиевич, комендант Кремня Я. А. Берлин, комиссар по гражданской части М. Рогов п потребовали у директоров конторы выдать три миллиона рублей "на нужды городского самоуправления". Все входы конторы перекрыли вооруженные часовые, у главного контролера были отобраны ключи от хранилища. Служащие банка были вынуждены выдать требуемую сумму.</w:t>
      </w:r>
    </w:p>
    <w:p w14:paraId="050047F3"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Трамвайные служащие постановили организовать собственное управление, без участия инженеров. Заведующий городскимя трамваями М. К. Поливанов вынужден был сложить своя полномочия.</w:t>
      </w:r>
    </w:p>
    <w:p w14:paraId="76D4F93C"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заседании художественной секции культурно-просветительской комиссия Моссовета образована Комиссия по охране памятников старины и искусства (КОП). Перед комиссией была поставлена задача учета и охраны памятников искусства в архитектуры я, в первую очередь, собраний и зданий Московского Кремля. Первыми членами комиссии стали архитектор ПЛ. Малиновский, художник К. С. Малевич, скульптор Е. В. Ора-Ковский. 6719 декабря было подписано соглашение о создании единой комиссии между Моссоветом я Объединенным комитетом по охране собраний и памятников искусства и старины. К марту 1918 года членами комиссии стали музеи: Патриаршая ризница, Исторический, Румянцевский, Изящных искусств. Оружейная палата; Строгановское училище; научные общества - Археологическое, Московское архитектурное. Люби те.лей иконописи, Любителей духовного просвещения и его церковно-археологическая комиссия; Комиссия по сохранению древних памятников Московского археологического общества; Общество истории и древностей Российских; творческие союзы - "Изограф", Союз деятелей прикладного искусства. Московский птч^фессяоиажъный союз художников живописцев. Профессиональный союз скульпторов, архивы -1 иностранных дел. Юстиция, Министерства двора и Комиссара по охране сокровищ польского народа. До марта 1918 года комиссия работала на общественных началах, после переезда Советского правительства а Москву се работа оплачивалась из ассигнований Моссовета. Председателем комиссия с декабря 1917 года был VIII, Малиновский, с 1 августа 1918 года - Н. Д. Виноградов. В ведения комиссии находилась охрана государственных и частных музеев, библиотек, архивов, архитектурных памят-ников, художественно-образовательные учреждения (18685).</w:t>
      </w:r>
    </w:p>
    <w:p w14:paraId="636A6955"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p>
    <w:p w14:paraId="0457C9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ноября 1917 состоялись выборы в Учредительное собрание и эсеры получили 40%, а большевики - 23.9%, меньшевики - 2.3, кадеты - 4.7 (3263,693).</w:t>
      </w:r>
    </w:p>
    <w:p w14:paraId="36DA3B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31E4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ноября 1917 состоялись выборы в Учредительное собрание: эсеры - 40%, большевики - 24%, кадеты - 5%, меньшевики - 2.3% (3481).</w:t>
      </w:r>
    </w:p>
    <w:p w14:paraId="2E0D4B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1663D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ноября 1917 подпольное Временное правительство России выпустило обращение с призывом к борьбе против большевиков (4962).</w:t>
      </w:r>
    </w:p>
    <w:p w14:paraId="28FFF52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6BF9A2" w14:textId="77777777" w:rsidR="009A1531" w:rsidRPr="002F2FDF" w:rsidRDefault="009A1531" w:rsidP="0083075A">
      <w:pPr>
        <w:pStyle w:val="a3"/>
        <w:rPr>
          <w:color w:val="000000" w:themeColor="text1"/>
          <w:lang w:val="ru-RU"/>
        </w:rPr>
      </w:pPr>
      <w:r w:rsidRPr="002F2FDF">
        <w:rPr>
          <w:rFonts w:eastAsia="Times New Roman"/>
          <w:color w:val="000000" w:themeColor="text1"/>
          <w:lang w:val="ru-RU" w:eastAsia="ru-RU"/>
        </w:rPr>
        <w:t>17 (30) ноября 1917 большевикам удалось получить из Госбанка первую партию денежных знаков. Представители Совнаркома, комиссары Госбанка, несколько красногвардейцев и 16 человек низших служащих изъяли из кассы 5 млн рублей. Они были торжественно препровождены в Совнарком и в течение 3-4 дней находились под охраной часовых в одной из соседних с кабинетом В. И. Ленина комнат (18085).</w:t>
      </w:r>
    </w:p>
    <w:p w14:paraId="0F54A55B" w14:textId="77777777" w:rsidR="009A1531" w:rsidRPr="002F2FDF" w:rsidRDefault="009A1531" w:rsidP="0083075A">
      <w:pPr>
        <w:pStyle w:val="a3"/>
        <w:rPr>
          <w:color w:val="000000" w:themeColor="text1"/>
          <w:lang w:val="ru-RU"/>
        </w:rPr>
      </w:pPr>
    </w:p>
    <w:p w14:paraId="3D583D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ноября 1917 СНК постановил национализировать Ликинскую мануфактуру (близ Орехово-Зуево) и это был первый декрет о национализации Советской власти (3263,693).</w:t>
      </w:r>
    </w:p>
    <w:p w14:paraId="7D4D34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F6EA7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C8C8F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6605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ноября 1917 первый полет выполнил Виккерс Вимми F.B.27, но так и не успел принять участие в боевых действиях (10247,12).</w:t>
      </w:r>
    </w:p>
    <w:p w14:paraId="1FE1C0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AA2FDB"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17 (30) ноября 1917 первый полет Vickers Vimy (20341).</w:t>
      </w:r>
    </w:p>
    <w:p w14:paraId="03FAA048"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p>
    <w:p w14:paraId="32AA9122" w14:textId="77777777" w:rsidR="007A4234" w:rsidRPr="002F2FDF" w:rsidRDefault="007A4234" w:rsidP="0083075A">
      <w:pPr>
        <w:pStyle w:val="ae"/>
        <w:spacing w:before="0" w:after="0"/>
        <w:jc w:val="both"/>
        <w:rPr>
          <w:color w:val="000000" w:themeColor="text1"/>
          <w:kern w:val="2"/>
          <w:sz w:val="16"/>
          <w:szCs w:val="16"/>
        </w:rPr>
      </w:pPr>
      <w:r w:rsidRPr="002F2FDF">
        <w:rPr>
          <w:color w:val="000000" w:themeColor="text1"/>
          <w:kern w:val="2"/>
          <w:sz w:val="16"/>
          <w:szCs w:val="16"/>
        </w:rPr>
        <w:t>17 (30) ноября 1917 г. германские части перешли в контрнаступление в районе городка Камбре на севере Франции, где ранее английские войска попытались прорвать германскую оборону. Британцы вели наступление с 20 ноября и в первые дни, задействовав около 400 танков, смогли преодолеть три линии германских укреплений. Однако затем из-за несогласованности в действиях разных частей англичане остановились и завязались ожесточенные позиционные бои. Воспользовавшись этим, германское командование сумело быстро перебросить резервы, создав ударный кулак из 16 дивизий (около 160 тыс. человек), включая 3600 пулеметов, 1700 артиллерийских орудий, 1088 минометов и более 1000 самолетов. Немцы рассчитывали окружить и уничтожить все британские части, вклинившиеся в немецкую оборону. К 3 декабря они отбили занятые ранее англичанами городки Маркуэн, Кантен и Бурлон (в 4-6 километрах к западу от Камбре), но окружить противника так и не удалось (17045).</w:t>
      </w:r>
    </w:p>
    <w:p w14:paraId="548E93BA" w14:textId="77777777" w:rsidR="007A4234" w:rsidRPr="002F2FDF" w:rsidRDefault="007A4234" w:rsidP="0083075A">
      <w:pPr>
        <w:spacing w:after="0" w:line="240" w:lineRule="auto"/>
        <w:jc w:val="both"/>
        <w:rPr>
          <w:rFonts w:ascii="Times New Roman" w:hAnsi="Times New Roman" w:cs="Times New Roman"/>
          <w:color w:val="000000" w:themeColor="text1"/>
          <w:kern w:val="2"/>
          <w:sz w:val="16"/>
          <w:szCs w:val="16"/>
        </w:rPr>
      </w:pPr>
    </w:p>
    <w:p w14:paraId="1B2F0F24" w14:textId="77777777" w:rsidR="00CB3CC2" w:rsidRPr="00FB4F67" w:rsidRDefault="00CB3CC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17 (30) ноября 1917 г., в первый день боев битвы у Камбре, в боевых поряд</w:t>
      </w:r>
      <w:r w:rsidRPr="00FB4F67">
        <w:rPr>
          <w:rFonts w:ascii="Times New Roman" w:hAnsi="Times New Roman" w:cs="Times New Roman"/>
          <w:color w:val="0070C0"/>
          <w:sz w:val="16"/>
          <w:szCs w:val="16"/>
        </w:rPr>
        <w:softHyphen/>
        <w:t>ках британской 5-й армии была продела</w:t>
      </w:r>
      <w:r w:rsidRPr="00FB4F67">
        <w:rPr>
          <w:rFonts w:ascii="Times New Roman" w:hAnsi="Times New Roman" w:cs="Times New Roman"/>
          <w:color w:val="0070C0"/>
          <w:sz w:val="16"/>
          <w:szCs w:val="16"/>
        </w:rPr>
        <w:softHyphen/>
        <w:t>на брешь шириной в 65 км - не в послед</w:t>
      </w:r>
      <w:r w:rsidRPr="00FB4F67">
        <w:rPr>
          <w:rFonts w:ascii="Times New Roman" w:hAnsi="Times New Roman" w:cs="Times New Roman"/>
          <w:color w:val="0070C0"/>
          <w:sz w:val="16"/>
          <w:szCs w:val="16"/>
        </w:rPr>
        <w:softHyphen/>
        <w:t>нюю очередь благодаря интенсивной авиационной поддержке (24189).</w:t>
      </w:r>
    </w:p>
    <w:p w14:paraId="7764A088" w14:textId="77777777" w:rsidR="00CB3CC2" w:rsidRPr="00FB4F67" w:rsidRDefault="00CB3CC2" w:rsidP="0083075A">
      <w:pPr>
        <w:spacing w:after="0" w:line="240" w:lineRule="auto"/>
        <w:jc w:val="both"/>
        <w:rPr>
          <w:rFonts w:ascii="Times New Roman" w:hAnsi="Times New Roman" w:cs="Times New Roman"/>
          <w:color w:val="0070C0"/>
          <w:sz w:val="16"/>
          <w:szCs w:val="16"/>
        </w:rPr>
      </w:pPr>
    </w:p>
    <w:p w14:paraId="7CC62042"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ноября 1917 г. госсекретарь США Лансинг указывает американскому послу в России Фрэнсису выяснить возможность формирования на юге России армии для борьбы с большевиками (15497).</w:t>
      </w:r>
    </w:p>
    <w:p w14:paraId="57D06E13"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p w14:paraId="6C41DABE" w14:textId="7BA0700A" w:rsidR="00706E2E" w:rsidRPr="002F2FDF" w:rsidRDefault="00706E2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571A289" w14:textId="77777777" w:rsidR="00706E2E" w:rsidRPr="002F2FDF" w:rsidRDefault="00706E2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310AC0"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18 ноября (1 декабря) 1917.  — Резолюция Председателя Особого Совещания для обсуждения и объединения мероприятий по обороне государства по журналу особой комиссии, образованной из представителей Министерства Финансов,  подготовительных  комиссий  и  управления  делами  Особого  Совещания по обороне от 15 ноября 1917 года за № 205/3. </w:t>
      </w:r>
    </w:p>
    <w:p w14:paraId="22760EA4"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w:t>
      </w:r>
    </w:p>
    <w:p w14:paraId="261C6779"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требующих того суждений комиссии решил: </w:t>
      </w:r>
    </w:p>
    <w:p w14:paraId="2ABA41C8"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По  докладу  главноуполномоченного  по  снабжению  металлами  о  современном состоянии металлургической промышленности: </w:t>
      </w:r>
    </w:p>
    <w:p w14:paraId="467A71AB"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предоставить  довольствующим  ведомствам  право  сокращать  до  50 % данные наряды на прокатку металлов; </w:t>
      </w:r>
    </w:p>
    <w:p w14:paraId="6267890E"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образовать  комиссию  под  председательством  И.  С.  Каннегисера  для выработки правил уплаты по заказам военного и морского ведомств. </w:t>
      </w:r>
    </w:p>
    <w:p w14:paraId="3901D96B"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По  ходатайству  главного  по  снабжению  армии  комитета  Всероссийских земского и городского союзов о выдаче ему 75 % аванса по заказу главным интендантским управлением обозного имущества: просить  главноуполномоченного  по  снабжению  металлами  сообщить  о  количестве металла, могущего быть отпущенным для исполнения означенного  заказа. </w:t>
      </w:r>
    </w:p>
    <w:p w14:paraId="16FEB6F7"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3) Одобрить предположения главного военно-технического управления о новой организации дела ремонта автомобилей названного управления  и  о  выдаче  авансов  акционерным  обществам:  «Русский  Рено»  в  Рыбинске,  «Матиас»  в  Бердянске,  «Аксай»  в  Нахичевани-на-Дону  и  «Борман, Шведе и Ко» в Александровске – по намечаемым с этими фирмами договорам на ремонт автомобилей на основаниях, изложенных в докладе упомянутого управления от 6 сентября сего года за № 157075/1052,  и с тем: 1) чтобы расценки формулы ремонта были установлены как предельные, с подчинением всех расчетов фактической проверке и 2) чтобы  выдача аванса обществу «Русский Рено» в Рыбинске была произведена  лишь по окончании обследования, производящегося ныне по отношению  к сему обществу Московским заводским совещанием. </w:t>
      </w:r>
    </w:p>
    <w:p w14:paraId="44BDD415"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4) По ходатайству председателя Петроградского заводского совещания  об  отпуске  денежных  средств  названному  заводскому  совещанию  для  уплаты  в  экстренных  случаях  рабочим  и  служащим  предприятий,  работающих  на  оборону:  установить,  как  временное  правило,  чтобы  авансы, разрешаемые к отпуску Председателем Особого Совещания по  обороне государства предприятиям, находящимся в районе Петроградского и Московского заводских совещаний, по заказам довольствующих  ведомств, отпускались через упомянутые заводские совещания. </w:t>
      </w:r>
    </w:p>
    <w:p w14:paraId="417E05DE"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5)  Освободить  поставщика  И.  Г.  Шпица  от  выполнения  части  контракта  по  поставке  поясных  и  шинельных  ремней,  на  основаниях,  изложенных в докладе главного интендантского управления от 11  ноября  сего года за № 85173. </w:t>
      </w:r>
    </w:p>
    <w:p w14:paraId="1AB3E021"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6) По вопросу об установлении текучих цен при заключении контрактов на первую половину 1918 года по заказам управления военного воздушного флота и об изменении условий заказов акционерному обществу </w:t>
      </w:r>
      <w:r w:rsidRPr="002F2FDF">
        <w:rPr>
          <w:rFonts w:ascii="Times New Roman" w:hAnsi="Times New Roman" w:cs="Times New Roman"/>
          <w:color w:val="000000" w:themeColor="text1"/>
          <w:sz w:val="16"/>
          <w:szCs w:val="16"/>
          <w:highlight w:val="yellow"/>
        </w:rPr>
        <w:t>«Дукс»</w:t>
      </w:r>
      <w:r w:rsidRPr="002F2FDF">
        <w:rPr>
          <w:rFonts w:ascii="Times New Roman" w:hAnsi="Times New Roman" w:cs="Times New Roman"/>
          <w:color w:val="000000" w:themeColor="text1"/>
          <w:sz w:val="16"/>
          <w:szCs w:val="16"/>
        </w:rPr>
        <w:t xml:space="preserve">: </w:t>
      </w:r>
    </w:p>
    <w:p w14:paraId="01AA1A99"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заключать контракты по твердым ценам момента, проверенным заводскими совещаниями, как это утверждается согласно докладу Увофлота от 8.IX. с. г. за № 9801 по отношению к заводу «Дукс»; </w:t>
      </w:r>
    </w:p>
    <w:p w14:paraId="75CB136E"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предоставить  как  управлению  военного  воздушного  флота,  так  и  контрагентам каждые 4 месяца просить проверки цен через посредство  комиссии в составе, предполагаемом Увофлотом, причем сводку цен этим  комиссиям составлять в форме, принятой контрактными комиссиями; </w:t>
      </w:r>
    </w:p>
    <w:p w14:paraId="0AB5577B"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заключения местных комиссий для окончательной проверки представлять в контрактную комиссию при Увофлоте. </w:t>
      </w:r>
    </w:p>
    <w:p w14:paraId="69E9B3B7"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7) По возбужденному начальником главного артиллерийского управления вопросу об установлении размера авансов, выдаваемых заводам в  счет приплаты к контрактным ценам за снаряды, взрыватели и трубки:  одобрить предположения по сему вопросу начальника названного управления, изложенные в отношении от 9 ноября 1917 года за №  179274. </w:t>
      </w:r>
    </w:p>
    <w:p w14:paraId="45A06FDD"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8) По ходатайству Товарища Министра Торговли и Промышленности  об  отпуске  горному  департаменту  дополнительных  средств  на  выполнение  казенными  горными  заводами  нарядов  военного  ведомства:  </w:t>
      </w:r>
    </w:p>
    <w:p w14:paraId="36F038D8"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отпустить  названному  департаменту  дополнительный  кредит  в  размере  тридцати  восьми  миллионов  двухсот  сорока  двух  тысяч  девяноста  одного (38 242 091) рубля 20 коп., на основаниях, изложенных в докладе  главного артиллерийского управления в исполнительную комиссию от  24 октября сего года за №  173810. </w:t>
      </w:r>
    </w:p>
    <w:p w14:paraId="38C17BDA"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9) По ходатайству управления казенными горными заводами о заказе казенно-горным заводам тяжелых снарядов: до выяснения программы  заготовления  снарядов  предоставить  Златоустовскому,  Гороблагодатскому и Пермскому заводам горного ведомства наряды на изготовление  лишь тех из названных снарядов, производство коих в настоящее время  по  прежним  нарядам  заканчивается,  в  количествах,  соответствующих  трехмесячной  производительности,  в  соответствии  с  чем  и  могут  быть  отпущены горному ведомству необходимые кредиты. </w:t>
      </w:r>
    </w:p>
    <w:p w14:paraId="71B93BAD"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10)  Одобрить  данный  главным  артиллерийским  управлением  заказ  заводам Вестингауз на изготовление 1 800  000 штук 3-лин. винтовок, на  основаниях, установленных в докладе названного управления в исполнительную комиссию от 7 ноября сего года за №  178827. </w:t>
      </w:r>
    </w:p>
    <w:p w14:paraId="6A3341BF"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11)  Разрешить  главному  артиллерийскому  управлению  дать  наряд  Обуховскому заводу на переделку 148  000 шт.  3» гранат французского  образца, с выдачей 30 % аванса без обеспечения на условиях, изложенных  в  докладе  названного  управления  в  исполнительную  комиссию  от  6 ноября сего года за №  178727. </w:t>
      </w:r>
    </w:p>
    <w:p w14:paraId="4B6E3DCA"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12) Одобрить предположение главного артиллерийского управления  о  приобретении  наличной  покупкой  от  завода  «Кубаноль»  1304  штук  металлических ступиц к колесам, на основаниях, изложенных в докладе упомянутого управления в исполнительную комиссию от 18  октября  1917 года за №  171242. </w:t>
      </w:r>
    </w:p>
    <w:p w14:paraId="5F453C75"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13)  По  ходатайству  правления  общества  «Всеобщая  электрическая  компания»  о  выдаче  ему  ссуды  по  заказу  главным  артиллерийским  управлением дистанционных трубок: в соответствии с выяснившейся в комиссии  по  пересмотру  контрактных  цен  генерала  Ростовщикова  для  завода  общества  «Промет»  стоимостью  дистанционной  трубки,  разрешить  акционерному  обществу  «Всеобщая  электрическая  компания»,  в  счет повышения себестоимости одного миллиона дистанционных 22-сек. трубок по контракту за № 22 1915 года, беспроцентную ссуду в сумме шести миллионов (6 000 000) руб лей, на основании п. Б ст. 2 утвержденного  11  сентября сего года постановления Председательствующего в Особом  Совещании по обороне государства. </w:t>
      </w:r>
    </w:p>
    <w:p w14:paraId="7E2D38AE"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14) По вопросу о взыскании с общества завода «Стелла» В.  Питцкена и Ко процентов интереса по выданной сему обществу из казны ссуде:  признать, что возникший по настоящему вопросу спор может быть разрешен лишь в судебном порядке. </w:t>
      </w:r>
    </w:p>
    <w:p w14:paraId="27E465CC"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15) Отклонить ходатайство владельца словолитни фабрики медных  линеек в Петрограде Л.  Геллера о выдаче ему ссуды на эвакуацию этой  словолитни в Харьков. </w:t>
      </w:r>
    </w:p>
    <w:p w14:paraId="0021FCE2"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16)  Учредить  особую  районную  эвакуационную  подкомиссию  для  обследования некоторых местностей Петроградской и Новгородской губерний, под председательством старшего фабричного инспектора Петроградской  губернии,  установив  вознаграждение  председателю  и  членам  подкомиссии согласно существующим нормам. </w:t>
      </w:r>
    </w:p>
    <w:p w14:paraId="32EF1F4D"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17) По вопросу об отношении Московского заводского совещания к  товариществу Русско-Французских заводов под фирмой «Проводник»;  ввиду новых данных, сообщенных по настоящему делу представителем  Московского заводского совещания, направить весь вопрос на заключение названного заводского совещания. </w:t>
      </w:r>
    </w:p>
    <w:p w14:paraId="1A90A578"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18)  По  возбужденному  начальником  штаба  Московского  военного  округа вопросу о порядке выдачи вознаграждения за реквизированные  в  войсковых  районах  Северо-западного  фронта  части  заводского  оборудования и находящиеся в распоряжении названного штаба: сообщить  начальнику штаба, что все дела по реквизициям, произведенным в войсковых районах Северо-западного фронта, подлежат передаче для дальнейшего  производства  соответствующим  ликвидационным  комиссиям,  учрежденным по закону 6-го октября 1916 года, и что все производства  по реквизициям, последовавшим по постановлению Председателя Особого Совещания по обороне государства, независимо от того, чьим распоряжением они производились, должны быть переданы для дальнейшего  производства  реквизиционно-оценочным  комиссиям,  учрежденным  на основании закона 25 октября 1916 года. </w:t>
      </w:r>
    </w:p>
    <w:p w14:paraId="3A289BF3"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19)  Реквизировать  и  передать  по  реквизиционной  цене  заводскому  совещанию Екатеринославского района подлежащие продаже с аукционного торга невостребованные грузы, хранящиеся в центральном складе  Екатерининской железной дороги, перечисленные в сношении управления названной дороги от 18  </w:t>
      </w:r>
      <w:r w:rsidRPr="002F2FDF">
        <w:rPr>
          <w:rFonts w:ascii="Times New Roman" w:hAnsi="Times New Roman" w:cs="Times New Roman"/>
          <w:color w:val="000000" w:themeColor="text1"/>
          <w:sz w:val="16"/>
          <w:szCs w:val="16"/>
        </w:rPr>
        <w:lastRenderedPageBreak/>
        <w:t xml:space="preserve">октября сего года за №  31760, с тем чтобы  заводское  совещание  удовлетворяло  по  мере  возможности  ходатайство  железной дороги о передаче в ее пользование указанных грузов. </w:t>
      </w:r>
    </w:p>
    <w:p w14:paraId="42F38B53"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20)  Реквизировать  и  передать  по  реквизиционной  цене  главному  уполномоченному  по  снабжению  металлами  21  вагон  металла,  арестованного на ст. Москва-товарная Московско-Казанской железной дороги, выгруженного, но невостребованного. </w:t>
      </w:r>
    </w:p>
    <w:p w14:paraId="1434C506"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21)  Утвердить  реквизицию  эвакуированных  четырех  вентилей  для  водопровода  на  ст.  Нежин,  произведенную  распоряжением  председателя  заводского  совещания  Киевского  района  для  Московско-Киево-Воронежской железной дороги. </w:t>
      </w:r>
    </w:p>
    <w:p w14:paraId="477730CD"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22)  Реквизировать  для  управления  железных  дорог  хранящиеся  в числе эвакуированных грузов на ст. Дно Московско-Виндаво-Рыбинской  железной дороги 3668 пудов 27 фунтов сортового железа, 26 пудов 7 фунтов стали, 750 пудов вагонных свечей и 762 пуда керосина, уведомив о  реквизиции указанных металлов управление главноуполномоченного по снабжению металлами. </w:t>
      </w:r>
    </w:p>
    <w:p w14:paraId="4297F619"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23) По вопросу о пересмотре состоявшегося постановления Председательствующего в Особом Совещании по обороне государства о реквизиции 3 000 пудов рессорной стали, принадлежащей конторе С.  Г.  Плятского: довести  до  сведения  прокурорского  надзора  о  незакономерных  действиях С. Г. Плятского. </w:t>
      </w:r>
    </w:p>
    <w:p w14:paraId="5AC8FDD0"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24) Реквизировать в Ярославле для управления Северных железных  дорог 1250 пудов сортового железа, принадлежащего фирме наследников  Пастухова. </w:t>
      </w:r>
    </w:p>
    <w:p w14:paraId="6BBE0182"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25)  Отклонить  ходатайство  акционерного  общества  для  внешней  и  внутренней  торговли  «Меркурий»  об  освобождении  от  реквизиции  433 слитков олова весом в 20 тонн, прибывшего на пароходе «Татегами-Мару», указав обществу на возможность получения упомянутого металла по наряду управления главного уполномоченного по снабжению металлами по действительной потребности. </w:t>
      </w:r>
    </w:p>
    <w:p w14:paraId="734CB61C"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26)  Реквизировать  и  передать  по  реквизиционной  цене  заводскому  </w:t>
      </w:r>
    </w:p>
    <w:p w14:paraId="60F340F0"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совещанию Киевского района 81 000 штук подков, принадлежащих заводу Бургардт в Елисаветграде. </w:t>
      </w:r>
    </w:p>
    <w:p w14:paraId="6F0F1F43"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27) Реквизировать и передать по реквизиционным ценам Петроградскому земско-городскому областному комитету по снабжению армии два  грузовых автомобиля, принадлежащих Усть-Славянскому химическому  заводу управления Верховного начальника санитарной и эвакуационной  части. </w:t>
      </w:r>
    </w:p>
    <w:p w14:paraId="322F32A5"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28)  Отклонить  ходатайство  графа  Стакельберга  об  освобождении  75 000 шт. кирпича и об увеличении реквизиционной цены на указанный  строительный материал. </w:t>
      </w:r>
    </w:p>
    <w:p w14:paraId="57B6AD98"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 председателя Особого Совещания </w:t>
      </w:r>
    </w:p>
    <w:p w14:paraId="162E8F44"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генерал от артиллерии Маниковский. </w:t>
      </w:r>
    </w:p>
    <w:p w14:paraId="133ADE86"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 Управляющего делами Особого Совещания </w:t>
      </w:r>
    </w:p>
    <w:p w14:paraId="547784B5"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действительный статский советник Кнорринг. </w:t>
      </w:r>
    </w:p>
    <w:p w14:paraId="082AFF48"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 203. Л. 247–251. Подлинник (20713). </w:t>
      </w:r>
    </w:p>
    <w:p w14:paraId="7490135E" w14:textId="77777777" w:rsidR="00706E2E" w:rsidRPr="002F2FDF" w:rsidRDefault="00706E2E" w:rsidP="0083075A">
      <w:pPr>
        <w:spacing w:after="0" w:line="240" w:lineRule="auto"/>
        <w:jc w:val="both"/>
        <w:rPr>
          <w:rFonts w:ascii="Times New Roman" w:hAnsi="Times New Roman" w:cs="Times New Roman"/>
          <w:color w:val="000000" w:themeColor="text1"/>
          <w:sz w:val="16"/>
          <w:szCs w:val="16"/>
        </w:rPr>
      </w:pPr>
    </w:p>
    <w:p w14:paraId="721BB08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B5045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F66B7D"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18 ноября (1 декабря) 1917 г.</w:t>
      </w:r>
    </w:p>
    <w:p w14:paraId="00868EEE"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Журнал № 205/4 Особой комиссии, образованной из представителей Министерства Финансов, подготовительных комиссий и управления делами Особого Совещания для обсуждения и Объединения мероприятий по обороне государства 18 ноября 1917 г. № 4 </w:t>
      </w:r>
    </w:p>
    <w:p w14:paraId="4525DEE2"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Присутствовали: Н. А. Бабиков, А. И. Ефимович, Д. В. Филатьев, С. М. Чаплин, Л. В. Вальтер, А. А. Саткевич, И. С. Каннегисер, А. Ф. Бринк, В. А. Семковский, Н. Н. Изнар, К. Н. Клопотов, М. С. Маргулиес, П. Н. Литвинов, П. Н. Минут, Н. Г. Ясинский, С. А. Архангельский, А. В. Исаков, П. Е. Гуляев, С. И. Качалов, Л. И. Марков. </w:t>
      </w:r>
    </w:p>
    <w:p w14:paraId="58E45433"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Особая Комиссия, обсудив представленные на ее рассмотрение дела, вынесла следующия постановления: </w:t>
      </w:r>
    </w:p>
    <w:p w14:paraId="4A7F1480"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По вопросу об увеличении состава лиц, ведающих делопроизводством образованной при морском министерстве портовой комиссии по пересмотру контрактов, заключенных портами, и разделении ее на две секции в связи с характером рассматриваемых ею дел: </w:t>
      </w:r>
    </w:p>
    <w:p w14:paraId="08424287"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пополнить состав означенной комиссии второй должностью заместителя председателя; </w:t>
      </w:r>
    </w:p>
    <w:p w14:paraId="70FEE837"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усилить состав делопроизводства этой комиссии образованием по одной новой должности делопроизводителя, старшего техника и старшего бухгалтера; </w:t>
      </w:r>
    </w:p>
    <w:p w14:paraId="7E1F8881"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установить разделение означенной комиссии на две секции: строительную и механическую. </w:t>
      </w:r>
    </w:p>
    <w:p w14:paraId="1AC4A6E4"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Одобрить разработанные комиссией И. С. Каннегисера временные правила уплаты по заказам военного и морского ведомства, с принятыми в заседании изменениями. </w:t>
      </w:r>
    </w:p>
    <w:p w14:paraId="05432D35"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3) Выдать Товариществу Петроградского вагоностроительного завода краткосрочную беспроцентную ссуду в размере шестисот тысяч (600 000) рублей, с тем чтобы означенная ссуда после увеличения стоимости заказов главного военно-технического управления на предметы инженерного имущества была обращена в аванс. 4) Выдать особому правлению по делам акционерного общества «Сименс — Шуккерт» беспроцентную краткосрочную ссуду в размере одного миллиона семисот тринадцати тысяч восьмисот (1 713 800) рублей, исходя из расчета 20 % надбавки в счет увеличения цены по заказу главного артиллерийского управления на изготовление 820 000 штук взрывателей 3 ГТ по контракту 1915 г. за № 20420, независимо от ранее выданной ссуды в 1 000 000 рублей с погашением обеих ссуд за счет аванса, который будет определен при расчете на основании заключения комиссии генерал-майора Ростовщикова об установлении новых цен. В случае если упомянутые суммы превысят полностью указанный аванс, то остаток их должен быть обращен в процентную ссуду сроком на пять лет из 7 % годовых со дня выдач. </w:t>
      </w:r>
    </w:p>
    <w:p w14:paraId="7D29FC74"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5) По ходатайству Обуховского сталелитейного завода о выдаче ему дополнительного аванса по нарядам на 3» и 48-лин. шрапнели: </w:t>
      </w:r>
    </w:p>
    <w:p w14:paraId="4EC6E2CE"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разрешить названному заводу выдачу дополнительных авансов до 100 % по заказам на 480 000 штук 3» шрапнелей и на 120 000 штук 48-лин. бомб, исчисляя эти авансы от стоимости тех количеств названных не поставленных еще снарядов, какие завод может сдать к 1 июля 1918 года при производительности по 20 000 штук 3» шрапнелей и 5 000 штук 48-лин. бомб в месяц; </w:t>
      </w:r>
    </w:p>
    <w:p w14:paraId="3EF7CBA2"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заказ на 600 000 штук 3» шрапнелей отменить. </w:t>
      </w:r>
    </w:p>
    <w:p w14:paraId="434BD4AD"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6) По ходатайству Обуховского сталелитейного завода о выдаче ему, по заказу на изготовление 200 штук 48-лин. гаубиц, дополнительного аванса: </w:t>
      </w:r>
    </w:p>
    <w:p w14:paraId="4F2ACDFC"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разрешить названному заводу дополнительный до 100 % аванс без обеспечения, исчисляя сей аванс от стоимости всего 50 гаубиц по вышеупомянутому заказу; </w:t>
      </w:r>
    </w:p>
    <w:p w14:paraId="382D0DEB"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предложить главному артиллерийскому управлению произвести подробный расчет по всем заказам Обуховского завода; </w:t>
      </w:r>
    </w:p>
    <w:p w14:paraId="337BD440"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просить морское ведомство представить данные по поводу чрезмерного повышения цен на приготовляемые на упомянутом заводе предметы. </w:t>
      </w:r>
    </w:p>
    <w:p w14:paraId="308A79F6"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7) По ходатайству Русского акционерного общества соединенных механических заводов об отпуске ему дополнительного аванса, по заказам главного управления кораблестроения: </w:t>
      </w:r>
    </w:p>
    <w:p w14:paraId="4B759C9F"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разрешить названному обществу дополнительный аванс без обеспечения в размере до 90 % стоимости поставок по заказам главного управления кораблестроения от 30 марта 1916 года 376 штук мин Уатхеда, от 19 сентября 1916 года 25 310 штук 4» снарядов и от 12 октября 1916 года 18 000 штук ударных приборов и стаканов, исчисляя сей аванс от стоимости того количества названных не сданных еще предметов, какое завод по своей фактической производительности может изготовить к 1 июля 1918 года; </w:t>
      </w:r>
    </w:p>
    <w:p w14:paraId="7A0659D3"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означенный аванс расходовать под наблюдением Петроградского заводского совещания. </w:t>
      </w:r>
    </w:p>
    <w:p w14:paraId="60B0DA3A"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8) По возбужденному главным артиллерийским управлением от 14 ноября сего года за № 181133 вопросу о заказе инженеру Головину патронных коробок для укладки пулеметных лент: предоставить инженеру Головину заказ на 50 000 штук патронных коробок для укладки пулеметных лент с выдачей 30 % аванса, в два срока, на основаниях, изложенных в докладе главного артиллерийского управления от 14 ноября сего года за № 181133 в исполнительную комиссию. </w:t>
      </w:r>
    </w:p>
    <w:p w14:paraId="7BB0D688"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9) Выдать правлению общества Железоделательных, сталелитейных и механических заводов «Сормово», по исполненным контрактам №№ 123 и 159 1915 года и № 56 1916 года, три миллиона сто двадцать три тысячи сто семьдесят девять (3 123 179) руб лей, не обращая означенной суммы в погашение ранее выданных правлению ссуд. </w:t>
      </w:r>
    </w:p>
    <w:p w14:paraId="4A231C16"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10) По ходатайству фабрики металлических изделий марки «Националь» о разрешении продолжать порученный названной фабрике заказ на сигнальные ракеты в Петрограде, невзирая на предполагаемую эвакуацию сего завода: поручить Петроградскому заводскому совещанию выяснить настоящий вопрос в связи с фактической возможностью выполнения означенного заказа. </w:t>
      </w:r>
    </w:p>
    <w:p w14:paraId="3FF95B6C"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11) По вопросу о положении дел на заводах «Респиратор» и «Противогаз»: </w:t>
      </w:r>
    </w:p>
    <w:p w14:paraId="5C35197F"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в изменение постановления Председателя Особого Совещания по журналу от 11 октября сего года за № 201, передать упомянутые заводы со всем инвентарем из ведения комитета военно-технической помощи во временное заведывание Петроградского заводского совещания; </w:t>
      </w:r>
    </w:p>
    <w:p w14:paraId="7C20001D"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признать подлежащими передаче Петроградскому заводскому совещанию права и обязанности комитета военно-технической помощи по имеющимся у означенных заводов заказам и контрактам. </w:t>
      </w:r>
    </w:p>
    <w:p w14:paraId="72B156B6"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12) Отпустить из военного фонда в распоряжение главного управления генерального штаба по комиссии генерал-лейтенанта Маркова по приведению армии в мирное положение в качестве оборотных средств три миллиона (3 000 000) рублей на расходы центрального военно-промышленного комитета и связанные с возложенными на этот комитет обязанностями по сохранению и использованию казенного и общественных организаций имущества, которое ныне, а равно и при демобилизации армии, окажется не годным и не нужным для военного ведомства или иных правительственных установлений. </w:t>
      </w:r>
    </w:p>
    <w:p w14:paraId="18587FD4"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13) По вопросу о реквизиции 600 пудов кровельного железа, хранящегося на Александровском проволочном заводе и принадлежащего И. Ю. Лефас: </w:t>
      </w:r>
    </w:p>
    <w:p w14:paraId="162C974C"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реквизировать означенное железо для Екатеринославского заводского совещания; </w:t>
      </w:r>
    </w:p>
    <w:p w14:paraId="47B509B0"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б) Указать председателю заводского совещания Екатеринославского района на неправильное толкование им примечания к п. б ст. II положения о районных заводских совещаниях. </w:t>
      </w:r>
    </w:p>
    <w:p w14:paraId="07417EEE"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14) Отклонить ходатайство уполномоченного военного ведомства на заводе «С. Н. Николаев» в Гельсингфорсе подполковника Кальнина о реквизиции для названного завода 6 вагонов листового железа, принадлежащего акционерному обществу Пуутеолисус в Або. </w:t>
      </w:r>
    </w:p>
    <w:p w14:paraId="76AF29B4"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15) По ходатайству правления акционерного общества Московской маслобойни об освобождении от реквизиции 4 вагонов сурепного семени, реквизируемых на ст. Азов, или о поставке обществу взамен реквизированного такого же количества семени: </w:t>
      </w:r>
    </w:p>
    <w:p w14:paraId="38DFD5E7"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отклонить означенное ходатайство; </w:t>
      </w:r>
    </w:p>
    <w:p w14:paraId="7E1DCDF7"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указать председателю заводского совещания Ростовского-на-Дону района на то, что председатели заводских районных совещаний могут осуществлять право самостоятельных реквизиций лишь в особо исключительных экстренных случаях. </w:t>
      </w:r>
    </w:p>
    <w:p w14:paraId="58736EC5"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16) Передать Московскому артиллерийскому складу реквизированные на ст. Каменская 3 ящика патронных охотничьих гильз. </w:t>
      </w:r>
    </w:p>
    <w:p w14:paraId="5F6D6716"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17) Разрешить городскому голове г. Брянска занять принудительно, на время войны, в порядке п. 81 ст. 10 Положения об Особом Совещании по обороне государства, дом Чернова в Брянске по Московской ул. для помещения районной биржи труда, с тем условием, чтобы последнее учреждение по вопросу об очищении жильцов 2-го этажа вошло бы с сими жильцами в добровольное соглашение. </w:t>
      </w:r>
    </w:p>
    <w:p w14:paraId="0318A9F0"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18) Реквизировать для управления Либаво-Роменской железной дороги хранящиеся на ст. Камка один бездокументный ящик с зубоврачебными инструментами и на ст. Ромны невостребованный ящик с вазелином, весом в I пуд. 10 фун., числящийся по отправке Москва, гор. Ромны, № 380580. </w:t>
      </w:r>
    </w:p>
    <w:p w14:paraId="643C01BA"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19) По вопросу об использовании для нужд обороны лесопильного и стружечного завода принца Мекленбург-Стрелицкого и принцессы Альтенбургской: признать, что впредь до определенного выяснения связи предполагаемой деятельности названного завода с обороной государства оснований к наложению секвестра не имеется. </w:t>
      </w:r>
    </w:p>
    <w:p w14:paraId="6D1B167C"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20) Отменить постановление Председателя Особого Совещания по обороне государства от 13 мая 1916 г. о наложении ареста на крестовую жесть в количестве 1700 пудов, принадлежащую заводу товарищества «И. Латышев, Н. Ковалев и Ко» в гор. Вязьме. </w:t>
      </w:r>
    </w:p>
    <w:p w14:paraId="433A82B1"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21) Предложить штабу Одесского военного округа выполнить в точности постановление Председательствующего в Особом Совещании по обороне государства в отношении принудительного занятия для Херсонской губернской продовольственной комиссии помещения в гор. Одессе по Малому пер., д. № 8, занимаемого корсетной мастерской «Ренессанс».</w:t>
      </w:r>
    </w:p>
    <w:p w14:paraId="36B48CA7"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22) Одобрить доклад главного военно-технического управления от 25 октября/5 ноября с. г. за № 6188 в исполнительную комиссию, по вопросу о выдаче аванса без обеспечения акционерному обществу Михайловский и Ко, фабрике М. Шредер и казенному Петроградскому электротехническому заводу военно-инженерного ведомства по заказам, означенным управлением, ручных сирен. </w:t>
      </w:r>
    </w:p>
    <w:p w14:paraId="4784C007"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23) Освободить от представления залога и обеспечения неустойки завода И. И. Оловянишникова близ Ярославля по заказу главным военно-техническим управлением пробной партии шашек дымовой завесы в случае отсутствия возражений со стороны Усть-Ижорского завода в отношении условий этого заказа. </w:t>
      </w:r>
    </w:p>
    <w:p w14:paraId="4AC7B2D2"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24) Отпустить центральной научно-технической лаборатории восемнадцать тысяч триста (18 300) руб лей в дополнение к ранее ассигнованным 4 000 рублям на продолжение работ по исследованию материалов и способов краско-маскировки. </w:t>
      </w:r>
    </w:p>
    <w:p w14:paraId="6A23F9CE"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25) Выдать главному по снабжению армии комитету Всероссийских земского и городского союзов, по заказам ему главным военно-техническим управлением мастерского инструмента, аванс в размере 75 %, в сумме четырехсот восьмидесяти девяти тысяч шестисот восьми (489 608) руб лей 25 коп., на основаниях, изложенных в докладе названного управления от 11 ноября с. г. за № 4135 в исполнительную комиссию. </w:t>
      </w:r>
    </w:p>
    <w:p w14:paraId="013333AC"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26) По ходатайству акционерного общества «Двигатель» о назначении ему ссуды на восстановление эвакуируемого из г. Ревеля завода в село Истье Рязанской губернии: поручить местному заводскому совещанию выяснить, какие работы, по восстановлении завода, могут быть на нем выполнены, в случае ассигнования названному обществу ссуды в размере лишь двух миллионов (2 000 000) руб лей. </w:t>
      </w:r>
    </w:p>
    <w:p w14:paraId="24520D2D"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27) По ходатайству Киевского политехнического института об отпуске ему безвозвратного пособия в сумме ста пятидесяти восьми тысяч (158 000) рублей для выдачи рабочим мастерских означенного института заработной платы с 1 мая по повышенной расценке: передать означенное ходатайство в контрактную комиссию для дальнейшего его рассмотрения. </w:t>
      </w:r>
    </w:p>
    <w:p w14:paraId="7AD039F5"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28) Выдать владельцу Крымского аэропланного завода В. Ф. Адаменко, по контракту с ним от 25 ноября 1916 г. за № 39849/17333, на поставку 25 аэропланов Фарман XVI дополнительный аванс без обеспечения, до 50 % стоимости несданного имущества, на основаниях, изложенных в представлении начальника управления военного воздушного флота от 15 ноября 1917 года за № 9978/3321. </w:t>
      </w:r>
    </w:p>
    <w:p w14:paraId="214C63B4"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29) По вопросу о положении дел в Ревдинском горном округе, ввиду невозможности осуществления распоряжения министерства торговли и промышленности об образовании правительственного правления секвестрованного Ревдинского горного округа: назначить временное правление в следующем составе: правительственного комиссара инженера С. А. Архангельского, Ф. Ф. Эйхе и одного члена местного заводского совещания с последующим утверждением его Председателем Особого Совещания. Изложенные постановления были утверждены того же 18 ноября за председателя Особого Совещания по обороне государства генералом-отартиллерии Маниковским. </w:t>
      </w:r>
    </w:p>
    <w:p w14:paraId="0A99BDA5"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Управляющий делами Особого Совещания Генерал-лейтенант Бабиков, С. Чаплин, Л. Вальмер, А. Бринк, В. Семковский, А. Исаков, П. Гуляев, Н. Ясинский, К. Клопотов, С. Архангельский, С. Качалов, Л. Марков (20455). </w:t>
      </w:r>
    </w:p>
    <w:p w14:paraId="470D20D5" w14:textId="77777777" w:rsidR="00E41759" w:rsidRPr="002F2FDF" w:rsidRDefault="00E41759" w:rsidP="0083075A">
      <w:pPr>
        <w:spacing w:after="0" w:line="240" w:lineRule="auto"/>
        <w:jc w:val="both"/>
        <w:rPr>
          <w:rFonts w:ascii="Times New Roman" w:hAnsi="Times New Roman" w:cs="Times New Roman"/>
          <w:color w:val="000000" w:themeColor="text1"/>
          <w:sz w:val="16"/>
          <w:szCs w:val="16"/>
        </w:rPr>
      </w:pPr>
    </w:p>
    <w:p w14:paraId="417D54D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ноября (1 декабря) 1917 ГВТУ составило новый проект договора на бронирование 60 шасси Остин на Путиловском заводе (9527,287).</w:t>
      </w:r>
    </w:p>
    <w:p w14:paraId="002C4C2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71D5F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02A83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06AFFC"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18 ноября (1 декабря) 1917 Ширинкин с близкой дистанции расстрелял двухместный разведчик «Альбатрос» юго-восточнее Гусятина. Пилот и летнаб были убиты в воздухе, неуправляемый аппарат рухнул на землю возле деревни Яромирка. На следующий день в районе Броды немецкий аэроплан сбили летчики 2-го истребительного отряда 11-й армии штабс-капитан Б.В. Сергиевский, прапорщик Ф.А. Ингаунис и прапорщик М.А. Снегирев, в будущем оказавшиеся «по разные стороны баррикад» (18562).</w:t>
      </w:r>
    </w:p>
    <w:p w14:paraId="1D9A53FB"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p>
    <w:p w14:paraId="44947A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ноября (1 декабря) 1917 форсирования немцами Двины юго-восточнее Риги было бы невозможной без помощи авиации. И здесь, как это делалось на западе, самолеты ударными группами вмешивались в наземный бой, подавляли батареи, вели наблюдение за отступлением неприятеля, поддерживали связь с пехотой и рассеивали неприятельские колонны. В нападении на остров Эзель участвовали главным образом морские летчики гидростанций Балтийского моря. Они оказали ценные услуги при подготовке и проведении этой операции. Уникальным в военной истории является захват острова Руно гидросамолетами с последующим уничтожением располагавшейся на нем радиостанции. После этих операций крупных военных действий на восточном фронте не велось. Авиачасти занялись подготовкой к переброске на западный театр военных действий (11282).</w:t>
      </w:r>
    </w:p>
    <w:p w14:paraId="0F211B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2F55DA" w14:textId="77777777" w:rsidR="007A4234" w:rsidRPr="002F2FDF" w:rsidRDefault="007A4234" w:rsidP="0083075A">
      <w:pPr>
        <w:pStyle w:val="ae"/>
        <w:spacing w:before="0" w:after="0"/>
        <w:jc w:val="both"/>
        <w:rPr>
          <w:color w:val="000000" w:themeColor="text1"/>
          <w:kern w:val="2"/>
          <w:sz w:val="16"/>
          <w:szCs w:val="16"/>
        </w:rPr>
      </w:pPr>
      <w:r w:rsidRPr="002F2FDF">
        <w:rPr>
          <w:color w:val="000000" w:themeColor="text1"/>
          <w:kern w:val="2"/>
          <w:sz w:val="16"/>
          <w:szCs w:val="16"/>
        </w:rPr>
        <w:t>18 ноября (1 декабря) 1917 выступившие ранее из Петрограда части Красной гвардии подошли к Ставке Верховного главнокомандующего в Могилеве. Исполнявший обязанности главнокомандующего генерал Николай Духонин принял решение остаться, поскольку имел приказ сдать дела новому большевистскому главнокомандующему, которым был назначен прапорщик Крыленко. При этом Духонин приказал сохранившим ему верность солдатам из ударных частей покинуть Могилев и пробиваться на Дон, где началось формирование антибольшевистского «белого» движения. Также Духонин освободил из находившейся неподалеку тюрьмы генерала Лавра Корнилова и его сподвижников, находившихся там под арестом после неудачного антибольшевистского выступления в августе-сентябре 1917 года. Вместе с войсками Корнилов также отправился на Дон. Узнав об этом, могилевский гарнизон поднял восстание и арестовал Духонина (17045).</w:t>
      </w:r>
    </w:p>
    <w:p w14:paraId="26FD40CC" w14:textId="77777777" w:rsidR="007A4234" w:rsidRPr="002F2FDF" w:rsidRDefault="007A4234"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ACBBAC" w14:textId="260B5BD7" w:rsidR="00952980" w:rsidRPr="00FB4F67" w:rsidRDefault="00952980" w:rsidP="0083075A">
      <w:pPr>
        <w:spacing w:after="0" w:line="240" w:lineRule="auto"/>
        <w:jc w:val="both"/>
        <w:rPr>
          <w:rFonts w:ascii="Times New Roman" w:hAnsi="Times New Roman" w:cs="Times New Roman"/>
          <w:color w:val="0070C0"/>
          <w:sz w:val="16"/>
          <w:szCs w:val="16"/>
        </w:rPr>
      </w:pPr>
      <w:r w:rsidRPr="00952980">
        <w:rPr>
          <w:rFonts w:ascii="Times New Roman" w:hAnsi="Times New Roman" w:cs="Times New Roman"/>
          <w:color w:val="0070C0"/>
          <w:sz w:val="16"/>
          <w:szCs w:val="16"/>
        </w:rPr>
        <w:t xml:space="preserve">18 </w:t>
      </w:r>
      <w:r>
        <w:rPr>
          <w:rFonts w:ascii="Times New Roman" w:hAnsi="Times New Roman" w:cs="Times New Roman"/>
          <w:color w:val="0070C0"/>
          <w:sz w:val="16"/>
          <w:szCs w:val="16"/>
        </w:rPr>
        <w:t>ноября (</w:t>
      </w:r>
      <w:r w:rsidRPr="00FB4F67">
        <w:rPr>
          <w:rFonts w:ascii="Times New Roman" w:hAnsi="Times New Roman" w:cs="Times New Roman"/>
          <w:color w:val="0070C0"/>
          <w:sz w:val="16"/>
          <w:szCs w:val="16"/>
        </w:rPr>
        <w:t>1 декабря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Петрограде для создания Красного воздушного флота были предприняты агрессивные шаги по сбору всех самолетов и техники в районах, контролируемых большевиками. Важнейшей задачей был процесс демобилизации российских вооруженных сил. Он включал выявление всех летчиков и техников, затем проверку их на наличие контрреволюционных идей и привлечение их к выполнению задачи по созданию Красного воздушного флота (23525).</w:t>
      </w:r>
    </w:p>
    <w:p w14:paraId="12A8867C" w14:textId="77777777" w:rsidR="00952980" w:rsidRPr="00FB4F67" w:rsidRDefault="00952980" w:rsidP="0083075A">
      <w:pPr>
        <w:spacing w:after="0" w:line="240" w:lineRule="auto"/>
        <w:jc w:val="both"/>
        <w:rPr>
          <w:rFonts w:ascii="Times New Roman" w:hAnsi="Times New Roman" w:cs="Times New Roman"/>
          <w:color w:val="0070C0"/>
          <w:sz w:val="16"/>
          <w:szCs w:val="16"/>
        </w:rPr>
      </w:pPr>
    </w:p>
    <w:p w14:paraId="5CAB99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18 ноября (1 декабря) 1917 было открытие I Всероссийского съезда военного флота. </w:t>
      </w:r>
    </w:p>
    <w:p w14:paraId="3E21BB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Созван в Петрограде ВМРК с целью вовлечь в борьбу за диктатуру пролетариата массы военных моряков. Подготовка и работа съезда проходили под руководством В. И. Ленина, избранного почетным председателем съезда. На нем присутствовало 190 делегатов, в том числе 116 большевиков. Съезд осудил контрреволюционную деятельность Центрофлота и принял резолюцию: «...вся мощь военного флота будет верно и стойко поддерживать власть Советов рабочих, солдатских и крестьянских депутатов...»</w:t>
      </w:r>
    </w:p>
    <w:p w14:paraId="2F1A8D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22 ноября на съезде выступил В. И. Ленин, давший высокую оценку революционным заслугам военных моряков. </w:t>
      </w:r>
    </w:p>
    <w:p w14:paraId="28A01C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25 ноября для управления ВМФ была создана Верховная морская коллегия (П. Е. Дыбенко, И. И. Вахрамеев, М. В. Иванов, Ф. Ф. Раскольников, В. В. Ковальский). Съезд избрал Морскую секцию ВЦИК (законодательный совет морского ведомства), заменившую Адмпралтейств-совет. Председателем этой секции был избран </w:t>
      </w:r>
      <w:r w:rsidRPr="002F2FDF">
        <w:rPr>
          <w:rFonts w:ascii="Times New Roman" w:hAnsi="Times New Roman" w:cs="Times New Roman"/>
          <w:color w:val="000000" w:themeColor="text1"/>
          <w:kern w:val="2"/>
          <w:sz w:val="16"/>
          <w:szCs w:val="16"/>
        </w:rPr>
        <w:lastRenderedPageBreak/>
        <w:t xml:space="preserve">большевик А. В. Баранов (затем В. Ф. Полухин). По решению съезда руководство флотами (флотилиями) передавалось центральным комитетам флотов (флотилий). Во все управления, учреждения, ведомства, на флоты и флотилии были назначены комиссары, ВМРК был упразднен. </w:t>
      </w:r>
    </w:p>
    <w:p w14:paraId="217822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Съезд способствовал дальнейшему сплочению военных моряков вокруг большевистской партии и Советского правительства, определил программу демократизации ВМФ и меры по ее осуществлению (11712).</w:t>
      </w:r>
    </w:p>
    <w:p w14:paraId="18DD42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479C5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54666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D986F0" w14:textId="5AF8CE93" w:rsidR="00FF33CC" w:rsidRPr="002F2FDF" w:rsidRDefault="00FF33CC"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18 ноября (1 декабря)</w:t>
      </w:r>
      <w:r w:rsidR="00E52569">
        <w:rPr>
          <w:color w:val="000000" w:themeColor="text1"/>
          <w:sz w:val="16"/>
          <w:szCs w:val="16"/>
        </w:rPr>
        <w:t xml:space="preserve"> </w:t>
      </w:r>
      <w:r w:rsidRPr="002F2FDF">
        <w:rPr>
          <w:color w:val="000000" w:themeColor="text1"/>
          <w:sz w:val="16"/>
          <w:szCs w:val="16"/>
        </w:rPr>
        <w:t>1917 В.И.</w:t>
      </w:r>
      <w:r w:rsidR="00E52569">
        <w:rPr>
          <w:color w:val="000000" w:themeColor="text1"/>
          <w:sz w:val="16"/>
          <w:szCs w:val="16"/>
        </w:rPr>
        <w:t xml:space="preserve"> </w:t>
      </w:r>
      <w:r w:rsidRPr="002F2FDF">
        <w:rPr>
          <w:color w:val="000000" w:themeColor="text1"/>
          <w:sz w:val="16"/>
          <w:szCs w:val="16"/>
        </w:rPr>
        <w:t>Ленин телеграфировал в местные Советы: «…</w:t>
      </w:r>
      <w:r w:rsidR="00E52569">
        <w:rPr>
          <w:color w:val="000000" w:themeColor="text1"/>
          <w:sz w:val="16"/>
          <w:szCs w:val="16"/>
        </w:rPr>
        <w:t xml:space="preserve"> </w:t>
      </w:r>
      <w:r w:rsidRPr="002F2FDF">
        <w:rPr>
          <w:rStyle w:val="af0"/>
          <w:i w:val="0"/>
          <w:color w:val="000000" w:themeColor="text1"/>
          <w:sz w:val="16"/>
          <w:szCs w:val="16"/>
        </w:rPr>
        <w:t>права роспуска городских дум и организация выборов в новые органы предоставляется местным Советам</w:t>
      </w:r>
      <w:r w:rsidRPr="002F2FDF">
        <w:rPr>
          <w:color w:val="000000" w:themeColor="text1"/>
          <w:sz w:val="16"/>
          <w:szCs w:val="16"/>
        </w:rPr>
        <w:t>» (18371).</w:t>
      </w:r>
    </w:p>
    <w:p w14:paraId="4C1AA337" w14:textId="77777777" w:rsidR="00FF33CC" w:rsidRPr="002F2FDF" w:rsidRDefault="00FF33CC" w:rsidP="0083075A">
      <w:pPr>
        <w:pStyle w:val="ae"/>
        <w:spacing w:before="0" w:after="0"/>
        <w:jc w:val="both"/>
        <w:rPr>
          <w:color w:val="000000" w:themeColor="text1"/>
          <w:sz w:val="16"/>
          <w:szCs w:val="16"/>
        </w:rPr>
      </w:pPr>
    </w:p>
    <w:p w14:paraId="34F462E7"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18 ноября (1 декабря) 1917. ВРК постановил запретить вывоз из Кремля исторических ценностей и взял их под охрану воинского карауля (18685).</w:t>
      </w:r>
    </w:p>
    <w:p w14:paraId="1E82FD4E"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p>
    <w:p w14:paraId="223C54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18-29 ноября (1-11 декабря) 1917 в Петрограде прошел съезд левых эсеров, образовавших собственную партию (1348,88).</w:t>
      </w:r>
    </w:p>
    <w:p w14:paraId="7F80CC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209D0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ноября (1 декабря) 1917 большевиками закрыт главный орган меньшевиков “Рабочая газета” (4962).</w:t>
      </w:r>
    </w:p>
    <w:p w14:paraId="7D35306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8F640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ноября (1 декабря) 1917 петроградскими чекистами арестован лидер русских черносотенцев, глава подпольного Комитета спасения Родины Владимир Пуришкевич (4962).</w:t>
      </w:r>
    </w:p>
    <w:p w14:paraId="23FCE41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C62855"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18 ноября (1 декабря) </w:t>
      </w:r>
      <w:r w:rsidRPr="002F2FDF">
        <w:rPr>
          <w:rFonts w:ascii="Times New Roman" w:hAnsi="Times New Roman" w:cs="Times New Roman"/>
          <w:color w:val="000000" w:themeColor="text1"/>
          <w:kern w:val="2"/>
          <w:sz w:val="16"/>
          <w:szCs w:val="16"/>
        </w:rPr>
        <w:t>в 1917 году принимается декрет Совнаркома о Санкт-Петербургском телефонном агенстве - Центральном информационном органе при СНК (РОСТА, ТАСС, ИТАР-ТАСС) (14847).</w:t>
      </w:r>
    </w:p>
    <w:p w14:paraId="48061BA5"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p w14:paraId="2D5F6FD2" w14:textId="77777777" w:rsidR="007A4234" w:rsidRPr="002F2FDF" w:rsidRDefault="007A4234" w:rsidP="0083075A">
      <w:pPr>
        <w:pStyle w:val="ae"/>
        <w:spacing w:before="0" w:after="0"/>
        <w:jc w:val="both"/>
        <w:rPr>
          <w:color w:val="000000" w:themeColor="text1"/>
          <w:kern w:val="2"/>
          <w:sz w:val="16"/>
          <w:szCs w:val="16"/>
        </w:rPr>
      </w:pPr>
      <w:r w:rsidRPr="002F2FDF">
        <w:rPr>
          <w:rStyle w:val="ucoz-forum-post"/>
          <w:bCs/>
          <w:color w:val="000000" w:themeColor="text1"/>
          <w:kern w:val="2"/>
          <w:sz w:val="16"/>
          <w:szCs w:val="16"/>
        </w:rPr>
        <w:t xml:space="preserve">18 ноября (1 декабря) </w:t>
      </w:r>
      <w:r w:rsidRPr="002F2FDF">
        <w:rPr>
          <w:color w:val="000000" w:themeColor="text1"/>
          <w:kern w:val="2"/>
          <w:sz w:val="16"/>
          <w:szCs w:val="16"/>
        </w:rPr>
        <w:t>в 1917 году в Забайкалье начался так называемый «мятеж Семенова». Есаул Григорий Семенов изначально был назначен комиссаром Временного правительства и занимался формированием для отправки на фронт добровольческих частей из забайкальских казаков, монголов и бурятов. После большевистского переворота он продолжил формирование отрядов, но уже требовал от добровольцев «отказа от революционности». 1 декабря Семенов обратился к проходившему в Верхнеудинске (ныне столица Бурятии Улан-Удэ) Съезду сельского населения Забайкалья, призвав к «беспощадной борьбе с большевизмом» и попытался захватить власть в городе. Съезд не оказал Семенову поддержки, и тогда есаул отступил на территорию соседнего Китая, заняв приграничный город Манчжурия, где традиционно проживало много русских. Здесь он расстрелял местных «красных» и продолжил формирование антибольшевистских отрядов 917045).</w:t>
      </w:r>
    </w:p>
    <w:p w14:paraId="41518DD3" w14:textId="77777777" w:rsidR="007A4234" w:rsidRPr="002F2FDF" w:rsidRDefault="007A423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BABCE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6ECEC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9B3C9A" w14:textId="77777777" w:rsidR="00920A3D" w:rsidRPr="002F2FDF" w:rsidRDefault="00920A3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18 ноября (1 декабря) 1917 г. Германский генеральный штаб под впечатлением массированной британской танковой атаки под Камбрэ, не дожидаясь результатов доработок, утвердил заказ на постройку 100 гусеничных шасси и присвоил работам категорию срочности 1А. Надо сказать, что поначалу бронировать предполагалось только 10 из них, затем количество собственно танков (забронированных шасси) увеличили до 38, однако позже с учетом того, что A7V не полностью удовлетворял предъявляемым требованиям, заказ на эти танки сократили до 20 единиц. </w:t>
      </w:r>
    </w:p>
    <w:p w14:paraId="5970BE81" w14:textId="77777777" w:rsidR="00920A3D" w:rsidRPr="002F2FDF" w:rsidRDefault="00920A3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Однако сборка и этих 20 машин растянулась до сентября 1918 г. Во многом это было обусловлено тем, что броневые корпуса изготавливались практически вручную, «по месту». Один танк A7V в ценах 1917–1918 гг. тянул на 250 000 германских рейхсмарок, причем львиная часть, 100 000 марок, приходилась именно на бронекорпус. Для сравнения, в Англии только за один месяц успевали построить около 40 танков.</w:t>
      </w:r>
    </w:p>
    <w:p w14:paraId="55493D8B" w14:textId="77777777" w:rsidR="00920A3D" w:rsidRPr="002F2FDF" w:rsidRDefault="00920A3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Остальные из заказанных небронированных шасси использовались в качестве: тракторов-транспортеров (посередине машины устанавливалась рубка с кабиной водителя и двигательным отсеком, а спереди и сзади от нее располагалась вместительная грузовая платформа); артиллерийских тягачей; землеройных машин и экскаваторов.</w:t>
      </w:r>
    </w:p>
    <w:p w14:paraId="75CADFCD" w14:textId="77777777" w:rsidR="00920A3D" w:rsidRPr="002F2FDF" w:rsidRDefault="00920A3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Танк А7V выглядел весьма внушительно. При массе в 30 т его длина составляла 7,3 м, а высота — 3,3 м. Вооружение состояло из одной пушки и шести пулеметов, которые обеспечивали практически круговой обстрел. Экипаж включал 18 человек: командир, водитель, два механика, наводчик, заряжающий, шесть пулеметчиков, шесть помощников пулеметчиков!</w:t>
      </w:r>
    </w:p>
    <w:p w14:paraId="02F8A14E" w14:textId="77777777" w:rsidR="00920A3D" w:rsidRPr="002F2FDF" w:rsidRDefault="00920A3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Танк имел солидное по тем временам бронирование — лоб 30 мм, борта — 20 мм. Напомним, что толщина брони британского Mk V не превышала 14 мм. Общая масса бронекорпуса А7V составляла около 8,5 т. Толщина и качество брони обеспечивали защиту от бронебойных пуль на дальностях от 5 метров и даже от осколочно-фугасных снарядов легкой артиллерии.</w:t>
      </w:r>
    </w:p>
    <w:p w14:paraId="1750DB1F" w14:textId="77777777" w:rsidR="00920A3D" w:rsidRPr="002F2FDF" w:rsidRDefault="00920A3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Можно сказать, что А7V получился этакой «подвижной вооруженной крепостью», приспособленной для круговой обороны и поддержки своим огнем пехоты, в отличие от британских танков, заточенных на прорыв заградительных линий и преодоление окопов противника, или французских танков, рассматривавшихся генералом Этьеном прежде всего как мобильные артиллерийские орудия, предназначенные для подавления вражеских пулеметов и пушек (22831).</w:t>
      </w:r>
    </w:p>
    <w:p w14:paraId="13F2E712" w14:textId="77777777" w:rsidR="00920A3D" w:rsidRPr="002F2FDF" w:rsidRDefault="00920A3D" w:rsidP="0083075A">
      <w:pPr>
        <w:spacing w:after="0" w:line="240" w:lineRule="auto"/>
        <w:jc w:val="both"/>
        <w:rPr>
          <w:rFonts w:ascii="Times New Roman" w:hAnsi="Times New Roman" w:cs="Times New Roman"/>
          <w:color w:val="000000" w:themeColor="text1"/>
          <w:sz w:val="16"/>
          <w:szCs w:val="16"/>
        </w:rPr>
      </w:pPr>
    </w:p>
    <w:p w14:paraId="0A44CE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ноября (1 декабря) 1917 Восточная Африка была полностью освобождена от германских войск (3907,92).</w:t>
      </w:r>
    </w:p>
    <w:p w14:paraId="0CAC81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F59C6F" w14:textId="77777777" w:rsidR="00FF33CC" w:rsidRPr="002F2FDF" w:rsidRDefault="00FF33C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97F28D6" w14:textId="77777777" w:rsidR="00FF33CC" w:rsidRPr="002F2FDF" w:rsidRDefault="00FF33C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4E83C5"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19 ноября (2 декабря) 1917. Экономический Отдел Моссовета принял решение о введении рабочего контроля на всех предприятиях города, решения представителей которого были обязательными для владельцев предприятий. К февралю 1918 года рабочий контроль ввели на 734 предприятий (18685).</w:t>
      </w:r>
    </w:p>
    <w:p w14:paraId="4521D0F1"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p>
    <w:p w14:paraId="3D59861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E7AFB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03A640" w14:textId="74CE093A" w:rsidR="00FF33CC" w:rsidRPr="002F2FDF" w:rsidRDefault="00FF33CC" w:rsidP="0083075A">
      <w:pPr>
        <w:pStyle w:val="p1"/>
        <w:spacing w:before="0" w:beforeAutospacing="0" w:after="0" w:afterAutospacing="0"/>
        <w:jc w:val="both"/>
        <w:rPr>
          <w:color w:val="000000" w:themeColor="text1"/>
          <w:sz w:val="16"/>
          <w:szCs w:val="16"/>
        </w:rPr>
      </w:pPr>
      <w:r w:rsidRPr="002F2FDF">
        <w:rPr>
          <w:color w:val="000000" w:themeColor="text1"/>
          <w:sz w:val="16"/>
          <w:szCs w:val="16"/>
        </w:rPr>
        <w:t>19 ноября</w:t>
      </w:r>
      <w:r w:rsidRPr="002F2FDF">
        <w:rPr>
          <w:rStyle w:val="a7"/>
          <w:rFonts w:eastAsiaTheme="majorEastAsia"/>
          <w:b w:val="0"/>
          <w:color w:val="000000" w:themeColor="text1"/>
          <w:sz w:val="16"/>
          <w:szCs w:val="16"/>
        </w:rPr>
        <w:t xml:space="preserve"> (2 декабря)</w:t>
      </w:r>
      <w:r w:rsidRPr="002F2FDF">
        <w:rPr>
          <w:color w:val="000000" w:themeColor="text1"/>
          <w:sz w:val="16"/>
          <w:szCs w:val="16"/>
        </w:rPr>
        <w:t xml:space="preserve"> 1917 года, заслушав доклад Л.Д. Троцкого, Совнарком постановил немедленно начать «самую энергичную чистку» Военного министерства и «произвести удаление ненадёжных элементов высшего командного состава» (прежде всего — генерала от артиллерии А.А. Маниковского и генерал-майора В.В. Марушевского, не признавших власть военных комиссаров); докладывать Совнаркому о выполнении постановления предписывалось ежедневно[189]. В принципе, большевиков можно понять: ещё не была завершена ликвидация контрреволюционного саботажа в Военном министерстве[190]. Но нет сомнений и в том, что именно Н.И. Подвойский не позволил произвести «самую энергичную чистку» Военного министерства. 21 ноября 1917 года он при поддержке двух других членов СНК (А.Г. Шляпникова и А.М. Коллонтай) ходатайствовал об освобождении А.А. Маниковского и, более того — назначении его на «ответственный пост». Совнарком высказался против и, приняв предложение Троцкого о неосвобождении Маниковского, даже предложил «отдельным своим членам» (естественно, Подвойский попал в эту категорию) усилить чистку «контрреволюционных гнёзд» и не возбуждать снова и снова вопроса о смягчении рабоче-крестьянской диктатуры, направленной против «контрреволюционных верхов»[191]. Согласно проекту резолюции первоначально предполагалось объявить выговор членам коллегии по управлению Военным министерствам В.А. Антонову-Овсеенко, Н.В. Крыленко и Н.И. Подвойскому «за недостаточный контроль над военным ведомством»[192]</w:t>
      </w:r>
      <w:r w:rsidR="00E52569">
        <w:rPr>
          <w:color w:val="000000" w:themeColor="text1"/>
          <w:sz w:val="16"/>
          <w:szCs w:val="16"/>
        </w:rPr>
        <w:t xml:space="preserve"> </w:t>
      </w:r>
      <w:r w:rsidRPr="002F2FDF">
        <w:rPr>
          <w:color w:val="000000" w:themeColor="text1"/>
          <w:sz w:val="16"/>
          <w:szCs w:val="16"/>
        </w:rPr>
        <w:t>и даже (выясняется теперь из опубликованного протокола СНК) предложить членам коллегии подать в отставку, а новое руководство Наркомвоена сформировать в лице М.Т. Елизарова, В.Р. Менжинского и Л.Д. Троцкого[193] (18385).</w:t>
      </w:r>
    </w:p>
    <w:p w14:paraId="0A0DAD1C" w14:textId="77777777" w:rsidR="00FF33CC" w:rsidRPr="002F2FDF" w:rsidRDefault="00FF33CC" w:rsidP="0083075A">
      <w:pPr>
        <w:pStyle w:val="p1"/>
        <w:spacing w:before="0" w:beforeAutospacing="0" w:after="0" w:afterAutospacing="0"/>
        <w:jc w:val="both"/>
        <w:rPr>
          <w:color w:val="000000" w:themeColor="text1"/>
          <w:sz w:val="16"/>
          <w:szCs w:val="16"/>
        </w:rPr>
      </w:pPr>
    </w:p>
    <w:p w14:paraId="49B6C6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ноября (2 декабря) 1917 по решению Правительства была проведена чистка военного министерства и в т.ч. Увофлота. Вместо генерала Д.В.Яковлева начальником Увофлота назначили популярного летчика, лояльно настроенного полковника С.А.Ульянина (66,15).</w:t>
      </w:r>
    </w:p>
    <w:p w14:paraId="03D94B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25BE6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 ноября </w:t>
      </w:r>
      <w:r w:rsidR="00631AD8" w:rsidRPr="002F2FDF">
        <w:rPr>
          <w:rFonts w:ascii="Times New Roman" w:hAnsi="Times New Roman" w:cs="Times New Roman"/>
          <w:color w:val="000000" w:themeColor="text1"/>
          <w:kern w:val="2"/>
          <w:sz w:val="16"/>
          <w:szCs w:val="16"/>
        </w:rPr>
        <w:t xml:space="preserve">(2 декабря) </w:t>
      </w:r>
      <w:r w:rsidRPr="002F2FDF">
        <w:rPr>
          <w:rFonts w:ascii="Times New Roman" w:hAnsi="Times New Roman" w:cs="Times New Roman"/>
          <w:color w:val="000000" w:themeColor="text1"/>
          <w:kern w:val="2"/>
          <w:sz w:val="16"/>
          <w:szCs w:val="16"/>
        </w:rPr>
        <w:t>1917 г. вместо генерала Д.В.Яковлева начальником Управления Военно-воздушного флота (УВОФЛОТ) был назначен военный летчик и конструк</w:t>
      </w:r>
      <w:r w:rsidRPr="002F2FDF">
        <w:rPr>
          <w:rFonts w:ascii="Times New Roman" w:hAnsi="Times New Roman" w:cs="Times New Roman"/>
          <w:color w:val="000000" w:themeColor="text1"/>
          <w:kern w:val="2"/>
          <w:sz w:val="16"/>
          <w:szCs w:val="16"/>
        </w:rPr>
        <w:softHyphen/>
        <w:t>тор полковник С.А.Ульянин, лояльно настроенный по отношению к Советской власти (10667).</w:t>
      </w:r>
    </w:p>
    <w:p w14:paraId="3D05A8E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2E07C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 ноября </w:t>
      </w:r>
      <w:r w:rsidR="00631AD8" w:rsidRPr="002F2FDF">
        <w:rPr>
          <w:rFonts w:ascii="Times New Roman" w:hAnsi="Times New Roman" w:cs="Times New Roman"/>
          <w:color w:val="000000" w:themeColor="text1"/>
          <w:kern w:val="2"/>
          <w:sz w:val="16"/>
          <w:szCs w:val="16"/>
        </w:rPr>
        <w:t xml:space="preserve">(2 декабря) </w:t>
      </w:r>
      <w:r w:rsidRPr="002F2FDF">
        <w:rPr>
          <w:rFonts w:ascii="Times New Roman" w:hAnsi="Times New Roman" w:cs="Times New Roman"/>
          <w:color w:val="000000" w:themeColor="text1"/>
          <w:kern w:val="2"/>
          <w:sz w:val="16"/>
          <w:szCs w:val="16"/>
        </w:rPr>
        <w:t>1917 вместо генерала Д.В.Яковлева начальником Управления Военно-воздушного флота (УВОФЛОТ) был назначен военный летчик и конструк</w:t>
      </w:r>
      <w:r w:rsidRPr="002F2FDF">
        <w:rPr>
          <w:rFonts w:ascii="Times New Roman" w:hAnsi="Times New Roman" w:cs="Times New Roman"/>
          <w:color w:val="000000" w:themeColor="text1"/>
          <w:kern w:val="2"/>
          <w:sz w:val="16"/>
          <w:szCs w:val="16"/>
        </w:rPr>
        <w:softHyphen/>
        <w:t>тор полковник С.А.Ульянин, лояльно настроенный по отношению к Советской власти. 27 ноября на авиазаво</w:t>
      </w:r>
      <w:r w:rsidRPr="002F2FDF">
        <w:rPr>
          <w:rFonts w:ascii="Times New Roman" w:hAnsi="Times New Roman" w:cs="Times New Roman"/>
          <w:color w:val="000000" w:themeColor="text1"/>
          <w:kern w:val="2"/>
          <w:sz w:val="16"/>
          <w:szCs w:val="16"/>
        </w:rPr>
        <w:softHyphen/>
        <w:t>дах постановлением ВЦИК ввели рабочий контроль. 20 декабря во главе УВОФЛОТа приказом Народного комиссариата по военным и морским делам была по</w:t>
      </w:r>
      <w:r w:rsidRPr="002F2FDF">
        <w:rPr>
          <w:rFonts w:ascii="Times New Roman" w:hAnsi="Times New Roman" w:cs="Times New Roman"/>
          <w:color w:val="000000" w:themeColor="text1"/>
          <w:kern w:val="2"/>
          <w:sz w:val="16"/>
          <w:szCs w:val="16"/>
        </w:rPr>
        <w:softHyphen/>
        <w:t>ставлена Всероссийская коллегия по управлению Рабоче-крестьянским Воздушным флотом. В ее состав во</w:t>
      </w:r>
      <w:r w:rsidRPr="002F2FDF">
        <w:rPr>
          <w:rFonts w:ascii="Times New Roman" w:hAnsi="Times New Roman" w:cs="Times New Roman"/>
          <w:color w:val="000000" w:themeColor="text1"/>
          <w:kern w:val="2"/>
          <w:sz w:val="16"/>
          <w:szCs w:val="16"/>
        </w:rPr>
        <w:softHyphen/>
        <w:t>шли К.В.Акашев, А.Д.Анощенко, Е.И.Ахматович, Ф.И.Бычков, П.С.Дубенский, З.Я.Ландау, А.П.Онуфри</w:t>
      </w:r>
      <w:r w:rsidRPr="002F2FDF">
        <w:rPr>
          <w:rFonts w:ascii="Times New Roman" w:hAnsi="Times New Roman" w:cs="Times New Roman"/>
          <w:color w:val="000000" w:themeColor="text1"/>
          <w:kern w:val="2"/>
          <w:sz w:val="16"/>
          <w:szCs w:val="16"/>
        </w:rPr>
        <w:softHyphen/>
        <w:t>ев, А.В.Сергеев, М.П.Строев. Председателем коллегии стал Константин Василье</w:t>
      </w:r>
      <w:r w:rsidRPr="002F2FDF">
        <w:rPr>
          <w:rFonts w:ascii="Times New Roman" w:hAnsi="Times New Roman" w:cs="Times New Roman"/>
          <w:color w:val="000000" w:themeColor="text1"/>
          <w:kern w:val="2"/>
          <w:sz w:val="16"/>
          <w:szCs w:val="16"/>
        </w:rPr>
        <w:softHyphen/>
        <w:t>вич Акашев. Пребывая в рядах партии эсеров, он актив</w:t>
      </w:r>
      <w:r w:rsidRPr="002F2FDF">
        <w:rPr>
          <w:rFonts w:ascii="Times New Roman" w:hAnsi="Times New Roman" w:cs="Times New Roman"/>
          <w:color w:val="000000" w:themeColor="text1"/>
          <w:kern w:val="2"/>
          <w:sz w:val="16"/>
          <w:szCs w:val="16"/>
        </w:rPr>
        <w:softHyphen/>
        <w:t>но выполнял задания и поручения партии большевиков. Вечером 25 октября 1917 г., переодевшись в офицерскую форму и обманув юнкеров Михайловского артиллерий</w:t>
      </w:r>
      <w:r w:rsidRPr="002F2FDF">
        <w:rPr>
          <w:rFonts w:ascii="Times New Roman" w:hAnsi="Times New Roman" w:cs="Times New Roman"/>
          <w:color w:val="000000" w:themeColor="text1"/>
          <w:kern w:val="2"/>
          <w:sz w:val="16"/>
          <w:szCs w:val="16"/>
        </w:rPr>
        <w:softHyphen/>
        <w:t xml:space="preserve">ского училища, он увел их отряд </w:t>
      </w:r>
      <w:r w:rsidRPr="002F2FDF">
        <w:rPr>
          <w:rFonts w:ascii="Times New Roman" w:hAnsi="Times New Roman" w:cs="Times New Roman"/>
          <w:color w:val="000000" w:themeColor="text1"/>
          <w:kern w:val="2"/>
          <w:sz w:val="16"/>
          <w:szCs w:val="16"/>
        </w:rPr>
        <w:lastRenderedPageBreak/>
        <w:t>от Зимнего дворца, чем облегчил его захват. 31 октября Акашев был назначен членом Бюро комиссаров Воздушного флота. И вот те</w:t>
      </w:r>
      <w:r w:rsidRPr="002F2FDF">
        <w:rPr>
          <w:rFonts w:ascii="Times New Roman" w:hAnsi="Times New Roman" w:cs="Times New Roman"/>
          <w:color w:val="000000" w:themeColor="text1"/>
          <w:kern w:val="2"/>
          <w:sz w:val="16"/>
          <w:szCs w:val="16"/>
        </w:rPr>
        <w:softHyphen/>
        <w:t>перь новая должность. Если к Военно-воздушным силам, как составной ча</w:t>
      </w:r>
      <w:r w:rsidRPr="002F2FDF">
        <w:rPr>
          <w:rFonts w:ascii="Times New Roman" w:hAnsi="Times New Roman" w:cs="Times New Roman"/>
          <w:color w:val="000000" w:themeColor="text1"/>
          <w:kern w:val="2"/>
          <w:sz w:val="16"/>
          <w:szCs w:val="16"/>
        </w:rPr>
        <w:softHyphen/>
        <w:t>сти армии, проявлялось хоть какое-то внимание, то авиационная индустрия, брошенная на произвол судь</w:t>
      </w:r>
      <w:r w:rsidRPr="002F2FDF">
        <w:rPr>
          <w:rFonts w:ascii="Times New Roman" w:hAnsi="Times New Roman" w:cs="Times New Roman"/>
          <w:color w:val="000000" w:themeColor="text1"/>
          <w:kern w:val="2"/>
          <w:sz w:val="16"/>
          <w:szCs w:val="16"/>
        </w:rPr>
        <w:softHyphen/>
        <w:t>бы, быстро приходила в упадок. Производство на всех авиационных заводах Петрограда, в том числе на Рус</w:t>
      </w:r>
      <w:r w:rsidRPr="002F2FDF">
        <w:rPr>
          <w:rFonts w:ascii="Times New Roman" w:hAnsi="Times New Roman" w:cs="Times New Roman"/>
          <w:color w:val="000000" w:themeColor="text1"/>
          <w:kern w:val="2"/>
          <w:sz w:val="16"/>
          <w:szCs w:val="16"/>
        </w:rPr>
        <w:softHyphen/>
        <w:t>ско-Балтийском, было остановлено. Находясь на фронте, И.И.Сикорский с болью пере</w:t>
      </w:r>
      <w:r w:rsidRPr="002F2FDF">
        <w:rPr>
          <w:rFonts w:ascii="Times New Roman" w:hAnsi="Times New Roman" w:cs="Times New Roman"/>
          <w:color w:val="000000" w:themeColor="text1"/>
          <w:kern w:val="2"/>
          <w:sz w:val="16"/>
          <w:szCs w:val="16"/>
        </w:rPr>
        <w:softHyphen/>
        <w:t>жил развал государства и армии. Вернувшись в Петро</w:t>
      </w:r>
      <w:r w:rsidRPr="002F2FDF">
        <w:rPr>
          <w:rFonts w:ascii="Times New Roman" w:hAnsi="Times New Roman" w:cs="Times New Roman"/>
          <w:color w:val="000000" w:themeColor="text1"/>
          <w:kern w:val="2"/>
          <w:sz w:val="16"/>
          <w:szCs w:val="16"/>
        </w:rPr>
        <w:softHyphen/>
        <w:t>град, он не смог найти общего языка с близорукими деятелями из ВСНХ. Об этих событиях Игорь Иванович так писал в своей книге: “...В то время многие, и, воз</w:t>
      </w:r>
      <w:r w:rsidRPr="002F2FDF">
        <w:rPr>
          <w:rFonts w:ascii="Times New Roman" w:hAnsi="Times New Roman" w:cs="Times New Roman"/>
          <w:color w:val="000000" w:themeColor="text1"/>
          <w:kern w:val="2"/>
          <w:sz w:val="16"/>
          <w:szCs w:val="16"/>
        </w:rPr>
        <w:softHyphen/>
        <w:t>можно, большинство, еще верили, что золотая эра при</w:t>
      </w:r>
      <w:r w:rsidRPr="002F2FDF">
        <w:rPr>
          <w:rFonts w:ascii="Times New Roman" w:hAnsi="Times New Roman" w:cs="Times New Roman"/>
          <w:color w:val="000000" w:themeColor="text1"/>
          <w:kern w:val="2"/>
          <w:sz w:val="16"/>
          <w:szCs w:val="16"/>
        </w:rPr>
        <w:softHyphen/>
        <w:t>дет через год или два. В начале 1918 года я снова был в Петрограде, время научило меня смотреть в корень яв</w:t>
      </w:r>
      <w:r w:rsidRPr="002F2FDF">
        <w:rPr>
          <w:rFonts w:ascii="Times New Roman" w:hAnsi="Times New Roman" w:cs="Times New Roman"/>
          <w:color w:val="000000" w:themeColor="text1"/>
          <w:kern w:val="2"/>
          <w:sz w:val="16"/>
          <w:szCs w:val="16"/>
        </w:rPr>
        <w:softHyphen/>
        <w:t>лений. Поскольку провозглашенные идеалы и принци</w:t>
      </w:r>
      <w:r w:rsidRPr="002F2FDF">
        <w:rPr>
          <w:rFonts w:ascii="Times New Roman" w:hAnsi="Times New Roman" w:cs="Times New Roman"/>
          <w:color w:val="000000" w:themeColor="text1"/>
          <w:kern w:val="2"/>
          <w:sz w:val="16"/>
          <w:szCs w:val="16"/>
        </w:rPr>
        <w:softHyphen/>
        <w:t>пы марксистской революции не были приемлемыми для меня, я принял решение оставить Россию на неопре</w:t>
      </w:r>
      <w:r w:rsidRPr="002F2FDF">
        <w:rPr>
          <w:rFonts w:ascii="Times New Roman" w:hAnsi="Times New Roman" w:cs="Times New Roman"/>
          <w:color w:val="000000" w:themeColor="text1"/>
          <w:kern w:val="2"/>
          <w:sz w:val="16"/>
          <w:szCs w:val="16"/>
        </w:rPr>
        <w:softHyphen/>
        <w:t>деленное время. Я взял паспорт, визы, несколько реко</w:t>
      </w:r>
      <w:r w:rsidRPr="002F2FDF">
        <w:rPr>
          <w:rFonts w:ascii="Times New Roman" w:hAnsi="Times New Roman" w:cs="Times New Roman"/>
          <w:color w:val="000000" w:themeColor="text1"/>
          <w:kern w:val="2"/>
          <w:sz w:val="16"/>
          <w:szCs w:val="16"/>
        </w:rPr>
        <w:softHyphen/>
        <w:t>мендательных писем и в конце февраля отправился из Петрограда поездом в Мурманск, а оттуда в марте на борту парохода в Англию”. Никто не препятствовал его выезду за границу, как, впрочем, и не пытался удержать на Роди</w:t>
      </w:r>
      <w:r w:rsidRPr="002F2FDF">
        <w:rPr>
          <w:rFonts w:ascii="Times New Roman" w:hAnsi="Times New Roman" w:cs="Times New Roman"/>
          <w:color w:val="000000" w:themeColor="text1"/>
          <w:kern w:val="2"/>
          <w:sz w:val="16"/>
          <w:szCs w:val="16"/>
        </w:rPr>
        <w:softHyphen/>
        <w:t>не. “...Оставить Россию на неопределенное время...”. Это время растянулось у него на всю оставшуюся жизнь (10667).</w:t>
      </w:r>
    </w:p>
    <w:p w14:paraId="09EC3C6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D6D5BF" w14:textId="77777777" w:rsidR="00531D92" w:rsidRPr="002F2FDF" w:rsidRDefault="00531D9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ноября (2 декабря) 1917 вместо генерала Д. В. Яковлева начальником Управления Военно-воздушного флота (УВОФЛОТ) был назначен военный летчик и конструктор полковник С. А. Ульянин, лояльно настроенный по отношению к Советской власти. 27 ноября на авиазаводах постановлением ВЦИК был введен рабочий контроль. А 20 декабря во главе УВОФЛОТа приказом Народного комиссариата по военным и морским делам была поставлена Всероссийская коллегия по управлению Рабоче-Крестьянским Воздушным флотом. В ее состав вошли К. В. Акашев, А. Д. Анощенко, Е. И. Ахматович, Ф. И. Бычков, П. С. Дубенский, З. Я. Ландау, А. П. Онуфриев, А. В. Сергеев, М. П. Строев (15125).</w:t>
      </w:r>
    </w:p>
    <w:p w14:paraId="3AD2EA69" w14:textId="77777777" w:rsidR="00531D92" w:rsidRPr="002F2FDF" w:rsidRDefault="00531D92" w:rsidP="0083075A">
      <w:pPr>
        <w:spacing w:after="0" w:line="240" w:lineRule="auto"/>
        <w:jc w:val="both"/>
        <w:rPr>
          <w:rFonts w:ascii="Times New Roman" w:hAnsi="Times New Roman" w:cs="Times New Roman"/>
          <w:color w:val="000000" w:themeColor="text1"/>
          <w:kern w:val="2"/>
          <w:sz w:val="16"/>
          <w:szCs w:val="16"/>
        </w:rPr>
      </w:pPr>
    </w:p>
    <w:p w14:paraId="7DCA799D" w14:textId="617B2634" w:rsidR="00952980" w:rsidRPr="00FB4F67" w:rsidRDefault="0095298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19 ноября (</w:t>
      </w:r>
      <w:r w:rsidRPr="00FB4F67">
        <w:rPr>
          <w:rFonts w:ascii="Times New Roman" w:hAnsi="Times New Roman" w:cs="Times New Roman"/>
          <w:color w:val="0070C0"/>
          <w:sz w:val="16"/>
          <w:szCs w:val="16"/>
        </w:rPr>
        <w:t>2 декабря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Ставке окончательного Верховного Главнокомандующего Русской Армией. Генерал Н. Н. Духонин был убит красногвардейцами под Могилевом. Затем красные арестовали русский Генштаб и заняли АВИАКАНТЫ в Ставке (23525).</w:t>
      </w:r>
    </w:p>
    <w:p w14:paraId="5BA8797F" w14:textId="77777777" w:rsidR="00952980" w:rsidRPr="00FB4F67" w:rsidRDefault="00952980" w:rsidP="0083075A">
      <w:pPr>
        <w:spacing w:after="0" w:line="240" w:lineRule="auto"/>
        <w:jc w:val="both"/>
        <w:rPr>
          <w:rFonts w:ascii="Times New Roman" w:hAnsi="Times New Roman" w:cs="Times New Roman"/>
          <w:color w:val="0070C0"/>
          <w:sz w:val="16"/>
          <w:szCs w:val="16"/>
        </w:rPr>
      </w:pPr>
    </w:p>
    <w:p w14:paraId="6949E8A8" w14:textId="77B7DCEA" w:rsidR="00952980" w:rsidRPr="00FB4F67" w:rsidRDefault="0095298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19 ноября (</w:t>
      </w:r>
      <w:r w:rsidRPr="00FB4F67">
        <w:rPr>
          <w:rFonts w:ascii="Times New Roman" w:hAnsi="Times New Roman" w:cs="Times New Roman"/>
          <w:color w:val="0070C0"/>
          <w:sz w:val="16"/>
          <w:szCs w:val="16"/>
        </w:rPr>
        <w:t>2 декабря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большевистский военный комиссар Н. В. Крыленко захватил контору Ставки. Полковник ВМ. Ткачев обратился к своим летчикам: «Захват Ставки большевиками поставил меня в безвыходное положение. Считаю своим последним нравственным долгом перед Родиной в час испытаний бороться всеми возможными средствами против большевиков, которые преступников нации и государству.В эти дни разрухи и смертельной опасности для нашей многострадальной Родины я верю, что наши доблестные летчики полностью исполнили бы свой долг и остались бы на своих нелегких, но славных постах, переплетая все новые и новые лавры с венком славы нашей авиации» (23525).</w:t>
      </w:r>
    </w:p>
    <w:p w14:paraId="536F67F8" w14:textId="77777777" w:rsidR="00952980" w:rsidRPr="00FB4F67" w:rsidRDefault="00952980" w:rsidP="0083075A">
      <w:pPr>
        <w:spacing w:after="0" w:line="240" w:lineRule="auto"/>
        <w:jc w:val="both"/>
        <w:rPr>
          <w:rFonts w:ascii="Times New Roman" w:hAnsi="Times New Roman" w:cs="Times New Roman"/>
          <w:color w:val="0070C0"/>
          <w:sz w:val="16"/>
          <w:szCs w:val="16"/>
        </w:rPr>
      </w:pPr>
    </w:p>
    <w:p w14:paraId="73F4875B" w14:textId="7CFE87C6" w:rsidR="00952980" w:rsidRPr="00FB4F67" w:rsidRDefault="0095298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19 ноября (</w:t>
      </w:r>
      <w:r w:rsidRPr="00FB4F67">
        <w:rPr>
          <w:rFonts w:ascii="Times New Roman" w:hAnsi="Times New Roman" w:cs="Times New Roman"/>
          <w:color w:val="0070C0"/>
          <w:sz w:val="16"/>
          <w:szCs w:val="16"/>
        </w:rPr>
        <w:t>2 декабря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на Румынском фронте польские войска, служившие в составе русской армии в районе Черновиц, решили сформировать 2-й Польский корпус (II Korpus Polskiego General Haller). Они получили разрешение на полонизацию русской 14-й КАО. На основе этого КАО присоединились польские летчики из других частей, в том числе из знаменитого 19-го КАО. Они постепенно сформировали 2-й польский авиационный боевой АО (II Polski Oddzial Awiacyjny Bojowy) в Сучаве, недалеко от Черновиц.</w:t>
      </w:r>
    </w:p>
    <w:p w14:paraId="06F9AE57" w14:textId="77777777" w:rsidR="00952980" w:rsidRPr="00FB4F67" w:rsidRDefault="0095298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Им командовал военный летчик Капитан Т. Гроховальский, в нем было около семи летчиков и шести наблюдателей. Среди самолетов было несколько Nieuport XXIII, один Nieuport XXI, один Farman 30 и один Morane Parasol. Позже отряд переместился в Яссы в Румынии и, наконец, в Канев, где они и 1-й польский АО были позже захвачены немецкими войсками и прекратили свое существование.</w:t>
      </w:r>
    </w:p>
    <w:p w14:paraId="33A1F1E2" w14:textId="77777777" w:rsidR="00952980" w:rsidRPr="00FB4F67" w:rsidRDefault="00952980" w:rsidP="0083075A">
      <w:pPr>
        <w:spacing w:after="0" w:line="240" w:lineRule="auto"/>
        <w:jc w:val="both"/>
        <w:rPr>
          <w:rFonts w:ascii="Times New Roman" w:hAnsi="Times New Roman" w:cs="Times New Roman"/>
          <w:color w:val="0070C0"/>
          <w:sz w:val="16"/>
          <w:szCs w:val="16"/>
        </w:rPr>
      </w:pPr>
    </w:p>
    <w:p w14:paraId="487798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ноября (2 декабря) 1917 состоялась первая встреча российской и немецкой делегаций (2239).</w:t>
      </w:r>
    </w:p>
    <w:p w14:paraId="2F2E0E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FA7A8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ноября (2 декабря) 1917 Советская Россия заключила перемирие с Германией (4962).</w:t>
      </w:r>
    </w:p>
    <w:p w14:paraId="683B85C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87087E" w14:textId="794AC530" w:rsidR="001B6F8A" w:rsidRPr="002F2FDF" w:rsidRDefault="001B6F8A" w:rsidP="0083075A">
      <w:pPr>
        <w:pStyle w:val="ae"/>
        <w:spacing w:before="0" w:after="0"/>
        <w:jc w:val="both"/>
        <w:rPr>
          <w:color w:val="000000" w:themeColor="text1"/>
          <w:kern w:val="2"/>
          <w:sz w:val="16"/>
          <w:szCs w:val="16"/>
        </w:rPr>
      </w:pPr>
      <w:r w:rsidRPr="002F2FDF">
        <w:rPr>
          <w:color w:val="000000" w:themeColor="text1"/>
          <w:kern w:val="2"/>
          <w:sz w:val="16"/>
          <w:szCs w:val="16"/>
        </w:rPr>
        <w:t>19</w:t>
      </w:r>
      <w:r w:rsidR="00E52569">
        <w:rPr>
          <w:color w:val="000000" w:themeColor="text1"/>
          <w:kern w:val="2"/>
          <w:sz w:val="16"/>
          <w:szCs w:val="16"/>
        </w:rPr>
        <w:t xml:space="preserve"> </w:t>
      </w:r>
      <w:r w:rsidRPr="002F2FDF">
        <w:rPr>
          <w:color w:val="000000" w:themeColor="text1"/>
          <w:kern w:val="2"/>
          <w:sz w:val="16"/>
          <w:szCs w:val="16"/>
        </w:rPr>
        <w:t>ноября (</w:t>
      </w:r>
      <w:hyperlink r:id="rId666" w:tooltip="2 декабря" w:history="1">
        <w:r w:rsidRPr="002F2FDF">
          <w:rPr>
            <w:rStyle w:val="a5"/>
            <w:color w:val="000000" w:themeColor="text1"/>
            <w:kern w:val="2"/>
            <w:sz w:val="16"/>
            <w:szCs w:val="16"/>
            <w:u w:val="none"/>
          </w:rPr>
          <w:t>2</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декабря</w:t>
        </w:r>
      </w:hyperlink>
      <w:r w:rsidRPr="002F2FDF">
        <w:rPr>
          <w:color w:val="000000" w:themeColor="text1"/>
          <w:kern w:val="2"/>
          <w:sz w:val="16"/>
          <w:szCs w:val="16"/>
        </w:rPr>
        <w:t>) 1917 мирная делегация Советского правительства, возглавляемая А. А. Иоффе, прибыла в нейтральную зону и проследовала в Брест-Литовск, в котором располагалась Ставка германского командования на Восточном фронте, где встретилась с делегацией австро-германского блока, в состав которой входили также представители Болгарии и Турции.</w:t>
      </w:r>
    </w:p>
    <w:p w14:paraId="2D5D9946" w14:textId="6E8BEC1C" w:rsidR="001B6F8A" w:rsidRPr="002F2FDF" w:rsidRDefault="001B6F8A" w:rsidP="0083075A">
      <w:pPr>
        <w:pStyle w:val="ae"/>
        <w:spacing w:before="0" w:after="0"/>
        <w:jc w:val="both"/>
        <w:rPr>
          <w:color w:val="000000" w:themeColor="text1"/>
          <w:kern w:val="2"/>
          <w:sz w:val="16"/>
          <w:szCs w:val="16"/>
        </w:rPr>
      </w:pPr>
      <w:r w:rsidRPr="002F2FDF">
        <w:rPr>
          <w:color w:val="000000" w:themeColor="text1"/>
          <w:kern w:val="2"/>
          <w:sz w:val="16"/>
          <w:szCs w:val="16"/>
        </w:rPr>
        <w:t>Переговоры с Германией о перемирии начались в Брест-Литовске 20</w:t>
      </w:r>
      <w:r w:rsidR="00E52569">
        <w:rPr>
          <w:color w:val="000000" w:themeColor="text1"/>
          <w:kern w:val="2"/>
          <w:sz w:val="16"/>
          <w:szCs w:val="16"/>
        </w:rPr>
        <w:t xml:space="preserve"> </w:t>
      </w:r>
      <w:r w:rsidRPr="002F2FDF">
        <w:rPr>
          <w:color w:val="000000" w:themeColor="text1"/>
          <w:kern w:val="2"/>
          <w:sz w:val="16"/>
          <w:szCs w:val="16"/>
        </w:rPr>
        <w:t>ноября (</w:t>
      </w:r>
      <w:hyperlink r:id="rId667" w:tooltip="3 декабря" w:history="1">
        <w:r w:rsidRPr="002F2FDF">
          <w:rPr>
            <w:rStyle w:val="a5"/>
            <w:color w:val="000000" w:themeColor="text1"/>
            <w:kern w:val="2"/>
            <w:sz w:val="16"/>
            <w:szCs w:val="16"/>
            <w:u w:val="none"/>
          </w:rPr>
          <w:t>3</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декабря</w:t>
        </w:r>
      </w:hyperlink>
      <w:r w:rsidRPr="002F2FDF">
        <w:rPr>
          <w:color w:val="000000" w:themeColor="text1"/>
          <w:kern w:val="2"/>
          <w:sz w:val="16"/>
          <w:szCs w:val="16"/>
        </w:rPr>
        <w:t>)</w:t>
      </w:r>
      <w:r w:rsidR="00E52569">
        <w:rPr>
          <w:color w:val="000000" w:themeColor="text1"/>
          <w:kern w:val="2"/>
          <w:sz w:val="16"/>
          <w:szCs w:val="16"/>
        </w:rPr>
        <w:t xml:space="preserve"> </w:t>
      </w:r>
      <w:hyperlink r:id="rId668" w:tooltip="1917 год" w:history="1">
        <w:r w:rsidRPr="002F2FDF">
          <w:rPr>
            <w:rStyle w:val="a5"/>
            <w:color w:val="000000" w:themeColor="text1"/>
            <w:kern w:val="2"/>
            <w:sz w:val="16"/>
            <w:szCs w:val="16"/>
            <w:u w:val="none"/>
          </w:rPr>
          <w:t>1917 года</w:t>
        </w:r>
      </w:hyperlink>
      <w:r w:rsidRPr="002F2FDF">
        <w:rPr>
          <w:color w:val="000000" w:themeColor="text1"/>
          <w:kern w:val="2"/>
          <w:sz w:val="16"/>
          <w:szCs w:val="16"/>
        </w:rPr>
        <w:t xml:space="preserve">. В тот же день в ставку верховного главнокомандующего русской армии в </w:t>
      </w:r>
      <w:hyperlink r:id="rId669" w:tooltip="Могилёв" w:history="1">
        <w:r w:rsidRPr="002F2FDF">
          <w:rPr>
            <w:rStyle w:val="a5"/>
            <w:color w:val="000000" w:themeColor="text1"/>
            <w:kern w:val="2"/>
            <w:sz w:val="16"/>
            <w:szCs w:val="16"/>
            <w:u w:val="none"/>
          </w:rPr>
          <w:t>Могилёве</w:t>
        </w:r>
      </w:hyperlink>
      <w:r w:rsidRPr="002F2FDF">
        <w:rPr>
          <w:color w:val="000000" w:themeColor="text1"/>
          <w:kern w:val="2"/>
          <w:sz w:val="16"/>
          <w:szCs w:val="16"/>
        </w:rPr>
        <w:t xml:space="preserve"> прибыл </w:t>
      </w:r>
      <w:hyperlink r:id="rId670" w:tooltip="Крыленко, Николай Васильевич" w:history="1">
        <w:r w:rsidRPr="002F2FDF">
          <w:rPr>
            <w:rStyle w:val="a5"/>
            <w:color w:val="000000" w:themeColor="text1"/>
            <w:kern w:val="2"/>
            <w:sz w:val="16"/>
            <w:szCs w:val="16"/>
            <w:u w:val="none"/>
          </w:rPr>
          <w:t>Н. В. Крыленко</w:t>
        </w:r>
      </w:hyperlink>
      <w:r w:rsidRPr="002F2FDF">
        <w:rPr>
          <w:color w:val="000000" w:themeColor="text1"/>
          <w:kern w:val="2"/>
          <w:sz w:val="16"/>
          <w:szCs w:val="16"/>
        </w:rPr>
        <w:t>, вступивший в должность Главковерха (17035).</w:t>
      </w:r>
    </w:p>
    <w:p w14:paraId="7ACDE18D" w14:textId="77777777" w:rsidR="001B6F8A" w:rsidRPr="002F2FDF" w:rsidRDefault="001B6F8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52D73B" w14:textId="460B5058" w:rsidR="007A4234" w:rsidRPr="002F2FDF" w:rsidRDefault="007A4234" w:rsidP="0083075A">
      <w:pPr>
        <w:pStyle w:val="ae"/>
        <w:spacing w:before="0" w:after="0"/>
        <w:jc w:val="both"/>
        <w:rPr>
          <w:color w:val="000000" w:themeColor="text1"/>
          <w:kern w:val="2"/>
          <w:sz w:val="16"/>
          <w:szCs w:val="16"/>
        </w:rPr>
      </w:pPr>
      <w:r w:rsidRPr="002F2FDF">
        <w:rPr>
          <w:color w:val="000000" w:themeColor="text1"/>
          <w:kern w:val="2"/>
          <w:sz w:val="16"/>
          <w:szCs w:val="16"/>
        </w:rPr>
        <w:t>19</w:t>
      </w:r>
      <w:r w:rsidR="00E52569">
        <w:rPr>
          <w:color w:val="000000" w:themeColor="text1"/>
          <w:kern w:val="2"/>
          <w:sz w:val="16"/>
          <w:szCs w:val="16"/>
        </w:rPr>
        <w:t xml:space="preserve"> </w:t>
      </w:r>
      <w:r w:rsidRPr="002F2FDF">
        <w:rPr>
          <w:color w:val="000000" w:themeColor="text1"/>
          <w:kern w:val="2"/>
          <w:sz w:val="16"/>
          <w:szCs w:val="16"/>
        </w:rPr>
        <w:t>ноября (</w:t>
      </w:r>
      <w:hyperlink r:id="rId671" w:tooltip="2 декабря" w:history="1">
        <w:r w:rsidRPr="002F2FDF">
          <w:rPr>
            <w:rStyle w:val="a5"/>
            <w:color w:val="000000" w:themeColor="text1"/>
            <w:kern w:val="2"/>
            <w:sz w:val="16"/>
            <w:szCs w:val="16"/>
            <w:u w:val="none"/>
          </w:rPr>
          <w:t>2</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декабря</w:t>
        </w:r>
      </w:hyperlink>
      <w:r w:rsidRPr="002F2FDF">
        <w:rPr>
          <w:color w:val="000000" w:themeColor="text1"/>
          <w:kern w:val="2"/>
          <w:sz w:val="16"/>
          <w:szCs w:val="16"/>
        </w:rPr>
        <w:t>) 1917 в городе Брест-Литовск (ныне Брест на западе Белоруссии), где располагалась ставка германского командования на Восточном фронте, прибыла делегация большевиков для переговоров с представителями Центральным держав о заключении сепаратного мира. Переговоры начались 3 декабря, советская делегация предложила немцам для начала заключить перемирие, и лишь потом приступить к подготовке собственно мирного договора. Перемирие с Россией было крайне выгодно для Германии — к концу ноября ей приходилось держать на Восточном фронте треть своих войск (80 дивизий), которые в случае переброски изменили бы соотношение сил на других театрах военных действий (17035).</w:t>
      </w:r>
    </w:p>
    <w:p w14:paraId="5017D9C2" w14:textId="77777777" w:rsidR="007A4234" w:rsidRPr="002F2FDF" w:rsidRDefault="007A423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09D3D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A1012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954D76" w14:textId="5A0E4A30" w:rsidR="00FF33CC" w:rsidRPr="002F2FDF" w:rsidRDefault="00FF33CC"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 xml:space="preserve">19 ноября (2 декабря) 1917 </w:t>
      </w:r>
      <w:r w:rsidRPr="002F2FDF">
        <w:rPr>
          <w:color w:val="000000" w:themeColor="text1"/>
          <w:sz w:val="16"/>
          <w:szCs w:val="16"/>
        </w:rPr>
        <w:t>Ленин направил президиуму Московского Совета телеграмму</w:t>
      </w:r>
      <w:r w:rsidRPr="002F2FDF">
        <w:rPr>
          <w:rStyle w:val="af0"/>
          <w:i w:val="0"/>
          <w:color w:val="000000" w:themeColor="text1"/>
          <w:sz w:val="16"/>
          <w:szCs w:val="16"/>
        </w:rPr>
        <w:t>: «Вся власть у Советов. Подтверждения не нужны. Ваше отрешение одного и назначение другого есть закон».</w:t>
      </w:r>
      <w:r w:rsidR="00E52569">
        <w:rPr>
          <w:rStyle w:val="af0"/>
          <w:i w:val="0"/>
          <w:color w:val="000000" w:themeColor="text1"/>
          <w:sz w:val="16"/>
          <w:szCs w:val="16"/>
        </w:rPr>
        <w:t xml:space="preserve"> </w:t>
      </w:r>
      <w:r w:rsidRPr="002F2FDF">
        <w:rPr>
          <w:color w:val="000000" w:themeColor="text1"/>
          <w:sz w:val="16"/>
          <w:szCs w:val="16"/>
        </w:rPr>
        <w:t>В Московской Губернии начались выборы делегатов в Учредительное Собрание (18371).</w:t>
      </w:r>
    </w:p>
    <w:p w14:paraId="7BC9AC43" w14:textId="77777777" w:rsidR="00FF33CC" w:rsidRPr="002F2FDF" w:rsidRDefault="00FF33CC" w:rsidP="0083075A">
      <w:pPr>
        <w:pStyle w:val="ae"/>
        <w:spacing w:before="0" w:after="0"/>
        <w:jc w:val="both"/>
        <w:rPr>
          <w:color w:val="000000" w:themeColor="text1"/>
          <w:sz w:val="16"/>
          <w:szCs w:val="16"/>
        </w:rPr>
      </w:pPr>
    </w:p>
    <w:p w14:paraId="02E285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19-28 ноября (2 по 10 декабря) 1917 в Петрограде прошел съезд левых эсеров, образовавших собственную партию (3908,270).</w:t>
      </w:r>
    </w:p>
    <w:p w14:paraId="4716D6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3C691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ноября (2 декабря) 1917 левые эсеры, отколовшись от правых, создали свою партию (4962).</w:t>
      </w:r>
    </w:p>
    <w:p w14:paraId="7297B12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74084C" w14:textId="77777777" w:rsidR="00EF1095" w:rsidRPr="002F2FDF" w:rsidRDefault="00EF1095"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19 ноября (2 декабря) 1917 г. создана партия левых эсеров. Левое течение в партии эсеров стало формироваться с 1914 г. Учредительный съезд левых эсеров начался 19 ноября 1917 г.с.с. (длился до 28 ноября). На нем левые эсеры оформились как партия. Союз левых эсеров с большевиками создавал видимость представительства в СНК разных партий России. В июле 1918 г., когда левые эсеры будут разгромлены, большевики полностью возьмут власть в свои руки (17326).</w:t>
      </w:r>
    </w:p>
    <w:p w14:paraId="3E6F3170" w14:textId="77777777" w:rsidR="00EF1095" w:rsidRPr="002F2FDF" w:rsidRDefault="00EF1095"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C869C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ноября (2 декабря) 1917 большевиками арестован глава подпольного Временного правительства России Сергей Прокопович (4962).</w:t>
      </w:r>
    </w:p>
    <w:p w14:paraId="058E09A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15EF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ноября (2 декабря) 1917 большевики создали в Ташкенте Совет народных комиссаров для противостояния Ташкентскому совету, находящемуся под влиянием меньшевиков (2955).</w:t>
      </w:r>
    </w:p>
    <w:p w14:paraId="2589C1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D5E5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ноября (2 декабря) 1917 была неудачная попытка атамана Забайкальских казаков Г.М.Семенова разогнать Совет в Верхнеудинске и бегство его в Манчжурию (3908,270).</w:t>
      </w:r>
    </w:p>
    <w:p w14:paraId="18D239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E8D0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ноября (2 декабря) 1917 г Л.Г.Корнилов, А.И.Деникин и А.С.Лукомский бежали из Быховской тюрьмы на Дон (3908,270).</w:t>
      </w:r>
    </w:p>
    <w:p w14:paraId="2594F9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30B1E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A2570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6C68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ноября (3 декабря) 1917 г. на Главном аэродроме закончились полеты на Лебедь ХП, которые проводились с 31 октября 1917. Комиисия, созданная предписанием начальника Управления ВВФ для сравнительных испытаний самолетов "Лебедь"-XII, "Анасаль" и "Фарман"-30, признала прочность и тщательность конструкции разведчика 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w:t>
      </w:r>
    </w:p>
    <w:p w14:paraId="0EFAD1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гидроавиаотряда,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 </w:t>
      </w:r>
    </w:p>
    <w:p w14:paraId="474160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322770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15633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58BB2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4BFF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ноября (3 декабря) 1917 на общем собрании 1БАГ был избран полковой комитет, в состав кото</w:t>
      </w:r>
      <w:r w:rsidRPr="002F2FDF">
        <w:rPr>
          <w:rFonts w:ascii="Times New Roman" w:hAnsi="Times New Roman" w:cs="Times New Roman"/>
          <w:color w:val="000000" w:themeColor="text1"/>
          <w:kern w:val="2"/>
          <w:sz w:val="16"/>
          <w:szCs w:val="16"/>
        </w:rPr>
        <w:softHyphen/>
        <w:t>рого вошло трое солдат: Ламинг (председатель), Серый (товарищ председателя) и Витковский (секре</w:t>
      </w:r>
      <w:r w:rsidRPr="002F2FDF">
        <w:rPr>
          <w:rFonts w:ascii="Times New Roman" w:hAnsi="Times New Roman" w:cs="Times New Roman"/>
          <w:color w:val="000000" w:themeColor="text1"/>
          <w:kern w:val="2"/>
          <w:sz w:val="16"/>
          <w:szCs w:val="16"/>
        </w:rPr>
        <w:softHyphen/>
        <w:t>тарь). Там не нашлось места ни одно</w:t>
      </w:r>
      <w:r w:rsidRPr="002F2FDF">
        <w:rPr>
          <w:rFonts w:ascii="Times New Roman" w:hAnsi="Times New Roman" w:cs="Times New Roman"/>
          <w:color w:val="000000" w:themeColor="text1"/>
          <w:kern w:val="2"/>
          <w:sz w:val="16"/>
          <w:szCs w:val="16"/>
        </w:rPr>
        <w:softHyphen/>
        <w:t>му летчику из солдат и уж тем более -ни одному офицеру. Затем под лозун</w:t>
      </w:r>
      <w:r w:rsidRPr="002F2FDF">
        <w:rPr>
          <w:rFonts w:ascii="Times New Roman" w:hAnsi="Times New Roman" w:cs="Times New Roman"/>
          <w:color w:val="000000" w:themeColor="text1"/>
          <w:kern w:val="2"/>
          <w:sz w:val="16"/>
          <w:szCs w:val="16"/>
        </w:rPr>
        <w:softHyphen/>
        <w:t>гом установления “революционного порядка” в группе началась неприкры</w:t>
      </w:r>
      <w:r w:rsidRPr="002F2FDF">
        <w:rPr>
          <w:rFonts w:ascii="Times New Roman" w:hAnsi="Times New Roman" w:cs="Times New Roman"/>
          <w:color w:val="000000" w:themeColor="text1"/>
          <w:kern w:val="2"/>
          <w:sz w:val="16"/>
          <w:szCs w:val="16"/>
        </w:rPr>
        <w:softHyphen/>
        <w:t>тая травля офицерского состава. С произволом новых властей Казаков столкнулся ещё в ноябре, когда высланные в авиаотряды Юго-запад</w:t>
      </w:r>
      <w:r w:rsidRPr="002F2FDF">
        <w:rPr>
          <w:rFonts w:ascii="Times New Roman" w:hAnsi="Times New Roman" w:cs="Times New Roman"/>
          <w:color w:val="000000" w:themeColor="text1"/>
          <w:kern w:val="2"/>
          <w:sz w:val="16"/>
          <w:szCs w:val="16"/>
        </w:rPr>
        <w:softHyphen/>
        <w:t>ного фронта 240 комплектов кожаного обмундирования были частично кон</w:t>
      </w:r>
      <w:r w:rsidRPr="002F2FDF">
        <w:rPr>
          <w:rFonts w:ascii="Times New Roman" w:hAnsi="Times New Roman" w:cs="Times New Roman"/>
          <w:color w:val="000000" w:themeColor="text1"/>
          <w:kern w:val="2"/>
          <w:sz w:val="16"/>
          <w:szCs w:val="16"/>
        </w:rPr>
        <w:softHyphen/>
        <w:t>фискованы в тылу солдатами 3-го авиапарка. Основанием этому стало решение собрания солдат оставить себе 55 курток и другой кожаной одеж</w:t>
      </w:r>
      <w:r w:rsidRPr="002F2FDF">
        <w:rPr>
          <w:rFonts w:ascii="Times New Roman" w:hAnsi="Times New Roman" w:cs="Times New Roman"/>
          <w:color w:val="000000" w:themeColor="text1"/>
          <w:kern w:val="2"/>
          <w:sz w:val="16"/>
          <w:szCs w:val="16"/>
        </w:rPr>
        <w:softHyphen/>
        <w:t>ды. Казакова возмутило “самочинное распределение” (читай - грабёж), тем более, что в этой одежде остро нужда</w:t>
      </w:r>
      <w:r w:rsidRPr="002F2FDF">
        <w:rPr>
          <w:rFonts w:ascii="Times New Roman" w:hAnsi="Times New Roman" w:cs="Times New Roman"/>
          <w:color w:val="000000" w:themeColor="text1"/>
          <w:kern w:val="2"/>
          <w:sz w:val="16"/>
          <w:szCs w:val="16"/>
        </w:rPr>
        <w:softHyphen/>
        <w:t>лись летчики, летнабы и мотористы (3954).</w:t>
      </w:r>
    </w:p>
    <w:p w14:paraId="0D8DA0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519BE6" w14:textId="77777777" w:rsidR="007A4234" w:rsidRPr="002F2FDF" w:rsidRDefault="007A4234" w:rsidP="0083075A">
      <w:pPr>
        <w:pStyle w:val="ae"/>
        <w:spacing w:before="0" w:after="0"/>
        <w:jc w:val="both"/>
        <w:rPr>
          <w:color w:val="000000" w:themeColor="text1"/>
          <w:kern w:val="2"/>
          <w:sz w:val="16"/>
          <w:szCs w:val="16"/>
        </w:rPr>
      </w:pPr>
      <w:r w:rsidRPr="002F2FDF">
        <w:rPr>
          <w:rStyle w:val="ucoz-forum-post"/>
          <w:bCs/>
          <w:color w:val="000000" w:themeColor="text1"/>
          <w:kern w:val="2"/>
          <w:sz w:val="16"/>
          <w:szCs w:val="16"/>
        </w:rPr>
        <w:t xml:space="preserve">20 ноября (3 декабря) </w:t>
      </w:r>
      <w:r w:rsidRPr="002F2FDF">
        <w:rPr>
          <w:color w:val="000000" w:themeColor="text1"/>
          <w:kern w:val="2"/>
          <w:sz w:val="16"/>
          <w:szCs w:val="16"/>
        </w:rPr>
        <w:t>в 1917 году прибывший в ставку прапорщик Николай Крыленко объявил о своем «вступлении в должность Главковерха» и сообщил, что Духонину надлежит отправиться в Петроград в распоряжение СНК. Однако, когда генерал уже сел в поезд, на вокзале собралась толпа разъяренных революционных солдат и матросов, которые учинили самосуд и забили Духонина штыками. Красногвардейцы долго издевались уже над мертвым телом, стащив с него часы, бумажник, одежду и сапоги. Циничные слова «отправить в штаб к Духонину» — в смысле убить без суда — стали в годы гражданской войны крылатыми и употреблялись не только «красными», но и «белыми» (17045).</w:t>
      </w:r>
    </w:p>
    <w:p w14:paraId="0ED66F8B" w14:textId="77777777" w:rsidR="007A4234" w:rsidRPr="002F2FDF" w:rsidRDefault="007A4234"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81E8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ноября (3 декабря) 1917 Совет Народных Комиссаров назначил К. А. Мехоношина заместителем народного комиссара по военным делам по общему управлению Военным министерством (4216).</w:t>
      </w:r>
    </w:p>
    <w:p w14:paraId="39C85C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2B31BF" w14:textId="4AC175C7" w:rsidR="00952980" w:rsidRPr="00FB4F67" w:rsidRDefault="0095298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20 ноября (</w:t>
      </w:r>
      <w:r w:rsidRPr="00FB4F67">
        <w:rPr>
          <w:rFonts w:ascii="Times New Roman" w:hAnsi="Times New Roman" w:cs="Times New Roman"/>
          <w:color w:val="0070C0"/>
          <w:sz w:val="16"/>
          <w:szCs w:val="16"/>
        </w:rPr>
        <w:t>3 декабря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красные направили в Полевую коллегию Воздушного флота новое временное штатное расписание, которое должно было состоять из следующих разделов: Технический; авиация; авиационный; аэрофотосъемка; и Офис. Полевой генерал-инспектор военно-воздушного флота при штабе Главного командования теперь именовался командующим военной авиацией. Инспекторы авиации фронтов подчинялись штабам каждого фронта. По всем тактическим вопросам они были сообщить в Генеральный штаб в Ставке. По техническим вопросам докладывали генерал-квартирмейстеру (23525).</w:t>
      </w:r>
    </w:p>
    <w:p w14:paraId="74204EB1" w14:textId="77777777" w:rsidR="00952980" w:rsidRPr="00FB4F67" w:rsidRDefault="00952980" w:rsidP="0083075A">
      <w:pPr>
        <w:spacing w:after="0" w:line="240" w:lineRule="auto"/>
        <w:jc w:val="both"/>
        <w:rPr>
          <w:rFonts w:ascii="Times New Roman" w:hAnsi="Times New Roman" w:cs="Times New Roman"/>
          <w:color w:val="0070C0"/>
          <w:sz w:val="16"/>
          <w:szCs w:val="16"/>
        </w:rPr>
      </w:pPr>
    </w:p>
    <w:p w14:paraId="5690015E" w14:textId="77777777" w:rsidR="0050748F" w:rsidRPr="002F2FDF" w:rsidRDefault="0050748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ноября (3 декабря) 1917 начались переговоры в Брест-Литовске. Сначала перемирие до 4 декабря, которое было продлено на 28 дней (12629).</w:t>
      </w:r>
    </w:p>
    <w:p w14:paraId="6D915F91" w14:textId="77777777" w:rsidR="0050748F" w:rsidRPr="002F2FDF" w:rsidRDefault="0050748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0C3781" w14:textId="77777777" w:rsidR="003446BF" w:rsidRPr="002F2FDF" w:rsidRDefault="003446BF"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20 ноября (3 декабря) </w:t>
      </w:r>
      <w:r w:rsidRPr="002F2FDF">
        <w:rPr>
          <w:rFonts w:ascii="Times New Roman" w:hAnsi="Times New Roman" w:cs="Times New Roman"/>
          <w:color w:val="000000" w:themeColor="text1"/>
          <w:kern w:val="2"/>
          <w:sz w:val="16"/>
          <w:szCs w:val="16"/>
        </w:rPr>
        <w:t>в 1917 году в Брест-Литовске начались переговоры о перемирии между Россией и центральноевропейскими державами (Германией, Австро-Венгрией, Болгарией и Турцией) (14849).</w:t>
      </w:r>
    </w:p>
    <w:p w14:paraId="58BA5D8D" w14:textId="77777777" w:rsidR="003446BF" w:rsidRPr="002F2FDF" w:rsidRDefault="003446BF" w:rsidP="0083075A">
      <w:pPr>
        <w:spacing w:after="0" w:line="240" w:lineRule="auto"/>
        <w:jc w:val="both"/>
        <w:rPr>
          <w:rFonts w:ascii="Times New Roman" w:hAnsi="Times New Roman" w:cs="Times New Roman"/>
          <w:color w:val="000000" w:themeColor="text1"/>
          <w:kern w:val="2"/>
          <w:sz w:val="16"/>
          <w:szCs w:val="16"/>
        </w:rPr>
      </w:pPr>
    </w:p>
    <w:p w14:paraId="00A3D6A6" w14:textId="664F4496" w:rsidR="001B6F8A" w:rsidRPr="002F2FDF" w:rsidRDefault="001B6F8A" w:rsidP="0083075A">
      <w:pPr>
        <w:pStyle w:val="ae"/>
        <w:spacing w:before="0" w:after="0"/>
        <w:jc w:val="both"/>
        <w:rPr>
          <w:color w:val="000000" w:themeColor="text1"/>
          <w:kern w:val="2"/>
          <w:sz w:val="16"/>
          <w:szCs w:val="16"/>
        </w:rPr>
      </w:pPr>
      <w:r w:rsidRPr="002F2FDF">
        <w:rPr>
          <w:color w:val="000000" w:themeColor="text1"/>
          <w:kern w:val="2"/>
          <w:sz w:val="16"/>
          <w:szCs w:val="16"/>
        </w:rPr>
        <w:t>20</w:t>
      </w:r>
      <w:r w:rsidR="00E52569">
        <w:rPr>
          <w:color w:val="000000" w:themeColor="text1"/>
          <w:kern w:val="2"/>
          <w:sz w:val="16"/>
          <w:szCs w:val="16"/>
        </w:rPr>
        <w:t xml:space="preserve"> </w:t>
      </w:r>
      <w:r w:rsidRPr="002F2FDF">
        <w:rPr>
          <w:color w:val="000000" w:themeColor="text1"/>
          <w:kern w:val="2"/>
          <w:sz w:val="16"/>
          <w:szCs w:val="16"/>
        </w:rPr>
        <w:t>ноября (</w:t>
      </w:r>
      <w:hyperlink r:id="rId672" w:tooltip="3 декабря" w:history="1">
        <w:r w:rsidRPr="002F2FDF">
          <w:rPr>
            <w:rStyle w:val="a5"/>
            <w:color w:val="000000" w:themeColor="text1"/>
            <w:kern w:val="2"/>
            <w:sz w:val="16"/>
            <w:szCs w:val="16"/>
            <w:u w:val="none"/>
          </w:rPr>
          <w:t>3</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декабря</w:t>
        </w:r>
      </w:hyperlink>
      <w:r w:rsidRPr="002F2FDF">
        <w:rPr>
          <w:color w:val="000000" w:themeColor="text1"/>
          <w:kern w:val="2"/>
          <w:sz w:val="16"/>
          <w:szCs w:val="16"/>
        </w:rPr>
        <w:t>)</w:t>
      </w:r>
      <w:r w:rsidR="00E52569">
        <w:rPr>
          <w:color w:val="000000" w:themeColor="text1"/>
          <w:kern w:val="2"/>
          <w:sz w:val="16"/>
          <w:szCs w:val="16"/>
        </w:rPr>
        <w:t xml:space="preserve"> </w:t>
      </w:r>
      <w:hyperlink r:id="rId673" w:tooltip="1917 год" w:history="1">
        <w:r w:rsidRPr="002F2FDF">
          <w:rPr>
            <w:rStyle w:val="a5"/>
            <w:color w:val="000000" w:themeColor="text1"/>
            <w:kern w:val="2"/>
            <w:sz w:val="16"/>
            <w:szCs w:val="16"/>
            <w:u w:val="none"/>
          </w:rPr>
          <w:t>1917 года</w:t>
        </w:r>
      </w:hyperlink>
      <w:r w:rsidRPr="002F2FDF">
        <w:rPr>
          <w:color w:val="000000" w:themeColor="text1"/>
          <w:kern w:val="2"/>
          <w:sz w:val="16"/>
          <w:szCs w:val="16"/>
        </w:rPr>
        <w:t xml:space="preserve"> в Брест-Литовске начались переговоры с Германией о перемирии. В тот же день в ставку верховного главнокомандующего русской армии в </w:t>
      </w:r>
      <w:hyperlink r:id="rId674" w:tooltip="Могилёв" w:history="1">
        <w:r w:rsidRPr="002F2FDF">
          <w:rPr>
            <w:rStyle w:val="a5"/>
            <w:color w:val="000000" w:themeColor="text1"/>
            <w:kern w:val="2"/>
            <w:sz w:val="16"/>
            <w:szCs w:val="16"/>
            <w:u w:val="none"/>
          </w:rPr>
          <w:t>Могилёве</w:t>
        </w:r>
      </w:hyperlink>
      <w:r w:rsidRPr="002F2FDF">
        <w:rPr>
          <w:color w:val="000000" w:themeColor="text1"/>
          <w:kern w:val="2"/>
          <w:sz w:val="16"/>
          <w:szCs w:val="16"/>
        </w:rPr>
        <w:t xml:space="preserve"> прибыл </w:t>
      </w:r>
      <w:hyperlink r:id="rId675" w:tooltip="Крыленко, Николай Васильевич" w:history="1">
        <w:r w:rsidRPr="002F2FDF">
          <w:rPr>
            <w:rStyle w:val="a5"/>
            <w:color w:val="000000" w:themeColor="text1"/>
            <w:kern w:val="2"/>
            <w:sz w:val="16"/>
            <w:szCs w:val="16"/>
            <w:u w:val="none"/>
          </w:rPr>
          <w:t>Н. В. Крыленко</w:t>
        </w:r>
      </w:hyperlink>
      <w:r w:rsidRPr="002F2FDF">
        <w:rPr>
          <w:color w:val="000000" w:themeColor="text1"/>
          <w:kern w:val="2"/>
          <w:sz w:val="16"/>
          <w:szCs w:val="16"/>
        </w:rPr>
        <w:t>, вступивший в должность Главковерха (17035).</w:t>
      </w:r>
    </w:p>
    <w:p w14:paraId="286E4B6A" w14:textId="77777777" w:rsidR="001B6F8A" w:rsidRPr="002F2FDF" w:rsidRDefault="001B6F8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4FE2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December 3, 1917 Russian Bolsheviki arrange armistice with Germans (1036).</w:t>
      </w:r>
    </w:p>
    <w:p w14:paraId="55AA4D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0173AF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ноября (3 декабря) 1917 было заключено перемирие с немцами (1036).</w:t>
      </w:r>
    </w:p>
    <w:p w14:paraId="4E1D86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CBDB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ноября (3 декабря) 1917 начались переговоры с немцами (а т. Австро-Венгрией, Болгарией, Турцией) в Брест-Литовске и 2 (15) декабря 1917 было подписано перемирие (226,242).</w:t>
      </w:r>
    </w:p>
    <w:p w14:paraId="70A41B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168980" w14:textId="42A1D7AC" w:rsidR="00952980" w:rsidRPr="00FB4F67" w:rsidRDefault="0095298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20 ноября (</w:t>
      </w:r>
      <w:r w:rsidRPr="00FB4F67">
        <w:rPr>
          <w:rFonts w:ascii="Times New Roman" w:hAnsi="Times New Roman" w:cs="Times New Roman"/>
          <w:color w:val="0070C0"/>
          <w:sz w:val="16"/>
          <w:szCs w:val="16"/>
        </w:rPr>
        <w:t>3 декабря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Брест-Литовск прибыли мирные делегации СССР и Центральных держав. В этот день в Риге Лифляндия (Латвия) объявила о своей независимости от России  (23525).</w:t>
      </w:r>
    </w:p>
    <w:p w14:paraId="7CA5FCC4" w14:textId="77777777" w:rsidR="00952980" w:rsidRPr="00FB4F67" w:rsidRDefault="00952980" w:rsidP="0083075A">
      <w:pPr>
        <w:spacing w:after="0" w:line="240" w:lineRule="auto"/>
        <w:jc w:val="both"/>
        <w:rPr>
          <w:rFonts w:ascii="Times New Roman" w:hAnsi="Times New Roman" w:cs="Times New Roman"/>
          <w:color w:val="0070C0"/>
          <w:sz w:val="16"/>
          <w:szCs w:val="16"/>
        </w:rPr>
      </w:pPr>
    </w:p>
    <w:p w14:paraId="62B442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ноября (3 декабря) 1917 была ликвидирована старая Ставка в Могилеве (2443,389). Н.Крыленко завладел Ставкой и Н.Духонин был зверски убит солдатами и матросами (3808,271).</w:t>
      </w:r>
    </w:p>
    <w:p w14:paraId="387393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E31ED6"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ноября (3 декабря) 1917 на станции в Могилеве толпа солдат растерзала русского главнокомандующего генерала Духонина (4962).</w:t>
      </w:r>
    </w:p>
    <w:p w14:paraId="5822D5A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6A4BD1" w14:textId="77777777" w:rsidR="003446BF" w:rsidRPr="002F2FDF" w:rsidRDefault="003446BF"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20 ноября (3 декабря) </w:t>
      </w:r>
      <w:r w:rsidRPr="002F2FDF">
        <w:rPr>
          <w:rFonts w:ascii="Times New Roman" w:hAnsi="Times New Roman" w:cs="Times New Roman"/>
          <w:color w:val="000000" w:themeColor="text1"/>
          <w:kern w:val="2"/>
          <w:sz w:val="16"/>
          <w:szCs w:val="16"/>
        </w:rPr>
        <w:t>в 1917 году в Могилеве толпа революционно настроенных матросов и солдат поднимает на штыки генерала Николая Духонина, после свержения Временного правительства исполнявшего должность Верховного Главнокомандующего и отказавшегося выполнять приказ Совнаркома о заключении перемирия с немцами. Новому главковерху большевику Николаю Крыленко не удается предотвратить самосуд, вызванный известием о том, что Духонин освободил Корнилова, Деникина и других арестованных генералов-мятежников (14849).</w:t>
      </w:r>
    </w:p>
    <w:p w14:paraId="47EB71F5" w14:textId="77777777" w:rsidR="003446BF" w:rsidRPr="002F2FDF" w:rsidRDefault="003446BF" w:rsidP="0083075A">
      <w:pPr>
        <w:spacing w:after="0" w:line="240" w:lineRule="auto"/>
        <w:jc w:val="both"/>
        <w:rPr>
          <w:rFonts w:ascii="Times New Roman" w:hAnsi="Times New Roman" w:cs="Times New Roman"/>
          <w:color w:val="000000" w:themeColor="text1"/>
          <w:kern w:val="2"/>
          <w:sz w:val="16"/>
          <w:szCs w:val="16"/>
        </w:rPr>
      </w:pPr>
    </w:p>
    <w:p w14:paraId="2E7FA67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221CA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5984E6"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20 ноября (3 декабря) 1917. В целях борьбы со злоупотреблениями спиртными напитками комиссар по гражданской части Москвы постановил: всем частным и казенным винным заводам ежемесячно представлять отчеты на все выпущенные напитки. Складам, магазинам и казенным лапкам отпускать денатурированный спирт только по удостоверениям комиссаров. За нарушение приказа пообещали виновных предавать военно-революционному суду (18685).</w:t>
      </w:r>
    </w:p>
    <w:p w14:paraId="264C1824"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p>
    <w:p w14:paraId="5046D37A" w14:textId="40D0A9B9" w:rsidR="00FF33CC" w:rsidRPr="002F2FDF" w:rsidRDefault="00FF33CC"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20 ноября (3 декабря)</w:t>
      </w:r>
      <w:r w:rsidR="00E52569">
        <w:rPr>
          <w:rStyle w:val="a7"/>
          <w:rFonts w:eastAsiaTheme="majorEastAsia"/>
          <w:b w:val="0"/>
          <w:color w:val="000000" w:themeColor="text1"/>
          <w:sz w:val="16"/>
          <w:szCs w:val="16"/>
        </w:rPr>
        <w:t xml:space="preserve"> </w:t>
      </w:r>
      <w:r w:rsidRPr="002F2FDF">
        <w:rPr>
          <w:rStyle w:val="a7"/>
          <w:rFonts w:eastAsiaTheme="majorEastAsia"/>
          <w:b w:val="0"/>
          <w:color w:val="000000" w:themeColor="text1"/>
          <w:sz w:val="16"/>
          <w:szCs w:val="16"/>
        </w:rPr>
        <w:t>1917</w:t>
      </w:r>
      <w:r w:rsidR="00E52569">
        <w:rPr>
          <w:rStyle w:val="a7"/>
          <w:rFonts w:eastAsiaTheme="majorEastAsia"/>
          <w:b w:val="0"/>
          <w:color w:val="000000" w:themeColor="text1"/>
          <w:sz w:val="16"/>
          <w:szCs w:val="16"/>
        </w:rPr>
        <w:t xml:space="preserve"> </w:t>
      </w:r>
      <w:r w:rsidRPr="002F2FDF">
        <w:rPr>
          <w:color w:val="000000" w:themeColor="text1"/>
          <w:sz w:val="16"/>
          <w:szCs w:val="16"/>
        </w:rPr>
        <w:t>Московское Областное Бюро РСДРП(б) разослало по уездам Инструкцию «</w:t>
      </w:r>
      <w:r w:rsidRPr="002F2FDF">
        <w:rPr>
          <w:rStyle w:val="af0"/>
          <w:i w:val="0"/>
          <w:color w:val="000000" w:themeColor="text1"/>
          <w:sz w:val="16"/>
          <w:szCs w:val="16"/>
        </w:rPr>
        <w:t>всем партийным организациям Центральной Промышленной зоны</w:t>
      </w:r>
      <w:r w:rsidRPr="002F2FDF">
        <w:rPr>
          <w:color w:val="000000" w:themeColor="text1"/>
          <w:sz w:val="16"/>
          <w:szCs w:val="16"/>
        </w:rPr>
        <w:t>» с указанием о «</w:t>
      </w:r>
      <w:r w:rsidRPr="002F2FDF">
        <w:rPr>
          <w:rStyle w:val="af0"/>
          <w:i w:val="0"/>
          <w:color w:val="000000" w:themeColor="text1"/>
          <w:sz w:val="16"/>
          <w:szCs w:val="16"/>
        </w:rPr>
        <w:t>превращении всех местных Советов в подлинные органы власти рабочих и крестьян</w:t>
      </w:r>
      <w:r w:rsidRPr="002F2FDF">
        <w:rPr>
          <w:color w:val="000000" w:themeColor="text1"/>
          <w:sz w:val="16"/>
          <w:szCs w:val="16"/>
        </w:rPr>
        <w:t>» (18371).</w:t>
      </w:r>
    </w:p>
    <w:p w14:paraId="482BC437" w14:textId="77777777" w:rsidR="00FF33CC" w:rsidRPr="002F2FDF" w:rsidRDefault="00FF33CC" w:rsidP="0083075A">
      <w:pPr>
        <w:pStyle w:val="ae"/>
        <w:spacing w:before="0" w:after="0"/>
        <w:jc w:val="both"/>
        <w:rPr>
          <w:color w:val="000000" w:themeColor="text1"/>
          <w:sz w:val="16"/>
          <w:szCs w:val="16"/>
        </w:rPr>
      </w:pPr>
    </w:p>
    <w:p w14:paraId="5213441A" w14:textId="77777777" w:rsidR="009A1531" w:rsidRPr="002F2FDF" w:rsidRDefault="009A1531"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20 ноября (3 декабря) 1917 г. в Совнаркоме был заслушан доклад Д. П. Боголепова и Кузовкова о проекте новых налогов и об общем направлении финансовой политики. Постановили назначить на следующий день экстренное заседание по вопросу об общем направлении финансовой политики правительства республики.2 (18085)</w:t>
      </w:r>
    </w:p>
    <w:p w14:paraId="48287648" w14:textId="77777777" w:rsidR="009A1531" w:rsidRPr="002F2FDF" w:rsidRDefault="009A1531" w:rsidP="0083075A">
      <w:pPr>
        <w:pStyle w:val="a3"/>
        <w:rPr>
          <w:rFonts w:eastAsia="Times New Roman"/>
          <w:color w:val="000000" w:themeColor="text1"/>
          <w:lang w:val="ru-RU" w:eastAsia="ru-RU"/>
        </w:rPr>
      </w:pPr>
    </w:p>
    <w:p w14:paraId="534E8404" w14:textId="77777777" w:rsidR="009A1531" w:rsidRPr="002F2FDF" w:rsidRDefault="009A1531" w:rsidP="0083075A">
      <w:pPr>
        <w:pStyle w:val="a3"/>
        <w:rPr>
          <w:color w:val="000000" w:themeColor="text1"/>
          <w:lang w:val="ru-RU"/>
        </w:rPr>
      </w:pPr>
      <w:r w:rsidRPr="002F2FDF">
        <w:rPr>
          <w:rFonts w:eastAsia="Times New Roman"/>
          <w:color w:val="000000" w:themeColor="text1"/>
          <w:lang w:val="ru-RU" w:eastAsia="ru-RU"/>
        </w:rPr>
        <w:t>20 и 21 ноября (3 и 4 декабря) 1917 г. налоговый вопрос поднимался в СНК. Причем на втором заседании Д. П. Боголепов представил проект нового положения о подоходном налоге. 24 ноября (7 декабря) 1917 г. проект был принят. Так появился "Декрет о взимании прямых налогов". Его цель - заставить население платить налоги. К взиманию платежей, кроме обычных органов, привлекались местные советы, которые обязаны были направить в казенные палаты своих комиссаров. Советы получали право для "понуждения" к исполнению налогов пользоваться Красной гвардией и милицией.23 (18085)</w:t>
      </w:r>
    </w:p>
    <w:p w14:paraId="062B81D2" w14:textId="77777777" w:rsidR="009A1531" w:rsidRPr="002F2FDF" w:rsidRDefault="009A1531" w:rsidP="0083075A">
      <w:pPr>
        <w:pStyle w:val="a3"/>
        <w:rPr>
          <w:color w:val="000000" w:themeColor="text1"/>
          <w:lang w:val="ru-RU"/>
        </w:rPr>
      </w:pPr>
    </w:p>
    <w:p w14:paraId="4E200C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ноября (3 декабря) 1917 Правительство Советской России приняло обращение "Ко всем трудящимся мусульманам России и Востока" (3186).</w:t>
      </w:r>
    </w:p>
    <w:p w14:paraId="3E7E73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10BFD9" w14:textId="77777777" w:rsidR="003446BF" w:rsidRPr="002F2FDF" w:rsidRDefault="003446BF"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20 ноября (3 декабря) </w:t>
      </w:r>
      <w:r w:rsidRPr="002F2FDF">
        <w:rPr>
          <w:rFonts w:ascii="Times New Roman" w:hAnsi="Times New Roman" w:cs="Times New Roman"/>
          <w:color w:val="000000" w:themeColor="text1"/>
          <w:kern w:val="2"/>
          <w:sz w:val="16"/>
          <w:szCs w:val="16"/>
        </w:rPr>
        <w:t>в 1917 году призыв Ленина и Сталина ко всем мусульманам России и Востока начать борьбу за освобождение от всех форм угнетения; обращение Совнаркома "Ко всем трудящимся-мусульманам России и Востока" (14849).</w:t>
      </w:r>
    </w:p>
    <w:p w14:paraId="619CA08D" w14:textId="77777777" w:rsidR="003446BF" w:rsidRPr="002F2FDF" w:rsidRDefault="003446BF" w:rsidP="0083075A">
      <w:pPr>
        <w:spacing w:after="0" w:line="240" w:lineRule="auto"/>
        <w:jc w:val="both"/>
        <w:rPr>
          <w:rFonts w:ascii="Times New Roman" w:hAnsi="Times New Roman" w:cs="Times New Roman"/>
          <w:color w:val="000000" w:themeColor="text1"/>
          <w:kern w:val="2"/>
          <w:sz w:val="16"/>
          <w:szCs w:val="16"/>
        </w:rPr>
      </w:pPr>
    </w:p>
    <w:p w14:paraId="50C82E51" w14:textId="77777777" w:rsidR="007A4234" w:rsidRPr="002F2FDF" w:rsidRDefault="007A4234" w:rsidP="0083075A">
      <w:pPr>
        <w:pStyle w:val="ae"/>
        <w:spacing w:before="0" w:after="0"/>
        <w:jc w:val="both"/>
        <w:rPr>
          <w:color w:val="000000" w:themeColor="text1"/>
          <w:kern w:val="2"/>
          <w:sz w:val="16"/>
          <w:szCs w:val="16"/>
        </w:rPr>
      </w:pPr>
      <w:r w:rsidRPr="002F2FDF">
        <w:rPr>
          <w:rStyle w:val="ucoz-forum-post"/>
          <w:bCs/>
          <w:color w:val="000000" w:themeColor="text1"/>
          <w:kern w:val="2"/>
          <w:sz w:val="16"/>
          <w:szCs w:val="16"/>
        </w:rPr>
        <w:t xml:space="preserve">20 ноября (3 декабря) </w:t>
      </w:r>
      <w:r w:rsidRPr="002F2FDF">
        <w:rPr>
          <w:color w:val="000000" w:themeColor="text1"/>
          <w:kern w:val="2"/>
          <w:sz w:val="16"/>
          <w:szCs w:val="16"/>
        </w:rPr>
        <w:t>в 1917 году было издано обращение СНК «Ко всем трудящимся мусульманам России и Востока», в котором СНК объявил свободными и неприкосновенными национальные и культурные учреждения, обычаи и верования мусульман, гарантируя им «полную свободу устройства своей жизни». Таким образом большевики отреагировали на появление в мусульманских регионах империи своих «правительств» (17045).</w:t>
      </w:r>
    </w:p>
    <w:p w14:paraId="2AA5C540" w14:textId="77777777" w:rsidR="007A4234" w:rsidRPr="002F2FDF" w:rsidRDefault="007A4234"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8CEA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ноября (3 декабря) 1920 в Уфе собралась Национальная мусульманская ассамблея для подготовки национально-культурной автономии мусульман России (3908,270).</w:t>
      </w:r>
    </w:p>
    <w:p w14:paraId="1D06C7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0E0C9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lastRenderedPageBreak/>
        <w:t>За рубежом:</w:t>
      </w:r>
    </w:p>
    <w:p w14:paraId="3E05ED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7F94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ноября (3 декабря) 1917 в Британии создано из воздушного совета при правительстве воздушное министерство (11999).</w:t>
      </w:r>
    </w:p>
    <w:p w14:paraId="2D70EE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8BFB8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ноября (3 декабря) 1917 открыт самый длинный в мире мост - Квебекский через р. Св. Лаврентия (4962).</w:t>
      </w:r>
    </w:p>
    <w:p w14:paraId="753D51A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72EEFA" w14:textId="77777777" w:rsidR="00FF33CC" w:rsidRPr="002F2FDF" w:rsidRDefault="00FF33C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046CF59" w14:textId="77777777" w:rsidR="00FF33CC" w:rsidRPr="002F2FDF" w:rsidRDefault="00FF33C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8D8410" w14:textId="04EA4509" w:rsidR="00FF33CC" w:rsidRPr="002F2FDF" w:rsidRDefault="00FF33CC" w:rsidP="0083075A">
      <w:pPr>
        <w:pStyle w:val="p1"/>
        <w:spacing w:before="0" w:beforeAutospacing="0" w:after="0" w:afterAutospacing="0"/>
        <w:jc w:val="both"/>
        <w:rPr>
          <w:color w:val="000000" w:themeColor="text1"/>
          <w:sz w:val="16"/>
          <w:szCs w:val="16"/>
        </w:rPr>
      </w:pPr>
      <w:r w:rsidRPr="002F2FDF">
        <w:rPr>
          <w:color w:val="000000" w:themeColor="text1"/>
          <w:sz w:val="16"/>
          <w:szCs w:val="16"/>
        </w:rPr>
        <w:t>21 ноября</w:t>
      </w:r>
      <w:r w:rsidRPr="002F2FDF">
        <w:rPr>
          <w:rStyle w:val="a7"/>
          <w:rFonts w:eastAsiaTheme="majorEastAsia"/>
          <w:b w:val="0"/>
          <w:color w:val="000000" w:themeColor="text1"/>
          <w:sz w:val="16"/>
          <w:szCs w:val="16"/>
        </w:rPr>
        <w:t xml:space="preserve"> (4 декабря)</w:t>
      </w:r>
      <w:r w:rsidRPr="002F2FDF">
        <w:rPr>
          <w:color w:val="000000" w:themeColor="text1"/>
          <w:sz w:val="16"/>
          <w:szCs w:val="16"/>
        </w:rPr>
        <w:t xml:space="preserve"> 1917 года Подвойский при поддержке двух других членов СНК (А.Г. Шляпникова и А.М. Коллонтай) ходатайствовал об освобождении арестованного А.А. Маниковского и, более того — назначении его на «ответственный пост». Совнарком высказался против и, приняв предложение Троцкого о неосвобождении Маниковского, даже предложил «отдельным своим членам» (естественно, Подвойский попал в эту категорию) усилить чистку «контрреволюционных гнёзд» и не возбуждать снова и снова вопроса о смягчении рабоче-крестьянской диктатуры, направленной против «контрреволюционных верхов»[191]. Согласно проекту резолюции первоначально предполагалось объявить выговор членам коллегии по управлению Военным министерствам В.А. Антонову-Овсеенко, Н.В. Крыленко и Н.И. Подвойскому «за недостаточный контроль над военным ведомством»[192]</w:t>
      </w:r>
      <w:r w:rsidR="00E52569">
        <w:rPr>
          <w:color w:val="000000" w:themeColor="text1"/>
          <w:sz w:val="16"/>
          <w:szCs w:val="16"/>
        </w:rPr>
        <w:t xml:space="preserve"> </w:t>
      </w:r>
      <w:r w:rsidRPr="002F2FDF">
        <w:rPr>
          <w:color w:val="000000" w:themeColor="text1"/>
          <w:sz w:val="16"/>
          <w:szCs w:val="16"/>
        </w:rPr>
        <w:t>и даже (выясняется теперь из опубликованного протокола СНК) предложить членам коллегии подать в отставку, а новое руководство Наркомвоена сформировать в лице М.Т. Елизарова, В.Р. Менжинского и Л.Д. Троцкого[193].</w:t>
      </w:r>
    </w:p>
    <w:p w14:paraId="3B104808" w14:textId="53821C50" w:rsidR="00FF33CC" w:rsidRPr="002F2FDF" w:rsidRDefault="00FF33CC"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На заседании присутствовало 15 человек: наркомы и члены коллегий наркоматов. Среди последних — П.А. Красиков и М.Ю. Козловский (их заявление «о деле генералов Маниковского и Марушевского» обсуждал СНК), в 1917 году оба — члены Исполкома Петросовета. Вряд ли исполняющие обязанности членов коллегии Наркомюста были инициаторами предложения о смене военного руководства. Логично предположить, что инициатором был автор и принятой в итоге обсуждения резолюции — бывший председатель Петросовета Троцкий. Скорее всего, это была его попытка сменить Народный комиссариат по иностранным делам (НКИД) на военное ведомство. Отношения Троцкого и Менжинского были нормальными[194]; к тому же, позднее Троцкий описал Менжинского как «неосуществившуюся» тень другого человека,</w:t>
      </w:r>
      <w:r w:rsidR="00E52569">
        <w:rPr>
          <w:color w:val="000000" w:themeColor="text1"/>
          <w:sz w:val="16"/>
          <w:szCs w:val="16"/>
        </w:rPr>
        <w:t xml:space="preserve"> </w:t>
      </w:r>
      <w:r w:rsidRPr="002F2FDF">
        <w:rPr>
          <w:rStyle w:val="af0"/>
          <w:rFonts w:eastAsiaTheme="majorEastAsia"/>
          <w:i w:val="0"/>
          <w:color w:val="000000" w:themeColor="text1"/>
          <w:sz w:val="16"/>
          <w:szCs w:val="16"/>
        </w:rPr>
        <w:t>«способного политически существовать только милостью аппарата»</w:t>
      </w:r>
      <w:r w:rsidRPr="002F2FDF">
        <w:rPr>
          <w:color w:val="000000" w:themeColor="text1"/>
          <w:sz w:val="16"/>
          <w:szCs w:val="16"/>
        </w:rPr>
        <w:t>[195] — такой соратник вполне мог его устроить. Фамилии Менжинского и Троцкого были из проекта вычеркнуты — скорее всего, уже во время обсуждения Совнаркомом. Источников нет, но можно предположить, что на заседании Ленин помешал Троцкому взять в руки ключ к власти (он прекрасно знал, что результатом Великой Французской революции стала военная диктатура).</w:t>
      </w:r>
    </w:p>
    <w:p w14:paraId="7AA83C29" w14:textId="286B16F8" w:rsidR="00FF33CC" w:rsidRPr="002F2FDF" w:rsidRDefault="00FF33CC"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Как бы там ни было, на заседании 21 ноября курс Подвойского на постепенное «овладение» аппаратом Военного министерства явно потерпел поражение. Это объясняет поздний выход «охранной грамоты» служащим центрального военного аппарата: только 22 ноября 1917 года. Подвойский заверил служащих военного ведомства, что они будут увольняться и арестовываться только за неподчинение Советской власти, а также в случаях</w:t>
      </w:r>
      <w:r w:rsidR="00E52569">
        <w:rPr>
          <w:color w:val="000000" w:themeColor="text1"/>
          <w:sz w:val="16"/>
          <w:szCs w:val="16"/>
        </w:rPr>
        <w:t xml:space="preserve"> </w:t>
      </w:r>
      <w:r w:rsidRPr="002F2FDF">
        <w:rPr>
          <w:rStyle w:val="af0"/>
          <w:rFonts w:eastAsiaTheme="majorEastAsia"/>
          <w:i w:val="0"/>
          <w:color w:val="000000" w:themeColor="text1"/>
          <w:sz w:val="16"/>
          <w:szCs w:val="16"/>
        </w:rPr>
        <w:t>«сокращения штатов и неспособности тех или других лиц»</w:t>
      </w:r>
      <w:r w:rsidRPr="002F2FDF">
        <w:rPr>
          <w:color w:val="000000" w:themeColor="text1"/>
          <w:sz w:val="16"/>
          <w:szCs w:val="16"/>
        </w:rPr>
        <w:t>[196]. (18385).</w:t>
      </w:r>
    </w:p>
    <w:p w14:paraId="2318E842" w14:textId="77777777" w:rsidR="00FF33CC" w:rsidRPr="002F2FDF" w:rsidRDefault="00FF33CC" w:rsidP="0083075A">
      <w:pPr>
        <w:pStyle w:val="p1"/>
        <w:spacing w:before="0" w:beforeAutospacing="0" w:after="0" w:afterAutospacing="0"/>
        <w:jc w:val="both"/>
        <w:rPr>
          <w:color w:val="000000" w:themeColor="text1"/>
          <w:sz w:val="16"/>
          <w:szCs w:val="16"/>
        </w:rPr>
      </w:pPr>
    </w:p>
    <w:p w14:paraId="0D92ED1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89E5F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B9EB0D" w14:textId="0D28EB64" w:rsidR="00DA796B" w:rsidRPr="002F2FDF" w:rsidRDefault="00DA796B" w:rsidP="0083075A">
      <w:pPr>
        <w:pStyle w:val="ae"/>
        <w:spacing w:before="0" w:after="0"/>
        <w:jc w:val="both"/>
        <w:rPr>
          <w:color w:val="000000" w:themeColor="text1"/>
          <w:kern w:val="2"/>
          <w:sz w:val="16"/>
          <w:szCs w:val="16"/>
        </w:rPr>
      </w:pPr>
      <w:r w:rsidRPr="002F2FDF">
        <w:rPr>
          <w:color w:val="000000" w:themeColor="text1"/>
          <w:kern w:val="2"/>
          <w:sz w:val="16"/>
          <w:szCs w:val="16"/>
        </w:rPr>
        <w:t>21</w:t>
      </w:r>
      <w:r w:rsidR="00E52569">
        <w:rPr>
          <w:color w:val="000000" w:themeColor="text1"/>
          <w:kern w:val="2"/>
          <w:sz w:val="16"/>
          <w:szCs w:val="16"/>
        </w:rPr>
        <w:t xml:space="preserve"> </w:t>
      </w:r>
      <w:r w:rsidRPr="002F2FDF">
        <w:rPr>
          <w:color w:val="000000" w:themeColor="text1"/>
          <w:kern w:val="2"/>
          <w:sz w:val="16"/>
          <w:szCs w:val="16"/>
        </w:rPr>
        <w:t>ноября (</w:t>
      </w:r>
      <w:hyperlink r:id="rId676" w:tooltip="4 декабря" w:history="1">
        <w:r w:rsidRPr="002F2FDF">
          <w:rPr>
            <w:rStyle w:val="a5"/>
            <w:color w:val="000000" w:themeColor="text1"/>
            <w:kern w:val="2"/>
            <w:sz w:val="16"/>
            <w:szCs w:val="16"/>
            <w:u w:val="none"/>
          </w:rPr>
          <w:t>4</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декабря</w:t>
        </w:r>
      </w:hyperlink>
      <w:r w:rsidRPr="002F2FDF">
        <w:rPr>
          <w:color w:val="000000" w:themeColor="text1"/>
          <w:kern w:val="2"/>
          <w:sz w:val="16"/>
          <w:szCs w:val="16"/>
        </w:rPr>
        <w:t>) 1917 в городе Брест-Литовск (ныне Брест на западе Белоруссии) делегация большевистского правительства, прибывшая несколькими днями ранее для мирных переговоров с представителями Центральных держав, изложила свои условия — перемирие заключается сроком на 6 месяцев, боевые действия приостанавливаются на всех участках Восточного фронта, немецкие войска выводятся из Риги и с Моонзундских островов (у западных берегов Эстонии), немцы не перебрасывают высвободившиеся части на Западный фронт. Германское командование, однако, заняло жесткую позицию, отказавшись отводить войска из Риги и с островов в Балтийском море, а также останавливать уже начавшуюся переброску войск во Францию и Бельгию. В итоге через два дня бурных дискуссий стороны договорились заключить перемирие пока лишь на 10 дней — с 7 по 17 декабря. 10 декабря ход мирных переговоров с Германией был обсужден на заседании Совнаркома (СНК), который поручил делегации в Брест-Литовске придерживаться позиции ленинского «Декрета о мире», провозглашавшего «немедленный мир без аннексий и контрибуций».</w:t>
      </w:r>
    </w:p>
    <w:p w14:paraId="4D7B3DC5" w14:textId="77777777" w:rsidR="00DA796B" w:rsidRPr="002F2FDF" w:rsidRDefault="00DA796B" w:rsidP="0083075A">
      <w:pPr>
        <w:pStyle w:val="ae"/>
        <w:spacing w:before="0" w:after="0"/>
        <w:jc w:val="both"/>
        <w:rPr>
          <w:color w:val="000000" w:themeColor="text1"/>
          <w:kern w:val="2"/>
          <w:sz w:val="16"/>
          <w:szCs w:val="16"/>
        </w:rPr>
      </w:pPr>
      <w:r w:rsidRPr="002F2FDF">
        <w:rPr>
          <w:color w:val="000000" w:themeColor="text1"/>
          <w:kern w:val="2"/>
          <w:sz w:val="16"/>
          <w:szCs w:val="16"/>
        </w:rPr>
        <w:t>Британский посол в Париже Френсис Берти 8 декабря оставил такую запись в своем дневнике: «Бывший военный министр Франции Этьен посетил меня сегодня днем. Он негодует на русских. Общественность начинает здесь понимать, что казаки едва ли принесут нам реальную пользу. Россия будет находиться в состоянии брожения в течение долгого времени. Отбросы поднялись сейчас наверх в виде накипи, и потребуется кровожадный диктатор, чтобы эту накипь снять. Такой диктатор найдется, когда народ начнет страдать от этой сволочи. В настоящий момент они не хотят сражаться, и нет никого, кто бы заставил их сражаться. Они хотят грабить и делить землю» (17045).</w:t>
      </w:r>
    </w:p>
    <w:p w14:paraId="0BFD8590" w14:textId="77777777" w:rsidR="00DA796B" w:rsidRPr="002F2FDF" w:rsidRDefault="00DA796B" w:rsidP="0083075A">
      <w:pPr>
        <w:pStyle w:val="ae"/>
        <w:spacing w:before="0" w:after="0"/>
        <w:jc w:val="both"/>
        <w:rPr>
          <w:color w:val="000000" w:themeColor="text1"/>
          <w:kern w:val="2"/>
          <w:sz w:val="16"/>
          <w:szCs w:val="16"/>
        </w:rPr>
      </w:pPr>
    </w:p>
    <w:p w14:paraId="17F9945F" w14:textId="0D99EC02" w:rsidR="00716CDB" w:rsidRPr="002F2FDF" w:rsidRDefault="00716CDB" w:rsidP="0083075A">
      <w:pPr>
        <w:pStyle w:val="ae"/>
        <w:spacing w:before="0" w:after="0"/>
        <w:jc w:val="both"/>
        <w:rPr>
          <w:color w:val="000000" w:themeColor="text1"/>
          <w:kern w:val="2"/>
          <w:sz w:val="16"/>
          <w:szCs w:val="16"/>
        </w:rPr>
      </w:pPr>
      <w:r w:rsidRPr="002F2FDF">
        <w:rPr>
          <w:color w:val="000000" w:themeColor="text1"/>
          <w:kern w:val="2"/>
          <w:sz w:val="16"/>
          <w:szCs w:val="16"/>
        </w:rPr>
        <w:t>21</w:t>
      </w:r>
      <w:r w:rsidR="00E52569">
        <w:rPr>
          <w:color w:val="000000" w:themeColor="text1"/>
          <w:kern w:val="2"/>
          <w:sz w:val="16"/>
          <w:szCs w:val="16"/>
        </w:rPr>
        <w:t xml:space="preserve"> </w:t>
      </w:r>
      <w:r w:rsidRPr="002F2FDF">
        <w:rPr>
          <w:color w:val="000000" w:themeColor="text1"/>
          <w:kern w:val="2"/>
          <w:sz w:val="16"/>
          <w:szCs w:val="16"/>
        </w:rPr>
        <w:t>ноября (</w:t>
      </w:r>
      <w:hyperlink r:id="rId677" w:tooltip="4 декабря" w:history="1">
        <w:r w:rsidRPr="002F2FDF">
          <w:rPr>
            <w:rStyle w:val="a5"/>
            <w:color w:val="000000" w:themeColor="text1"/>
            <w:kern w:val="2"/>
            <w:sz w:val="16"/>
            <w:szCs w:val="16"/>
            <w:u w:val="none"/>
          </w:rPr>
          <w:t>4</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декабря</w:t>
        </w:r>
      </w:hyperlink>
      <w:r w:rsidRPr="002F2FDF">
        <w:rPr>
          <w:color w:val="000000" w:themeColor="text1"/>
          <w:kern w:val="2"/>
          <w:sz w:val="16"/>
          <w:szCs w:val="16"/>
        </w:rPr>
        <w:t>) 1917 советская делегация изложила свои условия перемирия:</w:t>
      </w:r>
    </w:p>
    <w:p w14:paraId="5CBDB6AF" w14:textId="77777777" w:rsidR="00716CDB" w:rsidRPr="002F2FDF" w:rsidRDefault="00716C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перемирие заключается на 6 месяцев;</w:t>
      </w:r>
    </w:p>
    <w:p w14:paraId="75163DEC" w14:textId="77777777" w:rsidR="00716CDB" w:rsidRPr="002F2FDF" w:rsidRDefault="00716C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военные действия приостанавливаются на всех фронтах;</w:t>
      </w:r>
    </w:p>
    <w:p w14:paraId="71528B94" w14:textId="77777777" w:rsidR="00716CDB" w:rsidRPr="002F2FDF" w:rsidRDefault="00716C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немецкие войска выводятся из </w:t>
      </w:r>
      <w:hyperlink r:id="rId678" w:tooltip="Рига" w:history="1">
        <w:r w:rsidRPr="002F2FDF">
          <w:rPr>
            <w:rStyle w:val="a5"/>
            <w:rFonts w:ascii="Times New Roman" w:hAnsi="Times New Roman" w:cs="Times New Roman"/>
            <w:color w:val="000000" w:themeColor="text1"/>
            <w:kern w:val="2"/>
            <w:sz w:val="16"/>
            <w:szCs w:val="16"/>
            <w:u w:val="none"/>
          </w:rPr>
          <w:t>Риги</w:t>
        </w:r>
      </w:hyperlink>
      <w:r w:rsidRPr="002F2FDF">
        <w:rPr>
          <w:rFonts w:ascii="Times New Roman" w:hAnsi="Times New Roman" w:cs="Times New Roman"/>
          <w:color w:val="000000" w:themeColor="text1"/>
          <w:kern w:val="2"/>
          <w:sz w:val="16"/>
          <w:szCs w:val="16"/>
        </w:rPr>
        <w:t xml:space="preserve"> и с </w:t>
      </w:r>
      <w:hyperlink r:id="rId679" w:tooltip="Моонзундский архипелаг" w:history="1">
        <w:r w:rsidRPr="002F2FDF">
          <w:rPr>
            <w:rStyle w:val="a5"/>
            <w:rFonts w:ascii="Times New Roman" w:hAnsi="Times New Roman" w:cs="Times New Roman"/>
            <w:color w:val="000000" w:themeColor="text1"/>
            <w:kern w:val="2"/>
            <w:sz w:val="16"/>
            <w:szCs w:val="16"/>
            <w:u w:val="none"/>
          </w:rPr>
          <w:t>Моонзундских островов</w:t>
        </w:r>
      </w:hyperlink>
      <w:r w:rsidRPr="002F2FDF">
        <w:rPr>
          <w:rFonts w:ascii="Times New Roman" w:hAnsi="Times New Roman" w:cs="Times New Roman"/>
          <w:color w:val="000000" w:themeColor="text1"/>
          <w:kern w:val="2"/>
          <w:sz w:val="16"/>
          <w:szCs w:val="16"/>
        </w:rPr>
        <w:t>;</w:t>
      </w:r>
    </w:p>
    <w:p w14:paraId="06C1AEEB" w14:textId="77777777" w:rsidR="00716CDB" w:rsidRPr="002F2FDF" w:rsidRDefault="00716C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запрещаются какие бы то ни было переброски немецких войск на </w:t>
      </w:r>
      <w:hyperlink r:id="rId680" w:tooltip="Западный фронт Первой мировой войны" w:history="1">
        <w:r w:rsidRPr="002F2FDF">
          <w:rPr>
            <w:rStyle w:val="a5"/>
            <w:rFonts w:ascii="Times New Roman" w:hAnsi="Times New Roman" w:cs="Times New Roman"/>
            <w:color w:val="000000" w:themeColor="text1"/>
            <w:kern w:val="2"/>
            <w:sz w:val="16"/>
            <w:szCs w:val="16"/>
            <w:u w:val="none"/>
          </w:rPr>
          <w:t>Западный фронт</w:t>
        </w:r>
      </w:hyperlink>
      <w:r w:rsidRPr="002F2FDF">
        <w:rPr>
          <w:rFonts w:ascii="Times New Roman" w:hAnsi="Times New Roman" w:cs="Times New Roman"/>
          <w:color w:val="000000" w:themeColor="text1"/>
          <w:kern w:val="2"/>
          <w:sz w:val="16"/>
          <w:szCs w:val="16"/>
        </w:rPr>
        <w:t>.</w:t>
      </w:r>
    </w:p>
    <w:p w14:paraId="4F60347A" w14:textId="77777777" w:rsidR="00716CDB" w:rsidRPr="002F2FDF" w:rsidRDefault="00716CDB" w:rsidP="0083075A">
      <w:pPr>
        <w:pStyle w:val="ae"/>
        <w:spacing w:before="0" w:after="0"/>
        <w:jc w:val="both"/>
        <w:rPr>
          <w:color w:val="000000" w:themeColor="text1"/>
          <w:kern w:val="2"/>
          <w:sz w:val="16"/>
          <w:szCs w:val="16"/>
        </w:rPr>
      </w:pPr>
      <w:r w:rsidRPr="002F2FDF">
        <w:rPr>
          <w:color w:val="000000" w:themeColor="text1"/>
          <w:kern w:val="2"/>
          <w:sz w:val="16"/>
          <w:szCs w:val="16"/>
        </w:rPr>
        <w:t>В результате переговоров было достигнуто временное соглашение:</w:t>
      </w:r>
    </w:p>
    <w:p w14:paraId="38CA149F" w14:textId="781DB7D2" w:rsidR="00716CDB" w:rsidRPr="002F2FDF" w:rsidRDefault="00716C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перемирие заключается на период с 24</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ноября (</w:t>
      </w:r>
      <w:hyperlink r:id="rId681" w:tooltip="7 декабря" w:history="1">
        <w:r w:rsidRPr="002F2FDF">
          <w:rPr>
            <w:rStyle w:val="a5"/>
            <w:rFonts w:ascii="Times New Roman" w:hAnsi="Times New Roman" w:cs="Times New Roman"/>
            <w:color w:val="000000" w:themeColor="text1"/>
            <w:kern w:val="2"/>
            <w:sz w:val="16"/>
            <w:szCs w:val="16"/>
            <w:u w:val="none"/>
          </w:rPr>
          <w:t>7</w:t>
        </w:r>
        <w:r w:rsidR="00E52569">
          <w:rPr>
            <w:rStyle w:val="a5"/>
            <w:rFonts w:ascii="Times New Roman" w:hAnsi="Times New Roman" w:cs="Times New Roman"/>
            <w:color w:val="000000" w:themeColor="text1"/>
            <w:kern w:val="2"/>
            <w:sz w:val="16"/>
            <w:szCs w:val="16"/>
            <w:u w:val="none"/>
          </w:rPr>
          <w:t xml:space="preserve"> </w:t>
        </w:r>
        <w:r w:rsidRPr="002F2FDF">
          <w:rPr>
            <w:rStyle w:val="a5"/>
            <w:rFonts w:ascii="Times New Roman" w:hAnsi="Times New Roman" w:cs="Times New Roman"/>
            <w:color w:val="000000" w:themeColor="text1"/>
            <w:kern w:val="2"/>
            <w:sz w:val="16"/>
            <w:szCs w:val="16"/>
            <w:u w:val="none"/>
          </w:rPr>
          <w:t>декабря</w:t>
        </w:r>
      </w:hyperlink>
      <w:r w:rsidRPr="002F2FDF">
        <w:rPr>
          <w:rFonts w:ascii="Times New Roman" w:hAnsi="Times New Roman" w:cs="Times New Roman"/>
          <w:color w:val="000000" w:themeColor="text1"/>
          <w:kern w:val="2"/>
          <w:sz w:val="16"/>
          <w:szCs w:val="16"/>
        </w:rPr>
        <w:t>) по 4</w:t>
      </w:r>
      <w:r w:rsidR="00E52569">
        <w:rPr>
          <w:rFonts w:ascii="Times New Roman" w:hAnsi="Times New Roman" w:cs="Times New Roman"/>
          <w:color w:val="000000" w:themeColor="text1"/>
          <w:kern w:val="2"/>
          <w:sz w:val="16"/>
          <w:szCs w:val="16"/>
        </w:rPr>
        <w:t xml:space="preserve"> </w:t>
      </w:r>
      <w:hyperlink r:id="rId682" w:tooltip="17 декабря" w:history="1">
        <w:r w:rsidRPr="002F2FDF">
          <w:rPr>
            <w:rStyle w:val="a5"/>
            <w:rFonts w:ascii="Times New Roman" w:hAnsi="Times New Roman" w:cs="Times New Roman"/>
            <w:color w:val="000000" w:themeColor="text1"/>
            <w:kern w:val="2"/>
            <w:sz w:val="16"/>
            <w:szCs w:val="16"/>
            <w:u w:val="none"/>
          </w:rPr>
          <w:t>(17)</w:t>
        </w:r>
        <w:r w:rsidR="00E52569">
          <w:rPr>
            <w:rStyle w:val="a5"/>
            <w:rFonts w:ascii="Times New Roman" w:hAnsi="Times New Roman" w:cs="Times New Roman"/>
            <w:color w:val="000000" w:themeColor="text1"/>
            <w:kern w:val="2"/>
            <w:sz w:val="16"/>
            <w:szCs w:val="16"/>
            <w:u w:val="none"/>
          </w:rPr>
          <w:t xml:space="preserve"> </w:t>
        </w:r>
        <w:r w:rsidRPr="002F2FDF">
          <w:rPr>
            <w:rStyle w:val="a5"/>
            <w:rFonts w:ascii="Times New Roman" w:hAnsi="Times New Roman" w:cs="Times New Roman"/>
            <w:color w:val="000000" w:themeColor="text1"/>
            <w:kern w:val="2"/>
            <w:sz w:val="16"/>
            <w:szCs w:val="16"/>
            <w:u w:val="none"/>
          </w:rPr>
          <w:t>декабря</w:t>
        </w:r>
      </w:hyperlink>
      <w:r w:rsidRPr="002F2FDF">
        <w:rPr>
          <w:rFonts w:ascii="Times New Roman" w:hAnsi="Times New Roman" w:cs="Times New Roman"/>
          <w:color w:val="000000" w:themeColor="text1"/>
          <w:kern w:val="2"/>
          <w:sz w:val="16"/>
          <w:szCs w:val="16"/>
        </w:rPr>
        <w:t>;</w:t>
      </w:r>
    </w:p>
    <w:p w14:paraId="3B85EB9B" w14:textId="77777777" w:rsidR="00716CDB" w:rsidRPr="002F2FDF" w:rsidRDefault="00716C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войска остаются на занимаемых позициях;</w:t>
      </w:r>
    </w:p>
    <w:p w14:paraId="1BAC7CF7" w14:textId="77777777" w:rsidR="00716CDB" w:rsidRPr="002F2FDF" w:rsidRDefault="00716CD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прекращаются все переброски войск, кроме уже начавшихся (17035).</w:t>
      </w:r>
    </w:p>
    <w:p w14:paraId="4342D989" w14:textId="77777777" w:rsidR="00716CDB" w:rsidRPr="002F2FDF" w:rsidRDefault="00716CD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A03362" w14:textId="77777777" w:rsidR="00716CDB" w:rsidRPr="002F2FDF" w:rsidRDefault="00716CDB"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ноября (4 декабря) 1917 украинское правительст</w:t>
      </w:r>
      <w:r w:rsidRPr="002F2FDF">
        <w:rPr>
          <w:rFonts w:ascii="Times New Roman" w:hAnsi="Times New Roman" w:cs="Times New Roman"/>
          <w:color w:val="000000" w:themeColor="text1"/>
          <w:kern w:val="2"/>
          <w:sz w:val="16"/>
          <w:szCs w:val="16"/>
        </w:rPr>
        <w:softHyphen/>
        <w:t>во направило в войска телеграмму с приказом об объ</w:t>
      </w:r>
      <w:r w:rsidRPr="002F2FDF">
        <w:rPr>
          <w:rFonts w:ascii="Times New Roman" w:hAnsi="Times New Roman" w:cs="Times New Roman"/>
          <w:color w:val="000000" w:themeColor="text1"/>
          <w:kern w:val="2"/>
          <w:sz w:val="16"/>
          <w:szCs w:val="16"/>
        </w:rPr>
        <w:softHyphen/>
        <w:t>единении Юго-Западного и Румынского фронтов в единый Украинский фронт с подчинением его непо</w:t>
      </w:r>
      <w:r w:rsidRPr="002F2FDF">
        <w:rPr>
          <w:rFonts w:ascii="Times New Roman" w:hAnsi="Times New Roman" w:cs="Times New Roman"/>
          <w:color w:val="000000" w:themeColor="text1"/>
          <w:kern w:val="2"/>
          <w:sz w:val="16"/>
          <w:szCs w:val="16"/>
        </w:rPr>
        <w:softHyphen/>
        <w:t>средственно правительству Украинской Народной Республики. Тогда же в составе вновь образованного Техни</w:t>
      </w:r>
      <w:r w:rsidRPr="002F2FDF">
        <w:rPr>
          <w:rFonts w:ascii="Times New Roman" w:hAnsi="Times New Roman" w:cs="Times New Roman"/>
          <w:color w:val="000000" w:themeColor="text1"/>
          <w:kern w:val="2"/>
          <w:sz w:val="16"/>
          <w:szCs w:val="16"/>
        </w:rPr>
        <w:softHyphen/>
        <w:t>ческого управления появляются Военно-Воздушные Силы (ВВС), первым главкомом которых назначает</w:t>
      </w:r>
      <w:r w:rsidRPr="002F2FDF">
        <w:rPr>
          <w:rFonts w:ascii="Times New Roman" w:hAnsi="Times New Roman" w:cs="Times New Roman"/>
          <w:color w:val="000000" w:themeColor="text1"/>
          <w:kern w:val="2"/>
          <w:sz w:val="16"/>
          <w:szCs w:val="16"/>
        </w:rPr>
        <w:softHyphen/>
        <w:t>ся Вячеслав Юрьевич Баранов, в прошлом подпол</w:t>
      </w:r>
      <w:r w:rsidRPr="002F2FDF">
        <w:rPr>
          <w:rFonts w:ascii="Times New Roman" w:hAnsi="Times New Roman" w:cs="Times New Roman"/>
          <w:color w:val="000000" w:themeColor="text1"/>
          <w:kern w:val="2"/>
          <w:sz w:val="16"/>
          <w:szCs w:val="16"/>
        </w:rPr>
        <w:softHyphen/>
        <w:t>ковник русской армии, командир 7-го авиадивизио</w:t>
      </w:r>
      <w:r w:rsidRPr="002F2FDF">
        <w:rPr>
          <w:rFonts w:ascii="Times New Roman" w:hAnsi="Times New Roman" w:cs="Times New Roman"/>
          <w:color w:val="000000" w:themeColor="text1"/>
          <w:kern w:val="2"/>
          <w:sz w:val="16"/>
          <w:szCs w:val="16"/>
        </w:rPr>
        <w:softHyphen/>
        <w:t>на. Вместе со своими помощниками военными лет</w:t>
      </w:r>
      <w:r w:rsidRPr="002F2FDF">
        <w:rPr>
          <w:rFonts w:ascii="Times New Roman" w:hAnsi="Times New Roman" w:cs="Times New Roman"/>
          <w:color w:val="000000" w:themeColor="text1"/>
          <w:kern w:val="2"/>
          <w:sz w:val="16"/>
          <w:szCs w:val="16"/>
        </w:rPr>
        <w:softHyphen/>
        <w:t>чиками Л.А. Шевченко и Д.П.Левицким в первые месяцы существования УНР он предпринимает ряд мер, направленных на сохранение имеющегося авиа</w:t>
      </w:r>
      <w:r w:rsidRPr="002F2FDF">
        <w:rPr>
          <w:rFonts w:ascii="Times New Roman" w:hAnsi="Times New Roman" w:cs="Times New Roman"/>
          <w:color w:val="000000" w:themeColor="text1"/>
          <w:kern w:val="2"/>
          <w:sz w:val="16"/>
          <w:szCs w:val="16"/>
        </w:rPr>
        <w:softHyphen/>
        <w:t>имущества и создания таким образом материально-технической базы зарождающейся авиации. Другой, не менее важной стороной деятельности Баранова по организации ВВС, стала комплектация авиационных частей личным составом, который теперь набирался по вольному найму (553).</w:t>
      </w:r>
    </w:p>
    <w:p w14:paraId="7AE035E7" w14:textId="77777777" w:rsidR="00716CDB" w:rsidRPr="002F2FDF" w:rsidRDefault="00716CDB"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22A914" w14:textId="6E868DC7" w:rsidR="00952980" w:rsidRPr="00FB4F67" w:rsidRDefault="0095298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21 ноября (</w:t>
      </w:r>
      <w:r w:rsidRPr="00FB4F67">
        <w:rPr>
          <w:rFonts w:ascii="Times New Roman" w:hAnsi="Times New Roman" w:cs="Times New Roman"/>
          <w:color w:val="0070C0"/>
          <w:sz w:val="16"/>
          <w:szCs w:val="16"/>
        </w:rPr>
        <w:t>4 декабря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на Кавказском фронте Закавказский комиссариат начал переговоры с Турцией о заключении перемирия (23525).</w:t>
      </w:r>
    </w:p>
    <w:p w14:paraId="11BD0B3B" w14:textId="77777777" w:rsidR="00952980" w:rsidRPr="00FB4F67" w:rsidRDefault="00952980" w:rsidP="0083075A">
      <w:pPr>
        <w:spacing w:after="0" w:line="240" w:lineRule="auto"/>
        <w:jc w:val="both"/>
        <w:rPr>
          <w:rFonts w:ascii="Times New Roman" w:hAnsi="Times New Roman" w:cs="Times New Roman"/>
          <w:color w:val="0070C0"/>
          <w:sz w:val="16"/>
          <w:szCs w:val="16"/>
        </w:rPr>
      </w:pPr>
    </w:p>
    <w:p w14:paraId="0680D02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6BD93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DEC4F5" w14:textId="58794948" w:rsidR="00FF33CC" w:rsidRPr="002F2FDF" w:rsidRDefault="00FF33CC"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21 ноября (4 декабря)</w:t>
      </w:r>
      <w:r w:rsidR="00E52569">
        <w:rPr>
          <w:rStyle w:val="a7"/>
          <w:rFonts w:eastAsiaTheme="majorEastAsia"/>
          <w:b w:val="0"/>
          <w:color w:val="000000" w:themeColor="text1"/>
          <w:sz w:val="16"/>
          <w:szCs w:val="16"/>
        </w:rPr>
        <w:t xml:space="preserve"> </w:t>
      </w:r>
      <w:r w:rsidRPr="002F2FDF">
        <w:rPr>
          <w:rStyle w:val="a7"/>
          <w:rFonts w:eastAsiaTheme="majorEastAsia"/>
          <w:b w:val="0"/>
          <w:color w:val="000000" w:themeColor="text1"/>
          <w:sz w:val="16"/>
          <w:szCs w:val="16"/>
        </w:rPr>
        <w:t xml:space="preserve">1917 </w:t>
      </w:r>
      <w:r w:rsidRPr="002F2FDF">
        <w:rPr>
          <w:color w:val="000000" w:themeColor="text1"/>
          <w:sz w:val="16"/>
          <w:szCs w:val="16"/>
        </w:rPr>
        <w:t>в праздник Введения во храм Пресвятой Богородицы, в Успенском соборе Кремля совершена интронизация нареченного и избранного Патриарха Московского и всея России Тихона (18371).</w:t>
      </w:r>
    </w:p>
    <w:p w14:paraId="5A36908B" w14:textId="77777777" w:rsidR="00FF33CC" w:rsidRPr="002F2FDF" w:rsidRDefault="00FF33CC" w:rsidP="0083075A">
      <w:pPr>
        <w:pStyle w:val="ae"/>
        <w:spacing w:before="0" w:after="0"/>
        <w:jc w:val="both"/>
        <w:rPr>
          <w:color w:val="000000" w:themeColor="text1"/>
          <w:sz w:val="16"/>
          <w:szCs w:val="16"/>
        </w:rPr>
      </w:pPr>
    </w:p>
    <w:p w14:paraId="3FE0CB85" w14:textId="77777777" w:rsidR="00952980" w:rsidRPr="002F2FDF" w:rsidRDefault="0095298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ноября (4 декабря) 1917 новоизбранный патриарх Московский и Всея Руси Тихон был возведен на патриарший престол в Успенском соборе Московского Кремля. В своей речи призвал паству у стоянию за веру и к защите церкви, подчеркивая, что церковь должна оставаться вне политики (3908,271).</w:t>
      </w:r>
    </w:p>
    <w:p w14:paraId="2DEC72C7" w14:textId="77777777" w:rsidR="00952980" w:rsidRPr="002F2FDF" w:rsidRDefault="0095298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53FE69" w14:textId="118530D4" w:rsidR="00FF33CC" w:rsidRPr="002F2FDF" w:rsidRDefault="00FF33CC"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21 ноября (4 декабря)</w:t>
      </w:r>
      <w:r w:rsidR="00E52569">
        <w:rPr>
          <w:rStyle w:val="a7"/>
          <w:rFonts w:eastAsiaTheme="majorEastAsia"/>
          <w:b w:val="0"/>
          <w:color w:val="000000" w:themeColor="text1"/>
          <w:sz w:val="16"/>
          <w:szCs w:val="16"/>
        </w:rPr>
        <w:t xml:space="preserve"> </w:t>
      </w:r>
      <w:r w:rsidRPr="002F2FDF">
        <w:rPr>
          <w:rStyle w:val="a7"/>
          <w:rFonts w:eastAsiaTheme="majorEastAsia"/>
          <w:b w:val="0"/>
          <w:color w:val="000000" w:themeColor="text1"/>
          <w:sz w:val="16"/>
          <w:szCs w:val="16"/>
        </w:rPr>
        <w:t xml:space="preserve">1917 </w:t>
      </w:r>
      <w:r w:rsidRPr="002F2FDF">
        <w:rPr>
          <w:color w:val="000000" w:themeColor="text1"/>
          <w:sz w:val="16"/>
          <w:szCs w:val="16"/>
        </w:rPr>
        <w:t>закончились выборы делегатов в Учредительное Собрание в Московской губернии. Губерния дала значительное преимущество большевикам: за большевиков</w:t>
      </w:r>
      <w:r w:rsidR="00E52569">
        <w:rPr>
          <w:color w:val="000000" w:themeColor="text1"/>
          <w:sz w:val="16"/>
          <w:szCs w:val="16"/>
        </w:rPr>
        <w:t xml:space="preserve"> </w:t>
      </w:r>
      <w:r w:rsidRPr="002F2FDF">
        <w:rPr>
          <w:color w:val="000000" w:themeColor="text1"/>
          <w:sz w:val="16"/>
          <w:szCs w:val="16"/>
        </w:rPr>
        <w:t>– 56%, за эсеров</w:t>
      </w:r>
      <w:r w:rsidR="00E52569">
        <w:rPr>
          <w:color w:val="000000" w:themeColor="text1"/>
          <w:sz w:val="16"/>
          <w:szCs w:val="16"/>
        </w:rPr>
        <w:t xml:space="preserve"> </w:t>
      </w:r>
      <w:r w:rsidRPr="002F2FDF">
        <w:rPr>
          <w:color w:val="000000" w:themeColor="text1"/>
          <w:sz w:val="16"/>
          <w:szCs w:val="16"/>
        </w:rPr>
        <w:t>– 25%. Делегатом от губернии выбран большевик из Богородска А.П.</w:t>
      </w:r>
      <w:r w:rsidR="00E52569">
        <w:rPr>
          <w:color w:val="000000" w:themeColor="text1"/>
          <w:sz w:val="16"/>
          <w:szCs w:val="16"/>
        </w:rPr>
        <w:t xml:space="preserve"> </w:t>
      </w:r>
      <w:r w:rsidRPr="002F2FDF">
        <w:rPr>
          <w:color w:val="000000" w:themeColor="text1"/>
          <w:sz w:val="16"/>
          <w:szCs w:val="16"/>
        </w:rPr>
        <w:t>Смирнов (18371).</w:t>
      </w:r>
    </w:p>
    <w:p w14:paraId="0353F1CB" w14:textId="77777777" w:rsidR="00FF33CC" w:rsidRPr="002F2FDF" w:rsidRDefault="00FF33CC" w:rsidP="0083075A">
      <w:pPr>
        <w:pStyle w:val="ae"/>
        <w:spacing w:before="0" w:after="0"/>
        <w:jc w:val="both"/>
        <w:rPr>
          <w:color w:val="000000" w:themeColor="text1"/>
          <w:sz w:val="16"/>
          <w:szCs w:val="16"/>
        </w:rPr>
      </w:pPr>
    </w:p>
    <w:p w14:paraId="466F9EBC"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21 ноября (4 декабря) 1917. Президиум Моссовета принял постановление "О мерах по охране Кремля", для чего были созданы специальные отряды. В Большом театре оперой Верди "Аида" открыт первый сезон послереволюционных событий. Началась забастовка служащих всех амбулаторий московских больниц.</w:t>
      </w:r>
    </w:p>
    <w:p w14:paraId="43296FA9"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Праздник Введения во храм Пресвятой Богородицы. В Успенском соборе Кремля состоялась интронизадия патриарха Тихона (18685).</w:t>
      </w:r>
    </w:p>
    <w:p w14:paraId="27AD7D50" w14:textId="77777777" w:rsidR="00FF33CC" w:rsidRPr="002F2FDF" w:rsidRDefault="00FF33CC" w:rsidP="0083075A">
      <w:pPr>
        <w:spacing w:after="0" w:line="240" w:lineRule="auto"/>
        <w:jc w:val="both"/>
        <w:rPr>
          <w:rFonts w:ascii="Times New Roman" w:hAnsi="Times New Roman" w:cs="Times New Roman"/>
          <w:color w:val="000000" w:themeColor="text1"/>
          <w:sz w:val="16"/>
          <w:szCs w:val="16"/>
        </w:rPr>
      </w:pPr>
    </w:p>
    <w:p w14:paraId="45AD3483" w14:textId="77777777" w:rsidR="009A1531" w:rsidRPr="002F2FDF" w:rsidRDefault="009A1531" w:rsidP="0083075A">
      <w:pPr>
        <w:pStyle w:val="a3"/>
        <w:rPr>
          <w:color w:val="000000" w:themeColor="text1"/>
          <w:lang w:val="ru-RU"/>
        </w:rPr>
      </w:pPr>
      <w:r w:rsidRPr="002F2FDF">
        <w:rPr>
          <w:rFonts w:eastAsia="Times New Roman"/>
          <w:color w:val="000000" w:themeColor="text1"/>
          <w:lang w:val="ru-RU" w:eastAsia="ru-RU"/>
        </w:rPr>
        <w:t>21 ноября (4 декабря) 1917 г. Совнарком заслушал доклад Д. П. Боголепова по проекту нового положения о подоходном налоге и о запрещении оплаты процентных бумаг. По первому вопросу постановили передать представленный проект в комиссию, создать которую поручалось докладчику. А обсуждение второго вопроса было отложено.1 (18085)</w:t>
      </w:r>
    </w:p>
    <w:p w14:paraId="20C46640" w14:textId="77777777" w:rsidR="009A1531" w:rsidRPr="002F2FDF" w:rsidRDefault="009A1531" w:rsidP="0083075A">
      <w:pPr>
        <w:pStyle w:val="a3"/>
        <w:rPr>
          <w:color w:val="000000" w:themeColor="text1"/>
          <w:lang w:val="ru-RU"/>
        </w:rPr>
      </w:pPr>
    </w:p>
    <w:p w14:paraId="6923952F" w14:textId="77777777" w:rsidR="00952980" w:rsidRPr="00FB4F67" w:rsidRDefault="0095298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С 4 по 18 декабря 1917 г. в Петрограде проходили заседания IV съезда партии эсеров, на которых эсеры согласились сотрудничать с Советами. Их шаг укрепил партию эсеров и ослабил большевиков (23525).</w:t>
      </w:r>
    </w:p>
    <w:p w14:paraId="151F2071" w14:textId="77777777" w:rsidR="00952980" w:rsidRPr="00FB4F67" w:rsidRDefault="00952980" w:rsidP="0083075A">
      <w:pPr>
        <w:spacing w:after="0" w:line="240" w:lineRule="auto"/>
        <w:jc w:val="both"/>
        <w:rPr>
          <w:rFonts w:ascii="Times New Roman" w:hAnsi="Times New Roman" w:cs="Times New Roman"/>
          <w:color w:val="0070C0"/>
          <w:sz w:val="16"/>
          <w:szCs w:val="16"/>
        </w:rPr>
      </w:pPr>
    </w:p>
    <w:p w14:paraId="605B8B3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2F808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7A255B" w14:textId="3FD45967" w:rsidR="00CB3CC2" w:rsidRPr="00FB4F67" w:rsidRDefault="00CB3CC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22 ноября </w:t>
      </w:r>
      <w:r>
        <w:rPr>
          <w:rFonts w:ascii="Times New Roman" w:hAnsi="Times New Roman" w:cs="Times New Roman"/>
          <w:color w:val="0070C0"/>
          <w:sz w:val="16"/>
          <w:szCs w:val="16"/>
        </w:rPr>
        <w:t xml:space="preserve">(5 декабря) </w:t>
      </w:r>
      <w:r w:rsidRPr="00FB4F67">
        <w:rPr>
          <w:rFonts w:ascii="Times New Roman" w:hAnsi="Times New Roman" w:cs="Times New Roman"/>
          <w:color w:val="0070C0"/>
          <w:sz w:val="16"/>
          <w:szCs w:val="16"/>
        </w:rPr>
        <w:t>1917 года Ленин и Сталин ведут переговоры с генералом Духониным. После его отказа подчиниться приказу Совнаркома Ленин и Сталин едут на радиостанцию в поселке «Новая Голландия» (около Ленинградского торгового порта).</w:t>
      </w:r>
    </w:p>
    <w:p w14:paraId="1AF7E775" w14:textId="77777777" w:rsidR="00CB3CC2" w:rsidRPr="00FB4F67" w:rsidRDefault="00CB3CC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Здесь на радиостанции В. И. Ленин пишет известную радиограмму: «Радио всем. Всем полковым, дивизионным, корпусным, армейским и другим комитетам, всем солдатам революционной армии и матросам революционного флота»: в этой радиограмме Ленин предлагает начать переговоры о перемирии и выделить уполномоченных для этой цели (23318).</w:t>
      </w:r>
    </w:p>
    <w:p w14:paraId="33772D5A" w14:textId="77777777" w:rsidR="00CB3CC2" w:rsidRPr="00FB4F67" w:rsidRDefault="00CB3CC2" w:rsidP="0083075A">
      <w:pPr>
        <w:spacing w:after="0" w:line="240" w:lineRule="auto"/>
        <w:jc w:val="both"/>
        <w:rPr>
          <w:rFonts w:ascii="Times New Roman" w:hAnsi="Times New Roman" w:cs="Times New Roman"/>
          <w:color w:val="0070C0"/>
          <w:sz w:val="16"/>
          <w:szCs w:val="16"/>
        </w:rPr>
      </w:pPr>
    </w:p>
    <w:p w14:paraId="705ADE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ноября (5 декабря) 1917 в Брест-Литовске было подписано соглашение о приостановке военных действий начиная с 24 ноября (7 декабря) по 4 (17) декабря 1917 (2239) c Германией, Австро-Венгрией, Турцией и Болгарией</w:t>
      </w:r>
    </w:p>
    <w:p w14:paraId="691008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116B6F" w14:textId="77777777" w:rsidR="003446BF" w:rsidRPr="002F2FDF" w:rsidRDefault="003446B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22 ноября (5 декабря)</w:t>
      </w:r>
      <w:r w:rsidRPr="002F2FDF">
        <w:rPr>
          <w:rFonts w:ascii="Times New Roman" w:hAnsi="Times New Roman" w:cs="Times New Roman"/>
          <w:color w:val="000000" w:themeColor="text1"/>
          <w:kern w:val="2"/>
          <w:sz w:val="16"/>
          <w:szCs w:val="16"/>
        </w:rPr>
        <w:t xml:space="preserve"> в 1917 году германские и российские представители заключили перемирие в Брест-Литовске (современный Брест) (14851).</w:t>
      </w:r>
    </w:p>
    <w:p w14:paraId="62534834" w14:textId="77777777" w:rsidR="003446BF" w:rsidRPr="002F2FDF" w:rsidRDefault="003446BF" w:rsidP="0083075A">
      <w:pPr>
        <w:spacing w:after="0" w:line="240" w:lineRule="auto"/>
        <w:jc w:val="both"/>
        <w:rPr>
          <w:rFonts w:ascii="Times New Roman" w:hAnsi="Times New Roman" w:cs="Times New Roman"/>
          <w:color w:val="000000" w:themeColor="text1"/>
          <w:kern w:val="2"/>
          <w:sz w:val="16"/>
          <w:szCs w:val="16"/>
        </w:rPr>
      </w:pPr>
    </w:p>
    <w:p w14:paraId="3005ECA7" w14:textId="77777777" w:rsidR="003446BF" w:rsidRPr="002F2FDF" w:rsidRDefault="003446B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22 ноября (5 декабря)</w:t>
      </w:r>
      <w:r w:rsidRPr="002F2FDF">
        <w:rPr>
          <w:rFonts w:ascii="Times New Roman" w:hAnsi="Times New Roman" w:cs="Times New Roman"/>
          <w:color w:val="000000" w:themeColor="text1"/>
          <w:kern w:val="2"/>
          <w:sz w:val="16"/>
          <w:szCs w:val="16"/>
        </w:rPr>
        <w:t xml:space="preserve"> в 1917 году подписание перемирия с Турцией (14851).</w:t>
      </w:r>
    </w:p>
    <w:p w14:paraId="6E547C83" w14:textId="77777777" w:rsidR="003446BF" w:rsidRPr="002F2FDF" w:rsidRDefault="003446BF" w:rsidP="0083075A">
      <w:pPr>
        <w:spacing w:after="0" w:line="240" w:lineRule="auto"/>
        <w:jc w:val="both"/>
        <w:rPr>
          <w:rFonts w:ascii="Times New Roman" w:hAnsi="Times New Roman" w:cs="Times New Roman"/>
          <w:color w:val="000000" w:themeColor="text1"/>
          <w:kern w:val="2"/>
          <w:sz w:val="16"/>
          <w:szCs w:val="16"/>
        </w:rPr>
      </w:pPr>
    </w:p>
    <w:p w14:paraId="237254FF" w14:textId="648EB37F" w:rsidR="00952980" w:rsidRPr="00FB4F67" w:rsidRDefault="0095298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22 ноября (</w:t>
      </w:r>
      <w:r w:rsidRPr="00FB4F67">
        <w:rPr>
          <w:rFonts w:ascii="Times New Roman" w:hAnsi="Times New Roman" w:cs="Times New Roman"/>
          <w:color w:val="0070C0"/>
          <w:sz w:val="16"/>
          <w:szCs w:val="16"/>
        </w:rPr>
        <w:t>5 декабря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Румыния вступила в переговоры о перемирии с центральными державами. С тех пор как Румыния вступила в войну, ее летчики налетали 8 160 часов, в том числе 703 часа для артиллерийских корректировок, 560 для воздушных боев, 698 для фотовылетов. Они сбросили 61 871 кг бомб, 80 кг листовок, уничтожили в воздушном бою 41 самолет противника, артиллерией еще 10 самолетов противника, потеряв при этом 22 летчика и 6 наблюдателей. Румынские наблюдатели с аэростатов налетали 1582 часа; при этом на 1-ю роту аэростанции приходится 360 часов, на 2-ю роту - 72 часа, на 3-ю роту - 495 часов, на 4-ю роту - 350 часов и на 5-ю роту - 305 часов. С декабря 1916 года общее снабжение румынской авиации собрало 242 самолета и 545 авиадвигателей (23525).</w:t>
      </w:r>
    </w:p>
    <w:p w14:paraId="74337228" w14:textId="77777777" w:rsidR="00952980" w:rsidRPr="00FB4F67" w:rsidRDefault="00952980" w:rsidP="0083075A">
      <w:pPr>
        <w:spacing w:after="0" w:line="240" w:lineRule="auto"/>
        <w:jc w:val="both"/>
        <w:rPr>
          <w:rFonts w:ascii="Times New Roman" w:hAnsi="Times New Roman" w:cs="Times New Roman"/>
          <w:color w:val="0070C0"/>
          <w:sz w:val="16"/>
          <w:szCs w:val="16"/>
        </w:rPr>
      </w:pPr>
    </w:p>
    <w:p w14:paraId="3A39901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D5AC9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F8F36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ноября (5 декабря) 1917 в России упразднен Правительствующий Сенат и созданы революционные трибуналы (4962).</w:t>
      </w:r>
    </w:p>
    <w:p w14:paraId="1F9F922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B708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ноября (5 декабря) 1917 была проведена реорганизация судопроизводства и введены выборность судей и ревтрибуналы (3908,271).</w:t>
      </w:r>
    </w:p>
    <w:p w14:paraId="53CE46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6DF6D0" w14:textId="77777777" w:rsidR="0050748F" w:rsidRPr="002F2FDF" w:rsidRDefault="0050748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ноября (5 декабря) 1917 вышел Декрет о суде. Сначала Ленин призывал вообще ликвидировать суды. Но потом... На местах судить начали по-своему, основываясь на местных обычаях и традициях. К тому же продолжали функционировать остатки старых судов. Все старые судебные учреждения упразднены. Начала создаваться новая система судов (12629).</w:t>
      </w:r>
    </w:p>
    <w:p w14:paraId="34A256AA" w14:textId="77777777" w:rsidR="0050748F" w:rsidRPr="002F2FDF" w:rsidRDefault="0050748F"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E38E13" w14:textId="77777777" w:rsidR="003446BF" w:rsidRPr="002F2FDF" w:rsidRDefault="003446B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22 ноября (5 декабря)</w:t>
      </w:r>
      <w:r w:rsidRPr="002F2FDF">
        <w:rPr>
          <w:rFonts w:ascii="Times New Roman" w:hAnsi="Times New Roman" w:cs="Times New Roman"/>
          <w:color w:val="000000" w:themeColor="text1"/>
          <w:kern w:val="2"/>
          <w:sz w:val="16"/>
          <w:szCs w:val="16"/>
        </w:rPr>
        <w:t xml:space="preserve"> в 1917 году Совнарком принял декрет о судах, где говорилось, что суды "руководствуются в своих решениях и приговорах законами свергнутых правительств лишь постольку, поскольку таковые не отменены революцией и не противоречат революционной совести и революционному правосознанию". Одновременно были учреждены революционные трибуналы (14851).</w:t>
      </w:r>
    </w:p>
    <w:p w14:paraId="7ECE5254" w14:textId="77777777" w:rsidR="003446BF" w:rsidRPr="002F2FDF" w:rsidRDefault="003446BF" w:rsidP="0083075A">
      <w:pPr>
        <w:spacing w:after="0" w:line="240" w:lineRule="auto"/>
        <w:jc w:val="both"/>
        <w:rPr>
          <w:rFonts w:ascii="Times New Roman" w:hAnsi="Times New Roman" w:cs="Times New Roman"/>
          <w:color w:val="000000" w:themeColor="text1"/>
          <w:kern w:val="2"/>
          <w:sz w:val="16"/>
          <w:szCs w:val="16"/>
        </w:rPr>
      </w:pPr>
    </w:p>
    <w:p w14:paraId="1934F532" w14:textId="6D11B74C" w:rsidR="00952980" w:rsidRPr="00FB4F67" w:rsidRDefault="0095298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22 ноября (</w:t>
      </w:r>
      <w:r w:rsidRPr="00FB4F67">
        <w:rPr>
          <w:rFonts w:ascii="Times New Roman" w:hAnsi="Times New Roman" w:cs="Times New Roman"/>
          <w:color w:val="0070C0"/>
          <w:sz w:val="16"/>
          <w:szCs w:val="16"/>
        </w:rPr>
        <w:t>5 декабря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Петрограде большевики приказали распустить почти все суды и упразднить адвокатуру. Все политические преступления должны были рассматриваться революционными трибуналами (23525).</w:t>
      </w:r>
    </w:p>
    <w:p w14:paraId="1FAF2D2C" w14:textId="77777777" w:rsidR="00952980" w:rsidRPr="00FB4F67" w:rsidRDefault="00952980" w:rsidP="0083075A">
      <w:pPr>
        <w:spacing w:after="0" w:line="240" w:lineRule="auto"/>
        <w:jc w:val="both"/>
        <w:rPr>
          <w:rFonts w:ascii="Times New Roman" w:hAnsi="Times New Roman" w:cs="Times New Roman"/>
          <w:color w:val="0070C0"/>
          <w:sz w:val="16"/>
          <w:szCs w:val="16"/>
        </w:rPr>
      </w:pPr>
    </w:p>
    <w:p w14:paraId="4C39622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ноября (5 декабря) 1917 большевистская газета "Правда" заявила, что Максим Горький из "буревестника" превратился в "гагару, которой недоступно счастье битвы" (4962).</w:t>
      </w:r>
    </w:p>
    <w:p w14:paraId="5076E23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D0F10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ноября (5 декабря) 1917 в Киеве открыта Украинская государственная академия искусств (4962).</w:t>
      </w:r>
    </w:p>
    <w:p w14:paraId="19BAA6D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9EE9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ноября (5 декабря) 1917 СНК был объявлен ультиматум Центральной Раде (3263,707), а по другим данным - 4 (17) декабря.</w:t>
      </w:r>
    </w:p>
    <w:p w14:paraId="736D25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382CDA" w14:textId="77777777" w:rsidR="003446BF" w:rsidRPr="002F2FDF" w:rsidRDefault="003446B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22 ноября (5 декабря)</w:t>
      </w:r>
      <w:r w:rsidRPr="002F2FDF">
        <w:rPr>
          <w:rFonts w:ascii="Times New Roman" w:hAnsi="Times New Roman" w:cs="Times New Roman"/>
          <w:color w:val="000000" w:themeColor="text1"/>
          <w:kern w:val="2"/>
          <w:sz w:val="16"/>
          <w:szCs w:val="16"/>
        </w:rPr>
        <w:t xml:space="preserve"> в 1917 году Совнарком России объявляет ультиматум Центральной Раде (14851).</w:t>
      </w:r>
    </w:p>
    <w:p w14:paraId="2F1D8AA0" w14:textId="77777777" w:rsidR="003446BF" w:rsidRPr="002F2FDF" w:rsidRDefault="003446BF" w:rsidP="0083075A">
      <w:pPr>
        <w:spacing w:after="0" w:line="240" w:lineRule="auto"/>
        <w:jc w:val="both"/>
        <w:rPr>
          <w:rFonts w:ascii="Times New Roman" w:hAnsi="Times New Roman" w:cs="Times New Roman"/>
          <w:color w:val="000000" w:themeColor="text1"/>
          <w:kern w:val="2"/>
          <w:sz w:val="16"/>
          <w:szCs w:val="16"/>
        </w:rPr>
      </w:pPr>
    </w:p>
    <w:p w14:paraId="7A7F27C7" w14:textId="77777777" w:rsidR="00920A3D" w:rsidRPr="002F2FDF" w:rsidRDefault="00920A3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B25FF97" w14:textId="77777777" w:rsidR="00920A3D" w:rsidRPr="002F2FDF" w:rsidRDefault="00920A3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8094E6" w14:textId="77777777" w:rsidR="00920A3D" w:rsidRPr="002F2FDF" w:rsidRDefault="00920A3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22-23 ноября (5–6 декабря) (ночь) 1917 после нескольких недель неблагоприятных погодных условий Luftstreitkräfte совершает свой первый с октября 1917 года налет на Соединенное Королевство. Девятнадцать бомбардировщиков Gotha и два бомбардировщика Riesenflugzeug атакуют несколькими волнами, нанеся ущерб в размере 100 000 фунтов стерлингов, в основном в Лондоне. Британские зенитные орудия сбивают две готы и их экипажи взяты в плен; третий бомбардировщик и его экипаж пропали без вести. Это последний бомбардировочный налет Германии на Соединенное Королевство до января 1918 года (20341).</w:t>
      </w:r>
    </w:p>
    <w:p w14:paraId="6BDD26ED" w14:textId="77777777" w:rsidR="00920A3D" w:rsidRPr="002F2FDF" w:rsidRDefault="00920A3D" w:rsidP="0083075A">
      <w:pPr>
        <w:spacing w:after="0" w:line="240" w:lineRule="auto"/>
        <w:jc w:val="both"/>
        <w:rPr>
          <w:rFonts w:ascii="Times New Roman" w:hAnsi="Times New Roman" w:cs="Times New Roman"/>
          <w:color w:val="000000" w:themeColor="text1"/>
          <w:sz w:val="16"/>
          <w:szCs w:val="16"/>
        </w:rPr>
      </w:pPr>
    </w:p>
    <w:p w14:paraId="1B5BF76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22E73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22E2B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ноября (6 декабря) 1917 начальник УВВФ разрешил Адаменко поставить оставшиеся “Фарманы XVI” до 20 апреля 1918 г. с удержанием причитающейся по контракту неустойки (11124). После этого решения Василий Федорович воспрянул духом и сделал попытку получить следующий заказ, благоразумно решив вернуться к более простой модели (11124).</w:t>
      </w:r>
    </w:p>
    <w:p w14:paraId="4460F54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AE7A5C" w14:textId="77777777" w:rsidR="00C27B4B" w:rsidRPr="002F2FDF" w:rsidRDefault="00C27B4B" w:rsidP="0083075A">
      <w:pPr>
        <w:pStyle w:val="1c"/>
        <w:spacing w:before="0" w:after="0"/>
        <w:jc w:val="both"/>
        <w:rPr>
          <w:color w:val="000000" w:themeColor="text1"/>
          <w:kern w:val="2"/>
          <w:sz w:val="16"/>
          <w:szCs w:val="16"/>
        </w:rPr>
      </w:pPr>
      <w:r w:rsidRPr="002F2FDF">
        <w:rPr>
          <w:color w:val="000000" w:themeColor="text1"/>
          <w:kern w:val="2"/>
          <w:sz w:val="16"/>
          <w:szCs w:val="16"/>
        </w:rPr>
        <w:t>23 ноября (6 декабря) 1917 начальник ведомства разрешил Адаменко поставить оставшиеся «Фарманы XVI» до 20 апреля 1918 г. с удержанием причитающейся по контракту неустойки (12252). После этого решения Василий Федорович воспрянул духом и сделал попытку получить следующий заказ, благоразумно решив вернуться к более простой модели. 30 ноября 1917 г. он направил в УВВФ заявление о готовности построить 15 «Фарманов IV» с поставкой первых пяти через 4 месяца после подписания контракта и остальных — через 6 месяцев. К заявлению была приложена калькуляция, определявшая стоимость одного «Фармана» в 17 721 руб. Но ответ из Управления был неутешительным, хотя и вполне логичным с точки зрения текущего политического момента: Воздушный флот не намеревается в ближайшее время делать новые заказы и уж тем более не нуждается в столь устаревших самолетах (12252).</w:t>
      </w:r>
    </w:p>
    <w:p w14:paraId="7E9905E4" w14:textId="77777777" w:rsidR="00C27B4B" w:rsidRPr="002F2FDF" w:rsidRDefault="00C27B4B" w:rsidP="0083075A">
      <w:pPr>
        <w:pStyle w:val="1c"/>
        <w:spacing w:before="0" w:after="0"/>
        <w:jc w:val="both"/>
        <w:rPr>
          <w:color w:val="000000" w:themeColor="text1"/>
          <w:kern w:val="2"/>
          <w:sz w:val="16"/>
          <w:szCs w:val="16"/>
        </w:rPr>
      </w:pPr>
    </w:p>
    <w:p w14:paraId="4F84004D" w14:textId="77777777" w:rsidR="005D2783" w:rsidRPr="002F2FDF" w:rsidRDefault="005D2783" w:rsidP="0083075A">
      <w:pPr>
        <w:pStyle w:val="a3"/>
        <w:rPr>
          <w:color w:val="000000" w:themeColor="text1"/>
          <w:kern w:val="2"/>
          <w:lang w:val="ru-RU"/>
        </w:rPr>
      </w:pPr>
      <w:r w:rsidRPr="002F2FDF">
        <w:rPr>
          <w:color w:val="000000" w:themeColor="text1"/>
          <w:kern w:val="2"/>
          <w:lang w:val="ru-RU"/>
        </w:rPr>
        <w:t>23 ноября (6 декабря) 1917 г. УВВФ уведомил Н.С. Сакова о расторжении контракта. В том же письме сообщалось: «...Что касается Вашего предположения о приобретении у Вас изготовленных частей аппаратов, то оно не может быть пока принято, так как надоб</w:t>
      </w:r>
      <w:r w:rsidRPr="002F2FDF">
        <w:rPr>
          <w:color w:val="000000" w:themeColor="text1"/>
          <w:kern w:val="2"/>
          <w:lang w:val="ru-RU"/>
        </w:rPr>
        <w:softHyphen/>
        <w:t>ности в таковых частях в настоящее время не имеется» (15817).</w:t>
      </w:r>
    </w:p>
    <w:p w14:paraId="160C6936" w14:textId="77777777" w:rsidR="005D2783" w:rsidRPr="002F2FDF" w:rsidRDefault="005D2783" w:rsidP="0083075A">
      <w:pPr>
        <w:pStyle w:val="a3"/>
        <w:rPr>
          <w:color w:val="000000" w:themeColor="text1"/>
          <w:kern w:val="2"/>
          <w:lang w:val="ru-RU"/>
        </w:rPr>
      </w:pPr>
    </w:p>
    <w:p w14:paraId="12CE2AF3" w14:textId="704D9210" w:rsidR="00CB3CC2" w:rsidRDefault="00CB3CC2"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Другие оборонные отрасли:</w:t>
      </w:r>
    </w:p>
    <w:p w14:paraId="138F738A" w14:textId="77777777" w:rsidR="00CB3CC2" w:rsidRDefault="00CB3CC2"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1503E44" w14:textId="77777777" w:rsidR="00CB3CC2" w:rsidRPr="00FB4F67" w:rsidRDefault="00CB3CC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23 но</w:t>
      </w:r>
      <w:r w:rsidRPr="00FB4F67">
        <w:rPr>
          <w:rFonts w:ascii="Times New Roman" w:hAnsi="Times New Roman" w:cs="Times New Roman"/>
          <w:color w:val="0070C0"/>
          <w:sz w:val="16"/>
          <w:szCs w:val="16"/>
        </w:rPr>
        <w:softHyphen/>
        <w:t>ября (6 декабря) 1917 г. Совнарком, думая продолжить сотрудничество с «Вестингаузом», одобрил заказ этой фирме на 1,8 млн вин</w:t>
      </w:r>
      <w:r w:rsidRPr="00FB4F67">
        <w:rPr>
          <w:rFonts w:ascii="Times New Roman" w:hAnsi="Times New Roman" w:cs="Times New Roman"/>
          <w:color w:val="0070C0"/>
          <w:sz w:val="16"/>
          <w:szCs w:val="16"/>
        </w:rPr>
        <w:softHyphen/>
        <w:t>товок. Но решение было принято без хозяина. 30 ноября английское правительство распорядилось всю продукцию, выпускаемую в США по действующим русским контрактам (выданным через Моргана под английский кредит), обра</w:t>
      </w:r>
      <w:r w:rsidRPr="00FB4F67">
        <w:rPr>
          <w:rFonts w:ascii="Times New Roman" w:hAnsi="Times New Roman" w:cs="Times New Roman"/>
          <w:color w:val="0070C0"/>
          <w:sz w:val="16"/>
          <w:szCs w:val="16"/>
        </w:rPr>
        <w:softHyphen/>
        <w:t>тить на нужды менее миролюбивых союзников. 24 декабря Англо-русский подкомитет утвердил ликвидацию заказа. Когда выпуск русских винтовок окончательно прекратился, оказалось, что всего для русского правительства «Вестин</w:t>
      </w:r>
      <w:r w:rsidRPr="00FB4F67">
        <w:rPr>
          <w:rFonts w:ascii="Times New Roman" w:hAnsi="Times New Roman" w:cs="Times New Roman"/>
          <w:color w:val="0070C0"/>
          <w:sz w:val="16"/>
          <w:szCs w:val="16"/>
        </w:rPr>
        <w:softHyphen/>
        <w:t>гауз» изготовил 1 081 490 винтовок, получив за это от ан</w:t>
      </w:r>
      <w:r w:rsidRPr="00FB4F67">
        <w:rPr>
          <w:rFonts w:ascii="Times New Roman" w:hAnsi="Times New Roman" w:cs="Times New Roman"/>
          <w:color w:val="0070C0"/>
          <w:sz w:val="16"/>
          <w:szCs w:val="16"/>
        </w:rPr>
        <w:softHyphen/>
        <w:t>гличан 40 млн долларов (Островский А.В. Указ. соч. С. 185, сн. 139. Очевидно, подразумева</w:t>
      </w:r>
      <w:r w:rsidRPr="00FB4F67">
        <w:rPr>
          <w:rFonts w:ascii="Times New Roman" w:hAnsi="Times New Roman" w:cs="Times New Roman"/>
          <w:color w:val="0070C0"/>
          <w:sz w:val="16"/>
          <w:szCs w:val="16"/>
        </w:rPr>
        <w:softHyphen/>
        <w:t>ется не новый, дополнительный заказ, а подтверждение уже исполняв</w:t>
      </w:r>
      <w:r w:rsidRPr="00FB4F67">
        <w:rPr>
          <w:rFonts w:ascii="Times New Roman" w:hAnsi="Times New Roman" w:cs="Times New Roman"/>
          <w:color w:val="0070C0"/>
          <w:sz w:val="16"/>
          <w:szCs w:val="16"/>
        </w:rPr>
        <w:softHyphen/>
        <w:t>шегося заказа на 1,8 млн ружей, ранее сокращенного (для России) до 1 млн шт.; Rielage D.C. Op. cit. Р. 100, 102) (23452).</w:t>
      </w:r>
    </w:p>
    <w:p w14:paraId="7E7174F7" w14:textId="77777777" w:rsidR="00CB3CC2" w:rsidRPr="00FB4F67" w:rsidRDefault="00CB3CC2" w:rsidP="0083075A">
      <w:pPr>
        <w:spacing w:after="0" w:line="240" w:lineRule="auto"/>
        <w:jc w:val="both"/>
        <w:rPr>
          <w:rFonts w:ascii="Times New Roman" w:hAnsi="Times New Roman" w:cs="Times New Roman"/>
          <w:color w:val="0070C0"/>
          <w:sz w:val="16"/>
          <w:szCs w:val="16"/>
        </w:rPr>
      </w:pPr>
    </w:p>
    <w:p w14:paraId="752CEAEC" w14:textId="0A5254E4"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73D43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4C3D5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23 ноября (6 декабря) 1917 Ко</w:t>
      </w:r>
      <w:r w:rsidRPr="002F2FDF">
        <w:rPr>
          <w:rFonts w:ascii="Times New Roman" w:hAnsi="Times New Roman" w:cs="Times New Roman"/>
          <w:color w:val="000000" w:themeColor="text1"/>
          <w:kern w:val="2"/>
          <w:sz w:val="16"/>
          <w:szCs w:val="16"/>
        </w:rPr>
        <w:softHyphen/>
        <w:t>митет по военным и морским делам, образованный в составе СНК был преобразован в Коллегию по управлению военным ведомством, переименованную затем в Народный комиссариат по военным делам (Наркомвоен). В задачи Наркомвоена входили: демократизация и демобилизация старой армии; чистка от “контрреволюционных элементов” бывшего Военного министерства и реорганизация его аппарата, использование военных специалистов, а также создание Красной армии и управле</w:t>
      </w:r>
      <w:r w:rsidRPr="002F2FDF">
        <w:rPr>
          <w:rFonts w:ascii="Times New Roman" w:hAnsi="Times New Roman" w:cs="Times New Roman"/>
          <w:color w:val="000000" w:themeColor="text1"/>
          <w:kern w:val="2"/>
          <w:sz w:val="16"/>
          <w:szCs w:val="16"/>
        </w:rPr>
        <w:softHyphen/>
        <w:t>ние ею. Были ликвидированы политические органы министерства, реорганизованы техни</w:t>
      </w:r>
      <w:r w:rsidRPr="002F2FDF">
        <w:rPr>
          <w:rFonts w:ascii="Times New Roman" w:hAnsi="Times New Roman" w:cs="Times New Roman"/>
          <w:color w:val="000000" w:themeColor="text1"/>
          <w:kern w:val="2"/>
          <w:sz w:val="16"/>
          <w:szCs w:val="16"/>
        </w:rPr>
        <w:softHyphen/>
        <w:t>ческие и снабженческие органы. Наркомвоен осуществлял управление сухопутными войска</w:t>
      </w:r>
      <w:r w:rsidRPr="002F2FDF">
        <w:rPr>
          <w:rFonts w:ascii="Times New Roman" w:hAnsi="Times New Roman" w:cs="Times New Roman"/>
          <w:color w:val="000000" w:themeColor="text1"/>
          <w:kern w:val="2"/>
          <w:sz w:val="16"/>
          <w:szCs w:val="16"/>
        </w:rPr>
        <w:softHyphen/>
        <w:t>ми, учет формируемых соединений, руководство обеспечением и снабжением армии, санитарно-медицинское обслуживание, финансирование армии, разработку уставов и воинских инструкций и др. Центральные учреждения Наркомвоена - отдел, затем Комиссариат по де</w:t>
      </w:r>
      <w:r w:rsidRPr="002F2FDF">
        <w:rPr>
          <w:rFonts w:ascii="Times New Roman" w:hAnsi="Times New Roman" w:cs="Times New Roman"/>
          <w:color w:val="000000" w:themeColor="text1"/>
          <w:kern w:val="2"/>
          <w:sz w:val="16"/>
          <w:szCs w:val="16"/>
        </w:rPr>
        <w:softHyphen/>
        <w:t>мобилизации старой армии; Всероссийская коллегия по формированию Красной армии, за</w:t>
      </w:r>
      <w:r w:rsidRPr="002F2FDF">
        <w:rPr>
          <w:rFonts w:ascii="Times New Roman" w:hAnsi="Times New Roman" w:cs="Times New Roman"/>
          <w:color w:val="000000" w:themeColor="text1"/>
          <w:kern w:val="2"/>
          <w:sz w:val="16"/>
          <w:szCs w:val="16"/>
        </w:rPr>
        <w:softHyphen/>
        <w:t>тем Всероссийский главный штаб; Всероссийское бюро военных комиссаров и др. Военно-оперативное руководство боевыми действиями осуществляли Оперативный отдел штаба Московского военного округа, Революционный полевой штаб при Ставке Верховного глав</w:t>
      </w:r>
      <w:r w:rsidRPr="002F2FDF">
        <w:rPr>
          <w:rFonts w:ascii="Times New Roman" w:hAnsi="Times New Roman" w:cs="Times New Roman"/>
          <w:color w:val="000000" w:themeColor="text1"/>
          <w:kern w:val="2"/>
          <w:sz w:val="16"/>
          <w:szCs w:val="16"/>
        </w:rPr>
        <w:softHyphen/>
        <w:t>нокомандующего и Комитет революционной обороны Петрограда, с марта 1918 г. - Высший военный совет. С сентября 1918 г. оперативное руководство военными действиями осущес</w:t>
      </w:r>
      <w:r w:rsidRPr="002F2FDF">
        <w:rPr>
          <w:rFonts w:ascii="Times New Roman" w:hAnsi="Times New Roman" w:cs="Times New Roman"/>
          <w:color w:val="000000" w:themeColor="text1"/>
          <w:kern w:val="2"/>
          <w:sz w:val="16"/>
          <w:szCs w:val="16"/>
        </w:rPr>
        <w:softHyphen/>
        <w:t>твлял Реввоенсовет Республики, возглавляемый наркомом по военным и морским делам. Местные органы Наркомвоена - военные отделы (10711,666).</w:t>
      </w:r>
    </w:p>
    <w:p w14:paraId="5BD9EDF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8A57B9" w14:textId="77777777" w:rsidR="003446BF" w:rsidRPr="002F2FDF" w:rsidRDefault="003446B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23 ноября (6 декабря)</w:t>
      </w:r>
      <w:r w:rsidRPr="002F2FDF">
        <w:rPr>
          <w:rFonts w:ascii="Times New Roman" w:hAnsi="Times New Roman" w:cs="Times New Roman"/>
          <w:color w:val="000000" w:themeColor="text1"/>
          <w:kern w:val="2"/>
          <w:sz w:val="16"/>
          <w:szCs w:val="16"/>
        </w:rPr>
        <w:t xml:space="preserve"> в 1917 году постановление Совета Народных Комисаров о создании Коллегии народных комиссаров по военным делам (14852).</w:t>
      </w:r>
    </w:p>
    <w:p w14:paraId="205422E2" w14:textId="77777777" w:rsidR="003446BF" w:rsidRPr="002F2FDF" w:rsidRDefault="003446BF" w:rsidP="0083075A">
      <w:pPr>
        <w:spacing w:after="0" w:line="240" w:lineRule="auto"/>
        <w:jc w:val="both"/>
        <w:rPr>
          <w:rFonts w:ascii="Times New Roman" w:hAnsi="Times New Roman" w:cs="Times New Roman"/>
          <w:color w:val="000000" w:themeColor="text1"/>
          <w:kern w:val="2"/>
          <w:sz w:val="16"/>
          <w:szCs w:val="16"/>
        </w:rPr>
      </w:pPr>
    </w:p>
    <w:p w14:paraId="6B20363C" w14:textId="208BD474" w:rsidR="00CB3CC2" w:rsidRPr="00FB4F67" w:rsidRDefault="00CB3CC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23 ноября </w:t>
      </w:r>
      <w:r>
        <w:rPr>
          <w:rFonts w:ascii="Times New Roman" w:hAnsi="Times New Roman" w:cs="Times New Roman"/>
          <w:color w:val="0070C0"/>
          <w:sz w:val="16"/>
          <w:szCs w:val="16"/>
        </w:rPr>
        <w:t xml:space="preserve">(6 декабря) </w:t>
      </w:r>
      <w:r w:rsidRPr="00FB4F67">
        <w:rPr>
          <w:rFonts w:ascii="Times New Roman" w:hAnsi="Times New Roman" w:cs="Times New Roman"/>
          <w:color w:val="0070C0"/>
          <w:sz w:val="16"/>
          <w:szCs w:val="16"/>
        </w:rPr>
        <w:t>1917 г. южнее Волочиц французским истребителем сбит германский самолет. Летчики были взяты в плен. В тот же день южнее Гусаники военный летчик прапорщик И.В. Смирнов атаковал два неприятельских аппарата, одержав свою 9-ю воздушную победу. Подбитый вражеский аэроплан разбился, его экипаж погиб.</w:t>
      </w:r>
    </w:p>
    <w:p w14:paraId="4DCD8452" w14:textId="77777777" w:rsidR="00CB3CC2" w:rsidRPr="00FB4F67" w:rsidRDefault="00CB3CC2" w:rsidP="0083075A">
      <w:pPr>
        <w:spacing w:after="0" w:line="240" w:lineRule="auto"/>
        <w:jc w:val="both"/>
        <w:rPr>
          <w:rFonts w:ascii="Times New Roman" w:hAnsi="Times New Roman" w:cs="Times New Roman"/>
          <w:color w:val="0070C0"/>
          <w:sz w:val="16"/>
          <w:szCs w:val="16"/>
        </w:rPr>
      </w:pPr>
      <w:bookmarkStart w:id="398" w:name="bookmark1030"/>
      <w:r w:rsidRPr="00FB4F67">
        <w:rPr>
          <w:rFonts w:ascii="Times New Roman" w:hAnsi="Times New Roman" w:cs="Times New Roman"/>
          <w:color w:val="0070C0"/>
          <w:sz w:val="16"/>
          <w:szCs w:val="16"/>
        </w:rPr>
        <w:t>Южнее Черновиц в воздушном бою также снижен неприятельский самолет, опустившийся в нашем расположении.</w:t>
      </w:r>
      <w:bookmarkEnd w:id="398"/>
    </w:p>
    <w:p w14:paraId="605A269D" w14:textId="77777777" w:rsidR="00CB3CC2" w:rsidRPr="00FB4F67" w:rsidRDefault="00CB3CC2" w:rsidP="0083075A">
      <w:pPr>
        <w:spacing w:after="0" w:line="240" w:lineRule="auto"/>
        <w:jc w:val="both"/>
        <w:rPr>
          <w:rFonts w:ascii="Times New Roman" w:hAnsi="Times New Roman" w:cs="Times New Roman"/>
          <w:color w:val="0070C0"/>
          <w:sz w:val="16"/>
          <w:szCs w:val="16"/>
        </w:rPr>
      </w:pPr>
    </w:p>
    <w:p w14:paraId="35AB8736" w14:textId="56A0E552" w:rsidR="00952980" w:rsidRPr="00FB4F67" w:rsidRDefault="0095298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23 ноября </w:t>
      </w:r>
      <w:r>
        <w:rPr>
          <w:rFonts w:ascii="Times New Roman" w:hAnsi="Times New Roman" w:cs="Times New Roman"/>
          <w:color w:val="0070C0"/>
          <w:sz w:val="16"/>
          <w:szCs w:val="16"/>
        </w:rPr>
        <w:t xml:space="preserve">(6 декабря) </w:t>
      </w:r>
      <w:r w:rsidRPr="00FB4F67">
        <w:rPr>
          <w:rFonts w:ascii="Times New Roman" w:hAnsi="Times New Roman" w:cs="Times New Roman"/>
          <w:color w:val="0070C0"/>
          <w:sz w:val="16"/>
          <w:szCs w:val="16"/>
        </w:rPr>
        <w:t>1917 г. в Брест-Литовске русские и центральные державы договорились о перемирии. 15-го большевики подписали 30-дневное перемирие (23525).</w:t>
      </w:r>
    </w:p>
    <w:p w14:paraId="106EEC93" w14:textId="77777777" w:rsidR="00952980" w:rsidRPr="00FB4F67" w:rsidRDefault="00952980" w:rsidP="0083075A">
      <w:pPr>
        <w:spacing w:after="0" w:line="240" w:lineRule="auto"/>
        <w:jc w:val="both"/>
        <w:rPr>
          <w:rFonts w:ascii="Times New Roman" w:hAnsi="Times New Roman" w:cs="Times New Roman"/>
          <w:color w:val="0070C0"/>
          <w:sz w:val="16"/>
          <w:szCs w:val="16"/>
        </w:rPr>
      </w:pPr>
    </w:p>
    <w:p w14:paraId="56CB074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5E3EE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44D3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23 ноября (6 декабря) 1917 СНК рассмотрел вопрос “О возможности забастовки служащих в правительственных учреждениях во всероссийском масштабе”. В целях противодействия этому было принято решение о создании особой комиссии. На пост председателя комиссии была предложена кандидатура Ф. Э. Дзержинского, которому Совнарком к следующему заседанию поручил представить список членов комиссии и разработать меры борьбы с саботажем. </w:t>
      </w:r>
    </w:p>
    <w:p w14:paraId="6F7760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соответствии с постановлением Совнаркома Дзержинский приступил к организации комиссии по борьбе с контрреволюцией и саботажем. Он пригласил войти в состав комиссии видных большевиков: В. К. Аверина, В. Н. Васильевского, Д. Г. Евсеева, Н. А. Жиделева, И. К. Ксенофонтова, Г. К. Орджоникидзе, Я. X. Петерса, К. А. Петерсона, В. А. Трифонова. 7 декабря все приглашенные, кроме Жиделева и Васильевского, собрались в Смольном для обсуждения вопроса о компетенции и структуре комиссии по борьбе с контрреволюцией и саботажем. </w:t>
      </w:r>
    </w:p>
    <w:p w14:paraId="51BE75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этот же день на заседании СНК, проводившимся под председательством В.И.Ленина, был заслушан доклад Ф.Э.Дзержинского об организации и составе комиссии. СНК постановил назвать комиссию Всероссийской чрезвычайной комиссией при Совете Народных Комиссаров по борьбе с контрреволюцией, саботажем и утвердил ее состав. </w:t>
      </w:r>
    </w:p>
    <w:p w14:paraId="129D70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Было решено создать три отдела - информационный, организационный и отдел борьбы с контрреволюцией и саботажем (11711). </w:t>
      </w:r>
    </w:p>
    <w:p w14:paraId="3CF0E2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3683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ноября (6 декабря) 1917 по приказу СНК были арестованы члены Всероссийской комиссии по выборам в Учредительное собрание и комиссаром Комиссии был назначен М.С.Урицкий (3908,271).</w:t>
      </w:r>
    </w:p>
    <w:p w14:paraId="46723D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BD9B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ноября (6 декабря) 1917 в Петрограде был создан Союз защиты Учредительного Собрания (под пред. В.Н.Филипповского), объединивший правых эсеров, народных социалистов, меньшевиков-оборонцев, кадетов), который просуществовал до января 1918 и создал отделения в Москве, Одессе и Самаре (3908,271).</w:t>
      </w:r>
    </w:p>
    <w:p w14:paraId="2FF85C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F24A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ноября (6 декабря) 1917 Постановлением Совета Народных Комиссаров М.С. Кедров введен в состав коллегии Народного комиссариата по военным делам и назначен заместителем наркомвоена по отделу демобилизации армии (в дальнейшем этот отдел был преобразован в Комиссариат по демобилизации армии). Управление Военным министерством передано коллегии народных комиссаров в составе Н.И. Подвойского, К.А. Мехоношина, Э.М. Склянского и Б.В. Леграна (4216).</w:t>
      </w:r>
    </w:p>
    <w:p w14:paraId="1B1F2B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D080B6" w14:textId="795C43FA" w:rsidR="00DA796B" w:rsidRPr="002F2FDF" w:rsidRDefault="00DA796B" w:rsidP="0083075A">
      <w:pPr>
        <w:pStyle w:val="ae"/>
        <w:spacing w:before="0" w:after="0"/>
        <w:jc w:val="both"/>
        <w:rPr>
          <w:color w:val="000000" w:themeColor="text1"/>
          <w:kern w:val="2"/>
          <w:sz w:val="16"/>
          <w:szCs w:val="16"/>
        </w:rPr>
      </w:pPr>
      <w:r w:rsidRPr="002F2FDF">
        <w:rPr>
          <w:bCs/>
          <w:color w:val="000000" w:themeColor="text1"/>
          <w:kern w:val="2"/>
          <w:sz w:val="16"/>
          <w:szCs w:val="16"/>
        </w:rPr>
        <w:t>23 ноября (6 декабря)</w:t>
      </w:r>
      <w:r w:rsidRPr="002F2FDF">
        <w:rPr>
          <w:color w:val="000000" w:themeColor="text1"/>
          <w:kern w:val="2"/>
          <w:sz w:val="16"/>
          <w:szCs w:val="16"/>
        </w:rPr>
        <w:t xml:space="preserve"> в 1917 году правительством большевиков был издан «Декрет о суде», который отменял старые судебные учреждения и действие старых за</w:t>
      </w:r>
      <w:r w:rsidRPr="002F2FDF">
        <w:rPr>
          <w:color w:val="000000" w:themeColor="text1"/>
          <w:kern w:val="2"/>
          <w:sz w:val="16"/>
          <w:szCs w:val="16"/>
        </w:rPr>
        <w:softHyphen/>
        <w:t>конов, если те противоречили «революционному правосознанию». Владимир Ленин так писал о необходимости судебных реформ: «Безусловной обязанностью пролетарской революции было не реформировать судебные учреждения, а совершенно уничто</w:t>
      </w:r>
      <w:r w:rsidRPr="002F2FDF">
        <w:rPr>
          <w:color w:val="000000" w:themeColor="text1"/>
          <w:kern w:val="2"/>
          <w:sz w:val="16"/>
          <w:szCs w:val="16"/>
        </w:rPr>
        <w:softHyphen/>
        <w:t>жить, смести до основания весь старый суд и его аппарат. Эту необ</w:t>
      </w:r>
      <w:r w:rsidRPr="002F2FDF">
        <w:rPr>
          <w:color w:val="000000" w:themeColor="text1"/>
          <w:kern w:val="2"/>
          <w:sz w:val="16"/>
          <w:szCs w:val="16"/>
        </w:rPr>
        <w:softHyphen/>
        <w:t>ходимую задачу Октябрьская революция выполнила, и выполнила успешно». Аналогичной точки зрения придерживался и большевистский нарком просвещения Анатолий Луначарский: «Долой суды-мумии, алтари умершего права, долой судей-банкиров, готовых на свежей могиле безраздельного господства капитала продолжать пить кровь живых. Да здравствует народ, создающий в своих кипящих, бродящих, как молодое вино, судах, право новое</w:t>
      </w:r>
      <w:r w:rsidR="00E52569">
        <w:rPr>
          <w:color w:val="000000" w:themeColor="text1"/>
          <w:kern w:val="2"/>
          <w:sz w:val="16"/>
          <w:szCs w:val="16"/>
        </w:rPr>
        <w:t xml:space="preserve"> </w:t>
      </w:r>
      <w:r w:rsidRPr="002F2FDF">
        <w:rPr>
          <w:color w:val="000000" w:themeColor="text1"/>
          <w:kern w:val="2"/>
          <w:sz w:val="16"/>
          <w:szCs w:val="16"/>
        </w:rPr>
        <w:t>— справедливость для всех, право великого братства и равенства трудящихся!» (17045).</w:t>
      </w:r>
    </w:p>
    <w:p w14:paraId="7AE67060" w14:textId="77777777" w:rsidR="00DA796B" w:rsidRPr="002F2FDF" w:rsidRDefault="00DA796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71FD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ноября (6 декабря) 1917 царская семья была взята под стражу в Тобольске большевиками (2100).</w:t>
      </w:r>
    </w:p>
    <w:p w14:paraId="31225C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4CB2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ноября (6 декабря) 1917 Финляндия - Сейм (3263,710) объявила независимость от России (3481).</w:t>
      </w:r>
    </w:p>
    <w:p w14:paraId="2F6B8B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C6BB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ноября (6 декабря) 1917 по инициативе Сената (2110) Финляндия провозгласила независимость (3263).</w:t>
      </w:r>
    </w:p>
    <w:p w14:paraId="220D3C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4B5892" w14:textId="77777777" w:rsidR="00952980" w:rsidRPr="00FB4F67" w:rsidRDefault="0095298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23 ноября </w:t>
      </w:r>
      <w:r>
        <w:rPr>
          <w:rFonts w:ascii="Times New Roman" w:hAnsi="Times New Roman" w:cs="Times New Roman"/>
          <w:color w:val="0070C0"/>
          <w:sz w:val="16"/>
          <w:szCs w:val="16"/>
        </w:rPr>
        <w:t xml:space="preserve">(6 декабря) </w:t>
      </w:r>
      <w:r w:rsidRPr="00FB4F67">
        <w:rPr>
          <w:rFonts w:ascii="Times New Roman" w:hAnsi="Times New Roman" w:cs="Times New Roman"/>
          <w:color w:val="0070C0"/>
          <w:sz w:val="16"/>
          <w:szCs w:val="16"/>
        </w:rPr>
        <w:t>1917 г. в Гельсингфорсе Финляндия объявила о своей независимости от России (23525).</w:t>
      </w:r>
    </w:p>
    <w:p w14:paraId="2B91C83C" w14:textId="77777777" w:rsidR="00952980" w:rsidRPr="00FB4F67" w:rsidRDefault="00952980" w:rsidP="0083075A">
      <w:pPr>
        <w:spacing w:after="0" w:line="240" w:lineRule="auto"/>
        <w:jc w:val="both"/>
        <w:rPr>
          <w:rFonts w:ascii="Times New Roman" w:hAnsi="Times New Roman" w:cs="Times New Roman"/>
          <w:color w:val="0070C0"/>
          <w:sz w:val="16"/>
          <w:szCs w:val="16"/>
        </w:rPr>
      </w:pPr>
    </w:p>
    <w:p w14:paraId="70DD139B" w14:textId="77777777" w:rsidR="003446BF" w:rsidRPr="002F2FDF" w:rsidRDefault="003446B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23 ноября (6 декабря)</w:t>
      </w:r>
      <w:r w:rsidRPr="002F2FDF">
        <w:rPr>
          <w:rFonts w:ascii="Times New Roman" w:hAnsi="Times New Roman" w:cs="Times New Roman"/>
          <w:color w:val="000000" w:themeColor="text1"/>
          <w:kern w:val="2"/>
          <w:sz w:val="16"/>
          <w:szCs w:val="16"/>
        </w:rPr>
        <w:t xml:space="preserve"> в 1917 году финский сейм провозгласил независимость Финляндии, ранее Великого княжества Финлядского, с XVI века входившего в состав Шведского королевства, а с 1809 года — в состав Российской империи. 31 декабря большевистское правительство России признало за финнами суверенитет, которым те никогда прежде не обладали. 6 декабря отмечается в Финляндии как главный национальный праздник — День независимости (14852).</w:t>
      </w:r>
    </w:p>
    <w:p w14:paraId="6C4616F2" w14:textId="77777777" w:rsidR="003446BF" w:rsidRPr="002F2FDF" w:rsidRDefault="003446BF" w:rsidP="0083075A">
      <w:pPr>
        <w:spacing w:after="0" w:line="240" w:lineRule="auto"/>
        <w:jc w:val="both"/>
        <w:rPr>
          <w:rFonts w:ascii="Times New Roman" w:hAnsi="Times New Roman" w:cs="Times New Roman"/>
          <w:color w:val="000000" w:themeColor="text1"/>
          <w:kern w:val="2"/>
          <w:sz w:val="16"/>
          <w:szCs w:val="16"/>
        </w:rPr>
      </w:pPr>
    </w:p>
    <w:p w14:paraId="57EB22A5" w14:textId="77777777" w:rsidR="001C568D" w:rsidRPr="002F2FDF" w:rsidRDefault="001C568D" w:rsidP="0083075A">
      <w:pPr>
        <w:pStyle w:val="ae"/>
        <w:spacing w:before="0" w:after="0"/>
        <w:jc w:val="both"/>
        <w:rPr>
          <w:color w:val="000000" w:themeColor="text1"/>
          <w:sz w:val="16"/>
          <w:szCs w:val="16"/>
        </w:rPr>
      </w:pPr>
      <w:r w:rsidRPr="002F2FDF">
        <w:rPr>
          <w:color w:val="000000" w:themeColor="text1"/>
          <w:sz w:val="16"/>
          <w:szCs w:val="16"/>
        </w:rPr>
        <w:t>23 ноября (6 декабря) 1917 финский сейм в одностороннем порядке провозгласил Финляндию независимым государством. 18 (31) декабря Ленин подписал «Постановление Совета Народных Комиссаров о признании независимости Финляндской Республики». В постановлении говорилось: "В ответ на обращение Финляндского Правительства о признании независимости Финляндской Республики Совет Народных Комиссаров в полном согласии с принципами права наций на самоопределение постановляет:</w:t>
      </w:r>
    </w:p>
    <w:p w14:paraId="729D00F6" w14:textId="77777777" w:rsidR="001C568D" w:rsidRPr="002F2FDF" w:rsidRDefault="001C568D" w:rsidP="0083075A">
      <w:pPr>
        <w:pStyle w:val="ae"/>
        <w:spacing w:before="0" w:after="0"/>
        <w:jc w:val="both"/>
        <w:rPr>
          <w:color w:val="000000" w:themeColor="text1"/>
          <w:sz w:val="16"/>
          <w:szCs w:val="16"/>
        </w:rPr>
      </w:pPr>
      <w:r w:rsidRPr="002F2FDF">
        <w:rPr>
          <w:color w:val="000000" w:themeColor="text1"/>
          <w:sz w:val="16"/>
          <w:szCs w:val="16"/>
        </w:rPr>
        <w:t>Войти в Центральный Исполнительный комитет с предложением: а) признать государственную независимость Финляндской Республики и б) организовать, по соглашению с Финляндским Правительством, особую Комиссию из представителей обеих сторон для разработки тех практических мероприятий, которые вытекают из отделения Финляндии от России".</w:t>
      </w:r>
    </w:p>
    <w:p w14:paraId="0C3AC239" w14:textId="5E6788C0" w:rsidR="001C568D" w:rsidRPr="002F2FDF" w:rsidRDefault="001C568D" w:rsidP="0083075A">
      <w:pPr>
        <w:pStyle w:val="ae"/>
        <w:spacing w:before="0" w:after="0"/>
        <w:jc w:val="both"/>
        <w:rPr>
          <w:color w:val="000000" w:themeColor="text1"/>
          <w:sz w:val="16"/>
          <w:szCs w:val="16"/>
        </w:rPr>
      </w:pPr>
      <w:r w:rsidRPr="002F2FDF">
        <w:rPr>
          <w:color w:val="000000" w:themeColor="text1"/>
          <w:sz w:val="16"/>
          <w:szCs w:val="16"/>
        </w:rPr>
        <w:t>Это постановление Совнаркома лично получил в Смольном Пер Эвинд Свинхувуд, премьер-министр новообразованного государства. Однако предусмотренные в постановлении Совнаркома практические мероприятия по отделению Финляндии от России не успели осуществиться, так как в Финляндии вспыхнула гражданская война. В ночь на 10 января 1918 года[109]</w:t>
      </w:r>
      <w:r w:rsidR="00E52569">
        <w:rPr>
          <w:color w:val="000000" w:themeColor="text1"/>
          <w:sz w:val="16"/>
          <w:szCs w:val="16"/>
        </w:rPr>
        <w:t xml:space="preserve"> </w:t>
      </w:r>
      <w:r w:rsidRPr="002F2FDF">
        <w:rPr>
          <w:color w:val="000000" w:themeColor="text1"/>
          <w:sz w:val="16"/>
          <w:szCs w:val="16"/>
        </w:rPr>
        <w:t>начались вооруженные столкновения между шюцкором и отрядами финской Красной Гвардии (18525).</w:t>
      </w:r>
    </w:p>
    <w:p w14:paraId="4539CB11" w14:textId="77777777" w:rsidR="001C568D" w:rsidRPr="002F2FDF" w:rsidRDefault="001C568D" w:rsidP="0083075A">
      <w:pPr>
        <w:pStyle w:val="ae"/>
        <w:spacing w:before="0" w:after="0"/>
        <w:jc w:val="both"/>
        <w:rPr>
          <w:color w:val="000000" w:themeColor="text1"/>
          <w:sz w:val="16"/>
          <w:szCs w:val="16"/>
        </w:rPr>
      </w:pPr>
    </w:p>
    <w:p w14:paraId="5ABF4BD7" w14:textId="77862199" w:rsidR="00CB3CC2" w:rsidRDefault="00CB3CC2"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Внешняя политика:</w:t>
      </w:r>
    </w:p>
    <w:p w14:paraId="1EB4D6E7" w14:textId="77777777" w:rsidR="00CB3CC2" w:rsidRDefault="00CB3CC2"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1AA5177D" w14:textId="0FE7B361" w:rsidR="00CB3CC2" w:rsidRPr="00FB4F67" w:rsidRDefault="00CB3CC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23 ноября </w:t>
      </w:r>
      <w:r>
        <w:rPr>
          <w:rFonts w:ascii="Times New Roman" w:hAnsi="Times New Roman" w:cs="Times New Roman"/>
          <w:color w:val="0070C0"/>
          <w:sz w:val="16"/>
          <w:szCs w:val="16"/>
        </w:rPr>
        <w:t xml:space="preserve">(6 декабря) </w:t>
      </w:r>
      <w:r w:rsidRPr="00FB4F67">
        <w:rPr>
          <w:rFonts w:ascii="Times New Roman" w:hAnsi="Times New Roman" w:cs="Times New Roman"/>
          <w:color w:val="0070C0"/>
          <w:sz w:val="16"/>
          <w:szCs w:val="16"/>
        </w:rPr>
        <w:t>1917 г. в докладе на заседании ВЦИК сообщая об обращении по радио к армии. Ленин указывает, что есть сведения о том. «что наши радиограммы доходят в Европу». Из этого Ленин делает вывод, что с помощью радио советское правительство может обратиться непосредственно к французкому народу, если Клемансо не согласится подписать мирный договор.</w:t>
      </w:r>
    </w:p>
    <w:p w14:paraId="4A82D965" w14:textId="77777777" w:rsidR="00CB3CC2" w:rsidRPr="00FB4F67" w:rsidRDefault="00CB3CC2"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«Мы имеем возможность сноситься радиотелеграфом с Парижем, и когда мирный договор будет составлен, мы будем иметь возможность сообщить французскому народу, что он может быть подписан, и что от французского народа зависит заключить перемирие в два часа. Увидим, что скажет тогда Клемансо» (23318).</w:t>
      </w:r>
    </w:p>
    <w:p w14:paraId="18DAE05E" w14:textId="77777777" w:rsidR="00CB3CC2" w:rsidRPr="00FB4F67" w:rsidRDefault="00CB3CC2" w:rsidP="0083075A">
      <w:pPr>
        <w:spacing w:after="0" w:line="240" w:lineRule="auto"/>
        <w:jc w:val="both"/>
        <w:rPr>
          <w:rFonts w:ascii="Times New Roman" w:hAnsi="Times New Roman" w:cs="Times New Roman"/>
          <w:color w:val="0070C0"/>
          <w:sz w:val="16"/>
          <w:szCs w:val="16"/>
        </w:rPr>
      </w:pPr>
    </w:p>
    <w:p w14:paraId="55301428" w14:textId="77CD6BFE"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lastRenderedPageBreak/>
        <w:t>За рубежом:</w:t>
      </w:r>
    </w:p>
    <w:p w14:paraId="308219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BB8413" w14:textId="77777777" w:rsidR="004575E2" w:rsidRPr="002F2FDF" w:rsidRDefault="004575E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23 ноября (6 декабря) 1917 Чикухая Накадзимо и Seibi Каванись создали первую в Японии самолетную фапбрику </w:t>
      </w:r>
      <w:r w:rsidRPr="002F2FDF">
        <w:rPr>
          <w:rFonts w:ascii="Times New Roman" w:hAnsi="Times New Roman" w:cs="Times New Roman"/>
          <w:color w:val="000000" w:themeColor="text1"/>
          <w:sz w:val="16"/>
          <w:szCs w:val="16"/>
          <w:lang w:val="en-US"/>
        </w:rPr>
        <w:t>Aircraft</w:t>
      </w:r>
      <w:r w:rsidRPr="002F2FDF">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lang w:val="en-US"/>
        </w:rPr>
        <w:t>Manufacturing</w:t>
      </w:r>
      <w:r w:rsidRPr="002F2FDF">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lang w:val="en-US"/>
        </w:rPr>
        <w:t>Work</w:t>
      </w:r>
      <w:r w:rsidRPr="002F2FDF">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lang w:val="en-US"/>
        </w:rPr>
        <w:t>Company</w:t>
      </w:r>
      <w:r w:rsidRPr="002F2FDF">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lang w:val="en-US"/>
        </w:rPr>
        <w:t>Ltd</w:t>
      </w:r>
      <w:r w:rsidRPr="002F2FDF">
        <w:rPr>
          <w:rFonts w:ascii="Times New Roman" w:hAnsi="Times New Roman" w:cs="Times New Roman"/>
          <w:color w:val="000000" w:themeColor="text1"/>
          <w:sz w:val="16"/>
          <w:szCs w:val="16"/>
        </w:rPr>
        <w:t xml:space="preserve"> (20341).</w:t>
      </w:r>
    </w:p>
    <w:p w14:paraId="12C6C3AB" w14:textId="77777777" w:rsidR="004575E2" w:rsidRPr="002F2FDF" w:rsidRDefault="004575E2" w:rsidP="0083075A">
      <w:pPr>
        <w:spacing w:after="0" w:line="240" w:lineRule="auto"/>
        <w:jc w:val="both"/>
        <w:rPr>
          <w:rFonts w:ascii="Times New Roman" w:hAnsi="Times New Roman" w:cs="Times New Roman"/>
          <w:color w:val="000000" w:themeColor="text1"/>
          <w:sz w:val="16"/>
          <w:szCs w:val="16"/>
        </w:rPr>
      </w:pPr>
    </w:p>
    <w:p w14:paraId="6E4D26D9" w14:textId="3292E3B8" w:rsidR="004575E2" w:rsidRPr="002F2FDF" w:rsidRDefault="004575E2"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23 ноября (6 декабря)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Предприниматель Тикухэй Hакадзима и офицер-кораблестроитель ВМС Сэйбэй Каваниси на акционерной основе создали авиационный завод под названием «Японское самолетное производство». Это первая авиастроительная компания в Японии (22714).</w:t>
      </w:r>
    </w:p>
    <w:p w14:paraId="20D847B9" w14:textId="77777777" w:rsidR="004575E2" w:rsidRPr="002F2FDF" w:rsidRDefault="004575E2" w:rsidP="0083075A">
      <w:pPr>
        <w:spacing w:after="0" w:line="240" w:lineRule="auto"/>
        <w:jc w:val="both"/>
        <w:rPr>
          <w:rFonts w:ascii="Times New Roman" w:hAnsi="Times New Roman" w:cs="Times New Roman"/>
          <w:color w:val="000000" w:themeColor="text1"/>
          <w:sz w:val="16"/>
          <w:szCs w:val="16"/>
        </w:rPr>
      </w:pPr>
    </w:p>
    <w:p w14:paraId="0A0E7F9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ноября (6 декабря) 1917 в гавани Галифакса (Канада) произошел колоссальный взрыв корабля “Монблан”, перевозящего динамит, около 1600 человек погибли, разрушено около 3 тысяч зданий на берегу (4962).</w:t>
      </w:r>
    </w:p>
    <w:p w14:paraId="6942970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A9D8F1" w14:textId="77777777" w:rsidR="00DA796B" w:rsidRPr="002F2FDF" w:rsidRDefault="00DA796B" w:rsidP="0083075A">
      <w:pPr>
        <w:pStyle w:val="ae"/>
        <w:spacing w:before="0" w:after="0"/>
        <w:jc w:val="both"/>
        <w:rPr>
          <w:color w:val="000000" w:themeColor="text1"/>
          <w:kern w:val="2"/>
          <w:sz w:val="16"/>
          <w:szCs w:val="16"/>
        </w:rPr>
      </w:pPr>
      <w:r w:rsidRPr="002F2FDF">
        <w:rPr>
          <w:bCs/>
          <w:color w:val="000000" w:themeColor="text1"/>
          <w:kern w:val="2"/>
          <w:sz w:val="16"/>
          <w:szCs w:val="16"/>
        </w:rPr>
        <w:t>23 ноября (6 декабря)</w:t>
      </w:r>
      <w:r w:rsidRPr="002F2FDF">
        <w:rPr>
          <w:color w:val="000000" w:themeColor="text1"/>
          <w:kern w:val="2"/>
          <w:sz w:val="16"/>
          <w:szCs w:val="16"/>
        </w:rPr>
        <w:t xml:space="preserve"> в 1917 году в порту города Галифакс на востоке Канады взорвался груженый взрывчаткой французский пароход «Монблан». Это ЧП стало одной из крупнейших по числу жертв и масштабам разрушений техногенных катастроф начала XX века, и считается самым мощным взрывом доядерной эпохи.</w:t>
      </w:r>
    </w:p>
    <w:p w14:paraId="20F45BC3" w14:textId="77777777" w:rsidR="00DA796B" w:rsidRPr="002F2FDF" w:rsidRDefault="00DA796B" w:rsidP="0083075A">
      <w:pPr>
        <w:pStyle w:val="ae"/>
        <w:spacing w:before="0" w:after="0"/>
        <w:jc w:val="both"/>
        <w:rPr>
          <w:color w:val="000000" w:themeColor="text1"/>
          <w:kern w:val="2"/>
          <w:sz w:val="16"/>
          <w:szCs w:val="16"/>
        </w:rPr>
      </w:pPr>
      <w:r w:rsidRPr="002F2FDF">
        <w:rPr>
          <w:color w:val="000000" w:themeColor="text1"/>
          <w:kern w:val="2"/>
          <w:sz w:val="16"/>
          <w:szCs w:val="16"/>
        </w:rPr>
        <w:t>Французский военный транспорт «Монблан» следовал из Нью-Йорка во Францию, на его борту находились более 2500 тыс. тонн различных взрывчатых материалов — тротил, пироксилин, бензол и пикриновая кислота. В порт Галифакса «Монблан» зашел в ожидании формирования очередного конвоя, в составе которых во избежание потерь от германских подводных лодок в Европу шли большинство судов союзников по Антанте.</w:t>
      </w:r>
    </w:p>
    <w:p w14:paraId="597102E2" w14:textId="77777777" w:rsidR="00DA796B" w:rsidRPr="002F2FDF" w:rsidRDefault="00DA796B" w:rsidP="0083075A">
      <w:pPr>
        <w:pStyle w:val="ae"/>
        <w:spacing w:before="0" w:after="0"/>
        <w:jc w:val="both"/>
        <w:rPr>
          <w:color w:val="000000" w:themeColor="text1"/>
          <w:kern w:val="2"/>
          <w:sz w:val="16"/>
          <w:szCs w:val="16"/>
        </w:rPr>
      </w:pPr>
      <w:r w:rsidRPr="002F2FDF">
        <w:rPr>
          <w:color w:val="000000" w:themeColor="text1"/>
          <w:kern w:val="2"/>
          <w:sz w:val="16"/>
          <w:szCs w:val="16"/>
        </w:rPr>
        <w:t>В гавани «Монблан» на смог разминуться с шедшим навстречу норвежским пароходом «Имо». Как показало позже расследование, оба капитана совершали рискованные маневры, и в итоге около 8 часов утра 6 декабря «Имо» протаранил «Монблан» в правый борт. При ударе были повреждены несколько бочек с бензолом, который растекся по палубам. Капитан «Имо», стремясь освободить нос своего корабля, дал задний ход, в результате чего от трения и ударов металлических частей полетели искры, от который загорелся бензол. Зная, насколько опасный груз они везут, капитан «Монблана» сразу же дал команду экипажу спустить шлюпки и покинуть судно. Все моряки благополучно добрались до берега, сам же «Монблан», неуправляемый и охваченный огнем, вынесло к пирсу.</w:t>
      </w:r>
    </w:p>
    <w:p w14:paraId="5F887709" w14:textId="7C9E642F" w:rsidR="00DA796B" w:rsidRPr="002F2FDF" w:rsidRDefault="00DA796B" w:rsidP="0083075A">
      <w:pPr>
        <w:pStyle w:val="ae"/>
        <w:spacing w:before="0" w:after="0"/>
        <w:jc w:val="both"/>
        <w:rPr>
          <w:color w:val="000000" w:themeColor="text1"/>
          <w:kern w:val="2"/>
          <w:sz w:val="16"/>
          <w:szCs w:val="16"/>
        </w:rPr>
      </w:pPr>
      <w:r w:rsidRPr="002F2FDF">
        <w:rPr>
          <w:color w:val="000000" w:themeColor="text1"/>
          <w:kern w:val="2"/>
          <w:sz w:val="16"/>
          <w:szCs w:val="16"/>
        </w:rPr>
        <w:t>Взрыв чудовищной силы прогремел около 9.06 по местному времени. Все здания в радиусе около 2,5 км — в общей сложности около 1600 — были разрушены полностью, повреждены более 12</w:t>
      </w:r>
      <w:r w:rsidR="00E52569">
        <w:rPr>
          <w:color w:val="000000" w:themeColor="text1"/>
          <w:kern w:val="2"/>
          <w:sz w:val="16"/>
          <w:szCs w:val="16"/>
        </w:rPr>
        <w:t xml:space="preserve"> </w:t>
      </w:r>
      <w:r w:rsidRPr="002F2FDF">
        <w:rPr>
          <w:color w:val="000000" w:themeColor="text1"/>
          <w:kern w:val="2"/>
          <w:sz w:val="16"/>
          <w:szCs w:val="16"/>
        </w:rPr>
        <w:t>000 зданий, взрывной волной окна и двери в некоторых домах выбило на расстоянии почти 30 км от порта. Фактически была разрушена почти половина города. Над местом взрыва на высоту почти 4 км поднялось огромное облако, а кусок обшивки «Монблана» весом более центнера позднее нашли в лесу в 19 километрах от порта.</w:t>
      </w:r>
    </w:p>
    <w:p w14:paraId="114B736E" w14:textId="77777777" w:rsidR="00DA796B" w:rsidRPr="002F2FDF" w:rsidRDefault="00DA796B" w:rsidP="0083075A">
      <w:pPr>
        <w:pStyle w:val="ae"/>
        <w:spacing w:before="0" w:after="0"/>
        <w:jc w:val="both"/>
        <w:rPr>
          <w:color w:val="000000" w:themeColor="text1"/>
          <w:kern w:val="2"/>
          <w:sz w:val="16"/>
          <w:szCs w:val="16"/>
        </w:rPr>
      </w:pPr>
      <w:r w:rsidRPr="002F2FDF">
        <w:rPr>
          <w:color w:val="000000" w:themeColor="text1"/>
          <w:kern w:val="2"/>
          <w:sz w:val="16"/>
          <w:szCs w:val="16"/>
        </w:rPr>
        <w:t>Около 2000 человек погибли от удара взрывной волны и под обломками кораблей и зданий, заживо сгорели во вспыхнувших пожарах. Еще около 2000 тысяч человек пропали без вести, почти 10 тысяч моряков и жителей города получили ранения. Зрение при этом потеряли порядка 400 человек — когда на «Монблане» начался пожар, многие жители прильнули к окнам посмотреть, что там происходит, и их посекло осколками стекол.</w:t>
      </w:r>
    </w:p>
    <w:p w14:paraId="169810AA" w14:textId="77777777" w:rsidR="00DA796B" w:rsidRPr="002F2FDF" w:rsidRDefault="00DA796B" w:rsidP="0083075A">
      <w:pPr>
        <w:pStyle w:val="ae"/>
        <w:spacing w:before="0" w:after="0"/>
        <w:jc w:val="both"/>
        <w:rPr>
          <w:color w:val="000000" w:themeColor="text1"/>
          <w:kern w:val="2"/>
          <w:sz w:val="16"/>
          <w:szCs w:val="16"/>
        </w:rPr>
      </w:pPr>
      <w:r w:rsidRPr="002F2FDF">
        <w:rPr>
          <w:color w:val="000000" w:themeColor="text1"/>
          <w:kern w:val="2"/>
          <w:sz w:val="16"/>
          <w:szCs w:val="16"/>
        </w:rPr>
        <w:t>Разбирательство о степени вины выживших капитана «Монблана» и находившегося на его борту местного лоцмана шло три месяца (капитан парохода «Имо» погиб при взрыве), оба ненадолго оказались в тюрьме, но в целом отделались «легким испугом». Чуть позже, после рассмотрения дела Верховным судом Канады капитан и лоцман «Монблана» были освобождены, и им даже вернули лицензии судоводителей, а в 1931 году, в связи с выходом на пенсию, капитан «Монблана» был даже награжден орденом Почетного легиона.</w:t>
      </w:r>
    </w:p>
    <w:p w14:paraId="62C40B18" w14:textId="77777777" w:rsidR="00DA796B" w:rsidRPr="002F2FDF" w:rsidRDefault="00DA796B" w:rsidP="0083075A">
      <w:pPr>
        <w:pStyle w:val="ae"/>
        <w:spacing w:before="0" w:after="0"/>
        <w:jc w:val="both"/>
        <w:rPr>
          <w:color w:val="000000" w:themeColor="text1"/>
          <w:kern w:val="2"/>
          <w:sz w:val="16"/>
          <w:szCs w:val="16"/>
        </w:rPr>
      </w:pPr>
      <w:r w:rsidRPr="002F2FDF">
        <w:rPr>
          <w:color w:val="000000" w:themeColor="text1"/>
          <w:kern w:val="2"/>
          <w:sz w:val="16"/>
          <w:szCs w:val="16"/>
        </w:rPr>
        <w:t>Подобная трагедия чуть раньше, в октябре 1916 года произошла в порту Архангельска. Правда, там причиной взрыва стала диверсия германского агента</w:t>
      </w:r>
      <w:r w:rsidR="00EA5EB3" w:rsidRPr="002F2FDF">
        <w:rPr>
          <w:color w:val="000000" w:themeColor="text1"/>
          <w:kern w:val="2"/>
          <w:sz w:val="16"/>
          <w:szCs w:val="16"/>
        </w:rPr>
        <w:t xml:space="preserve"> (17045)</w:t>
      </w:r>
      <w:r w:rsidRPr="002F2FDF">
        <w:rPr>
          <w:color w:val="000000" w:themeColor="text1"/>
          <w:kern w:val="2"/>
          <w:sz w:val="16"/>
          <w:szCs w:val="16"/>
        </w:rPr>
        <w:t>.</w:t>
      </w:r>
    </w:p>
    <w:p w14:paraId="15EA808C" w14:textId="77777777" w:rsidR="00DA796B" w:rsidRPr="002F2FDF" w:rsidRDefault="00DA796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5232C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C7203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F4D3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ноября (3263,710) (6 декабря) 1917 в 9 часов утра произошел взрыв французского парохода в проливе Те-Нарроус у побережья Канады из-за столкновения с норвежским грузовым пароходом. Все здания по берегам пролива в Галифаксе были разрушены и погибло от 2000 до 3000 чел., 9000 б. ранены и 25000 остались без крова (3263,710).</w:t>
      </w:r>
    </w:p>
    <w:p w14:paraId="6773CF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E25FA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77D6E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F5B7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ноября (7 декабря) 1917 вступил в действие договор о прекращении военных действий на фронтах Советской России с Германией, Австро-Венгрией и Турцией, заключенный на мирной конференции в Брест-Литовске (4216).</w:t>
      </w:r>
    </w:p>
    <w:p w14:paraId="5A975E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0B90C9" w14:textId="161AE01C" w:rsidR="00026008" w:rsidRPr="00FB4F67" w:rsidRDefault="00026008"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24 ноября (</w:t>
      </w:r>
      <w:r w:rsidRPr="00FB4F67">
        <w:rPr>
          <w:rFonts w:ascii="Times New Roman" w:hAnsi="Times New Roman" w:cs="Times New Roman"/>
          <w:color w:val="0070C0"/>
          <w:sz w:val="16"/>
          <w:szCs w:val="16"/>
        </w:rPr>
        <w:t>7 декабря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одностороннем порядке было принято решение о демобилизации старой русской армии, планируя завершить ее к весне следующего года. С фронта начали изыматься боеспособные технические подразделения (включая авиацию и зенитную артиллерию) с переводом их вглубь территории страны (23405).</w:t>
      </w:r>
    </w:p>
    <w:p w14:paraId="16BE57EC" w14:textId="77777777" w:rsidR="00026008" w:rsidRPr="00FB4F67" w:rsidRDefault="00026008" w:rsidP="0083075A">
      <w:pPr>
        <w:spacing w:after="0" w:line="240" w:lineRule="auto"/>
        <w:jc w:val="both"/>
        <w:rPr>
          <w:rFonts w:ascii="Times New Roman" w:hAnsi="Times New Roman" w:cs="Times New Roman"/>
          <w:color w:val="0070C0"/>
          <w:sz w:val="16"/>
          <w:szCs w:val="16"/>
        </w:rPr>
      </w:pPr>
    </w:p>
    <w:p w14:paraId="7C216E94" w14:textId="77777777" w:rsidR="003446BF" w:rsidRPr="002F2FDF" w:rsidRDefault="003446BF"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24 ноября (7 декабря) 1917 Командир 1-й баг подполковник А.А.Казаков вынужденно подписал приказ прекратить всякие полеты по постановлению Военно-революционного комитета. Приказ подписал и комиссар солдат Рыжков. После бесконечных собраний и выборов солдатских комитетов в дивизионе, группе и отрядах 9 декабря авиагруппу возглавил летчик-солдат И.У.Павлов. 19 декабря на общем собрании 19-го. Казакова выбрали командиром отряда, которым он командовал еще в середине войны (15464).</w:t>
      </w:r>
    </w:p>
    <w:p w14:paraId="299C24B8" w14:textId="77777777" w:rsidR="003446BF" w:rsidRPr="002F2FDF" w:rsidRDefault="003446BF" w:rsidP="0083075A">
      <w:pPr>
        <w:pStyle w:val="2"/>
        <w:spacing w:before="0" w:beforeAutospacing="0" w:after="0" w:afterAutospacing="0"/>
        <w:jc w:val="both"/>
        <w:rPr>
          <w:b w:val="0"/>
          <w:color w:val="000000" w:themeColor="text1"/>
          <w:kern w:val="2"/>
          <w:sz w:val="16"/>
          <w:szCs w:val="16"/>
        </w:rPr>
      </w:pPr>
    </w:p>
    <w:p w14:paraId="6639718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4C5E5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FD3B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ноября (7 декабря) 1917 собрались в Смольном для обсуждения вопроса о компетенции и структуре комиссии по борьбе с контрреволюцией и саботажем.</w:t>
      </w:r>
    </w:p>
    <w:p w14:paraId="6BDB2E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этот же день на заседании СНК, проводившимся под председательством В.И.Ленина, был заслушан доклад Ф.Э.Дзержинского об организации и составе комиссии. СНК постановил назвать комиссию Всероссийской чрезвычайной комиссией при Совете Народных Комиссаров по борьбе с контрреволюцией, саботажем и утвердил ее состав. </w:t>
      </w:r>
    </w:p>
    <w:p w14:paraId="5282D6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Было решено создать три отдела - информационный, организационный и отдел борьбы с контрреволюцией и саботажем (11711). </w:t>
      </w:r>
    </w:p>
    <w:p w14:paraId="005F8F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19DDC9" w14:textId="77777777" w:rsidR="001B016C" w:rsidRPr="002F2FDF" w:rsidRDefault="001B016C"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К 24 ноября (7 декабря) 1917 ресурсы наличности в банках были исчерпаны. 25 ноября (8 декабря) в день зарплаты банки открылись лишь для того, чтобы выдать чеки на Госбанк. До 29 ноября (12 декабря) петроградские банки не работали )18085).</w:t>
      </w:r>
    </w:p>
    <w:p w14:paraId="145E5498" w14:textId="77777777" w:rsidR="001B016C" w:rsidRPr="002F2FDF" w:rsidRDefault="001B016C" w:rsidP="0083075A">
      <w:pPr>
        <w:spacing w:after="0" w:line="240" w:lineRule="auto"/>
        <w:jc w:val="both"/>
        <w:rPr>
          <w:rFonts w:ascii="Times New Roman" w:eastAsia="Times New Roman" w:hAnsi="Times New Roman" w:cs="Times New Roman"/>
          <w:color w:val="000000" w:themeColor="text1"/>
          <w:sz w:val="16"/>
          <w:szCs w:val="16"/>
          <w:lang w:eastAsia="ru-RU"/>
        </w:rPr>
      </w:pPr>
    </w:p>
    <w:p w14:paraId="01E014B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ноября (7 декабря) 1917 большевик Артем-Сергеев избран главой Харьковского Совета и губернского ревкома (4962).</w:t>
      </w:r>
    </w:p>
    <w:p w14:paraId="0C87DE5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688C7D" w14:textId="09659235" w:rsidR="003431D2" w:rsidRPr="00BD288C" w:rsidRDefault="00BD288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Pr>
          <w:rFonts w:ascii="Times New Roman" w:hAnsi="Times New Roman" w:cs="Times New Roman"/>
          <w:color w:val="000000" w:themeColor="text1"/>
          <w:kern w:val="2"/>
          <w:sz w:val="16"/>
          <w:szCs w:val="16"/>
          <w:lang w:val="en-US"/>
        </w:rPr>
        <w:t>November 24 (</w:t>
      </w:r>
      <w:r w:rsidR="003431D2" w:rsidRPr="00BD288C">
        <w:rPr>
          <w:rFonts w:ascii="Times New Roman" w:hAnsi="Times New Roman" w:cs="Times New Roman"/>
          <w:color w:val="000000" w:themeColor="text1"/>
          <w:kern w:val="2"/>
          <w:sz w:val="16"/>
          <w:szCs w:val="16"/>
          <w:lang w:val="en-US"/>
        </w:rPr>
        <w:t>December 7</w:t>
      </w:r>
      <w:r>
        <w:rPr>
          <w:rFonts w:ascii="Times New Roman" w:hAnsi="Times New Roman" w:cs="Times New Roman"/>
          <w:color w:val="000000" w:themeColor="text1"/>
          <w:kern w:val="2"/>
          <w:sz w:val="16"/>
          <w:szCs w:val="16"/>
          <w:lang w:val="en-US"/>
        </w:rPr>
        <w:t>)</w:t>
      </w:r>
      <w:r w:rsidR="003431D2" w:rsidRPr="00BD288C">
        <w:rPr>
          <w:rFonts w:ascii="Times New Roman" w:hAnsi="Times New Roman" w:cs="Times New Roman"/>
          <w:color w:val="000000" w:themeColor="text1"/>
          <w:kern w:val="2"/>
          <w:sz w:val="16"/>
          <w:szCs w:val="16"/>
          <w:lang w:val="en-US"/>
        </w:rPr>
        <w:t>, 1917 Finland declares independence (1036).</w:t>
      </w:r>
    </w:p>
    <w:p w14:paraId="6CE277AE" w14:textId="77777777" w:rsidR="003431D2" w:rsidRPr="00BD288C"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47164E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ноября (7 декабря) 1917 Финляндия провозгласила независимость (1348,88).</w:t>
      </w:r>
    </w:p>
    <w:p w14:paraId="3DD969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B2718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0BB24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8FC4C1" w14:textId="77777777" w:rsidR="00AC4F19" w:rsidRPr="002F2FDF" w:rsidRDefault="00AC4F1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24 ноября (7 декабря) 1917 битва при Камбре подходит к концу, 10 немецких штурмовых эскадрилий оказали непосредственную авиационную поддержку немецким наземным войскам во время 17-дневного боя. Немецкие штурмовики сыграли ключевую роль в остановке британского наступления, убедив Luftstreitkrafte в необходимости наличия постоянных штурмовых сил (20341).</w:t>
      </w:r>
    </w:p>
    <w:p w14:paraId="327C099D" w14:textId="77777777" w:rsidR="00AC4F19" w:rsidRPr="002F2FDF" w:rsidRDefault="00AC4F19" w:rsidP="0083075A">
      <w:pPr>
        <w:spacing w:after="0" w:line="240" w:lineRule="auto"/>
        <w:jc w:val="both"/>
        <w:rPr>
          <w:rFonts w:ascii="Times New Roman" w:hAnsi="Times New Roman" w:cs="Times New Roman"/>
          <w:color w:val="000000" w:themeColor="text1"/>
          <w:sz w:val="16"/>
          <w:szCs w:val="16"/>
        </w:rPr>
      </w:pPr>
    </w:p>
    <w:p w14:paraId="367B2E15" w14:textId="77777777" w:rsidR="00384421" w:rsidRPr="002F2FDF" w:rsidRDefault="00384421" w:rsidP="0083075A">
      <w:pPr>
        <w:pStyle w:val="ae"/>
        <w:spacing w:before="0" w:after="0"/>
        <w:jc w:val="both"/>
        <w:rPr>
          <w:color w:val="000000" w:themeColor="text1"/>
          <w:kern w:val="2"/>
          <w:sz w:val="16"/>
          <w:szCs w:val="16"/>
        </w:rPr>
      </w:pPr>
      <w:r w:rsidRPr="002F2FDF">
        <w:rPr>
          <w:color w:val="000000" w:themeColor="text1"/>
          <w:kern w:val="2"/>
          <w:sz w:val="16"/>
          <w:szCs w:val="16"/>
        </w:rPr>
        <w:t>24 ноября (7 декабря) 1917 английское командование завершило отвод войск на исходные позиции после неудачного наступления, предпринятого в районе городка Камбре на севере Франции. Это ознаменовало окончание одноименной битвы, вошедшей в историю благодаря первому опыту массированного применения танков.</w:t>
      </w:r>
    </w:p>
    <w:p w14:paraId="2EA3B3AC" w14:textId="77777777" w:rsidR="00384421" w:rsidRPr="002F2FDF" w:rsidRDefault="00384421" w:rsidP="0083075A">
      <w:pPr>
        <w:pStyle w:val="ae"/>
        <w:spacing w:before="0" w:after="0"/>
        <w:jc w:val="both"/>
        <w:rPr>
          <w:color w:val="000000" w:themeColor="text1"/>
          <w:kern w:val="2"/>
          <w:sz w:val="16"/>
          <w:szCs w:val="16"/>
        </w:rPr>
      </w:pPr>
      <w:r w:rsidRPr="002F2FDF">
        <w:rPr>
          <w:color w:val="000000" w:themeColor="text1"/>
          <w:kern w:val="2"/>
          <w:sz w:val="16"/>
          <w:szCs w:val="16"/>
        </w:rPr>
        <w:t>Британские войска планировали прорвать под Камбре германские укрепления, бросив в бой почти 400 танков. Им действительно удалось быстро, всего за несколько часов взломать сразу три линии обороны противника, но потом наступление англичан остановилось из-за несогласованности между разными подразделениями. Немцы же успели стянуть резервы и нанесли контрудар, пытаясь окружить британцев. В итоге стороны вернулись на исходные позиции. При этом англичане потеряли большую часть своих танков.</w:t>
      </w:r>
    </w:p>
    <w:p w14:paraId="5930915E" w14:textId="77777777" w:rsidR="00384421" w:rsidRPr="002F2FDF" w:rsidRDefault="00384421"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По итогам Битвы при Камбре стороны понесли одинаковые потери — примерно по 45 тыс. убитыми, ранеными и пленными. С точки зрения развития военного искусства, военные историки оценивают ее как первый успешный опыт массированного танкового удара, взаимодействия разных родов войск, а также отработки противотанковой обороны. Русский военный историк, генерал Андрей Зайончковский отмечал, что «можно считать, что проблема механизации армии ведет свое </w:t>
      </w:r>
      <w:r w:rsidRPr="002F2FDF">
        <w:rPr>
          <w:color w:val="000000" w:themeColor="text1"/>
          <w:kern w:val="2"/>
          <w:sz w:val="16"/>
          <w:szCs w:val="16"/>
        </w:rPr>
        <w:lastRenderedPageBreak/>
        <w:t>начало отсюда» (17045).</w:t>
      </w:r>
    </w:p>
    <w:p w14:paraId="3745B2B8" w14:textId="77777777" w:rsidR="00384421" w:rsidRPr="002F2FDF" w:rsidRDefault="00384421"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E602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ноября (7 декабря) 1917 США объявили войну Австро-Венгрии (2100).</w:t>
      </w:r>
    </w:p>
    <w:p w14:paraId="1DEA8CD0" w14:textId="3855FAB0"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7EF2E6" w14:textId="6FA91BC7" w:rsidR="00483AEB" w:rsidRPr="002F2FDF" w:rsidRDefault="00483AE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B6E636B" w14:textId="77777777" w:rsidR="00483AEB" w:rsidRPr="002F2FDF" w:rsidRDefault="00483AE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59E4A2B" w14:textId="77777777" w:rsidR="00483AEB" w:rsidRPr="002F2FDF" w:rsidRDefault="00483AE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25 ноября (8 декабря) 1917 г.</w:t>
      </w:r>
    </w:p>
    <w:p w14:paraId="44901E2D" w14:textId="77777777" w:rsidR="00483AEB" w:rsidRPr="002F2FDF" w:rsidRDefault="00483AE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Отношение штаба Военно-революционного комитета заводскому комитету воздухоплавательного завода «В. А. Лебедев» о задержке самолетов и моторов для пополнения Нго авиационного отряда ВРК.</w:t>
      </w:r>
    </w:p>
    <w:p w14:paraId="67E273EB" w14:textId="77777777" w:rsidR="00483AEB" w:rsidRPr="002F2FDF" w:rsidRDefault="00483AE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25 ноября 1917 г.</w:t>
      </w:r>
    </w:p>
    <w:p w14:paraId="7585FAD3" w14:textId="77777777" w:rsidR="00483AEB" w:rsidRPr="002F2FDF" w:rsidRDefault="00483AE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4150</w:t>
      </w:r>
    </w:p>
    <w:p w14:paraId="2FF4658B" w14:textId="77777777" w:rsidR="00483AEB" w:rsidRPr="002F2FDF" w:rsidRDefault="00483AE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Прошу задержать все аппараты и моторы немецких систем для пополнения 1-го авиационного отряда Военно-революционного комитета; об отремонтированных аппаратах и моторах известить комиссара тов. Можаева.</w:t>
      </w:r>
    </w:p>
    <w:p w14:paraId="4DE846C2" w14:textId="77777777" w:rsidR="00483AEB" w:rsidRPr="002F2FDF" w:rsidRDefault="00483AE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 сведениям директора завода, инженера С. Заблоцкого имеются у вас моторы — Бенц 220 Н. Р., Майбах два 220 Н. Р. и еще 212 Н. Р., 200 Н. Р. и аппарат системы Румплера двухмоторный.</w:t>
      </w:r>
    </w:p>
    <w:p w14:paraId="62EF6255" w14:textId="77777777" w:rsidR="00483AEB" w:rsidRPr="002F2FDF" w:rsidRDefault="00483AE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Главнокомандующий Петроградским военным округом народный комиссар Антонов</w:t>
      </w:r>
    </w:p>
    <w:p w14:paraId="149C3943" w14:textId="77777777" w:rsidR="00483AEB" w:rsidRPr="002F2FDF" w:rsidRDefault="00483AE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 начальника штаба Василевский</w:t>
      </w:r>
    </w:p>
    <w:p w14:paraId="484D85C6" w14:textId="77777777" w:rsidR="00483AEB" w:rsidRPr="002F2FDF" w:rsidRDefault="00483AE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Адъютант</w:t>
      </w:r>
    </w:p>
    <w:p w14:paraId="6111CCE0" w14:textId="77777777" w:rsidR="00483AEB" w:rsidRPr="002F2FDF" w:rsidRDefault="00483AE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Член контрольной комиссии Шарутин</w:t>
      </w:r>
    </w:p>
    <w:p w14:paraId="02EDA650" w14:textId="77777777" w:rsidR="00483AEB" w:rsidRPr="002F2FDF" w:rsidRDefault="00483AE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 27, л. 10. Подлинник (20587).</w:t>
      </w:r>
    </w:p>
    <w:p w14:paraId="721204FB" w14:textId="77777777" w:rsidR="00483AEB" w:rsidRPr="002F2FDF" w:rsidRDefault="00483AEB" w:rsidP="0083075A">
      <w:pPr>
        <w:spacing w:after="0" w:line="240" w:lineRule="auto"/>
        <w:jc w:val="both"/>
        <w:rPr>
          <w:rFonts w:ascii="Times New Roman" w:hAnsi="Times New Roman" w:cs="Times New Roman"/>
          <w:color w:val="000000" w:themeColor="text1"/>
          <w:sz w:val="16"/>
          <w:szCs w:val="16"/>
        </w:rPr>
      </w:pPr>
    </w:p>
    <w:p w14:paraId="4A28CF58" w14:textId="77777777" w:rsidR="001A7088" w:rsidRPr="002F2FDF" w:rsidRDefault="001A708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1AA73D43" w14:textId="77777777" w:rsidR="001A7088" w:rsidRPr="002F2FDF" w:rsidRDefault="001A708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E5E219" w14:textId="77777777" w:rsidR="001A7088" w:rsidRPr="002F2FDF" w:rsidRDefault="001A7088" w:rsidP="0083075A">
      <w:pPr>
        <w:pStyle w:val="p1"/>
        <w:spacing w:before="0" w:beforeAutospacing="0" w:after="0" w:afterAutospacing="0"/>
        <w:jc w:val="both"/>
        <w:rPr>
          <w:color w:val="000000" w:themeColor="text1"/>
          <w:sz w:val="16"/>
          <w:szCs w:val="16"/>
        </w:rPr>
      </w:pPr>
      <w:r w:rsidRPr="002F2FDF">
        <w:rPr>
          <w:color w:val="000000" w:themeColor="text1"/>
          <w:sz w:val="16"/>
          <w:szCs w:val="16"/>
        </w:rPr>
        <w:t>25 ноября</w:t>
      </w:r>
      <w:r w:rsidRPr="002F2FDF">
        <w:rPr>
          <w:rStyle w:val="a7"/>
          <w:rFonts w:eastAsiaTheme="majorEastAsia"/>
          <w:b w:val="0"/>
          <w:color w:val="000000" w:themeColor="text1"/>
          <w:sz w:val="16"/>
          <w:szCs w:val="16"/>
        </w:rPr>
        <w:t xml:space="preserve"> (8 декабря)</w:t>
      </w:r>
      <w:r w:rsidRPr="002F2FDF">
        <w:rPr>
          <w:color w:val="000000" w:themeColor="text1"/>
          <w:sz w:val="16"/>
          <w:szCs w:val="16"/>
        </w:rPr>
        <w:t xml:space="preserve"> 1917 года СНК, заслушав доклад А.Г. Шляпникова о проекте декрета о передаче Особого совещания по обороне государства в ведение Наркомата торговли и промышленности, утвердил проект[208]. Через 2 дня СНК обсудил предложение В.И. Ленина об организации особой комиссии для проведения в жизнь социалистической политики в области финансовой и экономической. По итогам был принят ленинский же проект постановления о поручении зампреду Особого совещания по обороне большевику П.А. Козьмину, сформировать комиссию из 2–3 инженеров и направить её в Особое совещание для контроля и составления общего плана демобилизации промышленности»[209] (18385).</w:t>
      </w:r>
    </w:p>
    <w:p w14:paraId="3A1F99BF" w14:textId="77777777" w:rsidR="001A7088" w:rsidRPr="002F2FDF" w:rsidRDefault="001A7088" w:rsidP="0083075A">
      <w:pPr>
        <w:pStyle w:val="p1"/>
        <w:spacing w:before="0" w:beforeAutospacing="0" w:after="0" w:afterAutospacing="0"/>
        <w:jc w:val="both"/>
        <w:rPr>
          <w:color w:val="000000" w:themeColor="text1"/>
          <w:sz w:val="16"/>
          <w:szCs w:val="16"/>
        </w:rPr>
      </w:pPr>
    </w:p>
    <w:p w14:paraId="695A04D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D7948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EED6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ноября (8 декабря) 1917 Совет Народных Комиссаров назначил Э. М. Склянского верховным комиссаром при Ставке верховного главнокомандующего (4216).</w:t>
      </w:r>
    </w:p>
    <w:p w14:paraId="1597A9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4A18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25 ноября (8 декабря) 1917 для управления ВМФ была создана Верховная морская коллегия (П. Е. Дыбенко, И. И. Вахрамеев, М. В. Иванов, Ф. Ф. Раскольников, В. В. Ковальский). Съезд избрал Морскую секцию ВЦИК (законодательный совет морского ведомства), заменившую Адмпралтейств-совет. Председателем этой секции был избран большевик А. В. Баранов (затем В. Ф. Полухин). По решению съезда руководство флотами (флотилиями) передавалось центральным комитетам флотов (флотилий). Во все управления, учреждения, ведомства, на флоты и флотилии были назначены комиссары, ВМРК был упразднен. </w:t>
      </w:r>
    </w:p>
    <w:p w14:paraId="13ADED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Съезд способствовал дальнейшему сплочению военных моряков вокруг большевистской партии и Советского правительства, определил программу демократизации ВМФ и меры по ее осуществлению (11712).</w:t>
      </w:r>
    </w:p>
    <w:p w14:paraId="127422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61DE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ноября (8 декабря) 1917 красногвардейцы захватили Харьков (3263,715).</w:t>
      </w:r>
    </w:p>
    <w:p w14:paraId="21AA1D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33C2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25-28 ноября (8-11 декабря) 1917 состоялись первые столкновения с войсками Корнилова и Каледина на Дону. г Дутов начал переворот в Оренбурге (2239).</w:t>
      </w:r>
    </w:p>
    <w:p w14:paraId="5AC827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A9CDD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ноября (8 декабря) 1917 солдаты захватили штаб 11-й русской армии, отстранив ее командиров от руководства (4962).</w:t>
      </w:r>
    </w:p>
    <w:p w14:paraId="4C496EF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32E1B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30AA1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D9A1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ноября (8 декабря) 1917 закончил работу Чрезвычайный Всероссийский съезд Советов крестьянских депутатов (3481).</w:t>
      </w:r>
    </w:p>
    <w:p w14:paraId="4D22A3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F1C7A2" w14:textId="77777777" w:rsidR="00DA796B" w:rsidRPr="002F2FDF" w:rsidRDefault="00DA796B" w:rsidP="0083075A">
      <w:pPr>
        <w:pStyle w:val="ae"/>
        <w:spacing w:before="0" w:after="0"/>
        <w:jc w:val="both"/>
        <w:rPr>
          <w:color w:val="000000" w:themeColor="text1"/>
          <w:kern w:val="2"/>
          <w:sz w:val="16"/>
          <w:szCs w:val="16"/>
        </w:rPr>
      </w:pPr>
      <w:r w:rsidRPr="002F2FDF">
        <w:rPr>
          <w:color w:val="000000" w:themeColor="text1"/>
          <w:kern w:val="2"/>
          <w:sz w:val="16"/>
          <w:szCs w:val="16"/>
        </w:rPr>
        <w:t>25 ноября (8 декабря) 1917 СНК издал постановление «О монопольном распоряжении государства сельскохозяйственными машинами и орудиями» (17045).</w:t>
      </w:r>
    </w:p>
    <w:p w14:paraId="0A84707D" w14:textId="77777777" w:rsidR="00DA796B" w:rsidRPr="002F2FDF" w:rsidRDefault="00DA796B"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DC2EB3" w14:textId="77777777" w:rsidR="001B016C" w:rsidRPr="002F2FDF" w:rsidRDefault="001B016C"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25 ноября (8 декабря) 1917 г. по докладу В. Р. Менжинского на заседании СНК принимается декрет об упразднении Дворянского земельного и Крестьянского поземельного банков. Это постановление было принято во исполнение декретов о земле и об уничтожении сословных учреждений. Но фактическая работа по ликвидации государственных ипотечных банков началась лишь с декабря 1918 г.1 (18085)</w:t>
      </w:r>
    </w:p>
    <w:p w14:paraId="3AF840D9" w14:textId="77777777" w:rsidR="001B016C" w:rsidRPr="002F2FDF" w:rsidRDefault="001B016C" w:rsidP="0083075A">
      <w:pPr>
        <w:spacing w:after="0" w:line="240" w:lineRule="auto"/>
        <w:jc w:val="both"/>
        <w:rPr>
          <w:rFonts w:ascii="Times New Roman" w:eastAsia="Times New Roman" w:hAnsi="Times New Roman" w:cs="Times New Roman"/>
          <w:color w:val="000000" w:themeColor="text1"/>
          <w:sz w:val="16"/>
          <w:szCs w:val="16"/>
          <w:lang w:eastAsia="ru-RU"/>
        </w:rPr>
      </w:pPr>
    </w:p>
    <w:p w14:paraId="60DCAB08" w14:textId="77777777" w:rsidR="001B016C" w:rsidRPr="002F2FDF" w:rsidRDefault="001B016C"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25 ноября (8 декабря) 1917 г. на заседании Совнаркома был представлен проект декрета об отмене косвенных налогов. Известно, что отказ от косвенного обложения был предоктябрьским требованием большевиков. В проекте говорилось, что отменяются все налоги на предметы потребления за исключением налогов на предметы роскоши. Но в следующей же статье документа было записано: "Временно впредь до введения новых прямых налогов, но во всяком случае не более чем на год, налоги, перечисленные в статье 2, сохраняются".20 Таким образом, в проекте декрета объявлялась "декларация о намерениях" отменить косвенные налоги, однако сроки этого были отодвинуты минимум на год.</w:t>
      </w:r>
    </w:p>
    <w:p w14:paraId="0C9A48D2" w14:textId="77777777" w:rsidR="001B016C" w:rsidRPr="002F2FDF" w:rsidRDefault="001B016C"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После Октябрьской революции сельское население по-своему отреагировало на происходившие в стране изменения. Крестьяне первым делом перестали платить налоги, ибо "так они понимали свободу". Вследствие такого положения В. И. Ленин вынужден был обратить внимание на налоговую проблему в своем обращении 18 (5) ноября 1917 г. "К населению": "Ни один трудящийся и работник не потеряет ни копейки; напротив, ему будет оказана помощь. Кроме строжайшего учета и контроля, кроме взимания без утайки налогов, установленных раньше, никаких других мер правительство вводить не хочет" (18085).</w:t>
      </w:r>
    </w:p>
    <w:p w14:paraId="15E85DE2" w14:textId="77777777" w:rsidR="001B016C" w:rsidRPr="002F2FDF" w:rsidRDefault="001B016C" w:rsidP="0083075A">
      <w:pPr>
        <w:spacing w:after="0" w:line="240" w:lineRule="auto"/>
        <w:jc w:val="both"/>
        <w:rPr>
          <w:rFonts w:ascii="Times New Roman" w:eastAsia="Times New Roman" w:hAnsi="Times New Roman" w:cs="Times New Roman"/>
          <w:color w:val="000000" w:themeColor="text1"/>
          <w:sz w:val="16"/>
          <w:szCs w:val="16"/>
          <w:lang w:eastAsia="ru-RU"/>
        </w:rPr>
      </w:pPr>
    </w:p>
    <w:p w14:paraId="0E66666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ноября (8 декабря) 1917 министры Временного правительства передали из Петропавловской крепости письмо о передачи ими всей власти в России Учредительному собранию (4962).</w:t>
      </w:r>
    </w:p>
    <w:p w14:paraId="0973DD0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F249CD" w14:textId="77777777" w:rsidR="001A7088" w:rsidRPr="002F2FDF" w:rsidRDefault="001A708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25 ноября (8 декабря) 1917. Газета "Утро России" сообщала: "На Сухаревской площади с раннего утра до позднего вечера, несмотря на все события, продолжалась торговля. Здесь можно было купить все: начиная от продуктов и заканчивая дорогими собольими мехами и бриллиантами. После прихода к власти большевиков торговцы боялись, что они установят строгий контроль за торговлей. Действительно, в первые дни своего властвования большевики пытались бороться со спекуляцией, и для этой цели расставили на площадях красногвардейцев, которые конфисковали у спекулянтов продукты и мануфактурные товары и передавали их в районные советы. Однако вскоре блюстители порядка поняли, что контроль над торговлей - доходное дело. Красногвардейцы стали предлагать покупателям за 5-10 рублей содействие в приобретении товара. Солдат во время торга опекаемого им лица подходил и строго обращался к торговцу: "Ты смотри у меня, не дери лишнего". И тут же устанавливал твердую цену на товар" (18685).</w:t>
      </w:r>
    </w:p>
    <w:p w14:paraId="36062087" w14:textId="77777777" w:rsidR="001A7088" w:rsidRPr="002F2FDF" w:rsidRDefault="001A7088" w:rsidP="0083075A">
      <w:pPr>
        <w:spacing w:after="0" w:line="240" w:lineRule="auto"/>
        <w:jc w:val="both"/>
        <w:rPr>
          <w:rFonts w:ascii="Times New Roman" w:hAnsi="Times New Roman" w:cs="Times New Roman"/>
          <w:color w:val="000000" w:themeColor="text1"/>
          <w:sz w:val="16"/>
          <w:szCs w:val="16"/>
        </w:rPr>
      </w:pPr>
    </w:p>
    <w:p w14:paraId="241AB9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25-27 ноября (8-10 декабря) 1917 в Коканде прошел 4 съезд мусульман Средней Азии и было создано временное правительство автономного Туркестана (2955).</w:t>
      </w:r>
    </w:p>
    <w:p w14:paraId="3057CB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1CB91B" w14:textId="77777777" w:rsidR="0038442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FF60165" w14:textId="77777777" w:rsidR="00384421" w:rsidRPr="002F2FDF" w:rsidRDefault="0038442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A06F8F" w14:textId="77777777" w:rsidR="00384421" w:rsidRPr="002F2FDF" w:rsidRDefault="00384421" w:rsidP="0083075A">
      <w:pPr>
        <w:pStyle w:val="ae"/>
        <w:spacing w:before="0" w:after="0"/>
        <w:jc w:val="both"/>
        <w:rPr>
          <w:color w:val="000000" w:themeColor="text1"/>
          <w:kern w:val="2"/>
          <w:sz w:val="16"/>
          <w:szCs w:val="16"/>
        </w:rPr>
      </w:pPr>
      <w:r w:rsidRPr="002F2FDF">
        <w:rPr>
          <w:color w:val="000000" w:themeColor="text1"/>
          <w:kern w:val="2"/>
          <w:sz w:val="16"/>
          <w:szCs w:val="16"/>
        </w:rPr>
        <w:t>25 ноября (8 декабря) 1917 после серии успешных атак на турецкие позиции британцы вступили в Вифлеем (город неподалеку от Иерусалима в пределах нынешней Палестинской автономии). 9 декабря турки были вынуждены оставить и Иерусалим. Командующий британскими частями, генерал Эдмунд Алленби поначалу планировал въехать в освобожденный Иерусалим согласно древней традиции, верхом на коне. Однако, из уважения к городу как к священному месту для евреев, христиан и мусульман его убедили войти в ворота города пешком.</w:t>
      </w:r>
    </w:p>
    <w:p w14:paraId="64E4A221" w14:textId="77777777" w:rsidR="00384421" w:rsidRPr="002F2FDF" w:rsidRDefault="00384421" w:rsidP="0083075A">
      <w:pPr>
        <w:pStyle w:val="ae"/>
        <w:spacing w:before="0" w:after="0"/>
        <w:jc w:val="both"/>
        <w:rPr>
          <w:color w:val="000000" w:themeColor="text1"/>
          <w:kern w:val="2"/>
          <w:sz w:val="16"/>
          <w:szCs w:val="16"/>
        </w:rPr>
      </w:pPr>
      <w:r w:rsidRPr="002F2FDF">
        <w:rPr>
          <w:color w:val="000000" w:themeColor="text1"/>
          <w:kern w:val="2"/>
          <w:sz w:val="16"/>
          <w:szCs w:val="16"/>
        </w:rPr>
        <w:lastRenderedPageBreak/>
        <w:t>Переход священного города спустя многие столетия вновь в руки христиан стал огромным моральным ударом для Османской империи и настоящим «рождественским подарком» для британцев и евреев. Генерал Алленби установил в остававшемся прифронтовым городе военное положение и разместил гарнизон для охраны Стены плача, Храмовой горы, храма Гроба Господня и других святых мест.</w:t>
      </w:r>
    </w:p>
    <w:p w14:paraId="322CBC62" w14:textId="77777777" w:rsidR="00384421" w:rsidRPr="002F2FDF" w:rsidRDefault="00384421" w:rsidP="0083075A">
      <w:pPr>
        <w:pStyle w:val="ae"/>
        <w:spacing w:before="0" w:after="0"/>
        <w:jc w:val="both"/>
        <w:rPr>
          <w:color w:val="000000" w:themeColor="text1"/>
          <w:kern w:val="2"/>
          <w:sz w:val="16"/>
          <w:szCs w:val="16"/>
        </w:rPr>
      </w:pPr>
      <w:r w:rsidRPr="002F2FDF">
        <w:rPr>
          <w:color w:val="000000" w:themeColor="text1"/>
          <w:kern w:val="2"/>
          <w:sz w:val="16"/>
          <w:szCs w:val="16"/>
        </w:rPr>
        <w:t>В ходе боев за Иерусалим англичане потеряли убитыми, ранеными и пленными 18 000 человек, турки — 25 000, в том числе 1800 пленными, а также около 100 артиллерийских орудий (17045).</w:t>
      </w:r>
    </w:p>
    <w:p w14:paraId="7943C0C2" w14:textId="77777777" w:rsidR="00384421" w:rsidRPr="002F2FDF" w:rsidRDefault="0038442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E7DB10" w14:textId="0278D923" w:rsidR="00784795" w:rsidRPr="002F2FDF" w:rsidRDefault="0078479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ACBE416" w14:textId="77777777" w:rsidR="00784795" w:rsidRPr="002F2FDF" w:rsidRDefault="0078479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E97A2B" w14:textId="77777777" w:rsidR="00784795" w:rsidRPr="002F2FDF" w:rsidRDefault="0078479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26 ноября (9 декабря) 1917 в Пскове для предварительной подготовки вопросов Всероссийского воздухоплавательного съезда инспектор по воздухоплаванию Северного фрон</w:t>
      </w:r>
      <w:r w:rsidRPr="002F2FDF">
        <w:rPr>
          <w:rFonts w:ascii="Times New Roman" w:hAnsi="Times New Roman" w:cs="Times New Roman"/>
          <w:color w:val="000000" w:themeColor="text1"/>
          <w:sz w:val="16"/>
          <w:szCs w:val="16"/>
        </w:rPr>
        <w:softHyphen/>
        <w:t>та созвал съезд воздухопла</w:t>
      </w:r>
      <w:r w:rsidRPr="002F2FDF">
        <w:rPr>
          <w:rFonts w:ascii="Times New Roman" w:hAnsi="Times New Roman" w:cs="Times New Roman"/>
          <w:color w:val="000000" w:themeColor="text1"/>
          <w:sz w:val="16"/>
          <w:szCs w:val="16"/>
        </w:rPr>
        <w:softHyphen/>
        <w:t>вателей фронта. Каждая часть послала на этот съезд двух делегатов: по одному от офицерского состава и от солдат. Попытка отвлечь внимание делегатов на решение лишь технических вопро</w:t>
      </w:r>
      <w:r w:rsidRPr="002F2FDF">
        <w:rPr>
          <w:rFonts w:ascii="Times New Roman" w:hAnsi="Times New Roman" w:cs="Times New Roman"/>
          <w:color w:val="000000" w:themeColor="text1"/>
          <w:sz w:val="16"/>
          <w:szCs w:val="16"/>
        </w:rPr>
        <w:softHyphen/>
        <w:t>сов не удалась, съезд избрал своим почётным председателем В.И. Ленина и направил ему при</w:t>
      </w:r>
      <w:r w:rsidRPr="002F2FDF">
        <w:rPr>
          <w:rFonts w:ascii="Times New Roman" w:hAnsi="Times New Roman" w:cs="Times New Roman"/>
          <w:color w:val="000000" w:themeColor="text1"/>
          <w:sz w:val="16"/>
          <w:szCs w:val="16"/>
        </w:rPr>
        <w:softHyphen/>
        <w:t>ветственную телеграмму. По совету комиссара Северного фронта Б.П. Позерна съезд признал себя неправомочным, так как при выборе деле</w:t>
      </w:r>
      <w:r w:rsidRPr="002F2FDF">
        <w:rPr>
          <w:rFonts w:ascii="Times New Roman" w:hAnsi="Times New Roman" w:cs="Times New Roman"/>
          <w:color w:val="000000" w:themeColor="text1"/>
          <w:sz w:val="16"/>
          <w:szCs w:val="16"/>
        </w:rPr>
        <w:softHyphen/>
        <w:t>гатов не соблюдались принципы демократии (пропорциональное представительство). Съезд избрал Временный революционный комитет (ВРК) воздухоплавательных частей Северного фронта в составе А.Д. Анощенко, Голубева, Васи</w:t>
      </w:r>
      <w:r w:rsidRPr="002F2FDF">
        <w:rPr>
          <w:rFonts w:ascii="Times New Roman" w:hAnsi="Times New Roman" w:cs="Times New Roman"/>
          <w:color w:val="000000" w:themeColor="text1"/>
          <w:sz w:val="16"/>
          <w:szCs w:val="16"/>
        </w:rPr>
        <w:softHyphen/>
        <w:t>льева, Парменова, Среднова и Ольденборгера,на который возложили подготовку и созыв право</w:t>
      </w:r>
      <w:r w:rsidRPr="002F2FDF">
        <w:rPr>
          <w:rFonts w:ascii="Times New Roman" w:hAnsi="Times New Roman" w:cs="Times New Roman"/>
          <w:color w:val="000000" w:themeColor="text1"/>
          <w:sz w:val="16"/>
          <w:szCs w:val="16"/>
        </w:rPr>
        <w:softHyphen/>
        <w:t>мочного демократического съезда воздухоплава</w:t>
      </w:r>
      <w:r w:rsidRPr="002F2FDF">
        <w:rPr>
          <w:rFonts w:ascii="Times New Roman" w:hAnsi="Times New Roman" w:cs="Times New Roman"/>
          <w:color w:val="000000" w:themeColor="text1"/>
          <w:sz w:val="16"/>
          <w:szCs w:val="16"/>
        </w:rPr>
        <w:softHyphen/>
        <w:t>тельных частей фронта, наблюдение за работой инспектора воздухоплавания фронта и т.д.</w:t>
      </w:r>
    </w:p>
    <w:p w14:paraId="3D00BDFB" w14:textId="77777777" w:rsidR="00784795" w:rsidRPr="002F2FDF" w:rsidRDefault="0078479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6-14 декабря в Пскове состоялся новый съезд воздухоплавателей Северного фронта, на кото</w:t>
      </w:r>
      <w:r w:rsidRPr="002F2FDF">
        <w:rPr>
          <w:rFonts w:ascii="Times New Roman" w:hAnsi="Times New Roman" w:cs="Times New Roman"/>
          <w:color w:val="000000" w:themeColor="text1"/>
          <w:sz w:val="16"/>
          <w:szCs w:val="16"/>
        </w:rPr>
        <w:softHyphen/>
        <w:t>рый прибыло 72 делегата. На съезде избрали ВРК воздухоплавательных частей Северного фрон</w:t>
      </w:r>
      <w:r w:rsidRPr="002F2FDF">
        <w:rPr>
          <w:rFonts w:ascii="Times New Roman" w:hAnsi="Times New Roman" w:cs="Times New Roman"/>
          <w:color w:val="000000" w:themeColor="text1"/>
          <w:sz w:val="16"/>
          <w:szCs w:val="16"/>
        </w:rPr>
        <w:softHyphen/>
        <w:t>та в составе девяти человек (два офицера, ун</w:t>
      </w:r>
      <w:r w:rsidRPr="002F2FDF">
        <w:rPr>
          <w:rFonts w:ascii="Times New Roman" w:hAnsi="Times New Roman" w:cs="Times New Roman"/>
          <w:color w:val="000000" w:themeColor="text1"/>
          <w:sz w:val="16"/>
          <w:szCs w:val="16"/>
        </w:rPr>
        <w:softHyphen/>
        <w:t>тер-офицер, два специалиста, три писаря и один строевой солдат), ставший во главе воздухопла</w:t>
      </w:r>
      <w:r w:rsidRPr="002F2FDF">
        <w:rPr>
          <w:rFonts w:ascii="Times New Roman" w:hAnsi="Times New Roman" w:cs="Times New Roman"/>
          <w:color w:val="000000" w:themeColor="text1"/>
          <w:sz w:val="16"/>
          <w:szCs w:val="16"/>
        </w:rPr>
        <w:softHyphen/>
        <w:t>вания фронта вместо упразднённой инспекции. Комитет избрал коллегию по управлению воз</w:t>
      </w:r>
      <w:r w:rsidRPr="002F2FDF">
        <w:rPr>
          <w:rFonts w:ascii="Times New Roman" w:hAnsi="Times New Roman" w:cs="Times New Roman"/>
          <w:color w:val="000000" w:themeColor="text1"/>
          <w:sz w:val="16"/>
          <w:szCs w:val="16"/>
        </w:rPr>
        <w:softHyphen/>
        <w:t>духоплавательными частями округа в составе Фарковича, Ольденборгера и Сорокина. На ВРК возложили также функции снабжения. Команд</w:t>
      </w:r>
      <w:r w:rsidRPr="002F2FDF">
        <w:rPr>
          <w:rFonts w:ascii="Times New Roman" w:hAnsi="Times New Roman" w:cs="Times New Roman"/>
          <w:color w:val="000000" w:themeColor="text1"/>
          <w:sz w:val="16"/>
          <w:szCs w:val="16"/>
        </w:rPr>
        <w:softHyphen/>
        <w:t>ный состав воздухоплавательных частей поста</w:t>
      </w:r>
      <w:r w:rsidRPr="002F2FDF">
        <w:rPr>
          <w:rFonts w:ascii="Times New Roman" w:hAnsi="Times New Roman" w:cs="Times New Roman"/>
          <w:color w:val="000000" w:themeColor="text1"/>
          <w:sz w:val="16"/>
          <w:szCs w:val="16"/>
        </w:rPr>
        <w:softHyphen/>
        <w:t>новлением съезда стал исполнительным органом комитета части. Была избрана комиссия для уча</w:t>
      </w:r>
      <w:r w:rsidRPr="002F2FDF">
        <w:rPr>
          <w:rFonts w:ascii="Times New Roman" w:hAnsi="Times New Roman" w:cs="Times New Roman"/>
          <w:color w:val="000000" w:themeColor="text1"/>
          <w:sz w:val="16"/>
          <w:szCs w:val="16"/>
        </w:rPr>
        <w:softHyphen/>
        <w:t>стия в работе по созыву Всероссийского воздухо</w:t>
      </w:r>
      <w:r w:rsidRPr="002F2FDF">
        <w:rPr>
          <w:rFonts w:ascii="Times New Roman" w:hAnsi="Times New Roman" w:cs="Times New Roman"/>
          <w:color w:val="000000" w:themeColor="text1"/>
          <w:sz w:val="16"/>
          <w:szCs w:val="16"/>
        </w:rPr>
        <w:softHyphen/>
        <w:t>плавательного съезда, предназначенного объеди</w:t>
      </w:r>
      <w:r w:rsidRPr="002F2FDF">
        <w:rPr>
          <w:rFonts w:ascii="Times New Roman" w:hAnsi="Times New Roman" w:cs="Times New Roman"/>
          <w:color w:val="000000" w:themeColor="text1"/>
          <w:sz w:val="16"/>
          <w:szCs w:val="16"/>
        </w:rPr>
        <w:softHyphen/>
        <w:t>нить всех работников военного воздухоплавания и воздухоплавательной промышленности.</w:t>
      </w:r>
    </w:p>
    <w:p w14:paraId="60851169" w14:textId="77777777" w:rsidR="00784795" w:rsidRPr="002F2FDF" w:rsidRDefault="0078479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Открывшийся 22 января 1918 г. в Петрогра</w:t>
      </w:r>
      <w:r w:rsidRPr="002F2FDF">
        <w:rPr>
          <w:rFonts w:ascii="Times New Roman" w:hAnsi="Times New Roman" w:cs="Times New Roman"/>
          <w:color w:val="000000" w:themeColor="text1"/>
          <w:sz w:val="16"/>
          <w:szCs w:val="16"/>
        </w:rPr>
        <w:softHyphen/>
        <w:t>де I Всероссийский воздухоплавательный съезд объявил о солидарности с советской властью и выделил из своего состава Всероссийский воз</w:t>
      </w:r>
      <w:r w:rsidRPr="002F2FDF">
        <w:rPr>
          <w:rFonts w:ascii="Times New Roman" w:hAnsi="Times New Roman" w:cs="Times New Roman"/>
          <w:color w:val="000000" w:themeColor="text1"/>
          <w:sz w:val="16"/>
          <w:szCs w:val="16"/>
        </w:rPr>
        <w:softHyphen/>
        <w:t>духоплавательный совет, который послал своих представителей во Всероссийскую коллегию по управлению Воздушным флотом Республики, а также образовал бюро по формированию крас</w:t>
      </w:r>
      <w:r w:rsidRPr="002F2FDF">
        <w:rPr>
          <w:rFonts w:ascii="Times New Roman" w:hAnsi="Times New Roman" w:cs="Times New Roman"/>
          <w:color w:val="000000" w:themeColor="text1"/>
          <w:sz w:val="16"/>
          <w:szCs w:val="16"/>
        </w:rPr>
        <w:softHyphen/>
        <w:t>ных воздухоплавательных отрядов (20120).</w:t>
      </w:r>
    </w:p>
    <w:p w14:paraId="6BF9D111" w14:textId="77777777" w:rsidR="00784795" w:rsidRPr="002F2FDF" w:rsidRDefault="00784795" w:rsidP="0083075A">
      <w:pPr>
        <w:spacing w:after="0" w:line="240" w:lineRule="auto"/>
        <w:jc w:val="both"/>
        <w:rPr>
          <w:rFonts w:ascii="Times New Roman" w:hAnsi="Times New Roman" w:cs="Times New Roman"/>
          <w:color w:val="000000" w:themeColor="text1"/>
          <w:sz w:val="16"/>
          <w:szCs w:val="16"/>
        </w:rPr>
      </w:pPr>
    </w:p>
    <w:p w14:paraId="104F6BA0" w14:textId="1F9CA34E" w:rsidR="00952980" w:rsidRPr="00FB4F67" w:rsidRDefault="0095298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26 ноября (</w:t>
      </w:r>
      <w:r w:rsidRPr="00FB4F67">
        <w:rPr>
          <w:rFonts w:ascii="Times New Roman" w:hAnsi="Times New Roman" w:cs="Times New Roman"/>
          <w:color w:val="0070C0"/>
          <w:sz w:val="16"/>
          <w:szCs w:val="16"/>
        </w:rPr>
        <w:t>9 декабря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на Румынском фронте Румыния и Центральные державы подписали Фокшанское перемирие (23525).</w:t>
      </w:r>
    </w:p>
    <w:p w14:paraId="51E094EB" w14:textId="77777777" w:rsidR="00952980" w:rsidRPr="00FB4F67" w:rsidRDefault="00952980" w:rsidP="0083075A">
      <w:pPr>
        <w:spacing w:after="0" w:line="240" w:lineRule="auto"/>
        <w:jc w:val="both"/>
        <w:rPr>
          <w:rFonts w:ascii="Times New Roman" w:hAnsi="Times New Roman" w:cs="Times New Roman"/>
          <w:color w:val="0070C0"/>
          <w:sz w:val="16"/>
          <w:szCs w:val="16"/>
        </w:rPr>
      </w:pPr>
    </w:p>
    <w:p w14:paraId="64AE2D28" w14:textId="77777777" w:rsidR="00952980" w:rsidRPr="00FB4F67" w:rsidRDefault="0095298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26 ноября (</w:t>
      </w:r>
      <w:r w:rsidRPr="00FB4F67">
        <w:rPr>
          <w:rFonts w:ascii="Times New Roman" w:hAnsi="Times New Roman" w:cs="Times New Roman"/>
          <w:color w:val="0070C0"/>
          <w:sz w:val="16"/>
          <w:szCs w:val="16"/>
        </w:rPr>
        <w:t>9 декабря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на юге России под Новочеркасском начали формироваться части Донского казачьего войска под командованием генерала Л. Г. Корнилова. Управлением и финансами руководил генерал М. В. Алексеев (23525).</w:t>
      </w:r>
    </w:p>
    <w:p w14:paraId="090734AC" w14:textId="77777777" w:rsidR="00952980" w:rsidRPr="00FB4F67" w:rsidRDefault="00952980" w:rsidP="0083075A">
      <w:pPr>
        <w:spacing w:after="0" w:line="240" w:lineRule="auto"/>
        <w:jc w:val="both"/>
        <w:rPr>
          <w:rFonts w:ascii="Times New Roman" w:hAnsi="Times New Roman" w:cs="Times New Roman"/>
          <w:color w:val="0070C0"/>
          <w:sz w:val="16"/>
          <w:szCs w:val="16"/>
        </w:rPr>
      </w:pPr>
    </w:p>
    <w:p w14:paraId="3746C56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11065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22F6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ноября по 10 декабря (9-23 декабря) 1917 в Петрограде прошел 2-й съезд Советов крестьянских депутатов и на нем уже преобладали левые эсеры, поддерживающие политику большевиков (3908,271).</w:t>
      </w:r>
    </w:p>
    <w:p w14:paraId="215AA8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0E08D9" w14:textId="55E22A33" w:rsidR="00441081" w:rsidRPr="002F2FDF" w:rsidRDefault="00441081"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26 ноября (9 декабря)</w:t>
      </w:r>
      <w:r w:rsidR="00E52569">
        <w:rPr>
          <w:rStyle w:val="a7"/>
          <w:rFonts w:eastAsiaTheme="majorEastAsia"/>
          <w:b w:val="0"/>
          <w:color w:val="000000" w:themeColor="text1"/>
          <w:sz w:val="16"/>
          <w:szCs w:val="16"/>
        </w:rPr>
        <w:t xml:space="preserve"> </w:t>
      </w:r>
      <w:r w:rsidRPr="002F2FDF">
        <w:rPr>
          <w:rStyle w:val="a7"/>
          <w:rFonts w:eastAsiaTheme="majorEastAsia"/>
          <w:b w:val="0"/>
          <w:color w:val="000000" w:themeColor="text1"/>
          <w:sz w:val="16"/>
          <w:szCs w:val="16"/>
        </w:rPr>
        <w:t>1917</w:t>
      </w:r>
      <w:r w:rsidRPr="002F2FDF">
        <w:rPr>
          <w:color w:val="000000" w:themeColor="text1"/>
          <w:sz w:val="16"/>
          <w:szCs w:val="16"/>
        </w:rPr>
        <w:t xml:space="preserve"> в Петрограде под председательством лидера левых эсеров Марии Спиридоновой начал свою работу II Всероссийский Съезд Советов Крестьянских Депутатов (закончил работу 10 (23) декабря). Большевики потребовали включить в состав съезда представителей воинских частей, настроенных в основном пробольшевистски. Эсеры обвинили большевиков в попытке возродить самодержавие, «</w:t>
      </w:r>
      <w:r w:rsidRPr="002F2FDF">
        <w:rPr>
          <w:rStyle w:val="af0"/>
          <w:i w:val="0"/>
          <w:color w:val="000000" w:themeColor="text1"/>
          <w:sz w:val="16"/>
          <w:szCs w:val="16"/>
        </w:rPr>
        <w:t>при котором вместо Николая будет Ленин</w:t>
      </w:r>
      <w:r w:rsidRPr="002F2FDF">
        <w:rPr>
          <w:color w:val="000000" w:themeColor="text1"/>
          <w:sz w:val="16"/>
          <w:szCs w:val="16"/>
        </w:rPr>
        <w:t>». На обвинения эсеров в том, что «</w:t>
      </w:r>
      <w:r w:rsidRPr="002F2FDF">
        <w:rPr>
          <w:rStyle w:val="af0"/>
          <w:i w:val="0"/>
          <w:color w:val="000000" w:themeColor="text1"/>
          <w:sz w:val="16"/>
          <w:szCs w:val="16"/>
        </w:rPr>
        <w:t>большевики украли у них земельную программу</w:t>
      </w:r>
      <w:r w:rsidRPr="002F2FDF">
        <w:rPr>
          <w:color w:val="000000" w:themeColor="text1"/>
          <w:sz w:val="16"/>
          <w:szCs w:val="16"/>
        </w:rPr>
        <w:t>», Ленин ответил: «…</w:t>
      </w:r>
      <w:r w:rsidR="00E52569">
        <w:rPr>
          <w:color w:val="000000" w:themeColor="text1"/>
          <w:sz w:val="16"/>
          <w:szCs w:val="16"/>
        </w:rPr>
        <w:t xml:space="preserve"> </w:t>
      </w:r>
      <w:r w:rsidRPr="002F2FDF">
        <w:rPr>
          <w:rStyle w:val="af0"/>
          <w:i w:val="0"/>
          <w:color w:val="000000" w:themeColor="text1"/>
          <w:sz w:val="16"/>
          <w:szCs w:val="16"/>
        </w:rPr>
        <w:t>мы можем сказать спасибо. Это все, что вы от нас дождетесь</w:t>
      </w:r>
      <w:r w:rsidRPr="002F2FDF">
        <w:rPr>
          <w:color w:val="000000" w:themeColor="text1"/>
          <w:sz w:val="16"/>
          <w:szCs w:val="16"/>
        </w:rPr>
        <w:t>». Съезд раскалывается на «левое» (большевики и левые эсеры) и «правое» крылья (правые эсеры и эсеры центра). Достаточно было двух дней, чтобы левая часть съезда буквально парализовала действия правой.</w:t>
      </w:r>
    </w:p>
    <w:p w14:paraId="6B763463" w14:textId="77777777" w:rsidR="00441081" w:rsidRPr="002F2FDF" w:rsidRDefault="00441081" w:rsidP="0083075A">
      <w:pPr>
        <w:pStyle w:val="ae"/>
        <w:spacing w:before="0" w:after="0"/>
        <w:jc w:val="both"/>
        <w:rPr>
          <w:color w:val="000000" w:themeColor="text1"/>
          <w:sz w:val="16"/>
          <w:szCs w:val="16"/>
        </w:rPr>
      </w:pPr>
    </w:p>
    <w:p w14:paraId="30C4A5B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ноября (9 декабря) 1917 в Петрограде юнкерами захвачен большевик, руководитель штурма Зимнего дворца В. Антонов-Овсеенко (освобожден на следующий день при посредничестве американского журналиста А. Вильямса) (4962).</w:t>
      </w:r>
    </w:p>
    <w:p w14:paraId="031618C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C04B3B" w14:textId="77777777" w:rsidR="00441081" w:rsidRPr="002F2FDF" w:rsidRDefault="0044108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26 ноября (9 декабря) 1917 Постановление Моссовета "О борьбе с грабежами" (18685).</w:t>
      </w:r>
    </w:p>
    <w:p w14:paraId="4912C2DE" w14:textId="77777777" w:rsidR="00441081" w:rsidRPr="002F2FDF" w:rsidRDefault="00441081" w:rsidP="0083075A">
      <w:pPr>
        <w:spacing w:after="0" w:line="240" w:lineRule="auto"/>
        <w:jc w:val="both"/>
        <w:rPr>
          <w:rFonts w:ascii="Times New Roman" w:hAnsi="Times New Roman" w:cs="Times New Roman"/>
          <w:color w:val="000000" w:themeColor="text1"/>
          <w:sz w:val="16"/>
          <w:szCs w:val="16"/>
        </w:rPr>
      </w:pPr>
    </w:p>
    <w:p w14:paraId="6FCAA47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ноября (9 декабря) 1917 советское правительство уволило послов России, отказавшихся работать с большевиками (4962).</w:t>
      </w:r>
    </w:p>
    <w:p w14:paraId="4C14826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DACDEE" w14:textId="77777777" w:rsidR="0050748F" w:rsidRPr="002F2FDF" w:rsidRDefault="0050748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ноября (9 декабря) 1917 в Таганроге и Ростове власть перешла к большевикам. Атаман Каледин, генерал Алексеев и генерал Корнилов организовали "триумвират" для борьбы с ними (12629).</w:t>
      </w:r>
    </w:p>
    <w:p w14:paraId="6A1B059D" w14:textId="77777777" w:rsidR="0050748F" w:rsidRPr="002F2FDF" w:rsidRDefault="0050748F"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B3564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ноября (9 декабря) 1917 в Крыму создан курултай - высший орган крымских татар, выдвинувший лозунг “Крым для крымчан” (4962).</w:t>
      </w:r>
    </w:p>
    <w:p w14:paraId="6002313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261C9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042477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0A03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ноября (9 декабря) 1917 Финляндия потребовала вывода российских войск (2100).</w:t>
      </w:r>
    </w:p>
    <w:p w14:paraId="4944A5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9DB22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1C9AD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3736A5" w14:textId="77777777" w:rsidR="00784795" w:rsidRPr="002F2FDF" w:rsidRDefault="0078479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26 ноября (9 декабря) 1917 первый полет </w:t>
      </w:r>
      <w:r w:rsidRPr="002F2FDF">
        <w:rPr>
          <w:rFonts w:ascii="Times New Roman" w:hAnsi="Times New Roman" w:cs="Times New Roman"/>
          <w:color w:val="000000" w:themeColor="text1"/>
          <w:sz w:val="16"/>
          <w:szCs w:val="16"/>
          <w:lang w:val="en-US"/>
        </w:rPr>
        <w:t>Schaefer</w:t>
      </w:r>
      <w:r w:rsidRPr="002F2FDF">
        <w:rPr>
          <w:rFonts w:ascii="Times New Roman" w:hAnsi="Times New Roman" w:cs="Times New Roman"/>
          <w:color w:val="000000" w:themeColor="text1"/>
          <w:sz w:val="16"/>
          <w:szCs w:val="16"/>
        </w:rPr>
        <w:t xml:space="preserve"> &amp; </w:t>
      </w:r>
      <w:r w:rsidRPr="002F2FDF">
        <w:rPr>
          <w:rFonts w:ascii="Times New Roman" w:hAnsi="Times New Roman" w:cs="Times New Roman"/>
          <w:color w:val="000000" w:themeColor="text1"/>
          <w:sz w:val="16"/>
          <w:szCs w:val="16"/>
          <w:lang w:val="en-US"/>
        </w:rPr>
        <w:t>Sons</w:t>
      </w:r>
      <w:r w:rsidRPr="002F2FDF">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lang w:val="en-US"/>
        </w:rPr>
        <w:t>RS</w:t>
      </w:r>
      <w:r w:rsidRPr="002F2FDF">
        <w:rPr>
          <w:rFonts w:ascii="Times New Roman" w:hAnsi="Times New Roman" w:cs="Times New Roman"/>
          <w:color w:val="000000" w:themeColor="text1"/>
          <w:sz w:val="16"/>
          <w:szCs w:val="16"/>
        </w:rPr>
        <w:t xml:space="preserve"> (20341)</w:t>
      </w:r>
    </w:p>
    <w:p w14:paraId="0A381DEE" w14:textId="77777777" w:rsidR="00784795" w:rsidRPr="002F2FDF" w:rsidRDefault="00784795" w:rsidP="0083075A">
      <w:pPr>
        <w:spacing w:after="0" w:line="240" w:lineRule="auto"/>
        <w:jc w:val="both"/>
        <w:rPr>
          <w:rFonts w:ascii="Times New Roman" w:hAnsi="Times New Roman" w:cs="Times New Roman"/>
          <w:color w:val="000000" w:themeColor="text1"/>
          <w:sz w:val="16"/>
          <w:szCs w:val="16"/>
        </w:rPr>
      </w:pPr>
    </w:p>
    <w:p w14:paraId="110E64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ноября (9 декабря) 1917 англичане захватили Иерусалим (2438,231).</w:t>
      </w:r>
    </w:p>
    <w:p w14:paraId="7020DE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F558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ноября (9 декабря) 1917 Румыния в Фокшани заключила перемирие с государствами Центральной Европы (3907,92).</w:t>
      </w:r>
    </w:p>
    <w:p w14:paraId="5A5888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036EC5" w14:textId="77777777" w:rsidR="00784795" w:rsidRPr="002F2FDF" w:rsidRDefault="0078479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26 ноября (9 декабря) 1917 Румыния подписывает перемирие с Центральными державами, отказываясь от участия в Первой мировой войне (20341).</w:t>
      </w:r>
    </w:p>
    <w:p w14:paraId="14BD7A33" w14:textId="77777777" w:rsidR="00784795" w:rsidRPr="002F2FDF" w:rsidRDefault="00784795" w:rsidP="0083075A">
      <w:pPr>
        <w:spacing w:after="0" w:line="240" w:lineRule="auto"/>
        <w:jc w:val="both"/>
        <w:rPr>
          <w:rFonts w:ascii="Times New Roman" w:hAnsi="Times New Roman" w:cs="Times New Roman"/>
          <w:color w:val="000000" w:themeColor="text1"/>
          <w:sz w:val="16"/>
          <w:szCs w:val="16"/>
        </w:rPr>
      </w:pPr>
    </w:p>
    <w:p w14:paraId="118C5A6F" w14:textId="77777777" w:rsidR="00EA5EB3" w:rsidRPr="002F2FDF" w:rsidRDefault="00EA5EB3" w:rsidP="0083075A">
      <w:pPr>
        <w:pStyle w:val="ae"/>
        <w:spacing w:before="0" w:after="0"/>
        <w:jc w:val="both"/>
        <w:rPr>
          <w:color w:val="000000" w:themeColor="text1"/>
          <w:kern w:val="2"/>
          <w:sz w:val="16"/>
          <w:szCs w:val="16"/>
        </w:rPr>
      </w:pPr>
      <w:r w:rsidRPr="002F2FDF">
        <w:rPr>
          <w:color w:val="000000" w:themeColor="text1"/>
          <w:kern w:val="2"/>
          <w:sz w:val="16"/>
          <w:szCs w:val="16"/>
        </w:rPr>
        <w:t>26 ноября (9 декабря) 1917 в городе Фокшаны на востоке современной Румынии правительство этой страны заключило перемирие с представителями Центральных держав. Из-за начавшегося выхода России из войны Румыния оказалась в крайне сложном положении. Изначально эта страна вступила в войну на стороне Антанты в августе 1916 года под гарантии союзников об оказании помощи и, главное, военной поддержки со стороны России, поскольку Румыния с трех сторон была окружена союзниками Германии. На юге она граничила с Болгарией, на севере — с Австро-Венгрией, на востоке — с оккупированной Центральными державами Сербией. Вскоре после вступления в войну румынская армия была разбита, большая часть страны оккупирована, и армия и правительство Румынии отступили на восток под защиту русской армии, создавшей Румынский фронт. После же заключения большевиками перемирия с Центральными державами малочисленная армия Румынии оказывалась один на один сразу с тремя противниками, что заставило правительство страны начать переговоры о мире (17045).</w:t>
      </w:r>
    </w:p>
    <w:p w14:paraId="507605DA" w14:textId="77777777" w:rsidR="00EA5EB3" w:rsidRPr="002F2FDF" w:rsidRDefault="00EA5EB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CB588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60F44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CA6555" w14:textId="77777777" w:rsidR="00C27B4B" w:rsidRPr="002F2FDF" w:rsidRDefault="00C27B4B" w:rsidP="0083075A">
      <w:pPr>
        <w:pStyle w:val="1c"/>
        <w:spacing w:before="0" w:after="0"/>
        <w:jc w:val="both"/>
        <w:rPr>
          <w:color w:val="000000" w:themeColor="text1"/>
          <w:kern w:val="2"/>
          <w:sz w:val="16"/>
          <w:szCs w:val="16"/>
        </w:rPr>
      </w:pPr>
      <w:r w:rsidRPr="002F2FDF">
        <w:rPr>
          <w:color w:val="000000" w:themeColor="text1"/>
          <w:kern w:val="2"/>
          <w:sz w:val="16"/>
          <w:szCs w:val="16"/>
        </w:rPr>
        <w:t>На 27 ноября (</w:t>
      </w:r>
      <w:r w:rsidR="00631AD8" w:rsidRPr="002F2FDF">
        <w:rPr>
          <w:color w:val="000000" w:themeColor="text1"/>
          <w:kern w:val="2"/>
          <w:sz w:val="16"/>
          <w:szCs w:val="16"/>
        </w:rPr>
        <w:t>10</w:t>
      </w:r>
      <w:r w:rsidRPr="002F2FDF">
        <w:rPr>
          <w:color w:val="000000" w:themeColor="text1"/>
          <w:kern w:val="2"/>
          <w:sz w:val="16"/>
          <w:szCs w:val="16"/>
        </w:rPr>
        <w:t xml:space="preserve"> декабря) 1917 фирма Матиас получила в общей сложности 3,5 млн. руб. казенных денег, но так и не смогла изготовить ни одного самолета. Несмотря на все перипетии того времени, финансовые поступления продолжались, и к концу года сумма долгов «Матиаса» казне достигла размеров стоимости всего предприятия.</w:t>
      </w:r>
    </w:p>
    <w:p w14:paraId="399E4878" w14:textId="77777777" w:rsidR="00C27B4B" w:rsidRPr="002F2FDF" w:rsidRDefault="00C27B4B" w:rsidP="0083075A">
      <w:pPr>
        <w:pStyle w:val="1c"/>
        <w:spacing w:before="0" w:after="0"/>
        <w:jc w:val="both"/>
        <w:rPr>
          <w:color w:val="000000" w:themeColor="text1"/>
          <w:kern w:val="2"/>
          <w:sz w:val="16"/>
          <w:szCs w:val="16"/>
        </w:rPr>
      </w:pPr>
      <w:r w:rsidRPr="002F2FDF">
        <w:rPr>
          <w:color w:val="000000" w:themeColor="text1"/>
          <w:kern w:val="2"/>
          <w:sz w:val="16"/>
          <w:szCs w:val="16"/>
        </w:rPr>
        <w:t>Тем временем провели корректировку производственной программы. Первый контракт остался неизменным (если не считать срыва всех возможных сроков), а вот второй был существенно изменен. Поскольку производство моторов «Испано-Сюиза» в Симферополе так и не наладили, от выпуска «Спадов» пришлось отказаться. 4 декабря 1917 г. вышло распоряжение о постройке на бердянском заводе 100 самолетов «Анасаль» — благо, двигателей «Сальмсон» для них было в достатке. После выполнения этого заказа предполагалось, что «Матиас» перейдет к выпуску гражданской продукции (12252).</w:t>
      </w:r>
    </w:p>
    <w:p w14:paraId="084EEE3A" w14:textId="77777777" w:rsidR="00C27B4B" w:rsidRPr="002F2FDF" w:rsidRDefault="00C27B4B" w:rsidP="0083075A">
      <w:pPr>
        <w:pStyle w:val="1c"/>
        <w:spacing w:before="0" w:after="0"/>
        <w:jc w:val="both"/>
        <w:rPr>
          <w:color w:val="000000" w:themeColor="text1"/>
          <w:kern w:val="2"/>
          <w:sz w:val="16"/>
          <w:szCs w:val="16"/>
        </w:rPr>
      </w:pPr>
    </w:p>
    <w:p w14:paraId="5715D7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ноября (10 декабря) 1917 завод Д.П.Г. - Гидроавиационная испытательная лаборатория и Опытный завод Д.П.Г. - был приобретен АО Морской самолет (2807,88).</w:t>
      </w:r>
    </w:p>
    <w:p w14:paraId="7BEF84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B04D9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ноября (10 декабря) 1917 на авиазаво</w:t>
      </w:r>
      <w:r w:rsidRPr="002F2FDF">
        <w:rPr>
          <w:rFonts w:ascii="Times New Roman" w:hAnsi="Times New Roman" w:cs="Times New Roman"/>
          <w:color w:val="000000" w:themeColor="text1"/>
          <w:kern w:val="2"/>
          <w:sz w:val="16"/>
          <w:szCs w:val="16"/>
        </w:rPr>
        <w:softHyphen/>
        <w:t>дах постановлением ВЦИК ввели рабочий контроль (10667).</w:t>
      </w:r>
    </w:p>
    <w:p w14:paraId="3C9E177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F7EAA2" w14:textId="77777777" w:rsidR="00531D92" w:rsidRPr="002F2FDF" w:rsidRDefault="00531D9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ноября (10 декабря) 1917 на авиазаводах постановлением ВЦИК был введен рабочий контроль. А 20 декабря во главе УВОФЛОТа приказом Народного комиссариата по военным и морским делам была поставлена Всероссийская коллегия по управлению Рабоче-Крестьянским Воздушным флотом. В ее состав вошли К. В. Акашев, А. Д. Анощенко, Е. И. Ахматович, Ф. И. Бычков, П. С. Дубенский, З. Я. Ландау, А. П. Онуфриев, А. В. Сергеев, М. П. Строев (15125).</w:t>
      </w:r>
    </w:p>
    <w:p w14:paraId="1CF102A0" w14:textId="77777777" w:rsidR="00531D92" w:rsidRPr="002F2FDF" w:rsidRDefault="00531D92" w:rsidP="0083075A">
      <w:pPr>
        <w:spacing w:after="0" w:line="240" w:lineRule="auto"/>
        <w:jc w:val="both"/>
        <w:rPr>
          <w:rFonts w:ascii="Times New Roman" w:hAnsi="Times New Roman" w:cs="Times New Roman"/>
          <w:color w:val="000000" w:themeColor="text1"/>
          <w:kern w:val="2"/>
          <w:sz w:val="16"/>
          <w:szCs w:val="16"/>
        </w:rPr>
      </w:pPr>
    </w:p>
    <w:p w14:paraId="64FE6952" w14:textId="77777777" w:rsidR="00441081" w:rsidRPr="002F2FDF" w:rsidRDefault="0044108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0F1B6DA5" w14:textId="77777777" w:rsidR="00441081" w:rsidRPr="002F2FDF" w:rsidRDefault="0044108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4A1A46" w14:textId="77777777" w:rsidR="00441081" w:rsidRPr="002F2FDF" w:rsidRDefault="00441081" w:rsidP="0083075A">
      <w:pPr>
        <w:autoSpaceDE w:val="0"/>
        <w:autoSpaceDN w:val="0"/>
        <w:adjustRightInd w:val="0"/>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27 ноября (10 декабря) 1917 г. В.И. Лениным на заседании Совета народных комиссаров (СНК) впервые был поставлен вопрос о демобилизации. 29 ноября 1917 г. правительство рассматривало вопрос о переводе заводов, исполняющих заказы Морского ведомства, на производство мирной продукции (Военная промышленность России в начале ХХ века (1900-1917). Сборник документов / под ред. Р.Ш. Ганелина. – М.: «Новый хронограф», 2004. С. 812.). 23 декабря 1917 г. Народный комиссариат труда издал декрет, предусматривавший закрытие всех заводов Наркомата по морским делам (НКМД) и расчет всех рабочих и служащих (ЦГА СПб. Ф. 2019. Оп. 1. Д. 1496. Л. 9). В этот же день Особое совещание по обороне государства рассмотрело и одобрило проект правительственного декрета о демобилизации промышленности (Журналы Особого совещания по обороне государства. 8 ноября 1917 – 16 марта 1918 гг. В 2 ч. Ч. 2. – М., 1980. С. 352.). В январе 1918 г. этот документ обсуждался и на совещании довольствующих управлений Военного ведомства, и на заседании СНК (Военная промышленность России в начале ХХ века (1900-1917). – М., 2004. С. 812.). Однако далее обсуждений и одобрений дело не пошло.</w:t>
      </w:r>
    </w:p>
    <w:p w14:paraId="77DEC645" w14:textId="77777777" w:rsidR="00441081" w:rsidRPr="002F2FDF" w:rsidRDefault="00441081" w:rsidP="0083075A">
      <w:pPr>
        <w:autoSpaceDE w:val="0"/>
        <w:autoSpaceDN w:val="0"/>
        <w:adjustRightInd w:val="0"/>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Тем не менее демобилизация промышленности началась, но происходила она без всякого плана. Некоторые заводы не хотели расставаться с военными заказами, опасаясь за свою судьбу в случае их прекращения. Тем не менее большинство в этом отношении пошло навстречу постановлениям новой власти, однако и переход на работу мирного времени также осуществлялся без всякого плана6. В области производства военной продукции Советская власть предполагала опираться преимущественно на предприятия, тесно переплетенные с мирной промышленностью, существование которых не служило бы непреодолимым препятствием для выполнения общих хозяйственных задач (18297).</w:t>
      </w:r>
    </w:p>
    <w:p w14:paraId="386932E9" w14:textId="77777777" w:rsidR="00441081" w:rsidRPr="002F2FDF" w:rsidRDefault="00441081" w:rsidP="0083075A">
      <w:pPr>
        <w:spacing w:after="0" w:line="240" w:lineRule="auto"/>
        <w:jc w:val="both"/>
        <w:rPr>
          <w:rFonts w:ascii="Times New Roman" w:hAnsi="Times New Roman" w:cs="Times New Roman"/>
          <w:color w:val="000000" w:themeColor="text1"/>
          <w:sz w:val="16"/>
          <w:szCs w:val="16"/>
        </w:rPr>
      </w:pPr>
    </w:p>
    <w:p w14:paraId="36D2F99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6BD49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BC90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ноября (10 декабря) 1917 вышло постановление ВЦИК "О прекращении производства в офицеры" (324,18).</w:t>
      </w:r>
    </w:p>
    <w:p w14:paraId="7AEF22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F9688B" w14:textId="6A753E81" w:rsidR="00716CDB" w:rsidRPr="002F2FDF" w:rsidRDefault="00716CDB"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ноября (</w:t>
      </w:r>
      <w:hyperlink r:id="rId683" w:tooltip="10 декабря" w:history="1">
        <w:r w:rsidRPr="002F2FDF">
          <w:rPr>
            <w:rStyle w:val="a5"/>
            <w:rFonts w:ascii="Times New Roman" w:hAnsi="Times New Roman" w:cs="Times New Roman"/>
            <w:color w:val="000000" w:themeColor="text1"/>
            <w:kern w:val="2"/>
            <w:sz w:val="16"/>
            <w:szCs w:val="16"/>
            <w:u w:val="none"/>
          </w:rPr>
          <w:t>10</w:t>
        </w:r>
        <w:r w:rsidR="00E52569">
          <w:rPr>
            <w:rStyle w:val="a5"/>
            <w:rFonts w:ascii="Times New Roman" w:hAnsi="Times New Roman" w:cs="Times New Roman"/>
            <w:color w:val="000000" w:themeColor="text1"/>
            <w:kern w:val="2"/>
            <w:sz w:val="16"/>
            <w:szCs w:val="16"/>
            <w:u w:val="none"/>
          </w:rPr>
          <w:t xml:space="preserve"> </w:t>
        </w:r>
        <w:r w:rsidRPr="002F2FDF">
          <w:rPr>
            <w:rStyle w:val="a5"/>
            <w:rFonts w:ascii="Times New Roman" w:hAnsi="Times New Roman" w:cs="Times New Roman"/>
            <w:color w:val="000000" w:themeColor="text1"/>
            <w:kern w:val="2"/>
            <w:sz w:val="16"/>
            <w:szCs w:val="16"/>
            <w:u w:val="none"/>
          </w:rPr>
          <w:t>декабря</w:t>
        </w:r>
      </w:hyperlink>
      <w:r w:rsidRPr="002F2FDF">
        <w:rPr>
          <w:rFonts w:ascii="Times New Roman" w:hAnsi="Times New Roman" w:cs="Times New Roman"/>
          <w:color w:val="000000" w:themeColor="text1"/>
          <w:kern w:val="2"/>
          <w:sz w:val="16"/>
          <w:szCs w:val="16"/>
        </w:rPr>
        <w:t>) 1917 на заседании Совнаркома был обсуждён вопрос об инструкции советской делегации на мирных переговорах. В решении СНК по этому вопросу было записано: «Инструкция о переговорах — на основе „Декрета о мире“» (17035).</w:t>
      </w:r>
    </w:p>
    <w:p w14:paraId="752C7C07" w14:textId="77777777" w:rsidR="00716CDB" w:rsidRPr="002F2FDF" w:rsidRDefault="00716CDB"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9F091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27 ноября </w:t>
      </w:r>
      <w:r w:rsidR="00631AD8" w:rsidRPr="002F2FDF">
        <w:rPr>
          <w:rFonts w:ascii="Times New Roman" w:hAnsi="Times New Roman" w:cs="Times New Roman"/>
          <w:color w:val="000000" w:themeColor="text1"/>
          <w:kern w:val="2"/>
          <w:sz w:val="16"/>
          <w:szCs w:val="16"/>
        </w:rPr>
        <w:t xml:space="preserve">(10 декабря) 1917 </w:t>
      </w:r>
      <w:r w:rsidRPr="002F2FDF">
        <w:rPr>
          <w:rFonts w:ascii="Times New Roman" w:hAnsi="Times New Roman" w:cs="Times New Roman"/>
          <w:color w:val="000000" w:themeColor="text1"/>
          <w:kern w:val="2"/>
          <w:sz w:val="16"/>
          <w:szCs w:val="16"/>
        </w:rPr>
        <w:t>после заключения перемирия между представителями российско-румынского и германо-австро-болгарско-турецкого командования прекратились боевые действия на Черноморском театре. Месяц спустя в Одессе рос</w:t>
      </w:r>
      <w:r w:rsidRPr="002F2FDF">
        <w:rPr>
          <w:rFonts w:ascii="Times New Roman" w:hAnsi="Times New Roman" w:cs="Times New Roman"/>
          <w:color w:val="000000" w:themeColor="text1"/>
          <w:kern w:val="2"/>
          <w:sz w:val="16"/>
          <w:szCs w:val="16"/>
        </w:rPr>
        <w:softHyphen/>
        <w:t>сийская и германская морские комиссии согласовали разрабо</w:t>
      </w:r>
      <w:r w:rsidRPr="002F2FDF">
        <w:rPr>
          <w:rFonts w:ascii="Times New Roman" w:hAnsi="Times New Roman" w:cs="Times New Roman"/>
          <w:color w:val="000000" w:themeColor="text1"/>
          <w:kern w:val="2"/>
          <w:sz w:val="16"/>
          <w:szCs w:val="16"/>
        </w:rPr>
        <w:softHyphen/>
        <w:t>танные ранее правила выполнения условий перемирия на Черном море (11283).</w:t>
      </w:r>
    </w:p>
    <w:p w14:paraId="5E2C64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0E4A6E" w14:textId="77777777" w:rsidR="001B016C" w:rsidRPr="002F2FDF" w:rsidRDefault="001B016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74A48BD" w14:textId="77777777" w:rsidR="001B016C" w:rsidRPr="002F2FDF" w:rsidRDefault="001B016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D527EB" w14:textId="77777777" w:rsidR="001B016C" w:rsidRPr="002F2FDF" w:rsidRDefault="001B016C" w:rsidP="0083075A">
      <w:pPr>
        <w:pStyle w:val="a3"/>
        <w:rPr>
          <w:color w:val="000000" w:themeColor="text1"/>
          <w:lang w:val="ru-RU"/>
        </w:rPr>
      </w:pPr>
      <w:r w:rsidRPr="002F2FDF">
        <w:rPr>
          <w:rFonts w:eastAsia="Times New Roman"/>
          <w:color w:val="000000" w:themeColor="text1"/>
          <w:lang w:val="ru-RU" w:eastAsia="ru-RU"/>
        </w:rPr>
        <w:t>27 ноября (10 декабря) 1917 на совещании банкиры решили 29 ноября (12 декабря) в помещении Азово-Донского банка устроить особый расчетный отдел, в который представлять к зачету выданные чеки. Это была попытка осуществить помимо бастующего Госбанка расчетные операции и самостоятельно распределять между банками свободные наличные средств.76 (18085).</w:t>
      </w:r>
    </w:p>
    <w:p w14:paraId="5769311F" w14:textId="77777777" w:rsidR="001B016C" w:rsidRPr="002F2FDF" w:rsidRDefault="001B016C" w:rsidP="0083075A">
      <w:pPr>
        <w:pStyle w:val="a3"/>
        <w:rPr>
          <w:color w:val="000000" w:themeColor="text1"/>
          <w:lang w:val="ru-RU"/>
        </w:rPr>
      </w:pPr>
    </w:p>
    <w:p w14:paraId="798E486D" w14:textId="081B6E83" w:rsidR="00441081" w:rsidRPr="002F2FDF" w:rsidRDefault="00441081"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27 ноября (10 декабря)</w:t>
      </w:r>
      <w:r w:rsidR="00E52569">
        <w:rPr>
          <w:color w:val="000000" w:themeColor="text1"/>
          <w:sz w:val="16"/>
          <w:szCs w:val="16"/>
        </w:rPr>
        <w:t xml:space="preserve"> </w:t>
      </w:r>
      <w:r w:rsidRPr="002F2FDF">
        <w:rPr>
          <w:color w:val="000000" w:themeColor="text1"/>
          <w:sz w:val="16"/>
          <w:szCs w:val="16"/>
        </w:rPr>
        <w:t>1917 большевики оказались в трудном положении в связи с итогами выборов в Учредительное собрание, где большинство получили социалисты-революционеры. Бывший председатель Центробалта, в эти дни - Нарком по военно-морским делам П.Е.</w:t>
      </w:r>
      <w:r w:rsidR="00E52569">
        <w:rPr>
          <w:color w:val="000000" w:themeColor="text1"/>
          <w:sz w:val="16"/>
          <w:szCs w:val="16"/>
        </w:rPr>
        <w:t xml:space="preserve"> </w:t>
      </w:r>
      <w:r w:rsidRPr="002F2FDF">
        <w:rPr>
          <w:color w:val="000000" w:themeColor="text1"/>
          <w:sz w:val="16"/>
          <w:szCs w:val="16"/>
        </w:rPr>
        <w:t>Дыбенко (1889-1938), получил приказ Совета Народных Комиссаров вызвать в столицу 10-12 тысяч вооруженных матросов (18371).</w:t>
      </w:r>
    </w:p>
    <w:p w14:paraId="627D7974" w14:textId="77777777" w:rsidR="00441081" w:rsidRPr="002F2FDF" w:rsidRDefault="00441081" w:rsidP="0083075A">
      <w:pPr>
        <w:pStyle w:val="ae"/>
        <w:spacing w:before="0" w:after="0"/>
        <w:jc w:val="both"/>
        <w:rPr>
          <w:color w:val="000000" w:themeColor="text1"/>
          <w:sz w:val="16"/>
          <w:szCs w:val="16"/>
        </w:rPr>
      </w:pPr>
    </w:p>
    <w:p w14:paraId="02A93AB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13E8E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DC16BD" w14:textId="77777777" w:rsidR="00066F80" w:rsidRPr="002F2FDF" w:rsidRDefault="00066F80" w:rsidP="0083075A">
      <w:pPr>
        <w:spacing w:after="0" w:line="240" w:lineRule="auto"/>
        <w:jc w:val="both"/>
        <w:rPr>
          <w:rFonts w:ascii="Times New Roman" w:hAnsi="Times New Roman" w:cs="Times New Roman"/>
          <w:color w:val="000000" w:themeColor="text1"/>
          <w:kern w:val="2"/>
          <w:sz w:val="16"/>
          <w:szCs w:val="16"/>
        </w:rPr>
      </w:pPr>
      <w:r w:rsidRPr="002F2FDF">
        <w:rPr>
          <w:rStyle w:val="ucoz-forum-post"/>
          <w:rFonts w:ascii="Times New Roman" w:hAnsi="Times New Roman" w:cs="Times New Roman"/>
          <w:bCs/>
          <w:color w:val="000000" w:themeColor="text1"/>
          <w:kern w:val="2"/>
          <w:sz w:val="16"/>
          <w:szCs w:val="16"/>
        </w:rPr>
        <w:t xml:space="preserve">27 ноября (10 декабря) </w:t>
      </w:r>
      <w:r w:rsidRPr="002F2FDF">
        <w:rPr>
          <w:rFonts w:ascii="Times New Roman" w:hAnsi="Times New Roman" w:cs="Times New Roman"/>
          <w:color w:val="000000" w:themeColor="text1"/>
          <w:kern w:val="2"/>
          <w:sz w:val="16"/>
          <w:szCs w:val="16"/>
        </w:rPr>
        <w:t>в 1917 году пилот Арвед фон Шмидт совершил первый полёт на самолёте, предназначенного для непосредственной поддержки войск «Junkers» «J.8». Хьюго Юнкерс начал работы по создания самолета непосредственной поддержки войск на базе моноплана «J.7». По сравнению с «J.7» «Junkers» «J.8» имел более длинный фюзеляж для размещения наблюдателя и крылья увеличенного размера для возможности полета на более медленных скоростях над полем боя. «J.8» был готов всего через три месяца после первого полета «J.7» (14856).</w:t>
      </w:r>
    </w:p>
    <w:p w14:paraId="616119DD" w14:textId="77777777" w:rsidR="00066F80" w:rsidRPr="002F2FDF" w:rsidRDefault="00066F80" w:rsidP="0083075A">
      <w:pPr>
        <w:spacing w:after="0" w:line="240" w:lineRule="auto"/>
        <w:jc w:val="both"/>
        <w:rPr>
          <w:rFonts w:ascii="Times New Roman" w:hAnsi="Times New Roman" w:cs="Times New Roman"/>
          <w:color w:val="000000" w:themeColor="text1"/>
          <w:kern w:val="2"/>
          <w:sz w:val="16"/>
          <w:szCs w:val="16"/>
        </w:rPr>
      </w:pPr>
    </w:p>
    <w:p w14:paraId="21E8F9DE" w14:textId="77777777" w:rsidR="00784795" w:rsidRPr="002F2FDF" w:rsidRDefault="0078479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27 ноября (10 декабря) 1917 первый полет </w:t>
      </w:r>
      <w:r w:rsidRPr="002F2FDF">
        <w:rPr>
          <w:rFonts w:ascii="Times New Roman" w:hAnsi="Times New Roman" w:cs="Times New Roman"/>
          <w:color w:val="000000" w:themeColor="text1"/>
          <w:sz w:val="16"/>
          <w:szCs w:val="16"/>
          <w:lang w:val="en-US"/>
        </w:rPr>
        <w:t>Junkers</w:t>
      </w:r>
      <w:r w:rsidRPr="002F2FDF">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lang w:val="en-US"/>
        </w:rPr>
        <w:t>J</w:t>
      </w:r>
      <w:r w:rsidRPr="002F2FDF">
        <w:rPr>
          <w:rFonts w:ascii="Times New Roman" w:hAnsi="Times New Roman" w:cs="Times New Roman"/>
          <w:color w:val="000000" w:themeColor="text1"/>
          <w:sz w:val="16"/>
          <w:szCs w:val="16"/>
        </w:rPr>
        <w:t xml:space="preserve"> 8, прототипа </w:t>
      </w:r>
      <w:r w:rsidRPr="002F2FDF">
        <w:rPr>
          <w:rFonts w:ascii="Times New Roman" w:hAnsi="Times New Roman" w:cs="Times New Roman"/>
          <w:color w:val="000000" w:themeColor="text1"/>
          <w:sz w:val="16"/>
          <w:szCs w:val="16"/>
          <w:lang w:val="en-US"/>
        </w:rPr>
        <w:t>Junkers</w:t>
      </w:r>
      <w:r w:rsidRPr="002F2FDF">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lang w:val="en-US"/>
        </w:rPr>
        <w:t>CL</w:t>
      </w:r>
      <w:r w:rsidRPr="002F2FDF">
        <w:rPr>
          <w:rFonts w:ascii="Times New Roman" w:hAnsi="Times New Roman" w:cs="Times New Roman"/>
          <w:color w:val="000000" w:themeColor="text1"/>
          <w:sz w:val="16"/>
          <w:szCs w:val="16"/>
        </w:rPr>
        <w:t>.</w:t>
      </w:r>
      <w:r w:rsidRPr="002F2FDF">
        <w:rPr>
          <w:rFonts w:ascii="Times New Roman" w:hAnsi="Times New Roman" w:cs="Times New Roman"/>
          <w:color w:val="000000" w:themeColor="text1"/>
          <w:sz w:val="16"/>
          <w:szCs w:val="16"/>
          <w:lang w:val="en-US"/>
        </w:rPr>
        <w:t>I</w:t>
      </w:r>
      <w:r w:rsidRPr="002F2FDF">
        <w:rPr>
          <w:rFonts w:ascii="Times New Roman" w:hAnsi="Times New Roman" w:cs="Times New Roman"/>
          <w:color w:val="000000" w:themeColor="text1"/>
          <w:sz w:val="16"/>
          <w:szCs w:val="16"/>
        </w:rPr>
        <w:t xml:space="preserve"> (20341)</w:t>
      </w:r>
    </w:p>
    <w:p w14:paraId="01C67AEA" w14:textId="77777777" w:rsidR="00784795" w:rsidRPr="002F2FDF" w:rsidRDefault="00784795" w:rsidP="0083075A">
      <w:pPr>
        <w:spacing w:after="0" w:line="240" w:lineRule="auto"/>
        <w:jc w:val="both"/>
        <w:rPr>
          <w:rFonts w:ascii="Times New Roman" w:hAnsi="Times New Roman" w:cs="Times New Roman"/>
          <w:color w:val="000000" w:themeColor="text1"/>
          <w:sz w:val="16"/>
          <w:szCs w:val="16"/>
        </w:rPr>
      </w:pPr>
    </w:p>
    <w:p w14:paraId="36661E80" w14:textId="5D2419CA" w:rsidR="00784795" w:rsidRPr="002F2FDF" w:rsidRDefault="0078479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27 ноября (10 декабря) 1917 года — первый полёт штурмовика</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Junkers CL.I</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(он же Junkers J 10). /Германия/</w:t>
      </w:r>
    </w:p>
    <w:p w14:paraId="06ACF6E3" w14:textId="59CE999A" w:rsidR="00784795" w:rsidRPr="002F2FDF" w:rsidRDefault="0078479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1917 году</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Инспекция военно-воздушных сил Германии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обязала компанию</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Junkers</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представить на конкурс штурмовиков проект самолёта бипланной схемы. Им стал Junkers J 4. Но сам</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Хуго Юнкерс был убеждён, что будущее за монопланами. Для доказательства этого Junkers начала проект штурмовика</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J 8, который после доработок получит обозначение J 10 или CL.I.</w:t>
      </w:r>
    </w:p>
    <w:p w14:paraId="3488198A" w14:textId="26CB997D" w:rsidR="00784795" w:rsidRPr="002F2FDF" w:rsidRDefault="0078479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 основу взяли истребитель-моноплан J 7. Увеличили площадь крыла и удлинили фюзеляж. Это позволило сделать самолёт двухместным — пилот и стрелок. Установили двигатель</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Mercedes D.IIIa, позволявший развить скорость до</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161</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км/ч. Вооружение состояло из 3 × 7,92-мм пулемётов LMG 08/15 Spandau и лёгких бомб.</w:t>
      </w:r>
    </w:p>
    <w:p w14:paraId="64488A03" w14:textId="48DC3036" w:rsidR="00784795" w:rsidRPr="002F2FDF" w:rsidRDefault="0078479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До конца Первой мировой войны выпустили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51</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самолёт Junkers CL.I. Но</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в боевых действиях они почти не участвовали. После войны некоторое число CL.I переделали в одноместные пассажирские самолёты — кабина стрелка-наблюдателя стала пассажирским салоном (22300).</w:t>
      </w:r>
    </w:p>
    <w:p w14:paraId="4DE38ED9" w14:textId="77777777" w:rsidR="00784795" w:rsidRPr="002F2FDF" w:rsidRDefault="00784795" w:rsidP="0083075A">
      <w:pPr>
        <w:spacing w:after="0" w:line="240" w:lineRule="auto"/>
        <w:jc w:val="both"/>
        <w:rPr>
          <w:rFonts w:ascii="Times New Roman" w:hAnsi="Times New Roman" w:cs="Times New Roman"/>
          <w:color w:val="000000" w:themeColor="text1"/>
          <w:sz w:val="16"/>
          <w:szCs w:val="16"/>
        </w:rPr>
      </w:pPr>
    </w:p>
    <w:p w14:paraId="2DEBFB0B" w14:textId="20C36356" w:rsidR="00784795" w:rsidRPr="002F2FDF" w:rsidRDefault="0078479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27 ноября (10 декабря)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Первый полёт самолёта, предназначенного для непосредственной поддержки войск Junkers J.8. Хуго Юнкерс начал работы по создания самолета непосредственной поддержки войск на базе моноплана J.7. По сравнению с J.7 Junkers J.8 имел более длинный фюзеляж для размещения наблюдателя и крылья увеличенного размера для возможности полёта на более медленных скоростях над полем боя. J.8 был готов всего через три месяца после первого полёта J.7. 10 декабря 1917 года он поднялся в воздух пилотируемый Арведом фон Шмидтом (22710).</w:t>
      </w:r>
    </w:p>
    <w:p w14:paraId="510A912A" w14:textId="77777777" w:rsidR="00784795" w:rsidRPr="002F2FDF" w:rsidRDefault="00784795" w:rsidP="0083075A">
      <w:pPr>
        <w:spacing w:after="0" w:line="240" w:lineRule="auto"/>
        <w:jc w:val="both"/>
        <w:rPr>
          <w:rFonts w:ascii="Times New Roman" w:hAnsi="Times New Roman" w:cs="Times New Roman"/>
          <w:color w:val="000000" w:themeColor="text1"/>
          <w:sz w:val="16"/>
          <w:szCs w:val="16"/>
        </w:rPr>
      </w:pPr>
    </w:p>
    <w:p w14:paraId="652A1E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ноября (10 декабря) 1917 итальянские корабли близ Триеста атаковали торпедами австрийский линкор Вена (3907,92).</w:t>
      </w:r>
    </w:p>
    <w:p w14:paraId="1BEF97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9983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ноября (10 декабря) 1917 Красный крест получил Нобелевскую премию мира (2100).</w:t>
      </w:r>
    </w:p>
    <w:p w14:paraId="0946BD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D84846" w14:textId="77777777" w:rsidR="00231E6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9598C74" w14:textId="77777777" w:rsidR="00231E61" w:rsidRPr="002F2FDF" w:rsidRDefault="00231E6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6E350C" w14:textId="77777777" w:rsidR="00231E61" w:rsidRPr="002F2FDF" w:rsidRDefault="00231E61"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С 28 ноября (10 декабря 1917 г. по 31 января (13 февраля) 1918 г. 15 «Ньюпоров- XVII» сентябрьского заказа Дукс сдавал в полете. Сколько из них реально успело попасть на фронт, а сколько так и осталось гнить в парк-складе и занимать места в сборочных цехах — точно неизвестно (15464).</w:t>
      </w:r>
    </w:p>
    <w:p w14:paraId="4DF617C0" w14:textId="77777777" w:rsidR="00231E61" w:rsidRPr="002F2FDF" w:rsidRDefault="00231E61" w:rsidP="0083075A">
      <w:pPr>
        <w:pStyle w:val="2"/>
        <w:spacing w:before="0" w:beforeAutospacing="0" w:after="0" w:afterAutospacing="0"/>
        <w:jc w:val="both"/>
        <w:rPr>
          <w:b w:val="0"/>
          <w:color w:val="000000" w:themeColor="text1"/>
          <w:kern w:val="2"/>
          <w:sz w:val="16"/>
          <w:szCs w:val="16"/>
        </w:rPr>
      </w:pPr>
    </w:p>
    <w:p w14:paraId="74FA0D7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7E3A3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1505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ноября (11 декабря) 1917 начало работать совещание по демобилизации армии, созванное Народным комиссариатом по военным делам. Совещание отрыл Н.И. Подвойский. Председателем совещания избран М.С. Кедров. Выступивший с докладом представитель Главного управления старого Генерального штаба полковник В.В. Даллер предложил сократить на мирное время общую численность армии до 1300 тыс. человек, новую армию строить на основе частей и соединений старой армии (4216).</w:t>
      </w:r>
    </w:p>
    <w:p w14:paraId="486ECB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7D79B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28 ноября (11 декабря) 1917 Сводный батальон латышских стрелков принял торжественную присягу верности советскому правительству (4962).</w:t>
      </w:r>
    </w:p>
    <w:p w14:paraId="31B453A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F906A6" w14:textId="77777777" w:rsidR="00F270F0" w:rsidRPr="002F2FDF" w:rsidRDefault="00F270F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28 ноября (11 декабря)</w:t>
      </w:r>
      <w:r w:rsidRPr="002F2FDF">
        <w:rPr>
          <w:rFonts w:ascii="Times New Roman" w:hAnsi="Times New Roman" w:cs="Times New Roman"/>
          <w:color w:val="000000" w:themeColor="text1"/>
          <w:kern w:val="2"/>
          <w:sz w:val="16"/>
          <w:szCs w:val="16"/>
        </w:rPr>
        <w:t xml:space="preserve"> в 1917 году прибывший двумя днями раньше в Петроград сводный батальон латышских стрелков принял торжественную присягу верности советскому правительству и приступил к возложенным на него обязанностям (14857).</w:t>
      </w:r>
    </w:p>
    <w:p w14:paraId="0581133B" w14:textId="77777777" w:rsidR="00F270F0" w:rsidRPr="002F2FDF" w:rsidRDefault="00F270F0" w:rsidP="0083075A">
      <w:pPr>
        <w:spacing w:after="0" w:line="240" w:lineRule="auto"/>
        <w:jc w:val="both"/>
        <w:rPr>
          <w:rFonts w:ascii="Times New Roman" w:hAnsi="Times New Roman" w:cs="Times New Roman"/>
          <w:color w:val="000000" w:themeColor="text1"/>
          <w:kern w:val="2"/>
          <w:sz w:val="16"/>
          <w:szCs w:val="16"/>
        </w:rPr>
      </w:pPr>
    </w:p>
    <w:p w14:paraId="43CB7AE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036B9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82A4B1" w14:textId="028BA01F" w:rsidR="00441081" w:rsidRPr="002F2FDF" w:rsidRDefault="00441081"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28 ноября (11 декабря) 1917</w:t>
      </w:r>
      <w:r w:rsidR="00E52569">
        <w:rPr>
          <w:rStyle w:val="a7"/>
          <w:rFonts w:eastAsiaTheme="majorEastAsia"/>
          <w:b w:val="0"/>
          <w:color w:val="000000" w:themeColor="text1"/>
          <w:sz w:val="16"/>
          <w:szCs w:val="16"/>
        </w:rPr>
        <w:t xml:space="preserve"> </w:t>
      </w:r>
      <w:r w:rsidRPr="002F2FDF">
        <w:rPr>
          <w:color w:val="000000" w:themeColor="text1"/>
          <w:sz w:val="16"/>
          <w:szCs w:val="16"/>
        </w:rPr>
        <w:t>на этот день еще Временным правительством был назначен созыв Учредительного собрания. Большинство депутатов не смогло добраться до столицы к назначенной дате, кворум в 400 депутатов не был достигнут, открытие Учредительного собрания было перенесено на 5 января. Небольшому количеству депутатов, в основном</w:t>
      </w:r>
      <w:r w:rsidR="00E52569">
        <w:rPr>
          <w:color w:val="000000" w:themeColor="text1"/>
          <w:sz w:val="16"/>
          <w:szCs w:val="16"/>
        </w:rPr>
        <w:t xml:space="preserve"> </w:t>
      </w:r>
      <w:r w:rsidRPr="002F2FDF">
        <w:rPr>
          <w:color w:val="000000" w:themeColor="text1"/>
          <w:sz w:val="16"/>
          <w:szCs w:val="16"/>
        </w:rPr>
        <w:t>– из Петрограда, удалось все-таки заниматься подготовкой к проведению собрания, выбирать Президиум, но к вечеру 1 декабря матросы заставили всех покинуть Таврический дворец.</w:t>
      </w:r>
    </w:p>
    <w:p w14:paraId="74F5158E" w14:textId="7A54C4AA" w:rsidR="00441081" w:rsidRPr="002F2FDF" w:rsidRDefault="00441081" w:rsidP="0083075A">
      <w:pPr>
        <w:pStyle w:val="ae"/>
        <w:spacing w:before="0" w:after="0"/>
        <w:jc w:val="both"/>
        <w:rPr>
          <w:color w:val="000000" w:themeColor="text1"/>
          <w:sz w:val="16"/>
          <w:szCs w:val="16"/>
        </w:rPr>
      </w:pPr>
      <w:r w:rsidRPr="002F2FDF">
        <w:rPr>
          <w:color w:val="000000" w:themeColor="text1"/>
          <w:sz w:val="16"/>
          <w:szCs w:val="16"/>
        </w:rPr>
        <w:t>В этот день в Петербурге около 200</w:t>
      </w:r>
      <w:r w:rsidR="00E52569">
        <w:rPr>
          <w:color w:val="000000" w:themeColor="text1"/>
          <w:sz w:val="16"/>
          <w:szCs w:val="16"/>
        </w:rPr>
        <w:t xml:space="preserve"> </w:t>
      </w:r>
      <w:r w:rsidRPr="002F2FDF">
        <w:rPr>
          <w:color w:val="000000" w:themeColor="text1"/>
          <w:sz w:val="16"/>
          <w:szCs w:val="16"/>
        </w:rPr>
        <w:t>000 человек вышли на демонстрацию в поддержку Учредительного собрания.</w:t>
      </w:r>
    </w:p>
    <w:p w14:paraId="7948E124" w14:textId="77777777" w:rsidR="00441081" w:rsidRPr="002F2FDF" w:rsidRDefault="00441081" w:rsidP="0083075A">
      <w:pPr>
        <w:pStyle w:val="ae"/>
        <w:spacing w:before="0" w:after="0"/>
        <w:jc w:val="both"/>
        <w:rPr>
          <w:color w:val="000000" w:themeColor="text1"/>
          <w:sz w:val="16"/>
          <w:szCs w:val="16"/>
        </w:rPr>
      </w:pPr>
      <w:r w:rsidRPr="002F2FDF">
        <w:rPr>
          <w:color w:val="000000" w:themeColor="text1"/>
          <w:sz w:val="16"/>
          <w:szCs w:val="16"/>
        </w:rPr>
        <w:t>Опубликован подписанный В. Лениным и другими Народными комиссарами Декрет Совета Народных Комиссаров «Об аресте вождей гражданской войны против революции». Он объявлял «</w:t>
      </w:r>
      <w:r w:rsidRPr="002F2FDF">
        <w:rPr>
          <w:rStyle w:val="af0"/>
          <w:i w:val="0"/>
          <w:color w:val="000000" w:themeColor="text1"/>
          <w:sz w:val="16"/>
          <w:szCs w:val="16"/>
        </w:rPr>
        <w:t>врагами народа</w:t>
      </w:r>
      <w:r w:rsidRPr="002F2FDF">
        <w:rPr>
          <w:color w:val="000000" w:themeColor="text1"/>
          <w:sz w:val="16"/>
          <w:szCs w:val="16"/>
        </w:rPr>
        <w:t>» лидеров партии конституционных демократов и требовал их немедленного ареста и предания суду революционного трибунала. На местные Советы возлагалась обязанность «</w:t>
      </w:r>
      <w:r w:rsidRPr="002F2FDF">
        <w:rPr>
          <w:rStyle w:val="af0"/>
          <w:i w:val="0"/>
          <w:color w:val="000000" w:themeColor="text1"/>
          <w:sz w:val="16"/>
          <w:szCs w:val="16"/>
        </w:rPr>
        <w:t>особого надзора за партией кадетов</w:t>
      </w:r>
      <w:r w:rsidRPr="002F2FDF">
        <w:rPr>
          <w:color w:val="000000" w:themeColor="text1"/>
          <w:sz w:val="16"/>
          <w:szCs w:val="16"/>
        </w:rPr>
        <w:t>». После этого кадеты не могли вести политической деятельности и лишались права заседать в Учредительном Собрании (18371).</w:t>
      </w:r>
    </w:p>
    <w:p w14:paraId="7BF22C51" w14:textId="77777777" w:rsidR="00441081" w:rsidRPr="002F2FDF" w:rsidRDefault="00441081" w:rsidP="0083075A">
      <w:pPr>
        <w:pStyle w:val="ae"/>
        <w:spacing w:before="0" w:after="0"/>
        <w:jc w:val="both"/>
        <w:rPr>
          <w:color w:val="000000" w:themeColor="text1"/>
          <w:sz w:val="16"/>
          <w:szCs w:val="16"/>
        </w:rPr>
      </w:pPr>
    </w:p>
    <w:p w14:paraId="149B24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ноября (11 декабря) 1917 вышел декрет СНК об аресте руководителей партии кадетов, обвиненных в подготовке гражданской войны. В ноябре на юге стали создаваться первые контрреволюционные воинские образования (1348,88).</w:t>
      </w:r>
    </w:p>
    <w:p w14:paraId="1ED6EC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436BF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ноября (11 декабря) 1917 советским декретом лидеры партии кадетов провозглашены “врагами народа” (первое упоминание этого термина в советских официальных документах) (4962).</w:t>
      </w:r>
    </w:p>
    <w:p w14:paraId="5390B90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16BEB1" w14:textId="77777777" w:rsidR="00062843" w:rsidRPr="002F2FDF" w:rsidRDefault="000628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28 ноября (11 декабря)</w:t>
      </w:r>
      <w:r w:rsidRPr="002F2FDF">
        <w:rPr>
          <w:rFonts w:ascii="Times New Roman" w:hAnsi="Times New Roman" w:cs="Times New Roman"/>
          <w:color w:val="000000" w:themeColor="text1"/>
          <w:kern w:val="2"/>
          <w:sz w:val="16"/>
          <w:szCs w:val="16"/>
        </w:rPr>
        <w:t xml:space="preserve"> в 1917 году декретом, подписанным В.И.Лениным, 11 декабря 1917 г. партия кадетов была объявлена "партией врагов народа" (В.И.Ленин, Полное собрание сочинений, том 35, страница 126). В руководство партии кадетов входил ряд крупных ученых, в том числе геохимик В.И.Вернадский (академик с 1908), историк А.А.Кизеветтер (член-корреспондент с 29 декабря 1917), востоковед С.Ф.Ольденбург (академик с 1908, непременный секретарь Российской Академии Наук в 1904-1929). Членами конституционно-демократической партии были также академики М.А.Дьяконов, А.С.Лаппо-Данилевский, А.С.Фаминцын, А.А.Шахматов. Один из основателей и член ЦК конституционно-демократической партии (1905) философ и экономист П.Б.Струве стал идеологом белого движения, членом правительства Врангеля. Конституционно-демократическую партию поддерживала в основном интеллигенция в крупных городах, что отразилось на выборах 25 ноября в Учредительное собрание: за кадетов в Петрограде проголосовало 26,3% избирателей, в Москве – 35,9% (14857).</w:t>
      </w:r>
    </w:p>
    <w:p w14:paraId="6D9E903F" w14:textId="77777777" w:rsidR="00062843" w:rsidRPr="002F2FDF" w:rsidRDefault="00062843" w:rsidP="0083075A">
      <w:pPr>
        <w:spacing w:after="0" w:line="240" w:lineRule="auto"/>
        <w:jc w:val="both"/>
        <w:rPr>
          <w:rFonts w:ascii="Times New Roman" w:hAnsi="Times New Roman" w:cs="Times New Roman"/>
          <w:color w:val="000000" w:themeColor="text1"/>
          <w:kern w:val="2"/>
          <w:sz w:val="16"/>
          <w:szCs w:val="16"/>
        </w:rPr>
      </w:pPr>
    </w:p>
    <w:p w14:paraId="226E4A55" w14:textId="77777777" w:rsidR="00BD288C" w:rsidRPr="002F2FDF" w:rsidRDefault="00BD288C"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ноября (11 декабря) 1917 оккупированная немцами Литва объявила свою независимость от России (4962).</w:t>
      </w:r>
    </w:p>
    <w:p w14:paraId="7C265F50" w14:textId="77777777" w:rsidR="00BD288C" w:rsidRPr="002F2FDF" w:rsidRDefault="00BD288C"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122570" w14:textId="03F4F91A" w:rsidR="002C2273" w:rsidRPr="00FB4F67" w:rsidRDefault="002C2273"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28 ноября (</w:t>
      </w:r>
      <w:r w:rsidRPr="00FB4F67">
        <w:rPr>
          <w:rFonts w:ascii="Times New Roman" w:hAnsi="Times New Roman" w:cs="Times New Roman"/>
          <w:color w:val="0070C0"/>
          <w:sz w:val="16"/>
          <w:szCs w:val="16"/>
        </w:rPr>
        <w:t>11 декабря</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1917 г. в Вильно Литва объявила о своей независимости от России (23525).</w:t>
      </w:r>
    </w:p>
    <w:p w14:paraId="4D331F71" w14:textId="77777777" w:rsidR="002C2273" w:rsidRPr="00FB4F67" w:rsidRDefault="002C2273" w:rsidP="0083075A">
      <w:pPr>
        <w:spacing w:after="0" w:line="240" w:lineRule="auto"/>
        <w:jc w:val="both"/>
        <w:rPr>
          <w:rFonts w:ascii="Times New Roman" w:hAnsi="Times New Roman" w:cs="Times New Roman"/>
          <w:color w:val="0070C0"/>
          <w:sz w:val="16"/>
          <w:szCs w:val="16"/>
        </w:rPr>
      </w:pPr>
    </w:p>
    <w:p w14:paraId="76928E44" w14:textId="77777777" w:rsidR="00BD288C" w:rsidRPr="002F2FDF" w:rsidRDefault="00BD288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F68B538" w14:textId="77777777" w:rsidR="00BD288C" w:rsidRPr="002F2FDF" w:rsidRDefault="00BD288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3CDA80" w14:textId="6C92F3FE" w:rsidR="00B91D66" w:rsidRPr="002F2FDF" w:rsidRDefault="00B91D6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w:t>
      </w:r>
      <w:r>
        <w:rPr>
          <w:rFonts w:ascii="Times New Roman" w:hAnsi="Times New Roman" w:cs="Times New Roman"/>
          <w:color w:val="000000" w:themeColor="text1"/>
          <w:sz w:val="16"/>
          <w:szCs w:val="16"/>
        </w:rPr>
        <w:t>8</w:t>
      </w:r>
      <w:r w:rsidRPr="002F2FDF">
        <w:rPr>
          <w:rFonts w:ascii="Times New Roman" w:hAnsi="Times New Roman" w:cs="Times New Roman"/>
          <w:color w:val="000000" w:themeColor="text1"/>
          <w:sz w:val="16"/>
          <w:szCs w:val="16"/>
        </w:rPr>
        <w:t xml:space="preserve"> ноября (11 декабря)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Кэтрин Стинсон перелетела 606 миль из Сан-Диего в Сан-Франциско , установив новый американский рекорд по беспосадочной дистанции. Она была четвертой женщиной в Соединенных Штатах, получившей свидетельство пилота, 18 июля 1915 года Стинсон стала первой женщиной, исполнившей петлю на стадионе Cicero Field в Чикаго, штат Иллинойс , и совершила этот подвиг около 500 раз без единой аварии. Она также была одной из первых женщин, которым разрешено перевозить авиапочту в США (22707).</w:t>
      </w:r>
    </w:p>
    <w:p w14:paraId="519754DD" w14:textId="77777777" w:rsidR="00B91D66" w:rsidRPr="002F2FDF" w:rsidRDefault="00B91D66" w:rsidP="0083075A">
      <w:pPr>
        <w:spacing w:after="0" w:line="240" w:lineRule="auto"/>
        <w:jc w:val="both"/>
        <w:rPr>
          <w:rFonts w:ascii="Times New Roman" w:hAnsi="Times New Roman" w:cs="Times New Roman"/>
          <w:color w:val="000000" w:themeColor="text1"/>
          <w:sz w:val="16"/>
          <w:szCs w:val="16"/>
        </w:rPr>
      </w:pPr>
    </w:p>
    <w:p w14:paraId="576037CC" w14:textId="77777777" w:rsidR="00B91D66" w:rsidRPr="002F2FDF" w:rsidRDefault="00B91D66" w:rsidP="0083075A">
      <w:pPr>
        <w:pStyle w:val="ae"/>
        <w:spacing w:before="0" w:after="0"/>
        <w:jc w:val="both"/>
        <w:rPr>
          <w:color w:val="000000" w:themeColor="text1"/>
          <w:kern w:val="2"/>
          <w:sz w:val="16"/>
          <w:szCs w:val="16"/>
        </w:rPr>
      </w:pPr>
      <w:r w:rsidRPr="002F2FDF">
        <w:rPr>
          <w:color w:val="000000" w:themeColor="text1"/>
          <w:kern w:val="2"/>
          <w:sz w:val="16"/>
          <w:szCs w:val="16"/>
        </w:rPr>
        <w:t>В период с 28 ноября по 4 ноября (11 по 17 декабря) 1917 немецкие подводные лодки затопили 49 кораблей стран Антанты и нейтральных стран. В их числе 14 декабря у берегов западной Греции был потоплен французский крейсер «Chateaurenault» (17045).</w:t>
      </w:r>
    </w:p>
    <w:p w14:paraId="21496454"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7275B8" w14:textId="77777777" w:rsidR="00BD288C" w:rsidRPr="002F2FDF" w:rsidRDefault="00BD288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Pr>
          <w:rFonts w:ascii="Times New Roman" w:hAnsi="Times New Roman" w:cs="Times New Roman"/>
          <w:i/>
          <w:iCs/>
          <w:color w:val="000000" w:themeColor="text1"/>
          <w:kern w:val="2"/>
          <w:sz w:val="16"/>
          <w:szCs w:val="16"/>
        </w:rPr>
        <w:t>Авиапромышленность</w:t>
      </w:r>
      <w:r w:rsidRPr="002F2FDF">
        <w:rPr>
          <w:rFonts w:ascii="Times New Roman" w:hAnsi="Times New Roman" w:cs="Times New Roman"/>
          <w:i/>
          <w:iCs/>
          <w:color w:val="000000" w:themeColor="text1"/>
          <w:kern w:val="2"/>
          <w:sz w:val="16"/>
          <w:szCs w:val="16"/>
        </w:rPr>
        <w:t>:</w:t>
      </w:r>
    </w:p>
    <w:p w14:paraId="311AEA63" w14:textId="77777777" w:rsidR="00BD288C" w:rsidRPr="002F2FDF" w:rsidRDefault="00BD288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9EA9EF" w14:textId="77777777" w:rsidR="00BD288C" w:rsidRPr="002F2FDF" w:rsidRDefault="00BD288C" w:rsidP="0083075A">
      <w:pPr>
        <w:pStyle w:val="rtejustify"/>
        <w:shd w:val="clear" w:color="auto" w:fill="FFFFFF"/>
        <w:spacing w:before="0" w:after="0"/>
        <w:rPr>
          <w:color w:val="000000" w:themeColor="text1"/>
          <w:sz w:val="16"/>
          <w:szCs w:val="16"/>
        </w:rPr>
      </w:pPr>
      <w:r w:rsidRPr="002F2FDF">
        <w:rPr>
          <w:color w:val="000000" w:themeColor="text1"/>
          <w:sz w:val="16"/>
          <w:szCs w:val="16"/>
        </w:rPr>
        <w:t>29 ноября (11 декабря) 1917 г. Григорович получил дополнительное задание на проектирование самолетов:</w:t>
      </w:r>
    </w:p>
    <w:p w14:paraId="11EA2B17" w14:textId="77777777" w:rsidR="00BD288C" w:rsidRPr="002F2FDF" w:rsidRDefault="00BD288C" w:rsidP="0083075A">
      <w:pPr>
        <w:pStyle w:val="rtejustify"/>
        <w:shd w:val="clear" w:color="auto" w:fill="FFFFFF"/>
        <w:overflowPunct/>
        <w:autoSpaceDE/>
        <w:autoSpaceDN/>
        <w:adjustRightInd/>
        <w:spacing w:before="0" w:after="0"/>
        <w:rPr>
          <w:color w:val="000000" w:themeColor="text1"/>
          <w:sz w:val="16"/>
          <w:szCs w:val="16"/>
        </w:rPr>
      </w:pPr>
      <w:r w:rsidRPr="002F2FDF">
        <w:rPr>
          <w:color w:val="000000" w:themeColor="text1"/>
          <w:sz w:val="16"/>
          <w:szCs w:val="16"/>
        </w:rPr>
        <w:t>1. Двухпоплавкового разведчика под «Санбим» в 200 л.с.;</w:t>
      </w:r>
    </w:p>
    <w:p w14:paraId="5F83CF2B" w14:textId="77777777" w:rsidR="00BD288C" w:rsidRPr="002F2FDF" w:rsidRDefault="00BD288C" w:rsidP="0083075A">
      <w:pPr>
        <w:pStyle w:val="rtejustify"/>
        <w:shd w:val="clear" w:color="auto" w:fill="FFFFFF"/>
        <w:overflowPunct/>
        <w:autoSpaceDE/>
        <w:autoSpaceDN/>
        <w:adjustRightInd/>
        <w:spacing w:before="0" w:after="0"/>
        <w:rPr>
          <w:color w:val="000000" w:themeColor="text1"/>
          <w:sz w:val="16"/>
          <w:szCs w:val="16"/>
        </w:rPr>
      </w:pPr>
      <w:r w:rsidRPr="002F2FDF">
        <w:rPr>
          <w:color w:val="000000" w:themeColor="text1"/>
          <w:sz w:val="16"/>
          <w:szCs w:val="16"/>
        </w:rPr>
        <w:t>2. Двухпоплавкового разведчика под «Испано» в 200 л.с;</w:t>
      </w:r>
    </w:p>
    <w:p w14:paraId="5EAF9F34" w14:textId="77777777" w:rsidR="00BD288C" w:rsidRPr="002F2FDF" w:rsidRDefault="00BD288C" w:rsidP="0083075A">
      <w:pPr>
        <w:pStyle w:val="rtejustify"/>
        <w:shd w:val="clear" w:color="auto" w:fill="FFFFFF"/>
        <w:overflowPunct/>
        <w:autoSpaceDE/>
        <w:autoSpaceDN/>
        <w:adjustRightInd/>
        <w:spacing w:before="0" w:after="0"/>
        <w:rPr>
          <w:color w:val="000000" w:themeColor="text1"/>
          <w:sz w:val="16"/>
          <w:szCs w:val="16"/>
        </w:rPr>
      </w:pPr>
      <w:r w:rsidRPr="002F2FDF">
        <w:rPr>
          <w:color w:val="000000" w:themeColor="text1"/>
          <w:sz w:val="16"/>
          <w:szCs w:val="16"/>
        </w:rPr>
        <w:t>3. Однопоплавкового истребителя под «Испано» в 200 л.с;</w:t>
      </w:r>
    </w:p>
    <w:p w14:paraId="127B6E07" w14:textId="77777777" w:rsidR="00BD288C" w:rsidRPr="002F2FDF" w:rsidRDefault="00BD288C" w:rsidP="0083075A">
      <w:pPr>
        <w:pStyle w:val="rtejustify"/>
        <w:shd w:val="clear" w:color="auto" w:fill="FFFFFF"/>
        <w:spacing w:before="0" w:after="0"/>
        <w:rPr>
          <w:color w:val="000000" w:themeColor="text1"/>
          <w:sz w:val="16"/>
          <w:szCs w:val="16"/>
        </w:rPr>
      </w:pPr>
      <w:r w:rsidRPr="002F2FDF">
        <w:rPr>
          <w:color w:val="000000" w:themeColor="text1"/>
          <w:sz w:val="16"/>
          <w:szCs w:val="16"/>
        </w:rPr>
        <w:t>«Аппарата под Испано без шасси» — истребителя, который взлетал на сбрасываемом сухопутном шасси, но садился после выполнения задачи на воду.</w:t>
      </w:r>
    </w:p>
    <w:p w14:paraId="2438B7BE" w14:textId="77777777" w:rsidR="00BD288C" w:rsidRPr="002F2FDF" w:rsidRDefault="00BD288C" w:rsidP="0083075A">
      <w:pPr>
        <w:pStyle w:val="rtejustify"/>
        <w:shd w:val="clear" w:color="auto" w:fill="FFFFFF"/>
        <w:spacing w:before="0" w:after="0"/>
        <w:rPr>
          <w:color w:val="000000" w:themeColor="text1"/>
          <w:sz w:val="16"/>
          <w:szCs w:val="16"/>
        </w:rPr>
      </w:pPr>
      <w:r w:rsidRPr="002F2FDF">
        <w:rPr>
          <w:color w:val="000000" w:themeColor="text1"/>
          <w:sz w:val="16"/>
          <w:szCs w:val="16"/>
        </w:rPr>
        <w:t>Для организации Опытного завода по инициативе Григоровича в 1916 г. была выделена ссуда под небольшой процент и оформлена аренда на льготных условиях свободного здания Лейб-гвардии Измайловского полка (отсюда и адрес завода: 12 рота, д. 26). Для скорейшего погашения кредита новое предприятие получило заказ на производство самолетов М-5 (потом М-20), а также задания на разработку целого ряда опытных гидросамолетов. Конструкторскому бюро Григоровича, штаб-квартира которого размещались на Большом проспекте Петроградской стороны в доме №72, в первую очередь предстояло спроектировать, а затем обеспечить постройку, следующих летательных аппаратов:</w:t>
      </w:r>
    </w:p>
    <w:p w14:paraId="2EEDCC84" w14:textId="77777777" w:rsidR="00BD288C" w:rsidRPr="002F2FDF" w:rsidRDefault="00BD288C" w:rsidP="0083075A">
      <w:pPr>
        <w:pStyle w:val="rtejustify"/>
        <w:shd w:val="clear" w:color="auto" w:fill="FFFFFF"/>
        <w:overflowPunct/>
        <w:autoSpaceDE/>
        <w:autoSpaceDN/>
        <w:adjustRightInd/>
        <w:spacing w:before="0" w:after="0"/>
        <w:rPr>
          <w:color w:val="000000" w:themeColor="text1"/>
          <w:sz w:val="16"/>
          <w:szCs w:val="16"/>
        </w:rPr>
      </w:pPr>
      <w:r w:rsidRPr="002F2FDF">
        <w:rPr>
          <w:color w:val="000000" w:themeColor="text1"/>
          <w:sz w:val="16"/>
          <w:szCs w:val="16"/>
        </w:rPr>
        <w:t>1. истребитель под двигатель «Клерже»;</w:t>
      </w:r>
    </w:p>
    <w:p w14:paraId="73CBAB48" w14:textId="77777777" w:rsidR="00BD288C" w:rsidRPr="002F2FDF" w:rsidRDefault="00BD288C" w:rsidP="0083075A">
      <w:pPr>
        <w:pStyle w:val="rtejustify"/>
        <w:shd w:val="clear" w:color="auto" w:fill="FFFFFF"/>
        <w:overflowPunct/>
        <w:autoSpaceDE/>
        <w:autoSpaceDN/>
        <w:adjustRightInd/>
        <w:spacing w:before="0" w:after="0"/>
        <w:rPr>
          <w:color w:val="000000" w:themeColor="text1"/>
          <w:sz w:val="16"/>
          <w:szCs w:val="16"/>
        </w:rPr>
      </w:pPr>
      <w:r w:rsidRPr="002F2FDF">
        <w:rPr>
          <w:color w:val="000000" w:themeColor="text1"/>
          <w:sz w:val="16"/>
          <w:szCs w:val="16"/>
        </w:rPr>
        <w:t>2. истребитель под двигатель «Испано»;</w:t>
      </w:r>
    </w:p>
    <w:p w14:paraId="6776E65C" w14:textId="77777777" w:rsidR="00BD288C" w:rsidRPr="002F2FDF" w:rsidRDefault="00BD288C" w:rsidP="0083075A">
      <w:pPr>
        <w:pStyle w:val="rtejustify"/>
        <w:shd w:val="clear" w:color="auto" w:fill="FFFFFF"/>
        <w:overflowPunct/>
        <w:autoSpaceDE/>
        <w:autoSpaceDN/>
        <w:adjustRightInd/>
        <w:spacing w:before="0" w:after="0"/>
        <w:rPr>
          <w:color w:val="000000" w:themeColor="text1"/>
          <w:sz w:val="16"/>
          <w:szCs w:val="16"/>
        </w:rPr>
      </w:pPr>
      <w:r w:rsidRPr="002F2FDF">
        <w:rPr>
          <w:color w:val="000000" w:themeColor="text1"/>
          <w:sz w:val="16"/>
          <w:szCs w:val="16"/>
        </w:rPr>
        <w:t>3. разведчик под двигатель «Испано»;</w:t>
      </w:r>
    </w:p>
    <w:p w14:paraId="57704557" w14:textId="77777777" w:rsidR="00BD288C" w:rsidRPr="002F2FDF" w:rsidRDefault="00BD288C" w:rsidP="0083075A">
      <w:pPr>
        <w:pStyle w:val="rtejustify"/>
        <w:shd w:val="clear" w:color="auto" w:fill="FFFFFF"/>
        <w:overflowPunct/>
        <w:autoSpaceDE/>
        <w:autoSpaceDN/>
        <w:adjustRightInd/>
        <w:spacing w:before="0" w:after="0"/>
        <w:rPr>
          <w:color w:val="000000" w:themeColor="text1"/>
          <w:sz w:val="16"/>
          <w:szCs w:val="16"/>
        </w:rPr>
      </w:pPr>
      <w:r w:rsidRPr="002F2FDF">
        <w:rPr>
          <w:color w:val="000000" w:themeColor="text1"/>
          <w:sz w:val="16"/>
          <w:szCs w:val="16"/>
        </w:rPr>
        <w:t>4. дальний разведчик с двумя двигателями «Роллс-Ройс», «Санбим» или «Испано».</w:t>
      </w:r>
    </w:p>
    <w:p w14:paraId="0921065B" w14:textId="77777777" w:rsidR="00BD288C" w:rsidRPr="002F2FDF" w:rsidRDefault="00BD288C" w:rsidP="0083075A">
      <w:pPr>
        <w:pStyle w:val="rtejustify"/>
        <w:shd w:val="clear" w:color="auto" w:fill="FFFFFF"/>
        <w:spacing w:before="0" w:after="0"/>
        <w:rPr>
          <w:color w:val="000000" w:themeColor="text1"/>
          <w:sz w:val="16"/>
          <w:szCs w:val="16"/>
        </w:rPr>
      </w:pPr>
      <w:r w:rsidRPr="002F2FDF">
        <w:rPr>
          <w:color w:val="000000" w:themeColor="text1"/>
          <w:sz w:val="16"/>
          <w:szCs w:val="16"/>
        </w:rPr>
        <w:t>Перечисленные самолеты требовалось построить в двух экземплярах, затем, в период их испытаний и совершенствования, Опытный завод должен был подготовить весь комплект конструкторско-технологической документации для последующего серийного изготовления (20059).</w:t>
      </w:r>
    </w:p>
    <w:p w14:paraId="52FD8C2D" w14:textId="77777777" w:rsidR="00BD288C" w:rsidRPr="002F2FDF" w:rsidRDefault="00BD288C" w:rsidP="0083075A">
      <w:pPr>
        <w:pStyle w:val="rtejustify"/>
        <w:shd w:val="clear" w:color="auto" w:fill="FFFFFF"/>
        <w:spacing w:before="0" w:after="0"/>
        <w:rPr>
          <w:color w:val="000000" w:themeColor="text1"/>
          <w:sz w:val="16"/>
          <w:szCs w:val="16"/>
        </w:rPr>
      </w:pPr>
      <w:bookmarkStart w:id="399" w:name="_Hlk55467956"/>
      <w:r w:rsidRPr="002F2FDF">
        <w:rPr>
          <w:color w:val="000000" w:themeColor="text1"/>
          <w:sz w:val="16"/>
          <w:szCs w:val="16"/>
        </w:rPr>
        <w:t>Занимаясь выполнением первого пункта задания, Дмитрий Павлович спроектировал летающую лодку М-17, как вариант М-11 (доработанный второй экземпляр обозначался как М-17бис). Однако по разным объективным причинам достроены они были лишь в 1918 г. Испытания М-17 начались 26 сентября 1918 г. Они выявили ряд недостатков, которые вообще-то были ожидаемыми: влияние вращающегося ротативного двигателя и малая мореходность. Несмотря на то, что как истребитель М-17 признавался неудовлетворительным, он вместе с М-17бис был принят в списки Балтийской воздушной бригады (20059).</w:t>
      </w:r>
    </w:p>
    <w:bookmarkEnd w:id="399"/>
    <w:p w14:paraId="63F78040" w14:textId="77777777" w:rsidR="00BD288C" w:rsidRPr="002F2FDF" w:rsidRDefault="00BD288C" w:rsidP="0083075A">
      <w:pPr>
        <w:pStyle w:val="rtejustify"/>
        <w:shd w:val="clear" w:color="auto" w:fill="FFFFFF"/>
        <w:spacing w:before="0" w:after="0"/>
        <w:rPr>
          <w:color w:val="000000" w:themeColor="text1"/>
          <w:sz w:val="16"/>
          <w:szCs w:val="16"/>
        </w:rPr>
      </w:pPr>
      <w:r w:rsidRPr="002F2FDF">
        <w:rPr>
          <w:color w:val="000000" w:themeColor="text1"/>
          <w:sz w:val="16"/>
          <w:szCs w:val="16"/>
        </w:rPr>
        <w:t>Согласно второму пункту задания, проектировалась летающая лодка-истребитель М-18 под «Испано», которая в 1918 г. так и осталась недостроенной.</w:t>
      </w:r>
    </w:p>
    <w:p w14:paraId="28FFF24A" w14:textId="77777777" w:rsidR="00BD288C" w:rsidRPr="002F2FDF" w:rsidRDefault="00BD288C" w:rsidP="0083075A">
      <w:pPr>
        <w:pStyle w:val="rtejustify"/>
        <w:shd w:val="clear" w:color="auto" w:fill="FFFFFF"/>
        <w:spacing w:before="0" w:after="0"/>
        <w:rPr>
          <w:color w:val="000000" w:themeColor="text1"/>
          <w:sz w:val="16"/>
          <w:szCs w:val="16"/>
        </w:rPr>
      </w:pPr>
      <w:r w:rsidRPr="002F2FDF">
        <w:rPr>
          <w:color w:val="000000" w:themeColor="text1"/>
          <w:sz w:val="16"/>
          <w:szCs w:val="16"/>
        </w:rPr>
        <w:t>Работы по третьему пункту привели к созданию проекта летающей лодки-разведчика М-19 под двигатель «Испано», являвшейся развитием М-15. На заводе для нее был начат выпуск деталей и узлов, но к сборке в 1918 г. так и не приступили.</w:t>
      </w:r>
    </w:p>
    <w:p w14:paraId="7DFECEF4" w14:textId="77777777" w:rsidR="00BD288C" w:rsidRPr="002F2FDF" w:rsidRDefault="00BD288C" w:rsidP="0083075A">
      <w:pPr>
        <w:pStyle w:val="rtejustify"/>
        <w:shd w:val="clear" w:color="auto" w:fill="FFFFFF"/>
        <w:spacing w:before="0" w:after="0"/>
        <w:rPr>
          <w:color w:val="000000" w:themeColor="text1"/>
          <w:sz w:val="16"/>
          <w:szCs w:val="16"/>
        </w:rPr>
      </w:pPr>
      <w:r w:rsidRPr="002F2FDF">
        <w:rPr>
          <w:color w:val="000000" w:themeColor="text1"/>
          <w:sz w:val="16"/>
          <w:szCs w:val="16"/>
        </w:rPr>
        <w:t>Работа над четвертым проектом к началу 1918 г. из-за меняющихся требований и революции так и не была завершена. Она прекратилась на стадии эскизного проектирования. Поэтому «фирменного» обозначения проект не имел.</w:t>
      </w:r>
    </w:p>
    <w:p w14:paraId="3356712F" w14:textId="77777777" w:rsidR="00BD288C" w:rsidRPr="002F2FDF" w:rsidRDefault="00BD288C" w:rsidP="0083075A">
      <w:pPr>
        <w:pStyle w:val="rtejustify"/>
        <w:shd w:val="clear" w:color="auto" w:fill="FFFFFF"/>
        <w:spacing w:before="0" w:after="0"/>
        <w:rPr>
          <w:color w:val="000000" w:themeColor="text1"/>
          <w:sz w:val="16"/>
          <w:szCs w:val="16"/>
        </w:rPr>
      </w:pPr>
      <w:r w:rsidRPr="002F2FDF">
        <w:rPr>
          <w:color w:val="000000" w:themeColor="text1"/>
          <w:sz w:val="16"/>
          <w:szCs w:val="16"/>
        </w:rPr>
        <w:t>Единственным реализованным до начала 1918 г. стал проект летающей лодки М-20 (20059).</w:t>
      </w:r>
    </w:p>
    <w:p w14:paraId="1640EC5F" w14:textId="77777777" w:rsidR="00BD288C" w:rsidRPr="002F2FDF" w:rsidRDefault="00BD288C" w:rsidP="0083075A">
      <w:pPr>
        <w:spacing w:after="0" w:line="240" w:lineRule="auto"/>
        <w:jc w:val="both"/>
        <w:rPr>
          <w:rFonts w:ascii="Times New Roman" w:hAnsi="Times New Roman" w:cs="Times New Roman"/>
          <w:color w:val="000000" w:themeColor="text1"/>
          <w:sz w:val="16"/>
          <w:szCs w:val="16"/>
        </w:rPr>
      </w:pPr>
    </w:p>
    <w:p w14:paraId="53B8B940" w14:textId="77777777" w:rsidR="00BD288C" w:rsidRPr="002F2FDF" w:rsidRDefault="00BD288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70A7A3B0" w14:textId="77777777" w:rsidR="00BD288C" w:rsidRPr="002F2FDF" w:rsidRDefault="00BD288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3F962A" w14:textId="070231D6" w:rsidR="00BD288C" w:rsidRPr="002F2FDF" w:rsidRDefault="00BD288C" w:rsidP="0083075A">
      <w:pPr>
        <w:pStyle w:val="p1"/>
        <w:spacing w:before="0" w:beforeAutospacing="0" w:after="0" w:afterAutospacing="0"/>
        <w:jc w:val="both"/>
        <w:rPr>
          <w:color w:val="000000" w:themeColor="text1"/>
          <w:sz w:val="16"/>
          <w:szCs w:val="16"/>
        </w:rPr>
      </w:pPr>
      <w:r w:rsidRPr="002F2FDF">
        <w:rPr>
          <w:color w:val="000000" w:themeColor="text1"/>
          <w:sz w:val="16"/>
          <w:szCs w:val="16"/>
        </w:rPr>
        <w:t>29 ноября</w:t>
      </w:r>
      <w:r w:rsidRPr="002F2FDF">
        <w:rPr>
          <w:rStyle w:val="a7"/>
          <w:rFonts w:eastAsiaTheme="majorEastAsia"/>
          <w:b w:val="0"/>
          <w:color w:val="000000" w:themeColor="text1"/>
          <w:sz w:val="16"/>
          <w:szCs w:val="16"/>
        </w:rPr>
        <w:t xml:space="preserve"> (12 декабря)</w:t>
      </w:r>
      <w:r w:rsidRPr="002F2FDF">
        <w:rPr>
          <w:color w:val="000000" w:themeColor="text1"/>
          <w:sz w:val="16"/>
          <w:szCs w:val="16"/>
        </w:rPr>
        <w:t xml:space="preserve"> 1917 года В.И. Ленин подписал постановление СНК о переводе военных заказов на хозяйственно-полезные работы. Члену коллегии Наркомата по морским делам (Наркоммора) Ф.Ф. Раскольникову поручалось экстренно отправиться в наркоматы торговли, промышленности и продовольствия</w:t>
      </w:r>
      <w:r w:rsidR="00E52569">
        <w:rPr>
          <w:color w:val="000000" w:themeColor="text1"/>
          <w:sz w:val="16"/>
          <w:szCs w:val="16"/>
        </w:rPr>
        <w:t xml:space="preserve"> </w:t>
      </w:r>
      <w:r w:rsidRPr="002F2FDF">
        <w:rPr>
          <w:rStyle w:val="af0"/>
          <w:rFonts w:eastAsiaTheme="majorEastAsia"/>
          <w:i w:val="0"/>
          <w:color w:val="000000" w:themeColor="text1"/>
          <w:sz w:val="16"/>
          <w:szCs w:val="16"/>
        </w:rPr>
        <w:t>«для немедленной организации заказов, которые могли бы быть переданы заводам, занятым военно-морскими сооружениями и ремонтными работами»</w:t>
      </w:r>
      <w:r w:rsidRPr="002F2FDF">
        <w:rPr>
          <w:color w:val="000000" w:themeColor="text1"/>
          <w:sz w:val="16"/>
          <w:szCs w:val="16"/>
        </w:rPr>
        <w:t>. В постановлении было указано, что</w:t>
      </w:r>
      <w:r w:rsidR="00E52569">
        <w:rPr>
          <w:color w:val="000000" w:themeColor="text1"/>
          <w:sz w:val="16"/>
          <w:szCs w:val="16"/>
        </w:rPr>
        <w:t xml:space="preserve"> </w:t>
      </w:r>
      <w:r w:rsidRPr="002F2FDF">
        <w:rPr>
          <w:rStyle w:val="af0"/>
          <w:rFonts w:eastAsiaTheme="majorEastAsia"/>
          <w:i w:val="0"/>
          <w:color w:val="000000" w:themeColor="text1"/>
          <w:sz w:val="16"/>
          <w:szCs w:val="16"/>
        </w:rPr>
        <w:t>«особенно спешным является производство сельскохозяйственных орудий, машин, производство и ремонт паровозов»</w:t>
      </w:r>
      <w:r w:rsidRPr="002F2FDF">
        <w:rPr>
          <w:color w:val="000000" w:themeColor="text1"/>
          <w:sz w:val="16"/>
          <w:szCs w:val="16"/>
        </w:rPr>
        <w:t>[207] (18385).</w:t>
      </w:r>
    </w:p>
    <w:p w14:paraId="2470B395" w14:textId="77777777" w:rsidR="00BD288C" w:rsidRPr="002F2FDF" w:rsidRDefault="00BD288C" w:rsidP="0083075A">
      <w:pPr>
        <w:pStyle w:val="p1"/>
        <w:spacing w:before="0" w:beforeAutospacing="0" w:after="0" w:afterAutospacing="0"/>
        <w:jc w:val="both"/>
        <w:rPr>
          <w:color w:val="000000" w:themeColor="text1"/>
          <w:sz w:val="16"/>
          <w:szCs w:val="16"/>
        </w:rPr>
      </w:pPr>
    </w:p>
    <w:p w14:paraId="6063C484"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E76D7F6"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47FAAA" w14:textId="08FBD2F0" w:rsidR="00B91D66" w:rsidRPr="002F2FDF" w:rsidRDefault="00B91D66" w:rsidP="0083075A">
      <w:pPr>
        <w:pStyle w:val="ae"/>
        <w:spacing w:before="0" w:after="0"/>
        <w:jc w:val="both"/>
        <w:rPr>
          <w:color w:val="000000" w:themeColor="text1"/>
          <w:kern w:val="2"/>
          <w:sz w:val="16"/>
          <w:szCs w:val="16"/>
        </w:rPr>
      </w:pPr>
      <w:r w:rsidRPr="002F2FDF">
        <w:rPr>
          <w:color w:val="000000" w:themeColor="text1"/>
          <w:kern w:val="2"/>
          <w:sz w:val="16"/>
          <w:szCs w:val="16"/>
        </w:rPr>
        <w:t>29</w:t>
      </w:r>
      <w:r w:rsidR="00E52569">
        <w:rPr>
          <w:color w:val="000000" w:themeColor="text1"/>
          <w:kern w:val="2"/>
          <w:sz w:val="16"/>
          <w:szCs w:val="16"/>
        </w:rPr>
        <w:t xml:space="preserve"> </w:t>
      </w:r>
      <w:r w:rsidRPr="002F2FDF">
        <w:rPr>
          <w:color w:val="000000" w:themeColor="text1"/>
          <w:kern w:val="2"/>
          <w:sz w:val="16"/>
          <w:szCs w:val="16"/>
        </w:rPr>
        <w:t>ноября (</w:t>
      </w:r>
      <w:hyperlink r:id="rId684" w:tooltip="12 декабря" w:history="1">
        <w:r w:rsidRPr="002F2FDF">
          <w:rPr>
            <w:rStyle w:val="a5"/>
            <w:color w:val="000000" w:themeColor="text1"/>
            <w:kern w:val="2"/>
            <w:sz w:val="16"/>
            <w:szCs w:val="16"/>
            <w:u w:val="none"/>
          </w:rPr>
          <w:t>12</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декабря</w:t>
        </w:r>
      </w:hyperlink>
      <w:r w:rsidRPr="002F2FDF">
        <w:rPr>
          <w:color w:val="000000" w:themeColor="text1"/>
          <w:kern w:val="2"/>
          <w:sz w:val="16"/>
          <w:szCs w:val="16"/>
        </w:rPr>
        <w:t>) 1917 по прибытии в Брест, до открытия конференции, во время частного совещания советской делегации застрелился представитель Ставки в группе военных консультантов генерал-майор В. Е. Скалон (17035).</w:t>
      </w:r>
    </w:p>
    <w:p w14:paraId="4468472A"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A62B4E" w14:textId="77777777" w:rsidR="00BD288C" w:rsidRPr="002F2FDF" w:rsidRDefault="00BD288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BD81074" w14:textId="77777777" w:rsidR="00BD288C" w:rsidRPr="002F2FDF" w:rsidRDefault="00BD288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FBDFB2" w14:textId="77777777" w:rsidR="00BD288C" w:rsidRPr="002F2FDF" w:rsidRDefault="00BD288C"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ноября (12 декабря) 1917 Лев Каменев подал заявление о принятии его обратно в члены ЦК большевиков, откуда он вышел в ноябре, но ему было отказано (4962).</w:t>
      </w:r>
    </w:p>
    <w:p w14:paraId="2BC19A4A" w14:textId="77777777" w:rsidR="00BD288C" w:rsidRPr="002F2FDF" w:rsidRDefault="00BD288C"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48CEA4" w14:textId="77777777" w:rsidR="00BD288C" w:rsidRPr="002F2FDF" w:rsidRDefault="00BD288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ноября (12 декабря) 1917 Советская власть была установлена во Владивостоке (2443,389).</w:t>
      </w:r>
    </w:p>
    <w:p w14:paraId="2D2C478A" w14:textId="77777777" w:rsidR="00BD288C" w:rsidRPr="002F2FDF" w:rsidRDefault="00BD288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C14A6F" w14:textId="77777777" w:rsidR="00BD288C" w:rsidRPr="002F2FDF" w:rsidRDefault="00BD288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0513AE0" w14:textId="77777777" w:rsidR="00BD288C" w:rsidRPr="002F2FDF" w:rsidRDefault="00BD288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8B52EB" w14:textId="77777777" w:rsidR="00BD288C" w:rsidRPr="002F2FDF" w:rsidRDefault="00BD288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ноября (12 декабря) 1917 в крупнейшей ж/д катастрофе у Модане потерпел крушение поезд с французскими солдатами, 543 человека погибли (4962) из-за схода поезда с рельс (3907,92).</w:t>
      </w:r>
    </w:p>
    <w:p w14:paraId="47F8D631" w14:textId="77777777" w:rsidR="00BD288C" w:rsidRPr="002F2FDF" w:rsidRDefault="00BD288C"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3DE0F5" w14:textId="77777777" w:rsidR="00BD288C" w:rsidRPr="002F2FDF" w:rsidRDefault="00BD288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29 ноября (12 декабря) </w:t>
      </w:r>
      <w:r w:rsidRPr="002F2FDF">
        <w:rPr>
          <w:rFonts w:ascii="Times New Roman" w:hAnsi="Times New Roman" w:cs="Times New Roman"/>
          <w:color w:val="000000" w:themeColor="text1"/>
          <w:kern w:val="2"/>
          <w:sz w:val="16"/>
          <w:szCs w:val="16"/>
        </w:rPr>
        <w:t>в 1917 году во Франции произошла самая крупная за всю историю железнодорожная катастрофа. Пассажирский поезд на полном ходу сходит с рельсов. Погибают 543 пассажира (14858).</w:t>
      </w:r>
    </w:p>
    <w:p w14:paraId="50EBD199" w14:textId="77777777" w:rsidR="00BD288C" w:rsidRPr="002F2FDF" w:rsidRDefault="00BD288C" w:rsidP="0083075A">
      <w:pPr>
        <w:spacing w:after="0" w:line="240" w:lineRule="auto"/>
        <w:jc w:val="both"/>
        <w:rPr>
          <w:rFonts w:ascii="Times New Roman" w:hAnsi="Times New Roman" w:cs="Times New Roman"/>
          <w:color w:val="000000" w:themeColor="text1"/>
          <w:kern w:val="2"/>
          <w:sz w:val="16"/>
          <w:szCs w:val="16"/>
        </w:rPr>
      </w:pPr>
    </w:p>
    <w:p w14:paraId="01D4B613" w14:textId="77777777" w:rsidR="00BD288C" w:rsidRPr="002F2FDF" w:rsidRDefault="00BD288C" w:rsidP="0083075A">
      <w:pPr>
        <w:pStyle w:val="ae"/>
        <w:spacing w:before="0" w:after="0"/>
        <w:jc w:val="both"/>
        <w:rPr>
          <w:color w:val="000000" w:themeColor="text1"/>
          <w:kern w:val="2"/>
          <w:sz w:val="16"/>
          <w:szCs w:val="16"/>
        </w:rPr>
      </w:pPr>
      <w:r w:rsidRPr="002F2FDF">
        <w:rPr>
          <w:bCs/>
          <w:color w:val="000000" w:themeColor="text1"/>
          <w:kern w:val="2"/>
          <w:sz w:val="16"/>
          <w:szCs w:val="16"/>
        </w:rPr>
        <w:t xml:space="preserve">29 ноября (12 декабря) </w:t>
      </w:r>
      <w:r w:rsidRPr="002F2FDF">
        <w:rPr>
          <w:color w:val="000000" w:themeColor="text1"/>
          <w:kern w:val="2"/>
          <w:sz w:val="16"/>
          <w:szCs w:val="16"/>
        </w:rPr>
        <w:t>в 1917 году неподалеку от французского городка Сен-Мишель-де-Морьен в Альпах у границы с Италией произошло крушение военного эшелона, ставшее крупнейшей железнодорожной катастрофой в истории Франции, Европы и всего ХХ века. В результате трагедии погибли около 700 французских солдат (всего в поезде находилось около 1000 человек), возвращавшихся домой с Итальянского фронта на рождественские каникулы. Причиной катастрофы стало нарушение техники безопасности — на сложном высокогорном участке поезд должны были вести, одновременно притормаживая на крутых спусках, два паровоза, но выделен был только один. Машинист поначалу отказывался отправляться в путь, но французский офицер, желавший побыстрее попасть домой, грозил ему трибуналом. В результате на одном из спусков поезд разогнался до скорости 135 км/час и сошел с рельсов на крутом повороте. Последствия падения вагонов довершил пожар, вспыхнувший от горевших внутри вагонов свечей, а также разрывы патронов и гранат, которые везли солдаты (17045).</w:t>
      </w:r>
    </w:p>
    <w:p w14:paraId="5859A20F" w14:textId="77777777" w:rsidR="00BD288C" w:rsidRPr="002F2FDF" w:rsidRDefault="00BD288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AB0B46" w14:textId="77777777" w:rsidR="00BD288C" w:rsidRPr="002F2FDF" w:rsidRDefault="00BD288C" w:rsidP="0083075A">
      <w:pPr>
        <w:pStyle w:val="ae"/>
        <w:spacing w:before="0" w:after="0"/>
        <w:jc w:val="both"/>
        <w:rPr>
          <w:color w:val="000000" w:themeColor="text1"/>
          <w:kern w:val="2"/>
          <w:sz w:val="16"/>
          <w:szCs w:val="16"/>
        </w:rPr>
      </w:pPr>
      <w:r w:rsidRPr="002F2FDF">
        <w:rPr>
          <w:bCs/>
          <w:color w:val="000000" w:themeColor="text1"/>
          <w:kern w:val="2"/>
          <w:sz w:val="16"/>
          <w:szCs w:val="16"/>
        </w:rPr>
        <w:t xml:space="preserve">29 ноября (12 декабря) </w:t>
      </w:r>
      <w:r w:rsidRPr="002F2FDF">
        <w:rPr>
          <w:color w:val="000000" w:themeColor="text1"/>
          <w:kern w:val="2"/>
          <w:sz w:val="16"/>
          <w:szCs w:val="16"/>
        </w:rPr>
        <w:t>в 1917 году немецкие эсминцы атаковали британские корабли сопровождения так называемого «Скандинавского конвоя», курсировавшего между портами Великобритании и Норвегии. В ходе атаки им удалось потопить несколько судов противника. Это был уже второй успешный «набег» германского флота на британско-норвежские коммуникации, заставивший англичан изменить маршрут и усилить охранение конвоев (17045).</w:t>
      </w:r>
    </w:p>
    <w:p w14:paraId="19DC1D2D" w14:textId="77777777" w:rsidR="00BD288C" w:rsidRPr="002F2FDF" w:rsidRDefault="00BD288C" w:rsidP="0083075A">
      <w:pPr>
        <w:pStyle w:val="ae"/>
        <w:spacing w:before="0" w:after="0"/>
        <w:jc w:val="both"/>
        <w:rPr>
          <w:color w:val="000000" w:themeColor="text1"/>
          <w:kern w:val="2"/>
          <w:sz w:val="16"/>
          <w:szCs w:val="16"/>
        </w:rPr>
      </w:pPr>
    </w:p>
    <w:p w14:paraId="252D6738" w14:textId="5720E5D4" w:rsidR="00312626" w:rsidRPr="002F2FDF" w:rsidRDefault="00312626" w:rsidP="0083075A">
      <w:pPr>
        <w:pStyle w:val="ae"/>
        <w:spacing w:before="0" w:after="0"/>
        <w:jc w:val="both"/>
        <w:rPr>
          <w:color w:val="000000" w:themeColor="text1"/>
          <w:kern w:val="2"/>
          <w:sz w:val="16"/>
          <w:szCs w:val="16"/>
        </w:rPr>
      </w:pPr>
      <w:r w:rsidRPr="002F2FDF">
        <w:rPr>
          <w:color w:val="000000" w:themeColor="text1"/>
          <w:kern w:val="2"/>
          <w:sz w:val="16"/>
          <w:szCs w:val="16"/>
        </w:rPr>
        <w:t>29</w:t>
      </w:r>
      <w:r w:rsidR="00E52569">
        <w:rPr>
          <w:color w:val="000000" w:themeColor="text1"/>
          <w:kern w:val="2"/>
          <w:sz w:val="16"/>
          <w:szCs w:val="16"/>
        </w:rPr>
        <w:t xml:space="preserve"> </w:t>
      </w:r>
      <w:r w:rsidRPr="002F2FDF">
        <w:rPr>
          <w:color w:val="000000" w:themeColor="text1"/>
          <w:kern w:val="2"/>
          <w:sz w:val="16"/>
          <w:szCs w:val="16"/>
        </w:rPr>
        <w:t>ноября (</w:t>
      </w:r>
      <w:hyperlink r:id="rId685" w:tooltip="12 декабря" w:history="1">
        <w:r w:rsidRPr="002F2FDF">
          <w:rPr>
            <w:rStyle w:val="a5"/>
            <w:color w:val="000000" w:themeColor="text1"/>
            <w:kern w:val="2"/>
            <w:sz w:val="16"/>
            <w:szCs w:val="16"/>
            <w:u w:val="none"/>
          </w:rPr>
          <w:t>12</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декабря</w:t>
        </w:r>
      </w:hyperlink>
      <w:r w:rsidRPr="002F2FDF">
        <w:rPr>
          <w:color w:val="000000" w:themeColor="text1"/>
          <w:kern w:val="2"/>
          <w:sz w:val="16"/>
          <w:szCs w:val="16"/>
        </w:rPr>
        <w:t>) 1917 в ходе переговоров в Брест-Литовске произошла трагедия —прямо в ходе внутреннего совещания, выйдя в соседнюю комнату якобы за картой, застрелился член российской делегации</w:t>
      </w:r>
      <w:r w:rsidR="00E52569">
        <w:rPr>
          <w:color w:val="000000" w:themeColor="text1"/>
          <w:kern w:val="2"/>
          <w:sz w:val="16"/>
          <w:szCs w:val="16"/>
        </w:rPr>
        <w:t xml:space="preserve"> </w:t>
      </w:r>
      <w:r w:rsidRPr="002F2FDF">
        <w:rPr>
          <w:color w:val="000000" w:themeColor="text1"/>
          <w:kern w:val="2"/>
          <w:sz w:val="16"/>
          <w:szCs w:val="16"/>
        </w:rPr>
        <w:t>генерал Владимир Скалон. По свидетельству близких людей, он не выдержал национального унижения родной страны. По взглядам Скалон был монархистом и тяжело переживал происходящее в России, но большевики включили его в состав своей делегации как отличного военного специалиста. Генерал был похоронен с воинским почестями в присутствии всего германского командования (17045).</w:t>
      </w:r>
    </w:p>
    <w:p w14:paraId="59DD830B" w14:textId="77777777" w:rsidR="00312626" w:rsidRPr="002F2FDF" w:rsidRDefault="0031262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F92393" w14:textId="77777777" w:rsidR="00062843"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DD68B6D" w14:textId="77777777" w:rsidR="00062843" w:rsidRPr="002F2FDF" w:rsidRDefault="0006284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AFCA4F" w14:textId="77777777" w:rsidR="00441081" w:rsidRPr="002F2FDF" w:rsidRDefault="0044108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29 ноября (12 декабря) 1917. Большевики захватили общедоступные столовые. Они потребовали от их служащих дать подписку о подчинении ВРК. В случае отказа служащих отстраняли от должности и на их места ставили своих сторонников (18685).</w:t>
      </w:r>
    </w:p>
    <w:p w14:paraId="24F12054" w14:textId="77777777" w:rsidR="00441081" w:rsidRPr="002F2FDF" w:rsidRDefault="00441081" w:rsidP="0083075A">
      <w:pPr>
        <w:spacing w:after="0" w:line="240" w:lineRule="auto"/>
        <w:jc w:val="both"/>
        <w:rPr>
          <w:rFonts w:ascii="Times New Roman" w:hAnsi="Times New Roman" w:cs="Times New Roman"/>
          <w:color w:val="000000" w:themeColor="text1"/>
          <w:sz w:val="16"/>
          <w:szCs w:val="16"/>
        </w:rPr>
      </w:pPr>
    </w:p>
    <w:p w14:paraId="2B4C33F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5726B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88DB3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ноября (13 декабря) 1917 г. Адаменко направил в УВВФ заявление о готовности построить 15 “Фарманов IV” с по</w:t>
      </w:r>
      <w:r w:rsidRPr="002F2FDF">
        <w:rPr>
          <w:rFonts w:ascii="Times New Roman" w:hAnsi="Times New Roman" w:cs="Times New Roman"/>
          <w:color w:val="000000" w:themeColor="text1"/>
          <w:kern w:val="2"/>
          <w:sz w:val="16"/>
          <w:szCs w:val="16"/>
        </w:rPr>
        <w:softHyphen/>
        <w:t>ставкой первых пяти через 4 месяца после подписания контракта и остальных — через 6 месяцев. К заявлению была приложена каль</w:t>
      </w:r>
      <w:r w:rsidRPr="002F2FDF">
        <w:rPr>
          <w:rFonts w:ascii="Times New Roman" w:hAnsi="Times New Roman" w:cs="Times New Roman"/>
          <w:color w:val="000000" w:themeColor="text1"/>
          <w:kern w:val="2"/>
          <w:sz w:val="16"/>
          <w:szCs w:val="16"/>
        </w:rPr>
        <w:softHyphen/>
        <w:t>куляция, определявшая стоимость одного “Фармана” в 17 721 руб. Но ответ из Управления был неутешительным, хотя и вполне логич</w:t>
      </w:r>
      <w:r w:rsidRPr="002F2FDF">
        <w:rPr>
          <w:rFonts w:ascii="Times New Roman" w:hAnsi="Times New Roman" w:cs="Times New Roman"/>
          <w:color w:val="000000" w:themeColor="text1"/>
          <w:kern w:val="2"/>
          <w:sz w:val="16"/>
          <w:szCs w:val="16"/>
        </w:rPr>
        <w:softHyphen/>
        <w:t>ным с точки зрения текущего политического момента: Воздушный флот не намеревается в ближайшее время делать новые заказы и уж тем более не нуждается в столь устаревших самолетах (11124).</w:t>
      </w:r>
    </w:p>
    <w:p w14:paraId="6A4E1DC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D9247F" w14:textId="77777777" w:rsidR="008B7CA9" w:rsidRPr="002F2FDF" w:rsidRDefault="008B7CA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125A07BD" w14:textId="77777777" w:rsidR="008B7CA9" w:rsidRPr="002F2FDF" w:rsidRDefault="008B7CA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E78AD8" w14:textId="2A39CE03" w:rsidR="008B7CA9" w:rsidRPr="002F2FDF" w:rsidRDefault="008B7CA9"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30 ноября (13 декабря) 1917</w:t>
      </w:r>
      <w:r w:rsidR="00E52569">
        <w:rPr>
          <w:rStyle w:val="a7"/>
          <w:rFonts w:eastAsiaTheme="majorEastAsia"/>
          <w:b w:val="0"/>
          <w:color w:val="000000" w:themeColor="text1"/>
          <w:sz w:val="16"/>
          <w:szCs w:val="16"/>
        </w:rPr>
        <w:t xml:space="preserve"> </w:t>
      </w:r>
      <w:r w:rsidRPr="002F2FDF">
        <w:rPr>
          <w:color w:val="000000" w:themeColor="text1"/>
          <w:sz w:val="16"/>
          <w:szCs w:val="16"/>
        </w:rPr>
        <w:t>Московским Губернским Советом Рабочих и Солдатских Депутатов принято решение о создании Рабочего контроля на предприятиях (18371).</w:t>
      </w:r>
    </w:p>
    <w:p w14:paraId="27C64840" w14:textId="77777777" w:rsidR="008B7CA9" w:rsidRPr="002F2FDF" w:rsidRDefault="008B7CA9" w:rsidP="0083075A">
      <w:pPr>
        <w:pStyle w:val="ae"/>
        <w:spacing w:before="0" w:after="0"/>
        <w:jc w:val="both"/>
        <w:rPr>
          <w:color w:val="000000" w:themeColor="text1"/>
          <w:sz w:val="16"/>
          <w:szCs w:val="16"/>
        </w:rPr>
      </w:pPr>
    </w:p>
    <w:p w14:paraId="7CCE9989" w14:textId="77777777" w:rsidR="008B7CA9" w:rsidRPr="002F2FDF" w:rsidRDefault="008B7CA9" w:rsidP="0083075A">
      <w:pPr>
        <w:pStyle w:val="p1"/>
        <w:spacing w:before="0" w:beforeAutospacing="0" w:after="0" w:afterAutospacing="0"/>
        <w:jc w:val="both"/>
        <w:rPr>
          <w:color w:val="000000" w:themeColor="text1"/>
          <w:sz w:val="16"/>
          <w:szCs w:val="16"/>
        </w:rPr>
      </w:pPr>
      <w:r w:rsidRPr="002F2FDF">
        <w:rPr>
          <w:color w:val="000000" w:themeColor="text1"/>
          <w:sz w:val="16"/>
          <w:szCs w:val="16"/>
        </w:rPr>
        <w:t>30 ноября</w:t>
      </w:r>
      <w:r w:rsidRPr="002F2FDF">
        <w:rPr>
          <w:rStyle w:val="a7"/>
          <w:rFonts w:eastAsiaTheme="majorEastAsia"/>
          <w:b w:val="0"/>
          <w:color w:val="000000" w:themeColor="text1"/>
          <w:sz w:val="16"/>
          <w:szCs w:val="16"/>
        </w:rPr>
        <w:t xml:space="preserve"> (13 декабря)</w:t>
      </w:r>
      <w:r w:rsidRPr="002F2FDF">
        <w:rPr>
          <w:color w:val="000000" w:themeColor="text1"/>
          <w:sz w:val="16"/>
          <w:szCs w:val="16"/>
        </w:rPr>
        <w:t xml:space="preserve"> 1917 Подвойский настоял на временном (до образования Главного экономического совета) оставлении Особого совещания по обороне в ведении Военного министерства[211] (18385).</w:t>
      </w:r>
    </w:p>
    <w:p w14:paraId="1CE51841" w14:textId="77777777" w:rsidR="008B7CA9" w:rsidRPr="002F2FDF" w:rsidRDefault="008B7CA9" w:rsidP="0083075A">
      <w:pPr>
        <w:pStyle w:val="p1"/>
        <w:spacing w:before="0" w:beforeAutospacing="0" w:after="0" w:afterAutospacing="0"/>
        <w:jc w:val="both"/>
        <w:rPr>
          <w:color w:val="000000" w:themeColor="text1"/>
          <w:sz w:val="16"/>
          <w:szCs w:val="16"/>
        </w:rPr>
      </w:pPr>
    </w:p>
    <w:p w14:paraId="1BE0364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38F12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BC97B1" w14:textId="77777777" w:rsidR="008B7CA9" w:rsidRPr="002F2FDF" w:rsidRDefault="008B7CA9" w:rsidP="0083075A">
      <w:pPr>
        <w:pStyle w:val="p1"/>
        <w:spacing w:before="0" w:beforeAutospacing="0" w:after="0" w:afterAutospacing="0"/>
        <w:jc w:val="both"/>
        <w:rPr>
          <w:color w:val="000000" w:themeColor="text1"/>
          <w:sz w:val="16"/>
          <w:szCs w:val="16"/>
        </w:rPr>
      </w:pPr>
      <w:r w:rsidRPr="002F2FDF">
        <w:rPr>
          <w:color w:val="000000" w:themeColor="text1"/>
          <w:sz w:val="16"/>
          <w:szCs w:val="16"/>
        </w:rPr>
        <w:t>30 ноября</w:t>
      </w:r>
      <w:r w:rsidRPr="002F2FDF">
        <w:rPr>
          <w:rStyle w:val="a7"/>
          <w:rFonts w:eastAsiaTheme="majorEastAsia"/>
          <w:b w:val="0"/>
          <w:color w:val="000000" w:themeColor="text1"/>
          <w:sz w:val="16"/>
          <w:szCs w:val="16"/>
        </w:rPr>
        <w:t xml:space="preserve"> (13 декабря)</w:t>
      </w:r>
      <w:r w:rsidRPr="002F2FDF">
        <w:rPr>
          <w:color w:val="000000" w:themeColor="text1"/>
          <w:sz w:val="16"/>
          <w:szCs w:val="16"/>
        </w:rPr>
        <w:t xml:space="preserve"> 1917 года вопрос о реорганизации Военного министерства был вписан в повестку заседания Совнаркома руки Лениным и четырежды подчёркнут[198], что свидетельствует о повышенном интересе председателя Совнаркома к этому вопросу или об особой остроте его обсуждения членами Совнаркома (18385).</w:t>
      </w:r>
    </w:p>
    <w:p w14:paraId="381424BD" w14:textId="77777777" w:rsidR="008B7CA9" w:rsidRPr="002F2FDF" w:rsidRDefault="008B7CA9" w:rsidP="0083075A">
      <w:pPr>
        <w:pStyle w:val="p1"/>
        <w:spacing w:before="0" w:beforeAutospacing="0" w:after="0" w:afterAutospacing="0"/>
        <w:jc w:val="both"/>
        <w:rPr>
          <w:color w:val="000000" w:themeColor="text1"/>
          <w:sz w:val="16"/>
          <w:szCs w:val="16"/>
        </w:rPr>
      </w:pPr>
    </w:p>
    <w:p w14:paraId="77D22C6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ноября (13 декабря) 1917 по приказу атамана Петлюры все украинские воинские части за пределами Украины переподчинялись украинским военным советам и обязывались вернуться домой (4962).</w:t>
      </w:r>
    </w:p>
    <w:p w14:paraId="54FEE2D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50D6D3" w14:textId="77777777" w:rsidR="00062843"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54E4781" w14:textId="77777777" w:rsidR="00062843" w:rsidRPr="002F2FDF" w:rsidRDefault="0006284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19D417" w14:textId="77777777" w:rsidR="001B016C" w:rsidRPr="002F2FDF" w:rsidRDefault="001B016C"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30 ноября (13 декабря) Петроградской конторой Госбанка было созвано совещание представителей частных банков для согласования их работы в области кредитования промышленности и для уточнения вопросов о подкреплении их наличностью. Соглашение удалось достичь 14(1) декабря 1917 г. Советская власть сделала уступку Комитету акционерных банков и "Банктруду" не назначив в банки комиссаров, как это намечалось в первоначальном тексте соглашения.</w:t>
      </w:r>
    </w:p>
    <w:p w14:paraId="44EA40FC" w14:textId="77777777" w:rsidR="001B016C" w:rsidRPr="002F2FDF" w:rsidRDefault="001B016C"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Госбанк соглашался выделить наличные средства на следующих условиях: все банки должны ежедневно представлять в Государ ственный банк справки о состоянии их касс; они обязуются не выдавать более 8 млн рублей в день чеками на Госбанк; распределение сумм между частными банками предоставляется Комитету съезда банков; выдачи наличными более 1000 рублей должны производиться только на производственные цели; ежедневно банки представляют Госбанку (копия ВСНХ) кассовую ведомость, где указывают: кому произведена выдача (адрес и род занятий), с какого счета и на какой предмет она произведена. О всех кредитах свыше 10 тыс. рублей банки должны сообщать в день открытия, все прочие указываются в ежемесячной ведомости. Кроме того, было оговорено, что ВСНХ имеет право, при участии представителей Госбанка, посылать своих представителей в любой частный банк для просмотра любых книг и документов.78 Первая выдача была определена в 15 млн рублей наличными, все последующие подкрепления должны были составить 8 млн рублей в день. 2 (15) декабря частные банки согласились на условия большевиков. 4 (17) декабря они приступили к работе, распределив между собой первую полученную наличность.</w:t>
      </w:r>
    </w:p>
    <w:p w14:paraId="69CBDA16" w14:textId="77777777" w:rsidR="001B016C" w:rsidRPr="002F2FDF" w:rsidRDefault="001B016C" w:rsidP="0083075A">
      <w:pPr>
        <w:pStyle w:val="a3"/>
        <w:rPr>
          <w:color w:val="000000" w:themeColor="text1"/>
          <w:lang w:val="ru-RU"/>
        </w:rPr>
      </w:pPr>
      <w:r w:rsidRPr="002F2FDF">
        <w:rPr>
          <w:rFonts w:eastAsia="Times New Roman"/>
          <w:color w:val="000000" w:themeColor="text1"/>
          <w:lang w:val="ru-RU" w:eastAsia="ru-RU"/>
        </w:rPr>
        <w:t>Но попытка Советской власти поставить под свой контроль частную кредитную систему закончилась провалом. Банкиры представляли в Госбанк не соответствующие действительности справки и ведомости, а расходовали полученную наличность по своему усмотрению. Перепадало и контрреволюционным организациям. Например, в "период контроля" Комитет акционерных банков передал несколько сот тысяч рублей Чайковскому, возглавлявшему антибольшевистский мятеж в Архангельске. Бегство капиталов из частных банков в этот период еще более возросло, чему в не малой степени способствовало регулярное снабжение банкиров наличными из Госбанка, т.е. от Советской власти. По соглашению с главным комиссаром Государственного банка союзу частных банков предоставлялось право получать 50 млн рублей в неделю со своих счетов в Госбанке, не считая счетов фабзавкомов, которые Госбанк обязывался оплатить по предъявлению чеков из частных банков. Благодаря этому соглашению банкиры</w:t>
      </w:r>
      <w:r w:rsidRPr="002F2FDF">
        <w:rPr>
          <w:color w:val="000000" w:themeColor="text1"/>
          <w:lang w:val="ru-RU"/>
        </w:rPr>
        <w:t xml:space="preserve"> могли выколачивать из национального банка не менее 300-350 млн рублей в месяц, правда, период контроля продолжался всего 10 дней. Еще до соглашения с Госбанком, когда стало ясно, что денежной наличности для обслуживания клиентов надолго не хватит, частные банки решили выйти из положения путем независимой от государства эмиссии. Из провинции поступали сведения о том, что там уже такие попытки предпринимаются. 17 (30) октября 1917 г. появились денежные суррогаты в Екатеринбурге, 10 (23) ноября в Воронеже, в это же время в Астрахани было введено чековое обращение. 22 декабря 1917 г. (4 января 1918 г.) выпущены кредитные билеты Украинской Народной республики в Киеве. Проекты введения местных бон вынашивались в Вятке, </w:t>
      </w:r>
      <w:r w:rsidRPr="002F2FDF">
        <w:rPr>
          <w:color w:val="000000" w:themeColor="text1"/>
          <w:lang w:val="ru-RU"/>
        </w:rPr>
        <w:lastRenderedPageBreak/>
        <w:t>Екатеринославле, Одессе, Тифлисе, Ростове-на-Дону. Первоначально совещание представителей правлений частных банков в Петрограде 27 ноября (10 декабря) 1917 г. высказалось против выпуска бон местными отделениями. Но денежный голод в провинции все более разрастался и местные банковские комитеты стали прибегать к выпуску в обращение различного рода денежных суррогатов. Иногда комитеты ограничивались тем, что выпускали из имеющихся у них запасов наиболее подходящие для указанной роли государственные бумаги: купоны истекших сроков, билеты (серии) государственного казначейства, облигации "Займа Свободы". Такая ситуация наблюдалась в Баку, Казани, Армавире, Ростове-на-Дону, Туле и других городах. В других случаях комитеты выпускали совершенно новые денежные суррогаты: особые чеки, боны и т.д. Таким образом, вопрос о создании дополнительного эмиссионного аппарата обострился и требовал разрешения в срочном порядке.83 (18085)</w:t>
      </w:r>
    </w:p>
    <w:p w14:paraId="4C7A7654" w14:textId="77777777" w:rsidR="001B016C" w:rsidRPr="002F2FDF" w:rsidRDefault="001B016C" w:rsidP="0083075A">
      <w:pPr>
        <w:pStyle w:val="a3"/>
        <w:rPr>
          <w:color w:val="000000" w:themeColor="text1"/>
          <w:lang w:val="ru-RU"/>
        </w:rPr>
      </w:pPr>
    </w:p>
    <w:p w14:paraId="111A436B" w14:textId="77777777" w:rsidR="00062843" w:rsidRPr="002F2FDF" w:rsidRDefault="000628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30 ноября (13 декабря)</w:t>
      </w:r>
      <w:r w:rsidRPr="002F2FDF">
        <w:rPr>
          <w:rFonts w:ascii="Times New Roman" w:hAnsi="Times New Roman" w:cs="Times New Roman"/>
          <w:color w:val="000000" w:themeColor="text1"/>
          <w:kern w:val="2"/>
          <w:sz w:val="16"/>
          <w:szCs w:val="16"/>
        </w:rPr>
        <w:t xml:space="preserve"> в 1917 году выборы в Учредительное собрание (эсеры получили 40%, большевики - 24%, кадеты - 5%, меньшевики -2,3 %) (14859).</w:t>
      </w:r>
    </w:p>
    <w:p w14:paraId="37991D9D" w14:textId="77777777" w:rsidR="00062843" w:rsidRPr="002F2FDF" w:rsidRDefault="00062843" w:rsidP="0083075A">
      <w:pPr>
        <w:spacing w:after="0" w:line="240" w:lineRule="auto"/>
        <w:jc w:val="both"/>
        <w:rPr>
          <w:rFonts w:ascii="Times New Roman" w:hAnsi="Times New Roman" w:cs="Times New Roman"/>
          <w:color w:val="000000" w:themeColor="text1"/>
          <w:kern w:val="2"/>
          <w:sz w:val="16"/>
          <w:szCs w:val="16"/>
        </w:rPr>
      </w:pPr>
    </w:p>
    <w:p w14:paraId="0811DD4A" w14:textId="77777777" w:rsidR="00062843" w:rsidRPr="002F2FDF" w:rsidRDefault="000628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30 ноября (13 декабря)</w:t>
      </w:r>
      <w:r w:rsidRPr="002F2FDF">
        <w:rPr>
          <w:rFonts w:ascii="Times New Roman" w:hAnsi="Times New Roman" w:cs="Times New Roman"/>
          <w:color w:val="000000" w:themeColor="text1"/>
          <w:kern w:val="2"/>
          <w:sz w:val="16"/>
          <w:szCs w:val="16"/>
        </w:rPr>
        <w:t xml:space="preserve"> в 1917 году по приказу атамана Петлюры все украинские воинские части за пределами Украины переподчиняются украинским военным советам и обязываются вернуться домой (14859).</w:t>
      </w:r>
    </w:p>
    <w:p w14:paraId="30631DC6" w14:textId="77777777" w:rsidR="00062843" w:rsidRPr="002F2FDF" w:rsidRDefault="00062843" w:rsidP="0083075A">
      <w:pPr>
        <w:spacing w:after="0" w:line="240" w:lineRule="auto"/>
        <w:jc w:val="both"/>
        <w:rPr>
          <w:rFonts w:ascii="Times New Roman" w:hAnsi="Times New Roman" w:cs="Times New Roman"/>
          <w:color w:val="000000" w:themeColor="text1"/>
          <w:kern w:val="2"/>
          <w:sz w:val="16"/>
          <w:szCs w:val="16"/>
        </w:rPr>
      </w:pPr>
    </w:p>
    <w:p w14:paraId="657A101E"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30 ноября (13 декабря) 1917. Московский ВРК телеграфировал в Петроград, в СНК, что, основываясь на принципе децентрализации власти, не будет считаться с декретом об упразднении судов, и что он предписал судам восстановить свою работу (18685).</w:t>
      </w:r>
    </w:p>
    <w:p w14:paraId="16C92AEA" w14:textId="0AD09541" w:rsidR="008B7CA9" w:rsidRPr="002F2FDF" w:rsidRDefault="008B7CA9" w:rsidP="0083075A">
      <w:pPr>
        <w:spacing w:after="0" w:line="240" w:lineRule="auto"/>
        <w:jc w:val="both"/>
        <w:rPr>
          <w:rFonts w:ascii="Times New Roman" w:hAnsi="Times New Roman" w:cs="Times New Roman"/>
          <w:color w:val="000000" w:themeColor="text1"/>
          <w:sz w:val="16"/>
          <w:szCs w:val="16"/>
        </w:rPr>
      </w:pPr>
    </w:p>
    <w:p w14:paraId="7EFA844C" w14:textId="407E5C81" w:rsidR="004568DF" w:rsidRPr="002F2FDF" w:rsidRDefault="004568DF" w:rsidP="0083075A">
      <w:pPr>
        <w:spacing w:after="0" w:line="240" w:lineRule="auto"/>
        <w:jc w:val="both"/>
        <w:rPr>
          <w:rFonts w:ascii="Times New Roman" w:hAnsi="Times New Roman" w:cs="Times New Roman"/>
          <w:i/>
          <w:iCs/>
          <w:color w:val="000000" w:themeColor="text1"/>
          <w:sz w:val="16"/>
          <w:szCs w:val="16"/>
        </w:rPr>
      </w:pPr>
      <w:r w:rsidRPr="002F2FDF">
        <w:rPr>
          <w:rFonts w:ascii="Times New Roman" w:hAnsi="Times New Roman" w:cs="Times New Roman"/>
          <w:i/>
          <w:iCs/>
          <w:color w:val="000000" w:themeColor="text1"/>
          <w:sz w:val="16"/>
          <w:szCs w:val="16"/>
        </w:rPr>
        <w:t>За рубежом:</w:t>
      </w:r>
    </w:p>
    <w:p w14:paraId="35F92034" w14:textId="77777777" w:rsidR="004568DF" w:rsidRPr="002F2FDF" w:rsidRDefault="004568DF" w:rsidP="0083075A">
      <w:pPr>
        <w:spacing w:after="0" w:line="240" w:lineRule="auto"/>
        <w:jc w:val="both"/>
        <w:rPr>
          <w:rFonts w:ascii="Times New Roman" w:hAnsi="Times New Roman" w:cs="Times New Roman"/>
          <w:i/>
          <w:iCs/>
          <w:color w:val="000000" w:themeColor="text1"/>
          <w:sz w:val="16"/>
          <w:szCs w:val="16"/>
        </w:rPr>
      </w:pPr>
    </w:p>
    <w:p w14:paraId="77267488" w14:textId="77777777" w:rsidR="004568DF" w:rsidRPr="002F2FDF" w:rsidRDefault="004568D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30 ноября (13-го декабря) 1917 г. военное ведомство США заказывает Кристи самоходную артиллерийскую установку, вооруженную 8-дюймовой гаубицей Mk VI. Орудие Виккерса в нескольких модификациях (Mk VI, Mk VII, Mk VIII ½ — для установки на самоходе выбрали самое маленькое и легкое Mk VI) выпускалось в США (американская армия использовала и некоторое количество гаубиц английского производства).</w:t>
      </w:r>
    </w:p>
    <w:p w14:paraId="19516EFC" w14:textId="77777777" w:rsidR="004568DF" w:rsidRPr="002F2FDF" w:rsidRDefault="004568D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Построенная в одном экземпляре фирмой Кристи «The Front Drive Motor Co.» 8-дюймовая самоходка в 1918 г. была передана американской армии и испытана на Абердинском полигоне. Испытания выявили недостаточную механическую прочность машины и малую надежность узлов и агрегатов. Несмотря на это, военное ведомство в связи с острой потребностью заказало на 1919 год постройку трехсот пятидесяти таких машин с различным вооружением — 250 ед. с 240-мм гаубицей, 50 ед. с 8-дюймовой гаубицей и 50 ед. со 155-мм пушкой. Неожиданно скорое завершение войны в ноябре 1918 года поставило крест на этой серии самоходов (заказ был отменен) — как, впрочем, и на еще более грандиозной программе американского танкостроения (23017).</w:t>
      </w:r>
    </w:p>
    <w:p w14:paraId="641B6A79" w14:textId="77777777" w:rsidR="004568DF" w:rsidRPr="002F2FDF" w:rsidRDefault="004568DF" w:rsidP="0083075A">
      <w:pPr>
        <w:spacing w:after="0" w:line="240" w:lineRule="auto"/>
        <w:jc w:val="both"/>
        <w:rPr>
          <w:rFonts w:ascii="Times New Roman" w:hAnsi="Times New Roman" w:cs="Times New Roman"/>
          <w:color w:val="000000" w:themeColor="text1"/>
          <w:sz w:val="16"/>
          <w:szCs w:val="16"/>
        </w:rPr>
      </w:pPr>
    </w:p>
    <w:p w14:paraId="3E80089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0D611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5AC5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конца ноября 1917 года в Харькове работала велосипедная фабрика работала. Фабрика осталась единственным производителем в России, так как московский “Дукс” прекратил производство в связи с загруженностью военным заказом на самолеты. Всего же на предприятии с февраля по ноябрь 1917 года было изготовлено около 3.600 велосипедов “Дукс боевой” (11257).</w:t>
      </w:r>
    </w:p>
    <w:p w14:paraId="184B01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E722A2" w14:textId="6CF81DC7" w:rsidR="00C248DB" w:rsidRDefault="00C248D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4FB535ED" w14:textId="77777777" w:rsidR="00C248DB" w:rsidRDefault="00C248D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5E2ABE5" w14:textId="77777777" w:rsidR="00C248DB" w:rsidRPr="00FB4F67" w:rsidRDefault="00C248D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концу ноября 1917 г. лишь около трети уцелевшей авиации и воздухоплавательной техники было захвачено красными на Северном и Западном фронтах. Почти вся имевшаяся на Юго-Западном, Румынском и Кавказском фронтах авиационная и воздухоплавательная техника не попала в руки красных (23525).</w:t>
      </w:r>
    </w:p>
    <w:p w14:paraId="13E9787D" w14:textId="77777777" w:rsidR="00C248DB" w:rsidRPr="00FB4F67" w:rsidRDefault="00C248DB" w:rsidP="0083075A">
      <w:pPr>
        <w:spacing w:after="0" w:line="240" w:lineRule="auto"/>
        <w:jc w:val="both"/>
        <w:rPr>
          <w:rFonts w:ascii="Times New Roman" w:hAnsi="Times New Roman" w:cs="Times New Roman"/>
          <w:color w:val="0070C0"/>
          <w:sz w:val="16"/>
          <w:szCs w:val="16"/>
        </w:rPr>
      </w:pPr>
    </w:p>
    <w:p w14:paraId="7EC01678" w14:textId="77777777" w:rsidR="00C248DB" w:rsidRPr="00FB4F67" w:rsidRDefault="00C248D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конце ноября 1917 бельгийской броневой дивизии в России было приказано воссоединиться с бельгийской армией. Они ушли с Юго-Западного фронта в Москву 20 февраля 1918 г. и прибыли туда 25 февраля. Они эвакуировались по железной дороге через Вятку во Владивосток на Дальнем Востоке, следуя по Транссибирской магистрали. Они вышли из Владивостока на корабле 24 мая 1918 года во Францию (23525).</w:t>
      </w:r>
    </w:p>
    <w:p w14:paraId="2A2AE93D" w14:textId="77777777" w:rsidR="00C248DB" w:rsidRPr="00FB4F67" w:rsidRDefault="00C248DB" w:rsidP="0083075A">
      <w:pPr>
        <w:spacing w:after="0" w:line="240" w:lineRule="auto"/>
        <w:jc w:val="both"/>
        <w:rPr>
          <w:rFonts w:ascii="Times New Roman" w:hAnsi="Times New Roman" w:cs="Times New Roman"/>
          <w:color w:val="0070C0"/>
          <w:sz w:val="16"/>
          <w:szCs w:val="16"/>
        </w:rPr>
      </w:pPr>
    </w:p>
    <w:p w14:paraId="4B429583" w14:textId="77777777" w:rsidR="00C248DB" w:rsidRPr="00FB4F67" w:rsidRDefault="00C248D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конце ноября – начале декабря 1917 г. по инициативе авиаторов бывшего Императорского ВФ России, перешедших на сторону Советской власти, начал формироваться боевой состав РКК ВФ. Для руководства им в Петрограде было сформировано Главное управление воздушного флота – Главвоздухофлот, или Главвоздух. В него вошли кадры старого Управления воздушного флота, в которое направили комиссаров для контроля за его работой.</w:t>
      </w:r>
    </w:p>
    <w:p w14:paraId="546E9FF3" w14:textId="77777777" w:rsidR="00C248DB" w:rsidRPr="00FB4F67" w:rsidRDefault="00C248DB"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Эти меры были предприняты правильно и своевременно, что позволило сформировать ядро РКК ВВФ к началу гражданской войны и интервенции. Но пока четкая структура, классификация и порядок подчиненности его частей и соединений отсутствовали. Например авиаотряды (АО) могли состоять из эскадрилий или представлять собой отдельную авиационную часть с небольшим числом самолетов, вплоть до одной – двух машин, а другие эскадрильи сами состояли из отрядов. Это было следствием отсутствия единой системы штатов в Рабоче-Крестьянской Красной Армии вообще. Но лучше так, чем никак (23555).</w:t>
      </w:r>
    </w:p>
    <w:p w14:paraId="32FB138E" w14:textId="77777777" w:rsidR="00C248DB" w:rsidRPr="00FB4F67" w:rsidRDefault="00C248DB" w:rsidP="0083075A">
      <w:pPr>
        <w:spacing w:after="0" w:line="240" w:lineRule="auto"/>
        <w:jc w:val="both"/>
        <w:rPr>
          <w:rFonts w:ascii="Times New Roman" w:hAnsi="Times New Roman" w:cs="Times New Roman"/>
          <w:color w:val="0070C0"/>
          <w:sz w:val="16"/>
          <w:szCs w:val="16"/>
        </w:rPr>
      </w:pPr>
    </w:p>
    <w:p w14:paraId="108D0C44" w14:textId="0A28864F"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E1C57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496E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ноября 1917 началась национализация крупной капиталистической промышленности и в основном завершили к весне 1918 (226,240).</w:t>
      </w:r>
    </w:p>
    <w:p w14:paraId="4C27E3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4C9AC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2D97C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8B63DE"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 1917 был Доклад начальника Управления военно-воздушного флота ген. Д. В. Яковлева военному министру по вопросу авиационного снабжения армии.</w:t>
      </w:r>
    </w:p>
    <w:p w14:paraId="1A831C29" w14:textId="6C5BD1EF"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Источник: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191-194</w:t>
      </w:r>
    </w:p>
    <w:p w14:paraId="32DC0293" w14:textId="07AF7ECF"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Архив: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ЦГВИА, ф. 493, оп. 4, д. 603, лл. 9—10 об. Копия.</w:t>
      </w:r>
    </w:p>
    <w:p w14:paraId="3D5B854A" w14:textId="77777777" w:rsidR="00A86BBC" w:rsidRPr="002F2FDF" w:rsidRDefault="00A86BBC" w:rsidP="0083075A">
      <w:pPr>
        <w:pStyle w:val="rteright"/>
        <w:spacing w:before="0" w:beforeAutospacing="0" w:after="0" w:afterAutospacing="0"/>
        <w:jc w:val="both"/>
        <w:rPr>
          <w:color w:val="000000" w:themeColor="text1"/>
          <w:kern w:val="2"/>
          <w:sz w:val="16"/>
          <w:szCs w:val="16"/>
        </w:rPr>
      </w:pPr>
      <w:r w:rsidRPr="002F2FDF">
        <w:rPr>
          <w:rStyle w:val="af0"/>
          <w:i w:val="0"/>
          <w:color w:val="000000" w:themeColor="text1"/>
          <w:kern w:val="2"/>
          <w:sz w:val="16"/>
          <w:szCs w:val="16"/>
        </w:rPr>
        <w:t>Ноябрь 1917 г.</w:t>
      </w:r>
      <w:bookmarkStart w:id="400" w:name="_ftnref1"/>
      <w:r w:rsidR="004A1FB3" w:rsidRPr="002F2FDF">
        <w:rPr>
          <w:rStyle w:val="af0"/>
          <w:i w:val="0"/>
          <w:color w:val="000000" w:themeColor="text1"/>
          <w:kern w:val="2"/>
          <w:sz w:val="16"/>
          <w:szCs w:val="16"/>
          <w:vertAlign w:val="superscript"/>
        </w:rPr>
        <w:fldChar w:fldCharType="begin"/>
      </w:r>
      <w:r w:rsidRPr="002F2FDF">
        <w:rPr>
          <w:rStyle w:val="af0"/>
          <w:i w:val="0"/>
          <w:color w:val="000000" w:themeColor="text1"/>
          <w:kern w:val="2"/>
          <w:sz w:val="16"/>
          <w:szCs w:val="16"/>
          <w:vertAlign w:val="superscript"/>
        </w:rPr>
        <w:instrText xml:space="preserve"> HYPERLINK "http://istmat.info/node/41408" \l "_ftn1" \o "" </w:instrText>
      </w:r>
      <w:r w:rsidR="004A1FB3" w:rsidRPr="002F2FDF">
        <w:rPr>
          <w:rStyle w:val="af0"/>
          <w:i w:val="0"/>
          <w:color w:val="000000" w:themeColor="text1"/>
          <w:kern w:val="2"/>
          <w:sz w:val="16"/>
          <w:szCs w:val="16"/>
          <w:vertAlign w:val="superscript"/>
        </w:rPr>
      </w:r>
      <w:r w:rsidR="004A1FB3" w:rsidRPr="002F2FDF">
        <w:rPr>
          <w:rStyle w:val="af0"/>
          <w:i w:val="0"/>
          <w:color w:val="000000" w:themeColor="text1"/>
          <w:kern w:val="2"/>
          <w:sz w:val="16"/>
          <w:szCs w:val="16"/>
          <w:vertAlign w:val="superscript"/>
        </w:rPr>
        <w:fldChar w:fldCharType="separate"/>
      </w:r>
      <w:r w:rsidRPr="002F2FDF">
        <w:rPr>
          <w:rStyle w:val="a7"/>
          <w:rFonts w:eastAsiaTheme="majorEastAsia"/>
          <w:b w:val="0"/>
          <w:iCs/>
          <w:color w:val="000000" w:themeColor="text1"/>
          <w:kern w:val="2"/>
          <w:sz w:val="16"/>
          <w:szCs w:val="16"/>
          <w:vertAlign w:val="superscript"/>
        </w:rPr>
        <w:t>[1]</w:t>
      </w:r>
      <w:r w:rsidR="004A1FB3" w:rsidRPr="002F2FDF">
        <w:rPr>
          <w:rStyle w:val="af0"/>
          <w:i w:val="0"/>
          <w:color w:val="000000" w:themeColor="text1"/>
          <w:kern w:val="2"/>
          <w:sz w:val="16"/>
          <w:szCs w:val="16"/>
          <w:vertAlign w:val="superscript"/>
        </w:rPr>
        <w:fldChar w:fldCharType="end"/>
      </w:r>
      <w:bookmarkEnd w:id="400"/>
    </w:p>
    <w:p w14:paraId="7B153116" w14:textId="77777777" w:rsidR="00A86BBC" w:rsidRPr="002F2FDF" w:rsidRDefault="00A86BBC" w:rsidP="0083075A">
      <w:pPr>
        <w:pStyle w:val="rtejustify"/>
        <w:spacing w:before="0" w:after="0"/>
        <w:rPr>
          <w:color w:val="000000" w:themeColor="text1"/>
          <w:kern w:val="2"/>
          <w:sz w:val="16"/>
          <w:szCs w:val="16"/>
        </w:rPr>
      </w:pPr>
      <w:r w:rsidRPr="002F2FDF">
        <w:rPr>
          <w:color w:val="000000" w:themeColor="text1"/>
          <w:kern w:val="2"/>
          <w:sz w:val="16"/>
          <w:szCs w:val="16"/>
        </w:rPr>
        <w:t>В дополнение к докладам моим от 23 мая с. г. за № 9022</w:t>
      </w:r>
      <w:bookmarkStart w:id="401" w:name="_ftnref2"/>
      <w:r w:rsidR="004A1FB3" w:rsidRPr="002F2FDF">
        <w:rPr>
          <w:color w:val="000000" w:themeColor="text1"/>
          <w:kern w:val="2"/>
          <w:sz w:val="16"/>
          <w:szCs w:val="16"/>
          <w:vertAlign w:val="superscript"/>
        </w:rPr>
        <w:fldChar w:fldCharType="begin"/>
      </w:r>
      <w:r w:rsidRPr="002F2FDF">
        <w:rPr>
          <w:color w:val="000000" w:themeColor="text1"/>
          <w:kern w:val="2"/>
          <w:sz w:val="16"/>
          <w:szCs w:val="16"/>
          <w:vertAlign w:val="superscript"/>
        </w:rPr>
        <w:instrText xml:space="preserve"> HYPERLINK "http://istmat.info/node/41408" \l "_ftn2" \o "" </w:instrText>
      </w:r>
      <w:r w:rsidR="004A1FB3" w:rsidRPr="002F2FDF">
        <w:rPr>
          <w:color w:val="000000" w:themeColor="text1"/>
          <w:kern w:val="2"/>
          <w:sz w:val="16"/>
          <w:szCs w:val="16"/>
          <w:vertAlign w:val="superscript"/>
        </w:rPr>
      </w:r>
      <w:r w:rsidR="004A1FB3" w:rsidRPr="002F2FDF">
        <w:rPr>
          <w:color w:val="000000" w:themeColor="text1"/>
          <w:kern w:val="2"/>
          <w:sz w:val="16"/>
          <w:szCs w:val="16"/>
          <w:vertAlign w:val="superscript"/>
        </w:rPr>
        <w:fldChar w:fldCharType="separate"/>
      </w:r>
      <w:r w:rsidRPr="002F2FDF">
        <w:rPr>
          <w:rStyle w:val="a5"/>
          <w:color w:val="000000" w:themeColor="text1"/>
          <w:kern w:val="2"/>
          <w:sz w:val="16"/>
          <w:szCs w:val="16"/>
          <w:vertAlign w:val="superscript"/>
        </w:rPr>
        <w:t>[2]</w:t>
      </w:r>
      <w:r w:rsidR="004A1FB3" w:rsidRPr="002F2FDF">
        <w:rPr>
          <w:color w:val="000000" w:themeColor="text1"/>
          <w:kern w:val="2"/>
          <w:sz w:val="16"/>
          <w:szCs w:val="16"/>
          <w:vertAlign w:val="superscript"/>
        </w:rPr>
        <w:fldChar w:fldCharType="end"/>
      </w:r>
      <w:bookmarkEnd w:id="401"/>
      <w:r w:rsidRPr="002F2FDF">
        <w:rPr>
          <w:color w:val="000000" w:themeColor="text1"/>
          <w:kern w:val="2"/>
          <w:sz w:val="16"/>
          <w:szCs w:val="16"/>
        </w:rPr>
        <w:t>и от 25 мая за № 9040</w:t>
      </w:r>
      <w:bookmarkStart w:id="402" w:name="_ftnref3"/>
      <w:r w:rsidR="004A1FB3" w:rsidRPr="002F2FDF">
        <w:rPr>
          <w:color w:val="000000" w:themeColor="text1"/>
          <w:kern w:val="2"/>
          <w:sz w:val="16"/>
          <w:szCs w:val="16"/>
          <w:vertAlign w:val="superscript"/>
        </w:rPr>
        <w:fldChar w:fldCharType="begin"/>
      </w:r>
      <w:r w:rsidRPr="002F2FDF">
        <w:rPr>
          <w:color w:val="000000" w:themeColor="text1"/>
          <w:kern w:val="2"/>
          <w:sz w:val="16"/>
          <w:szCs w:val="16"/>
          <w:vertAlign w:val="superscript"/>
        </w:rPr>
        <w:instrText xml:space="preserve"> HYPERLINK "http://istmat.info/node/41408" \l "_ftn3" \o "" </w:instrText>
      </w:r>
      <w:r w:rsidR="004A1FB3" w:rsidRPr="002F2FDF">
        <w:rPr>
          <w:color w:val="000000" w:themeColor="text1"/>
          <w:kern w:val="2"/>
          <w:sz w:val="16"/>
          <w:szCs w:val="16"/>
          <w:vertAlign w:val="superscript"/>
        </w:rPr>
      </w:r>
      <w:r w:rsidR="004A1FB3" w:rsidRPr="002F2FDF">
        <w:rPr>
          <w:color w:val="000000" w:themeColor="text1"/>
          <w:kern w:val="2"/>
          <w:sz w:val="16"/>
          <w:szCs w:val="16"/>
          <w:vertAlign w:val="superscript"/>
        </w:rPr>
        <w:fldChar w:fldCharType="separate"/>
      </w:r>
      <w:r w:rsidRPr="002F2FDF">
        <w:rPr>
          <w:rStyle w:val="a5"/>
          <w:color w:val="000000" w:themeColor="text1"/>
          <w:kern w:val="2"/>
          <w:sz w:val="16"/>
          <w:szCs w:val="16"/>
          <w:vertAlign w:val="superscript"/>
        </w:rPr>
        <w:t>[3]</w:t>
      </w:r>
      <w:r w:rsidR="004A1FB3" w:rsidRPr="002F2FDF">
        <w:rPr>
          <w:color w:val="000000" w:themeColor="text1"/>
          <w:kern w:val="2"/>
          <w:sz w:val="16"/>
          <w:szCs w:val="16"/>
          <w:vertAlign w:val="superscript"/>
        </w:rPr>
        <w:fldChar w:fldCharType="end"/>
      </w:r>
      <w:bookmarkEnd w:id="402"/>
      <w:r w:rsidRPr="002F2FDF">
        <w:rPr>
          <w:color w:val="000000" w:themeColor="text1"/>
          <w:kern w:val="2"/>
          <w:sz w:val="16"/>
          <w:szCs w:val="16"/>
        </w:rPr>
        <w:t xml:space="preserve"> и представленного Вам в октябре месяце проекта доклада</w:t>
      </w:r>
      <w:r w:rsidRPr="002F2FDF">
        <w:rPr>
          <w:rStyle w:val="a7"/>
          <w:rFonts w:eastAsiaTheme="majorEastAsia"/>
          <w:b w:val="0"/>
          <w:color w:val="000000" w:themeColor="text1"/>
          <w:kern w:val="2"/>
          <w:sz w:val="16"/>
          <w:szCs w:val="16"/>
        </w:rPr>
        <w:t>,</w:t>
      </w:r>
      <w:bookmarkStart w:id="403" w:name="_ftnref4"/>
      <w:r w:rsidR="004A1FB3" w:rsidRPr="002F2FDF">
        <w:rPr>
          <w:rStyle w:val="a7"/>
          <w:rFonts w:eastAsiaTheme="majorEastAsia"/>
          <w:b w:val="0"/>
          <w:color w:val="000000" w:themeColor="text1"/>
          <w:kern w:val="2"/>
          <w:sz w:val="16"/>
          <w:szCs w:val="16"/>
          <w:vertAlign w:val="superscript"/>
        </w:rPr>
        <w:fldChar w:fldCharType="begin"/>
      </w:r>
      <w:r w:rsidRPr="002F2FDF">
        <w:rPr>
          <w:rStyle w:val="a7"/>
          <w:rFonts w:eastAsiaTheme="majorEastAsia"/>
          <w:b w:val="0"/>
          <w:color w:val="000000" w:themeColor="text1"/>
          <w:kern w:val="2"/>
          <w:sz w:val="16"/>
          <w:szCs w:val="16"/>
          <w:vertAlign w:val="superscript"/>
        </w:rPr>
        <w:instrText xml:space="preserve"> HYPERLINK "http://istmat.info/node/41408" \l "_ftn4" \o "" </w:instrText>
      </w:r>
      <w:r w:rsidR="004A1FB3" w:rsidRPr="002F2FDF">
        <w:rPr>
          <w:rStyle w:val="a7"/>
          <w:rFonts w:eastAsiaTheme="majorEastAsia"/>
          <w:b w:val="0"/>
          <w:color w:val="000000" w:themeColor="text1"/>
          <w:kern w:val="2"/>
          <w:sz w:val="16"/>
          <w:szCs w:val="16"/>
          <w:vertAlign w:val="superscript"/>
        </w:rPr>
      </w:r>
      <w:r w:rsidR="004A1FB3" w:rsidRPr="002F2FDF">
        <w:rPr>
          <w:rStyle w:val="a7"/>
          <w:rFonts w:eastAsiaTheme="majorEastAsia"/>
          <w:b w:val="0"/>
          <w:color w:val="000000" w:themeColor="text1"/>
          <w:kern w:val="2"/>
          <w:sz w:val="16"/>
          <w:szCs w:val="16"/>
          <w:vertAlign w:val="superscript"/>
        </w:rPr>
        <w:fldChar w:fldCharType="separate"/>
      </w:r>
      <w:r w:rsidRPr="002F2FDF">
        <w:rPr>
          <w:rStyle w:val="a7"/>
          <w:rFonts w:eastAsiaTheme="majorEastAsia"/>
          <w:b w:val="0"/>
          <w:color w:val="000000" w:themeColor="text1"/>
          <w:kern w:val="2"/>
          <w:sz w:val="16"/>
          <w:szCs w:val="16"/>
          <w:vertAlign w:val="superscript"/>
        </w:rPr>
        <w:t>[4]</w:t>
      </w:r>
      <w:r w:rsidR="004A1FB3" w:rsidRPr="002F2FDF">
        <w:rPr>
          <w:rStyle w:val="a7"/>
          <w:rFonts w:eastAsiaTheme="majorEastAsia"/>
          <w:b w:val="0"/>
          <w:color w:val="000000" w:themeColor="text1"/>
          <w:kern w:val="2"/>
          <w:sz w:val="16"/>
          <w:szCs w:val="16"/>
          <w:vertAlign w:val="superscript"/>
        </w:rPr>
        <w:fldChar w:fldCharType="end"/>
      </w:r>
      <w:bookmarkEnd w:id="403"/>
      <w:r w:rsidRPr="002F2FDF">
        <w:rPr>
          <w:color w:val="000000" w:themeColor="text1"/>
          <w:kern w:val="2"/>
          <w:sz w:val="16"/>
          <w:szCs w:val="16"/>
        </w:rPr>
        <w:t>при сем прилагаемого,</w:t>
      </w:r>
      <w:bookmarkStart w:id="404" w:name="_ftnref5"/>
      <w:r w:rsidR="004A1FB3" w:rsidRPr="002F2FDF">
        <w:rPr>
          <w:color w:val="000000" w:themeColor="text1"/>
          <w:kern w:val="2"/>
          <w:sz w:val="16"/>
          <w:szCs w:val="16"/>
          <w:vertAlign w:val="superscript"/>
        </w:rPr>
        <w:fldChar w:fldCharType="begin"/>
      </w:r>
      <w:r w:rsidRPr="002F2FDF">
        <w:rPr>
          <w:color w:val="000000" w:themeColor="text1"/>
          <w:kern w:val="2"/>
          <w:sz w:val="16"/>
          <w:szCs w:val="16"/>
          <w:vertAlign w:val="superscript"/>
        </w:rPr>
        <w:instrText xml:space="preserve"> HYPERLINK "http://istmat.info/node/41408" \l "_ftn5" \o "" </w:instrText>
      </w:r>
      <w:r w:rsidR="004A1FB3" w:rsidRPr="002F2FDF">
        <w:rPr>
          <w:color w:val="000000" w:themeColor="text1"/>
          <w:kern w:val="2"/>
          <w:sz w:val="16"/>
          <w:szCs w:val="16"/>
          <w:vertAlign w:val="superscript"/>
        </w:rPr>
      </w:r>
      <w:r w:rsidR="004A1FB3" w:rsidRPr="002F2FDF">
        <w:rPr>
          <w:color w:val="000000" w:themeColor="text1"/>
          <w:kern w:val="2"/>
          <w:sz w:val="16"/>
          <w:szCs w:val="16"/>
          <w:vertAlign w:val="superscript"/>
        </w:rPr>
        <w:fldChar w:fldCharType="separate"/>
      </w:r>
      <w:r w:rsidRPr="002F2FDF">
        <w:rPr>
          <w:rStyle w:val="a5"/>
          <w:color w:val="000000" w:themeColor="text1"/>
          <w:kern w:val="2"/>
          <w:sz w:val="16"/>
          <w:szCs w:val="16"/>
          <w:vertAlign w:val="superscript"/>
        </w:rPr>
        <w:t>[5]</w:t>
      </w:r>
      <w:r w:rsidR="004A1FB3" w:rsidRPr="002F2FDF">
        <w:rPr>
          <w:color w:val="000000" w:themeColor="text1"/>
          <w:kern w:val="2"/>
          <w:sz w:val="16"/>
          <w:szCs w:val="16"/>
          <w:vertAlign w:val="superscript"/>
        </w:rPr>
        <w:fldChar w:fldCharType="end"/>
      </w:r>
      <w:bookmarkEnd w:id="404"/>
      <w:r w:rsidRPr="002F2FDF">
        <w:rPr>
          <w:color w:val="000000" w:themeColor="text1"/>
          <w:kern w:val="2"/>
          <w:sz w:val="16"/>
          <w:szCs w:val="16"/>
        </w:rPr>
        <w:t xml:space="preserve"> обязуюсь вновь доложить нижеследующие соображения по вопросу авиационного снабжения.</w:t>
      </w:r>
    </w:p>
    <w:p w14:paraId="77090496" w14:textId="77777777" w:rsidR="00A86BBC" w:rsidRPr="002F2FDF" w:rsidRDefault="00A86BBC" w:rsidP="0083075A">
      <w:pPr>
        <w:pStyle w:val="rtejustify"/>
        <w:spacing w:before="0" w:after="0"/>
        <w:rPr>
          <w:color w:val="000000" w:themeColor="text1"/>
          <w:kern w:val="2"/>
          <w:sz w:val="16"/>
          <w:szCs w:val="16"/>
        </w:rPr>
      </w:pPr>
      <w:r w:rsidRPr="002F2FDF">
        <w:rPr>
          <w:color w:val="000000" w:themeColor="text1"/>
          <w:kern w:val="2"/>
          <w:sz w:val="16"/>
          <w:szCs w:val="16"/>
        </w:rPr>
        <w:t>Из последнего доклада Вы изволите усмотреть, что затруднения в обслуживании армии авиационными средствами, как они сложились к концу предшествующего месяца, сводились главным образом к неполучению из-за границы в обусловленные програмными соображениями сроки авиационных моторов и к невозможности в силу этого осуществления хотя бы минимальной программы русского аэропланного строительства.</w:t>
      </w:r>
    </w:p>
    <w:p w14:paraId="3001E867" w14:textId="77777777" w:rsidR="00A86BBC" w:rsidRPr="002F2FDF" w:rsidRDefault="00A86BBC" w:rsidP="0083075A">
      <w:pPr>
        <w:pStyle w:val="rtejustify"/>
        <w:spacing w:before="0" w:after="0"/>
        <w:rPr>
          <w:color w:val="000000" w:themeColor="text1"/>
          <w:kern w:val="2"/>
          <w:sz w:val="16"/>
          <w:szCs w:val="16"/>
        </w:rPr>
      </w:pPr>
      <w:r w:rsidRPr="002F2FDF">
        <w:rPr>
          <w:color w:val="000000" w:themeColor="text1"/>
          <w:kern w:val="2"/>
          <w:sz w:val="16"/>
          <w:szCs w:val="16"/>
        </w:rPr>
        <w:t>Усматривая причину создавшихся затруднений в общеполитической обстановке и не располагая в пределах предоставленных мне полномочий возможностью сколько-нибудь изменить то катастрофическое положение, в которое ставилось этим авиационное снабжение, я счел своим долгом довести до Вашего сведения и до сведения Особого совещания по обороне государства о грозящем фронту оскудении авиационными средствами и о возлагаемой на казну тяжести оплаты многомиллионных расходов по постройке аэропланов, употребление коих в действие являлось маловероятным ввиду опозданий в получении из-за границы моторов.</w:t>
      </w:r>
    </w:p>
    <w:p w14:paraId="543D7F46" w14:textId="77777777" w:rsidR="00A86BBC" w:rsidRPr="002F2FDF" w:rsidRDefault="00A86BBC" w:rsidP="0083075A">
      <w:pPr>
        <w:pStyle w:val="rtejustify"/>
        <w:spacing w:before="0" w:after="0"/>
        <w:rPr>
          <w:color w:val="000000" w:themeColor="text1"/>
          <w:kern w:val="2"/>
          <w:sz w:val="16"/>
          <w:szCs w:val="16"/>
        </w:rPr>
      </w:pPr>
      <w:r w:rsidRPr="002F2FDF">
        <w:rPr>
          <w:color w:val="000000" w:themeColor="text1"/>
          <w:kern w:val="2"/>
          <w:sz w:val="16"/>
          <w:szCs w:val="16"/>
        </w:rPr>
        <w:t>Особое совещание, обсудив представленные мною данные, наметило к устранению создавшихся затруднений ряд мер, кои могли хотя бы частично исправить создавшееся положение. Главнейшие из них сводились к объединению в России и за границей всех заказов как сухопутной, так и морской авиации, к командированию во Францию, Англию и на союзную конференцию авторитетного представителя России в целях содействия присылке моторов и аэропланов и к скорейшему проведению в жизнь обмена с союзниками предметов авиации на сырье, которое мы могли бы им дать.</w:t>
      </w:r>
    </w:p>
    <w:p w14:paraId="564881B0" w14:textId="77777777" w:rsidR="00A86BBC" w:rsidRPr="002F2FDF" w:rsidRDefault="00A86BBC" w:rsidP="0083075A">
      <w:pPr>
        <w:pStyle w:val="rtejustify"/>
        <w:spacing w:before="0" w:after="0"/>
        <w:rPr>
          <w:color w:val="000000" w:themeColor="text1"/>
          <w:kern w:val="2"/>
          <w:sz w:val="16"/>
          <w:szCs w:val="16"/>
        </w:rPr>
      </w:pPr>
      <w:r w:rsidRPr="002F2FDF">
        <w:rPr>
          <w:color w:val="000000" w:themeColor="text1"/>
          <w:kern w:val="2"/>
          <w:sz w:val="16"/>
          <w:szCs w:val="16"/>
        </w:rPr>
        <w:t>События последующего периода не дают оснований рассчитывать на проведение в ближайшее время намеченных мер. Приостановка же прибытия из-за границы авиационных моторов ставит вопрос о дальнейшем снабжении армии авиационными средствами в тесную зависимость лишь от наличия уже имеющихся в распоряжении Управления военного воздушного флота моторов.</w:t>
      </w:r>
    </w:p>
    <w:p w14:paraId="36A40DF0" w14:textId="77777777" w:rsidR="00A86BBC" w:rsidRPr="002F2FDF" w:rsidRDefault="00A86BBC" w:rsidP="0083075A">
      <w:pPr>
        <w:pStyle w:val="rtejustify"/>
        <w:spacing w:before="0" w:after="0"/>
        <w:rPr>
          <w:color w:val="000000" w:themeColor="text1"/>
          <w:kern w:val="2"/>
          <w:sz w:val="16"/>
          <w:szCs w:val="16"/>
        </w:rPr>
      </w:pPr>
      <w:r w:rsidRPr="002F2FDF">
        <w:rPr>
          <w:color w:val="000000" w:themeColor="text1"/>
          <w:kern w:val="2"/>
          <w:sz w:val="16"/>
          <w:szCs w:val="16"/>
        </w:rPr>
        <w:t>Состояние запаса моторов представляется в настоящее время в следующем виде:</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07"/>
        <w:gridCol w:w="635"/>
        <w:gridCol w:w="2041"/>
        <w:gridCol w:w="1164"/>
        <w:gridCol w:w="1457"/>
        <w:gridCol w:w="1297"/>
        <w:gridCol w:w="453"/>
        <w:gridCol w:w="3068"/>
      </w:tblGrid>
      <w:tr w:rsidR="002B1C74" w:rsidRPr="002F2FDF" w14:paraId="320CE18F"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EB7713A"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Тип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F8B0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На складе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52D90"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На заводах для установления на 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1B2C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На моторных заводах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4180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На заграничных самолетах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A333C"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В пути в пределах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C603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3C22C"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Из них может быть использовано для установки на русские самолеты</w:t>
            </w:r>
          </w:p>
        </w:tc>
      </w:tr>
      <w:tr w:rsidR="002B1C74" w:rsidRPr="002F2FDF" w14:paraId="152355BA"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36010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Кантон-Юнне 160с.</w:t>
            </w:r>
            <w:bookmarkStart w:id="405" w:name="_ftnref6"/>
            <w:r w:rsidR="004A1FB3" w:rsidRPr="002F2FDF">
              <w:rPr>
                <w:color w:val="000000" w:themeColor="text1"/>
                <w:kern w:val="2"/>
                <w:sz w:val="16"/>
                <w:szCs w:val="16"/>
                <w:vertAlign w:val="superscript"/>
              </w:rPr>
              <w:fldChar w:fldCharType="begin"/>
            </w:r>
            <w:r w:rsidRPr="002F2FDF">
              <w:rPr>
                <w:color w:val="000000" w:themeColor="text1"/>
                <w:kern w:val="2"/>
                <w:sz w:val="16"/>
                <w:szCs w:val="16"/>
                <w:vertAlign w:val="superscript"/>
              </w:rPr>
              <w:instrText xml:space="preserve"> HYPERLINK "http://istmat.info/node/41408" \l "_ftn6" \o "" </w:instrText>
            </w:r>
            <w:r w:rsidR="004A1FB3" w:rsidRPr="002F2FDF">
              <w:rPr>
                <w:color w:val="000000" w:themeColor="text1"/>
                <w:kern w:val="2"/>
                <w:sz w:val="16"/>
                <w:szCs w:val="16"/>
                <w:vertAlign w:val="superscript"/>
              </w:rPr>
            </w:r>
            <w:r w:rsidR="004A1FB3" w:rsidRPr="002F2FDF">
              <w:rPr>
                <w:color w:val="000000" w:themeColor="text1"/>
                <w:kern w:val="2"/>
                <w:sz w:val="16"/>
                <w:szCs w:val="16"/>
                <w:vertAlign w:val="superscript"/>
              </w:rPr>
              <w:fldChar w:fldCharType="separate"/>
            </w:r>
            <w:r w:rsidRPr="002F2FDF">
              <w:rPr>
                <w:rStyle w:val="a5"/>
                <w:color w:val="000000" w:themeColor="text1"/>
                <w:kern w:val="2"/>
                <w:sz w:val="16"/>
                <w:szCs w:val="16"/>
                <w:vertAlign w:val="superscript"/>
              </w:rPr>
              <w:t>[6]</w:t>
            </w:r>
            <w:r w:rsidR="004A1FB3" w:rsidRPr="002F2FDF">
              <w:rPr>
                <w:color w:val="000000" w:themeColor="text1"/>
                <w:kern w:val="2"/>
                <w:sz w:val="16"/>
                <w:szCs w:val="16"/>
                <w:vertAlign w:val="superscript"/>
              </w:rPr>
              <w:fldChar w:fldCharType="end"/>
            </w:r>
            <w:bookmarkEnd w:id="405"/>
          </w:p>
        </w:tc>
        <w:tc>
          <w:tcPr>
            <w:tcW w:w="0" w:type="auto"/>
            <w:tcBorders>
              <w:top w:val="outset" w:sz="6" w:space="0" w:color="auto"/>
              <w:left w:val="outset" w:sz="6" w:space="0" w:color="auto"/>
              <w:bottom w:val="outset" w:sz="6" w:space="0" w:color="auto"/>
              <w:right w:val="outset" w:sz="6" w:space="0" w:color="auto"/>
            </w:tcBorders>
            <w:vAlign w:val="center"/>
            <w:hideMark/>
          </w:tcPr>
          <w:p w14:paraId="39D2D18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CC2F1"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F7968"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16D29"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5AAB0"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2183F"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921D2"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69A97A07"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79C6B49"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Рон 110/120с.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C712A"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E2117"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8381C"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D725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7A03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A0B17"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8322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170</w:t>
            </w:r>
          </w:p>
        </w:tc>
      </w:tr>
      <w:tr w:rsidR="002B1C74" w:rsidRPr="002F2FDF" w14:paraId="598C784B"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5BB59A7" w14:textId="77777777" w:rsidR="00A86BBC" w:rsidRPr="002F2FDF" w:rsidRDefault="00A86BBC" w:rsidP="0083075A">
            <w:pPr>
              <w:pStyle w:val="rteindent1"/>
              <w:spacing w:before="0" w:beforeAutospacing="0" w:after="0" w:afterAutospacing="0"/>
              <w:ind w:left="0"/>
              <w:jc w:val="both"/>
              <w:rPr>
                <w:color w:val="000000" w:themeColor="text1"/>
                <w:kern w:val="2"/>
                <w:sz w:val="16"/>
                <w:szCs w:val="16"/>
              </w:rPr>
            </w:pPr>
            <w:r w:rsidRPr="002F2FDF">
              <w:rPr>
                <w:rStyle w:val="af0"/>
                <w:i w:val="0"/>
                <w:color w:val="000000" w:themeColor="text1"/>
                <w:kern w:val="2"/>
                <w:sz w:val="16"/>
                <w:szCs w:val="16"/>
              </w:rPr>
              <w:t>»</w:t>
            </w:r>
            <w:r w:rsidRPr="002F2FDF">
              <w:rPr>
                <w:color w:val="000000" w:themeColor="text1"/>
                <w:kern w:val="2"/>
                <w:sz w:val="16"/>
                <w:szCs w:val="16"/>
              </w:rPr>
              <w:t xml:space="preserve"> 100с.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B1FD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1D34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2FF8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24C8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F2A3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26E6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1F54D"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6</w:t>
            </w:r>
          </w:p>
        </w:tc>
      </w:tr>
      <w:tr w:rsidR="002B1C74" w:rsidRPr="002F2FDF" w14:paraId="6E13CA34"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CEFAF9B" w14:textId="77777777" w:rsidR="00A86BBC" w:rsidRPr="002F2FDF" w:rsidRDefault="00A86BBC"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lastRenderedPageBreak/>
              <w:t>» 80с.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230CFC3"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F2874"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FE851"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0672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158FF"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FF9B8"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BBB78"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7F44AD96"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410C6E"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Сальмсон 245с.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67BDA"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A344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3AE8F"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C4A9D"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7386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5AEF28"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5860F"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695C193D"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C43FEB" w14:textId="77777777" w:rsidR="00A86BBC" w:rsidRPr="002F2FDF" w:rsidRDefault="00A86BBC"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 230с.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4C78D"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85A5E"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FA29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D378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8D4A4"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28F3D"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DF42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7F8ABE17"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412549" w14:textId="77777777" w:rsidR="00A86BBC" w:rsidRPr="002F2FDF" w:rsidRDefault="00A86BBC"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 175с.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0191E"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06533"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70C13"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717B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6512D"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508F0"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48DA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15</w:t>
            </w:r>
          </w:p>
        </w:tc>
      </w:tr>
      <w:tr w:rsidR="002B1C74" w:rsidRPr="002F2FDF" w14:paraId="593328C2"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AB7FAE" w14:textId="77777777" w:rsidR="00A86BBC" w:rsidRPr="002F2FDF" w:rsidRDefault="00A86BBC"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 220с.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DEB7C"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FD381"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1E571"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BD0E7"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A183D"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0D2C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2BE1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38CA66B7"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AAF8181" w14:textId="77777777" w:rsidR="00A86BBC" w:rsidRPr="002F2FDF" w:rsidRDefault="00A86BBC"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 160с.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8025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E7A3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3ECDE"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2ECC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22DE9"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8368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00487"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211 (условно)</w:t>
            </w:r>
          </w:p>
        </w:tc>
      </w:tr>
      <w:tr w:rsidR="002B1C74" w:rsidRPr="002F2FDF" w14:paraId="27FB2251"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7D352BF" w14:textId="77777777" w:rsidR="00A86BBC" w:rsidRPr="002F2FDF" w:rsidRDefault="00A86BBC"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A422E"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99B8E"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368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15CF1"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778E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5BFE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F210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536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236C0"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5993525B"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8604A9A" w14:textId="77777777" w:rsidR="00A86BBC" w:rsidRPr="002F2FDF" w:rsidRDefault="00A86BBC"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 140с.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AD33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65DBF"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71DAA"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9BBD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883C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3F3C8"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C29F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26B5CA48"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3CB548A" w14:textId="77777777" w:rsidR="00A86BBC" w:rsidRPr="002F2FDF" w:rsidRDefault="00A86BBC"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 130с.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6DFB1"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04D90"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C52FF"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8D7A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510E8"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__</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670D1"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2E848"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7AE98A40"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71DE18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Клерже 110с.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0F84A"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2145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2FED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7182F"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77EA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242EE"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E66C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25</w:t>
            </w:r>
          </w:p>
        </w:tc>
      </w:tr>
      <w:tr w:rsidR="002B1C74" w:rsidRPr="002F2FDF" w14:paraId="6B85C0C5"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69AEA9" w14:textId="77777777" w:rsidR="00A86BBC" w:rsidRPr="002F2FDF" w:rsidRDefault="00A86BBC"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 100с.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E7B83"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51CA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8A76D"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BF75C"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D5A84"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6487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757F3"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4AF45101"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4127F3"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Изота Фраскини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65BC9"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C04F0"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639A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E02DF"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10B24"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52DB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84DF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668AA14B"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D45D65" w14:textId="77777777" w:rsidR="00A86BBC" w:rsidRPr="002F2FDF" w:rsidRDefault="00A86BBC"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 » 200с.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FBC51"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833FD"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F2C1A"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BE55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948A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48AD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FADC8"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w:t>
            </w:r>
          </w:p>
        </w:tc>
      </w:tr>
      <w:tr w:rsidR="002B1C74" w:rsidRPr="002F2FDF" w14:paraId="4B7E552D"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5AAE6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Испана Сюиза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2443F"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0E4A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0A43F"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9ED1C"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A3E6A"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92A13"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FCBE9"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77AE8A7E"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8968DA4" w14:textId="77777777" w:rsidR="00A86BBC" w:rsidRPr="002F2FDF" w:rsidRDefault="00A86BBC"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 » 140с.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4B4CD"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90FB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CA0E4"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53A9F"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6BFE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CC819"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5565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0E9F2EEE"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E03EEC4"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Анзани 125с.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BE417"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A2F2E"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0D60C"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05823"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1FF0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1478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197F3"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43507ABA"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BD826AC" w14:textId="77777777" w:rsidR="00A86BBC" w:rsidRPr="002F2FDF" w:rsidRDefault="00A86BBC"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 110с.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04F8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7CCFA"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F720E"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757C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E6AB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FF180"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0963D"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0D904948"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180FFE0" w14:textId="77777777" w:rsidR="00A86BBC" w:rsidRPr="002F2FDF" w:rsidRDefault="00A86BBC"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 90с.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4E0B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E5429"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F48E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C1BCF"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3AAE4"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FCCBD"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E355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1119FE10"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358155C" w14:textId="77777777" w:rsidR="00A86BBC" w:rsidRPr="002F2FDF" w:rsidRDefault="00A86BBC"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 60с.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8723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1A0BC"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02B74"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FF53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EB397"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C90AF"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7587A"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61A8FA93"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347911" w14:textId="77777777" w:rsidR="00A86BBC" w:rsidRPr="002F2FDF" w:rsidRDefault="00A86BBC"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 40с.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53F11"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14A5D"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EADCD"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E470D"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86C5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0AB9C"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43D8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688B8834"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AA1B27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РАФ 90с.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7F498"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F26A4"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A16A0"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2E90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31AA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20900"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035C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3DAE69E6"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F5113A"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РБВ 36[с.]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2ABD9"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76C23"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C5F6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56A81"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3C083"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D3FC7"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4752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49B67805"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721808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Рено 220с.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BE0E8"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FEA69"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0BEF3"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A2D0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EE4C0"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A66DA"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88F84"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75F88D64"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273313" w14:textId="77777777" w:rsidR="00A86BBC" w:rsidRPr="002F2FDF" w:rsidRDefault="00A86BBC"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F6940" w14:textId="109EB63E" w:rsidR="00A86BBC"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56DC8"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1479A"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4D6C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F94F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27BF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A30A1"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6F2C37BB"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B552DA9" w14:textId="77777777" w:rsidR="00A86BBC" w:rsidRPr="002F2FDF" w:rsidRDefault="00A86BBC"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 130с.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5A1CE"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D4DE0"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175E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4C521"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B754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E189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2AB8D"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5D369E7C"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62F64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Сенбим 160/170с.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EA04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80DF3"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BFFA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BF52C"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97FB7"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54427"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4809C"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64FA4C34"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36AF5A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E01A0"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10C5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2A4A4"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3155A"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6D52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BAFCD"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430A0"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5C0FC8BB"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14A5E2C"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Фиат 100с.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BC4C8"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8FDCD"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D96D0"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F6E4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63C8F"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E1E94"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7EB6E"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41B5A29A"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4948BBE" w14:textId="77777777" w:rsidR="00A86BBC" w:rsidRPr="002F2FDF" w:rsidRDefault="00A86BBC" w:rsidP="0083075A">
            <w:pPr>
              <w:pStyle w:val="rteindent1"/>
              <w:spacing w:before="0" w:beforeAutospacing="0" w:after="0" w:afterAutospacing="0"/>
              <w:ind w:left="0"/>
              <w:jc w:val="both"/>
              <w:rPr>
                <w:color w:val="000000" w:themeColor="text1"/>
                <w:kern w:val="2"/>
                <w:sz w:val="16"/>
                <w:szCs w:val="16"/>
              </w:rPr>
            </w:pPr>
            <w:r w:rsidRPr="002F2FDF">
              <w:rPr>
                <w:color w:val="000000" w:themeColor="text1"/>
                <w:kern w:val="2"/>
                <w:sz w:val="16"/>
                <w:szCs w:val="16"/>
              </w:rPr>
              <w:t>» 230с.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1E1C0"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E4189"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52D37"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467FA"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5C939"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55CA8"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087C7"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96</w:t>
            </w:r>
          </w:p>
        </w:tc>
      </w:tr>
      <w:tr w:rsidR="002B1C74" w:rsidRPr="002F2FDF" w14:paraId="0FAB2660"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02BC87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Холл-Скотт 125с.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61A87"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487C9"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9DC38"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2450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E308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8538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858FF"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r>
      <w:tr w:rsidR="002B1C74" w:rsidRPr="002F2FDF" w14:paraId="27BC7FCF"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EBEE8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B10C7" w14:textId="3709D112" w:rsidR="00A86BBC"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F8AAA" w14:textId="2420C930" w:rsidR="00A86BBC"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79D02" w14:textId="70B4AD09" w:rsidR="00A86BBC"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F3C4E" w14:textId="04512705" w:rsidR="00A86BBC"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9495D"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04423"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2B3E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525</w:t>
            </w:r>
          </w:p>
        </w:tc>
      </w:tr>
    </w:tbl>
    <w:p w14:paraId="057FE857" w14:textId="77777777" w:rsidR="00A86BBC" w:rsidRPr="002F2FDF" w:rsidRDefault="00A86BBC" w:rsidP="0083075A">
      <w:pPr>
        <w:pStyle w:val="rtejustify"/>
        <w:spacing w:before="0" w:after="0"/>
        <w:rPr>
          <w:color w:val="000000" w:themeColor="text1"/>
          <w:kern w:val="2"/>
          <w:sz w:val="16"/>
          <w:szCs w:val="16"/>
        </w:rPr>
      </w:pPr>
      <w:r w:rsidRPr="002F2FDF">
        <w:rPr>
          <w:color w:val="000000" w:themeColor="text1"/>
          <w:kern w:val="2"/>
          <w:sz w:val="16"/>
          <w:szCs w:val="16"/>
        </w:rPr>
        <w:t>Что касается остальных моторов в количестве 1742 шт., то запас их накапливался в течение 3 лет войны из моторов, кои к моменту их получения являлись уже устаревшими как по системе, так и по мощности, и, следовательно, эти моторы в настоящее время ни в какой мере не; могут быть использованы для целей боевого снабжения. Потребность же в моторах, вызываемая осуществлением на отечественных аэропланных заводах минимальной авиационной программы, такова: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31"/>
        <w:gridCol w:w="862"/>
        <w:gridCol w:w="1009"/>
        <w:gridCol w:w="636"/>
        <w:gridCol w:w="765"/>
        <w:gridCol w:w="81"/>
      </w:tblGrid>
      <w:tr w:rsidR="002B1C74" w:rsidRPr="002F2FDF" w14:paraId="555FE651" w14:textId="77777777" w:rsidTr="00A86BBC">
        <w:trPr>
          <w:tblCellSpacing w:w="15"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70117A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Исполняется заказ по постройке аэропланов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FF5A83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Имеется</w:t>
            </w:r>
          </w:p>
          <w:p w14:paraId="2E43A03F"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моторов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3676F4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Недостает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58B5A" w14:textId="54029B41" w:rsidR="00A86BBC"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r w:rsidR="002B1C74" w:rsidRPr="002F2FDF" w14:paraId="50EF0729" w14:textId="77777777" w:rsidTr="00A86BBC">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B139D79"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система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A8D01F4"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завод</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E909CB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количество</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CD83532"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D7DCBE2"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035560" w14:textId="55AA9121" w:rsidR="00A86BBC"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59A2F92"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CF28E13"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0417B79"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B2A7B24"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7C2F808"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DB23EF8"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2697CB" w14:textId="747EDD06" w:rsidR="00A86BBC"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34E23C55"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1FD24C"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Ньюпор X</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39AC8"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Лебедев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5B71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40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1AD84F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176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D28D28"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E35C8" w14:textId="008131D7" w:rsidR="00A86BBC"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r w:rsidR="002B1C74" w:rsidRPr="002F2FDF" w14:paraId="5761FADC" w14:textId="77777777" w:rsidTr="00A86BBC">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315A53"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Ньюпор XVII</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30D01"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Анатра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69398"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688D27B"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9FFB596"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E633E6" w14:textId="7901B42C" w:rsidR="00A86BBC"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r w:rsidR="002B1C74" w:rsidRPr="002F2FDF" w14:paraId="78237D79"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4E1B0DF"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4B4AE1"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Дуке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47AD9"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56999E4"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F41AF78"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F58CB3" w14:textId="69449775" w:rsidR="00A86BBC"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r w:rsidR="002B1C74" w:rsidRPr="002F2FDF" w14:paraId="2894C31F"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49191FB"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9A09F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Анатра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C78DC"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93551A2"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D899928"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C55D30" w14:textId="71070573" w:rsidR="00A86BBC"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r w:rsidR="002B1C74" w:rsidRPr="002F2FDF" w14:paraId="7921D0D6"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0E3714"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Иьюпор XXI</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3EAA9"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Дукс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E1A8E"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30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9BD862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226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6D0C529"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88FCF" w14:textId="175DCACD" w:rsidR="00A86BBC"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r w:rsidR="002B1C74" w:rsidRPr="002F2FDF" w14:paraId="40A9A1E3" w14:textId="77777777" w:rsidTr="00A86BBC">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559D60"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Фарман XXX</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33A9F"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Дуке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CE24C"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9322CE4"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4F0F1E9"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7D36BC" w14:textId="3B9E326B" w:rsidR="00A86BBC"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r w:rsidR="002B1C74" w:rsidRPr="002F2FDF" w14:paraId="622B2D95"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6B46844"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10DAA3"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Матиас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06234"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2E42734"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5C0C637"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80FB08" w14:textId="2814BF7D" w:rsidR="00A86BBC"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r w:rsidR="002B1C74" w:rsidRPr="002F2FDF" w14:paraId="4AD95A9B" w14:textId="77777777" w:rsidTr="00A86BBC">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D809881"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Анатра 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74B81"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Анатра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8680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150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54AEDE5"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6952383"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8030B5" w14:textId="6AEFDAFD" w:rsidR="00A86BBC"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r w:rsidR="002B1C74" w:rsidRPr="002F2FDF" w14:paraId="151CA642"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F75D7C2"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E2F31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46304"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250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6A769FE"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F9A1170"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9BB932" w14:textId="371569CF" w:rsidR="00A86BBC"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r w:rsidR="002B1C74" w:rsidRPr="002F2FDF" w14:paraId="5DEDB092"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722E575"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964D0"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D58F4"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A56DE"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34E67"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39166" w14:textId="618F6F43" w:rsidR="00A86BBC"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r w:rsidR="002B1C74" w:rsidRPr="002F2FDF" w14:paraId="48A7F6DC"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9BCBEE"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Лебедь XXIV</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B096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Лебедев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3B69E"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196DA"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4FFAA"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60E7C3" w14:textId="294C002F" w:rsidR="00A86BBC"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r w:rsidR="002B1C74" w:rsidRPr="002F2FDF" w14:paraId="3AAFE56A" w14:textId="77777777" w:rsidTr="00A86BBC">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EB639A6"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Спад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E8C70"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Матиас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E9DB3"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49CE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4A263"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68096" w14:textId="6C35EA77" w:rsidR="00A86BBC"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r w:rsidR="002B1C74" w:rsidRPr="002F2FDF" w14:paraId="096D9601"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900F525"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C9338F"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Щетинин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BA16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AFB6D"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C61BC"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E3AAB" w14:textId="5FB59525" w:rsidR="00A86BBC"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r w:rsidR="002B1C74" w:rsidRPr="002F2FDF" w14:paraId="19521649"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C205CB5"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917C60"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Дуке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D2294"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447FA"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A3537"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827F7" w14:textId="0F3F9CD3" w:rsidR="00A86BBC"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r w:rsidR="002B1C74" w:rsidRPr="002F2FDF" w14:paraId="11848C50"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2DA30A"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Сопвич</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4C37F"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Лебедев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CCB8F"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A006C"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EF00C"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BDAC6" w14:textId="64F02191" w:rsidR="00A86BBC"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r w:rsidR="002B1C74" w:rsidRPr="002F2FDF" w14:paraId="1E85443E"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079D40"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85EF7" w14:textId="4483191A" w:rsidR="00A86BBC"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004D9"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6A784"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52CA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EB0E6" w14:textId="28F33A4C" w:rsidR="00A86BBC" w:rsidRPr="002F2FDF" w:rsidRDefault="00E52569" w:rsidP="0083075A">
            <w:pPr>
              <w:pStyle w:val="ae"/>
              <w:spacing w:before="0" w:after="0"/>
              <w:jc w:val="both"/>
              <w:rPr>
                <w:color w:val="000000" w:themeColor="text1"/>
                <w:kern w:val="2"/>
                <w:sz w:val="16"/>
                <w:szCs w:val="16"/>
              </w:rPr>
            </w:pPr>
            <w:r>
              <w:rPr>
                <w:color w:val="000000" w:themeColor="text1"/>
                <w:kern w:val="2"/>
                <w:sz w:val="16"/>
                <w:szCs w:val="16"/>
              </w:rPr>
              <w:t xml:space="preserve"> </w:t>
            </w:r>
          </w:p>
        </w:tc>
      </w:tr>
    </w:tbl>
    <w:p w14:paraId="7997CC72" w14:textId="77777777" w:rsidR="00A86BBC" w:rsidRPr="002F2FDF" w:rsidRDefault="00A86BBC" w:rsidP="0083075A">
      <w:pPr>
        <w:pStyle w:val="rtejustify"/>
        <w:spacing w:before="0" w:after="0"/>
        <w:rPr>
          <w:color w:val="000000" w:themeColor="text1"/>
          <w:kern w:val="2"/>
          <w:sz w:val="16"/>
          <w:szCs w:val="16"/>
        </w:rPr>
      </w:pPr>
      <w:r w:rsidRPr="002F2FDF">
        <w:rPr>
          <w:color w:val="000000" w:themeColor="text1"/>
          <w:kern w:val="2"/>
          <w:sz w:val="16"/>
          <w:szCs w:val="16"/>
        </w:rPr>
        <w:t>Рассчитывать на производительность русских моторных заводов в размерах, сколько-нибудь способных выполнить этот пробел в моторах, не имеется достаточных оснований.</w:t>
      </w:r>
    </w:p>
    <w:p w14:paraId="4F8B2E05" w14:textId="77777777" w:rsidR="00A86BBC" w:rsidRPr="002F2FDF" w:rsidRDefault="00A86BBC" w:rsidP="0083075A">
      <w:pPr>
        <w:pStyle w:val="rtejustify"/>
        <w:spacing w:before="0" w:after="0"/>
        <w:rPr>
          <w:color w:val="000000" w:themeColor="text1"/>
          <w:kern w:val="2"/>
          <w:sz w:val="16"/>
          <w:szCs w:val="16"/>
        </w:rPr>
      </w:pPr>
      <w:r w:rsidRPr="002F2FDF">
        <w:rPr>
          <w:color w:val="000000" w:themeColor="text1"/>
          <w:kern w:val="2"/>
          <w:sz w:val="16"/>
          <w:szCs w:val="16"/>
        </w:rPr>
        <w:t>Из изложенного усматривается, что расхождение в выполнении авиационной и моторной программ не оправдывает постройки 1765 аэропланов, которые, будучи выстроены и не снабжены своевременно моторами, не смогут нести какой-либо службы даже в том случае, если бы моторы на них и начали поступать спустя значительный промежуток времени, ввиду того что они, во-первых, устарели бы к тому моменту, учитывая большой прогресс авиационной техники, а во-вторых, ожидая сколько-нибудь значительное время в готовом виде моторов, они могли бы подвергнуться деформации, которая сделала бы сомнительной возможность употребления их для боевых целей.</w:t>
      </w:r>
    </w:p>
    <w:p w14:paraId="2971525B" w14:textId="77777777" w:rsidR="00A86BBC" w:rsidRPr="002F2FDF" w:rsidRDefault="00A86BBC" w:rsidP="0083075A">
      <w:pPr>
        <w:pStyle w:val="rtejustify"/>
        <w:spacing w:before="0" w:after="0"/>
        <w:rPr>
          <w:color w:val="000000" w:themeColor="text1"/>
          <w:kern w:val="2"/>
          <w:sz w:val="16"/>
          <w:szCs w:val="16"/>
        </w:rPr>
      </w:pPr>
      <w:r w:rsidRPr="002F2FDF">
        <w:rPr>
          <w:color w:val="000000" w:themeColor="text1"/>
          <w:kern w:val="2"/>
          <w:sz w:val="16"/>
          <w:szCs w:val="16"/>
        </w:rPr>
        <w:t>Я не могу не отметить огромного значения для целей обороны страны поддержания со столь большими трудами создавшейся отечественной аэропланостроительной промышленности, но в то же время я не могу не остановиться на вопросе о целесообразности дальнейшего продолжения аэропланного строительства без достаточных гарантий его действительного использования для нужд обороны.</w:t>
      </w:r>
    </w:p>
    <w:p w14:paraId="7B712D0B" w14:textId="77777777" w:rsidR="00A86BBC" w:rsidRPr="002F2FDF" w:rsidRDefault="00A86BBC" w:rsidP="0083075A">
      <w:pPr>
        <w:pStyle w:val="rtejustify"/>
        <w:spacing w:before="0" w:after="0"/>
        <w:rPr>
          <w:color w:val="000000" w:themeColor="text1"/>
          <w:kern w:val="2"/>
          <w:sz w:val="16"/>
          <w:szCs w:val="16"/>
        </w:rPr>
      </w:pPr>
      <w:r w:rsidRPr="002F2FDF">
        <w:rPr>
          <w:color w:val="000000" w:themeColor="text1"/>
          <w:kern w:val="2"/>
          <w:sz w:val="16"/>
          <w:szCs w:val="16"/>
        </w:rPr>
        <w:lastRenderedPageBreak/>
        <w:t>Приведенные же выше цифры устанавливают невозможность использования для обороны около 80% всего строющегося количества аэропланов при неизменении обстоятельств, о которых я неоднократно докладывал.</w:t>
      </w:r>
    </w:p>
    <w:p w14:paraId="3FDA03D8" w14:textId="77777777" w:rsidR="00A86BBC" w:rsidRPr="002F2FDF" w:rsidRDefault="00A86BBC" w:rsidP="0083075A">
      <w:pPr>
        <w:pStyle w:val="rtejustify"/>
        <w:spacing w:before="0" w:after="0"/>
        <w:rPr>
          <w:color w:val="000000" w:themeColor="text1"/>
          <w:kern w:val="2"/>
          <w:sz w:val="16"/>
          <w:szCs w:val="16"/>
        </w:rPr>
      </w:pPr>
      <w:r w:rsidRPr="002F2FDF">
        <w:rPr>
          <w:color w:val="000000" w:themeColor="text1"/>
          <w:kern w:val="2"/>
          <w:sz w:val="16"/>
          <w:szCs w:val="16"/>
        </w:rPr>
        <w:t>Если таковым представляется отражение создавшейся конъюнктуры на заводское строительство, то тем большим но своим результатам представляется ее влияние на удовлетворение текущих потребностей фронта.</w:t>
      </w:r>
    </w:p>
    <w:p w14:paraId="29D25142" w14:textId="77777777" w:rsidR="00A86BBC" w:rsidRPr="002F2FDF" w:rsidRDefault="00A86BBC" w:rsidP="0083075A">
      <w:pPr>
        <w:pStyle w:val="rtejustify"/>
        <w:spacing w:before="0" w:after="0"/>
        <w:rPr>
          <w:color w:val="000000" w:themeColor="text1"/>
          <w:kern w:val="2"/>
          <w:sz w:val="16"/>
          <w:szCs w:val="16"/>
        </w:rPr>
      </w:pPr>
      <w:r w:rsidRPr="002F2FDF">
        <w:rPr>
          <w:color w:val="000000" w:themeColor="text1"/>
          <w:kern w:val="2"/>
          <w:sz w:val="16"/>
          <w:szCs w:val="16"/>
        </w:rPr>
        <w:t>По последнему сообщению Ставки, минимальная потребность в самолетах в круглых цифрах такова: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73"/>
        <w:gridCol w:w="1834"/>
        <w:gridCol w:w="1322"/>
        <w:gridCol w:w="1229"/>
        <w:gridCol w:w="468"/>
      </w:tblGrid>
      <w:tr w:rsidR="002B1C74" w:rsidRPr="002F2FDF" w14:paraId="586230B5"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841803" w14:textId="05A5FB6D" w:rsidR="00A86BBC"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9E60F" w14:textId="026AC464" w:rsidR="00A86BBC" w:rsidRPr="002F2FDF" w:rsidRDefault="00E52569" w:rsidP="0083075A">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D1BA56A"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На восполнение убыли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A5B6CB"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Всего</w:t>
            </w:r>
          </w:p>
        </w:tc>
      </w:tr>
      <w:tr w:rsidR="002B1C74" w:rsidRPr="002F2FDF" w14:paraId="0F3CF905"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F37AFA"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Тип аэроплана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19FE4"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На дополнение комплекта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FA3DA"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на 1 января 1918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DBA9D"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на 1 июня 1918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04CD966" w14:textId="77777777" w:rsidR="00A86BBC" w:rsidRPr="002F2FDF" w:rsidRDefault="00A86BBC" w:rsidP="0083075A">
            <w:pPr>
              <w:spacing w:after="0" w:line="240" w:lineRule="auto"/>
              <w:jc w:val="both"/>
              <w:rPr>
                <w:rFonts w:ascii="Times New Roman" w:hAnsi="Times New Roman" w:cs="Times New Roman"/>
                <w:color w:val="000000" w:themeColor="text1"/>
                <w:kern w:val="2"/>
                <w:sz w:val="16"/>
                <w:szCs w:val="16"/>
              </w:rPr>
            </w:pPr>
          </w:p>
        </w:tc>
      </w:tr>
      <w:tr w:rsidR="002B1C74" w:rsidRPr="002F2FDF" w14:paraId="2E61A6EE"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29FBED"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Артиллерии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27509"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0AE1E"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47230"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D8B9C"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275</w:t>
            </w:r>
          </w:p>
        </w:tc>
      </w:tr>
      <w:tr w:rsidR="002B1C74" w:rsidRPr="002F2FDF" w14:paraId="2659BFF0"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4DC855"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Корпусных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B56D9"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F80F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2B402"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08060"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1250</w:t>
            </w:r>
          </w:p>
        </w:tc>
      </w:tr>
      <w:tr w:rsidR="002B1C74" w:rsidRPr="002F2FDF" w14:paraId="5F7A6CC2"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252497"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Истребителей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99CDC"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35BE4"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92DF8"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54B67"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1850</w:t>
            </w:r>
          </w:p>
        </w:tc>
      </w:tr>
      <w:tr w:rsidR="002B1C74" w:rsidRPr="002F2FDF" w14:paraId="03A31E6A"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AB2D1C"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FEE74D3"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47AA0"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119E7"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B7B3A"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3375</w:t>
            </w:r>
          </w:p>
        </w:tc>
      </w:tr>
    </w:tbl>
    <w:p w14:paraId="23D280C8" w14:textId="77777777" w:rsidR="00A86BBC" w:rsidRPr="002F2FDF" w:rsidRDefault="00A86BBC" w:rsidP="0083075A">
      <w:pPr>
        <w:pStyle w:val="rtejustify"/>
        <w:spacing w:before="0" w:after="0"/>
        <w:rPr>
          <w:color w:val="000000" w:themeColor="text1"/>
          <w:kern w:val="2"/>
          <w:sz w:val="16"/>
          <w:szCs w:val="16"/>
        </w:rPr>
      </w:pPr>
      <w:r w:rsidRPr="002F2FDF">
        <w:rPr>
          <w:color w:val="000000" w:themeColor="text1"/>
          <w:kern w:val="2"/>
          <w:sz w:val="16"/>
          <w:szCs w:val="16"/>
        </w:rPr>
        <w:t>Судя же по количеству моторов, коими Управление военного воздушного флота располагает с несомненностью, фронту может быть дано лишь 525 аппаратов, т. е. 15% требуемого количества.</w:t>
      </w:r>
    </w:p>
    <w:p w14:paraId="5DA33BF1" w14:textId="77777777" w:rsidR="00A86BBC" w:rsidRPr="002F2FDF" w:rsidRDefault="00A86BBC" w:rsidP="0083075A">
      <w:pPr>
        <w:pStyle w:val="ae"/>
        <w:spacing w:before="0" w:after="0"/>
        <w:jc w:val="both"/>
        <w:rPr>
          <w:color w:val="000000" w:themeColor="text1"/>
          <w:kern w:val="2"/>
          <w:sz w:val="16"/>
          <w:szCs w:val="16"/>
        </w:rPr>
      </w:pPr>
      <w:r w:rsidRPr="002F2FDF">
        <w:rPr>
          <w:color w:val="000000" w:themeColor="text1"/>
          <w:kern w:val="2"/>
          <w:sz w:val="16"/>
          <w:szCs w:val="16"/>
        </w:rPr>
        <w:t>Докладывая об изложенном, прошу указаний.</w:t>
      </w:r>
    </w:p>
    <w:bookmarkStart w:id="406" w:name="_ftn1"/>
    <w:p w14:paraId="5A3F6ABC" w14:textId="77777777" w:rsidR="00A86BBC" w:rsidRPr="002F2FDF" w:rsidRDefault="004A1FB3" w:rsidP="0083075A">
      <w:pPr>
        <w:pStyle w:val="rtejustify"/>
        <w:spacing w:before="0" w:after="0"/>
        <w:rPr>
          <w:color w:val="000000" w:themeColor="text1"/>
          <w:kern w:val="2"/>
          <w:sz w:val="16"/>
          <w:szCs w:val="16"/>
        </w:rPr>
      </w:pPr>
      <w:r w:rsidRPr="002F2FDF">
        <w:rPr>
          <w:color w:val="000000" w:themeColor="text1"/>
          <w:kern w:val="2"/>
          <w:sz w:val="16"/>
          <w:szCs w:val="16"/>
        </w:rPr>
        <w:fldChar w:fldCharType="begin"/>
      </w:r>
      <w:r w:rsidR="00A86BBC" w:rsidRPr="002F2FDF">
        <w:rPr>
          <w:color w:val="000000" w:themeColor="text1"/>
          <w:kern w:val="2"/>
          <w:sz w:val="16"/>
          <w:szCs w:val="16"/>
        </w:rPr>
        <w:instrText xml:space="preserve"> HYPERLINK "http://istmat.info/node/41408" \l "_ftnref1" \o "" </w:instrText>
      </w:r>
      <w:r w:rsidRPr="002F2FDF">
        <w:rPr>
          <w:color w:val="000000" w:themeColor="text1"/>
          <w:kern w:val="2"/>
          <w:sz w:val="16"/>
          <w:szCs w:val="16"/>
        </w:rPr>
      </w:r>
      <w:r w:rsidRPr="002F2FDF">
        <w:rPr>
          <w:color w:val="000000" w:themeColor="text1"/>
          <w:kern w:val="2"/>
          <w:sz w:val="16"/>
          <w:szCs w:val="16"/>
        </w:rPr>
        <w:fldChar w:fldCharType="separate"/>
      </w:r>
      <w:r w:rsidR="00A86BBC" w:rsidRPr="002F2FDF">
        <w:rPr>
          <w:rStyle w:val="a5"/>
          <w:color w:val="000000" w:themeColor="text1"/>
          <w:kern w:val="2"/>
          <w:sz w:val="16"/>
          <w:szCs w:val="16"/>
        </w:rPr>
        <w:t>[1]</w:t>
      </w:r>
      <w:r w:rsidRPr="002F2FDF">
        <w:rPr>
          <w:color w:val="000000" w:themeColor="text1"/>
          <w:kern w:val="2"/>
          <w:sz w:val="16"/>
          <w:szCs w:val="16"/>
        </w:rPr>
        <w:fldChar w:fldCharType="end"/>
      </w:r>
      <w:bookmarkEnd w:id="406"/>
      <w:r w:rsidR="00A86BBC" w:rsidRPr="002F2FDF">
        <w:rPr>
          <w:color w:val="000000" w:themeColor="text1"/>
          <w:kern w:val="2"/>
          <w:sz w:val="16"/>
          <w:szCs w:val="16"/>
        </w:rPr>
        <w:t xml:space="preserve"> Датируется по содержанию док.</w:t>
      </w:r>
    </w:p>
    <w:bookmarkStart w:id="407" w:name="_ftn2"/>
    <w:p w14:paraId="4DEE9480" w14:textId="77777777" w:rsidR="00A86BBC" w:rsidRPr="002F2FDF" w:rsidRDefault="004A1FB3" w:rsidP="0083075A">
      <w:pPr>
        <w:pStyle w:val="rtejustify"/>
        <w:spacing w:before="0" w:after="0"/>
        <w:rPr>
          <w:color w:val="000000" w:themeColor="text1"/>
          <w:kern w:val="2"/>
          <w:sz w:val="16"/>
          <w:szCs w:val="16"/>
        </w:rPr>
      </w:pPr>
      <w:r w:rsidRPr="002F2FDF">
        <w:rPr>
          <w:color w:val="000000" w:themeColor="text1"/>
          <w:kern w:val="2"/>
          <w:sz w:val="16"/>
          <w:szCs w:val="16"/>
        </w:rPr>
        <w:fldChar w:fldCharType="begin"/>
      </w:r>
      <w:r w:rsidR="00A86BBC" w:rsidRPr="002F2FDF">
        <w:rPr>
          <w:color w:val="000000" w:themeColor="text1"/>
          <w:kern w:val="2"/>
          <w:sz w:val="16"/>
          <w:szCs w:val="16"/>
        </w:rPr>
        <w:instrText xml:space="preserve"> HYPERLINK "http://istmat.info/node/41408" \l "_ftnref2" \o "" </w:instrText>
      </w:r>
      <w:r w:rsidRPr="002F2FDF">
        <w:rPr>
          <w:color w:val="000000" w:themeColor="text1"/>
          <w:kern w:val="2"/>
          <w:sz w:val="16"/>
          <w:szCs w:val="16"/>
        </w:rPr>
      </w:r>
      <w:r w:rsidRPr="002F2FDF">
        <w:rPr>
          <w:color w:val="000000" w:themeColor="text1"/>
          <w:kern w:val="2"/>
          <w:sz w:val="16"/>
          <w:szCs w:val="16"/>
        </w:rPr>
        <w:fldChar w:fldCharType="separate"/>
      </w:r>
      <w:r w:rsidR="00A86BBC" w:rsidRPr="002F2FDF">
        <w:rPr>
          <w:rStyle w:val="a5"/>
          <w:color w:val="000000" w:themeColor="text1"/>
          <w:kern w:val="2"/>
          <w:sz w:val="16"/>
          <w:szCs w:val="16"/>
        </w:rPr>
        <w:t>[2]</w:t>
      </w:r>
      <w:r w:rsidRPr="002F2FDF">
        <w:rPr>
          <w:color w:val="000000" w:themeColor="text1"/>
          <w:kern w:val="2"/>
          <w:sz w:val="16"/>
          <w:szCs w:val="16"/>
        </w:rPr>
        <w:fldChar w:fldCharType="end"/>
      </w:r>
      <w:bookmarkEnd w:id="407"/>
      <w:r w:rsidR="00A86BBC" w:rsidRPr="002F2FDF">
        <w:rPr>
          <w:color w:val="000000" w:themeColor="text1"/>
          <w:kern w:val="2"/>
          <w:sz w:val="16"/>
          <w:szCs w:val="16"/>
        </w:rPr>
        <w:t xml:space="preserve"> См.: ЦГВИА, ф. 493, оп. 4, д. 485, лл. 85, 89.</w:t>
      </w:r>
    </w:p>
    <w:bookmarkStart w:id="408" w:name="_ftn3"/>
    <w:p w14:paraId="54C3C30C" w14:textId="77777777" w:rsidR="00A86BBC" w:rsidRPr="002F2FDF" w:rsidRDefault="004A1FB3" w:rsidP="0083075A">
      <w:pPr>
        <w:pStyle w:val="rtejustify"/>
        <w:spacing w:before="0" w:after="0"/>
        <w:rPr>
          <w:color w:val="000000" w:themeColor="text1"/>
          <w:kern w:val="2"/>
          <w:sz w:val="16"/>
          <w:szCs w:val="16"/>
        </w:rPr>
      </w:pPr>
      <w:r w:rsidRPr="002F2FDF">
        <w:rPr>
          <w:color w:val="000000" w:themeColor="text1"/>
          <w:kern w:val="2"/>
          <w:sz w:val="16"/>
          <w:szCs w:val="16"/>
        </w:rPr>
        <w:fldChar w:fldCharType="begin"/>
      </w:r>
      <w:r w:rsidR="00A86BBC" w:rsidRPr="002F2FDF">
        <w:rPr>
          <w:color w:val="000000" w:themeColor="text1"/>
          <w:kern w:val="2"/>
          <w:sz w:val="16"/>
          <w:szCs w:val="16"/>
        </w:rPr>
        <w:instrText xml:space="preserve"> HYPERLINK "http://istmat.info/node/41408" \l "_ftnref3" \o "" </w:instrText>
      </w:r>
      <w:r w:rsidRPr="002F2FDF">
        <w:rPr>
          <w:color w:val="000000" w:themeColor="text1"/>
          <w:kern w:val="2"/>
          <w:sz w:val="16"/>
          <w:szCs w:val="16"/>
        </w:rPr>
      </w:r>
      <w:r w:rsidRPr="002F2FDF">
        <w:rPr>
          <w:color w:val="000000" w:themeColor="text1"/>
          <w:kern w:val="2"/>
          <w:sz w:val="16"/>
          <w:szCs w:val="16"/>
        </w:rPr>
        <w:fldChar w:fldCharType="separate"/>
      </w:r>
      <w:r w:rsidR="00A86BBC" w:rsidRPr="002F2FDF">
        <w:rPr>
          <w:rStyle w:val="a5"/>
          <w:color w:val="000000" w:themeColor="text1"/>
          <w:kern w:val="2"/>
          <w:sz w:val="16"/>
          <w:szCs w:val="16"/>
        </w:rPr>
        <w:t>[3]</w:t>
      </w:r>
      <w:r w:rsidRPr="002F2FDF">
        <w:rPr>
          <w:color w:val="000000" w:themeColor="text1"/>
          <w:kern w:val="2"/>
          <w:sz w:val="16"/>
          <w:szCs w:val="16"/>
        </w:rPr>
        <w:fldChar w:fldCharType="end"/>
      </w:r>
      <w:bookmarkEnd w:id="408"/>
      <w:r w:rsidR="00A86BBC" w:rsidRPr="002F2FDF">
        <w:rPr>
          <w:color w:val="000000" w:themeColor="text1"/>
          <w:kern w:val="2"/>
          <w:sz w:val="16"/>
          <w:szCs w:val="16"/>
        </w:rPr>
        <w:t xml:space="preserve"> См.: ЦГВИА, ф. 493, оп. 4, д. 485, лл. 76—78 (см. док. № 601). В дополнение к докладам от 23 и 25 мая 1917 г. 7 июня 1917 г. нач. УВВФ Д. В. Яковлев представил военному министру доклад об общем положении снабжения армии авиационным имуществ. ж в связи с «полным расстройством заграничного снабжения», в заключение котором писал: «При этих условиях, в совокупности со всеми обстоятельствами, доложенными в ранее сделанных представлениях, положение авиационного снабжения имеет характер не только катастрофический, но и просто безвыходный. Полагал бы необходимым просить как настоящий доклад, так и предыдущие довести до сведения верховного главнокомандующего, дабы поставить его в известность,что с осени текущего года авиациное снабжение, по всем вероятиям, сведется к высылке в армию случайных аппаратов которые будут прибывать единицами из-за границы, устаревающих Фарманов и Анаттра русской постройки и столь же случайных русских аппаратов новых типов, под который окажутся прибывшими или построенными в России моторы, всегда запаздывающие по мощности по сравнению с боевыми моторами союзников и противника» (ЦГВИА. ф. 493, оп. 4, д. 485, лл. 95—96. Заверенная копия).</w:t>
      </w:r>
    </w:p>
    <w:bookmarkStart w:id="409" w:name="_ftn4"/>
    <w:p w14:paraId="751E8750" w14:textId="77777777" w:rsidR="00A86BBC" w:rsidRPr="002F2FDF" w:rsidRDefault="004A1FB3" w:rsidP="0083075A">
      <w:pPr>
        <w:pStyle w:val="rtejustify"/>
        <w:spacing w:before="0" w:after="0"/>
        <w:rPr>
          <w:color w:val="000000" w:themeColor="text1"/>
          <w:kern w:val="2"/>
          <w:sz w:val="16"/>
          <w:szCs w:val="16"/>
        </w:rPr>
      </w:pPr>
      <w:r w:rsidRPr="002F2FDF">
        <w:rPr>
          <w:color w:val="000000" w:themeColor="text1"/>
          <w:kern w:val="2"/>
          <w:sz w:val="16"/>
          <w:szCs w:val="16"/>
        </w:rPr>
        <w:fldChar w:fldCharType="begin"/>
      </w:r>
      <w:r w:rsidR="00A86BBC" w:rsidRPr="002F2FDF">
        <w:rPr>
          <w:color w:val="000000" w:themeColor="text1"/>
          <w:kern w:val="2"/>
          <w:sz w:val="16"/>
          <w:szCs w:val="16"/>
        </w:rPr>
        <w:instrText xml:space="preserve"> HYPERLINK "http://istmat.info/node/41408" \l "_ftnref4" \o "" </w:instrText>
      </w:r>
      <w:r w:rsidRPr="002F2FDF">
        <w:rPr>
          <w:color w:val="000000" w:themeColor="text1"/>
          <w:kern w:val="2"/>
          <w:sz w:val="16"/>
          <w:szCs w:val="16"/>
        </w:rPr>
      </w:r>
      <w:r w:rsidRPr="002F2FDF">
        <w:rPr>
          <w:color w:val="000000" w:themeColor="text1"/>
          <w:kern w:val="2"/>
          <w:sz w:val="16"/>
          <w:szCs w:val="16"/>
        </w:rPr>
        <w:fldChar w:fldCharType="separate"/>
      </w:r>
      <w:r w:rsidR="00A86BBC" w:rsidRPr="002F2FDF">
        <w:rPr>
          <w:rStyle w:val="a5"/>
          <w:color w:val="000000" w:themeColor="text1"/>
          <w:kern w:val="2"/>
          <w:sz w:val="16"/>
          <w:szCs w:val="16"/>
        </w:rPr>
        <w:t>[4]</w:t>
      </w:r>
      <w:r w:rsidRPr="002F2FDF">
        <w:rPr>
          <w:color w:val="000000" w:themeColor="text1"/>
          <w:kern w:val="2"/>
          <w:sz w:val="16"/>
          <w:szCs w:val="16"/>
        </w:rPr>
        <w:fldChar w:fldCharType="end"/>
      </w:r>
      <w:bookmarkEnd w:id="409"/>
      <w:r w:rsidR="00A86BBC" w:rsidRPr="002F2FDF">
        <w:rPr>
          <w:color w:val="000000" w:themeColor="text1"/>
          <w:kern w:val="2"/>
          <w:sz w:val="16"/>
          <w:szCs w:val="16"/>
        </w:rPr>
        <w:t xml:space="preserve"> 3 В указанном проекте доклада нач. УВВФ Д. В. Яковлев писал: «. . .ныне, исчерпав все доступные мне меры, получив официальные заверения союзников и тем неменее находясь перед положением, еще худшим, чем во время представления вышеприведенного доклада, я не вижу иного объяснения неисполнению заграничных заказов, кроме общеполитической обстановки» (разрядка автора). «Я не считаю возможным нести ответственность за хаотическую бесхозяйственность дела, изменение котор и лежит вне моей власти» (ЦГВИА, ф. 493, оп. 4, д. 611, лл. 1—6. Копия). Вопрос о состоянии авиационного снабжения армии по докладу ген. Яковлева обсуждался в Особом совещании по обороне 11 октября 1917 г. Совещание не вынесло никаких конкретных решений по обсуждавшемуся вопросу, решив довести до сведения Временного правительства высказанные в заседании суждения (ЦГВИА, ф. 369, оп. 1, д. обе л. 86).</w:t>
      </w:r>
    </w:p>
    <w:bookmarkStart w:id="410" w:name="_ftn5"/>
    <w:p w14:paraId="2F39EDBE" w14:textId="77777777" w:rsidR="00A86BBC" w:rsidRPr="002F2FDF" w:rsidRDefault="004A1FB3" w:rsidP="0083075A">
      <w:pPr>
        <w:pStyle w:val="rtejustify"/>
        <w:spacing w:before="0" w:after="0"/>
        <w:rPr>
          <w:color w:val="000000" w:themeColor="text1"/>
          <w:kern w:val="2"/>
          <w:sz w:val="16"/>
          <w:szCs w:val="16"/>
        </w:rPr>
      </w:pPr>
      <w:r w:rsidRPr="002F2FDF">
        <w:rPr>
          <w:color w:val="000000" w:themeColor="text1"/>
          <w:kern w:val="2"/>
          <w:sz w:val="16"/>
          <w:szCs w:val="16"/>
        </w:rPr>
        <w:fldChar w:fldCharType="begin"/>
      </w:r>
      <w:r w:rsidR="00A86BBC" w:rsidRPr="002F2FDF">
        <w:rPr>
          <w:color w:val="000000" w:themeColor="text1"/>
          <w:kern w:val="2"/>
          <w:sz w:val="16"/>
          <w:szCs w:val="16"/>
        </w:rPr>
        <w:instrText xml:space="preserve"> HYPERLINK "http://istmat.info/node/41408" \l "_ftnref5" \o "" </w:instrText>
      </w:r>
      <w:r w:rsidRPr="002F2FDF">
        <w:rPr>
          <w:color w:val="000000" w:themeColor="text1"/>
          <w:kern w:val="2"/>
          <w:sz w:val="16"/>
          <w:szCs w:val="16"/>
        </w:rPr>
      </w:r>
      <w:r w:rsidRPr="002F2FDF">
        <w:rPr>
          <w:color w:val="000000" w:themeColor="text1"/>
          <w:kern w:val="2"/>
          <w:sz w:val="16"/>
          <w:szCs w:val="16"/>
        </w:rPr>
        <w:fldChar w:fldCharType="separate"/>
      </w:r>
      <w:r w:rsidR="00A86BBC" w:rsidRPr="002F2FDF">
        <w:rPr>
          <w:rStyle w:val="a5"/>
          <w:color w:val="000000" w:themeColor="text1"/>
          <w:kern w:val="2"/>
          <w:sz w:val="16"/>
          <w:szCs w:val="16"/>
        </w:rPr>
        <w:t>[5]</w:t>
      </w:r>
      <w:r w:rsidRPr="002F2FDF">
        <w:rPr>
          <w:color w:val="000000" w:themeColor="text1"/>
          <w:kern w:val="2"/>
          <w:sz w:val="16"/>
          <w:szCs w:val="16"/>
        </w:rPr>
        <w:fldChar w:fldCharType="end"/>
      </w:r>
      <w:bookmarkEnd w:id="410"/>
      <w:r w:rsidR="00A86BBC" w:rsidRPr="002F2FDF">
        <w:rPr>
          <w:color w:val="000000" w:themeColor="text1"/>
          <w:kern w:val="2"/>
          <w:sz w:val="16"/>
          <w:szCs w:val="16"/>
        </w:rPr>
        <w:t xml:space="preserve"> В деле не имеется.</w:t>
      </w:r>
    </w:p>
    <w:bookmarkStart w:id="411" w:name="_ftn6"/>
    <w:p w14:paraId="5C62583B" w14:textId="77777777" w:rsidR="00A86BBC" w:rsidRPr="002F2FDF" w:rsidRDefault="004A1FB3" w:rsidP="0083075A">
      <w:pPr>
        <w:pStyle w:val="ae"/>
        <w:spacing w:before="0" w:after="0"/>
        <w:jc w:val="both"/>
        <w:rPr>
          <w:color w:val="000000" w:themeColor="text1"/>
          <w:kern w:val="2"/>
          <w:sz w:val="16"/>
          <w:szCs w:val="16"/>
        </w:rPr>
      </w:pPr>
      <w:r w:rsidRPr="002F2FDF">
        <w:rPr>
          <w:color w:val="000000" w:themeColor="text1"/>
          <w:kern w:val="2"/>
          <w:sz w:val="16"/>
          <w:szCs w:val="16"/>
        </w:rPr>
        <w:fldChar w:fldCharType="begin"/>
      </w:r>
      <w:r w:rsidR="00A86BBC" w:rsidRPr="002F2FDF">
        <w:rPr>
          <w:color w:val="000000" w:themeColor="text1"/>
          <w:kern w:val="2"/>
          <w:sz w:val="16"/>
          <w:szCs w:val="16"/>
        </w:rPr>
        <w:instrText xml:space="preserve"> HYPERLINK "http://istmat.info/node/41408" \l "_ftnref6" \o "" </w:instrText>
      </w:r>
      <w:r w:rsidRPr="002F2FDF">
        <w:rPr>
          <w:color w:val="000000" w:themeColor="text1"/>
          <w:kern w:val="2"/>
          <w:sz w:val="16"/>
          <w:szCs w:val="16"/>
        </w:rPr>
      </w:r>
      <w:r w:rsidRPr="002F2FDF">
        <w:rPr>
          <w:color w:val="000000" w:themeColor="text1"/>
          <w:kern w:val="2"/>
          <w:sz w:val="16"/>
          <w:szCs w:val="16"/>
        </w:rPr>
        <w:fldChar w:fldCharType="separate"/>
      </w:r>
      <w:r w:rsidR="00A86BBC" w:rsidRPr="002F2FDF">
        <w:rPr>
          <w:rStyle w:val="a5"/>
          <w:color w:val="000000" w:themeColor="text1"/>
          <w:kern w:val="2"/>
          <w:sz w:val="16"/>
          <w:szCs w:val="16"/>
        </w:rPr>
        <w:t>[6]</w:t>
      </w:r>
      <w:r w:rsidRPr="002F2FDF">
        <w:rPr>
          <w:color w:val="000000" w:themeColor="text1"/>
          <w:kern w:val="2"/>
          <w:sz w:val="16"/>
          <w:szCs w:val="16"/>
        </w:rPr>
        <w:fldChar w:fldCharType="end"/>
      </w:r>
      <w:bookmarkEnd w:id="411"/>
      <w:r w:rsidR="00A86BBC" w:rsidRPr="002F2FDF">
        <w:rPr>
          <w:color w:val="000000" w:themeColor="text1"/>
          <w:kern w:val="2"/>
          <w:sz w:val="16"/>
          <w:szCs w:val="16"/>
        </w:rPr>
        <w:t xml:space="preserve"> Сокращение: с. — сил (15242).</w:t>
      </w:r>
    </w:p>
    <w:p w14:paraId="43DFB0D7" w14:textId="77777777" w:rsidR="00A86BBC" w:rsidRPr="002F2FDF" w:rsidRDefault="00A86BBC" w:rsidP="0083075A">
      <w:pPr>
        <w:pStyle w:val="rteindent11"/>
        <w:shd w:val="clear" w:color="auto" w:fill="FFFFFF"/>
        <w:spacing w:before="0" w:beforeAutospacing="0" w:after="0"/>
        <w:ind w:left="0" w:firstLine="0"/>
        <w:rPr>
          <w:rStyle w:val="a7"/>
          <w:rFonts w:eastAsiaTheme="majorEastAsia"/>
          <w:b w:val="0"/>
          <w:color w:val="000000" w:themeColor="text1"/>
          <w:kern w:val="2"/>
          <w:sz w:val="16"/>
          <w:szCs w:val="16"/>
        </w:rPr>
      </w:pPr>
    </w:p>
    <w:p w14:paraId="1D955D12"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Ноябрь 1917 г.</w:t>
      </w:r>
    </w:p>
    <w:p w14:paraId="06202A99"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Доклад начальника У правления военно-воздушного флота ген. Д. В. Яковлева военному министру по вопросу авиационного снабжения армии.</w:t>
      </w:r>
    </w:p>
    <w:p w14:paraId="1B0EE5C2"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Ноябрь 1917 г.</w:t>
      </w:r>
    </w:p>
    <w:p w14:paraId="25910378"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дополнение к докладам: моим от 23 мая с. г. за № 9022 1 и от 25 мая за № 9040 2 и представленного Вам в октябре месяце проекта доклада,3 при сем прилагаемого, обязуюсь вновь доложить нижеследующие соображения по вопросу авиационного снабжения.</w:t>
      </w:r>
    </w:p>
    <w:p w14:paraId="473ECAB7"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Из последнего доклада Вы изволите усмотреть, что затруднения в обслуживании армии авиационными средствами, как они сложились  концу предшествующего месяца, сводились главным образом к неполучению из-за границы в обусловленные програмными соображениями сроки авиационных моторов и к невозможности в силу этого осуществления хотя бы минимальной программы русского аэропланного строительства.</w:t>
      </w:r>
    </w:p>
    <w:p w14:paraId="4EF3AA31"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Усматривая причину создавшихся затруднений в общеполитической обстановке и не располагая в пределах предоставленных мне полномочий возможностью сколько-нибудь изменить то катастрофическое положение, в которое ставилось этим авиационное снабжение, я счел своим долгом довести до Вашего сведения и до сведения Особого совещания по обороне государства о грозящем фронту оскудении авиационными средствами и о возлагаемой на казну тяжести оплаты многомиллионных расходов по постройке аэропланов, употребление коих в действие являлось маловероятным ввиду опозданий в получении из-за границы моторов.</w:t>
      </w:r>
    </w:p>
    <w:p w14:paraId="74D5003A"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Особое совещание, обсудив представленные мною данные, наметило к устранению создавшихся затруднений ряд мер, кои могли хотя бы частично исправить создавшееся положение. Главнейшие из них сводились к объединению в России и за границей всех заказов как сухопутной, так и морской авиации, к командированию во Францию, Англию и на союзную конференцию авторитетного представителя России в целях содействия присылке моторов и аэропланов и к скорейшему проведению в жизнь обмена с союзниками предметов авиации на сырье, которое мы могли бы им дать.</w:t>
      </w:r>
    </w:p>
    <w:p w14:paraId="2A769686"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События последующего периода не дают оснований рассчитывать на цроведение в ближайшее время намеченных мер. Приостановка же прибытия из-за границы авиационных моторов ставит вопрос о дальнейшем снабжении армии авиационными средствами в тесную зависимость лишь </w:t>
      </w:r>
      <w:r w:rsidRPr="002F2FDF">
        <w:rPr>
          <w:rFonts w:ascii="Tahoma" w:hAnsi="Tahoma" w:cs="Tahoma"/>
          <w:color w:val="000000" w:themeColor="text1"/>
          <w:sz w:val="16"/>
          <w:szCs w:val="16"/>
        </w:rPr>
        <w:t>﻿</w:t>
      </w:r>
      <w:r w:rsidRPr="002F2FDF">
        <w:rPr>
          <w:rFonts w:ascii="Times New Roman" w:hAnsi="Times New Roman" w:cs="Times New Roman"/>
          <w:color w:val="000000" w:themeColor="text1"/>
          <w:sz w:val="16"/>
          <w:szCs w:val="16"/>
        </w:rPr>
        <w:t>от наличия уже имеющихся в распоряжении Управления военного воздушного флота моторов.</w:t>
      </w:r>
    </w:p>
    <w:p w14:paraId="22796A6C"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Состояние запаса моторов представляется в настоящее время в следующем виде:</w:t>
      </w:r>
    </w:p>
    <w:p w14:paraId="26F47F9C"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Тип</w:t>
      </w:r>
      <w:r w:rsidRPr="002F2FDF">
        <w:rPr>
          <w:rFonts w:ascii="Times New Roman" w:hAnsi="Times New Roman" w:cs="Times New Roman"/>
          <w:color w:val="000000" w:themeColor="text1"/>
          <w:sz w:val="16"/>
          <w:szCs w:val="16"/>
        </w:rPr>
        <w:tab/>
        <w:t>На складе |</w:t>
      </w:r>
      <w:r w:rsidRPr="002F2FDF">
        <w:rPr>
          <w:rFonts w:ascii="Times New Roman" w:hAnsi="Times New Roman" w:cs="Times New Roman"/>
          <w:color w:val="000000" w:themeColor="text1"/>
          <w:sz w:val="16"/>
          <w:szCs w:val="16"/>
        </w:rPr>
        <w:tab/>
        <w:t>На заводах для установления ыа самолеты</w:t>
      </w:r>
      <w:r w:rsidRPr="002F2FDF">
        <w:rPr>
          <w:rFonts w:ascii="Times New Roman" w:hAnsi="Times New Roman" w:cs="Times New Roman"/>
          <w:color w:val="000000" w:themeColor="text1"/>
          <w:sz w:val="16"/>
          <w:szCs w:val="16"/>
        </w:rPr>
        <w:tab/>
        <w:t>На моторных заводах</w:t>
      </w:r>
      <w:r w:rsidRPr="002F2FDF">
        <w:rPr>
          <w:rFonts w:ascii="Times New Roman" w:hAnsi="Times New Roman" w:cs="Times New Roman"/>
          <w:color w:val="000000" w:themeColor="text1"/>
          <w:sz w:val="16"/>
          <w:szCs w:val="16"/>
        </w:rPr>
        <w:tab/>
        <w:t>На заграничных самолетах</w:t>
      </w:r>
      <w:r w:rsidRPr="002F2FDF">
        <w:rPr>
          <w:rFonts w:ascii="Times New Roman" w:hAnsi="Times New Roman" w:cs="Times New Roman"/>
          <w:color w:val="000000" w:themeColor="text1"/>
          <w:sz w:val="16"/>
          <w:szCs w:val="16"/>
        </w:rPr>
        <w:tab/>
        <w:t>В пути в пре- делах России</w:t>
      </w:r>
      <w:r w:rsidRPr="002F2FDF">
        <w:rPr>
          <w:rFonts w:ascii="Times New Roman" w:hAnsi="Times New Roman" w:cs="Times New Roman"/>
          <w:color w:val="000000" w:themeColor="text1"/>
          <w:sz w:val="16"/>
          <w:szCs w:val="16"/>
        </w:rPr>
        <w:tab/>
        <w:t>о  ф  о  CQ</w:t>
      </w:r>
      <w:r w:rsidRPr="002F2FDF">
        <w:rPr>
          <w:rFonts w:ascii="Times New Roman" w:hAnsi="Times New Roman" w:cs="Times New Roman"/>
          <w:color w:val="000000" w:themeColor="text1"/>
          <w:sz w:val="16"/>
          <w:szCs w:val="16"/>
        </w:rPr>
        <w:tab/>
        <w:t>Из них может быть использова- но для установ- ки на русские  рлмо.поти</w:t>
      </w:r>
    </w:p>
    <w:p w14:paraId="0CD05D5D"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Каитон-Юнне 160с*</w:t>
      </w:r>
      <w:r w:rsidRPr="002F2FDF">
        <w:rPr>
          <w:rFonts w:ascii="Times New Roman" w:hAnsi="Times New Roman" w:cs="Times New Roman"/>
          <w:color w:val="000000" w:themeColor="text1"/>
          <w:sz w:val="16"/>
          <w:szCs w:val="16"/>
        </w:rPr>
        <w:tab/>
        <w:t xml:space="preserve">  Рои 110/120с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17  89</w:t>
      </w:r>
      <w:r w:rsidRPr="002F2FDF">
        <w:rPr>
          <w:rFonts w:ascii="Times New Roman" w:hAnsi="Times New Roman" w:cs="Times New Roman"/>
          <w:color w:val="000000" w:themeColor="text1"/>
          <w:sz w:val="16"/>
          <w:szCs w:val="16"/>
        </w:rPr>
        <w:tab/>
        <w:t>169</w:t>
      </w:r>
      <w:r w:rsidRPr="002F2FDF">
        <w:rPr>
          <w:rFonts w:ascii="Times New Roman" w:hAnsi="Times New Roman" w:cs="Times New Roman"/>
          <w:color w:val="000000" w:themeColor="text1"/>
          <w:sz w:val="16"/>
          <w:szCs w:val="16"/>
        </w:rPr>
        <w:tab/>
        <w:t>17  259</w:t>
      </w:r>
      <w:r w:rsidRPr="002F2FDF">
        <w:rPr>
          <w:rFonts w:ascii="Times New Roman" w:hAnsi="Times New Roman" w:cs="Times New Roman"/>
          <w:color w:val="000000" w:themeColor="text1"/>
          <w:sz w:val="16"/>
          <w:szCs w:val="16"/>
        </w:rPr>
        <w:tab/>
        <w:t>170</w:t>
      </w:r>
    </w:p>
    <w:p w14:paraId="309A7C86"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100с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о</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6</w:t>
      </w:r>
      <w:r w:rsidRPr="002F2FDF">
        <w:rPr>
          <w:rFonts w:ascii="Times New Roman" w:hAnsi="Times New Roman" w:cs="Times New Roman"/>
          <w:color w:val="000000" w:themeColor="text1"/>
          <w:sz w:val="16"/>
          <w:szCs w:val="16"/>
        </w:rPr>
        <w:tab/>
        <w:t>6</w:t>
      </w:r>
    </w:p>
    <w:p w14:paraId="31A7DBF3"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80с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12</w:t>
      </w:r>
      <w:r w:rsidRPr="002F2FDF">
        <w:rPr>
          <w:rFonts w:ascii="Times New Roman" w:hAnsi="Times New Roman" w:cs="Times New Roman"/>
          <w:color w:val="000000" w:themeColor="text1"/>
          <w:sz w:val="16"/>
          <w:szCs w:val="16"/>
        </w:rPr>
        <w:tab/>
        <w:t>87</w:t>
      </w:r>
      <w:r w:rsidRPr="002F2FDF">
        <w:rPr>
          <w:rFonts w:ascii="Times New Roman" w:hAnsi="Times New Roman" w:cs="Times New Roman"/>
          <w:color w:val="000000" w:themeColor="text1"/>
          <w:sz w:val="16"/>
          <w:szCs w:val="16"/>
        </w:rPr>
        <w:tab/>
        <w:t>6</w:t>
      </w:r>
      <w:r w:rsidRPr="002F2FDF">
        <w:rPr>
          <w:rFonts w:ascii="Times New Roman" w:hAnsi="Times New Roman" w:cs="Times New Roman"/>
          <w:color w:val="000000" w:themeColor="text1"/>
          <w:sz w:val="16"/>
          <w:szCs w:val="16"/>
        </w:rPr>
        <w:tab/>
        <w:t>4</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109</w:t>
      </w:r>
      <w:r w:rsidRPr="002F2FDF">
        <w:rPr>
          <w:rFonts w:ascii="Times New Roman" w:hAnsi="Times New Roman" w:cs="Times New Roman"/>
          <w:color w:val="000000" w:themeColor="text1"/>
          <w:sz w:val="16"/>
          <w:szCs w:val="16"/>
        </w:rPr>
        <w:tab/>
        <w:t>—</w:t>
      </w:r>
    </w:p>
    <w:p w14:paraId="0FADC6C2"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Сальмсон 245с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п</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5</w:t>
      </w:r>
      <w:r w:rsidRPr="002F2FDF">
        <w:rPr>
          <w:rFonts w:ascii="Times New Roman" w:hAnsi="Times New Roman" w:cs="Times New Roman"/>
          <w:color w:val="000000" w:themeColor="text1"/>
          <w:sz w:val="16"/>
          <w:szCs w:val="16"/>
        </w:rPr>
        <w:tab/>
        <w:t>—</w:t>
      </w:r>
    </w:p>
    <w:p w14:paraId="18AEACE9"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230с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171</w:t>
      </w:r>
      <w:r w:rsidRPr="002F2FDF">
        <w:rPr>
          <w:rFonts w:ascii="Times New Roman" w:hAnsi="Times New Roman" w:cs="Times New Roman"/>
          <w:color w:val="000000" w:themeColor="text1"/>
          <w:sz w:val="16"/>
          <w:szCs w:val="16"/>
        </w:rPr>
        <w:tab/>
        <w:t>3</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174</w:t>
      </w:r>
      <w:r w:rsidRPr="002F2FDF">
        <w:rPr>
          <w:rFonts w:ascii="Times New Roman" w:hAnsi="Times New Roman" w:cs="Times New Roman"/>
          <w:color w:val="000000" w:themeColor="text1"/>
          <w:sz w:val="16"/>
          <w:szCs w:val="16"/>
        </w:rPr>
        <w:tab/>
        <w:t>—</w:t>
      </w:r>
    </w:p>
    <w:p w14:paraId="002C3579"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175с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_</w:t>
      </w:r>
      <w:r w:rsidRPr="002F2FDF">
        <w:rPr>
          <w:rFonts w:ascii="Times New Roman" w:hAnsi="Times New Roman" w:cs="Times New Roman"/>
          <w:color w:val="000000" w:themeColor="text1"/>
          <w:sz w:val="16"/>
          <w:szCs w:val="16"/>
        </w:rPr>
        <w:tab/>
        <w:t>15</w:t>
      </w:r>
      <w:r w:rsidRPr="002F2FDF">
        <w:rPr>
          <w:rFonts w:ascii="Times New Roman" w:hAnsi="Times New Roman" w:cs="Times New Roman"/>
          <w:color w:val="000000" w:themeColor="text1"/>
          <w:sz w:val="16"/>
          <w:szCs w:val="16"/>
        </w:rPr>
        <w:tab/>
        <w:t>15</w:t>
      </w:r>
      <w:r w:rsidRPr="002F2FDF">
        <w:rPr>
          <w:rFonts w:ascii="Times New Roman" w:hAnsi="Times New Roman" w:cs="Times New Roman"/>
          <w:color w:val="000000" w:themeColor="text1"/>
          <w:sz w:val="16"/>
          <w:szCs w:val="16"/>
        </w:rPr>
        <w:tab/>
        <w:t>15</w:t>
      </w:r>
    </w:p>
    <w:p w14:paraId="3B0C19BB"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220с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4</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5</w:t>
      </w:r>
      <w:r w:rsidRPr="002F2FDF">
        <w:rPr>
          <w:rFonts w:ascii="Times New Roman" w:hAnsi="Times New Roman" w:cs="Times New Roman"/>
          <w:color w:val="000000" w:themeColor="text1"/>
          <w:sz w:val="16"/>
          <w:szCs w:val="16"/>
        </w:rPr>
        <w:tab/>
        <w:t>—</w:t>
      </w:r>
    </w:p>
    <w:p w14:paraId="5A43EC4E"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160с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181</w:t>
      </w:r>
      <w:r w:rsidRPr="002F2FDF">
        <w:rPr>
          <w:rFonts w:ascii="Times New Roman" w:hAnsi="Times New Roman" w:cs="Times New Roman"/>
          <w:color w:val="000000" w:themeColor="text1"/>
          <w:sz w:val="16"/>
          <w:szCs w:val="16"/>
        </w:rPr>
        <w:tab/>
        <w:t>30</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11</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222</w:t>
      </w:r>
      <w:r w:rsidRPr="002F2FDF">
        <w:rPr>
          <w:rFonts w:ascii="Times New Roman" w:hAnsi="Times New Roman" w:cs="Times New Roman"/>
          <w:color w:val="000000" w:themeColor="text1"/>
          <w:sz w:val="16"/>
          <w:szCs w:val="16"/>
        </w:rPr>
        <w:tab/>
        <w:t>211</w:t>
      </w:r>
    </w:p>
    <w:p w14:paraId="7ACD5E99"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&gt;i 150с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155</w:t>
      </w:r>
      <w:r w:rsidRPr="002F2FDF">
        <w:rPr>
          <w:rFonts w:ascii="Times New Roman" w:hAnsi="Times New Roman" w:cs="Times New Roman"/>
          <w:color w:val="000000" w:themeColor="text1"/>
          <w:sz w:val="16"/>
          <w:szCs w:val="16"/>
        </w:rPr>
        <w:tab/>
        <w:t>368</w:t>
      </w:r>
      <w:r w:rsidRPr="002F2FDF">
        <w:rPr>
          <w:rFonts w:ascii="Times New Roman" w:hAnsi="Times New Roman" w:cs="Times New Roman"/>
          <w:color w:val="000000" w:themeColor="text1"/>
          <w:sz w:val="16"/>
          <w:szCs w:val="16"/>
        </w:rPr>
        <w:tab/>
        <w:t>12</w:t>
      </w:r>
      <w:r w:rsidRPr="002F2FDF">
        <w:rPr>
          <w:rFonts w:ascii="Times New Roman" w:hAnsi="Times New Roman" w:cs="Times New Roman"/>
          <w:color w:val="000000" w:themeColor="text1"/>
          <w:sz w:val="16"/>
          <w:szCs w:val="16"/>
        </w:rPr>
        <w:tab/>
        <w:t>1</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536</w:t>
      </w:r>
      <w:r w:rsidRPr="002F2FDF">
        <w:rPr>
          <w:rFonts w:ascii="Times New Roman" w:hAnsi="Times New Roman" w:cs="Times New Roman"/>
          <w:color w:val="000000" w:themeColor="text1"/>
          <w:sz w:val="16"/>
          <w:szCs w:val="16"/>
        </w:rPr>
        <w:tab/>
        <w:t>(условно</w:t>
      </w:r>
    </w:p>
    <w:p w14:paraId="33B313DC"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140с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9</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9</w:t>
      </w:r>
      <w:r w:rsidRPr="002F2FDF">
        <w:rPr>
          <w:rFonts w:ascii="Times New Roman" w:hAnsi="Times New Roman" w:cs="Times New Roman"/>
          <w:color w:val="000000" w:themeColor="text1"/>
          <w:sz w:val="16"/>
          <w:szCs w:val="16"/>
        </w:rPr>
        <w:tab/>
        <w:t>—</w:t>
      </w:r>
    </w:p>
    <w:p w14:paraId="780DB78F"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130с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3</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3</w:t>
      </w:r>
      <w:r w:rsidRPr="002F2FDF">
        <w:rPr>
          <w:rFonts w:ascii="Times New Roman" w:hAnsi="Times New Roman" w:cs="Times New Roman"/>
          <w:color w:val="000000" w:themeColor="text1"/>
          <w:sz w:val="16"/>
          <w:szCs w:val="16"/>
        </w:rPr>
        <w:tab/>
        <w:t>—</w:t>
      </w:r>
    </w:p>
    <w:p w14:paraId="4147E495"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Клерже 110с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19</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1</w:t>
      </w:r>
      <w:r w:rsidRPr="002F2FDF">
        <w:rPr>
          <w:rFonts w:ascii="Times New Roman" w:hAnsi="Times New Roman" w:cs="Times New Roman"/>
          <w:color w:val="000000" w:themeColor="text1"/>
          <w:sz w:val="16"/>
          <w:szCs w:val="16"/>
        </w:rPr>
        <w:tab/>
        <w:t>5</w:t>
      </w:r>
      <w:r w:rsidRPr="002F2FDF">
        <w:rPr>
          <w:rFonts w:ascii="Times New Roman" w:hAnsi="Times New Roman" w:cs="Times New Roman"/>
          <w:color w:val="000000" w:themeColor="text1"/>
          <w:sz w:val="16"/>
          <w:szCs w:val="16"/>
        </w:rPr>
        <w:tab/>
        <w:t>25</w:t>
      </w:r>
      <w:r w:rsidRPr="002F2FDF">
        <w:rPr>
          <w:rFonts w:ascii="Times New Roman" w:hAnsi="Times New Roman" w:cs="Times New Roman"/>
          <w:color w:val="000000" w:themeColor="text1"/>
          <w:sz w:val="16"/>
          <w:szCs w:val="16"/>
        </w:rPr>
        <w:tab/>
        <w:t>25</w:t>
      </w:r>
    </w:p>
    <w:p w14:paraId="7E18F6E0"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100с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p>
    <w:p w14:paraId="1EC3EBE8"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Изота Фраскини 150с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1</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О</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6</w:t>
      </w:r>
      <w:r w:rsidRPr="002F2FDF">
        <w:rPr>
          <w:rFonts w:ascii="Times New Roman" w:hAnsi="Times New Roman" w:cs="Times New Roman"/>
          <w:color w:val="000000" w:themeColor="text1"/>
          <w:sz w:val="16"/>
          <w:szCs w:val="16"/>
        </w:rPr>
        <w:tab/>
        <w:t>—</w:t>
      </w:r>
    </w:p>
    <w:p w14:paraId="5D3DF8EC"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200с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2</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__</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2</w:t>
      </w:r>
      <w:r w:rsidRPr="002F2FDF">
        <w:rPr>
          <w:rFonts w:ascii="Times New Roman" w:hAnsi="Times New Roman" w:cs="Times New Roman"/>
          <w:color w:val="000000" w:themeColor="text1"/>
          <w:sz w:val="16"/>
          <w:szCs w:val="16"/>
        </w:rPr>
        <w:tab/>
        <w:t>2</w:t>
      </w:r>
    </w:p>
    <w:p w14:paraId="2D83672D"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Испана Сюиза 150с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4</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_</w:t>
      </w:r>
      <w:r w:rsidRPr="002F2FDF">
        <w:rPr>
          <w:rFonts w:ascii="Times New Roman" w:hAnsi="Times New Roman" w:cs="Times New Roman"/>
          <w:color w:val="000000" w:themeColor="text1"/>
          <w:sz w:val="16"/>
          <w:szCs w:val="16"/>
        </w:rPr>
        <w:tab/>
        <w:t>4</w:t>
      </w:r>
      <w:r w:rsidRPr="002F2FDF">
        <w:rPr>
          <w:rFonts w:ascii="Times New Roman" w:hAnsi="Times New Roman" w:cs="Times New Roman"/>
          <w:color w:val="000000" w:themeColor="text1"/>
          <w:sz w:val="16"/>
          <w:szCs w:val="16"/>
        </w:rPr>
        <w:tab/>
        <w:t>—</w:t>
      </w:r>
    </w:p>
    <w:p w14:paraId="251A0357"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 » 140с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18</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л</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21</w:t>
      </w:r>
      <w:r w:rsidRPr="002F2FDF">
        <w:rPr>
          <w:rFonts w:ascii="Times New Roman" w:hAnsi="Times New Roman" w:cs="Times New Roman"/>
          <w:color w:val="000000" w:themeColor="text1"/>
          <w:sz w:val="16"/>
          <w:szCs w:val="16"/>
        </w:rPr>
        <w:tab/>
      </w:r>
    </w:p>
    <w:p w14:paraId="71FED9D9"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Анзани 125с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34</w:t>
      </w:r>
      <w:r w:rsidRPr="002F2FDF">
        <w:rPr>
          <w:rFonts w:ascii="Times New Roman" w:hAnsi="Times New Roman" w:cs="Times New Roman"/>
          <w:color w:val="000000" w:themeColor="text1"/>
          <w:sz w:val="16"/>
          <w:szCs w:val="16"/>
        </w:rPr>
        <w:tab/>
        <w:t>1</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Но</w:t>
      </w:r>
      <w:r w:rsidRPr="002F2FDF">
        <w:rPr>
          <w:rFonts w:ascii="Times New Roman" w:hAnsi="Times New Roman" w:cs="Times New Roman"/>
          <w:color w:val="000000" w:themeColor="text1"/>
          <w:sz w:val="16"/>
          <w:szCs w:val="16"/>
        </w:rPr>
        <w:tab/>
        <w:t>—</w:t>
      </w:r>
    </w:p>
    <w:p w14:paraId="58F85157"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110с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8</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8</w:t>
      </w:r>
      <w:r w:rsidRPr="002F2FDF">
        <w:rPr>
          <w:rFonts w:ascii="Times New Roman" w:hAnsi="Times New Roman" w:cs="Times New Roman"/>
          <w:color w:val="000000" w:themeColor="text1"/>
          <w:sz w:val="16"/>
          <w:szCs w:val="16"/>
        </w:rPr>
        <w:tab/>
        <w:t>—</w:t>
      </w:r>
    </w:p>
    <w:p w14:paraId="49556C05"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90с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42</w:t>
      </w:r>
      <w:r w:rsidRPr="002F2FDF">
        <w:rPr>
          <w:rFonts w:ascii="Times New Roman" w:hAnsi="Times New Roman" w:cs="Times New Roman"/>
          <w:color w:val="000000" w:themeColor="text1"/>
          <w:sz w:val="16"/>
          <w:szCs w:val="16"/>
        </w:rPr>
        <w:tab/>
        <w:t>7</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49</w:t>
      </w:r>
      <w:r w:rsidRPr="002F2FDF">
        <w:rPr>
          <w:rFonts w:ascii="Times New Roman" w:hAnsi="Times New Roman" w:cs="Times New Roman"/>
          <w:color w:val="000000" w:themeColor="text1"/>
          <w:sz w:val="16"/>
          <w:szCs w:val="16"/>
        </w:rPr>
        <w:tab/>
        <w:t>—</w:t>
      </w:r>
    </w:p>
    <w:p w14:paraId="6D1DC77E"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60с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1</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1</w:t>
      </w:r>
      <w:r w:rsidRPr="002F2FDF">
        <w:rPr>
          <w:rFonts w:ascii="Times New Roman" w:hAnsi="Times New Roman" w:cs="Times New Roman"/>
          <w:color w:val="000000" w:themeColor="text1"/>
          <w:sz w:val="16"/>
          <w:szCs w:val="16"/>
        </w:rPr>
        <w:tab/>
        <w:t>—</w:t>
      </w:r>
    </w:p>
    <w:p w14:paraId="2A7B1826"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40с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p>
    <w:p w14:paraId="4F5A2885"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РАФ 90с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12</w:t>
      </w:r>
      <w:r w:rsidRPr="002F2FDF">
        <w:rPr>
          <w:rFonts w:ascii="Times New Roman" w:hAnsi="Times New Roman" w:cs="Times New Roman"/>
          <w:color w:val="000000" w:themeColor="text1"/>
          <w:sz w:val="16"/>
          <w:szCs w:val="16"/>
        </w:rPr>
        <w:tab/>
        <w:t>_</w:t>
      </w:r>
      <w:r w:rsidRPr="002F2FDF">
        <w:rPr>
          <w:rFonts w:ascii="Times New Roman" w:hAnsi="Times New Roman" w:cs="Times New Roman"/>
          <w:color w:val="000000" w:themeColor="text1"/>
          <w:sz w:val="16"/>
          <w:szCs w:val="16"/>
        </w:rPr>
        <w:tab/>
        <w:t>12</w:t>
      </w:r>
      <w:r w:rsidRPr="002F2FDF">
        <w:rPr>
          <w:rFonts w:ascii="Times New Roman" w:hAnsi="Times New Roman" w:cs="Times New Roman"/>
          <w:color w:val="000000" w:themeColor="text1"/>
          <w:sz w:val="16"/>
          <w:szCs w:val="16"/>
        </w:rPr>
        <w:tab/>
        <w:t>—</w:t>
      </w:r>
    </w:p>
    <w:p w14:paraId="50D1516E"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РБВ 36[с.]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7</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7</w:t>
      </w:r>
      <w:r w:rsidRPr="002F2FDF">
        <w:rPr>
          <w:rFonts w:ascii="Times New Roman" w:hAnsi="Times New Roman" w:cs="Times New Roman"/>
          <w:color w:val="000000" w:themeColor="text1"/>
          <w:sz w:val="16"/>
          <w:szCs w:val="16"/>
        </w:rPr>
        <w:tab/>
        <w:t>—</w:t>
      </w:r>
    </w:p>
    <w:p w14:paraId="092DBE02"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Рено 220с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56</w:t>
      </w:r>
      <w:r w:rsidRPr="002F2FDF">
        <w:rPr>
          <w:rFonts w:ascii="Times New Roman" w:hAnsi="Times New Roman" w:cs="Times New Roman"/>
          <w:color w:val="000000" w:themeColor="text1"/>
          <w:sz w:val="16"/>
          <w:szCs w:val="16"/>
        </w:rPr>
        <w:tab/>
        <w:t>58</w:t>
      </w:r>
      <w:r w:rsidRPr="002F2FDF">
        <w:rPr>
          <w:rFonts w:ascii="Times New Roman" w:hAnsi="Times New Roman" w:cs="Times New Roman"/>
          <w:color w:val="000000" w:themeColor="text1"/>
          <w:sz w:val="16"/>
          <w:szCs w:val="16"/>
        </w:rPr>
        <w:tab/>
        <w:t>10</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124</w:t>
      </w:r>
      <w:r w:rsidRPr="002F2FDF">
        <w:rPr>
          <w:rFonts w:ascii="Times New Roman" w:hAnsi="Times New Roman" w:cs="Times New Roman"/>
          <w:color w:val="000000" w:themeColor="text1"/>
          <w:sz w:val="16"/>
          <w:szCs w:val="16"/>
        </w:rPr>
        <w:tab/>
      </w:r>
    </w:p>
    <w:p w14:paraId="3ADF0C6C"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150с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p>
    <w:p w14:paraId="19EC5FD5"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130с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10</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10</w:t>
      </w:r>
      <w:r w:rsidRPr="002F2FDF">
        <w:rPr>
          <w:rFonts w:ascii="Times New Roman" w:hAnsi="Times New Roman" w:cs="Times New Roman"/>
          <w:color w:val="000000" w:themeColor="text1"/>
          <w:sz w:val="16"/>
          <w:szCs w:val="16"/>
        </w:rPr>
        <w:tab/>
      </w:r>
    </w:p>
    <w:p w14:paraId="1C2524A1"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Сенбим 160/170с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8</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14</w:t>
      </w:r>
      <w:r w:rsidRPr="002F2FDF">
        <w:rPr>
          <w:rFonts w:ascii="Times New Roman" w:hAnsi="Times New Roman" w:cs="Times New Roman"/>
          <w:color w:val="000000" w:themeColor="text1"/>
          <w:sz w:val="16"/>
          <w:szCs w:val="16"/>
        </w:rPr>
        <w:tab/>
        <w:t>22</w:t>
      </w:r>
      <w:r w:rsidRPr="002F2FDF">
        <w:rPr>
          <w:rFonts w:ascii="Times New Roman" w:hAnsi="Times New Roman" w:cs="Times New Roman"/>
          <w:color w:val="000000" w:themeColor="text1"/>
          <w:sz w:val="16"/>
          <w:szCs w:val="16"/>
        </w:rPr>
        <w:tab/>
        <w:t>—</w:t>
      </w:r>
    </w:p>
    <w:p w14:paraId="57FAFB72"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150с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147</w:t>
      </w:r>
      <w:r w:rsidRPr="002F2FDF">
        <w:rPr>
          <w:rFonts w:ascii="Times New Roman" w:hAnsi="Times New Roman" w:cs="Times New Roman"/>
          <w:color w:val="000000" w:themeColor="text1"/>
          <w:sz w:val="16"/>
          <w:szCs w:val="16"/>
        </w:rPr>
        <w:tab/>
        <w:t>19</w:t>
      </w:r>
      <w:r w:rsidRPr="002F2FDF">
        <w:rPr>
          <w:rFonts w:ascii="Times New Roman" w:hAnsi="Times New Roman" w:cs="Times New Roman"/>
          <w:color w:val="000000" w:themeColor="text1"/>
          <w:sz w:val="16"/>
          <w:szCs w:val="16"/>
        </w:rPr>
        <w:tab/>
        <w:t>2</w:t>
      </w:r>
      <w:r w:rsidRPr="002F2FDF">
        <w:rPr>
          <w:rFonts w:ascii="Times New Roman" w:hAnsi="Times New Roman" w:cs="Times New Roman"/>
          <w:color w:val="000000" w:themeColor="text1"/>
          <w:sz w:val="16"/>
          <w:szCs w:val="16"/>
        </w:rPr>
        <w:tab/>
        <w:t>_</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168</w:t>
      </w:r>
      <w:r w:rsidRPr="002F2FDF">
        <w:rPr>
          <w:rFonts w:ascii="Times New Roman" w:hAnsi="Times New Roman" w:cs="Times New Roman"/>
          <w:color w:val="000000" w:themeColor="text1"/>
          <w:sz w:val="16"/>
          <w:szCs w:val="16"/>
        </w:rPr>
        <w:tab/>
      </w:r>
    </w:p>
    <w:p w14:paraId="528D1EC7"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Фиат 100с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44</w:t>
      </w:r>
      <w:r w:rsidRPr="002F2FDF">
        <w:rPr>
          <w:rFonts w:ascii="Times New Roman" w:hAnsi="Times New Roman" w:cs="Times New Roman"/>
          <w:color w:val="000000" w:themeColor="text1"/>
          <w:sz w:val="16"/>
          <w:szCs w:val="16"/>
        </w:rPr>
        <w:tab/>
        <w:t>49</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93</w:t>
      </w:r>
      <w:r w:rsidRPr="002F2FDF">
        <w:rPr>
          <w:rFonts w:ascii="Times New Roman" w:hAnsi="Times New Roman" w:cs="Times New Roman"/>
          <w:color w:val="000000" w:themeColor="text1"/>
          <w:sz w:val="16"/>
          <w:szCs w:val="16"/>
        </w:rPr>
        <w:tab/>
        <w:t>—</w:t>
      </w:r>
    </w:p>
    <w:p w14:paraId="0AE29462"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230с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66</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НО</w:t>
      </w:r>
      <w:r w:rsidRPr="002F2FDF">
        <w:rPr>
          <w:rFonts w:ascii="Times New Roman" w:hAnsi="Times New Roman" w:cs="Times New Roman"/>
          <w:color w:val="000000" w:themeColor="text1"/>
          <w:sz w:val="16"/>
          <w:szCs w:val="16"/>
        </w:rPr>
        <w:tab/>
        <w:t>96</w:t>
      </w:r>
      <w:r w:rsidRPr="002F2FDF">
        <w:rPr>
          <w:rFonts w:ascii="Times New Roman" w:hAnsi="Times New Roman" w:cs="Times New Roman"/>
          <w:color w:val="000000" w:themeColor="text1"/>
          <w:sz w:val="16"/>
          <w:szCs w:val="16"/>
        </w:rPr>
        <w:tab/>
        <w:t>96</w:t>
      </w:r>
    </w:p>
    <w:p w14:paraId="31633025"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Холл-Скотт 125с</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214</w:t>
      </w:r>
      <w:r w:rsidRPr="002F2FDF">
        <w:rPr>
          <w:rFonts w:ascii="Times New Roman" w:hAnsi="Times New Roman" w:cs="Times New Roman"/>
          <w:color w:val="000000" w:themeColor="text1"/>
          <w:sz w:val="16"/>
          <w:szCs w:val="16"/>
        </w:rPr>
        <w:tab/>
        <w:t>10</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224</w:t>
      </w:r>
      <w:r w:rsidRPr="002F2FDF">
        <w:rPr>
          <w:rFonts w:ascii="Times New Roman" w:hAnsi="Times New Roman" w:cs="Times New Roman"/>
          <w:color w:val="000000" w:themeColor="text1"/>
          <w:sz w:val="16"/>
          <w:szCs w:val="16"/>
        </w:rPr>
        <w:tab/>
        <w:t>—</w:t>
      </w:r>
    </w:p>
    <w:p w14:paraId="453ACC4A"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Итого</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2267</w:t>
      </w:r>
      <w:r w:rsidRPr="002F2FDF">
        <w:rPr>
          <w:rFonts w:ascii="Times New Roman" w:hAnsi="Times New Roman" w:cs="Times New Roman"/>
          <w:color w:val="000000" w:themeColor="text1"/>
          <w:sz w:val="16"/>
          <w:szCs w:val="16"/>
        </w:rPr>
        <w:tab/>
        <w:t>525</w:t>
      </w:r>
    </w:p>
    <w:p w14:paraId="7BBC0C58"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Что касается остальных моторов и количестве 1742 шт., то запас их накапливался в течение 3 лет войны из моторов, кои к моменту их получения являлись уже устаревшими как по системе, так и по мощности, и, следовательно, эти моторы в настоящее время ни в какой мере не. Могут быть использованы для целей боевого снабжения. Потребность же в моторах, вызываемая осуществлением на отечественных аэропланных заводах минимальной авиационной программы, такова:</w:t>
      </w:r>
    </w:p>
    <w:p w14:paraId="78328786"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Исполняется заказ по постройке</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p>
    <w:p w14:paraId="45860DC0"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аэропланов</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p>
    <w:p w14:paraId="42CA5225"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Имеется</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Недостает</w:t>
      </w:r>
    </w:p>
    <w:p w14:paraId="66BE35A6"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моторов</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p>
    <w:p w14:paraId="2A1D03D6"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система</w:t>
      </w:r>
      <w:r w:rsidRPr="002F2FDF">
        <w:rPr>
          <w:rFonts w:ascii="Times New Roman" w:hAnsi="Times New Roman" w:cs="Times New Roman"/>
          <w:color w:val="000000" w:themeColor="text1"/>
          <w:sz w:val="16"/>
          <w:szCs w:val="16"/>
        </w:rPr>
        <w:tab/>
        <w:t>завод</w:t>
      </w:r>
      <w:r w:rsidRPr="002F2FDF">
        <w:rPr>
          <w:rFonts w:ascii="Times New Roman" w:hAnsi="Times New Roman" w:cs="Times New Roman"/>
          <w:color w:val="000000" w:themeColor="text1"/>
          <w:sz w:val="16"/>
          <w:szCs w:val="16"/>
        </w:rPr>
        <w:tab/>
        <w:t>количество</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p>
    <w:p w14:paraId="3628FD1D"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Ныопор X</w:t>
      </w:r>
      <w:r w:rsidRPr="002F2FDF">
        <w:rPr>
          <w:rFonts w:ascii="Times New Roman" w:hAnsi="Times New Roman" w:cs="Times New Roman"/>
          <w:color w:val="000000" w:themeColor="text1"/>
          <w:sz w:val="16"/>
          <w:szCs w:val="16"/>
        </w:rPr>
        <w:tab/>
        <w:t xml:space="preserve">  ' I</w:t>
      </w:r>
      <w:r w:rsidRPr="002F2FDF">
        <w:rPr>
          <w:rFonts w:ascii="Times New Roman" w:hAnsi="Times New Roman" w:cs="Times New Roman"/>
          <w:color w:val="000000" w:themeColor="text1"/>
          <w:sz w:val="16"/>
          <w:szCs w:val="16"/>
        </w:rPr>
        <w:tab/>
        <w:t>Лебедев</w:t>
      </w:r>
      <w:r w:rsidRPr="002F2FDF">
        <w:rPr>
          <w:rFonts w:ascii="Times New Roman" w:hAnsi="Times New Roman" w:cs="Times New Roman"/>
          <w:color w:val="000000" w:themeColor="text1"/>
          <w:sz w:val="16"/>
          <w:szCs w:val="16"/>
        </w:rPr>
        <w:tab/>
        <w:t>40</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p>
    <w:p w14:paraId="5D83093D"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ab/>
        <w:t>Анатра</w:t>
      </w:r>
      <w:r w:rsidRPr="002F2FDF">
        <w:rPr>
          <w:rFonts w:ascii="Times New Roman" w:hAnsi="Times New Roman" w:cs="Times New Roman"/>
          <w:color w:val="000000" w:themeColor="text1"/>
          <w:sz w:val="16"/>
          <w:szCs w:val="16"/>
        </w:rPr>
        <w:tab/>
        <w:t>100</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 176</w:t>
      </w:r>
      <w:r w:rsidRPr="002F2FDF">
        <w:rPr>
          <w:rFonts w:ascii="Times New Roman" w:hAnsi="Times New Roman" w:cs="Times New Roman"/>
          <w:color w:val="000000" w:themeColor="text1"/>
          <w:sz w:val="16"/>
          <w:szCs w:val="16"/>
        </w:rPr>
        <w:tab/>
      </w:r>
    </w:p>
    <w:p w14:paraId="070662D9"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Ныопор XVII . . |</w:t>
      </w:r>
      <w:r w:rsidRPr="002F2FDF">
        <w:rPr>
          <w:rFonts w:ascii="Times New Roman" w:hAnsi="Times New Roman" w:cs="Times New Roman"/>
          <w:color w:val="000000" w:themeColor="text1"/>
          <w:sz w:val="16"/>
          <w:szCs w:val="16"/>
        </w:rPr>
        <w:tab/>
        <w:t>Дуке</w:t>
      </w:r>
      <w:r w:rsidRPr="002F2FDF">
        <w:rPr>
          <w:rFonts w:ascii="Times New Roman" w:hAnsi="Times New Roman" w:cs="Times New Roman"/>
          <w:color w:val="000000" w:themeColor="text1"/>
          <w:sz w:val="16"/>
          <w:szCs w:val="16"/>
        </w:rPr>
        <w:tab/>
        <w:t>100</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294</w:t>
      </w:r>
    </w:p>
    <w:p w14:paraId="1B0AD1B6"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ab/>
        <w:t>Анатра</w:t>
      </w:r>
      <w:r w:rsidRPr="002F2FDF">
        <w:rPr>
          <w:rFonts w:ascii="Times New Roman" w:hAnsi="Times New Roman" w:cs="Times New Roman"/>
          <w:color w:val="000000" w:themeColor="text1"/>
          <w:sz w:val="16"/>
          <w:szCs w:val="16"/>
        </w:rPr>
        <w:tab/>
        <w:t>200</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p>
    <w:p w14:paraId="091BF369"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Ныопор XXI . . .</w:t>
      </w:r>
      <w:r w:rsidRPr="002F2FDF">
        <w:rPr>
          <w:rFonts w:ascii="Times New Roman" w:hAnsi="Times New Roman" w:cs="Times New Roman"/>
          <w:color w:val="000000" w:themeColor="text1"/>
          <w:sz w:val="16"/>
          <w:szCs w:val="16"/>
        </w:rPr>
        <w:tab/>
        <w:t>Дуке</w:t>
      </w:r>
      <w:r w:rsidRPr="002F2FDF">
        <w:rPr>
          <w:rFonts w:ascii="Times New Roman" w:hAnsi="Times New Roman" w:cs="Times New Roman"/>
          <w:color w:val="000000" w:themeColor="text1"/>
          <w:sz w:val="16"/>
          <w:szCs w:val="16"/>
        </w:rPr>
        <w:tab/>
        <w:t>30</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p>
    <w:p w14:paraId="1055B0C7"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Фарман XXX . . |</w:t>
      </w:r>
      <w:r w:rsidRPr="002F2FDF">
        <w:rPr>
          <w:rFonts w:ascii="Times New Roman" w:hAnsi="Times New Roman" w:cs="Times New Roman"/>
          <w:color w:val="000000" w:themeColor="text1"/>
          <w:sz w:val="16"/>
          <w:szCs w:val="16"/>
        </w:rPr>
        <w:tab/>
        <w:t>Дуке  Матиас</w:t>
      </w:r>
      <w:r w:rsidRPr="002F2FDF">
        <w:rPr>
          <w:rFonts w:ascii="Times New Roman" w:hAnsi="Times New Roman" w:cs="Times New Roman"/>
          <w:color w:val="000000" w:themeColor="text1"/>
          <w:sz w:val="16"/>
          <w:szCs w:val="16"/>
        </w:rPr>
        <w:tab/>
        <w:t>100  100</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226</w:t>
      </w:r>
      <w:r w:rsidRPr="002F2FDF">
        <w:rPr>
          <w:rFonts w:ascii="Times New Roman" w:hAnsi="Times New Roman" w:cs="Times New Roman"/>
          <w:color w:val="000000" w:themeColor="text1"/>
          <w:sz w:val="16"/>
          <w:szCs w:val="16"/>
        </w:rPr>
        <w:tab/>
        <w:t>674</w:t>
      </w:r>
    </w:p>
    <w:p w14:paraId="426B8D85"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w:t>
      </w:r>
      <w:r w:rsidRPr="002F2FDF">
        <w:rPr>
          <w:rFonts w:ascii="Times New Roman" w:hAnsi="Times New Roman" w:cs="Times New Roman"/>
          <w:color w:val="000000" w:themeColor="text1"/>
          <w:sz w:val="16"/>
          <w:szCs w:val="16"/>
        </w:rPr>
        <w:tab/>
        <w:t>Анатра</w:t>
      </w:r>
      <w:r w:rsidRPr="002F2FDF">
        <w:rPr>
          <w:rFonts w:ascii="Times New Roman" w:hAnsi="Times New Roman" w:cs="Times New Roman"/>
          <w:color w:val="000000" w:themeColor="text1"/>
          <w:sz w:val="16"/>
          <w:szCs w:val="16"/>
        </w:rPr>
        <w:tab/>
        <w:t>150</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p>
    <w:p w14:paraId="33210F3E"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Анатра Д . . . . {</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250</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p>
    <w:p w14:paraId="165294E5"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300</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p>
    <w:p w14:paraId="7926C0B9"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Лебедь XXIV- . . .</w:t>
      </w:r>
      <w:r w:rsidRPr="002F2FDF">
        <w:rPr>
          <w:rFonts w:ascii="Times New Roman" w:hAnsi="Times New Roman" w:cs="Times New Roman"/>
          <w:color w:val="000000" w:themeColor="text1"/>
          <w:sz w:val="16"/>
          <w:szCs w:val="16"/>
        </w:rPr>
        <w:tab/>
        <w:t>Лебедев</w:t>
      </w:r>
      <w:r w:rsidRPr="002F2FDF">
        <w:rPr>
          <w:rFonts w:ascii="Times New Roman" w:hAnsi="Times New Roman" w:cs="Times New Roman"/>
          <w:color w:val="000000" w:themeColor="text1"/>
          <w:sz w:val="16"/>
          <w:szCs w:val="16"/>
        </w:rPr>
        <w:tab/>
        <w:t>200</w:t>
      </w:r>
      <w:r w:rsidRPr="002F2FDF">
        <w:rPr>
          <w:rFonts w:ascii="Times New Roman" w:hAnsi="Times New Roman" w:cs="Times New Roman"/>
          <w:color w:val="000000" w:themeColor="text1"/>
          <w:sz w:val="16"/>
          <w:szCs w:val="16"/>
        </w:rPr>
        <w:tab/>
        <w:t>98</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102</w:t>
      </w:r>
    </w:p>
    <w:p w14:paraId="5EBC6780"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w:t>
      </w:r>
      <w:r w:rsidRPr="002F2FDF">
        <w:rPr>
          <w:rFonts w:ascii="Times New Roman" w:hAnsi="Times New Roman" w:cs="Times New Roman"/>
          <w:color w:val="000000" w:themeColor="text1"/>
          <w:sz w:val="16"/>
          <w:szCs w:val="16"/>
        </w:rPr>
        <w:tab/>
        <w:t>Матиас</w:t>
      </w:r>
      <w:r w:rsidRPr="002F2FDF">
        <w:rPr>
          <w:rFonts w:ascii="Times New Roman" w:hAnsi="Times New Roman" w:cs="Times New Roman"/>
          <w:color w:val="000000" w:themeColor="text1"/>
          <w:sz w:val="16"/>
          <w:szCs w:val="16"/>
        </w:rPr>
        <w:tab/>
        <w:t>200</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200</w:t>
      </w:r>
    </w:p>
    <w:p w14:paraId="7CDB81B9"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Спад</w:t>
      </w:r>
      <w:r w:rsidRPr="002F2FDF">
        <w:rPr>
          <w:rFonts w:ascii="Times New Roman" w:hAnsi="Times New Roman" w:cs="Times New Roman"/>
          <w:color w:val="000000" w:themeColor="text1"/>
          <w:sz w:val="16"/>
          <w:szCs w:val="16"/>
        </w:rPr>
        <w:tab/>
        <w:t>&lt;</w:t>
      </w:r>
      <w:r w:rsidRPr="002F2FDF">
        <w:rPr>
          <w:rFonts w:ascii="Times New Roman" w:hAnsi="Times New Roman" w:cs="Times New Roman"/>
          <w:color w:val="000000" w:themeColor="text1"/>
          <w:sz w:val="16"/>
          <w:szCs w:val="16"/>
        </w:rPr>
        <w:tab/>
        <w:t>Щетинин</w:t>
      </w:r>
      <w:r w:rsidRPr="002F2FDF">
        <w:rPr>
          <w:rFonts w:ascii="Times New Roman" w:hAnsi="Times New Roman" w:cs="Times New Roman"/>
          <w:color w:val="000000" w:themeColor="text1"/>
          <w:sz w:val="16"/>
          <w:szCs w:val="16"/>
        </w:rPr>
        <w:tab/>
        <w:t>180</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180</w:t>
      </w:r>
    </w:p>
    <w:p w14:paraId="0C0C8973"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w:t>
      </w:r>
      <w:r w:rsidRPr="002F2FDF">
        <w:rPr>
          <w:rFonts w:ascii="Times New Roman" w:hAnsi="Times New Roman" w:cs="Times New Roman"/>
          <w:color w:val="000000" w:themeColor="text1"/>
          <w:sz w:val="16"/>
          <w:szCs w:val="16"/>
        </w:rPr>
        <w:tab/>
        <w:t>Дуке</w:t>
      </w:r>
      <w:r w:rsidRPr="002F2FDF">
        <w:rPr>
          <w:rFonts w:ascii="Times New Roman" w:hAnsi="Times New Roman" w:cs="Times New Roman"/>
          <w:color w:val="000000" w:themeColor="text1"/>
          <w:sz w:val="16"/>
          <w:szCs w:val="16"/>
        </w:rPr>
        <w:tab/>
        <w:t>200</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200</w:t>
      </w:r>
    </w:p>
    <w:p w14:paraId="5801C257"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Сопвич </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Лебедев</w:t>
      </w:r>
      <w:r w:rsidRPr="002F2FDF">
        <w:rPr>
          <w:rFonts w:ascii="Times New Roman" w:hAnsi="Times New Roman" w:cs="Times New Roman"/>
          <w:color w:val="000000" w:themeColor="text1"/>
          <w:sz w:val="16"/>
          <w:szCs w:val="16"/>
        </w:rPr>
        <w:tab/>
        <w:t>140</w:t>
      </w:r>
      <w:r w:rsidRPr="002F2FDF">
        <w:rPr>
          <w:rFonts w:ascii="Times New Roman" w:hAnsi="Times New Roman" w:cs="Times New Roman"/>
          <w:color w:val="000000" w:themeColor="text1"/>
          <w:sz w:val="16"/>
          <w:szCs w:val="16"/>
        </w:rPr>
        <w:tab/>
        <w:t>25</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115</w:t>
      </w:r>
    </w:p>
    <w:p w14:paraId="56895AF9"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Итого</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2290</w:t>
      </w:r>
      <w:r w:rsidRPr="002F2FDF">
        <w:rPr>
          <w:rFonts w:ascii="Times New Roman" w:hAnsi="Times New Roman" w:cs="Times New Roman"/>
          <w:color w:val="000000" w:themeColor="text1"/>
          <w:sz w:val="16"/>
          <w:szCs w:val="16"/>
        </w:rPr>
        <w:tab/>
        <w:t>525</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1765</w:t>
      </w:r>
    </w:p>
    <w:p w14:paraId="6E73D45A"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Рассчитывать на производительность русских моторных заводов в размерах, сколько-нибудь способных выполнить этот пробел в моторах, не имеется достаточных оснований.</w:t>
      </w:r>
    </w:p>
    <w:p w14:paraId="6CA66EFD"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Из изложенного усматривается, что расхождение в выполнении авиационной и моторной программ не оправдывает постройки 1765 аэропланов, которые, будучи выстроены и не снабжены своевременно моторами, не смогут нести какой-либо службы даже в том случае, если бы моторы на них и начали поступать спустя значительный промежуток времени, ввиду того что они, во-первых, устарели бы к тому моменту, учитывая большой прогресс авиационной техники, а во-вторых, ожидая сколько-нибудь значительное время в готовом виде моторов, они могли бы подвергнуться деформации, которая сделала бы сомнительной возможность употребления их для боевых целей.</w:t>
      </w:r>
    </w:p>
    <w:p w14:paraId="47FCC823"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Я не могу не отметить огромного значения для целей обороны страны поддержания со столь большими трудами создавшейся отечественной аэроиланостроительной промышленности, но в то же время я не могу не остановиться на вопросе о целесообразности дальнейшего продолжения аэропланного строительства без достаточных гарантий его действительного использования для нужд обороны.</w:t>
      </w:r>
    </w:p>
    <w:p w14:paraId="4796B3AB"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Приведенные же выше цифры устанавливают невозможность использования для обороны около 80 % всего строющегося количества аэропланов при неизменении обстоятельств, о которых я неоднократно докладывал.</w:t>
      </w:r>
    </w:p>
    <w:p w14:paraId="7B776F80"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Если таковым представляется отражение создавшейся конъюнктуры на заводское строительство, то тем большим но своим результатам представляется ее влияние на удовлетворение текущих потребностей фронта.</w:t>
      </w:r>
    </w:p>
    <w:p w14:paraId="2FFD6D2C"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 последнему сообщению Ставки, минимальная потребность в самолетах в круглых цифрах такова:</w:t>
      </w:r>
    </w:p>
    <w:p w14:paraId="28520B93"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пополне- ние комплекта</w:t>
      </w:r>
      <w:r w:rsidRPr="002F2FDF">
        <w:rPr>
          <w:rFonts w:ascii="Times New Roman" w:hAnsi="Times New Roman" w:cs="Times New Roman"/>
          <w:color w:val="000000" w:themeColor="text1"/>
          <w:sz w:val="16"/>
          <w:szCs w:val="16"/>
        </w:rPr>
        <w:tab/>
        <w:t>На восполнение убыли</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r>
    </w:p>
    <w:p w14:paraId="6E92D107"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Тип аэроплана</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на 1 января</w:t>
      </w:r>
      <w:r w:rsidRPr="002F2FDF">
        <w:rPr>
          <w:rFonts w:ascii="Times New Roman" w:hAnsi="Times New Roman" w:cs="Times New Roman"/>
          <w:color w:val="000000" w:themeColor="text1"/>
          <w:sz w:val="16"/>
          <w:szCs w:val="16"/>
        </w:rPr>
        <w:tab/>
        <w:t>на 1 июня</w:t>
      </w:r>
      <w:r w:rsidRPr="002F2FDF">
        <w:rPr>
          <w:rFonts w:ascii="Times New Roman" w:hAnsi="Times New Roman" w:cs="Times New Roman"/>
          <w:color w:val="000000" w:themeColor="text1"/>
          <w:sz w:val="16"/>
          <w:szCs w:val="16"/>
        </w:rPr>
        <w:tab/>
        <w:t>Всего</w:t>
      </w:r>
    </w:p>
    <w:p w14:paraId="1169F674"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1918 г.</w:t>
      </w:r>
      <w:r w:rsidRPr="002F2FDF">
        <w:rPr>
          <w:rFonts w:ascii="Times New Roman" w:hAnsi="Times New Roman" w:cs="Times New Roman"/>
          <w:color w:val="000000" w:themeColor="text1"/>
          <w:sz w:val="16"/>
          <w:szCs w:val="16"/>
        </w:rPr>
        <w:tab/>
        <w:t>1918 г.</w:t>
      </w:r>
      <w:r w:rsidRPr="002F2FDF">
        <w:rPr>
          <w:rFonts w:ascii="Times New Roman" w:hAnsi="Times New Roman" w:cs="Times New Roman"/>
          <w:color w:val="000000" w:themeColor="text1"/>
          <w:sz w:val="16"/>
          <w:szCs w:val="16"/>
        </w:rPr>
        <w:tab/>
      </w:r>
    </w:p>
    <w:p w14:paraId="29206BD3"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Артиллерии ....</w:t>
      </w:r>
      <w:r w:rsidRPr="002F2FDF">
        <w:rPr>
          <w:rFonts w:ascii="Times New Roman" w:hAnsi="Times New Roman" w:cs="Times New Roman"/>
          <w:color w:val="000000" w:themeColor="text1"/>
          <w:sz w:val="16"/>
          <w:szCs w:val="16"/>
        </w:rPr>
        <w:tab/>
        <w:t>70</w:t>
      </w:r>
      <w:r w:rsidRPr="002F2FDF">
        <w:rPr>
          <w:rFonts w:ascii="Times New Roman" w:hAnsi="Times New Roman" w:cs="Times New Roman"/>
          <w:color w:val="000000" w:themeColor="text1"/>
          <w:sz w:val="16"/>
          <w:szCs w:val="16"/>
        </w:rPr>
        <w:tab/>
        <w:t>30</w:t>
      </w:r>
      <w:r w:rsidRPr="002F2FDF">
        <w:rPr>
          <w:rFonts w:ascii="Times New Roman" w:hAnsi="Times New Roman" w:cs="Times New Roman"/>
          <w:color w:val="000000" w:themeColor="text1"/>
          <w:sz w:val="16"/>
          <w:szCs w:val="16"/>
        </w:rPr>
        <w:tab/>
        <w:t>175</w:t>
      </w:r>
      <w:r w:rsidRPr="002F2FDF">
        <w:rPr>
          <w:rFonts w:ascii="Times New Roman" w:hAnsi="Times New Roman" w:cs="Times New Roman"/>
          <w:color w:val="000000" w:themeColor="text1"/>
          <w:sz w:val="16"/>
          <w:szCs w:val="16"/>
        </w:rPr>
        <w:tab/>
        <w:t>275</w:t>
      </w:r>
    </w:p>
    <w:p w14:paraId="5BD55385"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Корпусных </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85</w:t>
      </w:r>
      <w:r w:rsidRPr="002F2FDF">
        <w:rPr>
          <w:rFonts w:ascii="Times New Roman" w:hAnsi="Times New Roman" w:cs="Times New Roman"/>
          <w:color w:val="000000" w:themeColor="text1"/>
          <w:sz w:val="16"/>
          <w:szCs w:val="16"/>
        </w:rPr>
        <w:tab/>
        <w:t>165</w:t>
      </w:r>
      <w:r w:rsidRPr="002F2FDF">
        <w:rPr>
          <w:rFonts w:ascii="Times New Roman" w:hAnsi="Times New Roman" w:cs="Times New Roman"/>
          <w:color w:val="000000" w:themeColor="text1"/>
          <w:sz w:val="16"/>
          <w:szCs w:val="16"/>
        </w:rPr>
        <w:tab/>
        <w:t>1000</w:t>
      </w:r>
      <w:r w:rsidRPr="002F2FDF">
        <w:rPr>
          <w:rFonts w:ascii="Times New Roman" w:hAnsi="Times New Roman" w:cs="Times New Roman"/>
          <w:color w:val="000000" w:themeColor="text1"/>
          <w:sz w:val="16"/>
          <w:szCs w:val="16"/>
        </w:rPr>
        <w:tab/>
        <w:t>1250</w:t>
      </w:r>
    </w:p>
    <w:p w14:paraId="21F1F54D"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Истребителей . . .</w:t>
      </w:r>
      <w:r w:rsidRPr="002F2FDF">
        <w:rPr>
          <w:rFonts w:ascii="Times New Roman" w:hAnsi="Times New Roman" w:cs="Times New Roman"/>
          <w:color w:val="000000" w:themeColor="text1"/>
          <w:sz w:val="16"/>
          <w:szCs w:val="16"/>
        </w:rPr>
        <w:tab/>
        <w:t>75</w:t>
      </w:r>
      <w:r w:rsidRPr="002F2FDF">
        <w:rPr>
          <w:rFonts w:ascii="Times New Roman" w:hAnsi="Times New Roman" w:cs="Times New Roman"/>
          <w:color w:val="000000" w:themeColor="text1"/>
          <w:sz w:val="16"/>
          <w:szCs w:val="16"/>
        </w:rPr>
        <w:tab/>
        <w:t>325</w:t>
      </w:r>
      <w:r w:rsidRPr="002F2FDF">
        <w:rPr>
          <w:rFonts w:ascii="Times New Roman" w:hAnsi="Times New Roman" w:cs="Times New Roman"/>
          <w:color w:val="000000" w:themeColor="text1"/>
          <w:sz w:val="16"/>
          <w:szCs w:val="16"/>
        </w:rPr>
        <w:tab/>
        <w:t>1450</w:t>
      </w:r>
      <w:r w:rsidRPr="002F2FDF">
        <w:rPr>
          <w:rFonts w:ascii="Times New Roman" w:hAnsi="Times New Roman" w:cs="Times New Roman"/>
          <w:color w:val="000000" w:themeColor="text1"/>
          <w:sz w:val="16"/>
          <w:szCs w:val="16"/>
        </w:rPr>
        <w:tab/>
        <w:t>1850</w:t>
      </w:r>
    </w:p>
    <w:p w14:paraId="5A5C5899"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Итого</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t>—</w:t>
      </w:r>
      <w:r w:rsidRPr="002F2FDF">
        <w:rPr>
          <w:rFonts w:ascii="Times New Roman" w:hAnsi="Times New Roman" w:cs="Times New Roman"/>
          <w:color w:val="000000" w:themeColor="text1"/>
          <w:sz w:val="16"/>
          <w:szCs w:val="16"/>
        </w:rPr>
        <w:tab/>
      </w:r>
      <w:r w:rsidRPr="002F2FDF">
        <w:rPr>
          <w:rFonts w:ascii="Times New Roman" w:hAnsi="Times New Roman" w:cs="Times New Roman"/>
          <w:color w:val="000000" w:themeColor="text1"/>
          <w:sz w:val="16"/>
          <w:szCs w:val="16"/>
        </w:rPr>
        <w:tab/>
        <w:t>3375</w:t>
      </w:r>
    </w:p>
    <w:p w14:paraId="23BFC651"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Судя же но количеству моторов, коими Управление военного воздушного флота располагает с несомненностью, фронту может быть дано лишь 525 аппаратов, т. е. 15 ?о требуемого количества.</w:t>
      </w:r>
    </w:p>
    <w:p w14:paraId="0F27D803"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Докладывая об изложенном, прошу указаний.</w:t>
      </w:r>
    </w:p>
    <w:p w14:paraId="0696A29E"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ЦГВПА, ф. 493, on. 4, д. 603, лл. 9—10 об. Копия (20646).</w:t>
      </w:r>
    </w:p>
    <w:p w14:paraId="5BE92B5D" w14:textId="77777777" w:rsidR="006D1205" w:rsidRPr="002F2FDF" w:rsidRDefault="006D1205" w:rsidP="0083075A">
      <w:pPr>
        <w:spacing w:after="0" w:line="240" w:lineRule="auto"/>
        <w:jc w:val="both"/>
        <w:rPr>
          <w:rFonts w:ascii="Times New Roman" w:hAnsi="Times New Roman" w:cs="Times New Roman"/>
          <w:color w:val="000000" w:themeColor="text1"/>
          <w:sz w:val="16"/>
          <w:szCs w:val="16"/>
        </w:rPr>
      </w:pPr>
    </w:p>
    <w:p w14:paraId="77900709" w14:textId="77777777" w:rsidR="00A86BBC" w:rsidRPr="002F2FDF" w:rsidRDefault="00A86BBC"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В ноябре 1917 г. всякая авиационная деятельность на Ходынке практически замерла. Прекратились учебные полеты в авиашколе, инструктора и курсанты лишь охраняли здания и сторожили имущество, остановились авиазаводы. График месячной производительности «Дукса» весь 1917 г. больше всего походил на пилу с постепенно стачивающимися зубьями: январь — 76, февраль — 56, март — 36, апрель — 50, май — 46, июнь — 53, июль — 35, август — 33, сентябрь — 26, октябрь — 15, ноябрь — 41, декабрь — 12. Всего сдали 479 аэропланов, но ни разу в первом полугодии завод не вышел на плановый месячный выпуск 100 машин, а во втором полугодии 1917 г. средняя производительность вообще упала до уровня 32 самолета. Завод еще в сентябре 1917 г. фактически прекратил отгрузку на фронт готовой продукции. По разным сводкам выполнения заказов, датированным концом 1917 г. — началом 1918 г., «Дукс» сдал в казну: «Фарманы» разных типов — 183 (заказано по контрактам 375), из них «Фарман-ХХХ» с «Сальмсоном» — 85 (200); «Ньюпор-Х» — 33 (500), «Ньюпоры» (типы XI—XXIV) — 251 (340), «Спад 7» — 12 (200).14 Так же плохо работали и другие заводы. «Моска» из 125 заказанных истребителей МБбис к 30 октября сдал только 25, а мастерские Безобразова из 15 заказанных «Фарманов» вообще не сдали ни одного (15464).</w:t>
      </w:r>
    </w:p>
    <w:p w14:paraId="6B6AE9CA" w14:textId="77777777" w:rsidR="00A86BBC" w:rsidRPr="002F2FDF" w:rsidRDefault="00A86BBC" w:rsidP="0083075A">
      <w:pPr>
        <w:pStyle w:val="2"/>
        <w:spacing w:before="0" w:beforeAutospacing="0" w:after="0" w:afterAutospacing="0"/>
        <w:jc w:val="both"/>
        <w:rPr>
          <w:b w:val="0"/>
          <w:color w:val="000000" w:themeColor="text1"/>
          <w:kern w:val="2"/>
          <w:sz w:val="16"/>
          <w:szCs w:val="16"/>
        </w:rPr>
      </w:pPr>
    </w:p>
    <w:p w14:paraId="7F97DE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 1917 Петроградское Бюро комиссаров авиации и воздухоплавания дважды пыталось стать полномочным общероссийским органом и входило по этому поводу в ВРК. Вопрос о многовластии удалось решить только в апреле 1918 (66,16).</w:t>
      </w:r>
    </w:p>
    <w:p w14:paraId="004362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8DD8E6" w14:textId="77777777" w:rsidR="003C305D" w:rsidRPr="00FB4F67" w:rsidRDefault="003C305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ноябре 1917 г. при заключении контракта с заводом Щетинина на изготовление 5 разведчиков «Аист» указывались «Испано Сюиза» 200 л.с. и «Рено» 220 л.с. Самолет представлял собой трехпоплав</w:t>
      </w:r>
      <w:r w:rsidRPr="00FB4F67">
        <w:rPr>
          <w:rFonts w:ascii="Times New Roman" w:hAnsi="Times New Roman" w:cs="Times New Roman"/>
          <w:color w:val="0070C0"/>
          <w:sz w:val="16"/>
          <w:szCs w:val="16"/>
        </w:rPr>
        <w:softHyphen/>
        <w:t>ковый двухместный биплан, предназначен</w:t>
      </w:r>
      <w:r w:rsidRPr="00FB4F67">
        <w:rPr>
          <w:rFonts w:ascii="Times New Roman" w:hAnsi="Times New Roman" w:cs="Times New Roman"/>
          <w:color w:val="0070C0"/>
          <w:sz w:val="16"/>
          <w:szCs w:val="16"/>
        </w:rPr>
        <w:softHyphen/>
        <w:t>ный к службе морского разведчика. С дви</w:t>
      </w:r>
      <w:r w:rsidRPr="00FB4F67">
        <w:rPr>
          <w:rFonts w:ascii="Times New Roman" w:hAnsi="Times New Roman" w:cs="Times New Roman"/>
          <w:color w:val="0070C0"/>
          <w:sz w:val="16"/>
          <w:szCs w:val="16"/>
        </w:rPr>
        <w:softHyphen/>
        <w:t>гателем «Санбим» 150 л.с. разработчики надеялись получить максимальную ско</w:t>
      </w:r>
      <w:r w:rsidRPr="00FB4F67">
        <w:rPr>
          <w:rFonts w:ascii="Times New Roman" w:hAnsi="Times New Roman" w:cs="Times New Roman"/>
          <w:color w:val="0070C0"/>
          <w:sz w:val="16"/>
          <w:szCs w:val="16"/>
        </w:rPr>
        <w:softHyphen/>
        <w:t>рость полета 150 км/ч. Варианты двига</w:t>
      </w:r>
      <w:r w:rsidRPr="00FB4F67">
        <w:rPr>
          <w:rFonts w:ascii="Times New Roman" w:hAnsi="Times New Roman" w:cs="Times New Roman"/>
          <w:color w:val="0070C0"/>
          <w:sz w:val="16"/>
          <w:szCs w:val="16"/>
        </w:rPr>
        <w:softHyphen/>
        <w:t>тельной установки неоднократно менялись. Впрочем, эти вариации уже не имели значения, ибо осенние события 1917 г. привели к закры</w:t>
      </w:r>
      <w:r w:rsidRPr="00FB4F67">
        <w:rPr>
          <w:rFonts w:ascii="Times New Roman" w:hAnsi="Times New Roman" w:cs="Times New Roman"/>
          <w:color w:val="0070C0"/>
          <w:sz w:val="16"/>
          <w:szCs w:val="16"/>
        </w:rPr>
        <w:softHyphen/>
        <w:t>тию АИС и прекращению опытных работ. Согласно данным Шаврова один самолет построили (23374)</w:t>
      </w:r>
    </w:p>
    <w:p w14:paraId="65C6C139" w14:textId="77777777" w:rsidR="003C305D" w:rsidRPr="00FB4F67" w:rsidRDefault="003C305D" w:rsidP="0083075A">
      <w:pPr>
        <w:spacing w:after="0" w:line="240" w:lineRule="auto"/>
        <w:jc w:val="both"/>
        <w:rPr>
          <w:rFonts w:ascii="Times New Roman" w:hAnsi="Times New Roman" w:cs="Times New Roman"/>
          <w:color w:val="0070C0"/>
          <w:sz w:val="16"/>
          <w:szCs w:val="16"/>
        </w:rPr>
      </w:pPr>
    </w:p>
    <w:p w14:paraId="34372C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 1917 АИС и Управление морской авиации и воздухоплавания рассматривали проект гидроплана И.М.Косткина, работавшего у Ф.Мельцера. Не увидели преимуществ (2843,127).</w:t>
      </w:r>
    </w:p>
    <w:p w14:paraId="43A329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895A9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 или декабре 1917 г. закончили строительством второй МВ-5 Виллиша. Один из этих ВМ-5, по непонятной причине числившийся как ВМ-5 №2 (скорее всего, "№2" обозначал здесь 2-й экспериментальный истребитель типа ВМ-5, хотя простая опечатка также возможна), перелетел на морскую авиационную станцию в Ораниенбауме 18 октября 1918 г., будучи движим мотором "Клерже" мощностью 130 л.с. В ноябре того же года планировалось испытать его на лыжах, т.к. Финский залив опять замерз. В конце концов специальная комиссия опробовала машину в период с 25 по 29 марта 1919 г., но о результатах ничего не сообщалось (2843).</w:t>
      </w:r>
    </w:p>
    <w:p w14:paraId="6165879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7D14D0" w14:textId="77777777" w:rsidR="003C305D" w:rsidRPr="002F2FDF" w:rsidRDefault="003C305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ноябре 1917 был собран начатый весной 1917 года морской истребитель Виллиша ВМ-5. Он был вывезен на гидродром слишком поздно и не испытывался до самой зимы. Для облета в "сухопутном" варианте к нему пристроили лыжи, однако развернувшиеся в стране драматические события привели к тому, что ВМ-5 в лыжной конфигурации доведен не бьл и не испытывался. В 1918 году под давлением обстоятельств, он вынужден бросить все, покинуть Россию и вернуться к себе в тихое </w:t>
      </w:r>
      <w:r w:rsidRPr="002F2FDF">
        <w:rPr>
          <w:rFonts w:ascii="Times New Roman" w:hAnsi="Times New Roman" w:cs="Times New Roman"/>
          <w:color w:val="000000" w:themeColor="text1"/>
          <w:kern w:val="2"/>
          <w:sz w:val="16"/>
          <w:szCs w:val="16"/>
        </w:rPr>
        <w:lastRenderedPageBreak/>
        <w:t>поместье на балтийском берегу (потому и остался в живых). Последний самолет его, ВМ-6, задуман и осуществлялся не просто на высоком или, скажем, приемлемом уровне: он стал очень интересным и притом во многих отношения (11918).</w:t>
      </w:r>
    </w:p>
    <w:p w14:paraId="3D944BBA" w14:textId="77777777" w:rsidR="003C305D" w:rsidRPr="002F2FDF" w:rsidRDefault="003C305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B0FC87" w14:textId="77777777" w:rsidR="003C305D" w:rsidRPr="00FB4F67" w:rsidRDefault="003C305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ноябре 1917 г. на «Дукс» изгото</w:t>
      </w:r>
      <w:r w:rsidRPr="00FB4F67">
        <w:rPr>
          <w:rFonts w:ascii="Times New Roman" w:hAnsi="Times New Roman" w:cs="Times New Roman"/>
          <w:color w:val="0070C0"/>
          <w:sz w:val="16"/>
          <w:szCs w:val="16"/>
        </w:rPr>
        <w:softHyphen/>
        <w:t>вили второй экземпляр л/л ВМ-5 Виллиша в соответствии с контрактом от 15 июля 1917 г., а первый — месяцем ранее.</w:t>
      </w:r>
    </w:p>
    <w:p w14:paraId="1BD49F89" w14:textId="77777777" w:rsidR="003C305D" w:rsidRPr="00FB4F67" w:rsidRDefault="003C305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Наступившая зима не позволила испы</w:t>
      </w:r>
      <w:r w:rsidRPr="00FB4F67">
        <w:rPr>
          <w:rFonts w:ascii="Times New Roman" w:hAnsi="Times New Roman" w:cs="Times New Roman"/>
          <w:color w:val="0070C0"/>
          <w:sz w:val="16"/>
          <w:szCs w:val="16"/>
        </w:rPr>
        <w:softHyphen/>
        <w:t>тать сразу ни один из этих двух самолетов, последующая неопределенность 1918-го года еще более затянула решение судьбы ВМ-5. Известно, что испытания самолета на лыжном шасси со снятыми боковыми поплавками и реданом состоялись в пери</w:t>
      </w:r>
      <w:r w:rsidRPr="00FB4F67">
        <w:rPr>
          <w:rFonts w:ascii="Times New Roman" w:hAnsi="Times New Roman" w:cs="Times New Roman"/>
          <w:color w:val="0070C0"/>
          <w:sz w:val="16"/>
          <w:szCs w:val="16"/>
        </w:rPr>
        <w:softHyphen/>
        <w:t>од 25—29 марта 1919 г. Каких-либо по</w:t>
      </w:r>
      <w:r w:rsidRPr="00FB4F67">
        <w:rPr>
          <w:rFonts w:ascii="Times New Roman" w:hAnsi="Times New Roman" w:cs="Times New Roman"/>
          <w:color w:val="0070C0"/>
          <w:sz w:val="16"/>
          <w:szCs w:val="16"/>
        </w:rPr>
        <w:softHyphen/>
        <w:t>следствий это событие не имело, дальней</w:t>
      </w:r>
      <w:r w:rsidRPr="00FB4F67">
        <w:rPr>
          <w:rFonts w:ascii="Times New Roman" w:hAnsi="Times New Roman" w:cs="Times New Roman"/>
          <w:color w:val="0070C0"/>
          <w:sz w:val="16"/>
          <w:szCs w:val="16"/>
        </w:rPr>
        <w:softHyphen/>
        <w:t>шая судьба ВМ-5 осталась неясной (23374).</w:t>
      </w:r>
    </w:p>
    <w:p w14:paraId="46F9121A" w14:textId="77777777" w:rsidR="003C305D" w:rsidRPr="00FB4F67" w:rsidRDefault="003C305D" w:rsidP="0083075A">
      <w:pPr>
        <w:spacing w:after="0" w:line="240" w:lineRule="auto"/>
        <w:jc w:val="both"/>
        <w:rPr>
          <w:rFonts w:ascii="Times New Roman" w:hAnsi="Times New Roman" w:cs="Times New Roman"/>
          <w:color w:val="0070C0"/>
          <w:sz w:val="16"/>
          <w:szCs w:val="16"/>
        </w:rPr>
      </w:pPr>
    </w:p>
    <w:p w14:paraId="0F0F3D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 1917 ш-к Н.А.Макаров на одноместном самолете Анадис с двигателем Испано в 140-150 нр и монококовым фюзеляжем, который с 23 октября по 11 ноября 1916 проходили испытания и до осени 1917 оставался на заводе А.А.Анатра, отправился в перелет. В сентябре 1917 ш-к Н.А.Макаров возбудил ходатайство о перелете на этой машине по маршруту Одесса-Салоники-Рим-Марсель-Париж-Россия. Полет разрешили. Разбился у г. Яссы из-за остановки двигателя (92,175).</w:t>
      </w:r>
    </w:p>
    <w:p w14:paraId="56B5CC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60310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 1917 военный летчик Д.А.Макаров вылетел по маршруту Одесса-Салоники-Рим-Марсель-Париж-Россия с целью “...посетить фронты и заводы, увидеть авиацию союзников, показать русских летчи</w:t>
      </w:r>
      <w:r w:rsidRPr="002F2FDF">
        <w:rPr>
          <w:rFonts w:ascii="Times New Roman" w:hAnsi="Times New Roman" w:cs="Times New Roman"/>
          <w:color w:val="000000" w:themeColor="text1"/>
          <w:kern w:val="2"/>
          <w:sz w:val="16"/>
          <w:szCs w:val="16"/>
        </w:rPr>
        <w:softHyphen/>
        <w:t>ков, чтобы союзники лучше снабжали нас” один без механика, но из-за остановки двигателя по</w:t>
      </w:r>
      <w:r w:rsidRPr="002F2FDF">
        <w:rPr>
          <w:rFonts w:ascii="Times New Roman" w:hAnsi="Times New Roman" w:cs="Times New Roman"/>
          <w:color w:val="000000" w:themeColor="text1"/>
          <w:kern w:val="2"/>
          <w:sz w:val="16"/>
          <w:szCs w:val="16"/>
        </w:rPr>
        <w:softHyphen/>
        <w:t>терпел аварию при вынужденной посадке в Румынии. Это была одна из первых в мире попыток дальнего перелета, предпринятая при полной технической воз</w:t>
      </w:r>
      <w:r w:rsidRPr="002F2FDF">
        <w:rPr>
          <w:rFonts w:ascii="Times New Roman" w:hAnsi="Times New Roman" w:cs="Times New Roman"/>
          <w:color w:val="000000" w:themeColor="text1"/>
          <w:kern w:val="2"/>
          <w:sz w:val="16"/>
          <w:szCs w:val="16"/>
        </w:rPr>
        <w:softHyphen/>
        <w:t>можности его осуществления (553).</w:t>
      </w:r>
    </w:p>
    <w:p w14:paraId="6045E49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6013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ноября 1917, до дня, когда л Я.И.Седов-Серов и его пассажиры не попали в аварию при попытке взлета, продолжались испытания МК-1 Д.П.Г. Машина зарылась в воду и вода проникла через носовой отсек. машина перевернулась и затонула и ее не ремонтировали. Летом 1917 закончилось строительство прототипа МК-1 Д.П.Г. и в августе 1917 машину подготовили к заводским испытаниям, которые продолжались до ноября (2807,74).</w:t>
      </w:r>
    </w:p>
    <w:p w14:paraId="24D180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4E21E2" w14:textId="77777777" w:rsidR="003431D2" w:rsidRPr="002F2FDF" w:rsidRDefault="003431D2" w:rsidP="0083075A">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2F2FDF">
        <w:rPr>
          <w:rFonts w:ascii="Times New Roman" w:eastAsia="Arial Unicode MS" w:hAnsi="Times New Roman" w:cs="Times New Roman"/>
          <w:color w:val="000000" w:themeColor="text1"/>
          <w:kern w:val="2"/>
          <w:sz w:val="16"/>
          <w:szCs w:val="16"/>
        </w:rPr>
        <w:t>В ноябре 1917 г. в уверенности на благоприятное завершение испыта</w:t>
      </w:r>
      <w:r w:rsidRPr="002F2FDF">
        <w:rPr>
          <w:rFonts w:ascii="Times New Roman" w:eastAsia="Arial Unicode MS" w:hAnsi="Times New Roman" w:cs="Times New Roman"/>
          <w:color w:val="000000" w:themeColor="text1"/>
          <w:kern w:val="2"/>
          <w:sz w:val="16"/>
          <w:szCs w:val="16"/>
        </w:rPr>
        <w:softHyphen/>
        <w:t>ний, в первый полет кроме летчика Я.И. Седова-Серова на борту МК-1 разместились еще несколько человек. Между тем, волнение моря в день испытаний оказалось значительным. При рез</w:t>
      </w:r>
      <w:r w:rsidRPr="002F2FDF">
        <w:rPr>
          <w:rFonts w:ascii="Times New Roman" w:eastAsia="Arial Unicode MS" w:hAnsi="Times New Roman" w:cs="Times New Roman"/>
          <w:color w:val="000000" w:themeColor="text1"/>
          <w:kern w:val="2"/>
          <w:sz w:val="16"/>
          <w:szCs w:val="16"/>
        </w:rPr>
        <w:softHyphen/>
        <w:t>кой даче газа верхний двигатель, размещенный достаточно далеко от центра тяжести, и большое сопро</w:t>
      </w:r>
      <w:r w:rsidRPr="002F2FDF">
        <w:rPr>
          <w:rFonts w:ascii="Times New Roman" w:eastAsia="Arial Unicode MS" w:hAnsi="Times New Roman" w:cs="Times New Roman"/>
          <w:color w:val="000000" w:themeColor="text1"/>
          <w:kern w:val="2"/>
          <w:sz w:val="16"/>
          <w:szCs w:val="16"/>
        </w:rPr>
        <w:softHyphen/>
        <w:t>тивление поплавка создали значи</w:t>
      </w:r>
      <w:r w:rsidRPr="002F2FDF">
        <w:rPr>
          <w:rFonts w:ascii="Times New Roman" w:eastAsia="Arial Unicode MS" w:hAnsi="Times New Roman" w:cs="Times New Roman"/>
          <w:color w:val="000000" w:themeColor="text1"/>
          <w:kern w:val="2"/>
          <w:sz w:val="16"/>
          <w:szCs w:val="16"/>
        </w:rPr>
        <w:softHyphen/>
        <w:t>тельный пикирующий момент. Но</w:t>
      </w:r>
      <w:r w:rsidRPr="002F2FDF">
        <w:rPr>
          <w:rFonts w:ascii="Times New Roman" w:eastAsia="Arial Unicode MS" w:hAnsi="Times New Roman" w:cs="Times New Roman"/>
          <w:color w:val="000000" w:themeColor="text1"/>
          <w:kern w:val="2"/>
          <w:sz w:val="16"/>
          <w:szCs w:val="16"/>
        </w:rPr>
        <w:softHyphen/>
        <w:t>совая часть самолета еще на ру</w:t>
      </w:r>
      <w:r w:rsidRPr="002F2FDF">
        <w:rPr>
          <w:rFonts w:ascii="Times New Roman" w:eastAsia="Arial Unicode MS" w:hAnsi="Times New Roman" w:cs="Times New Roman"/>
          <w:color w:val="000000" w:themeColor="text1"/>
          <w:kern w:val="2"/>
          <w:sz w:val="16"/>
          <w:szCs w:val="16"/>
        </w:rPr>
        <w:softHyphen/>
        <w:t>лении «зарылась» в воду, которая в значительном количестве поступи</w:t>
      </w:r>
      <w:r w:rsidRPr="002F2FDF">
        <w:rPr>
          <w:rFonts w:ascii="Times New Roman" w:eastAsia="Arial Unicode MS" w:hAnsi="Times New Roman" w:cs="Times New Roman"/>
          <w:color w:val="000000" w:themeColor="text1"/>
          <w:kern w:val="2"/>
          <w:sz w:val="16"/>
          <w:szCs w:val="16"/>
        </w:rPr>
        <w:softHyphen/>
        <w:t>ла внутрь. В результате «крейсер» перевернулся и затонул. Экипаж и пассажиры смогли спастись.</w:t>
      </w:r>
    </w:p>
    <w:p w14:paraId="1476A8E1" w14:textId="77777777" w:rsidR="003431D2" w:rsidRPr="002F2FDF" w:rsidRDefault="003431D2" w:rsidP="0083075A">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2F2FDF">
        <w:rPr>
          <w:rFonts w:ascii="Times New Roman" w:eastAsia="Arial Unicode MS" w:hAnsi="Times New Roman" w:cs="Times New Roman"/>
          <w:color w:val="000000" w:themeColor="text1"/>
          <w:kern w:val="2"/>
          <w:sz w:val="16"/>
          <w:szCs w:val="16"/>
        </w:rPr>
        <w:t>Позднее гидросамолет со зна</w:t>
      </w:r>
      <w:r w:rsidRPr="002F2FDF">
        <w:rPr>
          <w:rFonts w:ascii="Times New Roman" w:eastAsia="Arial Unicode MS" w:hAnsi="Times New Roman" w:cs="Times New Roman"/>
          <w:color w:val="000000" w:themeColor="text1"/>
          <w:kern w:val="2"/>
          <w:sz w:val="16"/>
          <w:szCs w:val="16"/>
        </w:rPr>
        <w:softHyphen/>
        <w:t>чительными повреждениями вытащи</w:t>
      </w:r>
      <w:r w:rsidRPr="002F2FDF">
        <w:rPr>
          <w:rFonts w:ascii="Times New Roman" w:eastAsia="Arial Unicode MS" w:hAnsi="Times New Roman" w:cs="Times New Roman"/>
          <w:color w:val="000000" w:themeColor="text1"/>
          <w:kern w:val="2"/>
          <w:sz w:val="16"/>
          <w:szCs w:val="16"/>
        </w:rPr>
        <w:softHyphen/>
        <w:t>ли на берег. Считалось, что следу</w:t>
      </w:r>
      <w:r w:rsidRPr="002F2FDF">
        <w:rPr>
          <w:rFonts w:ascii="Times New Roman" w:eastAsia="Arial Unicode MS" w:hAnsi="Times New Roman" w:cs="Times New Roman"/>
          <w:color w:val="000000" w:themeColor="text1"/>
          <w:kern w:val="2"/>
          <w:sz w:val="16"/>
          <w:szCs w:val="16"/>
        </w:rPr>
        <w:softHyphen/>
        <w:t>ет увеличить длину носовой части для получения удовлетворительных результатов, или поставить два мотора увеличенной мощности, однако далее работ с МК-1 не ве</w:t>
      </w:r>
      <w:r w:rsidRPr="002F2FDF">
        <w:rPr>
          <w:rFonts w:ascii="Times New Roman" w:eastAsia="Arial Unicode MS" w:hAnsi="Times New Roman" w:cs="Times New Roman"/>
          <w:color w:val="000000" w:themeColor="text1"/>
          <w:kern w:val="2"/>
          <w:sz w:val="16"/>
          <w:szCs w:val="16"/>
        </w:rPr>
        <w:softHyphen/>
        <w:t>лось.</w:t>
      </w:r>
    </w:p>
    <w:p w14:paraId="2739880C" w14:textId="77777777" w:rsidR="003431D2" w:rsidRPr="002F2FDF" w:rsidRDefault="003431D2" w:rsidP="0083075A">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2F2FDF">
        <w:rPr>
          <w:rFonts w:ascii="Times New Roman" w:eastAsia="Arial Unicode MS" w:hAnsi="Times New Roman" w:cs="Times New Roman"/>
          <w:color w:val="000000" w:themeColor="text1"/>
          <w:kern w:val="2"/>
          <w:sz w:val="16"/>
          <w:szCs w:val="16"/>
        </w:rPr>
        <w:t>Основные данные МК-1</w:t>
      </w:r>
    </w:p>
    <w:p w14:paraId="6524F2B3" w14:textId="77777777" w:rsidR="003431D2" w:rsidRPr="002F2FDF" w:rsidRDefault="003431D2" w:rsidP="0083075A">
      <w:pPr>
        <w:tabs>
          <w:tab w:val="right" w:leader="dot" w:pos="497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Розмах верхнего крыла, м</w:t>
      </w:r>
      <w:r w:rsidRPr="002F2FDF">
        <w:rPr>
          <w:rFonts w:ascii="Times New Roman" w:hAnsi="Times New Roman" w:cs="Times New Roman"/>
          <w:color w:val="000000" w:themeColor="text1"/>
          <w:kern w:val="2"/>
          <w:sz w:val="16"/>
          <w:szCs w:val="16"/>
        </w:rPr>
        <w:tab/>
        <w:t>30,0</w:t>
      </w:r>
    </w:p>
    <w:p w14:paraId="557F9BA9" w14:textId="77777777" w:rsidR="003431D2" w:rsidRPr="002F2FDF" w:rsidRDefault="003431D2" w:rsidP="0083075A">
      <w:pPr>
        <w:tabs>
          <w:tab w:val="right" w:leader="dot" w:pos="497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Длина, м</w:t>
      </w:r>
      <w:r w:rsidRPr="002F2FDF">
        <w:rPr>
          <w:rFonts w:ascii="Times New Roman" w:hAnsi="Times New Roman" w:cs="Times New Roman"/>
          <w:color w:val="000000" w:themeColor="text1"/>
          <w:kern w:val="2"/>
          <w:sz w:val="16"/>
          <w:szCs w:val="16"/>
        </w:rPr>
        <w:tab/>
        <w:t xml:space="preserve"> 16,50</w:t>
      </w:r>
    </w:p>
    <w:p w14:paraId="1B838C0C" w14:textId="77777777" w:rsidR="003431D2" w:rsidRPr="002F2FDF" w:rsidRDefault="003431D2" w:rsidP="0083075A">
      <w:pPr>
        <w:tabs>
          <w:tab w:val="right" w:leader="dot" w:pos="497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Высота, м</w:t>
      </w:r>
      <w:r w:rsidRPr="002F2FDF">
        <w:rPr>
          <w:rFonts w:ascii="Times New Roman" w:hAnsi="Times New Roman" w:cs="Times New Roman"/>
          <w:color w:val="000000" w:themeColor="text1"/>
          <w:kern w:val="2"/>
          <w:sz w:val="16"/>
          <w:szCs w:val="16"/>
        </w:rPr>
        <w:tab/>
        <w:t>4,50 (12086).</w:t>
      </w:r>
    </w:p>
    <w:p w14:paraId="20A060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96AA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 1917 г. “долгожитель” С-16 Nо. 202 эксплуатировался с “Гномом” в 50 л. с., снятым со старого учебного “Фармана1Ч” . Были проблемы также и с вооружением самолетов. В связи с недостаточной надежностью синхронизаторов Лаврова пулеметы на С-16сер. перенесли в процессе эксплуатации на верхнее крыло, Пулеметы, кстати, также были “ремонтные” , т.е. добытые всеми правдами и неправдами благодаря связям М, В. Шидловского после ремонта на Тульском оружейном заводе, Естественно, оснащенные слабосильными моторами и недостаточно эффективным вооружением, эскадренные С-16сер. оказывали на противника больше моральное, чем боевое воздействие. Поднявшись с аэродрома базирования отряда “муромцев” , они могли спугнуть вражеский бомбардировщик, но догнать и связать его боем были уже не в состоянии. Самолеты С-15сер. показали пример исключительного по тем временам “долгожительство” . Их “служба” не прекратилась с падением Украинской Народной Республики, уже в 1918 г. летчики переправили всеми правдами и неправдами часть войскового авиационного имущества на Дон в формируемую Добровольческую Армию. Особенно много удалось захватить в 1919 г., когда Вооруженные Силы Юга России заняли большую часть фкраины (11188).</w:t>
      </w:r>
    </w:p>
    <w:p w14:paraId="0627A3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8D5E9F" w14:textId="77777777" w:rsidR="003C305D" w:rsidRPr="00FB4F67" w:rsidRDefault="003C305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ноябре 1917 г. в уверенности на благоприятное заверше</w:t>
      </w:r>
      <w:r w:rsidRPr="00FB4F67">
        <w:rPr>
          <w:rFonts w:ascii="Times New Roman" w:hAnsi="Times New Roman" w:cs="Times New Roman"/>
          <w:color w:val="0070C0"/>
          <w:sz w:val="16"/>
          <w:szCs w:val="16"/>
        </w:rPr>
        <w:softHyphen/>
        <w:t>ние испытаний в первый полет МК-1 кроме летчика Я.И. Седова-Серова на борту МК-1 разместились еще несколь</w:t>
      </w:r>
      <w:r w:rsidRPr="00FB4F67">
        <w:rPr>
          <w:rFonts w:ascii="Times New Roman" w:hAnsi="Times New Roman" w:cs="Times New Roman"/>
          <w:color w:val="0070C0"/>
          <w:sz w:val="16"/>
          <w:szCs w:val="16"/>
        </w:rPr>
        <w:softHyphen/>
        <w:t>ко человек. Между тем волнение моря в день испытаний оказалось значительным. При резкой даче газа верхний двигатель, размещенный достаточно далеко от центра тяжести, и большое сопротивление по</w:t>
      </w:r>
      <w:r w:rsidRPr="00FB4F67">
        <w:rPr>
          <w:rFonts w:ascii="Times New Roman" w:hAnsi="Times New Roman" w:cs="Times New Roman"/>
          <w:color w:val="0070C0"/>
          <w:sz w:val="16"/>
          <w:szCs w:val="16"/>
        </w:rPr>
        <w:softHyphen/>
        <w:t>плавка создали значительный пикирующий момент. Носовая часть самолета еще на рулении «зарылась» в воду, которая в зна</w:t>
      </w:r>
      <w:r w:rsidRPr="00FB4F67">
        <w:rPr>
          <w:rFonts w:ascii="Times New Roman" w:hAnsi="Times New Roman" w:cs="Times New Roman"/>
          <w:color w:val="0070C0"/>
          <w:sz w:val="16"/>
          <w:szCs w:val="16"/>
        </w:rPr>
        <w:softHyphen/>
        <w:t>чительном количестве поступила внутрь. Затем «крейсер» перевернулся и затонул. Экипаж и пассажиры смогли спастись.</w:t>
      </w:r>
    </w:p>
    <w:p w14:paraId="2073EAFB" w14:textId="77777777" w:rsidR="003C305D" w:rsidRPr="00FB4F67" w:rsidRDefault="003C305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Позднее гидросамолет со значительны</w:t>
      </w:r>
      <w:r w:rsidRPr="00FB4F67">
        <w:rPr>
          <w:rFonts w:ascii="Times New Roman" w:hAnsi="Times New Roman" w:cs="Times New Roman"/>
          <w:color w:val="0070C0"/>
          <w:sz w:val="16"/>
          <w:szCs w:val="16"/>
        </w:rPr>
        <w:softHyphen/>
        <w:t>ми повреждениями вытащили на берег. Считалось, что следует увеличить длину носовой части для получения удовлетвори</w:t>
      </w:r>
      <w:r w:rsidRPr="00FB4F67">
        <w:rPr>
          <w:rFonts w:ascii="Times New Roman" w:hAnsi="Times New Roman" w:cs="Times New Roman"/>
          <w:color w:val="0070C0"/>
          <w:sz w:val="16"/>
          <w:szCs w:val="16"/>
        </w:rPr>
        <w:softHyphen/>
        <w:t>тельных результатов или поставить два мо</w:t>
      </w:r>
      <w:r w:rsidRPr="00FB4F67">
        <w:rPr>
          <w:rFonts w:ascii="Times New Roman" w:hAnsi="Times New Roman" w:cs="Times New Roman"/>
          <w:color w:val="0070C0"/>
          <w:sz w:val="16"/>
          <w:szCs w:val="16"/>
        </w:rPr>
        <w:softHyphen/>
        <w:t>тора увеличенной мощности, однако далее работ с МК-1 не велось (23374).</w:t>
      </w:r>
    </w:p>
    <w:p w14:paraId="1A0A6445" w14:textId="77777777" w:rsidR="003C305D" w:rsidRPr="00FB4F67" w:rsidRDefault="003C305D" w:rsidP="0083075A">
      <w:pPr>
        <w:spacing w:after="0" w:line="240" w:lineRule="auto"/>
        <w:jc w:val="both"/>
        <w:rPr>
          <w:rFonts w:ascii="Times New Roman" w:hAnsi="Times New Roman" w:cs="Times New Roman"/>
          <w:color w:val="0070C0"/>
          <w:sz w:val="16"/>
          <w:szCs w:val="16"/>
        </w:rPr>
      </w:pPr>
    </w:p>
    <w:p w14:paraId="39BA62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Технические (скорее технологические) условия к строительству "Малютки", заказанной флотом, были общими с условиями заказа аппаратов С-10, а в ходе сдаточных испытаний в Ревеле машине предстояло всего лишь взлететь с полезной нагрузкой 250 кг, а затем спланировать с высоты 500 м — и никаких более требований не предъявлялось. К 8 сен</w:t>
      </w:r>
      <w:r w:rsidRPr="002F2FDF">
        <w:rPr>
          <w:rFonts w:ascii="Times New Roman" w:hAnsi="Times New Roman" w:cs="Times New Roman"/>
          <w:color w:val="000000" w:themeColor="text1"/>
          <w:kern w:val="2"/>
          <w:sz w:val="16"/>
          <w:szCs w:val="16"/>
        </w:rPr>
        <w:softHyphen/>
        <w:t>тября "Малютка" с мотором "Клерже" 80 л.с. находилась в Петрограде, будучи вскоре пе</w:t>
      </w:r>
      <w:r w:rsidRPr="002F2FDF">
        <w:rPr>
          <w:rFonts w:ascii="Times New Roman" w:hAnsi="Times New Roman" w:cs="Times New Roman"/>
          <w:color w:val="000000" w:themeColor="text1"/>
          <w:kern w:val="2"/>
          <w:sz w:val="16"/>
          <w:szCs w:val="16"/>
        </w:rPr>
        <w:softHyphen/>
        <w:t>ревезенной к месту опытов, подробности коих неизвестны, несмотря на то, что гидроаэроп</w:t>
      </w:r>
      <w:r w:rsidRPr="002F2FDF">
        <w:rPr>
          <w:rFonts w:ascii="Times New Roman" w:hAnsi="Times New Roman" w:cs="Times New Roman"/>
          <w:color w:val="000000" w:themeColor="text1"/>
          <w:kern w:val="2"/>
          <w:sz w:val="16"/>
          <w:szCs w:val="16"/>
        </w:rPr>
        <w:softHyphen/>
        <w:t>лан был благополучно принят в казну и получил флотский номер С-7. Он прослужил не</w:t>
      </w:r>
      <w:r w:rsidRPr="002F2FDF">
        <w:rPr>
          <w:rFonts w:ascii="Times New Roman" w:hAnsi="Times New Roman" w:cs="Times New Roman"/>
          <w:color w:val="000000" w:themeColor="text1"/>
          <w:kern w:val="2"/>
          <w:sz w:val="16"/>
          <w:szCs w:val="16"/>
        </w:rPr>
        <w:softHyphen/>
        <w:t>долго, т.к. уже 24 октября упал в воду из-за неисправности рулевых тяг и разбился. Его экипаж отправился в госпиталь, а обломки прибуксировали к берегу и извлекли из воды на следующий день.</w:t>
      </w:r>
    </w:p>
    <w:p w14:paraId="3E632D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E14A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 1917 обломки аэроплана Малютка, который разбился 24 октября 1917 и которые 25 октября 1917 прибуксировали к берегу и извлекли из воды, отправили в столицу, где они и сгинули (2843).</w:t>
      </w:r>
    </w:p>
    <w:p w14:paraId="46FB69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B6F9A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B9392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5B5F0D" w14:textId="77777777" w:rsidR="008B7CA9" w:rsidRPr="002F2FDF" w:rsidRDefault="008B7CA9" w:rsidP="0083075A">
      <w:pPr>
        <w:autoSpaceDE w:val="0"/>
        <w:autoSpaceDN w:val="0"/>
        <w:adjustRightInd w:val="0"/>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ноябре 1917 г. Центральный совет фабрично-заводских комитетов Петрограда уже образовал соответствующую комиссию по демобилизации промышленности. Каждый фабзавком должен был создать комиссию по демобилизации и совместно с администрацией разработать план перевода предприятий на производство мирной продукции3. В январе 1918 г. VI конференция фабзавкомов Петрограда снова обсудила задачи по демобилизации промышленности. Была избрана демобилизационная комиссия при Совете народного хозяйства Северного района (СНХ СР), которая была призвана демобилизовать промышленность, подготовить национализацию и провести ее (18297).</w:t>
      </w:r>
    </w:p>
    <w:p w14:paraId="175A50FD"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p w14:paraId="7EE1B686" w14:textId="77777777" w:rsidR="008B7CA9" w:rsidRPr="002F2FDF" w:rsidRDefault="008B7CA9"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 ноябре 1917 г. Фонштейн рапортовал ГАУ: «Переезд Депо машин (Депо машин и Тракторной роты 1-й запасной тяжелой артиллерийской бригады, расположенные в Царском Селе) в Ростов закончен. К работам по сборке тракторов [в] Ростове уже приступлено и [в] скором времени отпуск вполне собранных тракторов будет продолжаться по-прежнему» (18409).</w:t>
      </w:r>
    </w:p>
    <w:p w14:paraId="342430DC" w14:textId="77777777" w:rsidR="008B7CA9" w:rsidRPr="002F2FDF" w:rsidRDefault="008B7CA9" w:rsidP="0083075A">
      <w:pPr>
        <w:pStyle w:val="p1"/>
        <w:spacing w:before="0" w:beforeAutospacing="0" w:after="0" w:afterAutospacing="0"/>
        <w:jc w:val="both"/>
        <w:rPr>
          <w:color w:val="000000" w:themeColor="text1"/>
          <w:sz w:val="16"/>
          <w:szCs w:val="16"/>
        </w:rPr>
      </w:pPr>
    </w:p>
    <w:p w14:paraId="6B733D4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ноября 1917 г. по март 1918 г. были национализированы и пе</w:t>
      </w:r>
      <w:r w:rsidRPr="002F2FDF">
        <w:rPr>
          <w:rFonts w:ascii="Times New Roman" w:hAnsi="Times New Roman" w:cs="Times New Roman"/>
          <w:color w:val="000000" w:themeColor="text1"/>
          <w:kern w:val="2"/>
          <w:sz w:val="16"/>
          <w:szCs w:val="16"/>
        </w:rPr>
        <w:softHyphen/>
        <w:t>решли в собственность советской власти более 800 крупнейших част</w:t>
      </w:r>
      <w:r w:rsidRPr="002F2FDF">
        <w:rPr>
          <w:rFonts w:ascii="Times New Roman" w:hAnsi="Times New Roman" w:cs="Times New Roman"/>
          <w:color w:val="000000" w:themeColor="text1"/>
          <w:kern w:val="2"/>
          <w:sz w:val="16"/>
          <w:szCs w:val="16"/>
        </w:rPr>
        <w:softHyphen/>
        <w:t>ных предприятий. Вместе с бывшими казенными заводами военного, морского и горного ведомств они образовали в экономике страны го</w:t>
      </w:r>
      <w:r w:rsidRPr="002F2FDF">
        <w:rPr>
          <w:rFonts w:ascii="Times New Roman" w:hAnsi="Times New Roman" w:cs="Times New Roman"/>
          <w:color w:val="000000" w:themeColor="text1"/>
          <w:kern w:val="2"/>
          <w:sz w:val="16"/>
          <w:szCs w:val="16"/>
        </w:rPr>
        <w:softHyphen/>
        <w:t>сударственный сектор [11, с. 105]. С победой революции собственностью Советского государства стали казенные орудийные, ружейные, патронные, снарядные, поро</w:t>
      </w:r>
      <w:r w:rsidRPr="002F2FDF">
        <w:rPr>
          <w:rFonts w:ascii="Times New Roman" w:hAnsi="Times New Roman" w:cs="Times New Roman"/>
          <w:color w:val="000000" w:themeColor="text1"/>
          <w:kern w:val="2"/>
          <w:sz w:val="16"/>
          <w:szCs w:val="16"/>
        </w:rPr>
        <w:softHyphen/>
        <w:t>ховые заводы, а также заводы взрывчатых веществ и снаряжения, капсюльные, пиротехнические. Для управления этим сектором экономики ВЦИК и СНК декретом от 2(15) декабря 1917 г. учреди</w:t>
      </w:r>
      <w:r w:rsidRPr="002F2FDF">
        <w:rPr>
          <w:rFonts w:ascii="Times New Roman" w:hAnsi="Times New Roman" w:cs="Times New Roman"/>
          <w:color w:val="000000" w:themeColor="text1"/>
          <w:kern w:val="2"/>
          <w:sz w:val="16"/>
          <w:szCs w:val="16"/>
        </w:rPr>
        <w:softHyphen/>
        <w:t>ли новый центральный орган — Высший совет народного хозяйства (ВСНХ) РСФСР. Он подчинялся непосредственно правительству. К лету 1918 г. были созданы Советы народного хозяйства на местах. За время короткой мирной передышки с марта до конца мая 1918 г. совнархозы всех уровней осуществили ряд мероприятий по налаживанию производства на национализированных предприятиях. Стартовые условия, в которых начиналось возрождение народного хозяйства, были крайне неблагоприятными. Значительно снизились по сравнению с довоенным периодом выплавка чугуна, стали, цвет</w:t>
      </w:r>
      <w:r w:rsidRPr="002F2FDF">
        <w:rPr>
          <w:rFonts w:ascii="Times New Roman" w:hAnsi="Times New Roman" w:cs="Times New Roman"/>
          <w:color w:val="000000" w:themeColor="text1"/>
          <w:kern w:val="2"/>
          <w:sz w:val="16"/>
          <w:szCs w:val="16"/>
        </w:rPr>
        <w:softHyphen/>
        <w:t>ных металлов, добыча угля и нефти, производство продукции всех Отраслей легкой промышленности. Промышленность переживала острый сырьевой и топливный кризис. Многие предприятия не рабо</w:t>
      </w:r>
      <w:r w:rsidRPr="002F2FDF">
        <w:rPr>
          <w:rFonts w:ascii="Times New Roman" w:hAnsi="Times New Roman" w:cs="Times New Roman"/>
          <w:color w:val="000000" w:themeColor="text1"/>
          <w:kern w:val="2"/>
          <w:sz w:val="16"/>
          <w:szCs w:val="16"/>
        </w:rPr>
        <w:softHyphen/>
        <w:t>тали. Полный развал наступил на транспорте. Особенно трудно было с обеспечением продовольствием, так как сельское хозяйство было сильно подорвано (5484).</w:t>
      </w:r>
    </w:p>
    <w:p w14:paraId="3F022F4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DC54B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 1917 г. в связи с на</w:t>
      </w:r>
      <w:r w:rsidRPr="002F2FDF">
        <w:rPr>
          <w:rFonts w:ascii="Times New Roman" w:hAnsi="Times New Roman" w:cs="Times New Roman"/>
          <w:color w:val="000000" w:themeColor="text1"/>
          <w:kern w:val="2"/>
          <w:sz w:val="16"/>
          <w:szCs w:val="16"/>
        </w:rPr>
        <w:softHyphen/>
        <w:t>чавшимися 20 ноября (3 декабря) 1917 г. переговорами с Германией о мире, которые закончились подписанием в Бресте 2 (15) декабря соглашения о перемирии, ГАУ предупредило руководителей казенных заводов о предполагаемой демобилизации военной промышленности и ликвидации заказов на оборону. 18 ян</w:t>
      </w:r>
      <w:r w:rsidRPr="002F2FDF">
        <w:rPr>
          <w:rFonts w:ascii="Times New Roman" w:hAnsi="Times New Roman" w:cs="Times New Roman"/>
          <w:color w:val="000000" w:themeColor="text1"/>
          <w:kern w:val="2"/>
          <w:sz w:val="16"/>
          <w:szCs w:val="16"/>
        </w:rPr>
        <w:softHyphen/>
        <w:t>варя 1918 г. начальник ГАУ телеграммой приказал начальнику Са-марско-Сергиевского завода взрывчатых веществ прекратить снаря</w:t>
      </w:r>
      <w:r w:rsidRPr="002F2FDF">
        <w:rPr>
          <w:rFonts w:ascii="Times New Roman" w:hAnsi="Times New Roman" w:cs="Times New Roman"/>
          <w:color w:val="000000" w:themeColor="text1"/>
          <w:kern w:val="2"/>
          <w:sz w:val="16"/>
          <w:szCs w:val="16"/>
        </w:rPr>
        <w:softHyphen/>
        <w:t>жение боеприпасов. Началось свертывание работы завода. Остано</w:t>
      </w:r>
      <w:r w:rsidRPr="002F2FDF">
        <w:rPr>
          <w:rFonts w:ascii="Times New Roman" w:hAnsi="Times New Roman" w:cs="Times New Roman"/>
          <w:color w:val="000000" w:themeColor="text1"/>
          <w:kern w:val="2"/>
          <w:sz w:val="16"/>
          <w:szCs w:val="16"/>
        </w:rPr>
        <w:softHyphen/>
        <w:t>вили производство тротила и тетрила, снаряжательные мастерские. Заводские цеха стали переоборудовать на выпуск мыла, стекла, ло</w:t>
      </w:r>
      <w:r w:rsidRPr="002F2FDF">
        <w:rPr>
          <w:rFonts w:ascii="Times New Roman" w:hAnsi="Times New Roman" w:cs="Times New Roman"/>
          <w:color w:val="000000" w:themeColor="text1"/>
          <w:kern w:val="2"/>
          <w:sz w:val="16"/>
          <w:szCs w:val="16"/>
        </w:rPr>
        <w:softHyphen/>
        <w:t>пат, ведер и других предметов народного потребления. Из оборон</w:t>
      </w:r>
      <w:r w:rsidRPr="002F2FDF">
        <w:rPr>
          <w:rFonts w:ascii="Times New Roman" w:hAnsi="Times New Roman" w:cs="Times New Roman"/>
          <w:color w:val="000000" w:themeColor="text1"/>
          <w:kern w:val="2"/>
          <w:sz w:val="16"/>
          <w:szCs w:val="16"/>
        </w:rPr>
        <w:softHyphen/>
        <w:t xml:space="preserve">ной продукции изготовляли в небольших количествах различные капсюльные </w:t>
      </w:r>
      <w:r w:rsidRPr="002F2FDF">
        <w:rPr>
          <w:rFonts w:ascii="Times New Roman" w:hAnsi="Times New Roman" w:cs="Times New Roman"/>
          <w:color w:val="000000" w:themeColor="text1"/>
          <w:kern w:val="2"/>
          <w:sz w:val="16"/>
          <w:szCs w:val="16"/>
        </w:rPr>
        <w:lastRenderedPageBreak/>
        <w:t>изделия. Вскоре из-за отсутствия топлива завод был остановлен пол</w:t>
      </w:r>
      <w:r w:rsidRPr="002F2FDF">
        <w:rPr>
          <w:rFonts w:ascii="Times New Roman" w:hAnsi="Times New Roman" w:cs="Times New Roman"/>
          <w:color w:val="000000" w:themeColor="text1"/>
          <w:kern w:val="2"/>
          <w:sz w:val="16"/>
          <w:szCs w:val="16"/>
        </w:rPr>
        <w:softHyphen/>
        <w:t>ностью. Предстояло уволить с завода свыше 4 тыс. человек. Они до</w:t>
      </w:r>
      <w:r w:rsidRPr="002F2FDF">
        <w:rPr>
          <w:rFonts w:ascii="Times New Roman" w:hAnsi="Times New Roman" w:cs="Times New Roman"/>
          <w:color w:val="000000" w:themeColor="text1"/>
          <w:kern w:val="2"/>
          <w:sz w:val="16"/>
          <w:szCs w:val="16"/>
        </w:rPr>
        <w:softHyphen/>
        <w:t>бавлялись к тем 3 тыс. безработных, которые уже были в поселке Иващенково с середины ноября 1917 г. Часть увольняемых кадровых рабочих была зачислена в рабочую дружину, численность которой достигла 1000 человек (5484).</w:t>
      </w:r>
    </w:p>
    <w:p w14:paraId="0CA9CF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9CCD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ноябрь 1917 г. ысего с сентября 1915 г. выпущено 12 000 000 корпусов 3-дм гранат.</w:t>
      </w:r>
    </w:p>
    <w:p w14:paraId="3F85FC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декабре 1916 года валовое изготовление 3-дм гранат, которое началось с сентября 1915 г. и шло постоянно увеличиваясь, достигло максимума. </w:t>
      </w:r>
    </w:p>
    <w:p w14:paraId="123689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Рост месячного выпуска снарядов шел следующим темпом (суммарно по всем заводам,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600"/>
      </w:tblGrid>
      <w:tr w:rsidR="002B1C74" w:rsidRPr="002F2FDF" w14:paraId="53ADA636" w14:textId="77777777">
        <w:tc>
          <w:tcPr>
            <w:tcW w:w="1896" w:type="dxa"/>
            <w:tcBorders>
              <w:top w:val="single" w:sz="12" w:space="0" w:color="auto"/>
            </w:tcBorders>
          </w:tcPr>
          <w:p w14:paraId="514FBD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 сентябрь</w:t>
            </w:r>
          </w:p>
        </w:tc>
        <w:tc>
          <w:tcPr>
            <w:tcW w:w="600" w:type="dxa"/>
            <w:tcBorders>
              <w:top w:val="single" w:sz="12" w:space="0" w:color="auto"/>
            </w:tcBorders>
          </w:tcPr>
          <w:p w14:paraId="7B324C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66 </w:t>
            </w:r>
          </w:p>
        </w:tc>
      </w:tr>
      <w:tr w:rsidR="002B1C74" w:rsidRPr="002F2FDF" w14:paraId="7B1E3E5E" w14:textId="77777777">
        <w:tc>
          <w:tcPr>
            <w:tcW w:w="1896" w:type="dxa"/>
          </w:tcPr>
          <w:p w14:paraId="47CE4C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октябрь</w:t>
            </w:r>
          </w:p>
        </w:tc>
        <w:tc>
          <w:tcPr>
            <w:tcW w:w="600" w:type="dxa"/>
          </w:tcPr>
          <w:p w14:paraId="504827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127 </w:t>
            </w:r>
          </w:p>
        </w:tc>
      </w:tr>
      <w:tr w:rsidR="002B1C74" w:rsidRPr="002F2FDF" w14:paraId="2788889B" w14:textId="77777777">
        <w:tc>
          <w:tcPr>
            <w:tcW w:w="1896" w:type="dxa"/>
          </w:tcPr>
          <w:p w14:paraId="524B82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w:t>
            </w:r>
          </w:p>
        </w:tc>
        <w:tc>
          <w:tcPr>
            <w:tcW w:w="600" w:type="dxa"/>
          </w:tcPr>
          <w:p w14:paraId="35EB86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185 </w:t>
            </w:r>
          </w:p>
        </w:tc>
      </w:tr>
      <w:tr w:rsidR="002B1C74" w:rsidRPr="002F2FDF" w14:paraId="53EF330A" w14:textId="77777777">
        <w:tc>
          <w:tcPr>
            <w:tcW w:w="1896" w:type="dxa"/>
          </w:tcPr>
          <w:p w14:paraId="3BED64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декабрь</w:t>
            </w:r>
          </w:p>
        </w:tc>
        <w:tc>
          <w:tcPr>
            <w:tcW w:w="600" w:type="dxa"/>
          </w:tcPr>
          <w:p w14:paraId="1D39F8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223 </w:t>
            </w:r>
          </w:p>
        </w:tc>
      </w:tr>
      <w:tr w:rsidR="002B1C74" w:rsidRPr="002F2FDF" w14:paraId="79C9BB8F" w14:textId="77777777">
        <w:tc>
          <w:tcPr>
            <w:tcW w:w="1896" w:type="dxa"/>
          </w:tcPr>
          <w:p w14:paraId="1A85F8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 январь</w:t>
            </w:r>
          </w:p>
        </w:tc>
        <w:tc>
          <w:tcPr>
            <w:tcW w:w="600" w:type="dxa"/>
          </w:tcPr>
          <w:p w14:paraId="20A1C9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245 </w:t>
            </w:r>
          </w:p>
        </w:tc>
      </w:tr>
      <w:tr w:rsidR="002B1C74" w:rsidRPr="002F2FDF" w14:paraId="606CEBAC" w14:textId="77777777">
        <w:tc>
          <w:tcPr>
            <w:tcW w:w="1896" w:type="dxa"/>
          </w:tcPr>
          <w:p w14:paraId="4B2D57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600" w:type="dxa"/>
          </w:tcPr>
          <w:p w14:paraId="2580FC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422 </w:t>
            </w:r>
          </w:p>
        </w:tc>
      </w:tr>
      <w:tr w:rsidR="002B1C74" w:rsidRPr="002F2FDF" w14:paraId="068AD098" w14:textId="77777777">
        <w:tc>
          <w:tcPr>
            <w:tcW w:w="1896" w:type="dxa"/>
          </w:tcPr>
          <w:p w14:paraId="4D9A1F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w:t>
            </w:r>
          </w:p>
        </w:tc>
        <w:tc>
          <w:tcPr>
            <w:tcW w:w="600" w:type="dxa"/>
          </w:tcPr>
          <w:p w14:paraId="2CC46C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688 </w:t>
            </w:r>
          </w:p>
        </w:tc>
      </w:tr>
      <w:tr w:rsidR="002B1C74" w:rsidRPr="002F2FDF" w14:paraId="2735B63E" w14:textId="77777777">
        <w:tc>
          <w:tcPr>
            <w:tcW w:w="1896" w:type="dxa"/>
          </w:tcPr>
          <w:p w14:paraId="167108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w:t>
            </w:r>
          </w:p>
        </w:tc>
        <w:tc>
          <w:tcPr>
            <w:tcW w:w="600" w:type="dxa"/>
          </w:tcPr>
          <w:p w14:paraId="095544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703 </w:t>
            </w:r>
          </w:p>
        </w:tc>
      </w:tr>
      <w:tr w:rsidR="002B1C74" w:rsidRPr="002F2FDF" w14:paraId="49AAF3E2" w14:textId="77777777">
        <w:tc>
          <w:tcPr>
            <w:tcW w:w="1896" w:type="dxa"/>
          </w:tcPr>
          <w:p w14:paraId="529D2A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декабрь</w:t>
            </w:r>
          </w:p>
        </w:tc>
        <w:tc>
          <w:tcPr>
            <w:tcW w:w="600" w:type="dxa"/>
          </w:tcPr>
          <w:p w14:paraId="726FE4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783 </w:t>
            </w:r>
          </w:p>
        </w:tc>
      </w:tr>
      <w:tr w:rsidR="002B1C74" w:rsidRPr="002F2FDF" w14:paraId="7C5778EE" w14:textId="77777777">
        <w:tc>
          <w:tcPr>
            <w:tcW w:w="1896" w:type="dxa"/>
          </w:tcPr>
          <w:p w14:paraId="3E5AEE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 январь</w:t>
            </w:r>
          </w:p>
        </w:tc>
        <w:tc>
          <w:tcPr>
            <w:tcW w:w="600" w:type="dxa"/>
          </w:tcPr>
          <w:p w14:paraId="418091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764 </w:t>
            </w:r>
          </w:p>
        </w:tc>
      </w:tr>
      <w:tr w:rsidR="002B1C74" w:rsidRPr="002F2FDF" w14:paraId="3C91BC41" w14:textId="77777777">
        <w:tc>
          <w:tcPr>
            <w:tcW w:w="1896" w:type="dxa"/>
          </w:tcPr>
          <w:p w14:paraId="42C732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w:t>
            </w:r>
          </w:p>
        </w:tc>
        <w:tc>
          <w:tcPr>
            <w:tcW w:w="600" w:type="dxa"/>
          </w:tcPr>
          <w:p w14:paraId="6EDA02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501 </w:t>
            </w:r>
          </w:p>
        </w:tc>
      </w:tr>
      <w:tr w:rsidR="002B1C74" w:rsidRPr="002F2FDF" w14:paraId="67DC4495" w14:textId="77777777">
        <w:tc>
          <w:tcPr>
            <w:tcW w:w="1896" w:type="dxa"/>
          </w:tcPr>
          <w:p w14:paraId="3DEFF0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июль</w:t>
            </w:r>
          </w:p>
        </w:tc>
        <w:tc>
          <w:tcPr>
            <w:tcW w:w="600" w:type="dxa"/>
          </w:tcPr>
          <w:p w14:paraId="38D895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449 </w:t>
            </w:r>
          </w:p>
        </w:tc>
      </w:tr>
      <w:tr w:rsidR="002B1C74" w:rsidRPr="002F2FDF" w14:paraId="6F6E9FAD" w14:textId="77777777">
        <w:tc>
          <w:tcPr>
            <w:tcW w:w="1896" w:type="dxa"/>
            <w:tcBorders>
              <w:bottom w:val="single" w:sz="12" w:space="0" w:color="auto"/>
            </w:tcBorders>
          </w:tcPr>
          <w:p w14:paraId="083FEE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w:t>
            </w:r>
          </w:p>
        </w:tc>
        <w:tc>
          <w:tcPr>
            <w:tcW w:w="600" w:type="dxa"/>
            <w:tcBorders>
              <w:bottom w:val="single" w:sz="12" w:space="0" w:color="auto"/>
            </w:tcBorders>
          </w:tcPr>
          <w:p w14:paraId="17BE02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291 </w:t>
            </w:r>
          </w:p>
        </w:tc>
      </w:tr>
    </w:tbl>
    <w:p w14:paraId="01F098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февраля 1917 г. производительность изготовление 3-дм гранат начинает падать и приходит к нулю в конце 1917 года (11329).</w:t>
      </w:r>
    </w:p>
    <w:p w14:paraId="06181D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205E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ноября 1917 фабрике А.Лейтнера, которая с апреля получилиа с завода производство велосипеда Дукс-боевой, выпустила 3600 велоситпедов этого типа (9651,12).</w:t>
      </w:r>
    </w:p>
    <w:p w14:paraId="02CDF5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3F86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 1917. Автомобильный завод в Ярославле встал (11201) (11201).</w:t>
      </w:r>
    </w:p>
    <w:p w14:paraId="4A285F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D2AF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 1917 г. на заводе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  г. Ленинград;  г. Челябинск/ /198097  г. Ленинград,  г. Санкт-Петербург пр. Стачек, д. 47 тел. 183-80-01/) был оборудован бронепоезд «Стальной противосамолетный бронепоезд».</w:t>
      </w:r>
    </w:p>
    <w:p w14:paraId="72A14D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2164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самом конце войны в ноябре 1917 в Петербурге начался выпуск автомобилей автоотделом торгового дома “Лукас” (11271). Всего за годы войны на отечественных предприятиях выпущено 1570 легковых и 1945 грузо-вых автомобилей, по годам: 14г – 348, 15г – 1140 и 16г – 2027 автомобилей (11271). Кроме того, шасси “Руссобалтов” моделей С, Д, М и Т, автомобилей Пузырёва и ФИАТов вы-пущенных АМО использовались для бронеавтомобилей различных типов. А завод “Леснер” про-должил выпуск бронеавтомобилей собственной конструкции (11271).</w:t>
      </w:r>
    </w:p>
    <w:p w14:paraId="691CC8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355F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 1917 Паратский завод (ГС завод № 184 ИМ. Серго НКОП, НКБ, МОП, п/я 1, Паратский сталелитейный завод, Волжско-Ижорский металлургический завод, Завод им. Серго НКТП, МОП, ММ, ПО «Завод им. Серго» ММ, ГУЛ «Зеленодольское ПО «Завод им. Серго» Росбоеприпаса, ФГУП «Производственное объединение «Завод им. Серго» (ПОЗИС) /г. Паратск,  г. Зеленодольск/ /Татарстан 422546  г. Зеленодольск ул. Привокзальная, 4 тел. 53-664/) был национализирован.</w:t>
      </w:r>
    </w:p>
    <w:p w14:paraId="6AA5DA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1898 г. на левом берегу Волги французским Волго-Вишерским горным металлургическим АО на базе судоремонтных мастерских основан Паратский сталелитейный завод. В 1900 г. из-за экономического кризиса строительство завода приостановлено. В 01.1917 г. завод выкуплен владельцем Охтинского оружейного завода французом Н. Бенуа для производства мин и осветительных ракет.</w:t>
      </w:r>
    </w:p>
    <w:p w14:paraId="77B2C3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1918 г. сюда эвакуировано оборудование гильзового производства Ижорского завода, и образован Волжско-Ижорский металлургический завод. С 1919 г. он входил в состав Паратского металлургического завода, с 1922 г.- в состав Паратского промышленного комбината, объединявшего метало- и деревообрабатывающие цеха, производство артиллерийских гильз и осветительных ракет.</w:t>
      </w:r>
    </w:p>
    <w:p w14:paraId="1FF8A3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1919 г. введены в строй механические, кузнечная, инструментальная мастерские, термический и химический участки. 28.12.1919 г. выпущена первая партия гильз. В 03.1922 г. сданы в эксплуатацию металлургический и прокатный станы, получены первые латунные полуфабрикаты и начато производство гильз калибра 120.. .150 мм. Но в 1923-26 г. производство было остановлено. В соответствии с пост. Президиума ВСНХ № 1304 от 13.10.1930 г. началась реконструкция завода и восстановление производства пушечных гильз. В 1930 г. - в ведении Татарского СНХ. 12.10.1931 г. завод официально вступил в строй, в этом же году ему присвоено имя Серго (в честь С. Орджоникидзе). По пр. НКОГ1 № Обсс от 30.12.1936 г. Завод им. Серго переименован в завод № 184 им. Серго, в 02.1937 г. - в ведении 4ГУ. Приказом НКОП № 91 от 13.03.1937 г. утвержден Устав ГС завода № 184. По пр. НКОП № 0180 от 15.08.1937 г. завод передан из 4ГУ в новое 14ГУ.</w:t>
      </w:r>
      <w:r w:rsidRPr="002F2FDF">
        <w:rPr>
          <w:rFonts w:ascii="Times New Roman" w:hAnsi="Times New Roman" w:cs="Times New Roman"/>
          <w:color w:val="000000" w:themeColor="text1"/>
          <w:kern w:val="2"/>
          <w:sz w:val="16"/>
          <w:szCs w:val="16"/>
          <w:vertAlign w:val="superscript"/>
        </w:rPr>
        <w:t>139</w:t>
      </w:r>
      <w:r w:rsidRPr="002F2FDF">
        <w:rPr>
          <w:rFonts w:ascii="Times New Roman" w:hAnsi="Times New Roman" w:cs="Times New Roman"/>
          <w:color w:val="000000" w:themeColor="text1"/>
          <w:kern w:val="2"/>
          <w:sz w:val="16"/>
          <w:szCs w:val="16"/>
        </w:rPr>
        <w:t xml:space="preserve"> В 02.1939 г. завод № 184 21ГУ НКОП передан в ведение 21ГУ НКБ. В 12.1942-09.1944 г. - в ведении 5ГУ НКБ.</w:t>
      </w:r>
    </w:p>
    <w:p w14:paraId="20A708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НКОП № 0025 от 4.02.1937 г. заводу предписано к 1.01.1938 г. создать мощности по выпуску орудийных гильз - 20 млн. шт. в год. Приказом НКОП № 0079 от 15.04.1937 г. заводу предписано с 15.05.1937 г. начать производство патронных гильз из неплакированного железа; изготовить опытную партию 45-мм железных гильз. Приказом № 275 от 4.08.1937 г. предписано ввести в эксплуатацию к 1.01.1938 г. металлургический цех в составе электролитейного, прокатного и вырубного отделений; пр. № 97сс от 19.03.1938 г. требовалось ввести 1-ю очередь металлургического цеха к 1.06.1938 г. По пр. № 254 от 29.06.1938 г. была создана комиссия для установления правильности выбора площадки и необходимости реконструкции завода.</w:t>
      </w:r>
    </w:p>
    <w:p w14:paraId="42EEA9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 0223 от 28.09.1937 г. заводу была установлена программа по выпуску в 1938 г. 205 станков и 10 спецмашин.</w:t>
      </w:r>
    </w:p>
    <w:p w14:paraId="58F908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годы войны продолжен выпуск гильз и зарядов для малокалиберных автоматических пушек. Распоряжением ГКО № 7194 от 23.12.1944 г. заводу уменьшен план по выпуску орудийных гильз.</w:t>
      </w:r>
    </w:p>
    <w:p w14:paraId="64CE44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1946-50 г. завод перешел на выпуск станков, чугунного литья, запчастей для сельхозтехники. В 1950-х  г. продолжен выпуск гильз и снарядов. В 1960-е  г. освоено производство 23-мм патронов со снарядами: ИК-помех, противолокационными, многоэлементными.</w:t>
      </w:r>
    </w:p>
    <w:p w14:paraId="58217F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1959 г. завод одним из первых в стране освоил выпуск бытовых холодильников.</w:t>
      </w:r>
    </w:p>
    <w:p w14:paraId="1816B2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 184 - в ведении МОП (1953 г.). Имел наименование «п/я 1» (1950-66 г.)</w:t>
      </w:r>
    </w:p>
    <w:p w14:paraId="39BF95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приказу МОП от 13.01.1966 г. для ускорения внедрения новых изделий в серию на заводе создано СКБ, руководитель которого одновременно был зам. гл. конструктора ГНПП «Прибор».</w:t>
      </w:r>
    </w:p>
    <w:p w14:paraId="05CFF3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приказу ММ № 162 от 5.05.1977 г. завод преобразован в ПО «Завод им. Серго». По Указу Президента РФ № 1009 от 4.08.2004 г. вошел в число стратегических оборонных предприятий.</w:t>
      </w:r>
    </w:p>
    <w:p w14:paraId="15C811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(конец 1901 г.)- около 800 чел., (1902 г.)- около 200 чел., (12.1942 г.)- 5006 чел.</w:t>
      </w:r>
      <w:r w:rsidRPr="002F2FDF">
        <w:rPr>
          <w:rFonts w:ascii="Times New Roman" w:hAnsi="Times New Roman" w:cs="Times New Roman"/>
          <w:color w:val="000000" w:themeColor="text1"/>
          <w:kern w:val="2"/>
          <w:sz w:val="16"/>
          <w:szCs w:val="16"/>
          <w:vertAlign w:val="superscript"/>
        </w:rPr>
        <w:t>132</w:t>
      </w:r>
    </w:p>
    <w:p w14:paraId="375BFC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(02.1935-7.06.1937 г.)- М.В. Хруничев, (7.06.1937-9.02.1938 г.)-  Г.И. Волошинов, (9.02.1938 г.-)- В.В. Сытин, (6.12.1941-43 г.)- А.В. Саханицкий, (1943 г.-)- Г.И. Рудаков. Гендиректор (2002 г.)- О.В. Филиппов,</w:t>
      </w:r>
      <w:r w:rsidRPr="002F2FDF">
        <w:rPr>
          <w:rFonts w:ascii="Times New Roman" w:hAnsi="Times New Roman" w:cs="Times New Roman"/>
          <w:color w:val="000000" w:themeColor="text1"/>
          <w:kern w:val="2"/>
          <w:sz w:val="16"/>
          <w:szCs w:val="16"/>
          <w:vertAlign w:val="superscript"/>
        </w:rPr>
        <w:t>69</w:t>
      </w:r>
      <w:r w:rsidRPr="002F2FDF">
        <w:rPr>
          <w:rFonts w:ascii="Times New Roman" w:hAnsi="Times New Roman" w:cs="Times New Roman"/>
          <w:color w:val="000000" w:themeColor="text1"/>
          <w:kern w:val="2"/>
          <w:sz w:val="16"/>
          <w:szCs w:val="16"/>
        </w:rPr>
        <w:t xml:space="preserve"> (1998- 2006 г.-)- Р.Ш. Хасанов.</w:t>
      </w:r>
    </w:p>
    <w:p w14:paraId="5EE94F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строительства (-7.06.1937 г.)- М.В. Хруничев. Зам. директора (-29.05.1937 г.)- С.З. Довконт (снят), (8.03.1938 г.-)- Н.В. Мартынов. Помощник директора по найму и увольнению (31.12.1938 г.-)- М.В. Бычков. Зам. Гендиректора по экспорту (2002 г.)- К. Г. Насифуллин.</w:t>
      </w:r>
    </w:p>
    <w:p w14:paraId="37AD5D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инженер (1935-37; 8.03.1938 г.-)- Н.В. Мартынов, (-29.04.1937 г.)- С.З. Довконт (снят).</w:t>
      </w:r>
    </w:p>
    <w:p w14:paraId="10FBBA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энергетик (-1935 г.)- Н.В. Мартынов.</w:t>
      </w:r>
    </w:p>
    <w:p w14:paraId="241BA5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цехов: энергоцеха (1934 г.-)- Н.В. Мартынов. Производство: гильзы: латунные 37-мм для пушек «Гочкис», «Виккерс» (1930-е), 20-мм, 45-мм (1930-е), «ЗИК» (1950-е); стальные 85-мм (1950-е), 57-мм (1960-е); патроны: для авиационных пулеметов и пушек НС-37, НС-45 (ВОВ), для пушек НР-23, АМ-23, Р-23, ЗУ-23 (1950-е), 261-ПН, 291-П, НН-30, НР-30 (1960-е), АО-18, ГШ-30, ГШ-301, ГШ-6-30, ГШ-23, ГШ-6-23, 2А7, 2А14, 2А42, 2А72, 2А38 (2000-е); для охотничьего оружия (1993-); заряды для авиационных пушек калибра 23-, 30-мм, для морских пушек;</w:t>
      </w:r>
      <w:r w:rsidRPr="002F2FDF">
        <w:rPr>
          <w:rFonts w:ascii="Times New Roman" w:hAnsi="Times New Roman" w:cs="Times New Roman"/>
          <w:color w:val="000000" w:themeColor="text1"/>
          <w:kern w:val="2"/>
          <w:sz w:val="16"/>
          <w:szCs w:val="16"/>
          <w:vertAlign w:val="superscript"/>
        </w:rPr>
        <w:t>69</w:t>
      </w:r>
      <w:r w:rsidRPr="002F2FDF">
        <w:rPr>
          <w:rFonts w:ascii="Times New Roman" w:hAnsi="Times New Roman" w:cs="Times New Roman"/>
          <w:color w:val="000000" w:themeColor="text1"/>
          <w:kern w:val="2"/>
          <w:sz w:val="16"/>
          <w:szCs w:val="16"/>
        </w:rPr>
        <w:t xml:space="preserve"> пиропатроны (24 вида) для авиационно-космических катапульт ПК-7Т, ПК-ЗМ, ПК-5-2, ПК-4-1, ПК-8М, ЕПК-28-6, кресел К-36; глубинные бомбы Б-30 (1950-е); выстрелы к 40-мм гранатомету ВОГ-25 (1980-е-2000-е);</w:t>
      </w:r>
      <w:r w:rsidRPr="002F2FDF">
        <w:rPr>
          <w:rFonts w:ascii="Times New Roman" w:hAnsi="Times New Roman" w:cs="Times New Roman"/>
          <w:color w:val="000000" w:themeColor="text1"/>
          <w:kern w:val="2"/>
          <w:sz w:val="16"/>
          <w:szCs w:val="16"/>
          <w:vertAlign w:val="superscript"/>
        </w:rPr>
        <w:t>101</w:t>
      </w:r>
      <w:r w:rsidRPr="002F2FDF">
        <w:rPr>
          <w:rFonts w:ascii="Times New Roman" w:hAnsi="Times New Roman" w:cs="Times New Roman"/>
          <w:color w:val="000000" w:themeColor="text1"/>
          <w:kern w:val="2"/>
          <w:sz w:val="16"/>
          <w:szCs w:val="16"/>
        </w:rPr>
        <w:t xml:space="preserve"> автоматическая роторная линия ДСП-116 (1976-77)-4;</w:t>
      </w:r>
    </w:p>
    <w:p w14:paraId="53A1A5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холодильники: «Мир» ДХ-120 (1959-), «Свияга» (1971-), "</w:t>
      </w:r>
      <w:r w:rsidRPr="002F2FDF">
        <w:rPr>
          <w:rFonts w:ascii="Times New Roman" w:hAnsi="Times New Roman" w:cs="Times New Roman"/>
          <w:color w:val="000000" w:themeColor="text1"/>
          <w:kern w:val="2"/>
          <w:sz w:val="16"/>
          <w:szCs w:val="16"/>
          <w:lang w:val="en-US"/>
        </w:rPr>
        <w:t>POZIS</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Premier</w:t>
      </w:r>
      <w:r w:rsidRPr="002F2FDF">
        <w:rPr>
          <w:rFonts w:ascii="Times New Roman" w:hAnsi="Times New Roman" w:cs="Times New Roman"/>
          <w:color w:val="000000" w:themeColor="text1"/>
          <w:kern w:val="2"/>
          <w:sz w:val="16"/>
          <w:szCs w:val="16"/>
        </w:rPr>
        <w:t xml:space="preserve"> (2003-), -</w:t>
      </w:r>
      <w:r w:rsidRPr="002F2FDF">
        <w:rPr>
          <w:rFonts w:ascii="Times New Roman" w:hAnsi="Times New Roman" w:cs="Times New Roman"/>
          <w:color w:val="000000" w:themeColor="text1"/>
          <w:kern w:val="2"/>
          <w:sz w:val="16"/>
          <w:szCs w:val="16"/>
          <w:lang w:val="en-US"/>
        </w:rPr>
        <w:t>Classic</w:t>
      </w:r>
      <w:r w:rsidRPr="002F2FDF">
        <w:rPr>
          <w:rFonts w:ascii="Times New Roman" w:hAnsi="Times New Roman" w:cs="Times New Roman"/>
          <w:color w:val="000000" w:themeColor="text1"/>
          <w:kern w:val="2"/>
          <w:sz w:val="16"/>
          <w:szCs w:val="16"/>
        </w:rPr>
        <w:t>, -</w:t>
      </w:r>
      <w:r w:rsidRPr="002F2FDF">
        <w:rPr>
          <w:rFonts w:ascii="Times New Roman" w:hAnsi="Times New Roman" w:cs="Times New Roman"/>
          <w:color w:val="000000" w:themeColor="text1"/>
          <w:kern w:val="2"/>
          <w:sz w:val="16"/>
          <w:szCs w:val="16"/>
          <w:lang w:val="en-US"/>
        </w:rPr>
        <w:t>ELECTROFROST</w:t>
      </w:r>
      <w:r w:rsidRPr="002F2FDF">
        <w:rPr>
          <w:rFonts w:ascii="Times New Roman" w:hAnsi="Times New Roman" w:cs="Times New Roman"/>
          <w:color w:val="000000" w:themeColor="text1"/>
          <w:kern w:val="2"/>
          <w:sz w:val="16"/>
          <w:szCs w:val="16"/>
        </w:rPr>
        <w:t xml:space="preserve">- 148 (2005-), -МИР-244 (2005-)"; изотермические автофургоны для МО на шасси ГАЭ-3307, ГАЗ-ЗЗО8, КАМАЗ- 43501 (1997-); изотермический прицеп-фургон ПФИ-5; изотермические камеры КИ-1, КИ-1Д-2, КР-1, </w:t>
      </w:r>
      <w:r w:rsidRPr="002F2FDF">
        <w:rPr>
          <w:rFonts w:ascii="Times New Roman" w:hAnsi="Times New Roman" w:cs="Times New Roman"/>
          <w:color w:val="000000" w:themeColor="text1"/>
          <w:kern w:val="2"/>
          <w:sz w:val="16"/>
          <w:szCs w:val="16"/>
        </w:rPr>
        <w:lastRenderedPageBreak/>
        <w:t>КИ-02М; реанимационно-эвакуационный автомобиль на шасси ГАЗ-3308 (2005); стиральная машина «Свияга» (1990-е); амортизаторы для легковых автомобилей (1991-) (11982).</w:t>
      </w:r>
    </w:p>
    <w:p w14:paraId="7B5A35D1" w14:textId="77777777" w:rsidR="003446BF" w:rsidRPr="002F2FDF" w:rsidRDefault="003446B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CF9A52" w14:textId="77777777" w:rsidR="002B526B" w:rsidRPr="002F2FDF" w:rsidRDefault="002B526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ноябре 1917 г. корабль Императрица Мария подвсплыл кормовой частью, а полностью всплыл в мае 1918 г. Всё это время в отсеках работали водолазы, продолжалась выгрузка боезапаса. Уже в доке с корабля была снята 130-мм артиллерия и ряд вспомогательных механизмов. Операцией по подъёму корабля лично руководил командующий ЧФ адмирал В. А. Канин и инженер Сиденснер. В августе 1918 г. портовые буксиры «Водолей», «Пригодный» и «Елизавета» отвели всплывший корпус линкора в док, в котором он простоял три с половиной года. На нем проводился демонтаж внутреннего оборудования и подготовка к перевороту на ровный киль, но из-за начавшегося разрушения килевой дорожки дока его в ноябре 1922 г. спустили на воду. Линкор простоял вверх килем до середины 1926 г., затем его снова ввели в док и разделали на металл. (19732).</w:t>
      </w:r>
    </w:p>
    <w:p w14:paraId="0D601E53" w14:textId="77777777" w:rsidR="002B526B" w:rsidRPr="002F2FDF" w:rsidRDefault="002B526B" w:rsidP="0083075A">
      <w:pPr>
        <w:spacing w:after="0" w:line="240" w:lineRule="auto"/>
        <w:jc w:val="both"/>
        <w:rPr>
          <w:rFonts w:ascii="Times New Roman" w:hAnsi="Times New Roman" w:cs="Times New Roman"/>
          <w:color w:val="000000" w:themeColor="text1"/>
          <w:sz w:val="16"/>
          <w:szCs w:val="16"/>
        </w:rPr>
      </w:pPr>
    </w:p>
    <w:p w14:paraId="3B78042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64460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3AC745" w14:textId="77777777" w:rsidR="008B7CA9" w:rsidRPr="002F2FDF" w:rsidRDefault="008B7CA9" w:rsidP="0083075A">
      <w:pPr>
        <w:spacing w:after="0" w:line="240" w:lineRule="auto"/>
        <w:jc w:val="both"/>
        <w:rPr>
          <w:rFonts w:ascii="Times New Roman" w:hAnsi="Times New Roman" w:cs="Times New Roman"/>
          <w:bCs/>
          <w:color w:val="000000" w:themeColor="text1"/>
          <w:sz w:val="16"/>
          <w:szCs w:val="16"/>
        </w:rPr>
      </w:pPr>
      <w:r w:rsidRPr="002F2FDF">
        <w:rPr>
          <w:rStyle w:val="af0"/>
          <w:rFonts w:ascii="Times New Roman" w:hAnsi="Times New Roman" w:cs="Times New Roman"/>
          <w:i w:val="0"/>
          <w:color w:val="000000" w:themeColor="text1"/>
          <w:sz w:val="16"/>
          <w:szCs w:val="16"/>
        </w:rPr>
        <w:t>Ноябрь 1917 г.</w:t>
      </w:r>
      <w:hyperlink r:id="rId686" w:anchor="_ftn1" w:history="1">
        <w:r w:rsidRPr="002F2FDF">
          <w:rPr>
            <w:rStyle w:val="a7"/>
            <w:rFonts w:ascii="Times New Roman" w:hAnsi="Times New Roman" w:cs="Times New Roman"/>
            <w:b w:val="0"/>
            <w:iCs/>
            <w:color w:val="000000" w:themeColor="text1"/>
            <w:sz w:val="16"/>
            <w:szCs w:val="16"/>
            <w:vertAlign w:val="superscript"/>
          </w:rPr>
          <w:t>[1]</w:t>
        </w:r>
      </w:hyperlink>
    </w:p>
    <w:p w14:paraId="51FB54F1" w14:textId="77777777" w:rsidR="008B7CA9" w:rsidRPr="002F2FDF" w:rsidRDefault="008B7CA9" w:rsidP="0083075A">
      <w:pPr>
        <w:spacing w:after="0" w:line="240" w:lineRule="auto"/>
        <w:jc w:val="both"/>
        <w:rPr>
          <w:rFonts w:ascii="Times New Roman" w:hAnsi="Times New Roman" w:cs="Times New Roman"/>
          <w:bCs/>
          <w:color w:val="000000" w:themeColor="text1"/>
          <w:sz w:val="16"/>
          <w:szCs w:val="16"/>
        </w:rPr>
      </w:pPr>
      <w:r w:rsidRPr="002F2FDF">
        <w:rPr>
          <w:rFonts w:ascii="Times New Roman" w:hAnsi="Times New Roman" w:cs="Times New Roman"/>
          <w:color w:val="000000" w:themeColor="text1"/>
          <w:sz w:val="16"/>
          <w:szCs w:val="16"/>
        </w:rPr>
        <w:t>Доклад начальника Управления военно-воздушного флота ген. Д. В. Яковлева военному министру по вопросу авиационного снабжения армии.</w:t>
      </w:r>
    </w:p>
    <w:p w14:paraId="31F68834" w14:textId="01D0C924" w:rsidR="008B7CA9" w:rsidRPr="002F2FDF" w:rsidRDefault="008B7CA9" w:rsidP="0083075A">
      <w:pPr>
        <w:spacing w:after="0" w:line="240" w:lineRule="auto"/>
        <w:jc w:val="both"/>
        <w:rPr>
          <w:rFonts w:ascii="Times New Roman" w:hAnsi="Times New Roman" w:cs="Times New Roman"/>
          <w:bCs/>
          <w:color w:val="000000" w:themeColor="text1"/>
          <w:sz w:val="16"/>
          <w:szCs w:val="16"/>
        </w:rPr>
      </w:pPr>
      <w:r w:rsidRPr="002F2FDF">
        <w:rPr>
          <w:rFonts w:ascii="Times New Roman" w:hAnsi="Times New Roman" w:cs="Times New Roman"/>
          <w:bCs/>
          <w:color w:val="000000" w:themeColor="text1"/>
          <w:sz w:val="16"/>
          <w:szCs w:val="16"/>
        </w:rPr>
        <w:t>Источник:</w:t>
      </w:r>
      <w:r w:rsidR="00E52569">
        <w:rPr>
          <w:rFonts w:ascii="Times New Roman" w:hAnsi="Times New Roman" w:cs="Times New Roman"/>
          <w:bCs/>
          <w:color w:val="000000" w:themeColor="text1"/>
          <w:sz w:val="16"/>
          <w:szCs w:val="16"/>
        </w:rPr>
        <w:t xml:space="preserve"> </w:t>
      </w:r>
    </w:p>
    <w:p w14:paraId="59D406E2"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191-194</w:t>
      </w:r>
    </w:p>
    <w:p w14:paraId="3618FDB2" w14:textId="25D1A235" w:rsidR="008B7CA9" w:rsidRPr="002F2FDF" w:rsidRDefault="008B7CA9" w:rsidP="0083075A">
      <w:pPr>
        <w:spacing w:after="0" w:line="240" w:lineRule="auto"/>
        <w:jc w:val="both"/>
        <w:rPr>
          <w:rFonts w:ascii="Times New Roman" w:hAnsi="Times New Roman" w:cs="Times New Roman"/>
          <w:bCs/>
          <w:color w:val="000000" w:themeColor="text1"/>
          <w:sz w:val="16"/>
          <w:szCs w:val="16"/>
        </w:rPr>
      </w:pPr>
      <w:r w:rsidRPr="002F2FDF">
        <w:rPr>
          <w:rFonts w:ascii="Times New Roman" w:hAnsi="Times New Roman" w:cs="Times New Roman"/>
          <w:bCs/>
          <w:color w:val="000000" w:themeColor="text1"/>
          <w:sz w:val="16"/>
          <w:szCs w:val="16"/>
        </w:rPr>
        <w:t>Архив:</w:t>
      </w:r>
      <w:r w:rsidR="00E52569">
        <w:rPr>
          <w:rFonts w:ascii="Times New Roman" w:hAnsi="Times New Roman" w:cs="Times New Roman"/>
          <w:bCs/>
          <w:color w:val="000000" w:themeColor="text1"/>
          <w:sz w:val="16"/>
          <w:szCs w:val="16"/>
        </w:rPr>
        <w:t xml:space="preserve"> </w:t>
      </w:r>
    </w:p>
    <w:p w14:paraId="77C95739"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ЦГВИА, ф. 493, оп. 4, д. 603, лл. 9—10 об. Копия.</w:t>
      </w:r>
    </w:p>
    <w:p w14:paraId="02242371" w14:textId="77777777" w:rsidR="008B7CA9" w:rsidRPr="002F2FDF" w:rsidRDefault="008B7CA9" w:rsidP="0083075A">
      <w:pPr>
        <w:pStyle w:val="rteright"/>
        <w:spacing w:before="0" w:beforeAutospacing="0" w:after="0" w:afterAutospacing="0"/>
        <w:jc w:val="both"/>
        <w:rPr>
          <w:color w:val="000000" w:themeColor="text1"/>
          <w:sz w:val="16"/>
          <w:szCs w:val="16"/>
        </w:rPr>
      </w:pPr>
      <w:r w:rsidRPr="002F2FDF">
        <w:rPr>
          <w:rStyle w:val="af0"/>
          <w:i w:val="0"/>
          <w:color w:val="000000" w:themeColor="text1"/>
          <w:sz w:val="16"/>
          <w:szCs w:val="16"/>
        </w:rPr>
        <w:t>Ноябрь 1917 г.</w:t>
      </w:r>
      <w:hyperlink r:id="rId687" w:anchor="_ftn1" w:history="1">
        <w:r w:rsidRPr="002F2FDF">
          <w:rPr>
            <w:rStyle w:val="a7"/>
            <w:rFonts w:eastAsiaTheme="majorEastAsia"/>
            <w:b w:val="0"/>
            <w:iCs/>
            <w:color w:val="000000" w:themeColor="text1"/>
            <w:sz w:val="16"/>
            <w:szCs w:val="16"/>
            <w:vertAlign w:val="superscript"/>
          </w:rPr>
          <w:t>[1]</w:t>
        </w:r>
      </w:hyperlink>
    </w:p>
    <w:p w14:paraId="3F7051BC" w14:textId="6B4A28FA" w:rsidR="008B7CA9" w:rsidRPr="002F2FDF" w:rsidRDefault="008B7CA9" w:rsidP="0083075A">
      <w:pPr>
        <w:pStyle w:val="rtejustify"/>
        <w:spacing w:before="0" w:after="0"/>
        <w:rPr>
          <w:color w:val="000000" w:themeColor="text1"/>
          <w:sz w:val="16"/>
          <w:szCs w:val="16"/>
        </w:rPr>
      </w:pPr>
      <w:r w:rsidRPr="002F2FDF">
        <w:rPr>
          <w:color w:val="000000" w:themeColor="text1"/>
          <w:sz w:val="16"/>
          <w:szCs w:val="16"/>
        </w:rPr>
        <w:t>В дополнение к докладам моим от 23 мая с. г. за № 9022</w:t>
      </w:r>
      <w:hyperlink r:id="rId688" w:anchor="_ftn2" w:history="1">
        <w:r w:rsidRPr="002F2FDF">
          <w:rPr>
            <w:rStyle w:val="a5"/>
            <w:rFonts w:eastAsiaTheme="majorEastAsia"/>
            <w:color w:val="000000" w:themeColor="text1"/>
            <w:sz w:val="16"/>
            <w:szCs w:val="16"/>
            <w:vertAlign w:val="superscript"/>
          </w:rPr>
          <w:t>[2]</w:t>
        </w:r>
      </w:hyperlink>
      <w:r w:rsidR="00E52569">
        <w:rPr>
          <w:color w:val="000000" w:themeColor="text1"/>
          <w:sz w:val="16"/>
          <w:szCs w:val="16"/>
          <w:vertAlign w:val="superscript"/>
        </w:rPr>
        <w:t xml:space="preserve"> </w:t>
      </w:r>
      <w:r w:rsidRPr="002F2FDF">
        <w:rPr>
          <w:color w:val="000000" w:themeColor="text1"/>
          <w:sz w:val="16"/>
          <w:szCs w:val="16"/>
        </w:rPr>
        <w:t>и от 25 мая за № 9040</w:t>
      </w:r>
      <w:hyperlink r:id="rId689" w:anchor="_ftn3" w:history="1">
        <w:r w:rsidRPr="002F2FDF">
          <w:rPr>
            <w:rStyle w:val="a5"/>
            <w:rFonts w:eastAsiaTheme="majorEastAsia"/>
            <w:color w:val="000000" w:themeColor="text1"/>
            <w:sz w:val="16"/>
            <w:szCs w:val="16"/>
            <w:vertAlign w:val="superscript"/>
          </w:rPr>
          <w:t>[3]</w:t>
        </w:r>
      </w:hyperlink>
      <w:r w:rsidR="00E52569">
        <w:rPr>
          <w:color w:val="000000" w:themeColor="text1"/>
          <w:sz w:val="16"/>
          <w:szCs w:val="16"/>
        </w:rPr>
        <w:t xml:space="preserve"> </w:t>
      </w:r>
      <w:r w:rsidRPr="002F2FDF">
        <w:rPr>
          <w:color w:val="000000" w:themeColor="text1"/>
          <w:sz w:val="16"/>
          <w:szCs w:val="16"/>
        </w:rPr>
        <w:t>и представленного Вам в октябре месяце проекта доклада</w:t>
      </w:r>
      <w:r w:rsidRPr="002F2FDF">
        <w:rPr>
          <w:rStyle w:val="a7"/>
          <w:rFonts w:eastAsiaTheme="majorEastAsia"/>
          <w:b w:val="0"/>
          <w:color w:val="000000" w:themeColor="text1"/>
          <w:sz w:val="16"/>
          <w:szCs w:val="16"/>
        </w:rPr>
        <w:t>,</w:t>
      </w:r>
      <w:hyperlink r:id="rId690" w:anchor="_ftn4" w:history="1">
        <w:r w:rsidRPr="002F2FDF">
          <w:rPr>
            <w:rStyle w:val="a7"/>
            <w:rFonts w:eastAsiaTheme="majorEastAsia"/>
            <w:b w:val="0"/>
            <w:color w:val="000000" w:themeColor="text1"/>
            <w:sz w:val="16"/>
            <w:szCs w:val="16"/>
            <w:vertAlign w:val="superscript"/>
          </w:rPr>
          <w:t>[4]</w:t>
        </w:r>
      </w:hyperlink>
      <w:r w:rsidR="00E52569">
        <w:rPr>
          <w:color w:val="000000" w:themeColor="text1"/>
          <w:sz w:val="16"/>
          <w:szCs w:val="16"/>
          <w:vertAlign w:val="superscript"/>
        </w:rPr>
        <w:t xml:space="preserve"> </w:t>
      </w:r>
      <w:r w:rsidRPr="002F2FDF">
        <w:rPr>
          <w:color w:val="000000" w:themeColor="text1"/>
          <w:sz w:val="16"/>
          <w:szCs w:val="16"/>
        </w:rPr>
        <w:t>при сем прилагаемого,</w:t>
      </w:r>
      <w:hyperlink r:id="rId691" w:anchor="_ftn5" w:history="1">
        <w:r w:rsidRPr="002F2FDF">
          <w:rPr>
            <w:rStyle w:val="a5"/>
            <w:rFonts w:eastAsiaTheme="majorEastAsia"/>
            <w:color w:val="000000" w:themeColor="text1"/>
            <w:sz w:val="16"/>
            <w:szCs w:val="16"/>
            <w:vertAlign w:val="superscript"/>
          </w:rPr>
          <w:t>[5]</w:t>
        </w:r>
      </w:hyperlink>
      <w:r w:rsidR="00E52569">
        <w:rPr>
          <w:color w:val="000000" w:themeColor="text1"/>
          <w:sz w:val="16"/>
          <w:szCs w:val="16"/>
        </w:rPr>
        <w:t xml:space="preserve"> </w:t>
      </w:r>
      <w:r w:rsidRPr="002F2FDF">
        <w:rPr>
          <w:color w:val="000000" w:themeColor="text1"/>
          <w:sz w:val="16"/>
          <w:szCs w:val="16"/>
        </w:rPr>
        <w:t>обязуюсь вновь доложить нижеследующие соображения по вопросу авиационного снабжения.</w:t>
      </w:r>
    </w:p>
    <w:p w14:paraId="52FC6F2B" w14:textId="77777777" w:rsidR="008B7CA9" w:rsidRPr="002F2FDF" w:rsidRDefault="008B7CA9" w:rsidP="0083075A">
      <w:pPr>
        <w:pStyle w:val="rtejustify"/>
        <w:spacing w:before="0" w:after="0"/>
        <w:rPr>
          <w:color w:val="000000" w:themeColor="text1"/>
          <w:sz w:val="16"/>
          <w:szCs w:val="16"/>
        </w:rPr>
      </w:pPr>
      <w:r w:rsidRPr="002F2FDF">
        <w:rPr>
          <w:color w:val="000000" w:themeColor="text1"/>
          <w:sz w:val="16"/>
          <w:szCs w:val="16"/>
        </w:rPr>
        <w:t>Из последнего доклада Вы изволите усмотреть, что затруднения в обслуживании армии авиационными средствами, как они сложились к концу предшествующего месяца, сводились главным образом к неполучению из-за границы в обусловленные програмными соображениями сроки авиационных моторов и к невозможности в силу этого осуществления хотя бы минимальной программы русского аэропланного строительства.</w:t>
      </w:r>
    </w:p>
    <w:p w14:paraId="3941953F" w14:textId="77777777" w:rsidR="008B7CA9" w:rsidRPr="002F2FDF" w:rsidRDefault="008B7CA9" w:rsidP="0083075A">
      <w:pPr>
        <w:pStyle w:val="rtejustify"/>
        <w:spacing w:before="0" w:after="0"/>
        <w:rPr>
          <w:color w:val="000000" w:themeColor="text1"/>
          <w:sz w:val="16"/>
          <w:szCs w:val="16"/>
        </w:rPr>
      </w:pPr>
      <w:r w:rsidRPr="002F2FDF">
        <w:rPr>
          <w:color w:val="000000" w:themeColor="text1"/>
          <w:sz w:val="16"/>
          <w:szCs w:val="16"/>
        </w:rPr>
        <w:t>Усматривая причину создавшихся затруднений в общеполитической обстановке и не располагая в пределах предоставленных мне полномочий возможностью сколько-нибудь изменить то катастрофическое положение, в которое ставилось этим авиационное снабжение, я счел своим долгом довести до Вашего сведения и до сведения Особого совещания по обороне государства о грозящем фронту оскудении авиационными средствами и о возлагаемой на казну тяжести оплаты многомиллионных расходов по постройке аэропланов, употребление коих в действие являлось маловероятным ввиду опозданий в получении из-за границы моторов.</w:t>
      </w:r>
    </w:p>
    <w:p w14:paraId="24075673" w14:textId="77777777" w:rsidR="008B7CA9" w:rsidRPr="002F2FDF" w:rsidRDefault="008B7CA9" w:rsidP="0083075A">
      <w:pPr>
        <w:pStyle w:val="rtejustify"/>
        <w:spacing w:before="0" w:after="0"/>
        <w:rPr>
          <w:color w:val="000000" w:themeColor="text1"/>
          <w:sz w:val="16"/>
          <w:szCs w:val="16"/>
        </w:rPr>
      </w:pPr>
      <w:r w:rsidRPr="002F2FDF">
        <w:rPr>
          <w:color w:val="000000" w:themeColor="text1"/>
          <w:sz w:val="16"/>
          <w:szCs w:val="16"/>
        </w:rPr>
        <w:t>Особое совещание, обсудив представленные мною данные, наметило к устранению создавшихся затруднений ряд мер, кои могли хотя бы частично исправить создавшееся положение. Главнейшие из них сводились к объединению в России и за границей всех заказов как сухопутной, так и морской авиации, к командированию во Францию, Англию и на союзную конференцию авторитетного представителя России в целях содействия присылке моторов и аэропланов и к скорейшему проведению в жизнь обмена с союзниками предметов авиации на сырье, которое мы могли бы им дать.</w:t>
      </w:r>
    </w:p>
    <w:p w14:paraId="488C34F8" w14:textId="77777777" w:rsidR="008B7CA9" w:rsidRPr="002F2FDF" w:rsidRDefault="008B7CA9" w:rsidP="0083075A">
      <w:pPr>
        <w:pStyle w:val="rtejustify"/>
        <w:spacing w:before="0" w:after="0"/>
        <w:rPr>
          <w:color w:val="000000" w:themeColor="text1"/>
          <w:sz w:val="16"/>
          <w:szCs w:val="16"/>
        </w:rPr>
      </w:pPr>
      <w:r w:rsidRPr="002F2FDF">
        <w:rPr>
          <w:color w:val="000000" w:themeColor="text1"/>
          <w:sz w:val="16"/>
          <w:szCs w:val="16"/>
        </w:rPr>
        <w:t>События последующего периода не дают оснований рассчитывать на проведение в ближайшее время намеченных мер. Приостановка же прибытия из-за границы авиационных моторов ставит вопрос о дальнейшем снабжении армии авиационными средствами в тесную зависимость лишь от наличия уже имеющихся в распоряжении Управления военного воздушного флота моторов.</w:t>
      </w:r>
    </w:p>
    <w:p w14:paraId="45D8FAF7" w14:textId="77777777" w:rsidR="008B7CA9" w:rsidRPr="002F2FDF" w:rsidRDefault="008B7CA9" w:rsidP="0083075A">
      <w:pPr>
        <w:pStyle w:val="rtejustify"/>
        <w:spacing w:before="0" w:after="0"/>
        <w:rPr>
          <w:color w:val="000000" w:themeColor="text1"/>
          <w:sz w:val="16"/>
          <w:szCs w:val="16"/>
        </w:rPr>
      </w:pPr>
      <w:r w:rsidRPr="002F2FDF">
        <w:rPr>
          <w:color w:val="000000" w:themeColor="text1"/>
          <w:sz w:val="16"/>
          <w:szCs w:val="16"/>
        </w:rPr>
        <w:t>Состояние запаса моторов представляется в настоящее время в следующем виде:</w:t>
      </w:r>
    </w:p>
    <w:tbl>
      <w:tblPr>
        <w:tblW w:w="0" w:type="auto"/>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78"/>
        <w:gridCol w:w="599"/>
        <w:gridCol w:w="2073"/>
        <w:gridCol w:w="1156"/>
        <w:gridCol w:w="1447"/>
        <w:gridCol w:w="1298"/>
        <w:gridCol w:w="410"/>
        <w:gridCol w:w="3161"/>
      </w:tblGrid>
      <w:tr w:rsidR="002B1C74" w:rsidRPr="002F2FDF" w14:paraId="476A4CD5"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020ACA6"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Тип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C2AC1"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На складе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C510EC5"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На заводах для установления на 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081B1"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На моторных заводах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C533E"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На заграничных самолетах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2599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В пути в пределах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427F6"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DD8FE"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Из них может быть использовано для установки на русские самолеты</w:t>
            </w:r>
          </w:p>
        </w:tc>
      </w:tr>
      <w:tr w:rsidR="002B1C74" w:rsidRPr="002F2FDF" w14:paraId="38123E4D"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41268E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Кантон-Юнне 160с.</w:t>
            </w:r>
            <w:hyperlink r:id="rId692" w:anchor="_ftn6" w:history="1">
              <w:r w:rsidRPr="002F2FDF">
                <w:rPr>
                  <w:rStyle w:val="a5"/>
                  <w:color w:val="000000" w:themeColor="text1"/>
                  <w:sz w:val="16"/>
                  <w:szCs w:val="16"/>
                  <w:vertAlign w:val="superscript"/>
                </w:rPr>
                <w:t>[6]</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615085B1"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5D49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9269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9DC6C"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A015D"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3165D"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DD5DD"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w:t>
            </w:r>
          </w:p>
        </w:tc>
      </w:tr>
      <w:tr w:rsidR="002B1C74" w:rsidRPr="002F2FDF" w14:paraId="1AFEE71B"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EECE09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Рон 110/120с.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1122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1D0A3"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DC3B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A6720"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30513"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68A8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E75EC"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170</w:t>
            </w:r>
          </w:p>
        </w:tc>
      </w:tr>
      <w:tr w:rsidR="002B1C74" w:rsidRPr="002F2FDF" w14:paraId="2DD5BFAF"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FF4C0C3" w14:textId="77777777" w:rsidR="008B7CA9" w:rsidRPr="002F2FDF" w:rsidRDefault="008B7CA9" w:rsidP="0083075A">
            <w:pPr>
              <w:pStyle w:val="rteindent1"/>
              <w:spacing w:before="0" w:beforeAutospacing="0" w:after="0" w:afterAutospacing="0"/>
              <w:ind w:left="0"/>
              <w:jc w:val="both"/>
              <w:rPr>
                <w:color w:val="000000" w:themeColor="text1"/>
                <w:sz w:val="16"/>
                <w:szCs w:val="16"/>
              </w:rPr>
            </w:pPr>
            <w:r w:rsidRPr="002F2FDF">
              <w:rPr>
                <w:rStyle w:val="af0"/>
                <w:i w:val="0"/>
                <w:color w:val="000000" w:themeColor="text1"/>
                <w:sz w:val="16"/>
                <w:szCs w:val="16"/>
              </w:rPr>
              <w:t>»</w:t>
            </w:r>
            <w:r w:rsidRPr="002F2FDF">
              <w:rPr>
                <w:color w:val="000000" w:themeColor="text1"/>
                <w:sz w:val="16"/>
                <w:szCs w:val="16"/>
              </w:rPr>
              <w:t>100с.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3DD65"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13C63"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693DB"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315FE"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F9E8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127B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D5153"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6</w:t>
            </w:r>
          </w:p>
        </w:tc>
      </w:tr>
      <w:tr w:rsidR="002B1C74" w:rsidRPr="002F2FDF" w14:paraId="5836E600"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C2770F1" w14:textId="77777777" w:rsidR="008B7CA9" w:rsidRPr="002F2FDF" w:rsidRDefault="008B7CA9"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80с.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4BBA0"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E9628"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35CBD"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9A131"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9A92C"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BC4B1"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58D9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4F5E63F5"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D2274A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Сальмсон 245с.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1FEA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38AFD"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7CD7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27252"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8AC0D"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D36BB"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96CC3"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5480E2FE"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32D9627" w14:textId="77777777" w:rsidR="008B7CA9" w:rsidRPr="002F2FDF" w:rsidRDefault="008B7CA9"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230с.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64271"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FAEA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C596B"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F376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D934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90135"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04CD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2CA4085E"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911305" w14:textId="77777777" w:rsidR="008B7CA9" w:rsidRPr="002F2FDF" w:rsidRDefault="008B7CA9"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175с.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3A47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980F6"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5306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E29B1"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26271"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73555"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5E522"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15</w:t>
            </w:r>
          </w:p>
        </w:tc>
      </w:tr>
      <w:tr w:rsidR="002B1C74" w:rsidRPr="002F2FDF" w14:paraId="1AA3A968"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E1CEC6" w14:textId="77777777" w:rsidR="008B7CA9" w:rsidRPr="002F2FDF" w:rsidRDefault="008B7CA9"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220с.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6467E"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B0AF8"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0929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4F4DC"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290BD"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75CF5"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5E29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552159ED"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3A6C4BD" w14:textId="77777777" w:rsidR="008B7CA9" w:rsidRPr="002F2FDF" w:rsidRDefault="008B7CA9"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160с.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644D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181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C2FE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62FCC"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4632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C91ED"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72B3B"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25346"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211 (условно)</w:t>
            </w:r>
          </w:p>
        </w:tc>
      </w:tr>
      <w:tr w:rsidR="002B1C74" w:rsidRPr="002F2FDF" w14:paraId="22514BE4"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B83CD75" w14:textId="77777777" w:rsidR="008B7CA9" w:rsidRPr="002F2FDF" w:rsidRDefault="008B7CA9"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E0515"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5A89B"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368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22210"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1C542"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96226"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7184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536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C53A2"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4CCF28B9"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D91BBB" w14:textId="77777777" w:rsidR="008B7CA9" w:rsidRPr="002F2FDF" w:rsidRDefault="008B7CA9"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140с.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9ADB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A756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729DE"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DF2A1"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1E12E"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8819E"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1776B"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556C506D"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5A2DC7" w14:textId="77777777" w:rsidR="008B7CA9" w:rsidRPr="002F2FDF" w:rsidRDefault="008B7CA9"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130с.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B0CB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30DF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B758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889B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925B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__</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9130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BF82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5636EBE8"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565863"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Клерже 110с.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9B24C"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9C966"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04C50"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C4F16"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2D76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E9782"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73130"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25</w:t>
            </w:r>
          </w:p>
        </w:tc>
      </w:tr>
      <w:tr w:rsidR="002B1C74" w:rsidRPr="002F2FDF" w14:paraId="59905BE6"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4050B96" w14:textId="77777777" w:rsidR="008B7CA9" w:rsidRPr="002F2FDF" w:rsidRDefault="008B7CA9"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100с.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A26F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6021C"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BDC5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0CC3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77FA6"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8CE16"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6E01C"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5D8D1FED"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227C92"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Изота Фраскини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1A3BC"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35410"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CD1D1"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9F6E6"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1A35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3BC30"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73BC8"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3109E2B4"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A0EB0C0" w14:textId="77777777" w:rsidR="008B7CA9" w:rsidRPr="002F2FDF" w:rsidRDefault="008B7CA9"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 200с.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F6D92"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B603E"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7FB13"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7C57E"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05873"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E2046"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8F7DD"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w:t>
            </w:r>
          </w:p>
        </w:tc>
      </w:tr>
      <w:tr w:rsidR="002B1C74" w:rsidRPr="002F2FDF" w14:paraId="32D018FC"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34AF253"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Испана Сюиза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F3950"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67FC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0438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BEDF5"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4AE5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10D62"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B30E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2DBB35F7"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5B5A2E" w14:textId="77777777" w:rsidR="008B7CA9" w:rsidRPr="002F2FDF" w:rsidRDefault="008B7CA9"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 140с.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F805B"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C27C1"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E0B5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564CB"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879F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BD7BD"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053C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2F39F614"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12069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Анзани 125с.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3C21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9FA80"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BBA8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0E82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6636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03458"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4EA35"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58884CE9"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A23CCC" w14:textId="77777777" w:rsidR="008B7CA9" w:rsidRPr="002F2FDF" w:rsidRDefault="008B7CA9"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110с.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34EA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D2FC3"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E368B"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F18C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6A9E3"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0659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75DD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18B99C74"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FFB62E1" w14:textId="77777777" w:rsidR="008B7CA9" w:rsidRPr="002F2FDF" w:rsidRDefault="008B7CA9"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90с.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D429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016E3"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AC440"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7B785"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98554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CC7E8"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DE8D2"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5D0AF186"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B3D1A7" w14:textId="77777777" w:rsidR="008B7CA9" w:rsidRPr="002F2FDF" w:rsidRDefault="008B7CA9"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60с.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EC065"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7BC88"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87F1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FFBA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62A42"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FF1BB"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95EE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55593F3A"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7E09C91" w14:textId="77777777" w:rsidR="008B7CA9" w:rsidRPr="002F2FDF" w:rsidRDefault="008B7CA9"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40с.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315F4"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E231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4B69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EAB1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761CBE"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9963D"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58DA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71A9D821"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BDB66F1"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РАФ 90с.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9015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565FB"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6464B"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38BA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2634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7AF86"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596E0"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648819FB"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BD5522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РБВ 36[с.]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CF522"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51330"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DD941"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44AA8"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10A2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ECB43"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8AE6B"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132909A1"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459AD9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Рено 220с.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559EB"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73A9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0028E"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EEEE8"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014A6"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4DA08"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D2173"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48BD09F7"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631897" w14:textId="77777777" w:rsidR="008B7CA9" w:rsidRPr="002F2FDF" w:rsidRDefault="008B7CA9"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32E0C" w14:textId="4B47C389" w:rsidR="008B7CA9"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A705C"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51F6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2DC82"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5232A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DA3B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F903B"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4D33CB0B"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7341D2D" w14:textId="77777777" w:rsidR="008B7CA9" w:rsidRPr="002F2FDF" w:rsidRDefault="008B7CA9"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130с.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01606"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9B361"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369D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0B352"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C5CFB"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7DD53"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2B8AE"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7F028A33"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7014B0C"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Сенбим 160/170с.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8F455"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24D13"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3B6D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9D68E"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8E305"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A2410"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64D5C"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611694A9"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F7CC72E"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204E8"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2FFE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0805D"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926C8"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1ACE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42FF5"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0897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79EA1868"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520FF5"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Фиат 100с.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AF5D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5BF53"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9AFFE"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158C6"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771E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A94AD"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662D3"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4431F2C1"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4B7533B" w14:textId="77777777" w:rsidR="008B7CA9" w:rsidRPr="002F2FDF" w:rsidRDefault="008B7CA9" w:rsidP="0083075A">
            <w:pPr>
              <w:pStyle w:val="rteindent1"/>
              <w:spacing w:before="0" w:beforeAutospacing="0" w:after="0" w:afterAutospacing="0"/>
              <w:ind w:left="0"/>
              <w:jc w:val="both"/>
              <w:rPr>
                <w:color w:val="000000" w:themeColor="text1"/>
                <w:sz w:val="16"/>
                <w:szCs w:val="16"/>
              </w:rPr>
            </w:pPr>
            <w:r w:rsidRPr="002F2FDF">
              <w:rPr>
                <w:color w:val="000000" w:themeColor="text1"/>
                <w:sz w:val="16"/>
                <w:szCs w:val="16"/>
              </w:rPr>
              <w:t>» 230с.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0C53E"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BA7F3"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6F99C"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229178"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35A1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53392"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85FD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96</w:t>
            </w:r>
          </w:p>
        </w:tc>
      </w:tr>
      <w:tr w:rsidR="002B1C74" w:rsidRPr="002F2FDF" w14:paraId="4E366275"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3AB7AB"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Холл-Скотт 125с.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507FE"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07231"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9903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FC7E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4F56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786B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84F48"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r>
      <w:tr w:rsidR="002B1C74" w:rsidRPr="002F2FDF" w14:paraId="53E34BCC"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76C1286"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F675D" w14:textId="7D66F0F0" w:rsidR="008B7CA9"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D159A" w14:textId="42813C75" w:rsidR="008B7CA9"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2A557" w14:textId="5A9C4CD9" w:rsidR="008B7CA9"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DBFC3" w14:textId="76EA41CE" w:rsidR="008B7CA9"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28EC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C5A8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AF9F1"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525</w:t>
            </w:r>
          </w:p>
        </w:tc>
      </w:tr>
    </w:tbl>
    <w:p w14:paraId="51DFA242" w14:textId="77777777" w:rsidR="008B7CA9" w:rsidRPr="002F2FDF" w:rsidRDefault="008B7CA9" w:rsidP="0083075A">
      <w:pPr>
        <w:pStyle w:val="rtejustify"/>
        <w:spacing w:before="0" w:after="0"/>
        <w:rPr>
          <w:color w:val="000000" w:themeColor="text1"/>
          <w:sz w:val="16"/>
          <w:szCs w:val="16"/>
        </w:rPr>
      </w:pPr>
      <w:r w:rsidRPr="002F2FDF">
        <w:rPr>
          <w:color w:val="000000" w:themeColor="text1"/>
          <w:sz w:val="16"/>
          <w:szCs w:val="16"/>
        </w:rPr>
        <w:t>Что касается остальных моторов в количестве 1742 шт., то запас их накапливался в течение 3 лет войны из моторов, кои к моменту их получения являлись уже устаревшими как по системе, так и по мощности, и, следовательно, эти моторы в настоящее время ни в какой мере не; могут быть использованы для целей боевого снабжения. Потребность же в моторах, вызываемая осуществлением на отечественных аэропланных заводах минимальной авиационной программы, такова: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03"/>
        <w:gridCol w:w="839"/>
        <w:gridCol w:w="1000"/>
        <w:gridCol w:w="589"/>
        <w:gridCol w:w="716"/>
        <w:gridCol w:w="21"/>
      </w:tblGrid>
      <w:tr w:rsidR="002B1C74" w:rsidRPr="002F2FDF" w14:paraId="146AF7EF" w14:textId="77777777" w:rsidTr="00A63911">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B608CF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Исполняется заказ по постройке аэропланов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20C315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Имеется</w:t>
            </w:r>
          </w:p>
          <w:p w14:paraId="78CE12D2"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моторов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4B50D4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Недостает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B5AE7" w14:textId="48FA404C" w:rsidR="008B7CA9"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7C7E9950" w14:textId="77777777" w:rsidTr="00A6391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B63F26"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система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8A18A6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завод</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4781A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количество</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A460E22"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C98EABF"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72644C" w14:textId="5AB64AF0" w:rsidR="008B7CA9"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5588C8AC"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1FCC8CDF"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54515C4"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660B002"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64D1239"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C0D1D9"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3F5410" w14:textId="410768E5" w:rsidR="008B7CA9"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2B1C74" w:rsidRPr="002F2FDF" w14:paraId="4A2304F4"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7B8746AC"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Ньюпор X</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F2CAC"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Лебедев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18372"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40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2C98C3"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176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1ED3D5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71DE8" w14:textId="1714CF25" w:rsidR="008B7CA9"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1A78EF04" w14:textId="77777777" w:rsidTr="00A6391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81DCE8"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Ньюпор XVII</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48912"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Анатра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B5AB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8A517BE"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08CC35E"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2FC3D7" w14:textId="16391300" w:rsidR="008B7CA9"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50B3AE07"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2C76331D"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939E06"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Дуке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238C0"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2E7FF28"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9348077"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313464" w14:textId="136FF425" w:rsidR="008B7CA9"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67B64A63"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18282A3F"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E9755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Анатра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7B598"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40E4F08"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3FA8BF9"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D88D6D" w14:textId="1AA7D336" w:rsidR="008B7CA9"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3A93706E"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5750B638"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Иьюпор XXI</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B5EA8"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Дукс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B247B"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30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453472C"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226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9DE1735"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D3D3F" w14:textId="4BB018D8" w:rsidR="008B7CA9"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690D590B" w14:textId="77777777" w:rsidTr="00A6391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54CFDE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Фарман XXX</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688B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Дуке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80550"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6E09B50"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1B33051"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516E9D" w14:textId="086EF143" w:rsidR="008B7CA9"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669E048C"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401DFD4C"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8B219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Матиас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403DB"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E64C146"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A5776AC"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704899" w14:textId="28FAE04C" w:rsidR="008B7CA9"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330BB896" w14:textId="77777777" w:rsidTr="00A6391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7216F6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Анатра 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CE9D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Анатра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3A1E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150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34677EE"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739F9B"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BED55B" w14:textId="0DEFD200" w:rsidR="008B7CA9"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77E4F791"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63B512A1"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9896E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23C1D"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250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E290BB5"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7B32387"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66C6C9" w14:textId="7DE36BA7" w:rsidR="008B7CA9"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1E2C6686"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25FA5AE8"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7E390C"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F2EC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1F1E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985C1"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D135A" w14:textId="3081818C" w:rsidR="008B7CA9"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08B67DE5"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2865DBD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Лебедь XXIV</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0045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Лебедев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4A9F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979CC"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22D66"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474ED" w14:textId="6DAC87FF" w:rsidR="008B7CA9"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75B36C51" w14:textId="77777777" w:rsidTr="00A6391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C086CD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Спад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46C3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Матиас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85A5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E85B5"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C633E"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83058" w14:textId="4B8AEB40" w:rsidR="008B7CA9"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4327D369"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7F4F6325"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9B8F3C"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Щетинин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2AFF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54EEE"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1BCC8"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40099" w14:textId="7A893FCB" w:rsidR="008B7CA9"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0E89F10A"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69E63736"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E10B2D"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Дуке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6A12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12CE8"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4B50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D15A82" w14:textId="74C2C1BF" w:rsidR="008B7CA9"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30F06969"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5CF0CEDE"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Сопвич</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D0A5E"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Лебедев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38B52"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4941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22540"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BDB7F" w14:textId="1788698B" w:rsidR="008B7CA9"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r w:rsidR="002B1C74" w:rsidRPr="002F2FDF" w14:paraId="7DA3AEF4"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1208A58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40C34" w14:textId="761828FD" w:rsidR="008B7CA9"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51C01"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0289B"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29EC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1CAF4" w14:textId="71DCD381" w:rsidR="008B7CA9" w:rsidRPr="002F2FDF" w:rsidRDefault="00E52569" w:rsidP="0083075A">
            <w:pPr>
              <w:pStyle w:val="ae"/>
              <w:spacing w:before="0" w:after="0"/>
              <w:jc w:val="both"/>
              <w:rPr>
                <w:color w:val="000000" w:themeColor="text1"/>
                <w:sz w:val="16"/>
                <w:szCs w:val="16"/>
              </w:rPr>
            </w:pPr>
            <w:r>
              <w:rPr>
                <w:color w:val="000000" w:themeColor="text1"/>
                <w:sz w:val="16"/>
                <w:szCs w:val="16"/>
              </w:rPr>
              <w:t xml:space="preserve"> </w:t>
            </w:r>
          </w:p>
        </w:tc>
      </w:tr>
    </w:tbl>
    <w:p w14:paraId="0B7BCF50" w14:textId="77777777" w:rsidR="008B7CA9" w:rsidRPr="002F2FDF" w:rsidRDefault="008B7CA9" w:rsidP="0083075A">
      <w:pPr>
        <w:pStyle w:val="rtejustify"/>
        <w:spacing w:before="0" w:after="0"/>
        <w:rPr>
          <w:color w:val="000000" w:themeColor="text1"/>
          <w:sz w:val="16"/>
          <w:szCs w:val="16"/>
        </w:rPr>
      </w:pPr>
      <w:r w:rsidRPr="002F2FDF">
        <w:rPr>
          <w:color w:val="000000" w:themeColor="text1"/>
          <w:sz w:val="16"/>
          <w:szCs w:val="16"/>
        </w:rPr>
        <w:t>Рассчитывать на производительность русских моторных заводов в размерах, сколько-нибудь способных выполнить этот пробел в моторах, не имеется достаточных оснований.</w:t>
      </w:r>
    </w:p>
    <w:p w14:paraId="27CCEF87" w14:textId="77777777" w:rsidR="008B7CA9" w:rsidRPr="002F2FDF" w:rsidRDefault="008B7CA9" w:rsidP="0083075A">
      <w:pPr>
        <w:pStyle w:val="rtejustify"/>
        <w:spacing w:before="0" w:after="0"/>
        <w:rPr>
          <w:color w:val="000000" w:themeColor="text1"/>
          <w:sz w:val="16"/>
          <w:szCs w:val="16"/>
        </w:rPr>
      </w:pPr>
      <w:r w:rsidRPr="002F2FDF">
        <w:rPr>
          <w:color w:val="000000" w:themeColor="text1"/>
          <w:sz w:val="16"/>
          <w:szCs w:val="16"/>
        </w:rPr>
        <w:t>Из изложенного усматривается, что расхождение в выполнении авиационной и моторной программ не оправдывает постройки 1765 аэропланов, которые, будучи выстроены и не снабжены своевременно моторами, не смогут нести какой-либо службы даже в том случае, если бы моторы на них и начали поступать спустя значительный промежуток времени, ввиду того что они, во-первых, устарели бы к тому моменту, учитывая большой прогресс авиационной техники, а во-вторых, ожидая сколько-нибудь значительное время в готовом виде моторов, они могли бы подвергнуться деформации, которая сделала бы сомнительной возможность употребления их для боевых целей.</w:t>
      </w:r>
    </w:p>
    <w:p w14:paraId="7C0DE21C" w14:textId="77777777" w:rsidR="008B7CA9" w:rsidRPr="002F2FDF" w:rsidRDefault="008B7CA9" w:rsidP="0083075A">
      <w:pPr>
        <w:pStyle w:val="rtejustify"/>
        <w:spacing w:before="0" w:after="0"/>
        <w:rPr>
          <w:color w:val="000000" w:themeColor="text1"/>
          <w:sz w:val="16"/>
          <w:szCs w:val="16"/>
        </w:rPr>
      </w:pPr>
      <w:r w:rsidRPr="002F2FDF">
        <w:rPr>
          <w:color w:val="000000" w:themeColor="text1"/>
          <w:sz w:val="16"/>
          <w:szCs w:val="16"/>
        </w:rPr>
        <w:t>Я не могу не отметить огромного значения для целей обороны страны поддержания со столь большими трудами создавшейся отечественной аэропланостроительной промышленности, но в то же время я не могу не остановиться на вопросе о целесообразности дальнейшего продолжения аэропланного строительства без достаточных гарантий его действительного использования для нужд обороны.</w:t>
      </w:r>
    </w:p>
    <w:p w14:paraId="3BA844BB" w14:textId="77777777" w:rsidR="008B7CA9" w:rsidRPr="002F2FDF" w:rsidRDefault="008B7CA9" w:rsidP="0083075A">
      <w:pPr>
        <w:pStyle w:val="rtejustify"/>
        <w:spacing w:before="0" w:after="0"/>
        <w:rPr>
          <w:color w:val="000000" w:themeColor="text1"/>
          <w:sz w:val="16"/>
          <w:szCs w:val="16"/>
        </w:rPr>
      </w:pPr>
      <w:r w:rsidRPr="002F2FDF">
        <w:rPr>
          <w:color w:val="000000" w:themeColor="text1"/>
          <w:sz w:val="16"/>
          <w:szCs w:val="16"/>
        </w:rPr>
        <w:t>Приведенные же выше цифры устанавливают невозможность использования для обороны около 80% всего строющегося количества аэропланов при неизменении обстоятельств, о которых я неоднократно докладывал.</w:t>
      </w:r>
    </w:p>
    <w:p w14:paraId="41619DD0" w14:textId="77777777" w:rsidR="008B7CA9" w:rsidRPr="002F2FDF" w:rsidRDefault="008B7CA9" w:rsidP="0083075A">
      <w:pPr>
        <w:pStyle w:val="rtejustify"/>
        <w:spacing w:before="0" w:after="0"/>
        <w:rPr>
          <w:color w:val="000000" w:themeColor="text1"/>
          <w:sz w:val="16"/>
          <w:szCs w:val="16"/>
        </w:rPr>
      </w:pPr>
      <w:r w:rsidRPr="002F2FDF">
        <w:rPr>
          <w:color w:val="000000" w:themeColor="text1"/>
          <w:sz w:val="16"/>
          <w:szCs w:val="16"/>
        </w:rPr>
        <w:t>Если таковым представляется отражение создавшейся конъюнктуры на заводское строительство, то тем большим но своим результатам представляется ее влияние на удовлетворение текущих потребностей фронта.</w:t>
      </w:r>
    </w:p>
    <w:p w14:paraId="58F01345" w14:textId="77777777" w:rsidR="008B7CA9" w:rsidRPr="002F2FDF" w:rsidRDefault="008B7CA9" w:rsidP="0083075A">
      <w:pPr>
        <w:pStyle w:val="rtejustify"/>
        <w:spacing w:before="0" w:after="0"/>
        <w:rPr>
          <w:color w:val="000000" w:themeColor="text1"/>
          <w:sz w:val="16"/>
          <w:szCs w:val="16"/>
        </w:rPr>
      </w:pPr>
      <w:r w:rsidRPr="002F2FDF">
        <w:rPr>
          <w:color w:val="000000" w:themeColor="text1"/>
          <w:sz w:val="16"/>
          <w:szCs w:val="16"/>
        </w:rPr>
        <w:t>По последнему сообщению Ставки, минимальная потребность в самолетах в круглых цифрах такова: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17"/>
        <w:gridCol w:w="1802"/>
        <w:gridCol w:w="1297"/>
        <w:gridCol w:w="1202"/>
        <w:gridCol w:w="410"/>
      </w:tblGrid>
      <w:tr w:rsidR="002B1C74" w:rsidRPr="002F2FDF" w14:paraId="5125EB47"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0D202EB0" w14:textId="1ADA6947" w:rsidR="008B7CA9"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BC9A4" w14:textId="16044EAA" w:rsidR="008B7CA9" w:rsidRPr="002F2FDF" w:rsidRDefault="00E52569" w:rsidP="008307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76358CB"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На восполнение убыли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5230C6"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Всего</w:t>
            </w:r>
          </w:p>
        </w:tc>
      </w:tr>
      <w:tr w:rsidR="002B1C74" w:rsidRPr="002F2FDF" w14:paraId="4C3802DC"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36BFEA58"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Тип аэроплана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E0CD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На дополнение комплекта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01410"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на 1 января 1918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E6FE0"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на 1 июня 1918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6F6917B"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tc>
      </w:tr>
      <w:tr w:rsidR="002B1C74" w:rsidRPr="002F2FDF" w14:paraId="5C62318D"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1BD29056"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Артиллерии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7E19F"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77B4E"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26AED"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CEF3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275</w:t>
            </w:r>
          </w:p>
        </w:tc>
      </w:tr>
      <w:tr w:rsidR="002B1C74" w:rsidRPr="002F2FDF" w14:paraId="73CC288F"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3E13D1E1"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Корпусных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76E8C"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8A11D"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9AE79"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7491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1250</w:t>
            </w:r>
          </w:p>
        </w:tc>
      </w:tr>
      <w:tr w:rsidR="002B1C74" w:rsidRPr="002F2FDF" w14:paraId="377C9A6E"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7A3CE60A"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Истребителей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203A6"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2AE1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D06A3"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47F18"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1850</w:t>
            </w:r>
          </w:p>
        </w:tc>
      </w:tr>
      <w:tr w:rsidR="002B1C74" w:rsidRPr="002F2FDF" w14:paraId="38119D40"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423D383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2700B"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13C94"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DA06E"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06B50"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3375</w:t>
            </w:r>
          </w:p>
        </w:tc>
      </w:tr>
    </w:tbl>
    <w:p w14:paraId="16CA7B24" w14:textId="77777777" w:rsidR="008B7CA9" w:rsidRPr="002F2FDF" w:rsidRDefault="008B7CA9" w:rsidP="0083075A">
      <w:pPr>
        <w:pStyle w:val="rtejustify"/>
        <w:spacing w:before="0" w:after="0"/>
        <w:rPr>
          <w:color w:val="000000" w:themeColor="text1"/>
          <w:sz w:val="16"/>
          <w:szCs w:val="16"/>
        </w:rPr>
      </w:pPr>
      <w:r w:rsidRPr="002F2FDF">
        <w:rPr>
          <w:color w:val="000000" w:themeColor="text1"/>
          <w:sz w:val="16"/>
          <w:szCs w:val="16"/>
        </w:rPr>
        <w:t>Судя же по количеству моторов, коими Управление военного воздушного флота располагает с несомненностью, фронту может быть дано лишь 525 аппаратов, т. е. 15% требуемого количества.</w:t>
      </w:r>
    </w:p>
    <w:p w14:paraId="70E2D437"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Докладывая об изложенном, прошу указаний.</w:t>
      </w:r>
    </w:p>
    <w:p w14:paraId="48F42E67" w14:textId="4B404A7A" w:rsidR="008B7CA9" w:rsidRPr="002F2FDF" w:rsidRDefault="00000000" w:rsidP="0083075A">
      <w:pPr>
        <w:pStyle w:val="rtejustify"/>
        <w:spacing w:before="0" w:after="0"/>
        <w:rPr>
          <w:color w:val="000000" w:themeColor="text1"/>
          <w:sz w:val="16"/>
          <w:szCs w:val="16"/>
        </w:rPr>
      </w:pPr>
      <w:hyperlink r:id="rId693" w:anchor="_ftnref1" w:history="1">
        <w:r w:rsidR="008B7CA9" w:rsidRPr="002F2FDF">
          <w:rPr>
            <w:rStyle w:val="a5"/>
            <w:rFonts w:eastAsiaTheme="majorEastAsia"/>
            <w:color w:val="000000" w:themeColor="text1"/>
            <w:sz w:val="16"/>
            <w:szCs w:val="16"/>
          </w:rPr>
          <w:t>[1]</w:t>
        </w:r>
      </w:hyperlink>
      <w:r w:rsidR="00E52569">
        <w:rPr>
          <w:color w:val="000000" w:themeColor="text1"/>
          <w:sz w:val="16"/>
          <w:szCs w:val="16"/>
        </w:rPr>
        <w:t xml:space="preserve"> </w:t>
      </w:r>
      <w:r w:rsidR="008B7CA9" w:rsidRPr="002F2FDF">
        <w:rPr>
          <w:color w:val="000000" w:themeColor="text1"/>
          <w:sz w:val="16"/>
          <w:szCs w:val="16"/>
        </w:rPr>
        <w:t>Датируется по содержанию док.</w:t>
      </w:r>
    </w:p>
    <w:p w14:paraId="5AA4F8F6" w14:textId="585EF57C" w:rsidR="008B7CA9" w:rsidRPr="002F2FDF" w:rsidRDefault="00000000" w:rsidP="0083075A">
      <w:pPr>
        <w:pStyle w:val="rtejustify"/>
        <w:spacing w:before="0" w:after="0"/>
        <w:rPr>
          <w:color w:val="000000" w:themeColor="text1"/>
          <w:sz w:val="16"/>
          <w:szCs w:val="16"/>
        </w:rPr>
      </w:pPr>
      <w:hyperlink r:id="rId694" w:anchor="_ftnref2" w:history="1">
        <w:r w:rsidR="008B7CA9" w:rsidRPr="002F2FDF">
          <w:rPr>
            <w:rStyle w:val="a5"/>
            <w:rFonts w:eastAsiaTheme="majorEastAsia"/>
            <w:color w:val="000000" w:themeColor="text1"/>
            <w:sz w:val="16"/>
            <w:szCs w:val="16"/>
          </w:rPr>
          <w:t>[2]</w:t>
        </w:r>
      </w:hyperlink>
      <w:r w:rsidR="00E52569">
        <w:rPr>
          <w:color w:val="000000" w:themeColor="text1"/>
          <w:sz w:val="16"/>
          <w:szCs w:val="16"/>
        </w:rPr>
        <w:t xml:space="preserve"> </w:t>
      </w:r>
      <w:r w:rsidR="008B7CA9" w:rsidRPr="002F2FDF">
        <w:rPr>
          <w:color w:val="000000" w:themeColor="text1"/>
          <w:sz w:val="16"/>
          <w:szCs w:val="16"/>
        </w:rPr>
        <w:t>См.: ЦГВИА, ф. 493, оп. 4, д. 485, лл. 85, 89.</w:t>
      </w:r>
    </w:p>
    <w:p w14:paraId="05EFE384" w14:textId="6B204952" w:rsidR="008B7CA9" w:rsidRPr="002F2FDF" w:rsidRDefault="00000000" w:rsidP="0083075A">
      <w:pPr>
        <w:pStyle w:val="rtejustify"/>
        <w:spacing w:before="0" w:after="0"/>
        <w:rPr>
          <w:color w:val="000000" w:themeColor="text1"/>
          <w:sz w:val="16"/>
          <w:szCs w:val="16"/>
        </w:rPr>
      </w:pPr>
      <w:hyperlink r:id="rId695" w:anchor="_ftnref3" w:history="1">
        <w:r w:rsidR="008B7CA9" w:rsidRPr="002F2FDF">
          <w:rPr>
            <w:rStyle w:val="a5"/>
            <w:rFonts w:eastAsiaTheme="majorEastAsia"/>
            <w:color w:val="000000" w:themeColor="text1"/>
            <w:sz w:val="16"/>
            <w:szCs w:val="16"/>
          </w:rPr>
          <w:t>[3]</w:t>
        </w:r>
      </w:hyperlink>
      <w:r w:rsidR="00E52569">
        <w:rPr>
          <w:color w:val="000000" w:themeColor="text1"/>
          <w:sz w:val="16"/>
          <w:szCs w:val="16"/>
        </w:rPr>
        <w:t xml:space="preserve"> </w:t>
      </w:r>
      <w:r w:rsidR="008B7CA9" w:rsidRPr="002F2FDF">
        <w:rPr>
          <w:color w:val="000000" w:themeColor="text1"/>
          <w:sz w:val="16"/>
          <w:szCs w:val="16"/>
        </w:rPr>
        <w:t>См.: ЦГВИА, ф. 493, оп. 4, д. 485, лл. 76—78 (см. док. № 601). В дополнение к докладам от 23 и 25 мая 1917 г. 7 июня 1917 г. нач. УВВФ Д. В. Яковлев представил военному министру доклад об общем положении снабжения армии авиационным имуществ. ж в связи с «полным расстройством заграничного снабжения», в заключение котором писал: «При этих условиях, в совокупности со всеми обстоятельствами, доложенными в ранее сделанных представлениях, положение авиационного снабжения имеет характер не только катастрофический, но и просто безвыходный. Полагал бы необходимым просить как настоящий доклад, так и предыдущие довести до сведения верховного главнокомандующего, дабы поставить его в известность,что с осени текущего года авиациное снабжение, по всем вероятиям, сведется к высылке в армию случайных аппаратов которые будут прибывать единицами из-за границы, устаревающих Фарманов и Анаттра русской постройки и столь же случайных русских аппаратов новых типов, под который окажутся прибывшими или построенными в России моторы, всегда запаздывающие по мощности по сравнению с боевыми моторами союзников и противника» (ЦГВИА. ф. 493, оп. 4, д. 485, лл. 95—96. Заверенная копия).</w:t>
      </w:r>
    </w:p>
    <w:p w14:paraId="5EF7F2E0" w14:textId="1AF2D4FE" w:rsidR="008B7CA9" w:rsidRPr="002F2FDF" w:rsidRDefault="00000000" w:rsidP="0083075A">
      <w:pPr>
        <w:pStyle w:val="rtejustify"/>
        <w:spacing w:before="0" w:after="0"/>
        <w:rPr>
          <w:color w:val="000000" w:themeColor="text1"/>
          <w:sz w:val="16"/>
          <w:szCs w:val="16"/>
        </w:rPr>
      </w:pPr>
      <w:hyperlink r:id="rId696" w:anchor="_ftnref4" w:history="1">
        <w:r w:rsidR="008B7CA9" w:rsidRPr="002F2FDF">
          <w:rPr>
            <w:rStyle w:val="a5"/>
            <w:rFonts w:eastAsiaTheme="majorEastAsia"/>
            <w:color w:val="000000" w:themeColor="text1"/>
            <w:sz w:val="16"/>
            <w:szCs w:val="16"/>
          </w:rPr>
          <w:t>[4]</w:t>
        </w:r>
      </w:hyperlink>
      <w:r w:rsidR="00E52569">
        <w:rPr>
          <w:color w:val="000000" w:themeColor="text1"/>
          <w:sz w:val="16"/>
          <w:szCs w:val="16"/>
        </w:rPr>
        <w:t xml:space="preserve"> </w:t>
      </w:r>
      <w:r w:rsidR="008B7CA9" w:rsidRPr="002F2FDF">
        <w:rPr>
          <w:color w:val="000000" w:themeColor="text1"/>
          <w:sz w:val="16"/>
          <w:szCs w:val="16"/>
        </w:rPr>
        <w:t>3 В указанном проекте доклада нач. УВВФ Д. В. Яковлев писал: «. . .ныне, исчерпав все доступные мне меры, получив официальные заверения союзников и тем неменее находясь перед положением, еще худшим, чем во время представления вышеприведенного доклада, я не вижу иного объяснения неисполнению заграничных заказов, кроме общеполитической обстановки» (разрядка автора). «Я не считаю возможным нести ответственность за хаотическую бесхозяйственность дела, изменение котор и лежит вне моей власти» (ЦГВИА, ф. 493, оп. 4, д. 611, лл. 1—6. Копия). Вопрос о состоянии авиационного снабжения армии по докладу ген. Яковлева обсуждался в Особом совещании по обороне 11 октября 1917 г. Совещание не вынесло никаких конкретных решений по обсуждавшемуся вопросу, решив довести до сведения Временного правительства высказанные в заседании суждения (ЦГВИА, ф. 369, оп. 1, д. обе л. 86).</w:t>
      </w:r>
    </w:p>
    <w:p w14:paraId="692D76DB" w14:textId="220EF309" w:rsidR="008B7CA9" w:rsidRPr="002F2FDF" w:rsidRDefault="00000000" w:rsidP="0083075A">
      <w:pPr>
        <w:pStyle w:val="rtejustify"/>
        <w:spacing w:before="0" w:after="0"/>
        <w:rPr>
          <w:color w:val="000000" w:themeColor="text1"/>
          <w:sz w:val="16"/>
          <w:szCs w:val="16"/>
        </w:rPr>
      </w:pPr>
      <w:hyperlink r:id="rId697" w:anchor="_ftnref5" w:history="1">
        <w:r w:rsidR="008B7CA9" w:rsidRPr="002F2FDF">
          <w:rPr>
            <w:rStyle w:val="a5"/>
            <w:rFonts w:eastAsiaTheme="majorEastAsia"/>
            <w:color w:val="000000" w:themeColor="text1"/>
            <w:sz w:val="16"/>
            <w:szCs w:val="16"/>
          </w:rPr>
          <w:t>[5]</w:t>
        </w:r>
      </w:hyperlink>
      <w:r w:rsidR="00E52569">
        <w:rPr>
          <w:color w:val="000000" w:themeColor="text1"/>
          <w:sz w:val="16"/>
          <w:szCs w:val="16"/>
        </w:rPr>
        <w:t xml:space="preserve"> </w:t>
      </w:r>
      <w:r w:rsidR="008B7CA9" w:rsidRPr="002F2FDF">
        <w:rPr>
          <w:color w:val="000000" w:themeColor="text1"/>
          <w:sz w:val="16"/>
          <w:szCs w:val="16"/>
        </w:rPr>
        <w:t>В деле не имеется.</w:t>
      </w:r>
    </w:p>
    <w:p w14:paraId="10359697" w14:textId="1A604A5A" w:rsidR="008B7CA9" w:rsidRPr="002F2FDF" w:rsidRDefault="00000000" w:rsidP="0083075A">
      <w:pPr>
        <w:pStyle w:val="ae"/>
        <w:spacing w:before="0" w:after="0"/>
        <w:jc w:val="both"/>
        <w:rPr>
          <w:color w:val="000000" w:themeColor="text1"/>
          <w:sz w:val="16"/>
          <w:szCs w:val="16"/>
        </w:rPr>
      </w:pPr>
      <w:hyperlink r:id="rId698" w:anchor="_ftnref6" w:history="1">
        <w:r w:rsidR="008B7CA9" w:rsidRPr="002F2FDF">
          <w:rPr>
            <w:rStyle w:val="a5"/>
            <w:color w:val="000000" w:themeColor="text1"/>
            <w:sz w:val="16"/>
            <w:szCs w:val="16"/>
          </w:rPr>
          <w:t>[6]</w:t>
        </w:r>
      </w:hyperlink>
      <w:r w:rsidR="00E52569">
        <w:rPr>
          <w:color w:val="000000" w:themeColor="text1"/>
          <w:sz w:val="16"/>
          <w:szCs w:val="16"/>
        </w:rPr>
        <w:t xml:space="preserve"> </w:t>
      </w:r>
      <w:r w:rsidR="008B7CA9" w:rsidRPr="002F2FDF">
        <w:rPr>
          <w:color w:val="000000" w:themeColor="text1"/>
          <w:sz w:val="16"/>
          <w:szCs w:val="16"/>
        </w:rPr>
        <w:t>Сокращение: с. — сил (18362).</w:t>
      </w:r>
    </w:p>
    <w:p w14:paraId="72DEC8F6"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p w14:paraId="67D088B7"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ноябре 1917 г. Увофлот, как тыловой орган авиации, стал выполнять поручения Советской власти по сохранению авиационного имущества, находящегося в тылу (19566).</w:t>
      </w:r>
    </w:p>
    <w:p w14:paraId="4619BE5B"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p w14:paraId="64A875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 1917 пригодной для полетов 1БАГ бы</w:t>
      </w:r>
      <w:r w:rsidRPr="002F2FDF">
        <w:rPr>
          <w:rFonts w:ascii="Times New Roman" w:hAnsi="Times New Roman" w:cs="Times New Roman"/>
          <w:color w:val="000000" w:themeColor="text1"/>
          <w:kern w:val="2"/>
          <w:sz w:val="16"/>
          <w:szCs w:val="16"/>
        </w:rPr>
        <w:softHyphen/>
        <w:t>ла лишь одна неделя. Но когда позво</w:t>
      </w:r>
      <w:r w:rsidRPr="002F2FDF">
        <w:rPr>
          <w:rFonts w:ascii="Times New Roman" w:hAnsi="Times New Roman" w:cs="Times New Roman"/>
          <w:color w:val="000000" w:themeColor="text1"/>
          <w:kern w:val="2"/>
          <w:sz w:val="16"/>
          <w:szCs w:val="16"/>
        </w:rPr>
        <w:softHyphen/>
        <w:t>ляла погода, летчики группы соверша</w:t>
      </w:r>
      <w:r w:rsidRPr="002F2FDF">
        <w:rPr>
          <w:rFonts w:ascii="Times New Roman" w:hAnsi="Times New Roman" w:cs="Times New Roman"/>
          <w:color w:val="000000" w:themeColor="text1"/>
          <w:kern w:val="2"/>
          <w:sz w:val="16"/>
          <w:szCs w:val="16"/>
        </w:rPr>
        <w:softHyphen/>
        <w:t>ли до 15 вылетов в день. Воздушных боев почти не было. Фронт распадался на глазах, войска стояли на позициях в ожидании приказа о демобилизации. Немцы и австрийцы, между тем, про</w:t>
      </w:r>
      <w:r w:rsidRPr="002F2FDF">
        <w:rPr>
          <w:rFonts w:ascii="Times New Roman" w:hAnsi="Times New Roman" w:cs="Times New Roman"/>
          <w:color w:val="000000" w:themeColor="text1"/>
          <w:kern w:val="2"/>
          <w:sz w:val="16"/>
          <w:szCs w:val="16"/>
        </w:rPr>
        <w:softHyphen/>
        <w:t>должали воздушные разведки в тылах русской армии. Наши летчики, как мог</w:t>
      </w:r>
      <w:r w:rsidRPr="002F2FDF">
        <w:rPr>
          <w:rFonts w:ascii="Times New Roman" w:hAnsi="Times New Roman" w:cs="Times New Roman"/>
          <w:color w:val="000000" w:themeColor="text1"/>
          <w:kern w:val="2"/>
          <w:sz w:val="16"/>
          <w:szCs w:val="16"/>
        </w:rPr>
        <w:softHyphen/>
        <w:t>ли, старались пресекать эти полеты (3954).</w:t>
      </w:r>
    </w:p>
    <w:p w14:paraId="2DBB79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3EBE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 1917 г. бурей в Виннице были разбиты сразу три С-16сер. Прекрасно оборудованные мастерские ЭВК обеспечили завидное долгожительство “Сикорским-маленьким” . Один из первых трех опытных С-16 эксплуатировался в ЭВК вплоть до 1917 г. Поврежденные в авиаотрядах Nо. 202 и 205 были быстро отремонтированы и эксплуатировались в ЭВК. Самолет Nо. 202 “дожил” даже до 1918 г. Отлетавшие свой ресурс С-16сер. разбирались на запчасти. Списание С-16сер. “за ветхостью и изношенностью” началось с апреля 1917 г., когда в ЭВК были списаны Nо. 204,205 и 215 (11188).</w:t>
      </w:r>
    </w:p>
    <w:p w14:paraId="5E22A6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5E7CE5" w14:textId="5C684BD3" w:rsidR="00E44BF8" w:rsidRPr="002F2FDF" w:rsidRDefault="00E44BF8" w:rsidP="0083075A">
      <w:pPr>
        <w:pStyle w:val="ae"/>
        <w:spacing w:before="0" w:after="0"/>
        <w:jc w:val="both"/>
        <w:rPr>
          <w:color w:val="000000" w:themeColor="text1"/>
          <w:kern w:val="2"/>
          <w:sz w:val="16"/>
          <w:szCs w:val="16"/>
        </w:rPr>
      </w:pPr>
      <w:r w:rsidRPr="002F2FDF">
        <w:rPr>
          <w:color w:val="000000" w:themeColor="text1"/>
          <w:kern w:val="2"/>
          <w:sz w:val="16"/>
          <w:szCs w:val="16"/>
        </w:rPr>
        <w:t>В ноябре 1917</w:t>
      </w:r>
      <w:r w:rsidR="00E52569">
        <w:rPr>
          <w:color w:val="000000" w:themeColor="text1"/>
          <w:kern w:val="2"/>
          <w:sz w:val="16"/>
          <w:szCs w:val="16"/>
        </w:rPr>
        <w:t xml:space="preserve"> </w:t>
      </w:r>
      <w:r w:rsidRPr="002F2FDF">
        <w:rPr>
          <w:color w:val="000000" w:themeColor="text1"/>
          <w:kern w:val="2"/>
          <w:sz w:val="16"/>
          <w:szCs w:val="16"/>
        </w:rPr>
        <w:t>года Увофлот как тыловой орган авиации стал выполнять поручения Советской власти, однако авиаторы-большевики распространили в это время воззвание, подготовлявшее решительную реорганизацию всех органов управления авиацией, включая Увофлот. В этом воззвании говорилось: «Союзники прекращают снабжение аппаратами, свои заводы изготовляют не то, что нужно. Нужда фронта в аппаратах лишь в малой степени может быть удовлетворена. А органы управления авиацией искусственно разрослись до размеров, значительно превосходящих то, что требуется современным положением авиации».</w:t>
      </w:r>
    </w:p>
    <w:p w14:paraId="2DEA4F4F" w14:textId="5BC38749" w:rsidR="00E44BF8" w:rsidRPr="002F2FDF" w:rsidRDefault="00E44BF8" w:rsidP="0083075A">
      <w:pPr>
        <w:pStyle w:val="ae"/>
        <w:spacing w:before="0" w:after="0"/>
        <w:jc w:val="both"/>
        <w:rPr>
          <w:color w:val="000000" w:themeColor="text1"/>
          <w:kern w:val="2"/>
          <w:sz w:val="16"/>
          <w:szCs w:val="16"/>
        </w:rPr>
      </w:pPr>
      <w:r w:rsidRPr="002F2FDF">
        <w:rPr>
          <w:color w:val="000000" w:themeColor="text1"/>
          <w:kern w:val="2"/>
          <w:sz w:val="16"/>
          <w:szCs w:val="16"/>
        </w:rPr>
        <w:t>В 1917</w:t>
      </w:r>
      <w:r w:rsidR="00E52569">
        <w:rPr>
          <w:color w:val="000000" w:themeColor="text1"/>
          <w:kern w:val="2"/>
          <w:sz w:val="16"/>
          <w:szCs w:val="16"/>
        </w:rPr>
        <w:t xml:space="preserve"> </w:t>
      </w:r>
      <w:r w:rsidRPr="002F2FDF">
        <w:rPr>
          <w:color w:val="000000" w:themeColor="text1"/>
          <w:kern w:val="2"/>
          <w:sz w:val="16"/>
          <w:szCs w:val="16"/>
        </w:rPr>
        <w:t>году, накануне Октябрьской революции свыше 300</w:t>
      </w:r>
      <w:r w:rsidR="00E52569">
        <w:rPr>
          <w:color w:val="000000" w:themeColor="text1"/>
          <w:kern w:val="2"/>
          <w:sz w:val="16"/>
          <w:szCs w:val="16"/>
        </w:rPr>
        <w:t xml:space="preserve"> </w:t>
      </w:r>
      <w:r w:rsidRPr="002F2FDF">
        <w:rPr>
          <w:color w:val="000000" w:themeColor="text1"/>
          <w:kern w:val="2"/>
          <w:sz w:val="16"/>
          <w:szCs w:val="16"/>
        </w:rPr>
        <w:t>авиационных и воздухоплавательных частей, учреждений и учебных заведений насчитывали в своем составе 35</w:t>
      </w:r>
      <w:r w:rsidR="00E52569">
        <w:rPr>
          <w:color w:val="000000" w:themeColor="text1"/>
          <w:kern w:val="2"/>
          <w:sz w:val="16"/>
          <w:szCs w:val="16"/>
        </w:rPr>
        <w:t xml:space="preserve"> </w:t>
      </w:r>
      <w:r w:rsidRPr="002F2FDF">
        <w:rPr>
          <w:color w:val="000000" w:themeColor="text1"/>
          <w:kern w:val="2"/>
          <w:sz w:val="16"/>
          <w:szCs w:val="16"/>
        </w:rPr>
        <w:t>тыс. солдат и офицеров, что составляло 0,5</w:t>
      </w:r>
      <w:r w:rsidR="00E52569">
        <w:rPr>
          <w:color w:val="000000" w:themeColor="text1"/>
          <w:kern w:val="2"/>
          <w:sz w:val="16"/>
          <w:szCs w:val="16"/>
        </w:rPr>
        <w:t xml:space="preserve"> </w:t>
      </w:r>
      <w:r w:rsidRPr="002F2FDF">
        <w:rPr>
          <w:color w:val="000000" w:themeColor="text1"/>
          <w:kern w:val="2"/>
          <w:sz w:val="16"/>
          <w:szCs w:val="16"/>
        </w:rPr>
        <w:t>проц. от численности сухопутной армии (7518 тыс. человек). На наземные службы в ВВФ приходилось 95</w:t>
      </w:r>
      <w:r w:rsidR="00E52569">
        <w:rPr>
          <w:color w:val="000000" w:themeColor="text1"/>
          <w:kern w:val="2"/>
          <w:sz w:val="16"/>
          <w:szCs w:val="16"/>
        </w:rPr>
        <w:t xml:space="preserve"> </w:t>
      </w:r>
      <w:r w:rsidRPr="002F2FDF">
        <w:rPr>
          <w:color w:val="000000" w:themeColor="text1"/>
          <w:kern w:val="2"/>
          <w:sz w:val="16"/>
          <w:szCs w:val="16"/>
        </w:rPr>
        <w:t>проц. личного состава. Насчитывалось 295 лётчиков-солдат — примерно 15</w:t>
      </w:r>
      <w:r w:rsidR="00E52569">
        <w:rPr>
          <w:color w:val="000000" w:themeColor="text1"/>
          <w:kern w:val="2"/>
          <w:sz w:val="16"/>
          <w:szCs w:val="16"/>
        </w:rPr>
        <w:t xml:space="preserve"> </w:t>
      </w:r>
      <w:r w:rsidRPr="002F2FDF">
        <w:rPr>
          <w:color w:val="000000" w:themeColor="text1"/>
          <w:kern w:val="2"/>
          <w:sz w:val="16"/>
          <w:szCs w:val="16"/>
        </w:rPr>
        <w:t>проц. от 2000 лётчиков и лётчиков-наблюдателей (без лётно-подъёмного состава авиашкол). Авиатехника была представлена около 1,5</w:t>
      </w:r>
      <w:r w:rsidR="00E52569">
        <w:rPr>
          <w:color w:val="000000" w:themeColor="text1"/>
          <w:kern w:val="2"/>
          <w:sz w:val="16"/>
          <w:szCs w:val="16"/>
        </w:rPr>
        <w:t xml:space="preserve"> </w:t>
      </w:r>
      <w:r w:rsidRPr="002F2FDF">
        <w:rPr>
          <w:color w:val="000000" w:themeColor="text1"/>
          <w:kern w:val="2"/>
          <w:sz w:val="16"/>
          <w:szCs w:val="16"/>
        </w:rPr>
        <w:t>тыс. самолётов (более 30 различных типов), однако многие из них были неисправны.</w:t>
      </w:r>
    </w:p>
    <w:p w14:paraId="10F155C1" w14:textId="7B08B9F0" w:rsidR="00E44BF8" w:rsidRPr="002F2FDF" w:rsidRDefault="00E44BF8" w:rsidP="0083075A">
      <w:pPr>
        <w:pStyle w:val="ae"/>
        <w:spacing w:before="0" w:after="0"/>
        <w:jc w:val="both"/>
        <w:rPr>
          <w:color w:val="000000" w:themeColor="text1"/>
          <w:kern w:val="2"/>
          <w:sz w:val="16"/>
          <w:szCs w:val="16"/>
        </w:rPr>
      </w:pPr>
      <w:r w:rsidRPr="002F2FDF">
        <w:rPr>
          <w:color w:val="000000" w:themeColor="text1"/>
          <w:kern w:val="2"/>
          <w:sz w:val="16"/>
          <w:szCs w:val="16"/>
        </w:rPr>
        <w:t>На 1</w:t>
      </w:r>
      <w:r w:rsidR="00E52569">
        <w:rPr>
          <w:color w:val="000000" w:themeColor="text1"/>
          <w:kern w:val="2"/>
          <w:sz w:val="16"/>
          <w:szCs w:val="16"/>
        </w:rPr>
        <w:t xml:space="preserve"> </w:t>
      </w:r>
      <w:r w:rsidRPr="002F2FDF">
        <w:rPr>
          <w:color w:val="000000" w:themeColor="text1"/>
          <w:kern w:val="2"/>
          <w:sz w:val="16"/>
          <w:szCs w:val="16"/>
        </w:rPr>
        <w:t>октября 1917</w:t>
      </w:r>
      <w:r w:rsidR="00E52569">
        <w:rPr>
          <w:color w:val="000000" w:themeColor="text1"/>
          <w:kern w:val="2"/>
          <w:sz w:val="16"/>
          <w:szCs w:val="16"/>
        </w:rPr>
        <w:t xml:space="preserve"> </w:t>
      </w:r>
      <w:r w:rsidRPr="002F2FDF">
        <w:rPr>
          <w:color w:val="000000" w:themeColor="text1"/>
          <w:kern w:val="2"/>
          <w:sz w:val="16"/>
          <w:szCs w:val="16"/>
        </w:rPr>
        <w:t>года в подчинении ПУАВ имелся 91</w:t>
      </w:r>
      <w:r w:rsidR="00E52569">
        <w:rPr>
          <w:color w:val="000000" w:themeColor="text1"/>
          <w:kern w:val="2"/>
          <w:sz w:val="16"/>
          <w:szCs w:val="16"/>
        </w:rPr>
        <w:t xml:space="preserve"> </w:t>
      </w:r>
      <w:r w:rsidRPr="002F2FDF">
        <w:rPr>
          <w:color w:val="000000" w:themeColor="text1"/>
          <w:kern w:val="2"/>
          <w:sz w:val="16"/>
          <w:szCs w:val="16"/>
        </w:rPr>
        <w:t>авиаотряд. Эскадра воздушных кораблей, оперативно подчинённая НШ</w:t>
      </w:r>
      <w:r w:rsidR="00E52569">
        <w:rPr>
          <w:color w:val="000000" w:themeColor="text1"/>
          <w:kern w:val="2"/>
          <w:sz w:val="16"/>
          <w:szCs w:val="16"/>
        </w:rPr>
        <w:t xml:space="preserve"> </w:t>
      </w:r>
      <w:r w:rsidRPr="002F2FDF">
        <w:rPr>
          <w:color w:val="000000" w:themeColor="text1"/>
          <w:kern w:val="2"/>
          <w:sz w:val="16"/>
          <w:szCs w:val="16"/>
        </w:rPr>
        <w:t>ВГК, состояла из 5</w:t>
      </w:r>
      <w:r w:rsidR="00E52569">
        <w:rPr>
          <w:color w:val="000000" w:themeColor="text1"/>
          <w:kern w:val="2"/>
          <w:sz w:val="16"/>
          <w:szCs w:val="16"/>
        </w:rPr>
        <w:t xml:space="preserve"> </w:t>
      </w:r>
      <w:r w:rsidRPr="002F2FDF">
        <w:rPr>
          <w:color w:val="000000" w:themeColor="text1"/>
          <w:kern w:val="2"/>
          <w:sz w:val="16"/>
          <w:szCs w:val="16"/>
        </w:rPr>
        <w:t>авиаотрядов (всего 30</w:t>
      </w:r>
      <w:r w:rsidR="00E52569">
        <w:rPr>
          <w:color w:val="000000" w:themeColor="text1"/>
          <w:kern w:val="2"/>
          <w:sz w:val="16"/>
          <w:szCs w:val="16"/>
        </w:rPr>
        <w:t xml:space="preserve"> </w:t>
      </w:r>
      <w:r w:rsidRPr="002F2FDF">
        <w:rPr>
          <w:color w:val="000000" w:themeColor="text1"/>
          <w:kern w:val="2"/>
          <w:sz w:val="16"/>
          <w:szCs w:val="16"/>
        </w:rPr>
        <w:t>экипажей). Воздухоплавательная служба включала 87 отрядов.</w:t>
      </w:r>
    </w:p>
    <w:p w14:paraId="15738E9B" w14:textId="3B441857" w:rsidR="00E44BF8" w:rsidRPr="002F2FDF" w:rsidRDefault="00E44BF8"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Для получения общего представления о социально-профессиональном составе дореволюционной авиации обратимся к свидетельству известного авиационного </w:t>
      </w:r>
      <w:r w:rsidRPr="002F2FDF">
        <w:rPr>
          <w:color w:val="000000" w:themeColor="text1"/>
          <w:kern w:val="2"/>
          <w:sz w:val="16"/>
          <w:szCs w:val="16"/>
        </w:rPr>
        <w:lastRenderedPageBreak/>
        <w:t>начальника периода 1918—1921</w:t>
      </w:r>
      <w:r w:rsidR="00E52569">
        <w:rPr>
          <w:color w:val="000000" w:themeColor="text1"/>
          <w:kern w:val="2"/>
          <w:sz w:val="16"/>
          <w:szCs w:val="16"/>
        </w:rPr>
        <w:t xml:space="preserve"> </w:t>
      </w:r>
      <w:r w:rsidRPr="002F2FDF">
        <w:rPr>
          <w:color w:val="000000" w:themeColor="text1"/>
          <w:kern w:val="2"/>
          <w:sz w:val="16"/>
          <w:szCs w:val="16"/>
        </w:rPr>
        <w:t>гг. А.В.</w:t>
      </w:r>
      <w:r w:rsidR="00E52569">
        <w:rPr>
          <w:color w:val="000000" w:themeColor="text1"/>
          <w:kern w:val="2"/>
          <w:sz w:val="16"/>
          <w:szCs w:val="16"/>
        </w:rPr>
        <w:t xml:space="preserve"> </w:t>
      </w:r>
      <w:r w:rsidRPr="002F2FDF">
        <w:rPr>
          <w:color w:val="000000" w:themeColor="text1"/>
          <w:kern w:val="2"/>
          <w:sz w:val="16"/>
          <w:szCs w:val="16"/>
        </w:rPr>
        <w:t>Сергеева. В своей книге, изданной в 1926</w:t>
      </w:r>
      <w:r w:rsidR="00E52569">
        <w:rPr>
          <w:color w:val="000000" w:themeColor="text1"/>
          <w:kern w:val="2"/>
          <w:sz w:val="16"/>
          <w:szCs w:val="16"/>
        </w:rPr>
        <w:t xml:space="preserve"> </w:t>
      </w:r>
      <w:r w:rsidRPr="002F2FDF">
        <w:rPr>
          <w:color w:val="000000" w:themeColor="text1"/>
          <w:kern w:val="2"/>
          <w:sz w:val="16"/>
          <w:szCs w:val="16"/>
        </w:rPr>
        <w:t>году, он привёл таблицу, в которой дал приблизительное распределение личного состава по категориям в основной боевой и административно-хозяйственной единице русской авиации — авиаотряде (6—8 самолётов) (17042).</w:t>
      </w:r>
    </w:p>
    <w:p w14:paraId="0D327A59" w14:textId="77777777" w:rsidR="00E44BF8" w:rsidRPr="002F2FDF" w:rsidRDefault="00E44BF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7B1AC6" w14:textId="77777777" w:rsidR="00BC79AF" w:rsidRPr="002F2FDF" w:rsidRDefault="00BC79A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shd w:val="clear" w:color="auto" w:fill="FFFFFF"/>
        </w:rPr>
        <w:t>В ноябре 1917 “Ахтырец” (переименованный со временем в “Красный Петербург”) появился в Москве во время боев за установление Советской власти, затем в составе 3- го автобронеотряда воевал на Восточном фронте. В 1923г. он пошел на слом (грубый макет бронеавтомобиля можно увидеть в Центральном музее Вооруженных Сил в Москве) (20250).</w:t>
      </w:r>
    </w:p>
    <w:p w14:paraId="79BF143D" w14:textId="77777777" w:rsidR="00BC79AF" w:rsidRPr="002F2FDF" w:rsidRDefault="00BC79AF" w:rsidP="0083075A">
      <w:pPr>
        <w:spacing w:after="0" w:line="240" w:lineRule="auto"/>
        <w:jc w:val="both"/>
        <w:rPr>
          <w:rFonts w:ascii="Times New Roman" w:hAnsi="Times New Roman" w:cs="Times New Roman"/>
          <w:color w:val="000000" w:themeColor="text1"/>
          <w:sz w:val="16"/>
          <w:szCs w:val="16"/>
        </w:rPr>
      </w:pPr>
    </w:p>
    <w:p w14:paraId="648C57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 1917 белоказаки атамана Дутова отрезали Среднюю Азию от Европейской части России (2955).</w:t>
      </w:r>
    </w:p>
    <w:p w14:paraId="77184C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3A5C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 1917 был ликвидирован высший орган управления флотом - Адмиралтейств-совет и создана ВМ коллегия, которая в феврале 1918 была переименована в Коллегию НКМД (10346,15).</w:t>
      </w:r>
    </w:p>
    <w:p w14:paraId="2C0DC4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3663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ноября 1917-го ГУГШ, в ведении которого находилась заграничная агентурная разведка возглавлял Н.М.Потапов (1871-1946), генерал-квартирмейстер ГУГШ. С июля 1917-го Потапов сотрудничал с Военной организацией Петербургского комитета РСДРП(б), возглавлял ГУГШ до его ликвидации в мае 1918-го, затем - на различных ответственных постах в военном ведомстве, на военно-научной и преподавательской работе. Участник чекистской операции &lt;Трест&gt;. Генерал-лейтенант (7559).</w:t>
      </w:r>
    </w:p>
    <w:p w14:paraId="6C9B57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26311F" w14:textId="77777777" w:rsidR="00953D01" w:rsidRPr="00FB4F67" w:rsidRDefault="00953D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ноябре 1917 г. летчик Макаров на «Анадис»  с пол</w:t>
      </w:r>
      <w:r w:rsidRPr="00FB4F67">
        <w:rPr>
          <w:rFonts w:ascii="Times New Roman" w:hAnsi="Times New Roman" w:cs="Times New Roman"/>
          <w:color w:val="0070C0"/>
          <w:sz w:val="16"/>
          <w:szCs w:val="16"/>
        </w:rPr>
        <w:softHyphen/>
        <w:t>ной нагрузкой 500 кг отпра</w:t>
      </w:r>
      <w:r w:rsidRPr="00FB4F67">
        <w:rPr>
          <w:rFonts w:ascii="Times New Roman" w:hAnsi="Times New Roman" w:cs="Times New Roman"/>
          <w:color w:val="0070C0"/>
          <w:sz w:val="16"/>
          <w:szCs w:val="16"/>
        </w:rPr>
        <w:softHyphen/>
        <w:t>вился в перелет, однако по причине отказа двигателя потерпел аварию в районе горо</w:t>
      </w:r>
      <w:r w:rsidRPr="00FB4F67">
        <w:rPr>
          <w:rFonts w:ascii="Times New Roman" w:hAnsi="Times New Roman" w:cs="Times New Roman"/>
          <w:color w:val="0070C0"/>
          <w:sz w:val="16"/>
          <w:szCs w:val="16"/>
        </w:rPr>
        <w:softHyphen/>
        <w:t>да Яссы в Румынии. Дальнейшая история самолета неизвестна (23374).</w:t>
      </w:r>
    </w:p>
    <w:p w14:paraId="233740CA" w14:textId="77777777" w:rsidR="00953D01" w:rsidRPr="00FB4F67" w:rsidRDefault="00953D01" w:rsidP="0083075A">
      <w:pPr>
        <w:spacing w:after="0" w:line="240" w:lineRule="auto"/>
        <w:jc w:val="both"/>
        <w:rPr>
          <w:rFonts w:ascii="Times New Roman" w:hAnsi="Times New Roman" w:cs="Times New Roman"/>
          <w:color w:val="0070C0"/>
          <w:sz w:val="16"/>
          <w:szCs w:val="16"/>
        </w:rPr>
      </w:pPr>
    </w:p>
    <w:p w14:paraId="19BD46A6" w14:textId="77777777" w:rsidR="00953D01" w:rsidRPr="00FB4F67" w:rsidRDefault="00953D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 состоянию на ноябрь 1917 г. в составе Русской Армии было 89 аэростатных отрядов, в том числе 59 КВО и 28 армейских ВО, а также крепостные ВО в Ревеле и Свеаборге. В наличии было тринадцать авиационных батальонов с примерно 200 воздушными шарами и около 2000 человек личного состава. Считается, что в 1916 году вражеская авиация потеряла шесть аэростатов, а в 1917 году - еще сорок восемь. На долю артиллерийского огня противника приходилось четыре аэростата, десять были потеряны из-за погодных условий. В России было построено около 700 аэростатов. Неизвестно, поставляла ли Франция воздушные шары русским (точно румынам). Было потеряно около 138 воздушных шаров, но многих наблюдателей спасли парашюты.</w:t>
      </w:r>
    </w:p>
    <w:p w14:paraId="0D4C09CD" w14:textId="77777777" w:rsidR="00953D01" w:rsidRPr="00FB4F67" w:rsidRDefault="00953D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За годы войны русская промышленность выпустила около 2200 самолетов (из них 1893 были приняты на вооружение) и 920 авиадвигателей. Россия импортировала 1150 французских самолетов и 250 английских машин. Они импортировали 3600 двигателей, восемьдесят из которых были британскими «Санбимс», остальные — французскими. В конце войны в авиапарках или на складах находилось около 1500 самолетов, многие из которых нуждались в ремонте.</w:t>
      </w:r>
    </w:p>
    <w:p w14:paraId="3920B97E" w14:textId="77777777" w:rsidR="00953D01" w:rsidRPr="00FB4F67" w:rsidRDefault="00953D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книге О. Д. Маркова «Русская армия 1914-1917», изданной в 2001 г., указано, что российские заводы построили 5012 самолетов, из них 1100 гидросамолетов (половина из них — летающие лодки Щетининской постройки. Около 1400 самолетов поступило из-за рубежа, из них 1170 были из Франции и 251 из Великобритании.Он заявил, что российские заводы изготовили 1511 двигателей, Франция поставила 3240 двигателей, еще 360 из Великобритании.Многие самолеты и двигатели, отправленные в Мурманск и Архангельск, так и не поступили в авиапарки или части, много ящиков находились в железнодорожных вагонах на подъездных путях, но без двигателей для формирования поездов.</w:t>
      </w:r>
    </w:p>
    <w:p w14:paraId="3778DD35" w14:textId="77777777" w:rsidR="00953D01" w:rsidRPr="00FB4F67" w:rsidRDefault="00953D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 советским данным, в августе-декабре 1914 г. Военно-воздушный флот России совершил 3229 боевых вылетов, за весь 1915 г. - еще 9993, а в 1916 г. - 15435. За январь-февраль 1917 г. ими было совершено 2505 боевых вылетов. Цифры за март-ноябрь 1917 г. неизвестны, но, должно быть, были весьма значительными. Всего за 1917 г. корабли ЭВК выполнили в общей сложности 65 боевых вылетов и сбросили около 10 647 кг бомб.</w:t>
      </w:r>
    </w:p>
    <w:p w14:paraId="32CB0A34" w14:textId="77777777" w:rsidR="00953D01" w:rsidRPr="00FB4F67" w:rsidRDefault="00953D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За время войны русские летчики приняли участие примерно в 1200 воздушных боях, сбив около 182 немецких и австро-венгерских самолетов, а также одну турецкую машину. Ни одна болгарская авиационная часть не противостояла русским. С августа 1916 года, когда на истребителях впервые установили пулеметы, многие воздушные бои приходилось прерывать из-за проблем с рукоятками взведения, которые заклинивали из-за нагара и скопления масла в патроннике. Это произошло из-за отсутствия надлежащей чистки оружия. Многие другие воздушные бои были остановлены из-за заклинивания пулеметов. Неисправные боеприпасы были серьезной проблемой.</w:t>
      </w:r>
    </w:p>
    <w:p w14:paraId="32533F76" w14:textId="77777777" w:rsidR="00953D01" w:rsidRPr="00FB4F67" w:rsidRDefault="00953D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Во время войны немецкая армия насчитывала около семидесяти шести авиационных частей, которые в разное время служили на Русском и Румынском фронтах, а австро-венгерская армия имела тридцать два флика и три временные истребительные части, служившие на этих театрах военных действий.</w:t>
      </w:r>
    </w:p>
    <w:p w14:paraId="3EB67227" w14:textId="77777777" w:rsidR="00953D01" w:rsidRPr="00FB4F67" w:rsidRDefault="00953D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У немцев были гидроавианосцы на Балтике и базы морской авиации, действовавшие вдоль побережья. Ряд немецких дирижаблей служил с баз вВосточная Пруссия и в Вайнодене на Балтике. На Черном море у немцев были военно-морские аэродромы в Варне в Болгарии, позже в Добрудже и на румынском побережье. Немецкие дирижабли базировались в Темешваре на юго-востоке Венгрии и в Болгарии в Джамболи, к северу от Адрианополя.</w:t>
      </w:r>
    </w:p>
    <w:p w14:paraId="7846054D" w14:textId="77777777" w:rsidR="00953D01" w:rsidRPr="00FB4F67" w:rsidRDefault="00953D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Известно, что с ноября 1917 г. по март 1918 г. к красным на Украине перешли следующие части Воздушного флота: 3-я КАО и 5-я КАО в Киеве; 1-й КАО в Одессе (стал Красноукраинским 1-м Социалистическим АО). К марту 1918 года из девяноста одного АО Воздушного флота от двадцати двух до тридцати трех присоединились к красным. Некоторые в конечном итоге были расформированы, а другие ждали демобилизации.</w:t>
      </w:r>
    </w:p>
    <w:p w14:paraId="31465196" w14:textId="77777777" w:rsidR="00953D01" w:rsidRPr="00FB4F67" w:rsidRDefault="00953D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Члены других частей решили присоединиться к антибольшевистским силам. 4-й авиационный батальон, 4-я армия АО и 4-я ФАО присоединились к Белорусской добровольческой бригаде в Бессарабии.</w:t>
      </w:r>
    </w:p>
    <w:p w14:paraId="71B4AFA5" w14:textId="77777777" w:rsidR="00953D01" w:rsidRPr="00FB4F67" w:rsidRDefault="00953D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период с ноября 1917 г. по февраль 1918 г. из-за своего этнического происхождения небольшое количество летчиков отправилось в состав антибольшевистских (белых) сил на Севере России, в Финляндии, Эстляндии (Эстония), Ливляндии (Латвия), Курляндии (Литва). , Украины, Урала и Сибири, юга России, Дона и Кубани и Кавказа (23525).</w:t>
      </w:r>
    </w:p>
    <w:p w14:paraId="3BC34A12" w14:textId="77777777" w:rsidR="00953D01" w:rsidRPr="00FB4F67" w:rsidRDefault="00953D01" w:rsidP="0083075A">
      <w:pPr>
        <w:spacing w:after="0" w:line="240" w:lineRule="auto"/>
        <w:jc w:val="both"/>
        <w:rPr>
          <w:rFonts w:ascii="Times New Roman" w:hAnsi="Times New Roman" w:cs="Times New Roman"/>
          <w:color w:val="0070C0"/>
          <w:sz w:val="16"/>
          <w:szCs w:val="16"/>
        </w:rPr>
      </w:pPr>
    </w:p>
    <w:p w14:paraId="4DFD7B91" w14:textId="77777777" w:rsidR="00953D01" w:rsidRPr="00FB4F67" w:rsidRDefault="00953D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ноябре 1917 г. Председатель Совнаркома Владимир Ильич Ленин дал личное указание Наркомоенмору Троцкому, Председателю Всероссийской Чрезвычайной Комиссии Дзержинскому, командованию РККА и реввоенсоветам на местах способствовать организации Рабоче-Крестьянского Красного Военного Воздушного Флота – РКК ВВФ. Теперь для этого разрешалось реквизировать любые имеющиеся средства и мобилизовать личный состав. Но к тому времени целый ряд видных работников авиапромышленности и военных авиаторов, первоначально готовых служить России и при большевиках, уже были «отшиты» такими чиновниками новой власти. Они ушли в эмиграцию или в авиацию «белых», как стали именовать все те разномастные группировки, которые заявили о своей борьбе с «красными» (23555).</w:t>
      </w:r>
    </w:p>
    <w:p w14:paraId="107A3A27" w14:textId="77777777" w:rsidR="00953D01" w:rsidRPr="00FB4F67" w:rsidRDefault="00953D01" w:rsidP="0083075A">
      <w:pPr>
        <w:spacing w:after="0" w:line="240" w:lineRule="auto"/>
        <w:jc w:val="both"/>
        <w:rPr>
          <w:rFonts w:ascii="Times New Roman" w:hAnsi="Times New Roman" w:cs="Times New Roman"/>
          <w:color w:val="0070C0"/>
          <w:sz w:val="16"/>
          <w:szCs w:val="16"/>
        </w:rPr>
      </w:pPr>
    </w:p>
    <w:p w14:paraId="3C15A0CB" w14:textId="77777777" w:rsidR="00953D01" w:rsidRPr="00FB4F67" w:rsidRDefault="00953D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ноябре 1917 г. красные захватили Сайминскую военную флотилию со штабом в Вуоксенниске на финском направлении, а также Дунайскую военную флотилию, базирующуюся в Одессе (23525).</w:t>
      </w:r>
    </w:p>
    <w:p w14:paraId="24C64F2F" w14:textId="77777777" w:rsidR="00953D01" w:rsidRPr="00FB4F67" w:rsidRDefault="00953D01" w:rsidP="0083075A">
      <w:pPr>
        <w:spacing w:after="0" w:line="240" w:lineRule="auto"/>
        <w:jc w:val="both"/>
        <w:rPr>
          <w:rFonts w:ascii="Times New Roman" w:hAnsi="Times New Roman" w:cs="Times New Roman"/>
          <w:color w:val="0070C0"/>
          <w:sz w:val="16"/>
          <w:szCs w:val="16"/>
        </w:rPr>
      </w:pPr>
    </w:p>
    <w:p w14:paraId="66D883D5" w14:textId="77777777" w:rsidR="00953D01" w:rsidRPr="00FB4F67" w:rsidRDefault="00953D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ноябре 1-й боевой авиаотряд ЭВК базировался на аэродроме Болгамика (7 км к северу от Болграда) на Румынском фронте вместе с IM-IX и IM-XVI.</w:t>
      </w:r>
    </w:p>
    <w:p w14:paraId="1B466057" w14:textId="77777777" w:rsidR="00953D01" w:rsidRPr="00FB4F67" w:rsidRDefault="00953D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2-й боевой авиаотряд EVK базировался в Стриховцах на Юго-Западном фронте с IM-III, IM-VIII, IM-X и IM-XII, но сильный шторм 28 ноября выбил IM-VIII и IM-XII и сильно повреждены IM-III и IM-X.</w:t>
      </w:r>
    </w:p>
    <w:p w14:paraId="75EABAE6" w14:textId="77777777" w:rsidR="00953D01" w:rsidRPr="00FB4F67" w:rsidRDefault="00953D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3-й боевой авиаотряд ЭВК базировался в Станьково на Западном фронте в составе ИМ-Киевского, ИМ-XV, ИМ-XI и ИМ-XIII. 4-й боевой авиаотряд ЭВК находился на базе в Виннице, с ИМ-I, ИМ-II, ИМ-II (учебный корабль).</w:t>
      </w:r>
    </w:p>
    <w:p w14:paraId="49110CD4" w14:textId="77777777" w:rsidR="00953D01" w:rsidRPr="00FB4F67" w:rsidRDefault="00953D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ИМ-IV, ИМ-V, ИМ-VI и ИМ-XIV, с ИМ №№ .237 и 238 на платформах, ожидающих сборки и установки.</w:t>
      </w:r>
    </w:p>
    <w:p w14:paraId="2E2603D9" w14:textId="77777777" w:rsidR="00953D01" w:rsidRPr="00FB4F67" w:rsidRDefault="00953D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ходе войны командирами ЭВК были: генерал-майор М. В. Шидловский с 23 декабря 1914 г. по 2 мая 1917 г.; Капитан (впоследствии Полковник) А.В. Панкратьев с 3 мая 1917 г. - конец мая 1917 г.; и Полковник Г.Г. Горшков с мая 1917 г. по апрель 1918 г.</w:t>
      </w:r>
    </w:p>
    <w:p w14:paraId="036E65B7" w14:textId="77777777" w:rsidR="00953D01" w:rsidRPr="00FB4F67" w:rsidRDefault="00953D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Командиры 1-го боевого отряда ЭВК: штабс Капитан (впоследствии Капитан) А.В. Панкратьев с сентября 1915 г. по октябрь 1916 г.; Штаб Капитан В.А. Соловьев с октября 1916 г. по май 1917 г.; капитан С.Н. Никольский в мае-июне 1917 г.; Ротмистр А. В. Середницкий с июня-августа 1917 г.; и Капитан (впоследствии Полковник) Р.И.Нижевский с августа 1917 по апрель 1918.</w:t>
      </w:r>
    </w:p>
    <w:p w14:paraId="3D40D4B4" w14:textId="77777777" w:rsidR="00953D01" w:rsidRPr="00FB4F67" w:rsidRDefault="00953D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Командирами 2-го боевого отряда ЭВК были лейтенант (позже Старший-лейтенант) Г.И. Лавров с декабря 1915 по апрель 1917; и Ротмистр А.В. Середницкий с августа 1917 г. по апрель 1918 г.</w:t>
      </w:r>
    </w:p>
    <w:p w14:paraId="7B2CD235" w14:textId="77777777" w:rsidR="00953D01" w:rsidRPr="00FB4F67" w:rsidRDefault="00953D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Командиром 3-го боевого отряда ЭВК с мая 1916 по май 1918 года был штаб капитан (впоследствии Полковник) И. С. Башко.</w:t>
      </w:r>
    </w:p>
    <w:p w14:paraId="01892CC6" w14:textId="77777777" w:rsidR="00953D01" w:rsidRPr="00FB4F67" w:rsidRDefault="00953D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Командиры 4-го боевого отряда ЭВК: штаб капитан (впоследствии полковник) Р.Л. Нижевский с ноября 1916 по август 1917; и Капитан Г.В. Алехнович с августа-ноября 1917 г.</w:t>
      </w:r>
    </w:p>
    <w:p w14:paraId="0687629A" w14:textId="77777777" w:rsidR="00953D01" w:rsidRPr="00FB4F67" w:rsidRDefault="00953D01"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За всю войну завод РБ ВЗ построил восемьдесят ИМ, шестьдесят из которых были приняты ЭВК. Из них 51 боевой вылет, 40 из них совершили 442 боевых вылета, в ходе которых с февраля 1915 г. было сброшено более 2000 бомб (49 000 кг) и сделано более 50 000 фотографий. самолет. Только некоторые из них были подтверждены как вероятные, большинство до сих пор не проверено (23525),</w:t>
      </w:r>
    </w:p>
    <w:p w14:paraId="12DE6A0B" w14:textId="77777777" w:rsidR="00953D01" w:rsidRPr="00FB4F67" w:rsidRDefault="00953D01" w:rsidP="0083075A">
      <w:pPr>
        <w:spacing w:after="0" w:line="240" w:lineRule="auto"/>
        <w:jc w:val="both"/>
        <w:rPr>
          <w:rFonts w:ascii="Times New Roman" w:hAnsi="Times New Roman" w:cs="Times New Roman"/>
          <w:color w:val="0070C0"/>
          <w:sz w:val="16"/>
          <w:szCs w:val="16"/>
        </w:rPr>
      </w:pPr>
    </w:p>
    <w:p w14:paraId="1E67F1E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4B722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AC9E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 1917 г. Наркомом внутренних дел РСФСР назначен Петровский Григорий Иванович.</w:t>
      </w:r>
    </w:p>
    <w:p w14:paraId="095B81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основе структуры дореволюционного Министерства начали формироваться штаты центрального аппарата НКВД. При НКВД создана Коллегия, куда вместе с Г.И. Петровским вошли Ф.Э. Дзержинский, М.Я. Лацис, И.С. Уншлихт, М.С. Урицкий. В НКВД входят:</w:t>
      </w:r>
    </w:p>
    <w:p w14:paraId="16881E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Секретариат </w:t>
      </w:r>
    </w:p>
    <w:p w14:paraId="7F0BE1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Коллегия НКВД </w:t>
      </w:r>
    </w:p>
    <w:p w14:paraId="05E905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Отдел местного управления </w:t>
      </w:r>
    </w:p>
    <w:p w14:paraId="577ECC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Центральный статистический отдел </w:t>
      </w:r>
    </w:p>
    <w:p w14:paraId="367521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Финансовый отдел </w:t>
      </w:r>
    </w:p>
    <w:p w14:paraId="469AC1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Контрольно-ревизионная комиссия </w:t>
      </w:r>
    </w:p>
    <w:p w14:paraId="39FA12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Отдел управления Медицинской частью </w:t>
      </w:r>
    </w:p>
    <w:p w14:paraId="49ACB3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Ветеринарный отдел </w:t>
      </w:r>
    </w:p>
    <w:p w14:paraId="017C5C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Отдел местного хозяйства </w:t>
      </w:r>
    </w:p>
    <w:p w14:paraId="1AF978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Беженский отдел </w:t>
      </w:r>
    </w:p>
    <w:p w14:paraId="6F9C50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Иностранный отдел </w:t>
      </w:r>
    </w:p>
    <w:p w14:paraId="5ABBBA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Бюро печати</w:t>
      </w:r>
    </w:p>
    <w:p w14:paraId="6EFEF4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Основными направлениями деятельности Комиссариата внутренних дел в первые годы Советской власти становятся:</w:t>
      </w:r>
    </w:p>
    <w:p w14:paraId="45FF93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Организация, подбор кадров и контроль за деятельностью местных Советов, </w:t>
      </w:r>
    </w:p>
    <w:p w14:paraId="78CD99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Контроль за исполнением распоряжений центральной власти на местах, </w:t>
      </w:r>
    </w:p>
    <w:p w14:paraId="028538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Охрана "революционного порядка" и обеспечение безопасности граждан, </w:t>
      </w:r>
    </w:p>
    <w:p w14:paraId="4BC26D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Общее руководство профессиональной и финансово-хозяйственной деятельностью органов милиции, исполнения наказаний, противопожарной охраны, </w:t>
      </w:r>
    </w:p>
    <w:p w14:paraId="7CE370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Руководство коммунальным хозяйством.</w:t>
      </w:r>
    </w:p>
    <w:p w14:paraId="3C5A1A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Всероссийский совет народного хозяйства (ВСНХ) создает комиссию для разработки и направления в Совет народных комиссаров проекта реорганизации пожарного дела в России (10303).</w:t>
      </w:r>
    </w:p>
    <w:p w14:paraId="67A7C5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57C8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 1917 состоялись выборы в Учредительное собрание (226,238).</w:t>
      </w:r>
    </w:p>
    <w:p w14:paraId="04C329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270DEC" w14:textId="032C61A8" w:rsidR="00A5705E" w:rsidRPr="002F2FDF" w:rsidRDefault="00A5705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 ноября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г. большевики, пришедшие к власти, немедленно пытались претворить в жизнь марксистские положения о труде, «освобожденном от капиталистических оков», и своими декретами сразу же и немедленно стали проводить в жизнь наиболее значимые завоевания рабочего движения в странах Запада.</w:t>
      </w:r>
    </w:p>
    <w:p w14:paraId="5B4DCFAE" w14:textId="77777777" w:rsidR="00A5705E" w:rsidRPr="002F2FDF" w:rsidRDefault="00A5705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Отныне Россия провозглашалась Республикой Труда. Вопросы его организации, повышения производительности уже в силу этого должны были встать в центр политики новой власти. «Производительность труда, – писал Ленин, – это, в последнем счете, самое важное, самое главное для победы нового общественного строя»</w:t>
      </w:r>
      <w:bookmarkStart w:id="412" w:name="01"/>
      <w:bookmarkEnd w:id="412"/>
      <w:r w:rsidRPr="002F2FDF">
        <w:rPr>
          <w:rFonts w:ascii="Times New Roman" w:hAnsi="Times New Roman" w:cs="Times New Roman"/>
          <w:color w:val="000000" w:themeColor="text1"/>
          <w:sz w:val="16"/>
          <w:szCs w:val="16"/>
        </w:rPr>
        <w:t>.</w:t>
      </w:r>
    </w:p>
    <w:p w14:paraId="532521D9" w14:textId="77777777" w:rsidR="00A5705E" w:rsidRPr="002F2FDF" w:rsidRDefault="00A5705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Согласно большевистским воззрениям, массы сами должны были на практическом опыте приходить к убеждению, что уровень их благосостояния зависит исключительно от дисциплинированности их собственного труда, а главная роль в создании такой дисциплины отводилась профсоюзам. Именно профсоюзы, по идее, должны были с самого начала стать партнерами новой власти и отвечать за политику в области стимулирования труда путем заключения коллективных договоров между администрацией и рабочими организациями. Сюда входило установление норм выработки, оплаты труда, тарификация, контроль за состоянием производственной дисциплины и пр. Таким образом, вопросы трудовой дисциплины оказались в центре внимания политики большевиков, что объясняется целым рядом обстоятельств. Во-первых, российская экономика в этот период находилась на грани полного развала; во-вторых, большевистские лидеры отчетливо осознавали общие черты экономической отсталости России по сравнению с Западом, в-третьих, они невысоко в целом оценивали трудовой потенциал российских рабочих, делая ставку преимущественно на так называемых «сознательных пролетариев». В результате трудовая дисциплина в советское время получила весьма широкое толкование как главный способ мотивации труда, включая широкий спектр обязательств со стороны рабочих: активное и добросовестное отношение к работе, заботу о машинах и оборудовании, соблюдение распорядка и правил на производстве, борьбу с прогулами и опозданиями и пр. (21332).</w:t>
      </w:r>
    </w:p>
    <w:p w14:paraId="5290614A" w14:textId="77777777" w:rsidR="00A5705E" w:rsidRPr="002F2FDF" w:rsidRDefault="00A5705E" w:rsidP="0083075A">
      <w:pPr>
        <w:spacing w:after="0" w:line="240" w:lineRule="auto"/>
        <w:jc w:val="both"/>
        <w:rPr>
          <w:rFonts w:ascii="Times New Roman" w:hAnsi="Times New Roman" w:cs="Times New Roman"/>
          <w:color w:val="000000" w:themeColor="text1"/>
          <w:sz w:val="16"/>
          <w:szCs w:val="16"/>
        </w:rPr>
      </w:pPr>
    </w:p>
    <w:p w14:paraId="4E1056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 1917 г. Советское правительство Туркестана признало суверенитет Бухары и Хивы. Однако оно намеревалось поддерживать свое политическое влияние в обоих государствах на том же уровне, на котором его сохраняло российское императорское правительство. Это не соответствовало интересам среднеазиатских монархий. Ощущая возрастающее давление со стороны советских властей Туркестана и предвидя угрозу распространения советской власти в своих владениях, эмир бухарский Сеид Алим-хан стал увеличивать численность своей небольшой до той поры гвардии.</w:t>
      </w:r>
    </w:p>
    <w:p w14:paraId="63E0D4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 своей стороны советские власти побуждали местных коммунистов вступить в союз с "младобухарцами", чтобы совместно свергнуть власть эмира (3871).</w:t>
      </w:r>
    </w:p>
    <w:p w14:paraId="4341E3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D24A93" w14:textId="77777777" w:rsidR="008B7CA9" w:rsidRPr="002F2FDF" w:rsidRDefault="008B7CA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B83C1D2" w14:textId="77777777" w:rsidR="008B7CA9" w:rsidRPr="002F2FDF" w:rsidRDefault="008B7CA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AF55A7"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Ноябрь 1917. Образован Жилищно-земельный отдел Моссовета (Жилземотдел) с целью проведения в пределах Москвы муниципализации частных квартир, доход владельцев которых превышал 750 рублей в год, и "уплотнения" владельцев домов с центральным отоплением. К концу года было реквизировано 216 домовладений, и в них переселили 20 тысяч рабочих (18685).</w:t>
      </w:r>
    </w:p>
    <w:p w14:paraId="5975C2A1"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p w14:paraId="15B887F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344AA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4646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 1917 появились первые"британские бомбардировщики "Виккерс-Вими" (11999).</w:t>
      </w:r>
    </w:p>
    <w:p w14:paraId="0EFF36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D57DF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 1917 года на</w:t>
      </w:r>
      <w:r w:rsidRPr="002F2FDF">
        <w:rPr>
          <w:rFonts w:ascii="Times New Roman" w:hAnsi="Times New Roman" w:cs="Times New Roman"/>
          <w:color w:val="000000" w:themeColor="text1"/>
          <w:kern w:val="2"/>
          <w:sz w:val="16"/>
          <w:szCs w:val="16"/>
        </w:rPr>
        <w:softHyphen/>
        <w:t>чал поступать на вооружение авиаот</w:t>
      </w:r>
      <w:r w:rsidRPr="002F2FDF">
        <w:rPr>
          <w:rFonts w:ascii="Times New Roman" w:hAnsi="Times New Roman" w:cs="Times New Roman"/>
          <w:color w:val="000000" w:themeColor="text1"/>
          <w:kern w:val="2"/>
          <w:sz w:val="16"/>
          <w:szCs w:val="16"/>
        </w:rPr>
        <w:softHyphen/>
        <w:t>рядов западного фронта двухместный многоцелевик фирмы Hannover CL.2, который в июле 1917 г. успешно прошел ис</w:t>
      </w:r>
      <w:r w:rsidRPr="002F2FDF">
        <w:rPr>
          <w:rFonts w:ascii="Times New Roman" w:hAnsi="Times New Roman" w:cs="Times New Roman"/>
          <w:color w:val="000000" w:themeColor="text1"/>
          <w:kern w:val="2"/>
          <w:sz w:val="16"/>
          <w:szCs w:val="16"/>
        </w:rPr>
        <w:softHyphen/>
        <w:t>пытания, а позже его модификации CL.3 и CL.3a. Максимальная скорость модифика</w:t>
      </w:r>
      <w:r w:rsidRPr="002F2FDF">
        <w:rPr>
          <w:rFonts w:ascii="Times New Roman" w:hAnsi="Times New Roman" w:cs="Times New Roman"/>
          <w:color w:val="000000" w:themeColor="text1"/>
          <w:kern w:val="2"/>
          <w:sz w:val="16"/>
          <w:szCs w:val="16"/>
        </w:rPr>
        <w:softHyphen/>
        <w:t>ции CL.3a при взлетном весе 1081 кг составляла 165 км/ч. Время набора вы</w:t>
      </w:r>
      <w:r w:rsidRPr="002F2FDF">
        <w:rPr>
          <w:rFonts w:ascii="Times New Roman" w:hAnsi="Times New Roman" w:cs="Times New Roman"/>
          <w:color w:val="000000" w:themeColor="text1"/>
          <w:kern w:val="2"/>
          <w:sz w:val="16"/>
          <w:szCs w:val="16"/>
        </w:rPr>
        <w:softHyphen/>
        <w:t>соты 1000 м - 5,3 минуты. Вооружение самолета состояло из одного синхрон</w:t>
      </w:r>
      <w:r w:rsidRPr="002F2FDF">
        <w:rPr>
          <w:rFonts w:ascii="Times New Roman" w:hAnsi="Times New Roman" w:cs="Times New Roman"/>
          <w:color w:val="000000" w:themeColor="text1"/>
          <w:kern w:val="2"/>
          <w:sz w:val="16"/>
          <w:szCs w:val="16"/>
        </w:rPr>
        <w:softHyphen/>
        <w:t>ного пулемета LMG 08/15 Spandau для стрельбы вперед и одного турельного Parabellum/mod.1912 для стрельбы на</w:t>
      </w:r>
      <w:r w:rsidRPr="002F2FDF">
        <w:rPr>
          <w:rFonts w:ascii="Times New Roman" w:hAnsi="Times New Roman" w:cs="Times New Roman"/>
          <w:color w:val="000000" w:themeColor="text1"/>
          <w:kern w:val="2"/>
          <w:sz w:val="16"/>
          <w:szCs w:val="16"/>
        </w:rPr>
        <w:softHyphen/>
        <w:t>зад. Самолет весьма успешно использо</w:t>
      </w:r>
      <w:r w:rsidRPr="002F2FDF">
        <w:rPr>
          <w:rFonts w:ascii="Times New Roman" w:hAnsi="Times New Roman" w:cs="Times New Roman"/>
          <w:color w:val="000000" w:themeColor="text1"/>
          <w:kern w:val="2"/>
          <w:sz w:val="16"/>
          <w:szCs w:val="16"/>
        </w:rPr>
        <w:softHyphen/>
        <w:t>вался на фронте в качестве скоростно</w:t>
      </w:r>
      <w:r w:rsidRPr="002F2FDF">
        <w:rPr>
          <w:rFonts w:ascii="Times New Roman" w:hAnsi="Times New Roman" w:cs="Times New Roman"/>
          <w:color w:val="000000" w:themeColor="text1"/>
          <w:kern w:val="2"/>
          <w:sz w:val="16"/>
          <w:szCs w:val="16"/>
        </w:rPr>
        <w:softHyphen/>
        <w:t>го разведчика, легкого штурмовика и истребителя сопровождения. Самолет обладал отличной маневренностью, легкостью управления и хорошо "дер</w:t>
      </w:r>
      <w:r w:rsidRPr="002F2FDF">
        <w:rPr>
          <w:rFonts w:ascii="Times New Roman" w:hAnsi="Times New Roman" w:cs="Times New Roman"/>
          <w:color w:val="000000" w:themeColor="text1"/>
          <w:kern w:val="2"/>
          <w:sz w:val="16"/>
          <w:szCs w:val="16"/>
        </w:rPr>
        <w:softHyphen/>
        <w:t>жал" боевые повреждения. Отмечались случаи, когда опытные пилоты выиг</w:t>
      </w:r>
      <w:r w:rsidRPr="002F2FDF">
        <w:rPr>
          <w:rFonts w:ascii="Times New Roman" w:hAnsi="Times New Roman" w:cs="Times New Roman"/>
          <w:color w:val="000000" w:themeColor="text1"/>
          <w:kern w:val="2"/>
          <w:sz w:val="16"/>
          <w:szCs w:val="16"/>
        </w:rPr>
        <w:softHyphen/>
        <w:t>рывали на нем воздушные бои у одно</w:t>
      </w:r>
      <w:r w:rsidRPr="002F2FDF">
        <w:rPr>
          <w:rFonts w:ascii="Times New Roman" w:hAnsi="Times New Roman" w:cs="Times New Roman"/>
          <w:color w:val="000000" w:themeColor="text1"/>
          <w:kern w:val="2"/>
          <w:sz w:val="16"/>
          <w:szCs w:val="16"/>
        </w:rPr>
        <w:softHyphen/>
        <w:t>местных истребителей союзников. Все</w:t>
      </w:r>
      <w:r w:rsidRPr="002F2FDF">
        <w:rPr>
          <w:rFonts w:ascii="Times New Roman" w:hAnsi="Times New Roman" w:cs="Times New Roman"/>
          <w:color w:val="000000" w:themeColor="text1"/>
          <w:kern w:val="2"/>
          <w:sz w:val="16"/>
          <w:szCs w:val="16"/>
        </w:rPr>
        <w:softHyphen/>
        <w:t>го было построено 1086 машин этого типа, часть из них поступила в штур</w:t>
      </w:r>
      <w:r w:rsidRPr="002F2FDF">
        <w:rPr>
          <w:rFonts w:ascii="Times New Roman" w:hAnsi="Times New Roman" w:cs="Times New Roman"/>
          <w:color w:val="000000" w:themeColor="text1"/>
          <w:kern w:val="2"/>
          <w:sz w:val="16"/>
          <w:szCs w:val="16"/>
        </w:rPr>
        <w:softHyphen/>
        <w:t>мовые авиаотряды (5999).</w:t>
      </w:r>
    </w:p>
    <w:p w14:paraId="6C4DD04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3B4C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ноября 1917 сражение во Фландрии отвлекало на себя все германские силы на западе. Другие боевые действия значительно уступали ему по своему значению. На французском фронте результаты воздушной разведки дали возможность предсказать наступление у Вердена по обе стороны Мааса. Также жаловались на недостаточную поддержку со стороны авиаторов и наземные войска. 5-й армии вскоре были приданы необходимые авиаотряды (11282).</w:t>
      </w:r>
    </w:p>
    <w:p w14:paraId="7E029E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7CDC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ноябре 1917 12-я истребительная группа "Аистов" переместилась во Фландрию. Ввиду принципиально изменившейся в последнее время воздушной войны, командир группы Деллен всеми силами пытается вытравить из своих подопечных отвращение к групповому бою, продолжающему владеть сердцами французских пилотов, несмотря на гибель такого аса, как Гийнемар. Чувствуя себя бессильным, он в бешенстве топает ногами и, наконец доходит до того, что издает приказ расстреливать не подчиняющихся дисциплине летчиков. </w:t>
      </w:r>
    </w:p>
    <w:p w14:paraId="6216BE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Французы начинают летать тройками; впереди ведущий, за ним чуть выше на расстоянии 100 м и 200 м два ведомых. При появлении летящего более высоко противника, рекомендовалось уклоняться от боя.</w:t>
      </w:r>
    </w:p>
    <w:p w14:paraId="1D980C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Дел лен: "Когда командир патруля замечает противника и решает его атаковать, он подает своим летчикам сигнал внимание, покачивая свой самолет с крыла на крыло. Затем он начинает маневрировать... Он должен занять более выгодное положение по отношению к противнику, то есть... на большей высоте и проектироваться неприятельскому летчику на солнце. В большинстве неприятельских патрулей один из самолетов держится отдельно на высоте приблизительно 1000 м выше своих товарищей, готовый пикировать на противника... Нужно его обнаружить, сблизиться с ним, сбить его или заставить снизиться до уровня своих летчиков.</w:t>
      </w:r>
    </w:p>
    <w:p w14:paraId="6D1B9A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Если маневр удастся, то командир патруля дает сигнал к атаке и бросается на избранного им противника. Один из летчиков, назначенный заранее, следит за ведущим, готовый использовать благоприятный случай для атаки и поддержать его. Третий продолжает летать, наблюдая за боем, чтобы в нужный момент прийти на помощь тому из своих товарищей, кто окажется в затруднительном положении.</w:t>
      </w:r>
    </w:p>
    <w:p w14:paraId="5715D9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Атака под хвост становится почти невозможной...</w:t>
      </w:r>
    </w:p>
    <w:p w14:paraId="7C4B3A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Вот почему всегда надо держаться выше самого высокого из самолетов противника и атаковать его, только пикируя сзади или спереди, но никогда не сбавляя газа, чтобы запас мощности и скорости позволял сделать свечу, дающую преимущество в высоте. Атака и стрельба в лоб... трудна и требует большого искусства".</w:t>
      </w:r>
    </w:p>
    <w:p w14:paraId="6D14E1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Правила маневрирования патрулей предполагали также сбор на вертикали над каким-нибудь заранее оговоренным ближайшим пунктом. Над назначенным местом сбора самолеты становились в круг налево и поворачивали к фронту. Лететь в группе предписывалось с мотором, работающим на 200 оборотов меньше полной мощности.</w:t>
      </w:r>
    </w:p>
    <w:p w14:paraId="552EAD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Если же противника раньше замечал ведомый, то он ни в коем случае не должен был сам вступать в бой или выходить из строя, но, снизившись на высоту ведущего, предупредить его, покачивая крыльями.</w:t>
      </w:r>
    </w:p>
    <w:p w14:paraId="7ABF4A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Рихтгофен: "В воздушном бою главное заключается вовсе не в умении владеть всевозможными трюками, а только в личных способностях и энергии летчика. Он, конечно, должен знать, как крутить все эти петли, но это умение еще никоим образом не гарантирует ему сбитых аэропланов врага. Я считаю, все заключается именно в агрессивном духе, а дух этот сильнее всего именно у нас, немцев. И потому мы всегда имеем превосходство в воздухе.</w:t>
      </w:r>
    </w:p>
    <w:p w14:paraId="1796CA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 французов характер иной. Они любят устраивать ловушки и атаковать врага исподтишка. Это в воздухе, разумеется, делать трудно, ловятся на такую удочку только новички - ведь аэроплан в воздухе не спрячешь. Невидимых аэропланов до сих пор не придумали. Но порой, галльская кровь, естественно, все равно проявляет себя, и французы яростно атакуют. Увы, боевой дух французов - всего лишь лимонад, в нем нет крепости.</w:t>
      </w:r>
    </w:p>
    <w:p w14:paraId="0EDCE2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Англичане же, наоборот, как заметил кто-то, все-таки ближе нам по крови. Они спортсмены по природе, и в полетах тоже видят лишь спорт. Они получают наслаждение от идеально выполненной петли, переворотов на спину и выполнения прочих трюков на радость наблюдающих из окопов солдат. Все эти упражнения могут произвести впечатление на публику стадионов, но на войне, к счастью, цениться совсем другое. Война требует высочайшей подготовки, а не курбетов в воздухе. И потому кровь английских летчиков так часто капает прямо с неба" (11999).</w:t>
      </w:r>
    </w:p>
    <w:p w14:paraId="4AE023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627B72" w14:textId="77777777" w:rsidR="00BC79AF" w:rsidRPr="002F2FDF" w:rsidRDefault="00BC79A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ноябре 1917 г. на совещании пилотов германских штурмовых отрядов, собранном для обмена опытом, разгорелась жаркая дискуссия по поводу того, каким должен быть идеальный самолет непосредственной поддержки: легким, маневренным и небронированным или же защищенным броней, но более тяжелым и медлительным. Опыт применения самолетов «ганновер» и «хальберштадт» показал их пригодность для поддержки пехоты в наступлении, при прорыве вражеской обороны на решающих участках. Но вот при оборонительных действиях они были слишком уязвимыми. Для того чтобы самолет мог достаточно долго «висеть» над передним краем, его требовалось защитить хотя бы от винтовочных пуль. В итоге были выработаны требования к специализированному «пехотному самолету»— бронированной машине со стрелковым и бомбовым вооружением (21241).</w:t>
      </w:r>
    </w:p>
    <w:p w14:paraId="6F269988" w14:textId="77777777" w:rsidR="00BC79AF" w:rsidRPr="002F2FDF" w:rsidRDefault="00BC79AF" w:rsidP="0083075A">
      <w:pPr>
        <w:spacing w:after="0" w:line="240" w:lineRule="auto"/>
        <w:jc w:val="both"/>
        <w:rPr>
          <w:rFonts w:ascii="Times New Roman" w:hAnsi="Times New Roman" w:cs="Times New Roman"/>
          <w:color w:val="000000" w:themeColor="text1"/>
          <w:sz w:val="16"/>
          <w:szCs w:val="16"/>
        </w:rPr>
      </w:pPr>
    </w:p>
    <w:p w14:paraId="36DCDD6F" w14:textId="77777777" w:rsidR="00BC79AF" w:rsidRPr="002F2FDF" w:rsidRDefault="00BC79A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ноябре 1917 г. число истребителей Альбатрос D III в ВВС Германии достигло пика — 446 штук. Хороших истребителей немцам по-прежнему не хватало. К концу 1917 г. завод «Альбатрос» даже чуть-чуть перевыполнил план, дав 507 серийных истребителей своей модели D III, а Инспекция семь лишних самолетов оплатила, но на потоке уже стоял новый истребитель Альбатрос D V (22775).</w:t>
      </w:r>
    </w:p>
    <w:p w14:paraId="5227BBDF" w14:textId="77777777" w:rsidR="00BC79AF" w:rsidRPr="002F2FDF" w:rsidRDefault="00BC79AF" w:rsidP="0083075A">
      <w:pPr>
        <w:spacing w:after="0" w:line="240" w:lineRule="auto"/>
        <w:jc w:val="both"/>
        <w:rPr>
          <w:rFonts w:ascii="Times New Roman" w:hAnsi="Times New Roman" w:cs="Times New Roman"/>
          <w:color w:val="000000" w:themeColor="text1"/>
          <w:sz w:val="16"/>
          <w:szCs w:val="16"/>
        </w:rPr>
      </w:pPr>
    </w:p>
    <w:p w14:paraId="595F3DF7" w14:textId="77777777" w:rsidR="00BC79AF" w:rsidRPr="002F2FDF" w:rsidRDefault="00BC79A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ноябре 1917 г., закончив первый заказ, Фоккер получил новый — еще на 200 трипланов. Усиление крыла не привело к потере летных данных, которые даже слегка выросли с отказом от оказавшихся ненужными подкрыльевых «лыж». На Фоккерах Dr I было еще три аварии из-за разрушения планера, но доказать вину конструкции военным на этот раз не удалось, к тому же во всех случаях летчики остались живы, и эти случаи не повлияли на общее положительное отношение к самолету (22781).</w:t>
      </w:r>
    </w:p>
    <w:p w14:paraId="35D91269" w14:textId="77777777" w:rsidR="00BC79AF" w:rsidRPr="002F2FDF" w:rsidRDefault="00BC79AF" w:rsidP="0083075A">
      <w:pPr>
        <w:spacing w:after="0" w:line="240" w:lineRule="auto"/>
        <w:jc w:val="both"/>
        <w:rPr>
          <w:rFonts w:ascii="Times New Roman" w:hAnsi="Times New Roman" w:cs="Times New Roman"/>
          <w:color w:val="000000" w:themeColor="text1"/>
          <w:sz w:val="16"/>
          <w:szCs w:val="16"/>
        </w:rPr>
      </w:pPr>
    </w:p>
    <w:p w14:paraId="63A40C47" w14:textId="77777777" w:rsidR="00BC79AF" w:rsidRPr="002F2FDF" w:rsidRDefault="00BC79A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ноябре 1917 года Черчилль выступал за то, чтобы сбрасывать газовые бомбы с самолетов. </w:t>
      </w:r>
      <w:r w:rsidRPr="002F2FDF">
        <w:rPr>
          <w:rFonts w:ascii="Times New Roman" w:hAnsi="Times New Roman" w:cs="Times New Roman"/>
          <w:color w:val="000000" w:themeColor="text1"/>
          <w:sz w:val="16"/>
          <w:szCs w:val="16"/>
          <w:shd w:val="clear" w:color="auto" w:fill="FFFFFF"/>
        </w:rPr>
        <w:t>Однако эта идея была отвергнута «потому, что она привела бы к гибели многих французских и бельгийских гражданских лиц позади немецких линий и привлечению слишком многих военнослужащих редкой специальности для эксплуатации и обслуживания самолетов и бомб»</w:t>
      </w:r>
      <w:r w:rsidRPr="002F2FDF">
        <w:rPr>
          <w:rFonts w:ascii="Times New Roman" w:hAnsi="Times New Roman" w:cs="Times New Roman"/>
          <w:color w:val="000000" w:themeColor="text1"/>
          <w:sz w:val="16"/>
          <w:szCs w:val="16"/>
        </w:rPr>
        <w:t xml:space="preserve"> (20245).</w:t>
      </w:r>
    </w:p>
    <w:p w14:paraId="2777DA3C" w14:textId="77777777" w:rsidR="00BC79AF" w:rsidRPr="002F2FDF" w:rsidRDefault="00BC79AF"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BFBEC7D" w14:textId="77777777" w:rsidR="00BC79AF" w:rsidRPr="002F2FDF" w:rsidRDefault="00BC79AF"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ноябре 1917 г. армейские авиаторы США обратились к изобретателю Чарльзу Кеттерингу, предлагавшему еще в 1910 г. использовать ЛА без человека, реализовать свои замыслы и разработать простой, дешевый самолет-снаряд для использования в Европе. Так как армия не использовала гироскопические системы и не имела опыта их применения, разработка автопилота была поручена Элмеру А. Сперри, а консультантом в вопросах аэродинамики стал сам Орвил Райт. Получив финансирование от армии, Кеттеринг построил и испытал устройство, получившее названия The Kettering Aerial Torpedo, Kettering Bug, или просто Bug — «Жук». В отличие от торпеды Сперри, «Жук» Кеттеринга был простым и компактным. К деревянному фюзеляжу цилиндрической формы крепилась бипланная коробка крыла. Крылья имели положительное V для повышения устойчивости. Аппарат оснащался простым четырехцилиндровым двигателем DePalma ценой 40 долларов, который приводил в действие двухлопастный пропеллер. Система управления была инерциальной, автоматической. После запуска с рельсовой катапульты снаряд поднимался на заданную высоту и летел по прямой в сторону цели. Стабилизацию «Жука» в воздухе и заданное направление обеспечивал электрический гироскоп, который был связан с автопилотом, управлявшим рулями высоты и направления. Расчетная дальность полета до цели задавалась непосредственно перед вылетом, путем выставки счетчика количества оборотов пропеллера. Как только винт машины совершал заданное число оборотов, подавался сигнал на пружинный механизм, отключавший двигатель и вышибавший болты крепления крыла к корпусу. Крыло отделялось, и 80 кг взрывчатки вместе с фюзеляжем падали на цель. По расчетам конструкторов, бомба могла пролететь 120 км со скоростью 80 км/ч. Ее стоимость составляла всего 400 долларов.</w:t>
      </w:r>
    </w:p>
    <w:p w14:paraId="4AAC5632" w14:textId="77777777" w:rsidR="00BC79AF" w:rsidRPr="002F2FDF" w:rsidRDefault="00BC79AF"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Заказ на беспилотную воздушную торпеду «Орел Свободы», предназначенную для бомбардировок промышленных центров Германии, был получен в 1917 г., после вступления США в войну. Однако первый полет аппарата состоялся только 4 октября 1918 г. После нескольких неудачных запусков «Жук» Кеттеринга относительно успешно прошел испытания, завершившиеся полнопрофильным полетом в сопровождении пилотируемого аэроплана и падением на цель. К тому времени Первая мировая война закончилась, снаряд так и остался опытным (22758).</w:t>
      </w:r>
    </w:p>
    <w:p w14:paraId="50738D63" w14:textId="77777777" w:rsidR="00BC79AF" w:rsidRPr="002F2FDF" w:rsidRDefault="00BC79AF" w:rsidP="0083075A">
      <w:pPr>
        <w:shd w:val="clear" w:color="auto" w:fill="FFFFFF"/>
        <w:spacing w:after="0" w:line="240" w:lineRule="auto"/>
        <w:jc w:val="both"/>
        <w:rPr>
          <w:rFonts w:ascii="Times New Roman" w:hAnsi="Times New Roman" w:cs="Times New Roman"/>
          <w:color w:val="000000" w:themeColor="text1"/>
          <w:sz w:val="16"/>
          <w:szCs w:val="16"/>
        </w:rPr>
      </w:pPr>
    </w:p>
    <w:p w14:paraId="7C03E4E7" w14:textId="77777777" w:rsidR="00BC79AF" w:rsidRPr="002F2FDF" w:rsidRDefault="00BC79AF"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ноябре 1917 г. облетали первый из трех заказанных опытных образцов Ганза-Бранденбург W 19, а к концу года — и остальные. Устойчивость и управляемость изменились мало, самолет остался доступен летчику средней квалификации, усилия на рычагах управления выросли незначительно. Максимальная скорость упала на 5 км/ч, время набора высот 1 000 и 2 000 м чуть увеличилось, но выше 2 500 м скороподъемность выросла на 10 … 35 %. Маневренность ухудшилась, но это сочли несущественным и выданный еще до окончания испытаний заказ на первые 10 серийных самолетов подтвердили. На них усилили крепление поплавков и поставили второй синхронный пулемет, далее вносились и другие изменения, главным из которых была установка еще более мощного мотора Майбах Mb IVа в 260 сил, но неизвестно, на какой серии выпуска он был внедрен. А их было еще две по 20 машин плюс два единичных самолета — всего в 1918 г. построили 53 поплавковых биплана Ганза-Бранденбург W 19 (22843).</w:t>
      </w:r>
    </w:p>
    <w:p w14:paraId="3C717F3C" w14:textId="77777777" w:rsidR="00BC79AF" w:rsidRPr="002F2FDF" w:rsidRDefault="00BC79AF" w:rsidP="0083075A">
      <w:pPr>
        <w:shd w:val="clear" w:color="auto" w:fill="FFFFFF"/>
        <w:spacing w:after="0" w:line="240" w:lineRule="auto"/>
        <w:jc w:val="both"/>
        <w:rPr>
          <w:rFonts w:ascii="Times New Roman" w:hAnsi="Times New Roman" w:cs="Times New Roman"/>
          <w:color w:val="000000" w:themeColor="text1"/>
          <w:sz w:val="16"/>
          <w:szCs w:val="16"/>
        </w:rPr>
      </w:pPr>
    </w:p>
    <w:p w14:paraId="692AEA73" w14:textId="77777777" w:rsidR="00BC79AF" w:rsidRPr="002F2FDF" w:rsidRDefault="00BC79A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ноябре 1917 г. все испытания WKF DD Тип C (WKF Doppeldecker Type C) – австро-венгерского двухместного ближнего разведчика были завершены. После завершения летных испытаний самолет был передан на статические прочностные испытания до разрушения, выдержав перегрузку на расчетный случай «вывод из пике» 8 единиц при требуемых 5. Испытания проходили на базе и под надзором Flars, но руководил ими главный конструктор самолета Франц Шайферль.</w:t>
      </w:r>
    </w:p>
    <w:p w14:paraId="2E712CD3" w14:textId="77777777" w:rsidR="00BC79AF" w:rsidRPr="002F2FDF" w:rsidRDefault="00BC79A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Самолет не был принят на вооружение, но его опыт был использован при проектировании дальнейших конструкций фирмы – истребителей WKF Dr I и D I (23142).</w:t>
      </w:r>
    </w:p>
    <w:p w14:paraId="46D15579" w14:textId="77777777" w:rsidR="00BC79AF" w:rsidRPr="002F2FDF" w:rsidRDefault="00BC79AF" w:rsidP="0083075A">
      <w:pPr>
        <w:shd w:val="clear" w:color="auto" w:fill="FFFFFF"/>
        <w:spacing w:after="0" w:line="240" w:lineRule="auto"/>
        <w:jc w:val="both"/>
        <w:rPr>
          <w:rFonts w:ascii="Times New Roman" w:hAnsi="Times New Roman" w:cs="Times New Roman"/>
          <w:color w:val="000000" w:themeColor="text1"/>
          <w:sz w:val="16"/>
          <w:szCs w:val="16"/>
        </w:rPr>
      </w:pPr>
    </w:p>
    <w:p w14:paraId="67C8CCFC" w14:textId="77777777" w:rsidR="00BC79AF" w:rsidRPr="002F2FDF" w:rsidRDefault="00BC79A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ноябре 1917 г. истребитель Эйлер Dr II (Тип 3) (Euler Dr II, Dreidecker Type 3) был построен заводом фирмы и совершил первый полет. Он испытывался очень долго (не менее 5 месяцев) на заводе и в IdFlieg, в мае 1918 г. прошел сравнительные испытания в рамках проводимого IdFlieg, но на вооружение принять не был в силу низких ТТХ (23169).</w:t>
      </w:r>
    </w:p>
    <w:p w14:paraId="1D6CCB12" w14:textId="77777777" w:rsidR="00BC79AF" w:rsidRPr="002F2FDF" w:rsidRDefault="00BC79AF" w:rsidP="0083075A">
      <w:pPr>
        <w:spacing w:after="0" w:line="240" w:lineRule="auto"/>
        <w:jc w:val="both"/>
        <w:rPr>
          <w:rFonts w:ascii="Times New Roman" w:hAnsi="Times New Roman" w:cs="Times New Roman"/>
          <w:color w:val="000000" w:themeColor="text1"/>
          <w:sz w:val="16"/>
          <w:szCs w:val="16"/>
        </w:rPr>
      </w:pPr>
    </w:p>
    <w:p w14:paraId="71B73E1D" w14:textId="488D590F" w:rsidR="00BC79AF" w:rsidRPr="002F2FDF" w:rsidRDefault="00BC79AF"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ноябре 1917 г. совершил первый полет истребитель-триплан Шютте-Ланц Dr I. На самолете представителем IdFlieg был выявлен ряд дальнейших дефектов, которые фирма попыталась устранить.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Самолет не показал высоких летных данных, кроме того, установка радиаторов охлаждения мотора ниже рубашки охлаждения цилиндров не соответствовала ОТТ ВВС (при простреле радиатора или рубашки охлаждения вода слишком быстро вытекала и мотор заклинивал).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На вооружение принят не был и в серию не запускался (23166).</w:t>
      </w:r>
    </w:p>
    <w:p w14:paraId="1DD6D0CE" w14:textId="77777777" w:rsidR="00BC79AF" w:rsidRPr="002F2FDF" w:rsidRDefault="00BC79AF" w:rsidP="0083075A">
      <w:pPr>
        <w:spacing w:after="0" w:line="240" w:lineRule="auto"/>
        <w:jc w:val="both"/>
        <w:rPr>
          <w:rFonts w:ascii="Times New Roman" w:hAnsi="Times New Roman" w:cs="Times New Roman"/>
          <w:color w:val="000000" w:themeColor="text1"/>
          <w:sz w:val="16"/>
          <w:szCs w:val="16"/>
        </w:rPr>
      </w:pPr>
    </w:p>
    <w:p w14:paraId="13B796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 1917 R.23 наблюдал за германскими подводными лодками, которые сдались в Гарвиче. В 1919 году он был сдан на металлолом. Одним из серьезных недостатков дирижаблей серии R.23 выступало то, что они не могли находиться в воздухе более восьми часов. Это было вызвано совершенно недостаточным запасом возимого топлива, поэтому Адмиралтейство в 1916 году разработало новые требования, которые и явились основанием для создания дирижаблей так называемой серии R.23X (11324).</w:t>
      </w:r>
    </w:p>
    <w:p w14:paraId="0507DA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5102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 1917 года на испытания был выпущен английский двухмоторный бомбардировщик "Виккерс-Вими". Англичане так и не успели опробовать самолет в боевой обстановке - война шла к концу (3861).</w:t>
      </w:r>
    </w:p>
    <w:p w14:paraId="53CEEF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C3A3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С ноября 1917 года были прекращены налеты австрийских самолетов на Венецию. При защите Венеции аэростаты заграждения имели объем всего по 100 м , но связка таких аэростатов позволяла поднимать сети на высоту до 4 тыс. м. При этом достигалась большая боеготовность системы - через 20 мин после объявления воздушной тревоги аэростаты уже находились на нужной высотеИнтересно, что австрийцы почти за 70 лет до этого сами успешно использовали при осаде Венеции монгольфьеры, к которым привязывали бомбы, и в зависимости от скорости и направления ветра настраивали автоматическую отцепку бомб. Конечно, попадание могло быть чистой случайностью. Так, из 150 запущенных бомб только несколько взорвались в городе. Атаки с воздуха заставили французов создать вокруг Парижа своеобразное кольцо из 150 постов для подъема при помощи аэростатов защитных сетей. Несколько немецких самолетов нашло в них свою гибель. На наиболее уязвимых подходах к Парижу были подняты заградительные привязные аэростаты. Тогда немецкая авиация изменила свою тактику и пыталась атаковать французскую столицу с воздуха при помощи дирижаблей. Но это не принесло им успеха (11238).</w:t>
      </w:r>
    </w:p>
    <w:p w14:paraId="2072B7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BF7F0B" w14:textId="77777777" w:rsidR="00975009" w:rsidRPr="00FB4F67" w:rsidRDefault="0097500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ноябре 1917 г. на совещании пилотов штурмовых отря</w:t>
      </w:r>
      <w:r w:rsidRPr="00FB4F67">
        <w:rPr>
          <w:rFonts w:ascii="Times New Roman" w:hAnsi="Times New Roman" w:cs="Times New Roman"/>
          <w:color w:val="0070C0"/>
          <w:sz w:val="16"/>
          <w:szCs w:val="16"/>
        </w:rPr>
        <w:softHyphen/>
        <w:t>дов, собранном для об</w:t>
      </w:r>
      <w:r w:rsidRPr="00FB4F67">
        <w:rPr>
          <w:rFonts w:ascii="Times New Roman" w:hAnsi="Times New Roman" w:cs="Times New Roman"/>
          <w:color w:val="0070C0"/>
          <w:sz w:val="16"/>
          <w:szCs w:val="16"/>
        </w:rPr>
        <w:softHyphen/>
        <w:t>мена опытом, разгорелась жаркая дискус</w:t>
      </w:r>
      <w:r w:rsidRPr="00FB4F67">
        <w:rPr>
          <w:rFonts w:ascii="Times New Roman" w:hAnsi="Times New Roman" w:cs="Times New Roman"/>
          <w:color w:val="0070C0"/>
          <w:sz w:val="16"/>
          <w:szCs w:val="16"/>
        </w:rPr>
        <w:softHyphen/>
        <w:t>сия по поводу того, каким должен быть идеальный самолет непосредственной поддержки: легким, маневренным и не</w:t>
      </w:r>
      <w:r w:rsidRPr="00FB4F67">
        <w:rPr>
          <w:rFonts w:ascii="Times New Roman" w:hAnsi="Times New Roman" w:cs="Times New Roman"/>
          <w:color w:val="0070C0"/>
          <w:sz w:val="16"/>
          <w:szCs w:val="16"/>
        </w:rPr>
        <w:softHyphen/>
        <w:t>бронированным, или же защищенным броней, но более тяжелым и медлитель</w:t>
      </w:r>
      <w:r w:rsidRPr="00FB4F67">
        <w:rPr>
          <w:rFonts w:ascii="Times New Roman" w:hAnsi="Times New Roman" w:cs="Times New Roman"/>
          <w:color w:val="0070C0"/>
          <w:sz w:val="16"/>
          <w:szCs w:val="16"/>
        </w:rPr>
        <w:softHyphen/>
        <w:t>ным. Опыт применения самолетов «Ганно</w:t>
      </w:r>
      <w:r w:rsidRPr="00FB4F67">
        <w:rPr>
          <w:rFonts w:ascii="Times New Roman" w:hAnsi="Times New Roman" w:cs="Times New Roman"/>
          <w:color w:val="0070C0"/>
          <w:sz w:val="16"/>
          <w:szCs w:val="16"/>
        </w:rPr>
        <w:softHyphen/>
        <w:t>вер» и «Хальберштадт» показал их пригод</w:t>
      </w:r>
      <w:r w:rsidRPr="00FB4F67">
        <w:rPr>
          <w:rFonts w:ascii="Times New Roman" w:hAnsi="Times New Roman" w:cs="Times New Roman"/>
          <w:color w:val="0070C0"/>
          <w:sz w:val="16"/>
          <w:szCs w:val="16"/>
        </w:rPr>
        <w:softHyphen/>
        <w:t>ность для поддержки пехоты в наступле</w:t>
      </w:r>
      <w:r w:rsidRPr="00FB4F67">
        <w:rPr>
          <w:rFonts w:ascii="Times New Roman" w:hAnsi="Times New Roman" w:cs="Times New Roman"/>
          <w:color w:val="0070C0"/>
          <w:sz w:val="16"/>
          <w:szCs w:val="16"/>
        </w:rPr>
        <w:softHyphen/>
        <w:t>нии, при прорыве вражеской обороны на решающих участках. Но вот при оборони</w:t>
      </w:r>
      <w:r w:rsidRPr="00FB4F67">
        <w:rPr>
          <w:rFonts w:ascii="Times New Roman" w:hAnsi="Times New Roman" w:cs="Times New Roman"/>
          <w:color w:val="0070C0"/>
          <w:sz w:val="16"/>
          <w:szCs w:val="16"/>
        </w:rPr>
        <w:softHyphen/>
        <w:t>тельных действиях они были слишком уяз</w:t>
      </w:r>
      <w:r w:rsidRPr="00FB4F67">
        <w:rPr>
          <w:rFonts w:ascii="Times New Roman" w:hAnsi="Times New Roman" w:cs="Times New Roman"/>
          <w:color w:val="0070C0"/>
          <w:sz w:val="16"/>
          <w:szCs w:val="16"/>
        </w:rPr>
        <w:softHyphen/>
        <w:t>вимыми. Для того чтобы самолет мог до</w:t>
      </w:r>
      <w:r w:rsidRPr="00FB4F67">
        <w:rPr>
          <w:rFonts w:ascii="Times New Roman" w:hAnsi="Times New Roman" w:cs="Times New Roman"/>
          <w:color w:val="0070C0"/>
          <w:sz w:val="16"/>
          <w:szCs w:val="16"/>
        </w:rPr>
        <w:softHyphen/>
        <w:t>статочно долго «висеть» на переднем крае, его требовалось защитить хотя бы от винтовочных пуль. Так были выработаны требования к специализированному «пе</w:t>
      </w:r>
      <w:r w:rsidRPr="00FB4F67">
        <w:rPr>
          <w:rFonts w:ascii="Times New Roman" w:hAnsi="Times New Roman" w:cs="Times New Roman"/>
          <w:color w:val="0070C0"/>
          <w:sz w:val="16"/>
          <w:szCs w:val="16"/>
        </w:rPr>
        <w:softHyphen/>
        <w:t>хотному самолету» (Infanterieflugzeuge) - бронированной машине со стрелковым и бомбовым вооружением. Первый подоб</w:t>
      </w:r>
      <w:r w:rsidRPr="00FB4F67">
        <w:rPr>
          <w:rFonts w:ascii="Times New Roman" w:hAnsi="Times New Roman" w:cs="Times New Roman"/>
          <w:color w:val="0070C0"/>
          <w:sz w:val="16"/>
          <w:szCs w:val="16"/>
        </w:rPr>
        <w:softHyphen/>
        <w:t>ный самолет создали буквально «на ко</w:t>
      </w:r>
      <w:r w:rsidRPr="00FB4F67">
        <w:rPr>
          <w:rFonts w:ascii="Times New Roman" w:hAnsi="Times New Roman" w:cs="Times New Roman"/>
          <w:color w:val="0070C0"/>
          <w:sz w:val="16"/>
          <w:szCs w:val="16"/>
        </w:rPr>
        <w:softHyphen/>
        <w:t>ленке» - путем переоборудования легкого бомбардировщика AEG С.IV. На него уста</w:t>
      </w:r>
      <w:r w:rsidRPr="00FB4F67">
        <w:rPr>
          <w:rFonts w:ascii="Times New Roman" w:hAnsi="Times New Roman" w:cs="Times New Roman"/>
          <w:color w:val="0070C0"/>
          <w:sz w:val="16"/>
          <w:szCs w:val="16"/>
        </w:rPr>
        <w:softHyphen/>
        <w:t>новили более мощный двигатель, а двига</w:t>
      </w:r>
      <w:r w:rsidRPr="00FB4F67">
        <w:rPr>
          <w:rFonts w:ascii="Times New Roman" w:hAnsi="Times New Roman" w:cs="Times New Roman"/>
          <w:color w:val="0070C0"/>
          <w:sz w:val="16"/>
          <w:szCs w:val="16"/>
        </w:rPr>
        <w:softHyphen/>
        <w:t>тель, топливный бак и кабину экипажа снизу и с боков обшили броней. Вооруже</w:t>
      </w:r>
      <w:r w:rsidRPr="00FB4F67">
        <w:rPr>
          <w:rFonts w:ascii="Times New Roman" w:hAnsi="Times New Roman" w:cs="Times New Roman"/>
          <w:color w:val="0070C0"/>
          <w:sz w:val="16"/>
          <w:szCs w:val="16"/>
        </w:rPr>
        <w:softHyphen/>
        <w:t>ние состояло из двух пулеметов в полу кабины, стреляющих вперед-вниз, и обо</w:t>
      </w:r>
      <w:r w:rsidRPr="00FB4F67">
        <w:rPr>
          <w:rFonts w:ascii="Times New Roman" w:hAnsi="Times New Roman" w:cs="Times New Roman"/>
          <w:color w:val="0070C0"/>
          <w:sz w:val="16"/>
          <w:szCs w:val="16"/>
        </w:rPr>
        <w:softHyphen/>
        <w:t>ронительного турельного пулемета. Бом</w:t>
      </w:r>
      <w:r w:rsidRPr="00FB4F67">
        <w:rPr>
          <w:rFonts w:ascii="Times New Roman" w:hAnsi="Times New Roman" w:cs="Times New Roman"/>
          <w:color w:val="0070C0"/>
          <w:sz w:val="16"/>
          <w:szCs w:val="16"/>
        </w:rPr>
        <w:softHyphen/>
        <w:t>бовая нагрузка, состоящая из 1-кг оско</w:t>
      </w:r>
      <w:r w:rsidRPr="00FB4F67">
        <w:rPr>
          <w:rFonts w:ascii="Times New Roman" w:hAnsi="Times New Roman" w:cs="Times New Roman"/>
          <w:color w:val="0070C0"/>
          <w:sz w:val="16"/>
          <w:szCs w:val="16"/>
        </w:rPr>
        <w:softHyphen/>
        <w:t>лочных бомб «Флигермаус» (Fliegermaus - «Летучая мышь») общей массой не превышала 30-50 кг, да и то бралась лишь в пе</w:t>
      </w:r>
      <w:r w:rsidRPr="00FB4F67">
        <w:rPr>
          <w:rFonts w:ascii="Times New Roman" w:hAnsi="Times New Roman" w:cs="Times New Roman"/>
          <w:color w:val="0070C0"/>
          <w:sz w:val="16"/>
          <w:szCs w:val="16"/>
        </w:rPr>
        <w:softHyphen/>
        <w:t>регруз - ведь масса брони, установлен</w:t>
      </w:r>
      <w:r w:rsidRPr="00FB4F67">
        <w:rPr>
          <w:rFonts w:ascii="Times New Roman" w:hAnsi="Times New Roman" w:cs="Times New Roman"/>
          <w:color w:val="0070C0"/>
          <w:sz w:val="16"/>
          <w:szCs w:val="16"/>
        </w:rPr>
        <w:softHyphen/>
        <w:t>ной на самолете, достигала 390 кг! Само</w:t>
      </w:r>
      <w:r w:rsidRPr="00FB4F67">
        <w:rPr>
          <w:rFonts w:ascii="Times New Roman" w:hAnsi="Times New Roman" w:cs="Times New Roman"/>
          <w:color w:val="0070C0"/>
          <w:sz w:val="16"/>
          <w:szCs w:val="16"/>
        </w:rPr>
        <w:softHyphen/>
        <w:t>лет, получивший обозначение AEG J.I, был запущен в серийное производство, и к концу войны построили свыше 600 таких машин (включая несколько усовершенст</w:t>
      </w:r>
      <w:r w:rsidRPr="00FB4F67">
        <w:rPr>
          <w:rFonts w:ascii="Times New Roman" w:hAnsi="Times New Roman" w:cs="Times New Roman"/>
          <w:color w:val="0070C0"/>
          <w:sz w:val="16"/>
          <w:szCs w:val="16"/>
        </w:rPr>
        <w:softHyphen/>
        <w:t>вованные AEG J.II). Аналогичные самоле</w:t>
      </w:r>
      <w:r w:rsidRPr="00FB4F67">
        <w:rPr>
          <w:rFonts w:ascii="Times New Roman" w:hAnsi="Times New Roman" w:cs="Times New Roman"/>
          <w:color w:val="0070C0"/>
          <w:sz w:val="16"/>
          <w:szCs w:val="16"/>
        </w:rPr>
        <w:softHyphen/>
        <w:t>ты на базе небронированного биплана С.XII строила фирма «Альбатрос» (до кон</w:t>
      </w:r>
      <w:r w:rsidRPr="00FB4F67">
        <w:rPr>
          <w:rFonts w:ascii="Times New Roman" w:hAnsi="Times New Roman" w:cs="Times New Roman"/>
          <w:color w:val="0070C0"/>
          <w:sz w:val="16"/>
          <w:szCs w:val="16"/>
        </w:rPr>
        <w:softHyphen/>
        <w:t>ца войны было выпущено более 200 «Аль</w:t>
      </w:r>
      <w:r w:rsidRPr="00FB4F67">
        <w:rPr>
          <w:rFonts w:ascii="Times New Roman" w:hAnsi="Times New Roman" w:cs="Times New Roman"/>
          <w:color w:val="0070C0"/>
          <w:sz w:val="16"/>
          <w:szCs w:val="16"/>
        </w:rPr>
        <w:softHyphen/>
        <w:t>батросов» J.I и около 100 J.II). Наконец, следует упомянуть самолет «Юнкере» J.I - первый в мире серийный цельнометалли</w:t>
      </w:r>
      <w:r w:rsidRPr="00FB4F67">
        <w:rPr>
          <w:rFonts w:ascii="Times New Roman" w:hAnsi="Times New Roman" w:cs="Times New Roman"/>
          <w:color w:val="0070C0"/>
          <w:sz w:val="16"/>
          <w:szCs w:val="16"/>
        </w:rPr>
        <w:softHyphen/>
        <w:t>ческий аэроплан и первый самолет, специально спроектированный в качестве «пехотного». Изготовили 227 таких машин, правда, 38 из них достроили уже после перемирия (24189).</w:t>
      </w:r>
    </w:p>
    <w:p w14:paraId="40798B88" w14:textId="77777777" w:rsidR="00975009" w:rsidRPr="00FB4F67" w:rsidRDefault="00975009" w:rsidP="0083075A">
      <w:pPr>
        <w:spacing w:after="0" w:line="240" w:lineRule="auto"/>
        <w:jc w:val="both"/>
        <w:rPr>
          <w:rFonts w:ascii="Times New Roman" w:hAnsi="Times New Roman" w:cs="Times New Roman"/>
          <w:color w:val="0070C0"/>
          <w:sz w:val="16"/>
          <w:szCs w:val="16"/>
        </w:rPr>
      </w:pPr>
    </w:p>
    <w:p w14:paraId="6BF924C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00567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6FA8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 - декабре 1917-го при Ставке Верховного главнокомандующего в Могилеве был сформирован Революционный полевой штаб (РПШ), который способствовал (оперативное руководство и формирование отрядов) успеху ряда операций революционных войск в Белоруссии и на Украине. РПШ просуществовал до марта 1918-го. Начальником Отдела агитации и разведки РПШ был В.Д.Фейерабенд (7559). &lt;Некоторое время продолжалась еще, по инерции, агентурная разведка - получались сведения от русского отделения междусоюзнического бюро в Париже и от иностранных военных миссий, особенно французской&gt; (стр.6). Разведывательные сводки от французской военной миссии в Москве поступали вплоть до конца июля 1918-го (7559).</w:t>
      </w:r>
    </w:p>
    <w:p w14:paraId="28A462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63D630" w14:textId="77777777" w:rsidR="008B7CA9" w:rsidRPr="002F2FDF" w:rsidRDefault="008B7CA9"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 ноябре 1917 — апреле 1918 года аппарат военного управления подвергся серьёзной реорганизации: часть центральных учреждений Военного министерства была упразднена, ряд других структурных подразделений передан в другие ведомства и учреждения РСФСР, при этом общая численность служащих центрального военного аппарата сокращена в 4 раза: от почти 8.000 на момент прихода большевиков к власти осталось только 2 тысячи[201]. Для сравнения: 1 апреля 1914 года — до начала Первой мировой войны в центральном военном аппарате (Военном министерстве) служило — без учёта двух его подразделений — 2748 человек, из них 681 офицеров и военных чиновников и 1073 солдат[202] (18385).</w:t>
      </w:r>
    </w:p>
    <w:p w14:paraId="221CDBC9" w14:textId="77777777" w:rsidR="008B7CA9" w:rsidRPr="002F2FDF" w:rsidRDefault="008B7CA9" w:rsidP="0083075A">
      <w:pPr>
        <w:pStyle w:val="p1"/>
        <w:spacing w:before="0" w:beforeAutospacing="0" w:after="0" w:afterAutospacing="0"/>
        <w:jc w:val="both"/>
        <w:rPr>
          <w:color w:val="000000" w:themeColor="text1"/>
          <w:sz w:val="16"/>
          <w:szCs w:val="16"/>
        </w:rPr>
      </w:pPr>
    </w:p>
    <w:p w14:paraId="48287A8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3F12B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23041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ноябре-декабре 1917 во время контрнаступ</w:t>
      </w:r>
      <w:r w:rsidRPr="002F2FDF">
        <w:rPr>
          <w:rFonts w:ascii="Times New Roman" w:hAnsi="Times New Roman" w:cs="Times New Roman"/>
          <w:color w:val="000000" w:themeColor="text1"/>
          <w:kern w:val="2"/>
          <w:sz w:val="16"/>
          <w:szCs w:val="16"/>
        </w:rPr>
        <w:softHyphen/>
        <w:t>ления 2-й немецкой армии у Камбрэ с боль</w:t>
      </w:r>
      <w:r w:rsidRPr="002F2FDF">
        <w:rPr>
          <w:rFonts w:ascii="Times New Roman" w:hAnsi="Times New Roman" w:cs="Times New Roman"/>
          <w:color w:val="000000" w:themeColor="text1"/>
          <w:kern w:val="2"/>
          <w:sz w:val="16"/>
          <w:szCs w:val="16"/>
        </w:rPr>
        <w:softHyphen/>
        <w:t>шим эффектом действовали немецкие объединенные авиагруппы. До этого первые же бои показали, что "охранительные" авиа</w:t>
      </w:r>
      <w:r w:rsidRPr="002F2FDF">
        <w:rPr>
          <w:rFonts w:ascii="Times New Roman" w:hAnsi="Times New Roman" w:cs="Times New Roman"/>
          <w:color w:val="000000" w:themeColor="text1"/>
          <w:kern w:val="2"/>
          <w:sz w:val="16"/>
          <w:szCs w:val="16"/>
        </w:rPr>
        <w:softHyphen/>
        <w:t>отряды. находящиеся в подчинении пехотных дивизий, ввиду своей мало</w:t>
      </w:r>
      <w:r w:rsidRPr="002F2FDF">
        <w:rPr>
          <w:rFonts w:ascii="Times New Roman" w:hAnsi="Times New Roman" w:cs="Times New Roman"/>
          <w:color w:val="000000" w:themeColor="text1"/>
          <w:kern w:val="2"/>
          <w:sz w:val="16"/>
          <w:szCs w:val="16"/>
        </w:rPr>
        <w:softHyphen/>
        <w:t>численности все же не могут оказы</w:t>
      </w:r>
      <w:r w:rsidRPr="002F2FDF">
        <w:rPr>
          <w:rFonts w:ascii="Times New Roman" w:hAnsi="Times New Roman" w:cs="Times New Roman"/>
          <w:color w:val="000000" w:themeColor="text1"/>
          <w:kern w:val="2"/>
          <w:sz w:val="16"/>
          <w:szCs w:val="16"/>
        </w:rPr>
        <w:softHyphen/>
        <w:t>вать серьезного влияния на исход на</w:t>
      </w:r>
      <w:r w:rsidRPr="002F2FDF">
        <w:rPr>
          <w:rFonts w:ascii="Times New Roman" w:hAnsi="Times New Roman" w:cs="Times New Roman"/>
          <w:color w:val="000000" w:themeColor="text1"/>
          <w:kern w:val="2"/>
          <w:sz w:val="16"/>
          <w:szCs w:val="16"/>
        </w:rPr>
        <w:softHyphen/>
        <w:t>земного боя на конкретном участке фронта. С лета 1917 Германская 4-я армия несла огромные потери как в личном соста</w:t>
      </w:r>
      <w:r w:rsidRPr="002F2FDF">
        <w:rPr>
          <w:rFonts w:ascii="Times New Roman" w:hAnsi="Times New Roman" w:cs="Times New Roman"/>
          <w:color w:val="000000" w:themeColor="text1"/>
          <w:kern w:val="2"/>
          <w:sz w:val="16"/>
          <w:szCs w:val="16"/>
        </w:rPr>
        <w:softHyphen/>
        <w:t>ве, так и в материальной части, и была вынуждена отступить по всему атако</w:t>
      </w:r>
      <w:r w:rsidRPr="002F2FDF">
        <w:rPr>
          <w:rFonts w:ascii="Times New Roman" w:hAnsi="Times New Roman" w:cs="Times New Roman"/>
          <w:color w:val="000000" w:themeColor="text1"/>
          <w:kern w:val="2"/>
          <w:sz w:val="16"/>
          <w:szCs w:val="16"/>
        </w:rPr>
        <w:softHyphen/>
        <w:t>ванному фронту. Немецкое командование весьма оперативно разобралось в причинах случившегося и в ходе сра</w:t>
      </w:r>
      <w:r w:rsidRPr="002F2FDF">
        <w:rPr>
          <w:rFonts w:ascii="Times New Roman" w:hAnsi="Times New Roman" w:cs="Times New Roman"/>
          <w:color w:val="000000" w:themeColor="text1"/>
          <w:kern w:val="2"/>
          <w:sz w:val="16"/>
          <w:szCs w:val="16"/>
        </w:rPr>
        <w:softHyphen/>
        <w:t>жения сумело провести реорганизацию воздушных сил поля боя, что положи</w:t>
      </w:r>
      <w:r w:rsidRPr="002F2FDF">
        <w:rPr>
          <w:rFonts w:ascii="Times New Roman" w:hAnsi="Times New Roman" w:cs="Times New Roman"/>
          <w:color w:val="000000" w:themeColor="text1"/>
          <w:kern w:val="2"/>
          <w:sz w:val="16"/>
          <w:szCs w:val="16"/>
        </w:rPr>
        <w:softHyphen/>
        <w:t>тельно сказалось на дальнейшем ходе сражения. С целью повышения эффективнос</w:t>
      </w:r>
      <w:r w:rsidRPr="002F2FDF">
        <w:rPr>
          <w:rFonts w:ascii="Times New Roman" w:hAnsi="Times New Roman" w:cs="Times New Roman"/>
          <w:color w:val="000000" w:themeColor="text1"/>
          <w:kern w:val="2"/>
          <w:sz w:val="16"/>
          <w:szCs w:val="16"/>
        </w:rPr>
        <w:softHyphen/>
        <w:t>ти подавления наземных целей на поле боя и оперативного наращивания уси</w:t>
      </w:r>
      <w:r w:rsidRPr="002F2FDF">
        <w:rPr>
          <w:rFonts w:ascii="Times New Roman" w:hAnsi="Times New Roman" w:cs="Times New Roman"/>
          <w:color w:val="000000" w:themeColor="text1"/>
          <w:kern w:val="2"/>
          <w:sz w:val="16"/>
          <w:szCs w:val="16"/>
        </w:rPr>
        <w:softHyphen/>
        <w:t>лий авиации на особо угрожаемых уча</w:t>
      </w:r>
      <w:r w:rsidRPr="002F2FDF">
        <w:rPr>
          <w:rFonts w:ascii="Times New Roman" w:hAnsi="Times New Roman" w:cs="Times New Roman"/>
          <w:color w:val="000000" w:themeColor="text1"/>
          <w:kern w:val="2"/>
          <w:sz w:val="16"/>
          <w:szCs w:val="16"/>
        </w:rPr>
        <w:softHyphen/>
        <w:t>стках фронта все отряды охранения изымались из подчинения дивизий, сво</w:t>
      </w:r>
      <w:r w:rsidRPr="002F2FDF">
        <w:rPr>
          <w:rFonts w:ascii="Times New Roman" w:hAnsi="Times New Roman" w:cs="Times New Roman"/>
          <w:color w:val="000000" w:themeColor="text1"/>
          <w:kern w:val="2"/>
          <w:sz w:val="16"/>
          <w:szCs w:val="16"/>
        </w:rPr>
        <w:softHyphen/>
        <w:t>дились в группы по 4 отряда в каждой, и передавались в подчинение коман</w:t>
      </w:r>
      <w:r w:rsidRPr="002F2FDF">
        <w:rPr>
          <w:rFonts w:ascii="Times New Roman" w:hAnsi="Times New Roman" w:cs="Times New Roman"/>
          <w:color w:val="000000" w:themeColor="text1"/>
          <w:kern w:val="2"/>
          <w:sz w:val="16"/>
          <w:szCs w:val="16"/>
        </w:rPr>
        <w:softHyphen/>
        <w:t>дованию армии. При этом, часть авиа</w:t>
      </w:r>
      <w:r w:rsidRPr="002F2FDF">
        <w:rPr>
          <w:rFonts w:ascii="Times New Roman" w:hAnsi="Times New Roman" w:cs="Times New Roman"/>
          <w:color w:val="000000" w:themeColor="text1"/>
          <w:kern w:val="2"/>
          <w:sz w:val="16"/>
          <w:szCs w:val="16"/>
        </w:rPr>
        <w:softHyphen/>
        <w:t>групп выделялась в армейский резерв с целью их передачи в решающие мо</w:t>
      </w:r>
      <w:r w:rsidRPr="002F2FDF">
        <w:rPr>
          <w:rFonts w:ascii="Times New Roman" w:hAnsi="Times New Roman" w:cs="Times New Roman"/>
          <w:color w:val="000000" w:themeColor="text1"/>
          <w:kern w:val="2"/>
          <w:sz w:val="16"/>
          <w:szCs w:val="16"/>
        </w:rPr>
        <w:softHyphen/>
        <w:t>менты сражения армейским корпусам или. в исключительных случаях, в опе</w:t>
      </w:r>
      <w:r w:rsidRPr="002F2FDF">
        <w:rPr>
          <w:rFonts w:ascii="Times New Roman" w:hAnsi="Times New Roman" w:cs="Times New Roman"/>
          <w:color w:val="000000" w:themeColor="text1"/>
          <w:kern w:val="2"/>
          <w:sz w:val="16"/>
          <w:szCs w:val="16"/>
        </w:rPr>
        <w:softHyphen/>
        <w:t>ративное подчинение отдельных диви</w:t>
      </w:r>
      <w:r w:rsidRPr="002F2FDF">
        <w:rPr>
          <w:rFonts w:ascii="Times New Roman" w:hAnsi="Times New Roman" w:cs="Times New Roman"/>
          <w:color w:val="000000" w:themeColor="text1"/>
          <w:kern w:val="2"/>
          <w:sz w:val="16"/>
          <w:szCs w:val="16"/>
        </w:rPr>
        <w:softHyphen/>
        <w:t>зий. Штурмовые атаки наземных целей на поле боя предписывалось производить только авиагруппами, не допус</w:t>
      </w:r>
      <w:r w:rsidRPr="002F2FDF">
        <w:rPr>
          <w:rFonts w:ascii="Times New Roman" w:hAnsi="Times New Roman" w:cs="Times New Roman"/>
          <w:color w:val="000000" w:themeColor="text1"/>
          <w:kern w:val="2"/>
          <w:sz w:val="16"/>
          <w:szCs w:val="16"/>
        </w:rPr>
        <w:softHyphen/>
        <w:t>кая распыления сил для действий по нескольким целям (5999).</w:t>
      </w:r>
    </w:p>
    <w:p w14:paraId="685FFEC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операцией у Камбрэ связывается зарождение тактики обще</w:t>
      </w:r>
      <w:r w:rsidRPr="002F2FDF">
        <w:rPr>
          <w:rFonts w:ascii="Times New Roman" w:hAnsi="Times New Roman" w:cs="Times New Roman"/>
          <w:color w:val="000000" w:themeColor="text1"/>
          <w:kern w:val="2"/>
          <w:sz w:val="16"/>
          <w:szCs w:val="16"/>
        </w:rPr>
        <w:softHyphen/>
        <w:t>войскового боя, основанного на взаи</w:t>
      </w:r>
      <w:r w:rsidRPr="002F2FDF">
        <w:rPr>
          <w:rFonts w:ascii="Times New Roman" w:hAnsi="Times New Roman" w:cs="Times New Roman"/>
          <w:color w:val="000000" w:themeColor="text1"/>
          <w:kern w:val="2"/>
          <w:sz w:val="16"/>
          <w:szCs w:val="16"/>
        </w:rPr>
        <w:softHyphen/>
        <w:t>модействии пехоты, артиллерии, тан</w:t>
      </w:r>
      <w:r w:rsidRPr="002F2FDF">
        <w:rPr>
          <w:rFonts w:ascii="Times New Roman" w:hAnsi="Times New Roman" w:cs="Times New Roman"/>
          <w:color w:val="000000" w:themeColor="text1"/>
          <w:kern w:val="2"/>
          <w:sz w:val="16"/>
          <w:szCs w:val="16"/>
        </w:rPr>
        <w:softHyphen/>
        <w:t>ков и авиации. Удар 3-й английской армии на уча</w:t>
      </w:r>
      <w:r w:rsidRPr="002F2FDF">
        <w:rPr>
          <w:rFonts w:ascii="Times New Roman" w:hAnsi="Times New Roman" w:cs="Times New Roman"/>
          <w:color w:val="000000" w:themeColor="text1"/>
          <w:kern w:val="2"/>
          <w:sz w:val="16"/>
          <w:szCs w:val="16"/>
        </w:rPr>
        <w:softHyphen/>
        <w:t>стке фронта около 12 км обеспечивал</w:t>
      </w:r>
      <w:r w:rsidRPr="002F2FDF">
        <w:rPr>
          <w:rFonts w:ascii="Times New Roman" w:hAnsi="Times New Roman" w:cs="Times New Roman"/>
          <w:color w:val="000000" w:themeColor="text1"/>
          <w:kern w:val="2"/>
          <w:sz w:val="16"/>
          <w:szCs w:val="16"/>
        </w:rPr>
        <w:softHyphen/>
        <w:t>ся 1009 артиллерийскими орудиями, кавалерийским корпусом, 1000 само</w:t>
      </w:r>
      <w:r w:rsidRPr="002F2FDF">
        <w:rPr>
          <w:rFonts w:ascii="Times New Roman" w:hAnsi="Times New Roman" w:cs="Times New Roman"/>
          <w:color w:val="000000" w:themeColor="text1"/>
          <w:kern w:val="2"/>
          <w:sz w:val="16"/>
          <w:szCs w:val="16"/>
        </w:rPr>
        <w:softHyphen/>
        <w:t>летами и 378 боевыми и 98 вспомога</w:t>
      </w:r>
      <w:r w:rsidRPr="002F2FDF">
        <w:rPr>
          <w:rFonts w:ascii="Times New Roman" w:hAnsi="Times New Roman" w:cs="Times New Roman"/>
          <w:color w:val="000000" w:themeColor="text1"/>
          <w:kern w:val="2"/>
          <w:sz w:val="16"/>
          <w:szCs w:val="16"/>
        </w:rPr>
        <w:softHyphen/>
        <w:t>тельными танками. Массированное использование тан</w:t>
      </w:r>
      <w:r w:rsidRPr="002F2FDF">
        <w:rPr>
          <w:rFonts w:ascii="Times New Roman" w:hAnsi="Times New Roman" w:cs="Times New Roman"/>
          <w:color w:val="000000" w:themeColor="text1"/>
          <w:kern w:val="2"/>
          <w:sz w:val="16"/>
          <w:szCs w:val="16"/>
        </w:rPr>
        <w:softHyphen/>
        <w:t>ков, взаимодействующих с авиацией и артиллерией, позволило англичанам в первый же день сражения продвинуть</w:t>
      </w:r>
      <w:r w:rsidRPr="002F2FDF">
        <w:rPr>
          <w:rFonts w:ascii="Times New Roman" w:hAnsi="Times New Roman" w:cs="Times New Roman"/>
          <w:color w:val="000000" w:themeColor="text1"/>
          <w:kern w:val="2"/>
          <w:sz w:val="16"/>
          <w:szCs w:val="16"/>
        </w:rPr>
        <w:softHyphen/>
        <w:t>ся на 10 км вглубь германской оборо</w:t>
      </w:r>
      <w:r w:rsidRPr="002F2FDF">
        <w:rPr>
          <w:rFonts w:ascii="Times New Roman" w:hAnsi="Times New Roman" w:cs="Times New Roman"/>
          <w:color w:val="000000" w:themeColor="text1"/>
          <w:kern w:val="2"/>
          <w:sz w:val="16"/>
          <w:szCs w:val="16"/>
        </w:rPr>
        <w:softHyphen/>
        <w:t>ны, взяв в плен 8000 солдат и захва</w:t>
      </w:r>
      <w:r w:rsidRPr="002F2FDF">
        <w:rPr>
          <w:rFonts w:ascii="Times New Roman" w:hAnsi="Times New Roman" w:cs="Times New Roman"/>
          <w:color w:val="000000" w:themeColor="text1"/>
          <w:kern w:val="2"/>
          <w:sz w:val="16"/>
          <w:szCs w:val="16"/>
        </w:rPr>
        <w:softHyphen/>
        <w:t>тить 100 орудий противника при своих потерях 1500 солдат и офицеров. Мно</w:t>
      </w:r>
      <w:r w:rsidRPr="002F2FDF">
        <w:rPr>
          <w:rFonts w:ascii="Times New Roman" w:hAnsi="Times New Roman" w:cs="Times New Roman"/>
          <w:color w:val="000000" w:themeColor="text1"/>
          <w:kern w:val="2"/>
          <w:sz w:val="16"/>
          <w:szCs w:val="16"/>
        </w:rPr>
        <w:softHyphen/>
        <w:t>гочисленная английская авиация, "ра</w:t>
      </w:r>
      <w:r w:rsidRPr="002F2FDF">
        <w:rPr>
          <w:rFonts w:ascii="Times New Roman" w:hAnsi="Times New Roman" w:cs="Times New Roman"/>
          <w:color w:val="000000" w:themeColor="text1"/>
          <w:kern w:val="2"/>
          <w:sz w:val="16"/>
          <w:szCs w:val="16"/>
        </w:rPr>
        <w:softHyphen/>
        <w:t>ботая" впереди боевых порядков тан</w:t>
      </w:r>
      <w:r w:rsidRPr="002F2FDF">
        <w:rPr>
          <w:rFonts w:ascii="Times New Roman" w:hAnsi="Times New Roman" w:cs="Times New Roman"/>
          <w:color w:val="000000" w:themeColor="text1"/>
          <w:kern w:val="2"/>
          <w:sz w:val="16"/>
          <w:szCs w:val="16"/>
        </w:rPr>
        <w:softHyphen/>
        <w:t>ков и "огневого вала” артиллерии, с бреющего полета наносила бомбоштурмовые удары по артиллерийским и ми</w:t>
      </w:r>
      <w:r w:rsidRPr="002F2FDF">
        <w:rPr>
          <w:rFonts w:ascii="Times New Roman" w:hAnsi="Times New Roman" w:cs="Times New Roman"/>
          <w:color w:val="000000" w:themeColor="text1"/>
          <w:kern w:val="2"/>
          <w:sz w:val="16"/>
          <w:szCs w:val="16"/>
        </w:rPr>
        <w:softHyphen/>
        <w:t>нометным позициям, пехоте и штабам неприятеля, чем обеспечивала полное расстройство войск противника до под</w:t>
      </w:r>
      <w:r w:rsidRPr="002F2FDF">
        <w:rPr>
          <w:rFonts w:ascii="Times New Roman" w:hAnsi="Times New Roman" w:cs="Times New Roman"/>
          <w:color w:val="000000" w:themeColor="text1"/>
          <w:kern w:val="2"/>
          <w:sz w:val="16"/>
          <w:szCs w:val="16"/>
        </w:rPr>
        <w:softHyphen/>
        <w:t>хода своих танкистов и пехоты и спо</w:t>
      </w:r>
      <w:r w:rsidRPr="002F2FDF">
        <w:rPr>
          <w:rFonts w:ascii="Times New Roman" w:hAnsi="Times New Roman" w:cs="Times New Roman"/>
          <w:color w:val="000000" w:themeColor="text1"/>
          <w:kern w:val="2"/>
          <w:sz w:val="16"/>
          <w:szCs w:val="16"/>
        </w:rPr>
        <w:softHyphen/>
        <w:t>собствовала успешному решению пос</w:t>
      </w:r>
      <w:r w:rsidRPr="002F2FDF">
        <w:rPr>
          <w:rFonts w:ascii="Times New Roman" w:hAnsi="Times New Roman" w:cs="Times New Roman"/>
          <w:color w:val="000000" w:themeColor="text1"/>
          <w:kern w:val="2"/>
          <w:sz w:val="16"/>
          <w:szCs w:val="16"/>
        </w:rPr>
        <w:softHyphen/>
        <w:t>ледними поставленных боевых задач. Борьба с немецкими подвижными противотанковыми заслонами (взводы автомобильных зенитных пушек и по</w:t>
      </w:r>
      <w:r w:rsidRPr="002F2FDF">
        <w:rPr>
          <w:rFonts w:ascii="Times New Roman" w:hAnsi="Times New Roman" w:cs="Times New Roman"/>
          <w:color w:val="000000" w:themeColor="text1"/>
          <w:kern w:val="2"/>
          <w:sz w:val="16"/>
          <w:szCs w:val="16"/>
        </w:rPr>
        <w:softHyphen/>
        <w:t>левых пушек, установленных на гру</w:t>
      </w:r>
      <w:r w:rsidRPr="002F2FDF">
        <w:rPr>
          <w:rFonts w:ascii="Times New Roman" w:hAnsi="Times New Roman" w:cs="Times New Roman"/>
          <w:color w:val="000000" w:themeColor="text1"/>
          <w:kern w:val="2"/>
          <w:sz w:val="16"/>
          <w:szCs w:val="16"/>
        </w:rPr>
        <w:softHyphen/>
        <w:t>зовиках), ввиду еще не отлаженного в должной мере взаимодействия танков и авиации в наступлении, наземным командованием не ставилась (5999).</w:t>
      </w:r>
    </w:p>
    <w:p w14:paraId="45BEFDA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14C654" w14:textId="77777777" w:rsidR="00406B18" w:rsidRPr="002F2FDF" w:rsidRDefault="00406B1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ноябре — декабре 1917 г. с операцией у Камбрэ во время контрнаступления 2-й немецкой армии связывается зарождение тактики общевой</w:t>
      </w:r>
      <w:r w:rsidRPr="002F2FDF">
        <w:rPr>
          <w:rFonts w:ascii="Times New Roman" w:hAnsi="Times New Roman" w:cs="Times New Roman"/>
          <w:color w:val="000000" w:themeColor="text1"/>
          <w:sz w:val="16"/>
          <w:szCs w:val="16"/>
        </w:rPr>
        <w:softHyphen/>
        <w:t>скового боя, основанного на взаимодействии пехо</w:t>
      </w:r>
      <w:r w:rsidRPr="002F2FDF">
        <w:rPr>
          <w:rFonts w:ascii="Times New Roman" w:hAnsi="Times New Roman" w:cs="Times New Roman"/>
          <w:color w:val="000000" w:themeColor="text1"/>
          <w:sz w:val="16"/>
          <w:szCs w:val="16"/>
        </w:rPr>
        <w:softHyphen/>
        <w:t>ты, артиллерии, танков и авиации.</w:t>
      </w:r>
    </w:p>
    <w:p w14:paraId="7709713C" w14:textId="77777777" w:rsidR="00406B18" w:rsidRPr="002F2FDF" w:rsidRDefault="00406B1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Удар английской 3-й армии 20 ноября на участ</w:t>
      </w:r>
      <w:r w:rsidRPr="002F2FDF">
        <w:rPr>
          <w:rFonts w:ascii="Times New Roman" w:hAnsi="Times New Roman" w:cs="Times New Roman"/>
          <w:color w:val="000000" w:themeColor="text1"/>
          <w:sz w:val="16"/>
          <w:szCs w:val="16"/>
        </w:rPr>
        <w:softHyphen/>
        <w:t>ке фронта около 12 км обеспечивался 1009 артил</w:t>
      </w:r>
      <w:r w:rsidRPr="002F2FDF">
        <w:rPr>
          <w:rFonts w:ascii="Times New Roman" w:hAnsi="Times New Roman" w:cs="Times New Roman"/>
          <w:color w:val="000000" w:themeColor="text1"/>
          <w:sz w:val="16"/>
          <w:szCs w:val="16"/>
        </w:rPr>
        <w:softHyphen/>
        <w:t>лерийскими орудиями, кавалерийским корпусом, 1000 самолетов и 378 боевыми и 98 вспомогатель</w:t>
      </w:r>
      <w:r w:rsidRPr="002F2FDF">
        <w:rPr>
          <w:rFonts w:ascii="Times New Roman" w:hAnsi="Times New Roman" w:cs="Times New Roman"/>
          <w:color w:val="000000" w:themeColor="text1"/>
          <w:sz w:val="16"/>
          <w:szCs w:val="16"/>
        </w:rPr>
        <w:softHyphen/>
        <w:t>ными танками.</w:t>
      </w:r>
    </w:p>
    <w:p w14:paraId="4049FA24" w14:textId="77777777" w:rsidR="00406B18" w:rsidRPr="002F2FDF" w:rsidRDefault="00406B1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Массированное использование танков, взаимо</w:t>
      </w:r>
      <w:r w:rsidRPr="002F2FDF">
        <w:rPr>
          <w:rFonts w:ascii="Times New Roman" w:hAnsi="Times New Roman" w:cs="Times New Roman"/>
          <w:color w:val="000000" w:themeColor="text1"/>
          <w:sz w:val="16"/>
          <w:szCs w:val="16"/>
        </w:rPr>
        <w:softHyphen/>
        <w:t>действующих с авиацией и артиллерией, позволи</w:t>
      </w:r>
      <w:r w:rsidRPr="002F2FDF">
        <w:rPr>
          <w:rFonts w:ascii="Times New Roman" w:hAnsi="Times New Roman" w:cs="Times New Roman"/>
          <w:color w:val="000000" w:themeColor="text1"/>
          <w:sz w:val="16"/>
          <w:szCs w:val="16"/>
        </w:rPr>
        <w:softHyphen/>
        <w:t>ло англичанам в первый же день сражения продви</w:t>
      </w:r>
      <w:r w:rsidRPr="002F2FDF">
        <w:rPr>
          <w:rFonts w:ascii="Times New Roman" w:hAnsi="Times New Roman" w:cs="Times New Roman"/>
          <w:color w:val="000000" w:themeColor="text1"/>
          <w:sz w:val="16"/>
          <w:szCs w:val="16"/>
        </w:rPr>
        <w:softHyphen/>
        <w:t>нуться на 10 км в глубь германской обороны. Мно</w:t>
      </w:r>
      <w:r w:rsidRPr="002F2FDF">
        <w:rPr>
          <w:rFonts w:ascii="Times New Roman" w:hAnsi="Times New Roman" w:cs="Times New Roman"/>
          <w:color w:val="000000" w:themeColor="text1"/>
          <w:sz w:val="16"/>
          <w:szCs w:val="16"/>
        </w:rPr>
        <w:softHyphen/>
        <w:t>гочисленная английская авиация, работая впереди боевых порядков танков и «огневого вала» артил</w:t>
      </w:r>
      <w:r w:rsidRPr="002F2FDF">
        <w:rPr>
          <w:rFonts w:ascii="Times New Roman" w:hAnsi="Times New Roman" w:cs="Times New Roman"/>
          <w:color w:val="000000" w:themeColor="text1"/>
          <w:sz w:val="16"/>
          <w:szCs w:val="16"/>
        </w:rPr>
        <w:softHyphen/>
        <w:t>лерии, с бреющего полета наносила бомбоштурмо- вые удары по артиллерийским и минометным по</w:t>
      </w:r>
      <w:r w:rsidRPr="002F2FDF">
        <w:rPr>
          <w:rFonts w:ascii="Times New Roman" w:hAnsi="Times New Roman" w:cs="Times New Roman"/>
          <w:color w:val="000000" w:themeColor="text1"/>
          <w:sz w:val="16"/>
          <w:szCs w:val="16"/>
        </w:rPr>
        <w:softHyphen/>
        <w:t>зициям, пехоте и штабам неприятеля, чем обеспе</w:t>
      </w:r>
      <w:r w:rsidRPr="002F2FDF">
        <w:rPr>
          <w:rFonts w:ascii="Times New Roman" w:hAnsi="Times New Roman" w:cs="Times New Roman"/>
          <w:color w:val="000000" w:themeColor="text1"/>
          <w:sz w:val="16"/>
          <w:szCs w:val="16"/>
        </w:rPr>
        <w:softHyphen/>
        <w:t>чивала полное расстройство войск противника до подхода своих танкистов и пехоты и способствова</w:t>
      </w:r>
      <w:r w:rsidRPr="002F2FDF">
        <w:rPr>
          <w:rFonts w:ascii="Times New Roman" w:hAnsi="Times New Roman" w:cs="Times New Roman"/>
          <w:color w:val="000000" w:themeColor="text1"/>
          <w:sz w:val="16"/>
          <w:szCs w:val="16"/>
        </w:rPr>
        <w:softHyphen/>
        <w:t>ла успешному решению последними поставленных боевых задач.</w:t>
      </w:r>
    </w:p>
    <w:p w14:paraId="710E0DEB" w14:textId="77777777" w:rsidR="00406B18" w:rsidRPr="002F2FDF" w:rsidRDefault="00406B1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особенностям боевых действий самолетов- штурмовиков союзных армий в этом сражении можно отнести активную борьбу с противотанко</w:t>
      </w:r>
      <w:r w:rsidRPr="002F2FDF">
        <w:rPr>
          <w:rFonts w:ascii="Times New Roman" w:hAnsi="Times New Roman" w:cs="Times New Roman"/>
          <w:color w:val="000000" w:themeColor="text1"/>
          <w:sz w:val="16"/>
          <w:szCs w:val="16"/>
        </w:rPr>
        <w:softHyphen/>
        <w:t>вой артиллерией немецких войск.</w:t>
      </w:r>
    </w:p>
    <w:p w14:paraId="4338DE37" w14:textId="77777777" w:rsidR="00406B18" w:rsidRPr="002F2FDF" w:rsidRDefault="00406B1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Во время боя 8 августа было установлено, что сразу же после прорыва главной линии обороны противника танки союзников наталкивались на сильную противотанковую оборону немцев, тог</w:t>
      </w:r>
      <w:r w:rsidRPr="002F2FDF">
        <w:rPr>
          <w:rFonts w:ascii="Times New Roman" w:hAnsi="Times New Roman" w:cs="Times New Roman"/>
          <w:color w:val="000000" w:themeColor="text1"/>
          <w:sz w:val="16"/>
          <w:szCs w:val="16"/>
        </w:rPr>
        <w:softHyphen/>
        <w:t xml:space="preserve">да как артиллерия уже не могла поддерживать танки огнем. В результате танки несли большие потери. Из 415 танков типа </w:t>
      </w:r>
      <w:r w:rsidRPr="002F2FDF">
        <w:rPr>
          <w:rFonts w:ascii="Times New Roman" w:hAnsi="Times New Roman" w:cs="Times New Roman"/>
          <w:color w:val="000000" w:themeColor="text1"/>
          <w:sz w:val="16"/>
          <w:szCs w:val="16"/>
          <w:lang w:val="en-US"/>
        </w:rPr>
        <w:t>Mk</w:t>
      </w:r>
      <w:r w:rsidRPr="002F2FDF">
        <w:rPr>
          <w:rFonts w:ascii="Times New Roman" w:hAnsi="Times New Roman" w:cs="Times New Roman"/>
          <w:color w:val="000000" w:themeColor="text1"/>
          <w:sz w:val="16"/>
          <w:szCs w:val="16"/>
        </w:rPr>
        <w:t>.</w:t>
      </w:r>
      <w:r w:rsidRPr="002F2FDF">
        <w:rPr>
          <w:rFonts w:ascii="Times New Roman" w:hAnsi="Times New Roman" w:cs="Times New Roman"/>
          <w:color w:val="000000" w:themeColor="text1"/>
          <w:sz w:val="16"/>
          <w:szCs w:val="16"/>
          <w:lang w:val="en-US"/>
        </w:rPr>
        <w:t>V</w:t>
      </w:r>
      <w:r w:rsidRPr="002F2FDF">
        <w:rPr>
          <w:rFonts w:ascii="Times New Roman" w:hAnsi="Times New Roman" w:cs="Times New Roman"/>
          <w:color w:val="000000" w:themeColor="text1"/>
          <w:sz w:val="16"/>
          <w:szCs w:val="16"/>
        </w:rPr>
        <w:t xml:space="preserve">и </w:t>
      </w:r>
      <w:r w:rsidRPr="002F2FDF">
        <w:rPr>
          <w:rFonts w:ascii="Times New Roman" w:hAnsi="Times New Roman" w:cs="Times New Roman"/>
          <w:color w:val="000000" w:themeColor="text1"/>
          <w:sz w:val="16"/>
          <w:szCs w:val="16"/>
          <w:lang w:val="en-US"/>
        </w:rPr>
        <w:t>Mk</w:t>
      </w:r>
      <w:r w:rsidRPr="002F2FDF">
        <w:rPr>
          <w:rFonts w:ascii="Times New Roman" w:hAnsi="Times New Roman" w:cs="Times New Roman"/>
          <w:color w:val="000000" w:themeColor="text1"/>
          <w:sz w:val="16"/>
          <w:szCs w:val="16"/>
        </w:rPr>
        <w:t>.</w:t>
      </w:r>
      <w:r w:rsidRPr="002F2FDF">
        <w:rPr>
          <w:rFonts w:ascii="Times New Roman" w:hAnsi="Times New Roman" w:cs="Times New Roman"/>
          <w:color w:val="000000" w:themeColor="text1"/>
          <w:sz w:val="16"/>
          <w:szCs w:val="16"/>
          <w:lang w:val="en-US"/>
        </w:rPr>
        <w:t>A</w:t>
      </w:r>
      <w:r w:rsidRPr="002F2FDF">
        <w:rPr>
          <w:rFonts w:ascii="Times New Roman" w:hAnsi="Times New Roman" w:cs="Times New Roman"/>
          <w:color w:val="000000" w:themeColor="text1"/>
          <w:sz w:val="16"/>
          <w:szCs w:val="16"/>
        </w:rPr>
        <w:t>, введен</w:t>
      </w:r>
      <w:r w:rsidRPr="002F2FDF">
        <w:rPr>
          <w:rFonts w:ascii="Times New Roman" w:hAnsi="Times New Roman" w:cs="Times New Roman"/>
          <w:color w:val="000000" w:themeColor="text1"/>
          <w:sz w:val="16"/>
          <w:szCs w:val="16"/>
        </w:rPr>
        <w:softHyphen/>
        <w:t>ных в сражение на направлении главного удара 4-й английской армии, за день было потеряно 100 машин (24%), причем около половины — в результате прямых попаданий артиллерийских снарядов.</w:t>
      </w:r>
    </w:p>
    <w:p w14:paraId="77B1C8E8" w14:textId="77777777" w:rsidR="00406B18" w:rsidRPr="002F2FDF" w:rsidRDefault="00406B1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После тщательного анализа обстановки коман</w:t>
      </w:r>
      <w:r w:rsidRPr="002F2FDF">
        <w:rPr>
          <w:rFonts w:ascii="Times New Roman" w:hAnsi="Times New Roman" w:cs="Times New Roman"/>
          <w:color w:val="000000" w:themeColor="text1"/>
          <w:sz w:val="16"/>
          <w:szCs w:val="16"/>
        </w:rPr>
        <w:softHyphen/>
        <w:t>дование воздушных сил союзников выделило по одной эскадрилье истребителей и дневных легких бомбардировщиков для авиационного сопрово</w:t>
      </w:r>
      <w:r w:rsidRPr="002F2FDF">
        <w:rPr>
          <w:rFonts w:ascii="Times New Roman" w:hAnsi="Times New Roman" w:cs="Times New Roman"/>
          <w:color w:val="000000" w:themeColor="text1"/>
          <w:sz w:val="16"/>
          <w:szCs w:val="16"/>
        </w:rPr>
        <w:softHyphen/>
        <w:t>ждения танковых батальонов.</w:t>
      </w:r>
    </w:p>
    <w:p w14:paraId="7A755FD1" w14:textId="77777777" w:rsidR="00406B18" w:rsidRPr="002F2FDF" w:rsidRDefault="00406B1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Авиагруппа танкового сопровождения должна была вести воздушную разведку впереди наступав</w:t>
      </w:r>
      <w:r w:rsidRPr="002F2FDF">
        <w:rPr>
          <w:rFonts w:ascii="Times New Roman" w:hAnsi="Times New Roman" w:cs="Times New Roman"/>
          <w:color w:val="000000" w:themeColor="text1"/>
          <w:sz w:val="16"/>
          <w:szCs w:val="16"/>
        </w:rPr>
        <w:softHyphen/>
        <w:t>ших танков и при обнаружении артиллерии про</w:t>
      </w:r>
      <w:r w:rsidRPr="002F2FDF">
        <w:rPr>
          <w:rFonts w:ascii="Times New Roman" w:hAnsi="Times New Roman" w:cs="Times New Roman"/>
          <w:color w:val="000000" w:themeColor="text1"/>
          <w:sz w:val="16"/>
          <w:szCs w:val="16"/>
        </w:rPr>
        <w:softHyphen/>
        <w:t>тивника пулеметным огнем и бомбами уничтожать прислугу и сами орудия, обеспечивая тем самым беспрепятственное продвижение своих танков. Кроме того, с целью маскирования развертывания в боевые порядки и выхода танков к первой линии окопов экипажи авиагруппы ставили дымовые за</w:t>
      </w:r>
      <w:r w:rsidRPr="002F2FDF">
        <w:rPr>
          <w:rFonts w:ascii="Times New Roman" w:hAnsi="Times New Roman" w:cs="Times New Roman"/>
          <w:color w:val="000000" w:themeColor="text1"/>
          <w:sz w:val="16"/>
          <w:szCs w:val="16"/>
        </w:rPr>
        <w:softHyphen/>
        <w:t>весы, сбрасывая фосфорные бомбы перед опорны</w:t>
      </w:r>
      <w:r w:rsidRPr="002F2FDF">
        <w:rPr>
          <w:rFonts w:ascii="Times New Roman" w:hAnsi="Times New Roman" w:cs="Times New Roman"/>
          <w:color w:val="000000" w:themeColor="text1"/>
          <w:sz w:val="16"/>
          <w:szCs w:val="16"/>
        </w:rPr>
        <w:softHyphen/>
        <w:t>ми пунктами противника. Каждому летчику выдава</w:t>
      </w:r>
      <w:r w:rsidRPr="002F2FDF">
        <w:rPr>
          <w:rFonts w:ascii="Times New Roman" w:hAnsi="Times New Roman" w:cs="Times New Roman"/>
          <w:color w:val="000000" w:themeColor="text1"/>
          <w:sz w:val="16"/>
          <w:szCs w:val="16"/>
        </w:rPr>
        <w:softHyphen/>
        <w:t>лась карта, на которой были отмечены вероятные районы сосредоточения противотанковых огневых средств.</w:t>
      </w:r>
    </w:p>
    <w:p w14:paraId="03E9D8BB" w14:textId="77777777" w:rsidR="00406B18" w:rsidRPr="002F2FDF" w:rsidRDefault="00406B1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Стало ясно, что дневные бомбардировщики при своих больших потерях оказались совершенно не</w:t>
      </w:r>
      <w:r w:rsidRPr="002F2FDF">
        <w:rPr>
          <w:rFonts w:ascii="Times New Roman" w:hAnsi="Times New Roman" w:cs="Times New Roman"/>
          <w:color w:val="000000" w:themeColor="text1"/>
          <w:sz w:val="16"/>
          <w:szCs w:val="16"/>
        </w:rPr>
        <w:softHyphen/>
        <w:t>пригодными для решения задачи подавления про</w:t>
      </w:r>
      <w:r w:rsidRPr="002F2FDF">
        <w:rPr>
          <w:rFonts w:ascii="Times New Roman" w:hAnsi="Times New Roman" w:cs="Times New Roman"/>
          <w:color w:val="000000" w:themeColor="text1"/>
          <w:sz w:val="16"/>
          <w:szCs w:val="16"/>
        </w:rPr>
        <w:softHyphen/>
        <w:t>тивотанковой обороны неприятеля.</w:t>
      </w:r>
    </w:p>
    <w:p w14:paraId="3D2C1E87" w14:textId="77777777" w:rsidR="00406B18" w:rsidRPr="002F2FDF" w:rsidRDefault="00406B1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Эти бои в очередной раз продемонстрировали, что для эффективной борьбы с сильно защищенны</w:t>
      </w:r>
      <w:r w:rsidRPr="002F2FDF">
        <w:rPr>
          <w:rFonts w:ascii="Times New Roman" w:hAnsi="Times New Roman" w:cs="Times New Roman"/>
          <w:color w:val="000000" w:themeColor="text1"/>
          <w:sz w:val="16"/>
          <w:szCs w:val="16"/>
        </w:rPr>
        <w:softHyphen/>
        <w:t>ми целями на поле боя требовался специальный самолет-штурмовик с хорошей защитой жизненно важных частей самолета и мощным вооружением.</w:t>
      </w:r>
    </w:p>
    <w:p w14:paraId="609BFB68" w14:textId="77777777" w:rsidR="00406B18" w:rsidRPr="002F2FDF" w:rsidRDefault="00406B1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Применение союзниками танков на поле боя заставило немцев впервые в мире разработать требования к специальному противотанковому са</w:t>
      </w:r>
      <w:r w:rsidRPr="002F2FDF">
        <w:rPr>
          <w:rFonts w:ascii="Times New Roman" w:hAnsi="Times New Roman" w:cs="Times New Roman"/>
          <w:color w:val="000000" w:themeColor="text1"/>
          <w:sz w:val="16"/>
          <w:szCs w:val="16"/>
        </w:rPr>
        <w:softHyphen/>
        <w:t>молету. Поскольку пулеметы нормального калибра не обеспечивали гарантированного поражения танков, а бомбометание не обладало высокой точ</w:t>
      </w:r>
      <w:r w:rsidRPr="002F2FDF">
        <w:rPr>
          <w:rFonts w:ascii="Times New Roman" w:hAnsi="Times New Roman" w:cs="Times New Roman"/>
          <w:color w:val="000000" w:themeColor="text1"/>
          <w:sz w:val="16"/>
          <w:szCs w:val="16"/>
        </w:rPr>
        <w:softHyphen/>
        <w:t>ностью, то основным оружием противотанкового самолета должна была стать 20-мм авиационная пушка «Беккер». Эта пушка была сконструирова</w:t>
      </w:r>
      <w:r w:rsidRPr="002F2FDF">
        <w:rPr>
          <w:rFonts w:ascii="Times New Roman" w:hAnsi="Times New Roman" w:cs="Times New Roman"/>
          <w:color w:val="000000" w:themeColor="text1"/>
          <w:sz w:val="16"/>
          <w:szCs w:val="16"/>
        </w:rPr>
        <w:softHyphen/>
        <w:t>на в 1917 г. и к концу войны была уже в большом количестве на вооружении германской армии. Пушка выпускалась в турельном варианте. Обслу</w:t>
      </w:r>
      <w:r w:rsidRPr="002F2FDF">
        <w:rPr>
          <w:rFonts w:ascii="Times New Roman" w:hAnsi="Times New Roman" w:cs="Times New Roman"/>
          <w:color w:val="000000" w:themeColor="text1"/>
          <w:sz w:val="16"/>
          <w:szCs w:val="16"/>
        </w:rPr>
        <w:softHyphen/>
        <w:t>живать ее мог один человек. Пушка наводилась за две рукоятки на затыльнике, поэтому ее маневрен</w:t>
      </w:r>
      <w:r w:rsidRPr="002F2FDF">
        <w:rPr>
          <w:rFonts w:ascii="Times New Roman" w:hAnsi="Times New Roman" w:cs="Times New Roman"/>
          <w:color w:val="000000" w:themeColor="text1"/>
          <w:sz w:val="16"/>
          <w:szCs w:val="16"/>
        </w:rPr>
        <w:softHyphen/>
        <w:t>ность была достаточно высокой. Считалось, что при стрельбе с горизонтального полета за счет подвиж</w:t>
      </w:r>
      <w:r w:rsidRPr="002F2FDF">
        <w:rPr>
          <w:rFonts w:ascii="Times New Roman" w:hAnsi="Times New Roman" w:cs="Times New Roman"/>
          <w:color w:val="000000" w:themeColor="text1"/>
          <w:sz w:val="16"/>
          <w:szCs w:val="16"/>
        </w:rPr>
        <w:softHyphen/>
        <w:t>ности пушки летнаб сможет с высокой эффективно</w:t>
      </w:r>
      <w:r w:rsidRPr="002F2FDF">
        <w:rPr>
          <w:rFonts w:ascii="Times New Roman" w:hAnsi="Times New Roman" w:cs="Times New Roman"/>
          <w:color w:val="000000" w:themeColor="text1"/>
          <w:sz w:val="16"/>
          <w:szCs w:val="16"/>
        </w:rPr>
        <w:softHyphen/>
        <w:t>стью поражать наземные цели, в том числе и танки.</w:t>
      </w:r>
    </w:p>
    <w:p w14:paraId="5B08A0DE" w14:textId="77777777" w:rsidR="00406B18" w:rsidRPr="002F2FDF" w:rsidRDefault="00406B1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автоматике пушки Беккер использовался принцип свободного затвора при неподвижном стволе. Начальная скорость снаряда была невысо</w:t>
      </w:r>
      <w:r w:rsidRPr="002F2FDF">
        <w:rPr>
          <w:rFonts w:ascii="Times New Roman" w:hAnsi="Times New Roman" w:cs="Times New Roman"/>
          <w:color w:val="000000" w:themeColor="text1"/>
          <w:sz w:val="16"/>
          <w:szCs w:val="16"/>
        </w:rPr>
        <w:softHyphen/>
        <w:t>кой — около 500 м/с. Стрельба велась автоматиче</w:t>
      </w:r>
      <w:r w:rsidRPr="002F2FDF">
        <w:rPr>
          <w:rFonts w:ascii="Times New Roman" w:hAnsi="Times New Roman" w:cs="Times New Roman"/>
          <w:color w:val="000000" w:themeColor="text1"/>
          <w:sz w:val="16"/>
          <w:szCs w:val="16"/>
        </w:rPr>
        <w:softHyphen/>
        <w:t>ски с темпом около 200 выстр./мин. Снаряд весил 130 г, а сама пушка — 30 кг. Питание — от магазина емкостью 10 патронов.</w:t>
      </w:r>
    </w:p>
    <w:p w14:paraId="7510478D" w14:textId="77777777" w:rsidR="00406B18" w:rsidRPr="002F2FDF" w:rsidRDefault="00406B1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соответствии с тактико-техническими тре</w:t>
      </w:r>
      <w:r w:rsidRPr="002F2FDF">
        <w:rPr>
          <w:rFonts w:ascii="Times New Roman" w:hAnsi="Times New Roman" w:cs="Times New Roman"/>
          <w:color w:val="000000" w:themeColor="text1"/>
          <w:sz w:val="16"/>
          <w:szCs w:val="16"/>
        </w:rPr>
        <w:softHyphen/>
        <w:t>бованиями фирма «Аэроверк Густав Отто» (</w:t>
      </w:r>
      <w:r w:rsidRPr="002F2FDF">
        <w:rPr>
          <w:rFonts w:ascii="Times New Roman" w:hAnsi="Times New Roman" w:cs="Times New Roman"/>
          <w:color w:val="000000" w:themeColor="text1"/>
          <w:sz w:val="16"/>
          <w:szCs w:val="16"/>
          <w:lang w:val="en-US"/>
        </w:rPr>
        <w:t>AGO</w:t>
      </w:r>
      <w:r w:rsidRPr="002F2FDF">
        <w:rPr>
          <w:rFonts w:ascii="Times New Roman" w:hAnsi="Times New Roman" w:cs="Times New Roman"/>
          <w:color w:val="000000" w:themeColor="text1"/>
          <w:sz w:val="16"/>
          <w:szCs w:val="16"/>
        </w:rPr>
        <w:t xml:space="preserve">) в самом конце войны построила бронированный противотанковый самолет </w:t>
      </w:r>
      <w:r w:rsidRPr="002F2FDF">
        <w:rPr>
          <w:rFonts w:ascii="Times New Roman" w:hAnsi="Times New Roman" w:cs="Times New Roman"/>
          <w:color w:val="000000" w:themeColor="text1"/>
          <w:sz w:val="16"/>
          <w:szCs w:val="16"/>
          <w:lang w:val="en-US"/>
        </w:rPr>
        <w:t>AGOS</w:t>
      </w:r>
      <w:r w:rsidRPr="002F2FDF">
        <w:rPr>
          <w:rFonts w:ascii="Times New Roman" w:hAnsi="Times New Roman" w:cs="Times New Roman"/>
          <w:color w:val="000000" w:themeColor="text1"/>
          <w:sz w:val="16"/>
          <w:szCs w:val="16"/>
        </w:rPr>
        <w:t>. I. Броневыми ли</w:t>
      </w:r>
      <w:r w:rsidRPr="002F2FDF">
        <w:rPr>
          <w:rFonts w:ascii="Times New Roman" w:hAnsi="Times New Roman" w:cs="Times New Roman"/>
          <w:color w:val="000000" w:themeColor="text1"/>
          <w:sz w:val="16"/>
          <w:szCs w:val="16"/>
        </w:rPr>
        <w:softHyphen/>
        <w:t>стами толщиной 5,1 мм защищались мотор, бензо</w:t>
      </w:r>
      <w:r w:rsidRPr="002F2FDF">
        <w:rPr>
          <w:rFonts w:ascii="Times New Roman" w:hAnsi="Times New Roman" w:cs="Times New Roman"/>
          <w:color w:val="000000" w:themeColor="text1"/>
          <w:sz w:val="16"/>
          <w:szCs w:val="16"/>
        </w:rPr>
        <w:softHyphen/>
        <w:t>бак, маслобак, рабочие места летчика и летнаба. Вооружение самолета включало одну пушку Беккер и два пулемета Парабеллум. Бомбовое вооружение не предусматривалось. Пушку разместили вну</w:t>
      </w:r>
      <w:r w:rsidRPr="002F2FDF">
        <w:rPr>
          <w:rFonts w:ascii="Times New Roman" w:hAnsi="Times New Roman" w:cs="Times New Roman"/>
          <w:color w:val="000000" w:themeColor="text1"/>
          <w:sz w:val="16"/>
          <w:szCs w:val="16"/>
        </w:rPr>
        <w:softHyphen/>
        <w:t>три бронированного фюзеляжа в кабине летнаба на подвижной установке стволом вниз. Установка имела довольно большие углы наведения, что по замыслу должно было обеспечить летнабу ведение прицельной стрельбы по танкам противника. Из-за необычного размещения пушки шасси выполнили раздельным.</w:t>
      </w:r>
    </w:p>
    <w:p w14:paraId="0C95E370" w14:textId="77777777" w:rsidR="00406B18" w:rsidRPr="002F2FDF" w:rsidRDefault="00406B1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Всего построили два опытных самолета. Испы</w:t>
      </w:r>
      <w:r w:rsidRPr="002F2FDF">
        <w:rPr>
          <w:rFonts w:ascii="Times New Roman" w:hAnsi="Times New Roman" w:cs="Times New Roman"/>
          <w:color w:val="000000" w:themeColor="text1"/>
          <w:sz w:val="16"/>
          <w:szCs w:val="16"/>
        </w:rPr>
        <w:softHyphen/>
        <w:t>тания начались уже после окончания войны и по этой причине не были завершены.</w:t>
      </w:r>
    </w:p>
    <w:p w14:paraId="6D42F2DC" w14:textId="77777777" w:rsidR="00406B18" w:rsidRPr="002F2FDF" w:rsidRDefault="00406B1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Пушку Беккер устанавливали и на штурмовых самолетах </w:t>
      </w:r>
      <w:r w:rsidRPr="002F2FDF">
        <w:rPr>
          <w:rFonts w:ascii="Times New Roman" w:hAnsi="Times New Roman" w:cs="Times New Roman"/>
          <w:color w:val="000000" w:themeColor="text1"/>
          <w:sz w:val="16"/>
          <w:szCs w:val="16"/>
          <w:lang w:val="en-US"/>
        </w:rPr>
        <w:t>AEGJ</w:t>
      </w:r>
      <w:r w:rsidRPr="002F2FDF">
        <w:rPr>
          <w:rFonts w:ascii="Times New Roman" w:hAnsi="Times New Roman" w:cs="Times New Roman"/>
          <w:color w:val="000000" w:themeColor="text1"/>
          <w:sz w:val="16"/>
          <w:szCs w:val="16"/>
        </w:rPr>
        <w:t xml:space="preserve">.2 и Альбатрос </w:t>
      </w:r>
      <w:r w:rsidRPr="002F2FDF">
        <w:rPr>
          <w:rFonts w:ascii="Times New Roman" w:hAnsi="Times New Roman" w:cs="Times New Roman"/>
          <w:color w:val="000000" w:themeColor="text1"/>
          <w:sz w:val="16"/>
          <w:szCs w:val="16"/>
          <w:lang w:val="en-US"/>
        </w:rPr>
        <w:t>J</w:t>
      </w:r>
      <w:r w:rsidRPr="002F2FDF">
        <w:rPr>
          <w:rFonts w:ascii="Times New Roman" w:hAnsi="Times New Roman" w:cs="Times New Roman"/>
          <w:color w:val="000000" w:themeColor="text1"/>
          <w:sz w:val="16"/>
          <w:szCs w:val="16"/>
        </w:rPr>
        <w:t>.</w:t>
      </w:r>
      <w:r w:rsidRPr="002F2FDF">
        <w:rPr>
          <w:rFonts w:ascii="Times New Roman" w:hAnsi="Times New Roman" w:cs="Times New Roman"/>
          <w:color w:val="000000" w:themeColor="text1"/>
          <w:sz w:val="16"/>
          <w:szCs w:val="16"/>
          <w:lang w:val="en-US"/>
        </w:rPr>
        <w:t>I</w:t>
      </w:r>
      <w:r w:rsidRPr="002F2FDF">
        <w:rPr>
          <w:rFonts w:ascii="Times New Roman" w:hAnsi="Times New Roman" w:cs="Times New Roman"/>
          <w:color w:val="000000" w:themeColor="text1"/>
          <w:sz w:val="16"/>
          <w:szCs w:val="16"/>
        </w:rPr>
        <w:t>для обстрела на</w:t>
      </w:r>
      <w:r w:rsidRPr="002F2FDF">
        <w:rPr>
          <w:rFonts w:ascii="Times New Roman" w:hAnsi="Times New Roman" w:cs="Times New Roman"/>
          <w:color w:val="000000" w:themeColor="text1"/>
          <w:sz w:val="16"/>
          <w:szCs w:val="16"/>
        </w:rPr>
        <w:softHyphen/>
        <w:t>земных целей. Пушка размещалась на левом бор</w:t>
      </w:r>
      <w:r w:rsidRPr="002F2FDF">
        <w:rPr>
          <w:rFonts w:ascii="Times New Roman" w:hAnsi="Times New Roman" w:cs="Times New Roman"/>
          <w:color w:val="000000" w:themeColor="text1"/>
          <w:sz w:val="16"/>
          <w:szCs w:val="16"/>
        </w:rPr>
        <w:softHyphen/>
        <w:t>ту кабины стрелка-наблюдателя на специальном шкворне. Несмотря на выявленные в ходе испыта</w:t>
      </w:r>
      <w:r w:rsidRPr="002F2FDF">
        <w:rPr>
          <w:rFonts w:ascii="Times New Roman" w:hAnsi="Times New Roman" w:cs="Times New Roman"/>
          <w:color w:val="000000" w:themeColor="text1"/>
          <w:sz w:val="16"/>
          <w:szCs w:val="16"/>
        </w:rPr>
        <w:softHyphen/>
        <w:t>ний недостатки подвижной установки — незначи</w:t>
      </w:r>
      <w:r w:rsidRPr="002F2FDF">
        <w:rPr>
          <w:rFonts w:ascii="Times New Roman" w:hAnsi="Times New Roman" w:cs="Times New Roman"/>
          <w:color w:val="000000" w:themeColor="text1"/>
          <w:sz w:val="16"/>
          <w:szCs w:val="16"/>
        </w:rPr>
        <w:softHyphen/>
        <w:t>тельный сектор обстрела и трудная смена магази</w:t>
      </w:r>
      <w:r w:rsidRPr="002F2FDF">
        <w:rPr>
          <w:rFonts w:ascii="Times New Roman" w:hAnsi="Times New Roman" w:cs="Times New Roman"/>
          <w:color w:val="000000" w:themeColor="text1"/>
          <w:sz w:val="16"/>
          <w:szCs w:val="16"/>
        </w:rPr>
        <w:softHyphen/>
        <w:t xml:space="preserve">на, пушечные Альбатросы и </w:t>
      </w:r>
      <w:r w:rsidRPr="002F2FDF">
        <w:rPr>
          <w:rFonts w:ascii="Times New Roman" w:hAnsi="Times New Roman" w:cs="Times New Roman"/>
          <w:color w:val="000000" w:themeColor="text1"/>
          <w:sz w:val="16"/>
          <w:szCs w:val="16"/>
          <w:lang w:val="en-US"/>
        </w:rPr>
        <w:t>AEG</w:t>
      </w:r>
      <w:r w:rsidRPr="002F2FDF">
        <w:rPr>
          <w:rFonts w:ascii="Times New Roman" w:hAnsi="Times New Roman" w:cs="Times New Roman"/>
          <w:color w:val="000000" w:themeColor="text1"/>
          <w:sz w:val="16"/>
          <w:szCs w:val="16"/>
        </w:rPr>
        <w:t>в небольшом ко</w:t>
      </w:r>
      <w:r w:rsidRPr="002F2FDF">
        <w:rPr>
          <w:rFonts w:ascii="Times New Roman" w:hAnsi="Times New Roman" w:cs="Times New Roman"/>
          <w:color w:val="000000" w:themeColor="text1"/>
          <w:sz w:val="16"/>
          <w:szCs w:val="16"/>
        </w:rPr>
        <w:softHyphen/>
        <w:t>личестве (всего 20 экземпляров) успели к сентябрю 1918 г. поступить на фронт и принимали участие в боевых действиях (17500).</w:t>
      </w:r>
    </w:p>
    <w:p w14:paraId="3C6BE473" w14:textId="77777777" w:rsidR="00406B18" w:rsidRPr="002F2FDF" w:rsidRDefault="00406B18" w:rsidP="0083075A">
      <w:pPr>
        <w:spacing w:after="0" w:line="240" w:lineRule="auto"/>
        <w:jc w:val="both"/>
        <w:rPr>
          <w:rFonts w:ascii="Times New Roman" w:eastAsia="Times New Roman" w:hAnsi="Times New Roman" w:cs="Times New Roman"/>
          <w:color w:val="000000" w:themeColor="text1"/>
          <w:sz w:val="16"/>
          <w:szCs w:val="16"/>
          <w:lang w:eastAsia="ru-RU"/>
        </w:rPr>
      </w:pPr>
    </w:p>
    <w:p w14:paraId="307DE25E" w14:textId="77777777" w:rsidR="00FD10ED" w:rsidRPr="002F2FDF" w:rsidRDefault="00FD10ED"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hAnsi="Times New Roman" w:cs="Times New Roman"/>
          <w:color w:val="000000" w:themeColor="text1"/>
          <w:sz w:val="16"/>
          <w:szCs w:val="16"/>
        </w:rPr>
        <w:t>В ноябре-декабре 1917 г. отмечено массированное применение штурмовых авиаотрядов в битве у Камбрэ. Один британский офицер так описывал эффект от атаки штурмовиков под Камбрэ: «...немецкие самолеты были очень активными, они низко кружили над нашими позициями, действуя в больших группах. Из пулеметов они обстреливали наземные части, и я глубоко убежден, что самолеты сделали гораздо больше для деморализации наших бойцов, чем любой другой род оружия...» Уже в первый день боев, 30 ноября 1917 г., в боевых порядках британской 5-й армии была проделана брешь шириной в 65 км — не в последнюю очередь благодаря интенсивной авиационной поддержке (21241).</w:t>
      </w:r>
    </w:p>
    <w:p w14:paraId="686207D0" w14:textId="77777777" w:rsidR="00FD10ED" w:rsidRPr="002F2FDF" w:rsidRDefault="00FD10ED" w:rsidP="008307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A126B24" w14:textId="77777777" w:rsidR="00975009" w:rsidRPr="00FB4F67" w:rsidRDefault="0097500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ноябре-декабре 1917 г. в битве у Камбрэ началось массированное применение штурмовых авиаотрядов. Один британский офицер так описывал эффект от атаки штурмовиков под Камб</w:t>
      </w:r>
      <w:r w:rsidRPr="00FB4F67">
        <w:rPr>
          <w:rFonts w:ascii="Times New Roman" w:hAnsi="Times New Roman" w:cs="Times New Roman"/>
          <w:color w:val="0070C0"/>
          <w:sz w:val="16"/>
          <w:szCs w:val="16"/>
        </w:rPr>
        <w:softHyphen/>
        <w:t>рэ: «...немецкие самолеты были очень ак</w:t>
      </w:r>
      <w:r w:rsidRPr="00FB4F67">
        <w:rPr>
          <w:rFonts w:ascii="Times New Roman" w:hAnsi="Times New Roman" w:cs="Times New Roman"/>
          <w:color w:val="0070C0"/>
          <w:sz w:val="16"/>
          <w:szCs w:val="16"/>
        </w:rPr>
        <w:softHyphen/>
        <w:t>тивными, они низко кружили над нашими позициями, действуя в больших группах. Из пулеметов они обстреливали назем</w:t>
      </w:r>
      <w:r w:rsidRPr="00FB4F67">
        <w:rPr>
          <w:rFonts w:ascii="Times New Roman" w:hAnsi="Times New Roman" w:cs="Times New Roman"/>
          <w:color w:val="0070C0"/>
          <w:sz w:val="16"/>
          <w:szCs w:val="16"/>
        </w:rPr>
        <w:softHyphen/>
        <w:t>ные части, и я глубоко убежден, что само</w:t>
      </w:r>
      <w:r w:rsidRPr="00FB4F67">
        <w:rPr>
          <w:rFonts w:ascii="Times New Roman" w:hAnsi="Times New Roman" w:cs="Times New Roman"/>
          <w:color w:val="0070C0"/>
          <w:sz w:val="16"/>
          <w:szCs w:val="16"/>
        </w:rPr>
        <w:softHyphen/>
        <w:t>леты сделали гораздо больше для демо</w:t>
      </w:r>
      <w:r w:rsidRPr="00FB4F67">
        <w:rPr>
          <w:rFonts w:ascii="Times New Roman" w:hAnsi="Times New Roman" w:cs="Times New Roman"/>
          <w:color w:val="0070C0"/>
          <w:sz w:val="16"/>
          <w:szCs w:val="16"/>
        </w:rPr>
        <w:softHyphen/>
        <w:t>рализации наших бойцов, чем любой дру</w:t>
      </w:r>
      <w:r w:rsidRPr="00FB4F67">
        <w:rPr>
          <w:rFonts w:ascii="Times New Roman" w:hAnsi="Times New Roman" w:cs="Times New Roman"/>
          <w:color w:val="0070C0"/>
          <w:sz w:val="16"/>
          <w:szCs w:val="16"/>
        </w:rPr>
        <w:softHyphen/>
        <w:t>гой род оружия...» Уже в первый день боев, 30 ноября 1917 г., в боевых поряд</w:t>
      </w:r>
      <w:r w:rsidRPr="00FB4F67">
        <w:rPr>
          <w:rFonts w:ascii="Times New Roman" w:hAnsi="Times New Roman" w:cs="Times New Roman"/>
          <w:color w:val="0070C0"/>
          <w:sz w:val="16"/>
          <w:szCs w:val="16"/>
        </w:rPr>
        <w:softHyphen/>
        <w:t>ках британской 5-й армии была продела</w:t>
      </w:r>
      <w:r w:rsidRPr="00FB4F67">
        <w:rPr>
          <w:rFonts w:ascii="Times New Roman" w:hAnsi="Times New Roman" w:cs="Times New Roman"/>
          <w:color w:val="0070C0"/>
          <w:sz w:val="16"/>
          <w:szCs w:val="16"/>
        </w:rPr>
        <w:softHyphen/>
        <w:t>на брешь шириной в 65 км - не в послед</w:t>
      </w:r>
      <w:r w:rsidRPr="00FB4F67">
        <w:rPr>
          <w:rFonts w:ascii="Times New Roman" w:hAnsi="Times New Roman" w:cs="Times New Roman"/>
          <w:color w:val="0070C0"/>
          <w:sz w:val="16"/>
          <w:szCs w:val="16"/>
        </w:rPr>
        <w:softHyphen/>
        <w:t>нюю очередь благодаря интенсивной авиационной поддержке (24189).</w:t>
      </w:r>
    </w:p>
    <w:p w14:paraId="3FA5112E" w14:textId="77777777" w:rsidR="00975009" w:rsidRPr="00FB4F67" w:rsidRDefault="00975009" w:rsidP="0083075A">
      <w:pPr>
        <w:spacing w:after="0" w:line="240" w:lineRule="auto"/>
        <w:jc w:val="both"/>
        <w:rPr>
          <w:rFonts w:ascii="Times New Roman" w:hAnsi="Times New Roman" w:cs="Times New Roman"/>
          <w:color w:val="0070C0"/>
          <w:sz w:val="16"/>
          <w:szCs w:val="16"/>
        </w:rPr>
      </w:pPr>
    </w:p>
    <w:p w14:paraId="1227D371" w14:textId="77777777" w:rsidR="003431D2" w:rsidRPr="002F2FDF" w:rsidRDefault="00CC1BE3" w:rsidP="0083075A">
      <w:pPr>
        <w:tabs>
          <w:tab w:val="left" w:pos="11199"/>
        </w:tabs>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CE74A5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1C304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Поздней осенью 1917 не были доведены до конца испытания опытного экземпляра машины Энгельса не смотря на то, что еще 27 апреля (10 мая) 1917 года завод Мельцера получил заказ на поставку 60 машин Энгелься улучшенного образца (11283).</w:t>
      </w:r>
    </w:p>
    <w:p w14:paraId="04757FAC" w14:textId="52D56BF1"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9ACD79" w14:textId="71AC9859" w:rsidR="00FD10ED" w:rsidRPr="002F2FDF" w:rsidRDefault="00FD10ED" w:rsidP="0083075A">
      <w:pPr>
        <w:shd w:val="clear" w:color="auto" w:fill="FFFFFF"/>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7B76392" w14:textId="77777777" w:rsidR="00FD10ED" w:rsidRPr="002F2FDF" w:rsidRDefault="00FD10ED" w:rsidP="0083075A">
      <w:pPr>
        <w:shd w:val="clear" w:color="auto" w:fill="FFFFFF"/>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FC6FFAA" w14:textId="77777777" w:rsidR="00FD10ED" w:rsidRPr="002F2FDF" w:rsidRDefault="00FD10E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Ко времени демобилизации русской армии (поздняя осень 1917 г.) на фронте числи</w:t>
      </w:r>
      <w:r w:rsidRPr="002F2FDF">
        <w:rPr>
          <w:rFonts w:ascii="Times New Roman" w:hAnsi="Times New Roman" w:cs="Times New Roman"/>
          <w:color w:val="000000" w:themeColor="text1"/>
          <w:sz w:val="16"/>
          <w:szCs w:val="16"/>
        </w:rPr>
        <w:softHyphen/>
        <w:t>лось четыре управления инспекторов воздухо</w:t>
      </w:r>
      <w:r w:rsidRPr="002F2FDF">
        <w:rPr>
          <w:rFonts w:ascii="Times New Roman" w:hAnsi="Times New Roman" w:cs="Times New Roman"/>
          <w:color w:val="000000" w:themeColor="text1"/>
          <w:sz w:val="16"/>
          <w:szCs w:val="16"/>
        </w:rPr>
        <w:softHyphen/>
        <w:t>плавательных частей, 14 воздухоплавательных дивизионов, 26 армейских и 59 корпусных возду</w:t>
      </w:r>
      <w:r w:rsidRPr="002F2FDF">
        <w:rPr>
          <w:rFonts w:ascii="Times New Roman" w:hAnsi="Times New Roman" w:cs="Times New Roman"/>
          <w:color w:val="000000" w:themeColor="text1"/>
          <w:sz w:val="16"/>
          <w:szCs w:val="16"/>
        </w:rPr>
        <w:softHyphen/>
        <w:t>хоплавательных отрядов, две воздухоплаватель</w:t>
      </w:r>
      <w:r w:rsidRPr="002F2FDF">
        <w:rPr>
          <w:rFonts w:ascii="Times New Roman" w:hAnsi="Times New Roman" w:cs="Times New Roman"/>
          <w:color w:val="000000" w:themeColor="text1"/>
          <w:sz w:val="16"/>
          <w:szCs w:val="16"/>
        </w:rPr>
        <w:softHyphen/>
        <w:t>ные роты (Ревельская и Свеаборгская), четыре фронтовых воздухоплавательных парка и ОВШ (20120).</w:t>
      </w:r>
    </w:p>
    <w:p w14:paraId="004ADB8D" w14:textId="77777777" w:rsidR="00FD10ED" w:rsidRPr="002F2FDF" w:rsidRDefault="00FD10ED" w:rsidP="0083075A">
      <w:pPr>
        <w:spacing w:after="0" w:line="240" w:lineRule="auto"/>
        <w:jc w:val="both"/>
        <w:rPr>
          <w:rFonts w:ascii="Times New Roman" w:hAnsi="Times New Roman" w:cs="Times New Roman"/>
          <w:color w:val="000000" w:themeColor="text1"/>
          <w:sz w:val="16"/>
          <w:szCs w:val="16"/>
        </w:rPr>
      </w:pPr>
    </w:p>
    <w:p w14:paraId="2AAF957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D05E7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A10A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декабрю 1917 года выполнили заказ Морского ведомства на броневики Гарфорд-Путиловец. Броневики в составе Броневого артиллерийского дивизиона сухопутного фронта Морской крепости Петра Великого принимали участие в боях, которые 12-я армия Северного фронта вела под Ригой.</w:t>
      </w:r>
    </w:p>
    <w:p w14:paraId="7B2E28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частности, 1-й взвод дивизиона (два "гарфорда" - "Ревелец" и "Непобедимый"), приданный 1-му Сибирскому стрелковому корпусу генерал-лейтенанта Новицкого, поддерживал 11-й и 77-й Сибирские стрелковые полки в боях у мыз Олай, Ролбум, Боренберг и Раденпрайс. Обе машины в этих боях были потеряны.</w:t>
      </w:r>
    </w:p>
    <w:p w14:paraId="34C64C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целом же к концу 1917 года боевые потери "гарфордов" составили около 15%. В период развала русско-германского фронта зимой 1918 года немцы захватили несколько машин. В 1919 году, после революции в Германии, в составе бронетанковой части Kokampf имелось три "гарфорда".</w:t>
      </w:r>
    </w:p>
    <w:p w14:paraId="3676CA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Остальные броневики разбросало по стране, они использовались практически на всех фронтах гражданской войны. На бортах боевых машин появились и новые имена, такие, как "Карл Маркс", "Пролетарий", "Троцкий" - с одной стороны, и "Россия", "Дроздовец", "Корниловец" - с другой. К сожалению, далеко не полная и не слишком достоверная информация не позволяет сказать точно, сколько машин этого типа находилось у красных и сколько у белых. Не вызывает сомнения лишь тот факт, что у красных их было гораздо больше.</w:t>
      </w:r>
    </w:p>
    <w:p w14:paraId="06370C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Оказались "гарфорды" и за границей: одна машина в 20-х годах имелась в эстонской армии, одна - в румынской.</w:t>
      </w:r>
    </w:p>
    <w:p w14:paraId="08EED5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Эстонский "Гарфорд" захватили войска Юденича в период наступления на Петроград, а румынский остался в "наследство" от воевавшего на Румынском фронте 4-го броневого дивизиона Русской армии.</w:t>
      </w:r>
    </w:p>
    <w:p w14:paraId="4D7497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время боев с Красной Армией в 1919 - 1920 годах два "гарфорда" попали в латвийские войска. Под названиями "Лачплесис" и "Курземниекс" они состояли на вооружении вплоть до 1940 года.</w:t>
      </w:r>
    </w:p>
    <w:p w14:paraId="0CE700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Значительно больше сохранилось информации о "гарфордах", оказавшихся в Польше. Первый броневик данного типа - "Баян" - поляки захватили летом 1919 года в районе Владимира-Волынского. Бронемашина,получившая название Dziadek ("Дед"), активно использовалась в боях против красных, в частности, 21 марта 1920 года в бою с полугусеничным броневиком "Остин-Кегресс" последний был подбит и достался полякам в качестве трофея. Второй "Гарфорд" захватили солдаты 56-го полка 14-й польской пехотной дивизии под Бобруйском. Этот бронеавтомобиль, имевший в Красной Армии название "Уралец", судя по фотографиям, относился к типу "морских "гарфордов" (во всяком случае его база значительно длиннее стандартной). Поляки переименовали его в General Szeptycki и ввели в состав Великопольского взвода броневых автомобилей. Наконец, последняя, третья машина, носившая в польской армии название Zagloba (в честь шляхтича Яна Заглобы, героя произведений известного польского писателя Генрика Сенкевича), была захвачена в 1920 году. Все три машины после окончания советско-польской войны несли службу в бронечастях Войска Польского и были списаны в конце 20-х годов.</w:t>
      </w:r>
    </w:p>
    <w:p w14:paraId="150FAC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Срок службы советских "гарфордов" оказался куда продолжительнее. К сожалению, сведения о наличии этих машин в Красной Армии после гражданской войны достаточно противоречивы. По состоянию на 18 декабря 1921 года из 26 машин 15 находились в строю, 11 - в ремонте. В 1923 году, когда был поднят вопрос о перестановке "гарфордов" на железнодорожный ход, что было связано со значительным износом их ходовой части, на Брянский машиностроительный завод доставили 21 "гарфорд". Обе приведенные цифры (26 и 21) прекрасно соотносятся друг с другом, но... в документах, датированных мартом 1931 года, указывается 27 "гарфордов"! Причем предписывается снять эти бронеавтомобили с вооружения и разбронировать. Годную броню и шасси использовать в РККА, а негодные передать в Военнофондобюро. По-видимому, последняя цифра наиболее точная и окончательная. Что же касается разборки и разбронировки, то, судя по всему, этот процесс затронул не все машины, поскольку они запечатлены на немецких трофейных фотографиях 1941 года (9646).</w:t>
      </w:r>
    </w:p>
    <w:p w14:paraId="154761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6DDD15" w14:textId="77777777" w:rsidR="008B7CA9" w:rsidRPr="002F2FDF" w:rsidRDefault="008B7CA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7C75B5B" w14:textId="77777777" w:rsidR="008B7CA9" w:rsidRPr="002F2FDF" w:rsidRDefault="008B7CA9"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0854C1"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К декабрю 1917 года число береговых и полевых орудий на территории Финляндии еще увеличилось, однако точное их число указать невозможно из-за бардака, царившего в русской армии. В частности, на финскую территорию доставили часть орудий Кронштадской крепости, часть орудий Владивостокской крепости, пушки купленные в Японии в 1915-1916 гг. и даже пушки с разоруженной Амурской флотилии. Но в 1918 году вся береговая артиллерия и почти вся артиллерия сухопутных войск, дислоцированных в Финляндии, а также огромное число боеприпасов оказались в руках «независимых» финнов (18525).</w:t>
      </w:r>
    </w:p>
    <w:p w14:paraId="08A8276A" w14:textId="77777777" w:rsidR="008B7CA9" w:rsidRPr="002F2FDF" w:rsidRDefault="008B7CA9" w:rsidP="0083075A">
      <w:pPr>
        <w:pStyle w:val="ae"/>
        <w:spacing w:before="0" w:after="0"/>
        <w:jc w:val="both"/>
        <w:rPr>
          <w:color w:val="000000" w:themeColor="text1"/>
          <w:sz w:val="16"/>
          <w:szCs w:val="16"/>
        </w:rPr>
      </w:pPr>
    </w:p>
    <w:p w14:paraId="35FCC2E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CCF11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ECDFE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К декабрю 1917 г. на сборочном и упаковочном отделении фирмы Мельцера, которые были открыты на Ланском шоссе, имелись 2 больших ангара и кирпичное здание), лесопилка и еще один сборочный цех — в Лесном на Кушелевке, а опытная станция — на Крестовском острове. Последняя, действуя с 1 августа 1917 г., располагалась по со</w:t>
      </w:r>
      <w:r w:rsidRPr="002F2FDF">
        <w:rPr>
          <w:rFonts w:ascii="Times New Roman" w:hAnsi="Times New Roman" w:cs="Times New Roman"/>
          <w:color w:val="000000" w:themeColor="text1"/>
          <w:kern w:val="2"/>
          <w:sz w:val="16"/>
          <w:szCs w:val="16"/>
        </w:rPr>
        <w:softHyphen/>
        <w:t>седству с подобным филиалом Щетинина и состояла из 1 ангара-навеса, 1 дома и 1 быстроходного катера с мотором 80 л.с., развивавшего скорость до 30 узлов. Вдобавок, компания просила об участке земли на побережье Черного моря, где ее сборочно-испы-тательнос производство появилось бы для работы в более благоприятных погодных усло</w:t>
      </w:r>
      <w:r w:rsidRPr="002F2FDF">
        <w:rPr>
          <w:rFonts w:ascii="Times New Roman" w:hAnsi="Times New Roman" w:cs="Times New Roman"/>
          <w:color w:val="000000" w:themeColor="text1"/>
          <w:kern w:val="2"/>
          <w:sz w:val="16"/>
          <w:szCs w:val="16"/>
        </w:rPr>
        <w:softHyphen/>
        <w:t>виях. Вероятно, в конце 1916 г. Мельцер пригласил Виллиша занять пост главного ави</w:t>
      </w:r>
      <w:r w:rsidRPr="002F2FDF">
        <w:rPr>
          <w:rFonts w:ascii="Times New Roman" w:hAnsi="Times New Roman" w:cs="Times New Roman"/>
          <w:color w:val="000000" w:themeColor="text1"/>
          <w:kern w:val="2"/>
          <w:sz w:val="16"/>
          <w:szCs w:val="16"/>
        </w:rPr>
        <w:softHyphen/>
        <w:t>ационного конструктора и директора-распределителя фирмы, что и было принято изо</w:t>
      </w:r>
      <w:r w:rsidRPr="002F2FDF">
        <w:rPr>
          <w:rFonts w:ascii="Times New Roman" w:hAnsi="Times New Roman" w:cs="Times New Roman"/>
          <w:color w:val="000000" w:themeColor="text1"/>
          <w:kern w:val="2"/>
          <w:sz w:val="16"/>
          <w:szCs w:val="16"/>
        </w:rPr>
        <w:softHyphen/>
        <w:t>бретателем в начале 1917 г. (2843).</w:t>
      </w:r>
    </w:p>
    <w:p w14:paraId="105605C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29202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7C439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E2F8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декабрю 1917 построили около 114 Юнкерсов J.1 (1461,14).</w:t>
      </w:r>
    </w:p>
    <w:p w14:paraId="4769F6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24A84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457E3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CA80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зиме 1917 на фабрике у Ф.Мельцера на лыжи поставили лл ВМ-5 А.Ю.Виллиша - морской истребитель. Однако, к 1918 интерес к этой машине был утерян и более перспективным считался самолет Е.Р.Энгельса, также строящийся у Ф.Мельцера (92,231).</w:t>
      </w:r>
    </w:p>
    <w:p w14:paraId="65BE9F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EFB1CA" w14:textId="77777777" w:rsidR="009C6F3B"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28468EC" w14:textId="77777777" w:rsidR="009C6F3B" w:rsidRPr="002F2FDF" w:rsidRDefault="009C6F3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BA1E11" w14:textId="51DBA089" w:rsidR="009C6F3B" w:rsidRPr="002F2FDF" w:rsidRDefault="009C6F3B"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К зиме 1917/1918 годов положение Центральных держав стало ещё хуже. Недельные нормы потребления по карточкам составляли: картофеля — 3,3 кг, хлеба — 1,8 кг, мяса — 240 граммов, жиров — 70-90 граммов. Затягивание мирных переговоров и ухудшение продовольственной ситуации в Германии и Австро-Венгрии привело к резкому росту забастовочного движения, которое в Австро-Венгрии переросло во всеобщую забастовку. В ряде районов начали появляться первые Советы по российскому образцу. Лишь 9</w:t>
      </w:r>
      <w:r w:rsidR="00E52569">
        <w:rPr>
          <w:rFonts w:ascii="Times New Roman" w:eastAsia="Times New Roman" w:hAnsi="Times New Roman" w:cs="Times New Roman"/>
          <w:color w:val="000000" w:themeColor="text1"/>
          <w:kern w:val="2"/>
          <w:sz w:val="16"/>
          <w:szCs w:val="16"/>
          <w:lang w:eastAsia="ru-RU"/>
        </w:rPr>
        <w:t xml:space="preserve"> </w:t>
      </w:r>
      <w:hyperlink r:id="rId699" w:tooltip="22 января" w:history="1">
        <w:r w:rsidRPr="002F2FDF">
          <w:rPr>
            <w:rFonts w:ascii="Times New Roman" w:eastAsia="Times New Roman" w:hAnsi="Times New Roman" w:cs="Times New Roman"/>
            <w:color w:val="000000" w:themeColor="text1"/>
            <w:kern w:val="2"/>
            <w:sz w:val="16"/>
            <w:szCs w:val="16"/>
            <w:lang w:eastAsia="ru-RU"/>
          </w:rPr>
          <w:t>(22)</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января</w:t>
        </w:r>
      </w:hyperlink>
      <w:r w:rsidRPr="002F2FDF">
        <w:rPr>
          <w:rFonts w:ascii="Times New Roman" w:eastAsia="Times New Roman" w:hAnsi="Times New Roman" w:cs="Times New Roman"/>
          <w:color w:val="000000" w:themeColor="text1"/>
          <w:kern w:val="2"/>
          <w:sz w:val="16"/>
          <w:szCs w:val="16"/>
          <w:lang w:eastAsia="ru-RU"/>
        </w:rPr>
        <w:t>, получив от правительства обещания подписать мир с Россией и улучшить продовольственную ситуацию, стачечники возобновили работу. 15</w:t>
      </w:r>
      <w:r w:rsidR="00E52569">
        <w:rPr>
          <w:rFonts w:ascii="Times New Roman" w:eastAsia="Times New Roman" w:hAnsi="Times New Roman" w:cs="Times New Roman"/>
          <w:color w:val="000000" w:themeColor="text1"/>
          <w:kern w:val="2"/>
          <w:sz w:val="16"/>
          <w:szCs w:val="16"/>
          <w:lang w:eastAsia="ru-RU"/>
        </w:rPr>
        <w:t xml:space="preserve"> </w:t>
      </w:r>
      <w:hyperlink r:id="rId700" w:tooltip="28 января" w:history="1">
        <w:r w:rsidRPr="002F2FDF">
          <w:rPr>
            <w:rFonts w:ascii="Times New Roman" w:eastAsia="Times New Roman" w:hAnsi="Times New Roman" w:cs="Times New Roman"/>
            <w:color w:val="000000" w:themeColor="text1"/>
            <w:kern w:val="2"/>
            <w:sz w:val="16"/>
            <w:szCs w:val="16"/>
            <w:lang w:eastAsia="ru-RU"/>
          </w:rPr>
          <w:t>(28)</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января</w:t>
        </w:r>
      </w:hyperlink>
      <w:r w:rsidRPr="002F2FDF">
        <w:rPr>
          <w:rFonts w:ascii="Times New Roman" w:eastAsia="Times New Roman" w:hAnsi="Times New Roman" w:cs="Times New Roman"/>
          <w:color w:val="000000" w:themeColor="text1"/>
          <w:kern w:val="2"/>
          <w:sz w:val="16"/>
          <w:szCs w:val="16"/>
          <w:lang w:eastAsia="ru-RU"/>
        </w:rPr>
        <w:t xml:space="preserve"> забастовки парализовали берлинскую оборонную промышленность, быстро охватили другие отрасли производства и распространились по всей стране. Центром стачечного движения был Берлин, где, согласно официальным сообщениям, бастовало около полумиллиона рабочих. Как и в Австро-Венгрии, в Германии были образованы Советы, требовавшие в первую очередь заключения мира и установления республики (17035).</w:t>
      </w:r>
    </w:p>
    <w:p w14:paraId="6B206796" w14:textId="77777777" w:rsidR="009C6F3B" w:rsidRPr="002F2FDF" w:rsidRDefault="009C6F3B" w:rsidP="0083075A">
      <w:pPr>
        <w:spacing w:after="0" w:line="240" w:lineRule="auto"/>
        <w:jc w:val="both"/>
        <w:rPr>
          <w:rFonts w:ascii="Times New Roman" w:eastAsia="Times New Roman" w:hAnsi="Times New Roman" w:cs="Times New Roman"/>
          <w:color w:val="000000" w:themeColor="text1"/>
          <w:kern w:val="2"/>
          <w:sz w:val="16"/>
          <w:szCs w:val="16"/>
          <w:lang w:eastAsia="ru-RU"/>
        </w:rPr>
      </w:pPr>
    </w:p>
    <w:p w14:paraId="7EB795E0" w14:textId="77777777" w:rsidR="00975009" w:rsidRPr="00FB4F67" w:rsidRDefault="00975009"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зиме 1917 г. активность в воздухе на русско-германском фронте заметно снизилась. Полеты носили преимущественно разведывательный характер (23405).</w:t>
      </w:r>
    </w:p>
    <w:p w14:paraId="63FD9FEB" w14:textId="77777777" w:rsidR="00975009" w:rsidRPr="00FB4F67" w:rsidRDefault="00975009" w:rsidP="0083075A">
      <w:pPr>
        <w:spacing w:after="0" w:line="240" w:lineRule="auto"/>
        <w:jc w:val="both"/>
        <w:rPr>
          <w:rFonts w:ascii="Times New Roman" w:hAnsi="Times New Roman" w:cs="Times New Roman"/>
          <w:color w:val="0070C0"/>
          <w:sz w:val="16"/>
          <w:szCs w:val="16"/>
        </w:rPr>
      </w:pPr>
    </w:p>
    <w:p w14:paraId="5532D78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1A8367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36E2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декабря 1917 на первом заседании Совета Рабочей и Крестьянской Обороны В.И.Л. поставил вопрос о мобилизации научно-технических сил (1073,21).</w:t>
      </w:r>
    </w:p>
    <w:p w14:paraId="5A8A65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6612B0" w14:textId="77777777" w:rsidR="00C27B4B" w:rsidRPr="002F2FDF" w:rsidRDefault="00C27B4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декабря 1917 г. Декретом ВЦИК был образован орган «хозяйственной диктатуры пролетариата» – Высший совет народного хозяйства (ВСНХ). В круг обязанностей ВСНХ вначале входила организация всего народного хозяйства республики и государственных финансов. К 1919 г. функции ВСНХ ограничились задачами руководства промышленным производством. Председателем ВСНХ тогда был назначен А.И. Рыков.</w:t>
      </w:r>
    </w:p>
    <w:p w14:paraId="08E79C38" w14:textId="77777777" w:rsidR="00C27B4B" w:rsidRPr="002F2FDF" w:rsidRDefault="00C27B4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главе руководящего состава ВСНХ находились крупные партийные и государственные деятели того времени. В1917-1918гг. председателем ВСНХ был Н. Осинский/Оболенский, в 1918-1921 гг. – А.И. Рыков, в 1921-1924 гг. – П.А. Богданов, в 1924-1926 гг. -Ф.Э. Дзержинский (сочетал с работой в ВЧК-ОГПУ), в 1926- 1930 гг. – В.В. Куйбышев, в 1930-1932 гг. – Г.К. Орджоникидзе.</w:t>
      </w:r>
    </w:p>
    <w:p w14:paraId="3860BF40" w14:textId="77777777" w:rsidR="00C27B4B" w:rsidRPr="002F2FDF" w:rsidRDefault="00C27B4B" w:rsidP="0083075A">
      <w:pPr>
        <w:pStyle w:val="1c"/>
        <w:spacing w:before="0" w:after="0"/>
        <w:jc w:val="both"/>
        <w:rPr>
          <w:color w:val="000000" w:themeColor="text1"/>
          <w:kern w:val="2"/>
          <w:sz w:val="16"/>
          <w:szCs w:val="16"/>
        </w:rPr>
      </w:pPr>
      <w:r w:rsidRPr="002F2FDF">
        <w:rPr>
          <w:color w:val="000000" w:themeColor="text1"/>
          <w:kern w:val="2"/>
          <w:sz w:val="16"/>
          <w:szCs w:val="16"/>
        </w:rPr>
        <w:t>4 декабря 1917 г. вышло распоряжение о постройке на бердянском заводе 100 самолетов «Анасаль» — благо, двигателей «Сальмсон» для них было в достатке. После выполнения этого заказа предполагалось, что «Матиас» перейдет к выпуску гражданской продукции (12252).</w:t>
      </w:r>
    </w:p>
    <w:p w14:paraId="7295C8D9" w14:textId="77777777" w:rsidR="00C27B4B" w:rsidRPr="002F2FDF" w:rsidRDefault="00C27B4B" w:rsidP="0083075A">
      <w:pPr>
        <w:pStyle w:val="1c"/>
        <w:spacing w:before="0" w:after="0"/>
        <w:jc w:val="both"/>
        <w:rPr>
          <w:color w:val="000000" w:themeColor="text1"/>
          <w:kern w:val="2"/>
          <w:sz w:val="16"/>
          <w:szCs w:val="16"/>
        </w:rPr>
      </w:pPr>
    </w:p>
    <w:p w14:paraId="77471B6C" w14:textId="77777777" w:rsidR="008B7CA9" w:rsidRPr="002F2FDF" w:rsidRDefault="008B7CA9" w:rsidP="0083075A">
      <w:pPr>
        <w:pStyle w:val="ae"/>
        <w:spacing w:before="0" w:after="0"/>
        <w:jc w:val="both"/>
        <w:rPr>
          <w:color w:val="000000" w:themeColor="text1"/>
          <w:sz w:val="16"/>
          <w:szCs w:val="16"/>
        </w:rPr>
      </w:pPr>
      <w:r w:rsidRPr="002F2FDF">
        <w:rPr>
          <w:color w:val="000000" w:themeColor="text1"/>
          <w:sz w:val="16"/>
          <w:szCs w:val="16"/>
        </w:rPr>
        <w:t>1 (14) декабря 1917 г. при Совнаркоме был создан Высший совет народного хозяйства (ВСНХ), призванный стать "главным штабом социалистической промышленности". Через него в 1917 - 1920 гг. решались многие вопросы финансирования различных отраслей экономики, полностью работавшей на нужды обороны. Предприятия военной промышленности были выделены в особую производственную группу и милитаризованы. В 1920 г. на военное положение было переведено свыше 2 тыс. заводов и фабрик. Финансирование расходов на оборону в Советской России до 1919 г. производилось через составление смет не только обыкновенных, но и чрезвычайных расходов. Эта старая практика перекочевала в новый строй еще с царских времен. Так, в 1916 г. сумма чрезвычайных, вызванных войной расходов была определена в размере 14 572,8 млн. руб., в 1917 г. - 25 560,7 млн. руб. Суммы, отпущенные на военные надобности, как в 1916-м, так и в 1917 г. не были израсходованы полностью. Неизрасходованные остатки по военным сметам 1916 г. (2135,3 млн. руб.) переносились в сметы 1917 г. и дополняли новые кредиты, открытые в течение 1917 г. (23 425,4 млн. руб.). Сумма военных кредитов 1917 г., составлявшая 25 560,7 млн. руб., также не была израсходована полностью. Около 3 млрд. руб. оказалось в остатке, который и был перенесен в сметы 1918 г. по военным кредитам. Из 20 603 млн. руб. расходной части государственного бюджета, назначенных по сметам на январь - июнь 1918 г., Наркоматы по военным и морским делам должны были израсходовать (с учетом 3 млрд. руб. из смет прошлого года) 8515 млн. руб.: по отделу обыкновенных расходов росписи - 522 618 тыс. руб. и чрезвычайных - 4 330 463 тыс. руб. (18390).</w:t>
      </w:r>
    </w:p>
    <w:p w14:paraId="7DF40254" w14:textId="77777777" w:rsidR="008B7CA9" w:rsidRPr="002F2FDF" w:rsidRDefault="008B7CA9" w:rsidP="0083075A">
      <w:pPr>
        <w:pStyle w:val="ae"/>
        <w:spacing w:before="0" w:after="0"/>
        <w:jc w:val="both"/>
        <w:rPr>
          <w:color w:val="000000" w:themeColor="text1"/>
          <w:sz w:val="16"/>
          <w:szCs w:val="16"/>
        </w:rPr>
      </w:pPr>
    </w:p>
    <w:p w14:paraId="150A59B6" w14:textId="77777777" w:rsidR="008B7CA9" w:rsidRPr="002F2FDF" w:rsidRDefault="008B7CA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декабря 1917 был создан ВСНХ при СНК и совнархозы стали создаваться в областях (226,241).</w:t>
      </w:r>
    </w:p>
    <w:p w14:paraId="49206512" w14:textId="77777777" w:rsidR="008B7CA9" w:rsidRPr="002F2FDF" w:rsidRDefault="008B7CA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58EECA" w14:textId="5975F186" w:rsidR="002C2273" w:rsidRDefault="002C2273"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253F2749" w14:textId="77777777" w:rsidR="002C2273" w:rsidRDefault="002C2273"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698A6C5" w14:textId="77777777" w:rsidR="002C2273" w:rsidRPr="00FB4F67" w:rsidRDefault="002C2273"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 (</w:t>
      </w:r>
      <w:r w:rsidRPr="00FB4F67">
        <w:rPr>
          <w:rFonts w:ascii="Times New Roman" w:hAnsi="Times New Roman" w:cs="Times New Roman"/>
          <w:color w:val="0070C0"/>
          <w:sz w:val="16"/>
          <w:szCs w:val="16"/>
        </w:rPr>
        <w:t>14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декабря 1917 г. красные опубликовали отчет, в котором указывалось количество имеющихся летчиков: фронтовые части с 431 летчиком-офицером и 293 летчиками-солдатами (всего 724); Учебные части в составе тридцати девяти летчиков-офицеров и двадцати пяти летчиков-солдат (всего шестьдесят четыре); Подразделения дивизии в составе двадцати пяти офицеров-пилотов (всего двадцать пять); Авиагруппы в составе двадцати четырех офицеров-пилотов (всего двадцать четыре); Воздушные парки с тридцатью четырьмя офицерами-пилотами (всего тридцать четыре); Летчиков-офицеров было 553, летчиков-солдат 318, всего 871 человек (23525).</w:t>
      </w:r>
    </w:p>
    <w:p w14:paraId="5942D69D" w14:textId="77777777" w:rsidR="002C2273" w:rsidRPr="00FB4F67" w:rsidRDefault="002C2273" w:rsidP="0083075A">
      <w:pPr>
        <w:spacing w:after="0" w:line="240" w:lineRule="auto"/>
        <w:jc w:val="both"/>
        <w:rPr>
          <w:rFonts w:ascii="Times New Roman" w:hAnsi="Times New Roman" w:cs="Times New Roman"/>
          <w:color w:val="0070C0"/>
          <w:sz w:val="16"/>
          <w:szCs w:val="16"/>
        </w:rPr>
      </w:pPr>
    </w:p>
    <w:p w14:paraId="02D2D285" w14:textId="1A1BBB69" w:rsidR="002C2273" w:rsidRPr="00FB4F67" w:rsidRDefault="002C2273"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 (</w:t>
      </w:r>
      <w:r w:rsidRPr="00FB4F67">
        <w:rPr>
          <w:rFonts w:ascii="Times New Roman" w:hAnsi="Times New Roman" w:cs="Times New Roman"/>
          <w:color w:val="0070C0"/>
          <w:sz w:val="16"/>
          <w:szCs w:val="16"/>
        </w:rPr>
        <w:t>14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декабря 1917 г. на Кавказском фронте командующий русскими войсками генерал М. А. Пржевальский подписал в Эрзинджане перемирие с турками. В этот период армяне сформировали Армянский армейский корпус (23525).</w:t>
      </w:r>
    </w:p>
    <w:p w14:paraId="6CE2F83A" w14:textId="77777777" w:rsidR="002C2273" w:rsidRPr="00FB4F67" w:rsidRDefault="002C2273" w:rsidP="0083075A">
      <w:pPr>
        <w:spacing w:after="0" w:line="240" w:lineRule="auto"/>
        <w:jc w:val="both"/>
        <w:rPr>
          <w:rFonts w:ascii="Times New Roman" w:hAnsi="Times New Roman" w:cs="Times New Roman"/>
          <w:color w:val="0070C0"/>
          <w:sz w:val="16"/>
          <w:szCs w:val="16"/>
        </w:rPr>
      </w:pPr>
    </w:p>
    <w:p w14:paraId="4214C864" w14:textId="66778A1A" w:rsidR="002C2273" w:rsidRPr="00FB4F67" w:rsidRDefault="002C2273"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 (</w:t>
      </w:r>
      <w:r w:rsidRPr="00FB4F67">
        <w:rPr>
          <w:rFonts w:ascii="Times New Roman" w:hAnsi="Times New Roman" w:cs="Times New Roman"/>
          <w:color w:val="0070C0"/>
          <w:sz w:val="16"/>
          <w:szCs w:val="16"/>
        </w:rPr>
        <w:t>14</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декабря 1917 г. красные захватили 6-й аэродром в Одессе и сформировали Одесский АО во главе с Подполковником Самойловым. В январе красноукраинцы под Одессой сформировали 1-й АО во главе с А. Т. Бербеко (23525).</w:t>
      </w:r>
    </w:p>
    <w:p w14:paraId="32588A02" w14:textId="77777777" w:rsidR="002C2273" w:rsidRPr="00FB4F67" w:rsidRDefault="002C2273" w:rsidP="0083075A">
      <w:pPr>
        <w:spacing w:after="0" w:line="240" w:lineRule="auto"/>
        <w:jc w:val="both"/>
        <w:rPr>
          <w:rFonts w:ascii="Times New Roman" w:hAnsi="Times New Roman" w:cs="Times New Roman"/>
          <w:color w:val="0070C0"/>
          <w:sz w:val="16"/>
          <w:szCs w:val="16"/>
        </w:rPr>
      </w:pPr>
    </w:p>
    <w:p w14:paraId="7AD24817" w14:textId="4BCD7CF2"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02491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EB817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декабря 1917 военный нарком Троцкий предложил использовать для борьбы с врагами народа гильотины (4962).</w:t>
      </w:r>
    </w:p>
    <w:p w14:paraId="76D2E36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6C096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декабря 1917 терскими казаками провозглашено создание Терско-Дагестанского правительства (4962).</w:t>
      </w:r>
    </w:p>
    <w:p w14:paraId="32B21D8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2354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(14) декабря 1917 во Владикавказе Союз объединенных горцев Кавказа и представители Терского казачества создали Терско-дагестанское правительство во главе с М.А.Карауловым (3908,271).</w:t>
      </w:r>
    </w:p>
    <w:p w14:paraId="4468D7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2596A8"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(14) декабря 1917. Начальник московской милиции издал приказ: "Кафе, трактиры и рестораны при наличии продажи или распития в них спирта и его суррогатов могут быть закрываемы властью местного комиссара... Бели же есть только твердая уверенность, что в ресторане происходит продажа или распитие спирта и пр. но улик на то нет, то закрывать единоличною властью комиссара не следует. Предварительно необходимо обратиться я противоалкогольную комиссию с протоколами и мотивировками" (18685).</w:t>
      </w:r>
    </w:p>
    <w:p w14:paraId="0E1169F9"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p w14:paraId="4D1B3F1C" w14:textId="77777777" w:rsidR="00062843"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29510438" w14:textId="77777777" w:rsidR="00062843" w:rsidRPr="002F2FDF" w:rsidRDefault="0006284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1B932A" w14:textId="77777777" w:rsidR="00062843" w:rsidRPr="002F2FDF" w:rsidRDefault="000628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1 (14) декабря 1917 протокол британского военного кабинета №298 предписывал: не отказывать в запрашиваемых деньгах для поддержки в юго-восточной России сопротивления центральным властям, то есть большевикам, если военное министерство и министерство иностранных дел сочтут это необходимым.</w:t>
      </w:r>
    </w:p>
    <w:p w14:paraId="50E97C49" w14:textId="77777777" w:rsidR="00062843" w:rsidRPr="002F2FDF" w:rsidRDefault="000628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тот же день Англия и Франция предоставили генералу Каледину 10 млн. ф. ст. для создания армии в 2 миллиона человек.</w:t>
      </w:r>
    </w:p>
    <w:p w14:paraId="2851E80B" w14:textId="35800C3E" w:rsidR="00062843" w:rsidRPr="002F2FDF" w:rsidRDefault="0006284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Правда не все считали идею сделать ставку на Каледина хорошей. Бьюкенен, встретившись со сподвижниками Каледина, определил их как авантюристов.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Посол говорил, что опора на бравого генерала грозит превратить Россию в германскую колонию (15497).</w:t>
      </w:r>
    </w:p>
    <w:p w14:paraId="693FBA92" w14:textId="77777777" w:rsidR="00062843" w:rsidRPr="002F2FDF" w:rsidRDefault="00062843" w:rsidP="0083075A">
      <w:pPr>
        <w:spacing w:after="0" w:line="240" w:lineRule="auto"/>
        <w:jc w:val="both"/>
        <w:rPr>
          <w:rFonts w:ascii="Times New Roman" w:hAnsi="Times New Roman" w:cs="Times New Roman"/>
          <w:color w:val="000000" w:themeColor="text1"/>
          <w:kern w:val="2"/>
          <w:sz w:val="16"/>
          <w:szCs w:val="16"/>
        </w:rPr>
      </w:pPr>
    </w:p>
    <w:p w14:paraId="4CE5654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176C3B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29DEE4"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(15) декабря 1917. Создан Высший Совет народного хозяйства (ВСНХ) для регулирования экономической жизни. Органами ВСНХ на местах стали Советы народного хозяйства (совнархозы).</w:t>
      </w:r>
    </w:p>
    <w:p w14:paraId="1758A619"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Президиум Моссовета принял постановление о реквизиции асе ценностей, находящихся свыше двух месяцев в таможнях, и о передачи их в Государственный банк. Также было принято постановление об усилении караулов на улицах Москвы.</w:t>
      </w:r>
    </w:p>
    <w:p w14:paraId="3EE8DBAF"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Началась забастовка городских служащих в поддержку Учредительного собрания. Прекратились занятия во всех городских училищах, судебных мировых учреждениях, библиотеках" городской типографии, общедоступных столовых, городских складов. Были закрыты лавки, городские бойни, адресный стол" ломбард. Прекратился прием городских сборов" оплата счетов, выдача пайков увечным и беженцам.</w:t>
      </w:r>
    </w:p>
    <w:p w14:paraId="064090CF"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Ярославском вокзале толпа солдат, заподозрив в одном ив мужчин вора-карманника, забила его до смерти (18685).</w:t>
      </w:r>
    </w:p>
    <w:p w14:paraId="76000C91" w14:textId="77777777" w:rsidR="008B7CA9" w:rsidRPr="002F2FDF" w:rsidRDefault="008B7CA9" w:rsidP="0083075A">
      <w:pPr>
        <w:spacing w:after="0" w:line="240" w:lineRule="auto"/>
        <w:jc w:val="both"/>
        <w:rPr>
          <w:rFonts w:ascii="Times New Roman" w:hAnsi="Times New Roman" w:cs="Times New Roman"/>
          <w:color w:val="000000" w:themeColor="text1"/>
          <w:sz w:val="16"/>
          <w:szCs w:val="16"/>
        </w:rPr>
      </w:pPr>
    </w:p>
    <w:p w14:paraId="7AEF1FC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2(15) декабря 1917 г. для управления оборонныем сектором экономики ВЦИК и СНК декретом учреди</w:t>
      </w:r>
      <w:r w:rsidRPr="002F2FDF">
        <w:rPr>
          <w:rFonts w:ascii="Times New Roman" w:hAnsi="Times New Roman" w:cs="Times New Roman"/>
          <w:color w:val="000000" w:themeColor="text1"/>
          <w:kern w:val="2"/>
          <w:sz w:val="16"/>
          <w:szCs w:val="16"/>
        </w:rPr>
        <w:softHyphen/>
        <w:t>ли новый центральный орган — Высший совет народного хозяйства (ВСНХ) РСФСР. Он подчинялся непосредственно правительству. С ноября 1917 г. по март 1918 г. были национализированы и пе</w:t>
      </w:r>
      <w:r w:rsidRPr="002F2FDF">
        <w:rPr>
          <w:rFonts w:ascii="Times New Roman" w:hAnsi="Times New Roman" w:cs="Times New Roman"/>
          <w:color w:val="000000" w:themeColor="text1"/>
          <w:kern w:val="2"/>
          <w:sz w:val="16"/>
          <w:szCs w:val="16"/>
        </w:rPr>
        <w:softHyphen/>
        <w:t>решли в собственность советской власти более 800 крупнейших част</w:t>
      </w:r>
      <w:r w:rsidRPr="002F2FDF">
        <w:rPr>
          <w:rFonts w:ascii="Times New Roman" w:hAnsi="Times New Roman" w:cs="Times New Roman"/>
          <w:color w:val="000000" w:themeColor="text1"/>
          <w:kern w:val="2"/>
          <w:sz w:val="16"/>
          <w:szCs w:val="16"/>
        </w:rPr>
        <w:softHyphen/>
        <w:t>ных предприятий. Вместе с бывшими казенными заводами военного, морского и горного ведомств они образовали в экономике страны го</w:t>
      </w:r>
      <w:r w:rsidRPr="002F2FDF">
        <w:rPr>
          <w:rFonts w:ascii="Times New Roman" w:hAnsi="Times New Roman" w:cs="Times New Roman"/>
          <w:color w:val="000000" w:themeColor="text1"/>
          <w:kern w:val="2"/>
          <w:sz w:val="16"/>
          <w:szCs w:val="16"/>
        </w:rPr>
        <w:softHyphen/>
        <w:t>сударственный сектор [11, с. 105]. С победой революции собственностью Советского государства стали казенные орудийные, ружейные, патронные, снарядные, поро</w:t>
      </w:r>
      <w:r w:rsidRPr="002F2FDF">
        <w:rPr>
          <w:rFonts w:ascii="Times New Roman" w:hAnsi="Times New Roman" w:cs="Times New Roman"/>
          <w:color w:val="000000" w:themeColor="text1"/>
          <w:kern w:val="2"/>
          <w:sz w:val="16"/>
          <w:szCs w:val="16"/>
        </w:rPr>
        <w:softHyphen/>
        <w:t>ховые заводы, а также заводы взрывчатых веществ и снаряжения, капсюльные, пиротехнические. К лету 1918 г. были созданы Советы народного хозяйства на местах. За время короткой мирной передышки с марта до конца мая 1918 г. совнархозы всех уровней осуществили ряд мероприятий по налаживанию производства на национализированных предприятиях. Стартовые условия, в которых начиналось возрождение народного хозяйства, были крайне неблагоприятными. Значительно снизились по сравнению с довоенным периодом выплавка чугуна, стали, цвет</w:t>
      </w:r>
      <w:r w:rsidRPr="002F2FDF">
        <w:rPr>
          <w:rFonts w:ascii="Times New Roman" w:hAnsi="Times New Roman" w:cs="Times New Roman"/>
          <w:color w:val="000000" w:themeColor="text1"/>
          <w:kern w:val="2"/>
          <w:sz w:val="16"/>
          <w:szCs w:val="16"/>
        </w:rPr>
        <w:softHyphen/>
        <w:t>ных металлов, добыча угля и нефти, производство продукции всех Отраслей легкой промышленности. Промышленность переживала острый сырьевой и топливный кризис. Многие предприятия не рабо</w:t>
      </w:r>
      <w:r w:rsidRPr="002F2FDF">
        <w:rPr>
          <w:rFonts w:ascii="Times New Roman" w:hAnsi="Times New Roman" w:cs="Times New Roman"/>
          <w:color w:val="000000" w:themeColor="text1"/>
          <w:kern w:val="2"/>
          <w:sz w:val="16"/>
          <w:szCs w:val="16"/>
        </w:rPr>
        <w:softHyphen/>
        <w:t>тали. Полный развал наступил на транспорте. Особенно трудно было с обеспечением продовольствием, так как сельское хозяйство было сильно подорвано (5484).</w:t>
      </w:r>
    </w:p>
    <w:p w14:paraId="42A3982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119958" w14:textId="3684E841" w:rsidR="003446BF" w:rsidRPr="002F2FDF" w:rsidRDefault="003446BF" w:rsidP="0083075A">
      <w:pPr>
        <w:pStyle w:val="ae"/>
        <w:spacing w:before="0" w:after="0"/>
        <w:jc w:val="both"/>
        <w:rPr>
          <w:color w:val="000000" w:themeColor="text1"/>
          <w:kern w:val="2"/>
          <w:sz w:val="16"/>
          <w:szCs w:val="16"/>
        </w:rPr>
      </w:pPr>
      <w:r w:rsidRPr="002F2FDF">
        <w:rPr>
          <w:color w:val="000000" w:themeColor="text1"/>
          <w:kern w:val="2"/>
          <w:sz w:val="16"/>
          <w:szCs w:val="16"/>
        </w:rPr>
        <w:t>2 (15) декабря 1917</w:t>
      </w:r>
      <w:r w:rsidR="00E52569">
        <w:rPr>
          <w:color w:val="000000" w:themeColor="text1"/>
          <w:kern w:val="2"/>
          <w:sz w:val="16"/>
          <w:szCs w:val="16"/>
        </w:rPr>
        <w:t xml:space="preserve"> </w:t>
      </w:r>
      <w:r w:rsidRPr="002F2FDF">
        <w:rPr>
          <w:color w:val="000000" w:themeColor="text1"/>
          <w:kern w:val="2"/>
          <w:sz w:val="16"/>
          <w:szCs w:val="16"/>
        </w:rPr>
        <w:t>г. при Совете народных комиссаров учреждается Высший совет народного хозяйства. Пока это скорее совещательный орган с задачами «организации народного хозяйства и государственных финансов»:</w:t>
      </w:r>
    </w:p>
    <w:p w14:paraId="533471C6" w14:textId="539B6896" w:rsidR="003446BF" w:rsidRPr="002F2FDF" w:rsidRDefault="003446BF" w:rsidP="0083075A">
      <w:pPr>
        <w:pStyle w:val="ae"/>
        <w:spacing w:before="0" w:after="0"/>
        <w:jc w:val="both"/>
        <w:rPr>
          <w:color w:val="000000" w:themeColor="text1"/>
          <w:kern w:val="2"/>
          <w:sz w:val="16"/>
          <w:szCs w:val="16"/>
        </w:rPr>
      </w:pPr>
      <w:r w:rsidRPr="002F2FDF">
        <w:rPr>
          <w:color w:val="000000" w:themeColor="text1"/>
          <w:kern w:val="2"/>
          <w:sz w:val="16"/>
          <w:szCs w:val="16"/>
        </w:rPr>
        <w:t>С этой целью Высший совет народного хозяйства вырабатывает общие нормы и план регулирования экономической жизни страны, согласует и объединяет деятельность центральных и местных регулирующих учреждений (совещаний по топливу, металлу, транспорту, центральный продовольственный комитет и пр.), соответствующих народных комиссариатов (торговли и промышленности, продовольствия, земледелия, финансов, военно-морского и т.</w:t>
      </w:r>
      <w:r w:rsidR="00E52569">
        <w:rPr>
          <w:color w:val="000000" w:themeColor="text1"/>
          <w:kern w:val="2"/>
          <w:sz w:val="16"/>
          <w:szCs w:val="16"/>
        </w:rPr>
        <w:t xml:space="preserve"> </w:t>
      </w:r>
      <w:r w:rsidRPr="002F2FDF">
        <w:rPr>
          <w:color w:val="000000" w:themeColor="text1"/>
          <w:kern w:val="2"/>
          <w:sz w:val="16"/>
          <w:szCs w:val="16"/>
        </w:rPr>
        <w:t>д.), Всероссийского совета рабочего контроля, а также соответственную деятельность фабрично-заводских и профессиональных организаций рабочего класса.</w:t>
      </w:r>
    </w:p>
    <w:p w14:paraId="1DFDAA99" w14:textId="2F30AF2C" w:rsidR="003446BF" w:rsidRPr="002F2FDF" w:rsidRDefault="003446BF" w:rsidP="0083075A">
      <w:pPr>
        <w:pStyle w:val="ae"/>
        <w:spacing w:before="0" w:after="0"/>
        <w:jc w:val="both"/>
        <w:rPr>
          <w:color w:val="000000" w:themeColor="text1"/>
          <w:kern w:val="2"/>
          <w:sz w:val="16"/>
          <w:szCs w:val="16"/>
        </w:rPr>
      </w:pPr>
      <w:r w:rsidRPr="002F2FDF">
        <w:rPr>
          <w:color w:val="000000" w:themeColor="text1"/>
          <w:kern w:val="2"/>
          <w:sz w:val="16"/>
          <w:szCs w:val="16"/>
        </w:rPr>
        <w:t>3)</w:t>
      </w:r>
      <w:r w:rsidR="00E52569">
        <w:rPr>
          <w:color w:val="000000" w:themeColor="text1"/>
          <w:kern w:val="2"/>
          <w:sz w:val="16"/>
          <w:szCs w:val="16"/>
        </w:rPr>
        <w:t xml:space="preserve"> </w:t>
      </w:r>
      <w:r w:rsidRPr="002F2FDF">
        <w:rPr>
          <w:color w:val="000000" w:themeColor="text1"/>
          <w:kern w:val="2"/>
          <w:sz w:val="16"/>
          <w:szCs w:val="16"/>
        </w:rPr>
        <w:t>Высшему совету народного хозяйства предоставляется право конфискации, реквизиции, секвестра, принудительного синдицирования различных отраслей промышленности и торговли и прочих мероприятий в области производства, распределения и государственных финансов.</w:t>
      </w:r>
    </w:p>
    <w:p w14:paraId="2786781D" w14:textId="60C2C31A" w:rsidR="003446BF" w:rsidRPr="002F2FDF" w:rsidRDefault="003446BF" w:rsidP="0083075A">
      <w:pPr>
        <w:pStyle w:val="ae"/>
        <w:spacing w:before="0" w:after="0"/>
        <w:jc w:val="both"/>
        <w:rPr>
          <w:color w:val="000000" w:themeColor="text1"/>
          <w:kern w:val="2"/>
          <w:sz w:val="16"/>
          <w:szCs w:val="16"/>
        </w:rPr>
      </w:pPr>
      <w:r w:rsidRPr="002F2FDF">
        <w:rPr>
          <w:color w:val="000000" w:themeColor="text1"/>
          <w:kern w:val="2"/>
          <w:sz w:val="16"/>
          <w:szCs w:val="16"/>
        </w:rPr>
        <w:t>4)</w:t>
      </w:r>
      <w:r w:rsidR="00E52569">
        <w:rPr>
          <w:color w:val="000000" w:themeColor="text1"/>
          <w:kern w:val="2"/>
          <w:sz w:val="16"/>
          <w:szCs w:val="16"/>
        </w:rPr>
        <w:t xml:space="preserve"> </w:t>
      </w:r>
      <w:r w:rsidRPr="002F2FDF">
        <w:rPr>
          <w:color w:val="000000" w:themeColor="text1"/>
          <w:kern w:val="2"/>
          <w:sz w:val="16"/>
          <w:szCs w:val="16"/>
        </w:rPr>
        <w:t>Все существующие учреждения по регулированию хозяйства подчиняются Высшему совету народного хозяйства, которому предоставляется право их реформирования.</w:t>
      </w:r>
    </w:p>
    <w:p w14:paraId="6CBAC3C7" w14:textId="77777777" w:rsidR="003446BF" w:rsidRPr="002F2FDF" w:rsidRDefault="003446BF" w:rsidP="0083075A">
      <w:pPr>
        <w:pStyle w:val="ae"/>
        <w:spacing w:before="0" w:after="0"/>
        <w:jc w:val="both"/>
        <w:rPr>
          <w:color w:val="000000" w:themeColor="text1"/>
          <w:kern w:val="2"/>
          <w:sz w:val="16"/>
          <w:szCs w:val="16"/>
        </w:rPr>
      </w:pPr>
      <w:r w:rsidRPr="002F2FDF">
        <w:rPr>
          <w:color w:val="000000" w:themeColor="text1"/>
          <w:kern w:val="2"/>
          <w:sz w:val="16"/>
          <w:szCs w:val="16"/>
        </w:rPr>
        <w:t>Для построения нового государственного аппарата Советская власть использовала «деловой, хозяйственно-технический аппарат прежних регулирующих органов» (15736).</w:t>
      </w:r>
    </w:p>
    <w:p w14:paraId="53F5A1ED" w14:textId="77777777" w:rsidR="003446BF" w:rsidRPr="002F2FDF" w:rsidRDefault="003446BF" w:rsidP="0083075A">
      <w:pPr>
        <w:pStyle w:val="ae"/>
        <w:spacing w:before="0" w:after="0"/>
        <w:jc w:val="both"/>
        <w:rPr>
          <w:color w:val="000000" w:themeColor="text1"/>
          <w:kern w:val="2"/>
          <w:sz w:val="16"/>
          <w:szCs w:val="16"/>
        </w:rPr>
      </w:pPr>
    </w:p>
    <w:p w14:paraId="1151EC06" w14:textId="77777777" w:rsidR="003446BF" w:rsidRPr="002F2FDF" w:rsidRDefault="003446B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декабря 1917 г. был образование ВСНХ - первого общехозяйственного органа Советского государства. При ВСНХ были созданы отраслевые промышленные комитеты и местные Советы народного хозяйства (15511).</w:t>
      </w:r>
    </w:p>
    <w:p w14:paraId="0ED85D60" w14:textId="77777777" w:rsidR="003446BF" w:rsidRPr="002F2FDF" w:rsidRDefault="003446BF" w:rsidP="0083075A">
      <w:pPr>
        <w:spacing w:after="0" w:line="240" w:lineRule="auto"/>
        <w:jc w:val="both"/>
        <w:rPr>
          <w:rFonts w:ascii="Times New Roman" w:hAnsi="Times New Roman" w:cs="Times New Roman"/>
          <w:color w:val="000000" w:themeColor="text1"/>
          <w:kern w:val="2"/>
          <w:sz w:val="16"/>
          <w:szCs w:val="16"/>
        </w:rPr>
      </w:pPr>
    </w:p>
    <w:p w14:paraId="1D82F2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 </w:t>
      </w:r>
      <w:r w:rsidR="00631AD8" w:rsidRPr="002F2FDF">
        <w:rPr>
          <w:rFonts w:ascii="Times New Roman" w:hAnsi="Times New Roman" w:cs="Times New Roman"/>
          <w:color w:val="000000" w:themeColor="text1"/>
          <w:kern w:val="2"/>
          <w:sz w:val="16"/>
          <w:szCs w:val="16"/>
        </w:rPr>
        <w:t xml:space="preserve">(15) </w:t>
      </w:r>
      <w:r w:rsidRPr="002F2FDF">
        <w:rPr>
          <w:rFonts w:ascii="Times New Roman" w:hAnsi="Times New Roman" w:cs="Times New Roman"/>
          <w:color w:val="000000" w:themeColor="text1"/>
          <w:kern w:val="2"/>
          <w:sz w:val="16"/>
          <w:szCs w:val="16"/>
        </w:rPr>
        <w:t>декабря 1917 г. завод (Литейный и механический завод Н. Г. Петрова, 1-й ремонтно-механический и литейный завод, Василеостровский чугунолитейный и механический завод им. И.Е. Котлякова, Литейно-механический завод им. И.Е. Котлякова, Завод горнообогатительного оборудования им. Котлякова НКЦМ, Машиностроительный завод им. И.Е. Котлякова МЦМ) закрыт, 24.01.1918 г. он был национализирован и передан Секции по металлу СНХ Северного района (с 02.1920 г.- Петроградский СНХ). В 1922 г. был сдан в аренду. В 1925-28 г. назывался 1-й ремонтно- механический и литейный завод треста «Ленинградтекстиль», Ленинградпенькотреста (1928-29 г.). В 1929 г. переименован в Василеостровский чугунолитейный и механический завод им. И.Е. Котлякова, в 1930 г. - в литейно-механический завод им. Котлякова, в 1936 г. - в машиностроительный завод им. Котлякова, в 1938 г. - в завод горнообогатительного оборудования им. Котлякова. В 1929-38 г. завод находился в ведении трестов «Петрорайкомбинат», «Ленлитмех», «Ленсредмаш», Ленштамптрест. В 1939 г. передан в ведение НКЦМ.</w:t>
      </w:r>
    </w:p>
    <w:p w14:paraId="439970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1946 г. вновь переименован в машиностроительный завод им. Котлякова МЦМ. В 06.1957 г. передан в ведение Управления тяжелого машиностроения ЛенСНХ. Пост. ЛенСНХ от 6.10.1959 г. в состав завода влит Ленинградский государственный завод ПТС «Красный металлист». С 20.12.1965 г. завод - в ведении ГУ подъемно-транспортного машиностроения Министерства тяжелого, транспортного и энергетического машиностроения.</w:t>
      </w:r>
    </w:p>
    <w:p w14:paraId="707E6C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приказу от 16.04.1977 г. на базе завода как головного предприятия создано Ленинградское ПО «Эскалатор» им. И.Е. Котлякова. По приказу от 24.11.1982 г. ЛПО расформировано, завод вошел в состав ПО «Ленподъемтрансмаш» им. С.М. Кирова. В 12.1986 г. завод им. Котлякова вновь вошел в состав созданного ПО «Эскалатор» (но уже в качестве рядовой производственной единицы, входил по 1991 г.).</w:t>
      </w:r>
      <w:r w:rsidRPr="002F2FDF">
        <w:rPr>
          <w:rFonts w:ascii="Times New Roman" w:hAnsi="Times New Roman" w:cs="Times New Roman"/>
          <w:color w:val="000000" w:themeColor="text1"/>
          <w:kern w:val="2"/>
          <w:sz w:val="16"/>
          <w:szCs w:val="16"/>
          <w:vertAlign w:val="superscript"/>
        </w:rPr>
        <w:t>131</w:t>
      </w:r>
    </w:p>
    <w:p w14:paraId="3D1F7B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Производство:</w:t>
      </w:r>
      <w:r w:rsidRPr="002F2FDF">
        <w:rPr>
          <w:rFonts w:ascii="Times New Roman" w:hAnsi="Times New Roman" w:cs="Times New Roman"/>
          <w:color w:val="000000" w:themeColor="text1"/>
          <w:kern w:val="2"/>
          <w:sz w:val="16"/>
          <w:szCs w:val="16"/>
        </w:rPr>
        <w:t xml:space="preserve"> редуктор червячный к мешалке (1938).</w:t>
      </w:r>
    </w:p>
    <w:p w14:paraId="7BDF8D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Ленинградское ПО «Эскалатор» им. И.Е. Котлякова, Арендное предприятие ПО «Эскалатор», АОЗТ «Эскалатор»' ЛПО «Эскалатор» им. И.Е. Котлякова создано по приказу Министерства тяжелого, транспортного и энергетического машиностроения от 16.04.1977 г. на базе машиностроительного завода им. И.Е. Котлякова. По</w:t>
      </w:r>
    </w:p>
    <w:p w14:paraId="4A32F5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приказу от 24.11.1982 г. ЛПО расформировано, по приказу от 30.12.1986 г. создано вновь. В его состав вновь вошел завод им. Котлякова (но уже в качестве рядовой производственной единицы, входил по 1991 г.).</w:t>
      </w:r>
    </w:p>
    <w:p w14:paraId="1FF973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приказу Концерна «Трансмаш» от 20.05.1991 г. и решению Президиума Василеостровского райсовета Ленинграда от 22.07.1991 г. ЛПО реорганизовано в Арендное предприятие ПО «Эскалатор». 14.07.1993 г. оно преобразовано в АОЗТ «Эскалатор». 23.04.1998 г. предприятие признано банкротом, в 1999-2000 г. на нем действовало конкурсное управление (11982).</w:t>
      </w:r>
    </w:p>
    <w:p w14:paraId="3FC538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11AF3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D7ADA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8FAE2C" w14:textId="77777777" w:rsidR="00B91D66" w:rsidRPr="005D7D69" w:rsidRDefault="00B91D6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 (15)</w:t>
      </w:r>
      <w:r w:rsidRPr="005D7D69">
        <w:rPr>
          <w:rFonts w:ascii="Times New Roman" w:hAnsi="Times New Roman" w:cs="Times New Roman"/>
          <w:color w:val="0070C0"/>
          <w:sz w:val="16"/>
          <w:szCs w:val="16"/>
        </w:rPr>
        <w:t xml:space="preserve"> декабря </w:t>
      </w:r>
      <w:r>
        <w:rPr>
          <w:rFonts w:ascii="Times New Roman" w:hAnsi="Times New Roman" w:cs="Times New Roman"/>
          <w:color w:val="0070C0"/>
          <w:sz w:val="16"/>
          <w:szCs w:val="16"/>
        </w:rPr>
        <w:t>1917 г</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Военно-Революционный комитет 7-го авиадивизиона /Дунаевц</w:t>
      </w:r>
      <w:r>
        <w:rPr>
          <w:rFonts w:ascii="Times New Roman" w:hAnsi="Times New Roman" w:cs="Times New Roman"/>
          <w:color w:val="0070C0"/>
          <w:sz w:val="16"/>
          <w:szCs w:val="16"/>
        </w:rPr>
        <w:t>ы</w:t>
      </w:r>
      <w:r w:rsidRPr="005D7D69">
        <w:rPr>
          <w:rFonts w:ascii="Times New Roman" w:hAnsi="Times New Roman" w:cs="Times New Roman"/>
          <w:color w:val="0070C0"/>
          <w:sz w:val="16"/>
          <w:szCs w:val="16"/>
        </w:rPr>
        <w:t>/ вынес постановление: 1/</w:t>
      </w:r>
      <w:r>
        <w:rPr>
          <w:rFonts w:ascii="Times New Roman" w:hAnsi="Times New Roman" w:cs="Times New Roman"/>
          <w:color w:val="0070C0"/>
          <w:sz w:val="16"/>
          <w:szCs w:val="16"/>
        </w:rPr>
        <w:t xml:space="preserve"> п</w:t>
      </w:r>
      <w:r w:rsidRPr="005D7D69">
        <w:rPr>
          <w:rFonts w:ascii="Times New Roman" w:hAnsi="Times New Roman" w:cs="Times New Roman"/>
          <w:color w:val="0070C0"/>
          <w:sz w:val="16"/>
          <w:szCs w:val="16"/>
        </w:rPr>
        <w:t xml:space="preserve">оддерживать правительство всемирного пролетариата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овет Народных Комиссаров,</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так как только таковое пра</w:t>
      </w:r>
      <w:r w:rsidRPr="005D7D69">
        <w:rPr>
          <w:rFonts w:ascii="Times New Roman" w:hAnsi="Times New Roman" w:cs="Times New Roman"/>
          <w:color w:val="0070C0"/>
          <w:sz w:val="16"/>
          <w:szCs w:val="16"/>
        </w:rPr>
        <w:softHyphen/>
        <w:t xml:space="preserve">вительство даст мир, земли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выведет страну на твердый путь ре</w:t>
      </w:r>
      <w:r>
        <w:rPr>
          <w:rFonts w:ascii="Times New Roman" w:hAnsi="Times New Roman" w:cs="Times New Roman"/>
          <w:color w:val="0070C0"/>
          <w:sz w:val="16"/>
          <w:szCs w:val="16"/>
        </w:rPr>
        <w:t>ш</w:t>
      </w:r>
      <w:r w:rsidRPr="005D7D69">
        <w:rPr>
          <w:rFonts w:ascii="Times New Roman" w:hAnsi="Times New Roman" w:cs="Times New Roman"/>
          <w:color w:val="0070C0"/>
          <w:sz w:val="16"/>
          <w:szCs w:val="16"/>
        </w:rPr>
        <w:t>ительной борьб</w:t>
      </w:r>
      <w:r>
        <w:rPr>
          <w:rFonts w:ascii="Times New Roman" w:hAnsi="Times New Roman" w:cs="Times New Roman"/>
          <w:color w:val="0070C0"/>
          <w:sz w:val="16"/>
          <w:szCs w:val="16"/>
        </w:rPr>
        <w:t>ы</w:t>
      </w:r>
      <w:r w:rsidRPr="005D7D69">
        <w:rPr>
          <w:rFonts w:ascii="Times New Roman" w:hAnsi="Times New Roman" w:cs="Times New Roman"/>
          <w:color w:val="0070C0"/>
          <w:sz w:val="16"/>
          <w:szCs w:val="16"/>
        </w:rPr>
        <w:t xml:space="preserve"> о врагами трудового народа, капиталистами я контррево</w:t>
      </w:r>
      <w:r w:rsidRPr="005D7D69">
        <w:rPr>
          <w:rFonts w:ascii="Times New Roman" w:hAnsi="Times New Roman" w:cs="Times New Roman"/>
          <w:color w:val="0070C0"/>
          <w:sz w:val="16"/>
          <w:szCs w:val="16"/>
        </w:rPr>
        <w:softHyphen/>
        <w:t>люционерами; 2/</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требуем расформировать ударные батальоны н отправки их на фронт для замены старослужащих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слабосильных солдат; 3/</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требуем все</w:t>
      </w:r>
      <w:r>
        <w:rPr>
          <w:rFonts w:ascii="Times New Roman" w:hAnsi="Times New Roman" w:cs="Times New Roman"/>
          <w:color w:val="0070C0"/>
          <w:sz w:val="16"/>
          <w:szCs w:val="16"/>
        </w:rPr>
        <w:t>х</w:t>
      </w:r>
      <w:r w:rsidRPr="005D7D69">
        <w:rPr>
          <w:rFonts w:ascii="Times New Roman" w:hAnsi="Times New Roman" w:cs="Times New Roman"/>
          <w:color w:val="0070C0"/>
          <w:sz w:val="16"/>
          <w:szCs w:val="16"/>
        </w:rPr>
        <w:t xml:space="preserve"> юнкеров отправить на фронт в качестве рядовых солдат для той же цели;</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4/</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требуем действенного контроля рабочих над производ</w:t>
      </w:r>
      <w:r w:rsidRPr="005D7D69">
        <w:rPr>
          <w:rFonts w:ascii="Times New Roman" w:hAnsi="Times New Roman" w:cs="Times New Roman"/>
          <w:color w:val="0070C0"/>
          <w:sz w:val="16"/>
          <w:szCs w:val="16"/>
        </w:rPr>
        <w:softHyphen/>
        <w:t>ством и распределением продуктов ;</w:t>
      </w:r>
      <w:r>
        <w:rPr>
          <w:rFonts w:ascii="Times New Roman" w:hAnsi="Times New Roman" w:cs="Times New Roman"/>
          <w:color w:val="0070C0"/>
          <w:sz w:val="16"/>
          <w:szCs w:val="16"/>
        </w:rPr>
        <w:t xml:space="preserve"> 5</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требуем беспощадной войны со</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спекуляцией; </w:t>
      </w:r>
      <w:r>
        <w:rPr>
          <w:rFonts w:ascii="Times New Roman" w:hAnsi="Times New Roman" w:cs="Times New Roman"/>
          <w:color w:val="0070C0"/>
          <w:sz w:val="16"/>
          <w:szCs w:val="16"/>
        </w:rPr>
        <w:t>6</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требуем ареста Корнилова,</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Каледина и Керенского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всех их приспе</w:t>
      </w:r>
      <w:r>
        <w:rPr>
          <w:rFonts w:ascii="Times New Roman" w:hAnsi="Times New Roman" w:cs="Times New Roman"/>
          <w:color w:val="0070C0"/>
          <w:sz w:val="16"/>
          <w:szCs w:val="16"/>
        </w:rPr>
        <w:t>ш</w:t>
      </w:r>
      <w:r w:rsidRPr="005D7D69">
        <w:rPr>
          <w:rFonts w:ascii="Times New Roman" w:hAnsi="Times New Roman" w:cs="Times New Roman"/>
          <w:color w:val="0070C0"/>
          <w:sz w:val="16"/>
          <w:szCs w:val="16"/>
        </w:rPr>
        <w:t>ников,</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толкающих народ на взаимное нстреблен</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е,</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для </w:t>
      </w:r>
      <w:r>
        <w:rPr>
          <w:rFonts w:ascii="Times New Roman" w:hAnsi="Times New Roman" w:cs="Times New Roman"/>
          <w:color w:val="0070C0"/>
          <w:sz w:val="16"/>
          <w:szCs w:val="16"/>
        </w:rPr>
        <w:t>предания их н</w:t>
      </w:r>
      <w:r w:rsidRPr="005D7D69">
        <w:rPr>
          <w:rFonts w:ascii="Times New Roman" w:hAnsi="Times New Roman" w:cs="Times New Roman"/>
          <w:color w:val="0070C0"/>
          <w:sz w:val="16"/>
          <w:szCs w:val="16"/>
        </w:rPr>
        <w:t>ародно</w:t>
      </w:r>
      <w:r>
        <w:rPr>
          <w:rFonts w:ascii="Times New Roman" w:hAnsi="Times New Roman" w:cs="Times New Roman"/>
          <w:color w:val="0070C0"/>
          <w:sz w:val="16"/>
          <w:szCs w:val="16"/>
        </w:rPr>
        <w:t>м</w:t>
      </w:r>
      <w:r w:rsidRPr="005D7D69">
        <w:rPr>
          <w:rFonts w:ascii="Times New Roman" w:hAnsi="Times New Roman" w:cs="Times New Roman"/>
          <w:color w:val="0070C0"/>
          <w:sz w:val="16"/>
          <w:szCs w:val="16"/>
        </w:rPr>
        <w:t>у суду.</w:t>
      </w:r>
      <w:r>
        <w:rPr>
          <w:rFonts w:ascii="Times New Roman" w:hAnsi="Times New Roman" w:cs="Times New Roman"/>
          <w:color w:val="0070C0"/>
          <w:sz w:val="16"/>
          <w:szCs w:val="16"/>
        </w:rPr>
        <w:t xml:space="preserve"> П</w:t>
      </w:r>
      <w:r w:rsidRPr="005D7D69">
        <w:rPr>
          <w:rFonts w:ascii="Times New Roman" w:hAnsi="Times New Roman" w:cs="Times New Roman"/>
          <w:color w:val="0070C0"/>
          <w:sz w:val="16"/>
          <w:szCs w:val="16"/>
        </w:rPr>
        <w:t xml:space="preserve">олковой </w:t>
      </w:r>
      <w:r>
        <w:rPr>
          <w:rFonts w:ascii="Times New Roman" w:hAnsi="Times New Roman" w:cs="Times New Roman"/>
          <w:color w:val="0070C0"/>
          <w:sz w:val="16"/>
          <w:szCs w:val="16"/>
        </w:rPr>
        <w:t>ВРК</w:t>
      </w:r>
      <w:r w:rsidRPr="005D7D69">
        <w:rPr>
          <w:rFonts w:ascii="Times New Roman" w:hAnsi="Times New Roman" w:cs="Times New Roman"/>
          <w:color w:val="0070C0"/>
          <w:sz w:val="16"/>
          <w:szCs w:val="16"/>
        </w:rPr>
        <w:t xml:space="preserve"> 7 д</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виз</w:t>
      </w:r>
      <w:r>
        <w:rPr>
          <w:rFonts w:ascii="Times New Roman" w:hAnsi="Times New Roman" w:cs="Times New Roman"/>
          <w:color w:val="0070C0"/>
          <w:sz w:val="16"/>
          <w:szCs w:val="16"/>
        </w:rPr>
        <w:t>ио</w:t>
      </w:r>
      <w:r w:rsidRPr="005D7D69">
        <w:rPr>
          <w:rFonts w:ascii="Times New Roman" w:hAnsi="Times New Roman" w:cs="Times New Roman"/>
          <w:color w:val="0070C0"/>
          <w:sz w:val="16"/>
          <w:szCs w:val="16"/>
        </w:rPr>
        <w:t>на, пользующийся</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д</w:t>
      </w:r>
      <w:r>
        <w:rPr>
          <w:rFonts w:ascii="Times New Roman" w:hAnsi="Times New Roman" w:cs="Times New Roman"/>
          <w:color w:val="0070C0"/>
          <w:sz w:val="16"/>
          <w:szCs w:val="16"/>
        </w:rPr>
        <w:t>ове</w:t>
      </w:r>
      <w:r w:rsidRPr="005D7D69">
        <w:rPr>
          <w:rFonts w:ascii="Times New Roman" w:hAnsi="Times New Roman" w:cs="Times New Roman"/>
          <w:color w:val="0070C0"/>
          <w:sz w:val="16"/>
          <w:szCs w:val="16"/>
        </w:rPr>
        <w:t>р</w:t>
      </w:r>
      <w:r>
        <w:rPr>
          <w:rFonts w:ascii="Times New Roman" w:hAnsi="Times New Roman" w:cs="Times New Roman"/>
          <w:color w:val="0070C0"/>
          <w:sz w:val="16"/>
          <w:szCs w:val="16"/>
        </w:rPr>
        <w:t>ие</w:t>
      </w:r>
      <w:r w:rsidRPr="005D7D69">
        <w:rPr>
          <w:rFonts w:ascii="Times New Roman" w:hAnsi="Times New Roman" w:cs="Times New Roman"/>
          <w:color w:val="0070C0"/>
          <w:sz w:val="16"/>
          <w:szCs w:val="16"/>
        </w:rPr>
        <w:t>м солдатских масс,</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отдаст вс</w:t>
      </w:r>
      <w:r>
        <w:rPr>
          <w:rFonts w:ascii="Times New Roman" w:hAnsi="Times New Roman" w:cs="Times New Roman"/>
          <w:color w:val="0070C0"/>
          <w:sz w:val="16"/>
          <w:szCs w:val="16"/>
        </w:rPr>
        <w:t>ю</w:t>
      </w:r>
      <w:r w:rsidRPr="005D7D69">
        <w:rPr>
          <w:rFonts w:ascii="Times New Roman" w:hAnsi="Times New Roman" w:cs="Times New Roman"/>
          <w:color w:val="0070C0"/>
          <w:sz w:val="16"/>
          <w:szCs w:val="16"/>
        </w:rPr>
        <w:t xml:space="preserve"> си</w:t>
      </w:r>
      <w:r>
        <w:rPr>
          <w:rFonts w:ascii="Times New Roman" w:hAnsi="Times New Roman" w:cs="Times New Roman"/>
          <w:color w:val="0070C0"/>
          <w:sz w:val="16"/>
          <w:szCs w:val="16"/>
        </w:rPr>
        <w:t>л</w:t>
      </w:r>
      <w:r w:rsidRPr="005D7D69">
        <w:rPr>
          <w:rFonts w:ascii="Times New Roman" w:hAnsi="Times New Roman" w:cs="Times New Roman"/>
          <w:color w:val="0070C0"/>
          <w:sz w:val="16"/>
          <w:szCs w:val="16"/>
        </w:rPr>
        <w:t xml:space="preserve">у на поддержание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защиту Советского правительства рабочих,</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крестьян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солдат.</w:t>
      </w:r>
    </w:p>
    <w:p w14:paraId="5C19923E" w14:textId="77777777" w:rsidR="00B91D66" w:rsidRDefault="00B91D66"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ф.28</w:t>
      </w:r>
      <w:r>
        <w:rPr>
          <w:rFonts w:ascii="Times New Roman" w:hAnsi="Times New Roman" w:cs="Times New Roman"/>
          <w:color w:val="0070C0"/>
          <w:sz w:val="16"/>
          <w:szCs w:val="16"/>
        </w:rPr>
        <w:t>, оп</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1</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д.1</w:t>
      </w:r>
      <w:r>
        <w:rPr>
          <w:rFonts w:ascii="Times New Roman" w:hAnsi="Times New Roman" w:cs="Times New Roman"/>
          <w:color w:val="0070C0"/>
          <w:sz w:val="16"/>
          <w:szCs w:val="16"/>
        </w:rPr>
        <w:t>6, л</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65/</w:t>
      </w:r>
      <w:r>
        <w:rPr>
          <w:rFonts w:ascii="Times New Roman" w:hAnsi="Times New Roman" w:cs="Times New Roman"/>
          <w:color w:val="0070C0"/>
          <w:sz w:val="16"/>
          <w:szCs w:val="16"/>
        </w:rPr>
        <w:t xml:space="preserve"> (23370).</w:t>
      </w:r>
    </w:p>
    <w:p w14:paraId="5C0C4092" w14:textId="77777777" w:rsidR="00B91D66" w:rsidRPr="005D7D69" w:rsidRDefault="00B91D66" w:rsidP="0083075A">
      <w:pPr>
        <w:spacing w:after="0" w:line="240" w:lineRule="auto"/>
        <w:jc w:val="both"/>
        <w:rPr>
          <w:rFonts w:ascii="Times New Roman" w:hAnsi="Times New Roman" w:cs="Times New Roman"/>
          <w:color w:val="0070C0"/>
          <w:sz w:val="16"/>
          <w:szCs w:val="16"/>
        </w:rPr>
      </w:pPr>
    </w:p>
    <w:p w14:paraId="0D20D3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декабря 1917 И.У.Павлов стал коммунистом (455,47).</w:t>
      </w:r>
    </w:p>
    <w:p w14:paraId="3F5937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B6FE36" w14:textId="77777777" w:rsidR="00384421" w:rsidRPr="002F2FDF" w:rsidRDefault="00384421" w:rsidP="0083075A">
      <w:pPr>
        <w:pStyle w:val="ae"/>
        <w:spacing w:before="0" w:after="0"/>
        <w:jc w:val="both"/>
        <w:rPr>
          <w:color w:val="000000" w:themeColor="text1"/>
          <w:kern w:val="2"/>
          <w:sz w:val="16"/>
          <w:szCs w:val="16"/>
        </w:rPr>
      </w:pPr>
      <w:r w:rsidRPr="002F2FDF">
        <w:rPr>
          <w:color w:val="000000" w:themeColor="text1"/>
          <w:kern w:val="2"/>
          <w:sz w:val="16"/>
          <w:szCs w:val="16"/>
        </w:rPr>
        <w:t>2 (15) декабря 1917 в Брест-Литовске (ныне Брест на западе Белоруссии) на переговорах делегации большевиков с представителями Центральных держав стороны договорились о продлении ранее заключенного 10-дневного перемирия на Восточном фронте еще на 28 дней — с 17 декабря по 15 января с возможностью его дальнейшей пролонгации. В случае возврата к боевым действиям Германия и Россия взяли обязательство предупреждать об этом противника не позже чем за 7 дней. Также была достигнута договоренность, что немцы более не будут перебрасывать войска с Восточного фронта на Западный (17045).</w:t>
      </w:r>
    </w:p>
    <w:p w14:paraId="734353B4" w14:textId="77777777" w:rsidR="00384421" w:rsidRPr="002F2FDF" w:rsidRDefault="00384421" w:rsidP="0083075A">
      <w:pPr>
        <w:spacing w:after="0" w:line="240" w:lineRule="auto"/>
        <w:jc w:val="both"/>
        <w:rPr>
          <w:rFonts w:ascii="Times New Roman" w:hAnsi="Times New Roman" w:cs="Times New Roman"/>
          <w:color w:val="000000" w:themeColor="text1"/>
          <w:kern w:val="2"/>
          <w:sz w:val="16"/>
          <w:szCs w:val="16"/>
        </w:rPr>
      </w:pPr>
    </w:p>
    <w:p w14:paraId="78EF046B" w14:textId="77777777" w:rsidR="0050748F" w:rsidRPr="002F2FDF" w:rsidRDefault="0050748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декабря 1917 СНК РСФСР подписал соглашение о временном прекращении военных действий с Германией (12629).</w:t>
      </w:r>
    </w:p>
    <w:p w14:paraId="04896999" w14:textId="77777777" w:rsidR="0050748F" w:rsidRPr="002F2FDF" w:rsidRDefault="0050748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8EA1D6" w14:textId="3924C504" w:rsidR="00765CAE" w:rsidRPr="00FB4F67" w:rsidRDefault="00765CA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2 </w:t>
      </w:r>
      <w:r>
        <w:rPr>
          <w:rFonts w:ascii="Times New Roman" w:hAnsi="Times New Roman" w:cs="Times New Roman"/>
          <w:color w:val="0070C0"/>
          <w:sz w:val="16"/>
          <w:szCs w:val="16"/>
        </w:rPr>
        <w:t xml:space="preserve">(15) </w:t>
      </w:r>
      <w:r w:rsidRPr="00FB4F67">
        <w:rPr>
          <w:rFonts w:ascii="Times New Roman" w:hAnsi="Times New Roman" w:cs="Times New Roman"/>
          <w:color w:val="0070C0"/>
          <w:sz w:val="16"/>
          <w:szCs w:val="16"/>
        </w:rPr>
        <w:t>декабря 1917 г. новое руководство страны, верное своему обещанию о выходе России из войны в случае прихода к власти, не только заключило перемирие с Германией, но и прекратило военную приемку с заводов. Это стало последней точкой в агонии авиапромышленности, т. к. выполнять заказы теперь не имело никакого смыла. Да это было и невозможно из-за отсутствия свободного места на предприятиях. В декабре 1917 г. на «Дуксе» скопилось более 370 самолетов. «Все мастерские и склады завода забиты аппаратами и частями до такой степени, что невозможно вести дальнейшую сборку» — сообщали с завода Управлению военно-воздушного флота (23472).</w:t>
      </w:r>
    </w:p>
    <w:p w14:paraId="12E389A1" w14:textId="77777777" w:rsidR="00765CAE" w:rsidRPr="00FB4F67" w:rsidRDefault="00765CAE" w:rsidP="0083075A">
      <w:pPr>
        <w:spacing w:after="0" w:line="240" w:lineRule="auto"/>
        <w:jc w:val="both"/>
        <w:rPr>
          <w:rFonts w:ascii="Times New Roman" w:hAnsi="Times New Roman" w:cs="Times New Roman"/>
          <w:color w:val="0070C0"/>
          <w:sz w:val="16"/>
          <w:szCs w:val="16"/>
        </w:rPr>
      </w:pPr>
    </w:p>
    <w:p w14:paraId="26A4B5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декабря 1917 в Брест-Литовске заключено перемирие на 28 дней (с 4 декабря) между Россией, с одной стороны, и Германией, Австро-Венгрией, Болгарией и Турцией — с другой (4216).</w:t>
      </w:r>
    </w:p>
    <w:p w14:paraId="17CB1C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017A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December 15, 1917 Armistice signed between Germany and Russia at Brest-Litovsk (1036).</w:t>
      </w:r>
    </w:p>
    <w:p w14:paraId="61B7A4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5D2D97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декабря 1917 было заключено перемирие в Брест-Литовске (226,242) на 28 дней (1348,114).</w:t>
      </w:r>
    </w:p>
    <w:p w14:paraId="3911C9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796D1C" w14:textId="6C34BCB4" w:rsidR="00716CDB" w:rsidRPr="002F2FDF" w:rsidRDefault="00716CD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r w:rsidR="00E52569">
        <w:rPr>
          <w:rFonts w:ascii="Times New Roman" w:hAnsi="Times New Roman" w:cs="Times New Roman"/>
          <w:color w:val="000000" w:themeColor="text1"/>
          <w:kern w:val="2"/>
          <w:sz w:val="16"/>
          <w:szCs w:val="16"/>
        </w:rPr>
        <w:t xml:space="preserve"> </w:t>
      </w:r>
      <w:hyperlink r:id="rId701" w:tooltip="15 декабря" w:history="1">
        <w:r w:rsidRPr="002F2FDF">
          <w:rPr>
            <w:rStyle w:val="a5"/>
            <w:rFonts w:ascii="Times New Roman" w:hAnsi="Times New Roman" w:cs="Times New Roman"/>
            <w:color w:val="000000" w:themeColor="text1"/>
            <w:kern w:val="2"/>
            <w:sz w:val="16"/>
            <w:szCs w:val="16"/>
            <w:u w:val="none"/>
          </w:rPr>
          <w:t>(15)</w:t>
        </w:r>
        <w:r w:rsidR="00E52569">
          <w:rPr>
            <w:rStyle w:val="a5"/>
            <w:rFonts w:ascii="Times New Roman" w:hAnsi="Times New Roman" w:cs="Times New Roman"/>
            <w:color w:val="000000" w:themeColor="text1"/>
            <w:kern w:val="2"/>
            <w:sz w:val="16"/>
            <w:szCs w:val="16"/>
            <w:u w:val="none"/>
          </w:rPr>
          <w:t xml:space="preserve"> </w:t>
        </w:r>
        <w:r w:rsidRPr="002F2FDF">
          <w:rPr>
            <w:rStyle w:val="a5"/>
            <w:rFonts w:ascii="Times New Roman" w:hAnsi="Times New Roman" w:cs="Times New Roman"/>
            <w:color w:val="000000" w:themeColor="text1"/>
            <w:kern w:val="2"/>
            <w:sz w:val="16"/>
            <w:szCs w:val="16"/>
            <w:u w:val="none"/>
          </w:rPr>
          <w:t>декабря</w:t>
        </w:r>
      </w:hyperlink>
      <w:r w:rsidR="00E52569">
        <w:rPr>
          <w:rFonts w:ascii="Times New Roman" w:hAnsi="Times New Roman" w:cs="Times New Roman"/>
          <w:color w:val="000000" w:themeColor="text1"/>
          <w:kern w:val="2"/>
          <w:sz w:val="16"/>
          <w:szCs w:val="16"/>
        </w:rPr>
        <w:t xml:space="preserve"> </w:t>
      </w:r>
      <w:hyperlink r:id="rId702" w:tooltip="1917 год" w:history="1">
        <w:r w:rsidRPr="002F2FDF">
          <w:rPr>
            <w:rStyle w:val="a5"/>
            <w:rFonts w:ascii="Times New Roman" w:hAnsi="Times New Roman" w:cs="Times New Roman"/>
            <w:color w:val="000000" w:themeColor="text1"/>
            <w:kern w:val="2"/>
            <w:sz w:val="16"/>
            <w:szCs w:val="16"/>
            <w:u w:val="none"/>
          </w:rPr>
          <w:t>1917 года</w:t>
        </w:r>
      </w:hyperlink>
      <w:r w:rsidRPr="002F2FDF">
        <w:rPr>
          <w:rFonts w:ascii="Times New Roman" w:hAnsi="Times New Roman" w:cs="Times New Roman"/>
          <w:color w:val="000000" w:themeColor="text1"/>
          <w:kern w:val="2"/>
          <w:sz w:val="16"/>
          <w:szCs w:val="16"/>
        </w:rPr>
        <w:t xml:space="preserve"> новый этап переговоров завершился заключением перемирия на 28 дней с 4</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декабря (</w:t>
      </w:r>
      <w:hyperlink r:id="rId703" w:tooltip="17 декабря" w:history="1">
        <w:r w:rsidRPr="002F2FDF">
          <w:rPr>
            <w:rStyle w:val="a5"/>
            <w:rFonts w:ascii="Times New Roman" w:hAnsi="Times New Roman" w:cs="Times New Roman"/>
            <w:color w:val="000000" w:themeColor="text1"/>
            <w:kern w:val="2"/>
            <w:sz w:val="16"/>
            <w:szCs w:val="16"/>
            <w:u w:val="none"/>
          </w:rPr>
          <w:t>17</w:t>
        </w:r>
        <w:r w:rsidR="00E52569">
          <w:rPr>
            <w:rStyle w:val="a5"/>
            <w:rFonts w:ascii="Times New Roman" w:hAnsi="Times New Roman" w:cs="Times New Roman"/>
            <w:color w:val="000000" w:themeColor="text1"/>
            <w:kern w:val="2"/>
            <w:sz w:val="16"/>
            <w:szCs w:val="16"/>
            <w:u w:val="none"/>
          </w:rPr>
          <w:t xml:space="preserve"> </w:t>
        </w:r>
        <w:r w:rsidRPr="002F2FDF">
          <w:rPr>
            <w:rStyle w:val="a5"/>
            <w:rFonts w:ascii="Times New Roman" w:hAnsi="Times New Roman" w:cs="Times New Roman"/>
            <w:color w:val="000000" w:themeColor="text1"/>
            <w:kern w:val="2"/>
            <w:sz w:val="16"/>
            <w:szCs w:val="16"/>
            <w:u w:val="none"/>
          </w:rPr>
          <w:t>декабря</w:t>
        </w:r>
      </w:hyperlink>
      <w:r w:rsidRPr="002F2FDF">
        <w:rPr>
          <w:rFonts w:ascii="Times New Roman" w:hAnsi="Times New Roman" w:cs="Times New Roman"/>
          <w:color w:val="000000" w:themeColor="text1"/>
          <w:kern w:val="2"/>
          <w:sz w:val="16"/>
          <w:szCs w:val="16"/>
        </w:rPr>
        <w:t>) с возможностью дальнейшего продления, при этом, в случае разрыва, стороны обязывались предупреждать противника за 7 дней; была достигнута договорённость и о том, что новые переброски войск на Западный фронт не будут допускаться (17035).</w:t>
      </w:r>
    </w:p>
    <w:p w14:paraId="1F5BBEDD" w14:textId="77777777" w:rsidR="00716CDB" w:rsidRPr="002F2FDF" w:rsidRDefault="00716CD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765424" w14:textId="35DC9EA9" w:rsidR="002C2273" w:rsidRPr="00FB4F67" w:rsidRDefault="002C2273"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 (</w:t>
      </w:r>
      <w:r w:rsidRPr="00FB4F67">
        <w:rPr>
          <w:rFonts w:ascii="Times New Roman" w:hAnsi="Times New Roman" w:cs="Times New Roman"/>
          <w:color w:val="0070C0"/>
          <w:sz w:val="16"/>
          <w:szCs w:val="16"/>
        </w:rPr>
        <w:t>15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декабря 1917 г. в Брест-Литовске между русскими и центральными державами было подписано предварительное соглашение о перемирии. Он должен был начаться в 12:00 17-го и продолжаться до 12:00 14 января 1918 года (23525).</w:t>
      </w:r>
    </w:p>
    <w:p w14:paraId="2C86D906" w14:textId="77777777" w:rsidR="002C2273" w:rsidRPr="00FB4F67" w:rsidRDefault="002C2273" w:rsidP="0083075A">
      <w:pPr>
        <w:spacing w:after="0" w:line="240" w:lineRule="auto"/>
        <w:jc w:val="both"/>
        <w:rPr>
          <w:rFonts w:ascii="Times New Roman" w:hAnsi="Times New Roman" w:cs="Times New Roman"/>
          <w:color w:val="0070C0"/>
          <w:sz w:val="16"/>
          <w:szCs w:val="16"/>
        </w:rPr>
      </w:pPr>
    </w:p>
    <w:p w14:paraId="1DB5E926" w14:textId="77777777" w:rsidR="00A074A8" w:rsidRPr="002F2FDF" w:rsidRDefault="00A074A8"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декабря 1917 в Севастополе матросами расстрелян высший командный состав Черноморского флота (4962).</w:t>
      </w:r>
    </w:p>
    <w:p w14:paraId="66BE0782" w14:textId="77777777" w:rsidR="00A074A8" w:rsidRPr="002F2FDF" w:rsidRDefault="00A074A8"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32E29D" w14:textId="77777777" w:rsidR="00A074A8" w:rsidRPr="002F2FDF" w:rsidRDefault="00A074A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 (15) декабря</w:t>
      </w:r>
      <w:r w:rsidRPr="002F2FDF">
        <w:rPr>
          <w:rFonts w:ascii="Times New Roman" w:hAnsi="Times New Roman" w:cs="Times New Roman"/>
          <w:color w:val="000000" w:themeColor="text1"/>
          <w:kern w:val="2"/>
          <w:sz w:val="16"/>
          <w:szCs w:val="16"/>
        </w:rPr>
        <w:t xml:space="preserve"> в 1917 году в Красной Армии вводится первый отличительный знак - красная эмалиевая звезда (14861).</w:t>
      </w:r>
    </w:p>
    <w:p w14:paraId="722C7973" w14:textId="77777777" w:rsidR="00A074A8" w:rsidRPr="002F2FDF" w:rsidRDefault="00A074A8" w:rsidP="0083075A">
      <w:pPr>
        <w:spacing w:after="0" w:line="240" w:lineRule="auto"/>
        <w:jc w:val="both"/>
        <w:rPr>
          <w:rFonts w:ascii="Times New Roman" w:hAnsi="Times New Roman" w:cs="Times New Roman"/>
          <w:color w:val="000000" w:themeColor="text1"/>
          <w:kern w:val="2"/>
          <w:sz w:val="16"/>
          <w:szCs w:val="16"/>
        </w:rPr>
      </w:pPr>
    </w:p>
    <w:p w14:paraId="3504E7E8" w14:textId="77777777" w:rsidR="002C2273" w:rsidRPr="00FB4F67" w:rsidRDefault="002C2273"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 (</w:t>
      </w:r>
      <w:r w:rsidRPr="00FB4F67">
        <w:rPr>
          <w:rFonts w:ascii="Times New Roman" w:hAnsi="Times New Roman" w:cs="Times New Roman"/>
          <w:color w:val="0070C0"/>
          <w:sz w:val="16"/>
          <w:szCs w:val="16"/>
        </w:rPr>
        <w:t>15</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декабря 1917 г. в районе Дона небольшие части еще формировавшейся Добровольческой армии смогли в тяжелых боях под Ростовом разгромить красных (23525).</w:t>
      </w:r>
    </w:p>
    <w:p w14:paraId="18418B25" w14:textId="77777777" w:rsidR="002C2273" w:rsidRPr="00FB4F67" w:rsidRDefault="002C2273" w:rsidP="0083075A">
      <w:pPr>
        <w:spacing w:after="0" w:line="240" w:lineRule="auto"/>
        <w:jc w:val="both"/>
        <w:rPr>
          <w:rFonts w:ascii="Times New Roman" w:hAnsi="Times New Roman" w:cs="Times New Roman"/>
          <w:color w:val="0070C0"/>
          <w:sz w:val="16"/>
          <w:szCs w:val="16"/>
        </w:rPr>
      </w:pPr>
    </w:p>
    <w:p w14:paraId="2F3C17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декабря 1917 Добровольческая армия вступила в Ростов (1348,88) под командованием г Каледина (2229).</w:t>
      </w:r>
    </w:p>
    <w:p w14:paraId="2F5E8A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038DF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86B2D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BB8F5C" w14:textId="06156374" w:rsidR="008B7CA9" w:rsidRPr="002F2FDF" w:rsidRDefault="008B7CA9"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2 (15) декабря</w:t>
      </w:r>
      <w:r w:rsidR="00E52569">
        <w:rPr>
          <w:rStyle w:val="a7"/>
          <w:rFonts w:eastAsiaTheme="majorEastAsia"/>
          <w:b w:val="0"/>
          <w:color w:val="000000" w:themeColor="text1"/>
          <w:sz w:val="16"/>
          <w:szCs w:val="16"/>
        </w:rPr>
        <w:t xml:space="preserve"> </w:t>
      </w:r>
      <w:r w:rsidRPr="002F2FDF">
        <w:rPr>
          <w:rStyle w:val="a7"/>
          <w:rFonts w:eastAsiaTheme="majorEastAsia"/>
          <w:b w:val="0"/>
          <w:color w:val="000000" w:themeColor="text1"/>
          <w:sz w:val="16"/>
          <w:szCs w:val="16"/>
        </w:rPr>
        <w:t>1917</w:t>
      </w:r>
      <w:r w:rsidR="00E52569">
        <w:rPr>
          <w:color w:val="000000" w:themeColor="text1"/>
          <w:sz w:val="16"/>
          <w:szCs w:val="16"/>
        </w:rPr>
        <w:t xml:space="preserve"> </w:t>
      </w:r>
      <w:r w:rsidRPr="002F2FDF">
        <w:rPr>
          <w:color w:val="000000" w:themeColor="text1"/>
          <w:sz w:val="16"/>
          <w:szCs w:val="16"/>
        </w:rPr>
        <w:t>Поместный Собор принял «</w:t>
      </w:r>
      <w:r w:rsidRPr="002F2FDF">
        <w:rPr>
          <w:rStyle w:val="af0"/>
          <w:i w:val="0"/>
          <w:color w:val="000000" w:themeColor="text1"/>
          <w:sz w:val="16"/>
          <w:szCs w:val="16"/>
        </w:rPr>
        <w:t>Определение о правовом положении Православной Российской Церкви</w:t>
      </w:r>
      <w:r w:rsidRPr="002F2FDF">
        <w:rPr>
          <w:color w:val="000000" w:themeColor="text1"/>
          <w:sz w:val="16"/>
          <w:szCs w:val="16"/>
        </w:rPr>
        <w:t>». В нем констатировалась «</w:t>
      </w:r>
      <w:r w:rsidRPr="002F2FDF">
        <w:rPr>
          <w:rStyle w:val="af0"/>
          <w:i w:val="0"/>
          <w:color w:val="000000" w:themeColor="text1"/>
          <w:sz w:val="16"/>
          <w:szCs w:val="16"/>
        </w:rPr>
        <w:t>независимость Церкви от государственной власти</w:t>
      </w:r>
      <w:r w:rsidRPr="002F2FDF">
        <w:rPr>
          <w:color w:val="000000" w:themeColor="text1"/>
          <w:sz w:val="16"/>
          <w:szCs w:val="16"/>
        </w:rPr>
        <w:t>», но за Православием сохранялось «</w:t>
      </w:r>
      <w:r w:rsidRPr="002F2FDF">
        <w:rPr>
          <w:rStyle w:val="af0"/>
          <w:i w:val="0"/>
          <w:color w:val="000000" w:themeColor="text1"/>
          <w:sz w:val="16"/>
          <w:szCs w:val="16"/>
        </w:rPr>
        <w:t>первенствующее среди других исповеданий</w:t>
      </w:r>
      <w:r w:rsidRPr="002F2FDF">
        <w:rPr>
          <w:color w:val="000000" w:themeColor="text1"/>
          <w:sz w:val="16"/>
          <w:szCs w:val="16"/>
        </w:rPr>
        <w:t>» положение. Но, буквально следом публикуются Декреты новой власти, которые коренным образом меняют положение Церкви (18371).</w:t>
      </w:r>
    </w:p>
    <w:p w14:paraId="30779C8E" w14:textId="77777777" w:rsidR="008B7CA9" w:rsidRPr="002F2FDF" w:rsidRDefault="008B7CA9" w:rsidP="0083075A">
      <w:pPr>
        <w:pStyle w:val="ae"/>
        <w:spacing w:before="0" w:after="0"/>
        <w:jc w:val="both"/>
        <w:rPr>
          <w:color w:val="000000" w:themeColor="text1"/>
          <w:sz w:val="16"/>
          <w:szCs w:val="16"/>
        </w:rPr>
      </w:pPr>
    </w:p>
    <w:p w14:paraId="77BDCF25" w14:textId="0C0F7249" w:rsidR="008B7CA9" w:rsidRPr="002F2FDF" w:rsidRDefault="008B7CA9"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2 (15) декабря</w:t>
      </w:r>
      <w:r w:rsidR="00E52569">
        <w:rPr>
          <w:rStyle w:val="a7"/>
          <w:rFonts w:eastAsiaTheme="majorEastAsia"/>
          <w:b w:val="0"/>
          <w:color w:val="000000" w:themeColor="text1"/>
          <w:sz w:val="16"/>
          <w:szCs w:val="16"/>
        </w:rPr>
        <w:t xml:space="preserve"> </w:t>
      </w:r>
      <w:r w:rsidRPr="002F2FDF">
        <w:rPr>
          <w:rStyle w:val="a7"/>
          <w:rFonts w:eastAsiaTheme="majorEastAsia"/>
          <w:b w:val="0"/>
          <w:color w:val="000000" w:themeColor="text1"/>
          <w:sz w:val="16"/>
          <w:szCs w:val="16"/>
        </w:rPr>
        <w:t>1917</w:t>
      </w:r>
      <w:r w:rsidR="00E52569">
        <w:rPr>
          <w:color w:val="000000" w:themeColor="text1"/>
          <w:sz w:val="16"/>
          <w:szCs w:val="16"/>
        </w:rPr>
        <w:t xml:space="preserve"> </w:t>
      </w:r>
      <w:r w:rsidRPr="002F2FDF">
        <w:rPr>
          <w:color w:val="000000" w:themeColor="text1"/>
          <w:sz w:val="16"/>
          <w:szCs w:val="16"/>
        </w:rPr>
        <w:t>Таврический дворец, где накануне немногие депутаты Учредительного собрания пытались подготовить его заседание, оцеплен латышскими стрелками - солдатами Литовского резервного полка, матросами. Вход во дворец был запрещен кому бы то ни было. Состоялась, практически, репетиция будущих событий в Таврическом дворце 5-6 января 1918 года (18371).</w:t>
      </w:r>
    </w:p>
    <w:p w14:paraId="47C0BD4B" w14:textId="77777777" w:rsidR="008B7CA9" w:rsidRPr="002F2FDF" w:rsidRDefault="008B7CA9" w:rsidP="0083075A">
      <w:pPr>
        <w:pStyle w:val="ae"/>
        <w:spacing w:before="0" w:after="0"/>
        <w:jc w:val="both"/>
        <w:rPr>
          <w:color w:val="000000" w:themeColor="text1"/>
          <w:sz w:val="16"/>
          <w:szCs w:val="16"/>
        </w:rPr>
      </w:pPr>
    </w:p>
    <w:p w14:paraId="482AD4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декабря 1917 декретом ВЦИК и СНК был создан ВСНХ для регулирования всей экономической жизни по председательством Н.Осинского. Органами на местах стали совнархозы (3908,272).</w:t>
      </w:r>
    </w:p>
    <w:p w14:paraId="2E147B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C9A310" w14:textId="77777777" w:rsidR="001B016C" w:rsidRPr="002F2FDF" w:rsidRDefault="001B016C"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2 (15) декабря 1917 частные банки согласились на условия большевиков. 4 (17) декабря они приступили к работе, распределив между собой первую полученную наличность.</w:t>
      </w:r>
    </w:p>
    <w:p w14:paraId="6C8181F7" w14:textId="77777777" w:rsidR="001B016C" w:rsidRPr="002F2FDF" w:rsidRDefault="001B016C" w:rsidP="0083075A">
      <w:pPr>
        <w:pStyle w:val="a3"/>
        <w:rPr>
          <w:color w:val="000000" w:themeColor="text1"/>
          <w:lang w:val="ru-RU"/>
        </w:rPr>
      </w:pPr>
      <w:r w:rsidRPr="002F2FDF">
        <w:rPr>
          <w:rFonts w:eastAsia="Times New Roman"/>
          <w:color w:val="000000" w:themeColor="text1"/>
          <w:lang w:val="ru-RU" w:eastAsia="ru-RU"/>
        </w:rPr>
        <w:t>Но попытка Советской власти поставить под свой контроль частную кредитную систему закончилась провалом. Банкиры представляли в Госбанк не соответствующие действительности справки и ведомости, а расходовали полученную наличность по своему усмотрению. Перепадало и контрреволюционным организациям. Например, в "период контроля" Комитет акционерных банков передал несколько сот тысяч рублей Чайковскому, возглавлявшему антибольшевистский мятеж в Архангельске. Бегство капиталов из частных банков в этот период еще более возросло, чему в не малой степени способствовало регулярное снабжение банкиров наличными из Госбанка, т.е. от Советской власти. По соглашению с главным комиссаром Государственного банка союзу частных банков предоставлялось право получать 50 млн рублей в неделю со своих счетов в Госбанке, не считая счетов фабзавкомов, которые Госбанк обязывался оплатить по предъявлению чеков из частных банков. Благодаря этому соглашению банкиры</w:t>
      </w:r>
      <w:r w:rsidRPr="002F2FDF">
        <w:rPr>
          <w:color w:val="000000" w:themeColor="text1"/>
          <w:lang w:val="ru-RU"/>
        </w:rPr>
        <w:t xml:space="preserve"> могли выколачивать из национального банка не менее 300-350 млн рублей в месяц, правда, период контроля продолжался всего 10 дней. Еще до соглашения с Госбанком, когда стало ясно, что денежной наличности для обслуживания клиентов надолго не хватит, частные банки решили выйти из положения путем независимой от государства эмиссии. Из провинции поступали сведения о том, что там уже такие попытки предпринимаются. 17 (30) октября 1917 г. появились денежные суррогаты в Екатеринбурге, 10 (23) ноября в Воронеже, в это же время в Астрахани было введено чековое обращение. 22 декабря 1917 г. (4 января 1918 г.) выпущены кредитные билеты Украинской Народной республики в Киеве. Проекты введения местных бон вынашивались в Вятке, Екатеринославле, Одессе, Тифлисе, Ростове-на-Дону. Первоначально совещание представителей правлений частных банков в Петрограде 27 ноября (10 декабря) 1917 г. высказалось против выпуска бон местными отделениями. Но денежный голод в провинции все более разрастался и местные банковские комитеты стали прибегать к выпуску в обращение различного рода денежных суррогатов. Иногда комитеты ограничивались тем, что выпускали из имеющихся у них запасов наиболее подходящие для указанной роли государственные бумаги: купоны истекших сроков, билеты (серии) государственного казначейства, облигации "Займа Свободы". Такая ситуация наблюдалась в Баку, Казани, Армавире, Ростове-на-Дону, Туле и других городах. В других случаях комитеты выпускали совершенно новые денежные суррогаты: особые чеки, боны и т.д. Таким образом, вопрос о создании дополнительного эмиссионного аппарата обострился и требовал разрешения в срочном порядке.83 (18085)</w:t>
      </w:r>
    </w:p>
    <w:p w14:paraId="3F63C2D0" w14:textId="77777777" w:rsidR="001B016C" w:rsidRPr="002F2FDF" w:rsidRDefault="001B016C" w:rsidP="0083075A">
      <w:pPr>
        <w:pStyle w:val="a3"/>
        <w:rPr>
          <w:color w:val="000000" w:themeColor="text1"/>
          <w:lang w:val="ru-RU"/>
        </w:rPr>
      </w:pPr>
    </w:p>
    <w:p w14:paraId="713576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декабря 1917 решением большевистского руководства кадеты были исключены из состава депутатов Учредительного собрания (1348,88).</w:t>
      </w:r>
    </w:p>
    <w:p w14:paraId="2B1233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48D0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(15) декабря 1917 было подавлено большевистское восстание в Ростове (3481).</w:t>
      </w:r>
    </w:p>
    <w:p w14:paraId="287938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807D65" w14:textId="61098F88" w:rsidR="00312626" w:rsidRPr="002F2FDF" w:rsidRDefault="00312626" w:rsidP="0083075A">
      <w:pPr>
        <w:pStyle w:val="ae"/>
        <w:spacing w:before="0" w:after="0"/>
        <w:jc w:val="both"/>
        <w:rPr>
          <w:color w:val="000000" w:themeColor="text1"/>
          <w:kern w:val="2"/>
          <w:sz w:val="16"/>
          <w:szCs w:val="16"/>
        </w:rPr>
      </w:pPr>
      <w:r w:rsidRPr="002F2FDF">
        <w:rPr>
          <w:color w:val="000000" w:themeColor="text1"/>
          <w:kern w:val="2"/>
          <w:sz w:val="16"/>
          <w:szCs w:val="16"/>
        </w:rPr>
        <w:t>2 (15) декабря 1917 в Кишиневе была провозглашена Молдавская Демократическая Республика, претендовавшая на всю территорию Бессарабии, включая Буджак (южные районы, ныне входящие в состав Одесской области Украины). Парламент тогдашней суверенной Молдавии</w:t>
      </w:r>
      <w:r w:rsidR="00E52569">
        <w:rPr>
          <w:color w:val="000000" w:themeColor="text1"/>
          <w:kern w:val="2"/>
          <w:sz w:val="16"/>
          <w:szCs w:val="16"/>
        </w:rPr>
        <w:t xml:space="preserve"> </w:t>
      </w:r>
      <w:r w:rsidRPr="002F2FDF">
        <w:rPr>
          <w:color w:val="000000" w:themeColor="text1"/>
          <w:kern w:val="2"/>
          <w:sz w:val="16"/>
          <w:szCs w:val="16"/>
        </w:rPr>
        <w:t>назывался «Сфатул Цэрий» (в переводе «Совет страны» — РП). Депутаты Сфатул Цэрия проинформировали о создании новой республики большевистское правительство в Петрограде. На словах она была признана Советом Народных Комиссаров (СНК), но на деле большевики контролировали ряд ее районов (прежде всего тот самый Буджак) и передавать власть Сфатул Цэрию не спешили. В этой обстановке молдаване начали склоняться к мысли пригласить на свою территорию румынские войска (17045).</w:t>
      </w:r>
    </w:p>
    <w:p w14:paraId="55577424" w14:textId="77777777" w:rsidR="00312626" w:rsidRPr="002F2FDF" w:rsidRDefault="0031262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0F6AD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58355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6D8ECB" w14:textId="77777777" w:rsidR="0050748F" w:rsidRPr="002F2FDF" w:rsidRDefault="0050748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декабря 1917 было признано право Украины на самоопределение (12629).</w:t>
      </w:r>
    </w:p>
    <w:p w14:paraId="380BF7AF" w14:textId="77777777" w:rsidR="0050748F" w:rsidRPr="002F2FDF" w:rsidRDefault="0050748F"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29CAAB" w14:textId="77777777" w:rsidR="00312626" w:rsidRPr="002F2FDF" w:rsidRDefault="00312626" w:rsidP="0083075A">
      <w:pPr>
        <w:pStyle w:val="ae"/>
        <w:spacing w:before="0" w:after="0"/>
        <w:jc w:val="both"/>
        <w:rPr>
          <w:color w:val="000000" w:themeColor="text1"/>
          <w:kern w:val="2"/>
          <w:sz w:val="16"/>
          <w:szCs w:val="16"/>
        </w:rPr>
      </w:pPr>
      <w:r w:rsidRPr="002F2FDF">
        <w:rPr>
          <w:color w:val="000000" w:themeColor="text1"/>
          <w:kern w:val="2"/>
          <w:sz w:val="16"/>
          <w:szCs w:val="16"/>
        </w:rPr>
        <w:t>3 (16) декабря 1917 СНК признал право Украины на самоопределение, но на деле вел ту же двойную политику, как и в отношении Молдавии. Отряды красногвардейцев под командованием Владимира Антонова-Овсеенко заняли Харьков, также под контролем большевиков находилась Одесса и некоторые другие районы Украины (17045).</w:t>
      </w:r>
    </w:p>
    <w:p w14:paraId="6450D0A5" w14:textId="77777777" w:rsidR="00312626" w:rsidRPr="002F2FDF" w:rsidRDefault="00312626"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61319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(16) декабря 1917 Центральная Рада объявила о печатании украинских денежных знаков. (4962).</w:t>
      </w:r>
    </w:p>
    <w:p w14:paraId="2AB7698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5868C9" w14:textId="77777777" w:rsidR="00A074A8" w:rsidRPr="002F2FDF" w:rsidRDefault="00A074A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3 (16) декабря 1917 известный правый журналист и издатель Е.П. Семенов представил в Новочеркасске свой доклад группе генералов во главе с Л.Г. Корниловым и М.В. Алексеевым. После состоявшегося обсуждения Корнилов уполномочил Семенова настаивать перед союзными дипломатами на скорейшем проведении в жизнь проекта создания Северного фронта (15497).</w:t>
      </w:r>
    </w:p>
    <w:p w14:paraId="2FB8D3D1" w14:textId="77777777" w:rsidR="00A074A8" w:rsidRPr="002F2FDF" w:rsidRDefault="00A074A8" w:rsidP="0083075A">
      <w:pPr>
        <w:spacing w:after="0" w:line="240" w:lineRule="auto"/>
        <w:jc w:val="both"/>
        <w:rPr>
          <w:rFonts w:ascii="Times New Roman" w:hAnsi="Times New Roman" w:cs="Times New Roman"/>
          <w:color w:val="000000" w:themeColor="text1"/>
          <w:kern w:val="2"/>
          <w:sz w:val="16"/>
          <w:szCs w:val="16"/>
        </w:rPr>
      </w:pPr>
    </w:p>
    <w:p w14:paraId="60A2C8DF" w14:textId="77777777" w:rsidR="00383063" w:rsidRPr="002F2FDF" w:rsidRDefault="0038306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 (16) декабря 1917. В Большом театре состоялась премьера оперы Сен-Сана "Самсон и Далила". Дирижер Э. А. Купер" балетмейстер А. А. Горский. Исполнители: И. С. Д ы гас (Са мсон), Н. А. Обухова (Далила), Ф. В. Павловский (Верховный жрец Дагона), М. В. Воротынский (Абсме-лих), В. Р. Петров (Старый еврей) (18685).</w:t>
      </w:r>
    </w:p>
    <w:p w14:paraId="60010BF2" w14:textId="77777777" w:rsidR="00383063" w:rsidRPr="002F2FDF" w:rsidRDefault="00383063" w:rsidP="0083075A">
      <w:pPr>
        <w:spacing w:after="0" w:line="240" w:lineRule="auto"/>
        <w:jc w:val="both"/>
        <w:rPr>
          <w:rFonts w:ascii="Times New Roman" w:hAnsi="Times New Roman" w:cs="Times New Roman"/>
          <w:color w:val="000000" w:themeColor="text1"/>
          <w:sz w:val="16"/>
          <w:szCs w:val="16"/>
        </w:rPr>
      </w:pPr>
    </w:p>
    <w:p w14:paraId="2334233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2371E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A030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декабря 1917 Управление морской авиации уведомило компанию В.А.Лебедева о неизбежном аннулировании договора на постройку 175 поплавковых Фридрихсхафен из-за отсутствия двигателей (2843,53).</w:t>
      </w:r>
    </w:p>
    <w:p w14:paraId="175E84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19C90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 </w:t>
      </w:r>
      <w:r w:rsidR="00631AD8" w:rsidRPr="002F2FDF">
        <w:rPr>
          <w:rFonts w:ascii="Times New Roman" w:hAnsi="Times New Roman" w:cs="Times New Roman"/>
          <w:color w:val="000000" w:themeColor="text1"/>
          <w:kern w:val="2"/>
          <w:sz w:val="16"/>
          <w:szCs w:val="16"/>
        </w:rPr>
        <w:t xml:space="preserve">(17) </w:t>
      </w:r>
      <w:r w:rsidRPr="002F2FDF">
        <w:rPr>
          <w:rFonts w:ascii="Times New Roman" w:hAnsi="Times New Roman" w:cs="Times New Roman"/>
          <w:color w:val="000000" w:themeColor="text1"/>
          <w:kern w:val="2"/>
          <w:sz w:val="16"/>
          <w:szCs w:val="16"/>
        </w:rPr>
        <w:t>декабря 1917 Управление мор</w:t>
      </w:r>
      <w:r w:rsidRPr="002F2FDF">
        <w:rPr>
          <w:rFonts w:ascii="Times New Roman" w:hAnsi="Times New Roman" w:cs="Times New Roman"/>
          <w:color w:val="000000" w:themeColor="text1"/>
          <w:kern w:val="2"/>
          <w:sz w:val="16"/>
          <w:szCs w:val="16"/>
        </w:rPr>
        <w:softHyphen/>
        <w:t>ской авиации и воздухоплавания уведомило компанию В.А. Лебедева о неизбежном аннулирова</w:t>
      </w:r>
      <w:r w:rsidRPr="002F2FDF">
        <w:rPr>
          <w:rFonts w:ascii="Times New Roman" w:hAnsi="Times New Roman" w:cs="Times New Roman"/>
          <w:color w:val="000000" w:themeColor="text1"/>
          <w:kern w:val="2"/>
          <w:sz w:val="16"/>
          <w:szCs w:val="16"/>
        </w:rPr>
        <w:softHyphen/>
        <w:t>нии договора из-за отсутствия нужных двигателей. Действительно, согласно документам декабря 1917 г. 1300 различных моторов "Испано-Суиза" мощностью от 150 до 200 л.с. были заказаны флотом во Франции, а общее количество купленных за рубежом 200-сильных двигателей этой марки достигало 1400 единиц. Однако, только ДЕСЯТЬ из всей этой массы находились на складах и только ЧЕТЫРЕ из них были нужной мощности. Морское ведомство обязало фирму поставить два прототипа "Альбатроса" и вернуть германский аппарат, но, по всей видимости, ни один из опытных аэропланов так и не покинул таганрогского филиала — если даже и был построен там, а "Фридрихсхафен" никогда не возвратился на Балтику и судьба его неизвестна (2843).</w:t>
      </w:r>
    </w:p>
    <w:p w14:paraId="1840C9A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контракте на гидроаэропланы "Альбатрос" с мотором "Испано-Суиза"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2F2FDF" w14:paraId="1761E46B" w14:textId="77777777">
        <w:tc>
          <w:tcPr>
            <w:tcW w:w="4788" w:type="dxa"/>
            <w:tcBorders>
              <w:top w:val="single" w:sz="12" w:space="0" w:color="auto"/>
            </w:tcBorders>
            <w:shd w:val="clear" w:color="auto" w:fill="FFFFFF"/>
          </w:tcPr>
          <w:p w14:paraId="088434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52DA2F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 14 1917</w:t>
            </w:r>
          </w:p>
        </w:tc>
      </w:tr>
      <w:tr w:rsidR="002B1C74" w:rsidRPr="002F2FDF" w14:paraId="48FA0F88" w14:textId="77777777">
        <w:tc>
          <w:tcPr>
            <w:tcW w:w="4788" w:type="dxa"/>
            <w:shd w:val="clear" w:color="auto" w:fill="FFFFFF"/>
          </w:tcPr>
          <w:p w14:paraId="2184A7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заказанных аэропланов</w:t>
            </w:r>
          </w:p>
        </w:tc>
        <w:tc>
          <w:tcPr>
            <w:tcW w:w="4788" w:type="dxa"/>
            <w:shd w:val="clear" w:color="auto" w:fill="FFFFFF"/>
          </w:tcPr>
          <w:p w14:paraId="79262F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175</w:t>
            </w:r>
          </w:p>
        </w:tc>
      </w:tr>
      <w:tr w:rsidR="002B1C74" w:rsidRPr="002F2FDF" w14:paraId="562994E5" w14:textId="77777777">
        <w:tc>
          <w:tcPr>
            <w:tcW w:w="4788" w:type="dxa"/>
            <w:shd w:val="clear" w:color="auto" w:fill="FFFFFF"/>
          </w:tcPr>
          <w:p w14:paraId="3C32A4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Заводские номера сданных аэропланов</w:t>
            </w:r>
          </w:p>
        </w:tc>
        <w:tc>
          <w:tcPr>
            <w:tcW w:w="4788" w:type="dxa"/>
            <w:shd w:val="clear" w:color="auto" w:fill="FFFFFF"/>
          </w:tcPr>
          <w:p w14:paraId="7DEF08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1ACD8AD3" w14:textId="77777777">
        <w:tc>
          <w:tcPr>
            <w:tcW w:w="4788" w:type="dxa"/>
            <w:tcBorders>
              <w:bottom w:val="single" w:sz="12" w:space="0" w:color="auto"/>
            </w:tcBorders>
            <w:shd w:val="clear" w:color="auto" w:fill="FFFFFF"/>
          </w:tcPr>
          <w:p w14:paraId="144201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434A77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20.000 руб. за аппарат без мотора, срок исполнения с 31 июля по 31 декабря 1917 г. Примечания: контракт был предположительно сначала сокращен до 100 аппаратов (дата неизвестна), а затем расторгнут 4 декабря 1917 г. (2 прототипа должны были быть проданы флоту, но и этого не случилось) (2843).</w:t>
            </w:r>
          </w:p>
        </w:tc>
      </w:tr>
    </w:tbl>
    <w:p w14:paraId="5A53797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66FE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де</w:t>
      </w:r>
      <w:r w:rsidRPr="002F2FDF">
        <w:rPr>
          <w:rFonts w:ascii="Times New Roman" w:hAnsi="Times New Roman" w:cs="Times New Roman"/>
          <w:color w:val="000000" w:themeColor="text1"/>
          <w:kern w:val="2"/>
          <w:sz w:val="16"/>
          <w:szCs w:val="16"/>
        </w:rPr>
        <w:softHyphen/>
        <w:t>кабря 1917 г. вышло распоряжение о постройке на бердянском заво</w:t>
      </w:r>
      <w:r w:rsidRPr="002F2FDF">
        <w:rPr>
          <w:rFonts w:ascii="Times New Roman" w:hAnsi="Times New Roman" w:cs="Times New Roman"/>
          <w:color w:val="000000" w:themeColor="text1"/>
          <w:kern w:val="2"/>
          <w:sz w:val="16"/>
          <w:szCs w:val="16"/>
        </w:rPr>
        <w:softHyphen/>
        <w:t>де Матиас 100 самолетов “Анасаль” — благо, двигателей “Сальмсон” для них было в достатке. После выполнения этого заказа предполага</w:t>
      </w:r>
      <w:r w:rsidRPr="002F2FDF">
        <w:rPr>
          <w:rFonts w:ascii="Times New Roman" w:hAnsi="Times New Roman" w:cs="Times New Roman"/>
          <w:color w:val="000000" w:themeColor="text1"/>
          <w:kern w:val="2"/>
          <w:sz w:val="16"/>
          <w:szCs w:val="16"/>
        </w:rPr>
        <w:softHyphen/>
        <w:t>лось, что “Матиас” перейдет к выпуску гражданской продукции (11154).</w:t>
      </w:r>
    </w:p>
    <w:p w14:paraId="3D3D760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E586A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56B1F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B14210" w14:textId="77777777" w:rsidR="00383063" w:rsidRPr="002F2FDF" w:rsidRDefault="0038306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 (17) декабря 1917 из Киева ушла телеграмма войскам Юго-Западного и Румынского фронтов с приказом о слиянии их в единый Украинский фронт, подчиненный непосредственно правительству УНР. Кроме того, местным властям надлежало прекратить всякое снабжение воинских частей, не признавших главенства Центральной Рады, и организовать на шоссейных и железных дорогах кордоны для разоружения следующих в Россию частей и подразделений (18562).</w:t>
      </w:r>
    </w:p>
    <w:p w14:paraId="10403A41" w14:textId="77777777" w:rsidR="00383063" w:rsidRPr="002F2FDF" w:rsidRDefault="00383063" w:rsidP="0083075A">
      <w:pPr>
        <w:spacing w:after="0" w:line="240" w:lineRule="auto"/>
        <w:jc w:val="both"/>
        <w:rPr>
          <w:rFonts w:ascii="Times New Roman" w:hAnsi="Times New Roman" w:cs="Times New Roman"/>
          <w:color w:val="000000" w:themeColor="text1"/>
          <w:sz w:val="16"/>
          <w:szCs w:val="16"/>
        </w:rPr>
      </w:pPr>
    </w:p>
    <w:p w14:paraId="4E6AE417" w14:textId="7A8D6341" w:rsidR="00FE2C00" w:rsidRPr="00FB4F67" w:rsidRDefault="00FE2C0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4 (</w:t>
      </w:r>
      <w:r w:rsidRPr="00FB4F67">
        <w:rPr>
          <w:rFonts w:ascii="Times New Roman" w:hAnsi="Times New Roman" w:cs="Times New Roman"/>
          <w:color w:val="0070C0"/>
          <w:sz w:val="16"/>
          <w:szCs w:val="16"/>
        </w:rPr>
        <w:t>17</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декабря 1917 г. в Киеве военное командование Украины (УНР) отдало приказ о преобразовании бывших Юго-Западного и Румынского фронтов в Украинский фронт и о сборе всей бывшей российской авиационной техники. Красные направили из Могилева в Киев комиссара А. В. Сергеева, надеясь уговорить командующего Воздушным флотом УНР Полковника В. Г. Баранова разрешить вывезти обратно в Россию технику всех частей авиации фронта, но Баранов отказался (23525).</w:t>
      </w:r>
    </w:p>
    <w:p w14:paraId="75BD2E21" w14:textId="77777777" w:rsidR="00FE2C00" w:rsidRPr="00FB4F67" w:rsidRDefault="00FE2C00" w:rsidP="0083075A">
      <w:pPr>
        <w:spacing w:after="0" w:line="240" w:lineRule="auto"/>
        <w:jc w:val="both"/>
        <w:rPr>
          <w:rFonts w:ascii="Times New Roman" w:hAnsi="Times New Roman" w:cs="Times New Roman"/>
          <w:color w:val="0070C0"/>
          <w:sz w:val="16"/>
          <w:szCs w:val="16"/>
        </w:rPr>
      </w:pPr>
    </w:p>
    <w:p w14:paraId="0B078C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декабря 1917 Правительство Украинской народной республики объявило, что "Петроградское правительство народных комиссаров с каждым днем показывает неспособность вести армию Российской республики к миру" и подчинило себе Юго-Западный и Румынский фронты, объединив их в единый Украинский фронт (70,55).</w:t>
      </w:r>
    </w:p>
    <w:p w14:paraId="3B9E6B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80557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15C4B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DC0FDC" w14:textId="5D316E5E" w:rsidR="00383063" w:rsidRPr="002F2FDF" w:rsidRDefault="00383063"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4 (17) декабря</w:t>
      </w:r>
      <w:r w:rsidR="00E52569">
        <w:rPr>
          <w:rStyle w:val="a7"/>
          <w:rFonts w:eastAsiaTheme="majorEastAsia"/>
          <w:b w:val="0"/>
          <w:color w:val="000000" w:themeColor="text1"/>
          <w:sz w:val="16"/>
          <w:szCs w:val="16"/>
        </w:rPr>
        <w:t xml:space="preserve"> </w:t>
      </w:r>
      <w:r w:rsidRPr="002F2FDF">
        <w:rPr>
          <w:rStyle w:val="a7"/>
          <w:rFonts w:eastAsiaTheme="majorEastAsia"/>
          <w:b w:val="0"/>
          <w:color w:val="000000" w:themeColor="text1"/>
          <w:sz w:val="16"/>
          <w:szCs w:val="16"/>
        </w:rPr>
        <w:t>1917</w:t>
      </w:r>
      <w:r w:rsidR="00E52569">
        <w:rPr>
          <w:color w:val="000000" w:themeColor="text1"/>
          <w:sz w:val="16"/>
          <w:szCs w:val="16"/>
        </w:rPr>
        <w:t xml:space="preserve"> </w:t>
      </w:r>
      <w:r w:rsidRPr="002F2FDF">
        <w:rPr>
          <w:color w:val="000000" w:themeColor="text1"/>
          <w:sz w:val="16"/>
          <w:szCs w:val="16"/>
        </w:rPr>
        <w:t>новой властью принят Декрет о Земельных Комитетах, который, в частности, касался наделов земли, принадлежащих храмам и монастырям.</w:t>
      </w:r>
    </w:p>
    <w:p w14:paraId="51595ACA" w14:textId="77777777" w:rsidR="00383063" w:rsidRPr="002F2FDF" w:rsidRDefault="00383063" w:rsidP="0083075A">
      <w:pPr>
        <w:pStyle w:val="ae"/>
        <w:spacing w:before="0" w:after="0"/>
        <w:jc w:val="both"/>
        <w:rPr>
          <w:color w:val="000000" w:themeColor="text1"/>
          <w:sz w:val="16"/>
          <w:szCs w:val="16"/>
        </w:rPr>
      </w:pPr>
      <w:r w:rsidRPr="002F2FDF">
        <w:rPr>
          <w:color w:val="000000" w:themeColor="text1"/>
          <w:sz w:val="16"/>
          <w:szCs w:val="16"/>
        </w:rPr>
        <w:t>Состоявшийся в этот день Губернский Съезд Земельных Комитетов власти большевиков не признал. Партийные и советские органы сразу же провели избрание новых уездных комитетов, которые стали отделами Советов. В результате к февралю было конфисковано в целом по Московской губернии 81, 3% помещичьих земель (18371).</w:t>
      </w:r>
    </w:p>
    <w:p w14:paraId="6BFCD890" w14:textId="77777777" w:rsidR="00383063" w:rsidRPr="002F2FDF" w:rsidRDefault="00383063" w:rsidP="0083075A">
      <w:pPr>
        <w:pStyle w:val="ae"/>
        <w:spacing w:before="0" w:after="0"/>
        <w:jc w:val="both"/>
        <w:rPr>
          <w:color w:val="000000" w:themeColor="text1"/>
          <w:sz w:val="16"/>
          <w:szCs w:val="16"/>
        </w:rPr>
      </w:pPr>
    </w:p>
    <w:p w14:paraId="5E0CFCB4" w14:textId="77777777" w:rsidR="00383063" w:rsidRPr="002F2FDF" w:rsidRDefault="0038306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 (17) декабря 1917. С помощью военных в Москве закрыты все судебные учреждения (18685).</w:t>
      </w:r>
    </w:p>
    <w:p w14:paraId="334770EA" w14:textId="77777777" w:rsidR="00383063" w:rsidRPr="002F2FDF" w:rsidRDefault="00383063" w:rsidP="0083075A">
      <w:pPr>
        <w:spacing w:after="0" w:line="240" w:lineRule="auto"/>
        <w:jc w:val="both"/>
        <w:rPr>
          <w:rFonts w:ascii="Times New Roman" w:hAnsi="Times New Roman" w:cs="Times New Roman"/>
          <w:color w:val="000000" w:themeColor="text1"/>
          <w:sz w:val="16"/>
          <w:szCs w:val="16"/>
        </w:rPr>
      </w:pPr>
    </w:p>
    <w:p w14:paraId="56C38D95" w14:textId="77777777" w:rsidR="00EF1095" w:rsidRPr="002F2FDF" w:rsidRDefault="00EF109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4 (17) декабря 1917 г. правительство большевиков заключило с банкирами соглашение о работе частных банков под контролем, но следующие 10 дней показали – банкиры работу саботируют. 27 декабря 1917 г.н.с. была выставлена вооруженная охрана у всех частных банков Петрограда. В этот же день ВЦИК декретом национализировал все банки, были инвентаризированы все сейфы – денежный контроль перешел в руки большевиков (17326).</w:t>
      </w:r>
    </w:p>
    <w:p w14:paraId="271B7F65" w14:textId="77777777" w:rsidR="00EF1095" w:rsidRPr="002F2FDF" w:rsidRDefault="00EF109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F31F9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декабря 1917 в СССР церковь отделена от школы (4962).</w:t>
      </w:r>
    </w:p>
    <w:p w14:paraId="5E1055F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BE20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декабря 1917 вышел декрет о гражданском браке (3263,740). Есть данные, что 18 (31) декабря 1917</w:t>
      </w:r>
    </w:p>
    <w:p w14:paraId="1FF369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219C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декабря 1917 Центральной раде был предъявлен ультиматум с требованием не оказывать поддержки г Каледину, прекратить дезорганизацию фронта, не пропускать военные части на Дон (3908,272).</w:t>
      </w:r>
    </w:p>
    <w:p w14:paraId="1C6E48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EC5CAE" w14:textId="77777777" w:rsidR="00EF1095" w:rsidRPr="002F2FDF" w:rsidRDefault="00885424"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4-6 (</w:t>
      </w:r>
      <w:r w:rsidR="00EF1095" w:rsidRPr="002F2FDF">
        <w:rPr>
          <w:rFonts w:ascii="Times New Roman" w:eastAsia="Times New Roman" w:hAnsi="Times New Roman" w:cs="Times New Roman"/>
          <w:color w:val="000000" w:themeColor="text1"/>
          <w:kern w:val="2"/>
          <w:sz w:val="16"/>
          <w:szCs w:val="16"/>
          <w:lang w:eastAsia="ru-RU"/>
        </w:rPr>
        <w:t>17 – 19</w:t>
      </w:r>
      <w:r w:rsidRPr="002F2FDF">
        <w:rPr>
          <w:rFonts w:ascii="Times New Roman" w:eastAsia="Times New Roman" w:hAnsi="Times New Roman" w:cs="Times New Roman"/>
          <w:color w:val="000000" w:themeColor="text1"/>
          <w:kern w:val="2"/>
          <w:sz w:val="16"/>
          <w:szCs w:val="16"/>
          <w:lang w:eastAsia="ru-RU"/>
        </w:rPr>
        <w:t>)</w:t>
      </w:r>
      <w:r w:rsidR="00EF1095" w:rsidRPr="002F2FDF">
        <w:rPr>
          <w:rFonts w:ascii="Times New Roman" w:eastAsia="Times New Roman" w:hAnsi="Times New Roman" w:cs="Times New Roman"/>
          <w:color w:val="000000" w:themeColor="text1"/>
          <w:kern w:val="2"/>
          <w:sz w:val="16"/>
          <w:szCs w:val="16"/>
          <w:lang w:eastAsia="ru-RU"/>
        </w:rPr>
        <w:t xml:space="preserve"> декабря 1917 г. апогей винных погромов, создан «Комитет по борьбе с погромами», в городе введено осадное положение</w:t>
      </w:r>
      <w:r w:rsidRPr="002F2FDF">
        <w:rPr>
          <w:rFonts w:ascii="Times New Roman" w:eastAsia="Times New Roman" w:hAnsi="Times New Roman" w:cs="Times New Roman"/>
          <w:color w:val="000000" w:themeColor="text1"/>
          <w:kern w:val="2"/>
          <w:sz w:val="16"/>
          <w:szCs w:val="16"/>
          <w:lang w:eastAsia="ru-RU"/>
        </w:rPr>
        <w:t xml:space="preserve">. </w:t>
      </w:r>
      <w:r w:rsidR="00EF1095" w:rsidRPr="002F2FDF">
        <w:rPr>
          <w:rFonts w:ascii="Times New Roman" w:eastAsia="Times New Roman" w:hAnsi="Times New Roman" w:cs="Times New Roman"/>
          <w:bCs/>
          <w:iCs/>
          <w:color w:val="000000" w:themeColor="text1"/>
          <w:kern w:val="2"/>
          <w:sz w:val="16"/>
          <w:szCs w:val="16"/>
          <w:lang w:eastAsia="ru-RU"/>
        </w:rPr>
        <w:t>«Санкт-Петербург. Петроград. Ленинград.» Э.спр. М., «БРЭ», 1992:</w:t>
      </w:r>
    </w:p>
    <w:p w14:paraId="7FAC687B" w14:textId="77777777" w:rsidR="00EF1095" w:rsidRPr="002F2FDF" w:rsidRDefault="00EF1095" w:rsidP="0083075A">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bCs/>
          <w:color w:val="000000" w:themeColor="text1"/>
          <w:kern w:val="2"/>
          <w:sz w:val="16"/>
          <w:szCs w:val="16"/>
          <w:lang w:eastAsia="ru-RU"/>
        </w:rPr>
        <w:t xml:space="preserve">«винные погромы, нападения на винные погреба и склады в Петрограде в ноябре 1917 — январе 1918. Громилы, увлекая за собой малосознательную часть солдат гарнизона Петрограда, разгоняли малочисленную охрану складов и погребов (в 1917 их было 570), перепивались, открывали стрельбу, грабили соседние магазины и квартиры.» «В начале декабря 1917 В. п. достигли апогея: только в ночь на 4 </w:t>
      </w:r>
      <w:r w:rsidRPr="002F2FDF">
        <w:rPr>
          <w:rFonts w:ascii="Times New Roman" w:eastAsia="Times New Roman" w:hAnsi="Times New Roman" w:cs="Times New Roman"/>
          <w:color w:val="000000" w:themeColor="text1"/>
          <w:kern w:val="2"/>
          <w:sz w:val="16"/>
          <w:szCs w:val="16"/>
          <w:lang w:eastAsia="ru-RU"/>
        </w:rPr>
        <w:t>(17) декабря</w:t>
      </w:r>
      <w:r w:rsidRPr="002F2FDF">
        <w:rPr>
          <w:rFonts w:ascii="Times New Roman" w:eastAsia="Times New Roman" w:hAnsi="Times New Roman" w:cs="Times New Roman"/>
          <w:bCs/>
          <w:color w:val="000000" w:themeColor="text1"/>
          <w:kern w:val="2"/>
          <w:sz w:val="16"/>
          <w:szCs w:val="16"/>
          <w:lang w:eastAsia="ru-RU"/>
        </w:rPr>
        <w:t xml:space="preserve"> произошло 69 нападений на погреба и склады. Для их пресечения 4 </w:t>
      </w:r>
      <w:r w:rsidRPr="002F2FDF">
        <w:rPr>
          <w:rFonts w:ascii="Times New Roman" w:eastAsia="Times New Roman" w:hAnsi="Times New Roman" w:cs="Times New Roman"/>
          <w:color w:val="000000" w:themeColor="text1"/>
          <w:kern w:val="2"/>
          <w:sz w:val="16"/>
          <w:szCs w:val="16"/>
          <w:lang w:eastAsia="ru-RU"/>
        </w:rPr>
        <w:t>(17) декабря 1917</w:t>
      </w:r>
      <w:r w:rsidRPr="002F2FDF">
        <w:rPr>
          <w:rFonts w:ascii="Times New Roman" w:eastAsia="Times New Roman" w:hAnsi="Times New Roman" w:cs="Times New Roman"/>
          <w:bCs/>
          <w:color w:val="000000" w:themeColor="text1"/>
          <w:kern w:val="2"/>
          <w:sz w:val="16"/>
          <w:szCs w:val="16"/>
          <w:lang w:eastAsia="ru-RU"/>
        </w:rPr>
        <w:t xml:space="preserve"> основан </w:t>
      </w:r>
      <w:r w:rsidRPr="002F2FDF">
        <w:rPr>
          <w:rFonts w:ascii="Times New Roman" w:eastAsia="Times New Roman" w:hAnsi="Times New Roman" w:cs="Times New Roman"/>
          <w:bCs/>
          <w:iCs/>
          <w:color w:val="000000" w:themeColor="text1"/>
          <w:kern w:val="2"/>
          <w:sz w:val="16"/>
          <w:szCs w:val="16"/>
          <w:lang w:eastAsia="ru-RU"/>
        </w:rPr>
        <w:t>Комитет по борьбе с погромами</w:t>
      </w:r>
      <w:r w:rsidRPr="002F2FDF">
        <w:rPr>
          <w:rFonts w:ascii="Times New Roman" w:eastAsia="Times New Roman" w:hAnsi="Times New Roman" w:cs="Times New Roman"/>
          <w:bCs/>
          <w:color w:val="000000" w:themeColor="text1"/>
          <w:kern w:val="2"/>
          <w:sz w:val="16"/>
          <w:szCs w:val="16"/>
          <w:lang w:eastAsia="ru-RU"/>
        </w:rPr>
        <w:t xml:space="preserve">, который 6 </w:t>
      </w:r>
      <w:r w:rsidRPr="002F2FDF">
        <w:rPr>
          <w:rFonts w:ascii="Times New Roman" w:eastAsia="Times New Roman" w:hAnsi="Times New Roman" w:cs="Times New Roman"/>
          <w:color w:val="000000" w:themeColor="text1"/>
          <w:kern w:val="2"/>
          <w:sz w:val="16"/>
          <w:szCs w:val="16"/>
          <w:lang w:eastAsia="ru-RU"/>
        </w:rPr>
        <w:t>(19) декабря</w:t>
      </w:r>
      <w:r w:rsidRPr="002F2FDF">
        <w:rPr>
          <w:rFonts w:ascii="Times New Roman" w:eastAsia="Times New Roman" w:hAnsi="Times New Roman" w:cs="Times New Roman"/>
          <w:bCs/>
          <w:color w:val="000000" w:themeColor="text1"/>
          <w:kern w:val="2"/>
          <w:sz w:val="16"/>
          <w:szCs w:val="16"/>
          <w:lang w:eastAsia="ru-RU"/>
        </w:rPr>
        <w:t xml:space="preserve"> ввёл в Петроград осадное положение</w:t>
      </w:r>
      <w:r w:rsidR="00885424" w:rsidRPr="002F2FDF">
        <w:rPr>
          <w:rFonts w:ascii="Times New Roman" w:eastAsia="Times New Roman" w:hAnsi="Times New Roman" w:cs="Times New Roman"/>
          <w:bCs/>
          <w:color w:val="000000" w:themeColor="text1"/>
          <w:kern w:val="2"/>
          <w:sz w:val="16"/>
          <w:szCs w:val="16"/>
          <w:lang w:eastAsia="ru-RU"/>
        </w:rPr>
        <w:t xml:space="preserve"> (17326)</w:t>
      </w:r>
      <w:r w:rsidRPr="002F2FDF">
        <w:rPr>
          <w:rFonts w:ascii="Times New Roman" w:eastAsia="Times New Roman" w:hAnsi="Times New Roman" w:cs="Times New Roman"/>
          <w:bCs/>
          <w:color w:val="000000" w:themeColor="text1"/>
          <w:kern w:val="2"/>
          <w:sz w:val="16"/>
          <w:szCs w:val="16"/>
          <w:lang w:eastAsia="ru-RU"/>
        </w:rPr>
        <w:t>.</w:t>
      </w:r>
    </w:p>
    <w:p w14:paraId="14313EC2" w14:textId="77777777" w:rsidR="00EF1095" w:rsidRPr="002F2FDF" w:rsidRDefault="00EF109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41468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декабря 1917 советское правительство предъявило ультиматум Центральной Раде с требованием прекратить пропуск казаков через Украину (4962).</w:t>
      </w:r>
    </w:p>
    <w:p w14:paraId="233CAAA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6A8B52" w14:textId="77777777" w:rsidR="0050748F" w:rsidRPr="002F2FDF" w:rsidRDefault="0050748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декабря 1917 большевистское правительство выдвинуло Украине ультиматум с требованием «оказывать содействие революционным войскам в деле их борьбы с контрреволюционным кадетско-калединским восстанием», который УЦР отвергла. Большевистские депутаты переехали в Харьков (12629).</w:t>
      </w:r>
    </w:p>
    <w:p w14:paraId="376FC8C4" w14:textId="77777777" w:rsidR="0050748F" w:rsidRPr="002F2FDF" w:rsidRDefault="0050748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75EA55" w14:textId="77777777" w:rsidR="00312626" w:rsidRPr="002F2FDF" w:rsidRDefault="00312626" w:rsidP="0083075A">
      <w:pPr>
        <w:pStyle w:val="ae"/>
        <w:spacing w:before="0" w:after="0"/>
        <w:jc w:val="both"/>
        <w:rPr>
          <w:color w:val="000000" w:themeColor="text1"/>
          <w:kern w:val="2"/>
          <w:sz w:val="16"/>
          <w:szCs w:val="16"/>
        </w:rPr>
      </w:pPr>
      <w:r w:rsidRPr="002F2FDF">
        <w:rPr>
          <w:color w:val="000000" w:themeColor="text1"/>
          <w:kern w:val="2"/>
          <w:sz w:val="16"/>
          <w:szCs w:val="16"/>
        </w:rPr>
        <w:t>4 (17) декабря 1917 правительство Советской России потребовало от Центральной рады Украины помочь в борьбе с «контрреволюционным кадетско-калединским восстанием» на Дону, но рада ответила отказом. В этот же день в Киеве открылся I Всеукраинский съезд советов рабочих, солдатских и крестьянских депутатов, который, по замыслу большевиков, должен был провозгласить «рабоче-крестьянское» украинское государство, отобрав власть у Рады. Но эта затея провалилась — на съезд прибыли более 2000 делегатов, но большевиков среди них оказалось всего 100 человек. Большинство делегатов и этого съезда высказались в поддержку Центральной рады. Обиженные большевики покинули киевский съезд и начали перебираться в занятый красногвардейцами Харьков 917045).</w:t>
      </w:r>
    </w:p>
    <w:p w14:paraId="04ABA4A3" w14:textId="77777777" w:rsidR="00312626" w:rsidRPr="002F2FDF" w:rsidRDefault="0031262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D7A7F4" w14:textId="77777777" w:rsidR="00EF1095" w:rsidRPr="002F2FDF" w:rsidRDefault="00EF109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lastRenderedPageBreak/>
        <w:t>4 (17) декабря 1917 г.н.с. СНК предъявил Украинской Центральной Раде ультиматум от имени Советского правительства Украины. СНК требовал выполнить ряд требований по борьбе с контрреволюцией, декларировалось, что если Рада за 48 часов требование не выполнит, то СНК объявит Раде войну. Рада ответила, начались переговоры, они 30 декабря н.с. закончились безрезультатно, а 24 января 1918 г. Рада 4-м универсалом объявила Украину независимой (17326).</w:t>
      </w:r>
    </w:p>
    <w:p w14:paraId="375311F5" w14:textId="77777777" w:rsidR="00EF1095" w:rsidRPr="002F2FDF" w:rsidRDefault="00EF109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E4C77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BC3C8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F305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декабря 1917 г. президент США В.Вильсон заявил в конгрессе, что народам Османской империи будет предоставлено право на самоопределение. За ним с примерно аналогичными заявлениями выступили министр иностранных дел Франции Питон и премьер-министр Великобритании Ллойд-Джордж (3871).</w:t>
      </w:r>
    </w:p>
    <w:p w14:paraId="7625CA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E0E346" w14:textId="77777777" w:rsidR="00885424" w:rsidRPr="002F2FDF" w:rsidRDefault="00885424"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(17) декабря 1917 г. случайно столкнулись американские подлодки Carp и Pickerel, лодка Carp от столкновения затонула (17326).</w:t>
      </w:r>
    </w:p>
    <w:p w14:paraId="287BCA13" w14:textId="77777777" w:rsidR="00885424" w:rsidRPr="002F2FDF" w:rsidRDefault="00885424"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0405FB" w14:textId="77777777" w:rsidR="00C27B4B"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566482D" w14:textId="77777777" w:rsidR="00C27B4B" w:rsidRPr="002F2FDF" w:rsidRDefault="00C27B4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EB9F97" w14:textId="77777777" w:rsidR="00C27B4B" w:rsidRPr="002F2FDF" w:rsidRDefault="00C27B4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декабря 1917 г. Станюкович - военприемщик на Симферопольском заводе Анатра - отправил в Петроград рапорт, в котором указал, что принятые 50 «Ньюпоров» в настоящее время собираются (интересно, как он их принимал тремя месяцами ранее — кусками, что ли?), и для проведения летных испытаний просил прислать хотя бы 5 моторов. 19 декабря пришел ответ из УВВФ — на складах моторы «Рон» отсутствуют. 18 января 1918 г. Станюковича обнадежили, обещая прислать в скором времени требуемые двигатели из Архангельска, и 5 февраля он подписал свидетельство о приемке очередных 50 истребителей (сер. №№ 151-200). Таким образом, формально контракт был выполнен, хотя реально ни один (!) самолет не поднялся в воздух. Впоследствии часть остававшихся в Симферополе «Ньюпоров» все-таки получила двигатели, поскольку с января 1919 г., по крайней мере, 10 таких самолетов с анатровскими серийными номерами появились в списках мат-части Добровольческой армии (12252).</w:t>
      </w:r>
    </w:p>
    <w:p w14:paraId="6D565B5D" w14:textId="77777777" w:rsidR="00C27B4B" w:rsidRPr="002F2FDF" w:rsidRDefault="00C27B4B" w:rsidP="0083075A">
      <w:pPr>
        <w:spacing w:after="0" w:line="240" w:lineRule="auto"/>
        <w:jc w:val="both"/>
        <w:rPr>
          <w:rFonts w:ascii="Times New Roman" w:hAnsi="Times New Roman" w:cs="Times New Roman"/>
          <w:color w:val="000000" w:themeColor="text1"/>
          <w:kern w:val="2"/>
          <w:sz w:val="16"/>
          <w:szCs w:val="16"/>
        </w:rPr>
      </w:pPr>
    </w:p>
    <w:p w14:paraId="24FBF42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0D134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D750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декабря 1917, выполняя постановление Военно-Революционного комитета, “гражданин” Казаков приказывает “...прекратить всякие полеты на фронте”. А вскоре солдатский коми</w:t>
      </w:r>
      <w:r w:rsidRPr="002F2FDF">
        <w:rPr>
          <w:rFonts w:ascii="Times New Roman" w:hAnsi="Times New Roman" w:cs="Times New Roman"/>
          <w:color w:val="000000" w:themeColor="text1"/>
          <w:kern w:val="2"/>
          <w:sz w:val="16"/>
          <w:szCs w:val="16"/>
        </w:rPr>
        <w:softHyphen/>
        <w:t>тет 1-й БАГ решил полностью устра</w:t>
      </w:r>
      <w:r w:rsidRPr="002F2FDF">
        <w:rPr>
          <w:rFonts w:ascii="Times New Roman" w:hAnsi="Times New Roman" w:cs="Times New Roman"/>
          <w:color w:val="000000" w:themeColor="text1"/>
          <w:kern w:val="2"/>
          <w:sz w:val="16"/>
          <w:szCs w:val="16"/>
        </w:rPr>
        <w:softHyphen/>
        <w:t>нить “граждан” офицеров от командо</w:t>
      </w:r>
      <w:r w:rsidRPr="002F2FDF">
        <w:rPr>
          <w:rFonts w:ascii="Times New Roman" w:hAnsi="Times New Roman" w:cs="Times New Roman"/>
          <w:color w:val="000000" w:themeColor="text1"/>
          <w:kern w:val="2"/>
          <w:sz w:val="16"/>
          <w:szCs w:val="16"/>
        </w:rPr>
        <w:softHyphen/>
        <w:t>вания при помощи весьма “демокра</w:t>
      </w:r>
      <w:r w:rsidRPr="002F2FDF">
        <w:rPr>
          <w:rFonts w:ascii="Times New Roman" w:hAnsi="Times New Roman" w:cs="Times New Roman"/>
          <w:color w:val="000000" w:themeColor="text1"/>
          <w:kern w:val="2"/>
          <w:sz w:val="16"/>
          <w:szCs w:val="16"/>
        </w:rPr>
        <w:softHyphen/>
        <w:t>тической” процедуры - общего собра</w:t>
      </w:r>
      <w:r w:rsidRPr="002F2FDF">
        <w:rPr>
          <w:rFonts w:ascii="Times New Roman" w:hAnsi="Times New Roman" w:cs="Times New Roman"/>
          <w:color w:val="000000" w:themeColor="text1"/>
          <w:kern w:val="2"/>
          <w:sz w:val="16"/>
          <w:szCs w:val="16"/>
        </w:rPr>
        <w:softHyphen/>
        <w:t>ния солдат, где верховодили обозни</w:t>
      </w:r>
      <w:r w:rsidRPr="002F2FDF">
        <w:rPr>
          <w:rFonts w:ascii="Times New Roman" w:hAnsi="Times New Roman" w:cs="Times New Roman"/>
          <w:color w:val="000000" w:themeColor="text1"/>
          <w:kern w:val="2"/>
          <w:sz w:val="16"/>
          <w:szCs w:val="16"/>
        </w:rPr>
        <w:softHyphen/>
        <w:t>ки. 11 декабря большинством голосов при тайном голосовании командиром группы был избран летчик унтер-офи</w:t>
      </w:r>
      <w:r w:rsidRPr="002F2FDF">
        <w:rPr>
          <w:rFonts w:ascii="Times New Roman" w:hAnsi="Times New Roman" w:cs="Times New Roman"/>
          <w:color w:val="000000" w:themeColor="text1"/>
          <w:kern w:val="2"/>
          <w:sz w:val="16"/>
          <w:szCs w:val="16"/>
        </w:rPr>
        <w:softHyphen/>
        <w:t>цер Иван Павлов (3954). На том же собрании было принято решение добиться перевода группы с ценным авиаимуществом в революци</w:t>
      </w:r>
      <w:r w:rsidRPr="002F2FDF">
        <w:rPr>
          <w:rFonts w:ascii="Times New Roman" w:hAnsi="Times New Roman" w:cs="Times New Roman"/>
          <w:color w:val="000000" w:themeColor="text1"/>
          <w:kern w:val="2"/>
          <w:sz w:val="16"/>
          <w:szCs w:val="16"/>
        </w:rPr>
        <w:softHyphen/>
        <w:t>онный центр - в Москву или Петро</w:t>
      </w:r>
      <w:r w:rsidRPr="002F2FDF">
        <w:rPr>
          <w:rFonts w:ascii="Times New Roman" w:hAnsi="Times New Roman" w:cs="Times New Roman"/>
          <w:color w:val="000000" w:themeColor="text1"/>
          <w:kern w:val="2"/>
          <w:sz w:val="16"/>
          <w:szCs w:val="16"/>
        </w:rPr>
        <w:softHyphen/>
        <w:t>град. Казаков сдал командование группой Павлову, но окончательно от</w:t>
      </w:r>
      <w:r w:rsidRPr="002F2FDF">
        <w:rPr>
          <w:rFonts w:ascii="Times New Roman" w:hAnsi="Times New Roman" w:cs="Times New Roman"/>
          <w:color w:val="000000" w:themeColor="text1"/>
          <w:kern w:val="2"/>
          <w:sz w:val="16"/>
          <w:szCs w:val="16"/>
        </w:rPr>
        <w:softHyphen/>
        <w:t>странить его командования больше</w:t>
      </w:r>
      <w:r w:rsidRPr="002F2FDF">
        <w:rPr>
          <w:rFonts w:ascii="Times New Roman" w:hAnsi="Times New Roman" w:cs="Times New Roman"/>
          <w:color w:val="000000" w:themeColor="text1"/>
          <w:kern w:val="2"/>
          <w:sz w:val="16"/>
          <w:szCs w:val="16"/>
        </w:rPr>
        <w:softHyphen/>
        <w:t>викам не удалось. 17 декабря на об</w:t>
      </w:r>
      <w:r w:rsidRPr="002F2FDF">
        <w:rPr>
          <w:rFonts w:ascii="Times New Roman" w:hAnsi="Times New Roman" w:cs="Times New Roman"/>
          <w:color w:val="000000" w:themeColor="text1"/>
          <w:kern w:val="2"/>
          <w:sz w:val="16"/>
          <w:szCs w:val="16"/>
        </w:rPr>
        <w:softHyphen/>
        <w:t>щем собрании 19-го као Казакова из</w:t>
      </w:r>
      <w:r w:rsidRPr="002F2FDF">
        <w:rPr>
          <w:rFonts w:ascii="Times New Roman" w:hAnsi="Times New Roman" w:cs="Times New Roman"/>
          <w:color w:val="000000" w:themeColor="text1"/>
          <w:kern w:val="2"/>
          <w:sz w:val="16"/>
          <w:szCs w:val="16"/>
        </w:rPr>
        <w:softHyphen/>
        <w:t>брали командиром отряда. Он вернул</w:t>
      </w:r>
      <w:r w:rsidRPr="002F2FDF">
        <w:rPr>
          <w:rFonts w:ascii="Times New Roman" w:hAnsi="Times New Roman" w:cs="Times New Roman"/>
          <w:color w:val="000000" w:themeColor="text1"/>
          <w:kern w:val="2"/>
          <w:sz w:val="16"/>
          <w:szCs w:val="16"/>
        </w:rPr>
        <w:softHyphen/>
        <w:t>ся в свой отряд, где его авторитет был высок и у солдат и среди офицеров. Однако последние события основа</w:t>
      </w:r>
      <w:r w:rsidRPr="002F2FDF">
        <w:rPr>
          <w:rFonts w:ascii="Times New Roman" w:hAnsi="Times New Roman" w:cs="Times New Roman"/>
          <w:color w:val="000000" w:themeColor="text1"/>
          <w:kern w:val="2"/>
          <w:sz w:val="16"/>
          <w:szCs w:val="16"/>
        </w:rPr>
        <w:softHyphen/>
        <w:t>тельно подкосили здоровье боевого летчика. Не выдержав развала своего любимого детища - боевой авиагруп</w:t>
      </w:r>
      <w:r w:rsidRPr="002F2FDF">
        <w:rPr>
          <w:rFonts w:ascii="Times New Roman" w:hAnsi="Times New Roman" w:cs="Times New Roman"/>
          <w:color w:val="000000" w:themeColor="text1"/>
          <w:kern w:val="2"/>
          <w:sz w:val="16"/>
          <w:szCs w:val="16"/>
        </w:rPr>
        <w:softHyphen/>
        <w:t>пы,- Казаков слёг и был отправлен в Киев для лечения (3954). Оставшиеся офицеры начали раз</w:t>
      </w:r>
      <w:r w:rsidRPr="002F2FDF">
        <w:rPr>
          <w:rFonts w:ascii="Times New Roman" w:hAnsi="Times New Roman" w:cs="Times New Roman"/>
          <w:color w:val="000000" w:themeColor="text1"/>
          <w:kern w:val="2"/>
          <w:sz w:val="16"/>
          <w:szCs w:val="16"/>
        </w:rPr>
        <w:softHyphen/>
        <w:t>бегаться. В приказах по управлению группы, касавшихся офицерского со</w:t>
      </w:r>
      <w:r w:rsidRPr="002F2FDF">
        <w:rPr>
          <w:rFonts w:ascii="Times New Roman" w:hAnsi="Times New Roman" w:cs="Times New Roman"/>
          <w:color w:val="000000" w:themeColor="text1"/>
          <w:kern w:val="2"/>
          <w:sz w:val="16"/>
          <w:szCs w:val="16"/>
        </w:rPr>
        <w:softHyphen/>
        <w:t>става, замелькали строки “бежал из отряда”, “не явился из командиров</w:t>
      </w:r>
      <w:r w:rsidRPr="002F2FDF">
        <w:rPr>
          <w:rFonts w:ascii="Times New Roman" w:hAnsi="Times New Roman" w:cs="Times New Roman"/>
          <w:color w:val="000000" w:themeColor="text1"/>
          <w:kern w:val="2"/>
          <w:sz w:val="16"/>
          <w:szCs w:val="16"/>
        </w:rPr>
        <w:softHyphen/>
        <w:t>ки”, “в самовольной отлучке”, “уволен в отпуск и не вернулся”.. (3954).</w:t>
      </w:r>
    </w:p>
    <w:p w14:paraId="732945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4BA9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декабря 1917 СНК назначил В.А.Антонова-Овсеенко главкомом на Юге России для руководства операциями против А.М.Каледина и Украинской Народной Республики (3908,272).</w:t>
      </w:r>
    </w:p>
    <w:p w14:paraId="1EC16E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B78E83" w14:textId="2757B5E5" w:rsidR="00B37396" w:rsidRPr="002F2FDF" w:rsidRDefault="00B37396" w:rsidP="0083075A">
      <w:pPr>
        <w:pStyle w:val="ae"/>
        <w:spacing w:before="0" w:after="0"/>
        <w:jc w:val="both"/>
        <w:rPr>
          <w:color w:val="000000" w:themeColor="text1"/>
          <w:kern w:val="2"/>
          <w:sz w:val="16"/>
          <w:szCs w:val="16"/>
        </w:rPr>
      </w:pPr>
      <w:r w:rsidRPr="002F2FDF">
        <w:rPr>
          <w:color w:val="000000" w:themeColor="text1"/>
          <w:kern w:val="2"/>
          <w:sz w:val="16"/>
          <w:szCs w:val="16"/>
        </w:rPr>
        <w:t>5</w:t>
      </w:r>
      <w:r w:rsidR="00E52569">
        <w:rPr>
          <w:color w:val="000000" w:themeColor="text1"/>
          <w:kern w:val="2"/>
          <w:sz w:val="16"/>
          <w:szCs w:val="16"/>
        </w:rPr>
        <w:t xml:space="preserve"> </w:t>
      </w:r>
      <w:hyperlink r:id="rId704" w:tooltip="18 декабря" w:history="1">
        <w:r w:rsidRPr="002F2FDF">
          <w:rPr>
            <w:rStyle w:val="a5"/>
            <w:color w:val="000000" w:themeColor="text1"/>
            <w:kern w:val="2"/>
            <w:sz w:val="16"/>
            <w:szCs w:val="16"/>
            <w:u w:val="none"/>
          </w:rPr>
          <w:t>(18)</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декабря</w:t>
        </w:r>
      </w:hyperlink>
      <w:r w:rsidRPr="002F2FDF">
        <w:rPr>
          <w:color w:val="000000" w:themeColor="text1"/>
          <w:kern w:val="2"/>
          <w:sz w:val="16"/>
          <w:szCs w:val="16"/>
        </w:rPr>
        <w:t xml:space="preserve"> 1917 Троцкий сообщал главковерху Крыленко: «</w:t>
      </w:r>
      <w:r w:rsidRPr="002F2FDF">
        <w:rPr>
          <w:iCs/>
          <w:color w:val="000000" w:themeColor="text1"/>
          <w:kern w:val="2"/>
          <w:sz w:val="16"/>
          <w:szCs w:val="16"/>
        </w:rPr>
        <w:t>Ленин отстаивает следующий план: в течение первых двух-трёх дней переговоров как можно яснее и резче закрепить на бумаге аннексионистские притязания немецких империалистов и оборвать на этом переговоры на недельный срок и возобновить их либо на русской почве в Пскове, либо в бараке на нейтральной полосе между окопами. Я присоединяюсь к этому мнению. Незачем ездить в нейтральную страну</w:t>
      </w:r>
      <w:r w:rsidRPr="002F2FDF">
        <w:rPr>
          <w:color w:val="000000" w:themeColor="text1"/>
          <w:kern w:val="2"/>
          <w:sz w:val="16"/>
          <w:szCs w:val="16"/>
        </w:rPr>
        <w:t>». Подписание мирного договора на нейтральной территории предусматривалось договором о перемирии. Троцкий же просил главковерха передать делегатам в Брест, что «</w:t>
      </w:r>
      <w:r w:rsidRPr="002F2FDF">
        <w:rPr>
          <w:iCs/>
          <w:color w:val="000000" w:themeColor="text1"/>
          <w:kern w:val="2"/>
          <w:sz w:val="16"/>
          <w:szCs w:val="16"/>
        </w:rPr>
        <w:t>самое удобное было бы вовсе не переносить переговоры в Стокгольм. Это отдалило бы очень делегацию от здешней базы и крайне затруднило бы сношения, особенно ввиду политики финляндской буржуазии</w:t>
      </w:r>
      <w:r w:rsidRPr="002F2FDF">
        <w:rPr>
          <w:color w:val="000000" w:themeColor="text1"/>
          <w:kern w:val="2"/>
          <w:sz w:val="16"/>
          <w:szCs w:val="16"/>
        </w:rPr>
        <w:t>» (17035).</w:t>
      </w:r>
    </w:p>
    <w:p w14:paraId="05E33C24" w14:textId="77777777" w:rsidR="00B37396" w:rsidRPr="002F2FDF" w:rsidRDefault="00B373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86F0F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декабря 1917 г. приказом по военному ведо</w:t>
      </w:r>
      <w:r w:rsidRPr="002F2FDF">
        <w:rPr>
          <w:rFonts w:ascii="Times New Roman" w:hAnsi="Times New Roman" w:cs="Times New Roman"/>
          <w:color w:val="000000" w:themeColor="text1"/>
          <w:kern w:val="2"/>
          <w:sz w:val="16"/>
          <w:szCs w:val="16"/>
        </w:rPr>
        <w:softHyphen/>
        <w:t>мству № 25 был образован Комиссариат по демобилизации старой армии во главе с М. С. Кедровым для мероприятий по демоби</w:t>
      </w:r>
      <w:r w:rsidRPr="002F2FDF">
        <w:rPr>
          <w:rFonts w:ascii="Times New Roman" w:hAnsi="Times New Roman" w:cs="Times New Roman"/>
          <w:color w:val="000000" w:themeColor="text1"/>
          <w:kern w:val="2"/>
          <w:sz w:val="16"/>
          <w:szCs w:val="16"/>
        </w:rPr>
        <w:softHyphen/>
        <w:t>лизации старой армии, сохранению военной промышленности и имущества, руководства де</w:t>
      </w:r>
      <w:r w:rsidRPr="002F2FDF">
        <w:rPr>
          <w:rFonts w:ascii="Times New Roman" w:hAnsi="Times New Roman" w:cs="Times New Roman"/>
          <w:color w:val="000000" w:themeColor="text1"/>
          <w:kern w:val="2"/>
          <w:sz w:val="16"/>
          <w:szCs w:val="16"/>
        </w:rPr>
        <w:softHyphen/>
        <w:t>ятельностью всех организаций, предприятий и лиц, занятых демобилизационными вопроса</w:t>
      </w:r>
      <w:r w:rsidRPr="002F2FDF">
        <w:rPr>
          <w:rFonts w:ascii="Times New Roman" w:hAnsi="Times New Roman" w:cs="Times New Roman"/>
          <w:color w:val="000000" w:themeColor="text1"/>
          <w:kern w:val="2"/>
          <w:sz w:val="16"/>
          <w:szCs w:val="16"/>
        </w:rPr>
        <w:softHyphen/>
        <w:t>ми. Приказом № 223 Наркомвоена от 20 марта 1918 г. функции комиссариата были переда</w:t>
      </w:r>
      <w:r w:rsidRPr="002F2FDF">
        <w:rPr>
          <w:rFonts w:ascii="Times New Roman" w:hAnsi="Times New Roman" w:cs="Times New Roman"/>
          <w:color w:val="000000" w:themeColor="text1"/>
          <w:kern w:val="2"/>
          <w:sz w:val="16"/>
          <w:szCs w:val="16"/>
        </w:rPr>
        <w:softHyphen/>
        <w:t>ны Демобилизационно-экономическому управлению при Военно-хозяйственном совете, созданном этим же приказом при коллегии Наркомвоена (10711,666).</w:t>
      </w:r>
    </w:p>
    <w:p w14:paraId="48D817C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158038" w14:textId="54A61B9A" w:rsidR="00D56C8F" w:rsidRPr="002F2FDF" w:rsidRDefault="00D56C8F" w:rsidP="0083075A">
      <w:pPr>
        <w:pStyle w:val="ae"/>
        <w:spacing w:before="0" w:after="0"/>
        <w:jc w:val="both"/>
        <w:rPr>
          <w:color w:val="000000" w:themeColor="text1"/>
          <w:kern w:val="2"/>
          <w:sz w:val="16"/>
          <w:szCs w:val="16"/>
        </w:rPr>
      </w:pPr>
      <w:r w:rsidRPr="002F2FDF">
        <w:rPr>
          <w:color w:val="000000" w:themeColor="text1"/>
          <w:kern w:val="2"/>
          <w:sz w:val="16"/>
          <w:szCs w:val="16"/>
        </w:rPr>
        <w:t>5 (18) декабря 1917 в городе Эрзинджан на востоке Анатолии главнокомандующий войсками русского Кавказского фронта Михаил Пржевальский (двоюродный брат известного путешественника и исследователя Николая Пржевальского) и руководство Закавказского комиссариата (созданное в Тифлисе коалиционное правительство — РП) подписали соглашение о перемирии с представителями турецкой армии. Оно вошло в историю как Эрзинджанское перемирие, положившее конец войне между Россий и Османской империей. К этому моменту активные боевые действия на фронте не велись, русская армия под воздействием большевистской пропаганды пребывала в плачевном состоянии, однако в свете недавних</w:t>
      </w:r>
      <w:r w:rsidR="00E52569">
        <w:rPr>
          <w:color w:val="000000" w:themeColor="text1"/>
          <w:kern w:val="2"/>
          <w:sz w:val="16"/>
          <w:szCs w:val="16"/>
        </w:rPr>
        <w:t xml:space="preserve"> </w:t>
      </w:r>
      <w:r w:rsidRPr="002F2FDF">
        <w:rPr>
          <w:color w:val="000000" w:themeColor="text1"/>
          <w:kern w:val="2"/>
          <w:sz w:val="16"/>
          <w:szCs w:val="16"/>
        </w:rPr>
        <w:t>поражений</w:t>
      </w:r>
      <w:r w:rsidR="00E52569">
        <w:rPr>
          <w:color w:val="000000" w:themeColor="text1"/>
          <w:kern w:val="2"/>
          <w:sz w:val="16"/>
          <w:szCs w:val="16"/>
        </w:rPr>
        <w:t xml:space="preserve"> </w:t>
      </w:r>
      <w:r w:rsidRPr="002F2FDF">
        <w:rPr>
          <w:color w:val="000000" w:themeColor="text1"/>
          <w:kern w:val="2"/>
          <w:sz w:val="16"/>
          <w:szCs w:val="16"/>
        </w:rPr>
        <w:t>положение и турецкой армии также было тяжелым. И именно турки, с учетом известий о перемирии на Восточном фронте и мирных переговорах в Брест-Литовске, обратились с предложением о перемирии к русскому командованию. Согласно соглашению, боевые действия в Малой Азии и Персии были приостановлены предварительно до 12 февраля. Для окончательного же мирного договора с Россией Османская империя направила свою делегацию в Брест-Литовск. После этого начался стихийных отход русских войск с Южного Кавказа, и Закавказье</w:t>
      </w:r>
      <w:r w:rsidR="00E52569">
        <w:rPr>
          <w:color w:val="000000" w:themeColor="text1"/>
          <w:kern w:val="2"/>
          <w:sz w:val="16"/>
          <w:szCs w:val="16"/>
        </w:rPr>
        <w:t xml:space="preserve"> </w:t>
      </w:r>
      <w:r w:rsidRPr="002F2FDF">
        <w:rPr>
          <w:color w:val="000000" w:themeColor="text1"/>
          <w:kern w:val="2"/>
          <w:sz w:val="16"/>
          <w:szCs w:val="16"/>
        </w:rPr>
        <w:t>по сути</w:t>
      </w:r>
      <w:r w:rsidR="00E52569">
        <w:rPr>
          <w:color w:val="000000" w:themeColor="text1"/>
          <w:kern w:val="2"/>
          <w:sz w:val="16"/>
          <w:szCs w:val="16"/>
        </w:rPr>
        <w:t xml:space="preserve"> </w:t>
      </w:r>
      <w:r w:rsidRPr="002F2FDF">
        <w:rPr>
          <w:color w:val="000000" w:themeColor="text1"/>
          <w:kern w:val="2"/>
          <w:sz w:val="16"/>
          <w:szCs w:val="16"/>
        </w:rPr>
        <w:t>было брошено на произвол судьбы (17045).</w:t>
      </w:r>
    </w:p>
    <w:p w14:paraId="44E4A408" w14:textId="77777777" w:rsidR="00D56C8F" w:rsidRPr="002F2FDF" w:rsidRDefault="00D56C8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75AFE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7E936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ED53C0" w14:textId="77777777" w:rsidR="00383063" w:rsidRPr="002F2FDF" w:rsidRDefault="0038306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 (18) декабря 1917. Открылось отделение нью-йоркского Сити-банка" которое пообещало вкладчикам, что даже если их деньги будут конфискованы большевистской властью, вклады будут выплачены в русской валюте в Нью-Йорке (18685).</w:t>
      </w:r>
    </w:p>
    <w:p w14:paraId="23B2E04B" w14:textId="77777777" w:rsidR="00383063" w:rsidRPr="002F2FDF" w:rsidRDefault="00383063" w:rsidP="0083075A">
      <w:pPr>
        <w:spacing w:after="0" w:line="240" w:lineRule="auto"/>
        <w:jc w:val="both"/>
        <w:rPr>
          <w:rFonts w:ascii="Times New Roman" w:hAnsi="Times New Roman" w:cs="Times New Roman"/>
          <w:color w:val="000000" w:themeColor="text1"/>
          <w:sz w:val="16"/>
          <w:szCs w:val="16"/>
        </w:rPr>
      </w:pPr>
    </w:p>
    <w:p w14:paraId="205354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декабря 1917 Петроградский ВРК принял постановление о самоликвидации и передаче своих функций ВЦИК, Совету Народных Комиссаров, Народным комиссариатам, Петроградскому и районным Советам (4216).</w:t>
      </w:r>
    </w:p>
    <w:p w14:paraId="37D0D4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858A19" w14:textId="77777777" w:rsidR="00B9099D" w:rsidRPr="002F2FDF" w:rsidRDefault="00B9099D" w:rsidP="0083075A">
      <w:pPr>
        <w:pStyle w:val="ae"/>
        <w:spacing w:before="0" w:after="0"/>
        <w:jc w:val="both"/>
        <w:rPr>
          <w:color w:val="000000" w:themeColor="text1"/>
          <w:kern w:val="2"/>
          <w:sz w:val="16"/>
          <w:szCs w:val="16"/>
        </w:rPr>
      </w:pPr>
      <w:r w:rsidRPr="002F2FDF">
        <w:rPr>
          <w:color w:val="000000" w:themeColor="text1"/>
          <w:kern w:val="2"/>
          <w:sz w:val="16"/>
          <w:szCs w:val="16"/>
        </w:rPr>
        <w:t>5 (18) декабря 1917, был создан Высший совет народного хозяйства (ВСНХ), наделявшийся полномочиями по регулированию экономической жизни, включая права конфискации, реквизиции, секвестра, принудительного синдицирования (объединения в синдикаты) различных предприятий промышленности и торговли (17045).</w:t>
      </w:r>
    </w:p>
    <w:p w14:paraId="5B0FC08A" w14:textId="77777777" w:rsidR="00B9099D" w:rsidRPr="002F2FDF" w:rsidRDefault="00B9099D"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5A57B6" w14:textId="77777777" w:rsidR="00B9099D" w:rsidRPr="002F2FDF" w:rsidRDefault="00B9099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декабря 1917 был упразднен Петроградский ВРК (3908,272).</w:t>
      </w:r>
    </w:p>
    <w:p w14:paraId="52E391F8" w14:textId="77777777" w:rsidR="00B9099D" w:rsidRPr="002F2FDF" w:rsidRDefault="00B9099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63C16A" w14:textId="77777777" w:rsidR="00B9099D" w:rsidRPr="002F2FDF" w:rsidRDefault="00B9099D" w:rsidP="0083075A">
      <w:pPr>
        <w:pStyle w:val="ae"/>
        <w:spacing w:before="0" w:after="0"/>
        <w:jc w:val="both"/>
        <w:rPr>
          <w:color w:val="000000" w:themeColor="text1"/>
          <w:kern w:val="2"/>
          <w:sz w:val="16"/>
          <w:szCs w:val="16"/>
        </w:rPr>
      </w:pPr>
      <w:r w:rsidRPr="002F2FDF">
        <w:rPr>
          <w:color w:val="000000" w:themeColor="text1"/>
          <w:kern w:val="2"/>
          <w:sz w:val="16"/>
          <w:szCs w:val="16"/>
        </w:rPr>
        <w:t>5 (18) декабря 1917 Всероссийский центральный исполнительный комитет (ВЦИК) и Совет народных комиссаров (СНК) приняли декрет о гражданском браке, о детях и о ведении книг актов гражданского состояния. Согласно декрету, на государственном уровне отменялся церковный брак, возрастом согласия для вступления в брак устанавливался 18 лет для мужчин и 16 лет для женщин (в Закавказье для местных жителей — 16 и 13 лет соответственно) (17045).</w:t>
      </w:r>
    </w:p>
    <w:p w14:paraId="30FFF60C" w14:textId="77777777" w:rsidR="00B9099D" w:rsidRPr="002F2FDF" w:rsidRDefault="00B9099D" w:rsidP="0083075A">
      <w:pPr>
        <w:pStyle w:val="ae"/>
        <w:spacing w:before="0" w:after="0"/>
        <w:jc w:val="both"/>
        <w:rPr>
          <w:color w:val="000000" w:themeColor="text1"/>
          <w:kern w:val="2"/>
          <w:sz w:val="16"/>
          <w:szCs w:val="16"/>
        </w:rPr>
      </w:pPr>
    </w:p>
    <w:p w14:paraId="668EEB9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декабря 1917 в газете "Дело народа" опубликован призыв сбежавшего главы Временного правительства России А. Керенского немедленно свергнуть власть большевиков (4962).</w:t>
      </w:r>
    </w:p>
    <w:p w14:paraId="13F2149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0DD3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5-13 (18-26) декабря 1917 третий съезд Казахов в Оренбурге провозгласил национальное правительство Казахстана во главе с Алаш-Орда с целью предотвращения распространения большевизма в казахских степях (2955).</w:t>
      </w:r>
    </w:p>
    <w:p w14:paraId="328266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C4195D" w14:textId="3DCC3B82" w:rsidR="00FE2C00" w:rsidRPr="00FB4F67" w:rsidRDefault="00FE2C0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5 (</w:t>
      </w:r>
      <w:r w:rsidRPr="00FB4F67">
        <w:rPr>
          <w:rFonts w:ascii="Times New Roman" w:hAnsi="Times New Roman" w:cs="Times New Roman"/>
          <w:color w:val="0070C0"/>
          <w:sz w:val="16"/>
          <w:szCs w:val="16"/>
        </w:rPr>
        <w:t>18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декабря 1917 г. в Кишиневе была провозглашена Молдавская Демократическая Республика Бессарабия с целью стать автономным образованием в составе федеративной России (23525).</w:t>
      </w:r>
    </w:p>
    <w:p w14:paraId="750E000A" w14:textId="77777777" w:rsidR="00FE2C00" w:rsidRPr="00FB4F67" w:rsidRDefault="00FE2C00" w:rsidP="0083075A">
      <w:pPr>
        <w:spacing w:after="0" w:line="240" w:lineRule="auto"/>
        <w:jc w:val="both"/>
        <w:rPr>
          <w:rFonts w:ascii="Times New Roman" w:hAnsi="Times New Roman" w:cs="Times New Roman"/>
          <w:color w:val="0070C0"/>
          <w:sz w:val="16"/>
          <w:szCs w:val="16"/>
        </w:rPr>
      </w:pPr>
    </w:p>
    <w:p w14:paraId="4F93504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617C92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1CAE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декабря 1917 в проекте резолюции О мире В.И.Л. указал на необходимость посылки самолетов "через всю Германию" для усиленной агитации против анексионизма немцев (505,46).</w:t>
      </w:r>
    </w:p>
    <w:p w14:paraId="7E61B3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3C02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декабря 1917 вышел декрет СНК о признании независимости Финляндии (3481).</w:t>
      </w:r>
    </w:p>
    <w:p w14:paraId="6A44C4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38DB0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F37D4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D05E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(18) декабря 1917 Берлин. На совещании Вильгельма II с рейхсканцлером Г.Гертлингом и статс-секретарем ВИД Р.Кюльманом принята программа присоединения к Германии Прибалтики и расчленении Польши (7451).</w:t>
      </w:r>
    </w:p>
    <w:p w14:paraId="23D4C6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95D369" w14:textId="6ED929E4" w:rsidR="00AE0938" w:rsidRPr="002F2FDF" w:rsidRDefault="00AE093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DDC1A25" w14:textId="77777777" w:rsidR="00AE0938" w:rsidRPr="002F2FDF" w:rsidRDefault="00AE093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C84AEC"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6-14 (19-30) декабря 1917 в Пскове состоялся новый съезд воздухоплавателей Северного фронта, на кото</w:t>
      </w:r>
      <w:r w:rsidRPr="002F2FDF">
        <w:rPr>
          <w:rFonts w:ascii="Times New Roman" w:hAnsi="Times New Roman" w:cs="Times New Roman"/>
          <w:color w:val="000000" w:themeColor="text1"/>
          <w:sz w:val="16"/>
          <w:szCs w:val="16"/>
        </w:rPr>
        <w:softHyphen/>
        <w:t>рый прибыло 72 делегата. На съезде избрали ВРК воздухоплавательных частей Северного фрон</w:t>
      </w:r>
      <w:r w:rsidRPr="002F2FDF">
        <w:rPr>
          <w:rFonts w:ascii="Times New Roman" w:hAnsi="Times New Roman" w:cs="Times New Roman"/>
          <w:color w:val="000000" w:themeColor="text1"/>
          <w:sz w:val="16"/>
          <w:szCs w:val="16"/>
        </w:rPr>
        <w:softHyphen/>
        <w:t>та в составе девяти человек (два офицера, ун</w:t>
      </w:r>
      <w:r w:rsidRPr="002F2FDF">
        <w:rPr>
          <w:rFonts w:ascii="Times New Roman" w:hAnsi="Times New Roman" w:cs="Times New Roman"/>
          <w:color w:val="000000" w:themeColor="text1"/>
          <w:sz w:val="16"/>
          <w:szCs w:val="16"/>
        </w:rPr>
        <w:softHyphen/>
        <w:t>тер-офицер, два специалиста, три писаря и один строевой солдат), ставший во главе воздухопла</w:t>
      </w:r>
      <w:r w:rsidRPr="002F2FDF">
        <w:rPr>
          <w:rFonts w:ascii="Times New Roman" w:hAnsi="Times New Roman" w:cs="Times New Roman"/>
          <w:color w:val="000000" w:themeColor="text1"/>
          <w:sz w:val="16"/>
          <w:szCs w:val="16"/>
        </w:rPr>
        <w:softHyphen/>
        <w:t>вания фронта вместо упразднённой инспекции. Комитет избрал коллегию по управлению воз</w:t>
      </w:r>
      <w:r w:rsidRPr="002F2FDF">
        <w:rPr>
          <w:rFonts w:ascii="Times New Roman" w:hAnsi="Times New Roman" w:cs="Times New Roman"/>
          <w:color w:val="000000" w:themeColor="text1"/>
          <w:sz w:val="16"/>
          <w:szCs w:val="16"/>
        </w:rPr>
        <w:softHyphen/>
        <w:t>духоплавательными частями округа в составе Фарковича, Ольденборгера и Сорокина. На ВРК возложили также функции снабжения. Команд</w:t>
      </w:r>
      <w:r w:rsidRPr="002F2FDF">
        <w:rPr>
          <w:rFonts w:ascii="Times New Roman" w:hAnsi="Times New Roman" w:cs="Times New Roman"/>
          <w:color w:val="000000" w:themeColor="text1"/>
          <w:sz w:val="16"/>
          <w:szCs w:val="16"/>
        </w:rPr>
        <w:softHyphen/>
        <w:t>ный состав воздухоплавательных частей поста</w:t>
      </w:r>
      <w:r w:rsidRPr="002F2FDF">
        <w:rPr>
          <w:rFonts w:ascii="Times New Roman" w:hAnsi="Times New Roman" w:cs="Times New Roman"/>
          <w:color w:val="000000" w:themeColor="text1"/>
          <w:sz w:val="16"/>
          <w:szCs w:val="16"/>
        </w:rPr>
        <w:softHyphen/>
        <w:t>новлением съезда стал исполнительным органом комитета части. Была избрана комиссия для уча</w:t>
      </w:r>
      <w:r w:rsidRPr="002F2FDF">
        <w:rPr>
          <w:rFonts w:ascii="Times New Roman" w:hAnsi="Times New Roman" w:cs="Times New Roman"/>
          <w:color w:val="000000" w:themeColor="text1"/>
          <w:sz w:val="16"/>
          <w:szCs w:val="16"/>
        </w:rPr>
        <w:softHyphen/>
        <w:t>стия в работе по созыву Всероссийского воздухо</w:t>
      </w:r>
      <w:r w:rsidRPr="002F2FDF">
        <w:rPr>
          <w:rFonts w:ascii="Times New Roman" w:hAnsi="Times New Roman" w:cs="Times New Roman"/>
          <w:color w:val="000000" w:themeColor="text1"/>
          <w:sz w:val="16"/>
          <w:szCs w:val="16"/>
        </w:rPr>
        <w:softHyphen/>
        <w:t>плавательного съезда, предназначенного объеди</w:t>
      </w:r>
      <w:r w:rsidRPr="002F2FDF">
        <w:rPr>
          <w:rFonts w:ascii="Times New Roman" w:hAnsi="Times New Roman" w:cs="Times New Roman"/>
          <w:color w:val="000000" w:themeColor="text1"/>
          <w:sz w:val="16"/>
          <w:szCs w:val="16"/>
        </w:rPr>
        <w:softHyphen/>
        <w:t>нить всех работников военного воздухоплавания и воздухоплавательной промышленности.</w:t>
      </w:r>
    </w:p>
    <w:p w14:paraId="30EF0D96"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Открывшийся 22 января 1918 г. в Петрогра</w:t>
      </w:r>
      <w:r w:rsidRPr="002F2FDF">
        <w:rPr>
          <w:rFonts w:ascii="Times New Roman" w:hAnsi="Times New Roman" w:cs="Times New Roman"/>
          <w:color w:val="000000" w:themeColor="text1"/>
          <w:sz w:val="16"/>
          <w:szCs w:val="16"/>
        </w:rPr>
        <w:softHyphen/>
        <w:t>де I Всероссийский воздухоплавательный съезд объявил о солидарности с советской властью и выделил из своего состава Всероссийский воз</w:t>
      </w:r>
      <w:r w:rsidRPr="002F2FDF">
        <w:rPr>
          <w:rFonts w:ascii="Times New Roman" w:hAnsi="Times New Roman" w:cs="Times New Roman"/>
          <w:color w:val="000000" w:themeColor="text1"/>
          <w:sz w:val="16"/>
          <w:szCs w:val="16"/>
        </w:rPr>
        <w:softHyphen/>
        <w:t>духоплавательный совет, который послал своих представителей во Всероссийскую коллегию по управлению Воздушным флотом Республики, а также образовал бюро по формированию крас</w:t>
      </w:r>
      <w:r w:rsidRPr="002F2FDF">
        <w:rPr>
          <w:rFonts w:ascii="Times New Roman" w:hAnsi="Times New Roman" w:cs="Times New Roman"/>
          <w:color w:val="000000" w:themeColor="text1"/>
          <w:sz w:val="16"/>
          <w:szCs w:val="16"/>
        </w:rPr>
        <w:softHyphen/>
        <w:t>ных воздухоплавательных отрядов (20120).</w:t>
      </w:r>
    </w:p>
    <w:p w14:paraId="5DE902C4"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p>
    <w:p w14:paraId="057364E8" w14:textId="77777777" w:rsidR="00B91D66" w:rsidRPr="005D7D69" w:rsidRDefault="00B91D6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w:t>
      </w:r>
      <w:r w:rsidRPr="005D7D69">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(19) </w:t>
      </w:r>
      <w:r w:rsidRPr="005D7D69">
        <w:rPr>
          <w:rFonts w:ascii="Times New Roman" w:hAnsi="Times New Roman" w:cs="Times New Roman"/>
          <w:color w:val="0070C0"/>
          <w:sz w:val="16"/>
          <w:szCs w:val="16"/>
        </w:rPr>
        <w:t xml:space="preserve">декабря </w:t>
      </w:r>
      <w:r>
        <w:rPr>
          <w:rFonts w:ascii="Times New Roman" w:hAnsi="Times New Roman" w:cs="Times New Roman"/>
          <w:color w:val="0070C0"/>
          <w:sz w:val="16"/>
          <w:szCs w:val="16"/>
        </w:rPr>
        <w:t>1917 г</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D7D69">
        <w:rPr>
          <w:rFonts w:ascii="Times New Roman" w:hAnsi="Times New Roman" w:cs="Times New Roman"/>
          <w:color w:val="0070C0"/>
          <w:sz w:val="16"/>
          <w:szCs w:val="16"/>
        </w:rPr>
        <w:t xml:space="preserve"> Пскове состоялся с</w:t>
      </w:r>
      <w:r>
        <w:rPr>
          <w:rFonts w:ascii="Times New Roman" w:hAnsi="Times New Roman" w:cs="Times New Roman"/>
          <w:color w:val="0070C0"/>
          <w:sz w:val="16"/>
          <w:szCs w:val="16"/>
        </w:rPr>
        <w:t>ъ</w:t>
      </w:r>
      <w:r w:rsidRPr="005D7D69">
        <w:rPr>
          <w:rFonts w:ascii="Times New Roman" w:hAnsi="Times New Roman" w:cs="Times New Roman"/>
          <w:color w:val="0070C0"/>
          <w:sz w:val="16"/>
          <w:szCs w:val="16"/>
        </w:rPr>
        <w:t>езд представителей воздухопла</w:t>
      </w:r>
      <w:r w:rsidRPr="005D7D69">
        <w:rPr>
          <w:rFonts w:ascii="Times New Roman" w:hAnsi="Times New Roman" w:cs="Times New Roman"/>
          <w:color w:val="0070C0"/>
          <w:sz w:val="16"/>
          <w:szCs w:val="16"/>
        </w:rPr>
        <w:softHyphen/>
        <w:t>вательных частей Северного фронта.</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С</w:t>
      </w:r>
      <w:r>
        <w:rPr>
          <w:rFonts w:ascii="Times New Roman" w:hAnsi="Times New Roman" w:cs="Times New Roman"/>
          <w:color w:val="0070C0"/>
          <w:sz w:val="16"/>
          <w:szCs w:val="16"/>
        </w:rPr>
        <w:t>ъ</w:t>
      </w:r>
      <w:r w:rsidRPr="005D7D69">
        <w:rPr>
          <w:rFonts w:ascii="Times New Roman" w:hAnsi="Times New Roman" w:cs="Times New Roman"/>
          <w:color w:val="0070C0"/>
          <w:sz w:val="16"/>
          <w:szCs w:val="16"/>
        </w:rPr>
        <w:t>езд избрал Воздухоплаватель</w:t>
      </w:r>
      <w:r w:rsidRPr="005D7D69">
        <w:rPr>
          <w:rFonts w:ascii="Times New Roman" w:hAnsi="Times New Roman" w:cs="Times New Roman"/>
          <w:color w:val="0070C0"/>
          <w:sz w:val="16"/>
          <w:szCs w:val="16"/>
        </w:rPr>
        <w:softHyphen/>
        <w:t>ный комитет в составе 9 человек,</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который </w:t>
      </w:r>
      <w:r>
        <w:rPr>
          <w:rFonts w:ascii="Times New Roman" w:hAnsi="Times New Roman" w:cs="Times New Roman"/>
          <w:color w:val="0070C0"/>
          <w:sz w:val="16"/>
          <w:szCs w:val="16"/>
        </w:rPr>
        <w:t>в</w:t>
      </w:r>
      <w:r w:rsidRPr="005D7D69">
        <w:rPr>
          <w:rFonts w:ascii="Times New Roman" w:hAnsi="Times New Roman" w:cs="Times New Roman"/>
          <w:color w:val="0070C0"/>
          <w:sz w:val="16"/>
          <w:szCs w:val="16"/>
        </w:rPr>
        <w:t>стал во главе воздухо</w:t>
      </w:r>
      <w:r w:rsidRPr="005D7D69">
        <w:rPr>
          <w:rFonts w:ascii="Times New Roman" w:hAnsi="Times New Roman" w:cs="Times New Roman"/>
          <w:color w:val="0070C0"/>
          <w:sz w:val="16"/>
          <w:szCs w:val="16"/>
        </w:rPr>
        <w:softHyphen/>
        <w:t>плавательных частей Северного фронта.</w:t>
      </w:r>
    </w:p>
    <w:p w14:paraId="36F2BAD3" w14:textId="77777777" w:rsidR="00B91D66" w:rsidRDefault="00B91D66"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Ю</w:t>
      </w:r>
      <w:r w:rsidRPr="005D7D69">
        <w:rPr>
          <w:rFonts w:ascii="Times New Roman" w:hAnsi="Times New Roman" w:cs="Times New Roman"/>
          <w:color w:val="0070C0"/>
          <w:sz w:val="16"/>
          <w:szCs w:val="16"/>
        </w:rPr>
        <w:t>билейный сборник Красного Воздушного Флота 1918-1Р?з*, стр. 31/</w:t>
      </w:r>
      <w:r>
        <w:rPr>
          <w:rFonts w:ascii="Times New Roman" w:hAnsi="Times New Roman" w:cs="Times New Roman"/>
          <w:color w:val="0070C0"/>
          <w:sz w:val="16"/>
          <w:szCs w:val="16"/>
        </w:rPr>
        <w:t xml:space="preserve"> (23370).</w:t>
      </w:r>
    </w:p>
    <w:p w14:paraId="18F60061" w14:textId="77777777" w:rsidR="00B91D66" w:rsidRPr="005D7D69" w:rsidRDefault="00B91D66" w:rsidP="0083075A">
      <w:pPr>
        <w:spacing w:after="0" w:line="240" w:lineRule="auto"/>
        <w:jc w:val="both"/>
        <w:rPr>
          <w:rFonts w:ascii="Times New Roman" w:hAnsi="Times New Roman" w:cs="Times New Roman"/>
          <w:color w:val="0070C0"/>
          <w:sz w:val="16"/>
          <w:szCs w:val="16"/>
        </w:rPr>
      </w:pPr>
    </w:p>
    <w:p w14:paraId="34D2609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5CFAE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5B1A0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декабря 1917 в Петрограде большевиками провозглашено чрезвычайное положение для борьбы с анархией и для ликвидации погромов спиртовых складов (4962).</w:t>
      </w:r>
    </w:p>
    <w:p w14:paraId="4102FC5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96DE4F" w14:textId="77777777" w:rsidR="00A074A8" w:rsidRPr="002F2FDF" w:rsidRDefault="00A074A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6 (19) декабря</w:t>
      </w:r>
      <w:r w:rsidRPr="002F2FDF">
        <w:rPr>
          <w:rFonts w:ascii="Times New Roman" w:hAnsi="Times New Roman" w:cs="Times New Roman"/>
          <w:color w:val="000000" w:themeColor="text1"/>
          <w:kern w:val="2"/>
          <w:sz w:val="16"/>
          <w:szCs w:val="16"/>
        </w:rPr>
        <w:t xml:space="preserve"> в 1917 году большевики вводят в Петрограде чрезвычайное положение для борьбы с анархией (фактически - для ликвидации погромов спиртовых складов) (14865).</w:t>
      </w:r>
    </w:p>
    <w:p w14:paraId="78DB5496" w14:textId="77777777" w:rsidR="00A074A8" w:rsidRPr="002F2FDF" w:rsidRDefault="00A074A8" w:rsidP="0083075A">
      <w:pPr>
        <w:spacing w:after="0" w:line="240" w:lineRule="auto"/>
        <w:jc w:val="both"/>
        <w:rPr>
          <w:rFonts w:ascii="Times New Roman" w:hAnsi="Times New Roman" w:cs="Times New Roman"/>
          <w:color w:val="000000" w:themeColor="text1"/>
          <w:kern w:val="2"/>
          <w:sz w:val="16"/>
          <w:szCs w:val="16"/>
        </w:rPr>
      </w:pPr>
    </w:p>
    <w:p w14:paraId="1149012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декабря 1917 Комиссия по борьбе с погромами, созданная по предложению Ф.Э.Д., объявила город Петроград на осадном положении и ввела комендантский час, чтобы "покончить с погромами и грабежами, чинимыми темными элементами, маскирующимися под так называемых "революционеров" (6804).</w:t>
      </w:r>
    </w:p>
    <w:p w14:paraId="38BEA01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0F970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декабря 1917 переодевшись солдатом, русский генерал Л. Корнилов, бежавший из Быховской тюрьмы, прибыл в Новочеркасск, где начал формирование Белой гвардии (4962).</w:t>
      </w:r>
    </w:p>
    <w:p w14:paraId="65219BC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619F32" w14:textId="77777777" w:rsidR="00383063" w:rsidRPr="002F2FDF" w:rsidRDefault="0038306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6 (19) декабря 1917. Закрыт Московский мировой суд, а его помещения опечатаны.</w:t>
      </w:r>
    </w:p>
    <w:p w14:paraId="1D2517B5" w14:textId="77777777" w:rsidR="00383063" w:rsidRPr="002F2FDF" w:rsidRDefault="0038306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Постановление президиума Моссовета о запрете без его разрешения в городе собраний и сборищ на улицах и площадях (18685).</w:t>
      </w:r>
    </w:p>
    <w:p w14:paraId="330B4CBA" w14:textId="77777777" w:rsidR="00383063" w:rsidRPr="002F2FDF" w:rsidRDefault="00383063" w:rsidP="0083075A">
      <w:pPr>
        <w:pStyle w:val="p1"/>
        <w:spacing w:before="0" w:beforeAutospacing="0" w:after="0" w:afterAutospacing="0"/>
        <w:jc w:val="both"/>
        <w:rPr>
          <w:color w:val="000000" w:themeColor="text1"/>
          <w:sz w:val="16"/>
          <w:szCs w:val="16"/>
        </w:rPr>
      </w:pPr>
    </w:p>
    <w:p w14:paraId="538B4A78" w14:textId="0DBCAEC9" w:rsidR="00B9099D" w:rsidRPr="002F2FDF" w:rsidRDefault="00B9099D" w:rsidP="0083075A">
      <w:pPr>
        <w:pStyle w:val="ae"/>
        <w:spacing w:before="0" w:after="0"/>
        <w:jc w:val="both"/>
        <w:rPr>
          <w:color w:val="000000" w:themeColor="text1"/>
          <w:kern w:val="2"/>
          <w:sz w:val="16"/>
          <w:szCs w:val="16"/>
        </w:rPr>
      </w:pPr>
      <w:r w:rsidRPr="002F2FDF">
        <w:rPr>
          <w:color w:val="000000" w:themeColor="text1"/>
          <w:kern w:val="2"/>
          <w:sz w:val="16"/>
          <w:szCs w:val="16"/>
        </w:rPr>
        <w:t>6 (19) декабря 1917 в Новочеркасск (ныне в Ростовской области)</w:t>
      </w:r>
      <w:r w:rsidR="00E52569">
        <w:rPr>
          <w:color w:val="000000" w:themeColor="text1"/>
          <w:kern w:val="2"/>
          <w:sz w:val="16"/>
          <w:szCs w:val="16"/>
        </w:rPr>
        <w:t xml:space="preserve"> </w:t>
      </w:r>
      <w:r w:rsidRPr="002F2FDF">
        <w:rPr>
          <w:color w:val="000000" w:themeColor="text1"/>
          <w:kern w:val="2"/>
          <w:sz w:val="16"/>
          <w:szCs w:val="16"/>
        </w:rPr>
        <w:t>прибыл бывший главнокомандующий русской армией генерал Лавр Корнилов. На Дон он добирался из Ставки главнокомандующего в Могилеве, где был освобожден из-под ареста перед самым приходом большевиков, сначала с Текинским конным полком, а потом в одиночку, переодевшись крестьянином. Генерал Корнилов сразу же включился в работу по формированию Добровольческой «белой» армии, начатую чуть ранее генералом Михаилом Алексеевым (бывшим начальником штаба ставки верховного главнокомандующего царской армии) (17045).</w:t>
      </w:r>
    </w:p>
    <w:p w14:paraId="21B4C1B3" w14:textId="77777777" w:rsidR="00B9099D" w:rsidRPr="002F2FDF" w:rsidRDefault="00B9099D"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77BD4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декабря 1917 в Киеве начался первый Всеукраинский съезд Советов (4962).</w:t>
      </w:r>
    </w:p>
    <w:p w14:paraId="42A5310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57748C" w14:textId="77777777" w:rsidR="00885424"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41EFADE" w14:textId="77777777" w:rsidR="00885424" w:rsidRPr="002F2FDF" w:rsidRDefault="0088542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8B18F2" w14:textId="77777777" w:rsidR="00885424" w:rsidRPr="002F2FDF" w:rsidRDefault="00885424"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(19) декабря 1917 г. германская подлодка затонула в Дуврском проливе, от неправильной проводки (17326).</w:t>
      </w:r>
    </w:p>
    <w:p w14:paraId="6A48F752" w14:textId="77777777" w:rsidR="00885424" w:rsidRPr="002F2FDF" w:rsidRDefault="00885424"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5802F3"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42761C76"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2EC231" w14:textId="2ED41EE0" w:rsidR="00B91D66" w:rsidRPr="002F2FDF" w:rsidRDefault="00B91D66" w:rsidP="0083075A">
      <w:pPr>
        <w:pStyle w:val="p1"/>
        <w:spacing w:before="0" w:beforeAutospacing="0" w:after="0" w:afterAutospacing="0"/>
        <w:jc w:val="both"/>
        <w:rPr>
          <w:color w:val="000000" w:themeColor="text1"/>
          <w:sz w:val="16"/>
          <w:szCs w:val="16"/>
        </w:rPr>
      </w:pPr>
      <w:r w:rsidRPr="002F2FDF">
        <w:rPr>
          <w:color w:val="000000" w:themeColor="text1"/>
          <w:sz w:val="16"/>
          <w:szCs w:val="16"/>
        </w:rPr>
        <w:t>7 (20) декабря 1917 года Н.М. Потапов поручил инспектору военному инженеру Н.Г. Мальчиковскому организовать выработку главными довольствующими управлениями Военного и Морского ведомств единого для всех ведомств положения о демобилизации военной промышленности</w:t>
      </w:r>
      <w:r w:rsidR="00E52569">
        <w:rPr>
          <w:color w:val="000000" w:themeColor="text1"/>
          <w:sz w:val="16"/>
          <w:szCs w:val="16"/>
        </w:rPr>
        <w:t xml:space="preserve"> </w:t>
      </w:r>
      <w:r w:rsidRPr="002F2FDF">
        <w:rPr>
          <w:rStyle w:val="af0"/>
          <w:rFonts w:eastAsiaTheme="majorEastAsia"/>
          <w:i w:val="0"/>
          <w:color w:val="000000" w:themeColor="text1"/>
          <w:sz w:val="16"/>
          <w:szCs w:val="16"/>
        </w:rPr>
        <w:t>«для облегчения рабочего и промышленного кризисов»</w:t>
      </w:r>
      <w:r w:rsidRPr="002F2FDF">
        <w:rPr>
          <w:color w:val="000000" w:themeColor="text1"/>
          <w:sz w:val="16"/>
          <w:szCs w:val="16"/>
        </w:rPr>
        <w:t>[213]. В первый выработанный проект декрета «о демобилизации военной промышленности, работающей на армию», внёс правку лично генерал А.А. Маниковский. Проектом намечалась реорганизация Особого совещания по обороне в Особое совещание по восстановлению промышленности. Из правки Маниковского видно, что генералу явно импонировала идея</w:t>
      </w:r>
      <w:r w:rsidR="00E52569">
        <w:rPr>
          <w:color w:val="000000" w:themeColor="text1"/>
          <w:sz w:val="16"/>
          <w:szCs w:val="16"/>
        </w:rPr>
        <w:t xml:space="preserve"> </w:t>
      </w:r>
      <w:r w:rsidRPr="002F2FDF">
        <w:rPr>
          <w:rStyle w:val="af0"/>
          <w:rFonts w:eastAsiaTheme="majorEastAsia"/>
          <w:i w:val="0"/>
          <w:color w:val="000000" w:themeColor="text1"/>
          <w:sz w:val="16"/>
          <w:szCs w:val="16"/>
        </w:rPr>
        <w:t>«взятия государством, а не отдельными предпр[иятия]ми в свои руки всей руководящей работы по восстановлению отечественной промышленности»</w:t>
      </w:r>
      <w:r w:rsidRPr="002F2FDF">
        <w:rPr>
          <w:color w:val="000000" w:themeColor="text1"/>
          <w:sz w:val="16"/>
          <w:szCs w:val="16"/>
        </w:rPr>
        <w:t>[214]: на поставках в дореволюционный период, при пособничестве крупных военных чиновников, нажились многие нечистые на руку дельцы[215].</w:t>
      </w:r>
    </w:p>
    <w:p w14:paraId="44DCBE26" w14:textId="38CA6798" w:rsidR="00B91D66" w:rsidRPr="002F2FDF" w:rsidRDefault="00B91D66"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Основная мысль проекта о демобилизации промышленности:</w:t>
      </w:r>
      <w:r w:rsidR="00E52569">
        <w:rPr>
          <w:color w:val="000000" w:themeColor="text1"/>
          <w:sz w:val="16"/>
          <w:szCs w:val="16"/>
        </w:rPr>
        <w:t xml:space="preserve"> </w:t>
      </w:r>
      <w:r w:rsidRPr="002F2FDF">
        <w:rPr>
          <w:rStyle w:val="af0"/>
          <w:rFonts w:eastAsiaTheme="majorEastAsia"/>
          <w:i w:val="0"/>
          <w:color w:val="000000" w:themeColor="text1"/>
          <w:sz w:val="16"/>
          <w:szCs w:val="16"/>
        </w:rPr>
        <w:t>«немедленно приступить к нормальной деятельности тыла, и прежде всего, к переводу на мирное положение… промышленности,</w:t>
      </w:r>
      <w:r w:rsidR="00E52569">
        <w:rPr>
          <w:rStyle w:val="af0"/>
          <w:rFonts w:eastAsiaTheme="majorEastAsia"/>
          <w:i w:val="0"/>
          <w:color w:val="000000" w:themeColor="text1"/>
          <w:sz w:val="16"/>
          <w:szCs w:val="16"/>
        </w:rPr>
        <w:t xml:space="preserve"> </w:t>
      </w:r>
      <w:r w:rsidRPr="002F2FDF">
        <w:rPr>
          <w:rStyle w:val="a7"/>
          <w:rFonts w:eastAsiaTheme="majorEastAsia"/>
          <w:b w:val="0"/>
          <w:iCs/>
          <w:color w:val="000000" w:themeColor="text1"/>
          <w:sz w:val="16"/>
          <w:szCs w:val="16"/>
        </w:rPr>
        <w:t>пока почти полностью работающей на оборону</w:t>
      </w:r>
      <w:r w:rsidRPr="002F2FDF">
        <w:rPr>
          <w:rStyle w:val="af0"/>
          <w:rFonts w:eastAsiaTheme="majorEastAsia"/>
          <w:i w:val="0"/>
          <w:color w:val="000000" w:themeColor="text1"/>
          <w:sz w:val="16"/>
          <w:szCs w:val="16"/>
        </w:rPr>
        <w:t>»</w:t>
      </w:r>
      <w:r w:rsidRPr="002F2FDF">
        <w:rPr>
          <w:color w:val="000000" w:themeColor="text1"/>
          <w:sz w:val="16"/>
          <w:szCs w:val="16"/>
        </w:rPr>
        <w:t>[216]. (18385).</w:t>
      </w:r>
    </w:p>
    <w:p w14:paraId="6377844E" w14:textId="77777777" w:rsidR="00B91D66" w:rsidRPr="002F2FDF" w:rsidRDefault="00B91D66" w:rsidP="0083075A">
      <w:pPr>
        <w:pStyle w:val="p1"/>
        <w:spacing w:before="0" w:beforeAutospacing="0" w:after="0" w:afterAutospacing="0"/>
        <w:jc w:val="both"/>
        <w:rPr>
          <w:color w:val="000000" w:themeColor="text1"/>
          <w:sz w:val="16"/>
          <w:szCs w:val="16"/>
        </w:rPr>
      </w:pPr>
    </w:p>
    <w:p w14:paraId="7B1B8FA1"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B6217E2"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3B37CF"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7 (20) декабря 1917 Численность л и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B91D66" w:rsidRPr="002F2FDF" w14:paraId="0137F634" w14:textId="77777777" w:rsidTr="00A93330">
        <w:tc>
          <w:tcPr>
            <w:tcW w:w="2242" w:type="dxa"/>
            <w:tcBorders>
              <w:top w:val="single" w:sz="12" w:space="0" w:color="auto"/>
            </w:tcBorders>
          </w:tcPr>
          <w:p w14:paraId="53D8B9AB"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Фронты</w:t>
            </w:r>
          </w:p>
        </w:tc>
        <w:tc>
          <w:tcPr>
            <w:tcW w:w="4484" w:type="dxa"/>
            <w:gridSpan w:val="2"/>
            <w:tcBorders>
              <w:top w:val="single" w:sz="12" w:space="0" w:color="auto"/>
            </w:tcBorders>
          </w:tcPr>
          <w:p w14:paraId="3C57BB2D"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Летчики</w:t>
            </w:r>
          </w:p>
        </w:tc>
        <w:tc>
          <w:tcPr>
            <w:tcW w:w="4484" w:type="dxa"/>
            <w:gridSpan w:val="2"/>
            <w:tcBorders>
              <w:top w:val="single" w:sz="12" w:space="0" w:color="auto"/>
            </w:tcBorders>
          </w:tcPr>
          <w:p w14:paraId="0CB46FF6"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Самолеты</w:t>
            </w:r>
          </w:p>
        </w:tc>
      </w:tr>
      <w:tr w:rsidR="00B91D66" w:rsidRPr="002F2FDF" w14:paraId="76179D34" w14:textId="77777777" w:rsidTr="00A93330">
        <w:tc>
          <w:tcPr>
            <w:tcW w:w="2242" w:type="dxa"/>
          </w:tcPr>
          <w:p w14:paraId="5AECE774"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242" w:type="dxa"/>
          </w:tcPr>
          <w:p w14:paraId="4D7840AE"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штату</w:t>
            </w:r>
          </w:p>
        </w:tc>
        <w:tc>
          <w:tcPr>
            <w:tcW w:w="2242" w:type="dxa"/>
          </w:tcPr>
          <w:p w14:paraId="19563BF7"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Налицо</w:t>
            </w:r>
          </w:p>
        </w:tc>
        <w:tc>
          <w:tcPr>
            <w:tcW w:w="2242" w:type="dxa"/>
          </w:tcPr>
          <w:p w14:paraId="1C4723A9"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Исправные</w:t>
            </w:r>
          </w:p>
        </w:tc>
        <w:tc>
          <w:tcPr>
            <w:tcW w:w="2242" w:type="dxa"/>
          </w:tcPr>
          <w:p w14:paraId="702FD552"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Неисправные</w:t>
            </w:r>
          </w:p>
        </w:tc>
      </w:tr>
      <w:tr w:rsidR="00B91D66" w:rsidRPr="002F2FDF" w14:paraId="4395156A" w14:textId="77777777" w:rsidTr="00A93330">
        <w:tc>
          <w:tcPr>
            <w:tcW w:w="2242" w:type="dxa"/>
          </w:tcPr>
          <w:p w14:paraId="02F6BBD2"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Северный</w:t>
            </w:r>
          </w:p>
        </w:tc>
        <w:tc>
          <w:tcPr>
            <w:tcW w:w="2242" w:type="dxa"/>
          </w:tcPr>
          <w:p w14:paraId="4E90185E"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159</w:t>
            </w:r>
          </w:p>
        </w:tc>
        <w:tc>
          <w:tcPr>
            <w:tcW w:w="2242" w:type="dxa"/>
          </w:tcPr>
          <w:p w14:paraId="0903A705"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86</w:t>
            </w:r>
          </w:p>
        </w:tc>
        <w:tc>
          <w:tcPr>
            <w:tcW w:w="2242" w:type="dxa"/>
          </w:tcPr>
          <w:p w14:paraId="6C2B1F44"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w:t>
            </w:r>
          </w:p>
        </w:tc>
        <w:tc>
          <w:tcPr>
            <w:tcW w:w="2242" w:type="dxa"/>
          </w:tcPr>
          <w:p w14:paraId="4D5B533C"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r>
      <w:tr w:rsidR="00B91D66" w:rsidRPr="002F2FDF" w14:paraId="2B9A64FE" w14:textId="77777777" w:rsidTr="00A93330">
        <w:tc>
          <w:tcPr>
            <w:tcW w:w="2242" w:type="dxa"/>
          </w:tcPr>
          <w:p w14:paraId="49635D92"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Западный</w:t>
            </w:r>
          </w:p>
        </w:tc>
        <w:tc>
          <w:tcPr>
            <w:tcW w:w="2242" w:type="dxa"/>
          </w:tcPr>
          <w:p w14:paraId="0409909F"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155</w:t>
            </w:r>
          </w:p>
        </w:tc>
        <w:tc>
          <w:tcPr>
            <w:tcW w:w="2242" w:type="dxa"/>
          </w:tcPr>
          <w:p w14:paraId="7DFDCA6C"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98</w:t>
            </w:r>
          </w:p>
        </w:tc>
        <w:tc>
          <w:tcPr>
            <w:tcW w:w="2242" w:type="dxa"/>
          </w:tcPr>
          <w:p w14:paraId="0C4B86F3"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77</w:t>
            </w:r>
          </w:p>
        </w:tc>
        <w:tc>
          <w:tcPr>
            <w:tcW w:w="2242" w:type="dxa"/>
          </w:tcPr>
          <w:p w14:paraId="4884D98A"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w:t>
            </w:r>
          </w:p>
        </w:tc>
      </w:tr>
      <w:tr w:rsidR="00B91D66" w:rsidRPr="002F2FDF" w14:paraId="047F7CD6" w14:textId="77777777" w:rsidTr="00A93330">
        <w:tc>
          <w:tcPr>
            <w:tcW w:w="2242" w:type="dxa"/>
          </w:tcPr>
          <w:p w14:paraId="5D21204A"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Юго-Западный</w:t>
            </w:r>
          </w:p>
        </w:tc>
        <w:tc>
          <w:tcPr>
            <w:tcW w:w="2242" w:type="dxa"/>
          </w:tcPr>
          <w:p w14:paraId="5AE0A3AD"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264</w:t>
            </w:r>
          </w:p>
        </w:tc>
        <w:tc>
          <w:tcPr>
            <w:tcW w:w="2242" w:type="dxa"/>
          </w:tcPr>
          <w:p w14:paraId="76F41A28"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152</w:t>
            </w:r>
          </w:p>
        </w:tc>
        <w:tc>
          <w:tcPr>
            <w:tcW w:w="2242" w:type="dxa"/>
          </w:tcPr>
          <w:p w14:paraId="0D9C6978"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141</w:t>
            </w:r>
          </w:p>
        </w:tc>
        <w:tc>
          <w:tcPr>
            <w:tcW w:w="2242" w:type="dxa"/>
          </w:tcPr>
          <w:p w14:paraId="4486DAAA"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w:t>
            </w:r>
          </w:p>
        </w:tc>
      </w:tr>
      <w:tr w:rsidR="00B91D66" w:rsidRPr="002F2FDF" w14:paraId="4CD49231" w14:textId="77777777" w:rsidTr="00A93330">
        <w:tc>
          <w:tcPr>
            <w:tcW w:w="2242" w:type="dxa"/>
          </w:tcPr>
          <w:p w14:paraId="29E4BF63"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Румынский</w:t>
            </w:r>
          </w:p>
        </w:tc>
        <w:tc>
          <w:tcPr>
            <w:tcW w:w="2242" w:type="dxa"/>
          </w:tcPr>
          <w:p w14:paraId="478F01CC"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162</w:t>
            </w:r>
          </w:p>
        </w:tc>
        <w:tc>
          <w:tcPr>
            <w:tcW w:w="2242" w:type="dxa"/>
          </w:tcPr>
          <w:p w14:paraId="5444B7DD"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w:t>
            </w:r>
          </w:p>
        </w:tc>
        <w:tc>
          <w:tcPr>
            <w:tcW w:w="2242" w:type="dxa"/>
          </w:tcPr>
          <w:p w14:paraId="6B4E816F"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w:t>
            </w:r>
          </w:p>
        </w:tc>
        <w:tc>
          <w:tcPr>
            <w:tcW w:w="2242" w:type="dxa"/>
          </w:tcPr>
          <w:p w14:paraId="3DC86B99"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w:t>
            </w:r>
          </w:p>
        </w:tc>
      </w:tr>
      <w:tr w:rsidR="00B91D66" w:rsidRPr="002F2FDF" w14:paraId="2A085F17" w14:textId="77777777" w:rsidTr="00A93330">
        <w:tc>
          <w:tcPr>
            <w:tcW w:w="2242" w:type="dxa"/>
          </w:tcPr>
          <w:p w14:paraId="11F931D4"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Кавказский</w:t>
            </w:r>
          </w:p>
        </w:tc>
        <w:tc>
          <w:tcPr>
            <w:tcW w:w="2242" w:type="dxa"/>
          </w:tcPr>
          <w:p w14:paraId="1FF94532"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c>
          <w:tcPr>
            <w:tcW w:w="2242" w:type="dxa"/>
          </w:tcPr>
          <w:p w14:paraId="38E044F7"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2242" w:type="dxa"/>
          </w:tcPr>
          <w:p w14:paraId="0EC27B3F"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2242" w:type="dxa"/>
          </w:tcPr>
          <w:p w14:paraId="55FEC640"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r>
      <w:tr w:rsidR="00B91D66" w:rsidRPr="002F2FDF" w14:paraId="4EDA017E" w14:textId="77777777" w:rsidTr="00A93330">
        <w:tc>
          <w:tcPr>
            <w:tcW w:w="2242" w:type="dxa"/>
            <w:tcBorders>
              <w:bottom w:val="single" w:sz="12" w:space="0" w:color="auto"/>
            </w:tcBorders>
          </w:tcPr>
          <w:p w14:paraId="1E34C708"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2242" w:type="dxa"/>
            <w:tcBorders>
              <w:bottom w:val="single" w:sz="12" w:space="0" w:color="auto"/>
            </w:tcBorders>
          </w:tcPr>
          <w:p w14:paraId="69C430EE"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780</w:t>
            </w:r>
          </w:p>
        </w:tc>
        <w:tc>
          <w:tcPr>
            <w:tcW w:w="2242" w:type="dxa"/>
            <w:tcBorders>
              <w:bottom w:val="single" w:sz="12" w:space="0" w:color="auto"/>
            </w:tcBorders>
          </w:tcPr>
          <w:p w14:paraId="26960F0D"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443</w:t>
            </w:r>
          </w:p>
        </w:tc>
        <w:tc>
          <w:tcPr>
            <w:tcW w:w="2242" w:type="dxa"/>
            <w:tcBorders>
              <w:bottom w:val="single" w:sz="12" w:space="0" w:color="auto"/>
            </w:tcBorders>
          </w:tcPr>
          <w:p w14:paraId="65CC3179"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381</w:t>
            </w:r>
          </w:p>
        </w:tc>
        <w:tc>
          <w:tcPr>
            <w:tcW w:w="2242" w:type="dxa"/>
            <w:tcBorders>
              <w:bottom w:val="single" w:sz="12" w:space="0" w:color="auto"/>
            </w:tcBorders>
          </w:tcPr>
          <w:p w14:paraId="6592E14C"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121</w:t>
            </w:r>
          </w:p>
        </w:tc>
      </w:tr>
    </w:tbl>
    <w:p w14:paraId="1C78134C"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(ЦГАСА, ф. 6, оп. 6, д. 135, л. 49 и др.)</w:t>
      </w:r>
    </w:p>
    <w:p w14:paraId="4588F9E4"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91 авиаотряда было эвакуировано в тыл только 33 с 200 самолетами, до 500 машин было захвачено немцами, в т.ч. ЭВК в Виннице. Морская авиация в Прибалтике была брошена почти вся.</w:t>
      </w:r>
    </w:p>
    <w:p w14:paraId="32E76AE8"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C5C155" w14:textId="77777777" w:rsidR="00601560" w:rsidRPr="005D7D69" w:rsidRDefault="0060156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 xml:space="preserve">7 </w:t>
      </w:r>
      <w:r>
        <w:rPr>
          <w:rFonts w:ascii="Times New Roman" w:hAnsi="Times New Roman" w:cs="Times New Roman"/>
          <w:color w:val="0070C0"/>
          <w:sz w:val="16"/>
          <w:szCs w:val="16"/>
        </w:rPr>
        <w:t xml:space="preserve">(20) </w:t>
      </w:r>
      <w:r w:rsidRPr="005D7D69">
        <w:rPr>
          <w:rFonts w:ascii="Times New Roman" w:hAnsi="Times New Roman" w:cs="Times New Roman"/>
          <w:color w:val="0070C0"/>
          <w:sz w:val="16"/>
          <w:szCs w:val="16"/>
        </w:rPr>
        <w:t xml:space="preserve">декабря </w:t>
      </w:r>
      <w:r>
        <w:rPr>
          <w:rFonts w:ascii="Times New Roman" w:hAnsi="Times New Roman" w:cs="Times New Roman"/>
          <w:color w:val="0070C0"/>
          <w:sz w:val="16"/>
          <w:szCs w:val="16"/>
        </w:rPr>
        <w:t>1917 г. было о</w:t>
      </w:r>
      <w:r w:rsidRPr="005D7D69">
        <w:rPr>
          <w:rFonts w:ascii="Times New Roman" w:hAnsi="Times New Roman" w:cs="Times New Roman"/>
          <w:color w:val="0070C0"/>
          <w:sz w:val="16"/>
          <w:szCs w:val="16"/>
        </w:rPr>
        <w:t>фициально об</w:t>
      </w:r>
      <w:r>
        <w:rPr>
          <w:rFonts w:ascii="Times New Roman" w:hAnsi="Times New Roman" w:cs="Times New Roman"/>
          <w:color w:val="0070C0"/>
          <w:sz w:val="16"/>
          <w:szCs w:val="16"/>
        </w:rPr>
        <w:t>ъ</w:t>
      </w:r>
      <w:r w:rsidRPr="005D7D69">
        <w:rPr>
          <w:rFonts w:ascii="Times New Roman" w:hAnsi="Times New Roman" w:cs="Times New Roman"/>
          <w:color w:val="0070C0"/>
          <w:sz w:val="16"/>
          <w:szCs w:val="16"/>
        </w:rPr>
        <w:t>явлено о прекращении боев</w:t>
      </w:r>
      <w:r>
        <w:rPr>
          <w:rFonts w:ascii="Times New Roman" w:hAnsi="Times New Roman" w:cs="Times New Roman"/>
          <w:color w:val="0070C0"/>
          <w:sz w:val="16"/>
          <w:szCs w:val="16"/>
        </w:rPr>
        <w:t>ых</w:t>
      </w:r>
      <w:r w:rsidRPr="005D7D69">
        <w:rPr>
          <w:rFonts w:ascii="Times New Roman" w:hAnsi="Times New Roman" w:cs="Times New Roman"/>
          <w:color w:val="0070C0"/>
          <w:sz w:val="16"/>
          <w:szCs w:val="16"/>
        </w:rPr>
        <w:t xml:space="preserve"> действий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 Германией.</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К </w:t>
      </w:r>
      <w:r>
        <w:rPr>
          <w:rFonts w:ascii="Times New Roman" w:hAnsi="Times New Roman" w:cs="Times New Roman"/>
          <w:color w:val="0070C0"/>
          <w:sz w:val="16"/>
          <w:szCs w:val="16"/>
        </w:rPr>
        <w:t>э</w:t>
      </w:r>
      <w:r w:rsidRPr="005D7D69">
        <w:rPr>
          <w:rFonts w:ascii="Times New Roman" w:hAnsi="Times New Roman" w:cs="Times New Roman"/>
          <w:color w:val="0070C0"/>
          <w:sz w:val="16"/>
          <w:szCs w:val="16"/>
        </w:rPr>
        <w:t>то</w:t>
      </w:r>
      <w:r>
        <w:rPr>
          <w:rFonts w:ascii="Times New Roman" w:hAnsi="Times New Roman" w:cs="Times New Roman"/>
          <w:color w:val="0070C0"/>
          <w:sz w:val="16"/>
          <w:szCs w:val="16"/>
        </w:rPr>
        <w:t>м</w:t>
      </w:r>
      <w:r w:rsidRPr="005D7D69">
        <w:rPr>
          <w:rFonts w:ascii="Times New Roman" w:hAnsi="Times New Roman" w:cs="Times New Roman"/>
          <w:color w:val="0070C0"/>
          <w:sz w:val="16"/>
          <w:szCs w:val="16"/>
        </w:rPr>
        <w:t xml:space="preserve">у времени численность летчиков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самолетов б</w:t>
      </w:r>
      <w:r>
        <w:rPr>
          <w:rFonts w:ascii="Times New Roman" w:hAnsi="Times New Roman" w:cs="Times New Roman"/>
          <w:color w:val="0070C0"/>
          <w:sz w:val="16"/>
          <w:szCs w:val="16"/>
        </w:rPr>
        <w:t>ы</w:t>
      </w:r>
      <w:r w:rsidRPr="005D7D69">
        <w:rPr>
          <w:rFonts w:ascii="Times New Roman" w:hAnsi="Times New Roman" w:cs="Times New Roman"/>
          <w:color w:val="0070C0"/>
          <w:sz w:val="16"/>
          <w:szCs w:val="16"/>
        </w:rPr>
        <w:t>ла:</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048"/>
        <w:gridCol w:w="869"/>
        <w:gridCol w:w="1093"/>
        <w:gridCol w:w="1253"/>
        <w:gridCol w:w="1264"/>
      </w:tblGrid>
      <w:tr w:rsidR="00601560" w:rsidRPr="005D7D69" w14:paraId="0745668A" w14:textId="77777777" w:rsidTr="00A93330">
        <w:trPr>
          <w:trHeight w:val="784"/>
        </w:trPr>
        <w:tc>
          <w:tcPr>
            <w:tcW w:w="2048" w:type="dxa"/>
            <w:shd w:val="clear" w:color="auto" w:fill="auto"/>
            <w:vAlign w:val="bottom"/>
          </w:tcPr>
          <w:p w14:paraId="0F96CACD" w14:textId="77777777" w:rsidR="00601560" w:rsidRPr="005D7D69" w:rsidRDefault="00601560" w:rsidP="0083075A">
            <w:pPr>
              <w:jc w:val="both"/>
              <w:rPr>
                <w:rFonts w:ascii="Times New Roman" w:hAnsi="Times New Roman" w:cs="Times New Roman"/>
                <w:color w:val="0070C0"/>
                <w:sz w:val="16"/>
                <w:szCs w:val="16"/>
              </w:rPr>
            </w:pPr>
            <w:r>
              <w:rPr>
                <w:rFonts w:ascii="Times New Roman" w:hAnsi="Times New Roman" w:cs="Times New Roman"/>
                <w:color w:val="0070C0"/>
                <w:sz w:val="16"/>
                <w:szCs w:val="16"/>
              </w:rPr>
              <w:lastRenderedPageBreak/>
              <w:t>Фронты</w:t>
            </w:r>
          </w:p>
        </w:tc>
        <w:tc>
          <w:tcPr>
            <w:tcW w:w="1962" w:type="dxa"/>
            <w:gridSpan w:val="2"/>
            <w:shd w:val="clear" w:color="auto" w:fill="auto"/>
            <w:vAlign w:val="center"/>
          </w:tcPr>
          <w:p w14:paraId="26EEC3C3" w14:textId="77777777" w:rsidR="00601560" w:rsidRPr="005D7D69" w:rsidRDefault="00601560" w:rsidP="0083075A">
            <w:pPr>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Л е т ч</w:t>
            </w:r>
            <w:r>
              <w:rPr>
                <w:rFonts w:ascii="Times New Roman" w:hAnsi="Times New Roman" w:cs="Times New Roman"/>
                <w:color w:val="0070C0"/>
                <w:sz w:val="16"/>
                <w:szCs w:val="16"/>
              </w:rPr>
              <w:t xml:space="preserve"> и к и</w:t>
            </w:r>
          </w:p>
        </w:tc>
        <w:tc>
          <w:tcPr>
            <w:tcW w:w="2517" w:type="dxa"/>
            <w:gridSpan w:val="2"/>
            <w:shd w:val="clear" w:color="auto" w:fill="auto"/>
            <w:vAlign w:val="bottom"/>
          </w:tcPr>
          <w:p w14:paraId="30D8C68A" w14:textId="77777777" w:rsidR="00601560" w:rsidRPr="005D7D69" w:rsidRDefault="00601560" w:rsidP="0083075A">
            <w:pPr>
              <w:jc w:val="both"/>
              <w:rPr>
                <w:rFonts w:ascii="Times New Roman" w:hAnsi="Times New Roman" w:cs="Times New Roman"/>
                <w:color w:val="0070C0"/>
                <w:sz w:val="16"/>
                <w:szCs w:val="16"/>
              </w:rPr>
            </w:pPr>
            <w:r>
              <w:rPr>
                <w:rFonts w:ascii="Times New Roman" w:hAnsi="Times New Roman" w:cs="Times New Roman"/>
                <w:color w:val="0070C0"/>
                <w:sz w:val="16"/>
                <w:szCs w:val="16"/>
              </w:rPr>
              <w:t>Самолеты</w:t>
            </w:r>
          </w:p>
        </w:tc>
      </w:tr>
      <w:tr w:rsidR="00601560" w:rsidRPr="005D7D69" w14:paraId="59AFF165" w14:textId="77777777" w:rsidTr="00A93330">
        <w:trPr>
          <w:trHeight w:val="784"/>
        </w:trPr>
        <w:tc>
          <w:tcPr>
            <w:tcW w:w="2048" w:type="dxa"/>
            <w:shd w:val="clear" w:color="auto" w:fill="auto"/>
            <w:vAlign w:val="bottom"/>
          </w:tcPr>
          <w:p w14:paraId="0C7B7DC6" w14:textId="77777777" w:rsidR="00601560" w:rsidRPr="005D7D69" w:rsidRDefault="00601560" w:rsidP="0083075A">
            <w:pPr>
              <w:jc w:val="both"/>
              <w:rPr>
                <w:rFonts w:ascii="Times New Roman" w:hAnsi="Times New Roman" w:cs="Times New Roman"/>
                <w:color w:val="0070C0"/>
                <w:sz w:val="16"/>
                <w:szCs w:val="16"/>
              </w:rPr>
            </w:pPr>
          </w:p>
        </w:tc>
        <w:tc>
          <w:tcPr>
            <w:tcW w:w="869" w:type="dxa"/>
            <w:shd w:val="clear" w:color="auto" w:fill="auto"/>
          </w:tcPr>
          <w:p w14:paraId="7894CCE6" w14:textId="77777777" w:rsidR="00601560" w:rsidRDefault="00601560" w:rsidP="0083075A">
            <w:pPr>
              <w:jc w:val="both"/>
              <w:rPr>
                <w:rFonts w:ascii="Times New Roman" w:hAnsi="Times New Roman" w:cs="Times New Roman"/>
                <w:color w:val="0070C0"/>
                <w:sz w:val="16"/>
                <w:szCs w:val="16"/>
              </w:rPr>
            </w:pPr>
            <w:r>
              <w:rPr>
                <w:rFonts w:ascii="Times New Roman" w:hAnsi="Times New Roman" w:cs="Times New Roman"/>
                <w:color w:val="0070C0"/>
                <w:sz w:val="16"/>
                <w:szCs w:val="16"/>
              </w:rPr>
              <w:t>По</w:t>
            </w:r>
            <w:r w:rsidRPr="005D7D69">
              <w:rPr>
                <w:rFonts w:ascii="Times New Roman" w:hAnsi="Times New Roman" w:cs="Times New Roman"/>
                <w:color w:val="0070C0"/>
                <w:sz w:val="16"/>
                <w:szCs w:val="16"/>
              </w:rPr>
              <w:t xml:space="preserve"> штату</w:t>
            </w:r>
          </w:p>
        </w:tc>
        <w:tc>
          <w:tcPr>
            <w:tcW w:w="1093" w:type="dxa"/>
            <w:shd w:val="clear" w:color="auto" w:fill="auto"/>
          </w:tcPr>
          <w:p w14:paraId="7F8587B1" w14:textId="77777777" w:rsidR="00601560" w:rsidRPr="005D7D69" w:rsidRDefault="00601560" w:rsidP="0083075A">
            <w:pPr>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Налицо</w:t>
            </w:r>
          </w:p>
        </w:tc>
        <w:tc>
          <w:tcPr>
            <w:tcW w:w="1253" w:type="dxa"/>
            <w:shd w:val="clear" w:color="auto" w:fill="auto"/>
            <w:vAlign w:val="bottom"/>
          </w:tcPr>
          <w:p w14:paraId="40B3801F" w14:textId="77777777" w:rsidR="00601560" w:rsidRPr="005D7D69" w:rsidRDefault="00601560" w:rsidP="0083075A">
            <w:pPr>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Исправные</w:t>
            </w:r>
          </w:p>
        </w:tc>
        <w:tc>
          <w:tcPr>
            <w:tcW w:w="1264" w:type="dxa"/>
            <w:shd w:val="clear" w:color="auto" w:fill="auto"/>
            <w:vAlign w:val="bottom"/>
          </w:tcPr>
          <w:p w14:paraId="4146F19D" w14:textId="77777777" w:rsidR="00601560" w:rsidRPr="005D7D69" w:rsidRDefault="00601560" w:rsidP="0083075A">
            <w:pPr>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Неисправные</w:t>
            </w:r>
          </w:p>
        </w:tc>
      </w:tr>
      <w:tr w:rsidR="00601560" w:rsidRPr="005D7D69" w14:paraId="0D768A62" w14:textId="77777777" w:rsidTr="00A93330">
        <w:trPr>
          <w:trHeight w:val="784"/>
        </w:trPr>
        <w:tc>
          <w:tcPr>
            <w:tcW w:w="2048" w:type="dxa"/>
            <w:shd w:val="clear" w:color="auto" w:fill="auto"/>
            <w:vAlign w:val="bottom"/>
          </w:tcPr>
          <w:p w14:paraId="4DCC95F8" w14:textId="77777777" w:rsidR="00601560" w:rsidRPr="005D7D69" w:rsidRDefault="00601560" w:rsidP="0083075A">
            <w:pPr>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Северный</w:t>
            </w:r>
          </w:p>
        </w:tc>
        <w:tc>
          <w:tcPr>
            <w:tcW w:w="869" w:type="dxa"/>
            <w:shd w:val="clear" w:color="auto" w:fill="auto"/>
            <w:vAlign w:val="bottom"/>
          </w:tcPr>
          <w:p w14:paraId="3CA2229C" w14:textId="77777777" w:rsidR="00601560" w:rsidRPr="005D7D69" w:rsidRDefault="00601560" w:rsidP="0083075A">
            <w:pPr>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159</w:t>
            </w:r>
          </w:p>
        </w:tc>
        <w:tc>
          <w:tcPr>
            <w:tcW w:w="1093" w:type="dxa"/>
            <w:shd w:val="clear" w:color="auto" w:fill="auto"/>
            <w:vAlign w:val="bottom"/>
          </w:tcPr>
          <w:p w14:paraId="33169A82" w14:textId="77777777" w:rsidR="00601560" w:rsidRPr="005D7D69" w:rsidRDefault="00601560" w:rsidP="0083075A">
            <w:pPr>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86</w:t>
            </w:r>
          </w:p>
        </w:tc>
        <w:tc>
          <w:tcPr>
            <w:tcW w:w="1253" w:type="dxa"/>
            <w:shd w:val="clear" w:color="auto" w:fill="auto"/>
            <w:vAlign w:val="bottom"/>
          </w:tcPr>
          <w:p w14:paraId="05322CEB" w14:textId="77777777" w:rsidR="00601560" w:rsidRPr="005D7D69" w:rsidRDefault="00601560" w:rsidP="0083075A">
            <w:pPr>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67</w:t>
            </w:r>
          </w:p>
        </w:tc>
        <w:tc>
          <w:tcPr>
            <w:tcW w:w="1264" w:type="dxa"/>
            <w:shd w:val="clear" w:color="auto" w:fill="auto"/>
            <w:vAlign w:val="bottom"/>
          </w:tcPr>
          <w:p w14:paraId="70F1F5FB" w14:textId="77777777" w:rsidR="00601560" w:rsidRPr="005D7D69" w:rsidRDefault="00601560" w:rsidP="0083075A">
            <w:pPr>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8</w:t>
            </w:r>
          </w:p>
        </w:tc>
      </w:tr>
      <w:tr w:rsidR="00601560" w:rsidRPr="005D7D69" w14:paraId="2BE386AD" w14:textId="77777777" w:rsidTr="00A93330">
        <w:trPr>
          <w:trHeight w:val="320"/>
        </w:trPr>
        <w:tc>
          <w:tcPr>
            <w:tcW w:w="2048" w:type="dxa"/>
            <w:shd w:val="clear" w:color="auto" w:fill="auto"/>
            <w:vAlign w:val="bottom"/>
          </w:tcPr>
          <w:p w14:paraId="17A7902B" w14:textId="77777777" w:rsidR="00601560" w:rsidRPr="005D7D69" w:rsidRDefault="0060156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Западный</w:t>
            </w:r>
          </w:p>
        </w:tc>
        <w:tc>
          <w:tcPr>
            <w:tcW w:w="869" w:type="dxa"/>
            <w:shd w:val="clear" w:color="auto" w:fill="auto"/>
            <w:vAlign w:val="bottom"/>
          </w:tcPr>
          <w:p w14:paraId="12528ECD" w14:textId="77777777" w:rsidR="00601560" w:rsidRPr="005D7D69" w:rsidRDefault="0060156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155</w:t>
            </w:r>
          </w:p>
        </w:tc>
        <w:tc>
          <w:tcPr>
            <w:tcW w:w="1093" w:type="dxa"/>
            <w:shd w:val="clear" w:color="auto" w:fill="auto"/>
            <w:vAlign w:val="bottom"/>
          </w:tcPr>
          <w:p w14:paraId="043D0566" w14:textId="77777777" w:rsidR="00601560" w:rsidRPr="005D7D69" w:rsidRDefault="0060156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98</w:t>
            </w:r>
          </w:p>
        </w:tc>
        <w:tc>
          <w:tcPr>
            <w:tcW w:w="1253" w:type="dxa"/>
            <w:shd w:val="clear" w:color="auto" w:fill="auto"/>
            <w:vAlign w:val="bottom"/>
          </w:tcPr>
          <w:p w14:paraId="3404D300" w14:textId="77777777" w:rsidR="00601560" w:rsidRPr="005D7D69" w:rsidRDefault="0060156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77</w:t>
            </w:r>
          </w:p>
        </w:tc>
        <w:tc>
          <w:tcPr>
            <w:tcW w:w="1264" w:type="dxa"/>
            <w:shd w:val="clear" w:color="auto" w:fill="auto"/>
            <w:vAlign w:val="bottom"/>
          </w:tcPr>
          <w:p w14:paraId="381F82A3" w14:textId="77777777" w:rsidR="00601560" w:rsidRPr="005D7D69" w:rsidRDefault="0060156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39</w:t>
            </w:r>
          </w:p>
        </w:tc>
      </w:tr>
      <w:tr w:rsidR="00601560" w:rsidRPr="005D7D69" w14:paraId="11460DF1" w14:textId="77777777" w:rsidTr="00A93330">
        <w:trPr>
          <w:trHeight w:val="320"/>
        </w:trPr>
        <w:tc>
          <w:tcPr>
            <w:tcW w:w="2048" w:type="dxa"/>
            <w:shd w:val="clear" w:color="auto" w:fill="auto"/>
            <w:vAlign w:val="bottom"/>
          </w:tcPr>
          <w:p w14:paraId="52B25E0F" w14:textId="77777777" w:rsidR="00601560" w:rsidRPr="005D7D69" w:rsidRDefault="00601560" w:rsidP="0083075A">
            <w:pPr>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Юго-западный</w:t>
            </w:r>
          </w:p>
        </w:tc>
        <w:tc>
          <w:tcPr>
            <w:tcW w:w="869" w:type="dxa"/>
            <w:shd w:val="clear" w:color="auto" w:fill="auto"/>
            <w:vAlign w:val="bottom"/>
          </w:tcPr>
          <w:p w14:paraId="1FCF3CAB" w14:textId="77777777" w:rsidR="00601560" w:rsidRPr="005D7D69" w:rsidRDefault="00601560" w:rsidP="0083075A">
            <w:pPr>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264</w:t>
            </w:r>
          </w:p>
        </w:tc>
        <w:tc>
          <w:tcPr>
            <w:tcW w:w="1093" w:type="dxa"/>
            <w:shd w:val="clear" w:color="auto" w:fill="auto"/>
            <w:vAlign w:val="bottom"/>
          </w:tcPr>
          <w:p w14:paraId="6C573014" w14:textId="77777777" w:rsidR="00601560" w:rsidRPr="005D7D69" w:rsidRDefault="00601560" w:rsidP="0083075A">
            <w:pPr>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152</w:t>
            </w:r>
          </w:p>
        </w:tc>
        <w:tc>
          <w:tcPr>
            <w:tcW w:w="1253" w:type="dxa"/>
            <w:shd w:val="clear" w:color="auto" w:fill="auto"/>
            <w:vAlign w:val="bottom"/>
          </w:tcPr>
          <w:p w14:paraId="67DC65CD" w14:textId="77777777" w:rsidR="00601560" w:rsidRPr="005D7D69" w:rsidRDefault="00601560" w:rsidP="0083075A">
            <w:pPr>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141</w:t>
            </w:r>
          </w:p>
        </w:tc>
        <w:tc>
          <w:tcPr>
            <w:tcW w:w="1264" w:type="dxa"/>
            <w:shd w:val="clear" w:color="auto" w:fill="auto"/>
            <w:vAlign w:val="bottom"/>
          </w:tcPr>
          <w:p w14:paraId="0D3A511A" w14:textId="77777777" w:rsidR="00601560" w:rsidRPr="005D7D69" w:rsidRDefault="00601560" w:rsidP="0083075A">
            <w:pPr>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48</w:t>
            </w:r>
          </w:p>
        </w:tc>
      </w:tr>
      <w:tr w:rsidR="00601560" w:rsidRPr="005D7D69" w14:paraId="55C1ACE5" w14:textId="77777777" w:rsidTr="00A93330">
        <w:trPr>
          <w:trHeight w:val="325"/>
        </w:trPr>
        <w:tc>
          <w:tcPr>
            <w:tcW w:w="2048" w:type="dxa"/>
            <w:shd w:val="clear" w:color="auto" w:fill="auto"/>
          </w:tcPr>
          <w:p w14:paraId="47919291" w14:textId="77777777" w:rsidR="00601560" w:rsidRPr="005D7D69" w:rsidRDefault="0060156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Румынский</w:t>
            </w:r>
          </w:p>
        </w:tc>
        <w:tc>
          <w:tcPr>
            <w:tcW w:w="869" w:type="dxa"/>
            <w:shd w:val="clear" w:color="auto" w:fill="auto"/>
          </w:tcPr>
          <w:p w14:paraId="36B0B179" w14:textId="77777777" w:rsidR="00601560" w:rsidRPr="005D7D69" w:rsidRDefault="0060156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162</w:t>
            </w:r>
          </w:p>
        </w:tc>
        <w:tc>
          <w:tcPr>
            <w:tcW w:w="1093" w:type="dxa"/>
            <w:shd w:val="clear" w:color="auto" w:fill="auto"/>
          </w:tcPr>
          <w:p w14:paraId="33953EE8" w14:textId="77777777" w:rsidR="00601560" w:rsidRPr="005D7D69" w:rsidRDefault="0060156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87</w:t>
            </w:r>
          </w:p>
        </w:tc>
        <w:tc>
          <w:tcPr>
            <w:tcW w:w="1253" w:type="dxa"/>
            <w:shd w:val="clear" w:color="auto" w:fill="auto"/>
          </w:tcPr>
          <w:p w14:paraId="7F9B1CD9" w14:textId="77777777" w:rsidR="00601560" w:rsidRPr="005D7D69" w:rsidRDefault="0060156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76</w:t>
            </w:r>
          </w:p>
        </w:tc>
        <w:tc>
          <w:tcPr>
            <w:tcW w:w="1264" w:type="dxa"/>
            <w:shd w:val="clear" w:color="auto" w:fill="auto"/>
          </w:tcPr>
          <w:p w14:paraId="7CAEB77A" w14:textId="77777777" w:rsidR="00601560" w:rsidRPr="005D7D69" w:rsidRDefault="0060156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23</w:t>
            </w:r>
          </w:p>
        </w:tc>
      </w:tr>
      <w:tr w:rsidR="00601560" w:rsidRPr="005D7D69" w14:paraId="2B969107" w14:textId="77777777" w:rsidTr="00A93330">
        <w:trPr>
          <w:trHeight w:val="336"/>
        </w:trPr>
        <w:tc>
          <w:tcPr>
            <w:tcW w:w="2048" w:type="dxa"/>
            <w:shd w:val="clear" w:color="auto" w:fill="auto"/>
            <w:vAlign w:val="bottom"/>
          </w:tcPr>
          <w:p w14:paraId="0212A47D" w14:textId="77777777" w:rsidR="00601560" w:rsidRPr="005D7D69" w:rsidRDefault="0060156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Кавказский</w:t>
            </w:r>
          </w:p>
        </w:tc>
        <w:tc>
          <w:tcPr>
            <w:tcW w:w="869" w:type="dxa"/>
            <w:shd w:val="clear" w:color="auto" w:fill="auto"/>
            <w:vAlign w:val="bottom"/>
          </w:tcPr>
          <w:p w14:paraId="203CF3FA" w14:textId="77777777" w:rsidR="00601560" w:rsidRPr="005D7D69" w:rsidRDefault="0060156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40</w:t>
            </w:r>
          </w:p>
        </w:tc>
        <w:tc>
          <w:tcPr>
            <w:tcW w:w="1093" w:type="dxa"/>
            <w:shd w:val="clear" w:color="auto" w:fill="auto"/>
            <w:vAlign w:val="bottom"/>
          </w:tcPr>
          <w:p w14:paraId="5D6889E0" w14:textId="77777777" w:rsidR="00601560" w:rsidRPr="005D7D69" w:rsidRDefault="0060156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20</w:t>
            </w:r>
            <w:r w:rsidRPr="005D7D69">
              <w:rPr>
                <w:rFonts w:ascii="Times New Roman" w:hAnsi="Times New Roman" w:cs="Times New Roman"/>
                <w:color w:val="0070C0"/>
                <w:sz w:val="16"/>
                <w:szCs w:val="16"/>
              </w:rPr>
              <w:tab/>
            </w:r>
          </w:p>
        </w:tc>
        <w:tc>
          <w:tcPr>
            <w:tcW w:w="1253" w:type="dxa"/>
            <w:shd w:val="clear" w:color="auto" w:fill="auto"/>
            <w:vAlign w:val="bottom"/>
          </w:tcPr>
          <w:p w14:paraId="0E7E2EDE" w14:textId="77777777" w:rsidR="00601560" w:rsidRPr="005D7D69" w:rsidRDefault="0060156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20</w:t>
            </w:r>
          </w:p>
        </w:tc>
        <w:tc>
          <w:tcPr>
            <w:tcW w:w="1264" w:type="dxa"/>
            <w:shd w:val="clear" w:color="auto" w:fill="auto"/>
            <w:vAlign w:val="bottom"/>
          </w:tcPr>
          <w:p w14:paraId="19D8C1FC" w14:textId="77777777" w:rsidR="00601560" w:rsidRPr="005D7D69" w:rsidRDefault="0060156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8</w:t>
            </w:r>
          </w:p>
        </w:tc>
      </w:tr>
      <w:tr w:rsidR="00601560" w:rsidRPr="005D7D69" w14:paraId="39AC56A7" w14:textId="77777777" w:rsidTr="00A93330">
        <w:trPr>
          <w:trHeight w:val="315"/>
        </w:trPr>
        <w:tc>
          <w:tcPr>
            <w:tcW w:w="2048" w:type="dxa"/>
            <w:shd w:val="clear" w:color="auto" w:fill="auto"/>
          </w:tcPr>
          <w:p w14:paraId="4A468106" w14:textId="77777777" w:rsidR="00601560" w:rsidRPr="005D7D69" w:rsidRDefault="0060156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Всего на фронтах</w:t>
            </w:r>
          </w:p>
        </w:tc>
        <w:tc>
          <w:tcPr>
            <w:tcW w:w="869" w:type="dxa"/>
            <w:shd w:val="clear" w:color="auto" w:fill="auto"/>
          </w:tcPr>
          <w:p w14:paraId="0DD0A7F6" w14:textId="77777777" w:rsidR="00601560" w:rsidRPr="005D7D69" w:rsidRDefault="0060156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778</w:t>
            </w:r>
          </w:p>
        </w:tc>
        <w:tc>
          <w:tcPr>
            <w:tcW w:w="1093" w:type="dxa"/>
            <w:shd w:val="clear" w:color="auto" w:fill="auto"/>
          </w:tcPr>
          <w:p w14:paraId="18C8479C" w14:textId="77777777" w:rsidR="00601560" w:rsidRPr="005D7D69" w:rsidRDefault="0060156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443</w:t>
            </w:r>
          </w:p>
        </w:tc>
        <w:tc>
          <w:tcPr>
            <w:tcW w:w="1253" w:type="dxa"/>
            <w:shd w:val="clear" w:color="auto" w:fill="auto"/>
          </w:tcPr>
          <w:p w14:paraId="566FEAD6" w14:textId="77777777" w:rsidR="00601560" w:rsidRPr="005D7D69" w:rsidRDefault="0060156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881</w:t>
            </w:r>
          </w:p>
        </w:tc>
        <w:tc>
          <w:tcPr>
            <w:tcW w:w="1264" w:type="dxa"/>
            <w:shd w:val="clear" w:color="auto" w:fill="auto"/>
          </w:tcPr>
          <w:p w14:paraId="1E90F24E" w14:textId="77777777" w:rsidR="00601560" w:rsidRPr="005D7D69" w:rsidRDefault="0060156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121</w:t>
            </w:r>
          </w:p>
        </w:tc>
      </w:tr>
    </w:tbl>
    <w:p w14:paraId="238526FA" w14:textId="77777777" w:rsidR="00601560" w:rsidRDefault="00601560" w:rsidP="0083075A">
      <w:pPr>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/ЦГАС</w:t>
      </w:r>
      <w:r>
        <w:rPr>
          <w:rFonts w:ascii="Times New Roman" w:hAnsi="Times New Roman" w:cs="Times New Roman"/>
          <w:color w:val="0070C0"/>
          <w:sz w:val="16"/>
          <w:szCs w:val="16"/>
        </w:rPr>
        <w:t>А</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6</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оп. 6</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13</w:t>
      </w:r>
      <w:r>
        <w:rPr>
          <w:rFonts w:ascii="Times New Roman" w:hAnsi="Times New Roman" w:cs="Times New Roman"/>
          <w:color w:val="0070C0"/>
          <w:sz w:val="16"/>
          <w:szCs w:val="16"/>
        </w:rPr>
        <w:t>6</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49 </w:t>
      </w:r>
      <w:r>
        <w:rPr>
          <w:rFonts w:ascii="Times New Roman" w:hAnsi="Times New Roman" w:cs="Times New Roman"/>
          <w:color w:val="0070C0"/>
          <w:sz w:val="16"/>
          <w:szCs w:val="16"/>
        </w:rPr>
        <w:t>и др</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46350449" w14:textId="77777777" w:rsidR="00601560" w:rsidRPr="005D7D69" w:rsidRDefault="00601560" w:rsidP="0083075A">
      <w:pPr>
        <w:spacing w:after="0" w:line="240" w:lineRule="auto"/>
        <w:jc w:val="both"/>
        <w:rPr>
          <w:rFonts w:ascii="Times New Roman" w:hAnsi="Times New Roman" w:cs="Times New Roman"/>
          <w:color w:val="0070C0"/>
          <w:sz w:val="16"/>
          <w:szCs w:val="16"/>
        </w:rPr>
      </w:pPr>
    </w:p>
    <w:p w14:paraId="72FD2044"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декабря 1917 Правительство официально объявило о прекращении боевых действий с Германией. В это время было 443 летчика и 381 исправных и 121 неисправных самолета (3660).</w:t>
      </w:r>
    </w:p>
    <w:p w14:paraId="73CBD6AC"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F77BFE"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декабря 1917 по указанию В.И.Л. издан приказ Наркомвоенмора о создании частей авиации и воздухоплавания (271,75).</w:t>
      </w:r>
    </w:p>
    <w:p w14:paraId="4A5CB4B0"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Сам НКВМД был создан как раз в декабре 1917 (105,6).</w:t>
      </w:r>
    </w:p>
    <w:p w14:paraId="618C8FB0"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714547" w14:textId="77777777" w:rsidR="00B91D66" w:rsidRPr="002F2FDF" w:rsidRDefault="00B91D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7 (20) декабря</w:t>
      </w:r>
      <w:r w:rsidRPr="002F2FDF">
        <w:rPr>
          <w:rFonts w:ascii="Times New Roman" w:hAnsi="Times New Roman" w:cs="Times New Roman"/>
          <w:color w:val="000000" w:themeColor="text1"/>
          <w:kern w:val="2"/>
          <w:sz w:val="16"/>
          <w:szCs w:val="16"/>
        </w:rPr>
        <w:t xml:space="preserve"> в 1917 году приказ по армии и флоту о слиянии гидроавиации с сухопутной авиацией и создание Всероссийской коллегии по управлению Воздушным флотом Коллегия объединяла все отрасли авиации и воздухоплавания, осуществляла руководство авиационными предприятиями. Фактически это было осуществлено только в 1920 г (14866).</w:t>
      </w:r>
    </w:p>
    <w:p w14:paraId="5C7B95AD" w14:textId="77777777" w:rsidR="00B91D66" w:rsidRPr="002F2FDF" w:rsidRDefault="00B91D66" w:rsidP="0083075A">
      <w:pPr>
        <w:spacing w:after="0" w:line="240" w:lineRule="auto"/>
        <w:jc w:val="both"/>
        <w:rPr>
          <w:rFonts w:ascii="Times New Roman" w:hAnsi="Times New Roman" w:cs="Times New Roman"/>
          <w:color w:val="000000" w:themeColor="text1"/>
          <w:kern w:val="2"/>
          <w:sz w:val="16"/>
          <w:szCs w:val="16"/>
        </w:rPr>
      </w:pPr>
    </w:p>
    <w:p w14:paraId="0C29E25F"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декабря 1917 для организации авиаотрядов распоряжением ВЦИК была создана Всероссийская коллегия по управлению Воздушным Флотом Республики (3398,444).</w:t>
      </w:r>
    </w:p>
    <w:p w14:paraId="3DDE05CB"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9107D4" w14:textId="77777777" w:rsidR="00B91D66" w:rsidRPr="002F2FDF" w:rsidRDefault="00B91D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декабря во главе УВОФЛОТа приказом Народного комиссариата по военным и морским делам была поставлена Всероссийская коллегия по управлению Рабоче-Крестьянским Воздушным флотом. В ее состав вошли К. В. Акашев, А. Д. Анощенко, Е. И. Ахматович, Ф. И. Бычков, П. С. Дубенский, З. Я. Ландау, А. П. Онуфриев, А. В. Сергеев, М. П. Строев (15125).</w:t>
      </w:r>
    </w:p>
    <w:p w14:paraId="1BE603A5" w14:textId="77777777" w:rsidR="00B91D66" w:rsidRPr="002F2FDF" w:rsidRDefault="00B91D66" w:rsidP="0083075A">
      <w:pPr>
        <w:spacing w:after="0" w:line="240" w:lineRule="auto"/>
        <w:jc w:val="both"/>
        <w:rPr>
          <w:rFonts w:ascii="Times New Roman" w:hAnsi="Times New Roman" w:cs="Times New Roman"/>
          <w:color w:val="000000" w:themeColor="text1"/>
          <w:kern w:val="2"/>
          <w:sz w:val="16"/>
          <w:szCs w:val="16"/>
        </w:rPr>
      </w:pPr>
    </w:p>
    <w:p w14:paraId="62268A2F" w14:textId="77777777" w:rsidR="00B91D66" w:rsidRPr="002F2FDF" w:rsidRDefault="00B91D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декабря 1917 во главе УВОФЛОТа приказом Народного комиссариата по военным и морским делам была поставлена Всероссийская коллегия по управлению Рабоче-Крестьянским Воздушным флотом. В ее состав вошли К. В. Акашев, А. Д. Анощенко, Е. И. Ахматович, Ф. И. Бычков, П. С. Дубенский, З. Я. Ландау, А. П. Онуфриев, А. В. Сергеев, М. П. Строев. Председателем коллегии стал Константин Васильевич Акашев. Пребывая в рядах партии эсеров, он активно выполнял задания и поручения партии большевиков. Вечером 25 октября 1917 г., переодевшись в офицерскую форму и обманув юнкеров Михайловского артиллерийского училища, он увел их отряд от Зимнего дворца, чем облегчил его захват. 31 октября Акашев был назначен членом Бюро комиссаров Воздушного флота (15125).</w:t>
      </w:r>
    </w:p>
    <w:p w14:paraId="7B902495" w14:textId="77777777" w:rsidR="00B91D66" w:rsidRPr="002F2FDF" w:rsidRDefault="00B91D66" w:rsidP="0083075A">
      <w:pPr>
        <w:spacing w:after="0" w:line="240" w:lineRule="auto"/>
        <w:jc w:val="both"/>
        <w:rPr>
          <w:rFonts w:ascii="Times New Roman" w:hAnsi="Times New Roman" w:cs="Times New Roman"/>
          <w:color w:val="000000" w:themeColor="text1"/>
          <w:kern w:val="2"/>
          <w:sz w:val="16"/>
          <w:szCs w:val="16"/>
        </w:rPr>
      </w:pPr>
    </w:p>
    <w:p w14:paraId="63D85D77" w14:textId="77777777" w:rsidR="00B91D66" w:rsidRPr="002F2FDF" w:rsidRDefault="00B91D6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декабря 1917 года Приказом Наркомвоена № 4 была образована Всероссийская коллегия по управлению Воздушным флотом Республики; Приказом Наркомвоена № 385 от 24 мая 1918 года вместо коллегии созда</w:t>
      </w:r>
      <w:r w:rsidRPr="002F2FDF">
        <w:rPr>
          <w:rFonts w:ascii="Times New Roman" w:hAnsi="Times New Roman" w:cs="Times New Roman"/>
          <w:color w:val="000000" w:themeColor="text1"/>
          <w:kern w:val="2"/>
          <w:sz w:val="16"/>
          <w:szCs w:val="16"/>
        </w:rPr>
        <w:softHyphen/>
        <w:t>но Главное управление Рабоче-Крестьянского Красного воздушного фло</w:t>
      </w:r>
      <w:r w:rsidRPr="002F2FDF">
        <w:rPr>
          <w:rFonts w:ascii="Times New Roman" w:hAnsi="Times New Roman" w:cs="Times New Roman"/>
          <w:color w:val="000000" w:themeColor="text1"/>
          <w:kern w:val="2"/>
          <w:sz w:val="16"/>
          <w:szCs w:val="16"/>
        </w:rPr>
        <w:softHyphen/>
        <w:t>та (Главвоздухфлот); подчинялось Всероглавштабу (по вопросам снабже</w:t>
      </w:r>
      <w:r w:rsidRPr="002F2FDF">
        <w:rPr>
          <w:rFonts w:ascii="Times New Roman" w:hAnsi="Times New Roman" w:cs="Times New Roman"/>
          <w:color w:val="000000" w:themeColor="text1"/>
          <w:kern w:val="2"/>
          <w:sz w:val="16"/>
          <w:szCs w:val="16"/>
        </w:rPr>
        <w:softHyphen/>
        <w:t>ния - Центральному управлению снабжения), с марта 1920 года - непос</w:t>
      </w:r>
      <w:r w:rsidRPr="002F2FDF">
        <w:rPr>
          <w:rFonts w:ascii="Times New Roman" w:hAnsi="Times New Roman" w:cs="Times New Roman"/>
          <w:color w:val="000000" w:themeColor="text1"/>
          <w:kern w:val="2"/>
          <w:sz w:val="16"/>
          <w:szCs w:val="16"/>
        </w:rPr>
        <w:softHyphen/>
        <w:t>редственно Революционному военному совету (РВС) Республики, в опера</w:t>
      </w:r>
      <w:r w:rsidRPr="002F2FDF">
        <w:rPr>
          <w:rFonts w:ascii="Times New Roman" w:hAnsi="Times New Roman" w:cs="Times New Roman"/>
          <w:color w:val="000000" w:themeColor="text1"/>
          <w:kern w:val="2"/>
          <w:sz w:val="16"/>
          <w:szCs w:val="16"/>
        </w:rPr>
        <w:softHyphen/>
        <w:t>тивном отношении Главкому. Приказом РВС СССР № 446/96 от 28 марта 1924 года Главвоздухфлот переименован в Управление ВВС СССР (с января 1925 года - Управление ВВС РККА) с подчинением РВС СССР; возглавлял Управление Начальник ВВС. По положению об НКО СССР от 22 ноября 1934 года получило наименование Управление Воздушных сил РККА. На него возлагалось руководство организацией, боевой подготовкой, комплектованием авиационных частей. Начальник Воздушных сил (с января 1937 года на правах заместителя наркома обороны по ВВС) нес полную от</w:t>
      </w:r>
      <w:r w:rsidRPr="002F2FDF">
        <w:rPr>
          <w:rFonts w:ascii="Times New Roman" w:hAnsi="Times New Roman" w:cs="Times New Roman"/>
          <w:color w:val="000000" w:themeColor="text1"/>
          <w:kern w:val="2"/>
          <w:sz w:val="16"/>
          <w:szCs w:val="16"/>
        </w:rPr>
        <w:softHyphen/>
        <w:t>ветственность за боевую, техническую, строевую подготовку, боевое при</w:t>
      </w:r>
      <w:r w:rsidRPr="002F2FDF">
        <w:rPr>
          <w:rFonts w:ascii="Times New Roman" w:hAnsi="Times New Roman" w:cs="Times New Roman"/>
          <w:color w:val="000000" w:themeColor="text1"/>
          <w:kern w:val="2"/>
          <w:sz w:val="16"/>
          <w:szCs w:val="16"/>
        </w:rPr>
        <w:softHyphen/>
        <w:t>менение авиачастей и соединений, снабжение войсковой авиации, за под</w:t>
      </w:r>
      <w:r w:rsidRPr="002F2FDF">
        <w:rPr>
          <w:rFonts w:ascii="Times New Roman" w:hAnsi="Times New Roman" w:cs="Times New Roman"/>
          <w:color w:val="000000" w:themeColor="text1"/>
          <w:kern w:val="2"/>
          <w:sz w:val="16"/>
          <w:szCs w:val="16"/>
        </w:rPr>
        <w:softHyphen/>
        <w:t>готовку территории страны для действий ВВС РККА (Русский архив: Великая Отечественная / Под общ. ред. Золотарева В А Т. 13 (2 -1). Приказы на</w:t>
      </w:r>
      <w:r w:rsidRPr="002F2FDF">
        <w:rPr>
          <w:rFonts w:ascii="Times New Roman" w:hAnsi="Times New Roman" w:cs="Times New Roman"/>
          <w:color w:val="000000" w:themeColor="text1"/>
          <w:kern w:val="2"/>
          <w:sz w:val="16"/>
          <w:szCs w:val="16"/>
        </w:rPr>
        <w:softHyphen/>
        <w:t>родного комиссара обороны СССР. 1937 - 21 июня 1941 года. М., 1994. С. 320.).</w:t>
      </w:r>
    </w:p>
    <w:p w14:paraId="7E868973" w14:textId="77777777" w:rsidR="00B91D66" w:rsidRPr="002F2FDF" w:rsidRDefault="00B91D6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Постановлением Политбюро ЦК ВКП(б) № П 9 / 61 - ОП от 17 ноября 1939 года «О разделении Управления Военно-Воздушных Сил РККА на два самостоятельных управления» утверждалось соответствующее постановле</w:t>
      </w:r>
      <w:r w:rsidRPr="002F2FDF">
        <w:rPr>
          <w:rFonts w:ascii="Times New Roman" w:hAnsi="Times New Roman" w:cs="Times New Roman"/>
          <w:color w:val="000000" w:themeColor="text1"/>
          <w:kern w:val="2"/>
          <w:sz w:val="16"/>
          <w:szCs w:val="16"/>
        </w:rPr>
        <w:softHyphen/>
        <w:t>ние Комитета Обороны. Управление ВВС было разделено на два самостоя</w:t>
      </w:r>
      <w:r w:rsidRPr="002F2FDF">
        <w:rPr>
          <w:rFonts w:ascii="Times New Roman" w:hAnsi="Times New Roman" w:cs="Times New Roman"/>
          <w:color w:val="000000" w:themeColor="text1"/>
          <w:kern w:val="2"/>
          <w:sz w:val="16"/>
          <w:szCs w:val="16"/>
        </w:rPr>
        <w:softHyphen/>
        <w:t>тельных управления - Главное управление ВВС Красной армии и Главное управление авиационного снабжения. Постановлением предписывалось назначить Локтионова АД (командарма 2-го ранга) заместителем наркома обороны с освобождением от должности начальника ВВС РККА Начальни</w:t>
      </w:r>
      <w:r w:rsidRPr="002F2FDF">
        <w:rPr>
          <w:rFonts w:ascii="Times New Roman" w:hAnsi="Times New Roman" w:cs="Times New Roman"/>
          <w:color w:val="000000" w:themeColor="text1"/>
          <w:kern w:val="2"/>
          <w:sz w:val="16"/>
          <w:szCs w:val="16"/>
        </w:rPr>
        <w:softHyphen/>
        <w:t>ком ГУ ВВС КА назначался комкор Смушкевич Я.В., военкомом ГУ ВВС КА -дивизионный комиссар Агальцов Ф.А., замначальника ГУ ВВС КА - комкор Птухин Е.С., помощником начальника ГУ ВВС КА по кадрам - комдив Котов ПА. (он же - начальник управления кадров), начальником штаба ВВС - ком</w:t>
      </w:r>
      <w:r w:rsidRPr="002F2FDF">
        <w:rPr>
          <w:rFonts w:ascii="Times New Roman" w:hAnsi="Times New Roman" w:cs="Times New Roman"/>
          <w:color w:val="000000" w:themeColor="text1"/>
          <w:kern w:val="2"/>
          <w:sz w:val="16"/>
          <w:szCs w:val="16"/>
        </w:rPr>
        <w:softHyphen/>
        <w:t>див Арженухин Ф.К., военкомом штаба - полковой комиссар Образков И.А. Начальником ГУАС назначался комдив Алексеев П.А., военкомом ГУАС - во-енинженер 2-го ранга Князев АФ., замначальника ГУАС - бригинженер Ре</w:t>
      </w:r>
      <w:r w:rsidRPr="002F2FDF">
        <w:rPr>
          <w:rFonts w:ascii="Times New Roman" w:hAnsi="Times New Roman" w:cs="Times New Roman"/>
          <w:color w:val="000000" w:themeColor="text1"/>
          <w:kern w:val="2"/>
          <w:sz w:val="16"/>
          <w:szCs w:val="16"/>
        </w:rPr>
        <w:softHyphen/>
        <w:t>пин А.К, помощником начальника ГУАС - бригинженер Сакриер И.Ф. (РГАСПИ. Ф. 17. Оп. 162. Д. 26. Л. 112.).</w:t>
      </w:r>
    </w:p>
    <w:p w14:paraId="0A53FE36" w14:textId="77777777" w:rsidR="00B91D66" w:rsidRPr="002F2FDF" w:rsidRDefault="00B91D6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Впоследствии приказом наркома обороны № 0117 от 21 июня 1940 года ГУ ВВС КА и ГУАС были слиты в Главное управление ВВС Красной армии. На</w:t>
      </w:r>
      <w:r w:rsidRPr="002F2FDF">
        <w:rPr>
          <w:rFonts w:ascii="Times New Roman" w:hAnsi="Times New Roman" w:cs="Times New Roman"/>
          <w:color w:val="000000" w:themeColor="text1"/>
          <w:kern w:val="2"/>
          <w:sz w:val="16"/>
          <w:szCs w:val="16"/>
        </w:rPr>
        <w:softHyphen/>
        <w:t>чальником ВВС был назначен Герой Советского Союза генерал-лейтенант Я.В. Смушкевич (Русский архив: Великая Отечественная. Т. 13 (2 - 1). Приказы народного комиссара обороны СССР. 1937-21 июня 1941 года. С. 320.).</w:t>
      </w:r>
    </w:p>
    <w:p w14:paraId="534C13CA" w14:textId="77777777" w:rsidR="00B91D66" w:rsidRPr="002F2FDF" w:rsidRDefault="00B91D6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Постановлением Политбюро ЦК ВКП(б) № П 17 / 140 от 9 июня 1940 года «О зам. начальника Воздушных сил Красной армии» на эту долж</w:t>
      </w:r>
      <w:r w:rsidRPr="002F2FDF">
        <w:rPr>
          <w:rFonts w:ascii="Times New Roman" w:hAnsi="Times New Roman" w:cs="Times New Roman"/>
          <w:color w:val="000000" w:themeColor="text1"/>
          <w:kern w:val="2"/>
          <w:sz w:val="16"/>
          <w:szCs w:val="16"/>
        </w:rPr>
        <w:softHyphen/>
        <w:t>ность был назначен генерал-лейтенант авиации П.В. Рычагов</w:t>
      </w:r>
      <w:r w:rsidRPr="002F2FDF">
        <w:rPr>
          <w:rFonts w:ascii="Times New Roman" w:hAnsi="Times New Roman" w:cs="Times New Roman"/>
          <w:color w:val="000000" w:themeColor="text1"/>
          <w:kern w:val="2"/>
          <w:sz w:val="16"/>
          <w:szCs w:val="16"/>
          <w:vertAlign w:val="superscript"/>
        </w:rPr>
        <w:t>4</w:t>
      </w:r>
      <w:r w:rsidRPr="002F2FDF">
        <w:rPr>
          <w:rFonts w:ascii="Times New Roman" w:hAnsi="Times New Roman" w:cs="Times New Roman"/>
          <w:color w:val="000000" w:themeColor="text1"/>
          <w:kern w:val="2"/>
          <w:sz w:val="16"/>
          <w:szCs w:val="16"/>
        </w:rPr>
        <w:t>. А вскоре в соответствии с новым постановлением Политбюро ЦК ВКП(б) № П 20 / 2 от 26 августа 1940 года П.В. Рычагов был утвержден начальником Главного Управления ВВС.</w:t>
      </w:r>
    </w:p>
    <w:p w14:paraId="28A012BD" w14:textId="77777777" w:rsidR="00B91D66" w:rsidRPr="002F2FDF" w:rsidRDefault="00B91D6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Очередная смена руководства произошла незадолго до начала Великой Отечественной войны. Постановлением Политбюро ЦК ВКП(б) № П 33 / 48 от 21 мая 1941 года «О начальнике ГУ ВВС Красной армии» было предпи</w:t>
      </w:r>
      <w:r w:rsidRPr="002F2FDF">
        <w:rPr>
          <w:rFonts w:ascii="Times New Roman" w:hAnsi="Times New Roman" w:cs="Times New Roman"/>
          <w:color w:val="000000" w:themeColor="text1"/>
          <w:kern w:val="2"/>
          <w:sz w:val="16"/>
          <w:szCs w:val="16"/>
        </w:rPr>
        <w:softHyphen/>
        <w:t>сано утвердить начальником ГУ ВВС КА генерал-лейтенанта авиации Жи-гарева П.Ф. и исключить из состава членов ГВС (Главного Военного Сове</w:t>
      </w:r>
      <w:r w:rsidRPr="002F2FDF">
        <w:rPr>
          <w:rFonts w:ascii="Times New Roman" w:hAnsi="Times New Roman" w:cs="Times New Roman"/>
          <w:color w:val="000000" w:themeColor="text1"/>
          <w:kern w:val="2"/>
          <w:sz w:val="16"/>
          <w:szCs w:val="16"/>
        </w:rPr>
        <w:softHyphen/>
        <w:t>та) как снятого с поста начальника ГУ ВВС КА генерал-лейтенанта авиации П.В. Рычагова. Генерал-лейтенанта авиации Жигарева П.Ф. соответственно предписывалось ввести в состав членов ГВС.</w:t>
      </w:r>
    </w:p>
    <w:p w14:paraId="1FFB94C9" w14:textId="77777777" w:rsidR="00B91D66" w:rsidRPr="002F2FDF" w:rsidRDefault="00B91D6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началу Великой Отечественной войны Главное управление ВВС ор</w:t>
      </w:r>
      <w:r w:rsidRPr="002F2FDF">
        <w:rPr>
          <w:rFonts w:ascii="Times New Roman" w:hAnsi="Times New Roman" w:cs="Times New Roman"/>
          <w:color w:val="000000" w:themeColor="text1"/>
          <w:kern w:val="2"/>
          <w:sz w:val="16"/>
          <w:szCs w:val="16"/>
        </w:rPr>
        <w:softHyphen/>
        <w:t>ганизационно состояло из штаба ВВС, управлений и самостоятельных отделов. Начальнику Главного управления подчинялись три заместите</w:t>
      </w:r>
      <w:r w:rsidRPr="002F2FDF">
        <w:rPr>
          <w:rFonts w:ascii="Times New Roman" w:hAnsi="Times New Roman" w:cs="Times New Roman"/>
          <w:color w:val="000000" w:themeColor="text1"/>
          <w:kern w:val="2"/>
          <w:sz w:val="16"/>
          <w:szCs w:val="16"/>
        </w:rPr>
        <w:softHyphen/>
        <w:t>ля (первый заместитель, заместитель по ВУЗ, третий - он же начальник НИИ ВВС), управления: дальнебомбардировочной авиации (ДВА), кадров, опытного строительства, заказов и вооружения, строительства аэродро</w:t>
      </w:r>
      <w:r w:rsidRPr="002F2FDF">
        <w:rPr>
          <w:rFonts w:ascii="Times New Roman" w:hAnsi="Times New Roman" w:cs="Times New Roman"/>
          <w:color w:val="000000" w:themeColor="text1"/>
          <w:kern w:val="2"/>
          <w:sz w:val="16"/>
          <w:szCs w:val="16"/>
        </w:rPr>
        <w:softHyphen/>
        <w:t>мов, снабжения и ремонта - и несколько самостоятельных отделов (об</w:t>
      </w:r>
      <w:r w:rsidRPr="002F2FDF">
        <w:rPr>
          <w:rFonts w:ascii="Times New Roman" w:hAnsi="Times New Roman" w:cs="Times New Roman"/>
          <w:color w:val="000000" w:themeColor="text1"/>
          <w:kern w:val="2"/>
          <w:sz w:val="16"/>
          <w:szCs w:val="16"/>
        </w:rPr>
        <w:softHyphen/>
        <w:t>щий, финансовый, редакция журнала «Вестник Воздушного Флота»). Че</w:t>
      </w:r>
      <w:r w:rsidRPr="002F2FDF">
        <w:rPr>
          <w:rFonts w:ascii="Times New Roman" w:hAnsi="Times New Roman" w:cs="Times New Roman"/>
          <w:color w:val="000000" w:themeColor="text1"/>
          <w:kern w:val="2"/>
          <w:sz w:val="16"/>
          <w:szCs w:val="16"/>
        </w:rPr>
        <w:softHyphen/>
        <w:t>рез первого заместителя начальнику Главного управления подчинялись управления: боевой подготовки, технической эксплуатации, инженерной службы и метеослужбы. Штаб ВВС организационно состоял из несколь</w:t>
      </w:r>
      <w:r w:rsidRPr="002F2FDF">
        <w:rPr>
          <w:rFonts w:ascii="Times New Roman" w:hAnsi="Times New Roman" w:cs="Times New Roman"/>
          <w:color w:val="000000" w:themeColor="text1"/>
          <w:kern w:val="2"/>
          <w:sz w:val="16"/>
          <w:szCs w:val="16"/>
        </w:rPr>
        <w:softHyphen/>
        <w:t>ких самостоятельных отделов, ведущим из которых являлся первый отдел. Работа в штабе строилась по операционным направлениям, на каждом из которых работали один-два офицера. Они вели карты оперативной обстановки ВВС нескольких военных округов, изучали вероятного про</w:t>
      </w:r>
      <w:r w:rsidRPr="002F2FDF">
        <w:rPr>
          <w:rFonts w:ascii="Times New Roman" w:hAnsi="Times New Roman" w:cs="Times New Roman"/>
          <w:color w:val="000000" w:themeColor="text1"/>
          <w:kern w:val="2"/>
          <w:sz w:val="16"/>
          <w:szCs w:val="16"/>
        </w:rPr>
        <w:softHyphen/>
        <w:t>тивника, учитывали и анализировали его боевой состав и аэродромную сеть, поддерживали постоянную связь со штабами ВВС военных округов, готовили проекты распоряжений и приказов в войска и донесения в Ге</w:t>
      </w:r>
      <w:r w:rsidRPr="002F2FDF">
        <w:rPr>
          <w:rFonts w:ascii="Times New Roman" w:hAnsi="Times New Roman" w:cs="Times New Roman"/>
          <w:color w:val="000000" w:themeColor="text1"/>
          <w:kern w:val="2"/>
          <w:sz w:val="16"/>
          <w:szCs w:val="16"/>
        </w:rPr>
        <w:softHyphen/>
        <w:t>неральный штаб, контролировали выполнение мероприятий по реорга</w:t>
      </w:r>
      <w:r w:rsidRPr="002F2FDF">
        <w:rPr>
          <w:rFonts w:ascii="Times New Roman" w:hAnsi="Times New Roman" w:cs="Times New Roman"/>
          <w:color w:val="000000" w:themeColor="text1"/>
          <w:kern w:val="2"/>
          <w:sz w:val="16"/>
          <w:szCs w:val="16"/>
        </w:rPr>
        <w:softHyphen/>
        <w:t xml:space="preserve">низации и перевооружению ВВС, инспектировали авиационные части. В связи с тем, что в </w:t>
      </w:r>
      <w:r w:rsidRPr="002F2FDF">
        <w:rPr>
          <w:rFonts w:ascii="Times New Roman" w:hAnsi="Times New Roman" w:cs="Times New Roman"/>
          <w:color w:val="000000" w:themeColor="text1"/>
          <w:kern w:val="2"/>
          <w:sz w:val="16"/>
          <w:szCs w:val="16"/>
        </w:rPr>
        <w:lastRenderedPageBreak/>
        <w:t>составе центрального аппарата ВВС самостоятельной службы тыла не было, указания по организации работы тыла ВВС военных округов (ВВС фронтов) исходили от отдела тыла штаба ВВС (Кожевников М.Н. Командование и штаб ВВС Советской Армии в Великой Отечественной войне 1941 - 1945 гг. С. 24-25.) (11710,332).</w:t>
      </w:r>
    </w:p>
    <w:p w14:paraId="1187985F" w14:textId="77777777" w:rsidR="00B91D66" w:rsidRPr="002F2FDF" w:rsidRDefault="00B91D6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8AE849" w14:textId="4B9F36C2" w:rsidR="00FE2C00" w:rsidRPr="00FB4F67" w:rsidRDefault="00FE2C0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7 (</w:t>
      </w:r>
      <w:r w:rsidRPr="00FB4F67">
        <w:rPr>
          <w:rFonts w:ascii="Times New Roman" w:hAnsi="Times New Roman" w:cs="Times New Roman"/>
          <w:color w:val="0070C0"/>
          <w:sz w:val="16"/>
          <w:szCs w:val="16"/>
        </w:rPr>
        <w:t>20</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декабря 1917 г. в Петрограде нарком обороны приказал сформировать Всероссийскую коллегию командования воздушным флотом. Его возглавил К.В. Акашев, на которого возложили ответственность за все вопросы авиации. Красные приступили к сбору авиационных материалов и личного состава для формирования полевых ВО (аэростатов) для Красной Армии. Из восьмидесяти семи ВО бывшего Воздушного флота красным удалось спасти десять. На этой базе они в конечном итоге сформировали двадцать восемь ВО. Первыми красными воздухоплавательными командирами были Н. Д. Анощенко, А. А. Журавлев и Н. И. Шабашов. Красные ВО будут нести службу в армейских частях, военно-морских флотилиях, бронепоездах и в частях береговой обороны (23525).</w:t>
      </w:r>
    </w:p>
    <w:p w14:paraId="74FDF090" w14:textId="77777777" w:rsidR="00FE2C00" w:rsidRPr="00FB4F67" w:rsidRDefault="00FE2C00" w:rsidP="0083075A">
      <w:pPr>
        <w:spacing w:after="0" w:line="240" w:lineRule="auto"/>
        <w:jc w:val="both"/>
        <w:rPr>
          <w:rFonts w:ascii="Times New Roman" w:hAnsi="Times New Roman" w:cs="Times New Roman"/>
          <w:color w:val="0070C0"/>
          <w:sz w:val="16"/>
          <w:szCs w:val="16"/>
        </w:rPr>
      </w:pPr>
    </w:p>
    <w:p w14:paraId="4D02BF6B" w14:textId="1892221E" w:rsidR="00FE2C00" w:rsidRPr="00FB4F67" w:rsidRDefault="00637EA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7 (</w:t>
      </w:r>
      <w:r w:rsidR="00FE2C00" w:rsidRPr="00FB4F67">
        <w:rPr>
          <w:rFonts w:ascii="Times New Roman" w:hAnsi="Times New Roman" w:cs="Times New Roman"/>
          <w:color w:val="0070C0"/>
          <w:sz w:val="16"/>
          <w:szCs w:val="16"/>
        </w:rPr>
        <w:t>20</w:t>
      </w:r>
      <w:r>
        <w:rPr>
          <w:rFonts w:ascii="Times New Roman" w:hAnsi="Times New Roman" w:cs="Times New Roman"/>
          <w:color w:val="0070C0"/>
          <w:sz w:val="16"/>
          <w:szCs w:val="16"/>
        </w:rPr>
        <w:t>)</w:t>
      </w:r>
      <w:r w:rsidR="00FE2C00" w:rsidRPr="00FB4F67">
        <w:rPr>
          <w:rFonts w:ascii="Times New Roman" w:hAnsi="Times New Roman" w:cs="Times New Roman"/>
          <w:color w:val="0070C0"/>
          <w:sz w:val="16"/>
          <w:szCs w:val="16"/>
        </w:rPr>
        <w:t xml:space="preserve"> декабря 1917 г. в Петрограде Совнарком (Советский народный комиссариат) учредил Всероссийскую коллегию по организации Рабоче-Крестьянской Красной Армии. После марта 1918 г. его перевели в Москву. Он просуществовал до 8 мая 1918 г., когда его сменил Всероссийский Верховный Штаб (23525).</w:t>
      </w:r>
    </w:p>
    <w:p w14:paraId="7D76567E" w14:textId="77777777" w:rsidR="00FE2C00" w:rsidRPr="00FB4F67" w:rsidRDefault="00FE2C00" w:rsidP="0083075A">
      <w:pPr>
        <w:spacing w:after="0" w:line="240" w:lineRule="auto"/>
        <w:jc w:val="both"/>
        <w:rPr>
          <w:rFonts w:ascii="Times New Roman" w:hAnsi="Times New Roman" w:cs="Times New Roman"/>
          <w:color w:val="0070C0"/>
          <w:sz w:val="16"/>
          <w:szCs w:val="16"/>
        </w:rPr>
      </w:pPr>
    </w:p>
    <w:p w14:paraId="19ED3494"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C06D0DB"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873926" w14:textId="77777777" w:rsidR="00B91D66" w:rsidRPr="002F2FDF" w:rsidRDefault="00B91D6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7 (20) декабря 1917. Постановление СН К РСФСР о создания Чрезвычайной комиссии (ЧК). Бюро Совета районных дум произвело выемку денежных средств из Московской конторы Государственного банка на сумму в один миллион рублей.</w:t>
      </w:r>
    </w:p>
    <w:p w14:paraId="1AA84D9C" w14:textId="77777777" w:rsidR="00B91D66" w:rsidRPr="002F2FDF" w:rsidRDefault="00B91D6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Президиум Моссовета объявил город на военном положении.</w:t>
      </w:r>
    </w:p>
    <w:p w14:paraId="45B6153D" w14:textId="77777777" w:rsidR="00B91D66" w:rsidRPr="002F2FDF" w:rsidRDefault="00B91D6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Установлена военная цензура для всех периодических изданий.</w:t>
      </w:r>
    </w:p>
    <w:p w14:paraId="7559AE82" w14:textId="77777777" w:rsidR="00B91D66" w:rsidRPr="002F2FDF" w:rsidRDefault="00B91D6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У всех булочных толпилось много народа" но хлеб так и не завезли (18685).</w:t>
      </w:r>
    </w:p>
    <w:p w14:paraId="0C8899E8" w14:textId="77777777" w:rsidR="00B91D66" w:rsidRPr="002F2FDF" w:rsidRDefault="00B91D66" w:rsidP="0083075A">
      <w:pPr>
        <w:spacing w:after="0" w:line="240" w:lineRule="auto"/>
        <w:jc w:val="both"/>
        <w:rPr>
          <w:rFonts w:ascii="Times New Roman" w:hAnsi="Times New Roman" w:cs="Times New Roman"/>
          <w:color w:val="000000" w:themeColor="text1"/>
          <w:sz w:val="16"/>
          <w:szCs w:val="16"/>
        </w:rPr>
      </w:pPr>
    </w:p>
    <w:p w14:paraId="17ACA19D" w14:textId="77777777" w:rsidR="00637EA0" w:rsidRPr="00FB4F67" w:rsidRDefault="00637EA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7 (</w:t>
      </w:r>
      <w:r w:rsidRPr="00FB4F67">
        <w:rPr>
          <w:rFonts w:ascii="Times New Roman" w:hAnsi="Times New Roman" w:cs="Times New Roman"/>
          <w:color w:val="0070C0"/>
          <w:sz w:val="16"/>
          <w:szCs w:val="16"/>
        </w:rPr>
        <w:t>20</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декабря 1917 г. в Петрограде Красный ВРК организовал Чрезвычайный комитет по борьбе с контрреволюцией (ЧК) для обеспечения безопасности с помощью политики внутреннего террора против контрреволюционных элементов. Ее возглавил поляк Ф.Э. Дзержинский (23525).</w:t>
      </w:r>
    </w:p>
    <w:p w14:paraId="54C0B45D" w14:textId="77777777" w:rsidR="00637EA0" w:rsidRPr="00FB4F67" w:rsidRDefault="00637EA0" w:rsidP="0083075A">
      <w:pPr>
        <w:spacing w:after="0" w:line="240" w:lineRule="auto"/>
        <w:jc w:val="both"/>
        <w:rPr>
          <w:rFonts w:ascii="Times New Roman" w:hAnsi="Times New Roman" w:cs="Times New Roman"/>
          <w:color w:val="0070C0"/>
          <w:sz w:val="16"/>
          <w:szCs w:val="16"/>
        </w:rPr>
      </w:pPr>
    </w:p>
    <w:p w14:paraId="27CCACF9"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декабря 1917 была создана ВЧК под председательством Ф.Э.Д. (1348,88).</w:t>
      </w:r>
    </w:p>
    <w:p w14:paraId="721491D7"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2BC697" w14:textId="77777777" w:rsidR="00B91D66" w:rsidRPr="002F2FDF" w:rsidRDefault="00B91D6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7 (20) декабря</w:t>
      </w:r>
      <w:r w:rsidRPr="002F2FDF">
        <w:rPr>
          <w:rFonts w:ascii="Times New Roman" w:hAnsi="Times New Roman" w:cs="Times New Roman"/>
          <w:color w:val="000000" w:themeColor="text1"/>
          <w:kern w:val="2"/>
          <w:sz w:val="16"/>
          <w:szCs w:val="16"/>
        </w:rPr>
        <w:t xml:space="preserve"> в 1917 году создана Всероссийская чрезвычайная комиссия (ВЧК) - в Советском государстве в 1917—1919 специальный орган по борьбе с контрреволюцией и саботажем. Создана (во главе с Ф.Э.Дзержинским) согласно постановлению СНК РСФСР. Вооружённые выступления контрреволюции против Советской власти, обострение классовой борьбы, усиление подрывной деятельности заговорщиков, саботажников и спекулянтов вынудили советское государство создать специальный орган по подавлению врагов трудящихся. На ВЧК возлагалось пресечение и ликвидация контрреволюции и саботажа и предание саботажников и контрреволюционеров суду Военно-революционного трибунала, выработка мер по борьбе с ними, а также борьба со спекуляцией, должностными преступлениями и др. В 1918 были созданы местные органы ВЧК: губернские, уездные (упразднены в январе 1919), транспортные, фронтовые и армейские ЧК. Положение о ВЧК и её местных органах утверждено ЦИК РСФСР 28 октября 1918. Первоначально органы ВЧК не имели права непосредственно осуществлять карательные меры, но после вступления контрреволюции на путь массового белого террора, в феврале 1918 ВЧК было дано право, наряду с передачей дел в трибунал, непосредственно расстреливать шпионов, диверсантов и других активных врагов революции. В 1919 в соответствии с постановлением ВЦИК вынесение приговоров по всем делам ВЧК было передано трибуналам. За ЧК сохранялось право непосредственного применения наказания лишь в местностях, объявленных на военном положении, и только за преступления, указанные в постановлении о введении военного положения, а равно для пресечения вооружённых контрреволюционных или бандитских выступлений. 9-й Всероссийский съезд Советов, отметив заслуги органов ВЧК в деле охраны и укрепления завоеваний революции, принял решение о сужении компетенции органов ВЧК и её реорганизации. 6 февраля 1922 ВЦИК, рассмотрев этот вопрос, постановил создать при НКВД Государственное политическое управление (ГПУ), преобразованное затем в Государственный комитет безопасности (КГБ). Практические методы борьбы "карающего меча революции" были весьма многообразны: террор, заложничество, провокации, конфискации имущества, заключение в концлагеря, внедрение агентов в антисоветские организации, иностранные миссии и учреждения, а сфера деятельности - необычайно широка: от подавления антибольшевистских вооруженных восстаний, раскрытия заговоров иностранных разведок до обеспечения работы транспорта, борьбы с беспризорностью и эпидемиями тифа. Рупором ВЧК стали собственные печатные издания: "Еженедельник ВЧК", "Красный меч", "Красный террор" и др. ЦК РКП(б) уделял большое внимание личному составу чекистов, стараясь направлять на работу в ЧК лучшие свои кадры. Бессменным руководителем ВЧК оставался видный член партии большевиков Ф.Э.Дзержинский. На руководящие должности в ЧК были назначены старые большевики, профессиональные революционеры: И.К.Ксенофонтов, Я.Х.Петерс, Г.И.Бокий, М.С.Кедров, М.И.Лацис, В.Р.Менжинский, М.С.Урицкий. Удельный вес коммунистов в органах ЧК был одним из самых высоких среди государственных учреждений и составлял более 50%. Тем не менее в органы ВЧК, особенно на местах, попало немало морально разложившихся людей с уголовным прошлым и даже с психическими отклонениями, которые пользовались неограниченной властью, не считаясь ни с какими правовыми нормами, не вдаваясь в идеологические рассуждения, попирая нравственные принципы. Массовый террор и произвол, сопровождавший деятельность ВЧК, вызывал вспышки антисоветских выступлений, открытое недовольство широких слоев населения, даже той части российской интеллигенции, которая лояльно относилась к советской власти. Методы "чрезвычайщины" в становлении правопорядка стали основой советского государственного строя, а сами эти чрезвычайные органы были поставлены над законом, что создало питательную среду для массовых репрессий 1930-х гг., которые своими корнями уходят в практику "красного террора" времен гражданской войны. Власть ЧК становилась всеобъемлющей, проникая во все поры советского общества. Недаром Лацис писал: "нет такой области, куда не должна вмешиваться ЧК" (14866).</w:t>
      </w:r>
    </w:p>
    <w:p w14:paraId="1C6E4E79" w14:textId="77777777" w:rsidR="00B91D66" w:rsidRPr="002F2FDF" w:rsidRDefault="00B91D66" w:rsidP="0083075A">
      <w:pPr>
        <w:spacing w:after="0" w:line="240" w:lineRule="auto"/>
        <w:jc w:val="both"/>
        <w:rPr>
          <w:rFonts w:ascii="Times New Roman" w:hAnsi="Times New Roman" w:cs="Times New Roman"/>
          <w:color w:val="000000" w:themeColor="text1"/>
          <w:kern w:val="2"/>
          <w:sz w:val="16"/>
          <w:szCs w:val="16"/>
        </w:rPr>
      </w:pPr>
    </w:p>
    <w:p w14:paraId="4EC53399" w14:textId="77777777" w:rsidR="00B91D66" w:rsidRPr="002F2FDF" w:rsidRDefault="00B91D66" w:rsidP="0083075A">
      <w:pPr>
        <w:pStyle w:val="ae"/>
        <w:spacing w:before="0" w:after="0"/>
        <w:jc w:val="both"/>
        <w:rPr>
          <w:color w:val="000000" w:themeColor="text1"/>
          <w:kern w:val="2"/>
          <w:sz w:val="16"/>
          <w:szCs w:val="16"/>
        </w:rPr>
      </w:pPr>
      <w:r w:rsidRPr="002F2FDF">
        <w:rPr>
          <w:color w:val="000000" w:themeColor="text1"/>
          <w:kern w:val="2"/>
          <w:sz w:val="16"/>
          <w:szCs w:val="16"/>
        </w:rPr>
        <w:t>7 (20) декабря 1917 декретом СНК была создана Всероссийская Чрезвычайная Комиссия по борьбе с контрреволюцией, спекуляцией и преступлениями по должности (ВЧК), которую возглавил Феликс Дзержинский. В специальной записке Дзержинскому Ленин писал: «Буржуазия идет на злейшие преступления, подкупая отбросы общества и опустившиеся элементы, спаивая их для целей погромов. Сторонники буржуазии, особенно из высших служащих, из банковых чиновников и т.п., саботируют работу, организуют стачки, чтобы подорвать правительство в его мерах, направленных к осуществлению социалистических преобразований. Доходит дело даже до саботажа продовольственной работы, грозящего голодом миллионам людей. Необходимы экстренные меры борьбы с контрреволюционерами и саботажниками».</w:t>
      </w:r>
    </w:p>
    <w:p w14:paraId="7E5964E5" w14:textId="77777777" w:rsidR="00B91D66" w:rsidRPr="002F2FDF" w:rsidRDefault="00B91D66" w:rsidP="0083075A">
      <w:pPr>
        <w:pStyle w:val="ae"/>
        <w:spacing w:before="0" w:after="0"/>
        <w:jc w:val="both"/>
        <w:rPr>
          <w:color w:val="000000" w:themeColor="text1"/>
          <w:kern w:val="2"/>
          <w:sz w:val="16"/>
          <w:szCs w:val="16"/>
        </w:rPr>
      </w:pPr>
      <w:r w:rsidRPr="002F2FDF">
        <w:rPr>
          <w:color w:val="000000" w:themeColor="text1"/>
          <w:kern w:val="2"/>
          <w:sz w:val="16"/>
          <w:szCs w:val="16"/>
        </w:rPr>
        <w:t>ВЧК была наделена и следственными, и оперативными функциями. В первые месяцы существования меры наказания контрреволюционеров были достаточно мягкими — лишение продовольственных карточек, составление и опубликование списков врагов народа, конфискация имущества и т.д. (17045).</w:t>
      </w:r>
    </w:p>
    <w:p w14:paraId="4680B01C" w14:textId="77777777" w:rsidR="00B91D66" w:rsidRPr="002F2FDF" w:rsidRDefault="00B91D6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137D1A" w14:textId="77777777" w:rsidR="00637EA0" w:rsidRPr="002F2FDF" w:rsidRDefault="00637EA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(20) декабря 1917 Разграбление винных запасов Зимнего дворца (11145).</w:t>
      </w:r>
    </w:p>
    <w:p w14:paraId="14B32DC2" w14:textId="77777777" w:rsidR="00637EA0" w:rsidRPr="002F2FDF" w:rsidRDefault="00637EA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44E4DA" w14:textId="77777777" w:rsidR="00631AD8"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A0C2D6D" w14:textId="77777777" w:rsidR="00631AD8" w:rsidRPr="002F2FDF" w:rsidRDefault="00631AD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378B35" w14:textId="77777777" w:rsidR="00273B27" w:rsidRPr="002F2FDF" w:rsidRDefault="00273B27"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К началу декабря 1917 г. из-за прекращения работы военной приемки «Дукс» стоял переполненный готовой продукцией и здесь находилось более 370 самолетов (частично — без моторов). Комиссару УВВФ телеграфировали: «Все мастерские и склады завода забиты аппаратами до такой степени, что невозможно вести дальнейшую сборку». Не лучше обстояли дела и на территории расположенного на Ходынке 1-го Центрального парка-склада авиационного и воздухоплавательного имущества, где осенью 1917 г. скопились огромные авиационные запасы. Среди прочего там стояли 70 «Ньюпоров-23», 23 «Ньюпора-17», 4 «Спада 7», 12 «Фарманов-40», 15 «Кодронов» и 72 английских самолета, главным образом, «Сопвича». Всего больше 200 машин. К началу 1918 г. в парк-складе в ремонте находилось еще около 100 самолетов и 50 без двигателей (15464).</w:t>
      </w:r>
    </w:p>
    <w:p w14:paraId="7DE45D92" w14:textId="77777777" w:rsidR="00273B27" w:rsidRPr="002F2FDF" w:rsidRDefault="00273B27" w:rsidP="0083075A">
      <w:pPr>
        <w:pStyle w:val="2"/>
        <w:spacing w:before="0" w:beforeAutospacing="0" w:after="0" w:afterAutospacing="0"/>
        <w:jc w:val="both"/>
        <w:rPr>
          <w:b w:val="0"/>
          <w:color w:val="000000" w:themeColor="text1"/>
          <w:kern w:val="2"/>
          <w:sz w:val="16"/>
          <w:szCs w:val="16"/>
        </w:rPr>
      </w:pPr>
    </w:p>
    <w:p w14:paraId="3CE6AAC4" w14:textId="77777777" w:rsidR="00631AD8" w:rsidRPr="002F2FDF" w:rsidRDefault="00631AD8"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декабря 1917 речь шла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самолет; в конце концов, это был единствен</w:t>
      </w:r>
      <w:r w:rsidRPr="002F2FDF">
        <w:rPr>
          <w:rFonts w:ascii="Times New Roman" w:hAnsi="Times New Roman" w:cs="Times New Roman"/>
          <w:color w:val="000000" w:themeColor="text1"/>
          <w:kern w:val="2"/>
          <w:sz w:val="16"/>
          <w:szCs w:val="16"/>
        </w:rPr>
        <w:softHyphen/>
        <w:t>ный способ существенно продлить карьеру модели, или даже вдохнуть в нее новую жизнь, после того, как 20 сентября 1917 г. в докладе Управления морской авиации и воздухоплавания (УМАиВ) говори</w:t>
      </w:r>
      <w:r w:rsidRPr="002F2FDF">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7831FD70" w14:textId="77777777" w:rsidR="00631AD8" w:rsidRPr="002F2FDF" w:rsidRDefault="00631AD8"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D4A288" w14:textId="77777777" w:rsidR="00631AD8" w:rsidRPr="002F2FDF" w:rsidRDefault="00631AD8"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начала декабря 1917 из-за отсутствия кислорода не работала сварочная мастерская на заводе Матиас. К освоению произ</w:t>
      </w:r>
      <w:r w:rsidRPr="002F2FDF">
        <w:rPr>
          <w:rFonts w:ascii="Times New Roman" w:hAnsi="Times New Roman" w:cs="Times New Roman"/>
          <w:color w:val="000000" w:themeColor="text1"/>
          <w:kern w:val="2"/>
          <w:sz w:val="16"/>
          <w:szCs w:val="16"/>
        </w:rPr>
        <w:softHyphen/>
        <w:t>водства “Анасалей” вообще не приступали. Хотя 16 декабря одес</w:t>
      </w:r>
      <w:r w:rsidRPr="002F2FDF">
        <w:rPr>
          <w:rFonts w:ascii="Times New Roman" w:hAnsi="Times New Roman" w:cs="Times New Roman"/>
          <w:color w:val="000000" w:themeColor="text1"/>
          <w:kern w:val="2"/>
          <w:sz w:val="16"/>
          <w:szCs w:val="16"/>
        </w:rPr>
        <w:softHyphen/>
        <w:t>ский завод “Анатра” получил наряд на поставку в Бердянск одного самолета этого типа в качестве образца, но к началу 1918 г. этот на</w:t>
      </w:r>
      <w:r w:rsidRPr="002F2FDF">
        <w:rPr>
          <w:rFonts w:ascii="Times New Roman" w:hAnsi="Times New Roman" w:cs="Times New Roman"/>
          <w:color w:val="000000" w:themeColor="text1"/>
          <w:kern w:val="2"/>
          <w:sz w:val="16"/>
          <w:szCs w:val="16"/>
        </w:rPr>
        <w:softHyphen/>
        <w:t>ряд так и не был выполнен (11154).</w:t>
      </w:r>
    </w:p>
    <w:p w14:paraId="686C0429" w14:textId="77777777" w:rsidR="00631AD8" w:rsidRPr="002F2FDF" w:rsidRDefault="00631AD8"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E8810C" w14:textId="77777777" w:rsidR="00631AD8"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CAB6F44" w14:textId="77777777" w:rsidR="00631AD8" w:rsidRPr="002F2FDF" w:rsidRDefault="00631AD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D86F99" w14:textId="77777777" w:rsidR="00383063" w:rsidRPr="002F2FDF" w:rsidRDefault="0038306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начале декабря 1917 г. укомплектованность действующей авиации исправными самолетами выражалась данными, приведенными в таблице</w:t>
      </w:r>
    </w:p>
    <w:p w14:paraId="253E3001" w14:textId="77777777" w:rsidR="00383063" w:rsidRPr="002F2FDF" w:rsidRDefault="0038306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Наименование фронта Должно было быть самолетов по штату Фактическое наличие самолетов Укомплектованность самолетами в %</w:t>
      </w:r>
    </w:p>
    <w:p w14:paraId="5DC44DA9" w14:textId="77777777" w:rsidR="00383063" w:rsidRPr="002F2FDF" w:rsidRDefault="0038306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Северный 121 70 58</w:t>
      </w:r>
    </w:p>
    <w:p w14:paraId="4EE4282E" w14:textId="77777777" w:rsidR="00383063" w:rsidRPr="002F2FDF" w:rsidRDefault="0038306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Западный 165 79 48</w:t>
      </w:r>
    </w:p>
    <w:p w14:paraId="21E65A1C" w14:textId="77777777" w:rsidR="00383063" w:rsidRPr="002F2FDF" w:rsidRDefault="0038306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Юго-Западный 372 149 40</w:t>
      </w:r>
    </w:p>
    <w:p w14:paraId="1D1B9F25" w14:textId="77777777" w:rsidR="00383063" w:rsidRPr="002F2FDF" w:rsidRDefault="0038306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Румынский 98 61 62</w:t>
      </w:r>
    </w:p>
    <w:p w14:paraId="47B5000B" w14:textId="77777777" w:rsidR="00383063" w:rsidRPr="002F2FDF" w:rsidRDefault="0038306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всех фронтах 756 359 47 (19566).</w:t>
      </w:r>
    </w:p>
    <w:p w14:paraId="05CF8948" w14:textId="77777777" w:rsidR="00383063" w:rsidRPr="002F2FDF" w:rsidRDefault="00383063" w:rsidP="0083075A">
      <w:pPr>
        <w:spacing w:after="0" w:line="240" w:lineRule="auto"/>
        <w:jc w:val="both"/>
        <w:rPr>
          <w:rFonts w:ascii="Times New Roman" w:hAnsi="Times New Roman" w:cs="Times New Roman"/>
          <w:color w:val="000000" w:themeColor="text1"/>
          <w:sz w:val="16"/>
          <w:szCs w:val="16"/>
        </w:rPr>
      </w:pPr>
    </w:p>
    <w:p w14:paraId="05D2361F" w14:textId="77777777" w:rsidR="00631AD8" w:rsidRPr="002F2FDF" w:rsidRDefault="00631A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декабря 1917 до 1-й боевой авиагруппы до</w:t>
      </w:r>
      <w:r w:rsidRPr="002F2FDF">
        <w:rPr>
          <w:rFonts w:ascii="Times New Roman" w:hAnsi="Times New Roman" w:cs="Times New Roman"/>
          <w:color w:val="000000" w:themeColor="text1"/>
          <w:kern w:val="2"/>
          <w:sz w:val="16"/>
          <w:szCs w:val="16"/>
        </w:rPr>
        <w:softHyphen/>
        <w:t>катился приказ большевиков “О демо</w:t>
      </w:r>
      <w:r w:rsidRPr="002F2FDF">
        <w:rPr>
          <w:rFonts w:ascii="Times New Roman" w:hAnsi="Times New Roman" w:cs="Times New Roman"/>
          <w:color w:val="000000" w:themeColor="text1"/>
          <w:kern w:val="2"/>
          <w:sz w:val="16"/>
          <w:szCs w:val="16"/>
        </w:rPr>
        <w:softHyphen/>
        <w:t>кратизации армии”. Были отменены все звания и награды. Солдатский ко</w:t>
      </w:r>
      <w:r w:rsidRPr="002F2FDF">
        <w:rPr>
          <w:rFonts w:ascii="Times New Roman" w:hAnsi="Times New Roman" w:cs="Times New Roman"/>
          <w:color w:val="000000" w:themeColor="text1"/>
          <w:kern w:val="2"/>
          <w:sz w:val="16"/>
          <w:szCs w:val="16"/>
        </w:rPr>
        <w:softHyphen/>
        <w:t>митет немедленно приказал всем офицерам снять ордена и погоны и впредь именоваться “гражданами”. Не выполнившим приказ грозила рас</w:t>
      </w:r>
      <w:r w:rsidRPr="002F2FDF">
        <w:rPr>
          <w:rFonts w:ascii="Times New Roman" w:hAnsi="Times New Roman" w:cs="Times New Roman"/>
          <w:color w:val="000000" w:themeColor="text1"/>
          <w:kern w:val="2"/>
          <w:sz w:val="16"/>
          <w:szCs w:val="16"/>
        </w:rPr>
        <w:softHyphen/>
        <w:t>права. Первой жертвой стал военный летчик 19-го као прапорщик Эрнест Леман, который 4 декабря, не выдержав издевательств и угроз, покончил с со</w:t>
      </w:r>
      <w:r w:rsidRPr="002F2FDF">
        <w:rPr>
          <w:rFonts w:ascii="Times New Roman" w:hAnsi="Times New Roman" w:cs="Times New Roman"/>
          <w:color w:val="000000" w:themeColor="text1"/>
          <w:kern w:val="2"/>
          <w:sz w:val="16"/>
          <w:szCs w:val="16"/>
        </w:rPr>
        <w:softHyphen/>
        <w:t>бой. Начав службу солдатом в 1911 г., он в 1914 г. был переведен на службу в авиацию. После окончания Одесской авиашколы в июле 1916 г. поступил в 19-й као, сбил три самолета против</w:t>
      </w:r>
      <w:r w:rsidRPr="002F2FDF">
        <w:rPr>
          <w:rFonts w:ascii="Times New Roman" w:hAnsi="Times New Roman" w:cs="Times New Roman"/>
          <w:color w:val="000000" w:themeColor="text1"/>
          <w:kern w:val="2"/>
          <w:sz w:val="16"/>
          <w:szCs w:val="16"/>
        </w:rPr>
        <w:softHyphen/>
        <w:t>ника. За боевые отличия был награж</w:t>
      </w:r>
      <w:r w:rsidRPr="002F2FDF">
        <w:rPr>
          <w:rFonts w:ascii="Times New Roman" w:hAnsi="Times New Roman" w:cs="Times New Roman"/>
          <w:color w:val="000000" w:themeColor="text1"/>
          <w:kern w:val="2"/>
          <w:sz w:val="16"/>
          <w:szCs w:val="16"/>
        </w:rPr>
        <w:softHyphen/>
        <w:t>ден солдатским Георгиевским Кре</w:t>
      </w:r>
      <w:r w:rsidRPr="002F2FDF">
        <w:rPr>
          <w:rFonts w:ascii="Times New Roman" w:hAnsi="Times New Roman" w:cs="Times New Roman"/>
          <w:color w:val="000000" w:themeColor="text1"/>
          <w:kern w:val="2"/>
          <w:sz w:val="16"/>
          <w:szCs w:val="16"/>
        </w:rPr>
        <w:softHyphen/>
        <w:t>стом 4-й степени, чином прапорщика, званием “военного летчика”, офицер</w:t>
      </w:r>
      <w:r w:rsidRPr="002F2FDF">
        <w:rPr>
          <w:rFonts w:ascii="Times New Roman" w:hAnsi="Times New Roman" w:cs="Times New Roman"/>
          <w:color w:val="000000" w:themeColor="text1"/>
          <w:kern w:val="2"/>
          <w:sz w:val="16"/>
          <w:szCs w:val="16"/>
        </w:rPr>
        <w:softHyphen/>
        <w:t>скими орденами, включая орден Св.Георгия 4-й степени (3954).</w:t>
      </w:r>
    </w:p>
    <w:p w14:paraId="6C73081E" w14:textId="77777777" w:rsidR="00631AD8" w:rsidRPr="002F2FDF" w:rsidRDefault="00631AD8"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73CF2F" w14:textId="77777777" w:rsidR="00765CAE" w:rsidRPr="00FB4F67" w:rsidRDefault="00765CA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декабря 1917 г. командир 1-й боевой авиагруппы Полковник А. А. Козаков получил от местного ВРК приказ прекратить боевые вылеты на фронте. Затем он был назначен исполняющим обязанности командира 7-го авиационного батальона, но быстро ушел в отставку и к 17 декабря вернулся в 1-й БАГ. 22-го местного ВРК командиром группы был избран военный летчик 4-й КАО Иван Юрьевич Павлов. Это было отменено 30-го всеми мужчинами 19-го КАО. Козаков решил не служить у красных ни на какой должности и 2 января 1918 г. уехал на лечение в Киев.</w:t>
      </w:r>
    </w:p>
    <w:p w14:paraId="33E02D92" w14:textId="77777777" w:rsidR="00765CAE" w:rsidRPr="00FB4F67" w:rsidRDefault="00765CA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конце концов Козаков добрался до Мурманска через Москву, где предложил свои услуги англичанам в августе 1919 г. С.Л. Он служил в славяно-британской авиации на севере России до своей безвременной смерти там в августе 1919 г. (23525).</w:t>
      </w:r>
    </w:p>
    <w:p w14:paraId="3A40F84E" w14:textId="77777777" w:rsidR="00765CAE" w:rsidRPr="00FB4F67" w:rsidRDefault="00765CAE" w:rsidP="0083075A">
      <w:pPr>
        <w:spacing w:after="0" w:line="240" w:lineRule="auto"/>
        <w:jc w:val="both"/>
        <w:rPr>
          <w:rFonts w:ascii="Times New Roman" w:hAnsi="Times New Roman" w:cs="Times New Roman"/>
          <w:color w:val="0070C0"/>
          <w:sz w:val="16"/>
          <w:szCs w:val="16"/>
        </w:rPr>
      </w:pPr>
    </w:p>
    <w:p w14:paraId="6BBAFE6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FBFDE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CFC5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декабря 1917 в докладной записке УВВФ сообщалось, что серийный выпуск самолетов и их военная приемка на Дуксе полностью дезорганизованы. На заводе было 371 готовый самолет, но без моторогв. Заполнили все территорию и выпускать новые было негде: “Для того, чтобы завод мог преодолеть настоящий кризис, постепенно мог бы перейти на работу мирного времени, сохранив ядро на аэропланостроении, а равно принимая во внимание, что завод совершенно неожиданно не по своей вине лишился заказов, для завода необходимо получить безвозвратную ссуду в размере до 2 млн. руб. для того, чтобы можно было безболезненно перейти к полной демобилизации...” (9651,52).</w:t>
      </w:r>
    </w:p>
    <w:p w14:paraId="03DE9A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D113A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декабря 1917 г. Увофлотом был выполнен последний денеж</w:t>
      </w:r>
      <w:r w:rsidRPr="002F2FDF">
        <w:rPr>
          <w:rFonts w:ascii="Times New Roman" w:hAnsi="Times New Roman" w:cs="Times New Roman"/>
          <w:color w:val="000000" w:themeColor="text1"/>
          <w:kern w:val="2"/>
          <w:sz w:val="16"/>
          <w:szCs w:val="16"/>
        </w:rPr>
        <w:softHyphen/>
        <w:t>ный перевод на строительство Главного аэродрома, но... эти деньги до Херсона не дошли. Спустя 9 месяцев, 11 сентября 1918 г., в Уп</w:t>
      </w:r>
      <w:r w:rsidRPr="002F2FDF">
        <w:rPr>
          <w:rFonts w:ascii="Times New Roman" w:hAnsi="Times New Roman" w:cs="Times New Roman"/>
          <w:color w:val="000000" w:themeColor="text1"/>
          <w:kern w:val="2"/>
          <w:sz w:val="16"/>
          <w:szCs w:val="16"/>
        </w:rPr>
        <w:softHyphen/>
        <w:t>равление Воздухофлота пришла очередная телеграмма [39]: “Прошу пе</w:t>
      </w:r>
      <w:r w:rsidRPr="002F2FDF">
        <w:rPr>
          <w:rFonts w:ascii="Times New Roman" w:hAnsi="Times New Roman" w:cs="Times New Roman"/>
          <w:color w:val="000000" w:themeColor="text1"/>
          <w:kern w:val="2"/>
          <w:sz w:val="16"/>
          <w:szCs w:val="16"/>
        </w:rPr>
        <w:softHyphen/>
        <w:t>ревода денег в Херсон авиакомпании. Декабрьская ассигновка задержа</w:t>
      </w:r>
      <w:r w:rsidRPr="002F2FDF">
        <w:rPr>
          <w:rFonts w:ascii="Times New Roman" w:hAnsi="Times New Roman" w:cs="Times New Roman"/>
          <w:color w:val="000000" w:themeColor="text1"/>
          <w:kern w:val="2"/>
          <w:sz w:val="16"/>
          <w:szCs w:val="16"/>
        </w:rPr>
        <w:softHyphen/>
        <w:t>на войной с Украиной. Перевод повторите. Без денег пропадет часть ма</w:t>
      </w:r>
      <w:r w:rsidRPr="002F2FDF">
        <w:rPr>
          <w:rFonts w:ascii="Times New Roman" w:hAnsi="Times New Roman" w:cs="Times New Roman"/>
          <w:color w:val="000000" w:themeColor="text1"/>
          <w:kern w:val="2"/>
          <w:sz w:val="16"/>
          <w:szCs w:val="16"/>
        </w:rPr>
        <w:softHyphen/>
        <w:t>териалов. Тлг. № 327. Фан-дер-Флит”.</w:t>
      </w:r>
    </w:p>
    <w:p w14:paraId="28EA8A5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следующий день после подачи телеграммы №327 Фан-дер-Флит повторил запрос: “Петроград. Авиасовету. Прошу содействовать перево</w:t>
      </w:r>
      <w:r w:rsidRPr="002F2FDF">
        <w:rPr>
          <w:rFonts w:ascii="Times New Roman" w:hAnsi="Times New Roman" w:cs="Times New Roman"/>
          <w:color w:val="000000" w:themeColor="text1"/>
          <w:kern w:val="2"/>
          <w:sz w:val="16"/>
          <w:szCs w:val="16"/>
        </w:rPr>
        <w:softHyphen/>
        <w:t>ду Увофлотом отпущенного кредита авиационных заводов на сумму 3300000 руб. Деньги крайне нужны. Тлг. № 328. Фан-дер-Флит” [39].</w:t>
      </w:r>
    </w:p>
    <w:p w14:paraId="48C9DB5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этом переписка оборвалась - к Херсону подступила война. Вре</w:t>
      </w:r>
      <w:r w:rsidRPr="002F2FDF">
        <w:rPr>
          <w:rFonts w:ascii="Times New Roman" w:hAnsi="Times New Roman" w:cs="Times New Roman"/>
          <w:color w:val="000000" w:themeColor="text1"/>
          <w:kern w:val="2"/>
          <w:sz w:val="16"/>
          <w:szCs w:val="16"/>
        </w:rPr>
        <w:softHyphen/>
        <w:t>менными хозяевами этих краев стали петлюровцы, австро-германские и турецкие интервенты, а позже и французские. Значительная часть специ</w:t>
      </w:r>
      <w:r w:rsidRPr="002F2FDF">
        <w:rPr>
          <w:rFonts w:ascii="Times New Roman" w:hAnsi="Times New Roman" w:cs="Times New Roman"/>
          <w:color w:val="000000" w:themeColor="text1"/>
          <w:kern w:val="2"/>
          <w:sz w:val="16"/>
          <w:szCs w:val="16"/>
        </w:rPr>
        <w:softHyphen/>
        <w:t>алистов Главного Авиационного центра осталась на юге и попала с вол</w:t>
      </w:r>
      <w:r w:rsidRPr="002F2FDF">
        <w:rPr>
          <w:rFonts w:ascii="Times New Roman" w:hAnsi="Times New Roman" w:cs="Times New Roman"/>
          <w:color w:val="000000" w:themeColor="text1"/>
          <w:kern w:val="2"/>
          <w:sz w:val="16"/>
          <w:szCs w:val="16"/>
        </w:rPr>
        <w:softHyphen/>
        <w:t>ной эмиграции в зарубежные страны. Последние самолёты из Херсона выводили летчики А.Е. Раевский и Н.А. Жемчужин.</w:t>
      </w:r>
    </w:p>
    <w:p w14:paraId="02F040C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Главного аэродрома А.Н. Вегенер 23 февраля 1918 г. всту</w:t>
      </w:r>
      <w:r w:rsidRPr="002F2FDF">
        <w:rPr>
          <w:rFonts w:ascii="Times New Roman" w:hAnsi="Times New Roman" w:cs="Times New Roman"/>
          <w:color w:val="000000" w:themeColor="text1"/>
          <w:kern w:val="2"/>
          <w:sz w:val="16"/>
          <w:szCs w:val="16"/>
        </w:rPr>
        <w:softHyphen/>
        <w:t>пил в Красную Армию и, начиная с 1918 г., добивался возобновления ра</w:t>
      </w:r>
      <w:r w:rsidRPr="002F2FDF">
        <w:rPr>
          <w:rFonts w:ascii="Times New Roman" w:hAnsi="Times New Roman" w:cs="Times New Roman"/>
          <w:color w:val="000000" w:themeColor="text1"/>
          <w:kern w:val="2"/>
          <w:sz w:val="16"/>
          <w:szCs w:val="16"/>
        </w:rPr>
        <w:softHyphen/>
        <w:t>боты Главного аэродрома. В 1918 году создается Совет Главного аэродро</w:t>
      </w:r>
      <w:r w:rsidRPr="002F2FDF">
        <w:rPr>
          <w:rFonts w:ascii="Times New Roman" w:hAnsi="Times New Roman" w:cs="Times New Roman"/>
          <w:color w:val="000000" w:themeColor="text1"/>
          <w:kern w:val="2"/>
          <w:sz w:val="16"/>
          <w:szCs w:val="16"/>
        </w:rPr>
        <w:softHyphen/>
        <w:t>ма, он назначается председателем Совета (11425).</w:t>
      </w:r>
    </w:p>
    <w:p w14:paraId="55F186D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CE54E0" w14:textId="77777777" w:rsidR="00814096" w:rsidRPr="002F2FDF" w:rsidRDefault="0081409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F9AE865" w14:textId="77777777" w:rsidR="00814096" w:rsidRPr="002F2FDF" w:rsidRDefault="0081409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D24E6C" w14:textId="77777777" w:rsidR="00814096" w:rsidRPr="002F2FDF" w:rsidRDefault="0081409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8 (21) декабря 1917. Газета "Социал-демократ" сообщала: "Объявляется, что с 5 декабря на газовом заводе все дела перешли в ведение комитета рабочих. Всякие документы исходящие не от комитета или не закрепленные его подписью, будут считаться недействительными",.,</w:t>
      </w:r>
    </w:p>
    <w:p w14:paraId="23175602" w14:textId="77777777" w:rsidR="00814096" w:rsidRPr="002F2FDF" w:rsidRDefault="0081409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Постановлением президиума Моссовета в Москве и ее пригородах учрежден революционный трибунал. В городе введено военное положение (18685).</w:t>
      </w:r>
    </w:p>
    <w:p w14:paraId="514B5D39" w14:textId="77777777" w:rsidR="00814096" w:rsidRPr="002F2FDF" w:rsidRDefault="00814096" w:rsidP="0083075A">
      <w:pPr>
        <w:spacing w:after="0" w:line="240" w:lineRule="auto"/>
        <w:jc w:val="both"/>
        <w:rPr>
          <w:rFonts w:ascii="Times New Roman" w:hAnsi="Times New Roman" w:cs="Times New Roman"/>
          <w:color w:val="000000" w:themeColor="text1"/>
          <w:sz w:val="16"/>
          <w:szCs w:val="16"/>
        </w:rPr>
      </w:pPr>
    </w:p>
    <w:p w14:paraId="53442D0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98006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83C6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декабря 1817 начались мирные переговоры России и Германии в Брест-Литовске (3907,92).</w:t>
      </w:r>
    </w:p>
    <w:p w14:paraId="3D654E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70AE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декабря 1917 Антонов стал Наркомом по борьбе с контрреволюцией, а Корнилов и Деникин прибыли в Новочеркасск (2239).</w:t>
      </w:r>
    </w:p>
    <w:p w14:paraId="67D5EF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409A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декабря 1917 Корнилов и Деникин прибыли в Новочеркасск (2239).</w:t>
      </w:r>
    </w:p>
    <w:p w14:paraId="6A6CF2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8E309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9EAEB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13EBD4" w14:textId="01D82226" w:rsidR="00637EA0" w:rsidRPr="00FB4F67" w:rsidRDefault="00637EA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8 (</w:t>
      </w:r>
      <w:r w:rsidRPr="00FB4F67">
        <w:rPr>
          <w:rFonts w:ascii="Times New Roman" w:hAnsi="Times New Roman" w:cs="Times New Roman"/>
          <w:color w:val="0070C0"/>
          <w:sz w:val="16"/>
          <w:szCs w:val="16"/>
        </w:rPr>
        <w:t>21</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декабря 1917 г. в Петрограде левые социалисты-революционеры присоединились к правительству Ленина в коалиционной социалистической администрации (23525).</w:t>
      </w:r>
    </w:p>
    <w:p w14:paraId="054AFB3C" w14:textId="77777777" w:rsidR="00637EA0" w:rsidRPr="00FB4F67" w:rsidRDefault="00637EA0" w:rsidP="0083075A">
      <w:pPr>
        <w:spacing w:after="0" w:line="240" w:lineRule="auto"/>
        <w:jc w:val="both"/>
        <w:rPr>
          <w:rFonts w:ascii="Times New Roman" w:hAnsi="Times New Roman" w:cs="Times New Roman"/>
          <w:color w:val="0070C0"/>
          <w:sz w:val="16"/>
          <w:szCs w:val="16"/>
        </w:rPr>
      </w:pPr>
    </w:p>
    <w:p w14:paraId="644E9F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декабря 1917 В.И.Л. дает указания Благонравову и Бонч-Бруевичу: Аресты... должны быть произведены с большей энергией..." (3481).</w:t>
      </w:r>
    </w:p>
    <w:p w14:paraId="374CE1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77E648" w14:textId="77777777" w:rsidR="00B9099D" w:rsidRPr="002F2FDF" w:rsidRDefault="00B9099D" w:rsidP="0083075A">
      <w:pPr>
        <w:pStyle w:val="ae"/>
        <w:spacing w:before="0" w:after="0"/>
        <w:jc w:val="both"/>
        <w:rPr>
          <w:color w:val="000000" w:themeColor="text1"/>
          <w:kern w:val="2"/>
          <w:sz w:val="16"/>
          <w:szCs w:val="16"/>
        </w:rPr>
      </w:pPr>
      <w:r w:rsidRPr="002F2FDF">
        <w:rPr>
          <w:color w:val="000000" w:themeColor="text1"/>
          <w:kern w:val="2"/>
          <w:sz w:val="16"/>
          <w:szCs w:val="16"/>
        </w:rPr>
        <w:t>8 (21) декабря 1917 в Иркутске начались ожесточенные бои между сторонниками и противниками установления советской власти, положившие начало Гражданской войне в Сибири. В октябре 1917 года в городе прошел II съезд Советов рабочих, солдатских и крестьянских депутатов Восточной Сибири и Всесибирский съезд Советов, на котором был образован Центральный исполнительный комитет Советов Сибири (Центросибирь) во главе с большевиком Борисом Шумяцким. Но состоявшиеся в ноябре выборы в Учредительное Собрание показали истинный политический вес этого самозваного «органа». По всей Сибири большевики набрали лишь 10% голосов, в то время как эсеры — 75%. И тогда опорой большевиков в Иркутске стали солдаты тыловых полков, не хотевших отправки на фронт, и красногвардейцы — вооруженные рабочие, которых в городе было несколько тысяч. В среде «людей с ружьем» у большевиков было большинство.</w:t>
      </w:r>
    </w:p>
    <w:p w14:paraId="61CA0C01" w14:textId="1AE2DAE8" w:rsidR="00B9099D" w:rsidRPr="002F2FDF" w:rsidRDefault="00B9099D" w:rsidP="0083075A">
      <w:pPr>
        <w:pStyle w:val="ae"/>
        <w:spacing w:before="0" w:after="0"/>
        <w:jc w:val="both"/>
        <w:rPr>
          <w:color w:val="000000" w:themeColor="text1"/>
          <w:kern w:val="2"/>
          <w:sz w:val="16"/>
          <w:szCs w:val="16"/>
        </w:rPr>
      </w:pPr>
      <w:r w:rsidRPr="002F2FDF">
        <w:rPr>
          <w:color w:val="000000" w:themeColor="text1"/>
          <w:kern w:val="2"/>
          <w:sz w:val="16"/>
          <w:szCs w:val="16"/>
        </w:rPr>
        <w:t>После смены власти в Петрограде Центросибирь заявила о готовности взять власть в Иркутске и всем регионе, был создан местный Военно-революционный комитет (ВРК). В ответ депутатами местной думы был образован Комитет защиты революции (февральской), на сторону которого встали юнкера и некоторые воинские подразделения. После того</w:t>
      </w:r>
      <w:r w:rsidR="00E52569">
        <w:rPr>
          <w:color w:val="000000" w:themeColor="text1"/>
          <w:kern w:val="2"/>
          <w:sz w:val="16"/>
          <w:szCs w:val="16"/>
        </w:rPr>
        <w:t xml:space="preserve"> </w:t>
      </w:r>
      <w:r w:rsidRPr="002F2FDF">
        <w:rPr>
          <w:color w:val="000000" w:themeColor="text1"/>
          <w:kern w:val="2"/>
          <w:sz w:val="16"/>
          <w:szCs w:val="16"/>
        </w:rPr>
        <w:t>как ВРК начал аресты командования Иркутского военного округа и захват госучреждений, юнкера объявили о готовности встать на их защиту, хотя силы были неравными: максимум 1000 юнкеров и казаков против 6000 (до 16 тысяч с подмогой из других городов) распропагандированных большевиками солдат и красногвардейцев.</w:t>
      </w:r>
    </w:p>
    <w:p w14:paraId="1F3B76E1" w14:textId="77777777" w:rsidR="00B9099D" w:rsidRPr="002F2FDF" w:rsidRDefault="00B9099D" w:rsidP="0083075A">
      <w:pPr>
        <w:pStyle w:val="ae"/>
        <w:spacing w:before="0" w:after="0"/>
        <w:jc w:val="both"/>
        <w:rPr>
          <w:color w:val="000000" w:themeColor="text1"/>
          <w:kern w:val="2"/>
          <w:sz w:val="16"/>
          <w:szCs w:val="16"/>
        </w:rPr>
      </w:pPr>
      <w:r w:rsidRPr="002F2FDF">
        <w:rPr>
          <w:color w:val="000000" w:themeColor="text1"/>
          <w:kern w:val="2"/>
          <w:sz w:val="16"/>
          <w:szCs w:val="16"/>
        </w:rPr>
        <w:t>Первыми начали красные: 21 декабря в 4 часа 30 минут утра солдаты подтянули артиллерию к школе прапорщиков и начали ее обстрел. В середине дня юнкера большинства училищ вышли из расположения учебных заведений и начали захват соседних кварталов. К вечеру они контролировали почти весь центр города.</w:t>
      </w:r>
    </w:p>
    <w:p w14:paraId="474C5A86" w14:textId="48295B2D" w:rsidR="00B9099D" w:rsidRPr="002F2FDF" w:rsidRDefault="00B9099D" w:rsidP="0083075A">
      <w:pPr>
        <w:pStyle w:val="ae"/>
        <w:spacing w:before="0" w:after="0"/>
        <w:jc w:val="both"/>
        <w:rPr>
          <w:color w:val="000000" w:themeColor="text1"/>
          <w:kern w:val="2"/>
          <w:sz w:val="16"/>
          <w:szCs w:val="16"/>
        </w:rPr>
      </w:pPr>
      <w:r w:rsidRPr="002F2FDF">
        <w:rPr>
          <w:color w:val="000000" w:themeColor="text1"/>
          <w:kern w:val="2"/>
          <w:sz w:val="16"/>
          <w:szCs w:val="16"/>
        </w:rPr>
        <w:t>22 декабря в городе установились сильные морозы (до минус 40° С), что не помешало красным вновь атаковать школу прапорщиков, но атака была отбита. К ночи юнкера начали ответный обстрел понтонного моста через Ангару (его разрушение отсекло бы часть красных</w:t>
      </w:r>
      <w:r w:rsidR="00E52569">
        <w:rPr>
          <w:color w:val="000000" w:themeColor="text1"/>
          <w:kern w:val="2"/>
          <w:sz w:val="16"/>
          <w:szCs w:val="16"/>
        </w:rPr>
        <w:t xml:space="preserve"> </w:t>
      </w:r>
      <w:r w:rsidRPr="002F2FDF">
        <w:rPr>
          <w:color w:val="000000" w:themeColor="text1"/>
          <w:kern w:val="2"/>
          <w:sz w:val="16"/>
          <w:szCs w:val="16"/>
        </w:rPr>
        <w:t>от центра города, так как ледовый покров на вытекающей из более теплого Байкала реке еще не установился). Но мост так и не удалось разрушить. 23 декабря через него пошла большая толпа (400 красногвардейцев — вооруженных шахтеров из пригородов Иркутска, причем</w:t>
      </w:r>
      <w:r w:rsidR="00E52569">
        <w:rPr>
          <w:color w:val="000000" w:themeColor="text1"/>
          <w:kern w:val="2"/>
          <w:sz w:val="16"/>
          <w:szCs w:val="16"/>
        </w:rPr>
        <w:t xml:space="preserve"> </w:t>
      </w:r>
      <w:r w:rsidRPr="002F2FDF">
        <w:rPr>
          <w:color w:val="000000" w:themeColor="text1"/>
          <w:kern w:val="2"/>
          <w:sz w:val="16"/>
          <w:szCs w:val="16"/>
        </w:rPr>
        <w:t>многие с женами и детьми, рассчитывавших помародерствовать в разоренном городе). Юнкера открыли по ним пулеметный огонь, погибли сотни людей. В тот же день юнкера отбили у красных</w:t>
      </w:r>
      <w:r w:rsidR="00E52569">
        <w:rPr>
          <w:color w:val="000000" w:themeColor="text1"/>
          <w:kern w:val="2"/>
          <w:sz w:val="16"/>
          <w:szCs w:val="16"/>
        </w:rPr>
        <w:t xml:space="preserve"> </w:t>
      </w:r>
      <w:r w:rsidRPr="002F2FDF">
        <w:rPr>
          <w:color w:val="000000" w:themeColor="text1"/>
          <w:kern w:val="2"/>
          <w:sz w:val="16"/>
          <w:szCs w:val="16"/>
        </w:rPr>
        <w:t>городской телеграф и гауптвахту, были освобождены арестованные ранее большевиками губернский комиссар Временного правительства</w:t>
      </w:r>
      <w:r w:rsidR="00E52569">
        <w:rPr>
          <w:color w:val="000000" w:themeColor="text1"/>
          <w:kern w:val="2"/>
          <w:sz w:val="16"/>
          <w:szCs w:val="16"/>
        </w:rPr>
        <w:t xml:space="preserve"> </w:t>
      </w:r>
      <w:r w:rsidRPr="002F2FDF">
        <w:rPr>
          <w:color w:val="000000" w:themeColor="text1"/>
          <w:kern w:val="2"/>
          <w:sz w:val="16"/>
          <w:szCs w:val="16"/>
        </w:rPr>
        <w:t>правый эсер Иван Лавров и офицер штаба Иркутского военного округа</w:t>
      </w:r>
      <w:r w:rsidR="00E52569">
        <w:rPr>
          <w:color w:val="000000" w:themeColor="text1"/>
          <w:kern w:val="2"/>
          <w:sz w:val="16"/>
          <w:szCs w:val="16"/>
        </w:rPr>
        <w:t xml:space="preserve"> </w:t>
      </w:r>
      <w:r w:rsidRPr="002F2FDF">
        <w:rPr>
          <w:color w:val="000000" w:themeColor="text1"/>
          <w:kern w:val="2"/>
          <w:sz w:val="16"/>
          <w:szCs w:val="16"/>
        </w:rPr>
        <w:t>полковник Леонид Скипетров. Но красные</w:t>
      </w:r>
      <w:r w:rsidR="00E52569">
        <w:rPr>
          <w:color w:val="000000" w:themeColor="text1"/>
          <w:kern w:val="2"/>
          <w:sz w:val="16"/>
          <w:szCs w:val="16"/>
        </w:rPr>
        <w:t xml:space="preserve"> </w:t>
      </w:r>
      <w:r w:rsidRPr="002F2FDF">
        <w:rPr>
          <w:color w:val="000000" w:themeColor="text1"/>
          <w:kern w:val="2"/>
          <w:sz w:val="16"/>
          <w:szCs w:val="16"/>
        </w:rPr>
        <w:t>продолжали удерживать так называемый «Белый дом» — резиденцию сибирских губернаторов. Попытки взять его штурмом 23 и 24 декабря со стороны юнкеров провалились. Бои в городе продолжились почти до Нового года, при этом активно применялась артиллерия, что вызвало сильные разрушения и пожары (17045).</w:t>
      </w:r>
    </w:p>
    <w:p w14:paraId="573996C7" w14:textId="77777777" w:rsidR="00B9099D" w:rsidRPr="002F2FDF" w:rsidRDefault="00B9099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5A30CD" w14:textId="77777777" w:rsidR="00A074A8"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3A0F0084" w14:textId="77777777" w:rsidR="00A074A8" w:rsidRPr="002F2FDF" w:rsidRDefault="00A074A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938BD6" w14:textId="77777777" w:rsidR="00A074A8" w:rsidRPr="002F2FDF" w:rsidRDefault="00A074A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(21) декабря 1917 Военный кабинет Великобритании подготовил меморандум, в котором в частности говорилось о необходимости поддерживать связи с Украиной, Финляндией, Сибирью, Кавказом и попытаться убедить южную русскую армию возобновить войну. Первой задачей называлось предоставление субсидий для реорганизации Украины, на содержание казаков и кавказских войск.</w:t>
      </w:r>
    </w:p>
    <w:p w14:paraId="7368804F" w14:textId="77777777" w:rsidR="00A074A8" w:rsidRPr="002F2FDF" w:rsidRDefault="00A074A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Отмечалась необходимость, чтобы США приняли участие в этих расходах.</w:t>
      </w:r>
    </w:p>
    <w:p w14:paraId="0B0F4260" w14:textId="77777777" w:rsidR="00A074A8" w:rsidRPr="002F2FDF" w:rsidRDefault="00A074A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Ставилась задача иметь своих агентов, чтобы воздействовать на местные правительства и оказывать поддержку их армиям.</w:t>
      </w:r>
    </w:p>
    <w:p w14:paraId="63721119" w14:textId="77777777" w:rsidR="00A074A8" w:rsidRPr="002F2FDF" w:rsidRDefault="00A074A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это предполагалось «делать по возможности тихо, чтобы никто не смог нас обвинить, что мы готовимся к войне с большевиками».</w:t>
      </w:r>
    </w:p>
    <w:p w14:paraId="2A06DD13" w14:textId="77777777" w:rsidR="00A074A8" w:rsidRPr="002F2FDF" w:rsidRDefault="00A074A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Поэтому попытки создания центра консолидации просоюзнических сил продолжались. На Дон к генералу Л.Г. Корнилову выехал из Петрограда известный правый журналист и издатель Е.П. Семенов.</w:t>
      </w:r>
    </w:p>
    <w:p w14:paraId="645BF871" w14:textId="77777777" w:rsidR="00A074A8" w:rsidRPr="002F2FDF" w:rsidRDefault="00A074A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декабря он представил в Новочеркасске свой доклад группе генералов во главе с Л.Г. Корниловым и М.В. Алексеевым.</w:t>
      </w:r>
    </w:p>
    <w:p w14:paraId="3756FF63" w14:textId="77777777" w:rsidR="00A074A8" w:rsidRPr="002F2FDF" w:rsidRDefault="00A074A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состоявшегося обсуждения Корнилов уполномочил Семенова настаивать перед союзными дипломатами на скорейшем проведении в жизнь проекта создания Северного фронта (15497).</w:t>
      </w:r>
    </w:p>
    <w:p w14:paraId="1F9047DE" w14:textId="77777777" w:rsidR="00A074A8" w:rsidRPr="002F2FDF" w:rsidRDefault="00A074A8" w:rsidP="0083075A">
      <w:pPr>
        <w:spacing w:after="0" w:line="240" w:lineRule="auto"/>
        <w:jc w:val="both"/>
        <w:rPr>
          <w:rFonts w:ascii="Times New Roman" w:hAnsi="Times New Roman" w:cs="Times New Roman"/>
          <w:color w:val="000000" w:themeColor="text1"/>
          <w:kern w:val="2"/>
          <w:sz w:val="16"/>
          <w:szCs w:val="16"/>
        </w:rPr>
      </w:pPr>
    </w:p>
    <w:p w14:paraId="7D21CD63" w14:textId="77777777" w:rsidR="00D56C8F"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14D14295" w14:textId="77777777" w:rsidR="00D56C8F" w:rsidRPr="002F2FDF" w:rsidRDefault="00D56C8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F40C18" w14:textId="717A9650" w:rsidR="00D56C8F" w:rsidRPr="002F2FDF" w:rsidRDefault="00D56C8F" w:rsidP="0083075A">
      <w:pPr>
        <w:pStyle w:val="ae"/>
        <w:spacing w:before="0" w:after="0"/>
        <w:jc w:val="both"/>
        <w:rPr>
          <w:color w:val="000000" w:themeColor="text1"/>
          <w:kern w:val="2"/>
          <w:sz w:val="16"/>
          <w:szCs w:val="16"/>
        </w:rPr>
      </w:pPr>
      <w:r w:rsidRPr="002F2FDF">
        <w:rPr>
          <w:color w:val="000000" w:themeColor="text1"/>
          <w:kern w:val="2"/>
          <w:sz w:val="16"/>
          <w:szCs w:val="16"/>
        </w:rPr>
        <w:t>8 (21) декабря 1917 британские войска начали очередную операцию против турецких войск под Иерусалимом. Турки чуть ранее оставили из-за угрозы окружения сам Святой город, но в его окрестностях удерживала позиции крупная группировка, которая к тому же начала получать подкрепления с Кавказского фронта, где было заключено перемирие с русскими. Из-за этого британцы не могли использовать порт Яффы, который оставался в зоне досягаемости турецкой артиллерии. В ночь на 21 декабря 52-я британская дивизия неожиданно для противника переправилась через реку и вынудила турок отступить, обеспечив безопасность коммуникаций между Иерусалимом и Яффой (17045).</w:t>
      </w:r>
      <w:r w:rsidR="00E52569">
        <w:rPr>
          <w:color w:val="000000" w:themeColor="text1"/>
          <w:kern w:val="2"/>
          <w:sz w:val="16"/>
          <w:szCs w:val="16"/>
        </w:rPr>
        <w:t xml:space="preserve"> </w:t>
      </w:r>
    </w:p>
    <w:p w14:paraId="3F80D6E0" w14:textId="77777777" w:rsidR="00D56C8F" w:rsidRPr="002F2FDF" w:rsidRDefault="00D56C8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C02744" w14:textId="77777777" w:rsidR="00814096" w:rsidRPr="002F2FDF" w:rsidRDefault="0081409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2AF3805" w14:textId="77777777" w:rsidR="00814096" w:rsidRPr="002F2FDF" w:rsidRDefault="0081409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04C2E7"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 9 (22) декабря 1917г. Авиапромышленность состояла из 27 предприятий, из них самолетостроительных предприятий или заводских отделений было 14, моторостроительных, включая моторосборочные и заводские отделения - 6. Остальные предприятия занимались изготовлением воздушных </w:t>
      </w:r>
      <w:r w:rsidRPr="002F2FDF">
        <w:rPr>
          <w:rFonts w:ascii="Times New Roman" w:hAnsi="Times New Roman" w:cs="Times New Roman"/>
          <w:smallCaps/>
          <w:color w:val="000000" w:themeColor="text1"/>
          <w:kern w:val="2"/>
          <w:sz w:val="16"/>
          <w:szCs w:val="16"/>
        </w:rPr>
        <w:t xml:space="preserve">еинтов, </w:t>
      </w:r>
      <w:r w:rsidRPr="002F2FDF">
        <w:rPr>
          <w:rFonts w:ascii="Times New Roman" w:hAnsi="Times New Roman" w:cs="Times New Roman"/>
          <w:color w:val="000000" w:themeColor="text1"/>
          <w:kern w:val="2"/>
          <w:sz w:val="16"/>
          <w:szCs w:val="16"/>
        </w:rPr>
        <w:t>авиаприборов и прочего эвиаимуществэ. Кроме того, семь крупных сзмолето- и моторостроительных заводов, заводских отделений и сборочных мастерских было построено, но не успело приступить к производству. (Состоглено по официальным справочным материалом).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0"/>
        <w:gridCol w:w="658"/>
        <w:gridCol w:w="709"/>
        <w:gridCol w:w="567"/>
        <w:gridCol w:w="709"/>
        <w:gridCol w:w="567"/>
        <w:gridCol w:w="708"/>
        <w:gridCol w:w="709"/>
        <w:gridCol w:w="709"/>
        <w:gridCol w:w="709"/>
        <w:gridCol w:w="708"/>
      </w:tblGrid>
      <w:tr w:rsidR="002B1C74" w:rsidRPr="002F2FDF" w14:paraId="1C68FFDB" w14:textId="77777777" w:rsidTr="00A63911">
        <w:tc>
          <w:tcPr>
            <w:tcW w:w="1860" w:type="dxa"/>
            <w:tcBorders>
              <w:top w:val="single" w:sz="12" w:space="0" w:color="auto"/>
            </w:tcBorders>
          </w:tcPr>
          <w:p w14:paraId="2CB5DC68"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Предприятия</w:t>
            </w:r>
          </w:p>
        </w:tc>
        <w:tc>
          <w:tcPr>
            <w:tcW w:w="658" w:type="dxa"/>
            <w:tcBorders>
              <w:top w:val="single" w:sz="12" w:space="0" w:color="auto"/>
            </w:tcBorders>
          </w:tcPr>
          <w:p w14:paraId="57D54D02"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1909</w:t>
            </w:r>
          </w:p>
        </w:tc>
        <w:tc>
          <w:tcPr>
            <w:tcW w:w="709" w:type="dxa"/>
            <w:tcBorders>
              <w:top w:val="single" w:sz="12" w:space="0" w:color="auto"/>
            </w:tcBorders>
          </w:tcPr>
          <w:p w14:paraId="2CF82DA7"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1910</w:t>
            </w:r>
          </w:p>
        </w:tc>
        <w:tc>
          <w:tcPr>
            <w:tcW w:w="567" w:type="dxa"/>
            <w:tcBorders>
              <w:top w:val="single" w:sz="12" w:space="0" w:color="auto"/>
            </w:tcBorders>
          </w:tcPr>
          <w:p w14:paraId="47FC3709"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1911</w:t>
            </w:r>
          </w:p>
        </w:tc>
        <w:tc>
          <w:tcPr>
            <w:tcW w:w="709" w:type="dxa"/>
            <w:tcBorders>
              <w:top w:val="single" w:sz="12" w:space="0" w:color="auto"/>
            </w:tcBorders>
          </w:tcPr>
          <w:p w14:paraId="31D8262B"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1912</w:t>
            </w:r>
          </w:p>
        </w:tc>
        <w:tc>
          <w:tcPr>
            <w:tcW w:w="567" w:type="dxa"/>
            <w:tcBorders>
              <w:top w:val="single" w:sz="12" w:space="0" w:color="auto"/>
            </w:tcBorders>
          </w:tcPr>
          <w:p w14:paraId="4C3D078D"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w:t>
            </w:r>
          </w:p>
        </w:tc>
        <w:tc>
          <w:tcPr>
            <w:tcW w:w="708" w:type="dxa"/>
            <w:tcBorders>
              <w:top w:val="single" w:sz="12" w:space="0" w:color="auto"/>
            </w:tcBorders>
          </w:tcPr>
          <w:p w14:paraId="5C579472"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tc>
        <w:tc>
          <w:tcPr>
            <w:tcW w:w="709" w:type="dxa"/>
            <w:tcBorders>
              <w:top w:val="single" w:sz="12" w:space="0" w:color="auto"/>
            </w:tcBorders>
          </w:tcPr>
          <w:p w14:paraId="26E6CCA8"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tc>
        <w:tc>
          <w:tcPr>
            <w:tcW w:w="709" w:type="dxa"/>
            <w:tcBorders>
              <w:top w:val="single" w:sz="12" w:space="0" w:color="auto"/>
            </w:tcBorders>
          </w:tcPr>
          <w:p w14:paraId="7F460A71"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709" w:type="dxa"/>
            <w:tcBorders>
              <w:top w:val="single" w:sz="12" w:space="0" w:color="auto"/>
            </w:tcBorders>
          </w:tcPr>
          <w:p w14:paraId="3D0B80D8"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w:t>
            </w:r>
          </w:p>
        </w:tc>
        <w:tc>
          <w:tcPr>
            <w:tcW w:w="708" w:type="dxa"/>
            <w:tcBorders>
              <w:top w:val="single" w:sz="12" w:space="0" w:color="auto"/>
            </w:tcBorders>
          </w:tcPr>
          <w:p w14:paraId="7D5AB89B"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r>
      <w:tr w:rsidR="002B1C74" w:rsidRPr="002F2FDF" w14:paraId="1644A6D5" w14:textId="77777777" w:rsidTr="00A63911">
        <w:tc>
          <w:tcPr>
            <w:tcW w:w="1860" w:type="dxa"/>
          </w:tcPr>
          <w:p w14:paraId="032C3D9E"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Русско-Балтийский завод</w:t>
            </w:r>
          </w:p>
        </w:tc>
        <w:tc>
          <w:tcPr>
            <w:tcW w:w="658" w:type="dxa"/>
          </w:tcPr>
          <w:p w14:paraId="53448DB2"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07FCC175"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567" w:type="dxa"/>
          </w:tcPr>
          <w:p w14:paraId="06965D2E"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709" w:type="dxa"/>
          </w:tcPr>
          <w:p w14:paraId="51815F9D"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567" w:type="dxa"/>
          </w:tcPr>
          <w:p w14:paraId="6B3DE2D3"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w:t>
            </w:r>
          </w:p>
        </w:tc>
        <w:tc>
          <w:tcPr>
            <w:tcW w:w="708" w:type="dxa"/>
          </w:tcPr>
          <w:p w14:paraId="40339BDC"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w:t>
            </w:r>
          </w:p>
        </w:tc>
        <w:tc>
          <w:tcPr>
            <w:tcW w:w="709" w:type="dxa"/>
          </w:tcPr>
          <w:p w14:paraId="16EF0D48"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709" w:type="dxa"/>
          </w:tcPr>
          <w:p w14:paraId="6BDD4C22"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w:t>
            </w:r>
          </w:p>
        </w:tc>
        <w:tc>
          <w:tcPr>
            <w:tcW w:w="709" w:type="dxa"/>
          </w:tcPr>
          <w:p w14:paraId="23BEB169"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708" w:type="dxa"/>
          </w:tcPr>
          <w:p w14:paraId="65A8C2C3"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w:t>
            </w:r>
          </w:p>
        </w:tc>
      </w:tr>
      <w:tr w:rsidR="002B1C74" w:rsidRPr="002F2FDF" w14:paraId="485322F4" w14:textId="77777777" w:rsidTr="00A63911">
        <w:tc>
          <w:tcPr>
            <w:tcW w:w="1860" w:type="dxa"/>
          </w:tcPr>
          <w:p w14:paraId="62C0F3BF"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Щетинина</w:t>
            </w:r>
          </w:p>
        </w:tc>
        <w:tc>
          <w:tcPr>
            <w:tcW w:w="658" w:type="dxa"/>
          </w:tcPr>
          <w:p w14:paraId="1F53D356"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6DDF41C3"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567" w:type="dxa"/>
          </w:tcPr>
          <w:p w14:paraId="28EAC689"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709" w:type="dxa"/>
          </w:tcPr>
          <w:p w14:paraId="51CF3070"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w:t>
            </w:r>
          </w:p>
        </w:tc>
        <w:tc>
          <w:tcPr>
            <w:tcW w:w="567" w:type="dxa"/>
          </w:tcPr>
          <w:p w14:paraId="14821B25"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708" w:type="dxa"/>
          </w:tcPr>
          <w:p w14:paraId="5E5827D7"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w:t>
            </w:r>
          </w:p>
        </w:tc>
        <w:tc>
          <w:tcPr>
            <w:tcW w:w="709" w:type="dxa"/>
          </w:tcPr>
          <w:p w14:paraId="76FD554B"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250</w:t>
            </w:r>
          </w:p>
        </w:tc>
        <w:tc>
          <w:tcPr>
            <w:tcW w:w="709" w:type="dxa"/>
          </w:tcPr>
          <w:p w14:paraId="6FBE178D"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460</w:t>
            </w:r>
          </w:p>
        </w:tc>
        <w:tc>
          <w:tcPr>
            <w:tcW w:w="709" w:type="dxa"/>
          </w:tcPr>
          <w:p w14:paraId="6A9A7F6B"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400</w:t>
            </w:r>
          </w:p>
        </w:tc>
        <w:tc>
          <w:tcPr>
            <w:tcW w:w="708" w:type="dxa"/>
          </w:tcPr>
          <w:p w14:paraId="44172E2C"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1354</w:t>
            </w:r>
          </w:p>
        </w:tc>
      </w:tr>
      <w:tr w:rsidR="002B1C74" w:rsidRPr="002F2FDF" w14:paraId="78F2FD07" w14:textId="77777777" w:rsidTr="00A63911">
        <w:tc>
          <w:tcPr>
            <w:tcW w:w="1860" w:type="dxa"/>
          </w:tcPr>
          <w:p w14:paraId="3870C3BB"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Лебедева</w:t>
            </w:r>
          </w:p>
        </w:tc>
        <w:tc>
          <w:tcPr>
            <w:tcW w:w="658" w:type="dxa"/>
          </w:tcPr>
          <w:p w14:paraId="5911B5A6"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17727D8B"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1E4707FA"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2609CA6E"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60A791CF"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1791A6B7"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w:t>
            </w:r>
          </w:p>
        </w:tc>
        <w:tc>
          <w:tcPr>
            <w:tcW w:w="709" w:type="dxa"/>
          </w:tcPr>
          <w:p w14:paraId="49B57F44"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w:t>
            </w:r>
          </w:p>
        </w:tc>
        <w:tc>
          <w:tcPr>
            <w:tcW w:w="709" w:type="dxa"/>
          </w:tcPr>
          <w:p w14:paraId="52E023CD"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w:t>
            </w:r>
          </w:p>
        </w:tc>
        <w:tc>
          <w:tcPr>
            <w:tcW w:w="709" w:type="dxa"/>
          </w:tcPr>
          <w:p w14:paraId="7BCA4FFA"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223</w:t>
            </w:r>
          </w:p>
        </w:tc>
        <w:tc>
          <w:tcPr>
            <w:tcW w:w="708" w:type="dxa"/>
          </w:tcPr>
          <w:p w14:paraId="1B6B283A"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700</w:t>
            </w:r>
          </w:p>
        </w:tc>
      </w:tr>
      <w:tr w:rsidR="002B1C74" w:rsidRPr="002F2FDF" w14:paraId="6CCB8B4B" w14:textId="77777777" w:rsidTr="00A63911">
        <w:tc>
          <w:tcPr>
            <w:tcW w:w="1860" w:type="dxa"/>
          </w:tcPr>
          <w:p w14:paraId="1CE1EC15"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smallCaps/>
                <w:color w:val="000000" w:themeColor="text1"/>
                <w:kern w:val="2"/>
                <w:sz w:val="16"/>
                <w:szCs w:val="16"/>
              </w:rPr>
            </w:pPr>
            <w:r w:rsidRPr="002F2FDF">
              <w:rPr>
                <w:rFonts w:ascii="Times New Roman" w:hAnsi="Times New Roman" w:cs="Times New Roman"/>
                <w:color w:val="000000" w:themeColor="text1"/>
                <w:kern w:val="2"/>
                <w:sz w:val="16"/>
                <w:szCs w:val="16"/>
              </w:rPr>
              <w:t>Завод Слюсаренко</w:t>
            </w:r>
          </w:p>
        </w:tc>
        <w:tc>
          <w:tcPr>
            <w:tcW w:w="658" w:type="dxa"/>
          </w:tcPr>
          <w:p w14:paraId="222AA2E5"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58B7E6AF"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2219A9F5"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4D99E270"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2390B2A3"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0121E9CA"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709" w:type="dxa"/>
          </w:tcPr>
          <w:p w14:paraId="0D12A44E"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709" w:type="dxa"/>
          </w:tcPr>
          <w:p w14:paraId="1F36077A"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w:t>
            </w:r>
          </w:p>
        </w:tc>
        <w:tc>
          <w:tcPr>
            <w:tcW w:w="709" w:type="dxa"/>
          </w:tcPr>
          <w:p w14:paraId="76C988B4"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w:t>
            </w:r>
          </w:p>
        </w:tc>
        <w:tc>
          <w:tcPr>
            <w:tcW w:w="708" w:type="dxa"/>
          </w:tcPr>
          <w:p w14:paraId="2C8E5E7C"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138</w:t>
            </w:r>
          </w:p>
        </w:tc>
      </w:tr>
      <w:tr w:rsidR="002B1C74" w:rsidRPr="002F2FDF" w14:paraId="11C5C599" w14:textId="77777777" w:rsidTr="00A63911">
        <w:tc>
          <w:tcPr>
            <w:tcW w:w="1860" w:type="dxa"/>
          </w:tcPr>
          <w:p w14:paraId="57ABAAB0"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"Дукс"</w:t>
            </w:r>
          </w:p>
        </w:tc>
        <w:tc>
          <w:tcPr>
            <w:tcW w:w="658" w:type="dxa"/>
          </w:tcPr>
          <w:p w14:paraId="6FC0183F"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376F21D2"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567" w:type="dxa"/>
          </w:tcPr>
          <w:p w14:paraId="3D7155B9"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709" w:type="dxa"/>
          </w:tcPr>
          <w:p w14:paraId="3FF26B48"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c>
          <w:tcPr>
            <w:tcW w:w="567" w:type="dxa"/>
          </w:tcPr>
          <w:p w14:paraId="520A7129"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w:t>
            </w:r>
          </w:p>
        </w:tc>
        <w:tc>
          <w:tcPr>
            <w:tcW w:w="708" w:type="dxa"/>
          </w:tcPr>
          <w:p w14:paraId="75A42116"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w:t>
            </w:r>
          </w:p>
        </w:tc>
        <w:tc>
          <w:tcPr>
            <w:tcW w:w="709" w:type="dxa"/>
          </w:tcPr>
          <w:p w14:paraId="3496381D"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382</w:t>
            </w:r>
          </w:p>
        </w:tc>
        <w:tc>
          <w:tcPr>
            <w:tcW w:w="709" w:type="dxa"/>
          </w:tcPr>
          <w:p w14:paraId="01F37267"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481</w:t>
            </w:r>
          </w:p>
        </w:tc>
        <w:tc>
          <w:tcPr>
            <w:tcW w:w="709" w:type="dxa"/>
          </w:tcPr>
          <w:p w14:paraId="73787FEE"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543</w:t>
            </w:r>
          </w:p>
        </w:tc>
        <w:tc>
          <w:tcPr>
            <w:tcW w:w="708" w:type="dxa"/>
          </w:tcPr>
          <w:p w14:paraId="70D0B53C"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1733</w:t>
            </w:r>
          </w:p>
        </w:tc>
      </w:tr>
      <w:tr w:rsidR="002B1C74" w:rsidRPr="002F2FDF" w14:paraId="2FDAD409" w14:textId="77777777" w:rsidTr="00A63911">
        <w:tc>
          <w:tcPr>
            <w:tcW w:w="1860" w:type="dxa"/>
          </w:tcPr>
          <w:p w14:paraId="6B3A295D"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Моска</w:t>
            </w:r>
          </w:p>
        </w:tc>
        <w:tc>
          <w:tcPr>
            <w:tcW w:w="658" w:type="dxa"/>
          </w:tcPr>
          <w:p w14:paraId="3151CA20"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29C3F27C"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5D3A561D"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220672ED"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6C73A026"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2AD3B888"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w:t>
            </w:r>
          </w:p>
        </w:tc>
        <w:tc>
          <w:tcPr>
            <w:tcW w:w="709" w:type="dxa"/>
          </w:tcPr>
          <w:p w14:paraId="175B1472"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w:t>
            </w:r>
          </w:p>
        </w:tc>
        <w:tc>
          <w:tcPr>
            <w:tcW w:w="709" w:type="dxa"/>
          </w:tcPr>
          <w:p w14:paraId="1C2C277E"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w:t>
            </w:r>
          </w:p>
        </w:tc>
        <w:tc>
          <w:tcPr>
            <w:tcW w:w="709" w:type="dxa"/>
          </w:tcPr>
          <w:p w14:paraId="64F3CA96"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c>
          <w:tcPr>
            <w:tcW w:w="708" w:type="dxa"/>
          </w:tcPr>
          <w:p w14:paraId="77AFD712"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w:t>
            </w:r>
          </w:p>
        </w:tc>
      </w:tr>
      <w:tr w:rsidR="002B1C74" w:rsidRPr="002F2FDF" w14:paraId="02D656F8" w14:textId="77777777" w:rsidTr="00A63911">
        <w:tc>
          <w:tcPr>
            <w:tcW w:w="1860" w:type="dxa"/>
          </w:tcPr>
          <w:p w14:paraId="790538E7"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АнатраОдесса</w:t>
            </w:r>
          </w:p>
        </w:tc>
        <w:tc>
          <w:tcPr>
            <w:tcW w:w="658" w:type="dxa"/>
          </w:tcPr>
          <w:p w14:paraId="5864FBBD"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351A6B63"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519673C1"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13E39533"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1CDF7017"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42DBDC6D"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w:t>
            </w:r>
          </w:p>
        </w:tc>
        <w:tc>
          <w:tcPr>
            <w:tcW w:w="709" w:type="dxa"/>
          </w:tcPr>
          <w:p w14:paraId="07A412AD"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270</w:t>
            </w:r>
          </w:p>
        </w:tc>
        <w:tc>
          <w:tcPr>
            <w:tcW w:w="709" w:type="dxa"/>
          </w:tcPr>
          <w:p w14:paraId="3C6D187E"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359</w:t>
            </w:r>
          </w:p>
        </w:tc>
        <w:tc>
          <w:tcPr>
            <w:tcW w:w="709" w:type="dxa"/>
          </w:tcPr>
          <w:p w14:paraId="4051629B"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347</w:t>
            </w:r>
          </w:p>
        </w:tc>
        <w:tc>
          <w:tcPr>
            <w:tcW w:w="708" w:type="dxa"/>
          </w:tcPr>
          <w:p w14:paraId="0D409D11"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1056</w:t>
            </w:r>
          </w:p>
        </w:tc>
      </w:tr>
      <w:tr w:rsidR="002B1C74" w:rsidRPr="002F2FDF" w14:paraId="09823636" w14:textId="77777777" w:rsidTr="00A63911">
        <w:tc>
          <w:tcPr>
            <w:tcW w:w="1860" w:type="dxa"/>
          </w:tcPr>
          <w:p w14:paraId="73D307A3"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АнатраСимферополь</w:t>
            </w:r>
          </w:p>
        </w:tc>
        <w:tc>
          <w:tcPr>
            <w:tcW w:w="658" w:type="dxa"/>
          </w:tcPr>
          <w:p w14:paraId="01D8E41E"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78B40CAA"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2E56D7B0"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549D4424"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304C04AD"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6F5C3464"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3F52CE79"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66C7D265"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709" w:type="dxa"/>
          </w:tcPr>
          <w:p w14:paraId="1ADF4FC0"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c>
          <w:tcPr>
            <w:tcW w:w="708" w:type="dxa"/>
          </w:tcPr>
          <w:p w14:paraId="0403312D"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r>
      <w:tr w:rsidR="002B1C74" w:rsidRPr="002F2FDF" w14:paraId="5631C765" w14:textId="77777777" w:rsidTr="00A63911">
        <w:tc>
          <w:tcPr>
            <w:tcW w:w="1860" w:type="dxa"/>
          </w:tcPr>
          <w:p w14:paraId="63666532"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Терещен</w:t>
            </w:r>
            <w:r w:rsidRPr="002F2FDF">
              <w:rPr>
                <w:rFonts w:ascii="Times New Roman" w:hAnsi="Times New Roman" w:cs="Times New Roman"/>
                <w:color w:val="000000" w:themeColor="text1"/>
                <w:kern w:val="2"/>
                <w:sz w:val="16"/>
                <w:szCs w:val="16"/>
              </w:rPr>
              <w:softHyphen/>
              <w:t>ко</w:t>
            </w:r>
          </w:p>
        </w:tc>
        <w:tc>
          <w:tcPr>
            <w:tcW w:w="658" w:type="dxa"/>
          </w:tcPr>
          <w:p w14:paraId="6A45161D"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709" w:type="dxa"/>
          </w:tcPr>
          <w:p w14:paraId="776E4666"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5C8FBE86"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w:t>
            </w:r>
          </w:p>
        </w:tc>
        <w:tc>
          <w:tcPr>
            <w:tcW w:w="709" w:type="dxa"/>
          </w:tcPr>
          <w:p w14:paraId="118D041B"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w:t>
            </w:r>
          </w:p>
        </w:tc>
        <w:tc>
          <w:tcPr>
            <w:tcW w:w="567" w:type="dxa"/>
          </w:tcPr>
          <w:p w14:paraId="69E34916"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708" w:type="dxa"/>
          </w:tcPr>
          <w:p w14:paraId="4F77C38F"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709" w:type="dxa"/>
          </w:tcPr>
          <w:p w14:paraId="40961460"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w:t>
            </w:r>
          </w:p>
        </w:tc>
        <w:tc>
          <w:tcPr>
            <w:tcW w:w="709" w:type="dxa"/>
          </w:tcPr>
          <w:p w14:paraId="58986F08"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709" w:type="dxa"/>
          </w:tcPr>
          <w:p w14:paraId="6AE85CAC"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708" w:type="dxa"/>
          </w:tcPr>
          <w:p w14:paraId="6F38195C"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w:t>
            </w:r>
          </w:p>
        </w:tc>
      </w:tr>
      <w:tr w:rsidR="002B1C74" w:rsidRPr="002F2FDF" w14:paraId="3060944E" w14:textId="77777777" w:rsidTr="00A63911">
        <w:tc>
          <w:tcPr>
            <w:tcW w:w="1860" w:type="dxa"/>
          </w:tcPr>
          <w:p w14:paraId="4EBB59F6"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Адаменко</w:t>
            </w:r>
          </w:p>
        </w:tc>
        <w:tc>
          <w:tcPr>
            <w:tcW w:w="658" w:type="dxa"/>
          </w:tcPr>
          <w:p w14:paraId="04771E45"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68D0DFC2"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3024F323"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14906181"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01F958E6"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w:t>
            </w:r>
          </w:p>
        </w:tc>
        <w:tc>
          <w:tcPr>
            <w:tcW w:w="708" w:type="dxa"/>
          </w:tcPr>
          <w:p w14:paraId="55D42A86"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47702EA6"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709" w:type="dxa"/>
          </w:tcPr>
          <w:p w14:paraId="35BA6A3A"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709" w:type="dxa"/>
          </w:tcPr>
          <w:p w14:paraId="4B89F754"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708" w:type="dxa"/>
          </w:tcPr>
          <w:p w14:paraId="06E23D91"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r>
      <w:tr w:rsidR="002B1C74" w:rsidRPr="002F2FDF" w14:paraId="3A00E457" w14:textId="77777777" w:rsidTr="00A63911">
        <w:tc>
          <w:tcPr>
            <w:tcW w:w="1860" w:type="dxa"/>
          </w:tcPr>
          <w:p w14:paraId="042649C2"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Матиас</w:t>
            </w:r>
          </w:p>
        </w:tc>
        <w:tc>
          <w:tcPr>
            <w:tcW w:w="658" w:type="dxa"/>
          </w:tcPr>
          <w:p w14:paraId="4BE84DA6"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29F7BFA9"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20806E85"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7A1C99AA"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363FF530"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4EADF19A"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021A7F82"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4D9A5A8B"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359068CE"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708" w:type="dxa"/>
          </w:tcPr>
          <w:p w14:paraId="00117D4F"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r>
      <w:tr w:rsidR="002B1C74" w:rsidRPr="002F2FDF" w14:paraId="17924C14" w14:textId="77777777" w:rsidTr="00A63911">
        <w:tc>
          <w:tcPr>
            <w:tcW w:w="1860" w:type="dxa"/>
          </w:tcPr>
          <w:p w14:paraId="4F44B0A0"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Мельцер</w:t>
            </w:r>
          </w:p>
        </w:tc>
        <w:tc>
          <w:tcPr>
            <w:tcW w:w="658" w:type="dxa"/>
          </w:tcPr>
          <w:p w14:paraId="1938DB7F"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354943CC"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56BAA679"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51916718"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522CD637"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1D22D54C"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5C5D8BDD"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0BCB9387"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1BE74749"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708" w:type="dxa"/>
          </w:tcPr>
          <w:p w14:paraId="12A67990"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r>
      <w:tr w:rsidR="002B1C74" w:rsidRPr="002F2FDF" w14:paraId="4FAE6BA9" w14:textId="77777777" w:rsidTr="00A63911">
        <w:tc>
          <w:tcPr>
            <w:tcW w:w="1860" w:type="dxa"/>
          </w:tcPr>
          <w:p w14:paraId="627D48AC"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Калеп</w:t>
            </w:r>
          </w:p>
        </w:tc>
        <w:tc>
          <w:tcPr>
            <w:tcW w:w="658" w:type="dxa"/>
          </w:tcPr>
          <w:p w14:paraId="7B59CB2B"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3ED424E9"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567" w:type="dxa"/>
          </w:tcPr>
          <w:p w14:paraId="6B98D4E2"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709" w:type="dxa"/>
          </w:tcPr>
          <w:p w14:paraId="612BE4ED"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6BFA37A1"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79350C07"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031B6228"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4C914484"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7BFE4754"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65036E61"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r>
      <w:tr w:rsidR="002B1C74" w:rsidRPr="002F2FDF" w14:paraId="38834292" w14:textId="77777777" w:rsidTr="00A63911">
        <w:tc>
          <w:tcPr>
            <w:tcW w:w="1860" w:type="dxa"/>
          </w:tcPr>
          <w:p w14:paraId="716505DD"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Одесский морской батальон</w:t>
            </w:r>
          </w:p>
        </w:tc>
        <w:tc>
          <w:tcPr>
            <w:tcW w:w="658" w:type="dxa"/>
          </w:tcPr>
          <w:p w14:paraId="4B9ED676"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27964B5B"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567" w:type="dxa"/>
          </w:tcPr>
          <w:p w14:paraId="4BD59768"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709" w:type="dxa"/>
          </w:tcPr>
          <w:p w14:paraId="5C1E5735"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567" w:type="dxa"/>
          </w:tcPr>
          <w:p w14:paraId="130471B6"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2C8B0459"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6C328AC5"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6A02897F"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7E61B68F"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05A57B99"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r>
      <w:tr w:rsidR="002B1C74" w:rsidRPr="002F2FDF" w14:paraId="04EA8BB1" w14:textId="77777777" w:rsidTr="00A63911">
        <w:tc>
          <w:tcPr>
            <w:tcW w:w="1860" w:type="dxa"/>
          </w:tcPr>
          <w:p w14:paraId="1E9DB867"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Киевская воздухоплавательная рота е</w:t>
            </w:r>
          </w:p>
        </w:tc>
        <w:tc>
          <w:tcPr>
            <w:tcW w:w="658" w:type="dxa"/>
          </w:tcPr>
          <w:p w14:paraId="23B80755"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65FE1F65"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567" w:type="dxa"/>
          </w:tcPr>
          <w:p w14:paraId="61074586"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709" w:type="dxa"/>
          </w:tcPr>
          <w:p w14:paraId="6F030BBB"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567" w:type="dxa"/>
          </w:tcPr>
          <w:p w14:paraId="62E5EDE8"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708" w:type="dxa"/>
          </w:tcPr>
          <w:p w14:paraId="29E4C98E"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4915121F"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4864F851"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64971916"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13AA3CC8"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r>
      <w:tr w:rsidR="002B1C74" w:rsidRPr="002F2FDF" w14:paraId="158B4F0C" w14:textId="77777777" w:rsidTr="00A63911">
        <w:tc>
          <w:tcPr>
            <w:tcW w:w="1860" w:type="dxa"/>
          </w:tcPr>
          <w:p w14:paraId="34FDC045"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Летные школы</w:t>
            </w:r>
          </w:p>
        </w:tc>
        <w:tc>
          <w:tcPr>
            <w:tcW w:w="658" w:type="dxa"/>
          </w:tcPr>
          <w:p w14:paraId="05C5EF09"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09" w:type="dxa"/>
          </w:tcPr>
          <w:p w14:paraId="156FE930"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0151A3C5"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709" w:type="dxa"/>
          </w:tcPr>
          <w:p w14:paraId="34045B10"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567" w:type="dxa"/>
          </w:tcPr>
          <w:p w14:paraId="26264BE2"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708" w:type="dxa"/>
          </w:tcPr>
          <w:p w14:paraId="2639DEA1"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709" w:type="dxa"/>
          </w:tcPr>
          <w:p w14:paraId="151E8731"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709" w:type="dxa"/>
          </w:tcPr>
          <w:p w14:paraId="4F352393"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44A2AC82"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2FC0E12D"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w:t>
            </w:r>
          </w:p>
        </w:tc>
      </w:tr>
      <w:tr w:rsidR="002B1C74" w:rsidRPr="002F2FDF" w14:paraId="6FC075D4" w14:textId="77777777" w:rsidTr="00A63911">
        <w:tc>
          <w:tcPr>
            <w:tcW w:w="1860" w:type="dxa"/>
          </w:tcPr>
          <w:p w14:paraId="1C642EB7"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Опытные самолеты разных лиц и организаций</w:t>
            </w:r>
          </w:p>
        </w:tc>
        <w:tc>
          <w:tcPr>
            <w:tcW w:w="658" w:type="dxa"/>
          </w:tcPr>
          <w:p w14:paraId="4A60F487"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709" w:type="dxa"/>
          </w:tcPr>
          <w:p w14:paraId="0491B4EA"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w:t>
            </w:r>
          </w:p>
        </w:tc>
        <w:tc>
          <w:tcPr>
            <w:tcW w:w="567" w:type="dxa"/>
          </w:tcPr>
          <w:p w14:paraId="64D62EA0"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709" w:type="dxa"/>
          </w:tcPr>
          <w:p w14:paraId="07C7A41E"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w:t>
            </w:r>
          </w:p>
        </w:tc>
        <w:tc>
          <w:tcPr>
            <w:tcW w:w="567" w:type="dxa"/>
          </w:tcPr>
          <w:p w14:paraId="10EFCD45"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708" w:type="dxa"/>
          </w:tcPr>
          <w:p w14:paraId="5AA296A6"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709" w:type="dxa"/>
          </w:tcPr>
          <w:p w14:paraId="2A7A3C31"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709" w:type="dxa"/>
          </w:tcPr>
          <w:p w14:paraId="2E63EE22"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c>
          <w:tcPr>
            <w:tcW w:w="709" w:type="dxa"/>
          </w:tcPr>
          <w:p w14:paraId="4AB34905"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w:t>
            </w:r>
          </w:p>
        </w:tc>
        <w:tc>
          <w:tcPr>
            <w:tcW w:w="708" w:type="dxa"/>
          </w:tcPr>
          <w:p w14:paraId="5B052745"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180</w:t>
            </w:r>
          </w:p>
        </w:tc>
      </w:tr>
      <w:tr w:rsidR="002B1C74" w:rsidRPr="002F2FDF" w14:paraId="27ED1515" w14:textId="77777777" w:rsidTr="00A63911">
        <w:tc>
          <w:tcPr>
            <w:tcW w:w="1860" w:type="dxa"/>
          </w:tcPr>
          <w:p w14:paraId="45753835"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Прочие, а также построенные, но не сданные</w:t>
            </w:r>
          </w:p>
        </w:tc>
        <w:tc>
          <w:tcPr>
            <w:tcW w:w="658" w:type="dxa"/>
          </w:tcPr>
          <w:p w14:paraId="3CFA1C33"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6218AD49"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67BCC4C6"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709" w:type="dxa"/>
          </w:tcPr>
          <w:p w14:paraId="4FD5D86A"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567" w:type="dxa"/>
          </w:tcPr>
          <w:p w14:paraId="59DC3758"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708" w:type="dxa"/>
          </w:tcPr>
          <w:p w14:paraId="704406D4"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w:t>
            </w:r>
          </w:p>
        </w:tc>
        <w:tc>
          <w:tcPr>
            <w:tcW w:w="709" w:type="dxa"/>
          </w:tcPr>
          <w:p w14:paraId="7CC6E760"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w:t>
            </w:r>
          </w:p>
        </w:tc>
        <w:tc>
          <w:tcPr>
            <w:tcW w:w="709" w:type="dxa"/>
          </w:tcPr>
          <w:p w14:paraId="75A75185"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136</w:t>
            </w:r>
          </w:p>
        </w:tc>
        <w:tc>
          <w:tcPr>
            <w:tcW w:w="709" w:type="dxa"/>
          </w:tcPr>
          <w:p w14:paraId="2EEF6111"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161</w:t>
            </w:r>
          </w:p>
        </w:tc>
        <w:tc>
          <w:tcPr>
            <w:tcW w:w="708" w:type="dxa"/>
          </w:tcPr>
          <w:p w14:paraId="306B857F"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429</w:t>
            </w:r>
          </w:p>
        </w:tc>
      </w:tr>
      <w:tr w:rsidR="002B1C74" w:rsidRPr="002F2FDF" w14:paraId="4A819D04" w14:textId="77777777" w:rsidTr="00A63911">
        <w:tc>
          <w:tcPr>
            <w:tcW w:w="1860" w:type="dxa"/>
            <w:tcBorders>
              <w:bottom w:val="single" w:sz="12" w:space="0" w:color="auto"/>
            </w:tcBorders>
          </w:tcPr>
          <w:p w14:paraId="4D4E8618"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самолетов</w:t>
            </w:r>
          </w:p>
        </w:tc>
        <w:tc>
          <w:tcPr>
            <w:tcW w:w="658" w:type="dxa"/>
            <w:tcBorders>
              <w:bottom w:val="single" w:sz="12" w:space="0" w:color="auto"/>
            </w:tcBorders>
          </w:tcPr>
          <w:p w14:paraId="587B1ACA"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709" w:type="dxa"/>
            <w:tcBorders>
              <w:bottom w:val="single" w:sz="12" w:space="0" w:color="auto"/>
            </w:tcBorders>
          </w:tcPr>
          <w:p w14:paraId="05BF8995"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w:t>
            </w:r>
          </w:p>
        </w:tc>
        <w:tc>
          <w:tcPr>
            <w:tcW w:w="567" w:type="dxa"/>
            <w:tcBorders>
              <w:bottom w:val="single" w:sz="12" w:space="0" w:color="auto"/>
            </w:tcBorders>
          </w:tcPr>
          <w:p w14:paraId="200DD693"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w:t>
            </w:r>
          </w:p>
        </w:tc>
        <w:tc>
          <w:tcPr>
            <w:tcW w:w="709" w:type="dxa"/>
            <w:tcBorders>
              <w:bottom w:val="single" w:sz="12" w:space="0" w:color="auto"/>
            </w:tcBorders>
          </w:tcPr>
          <w:p w14:paraId="4DED76C8"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170</w:t>
            </w:r>
          </w:p>
        </w:tc>
        <w:tc>
          <w:tcPr>
            <w:tcW w:w="567" w:type="dxa"/>
            <w:tcBorders>
              <w:bottom w:val="single" w:sz="12" w:space="0" w:color="auto"/>
            </w:tcBorders>
          </w:tcPr>
          <w:p w14:paraId="29F2A508"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280</w:t>
            </w:r>
          </w:p>
        </w:tc>
        <w:tc>
          <w:tcPr>
            <w:tcW w:w="708" w:type="dxa"/>
            <w:tcBorders>
              <w:bottom w:val="single" w:sz="12" w:space="0" w:color="auto"/>
            </w:tcBorders>
          </w:tcPr>
          <w:p w14:paraId="5CB1FD98"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535</w:t>
            </w:r>
          </w:p>
        </w:tc>
        <w:tc>
          <w:tcPr>
            <w:tcW w:w="709" w:type="dxa"/>
            <w:tcBorders>
              <w:bottom w:val="single" w:sz="12" w:space="0" w:color="auto"/>
            </w:tcBorders>
          </w:tcPr>
          <w:p w14:paraId="335A9A51"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1305</w:t>
            </w:r>
          </w:p>
        </w:tc>
        <w:tc>
          <w:tcPr>
            <w:tcW w:w="709" w:type="dxa"/>
            <w:tcBorders>
              <w:bottom w:val="single" w:sz="12" w:space="0" w:color="auto"/>
            </w:tcBorders>
          </w:tcPr>
          <w:p w14:paraId="35DEF70F"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1870</w:t>
            </w:r>
          </w:p>
        </w:tc>
        <w:tc>
          <w:tcPr>
            <w:tcW w:w="709" w:type="dxa"/>
            <w:tcBorders>
              <w:bottom w:val="single" w:sz="12" w:space="0" w:color="auto"/>
            </w:tcBorders>
          </w:tcPr>
          <w:p w14:paraId="45B8C7ED"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1897</w:t>
            </w:r>
          </w:p>
        </w:tc>
        <w:tc>
          <w:tcPr>
            <w:tcW w:w="708" w:type="dxa"/>
            <w:tcBorders>
              <w:bottom w:val="single" w:sz="12" w:space="0" w:color="auto"/>
            </w:tcBorders>
          </w:tcPr>
          <w:p w14:paraId="5CDAA1E4"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6262</w:t>
            </w:r>
          </w:p>
        </w:tc>
      </w:tr>
    </w:tbl>
    <w:p w14:paraId="69717F96"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время Первой мировой войны самолетостроение в России развивалось недостаточно как в количественном, так и в каче</w:t>
      </w:r>
      <w:r w:rsidRPr="002F2FDF">
        <w:rPr>
          <w:rFonts w:ascii="Times New Roman" w:hAnsi="Times New Roman" w:cs="Times New Roman"/>
          <w:color w:val="000000" w:themeColor="text1"/>
          <w:kern w:val="2"/>
          <w:sz w:val="16"/>
          <w:szCs w:val="16"/>
        </w:rPr>
        <w:softHyphen/>
        <w:t>ственном отношении. Общий выпуск самолетов - около 5600 эк</w:t>
      </w:r>
      <w:r w:rsidRPr="002F2FDF">
        <w:rPr>
          <w:rFonts w:ascii="Times New Roman" w:hAnsi="Times New Roman" w:cs="Times New Roman"/>
          <w:color w:val="000000" w:themeColor="text1"/>
          <w:kern w:val="2"/>
          <w:sz w:val="16"/>
          <w:szCs w:val="16"/>
        </w:rPr>
        <w:softHyphen/>
        <w:t>земпляров за сравнимый срок - до конца 1917 г. - был в общем в четыре раза меньше, чем во Франции, Англии или Германии.</w:t>
      </w:r>
    </w:p>
    <w:p w14:paraId="4238953A"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Две трети выпущенных самолетов были копиями французских в/ типов -</w:t>
      </w:r>
      <w:r w:rsidRPr="002F2FDF">
        <w:rPr>
          <w:rFonts w:ascii="Times New Roman" w:hAnsi="Times New Roman" w:cs="Times New Roman"/>
          <w:color w:val="000000" w:themeColor="text1"/>
          <w:kern w:val="2"/>
          <w:sz w:val="16"/>
          <w:szCs w:val="16"/>
          <w:vertAlign w:val="superscript"/>
        </w:rPr>
        <w:t>п</w:t>
      </w:r>
      <w:r w:rsidRPr="002F2FDF">
        <w:rPr>
          <w:rFonts w:ascii="Times New Roman" w:hAnsi="Times New Roman" w:cs="Times New Roman"/>
          <w:color w:val="000000" w:themeColor="text1"/>
          <w:kern w:val="2"/>
          <w:sz w:val="16"/>
          <w:szCs w:val="16"/>
        </w:rPr>
        <w:t>Ф9рмэнов","Вуэзенов”, "Ньюпоро", "Морэнов" и "Спадов".</w:t>
      </w:r>
    </w:p>
    <w:p w14:paraId="0FC1B5F4"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Правда, они воспроизводились без большого опоздания. Из оте</w:t>
      </w:r>
      <w:r w:rsidRPr="002F2FDF">
        <w:rPr>
          <w:rFonts w:ascii="Times New Roman" w:hAnsi="Times New Roman" w:cs="Times New Roman"/>
          <w:color w:val="000000" w:themeColor="text1"/>
          <w:kern w:val="2"/>
          <w:sz w:val="16"/>
          <w:szCs w:val="16"/>
        </w:rPr>
        <w:softHyphen/>
        <w:t>чественных образцов серийно выпускались летающие лодки "М", разведчики "Лебедь" и "Анэтрэ", бомбардировщики "Илья Муромец" и некоторые другие. Наличие в производстве истребителей "Нью</w:t>
      </w:r>
      <w:r w:rsidRPr="002F2FDF">
        <w:rPr>
          <w:rFonts w:ascii="Times New Roman" w:hAnsi="Times New Roman" w:cs="Times New Roman"/>
          <w:color w:val="000000" w:themeColor="text1"/>
          <w:kern w:val="2"/>
          <w:sz w:val="16"/>
          <w:szCs w:val="16"/>
        </w:rPr>
        <w:softHyphen/>
        <w:t>пор" снижало интерес к созданию своих истребителей, которых проектировалось и строилось мало. Опытных самолетов было много - до сотни образцов, но в серию шла лишь малая часть их.</w:t>
      </w:r>
    </w:p>
    <w:p w14:paraId="156E09FD"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Русские самолеты почти не развивались в смысле новых схем и конструкций. Заграничные поставки не превосходили 20$ производства на русских заводах и не меняли общей картины. Отставание стало очень значительным и заметным в 1917 г. Количество самолетов на фронте в 1916-1917 гг. было 500-550 экземпляров, качественно в значительной части уступавших самолетам противника.</w:t>
      </w:r>
    </w:p>
    <w:p w14:paraId="3981F92A"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Русским летчикам приходилось сражаться </w:t>
      </w:r>
      <w:r w:rsidRPr="002F2FDF">
        <w:rPr>
          <w:rFonts w:ascii="Times New Roman" w:hAnsi="Times New Roman" w:cs="Times New Roman"/>
          <w:smallCaps/>
          <w:color w:val="000000" w:themeColor="text1"/>
          <w:kern w:val="2"/>
          <w:sz w:val="16"/>
          <w:szCs w:val="16"/>
        </w:rPr>
        <w:t xml:space="preserve">е </w:t>
      </w:r>
      <w:r w:rsidRPr="002F2FDF">
        <w:rPr>
          <w:rFonts w:ascii="Times New Roman" w:hAnsi="Times New Roman" w:cs="Times New Roman"/>
          <w:color w:val="000000" w:themeColor="text1"/>
          <w:kern w:val="2"/>
          <w:sz w:val="16"/>
          <w:szCs w:val="16"/>
        </w:rPr>
        <w:t>очень тяжелых условиях. Правда, и боевых действий авиации на русском фрон</w:t>
      </w:r>
      <w:r w:rsidRPr="002F2FDF">
        <w:rPr>
          <w:rFonts w:ascii="Times New Roman" w:hAnsi="Times New Roman" w:cs="Times New Roman"/>
          <w:color w:val="000000" w:themeColor="text1"/>
          <w:kern w:val="2"/>
          <w:sz w:val="16"/>
          <w:szCs w:val="16"/>
        </w:rPr>
        <w:softHyphen/>
        <w:t>те было в несколько раз меньше, чем на французском, где была сосредоточена основная масса немецкой авиации.</w:t>
      </w:r>
    </w:p>
    <w:p w14:paraId="4A409A52" w14:textId="77777777" w:rsidR="00814096" w:rsidRPr="002F2FDF" w:rsidRDefault="0081409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02B5DD"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9 (21) декабря 1917 г.</w:t>
      </w:r>
    </w:p>
    <w:p w14:paraId="2607DCDE"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резолюция по Журналу № 209  </w:t>
      </w:r>
    </w:p>
    <w:p w14:paraId="16B0F49C"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9 декабря 1917 г. </w:t>
      </w:r>
    </w:p>
    <w:p w14:paraId="1DA4D4D9"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12 декабря. — Резолюция Председательствующего в Особом Совещании  для  обсуждения  и  объединения  мероприятий  по  обороне  государства по журналу Особого Совещания от 9 декабря 1917 года за № 209. </w:t>
      </w:r>
    </w:p>
    <w:p w14:paraId="578649F2"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Рассмотрев настоящий журнал, я в отношении приведения в исполнение требующих того суждений Особого Совещания решил: </w:t>
      </w:r>
    </w:p>
    <w:p w14:paraId="55CF9CD5"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  По  ходатайству  правления  арендуемого  правительством  завода  компании  «Зингер»  о  выдаче  ему  аванса,  по  заказу  управлением  </w:t>
      </w:r>
      <w:r w:rsidRPr="002F2FDF">
        <w:rPr>
          <w:rFonts w:ascii="Times New Roman" w:hAnsi="Times New Roman" w:cs="Times New Roman"/>
          <w:color w:val="000000" w:themeColor="text1"/>
          <w:sz w:val="16"/>
          <w:szCs w:val="16"/>
          <w:highlight w:val="yellow"/>
        </w:rPr>
        <w:t>военного воздушного флота</w:t>
      </w:r>
      <w:r w:rsidRPr="002F2FDF">
        <w:rPr>
          <w:rFonts w:ascii="Times New Roman" w:hAnsi="Times New Roman" w:cs="Times New Roman"/>
          <w:color w:val="000000" w:themeColor="text1"/>
          <w:sz w:val="16"/>
          <w:szCs w:val="16"/>
        </w:rPr>
        <w:t xml:space="preserve"> магнето: отпустить названному правлению аванс  без обеспечения в размере 65 % от общей стоимости 1700 штук магнето с  расходованием означенного аванса под контролем управления военного  воздушного флота. </w:t>
      </w:r>
    </w:p>
    <w:p w14:paraId="18C08201"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2. По докладу о положении дел на заводе «Герлях и Пульст» в Харькове: </w:t>
      </w:r>
    </w:p>
    <w:p w14:paraId="2C48260C"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разрешить правлению означенного завода выдачу через Харьковское  заводское  совещание,  работающее  в  контакте  с  местным  Советом  рабочих и солдатских депутатов, краткосрочной беспроцентной ссуды в  размере пятисот тысяч (500 000) руб лей с погашением ее из ближайших  платежей за изделия и побудить ведомства к уплате за готовые изделия. </w:t>
      </w:r>
    </w:p>
    <w:p w14:paraId="66E87159"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   3.  Разрешить  выдачу  через  Петроградское  заводское  совещание  дополнительного аванса без обеспечения, до 65 %, фабрике А. А.  Пороховщикова, по заказу управления военного </w:t>
      </w:r>
      <w:r w:rsidRPr="002F2FDF">
        <w:rPr>
          <w:rFonts w:ascii="Times New Roman" w:hAnsi="Times New Roman" w:cs="Times New Roman"/>
          <w:color w:val="000000" w:themeColor="text1"/>
          <w:sz w:val="16"/>
          <w:szCs w:val="16"/>
          <w:highlight w:val="yellow"/>
        </w:rPr>
        <w:t>воздушного флота</w:t>
      </w:r>
      <w:r w:rsidRPr="002F2FDF">
        <w:rPr>
          <w:rFonts w:ascii="Times New Roman" w:hAnsi="Times New Roman" w:cs="Times New Roman"/>
          <w:color w:val="000000" w:themeColor="text1"/>
          <w:sz w:val="16"/>
          <w:szCs w:val="16"/>
        </w:rPr>
        <w:t xml:space="preserve"> на изготовление 10 учебных аэропланов «Моран Ж». </w:t>
      </w:r>
    </w:p>
    <w:p w14:paraId="7E515F1C"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4. По ходатайству комиссара при товариществе Тентелевского химического завода о выдаче означенному товариществу оборотных средств  на текущие расходы: </w:t>
      </w:r>
    </w:p>
    <w:p w14:paraId="12BAB813"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а) предоставить в распоряжение Петроградского заводского совещания беспроцентную ссуду в размере шестисот тысяч (600 000) руб лей на  неотложные нужды товарищества названного завода; </w:t>
      </w:r>
    </w:p>
    <w:p w14:paraId="203470F8"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предложить указанному заводскому совещанию выработать условия погашения ссуды, а также представить свои соображения о дальнейшей деятельности товарищества и форме управления заводом. </w:t>
      </w:r>
    </w:p>
    <w:p w14:paraId="16DE9930"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5.  По  докладам  о  положении  дел  на  Московских  заводах:  </w:t>
      </w:r>
      <w:r w:rsidRPr="002F2FDF">
        <w:rPr>
          <w:rFonts w:ascii="Times New Roman" w:hAnsi="Times New Roman" w:cs="Times New Roman"/>
          <w:color w:val="000000" w:themeColor="text1"/>
          <w:sz w:val="16"/>
          <w:szCs w:val="16"/>
          <w:highlight w:val="yellow"/>
        </w:rPr>
        <w:t>«Дукс»,</w:t>
      </w:r>
      <w:r w:rsidRPr="002F2FDF">
        <w:rPr>
          <w:rFonts w:ascii="Times New Roman" w:hAnsi="Times New Roman" w:cs="Times New Roman"/>
          <w:color w:val="000000" w:themeColor="text1"/>
          <w:sz w:val="16"/>
          <w:szCs w:val="16"/>
        </w:rPr>
        <w:t xml:space="preserve">  «Гном и Рон» и «Мотор»: </w:t>
      </w:r>
    </w:p>
    <w:p w14:paraId="74A777AA"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а) предоставить в распоряжение Московского заводского совещания,  действующего в контакте с Московским советом рабочих и солдатских  депутатов, беспроцентные краткосрочные ссуды с погашением из авансов, имеющих быть полученными вследствие увеличения цен по заказам  управления военного воздушного флота для выдачи: заводу «Дукс»  — в  размере одного миллиона (1  000  000) рублей и заводам: «Гном и Рон» и  «Мотор»  — по триста тысяч (300  000) рублей каждому, а всего в сумме  одного миллиона шестисот тысяч (1 600 000) руб лей; </w:t>
      </w:r>
    </w:p>
    <w:p w14:paraId="57A69B8F"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б) ввести в состав правления поименованных выше заводов членов от  правительства, кандидатов на каковые должности представить Московскому заводскому совещанию на утверждение; </w:t>
      </w:r>
    </w:p>
    <w:p w14:paraId="2DAA9EE2"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  разрешить  отпуск  рабочих  на  срок  до  6  месяцев  без  снятия  их  с  учета с правом продления этого отпуска; </w:t>
      </w:r>
    </w:p>
    <w:p w14:paraId="059E0717"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 предложить правлениям названных заводов закончить в кратчайший срок изготовление заказов, находящихся в механической обработке,  и принять меры к переходу заводов на деятельность мирного времени. </w:t>
      </w:r>
    </w:p>
    <w:p w14:paraId="1A82BFAB"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6.  По  докладу  председателя  Петроградского  заводского  совещания  о  положении  дел  на  Петроградском  механическом  и  литейном  заводе:  </w:t>
      </w:r>
    </w:p>
    <w:p w14:paraId="24FFD372"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предоставить в распоряжение означенного совещания для выдачи правлению названного завода аванс без обеспечения в размере одного миллиона восьмисот тысяч (1  800  000) рублей, по заказам главного военно-технического управления. </w:t>
      </w:r>
    </w:p>
    <w:p w14:paraId="055F8B78"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7. По докладу того же председателя о ходатайстве правления Русского акционерного общества соединенных механических заводов о выдаче  денежных средств на покрытие неотложных текущих расходов. </w:t>
      </w:r>
    </w:p>
    <w:p w14:paraId="3D761FE9"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Предоставить в распоряжение Петроградского заводского совещания  для  выдачи  упомянутому  правлению  беспроцентную  ссуду  в  размере  одного миллиона (1  000  000) рублей с погашением из ближайших платежей за изделия. </w:t>
      </w:r>
    </w:p>
    <w:p w14:paraId="77B2F2A7"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8.  Утвердить  доклад  главного  военно-технического  управления  от  9 декабря сего года за № 4154 в исполнительную комиссию о выдаче обществу механических заводов «бр. Бромлей» аванса в сумме четырехсот  двадцати семи тысяч четырехсот сорока (427 440) рублей и беспроцентной  ссуды  в  размере  ста  семидесяти  двух  тысяч  пятисот  шестидесяти  (172  560) рублей, по заказу означенным управлением тяжелых топоров  с топорищами. </w:t>
      </w:r>
    </w:p>
    <w:p w14:paraId="2713D5AC"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9.  По  ходатайству  членов  рабочих  делегаций  Нижне-Тагильского  и  Луньевского  округов  об  отпуске  денежных  средств  и  об  утверждении наряда, данного главным артиллерийским управлением на 175  000   6» бомб: </w:t>
      </w:r>
    </w:p>
    <w:p w14:paraId="3EF8FBA1"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сократить наряд до 95  000 6» бомб, согласно имеющимся заготовкам штампованных стаканов и находящимся в механической обработке  снарядам; </w:t>
      </w:r>
    </w:p>
    <w:p w14:paraId="70DA28A6"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б) выдать по упомянутому наряду заводоуправлению акционерного  общества заводов наследников П. П. Демидова князя Сан-Донато дополнительный аванс без обеспечения до пяти миллионов (5 000 000) рубей  с расходованием его под контролем Уральского заводского совещания и  Нижне-Тагильского районного рабочего комитета; </w:t>
      </w:r>
    </w:p>
    <w:p w14:paraId="7C566E59"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 побудить ведомства к уплате числящихся за ними долгов по исполнению заказов упомянутого общества; </w:t>
      </w:r>
    </w:p>
    <w:p w14:paraId="1AD44AE3"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 прекратить производство снарядов и материалов для них, переводя  соответствующие мастерские на производство мирного времени; </w:t>
      </w:r>
    </w:p>
    <w:p w14:paraId="5D49B85C"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 признать, что заводы Нижне-Тагильского и Луньевского округов  ни в коем случае не подлежат закрытию, а могут лишь, если представится  необходимость, быть взяты в казенное управление; </w:t>
      </w:r>
    </w:p>
    <w:p w14:paraId="70328FB7"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е) разрешить отпуск рабочим на срок до 6 месяцев, без снятия их с  учета, с правом продления этого отпуска. </w:t>
      </w:r>
    </w:p>
    <w:p w14:paraId="5EC047B4"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10.  По  докладу  председателя  Петроградского  заводского  совещания о положении дел на металлическом и чугунолитейном заводе Отто  Якгейма: </w:t>
      </w:r>
    </w:p>
    <w:p w14:paraId="118BB7B5"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а) предоставить в распоряжение Петроградского заводского совещания аванс без обеспечения в размере ста тысяч (100 000) руб лей для расплаты с рабочими, из кредита, отпущенного главному артиллерийскому  управлению на выполнение названным заводом заказа 700 000 корпусов  чугунных 37 м/м снарядов; </w:t>
      </w:r>
    </w:p>
    <w:p w14:paraId="38136323"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б) предложить главному артиллерийскому управлению принять меры  к полной ликвидации упомянутого заказа. </w:t>
      </w:r>
    </w:p>
    <w:p w14:paraId="5ACEFB06"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11. По докладу главного военно-технического управления о пересмотре договора с фирмой «Британское инженерное общество в Сибири» от  2 мая 1916 г. и 3 апреля 1917 г. на постройку казенного автомобильного  завода и поставку автомобилей: </w:t>
      </w:r>
    </w:p>
    <w:p w14:paraId="5180EFB1"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а)  признать  принципиально  правильными  основания  для  пересмотра договоров и предлагаемую схему ликвидации существующих взаимоотношений  главного  военно-технического  управления  с  означенной  фирмой и направить в срочном порядке представление главного военно-технического управления от 7 декабря сего года за № 8905, по поводу пересмотра договоров в подготовительную комиссию по общим вопросам; </w:t>
      </w:r>
    </w:p>
    <w:p w14:paraId="5A784353"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б)  возвратить  названной  фирме  дополнительный  залог  в  сумме  ста  тысяч (100 000) рублей и 50 % основного залога — в сумме пятисот пятидесяти тысяч (550 000) рублей; </w:t>
      </w:r>
    </w:p>
    <w:p w14:paraId="52BBA1D1"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 впредь до разрешения Особым Совещанием в окончательной форме  всего вопроса о пересмотре упомянутых договорных взаимоотношений  разрешить главному военно-техническому управлению производить названной фирме из общего ассигнования на окончание постройки завода   поставку автомобилей ежемесячно авансовые выдачи в счет сумм кои  причтутся фирме за произведенные работы, по шестисот тысяч (600 000)  рублей,  под  контролем  технического  надзора  и  контрольной  комиссии при заводе, без учета 10 % с означенной суммы в залог. </w:t>
      </w:r>
    </w:p>
    <w:p w14:paraId="033BA087"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За председателя Особого Совещания Козьмин. </w:t>
      </w:r>
    </w:p>
    <w:p w14:paraId="218A071A"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 397. Л.  14–16 об. Подлинник. </w:t>
      </w:r>
    </w:p>
    <w:p w14:paraId="473F42CB"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15  января.  — В дополнение к п.  6 резолюции Председателя Особого  Совещания по обороне государства по журналу Особого Совещания от  9-го декабря 1917 г. за № 209 я решил: </w:t>
      </w:r>
    </w:p>
    <w:p w14:paraId="60F24820"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По вопросу об исполнении заказов на Петроградском механическом  и литейном заводе: </w:t>
      </w:r>
    </w:p>
    <w:p w14:paraId="49C5E06C"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а)  аннулировать  заказы  Главного  Артиллерийского  Управления  на   3» шрапнели, Морского Министерства  — на 120 м/м и 130 м/м и 8» фугасные снаряды, а также заказ на 12 000 лопат Кочкина; </w:t>
      </w:r>
    </w:p>
    <w:p w14:paraId="473F5F2F"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б) изготовление буров закончить; </w:t>
      </w:r>
    </w:p>
    <w:p w14:paraId="653360A5"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 продолжать изготовление рессор. </w:t>
      </w:r>
    </w:p>
    <w:p w14:paraId="7F0F7A39"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За председателя в.  Смирнов. </w:t>
      </w:r>
    </w:p>
    <w:p w14:paraId="0FD0C636"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 397. Л.  17. Подлинник (21128).</w:t>
      </w:r>
    </w:p>
    <w:p w14:paraId="5750AF80" w14:textId="77777777" w:rsidR="00AE0938" w:rsidRPr="002F2FDF" w:rsidRDefault="00AE0938" w:rsidP="0083075A">
      <w:pPr>
        <w:spacing w:after="0" w:line="240" w:lineRule="auto"/>
        <w:jc w:val="both"/>
        <w:rPr>
          <w:rFonts w:ascii="Times New Roman" w:hAnsi="Times New Roman" w:cs="Times New Roman"/>
          <w:color w:val="000000" w:themeColor="text1"/>
          <w:sz w:val="16"/>
          <w:szCs w:val="16"/>
        </w:rPr>
      </w:pPr>
    </w:p>
    <w:p w14:paraId="2B6D225E" w14:textId="77777777" w:rsidR="00814096" w:rsidRPr="002F2FDF" w:rsidRDefault="0081409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14CC3D2D" w14:textId="77777777" w:rsidR="00814096" w:rsidRPr="002F2FDF" w:rsidRDefault="0081409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53B6B2" w14:textId="77777777" w:rsidR="00814096" w:rsidRPr="002F2FDF" w:rsidRDefault="0081409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9 (22) декабря 1917. Постановление Моссовета немедленно арестовать, как врага Советской власти, владельца завода акционерного общества "Русская машина" Л. Михельсона, конфисковать все имущество завода и передать его в собственность Республики (18585).</w:t>
      </w:r>
    </w:p>
    <w:p w14:paraId="7894B236" w14:textId="77777777" w:rsidR="00814096" w:rsidRPr="002F2FDF" w:rsidRDefault="00814096" w:rsidP="0083075A">
      <w:pPr>
        <w:spacing w:after="0" w:line="240" w:lineRule="auto"/>
        <w:jc w:val="both"/>
        <w:rPr>
          <w:rFonts w:ascii="Times New Roman" w:hAnsi="Times New Roman" w:cs="Times New Roman"/>
          <w:color w:val="000000" w:themeColor="text1"/>
          <w:sz w:val="16"/>
          <w:szCs w:val="16"/>
        </w:rPr>
      </w:pPr>
    </w:p>
    <w:p w14:paraId="7B85C30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59764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0942F4" w14:textId="07185EEE" w:rsidR="00FA7CE5" w:rsidRPr="002F2FDF" w:rsidRDefault="00066F80" w:rsidP="0083075A">
      <w:pPr>
        <w:pStyle w:val="ae"/>
        <w:spacing w:before="0" w:after="0"/>
        <w:jc w:val="both"/>
        <w:rPr>
          <w:color w:val="000000" w:themeColor="text1"/>
          <w:kern w:val="2"/>
          <w:sz w:val="16"/>
          <w:szCs w:val="16"/>
        </w:rPr>
      </w:pPr>
      <w:r w:rsidRPr="002F2FDF">
        <w:rPr>
          <w:color w:val="000000" w:themeColor="text1"/>
          <w:kern w:val="2"/>
          <w:sz w:val="16"/>
          <w:szCs w:val="16"/>
        </w:rPr>
        <w:t>С 9</w:t>
      </w:r>
      <w:r w:rsidR="00E52569">
        <w:rPr>
          <w:color w:val="000000" w:themeColor="text1"/>
          <w:kern w:val="2"/>
          <w:sz w:val="16"/>
          <w:szCs w:val="16"/>
        </w:rPr>
        <w:t xml:space="preserve"> </w:t>
      </w:r>
      <w:hyperlink r:id="rId705" w:tooltip="22 декабря" w:history="1">
        <w:r w:rsidRPr="002F2FDF">
          <w:rPr>
            <w:rStyle w:val="a5"/>
            <w:color w:val="000000" w:themeColor="text1"/>
            <w:kern w:val="2"/>
            <w:sz w:val="16"/>
            <w:szCs w:val="16"/>
            <w:u w:val="none"/>
          </w:rPr>
          <w:t>(22)</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декабря</w:t>
        </w:r>
      </w:hyperlink>
      <w:r w:rsidRPr="002F2FDF">
        <w:rPr>
          <w:color w:val="000000" w:themeColor="text1"/>
          <w:kern w:val="2"/>
          <w:sz w:val="16"/>
          <w:szCs w:val="16"/>
        </w:rPr>
        <w:t xml:space="preserve"> по 15</w:t>
      </w:r>
      <w:r w:rsidR="00E52569">
        <w:rPr>
          <w:color w:val="000000" w:themeColor="text1"/>
          <w:kern w:val="2"/>
          <w:sz w:val="16"/>
          <w:szCs w:val="16"/>
        </w:rPr>
        <w:t xml:space="preserve"> </w:t>
      </w:r>
      <w:hyperlink r:id="rId706" w:tooltip="28 декабря" w:history="1">
        <w:r w:rsidRPr="002F2FDF">
          <w:rPr>
            <w:rStyle w:val="a5"/>
            <w:color w:val="000000" w:themeColor="text1"/>
            <w:kern w:val="2"/>
            <w:sz w:val="16"/>
            <w:szCs w:val="16"/>
            <w:u w:val="none"/>
          </w:rPr>
          <w:t>(28)</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декабря</w:t>
        </w:r>
      </w:hyperlink>
      <w:r w:rsidR="00E52569">
        <w:rPr>
          <w:color w:val="000000" w:themeColor="text1"/>
          <w:kern w:val="2"/>
          <w:sz w:val="16"/>
          <w:szCs w:val="16"/>
        </w:rPr>
        <w:t xml:space="preserve"> </w:t>
      </w:r>
      <w:hyperlink r:id="rId707" w:tooltip="1917 год" w:history="1">
        <w:r w:rsidRPr="002F2FDF">
          <w:rPr>
            <w:rStyle w:val="a5"/>
            <w:color w:val="000000" w:themeColor="text1"/>
            <w:kern w:val="2"/>
            <w:sz w:val="16"/>
            <w:szCs w:val="16"/>
            <w:u w:val="none"/>
          </w:rPr>
          <w:t>1917 года</w:t>
        </w:r>
      </w:hyperlink>
      <w:r w:rsidRPr="002F2FDF">
        <w:rPr>
          <w:color w:val="000000" w:themeColor="text1"/>
          <w:kern w:val="2"/>
          <w:sz w:val="16"/>
          <w:szCs w:val="16"/>
        </w:rPr>
        <w:t xml:space="preserve"> в три этапа (2 этап - с 27</w:t>
      </w:r>
      <w:r w:rsidR="00E52569">
        <w:rPr>
          <w:color w:val="000000" w:themeColor="text1"/>
          <w:kern w:val="2"/>
          <w:sz w:val="16"/>
          <w:szCs w:val="16"/>
        </w:rPr>
        <w:t xml:space="preserve"> </w:t>
      </w:r>
      <w:r w:rsidRPr="002F2FDF">
        <w:rPr>
          <w:color w:val="000000" w:themeColor="text1"/>
          <w:kern w:val="2"/>
          <w:sz w:val="16"/>
          <w:szCs w:val="16"/>
        </w:rPr>
        <w:t>декабря 1917 (</w:t>
      </w:r>
      <w:hyperlink r:id="rId708" w:tooltip="9 января" w:history="1">
        <w:r w:rsidRPr="002F2FDF">
          <w:rPr>
            <w:rStyle w:val="a5"/>
            <w:color w:val="000000" w:themeColor="text1"/>
            <w:kern w:val="2"/>
            <w:sz w:val="16"/>
            <w:szCs w:val="16"/>
            <w:u w:val="none"/>
          </w:rPr>
          <w:t>9</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января</w:t>
        </w:r>
      </w:hyperlink>
      <w:hyperlink r:id="rId709" w:tooltip="1918 год" w:history="1">
        <w:r w:rsidRPr="002F2FDF">
          <w:rPr>
            <w:rStyle w:val="a5"/>
            <w:color w:val="000000" w:themeColor="text1"/>
            <w:kern w:val="2"/>
            <w:sz w:val="16"/>
            <w:szCs w:val="16"/>
            <w:u w:val="none"/>
          </w:rPr>
          <w:t>1918</w:t>
        </w:r>
      </w:hyperlink>
      <w:r w:rsidRPr="002F2FDF">
        <w:rPr>
          <w:color w:val="000000" w:themeColor="text1"/>
          <w:kern w:val="2"/>
          <w:sz w:val="16"/>
          <w:szCs w:val="16"/>
        </w:rPr>
        <w:t>) года по 28</w:t>
      </w:r>
      <w:r w:rsidR="00E52569">
        <w:rPr>
          <w:color w:val="000000" w:themeColor="text1"/>
          <w:kern w:val="2"/>
          <w:sz w:val="16"/>
          <w:szCs w:val="16"/>
        </w:rPr>
        <w:t xml:space="preserve"> </w:t>
      </w:r>
      <w:r w:rsidRPr="002F2FDF">
        <w:rPr>
          <w:color w:val="000000" w:themeColor="text1"/>
          <w:kern w:val="2"/>
          <w:sz w:val="16"/>
          <w:szCs w:val="16"/>
        </w:rPr>
        <w:t>января (</w:t>
      </w:r>
      <w:hyperlink r:id="rId710" w:tooltip="10 февраля" w:history="1">
        <w:r w:rsidRPr="002F2FDF">
          <w:rPr>
            <w:rStyle w:val="a5"/>
            <w:color w:val="000000" w:themeColor="text1"/>
            <w:kern w:val="2"/>
            <w:sz w:val="16"/>
            <w:szCs w:val="16"/>
            <w:u w:val="none"/>
          </w:rPr>
          <w:t>10</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февраля</w:t>
        </w:r>
      </w:hyperlink>
      <w:r w:rsidRPr="002F2FDF">
        <w:rPr>
          <w:color w:val="000000" w:themeColor="text1"/>
          <w:kern w:val="2"/>
          <w:sz w:val="16"/>
          <w:szCs w:val="16"/>
        </w:rPr>
        <w:t>)</w:t>
      </w:r>
      <w:r w:rsidR="00E52569">
        <w:rPr>
          <w:color w:val="000000" w:themeColor="text1"/>
          <w:kern w:val="2"/>
          <w:sz w:val="16"/>
          <w:szCs w:val="16"/>
        </w:rPr>
        <w:t xml:space="preserve"> </w:t>
      </w:r>
      <w:hyperlink r:id="rId711" w:tooltip="1918 год" w:history="1">
        <w:r w:rsidRPr="002F2FDF">
          <w:rPr>
            <w:rStyle w:val="a5"/>
            <w:color w:val="000000" w:themeColor="text1"/>
            <w:kern w:val="2"/>
            <w:sz w:val="16"/>
            <w:szCs w:val="16"/>
            <w:u w:val="none"/>
          </w:rPr>
          <w:t>1918 года</w:t>
        </w:r>
      </w:hyperlink>
      <w:r w:rsidRPr="002F2FDF">
        <w:rPr>
          <w:color w:val="000000" w:themeColor="text1"/>
          <w:kern w:val="2"/>
          <w:sz w:val="16"/>
          <w:szCs w:val="16"/>
        </w:rPr>
        <w:t xml:space="preserve"> и</w:t>
      </w:r>
      <w:r w:rsidR="00FA7CE5" w:rsidRPr="002F2FDF">
        <w:rPr>
          <w:color w:val="000000" w:themeColor="text1"/>
          <w:kern w:val="2"/>
          <w:sz w:val="16"/>
          <w:szCs w:val="16"/>
        </w:rPr>
        <w:t xml:space="preserve"> 3 этап - с </w:t>
      </w:r>
      <w:hyperlink r:id="rId712" w:tooltip="1 марта" w:history="1">
        <w:r w:rsidR="00FA7CE5" w:rsidRPr="002F2FDF">
          <w:rPr>
            <w:rStyle w:val="a5"/>
            <w:color w:val="000000" w:themeColor="text1"/>
            <w:kern w:val="2"/>
            <w:sz w:val="16"/>
            <w:szCs w:val="16"/>
            <w:u w:val="none"/>
          </w:rPr>
          <w:t>1</w:t>
        </w:r>
      </w:hyperlink>
      <w:r w:rsidR="00FA7CE5" w:rsidRPr="002F2FDF">
        <w:rPr>
          <w:color w:val="000000" w:themeColor="text1"/>
          <w:kern w:val="2"/>
          <w:sz w:val="16"/>
          <w:szCs w:val="16"/>
        </w:rPr>
        <w:t xml:space="preserve"> по </w:t>
      </w:r>
      <w:hyperlink r:id="rId713" w:tooltip="3 марта" w:history="1">
        <w:r w:rsidR="00FA7CE5" w:rsidRPr="002F2FDF">
          <w:rPr>
            <w:rStyle w:val="a5"/>
            <w:color w:val="000000" w:themeColor="text1"/>
            <w:kern w:val="2"/>
            <w:sz w:val="16"/>
            <w:szCs w:val="16"/>
            <w:u w:val="none"/>
          </w:rPr>
          <w:t>3 марта</w:t>
        </w:r>
      </w:hyperlink>
      <w:hyperlink r:id="rId714" w:tooltip="1918 год" w:history="1">
        <w:r w:rsidR="00FA7CE5" w:rsidRPr="002F2FDF">
          <w:rPr>
            <w:rStyle w:val="a5"/>
            <w:color w:val="000000" w:themeColor="text1"/>
            <w:kern w:val="2"/>
            <w:sz w:val="16"/>
            <w:szCs w:val="16"/>
            <w:u w:val="none"/>
          </w:rPr>
          <w:t>1918 года</w:t>
        </w:r>
      </w:hyperlink>
      <w:r w:rsidRPr="002F2FDF">
        <w:rPr>
          <w:color w:val="000000" w:themeColor="text1"/>
          <w:kern w:val="2"/>
          <w:sz w:val="16"/>
          <w:szCs w:val="16"/>
        </w:rPr>
        <w:t xml:space="preserve">, велись переговоры, которые предшествовали подписанию Брестского мирного договора </w:t>
      </w:r>
      <w:r w:rsidR="00FA7CE5" w:rsidRPr="002F2FDF">
        <w:rPr>
          <w:color w:val="000000" w:themeColor="text1"/>
          <w:kern w:val="2"/>
          <w:sz w:val="16"/>
          <w:szCs w:val="16"/>
        </w:rPr>
        <w:t>(17035).</w:t>
      </w:r>
    </w:p>
    <w:p w14:paraId="7A5A61B4" w14:textId="77777777" w:rsidR="00066F80" w:rsidRPr="002F2FDF" w:rsidRDefault="00066F8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633923" w14:textId="04A74341" w:rsidR="00B37396" w:rsidRPr="002F2FDF" w:rsidRDefault="00B37396" w:rsidP="0083075A">
      <w:pPr>
        <w:pStyle w:val="ae"/>
        <w:spacing w:before="0" w:after="0"/>
        <w:jc w:val="both"/>
        <w:rPr>
          <w:color w:val="000000" w:themeColor="text1"/>
          <w:kern w:val="2"/>
          <w:sz w:val="16"/>
          <w:szCs w:val="16"/>
        </w:rPr>
      </w:pPr>
      <w:r w:rsidRPr="002F2FDF">
        <w:rPr>
          <w:color w:val="000000" w:themeColor="text1"/>
          <w:kern w:val="2"/>
          <w:sz w:val="16"/>
          <w:szCs w:val="16"/>
        </w:rPr>
        <w:t>9</w:t>
      </w:r>
      <w:r w:rsidR="00E52569">
        <w:rPr>
          <w:color w:val="000000" w:themeColor="text1"/>
          <w:kern w:val="2"/>
          <w:sz w:val="16"/>
          <w:szCs w:val="16"/>
        </w:rPr>
        <w:t xml:space="preserve"> </w:t>
      </w:r>
      <w:hyperlink r:id="rId715" w:tooltip="22 декабря" w:history="1">
        <w:r w:rsidRPr="002F2FDF">
          <w:rPr>
            <w:rStyle w:val="a5"/>
            <w:color w:val="000000" w:themeColor="text1"/>
            <w:kern w:val="2"/>
            <w:sz w:val="16"/>
            <w:szCs w:val="16"/>
            <w:u w:val="none"/>
          </w:rPr>
          <w:t>(22)</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декабря</w:t>
        </w:r>
      </w:hyperlink>
      <w:r w:rsidR="00E52569">
        <w:rPr>
          <w:color w:val="000000" w:themeColor="text1"/>
          <w:kern w:val="2"/>
          <w:sz w:val="16"/>
          <w:szCs w:val="16"/>
        </w:rPr>
        <w:t xml:space="preserve"> </w:t>
      </w:r>
      <w:hyperlink r:id="rId716" w:tooltip="1917 год" w:history="1">
        <w:r w:rsidRPr="002F2FDF">
          <w:rPr>
            <w:rStyle w:val="a5"/>
            <w:color w:val="000000" w:themeColor="text1"/>
            <w:kern w:val="2"/>
            <w:sz w:val="16"/>
            <w:szCs w:val="16"/>
            <w:u w:val="none"/>
          </w:rPr>
          <w:t>1917 года</w:t>
        </w:r>
      </w:hyperlink>
      <w:r w:rsidRPr="002F2FDF">
        <w:rPr>
          <w:color w:val="000000" w:themeColor="text1"/>
          <w:kern w:val="2"/>
          <w:sz w:val="16"/>
          <w:szCs w:val="16"/>
        </w:rPr>
        <w:t xml:space="preserve"> начались переговоры о мире. Делегации государств </w:t>
      </w:r>
      <w:hyperlink r:id="rId717" w:tooltip="Центральные державы" w:history="1">
        <w:r w:rsidRPr="002F2FDF">
          <w:rPr>
            <w:rStyle w:val="a5"/>
            <w:color w:val="000000" w:themeColor="text1"/>
            <w:kern w:val="2"/>
            <w:sz w:val="16"/>
            <w:szCs w:val="16"/>
            <w:u w:val="none"/>
          </w:rPr>
          <w:t>Четверного союза</w:t>
        </w:r>
      </w:hyperlink>
      <w:r w:rsidRPr="002F2FDF">
        <w:rPr>
          <w:color w:val="000000" w:themeColor="text1"/>
          <w:kern w:val="2"/>
          <w:sz w:val="16"/>
          <w:szCs w:val="16"/>
        </w:rPr>
        <w:t xml:space="preserve"> возглавляли: от </w:t>
      </w:r>
      <w:hyperlink r:id="rId718" w:tooltip="Германия" w:history="1">
        <w:r w:rsidRPr="002F2FDF">
          <w:rPr>
            <w:rStyle w:val="a5"/>
            <w:color w:val="000000" w:themeColor="text1"/>
            <w:kern w:val="2"/>
            <w:sz w:val="16"/>
            <w:szCs w:val="16"/>
            <w:u w:val="none"/>
          </w:rPr>
          <w:t>Германии</w:t>
        </w:r>
      </w:hyperlink>
      <w:r w:rsidRPr="002F2FDF">
        <w:rPr>
          <w:color w:val="000000" w:themeColor="text1"/>
          <w:kern w:val="2"/>
          <w:sz w:val="16"/>
          <w:szCs w:val="16"/>
        </w:rPr>
        <w:t xml:space="preserve"> — статс-секретарь ведомства иностранных дел </w:t>
      </w:r>
      <w:hyperlink r:id="rId719" w:tooltip="Кюльман, Рихард фон" w:history="1">
        <w:r w:rsidRPr="002F2FDF">
          <w:rPr>
            <w:rStyle w:val="a5"/>
            <w:color w:val="000000" w:themeColor="text1"/>
            <w:kern w:val="2"/>
            <w:sz w:val="16"/>
            <w:szCs w:val="16"/>
            <w:u w:val="none"/>
          </w:rPr>
          <w:t>Р. фон Кюльман</w:t>
        </w:r>
      </w:hyperlink>
      <w:r w:rsidRPr="002F2FDF">
        <w:rPr>
          <w:color w:val="000000" w:themeColor="text1"/>
          <w:kern w:val="2"/>
          <w:sz w:val="16"/>
          <w:szCs w:val="16"/>
        </w:rPr>
        <w:t xml:space="preserve">; от </w:t>
      </w:r>
      <w:hyperlink r:id="rId720" w:tooltip="Австро-Венгрия" w:history="1">
        <w:r w:rsidRPr="002F2FDF">
          <w:rPr>
            <w:rStyle w:val="a5"/>
            <w:color w:val="000000" w:themeColor="text1"/>
            <w:kern w:val="2"/>
            <w:sz w:val="16"/>
            <w:szCs w:val="16"/>
            <w:u w:val="none"/>
          </w:rPr>
          <w:t>Австро-Венгрии</w:t>
        </w:r>
      </w:hyperlink>
      <w:r w:rsidRPr="002F2FDF">
        <w:rPr>
          <w:color w:val="000000" w:themeColor="text1"/>
          <w:kern w:val="2"/>
          <w:sz w:val="16"/>
          <w:szCs w:val="16"/>
        </w:rPr>
        <w:t xml:space="preserve"> — министр иностранных дел граф </w:t>
      </w:r>
      <w:hyperlink r:id="rId721" w:tooltip="Чернин, Оттокар" w:history="1">
        <w:r w:rsidRPr="002F2FDF">
          <w:rPr>
            <w:rStyle w:val="a5"/>
            <w:color w:val="000000" w:themeColor="text1"/>
            <w:kern w:val="2"/>
            <w:sz w:val="16"/>
            <w:szCs w:val="16"/>
            <w:u w:val="none"/>
          </w:rPr>
          <w:t>О. Чернин</w:t>
        </w:r>
      </w:hyperlink>
      <w:r w:rsidRPr="002F2FDF">
        <w:rPr>
          <w:color w:val="000000" w:themeColor="text1"/>
          <w:kern w:val="2"/>
          <w:sz w:val="16"/>
          <w:szCs w:val="16"/>
        </w:rPr>
        <w:t xml:space="preserve">; от </w:t>
      </w:r>
      <w:hyperlink r:id="rId722" w:tooltip="Болгария" w:history="1">
        <w:r w:rsidRPr="002F2FDF">
          <w:rPr>
            <w:rStyle w:val="a5"/>
            <w:color w:val="000000" w:themeColor="text1"/>
            <w:kern w:val="2"/>
            <w:sz w:val="16"/>
            <w:szCs w:val="16"/>
            <w:u w:val="none"/>
          </w:rPr>
          <w:t>Болгарии</w:t>
        </w:r>
      </w:hyperlink>
      <w:r w:rsidRPr="002F2FDF">
        <w:rPr>
          <w:color w:val="000000" w:themeColor="text1"/>
          <w:kern w:val="2"/>
          <w:sz w:val="16"/>
          <w:szCs w:val="16"/>
        </w:rPr>
        <w:t xml:space="preserve"> — министр юстиции Попов; от </w:t>
      </w:r>
      <w:hyperlink r:id="rId723" w:tooltip="Турция" w:history="1">
        <w:r w:rsidRPr="002F2FDF">
          <w:rPr>
            <w:rStyle w:val="a5"/>
            <w:color w:val="000000" w:themeColor="text1"/>
            <w:kern w:val="2"/>
            <w:sz w:val="16"/>
            <w:szCs w:val="16"/>
            <w:u w:val="none"/>
          </w:rPr>
          <w:t>Турции</w:t>
        </w:r>
      </w:hyperlink>
      <w:r w:rsidRPr="002F2FDF">
        <w:rPr>
          <w:color w:val="000000" w:themeColor="text1"/>
          <w:kern w:val="2"/>
          <w:sz w:val="16"/>
          <w:szCs w:val="16"/>
        </w:rPr>
        <w:t xml:space="preserve"> — председатель меджлиса </w:t>
      </w:r>
      <w:hyperlink r:id="rId724" w:tooltip="Талаат-паша, Мехмед" w:history="1">
        <w:r w:rsidRPr="002F2FDF">
          <w:rPr>
            <w:rStyle w:val="a5"/>
            <w:color w:val="000000" w:themeColor="text1"/>
            <w:kern w:val="2"/>
            <w:sz w:val="16"/>
            <w:szCs w:val="16"/>
            <w:u w:val="none"/>
          </w:rPr>
          <w:t>Талаат-бей</w:t>
        </w:r>
      </w:hyperlink>
      <w:r w:rsidRPr="002F2FDF">
        <w:rPr>
          <w:color w:val="000000" w:themeColor="text1"/>
          <w:kern w:val="2"/>
          <w:sz w:val="16"/>
          <w:szCs w:val="16"/>
        </w:rPr>
        <w:t>.</w:t>
      </w:r>
    </w:p>
    <w:p w14:paraId="1193F292" w14:textId="77777777" w:rsidR="00B37396" w:rsidRPr="002F2FDF" w:rsidRDefault="00B37396"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Конференцию открыл главнокомандующий Восточным фронтом принц </w:t>
      </w:r>
      <w:hyperlink r:id="rId725" w:tooltip="Леопольд Баварский (генерал-фельдмаршал)" w:history="1">
        <w:r w:rsidRPr="002F2FDF">
          <w:rPr>
            <w:rStyle w:val="a5"/>
            <w:color w:val="000000" w:themeColor="text1"/>
            <w:kern w:val="2"/>
            <w:sz w:val="16"/>
            <w:szCs w:val="16"/>
            <w:u w:val="none"/>
          </w:rPr>
          <w:t>Леопольд Баварский</w:t>
        </w:r>
      </w:hyperlink>
      <w:r w:rsidRPr="002F2FDF">
        <w:rPr>
          <w:color w:val="000000" w:themeColor="text1"/>
          <w:kern w:val="2"/>
          <w:sz w:val="16"/>
          <w:szCs w:val="16"/>
        </w:rPr>
        <w:t>, место председателя занял Кюльман.</w:t>
      </w:r>
    </w:p>
    <w:p w14:paraId="73CD9271" w14:textId="77777777" w:rsidR="00B37396" w:rsidRPr="002F2FDF" w:rsidRDefault="00B37396"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В советскую делегацию на первом этапе входили 5 уполномоченных — членов </w:t>
      </w:r>
      <w:hyperlink r:id="rId726" w:tooltip="ВЦИК" w:history="1">
        <w:r w:rsidRPr="002F2FDF">
          <w:rPr>
            <w:rStyle w:val="a5"/>
            <w:color w:val="000000" w:themeColor="text1"/>
            <w:kern w:val="2"/>
            <w:sz w:val="16"/>
            <w:szCs w:val="16"/>
            <w:u w:val="none"/>
          </w:rPr>
          <w:t>ВЦИК</w:t>
        </w:r>
      </w:hyperlink>
      <w:r w:rsidRPr="002F2FDF">
        <w:rPr>
          <w:color w:val="000000" w:themeColor="text1"/>
          <w:kern w:val="2"/>
          <w:sz w:val="16"/>
          <w:szCs w:val="16"/>
        </w:rPr>
        <w:t xml:space="preserve">: большевики </w:t>
      </w:r>
      <w:hyperlink r:id="rId727" w:tooltip="Иоффе, Адольф Абрамович" w:history="1">
        <w:r w:rsidRPr="002F2FDF">
          <w:rPr>
            <w:rStyle w:val="a5"/>
            <w:color w:val="000000" w:themeColor="text1"/>
            <w:kern w:val="2"/>
            <w:sz w:val="16"/>
            <w:szCs w:val="16"/>
            <w:u w:val="none"/>
          </w:rPr>
          <w:t>А. А. Иоффе</w:t>
        </w:r>
      </w:hyperlink>
      <w:r w:rsidRPr="002F2FDF">
        <w:rPr>
          <w:color w:val="000000" w:themeColor="text1"/>
          <w:kern w:val="2"/>
          <w:sz w:val="16"/>
          <w:szCs w:val="16"/>
        </w:rPr>
        <w:t xml:space="preserve"> — председатель делегации, </w:t>
      </w:r>
      <w:hyperlink r:id="rId728" w:tooltip="Каменев, Лев Борисович" w:history="1">
        <w:r w:rsidRPr="002F2FDF">
          <w:rPr>
            <w:rStyle w:val="a5"/>
            <w:color w:val="000000" w:themeColor="text1"/>
            <w:kern w:val="2"/>
            <w:sz w:val="16"/>
            <w:szCs w:val="16"/>
            <w:u w:val="none"/>
          </w:rPr>
          <w:t>Л. Б. Каменев (Розенфельд)</w:t>
        </w:r>
      </w:hyperlink>
      <w:r w:rsidRPr="002F2FDF">
        <w:rPr>
          <w:color w:val="000000" w:themeColor="text1"/>
          <w:kern w:val="2"/>
          <w:sz w:val="16"/>
          <w:szCs w:val="16"/>
        </w:rPr>
        <w:t xml:space="preserve"> и </w:t>
      </w:r>
      <w:hyperlink r:id="rId729" w:tooltip="Сокольников, Григорий Яковлевич" w:history="1">
        <w:r w:rsidRPr="002F2FDF">
          <w:rPr>
            <w:rStyle w:val="a5"/>
            <w:color w:val="000000" w:themeColor="text1"/>
            <w:kern w:val="2"/>
            <w:sz w:val="16"/>
            <w:szCs w:val="16"/>
            <w:u w:val="none"/>
          </w:rPr>
          <w:t>Г. Я. Сокольников (Бриллиант)</w:t>
        </w:r>
      </w:hyperlink>
      <w:r w:rsidRPr="002F2FDF">
        <w:rPr>
          <w:color w:val="000000" w:themeColor="text1"/>
          <w:kern w:val="2"/>
          <w:sz w:val="16"/>
          <w:szCs w:val="16"/>
        </w:rPr>
        <w:t xml:space="preserve">, эсеры </w:t>
      </w:r>
      <w:hyperlink r:id="rId730" w:tooltip="Биценко, Анастасия Алексеевна" w:history="1">
        <w:r w:rsidRPr="002F2FDF">
          <w:rPr>
            <w:rStyle w:val="a5"/>
            <w:color w:val="000000" w:themeColor="text1"/>
            <w:kern w:val="2"/>
            <w:sz w:val="16"/>
            <w:szCs w:val="16"/>
            <w:u w:val="none"/>
          </w:rPr>
          <w:t>А. А. Биценко</w:t>
        </w:r>
      </w:hyperlink>
      <w:r w:rsidRPr="002F2FDF">
        <w:rPr>
          <w:color w:val="000000" w:themeColor="text1"/>
          <w:kern w:val="2"/>
          <w:sz w:val="16"/>
          <w:szCs w:val="16"/>
        </w:rPr>
        <w:t xml:space="preserve"> и </w:t>
      </w:r>
      <w:hyperlink r:id="rId731" w:tooltip="Масловский-Мстиславский, Сергей Дмитриевич" w:history="1">
        <w:r w:rsidRPr="002F2FDF">
          <w:rPr>
            <w:rStyle w:val="a5"/>
            <w:color w:val="000000" w:themeColor="text1"/>
            <w:kern w:val="2"/>
            <w:sz w:val="16"/>
            <w:szCs w:val="16"/>
            <w:u w:val="none"/>
          </w:rPr>
          <w:t>С. Д. Масловский-Мстиславский</w:t>
        </w:r>
      </w:hyperlink>
      <w:r w:rsidRPr="002F2FDF">
        <w:rPr>
          <w:color w:val="000000" w:themeColor="text1"/>
          <w:kern w:val="2"/>
          <w:sz w:val="16"/>
          <w:szCs w:val="16"/>
        </w:rPr>
        <w:t xml:space="preserve">, 8 членов военной делегации (генерал-квартирмейстер при Верховном главнокомандующем Генштаба генерал-майор </w:t>
      </w:r>
      <w:hyperlink r:id="rId732" w:tooltip="Скалон, Владимир Евстафьевич" w:history="1">
        <w:r w:rsidRPr="002F2FDF">
          <w:rPr>
            <w:rStyle w:val="a5"/>
            <w:color w:val="000000" w:themeColor="text1"/>
            <w:kern w:val="2"/>
            <w:sz w:val="16"/>
            <w:szCs w:val="16"/>
            <w:u w:val="none"/>
          </w:rPr>
          <w:t>В. Е. Скалон</w:t>
        </w:r>
      </w:hyperlink>
      <w:r w:rsidRPr="002F2FDF">
        <w:rPr>
          <w:color w:val="000000" w:themeColor="text1"/>
          <w:kern w:val="2"/>
          <w:sz w:val="16"/>
          <w:szCs w:val="16"/>
        </w:rPr>
        <w:t xml:space="preserve">, состоявший при начальнике Генштаба генерал </w:t>
      </w:r>
      <w:hyperlink r:id="rId733" w:tooltip="Данилов, Юрий Никифорович" w:history="1">
        <w:r w:rsidRPr="002F2FDF">
          <w:rPr>
            <w:rStyle w:val="a5"/>
            <w:color w:val="000000" w:themeColor="text1"/>
            <w:kern w:val="2"/>
            <w:sz w:val="16"/>
            <w:szCs w:val="16"/>
            <w:u w:val="none"/>
          </w:rPr>
          <w:t>Ю. Н. Данилов</w:t>
        </w:r>
      </w:hyperlink>
      <w:r w:rsidRPr="002F2FDF">
        <w:rPr>
          <w:color w:val="000000" w:themeColor="text1"/>
          <w:kern w:val="2"/>
          <w:sz w:val="16"/>
          <w:szCs w:val="16"/>
        </w:rPr>
        <w:t xml:space="preserve">, помощник начальника Морского Генерального штаба контр-адмирал </w:t>
      </w:r>
      <w:hyperlink r:id="rId734" w:tooltip="Альтфатер, Василий Михайлович" w:history="1">
        <w:r w:rsidRPr="002F2FDF">
          <w:rPr>
            <w:rStyle w:val="a5"/>
            <w:color w:val="000000" w:themeColor="text1"/>
            <w:kern w:val="2"/>
            <w:sz w:val="16"/>
            <w:szCs w:val="16"/>
            <w:u w:val="none"/>
          </w:rPr>
          <w:t>В. М. Альтфатер</w:t>
        </w:r>
      </w:hyperlink>
      <w:r w:rsidRPr="002F2FDF">
        <w:rPr>
          <w:color w:val="000000" w:themeColor="text1"/>
          <w:kern w:val="2"/>
          <w:sz w:val="16"/>
          <w:szCs w:val="16"/>
        </w:rPr>
        <w:t xml:space="preserve">, начальник Николаевской военной академии Генштаба генерал </w:t>
      </w:r>
      <w:hyperlink r:id="rId735" w:tooltip="Андогский, Александр Иванович" w:history="1">
        <w:r w:rsidRPr="002F2FDF">
          <w:rPr>
            <w:rStyle w:val="a5"/>
            <w:color w:val="000000" w:themeColor="text1"/>
            <w:kern w:val="2"/>
            <w:sz w:val="16"/>
            <w:szCs w:val="16"/>
            <w:u w:val="none"/>
          </w:rPr>
          <w:t>А. И. Андогский</w:t>
        </w:r>
      </w:hyperlink>
      <w:r w:rsidRPr="002F2FDF">
        <w:rPr>
          <w:color w:val="000000" w:themeColor="text1"/>
          <w:kern w:val="2"/>
          <w:sz w:val="16"/>
          <w:szCs w:val="16"/>
        </w:rPr>
        <w:t xml:space="preserve">, генерал-квартирмейстер штаба 10-й армии Генштаба генерал </w:t>
      </w:r>
      <w:hyperlink r:id="rId736" w:tooltip="Самойло, Александр Александрович" w:history="1">
        <w:r w:rsidRPr="002F2FDF">
          <w:rPr>
            <w:rStyle w:val="a5"/>
            <w:color w:val="000000" w:themeColor="text1"/>
            <w:kern w:val="2"/>
            <w:sz w:val="16"/>
            <w:szCs w:val="16"/>
            <w:u w:val="none"/>
          </w:rPr>
          <w:t>А. А. Самойло</w:t>
        </w:r>
      </w:hyperlink>
      <w:r w:rsidRPr="002F2FDF">
        <w:rPr>
          <w:color w:val="000000" w:themeColor="text1"/>
          <w:kern w:val="2"/>
          <w:sz w:val="16"/>
          <w:szCs w:val="16"/>
        </w:rPr>
        <w:t xml:space="preserve">, полковник </w:t>
      </w:r>
      <w:hyperlink r:id="rId737" w:tooltip="Фокке, Джон Гугович (страница отсутствует)" w:history="1">
        <w:r w:rsidRPr="002F2FDF">
          <w:rPr>
            <w:rStyle w:val="a5"/>
            <w:color w:val="000000" w:themeColor="text1"/>
            <w:kern w:val="2"/>
            <w:sz w:val="16"/>
            <w:szCs w:val="16"/>
            <w:u w:val="none"/>
          </w:rPr>
          <w:t>Д. Г. Фокке</w:t>
        </w:r>
      </w:hyperlink>
      <w:r w:rsidRPr="002F2FDF">
        <w:rPr>
          <w:color w:val="000000" w:themeColor="text1"/>
          <w:kern w:val="2"/>
          <w:sz w:val="16"/>
          <w:szCs w:val="16"/>
        </w:rPr>
        <w:t xml:space="preserve">, подполковник И. Я. Цеплит, капитан В. Липский), секретарь делегации </w:t>
      </w:r>
      <w:hyperlink r:id="rId738" w:tooltip="Карахан, Лев Михайлович" w:history="1">
        <w:r w:rsidRPr="002F2FDF">
          <w:rPr>
            <w:rStyle w:val="a5"/>
            <w:color w:val="000000" w:themeColor="text1"/>
            <w:kern w:val="2"/>
            <w:sz w:val="16"/>
            <w:szCs w:val="16"/>
            <w:u w:val="none"/>
          </w:rPr>
          <w:t>Л. М. Карахан</w:t>
        </w:r>
      </w:hyperlink>
      <w:r w:rsidRPr="002F2FDF">
        <w:rPr>
          <w:color w:val="000000" w:themeColor="text1"/>
          <w:kern w:val="2"/>
          <w:sz w:val="16"/>
          <w:szCs w:val="16"/>
        </w:rPr>
        <w:t xml:space="preserve">, 3 переводчика и 6 технических сотрудников, а также 5 рядовых членов делегации — матрос Ф. В. Олич, солдат </w:t>
      </w:r>
      <w:hyperlink r:id="rId739" w:tooltip="Беляков, Николай Кузьмич" w:history="1">
        <w:r w:rsidRPr="002F2FDF">
          <w:rPr>
            <w:rStyle w:val="a5"/>
            <w:color w:val="000000" w:themeColor="text1"/>
            <w:kern w:val="2"/>
            <w:sz w:val="16"/>
            <w:szCs w:val="16"/>
            <w:u w:val="none"/>
          </w:rPr>
          <w:t>Н. К. Беляков</w:t>
        </w:r>
      </w:hyperlink>
      <w:r w:rsidRPr="002F2FDF">
        <w:rPr>
          <w:color w:val="000000" w:themeColor="text1"/>
          <w:kern w:val="2"/>
          <w:sz w:val="16"/>
          <w:szCs w:val="16"/>
        </w:rPr>
        <w:t xml:space="preserve">, калужский крестьянин Р. И. Сташков, </w:t>
      </w:r>
      <w:r w:rsidRPr="002F2FDF">
        <w:rPr>
          <w:color w:val="000000" w:themeColor="text1"/>
          <w:kern w:val="2"/>
          <w:sz w:val="16"/>
          <w:szCs w:val="16"/>
        </w:rPr>
        <w:lastRenderedPageBreak/>
        <w:t>рабочий П. А. Обухов, прапорщик флота К. Я. Зедин.</w:t>
      </w:r>
    </w:p>
    <w:p w14:paraId="3077FD3A" w14:textId="083F6A99" w:rsidR="00B37396" w:rsidRPr="002F2FDF" w:rsidRDefault="00B37396" w:rsidP="0083075A">
      <w:pPr>
        <w:pStyle w:val="ae"/>
        <w:spacing w:before="0" w:after="0"/>
        <w:jc w:val="both"/>
        <w:rPr>
          <w:color w:val="000000" w:themeColor="text1"/>
          <w:kern w:val="2"/>
          <w:sz w:val="16"/>
          <w:szCs w:val="16"/>
        </w:rPr>
      </w:pPr>
      <w:r w:rsidRPr="002F2FDF">
        <w:rPr>
          <w:color w:val="000000" w:themeColor="text1"/>
          <w:kern w:val="2"/>
          <w:sz w:val="16"/>
          <w:szCs w:val="16"/>
        </w:rPr>
        <w:t>Германская дипломатия тщательно прорабатывала все важные для Германии аспекты будущего договора, чего нельзя сказать о советском дипломатическом ведомстве. Большевистские руководители хотели лишь произвести «разведку боем». 5</w:t>
      </w:r>
      <w:r w:rsidR="00E52569">
        <w:rPr>
          <w:color w:val="000000" w:themeColor="text1"/>
          <w:kern w:val="2"/>
          <w:sz w:val="16"/>
          <w:szCs w:val="16"/>
        </w:rPr>
        <w:t xml:space="preserve"> </w:t>
      </w:r>
      <w:hyperlink r:id="rId740" w:tooltip="18 декабря" w:history="1">
        <w:r w:rsidRPr="002F2FDF">
          <w:rPr>
            <w:rStyle w:val="a5"/>
            <w:color w:val="000000" w:themeColor="text1"/>
            <w:kern w:val="2"/>
            <w:sz w:val="16"/>
            <w:szCs w:val="16"/>
            <w:u w:val="none"/>
          </w:rPr>
          <w:t>(18)</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декабря</w:t>
        </w:r>
      </w:hyperlink>
      <w:r w:rsidRPr="002F2FDF">
        <w:rPr>
          <w:color w:val="000000" w:themeColor="text1"/>
          <w:kern w:val="2"/>
          <w:sz w:val="16"/>
          <w:szCs w:val="16"/>
        </w:rPr>
        <w:t xml:space="preserve"> Троцкий сообщал главковерху Крыленко: «</w:t>
      </w:r>
      <w:r w:rsidRPr="002F2FDF">
        <w:rPr>
          <w:iCs/>
          <w:color w:val="000000" w:themeColor="text1"/>
          <w:kern w:val="2"/>
          <w:sz w:val="16"/>
          <w:szCs w:val="16"/>
        </w:rPr>
        <w:t>Ленин отстаивает следующий план: в течение первых двух-трёх дней переговоров как можно яснее и резче закрепить на бумаге аннексионистские притязания немецких империалистов и оборвать на этом переговоры на недельный срок и возобновить их либо на русской почве в Пскове, либо в бараке на нейтральной полосе между окопами. Я присоединяюсь к этому мнению. Незачем ездить в нейтральную страну</w:t>
      </w:r>
      <w:r w:rsidRPr="002F2FDF">
        <w:rPr>
          <w:color w:val="000000" w:themeColor="text1"/>
          <w:kern w:val="2"/>
          <w:sz w:val="16"/>
          <w:szCs w:val="16"/>
        </w:rPr>
        <w:t>». Подписание мирного договора на нейтральной территории предусматривалось договором о перемирии. Троцкий же просил главковерха передать делегатам в Брест, что «</w:t>
      </w:r>
      <w:r w:rsidRPr="002F2FDF">
        <w:rPr>
          <w:iCs/>
          <w:color w:val="000000" w:themeColor="text1"/>
          <w:kern w:val="2"/>
          <w:sz w:val="16"/>
          <w:szCs w:val="16"/>
        </w:rPr>
        <w:t>самое удобное было бы вовсе не переносить переговоры в Стокгольм. Это отдалило бы очень делегацию от здешней базы и крайне затруднило бы сношения, особенно ввиду политики финляндской буржуазии</w:t>
      </w:r>
      <w:r w:rsidRPr="002F2FDF">
        <w:rPr>
          <w:color w:val="000000" w:themeColor="text1"/>
          <w:kern w:val="2"/>
          <w:sz w:val="16"/>
          <w:szCs w:val="16"/>
        </w:rPr>
        <w:t>».</w:t>
      </w:r>
    </w:p>
    <w:p w14:paraId="063A5D6F" w14:textId="31CC3BFB" w:rsidR="00B37396" w:rsidRPr="002F2FDF" w:rsidRDefault="00B37396" w:rsidP="0083075A">
      <w:pPr>
        <w:pStyle w:val="ae"/>
        <w:spacing w:before="0" w:after="0"/>
        <w:jc w:val="both"/>
        <w:rPr>
          <w:color w:val="000000" w:themeColor="text1"/>
          <w:kern w:val="2"/>
          <w:sz w:val="16"/>
          <w:szCs w:val="16"/>
        </w:rPr>
      </w:pPr>
      <w:r w:rsidRPr="002F2FDF">
        <w:rPr>
          <w:color w:val="000000" w:themeColor="text1"/>
          <w:kern w:val="2"/>
          <w:sz w:val="16"/>
          <w:szCs w:val="16"/>
        </w:rPr>
        <w:t>Возобновление переговоров было омрачено трагедией в русской делегации. По прибытии в Брест 29</w:t>
      </w:r>
      <w:r w:rsidR="00E52569">
        <w:rPr>
          <w:color w:val="000000" w:themeColor="text1"/>
          <w:kern w:val="2"/>
          <w:sz w:val="16"/>
          <w:szCs w:val="16"/>
        </w:rPr>
        <w:t xml:space="preserve"> </w:t>
      </w:r>
      <w:r w:rsidRPr="002F2FDF">
        <w:rPr>
          <w:color w:val="000000" w:themeColor="text1"/>
          <w:kern w:val="2"/>
          <w:sz w:val="16"/>
          <w:szCs w:val="16"/>
        </w:rPr>
        <w:t>ноября (</w:t>
      </w:r>
      <w:hyperlink r:id="rId741" w:tooltip="12 декабря" w:history="1">
        <w:r w:rsidRPr="002F2FDF">
          <w:rPr>
            <w:rStyle w:val="a5"/>
            <w:color w:val="000000" w:themeColor="text1"/>
            <w:kern w:val="2"/>
            <w:sz w:val="16"/>
            <w:szCs w:val="16"/>
            <w:u w:val="none"/>
          </w:rPr>
          <w:t>12</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декабря</w:t>
        </w:r>
      </w:hyperlink>
      <w:r w:rsidRPr="002F2FDF">
        <w:rPr>
          <w:color w:val="000000" w:themeColor="text1"/>
          <w:kern w:val="2"/>
          <w:sz w:val="16"/>
          <w:szCs w:val="16"/>
        </w:rPr>
        <w:t>), до открытия конференции, во время частного совещания советской делегации застрелился представитель Ставки в группе военных консультантов генерал-майор В. Е. Скалон.</w:t>
      </w:r>
    </w:p>
    <w:p w14:paraId="081F2A1E" w14:textId="77777777" w:rsidR="00B37396" w:rsidRPr="002F2FDF" w:rsidRDefault="00B37396"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Исходя из общих принципов </w:t>
      </w:r>
      <w:hyperlink r:id="rId742" w:tooltip="Декрет о мире" w:history="1">
        <w:r w:rsidRPr="002F2FDF">
          <w:rPr>
            <w:rStyle w:val="a5"/>
            <w:color w:val="000000" w:themeColor="text1"/>
            <w:kern w:val="2"/>
            <w:sz w:val="16"/>
            <w:szCs w:val="16"/>
            <w:u w:val="none"/>
          </w:rPr>
          <w:t>Декрета о мире</w:t>
        </w:r>
      </w:hyperlink>
      <w:r w:rsidRPr="002F2FDF">
        <w:rPr>
          <w:color w:val="000000" w:themeColor="text1"/>
          <w:kern w:val="2"/>
          <w:sz w:val="16"/>
          <w:szCs w:val="16"/>
        </w:rPr>
        <w:t>, советская делегация уже на одном из первых заседаний предложила принять за основу переговоров следующую программу:</w:t>
      </w:r>
    </w:p>
    <w:p w14:paraId="2E9F7C9E" w14:textId="77777777" w:rsidR="00B37396" w:rsidRPr="002F2FDF" w:rsidRDefault="00B3739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Не допускаются никакие насильственные присоединения захваченных во время войны территорий; войска, оккупирующие эти территории, выводятся в кратчайший срок.</w:t>
      </w:r>
    </w:p>
    <w:p w14:paraId="377C8A52" w14:textId="77777777" w:rsidR="00B37396" w:rsidRPr="002F2FDF" w:rsidRDefault="00B3739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Восстанавливается полная политическая самостоятельность народов, которые были этой самостоятельности лишены в ходе войны.</w:t>
      </w:r>
    </w:p>
    <w:p w14:paraId="3FD34C39" w14:textId="77777777" w:rsidR="00B37396" w:rsidRPr="002F2FDF" w:rsidRDefault="00B3739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Национальным группам, не имевшим политической самостоятельности до войны, гарантируется возможность свободно решить вопрос о принадлежности к какому-либо государству или о своей государственной самостоятельности путём свободного референдума.</w:t>
      </w:r>
    </w:p>
    <w:p w14:paraId="281FF7C8" w14:textId="77777777" w:rsidR="00B37396" w:rsidRPr="002F2FDF" w:rsidRDefault="00B3739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 Обеспечивается культурно-национальная и, при наличии определённых условий, административная </w:t>
      </w:r>
      <w:hyperlink r:id="rId743" w:tooltip="Автономия" w:history="1">
        <w:r w:rsidRPr="002F2FDF">
          <w:rPr>
            <w:rStyle w:val="a5"/>
            <w:rFonts w:ascii="Times New Roman" w:hAnsi="Times New Roman" w:cs="Times New Roman"/>
            <w:color w:val="000000" w:themeColor="text1"/>
            <w:kern w:val="2"/>
            <w:sz w:val="16"/>
            <w:szCs w:val="16"/>
            <w:u w:val="none"/>
          </w:rPr>
          <w:t>автономия</w:t>
        </w:r>
      </w:hyperlink>
      <w:r w:rsidRPr="002F2FDF">
        <w:rPr>
          <w:rFonts w:ascii="Times New Roman" w:hAnsi="Times New Roman" w:cs="Times New Roman"/>
          <w:color w:val="000000" w:themeColor="text1"/>
          <w:kern w:val="2"/>
          <w:sz w:val="16"/>
          <w:szCs w:val="16"/>
        </w:rPr>
        <w:t xml:space="preserve"> национальных меньшинств.</w:t>
      </w:r>
    </w:p>
    <w:p w14:paraId="6D717BA9" w14:textId="77777777" w:rsidR="00B37396" w:rsidRPr="002F2FDF" w:rsidRDefault="00B3739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5. Отказ от </w:t>
      </w:r>
      <w:hyperlink r:id="rId744" w:tooltip="Контрибуция" w:history="1">
        <w:r w:rsidRPr="002F2FDF">
          <w:rPr>
            <w:rStyle w:val="a5"/>
            <w:rFonts w:ascii="Times New Roman" w:hAnsi="Times New Roman" w:cs="Times New Roman"/>
            <w:color w:val="000000" w:themeColor="text1"/>
            <w:kern w:val="2"/>
            <w:sz w:val="16"/>
            <w:szCs w:val="16"/>
            <w:u w:val="none"/>
          </w:rPr>
          <w:t>контрибуций</w:t>
        </w:r>
      </w:hyperlink>
      <w:r w:rsidRPr="002F2FDF">
        <w:rPr>
          <w:rFonts w:ascii="Times New Roman" w:hAnsi="Times New Roman" w:cs="Times New Roman"/>
          <w:color w:val="000000" w:themeColor="text1"/>
          <w:kern w:val="2"/>
          <w:sz w:val="16"/>
          <w:szCs w:val="16"/>
        </w:rPr>
        <w:t>.</w:t>
      </w:r>
    </w:p>
    <w:p w14:paraId="35A1F197" w14:textId="77777777" w:rsidR="00B37396" w:rsidRPr="002F2FDF" w:rsidRDefault="00B3739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Решение колониальных вопросов на основе вышеизложенных принципов.</w:t>
      </w:r>
    </w:p>
    <w:p w14:paraId="20BDF69D" w14:textId="77777777" w:rsidR="00B37396" w:rsidRPr="002F2FDF" w:rsidRDefault="00B37396"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Недопущение косвенных стеснений свободы более слабых наций со стороны наций более сильных.</w:t>
      </w:r>
    </w:p>
    <w:p w14:paraId="32AAA6D3" w14:textId="121615B7" w:rsidR="00B37396" w:rsidRPr="002F2FDF" w:rsidRDefault="00B37396" w:rsidP="0083075A">
      <w:pPr>
        <w:pStyle w:val="ae"/>
        <w:spacing w:before="0" w:after="0"/>
        <w:jc w:val="both"/>
        <w:rPr>
          <w:color w:val="000000" w:themeColor="text1"/>
          <w:kern w:val="2"/>
          <w:sz w:val="16"/>
          <w:szCs w:val="16"/>
        </w:rPr>
      </w:pPr>
      <w:r w:rsidRPr="002F2FDF">
        <w:rPr>
          <w:color w:val="000000" w:themeColor="text1"/>
          <w:kern w:val="2"/>
          <w:sz w:val="16"/>
          <w:szCs w:val="16"/>
        </w:rPr>
        <w:t>После трёхдневного обсуждения странами германского блока советских предложений вечером 12</w:t>
      </w:r>
      <w:r w:rsidR="00E52569">
        <w:rPr>
          <w:color w:val="000000" w:themeColor="text1"/>
          <w:kern w:val="2"/>
          <w:sz w:val="16"/>
          <w:szCs w:val="16"/>
        </w:rPr>
        <w:t xml:space="preserve"> </w:t>
      </w:r>
      <w:hyperlink r:id="rId745" w:tooltip="25 декабря" w:history="1">
        <w:r w:rsidRPr="002F2FDF">
          <w:rPr>
            <w:rStyle w:val="a5"/>
            <w:color w:val="000000" w:themeColor="text1"/>
            <w:kern w:val="2"/>
            <w:sz w:val="16"/>
            <w:szCs w:val="16"/>
            <w:u w:val="none"/>
          </w:rPr>
          <w:t>(25)</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декабря</w:t>
        </w:r>
      </w:hyperlink>
      <w:r w:rsidR="00E52569">
        <w:rPr>
          <w:color w:val="000000" w:themeColor="text1"/>
          <w:kern w:val="2"/>
          <w:sz w:val="16"/>
          <w:szCs w:val="16"/>
        </w:rPr>
        <w:t xml:space="preserve"> </w:t>
      </w:r>
      <w:hyperlink r:id="rId746" w:tooltip="1917 год" w:history="1">
        <w:r w:rsidRPr="002F2FDF">
          <w:rPr>
            <w:rStyle w:val="a5"/>
            <w:color w:val="000000" w:themeColor="text1"/>
            <w:kern w:val="2"/>
            <w:sz w:val="16"/>
            <w:szCs w:val="16"/>
            <w:u w:val="none"/>
          </w:rPr>
          <w:t>1917</w:t>
        </w:r>
      </w:hyperlink>
      <w:r w:rsidRPr="002F2FDF">
        <w:rPr>
          <w:color w:val="000000" w:themeColor="text1"/>
          <w:kern w:val="2"/>
          <w:sz w:val="16"/>
          <w:szCs w:val="16"/>
        </w:rPr>
        <w:t xml:space="preserve"> Р. фон Кюльман сделал заявление о том, что Германия и её союзники принимают эти предложения. При этом была сделана оговорка, сводившая на нет согласие Германии на мир без </w:t>
      </w:r>
      <w:hyperlink r:id="rId747" w:tooltip="Аннексия" w:history="1">
        <w:r w:rsidRPr="002F2FDF">
          <w:rPr>
            <w:rStyle w:val="a5"/>
            <w:color w:val="000000" w:themeColor="text1"/>
            <w:kern w:val="2"/>
            <w:sz w:val="16"/>
            <w:szCs w:val="16"/>
            <w:u w:val="none"/>
          </w:rPr>
          <w:t>аннексий</w:t>
        </w:r>
      </w:hyperlink>
      <w:r w:rsidRPr="002F2FDF">
        <w:rPr>
          <w:color w:val="000000" w:themeColor="text1"/>
          <w:kern w:val="2"/>
          <w:sz w:val="16"/>
          <w:szCs w:val="16"/>
        </w:rPr>
        <w:t xml:space="preserve"> и контрибуций: «</w:t>
      </w:r>
      <w:r w:rsidRPr="002F2FDF">
        <w:rPr>
          <w:iCs/>
          <w:color w:val="000000" w:themeColor="text1"/>
          <w:kern w:val="2"/>
          <w:sz w:val="16"/>
          <w:szCs w:val="16"/>
        </w:rPr>
        <w:t>Необходимо, однако, с полной ясностью указать на то, что предложения русской делегации могли бы быть осуществлены лишь в том случае, если бы все причастные к войне державы, без исключения и без оговорок, в определённый срок, обязались точнейшим образом соблюдать общие для всех народов условия</w:t>
      </w:r>
      <w:r w:rsidRPr="002F2FDF">
        <w:rPr>
          <w:color w:val="000000" w:themeColor="text1"/>
          <w:kern w:val="2"/>
          <w:sz w:val="16"/>
          <w:szCs w:val="16"/>
        </w:rPr>
        <w:t>».</w:t>
      </w:r>
    </w:p>
    <w:p w14:paraId="57CEB28F" w14:textId="77777777" w:rsidR="00B37396" w:rsidRPr="002F2FDF" w:rsidRDefault="00B37396"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Констатировав присоединение германского блока к советской формуле мира «без аннексий и контрибуций», советская делегация предложила объявить десятидневный перерыв, в ходе которого можно было бы попытаться привести страны </w:t>
      </w:r>
      <w:hyperlink r:id="rId748" w:tooltip="Антанта" w:history="1">
        <w:r w:rsidRPr="002F2FDF">
          <w:rPr>
            <w:rStyle w:val="a5"/>
            <w:color w:val="000000" w:themeColor="text1"/>
            <w:kern w:val="2"/>
            <w:sz w:val="16"/>
            <w:szCs w:val="16"/>
            <w:u w:val="none"/>
          </w:rPr>
          <w:t>Антанты</w:t>
        </w:r>
      </w:hyperlink>
      <w:r w:rsidRPr="002F2FDF">
        <w:rPr>
          <w:color w:val="000000" w:themeColor="text1"/>
          <w:kern w:val="2"/>
          <w:sz w:val="16"/>
          <w:szCs w:val="16"/>
        </w:rPr>
        <w:t xml:space="preserve"> за стол переговоров.</w:t>
      </w:r>
    </w:p>
    <w:p w14:paraId="2FA503D9" w14:textId="77777777" w:rsidR="00B37396" w:rsidRPr="002F2FDF" w:rsidRDefault="00B37396" w:rsidP="0083075A">
      <w:pPr>
        <w:pStyle w:val="ae"/>
        <w:spacing w:before="0" w:after="0"/>
        <w:jc w:val="both"/>
        <w:rPr>
          <w:color w:val="000000" w:themeColor="text1"/>
          <w:kern w:val="2"/>
          <w:sz w:val="16"/>
          <w:szCs w:val="16"/>
        </w:rPr>
      </w:pPr>
      <w:r w:rsidRPr="002F2FDF">
        <w:rPr>
          <w:color w:val="000000" w:themeColor="text1"/>
          <w:kern w:val="2"/>
          <w:sz w:val="16"/>
          <w:szCs w:val="16"/>
        </w:rPr>
        <w:t>Во время перерыва, однако, на заседаниях политической комиссии выявилось, что Германия понимает мир без аннексий иначе, чем советская делегация, — для Германии речь совсем не идёт об отводе войск к границам 1914 года и выводе германских войск с оккупированных территорий бывшей Российской империи, тем более что, согласно заявлению Германии, Польша, Литва и Курляндия уже высказались за отделение от России, так что если эти три страны теперь вступят в переговоры с Германией о своей дальнейшей судьбе, то это отнюдь не будет считаться аннексией со стороны Германии (17035).</w:t>
      </w:r>
    </w:p>
    <w:p w14:paraId="689164E3" w14:textId="77777777" w:rsidR="00B37396" w:rsidRPr="002F2FDF" w:rsidRDefault="00B3739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D83620" w14:textId="0E6C0C96" w:rsidR="00B9099D" w:rsidRPr="002F2FDF" w:rsidRDefault="00B9099D" w:rsidP="0083075A">
      <w:pPr>
        <w:pStyle w:val="ae"/>
        <w:spacing w:before="0" w:after="0"/>
        <w:jc w:val="both"/>
        <w:rPr>
          <w:color w:val="000000" w:themeColor="text1"/>
          <w:kern w:val="2"/>
          <w:sz w:val="16"/>
          <w:szCs w:val="16"/>
        </w:rPr>
      </w:pPr>
      <w:r w:rsidRPr="002F2FDF">
        <w:rPr>
          <w:color w:val="000000" w:themeColor="text1"/>
          <w:kern w:val="2"/>
          <w:sz w:val="16"/>
          <w:szCs w:val="16"/>
        </w:rPr>
        <w:t>9 (22) декабря 1917 в Брест-Литовске (ныне Брест на западе Белоруссии — РП) в рамках уже достигнутого ранее соглашения о перемирии на Восточном фронте начались переговоры между Германией, Турцией, Болгарией и Австро-Венгрией с одной стороны, и Советской Россией — с другой, по вопросу подписания собственно мирного договора. Делегации возглавляли: от Германии</w:t>
      </w:r>
      <w:r w:rsidR="00E52569">
        <w:rPr>
          <w:color w:val="000000" w:themeColor="text1"/>
          <w:kern w:val="2"/>
          <w:sz w:val="16"/>
          <w:szCs w:val="16"/>
        </w:rPr>
        <w:t xml:space="preserve"> </w:t>
      </w:r>
      <w:r w:rsidRPr="002F2FDF">
        <w:rPr>
          <w:color w:val="000000" w:themeColor="text1"/>
          <w:kern w:val="2"/>
          <w:sz w:val="16"/>
          <w:szCs w:val="16"/>
        </w:rPr>
        <w:t>— статс-секретарь МИДа Рихард фон Кюльман, от Австро-Венгрии</w:t>
      </w:r>
      <w:r w:rsidR="00E52569">
        <w:rPr>
          <w:color w:val="000000" w:themeColor="text1"/>
          <w:kern w:val="2"/>
          <w:sz w:val="16"/>
          <w:szCs w:val="16"/>
        </w:rPr>
        <w:t xml:space="preserve"> </w:t>
      </w:r>
      <w:r w:rsidRPr="002F2FDF">
        <w:rPr>
          <w:color w:val="000000" w:themeColor="text1"/>
          <w:kern w:val="2"/>
          <w:sz w:val="16"/>
          <w:szCs w:val="16"/>
        </w:rPr>
        <w:t>— министр иностранных дел Оттокар Чернин, от Болгарии</w:t>
      </w:r>
      <w:r w:rsidR="00E52569">
        <w:rPr>
          <w:color w:val="000000" w:themeColor="text1"/>
          <w:kern w:val="2"/>
          <w:sz w:val="16"/>
          <w:szCs w:val="16"/>
        </w:rPr>
        <w:t xml:space="preserve"> </w:t>
      </w:r>
      <w:r w:rsidRPr="002F2FDF">
        <w:rPr>
          <w:color w:val="000000" w:themeColor="text1"/>
          <w:kern w:val="2"/>
          <w:sz w:val="16"/>
          <w:szCs w:val="16"/>
        </w:rPr>
        <w:t>— министр юстиции Христо Попов, от Османской империи — председатель меджлиса Мехмед Талаат-бей, от Советской России — Адольф Иоффе. В составе советской делегации были такие экзотические для европейских дипломатов персонажи, как матрос Олич, солдат Беляков, калужский крестьянин Сташков, рабочий Обухов.</w:t>
      </w:r>
    </w:p>
    <w:p w14:paraId="7DA14569" w14:textId="25F26564" w:rsidR="00B9099D" w:rsidRPr="002F2FDF" w:rsidRDefault="00B9099D" w:rsidP="0083075A">
      <w:pPr>
        <w:pStyle w:val="ae"/>
        <w:spacing w:before="0" w:after="0"/>
        <w:jc w:val="both"/>
        <w:rPr>
          <w:color w:val="000000" w:themeColor="text1"/>
          <w:kern w:val="2"/>
          <w:sz w:val="16"/>
          <w:szCs w:val="16"/>
        </w:rPr>
      </w:pPr>
      <w:r w:rsidRPr="002F2FDF">
        <w:rPr>
          <w:color w:val="000000" w:themeColor="text1"/>
          <w:kern w:val="2"/>
          <w:sz w:val="16"/>
          <w:szCs w:val="16"/>
        </w:rPr>
        <w:t>Начальник штаба командующего Восточным фронтом германской армии</w:t>
      </w:r>
      <w:r w:rsidR="00E52569">
        <w:rPr>
          <w:color w:val="000000" w:themeColor="text1"/>
          <w:kern w:val="2"/>
          <w:sz w:val="16"/>
          <w:szCs w:val="16"/>
        </w:rPr>
        <w:t xml:space="preserve"> </w:t>
      </w:r>
      <w:r w:rsidRPr="002F2FDF">
        <w:rPr>
          <w:color w:val="000000" w:themeColor="text1"/>
          <w:kern w:val="2"/>
          <w:sz w:val="16"/>
          <w:szCs w:val="16"/>
        </w:rPr>
        <w:t>генерал Макс Гофман позже так вспоминал свое общение с членами советской делегации: «Я никогда не забуду первого обеда с русскими. Я сидел между Иоффе и Сокольниковым, тогдашним комиссаром финансов. Напротив меня сидел рабочий, которому, по-видимому, множество приборов и посуды доставляло большое неудобство. Он хватался то за одно, то за другое, но вилку использовал исключительно для чистки своих зубов. Наискосок от меня рядом с князем Хоенлое сидела террористка Биценко (член партии эсеров — РП), с другой стороны от нее</w:t>
      </w:r>
      <w:r w:rsidR="00E52569">
        <w:rPr>
          <w:color w:val="000000" w:themeColor="text1"/>
          <w:kern w:val="2"/>
          <w:sz w:val="16"/>
          <w:szCs w:val="16"/>
        </w:rPr>
        <w:t xml:space="preserve"> </w:t>
      </w:r>
      <w:r w:rsidRPr="002F2FDF">
        <w:rPr>
          <w:color w:val="000000" w:themeColor="text1"/>
          <w:kern w:val="2"/>
          <w:sz w:val="16"/>
          <w:szCs w:val="16"/>
        </w:rPr>
        <w:t>— крестьянин, настоящее русское явление с длинными седыми локонами и заросшей, как лес, бородой. Он вызывал у персонала некую улыбку, когда на вопрос, красное или белое вино предпочитает он к обеду, отвечал: «Более крепкое».</w:t>
      </w:r>
    </w:p>
    <w:p w14:paraId="2EF0BA8B" w14:textId="77777777" w:rsidR="00B9099D" w:rsidRPr="002F2FDF" w:rsidRDefault="00B9099D" w:rsidP="0083075A">
      <w:pPr>
        <w:pStyle w:val="ae"/>
        <w:spacing w:before="0" w:after="0"/>
        <w:jc w:val="both"/>
        <w:rPr>
          <w:color w:val="000000" w:themeColor="text1"/>
          <w:kern w:val="2"/>
          <w:sz w:val="16"/>
          <w:szCs w:val="16"/>
        </w:rPr>
      </w:pPr>
      <w:r w:rsidRPr="002F2FDF">
        <w:rPr>
          <w:color w:val="000000" w:themeColor="text1"/>
          <w:kern w:val="2"/>
          <w:sz w:val="16"/>
          <w:szCs w:val="16"/>
        </w:rPr>
        <w:t>Исходя из положений ленинского «Декрета о мире», советская делегация предложила принять за основу переговоров следующую программу:</w:t>
      </w:r>
    </w:p>
    <w:p w14:paraId="64312176" w14:textId="77777777" w:rsidR="00B9099D" w:rsidRPr="002F2FDF" w:rsidRDefault="00B9099D" w:rsidP="0083075A">
      <w:pPr>
        <w:pStyle w:val="ae"/>
        <w:spacing w:before="0" w:after="0"/>
        <w:jc w:val="both"/>
        <w:rPr>
          <w:color w:val="000000" w:themeColor="text1"/>
          <w:kern w:val="2"/>
          <w:sz w:val="16"/>
          <w:szCs w:val="16"/>
        </w:rPr>
      </w:pPr>
      <w:r w:rsidRPr="002F2FDF">
        <w:rPr>
          <w:color w:val="000000" w:themeColor="text1"/>
          <w:kern w:val="2"/>
          <w:sz w:val="16"/>
          <w:szCs w:val="16"/>
        </w:rPr>
        <w:t>1. Не допускаются насильственные присоединения захваченных во время войны территорий; войска, оккупирующие эти территории, выводятся в кратчайший срок.</w:t>
      </w:r>
    </w:p>
    <w:p w14:paraId="4BDDAA32" w14:textId="77777777" w:rsidR="00B9099D" w:rsidRPr="002F2FDF" w:rsidRDefault="00B9099D" w:rsidP="0083075A">
      <w:pPr>
        <w:pStyle w:val="ae"/>
        <w:spacing w:before="0" w:after="0"/>
        <w:jc w:val="both"/>
        <w:rPr>
          <w:color w:val="000000" w:themeColor="text1"/>
          <w:kern w:val="2"/>
          <w:sz w:val="16"/>
          <w:szCs w:val="16"/>
        </w:rPr>
      </w:pPr>
      <w:r w:rsidRPr="002F2FDF">
        <w:rPr>
          <w:color w:val="000000" w:themeColor="text1"/>
          <w:kern w:val="2"/>
          <w:sz w:val="16"/>
          <w:szCs w:val="16"/>
        </w:rPr>
        <w:t>2. Восстанавливается политическая самостоятельность народов, которые были этой самостоятельности лишены в ходе войны.</w:t>
      </w:r>
    </w:p>
    <w:p w14:paraId="11D72372" w14:textId="77777777" w:rsidR="00B9099D" w:rsidRPr="002F2FDF" w:rsidRDefault="00B9099D" w:rsidP="0083075A">
      <w:pPr>
        <w:pStyle w:val="ae"/>
        <w:spacing w:before="0" w:after="0"/>
        <w:jc w:val="both"/>
        <w:rPr>
          <w:color w:val="000000" w:themeColor="text1"/>
          <w:kern w:val="2"/>
          <w:sz w:val="16"/>
          <w:szCs w:val="16"/>
        </w:rPr>
      </w:pPr>
      <w:r w:rsidRPr="002F2FDF">
        <w:rPr>
          <w:color w:val="000000" w:themeColor="text1"/>
          <w:kern w:val="2"/>
          <w:sz w:val="16"/>
          <w:szCs w:val="16"/>
        </w:rPr>
        <w:t>3. Национальным группам, не имевшим политической самостоятельности до войны, гарантируется возможность свободно решить вопрос о принадлежности к какому-либо государству или о своей государственной самостоятельности путем свободного референдума, обеспечивается культурно-национальная и, при наличии определенных условий, административная автономия национальных меньшинств.</w:t>
      </w:r>
    </w:p>
    <w:p w14:paraId="057799BE" w14:textId="77777777" w:rsidR="00B9099D" w:rsidRPr="002F2FDF" w:rsidRDefault="00B9099D" w:rsidP="0083075A">
      <w:pPr>
        <w:pStyle w:val="ae"/>
        <w:spacing w:before="0" w:after="0"/>
        <w:jc w:val="both"/>
        <w:rPr>
          <w:color w:val="000000" w:themeColor="text1"/>
          <w:kern w:val="2"/>
          <w:sz w:val="16"/>
          <w:szCs w:val="16"/>
        </w:rPr>
      </w:pPr>
      <w:r w:rsidRPr="002F2FDF">
        <w:rPr>
          <w:color w:val="000000" w:themeColor="text1"/>
          <w:kern w:val="2"/>
          <w:sz w:val="16"/>
          <w:szCs w:val="16"/>
        </w:rPr>
        <w:t>4. Отказ от контрибуций.</w:t>
      </w:r>
    </w:p>
    <w:p w14:paraId="5851D2E2" w14:textId="77777777" w:rsidR="00B9099D" w:rsidRPr="002F2FDF" w:rsidRDefault="00B9099D" w:rsidP="0083075A">
      <w:pPr>
        <w:pStyle w:val="ae"/>
        <w:spacing w:before="0" w:after="0"/>
        <w:jc w:val="both"/>
        <w:rPr>
          <w:color w:val="000000" w:themeColor="text1"/>
          <w:kern w:val="2"/>
          <w:sz w:val="16"/>
          <w:szCs w:val="16"/>
        </w:rPr>
      </w:pPr>
      <w:r w:rsidRPr="002F2FDF">
        <w:rPr>
          <w:color w:val="000000" w:themeColor="text1"/>
          <w:kern w:val="2"/>
          <w:sz w:val="16"/>
          <w:szCs w:val="16"/>
        </w:rPr>
        <w:t>5. Решение колониальных вопросов на основе вышеизложенных принципов.</w:t>
      </w:r>
    </w:p>
    <w:p w14:paraId="5613FF2B" w14:textId="77777777" w:rsidR="00B9099D" w:rsidRPr="002F2FDF" w:rsidRDefault="00B9099D" w:rsidP="0083075A">
      <w:pPr>
        <w:pStyle w:val="ae"/>
        <w:spacing w:before="0" w:after="0"/>
        <w:jc w:val="both"/>
        <w:rPr>
          <w:color w:val="000000" w:themeColor="text1"/>
          <w:kern w:val="2"/>
          <w:sz w:val="16"/>
          <w:szCs w:val="16"/>
        </w:rPr>
      </w:pPr>
      <w:r w:rsidRPr="002F2FDF">
        <w:rPr>
          <w:color w:val="000000" w:themeColor="text1"/>
          <w:kern w:val="2"/>
          <w:sz w:val="16"/>
          <w:szCs w:val="16"/>
        </w:rPr>
        <w:t>6. Недопущение косвенных стеснений свободы более слабых наций со стороны наций более сильных.</w:t>
      </w:r>
    </w:p>
    <w:p w14:paraId="5830F102" w14:textId="2E3E4C2B" w:rsidR="00B9099D" w:rsidRPr="002F2FDF" w:rsidRDefault="00B9099D" w:rsidP="0083075A">
      <w:pPr>
        <w:pStyle w:val="ae"/>
        <w:spacing w:before="0" w:after="0"/>
        <w:jc w:val="both"/>
        <w:rPr>
          <w:color w:val="000000" w:themeColor="text1"/>
          <w:kern w:val="2"/>
          <w:sz w:val="16"/>
          <w:szCs w:val="16"/>
        </w:rPr>
      </w:pPr>
      <w:r w:rsidRPr="002F2FDF">
        <w:rPr>
          <w:color w:val="000000" w:themeColor="text1"/>
          <w:kern w:val="2"/>
          <w:sz w:val="16"/>
          <w:szCs w:val="16"/>
        </w:rPr>
        <w:t>Немцы на словах согласились с этими пунктами, но с оговоркой, которая фактически сводила их на нет: если на такие условия пойдут и другие воюющие державы. Но так как страны Антанты отказались от мирных переговоров, это означало только одну возможность мира — и с аннексиями, и с контрибуциями за счет более слабого (то есть</w:t>
      </w:r>
      <w:r w:rsidR="00E52569">
        <w:rPr>
          <w:color w:val="000000" w:themeColor="text1"/>
          <w:kern w:val="2"/>
          <w:sz w:val="16"/>
          <w:szCs w:val="16"/>
        </w:rPr>
        <w:t xml:space="preserve"> </w:t>
      </w:r>
      <w:r w:rsidRPr="002F2FDF">
        <w:rPr>
          <w:color w:val="000000" w:themeColor="text1"/>
          <w:kern w:val="2"/>
          <w:sz w:val="16"/>
          <w:szCs w:val="16"/>
        </w:rPr>
        <w:t>России). Также немцы обратили внимание большевиков на тот факт, что народы Польши, Литвы и Курляндии уже высказались за отделение от России. В соответствии с установками самой советской делегации получалось, что, если эти страны теперь вступят в переговоры с Германией о своей дальнейшей судьбе, то это не будет считаться аннексией (17045).</w:t>
      </w:r>
    </w:p>
    <w:p w14:paraId="689AB224" w14:textId="77777777" w:rsidR="00B9099D" w:rsidRPr="002F2FDF" w:rsidRDefault="00B9099D"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B0F5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декабря 1917 официально прекратили боевые действия с Германией. за время войны сухопутные авиачасти сделали более 53244 боевых вылетов прод. 85587 час., в т.ч. 24587 вылета и 41796 час. в 1917. Произвели 1200 воздушных боя и сбили 182 германских и 2 турецких самолета, не считая сбитых над вражеской территорией и не учтенных из-за отсутствия свидетельских показаний. Уничтожили и 4 змейковых аэростата. Сбросили несколько тысяч пудов бомб. Потеряли: а) убито в воздушных боях и при выполнении боевых вылетов - 78 л (55 офицеров) и 57 л-н; б) попало в плен или без вести - 70 л (42 о), 43 л-н и 11 солдат - л-н; в) разбилось на аэродромах - 69 (43) и 20 л-н. всего потеряли 217 л и 120 л-н. (438,376).</w:t>
      </w:r>
    </w:p>
    <w:p w14:paraId="4CD2BA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1917 построили 1900 самолетов, в т.ч. 34 образца отечественных конструкций, а всего за время войны - 5700, из них на РБВЗ - 240, З Щетинина - 1360, Дукс - 1783, Слюсаренко - 138, Лебедева - 700, Моска - 140, Анатра - 1056. От союзников получили 1800, из которых половина - в 1917. 800 остались в Архангельске (438,377).</w:t>
      </w:r>
    </w:p>
    <w:p w14:paraId="4B5511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фронте было (92,260):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B1C74" w:rsidRPr="002F2FDF" w14:paraId="489F1E79" w14:textId="77777777">
        <w:tc>
          <w:tcPr>
            <w:tcW w:w="5636" w:type="dxa"/>
          </w:tcPr>
          <w:p w14:paraId="199043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Ньюпоры всех типов от X до XXIV</w:t>
            </w:r>
          </w:p>
        </w:tc>
        <w:tc>
          <w:tcPr>
            <w:tcW w:w="5636" w:type="dxa"/>
          </w:tcPr>
          <w:p w14:paraId="4E69B7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307</w:t>
            </w:r>
          </w:p>
        </w:tc>
      </w:tr>
      <w:tr w:rsidR="002B1C74" w:rsidRPr="002F2FDF" w14:paraId="1FF0ED72" w14:textId="77777777">
        <w:tc>
          <w:tcPr>
            <w:tcW w:w="5636" w:type="dxa"/>
          </w:tcPr>
          <w:p w14:paraId="1B60D1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Фарманы всех типов от XVI до XXX или МФ-12</w:t>
            </w:r>
          </w:p>
        </w:tc>
        <w:tc>
          <w:tcPr>
            <w:tcW w:w="5636" w:type="dxa"/>
          </w:tcPr>
          <w:p w14:paraId="6C5BFC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91</w:t>
            </w:r>
          </w:p>
        </w:tc>
      </w:tr>
      <w:tr w:rsidR="002B1C74" w:rsidRPr="002F2FDF" w14:paraId="09514AEE" w14:textId="77777777">
        <w:tc>
          <w:tcPr>
            <w:tcW w:w="5636" w:type="dxa"/>
          </w:tcPr>
          <w:p w14:paraId="78D1F9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Вуазены типов L, LA, LAS, LBS и др.</w:t>
            </w:r>
          </w:p>
        </w:tc>
        <w:tc>
          <w:tcPr>
            <w:tcW w:w="5636" w:type="dxa"/>
          </w:tcPr>
          <w:p w14:paraId="2A5491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r>
      <w:tr w:rsidR="002B1C74" w:rsidRPr="002F2FDF" w14:paraId="09BFB04D" w14:textId="77777777">
        <w:tc>
          <w:tcPr>
            <w:tcW w:w="5636" w:type="dxa"/>
          </w:tcPr>
          <w:p w14:paraId="0EB444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Мораны Ж и Парасоль</w:t>
            </w:r>
          </w:p>
        </w:tc>
        <w:tc>
          <w:tcPr>
            <w:tcW w:w="5636" w:type="dxa"/>
          </w:tcPr>
          <w:p w14:paraId="34A3C4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w:t>
            </w:r>
          </w:p>
        </w:tc>
      </w:tr>
      <w:tr w:rsidR="002B1C74" w:rsidRPr="002F2FDF" w14:paraId="4C47C60C" w14:textId="77777777">
        <w:tc>
          <w:tcPr>
            <w:tcW w:w="5636" w:type="dxa"/>
          </w:tcPr>
          <w:p w14:paraId="19DB36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Спады типов VII, XIII и с кабиной</w:t>
            </w:r>
          </w:p>
        </w:tc>
        <w:tc>
          <w:tcPr>
            <w:tcW w:w="5636" w:type="dxa"/>
          </w:tcPr>
          <w:p w14:paraId="09C456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w:t>
            </w:r>
          </w:p>
        </w:tc>
      </w:tr>
      <w:tr w:rsidR="002B1C74" w:rsidRPr="002F2FDF" w14:paraId="49BED951" w14:textId="77777777">
        <w:tc>
          <w:tcPr>
            <w:tcW w:w="5636" w:type="dxa"/>
          </w:tcPr>
          <w:p w14:paraId="78858F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Кодронов</w:t>
            </w:r>
          </w:p>
        </w:tc>
        <w:tc>
          <w:tcPr>
            <w:tcW w:w="5636" w:type="dxa"/>
          </w:tcPr>
          <w:p w14:paraId="36D2A2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r>
      <w:tr w:rsidR="002B1C74" w:rsidRPr="002F2FDF" w14:paraId="480E69B1" w14:textId="77777777">
        <w:tc>
          <w:tcPr>
            <w:tcW w:w="5636" w:type="dxa"/>
          </w:tcPr>
          <w:p w14:paraId="39A3DA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Сопвичей (разведчиков и трипланов)</w:t>
            </w:r>
          </w:p>
        </w:tc>
        <w:tc>
          <w:tcPr>
            <w:tcW w:w="5636" w:type="dxa"/>
          </w:tcPr>
          <w:p w14:paraId="5E10DD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w:t>
            </w:r>
          </w:p>
        </w:tc>
      </w:tr>
      <w:tr w:rsidR="002B1C74" w:rsidRPr="002F2FDF" w14:paraId="3C979C59" w14:textId="77777777">
        <w:tc>
          <w:tcPr>
            <w:tcW w:w="5636" w:type="dxa"/>
          </w:tcPr>
          <w:p w14:paraId="6BF97E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Русских конструкций</w:t>
            </w:r>
          </w:p>
        </w:tc>
        <w:tc>
          <w:tcPr>
            <w:tcW w:w="5636" w:type="dxa"/>
          </w:tcPr>
          <w:p w14:paraId="5D6D13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w:t>
            </w:r>
          </w:p>
        </w:tc>
      </w:tr>
      <w:tr w:rsidR="002B1C74" w:rsidRPr="002F2FDF" w14:paraId="35733C59" w14:textId="77777777">
        <w:tc>
          <w:tcPr>
            <w:tcW w:w="5636" w:type="dxa"/>
          </w:tcPr>
          <w:p w14:paraId="1F55E2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Трофейных</w:t>
            </w:r>
          </w:p>
        </w:tc>
        <w:tc>
          <w:tcPr>
            <w:tcW w:w="5636" w:type="dxa"/>
          </w:tcPr>
          <w:p w14:paraId="3CDAEA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r>
      <w:tr w:rsidR="002B1C74" w:rsidRPr="002F2FDF" w14:paraId="3898CAF9" w14:textId="77777777">
        <w:tc>
          <w:tcPr>
            <w:tcW w:w="5636" w:type="dxa"/>
          </w:tcPr>
          <w:p w14:paraId="20DEE9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Прочих</w:t>
            </w:r>
          </w:p>
        </w:tc>
        <w:tc>
          <w:tcPr>
            <w:tcW w:w="5636" w:type="dxa"/>
          </w:tcPr>
          <w:p w14:paraId="22A896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r>
      <w:tr w:rsidR="002B1C74" w:rsidRPr="002F2FDF" w14:paraId="5A39DD51" w14:textId="77777777">
        <w:tc>
          <w:tcPr>
            <w:tcW w:w="5636" w:type="dxa"/>
          </w:tcPr>
          <w:p w14:paraId="58AF95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5636" w:type="dxa"/>
          </w:tcPr>
          <w:p w14:paraId="6301E1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579 и исправных 428, а всего всех 1109 (92,260)</w:t>
            </w:r>
          </w:p>
        </w:tc>
      </w:tr>
    </w:tbl>
    <w:p w14:paraId="78EC41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+ 15 ИМ в эскадре и до двух десятков других, а в морской - еще 150, то есть всего со складами 2200-2500 (92,260).</w:t>
      </w:r>
    </w:p>
    <w:p w14:paraId="1A9E38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E6470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декабря 1917 официально прекращены военные действия с Германией. Зз время войны сухопутные авиационные чести по неполным данным сделали 53,24-4 боевых вылета общей продол</w:t>
      </w:r>
      <w:r w:rsidRPr="002F2FDF">
        <w:rPr>
          <w:rFonts w:ascii="Times New Roman" w:hAnsi="Times New Roman" w:cs="Times New Roman"/>
          <w:color w:val="000000" w:themeColor="text1"/>
          <w:kern w:val="2"/>
          <w:sz w:val="16"/>
          <w:szCs w:val="16"/>
        </w:rPr>
        <w:softHyphen/>
        <w:t>жительностью 85,587 часов, причем на один только 1917 год приходится 24,587 вылетов общей продолжительностью 41.796 часов. Проведено свыше 1200 воздушных боев, в которых сбито 182 австро-германских и два турецких самолета, не считая само</w:t>
      </w:r>
      <w:r w:rsidRPr="002F2FDF">
        <w:rPr>
          <w:rFonts w:ascii="Times New Roman" w:hAnsi="Times New Roman" w:cs="Times New Roman"/>
          <w:color w:val="000000" w:themeColor="text1"/>
          <w:kern w:val="2"/>
          <w:sz w:val="16"/>
          <w:szCs w:val="16"/>
        </w:rPr>
        <w:softHyphen/>
        <w:t xml:space="preserve">летов, сбитых над неприятельской территорией и не учтенных из-за отсутствия свидетельских показаний. Уничтожено 4 змейковых аэростата, сброшено несколько тысяч пудов бомб. Потери: а) убито </w:t>
      </w:r>
      <w:r w:rsidRPr="002F2FDF">
        <w:rPr>
          <w:rFonts w:ascii="Times New Roman" w:hAnsi="Times New Roman" w:cs="Times New Roman"/>
          <w:color w:val="000000" w:themeColor="text1"/>
          <w:kern w:val="2"/>
          <w:sz w:val="16"/>
          <w:szCs w:val="16"/>
        </w:rPr>
        <w:lastRenderedPageBreak/>
        <w:t>в воздушных боях и при выполнении раз</w:t>
      </w:r>
      <w:r w:rsidRPr="002F2FDF">
        <w:rPr>
          <w:rFonts w:ascii="Times New Roman" w:hAnsi="Times New Roman" w:cs="Times New Roman"/>
          <w:color w:val="000000" w:themeColor="text1"/>
          <w:kern w:val="2"/>
          <w:sz w:val="16"/>
          <w:szCs w:val="16"/>
        </w:rPr>
        <w:softHyphen/>
        <w:t>личных боевых полетов 78 летчиков (55 офицеров) и 57 летчи</w:t>
      </w:r>
      <w:r w:rsidRPr="002F2FDF">
        <w:rPr>
          <w:rFonts w:ascii="Times New Roman" w:hAnsi="Times New Roman" w:cs="Times New Roman"/>
          <w:color w:val="000000" w:themeColor="text1"/>
          <w:kern w:val="2"/>
          <w:sz w:val="16"/>
          <w:szCs w:val="16"/>
        </w:rPr>
        <w:softHyphen/>
        <w:t>ков-наблюдателей; б) попало в плен или пропало без вести 70 летчиков (42 офицера), 43 летчика-наблюдателя и 11 солдат, летавших в качество наблюдателей; в) разбилось на аэродромах при летных катастрофах 69 летчиков (43 офицера) и 20 летчиков-наблюдателей. Всего было потеряно 217 летчиков и 120 летчиков-наблюдателей.</w:t>
      </w:r>
    </w:p>
    <w:p w14:paraId="17404E5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456BED" w14:textId="288CA1C4" w:rsidR="00637EA0" w:rsidRPr="00FB4F67" w:rsidRDefault="00637EA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9 (</w:t>
      </w:r>
      <w:r w:rsidRPr="00FB4F67">
        <w:rPr>
          <w:rFonts w:ascii="Times New Roman" w:hAnsi="Times New Roman" w:cs="Times New Roman"/>
          <w:color w:val="0070C0"/>
          <w:sz w:val="16"/>
          <w:szCs w:val="16"/>
        </w:rPr>
        <w:t>22</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декабря 1917 г. в Брест-Литовске начались мирные переговоры между Советами и Центральными державами (23525).</w:t>
      </w:r>
    </w:p>
    <w:p w14:paraId="324A47FD" w14:textId="77777777" w:rsidR="00637EA0" w:rsidRPr="00FB4F67" w:rsidRDefault="00637EA0" w:rsidP="0083075A">
      <w:pPr>
        <w:spacing w:after="0" w:line="240" w:lineRule="auto"/>
        <w:jc w:val="both"/>
        <w:rPr>
          <w:rFonts w:ascii="Times New Roman" w:hAnsi="Times New Roman" w:cs="Times New Roman"/>
          <w:color w:val="0070C0"/>
          <w:sz w:val="16"/>
          <w:szCs w:val="16"/>
        </w:rPr>
      </w:pPr>
    </w:p>
    <w:p w14:paraId="190ADF57" w14:textId="77777777" w:rsidR="00B46B0F" w:rsidRPr="002F2FDF" w:rsidRDefault="00B46B0F"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9 (22) декабря 1917г. в русской авиации насчитывалось 579 действующих аэропланов». Много это, или мало?! Для сравнения, французская армия в 1919 году, при численности личного состава 600 000 человек, располагала 2 600 танками, 12 000 артиллерийскими орудиями и 2 500 самолетами (17037).</w:t>
      </w:r>
    </w:p>
    <w:p w14:paraId="5126BDC2" w14:textId="77777777" w:rsidR="00B46B0F" w:rsidRPr="002F2FDF" w:rsidRDefault="00B46B0F"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4A9B4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войны в состав ВВФ входили следующие части и учреждения:</w:t>
      </w:r>
    </w:p>
    <w:p w14:paraId="07350BC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Управление военно-воздушного флота - УВВФ (Петро</w:t>
      </w:r>
      <w:r w:rsidRPr="002F2FDF">
        <w:rPr>
          <w:rFonts w:ascii="Times New Roman" w:hAnsi="Times New Roman" w:cs="Times New Roman"/>
          <w:color w:val="000000" w:themeColor="text1"/>
          <w:kern w:val="2"/>
          <w:sz w:val="16"/>
          <w:szCs w:val="16"/>
        </w:rPr>
        <w:softHyphen/>
        <w:t>град);</w:t>
      </w:r>
    </w:p>
    <w:p w14:paraId="1910ADB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Полевое управление авиации и воздухоплавания при Ставке верховного главнокомандующего - Авиэдэрм (Могилев);</w:t>
      </w:r>
    </w:p>
    <w:p w14:paraId="2FE57E6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Управление инспекторов авиации .Северо-Западного, Западного, Юго-Западного, Румынского и Кавказского фронтов;</w:t>
      </w:r>
    </w:p>
    <w:p w14:paraId="122F1A5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Управление инспекторов воздушного флота военных ок</w:t>
      </w:r>
      <w:r w:rsidRPr="002F2FDF">
        <w:rPr>
          <w:rFonts w:ascii="Times New Roman" w:hAnsi="Times New Roman" w:cs="Times New Roman"/>
          <w:color w:val="000000" w:themeColor="text1"/>
          <w:kern w:val="2"/>
          <w:sz w:val="16"/>
          <w:szCs w:val="16"/>
        </w:rPr>
        <w:softHyphen/>
        <w:t>ругов: Киевского, Одесского, Минского и Двинского;</w:t>
      </w:r>
    </w:p>
    <w:p w14:paraId="3412958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15 авиационных дивизионов:</w:t>
      </w:r>
    </w:p>
    <w:p w14:paraId="47FE798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 91 авиационный отряд, в том числе 13 отрядов, объединенных </w:t>
      </w:r>
      <w:r w:rsidRPr="002F2FDF">
        <w:rPr>
          <w:rFonts w:ascii="Times New Roman" w:hAnsi="Times New Roman" w:cs="Times New Roman"/>
          <w:smallCaps/>
          <w:color w:val="000000" w:themeColor="text1"/>
          <w:kern w:val="2"/>
          <w:sz w:val="16"/>
          <w:szCs w:val="16"/>
        </w:rPr>
        <w:t xml:space="preserve">б </w:t>
      </w:r>
      <w:r w:rsidRPr="002F2FDF">
        <w:rPr>
          <w:rFonts w:ascii="Times New Roman" w:hAnsi="Times New Roman" w:cs="Times New Roman"/>
          <w:color w:val="000000" w:themeColor="text1"/>
          <w:kern w:val="2"/>
          <w:sz w:val="16"/>
          <w:szCs w:val="16"/>
        </w:rPr>
        <w:t>4 боевые авиационные группы;</w:t>
      </w:r>
    </w:p>
    <w:p w14:paraId="088875E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7. Эскадра воздушных кораблей </w:t>
      </w:r>
      <w:r w:rsidRPr="002F2FDF">
        <w:rPr>
          <w:rFonts w:ascii="Times New Roman" w:hAnsi="Times New Roman" w:cs="Times New Roman"/>
          <w:smallCaps/>
          <w:color w:val="000000" w:themeColor="text1"/>
          <w:kern w:val="2"/>
          <w:sz w:val="16"/>
          <w:szCs w:val="16"/>
        </w:rPr>
        <w:t xml:space="preserve">б </w:t>
      </w:r>
      <w:r w:rsidRPr="002F2FDF">
        <w:rPr>
          <w:rFonts w:ascii="Times New Roman" w:hAnsi="Times New Roman" w:cs="Times New Roman"/>
          <w:color w:val="000000" w:themeColor="text1"/>
          <w:kern w:val="2"/>
          <w:sz w:val="16"/>
          <w:szCs w:val="16"/>
        </w:rPr>
        <w:t>составе 30 экипажей (Винницэ);</w:t>
      </w:r>
    </w:p>
    <w:p w14:paraId="761FD43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Четыре управления инспекторов воздухоплавания четырех фронтов:</w:t>
      </w:r>
    </w:p>
    <w:p w14:paraId="3E1C3B4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14- воздухоплавательных дивизионов;</w:t>
      </w:r>
    </w:p>
    <w:p w14:paraId="5C1A3CB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Четыре воздухоплавательных парка;</w:t>
      </w:r>
    </w:p>
    <w:p w14:paraId="7597842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Две крепостные воздухоплавательные роты (Ревель, Свеаборг);</w:t>
      </w:r>
    </w:p>
    <w:p w14:paraId="50B6BAC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87 воздухоплавательных отрядов (59 корпусных и 28 армейских);</w:t>
      </w:r>
    </w:p>
    <w:p w14:paraId="0D28CEB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Восемь авиационных парков;</w:t>
      </w:r>
    </w:p>
    <w:p w14:paraId="7190366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Четыре подвижных авиаремонтных поездэ-мэстерских;</w:t>
      </w:r>
    </w:p>
    <w:p w14:paraId="4484C08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Три склада эвиэционно-воздухоплазгэтельного имущест</w:t>
      </w:r>
      <w:r w:rsidRPr="002F2FDF">
        <w:rPr>
          <w:rFonts w:ascii="Times New Roman" w:hAnsi="Times New Roman" w:cs="Times New Roman"/>
          <w:color w:val="000000" w:themeColor="text1"/>
          <w:kern w:val="2"/>
          <w:sz w:val="16"/>
          <w:szCs w:val="16"/>
        </w:rPr>
        <w:softHyphen/>
        <w:t>ва (Петроград, Москва, Симферополь), фронтовые склады и базы;</w:t>
      </w:r>
    </w:p>
    <w:p w14:paraId="33DBA9A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Аэрофотогрэфический парк (Киев);</w:t>
      </w:r>
    </w:p>
    <w:p w14:paraId="0D09447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Свыше 100 аэронавигационных станций;</w:t>
      </w:r>
    </w:p>
    <w:p w14:paraId="379545C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22 военно-метеорологические станции;</w:t>
      </w:r>
    </w:p>
    <w:p w14:paraId="74A3B3D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Около 100 армейских и корпусных авиационных радио-отделений с приемными радиостанциями для корректирования стрельбы артиллерии;</w:t>
      </w:r>
    </w:p>
    <w:p w14:paraId="4738492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Запасной авиационный батальон двухротного состава;</w:t>
      </w:r>
    </w:p>
    <w:p w14:paraId="555B409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Шесть военно-авиационных школ для подготовки лет</w:t>
      </w:r>
      <w:r w:rsidRPr="002F2FDF">
        <w:rPr>
          <w:rFonts w:ascii="Times New Roman" w:hAnsi="Times New Roman" w:cs="Times New Roman"/>
          <w:color w:val="000000" w:themeColor="text1"/>
          <w:kern w:val="2"/>
          <w:sz w:val="16"/>
          <w:szCs w:val="16"/>
        </w:rPr>
        <w:softHyphen/>
        <w:t>чиков ;</w:t>
      </w:r>
    </w:p>
    <w:p w14:paraId="28CA08D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Военная школа летчиков-наблюдателей (Киев);</w:t>
      </w:r>
    </w:p>
    <w:p w14:paraId="69C2297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Офицерская воздухоплавательная школа (Петроград);</w:t>
      </w:r>
    </w:p>
    <w:p w14:paraId="58BCF89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Главный аэродром (Херсон);</w:t>
      </w:r>
    </w:p>
    <w:p w14:paraId="6499B48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Восемь школ мотористов при авиапэркзх;</w:t>
      </w:r>
    </w:p>
    <w:p w14:paraId="77B0CDE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Школа воздушного боя (Евпатория);</w:t>
      </w:r>
    </w:p>
    <w:p w14:paraId="54D71B3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Теоретические курсы авиации при МВТУ и Петроградском политехническом институте;</w:t>
      </w:r>
    </w:p>
    <w:p w14:paraId="5B3BC4C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Комиссия по переотправке из Архангельского порто эвиэционно-воздухоплевштелъного имущества, поступавшего из-заграницы.</w:t>
      </w:r>
    </w:p>
    <w:p w14:paraId="1EF9D2A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Заграничные авиационные комиссии по закупке авиаимущества.</w:t>
      </w:r>
    </w:p>
    <w:p w14:paraId="7114076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всех авиачастях сухопутной авиации числилось 705 летчиков (442 офицера и 263 солдата) и около 300 летчикоЕ-нэблй-датслей, В семи авиационных тыловых' отрядах и в восьми авиа</w:t>
      </w:r>
      <w:r w:rsidRPr="002F2FDF">
        <w:rPr>
          <w:rFonts w:ascii="Times New Roman" w:hAnsi="Times New Roman" w:cs="Times New Roman"/>
          <w:color w:val="000000" w:themeColor="text1"/>
          <w:kern w:val="2"/>
          <w:sz w:val="16"/>
          <w:szCs w:val="16"/>
        </w:rPr>
        <w:softHyphen/>
        <w:t>ционных перках числилось НО летчиков, из них 78 офицеров и 32 солдата. Всего в армии числилось 815 летчиков, из них 23 бы</w:t>
      </w:r>
      <w:r w:rsidRPr="002F2FDF">
        <w:rPr>
          <w:rFonts w:ascii="Times New Roman" w:hAnsi="Times New Roman" w:cs="Times New Roman"/>
          <w:color w:val="000000" w:themeColor="text1"/>
          <w:kern w:val="2"/>
          <w:sz w:val="16"/>
          <w:szCs w:val="16"/>
        </w:rPr>
        <w:softHyphen/>
        <w:t>ло эвакуировано в тыл по разным причинам. Во всех фронтовых воздухоплавательных частях имелось свыше 700 офицеров и 20.000 солдат. Весь личный состав воздушного флота, включая и морскую авиацию, насчитывал свыше 60 тысяч человек, причем лотно-подъемный состав вместе с учениками авиашкол составлял не более 6-7% этой армии.</w:t>
      </w:r>
    </w:p>
    <w:p w14:paraId="286C91A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Авиапромышленность состояла из 27 предприятий, из них самолетостроительных предприятий или заводских отделений было 14, моторостроительных, включая моторосборочные и заводские отделения - 6. Остальные предприятия занимались изготовлением воздушных </w:t>
      </w:r>
      <w:r w:rsidRPr="002F2FDF">
        <w:rPr>
          <w:rFonts w:ascii="Times New Roman" w:hAnsi="Times New Roman" w:cs="Times New Roman"/>
          <w:smallCaps/>
          <w:color w:val="000000" w:themeColor="text1"/>
          <w:kern w:val="2"/>
          <w:sz w:val="16"/>
          <w:szCs w:val="16"/>
        </w:rPr>
        <w:t xml:space="preserve">еинтов, </w:t>
      </w:r>
      <w:r w:rsidRPr="002F2FDF">
        <w:rPr>
          <w:rFonts w:ascii="Times New Roman" w:hAnsi="Times New Roman" w:cs="Times New Roman"/>
          <w:color w:val="000000" w:themeColor="text1"/>
          <w:kern w:val="2"/>
          <w:sz w:val="16"/>
          <w:szCs w:val="16"/>
        </w:rPr>
        <w:t>авиаприборов и прочего эвиаимуществэ. Кроме того, семь крупных сзмолето- и моторостроительных заводов, заводских отделений и сборочных мастерских было построено, но не успело приступить к производству. (Состоглено по официальным справочным материалом).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0"/>
        <w:gridCol w:w="658"/>
        <w:gridCol w:w="709"/>
        <w:gridCol w:w="567"/>
        <w:gridCol w:w="709"/>
        <w:gridCol w:w="567"/>
        <w:gridCol w:w="708"/>
        <w:gridCol w:w="709"/>
        <w:gridCol w:w="709"/>
        <w:gridCol w:w="709"/>
        <w:gridCol w:w="708"/>
      </w:tblGrid>
      <w:tr w:rsidR="002B1C74" w:rsidRPr="002F2FDF" w14:paraId="1423C4EA" w14:textId="77777777">
        <w:tc>
          <w:tcPr>
            <w:tcW w:w="1860" w:type="dxa"/>
            <w:tcBorders>
              <w:top w:val="single" w:sz="12" w:space="0" w:color="auto"/>
            </w:tcBorders>
          </w:tcPr>
          <w:p w14:paraId="681C4CC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Предприятия</w:t>
            </w:r>
          </w:p>
        </w:tc>
        <w:tc>
          <w:tcPr>
            <w:tcW w:w="658" w:type="dxa"/>
            <w:tcBorders>
              <w:top w:val="single" w:sz="12" w:space="0" w:color="auto"/>
            </w:tcBorders>
          </w:tcPr>
          <w:p w14:paraId="20B9F5A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1909</w:t>
            </w:r>
          </w:p>
        </w:tc>
        <w:tc>
          <w:tcPr>
            <w:tcW w:w="709" w:type="dxa"/>
            <w:tcBorders>
              <w:top w:val="single" w:sz="12" w:space="0" w:color="auto"/>
            </w:tcBorders>
          </w:tcPr>
          <w:p w14:paraId="1911406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1910</w:t>
            </w:r>
          </w:p>
        </w:tc>
        <w:tc>
          <w:tcPr>
            <w:tcW w:w="567" w:type="dxa"/>
            <w:tcBorders>
              <w:top w:val="single" w:sz="12" w:space="0" w:color="auto"/>
            </w:tcBorders>
          </w:tcPr>
          <w:p w14:paraId="45E0DFF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1911</w:t>
            </w:r>
          </w:p>
        </w:tc>
        <w:tc>
          <w:tcPr>
            <w:tcW w:w="709" w:type="dxa"/>
            <w:tcBorders>
              <w:top w:val="single" w:sz="12" w:space="0" w:color="auto"/>
            </w:tcBorders>
          </w:tcPr>
          <w:p w14:paraId="5EFC450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1912</w:t>
            </w:r>
          </w:p>
        </w:tc>
        <w:tc>
          <w:tcPr>
            <w:tcW w:w="567" w:type="dxa"/>
            <w:tcBorders>
              <w:top w:val="single" w:sz="12" w:space="0" w:color="auto"/>
            </w:tcBorders>
          </w:tcPr>
          <w:p w14:paraId="0EF09F3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w:t>
            </w:r>
          </w:p>
        </w:tc>
        <w:tc>
          <w:tcPr>
            <w:tcW w:w="708" w:type="dxa"/>
            <w:tcBorders>
              <w:top w:val="single" w:sz="12" w:space="0" w:color="auto"/>
            </w:tcBorders>
          </w:tcPr>
          <w:p w14:paraId="4017F47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tc>
        <w:tc>
          <w:tcPr>
            <w:tcW w:w="709" w:type="dxa"/>
            <w:tcBorders>
              <w:top w:val="single" w:sz="12" w:space="0" w:color="auto"/>
            </w:tcBorders>
          </w:tcPr>
          <w:p w14:paraId="720B498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tc>
        <w:tc>
          <w:tcPr>
            <w:tcW w:w="709" w:type="dxa"/>
            <w:tcBorders>
              <w:top w:val="single" w:sz="12" w:space="0" w:color="auto"/>
            </w:tcBorders>
          </w:tcPr>
          <w:p w14:paraId="360FE1D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709" w:type="dxa"/>
            <w:tcBorders>
              <w:top w:val="single" w:sz="12" w:space="0" w:color="auto"/>
            </w:tcBorders>
          </w:tcPr>
          <w:p w14:paraId="1A5882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w:t>
            </w:r>
          </w:p>
        </w:tc>
        <w:tc>
          <w:tcPr>
            <w:tcW w:w="708" w:type="dxa"/>
            <w:tcBorders>
              <w:top w:val="single" w:sz="12" w:space="0" w:color="auto"/>
            </w:tcBorders>
          </w:tcPr>
          <w:p w14:paraId="509235B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r>
      <w:tr w:rsidR="002B1C74" w:rsidRPr="002F2FDF" w14:paraId="2231AED2" w14:textId="77777777">
        <w:tc>
          <w:tcPr>
            <w:tcW w:w="1860" w:type="dxa"/>
          </w:tcPr>
          <w:p w14:paraId="3B45FC2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Русско-Балтийский завод</w:t>
            </w:r>
          </w:p>
        </w:tc>
        <w:tc>
          <w:tcPr>
            <w:tcW w:w="658" w:type="dxa"/>
          </w:tcPr>
          <w:p w14:paraId="06E7586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743676D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567" w:type="dxa"/>
          </w:tcPr>
          <w:p w14:paraId="687B4FF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709" w:type="dxa"/>
          </w:tcPr>
          <w:p w14:paraId="5DB7491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567" w:type="dxa"/>
          </w:tcPr>
          <w:p w14:paraId="5B7BBE1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w:t>
            </w:r>
          </w:p>
        </w:tc>
        <w:tc>
          <w:tcPr>
            <w:tcW w:w="708" w:type="dxa"/>
          </w:tcPr>
          <w:p w14:paraId="35383DD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w:t>
            </w:r>
          </w:p>
        </w:tc>
        <w:tc>
          <w:tcPr>
            <w:tcW w:w="709" w:type="dxa"/>
          </w:tcPr>
          <w:p w14:paraId="49A83D0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709" w:type="dxa"/>
          </w:tcPr>
          <w:p w14:paraId="56397DD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w:t>
            </w:r>
          </w:p>
        </w:tc>
        <w:tc>
          <w:tcPr>
            <w:tcW w:w="709" w:type="dxa"/>
          </w:tcPr>
          <w:p w14:paraId="769EAF6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708" w:type="dxa"/>
          </w:tcPr>
          <w:p w14:paraId="40BCB32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w:t>
            </w:r>
          </w:p>
        </w:tc>
      </w:tr>
      <w:tr w:rsidR="002B1C74" w:rsidRPr="002F2FDF" w14:paraId="3BA83A7D" w14:textId="77777777">
        <w:tc>
          <w:tcPr>
            <w:tcW w:w="1860" w:type="dxa"/>
          </w:tcPr>
          <w:p w14:paraId="670C64F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Щетинина</w:t>
            </w:r>
          </w:p>
        </w:tc>
        <w:tc>
          <w:tcPr>
            <w:tcW w:w="658" w:type="dxa"/>
          </w:tcPr>
          <w:p w14:paraId="618B085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2DCACD1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567" w:type="dxa"/>
          </w:tcPr>
          <w:p w14:paraId="5829BD2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709" w:type="dxa"/>
          </w:tcPr>
          <w:p w14:paraId="544A289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w:t>
            </w:r>
          </w:p>
        </w:tc>
        <w:tc>
          <w:tcPr>
            <w:tcW w:w="567" w:type="dxa"/>
          </w:tcPr>
          <w:p w14:paraId="3C03A46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708" w:type="dxa"/>
          </w:tcPr>
          <w:p w14:paraId="72C81B0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w:t>
            </w:r>
          </w:p>
        </w:tc>
        <w:tc>
          <w:tcPr>
            <w:tcW w:w="709" w:type="dxa"/>
          </w:tcPr>
          <w:p w14:paraId="01C1BA2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250</w:t>
            </w:r>
          </w:p>
        </w:tc>
        <w:tc>
          <w:tcPr>
            <w:tcW w:w="709" w:type="dxa"/>
          </w:tcPr>
          <w:p w14:paraId="00103A1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460</w:t>
            </w:r>
          </w:p>
        </w:tc>
        <w:tc>
          <w:tcPr>
            <w:tcW w:w="709" w:type="dxa"/>
          </w:tcPr>
          <w:p w14:paraId="0990A9B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400</w:t>
            </w:r>
          </w:p>
        </w:tc>
        <w:tc>
          <w:tcPr>
            <w:tcW w:w="708" w:type="dxa"/>
          </w:tcPr>
          <w:p w14:paraId="0DCAE46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1354</w:t>
            </w:r>
          </w:p>
        </w:tc>
      </w:tr>
      <w:tr w:rsidR="002B1C74" w:rsidRPr="002F2FDF" w14:paraId="12623296" w14:textId="77777777">
        <w:tc>
          <w:tcPr>
            <w:tcW w:w="1860" w:type="dxa"/>
          </w:tcPr>
          <w:p w14:paraId="3FD8960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Лебедева</w:t>
            </w:r>
          </w:p>
        </w:tc>
        <w:tc>
          <w:tcPr>
            <w:tcW w:w="658" w:type="dxa"/>
          </w:tcPr>
          <w:p w14:paraId="7301619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1708C04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45C5647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40AB3E8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048ACE7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5C1E48C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w:t>
            </w:r>
          </w:p>
        </w:tc>
        <w:tc>
          <w:tcPr>
            <w:tcW w:w="709" w:type="dxa"/>
          </w:tcPr>
          <w:p w14:paraId="10DB971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w:t>
            </w:r>
          </w:p>
        </w:tc>
        <w:tc>
          <w:tcPr>
            <w:tcW w:w="709" w:type="dxa"/>
          </w:tcPr>
          <w:p w14:paraId="53405D8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w:t>
            </w:r>
          </w:p>
        </w:tc>
        <w:tc>
          <w:tcPr>
            <w:tcW w:w="709" w:type="dxa"/>
          </w:tcPr>
          <w:p w14:paraId="67507D1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223</w:t>
            </w:r>
          </w:p>
        </w:tc>
        <w:tc>
          <w:tcPr>
            <w:tcW w:w="708" w:type="dxa"/>
          </w:tcPr>
          <w:p w14:paraId="15DB1FD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700</w:t>
            </w:r>
          </w:p>
        </w:tc>
      </w:tr>
      <w:tr w:rsidR="002B1C74" w:rsidRPr="002F2FDF" w14:paraId="177B4C4D" w14:textId="77777777">
        <w:tc>
          <w:tcPr>
            <w:tcW w:w="1860" w:type="dxa"/>
          </w:tcPr>
          <w:p w14:paraId="5C3B5B0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smallCaps/>
                <w:color w:val="000000" w:themeColor="text1"/>
                <w:kern w:val="2"/>
                <w:sz w:val="16"/>
                <w:szCs w:val="16"/>
              </w:rPr>
            </w:pPr>
            <w:r w:rsidRPr="002F2FDF">
              <w:rPr>
                <w:rFonts w:ascii="Times New Roman" w:hAnsi="Times New Roman" w:cs="Times New Roman"/>
                <w:color w:val="000000" w:themeColor="text1"/>
                <w:kern w:val="2"/>
                <w:sz w:val="16"/>
                <w:szCs w:val="16"/>
              </w:rPr>
              <w:t>Завод Слюсаренко</w:t>
            </w:r>
          </w:p>
        </w:tc>
        <w:tc>
          <w:tcPr>
            <w:tcW w:w="658" w:type="dxa"/>
          </w:tcPr>
          <w:p w14:paraId="6C20717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33ADAC1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28B08BE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17F4260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0C64108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75DB863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709" w:type="dxa"/>
          </w:tcPr>
          <w:p w14:paraId="01B84D5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709" w:type="dxa"/>
          </w:tcPr>
          <w:p w14:paraId="167BAAF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w:t>
            </w:r>
          </w:p>
        </w:tc>
        <w:tc>
          <w:tcPr>
            <w:tcW w:w="709" w:type="dxa"/>
          </w:tcPr>
          <w:p w14:paraId="215BA87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w:t>
            </w:r>
          </w:p>
        </w:tc>
        <w:tc>
          <w:tcPr>
            <w:tcW w:w="708" w:type="dxa"/>
          </w:tcPr>
          <w:p w14:paraId="5459E38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138</w:t>
            </w:r>
          </w:p>
        </w:tc>
      </w:tr>
      <w:tr w:rsidR="002B1C74" w:rsidRPr="002F2FDF" w14:paraId="253D4EBB" w14:textId="77777777">
        <w:tc>
          <w:tcPr>
            <w:tcW w:w="1860" w:type="dxa"/>
          </w:tcPr>
          <w:p w14:paraId="702AE2A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"Дукс"</w:t>
            </w:r>
          </w:p>
        </w:tc>
        <w:tc>
          <w:tcPr>
            <w:tcW w:w="658" w:type="dxa"/>
          </w:tcPr>
          <w:p w14:paraId="3846728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01A50FC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567" w:type="dxa"/>
          </w:tcPr>
          <w:p w14:paraId="345BBBA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709" w:type="dxa"/>
          </w:tcPr>
          <w:p w14:paraId="3E3AFED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c>
          <w:tcPr>
            <w:tcW w:w="567" w:type="dxa"/>
          </w:tcPr>
          <w:p w14:paraId="785039A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w:t>
            </w:r>
          </w:p>
        </w:tc>
        <w:tc>
          <w:tcPr>
            <w:tcW w:w="708" w:type="dxa"/>
          </w:tcPr>
          <w:p w14:paraId="38C11AF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w:t>
            </w:r>
          </w:p>
        </w:tc>
        <w:tc>
          <w:tcPr>
            <w:tcW w:w="709" w:type="dxa"/>
          </w:tcPr>
          <w:p w14:paraId="6333E79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382</w:t>
            </w:r>
          </w:p>
        </w:tc>
        <w:tc>
          <w:tcPr>
            <w:tcW w:w="709" w:type="dxa"/>
          </w:tcPr>
          <w:p w14:paraId="5947993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481</w:t>
            </w:r>
          </w:p>
        </w:tc>
        <w:tc>
          <w:tcPr>
            <w:tcW w:w="709" w:type="dxa"/>
          </w:tcPr>
          <w:p w14:paraId="2ACDB04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543</w:t>
            </w:r>
          </w:p>
        </w:tc>
        <w:tc>
          <w:tcPr>
            <w:tcW w:w="708" w:type="dxa"/>
          </w:tcPr>
          <w:p w14:paraId="2FF0000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1733</w:t>
            </w:r>
          </w:p>
        </w:tc>
      </w:tr>
      <w:tr w:rsidR="002B1C74" w:rsidRPr="002F2FDF" w14:paraId="6573956A" w14:textId="77777777">
        <w:tc>
          <w:tcPr>
            <w:tcW w:w="1860" w:type="dxa"/>
          </w:tcPr>
          <w:p w14:paraId="3C02150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Моска</w:t>
            </w:r>
          </w:p>
        </w:tc>
        <w:tc>
          <w:tcPr>
            <w:tcW w:w="658" w:type="dxa"/>
          </w:tcPr>
          <w:p w14:paraId="36ED971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53CB311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35280FD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5CF53B1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46E8EF3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712D251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w:t>
            </w:r>
          </w:p>
        </w:tc>
        <w:tc>
          <w:tcPr>
            <w:tcW w:w="709" w:type="dxa"/>
          </w:tcPr>
          <w:p w14:paraId="6BF4814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w:t>
            </w:r>
          </w:p>
        </w:tc>
        <w:tc>
          <w:tcPr>
            <w:tcW w:w="709" w:type="dxa"/>
          </w:tcPr>
          <w:p w14:paraId="1E0F606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w:t>
            </w:r>
          </w:p>
        </w:tc>
        <w:tc>
          <w:tcPr>
            <w:tcW w:w="709" w:type="dxa"/>
          </w:tcPr>
          <w:p w14:paraId="4EF0FA8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c>
          <w:tcPr>
            <w:tcW w:w="708" w:type="dxa"/>
          </w:tcPr>
          <w:p w14:paraId="0DC8A52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w:t>
            </w:r>
          </w:p>
        </w:tc>
      </w:tr>
      <w:tr w:rsidR="002B1C74" w:rsidRPr="002F2FDF" w14:paraId="3B37D106" w14:textId="77777777">
        <w:tc>
          <w:tcPr>
            <w:tcW w:w="1860" w:type="dxa"/>
          </w:tcPr>
          <w:p w14:paraId="1E37E6B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АнатраОдесса</w:t>
            </w:r>
          </w:p>
        </w:tc>
        <w:tc>
          <w:tcPr>
            <w:tcW w:w="658" w:type="dxa"/>
          </w:tcPr>
          <w:p w14:paraId="619AC0D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08E4C11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4AD03FA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3227FC7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430DE7B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077EC93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w:t>
            </w:r>
          </w:p>
        </w:tc>
        <w:tc>
          <w:tcPr>
            <w:tcW w:w="709" w:type="dxa"/>
          </w:tcPr>
          <w:p w14:paraId="25FB3C1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270</w:t>
            </w:r>
          </w:p>
        </w:tc>
        <w:tc>
          <w:tcPr>
            <w:tcW w:w="709" w:type="dxa"/>
          </w:tcPr>
          <w:p w14:paraId="323D462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359</w:t>
            </w:r>
          </w:p>
        </w:tc>
        <w:tc>
          <w:tcPr>
            <w:tcW w:w="709" w:type="dxa"/>
          </w:tcPr>
          <w:p w14:paraId="73B8188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347</w:t>
            </w:r>
          </w:p>
        </w:tc>
        <w:tc>
          <w:tcPr>
            <w:tcW w:w="708" w:type="dxa"/>
          </w:tcPr>
          <w:p w14:paraId="7893051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1056</w:t>
            </w:r>
          </w:p>
        </w:tc>
      </w:tr>
      <w:tr w:rsidR="002B1C74" w:rsidRPr="002F2FDF" w14:paraId="31EEFFC0" w14:textId="77777777">
        <w:tc>
          <w:tcPr>
            <w:tcW w:w="1860" w:type="dxa"/>
          </w:tcPr>
          <w:p w14:paraId="675AA28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АнатраСимферополь</w:t>
            </w:r>
          </w:p>
        </w:tc>
        <w:tc>
          <w:tcPr>
            <w:tcW w:w="658" w:type="dxa"/>
          </w:tcPr>
          <w:p w14:paraId="1B19FC9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4EFC2E1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3B81A85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7822CB1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69D737B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0081E84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12B8185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3B89F4A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709" w:type="dxa"/>
          </w:tcPr>
          <w:p w14:paraId="367BA17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c>
          <w:tcPr>
            <w:tcW w:w="708" w:type="dxa"/>
          </w:tcPr>
          <w:p w14:paraId="3FEE3EE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r>
      <w:tr w:rsidR="002B1C74" w:rsidRPr="002F2FDF" w14:paraId="590B5364" w14:textId="77777777">
        <w:tc>
          <w:tcPr>
            <w:tcW w:w="1860" w:type="dxa"/>
          </w:tcPr>
          <w:p w14:paraId="38D6439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Терещен</w:t>
            </w:r>
            <w:r w:rsidRPr="002F2FDF">
              <w:rPr>
                <w:rFonts w:ascii="Times New Roman" w:hAnsi="Times New Roman" w:cs="Times New Roman"/>
                <w:color w:val="000000" w:themeColor="text1"/>
                <w:kern w:val="2"/>
                <w:sz w:val="16"/>
                <w:szCs w:val="16"/>
              </w:rPr>
              <w:softHyphen/>
              <w:t>ко</w:t>
            </w:r>
          </w:p>
        </w:tc>
        <w:tc>
          <w:tcPr>
            <w:tcW w:w="658" w:type="dxa"/>
          </w:tcPr>
          <w:p w14:paraId="0EEACAD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709" w:type="dxa"/>
          </w:tcPr>
          <w:p w14:paraId="6074B10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77B7932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w:t>
            </w:r>
          </w:p>
        </w:tc>
        <w:tc>
          <w:tcPr>
            <w:tcW w:w="709" w:type="dxa"/>
          </w:tcPr>
          <w:p w14:paraId="58965CC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w:t>
            </w:r>
          </w:p>
        </w:tc>
        <w:tc>
          <w:tcPr>
            <w:tcW w:w="567" w:type="dxa"/>
          </w:tcPr>
          <w:p w14:paraId="1B71E49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708" w:type="dxa"/>
          </w:tcPr>
          <w:p w14:paraId="7B5AFAF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709" w:type="dxa"/>
          </w:tcPr>
          <w:p w14:paraId="6C5C04C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w:t>
            </w:r>
          </w:p>
        </w:tc>
        <w:tc>
          <w:tcPr>
            <w:tcW w:w="709" w:type="dxa"/>
          </w:tcPr>
          <w:p w14:paraId="2130B8D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709" w:type="dxa"/>
          </w:tcPr>
          <w:p w14:paraId="652FC28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708" w:type="dxa"/>
          </w:tcPr>
          <w:p w14:paraId="7446BE9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w:t>
            </w:r>
          </w:p>
        </w:tc>
      </w:tr>
      <w:tr w:rsidR="002B1C74" w:rsidRPr="002F2FDF" w14:paraId="7373E186" w14:textId="77777777">
        <w:tc>
          <w:tcPr>
            <w:tcW w:w="1860" w:type="dxa"/>
          </w:tcPr>
          <w:p w14:paraId="228B12C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Адаменко</w:t>
            </w:r>
          </w:p>
        </w:tc>
        <w:tc>
          <w:tcPr>
            <w:tcW w:w="658" w:type="dxa"/>
          </w:tcPr>
          <w:p w14:paraId="4C5B070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5B2A332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7CF8FFD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777B961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5B392EF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w:t>
            </w:r>
          </w:p>
        </w:tc>
        <w:tc>
          <w:tcPr>
            <w:tcW w:w="708" w:type="dxa"/>
          </w:tcPr>
          <w:p w14:paraId="3BCABDE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6BE30A8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709" w:type="dxa"/>
          </w:tcPr>
          <w:p w14:paraId="0018845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709" w:type="dxa"/>
          </w:tcPr>
          <w:p w14:paraId="4799AB3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708" w:type="dxa"/>
          </w:tcPr>
          <w:p w14:paraId="6D4B0E6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r>
      <w:tr w:rsidR="002B1C74" w:rsidRPr="002F2FDF" w14:paraId="3FCA7277" w14:textId="77777777">
        <w:tc>
          <w:tcPr>
            <w:tcW w:w="1860" w:type="dxa"/>
          </w:tcPr>
          <w:p w14:paraId="3F9FD1B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Матиас</w:t>
            </w:r>
          </w:p>
        </w:tc>
        <w:tc>
          <w:tcPr>
            <w:tcW w:w="658" w:type="dxa"/>
          </w:tcPr>
          <w:p w14:paraId="713DDD1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6D583D6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6D38AE7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328B37B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21E66CB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1FE633A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5D59435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44797C7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03A8672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708" w:type="dxa"/>
          </w:tcPr>
          <w:p w14:paraId="6E8A040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r>
      <w:tr w:rsidR="002B1C74" w:rsidRPr="002F2FDF" w14:paraId="48E8967F" w14:textId="77777777">
        <w:tc>
          <w:tcPr>
            <w:tcW w:w="1860" w:type="dxa"/>
          </w:tcPr>
          <w:p w14:paraId="54960FE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Мельцер</w:t>
            </w:r>
          </w:p>
        </w:tc>
        <w:tc>
          <w:tcPr>
            <w:tcW w:w="658" w:type="dxa"/>
          </w:tcPr>
          <w:p w14:paraId="1BEDE8F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11100F5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3029903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458E616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023A801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1950882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4184614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0E944C6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6A4448C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708" w:type="dxa"/>
          </w:tcPr>
          <w:p w14:paraId="58A83AE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r>
      <w:tr w:rsidR="002B1C74" w:rsidRPr="002F2FDF" w14:paraId="48268F3B" w14:textId="77777777">
        <w:tc>
          <w:tcPr>
            <w:tcW w:w="1860" w:type="dxa"/>
          </w:tcPr>
          <w:p w14:paraId="1DE2532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Калеп</w:t>
            </w:r>
          </w:p>
        </w:tc>
        <w:tc>
          <w:tcPr>
            <w:tcW w:w="658" w:type="dxa"/>
          </w:tcPr>
          <w:p w14:paraId="0E9D419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41EABED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567" w:type="dxa"/>
          </w:tcPr>
          <w:p w14:paraId="65A8D8C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709" w:type="dxa"/>
          </w:tcPr>
          <w:p w14:paraId="199263B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2007B67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62EF2D3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0CA7B11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1840913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00100C7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02BA825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r>
      <w:tr w:rsidR="002B1C74" w:rsidRPr="002F2FDF" w14:paraId="7E3CC429" w14:textId="77777777">
        <w:tc>
          <w:tcPr>
            <w:tcW w:w="1860" w:type="dxa"/>
          </w:tcPr>
          <w:p w14:paraId="0A51B33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Одесский морской батальон</w:t>
            </w:r>
          </w:p>
        </w:tc>
        <w:tc>
          <w:tcPr>
            <w:tcW w:w="658" w:type="dxa"/>
          </w:tcPr>
          <w:p w14:paraId="7B54A15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78BD689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567" w:type="dxa"/>
          </w:tcPr>
          <w:p w14:paraId="1561F2F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709" w:type="dxa"/>
          </w:tcPr>
          <w:p w14:paraId="69B3020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567" w:type="dxa"/>
          </w:tcPr>
          <w:p w14:paraId="136118D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0F02AB3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746F8F9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76E52EB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513DCA4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4A857DE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r>
      <w:tr w:rsidR="002B1C74" w:rsidRPr="002F2FDF" w14:paraId="1A2A99F1" w14:textId="77777777">
        <w:tc>
          <w:tcPr>
            <w:tcW w:w="1860" w:type="dxa"/>
          </w:tcPr>
          <w:p w14:paraId="7C3E5BA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Киевская воздухоплавательная рота е</w:t>
            </w:r>
          </w:p>
        </w:tc>
        <w:tc>
          <w:tcPr>
            <w:tcW w:w="658" w:type="dxa"/>
          </w:tcPr>
          <w:p w14:paraId="7F4EA16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0693E6B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567" w:type="dxa"/>
          </w:tcPr>
          <w:p w14:paraId="730771D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709" w:type="dxa"/>
          </w:tcPr>
          <w:p w14:paraId="7FA64F9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567" w:type="dxa"/>
          </w:tcPr>
          <w:p w14:paraId="2A49416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708" w:type="dxa"/>
          </w:tcPr>
          <w:p w14:paraId="575FFB7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183FE52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6646842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3A48792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095B99D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r>
      <w:tr w:rsidR="002B1C74" w:rsidRPr="002F2FDF" w14:paraId="319B297C" w14:textId="77777777">
        <w:tc>
          <w:tcPr>
            <w:tcW w:w="1860" w:type="dxa"/>
          </w:tcPr>
          <w:p w14:paraId="6F60602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Летные школы</w:t>
            </w:r>
          </w:p>
        </w:tc>
        <w:tc>
          <w:tcPr>
            <w:tcW w:w="658" w:type="dxa"/>
          </w:tcPr>
          <w:p w14:paraId="5F56B64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09" w:type="dxa"/>
          </w:tcPr>
          <w:p w14:paraId="1C9C8FE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3D4941E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709" w:type="dxa"/>
          </w:tcPr>
          <w:p w14:paraId="3E72CCA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567" w:type="dxa"/>
          </w:tcPr>
          <w:p w14:paraId="55212AC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708" w:type="dxa"/>
          </w:tcPr>
          <w:p w14:paraId="747322E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709" w:type="dxa"/>
          </w:tcPr>
          <w:p w14:paraId="000E04F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709" w:type="dxa"/>
          </w:tcPr>
          <w:p w14:paraId="34E1D2B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565EC0C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8" w:type="dxa"/>
          </w:tcPr>
          <w:p w14:paraId="0C158BA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w:t>
            </w:r>
          </w:p>
        </w:tc>
      </w:tr>
      <w:tr w:rsidR="002B1C74" w:rsidRPr="002F2FDF" w14:paraId="36B285AE" w14:textId="77777777">
        <w:tc>
          <w:tcPr>
            <w:tcW w:w="1860" w:type="dxa"/>
          </w:tcPr>
          <w:p w14:paraId="28934D2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Опытные самолеты разных лиц и организаций</w:t>
            </w:r>
          </w:p>
        </w:tc>
        <w:tc>
          <w:tcPr>
            <w:tcW w:w="658" w:type="dxa"/>
          </w:tcPr>
          <w:p w14:paraId="360348C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709" w:type="dxa"/>
          </w:tcPr>
          <w:p w14:paraId="370BC6F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w:t>
            </w:r>
          </w:p>
        </w:tc>
        <w:tc>
          <w:tcPr>
            <w:tcW w:w="567" w:type="dxa"/>
          </w:tcPr>
          <w:p w14:paraId="59DC04C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709" w:type="dxa"/>
          </w:tcPr>
          <w:p w14:paraId="68B068C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w:t>
            </w:r>
          </w:p>
        </w:tc>
        <w:tc>
          <w:tcPr>
            <w:tcW w:w="567" w:type="dxa"/>
          </w:tcPr>
          <w:p w14:paraId="52B1CC9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708" w:type="dxa"/>
          </w:tcPr>
          <w:p w14:paraId="0A021B8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709" w:type="dxa"/>
          </w:tcPr>
          <w:p w14:paraId="0DE650F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709" w:type="dxa"/>
          </w:tcPr>
          <w:p w14:paraId="57BC446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c>
          <w:tcPr>
            <w:tcW w:w="709" w:type="dxa"/>
          </w:tcPr>
          <w:p w14:paraId="6C982FB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w:t>
            </w:r>
          </w:p>
        </w:tc>
        <w:tc>
          <w:tcPr>
            <w:tcW w:w="708" w:type="dxa"/>
          </w:tcPr>
          <w:p w14:paraId="256BE16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180</w:t>
            </w:r>
          </w:p>
        </w:tc>
      </w:tr>
      <w:tr w:rsidR="002B1C74" w:rsidRPr="002F2FDF" w14:paraId="54840CA4" w14:textId="77777777">
        <w:tc>
          <w:tcPr>
            <w:tcW w:w="1860" w:type="dxa"/>
          </w:tcPr>
          <w:p w14:paraId="79BF419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Прочие, а также построенные, но не сданные</w:t>
            </w:r>
          </w:p>
        </w:tc>
        <w:tc>
          <w:tcPr>
            <w:tcW w:w="658" w:type="dxa"/>
          </w:tcPr>
          <w:p w14:paraId="3943645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09" w:type="dxa"/>
          </w:tcPr>
          <w:p w14:paraId="696C4F0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67" w:type="dxa"/>
          </w:tcPr>
          <w:p w14:paraId="7B20334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709" w:type="dxa"/>
          </w:tcPr>
          <w:p w14:paraId="1D5B268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567" w:type="dxa"/>
          </w:tcPr>
          <w:p w14:paraId="4CE28BE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708" w:type="dxa"/>
          </w:tcPr>
          <w:p w14:paraId="2A1EA60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w:t>
            </w:r>
          </w:p>
        </w:tc>
        <w:tc>
          <w:tcPr>
            <w:tcW w:w="709" w:type="dxa"/>
          </w:tcPr>
          <w:p w14:paraId="74D3B3A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w:t>
            </w:r>
          </w:p>
        </w:tc>
        <w:tc>
          <w:tcPr>
            <w:tcW w:w="709" w:type="dxa"/>
          </w:tcPr>
          <w:p w14:paraId="78A0037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136</w:t>
            </w:r>
          </w:p>
        </w:tc>
        <w:tc>
          <w:tcPr>
            <w:tcW w:w="709" w:type="dxa"/>
          </w:tcPr>
          <w:p w14:paraId="2DB167A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161</w:t>
            </w:r>
          </w:p>
        </w:tc>
        <w:tc>
          <w:tcPr>
            <w:tcW w:w="708" w:type="dxa"/>
          </w:tcPr>
          <w:p w14:paraId="09E2953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429</w:t>
            </w:r>
          </w:p>
        </w:tc>
      </w:tr>
      <w:tr w:rsidR="002B1C74" w:rsidRPr="002F2FDF" w14:paraId="7ED01122" w14:textId="77777777">
        <w:tc>
          <w:tcPr>
            <w:tcW w:w="1860" w:type="dxa"/>
            <w:tcBorders>
              <w:bottom w:val="single" w:sz="12" w:space="0" w:color="auto"/>
            </w:tcBorders>
          </w:tcPr>
          <w:p w14:paraId="68E5D45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самолетов</w:t>
            </w:r>
          </w:p>
        </w:tc>
        <w:tc>
          <w:tcPr>
            <w:tcW w:w="658" w:type="dxa"/>
            <w:tcBorders>
              <w:bottom w:val="single" w:sz="12" w:space="0" w:color="auto"/>
            </w:tcBorders>
          </w:tcPr>
          <w:p w14:paraId="54108CA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709" w:type="dxa"/>
            <w:tcBorders>
              <w:bottom w:val="single" w:sz="12" w:space="0" w:color="auto"/>
            </w:tcBorders>
          </w:tcPr>
          <w:p w14:paraId="19F114E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w:t>
            </w:r>
          </w:p>
        </w:tc>
        <w:tc>
          <w:tcPr>
            <w:tcW w:w="567" w:type="dxa"/>
            <w:tcBorders>
              <w:bottom w:val="single" w:sz="12" w:space="0" w:color="auto"/>
            </w:tcBorders>
          </w:tcPr>
          <w:p w14:paraId="50BC804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w:t>
            </w:r>
          </w:p>
        </w:tc>
        <w:tc>
          <w:tcPr>
            <w:tcW w:w="709" w:type="dxa"/>
            <w:tcBorders>
              <w:bottom w:val="single" w:sz="12" w:space="0" w:color="auto"/>
            </w:tcBorders>
          </w:tcPr>
          <w:p w14:paraId="6A929FE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170</w:t>
            </w:r>
          </w:p>
        </w:tc>
        <w:tc>
          <w:tcPr>
            <w:tcW w:w="567" w:type="dxa"/>
            <w:tcBorders>
              <w:bottom w:val="single" w:sz="12" w:space="0" w:color="auto"/>
            </w:tcBorders>
          </w:tcPr>
          <w:p w14:paraId="160E296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280</w:t>
            </w:r>
          </w:p>
        </w:tc>
        <w:tc>
          <w:tcPr>
            <w:tcW w:w="708" w:type="dxa"/>
            <w:tcBorders>
              <w:bottom w:val="single" w:sz="12" w:space="0" w:color="auto"/>
            </w:tcBorders>
          </w:tcPr>
          <w:p w14:paraId="38573A3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535</w:t>
            </w:r>
          </w:p>
        </w:tc>
        <w:tc>
          <w:tcPr>
            <w:tcW w:w="709" w:type="dxa"/>
            <w:tcBorders>
              <w:bottom w:val="single" w:sz="12" w:space="0" w:color="auto"/>
            </w:tcBorders>
          </w:tcPr>
          <w:p w14:paraId="056256F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1305</w:t>
            </w:r>
          </w:p>
        </w:tc>
        <w:tc>
          <w:tcPr>
            <w:tcW w:w="709" w:type="dxa"/>
            <w:tcBorders>
              <w:bottom w:val="single" w:sz="12" w:space="0" w:color="auto"/>
            </w:tcBorders>
          </w:tcPr>
          <w:p w14:paraId="28AEC73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1870</w:t>
            </w:r>
          </w:p>
        </w:tc>
        <w:tc>
          <w:tcPr>
            <w:tcW w:w="709" w:type="dxa"/>
            <w:tcBorders>
              <w:bottom w:val="single" w:sz="12" w:space="0" w:color="auto"/>
            </w:tcBorders>
          </w:tcPr>
          <w:p w14:paraId="541CD35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1897</w:t>
            </w:r>
          </w:p>
        </w:tc>
        <w:tc>
          <w:tcPr>
            <w:tcW w:w="708" w:type="dxa"/>
            <w:tcBorders>
              <w:bottom w:val="single" w:sz="12" w:space="0" w:color="auto"/>
            </w:tcBorders>
          </w:tcPr>
          <w:p w14:paraId="70E43B9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6262</w:t>
            </w:r>
          </w:p>
        </w:tc>
      </w:tr>
    </w:tbl>
    <w:p w14:paraId="0F2E458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время Первой мировой войны самолетостроение в России развивалось недостаточно как в количественном, так и в каче</w:t>
      </w:r>
      <w:r w:rsidRPr="002F2FDF">
        <w:rPr>
          <w:rFonts w:ascii="Times New Roman" w:hAnsi="Times New Roman" w:cs="Times New Roman"/>
          <w:color w:val="000000" w:themeColor="text1"/>
          <w:kern w:val="2"/>
          <w:sz w:val="16"/>
          <w:szCs w:val="16"/>
        </w:rPr>
        <w:softHyphen/>
        <w:t>ственном отношении. Общий выпуск самолетов - около 5600 эк</w:t>
      </w:r>
      <w:r w:rsidRPr="002F2FDF">
        <w:rPr>
          <w:rFonts w:ascii="Times New Roman" w:hAnsi="Times New Roman" w:cs="Times New Roman"/>
          <w:color w:val="000000" w:themeColor="text1"/>
          <w:kern w:val="2"/>
          <w:sz w:val="16"/>
          <w:szCs w:val="16"/>
        </w:rPr>
        <w:softHyphen/>
        <w:t>земпляров за сравнимый срок - до конца 1917 г. - был в общем в четыре раза меньше, чем во Франции, Англии или Германии.</w:t>
      </w:r>
    </w:p>
    <w:p w14:paraId="7D2F2A5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Две трети выпущенных самолетов были копиями французских в/ типов -</w:t>
      </w:r>
      <w:r w:rsidRPr="002F2FDF">
        <w:rPr>
          <w:rFonts w:ascii="Times New Roman" w:hAnsi="Times New Roman" w:cs="Times New Roman"/>
          <w:color w:val="000000" w:themeColor="text1"/>
          <w:kern w:val="2"/>
          <w:sz w:val="16"/>
          <w:szCs w:val="16"/>
          <w:vertAlign w:val="superscript"/>
        </w:rPr>
        <w:t>п</w:t>
      </w:r>
      <w:r w:rsidRPr="002F2FDF">
        <w:rPr>
          <w:rFonts w:ascii="Times New Roman" w:hAnsi="Times New Roman" w:cs="Times New Roman"/>
          <w:color w:val="000000" w:themeColor="text1"/>
          <w:kern w:val="2"/>
          <w:sz w:val="16"/>
          <w:szCs w:val="16"/>
        </w:rPr>
        <w:t>Ф9рмэнов","Вуэзенов”, "Ньюпоро", "Морэнов" и "Спадов".</w:t>
      </w:r>
    </w:p>
    <w:p w14:paraId="1577DF3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Правда, они воспроизводились без большого опоздания. Из оте</w:t>
      </w:r>
      <w:r w:rsidRPr="002F2FDF">
        <w:rPr>
          <w:rFonts w:ascii="Times New Roman" w:hAnsi="Times New Roman" w:cs="Times New Roman"/>
          <w:color w:val="000000" w:themeColor="text1"/>
          <w:kern w:val="2"/>
          <w:sz w:val="16"/>
          <w:szCs w:val="16"/>
        </w:rPr>
        <w:softHyphen/>
        <w:t>чественных образцов серийно выпускались летающие лодки "М", разведчики "Лебедь" и "Анэтрэ", бомбардировщики "Илья Муромец" и некоторые другие. Наличие в производстве истребителей "Нью</w:t>
      </w:r>
      <w:r w:rsidRPr="002F2FDF">
        <w:rPr>
          <w:rFonts w:ascii="Times New Roman" w:hAnsi="Times New Roman" w:cs="Times New Roman"/>
          <w:color w:val="000000" w:themeColor="text1"/>
          <w:kern w:val="2"/>
          <w:sz w:val="16"/>
          <w:szCs w:val="16"/>
        </w:rPr>
        <w:softHyphen/>
        <w:t>пор" снижало интерес к созданию своих истребителей, которых проектировалось и строилось мало. Опытных самолетов было много - до сотни образцов, но в серию шла лишь малая часть их.</w:t>
      </w:r>
    </w:p>
    <w:p w14:paraId="32BBF16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Русские самолеты почти не развивались в смысле новых схем и конструкций. Заграничные поставки не превосходили 20$ производства на русских заводах и не меняли общей картины. Отставание стало очень значительным и заметным в 1917 г. Количество самолетов на фронте в 1916-1917 гг. было 500-550 экземпляров, качественно в значительной части уступавших самолетам противника.</w:t>
      </w:r>
    </w:p>
    <w:p w14:paraId="6F29499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Русским летчикам приходилось сражаться </w:t>
      </w:r>
      <w:r w:rsidRPr="002F2FDF">
        <w:rPr>
          <w:rFonts w:ascii="Times New Roman" w:hAnsi="Times New Roman" w:cs="Times New Roman"/>
          <w:smallCaps/>
          <w:color w:val="000000" w:themeColor="text1"/>
          <w:kern w:val="2"/>
          <w:sz w:val="16"/>
          <w:szCs w:val="16"/>
        </w:rPr>
        <w:t xml:space="preserve">е </w:t>
      </w:r>
      <w:r w:rsidRPr="002F2FDF">
        <w:rPr>
          <w:rFonts w:ascii="Times New Roman" w:hAnsi="Times New Roman" w:cs="Times New Roman"/>
          <w:color w:val="000000" w:themeColor="text1"/>
          <w:kern w:val="2"/>
          <w:sz w:val="16"/>
          <w:szCs w:val="16"/>
        </w:rPr>
        <w:t>очень тяжелых условиях. Правда, и боевых действий авиации на русском фрон</w:t>
      </w:r>
      <w:r w:rsidRPr="002F2FDF">
        <w:rPr>
          <w:rFonts w:ascii="Times New Roman" w:hAnsi="Times New Roman" w:cs="Times New Roman"/>
          <w:color w:val="000000" w:themeColor="text1"/>
          <w:kern w:val="2"/>
          <w:sz w:val="16"/>
          <w:szCs w:val="16"/>
        </w:rPr>
        <w:softHyphen/>
        <w:t>те было в несколько раз меньше, чем на французском, где была сосредоточена основная масса немецкой авиации.</w:t>
      </w:r>
    </w:p>
    <w:p w14:paraId="1DF84C9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A01680" w14:textId="358313A8"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2F2FDF">
        <w:rPr>
          <w:rFonts w:ascii="Times New Roman" w:hAnsi="Times New Roman" w:cs="Times New Roman"/>
          <w:color w:val="000000" w:themeColor="text1"/>
          <w:kern w:val="2"/>
          <w:sz w:val="16"/>
          <w:szCs w:val="16"/>
          <w:lang w:val="en-US"/>
        </w:rPr>
        <w:t xml:space="preserve">December </w:t>
      </w:r>
      <w:r w:rsidR="00601560" w:rsidRPr="00601560">
        <w:rPr>
          <w:rFonts w:ascii="Times New Roman" w:hAnsi="Times New Roman" w:cs="Times New Roman"/>
          <w:color w:val="000000" w:themeColor="text1"/>
          <w:kern w:val="2"/>
          <w:sz w:val="16"/>
          <w:szCs w:val="16"/>
          <w:lang w:val="en-US"/>
        </w:rPr>
        <w:t>9 (</w:t>
      </w:r>
      <w:r w:rsidRPr="002F2FDF">
        <w:rPr>
          <w:rFonts w:ascii="Times New Roman" w:hAnsi="Times New Roman" w:cs="Times New Roman"/>
          <w:color w:val="000000" w:themeColor="text1"/>
          <w:kern w:val="2"/>
          <w:sz w:val="16"/>
          <w:szCs w:val="16"/>
          <w:lang w:val="en-US"/>
        </w:rPr>
        <w:t>22</w:t>
      </w:r>
      <w:r w:rsidR="00601560" w:rsidRPr="00601560">
        <w:rPr>
          <w:rFonts w:ascii="Times New Roman" w:hAnsi="Times New Roman" w:cs="Times New Roman"/>
          <w:color w:val="000000" w:themeColor="text1"/>
          <w:kern w:val="2"/>
          <w:sz w:val="16"/>
          <w:szCs w:val="16"/>
          <w:lang w:val="en-US"/>
        </w:rPr>
        <w:t>)</w:t>
      </w:r>
      <w:r w:rsidRPr="002F2FDF">
        <w:rPr>
          <w:rFonts w:ascii="Times New Roman" w:hAnsi="Times New Roman" w:cs="Times New Roman"/>
          <w:color w:val="000000" w:themeColor="text1"/>
          <w:kern w:val="2"/>
          <w:sz w:val="16"/>
          <w:szCs w:val="16"/>
          <w:lang w:val="en-US"/>
        </w:rPr>
        <w:t>, 1917 Central Powers and Soviets open peace negotiations at Brest-Litovsk (1067).</w:t>
      </w:r>
    </w:p>
    <w:p w14:paraId="6D8C02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F54EF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декабря 1917 большевики начали мирные переговоры в Брест-Литовске (1067).</w:t>
      </w:r>
    </w:p>
    <w:p w14:paraId="686F51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Германию представляли статс-секретарь, министр иностранных дел Кюлбман и г Гофман, Австрию - министр иностранных дел Чернин, Советскую делегацию возглавлял Л.Д.Т., который потребовал мира без аннексий и контрибуций с соблюдением права народов распоряжаться своей судьбой (3908,272).</w:t>
      </w:r>
    </w:p>
    <w:p w14:paraId="119279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515C46" w14:textId="77777777" w:rsidR="00273B27" w:rsidRPr="002F2FDF" w:rsidRDefault="00273B27"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9 (22) декабря 1917 после бесконечных собраний и выборов солдатских комитетов в дивизионе, группе и отрядах авиагруппу Казакова возглавил летчик-солдат И.У.Павлов. 19 декабря на общем собрании Казакова выбрали командиром отряда, которым он командовал еще в середине войны (15464).</w:t>
      </w:r>
    </w:p>
    <w:p w14:paraId="3B4DBF26" w14:textId="77777777" w:rsidR="00273B27" w:rsidRPr="002F2FDF" w:rsidRDefault="00273B27" w:rsidP="0083075A">
      <w:pPr>
        <w:pStyle w:val="2"/>
        <w:spacing w:before="0" w:beforeAutospacing="0" w:after="0" w:afterAutospacing="0"/>
        <w:jc w:val="both"/>
        <w:rPr>
          <w:b w:val="0"/>
          <w:color w:val="000000" w:themeColor="text1"/>
          <w:kern w:val="2"/>
          <w:sz w:val="16"/>
          <w:szCs w:val="16"/>
        </w:rPr>
      </w:pPr>
    </w:p>
    <w:p w14:paraId="4A8A8ACD" w14:textId="77777777" w:rsidR="00637EA0" w:rsidRPr="00FB4F67" w:rsidRDefault="00637EA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9 (</w:t>
      </w:r>
      <w:r w:rsidRPr="00FB4F67">
        <w:rPr>
          <w:rFonts w:ascii="Times New Roman" w:hAnsi="Times New Roman" w:cs="Times New Roman"/>
          <w:color w:val="0070C0"/>
          <w:sz w:val="16"/>
          <w:szCs w:val="16"/>
        </w:rPr>
        <w:t>22</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декабря 1917 г. в Киеве был создан Генеральный секретариат военно-морских дел Украины (позже ставший Морским министерством Украины), который быстро перешел к управлению бывшим российским Черноморским флотом, сосредоточенным в Севастополе и на Азовском море (23525).</w:t>
      </w:r>
    </w:p>
    <w:p w14:paraId="3FFBC159" w14:textId="77777777" w:rsidR="00637EA0" w:rsidRPr="00FB4F67" w:rsidRDefault="00637EA0" w:rsidP="0083075A">
      <w:pPr>
        <w:spacing w:after="0" w:line="240" w:lineRule="auto"/>
        <w:jc w:val="both"/>
        <w:rPr>
          <w:rFonts w:ascii="Times New Roman" w:hAnsi="Times New Roman" w:cs="Times New Roman"/>
          <w:color w:val="0070C0"/>
          <w:sz w:val="16"/>
          <w:szCs w:val="16"/>
        </w:rPr>
      </w:pPr>
    </w:p>
    <w:p w14:paraId="30AAE6D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7670F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B9B8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декабря 1917 большевики договорились с левыми эсерами о вхождении в правительство (1348,88) и те получили посты наркомов земледелия, юстиции, почт и телеграфа (3908,272).</w:t>
      </w:r>
    </w:p>
    <w:p w14:paraId="6AF337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AE080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декабря 1917 большевики предоставили левым эсерам три министерских поста в новом правительстве России (4962).</w:t>
      </w:r>
    </w:p>
    <w:p w14:paraId="2276E19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B8362A" w14:textId="77777777" w:rsidR="00B6489E" w:rsidRPr="002F2FDF" w:rsidRDefault="00B6489E"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9 (22) декабря 1917 г. помощником Комиссара по Государственному банку на правах товарища управляющего становится Г. Я. Сокольников. А 1 января 1918 г. (19 декабря 1917 г.) на посту Комиссара банка В. В. Оболенского сменяет его помощник Ю. Л. Пятаков.</w:t>
      </w:r>
    </w:p>
    <w:p w14:paraId="4702D5D4" w14:textId="77777777" w:rsidR="00B6489E" w:rsidRPr="002F2FDF" w:rsidRDefault="00B6489E"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Первой задачей "красных банкиров" было обеспечение деньгами центральных наркоматов и губерний. Если до декабря 1917 г. СНК в своих решениях по выделению тех или иных сумм весьма скупо раздавал по 30-40 тысяч рублей из пятимиллионного фонда, который удалось заполучить в Госбанке, то с середины декабря 1917 г. Совнарком предписывал выдавать суммы в несколько десятков миллионов рублей.7' Это говорит о том, что касса Госбанка и Казначейства к середине декабря находилась в полном распоряжении СНК (18085).</w:t>
      </w:r>
    </w:p>
    <w:p w14:paraId="52D2076C" w14:textId="77777777" w:rsidR="00B6489E" w:rsidRPr="002F2FDF" w:rsidRDefault="00B6489E"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Следующей задачей финансовой политики Советской власти стало овладение частными банками. Несмотря на то, что перед Октябрьской революцией РСДРП(б) высказывалась за создание единого банка, что означало национализацию и слияние в единое целое всех кредитных учреждений России, СНК не спешил проводить эту идею на практике. Советское правительство попыталось поставить под свой контроль частные банки, не подвергая их огосударствлению.</w:t>
      </w:r>
    </w:p>
    <w:p w14:paraId="5E73992B" w14:textId="77777777" w:rsidR="00B6489E" w:rsidRPr="002F2FDF" w:rsidRDefault="00B6489E" w:rsidP="0083075A">
      <w:pPr>
        <w:pStyle w:val="a3"/>
        <w:rPr>
          <w:color w:val="000000" w:themeColor="text1"/>
          <w:lang w:val="ru-RU"/>
        </w:rPr>
      </w:pPr>
      <w:r w:rsidRPr="002F2FDF">
        <w:rPr>
          <w:rFonts w:eastAsia="Times New Roman"/>
          <w:color w:val="000000" w:themeColor="text1"/>
          <w:lang w:val="ru-RU" w:eastAsia="ru-RU"/>
        </w:rPr>
        <w:t>Частные коммерческие банки Петрограда стали закрываться 7 ноября (25 октября) 1917 г. около полудня. 8 ноября (26 октября) они не работали. 9 ноября (27 октября) представители банков на своем совещании постановили, что банки будут открыты в часы, когда открыт Госбанк. По желанию банкиры могли ограничить выдачу на одного клиента 10000 рублей наличными, а остальное выдавать чеками на Госбанк. 9-10 ноября (27-28 октября) банки работали с 12 до 13 часов, выдачи в некоторых из них превысили поступления, но паники у публики не было. 12 ноября (30 октября) банки закрылись вследствие напряженного положения на улицах и нарушения телефонной связи, кроме того, чеки на Госбанк оказались во многих случаях не оплачены. Банкиры решили сократить выдачу на клиента до 3000 рублей наличными, остальное опять выдавать чеками на Государственный банк.72 (18085)</w:t>
      </w:r>
    </w:p>
    <w:p w14:paraId="13C7E5C8" w14:textId="77777777" w:rsidR="00B6489E" w:rsidRPr="002F2FDF" w:rsidRDefault="00B6489E" w:rsidP="0083075A">
      <w:pPr>
        <w:pStyle w:val="a3"/>
        <w:rPr>
          <w:color w:val="000000" w:themeColor="text1"/>
          <w:lang w:val="ru-RU"/>
        </w:rPr>
      </w:pPr>
    </w:p>
    <w:p w14:paraId="76C6F75B" w14:textId="77777777" w:rsidR="00023CA1" w:rsidRPr="002F2FDF" w:rsidRDefault="00B6489E"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9 (</w:t>
      </w:r>
      <w:r w:rsidR="00023CA1" w:rsidRPr="002F2FDF">
        <w:rPr>
          <w:rFonts w:ascii="Times New Roman" w:eastAsia="Times New Roman" w:hAnsi="Times New Roman" w:cs="Times New Roman"/>
          <w:color w:val="000000" w:themeColor="text1"/>
          <w:kern w:val="2"/>
          <w:sz w:val="16"/>
          <w:szCs w:val="16"/>
          <w:lang w:eastAsia="ru-RU"/>
        </w:rPr>
        <w:t>22</w:t>
      </w:r>
      <w:r w:rsidRPr="002F2FDF">
        <w:rPr>
          <w:rFonts w:ascii="Times New Roman" w:eastAsia="Times New Roman" w:hAnsi="Times New Roman" w:cs="Times New Roman"/>
          <w:color w:val="000000" w:themeColor="text1"/>
          <w:kern w:val="2"/>
          <w:sz w:val="16"/>
          <w:szCs w:val="16"/>
          <w:lang w:eastAsia="ru-RU"/>
        </w:rPr>
        <w:t>)</w:t>
      </w:r>
      <w:r w:rsidR="00023CA1" w:rsidRPr="002F2FDF">
        <w:rPr>
          <w:rFonts w:ascii="Times New Roman" w:eastAsia="Times New Roman" w:hAnsi="Times New Roman" w:cs="Times New Roman"/>
          <w:color w:val="000000" w:themeColor="text1"/>
          <w:kern w:val="2"/>
          <w:sz w:val="16"/>
          <w:szCs w:val="16"/>
          <w:lang w:eastAsia="ru-RU"/>
        </w:rPr>
        <w:t xml:space="preserve"> декабря 1917 года отряд красногвардейцев по приказу ВЧК арестовал в помещении "Союза трудовой интеллигенции" стачечный комитет, непосредственно готовивший забастовку государственных служащих. В числе арестованных оказался А. М. Кондратьев - председатель "Союза союзов служащих государственных учреждений", занимавшегося общей организацией саботажа чиновников в стране. Предварительное расследование, проведённое ВЧК, выявило связи этой организации с кадетами, правыми эсерами, меньшевиками, а также источники финансирования саботажа (17466).</w:t>
      </w:r>
    </w:p>
    <w:p w14:paraId="4A0C45C2" w14:textId="77777777" w:rsidR="00023CA1" w:rsidRPr="002F2FDF" w:rsidRDefault="00023CA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DD0C4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22DC4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D76538" w14:textId="5823B318" w:rsidR="00FB0248" w:rsidRPr="002F2FDF" w:rsidRDefault="00FB0248" w:rsidP="0083075A">
      <w:pPr>
        <w:spacing w:after="0" w:line="240" w:lineRule="auto"/>
        <w:jc w:val="both"/>
        <w:rPr>
          <w:rFonts w:ascii="Times New Roman" w:hAnsi="Times New Roman" w:cs="Times New Roman"/>
          <w:color w:val="000000" w:themeColor="text1"/>
          <w:sz w:val="16"/>
          <w:szCs w:val="16"/>
          <w:shd w:val="clear" w:color="auto" w:fill="FBFCFC"/>
        </w:rPr>
      </w:pPr>
      <w:r w:rsidRPr="002F2FDF">
        <w:rPr>
          <w:rFonts w:ascii="Times New Roman" w:hAnsi="Times New Roman" w:cs="Times New Roman"/>
          <w:color w:val="000000" w:themeColor="text1"/>
          <w:sz w:val="16"/>
          <w:szCs w:val="16"/>
          <w:shd w:val="clear" w:color="auto" w:fill="FBFCFC"/>
        </w:rPr>
        <w:t xml:space="preserve">В ночь с 9 на 10 </w:t>
      </w:r>
      <w:r w:rsidR="00601560">
        <w:rPr>
          <w:rFonts w:ascii="Times New Roman" w:hAnsi="Times New Roman" w:cs="Times New Roman"/>
          <w:color w:val="000000" w:themeColor="text1"/>
          <w:sz w:val="16"/>
          <w:szCs w:val="16"/>
          <w:shd w:val="clear" w:color="auto" w:fill="FBFCFC"/>
        </w:rPr>
        <w:t xml:space="preserve">(22 – 23) </w:t>
      </w:r>
      <w:r w:rsidRPr="002F2FDF">
        <w:rPr>
          <w:rFonts w:ascii="Times New Roman" w:hAnsi="Times New Roman" w:cs="Times New Roman"/>
          <w:color w:val="000000" w:themeColor="text1"/>
          <w:sz w:val="16"/>
          <w:szCs w:val="16"/>
          <w:shd w:val="clear" w:color="auto" w:fill="FBFCFC"/>
        </w:rPr>
        <w:t>декабря 1917 года два миноносца с торпедными катерами на буксире прокрались от Венеции к Триесту. В районе полуночи началась атака. За 2,5 часа катера МАС 9 и МАС 13 преодолели боновые заграждения (используя специально разработанные гидравлические ножницы), оставшись при этом незамеченными. Затем МАС 9 менее, чем с 1 кабельтова, влепил две торпеды в борт австрийского броненосца «Вена», который через 5 минут оказался на дне. Катеру МАС 13 повезло меньше. Его две торпеды прошли мимо броненосца «Будапешт» и взорвались у стенки мола. Наведя шороху, катера беспрепятственно покинули место атаки, отойдя к ожидающим их миноносцам (21496).</w:t>
      </w:r>
    </w:p>
    <w:p w14:paraId="0A52FEB2" w14:textId="77777777" w:rsidR="00FB0248" w:rsidRPr="002F2FDF" w:rsidRDefault="00FB0248" w:rsidP="0083075A">
      <w:pPr>
        <w:spacing w:after="0" w:line="240" w:lineRule="auto"/>
        <w:jc w:val="both"/>
        <w:rPr>
          <w:rFonts w:ascii="Times New Roman" w:hAnsi="Times New Roman" w:cs="Times New Roman"/>
          <w:color w:val="000000" w:themeColor="text1"/>
          <w:sz w:val="16"/>
          <w:szCs w:val="16"/>
          <w:shd w:val="clear" w:color="auto" w:fill="FBFCFC"/>
        </w:rPr>
      </w:pPr>
    </w:p>
    <w:p w14:paraId="10CDF89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(22) декабря 1917 Конгресс США ввел сухой закон в стране (4962).</w:t>
      </w:r>
    </w:p>
    <w:p w14:paraId="48C71EB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F2F6A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18EC3A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84B4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декабря 1917 на центральном гидроскладе в Петрограде при пожаре погибли большие запасы имущества, моторов и вооружения. Кое-что осталось только на Гамаюне (99,119). - наверное тут что-то не так, вряд ли два пожара и основной - 19 декабря</w:t>
      </w:r>
    </w:p>
    <w:p w14:paraId="32FC0C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7EF3E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360DC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A05D0A" w14:textId="77777777" w:rsidR="00192DB3" w:rsidRPr="002F2FDF" w:rsidRDefault="00192D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10 (23) декабря 1917 Авиаканц назначил Всероссийский воздухоплавательный съезд. Для предварительной подготовки вопросов съезда инспектор по воздухоплаванию Северного фрон</w:t>
      </w:r>
      <w:r w:rsidRPr="002F2FDF">
        <w:rPr>
          <w:rFonts w:ascii="Times New Roman" w:hAnsi="Times New Roman" w:cs="Times New Roman"/>
          <w:color w:val="000000" w:themeColor="text1"/>
          <w:sz w:val="16"/>
          <w:szCs w:val="16"/>
        </w:rPr>
        <w:softHyphen/>
        <w:t>та созвал 26 ноября в Пскове съезд воздухопла</w:t>
      </w:r>
      <w:r w:rsidRPr="002F2FDF">
        <w:rPr>
          <w:rFonts w:ascii="Times New Roman" w:hAnsi="Times New Roman" w:cs="Times New Roman"/>
          <w:color w:val="000000" w:themeColor="text1"/>
          <w:sz w:val="16"/>
          <w:szCs w:val="16"/>
        </w:rPr>
        <w:softHyphen/>
        <w:t>вателей фронта. Каждая часть послала на этот съезд двух делегатов: по одному от офицерского состава и от солдат. Попытка отвлечь внимание делегатов на решение лишь технических вопро</w:t>
      </w:r>
      <w:r w:rsidRPr="002F2FDF">
        <w:rPr>
          <w:rFonts w:ascii="Times New Roman" w:hAnsi="Times New Roman" w:cs="Times New Roman"/>
          <w:color w:val="000000" w:themeColor="text1"/>
          <w:sz w:val="16"/>
          <w:szCs w:val="16"/>
        </w:rPr>
        <w:softHyphen/>
        <w:t>сов не удалась, съезд избрал своим почётным председателем В.И. Ленина и направил ему при</w:t>
      </w:r>
      <w:r w:rsidRPr="002F2FDF">
        <w:rPr>
          <w:rFonts w:ascii="Times New Roman" w:hAnsi="Times New Roman" w:cs="Times New Roman"/>
          <w:color w:val="000000" w:themeColor="text1"/>
          <w:sz w:val="16"/>
          <w:szCs w:val="16"/>
        </w:rPr>
        <w:softHyphen/>
        <w:t>ветственную телеграмму. По совету комиссара Северного фронта Б.П. Позерна съезд признал себя неправомочным, так как при выборе деле</w:t>
      </w:r>
      <w:r w:rsidRPr="002F2FDF">
        <w:rPr>
          <w:rFonts w:ascii="Times New Roman" w:hAnsi="Times New Roman" w:cs="Times New Roman"/>
          <w:color w:val="000000" w:themeColor="text1"/>
          <w:sz w:val="16"/>
          <w:szCs w:val="16"/>
        </w:rPr>
        <w:softHyphen/>
        <w:t>гатов не соблюдались принципы демократии (пропорциональное представительство). Съезд избрал Временный революционный комитет (ВРК) воздухоплавательных частей Северного фронта в составе А.Д. Анощенко, Голубева, Васи</w:t>
      </w:r>
      <w:r w:rsidRPr="002F2FDF">
        <w:rPr>
          <w:rFonts w:ascii="Times New Roman" w:hAnsi="Times New Roman" w:cs="Times New Roman"/>
          <w:color w:val="000000" w:themeColor="text1"/>
          <w:sz w:val="16"/>
          <w:szCs w:val="16"/>
        </w:rPr>
        <w:softHyphen/>
        <w:t>льева, Парменова, Среднова и Ольденборгера,на который возложили подготовку и созыв право</w:t>
      </w:r>
      <w:r w:rsidRPr="002F2FDF">
        <w:rPr>
          <w:rFonts w:ascii="Times New Roman" w:hAnsi="Times New Roman" w:cs="Times New Roman"/>
          <w:color w:val="000000" w:themeColor="text1"/>
          <w:sz w:val="16"/>
          <w:szCs w:val="16"/>
        </w:rPr>
        <w:softHyphen/>
        <w:t>мочного демократического съезда воздухоплава</w:t>
      </w:r>
      <w:r w:rsidRPr="002F2FDF">
        <w:rPr>
          <w:rFonts w:ascii="Times New Roman" w:hAnsi="Times New Roman" w:cs="Times New Roman"/>
          <w:color w:val="000000" w:themeColor="text1"/>
          <w:sz w:val="16"/>
          <w:szCs w:val="16"/>
        </w:rPr>
        <w:softHyphen/>
        <w:t>тельных частей фронта, наблюдение за работой инспектора воздухоплавания фронта и т.д.</w:t>
      </w:r>
    </w:p>
    <w:p w14:paraId="211DFA76" w14:textId="77777777" w:rsidR="00192DB3" w:rsidRPr="002F2FDF" w:rsidRDefault="00192D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6-14 декабря в Пскове состоялся новый съезд воздухоплавателей Северного фронта, на кото</w:t>
      </w:r>
      <w:r w:rsidRPr="002F2FDF">
        <w:rPr>
          <w:rFonts w:ascii="Times New Roman" w:hAnsi="Times New Roman" w:cs="Times New Roman"/>
          <w:color w:val="000000" w:themeColor="text1"/>
          <w:sz w:val="16"/>
          <w:szCs w:val="16"/>
        </w:rPr>
        <w:softHyphen/>
        <w:t>рый прибыло 72 делегата. На съезде избрали ВРК воздухоплавательных частей Северного фрон</w:t>
      </w:r>
      <w:r w:rsidRPr="002F2FDF">
        <w:rPr>
          <w:rFonts w:ascii="Times New Roman" w:hAnsi="Times New Roman" w:cs="Times New Roman"/>
          <w:color w:val="000000" w:themeColor="text1"/>
          <w:sz w:val="16"/>
          <w:szCs w:val="16"/>
        </w:rPr>
        <w:softHyphen/>
        <w:t>та в составе девяти человек (два офицера, ун</w:t>
      </w:r>
      <w:r w:rsidRPr="002F2FDF">
        <w:rPr>
          <w:rFonts w:ascii="Times New Roman" w:hAnsi="Times New Roman" w:cs="Times New Roman"/>
          <w:color w:val="000000" w:themeColor="text1"/>
          <w:sz w:val="16"/>
          <w:szCs w:val="16"/>
        </w:rPr>
        <w:softHyphen/>
        <w:t>тер-офицер, два специалиста, три писаря и один строевой солдат), ставший во главе воздухопла</w:t>
      </w:r>
      <w:r w:rsidRPr="002F2FDF">
        <w:rPr>
          <w:rFonts w:ascii="Times New Roman" w:hAnsi="Times New Roman" w:cs="Times New Roman"/>
          <w:color w:val="000000" w:themeColor="text1"/>
          <w:sz w:val="16"/>
          <w:szCs w:val="16"/>
        </w:rPr>
        <w:softHyphen/>
        <w:t>вания фронта вместо упразднённой инспекции. Комитет избрал коллегию по управлению воз</w:t>
      </w:r>
      <w:r w:rsidRPr="002F2FDF">
        <w:rPr>
          <w:rFonts w:ascii="Times New Roman" w:hAnsi="Times New Roman" w:cs="Times New Roman"/>
          <w:color w:val="000000" w:themeColor="text1"/>
          <w:sz w:val="16"/>
          <w:szCs w:val="16"/>
        </w:rPr>
        <w:softHyphen/>
        <w:t>духоплавательными частями округа в составе Фарковича, Ольденборгера и Сорокина. На ВРК возложили также функции снабжения. Команд</w:t>
      </w:r>
      <w:r w:rsidRPr="002F2FDF">
        <w:rPr>
          <w:rFonts w:ascii="Times New Roman" w:hAnsi="Times New Roman" w:cs="Times New Roman"/>
          <w:color w:val="000000" w:themeColor="text1"/>
          <w:sz w:val="16"/>
          <w:szCs w:val="16"/>
        </w:rPr>
        <w:softHyphen/>
        <w:t>ный состав воздухоплавательных частей поста</w:t>
      </w:r>
      <w:r w:rsidRPr="002F2FDF">
        <w:rPr>
          <w:rFonts w:ascii="Times New Roman" w:hAnsi="Times New Roman" w:cs="Times New Roman"/>
          <w:color w:val="000000" w:themeColor="text1"/>
          <w:sz w:val="16"/>
          <w:szCs w:val="16"/>
        </w:rPr>
        <w:softHyphen/>
        <w:t>новлением съезда стал исполнительным органом комитета части. Была избрана комиссия для уча</w:t>
      </w:r>
      <w:r w:rsidRPr="002F2FDF">
        <w:rPr>
          <w:rFonts w:ascii="Times New Roman" w:hAnsi="Times New Roman" w:cs="Times New Roman"/>
          <w:color w:val="000000" w:themeColor="text1"/>
          <w:sz w:val="16"/>
          <w:szCs w:val="16"/>
        </w:rPr>
        <w:softHyphen/>
        <w:t>стия в работе по созыву Всероссийского воздухо</w:t>
      </w:r>
      <w:r w:rsidRPr="002F2FDF">
        <w:rPr>
          <w:rFonts w:ascii="Times New Roman" w:hAnsi="Times New Roman" w:cs="Times New Roman"/>
          <w:color w:val="000000" w:themeColor="text1"/>
          <w:sz w:val="16"/>
          <w:szCs w:val="16"/>
        </w:rPr>
        <w:softHyphen/>
        <w:t>плавательного съезда, предназначенного объеди</w:t>
      </w:r>
      <w:r w:rsidRPr="002F2FDF">
        <w:rPr>
          <w:rFonts w:ascii="Times New Roman" w:hAnsi="Times New Roman" w:cs="Times New Roman"/>
          <w:color w:val="000000" w:themeColor="text1"/>
          <w:sz w:val="16"/>
          <w:szCs w:val="16"/>
        </w:rPr>
        <w:softHyphen/>
        <w:t>нить всех работников военного воздухоплавания и воздухоплавательной промышленности.</w:t>
      </w:r>
    </w:p>
    <w:p w14:paraId="161E52B1" w14:textId="77777777" w:rsidR="00192DB3" w:rsidRPr="002F2FDF" w:rsidRDefault="00192DB3"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Открывшийся 22 января 1918 г. в Петрогра</w:t>
      </w:r>
      <w:r w:rsidRPr="002F2FDF">
        <w:rPr>
          <w:rFonts w:ascii="Times New Roman" w:hAnsi="Times New Roman" w:cs="Times New Roman"/>
          <w:color w:val="000000" w:themeColor="text1"/>
          <w:sz w:val="16"/>
          <w:szCs w:val="16"/>
        </w:rPr>
        <w:softHyphen/>
        <w:t>де I Всероссийский воздухоплавательный съезд объявил о солидарности с советской властью и выделил из своего состава Всероссийский воз</w:t>
      </w:r>
      <w:r w:rsidRPr="002F2FDF">
        <w:rPr>
          <w:rFonts w:ascii="Times New Roman" w:hAnsi="Times New Roman" w:cs="Times New Roman"/>
          <w:color w:val="000000" w:themeColor="text1"/>
          <w:sz w:val="16"/>
          <w:szCs w:val="16"/>
        </w:rPr>
        <w:softHyphen/>
        <w:t>духоплавательный совет, который послал своих представителей во Всероссийскую коллегию по управлению Воздушным флотом Республики, а также образовал бюро по формированию крас</w:t>
      </w:r>
      <w:r w:rsidRPr="002F2FDF">
        <w:rPr>
          <w:rFonts w:ascii="Times New Roman" w:hAnsi="Times New Roman" w:cs="Times New Roman"/>
          <w:color w:val="000000" w:themeColor="text1"/>
          <w:sz w:val="16"/>
          <w:szCs w:val="16"/>
        </w:rPr>
        <w:softHyphen/>
        <w:t>ных воздухоплавательных отрядов (20120).</w:t>
      </w:r>
    </w:p>
    <w:p w14:paraId="24571144" w14:textId="77777777" w:rsidR="00192DB3" w:rsidRPr="002F2FDF" w:rsidRDefault="00192DB3" w:rsidP="0083075A">
      <w:pPr>
        <w:spacing w:after="0" w:line="240" w:lineRule="auto"/>
        <w:jc w:val="both"/>
        <w:rPr>
          <w:rFonts w:ascii="Times New Roman" w:hAnsi="Times New Roman" w:cs="Times New Roman"/>
          <w:color w:val="000000" w:themeColor="text1"/>
          <w:sz w:val="16"/>
          <w:szCs w:val="16"/>
        </w:rPr>
      </w:pPr>
    </w:p>
    <w:p w14:paraId="75F09D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декабря 1917 состоялось совещание Военно-революционного комитета при Ставке, на котором присутствовало 15 человек. Совещание реорганизовало ВРК при Ставке в Центральный военно-революционный комитет. Председателем комитета избран большевик Рогозинский (4216).</w:t>
      </w:r>
    </w:p>
    <w:p w14:paraId="2ACEEA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077A21" w14:textId="77777777" w:rsidR="00A074A8" w:rsidRPr="002F2FDF" w:rsidRDefault="00A074A8" w:rsidP="0083075A">
      <w:pPr>
        <w:pStyle w:val="a3"/>
        <w:rPr>
          <w:color w:val="000000" w:themeColor="text1"/>
          <w:kern w:val="2"/>
          <w:lang w:val="ru-RU"/>
        </w:rPr>
      </w:pPr>
      <w:r w:rsidRPr="002F2FDF">
        <w:rPr>
          <w:color w:val="000000" w:themeColor="text1"/>
          <w:kern w:val="2"/>
          <w:lang w:val="ru-RU"/>
        </w:rPr>
        <w:t>10 (23) декабря 1917 г. была сформирована 1-я воздушная эскадрилья Московского летательного отряда на основании распоряжения командующего войсками Московского военного округа. Уже 25 декабря эскадрилья отправилась из Москвы на</w:t>
      </w:r>
      <w:r w:rsidRPr="002F2FDF">
        <w:rPr>
          <w:rStyle w:val="380"/>
          <w:rFonts w:ascii="Times New Roman" w:hAnsi="Times New Roman" w:cs="Times New Roman"/>
          <w:i w:val="0"/>
          <w:color w:val="000000" w:themeColor="text1"/>
          <w:kern w:val="2"/>
          <w:sz w:val="16"/>
          <w:szCs w:val="16"/>
          <w:lang w:val="ru-RU"/>
        </w:rPr>
        <w:t xml:space="preserve"> «Революционный фронт против атамана Каледина».</w:t>
      </w:r>
      <w:r w:rsidRPr="002F2FDF">
        <w:rPr>
          <w:color w:val="000000" w:themeColor="text1"/>
          <w:kern w:val="2"/>
          <w:lang w:val="ru-RU"/>
        </w:rPr>
        <w:t xml:space="preserve"> По прибытии в Харьков, по </w:t>
      </w:r>
      <w:r w:rsidRPr="002F2FDF">
        <w:rPr>
          <w:color w:val="000000" w:themeColor="text1"/>
          <w:kern w:val="2"/>
          <w:lang w:val="ru-RU"/>
        </w:rPr>
        <w:lastRenderedPageBreak/>
        <w:t>приказанию Главковерха Антонова, эскадрилья была на</w:t>
      </w:r>
      <w:r w:rsidRPr="002F2FDF">
        <w:rPr>
          <w:color w:val="000000" w:themeColor="text1"/>
          <w:kern w:val="2"/>
          <w:lang w:val="ru-RU"/>
        </w:rPr>
        <w:softHyphen/>
        <w:t>правлена в г. Славянск, где находилась до мая 1918 г., когда была от</w:t>
      </w:r>
      <w:r w:rsidRPr="002F2FDF">
        <w:rPr>
          <w:color w:val="000000" w:themeColor="text1"/>
          <w:kern w:val="2"/>
          <w:lang w:val="ru-RU"/>
        </w:rPr>
        <w:softHyphen/>
        <w:t>правлена на пополнение в Воронеж. Помимо аэропланов «Фарман» и «Ньюпор», на снабжении части имелись и мотоциклы, в частности, «Клино» (С1упо). 1-я воздушная эскадрилья Московского летательного отряда базировалась в г. Славянске до мая 1918г., когда была выведена (15741).</w:t>
      </w:r>
    </w:p>
    <w:p w14:paraId="3CE53C53" w14:textId="77777777" w:rsidR="00A074A8" w:rsidRPr="002F2FDF" w:rsidRDefault="00A074A8" w:rsidP="0083075A">
      <w:pPr>
        <w:spacing w:after="0" w:line="240" w:lineRule="auto"/>
        <w:jc w:val="both"/>
        <w:rPr>
          <w:rFonts w:ascii="Times New Roman" w:hAnsi="Times New Roman" w:cs="Times New Roman"/>
          <w:color w:val="000000" w:themeColor="text1"/>
          <w:kern w:val="2"/>
          <w:sz w:val="16"/>
          <w:szCs w:val="16"/>
        </w:rPr>
      </w:pPr>
    </w:p>
    <w:p w14:paraId="41480B0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3DCD5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03F3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декабря 1917 Советское правительство было реорганизовано из однопартийного в коалиционное, состоявшее из 11 большевиков и 7 левых эсеров. Незадолго до подписания Брестского мира Ленин обсуждал с Прошьяном, одним из лидеров левых эсеров, вопрос о возможности слияния большевистской и левоэсеровской партий (9492).</w:t>
      </w:r>
    </w:p>
    <w:p w14:paraId="14985B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0CA13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декабря 1917 в Бахчисарае началось первое заседание крымско-татарского Курултая (4962).</w:t>
      </w:r>
    </w:p>
    <w:p w14:paraId="6390B0D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DBF78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51B2BE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41DA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декабря 1917 было подписано англо-французское соглашение о сферах деятельности в России (2443,389).</w:t>
      </w:r>
    </w:p>
    <w:p w14:paraId="666F44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9BA71E" w14:textId="77777777" w:rsidR="0070626D" w:rsidRPr="002F2FDF" w:rsidRDefault="0070626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декабря 1917 Англия и Франция заключили конвенцию, делившую Россию на сферы вторжения.</w:t>
      </w:r>
    </w:p>
    <w:p w14:paraId="4F671ABD" w14:textId="77777777" w:rsidR="0070626D" w:rsidRPr="002F2FDF" w:rsidRDefault="0070626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«Французам предоставлялось развить свои действия на территории, лежащей к северу от Черного моря, направив их «против врагов», т. е. германцев и враждебных русских войск;англичанам - на востоке от Черного моря, против Турции.</w:t>
      </w:r>
    </w:p>
    <w:p w14:paraId="4179B3A1" w14:textId="77777777" w:rsidR="0070626D" w:rsidRPr="002F2FDF" w:rsidRDefault="0070626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как это указано в 3-й статье договора, французская зона должна была состоять из Бессарабии, Украины и Крыма, а английская - из территорий казаков, Кавказа, Армении, Грузии и Курдистана».</w:t>
      </w:r>
    </w:p>
    <w:p w14:paraId="74ED01B3" w14:textId="77777777" w:rsidR="0070626D" w:rsidRPr="002F2FDF" w:rsidRDefault="0070626D"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Одновременно, британское руководство постановило оказать помощь в формировании Добровольческой армии ген. Алексеева, так как он «предложил в Новочеркасске осуществление программы, которая предполагает организацию армии для осуществления враждебных действий против врага и просил о предоставлении кредита в миллион ф. ст. с одновременным предложением организации международного контроля...» (15497).</w:t>
      </w:r>
    </w:p>
    <w:p w14:paraId="4367248A" w14:textId="77777777" w:rsidR="0070626D" w:rsidRPr="002F2FDF" w:rsidRDefault="0070626D" w:rsidP="0083075A">
      <w:pPr>
        <w:spacing w:after="0" w:line="240" w:lineRule="auto"/>
        <w:jc w:val="both"/>
        <w:rPr>
          <w:rFonts w:ascii="Times New Roman" w:hAnsi="Times New Roman" w:cs="Times New Roman"/>
          <w:color w:val="000000" w:themeColor="text1"/>
          <w:kern w:val="2"/>
          <w:sz w:val="16"/>
          <w:szCs w:val="16"/>
        </w:rPr>
      </w:pPr>
    </w:p>
    <w:p w14:paraId="66F1AD5A" w14:textId="77777777" w:rsidR="00D56C8F" w:rsidRPr="002F2FDF" w:rsidRDefault="00D56C8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(23) декабря 1917 в Париже было заключено первое англо-французское соглашение о разделе России на «сферы влияния». Фактически оно подразумевало разграничение зон ответственности в случае проникновения немцев и их союзников в удаленные от фронта области России. Союзники предполагали избегать столкновений с большевиками, власть которых признавать отказывались, но при этом были готовы оказать поддержку всем антибольшевистским правительствам и новообразованным странам. В британскую зону влияния, согласно соглашению, входил Кавказ, во французскую — Украина, Крым и Бессарабия (17045).</w:t>
      </w:r>
    </w:p>
    <w:p w14:paraId="60945320" w14:textId="77777777" w:rsidR="00D56C8F" w:rsidRPr="002F2FDF" w:rsidRDefault="00D56C8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45CF03" w14:textId="77777777" w:rsidR="00814096" w:rsidRPr="002F2FDF" w:rsidRDefault="0081409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2237E81" w14:textId="77777777" w:rsidR="00814096" w:rsidRPr="002F2FDF" w:rsidRDefault="0081409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3F0F51" w14:textId="77777777" w:rsidR="00765CAE" w:rsidRPr="00FB4F67" w:rsidRDefault="00765CA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11 (24) декабря 1917 г. Англо-русский подкомитет утвердил ликвидацию заказа на винтовки. Когда выпуск русских винтовок окончательно прекратился, оказалось, что всего для русского правительства «Вестин</w:t>
      </w:r>
      <w:r w:rsidRPr="00FB4F67">
        <w:rPr>
          <w:rFonts w:ascii="Times New Roman" w:hAnsi="Times New Roman" w:cs="Times New Roman"/>
          <w:color w:val="0070C0"/>
          <w:sz w:val="16"/>
          <w:szCs w:val="16"/>
        </w:rPr>
        <w:softHyphen/>
        <w:t>гауз» изготовил 1 081 490 винтовок, получив за это от ан</w:t>
      </w:r>
      <w:r w:rsidRPr="00FB4F67">
        <w:rPr>
          <w:rFonts w:ascii="Times New Roman" w:hAnsi="Times New Roman" w:cs="Times New Roman"/>
          <w:color w:val="0070C0"/>
          <w:sz w:val="16"/>
          <w:szCs w:val="16"/>
        </w:rPr>
        <w:softHyphen/>
        <w:t>гличан 40 млн долларов (Островский А.В. Указ. соч. С. 185, сн. 139. Очевидно, подразумева</w:t>
      </w:r>
      <w:r w:rsidRPr="00FB4F67">
        <w:rPr>
          <w:rFonts w:ascii="Times New Roman" w:hAnsi="Times New Roman" w:cs="Times New Roman"/>
          <w:color w:val="0070C0"/>
          <w:sz w:val="16"/>
          <w:szCs w:val="16"/>
        </w:rPr>
        <w:softHyphen/>
        <w:t>ется не новый, дополнительный заказ, а подтверждение уже исполняв</w:t>
      </w:r>
      <w:r w:rsidRPr="00FB4F67">
        <w:rPr>
          <w:rFonts w:ascii="Times New Roman" w:hAnsi="Times New Roman" w:cs="Times New Roman"/>
          <w:color w:val="0070C0"/>
          <w:sz w:val="16"/>
          <w:szCs w:val="16"/>
        </w:rPr>
        <w:softHyphen/>
        <w:t>шегося заказа на 1,8 млн ружей, ранее сокращенного (для России) до 1 млн шт.; Rielage D.C. Op. cit. Р. 100, 102) (23452).</w:t>
      </w:r>
    </w:p>
    <w:p w14:paraId="0E3B48EE" w14:textId="77777777" w:rsidR="00765CAE" w:rsidRPr="00FB4F67" w:rsidRDefault="00765CAE" w:rsidP="0083075A">
      <w:pPr>
        <w:spacing w:after="0" w:line="240" w:lineRule="auto"/>
        <w:jc w:val="both"/>
        <w:rPr>
          <w:rFonts w:ascii="Times New Roman" w:hAnsi="Times New Roman" w:cs="Times New Roman"/>
          <w:color w:val="0070C0"/>
          <w:sz w:val="16"/>
          <w:szCs w:val="16"/>
        </w:rPr>
      </w:pPr>
    </w:p>
    <w:p w14:paraId="36B90197" w14:textId="2F184C6D" w:rsidR="00814096" w:rsidRPr="002F2FDF" w:rsidRDefault="00814096" w:rsidP="0083075A">
      <w:pPr>
        <w:pStyle w:val="p1"/>
        <w:spacing w:before="0" w:beforeAutospacing="0" w:after="0" w:afterAutospacing="0"/>
        <w:jc w:val="both"/>
        <w:rPr>
          <w:color w:val="000000" w:themeColor="text1"/>
          <w:sz w:val="16"/>
          <w:szCs w:val="16"/>
        </w:rPr>
      </w:pPr>
      <w:r w:rsidRPr="002F2FDF">
        <w:rPr>
          <w:color w:val="000000" w:themeColor="text1"/>
          <w:sz w:val="16"/>
          <w:szCs w:val="16"/>
        </w:rPr>
        <w:t>11 (24) декабря 1917 года машинописный отпуск отношения Наркоммору с разъяснением плана СНК по демобилизации промышленности был подписан: «Народный комиссар» (фонд Управления делами Наркомвоена (РГВА)). В принципе, автором отношения мог быть любой член коллегии Наркомвоена[232]. Предположительно, автором был действительно нарком — только не наркомвоен, а комиссар по демобилизации — М.С. Кедров, чьи материалы отложились в деле. В отношении подвергнуто критике официальное объявление Морского Генерального штаба (Генмора) — «Рабочие, демобилизуйте промышленность», подписанное комиссаром Генмора Ф.Ф. Раскольниковым[233]. Автор документа пояснил:</w:t>
      </w:r>
      <w:r w:rsidR="00E52569">
        <w:rPr>
          <w:color w:val="000000" w:themeColor="text1"/>
          <w:sz w:val="16"/>
          <w:szCs w:val="16"/>
        </w:rPr>
        <w:t xml:space="preserve"> </w:t>
      </w:r>
      <w:r w:rsidRPr="002F2FDF">
        <w:rPr>
          <w:rStyle w:val="af0"/>
          <w:rFonts w:eastAsiaTheme="majorEastAsia"/>
          <w:i w:val="0"/>
          <w:color w:val="000000" w:themeColor="text1"/>
          <w:sz w:val="16"/>
          <w:szCs w:val="16"/>
        </w:rPr>
        <w:t>«В настоящее время в военном ведомстве разрабатывается проект секретного декрета о демобилизации промышленности, впредь до подписания которого сообщение в печати каких бы то ни было сведений об этом представляется крайне нежелательным»</w:t>
      </w:r>
      <w:r w:rsidRPr="002F2FDF">
        <w:rPr>
          <w:color w:val="000000" w:themeColor="text1"/>
          <w:sz w:val="16"/>
          <w:szCs w:val="16"/>
        </w:rPr>
        <w:t>, а потому обращение Ф.Ф. Раскольникова открывает секретные сведения о военных приготовлениях. Самое главное — автор указал, что это объявление, совершенно отвергает необходимость всяких работ по обороне,</w:t>
      </w:r>
      <w:r w:rsidR="00E52569">
        <w:rPr>
          <w:color w:val="000000" w:themeColor="text1"/>
          <w:sz w:val="16"/>
          <w:szCs w:val="16"/>
        </w:rPr>
        <w:t xml:space="preserve"> </w:t>
      </w:r>
      <w:r w:rsidRPr="002F2FDF">
        <w:rPr>
          <w:rStyle w:val="af0"/>
          <w:rFonts w:eastAsiaTheme="majorEastAsia"/>
          <w:i w:val="0"/>
          <w:color w:val="000000" w:themeColor="text1"/>
          <w:sz w:val="16"/>
          <w:szCs w:val="16"/>
        </w:rPr>
        <w:t>«коренным образом» расходится с намерениями Совнаркома</w:t>
      </w:r>
      <w:r w:rsidRPr="002F2FDF">
        <w:rPr>
          <w:color w:val="000000" w:themeColor="text1"/>
          <w:sz w:val="16"/>
          <w:szCs w:val="16"/>
        </w:rPr>
        <w:t>[234]. Из документа следует, что демобилизация промышленности не означала в действительности отказ от военного строительства[235]. Естественно, и в конверсии аппарата военного управления не было никакой надобности. А 16 декабря СНК заслушал доклад Н.В. Крыленко «О переходных формах устройства армии в период демобилизации» — почти уникальный случай: в части постановлений зафиксирован обмен мнений. Вопреки сложившейся практике и принципам работы В.И. Ленина[236], никакого решения принято не было[237]. Краткость протокольных записей не позволяет «услышать» обсуждение доклада Главковерха, но, скорее всего, или члены Совнаркома просто не пришли к общему знаменателю, или Крыленко удалось ненадолго превратить в «дискуссионный клуб» и Совнарком (18385).</w:t>
      </w:r>
    </w:p>
    <w:p w14:paraId="727ED8D1" w14:textId="77777777" w:rsidR="00814096" w:rsidRPr="002F2FDF" w:rsidRDefault="00814096" w:rsidP="0083075A">
      <w:pPr>
        <w:pStyle w:val="p1"/>
        <w:spacing w:before="0" w:beforeAutospacing="0" w:after="0" w:afterAutospacing="0"/>
        <w:jc w:val="both"/>
        <w:rPr>
          <w:color w:val="000000" w:themeColor="text1"/>
          <w:sz w:val="16"/>
          <w:szCs w:val="16"/>
        </w:rPr>
      </w:pPr>
    </w:p>
    <w:p w14:paraId="0750B76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E9886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09941E" w14:textId="77777777" w:rsidR="00A01B86" w:rsidRPr="005D7D69" w:rsidRDefault="00A01B86"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 xml:space="preserve">11 </w:t>
      </w:r>
      <w:r>
        <w:rPr>
          <w:rFonts w:ascii="Times New Roman" w:hAnsi="Times New Roman" w:cs="Times New Roman"/>
          <w:color w:val="0070C0"/>
          <w:sz w:val="16"/>
          <w:szCs w:val="16"/>
        </w:rPr>
        <w:t xml:space="preserve">(24) </w:t>
      </w:r>
      <w:r w:rsidRPr="005D7D69">
        <w:rPr>
          <w:rFonts w:ascii="Times New Roman" w:hAnsi="Times New Roman" w:cs="Times New Roman"/>
          <w:color w:val="0070C0"/>
          <w:sz w:val="16"/>
          <w:szCs w:val="16"/>
        </w:rPr>
        <w:t xml:space="preserve">декабря </w:t>
      </w:r>
      <w:r>
        <w:rPr>
          <w:rFonts w:ascii="Times New Roman" w:hAnsi="Times New Roman" w:cs="Times New Roman"/>
          <w:color w:val="0070C0"/>
          <w:sz w:val="16"/>
          <w:szCs w:val="16"/>
        </w:rPr>
        <w:t>1917 г</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5D7D69">
        <w:rPr>
          <w:rFonts w:ascii="Times New Roman" w:hAnsi="Times New Roman" w:cs="Times New Roman"/>
          <w:color w:val="0070C0"/>
          <w:sz w:val="16"/>
          <w:szCs w:val="16"/>
        </w:rPr>
        <w:t>остоялось первое заседание коллегии по управлен</w:t>
      </w:r>
      <w:r>
        <w:rPr>
          <w:rFonts w:ascii="Times New Roman" w:hAnsi="Times New Roman" w:cs="Times New Roman"/>
          <w:color w:val="0070C0"/>
          <w:sz w:val="16"/>
          <w:szCs w:val="16"/>
        </w:rPr>
        <w:t>ию делами</w:t>
      </w:r>
      <w:r w:rsidRPr="005D7D69">
        <w:rPr>
          <w:rFonts w:ascii="Times New Roman" w:hAnsi="Times New Roman" w:cs="Times New Roman"/>
          <w:color w:val="0070C0"/>
          <w:sz w:val="16"/>
          <w:szCs w:val="16"/>
        </w:rPr>
        <w:t xml:space="preserve"> воздушного флота Республики.</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Председателем был избрал К.В. Ака</w:t>
      </w:r>
      <w:r>
        <w:rPr>
          <w:rFonts w:ascii="Times New Roman" w:hAnsi="Times New Roman" w:cs="Times New Roman"/>
          <w:color w:val="0070C0"/>
          <w:sz w:val="16"/>
          <w:szCs w:val="16"/>
        </w:rPr>
        <w:t>ш</w:t>
      </w:r>
      <w:r w:rsidRPr="005D7D69">
        <w:rPr>
          <w:rFonts w:ascii="Times New Roman" w:hAnsi="Times New Roman" w:cs="Times New Roman"/>
          <w:color w:val="0070C0"/>
          <w:sz w:val="16"/>
          <w:szCs w:val="16"/>
        </w:rPr>
        <w:t>ев,</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секретарем П.</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.Дубенский.</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Обсуждался проект положения о Ко</w:t>
      </w:r>
      <w:r>
        <w:rPr>
          <w:rFonts w:ascii="Times New Roman" w:hAnsi="Times New Roman" w:cs="Times New Roman"/>
          <w:color w:val="0070C0"/>
          <w:sz w:val="16"/>
          <w:szCs w:val="16"/>
        </w:rPr>
        <w:t>л</w:t>
      </w:r>
      <w:r w:rsidRPr="005D7D69">
        <w:rPr>
          <w:rFonts w:ascii="Times New Roman" w:hAnsi="Times New Roman" w:cs="Times New Roman"/>
          <w:color w:val="0070C0"/>
          <w:sz w:val="16"/>
          <w:szCs w:val="16"/>
        </w:rPr>
        <w:t xml:space="preserve">легии. </w:t>
      </w:r>
      <w:r>
        <w:rPr>
          <w:rFonts w:ascii="Times New Roman" w:hAnsi="Times New Roman" w:cs="Times New Roman"/>
          <w:color w:val="0070C0"/>
          <w:sz w:val="16"/>
          <w:szCs w:val="16"/>
        </w:rPr>
        <w:t>К</w:t>
      </w:r>
      <w:r w:rsidRPr="005D7D69">
        <w:rPr>
          <w:rFonts w:ascii="Times New Roman" w:hAnsi="Times New Roman" w:cs="Times New Roman"/>
          <w:color w:val="0070C0"/>
          <w:sz w:val="16"/>
          <w:szCs w:val="16"/>
        </w:rPr>
        <w:t>оллегия постановила:</w:t>
      </w:r>
    </w:p>
    <w:p w14:paraId="05841BC4" w14:textId="77777777" w:rsidR="00A01B86" w:rsidRPr="005D7D69" w:rsidRDefault="00A01B86"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 xml:space="preserve">"В интересах сохранения народных средств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проведения при</w:t>
      </w:r>
      <w:r>
        <w:rPr>
          <w:rFonts w:ascii="Times New Roman" w:hAnsi="Times New Roman" w:cs="Times New Roman"/>
          <w:color w:val="0070C0"/>
          <w:sz w:val="16"/>
          <w:szCs w:val="16"/>
        </w:rPr>
        <w:t>нципа</w:t>
      </w:r>
      <w:r w:rsidRPr="005D7D69">
        <w:rPr>
          <w:rFonts w:ascii="Times New Roman" w:hAnsi="Times New Roman" w:cs="Times New Roman"/>
          <w:color w:val="0070C0"/>
          <w:sz w:val="16"/>
          <w:szCs w:val="16"/>
        </w:rPr>
        <w:t xml:space="preserve"> народоправства общее руководство делами Воздушного Флота /сухопутной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мор</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кой авиации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воздухоплавания/ впредь до созыва Всерос</w:t>
      </w:r>
      <w:r w:rsidRPr="005D7D69">
        <w:rPr>
          <w:rFonts w:ascii="Times New Roman" w:hAnsi="Times New Roman" w:cs="Times New Roman"/>
          <w:color w:val="0070C0"/>
          <w:sz w:val="16"/>
          <w:szCs w:val="16"/>
        </w:rPr>
        <w:softHyphen/>
        <w:t>сийского Авиационного С</w:t>
      </w:r>
      <w:r>
        <w:rPr>
          <w:rFonts w:ascii="Times New Roman" w:hAnsi="Times New Roman" w:cs="Times New Roman"/>
          <w:color w:val="0070C0"/>
          <w:sz w:val="16"/>
          <w:szCs w:val="16"/>
        </w:rPr>
        <w:t>ъ</w:t>
      </w:r>
      <w:r w:rsidRPr="005D7D69">
        <w:rPr>
          <w:rFonts w:ascii="Times New Roman" w:hAnsi="Times New Roman" w:cs="Times New Roman"/>
          <w:color w:val="0070C0"/>
          <w:sz w:val="16"/>
          <w:szCs w:val="16"/>
        </w:rPr>
        <w:t>езда поручается Всероссийскому совету Авиа</w:t>
      </w:r>
      <w:r w:rsidRPr="005D7D69">
        <w:rPr>
          <w:rFonts w:ascii="Times New Roman" w:hAnsi="Times New Roman" w:cs="Times New Roman"/>
          <w:color w:val="0070C0"/>
          <w:sz w:val="16"/>
          <w:szCs w:val="16"/>
        </w:rPr>
        <w:softHyphen/>
        <w:t>ции, который организует для этой цели Коллегию по управлению Возду</w:t>
      </w:r>
      <w:r>
        <w:rPr>
          <w:rFonts w:ascii="Times New Roman" w:hAnsi="Times New Roman" w:cs="Times New Roman"/>
          <w:color w:val="0070C0"/>
          <w:sz w:val="16"/>
          <w:szCs w:val="16"/>
        </w:rPr>
        <w:t xml:space="preserve">шным </w:t>
      </w:r>
      <w:r w:rsidRPr="005D7D69">
        <w:rPr>
          <w:rFonts w:ascii="Times New Roman" w:hAnsi="Times New Roman" w:cs="Times New Roman"/>
          <w:color w:val="0070C0"/>
          <w:sz w:val="16"/>
          <w:szCs w:val="16"/>
        </w:rPr>
        <w:t>флотом Советской Республики в составе 1/3 всего состава кол</w:t>
      </w:r>
      <w:r w:rsidRPr="005D7D69">
        <w:rPr>
          <w:rFonts w:ascii="Times New Roman" w:hAnsi="Times New Roman" w:cs="Times New Roman"/>
          <w:color w:val="0070C0"/>
          <w:sz w:val="16"/>
          <w:szCs w:val="16"/>
        </w:rPr>
        <w:softHyphen/>
        <w:t>легии из представителей Воздушного флота в 2/3 из представителей рабочих классовых организаций</w:t>
      </w:r>
      <w:r>
        <w:rPr>
          <w:rFonts w:ascii="Times New Roman" w:hAnsi="Times New Roman" w:cs="Times New Roman"/>
          <w:color w:val="0070C0"/>
          <w:sz w:val="16"/>
          <w:szCs w:val="16"/>
        </w:rPr>
        <w:t>.</w:t>
      </w:r>
    </w:p>
    <w:p w14:paraId="3829F204" w14:textId="77777777" w:rsidR="00A01B86" w:rsidRDefault="00A01B86"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2</w:t>
      </w:r>
      <w:r>
        <w:rPr>
          <w:rFonts w:ascii="Times New Roman" w:hAnsi="Times New Roman" w:cs="Times New Roman"/>
          <w:color w:val="0070C0"/>
          <w:sz w:val="16"/>
          <w:szCs w:val="16"/>
        </w:rPr>
        <w:t>9</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оп</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д</w:t>
      </w:r>
      <w:r w:rsidRPr="005D7D69">
        <w:rPr>
          <w:rFonts w:ascii="Times New Roman" w:hAnsi="Times New Roman" w:cs="Times New Roman"/>
          <w:color w:val="0070C0"/>
          <w:sz w:val="16"/>
          <w:szCs w:val="16"/>
        </w:rPr>
        <w:t>.2.</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ПРОТОКОЛ </w:t>
      </w:r>
      <w:r>
        <w:rPr>
          <w:rFonts w:ascii="Times New Roman" w:hAnsi="Times New Roman" w:cs="Times New Roman"/>
          <w:color w:val="0070C0"/>
          <w:sz w:val="16"/>
          <w:szCs w:val="16"/>
        </w:rPr>
        <w:t>№</w:t>
      </w:r>
      <w:r w:rsidRPr="005D7D69">
        <w:rPr>
          <w:rFonts w:ascii="Times New Roman" w:hAnsi="Times New Roman" w:cs="Times New Roman"/>
          <w:color w:val="0070C0"/>
          <w:sz w:val="16"/>
          <w:szCs w:val="16"/>
        </w:rPr>
        <w:t xml:space="preserve"> 1/</w:t>
      </w:r>
      <w:r>
        <w:rPr>
          <w:rFonts w:ascii="Times New Roman" w:hAnsi="Times New Roman" w:cs="Times New Roman"/>
          <w:color w:val="0070C0"/>
          <w:sz w:val="16"/>
          <w:szCs w:val="16"/>
        </w:rPr>
        <w:t xml:space="preserve"> (23370).</w:t>
      </w:r>
    </w:p>
    <w:p w14:paraId="3C3645B1" w14:textId="77777777" w:rsidR="00A01B86" w:rsidRPr="005D7D69" w:rsidRDefault="00A01B86" w:rsidP="0083075A">
      <w:pPr>
        <w:spacing w:after="0" w:line="240" w:lineRule="auto"/>
        <w:jc w:val="both"/>
        <w:rPr>
          <w:rFonts w:ascii="Times New Roman" w:hAnsi="Times New Roman" w:cs="Times New Roman"/>
          <w:color w:val="0070C0"/>
          <w:sz w:val="16"/>
          <w:szCs w:val="16"/>
        </w:rPr>
      </w:pPr>
    </w:p>
    <w:p w14:paraId="7C5C14FC" w14:textId="77777777" w:rsidR="001E7FC5" w:rsidRPr="002F2FDF" w:rsidRDefault="001E7FC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11 (24) декабря 1917 г. состоялось первое заседание Коллегии, образованной для управления Воздушным флотом Республики (сохранился «Протокол № 1 от). На заседании было принято Положение о Коллегии. Исследование показало, что члены Коллегии во все время ее работы (до упразднения 24 мая 1918 г.) стремились к соблюдению в ВФ Республики принципов выборности кадров и «использования Воздушного флота в мирных и культурных целях» (19566).</w:t>
      </w:r>
    </w:p>
    <w:p w14:paraId="739E0D71" w14:textId="77777777" w:rsidR="001E7FC5" w:rsidRPr="002F2FDF" w:rsidRDefault="001E7FC5" w:rsidP="0083075A">
      <w:pPr>
        <w:spacing w:after="0" w:line="240" w:lineRule="auto"/>
        <w:jc w:val="both"/>
        <w:rPr>
          <w:rFonts w:ascii="Times New Roman" w:hAnsi="Times New Roman" w:cs="Times New Roman"/>
          <w:color w:val="000000" w:themeColor="text1"/>
          <w:sz w:val="16"/>
          <w:szCs w:val="16"/>
        </w:rPr>
      </w:pPr>
    </w:p>
    <w:p w14:paraId="117698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декабря 1917 Всероссийская коллегия по управлению ВФ из 10 человек во главе с К.В.Акашевым провела первое заседание (356,27).</w:t>
      </w:r>
    </w:p>
    <w:p w14:paraId="0DCBB2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827B8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декабря 1917 г. постановлением Совнаркома Республики образовано Особое совещание по обороне. В соответствии с ним в состав Особого совещания для обсуждения и объединения мероприятий по обороне государства должны входить по одному из представи</w:t>
      </w:r>
      <w:r w:rsidRPr="002F2FDF">
        <w:rPr>
          <w:rFonts w:ascii="Times New Roman" w:hAnsi="Times New Roman" w:cs="Times New Roman"/>
          <w:color w:val="000000" w:themeColor="text1"/>
          <w:kern w:val="2"/>
          <w:sz w:val="16"/>
          <w:szCs w:val="16"/>
        </w:rPr>
        <w:softHyphen/>
        <w:t>телей коллегий при наркомах: по военным делам, морским делам, торговли и промышлен</w:t>
      </w:r>
      <w:r w:rsidRPr="002F2FDF">
        <w:rPr>
          <w:rFonts w:ascii="Times New Roman" w:hAnsi="Times New Roman" w:cs="Times New Roman"/>
          <w:color w:val="000000" w:themeColor="text1"/>
          <w:kern w:val="2"/>
          <w:sz w:val="16"/>
          <w:szCs w:val="16"/>
        </w:rPr>
        <w:softHyphen/>
        <w:t>ности, продовольствия, финансов, путей сообщения, труда, контроля, земледелия. Председа</w:t>
      </w:r>
      <w:r w:rsidRPr="002F2FDF">
        <w:rPr>
          <w:rFonts w:ascii="Times New Roman" w:hAnsi="Times New Roman" w:cs="Times New Roman"/>
          <w:color w:val="000000" w:themeColor="text1"/>
          <w:kern w:val="2"/>
          <w:sz w:val="16"/>
          <w:szCs w:val="16"/>
        </w:rPr>
        <w:softHyphen/>
        <w:t>телем совещания состоял нарком по военным делам. В обязанности Особого совещания вхо</w:t>
      </w:r>
      <w:r w:rsidRPr="002F2FDF">
        <w:rPr>
          <w:rFonts w:ascii="Times New Roman" w:hAnsi="Times New Roman" w:cs="Times New Roman"/>
          <w:color w:val="000000" w:themeColor="text1"/>
          <w:kern w:val="2"/>
          <w:sz w:val="16"/>
          <w:szCs w:val="16"/>
        </w:rPr>
        <w:softHyphen/>
        <w:t>дила ликвидация заказов на оборону или уменьшение их до нормального в мирное время уровня, а также связанная с этим демобилизация заводов и перевод их на производство про</w:t>
      </w:r>
      <w:r w:rsidRPr="002F2FDF">
        <w:rPr>
          <w:rFonts w:ascii="Times New Roman" w:hAnsi="Times New Roman" w:cs="Times New Roman"/>
          <w:color w:val="000000" w:themeColor="text1"/>
          <w:kern w:val="2"/>
          <w:sz w:val="16"/>
          <w:szCs w:val="16"/>
        </w:rPr>
        <w:softHyphen/>
        <w:t>дукции гражданского потребления (10711,666).</w:t>
      </w:r>
    </w:p>
    <w:p w14:paraId="5AC98C9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232638" w14:textId="7F128EC0" w:rsidR="00B545F5" w:rsidRPr="002F2FDF" w:rsidRDefault="00B545F5" w:rsidP="0083075A">
      <w:pPr>
        <w:pStyle w:val="rtejustify"/>
        <w:spacing w:before="0" w:after="0"/>
        <w:rPr>
          <w:color w:val="000000" w:themeColor="text1"/>
          <w:kern w:val="2"/>
          <w:sz w:val="16"/>
          <w:szCs w:val="16"/>
        </w:rPr>
      </w:pPr>
      <w:r w:rsidRPr="002F2FDF">
        <w:rPr>
          <w:color w:val="000000" w:themeColor="text1"/>
          <w:kern w:val="2"/>
          <w:sz w:val="16"/>
          <w:szCs w:val="16"/>
        </w:rPr>
        <w:t>11</w:t>
      </w:r>
      <w:r w:rsidR="00E52569">
        <w:rPr>
          <w:color w:val="000000" w:themeColor="text1"/>
          <w:kern w:val="2"/>
          <w:sz w:val="16"/>
          <w:szCs w:val="16"/>
        </w:rPr>
        <w:t xml:space="preserve"> </w:t>
      </w:r>
      <w:r w:rsidR="00631AD8" w:rsidRPr="002F2FDF">
        <w:rPr>
          <w:color w:val="000000" w:themeColor="text1"/>
          <w:kern w:val="2"/>
          <w:sz w:val="16"/>
          <w:szCs w:val="16"/>
        </w:rPr>
        <w:t xml:space="preserve">(24) </w:t>
      </w:r>
      <w:r w:rsidRPr="002F2FDF">
        <w:rPr>
          <w:color w:val="000000" w:themeColor="text1"/>
          <w:kern w:val="2"/>
          <w:sz w:val="16"/>
          <w:szCs w:val="16"/>
        </w:rPr>
        <w:t>декабря 1917</w:t>
      </w:r>
      <w:r w:rsidR="00E52569">
        <w:rPr>
          <w:color w:val="000000" w:themeColor="text1"/>
          <w:kern w:val="2"/>
          <w:sz w:val="16"/>
          <w:szCs w:val="16"/>
        </w:rPr>
        <w:t xml:space="preserve"> </w:t>
      </w:r>
      <w:r w:rsidRPr="002F2FDF">
        <w:rPr>
          <w:color w:val="000000" w:themeColor="text1"/>
          <w:kern w:val="2"/>
          <w:sz w:val="16"/>
          <w:szCs w:val="16"/>
        </w:rPr>
        <w:t>г. Приказом Наркомат по военным делам РСФСР был создан Совет для руководства деятельностью Главного артиллерийского управления старой армии. Ведению Главного артиллерийского управления подлежали вопросы заготовления, хранения, снабжения предметами артиллерийского довольствия РККА, развития и усовершенствования артиллерийского вооружения, контроль над производством предметов артиллерийского довольствия. По приказу РВС</w:t>
      </w:r>
      <w:r w:rsidR="00E52569">
        <w:rPr>
          <w:color w:val="000000" w:themeColor="text1"/>
          <w:kern w:val="2"/>
          <w:sz w:val="16"/>
          <w:szCs w:val="16"/>
        </w:rPr>
        <w:t xml:space="preserve"> </w:t>
      </w:r>
      <w:r w:rsidRPr="002F2FDF">
        <w:rPr>
          <w:color w:val="000000" w:themeColor="text1"/>
          <w:kern w:val="2"/>
          <w:sz w:val="16"/>
          <w:szCs w:val="16"/>
        </w:rPr>
        <w:t>СССР от 13</w:t>
      </w:r>
      <w:r w:rsidR="00E52569">
        <w:rPr>
          <w:color w:val="000000" w:themeColor="text1"/>
          <w:kern w:val="2"/>
          <w:sz w:val="16"/>
          <w:szCs w:val="16"/>
        </w:rPr>
        <w:t xml:space="preserve"> </w:t>
      </w:r>
      <w:r w:rsidRPr="002F2FDF">
        <w:rPr>
          <w:color w:val="000000" w:themeColor="text1"/>
          <w:kern w:val="2"/>
          <w:sz w:val="16"/>
          <w:szCs w:val="16"/>
        </w:rPr>
        <w:t>ноября 1925</w:t>
      </w:r>
      <w:r w:rsidR="00E52569">
        <w:rPr>
          <w:color w:val="000000" w:themeColor="text1"/>
          <w:kern w:val="2"/>
          <w:sz w:val="16"/>
          <w:szCs w:val="16"/>
        </w:rPr>
        <w:t xml:space="preserve"> </w:t>
      </w:r>
      <w:r w:rsidRPr="002F2FDF">
        <w:rPr>
          <w:color w:val="000000" w:themeColor="text1"/>
          <w:kern w:val="2"/>
          <w:sz w:val="16"/>
          <w:szCs w:val="16"/>
        </w:rPr>
        <w:t>г. ГАУ вошло во вновь созданное Управление снабжений РККА. В связи с ликвидацией последнего Артиллерийское управление РККА было подчинено приказом РВС</w:t>
      </w:r>
      <w:r w:rsidR="00E52569">
        <w:rPr>
          <w:color w:val="000000" w:themeColor="text1"/>
          <w:kern w:val="2"/>
          <w:sz w:val="16"/>
          <w:szCs w:val="16"/>
        </w:rPr>
        <w:t xml:space="preserve"> </w:t>
      </w:r>
      <w:r w:rsidRPr="002F2FDF">
        <w:rPr>
          <w:color w:val="000000" w:themeColor="text1"/>
          <w:kern w:val="2"/>
          <w:sz w:val="16"/>
          <w:szCs w:val="16"/>
        </w:rPr>
        <w:t>СССР от 20</w:t>
      </w:r>
      <w:r w:rsidR="00E52569">
        <w:rPr>
          <w:color w:val="000000" w:themeColor="text1"/>
          <w:kern w:val="2"/>
          <w:sz w:val="16"/>
          <w:szCs w:val="16"/>
        </w:rPr>
        <w:t xml:space="preserve"> </w:t>
      </w:r>
      <w:r w:rsidRPr="002F2FDF">
        <w:rPr>
          <w:color w:val="000000" w:themeColor="text1"/>
          <w:kern w:val="2"/>
          <w:sz w:val="16"/>
          <w:szCs w:val="16"/>
        </w:rPr>
        <w:t>ноября 1929</w:t>
      </w:r>
      <w:r w:rsidR="00E52569">
        <w:rPr>
          <w:color w:val="000000" w:themeColor="text1"/>
          <w:kern w:val="2"/>
          <w:sz w:val="16"/>
          <w:szCs w:val="16"/>
        </w:rPr>
        <w:t xml:space="preserve"> </w:t>
      </w:r>
      <w:r w:rsidRPr="002F2FDF">
        <w:rPr>
          <w:color w:val="000000" w:themeColor="text1"/>
          <w:kern w:val="2"/>
          <w:sz w:val="16"/>
          <w:szCs w:val="16"/>
        </w:rPr>
        <w:t>г. начальнику вооружений РККА как самостоятельное управление (12374).</w:t>
      </w:r>
    </w:p>
    <w:p w14:paraId="3C7DF003" w14:textId="77777777" w:rsidR="00B545F5" w:rsidRPr="002F2FDF" w:rsidRDefault="00B545F5" w:rsidP="0083075A">
      <w:pPr>
        <w:pStyle w:val="rtejustify"/>
        <w:spacing w:before="0" w:after="0"/>
        <w:rPr>
          <w:color w:val="000000" w:themeColor="text1"/>
          <w:kern w:val="2"/>
          <w:sz w:val="16"/>
          <w:szCs w:val="16"/>
        </w:rPr>
      </w:pPr>
    </w:p>
    <w:p w14:paraId="466D69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11 (24) декабря 1917 г. Приказом Наркомвоена No.31 был создан Совет для руководства деятельностью Главного артиллерийского управления старой армии. Ведению ГАУ подлежали вопросы заготовления, хранения, снабжения предметами артиллерийского довольствия РККА, развития и усовершенствования артиллерийского вооружения, контроль над производством предметов артиллерийского довольствия. Приказом Наркомвоена No.445 от 15 июня 1918 г. ГАУ подчинено ЦУСу. Для заведования частями тяжелой артиллерии и руководства их специальной артиллерийской подготовкой приказом Наркомвоена No.798 от 2 сентября 1918 г. в составе ГАУ на правах отдела было создано управление инспектора тяжелой артиллерии. Для управления артиллерийскими заводами, находящимися в ведении ГАУ, приказом РВСР No.103 от 15 января 1919 г. создано Центральное правление артиллерийских заводов (ЦПАЗ), которое 1 октября 1919 г. было выделено из ведения ГАУ и </w:t>
      </w:r>
      <w:r w:rsidRPr="002F2FDF">
        <w:rPr>
          <w:rFonts w:ascii="Times New Roman" w:hAnsi="Times New Roman" w:cs="Times New Roman"/>
          <w:color w:val="000000" w:themeColor="text1"/>
          <w:kern w:val="2"/>
          <w:sz w:val="16"/>
          <w:szCs w:val="16"/>
        </w:rPr>
        <w:lastRenderedPageBreak/>
        <w:t>подчинено Совету военной промышленности. Приказом РВСР No.608/108 от 10 марта 1922 г. из состава ГАУ был выделен и подчинен непосредственно начальнику артиллерии Артиллерийский комитет.</w:t>
      </w:r>
    </w:p>
    <w:p w14:paraId="6E7055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руководства формированием артиллерийских частей, их обучением и боевой подготовкой приказом РВСР No.570/92 от 15 марта 1921 г. вводилась должность инспектора артиллерии Республики, возглавлявшего инспекцию артиллерии. Подчинялся непосредственно Главкому. Приказом РВСР No.1776 от 21 августа 1921 г.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668730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6B5C20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485E4A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646050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5DEE00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8541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11-12 (24-25) декабря 1917 состоялись бои у Тамаровки (станция на запад от Белгорода) и Обояни (лежит между Курском и Белгородом) и белогвардейцы захватили Люботин (2239).</w:t>
      </w:r>
    </w:p>
    <w:p w14:paraId="291B79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FE440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E8495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689B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декабря 1917 вышел декрет о страховании от потери работы (3908,272).</w:t>
      </w:r>
    </w:p>
    <w:p w14:paraId="6B293A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C67256" w14:textId="77777777" w:rsidR="006B2BD0" w:rsidRPr="002F2FDF" w:rsidRDefault="006B2BD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декабря 1917 в Харькове открылся Первый всеукраинский съезд Советов (3908,272).</w:t>
      </w:r>
    </w:p>
    <w:p w14:paraId="031D17CD" w14:textId="77777777" w:rsidR="006B2BD0" w:rsidRPr="002F2FDF" w:rsidRDefault="006B2BD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26BCB0" w14:textId="77777777" w:rsidR="00D56C8F" w:rsidRPr="002F2FDF" w:rsidRDefault="00D56C8F" w:rsidP="0083075A">
      <w:pPr>
        <w:pStyle w:val="ae"/>
        <w:spacing w:before="0" w:after="0"/>
        <w:jc w:val="both"/>
        <w:rPr>
          <w:color w:val="000000" w:themeColor="text1"/>
          <w:kern w:val="2"/>
          <w:sz w:val="16"/>
          <w:szCs w:val="16"/>
        </w:rPr>
      </w:pPr>
      <w:r w:rsidRPr="002F2FDF">
        <w:rPr>
          <w:color w:val="000000" w:themeColor="text1"/>
          <w:kern w:val="2"/>
          <w:sz w:val="16"/>
          <w:szCs w:val="16"/>
        </w:rPr>
        <w:t>11 (24) декабря 1917 в Харькове открылся организованный большевиками I Всеукраинский съезд Советов. Среди прочих в нем приняли участие 60 делегатов-большевиков, сбежавших с открывшегося чуть ранее съезда Советов в Киеве, где большинство имели сторонники Украинской Народной республики (17045).</w:t>
      </w:r>
    </w:p>
    <w:p w14:paraId="7F215BAA" w14:textId="77777777" w:rsidR="00D56C8F" w:rsidRPr="002F2FDF" w:rsidRDefault="00D56C8F" w:rsidP="0083075A">
      <w:pPr>
        <w:pStyle w:val="ae"/>
        <w:spacing w:before="0" w:after="0"/>
        <w:jc w:val="both"/>
        <w:rPr>
          <w:color w:val="000000" w:themeColor="text1"/>
          <w:kern w:val="2"/>
          <w:sz w:val="16"/>
          <w:szCs w:val="16"/>
        </w:rPr>
      </w:pPr>
    </w:p>
    <w:p w14:paraId="3DC694A6" w14:textId="77777777" w:rsidR="006B2BD0" w:rsidRPr="002F2FDF" w:rsidRDefault="00000000" w:rsidP="0083075A">
      <w:pPr>
        <w:pStyle w:val="ae"/>
        <w:spacing w:before="0" w:after="0"/>
        <w:jc w:val="both"/>
        <w:rPr>
          <w:color w:val="000000" w:themeColor="text1"/>
          <w:kern w:val="2"/>
          <w:sz w:val="16"/>
          <w:szCs w:val="16"/>
        </w:rPr>
      </w:pPr>
      <w:hyperlink r:id="rId749" w:tooltip="11 декабря" w:history="1">
        <w:r w:rsidR="006B2BD0" w:rsidRPr="002F2FDF">
          <w:rPr>
            <w:rStyle w:val="a5"/>
            <w:color w:val="000000" w:themeColor="text1"/>
            <w:kern w:val="2"/>
            <w:sz w:val="16"/>
            <w:szCs w:val="16"/>
            <w:u w:val="none"/>
          </w:rPr>
          <w:t>11 (24) декабря</w:t>
        </w:r>
      </w:hyperlink>
      <w:r w:rsidR="006B2BD0" w:rsidRPr="002F2FDF">
        <w:rPr>
          <w:color w:val="000000" w:themeColor="text1"/>
          <w:kern w:val="2"/>
          <w:sz w:val="16"/>
          <w:szCs w:val="16"/>
        </w:rPr>
        <w:t xml:space="preserve"> 1917 года, прямо во время германо-советских переговоров о перемирии, марионеточная </w:t>
      </w:r>
      <w:hyperlink r:id="rId750" w:tooltip="Литовская Тариба" w:history="1">
        <w:r w:rsidR="006B2BD0" w:rsidRPr="002F2FDF">
          <w:rPr>
            <w:rStyle w:val="a5"/>
            <w:color w:val="000000" w:themeColor="text1"/>
            <w:kern w:val="2"/>
            <w:sz w:val="16"/>
            <w:szCs w:val="16"/>
            <w:u w:val="none"/>
          </w:rPr>
          <w:t>Литовская Тариба</w:t>
        </w:r>
      </w:hyperlink>
      <w:r w:rsidR="006B2BD0" w:rsidRPr="002F2FDF">
        <w:rPr>
          <w:color w:val="000000" w:themeColor="text1"/>
          <w:kern w:val="2"/>
          <w:sz w:val="16"/>
          <w:szCs w:val="16"/>
        </w:rPr>
        <w:t xml:space="preserve"> объявила о восстановлении независимого Литовского государства и «вечных союзных связях» этого государства с Германией (17035).</w:t>
      </w:r>
    </w:p>
    <w:p w14:paraId="064182F1" w14:textId="77777777" w:rsidR="006B2BD0" w:rsidRPr="002F2FDF" w:rsidRDefault="006B2BD0"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491AD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019761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94A7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декабря 1917 Кайзер предупредил Россию о строгих мерах (iron fist and shining sword) в случае нарушения мирных договоренностей (2100).</w:t>
      </w:r>
    </w:p>
    <w:p w14:paraId="0CE305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57AE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(24) декабря 1917 созданный в сентябре 1917 с согласия немецких оккупационных войск Литовский совет принял декларацию "О вечных связях литовского государства с Германией" (3186).</w:t>
      </w:r>
    </w:p>
    <w:p w14:paraId="4AD8AF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E0AAD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47072B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23C5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11 (24) декабря 1917 неприятельские летчики в ночь под Рождество 1917 года произвели нападение на незащищенный город Маннгейм, а в течение января 1918 года подвергли бомбардировке Трир, Гейдельберг, Раштадт и Фрейбург 1-я и 2-я бомбардировочные эскадры получили приказ о нападении на Париж (11282). </w:t>
      </w:r>
    </w:p>
    <w:p w14:paraId="6C54BD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FA20B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BC53A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6551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декабря 1917 вышли постановления "О выборном начале и об организации власти а армии" и "Об уравнении в правах всех военнослужащих" (324,18).</w:t>
      </w:r>
    </w:p>
    <w:p w14:paraId="2202DF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52BA76" w14:textId="22E8F1E7" w:rsidR="00B37396" w:rsidRPr="002F2FDF" w:rsidRDefault="00B37396" w:rsidP="0083075A">
      <w:pPr>
        <w:pStyle w:val="ae"/>
        <w:spacing w:before="0" w:after="0"/>
        <w:jc w:val="both"/>
        <w:rPr>
          <w:color w:val="000000" w:themeColor="text1"/>
          <w:kern w:val="2"/>
          <w:sz w:val="16"/>
          <w:szCs w:val="16"/>
        </w:rPr>
      </w:pPr>
      <w:r w:rsidRPr="002F2FDF">
        <w:rPr>
          <w:color w:val="000000" w:themeColor="text1"/>
          <w:kern w:val="2"/>
          <w:sz w:val="16"/>
          <w:szCs w:val="16"/>
        </w:rPr>
        <w:t>12</w:t>
      </w:r>
      <w:r w:rsidR="00E52569">
        <w:rPr>
          <w:color w:val="000000" w:themeColor="text1"/>
          <w:kern w:val="2"/>
          <w:sz w:val="16"/>
          <w:szCs w:val="16"/>
        </w:rPr>
        <w:t xml:space="preserve"> </w:t>
      </w:r>
      <w:hyperlink r:id="rId751" w:tooltip="25 декабря" w:history="1">
        <w:r w:rsidRPr="002F2FDF">
          <w:rPr>
            <w:rStyle w:val="a5"/>
            <w:color w:val="000000" w:themeColor="text1"/>
            <w:kern w:val="2"/>
            <w:sz w:val="16"/>
            <w:szCs w:val="16"/>
            <w:u w:val="none"/>
          </w:rPr>
          <w:t>(25)</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декабря</w:t>
        </w:r>
      </w:hyperlink>
      <w:r w:rsidR="00E52569">
        <w:rPr>
          <w:color w:val="000000" w:themeColor="text1"/>
          <w:kern w:val="2"/>
          <w:sz w:val="16"/>
          <w:szCs w:val="16"/>
        </w:rPr>
        <w:t xml:space="preserve"> </w:t>
      </w:r>
      <w:hyperlink r:id="rId752" w:tooltip="1917 год" w:history="1">
        <w:r w:rsidRPr="002F2FDF">
          <w:rPr>
            <w:rStyle w:val="a5"/>
            <w:color w:val="000000" w:themeColor="text1"/>
            <w:kern w:val="2"/>
            <w:sz w:val="16"/>
            <w:szCs w:val="16"/>
            <w:u w:val="none"/>
          </w:rPr>
          <w:t>1917</w:t>
        </w:r>
      </w:hyperlink>
      <w:r w:rsidRPr="002F2FDF">
        <w:rPr>
          <w:color w:val="000000" w:themeColor="text1"/>
          <w:kern w:val="2"/>
          <w:sz w:val="16"/>
          <w:szCs w:val="16"/>
        </w:rPr>
        <w:t xml:space="preserve"> после трёхдневного обсуждения странами германского блока советских предложений вечером Р. фон Кюльман сделал заявление о том, что Германия и её союзники принимают предложения Советской стороны. При этом была сделана оговорка, сводившая на нет согласие Германии на мир без </w:t>
      </w:r>
      <w:hyperlink r:id="rId753" w:tooltip="Аннексия" w:history="1">
        <w:r w:rsidRPr="002F2FDF">
          <w:rPr>
            <w:rStyle w:val="a5"/>
            <w:color w:val="000000" w:themeColor="text1"/>
            <w:kern w:val="2"/>
            <w:sz w:val="16"/>
            <w:szCs w:val="16"/>
            <w:u w:val="none"/>
          </w:rPr>
          <w:t>аннексий</w:t>
        </w:r>
      </w:hyperlink>
      <w:r w:rsidRPr="002F2FDF">
        <w:rPr>
          <w:color w:val="000000" w:themeColor="text1"/>
          <w:kern w:val="2"/>
          <w:sz w:val="16"/>
          <w:szCs w:val="16"/>
        </w:rPr>
        <w:t xml:space="preserve"> и контрибуций: «</w:t>
      </w:r>
      <w:r w:rsidRPr="002F2FDF">
        <w:rPr>
          <w:iCs/>
          <w:color w:val="000000" w:themeColor="text1"/>
          <w:kern w:val="2"/>
          <w:sz w:val="16"/>
          <w:szCs w:val="16"/>
        </w:rPr>
        <w:t>Необходимо, однако, с полной ясностью указать на то, что предложения русской делегации могли бы быть осуществлены лишь в том случае, если бы все причастные к войне державы, без исключения и без оговорок, в определённый срок, обязались точнейшим образом соблюдать общие для всех народов условия</w:t>
      </w:r>
      <w:r w:rsidRPr="002F2FDF">
        <w:rPr>
          <w:color w:val="000000" w:themeColor="text1"/>
          <w:kern w:val="2"/>
          <w:sz w:val="16"/>
          <w:szCs w:val="16"/>
        </w:rPr>
        <w:t>».</w:t>
      </w:r>
    </w:p>
    <w:p w14:paraId="77C81BE7" w14:textId="77777777" w:rsidR="00B37396" w:rsidRPr="002F2FDF" w:rsidRDefault="00B37396"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Констатировав присоединение германского блока к советской формуле мира «без аннексий и контрибуций», советская делегация предложила объявить десятидневный перерыв, в ходе которого можно было бы попытаться привести страны </w:t>
      </w:r>
      <w:hyperlink r:id="rId754" w:tooltip="Антанта" w:history="1">
        <w:r w:rsidRPr="002F2FDF">
          <w:rPr>
            <w:rStyle w:val="a5"/>
            <w:color w:val="000000" w:themeColor="text1"/>
            <w:kern w:val="2"/>
            <w:sz w:val="16"/>
            <w:szCs w:val="16"/>
            <w:u w:val="none"/>
          </w:rPr>
          <w:t>Антанты</w:t>
        </w:r>
      </w:hyperlink>
      <w:r w:rsidRPr="002F2FDF">
        <w:rPr>
          <w:color w:val="000000" w:themeColor="text1"/>
          <w:kern w:val="2"/>
          <w:sz w:val="16"/>
          <w:szCs w:val="16"/>
        </w:rPr>
        <w:t xml:space="preserve"> за стол переговоров.</w:t>
      </w:r>
    </w:p>
    <w:p w14:paraId="52E3615B" w14:textId="77777777" w:rsidR="00B37396" w:rsidRPr="002F2FDF" w:rsidRDefault="00B37396" w:rsidP="0083075A">
      <w:pPr>
        <w:pStyle w:val="ae"/>
        <w:spacing w:before="0" w:after="0"/>
        <w:jc w:val="both"/>
        <w:rPr>
          <w:color w:val="000000" w:themeColor="text1"/>
          <w:kern w:val="2"/>
          <w:sz w:val="16"/>
          <w:szCs w:val="16"/>
        </w:rPr>
      </w:pPr>
      <w:r w:rsidRPr="002F2FDF">
        <w:rPr>
          <w:color w:val="000000" w:themeColor="text1"/>
          <w:kern w:val="2"/>
          <w:sz w:val="16"/>
          <w:szCs w:val="16"/>
        </w:rPr>
        <w:t>Во время перерыва, однако, на заседаниях политической комиссии выявилось, что Германия понимает мир без аннексий иначе, чем советская делегация, — для Германии речь совсем не идёт об отводе войск к границам 1914 года и выводе германских войск с оккупированных территорий бывшей Российской империи, тем более что, согласно заявлению Германии, Польша, Литва и Курляндия уже высказались за отделение от России, так что если эти три страны теперь вступят в переговоры с Германией о своей дальнейшей судьбе, то это отнюдь не будет считаться аннексией со стороны Германии (17035).</w:t>
      </w:r>
    </w:p>
    <w:p w14:paraId="781AC462" w14:textId="77777777" w:rsidR="00B37396" w:rsidRPr="002F2FDF" w:rsidRDefault="00B3739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ECEC1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декабря 1917 Германия допустила на Брест-Литовские мирные переговоры представителей Центральной Рады (4962).</w:t>
      </w:r>
    </w:p>
    <w:p w14:paraId="5D2B394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8A00C9" w14:textId="429C80C2" w:rsidR="007F3D25" w:rsidRDefault="007F3D25"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2DA002E4" w14:textId="77777777" w:rsidR="007F3D25" w:rsidRDefault="007F3D25"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6E9BAF74" w14:textId="77777777" w:rsidR="007F3D25" w:rsidRPr="00FB4F67" w:rsidRDefault="007F3D25"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25 декабря 1917 г. на юге России красные войска из Харькова во главе с В. А. Антоновым-Овсеенко при поддержке пяти самолетов открыли наступление против белых в направлении Екатеринослава и Таганрога (23525).</w:t>
      </w:r>
    </w:p>
    <w:p w14:paraId="65A6F20B" w14:textId="77777777" w:rsidR="007F3D25" w:rsidRPr="00FB4F67" w:rsidRDefault="007F3D25" w:rsidP="0083075A">
      <w:pPr>
        <w:spacing w:after="0" w:line="240" w:lineRule="auto"/>
        <w:jc w:val="both"/>
        <w:rPr>
          <w:rFonts w:ascii="Times New Roman" w:hAnsi="Times New Roman" w:cs="Times New Roman"/>
          <w:color w:val="0070C0"/>
          <w:sz w:val="16"/>
          <w:szCs w:val="16"/>
        </w:rPr>
      </w:pPr>
    </w:p>
    <w:p w14:paraId="5E422938" w14:textId="334D0AB1"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B3438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782E3F" w14:textId="0A3D1285" w:rsidR="001E7FC5" w:rsidRPr="002F2FDF" w:rsidRDefault="001E7FC5"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12 (25) декабря</w:t>
      </w:r>
      <w:r w:rsidR="00E52569">
        <w:rPr>
          <w:rStyle w:val="a7"/>
          <w:rFonts w:eastAsiaTheme="majorEastAsia"/>
          <w:b w:val="0"/>
          <w:color w:val="000000" w:themeColor="text1"/>
          <w:sz w:val="16"/>
          <w:szCs w:val="16"/>
        </w:rPr>
        <w:t xml:space="preserve"> </w:t>
      </w:r>
      <w:r w:rsidRPr="002F2FDF">
        <w:rPr>
          <w:rStyle w:val="a7"/>
          <w:rFonts w:eastAsiaTheme="majorEastAsia"/>
          <w:b w:val="0"/>
          <w:color w:val="000000" w:themeColor="text1"/>
          <w:sz w:val="16"/>
          <w:szCs w:val="16"/>
        </w:rPr>
        <w:t>–</w:t>
      </w:r>
      <w:r w:rsidR="00E52569">
        <w:rPr>
          <w:color w:val="000000" w:themeColor="text1"/>
          <w:sz w:val="16"/>
          <w:szCs w:val="16"/>
        </w:rPr>
        <w:t xml:space="preserve"> </w:t>
      </w:r>
      <w:r w:rsidRPr="002F2FDF">
        <w:rPr>
          <w:color w:val="000000" w:themeColor="text1"/>
          <w:sz w:val="16"/>
          <w:szCs w:val="16"/>
        </w:rPr>
        <w:t>«Правда» опубликовала «Тезисы об Учредительном Собрании», где подвергалась сомнению «</w:t>
      </w:r>
      <w:r w:rsidRPr="002F2FDF">
        <w:rPr>
          <w:rStyle w:val="af0"/>
          <w:i w:val="0"/>
          <w:color w:val="000000" w:themeColor="text1"/>
          <w:sz w:val="16"/>
          <w:szCs w:val="16"/>
        </w:rPr>
        <w:t>легитимность</w:t>
      </w:r>
      <w:r w:rsidRPr="002F2FDF">
        <w:rPr>
          <w:color w:val="000000" w:themeColor="text1"/>
          <w:sz w:val="16"/>
          <w:szCs w:val="16"/>
        </w:rPr>
        <w:t>» будущего Учредительного собрания: «…</w:t>
      </w:r>
      <w:r w:rsidR="00E52569">
        <w:rPr>
          <w:color w:val="000000" w:themeColor="text1"/>
          <w:sz w:val="16"/>
          <w:szCs w:val="16"/>
        </w:rPr>
        <w:t xml:space="preserve"> </w:t>
      </w:r>
      <w:r w:rsidRPr="002F2FDF">
        <w:rPr>
          <w:rStyle w:val="af0"/>
          <w:i w:val="0"/>
          <w:color w:val="000000" w:themeColor="text1"/>
          <w:sz w:val="16"/>
          <w:szCs w:val="16"/>
        </w:rPr>
        <w:t>Всякая попытка, прямая или косвенная, рассматривать вопрос об Учредительном собрании с формальной юридической стороны, в рамках обычной буржуазной демократии, вне учета классовой борьбы и гражданской войны является изменой делу пролетариата и переходу на точку зрений буржуазии</w:t>
      </w:r>
      <w:r w:rsidRPr="002F2FDF">
        <w:rPr>
          <w:color w:val="000000" w:themeColor="text1"/>
          <w:sz w:val="16"/>
          <w:szCs w:val="16"/>
        </w:rPr>
        <w:t>» (18371).</w:t>
      </w:r>
    </w:p>
    <w:p w14:paraId="5692D411" w14:textId="77777777" w:rsidR="001E7FC5" w:rsidRPr="002F2FDF" w:rsidRDefault="001E7FC5" w:rsidP="0083075A">
      <w:pPr>
        <w:pStyle w:val="ae"/>
        <w:spacing w:before="0" w:after="0"/>
        <w:jc w:val="both"/>
        <w:rPr>
          <w:color w:val="000000" w:themeColor="text1"/>
          <w:sz w:val="16"/>
          <w:szCs w:val="16"/>
        </w:rPr>
      </w:pPr>
    </w:p>
    <w:p w14:paraId="59DE7E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декабря 1917 Эсеры вошли в состав Совнаркома (2565).</w:t>
      </w:r>
    </w:p>
    <w:p w14:paraId="47A0EA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40D663" w14:textId="5CB5B614" w:rsidR="008B3C13" w:rsidRPr="002F2FDF" w:rsidRDefault="008B3C13"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12 (25) декабря 1917 в Иркутске казаки прорвались к осажденному красногвардейцами военному училищу, доставив юнкерам продовольствие и патроны. На следующий день бои разгорелись с новой силой. Отряд солдат и красногвардейцев под командованием бывшего прапорщика царской армии Сергея Лазо, перешедшего на сторону большевиков, попытался организовать новую атаку на юнкеров, но в итоге был сам выбит из города. После этого уже юнкера и казаки возобновили штурм «Белого дома» — бывшей резиденции губернатора, занятого красногвардейцами, и в итоге взяли его. 27 и 28 декабря к городу подошли отряды красногвардейцев из других городов, и, расставив на окраинах артиллерийские батареи, начали обстрел Иркутска. Город охватили пожары, жители, спасаясь от обстрелов, мародерства и насилия солдат, покидали дома. </w:t>
      </w:r>
      <w:r w:rsidR="00E52569">
        <w:rPr>
          <w:color w:val="000000" w:themeColor="text1"/>
          <w:kern w:val="2"/>
          <w:sz w:val="16"/>
          <w:szCs w:val="16"/>
        </w:rPr>
        <w:t xml:space="preserve"> </w:t>
      </w:r>
    </w:p>
    <w:p w14:paraId="696D54A0" w14:textId="77777777" w:rsidR="008B3C13" w:rsidRPr="002F2FDF" w:rsidRDefault="008B3C13" w:rsidP="0083075A">
      <w:pPr>
        <w:pStyle w:val="ae"/>
        <w:spacing w:before="0" w:after="0"/>
        <w:jc w:val="both"/>
        <w:rPr>
          <w:color w:val="000000" w:themeColor="text1"/>
          <w:kern w:val="2"/>
          <w:sz w:val="16"/>
          <w:szCs w:val="16"/>
        </w:rPr>
      </w:pPr>
      <w:r w:rsidRPr="002F2FDF">
        <w:rPr>
          <w:color w:val="000000" w:themeColor="text1"/>
          <w:kern w:val="2"/>
          <w:sz w:val="16"/>
          <w:szCs w:val="16"/>
        </w:rPr>
        <w:lastRenderedPageBreak/>
        <w:t>30 декабря на фоне масштабных разрушений и пожаров в городе стороны заключили перемирие, договорившись, что власть в Иркутской губернии передается губернскому Совету из представителей Советов, городской думы, земства и профсоюзов. Противники обязались не преследовать друг друга. На тот момент число погибших с обеих сторон достигло уже почти 300, причем истинное число жертв было больше, поскольку часть трупов была унесена Ангарой.</w:t>
      </w:r>
    </w:p>
    <w:p w14:paraId="225474F7" w14:textId="77777777" w:rsidR="008B3C13" w:rsidRPr="002F2FDF" w:rsidRDefault="008B3C13" w:rsidP="0083075A">
      <w:pPr>
        <w:pStyle w:val="ae"/>
        <w:spacing w:before="0" w:after="0"/>
        <w:jc w:val="both"/>
        <w:rPr>
          <w:color w:val="000000" w:themeColor="text1"/>
          <w:kern w:val="2"/>
          <w:sz w:val="16"/>
          <w:szCs w:val="16"/>
        </w:rPr>
      </w:pPr>
      <w:r w:rsidRPr="002F2FDF">
        <w:rPr>
          <w:color w:val="000000" w:themeColor="text1"/>
          <w:kern w:val="2"/>
          <w:sz w:val="16"/>
          <w:szCs w:val="16"/>
        </w:rPr>
        <w:t>Уже 31 декабря стрельба и грабежи в Иркутске возобновились, из Красноярска прибывали новые отряды красногвардейцев (17045).</w:t>
      </w:r>
    </w:p>
    <w:p w14:paraId="1D17F55C" w14:textId="77777777" w:rsidR="008B3C13" w:rsidRPr="002F2FDF" w:rsidRDefault="008B3C1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2C84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декабря 1917 в Харькове провозгласили Украинскую республику советов в составе РФ (70,56), а съезд Советов шел с 11 (24) декабря 1917 (2443,389).</w:t>
      </w:r>
    </w:p>
    <w:p w14:paraId="35EF26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9E426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 де</w:t>
      </w:r>
      <w:r w:rsidRPr="002F2FDF">
        <w:rPr>
          <w:rFonts w:ascii="Times New Roman" w:hAnsi="Times New Roman" w:cs="Times New Roman"/>
          <w:color w:val="000000" w:themeColor="text1"/>
          <w:kern w:val="2"/>
          <w:sz w:val="16"/>
          <w:szCs w:val="16"/>
        </w:rPr>
        <w:softHyphen/>
        <w:t xml:space="preserve">кабря </w:t>
      </w:r>
      <w:r w:rsidR="00D56C8F" w:rsidRPr="002F2FDF">
        <w:rPr>
          <w:rFonts w:ascii="Times New Roman" w:hAnsi="Times New Roman" w:cs="Times New Roman"/>
          <w:color w:val="000000" w:themeColor="text1"/>
          <w:kern w:val="2"/>
          <w:sz w:val="16"/>
          <w:szCs w:val="16"/>
        </w:rPr>
        <w:t xml:space="preserve">1917 </w:t>
      </w:r>
      <w:r w:rsidRPr="002F2FDF">
        <w:rPr>
          <w:rFonts w:ascii="Times New Roman" w:hAnsi="Times New Roman" w:cs="Times New Roman"/>
          <w:color w:val="000000" w:themeColor="text1"/>
          <w:kern w:val="2"/>
          <w:sz w:val="16"/>
          <w:szCs w:val="16"/>
        </w:rPr>
        <w:t>в Харькове на Всеукраинском съезде Советов была провозглашена Украинская советская респуб</w:t>
      </w:r>
      <w:r w:rsidRPr="002F2FDF">
        <w:rPr>
          <w:rFonts w:ascii="Times New Roman" w:hAnsi="Times New Roman" w:cs="Times New Roman"/>
          <w:color w:val="000000" w:themeColor="text1"/>
          <w:kern w:val="2"/>
          <w:sz w:val="16"/>
          <w:szCs w:val="16"/>
        </w:rPr>
        <w:softHyphen/>
        <w:t>лика в составе Российской федерации. В Украине, таким образом, установилось двоевластие, так как Со</w:t>
      </w:r>
      <w:r w:rsidRPr="002F2FDF">
        <w:rPr>
          <w:rFonts w:ascii="Times New Roman" w:hAnsi="Times New Roman" w:cs="Times New Roman"/>
          <w:color w:val="000000" w:themeColor="text1"/>
          <w:kern w:val="2"/>
          <w:sz w:val="16"/>
          <w:szCs w:val="16"/>
        </w:rPr>
        <w:softHyphen/>
        <w:t>веты в некоторых воинских частях и населенных пунк</w:t>
      </w:r>
      <w:r w:rsidRPr="002F2FDF">
        <w:rPr>
          <w:rFonts w:ascii="Times New Roman" w:hAnsi="Times New Roman" w:cs="Times New Roman"/>
          <w:color w:val="000000" w:themeColor="text1"/>
          <w:kern w:val="2"/>
          <w:sz w:val="16"/>
          <w:szCs w:val="16"/>
        </w:rPr>
        <w:softHyphen/>
        <w:t>тах, особенно крупных городах юга и востока респуб</w:t>
      </w:r>
      <w:r w:rsidRPr="002F2FDF">
        <w:rPr>
          <w:rFonts w:ascii="Times New Roman" w:hAnsi="Times New Roman" w:cs="Times New Roman"/>
          <w:color w:val="000000" w:themeColor="text1"/>
          <w:kern w:val="2"/>
          <w:sz w:val="16"/>
          <w:szCs w:val="16"/>
        </w:rPr>
        <w:softHyphen/>
        <w:t>лики, придерживались позиций большевизма. Сове</w:t>
      </w:r>
      <w:r w:rsidRPr="002F2FDF">
        <w:rPr>
          <w:rFonts w:ascii="Times New Roman" w:hAnsi="Times New Roman" w:cs="Times New Roman"/>
          <w:color w:val="000000" w:themeColor="text1"/>
          <w:kern w:val="2"/>
          <w:sz w:val="16"/>
          <w:szCs w:val="16"/>
        </w:rPr>
        <w:softHyphen/>
        <w:t>ты всячески препятствовали украинизации армии, не останавливаясь перед развалом фронта (553).</w:t>
      </w:r>
    </w:p>
    <w:p w14:paraId="7C6633B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DC076A" w14:textId="77777777" w:rsidR="00D56C8F" w:rsidRPr="002F2FDF" w:rsidRDefault="00D56C8F" w:rsidP="0083075A">
      <w:pPr>
        <w:pStyle w:val="ae"/>
        <w:spacing w:before="0" w:after="0"/>
        <w:jc w:val="both"/>
        <w:rPr>
          <w:color w:val="000000" w:themeColor="text1"/>
          <w:kern w:val="2"/>
          <w:sz w:val="16"/>
          <w:szCs w:val="16"/>
        </w:rPr>
      </w:pPr>
      <w:r w:rsidRPr="002F2FDF">
        <w:rPr>
          <w:color w:val="000000" w:themeColor="text1"/>
          <w:kern w:val="2"/>
          <w:sz w:val="16"/>
          <w:szCs w:val="16"/>
        </w:rPr>
        <w:t>12 (25) декабря 1917 в Харькове I Всеукраинский съезд Советов провозгласил Украину «республикой советов рабочих, крестьянских, солдатских и казачьих депутатов». Этот съезд был организован большевиками в противовес съезду в Киеве, на котором им не удалось перехватить власть у «буржуазной» Рады. 30 декабря по итогам «большевистского» съезда в Харькове было сформировано свое, альтернативное киевскому правительство «Советской Украины». Одновременно у нее появилась первая войсковая часть — «Пэршый куринь чэрвонного козацтва», то есть «Первый полк красного казачества» под командованием большевика Виталия Примакова (17045).</w:t>
      </w:r>
    </w:p>
    <w:p w14:paraId="4F157667" w14:textId="77777777" w:rsidR="00D56C8F" w:rsidRPr="002F2FDF" w:rsidRDefault="00D56C8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6C21DE" w14:textId="77777777" w:rsidR="008B3C13"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05BE9F6" w14:textId="77777777" w:rsidR="008B3C13" w:rsidRPr="002F2FDF" w:rsidRDefault="008B3C1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2B5192" w14:textId="77777777" w:rsidR="008B3C13" w:rsidRPr="002F2FDF" w:rsidRDefault="008B3C13" w:rsidP="0083075A">
      <w:pPr>
        <w:pStyle w:val="ae"/>
        <w:spacing w:before="0" w:after="0"/>
        <w:jc w:val="both"/>
        <w:rPr>
          <w:color w:val="000000" w:themeColor="text1"/>
          <w:kern w:val="2"/>
          <w:sz w:val="16"/>
          <w:szCs w:val="16"/>
        </w:rPr>
      </w:pPr>
      <w:r w:rsidRPr="002F2FDF">
        <w:rPr>
          <w:color w:val="000000" w:themeColor="text1"/>
          <w:kern w:val="2"/>
          <w:sz w:val="16"/>
          <w:szCs w:val="16"/>
        </w:rPr>
        <w:t>В период с 12 (25) по 18 (31) декабря 1917 немецкие подводные лодки затопили 45 судов (17045).</w:t>
      </w:r>
    </w:p>
    <w:p w14:paraId="75E50149" w14:textId="77777777" w:rsidR="008B3C13" w:rsidRPr="002F2FDF" w:rsidRDefault="008B3C1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6F5703" w14:textId="77777777" w:rsidR="001E7FC5" w:rsidRPr="002F2FDF" w:rsidRDefault="001E7FC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369FF74" w14:textId="77777777" w:rsidR="001E7FC5" w:rsidRPr="002F2FDF" w:rsidRDefault="001E7FC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79FE99" w14:textId="044B6219" w:rsidR="001E7FC5" w:rsidRPr="002F2FDF" w:rsidRDefault="001E7FC5"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К 13 (16) декабря 1917 Мальчиковский представил новый проект — с учётом предложений Главного артиллерийского управления, Главного инженерного управления и Управления военно-воздушного флота. 23 декабря на заседании Особого совещания по обороне велось оживлённое обсуждение проекта с правкой А.А. Маниковского. По итогам одобрили</w:t>
      </w:r>
      <w:r w:rsidR="00E52569">
        <w:rPr>
          <w:color w:val="000000" w:themeColor="text1"/>
          <w:sz w:val="16"/>
          <w:szCs w:val="16"/>
        </w:rPr>
        <w:t xml:space="preserve"> </w:t>
      </w:r>
      <w:r w:rsidRPr="002F2FDF">
        <w:rPr>
          <w:rStyle w:val="af0"/>
          <w:rFonts w:eastAsiaTheme="majorEastAsia"/>
          <w:i w:val="0"/>
          <w:color w:val="000000" w:themeColor="text1"/>
          <w:sz w:val="16"/>
          <w:szCs w:val="16"/>
        </w:rPr>
        <w:t>в редакции Особого совещания по обороне</w:t>
      </w:r>
      <w:r w:rsidR="00E52569">
        <w:rPr>
          <w:color w:val="000000" w:themeColor="text1"/>
          <w:sz w:val="16"/>
          <w:szCs w:val="16"/>
        </w:rPr>
        <w:t xml:space="preserve"> </w:t>
      </w:r>
      <w:r w:rsidRPr="002F2FDF">
        <w:rPr>
          <w:color w:val="000000" w:themeColor="text1"/>
          <w:sz w:val="16"/>
          <w:szCs w:val="16"/>
        </w:rPr>
        <w:t>проект</w:t>
      </w:r>
      <w:r w:rsidR="00E52569">
        <w:rPr>
          <w:color w:val="000000" w:themeColor="text1"/>
          <w:sz w:val="16"/>
          <w:szCs w:val="16"/>
        </w:rPr>
        <w:t xml:space="preserve"> </w:t>
      </w:r>
      <w:r w:rsidRPr="002F2FDF">
        <w:rPr>
          <w:rStyle w:val="af0"/>
          <w:rFonts w:eastAsiaTheme="majorEastAsia"/>
          <w:i w:val="0"/>
          <w:color w:val="000000" w:themeColor="text1"/>
          <w:sz w:val="16"/>
          <w:szCs w:val="16"/>
        </w:rPr>
        <w:t>правил о</w:t>
      </w:r>
      <w:r w:rsidR="00E52569">
        <w:rPr>
          <w:color w:val="000000" w:themeColor="text1"/>
          <w:sz w:val="16"/>
          <w:szCs w:val="16"/>
        </w:rPr>
        <w:t xml:space="preserve"> </w:t>
      </w:r>
      <w:r w:rsidRPr="002F2FDF">
        <w:rPr>
          <w:color w:val="000000" w:themeColor="text1"/>
          <w:sz w:val="16"/>
          <w:szCs w:val="16"/>
        </w:rPr>
        <w:t>демобилизации военной промышленности[217] (18385).</w:t>
      </w:r>
    </w:p>
    <w:p w14:paraId="07291E49" w14:textId="77777777" w:rsidR="001E7FC5" w:rsidRPr="002F2FDF" w:rsidRDefault="001E7FC5" w:rsidP="0083075A">
      <w:pPr>
        <w:pStyle w:val="p1"/>
        <w:spacing w:before="0" w:beforeAutospacing="0" w:after="0" w:afterAutospacing="0"/>
        <w:jc w:val="both"/>
        <w:rPr>
          <w:color w:val="000000" w:themeColor="text1"/>
          <w:sz w:val="16"/>
          <w:szCs w:val="16"/>
        </w:rPr>
      </w:pPr>
    </w:p>
    <w:p w14:paraId="6CD6CDF2"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13 (25) декабря 1917 г.</w:t>
      </w:r>
    </w:p>
    <w:p w14:paraId="07A7BB2C"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Резолюции по Журналу № 210. </w:t>
      </w:r>
    </w:p>
    <w:p w14:paraId="48C43D02"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13 декабря 1917 г. </w:t>
      </w:r>
    </w:p>
    <w:p w14:paraId="2B654E25"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15 декабря. — Резолюция Председателя Особого Совещания для обсуждения и объединения мероприятий по обороне государства,по журналу Особого Совещания от 13 декабря 1917 года за № 210. </w:t>
      </w:r>
    </w:p>
    <w:p w14:paraId="6873A1CD"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371336CD"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По ходатайству Председателя правительственной комиссии на артиллерийском заводе Русского акционерного электрического общества «Динамо» — о выдаче названному обществу аванса без обеспечения по заказу на взрыватели 3 ГТ по контракту за № 330 1915 года: </w:t>
      </w:r>
    </w:p>
    <w:p w14:paraId="772A1D94"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предложить упомянутой комиссии совместно с Петроградским заводским совещанием и с заинтересованными рабочими организациями выяснить вопрос о сосредоточении производства взрывателей 3 ГТ в Петрограде на одном из трех заводов «Сименс — Шуккерт», «Айваз» и «Динамо», с ликвидацией производства на остальных; </w:t>
      </w:r>
    </w:p>
    <w:p w14:paraId="25BD9F11"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отпустить названному обществу выдачу дополнительного аванса без обеспечения в размере четырехсот тысяч (400 000) рублей на уплату рабочим и служащим, с тем чтобы означенный аванс был переведен в распоряжение Петроградского заводского совещания и расходовался под наблюдением особо назначенной комиссии для наблюдения за ходом работ на Петроградском заводе общества, о чем сделать дополнительную надпись на контракте за № 330 1915 г.; в случае если производство взрывателей будет сосредоточено на заводе «Динамо», отпустить поименованному обществу дополнительный аванс в размере двухсот тысяч (200 000) рублей. </w:t>
      </w:r>
    </w:p>
    <w:p w14:paraId="768C2304"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По ходатайству правительственного правления общества Путиловских заводов о выдаче ему ссуды на продолжение деятельности заводов:</w:t>
      </w:r>
    </w:p>
    <w:p w14:paraId="79285A78"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разрешить выдачу названному правлению ссуды в размере двадцати пяти миллионов (25 000 000) рублей на основаниях, установленных при выдаче прежних ссуд; </w:t>
      </w:r>
    </w:p>
    <w:p w14:paraId="1C239DEA"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подтвердить правительственному правлению и Петроградскому заводскому совещанию о необходимости скорейшей выработки плана дальнейших работ завода в связи с своевременным поступлением сырья и с переходом на работу мирного времени. </w:t>
      </w:r>
    </w:p>
    <w:p w14:paraId="1D6DD847"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3. По ходатайству товарищества химических заводов П. К. Ушкова и Ко выдаче дополнительного аванса и беспроцентной ссуды по контрактам № 4987 1915 г. и № 10 1916 г. — на поставку олеума и серной кислоты: разрешить выдачу дополнительного аванса в размере пятисот девяноста восьми тысяч девяносто двух (598 092) рублей 15 копеек и краткосрочной беспроцентной ссуды в размере четырехсот одной тысячи девятисот семи (401 907) рублей, на основаниях, установленных в докладе главного артиллерийского управления от 5 декабря 1917 года за № 188018 в исполнительную комиссию. Означенные суммы выдать через Московское заводское совещание для расходования их под наблюдением этого заводского совещания, действующего в контакте с Советом солдатских и рабочих депутатов. </w:t>
      </w:r>
    </w:p>
    <w:p w14:paraId="1A0ECD19"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4. По вопросу о расторжении договора с акционерным обществом «Павел Бекель» на поставку венсенита: </w:t>
      </w:r>
    </w:p>
    <w:p w14:paraId="44DEFF7D"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разрешить выдачу названному обществу на уплату рабочим и служащим ссуду в размере пятисот тысяч (500 000) рублей на основаниях, установленных в докладе главного артиллерийского управления от 5 декабря сего года за № 188020 в исполнительную комиссию; означенную сумму выдать через Московское заводское совещание для расходования ее под наблюдением этого заводского совещания, действующего в контакте с Советом солдатских и рабочих депутатов; </w:t>
      </w:r>
    </w:p>
    <w:p w14:paraId="39FC3C39"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прекратить производство венсенита и наполнение означенным веществом 3» снарядов; </w:t>
      </w:r>
    </w:p>
    <w:p w14:paraId="1C9F1A12"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передать в комиссию для руководства делом по пересмотру контрактов означенное дело для выяснения вопроса об аннулировании контракта № 102 1917 г. </w:t>
      </w:r>
    </w:p>
    <w:p w14:paraId="1EB7E355"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5. Отклонить ходатайство акционерного среднеазиатского нефтепромышленно-торгового общества «Санто» — о выдаче аванса по контракту № 69 1916 г., передав означенное дело для выяснения условий аннулирования контракта в комиссию для руководства делом по пересмотру контрактов, изготовление же заводом толуола прекратить. </w:t>
      </w:r>
    </w:p>
    <w:p w14:paraId="0F98EF9A"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6. Одобрить представление главного артиллерийского управления от 12 декабря 1917 года за № 190263 о разрешении заводу Л. А. Михельсон продолжать работы по подготовке полуфабрикатов к сдаче по контракту за № 62 1916 года. </w:t>
      </w:r>
    </w:p>
    <w:p w14:paraId="792C9180"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7. По вопросу о положении дел на заводах общества «Шодyap»: </w:t>
      </w:r>
    </w:p>
    <w:p w14:paraId="3DD6E24C"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секвестровать упомянутые заводы, на основании п. 3 ст. 10 положения об Особом Совещании, передав его в заведывание Министерства Торговли и Промышленности; </w:t>
      </w:r>
    </w:p>
    <w:p w14:paraId="77B44EC1"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впредь до назначения постоянного правления Министерством Торговли и Промышленности назначить временное правление из числа кандидатов, избираемых общим заводским советом; </w:t>
      </w:r>
    </w:p>
    <w:p w14:paraId="5B3E3773"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выдать временному правлению означенного завода краткосрочную беспроцентную ссуду в размере шести миллионов (6 000 000) рублей с погашением из ближайших платежей за изделия; сумму эту выдать для расходования впредь до сформирования правительственного правления Екатеринославскому заводскому совещанию, действующему в контакте с Советом солдатских и рабочих депутатов; г) передать означенное дело на рассмотрение Высшему Совету Народного Хозяйства. </w:t>
      </w:r>
    </w:p>
    <w:p w14:paraId="7CE221FF"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8. По докладу представителя Народного Комиссариата Министерства Труда о положении дел на Шлиссельбургском пороховом заводе акционерного общества для выделки и продажи Русского пороха: разрешить выдачу обществу через Петроградское заводское совещание, действующее в контакте с местным Советом солдатских и рабочих депутатов, краткосрочной беспроцентной ссуды в размере одного миллиона пятисот тысяч (1 500 000) рублей для расплаты с рабочими и служащими с погашением ее из имеющих быть отпущенными авансов за счет увеличение цен за изделия; подтвердить рабочим завода, что какое бы то ни было увеличения заработной платы может производиться лишь по установлению тарифных ставок особыми смешанными комиссиями или союзом металлистов. </w:t>
      </w:r>
    </w:p>
    <w:p w14:paraId="0A3F3112"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9. Одобрить проект правил о резерве промышленности для служащих и работавших на заводах. </w:t>
      </w:r>
    </w:p>
    <w:p w14:paraId="354A35B7"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10. По ходатайству Русского акционерного общества «Нефтегаз» об отпуске дополнительного аванса толуоловому заводу в Баку: </w:t>
      </w:r>
    </w:p>
    <w:p w14:paraId="7AFB6D77"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разрешить выдачу ссуды в размере трехсот тридцати двух тысяч (332 000) рублей из 7 % годовых на три года при условии прекращения производства, означенную сумму выдать в распоряжение Кавказского заводского совещания, под наблюдением этого совещания, действующего в контакте с Советом солдатских и рабочих депутатов; </w:t>
      </w:r>
    </w:p>
    <w:p w14:paraId="1AA37315"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производство толуола прекратить, передав вопрос об аннулировании контракта в комиссию для руководства делом пересмотра контрактов. </w:t>
      </w:r>
    </w:p>
    <w:p w14:paraId="0B82A20E"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11. По докладу представителя главного артиллерийского управления о продолжении постройки Онежского завода азотной кислоты: признать принципиально желательным достройку завода и открытие правлению этого завода кредита в размере двух миллионов трехсот тысяч (2 300 000) рублей на продолжение работ с тем, </w:t>
      </w:r>
      <w:r w:rsidRPr="002F2FDF">
        <w:rPr>
          <w:rFonts w:ascii="Times New Roman" w:hAnsi="Times New Roman" w:cs="Times New Roman"/>
          <w:color w:val="000000" w:themeColor="text1"/>
          <w:sz w:val="16"/>
          <w:szCs w:val="16"/>
        </w:rPr>
        <w:lastRenderedPageBreak/>
        <w:t xml:space="preserve">чтобы было предложено правлению совместно с Петроградским заводским совещанием выработать программу неотложных работ, имея в виду необходимую в настоящее время экономию средств. </w:t>
      </w:r>
    </w:p>
    <w:p w14:paraId="2D8FBA1F"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12. По ходатайству Русского электрического общества «Динамо» в Москве о выдаче ему ссуды по заказам главного артиллерийского управления: разрешить выдачу аванса без обеспечения в размере пятисот тысяч (500 000) рублей для расплаты с рабочими и служащими завода общества, выдав означенную сумму через Московское заводское совещание под наблюдением этого совещания, действующего в контакте с Советом солдатских и рабочих депутатов. </w:t>
      </w:r>
    </w:p>
    <w:p w14:paraId="7DE3F23A"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13. Одобрить доклад по главному военно-техническому управлению от 5 декабря 1917 года за № 126834 в подготовительную комиссию по общим вопросам о выдаче соединенным электромеханическим заводам Бип и быв. В. Савельев аванса в размере ста сорока одной тысячи двухсот восьмидесяти трех (141 283) рублей 97 коп. через Петроградское заводское совещание, под наблюдением этого совещания, действующего в контакте с местным Советом солдатских и рабочих депутатов, на условиях, установленных в докладе. </w:t>
      </w:r>
    </w:p>
    <w:p w14:paraId="2CD09967"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14. Одобрить доклад по главному военно-техническому управлению от 5 декабря 1917 года за № 126833 о выдаче торговому дому И. Орехов и Ф. Савин аванса без обеспечения в сумме двухсот восьмидесяти семи тысяч двухсот пяти (287 205) руб лей по наряду № 122229 на изложенных в докладе основаниях, предложив главному военно-техническому управлению выяснить степень необходимости заготовляемых продуктов и возможности перехода завода к работам мирного времени. </w:t>
      </w:r>
    </w:p>
    <w:p w14:paraId="5999C17C"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15. Одобрить доклад управления военного воздушного флота от 12 декабря 1917 года за № 12003/3398 о выдаче заводоуправлению авиационного завода В. В. Слюсаренко по заказам на аэропланы краткосрочной беспроцентной ссуды в размере ста тридцати семи тысяч (137 000) рублей с погашением этой ссуды из ближайших платежей за изделия; означенную сумму выдать через Петроградское заводское совещание для расходования под общим наблюдением представителя управления военного воздушного флота. </w:t>
      </w:r>
    </w:p>
    <w:p w14:paraId="7AA08D4E"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16. Одобрить доклад главного военно-технического управления от 2 декабря 1917 года за № 4147 в исполнительную комиссию о выдаче машиностроительному заводу А. Я. Шерстнева в Самаре аванса без обеспечения в размере ста тысяч (100 000) рублей при условии скидки 6 % с выдаваемой суммы и двести шестнадцать тысяч шестьсот десять (216 610) рублей — под обеспечение оборудования завода, согласно инвентарному списку финансовой комиссии центрального военно-промышленного комитета. </w:t>
      </w:r>
    </w:p>
    <w:p w14:paraId="7C59F2AD"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 председателя Особого Совещания генерал-лейтенант Потапов. </w:t>
      </w:r>
    </w:p>
    <w:p w14:paraId="21BFD51B"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 397. Л. 18–21 об. Подлинник. </w:t>
      </w:r>
    </w:p>
    <w:p w14:paraId="575F22D5"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16 декабря. — Дополнительная резолюция Председателя Особого Совещания для обсуждения и объединения мероприятий по обороне государства по журналу от 13 декабря 1917 года за № 210. </w:t>
      </w:r>
    </w:p>
    <w:p w14:paraId="77C81DCB"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Рассмотрев означенный журнал, я в отношении приведения в исполнение требующих того суждений Особого Совещания решил:</w:t>
      </w:r>
    </w:p>
    <w:p w14:paraId="532BDB79"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Одобрить доклад Главного Артиллерийского Управления от 30 ноября 1917 года за № 186410 в исполнительную комиссию о сокращении заказа на 15 000 ружей-пулеметов Мадсена Ковровскому заводу и о заказе ему 9 000 ружей-пулеметов генерал-майора Федорова. </w:t>
      </w:r>
    </w:p>
    <w:p w14:paraId="548F8BFE"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По вопросу о выдаче эвакуационного пособия эвакуируемым служащим и рабочим: </w:t>
      </w:r>
    </w:p>
    <w:p w14:paraId="21FA83B7"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признать, что основания, установленные ст. II «Правил о выдаче пособий рабочим и служащим предприятий, эвакуируемым из г. Ревеля по распоряжению военных властей» в редакции этой статьи, утвержденной бывшим управляющим Военным Министерством генералом от артиллерии Маниковским 15 ноября 1917 года, согласно коей названное пособие уплачивается эвакуируемым на месте совершения эвакуации, должны быть применены ко всем случаям эвакуации из других мест рабочих и служащих; </w:t>
      </w:r>
    </w:p>
    <w:p w14:paraId="229BC14C"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указать Ревельской эвакуационной комиссии, что упомянутое в п. а пособие рабочим и служащим, выехавшим по эвакуации предприятий и еще не получившим его, должно быть переведено на место их прибытия из кредитов этой комиссии в распоряжение подлежащих местных учреждений, указанных в ст. 12 Правил 14 ноября 1915 года. </w:t>
      </w:r>
    </w:p>
    <w:p w14:paraId="4C5354D4"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 председателя Особого Совещания генерал-лейтенант Потапов. г[енерал]-л[ейтенант] Бабиков. </w:t>
      </w:r>
    </w:p>
    <w:p w14:paraId="33EA2926"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 397. Л. 22 и об. Подлинник (20449). </w:t>
      </w:r>
    </w:p>
    <w:p w14:paraId="3939725E" w14:textId="77777777" w:rsidR="00262537" w:rsidRPr="002F2FDF" w:rsidRDefault="00262537" w:rsidP="0083075A">
      <w:pPr>
        <w:spacing w:after="0" w:line="240" w:lineRule="auto"/>
        <w:jc w:val="both"/>
        <w:rPr>
          <w:rFonts w:ascii="Times New Roman" w:hAnsi="Times New Roman" w:cs="Times New Roman"/>
          <w:color w:val="000000" w:themeColor="text1"/>
          <w:sz w:val="16"/>
          <w:szCs w:val="16"/>
        </w:rPr>
      </w:pPr>
    </w:p>
    <w:p w14:paraId="4F7B7CC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F6FE4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8D5C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декабря 1917 в Правде были опубликованы тезисы В.И.Л. об Учредительном собрании, которому надлежало всецело подчиниться советской власти (3908,272).</w:t>
      </w:r>
    </w:p>
    <w:p w14:paraId="541C01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817F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декабря 1917 на Украине большевики создали правительство в Харькове в противовес Раде в Киеве (3907,92).</w:t>
      </w:r>
    </w:p>
    <w:p w14:paraId="7015FA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3996F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декабря 1917 на станции Прохладная (у Владикавказа) толпой солдат-дезертиров убит глава Терско-Дагестанского правительства атаман Михаил Караулов (4962).</w:t>
      </w:r>
    </w:p>
    <w:p w14:paraId="3A614DE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F79940" w14:textId="65F112B2"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2BEF4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B310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(26) декабря 1917 Президент Вудро Вильсон взял ж/д под государственный контроль в качестве меры военного времени (2100).</w:t>
      </w:r>
    </w:p>
    <w:p w14:paraId="2A8EB1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45623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3D514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7C46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декабря 1917 СНК на заседании под председательством И.В.С. принял декрет о конфискации частного аэропланного завода Анатра (271,76).</w:t>
      </w:r>
    </w:p>
    <w:p w14:paraId="3AB028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0D8AB2" w14:textId="77777777" w:rsidR="006970C8" w:rsidRPr="002F2FDF" w:rsidRDefault="006970C8" w:rsidP="0083075A">
      <w:pPr>
        <w:pStyle w:val="ae"/>
        <w:spacing w:before="0" w:after="0"/>
        <w:jc w:val="both"/>
        <w:rPr>
          <w:color w:val="000000" w:themeColor="text1"/>
          <w:kern w:val="2"/>
          <w:sz w:val="16"/>
          <w:szCs w:val="16"/>
        </w:rPr>
      </w:pPr>
      <w:r w:rsidRPr="002F2FDF">
        <w:rPr>
          <w:color w:val="000000" w:themeColor="text1"/>
          <w:kern w:val="2"/>
          <w:sz w:val="16"/>
          <w:szCs w:val="16"/>
        </w:rPr>
        <w:t>14 (27) декабря 1917 г. издается декрет Совета народных комиссаров РСФСР «О конфискации аэропланового завода “Анатра” в Симферополе». В общем, напомнили о себе (Декреты… 1933: 389) (15235).</w:t>
      </w:r>
    </w:p>
    <w:p w14:paraId="098E7A5A" w14:textId="77777777" w:rsidR="006970C8" w:rsidRPr="002F2FDF" w:rsidRDefault="006970C8" w:rsidP="0083075A">
      <w:pPr>
        <w:pStyle w:val="ae"/>
        <w:spacing w:before="0" w:after="0"/>
        <w:jc w:val="both"/>
        <w:rPr>
          <w:color w:val="000000" w:themeColor="text1"/>
          <w:kern w:val="2"/>
          <w:sz w:val="16"/>
          <w:szCs w:val="16"/>
        </w:rPr>
      </w:pPr>
    </w:p>
    <w:p w14:paraId="39F87E33" w14:textId="77777777" w:rsidR="00D56C8F"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D0E4A84" w14:textId="77777777" w:rsidR="00D56C8F" w:rsidRPr="002F2FDF" w:rsidRDefault="00D56C8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4D5136" w14:textId="02FF593E" w:rsidR="000214FC" w:rsidRPr="002F2FDF" w:rsidRDefault="00D56C8F" w:rsidP="0083075A">
      <w:pPr>
        <w:pStyle w:val="ae"/>
        <w:spacing w:before="0" w:after="0"/>
        <w:jc w:val="both"/>
        <w:rPr>
          <w:color w:val="000000" w:themeColor="text1"/>
          <w:kern w:val="2"/>
          <w:sz w:val="16"/>
          <w:szCs w:val="16"/>
        </w:rPr>
      </w:pPr>
      <w:r w:rsidRPr="002F2FDF">
        <w:rPr>
          <w:color w:val="000000" w:themeColor="text1"/>
          <w:kern w:val="2"/>
          <w:sz w:val="16"/>
          <w:szCs w:val="16"/>
        </w:rPr>
        <w:t>14 (27) декабря 1917 на мирных переговорах в Брест-Литовске (ныне Брест на западе Белоруссии) с представителями Германии и ее союзников советская делегация сделала очередное предложение: «В полном согласии с открытым заявлением обеих договаривающихся сторон об отсутствии у них завоевательных планов и о желании заключить мир без аннексий, Россия выводит свои войска из занимаемых ею частей Австро-Венгрии, Турции и Персии, а державы Четверного союза</w:t>
      </w:r>
      <w:r w:rsidR="00E52569">
        <w:rPr>
          <w:color w:val="000000" w:themeColor="text1"/>
          <w:kern w:val="2"/>
          <w:sz w:val="16"/>
          <w:szCs w:val="16"/>
        </w:rPr>
        <w:t xml:space="preserve"> </w:t>
      </w:r>
      <w:r w:rsidRPr="002F2FDF">
        <w:rPr>
          <w:color w:val="000000" w:themeColor="text1"/>
          <w:kern w:val="2"/>
          <w:sz w:val="16"/>
          <w:szCs w:val="16"/>
        </w:rPr>
        <w:t>— из Польши, Литвы, Курляндии и других областей России». При этом Советская Россия обещала, в соответствии с правом наций на самоопределение, предоставить населению этих территорий возможность самим решить вопрос о своей независимости либо автономии в составе России — в отсутствие каких-либо войск, кроме национальных или местной милиции</w:t>
      </w:r>
      <w:r w:rsidR="000214FC" w:rsidRPr="002F2FDF">
        <w:rPr>
          <w:color w:val="000000" w:themeColor="text1"/>
          <w:kern w:val="2"/>
          <w:sz w:val="16"/>
          <w:szCs w:val="16"/>
        </w:rPr>
        <w:t>.</w:t>
      </w:r>
    </w:p>
    <w:p w14:paraId="49318BB6" w14:textId="77777777" w:rsidR="00D56C8F" w:rsidRPr="002F2FDF" w:rsidRDefault="000214FC"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Немцы на это заявили, что народы Польши, Литвы, части Латвии и Эстонии, а также Финляндии уже высказали свою волю, и большевикам следует не только смириться с их независимостью, но и вывести свои войска, если они там находились. Также советскую делегацию проинформировали, что к переговорам в Брест-Литовске в качестве самостоятельного и полноправного участника присоединится украинская делегация, представленная членами Центральной Рады. Фактически под предлогом самоопределения народов и по праву сильнейшего Германия делала большевикам предложение, от которого нельзя было отказаться — признать марионеточные режимы, установленные германо-австрийскими оккупационными властями, и «несоветскую» Украину. Однако официально к 31 декабря СНК признал независимость лишь одной Финляндии </w:t>
      </w:r>
      <w:r w:rsidR="00D56C8F" w:rsidRPr="002F2FDF">
        <w:rPr>
          <w:color w:val="000000" w:themeColor="text1"/>
          <w:kern w:val="2"/>
          <w:sz w:val="16"/>
          <w:szCs w:val="16"/>
        </w:rPr>
        <w:t>(17045).</w:t>
      </w:r>
    </w:p>
    <w:p w14:paraId="0CC9B224" w14:textId="77777777" w:rsidR="00D56C8F" w:rsidRPr="002F2FDF" w:rsidRDefault="00D56C8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C3CD9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2B220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8BF24B" w14:textId="77777777" w:rsidR="00EF1095" w:rsidRPr="002F2FDF" w:rsidRDefault="00EF109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color w:val="000000" w:themeColor="text1"/>
          <w:kern w:val="2"/>
          <w:sz w:val="16"/>
          <w:szCs w:val="16"/>
        </w:rPr>
        <w:t>14 (27) декабря 1917 г. была выставлена вооруженная охрана у всех частных банков Петрограда. В этот же день ВЦИК декретом национализировал все банки, были инвентаризированы все сейфы – денежный контроль перешел в руки большевиков (17326).</w:t>
      </w:r>
    </w:p>
    <w:p w14:paraId="21DB062F" w14:textId="77777777" w:rsidR="00EF1095" w:rsidRPr="002F2FDF" w:rsidRDefault="00EF109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88F1DE" w14:textId="77777777" w:rsidR="001E7FC5" w:rsidRPr="002F2FDF" w:rsidRDefault="001E7FC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14 (27) декабря 1917. Декрет ВЦИК о национализации банков (18685).</w:t>
      </w:r>
    </w:p>
    <w:p w14:paraId="22B3C5B7" w14:textId="77777777" w:rsidR="001E7FC5" w:rsidRPr="002F2FDF" w:rsidRDefault="001E7FC5" w:rsidP="0083075A">
      <w:pPr>
        <w:spacing w:after="0" w:line="240" w:lineRule="auto"/>
        <w:jc w:val="both"/>
        <w:rPr>
          <w:rFonts w:ascii="Times New Roman" w:hAnsi="Times New Roman" w:cs="Times New Roman"/>
          <w:color w:val="000000" w:themeColor="text1"/>
          <w:sz w:val="16"/>
          <w:szCs w:val="16"/>
        </w:rPr>
      </w:pPr>
    </w:p>
    <w:p w14:paraId="65B4BE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декабря 1917 вышел декрет ВЦИК о национализации банков (1348,113). Госбанк объединили с частными банками в Народный банк и управляющим стал Н.Осинский (3908,272).</w:t>
      </w:r>
    </w:p>
    <w:p w14:paraId="620940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05E403" w14:textId="77777777" w:rsidR="00D56C8F" w:rsidRPr="002F2FDF" w:rsidRDefault="00D56C8F" w:rsidP="0083075A">
      <w:pPr>
        <w:pStyle w:val="ae"/>
        <w:spacing w:before="0" w:after="0"/>
        <w:jc w:val="both"/>
        <w:rPr>
          <w:color w:val="000000" w:themeColor="text1"/>
          <w:kern w:val="2"/>
          <w:sz w:val="16"/>
          <w:szCs w:val="16"/>
        </w:rPr>
      </w:pPr>
      <w:r w:rsidRPr="002F2FDF">
        <w:rPr>
          <w:color w:val="000000" w:themeColor="text1"/>
          <w:kern w:val="2"/>
          <w:sz w:val="16"/>
          <w:szCs w:val="16"/>
        </w:rPr>
        <w:t>14 (27) декабря 1917 в Петрограде большевистский ВЦИК издал декрет «О национализации банков» и дополнительный декрет «О ревизии стальных ящиков в банках». Все активы как самих банков, так и золото в монетах и слит</w:t>
      </w:r>
      <w:r w:rsidRPr="002F2FDF">
        <w:rPr>
          <w:color w:val="000000" w:themeColor="text1"/>
          <w:kern w:val="2"/>
          <w:sz w:val="16"/>
          <w:szCs w:val="16"/>
        </w:rPr>
        <w:softHyphen/>
        <w:t>ках, находившееся в банковских сейфах частных лиц, подлежали «национализации» (17045).</w:t>
      </w:r>
    </w:p>
    <w:p w14:paraId="35090DE6" w14:textId="77777777" w:rsidR="00D56C8F" w:rsidRPr="002F2FDF" w:rsidRDefault="00D56C8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66FCFB" w14:textId="77777777" w:rsidR="00B6489E" w:rsidRPr="002F2FDF" w:rsidRDefault="00B6489E" w:rsidP="0083075A">
      <w:pPr>
        <w:pStyle w:val="a3"/>
        <w:rPr>
          <w:color w:val="000000" w:themeColor="text1"/>
          <w:lang w:val="ru-RU"/>
        </w:rPr>
      </w:pPr>
      <w:r w:rsidRPr="002F2FDF">
        <w:rPr>
          <w:color w:val="000000" w:themeColor="text1"/>
          <w:lang w:val="ru-RU"/>
        </w:rPr>
        <w:t>14 (27) декабря 1917 г. Декретом о национализации частных банков провозглашалась государственная монополия банковского дела. Объединенный с бывшими частными банками Госбанк стал называться Народным банком Республики. Одновременно был принят декрет о ревизии стальных ящиков (сейфов) в банках. Все обнаруженные деньги зачислялись на текущий счет клиента в Нарбанк, а золото в монетах и слитках конфисковывалось.95 (18085)</w:t>
      </w:r>
    </w:p>
    <w:p w14:paraId="05040D84" w14:textId="77777777" w:rsidR="00B6489E" w:rsidRPr="002F2FDF" w:rsidRDefault="00B6489E" w:rsidP="0083075A">
      <w:pPr>
        <w:pStyle w:val="a3"/>
        <w:rPr>
          <w:color w:val="000000" w:themeColor="text1"/>
          <w:lang w:val="ru-RU"/>
        </w:rPr>
      </w:pPr>
    </w:p>
    <w:p w14:paraId="07873CC0" w14:textId="77777777" w:rsidR="00B6489E" w:rsidRPr="002F2FDF" w:rsidRDefault="00B6489E" w:rsidP="0083075A">
      <w:pPr>
        <w:pStyle w:val="a3"/>
        <w:rPr>
          <w:color w:val="000000" w:themeColor="text1"/>
          <w:lang w:val="ru-RU"/>
        </w:rPr>
      </w:pPr>
      <w:r w:rsidRPr="002F2FDF">
        <w:rPr>
          <w:color w:val="000000" w:themeColor="text1"/>
          <w:lang w:val="ru-RU"/>
        </w:rPr>
        <w:t>14 (27) декабря 1917 г. в 7 часов утра начался захват частных банков и носил характер боевой операции. Вооруженные отряды оцепили банки. Телефонная связь между ними была прервана. К 12 часам все банки оказались в руках вооруженных красногвардейцев. В первую очередь большевики потребовали от членов правлений ключей от касс и кладовых. В случае сопротивления директоров и членов правлений арестовывали и доставляли в Смольный. 15 (28) декабря таким же образом были заняты частные банки в Москве. В провинции захват банков происходил в январе 1918 г. (18085)</w:t>
      </w:r>
    </w:p>
    <w:p w14:paraId="6A324346" w14:textId="77777777" w:rsidR="00B6489E" w:rsidRPr="002F2FDF" w:rsidRDefault="00B6489E" w:rsidP="0083075A">
      <w:pPr>
        <w:pStyle w:val="a3"/>
        <w:rPr>
          <w:color w:val="000000" w:themeColor="text1"/>
          <w:lang w:val="ru-RU"/>
        </w:rPr>
      </w:pPr>
    </w:p>
    <w:p w14:paraId="254BD7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(27) декабря 1917 3 дальневосточный краевой съезд Советов принял декларацию о переходе всей власти Советам в Приморье и Амурской области (2443,389).</w:t>
      </w:r>
    </w:p>
    <w:p w14:paraId="6987F8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4BC077" w14:textId="77777777" w:rsidR="00B37396"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15234975" w14:textId="77777777" w:rsidR="00B37396" w:rsidRPr="002F2FDF" w:rsidRDefault="00B3739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C5D823" w14:textId="00DE3831" w:rsidR="00B37396" w:rsidRPr="002F2FDF" w:rsidRDefault="00B37396" w:rsidP="0083075A">
      <w:pPr>
        <w:pStyle w:val="ae"/>
        <w:spacing w:before="0" w:after="0"/>
        <w:jc w:val="both"/>
        <w:rPr>
          <w:color w:val="000000" w:themeColor="text1"/>
          <w:kern w:val="2"/>
          <w:sz w:val="16"/>
          <w:szCs w:val="16"/>
        </w:rPr>
      </w:pPr>
      <w:r w:rsidRPr="002F2FDF">
        <w:rPr>
          <w:color w:val="000000" w:themeColor="text1"/>
          <w:kern w:val="2"/>
          <w:sz w:val="16"/>
          <w:szCs w:val="16"/>
        </w:rPr>
        <w:t>14</w:t>
      </w:r>
      <w:r w:rsidR="00E52569">
        <w:rPr>
          <w:color w:val="000000" w:themeColor="text1"/>
          <w:kern w:val="2"/>
          <w:sz w:val="16"/>
          <w:szCs w:val="16"/>
        </w:rPr>
        <w:t xml:space="preserve"> </w:t>
      </w:r>
      <w:hyperlink r:id="rId755" w:tooltip="27 декабря" w:history="1">
        <w:r w:rsidRPr="002F2FDF">
          <w:rPr>
            <w:rStyle w:val="a5"/>
            <w:color w:val="000000" w:themeColor="text1"/>
            <w:kern w:val="2"/>
            <w:sz w:val="16"/>
            <w:szCs w:val="16"/>
            <w:u w:val="none"/>
          </w:rPr>
          <w:t>(27)</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декабря</w:t>
        </w:r>
      </w:hyperlink>
      <w:r w:rsidRPr="002F2FDF">
        <w:rPr>
          <w:color w:val="000000" w:themeColor="text1"/>
          <w:kern w:val="2"/>
          <w:sz w:val="16"/>
          <w:szCs w:val="16"/>
        </w:rPr>
        <w:t xml:space="preserve"> 1917 советская делегация на втором заседании политической комиссии сделала предложение: «</w:t>
      </w:r>
      <w:r w:rsidRPr="002F2FDF">
        <w:rPr>
          <w:iCs/>
          <w:color w:val="000000" w:themeColor="text1"/>
          <w:kern w:val="2"/>
          <w:sz w:val="16"/>
          <w:szCs w:val="16"/>
        </w:rPr>
        <w:t xml:space="preserve">В полном согласии с открытым заявлением обеих договаривающихся сторон об отсутствии у них завоевательных планов и о желании заключить мир без аннексий. Россия выводит свои войска из занимаемых ею частей Австро-Венгрии, Турции и </w:t>
      </w:r>
      <w:hyperlink r:id="rId756" w:tooltip="Персия" w:history="1">
        <w:r w:rsidRPr="002F2FDF">
          <w:rPr>
            <w:rStyle w:val="a5"/>
            <w:iCs/>
            <w:color w:val="000000" w:themeColor="text1"/>
            <w:kern w:val="2"/>
            <w:sz w:val="16"/>
            <w:szCs w:val="16"/>
            <w:u w:val="none"/>
          </w:rPr>
          <w:t>Персии</w:t>
        </w:r>
      </w:hyperlink>
      <w:r w:rsidRPr="002F2FDF">
        <w:rPr>
          <w:iCs/>
          <w:color w:val="000000" w:themeColor="text1"/>
          <w:kern w:val="2"/>
          <w:sz w:val="16"/>
          <w:szCs w:val="16"/>
        </w:rPr>
        <w:t>, а державы Четверного союза — из Польши, Литвы, Курляндии и других областей России</w:t>
      </w:r>
      <w:r w:rsidRPr="002F2FDF">
        <w:rPr>
          <w:color w:val="000000" w:themeColor="text1"/>
          <w:kern w:val="2"/>
          <w:sz w:val="16"/>
          <w:szCs w:val="16"/>
        </w:rPr>
        <w:t xml:space="preserve">». Советская Россия обещала, в соответствии с принципом </w:t>
      </w:r>
      <w:hyperlink r:id="rId757" w:tooltip="Самоопределение" w:history="1">
        <w:r w:rsidRPr="002F2FDF">
          <w:rPr>
            <w:rStyle w:val="a5"/>
            <w:color w:val="000000" w:themeColor="text1"/>
            <w:kern w:val="2"/>
            <w:sz w:val="16"/>
            <w:szCs w:val="16"/>
            <w:u w:val="none"/>
          </w:rPr>
          <w:t>самоопределения</w:t>
        </w:r>
      </w:hyperlink>
      <w:r w:rsidRPr="002F2FDF">
        <w:rPr>
          <w:color w:val="000000" w:themeColor="text1"/>
          <w:kern w:val="2"/>
          <w:sz w:val="16"/>
          <w:szCs w:val="16"/>
        </w:rPr>
        <w:t xml:space="preserve"> наций, предоставить населению этих областей возможность самому решить вопрос о своём государственном существовании — в отсутствие каких-либо войск, кроме национальных или местной милиции.</w:t>
      </w:r>
    </w:p>
    <w:p w14:paraId="120166E6" w14:textId="77777777" w:rsidR="00B37396" w:rsidRPr="002F2FDF" w:rsidRDefault="00B37396" w:rsidP="0083075A">
      <w:pPr>
        <w:pStyle w:val="ae"/>
        <w:spacing w:before="0" w:after="0"/>
        <w:jc w:val="both"/>
        <w:rPr>
          <w:color w:val="000000" w:themeColor="text1"/>
          <w:kern w:val="2"/>
          <w:sz w:val="16"/>
          <w:szCs w:val="16"/>
        </w:rPr>
      </w:pPr>
      <w:r w:rsidRPr="002F2FDF">
        <w:rPr>
          <w:color w:val="000000" w:themeColor="text1"/>
          <w:kern w:val="2"/>
          <w:sz w:val="16"/>
          <w:szCs w:val="16"/>
        </w:rPr>
        <w:t>Германская и австро-венгерская делегация, однако, сделали контрпредложение — Российскому государству было предложено «</w:t>
      </w:r>
      <w:r w:rsidRPr="002F2FDF">
        <w:rPr>
          <w:iCs/>
          <w:color w:val="000000" w:themeColor="text1"/>
          <w:kern w:val="2"/>
          <w:sz w:val="16"/>
          <w:szCs w:val="16"/>
        </w:rPr>
        <w:t>принять к сведению заявления, в которых выражена воля народов, населяющих Польшу, Литву, Курляндию и части Эстляндии и Лифляндии, о их стремлении к полной государственной самостоятельности и к выделению из Российской федерации</w:t>
      </w:r>
      <w:r w:rsidRPr="002F2FDF">
        <w:rPr>
          <w:color w:val="000000" w:themeColor="text1"/>
          <w:kern w:val="2"/>
          <w:sz w:val="16"/>
          <w:szCs w:val="16"/>
        </w:rPr>
        <w:t>» и признать, что «</w:t>
      </w:r>
      <w:r w:rsidRPr="002F2FDF">
        <w:rPr>
          <w:iCs/>
          <w:color w:val="000000" w:themeColor="text1"/>
          <w:kern w:val="2"/>
          <w:sz w:val="16"/>
          <w:szCs w:val="16"/>
        </w:rPr>
        <w:t>эти заявления при настоящих условиях надлежит рассматривать как выражение народной воли</w:t>
      </w:r>
      <w:r w:rsidRPr="002F2FDF">
        <w:rPr>
          <w:color w:val="000000" w:themeColor="text1"/>
          <w:kern w:val="2"/>
          <w:sz w:val="16"/>
          <w:szCs w:val="16"/>
        </w:rPr>
        <w:t>».</w:t>
      </w:r>
    </w:p>
    <w:p w14:paraId="5AD53129" w14:textId="77777777" w:rsidR="00B37396" w:rsidRPr="002F2FDF" w:rsidRDefault="00B37396"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Р. фон Кюльман спросил, не согласится ли советское правительство вывести свои войска из всей Лифляндии и из Эстляндии, чтобы дать местному населению возможность соединиться со своими единоплеменниками, живущими в занятых немцами областях. Советской делегации также было сообщено, что </w:t>
      </w:r>
      <w:hyperlink r:id="rId758" w:tooltip="Украинская центральная рада" w:history="1">
        <w:r w:rsidRPr="002F2FDF">
          <w:rPr>
            <w:rStyle w:val="a5"/>
            <w:color w:val="000000" w:themeColor="text1"/>
            <w:kern w:val="2"/>
            <w:sz w:val="16"/>
            <w:szCs w:val="16"/>
            <w:u w:val="none"/>
          </w:rPr>
          <w:t>Украинская центральная рада</w:t>
        </w:r>
      </w:hyperlink>
      <w:r w:rsidRPr="002F2FDF">
        <w:rPr>
          <w:color w:val="000000" w:themeColor="text1"/>
          <w:kern w:val="2"/>
          <w:sz w:val="16"/>
          <w:szCs w:val="16"/>
        </w:rPr>
        <w:t xml:space="preserve"> направляет в Брест-Литовск свою собственную делегацию.</w:t>
      </w:r>
    </w:p>
    <w:p w14:paraId="3FCBE728" w14:textId="77777777" w:rsidR="00B37396" w:rsidRPr="002F2FDF" w:rsidRDefault="00B37396"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Под предлогом самоопределения народов Германия фактически предложила советской делегации признать марионеточные режимы, установленные к этому времени германо-австрийскими оккупационными властями в западных национальных окраинах бывшей Российской империи. Так, </w:t>
      </w:r>
      <w:hyperlink r:id="rId759" w:tooltip="11 декабря" w:history="1">
        <w:r w:rsidRPr="002F2FDF">
          <w:rPr>
            <w:rStyle w:val="a5"/>
            <w:color w:val="000000" w:themeColor="text1"/>
            <w:kern w:val="2"/>
            <w:sz w:val="16"/>
            <w:szCs w:val="16"/>
            <w:u w:val="none"/>
          </w:rPr>
          <w:t>11 декабря</w:t>
        </w:r>
      </w:hyperlink>
      <w:r w:rsidRPr="002F2FDF">
        <w:rPr>
          <w:color w:val="000000" w:themeColor="text1"/>
          <w:kern w:val="2"/>
          <w:sz w:val="16"/>
          <w:szCs w:val="16"/>
        </w:rPr>
        <w:t xml:space="preserve"> (по старому стилю) 1917 года, прямо во время германо-советских переговоров о перемирии, марионеточная </w:t>
      </w:r>
      <w:hyperlink r:id="rId760" w:tooltip="Литовская Тариба" w:history="1">
        <w:r w:rsidRPr="002F2FDF">
          <w:rPr>
            <w:rStyle w:val="a5"/>
            <w:color w:val="000000" w:themeColor="text1"/>
            <w:kern w:val="2"/>
            <w:sz w:val="16"/>
            <w:szCs w:val="16"/>
            <w:u w:val="none"/>
          </w:rPr>
          <w:t>Литовская Тариба</w:t>
        </w:r>
      </w:hyperlink>
      <w:r w:rsidRPr="002F2FDF">
        <w:rPr>
          <w:color w:val="000000" w:themeColor="text1"/>
          <w:kern w:val="2"/>
          <w:sz w:val="16"/>
          <w:szCs w:val="16"/>
        </w:rPr>
        <w:t xml:space="preserve"> объявила о восстановлении независимого Литовского государства и «вечных союзных связях» этого государства с Германией</w:t>
      </w:r>
      <w:r w:rsidR="006B2BD0" w:rsidRPr="002F2FDF">
        <w:rPr>
          <w:color w:val="000000" w:themeColor="text1"/>
          <w:kern w:val="2"/>
          <w:sz w:val="16"/>
          <w:szCs w:val="16"/>
        </w:rPr>
        <w:t xml:space="preserve"> (17035)</w:t>
      </w:r>
      <w:r w:rsidRPr="002F2FDF">
        <w:rPr>
          <w:color w:val="000000" w:themeColor="text1"/>
          <w:kern w:val="2"/>
          <w:sz w:val="16"/>
          <w:szCs w:val="16"/>
        </w:rPr>
        <w:t>.</w:t>
      </w:r>
    </w:p>
    <w:p w14:paraId="0C6FCDA4" w14:textId="77777777" w:rsidR="00B37396" w:rsidRPr="002F2FDF" w:rsidRDefault="00B3739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30B377" w14:textId="77777777" w:rsidR="008B3C13"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F61C07C" w14:textId="77777777" w:rsidR="008B3C13" w:rsidRPr="002F2FDF" w:rsidRDefault="008B3C1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22303D" w14:textId="77777777" w:rsidR="008B3C13" w:rsidRPr="002F2FDF" w:rsidRDefault="008B3C13" w:rsidP="0083075A">
      <w:pPr>
        <w:pStyle w:val="ae"/>
        <w:spacing w:before="0" w:after="0"/>
        <w:jc w:val="both"/>
        <w:rPr>
          <w:color w:val="000000" w:themeColor="text1"/>
          <w:kern w:val="2"/>
          <w:sz w:val="16"/>
          <w:szCs w:val="16"/>
        </w:rPr>
      </w:pPr>
      <w:r w:rsidRPr="002F2FDF">
        <w:rPr>
          <w:color w:val="000000" w:themeColor="text1"/>
          <w:kern w:val="2"/>
          <w:sz w:val="16"/>
          <w:szCs w:val="16"/>
        </w:rPr>
        <w:t>14 (27) декабря 1917 в районе города Ипр на западе Бельгии после артподготовки французские части попытались перейти в атаку, но были отбиты. В свою очередь, германские войска 31 декабря пытались перейти в наступление в районе Вердена, но также без успеха. Выдвижение войск на обеих участках сопровождалось ожесточенными обоюдными артобстрелами (17045).</w:t>
      </w:r>
    </w:p>
    <w:p w14:paraId="4EA149CF" w14:textId="77777777" w:rsidR="008B3C13" w:rsidRPr="002F2FDF" w:rsidRDefault="008B3C1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99662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43F021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490F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декабря 1917 было национализировано Русско-Бельгийское металлургическое общество (3908,272).</w:t>
      </w:r>
    </w:p>
    <w:p w14:paraId="03EAC5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A68F3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0D03B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54BF1E" w14:textId="77777777" w:rsidR="00276C1E" w:rsidRPr="002F2FDF" w:rsidRDefault="00276C1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 (28) декабря 1917 г., в день вступления в силу советско-гер</w:t>
      </w:r>
      <w:r w:rsidRPr="002F2FDF">
        <w:rPr>
          <w:rFonts w:ascii="Times New Roman" w:hAnsi="Times New Roman" w:cs="Times New Roman"/>
          <w:color w:val="000000" w:themeColor="text1"/>
          <w:sz w:val="16"/>
          <w:szCs w:val="16"/>
        </w:rPr>
        <w:softHyphen/>
        <w:t>манского перемирия, эшелон с техникой, имуществом и личным составом французской эскадрильи N 581 (всего около 100 человек, в том числе много прикомандированных русских) отправился со стан</w:t>
      </w:r>
      <w:r w:rsidRPr="002F2FDF">
        <w:rPr>
          <w:rFonts w:ascii="Times New Roman" w:hAnsi="Times New Roman" w:cs="Times New Roman"/>
          <w:color w:val="000000" w:themeColor="text1"/>
          <w:sz w:val="16"/>
          <w:szCs w:val="16"/>
        </w:rPr>
        <w:softHyphen/>
        <w:t>ции Волочиск. Пунктом назначения были Лубны, куда эшелон прибыл три дня спустя. На промежуточных станциях французам приходилось отбиваться от толп дезертиров, искавших поживы. Эскадрилья SOP 582 еще 7 октября была реорганизована в учебную часть для обеспечения подготовки русского персона</w:t>
      </w:r>
      <w:r w:rsidRPr="002F2FDF">
        <w:rPr>
          <w:rFonts w:ascii="Times New Roman" w:hAnsi="Times New Roman" w:cs="Times New Roman"/>
          <w:color w:val="000000" w:themeColor="text1"/>
          <w:sz w:val="16"/>
          <w:szCs w:val="16"/>
        </w:rPr>
        <w:softHyphen/>
        <w:t>ла. Ее передислоцировали в Симферополь, но относительно даты этого события полной ясности нет. Как бы там ни было, во второй половине декабря 1917 г. SOP 582 оказалась в Крыму (22287).</w:t>
      </w:r>
    </w:p>
    <w:p w14:paraId="2534C362" w14:textId="77777777" w:rsidR="00276C1E" w:rsidRPr="002F2FDF" w:rsidRDefault="00276C1E" w:rsidP="0083075A">
      <w:pPr>
        <w:spacing w:after="0" w:line="240" w:lineRule="auto"/>
        <w:jc w:val="both"/>
        <w:rPr>
          <w:rFonts w:ascii="Times New Roman" w:hAnsi="Times New Roman" w:cs="Times New Roman"/>
          <w:color w:val="000000" w:themeColor="text1"/>
          <w:sz w:val="16"/>
          <w:szCs w:val="16"/>
        </w:rPr>
      </w:pPr>
    </w:p>
    <w:p w14:paraId="5E6756FB" w14:textId="3D6D312E" w:rsidR="00765CAE" w:rsidRPr="00FB4F67" w:rsidRDefault="00765CAE"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15 (</w:t>
      </w:r>
      <w:r w:rsidRPr="00FB4F67">
        <w:rPr>
          <w:rFonts w:ascii="Times New Roman" w:hAnsi="Times New Roman" w:cs="Times New Roman"/>
          <w:color w:val="0070C0"/>
          <w:sz w:val="16"/>
          <w:szCs w:val="16"/>
        </w:rPr>
        <w:t>28</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декабря 1917 г. в Брест-Литовске Советы и Центральные державы подписали временное мирное соглашение (23525).</w:t>
      </w:r>
    </w:p>
    <w:p w14:paraId="3D80C79B" w14:textId="77777777" w:rsidR="00765CAE" w:rsidRPr="00FB4F67" w:rsidRDefault="00765CAE" w:rsidP="0083075A">
      <w:pPr>
        <w:spacing w:after="0" w:line="240" w:lineRule="auto"/>
        <w:jc w:val="both"/>
        <w:rPr>
          <w:rFonts w:ascii="Times New Roman" w:hAnsi="Times New Roman" w:cs="Times New Roman"/>
          <w:color w:val="0070C0"/>
          <w:sz w:val="16"/>
          <w:szCs w:val="16"/>
        </w:rPr>
      </w:pPr>
    </w:p>
    <w:p w14:paraId="7F8CF1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декабря 1917 Совет Народных Комиссаров принял декрет "О выборном начале и об организации власти в армии". Полновластными органами в армии провозглашены солдатские комитеты и Советы.</w:t>
      </w:r>
    </w:p>
    <w:p w14:paraId="5D1B62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Совет Народных Комиссаров принял декрет "Об уравнении всех военнослужащих в правах". Упразднены все чины и звания в армии, начиная с ефрейторского и кончая генеральским. "Армия Российской Республики отныне состоят из свободных и равных друг другу граждан, носящих почетное звание солдат революционной армии". Отменены ордена и все наружные знаки отличия, связанные с прежними чинами и званиями; отменено титулование (4216).</w:t>
      </w:r>
    </w:p>
    <w:p w14:paraId="7E9120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ABC4A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8A347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EF7341" w14:textId="72013EE2" w:rsidR="001E7FC5" w:rsidRPr="002F2FDF" w:rsidRDefault="001E7FC5"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15 (28) декабря</w:t>
      </w:r>
      <w:r w:rsidR="00E52569">
        <w:rPr>
          <w:rStyle w:val="a7"/>
          <w:rFonts w:eastAsiaTheme="majorEastAsia"/>
          <w:b w:val="0"/>
          <w:color w:val="000000" w:themeColor="text1"/>
          <w:sz w:val="16"/>
          <w:szCs w:val="16"/>
        </w:rPr>
        <w:t xml:space="preserve"> </w:t>
      </w:r>
      <w:r w:rsidRPr="002F2FDF">
        <w:rPr>
          <w:rStyle w:val="a7"/>
          <w:rFonts w:eastAsiaTheme="majorEastAsia"/>
          <w:b w:val="0"/>
          <w:color w:val="000000" w:themeColor="text1"/>
          <w:sz w:val="16"/>
          <w:szCs w:val="16"/>
        </w:rPr>
        <w:t xml:space="preserve">1917 </w:t>
      </w:r>
      <w:r w:rsidRPr="002F2FDF">
        <w:rPr>
          <w:color w:val="000000" w:themeColor="text1"/>
          <w:sz w:val="16"/>
          <w:szCs w:val="16"/>
        </w:rPr>
        <w:t>объединились ЦИК II Съезда Рабочих и Солдатских Депутатов и ЦИК II Съезда Советов Крестьянских Депутатов. Следующие Съезды в январе 1918 года объединятся в единый III Съезд Советов Рабочих, Солдатских и Крестьянских Депутатов (18371).</w:t>
      </w:r>
    </w:p>
    <w:p w14:paraId="3F2544AD" w14:textId="77777777" w:rsidR="001E7FC5" w:rsidRPr="002F2FDF" w:rsidRDefault="001E7FC5" w:rsidP="0083075A">
      <w:pPr>
        <w:pStyle w:val="ae"/>
        <w:spacing w:before="0" w:after="0"/>
        <w:jc w:val="both"/>
        <w:rPr>
          <w:color w:val="000000" w:themeColor="text1"/>
          <w:sz w:val="16"/>
          <w:szCs w:val="16"/>
        </w:rPr>
      </w:pPr>
    </w:p>
    <w:p w14:paraId="13C8864E" w14:textId="77777777" w:rsidR="001E7FC5" w:rsidRPr="002F2FDF" w:rsidRDefault="001E7FC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 (28) декабря 1917. Все 18 городских частных банков Москвы национализированы и объединены в один банк, получивший название Московского отделения народного банка, который просуществовал до декабре 1918 года, когда был превращен в обычную контору Государственного банка.</w:t>
      </w:r>
    </w:p>
    <w:p w14:paraId="0ED50F91" w14:textId="77777777" w:rsidR="001E7FC5" w:rsidRPr="002F2FDF" w:rsidRDefault="001E7FC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Из обращения ВЧК "Ко всем Советам на местах": "При Совете Народных Комиссаров образовалась Всероссийская чрезвычайная комиссия по борьбе с контрреволюцией, саботажем н спекуляцией. Комиссия обращается ко всем рабочим, солдатам и крестьянам с призывом прийти на помощь комиссии в" рьбе с врагами революции. Все сведения и данные-об организациях и отдельных лицах, деятельность которых направлена во вред революции и власти народа, направляйте в комиссию по борьбе с контрреволюцией и саботажем. Комиссия предлагает всем Советам на местах немедленно приступить к организации таких же комиссий" (18685).</w:t>
      </w:r>
    </w:p>
    <w:p w14:paraId="1EC2EE1E" w14:textId="77777777" w:rsidR="001E7FC5" w:rsidRPr="002F2FDF" w:rsidRDefault="001E7FC5" w:rsidP="0083075A">
      <w:pPr>
        <w:spacing w:after="0" w:line="240" w:lineRule="auto"/>
        <w:jc w:val="both"/>
        <w:rPr>
          <w:rFonts w:ascii="Times New Roman" w:hAnsi="Times New Roman" w:cs="Times New Roman"/>
          <w:color w:val="000000" w:themeColor="text1"/>
          <w:sz w:val="16"/>
          <w:szCs w:val="16"/>
        </w:rPr>
      </w:pPr>
    </w:p>
    <w:p w14:paraId="3735B078" w14:textId="77777777" w:rsidR="0040277E" w:rsidRPr="002F2FDF" w:rsidRDefault="0040277E" w:rsidP="0083075A">
      <w:pPr>
        <w:pStyle w:val="a3"/>
        <w:rPr>
          <w:color w:val="000000" w:themeColor="text1"/>
          <w:lang w:val="ru-RU"/>
        </w:rPr>
      </w:pPr>
      <w:r w:rsidRPr="002F2FDF">
        <w:rPr>
          <w:color w:val="000000" w:themeColor="text1"/>
          <w:lang w:val="ru-RU"/>
        </w:rPr>
        <w:t>15 (28) декабря 1917 были заняты частные банки в Москве. В провинции захват банков происходил в январе 1918 г. (18085)</w:t>
      </w:r>
    </w:p>
    <w:p w14:paraId="21BFAE95" w14:textId="77777777" w:rsidR="0040277E" w:rsidRPr="002F2FDF" w:rsidRDefault="0040277E" w:rsidP="0083075A">
      <w:pPr>
        <w:pStyle w:val="a3"/>
        <w:rPr>
          <w:color w:val="000000" w:themeColor="text1"/>
          <w:lang w:val="ru-RU"/>
        </w:rPr>
      </w:pPr>
    </w:p>
    <w:p w14:paraId="51994C7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декабря 1917 в “Известиях” Ф. Дзержинский призвал все советские органы создавать отряды ЧК (4962).</w:t>
      </w:r>
    </w:p>
    <w:p w14:paraId="01165B61"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BC40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декабря 1917 г. Ликвидировано Главное управление по делам милиции МВД Временного правительства (10303).</w:t>
      </w:r>
    </w:p>
    <w:p w14:paraId="3E138F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7F95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декабря 1917 Бесарабия провозгласила независимость под названием Молдавская Республика (3907,92).</w:t>
      </w:r>
    </w:p>
    <w:p w14:paraId="2CA15D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80E43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7CC0BD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42BE56" w14:textId="77777777" w:rsidR="0050748F" w:rsidRPr="002F2FDF" w:rsidRDefault="0050748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декабря 1917 мирные переговоры в Брест-Литовске зашли в тупик и советская делегация уехала в Петроград для консультаций. Немцев не устраивал мир без аннексий и контрибуций (12629).</w:t>
      </w:r>
    </w:p>
    <w:p w14:paraId="608C9453" w14:textId="77777777" w:rsidR="0050748F" w:rsidRPr="002F2FDF" w:rsidRDefault="0050748F"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231F01" w14:textId="2C7BCBD4" w:rsidR="006B2BD0" w:rsidRPr="002F2FDF" w:rsidRDefault="006B2BD0" w:rsidP="0083075A">
      <w:pPr>
        <w:pStyle w:val="ae"/>
        <w:spacing w:before="0" w:after="0"/>
        <w:jc w:val="both"/>
        <w:rPr>
          <w:color w:val="000000" w:themeColor="text1"/>
          <w:kern w:val="2"/>
          <w:sz w:val="16"/>
          <w:szCs w:val="16"/>
        </w:rPr>
      </w:pPr>
      <w:r w:rsidRPr="002F2FDF">
        <w:rPr>
          <w:color w:val="000000" w:themeColor="text1"/>
          <w:kern w:val="2"/>
          <w:sz w:val="16"/>
          <w:szCs w:val="16"/>
        </w:rPr>
        <w:t>15</w:t>
      </w:r>
      <w:r w:rsidR="00E52569">
        <w:rPr>
          <w:color w:val="000000" w:themeColor="text1"/>
          <w:kern w:val="2"/>
          <w:sz w:val="16"/>
          <w:szCs w:val="16"/>
        </w:rPr>
        <w:t xml:space="preserve"> </w:t>
      </w:r>
      <w:hyperlink r:id="rId761" w:tooltip="28 декабря" w:history="1">
        <w:r w:rsidRPr="002F2FDF">
          <w:rPr>
            <w:rStyle w:val="a5"/>
            <w:color w:val="000000" w:themeColor="text1"/>
            <w:kern w:val="2"/>
            <w:sz w:val="16"/>
            <w:szCs w:val="16"/>
            <w:u w:val="none"/>
          </w:rPr>
          <w:t>(28)</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декабря</w:t>
        </w:r>
      </w:hyperlink>
      <w:r w:rsidRPr="002F2FDF">
        <w:rPr>
          <w:color w:val="000000" w:themeColor="text1"/>
          <w:kern w:val="2"/>
          <w:sz w:val="16"/>
          <w:szCs w:val="16"/>
        </w:rPr>
        <w:t xml:space="preserve"> 1917 советская делегация выехала в </w:t>
      </w:r>
      <w:hyperlink r:id="rId762" w:tooltip="Петроград" w:history="1">
        <w:r w:rsidRPr="002F2FDF">
          <w:rPr>
            <w:rStyle w:val="a5"/>
            <w:color w:val="000000" w:themeColor="text1"/>
            <w:kern w:val="2"/>
            <w:sz w:val="16"/>
            <w:szCs w:val="16"/>
            <w:u w:val="none"/>
          </w:rPr>
          <w:t>Петроград</w:t>
        </w:r>
      </w:hyperlink>
      <w:r w:rsidRPr="002F2FDF">
        <w:rPr>
          <w:color w:val="000000" w:themeColor="text1"/>
          <w:kern w:val="2"/>
          <w:sz w:val="16"/>
          <w:szCs w:val="16"/>
        </w:rPr>
        <w:t xml:space="preserve">. Сложившееся положение дел было обсуждено на заседании ЦК </w:t>
      </w:r>
      <w:hyperlink r:id="rId763" w:tooltip="РСДРП(б)" w:history="1">
        <w:r w:rsidRPr="002F2FDF">
          <w:rPr>
            <w:rStyle w:val="a5"/>
            <w:color w:val="000000" w:themeColor="text1"/>
            <w:kern w:val="2"/>
            <w:sz w:val="16"/>
            <w:szCs w:val="16"/>
            <w:u w:val="none"/>
          </w:rPr>
          <w:t>РСДРП(б)</w:t>
        </w:r>
      </w:hyperlink>
      <w:r w:rsidRPr="002F2FDF">
        <w:rPr>
          <w:color w:val="000000" w:themeColor="text1"/>
          <w:kern w:val="2"/>
          <w:sz w:val="16"/>
          <w:szCs w:val="16"/>
        </w:rPr>
        <w:t xml:space="preserve">, где большинством голосов было принято решение затягивать мирные переговоры как можно дольше, в надежде на скорую революцию в самой Германии. В дальнейшем формула уточняется и </w:t>
      </w:r>
      <w:r w:rsidRPr="002F2FDF">
        <w:rPr>
          <w:color w:val="000000" w:themeColor="text1"/>
          <w:kern w:val="2"/>
          <w:sz w:val="16"/>
          <w:szCs w:val="16"/>
        </w:rPr>
        <w:lastRenderedPageBreak/>
        <w:t>принимает следующий вид: «</w:t>
      </w:r>
      <w:r w:rsidRPr="002F2FDF">
        <w:rPr>
          <w:iCs/>
          <w:color w:val="000000" w:themeColor="text1"/>
          <w:kern w:val="2"/>
          <w:sz w:val="16"/>
          <w:szCs w:val="16"/>
        </w:rPr>
        <w:t>Держимся до германского ультиматума, потом сдаём</w:t>
      </w:r>
      <w:r w:rsidRPr="002F2FDF">
        <w:rPr>
          <w:color w:val="000000" w:themeColor="text1"/>
          <w:kern w:val="2"/>
          <w:sz w:val="16"/>
          <w:szCs w:val="16"/>
        </w:rPr>
        <w:t>».</w:t>
      </w:r>
    </w:p>
    <w:p w14:paraId="3A691D97" w14:textId="77777777" w:rsidR="006B2BD0" w:rsidRPr="002F2FDF" w:rsidRDefault="006B2BD0" w:rsidP="0083075A">
      <w:pPr>
        <w:pStyle w:val="ae"/>
        <w:spacing w:before="0" w:after="0"/>
        <w:jc w:val="both"/>
        <w:rPr>
          <w:color w:val="000000" w:themeColor="text1"/>
          <w:kern w:val="2"/>
          <w:sz w:val="16"/>
          <w:szCs w:val="16"/>
        </w:rPr>
      </w:pPr>
      <w:r w:rsidRPr="002F2FDF">
        <w:rPr>
          <w:color w:val="000000" w:themeColor="text1"/>
          <w:kern w:val="2"/>
          <w:sz w:val="16"/>
          <w:szCs w:val="16"/>
        </w:rPr>
        <w:t>С одной стороны, выдвинутые германской стороной условия были неприемлемыми, однако было непонятно, чем можно на них ответить. Советское руководство пыталось выяснить, велика ли возможность немецкого наступления и его решающего успеха, не может ли срыв переговоров вызвать массовый уход солдат с фронта, способна ли армия противостоять немецкому наступлению или осуществлять организованное отступление, сохраняя артиллерию. В зависимости от ответов на эти вопросы, необходимо было определиться с тактикой переговоров — следует ли их затянуть или, наоборот, «революционно резко» сорвать?</w:t>
      </w:r>
    </w:p>
    <w:p w14:paraId="6DA0F47B" w14:textId="24CDEDA7" w:rsidR="006B2BD0" w:rsidRPr="002F2FDF" w:rsidRDefault="006B2BD0" w:rsidP="0083075A">
      <w:pPr>
        <w:pStyle w:val="ae"/>
        <w:spacing w:before="0" w:after="0"/>
        <w:jc w:val="both"/>
        <w:rPr>
          <w:color w:val="000000" w:themeColor="text1"/>
          <w:kern w:val="2"/>
          <w:sz w:val="16"/>
          <w:szCs w:val="16"/>
        </w:rPr>
      </w:pPr>
      <w:r w:rsidRPr="002F2FDF">
        <w:rPr>
          <w:color w:val="000000" w:themeColor="text1"/>
          <w:kern w:val="2"/>
          <w:sz w:val="16"/>
          <w:szCs w:val="16"/>
        </w:rPr>
        <w:t>В конце концов советские руководители, учитывая состояние армии, не осмелились прервать мирные переговоры. Было принято решение противодействовать форсированию переговоров немецкой стороной, требовать перенесения конференции в Стокгольм, усилить антивоенную агитацию среди немецких солдат, вести пропаганду и агитацию в пользу революционной войны. Эти положения 18</w:t>
      </w:r>
      <w:r w:rsidR="00E52569">
        <w:rPr>
          <w:color w:val="000000" w:themeColor="text1"/>
          <w:kern w:val="2"/>
          <w:sz w:val="16"/>
          <w:szCs w:val="16"/>
        </w:rPr>
        <w:t xml:space="preserve"> </w:t>
      </w:r>
      <w:hyperlink r:id="rId764" w:tooltip="31 декабря" w:history="1">
        <w:r w:rsidRPr="002F2FDF">
          <w:rPr>
            <w:rStyle w:val="a5"/>
            <w:color w:val="000000" w:themeColor="text1"/>
            <w:kern w:val="2"/>
            <w:sz w:val="16"/>
            <w:szCs w:val="16"/>
            <w:u w:val="none"/>
          </w:rPr>
          <w:t>(31)</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декабря</w:t>
        </w:r>
      </w:hyperlink>
      <w:r w:rsidRPr="002F2FDF">
        <w:rPr>
          <w:color w:val="000000" w:themeColor="text1"/>
          <w:kern w:val="2"/>
          <w:sz w:val="16"/>
          <w:szCs w:val="16"/>
        </w:rPr>
        <w:t xml:space="preserve"> были сформулированы Лениным в проекте резолюции Совнаркома, предусматривавшем также организацию армии и «оборону от прорыва к Петрограду».</w:t>
      </w:r>
    </w:p>
    <w:p w14:paraId="52D00F97" w14:textId="77777777" w:rsidR="006B2BD0" w:rsidRPr="002F2FDF" w:rsidRDefault="006B2BD0"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Ленин предложил наркоминделу </w:t>
      </w:r>
      <w:hyperlink r:id="rId765" w:tooltip="Троцкий, Лев Давидович" w:history="1">
        <w:r w:rsidRPr="002F2FDF">
          <w:rPr>
            <w:rStyle w:val="a5"/>
            <w:color w:val="000000" w:themeColor="text1"/>
            <w:kern w:val="2"/>
            <w:sz w:val="16"/>
            <w:szCs w:val="16"/>
            <w:u w:val="none"/>
          </w:rPr>
          <w:t>Троцкому</w:t>
        </w:r>
      </w:hyperlink>
      <w:r w:rsidRPr="002F2FDF">
        <w:rPr>
          <w:color w:val="000000" w:themeColor="text1"/>
          <w:kern w:val="2"/>
          <w:sz w:val="16"/>
          <w:szCs w:val="16"/>
        </w:rPr>
        <w:t xml:space="preserve"> выехать в Брест-Литовск и лично возглавить советскую делегацию. По воспоминаниям Троцкого, «сама по себе перспектива переговоров с бароном Кюльманом и генералом Гофманом была мало привлекательна, но „чтобы затягивать переговоры, нужен затягиватель“, как выразился Ленин». Впоследствии он даже назвал своё участие в мирных переговорах «визитами в камеру пыток».</w:t>
      </w:r>
    </w:p>
    <w:p w14:paraId="12F2E5E8" w14:textId="77777777" w:rsidR="006B2BD0" w:rsidRPr="002F2FDF" w:rsidRDefault="006B2BD0"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Вместе с Троцким в Брест-Литовск отправляется </w:t>
      </w:r>
      <w:hyperlink r:id="rId766" w:tooltip="Карл Радек" w:history="1">
        <w:r w:rsidRPr="002F2FDF">
          <w:rPr>
            <w:rStyle w:val="a5"/>
            <w:color w:val="000000" w:themeColor="text1"/>
            <w:kern w:val="2"/>
            <w:sz w:val="16"/>
            <w:szCs w:val="16"/>
            <w:u w:val="none"/>
          </w:rPr>
          <w:t>Карл Радек</w:t>
        </w:r>
      </w:hyperlink>
      <w:r w:rsidRPr="002F2FDF">
        <w:rPr>
          <w:color w:val="000000" w:themeColor="text1"/>
          <w:kern w:val="2"/>
          <w:sz w:val="16"/>
          <w:szCs w:val="16"/>
        </w:rPr>
        <w:t>, уроженец польских земель в составе Австро-Венгрии. Его включили в советскую делегацию в качестве консультанта по национальным отношениям, при этом он выступал на переговорах от имени трудящихся Польши. Троцкий рассчитывал на то, что «</w:t>
      </w:r>
      <w:r w:rsidRPr="002F2FDF">
        <w:rPr>
          <w:iCs/>
          <w:color w:val="000000" w:themeColor="text1"/>
          <w:kern w:val="2"/>
          <w:sz w:val="16"/>
          <w:szCs w:val="16"/>
        </w:rPr>
        <w:t>непримиримость и принципиальность энергичного и пылкого Радека взбодрят более спокойных и мягких Иоффе и Каменева</w:t>
      </w:r>
      <w:r w:rsidRPr="002F2FDF">
        <w:rPr>
          <w:color w:val="000000" w:themeColor="text1"/>
          <w:kern w:val="2"/>
          <w:sz w:val="16"/>
          <w:szCs w:val="16"/>
        </w:rPr>
        <w:t>».</w:t>
      </w:r>
    </w:p>
    <w:p w14:paraId="0B6AA4CA" w14:textId="77777777" w:rsidR="006B2BD0" w:rsidRPr="002F2FDF" w:rsidRDefault="006B2BD0"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Во время перерыва в работе конференции </w:t>
      </w:r>
      <w:hyperlink r:id="rId767" w:tooltip="Народный комиссариат по иностранным делам РСФСР" w:history="1">
        <w:r w:rsidRPr="002F2FDF">
          <w:rPr>
            <w:rStyle w:val="a5"/>
            <w:color w:val="000000" w:themeColor="text1"/>
            <w:kern w:val="2"/>
            <w:sz w:val="16"/>
            <w:szCs w:val="16"/>
            <w:u w:val="none"/>
          </w:rPr>
          <w:t>НКИД</w:t>
        </w:r>
      </w:hyperlink>
      <w:r w:rsidRPr="002F2FDF">
        <w:rPr>
          <w:color w:val="000000" w:themeColor="text1"/>
          <w:kern w:val="2"/>
          <w:sz w:val="16"/>
          <w:szCs w:val="16"/>
        </w:rPr>
        <w:t xml:space="preserve"> вновь обратился к правительствам </w:t>
      </w:r>
      <w:hyperlink r:id="rId768" w:tooltip="Антанта" w:history="1">
        <w:r w:rsidRPr="002F2FDF">
          <w:rPr>
            <w:rStyle w:val="a5"/>
            <w:color w:val="000000" w:themeColor="text1"/>
            <w:kern w:val="2"/>
            <w:sz w:val="16"/>
            <w:szCs w:val="16"/>
            <w:u w:val="none"/>
          </w:rPr>
          <w:t>Антанты</w:t>
        </w:r>
      </w:hyperlink>
      <w:r w:rsidRPr="002F2FDF">
        <w:rPr>
          <w:color w:val="000000" w:themeColor="text1"/>
          <w:kern w:val="2"/>
          <w:sz w:val="16"/>
          <w:szCs w:val="16"/>
        </w:rPr>
        <w:t xml:space="preserve"> с приглашением принять участие в мирных переговорах и вновь не получил ответа (17035).</w:t>
      </w:r>
    </w:p>
    <w:p w14:paraId="69545AFD" w14:textId="77777777" w:rsidR="006B2BD0" w:rsidRPr="002F2FDF" w:rsidRDefault="006B2BD0"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337C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декабря 1917:</w:t>
      </w:r>
    </w:p>
    <w:p w14:paraId="26418C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«Рейхсбанк, № 12378. Берлин Циркуляр, написанный по-русски (копия)</w:t>
      </w:r>
    </w:p>
    <w:p w14:paraId="3BB8CE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РЕЗОЛЮЦИЯ</w:t>
      </w:r>
    </w:p>
    <w:p w14:paraId="3BD95B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Совещание Председателей германских коммерческих банков, созванное и предложенное германской делегацией в Петербурге, дирекцией Имперского банка для обсуждения резолюций Рейнско-Вестфальского синдиката и Гандельстага.</w:t>
      </w:r>
    </w:p>
    <w:p w14:paraId="1C8516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28-го декабря 1917 г., Берлин.</w:t>
      </w:r>
    </w:p>
    <w:p w14:paraId="38B903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4. Упраздняются и в течение пяти лет со дня заключения мирного договора между Россией и Германией не допускаются английские, французские и американские капиталы в следующие предприятия: каменноугольные, металлургические, машиностроительные, нефтяные и химические.</w:t>
      </w:r>
    </w:p>
    <w:p w14:paraId="2CBA96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7. </w:t>
      </w:r>
      <w:r w:rsidRPr="002F2FDF">
        <w:rPr>
          <w:rFonts w:ascii="Times New Roman" w:hAnsi="Times New Roman" w:cs="Times New Roman"/>
          <w:iCs/>
          <w:color w:val="000000" w:themeColor="text1"/>
          <w:kern w:val="2"/>
          <w:sz w:val="16"/>
          <w:szCs w:val="16"/>
        </w:rPr>
        <w:t>Германия и Австро-Венгрия получают неограниченное право ввоза в Россию своих техников и квалифицированных рабочих.</w:t>
      </w:r>
    </w:p>
    <w:p w14:paraId="0D213B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Cs/>
          <w:color w:val="000000" w:themeColor="text1"/>
          <w:kern w:val="2"/>
          <w:sz w:val="16"/>
          <w:szCs w:val="16"/>
        </w:rPr>
        <w:t>8. Другие иностранные техники и рабочие в течение пяти лет после заключения мира с Германией вовсе не должны быть допущены» (</w:t>
      </w:r>
      <w:r w:rsidRPr="002F2FDF">
        <w:rPr>
          <w:rFonts w:ascii="Times New Roman" w:hAnsi="Times New Roman" w:cs="Times New Roman"/>
          <w:color w:val="000000" w:themeColor="text1"/>
          <w:kern w:val="2"/>
          <w:sz w:val="16"/>
          <w:szCs w:val="16"/>
        </w:rPr>
        <w:t>Арутюнов А. А. Досье Ленина без ретуши. Документы. Факты. Свидетельства. — М., 1999, с. 244-245.) (11765)</w:t>
      </w:r>
      <w:r w:rsidRPr="002F2FDF">
        <w:rPr>
          <w:rFonts w:ascii="Times New Roman" w:hAnsi="Times New Roman" w:cs="Times New Roman"/>
          <w:iCs/>
          <w:color w:val="000000" w:themeColor="text1"/>
          <w:kern w:val="2"/>
          <w:sz w:val="16"/>
          <w:szCs w:val="16"/>
        </w:rPr>
        <w:t>.</w:t>
      </w:r>
    </w:p>
    <w:p w14:paraId="4EE467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664F2A" w14:textId="77777777" w:rsidR="00D771A4" w:rsidRPr="002F2FDF" w:rsidRDefault="00D771A4"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декабря 1917 Финский сейм утвердил декларацию о провозглашении независимости Финляндии (3186).</w:t>
      </w:r>
    </w:p>
    <w:p w14:paraId="0EF7D328" w14:textId="77777777" w:rsidR="00D771A4" w:rsidRPr="002F2FDF" w:rsidRDefault="00D771A4"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6C514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A7760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C64E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(28) декабря 1917 в США правительство объявило об установлении контроля над ж/д перевозками (3907,92).</w:t>
      </w:r>
    </w:p>
    <w:p w14:paraId="42C643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222053" w14:textId="77777777" w:rsidR="002F382F"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73EE87D" w14:textId="77777777" w:rsidR="002F382F" w:rsidRPr="002F2FDF" w:rsidRDefault="002F382F"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6A0988" w14:textId="77777777" w:rsidR="002F382F" w:rsidRPr="002F2FDF" w:rsidRDefault="002F382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середине декабря 1917 г. в холод</w:t>
      </w:r>
      <w:r w:rsidRPr="002F2FDF">
        <w:rPr>
          <w:rFonts w:ascii="Times New Roman" w:hAnsi="Times New Roman" w:cs="Times New Roman"/>
          <w:color w:val="000000" w:themeColor="text1"/>
          <w:kern w:val="2"/>
          <w:sz w:val="16"/>
          <w:szCs w:val="16"/>
        </w:rPr>
        <w:softHyphen/>
        <w:t>ном ангаре на Комендантском аэродроме все-таки собрали самолет Ботезата.</w:t>
      </w:r>
    </w:p>
    <w:p w14:paraId="55FC85A4" w14:textId="77777777" w:rsidR="002F382F" w:rsidRPr="002F2FDF" w:rsidRDefault="002F382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Машина представляла собой большой трехстоечный биплан с ферменным хвостом. Размах верхнего крыла превышал размах нижнего. Промежуточ</w:t>
      </w:r>
      <w:r w:rsidRPr="002F2FDF">
        <w:rPr>
          <w:rFonts w:ascii="Times New Roman" w:hAnsi="Times New Roman" w:cs="Times New Roman"/>
          <w:color w:val="000000" w:themeColor="text1"/>
          <w:kern w:val="2"/>
          <w:sz w:val="16"/>
          <w:szCs w:val="16"/>
        </w:rPr>
        <w:softHyphen/>
        <w:t>ные коробки крыльёв создавали поперечное V и придавали несущим поверх</w:t>
      </w:r>
      <w:r w:rsidRPr="002F2FDF">
        <w:rPr>
          <w:rFonts w:ascii="Times New Roman" w:hAnsi="Times New Roman" w:cs="Times New Roman"/>
          <w:color w:val="000000" w:themeColor="text1"/>
          <w:kern w:val="2"/>
          <w:sz w:val="16"/>
          <w:szCs w:val="16"/>
        </w:rPr>
        <w:softHyphen/>
        <w:t>ностям характерную форму чайки. Это было сделано Ботезатом для повы</w:t>
      </w:r>
      <w:r w:rsidRPr="002F2FDF">
        <w:rPr>
          <w:rFonts w:ascii="Times New Roman" w:hAnsi="Times New Roman" w:cs="Times New Roman"/>
          <w:color w:val="000000" w:themeColor="text1"/>
          <w:kern w:val="2"/>
          <w:sz w:val="16"/>
          <w:szCs w:val="16"/>
        </w:rPr>
        <w:softHyphen/>
        <w:t>шения поперечной устойчивости самолета. Удобообтекаемый совершенных аэродинамических форм фюзеляж-гондола имел передовую по тому време</w:t>
      </w:r>
      <w:r w:rsidRPr="002F2FDF">
        <w:rPr>
          <w:rFonts w:ascii="Times New Roman" w:hAnsi="Times New Roman" w:cs="Times New Roman"/>
          <w:color w:val="000000" w:themeColor="text1"/>
          <w:kern w:val="2"/>
          <w:sz w:val="16"/>
          <w:szCs w:val="16"/>
        </w:rPr>
        <w:softHyphen/>
        <w:t>ни полумонококовую конструкцию. В нем находилась закрытая пилотская кабина с большой площадью остекления. За пилотским креслом оставалось место для размещения еще одного-двух человек или груза. Заднюю часть гондолы занимало моторное отделение, в котором располагался двигатель «Рено» мощностью 220 л. с. с толкающим винтом, причем механик имел воз</w:t>
      </w:r>
      <w:r w:rsidRPr="002F2FDF">
        <w:rPr>
          <w:rFonts w:ascii="Times New Roman" w:hAnsi="Times New Roman" w:cs="Times New Roman"/>
          <w:color w:val="000000" w:themeColor="text1"/>
          <w:kern w:val="2"/>
          <w:sz w:val="16"/>
          <w:szCs w:val="16"/>
        </w:rPr>
        <w:softHyphen/>
        <w:t>можность доступа к нему в полете. Топливные и масляные баки располага</w:t>
      </w:r>
      <w:r w:rsidRPr="002F2FDF">
        <w:rPr>
          <w:rFonts w:ascii="Times New Roman" w:hAnsi="Times New Roman" w:cs="Times New Roman"/>
          <w:color w:val="000000" w:themeColor="text1"/>
          <w:kern w:val="2"/>
          <w:sz w:val="16"/>
          <w:szCs w:val="16"/>
        </w:rPr>
        <w:softHyphen/>
        <w:t>лись над двигателем, а еще выше был установлен выхлоп с глушителем сис</w:t>
      </w:r>
      <w:r w:rsidRPr="002F2FDF">
        <w:rPr>
          <w:rFonts w:ascii="Times New Roman" w:hAnsi="Times New Roman" w:cs="Times New Roman"/>
          <w:color w:val="000000" w:themeColor="text1"/>
          <w:kern w:val="2"/>
          <w:sz w:val="16"/>
          <w:szCs w:val="16"/>
        </w:rPr>
        <w:softHyphen/>
        <w:t>темы Еремеева. Два радиатора охлаждения располагались по бокам гондо</w:t>
      </w:r>
      <w:r w:rsidRPr="002F2FDF">
        <w:rPr>
          <w:rFonts w:ascii="Times New Roman" w:hAnsi="Times New Roman" w:cs="Times New Roman"/>
          <w:color w:val="000000" w:themeColor="text1"/>
          <w:kern w:val="2"/>
          <w:sz w:val="16"/>
          <w:szCs w:val="16"/>
        </w:rPr>
        <w:softHyphen/>
        <w:t>лы, между крыльями. Задней частью фюзеляжа служила ферма по типу «Ву- азена» из стальных труб с четырьмя силовыми рамами. Ботезат рассматривал возможность замены двигателя на «Рено» 300 л. с. Конструкция позволяла сделать это.</w:t>
      </w:r>
    </w:p>
    <w:p w14:paraId="539FB93F" w14:textId="77777777" w:rsidR="002F382F" w:rsidRPr="002F2FDF" w:rsidRDefault="002F382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Нижнее и верхнее крылья имели одинаковую хорду, равную размаху. Каж</w:t>
      </w:r>
      <w:r w:rsidRPr="002F2FDF">
        <w:rPr>
          <w:rFonts w:ascii="Times New Roman" w:hAnsi="Times New Roman" w:cs="Times New Roman"/>
          <w:color w:val="000000" w:themeColor="text1"/>
          <w:kern w:val="2"/>
          <w:sz w:val="16"/>
          <w:szCs w:val="16"/>
        </w:rPr>
        <w:softHyphen/>
        <w:t>дое крыло состояло из двух стальных лонжеронов, металлических кромок, деревянных нервюр и полотняной обшивки с металлическими накладками. Профилированные стойки и подкосы верхнего крыла были сделаны из ме</w:t>
      </w:r>
      <w:r w:rsidRPr="002F2FDF">
        <w:rPr>
          <w:rFonts w:ascii="Times New Roman" w:hAnsi="Times New Roman" w:cs="Times New Roman"/>
          <w:color w:val="000000" w:themeColor="text1"/>
          <w:kern w:val="2"/>
          <w:sz w:val="16"/>
          <w:szCs w:val="16"/>
        </w:rPr>
        <w:softHyphen/>
        <w:t>талла. Сильно развитые элероны большой площади находились на верхнем крыле, содержали по 11 нервюр и имели по два рычажка управления.</w:t>
      </w:r>
    </w:p>
    <w:p w14:paraId="31928978" w14:textId="77777777" w:rsidR="002F382F" w:rsidRPr="002F2FDF" w:rsidRDefault="002F382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Хвостовое оперение состояло из руля поворота и рулей высоты. Рули име</w:t>
      </w:r>
      <w:r w:rsidRPr="002F2FDF">
        <w:rPr>
          <w:rFonts w:ascii="Times New Roman" w:hAnsi="Times New Roman" w:cs="Times New Roman"/>
          <w:color w:val="000000" w:themeColor="text1"/>
          <w:kern w:val="2"/>
          <w:sz w:val="16"/>
          <w:szCs w:val="16"/>
        </w:rPr>
        <w:softHyphen/>
        <w:t>ли подкосы к ферме. Тросы управления от расчаленных рычажков на рулях тянулись вдоль балок фермы. В кабине пилота находился стандартный набор рычагов управления. В дальнейшем на самолет предполагалось установить гироскопический автопилот.</w:t>
      </w:r>
    </w:p>
    <w:p w14:paraId="5DB0836E" w14:textId="77777777" w:rsidR="002F382F" w:rsidRPr="002F2FDF" w:rsidRDefault="002F382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Шасси было обычным, трехстоечным, с задней опорой. Ферменная конст</w:t>
      </w:r>
      <w:r w:rsidRPr="002F2FDF">
        <w:rPr>
          <w:rFonts w:ascii="Times New Roman" w:hAnsi="Times New Roman" w:cs="Times New Roman"/>
          <w:color w:val="000000" w:themeColor="text1"/>
          <w:kern w:val="2"/>
          <w:sz w:val="16"/>
          <w:szCs w:val="16"/>
        </w:rPr>
        <w:softHyphen/>
        <w:t>рукция была выполнена из стальных труб. Поскольку испытания предпола</w:t>
      </w:r>
      <w:r w:rsidRPr="002F2FDF">
        <w:rPr>
          <w:rFonts w:ascii="Times New Roman" w:hAnsi="Times New Roman" w:cs="Times New Roman"/>
          <w:color w:val="000000" w:themeColor="text1"/>
          <w:kern w:val="2"/>
          <w:sz w:val="16"/>
          <w:szCs w:val="16"/>
        </w:rPr>
        <w:softHyphen/>
        <w:t>галось начать зимой, на самолет были установлены плоские алюминиевые лыжи без обтекателей.</w:t>
      </w:r>
    </w:p>
    <w:p w14:paraId="57AEEDB3" w14:textId="77777777" w:rsidR="002F382F" w:rsidRPr="002F2FDF" w:rsidRDefault="002F382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своего времени самолет Г. А. Ботезата был передовым не только по аэро</w:t>
      </w:r>
      <w:r w:rsidRPr="002F2FDF">
        <w:rPr>
          <w:rFonts w:ascii="Times New Roman" w:hAnsi="Times New Roman" w:cs="Times New Roman"/>
          <w:color w:val="000000" w:themeColor="text1"/>
          <w:kern w:val="2"/>
          <w:sz w:val="16"/>
          <w:szCs w:val="16"/>
        </w:rPr>
        <w:softHyphen/>
        <w:t>динамике, но и по конструкции и применяемым материалам. По общим раз</w:t>
      </w:r>
      <w:r w:rsidRPr="002F2FDF">
        <w:rPr>
          <w:rFonts w:ascii="Times New Roman" w:hAnsi="Times New Roman" w:cs="Times New Roman"/>
          <w:color w:val="000000" w:themeColor="text1"/>
          <w:kern w:val="2"/>
          <w:sz w:val="16"/>
          <w:szCs w:val="16"/>
        </w:rPr>
        <w:softHyphen/>
        <w:t>мерам он представлял собой крупнейший одномоторный аппарат отечествен</w:t>
      </w:r>
      <w:r w:rsidRPr="002F2FDF">
        <w:rPr>
          <w:rFonts w:ascii="Times New Roman" w:hAnsi="Times New Roman" w:cs="Times New Roman"/>
          <w:color w:val="000000" w:themeColor="text1"/>
          <w:kern w:val="2"/>
          <w:sz w:val="16"/>
          <w:szCs w:val="16"/>
        </w:rPr>
        <w:softHyphen/>
        <w:t>ной конструкции.</w:t>
      </w:r>
    </w:p>
    <w:p w14:paraId="6CE1C497" w14:textId="77777777" w:rsidR="002F382F" w:rsidRPr="002F2FDF" w:rsidRDefault="002F382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Самолет был готов, но возникла проблема с летчиком-испытателем. Боль</w:t>
      </w:r>
      <w:r w:rsidRPr="002F2FDF">
        <w:rPr>
          <w:rFonts w:ascii="Times New Roman" w:hAnsi="Times New Roman" w:cs="Times New Roman"/>
          <w:color w:val="000000" w:themeColor="text1"/>
          <w:kern w:val="2"/>
          <w:sz w:val="16"/>
          <w:szCs w:val="16"/>
        </w:rPr>
        <w:softHyphen/>
        <w:t>шинство опытных пилотов предпочло после революции исчезнуть из Петро</w:t>
      </w:r>
      <w:r w:rsidRPr="002F2FDF">
        <w:rPr>
          <w:rFonts w:ascii="Times New Roman" w:hAnsi="Times New Roman" w:cs="Times New Roman"/>
          <w:color w:val="000000" w:themeColor="text1"/>
          <w:kern w:val="2"/>
          <w:sz w:val="16"/>
          <w:szCs w:val="16"/>
        </w:rPr>
        <w:softHyphen/>
        <w:t>града. Ботезату привели летчика, который почти никогда не летал, но зато об</w:t>
      </w:r>
      <w:r w:rsidRPr="002F2FDF">
        <w:rPr>
          <w:rFonts w:ascii="Times New Roman" w:hAnsi="Times New Roman" w:cs="Times New Roman"/>
          <w:color w:val="000000" w:themeColor="text1"/>
          <w:kern w:val="2"/>
          <w:sz w:val="16"/>
          <w:szCs w:val="16"/>
        </w:rPr>
        <w:softHyphen/>
        <w:t>ладал несомненным достоинством — «стоял на большевистских позициях».</w:t>
      </w:r>
    </w:p>
    <w:p w14:paraId="2C3FC985" w14:textId="77777777" w:rsidR="002F382F" w:rsidRPr="002F2FDF" w:rsidRDefault="002F382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Летчик порулил минут пятнадцать на собранном самолете и заявил о сво</w:t>
      </w:r>
      <w:r w:rsidRPr="002F2FDF">
        <w:rPr>
          <w:rFonts w:ascii="Times New Roman" w:hAnsi="Times New Roman" w:cs="Times New Roman"/>
          <w:color w:val="000000" w:themeColor="text1"/>
          <w:kern w:val="2"/>
          <w:sz w:val="16"/>
          <w:szCs w:val="16"/>
        </w:rPr>
        <w:softHyphen/>
        <w:t>ей готовности лететь. Первые летные испытания были назначены на 20 декаб</w:t>
      </w:r>
      <w:r w:rsidRPr="002F2FDF">
        <w:rPr>
          <w:rFonts w:ascii="Times New Roman" w:hAnsi="Times New Roman" w:cs="Times New Roman"/>
          <w:color w:val="000000" w:themeColor="text1"/>
          <w:kern w:val="2"/>
          <w:sz w:val="16"/>
          <w:szCs w:val="16"/>
        </w:rPr>
        <w:softHyphen/>
        <w:t>ря 1917 г. Блестевший под зимним солнцем металлической обшивкой само</w:t>
      </w:r>
      <w:r w:rsidRPr="002F2FDF">
        <w:rPr>
          <w:rFonts w:ascii="Times New Roman" w:hAnsi="Times New Roman" w:cs="Times New Roman"/>
          <w:color w:val="000000" w:themeColor="text1"/>
          <w:kern w:val="2"/>
          <w:sz w:val="16"/>
          <w:szCs w:val="16"/>
        </w:rPr>
        <w:softHyphen/>
        <w:t>лет стоял перед ангаром. Летчик занял свое место. По договоренности с Боте</w:t>
      </w:r>
      <w:r w:rsidRPr="002F2FDF">
        <w:rPr>
          <w:rFonts w:ascii="Times New Roman" w:hAnsi="Times New Roman" w:cs="Times New Roman"/>
          <w:color w:val="000000" w:themeColor="text1"/>
          <w:kern w:val="2"/>
          <w:sz w:val="16"/>
          <w:szCs w:val="16"/>
        </w:rPr>
        <w:softHyphen/>
        <w:t>затом он должен был сначала сделать ряд небольших подлетов, почувство</w:t>
      </w:r>
      <w:r w:rsidRPr="002F2FDF">
        <w:rPr>
          <w:rFonts w:ascii="Times New Roman" w:hAnsi="Times New Roman" w:cs="Times New Roman"/>
          <w:color w:val="000000" w:themeColor="text1"/>
          <w:kern w:val="2"/>
          <w:sz w:val="16"/>
          <w:szCs w:val="16"/>
        </w:rPr>
        <w:softHyphen/>
        <w:t>вать машину, убедиться в ее пилотажных качествах и уж только потом идти в полет по кругу. Горе-пилот спутал все планы. Резко взяв с места, он добежал до середины взлетной полосы, сделал два-три коротких прыжка и вдруг под</w:t>
      </w:r>
      <w:r w:rsidRPr="002F2FDF">
        <w:rPr>
          <w:rFonts w:ascii="Times New Roman" w:hAnsi="Times New Roman" w:cs="Times New Roman"/>
          <w:color w:val="000000" w:themeColor="text1"/>
          <w:kern w:val="2"/>
          <w:sz w:val="16"/>
          <w:szCs w:val="16"/>
        </w:rPr>
        <w:softHyphen/>
        <w:t>скочил на шесть-семь метров. Наблюдавшие с земли механики и рабочие «ДЕКА» потом утверждали: «Поперечная устойчивость аэроплана была по</w:t>
      </w:r>
      <w:r w:rsidRPr="002F2FDF">
        <w:rPr>
          <w:rFonts w:ascii="Times New Roman" w:hAnsi="Times New Roman" w:cs="Times New Roman"/>
          <w:color w:val="000000" w:themeColor="text1"/>
          <w:kern w:val="2"/>
          <w:sz w:val="16"/>
          <w:szCs w:val="16"/>
        </w:rPr>
        <w:softHyphen/>
        <w:t>разительная, не было заметно, чтобы он покачнулся» Самолет шел на од</w:t>
      </w:r>
      <w:r w:rsidRPr="002F2FDF">
        <w:rPr>
          <w:rFonts w:ascii="Times New Roman" w:hAnsi="Times New Roman" w:cs="Times New Roman"/>
          <w:color w:val="000000" w:themeColor="text1"/>
          <w:kern w:val="2"/>
          <w:sz w:val="16"/>
          <w:szCs w:val="16"/>
        </w:rPr>
        <w:softHyphen/>
        <w:t>ной высоте, приближаясь к концу аэродрома. Все, кто следил за полетом, были в ужасе. Летчик точно шел на стоящую там одинокую березу. Он заме</w:t>
      </w:r>
      <w:r w:rsidRPr="002F2FDF">
        <w:rPr>
          <w:rFonts w:ascii="Times New Roman" w:hAnsi="Times New Roman" w:cs="Times New Roman"/>
          <w:color w:val="000000" w:themeColor="text1"/>
          <w:kern w:val="2"/>
          <w:sz w:val="16"/>
          <w:szCs w:val="16"/>
        </w:rPr>
        <w:softHyphen/>
        <w:t>тил ее только в нескольких метрах, попытался поднять самолет, но было уже поздно. Грациозный серебряный самолет, качнувшись на правое крыло, рух</w:t>
      </w:r>
      <w:r w:rsidRPr="002F2FDF">
        <w:rPr>
          <w:rFonts w:ascii="Times New Roman" w:hAnsi="Times New Roman" w:cs="Times New Roman"/>
          <w:color w:val="000000" w:themeColor="text1"/>
          <w:kern w:val="2"/>
          <w:sz w:val="16"/>
          <w:szCs w:val="16"/>
        </w:rPr>
        <w:softHyphen/>
        <w:t>нул с работающим мотором на левое, едва не убив случайно оказавшегося там зеваку. Когда присутствующие подбежали к месту падения, красавец-самолет ле</w:t>
      </w:r>
      <w:r w:rsidRPr="002F2FDF">
        <w:rPr>
          <w:rFonts w:ascii="Times New Roman" w:hAnsi="Times New Roman" w:cs="Times New Roman"/>
          <w:color w:val="000000" w:themeColor="text1"/>
          <w:kern w:val="2"/>
          <w:sz w:val="16"/>
          <w:szCs w:val="16"/>
        </w:rPr>
        <w:softHyphen/>
        <w:t>жал, уткнувшись носом в землю. Полумонококовая конструкция гондолы выдержала удар, все остальное было искорежено. Виновника вытащили через окно. Он был цел и невредим, только гордо демонстрировал всем окровавлен</w:t>
      </w:r>
      <w:r w:rsidRPr="002F2FDF">
        <w:rPr>
          <w:rFonts w:ascii="Times New Roman" w:hAnsi="Times New Roman" w:cs="Times New Roman"/>
          <w:color w:val="000000" w:themeColor="text1"/>
          <w:kern w:val="2"/>
          <w:sz w:val="16"/>
          <w:szCs w:val="16"/>
        </w:rPr>
        <w:softHyphen/>
        <w:t>ный палец. На вопрос, почему он нарушил полетное задание, горе-летчик при</w:t>
      </w:r>
      <w:r w:rsidRPr="002F2FDF">
        <w:rPr>
          <w:rFonts w:ascii="Times New Roman" w:hAnsi="Times New Roman" w:cs="Times New Roman"/>
          <w:color w:val="000000" w:themeColor="text1"/>
          <w:kern w:val="2"/>
          <w:sz w:val="16"/>
          <w:szCs w:val="16"/>
        </w:rPr>
        <w:softHyphen/>
        <w:t>знался, что при подлетах набрал слишком высокую скорость, не заметил при</w:t>
      </w:r>
      <w:r w:rsidRPr="002F2FDF">
        <w:rPr>
          <w:rFonts w:ascii="Times New Roman" w:hAnsi="Times New Roman" w:cs="Times New Roman"/>
          <w:color w:val="000000" w:themeColor="text1"/>
          <w:kern w:val="2"/>
          <w:sz w:val="16"/>
          <w:szCs w:val="16"/>
        </w:rPr>
        <w:softHyphen/>
        <w:t>ближения конца аэродрома, расстерялся и не смог остановить самолет. По</w:t>
      </w:r>
      <w:r w:rsidRPr="002F2FDF">
        <w:rPr>
          <w:rFonts w:ascii="Times New Roman" w:hAnsi="Times New Roman" w:cs="Times New Roman"/>
          <w:color w:val="000000" w:themeColor="text1"/>
          <w:kern w:val="2"/>
          <w:sz w:val="16"/>
          <w:szCs w:val="16"/>
        </w:rPr>
        <w:softHyphen/>
        <w:t>здно заметив березу, он попытался «перескочить через нее и уйти на круг», но это оказалось ему не под силу. Самолет зацепился хвостом за березу, вывер</w:t>
      </w:r>
      <w:r w:rsidRPr="002F2FDF">
        <w:rPr>
          <w:rFonts w:ascii="Times New Roman" w:hAnsi="Times New Roman" w:cs="Times New Roman"/>
          <w:color w:val="000000" w:themeColor="text1"/>
          <w:kern w:val="2"/>
          <w:sz w:val="16"/>
          <w:szCs w:val="16"/>
        </w:rPr>
        <w:softHyphen/>
        <w:t>нул руль поворота, сломал винт, осколки которого повредили ферму. «Во время полета аэроплан был устойчив, слушался рулей, развил боль</w:t>
      </w:r>
      <w:r w:rsidRPr="002F2FDF">
        <w:rPr>
          <w:rFonts w:ascii="Times New Roman" w:hAnsi="Times New Roman" w:cs="Times New Roman"/>
          <w:color w:val="000000" w:themeColor="text1"/>
          <w:kern w:val="2"/>
          <w:sz w:val="16"/>
          <w:szCs w:val="16"/>
        </w:rPr>
        <w:softHyphen/>
        <w:t>шую скорость, никаких неправильностей не заметил», — указал в объясни</w:t>
      </w:r>
      <w:r w:rsidRPr="002F2FDF">
        <w:rPr>
          <w:rFonts w:ascii="Times New Roman" w:hAnsi="Times New Roman" w:cs="Times New Roman"/>
          <w:color w:val="000000" w:themeColor="text1"/>
          <w:kern w:val="2"/>
          <w:sz w:val="16"/>
          <w:szCs w:val="16"/>
        </w:rPr>
        <w:softHyphen/>
        <w:t>тельной записке виновник аварии (15740).</w:t>
      </w:r>
    </w:p>
    <w:p w14:paraId="2622C61D" w14:textId="77777777" w:rsidR="002F382F" w:rsidRPr="002F2FDF" w:rsidRDefault="002F382F" w:rsidP="0083075A">
      <w:pPr>
        <w:spacing w:after="0" w:line="240" w:lineRule="auto"/>
        <w:jc w:val="both"/>
        <w:rPr>
          <w:rFonts w:ascii="Times New Roman" w:hAnsi="Times New Roman" w:cs="Times New Roman"/>
          <w:color w:val="000000" w:themeColor="text1"/>
          <w:kern w:val="2"/>
          <w:sz w:val="16"/>
          <w:szCs w:val="16"/>
        </w:rPr>
      </w:pPr>
    </w:p>
    <w:p w14:paraId="1F17155D" w14:textId="77777777" w:rsidR="001E7FC5" w:rsidRPr="002F2FDF" w:rsidRDefault="001E7FC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39B478F" w14:textId="77777777" w:rsidR="001E7FC5" w:rsidRPr="002F2FDF" w:rsidRDefault="001E7FC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150A53" w14:textId="77777777" w:rsidR="001E7FC5" w:rsidRPr="002F2FDF" w:rsidRDefault="001E7FC5"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 середине декабря 1917 г. артиллерийским генералам явилась неожиданная поддержка: председательствовавший в Особом совещании по обороне Н.М. Потапов принял «делегацию от рабочих строящегося Онежского завода… с ходатайством немедленно разрешить вопрос» об отпуске на этот объект очередных 2,3 млн. руб. и постановил «признать принципиально желательной достройку завода» и дать эти деньги. В условиях усиливавшейся военной разрухи стройка была все же прекращена; лишь в 1923–1929 гг. возобновилось и было закончено строительство Кондопожской гидроэлектростанции (18409).</w:t>
      </w:r>
    </w:p>
    <w:p w14:paraId="4D39CFAB" w14:textId="77777777" w:rsidR="001E7FC5" w:rsidRPr="002F2FDF" w:rsidRDefault="001E7FC5" w:rsidP="0083075A">
      <w:pPr>
        <w:pStyle w:val="p1"/>
        <w:spacing w:before="0" w:beforeAutospacing="0" w:after="0" w:afterAutospacing="0"/>
        <w:jc w:val="both"/>
        <w:rPr>
          <w:color w:val="000000" w:themeColor="text1"/>
          <w:sz w:val="16"/>
          <w:szCs w:val="16"/>
        </w:rPr>
      </w:pPr>
    </w:p>
    <w:p w14:paraId="197D13B7" w14:textId="77777777" w:rsidR="00765CAE" w:rsidRPr="00FB4F67" w:rsidRDefault="00765CA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середине декабря 1917 г. артиллерийским генералам яви</w:t>
      </w:r>
      <w:r w:rsidRPr="00FB4F67">
        <w:rPr>
          <w:rFonts w:ascii="Times New Roman" w:hAnsi="Times New Roman" w:cs="Times New Roman"/>
          <w:color w:val="0070C0"/>
          <w:sz w:val="16"/>
          <w:szCs w:val="16"/>
        </w:rPr>
        <w:softHyphen/>
        <w:t>лась неожиданная поддержка в строительстве завода на Сунже: председательствовавший в Особом совещании по обороне Н.М. Потапов принял «де</w:t>
      </w:r>
      <w:r w:rsidRPr="00FB4F67">
        <w:rPr>
          <w:rFonts w:ascii="Times New Roman" w:hAnsi="Times New Roman" w:cs="Times New Roman"/>
          <w:color w:val="0070C0"/>
          <w:sz w:val="16"/>
          <w:szCs w:val="16"/>
        </w:rPr>
        <w:softHyphen/>
        <w:t>легацию от рабочих строящегося Онежского завода... с хо</w:t>
      </w:r>
      <w:r w:rsidRPr="00FB4F67">
        <w:rPr>
          <w:rFonts w:ascii="Times New Roman" w:hAnsi="Times New Roman" w:cs="Times New Roman"/>
          <w:color w:val="0070C0"/>
          <w:sz w:val="16"/>
          <w:szCs w:val="16"/>
        </w:rPr>
        <w:softHyphen/>
        <w:t>датайством немедленно разрешить вопрос» об отпуске на этот объект очередных 2,3 млн руб. и постановил «признать принципиально желательной достройку завода» и дать эти деньги (Там же. Ф. 29. Оп. 3. Д. 1005. Л. 42-42 об.; ЖОСО. 8 ноября 1917— 16 марта 1918 г. М., 1980. С. 92-93). В условиях усиливавшейся военной разрухи строй</w:t>
      </w:r>
      <w:r w:rsidRPr="00FB4F67">
        <w:rPr>
          <w:rFonts w:ascii="Times New Roman" w:hAnsi="Times New Roman" w:cs="Times New Roman"/>
          <w:color w:val="0070C0"/>
          <w:sz w:val="16"/>
          <w:szCs w:val="16"/>
        </w:rPr>
        <w:softHyphen/>
        <w:t>ка была все же прекращена; лишь в 1923—1929 гг. возоб</w:t>
      </w:r>
      <w:r w:rsidRPr="00FB4F67">
        <w:rPr>
          <w:rFonts w:ascii="Times New Roman" w:hAnsi="Times New Roman" w:cs="Times New Roman"/>
          <w:color w:val="0070C0"/>
          <w:sz w:val="16"/>
          <w:szCs w:val="16"/>
        </w:rPr>
        <w:softHyphen/>
        <w:t>новилось и было закончено строительство Кондопожской гидроэлектростанции (23452).</w:t>
      </w:r>
    </w:p>
    <w:p w14:paraId="6E6A08FA" w14:textId="77777777" w:rsidR="00765CAE" w:rsidRPr="00FB4F67" w:rsidRDefault="00765CAE" w:rsidP="0083075A">
      <w:pPr>
        <w:spacing w:after="0" w:line="240" w:lineRule="auto"/>
        <w:jc w:val="both"/>
        <w:rPr>
          <w:rFonts w:ascii="Times New Roman" w:hAnsi="Times New Roman" w:cs="Times New Roman"/>
          <w:color w:val="0070C0"/>
          <w:sz w:val="16"/>
          <w:szCs w:val="16"/>
        </w:rPr>
      </w:pPr>
    </w:p>
    <w:p w14:paraId="3DE0B1D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01302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58DAE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состоянию на середину декабря 1917 года в боевом ядре морской авиации насчитывалось следующее количество аэро</w:t>
      </w:r>
      <w:r w:rsidRPr="002F2FDF">
        <w:rPr>
          <w:rFonts w:ascii="Times New Roman" w:hAnsi="Times New Roman" w:cs="Times New Roman"/>
          <w:color w:val="000000" w:themeColor="text1"/>
          <w:kern w:val="2"/>
          <w:sz w:val="16"/>
          <w:szCs w:val="16"/>
        </w:rPr>
        <w:softHyphen/>
        <w:t>планов и летчиков. Воздушная дивизия Балтийского моря рас-пологала: 40 летающими лодками “М-9”, 13 летающими лод</w:t>
      </w:r>
      <w:r w:rsidRPr="002F2FDF">
        <w:rPr>
          <w:rFonts w:ascii="Times New Roman" w:hAnsi="Times New Roman" w:cs="Times New Roman"/>
          <w:color w:val="000000" w:themeColor="text1"/>
          <w:kern w:val="2"/>
          <w:sz w:val="16"/>
          <w:szCs w:val="16"/>
        </w:rPr>
        <w:softHyphen/>
        <w:t>ками “М-15”, 21 поплавковым гидропланом “М-16”, 24 колесными истребителями “Ньюпор-21” и 87 летчиками. Воз</w:t>
      </w:r>
      <w:r w:rsidRPr="002F2FDF">
        <w:rPr>
          <w:rFonts w:ascii="Times New Roman" w:hAnsi="Times New Roman" w:cs="Times New Roman"/>
          <w:color w:val="000000" w:themeColor="text1"/>
          <w:kern w:val="2"/>
          <w:sz w:val="16"/>
          <w:szCs w:val="16"/>
        </w:rPr>
        <w:softHyphen/>
        <w:t>душная дивизия Черного моря располагала: 104 летающими лодками: 24 - “М-5”, 60 - “М-9”, 4 - “М-11”, 16 - “М-15”, а также 9 истребителями “Ньюпор-17”. Летный состав умень</w:t>
      </w:r>
      <w:r w:rsidRPr="002F2FDF">
        <w:rPr>
          <w:rFonts w:ascii="Times New Roman" w:hAnsi="Times New Roman" w:cs="Times New Roman"/>
          <w:color w:val="000000" w:themeColor="text1"/>
          <w:kern w:val="2"/>
          <w:sz w:val="16"/>
          <w:szCs w:val="16"/>
        </w:rPr>
        <w:softHyphen/>
        <w:t>шился до 74 человек. В целом имелось 210 аэропланов и 161 летчик, без учета их наличия в прочих формированиях. Основным центром подготовки летных кадров являлась Ба</w:t>
      </w:r>
      <w:r w:rsidRPr="002F2FDF">
        <w:rPr>
          <w:rFonts w:ascii="Times New Roman" w:hAnsi="Times New Roman" w:cs="Times New Roman"/>
          <w:color w:val="000000" w:themeColor="text1"/>
          <w:kern w:val="2"/>
          <w:sz w:val="16"/>
          <w:szCs w:val="16"/>
        </w:rPr>
        <w:softHyphen/>
        <w:t>кинская школа морской авиации, где обучалось 180 курсан</w:t>
      </w:r>
      <w:r w:rsidRPr="002F2FDF">
        <w:rPr>
          <w:rFonts w:ascii="Times New Roman" w:hAnsi="Times New Roman" w:cs="Times New Roman"/>
          <w:color w:val="000000" w:themeColor="text1"/>
          <w:kern w:val="2"/>
          <w:sz w:val="16"/>
          <w:szCs w:val="16"/>
        </w:rPr>
        <w:softHyphen/>
        <w:t>тов. В Ораниенбаумской школе морской авиации и Красно</w:t>
      </w:r>
      <w:r w:rsidRPr="002F2FDF">
        <w:rPr>
          <w:rFonts w:ascii="Times New Roman" w:hAnsi="Times New Roman" w:cs="Times New Roman"/>
          <w:color w:val="000000" w:themeColor="text1"/>
          <w:kern w:val="2"/>
          <w:sz w:val="16"/>
          <w:szCs w:val="16"/>
        </w:rPr>
        <w:softHyphen/>
        <w:t>сельской школе воздушного боя и высшего пилотажа обучалось еще 50 и 25 курсантов. Предусматривалось в Бакинской шко</w:t>
      </w:r>
      <w:r w:rsidRPr="002F2FDF">
        <w:rPr>
          <w:rFonts w:ascii="Times New Roman" w:hAnsi="Times New Roman" w:cs="Times New Roman"/>
          <w:color w:val="000000" w:themeColor="text1"/>
          <w:kern w:val="2"/>
          <w:sz w:val="16"/>
          <w:szCs w:val="16"/>
        </w:rPr>
        <w:softHyphen/>
        <w:t>ле их количество уменьшить на 30 человек, а Ораниенбаумс</w:t>
      </w:r>
      <w:r w:rsidRPr="002F2FDF">
        <w:rPr>
          <w:rFonts w:ascii="Times New Roman" w:hAnsi="Times New Roman" w:cs="Times New Roman"/>
          <w:color w:val="000000" w:themeColor="text1"/>
          <w:kern w:val="2"/>
          <w:sz w:val="16"/>
          <w:szCs w:val="16"/>
        </w:rPr>
        <w:softHyphen/>
        <w:t>кую школу упразднить. Из 75 школьных аэропланов многие были неисправны. Руководствуясь последними указаниями Временного прави</w:t>
      </w:r>
      <w:r w:rsidRPr="002F2FDF">
        <w:rPr>
          <w:rFonts w:ascii="Times New Roman" w:hAnsi="Times New Roman" w:cs="Times New Roman"/>
          <w:color w:val="000000" w:themeColor="text1"/>
          <w:kern w:val="2"/>
          <w:sz w:val="16"/>
          <w:szCs w:val="16"/>
        </w:rPr>
        <w:softHyphen/>
        <w:t>тельства, Управление морской авиации и воздухоплавания раз</w:t>
      </w:r>
      <w:r w:rsidRPr="002F2FDF">
        <w:rPr>
          <w:rFonts w:ascii="Times New Roman" w:hAnsi="Times New Roman" w:cs="Times New Roman"/>
          <w:color w:val="000000" w:themeColor="text1"/>
          <w:kern w:val="2"/>
          <w:sz w:val="16"/>
          <w:szCs w:val="16"/>
        </w:rPr>
        <w:softHyphen/>
        <w:t>работало и представило на рассмотрение Советского прави</w:t>
      </w:r>
      <w:r w:rsidRPr="002F2FDF">
        <w:rPr>
          <w:rFonts w:ascii="Times New Roman" w:hAnsi="Times New Roman" w:cs="Times New Roman"/>
          <w:color w:val="000000" w:themeColor="text1"/>
          <w:kern w:val="2"/>
          <w:sz w:val="16"/>
          <w:szCs w:val="16"/>
        </w:rPr>
        <w:softHyphen/>
        <w:t>тельства грандиозную программу заказов на производство в январе-июне 1918 года огромного количества летательных ап</w:t>
      </w:r>
      <w:r w:rsidRPr="002F2FDF">
        <w:rPr>
          <w:rFonts w:ascii="Times New Roman" w:hAnsi="Times New Roman" w:cs="Times New Roman"/>
          <w:color w:val="000000" w:themeColor="text1"/>
          <w:kern w:val="2"/>
          <w:sz w:val="16"/>
          <w:szCs w:val="16"/>
        </w:rPr>
        <w:softHyphen/>
        <w:t>паратов, причем равными частями как используемых, так и запасных. На Черноморском флоте для: 4-х корабельных отрядов -64, 15-ти прибрежных отрядов - 135, 4-х сухопутных отрядов - 48, а всего 247 аппаратов. На Балтийском флоте для: 24-х прибрежных отрядов - 216, 6-ти отрядов дальних разведчи</w:t>
      </w:r>
      <w:r w:rsidRPr="002F2FDF">
        <w:rPr>
          <w:rFonts w:ascii="Times New Roman" w:hAnsi="Times New Roman" w:cs="Times New Roman"/>
          <w:color w:val="000000" w:themeColor="text1"/>
          <w:kern w:val="2"/>
          <w:sz w:val="16"/>
          <w:szCs w:val="16"/>
        </w:rPr>
        <w:softHyphen/>
        <w:t>ков - 25, 11-ти отрядов морских и 4-х отрядов сухопутных истребителей соответственно 132 и 48, а всего 421 аппарат. На флотилии Северного Ледовитого океана для: 3-х корабельных отрядов - 48 и 2-х прибрежных отрядов - 18 аппаратов. Что</w:t>
      </w:r>
      <w:r w:rsidRPr="002F2FDF">
        <w:rPr>
          <w:rFonts w:ascii="Times New Roman" w:hAnsi="Times New Roman" w:cs="Times New Roman"/>
          <w:color w:val="000000" w:themeColor="text1"/>
          <w:kern w:val="2"/>
          <w:sz w:val="16"/>
          <w:szCs w:val="16"/>
        </w:rPr>
        <w:softHyphen/>
        <w:t>бы укомплектовать все упомянутые отряды требовалось иметь в наличии соответственно еще 146, 265 и 36 достаточно подго</w:t>
      </w:r>
      <w:r w:rsidRPr="002F2FDF">
        <w:rPr>
          <w:rFonts w:ascii="Times New Roman" w:hAnsi="Times New Roman" w:cs="Times New Roman"/>
          <w:color w:val="000000" w:themeColor="text1"/>
          <w:kern w:val="2"/>
          <w:sz w:val="16"/>
          <w:szCs w:val="16"/>
        </w:rPr>
        <w:softHyphen/>
        <w:t>товленных морских летчиков. Советское правительство, осуществлявшее кардинальные пре</w:t>
      </w:r>
      <w:r w:rsidRPr="002F2FDF">
        <w:rPr>
          <w:rFonts w:ascii="Times New Roman" w:hAnsi="Times New Roman" w:cs="Times New Roman"/>
          <w:color w:val="000000" w:themeColor="text1"/>
          <w:kern w:val="2"/>
          <w:sz w:val="16"/>
          <w:szCs w:val="16"/>
        </w:rPr>
        <w:softHyphen/>
        <w:t>образования вооруженных сил государства, решительно откло</w:t>
      </w:r>
      <w:r w:rsidRPr="002F2FDF">
        <w:rPr>
          <w:rFonts w:ascii="Times New Roman" w:hAnsi="Times New Roman" w:cs="Times New Roman"/>
          <w:color w:val="000000" w:themeColor="text1"/>
          <w:kern w:val="2"/>
          <w:sz w:val="16"/>
          <w:szCs w:val="16"/>
        </w:rPr>
        <w:softHyphen/>
        <w:t>нило программу дальнейшего развития морской авиации. Тем более, что в труднейших условиях хозяйственной разрухи та</w:t>
      </w:r>
      <w:r w:rsidRPr="002F2FDF">
        <w:rPr>
          <w:rFonts w:ascii="Times New Roman" w:hAnsi="Times New Roman" w:cs="Times New Roman"/>
          <w:color w:val="000000" w:themeColor="text1"/>
          <w:kern w:val="2"/>
          <w:sz w:val="16"/>
          <w:szCs w:val="16"/>
        </w:rPr>
        <w:softHyphen/>
        <w:t>кая “кабинетная задумка” была невыполнимой (11283).</w:t>
      </w:r>
    </w:p>
    <w:p w14:paraId="7FD329B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46BFD5" w14:textId="77777777" w:rsidR="00765CAE" w:rsidRPr="00FB4F67" w:rsidRDefault="00765CA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середине декабря 1917 г. новое временное советское правительство (Совет народных комиссаров (СНК)) подписало со странами Четверного союза (Германией, Австро-Венгрией, Турцией и Болгарией) соглашение о перемирии сроком на два месяца. К моменту его подписания в составе ВВФ действующей армии имелось 502 самолета и 443 летчика.</w:t>
      </w:r>
    </w:p>
    <w:p w14:paraId="193A2BD1" w14:textId="77777777" w:rsidR="00765CAE" w:rsidRPr="00FB4F67" w:rsidRDefault="00765CAE" w:rsidP="0083075A">
      <w:pPr>
        <w:spacing w:after="0" w:line="240" w:lineRule="auto"/>
        <w:jc w:val="both"/>
        <w:rPr>
          <w:rFonts w:ascii="Times New Roman" w:hAnsi="Times New Roman" w:cs="Times New Roman"/>
          <w:color w:val="0070C0"/>
          <w:sz w:val="16"/>
          <w:szCs w:val="16"/>
        </w:rPr>
      </w:pPr>
      <w:bookmarkStart w:id="413" w:name="bookmark1033"/>
      <w:bookmarkStart w:id="414" w:name="bookmark1034"/>
      <w:r w:rsidRPr="00FB4F67">
        <w:rPr>
          <w:rFonts w:ascii="Times New Roman" w:hAnsi="Times New Roman" w:cs="Times New Roman"/>
          <w:color w:val="0070C0"/>
          <w:sz w:val="16"/>
          <w:szCs w:val="16"/>
        </w:rPr>
        <w:t>В состав авиационных частей воздушной обороны тыловых объектов страны входили: Петроградский авиадивизион, Одесский, Ревельский и 1-й истребительный авиаотряды.</w:t>
      </w:r>
    </w:p>
    <w:p w14:paraId="67AFB7CE" w14:textId="77777777" w:rsidR="00765CAE" w:rsidRPr="00FB4F67" w:rsidRDefault="00765CA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Общая численность войсковой воздушной обороны (включая тыловые объекты) составляла 150 штатных батарей (572 орудия).</w:t>
      </w:r>
      <w:bookmarkEnd w:id="413"/>
      <w:bookmarkEnd w:id="414"/>
    </w:p>
    <w:p w14:paraId="5B2B5398" w14:textId="77777777" w:rsidR="00765CAE" w:rsidRPr="00FB4F67" w:rsidRDefault="00765CAE" w:rsidP="0083075A">
      <w:pPr>
        <w:spacing w:after="0" w:line="240" w:lineRule="auto"/>
        <w:jc w:val="both"/>
        <w:rPr>
          <w:rFonts w:ascii="Times New Roman" w:hAnsi="Times New Roman" w:cs="Times New Roman"/>
          <w:color w:val="0070C0"/>
          <w:sz w:val="16"/>
          <w:szCs w:val="16"/>
        </w:rPr>
      </w:pPr>
      <w:bookmarkStart w:id="415" w:name="bookmark1035"/>
      <w:r w:rsidRPr="00FB4F67">
        <w:rPr>
          <w:rFonts w:ascii="Times New Roman" w:hAnsi="Times New Roman" w:cs="Times New Roman"/>
          <w:color w:val="0070C0"/>
          <w:sz w:val="16"/>
          <w:szCs w:val="16"/>
        </w:rPr>
        <w:t>Несмотря на заключенное временное перемирие, противник, помимо крупной сухопутной группировки, продолжал держать на русско-германском фронте до 900—1000 своих боевых самолетов (23405).</w:t>
      </w:r>
      <w:bookmarkEnd w:id="415"/>
    </w:p>
    <w:p w14:paraId="2832CE6E" w14:textId="77777777" w:rsidR="00765CAE" w:rsidRPr="00FB4F67" w:rsidRDefault="00765CAE" w:rsidP="0083075A">
      <w:pPr>
        <w:spacing w:after="0" w:line="240" w:lineRule="auto"/>
        <w:jc w:val="both"/>
        <w:rPr>
          <w:rFonts w:ascii="Times New Roman" w:hAnsi="Times New Roman" w:cs="Times New Roman"/>
          <w:color w:val="0070C0"/>
          <w:sz w:val="16"/>
          <w:szCs w:val="16"/>
        </w:rPr>
      </w:pPr>
    </w:p>
    <w:p w14:paraId="62F4EC4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9188D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FCF67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декабря 1917 одес</w:t>
      </w:r>
      <w:r w:rsidRPr="002F2FDF">
        <w:rPr>
          <w:rFonts w:ascii="Times New Roman" w:hAnsi="Times New Roman" w:cs="Times New Roman"/>
          <w:color w:val="000000" w:themeColor="text1"/>
          <w:kern w:val="2"/>
          <w:sz w:val="16"/>
          <w:szCs w:val="16"/>
        </w:rPr>
        <w:softHyphen/>
        <w:t>ский завод “Анатра” получил наряд на поставку в Бердянск одного самолета типа Анасаль в качестве образца, но к началу 1918 г. этот на</w:t>
      </w:r>
      <w:r w:rsidRPr="002F2FDF">
        <w:rPr>
          <w:rFonts w:ascii="Times New Roman" w:hAnsi="Times New Roman" w:cs="Times New Roman"/>
          <w:color w:val="000000" w:themeColor="text1"/>
          <w:kern w:val="2"/>
          <w:sz w:val="16"/>
          <w:szCs w:val="16"/>
        </w:rPr>
        <w:softHyphen/>
        <w:t>ряд так и не был выполнен (11154).</w:t>
      </w:r>
    </w:p>
    <w:p w14:paraId="1C87B21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C89A4A" w14:textId="77777777" w:rsidR="00C27B4B" w:rsidRPr="002F2FDF" w:rsidRDefault="00C27B4B" w:rsidP="0083075A">
      <w:pPr>
        <w:pStyle w:val="1c"/>
        <w:spacing w:before="0" w:after="0"/>
        <w:jc w:val="both"/>
        <w:rPr>
          <w:color w:val="000000" w:themeColor="text1"/>
          <w:kern w:val="2"/>
          <w:sz w:val="16"/>
          <w:szCs w:val="16"/>
        </w:rPr>
      </w:pPr>
      <w:r w:rsidRPr="002F2FDF">
        <w:rPr>
          <w:color w:val="000000" w:themeColor="text1"/>
          <w:kern w:val="2"/>
          <w:sz w:val="16"/>
          <w:szCs w:val="16"/>
        </w:rPr>
        <w:t xml:space="preserve">16 </w:t>
      </w:r>
      <w:r w:rsidR="00631AD8" w:rsidRPr="002F2FDF">
        <w:rPr>
          <w:color w:val="000000" w:themeColor="text1"/>
          <w:kern w:val="2"/>
          <w:sz w:val="16"/>
          <w:szCs w:val="16"/>
        </w:rPr>
        <w:t xml:space="preserve">(29) </w:t>
      </w:r>
      <w:r w:rsidRPr="002F2FDF">
        <w:rPr>
          <w:color w:val="000000" w:themeColor="text1"/>
          <w:kern w:val="2"/>
          <w:sz w:val="16"/>
          <w:szCs w:val="16"/>
        </w:rPr>
        <w:t xml:space="preserve">декабря 1917 одесский завод «Анатра» получил наряд на поставку в Бердянск одного самолета Анасаль в качестве образца, но к началу 1918 г. этот наряд так и не был выполнен. (возможно, </w:t>
      </w:r>
      <w:hyperlink r:id="rId769" w:tgtFrame="_blank" w:history="1">
        <w:r w:rsidRPr="002F2FDF">
          <w:rPr>
            <w:rStyle w:val="1e"/>
            <w:color w:val="000000" w:themeColor="text1"/>
            <w:kern w:val="2"/>
            <w:sz w:val="16"/>
            <w:szCs w:val="16"/>
            <w:u w:val="none"/>
          </w:rPr>
          <w:t>бензиновые снегоуборщики</w:t>
        </w:r>
      </w:hyperlink>
      <w:r w:rsidRPr="002F2FDF">
        <w:rPr>
          <w:color w:val="000000" w:themeColor="text1"/>
          <w:kern w:val="2"/>
          <w:sz w:val="16"/>
          <w:szCs w:val="16"/>
        </w:rPr>
        <w:t xml:space="preserve"> пришлись бы кстати в зимнее время) (12252).</w:t>
      </w:r>
    </w:p>
    <w:p w14:paraId="56D3D29C" w14:textId="77777777" w:rsidR="00C27B4B" w:rsidRPr="002F2FDF" w:rsidRDefault="00C27B4B" w:rsidP="0083075A">
      <w:pPr>
        <w:pStyle w:val="1c"/>
        <w:spacing w:before="0" w:after="0"/>
        <w:jc w:val="both"/>
        <w:rPr>
          <w:color w:val="000000" w:themeColor="text1"/>
          <w:kern w:val="2"/>
          <w:sz w:val="16"/>
          <w:szCs w:val="16"/>
        </w:rPr>
      </w:pPr>
    </w:p>
    <w:p w14:paraId="1324D297" w14:textId="77777777" w:rsidR="006F4921" w:rsidRPr="002F2FDF" w:rsidRDefault="006F492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06AF9A5D" w14:textId="77777777" w:rsidR="006F4921" w:rsidRPr="002F2FDF" w:rsidRDefault="006F492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6D4331"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16 (29) декабря 1917 года.</w:t>
      </w:r>
    </w:p>
    <w:p w14:paraId="06B7B321"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Журнал № 211 Особого Совещания по обороне государства. </w:t>
      </w:r>
    </w:p>
    <w:p w14:paraId="505FA412"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16 декабря 1917 года. </w:t>
      </w:r>
    </w:p>
    <w:p w14:paraId="00263164"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Председательствовал Заместитель Председателя Особого Совещания П. А. Козьмин. </w:t>
      </w:r>
    </w:p>
    <w:p w14:paraId="54417D8D"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Присутствовали:</w:t>
      </w:r>
    </w:p>
    <w:p w14:paraId="6F7A7B37"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Член Особого Совещания .в. И. Тимирязев.</w:t>
      </w:r>
    </w:p>
    <w:p w14:paraId="48D5D1E9"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Представитель народных комиссаров по комиссариату труда М. А. Савельев.</w:t>
      </w:r>
    </w:p>
    <w:p w14:paraId="4DE2A4E5"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Представитель народных комиссаров по комиссариату торговли и промышленности . в. М. Смирнов.</w:t>
      </w:r>
    </w:p>
    <w:p w14:paraId="0ADCC973"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Управляющий делами Особого Совещания по обороне государства . Н. А. Бабиков.</w:t>
      </w:r>
    </w:p>
    <w:p w14:paraId="5328F59A"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 Петроградского заводского Совещания . А. Ф. Бринк,</w:t>
      </w:r>
    </w:p>
    <w:p w14:paraId="6562F0F5"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Представитель Главного Артиллерийского Управления . С. М. Чаплин.</w:t>
      </w:r>
    </w:p>
    <w:p w14:paraId="1FC2C2F1"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 . Л. В. Вальтер.</w:t>
      </w:r>
    </w:p>
    <w:p w14:paraId="0DBD6C86"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Представитель Главного Военно-Технического Управления . в. А. Семковский.</w:t>
      </w:r>
    </w:p>
    <w:p w14:paraId="36F90368"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Делопроизводители подготовительных комиссий при Особом Совещании:</w:t>
      </w:r>
    </w:p>
    <w:p w14:paraId="0A048580"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 артиллерийским вопросам . А. В. Исаков.</w:t>
      </w:r>
    </w:p>
    <w:p w14:paraId="6A82355F"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 общим вопросам . П. Е. Гуляев.</w:t>
      </w:r>
    </w:p>
    <w:p w14:paraId="20466E5B"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 авиационным вопросам . А. К. Соковнин.</w:t>
      </w:r>
    </w:p>
    <w:p w14:paraId="490461AA"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Делопроизводители Управления делами Особого Совещания:</w:t>
      </w:r>
    </w:p>
    <w:p w14:paraId="482390F9"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 Н. Вельможин.</w:t>
      </w:r>
    </w:p>
    <w:p w14:paraId="177D6E9C"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 Д. Буданов. </w:t>
      </w:r>
    </w:p>
    <w:p w14:paraId="42091B75"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 открытии заседания Особое Совещание, заслушав ходатайство общества машиностроительного и чугунолитейного завода К. Рудзкий и Ко, о выдаче ему аванса по заказу Главного Артиллерийского управления на 6» бомбы, признало возможным разрешить выдачу названному обществу краткосрочной беспроцентной ссуды в размере 232 380 руб лей; вместе с тем Совещание нашло необходимым установить, чтобы ссуда эта была погашена из платежей за изготовляемые обществом изделия, на общих основаниях, изложенных в докладе Главного Артиллерийского Управления от 4 декабря 1917 года за № 187898 в Исполнительную комиссию; помимо сего, Совещание пришло к заключению о необходимости поручить местному заводскому совещанию выработать совместно с заводским комитетом порядок перехода завода к изготовлению предметов, не относящихся к снабжению армии, допустив заканчивание заказов на снаряды лишь в пределах имеющейся заготовки; кроме того, Совещание признало необходимым предложить тому же заводскому совещанию представить сведения о потребных расходах по расчету тех рабочих и служащих, которые не могут получить работу за прекращением производства снарядов. Далее Особое Совещание заслушало сообщение делегации рабочих завода Богословского общества о положении дел на означенном заводе. По сообщению этой делегации, Общество уже в продолжение полутора месяцев не выплачивает рабочим заработной платы и отказывается признать введенный на заводе рабочий контроль производства. Это последнее обстоятельство привело к конфискации завода, который, таким образом, перешел в ведение Народного Правительства. Средств у завода в настоящее время совершенно нет; поэтому крайне необходимым представляется немедленно ассигновать один миллион пятьсот тысяч рублей для уплаты рабочим за 11/ месяца и на окончание начатых уже военных заготовок; в дальнейшем завод предполагает ликвидировать все военные заказы и перейти на выработку предметов, необходимых для мирного времени, для чего требуется кредит в размере 8 000 000 рублей. По сему поводу инженер Д. Д. Буданов заявляет, что, так как завод Богословского Общества конфискован в пользу государства, то последнее и должно озаботиться снабжением завода необходимыми для него средствами; однако нельзя рассматривать вопрос о столь значительном ассигновании, каким является испрашиваемая сумма в 8 000 000 руб лей, до тех пор, пока не будет сконструировано заводоуправление и определен порядок работ на заводе в будущем. Теперь же следовало бы ограничиться выдачей минимальной суммы, примерно в 1 500 000 рублей, необходимой для поддержания производства; эту сумму надлежало бы ассигновать по смете Главного Артиллерийского Управления. Со своей стороны В. И. Тимирязев, соглашаясь с высказанным Д. Д. Будановым мнением, полагает, что громадная стоимость завода вполне обеспечивает те средства, которые Совещание пожелает ассигновать заводу. Желательно, однако, чтобы средства эти были даны в таком количестве, чтобы часть их пошла на уплату рабочим, а другая часть составила бы некоторый оборотный капитал, необходимый заводу для его дальнейшего функционирования; крайне важно только, чтобы заводоуправление разработало и представило хозяйственно-экономический план дальнейших работ на заводе, с подробным указанием на количество вырабатываемых в месяц предметов производства и с приведением расчета заработной платы рабочим и количества имеющегося на заводе сырого материала. Собрание соглашается с высказанными В. И. Тимирязевым суждениями и по обмене мнениями принимает по настоящему делу следующую резолюцию:</w:t>
      </w:r>
    </w:p>
    <w:p w14:paraId="726F2799"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разрешить выдачу заводу Богословского Общества краткосрочной беспроцентной ссуды в размере 517 721 руб лей 60 коп. с погашением этой ссуды из авансов, имеющих быть полученными по установлении новых расценок на изготовленные на заводе 6» стальные гаубичные бомбы, </w:t>
      </w:r>
    </w:p>
    <w:p w14:paraId="2D4F1F74"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б) отпустить заводу краткосрочную беспроцентную ссуду в размере пяти миллионов рублей для неотложных расходов, под обеспечение имеющихся изделий и материалов из военного фонда, по смете Главного Артиллерийского Управления, с последующим погашением этой ссуды из соответствующих кредитов Министерства Торговли и Промышленности; </w:t>
      </w:r>
    </w:p>
    <w:p w14:paraId="4F767D2E"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указанные в п.п. а и б суммы отпустить Уральскому заводскому совещанию под контроль заводского комитета; </w:t>
      </w:r>
    </w:p>
    <w:p w14:paraId="0FAD37F6"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 поручить тому же Совещанию совместно с заводским комитетом прекратить производство 6» бомб на заводе означенного общества, допустив закончить это производство лишь в пределах имеющейся заготовки и прекратив дальнейшую штамповку снарядов, выработать план перехода завода на изготовление предметов мирного времени; </w:t>
      </w:r>
    </w:p>
    <w:p w14:paraId="0348A193"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 предложить тому же совещанию образовать по соглашении с заводским комитетом временное правительственное правление на заводе и </w:t>
      </w:r>
    </w:p>
    <w:p w14:paraId="146B49A4"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е) поручить названному правлению разработать финансово-хозяйственный план дальнейшей деятельности завода.</w:t>
      </w:r>
    </w:p>
    <w:p w14:paraId="72F4C5C2"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рассмотрев доклад Главного Артиллерийского Управления о заказе Пермским пушечным заводам 450 штук затворов к пушкам образца 1902 года, Особое Совещание одобрило уже сделанный заказ на 200 штук затворов, причем постановило открыть Горному ведомству кредит в сумме 240 000 рублей; дополнительного же заказа на 250 штук затворов Совещание признало необходимым не давать. Далее Совещание одобрило доклад того же Управления от 7 декабря 1917 года за № 189091, в Исполнительную Комиссию о приобретении наличной покупкой от Ижорского завода 56 щитов для пулеметов Кольта и заказе тому же заводу 100 щитов, всего общей стоимостью на сумму 34 714 рублей 40 к. </w:t>
      </w:r>
    </w:p>
    <w:p w14:paraId="3353A8A0"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После сего Совещание заслушало доклад делегации Невьянского завода о положении дел на заводе . Рабочие этого завода в течение 1 1 / месяца не получают причитающейся им заработной платы; в настоящее время на заводе введен контроль рабочих над производством; это обстоятельство служит косвенным образом причиной того, что представители заводоуправления не стараются принимать мер к изысканию необходимых для дальнейшего ведения дела средств; между тем крайне желательно было бы поддержать завод, деятельность которого является весьма полезной для страны. </w:t>
      </w:r>
    </w:p>
    <w:p w14:paraId="2B78D36C"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Председательствующий П. А. Козьмин обращает внимание членов Совещания на то обстоятельство, что названный завод одновременно с исполнением военных заказов изготовляет также нефтяные двигатели и трубы и, таким образом, с прекращением военных заданий всецело может перейти на выделку указанных предметов, имеющих громадное значение в промышленной жизни мирного времени. Посему в отношении названного завода желательно принять следующее решение:</w:t>
      </w:r>
    </w:p>
    <w:p w14:paraId="5553B325"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выдать заводу через заводское совещание ссуду в размере 1 500 000 рублей для расходования их под контролем правительственного инспектора и заводского комитета; означенную ссуду отпустить из военного фонда, по смете Главного Артиллерийского Управления, с последующим погашением ее из соответствующих кредитов Министерства Торговли и Промышленности и </w:t>
      </w:r>
    </w:p>
    <w:p w14:paraId="070C7547"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б) прекратить производство предметов, изготовляемых для нужд военного времени.</w:t>
      </w:r>
    </w:p>
    <w:p w14:paraId="03FBC850"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Совещание принимает предложение Председательствующего. Далее Особое Совещание рассматривает ходатайство акционерного общества «Магнезит» об отпуске денежных средств. По поводу настоящего ходатайства Д. Д. Буданов указывает, что названный завод имеет громадное значение в области промышленной жизни страны, т. к. он обслуживает все отечественные металлургические заводы, поставляя необходимые для них продукты (магнезитовые кирпич и порошок). За предприятиями, сделавшими заводу «Магнезит» заказы на указанные продукты, числится около 1 000 000 р. долгу, которые завод получить сейчас не может; поэтому представлялось бы возможным снабдить завод необходимыми для него средствами, хотя бы под этот долг. </w:t>
      </w:r>
    </w:p>
    <w:p w14:paraId="6D405C48"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 обмене мнениями Совещание постановляет: разрешить выдачу названному обществу ссуды в размере 1 000 000 рублей сроком на два года из 7 % годовых с погашением ее из ближайших платежей за изделия; означенную сумму отпустить из военного фонда, по смете Главного Артиллерийского Управления с последующим возмещением сего расхода из кредитов Министерства Торговли и Промышленности, с ассигнованием ее заводскому совещанию под контроль этого Совещания и заводской контрольной комиссии.</w:t>
      </w:r>
    </w:p>
    <w:p w14:paraId="59213156"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Особое Совещание перешло к ходатайству Правления Общества Невского Судостроительного и Механического завода об отпуске денежных средств. Означенное ходатайство вызывается необходимостью произвести расчет некоторой части рабочих и служащих ввиду прекращения деятельности Артиллерийского Отдела завода и уменьшения объема работ в других отделах; между тем все имевшиеся в распоряжении Общества средства совершенно истощились, вследствие чего оно не в состоянии произвести указанный неотложный расход. Обсудив настоящее дело, Особое Совещание не встретило препятствий к выдаче упомянутому Обществу безвозвратного пособия в размере 1 000 000 рублей для связанной с ликвидацией снарядного производства расплаты с увольняемыми рабочими; вместе с тем Совещание признало, что сумма эта должна быть отпущена из военного фонда, по смете Главного Артиллерийского Управления, с возвращением ее из Особого фонда по восстановлению предприятий Министерства Торговли и Промышленности, по сформировании означенного фонда; помимо сего, Совещание установило, чтобы упомянутое пособие было ассигновано через Заводское Совещание для расходования под его контролем по нормам расценок, не превышающим утвержденных тарифов; кроме того, Совещание сочло необходимым предложить тому же Совещанию представить в свое время Председателю Особого Совещания краткий отчет об израсходовании отпускаемой суммы. </w:t>
      </w:r>
    </w:p>
    <w:p w14:paraId="696EA1C2"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Далее Особое Совещание удовлетворило ходатайство Правления Акционерного Общества Воздухоплавания «В. А. Лебедев» об отпуске ему денежных средств для производства расчета с рабочими и служащими заводов Общества, разрешив выдачу названному Правлению краткосрочной беспроцентной ссуды в размере 437 000 руб. при условии погашения ее из авансов, подлежащих выдаче, по установлении новой расценки на изготовляемые Обществом аэропланы; вместе с тем Совещание решило ассигновать означенную ссуду под контроль Заводского Совещания, действующего в контакте с Заводским Комитетом; помимо сего, Совещание признало необходимым предложить правлению общества представить финансовый план и предположения, касающиеся Пензенского завода общества.</w:t>
      </w:r>
    </w:p>
    <w:p w14:paraId="5440706F"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Засим, ознакомившись с данными об исполнении на заводе Л. А. Михельсон заказов на предметы военного снаряжения, Особое Совещание постановляет прекратить пуск в дальнейшую обработку черных стаканов; кроме того, Совещание поручает Заводскому Совещанию определить, какое число начатых механической обработкой стаканов должно быть закончено, при определении срока работ не более двух месяцев. </w:t>
      </w:r>
    </w:p>
    <w:p w14:paraId="47262DD0"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Далее Совещание не встречает препятствий к выдаче заводу Моска дополнительного аванса в размере 400 000 рублей по заказам на аэропланы, с тем чтобы означенный аванс был отпущен через Московское заводское совещание для расходования под его контролем. После сего, заслушав сообщение о положении дел на заводе Южнорусского общества пеньковой и канатной промышленности, Особое Совещание решает, что необходимо теперь же назначить временное правление на завод означенного общества, для чего заводское совещание совместно с заводским комитетом должно озаботиться представлением на утверждение Председателя Особого Совещания кандидатов в состав правления по избрании этих кандидатов; одновременно с сим надлежит принять меры к тому, чтобы деятельность на заводе не прекращалась.</w:t>
      </w:r>
    </w:p>
    <w:p w14:paraId="1EB85616"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Далее, заслушав ходатайство Б. М. Серикова и А. И. Старостина о выдаче денежных средств и ознакомившись с исполнением работ на Колыберовском химическом заводе, Особое Совещание сочло необходимым прекратить изготовление на означенном заводе тринитротолуола и завод этот закрыть; что же касается вопроса об отпуске средств, то Совещание постановило ассигновать на уплату жалованья рабочим и служащим по 1 февраля 1918 года краткосрочную беспроцентную ссуду в размере 120 000 рублей с погашением ее из аванса, имеющего быть полученным в счет повышения цен по упомянутым заказам; вместе с тем Совещание определило, что указанная ссуда должна быть отпущена через местное заводское совещание для расходования под его контролем совместно с заводским комитетом. После сего Особое Совещание перешло к обсуждению вопроса о положении дел на Владимирском пороховом заводе Акционерного Общества механических, гильзовых и трубочных заводов П. В. Барановского. Явившийся в заседание представитель заводоуправления заявляет, что в настоящее время на заводе создалось крайне тяжелое положение. Хозяйственно-экономическая сторона жизни завода совершенно расстроена. Имевшиеся на заводе запасы топлива все израсходованы, что неминуемо повлечет за собой в самом близком будущем полную остановку заводской деятельности. Сейчас завод приносит до 700 000 рублей убытку в месяц. При создавшемся положении завод не может продолжать существовать в частных руках; вопрос же о покупке завода в казну, хотя и был возбужден больше года тому назад, но до сих пор окончательного разрешения не получил. По поводу настоящего дела председательствующий П. А. Козьмин заявляет, что ввиду близкого окончания войны настоящий завод, как выполняющий исключительно военные задания, является для государства малополезным. Уже и теперь Морское ведомство если и дает заказы, то исключительно с целью покрытия отпущенных ранее заводу авансов. Закрытие завода ущерба государству не принесет. Что же касается вызываемого этой мерой увольнения рабочих, то оно не столь опасно, так как государство во всяком случае не допустит массовой безработицы и примет соответствующие меры к страхованию рабочих. Поэтому П. А. Козьмин предлагает принять по данному делу следующую резолюцию:</w:t>
      </w:r>
    </w:p>
    <w:p w14:paraId="20CB5572"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 объявить расчет рабочим по установленным нормам;</w:t>
      </w:r>
    </w:p>
    <w:p w14:paraId="3399CCE2"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б) поручить заводскому совещанию выяснить вопрос о возможности перехода завода на работу мирного времени;</w:t>
      </w:r>
    </w:p>
    <w:p w14:paraId="2E55C51B"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просить Морское ведомство представить свои соображения по поводу приобретения завода в казну. Указав засим присутствующим на тот факт, что с прекращением войны придется сократить или даже совершенно прекратить выделку на заводах Главного Артиллерийского Управления военных продуктов, Председательствующий находит желательным подтвердить названному Управлению необходимость представления соображений о том, на каких именно пороховых заводах желательно в мирное время продолжать работу и в каких размерах. Члены Совещания принимают предложения Председательствующего. </w:t>
      </w:r>
    </w:p>
    <w:p w14:paraId="2B776FD5"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Далее, рассмотрев ходатайство Акционерного Общества механических заводов для производства арматуры машин и предметов Армии и Флота (бывшее Акционерное Общество Лангензиппен и Ко) об отпуске денежных средств, Особое Совещание не встречает препятствий к выдаче названному Обществу по заказу ему Главным Артиллерийским Управлением на баллоны для сжиженного газа беспроцентную ссуду в размере 220 000 рублей для оплаты труда по этому заводу сроком на один год с отпуском этой ссуды из военного фонда, по смете означенного Управления с погашением из оборотных сумм общества; кроме того, по заказам того же Управления на 86» мины, Совещание признает возможным выдать обществу дополнительный аванс в сумме 200 000 руб лей и краткосрочную беспроцентную ссуду в размере 200 000 рублей с погашением ее из авансов, имеющих быть полученными по установлению новых расценок на заказанные мины; помимо указанных выдач </w:t>
      </w:r>
      <w:r w:rsidRPr="002F2FDF">
        <w:rPr>
          <w:rFonts w:ascii="Times New Roman" w:hAnsi="Times New Roman" w:cs="Times New Roman"/>
          <w:color w:val="000000" w:themeColor="text1"/>
          <w:sz w:val="16"/>
          <w:szCs w:val="16"/>
        </w:rPr>
        <w:lastRenderedPageBreak/>
        <w:t xml:space="preserve">Совещание находит желательным ассигновать обществу ссуду в размере 900 000 руб лей для оплаты рабочего труда сроком на один год из 7 % годовых, с отпуском этой ссуды из военного фонда и с последующим ее погашением из Особого ликвидационного фонда, по его сформировании; означенные суммы Совещание признает необходимым ассигновать через местное заводское совещание для расходования их под контролем заводского фабричного комитета; независимо от сего, Совещание решает, что дальнейшее производство баллонов для сжиженного газа надлежит прекратить, а изготовленные уже баллоны приобрести наличной покупкой; одновременно с сим заводское совещание должно разработать вопрос о возможности скорейшего перехода заводов общества к изготовлению предметов мирной промышленности. </w:t>
      </w:r>
    </w:p>
    <w:p w14:paraId="2009FBBF"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Далее Совещание разрешило ассигновать в распоряжение Петроградского заводского совещания 10 000 000 рублей в качестве оборотных средств для выдачи предприятиям района на экстренные нужды денежных сумм, впредь до соответствующих ассигнований этим предприятиям. Засим Совещание одобрило доклад Главного Артиллерийского Управления от 13 декабря 1917 года за № 190610 о постройке второго сталелитейного завода. В заключение Совещание одобрило соображения, приведенные в докладе Петроградского заводского совещания и касающиеся исполнения работ на заводах «Респиратор». </w:t>
      </w:r>
    </w:p>
    <w:p w14:paraId="3A0B9F29"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Н. Бабиков. </w:t>
      </w:r>
    </w:p>
    <w:p w14:paraId="6AE5BA63"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 384. Л. 53–70. Подлинник. </w:t>
      </w:r>
    </w:p>
    <w:p w14:paraId="0A2C67A5"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18 декабря. — Резолюция Председателя Особого Совещания для обсуждения и объединения мероприятий по обороне государства по журналу Особого Совещания от 16 декабря 1917 года за № 211. </w:t>
      </w:r>
    </w:p>
    <w:p w14:paraId="6490EC32"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Рассмотрев настоящий журнал, я в отношении приведения в исполнение требующих того суждений Особого Совещания решил:</w:t>
      </w:r>
    </w:p>
    <w:p w14:paraId="26C23067"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 По ходатайству акционерного общества механических заводов для производства арматуры машин и предметов армии и флота (быв. акционерное общества Лангензиппен и Ко) об отпуске денежных средств: </w:t>
      </w:r>
    </w:p>
    <w:p w14:paraId="02C7AB06"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выдать названному обществу, по заказу ему главным артиллерийским управлением на баллоны для сжиженного газа, беспроцентную ссуду в размере двухсот двадцати тысяч (220 000) руб лей для оплаты труда по этому заказу сроком на один год с отпуском этой ссуды из военного фонда, по смете означенного управления и с погашением из оборотов общества; </w:t>
      </w:r>
    </w:p>
    <w:p w14:paraId="40F8C338"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б) по заказам того же управления на 86» мины выдать дополнительный аванс в сумме двухсот тысяч (200 000) руб лей и краткосрочную беспроцентную ссуду в размере двухсот тысяч (200 000) руб лей с погашением ее из авансов, имеющих быть полученными по установлению новых расценок на заказанные мины;</w:t>
      </w:r>
    </w:p>
    <w:p w14:paraId="22662479"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разрешить выдачу названному обществу ссуды в размере девятисот тысяч (900 000) руб лей для оплаты рабочего труда сроком на один год по 7 % годовых с отпуском этой ссуды из военного фонда с последующим ее погашением из Особого ликвидационного фонда, по его сформировании; </w:t>
      </w:r>
    </w:p>
    <w:p w14:paraId="4391FA5E"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 указанные в п.п. а, б и в суммы ассигновать через заводское совещание с расходованием их под контролем заводского комитета; </w:t>
      </w:r>
    </w:p>
    <w:p w14:paraId="523EBBC5"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 дальнейшее производство баллонов для сжиженного газа прекратить, приобретя уже изготовленные баллоны наличной покупкой; </w:t>
      </w:r>
    </w:p>
    <w:p w14:paraId="4BB64351"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е) предложить заводскому совещанию разработать вопрос о возможности скорейшего перехода заводов общества к изготовлению предметов мирной промышленности. </w:t>
      </w:r>
    </w:p>
    <w:p w14:paraId="2A415098"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По ходатайству общества машиностроительного и чугунолитейного завода К. Рудзкий и Ко о выдаче ему аванса по заказу главного артиллерийского управления на 6» бомбы:</w:t>
      </w:r>
    </w:p>
    <w:p w14:paraId="26BDACB7"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разрешить выдачу названному обществу беспроцентной краткосрочной ссуды в сумме двухсот тридцати двух тысяч трехсот восьмидесяти (232 380) рублей с погашением из платежей за изделия на общих основаниях, изложенных в докладе названного управления от 4 декабря с. г. за № 187898 в исполнительную комиссию; </w:t>
      </w:r>
    </w:p>
    <w:p w14:paraId="5597A59F"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поручить местному заводскому совещанию выработать совместно с заводским комитетом порядок перехода завода к изготовлению предметов, не относящихся к снабжению армии, допустив заканчивание заказов на снаряды лишь в пределах имеющейся заготовки, и представить сведения о потребных расходах по расчету рабочих и служащих, которые не могут получить работу за прекращением производства снарядов. </w:t>
      </w:r>
    </w:p>
    <w:p w14:paraId="35B9A6FE"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 По докладу подготовительной комиссии по артиллерийским вопросам и сообщения делегации завода Богословского общества о положении дел на означенном заводе:</w:t>
      </w:r>
    </w:p>
    <w:p w14:paraId="2E483D22"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разрешить выдачу краткосрочной беспроцентной ссуды в размере пятисот семнадцати тысяч семисот двадцати одного (517 721) рубля 60 коп. с погашением этой ссуды из авансов, имеющих быть полученными по установлении новых расценок на изготовленные на заводе 6» стальные гаубичные бомбы; </w:t>
      </w:r>
    </w:p>
    <w:p w14:paraId="245E198B"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отпустить краткосрочную беспроцентную ссуду в размере пяти миллионов (5 000 000) рублей для неотложных расходов под обеспечение имеющихся изделий и материалов из военного фонда, по смете главного артиллерийского управления с последующим погашением этой ссуды из соответствующих кредитов Министерства Торговли и Промышленности; </w:t>
      </w:r>
    </w:p>
    <w:p w14:paraId="4906BB51"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указанные в п.п. а и б суммы отпустить Уральскому заводскому совещанию под контроль заводского комитета; </w:t>
      </w:r>
    </w:p>
    <w:p w14:paraId="224CF9C1"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 поручить тому же совещанию совместно с заводским комитетом прекратить производство 6» бомб на заводе означенного общества, допустив закончить это производство лишь в пределах имеющейся заготовки и прекратив дальнейшую штамповку снарядов, а также выработать план перехода завода на изготовление предметов, потребных для мирного времени; </w:t>
      </w:r>
    </w:p>
    <w:p w14:paraId="7E162718"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 предложить тому же совещанию образовать по соглашению с заводским комитетом временное правительственное правление на заводе; е) поручить названному правлению разработать финансово-хозяйственный план дальнейшей деятельности завода. </w:t>
      </w:r>
    </w:p>
    <w:p w14:paraId="32E6B696"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 По докладу главного артиллерийского управления о заказе Пермским пушечным заводам 450 штук затворов к 3» пушкам образца 1902 года:</w:t>
      </w:r>
    </w:p>
    <w:p w14:paraId="57F75D80"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одобрить уже сделанный заказ на 200 штук затворов, с открытием горному ведомству кредита в сумме двухсот сорока тысяч (240 000) рублей; </w:t>
      </w:r>
    </w:p>
    <w:p w14:paraId="47CADC81"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дополнительного заказа на 250 штук затворов не давать. </w:t>
      </w:r>
    </w:p>
    <w:p w14:paraId="4C7A1502"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 Одобрить доклад главного артиллерийского управления от 7 декабря сего года за № 189091 в исполнительную комиссию о приобретении наличной покупкой от Ижорского завода 56 щитов для пулеметов Кольта и заказе тому же заводу 1000 щитов, всего общей стоимостью на сумму тридцать четыре тысячи семьсот четырнадцать (34 714) рублей 40 коп.</w:t>
      </w:r>
    </w:p>
    <w:p w14:paraId="0284C6E5"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6. По докладу делегации Невьянского завода о положении дел на заводе:</w:t>
      </w:r>
    </w:p>
    <w:p w14:paraId="3ACEF883"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выдать через заводское совещание ссуду в размере одного миллиона пятисот тысяч (1 500 000) рублей для расходования ее правительственным инспектором и заводским комитетом; означенную ссуду отпустить из военного фонда, по смете главного артиллерийского управления, с последующим погашением ее из соответствующих кредитов Министерства Торговли и Промышленности; </w:t>
      </w:r>
    </w:p>
    <w:p w14:paraId="312091B6"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б) прекратить производство предметов, изготовляемых заводом для нужд военного времени.</w:t>
      </w:r>
    </w:p>
    <w:p w14:paraId="4982AE9C"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7. По ходатайству акционерного общества «Магнезит» об отпуске денежных средств: </w:t>
      </w:r>
    </w:p>
    <w:p w14:paraId="3571790E"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разрешить выдачу названному обществу ссуды в размере одного миллиона (1 000 000) рублей сроком на два года по 7 % годовых с погашением ее из ближайших платежей за изделия; </w:t>
      </w:r>
    </w:p>
    <w:p w14:paraId="5D3DD484"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отпустить означенную сумму из военного фонда, по смете главного артиллерийского управления, с последующим возмещением сего расхода из кредитов Министерства Торговли и Промышленности, с ассигнованием ее заводскому совещанию, под контроль этого совещания и заводской контрольной комиссии. </w:t>
      </w:r>
    </w:p>
    <w:p w14:paraId="280EC244"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8. По ходатайству правления общества Невского судостроительного и механического завода об отпуске денежных средств для расчета части рабочих и служащих ввиду прекращения деятельности артиллерийского отдела завода и уменьшения объема работ в других отделах: </w:t>
      </w:r>
    </w:p>
    <w:p w14:paraId="593F7D46"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разрешить выдачу безвозвратного пособия в размере одного миллиона пятисот тысяч (1 500 000) рублей для связанной с ликвидацией снарядного производства расплаты с увольняемыми рабочими, с отпуском этой суммы из военного фонда, по смете главного артиллерийского управления, и с возвращением ее из Особого фонда по восстановлению предприятий Министерства Торговли и Промышленности, по сформировании означенного фонда; </w:t>
      </w:r>
    </w:p>
    <w:p w14:paraId="73B5C6B6"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ассигновать упомянутое пособие через заводское совещание для расходования под его контролем по нормам расценок, не превышающим утвержденных тарифов профессиональных союзов; краткий отчет в израсходовании сумм заводскому совещанию представить Председателю Особого Совещания. </w:t>
      </w:r>
    </w:p>
    <w:p w14:paraId="1F951D9E"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9. По ходатайству Правления акционерного общества воздухоплавания «В. А. Лебедев» об отпуске ему денежных средств для производства расчета с рабочими и служащими заводов общества:</w:t>
      </w:r>
    </w:p>
    <w:p w14:paraId="369E06A6"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разрешить выдачу названному правлению краткосрочной беспроцентной ссуды в размере четырехсот тридцати семи тысяч (437 000) рублей с погашением ее из авансов, подлежащих выдаче по установлении новой расценки на изготовляемые обществом аэропланы; </w:t>
      </w:r>
    </w:p>
    <w:p w14:paraId="6771D662"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ассигновать означенную ссуду под контроль заводского совещания, действующего в контакте с заводским комитетом; </w:t>
      </w:r>
    </w:p>
    <w:p w14:paraId="153A63C4"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предложить правлению общества представить финансовый план и предположения, касающиеся Пензенского завода общества. </w:t>
      </w:r>
    </w:p>
    <w:p w14:paraId="7C121AD6"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10. По вопросу об исполнении на заводе Л. А. Михельсона заказов на предметы военного снаряжения: прекратить пуск в дальнейшую обработку черных стаканов; заводскому совещанию определить, какое число начатых механической обработкой стаканов должно быть закончено, при определении срока работ не более двух месяцев. </w:t>
      </w:r>
    </w:p>
    <w:p w14:paraId="5D9C6C44"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11. Выдать заводу Моска дополнительный аванс в размере четырехсот тысяч (400 000) рублей, по заказам на аэропланы; выдачу означенного аванса произвести через Московское заводское совещание, с расходованием его под контролем названного совещания. </w:t>
      </w:r>
    </w:p>
    <w:p w14:paraId="54F25587"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12. По вопросу о положении дела на заводе Южно-Русского общества пеньковой и канатной промышленности:</w:t>
      </w:r>
    </w:p>
    <w:p w14:paraId="6FC7FA4D"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назначить временное правление на заводе означенного общества; заводскому совещанию совместно с заводским комитетом представить на утверждение Председателя Особого Совещания кандидатов в состав этого правления; </w:t>
      </w:r>
    </w:p>
    <w:p w14:paraId="65DA4924"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б) принять немедленно меры к тому, чтобы деятельность на заводе не прекращалась. </w:t>
      </w:r>
    </w:p>
    <w:p w14:paraId="0234DCF3"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13. По ходатайству Б. М. Серикова и А. И. Старостина о выдаче денежных средств для расходования по ликвидации заказов Главного Артиллерийского Управления, порученных Колыберьевскому химическому заводу: отпустить краткосрочную беспроцентную ссуду в размере ста двадцати тысяч (120 000) рублей с погашением ее из аванса, имеющего быть полученным в счет повышения цен по упомянутым заказам; означенную ссуду выдать через местное заводское совещание для расходования под его контролем совместно с заводским комитетом. </w:t>
      </w:r>
    </w:p>
    <w:p w14:paraId="410CF4D9"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14. По вопросу о положении дел на Владимирском пороховом заводе акционерного общества механических гильзовых и трубочных заводов П. В. Барановского: </w:t>
      </w:r>
    </w:p>
    <w:p w14:paraId="291A06DF"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объявить расчет рабочих по установленным нормам; </w:t>
      </w:r>
    </w:p>
    <w:p w14:paraId="668661EA"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поручить заводскому совещанию выяснить вопрос о возможности перехода завода на работу мирного времени; </w:t>
      </w:r>
    </w:p>
    <w:p w14:paraId="4C674418"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просить морское ведомство представить свои соображения по поводу приобретения завода в казну; </w:t>
      </w:r>
    </w:p>
    <w:p w14:paraId="30AC30C0"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г) подтвердить Главному Артиллерийскому Управлению необходимость представления соображений о том, на каких именно пороховых заводах желательно в мирное время продолжать работу и в каких размерах. </w:t>
      </w:r>
    </w:p>
    <w:p w14:paraId="58D6FC08"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15. Ассигновать в распоряжение Петроградского заводского совещания десять миллионов (10 000 000) руб лей в качестве оборотных средств для выдачи предприятиям района на экстренные нужды денежных сумм впредь до соответствующих ассигнований этим предприятиям. </w:t>
      </w:r>
    </w:p>
    <w:p w14:paraId="4A8FA748"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16. Одобрить доклад Главного Артиллерийского Управления от 13 декабря с. г. за № 190610 в Особое Совещание о возобновлении постройки второго сталелитейного завода. 17. Одобрить общие соображения Петроградского заводского совещания по поводу работ на заводах «Респиратор». </w:t>
      </w:r>
    </w:p>
    <w:p w14:paraId="04114FF9"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 председателя Козьмин. </w:t>
      </w:r>
    </w:p>
    <w:p w14:paraId="2735BCA1"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 397. Л. 23–27. Подлинник. </w:t>
      </w:r>
    </w:p>
    <w:p w14:paraId="539236AB"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20 декабря. — В изменение п. 13 резолюции Председателя Особого Совещания по обороне государства по журналу Особого Совещания от 16 декабря 1917 года за № 211 я решил: По ходатайству Б. М. Серикова и А. И. Старостина о выдаче денежных средств:</w:t>
      </w:r>
    </w:p>
    <w:p w14:paraId="2B481138"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а) производство тринитротолуола на Колиберевском химическом заводе прекратить и завод закрыть; </w:t>
      </w:r>
    </w:p>
    <w:p w14:paraId="06C955AF"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б) отпустить на уплату жалованья рабочим и служащим по 1 февраля 1918 года краткосрочную беспроцентную ссуду в размере ста двадцати тысяч (120 000) руб. с погашением ее из аванса, имеющего быть полученным в счет повышения цен по упомянутым заказам; означенную ссуду выдать через местное заводское совещание для израсходования под контролем совместно с заводским комитетом. </w:t>
      </w:r>
    </w:p>
    <w:p w14:paraId="74E8C0DC"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 председателя Особого Совещания Козьмин. </w:t>
      </w:r>
    </w:p>
    <w:p w14:paraId="203BB128"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 397. Л. 28. Подлинник. </w:t>
      </w:r>
    </w:p>
    <w:p w14:paraId="2D08217A"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28 декабря. — В дополнение к п. 15 резолюции Председателя Особого Совещания по обороне государства по журналу Особого Совещания от 16 декабря 1917 г. за № 211 я решил: </w:t>
      </w:r>
    </w:p>
    <w:p w14:paraId="2BF905E9"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Предложить Председателю Петроградского заводского совещания при расходовании отпущенных в его распоряжение десяти миллионов (10 000 000) руб лей в качестве оборотных средств руководствоваться следующими основаниями:</w:t>
      </w:r>
    </w:p>
    <w:p w14:paraId="0B648527"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Выдачу денег производить в счет тех отпусков, которые разрешены Председателем Особого Совещания, и притом лишь в случаях крайней необходимости;</w:t>
      </w:r>
    </w:p>
    <w:p w14:paraId="2A54E3EA"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 О выданных суммах немедленно сообщать в соответствующие довольствующие управления, ведомства или организации с целью погашения выданных сумм из соответствующих уже разрешенных отпусков. </w:t>
      </w:r>
    </w:p>
    <w:p w14:paraId="15B84B12"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 председателя Особого Совещания Козьмин. </w:t>
      </w:r>
    </w:p>
    <w:p w14:paraId="5A24BAD1"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Д. 397. Л. 29. Подлинник (20436). </w:t>
      </w:r>
    </w:p>
    <w:p w14:paraId="4E1FD67E" w14:textId="77777777" w:rsidR="006F4921" w:rsidRPr="002F2FDF" w:rsidRDefault="006F4921" w:rsidP="0083075A">
      <w:pPr>
        <w:spacing w:after="0" w:line="240" w:lineRule="auto"/>
        <w:jc w:val="both"/>
        <w:rPr>
          <w:rFonts w:ascii="Times New Roman" w:hAnsi="Times New Roman" w:cs="Times New Roman"/>
          <w:color w:val="000000" w:themeColor="text1"/>
          <w:sz w:val="16"/>
          <w:szCs w:val="16"/>
        </w:rPr>
      </w:pPr>
    </w:p>
    <w:p w14:paraId="1743A0B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87836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D4D5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декабря 1917 В.И.Л. подписал декреты СНК "О выборном начале и об организации власти в армии" и "Об уравнении всех военнослужащих в правах" (505,23) - м.б. 29 декабря 1917 (11 января 1918).</w:t>
      </w:r>
    </w:p>
    <w:p w14:paraId="3E13F6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E08564"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декабря 1917 Совнарком принял декреты о демократизации русской армии (4962).</w:t>
      </w:r>
    </w:p>
    <w:p w14:paraId="266A1B1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9EA31D" w14:textId="77777777" w:rsidR="000214FC" w:rsidRPr="002F2FDF" w:rsidRDefault="000214FC" w:rsidP="0083075A">
      <w:pPr>
        <w:pStyle w:val="ae"/>
        <w:spacing w:before="0" w:after="0"/>
        <w:jc w:val="both"/>
        <w:rPr>
          <w:color w:val="000000" w:themeColor="text1"/>
          <w:kern w:val="2"/>
          <w:sz w:val="16"/>
          <w:szCs w:val="16"/>
        </w:rPr>
      </w:pPr>
      <w:r w:rsidRPr="002F2FDF">
        <w:rPr>
          <w:color w:val="000000" w:themeColor="text1"/>
          <w:kern w:val="2"/>
          <w:sz w:val="16"/>
          <w:szCs w:val="16"/>
        </w:rPr>
        <w:t>16 (29) декабря 1917 в Петрограде Совет Народных Комиссаров (СНК) издал декрет «Об уравнении в правах всех военнослужащих» — все чины и звания в армии от ефрейторского до генеральского большевиками отменялись и провозглашалось, что отныне «армия Российской Республики состоит из свободных и равных друг другу граждан, носящих почетное звание солдат революционной армии» (17045).</w:t>
      </w:r>
    </w:p>
    <w:p w14:paraId="13E4743E" w14:textId="77777777" w:rsidR="000214FC" w:rsidRPr="002F2FDF" w:rsidRDefault="000214F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B039B8" w14:textId="4EA84B18" w:rsidR="00765CAE" w:rsidRPr="00FB4F67" w:rsidRDefault="00765CAE"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16 (</w:t>
      </w:r>
      <w:r w:rsidRPr="00FB4F67">
        <w:rPr>
          <w:rFonts w:ascii="Times New Roman" w:hAnsi="Times New Roman" w:cs="Times New Roman"/>
          <w:color w:val="0070C0"/>
          <w:sz w:val="16"/>
          <w:szCs w:val="16"/>
        </w:rPr>
        <w:t>29</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декабря 1917 г. началось формирование первых частей Красной Армии.</w:t>
      </w:r>
    </w:p>
    <w:p w14:paraId="6DA34951" w14:textId="77777777" w:rsidR="00765CAE" w:rsidRPr="00FB4F67" w:rsidRDefault="00765CA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Красные теперь контролировали тридцать три АО, и все они находились на ранних стадиях преобразования в красные подразделения. В декабре на авиационном заводе «Дукс» в Москве было зарегистрировано 370 самолетов (23525).</w:t>
      </w:r>
    </w:p>
    <w:p w14:paraId="2C40A3D6" w14:textId="77777777" w:rsidR="00765CAE" w:rsidRPr="00FB4F67" w:rsidRDefault="00765CAE" w:rsidP="0083075A">
      <w:pPr>
        <w:spacing w:after="0" w:line="240" w:lineRule="auto"/>
        <w:jc w:val="both"/>
        <w:rPr>
          <w:rFonts w:ascii="Times New Roman" w:hAnsi="Times New Roman" w:cs="Times New Roman"/>
          <w:color w:val="0070C0"/>
          <w:sz w:val="16"/>
          <w:szCs w:val="16"/>
        </w:rPr>
      </w:pPr>
    </w:p>
    <w:p w14:paraId="3E4C26C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0A7923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4FB7E0" w14:textId="77777777" w:rsidR="006970C8" w:rsidRPr="002F2FDF" w:rsidRDefault="006970C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декабря в 1917 году декретом Советского правительства упразднены старые царские звания, титулы и чины (14875).</w:t>
      </w:r>
    </w:p>
    <w:p w14:paraId="614DF293" w14:textId="77777777" w:rsidR="006970C8" w:rsidRPr="002F2FDF" w:rsidRDefault="006970C8" w:rsidP="0083075A">
      <w:pPr>
        <w:spacing w:after="0" w:line="240" w:lineRule="auto"/>
        <w:jc w:val="both"/>
        <w:rPr>
          <w:rFonts w:ascii="Times New Roman" w:hAnsi="Times New Roman" w:cs="Times New Roman"/>
          <w:color w:val="000000" w:themeColor="text1"/>
          <w:kern w:val="2"/>
          <w:sz w:val="16"/>
          <w:szCs w:val="16"/>
        </w:rPr>
      </w:pPr>
    </w:p>
    <w:p w14:paraId="065FE85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86029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1264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января 1918 в ночь 7 самолетов "Гота" совершили налет на Лондон и сбросили 12 тонн бомб на предместья; 3 немецких самолета-гиганта бомбили Восточное побережье Англии. Погиб 21 человек.</w:t>
      </w:r>
    </w:p>
    <w:p w14:paraId="389832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ближайший период боевых действий германское командование серьезно сосредоточилось на бомбардировках французской столицы.</w:t>
      </w:r>
    </w:p>
    <w:p w14:paraId="41D599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приказа о воздушном нападении на Париж:</w:t>
      </w:r>
    </w:p>
    <w:p w14:paraId="3A6E0D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По приказу Верховного главнокомандования дивизионы 1,2,5 и 7 производят под моим начальством нападения на крепость Париж, в возмездие неприятельских нападений на незащищенные германские города.</w:t>
      </w:r>
    </w:p>
    <w:p w14:paraId="2AF97D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Приказ об отправлении последует не позже 4-х часов пополудни в один из дней, благоприятных по погоде...</w:t>
      </w:r>
    </w:p>
    <w:p w14:paraId="404611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Общая цель: для всех дивизионов - северная часть Парижа, между Северным и Южным вокзалами и Сеной, в особенности же фабрики и вокзалы.</w:t>
      </w:r>
    </w:p>
    <w:p w14:paraId="5B202F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Особые цели. Чтобы нанести ущерб неприятельской промышленности, указываются еще особо важные цели. Такая бомбардировка производится по указаниям командиров дивизионов или тремя отдельными самолетами, или дивизионом в полном составе, но с использованием лишь части всех бомб...</w:t>
      </w:r>
    </w:p>
    <w:p w14:paraId="7CDD4A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a) для 2-го бомбардировочного дивизиона: аэроплано- строительный и артиллерийский заводы в юго-западной части Парижа...</w:t>
      </w:r>
    </w:p>
    <w:p w14:paraId="507C67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b) для 7-го бомбардировочного дивизиона: завод взрывчатых веществ и артиллерийских снарядов...</w:t>
      </w:r>
    </w:p>
    <w:p w14:paraId="4FA12C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c) для 5-го бомбардировочного дивизиона: та же цель, что и для 2-го;</w:t>
      </w:r>
    </w:p>
    <w:p w14:paraId="753481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d) для 1-го бомбардировочного дивизиона: заводы снарядов и центральная электрическая станция в северной части Парижа... </w:t>
      </w:r>
    </w:p>
    <w:p w14:paraId="7A5691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Запрещается сбрасывание какой бы то ни было литературы или записок, кроме выданных...</w:t>
      </w:r>
    </w:p>
    <w:p w14:paraId="660D91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Кроме личных воинских книжек никаких других бумаг с собой не брать. На планах не должно быть никаких пометок. Обязательно иметь при себе специальные спички (горящие на ветру)...</w:t>
      </w:r>
    </w:p>
    <w:p w14:paraId="318AD7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Все летчики должны быть точно осведомлены о положении, освещении и путевой сигнализации аэродромов, посадочных пунктов и маяков в районах 7-й, 8-й и 2-й армий...</w:t>
      </w:r>
    </w:p>
    <w:p w14:paraId="36676A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Командующий Келлер" (11999).</w:t>
      </w:r>
    </w:p>
    <w:p w14:paraId="387B02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0BFE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декабря 1917 Лозовская и Павлодар были захвачены Красной гвардией (2239).</w:t>
      </w:r>
    </w:p>
    <w:p w14:paraId="012E6B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D1B9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(29) декабря 1917 советская власть была установлена в Севастополе (2443,389).</w:t>
      </w:r>
    </w:p>
    <w:p w14:paraId="44C225B1" w14:textId="2504AA70"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0B480E" w14:textId="3F20F3E2" w:rsidR="008F4C3B" w:rsidRPr="002F2FDF" w:rsidRDefault="008F4C3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231F76B" w14:textId="77777777" w:rsidR="008F4C3B" w:rsidRPr="002F2FDF" w:rsidRDefault="008F4C3B"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98B478D"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17 (30) декабря 1916 года.</w:t>
      </w:r>
    </w:p>
    <w:p w14:paraId="2F44CF0E"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Копия.</w:t>
      </w:r>
    </w:p>
    <w:p w14:paraId="7DC815F6"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Совершенно секретно.</w:t>
      </w:r>
    </w:p>
    <w:p w14:paraId="7FFF8250"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ЖУРНАЛ № 128</w:t>
      </w:r>
    </w:p>
    <w:p w14:paraId="08373253"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489245FC"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Заседание 17 декабря 1916 года.</w:t>
      </w:r>
    </w:p>
    <w:p w14:paraId="2E93B85A"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Председательствовал сенатор.. Н.П. Гарин.</w:t>
      </w:r>
    </w:p>
    <w:p w14:paraId="74142C6F"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Присутствовали:</w:t>
      </w:r>
    </w:p>
    <w:p w14:paraId="44F99310"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Член Государственного Совета.. С. И. Тимашев.</w:t>
      </w:r>
    </w:p>
    <w:p w14:paraId="358BA6A7"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»..........................................В. И. Тимирязев.</w:t>
      </w:r>
    </w:p>
    <w:p w14:paraId="49852657"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».......................................А. С. Стишинский.</w:t>
      </w:r>
    </w:p>
    <w:p w14:paraId="141CB0FF"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»..........................................граф С. А. Толь.</w:t>
      </w:r>
    </w:p>
    <w:p w14:paraId="2BBEF4DD"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»..........................................М. А. Стахович.</w:t>
      </w:r>
    </w:p>
    <w:p w14:paraId="57C48E09"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»............................................Ф. А. Иванов.</w:t>
      </w:r>
    </w:p>
    <w:p w14:paraId="2A89E19D"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»..........................................С.Ф. Ольденбург.</w:t>
      </w:r>
    </w:p>
    <w:p w14:paraId="06A0FE8F"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»»».............................князь А. Н. Лобанов-Ростовский.</w:t>
      </w:r>
    </w:p>
    <w:p w14:paraId="6952621A"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 Государственной Думы................М. В. Родзянко.</w:t>
      </w:r>
    </w:p>
    <w:p w14:paraId="188A7B74"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Член Государственной Думы.....................А. А. Добровольский.</w:t>
      </w:r>
    </w:p>
    <w:p w14:paraId="13AEDC39"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».....................................................П.Н. Милюков.</w:t>
      </w:r>
    </w:p>
    <w:p w14:paraId="36432A55"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»..............................................Н.В. Савич.</w:t>
      </w:r>
    </w:p>
    <w:p w14:paraId="49BBDE7D"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»..........................................Д. Н. Сверчков.</w:t>
      </w:r>
    </w:p>
    <w:p w14:paraId="4753328F"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»............................................Д Н. Чихачев.</w:t>
      </w:r>
    </w:p>
    <w:p w14:paraId="5DC766EC"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»..........................................А. И. Шингарев.</w:t>
      </w:r>
    </w:p>
    <w:p w14:paraId="45C456CF"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»..........................................Б. А. Энгельгардт.</w:t>
      </w:r>
    </w:p>
    <w:p w14:paraId="18430C55"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 ».....................................................М.С. Аджемов.</w:t>
      </w:r>
    </w:p>
    <w:p w14:paraId="5F3CD725"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военного министерства:</w:t>
      </w:r>
    </w:p>
    <w:p w14:paraId="3C167E1C"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 от инфантерии ...</w:t>
      </w:r>
    </w:p>
    <w:p w14:paraId="45F0BF94"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 от артиллерии___</w:t>
      </w:r>
    </w:p>
    <w:p w14:paraId="3FF26E94"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Генерал-лейтенант ......</w:t>
      </w:r>
    </w:p>
    <w:p w14:paraId="5288E720"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w:t>
      </w:r>
    </w:p>
    <w:p w14:paraId="69179BC7"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Г енерал-майор..........</w:t>
      </w:r>
    </w:p>
    <w:p w14:paraId="49C00360"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....П.А. Фролов.</w:t>
      </w:r>
    </w:p>
    <w:p w14:paraId="664E4ACC"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 А. Маниковский.</w:t>
      </w:r>
    </w:p>
    <w:p w14:paraId="6498548A"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___Г. Г. Милеант.</w:t>
      </w:r>
    </w:p>
    <w:p w14:paraId="42F02992"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Бабиков.</w:t>
      </w:r>
    </w:p>
    <w:p w14:paraId="12778E0C"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___К. Е. Горецкий.</w:t>
      </w:r>
    </w:p>
    <w:p w14:paraId="0F912B31"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морского министерства:</w:t>
      </w:r>
    </w:p>
    <w:p w14:paraId="4F32BF8E"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Адмирал........................................П.П. Муравьев.</w:t>
      </w:r>
    </w:p>
    <w:p w14:paraId="68EB92BC"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Вице-адмирал.......................................В. К. Гире.</w:t>
      </w:r>
    </w:p>
    <w:p w14:paraId="30692292"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министерства финансов:</w:t>
      </w:r>
    </w:p>
    <w:p w14:paraId="4C600092"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Действительный статский советник...............П.Н. Кутлер.</w:t>
      </w:r>
    </w:p>
    <w:p w14:paraId="1A02D076"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государственного контроля:</w:t>
      </w:r>
    </w:p>
    <w:p w14:paraId="7903F629"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Действительный статский советник...............А.Д. Приселков.</w:t>
      </w:r>
    </w:p>
    <w:p w14:paraId="2807850C"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министерства торговли и промышленности:</w:t>
      </w:r>
    </w:p>
    <w:p w14:paraId="4387E477"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Статский советник............................В. А. Рогожников.</w:t>
      </w:r>
    </w:p>
    <w:p w14:paraId="4F549188"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Коллежский советник........................Д. С. Старынкевич.</w:t>
      </w:r>
    </w:p>
    <w:p w14:paraId="7A5FE23F"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От министерства путей сообщения:</w:t>
      </w:r>
    </w:p>
    <w:p w14:paraId="4B7794E7"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Действительный статский советник...............С.М. Богатев.</w:t>
      </w:r>
    </w:p>
    <w:p w14:paraId="4598523C"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От Всероссийского земского союза:</w:t>
      </w:r>
    </w:p>
    <w:p w14:paraId="7F97AC59"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Член Государственного Совета...барон В. В. Меллер-Закомельский.</w:t>
      </w:r>
    </w:p>
    <w:p w14:paraId="78BBC964"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Член главного комитета по снабжению армии.........А. А. Эйлер.</w:t>
      </w:r>
    </w:p>
    <w:p w14:paraId="5729F34B"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центрального военно-промышленного комитета:</w:t>
      </w:r>
    </w:p>
    <w:p w14:paraId="7F6768B9"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Член Государственной Думы.....................А. И. Коновалов.</w:t>
      </w:r>
    </w:p>
    <w:p w14:paraId="3D29714D"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Действительный статский советник.................Д. С. Зернов.</w:t>
      </w:r>
    </w:p>
    <w:p w14:paraId="79EC669E"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Особо приглашенные в заседание:</w:t>
      </w:r>
    </w:p>
    <w:p w14:paraId="7D29BED2"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Член Государственного Совета......</w:t>
      </w:r>
    </w:p>
    <w:p w14:paraId="458A6F35"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Генерал от инфантерии.............</w:t>
      </w:r>
    </w:p>
    <w:p w14:paraId="6AD913E7"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Генерал-лейтенант ................</w:t>
      </w:r>
    </w:p>
    <w:p w14:paraId="24DD61FB"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w:t>
      </w:r>
    </w:p>
    <w:p w14:paraId="5C04A4BC"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Генерал-майор.....................</w:t>
      </w:r>
    </w:p>
    <w:p w14:paraId="3930B63C"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w:t>
      </w:r>
    </w:p>
    <w:p w14:paraId="1CCBF1E4"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Тайный советник...................</w:t>
      </w:r>
    </w:p>
    <w:p w14:paraId="570B865A"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Отставной полковник...............</w:t>
      </w:r>
    </w:p>
    <w:p w14:paraId="702E1252"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Полковник ........................</w:t>
      </w:r>
    </w:p>
    <w:p w14:paraId="3281B5A6"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 ».............................</w:t>
      </w:r>
    </w:p>
    <w:p w14:paraId="35225D79"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Инженер путей сообщения...........</w:t>
      </w:r>
    </w:p>
    <w:p w14:paraId="0268BF55"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Товарищ председателя центрального</w:t>
      </w:r>
    </w:p>
    <w:p w14:paraId="0780C13A"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военно-промышленного комитета.....</w:t>
      </w:r>
    </w:p>
    <w:p w14:paraId="71817B07"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.....Н.Ф. фон Дитмар.</w:t>
      </w:r>
    </w:p>
    <w:p w14:paraId="0F59ABC8"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 3. Мышлаевский.</w:t>
      </w:r>
    </w:p>
    <w:p w14:paraId="7E1FBFBD"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 А. Якимович.</w:t>
      </w:r>
    </w:p>
    <w:p w14:paraId="230BBCAF"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 А. Ронжин.</w:t>
      </w:r>
    </w:p>
    <w:p w14:paraId="14524557"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 А. Саткевич.</w:t>
      </w:r>
    </w:p>
    <w:p w14:paraId="333AE430"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.......А. А. Михельсон.</w:t>
      </w:r>
    </w:p>
    <w:p w14:paraId="7550C726"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....И. К. Христофоров.</w:t>
      </w:r>
    </w:p>
    <w:p w14:paraId="36F4E21C"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.......Н.Е. Панафидин.</w:t>
      </w:r>
    </w:p>
    <w:p w14:paraId="6B9315D3"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 В. Яковлев.</w:t>
      </w:r>
    </w:p>
    <w:p w14:paraId="04B92EB3"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.........Д.Н. Швецов.</w:t>
      </w:r>
    </w:p>
    <w:p w14:paraId="4F4143FF"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....барон Г. X. Майдель.</w:t>
      </w:r>
    </w:p>
    <w:p w14:paraId="15DA659B"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.......М.И. Терещенко.</w:t>
      </w:r>
    </w:p>
    <w:p w14:paraId="7678A839"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Делопроизводитель Особого Совещания:</w:t>
      </w:r>
    </w:p>
    <w:p w14:paraId="0DDA8666"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Коллежский секретарь.........................М.М. Карпович.</w:t>
      </w:r>
    </w:p>
    <w:p w14:paraId="1362BBEB"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По открыли заседания генерал-лейтенант И. А. Ронжин выступил, по поручению морского министра, с докладом о результатах работ особой междуведомственной комиссии, образованной по Высочайшему повелению, под председательством Адмирала Н. С. Маньковского, для производства предварительного расследования по поводу взрыва, происшедшего на пароходе «Барон Дризен» у пристани Бакарица в Архангельске 26 октября минувшего года. На комиссию были возложены две задачи: во-первых, установление непосредственной причины взрыва и, во-вторых, выяснение общих условий, в которых происходят на Бакарице разгрузка прибывающих пароходов и хранение грузов. Выяснив все обстоятельства взрыва на пароходе «Барон Дризен», комиссия пришла к заключению, что взрыв этот явился </w:t>
      </w:r>
      <w:r w:rsidRPr="002F2FDF">
        <w:rPr>
          <w:rFonts w:ascii="Times New Roman" w:hAnsi="Times New Roman" w:cs="Times New Roman"/>
          <w:color w:val="000000" w:themeColor="text1"/>
          <w:sz w:val="16"/>
          <w:szCs w:val="16"/>
        </w:rPr>
        <w:lastRenderedPageBreak/>
        <w:t>результатом злого умысла. Показания очевидцев, единогласно утверждавших, что никакого пожара на пароходе перед взрывом не было, а равно заключения экспертов о малой вероятности самовозгорания находившегося на судне пороха заставили комиссию отклонить предположение о несчастной случайности. С другой стороны, комиссия обратила внимание на странное поведение боцмана парохода «Барон Дризен» некоего Польки, единственного оставшегося в живых из всей команды, за исключением капитана и двух его помощников, за два часа до взрыва съехавших на берег. Боцман Полька был обнаружен комиссией случайно в одном из Архангельских лазаретов, где он лечился от незначительных поранений. При допросе он утверждал, что в момент взрыва находился на пароходе, но спасся, и вообще давал неправдоподобные и сбивчивые показания. Ввиду возникшего насчет него подозрения он был взят под стражу. Равным образом были заключены под стражу капитан и его помощники, а также приехавшая к капитану жена, но засим они были освобождены за неимением каких бы то ни было улик; за ними учрежден, однако, негласный надзор. Дело же боцмана Польки передано судебной власти. Что касается общих условий, в которых происходит на Бакарице разгрузка пароходов, то комиссия признала существующие ныне средства охраны как самих пароходов, так и складочных помещений на берегу — недостаточными. Комиссия нашла, однако, что обстоятельство это не может быть поставлено в вину местной власти, неоднократно возбуждавшей ходатайства об усилении охраны на Бакарице и со своей стороны принимавшей возможные меры в этом направлении.</w:t>
      </w:r>
    </w:p>
    <w:p w14:paraId="4DCFD713"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Пожелания комиссии об изменении порядка разгрузки пароходов и хранения грузов на Бакарице были ею представлены морскому министру и ныне отчасти уже выполняются.</w:t>
      </w:r>
    </w:p>
    <w:p w14:paraId="397AD04A"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При последовавшем обмене мнениями член Государственной Думы А. И. Шингарев высказал, что заключение комиссии о деятельности местной власти в отношении общих условий работы на Бакарице не может быть признано правильным. Из личного осмотра Бакарицы А. И. Шингарев вынес вполне определенное впечатление о царившем там беспорядке, о чем им и было своевременно доложено Совещанию. Ответственность за этот беспорядок лежит на органах местной власти. При этом А. И. Шингарев высказал предположение, что участие в комиссии представителей морского ведомства явилось невольным препятствием к тому, чтобы комиссия дала правильную оценку деятельности местной власти. К мнению А. И. Шингарева присоединился член Государственного Совета князь А. Н. Лобанов-Ростовский.</w:t>
      </w:r>
    </w:p>
    <w:p w14:paraId="37957F4D"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Засим генерал-лейтенант И. А. Ронжин представил дополнительные пояснения по отдельным, возбужденным членами Совещания вопросам, касающимся как обстоятельств взрыва на пароходе «Барон Дризен», так и хода работ междуведомственной комиссии.</w:t>
      </w:r>
    </w:p>
    <w:p w14:paraId="7D416D55"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Далее Совещание заслушало доклад представителя подготовительной комиссии по артиллерийским вопросам члена Государственного Совета С. И. Тимашева об условиях дальнейшей деятельности Русско-Балтийского судостроительного и механического акционерного общества. Означенный вопрос был возбужден междуведомственным совещанием по финансированию некоторых частных металлургических предприятий, работающих на оборону, состоящим под председательством товарища министра финансов тайного советника А. И. Николаенко, в связи с рассмотрением ходатайства Русско-Балтийского общества о выдаче ему дополнительной ссуды в размере 22 4/г миллиона рублей.</w:t>
      </w:r>
    </w:p>
    <w:p w14:paraId="520C5734"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По поручению междуведомственного совещания особая комиссия, иод председательством тайного советника И. К. Христофорова, произвела всестороннее обследование финансового положения Русско-Балтийского общества, причем нашла, что общество имеет дефицит до 26 миллионов рублей, значительно превышающий его основной капитал, составляющий 15 миллионов рублей. Ввиду сего комиссия тайного советника И. К. Христофорова признала, что дальнейшее финансирование Русско-Балтийского общества, вызываемое интересами обороны, может быть допущено лишь при условии учреждения по делам общества администрации. </w:t>
      </w:r>
    </w:p>
    <w:p w14:paraId="3E7A5383"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Заключение это было одобрено междуведомственным совещанием тайного советника А. И. Николаенко.</w:t>
      </w:r>
    </w:p>
    <w:p w14:paraId="75E29876"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Приступив к обсуждению этого дела, подготовительная комиссия по артиллерийским вопросам признала, что в задачу ее не может входить пересмотр сделанного комиссией тайного советника И. К. Христофорова исправления баланса Русско-Балтийского общества, и остановила свое внимание на выяснении жизнеспособности названного предприятия, положения данных ему заказов и размеров потребных для их исполнения денежных средств. Рассмотрев соответствующие данные, касающиеся заказов морского ведомства на Ревельском и артиллерийского ведомства на Ревельском и Таганрогском заводах общества, комиссия не нашла достаточных оснований к принятию в отношении общества таких исключительных мер, как секвестр или учреждение администрации.</w:t>
      </w:r>
    </w:p>
    <w:p w14:paraId="10FFD8D6"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Оборудование заводов Ревельского и Таганрогского находится, согласно компетентным отзывам специалистов, в положении вполне благоприятном и оба они в достаточной мере подготовлены к исполнению полученных от морского и артиллерийского ведомств заказов. Испытываемые обществом финансовые затруднения не вызывают ныне со стороны правления общества ходатайства о выдаче каких-либо чрезвычайных воспособлений. Наконец, надлежащий надзор за расходованием получаемых обществом денежных средств может быть обеспечен принятием ряда мер в порядке применения пункта 4 статьи 10 положения об Особом Совещании по обороне государства. В соответствии с изложенными соображениями комиссия полагала бы целесообразным:</w:t>
      </w:r>
    </w:p>
    <w:p w14:paraId="422E47DC"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    применить к Русско-Балтийскому обществу пункт 4 статьи 10 положения об Особом Совещании по обороне государства, причем в дополнение к принятой уже мере (введение в состав правления правительственных директоров) устранять в случае надобности нынешних членов правления с заменою их соответственными лицами;</w:t>
      </w:r>
    </w:p>
    <w:p w14:paraId="04878CA8"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2)    незамедлительно выработать и преподать правительственным директорам инструкцию, определяющую их права и обязанности;</w:t>
      </w:r>
    </w:p>
    <w:p w14:paraId="5F2BB251"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3)    при назначении правительственных директоров иметь в виду нежелательность обременения их, в ущерб делу, другими обязанностями;</w:t>
      </w:r>
    </w:p>
    <w:p w14:paraId="2A64AA7D"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4)    поручить директорам обсудить ходатайство правления об усилении средств предприятия путем выдачи добавочных авансов до 65 % нормы, с тем чтобы их заключение было внесено в Особое Совещание, по рассмотрении в подготовительной комиссии;</w:t>
      </w:r>
    </w:p>
    <w:p w14:paraId="72ED47D0"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    обсудить в установленном для сего порядке ходатайство общества о повышении контрактных цен на морские заказы по соображении с расценкой военного времени;</w:t>
      </w:r>
    </w:p>
    <w:p w14:paraId="13E8DE91"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6)    рассмотреть ходатайство правления о продлении заказов на предметы артиллерийского снабжения в подготовительной комиссии, заключение коей представить на обсуждение Особого Совещания.</w:t>
      </w:r>
    </w:p>
    <w:p w14:paraId="67AF18A5"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При последовавшем обсуждении доклада комиссии помощник морского министра Адмирал П. П. Муравьев, указав на то, что Ревельский судостроительный завод Русско-Балтийского общества прекрасно оборудован трудами правления, высказался против применения каких бы то ни было репрессивных мер в отношении правления и полагал возможным ограничиться надлежащим контролем расходования отпускаемых обществу денежных сумм через посредство уже состоящих в правлении правительственных директоров, положение которых должно быть с большой подробностью и точностью определено особой инструкцией. К мнению Адмирала П. П. Муравьева присоединился представитель морского ведомства в правлении Русско-Балтийского общества корабельный инженер полковник Д. Н. Швецов, указавший при этом, что в деятельности своей он не встречал никакого противодействия со стороны выбранных акционерами директоров правления.</w:t>
      </w:r>
    </w:p>
    <w:p w14:paraId="43516615"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Представитель министерства торговли и промышленности коллежский советник Д. С. Старынкевич присоединился к заключениям комиссии, высказав вместе с тем пожелание о безотлагательной замене избранных акционерами директоров правления, в полной мере обнаруживших свою неспособность к руководству финансовой стороны предприятия, — новыми лицами.</w:t>
      </w:r>
    </w:p>
    <w:p w14:paraId="24C5FBF0"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Со своей стороны директор департамента государственного казначейства действительный статский советник П. Н. Кутлер полагал, что единственно правильным решением вопроса явилось бы учреждение администрации по делам Русско-Балтийского общества. Изменение состава правления общества в порядке пункта 4 статьи 10 положения об Особом Совещании по обороне государства является временной мерой, действие которой не будет распространено на пределы периода войны. Между тем настоящее финансовое положение общества таково, что рассчитывать на скорое его улучшение и на покрытие дефицита к моменту окончания войны нет никаких оснований. После войны предприятие снова перейдет в руки акционеров при тех же условиях финансовой несостоятельности и по всей вероятности подвергнется ликвидации. Ввиду сего предлагаемые подготовительной комиссией меры не могут считаться достаточно обеспечивающими интересы казны. Действительной же гарантией продуктивного расходования казенных средств, затрачиваемых на финансирование предприятий Русско-Балтийского общества, надлежит, по мнению П. Н. Кутлера, признать учреждение администрации по делам общества.</w:t>
      </w:r>
    </w:p>
    <w:p w14:paraId="5A5EE487"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До учреждения же администрации возможно в качестве временной меры применить пункт 4 статьи 10 положения об Особом Совещании по обороне государства. К мнению этому присоединился представитель министерства финансов в правлении Русско-Балтийского общества тайный советник И. К. Христофоров, высказавший, что ныне существующая организация правительственного надзора за деятельностью общества не обеспечивает правильности расходования отпускаемых обществу денежных сумм, ибо правительственным директорам, не имеющим распорядительной власти, приходится ограничиваться исключительно формальным контролем.</w:t>
      </w:r>
    </w:p>
    <w:p w14:paraId="0571EDAE"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Напротив того, члены Совещания С. И. Тимашев, А. С. Стишинский и Н. В. Савич высказались против учреждения администрации по делам Русско-Балтийского общества. Администрация, учреждаемая на основании соответствующих статей Устава Торгового Судопроизводства, преследует главным образом интересы владельца предприятия, между тем как правительственные директора, назначаемые на основании положения об Особом Совещании, обязаны действовать исключительно в интересах обороны государства и не ответственны перед собственниками предприятия. Проведение администрации требует весьма значительного времени, в течение коего положение предприятия будет оставаться неопределенным, что может неблагоприятно отразиться на его деятельности. </w:t>
      </w:r>
    </w:p>
    <w:p w14:paraId="7EB7EF7E"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Наконец, по рассмотрении баланса предприятия суд может и отказать в учреждении администрации по делам общества. С другой стороны, применение пункта 4 статьи 10 положения об Особом Совещании по обороне государства даст возможность создать правительственное большинство в правлении Русско-Балтийского общества и, таким образом, вполне обеспечит интересы государственной обороны.</w:t>
      </w:r>
    </w:p>
    <w:p w14:paraId="716BB952"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По обмене мнениями большинство Совещания одобрило заключения подготовительной комиссии. Директором департамента государственного казначейства действительным статским советником П. Н. Кутлером было подано особое по сему вопросу мнение.</w:t>
      </w:r>
    </w:p>
    <w:p w14:paraId="4CB16511"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 связи с обсуждением доклада комиссии членом Государственного Совета С. И. Тимашевым и членом Государственной Думы Д. Н. Чихачевым было высказано пожелание о сообщении прокурорскому надзору, дополнительно к ранее переданным данным о получении г. Овчаровым непомерного комиссионного вознаграждения </w:t>
      </w:r>
      <w:r w:rsidRPr="002F2FDF">
        <w:rPr>
          <w:rFonts w:ascii="Times New Roman" w:hAnsi="Times New Roman" w:cs="Times New Roman"/>
          <w:color w:val="000000" w:themeColor="text1"/>
          <w:sz w:val="16"/>
          <w:szCs w:val="16"/>
        </w:rPr>
        <w:lastRenderedPageBreak/>
        <w:t>от акционерного общества Северо-Западных металлургических, механических и судостроительных заводов б. «Беккер и К0», имеющихся сведений о получении названным лицом такового же вознаграждения от Русско-Балтийского судостроительного и механического акционерного общества. Совещание присоединилось к этому пожеланию.</w:t>
      </w:r>
    </w:p>
    <w:p w14:paraId="4C7F14C4"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Засим Совещанием были заслушаны и одобрены доклады подготовительной комиссии по артиллерийским вопросам: а) о приобретении в Америке главным артиллерийским управлением 3000 пулеметов Кольта под русский патрон и б) о сообщении Председателю Совета Министров, министру земледелия и начальнику штаба Верховного Главнокомандующего сведений о месячной потребности уральских заводов в продовольствии и фураже.</w:t>
      </w:r>
    </w:p>
    <w:p w14:paraId="424C8A01"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Далее Совещание заслушало и одобрило доклады подготовительной комиссии по общим вопросам: а) о выдаче главному по снабжению армии комитету Всероссийских земского и городского союзов, по нарядам главного интендантского управления на изготовление предметов обозного довольствия и конского снаряжения, 75 % аванса на общую сумму 1 474 976 рублей 25 коп. и б) о выдаче центральному военно-промышленному комитету, по наряду главного интендантского управления на изготовление 1 200 000 касок французского образца из лопаточной стали, 75 % аванса в размере 3 870 000 рублей.</w:t>
      </w:r>
    </w:p>
    <w:p w14:paraId="0D572A4C"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Равным образом был одобрен Совещанием доклад подготовительной комиссии </w:t>
      </w:r>
      <w:r w:rsidRPr="002F2FDF">
        <w:rPr>
          <w:rFonts w:ascii="Times New Roman" w:hAnsi="Times New Roman" w:cs="Times New Roman"/>
          <w:color w:val="000000" w:themeColor="text1"/>
          <w:sz w:val="16"/>
          <w:szCs w:val="16"/>
          <w:highlight w:val="yellow"/>
        </w:rPr>
        <w:t>по авиационным вопросам</w:t>
      </w:r>
      <w:r w:rsidRPr="002F2FDF">
        <w:rPr>
          <w:rFonts w:ascii="Times New Roman" w:hAnsi="Times New Roman" w:cs="Times New Roman"/>
          <w:color w:val="000000" w:themeColor="text1"/>
          <w:sz w:val="16"/>
          <w:szCs w:val="16"/>
        </w:rPr>
        <w:t xml:space="preserve"> о выдаче Петроградскому политехническому институту имени Императора Петра I, по заказу управления военного воздушного флота на 600 штук магнето, дополнительного к ранее выданному аванса в размере 42 000 рублей.</w:t>
      </w:r>
    </w:p>
    <w:p w14:paraId="63FE6898"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 заключение член Государственной Думы А. И. Шингарев доложил Совещанию, что, согласно полученным им сведениям, минирование Западной Двины до сих пор еще не закончено, между тем как в прошлом году в это же самое время река была уже минирована. По поводу этого заявления начальник главного военно-технического управления генерал-лейтенант Г. Г. Милеант указал, что названное управление своевременно запросило Северный фронт относительно необходимого для минирования Двины количества подводных фугасов. В сентябре текущего года главный начальник снабжений Северного фронта уведомил, что морское ведомство обещало доставить 9000 фугасов из Кронштадтского порта.</w:t>
      </w:r>
    </w:p>
    <w:p w14:paraId="31FF77E5"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Однако в ноябре месяце морское ведомство отказалось предоставить Северному фронту указанное количество фугасов. Ввиду сего главное военно-техническое управление приступило к спешной заготовке подводных фугасов и рассчитывает закончить ее к началу января 1917 г.</w:t>
      </w:r>
    </w:p>
    <w:p w14:paraId="30A75C84"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Со своей стороны начальник главного управления кораблестроения Вице-адмирал В. К. Гире обещал, по выяснении обстоятельств данного дела, представить Совещанию соответствующую справку.</w:t>
      </w:r>
    </w:p>
    <w:p w14:paraId="1F950301"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Подлинное за надлежащими подписями.</w:t>
      </w:r>
    </w:p>
    <w:p w14:paraId="32A1090B"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66E4B001"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    Утвердить доклады подготовительной комиссии но общим вопросам:</w:t>
      </w:r>
    </w:p>
    <w:p w14:paraId="6E40FB5D"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а)    о выдаче главному по снабжению армии комитету Всероссийских земского и городского союзов, по нарядам главного интендантского управления на изготовление предметов обозного довольствия и конского снаряжения, 75 % аванса на общую сумму один миллион четыреста семьдесят четыре тысячи девятьсот семьдесят шесть (1 474 976) руб. 25 коп.;</w:t>
      </w:r>
    </w:p>
    <w:p w14:paraId="4DF8194B"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б)    о выдаче центральному военно-промышленному комитету, по наряду главного интендантского управления на изготовление 1 200 000 касок французского образца из лопаточной стали, 75 % аванса в размере трех миллионов восьмисот семидесяти тысяч (3 870 000) руб.</w:t>
      </w:r>
    </w:p>
    <w:p w14:paraId="41EF2B7C"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2.    Утвердить доклад подготовительной комиссии по авиационным вопросам о выдаче Петроградскому политехническому институту имени Императора Петра I, по заказу управления военного воздушного флота на 600 штук магнето, дополнительного к ранее выданному аванса в размере сорока двух тысяч (42 000 рублей).</w:t>
      </w:r>
    </w:p>
    <w:p w14:paraId="0F641AB4"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3.    Утвердить доклады подготовительной комиссии по артиллерийским вопросам:</w:t>
      </w:r>
    </w:p>
    <w:p w14:paraId="0E611906"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а)    о приобретении в Америке главным артиллерийским управлением 3000 пулеметов Кольта под русский патрон;</w:t>
      </w:r>
    </w:p>
    <w:p w14:paraId="3E09C668"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б)    о сообщении Председателю Совета Министров министру земледелия и начальнику штаба Верховного Главнокомандующего сведений о месячной потребности Уральских заводов в продовольствии и фураже.</w:t>
      </w:r>
    </w:p>
    <w:p w14:paraId="180D6BB6"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4.    Утвердить заключение той же комиссии по делу о дальнейшей деятельности Русско-Балтийского судостроительного и механического акционерного общества.</w:t>
      </w:r>
    </w:p>
    <w:p w14:paraId="55E9D61F"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5.    Сообщить прокурорскому надзору, дополнительно к ранее переданным данным о получении г. Овчаровым незаконного комиссионного вознаграждения от акционерного общества Северо-Западных металлургических, механических и судостроительных заводов б. «Беккер и К0», сведения о получении названным лицом такового же вознаграждения от Русско-Балтийского судостроительного и механического акционерного общества.</w:t>
      </w:r>
    </w:p>
    <w:p w14:paraId="06C8352A"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Сверял: делопроизводитель</w:t>
      </w:r>
    </w:p>
    <w:p w14:paraId="49AC2DD3"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коллежский секретарь М. Карпович.</w:t>
      </w:r>
    </w:p>
    <w:p w14:paraId="6D66DFE0"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Верно: за делопроизводителя</w:t>
      </w:r>
    </w:p>
    <w:p w14:paraId="1EA7879E"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Копия.</w:t>
      </w:r>
    </w:p>
    <w:p w14:paraId="1C0A79F7"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Приложение</w:t>
      </w:r>
    </w:p>
    <w:p w14:paraId="58F5A9BB"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ОСОБОЕ МНЕНИЕ</w:t>
      </w:r>
    </w:p>
    <w:p w14:paraId="637D6331"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представителя министерства финансов действительного статского советника П. Н. Кутлера.</w:t>
      </w:r>
    </w:p>
    <w:p w14:paraId="5C533D18"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Особое Совещание одобрило заключение подготовительной комиссии, которая, рассмотрев вопрос о положении дел общества Русско-Балтийского судостроительного и механического заводов, признало достаточным ограничиться назначением, по п. 4 ст. 10 положения об Особом Совещании, членов правления от правительства, с расширением их прав и обязанностей, не обращаясь к учреждению администрации по делам этого общества.</w:t>
      </w:r>
    </w:p>
    <w:p w14:paraId="005BA9F3"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Такое решение Особого Совещания я не могу признать правильным по следующим соображениям.</w:t>
      </w:r>
    </w:p>
    <w:p w14:paraId="579375CA"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Коль скоро Ру сско-Балтийское общество при складочном капитале в 15 милл. рублей имеет, как это признает комиссия, дефицит свыше 26 милл. руб., то это свидетельствует о таком органическом расстройстве предприятия, которое отнюдь не может быть исправлено ни усилением контроля со стороны правительства, ни предоставлением назначенным членам правления прав в распоряжении делами. Тем менее такие меры окажутся полезными при временном их характере, обусловленном тем, что с окончанием войны полномочия Особого Совещания по обороне прекратятся и назначенные им члены правления должны будут уйти. Между тем, по выводам той же комиссии, названное общество на выполнении всех принятых им заказов военного и морского министерств может получить чистой прибыли в лучшем случае не более 7 миллионов рублей, откуда следует, что даже при наблюдающемся ныне напряженном темпе операций этих заводов, для покрытия дефицита в 26 милл. руб. потребуется продолжительное время, которое, несомненно, перейдет за пределы периода войны. Поэтому нельзя не опасаться, что с окончанием войны общество, предоставленное своим силам, немедленно прекратит платежи и впадет в банкротство.</w:t>
      </w:r>
    </w:p>
    <w:p w14:paraId="4F1AAE29"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При таких перспективах для государственного казначейства представляется неосмотрительным рисковать дальнейшим кредитованием общества без принятия мер, гарантирующих прочность помещения требующихся для упрочения дел этого предприятия громадных средств.</w:t>
      </w:r>
    </w:p>
    <w:p w14:paraId="4D9832B6"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Единственным действительным путем в этом направлении является скорейшее учреждение администрации, которая, обеспечивая за правительством, как главным кредитором, распоряжение предприятием на правах хозяина на всю потребную продолжительность времени, не связанную с окончанием войны, уже сейчас же восстановит кредитоспособность предприятия, а в дальнейшем гарантирует правильное и бережливое использование кредитуемых средств.</w:t>
      </w:r>
    </w:p>
    <w:p w14:paraId="62DE4575"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Сделанные в подготовительной комиссии и в Особом Совещании возражения против учреждения администрации по делам Русско-Балтийского общества сводились к тому, что на осуществление этой меры потребуется много времени и что проведение ее по инстанциям представит известные затруднения с риском неуспеха. Но первое возражение не имеет значения, коль скоро впредь до учреждения администрации будет действовать, как это и предлагала комиссия сенатора Николаенко, та самая мера изменения состава правления, которой подготовительная комиссия решила ограничиться; необходимость же известного времени для осуществления администрации указывает лишь на неотлагательность решения этого вопроса. </w:t>
      </w:r>
    </w:p>
    <w:p w14:paraId="041B9570"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Что же касается возможных затруднений в исполнении последнего решения, то эта сторона дела, принимаемая на себя министерством финансов, не должна бы озабочивать Особое Совещание.</w:t>
      </w:r>
    </w:p>
    <w:p w14:paraId="3140ADCC"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Подписал: директор департамента государственного казначейства Я. Кутлер.</w:t>
      </w:r>
    </w:p>
    <w:p w14:paraId="19584939"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Верно: за делопроизводителя коллежский секретарь М. Карпович (21129).</w:t>
      </w:r>
    </w:p>
    <w:p w14:paraId="6AFDC893"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p>
    <w:p w14:paraId="672CE02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3F9F09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4B10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декабря 1917 в помещении Морского манежа Адмиралтейства с публичным отчетом выступили народный комиссар по военным делам и верховный главнокомандующий Н. В. Крыленко, который заявил, что Народный комиссариат по военным делам поставил задачу реорганизовать фронт и создать корпуса Народной гвардии из испытанных революционеров, готовых добровольно с оружием в руках защищать социалистическую революцию (4216).</w:t>
      </w:r>
    </w:p>
    <w:p w14:paraId="01BC19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38CAE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25CC48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0AEA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декабря 1917 В.И.Л. из сотрясаемой революцией России пишет Инессе Арманд в Цюрих: "Дорогой друг!... Ходите ли на лыжах? Непременно советую: архиполезно" (3481).</w:t>
      </w:r>
    </w:p>
    <w:p w14:paraId="22D902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393010" w14:textId="77777777" w:rsidR="008B3C13" w:rsidRPr="002F2FDF" w:rsidRDefault="008B3C13" w:rsidP="0083075A">
      <w:pPr>
        <w:pStyle w:val="ae"/>
        <w:spacing w:before="0" w:after="0"/>
        <w:jc w:val="both"/>
        <w:rPr>
          <w:color w:val="000000" w:themeColor="text1"/>
          <w:kern w:val="2"/>
          <w:sz w:val="16"/>
          <w:szCs w:val="16"/>
        </w:rPr>
      </w:pPr>
      <w:r w:rsidRPr="002F2FDF">
        <w:rPr>
          <w:color w:val="000000" w:themeColor="text1"/>
          <w:kern w:val="2"/>
          <w:sz w:val="16"/>
          <w:szCs w:val="16"/>
        </w:rPr>
        <w:lastRenderedPageBreak/>
        <w:t>17 (30) декабря 1917 на фоне масштабных разрушений и пожаров в городе стороны заключили перемирие, договорившись, что власть в Иркутской губернии передается губернскому Совету из представителей Советов, городской думы, земства и профсоюзов. Противники обязались не преследовать друг друга. На тот момент число погибших с обеих сторон достигло уже почти 300, причем истинное число жертв было больше, поскольку часть трупов была унесена Ангарой.</w:t>
      </w:r>
    </w:p>
    <w:p w14:paraId="7EF5C095" w14:textId="77777777" w:rsidR="008B3C13" w:rsidRPr="002F2FDF" w:rsidRDefault="008B3C13" w:rsidP="0083075A">
      <w:pPr>
        <w:pStyle w:val="ae"/>
        <w:spacing w:before="0" w:after="0"/>
        <w:jc w:val="both"/>
        <w:rPr>
          <w:color w:val="000000" w:themeColor="text1"/>
          <w:kern w:val="2"/>
          <w:sz w:val="16"/>
          <w:szCs w:val="16"/>
        </w:rPr>
      </w:pPr>
      <w:r w:rsidRPr="002F2FDF">
        <w:rPr>
          <w:color w:val="000000" w:themeColor="text1"/>
          <w:kern w:val="2"/>
          <w:sz w:val="16"/>
          <w:szCs w:val="16"/>
        </w:rPr>
        <w:t>Уже 31 декабря стрельба и грабежи в Иркутске возобновились, из Красноярска прибывали новые отряды красногвардейцев (17045).</w:t>
      </w:r>
    </w:p>
    <w:p w14:paraId="34EA0E30" w14:textId="77777777" w:rsidR="008B3C13" w:rsidRPr="002F2FDF" w:rsidRDefault="008B3C13" w:rsidP="0083075A">
      <w:pPr>
        <w:pStyle w:val="ae"/>
        <w:spacing w:before="0" w:after="0"/>
        <w:jc w:val="both"/>
        <w:rPr>
          <w:color w:val="000000" w:themeColor="text1"/>
          <w:kern w:val="2"/>
          <w:sz w:val="16"/>
          <w:szCs w:val="16"/>
        </w:rPr>
      </w:pPr>
      <w:r w:rsidRPr="002F2FDF">
        <w:rPr>
          <w:color w:val="000000" w:themeColor="text1"/>
          <w:kern w:val="2"/>
          <w:sz w:val="16"/>
          <w:szCs w:val="16"/>
        </w:rPr>
        <w:t>30 декабря на фоне масштабных разрушений и пожаров в городе стороны заключили перемирие, договорившись, что власть в Иркутской губернии передается губернскому Совету из представителей Советов, городской думы, земства и профсоюзов. Противники обязались не преследовать друг друга. На тот момент число погибших с обеих сторон достигло уже почти 300, причем истинное число жертв было больше, поскольку часть трупов была унесена Ангарой.</w:t>
      </w:r>
    </w:p>
    <w:p w14:paraId="122F1D3C" w14:textId="77777777" w:rsidR="008B3C13" w:rsidRPr="002F2FDF" w:rsidRDefault="008B3C13" w:rsidP="0083075A">
      <w:pPr>
        <w:pStyle w:val="ae"/>
        <w:spacing w:before="0" w:after="0"/>
        <w:jc w:val="both"/>
        <w:rPr>
          <w:color w:val="000000" w:themeColor="text1"/>
          <w:kern w:val="2"/>
          <w:sz w:val="16"/>
          <w:szCs w:val="16"/>
        </w:rPr>
      </w:pPr>
      <w:r w:rsidRPr="002F2FDF">
        <w:rPr>
          <w:color w:val="000000" w:themeColor="text1"/>
          <w:kern w:val="2"/>
          <w:sz w:val="16"/>
          <w:szCs w:val="16"/>
        </w:rPr>
        <w:t>Уже 31 декабря стрельба и грабежи в Иркутске возобновились, из Красноярска прибывали новые отряды красногвардейцев (17045).</w:t>
      </w:r>
    </w:p>
    <w:p w14:paraId="34813973" w14:textId="77777777" w:rsidR="008B3C13" w:rsidRPr="002F2FDF" w:rsidRDefault="008B3C1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85C286" w14:textId="77777777" w:rsidR="008B3C13" w:rsidRPr="002F2FDF" w:rsidRDefault="008B3C1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846F0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декабря 1917 в Харькове избрано первое советское правительство Украины (4962).</w:t>
      </w:r>
    </w:p>
    <w:p w14:paraId="7DA49CB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1DCAC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декабря 1917 образована Украинская партия социалистов-самостийников (УПСС) (4962).</w:t>
      </w:r>
    </w:p>
    <w:p w14:paraId="24F96FD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445763" w14:textId="57A19DB2"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8D920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D39A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(30) января 1918 в ночь 31 самолет "Гота" отправился на бомбардировку Парижа; сброшено 267 бомб; 259 человек пострадало (11999).</w:t>
      </w:r>
    </w:p>
    <w:p w14:paraId="4CE18F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E97CB6" w14:textId="77777777" w:rsidR="00765CAE" w:rsidRDefault="00765CAE"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Авиапромышленность:</w:t>
      </w:r>
    </w:p>
    <w:p w14:paraId="60623878" w14:textId="77777777" w:rsidR="00765CAE" w:rsidRDefault="00765CAE"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31D3214" w14:textId="7AB92E18" w:rsidR="00765CAE" w:rsidRPr="00FB4F67" w:rsidRDefault="00765CAE"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18 (</w:t>
      </w:r>
      <w:r w:rsidRPr="00FB4F67">
        <w:rPr>
          <w:rFonts w:ascii="Times New Roman" w:hAnsi="Times New Roman" w:cs="Times New Roman"/>
          <w:color w:val="0070C0"/>
          <w:sz w:val="16"/>
          <w:szCs w:val="16"/>
        </w:rPr>
        <w:t>31</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декабря 1917 года в Петрограде в результате крупного складского пожара на Гутуевском острове было уничтожено от 343 до 355 авиационных двигателей, в том числе Sunbeams, Renaults и Salmsons, а также множество пулеметов Lewis и Vickers и других авиационных материалов (23525).</w:t>
      </w:r>
    </w:p>
    <w:p w14:paraId="021704FB" w14:textId="77777777" w:rsidR="00765CAE" w:rsidRPr="00FB4F67" w:rsidRDefault="00765CAE" w:rsidP="0083075A">
      <w:pPr>
        <w:spacing w:after="0" w:line="240" w:lineRule="auto"/>
        <w:jc w:val="both"/>
        <w:rPr>
          <w:rFonts w:ascii="Times New Roman" w:hAnsi="Times New Roman" w:cs="Times New Roman"/>
          <w:color w:val="0070C0"/>
          <w:sz w:val="16"/>
          <w:szCs w:val="16"/>
        </w:rPr>
      </w:pPr>
    </w:p>
    <w:p w14:paraId="044FD07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4FDD2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CDF723" w14:textId="09979A53" w:rsidR="00765CAE" w:rsidRPr="00FB4F67" w:rsidRDefault="00765CA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К </w:t>
      </w:r>
      <w:r>
        <w:rPr>
          <w:rFonts w:ascii="Times New Roman" w:hAnsi="Times New Roman" w:cs="Times New Roman"/>
          <w:color w:val="0070C0"/>
          <w:sz w:val="16"/>
          <w:szCs w:val="16"/>
        </w:rPr>
        <w:t>18 (</w:t>
      </w:r>
      <w:r w:rsidRPr="00FB4F67">
        <w:rPr>
          <w:rFonts w:ascii="Times New Roman" w:hAnsi="Times New Roman" w:cs="Times New Roman"/>
          <w:color w:val="0070C0"/>
          <w:sz w:val="16"/>
          <w:szCs w:val="16"/>
        </w:rPr>
        <w:t>31</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декабря 1917 г. за весь ход войны потери Русской Армии составили свыше 643 000 убитых, 2 750 000 раненых, 3 638 000 пленных и пропавших без вести. Потери флота неизвестны (23525).</w:t>
      </w:r>
    </w:p>
    <w:p w14:paraId="0A8ED3C8" w14:textId="77777777" w:rsidR="00765CAE" w:rsidRPr="00FB4F67" w:rsidRDefault="00765CAE" w:rsidP="0083075A">
      <w:pPr>
        <w:spacing w:after="0" w:line="240" w:lineRule="auto"/>
        <w:jc w:val="both"/>
        <w:rPr>
          <w:rFonts w:ascii="Times New Roman" w:hAnsi="Times New Roman" w:cs="Times New Roman"/>
          <w:color w:val="0070C0"/>
          <w:sz w:val="16"/>
          <w:szCs w:val="16"/>
        </w:rPr>
      </w:pPr>
    </w:p>
    <w:p w14:paraId="1893A7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декабря 1917 Управление морской авиации приказом РВС преобразовали в авиационный отдел морского ведомства. 19 декабря (1 января) приказ утвердил В.И.Л. (66,15).</w:t>
      </w:r>
    </w:p>
    <w:p w14:paraId="739DE0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ADF737" w14:textId="56049655" w:rsidR="001E7FC5" w:rsidRPr="002F2FDF" w:rsidRDefault="001E7FC5" w:rsidP="0083075A">
      <w:pPr>
        <w:pStyle w:val="p1"/>
        <w:spacing w:before="0" w:beforeAutospacing="0" w:after="0" w:afterAutospacing="0"/>
        <w:jc w:val="both"/>
        <w:rPr>
          <w:color w:val="000000" w:themeColor="text1"/>
          <w:sz w:val="16"/>
          <w:szCs w:val="16"/>
        </w:rPr>
      </w:pPr>
      <w:r w:rsidRPr="002F2FDF">
        <w:rPr>
          <w:color w:val="000000" w:themeColor="text1"/>
          <w:sz w:val="16"/>
          <w:szCs w:val="16"/>
        </w:rPr>
        <w:t>18 (31) декабря 1917 года СНК принял ленинский проект резолюции, которая, в том числе, предусматривала</w:t>
      </w:r>
      <w:r w:rsidR="00E52569">
        <w:rPr>
          <w:color w:val="000000" w:themeColor="text1"/>
          <w:sz w:val="16"/>
          <w:szCs w:val="16"/>
        </w:rPr>
        <w:t xml:space="preserve"> </w:t>
      </w:r>
      <w:r w:rsidRPr="002F2FDF">
        <w:rPr>
          <w:rStyle w:val="af0"/>
          <w:rFonts w:eastAsiaTheme="majorEastAsia"/>
          <w:i w:val="0"/>
          <w:color w:val="000000" w:themeColor="text1"/>
          <w:sz w:val="16"/>
          <w:szCs w:val="16"/>
        </w:rPr>
        <w:t>«усиленные меры по реорганизации армии при сокращении её состава и усилении обороноспособности»</w:t>
      </w:r>
      <w:r w:rsidRPr="002F2FDF">
        <w:rPr>
          <w:color w:val="000000" w:themeColor="text1"/>
          <w:sz w:val="16"/>
          <w:szCs w:val="16"/>
        </w:rPr>
        <w:t>[239] (18385).</w:t>
      </w:r>
    </w:p>
    <w:p w14:paraId="4EF1BCF1" w14:textId="77777777" w:rsidR="001E7FC5" w:rsidRPr="002F2FDF" w:rsidRDefault="001E7FC5" w:rsidP="0083075A">
      <w:pPr>
        <w:pStyle w:val="p1"/>
        <w:spacing w:before="0" w:beforeAutospacing="0" w:after="0" w:afterAutospacing="0"/>
        <w:jc w:val="both"/>
        <w:rPr>
          <w:color w:val="000000" w:themeColor="text1"/>
          <w:sz w:val="16"/>
          <w:szCs w:val="16"/>
        </w:rPr>
      </w:pPr>
    </w:p>
    <w:p w14:paraId="2AEA39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декабря 1917 части Саблина вошли в Харьков (2239).</w:t>
      </w:r>
    </w:p>
    <w:p w14:paraId="76B555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A4EE7F" w14:textId="77777777" w:rsidR="006970C8" w:rsidRPr="002F2FDF" w:rsidRDefault="006970C8" w:rsidP="0083075A">
      <w:pPr>
        <w:pStyle w:val="a3"/>
        <w:rPr>
          <w:color w:val="000000" w:themeColor="text1"/>
          <w:kern w:val="2"/>
          <w:lang w:val="ru-RU"/>
        </w:rPr>
      </w:pPr>
      <w:r w:rsidRPr="002F2FDF">
        <w:rPr>
          <w:color w:val="000000" w:themeColor="text1"/>
          <w:kern w:val="2"/>
          <w:lang w:val="ru-RU"/>
        </w:rPr>
        <w:t>С 19 (31) декабря 1917 г. по 5 января 1918 г. прошел Всероссийский съезд шофер</w:t>
      </w:r>
      <w:r w:rsidRPr="002F2FDF">
        <w:rPr>
          <w:color w:val="000000" w:themeColor="text1"/>
          <w:kern w:val="2"/>
          <w:lang w:val="ru-RU"/>
        </w:rPr>
        <w:softHyphen/>
      </w:r>
      <w:r w:rsidRPr="002F2FDF">
        <w:rPr>
          <w:rStyle w:val="480"/>
          <w:rFonts w:ascii="Times New Roman" w:hAnsi="Times New Roman" w:cs="Times New Roman"/>
          <w:b w:val="0"/>
          <w:color w:val="000000" w:themeColor="text1"/>
          <w:kern w:val="2"/>
          <w:sz w:val="16"/>
          <w:szCs w:val="16"/>
          <w:lang w:val="ru-RU"/>
        </w:rPr>
        <w:t>ских</w:t>
      </w:r>
      <w:r w:rsidRPr="002F2FDF">
        <w:rPr>
          <w:color w:val="000000" w:themeColor="text1"/>
          <w:kern w:val="2"/>
          <w:lang w:val="ru-RU"/>
        </w:rPr>
        <w:t xml:space="preserve"> союзов и автомобильных частей фронта и тыла, на котороим был образован Все</w:t>
      </w:r>
      <w:r w:rsidRPr="002F2FDF">
        <w:rPr>
          <w:color w:val="000000" w:themeColor="text1"/>
          <w:kern w:val="2"/>
          <w:lang w:val="ru-RU"/>
        </w:rPr>
        <w:softHyphen/>
        <w:t>российский союз шоферов и автотехников и избран Центральный совет. На съезде была выдвинута идея об объединении всех транспортных ра</w:t>
      </w:r>
      <w:r w:rsidRPr="002F2FDF">
        <w:rPr>
          <w:color w:val="000000" w:themeColor="text1"/>
          <w:kern w:val="2"/>
          <w:lang w:val="ru-RU"/>
        </w:rPr>
        <w:softHyphen/>
        <w:t>бочих в единый профессиональный союз, что и было сделано в период с 12 по 18 сентября 1919 г. на Всероссийском съезде транспортных ра</w:t>
      </w:r>
      <w:r w:rsidRPr="002F2FDF">
        <w:rPr>
          <w:color w:val="000000" w:themeColor="text1"/>
          <w:kern w:val="2"/>
          <w:lang w:val="ru-RU"/>
        </w:rPr>
        <w:softHyphen/>
        <w:t xml:space="preserve">бочих, когда образовали ВПСТР. Под эгидой ВПСТР в 1922 г. в Москве </w:t>
      </w:r>
      <w:r w:rsidRPr="002F2FDF">
        <w:rPr>
          <w:rStyle w:val="480"/>
          <w:rFonts w:ascii="Times New Roman" w:hAnsi="Times New Roman" w:cs="Times New Roman"/>
          <w:b w:val="0"/>
          <w:color w:val="000000" w:themeColor="text1"/>
          <w:kern w:val="2"/>
          <w:sz w:val="16"/>
          <w:szCs w:val="16"/>
          <w:lang w:val="ru-RU"/>
        </w:rPr>
        <w:t>и</w:t>
      </w:r>
      <w:r w:rsidRPr="002F2FDF">
        <w:rPr>
          <w:color w:val="000000" w:themeColor="text1"/>
          <w:kern w:val="2"/>
          <w:lang w:val="ru-RU"/>
        </w:rPr>
        <w:t xml:space="preserve"> Петрограде открыли автомотоклубы. Московский автомотоклуб стал издавать журнал «Вестник Мосавтоклуба», переименованный позднее в «Автомобильный вестник», а в 1923 г. - в журнал «Мотор» (15741).</w:t>
      </w:r>
    </w:p>
    <w:p w14:paraId="435E4266" w14:textId="77777777" w:rsidR="006970C8" w:rsidRPr="002F2FDF" w:rsidRDefault="006970C8" w:rsidP="0083075A">
      <w:pPr>
        <w:pStyle w:val="a3"/>
        <w:rPr>
          <w:color w:val="000000" w:themeColor="text1"/>
          <w:kern w:val="2"/>
          <w:lang w:val="ru-RU"/>
        </w:rPr>
      </w:pPr>
    </w:p>
    <w:p w14:paraId="122608B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82A11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F409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декабря 1917 был принят декрет о гражданском браке: "...Церковный брак, наряду с обязательным гражданским, является частным делом брачующихся..." (3481), о детях, о ведении книг актов гражданского состояния и о расторжении брака (3908,273) - есть данные, что 4 (17) декабря</w:t>
      </w:r>
    </w:p>
    <w:p w14:paraId="0D0D6D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2FBA65" w14:textId="77777777" w:rsidR="000214FC" w:rsidRPr="002F2FDF" w:rsidRDefault="000214FC" w:rsidP="0083075A">
      <w:pPr>
        <w:pStyle w:val="ae"/>
        <w:spacing w:before="0" w:after="0"/>
        <w:jc w:val="both"/>
        <w:rPr>
          <w:color w:val="000000" w:themeColor="text1"/>
          <w:kern w:val="2"/>
          <w:sz w:val="16"/>
          <w:szCs w:val="16"/>
        </w:rPr>
      </w:pPr>
      <w:r w:rsidRPr="002F2FDF">
        <w:rPr>
          <w:color w:val="000000" w:themeColor="text1"/>
          <w:kern w:val="2"/>
          <w:sz w:val="16"/>
          <w:szCs w:val="16"/>
        </w:rPr>
        <w:t>18 (31) декабря 1917 в Новочеркасске был создан так называемый Донской гражданский совет, который возглавили три генерала — донской казачий атаман Алексей Каледин и два бывший главнокомандующих русской армии Михаил Алексеев и Лавр Корнилов. Донской совет претендовал на руководство формирующимся белым движением по всей территории бывшей Российской империи. С ним вступили в контакт страны Антанты, прислав в Новочеркасск своих представителей. К концу декабря формируемая Алексеевым и Корниловым антибольшевистская «Алексеевская организация» — предтеча будущей «Добровольческой армии» — насчитывала уже 3000 добровольцев (17045).</w:t>
      </w:r>
    </w:p>
    <w:p w14:paraId="5D0E932D" w14:textId="77777777" w:rsidR="000214FC" w:rsidRPr="002F2FDF" w:rsidRDefault="000214F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31011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5A0282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A4069E" w14:textId="77777777" w:rsidR="006534B6" w:rsidRPr="005D7D69" w:rsidRDefault="006534B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w:t>
      </w:r>
      <w:r w:rsidRPr="005D7D69">
        <w:rPr>
          <w:rFonts w:ascii="Times New Roman" w:hAnsi="Times New Roman" w:cs="Times New Roman"/>
          <w:color w:val="0070C0"/>
          <w:sz w:val="16"/>
          <w:szCs w:val="16"/>
        </w:rPr>
        <w:t xml:space="preserve">8 </w:t>
      </w:r>
      <w:r>
        <w:rPr>
          <w:rFonts w:ascii="Times New Roman" w:hAnsi="Times New Roman" w:cs="Times New Roman"/>
          <w:color w:val="0070C0"/>
          <w:sz w:val="16"/>
          <w:szCs w:val="16"/>
        </w:rPr>
        <w:t xml:space="preserve">(31) </w:t>
      </w:r>
      <w:r w:rsidRPr="005D7D69">
        <w:rPr>
          <w:rFonts w:ascii="Times New Roman" w:hAnsi="Times New Roman" w:cs="Times New Roman"/>
          <w:color w:val="0070C0"/>
          <w:sz w:val="16"/>
          <w:szCs w:val="16"/>
        </w:rPr>
        <w:t>д</w:t>
      </w:r>
      <w:r>
        <w:rPr>
          <w:rFonts w:ascii="Times New Roman" w:hAnsi="Times New Roman" w:cs="Times New Roman"/>
          <w:color w:val="0070C0"/>
          <w:sz w:val="16"/>
          <w:szCs w:val="16"/>
        </w:rPr>
        <w:t xml:space="preserve">екабря 1917 г. </w:t>
      </w:r>
      <w:r w:rsidRPr="005D7D69">
        <w:rPr>
          <w:rFonts w:ascii="Times New Roman" w:hAnsi="Times New Roman" w:cs="Times New Roman"/>
          <w:color w:val="0070C0"/>
          <w:sz w:val="16"/>
          <w:szCs w:val="16"/>
        </w:rPr>
        <w:t xml:space="preserve">Председатель Совнаркома В.И.Ленин при обсуждении в </w:t>
      </w:r>
      <w:r>
        <w:rPr>
          <w:rFonts w:ascii="Times New Roman" w:hAnsi="Times New Roman" w:cs="Times New Roman"/>
          <w:color w:val="0070C0"/>
          <w:sz w:val="16"/>
          <w:szCs w:val="16"/>
        </w:rPr>
        <w:t>СНК</w:t>
      </w:r>
      <w:r w:rsidRPr="005D7D69">
        <w:rPr>
          <w:rFonts w:ascii="Times New Roman" w:hAnsi="Times New Roman" w:cs="Times New Roman"/>
          <w:color w:val="0070C0"/>
          <w:sz w:val="16"/>
          <w:szCs w:val="16"/>
        </w:rPr>
        <w:t xml:space="preserve"> мероприятий против анн</w:t>
      </w:r>
      <w:r>
        <w:rPr>
          <w:rFonts w:ascii="Times New Roman" w:hAnsi="Times New Roman" w:cs="Times New Roman"/>
          <w:color w:val="0070C0"/>
          <w:sz w:val="16"/>
          <w:szCs w:val="16"/>
        </w:rPr>
        <w:t>е</w:t>
      </w:r>
      <w:r w:rsidRPr="005D7D69">
        <w:rPr>
          <w:rFonts w:ascii="Times New Roman" w:hAnsi="Times New Roman" w:cs="Times New Roman"/>
          <w:color w:val="0070C0"/>
          <w:sz w:val="16"/>
          <w:szCs w:val="16"/>
        </w:rPr>
        <w:t>ксионизма немцев вне</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 предложение:</w:t>
      </w:r>
    </w:p>
    <w:p w14:paraId="5B9EAA99" w14:textId="77777777" w:rsidR="006534B6" w:rsidRPr="005D7D69" w:rsidRDefault="006534B6"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1.</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Усиленная агитация против анне</w:t>
      </w:r>
      <w:r>
        <w:rPr>
          <w:rFonts w:ascii="Times New Roman" w:hAnsi="Times New Roman" w:cs="Times New Roman"/>
          <w:color w:val="0070C0"/>
          <w:sz w:val="16"/>
          <w:szCs w:val="16"/>
        </w:rPr>
        <w:t>к</w:t>
      </w:r>
      <w:r w:rsidRPr="005D7D69">
        <w:rPr>
          <w:rFonts w:ascii="Times New Roman" w:hAnsi="Times New Roman" w:cs="Times New Roman"/>
          <w:color w:val="0070C0"/>
          <w:sz w:val="16"/>
          <w:szCs w:val="16"/>
        </w:rPr>
        <w:t>сионизма немцев.</w:t>
      </w:r>
    </w:p>
    <w:p w14:paraId="71038932" w14:textId="77777777" w:rsidR="006534B6" w:rsidRPr="005D7D69" w:rsidRDefault="006534B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Аэропла</w:t>
      </w:r>
      <w:r>
        <w:rPr>
          <w:rFonts w:ascii="Times New Roman" w:hAnsi="Times New Roman" w:cs="Times New Roman"/>
          <w:color w:val="0070C0"/>
          <w:sz w:val="16"/>
          <w:szCs w:val="16"/>
        </w:rPr>
        <w:t>ны</w:t>
      </w:r>
      <w:r w:rsidRPr="005D7D69">
        <w:rPr>
          <w:rFonts w:ascii="Times New Roman" w:hAnsi="Times New Roman" w:cs="Times New Roman"/>
          <w:color w:val="0070C0"/>
          <w:sz w:val="16"/>
          <w:szCs w:val="16"/>
        </w:rPr>
        <w:t xml:space="preserve"> через всю Германию.</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Ассигнование добавочных средств </w:t>
      </w:r>
      <w:r>
        <w:rPr>
          <w:rFonts w:ascii="Times New Roman" w:hAnsi="Times New Roman" w:cs="Times New Roman"/>
          <w:color w:val="0070C0"/>
          <w:sz w:val="16"/>
          <w:szCs w:val="16"/>
        </w:rPr>
        <w:t>н</w:t>
      </w:r>
      <w:r w:rsidRPr="005D7D69">
        <w:rPr>
          <w:rFonts w:ascii="Times New Roman" w:hAnsi="Times New Roman" w:cs="Times New Roman"/>
          <w:color w:val="0070C0"/>
          <w:sz w:val="16"/>
          <w:szCs w:val="16"/>
        </w:rPr>
        <w:t xml:space="preserve">а </w:t>
      </w:r>
      <w:r>
        <w:rPr>
          <w:rFonts w:ascii="Times New Roman" w:hAnsi="Times New Roman" w:cs="Times New Roman"/>
          <w:color w:val="0070C0"/>
          <w:sz w:val="16"/>
          <w:szCs w:val="16"/>
        </w:rPr>
        <w:t>э</w:t>
      </w:r>
      <w:r w:rsidRPr="005D7D69">
        <w:rPr>
          <w:rFonts w:ascii="Times New Roman" w:hAnsi="Times New Roman" w:cs="Times New Roman"/>
          <w:color w:val="0070C0"/>
          <w:sz w:val="16"/>
          <w:szCs w:val="16"/>
        </w:rPr>
        <w:t>ту o</w:t>
      </w:r>
      <w:r>
        <w:rPr>
          <w:rFonts w:ascii="Times New Roman" w:hAnsi="Times New Roman" w:cs="Times New Roman"/>
          <w:color w:val="0070C0"/>
          <w:sz w:val="16"/>
          <w:szCs w:val="16"/>
        </w:rPr>
        <w:t>перацию.</w:t>
      </w:r>
    </w:p>
    <w:p w14:paraId="2FB3264C" w14:textId="77777777" w:rsidR="006534B6" w:rsidRPr="005D7D69" w:rsidRDefault="006534B6"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3. </w:t>
      </w:r>
      <w:r w:rsidRPr="005D7D69">
        <w:rPr>
          <w:rFonts w:ascii="Times New Roman" w:hAnsi="Times New Roman" w:cs="Times New Roman"/>
          <w:color w:val="0070C0"/>
          <w:sz w:val="16"/>
          <w:szCs w:val="16"/>
        </w:rPr>
        <w:t xml:space="preserve">Пропаганда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агитация за необходимость революционной войны.</w:t>
      </w:r>
    </w:p>
    <w:p w14:paraId="06D0F114" w14:textId="77777777" w:rsidR="006534B6" w:rsidRPr="005D7D69" w:rsidRDefault="006534B6"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Л.Троцкий сделал на обороте проекта приписку:</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"Здесь не стоит говорить об авропланах</w:t>
      </w:r>
      <w:r>
        <w:rPr>
          <w:rFonts w:ascii="Times New Roman" w:hAnsi="Times New Roman" w:cs="Times New Roman"/>
          <w:color w:val="0070C0"/>
          <w:sz w:val="16"/>
          <w:szCs w:val="16"/>
        </w:rPr>
        <w:t>: 1</w:t>
      </w:r>
      <w:r w:rsidRPr="005D7D69">
        <w:rPr>
          <w:rFonts w:ascii="Times New Roman" w:hAnsi="Times New Roman" w:cs="Times New Roman"/>
          <w:color w:val="0070C0"/>
          <w:sz w:val="16"/>
          <w:szCs w:val="16"/>
        </w:rPr>
        <w:t xml:space="preserve">/ </w:t>
      </w:r>
      <w:r>
        <w:rPr>
          <w:rFonts w:ascii="Times New Roman" w:hAnsi="Times New Roman" w:cs="Times New Roman"/>
          <w:color w:val="0070C0"/>
          <w:sz w:val="16"/>
          <w:szCs w:val="16"/>
        </w:rPr>
        <w:t>э</w:t>
      </w:r>
      <w:r w:rsidRPr="005D7D69">
        <w:rPr>
          <w:rFonts w:ascii="Times New Roman" w:hAnsi="Times New Roman" w:cs="Times New Roman"/>
          <w:color w:val="0070C0"/>
          <w:sz w:val="16"/>
          <w:szCs w:val="16"/>
        </w:rPr>
        <w:t>то техника;</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2/ проникнет в печать,</w:t>
      </w:r>
      <w:r>
        <w:rPr>
          <w:rFonts w:ascii="Times New Roman" w:hAnsi="Times New Roman" w:cs="Times New Roman"/>
          <w:color w:val="0070C0"/>
          <w:sz w:val="16"/>
          <w:szCs w:val="16"/>
        </w:rPr>
        <w:t xml:space="preserve"> а</w:t>
      </w:r>
      <w:r w:rsidRPr="005D7D69">
        <w:rPr>
          <w:rFonts w:ascii="Times New Roman" w:hAnsi="Times New Roman" w:cs="Times New Roman"/>
          <w:color w:val="0070C0"/>
          <w:sz w:val="16"/>
          <w:szCs w:val="16"/>
        </w:rPr>
        <w:t xml:space="preserve"> нем</w:t>
      </w:r>
      <w:r w:rsidRPr="005D7D69">
        <w:rPr>
          <w:rFonts w:ascii="Times New Roman" w:hAnsi="Times New Roman" w:cs="Times New Roman"/>
          <w:color w:val="0070C0"/>
          <w:sz w:val="16"/>
          <w:szCs w:val="16"/>
        </w:rPr>
        <w:softHyphen/>
        <w:t>цы примут меры".</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Второй пункт затем был вычеркнут.</w:t>
      </w:r>
    </w:p>
    <w:p w14:paraId="18BD39FA" w14:textId="77777777" w:rsidR="006534B6" w:rsidRDefault="006534B6"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/Ленинский сборник,</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том 34,</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17-18/</w:t>
      </w:r>
      <w:r>
        <w:rPr>
          <w:rFonts w:ascii="Times New Roman" w:hAnsi="Times New Roman" w:cs="Times New Roman"/>
          <w:color w:val="0070C0"/>
          <w:sz w:val="16"/>
          <w:szCs w:val="16"/>
        </w:rPr>
        <w:t xml:space="preserve"> (23370).</w:t>
      </w:r>
    </w:p>
    <w:p w14:paraId="2E65D7A8" w14:textId="77777777" w:rsidR="006534B6" w:rsidRPr="005D7D69" w:rsidRDefault="006534B6" w:rsidP="0083075A">
      <w:pPr>
        <w:spacing w:after="0" w:line="240" w:lineRule="auto"/>
        <w:jc w:val="both"/>
        <w:rPr>
          <w:rFonts w:ascii="Times New Roman" w:hAnsi="Times New Roman" w:cs="Times New Roman"/>
          <w:color w:val="0070C0"/>
          <w:sz w:val="16"/>
          <w:szCs w:val="16"/>
        </w:rPr>
      </w:pPr>
    </w:p>
    <w:p w14:paraId="2D63B0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декабря 1917 Совнарком признал независимость Финляндии (1348,88).</w:t>
      </w:r>
    </w:p>
    <w:p w14:paraId="64838C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B5FD1D"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декабря 1917 Совнарком России объявил о признании независимости Финляндии (4962).</w:t>
      </w:r>
    </w:p>
    <w:p w14:paraId="51BBFD1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E9B7CC" w14:textId="4E210938" w:rsidR="006970C8" w:rsidRPr="002F2FDF" w:rsidRDefault="006970C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(31) декабря 1917 г. Финляндия получила независимость. Военное имущество, в том числе и крупнокалиберные артиллерийские системы оставались в Финляндии. По условиям договора между правительствами России и Финляндии форт «Ино» оставался за Россией в обмен на порт Петсамо (Печенга)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на севере Мурманской области. Причём оговаривалось условие, что в случае нападения на Финляндию третьей стороны форт «Ино» должен оказать</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поддержку финским войскам. Однако из-за начавшегося распада русской армии, к марту 1918 г. форт</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обезлюдел, и как боевая единица перестал существовать (15132).</w:t>
      </w:r>
    </w:p>
    <w:p w14:paraId="283CCF6C" w14:textId="77777777" w:rsidR="006970C8" w:rsidRPr="002F2FDF" w:rsidRDefault="006970C8" w:rsidP="0083075A">
      <w:pPr>
        <w:spacing w:after="0" w:line="240" w:lineRule="auto"/>
        <w:jc w:val="both"/>
        <w:rPr>
          <w:rFonts w:ascii="Times New Roman" w:hAnsi="Times New Roman" w:cs="Times New Roman"/>
          <w:color w:val="000000" w:themeColor="text1"/>
          <w:kern w:val="2"/>
          <w:sz w:val="16"/>
          <w:szCs w:val="16"/>
        </w:rPr>
      </w:pPr>
    </w:p>
    <w:p w14:paraId="3FEE328F" w14:textId="77777777" w:rsidR="001E7FC5" w:rsidRPr="002F2FDF" w:rsidRDefault="001E7FC5" w:rsidP="0083075A">
      <w:pPr>
        <w:pStyle w:val="ae"/>
        <w:spacing w:before="0" w:after="0"/>
        <w:jc w:val="both"/>
        <w:rPr>
          <w:color w:val="000000" w:themeColor="text1"/>
          <w:sz w:val="16"/>
          <w:szCs w:val="16"/>
        </w:rPr>
      </w:pPr>
      <w:r w:rsidRPr="002F2FDF">
        <w:rPr>
          <w:color w:val="000000" w:themeColor="text1"/>
          <w:sz w:val="16"/>
          <w:szCs w:val="16"/>
        </w:rPr>
        <w:t>18 (31) декабря 1917 Ленин подписал «Постановление Совета Народных Комиссаров о признании независимости Финляндской Республики». В постановлении говорилось: "В ответ на обращение Финляндского Правительства о признании независимости Финляндской Республики Совет Народных Комиссаров в полном согласии с принципами права наций на самоопределение постановляет:</w:t>
      </w:r>
    </w:p>
    <w:p w14:paraId="30166700" w14:textId="77777777" w:rsidR="001E7FC5" w:rsidRPr="002F2FDF" w:rsidRDefault="001E7FC5" w:rsidP="0083075A">
      <w:pPr>
        <w:pStyle w:val="ae"/>
        <w:spacing w:before="0" w:after="0"/>
        <w:jc w:val="both"/>
        <w:rPr>
          <w:color w:val="000000" w:themeColor="text1"/>
          <w:sz w:val="16"/>
          <w:szCs w:val="16"/>
        </w:rPr>
      </w:pPr>
      <w:r w:rsidRPr="002F2FDF">
        <w:rPr>
          <w:color w:val="000000" w:themeColor="text1"/>
          <w:sz w:val="16"/>
          <w:szCs w:val="16"/>
        </w:rPr>
        <w:t>Войти в Центральный Исполнительный комитет с предложением: а) признать государственную независимость Финляндской Республики и б) организовать, по соглашению с Финляндским Правительством, особую Комиссию из представителей обеих сторон для разработки тех практических мероприятий, которые вытекают из отделения Финляндии от России".</w:t>
      </w:r>
    </w:p>
    <w:p w14:paraId="667A36AD" w14:textId="0CCAE5C8" w:rsidR="001E7FC5" w:rsidRPr="002F2FDF" w:rsidRDefault="001E7FC5" w:rsidP="0083075A">
      <w:pPr>
        <w:pStyle w:val="ae"/>
        <w:spacing w:before="0" w:after="0"/>
        <w:jc w:val="both"/>
        <w:rPr>
          <w:color w:val="000000" w:themeColor="text1"/>
          <w:sz w:val="16"/>
          <w:szCs w:val="16"/>
        </w:rPr>
      </w:pPr>
      <w:r w:rsidRPr="002F2FDF">
        <w:rPr>
          <w:color w:val="000000" w:themeColor="text1"/>
          <w:sz w:val="16"/>
          <w:szCs w:val="16"/>
        </w:rPr>
        <w:t>Это постановление Совнаркома лично получил в Смольном Пер Эвинд Свинхувуд, премьер-министр новообразованного государства. Однако предусмотренные в постановлении Совнаркома практические мероприятия по отделению Финляндии от России не успели осуществиться, так как в Финляндии вспыхнула гражданская война. В ночь на 10 января 1918 года[109]</w:t>
      </w:r>
      <w:r w:rsidR="00E52569">
        <w:rPr>
          <w:color w:val="000000" w:themeColor="text1"/>
          <w:sz w:val="16"/>
          <w:szCs w:val="16"/>
        </w:rPr>
        <w:t xml:space="preserve"> </w:t>
      </w:r>
      <w:r w:rsidRPr="002F2FDF">
        <w:rPr>
          <w:color w:val="000000" w:themeColor="text1"/>
          <w:sz w:val="16"/>
          <w:szCs w:val="16"/>
        </w:rPr>
        <w:t>начались вооруженные столкновения между шюцкором и отрядами финской Красной Гвардии (18525).</w:t>
      </w:r>
    </w:p>
    <w:p w14:paraId="79907637" w14:textId="77777777" w:rsidR="001E7FC5" w:rsidRPr="002F2FDF" w:rsidRDefault="001E7FC5" w:rsidP="0083075A">
      <w:pPr>
        <w:pStyle w:val="ae"/>
        <w:spacing w:before="0" w:after="0"/>
        <w:jc w:val="both"/>
        <w:rPr>
          <w:color w:val="000000" w:themeColor="text1"/>
          <w:sz w:val="16"/>
          <w:szCs w:val="16"/>
        </w:rPr>
      </w:pPr>
    </w:p>
    <w:p w14:paraId="3614275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E3655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7A02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18 (31) января 1918 в ночь предпринята бомбардировка Парижа, в которой участвовало 30 самолетов, 11 из них пролетали над самим городом; французские зенитчики истратили 2836 снарядов, 1 немецкий самолет был сбит около населенного пункта Шель (11999).</w:t>
      </w:r>
    </w:p>
    <w:p w14:paraId="74BE2E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13940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6D2381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2ECF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декабря 1917 (1 января 1918) в Петрограде во время пожара (Гутуевского склада - 1076,872) погибло 355 новых, полученных из-за границы авиадвигателей, 700 пулеметов и другого имущества - были уничтожены почти все запасы морской авиации (438,390).</w:t>
      </w:r>
    </w:p>
    <w:p w14:paraId="4CE8A3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другим данным 10 (23) декабря 1917 на центральном гидроскладе в Петрограде при пожаре погибли большие запасы имущества, моторов и вооружения. Кое-что осталось только на Гамаюне (99,119).</w:t>
      </w:r>
    </w:p>
    <w:p w14:paraId="13E6A5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Скорее всего речь идет о том же самом.</w:t>
      </w:r>
    </w:p>
    <w:p w14:paraId="126BD6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06E56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ночь с 19 на 20 декабря 1917 (1 января 1918) года на принадле</w:t>
      </w:r>
      <w:r w:rsidRPr="002F2FDF">
        <w:rPr>
          <w:rFonts w:ascii="Times New Roman" w:hAnsi="Times New Roman" w:cs="Times New Roman"/>
          <w:color w:val="000000" w:themeColor="text1"/>
          <w:kern w:val="2"/>
          <w:sz w:val="16"/>
          <w:szCs w:val="16"/>
        </w:rPr>
        <w:softHyphen/>
        <w:t>жащих Управлению морской авиации и воздухоплаванию Цен</w:t>
      </w:r>
      <w:r w:rsidRPr="002F2FDF">
        <w:rPr>
          <w:rFonts w:ascii="Times New Roman" w:hAnsi="Times New Roman" w:cs="Times New Roman"/>
          <w:color w:val="000000" w:themeColor="text1"/>
          <w:kern w:val="2"/>
          <w:sz w:val="16"/>
          <w:szCs w:val="16"/>
        </w:rPr>
        <w:softHyphen/>
        <w:t>тральных складах полыхал сильнейший пожар, во время кото</w:t>
      </w:r>
      <w:r w:rsidRPr="002F2FDF">
        <w:rPr>
          <w:rFonts w:ascii="Times New Roman" w:hAnsi="Times New Roman" w:cs="Times New Roman"/>
          <w:color w:val="000000" w:themeColor="text1"/>
          <w:kern w:val="2"/>
          <w:sz w:val="16"/>
          <w:szCs w:val="16"/>
        </w:rPr>
        <w:softHyphen/>
        <w:t>рого сгорело 335 новых авиамоторов и 700 пулеметов импортного производства, много другого авиационного имущества общей стоимостью до восьми миллионов рублей золотом.</w:t>
      </w:r>
    </w:p>
    <w:p w14:paraId="799CB62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стечению обстоятельств, в тот же день был издан Приказ по Армии и Флоту № 4, объявивший создание единого Управле</w:t>
      </w:r>
      <w:r w:rsidRPr="002F2FDF">
        <w:rPr>
          <w:rFonts w:ascii="Times New Roman" w:hAnsi="Times New Roman" w:cs="Times New Roman"/>
          <w:color w:val="000000" w:themeColor="text1"/>
          <w:kern w:val="2"/>
          <w:sz w:val="16"/>
          <w:szCs w:val="16"/>
        </w:rPr>
        <w:softHyphen/>
        <w:t>ния Воздушного Флота Республики на основе существующих Управления военно-воздушного флота и Управления морской авиации и воздухоплавания. На объединении настояла межве</w:t>
      </w:r>
      <w:r w:rsidRPr="002F2FDF">
        <w:rPr>
          <w:rFonts w:ascii="Times New Roman" w:hAnsi="Times New Roman" w:cs="Times New Roman"/>
          <w:color w:val="000000" w:themeColor="text1"/>
          <w:kern w:val="2"/>
          <w:sz w:val="16"/>
          <w:szCs w:val="16"/>
        </w:rPr>
        <w:softHyphen/>
        <w:t>домственная комиссия под председательством первого помощ</w:t>
      </w:r>
      <w:r w:rsidRPr="002F2FDF">
        <w:rPr>
          <w:rFonts w:ascii="Times New Roman" w:hAnsi="Times New Roman" w:cs="Times New Roman"/>
          <w:color w:val="000000" w:themeColor="text1"/>
          <w:kern w:val="2"/>
          <w:sz w:val="16"/>
          <w:szCs w:val="16"/>
        </w:rPr>
        <w:softHyphen/>
        <w:t>ника Военного министра генерал-лейтенанта Маньковского, ре</w:t>
      </w:r>
      <w:r w:rsidRPr="002F2FDF">
        <w:rPr>
          <w:rFonts w:ascii="Times New Roman" w:hAnsi="Times New Roman" w:cs="Times New Roman"/>
          <w:color w:val="000000" w:themeColor="text1"/>
          <w:kern w:val="2"/>
          <w:sz w:val="16"/>
          <w:szCs w:val="16"/>
        </w:rPr>
        <w:softHyphen/>
        <w:t>анимировавшая проект бывшего первого помощника Морского министра капитана 1 ранга Дудорова. 16 сентября 1917 года он был освобожден от этой должности, назначен морским аген</w:t>
      </w:r>
      <w:r w:rsidRPr="002F2FDF">
        <w:rPr>
          <w:rFonts w:ascii="Times New Roman" w:hAnsi="Times New Roman" w:cs="Times New Roman"/>
          <w:color w:val="000000" w:themeColor="text1"/>
          <w:kern w:val="2"/>
          <w:sz w:val="16"/>
          <w:szCs w:val="16"/>
        </w:rPr>
        <w:softHyphen/>
        <w:t>том в Японии и произведен в контр-адмиралы.</w:t>
      </w:r>
    </w:p>
    <w:p w14:paraId="0C04E66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Однако Верховная морская коллегия, созданная по декрету Совета Народных Комиссаров еще 24 ноября 1917 г. для руко</w:t>
      </w:r>
      <w:r w:rsidRPr="002F2FDF">
        <w:rPr>
          <w:rFonts w:ascii="Times New Roman" w:hAnsi="Times New Roman" w:cs="Times New Roman"/>
          <w:color w:val="000000" w:themeColor="text1"/>
          <w:kern w:val="2"/>
          <w:sz w:val="16"/>
          <w:szCs w:val="16"/>
        </w:rPr>
        <w:softHyphen/>
        <w:t>водства подлежащими реорганизации центральными учрежде</w:t>
      </w:r>
      <w:r w:rsidRPr="002F2FDF">
        <w:rPr>
          <w:rFonts w:ascii="Times New Roman" w:hAnsi="Times New Roman" w:cs="Times New Roman"/>
          <w:color w:val="000000" w:themeColor="text1"/>
          <w:kern w:val="2"/>
          <w:sz w:val="16"/>
          <w:szCs w:val="16"/>
        </w:rPr>
        <w:softHyphen/>
        <w:t>ниями Морского ведомства, опираясь на доклад Морского гене</w:t>
      </w:r>
      <w:r w:rsidRPr="002F2FDF">
        <w:rPr>
          <w:rFonts w:ascii="Times New Roman" w:hAnsi="Times New Roman" w:cs="Times New Roman"/>
          <w:color w:val="000000" w:themeColor="text1"/>
          <w:kern w:val="2"/>
          <w:sz w:val="16"/>
          <w:szCs w:val="16"/>
        </w:rPr>
        <w:softHyphen/>
        <w:t>рального штаба, признала указанное выше решение преждевре</w:t>
      </w:r>
      <w:r w:rsidRPr="002F2FDF">
        <w:rPr>
          <w:rFonts w:ascii="Times New Roman" w:hAnsi="Times New Roman" w:cs="Times New Roman"/>
          <w:color w:val="000000" w:themeColor="text1"/>
          <w:kern w:val="2"/>
          <w:sz w:val="16"/>
          <w:szCs w:val="16"/>
        </w:rPr>
        <w:softHyphen/>
        <w:t>менным. В связи с этим, коллегия 11 января 1918 г. постано</w:t>
      </w:r>
      <w:r w:rsidRPr="002F2FDF">
        <w:rPr>
          <w:rFonts w:ascii="Times New Roman" w:hAnsi="Times New Roman" w:cs="Times New Roman"/>
          <w:color w:val="000000" w:themeColor="text1"/>
          <w:kern w:val="2"/>
          <w:sz w:val="16"/>
          <w:szCs w:val="16"/>
        </w:rPr>
        <w:softHyphen/>
        <w:t>вила: “Вопрос о соединении управлений временно принятием в исполнение отложить и разработать проект урегулирования отношений управлений”. Против объединения двух видов авиации категорически выступил Реввоенсовет Балтийского фло</w:t>
      </w:r>
      <w:r w:rsidRPr="002F2FDF">
        <w:rPr>
          <w:rFonts w:ascii="Times New Roman" w:hAnsi="Times New Roman" w:cs="Times New Roman"/>
          <w:color w:val="000000" w:themeColor="text1"/>
          <w:kern w:val="2"/>
          <w:sz w:val="16"/>
          <w:szCs w:val="16"/>
        </w:rPr>
        <w:softHyphen/>
        <w:t>та, твердо указавший на то, что “гидроавиация является типич</w:t>
      </w:r>
      <w:r w:rsidRPr="002F2FDF">
        <w:rPr>
          <w:rFonts w:ascii="Times New Roman" w:hAnsi="Times New Roman" w:cs="Times New Roman"/>
          <w:color w:val="000000" w:themeColor="text1"/>
          <w:kern w:val="2"/>
          <w:sz w:val="16"/>
          <w:szCs w:val="16"/>
        </w:rPr>
        <w:softHyphen/>
        <w:t>ным морским родом оружия”. Она оснащается соответствую</w:t>
      </w:r>
      <w:r w:rsidRPr="002F2FDF">
        <w:rPr>
          <w:rFonts w:ascii="Times New Roman" w:hAnsi="Times New Roman" w:cs="Times New Roman"/>
          <w:color w:val="000000" w:themeColor="text1"/>
          <w:kern w:val="2"/>
          <w:sz w:val="16"/>
          <w:szCs w:val="16"/>
        </w:rPr>
        <w:softHyphen/>
        <w:t>щим образом приспособленными летательными аппаратами и комплектуется специально подготовленными летчиками, знаю</w:t>
      </w:r>
      <w:r w:rsidRPr="002F2FDF">
        <w:rPr>
          <w:rFonts w:ascii="Times New Roman" w:hAnsi="Times New Roman" w:cs="Times New Roman"/>
          <w:color w:val="000000" w:themeColor="text1"/>
          <w:kern w:val="2"/>
          <w:sz w:val="16"/>
          <w:szCs w:val="16"/>
        </w:rPr>
        <w:softHyphen/>
        <w:t>щими специфику морской войны.</w:t>
      </w:r>
    </w:p>
    <w:p w14:paraId="330827E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Исполнявший обязанности начальника штаба флота контр</w:t>
      </w:r>
      <w:r w:rsidRPr="002F2FDF">
        <w:rPr>
          <w:rFonts w:ascii="Times New Roman" w:hAnsi="Times New Roman" w:cs="Times New Roman"/>
          <w:color w:val="000000" w:themeColor="text1"/>
          <w:kern w:val="2"/>
          <w:sz w:val="16"/>
          <w:szCs w:val="16"/>
        </w:rPr>
        <w:softHyphen/>
        <w:t>адмирал А. Ружек заявил, что объединение авиации станет оши</w:t>
      </w:r>
      <w:r w:rsidRPr="002F2FDF">
        <w:rPr>
          <w:rFonts w:ascii="Times New Roman" w:hAnsi="Times New Roman" w:cs="Times New Roman"/>
          <w:color w:val="000000" w:themeColor="text1"/>
          <w:kern w:val="2"/>
          <w:sz w:val="16"/>
          <w:szCs w:val="16"/>
        </w:rPr>
        <w:softHyphen/>
        <w:t>бочной мерой, находящейся в очевидном “разрыве с интереса</w:t>
      </w:r>
      <w:r w:rsidRPr="002F2FDF">
        <w:rPr>
          <w:rFonts w:ascii="Times New Roman" w:hAnsi="Times New Roman" w:cs="Times New Roman"/>
          <w:color w:val="000000" w:themeColor="text1"/>
          <w:kern w:val="2"/>
          <w:sz w:val="16"/>
          <w:szCs w:val="16"/>
        </w:rPr>
        <w:softHyphen/>
        <w:t>ми морской обороны республики”.</w:t>
      </w:r>
    </w:p>
    <w:p w14:paraId="5AEEC57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Подобные заявления и мнения энергично поддержал назна</w:t>
      </w:r>
      <w:r w:rsidRPr="002F2FDF">
        <w:rPr>
          <w:rFonts w:ascii="Times New Roman" w:hAnsi="Times New Roman" w:cs="Times New Roman"/>
          <w:color w:val="000000" w:themeColor="text1"/>
          <w:kern w:val="2"/>
          <w:sz w:val="16"/>
          <w:szCs w:val="16"/>
        </w:rPr>
        <w:softHyphen/>
        <w:t>ченный декретом Совнаркома от 25 ноября 1917 года на</w:t>
      </w:r>
      <w:r w:rsidRPr="002F2FDF">
        <w:rPr>
          <w:rFonts w:ascii="Times New Roman" w:hAnsi="Times New Roman" w:cs="Times New Roman"/>
          <w:color w:val="000000" w:themeColor="text1"/>
          <w:kern w:val="2"/>
          <w:sz w:val="16"/>
          <w:szCs w:val="16"/>
        </w:rPr>
        <w:softHyphen/>
        <w:t>чальником Морского генштаба капитан 1 ранга Е. Беренс. После упразднения прежних чинов, заслуженный военный мо</w:t>
      </w:r>
      <w:r w:rsidRPr="002F2FDF">
        <w:rPr>
          <w:rFonts w:ascii="Times New Roman" w:hAnsi="Times New Roman" w:cs="Times New Roman"/>
          <w:color w:val="000000" w:themeColor="text1"/>
          <w:kern w:val="2"/>
          <w:sz w:val="16"/>
          <w:szCs w:val="16"/>
        </w:rPr>
        <w:softHyphen/>
        <w:t>ряк сохранил авторитет у сослуживцев и приобрел доверие у начальников. По его инициативе Приказом по Армии и Фло</w:t>
      </w:r>
      <w:r w:rsidRPr="002F2FDF">
        <w:rPr>
          <w:rFonts w:ascii="Times New Roman" w:hAnsi="Times New Roman" w:cs="Times New Roman"/>
          <w:color w:val="000000" w:themeColor="text1"/>
          <w:kern w:val="2"/>
          <w:sz w:val="16"/>
          <w:szCs w:val="16"/>
        </w:rPr>
        <w:softHyphen/>
        <w:t>ту № 3 от 20 мая (нового стиля) 1918 года Управление морс</w:t>
      </w:r>
      <w:r w:rsidRPr="002F2FDF">
        <w:rPr>
          <w:rFonts w:ascii="Times New Roman" w:hAnsi="Times New Roman" w:cs="Times New Roman"/>
          <w:color w:val="000000" w:themeColor="text1"/>
          <w:kern w:val="2"/>
          <w:sz w:val="16"/>
          <w:szCs w:val="16"/>
        </w:rPr>
        <w:softHyphen/>
        <w:t>кой авиации снова поступило в подчинение Наркомата по мор</w:t>
      </w:r>
      <w:r w:rsidRPr="002F2FDF">
        <w:rPr>
          <w:rFonts w:ascii="Times New Roman" w:hAnsi="Times New Roman" w:cs="Times New Roman"/>
          <w:color w:val="000000" w:themeColor="text1"/>
          <w:kern w:val="2"/>
          <w:sz w:val="16"/>
          <w:szCs w:val="16"/>
        </w:rPr>
        <w:softHyphen/>
        <w:t>ским делам (11283).</w:t>
      </w:r>
    </w:p>
    <w:p w14:paraId="151B5C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B41906" w14:textId="77777777" w:rsidR="00CE0CEC" w:rsidRDefault="00CE0CEC"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19 декабр</w:t>
      </w:r>
      <w:r>
        <w:rPr>
          <w:rFonts w:ascii="Times New Roman" w:hAnsi="Times New Roman" w:cs="Times New Roman"/>
          <w:color w:val="0070C0"/>
          <w:sz w:val="16"/>
          <w:szCs w:val="16"/>
        </w:rPr>
        <w:t>я 1917 г. (1 января 1918 г.) в</w:t>
      </w:r>
      <w:r w:rsidRPr="005D7D69">
        <w:rPr>
          <w:rFonts w:ascii="Times New Roman" w:hAnsi="Times New Roman" w:cs="Times New Roman"/>
          <w:color w:val="0070C0"/>
          <w:sz w:val="16"/>
          <w:szCs w:val="16"/>
        </w:rPr>
        <w:t xml:space="preserve"> Петрограде во время пожара центрального склада гидроавиации </w:t>
      </w:r>
      <w:r>
        <w:rPr>
          <w:rFonts w:ascii="Times New Roman" w:hAnsi="Times New Roman" w:cs="Times New Roman"/>
          <w:color w:val="0070C0"/>
          <w:sz w:val="16"/>
          <w:szCs w:val="16"/>
        </w:rPr>
        <w:t>погибло 355 новых, полученныз из-за границы авиамото</w:t>
      </w:r>
      <w:r w:rsidRPr="005D7D69">
        <w:rPr>
          <w:rFonts w:ascii="Times New Roman" w:hAnsi="Times New Roman" w:cs="Times New Roman"/>
          <w:color w:val="0070C0"/>
          <w:sz w:val="16"/>
          <w:szCs w:val="16"/>
        </w:rPr>
        <w:t>ров,</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700 пулеметов и много другого технического имущества общей стоимостью 8 миллионов золотых, рублей.</w:t>
      </w:r>
      <w:r>
        <w:rPr>
          <w:rFonts w:ascii="Times New Roman" w:hAnsi="Times New Roman" w:cs="Times New Roman"/>
          <w:color w:val="0070C0"/>
          <w:sz w:val="16"/>
          <w:szCs w:val="16"/>
        </w:rPr>
        <w:t xml:space="preserve"> Были </w:t>
      </w:r>
      <w:r w:rsidRPr="005D7D69">
        <w:rPr>
          <w:rFonts w:ascii="Times New Roman" w:hAnsi="Times New Roman" w:cs="Times New Roman"/>
          <w:color w:val="0070C0"/>
          <w:sz w:val="16"/>
          <w:szCs w:val="16"/>
        </w:rPr>
        <w:t>уничтож</w:t>
      </w:r>
      <w:r>
        <w:rPr>
          <w:rFonts w:ascii="Times New Roman" w:hAnsi="Times New Roman" w:cs="Times New Roman"/>
          <w:color w:val="0070C0"/>
          <w:sz w:val="16"/>
          <w:szCs w:val="16"/>
        </w:rPr>
        <w:t>е</w:t>
      </w:r>
      <w:r w:rsidRPr="005D7D69">
        <w:rPr>
          <w:rFonts w:ascii="Times New Roman" w:hAnsi="Times New Roman" w:cs="Times New Roman"/>
          <w:color w:val="0070C0"/>
          <w:sz w:val="16"/>
          <w:szCs w:val="16"/>
        </w:rPr>
        <w:t>н</w:t>
      </w:r>
      <w:r>
        <w:rPr>
          <w:rFonts w:ascii="Times New Roman" w:hAnsi="Times New Roman" w:cs="Times New Roman"/>
          <w:color w:val="0070C0"/>
          <w:sz w:val="16"/>
          <w:szCs w:val="16"/>
        </w:rPr>
        <w:t>ы</w:t>
      </w:r>
      <w:r w:rsidRPr="005D7D69">
        <w:rPr>
          <w:rFonts w:ascii="Times New Roman" w:hAnsi="Times New Roman" w:cs="Times New Roman"/>
          <w:color w:val="0070C0"/>
          <w:sz w:val="16"/>
          <w:szCs w:val="16"/>
        </w:rPr>
        <w:t xml:space="preserve"> почти все запаси морской авиации,</w:t>
      </w:r>
      <w:r>
        <w:rPr>
          <w:rFonts w:ascii="Times New Roman" w:hAnsi="Times New Roman" w:cs="Times New Roman"/>
          <w:color w:val="0070C0"/>
          <w:sz w:val="16"/>
          <w:szCs w:val="16"/>
        </w:rPr>
        <w:t xml:space="preserve"> на</w:t>
      </w:r>
      <w:r w:rsidRPr="005D7D69">
        <w:rPr>
          <w:rFonts w:ascii="Times New Roman" w:hAnsi="Times New Roman" w:cs="Times New Roman"/>
          <w:color w:val="0070C0"/>
          <w:sz w:val="16"/>
          <w:szCs w:val="16"/>
        </w:rPr>
        <w:t xml:space="preserve"> </w:t>
      </w:r>
      <w:r>
        <w:rPr>
          <w:rFonts w:ascii="Times New Roman" w:hAnsi="Times New Roman" w:cs="Times New Roman"/>
          <w:color w:val="0070C0"/>
          <w:sz w:val="16"/>
          <w:szCs w:val="16"/>
        </w:rPr>
        <w:t>которые м</w:t>
      </w:r>
      <w:r w:rsidRPr="005D7D69">
        <w:rPr>
          <w:rFonts w:ascii="Times New Roman" w:hAnsi="Times New Roman" w:cs="Times New Roman"/>
          <w:color w:val="0070C0"/>
          <w:sz w:val="16"/>
          <w:szCs w:val="16"/>
        </w:rPr>
        <w:t>о</w:t>
      </w:r>
      <w:r>
        <w:rPr>
          <w:rFonts w:ascii="Times New Roman" w:hAnsi="Times New Roman" w:cs="Times New Roman"/>
          <w:color w:val="0070C0"/>
          <w:sz w:val="16"/>
          <w:szCs w:val="16"/>
        </w:rPr>
        <w:t>ж</w:t>
      </w:r>
      <w:r w:rsidRPr="005D7D69">
        <w:rPr>
          <w:rFonts w:ascii="Times New Roman" w:hAnsi="Times New Roman" w:cs="Times New Roman"/>
          <w:color w:val="0070C0"/>
          <w:sz w:val="16"/>
          <w:szCs w:val="16"/>
        </w:rPr>
        <w:t>но б</w:t>
      </w:r>
      <w:r>
        <w:rPr>
          <w:rFonts w:ascii="Times New Roman" w:hAnsi="Times New Roman" w:cs="Times New Roman"/>
          <w:color w:val="0070C0"/>
          <w:sz w:val="16"/>
          <w:szCs w:val="16"/>
        </w:rPr>
        <w:t>ы</w:t>
      </w:r>
      <w:r w:rsidRPr="005D7D69">
        <w:rPr>
          <w:rFonts w:ascii="Times New Roman" w:hAnsi="Times New Roman" w:cs="Times New Roman"/>
          <w:color w:val="0070C0"/>
          <w:sz w:val="16"/>
          <w:szCs w:val="16"/>
        </w:rPr>
        <w:t>ло рас</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читывать при ее воссоздании.</w:t>
      </w:r>
    </w:p>
    <w:p w14:paraId="00309EDA" w14:textId="77777777" w:rsidR="00CE0CEC" w:rsidRDefault="00CE0CEC"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/А.Онуфриев.</w:t>
      </w:r>
      <w:r>
        <w:rPr>
          <w:rFonts w:ascii="Times New Roman" w:hAnsi="Times New Roman" w:cs="Times New Roman"/>
          <w:color w:val="0070C0"/>
          <w:sz w:val="16"/>
          <w:szCs w:val="16"/>
        </w:rPr>
        <w:t xml:space="preserve"> М</w:t>
      </w:r>
      <w:r w:rsidRPr="005D7D69">
        <w:rPr>
          <w:rFonts w:ascii="Times New Roman" w:hAnsi="Times New Roman" w:cs="Times New Roman"/>
          <w:color w:val="0070C0"/>
          <w:sz w:val="16"/>
          <w:szCs w:val="16"/>
        </w:rPr>
        <w:t>орская авиация в гражданской войне, 1</w:t>
      </w:r>
      <w:r>
        <w:rPr>
          <w:rFonts w:ascii="Times New Roman" w:hAnsi="Times New Roman" w:cs="Times New Roman"/>
          <w:color w:val="0070C0"/>
          <w:sz w:val="16"/>
          <w:szCs w:val="16"/>
        </w:rPr>
        <w:t>9</w:t>
      </w:r>
      <w:r w:rsidRPr="005D7D69">
        <w:rPr>
          <w:rFonts w:ascii="Times New Roman" w:hAnsi="Times New Roman" w:cs="Times New Roman"/>
          <w:color w:val="0070C0"/>
          <w:sz w:val="16"/>
          <w:szCs w:val="16"/>
        </w:rPr>
        <w:t>25,</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стр. 19/</w:t>
      </w:r>
      <w:r>
        <w:rPr>
          <w:rFonts w:ascii="Times New Roman" w:hAnsi="Times New Roman" w:cs="Times New Roman"/>
          <w:color w:val="0070C0"/>
          <w:sz w:val="16"/>
          <w:szCs w:val="16"/>
        </w:rPr>
        <w:t xml:space="preserve"> (23370).</w:t>
      </w:r>
    </w:p>
    <w:p w14:paraId="62E65CFE" w14:textId="77777777" w:rsidR="00CE0CEC" w:rsidRDefault="00CE0CEC" w:rsidP="0083075A">
      <w:pPr>
        <w:spacing w:after="0" w:line="240" w:lineRule="auto"/>
        <w:jc w:val="both"/>
        <w:rPr>
          <w:rFonts w:ascii="Times New Roman" w:hAnsi="Times New Roman" w:cs="Times New Roman"/>
          <w:color w:val="000000" w:themeColor="text1"/>
          <w:kern w:val="2"/>
          <w:sz w:val="16"/>
          <w:szCs w:val="16"/>
        </w:rPr>
      </w:pPr>
    </w:p>
    <w:p w14:paraId="55A71A11" w14:textId="31674C49" w:rsidR="00C27B4B" w:rsidRPr="002F2FDF" w:rsidRDefault="00C27B4B"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 декабря 1917 </w:t>
      </w:r>
      <w:r w:rsidR="00097678" w:rsidRPr="002F2FDF">
        <w:rPr>
          <w:rFonts w:ascii="Times New Roman" w:hAnsi="Times New Roman" w:cs="Times New Roman"/>
          <w:color w:val="000000" w:themeColor="text1"/>
          <w:kern w:val="2"/>
          <w:sz w:val="16"/>
          <w:szCs w:val="16"/>
        </w:rPr>
        <w:t xml:space="preserve">(1 января 1918) </w:t>
      </w:r>
      <w:r w:rsidRPr="002F2FDF">
        <w:rPr>
          <w:rFonts w:ascii="Times New Roman" w:hAnsi="Times New Roman" w:cs="Times New Roman"/>
          <w:color w:val="000000" w:themeColor="text1"/>
          <w:kern w:val="2"/>
          <w:sz w:val="16"/>
          <w:szCs w:val="16"/>
        </w:rPr>
        <w:t>на Симферопольский завод Анатра пришел ответ из УВВФ — на складах моторы «Рон» отсутствуют. 18 января 1918 г. Станюковича обнадежили, обещая прислать в скором времени требуемые двигатели из Архангельска, и 5 февраля он подписал свидетельство о приемке очередных 50 истребителей (сер. №№ 151-200). Таким образом, формально контракт был выполнен, хотя реально ни один (!) самолет не поднялся в воздух. Впоследствии часть остававшихся в Симферополе «Ньюпоров» все-таки получила двигатели, поскольку с января 1919 г., по крайней мере, 10 таких самолетов с анатровскими серийными номерами появились в списках мат-части Добровольческой армии (12252).</w:t>
      </w:r>
    </w:p>
    <w:p w14:paraId="069FD2A0" w14:textId="77777777" w:rsidR="00C27B4B" w:rsidRPr="002F2FDF" w:rsidRDefault="00C27B4B" w:rsidP="0083075A">
      <w:pPr>
        <w:spacing w:after="0" w:line="240" w:lineRule="auto"/>
        <w:jc w:val="both"/>
        <w:rPr>
          <w:rFonts w:ascii="Times New Roman" w:hAnsi="Times New Roman" w:cs="Times New Roman"/>
          <w:color w:val="000000" w:themeColor="text1"/>
          <w:kern w:val="2"/>
          <w:sz w:val="16"/>
          <w:szCs w:val="16"/>
        </w:rPr>
      </w:pPr>
    </w:p>
    <w:p w14:paraId="0AF20A36" w14:textId="7B2E333B" w:rsidR="00F32028" w:rsidRPr="00FB4F67" w:rsidRDefault="00F3202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К </w:t>
      </w:r>
      <w:r>
        <w:rPr>
          <w:rFonts w:ascii="Times New Roman" w:hAnsi="Times New Roman" w:cs="Times New Roman"/>
          <w:color w:val="0070C0"/>
          <w:sz w:val="16"/>
          <w:szCs w:val="16"/>
        </w:rPr>
        <w:t>19 декабря 1817 г. (</w:t>
      </w:r>
      <w:r w:rsidRPr="00FB4F67">
        <w:rPr>
          <w:rFonts w:ascii="Times New Roman" w:hAnsi="Times New Roman" w:cs="Times New Roman"/>
          <w:color w:val="0070C0"/>
          <w:sz w:val="16"/>
          <w:szCs w:val="16"/>
        </w:rPr>
        <w:t>1 января 1918 года</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заводы Лебедева построили 218 «Лебедей-12» и 171 комплект запасных частей.</w:t>
      </w:r>
    </w:p>
    <w:p w14:paraId="027E793C" w14:textId="77777777" w:rsidR="00F32028" w:rsidRPr="00FB4F67" w:rsidRDefault="00F3202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Ранее, 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Renault мощностью 220 л.с. были установлены в январе 1916 года.</w:t>
      </w:r>
    </w:p>
    <w:p w14:paraId="48FDAE71" w14:textId="77777777" w:rsidR="00F32028" w:rsidRPr="00FB4F67" w:rsidRDefault="00F3202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4719EF02" w14:textId="77777777" w:rsidR="00F32028" w:rsidRPr="00FB4F67" w:rsidRDefault="00F3202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48F2F4EB" w14:textId="77777777" w:rsidR="00F32028" w:rsidRPr="00FB4F67" w:rsidRDefault="00F3202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FBA с двигателем Gnome мощностью 100 л.с.; один тип «ГФ» Лебедева и конструктора Г.А. Фриде, модифицированный Morane Saulnier тип L, переделанный в летающую лодку; одна летающая лодка «Виллиш ВМ-2»; а в декабре 1916 года одна летающая лодка Villish VM-4 с двигателем Rhone HOhp,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2BAAC95E" w14:textId="77777777" w:rsidR="00F32028" w:rsidRPr="00FB4F67" w:rsidRDefault="00F3202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51FBE780" w14:textId="77777777" w:rsidR="00F32028" w:rsidRPr="00FB4F67" w:rsidRDefault="00F3202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1917 году Лебедев получил британскую лицензию на производство Sopwith Pup и Sopwith Camel, но производство так и не началось. Однако известно, что в 1917 году на заводе в Петрограде было построено пять самолетов Sopwith 1 1/2 Strutters.</w:t>
      </w:r>
    </w:p>
    <w:p w14:paraId="47ECF6DC" w14:textId="77777777" w:rsidR="00F32028" w:rsidRPr="00FB4F67" w:rsidRDefault="00F3202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Rumpier и LVG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68C73C32" w14:textId="77777777" w:rsidR="00F32028" w:rsidRPr="00FB4F67" w:rsidRDefault="00F3202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Лебедь-17 с двигателем Salmson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(Lebed Le Grand), со- Совместно с Колпаковым-Мирошниченко был разработан большой трехстоечный биплан с двумя двигателями Salmson мощностью 15 Ом.</w:t>
      </w:r>
    </w:p>
    <w:p w14:paraId="3E5D480B" w14:textId="77777777" w:rsidR="00F32028" w:rsidRPr="00FB4F67" w:rsidRDefault="00F3202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1BA1ADD5" w14:textId="77777777" w:rsidR="00F32028" w:rsidRPr="00FB4F67" w:rsidRDefault="00F3202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начале 1917 г. был испытан трехместный биплан «Лебедь-16» с двумя двигателями «Рона» мощностью 80 л. Лебедь-17, разработанный совместно с Гуревичем, с одним двигателем Salmson мощностью 150 л.с. Летные испытания он прошел в августе 1917 года. Было построено несколько самолетов, но в серийное производство он так и не пошел.</w:t>
      </w:r>
    </w:p>
    <w:p w14:paraId="24968412" w14:textId="77777777" w:rsidR="00F32028" w:rsidRPr="00FB4F67" w:rsidRDefault="00F3202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Salmson мощностью 150 л.с. Лебедь 24 остался проектом из-за непоставки ожидаемых двигателей Fiat и Hispano-Suiza.</w:t>
      </w:r>
    </w:p>
    <w:p w14:paraId="3D556927" w14:textId="77777777" w:rsidR="00F32028" w:rsidRPr="00FB4F67" w:rsidRDefault="00F3202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Nieuport X; 10 марта 1917 г. - 15 из 60 Nieuport X; 30 мая 1917 г. - ни одного из 200 Лебедей 24; 1917 г., 5 июля - заказ на 140 Sopwith 1/2 Страттерс и 60 Лебедей для школы, неизвестно, были ли они построены.</w:t>
      </w:r>
    </w:p>
    <w:p w14:paraId="10AFC301" w14:textId="77777777" w:rsidR="00F32028" w:rsidRPr="00FB4F67" w:rsidRDefault="00F3202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41D8BBEE" w14:textId="77777777" w:rsidR="00F32028" w:rsidRPr="00FB4F67" w:rsidRDefault="00F32028"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w:t>
      </w:r>
      <w:r w:rsidRPr="00FB4F67">
        <w:rPr>
          <w:rFonts w:ascii="Times New Roman" w:hAnsi="Times New Roman" w:cs="Times New Roman"/>
          <w:color w:val="0070C0"/>
          <w:sz w:val="16"/>
          <w:szCs w:val="16"/>
        </w:rPr>
        <w:lastRenderedPageBreak/>
        <w:t>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32AE66A3" w14:textId="77777777" w:rsidR="00F32028" w:rsidRPr="00FB4F67" w:rsidRDefault="00F32028" w:rsidP="0083075A">
      <w:pPr>
        <w:spacing w:after="0" w:line="240" w:lineRule="auto"/>
        <w:jc w:val="both"/>
        <w:rPr>
          <w:rFonts w:ascii="Times New Roman" w:hAnsi="Times New Roman" w:cs="Times New Roman"/>
          <w:color w:val="0070C0"/>
          <w:sz w:val="16"/>
          <w:szCs w:val="16"/>
        </w:rPr>
      </w:pPr>
    </w:p>
    <w:p w14:paraId="3C5FEC70" w14:textId="77777777" w:rsidR="00273B27"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6FE53E3" w14:textId="77777777" w:rsidR="00273B27" w:rsidRPr="002F2FDF" w:rsidRDefault="00273B27"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E50515" w14:textId="77777777" w:rsidR="00273B27" w:rsidRPr="002F2FDF" w:rsidRDefault="00273B27"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19 декабря 1917 (1 января 1918) на общем собрании Казакова выбрали командиром отряда, которым он командовал еще в середине войны (15464).</w:t>
      </w:r>
    </w:p>
    <w:p w14:paraId="5E00B365" w14:textId="77777777" w:rsidR="00273B27" w:rsidRPr="002F2FDF" w:rsidRDefault="00273B27" w:rsidP="0083075A">
      <w:pPr>
        <w:pStyle w:val="2"/>
        <w:spacing w:before="0" w:beforeAutospacing="0" w:after="0" w:afterAutospacing="0"/>
        <w:jc w:val="both"/>
        <w:rPr>
          <w:b w:val="0"/>
          <w:color w:val="000000" w:themeColor="text1"/>
          <w:kern w:val="2"/>
          <w:sz w:val="16"/>
          <w:szCs w:val="16"/>
        </w:rPr>
      </w:pPr>
    </w:p>
    <w:p w14:paraId="7A62988D" w14:textId="48D7FB93" w:rsidR="00B0513C" w:rsidRPr="000656BE" w:rsidRDefault="00B0513C" w:rsidP="00B0513C">
      <w:pPr>
        <w:spacing w:after="0" w:line="240" w:lineRule="auto"/>
        <w:rPr>
          <w:rFonts w:ascii="Times New Roman" w:hAnsi="Times New Roman" w:cs="Times New Roman"/>
          <w:color w:val="0070C0"/>
          <w:sz w:val="16"/>
          <w:szCs w:val="16"/>
        </w:rPr>
      </w:pPr>
      <w:bookmarkStart w:id="416" w:name="bookmark929"/>
      <w:r w:rsidRPr="000656BE">
        <w:rPr>
          <w:rFonts w:ascii="Times New Roman" w:hAnsi="Times New Roman" w:cs="Times New Roman"/>
          <w:color w:val="0070C0"/>
          <w:sz w:val="16"/>
          <w:szCs w:val="16"/>
        </w:rPr>
        <w:t xml:space="preserve">На </w:t>
      </w:r>
      <w:r>
        <w:rPr>
          <w:rFonts w:ascii="Times New Roman" w:hAnsi="Times New Roman" w:cs="Times New Roman"/>
          <w:color w:val="0070C0"/>
          <w:sz w:val="16"/>
          <w:szCs w:val="16"/>
        </w:rPr>
        <w:t>19 декабпя 1917 г. (</w:t>
      </w:r>
      <w:r w:rsidRPr="000656BE">
        <w:rPr>
          <w:rFonts w:ascii="Times New Roman" w:hAnsi="Times New Roman" w:cs="Times New Roman"/>
          <w:color w:val="0070C0"/>
          <w:sz w:val="16"/>
          <w:szCs w:val="16"/>
        </w:rPr>
        <w:t>1 января 1918 года</w:t>
      </w:r>
      <w:r>
        <w:rPr>
          <w:rFonts w:ascii="Times New Roman" w:hAnsi="Times New Roman" w:cs="Times New Roman"/>
          <w:color w:val="0070C0"/>
          <w:sz w:val="16"/>
          <w:szCs w:val="16"/>
        </w:rPr>
        <w:t>)</w:t>
      </w:r>
      <w:r w:rsidRPr="000656BE">
        <w:rPr>
          <w:rFonts w:ascii="Times New Roman" w:hAnsi="Times New Roman" w:cs="Times New Roman"/>
          <w:color w:val="0070C0"/>
          <w:sz w:val="16"/>
          <w:szCs w:val="16"/>
        </w:rPr>
        <w:t xml:space="preserve"> в составе частей русской морской авиации в районе Черного моря было от четырех до пяти авианосцев, 112 летающих лодок и сухопутных истребителей, 74 летчика и около 150 механиков. В конце января русские летающие лодки с Военно-морским АО, дислоцированным в Сулине, на румынском побережье Черного моря, поднялись в воздух и направились в Отарик, недалеко от Одессы. 26 февраля 1918 г. в Одессу вылетели сухопутные истребители ВМФ ФАО в Сулине. Большинство этих морских летчиков позже служили в Добровольческой армии на юге России (23525).</w:t>
      </w:r>
    </w:p>
    <w:p w14:paraId="3383651D" w14:textId="77777777" w:rsidR="00B0513C" w:rsidRPr="000656BE" w:rsidRDefault="00B0513C" w:rsidP="00B0513C">
      <w:pPr>
        <w:spacing w:after="0" w:line="240" w:lineRule="auto"/>
        <w:rPr>
          <w:rFonts w:ascii="Times New Roman" w:hAnsi="Times New Roman" w:cs="Times New Roman"/>
          <w:color w:val="0070C0"/>
          <w:sz w:val="16"/>
          <w:szCs w:val="16"/>
        </w:rPr>
      </w:pPr>
    </w:p>
    <w:bookmarkEnd w:id="416"/>
    <w:p w14:paraId="5BEF0F7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D3055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4D7F4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декабря 1917 (1 января 1918</w:t>
      </w:r>
      <w:r w:rsidR="00631AD8"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rPr>
        <w:t xml:space="preserve"> большевики назначили Серго Орджоникидзе Временным чрезвычайным комиссаром Украины (4962).</w:t>
      </w:r>
    </w:p>
    <w:p w14:paraId="32185D7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C7AC66" w14:textId="02B2596C" w:rsidR="003E28E5" w:rsidRPr="002F2FDF" w:rsidRDefault="003E28E5" w:rsidP="0083075A">
      <w:pPr>
        <w:pStyle w:val="ae"/>
        <w:spacing w:before="0" w:after="0"/>
        <w:jc w:val="both"/>
        <w:rPr>
          <w:color w:val="000000" w:themeColor="text1"/>
          <w:kern w:val="2"/>
          <w:sz w:val="16"/>
          <w:szCs w:val="16"/>
        </w:rPr>
      </w:pPr>
      <w:r w:rsidRPr="002F2FDF">
        <w:rPr>
          <w:color w:val="000000" w:themeColor="text1"/>
          <w:kern w:val="2"/>
          <w:sz w:val="16"/>
          <w:szCs w:val="16"/>
        </w:rPr>
        <w:t>19 декабря 1917 (1 января 1918) в центральную часть Иркутска вошли отряды красногвардейцев, прибывших на помощь местным большевикам из Красноярска и других городов. Ожесточенные бои в Иркутске между сторонниками (солдатами и местными красногвардейцами) и противниками советской власти (юнкерами и казаками) продолжались с 21 декабря, но к Новому году на фоне масштабных разрушений и начавшихся пожаров стороны заключили перемирие. При этом подкрепления, направлявшиеся к красногвардейцам, оказались отрезаны от центра города Ангарой, которая, несмотря на сильные морозы, еще не замерзла, а мост юнкера развели и держали под контролем. Однако</w:t>
      </w:r>
      <w:r w:rsidR="00E52569">
        <w:rPr>
          <w:color w:val="000000" w:themeColor="text1"/>
          <w:kern w:val="2"/>
          <w:sz w:val="16"/>
          <w:szCs w:val="16"/>
        </w:rPr>
        <w:t xml:space="preserve"> </w:t>
      </w:r>
      <w:r w:rsidRPr="002F2FDF">
        <w:rPr>
          <w:color w:val="000000" w:themeColor="text1"/>
          <w:kern w:val="2"/>
          <w:sz w:val="16"/>
          <w:szCs w:val="16"/>
        </w:rPr>
        <w:t>как только лед на реке установился, красногвардейцы вошли в Иркутск и начали разоружать и расформировывать школы прапорщиков, военное училище и городской гарнизон. К 4 января красногвардейцы установили полный контроль над Иркутском (17045).</w:t>
      </w:r>
    </w:p>
    <w:p w14:paraId="662DA808" w14:textId="77777777" w:rsidR="003E28E5" w:rsidRPr="002F2FDF" w:rsidRDefault="003E28E5"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9439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 декабря 1917 г. (1 января 1918) в связи с общей ликвидацией деятельности Заготовительного комитета Вестингауз был осведомлен о канцеляции заказа как по основному контракту, так и опционов, которые предполагалось использовать. Вследствие этого приступлено было к ликвидации контракта. </w:t>
      </w:r>
    </w:p>
    <w:p w14:paraId="5161B6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Американское правительство выразило желание приобрести у Вестингауза 200 тыс. трехлинейных винтовок, которые он должен продолжать готовить после окончания русского заказа, с тем что оборудование завода не пойдет в ликвидацию и будет подготовлено к помещению заказа американского правительства на 15 тыс. пулеметных браунингов. </w:t>
      </w:r>
    </w:p>
    <w:p w14:paraId="2C97E0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итоге всех указанных выше перипетий по 1 января 1918 г. было принято 1 073 560 ружей. Из этого количества в Россию было отправлено 769 520 ружей, а остальные 304 040 русских ружей были отправлены по распоряжению британского правительства в Англию. Всего за весь заказ было уплачено 40 907 873 доллара. </w:t>
      </w:r>
    </w:p>
    <w:p w14:paraId="599429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итоге всех этих длинных и сложных перипетий первоначальный заказ на винтовки был выполнен Вестингаузом на 60% и срок исполнения этой части заказа был оттянут на 20 месяцев против контрактного (11329).</w:t>
      </w:r>
    </w:p>
    <w:p w14:paraId="2402C1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B9BBA2" w14:textId="77777777" w:rsidR="003E28E5" w:rsidRPr="002F2FDF" w:rsidRDefault="003E28E5"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декабря 1917 (1 января 1918) Центральная Рада объявила о выпуске новой украинской валюты - карбованца (4962).</w:t>
      </w:r>
    </w:p>
    <w:p w14:paraId="285FF8FD" w14:textId="77777777" w:rsidR="003E28E5" w:rsidRPr="002F2FDF" w:rsidRDefault="003E28E5"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15473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F59F1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9B6A3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20 де</w:t>
      </w:r>
      <w:r w:rsidRPr="002F2FDF">
        <w:rPr>
          <w:rFonts w:ascii="Times New Roman" w:hAnsi="Times New Roman" w:cs="Times New Roman"/>
          <w:color w:val="000000" w:themeColor="text1"/>
          <w:kern w:val="2"/>
          <w:sz w:val="16"/>
          <w:szCs w:val="16"/>
        </w:rPr>
        <w:softHyphen/>
        <w:t xml:space="preserve">кабря 1917 г. </w:t>
      </w:r>
      <w:r w:rsidR="00631AD8" w:rsidRPr="002F2FDF">
        <w:rPr>
          <w:rFonts w:ascii="Times New Roman" w:hAnsi="Times New Roman" w:cs="Times New Roman"/>
          <w:color w:val="000000" w:themeColor="text1"/>
          <w:kern w:val="2"/>
          <w:sz w:val="16"/>
          <w:szCs w:val="16"/>
        </w:rPr>
        <w:t xml:space="preserve">(2 января 1918) </w:t>
      </w:r>
      <w:r w:rsidRPr="002F2FDF">
        <w:rPr>
          <w:rFonts w:ascii="Times New Roman" w:hAnsi="Times New Roman" w:cs="Times New Roman"/>
          <w:color w:val="000000" w:themeColor="text1"/>
          <w:kern w:val="2"/>
          <w:sz w:val="16"/>
          <w:szCs w:val="16"/>
        </w:rPr>
        <w:t>были назначены первые летные испытания самолета Ботезата. Летчик порулил минут 15 на собранном самолете и заявил о своей готовности лететь. были назначены Блестевший под зимним солнцем металлической обшивкой самолет стоял перед ангаром. Летчик занял свое место. По договоренно</w:t>
      </w:r>
      <w:r w:rsidRPr="002F2FDF">
        <w:rPr>
          <w:rFonts w:ascii="Times New Roman" w:hAnsi="Times New Roman" w:cs="Times New Roman"/>
          <w:color w:val="000000" w:themeColor="text1"/>
          <w:kern w:val="2"/>
          <w:sz w:val="16"/>
          <w:szCs w:val="16"/>
        </w:rPr>
        <w:softHyphen/>
        <w:t>сти с Ботезатом он должен был сначала сделать ряд небольших подле</w:t>
      </w:r>
      <w:r w:rsidRPr="002F2FDF">
        <w:rPr>
          <w:rFonts w:ascii="Times New Roman" w:hAnsi="Times New Roman" w:cs="Times New Roman"/>
          <w:color w:val="000000" w:themeColor="text1"/>
          <w:kern w:val="2"/>
          <w:sz w:val="16"/>
          <w:szCs w:val="16"/>
        </w:rPr>
        <w:softHyphen/>
        <w:t>тов, почувствовать машину, убедиться в ее пилотажных качествах и уж только потом идти в полет по кругу. Горе-пилот спутал все планы. Резко взяв с места, он добежал до се</w:t>
      </w:r>
      <w:r w:rsidRPr="002F2FDF">
        <w:rPr>
          <w:rFonts w:ascii="Times New Roman" w:hAnsi="Times New Roman" w:cs="Times New Roman"/>
          <w:color w:val="000000" w:themeColor="text1"/>
          <w:kern w:val="2"/>
          <w:sz w:val="16"/>
          <w:szCs w:val="16"/>
        </w:rPr>
        <w:softHyphen/>
        <w:t>редины взлетной полосы, сделал два-три коротких прыжка и, вдруг, под</w:t>
      </w:r>
      <w:r w:rsidRPr="002F2FDF">
        <w:rPr>
          <w:rFonts w:ascii="Times New Roman" w:hAnsi="Times New Roman" w:cs="Times New Roman"/>
          <w:color w:val="000000" w:themeColor="text1"/>
          <w:kern w:val="2"/>
          <w:sz w:val="16"/>
          <w:szCs w:val="16"/>
        </w:rPr>
        <w:softHyphen/>
        <w:t>скочил на шесть-семь метров. Наблюдавшие с земли механики и рабочие ДЕКА потом утверждали: “Поперечная устойчивость аэроплана была по</w:t>
      </w:r>
      <w:r w:rsidRPr="002F2FDF">
        <w:rPr>
          <w:rFonts w:ascii="Times New Roman" w:hAnsi="Times New Roman" w:cs="Times New Roman"/>
          <w:color w:val="000000" w:themeColor="text1"/>
          <w:kern w:val="2"/>
          <w:sz w:val="16"/>
          <w:szCs w:val="16"/>
        </w:rPr>
        <w:softHyphen/>
        <w:t>разительная, не было заметно, чтобы он покачнулся”. Самолет шел на одной высоте, приближаясь к концу аэродрома. Все, кто следил за поле</w:t>
      </w:r>
      <w:r w:rsidRPr="002F2FDF">
        <w:rPr>
          <w:rFonts w:ascii="Times New Roman" w:hAnsi="Times New Roman" w:cs="Times New Roman"/>
          <w:color w:val="000000" w:themeColor="text1"/>
          <w:kern w:val="2"/>
          <w:sz w:val="16"/>
          <w:szCs w:val="16"/>
        </w:rPr>
        <w:softHyphen/>
        <w:t>том были в ужасе. Летчик точно шел на стоящую там одинокую березу. Он заметил ее только в нескольких метрах, попытался поднять самолет, но было уже поздно. Грациозный серебрянный самолет, качнувшись на правое крыло, рухнул с работающим мотором на левое, едва не убив случай</w:t>
      </w:r>
      <w:r w:rsidRPr="002F2FDF">
        <w:rPr>
          <w:rFonts w:ascii="Times New Roman" w:hAnsi="Times New Roman" w:cs="Times New Roman"/>
          <w:color w:val="000000" w:themeColor="text1"/>
          <w:kern w:val="2"/>
          <w:sz w:val="16"/>
          <w:szCs w:val="16"/>
        </w:rPr>
        <w:softHyphen/>
        <w:t>но оказавшегося там зеваку. Когда присутствующие подбежали к месту падения, красавец само</w:t>
      </w:r>
      <w:r w:rsidRPr="002F2FDF">
        <w:rPr>
          <w:rFonts w:ascii="Times New Roman" w:hAnsi="Times New Roman" w:cs="Times New Roman"/>
          <w:color w:val="000000" w:themeColor="text1"/>
          <w:kern w:val="2"/>
          <w:sz w:val="16"/>
          <w:szCs w:val="16"/>
        </w:rPr>
        <w:softHyphen/>
        <w:t>лет лежал, уткнувшись носом в землю. Полумонококовая конструкция гон</w:t>
      </w:r>
      <w:r w:rsidRPr="002F2FDF">
        <w:rPr>
          <w:rFonts w:ascii="Times New Roman" w:hAnsi="Times New Roman" w:cs="Times New Roman"/>
          <w:color w:val="000000" w:themeColor="text1"/>
          <w:kern w:val="2"/>
          <w:sz w:val="16"/>
          <w:szCs w:val="16"/>
        </w:rPr>
        <w:softHyphen/>
        <w:t>долы выдержала удар, все остальное было искорежено. Виновника выта</w:t>
      </w:r>
      <w:r w:rsidRPr="002F2FDF">
        <w:rPr>
          <w:rFonts w:ascii="Times New Roman" w:hAnsi="Times New Roman" w:cs="Times New Roman"/>
          <w:color w:val="000000" w:themeColor="text1"/>
          <w:kern w:val="2"/>
          <w:sz w:val="16"/>
          <w:szCs w:val="16"/>
        </w:rPr>
        <w:softHyphen/>
        <w:t>щили через окно. Он был цел и невредим, только гордо демонстрировал всем окровавленный палец. На вопрос, почему он нарушил полетное за</w:t>
      </w:r>
      <w:r w:rsidRPr="002F2FDF">
        <w:rPr>
          <w:rFonts w:ascii="Times New Roman" w:hAnsi="Times New Roman" w:cs="Times New Roman"/>
          <w:color w:val="000000" w:themeColor="text1"/>
          <w:kern w:val="2"/>
          <w:sz w:val="16"/>
          <w:szCs w:val="16"/>
        </w:rPr>
        <w:softHyphen/>
        <w:t>дание, горе-летчик признался, что при подлетах набрал слишком высо</w:t>
      </w:r>
      <w:r w:rsidRPr="002F2FDF">
        <w:rPr>
          <w:rFonts w:ascii="Times New Roman" w:hAnsi="Times New Roman" w:cs="Times New Roman"/>
          <w:color w:val="000000" w:themeColor="text1"/>
          <w:kern w:val="2"/>
          <w:sz w:val="16"/>
          <w:szCs w:val="16"/>
        </w:rPr>
        <w:softHyphen/>
        <w:t>кую скорость, не заметил приближения конца аэродрома, растерялся и не смог остановить самолет. Поздно заметив березу, он попытался “пе</w:t>
      </w:r>
      <w:r w:rsidRPr="002F2FDF">
        <w:rPr>
          <w:rFonts w:ascii="Times New Roman" w:hAnsi="Times New Roman" w:cs="Times New Roman"/>
          <w:color w:val="000000" w:themeColor="text1"/>
          <w:kern w:val="2"/>
          <w:sz w:val="16"/>
          <w:szCs w:val="16"/>
        </w:rPr>
        <w:softHyphen/>
        <w:t>рескочить через нее и уйти на круг”, но это оказалось ему не под силу. Самолет зацепился хвостом за березу, вывернул руль поворота, сломал винт, осколки которого повредили ферму.</w:t>
      </w:r>
    </w:p>
    <w:p w14:paraId="6D46FDF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Военное ведомство считало схему самолета Ботезата “нерациональ</w:t>
      </w:r>
      <w:r w:rsidRPr="002F2FDF">
        <w:rPr>
          <w:rFonts w:ascii="Times New Roman" w:hAnsi="Times New Roman" w:cs="Times New Roman"/>
          <w:color w:val="000000" w:themeColor="text1"/>
          <w:kern w:val="2"/>
          <w:sz w:val="16"/>
          <w:szCs w:val="16"/>
        </w:rPr>
        <w:softHyphen/>
        <w:t>ной”. От его ремонта отказались под предлогом, что “в связи с отъездом автора за границу без его личного руководства трудно ожидать положи</w:t>
      </w:r>
      <w:r w:rsidRPr="002F2FDF">
        <w:rPr>
          <w:rFonts w:ascii="Times New Roman" w:hAnsi="Times New Roman" w:cs="Times New Roman"/>
          <w:color w:val="000000" w:themeColor="text1"/>
          <w:kern w:val="2"/>
          <w:sz w:val="16"/>
          <w:szCs w:val="16"/>
        </w:rPr>
        <w:softHyphen/>
        <w:t>тельных результатов”. Так печально закончилась попытка опытной пост</w:t>
      </w:r>
      <w:r w:rsidRPr="002F2FDF">
        <w:rPr>
          <w:rFonts w:ascii="Times New Roman" w:hAnsi="Times New Roman" w:cs="Times New Roman"/>
          <w:color w:val="000000" w:themeColor="text1"/>
          <w:kern w:val="2"/>
          <w:sz w:val="16"/>
          <w:szCs w:val="16"/>
        </w:rPr>
        <w:softHyphen/>
        <w:t>ройки самолета, который можно считать одним из первых самолетов, снаб</w:t>
      </w:r>
      <w:r w:rsidRPr="002F2FDF">
        <w:rPr>
          <w:rFonts w:ascii="Times New Roman" w:hAnsi="Times New Roman" w:cs="Times New Roman"/>
          <w:color w:val="000000" w:themeColor="text1"/>
          <w:kern w:val="2"/>
          <w:sz w:val="16"/>
          <w:szCs w:val="16"/>
        </w:rPr>
        <w:softHyphen/>
        <w:t>женных автопилотом. Машина представляла собой большой трехстоечный биплан с фер-менным хвостом. Размах верхнего крыла превышал размах нижнего. Про</w:t>
      </w:r>
      <w:r w:rsidRPr="002F2FDF">
        <w:rPr>
          <w:rFonts w:ascii="Times New Roman" w:hAnsi="Times New Roman" w:cs="Times New Roman"/>
          <w:color w:val="000000" w:themeColor="text1"/>
          <w:kern w:val="2"/>
          <w:sz w:val="16"/>
          <w:szCs w:val="16"/>
        </w:rPr>
        <w:softHyphen/>
        <w:t>межуточные коробки крыльев создавали поперечное V и придавали несу</w:t>
      </w:r>
      <w:r w:rsidRPr="002F2FDF">
        <w:rPr>
          <w:rFonts w:ascii="Times New Roman" w:hAnsi="Times New Roman" w:cs="Times New Roman"/>
          <w:color w:val="000000" w:themeColor="text1"/>
          <w:kern w:val="2"/>
          <w:sz w:val="16"/>
          <w:szCs w:val="16"/>
        </w:rPr>
        <w:softHyphen/>
        <w:t>щим поверхностям при виде спереди характерную форму чайки. Это было сделано Ботезатом для повышения поперечной устойчивости самолета. Удобообтекаемый совершенных аэродинамических форм фюзеляж-гон</w:t>
      </w:r>
      <w:r w:rsidRPr="002F2FDF">
        <w:rPr>
          <w:rFonts w:ascii="Times New Roman" w:hAnsi="Times New Roman" w:cs="Times New Roman"/>
          <w:color w:val="000000" w:themeColor="text1"/>
          <w:kern w:val="2"/>
          <w:sz w:val="16"/>
          <w:szCs w:val="16"/>
        </w:rPr>
        <w:softHyphen/>
        <w:t>дола имел передовую по тому времени полумонококовую конструкцию, которая начиналось большой закрытой стеклянной кабиной для пилота.</w:t>
      </w:r>
    </w:p>
    <w:p w14:paraId="578B120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пилотским креслом оставалось место для размещения еще одно</w:t>
      </w:r>
      <w:r w:rsidRPr="002F2FDF">
        <w:rPr>
          <w:rFonts w:ascii="Times New Roman" w:hAnsi="Times New Roman" w:cs="Times New Roman"/>
          <w:color w:val="000000" w:themeColor="text1"/>
          <w:kern w:val="2"/>
          <w:sz w:val="16"/>
          <w:szCs w:val="16"/>
        </w:rPr>
        <w:softHyphen/>
        <w:t>го-двух человек или груза. Заднюю часть гондолы занимало моторное от</w:t>
      </w:r>
      <w:r w:rsidRPr="002F2FDF">
        <w:rPr>
          <w:rFonts w:ascii="Times New Roman" w:hAnsi="Times New Roman" w:cs="Times New Roman"/>
          <w:color w:val="000000" w:themeColor="text1"/>
          <w:kern w:val="2"/>
          <w:sz w:val="16"/>
          <w:szCs w:val="16"/>
        </w:rPr>
        <w:softHyphen/>
        <w:t>деление, в котором находился двигатель “Рено” в 220 л.с. с толкающим винтом, причем механик имел возможность доступа к нему в полете. Топ</w:t>
      </w:r>
      <w:r w:rsidRPr="002F2FDF">
        <w:rPr>
          <w:rFonts w:ascii="Times New Roman" w:hAnsi="Times New Roman" w:cs="Times New Roman"/>
          <w:color w:val="000000" w:themeColor="text1"/>
          <w:kern w:val="2"/>
          <w:sz w:val="16"/>
          <w:szCs w:val="16"/>
        </w:rPr>
        <w:softHyphen/>
        <w:t>ливные и масляные баки располагались над двигателем, а еще выше был установлен выхлоп с глушителем системы Еремеева. Два радиатора ох</w:t>
      </w:r>
      <w:r w:rsidRPr="002F2FDF">
        <w:rPr>
          <w:rFonts w:ascii="Times New Roman" w:hAnsi="Times New Roman" w:cs="Times New Roman"/>
          <w:color w:val="000000" w:themeColor="text1"/>
          <w:kern w:val="2"/>
          <w:sz w:val="16"/>
          <w:szCs w:val="16"/>
        </w:rPr>
        <w:softHyphen/>
        <w:t>лаждения были установлены по бокам гондолы между крыльями. Задней частью фюзеляжа служила ферма по типу “Вуазена” из стальных труб с четырьмя силовыми рамами. Ботезат рассматривал возможность замены двигателя на “Рено” в 300 л.с., конструкция позволяла сделать это.</w:t>
      </w:r>
    </w:p>
    <w:p w14:paraId="0D4064A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Нижнее и верхнее крылья имели одинаковую хорду, равную по раз</w:t>
      </w:r>
      <w:r w:rsidRPr="002F2FDF">
        <w:rPr>
          <w:rFonts w:ascii="Times New Roman" w:hAnsi="Times New Roman" w:cs="Times New Roman"/>
          <w:color w:val="000000" w:themeColor="text1"/>
          <w:kern w:val="2"/>
          <w:sz w:val="16"/>
          <w:szCs w:val="16"/>
        </w:rPr>
        <w:softHyphen/>
        <w:t>маху. Каждое крыло состояло из двух стальных лонжеронов, металличес</w:t>
      </w:r>
      <w:r w:rsidRPr="002F2FDF">
        <w:rPr>
          <w:rFonts w:ascii="Times New Roman" w:hAnsi="Times New Roman" w:cs="Times New Roman"/>
          <w:color w:val="000000" w:themeColor="text1"/>
          <w:kern w:val="2"/>
          <w:sz w:val="16"/>
          <w:szCs w:val="16"/>
        </w:rPr>
        <w:softHyphen/>
        <w:t>ких кромок, деревянных нервюр и полотняной обшивки с металлически</w:t>
      </w:r>
      <w:r w:rsidRPr="002F2FDF">
        <w:rPr>
          <w:rFonts w:ascii="Times New Roman" w:hAnsi="Times New Roman" w:cs="Times New Roman"/>
          <w:color w:val="000000" w:themeColor="text1"/>
          <w:kern w:val="2"/>
          <w:sz w:val="16"/>
          <w:szCs w:val="16"/>
        </w:rPr>
        <w:softHyphen/>
        <w:t>ми накладками. Профилированные стойки и подкосы верхнего крыла были сделаны из металла. Сильно развитые элероны большой площади нахо</w:t>
      </w:r>
      <w:r w:rsidRPr="002F2FDF">
        <w:rPr>
          <w:rFonts w:ascii="Times New Roman" w:hAnsi="Times New Roman" w:cs="Times New Roman"/>
          <w:color w:val="000000" w:themeColor="text1"/>
          <w:kern w:val="2"/>
          <w:sz w:val="16"/>
          <w:szCs w:val="16"/>
        </w:rPr>
        <w:softHyphen/>
        <w:t>дились на верхнем крыле, содержали по 11 нервюр и имели по два ры</w:t>
      </w:r>
      <w:r w:rsidRPr="002F2FDF">
        <w:rPr>
          <w:rFonts w:ascii="Times New Roman" w:hAnsi="Times New Roman" w:cs="Times New Roman"/>
          <w:color w:val="000000" w:themeColor="text1"/>
          <w:kern w:val="2"/>
          <w:sz w:val="16"/>
          <w:szCs w:val="16"/>
        </w:rPr>
        <w:softHyphen/>
        <w:t>чажка управления.</w:t>
      </w:r>
    </w:p>
    <w:p w14:paraId="7A620BA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Хвостовое оперение состояло из руля поворота и рулей высоты. Рули имели подкосы к ферме. Тросы управления от расчаленных рычажков на рулях тянулись вдоль балок фермы. В кабине пилота находился стандарт</w:t>
      </w:r>
      <w:r w:rsidRPr="002F2FDF">
        <w:rPr>
          <w:rFonts w:ascii="Times New Roman" w:hAnsi="Times New Roman" w:cs="Times New Roman"/>
          <w:color w:val="000000" w:themeColor="text1"/>
          <w:kern w:val="2"/>
          <w:sz w:val="16"/>
          <w:szCs w:val="16"/>
        </w:rPr>
        <w:softHyphen/>
        <w:t>ный набор рычагов управления. В дальнейшем на самолете предполага</w:t>
      </w:r>
      <w:r w:rsidRPr="002F2FDF">
        <w:rPr>
          <w:rFonts w:ascii="Times New Roman" w:hAnsi="Times New Roman" w:cs="Times New Roman"/>
          <w:color w:val="000000" w:themeColor="text1"/>
          <w:kern w:val="2"/>
          <w:sz w:val="16"/>
          <w:szCs w:val="16"/>
        </w:rPr>
        <w:softHyphen/>
        <w:t>лась установка гироскопического автопилота.</w:t>
      </w:r>
    </w:p>
    <w:p w14:paraId="1E66976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Шасси обычное трехстоечное, с задней опорой. Ферменная конст</w:t>
      </w:r>
      <w:r w:rsidRPr="002F2FDF">
        <w:rPr>
          <w:rFonts w:ascii="Times New Roman" w:hAnsi="Times New Roman" w:cs="Times New Roman"/>
          <w:color w:val="000000" w:themeColor="text1"/>
          <w:kern w:val="2"/>
          <w:sz w:val="16"/>
          <w:szCs w:val="16"/>
        </w:rPr>
        <w:softHyphen/>
        <w:t>рукция была выполнена из стальных труб. Поскольку начать испытания планировали зимой, поэтому на самолет установили плоские алюминие</w:t>
      </w:r>
      <w:r w:rsidRPr="002F2FDF">
        <w:rPr>
          <w:rFonts w:ascii="Times New Roman" w:hAnsi="Times New Roman" w:cs="Times New Roman"/>
          <w:color w:val="000000" w:themeColor="text1"/>
          <w:kern w:val="2"/>
          <w:sz w:val="16"/>
          <w:szCs w:val="16"/>
        </w:rPr>
        <w:softHyphen/>
        <w:t>вые лыжи без обтекателей.</w:t>
      </w:r>
    </w:p>
    <w:p w14:paraId="60CA529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Автоматическое равновесие в полете обеспечивалось с помощью специального прибора, сконструированного по принципу гироскопа. К сожалению, чертежи этой интересной машины не сохранились.</w:t>
      </w:r>
    </w:p>
    <w:p w14:paraId="4CCFF38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Истребитель Ботезата был передовым для своего времени не толь</w:t>
      </w:r>
      <w:r w:rsidRPr="002F2FDF">
        <w:rPr>
          <w:rFonts w:ascii="Times New Roman" w:hAnsi="Times New Roman" w:cs="Times New Roman"/>
          <w:color w:val="000000" w:themeColor="text1"/>
          <w:kern w:val="2"/>
          <w:sz w:val="16"/>
          <w:szCs w:val="16"/>
        </w:rPr>
        <w:softHyphen/>
        <w:t>ко по аэродинамике, но и по конструкции и применяемым материалам. По общим размерам он представлял собой крупнейший одномоторный ап</w:t>
      </w:r>
      <w:r w:rsidRPr="002F2FDF">
        <w:rPr>
          <w:rFonts w:ascii="Times New Roman" w:hAnsi="Times New Roman" w:cs="Times New Roman"/>
          <w:color w:val="000000" w:themeColor="text1"/>
          <w:kern w:val="2"/>
          <w:sz w:val="16"/>
          <w:szCs w:val="16"/>
        </w:rPr>
        <w:softHyphen/>
        <w:t>парат отечественной конструкции.</w:t>
      </w:r>
    </w:p>
    <w:p w14:paraId="60BD649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Самолет был готов, однако возникла проблема с летчиком-испыта</w:t>
      </w:r>
      <w:r w:rsidRPr="002F2FDF">
        <w:rPr>
          <w:rFonts w:ascii="Times New Roman" w:hAnsi="Times New Roman" w:cs="Times New Roman"/>
          <w:color w:val="000000" w:themeColor="text1"/>
          <w:kern w:val="2"/>
          <w:sz w:val="16"/>
          <w:szCs w:val="16"/>
        </w:rPr>
        <w:softHyphen/>
        <w:t>телем. Многие опытные пилоты после революции покинули Петроград. Ботезату рекомендовали летчика, который почти никогда не летал, но зато обладал несомненным достоинством - “стоял на большевистских пози</w:t>
      </w:r>
      <w:r w:rsidRPr="002F2FDF">
        <w:rPr>
          <w:rFonts w:ascii="Times New Roman" w:hAnsi="Times New Roman" w:cs="Times New Roman"/>
          <w:color w:val="000000" w:themeColor="text1"/>
          <w:kern w:val="2"/>
          <w:sz w:val="16"/>
          <w:szCs w:val="16"/>
        </w:rPr>
        <w:softHyphen/>
        <w:t>циях”. Выбирать не приходилось (11425).</w:t>
      </w:r>
    </w:p>
    <w:p w14:paraId="5CC9E98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118C21" w14:textId="77777777" w:rsidR="002F382F" w:rsidRPr="002F2FDF" w:rsidRDefault="002F382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20 декаб</w:t>
      </w:r>
      <w:r w:rsidRPr="002F2FDF">
        <w:rPr>
          <w:rFonts w:ascii="Times New Roman" w:hAnsi="Times New Roman" w:cs="Times New Roman"/>
          <w:color w:val="000000" w:themeColor="text1"/>
          <w:kern w:val="2"/>
          <w:sz w:val="16"/>
          <w:szCs w:val="16"/>
        </w:rPr>
        <w:softHyphen/>
        <w:t>ря 1917 г. (2 января 1918) были назначены первые летные испытания истребителя Ботезата. Блестевший под зимним солнцем металлической обшивкой само</w:t>
      </w:r>
      <w:r w:rsidRPr="002F2FDF">
        <w:rPr>
          <w:rFonts w:ascii="Times New Roman" w:hAnsi="Times New Roman" w:cs="Times New Roman"/>
          <w:color w:val="000000" w:themeColor="text1"/>
          <w:kern w:val="2"/>
          <w:sz w:val="16"/>
          <w:szCs w:val="16"/>
        </w:rPr>
        <w:softHyphen/>
        <w:t>лет стоял перед ангаром. Летчик занял свое место. По договоренности с Боте</w:t>
      </w:r>
      <w:r w:rsidRPr="002F2FDF">
        <w:rPr>
          <w:rFonts w:ascii="Times New Roman" w:hAnsi="Times New Roman" w:cs="Times New Roman"/>
          <w:color w:val="000000" w:themeColor="text1"/>
          <w:kern w:val="2"/>
          <w:sz w:val="16"/>
          <w:szCs w:val="16"/>
        </w:rPr>
        <w:softHyphen/>
        <w:t>затом он должен был сначала сделать ряд небольших подлетов, почувство</w:t>
      </w:r>
      <w:r w:rsidRPr="002F2FDF">
        <w:rPr>
          <w:rFonts w:ascii="Times New Roman" w:hAnsi="Times New Roman" w:cs="Times New Roman"/>
          <w:color w:val="000000" w:themeColor="text1"/>
          <w:kern w:val="2"/>
          <w:sz w:val="16"/>
          <w:szCs w:val="16"/>
        </w:rPr>
        <w:softHyphen/>
        <w:t>вать машину, убедиться в ее пилотажных качествах и уж только потом идти в полет по кругу. Горе-пилот спутал все планы. Резко взяв с места, он добежал до середины взлетной полосы, сделал два-три коротких прыжка и вдруг под</w:t>
      </w:r>
      <w:r w:rsidRPr="002F2FDF">
        <w:rPr>
          <w:rFonts w:ascii="Times New Roman" w:hAnsi="Times New Roman" w:cs="Times New Roman"/>
          <w:color w:val="000000" w:themeColor="text1"/>
          <w:kern w:val="2"/>
          <w:sz w:val="16"/>
          <w:szCs w:val="16"/>
        </w:rPr>
        <w:softHyphen/>
        <w:t>скочил на шесть-семь метров. Наблюдавшие с земли механики и рабочие «ДЕКА» потом утверждали: «Поперечная устойчивость аэроплана была по</w:t>
      </w:r>
      <w:r w:rsidRPr="002F2FDF">
        <w:rPr>
          <w:rFonts w:ascii="Times New Roman" w:hAnsi="Times New Roman" w:cs="Times New Roman"/>
          <w:color w:val="000000" w:themeColor="text1"/>
          <w:kern w:val="2"/>
          <w:sz w:val="16"/>
          <w:szCs w:val="16"/>
        </w:rPr>
        <w:softHyphen/>
        <w:t>разительная, не было заметно, чтобы он покачнулся» Самолет шел на од</w:t>
      </w:r>
      <w:r w:rsidRPr="002F2FDF">
        <w:rPr>
          <w:rFonts w:ascii="Times New Roman" w:hAnsi="Times New Roman" w:cs="Times New Roman"/>
          <w:color w:val="000000" w:themeColor="text1"/>
          <w:kern w:val="2"/>
          <w:sz w:val="16"/>
          <w:szCs w:val="16"/>
        </w:rPr>
        <w:softHyphen/>
        <w:t>ной высоте, приближаясь к концу аэродрома. Все, кто следил за полетом, были в ужасе. Летчик точно шел на стоящую там одинокую березу. Он заме</w:t>
      </w:r>
      <w:r w:rsidRPr="002F2FDF">
        <w:rPr>
          <w:rFonts w:ascii="Times New Roman" w:hAnsi="Times New Roman" w:cs="Times New Roman"/>
          <w:color w:val="000000" w:themeColor="text1"/>
          <w:kern w:val="2"/>
          <w:sz w:val="16"/>
          <w:szCs w:val="16"/>
        </w:rPr>
        <w:softHyphen/>
        <w:t>тил ее только в нескольких метрах, попытался поднять самолет, но было уже поздно. Грациозный серебряный самолет, качнувшись на правое крыло, рух</w:t>
      </w:r>
      <w:r w:rsidRPr="002F2FDF">
        <w:rPr>
          <w:rFonts w:ascii="Times New Roman" w:hAnsi="Times New Roman" w:cs="Times New Roman"/>
          <w:color w:val="000000" w:themeColor="text1"/>
          <w:kern w:val="2"/>
          <w:sz w:val="16"/>
          <w:szCs w:val="16"/>
        </w:rPr>
        <w:softHyphen/>
        <w:t>нул с работающим мотором на левое, едва не убив случайно оказавшегося там зеваку. Когда присутствующие подбежали к месту падения, красавец-самолет ле</w:t>
      </w:r>
      <w:r w:rsidRPr="002F2FDF">
        <w:rPr>
          <w:rFonts w:ascii="Times New Roman" w:hAnsi="Times New Roman" w:cs="Times New Roman"/>
          <w:color w:val="000000" w:themeColor="text1"/>
          <w:kern w:val="2"/>
          <w:sz w:val="16"/>
          <w:szCs w:val="16"/>
        </w:rPr>
        <w:softHyphen/>
        <w:t>жал, уткнувшись носом в землю. Полумонококовая конструкция гондолы выдержала удар, все остальное было искорежено. Виновника вытащили через окно. Он был цел и невредим, только гордо демонстрировал всем окровавлен</w:t>
      </w:r>
      <w:r w:rsidRPr="002F2FDF">
        <w:rPr>
          <w:rFonts w:ascii="Times New Roman" w:hAnsi="Times New Roman" w:cs="Times New Roman"/>
          <w:color w:val="000000" w:themeColor="text1"/>
          <w:kern w:val="2"/>
          <w:sz w:val="16"/>
          <w:szCs w:val="16"/>
        </w:rPr>
        <w:softHyphen/>
        <w:t>ный палец. На вопрос, почему он нарушил полетное задание, горе-летчик при</w:t>
      </w:r>
      <w:r w:rsidRPr="002F2FDF">
        <w:rPr>
          <w:rFonts w:ascii="Times New Roman" w:hAnsi="Times New Roman" w:cs="Times New Roman"/>
          <w:color w:val="000000" w:themeColor="text1"/>
          <w:kern w:val="2"/>
          <w:sz w:val="16"/>
          <w:szCs w:val="16"/>
        </w:rPr>
        <w:softHyphen/>
        <w:t>знался, что при подлетах набрал слишком высокую скорость, не заметил при</w:t>
      </w:r>
      <w:r w:rsidRPr="002F2FDF">
        <w:rPr>
          <w:rFonts w:ascii="Times New Roman" w:hAnsi="Times New Roman" w:cs="Times New Roman"/>
          <w:color w:val="000000" w:themeColor="text1"/>
          <w:kern w:val="2"/>
          <w:sz w:val="16"/>
          <w:szCs w:val="16"/>
        </w:rPr>
        <w:softHyphen/>
        <w:t xml:space="preserve">ближения конца аэродрома, </w:t>
      </w:r>
      <w:r w:rsidRPr="002F2FDF">
        <w:rPr>
          <w:rFonts w:ascii="Times New Roman" w:hAnsi="Times New Roman" w:cs="Times New Roman"/>
          <w:color w:val="000000" w:themeColor="text1"/>
          <w:kern w:val="2"/>
          <w:sz w:val="16"/>
          <w:szCs w:val="16"/>
        </w:rPr>
        <w:lastRenderedPageBreak/>
        <w:t>расстерялся и не смог остановить самолет. По</w:t>
      </w:r>
      <w:r w:rsidRPr="002F2FDF">
        <w:rPr>
          <w:rFonts w:ascii="Times New Roman" w:hAnsi="Times New Roman" w:cs="Times New Roman"/>
          <w:color w:val="000000" w:themeColor="text1"/>
          <w:kern w:val="2"/>
          <w:sz w:val="16"/>
          <w:szCs w:val="16"/>
        </w:rPr>
        <w:softHyphen/>
        <w:t>здно заметив березу, он попытался «перескочить через нее и уйти на круг», но это оказалось ему не под силу. Самолет зацепился хвостом за березу, вывер</w:t>
      </w:r>
      <w:r w:rsidRPr="002F2FDF">
        <w:rPr>
          <w:rFonts w:ascii="Times New Roman" w:hAnsi="Times New Roman" w:cs="Times New Roman"/>
          <w:color w:val="000000" w:themeColor="text1"/>
          <w:kern w:val="2"/>
          <w:sz w:val="16"/>
          <w:szCs w:val="16"/>
        </w:rPr>
        <w:softHyphen/>
        <w:t>нул руль поворота, сломал винт, осколки которого повредили ферму. «Во время полета аэроплан был устойчив, слушался рулей, развил боль</w:t>
      </w:r>
      <w:r w:rsidRPr="002F2FDF">
        <w:rPr>
          <w:rFonts w:ascii="Times New Roman" w:hAnsi="Times New Roman" w:cs="Times New Roman"/>
          <w:color w:val="000000" w:themeColor="text1"/>
          <w:kern w:val="2"/>
          <w:sz w:val="16"/>
          <w:szCs w:val="16"/>
        </w:rPr>
        <w:softHyphen/>
        <w:t>шую скорость, никаких неправильностей не заметил», — указал в объясни</w:t>
      </w:r>
      <w:r w:rsidRPr="002F2FDF">
        <w:rPr>
          <w:rFonts w:ascii="Times New Roman" w:hAnsi="Times New Roman" w:cs="Times New Roman"/>
          <w:color w:val="000000" w:themeColor="text1"/>
          <w:kern w:val="2"/>
          <w:sz w:val="16"/>
          <w:szCs w:val="16"/>
        </w:rPr>
        <w:softHyphen/>
        <w:t>тельной записке виновник аварии (15740).</w:t>
      </w:r>
    </w:p>
    <w:p w14:paraId="4139B9E3" w14:textId="77777777" w:rsidR="002F382F" w:rsidRPr="002F2FDF" w:rsidRDefault="002F382F" w:rsidP="0083075A">
      <w:pPr>
        <w:spacing w:after="0" w:line="240" w:lineRule="auto"/>
        <w:jc w:val="both"/>
        <w:rPr>
          <w:rFonts w:ascii="Times New Roman" w:hAnsi="Times New Roman" w:cs="Times New Roman"/>
          <w:color w:val="000000" w:themeColor="text1"/>
          <w:kern w:val="2"/>
          <w:sz w:val="16"/>
          <w:szCs w:val="16"/>
        </w:rPr>
      </w:pPr>
    </w:p>
    <w:p w14:paraId="6B89B622" w14:textId="26695419" w:rsidR="00765CAE" w:rsidRPr="00FB4F67" w:rsidRDefault="00765CA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20 дека</w:t>
      </w:r>
      <w:r w:rsidRPr="00FB4F67">
        <w:rPr>
          <w:rFonts w:ascii="Times New Roman" w:hAnsi="Times New Roman" w:cs="Times New Roman"/>
          <w:color w:val="0070C0"/>
          <w:sz w:val="16"/>
          <w:szCs w:val="16"/>
        </w:rPr>
        <w:softHyphen/>
        <w:t xml:space="preserve">бря 1917 г. </w:t>
      </w:r>
      <w:r>
        <w:rPr>
          <w:rFonts w:ascii="Times New Roman" w:hAnsi="Times New Roman" w:cs="Times New Roman"/>
          <w:color w:val="0070C0"/>
          <w:sz w:val="16"/>
          <w:szCs w:val="16"/>
        </w:rPr>
        <w:t xml:space="preserve">(2 января 1918 г.) </w:t>
      </w:r>
      <w:r w:rsidRPr="00FB4F67">
        <w:rPr>
          <w:rFonts w:ascii="Times New Roman" w:hAnsi="Times New Roman" w:cs="Times New Roman"/>
          <w:color w:val="0070C0"/>
          <w:sz w:val="16"/>
          <w:szCs w:val="16"/>
        </w:rPr>
        <w:t>состоялись испытания самолета Ботезата. К сожалению, летчик, взявший</w:t>
      </w:r>
      <w:r w:rsidRPr="00FB4F67">
        <w:rPr>
          <w:rFonts w:ascii="Times New Roman" w:hAnsi="Times New Roman" w:cs="Times New Roman"/>
          <w:color w:val="0070C0"/>
          <w:sz w:val="16"/>
          <w:szCs w:val="16"/>
        </w:rPr>
        <w:softHyphen/>
        <w:t>ся за проведение первого полета (имя его история умалчивает), оказался недостаточ</w:t>
      </w:r>
      <w:r w:rsidRPr="00FB4F67">
        <w:rPr>
          <w:rFonts w:ascii="Times New Roman" w:hAnsi="Times New Roman" w:cs="Times New Roman"/>
          <w:color w:val="0070C0"/>
          <w:sz w:val="16"/>
          <w:szCs w:val="16"/>
        </w:rPr>
        <w:softHyphen/>
        <w:t>но профессиональным, не справился с уп</w:t>
      </w:r>
      <w:r w:rsidRPr="00FB4F67">
        <w:rPr>
          <w:rFonts w:ascii="Times New Roman" w:hAnsi="Times New Roman" w:cs="Times New Roman"/>
          <w:color w:val="0070C0"/>
          <w:sz w:val="16"/>
          <w:szCs w:val="16"/>
        </w:rPr>
        <w:softHyphen/>
        <w:t>равлением и самолет разбил.</w:t>
      </w:r>
    </w:p>
    <w:p w14:paraId="1D1D1FA1" w14:textId="77777777" w:rsidR="00765CAE" w:rsidRPr="00FB4F67" w:rsidRDefault="00765CA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Истребитель Ботезат был готов осенью 1917 г. и представ</w:t>
      </w:r>
      <w:r w:rsidRPr="00FB4F67">
        <w:rPr>
          <w:rFonts w:ascii="Times New Roman" w:hAnsi="Times New Roman" w:cs="Times New Roman"/>
          <w:color w:val="0070C0"/>
          <w:sz w:val="16"/>
          <w:szCs w:val="16"/>
        </w:rPr>
        <w:softHyphen/>
        <w:t>лял собой крупный трехстоечный биплан с толкающим винтом, закрытой 3-местной пилотской кабиной-гондолой и ферменной хвостовой частью по типу французского самолета «Вуазен». Солидные размеры ап</w:t>
      </w:r>
      <w:r w:rsidRPr="00FB4F67">
        <w:rPr>
          <w:rFonts w:ascii="Times New Roman" w:hAnsi="Times New Roman" w:cs="Times New Roman"/>
          <w:color w:val="0070C0"/>
          <w:sz w:val="16"/>
          <w:szCs w:val="16"/>
        </w:rPr>
        <w:softHyphen/>
        <w:t>парата имели свое объяснение — в даль</w:t>
      </w:r>
      <w:r w:rsidRPr="00FB4F67">
        <w:rPr>
          <w:rFonts w:ascii="Times New Roman" w:hAnsi="Times New Roman" w:cs="Times New Roman"/>
          <w:color w:val="0070C0"/>
          <w:sz w:val="16"/>
          <w:szCs w:val="16"/>
        </w:rPr>
        <w:softHyphen/>
        <w:t>нейшем в носовой части гондолы экипажа предполагалось разместить 37-мм пушку.</w:t>
      </w:r>
    </w:p>
    <w:p w14:paraId="01531EE9" w14:textId="77777777" w:rsidR="00765CAE" w:rsidRPr="00FB4F67" w:rsidRDefault="00765CA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Двигатель «Рено» 220 л.с. размещался в кормовой части обтекаемой кабины, при этом имелась возможность обслуживания и ремонта силовой установки во время по</w:t>
      </w:r>
      <w:r w:rsidRPr="00FB4F67">
        <w:rPr>
          <w:rFonts w:ascii="Times New Roman" w:hAnsi="Times New Roman" w:cs="Times New Roman"/>
          <w:color w:val="0070C0"/>
          <w:sz w:val="16"/>
          <w:szCs w:val="16"/>
        </w:rPr>
        <w:softHyphen/>
        <w:t>лета.</w:t>
      </w:r>
    </w:p>
    <w:p w14:paraId="6CD585B1" w14:textId="77777777" w:rsidR="00765CAE" w:rsidRPr="00FB4F67" w:rsidRDefault="00765CA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Самолет строился в мастерских авиаци</w:t>
      </w:r>
      <w:r w:rsidRPr="00FB4F67">
        <w:rPr>
          <w:rFonts w:ascii="Times New Roman" w:hAnsi="Times New Roman" w:cs="Times New Roman"/>
          <w:color w:val="0070C0"/>
          <w:sz w:val="16"/>
          <w:szCs w:val="16"/>
        </w:rPr>
        <w:softHyphen/>
        <w:t>онного отделения акционерного общества ДЕКА (Товарищество Дюфлон, Константи</w:t>
      </w:r>
      <w:r w:rsidRPr="00FB4F67">
        <w:rPr>
          <w:rFonts w:ascii="Times New Roman" w:hAnsi="Times New Roman" w:cs="Times New Roman"/>
          <w:color w:val="0070C0"/>
          <w:sz w:val="16"/>
          <w:szCs w:val="16"/>
        </w:rPr>
        <w:softHyphen/>
        <w:t>нович и Ко)</w:t>
      </w:r>
    </w:p>
    <w:p w14:paraId="5676C838" w14:textId="77777777" w:rsidR="00765CAE" w:rsidRPr="00FB4F67" w:rsidRDefault="00765CA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Даже спустя год, в начале 1919 г., высказыва</w:t>
      </w:r>
      <w:r w:rsidRPr="00FB4F67">
        <w:rPr>
          <w:rFonts w:ascii="Times New Roman" w:hAnsi="Times New Roman" w:cs="Times New Roman"/>
          <w:color w:val="0070C0"/>
          <w:sz w:val="16"/>
          <w:szCs w:val="16"/>
        </w:rPr>
        <w:softHyphen/>
        <w:t>лись предложения о восстановлении само</w:t>
      </w:r>
      <w:r w:rsidRPr="00FB4F67">
        <w:rPr>
          <w:rFonts w:ascii="Times New Roman" w:hAnsi="Times New Roman" w:cs="Times New Roman"/>
          <w:color w:val="0070C0"/>
          <w:sz w:val="16"/>
          <w:szCs w:val="16"/>
        </w:rPr>
        <w:softHyphen/>
        <w:t>лета Ботезата, дальнейшего продолжения работа не имела (23374).</w:t>
      </w:r>
    </w:p>
    <w:p w14:paraId="25EBE789" w14:textId="77777777" w:rsidR="00765CAE" w:rsidRPr="00FB4F67" w:rsidRDefault="00765CAE" w:rsidP="0083075A">
      <w:pPr>
        <w:spacing w:after="0" w:line="240" w:lineRule="auto"/>
        <w:jc w:val="both"/>
        <w:rPr>
          <w:rFonts w:ascii="Times New Roman" w:hAnsi="Times New Roman" w:cs="Times New Roman"/>
          <w:color w:val="0070C0"/>
          <w:sz w:val="16"/>
          <w:szCs w:val="16"/>
        </w:rPr>
      </w:pPr>
    </w:p>
    <w:p w14:paraId="49B6EFB0"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ночь на 20 декабря 1917 г. (2 января 1918) в Петрограде на центральном авиаскладе произошел пожар, который уничтожил 335 новых моторов, полученных из-за границы, 700 пулеметов "Льюис" и "Виккерс" и другое авиационное имущество общей стоимостью 7 — 8 млн. рублей золотом (19929).</w:t>
      </w:r>
    </w:p>
    <w:p w14:paraId="0A161732" w14:textId="77777777" w:rsidR="008F4C3B" w:rsidRPr="002F2FDF" w:rsidRDefault="008F4C3B" w:rsidP="0083075A">
      <w:pPr>
        <w:spacing w:after="0" w:line="240" w:lineRule="auto"/>
        <w:jc w:val="both"/>
        <w:rPr>
          <w:rFonts w:ascii="Times New Roman" w:hAnsi="Times New Roman" w:cs="Times New Roman"/>
          <w:color w:val="000000" w:themeColor="text1"/>
          <w:sz w:val="16"/>
          <w:szCs w:val="16"/>
        </w:rPr>
      </w:pPr>
    </w:p>
    <w:p w14:paraId="5E9D028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487685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FEA39D" w14:textId="10CCDD42" w:rsidR="001E7FC5" w:rsidRPr="002F2FDF" w:rsidRDefault="001E7FC5" w:rsidP="0083075A">
      <w:pPr>
        <w:pStyle w:val="p1"/>
        <w:spacing w:before="0" w:beforeAutospacing="0" w:after="0" w:afterAutospacing="0"/>
        <w:jc w:val="both"/>
        <w:rPr>
          <w:color w:val="000000" w:themeColor="text1"/>
          <w:sz w:val="16"/>
          <w:szCs w:val="16"/>
        </w:rPr>
      </w:pPr>
      <w:r w:rsidRPr="002F2FDF">
        <w:rPr>
          <w:color w:val="000000" w:themeColor="text1"/>
          <w:sz w:val="16"/>
          <w:szCs w:val="16"/>
        </w:rPr>
        <w:t>20 декабря 1917 (2 янавря 1918) СНК обсуждал доклад Н.И. Подвойского (!) и П.А. Козьмина об аннулировании договоров и контрактов, заключенных Военным и Морским ведомствами, без уплаты неустоек. Именно на обсуждение этого пункта пригласили помощника комиссара Госбанка Н.П. Авилова</w:t>
      </w:r>
      <w:r w:rsidR="00E52569">
        <w:rPr>
          <w:color w:val="000000" w:themeColor="text1"/>
          <w:sz w:val="16"/>
          <w:szCs w:val="16"/>
        </w:rPr>
        <w:t xml:space="preserve"> </w:t>
      </w:r>
      <w:r w:rsidRPr="002F2FDF">
        <w:rPr>
          <w:rStyle w:val="af0"/>
          <w:rFonts w:eastAsiaTheme="majorEastAsia"/>
          <w:i w:val="0"/>
          <w:color w:val="000000" w:themeColor="text1"/>
          <w:sz w:val="16"/>
          <w:szCs w:val="16"/>
        </w:rPr>
        <w:t>(Глебова)</w:t>
      </w:r>
      <w:r w:rsidR="00E52569">
        <w:rPr>
          <w:color w:val="000000" w:themeColor="text1"/>
          <w:sz w:val="16"/>
          <w:szCs w:val="16"/>
        </w:rPr>
        <w:t xml:space="preserve"> </w:t>
      </w:r>
      <w:r w:rsidRPr="002F2FDF">
        <w:rPr>
          <w:color w:val="000000" w:themeColor="text1"/>
          <w:sz w:val="16"/>
          <w:szCs w:val="16"/>
        </w:rPr>
        <w:t>(c.-д. интернационалиста), а также левых эсеров В.А. Алгасова (фактически член коллегии НКВД) и А.Л. Колегаева (нарком земледелия). По итогам с редакционными изменениями был принят как декрет проект, предложенный Козьминым[212]: договоры были аннулированы (18385).</w:t>
      </w:r>
    </w:p>
    <w:p w14:paraId="14D75EB5" w14:textId="77777777" w:rsidR="001E7FC5" w:rsidRPr="002F2FDF" w:rsidRDefault="001E7FC5" w:rsidP="0083075A">
      <w:pPr>
        <w:pStyle w:val="ae"/>
        <w:spacing w:before="0" w:after="0"/>
        <w:jc w:val="both"/>
        <w:rPr>
          <w:color w:val="000000" w:themeColor="text1"/>
          <w:sz w:val="16"/>
          <w:szCs w:val="16"/>
        </w:rPr>
      </w:pPr>
    </w:p>
    <w:p w14:paraId="255900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20 декабря 1917 г. </w:t>
      </w:r>
      <w:r w:rsidR="00631AD8" w:rsidRPr="002F2FDF">
        <w:rPr>
          <w:rFonts w:ascii="Times New Roman" w:hAnsi="Times New Roman" w:cs="Times New Roman"/>
          <w:color w:val="000000" w:themeColor="text1"/>
          <w:kern w:val="2"/>
          <w:sz w:val="16"/>
          <w:szCs w:val="16"/>
        </w:rPr>
        <w:t>(</w:t>
      </w:r>
      <w:r w:rsidR="002F382F" w:rsidRPr="002F2FDF">
        <w:rPr>
          <w:rFonts w:ascii="Times New Roman" w:hAnsi="Times New Roman" w:cs="Times New Roman"/>
          <w:color w:val="000000" w:themeColor="text1"/>
          <w:kern w:val="2"/>
          <w:sz w:val="16"/>
          <w:szCs w:val="16"/>
        </w:rPr>
        <w:t xml:space="preserve">2 </w:t>
      </w:r>
      <w:r w:rsidR="00631AD8" w:rsidRPr="002F2FDF">
        <w:rPr>
          <w:rFonts w:ascii="Times New Roman" w:hAnsi="Times New Roman" w:cs="Times New Roman"/>
          <w:color w:val="000000" w:themeColor="text1"/>
          <w:kern w:val="2"/>
          <w:sz w:val="16"/>
          <w:szCs w:val="16"/>
        </w:rPr>
        <w:t xml:space="preserve">января 1918) </w:t>
      </w:r>
      <w:r w:rsidRPr="002F2FDF">
        <w:rPr>
          <w:rFonts w:ascii="Times New Roman" w:hAnsi="Times New Roman" w:cs="Times New Roman"/>
          <w:color w:val="000000" w:themeColor="text1"/>
          <w:kern w:val="2"/>
          <w:sz w:val="16"/>
          <w:szCs w:val="16"/>
        </w:rPr>
        <w:t>завод ВКЭ переименован в завод «Электросила-1» (Русско-Балтийский электротехнический завод, Российская электрическая компания "</w:t>
      </w:r>
      <w:r w:rsidRPr="002F2FDF">
        <w:rPr>
          <w:rFonts w:ascii="Times New Roman" w:hAnsi="Times New Roman" w:cs="Times New Roman"/>
          <w:color w:val="000000" w:themeColor="text1"/>
          <w:kern w:val="2"/>
          <w:sz w:val="16"/>
          <w:szCs w:val="16"/>
          <w:lang w:val="en-US"/>
        </w:rPr>
        <w:t>Union</w:t>
      </w:r>
      <w:r w:rsidRPr="002F2FDF">
        <w:rPr>
          <w:rFonts w:ascii="Times New Roman" w:hAnsi="Times New Roman" w:cs="Times New Roman"/>
          <w:color w:val="000000" w:themeColor="text1"/>
          <w:kern w:val="2"/>
          <w:sz w:val="16"/>
          <w:szCs w:val="16"/>
        </w:rPr>
        <w:t>", Российское АО «Всеобщая компания электричества "</w:t>
      </w:r>
      <w:r w:rsidRPr="002F2FDF">
        <w:rPr>
          <w:rFonts w:ascii="Times New Roman" w:hAnsi="Times New Roman" w:cs="Times New Roman"/>
          <w:color w:val="000000" w:themeColor="text1"/>
          <w:kern w:val="2"/>
          <w:sz w:val="16"/>
          <w:szCs w:val="16"/>
          <w:lang w:val="en-US"/>
        </w:rPr>
        <w:t>Union</w:t>
      </w:r>
      <w:r w:rsidRPr="002F2FDF">
        <w:rPr>
          <w:rFonts w:ascii="Times New Roman" w:hAnsi="Times New Roman" w:cs="Times New Roman"/>
          <w:color w:val="000000" w:themeColor="text1"/>
          <w:kern w:val="2"/>
          <w:sz w:val="16"/>
          <w:szCs w:val="16"/>
        </w:rPr>
        <w:t>"», «Электросила-1», Харьковский электромеханический завод (ХЭМЗ) им. Сталина ВСНХ, НКТП, НКЭП, МЭТП, Харьковский электро-турбогенераторный завод (ХЭТЗ) НКМ, НПО «Электромеханический завод», ОАО «ХЭМЗ» /г. Рига;  г. Харьков Чугуевское ш. (1935 г.); пр. Сталина, 199 (1939 г.)/ /Украина 310037  г. Харьков Московский пр., 199/). С 1925 г.- Харьковский электромеханический завод (ХЭМЗ) ВСНХ. В 1930 г. - в ведении ГЭТ ВСНХ, с 1932 г. - НКТП. В 12.1937- 05.1938 г. ХЭТЗ - в ведении Главэнергопрома НКМ, в 1940 г. - в ведении НКЭП.</w:t>
      </w:r>
    </w:p>
    <w:p w14:paraId="627D91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01.1937 г. в состав завода влит Харьковский турбинный завод, и объединенный завод получил название Харьковский электро-турбогенераторный завод (ХЭТЗ) им. Сталина. Перед войной завод имел филиал - завод № 332 НКЭП.</w:t>
      </w:r>
    </w:p>
    <w:p w14:paraId="063728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 НКТП № 12сс от 1937 г. ХЭТЗ к 1.03.1937 г. должен был сдать: 2 главных судовых турбины (сдана 1), 4 турбо-циркуляционных конденсатных насоса (не сдано). В соответствии с пост, правительства № 87сс от 13/15.08.1937 г. и пр. НКОП/НКМ № 00282/47сс от 25.12.1937 г. заводу поручено проектирование и изготовление электрооборудования для 356-мм и 100-мм артиллерийских башен линкора типа «Б»; приказом НКОП/НКМ/НКВМФ № 118/86/050сс от 31.03.1938 г. -электрооборудования для артвооружения крейсеров пр. 64, 68 и 69. По пр. НКОП/НКМ/НКВМФ № 245сс/161 от 13.07.1938 г. было необходимо изготовить к 15.07.1938 г. комплект опытной силовой синхронной передачи (ССП) по схеме профессора Костенко для управления постами наводки крейсера «Киров»; построить на заводе в 1938-39 г. специальную лабораторию по автоматизации и синхронизации управления артиллерийским электроприводом. Этим же приказом завод определен ведущим заводом и производственной базой по разработке и изготовлению машинной ССП и других автоматических схем силового артиллерийского электропривода.</w:t>
      </w:r>
    </w:p>
    <w:p w14:paraId="0D1086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 НКОП № 256с от 21.07.1938 г. на завод были переданы все материалы по «авиатурбине бинарного цикла» и работы по доводке опытного двигателя ликвидированного ОКБ-МАИ.</w:t>
      </w:r>
    </w:p>
    <w:p w14:paraId="4DF2A5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Перед войной велась разработка и производство приборов управления стрельбой корабельной артиллерии.</w:t>
      </w:r>
      <w:r w:rsidRPr="002F2FDF">
        <w:rPr>
          <w:rFonts w:ascii="Times New Roman" w:hAnsi="Times New Roman" w:cs="Times New Roman"/>
          <w:color w:val="000000" w:themeColor="text1"/>
          <w:kern w:val="2"/>
          <w:sz w:val="16"/>
          <w:szCs w:val="16"/>
          <w:vertAlign w:val="superscript"/>
        </w:rPr>
        <w:t xml:space="preserve">115 </w:t>
      </w:r>
      <w:r w:rsidRPr="002F2FDF">
        <w:rPr>
          <w:rFonts w:ascii="Times New Roman" w:hAnsi="Times New Roman" w:cs="Times New Roman"/>
          <w:color w:val="000000" w:themeColor="text1"/>
          <w:kern w:val="2"/>
          <w:sz w:val="16"/>
          <w:szCs w:val="16"/>
        </w:rPr>
        <w:t xml:space="preserve">В 1939-41 г. снаряжал 76-мм снаряды и </w:t>
      </w:r>
      <w:r w:rsidRPr="002F2FDF">
        <w:rPr>
          <w:rFonts w:ascii="Times New Roman" w:hAnsi="Times New Roman" w:cs="Times New Roman"/>
          <w:color w:val="000000" w:themeColor="text1"/>
          <w:kern w:val="2"/>
          <w:sz w:val="16"/>
          <w:szCs w:val="16"/>
          <w:lang w:val="en-US"/>
        </w:rPr>
        <w:t>PC</w:t>
      </w:r>
      <w:r w:rsidRPr="002F2FDF">
        <w:rPr>
          <w:rFonts w:ascii="Times New Roman" w:hAnsi="Times New Roman" w:cs="Times New Roman"/>
          <w:color w:val="000000" w:themeColor="text1"/>
          <w:kern w:val="2"/>
          <w:sz w:val="16"/>
          <w:szCs w:val="16"/>
        </w:rPr>
        <w:t xml:space="preserve"> М-8.</w:t>
      </w:r>
    </w:p>
    <w:p w14:paraId="70CE27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ВОВ ХЭМЗ им. Сталина НКЭП эвакуирован: часть завода - в Томск; часть - в Прокопьевск в помещения электротехнического училища и гаража, где по приказу НКЭП от 23.10.1941 г. создан завод № 651; часть (производство электромоторов, в 11.1941 г.) - в Кемерово в помещения универмага, гаража и трамвайно- автобусного парка, где в 12.1941 г. создан завод № 652; часть (в 11.1941 г.) - в Чебоксары, где создан завод № 654. Электроаппаратный цех эвакуирован в Ульяновск в помещения нескольких небольших магазинов и преобразован в завод № 650 НКЭП. Цех коммутационной аппаратуры эвакуирован в Уфу в здание дворца соцкультуры и преобразован в завод № 656.</w:t>
      </w:r>
      <w:r w:rsidRPr="002F2FDF">
        <w:rPr>
          <w:rFonts w:ascii="Times New Roman" w:hAnsi="Times New Roman" w:cs="Times New Roman"/>
          <w:color w:val="000000" w:themeColor="text1"/>
          <w:kern w:val="2"/>
          <w:sz w:val="16"/>
          <w:szCs w:val="16"/>
          <w:vertAlign w:val="superscript"/>
        </w:rPr>
        <w:t>121</w:t>
      </w:r>
    </w:p>
    <w:p w14:paraId="2FC55E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пост. ГКО № 4087 от 11.09.1943 г. начато восстановление ХЭМЗ им. Сталина НКЭП; 4.12.1943 г. - новое постановление ГКО № 4721 о мероприятиях по восстановлению завода; 5.03.1944 г. - постановление ГКО № 5317 о мерах неотложной помощи по восстановлению завода. В 1946 г. завод - в ведении МЭТП.</w:t>
      </w:r>
    </w:p>
    <w:p w14:paraId="41C560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войны разработан главный турбозубчатый агрегат ТВ-7 для крейсеров пр. 68бис. К 1953 г. были разработаны и начато изготовление ГТЗА ТВ-4 для тяжелых крейсеров пр. 82, в 1955 г. работы прекращены.</w:t>
      </w:r>
    </w:p>
    <w:p w14:paraId="4C18EE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1976 г. завод преобразован в НПО «ЭМЗ». В 1990-е  г. преобразован в ОАО «ХЭМЗ».</w:t>
      </w:r>
    </w:p>
    <w:p w14:paraId="737657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Шибакин, (-12.1936-39 г.)- И.И. Лисин, (1939-40 г.)- И.Т. Скиданенко, (1940 г.)- А.И. Бертинов, (1960-е  г.)- И.В. Верба, (1990-е  г.)- В.В. Григорьев, (2003 г.)- А.В. Карпенко.</w:t>
      </w:r>
    </w:p>
    <w:p w14:paraId="1E1799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инженер (1937 г.)- Шевченко.</w:t>
      </w:r>
    </w:p>
    <w:p w14:paraId="0A7625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конструктор (1960-е  г.)- М.Н. Курочкин.</w:t>
      </w:r>
    </w:p>
    <w:p w14:paraId="717B09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цехов: Шевченко.</w:t>
      </w:r>
    </w:p>
    <w:p w14:paraId="1833DA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отделов: (08.1938 г.)-Л.И. Шнее.</w:t>
      </w:r>
    </w:p>
    <w:p w14:paraId="185C23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электрооборудование для командно-дальномерного поста КДП</w:t>
      </w:r>
      <w:r w:rsidRPr="002F2FDF">
        <w:rPr>
          <w:rFonts w:ascii="Times New Roman" w:hAnsi="Times New Roman" w:cs="Times New Roman"/>
          <w:color w:val="000000" w:themeColor="text1"/>
          <w:kern w:val="2"/>
          <w:sz w:val="16"/>
          <w:szCs w:val="16"/>
          <w:vertAlign w:val="subscript"/>
        </w:rPr>
        <w:t>3</w:t>
      </w:r>
      <w:r w:rsidRPr="002F2FDF">
        <w:rPr>
          <w:rFonts w:ascii="Times New Roman" w:hAnsi="Times New Roman" w:cs="Times New Roman"/>
          <w:color w:val="000000" w:themeColor="text1"/>
          <w:kern w:val="2"/>
          <w:sz w:val="16"/>
          <w:szCs w:val="16"/>
        </w:rPr>
        <w:t>-6 крейсера «Киров»; электродвигатели: УТ, постоянного тока ПН-20, -32 (1938);</w:t>
      </w:r>
      <w:r w:rsidRPr="002F2FDF">
        <w:rPr>
          <w:rFonts w:ascii="Times New Roman" w:hAnsi="Times New Roman" w:cs="Times New Roman"/>
          <w:color w:val="000000" w:themeColor="text1"/>
          <w:kern w:val="2"/>
          <w:sz w:val="16"/>
          <w:szCs w:val="16"/>
          <w:vertAlign w:val="superscript"/>
        </w:rPr>
        <w:t>139</w:t>
      </w:r>
      <w:r w:rsidRPr="002F2FDF">
        <w:rPr>
          <w:rFonts w:ascii="Times New Roman" w:hAnsi="Times New Roman" w:cs="Times New Roman"/>
          <w:color w:val="000000" w:themeColor="text1"/>
          <w:kern w:val="2"/>
          <w:sz w:val="16"/>
          <w:szCs w:val="16"/>
        </w:rPr>
        <w:t xml:space="preserve"> ГТЗА ТВ-7 (1940-е).</w:t>
      </w:r>
    </w:p>
    <w:p w14:paraId="21D891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Харьковский турбинный, турбогенераторный завод им. Кирова НКТМ /г. Харьков/</w:t>
      </w:r>
    </w:p>
    <w:p w14:paraId="0C53C3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пост. СТО от 11.07.1933 г. завод переориентирован на выпуск судовых энергетических установок.</w:t>
      </w:r>
      <w:r w:rsidRPr="002F2FDF">
        <w:rPr>
          <w:rFonts w:ascii="Times New Roman" w:hAnsi="Times New Roman" w:cs="Times New Roman"/>
          <w:color w:val="000000" w:themeColor="text1"/>
          <w:kern w:val="2"/>
          <w:sz w:val="16"/>
          <w:szCs w:val="16"/>
          <w:vertAlign w:val="superscript"/>
        </w:rPr>
        <w:t>92</w:t>
      </w:r>
      <w:r w:rsidRPr="002F2FDF">
        <w:rPr>
          <w:rFonts w:ascii="Times New Roman" w:hAnsi="Times New Roman" w:cs="Times New Roman"/>
          <w:color w:val="000000" w:themeColor="text1"/>
          <w:kern w:val="2"/>
          <w:sz w:val="16"/>
          <w:szCs w:val="16"/>
        </w:rPr>
        <w:t xml:space="preserve"> В конце 1930-х  г. строились самые мощные в мире главные механизмы для линкоров пр. 23.</w:t>
      </w:r>
    </w:p>
    <w:p w14:paraId="047B4A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01.1936 г. директор завода снят за невыполнение плана по сдаче турбин для кораблей ВМФ.</w:t>
      </w:r>
    </w:p>
    <w:p w14:paraId="08D9E7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01.1937 г. завод влит в состав ХЭМЗ, объединенный завод получил название ХЭТЗ.</w:t>
      </w:r>
    </w:p>
    <w:p w14:paraId="2A84D9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1941 г. после начала войны эвакуирован на площадку Уральского турбинного завода.</w:t>
      </w:r>
    </w:p>
    <w:p w14:paraId="458859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1AE1A5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5D919A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(-01.1936 г.)- Шибакин (снят), (01.1936 г.-)- Ицхакин.</w:t>
      </w:r>
    </w:p>
    <w:p w14:paraId="35DD55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директора (1936 г.-)- Девьятков (репрессирован), (1936 г.-)- Флаум.</w:t>
      </w:r>
    </w:p>
    <w:p w14:paraId="072257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Технический директор (-1937 г.)- Зак.</w:t>
      </w:r>
      <w:r w:rsidRPr="002F2FDF">
        <w:rPr>
          <w:rFonts w:ascii="Times New Roman" w:hAnsi="Times New Roman" w:cs="Times New Roman"/>
          <w:color w:val="000000" w:themeColor="text1"/>
          <w:kern w:val="2"/>
          <w:sz w:val="16"/>
          <w:szCs w:val="16"/>
          <w:vertAlign w:val="superscript"/>
        </w:rPr>
        <w:t>139</w:t>
      </w:r>
    </w:p>
    <w:p w14:paraId="4B8429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ГТЗА: для эсминцев пр. 7 (1930-е), для крейсеров пр. 26 «Ворошилов» (1936), пр. 26бис (1937) для линкоров пр. 23 (1938-40-).</w:t>
      </w:r>
    </w:p>
    <w:p w14:paraId="283A4A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Октябрьский завод низковольтной аппаратуры /Башкирия  г. Октябрьский/</w:t>
      </w:r>
    </w:p>
    <w:p w14:paraId="5F4ED9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Был в 1960-е  г., в 1977 г. вошел в состав ПО «Электроаппарат». В 1987 г. завод перешел на выпуск оборонной продукции и вновь стал самостоятельным (11982).</w:t>
      </w:r>
    </w:p>
    <w:p w14:paraId="6EF57F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27679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1BE26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C9C01E" w14:textId="77777777" w:rsidR="001E7FC5" w:rsidRPr="002F2FDF" w:rsidRDefault="001E7FC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20 декабря 1917 г. (2 января 1918) вышел приказ Наркомвоена № 4, в котором имелись некоторые изменения Положения о Коллегии, образованной для управления Воздушным флотом Республики в сторону его военизации по сравнению с демократической редакцией этого документа от 11 декабря. В приказе говорилось об объединении Увофлота и Управления Морской Авиации. Приказом № 4 объявлялся состав Всероссийской коллегии по управлению Воздушным Флотом Республики (далее – ВК УВФР): К.В. Акашев, А.Д. Анощенко, Е.И. Ахматович, Ф.И. Бычков, П.С. Дубенский, Н. Зражевский, З.Я. Ландау, А.П. Онуфриев, А.В. Сергеев и М.П. Строев (19566).</w:t>
      </w:r>
    </w:p>
    <w:p w14:paraId="44DC099A" w14:textId="77777777" w:rsidR="001E7FC5" w:rsidRPr="002F2FDF" w:rsidRDefault="001E7FC5" w:rsidP="0083075A">
      <w:pPr>
        <w:spacing w:after="0" w:line="240" w:lineRule="auto"/>
        <w:jc w:val="both"/>
        <w:rPr>
          <w:rFonts w:ascii="Times New Roman" w:hAnsi="Times New Roman" w:cs="Times New Roman"/>
          <w:color w:val="000000" w:themeColor="text1"/>
          <w:sz w:val="16"/>
          <w:szCs w:val="16"/>
        </w:rPr>
      </w:pPr>
    </w:p>
    <w:p w14:paraId="48693675" w14:textId="77777777" w:rsidR="001E7FC5" w:rsidRPr="002F2FDF" w:rsidRDefault="001E7FC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20 декабря 1917 (2 января 1918) началась повторная чистка, в ходе которой Авиасовет лишился еще 80 работников. А затем Народный комиссариат по военным и морским делам (Наркомвоенмор) приказал поставить во главе Управления новообразованную Всероссийскую коллегию Увофлота под председательством К.В. </w:t>
      </w:r>
      <w:r w:rsidRPr="002F2FDF">
        <w:rPr>
          <w:rFonts w:ascii="Times New Roman" w:hAnsi="Times New Roman" w:cs="Times New Roman"/>
          <w:color w:val="000000" w:themeColor="text1"/>
          <w:sz w:val="16"/>
          <w:szCs w:val="16"/>
        </w:rPr>
        <w:lastRenderedPageBreak/>
        <w:t>Акашева[2]. В ее состав вошли: А.Д. Анощенко, Е.И. Ахматович, Ф.И. Бычков, П.С. Дубенский, М.В. Любченко, З.Я. Ландау, А.П. Онуфриев, А.В. Сергеев и М.П. Строев. Предполагалось еще включить представителей от Петросовета и ЦК Профсоюзов, но эти солидные организации, видимо, посчитали авиацию слишком несерьезным делом и никого не делегировали. А.П. Онуфриев одновременно являлся комиссаром Управления морской авиации. Его вхождение в состав Коллегии означало фактическое слияние руководства УМА и Увофлота.</w:t>
      </w:r>
    </w:p>
    <w:p w14:paraId="075AF45C" w14:textId="77777777" w:rsidR="001E7FC5" w:rsidRPr="002F2FDF" w:rsidRDefault="001E7FC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Д.В. Яковлев оставался формальным руководителем Увофлота до конца января 1918 г. Затем его сменил С.А. Ульянин, а в начале апреля, после отъезда Ульянина в загранкомандировку во Францию (откуда тот решил не возвращаться) на эту должность назначили бывшего помощника начальника Управления по хозяйственной части и бывшего полковника М.А. Соловова. Но ни один его приказ не мог вступить в силу без санкции Коллегии.</w:t>
      </w:r>
    </w:p>
    <w:p w14:paraId="475D1655" w14:textId="77777777" w:rsidR="001E7FC5" w:rsidRPr="002F2FDF" w:rsidRDefault="001E7FC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20 декабря началась повторная чистка, в ходе которой Авиасовет лишился еще 80 работников. А затем Народный комиссариат по военным и морским делам (Наркомвоенмор) приказал поставить во главе Управления новообразованную Всероссийскую коллегию Увофлота под председательством К.В. Акашева[2]. В ее состав вошли: А.Д. Анощенко, Е.И. Ахматович, Ф.И. Бычков, П.С. Дубенский, М.В. Любченко, З.Я. Ландау, А.П. Онуфриев, А.В. Сергеев и М.П. Строев. Предполагалось еще включить представителей от Петросовета и ЦК Профсоюзов, но эти солидные организации, видимо, посчитали авиацию слишком несерьезным делом и никого не делегировали. А.П. Онуфриев одновременно являлся комиссаром Управления морской авиации. Его вхождение в состав Коллегии означало фактическое слияние руководства УМА и Увофлота.</w:t>
      </w:r>
    </w:p>
    <w:p w14:paraId="592E9B76" w14:textId="77777777" w:rsidR="001E7FC5" w:rsidRPr="002F2FDF" w:rsidRDefault="001E7FC5"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Д.В. Яковлев оставался формальным руководителем Увофлота до конца января 1918 г. Затем его сменил С.А. Ульянин, а в начале апреля, после отъезда Ульянина в загранкомандировку во Францию (откуда тот решил не возвращаться) на эту должность назначили бывшего помощника начальника Управления по хозяйственной части и бывшего полковника М.А. Соловова. Но ни один его приказ не мог вступить в силу без санкции Коллегии (18562).</w:t>
      </w:r>
    </w:p>
    <w:p w14:paraId="6C0EDCE0" w14:textId="77777777" w:rsidR="001E7FC5" w:rsidRPr="002F2FDF" w:rsidRDefault="001E7FC5" w:rsidP="0083075A">
      <w:pPr>
        <w:spacing w:after="0" w:line="240" w:lineRule="auto"/>
        <w:jc w:val="both"/>
        <w:rPr>
          <w:rFonts w:ascii="Times New Roman" w:hAnsi="Times New Roman" w:cs="Times New Roman"/>
          <w:color w:val="000000" w:themeColor="text1"/>
          <w:sz w:val="16"/>
          <w:szCs w:val="16"/>
        </w:rPr>
      </w:pPr>
    </w:p>
    <w:p w14:paraId="676B7546" w14:textId="0E847DCD" w:rsidR="003A28CA" w:rsidRPr="00FB4F67" w:rsidRDefault="003A28CA"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20 декабря 1917 г. (</w:t>
      </w:r>
      <w:r w:rsidRPr="00FB4F67">
        <w:rPr>
          <w:rFonts w:ascii="Times New Roman" w:hAnsi="Times New Roman" w:cs="Times New Roman"/>
          <w:color w:val="0070C0"/>
          <w:sz w:val="16"/>
          <w:szCs w:val="16"/>
        </w:rPr>
        <w:t>2 января 1918 г.</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в Петрограде красные уволили ряд чиновников Управления Воздушного Флота, в том числе его командира Полковника С.А. Наркомата армии и флота.</w:t>
      </w:r>
    </w:p>
    <w:p w14:paraId="207EF5B8" w14:textId="77777777" w:rsidR="003A28CA" w:rsidRPr="00FB4F67" w:rsidRDefault="003A28CA"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Новое Правление возглавил К. В. Акашева, отвечавшего за руководство формированием частей, хранением и обслуживанием авиационной техники, обучением личного состава, организацией материально-технического обеспечения. Ему ассистировали Э.И. Ахматович, П.С. Дубенский, З.Я. Ландау, Ф.И. Бычков и М.П. Строев, а авиационными делами занимался А.Д. Анощенко, и А.П. Онуфриев, который также возглавлял Управление морской авиации (23525).</w:t>
      </w:r>
    </w:p>
    <w:p w14:paraId="41A54DEA" w14:textId="77777777" w:rsidR="003A28CA" w:rsidRPr="00FB4F67" w:rsidRDefault="003A28CA" w:rsidP="0083075A">
      <w:pPr>
        <w:spacing w:after="0" w:line="240" w:lineRule="auto"/>
        <w:jc w:val="both"/>
        <w:rPr>
          <w:rFonts w:ascii="Times New Roman" w:hAnsi="Times New Roman" w:cs="Times New Roman"/>
          <w:color w:val="0070C0"/>
          <w:sz w:val="16"/>
          <w:szCs w:val="16"/>
        </w:rPr>
      </w:pPr>
    </w:p>
    <w:p w14:paraId="7DAADB14" w14:textId="51D74E18" w:rsidR="003A28CA" w:rsidRPr="00FB4F67" w:rsidRDefault="0033246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20 декабря 1917 г. (</w:t>
      </w:r>
      <w:r w:rsidRPr="00FB4F67">
        <w:rPr>
          <w:rFonts w:ascii="Times New Roman" w:hAnsi="Times New Roman" w:cs="Times New Roman"/>
          <w:color w:val="0070C0"/>
          <w:sz w:val="16"/>
          <w:szCs w:val="16"/>
        </w:rPr>
        <w:t>2 января 1918 г.</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w:t>
      </w:r>
      <w:r w:rsidR="003A28CA" w:rsidRPr="00FB4F67">
        <w:rPr>
          <w:rFonts w:ascii="Times New Roman" w:hAnsi="Times New Roman" w:cs="Times New Roman"/>
          <w:color w:val="0070C0"/>
          <w:sz w:val="16"/>
          <w:szCs w:val="16"/>
        </w:rPr>
        <w:t>французский ESC.SOP.582 в Симферополе получил приказ отправиться в Москву. ESC.N.581 (SPA.581) в Лубнах, к востоку от Киева, было приказано деактивировать. Французы ждали прибытия Чехословацкого корпуса, который так и не прибыл, поэтому их командир Лахманн погрузил свои оставшиеся Spad VII в поезд, который 18 февраля отправился в Москву, где 22-го их самолеты были переданы французам. Красные. 18 марта они погрузились на британские корабли из Мурманска и направлялись во Францию. Их сопровождали бойцы французского отряда в Одессе, ушедшие оттуда в середине февраля.</w:t>
      </w:r>
    </w:p>
    <w:p w14:paraId="1EA37CA3" w14:textId="77777777" w:rsidR="003A28CA" w:rsidRPr="00FB4F67" w:rsidRDefault="003A28CA"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Лахман оставался в Москве до июля, за это время он помог двадцати трем русским летчикам, включая А.А. Козакова, добраться до Мурманска. В июле Лахманн уехал из Москвы через Петроград в Мурманск. Он помогал британцам формировать две белорусские авиационные части в Архангельске и, как утверждается, совершил несколько вылетов против красных в секторе реки Двина. Он уехал из России во Францию в начале ноября 1918 года (23525).</w:t>
      </w:r>
    </w:p>
    <w:p w14:paraId="00F14220" w14:textId="77777777" w:rsidR="003A28CA" w:rsidRPr="00FB4F67" w:rsidRDefault="003A28CA" w:rsidP="0083075A">
      <w:pPr>
        <w:spacing w:after="0" w:line="240" w:lineRule="auto"/>
        <w:jc w:val="both"/>
        <w:rPr>
          <w:rFonts w:ascii="Times New Roman" w:hAnsi="Times New Roman" w:cs="Times New Roman"/>
          <w:color w:val="0070C0"/>
          <w:sz w:val="16"/>
          <w:szCs w:val="16"/>
        </w:rPr>
      </w:pPr>
    </w:p>
    <w:p w14:paraId="113C63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декабря 1917 (2 января 1918) приказом НКВМД во главе Управления воздушного флота (УВОФЛОТ) была поставлена Всероссийская коллегия по управлению РК КВФ и она включила шесть представителей от администрации авиазаводов, профсоюзов и рабочих организаций. Председателем стал К.В.Акашев. Коллегия получила всю полноту власти (80,18) и ликвидировала Бюро военных комиссаров Петрограде и Военно-революционный комитет по авиации в Москве. Одновременно ликвидировали также органы управления ВВФ старой армии (438,390) - УВВС (278,156).</w:t>
      </w:r>
    </w:p>
    <w:p w14:paraId="54C215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Взяв на себя руководство всеми отраслями авиационного дела в стране, Всероссийская коллегия была вынуждена отстаивать для авиационных предприятий право на жизнь. Некоторые руководящие работники ВСНХ, неправильно трактуя декрет о демилитаризации экономики, выступали за полное свертывание авиапроизводства в стране, а член президиума ВСНХ Ю.М.Ларин, который сравнивал авиапредприятия с фабриками духов и помады, представил проект их перевода на выпуск мебели. Такой же недальновидной политики придерживался и председатель Петросовета Г.Е.Зиновьев, заявивший на встрече с делегацией завода Дукс "нам сейчас не до авиации. Это роскошь. Хотите существовать - делайте как раньше велосипеды (80,18) (276).</w:t>
      </w:r>
    </w:p>
    <w:p w14:paraId="34C057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Члены Всероссийской коллегии принципиально отвергали позицию тех, кто выступал против развития отечественной авиаиндустрии. В феврале 1918 г. они добились встречи с В.И.Лениным, который высказывался за всемирное развитие авиационного дела в стране и обещал членам коллегии свою поддержку, однако отклонил как несвоевременное их предложение об организации Наркомата Воздушного Флота (276).</w:t>
      </w:r>
    </w:p>
    <w:p w14:paraId="51FCB2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другим данным 20 декабря 1917 (старое до 1 февраля 1918) Народный комиссар по ВиМД утвердил проект положения о Всероссийской коллегии по управлению ВФ из 10 человек во главе с К.В.Акашевым, которая была создана НКВМД и провела первое заседание 11 декабря 1917 (356,27). Бюро военных комиссаров и Военно-революционный комитет по авиации передали свои полномочия этой Коллегии, которая объединяла все отрасли воздушного дела, в том числе контролировала деятельность авиазаводов и боролась за существование авиационного производства в нашей стране. Некоторые руководящие работники ВСНХ, неправильно трактуя положение декрета о демилитаризации экономики, выступали за ликвидацию авиационной промышленности, считали воздушный флот ненужной роскошью. Тогда члены Коллегии добились встречи с В.И.Лениным, который поддержал право отечественной авиации на существование (275).</w:t>
      </w:r>
    </w:p>
    <w:p w14:paraId="6664EC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Через некоторое время Всероссийская авиационная Коллегия была упразднена (275).</w:t>
      </w:r>
    </w:p>
    <w:p w14:paraId="48CACA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 ясно, что стало с Отделом организации революционно-воздушных сил.</w:t>
      </w:r>
    </w:p>
    <w:p w14:paraId="26D898D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6CD57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декабря 1917 (2 января 1918) во главе УВОФЛОТа приказом Народного комиссариата по военным и морским делам была по</w:t>
      </w:r>
      <w:r w:rsidRPr="002F2FDF">
        <w:rPr>
          <w:rFonts w:ascii="Times New Roman" w:hAnsi="Times New Roman" w:cs="Times New Roman"/>
          <w:color w:val="000000" w:themeColor="text1"/>
          <w:kern w:val="2"/>
          <w:sz w:val="16"/>
          <w:szCs w:val="16"/>
        </w:rPr>
        <w:softHyphen/>
        <w:t>ставлена Всероссийская коллегия по управлению Рабоче-крестьянским Воздушным флотом. В ее состав во</w:t>
      </w:r>
      <w:r w:rsidRPr="002F2FDF">
        <w:rPr>
          <w:rFonts w:ascii="Times New Roman" w:hAnsi="Times New Roman" w:cs="Times New Roman"/>
          <w:color w:val="000000" w:themeColor="text1"/>
          <w:kern w:val="2"/>
          <w:sz w:val="16"/>
          <w:szCs w:val="16"/>
        </w:rPr>
        <w:softHyphen/>
        <w:t>шли К.В.Акашев, А.Д.Анощенко, Е.И.Ахматович, Ф.И.Бычков, П.С.Дубенский, З.Я.Ландау, А.П.Онуфри</w:t>
      </w:r>
      <w:r w:rsidRPr="002F2FDF">
        <w:rPr>
          <w:rFonts w:ascii="Times New Roman" w:hAnsi="Times New Roman" w:cs="Times New Roman"/>
          <w:color w:val="000000" w:themeColor="text1"/>
          <w:kern w:val="2"/>
          <w:sz w:val="16"/>
          <w:szCs w:val="16"/>
        </w:rPr>
        <w:softHyphen/>
        <w:t>ев, А.В.Сергеев, М.П.Строев. Председателем коллегии стал Константин Василье</w:t>
      </w:r>
      <w:r w:rsidRPr="002F2FDF">
        <w:rPr>
          <w:rFonts w:ascii="Times New Roman" w:hAnsi="Times New Roman" w:cs="Times New Roman"/>
          <w:color w:val="000000" w:themeColor="text1"/>
          <w:kern w:val="2"/>
          <w:sz w:val="16"/>
          <w:szCs w:val="16"/>
        </w:rPr>
        <w:softHyphen/>
        <w:t>вич Акашев. Пребывая в рядах партии эсеров, он актив</w:t>
      </w:r>
      <w:r w:rsidRPr="002F2FDF">
        <w:rPr>
          <w:rFonts w:ascii="Times New Roman" w:hAnsi="Times New Roman" w:cs="Times New Roman"/>
          <w:color w:val="000000" w:themeColor="text1"/>
          <w:kern w:val="2"/>
          <w:sz w:val="16"/>
          <w:szCs w:val="16"/>
        </w:rPr>
        <w:softHyphen/>
        <w:t>но выполнял задания и поручения партии большевиков. Вечером 25 октября 1917 г., переодевшись в офицерскую форму и обманув юнкеров Михайловского артиллерий</w:t>
      </w:r>
      <w:r w:rsidRPr="002F2FDF">
        <w:rPr>
          <w:rFonts w:ascii="Times New Roman" w:hAnsi="Times New Roman" w:cs="Times New Roman"/>
          <w:color w:val="000000" w:themeColor="text1"/>
          <w:kern w:val="2"/>
          <w:sz w:val="16"/>
          <w:szCs w:val="16"/>
        </w:rPr>
        <w:softHyphen/>
        <w:t>ского училища, он увел их отряд от Зимнего дворца, чем облегчил его захват. 31 октября Акашев был назначен членом Бюро комиссаров Воздушного флота. И вот те</w:t>
      </w:r>
      <w:r w:rsidRPr="002F2FDF">
        <w:rPr>
          <w:rFonts w:ascii="Times New Roman" w:hAnsi="Times New Roman" w:cs="Times New Roman"/>
          <w:color w:val="000000" w:themeColor="text1"/>
          <w:kern w:val="2"/>
          <w:sz w:val="16"/>
          <w:szCs w:val="16"/>
        </w:rPr>
        <w:softHyphen/>
        <w:t>перь новая должность. Если к Военно-воздушным силам, как составной ча</w:t>
      </w:r>
      <w:r w:rsidRPr="002F2FDF">
        <w:rPr>
          <w:rFonts w:ascii="Times New Roman" w:hAnsi="Times New Roman" w:cs="Times New Roman"/>
          <w:color w:val="000000" w:themeColor="text1"/>
          <w:kern w:val="2"/>
          <w:sz w:val="16"/>
          <w:szCs w:val="16"/>
        </w:rPr>
        <w:softHyphen/>
        <w:t>сти армии, проявлялось хоть какое-то внимание, то авиационная индустрия, брошенная на произвол судь</w:t>
      </w:r>
      <w:r w:rsidRPr="002F2FDF">
        <w:rPr>
          <w:rFonts w:ascii="Times New Roman" w:hAnsi="Times New Roman" w:cs="Times New Roman"/>
          <w:color w:val="000000" w:themeColor="text1"/>
          <w:kern w:val="2"/>
          <w:sz w:val="16"/>
          <w:szCs w:val="16"/>
        </w:rPr>
        <w:softHyphen/>
        <w:t>бы, быстро приходила в упадок. Производство на всех авиационных заводах Петрограда, в том числе на Рус</w:t>
      </w:r>
      <w:r w:rsidRPr="002F2FDF">
        <w:rPr>
          <w:rFonts w:ascii="Times New Roman" w:hAnsi="Times New Roman" w:cs="Times New Roman"/>
          <w:color w:val="000000" w:themeColor="text1"/>
          <w:kern w:val="2"/>
          <w:sz w:val="16"/>
          <w:szCs w:val="16"/>
        </w:rPr>
        <w:softHyphen/>
        <w:t>ско-Балтийском, было остановлено (10667).</w:t>
      </w:r>
    </w:p>
    <w:p w14:paraId="1045E9C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2676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20 декабря 1917 г. </w:t>
      </w:r>
      <w:r w:rsidR="00631AD8" w:rsidRPr="002F2FDF">
        <w:rPr>
          <w:rFonts w:ascii="Times New Roman" w:hAnsi="Times New Roman" w:cs="Times New Roman"/>
          <w:color w:val="000000" w:themeColor="text1"/>
          <w:kern w:val="2"/>
          <w:sz w:val="16"/>
          <w:szCs w:val="16"/>
        </w:rPr>
        <w:t xml:space="preserve">(2 января 1918) </w:t>
      </w:r>
      <w:r w:rsidRPr="002F2FDF">
        <w:rPr>
          <w:rFonts w:ascii="Times New Roman" w:hAnsi="Times New Roman" w:cs="Times New Roman"/>
          <w:color w:val="000000" w:themeColor="text1"/>
          <w:kern w:val="2"/>
          <w:sz w:val="16"/>
          <w:szCs w:val="16"/>
        </w:rPr>
        <w:t>Приказом Наркомвоена No.4 была образована Всероссийская коллегия для руководства Управлением военного воздушного флота старой армии. Начальник управления избирался коллегией. Приказом Наркомвоена No.385 от 24 мая 1918 г. Управление переименовывается в Главное управление Рабоче-Крестьянского Красного Воздушного Флота (Главвоздухфлот), возглавляемое советом в составе начальника и двух комиссаров. Подчинялось Всероглавштабу, а по вопросам снабжения - ЦУСу, с сентября 1921 г. - главному начальнику снабжений. Приказом РВСР No.11/4 от 22 сентября 1918 г. подчинено вновь образованному при Штабе РВСР Полевому управлению авиации и воздухоплавания, приказом РВСР No.447/78 от 25 марта 1920 г. передано в непосредственное подчинение РВСР, а в оперативном отношении - Главкому. Приказом РВСР No.447/78 от 25 марта 1920 г. из состава Главвоздухфлота было выделено Управление по снабжению Красного Воздушного Флота, а приказом РВСР No.1875 от 2 сентября 1921 г. оно вместе со Штабом начальника Красного Воздушного Флота было влито в Главвоздухфлот. Приказом РВСР No.406 от 23 февраля 1923 г. при Главвоздухфлоте образован отдел морской авиации.</w:t>
      </w:r>
    </w:p>
    <w:p w14:paraId="0F9516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РВС СССР No.446/96 от 28 марта 1924 г. Главвоздухфлот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659B84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1A30C5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5C2280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32A7AB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655AE1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7D5D0D" w14:textId="77777777"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20 декабря (2 января)</w:t>
      </w:r>
      <w:r w:rsidRPr="002F2FDF">
        <w:rPr>
          <w:rFonts w:ascii="Times New Roman" w:hAnsi="Times New Roman" w:cs="Times New Roman"/>
          <w:color w:val="000000" w:themeColor="text1"/>
          <w:kern w:val="2"/>
          <w:sz w:val="16"/>
          <w:szCs w:val="16"/>
        </w:rPr>
        <w:t xml:space="preserve"> в 1918 году Приказом НКВМД во главе Управления воздушного флота (УВОФЛОТ) была поставлена Всероссийская коллегия по управлению РК КВФ и она включила шесть представителей от администрации авиазаводов, профсоюзов и рабочих организаций. Председателем стал К.В.Акашев. Коллегия получила всю полноту власти и ликвидировала Бюро военных комиссаров в Петрограде и Военно-революционный комитет по авиации в Москве. Одновременно ликвидировали также органы управления ВВФ старой армии - УВВС. Взяв на себя руководство всеми отраслями авиационного дела в стране, Всероссийская коллегия была вынуждена отстаивать для авиационных предприятий право на жизнь. Некоторые руководящие работники ВСНХ, неправильно трактуя декрет о демилитаризации экономики, выступали за полное свертывание авиапроизводства в стране, а член президиума ВСНХ Ю.М.Ларин, который сравнивал авиапредприятия с фабриками духов и помады, представил проект их перевода на выпуск мебели. Такой же недальновидной политики придерживался и председатель Петросовета Г.Е.Зиновьев, заявивший на встрече с делегацией завода Дукс "нам сейчас не до авиации. Это роскошь. Хотите существовать - делайте как раньше велосипеды". Тогда члены Коллегии добились встречи с В.И.Лениным, который поддержал право отечественной авиации на существование</w:t>
      </w:r>
    </w:p>
    <w:p w14:paraId="6667B687" w14:textId="77777777"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p>
    <w:p w14:paraId="33D24E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декабря 1917 (2 января 1918) приказом по армии и флоту N 4 морская и сухопутная авиация объединялись и перешла под командование Всероссийской коллегии по управлению КВФ (1085,80).</w:t>
      </w:r>
    </w:p>
    <w:p w14:paraId="260A4A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 по Военным Делам издал приказ о ликвидации УВВФ старой армии. Одновременно было упразднено Бюро комиссаров авиации. В коллегию вошли: К.В.Акашев (пред.), П.С.Дубенский (тов. пред.), А.Д.Анощенко, З.Я.Ландау (секретарь), М.П.Строев, Е.И.Ахматович и др. (1849,14).</w:t>
      </w:r>
    </w:p>
    <w:p w14:paraId="73E580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D228BE" w14:textId="3F781C9E" w:rsidR="0002201C" w:rsidRPr="005D7D69" w:rsidRDefault="0002201C"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20 </w:t>
      </w:r>
      <w:r w:rsidRPr="005D7D69">
        <w:rPr>
          <w:rFonts w:ascii="Times New Roman" w:hAnsi="Times New Roman" w:cs="Times New Roman"/>
          <w:color w:val="0070C0"/>
          <w:sz w:val="16"/>
          <w:szCs w:val="16"/>
        </w:rPr>
        <w:t>декабря</w:t>
      </w:r>
      <w:r>
        <w:rPr>
          <w:rFonts w:ascii="Times New Roman" w:hAnsi="Times New Roman" w:cs="Times New Roman"/>
          <w:color w:val="0070C0"/>
          <w:sz w:val="16"/>
          <w:szCs w:val="16"/>
        </w:rPr>
        <w:t xml:space="preserve"> 1917 г. (2 января 1918 г.) </w:t>
      </w:r>
      <w:r w:rsidRPr="005D7D69">
        <w:rPr>
          <w:rFonts w:ascii="Times New Roman" w:hAnsi="Times New Roman" w:cs="Times New Roman"/>
          <w:color w:val="0070C0"/>
          <w:sz w:val="16"/>
          <w:szCs w:val="16"/>
        </w:rPr>
        <w:t xml:space="preserve">приказом </w:t>
      </w:r>
      <w:r>
        <w:rPr>
          <w:rFonts w:ascii="Times New Roman" w:hAnsi="Times New Roman" w:cs="Times New Roman"/>
          <w:color w:val="0070C0"/>
          <w:sz w:val="16"/>
          <w:szCs w:val="16"/>
        </w:rPr>
        <w:t>Наркомвоенмора</w:t>
      </w:r>
      <w:r w:rsidRPr="005D7D69">
        <w:rPr>
          <w:rFonts w:ascii="Times New Roman" w:hAnsi="Times New Roman" w:cs="Times New Roman"/>
          <w:color w:val="0070C0"/>
          <w:sz w:val="16"/>
          <w:szCs w:val="16"/>
        </w:rPr>
        <w:t xml:space="preserve"> № 4 ликвидированы органы управления воздушного Флота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тарой армии</w:t>
      </w:r>
      <w:r>
        <w:rPr>
          <w:rFonts w:ascii="Times New Roman" w:hAnsi="Times New Roman" w:cs="Times New Roman"/>
          <w:color w:val="0070C0"/>
          <w:sz w:val="16"/>
          <w:szCs w:val="16"/>
        </w:rPr>
        <w:t xml:space="preserve"> и</w:t>
      </w:r>
      <w:r w:rsidRPr="005D7D69">
        <w:rPr>
          <w:rFonts w:ascii="Times New Roman" w:hAnsi="Times New Roman" w:cs="Times New Roman"/>
          <w:color w:val="0070C0"/>
          <w:sz w:val="16"/>
          <w:szCs w:val="16"/>
        </w:rPr>
        <w:t xml:space="preserve"> создано новое,</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центра</w:t>
      </w:r>
      <w:r w:rsidRPr="005D7D69">
        <w:rPr>
          <w:rFonts w:ascii="Times New Roman" w:hAnsi="Times New Roman" w:cs="Times New Roman"/>
          <w:color w:val="0070C0"/>
          <w:sz w:val="16"/>
          <w:szCs w:val="16"/>
        </w:rPr>
        <w:softHyphen/>
        <w:t>льной управление, во главе которого поставлена Всероссийская Кол</w:t>
      </w:r>
      <w:r>
        <w:rPr>
          <w:rFonts w:ascii="Times New Roman" w:hAnsi="Times New Roman" w:cs="Times New Roman"/>
          <w:color w:val="0070C0"/>
          <w:sz w:val="16"/>
          <w:szCs w:val="16"/>
        </w:rPr>
        <w:t>легия</w:t>
      </w:r>
      <w:r w:rsidRPr="005D7D69">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по управлению Рабоче-Крестьянским Красным Воздушным Флотом из 8 человек – представителей военного и </w:t>
      </w:r>
      <w:r w:rsidRPr="005D7D69">
        <w:rPr>
          <w:rFonts w:ascii="Times New Roman" w:hAnsi="Times New Roman" w:cs="Times New Roman"/>
          <w:color w:val="0070C0"/>
          <w:sz w:val="16"/>
          <w:szCs w:val="16"/>
        </w:rPr>
        <w:t>морского ведомств, ВЦИК,</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ВЦСПС,</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Авиасовета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авиационных заводов.</w:t>
      </w:r>
    </w:p>
    <w:p w14:paraId="5E71BDDD" w14:textId="77777777" w:rsidR="0002201C" w:rsidRPr="005D7D69" w:rsidRDefault="0002201C"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Пред</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е</w:t>
      </w:r>
      <w:r>
        <w:rPr>
          <w:rFonts w:ascii="Times New Roman" w:hAnsi="Times New Roman" w:cs="Times New Roman"/>
          <w:color w:val="0070C0"/>
          <w:sz w:val="16"/>
          <w:szCs w:val="16"/>
        </w:rPr>
        <w:t>д</w:t>
      </w:r>
      <w:r w:rsidRPr="005D7D69">
        <w:rPr>
          <w:rFonts w:ascii="Times New Roman" w:hAnsi="Times New Roman" w:cs="Times New Roman"/>
          <w:color w:val="0070C0"/>
          <w:sz w:val="16"/>
          <w:szCs w:val="16"/>
        </w:rPr>
        <w:t>ат</w:t>
      </w:r>
      <w:r>
        <w:rPr>
          <w:rFonts w:ascii="Times New Roman" w:hAnsi="Times New Roman" w:cs="Times New Roman"/>
          <w:color w:val="0070C0"/>
          <w:sz w:val="16"/>
          <w:szCs w:val="16"/>
        </w:rPr>
        <w:t>е</w:t>
      </w:r>
      <w:r w:rsidRPr="005D7D69">
        <w:rPr>
          <w:rFonts w:ascii="Times New Roman" w:hAnsi="Times New Roman" w:cs="Times New Roman"/>
          <w:color w:val="0070C0"/>
          <w:sz w:val="16"/>
          <w:szCs w:val="16"/>
        </w:rPr>
        <w:t>лем коллегии был назначен член Бюро комиссаров возду</w:t>
      </w:r>
      <w:r>
        <w:rPr>
          <w:rFonts w:ascii="Times New Roman" w:hAnsi="Times New Roman" w:cs="Times New Roman"/>
          <w:color w:val="0070C0"/>
          <w:sz w:val="16"/>
          <w:szCs w:val="16"/>
        </w:rPr>
        <w:t>ш</w:t>
      </w:r>
      <w:r w:rsidRPr="005D7D69">
        <w:rPr>
          <w:rFonts w:ascii="Times New Roman" w:hAnsi="Times New Roman" w:cs="Times New Roman"/>
          <w:color w:val="0070C0"/>
          <w:sz w:val="16"/>
          <w:szCs w:val="16"/>
        </w:rPr>
        <w:t>ного</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флота, л</w:t>
      </w:r>
      <w:r>
        <w:rPr>
          <w:rFonts w:ascii="Times New Roman" w:hAnsi="Times New Roman" w:cs="Times New Roman"/>
          <w:color w:val="0070C0"/>
          <w:sz w:val="16"/>
          <w:szCs w:val="16"/>
        </w:rPr>
        <w:t>е</w:t>
      </w:r>
      <w:r w:rsidRPr="005D7D69">
        <w:rPr>
          <w:rFonts w:ascii="Times New Roman" w:hAnsi="Times New Roman" w:cs="Times New Roman"/>
          <w:color w:val="0070C0"/>
          <w:sz w:val="16"/>
          <w:szCs w:val="16"/>
        </w:rPr>
        <w:t>тчи</w:t>
      </w:r>
      <w:r>
        <w:rPr>
          <w:rFonts w:ascii="Times New Roman" w:hAnsi="Times New Roman" w:cs="Times New Roman"/>
          <w:color w:val="0070C0"/>
          <w:sz w:val="16"/>
          <w:szCs w:val="16"/>
        </w:rPr>
        <w:t xml:space="preserve">к и </w:t>
      </w:r>
      <w:r w:rsidRPr="005D7D69">
        <w:rPr>
          <w:rFonts w:ascii="Times New Roman" w:hAnsi="Times New Roman" w:cs="Times New Roman"/>
          <w:color w:val="0070C0"/>
          <w:sz w:val="16"/>
          <w:szCs w:val="16"/>
        </w:rPr>
        <w:t xml:space="preserve">инженер-механик Константин </w:t>
      </w:r>
      <w:r>
        <w:rPr>
          <w:rFonts w:ascii="Times New Roman" w:hAnsi="Times New Roman" w:cs="Times New Roman"/>
          <w:color w:val="0070C0"/>
          <w:sz w:val="16"/>
          <w:szCs w:val="16"/>
        </w:rPr>
        <w:t>В</w:t>
      </w:r>
      <w:r w:rsidRPr="005D7D69">
        <w:rPr>
          <w:rFonts w:ascii="Times New Roman" w:hAnsi="Times New Roman" w:cs="Times New Roman"/>
          <w:color w:val="0070C0"/>
          <w:sz w:val="16"/>
          <w:szCs w:val="16"/>
        </w:rPr>
        <w:t>а</w:t>
      </w:r>
      <w:r>
        <w:rPr>
          <w:rFonts w:ascii="Times New Roman" w:hAnsi="Times New Roman" w:cs="Times New Roman"/>
          <w:color w:val="0070C0"/>
          <w:sz w:val="16"/>
          <w:szCs w:val="16"/>
        </w:rPr>
        <w:t>си</w:t>
      </w:r>
      <w:r w:rsidRPr="005D7D69">
        <w:rPr>
          <w:rFonts w:ascii="Times New Roman" w:hAnsi="Times New Roman" w:cs="Times New Roman"/>
          <w:color w:val="0070C0"/>
          <w:sz w:val="16"/>
          <w:szCs w:val="16"/>
        </w:rPr>
        <w:t>ль</w:t>
      </w:r>
      <w:r>
        <w:rPr>
          <w:rFonts w:ascii="Times New Roman" w:hAnsi="Times New Roman" w:cs="Times New Roman"/>
          <w:color w:val="0070C0"/>
          <w:sz w:val="16"/>
          <w:szCs w:val="16"/>
        </w:rPr>
        <w:t>евич</w:t>
      </w:r>
      <w:r w:rsidRPr="005D7D69">
        <w:rPr>
          <w:rFonts w:ascii="Times New Roman" w:hAnsi="Times New Roman" w:cs="Times New Roman"/>
          <w:color w:val="0070C0"/>
          <w:sz w:val="16"/>
          <w:szCs w:val="16"/>
        </w:rPr>
        <w:t xml:space="preserve"> А</w:t>
      </w:r>
      <w:r>
        <w:rPr>
          <w:rFonts w:ascii="Times New Roman" w:hAnsi="Times New Roman" w:cs="Times New Roman"/>
          <w:color w:val="0070C0"/>
          <w:sz w:val="16"/>
          <w:szCs w:val="16"/>
        </w:rPr>
        <w:t>к</w:t>
      </w:r>
      <w:r w:rsidRPr="005D7D69">
        <w:rPr>
          <w:rFonts w:ascii="Times New Roman" w:hAnsi="Times New Roman" w:cs="Times New Roman"/>
          <w:color w:val="0070C0"/>
          <w:sz w:val="16"/>
          <w:szCs w:val="16"/>
        </w:rPr>
        <w:t>а</w:t>
      </w:r>
      <w:r>
        <w:rPr>
          <w:rFonts w:ascii="Times New Roman" w:hAnsi="Times New Roman" w:cs="Times New Roman"/>
          <w:color w:val="0070C0"/>
          <w:sz w:val="16"/>
          <w:szCs w:val="16"/>
        </w:rPr>
        <w:t>ше</w:t>
      </w:r>
      <w:r w:rsidRPr="005D7D69">
        <w:rPr>
          <w:rFonts w:ascii="Times New Roman" w:hAnsi="Times New Roman" w:cs="Times New Roman"/>
          <w:color w:val="0070C0"/>
          <w:sz w:val="16"/>
          <w:szCs w:val="16"/>
        </w:rPr>
        <w:t>в - от рабочих авиазаводов</w:t>
      </w:r>
      <w:r>
        <w:rPr>
          <w:rFonts w:ascii="Times New Roman" w:hAnsi="Times New Roman" w:cs="Times New Roman"/>
          <w:color w:val="0070C0"/>
          <w:sz w:val="16"/>
          <w:szCs w:val="16"/>
        </w:rPr>
        <w:t>.</w:t>
      </w:r>
      <w:r w:rsidRPr="005D7D69">
        <w:rPr>
          <w:rFonts w:ascii="Times New Roman" w:hAnsi="Times New Roman" w:cs="Times New Roman"/>
          <w:color w:val="0070C0"/>
          <w:sz w:val="16"/>
          <w:szCs w:val="16"/>
        </w:rPr>
        <w:t xml:space="preserve"> </w:t>
      </w:r>
      <w:r>
        <w:rPr>
          <w:rFonts w:ascii="Times New Roman" w:hAnsi="Times New Roman" w:cs="Times New Roman"/>
          <w:color w:val="0070C0"/>
          <w:sz w:val="16"/>
          <w:szCs w:val="16"/>
        </w:rPr>
        <w:t>Ч</w:t>
      </w:r>
      <w:r w:rsidRPr="005D7D69">
        <w:rPr>
          <w:rFonts w:ascii="Times New Roman" w:hAnsi="Times New Roman" w:cs="Times New Roman"/>
          <w:color w:val="0070C0"/>
          <w:sz w:val="16"/>
          <w:szCs w:val="16"/>
        </w:rPr>
        <w:t>лен</w:t>
      </w:r>
      <w:r>
        <w:rPr>
          <w:rFonts w:ascii="Times New Roman" w:hAnsi="Times New Roman" w:cs="Times New Roman"/>
          <w:color w:val="0070C0"/>
          <w:sz w:val="16"/>
          <w:szCs w:val="16"/>
        </w:rPr>
        <w:t>а</w:t>
      </w:r>
      <w:r w:rsidRPr="005D7D69">
        <w:rPr>
          <w:rFonts w:ascii="Times New Roman" w:hAnsi="Times New Roman" w:cs="Times New Roman"/>
          <w:color w:val="0070C0"/>
          <w:sz w:val="16"/>
          <w:szCs w:val="16"/>
        </w:rPr>
        <w:t>м</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коллегам на</w:t>
      </w:r>
      <w:r>
        <w:rPr>
          <w:rFonts w:ascii="Times New Roman" w:hAnsi="Times New Roman" w:cs="Times New Roman"/>
          <w:color w:val="0070C0"/>
          <w:sz w:val="16"/>
          <w:szCs w:val="16"/>
        </w:rPr>
        <w:t>зна</w:t>
      </w:r>
      <w:r w:rsidRPr="005D7D69">
        <w:rPr>
          <w:rFonts w:ascii="Times New Roman" w:hAnsi="Times New Roman" w:cs="Times New Roman"/>
          <w:color w:val="0070C0"/>
          <w:sz w:val="16"/>
          <w:szCs w:val="16"/>
        </w:rPr>
        <w:t>чены:</w:t>
      </w:r>
    </w:p>
    <w:p w14:paraId="4C8DB401" w14:textId="77777777" w:rsidR="0002201C" w:rsidRPr="005D7D69" w:rsidRDefault="0002201C"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1.</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Дубенский Петр Сергеевич - от Всероссийского сонета Авиация</w:t>
      </w:r>
    </w:p>
    <w:p w14:paraId="733F79B4" w14:textId="77777777" w:rsidR="0002201C" w:rsidRPr="005D7D69" w:rsidRDefault="0002201C"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2.</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Онуфриев Андрей Павлович </w:t>
      </w:r>
      <w:r>
        <w:rPr>
          <w:rFonts w:ascii="Times New Roman" w:hAnsi="Times New Roman" w:cs="Times New Roman"/>
          <w:color w:val="0070C0"/>
          <w:sz w:val="16"/>
          <w:szCs w:val="16"/>
        </w:rPr>
        <w:t>- от</w:t>
      </w:r>
      <w:r w:rsidRPr="005D7D69">
        <w:rPr>
          <w:rFonts w:ascii="Times New Roman" w:hAnsi="Times New Roman" w:cs="Times New Roman"/>
          <w:color w:val="0070C0"/>
          <w:sz w:val="16"/>
          <w:szCs w:val="16"/>
        </w:rPr>
        <w:t xml:space="preserve"> морокой авиации</w:t>
      </w:r>
    </w:p>
    <w:p w14:paraId="652CEB72" w14:textId="77777777" w:rsidR="0002201C" w:rsidRPr="005D7D69" w:rsidRDefault="0002201C"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Бычков Федор Иванович - от Совета профсоюзов</w:t>
      </w:r>
    </w:p>
    <w:p w14:paraId="07515467" w14:textId="77777777" w:rsidR="0002201C" w:rsidRPr="005D7D69" w:rsidRDefault="0002201C"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4.</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3арж</w:t>
      </w:r>
      <w:r>
        <w:rPr>
          <w:rFonts w:ascii="Times New Roman" w:hAnsi="Times New Roman" w:cs="Times New Roman"/>
          <w:color w:val="0070C0"/>
          <w:sz w:val="16"/>
          <w:szCs w:val="16"/>
        </w:rPr>
        <w:t>е</w:t>
      </w:r>
      <w:r w:rsidRPr="005D7D69">
        <w:rPr>
          <w:rFonts w:ascii="Times New Roman" w:hAnsi="Times New Roman" w:cs="Times New Roman"/>
          <w:color w:val="0070C0"/>
          <w:sz w:val="16"/>
          <w:szCs w:val="16"/>
        </w:rPr>
        <w:t>в</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к</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й Николай Васильевич </w:t>
      </w:r>
      <w:r>
        <w:rPr>
          <w:rFonts w:ascii="Times New Roman" w:hAnsi="Times New Roman" w:cs="Times New Roman"/>
          <w:color w:val="0070C0"/>
          <w:sz w:val="16"/>
          <w:szCs w:val="16"/>
        </w:rPr>
        <w:t>- от</w:t>
      </w:r>
      <w:r w:rsidRPr="005D7D69">
        <w:rPr>
          <w:rFonts w:ascii="Times New Roman" w:hAnsi="Times New Roman" w:cs="Times New Roman"/>
          <w:color w:val="0070C0"/>
          <w:sz w:val="16"/>
          <w:szCs w:val="16"/>
        </w:rPr>
        <w:t xml:space="preserve"> рабочих авиазаводов</w:t>
      </w:r>
    </w:p>
    <w:p w14:paraId="561F9AAE" w14:textId="77777777" w:rsidR="0002201C" w:rsidRPr="005D7D69" w:rsidRDefault="0002201C"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5</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Кузяков Ива</w:t>
      </w:r>
      <w:r>
        <w:rPr>
          <w:rFonts w:ascii="Times New Roman" w:hAnsi="Times New Roman" w:cs="Times New Roman"/>
          <w:color w:val="0070C0"/>
          <w:sz w:val="16"/>
          <w:szCs w:val="16"/>
        </w:rPr>
        <w:t>н</w:t>
      </w:r>
      <w:r w:rsidRPr="005D7D69">
        <w:rPr>
          <w:rFonts w:ascii="Times New Roman" w:hAnsi="Times New Roman" w:cs="Times New Roman"/>
          <w:color w:val="0070C0"/>
          <w:sz w:val="16"/>
          <w:szCs w:val="16"/>
        </w:rPr>
        <w:t xml:space="preserve"> Никитич - от Исполкома с</w:t>
      </w:r>
      <w:r>
        <w:rPr>
          <w:rFonts w:ascii="Times New Roman" w:hAnsi="Times New Roman" w:cs="Times New Roman"/>
          <w:color w:val="0070C0"/>
          <w:sz w:val="16"/>
          <w:szCs w:val="16"/>
        </w:rPr>
        <w:t>о</w:t>
      </w:r>
      <w:r w:rsidRPr="005D7D69">
        <w:rPr>
          <w:rFonts w:ascii="Times New Roman" w:hAnsi="Times New Roman" w:cs="Times New Roman"/>
          <w:color w:val="0070C0"/>
          <w:sz w:val="16"/>
          <w:szCs w:val="16"/>
        </w:rPr>
        <w:t>ве</w:t>
      </w:r>
      <w:r>
        <w:rPr>
          <w:rFonts w:ascii="Times New Roman" w:hAnsi="Times New Roman" w:cs="Times New Roman"/>
          <w:color w:val="0070C0"/>
          <w:sz w:val="16"/>
          <w:szCs w:val="16"/>
        </w:rPr>
        <w:t>т</w:t>
      </w:r>
      <w:r w:rsidRPr="005D7D69">
        <w:rPr>
          <w:rFonts w:ascii="Times New Roman" w:hAnsi="Times New Roman" w:cs="Times New Roman"/>
          <w:color w:val="0070C0"/>
          <w:sz w:val="16"/>
          <w:szCs w:val="16"/>
        </w:rPr>
        <w:t xml:space="preserve">а рабочих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олдат</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кнх депутатов</w:t>
      </w:r>
    </w:p>
    <w:p w14:paraId="157DE5F2" w14:textId="77777777" w:rsidR="0002201C" w:rsidRPr="005D7D69" w:rsidRDefault="0002201C"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6. </w:t>
      </w:r>
      <w:r w:rsidRPr="005D7D69">
        <w:rPr>
          <w:rFonts w:ascii="Times New Roman" w:hAnsi="Times New Roman" w:cs="Times New Roman"/>
          <w:color w:val="0070C0"/>
          <w:sz w:val="16"/>
          <w:szCs w:val="16"/>
        </w:rPr>
        <w:t xml:space="preserve">Лаидау </w:t>
      </w:r>
      <w:r>
        <w:rPr>
          <w:rFonts w:ascii="Times New Roman" w:hAnsi="Times New Roman" w:cs="Times New Roman"/>
          <w:color w:val="0070C0"/>
          <w:sz w:val="16"/>
          <w:szCs w:val="16"/>
        </w:rPr>
        <w:t>Зе</w:t>
      </w:r>
      <w:r w:rsidRPr="005D7D69">
        <w:rPr>
          <w:rFonts w:ascii="Times New Roman" w:hAnsi="Times New Roman" w:cs="Times New Roman"/>
          <w:color w:val="0070C0"/>
          <w:sz w:val="16"/>
          <w:szCs w:val="16"/>
        </w:rPr>
        <w:t>но</w:t>
      </w:r>
      <w:r>
        <w:rPr>
          <w:rFonts w:ascii="Times New Roman" w:hAnsi="Times New Roman" w:cs="Times New Roman"/>
          <w:color w:val="0070C0"/>
          <w:sz w:val="16"/>
          <w:szCs w:val="16"/>
        </w:rPr>
        <w:t>н</w:t>
      </w:r>
      <w:r w:rsidRPr="005D7D69">
        <w:rPr>
          <w:rFonts w:ascii="Times New Roman" w:hAnsi="Times New Roman" w:cs="Times New Roman"/>
          <w:color w:val="0070C0"/>
          <w:sz w:val="16"/>
          <w:szCs w:val="16"/>
        </w:rPr>
        <w:t xml:space="preserve"> Янович - от Всероссийского Совета Авиации</w:t>
      </w:r>
    </w:p>
    <w:p w14:paraId="19EB3B80" w14:textId="77777777" w:rsidR="0002201C" w:rsidRPr="005D7D69" w:rsidRDefault="0002201C"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7. С</w:t>
      </w:r>
      <w:r w:rsidRPr="005D7D69">
        <w:rPr>
          <w:rFonts w:ascii="Times New Roman" w:hAnsi="Times New Roman" w:cs="Times New Roman"/>
          <w:color w:val="0070C0"/>
          <w:sz w:val="16"/>
          <w:szCs w:val="16"/>
        </w:rPr>
        <w:t>троев Михаил Павлович -</w:t>
      </w:r>
      <w:r w:rsidRPr="005D7D69">
        <w:rPr>
          <w:rFonts w:ascii="Times New Roman" w:hAnsi="Times New Roman" w:cs="Times New Roman"/>
          <w:color w:val="0070C0"/>
          <w:sz w:val="16"/>
          <w:szCs w:val="16"/>
        </w:rPr>
        <w:tab/>
        <w:t>тоже</w:t>
      </w:r>
    </w:p>
    <w:p w14:paraId="70565505" w14:textId="77777777" w:rsidR="0002201C" w:rsidRDefault="0002201C"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8. </w:t>
      </w:r>
      <w:r w:rsidRPr="005D7D69">
        <w:rPr>
          <w:rFonts w:ascii="Times New Roman" w:hAnsi="Times New Roman" w:cs="Times New Roman"/>
          <w:color w:val="0070C0"/>
          <w:sz w:val="16"/>
          <w:szCs w:val="16"/>
        </w:rPr>
        <w:t xml:space="preserve">Ахматович </w:t>
      </w:r>
      <w:r>
        <w:rPr>
          <w:rFonts w:ascii="Times New Roman" w:hAnsi="Times New Roman" w:cs="Times New Roman"/>
          <w:color w:val="0070C0"/>
          <w:sz w:val="16"/>
          <w:szCs w:val="16"/>
        </w:rPr>
        <w:t>Е</w:t>
      </w:r>
      <w:r w:rsidRPr="005D7D69">
        <w:rPr>
          <w:rFonts w:ascii="Times New Roman" w:hAnsi="Times New Roman" w:cs="Times New Roman"/>
          <w:color w:val="0070C0"/>
          <w:sz w:val="16"/>
          <w:szCs w:val="16"/>
        </w:rPr>
        <w:t>в</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тафий Иванович - член </w:t>
      </w:r>
      <w:r>
        <w:rPr>
          <w:rFonts w:ascii="Times New Roman" w:hAnsi="Times New Roman" w:cs="Times New Roman"/>
          <w:color w:val="0070C0"/>
          <w:sz w:val="16"/>
          <w:szCs w:val="16"/>
        </w:rPr>
        <w:t>б</w:t>
      </w:r>
      <w:r w:rsidRPr="005D7D69">
        <w:rPr>
          <w:rFonts w:ascii="Times New Roman" w:hAnsi="Times New Roman" w:cs="Times New Roman"/>
          <w:color w:val="0070C0"/>
          <w:sz w:val="16"/>
          <w:szCs w:val="16"/>
        </w:rPr>
        <w:t>юро комиссаров Возд.</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Флота</w:t>
      </w:r>
      <w:r>
        <w:rPr>
          <w:rFonts w:ascii="Times New Roman" w:hAnsi="Times New Roman" w:cs="Times New Roman"/>
          <w:color w:val="0070C0"/>
          <w:sz w:val="16"/>
          <w:szCs w:val="16"/>
        </w:rPr>
        <w:t>.</w:t>
      </w:r>
    </w:p>
    <w:p w14:paraId="3B089182" w14:textId="77777777" w:rsidR="0002201C" w:rsidRDefault="0002201C"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Позднее Коллегия была пополнена воздухоплавателем</w:t>
      </w:r>
      <w:r>
        <w:rPr>
          <w:rFonts w:ascii="Times New Roman" w:hAnsi="Times New Roman" w:cs="Times New Roman"/>
          <w:color w:val="0070C0"/>
          <w:sz w:val="16"/>
          <w:szCs w:val="16"/>
        </w:rPr>
        <w:t xml:space="preserve"> Н</w:t>
      </w:r>
      <w:r w:rsidRPr="005D7D69">
        <w:rPr>
          <w:rFonts w:ascii="Times New Roman" w:hAnsi="Times New Roman" w:cs="Times New Roman"/>
          <w:color w:val="0070C0"/>
          <w:sz w:val="16"/>
          <w:szCs w:val="16"/>
        </w:rPr>
        <w:t>.Д.А</w:t>
      </w:r>
      <w:r>
        <w:rPr>
          <w:rFonts w:ascii="Times New Roman" w:hAnsi="Times New Roman" w:cs="Times New Roman"/>
          <w:color w:val="0070C0"/>
          <w:sz w:val="16"/>
          <w:szCs w:val="16"/>
        </w:rPr>
        <w:t>н</w:t>
      </w:r>
      <w:r w:rsidRPr="005D7D69">
        <w:rPr>
          <w:rFonts w:ascii="Times New Roman" w:hAnsi="Times New Roman" w:cs="Times New Roman"/>
          <w:color w:val="0070C0"/>
          <w:sz w:val="16"/>
          <w:szCs w:val="16"/>
        </w:rPr>
        <w:t>о</w:t>
      </w:r>
      <w:r>
        <w:rPr>
          <w:rFonts w:ascii="Times New Roman" w:hAnsi="Times New Roman" w:cs="Times New Roman"/>
          <w:color w:val="0070C0"/>
          <w:sz w:val="16"/>
          <w:szCs w:val="16"/>
        </w:rPr>
        <w:t>шен</w:t>
      </w:r>
      <w:r w:rsidRPr="005D7D69">
        <w:rPr>
          <w:rFonts w:ascii="Times New Roman" w:hAnsi="Times New Roman" w:cs="Times New Roman"/>
          <w:color w:val="0070C0"/>
          <w:sz w:val="16"/>
          <w:szCs w:val="16"/>
        </w:rPr>
        <w:t>ко.</w:t>
      </w:r>
    </w:p>
    <w:p w14:paraId="52C30942" w14:textId="77777777" w:rsidR="0002201C" w:rsidRPr="005D7D69" w:rsidRDefault="0002201C"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На Коллегию возлагалось обще</w:t>
      </w:r>
      <w:r>
        <w:rPr>
          <w:rFonts w:ascii="Times New Roman" w:hAnsi="Times New Roman" w:cs="Times New Roman"/>
          <w:color w:val="0070C0"/>
          <w:sz w:val="16"/>
          <w:szCs w:val="16"/>
        </w:rPr>
        <w:t>е</w:t>
      </w:r>
      <w:r w:rsidRPr="005D7D69">
        <w:rPr>
          <w:rFonts w:ascii="Times New Roman" w:hAnsi="Times New Roman" w:cs="Times New Roman"/>
          <w:color w:val="0070C0"/>
          <w:sz w:val="16"/>
          <w:szCs w:val="16"/>
        </w:rPr>
        <w:t xml:space="preserve"> руководство деятельностью воздуш</w:t>
      </w:r>
      <w:r w:rsidRPr="005D7D69">
        <w:rPr>
          <w:rFonts w:ascii="Times New Roman" w:hAnsi="Times New Roman" w:cs="Times New Roman"/>
          <w:color w:val="0070C0"/>
          <w:sz w:val="16"/>
          <w:szCs w:val="16"/>
        </w:rPr>
        <w:softHyphen/>
        <w:t>ного флота,</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формирование авиавоздухчастей,</w:t>
      </w:r>
      <w:r>
        <w:rPr>
          <w:rFonts w:ascii="Times New Roman" w:hAnsi="Times New Roman" w:cs="Times New Roman"/>
          <w:color w:val="0070C0"/>
          <w:sz w:val="16"/>
          <w:szCs w:val="16"/>
        </w:rPr>
        <w:t xml:space="preserve"> с</w:t>
      </w:r>
      <w:r w:rsidRPr="005D7D69">
        <w:rPr>
          <w:rFonts w:ascii="Times New Roman" w:hAnsi="Times New Roman" w:cs="Times New Roman"/>
          <w:color w:val="0070C0"/>
          <w:sz w:val="16"/>
          <w:szCs w:val="16"/>
        </w:rPr>
        <w:t xml:space="preserve">бор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сохранение</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авиаиму</w:t>
      </w:r>
      <w:r>
        <w:rPr>
          <w:rFonts w:ascii="Times New Roman" w:hAnsi="Times New Roman" w:cs="Times New Roman"/>
          <w:color w:val="0070C0"/>
          <w:sz w:val="16"/>
          <w:szCs w:val="16"/>
        </w:rPr>
        <w:t>щес</w:t>
      </w:r>
      <w:r w:rsidRPr="005D7D69">
        <w:rPr>
          <w:rFonts w:ascii="Times New Roman" w:hAnsi="Times New Roman" w:cs="Times New Roman"/>
          <w:color w:val="0070C0"/>
          <w:sz w:val="16"/>
          <w:szCs w:val="16"/>
        </w:rPr>
        <w:t xml:space="preserve">тва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т.п.</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С учреждением Коллегии было упразднено и </w:t>
      </w:r>
      <w:r>
        <w:rPr>
          <w:rFonts w:ascii="Times New Roman" w:hAnsi="Times New Roman" w:cs="Times New Roman"/>
          <w:color w:val="0070C0"/>
          <w:sz w:val="16"/>
          <w:szCs w:val="16"/>
        </w:rPr>
        <w:t>Б</w:t>
      </w:r>
      <w:r w:rsidRPr="005D7D69">
        <w:rPr>
          <w:rFonts w:ascii="Times New Roman" w:hAnsi="Times New Roman" w:cs="Times New Roman"/>
          <w:color w:val="0070C0"/>
          <w:sz w:val="16"/>
          <w:szCs w:val="16"/>
        </w:rPr>
        <w:t xml:space="preserve">юро комиссаров авиации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воздухоплавания,</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сформированное 28 октября</w:t>
      </w:r>
      <w:r>
        <w:rPr>
          <w:rFonts w:ascii="Times New Roman" w:hAnsi="Times New Roman" w:cs="Times New Roman"/>
          <w:color w:val="0070C0"/>
          <w:sz w:val="16"/>
          <w:szCs w:val="16"/>
        </w:rPr>
        <w:t xml:space="preserve"> Этим</w:t>
      </w:r>
      <w:r w:rsidRPr="005D7D69">
        <w:rPr>
          <w:rFonts w:ascii="Times New Roman" w:hAnsi="Times New Roman" w:cs="Times New Roman"/>
          <w:color w:val="0070C0"/>
          <w:sz w:val="16"/>
          <w:szCs w:val="16"/>
        </w:rPr>
        <w:t xml:space="preserve"> </w:t>
      </w:r>
      <w:r>
        <w:rPr>
          <w:rFonts w:ascii="Times New Roman" w:hAnsi="Times New Roman" w:cs="Times New Roman"/>
          <w:color w:val="0070C0"/>
          <w:sz w:val="16"/>
          <w:szCs w:val="16"/>
        </w:rPr>
        <w:t>ж</w:t>
      </w:r>
      <w:r w:rsidRPr="005D7D69">
        <w:rPr>
          <w:rFonts w:ascii="Times New Roman" w:hAnsi="Times New Roman" w:cs="Times New Roman"/>
          <w:color w:val="0070C0"/>
          <w:sz w:val="16"/>
          <w:szCs w:val="16"/>
        </w:rPr>
        <w:t>е приказом морская авиация объединялась о сухопутной.</w:t>
      </w:r>
    </w:p>
    <w:p w14:paraId="1F470B6F" w14:textId="77777777" w:rsidR="0002201C" w:rsidRDefault="0002201C"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20,</w:t>
      </w:r>
      <w:r>
        <w:rPr>
          <w:rFonts w:ascii="Times New Roman" w:hAnsi="Times New Roman" w:cs="Times New Roman"/>
          <w:color w:val="0070C0"/>
          <w:sz w:val="16"/>
          <w:szCs w:val="16"/>
        </w:rPr>
        <w:t xml:space="preserve"> оп</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д</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д</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2, л. 3</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038E6EBB" w14:textId="77777777" w:rsidR="0002201C" w:rsidRPr="005D7D69" w:rsidRDefault="0002201C" w:rsidP="0083075A">
      <w:pPr>
        <w:spacing w:after="0" w:line="240" w:lineRule="auto"/>
        <w:jc w:val="both"/>
        <w:rPr>
          <w:rFonts w:ascii="Times New Roman" w:hAnsi="Times New Roman" w:cs="Times New Roman"/>
          <w:color w:val="0070C0"/>
          <w:sz w:val="16"/>
          <w:szCs w:val="16"/>
        </w:rPr>
      </w:pPr>
    </w:p>
    <w:p w14:paraId="664EC631" w14:textId="77777777" w:rsidR="005F253F" w:rsidRDefault="005F253F"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20 </w:t>
      </w:r>
      <w:r w:rsidRPr="005D7D69">
        <w:rPr>
          <w:rFonts w:ascii="Times New Roman" w:hAnsi="Times New Roman" w:cs="Times New Roman"/>
          <w:color w:val="0070C0"/>
          <w:sz w:val="16"/>
          <w:szCs w:val="16"/>
        </w:rPr>
        <w:t>декабря</w:t>
      </w:r>
      <w:r>
        <w:rPr>
          <w:rFonts w:ascii="Times New Roman" w:hAnsi="Times New Roman" w:cs="Times New Roman"/>
          <w:color w:val="0070C0"/>
          <w:sz w:val="16"/>
          <w:szCs w:val="16"/>
        </w:rPr>
        <w:t xml:space="preserve"> 1917 г. (2 января 1918 г.) </w:t>
      </w:r>
      <w:r w:rsidRPr="005D7D69">
        <w:rPr>
          <w:rFonts w:ascii="Times New Roman" w:hAnsi="Times New Roman" w:cs="Times New Roman"/>
          <w:color w:val="0070C0"/>
          <w:sz w:val="16"/>
          <w:szCs w:val="16"/>
        </w:rPr>
        <w:t>Наркомвоеи</w:t>
      </w:r>
      <w:r>
        <w:rPr>
          <w:rFonts w:ascii="Times New Roman" w:hAnsi="Times New Roman" w:cs="Times New Roman"/>
          <w:color w:val="0070C0"/>
          <w:sz w:val="16"/>
          <w:szCs w:val="16"/>
        </w:rPr>
        <w:t>мор</w:t>
      </w:r>
      <w:r w:rsidRPr="005D7D69">
        <w:rPr>
          <w:rFonts w:ascii="Times New Roman" w:hAnsi="Times New Roman" w:cs="Times New Roman"/>
          <w:color w:val="0070C0"/>
          <w:sz w:val="16"/>
          <w:szCs w:val="16"/>
        </w:rPr>
        <w:t xml:space="preserve"> издал приказ о формирован</w:t>
      </w:r>
      <w:r>
        <w:rPr>
          <w:rFonts w:ascii="Times New Roman" w:hAnsi="Times New Roman" w:cs="Times New Roman"/>
          <w:color w:val="0070C0"/>
          <w:sz w:val="16"/>
          <w:szCs w:val="16"/>
        </w:rPr>
        <w:t>ии</w:t>
      </w:r>
      <w:r w:rsidRPr="005D7D69">
        <w:rPr>
          <w:rFonts w:ascii="Times New Roman" w:hAnsi="Times New Roman" w:cs="Times New Roman"/>
          <w:color w:val="0070C0"/>
          <w:sz w:val="16"/>
          <w:szCs w:val="16"/>
        </w:rPr>
        <w:t xml:space="preserve"> част</w:t>
      </w:r>
      <w:r>
        <w:rPr>
          <w:rFonts w:ascii="Times New Roman" w:hAnsi="Times New Roman" w:cs="Times New Roman"/>
          <w:color w:val="0070C0"/>
          <w:sz w:val="16"/>
          <w:szCs w:val="16"/>
        </w:rPr>
        <w:t>е</w:t>
      </w:r>
      <w:r w:rsidRPr="005D7D69">
        <w:rPr>
          <w:rFonts w:ascii="Times New Roman" w:hAnsi="Times New Roman" w:cs="Times New Roman"/>
          <w:color w:val="0070C0"/>
          <w:sz w:val="16"/>
          <w:szCs w:val="16"/>
        </w:rPr>
        <w:t xml:space="preserve">й авиация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воздухоплавания</w:t>
      </w:r>
      <w:r>
        <w:rPr>
          <w:rFonts w:ascii="Times New Roman" w:hAnsi="Times New Roman" w:cs="Times New Roman"/>
          <w:color w:val="0070C0"/>
          <w:sz w:val="16"/>
          <w:szCs w:val="16"/>
        </w:rPr>
        <w:t>, п</w:t>
      </w:r>
      <w:r w:rsidRPr="005D7D69">
        <w:rPr>
          <w:rFonts w:ascii="Times New Roman" w:hAnsi="Times New Roman" w:cs="Times New Roman"/>
          <w:color w:val="0070C0"/>
          <w:sz w:val="16"/>
          <w:szCs w:val="16"/>
        </w:rPr>
        <w:t>оло</w:t>
      </w:r>
      <w:r>
        <w:rPr>
          <w:rFonts w:ascii="Times New Roman" w:hAnsi="Times New Roman" w:cs="Times New Roman"/>
          <w:color w:val="0070C0"/>
          <w:sz w:val="16"/>
          <w:szCs w:val="16"/>
        </w:rPr>
        <w:t>ж</w:t>
      </w:r>
      <w:r w:rsidRPr="005D7D69">
        <w:rPr>
          <w:rFonts w:ascii="Times New Roman" w:hAnsi="Times New Roman" w:cs="Times New Roman"/>
          <w:color w:val="0070C0"/>
          <w:sz w:val="16"/>
          <w:szCs w:val="16"/>
        </w:rPr>
        <w:t xml:space="preserve">вив тем самым начало формированию регулярных авиа-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5D7D69">
        <w:rPr>
          <w:rFonts w:ascii="Times New Roman" w:hAnsi="Times New Roman" w:cs="Times New Roman"/>
          <w:color w:val="0070C0"/>
          <w:sz w:val="16"/>
          <w:szCs w:val="16"/>
        </w:rPr>
        <w:t>о</w:t>
      </w:r>
      <w:r>
        <w:rPr>
          <w:rFonts w:ascii="Times New Roman" w:hAnsi="Times New Roman" w:cs="Times New Roman"/>
          <w:color w:val="0070C0"/>
          <w:sz w:val="16"/>
          <w:szCs w:val="16"/>
        </w:rPr>
        <w:t>з</w:t>
      </w:r>
      <w:r w:rsidRPr="005D7D69">
        <w:rPr>
          <w:rFonts w:ascii="Times New Roman" w:hAnsi="Times New Roman" w:cs="Times New Roman"/>
          <w:color w:val="0070C0"/>
          <w:sz w:val="16"/>
          <w:szCs w:val="16"/>
        </w:rPr>
        <w:t>духча</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тей рабоче-кре</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тьянокого Красного Воздушного.</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Часть авиаотрядов формировалась путем переименования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тарых </w:t>
      </w:r>
      <w:r>
        <w:rPr>
          <w:rFonts w:ascii="Times New Roman" w:hAnsi="Times New Roman" w:cs="Times New Roman"/>
          <w:color w:val="0070C0"/>
          <w:sz w:val="16"/>
          <w:szCs w:val="16"/>
        </w:rPr>
        <w:t xml:space="preserve">отрядов в </w:t>
      </w:r>
      <w:r w:rsidRPr="005D7D69">
        <w:rPr>
          <w:rFonts w:ascii="Times New Roman" w:hAnsi="Times New Roman" w:cs="Times New Roman"/>
          <w:color w:val="0070C0"/>
          <w:sz w:val="16"/>
          <w:szCs w:val="16"/>
        </w:rPr>
        <w:t>соцналнстнче</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кие</w:t>
      </w:r>
      <w:r>
        <w:rPr>
          <w:rFonts w:ascii="Times New Roman" w:hAnsi="Times New Roman" w:cs="Times New Roman"/>
          <w:color w:val="0070C0"/>
          <w:sz w:val="16"/>
          <w:szCs w:val="16"/>
        </w:rPr>
        <w:t xml:space="preserve"> с</w:t>
      </w:r>
      <w:r w:rsidRPr="005D7D69">
        <w:rPr>
          <w:rFonts w:ascii="Times New Roman" w:hAnsi="Times New Roman" w:cs="Times New Roman"/>
          <w:color w:val="0070C0"/>
          <w:sz w:val="16"/>
          <w:szCs w:val="16"/>
        </w:rPr>
        <w:t xml:space="preserve"> частичной заменой летного состава,</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часть </w:t>
      </w:r>
      <w:r>
        <w:rPr>
          <w:rFonts w:ascii="Times New Roman" w:hAnsi="Times New Roman" w:cs="Times New Roman"/>
          <w:color w:val="0070C0"/>
          <w:sz w:val="16"/>
          <w:szCs w:val="16"/>
        </w:rPr>
        <w:t>-</w:t>
      </w:r>
      <w:r w:rsidRPr="005D7D69">
        <w:rPr>
          <w:rFonts w:ascii="Times New Roman" w:hAnsi="Times New Roman" w:cs="Times New Roman"/>
          <w:color w:val="0070C0"/>
          <w:sz w:val="16"/>
          <w:szCs w:val="16"/>
        </w:rPr>
        <w:t xml:space="preserve"> заново,</w:t>
      </w:r>
      <w:r>
        <w:rPr>
          <w:rFonts w:ascii="Times New Roman" w:hAnsi="Times New Roman" w:cs="Times New Roman"/>
          <w:color w:val="0070C0"/>
          <w:sz w:val="16"/>
          <w:szCs w:val="16"/>
        </w:rPr>
        <w:t xml:space="preserve"> с</w:t>
      </w:r>
      <w:r w:rsidRPr="005D7D69">
        <w:rPr>
          <w:rFonts w:ascii="Times New Roman" w:hAnsi="Times New Roman" w:cs="Times New Roman"/>
          <w:color w:val="0070C0"/>
          <w:sz w:val="16"/>
          <w:szCs w:val="16"/>
        </w:rPr>
        <w:t xml:space="preserve"> использованием того,</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что осталось от старых отрядов в результате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амодемобилизации армии.</w:t>
      </w:r>
      <w:r>
        <w:rPr>
          <w:rFonts w:ascii="Times New Roman" w:hAnsi="Times New Roman" w:cs="Times New Roman"/>
          <w:color w:val="0070C0"/>
          <w:sz w:val="16"/>
          <w:szCs w:val="16"/>
        </w:rPr>
        <w:t xml:space="preserve"> Н</w:t>
      </w:r>
      <w:r w:rsidRPr="005D7D69">
        <w:rPr>
          <w:rFonts w:ascii="Times New Roman" w:hAnsi="Times New Roman" w:cs="Times New Roman"/>
          <w:color w:val="0070C0"/>
          <w:sz w:val="16"/>
          <w:szCs w:val="16"/>
        </w:rPr>
        <w:t>овым формированиям зачастую присваивались наименования «Революционных</w:t>
      </w:r>
      <w:r>
        <w:rPr>
          <w:rFonts w:ascii="Times New Roman" w:hAnsi="Times New Roman" w:cs="Times New Roman"/>
          <w:color w:val="0070C0"/>
          <w:sz w:val="16"/>
          <w:szCs w:val="16"/>
        </w:rPr>
        <w:t>». С</w:t>
      </w:r>
      <w:r w:rsidRPr="005D7D69">
        <w:rPr>
          <w:rFonts w:ascii="Times New Roman" w:hAnsi="Times New Roman" w:cs="Times New Roman"/>
          <w:color w:val="0070C0"/>
          <w:sz w:val="16"/>
          <w:szCs w:val="16"/>
        </w:rPr>
        <w:t>начала авиаотряды ф</w:t>
      </w:r>
      <w:r>
        <w:rPr>
          <w:rFonts w:ascii="Times New Roman" w:hAnsi="Times New Roman" w:cs="Times New Roman"/>
          <w:color w:val="0070C0"/>
          <w:sz w:val="16"/>
          <w:szCs w:val="16"/>
        </w:rPr>
        <w:t>о</w:t>
      </w:r>
      <w:r w:rsidRPr="005D7D69">
        <w:rPr>
          <w:rFonts w:ascii="Times New Roman" w:hAnsi="Times New Roman" w:cs="Times New Roman"/>
          <w:color w:val="0070C0"/>
          <w:sz w:val="16"/>
          <w:szCs w:val="16"/>
        </w:rPr>
        <w:t>рмировалиоь в составе 12 самолетов,</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но ввиду недостатка </w:t>
      </w:r>
      <w:r>
        <w:rPr>
          <w:rFonts w:ascii="Times New Roman" w:hAnsi="Times New Roman" w:cs="Times New Roman"/>
          <w:color w:val="0070C0"/>
          <w:sz w:val="16"/>
          <w:szCs w:val="16"/>
        </w:rPr>
        <w:t>п</w:t>
      </w:r>
      <w:r w:rsidRPr="005D7D69">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лед</w:t>
      </w:r>
      <w:r>
        <w:rPr>
          <w:rFonts w:ascii="Times New Roman" w:hAnsi="Times New Roman" w:cs="Times New Roman"/>
          <w:color w:val="0070C0"/>
          <w:sz w:val="16"/>
          <w:szCs w:val="16"/>
        </w:rPr>
        <w:t>н</w:t>
      </w:r>
      <w:r w:rsidRPr="005D7D69">
        <w:rPr>
          <w:rFonts w:ascii="Times New Roman" w:hAnsi="Times New Roman" w:cs="Times New Roman"/>
          <w:color w:val="0070C0"/>
          <w:sz w:val="16"/>
          <w:szCs w:val="16"/>
        </w:rPr>
        <w:t xml:space="preserve">их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необходимости придания отрядов стрелковым дивизиям </w:t>
      </w:r>
      <w:r>
        <w:rPr>
          <w:rFonts w:ascii="Times New Roman" w:hAnsi="Times New Roman" w:cs="Times New Roman"/>
          <w:color w:val="0070C0"/>
          <w:sz w:val="16"/>
          <w:szCs w:val="16"/>
        </w:rPr>
        <w:t>к</w:t>
      </w:r>
      <w:r w:rsidRPr="005D7D69">
        <w:rPr>
          <w:rFonts w:ascii="Times New Roman" w:hAnsi="Times New Roman" w:cs="Times New Roman"/>
          <w:color w:val="0070C0"/>
          <w:sz w:val="16"/>
          <w:szCs w:val="16"/>
        </w:rPr>
        <w:t>ол</w:t>
      </w:r>
      <w:r>
        <w:rPr>
          <w:rFonts w:ascii="Times New Roman" w:hAnsi="Times New Roman" w:cs="Times New Roman"/>
          <w:color w:val="0070C0"/>
          <w:sz w:val="16"/>
          <w:szCs w:val="16"/>
        </w:rPr>
        <w:t>ич</w:t>
      </w:r>
      <w:r w:rsidRPr="005D7D69">
        <w:rPr>
          <w:rFonts w:ascii="Times New Roman" w:hAnsi="Times New Roman" w:cs="Times New Roman"/>
          <w:color w:val="0070C0"/>
          <w:sz w:val="16"/>
          <w:szCs w:val="16"/>
        </w:rPr>
        <w:t>ество са</w:t>
      </w:r>
      <w:r w:rsidRPr="005D7D69">
        <w:rPr>
          <w:rFonts w:ascii="Times New Roman" w:hAnsi="Times New Roman" w:cs="Times New Roman"/>
          <w:color w:val="0070C0"/>
          <w:sz w:val="16"/>
          <w:szCs w:val="16"/>
        </w:rPr>
        <w:softHyphen/>
        <w:t xml:space="preserve">молетов в отряде было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о</w:t>
      </w:r>
      <w:r>
        <w:rPr>
          <w:rFonts w:ascii="Times New Roman" w:hAnsi="Times New Roman" w:cs="Times New Roman"/>
          <w:color w:val="0070C0"/>
          <w:sz w:val="16"/>
          <w:szCs w:val="16"/>
        </w:rPr>
        <w:t>к</w:t>
      </w:r>
      <w:r w:rsidRPr="005D7D69">
        <w:rPr>
          <w:rFonts w:ascii="Times New Roman" w:hAnsi="Times New Roman" w:cs="Times New Roman"/>
          <w:color w:val="0070C0"/>
          <w:sz w:val="16"/>
          <w:szCs w:val="16"/>
        </w:rPr>
        <w:t>ра</w:t>
      </w:r>
      <w:r>
        <w:rPr>
          <w:rFonts w:ascii="Times New Roman" w:hAnsi="Times New Roman" w:cs="Times New Roman"/>
          <w:color w:val="0070C0"/>
          <w:sz w:val="16"/>
          <w:szCs w:val="16"/>
        </w:rPr>
        <w:t>ще</w:t>
      </w:r>
      <w:r w:rsidRPr="005D7D69">
        <w:rPr>
          <w:rFonts w:ascii="Times New Roman" w:hAnsi="Times New Roman" w:cs="Times New Roman"/>
          <w:color w:val="0070C0"/>
          <w:sz w:val="16"/>
          <w:szCs w:val="16"/>
        </w:rPr>
        <w:t xml:space="preserve">но до </w:t>
      </w:r>
      <w:r>
        <w:rPr>
          <w:rFonts w:ascii="Times New Roman" w:hAnsi="Times New Roman" w:cs="Times New Roman"/>
          <w:color w:val="0070C0"/>
          <w:sz w:val="16"/>
          <w:szCs w:val="16"/>
        </w:rPr>
        <w:t>6 (23370)</w:t>
      </w:r>
      <w:r w:rsidRPr="005D7D69">
        <w:rPr>
          <w:rFonts w:ascii="Times New Roman" w:hAnsi="Times New Roman" w:cs="Times New Roman"/>
          <w:color w:val="0070C0"/>
          <w:sz w:val="16"/>
          <w:szCs w:val="16"/>
        </w:rPr>
        <w:t>.</w:t>
      </w:r>
    </w:p>
    <w:p w14:paraId="77162A0D" w14:textId="77777777" w:rsidR="005F253F" w:rsidRDefault="005F253F" w:rsidP="0083075A">
      <w:pPr>
        <w:spacing w:after="0" w:line="240" w:lineRule="auto"/>
        <w:jc w:val="both"/>
        <w:rPr>
          <w:rFonts w:ascii="Times New Roman" w:hAnsi="Times New Roman" w:cs="Times New Roman"/>
          <w:color w:val="0070C0"/>
          <w:sz w:val="16"/>
          <w:szCs w:val="16"/>
        </w:rPr>
      </w:pPr>
    </w:p>
    <w:p w14:paraId="4684839E" w14:textId="511119FC" w:rsidR="00EF53B3" w:rsidRPr="002F2FDF" w:rsidRDefault="00EF53B3" w:rsidP="0083075A">
      <w:pPr>
        <w:pStyle w:val="ae"/>
        <w:spacing w:before="0" w:after="0"/>
        <w:jc w:val="both"/>
        <w:rPr>
          <w:color w:val="000000" w:themeColor="text1"/>
          <w:kern w:val="2"/>
          <w:sz w:val="16"/>
          <w:szCs w:val="16"/>
        </w:rPr>
      </w:pPr>
      <w:r w:rsidRPr="002F2FDF">
        <w:rPr>
          <w:color w:val="000000" w:themeColor="text1"/>
          <w:kern w:val="2"/>
          <w:sz w:val="16"/>
          <w:szCs w:val="16"/>
        </w:rPr>
        <w:t>20 декабря 1917 (2 января 1917) советское правительство направило телеграммы главам делегаций стран Четверного союза с предложением перенести мирные переговоры из оккупированного немцами Брест-Литовска (ныне Брест на западе Белоруссии) на нейтральную территорию, в Стокгольм. Советская делегация чувствовала себя там очень неуютно из-за постоянного давления германской стороны, пользовавшейся правом хозяина, и опасаясь перехвата радио- и телефонных переговоров с Петроградом и диппочты. Но немцы это предложение категорически отклонили, продолжая диктовать Советской России свою волю.</w:t>
      </w:r>
    </w:p>
    <w:p w14:paraId="64BA2A39" w14:textId="1F04BC39" w:rsidR="00EF53B3" w:rsidRPr="002F2FDF" w:rsidRDefault="00EF53B3" w:rsidP="0083075A">
      <w:pPr>
        <w:pStyle w:val="ae"/>
        <w:spacing w:before="0" w:after="0"/>
        <w:jc w:val="both"/>
        <w:rPr>
          <w:color w:val="000000" w:themeColor="text1"/>
          <w:kern w:val="2"/>
          <w:sz w:val="16"/>
          <w:szCs w:val="16"/>
        </w:rPr>
      </w:pPr>
      <w:r w:rsidRPr="002F2FDF">
        <w:rPr>
          <w:color w:val="000000" w:themeColor="text1"/>
          <w:kern w:val="2"/>
          <w:sz w:val="16"/>
          <w:szCs w:val="16"/>
        </w:rPr>
        <w:t>4 января в Брест-Литовск как полноправная и самостоятельная участница переговоров прибыла делегация украинской Центральной Рады. Немцы рассчитывали использовать украинцев как отдельный «рычаг давления» не только на Советскую Россию, но и на ослабленную войной Австро-Венгрию. Украинские дипломаты вели предварительные переговоры с начальником штаба германских армий на Восточном фронте</w:t>
      </w:r>
      <w:r w:rsidR="00E52569">
        <w:rPr>
          <w:color w:val="000000" w:themeColor="text1"/>
          <w:kern w:val="2"/>
          <w:sz w:val="16"/>
          <w:szCs w:val="16"/>
        </w:rPr>
        <w:t xml:space="preserve"> </w:t>
      </w:r>
      <w:r w:rsidRPr="002F2FDF">
        <w:rPr>
          <w:color w:val="000000" w:themeColor="text1"/>
          <w:kern w:val="2"/>
          <w:sz w:val="16"/>
          <w:szCs w:val="16"/>
        </w:rPr>
        <w:t>генералом Максом Гофманом, заявив о своих претензиях на Восточную Галицию, Северную Буковину (часть нынешней Западной Украины) и даже Холмщину (историческая область по левому берегу Западного Буга, ныне относится к Польше). Обсуждение этих вопросов затянулись настолько, что открытие нового раунда переговоров с участием всех сторон пришлось отложить до 9 января.</w:t>
      </w:r>
    </w:p>
    <w:p w14:paraId="54F2C724" w14:textId="77777777" w:rsidR="00EF53B3" w:rsidRPr="002F2FDF" w:rsidRDefault="00EF53B3" w:rsidP="0083075A">
      <w:pPr>
        <w:pStyle w:val="ae"/>
        <w:spacing w:before="0" w:after="0"/>
        <w:jc w:val="both"/>
        <w:rPr>
          <w:color w:val="000000" w:themeColor="text1"/>
          <w:kern w:val="2"/>
          <w:sz w:val="16"/>
          <w:szCs w:val="16"/>
        </w:rPr>
      </w:pPr>
      <w:r w:rsidRPr="002F2FDF">
        <w:rPr>
          <w:color w:val="000000" w:themeColor="text1"/>
          <w:kern w:val="2"/>
          <w:sz w:val="16"/>
          <w:szCs w:val="16"/>
        </w:rPr>
        <w:t>Советская делегация была вынуждена признать равноправное участие в переговорах делегации «антибольшевистской» Украины, но долгое обсуждение ее вопросов в определенной степени было на руку Владимиру Ленину. Он настаивал на максимальном затягивании переговоров в Брест-Литовске, всерьез надеясь на скорую революцию в Германии, что принципиально изменило бы расклад сил. Льва Троцкого, назначенного руководить советской делегацией, Ленин характеризовал так: «Чтобы затягивать переговоры, нужен затягиватель» (17045).</w:t>
      </w:r>
    </w:p>
    <w:p w14:paraId="00CE8247" w14:textId="77777777" w:rsidR="00EF53B3" w:rsidRPr="002F2FDF" w:rsidRDefault="00EF53B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689B3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11824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3E9C0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декабря 1917 (2 января 1918) был издан Приказ по Армии и Флоту № 4, объявивший создание единого Управле</w:t>
      </w:r>
      <w:r w:rsidRPr="002F2FDF">
        <w:rPr>
          <w:rFonts w:ascii="Times New Roman" w:hAnsi="Times New Roman" w:cs="Times New Roman"/>
          <w:color w:val="000000" w:themeColor="text1"/>
          <w:kern w:val="2"/>
          <w:sz w:val="16"/>
          <w:szCs w:val="16"/>
        </w:rPr>
        <w:softHyphen/>
        <w:t>ния Воздушного Флота Республики на основе существующих Управления военно-воздушного флота и Управления морской авиации и воздухоплавания. На объединении настояла межве</w:t>
      </w:r>
      <w:r w:rsidRPr="002F2FDF">
        <w:rPr>
          <w:rFonts w:ascii="Times New Roman" w:hAnsi="Times New Roman" w:cs="Times New Roman"/>
          <w:color w:val="000000" w:themeColor="text1"/>
          <w:kern w:val="2"/>
          <w:sz w:val="16"/>
          <w:szCs w:val="16"/>
        </w:rPr>
        <w:softHyphen/>
        <w:t>домственная комиссия под председательством первого помощ</w:t>
      </w:r>
      <w:r w:rsidRPr="002F2FDF">
        <w:rPr>
          <w:rFonts w:ascii="Times New Roman" w:hAnsi="Times New Roman" w:cs="Times New Roman"/>
          <w:color w:val="000000" w:themeColor="text1"/>
          <w:kern w:val="2"/>
          <w:sz w:val="16"/>
          <w:szCs w:val="16"/>
        </w:rPr>
        <w:softHyphen/>
        <w:t>ника Военного министра генерал-лейтенанта Маньковского, ре</w:t>
      </w:r>
      <w:r w:rsidRPr="002F2FDF">
        <w:rPr>
          <w:rFonts w:ascii="Times New Roman" w:hAnsi="Times New Roman" w:cs="Times New Roman"/>
          <w:color w:val="000000" w:themeColor="text1"/>
          <w:kern w:val="2"/>
          <w:sz w:val="16"/>
          <w:szCs w:val="16"/>
        </w:rPr>
        <w:softHyphen/>
        <w:t>анимировавшая проект бывшего первого помощника Морского министра капитана 1 ранга Дудорова. 16 сентября 1917 года он был освобожден от этой должности, назначен морским аген</w:t>
      </w:r>
      <w:r w:rsidRPr="002F2FDF">
        <w:rPr>
          <w:rFonts w:ascii="Times New Roman" w:hAnsi="Times New Roman" w:cs="Times New Roman"/>
          <w:color w:val="000000" w:themeColor="text1"/>
          <w:kern w:val="2"/>
          <w:sz w:val="16"/>
          <w:szCs w:val="16"/>
        </w:rPr>
        <w:softHyphen/>
        <w:t>том в Японии и произведен в контр-адмиралы. Однако Верховная морская коллегия, созданная по декрету Совета Народных Комиссаров еще 24 ноября 1917 г. для руко</w:t>
      </w:r>
      <w:r w:rsidRPr="002F2FDF">
        <w:rPr>
          <w:rFonts w:ascii="Times New Roman" w:hAnsi="Times New Roman" w:cs="Times New Roman"/>
          <w:color w:val="000000" w:themeColor="text1"/>
          <w:kern w:val="2"/>
          <w:sz w:val="16"/>
          <w:szCs w:val="16"/>
        </w:rPr>
        <w:softHyphen/>
        <w:t>водства подлежащими реорганизации центральными учрежде</w:t>
      </w:r>
      <w:r w:rsidRPr="002F2FDF">
        <w:rPr>
          <w:rFonts w:ascii="Times New Roman" w:hAnsi="Times New Roman" w:cs="Times New Roman"/>
          <w:color w:val="000000" w:themeColor="text1"/>
          <w:kern w:val="2"/>
          <w:sz w:val="16"/>
          <w:szCs w:val="16"/>
        </w:rPr>
        <w:softHyphen/>
        <w:t>ниями Морского ведомства, опираясь на доклад Морского гене</w:t>
      </w:r>
      <w:r w:rsidRPr="002F2FDF">
        <w:rPr>
          <w:rFonts w:ascii="Times New Roman" w:hAnsi="Times New Roman" w:cs="Times New Roman"/>
          <w:color w:val="000000" w:themeColor="text1"/>
          <w:kern w:val="2"/>
          <w:sz w:val="16"/>
          <w:szCs w:val="16"/>
        </w:rPr>
        <w:softHyphen/>
        <w:t>рального штаба, признала указанное выше решение преждевре</w:t>
      </w:r>
      <w:r w:rsidRPr="002F2FDF">
        <w:rPr>
          <w:rFonts w:ascii="Times New Roman" w:hAnsi="Times New Roman" w:cs="Times New Roman"/>
          <w:color w:val="000000" w:themeColor="text1"/>
          <w:kern w:val="2"/>
          <w:sz w:val="16"/>
          <w:szCs w:val="16"/>
        </w:rPr>
        <w:softHyphen/>
        <w:t>менным. В связи с этим, коллегия 11 января 1918 г. постано</w:t>
      </w:r>
      <w:r w:rsidRPr="002F2FDF">
        <w:rPr>
          <w:rFonts w:ascii="Times New Roman" w:hAnsi="Times New Roman" w:cs="Times New Roman"/>
          <w:color w:val="000000" w:themeColor="text1"/>
          <w:kern w:val="2"/>
          <w:sz w:val="16"/>
          <w:szCs w:val="16"/>
        </w:rPr>
        <w:softHyphen/>
        <w:t>вила: “Вопрос о соединении управлений временно принятием в исполнение отложить и разработать проект урегулирования отношений управлений”. Против объединения двух видов авиации категорически выступил Реввоенсовет Балтийского фло</w:t>
      </w:r>
      <w:r w:rsidRPr="002F2FDF">
        <w:rPr>
          <w:rFonts w:ascii="Times New Roman" w:hAnsi="Times New Roman" w:cs="Times New Roman"/>
          <w:color w:val="000000" w:themeColor="text1"/>
          <w:kern w:val="2"/>
          <w:sz w:val="16"/>
          <w:szCs w:val="16"/>
        </w:rPr>
        <w:softHyphen/>
        <w:t>та, твердо указавший на то, что “гидроавиация является типич</w:t>
      </w:r>
      <w:r w:rsidRPr="002F2FDF">
        <w:rPr>
          <w:rFonts w:ascii="Times New Roman" w:hAnsi="Times New Roman" w:cs="Times New Roman"/>
          <w:color w:val="000000" w:themeColor="text1"/>
          <w:kern w:val="2"/>
          <w:sz w:val="16"/>
          <w:szCs w:val="16"/>
        </w:rPr>
        <w:softHyphen/>
        <w:t>ным морским родом оружия”. Она оснащается соответствую</w:t>
      </w:r>
      <w:r w:rsidRPr="002F2FDF">
        <w:rPr>
          <w:rFonts w:ascii="Times New Roman" w:hAnsi="Times New Roman" w:cs="Times New Roman"/>
          <w:color w:val="000000" w:themeColor="text1"/>
          <w:kern w:val="2"/>
          <w:sz w:val="16"/>
          <w:szCs w:val="16"/>
        </w:rPr>
        <w:softHyphen/>
        <w:t>щим образом приспособленными летательными аппаратами и комплектуется специально подготовленными летчиками, знаю</w:t>
      </w:r>
      <w:r w:rsidRPr="002F2FDF">
        <w:rPr>
          <w:rFonts w:ascii="Times New Roman" w:hAnsi="Times New Roman" w:cs="Times New Roman"/>
          <w:color w:val="000000" w:themeColor="text1"/>
          <w:kern w:val="2"/>
          <w:sz w:val="16"/>
          <w:szCs w:val="16"/>
        </w:rPr>
        <w:softHyphen/>
        <w:t>щими специфику морской войны. Исполнявший обязанности начальника штаба флота контр</w:t>
      </w:r>
      <w:r w:rsidRPr="002F2FDF">
        <w:rPr>
          <w:rFonts w:ascii="Times New Roman" w:hAnsi="Times New Roman" w:cs="Times New Roman"/>
          <w:color w:val="000000" w:themeColor="text1"/>
          <w:kern w:val="2"/>
          <w:sz w:val="16"/>
          <w:szCs w:val="16"/>
        </w:rPr>
        <w:softHyphen/>
        <w:t>адмирал А. Ружек заявил, что объединение авиации станет оши</w:t>
      </w:r>
      <w:r w:rsidRPr="002F2FDF">
        <w:rPr>
          <w:rFonts w:ascii="Times New Roman" w:hAnsi="Times New Roman" w:cs="Times New Roman"/>
          <w:color w:val="000000" w:themeColor="text1"/>
          <w:kern w:val="2"/>
          <w:sz w:val="16"/>
          <w:szCs w:val="16"/>
        </w:rPr>
        <w:softHyphen/>
        <w:t>бочной мерой, находящейся в очевидном “разрыве с интереса</w:t>
      </w:r>
      <w:r w:rsidRPr="002F2FDF">
        <w:rPr>
          <w:rFonts w:ascii="Times New Roman" w:hAnsi="Times New Roman" w:cs="Times New Roman"/>
          <w:color w:val="000000" w:themeColor="text1"/>
          <w:kern w:val="2"/>
          <w:sz w:val="16"/>
          <w:szCs w:val="16"/>
        </w:rPr>
        <w:softHyphen/>
        <w:t>ми морской обороны республики”. Подобные заявления и мнения энергично поддержал назна</w:t>
      </w:r>
      <w:r w:rsidRPr="002F2FDF">
        <w:rPr>
          <w:rFonts w:ascii="Times New Roman" w:hAnsi="Times New Roman" w:cs="Times New Roman"/>
          <w:color w:val="000000" w:themeColor="text1"/>
          <w:kern w:val="2"/>
          <w:sz w:val="16"/>
          <w:szCs w:val="16"/>
        </w:rPr>
        <w:softHyphen/>
        <w:t>ченный декретом Совнаркома от 25 ноября 1917 года на</w:t>
      </w:r>
      <w:r w:rsidRPr="002F2FDF">
        <w:rPr>
          <w:rFonts w:ascii="Times New Roman" w:hAnsi="Times New Roman" w:cs="Times New Roman"/>
          <w:color w:val="000000" w:themeColor="text1"/>
          <w:kern w:val="2"/>
          <w:sz w:val="16"/>
          <w:szCs w:val="16"/>
        </w:rPr>
        <w:softHyphen/>
        <w:t>чальником Морского генштаба капитан 1 ранга Е. Беренс. После упразднения прежних чинов, заслуженный военный мо</w:t>
      </w:r>
      <w:r w:rsidRPr="002F2FDF">
        <w:rPr>
          <w:rFonts w:ascii="Times New Roman" w:hAnsi="Times New Roman" w:cs="Times New Roman"/>
          <w:color w:val="000000" w:themeColor="text1"/>
          <w:kern w:val="2"/>
          <w:sz w:val="16"/>
          <w:szCs w:val="16"/>
        </w:rPr>
        <w:softHyphen/>
        <w:t>ряк сохранил авторитет у сослуживцев и приобрел доверие у начальников. По его инициативе Приказом по Армии и Фло</w:t>
      </w:r>
      <w:r w:rsidRPr="002F2FDF">
        <w:rPr>
          <w:rFonts w:ascii="Times New Roman" w:hAnsi="Times New Roman" w:cs="Times New Roman"/>
          <w:color w:val="000000" w:themeColor="text1"/>
          <w:kern w:val="2"/>
          <w:sz w:val="16"/>
          <w:szCs w:val="16"/>
        </w:rPr>
        <w:softHyphen/>
        <w:t>ту № 3 от 20 мая (нового стиля) 1918 года Управление морс</w:t>
      </w:r>
      <w:r w:rsidRPr="002F2FDF">
        <w:rPr>
          <w:rFonts w:ascii="Times New Roman" w:hAnsi="Times New Roman" w:cs="Times New Roman"/>
          <w:color w:val="000000" w:themeColor="text1"/>
          <w:kern w:val="2"/>
          <w:sz w:val="16"/>
          <w:szCs w:val="16"/>
        </w:rPr>
        <w:softHyphen/>
        <w:t>кой авиации снова поступило в подчинение Наркомата по мор</w:t>
      </w:r>
      <w:r w:rsidRPr="002F2FDF">
        <w:rPr>
          <w:rFonts w:ascii="Times New Roman" w:hAnsi="Times New Roman" w:cs="Times New Roman"/>
          <w:color w:val="000000" w:themeColor="text1"/>
          <w:kern w:val="2"/>
          <w:sz w:val="16"/>
          <w:szCs w:val="16"/>
        </w:rPr>
        <w:softHyphen/>
        <w:t>ским делам (11283).</w:t>
      </w:r>
    </w:p>
    <w:p w14:paraId="7AF3E1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77C575" w14:textId="77777777" w:rsidR="000A792C" w:rsidRPr="002F2FDF" w:rsidRDefault="000A792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20 декабря 1917 г. (2 января 1918) старое руководство УМА было заменено Исполнительным комитетом в составе В. П. Соколова, Н. П. Терентьева, В. М. Грязнова, Д. И. Федотова, А. А. Средневской и др. При исполкоме УМА имелось четыре отдела и две постоянно действующие комиссии по приемке самолетов и рассмотрению изобретений в области морской авиации и воздухоплавания. В последующем состав исполкома периодически переизбирался. Начальниками УМА были капитан 2 ранга В. П. Щербачев, капитан 2 ранга Н. Ф. Чернов, капитан 1 ранга И. Н. Дмитриев. 28 ноября 1917 г. была учреждена должность главного комиссара при Управлении морской авиации и воздухоплавания. Главным комиссаром был назначен военный моряк А. П. Онуфриев, ставший одним из активных организаторов советской морской авиации.</w:t>
      </w:r>
    </w:p>
    <w:p w14:paraId="18DEBED2" w14:textId="3657E0B0" w:rsidR="000A792C" w:rsidRPr="002F2FDF" w:rsidRDefault="000A792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Задачи, стоящие перед УМА, были трудными. Работа осложнялась тем, что не был налажен учет личного состава и авиационной техники. Многие летчики, бывшие офицеры царского флота, саботировали распоряжения командования, нередко перелетали к белым, некоторые отказывались служить революции и эмигрировали. Отсутcтвовали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опыт и единство взглядов по вопросам строительства, оперативною подчинения и использования морской авиации. Всероссийская коллегия по управлению Красным Воздушным Флотом республики настаивала на объединении морской и сухопутной авиации, мотивируя свою точку зрения постоянным использованием гидроавиации на сухопутном фронте, рациональностью развития и плановостью снабжения всего воздушного флота, централизацией научной работы и подготовки авиаспециалистов. Морской генеральный штаб был сторонником самостоятельного развития морской авиации в составе РККФ.</w:t>
      </w:r>
    </w:p>
    <w:p w14:paraId="344B434D" w14:textId="77777777" w:rsidR="000A792C" w:rsidRPr="002F2FDF" w:rsidRDefault="000A792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20 декабря 1917 г. последовал приказ № 4 по армии и флоту об объединении морской и сухопутной авиации во главе с Управлением Воздушного Флота Республики (УВФ). Исполняющий обязанности начальника УМА капитан 2 ранга В. П. Щербачев представил Народному комиссару по морским делам П. Е. Дыбенко доклад, в котором указывал, что такое решение вопроса не учитывает специфичности развития и приведет к двойной подчиненности морской авиации. Доклад был рассмотрен 11 января 1918 г. на заседании Верховной морской коллегии, которая приняла решение:</w:t>
      </w:r>
    </w:p>
    <w:p w14:paraId="46619F9D" w14:textId="77777777" w:rsidR="000A792C" w:rsidRPr="002F2FDF" w:rsidRDefault="000A792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"Вопрос о соединении управлений временно приведением в исполнение отложить и разработать проект урегулирования управлений"(19929).</w:t>
      </w:r>
    </w:p>
    <w:p w14:paraId="2A351E2E" w14:textId="77777777" w:rsidR="000A792C" w:rsidRPr="002F2FDF" w:rsidRDefault="000A792C" w:rsidP="0083075A">
      <w:pPr>
        <w:spacing w:after="0" w:line="240" w:lineRule="auto"/>
        <w:jc w:val="both"/>
        <w:rPr>
          <w:rFonts w:ascii="Times New Roman" w:hAnsi="Times New Roman" w:cs="Times New Roman"/>
          <w:color w:val="000000" w:themeColor="text1"/>
          <w:sz w:val="16"/>
          <w:szCs w:val="16"/>
        </w:rPr>
      </w:pPr>
    </w:p>
    <w:p w14:paraId="790E18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декабря 1917 (2 января 1918) была создана всероссийская коллегия по формированию КА (2239).</w:t>
      </w:r>
    </w:p>
    <w:p w14:paraId="2CDB33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5E9D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декабря 1917 (2 января 1918) прапорщик Крыленко - новый Верховный Главнокомандующий занял ставку (2569,38).</w:t>
      </w:r>
    </w:p>
    <w:p w14:paraId="78D9B8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95D1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20 декабря 1917 </w:t>
      </w:r>
      <w:r w:rsidR="00631AD8" w:rsidRPr="002F2FDF">
        <w:rPr>
          <w:rFonts w:ascii="Times New Roman" w:hAnsi="Times New Roman" w:cs="Times New Roman"/>
          <w:color w:val="000000" w:themeColor="text1"/>
          <w:kern w:val="2"/>
          <w:sz w:val="16"/>
          <w:szCs w:val="16"/>
        </w:rPr>
        <w:t xml:space="preserve">(2 января 1918) </w:t>
      </w:r>
      <w:r w:rsidRPr="002F2FDF">
        <w:rPr>
          <w:rFonts w:ascii="Times New Roman" w:hAnsi="Times New Roman" w:cs="Times New Roman"/>
          <w:color w:val="000000" w:themeColor="text1"/>
          <w:kern w:val="2"/>
          <w:sz w:val="16"/>
          <w:szCs w:val="16"/>
        </w:rPr>
        <w:t>новый Верховный Главнокомандующий прапорщик Крыленко с бандой пьяных петроградских солдат занял Ставку. Заключительное обращение генерала Вячеслава Ткачева к своим войскам стало реквиемом русскому Военно-воздушному флоту: "Захват Ставки большевиками ставит меня в безвыходное положение... Считаю своим последним нравственным долгом перед Родиной в ее тяжелые дни испытаний бороться всеми силами и средствами с преступниками народа и государства- большевиками. В дни наступившей разрухи и смертельной опасности для нашей многострадальной Родины верю, что наши доблестные летчики до конца исполнят свой долг и останутся на своем тяжелом, но славном посту, вплетая новые лавры в венец славы нашей родной авиации..." (11237).</w:t>
      </w:r>
    </w:p>
    <w:p w14:paraId="3580AB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4C6C8F" w14:textId="0ADB7AEC" w:rsidR="0096612C" w:rsidRPr="002F2FDF" w:rsidRDefault="0096612C"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20</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декабря 1917 года (</w:t>
      </w:r>
      <w:hyperlink r:id="rId770" w:tooltip="2 января" w:history="1">
        <w:r w:rsidRPr="002F2FDF">
          <w:rPr>
            <w:rFonts w:ascii="Times New Roman" w:eastAsia="Times New Roman" w:hAnsi="Times New Roman" w:cs="Times New Roman"/>
            <w:color w:val="000000" w:themeColor="text1"/>
            <w:kern w:val="2"/>
            <w:sz w:val="16"/>
            <w:szCs w:val="16"/>
            <w:lang w:eastAsia="ru-RU"/>
          </w:rPr>
          <w:t>2</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января</w:t>
        </w:r>
      </w:hyperlink>
      <w:hyperlink r:id="rId771" w:tooltip="1918 год" w:history="1">
        <w:r w:rsidRPr="002F2FDF">
          <w:rPr>
            <w:rFonts w:ascii="Times New Roman" w:eastAsia="Times New Roman" w:hAnsi="Times New Roman" w:cs="Times New Roman"/>
            <w:color w:val="000000" w:themeColor="text1"/>
            <w:kern w:val="2"/>
            <w:sz w:val="16"/>
            <w:szCs w:val="16"/>
            <w:lang w:eastAsia="ru-RU"/>
          </w:rPr>
          <w:t>1918</w:t>
        </w:r>
      </w:hyperlink>
      <w:r w:rsidRPr="002F2FDF">
        <w:rPr>
          <w:rFonts w:ascii="Times New Roman" w:eastAsia="Times New Roman" w:hAnsi="Times New Roman" w:cs="Times New Roman"/>
          <w:color w:val="000000" w:themeColor="text1"/>
          <w:kern w:val="2"/>
          <w:sz w:val="16"/>
          <w:szCs w:val="16"/>
          <w:lang w:eastAsia="ru-RU"/>
        </w:rPr>
        <w:t xml:space="preserve">) советское правительство направило телеграммы председателям делегаций стран Четверного союза с предложением перенести мирные переговоры в </w:t>
      </w:r>
      <w:hyperlink r:id="rId772" w:tooltip="Стокгольм" w:history="1">
        <w:r w:rsidRPr="002F2FDF">
          <w:rPr>
            <w:rFonts w:ascii="Times New Roman" w:eastAsia="Times New Roman" w:hAnsi="Times New Roman" w:cs="Times New Roman"/>
            <w:color w:val="000000" w:themeColor="text1"/>
            <w:kern w:val="2"/>
            <w:sz w:val="16"/>
            <w:szCs w:val="16"/>
            <w:lang w:eastAsia="ru-RU"/>
          </w:rPr>
          <w:t>Стокгольм</w:t>
        </w:r>
      </w:hyperlink>
      <w:r w:rsidRPr="002F2FDF">
        <w:rPr>
          <w:rFonts w:ascii="Times New Roman" w:eastAsia="Times New Roman" w:hAnsi="Times New Roman" w:cs="Times New Roman"/>
          <w:color w:val="000000" w:themeColor="text1"/>
          <w:kern w:val="2"/>
          <w:sz w:val="16"/>
          <w:szCs w:val="16"/>
          <w:lang w:eastAsia="ru-RU"/>
        </w:rPr>
        <w:t xml:space="preserve">. По мнению </w:t>
      </w:r>
      <w:hyperlink r:id="rId773" w:tooltip="Совет Народных Комиссаров РСФСР" w:history="1">
        <w:r w:rsidRPr="002F2FDF">
          <w:rPr>
            <w:rFonts w:ascii="Times New Roman" w:eastAsia="Times New Roman" w:hAnsi="Times New Roman" w:cs="Times New Roman"/>
            <w:color w:val="000000" w:themeColor="text1"/>
            <w:kern w:val="2"/>
            <w:sz w:val="16"/>
            <w:szCs w:val="16"/>
            <w:lang w:eastAsia="ru-RU"/>
          </w:rPr>
          <w:t>Совнаркома</w:t>
        </w:r>
      </w:hyperlink>
      <w:r w:rsidRPr="002F2FDF">
        <w:rPr>
          <w:rFonts w:ascii="Times New Roman" w:eastAsia="Times New Roman" w:hAnsi="Times New Roman" w:cs="Times New Roman"/>
          <w:color w:val="000000" w:themeColor="text1"/>
          <w:kern w:val="2"/>
          <w:sz w:val="16"/>
          <w:szCs w:val="16"/>
          <w:lang w:eastAsia="ru-RU"/>
        </w:rPr>
        <w:t>, там советская делегация могла бы чувствовать себя свободнее, её радиосообщения можно было бы защитить от перехвата, а телефонные переговоры с Петроградом — от немецкой цензуры. Предложение было категорически отклонено Германией (17035).</w:t>
      </w:r>
    </w:p>
    <w:p w14:paraId="22ED788D" w14:textId="77777777" w:rsidR="0096612C" w:rsidRPr="002F2FDF" w:rsidRDefault="0096612C" w:rsidP="0083075A">
      <w:pPr>
        <w:spacing w:after="0" w:line="240" w:lineRule="auto"/>
        <w:jc w:val="both"/>
        <w:rPr>
          <w:rFonts w:ascii="Times New Roman" w:eastAsia="Times New Roman" w:hAnsi="Times New Roman" w:cs="Times New Roman"/>
          <w:color w:val="000000" w:themeColor="text1"/>
          <w:kern w:val="2"/>
          <w:sz w:val="16"/>
          <w:szCs w:val="16"/>
          <w:lang w:eastAsia="ru-RU"/>
        </w:rPr>
      </w:pPr>
    </w:p>
    <w:p w14:paraId="0B36817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5111C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8DA0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декабря 1917 г. (2 января 1918) СНК РСФСР принимает решение о создании Всероссийской чрезвычайной комиссии (ВЧК) по борьбе с контрреволюцией и саботажем. Формируются первые вооруженные отряды ВЧК. Председателем комиссии назначен Ф.Э. Дзержинский (10303).</w:t>
      </w:r>
    </w:p>
    <w:p w14:paraId="2044FB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681B0D" w14:textId="77777777" w:rsidR="00067426" w:rsidRPr="002F2FDF" w:rsidRDefault="0006742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20 декабря 1917 (2 января 1918) в Москве закрыты все частные банки, а их помещения взяты большевиками под охрану. В знак протеста банковские служащие забастовали.</w:t>
      </w:r>
    </w:p>
    <w:p w14:paraId="61E26FCD" w14:textId="77777777" w:rsidR="00067426" w:rsidRPr="002F2FDF" w:rsidRDefault="0006742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Продовольственная управа выпустила постановление о сокращении хлебного пайка с 1/2 фунта до 1/4 фунта.</w:t>
      </w:r>
    </w:p>
    <w:p w14:paraId="46E80083" w14:textId="77777777" w:rsidR="00067426" w:rsidRPr="002F2FDF" w:rsidRDefault="0006742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Профессор М. А. Мензбир сложил с себя полномочия ректора Московского университета (18685).</w:t>
      </w:r>
    </w:p>
    <w:p w14:paraId="4D6870CA" w14:textId="77777777" w:rsidR="00067426" w:rsidRPr="002F2FDF" w:rsidRDefault="00067426" w:rsidP="0083075A">
      <w:pPr>
        <w:spacing w:after="0" w:line="240" w:lineRule="auto"/>
        <w:jc w:val="both"/>
        <w:rPr>
          <w:rFonts w:ascii="Times New Roman" w:hAnsi="Times New Roman" w:cs="Times New Roman"/>
          <w:color w:val="000000" w:themeColor="text1"/>
          <w:sz w:val="16"/>
          <w:szCs w:val="16"/>
        </w:rPr>
      </w:pPr>
    </w:p>
    <w:p w14:paraId="3ABBCE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C 20 декабря 1917 по 15 января 1918 (с 2 по 28 января 1918) состоялось Феодосийское восстание и власть в городе взял Совет (2443,235).</w:t>
      </w:r>
    </w:p>
    <w:p w14:paraId="5200EF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FB17F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3D2DF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8DF0F8" w14:textId="77777777" w:rsidR="000A792C" w:rsidRPr="002F2FDF" w:rsidRDefault="000A792C"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20 декабря 1917 (2 января 1918) года в Англии было создано Министерство авиации (МА) — департамент правительства Соединённого Королевства. Министр авиации занимал должность секретаря по авиации в правительстве, это было гражданское лицо, руководившее RAF. На следующий день сформировали Совет по авиации. Перво-наперво, МА занялось объединением армейской и флотской авиации в единую структуру, и 1 апреля 1918 года такая структура — Королевские воздушные силы (RAF) — была создана.</w:t>
      </w:r>
    </w:p>
    <w:p w14:paraId="71623E92" w14:textId="77777777" w:rsidR="000A792C" w:rsidRPr="002F2FDF" w:rsidRDefault="000A792C"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В 1917 году британское правительство озаботилось о будущей войне. Были проанализированы влияние немецких бомбардировок Британии и расходы на противодействие этим налётам. На основе этого анализа рекомендовалось создать ВВС, способные наносить удары по промышленным объектам противника с целью ослабить его военный потенциал на фронте. Для защиты Островов необходимы были мощные истребительные силы. Наличие такой авиации в будущем могло сдерживать любого агрессора, при этом отпадала необходимость в специализированных направлениях, таких, как, например, противолодочная авиация, морская истребительная и фронтовая авиации. Для координации действий всех авиационных подразделений потребовался новый орган на уровне министерства.</w:t>
      </w:r>
    </w:p>
    <w:p w14:paraId="61075721" w14:textId="77777777" w:rsidR="000A792C" w:rsidRPr="002F2FDF" w:rsidRDefault="000A792C"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Заказы на новые военные самолёты МА распределяло по нескольким компаниям примерно равномерно, чтобы финансово поддержать их и иметь альтернативные аппараты. При этом некоторые компании производили самолёты своих «конкурентов» по лицензии или на подряде. Но даже такие решения были недостаточными и многие, даже «старые» компании объединялись в корпорации, чтобы совместно производить определённый тип самолёта. В таких условиях Министерству было трудно планировать развитие отрасли на будущее, однако оно регулярно разрабатывало «Схемы» предполагаемых направлений в авиастроении, примерную потребность в тех или иных типах самолётов и их цену. Схемы обозначались буквой английского алфавита, и к началу Второй мировой войны дело дошло до буквы «М».</w:t>
      </w:r>
    </w:p>
    <w:p w14:paraId="71A682FF" w14:textId="77777777" w:rsidR="000A792C" w:rsidRPr="002F2FDF" w:rsidRDefault="000A792C"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Проблемы с постоянным финансированием удалось упорядочить к 1923 году — тогда парламент «признал» РАФ «третьей силой» (наряду с Армией и Флотом) и определил, что «воздушная оборона должна защитить страну от авиации противника, находящегося на дальности бомбардировочного налёта». Исходя из этого, в качестве противника была «взята» Франция, которая располагала 300 бомбардировщиками и таким же количеством истребителей, против которых британская ПВО могло выделить около 40 истребителей. Был разработан план, по которому требовалось выставить к 1932 году 52 эскадрильи. Конечно, агрессии со стороны Франции Британия не ожидала, но надо было иметь «точку отсчёта» для планирования по «паритету». Основой воздушной доктрины штаб ВВС видел в сдерживании вероятного агрессора возможностью нанести сокрушительный удар тяжёлыми бомбардировщиками по промышленным районам и крупным городам.</w:t>
      </w:r>
    </w:p>
    <w:p w14:paraId="1BFC7410" w14:textId="77777777" w:rsidR="000A792C" w:rsidRPr="002F2FDF" w:rsidRDefault="000A792C"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В феврале 1936 года министерством была принята программа «Схема F», предусматривающая производство 8000 самолётов за три года. Чтобы реализовать эти планы в министерстве был создано управление по производственным вопросам. Опыт массового производства самолётов в прошедшую войну был недостаточным. Конструкция самолётов усложнилась, был осуществлён практически полный переход на цельнометаллические машины. Согласно «Схемы F» впервые начали создаваться учебные центры для всех видов авиационного персонала, увеличились резервы сырья, был создан Добровольческий резерв RAF (RAF Volunteer Reserve), а также авиационные эскадрильи в университетах.</w:t>
      </w:r>
    </w:p>
    <w:p w14:paraId="3EFD545E" w14:textId="77777777" w:rsidR="000A792C" w:rsidRPr="002F2FDF" w:rsidRDefault="000A792C"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До этого в 1928 году согласно «Схеме С» МА планировало получить за два года 3800 новых самолётов. На случай войны требовалось производить до 2000 самолётов ежемесячно (планирование по необходимости). Такого показателя промышленность должна была достичь через два года после начала войны. К концу 1928 года МА рассчитывало почти полностью перейти на металлические конструкции планера самолётов (за исключением некоторых учебных машин).</w:t>
      </w:r>
    </w:p>
    <w:p w14:paraId="179A69BA" w14:textId="77777777" w:rsidR="000A792C" w:rsidRPr="002F2FDF" w:rsidRDefault="000A792C"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Однако эти планы не могли быть реализованы в то время: к концу 20-х годов авиапром производил 500 самолётов в год, 450 из которых шли на замену отслуживших своё машин, потерянных в авариях и катастрофах. К 1932 году вместо 52 эскадрилий удалось скомплектовать 10. У производителей не было достаточных мощностей, производственных площадей, трудовых ресурсов, не были отлажены поставки сырья, кооперация и прочее, не считая слабого финансирования. Т. е., требовалось при планировании учитывать не только пожелания РАФ, но и возможности промышленности. МА продолжало «размазывать» финансы по нескольким наиболее крупным и опытным производителям, заказывая множество типов малыми сериями. Учитывая это, промышленники не планировали увеличивать производственные мощности, внедрять рациональные технологии. Имея богатый опыт создания самолётов-бипланов, британские компании не проявляли активности в исследованиях новых аэродинамических решений. Инициативу в этом вопросе взяло МА, выпустив несколько спецификаций на самолёты-монопланы в начале 30-х годов.</w:t>
      </w:r>
    </w:p>
    <w:p w14:paraId="19D6B44D" w14:textId="77777777" w:rsidR="000A792C" w:rsidRPr="002F2FDF" w:rsidRDefault="000A792C"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В 1935 году в МА «вспомнили» уроки Великой войны и решили действовать таким же образом — привлечь для производства самолётов множество небольших предприятий, но теперь такие предприятия должны были создаваться при участии и поддержки правительства. План обозвали «Shadow Scheme» — «теневая схема», а предприятия — «теневыми заводами». Все расходы по строительству, оснащению, доставки сырья, вывозу продукции, обучению и руководству персоналом брало на себя правительство. Заводы строились в отдалённых от восточного побережья районах. В 1936 году для авиапрома построили 6 «теневых заводов» по авиадвигателям и 2 по самолётным комплектующим. Частные компании получили гарантии на заказы, позволявшие брать кредиты в банках для расширения собственного производства. Большие инвестиции государство сделало в предприятия станкостроения, металлургии. Много оборудования стало закупаться за границей. За границей стали размещать заказы на самолёты, производство которых «отвлекало» национальные предприятия от изготовления военной продукции.</w:t>
      </w:r>
    </w:p>
    <w:p w14:paraId="5CCFBC7F" w14:textId="77777777" w:rsidR="000A792C" w:rsidRPr="002F2FDF" w:rsidRDefault="000A792C"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Претворением плана «в жизнь» занялось Управление авиационного производства, созданное в МА. Первыми привлекли моторостроителей и автостроителей. Роллс-Ройс и Бристоль не стала доверять «теневым» предприятиям, опасаясь снижения качества продукции и выделенные средства использовала для модернизации собственного производства, расширения существовавшего завода и строительства новых под контролем специалистов компании. В орбиту «теневого» производства вовлекались и достаточно крупные компании, которые до того не занимались авиастроением. Термин «теневой завод» для таких предприятий заменялся термином «завод-агент» (Agency Factory).</w:t>
      </w:r>
    </w:p>
    <w:p w14:paraId="287F3BC4" w14:textId="77777777" w:rsidR="000A792C" w:rsidRPr="002F2FDF" w:rsidRDefault="000A792C"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 xml:space="preserve">Новые заводы представляли собой современные производства с просторными светлыми цехами, укомплектованные новейшим оборудованием. К концу 1937 года на них вовсю производились детали авиадвигателей, а к середине следующего — самолёты. Было три «волны» строительства «теневых заводов». Если первые строили </w:t>
      </w:r>
      <w:r w:rsidRPr="002F2FDF">
        <w:rPr>
          <w:color w:val="000000" w:themeColor="text1"/>
          <w:sz w:val="16"/>
          <w:szCs w:val="16"/>
        </w:rPr>
        <w:lastRenderedPageBreak/>
        <w:t>ближе к «сборочным» предприятиям, то затем география «теневых» производств протянулась до Шотландии — подальше от возможных налётов вражеской авиации.</w:t>
      </w:r>
    </w:p>
    <w:p w14:paraId="342489B2" w14:textId="77777777" w:rsidR="000A792C" w:rsidRPr="002F2FDF" w:rsidRDefault="000A792C"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С 1936 года МА вплотную занялось вопросами задержек в производстве авиатехники, выяснением и устранением причин задержек. Это позволило вникнуть в проблемы «теневых заводов». Даже в RAF была создано управление (директорат) по исследованиям и разработкам, которое занималось, в том числе, вопросами производства самолётов и моторов. МА и RAF сошлись на том, что требуется привлекать специалистов по управлению и планированию производства «со стороны» (до того в МА только директор департамента по науке был гражданским лицом). Так, Генеральным директором Департамента производства и статистики был нанят вице-президент крупной железнодорожной компании Э. Лемон. Его ввели в Воздушный совет и Комитет по снабжению. Согласно «Схемы L» требовалось за год увеличить ежемесячное производство самолётов со 170 до 700. В качестве приоритетных на первое время задач Лемон выдвинул две: вовлечение в субподрядные производства большего числа предприятий и сбор и анализ информации от производителей для разработки системы планирования. «Теневым» предприятиям стали больше доверять производство более сложной продукции: агрегатов, элементов конструкции.</w:t>
      </w:r>
    </w:p>
    <w:p w14:paraId="78C3540B" w14:textId="77777777" w:rsidR="000A792C" w:rsidRPr="002F2FDF" w:rsidRDefault="000A792C"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Переход на военные «рельсы» сделало МА практически единственным заказчиком в авиастроении, что позволило диктовать свои требования, заменить конкуренцию производителей — сотрудничеством. Теперь многие компании должны были производить компоненты или целые конструкции, изобретенные в других компаниях, ещё недавних конкурентов. Департамент произвел классификацию всех занятых в производстве компаний в зависимости от специализации, мощности, района расположения. Всем производителям вменялось направлять в департамент отчеты о проделанной работе и неувязках. В министерстве был создан Комитет по снабжению, который производил заказы на сырье. В каждую компанию был назначен представитель министерства — офицер RAF, «технический резидент», осуществлявший оперативную связь с министерством.</w:t>
      </w:r>
    </w:p>
    <w:p w14:paraId="787C16CA" w14:textId="77777777" w:rsidR="000A792C" w:rsidRPr="002F2FDF" w:rsidRDefault="000A792C"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В 1938 году состоялись консультации МА с руководством ведущих компаний. Был подтвержден заказ 12000 самолётов на ближайшие два года. Выяснилось, что наличие «теневых заводов» само по себе ещё не решало поставленной задачи. Требовалось много станочного оборудования, рабочих, конструкторов, новый уровень планирования. Распределение производства по множеству мелких предприятий выводило проблему качества продукции на первый план, отсюда увеличивалось количество контролеров. Теперь, когда каждый самолёт собирался из тысяч отдельных деталей и компонентов, изготовленных на сотнях заводов-смежников, синхронизация деятельности всего «хозяйства» становилась первостепенной задачей. Например, любое улучшение конструкции любого узла могло привести к сбою производства. Отсюда, изменения «накапливали» и затем комплексно вносили в форме новой модификации.</w:t>
      </w:r>
    </w:p>
    <w:p w14:paraId="4B8339B2" w14:textId="70E92C40" w:rsidR="000A792C" w:rsidRPr="002F2FDF" w:rsidRDefault="000A792C"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Контролирующая производство организация — Департамент авиационной инспекции (AID), к 1939 году в основном занималась инженерными вопросами гражданской авиации. Кроме того, AID контролировал ремонт авиатехники, добивался стандартизации станочного парка, оборудования и самих мастерских для возможности ремонта на гражданских объектах военной техники. В 1939 году была создана Civilian Repair Organisation (CRO) — гражданская ремонтная организация, которая подчинялась Министерству авиации. В 1940 году CRO перешло из Министерства авиации в новое Министерство авиастроения. Было создано подразделение по транспортировке поврежденной техники на предприятия CRO.</w:t>
      </w:r>
    </w:p>
    <w:p w14:paraId="04493450" w14:textId="77777777" w:rsidR="000A792C" w:rsidRPr="002F2FDF" w:rsidRDefault="000A792C"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Кроме гражданских авиастроительных и авиаремонтных компаний ремонтом самолётов занимались компании машиностроительного и деревообрабатывающего профиля по субподряду и кооперации. Часто самолёт разбирался на составные узлы, которые направлялись в соответствующие мастерские и после восстановления опять собирались на головной базе, у которой имелась летно-испытательная станция.</w:t>
      </w:r>
    </w:p>
    <w:p w14:paraId="0768A1F4" w14:textId="77777777" w:rsidR="000A792C" w:rsidRPr="002F2FDF" w:rsidRDefault="000A792C"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Достичь запланированного ежемесячного производства 2000 самолётов предстояло за ближайшие 2 года. Чтобы «застраховаться» на этот период, в 1938 решили подключить заокеанских подрядчиков к «удовлетворению растущих потребностей» британских ВВС. В США и Канаду была направлена закупочная комиссия, которой показали возможности авиапромышленности. Правительства этих стран поддержали британские намерения и дали гарантии своим компаниям для расширения производства под британские заказы. Комиссию впечатлило развитие гражданского авиастроения в США и разочаровало военное. Из всего предложенного британцы заказали учебно-тренировочный самолёт «Гарвард» и военный вариант пассажирского Локхида «Супер Электра» — «Хадсон». На предприятия из Британии были присланы инспекторы AID и летчики-приемщики. Инспекторы постарались научить американцев своей системе планирования и отношения к качеству (19945).</w:t>
      </w:r>
    </w:p>
    <w:p w14:paraId="5419CCA8" w14:textId="77777777" w:rsidR="000A792C" w:rsidRPr="002F2FDF" w:rsidRDefault="000A792C" w:rsidP="0083075A">
      <w:pPr>
        <w:pStyle w:val="ae"/>
        <w:shd w:val="clear" w:color="auto" w:fill="FFFFFF"/>
        <w:spacing w:before="0" w:after="0"/>
        <w:jc w:val="both"/>
        <w:textAlignment w:val="baseline"/>
        <w:rPr>
          <w:color w:val="000000" w:themeColor="text1"/>
          <w:sz w:val="16"/>
          <w:szCs w:val="16"/>
        </w:rPr>
      </w:pPr>
    </w:p>
    <w:p w14:paraId="6BC5E5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декабря 1917 (2 января 1918) Берлин. Заявление начгенштаба ген.Людендорфа об открывшейся возможности победы в войне на Востоке и Западе в 1918 году (7446).</w:t>
      </w:r>
    </w:p>
    <w:p w14:paraId="21F3E0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E7546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C9E9D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00E7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C 6 (19) ноября 1916 по 21 декабря 1917 (3 января 1918) Морское ведомство приняло 54 М-15 (2897,66).</w:t>
      </w:r>
    </w:p>
    <w:p w14:paraId="79C846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40108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период с 6 ноября 1916 г. по 21 декабря 1917 г. </w:t>
      </w:r>
      <w:r w:rsidR="00631AD8" w:rsidRPr="002F2FDF">
        <w:rPr>
          <w:rFonts w:ascii="Times New Roman" w:hAnsi="Times New Roman" w:cs="Times New Roman"/>
          <w:color w:val="000000" w:themeColor="text1"/>
          <w:kern w:val="2"/>
          <w:sz w:val="16"/>
          <w:szCs w:val="16"/>
        </w:rPr>
        <w:t xml:space="preserve">(3 января 1918) </w:t>
      </w:r>
      <w:r w:rsidRPr="002F2FDF">
        <w:rPr>
          <w:rFonts w:ascii="Times New Roman" w:hAnsi="Times New Roman" w:cs="Times New Roman"/>
          <w:color w:val="000000" w:themeColor="text1"/>
          <w:kern w:val="2"/>
          <w:sz w:val="16"/>
          <w:szCs w:val="16"/>
        </w:rPr>
        <w:t>Морское ведомство приняло у компании по крайней мере 54 аппарата М-15, включая прототип; не менее половины из них предназначались Балтийскому флоту, а 22 — Черно</w:t>
      </w:r>
      <w:r w:rsidRPr="002F2FDF">
        <w:rPr>
          <w:rFonts w:ascii="Times New Roman" w:hAnsi="Times New Roman" w:cs="Times New Roman"/>
          <w:color w:val="000000" w:themeColor="text1"/>
          <w:kern w:val="2"/>
          <w:sz w:val="16"/>
          <w:szCs w:val="16"/>
        </w:rPr>
        <w:softHyphen/>
        <w:t>морскому; самолеты с заводскими номерами 1079 и 1144 летали в Баку.</w:t>
      </w:r>
    </w:p>
    <w:p w14:paraId="1BC64A6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контрактах на аппараты М-15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1134"/>
        <w:gridCol w:w="1170"/>
        <w:gridCol w:w="4878"/>
      </w:tblGrid>
      <w:tr w:rsidR="002B1C74" w:rsidRPr="002F2FDF" w14:paraId="7086A8F7" w14:textId="77777777">
        <w:tc>
          <w:tcPr>
            <w:tcW w:w="2394" w:type="dxa"/>
            <w:tcBorders>
              <w:top w:val="single" w:sz="12" w:space="0" w:color="auto"/>
            </w:tcBorders>
            <w:shd w:val="clear" w:color="auto" w:fill="FFFFFF"/>
          </w:tcPr>
          <w:p w14:paraId="21204E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Дата контракта</w:t>
            </w:r>
          </w:p>
        </w:tc>
        <w:tc>
          <w:tcPr>
            <w:tcW w:w="1134" w:type="dxa"/>
            <w:tcBorders>
              <w:top w:val="single" w:sz="12" w:space="0" w:color="auto"/>
            </w:tcBorders>
            <w:shd w:val="clear" w:color="auto" w:fill="FFFFFF"/>
          </w:tcPr>
          <w:p w14:paraId="6F6E31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заказанных аэропланов</w:t>
            </w:r>
          </w:p>
        </w:tc>
        <w:tc>
          <w:tcPr>
            <w:tcW w:w="1170" w:type="dxa"/>
            <w:tcBorders>
              <w:top w:val="single" w:sz="12" w:space="0" w:color="auto"/>
            </w:tcBorders>
            <w:shd w:val="clear" w:color="auto" w:fill="FFFFFF"/>
          </w:tcPr>
          <w:p w14:paraId="717841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Заводские номера сданных аэропланов</w:t>
            </w:r>
          </w:p>
        </w:tc>
        <w:tc>
          <w:tcPr>
            <w:tcW w:w="4878" w:type="dxa"/>
            <w:tcBorders>
              <w:top w:val="single" w:sz="12" w:space="0" w:color="auto"/>
            </w:tcBorders>
            <w:shd w:val="clear" w:color="auto" w:fill="FFFFFF"/>
          </w:tcPr>
          <w:p w14:paraId="2D855E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УСЛОВИЯ</w:t>
            </w:r>
          </w:p>
        </w:tc>
      </w:tr>
      <w:tr w:rsidR="002B1C74" w:rsidRPr="002F2FDF" w14:paraId="6B9E88E9" w14:textId="77777777">
        <w:tc>
          <w:tcPr>
            <w:tcW w:w="2394" w:type="dxa"/>
            <w:shd w:val="clear" w:color="auto" w:fill="FFFFFF"/>
          </w:tcPr>
          <w:p w14:paraId="790CF7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Ноябрь 24 1916</w:t>
            </w:r>
          </w:p>
        </w:tc>
        <w:tc>
          <w:tcPr>
            <w:tcW w:w="1134" w:type="dxa"/>
            <w:shd w:val="clear" w:color="auto" w:fill="FFFFFF"/>
          </w:tcPr>
          <w:p w14:paraId="017EE4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 + 20</w:t>
            </w:r>
          </w:p>
        </w:tc>
        <w:tc>
          <w:tcPr>
            <w:tcW w:w="1170" w:type="dxa"/>
            <w:shd w:val="clear" w:color="auto" w:fill="FFFFFF"/>
          </w:tcPr>
          <w:p w14:paraId="7C2232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1101-1153</w:t>
            </w:r>
          </w:p>
        </w:tc>
        <w:tc>
          <w:tcPr>
            <w:tcW w:w="4878" w:type="dxa"/>
            <w:shd w:val="clear" w:color="auto" w:fill="FFFFFF"/>
          </w:tcPr>
          <w:p w14:paraId="46EC5B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тыс. руб. за боевой аппарат под мотор “Испано-Суиза”</w:t>
            </w:r>
          </w:p>
          <w:p w14:paraId="74819F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 л. с. и 17 тыс. 700 руб. за запасной аппарат, срок исполнения 15 апреля 1917 г. (аппараты с заводскими номерами 1154-1163 заложены, но не сданы — контракт целиком не выполнен)</w:t>
            </w:r>
          </w:p>
          <w:p w14:paraId="2BE0D6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ПРИМЕЧАНИЯ: первоначально заказывались 80 боевых и 20 запасных аппаратов, по 17 апреля 1917 г. наряд сократили до 60 боевых и 15 запасных машин вследствие отсутствия двигателей “Иснано-Суиза”</w:t>
            </w:r>
          </w:p>
        </w:tc>
      </w:tr>
      <w:tr w:rsidR="002B1C74" w:rsidRPr="002F2FDF" w14:paraId="547D0D24" w14:textId="77777777">
        <w:tc>
          <w:tcPr>
            <w:tcW w:w="2394" w:type="dxa"/>
            <w:tcBorders>
              <w:bottom w:val="single" w:sz="12" w:space="0" w:color="auto"/>
            </w:tcBorders>
            <w:shd w:val="clear" w:color="auto" w:fill="FFFFFF"/>
          </w:tcPr>
          <w:p w14:paraId="3BF743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 30 1917</w:t>
            </w:r>
          </w:p>
        </w:tc>
        <w:tc>
          <w:tcPr>
            <w:tcW w:w="1134" w:type="dxa"/>
            <w:tcBorders>
              <w:bottom w:val="single" w:sz="12" w:space="0" w:color="auto"/>
            </w:tcBorders>
            <w:shd w:val="clear" w:color="auto" w:fill="FFFFFF"/>
          </w:tcPr>
          <w:p w14:paraId="17D95B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1170" w:type="dxa"/>
            <w:tcBorders>
              <w:bottom w:val="single" w:sz="12" w:space="0" w:color="auto"/>
            </w:tcBorders>
            <w:shd w:val="clear" w:color="auto" w:fill="FFFFFF"/>
          </w:tcPr>
          <w:p w14:paraId="089F1A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10791 </w:t>
            </w:r>
          </w:p>
        </w:tc>
        <w:tc>
          <w:tcPr>
            <w:tcW w:w="4878" w:type="dxa"/>
            <w:tcBorders>
              <w:bottom w:val="single" w:sz="12" w:space="0" w:color="auto"/>
            </w:tcBorders>
            <w:shd w:val="clear" w:color="auto" w:fill="FFFFFF"/>
          </w:tcPr>
          <w:p w14:paraId="5AD5BB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ПРИМЕЧАНИЯ: покупка прототипа (2807)</w:t>
            </w:r>
          </w:p>
        </w:tc>
      </w:tr>
    </w:tbl>
    <w:p w14:paraId="5C6E133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E314F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3A843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35B5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декабря 1917 (3 января 1918) император Николай 2 записал в дневнике в Тобольске: "Отрядный комитет стрелков постановил снять с нас погоны. Непостижимо" (3481).</w:t>
      </w:r>
    </w:p>
    <w:p w14:paraId="3C6D7C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5C2F8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декабря 1917 (3 января 1918</w:t>
      </w:r>
      <w:r w:rsidR="00D95A37"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rPr>
        <w:t xml:space="preserve"> Одесса провозгласила себя “временно вольным городом” (4962).</w:t>
      </w:r>
    </w:p>
    <w:p w14:paraId="1E97666B"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40E8B2" w14:textId="65A63D42"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21 декабря 1917 (3 января</w:t>
      </w:r>
      <w:r w:rsidRPr="002F2FDF">
        <w:rPr>
          <w:rFonts w:ascii="Times New Roman" w:hAnsi="Times New Roman" w:cs="Times New Roman"/>
          <w:color w:val="000000" w:themeColor="text1"/>
          <w:kern w:val="2"/>
          <w:sz w:val="16"/>
          <w:szCs w:val="16"/>
        </w:rPr>
        <w:t xml:space="preserve"> в 1918 году</w:t>
      </w:r>
      <w:r w:rsidR="00CE0CEC">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rPr>
        <w:t xml:space="preserve"> Георгий Васильевич Чичерин освобождён из английской тюрьмы (14998).</w:t>
      </w:r>
    </w:p>
    <w:p w14:paraId="222BB5A1" w14:textId="77777777"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p>
    <w:p w14:paraId="01E3A77A" w14:textId="0EB7AA8A" w:rsidR="00D95A37" w:rsidRPr="002F2FDF" w:rsidRDefault="00CE0CE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21 декабря 1917 </w:t>
      </w:r>
      <w:r>
        <w:rPr>
          <w:rFonts w:ascii="Times New Roman" w:hAnsi="Times New Roman" w:cs="Times New Roman"/>
          <w:bCs/>
          <w:color w:val="000000" w:themeColor="text1"/>
          <w:kern w:val="2"/>
          <w:sz w:val="16"/>
          <w:szCs w:val="16"/>
        </w:rPr>
        <w:t>(</w:t>
      </w:r>
      <w:r w:rsidR="00D95A37" w:rsidRPr="002F2FDF">
        <w:rPr>
          <w:rFonts w:ascii="Times New Roman" w:hAnsi="Times New Roman" w:cs="Times New Roman"/>
          <w:bCs/>
          <w:color w:val="000000" w:themeColor="text1"/>
          <w:kern w:val="2"/>
          <w:sz w:val="16"/>
          <w:szCs w:val="16"/>
        </w:rPr>
        <w:t>3 января</w:t>
      </w:r>
      <w:r w:rsidR="00D95A37" w:rsidRPr="002F2FDF">
        <w:rPr>
          <w:rFonts w:ascii="Times New Roman" w:hAnsi="Times New Roman" w:cs="Times New Roman"/>
          <w:color w:val="000000" w:themeColor="text1"/>
          <w:kern w:val="2"/>
          <w:sz w:val="16"/>
          <w:szCs w:val="16"/>
        </w:rPr>
        <w:t xml:space="preserve"> в 1918 году</w:t>
      </w:r>
      <w:r>
        <w:rPr>
          <w:rFonts w:ascii="Times New Roman" w:hAnsi="Times New Roman" w:cs="Times New Roman"/>
          <w:color w:val="000000" w:themeColor="text1"/>
          <w:kern w:val="2"/>
          <w:sz w:val="16"/>
          <w:szCs w:val="16"/>
        </w:rPr>
        <w:t>)</w:t>
      </w:r>
      <w:r w:rsidR="00D95A37" w:rsidRPr="002F2FDF">
        <w:rPr>
          <w:rFonts w:ascii="Times New Roman" w:hAnsi="Times New Roman" w:cs="Times New Roman"/>
          <w:color w:val="000000" w:themeColor="text1"/>
          <w:kern w:val="2"/>
          <w:sz w:val="16"/>
          <w:szCs w:val="16"/>
        </w:rPr>
        <w:t xml:space="preserve"> ревтрибунал приговаривает Владимира Митрофановича Пуришкевича к 4 годам принудительных общественных работ (14998).</w:t>
      </w:r>
    </w:p>
    <w:p w14:paraId="159C9976" w14:textId="77777777"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p>
    <w:p w14:paraId="33B808CE" w14:textId="63198E6B" w:rsidR="00D95A37" w:rsidRPr="002F2FDF" w:rsidRDefault="00CE0CE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 xml:space="preserve">21 декабря 1917 </w:t>
      </w:r>
      <w:r>
        <w:rPr>
          <w:rFonts w:ascii="Times New Roman" w:hAnsi="Times New Roman" w:cs="Times New Roman"/>
          <w:bCs/>
          <w:color w:val="000000" w:themeColor="text1"/>
          <w:kern w:val="2"/>
          <w:sz w:val="16"/>
          <w:szCs w:val="16"/>
        </w:rPr>
        <w:t>(</w:t>
      </w:r>
      <w:r w:rsidR="00D95A37" w:rsidRPr="002F2FDF">
        <w:rPr>
          <w:rFonts w:ascii="Times New Roman" w:hAnsi="Times New Roman" w:cs="Times New Roman"/>
          <w:bCs/>
          <w:color w:val="000000" w:themeColor="text1"/>
          <w:kern w:val="2"/>
          <w:sz w:val="16"/>
          <w:szCs w:val="16"/>
        </w:rPr>
        <w:t>3 января</w:t>
      </w:r>
      <w:r w:rsidR="00D95A37" w:rsidRPr="002F2FDF">
        <w:rPr>
          <w:rFonts w:ascii="Times New Roman" w:hAnsi="Times New Roman" w:cs="Times New Roman"/>
          <w:color w:val="000000" w:themeColor="text1"/>
          <w:kern w:val="2"/>
          <w:sz w:val="16"/>
          <w:szCs w:val="16"/>
        </w:rPr>
        <w:t xml:space="preserve"> в 1918 году</w:t>
      </w:r>
      <w:r>
        <w:rPr>
          <w:rFonts w:ascii="Times New Roman" w:hAnsi="Times New Roman" w:cs="Times New Roman"/>
          <w:color w:val="000000" w:themeColor="text1"/>
          <w:kern w:val="2"/>
          <w:sz w:val="16"/>
          <w:szCs w:val="16"/>
        </w:rPr>
        <w:t>)</w:t>
      </w:r>
      <w:r w:rsidR="00D95A37" w:rsidRPr="002F2FDF">
        <w:rPr>
          <w:rFonts w:ascii="Times New Roman" w:hAnsi="Times New Roman" w:cs="Times New Roman"/>
          <w:color w:val="000000" w:themeColor="text1"/>
          <w:kern w:val="2"/>
          <w:sz w:val="16"/>
          <w:szCs w:val="16"/>
        </w:rPr>
        <w:t xml:space="preserve"> установление советской власти в Пензе (14998).</w:t>
      </w:r>
    </w:p>
    <w:p w14:paraId="36369583" w14:textId="77777777"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p>
    <w:p w14:paraId="695A046D" w14:textId="52C60CB4" w:rsidR="00356B64" w:rsidRPr="002F2FDF" w:rsidRDefault="00356B6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D68A755" w14:textId="77777777" w:rsidR="00356B64" w:rsidRPr="002F2FDF" w:rsidRDefault="00356B6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BCA85E" w14:textId="77777777" w:rsidR="00356B64" w:rsidRPr="002F2FDF" w:rsidRDefault="00356B6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21 декабря 1917 (3 января 1918) владелец Альфред Хармсворт, 1-й виконт Нортклиффом, обеспокоенный снижением поддержки военных усилий британской общественностью и верящим, что новости об успехах живых британских пилотов по имени создадут популярных героев и улучшат общественный дух публикует в газете Daily Mail передовую статью, в которой резко критикуют политику британской армии по неразглашению имен успешных пилотов Королевского летного корпуса, если они не были убиты. По его мнению, политика, введенная из-за убеждения руководства британской армии в том, что такая огласка нанесет вред духу корпуса. своих собратьев-авиаторов – не правильна. Другие британские газеты быстро взялись за дело, побудив британскую армию начать называть пилотов по именам. Франция и Германия сообщали прессе о своих пилотах с начала Первой мировой войны (29343).</w:t>
      </w:r>
    </w:p>
    <w:p w14:paraId="0993EF73" w14:textId="77777777" w:rsidR="00356B64" w:rsidRPr="002F2FDF" w:rsidRDefault="00356B64" w:rsidP="0083075A">
      <w:pPr>
        <w:spacing w:after="0" w:line="240" w:lineRule="auto"/>
        <w:jc w:val="both"/>
        <w:rPr>
          <w:rFonts w:ascii="Times New Roman" w:hAnsi="Times New Roman" w:cs="Times New Roman"/>
          <w:color w:val="000000" w:themeColor="text1"/>
          <w:sz w:val="16"/>
          <w:szCs w:val="16"/>
        </w:rPr>
      </w:pPr>
    </w:p>
    <w:p w14:paraId="671291C9"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E6FCB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F1D8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22 декабря 1917 (4 января 1918) на ходатайстве об ассигнованиях Одесскому и Севастопольскому авиазаводам Анатра наложил резолюцию "Очень просил бы всячески ускорить это дело". Также личным распоряжением В.И.Л. были отпущены средства для московского Дукса (271,76).</w:t>
      </w:r>
    </w:p>
    <w:p w14:paraId="2615BC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Это ходатайство было на Справке УВВФ, упраздненного 20 декабря (2 января) 1917 (1849,3).</w:t>
      </w:r>
    </w:p>
    <w:p w14:paraId="2AFED0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8272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декабря 1917 (4 января 1918) В.И.Л. на ходатайстве о финансировании Одесского и Симферопольского самолетостроительных заводов наложил резолюцию "Очень просил бы всячески ускорить это дело. Ленин" (РГВИА, ф. 369, оп. 8, д. 19, л. 217.).</w:t>
      </w:r>
    </w:p>
    <w:p w14:paraId="036119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0B09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декабря 1917 (4 января 1918) был сделан подробный доклад к-л Бутлара, принявшего участие в нескольких налетах дирижаблей на Англию (2230,27).</w:t>
      </w:r>
    </w:p>
    <w:p w14:paraId="25727E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649AE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12967F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961E33" w14:textId="0832BA7F" w:rsidR="00067426" w:rsidRPr="002F2FDF" w:rsidRDefault="00067426" w:rsidP="0083075A">
      <w:pPr>
        <w:pStyle w:val="ae"/>
        <w:spacing w:before="0" w:after="0"/>
        <w:jc w:val="both"/>
        <w:rPr>
          <w:color w:val="000000" w:themeColor="text1"/>
          <w:sz w:val="16"/>
          <w:szCs w:val="16"/>
        </w:rPr>
      </w:pPr>
      <w:r w:rsidRPr="002F2FDF">
        <w:rPr>
          <w:color w:val="000000" w:themeColor="text1"/>
          <w:sz w:val="16"/>
          <w:szCs w:val="16"/>
        </w:rPr>
        <w:t>22 декабря 1917 г. (4 января 1918) после издания декрета "Об аннулировании военных заказов" Обуховский завод остановился. В 1917 г. начальник завода был отстранен, а руководство перешло в руки Контрольного Совета, руководителем который был А. А. Антонов (первый "красный директор" завода). 28 января 1918 г. 11000 рабочих были рассчитаны.</w:t>
      </w:r>
      <w:r w:rsidR="00E52569">
        <w:rPr>
          <w:color w:val="000000" w:themeColor="text1"/>
          <w:sz w:val="16"/>
          <w:szCs w:val="16"/>
        </w:rPr>
        <w:t xml:space="preserve"> </w:t>
      </w:r>
      <w:r w:rsidRPr="002F2FDF">
        <w:rPr>
          <w:color w:val="000000" w:themeColor="text1"/>
          <w:sz w:val="16"/>
          <w:szCs w:val="16"/>
        </w:rPr>
        <w:t xml:space="preserve"> Завод был остановлен, все рабочие были уволены. В марте 1918 г. начальнику завода</w:t>
      </w:r>
      <w:r w:rsidR="00E52569">
        <w:rPr>
          <w:color w:val="000000" w:themeColor="text1"/>
          <w:sz w:val="16"/>
          <w:szCs w:val="16"/>
        </w:rPr>
        <w:t xml:space="preserve"> </w:t>
      </w:r>
      <w:r w:rsidRPr="002F2FDF">
        <w:rPr>
          <w:color w:val="000000" w:themeColor="text1"/>
          <w:sz w:val="16"/>
          <w:szCs w:val="16"/>
        </w:rPr>
        <w:t xml:space="preserve"> В. В. Чорбо было приказано сдать все дела Контрольному Совету. Завод бездействовал 75 дней. Потом было принято решение об изменении его профиля. Завод подлежал демилитаризации. Обуховскому заводу было поручено наладить производство гусеничных тракторов, ремонт паровозов и товарных вагонов. изготовление рессор, подшипников и других частей подвижного состава. В программу было включено производство плугов и изготовление металлических частей для молотилок. Вновь было принято около 4 тыс. человек.</w:t>
      </w:r>
    </w:p>
    <w:p w14:paraId="44114EA3" w14:textId="77777777" w:rsidR="00067426" w:rsidRPr="002F2FDF" w:rsidRDefault="00067426" w:rsidP="0083075A">
      <w:pPr>
        <w:pStyle w:val="ae"/>
        <w:spacing w:before="0" w:after="0"/>
        <w:jc w:val="both"/>
        <w:rPr>
          <w:color w:val="000000" w:themeColor="text1"/>
          <w:sz w:val="16"/>
          <w:szCs w:val="16"/>
        </w:rPr>
      </w:pPr>
      <w:r w:rsidRPr="002F2FDF">
        <w:rPr>
          <w:color w:val="000000" w:themeColor="text1"/>
          <w:sz w:val="16"/>
          <w:szCs w:val="16"/>
        </w:rPr>
        <w:t>На завод был прислан трактор системы Holt, чертежей к нему не имелось. Трактор разобрали и приступили к выпуску чертежей. 28 июня 1918 г. правительством был издан декрет онационализации всей крупной и средней промышленности. Обуховский завод стал собственностью государства и переведен в ведение Наркомата по морским делам (18356).</w:t>
      </w:r>
    </w:p>
    <w:p w14:paraId="6702A153" w14:textId="77777777" w:rsidR="00067426" w:rsidRPr="002F2FDF" w:rsidRDefault="00067426" w:rsidP="0083075A">
      <w:pPr>
        <w:pStyle w:val="ae"/>
        <w:spacing w:before="0" w:after="0"/>
        <w:jc w:val="both"/>
        <w:rPr>
          <w:color w:val="000000" w:themeColor="text1"/>
          <w:sz w:val="16"/>
          <w:szCs w:val="16"/>
        </w:rPr>
      </w:pPr>
    </w:p>
    <w:p w14:paraId="6AF3CC62"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22 декабря 1917 г. </w:t>
      </w:r>
      <w:r w:rsidR="00631AD8" w:rsidRPr="002F2FDF">
        <w:rPr>
          <w:rFonts w:ascii="Times New Roman" w:hAnsi="Times New Roman" w:cs="Times New Roman"/>
          <w:color w:val="000000" w:themeColor="text1"/>
          <w:kern w:val="2"/>
          <w:sz w:val="16"/>
          <w:szCs w:val="16"/>
        </w:rPr>
        <w:t xml:space="preserve">(4 января 1918) </w:t>
      </w:r>
      <w:r w:rsidRPr="002F2FDF">
        <w:rPr>
          <w:rFonts w:ascii="Times New Roman" w:hAnsi="Times New Roman" w:cs="Times New Roman"/>
          <w:color w:val="000000" w:themeColor="text1"/>
          <w:kern w:val="2"/>
          <w:sz w:val="16"/>
          <w:szCs w:val="16"/>
        </w:rPr>
        <w:t>Обуховский завод остановился, а 28 января 1918 г. все рабо</w:t>
      </w:r>
      <w:r w:rsidRPr="002F2FDF">
        <w:rPr>
          <w:rFonts w:ascii="Times New Roman" w:hAnsi="Times New Roman" w:cs="Times New Roman"/>
          <w:color w:val="000000" w:themeColor="text1"/>
          <w:kern w:val="2"/>
          <w:sz w:val="16"/>
          <w:szCs w:val="16"/>
        </w:rPr>
        <w:softHyphen/>
        <w:t>чие (12 тысяч) были рассчитаны.</w:t>
      </w:r>
    </w:p>
    <w:p w14:paraId="25F4C6A3"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Подобное положение сложилось и на других промышленных предприятиях Пет</w:t>
      </w:r>
      <w:r w:rsidRPr="002F2FDF">
        <w:rPr>
          <w:rFonts w:ascii="Times New Roman" w:hAnsi="Times New Roman" w:cs="Times New Roman"/>
          <w:color w:val="000000" w:themeColor="text1"/>
          <w:kern w:val="2"/>
          <w:sz w:val="16"/>
          <w:szCs w:val="16"/>
        </w:rPr>
        <w:softHyphen/>
        <w:t>рограда, пребывавших в глубоком кризи</w:t>
      </w:r>
      <w:r w:rsidRPr="002F2FDF">
        <w:rPr>
          <w:rFonts w:ascii="Times New Roman" w:hAnsi="Times New Roman" w:cs="Times New Roman"/>
          <w:color w:val="000000" w:themeColor="text1"/>
          <w:kern w:val="2"/>
          <w:sz w:val="16"/>
          <w:szCs w:val="16"/>
        </w:rPr>
        <w:softHyphen/>
        <w:t>се. Из-за германских успехов на фронте возникла угроза захвата города, и Времен</w:t>
      </w:r>
      <w:r w:rsidRPr="002F2FDF">
        <w:rPr>
          <w:rFonts w:ascii="Times New Roman" w:hAnsi="Times New Roman" w:cs="Times New Roman"/>
          <w:color w:val="000000" w:themeColor="text1"/>
          <w:kern w:val="2"/>
          <w:sz w:val="16"/>
          <w:szCs w:val="16"/>
        </w:rPr>
        <w:softHyphen/>
        <w:t>ное правительство в августе 1917 г. орга</w:t>
      </w:r>
      <w:r w:rsidRPr="002F2FDF">
        <w:rPr>
          <w:rFonts w:ascii="Times New Roman" w:hAnsi="Times New Roman" w:cs="Times New Roman"/>
          <w:color w:val="000000" w:themeColor="text1"/>
          <w:kern w:val="2"/>
          <w:sz w:val="16"/>
          <w:szCs w:val="16"/>
        </w:rPr>
        <w:softHyphen/>
        <w:t>низовало Комиссию по разгрузке Петрог</w:t>
      </w:r>
      <w:r w:rsidRPr="002F2FDF">
        <w:rPr>
          <w:rFonts w:ascii="Times New Roman" w:hAnsi="Times New Roman" w:cs="Times New Roman"/>
          <w:color w:val="000000" w:themeColor="text1"/>
          <w:kern w:val="2"/>
          <w:sz w:val="16"/>
          <w:szCs w:val="16"/>
        </w:rPr>
        <w:softHyphen/>
        <w:t>рада. После разгрома красных частей и их отступления в феврале 1918 г. уже советс</w:t>
      </w:r>
      <w:r w:rsidRPr="002F2FDF">
        <w:rPr>
          <w:rFonts w:ascii="Times New Roman" w:hAnsi="Times New Roman" w:cs="Times New Roman"/>
          <w:color w:val="000000" w:themeColor="text1"/>
          <w:kern w:val="2"/>
          <w:sz w:val="16"/>
          <w:szCs w:val="16"/>
        </w:rPr>
        <w:softHyphen/>
        <w:t>кое правительство оказалось перед угро</w:t>
      </w:r>
      <w:r w:rsidRPr="002F2FDF">
        <w:rPr>
          <w:rFonts w:ascii="Times New Roman" w:hAnsi="Times New Roman" w:cs="Times New Roman"/>
          <w:color w:val="000000" w:themeColor="text1"/>
          <w:kern w:val="2"/>
          <w:sz w:val="16"/>
          <w:szCs w:val="16"/>
        </w:rPr>
        <w:softHyphen/>
        <w:t>зой оккупации Петрограда наступающими немецкими войсками. В этих условиях было принято решение об эвакуации предприя</w:t>
      </w:r>
      <w:r w:rsidRPr="002F2FDF">
        <w:rPr>
          <w:rFonts w:ascii="Times New Roman" w:hAnsi="Times New Roman" w:cs="Times New Roman"/>
          <w:color w:val="000000" w:themeColor="text1"/>
          <w:kern w:val="2"/>
          <w:sz w:val="16"/>
          <w:szCs w:val="16"/>
        </w:rPr>
        <w:softHyphen/>
        <w:t>тий и переносе столицы в Москву. 22 фев</w:t>
      </w:r>
      <w:r w:rsidRPr="002F2FDF">
        <w:rPr>
          <w:rFonts w:ascii="Times New Roman" w:hAnsi="Times New Roman" w:cs="Times New Roman"/>
          <w:color w:val="000000" w:themeColor="text1"/>
          <w:kern w:val="2"/>
          <w:sz w:val="16"/>
          <w:szCs w:val="16"/>
        </w:rPr>
        <w:softHyphen/>
        <w:t>раля была сформирована Чрезвычайная комиссия по эвакуации и разгрузке Петрог</w:t>
      </w:r>
      <w:r w:rsidRPr="002F2FDF">
        <w:rPr>
          <w:rFonts w:ascii="Times New Roman" w:hAnsi="Times New Roman" w:cs="Times New Roman"/>
          <w:color w:val="000000" w:themeColor="text1"/>
          <w:kern w:val="2"/>
          <w:sz w:val="16"/>
          <w:szCs w:val="16"/>
        </w:rPr>
        <w:softHyphen/>
        <w:t>рада, а 4 марта - Центроколлегия (ранее образованная Чрезвычайная комиссия вли</w:t>
      </w:r>
      <w:r w:rsidRPr="002F2FDF">
        <w:rPr>
          <w:rFonts w:ascii="Times New Roman" w:hAnsi="Times New Roman" w:cs="Times New Roman"/>
          <w:color w:val="000000" w:themeColor="text1"/>
          <w:kern w:val="2"/>
          <w:sz w:val="16"/>
          <w:szCs w:val="16"/>
        </w:rPr>
        <w:softHyphen/>
        <w:t>лась в состав Центроколлегии как один из отделов). В марте начался вывоз из Пет</w:t>
      </w:r>
      <w:r w:rsidRPr="002F2FDF">
        <w:rPr>
          <w:rFonts w:ascii="Times New Roman" w:hAnsi="Times New Roman" w:cs="Times New Roman"/>
          <w:color w:val="000000" w:themeColor="text1"/>
          <w:kern w:val="2"/>
          <w:sz w:val="16"/>
          <w:szCs w:val="16"/>
        </w:rPr>
        <w:softHyphen/>
        <w:t>рограда первых промышленных предпри</w:t>
      </w:r>
      <w:r w:rsidRPr="002F2FDF">
        <w:rPr>
          <w:rFonts w:ascii="Times New Roman" w:hAnsi="Times New Roman" w:cs="Times New Roman"/>
          <w:color w:val="000000" w:themeColor="text1"/>
          <w:kern w:val="2"/>
          <w:sz w:val="16"/>
          <w:szCs w:val="16"/>
        </w:rPr>
        <w:softHyphen/>
        <w:t>ятий. Параллельно происходил перенос столицы. Транспортные перевозки ослож</w:t>
      </w:r>
      <w:r w:rsidRPr="002F2FDF">
        <w:rPr>
          <w:rFonts w:ascii="Times New Roman" w:hAnsi="Times New Roman" w:cs="Times New Roman"/>
          <w:color w:val="000000" w:themeColor="text1"/>
          <w:kern w:val="2"/>
          <w:sz w:val="16"/>
          <w:szCs w:val="16"/>
        </w:rPr>
        <w:softHyphen/>
        <w:t>нялись плохим состоянием подвижного состава железных дорог, хроническим не</w:t>
      </w:r>
      <w:r w:rsidRPr="002F2FDF">
        <w:rPr>
          <w:rFonts w:ascii="Times New Roman" w:hAnsi="Times New Roman" w:cs="Times New Roman"/>
          <w:color w:val="000000" w:themeColor="text1"/>
          <w:kern w:val="2"/>
          <w:sz w:val="16"/>
          <w:szCs w:val="16"/>
        </w:rPr>
        <w:softHyphen/>
        <w:t>достатком топлива и т.д. Производствен</w:t>
      </w:r>
      <w:r w:rsidRPr="002F2FDF">
        <w:rPr>
          <w:rFonts w:ascii="Times New Roman" w:hAnsi="Times New Roman" w:cs="Times New Roman"/>
          <w:color w:val="000000" w:themeColor="text1"/>
          <w:kern w:val="2"/>
          <w:sz w:val="16"/>
          <w:szCs w:val="16"/>
        </w:rPr>
        <w:softHyphen/>
        <w:t>ное оборудование прежде всего вывози</w:t>
      </w:r>
      <w:r w:rsidRPr="002F2FDF">
        <w:rPr>
          <w:rFonts w:ascii="Times New Roman" w:hAnsi="Times New Roman" w:cs="Times New Roman"/>
          <w:color w:val="000000" w:themeColor="text1"/>
          <w:kern w:val="2"/>
          <w:sz w:val="16"/>
          <w:szCs w:val="16"/>
        </w:rPr>
        <w:softHyphen/>
        <w:t>лось с крупных оборонных предприятий.</w:t>
      </w:r>
    </w:p>
    <w:p w14:paraId="3A7518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noProof/>
          <w:color w:val="000000" w:themeColor="text1"/>
          <w:kern w:val="2"/>
          <w:sz w:val="16"/>
          <w:szCs w:val="16"/>
        </w:rPr>
      </w:pPr>
      <w:r w:rsidRPr="002F2FDF">
        <w:rPr>
          <w:rFonts w:ascii="Times New Roman" w:hAnsi="Times New Roman" w:cs="Times New Roman"/>
          <w:noProof/>
          <w:color w:val="000000" w:themeColor="text1"/>
          <w:kern w:val="2"/>
          <w:sz w:val="16"/>
          <w:szCs w:val="16"/>
        </w:rPr>
        <w:t>Ход и результаты эвакуации оценивались весьма скептически. Так, в 1925 г. в письме к председателю РВСР М.В. Фрунзе Управ</w:t>
      </w:r>
      <w:r w:rsidRPr="002F2FDF">
        <w:rPr>
          <w:rFonts w:ascii="Times New Roman" w:hAnsi="Times New Roman" w:cs="Times New Roman"/>
          <w:noProof/>
          <w:color w:val="000000" w:themeColor="text1"/>
          <w:kern w:val="2"/>
          <w:sz w:val="16"/>
          <w:szCs w:val="16"/>
        </w:rPr>
        <w:softHyphen/>
        <w:t>ление военной промышленности констати</w:t>
      </w:r>
      <w:r w:rsidRPr="002F2FDF">
        <w:rPr>
          <w:rFonts w:ascii="Times New Roman" w:hAnsi="Times New Roman" w:cs="Times New Roman"/>
          <w:noProof/>
          <w:color w:val="000000" w:themeColor="text1"/>
          <w:kern w:val="2"/>
          <w:sz w:val="16"/>
          <w:szCs w:val="16"/>
        </w:rPr>
        <w:softHyphen/>
        <w:t>ровало:«Процессрасстройства заводов был в значительной степени усилен эвакуацией ленинградских военных заводов, имевшей место в начале 1918 г. Эта эвакуация была проведена в спешном порядке при отсут</w:t>
      </w:r>
      <w:r w:rsidRPr="002F2FDF">
        <w:rPr>
          <w:rFonts w:ascii="Times New Roman" w:hAnsi="Times New Roman" w:cs="Times New Roman"/>
          <w:noProof/>
          <w:color w:val="000000" w:themeColor="text1"/>
          <w:kern w:val="2"/>
          <w:sz w:val="16"/>
          <w:szCs w:val="16"/>
        </w:rPr>
        <w:softHyphen/>
        <w:t>ствии заранее разработанного плана выво</w:t>
      </w:r>
      <w:r w:rsidRPr="002F2FDF">
        <w:rPr>
          <w:rFonts w:ascii="Times New Roman" w:hAnsi="Times New Roman" w:cs="Times New Roman"/>
          <w:noProof/>
          <w:color w:val="000000" w:themeColor="text1"/>
          <w:kern w:val="2"/>
          <w:sz w:val="16"/>
          <w:szCs w:val="16"/>
        </w:rPr>
        <w:softHyphen/>
        <w:t>за заводов, а также при отсутствии заранее выбранных пунктов для размещения эваку</w:t>
      </w:r>
      <w:r w:rsidRPr="002F2FDF">
        <w:rPr>
          <w:rFonts w:ascii="Times New Roman" w:hAnsi="Times New Roman" w:cs="Times New Roman"/>
          <w:noProof/>
          <w:color w:val="000000" w:themeColor="text1"/>
          <w:kern w:val="2"/>
          <w:sz w:val="16"/>
          <w:szCs w:val="16"/>
        </w:rPr>
        <w:softHyphen/>
        <w:t>ированных единиц. В результате крупнейшие военные заводы были вывезены из Ленинг</w:t>
      </w:r>
      <w:r w:rsidRPr="002F2FDF">
        <w:rPr>
          <w:rFonts w:ascii="Times New Roman" w:hAnsi="Times New Roman" w:cs="Times New Roman"/>
          <w:noProof/>
          <w:color w:val="000000" w:themeColor="text1"/>
          <w:kern w:val="2"/>
          <w:sz w:val="16"/>
          <w:szCs w:val="16"/>
        </w:rPr>
        <w:softHyphen/>
        <w:t>рада либо полностью (патронные и орудий</w:t>
      </w:r>
      <w:r w:rsidRPr="002F2FDF">
        <w:rPr>
          <w:rFonts w:ascii="Times New Roman" w:hAnsi="Times New Roman" w:cs="Times New Roman"/>
          <w:noProof/>
          <w:color w:val="000000" w:themeColor="text1"/>
          <w:kern w:val="2"/>
          <w:sz w:val="16"/>
          <w:szCs w:val="16"/>
        </w:rPr>
        <w:softHyphen/>
        <w:t>ные), либо частично (трубочный, Охтинский, Обуховский, Арсенал). При эвакуации часть оборудования погибла в пути, растерялась на железной дороге или утонула при водных перевозках. Другая часть осела в пунктах, которые нельзя было признать удобными для размещения крупных и важных производ</w:t>
      </w:r>
      <w:r w:rsidRPr="002F2FDF">
        <w:rPr>
          <w:rFonts w:ascii="Times New Roman" w:hAnsi="Times New Roman" w:cs="Times New Roman"/>
          <w:noProof/>
          <w:color w:val="000000" w:themeColor="text1"/>
          <w:kern w:val="2"/>
          <w:sz w:val="16"/>
          <w:szCs w:val="16"/>
        </w:rPr>
        <w:softHyphen/>
        <w:t>ственных единиц. В итоге производственная мощность отдельных групп заводов, в осо</w:t>
      </w:r>
      <w:r w:rsidRPr="002F2FDF">
        <w:rPr>
          <w:rFonts w:ascii="Times New Roman" w:hAnsi="Times New Roman" w:cs="Times New Roman"/>
          <w:noProof/>
          <w:color w:val="000000" w:themeColor="text1"/>
          <w:kern w:val="2"/>
          <w:sz w:val="16"/>
          <w:szCs w:val="16"/>
        </w:rPr>
        <w:softHyphen/>
        <w:t>бенности патронных и арсенальных, значи</w:t>
      </w:r>
      <w:r w:rsidRPr="002F2FDF">
        <w:rPr>
          <w:rFonts w:ascii="Times New Roman" w:hAnsi="Times New Roman" w:cs="Times New Roman"/>
          <w:noProof/>
          <w:color w:val="000000" w:themeColor="text1"/>
          <w:kern w:val="2"/>
          <w:sz w:val="16"/>
          <w:szCs w:val="16"/>
        </w:rPr>
        <w:softHyphen/>
        <w:t>тельно понизилась&gt;.</w:t>
      </w:r>
    </w:p>
    <w:p w14:paraId="393CDCE7"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Недостаток сырья и материалов, квали</w:t>
      </w:r>
      <w:r w:rsidRPr="002F2FDF">
        <w:rPr>
          <w:rFonts w:ascii="Times New Roman" w:hAnsi="Times New Roman" w:cs="Times New Roman"/>
          <w:color w:val="000000" w:themeColor="text1"/>
          <w:kern w:val="2"/>
          <w:sz w:val="16"/>
          <w:szCs w:val="16"/>
        </w:rPr>
        <w:softHyphen/>
        <w:t>фицированных кадров, продовольствия и т.п. усложняли и без того труднейшее положе</w:t>
      </w:r>
      <w:r w:rsidRPr="002F2FDF">
        <w:rPr>
          <w:rFonts w:ascii="Times New Roman" w:hAnsi="Times New Roman" w:cs="Times New Roman"/>
          <w:color w:val="000000" w:themeColor="text1"/>
          <w:kern w:val="2"/>
          <w:sz w:val="16"/>
          <w:szCs w:val="16"/>
        </w:rPr>
        <w:softHyphen/>
        <w:t>ние промышленности. Оставшиеся в Петрог</w:t>
      </w:r>
      <w:r w:rsidRPr="002F2FDF">
        <w:rPr>
          <w:rFonts w:ascii="Times New Roman" w:hAnsi="Times New Roman" w:cs="Times New Roman"/>
          <w:color w:val="000000" w:themeColor="text1"/>
          <w:kern w:val="2"/>
          <w:sz w:val="16"/>
          <w:szCs w:val="16"/>
        </w:rPr>
        <w:softHyphen/>
        <w:t>раде предприятия испытывали жесточайший дефицит топлива и электроэнергии. Напри</w:t>
      </w:r>
      <w:r w:rsidRPr="002F2FDF">
        <w:rPr>
          <w:rFonts w:ascii="Times New Roman" w:hAnsi="Times New Roman" w:cs="Times New Roman"/>
          <w:color w:val="000000" w:themeColor="text1"/>
          <w:kern w:val="2"/>
          <w:sz w:val="16"/>
          <w:szCs w:val="16"/>
        </w:rPr>
        <w:softHyphen/>
        <w:t>мер, поданным Петроградского совнархоза на апрель 1918 г., три электрические город</w:t>
      </w:r>
      <w:r w:rsidRPr="002F2FDF">
        <w:rPr>
          <w:rFonts w:ascii="Times New Roman" w:hAnsi="Times New Roman" w:cs="Times New Roman"/>
          <w:color w:val="000000" w:themeColor="text1"/>
          <w:kern w:val="2"/>
          <w:sz w:val="16"/>
          <w:szCs w:val="16"/>
        </w:rPr>
        <w:softHyphen/>
        <w:t>ские станции развили мощность 113812 л.е., тогда как работавшая на оборону промыш- ËáÍÍÎÑÒÚ потребляла 230137 л .с., а вся про</w:t>
      </w:r>
      <w:r w:rsidRPr="002F2FDF">
        <w:rPr>
          <w:rFonts w:ascii="Times New Roman" w:hAnsi="Times New Roman" w:cs="Times New Roman"/>
          <w:color w:val="000000" w:themeColor="text1"/>
          <w:kern w:val="2"/>
          <w:sz w:val="16"/>
          <w:szCs w:val="16"/>
        </w:rPr>
        <w:softHyphen/>
        <w:t>мышленность города - 344508 л.е., т.е. элек</w:t>
      </w:r>
      <w:r w:rsidRPr="002F2FDF">
        <w:rPr>
          <w:rFonts w:ascii="Times New Roman" w:hAnsi="Times New Roman" w:cs="Times New Roman"/>
          <w:color w:val="000000" w:themeColor="text1"/>
          <w:kern w:val="2"/>
          <w:sz w:val="16"/>
          <w:szCs w:val="16"/>
        </w:rPr>
        <w:softHyphen/>
        <w:t>тростанции покрывали едва ли треть ее по</w:t>
      </w:r>
      <w:r w:rsidRPr="002F2FDF">
        <w:rPr>
          <w:rFonts w:ascii="Times New Roman" w:hAnsi="Times New Roman" w:cs="Times New Roman"/>
          <w:color w:val="000000" w:themeColor="text1"/>
          <w:kern w:val="2"/>
          <w:sz w:val="16"/>
          <w:szCs w:val="16"/>
        </w:rPr>
        <w:softHyphen/>
        <w:t>требностей в электроэнергии (11905).</w:t>
      </w:r>
    </w:p>
    <w:p w14:paraId="6EF35C69"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E03D70" w14:textId="77777777" w:rsidR="0096612C"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5DA1D5A4" w14:textId="77777777" w:rsidR="0096612C" w:rsidRPr="002F2FDF" w:rsidRDefault="0096612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2436AC" w14:textId="141671BF" w:rsidR="00332462" w:rsidRPr="00FB4F67" w:rsidRDefault="0033246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22 декабря 1917 г. (</w:t>
      </w:r>
      <w:r w:rsidRPr="00FB4F67">
        <w:rPr>
          <w:rFonts w:ascii="Times New Roman" w:hAnsi="Times New Roman" w:cs="Times New Roman"/>
          <w:color w:val="0070C0"/>
          <w:sz w:val="16"/>
          <w:szCs w:val="16"/>
        </w:rPr>
        <w:t>4 января 1918 г.</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в приказе по 8-й армии от № 3239, в частности, отмечалось: «В бою &lt;...&gt; над м. Липканами, с безумной отвагой, ежеминутно рискуя своей жизнью, под пулеметным огнем с неприятельского аэроплана, 5-ю атаками заставил противника снизиться до 300 метров, 6-й атакой сбил его в нашем расположении у д. Тарасоуце, захватив в плен неприятельских летчиков» (23405).</w:t>
      </w:r>
    </w:p>
    <w:p w14:paraId="36522646" w14:textId="77777777" w:rsidR="00332462" w:rsidRPr="00FB4F67" w:rsidRDefault="00332462" w:rsidP="0083075A">
      <w:pPr>
        <w:spacing w:after="0" w:line="240" w:lineRule="auto"/>
        <w:jc w:val="both"/>
        <w:rPr>
          <w:rFonts w:ascii="Times New Roman" w:hAnsi="Times New Roman" w:cs="Times New Roman"/>
          <w:color w:val="0070C0"/>
          <w:sz w:val="16"/>
          <w:szCs w:val="16"/>
        </w:rPr>
      </w:pPr>
    </w:p>
    <w:p w14:paraId="248DE5B9" w14:textId="2732CC51" w:rsidR="0096612C" w:rsidRPr="002F2FDF" w:rsidRDefault="0096612C"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22</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декабря 1917 года (</w:t>
      </w:r>
      <w:hyperlink r:id="rId774" w:tooltip="4 января" w:history="1">
        <w:r w:rsidRPr="002F2FDF">
          <w:rPr>
            <w:rFonts w:ascii="Times New Roman" w:eastAsia="Times New Roman" w:hAnsi="Times New Roman" w:cs="Times New Roman"/>
            <w:color w:val="000000" w:themeColor="text1"/>
            <w:kern w:val="2"/>
            <w:sz w:val="16"/>
            <w:szCs w:val="16"/>
            <w:lang w:eastAsia="ru-RU"/>
          </w:rPr>
          <w:t>4</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января</w:t>
        </w:r>
      </w:hyperlink>
      <w:hyperlink r:id="rId775" w:tooltip="1918 год" w:history="1">
        <w:r w:rsidRPr="002F2FDF">
          <w:rPr>
            <w:rFonts w:ascii="Times New Roman" w:eastAsia="Times New Roman" w:hAnsi="Times New Roman" w:cs="Times New Roman"/>
            <w:color w:val="000000" w:themeColor="text1"/>
            <w:kern w:val="2"/>
            <w:sz w:val="16"/>
            <w:szCs w:val="16"/>
            <w:lang w:eastAsia="ru-RU"/>
          </w:rPr>
          <w:t>1918</w:t>
        </w:r>
      </w:hyperlink>
      <w:r w:rsidRPr="002F2FDF">
        <w:rPr>
          <w:rFonts w:ascii="Times New Roman" w:eastAsia="Times New Roman" w:hAnsi="Times New Roman" w:cs="Times New Roman"/>
          <w:color w:val="000000" w:themeColor="text1"/>
          <w:kern w:val="2"/>
          <w:sz w:val="16"/>
          <w:szCs w:val="16"/>
          <w:lang w:eastAsia="ru-RU"/>
        </w:rPr>
        <w:t xml:space="preserve">) </w:t>
      </w:r>
      <w:hyperlink r:id="rId776" w:tooltip="Канцлер Германии" w:history="1">
        <w:r w:rsidRPr="002F2FDF">
          <w:rPr>
            <w:rFonts w:ascii="Times New Roman" w:eastAsia="Times New Roman" w:hAnsi="Times New Roman" w:cs="Times New Roman"/>
            <w:color w:val="000000" w:themeColor="text1"/>
            <w:kern w:val="2"/>
            <w:sz w:val="16"/>
            <w:szCs w:val="16"/>
            <w:lang w:eastAsia="ru-RU"/>
          </w:rPr>
          <w:t>германский канцлер</w:t>
        </w:r>
      </w:hyperlink>
      <w:hyperlink r:id="rId777" w:tooltip="Гертлинг, Георг фон" w:history="1">
        <w:r w:rsidRPr="002F2FDF">
          <w:rPr>
            <w:rFonts w:ascii="Times New Roman" w:eastAsia="Times New Roman" w:hAnsi="Times New Roman" w:cs="Times New Roman"/>
            <w:color w:val="000000" w:themeColor="text1"/>
            <w:kern w:val="2"/>
            <w:sz w:val="16"/>
            <w:szCs w:val="16"/>
            <w:lang w:eastAsia="ru-RU"/>
          </w:rPr>
          <w:t>Г. фон Гертлинг</w:t>
        </w:r>
      </w:hyperlink>
      <w:r w:rsidRPr="002F2FDF">
        <w:rPr>
          <w:rFonts w:ascii="Times New Roman" w:eastAsia="Times New Roman" w:hAnsi="Times New Roman" w:cs="Times New Roman"/>
          <w:color w:val="000000" w:themeColor="text1"/>
          <w:kern w:val="2"/>
          <w:sz w:val="16"/>
          <w:szCs w:val="16"/>
          <w:lang w:eastAsia="ru-RU"/>
        </w:rPr>
        <w:t xml:space="preserve"> сообщил в своём выступлении в </w:t>
      </w:r>
      <w:hyperlink r:id="rId778" w:tooltip="Рейхстаг (Германская империя)" w:history="1">
        <w:r w:rsidRPr="002F2FDF">
          <w:rPr>
            <w:rFonts w:ascii="Times New Roman" w:eastAsia="Times New Roman" w:hAnsi="Times New Roman" w:cs="Times New Roman"/>
            <w:color w:val="000000" w:themeColor="text1"/>
            <w:kern w:val="2"/>
            <w:sz w:val="16"/>
            <w:szCs w:val="16"/>
            <w:lang w:eastAsia="ru-RU"/>
          </w:rPr>
          <w:t>Рейхстаге</w:t>
        </w:r>
      </w:hyperlink>
      <w:r w:rsidRPr="002F2FDF">
        <w:rPr>
          <w:rFonts w:ascii="Times New Roman" w:eastAsia="Times New Roman" w:hAnsi="Times New Roman" w:cs="Times New Roman"/>
          <w:color w:val="000000" w:themeColor="text1"/>
          <w:kern w:val="2"/>
          <w:sz w:val="16"/>
          <w:szCs w:val="16"/>
          <w:lang w:eastAsia="ru-RU"/>
        </w:rPr>
        <w:t xml:space="preserve">, что в </w:t>
      </w:r>
      <w:hyperlink r:id="rId779" w:tooltip="Брест-Литовск" w:history="1">
        <w:r w:rsidRPr="002F2FDF">
          <w:rPr>
            <w:rFonts w:ascii="Times New Roman" w:eastAsia="Times New Roman" w:hAnsi="Times New Roman" w:cs="Times New Roman"/>
            <w:color w:val="000000" w:themeColor="text1"/>
            <w:kern w:val="2"/>
            <w:sz w:val="16"/>
            <w:szCs w:val="16"/>
            <w:lang w:eastAsia="ru-RU"/>
          </w:rPr>
          <w:t>Брест-Литовск</w:t>
        </w:r>
      </w:hyperlink>
      <w:r w:rsidRPr="002F2FDF">
        <w:rPr>
          <w:rFonts w:ascii="Times New Roman" w:eastAsia="Times New Roman" w:hAnsi="Times New Roman" w:cs="Times New Roman"/>
          <w:color w:val="000000" w:themeColor="text1"/>
          <w:kern w:val="2"/>
          <w:sz w:val="16"/>
          <w:szCs w:val="16"/>
          <w:lang w:eastAsia="ru-RU"/>
        </w:rPr>
        <w:t xml:space="preserve"> прибыла делегация </w:t>
      </w:r>
      <w:hyperlink r:id="rId780" w:tooltip="Центральная рада УНР" w:history="1">
        <w:r w:rsidRPr="002F2FDF">
          <w:rPr>
            <w:rFonts w:ascii="Times New Roman" w:eastAsia="Times New Roman" w:hAnsi="Times New Roman" w:cs="Times New Roman"/>
            <w:color w:val="000000" w:themeColor="text1"/>
            <w:kern w:val="2"/>
            <w:sz w:val="16"/>
            <w:szCs w:val="16"/>
            <w:lang w:eastAsia="ru-RU"/>
          </w:rPr>
          <w:t>Украинской центральной рады</w:t>
        </w:r>
      </w:hyperlink>
      <w:r w:rsidRPr="002F2FDF">
        <w:rPr>
          <w:rFonts w:ascii="Times New Roman" w:eastAsia="Times New Roman" w:hAnsi="Times New Roman" w:cs="Times New Roman"/>
          <w:color w:val="000000" w:themeColor="text1"/>
          <w:kern w:val="2"/>
          <w:sz w:val="16"/>
          <w:szCs w:val="16"/>
          <w:lang w:eastAsia="ru-RU"/>
        </w:rPr>
        <w:t xml:space="preserve">. Германия согласилась вести переговоры с украинской делегацией, надеясь использовать это как рычаг и против Советской России, и против своего союзника — Австро-Венгрии. Украинские дипломаты, которые вели предварительные переговоры с немецким генералом </w:t>
      </w:r>
      <w:hyperlink r:id="rId781" w:tooltip="Гофман, Макс" w:history="1">
        <w:r w:rsidRPr="002F2FDF">
          <w:rPr>
            <w:rFonts w:ascii="Times New Roman" w:eastAsia="Times New Roman" w:hAnsi="Times New Roman" w:cs="Times New Roman"/>
            <w:color w:val="000000" w:themeColor="text1"/>
            <w:kern w:val="2"/>
            <w:sz w:val="16"/>
            <w:szCs w:val="16"/>
            <w:lang w:eastAsia="ru-RU"/>
          </w:rPr>
          <w:t>М. Гофманом</w:t>
        </w:r>
      </w:hyperlink>
      <w:r w:rsidRPr="002F2FDF">
        <w:rPr>
          <w:rFonts w:ascii="Times New Roman" w:eastAsia="Times New Roman" w:hAnsi="Times New Roman" w:cs="Times New Roman"/>
          <w:color w:val="000000" w:themeColor="text1"/>
          <w:kern w:val="2"/>
          <w:sz w:val="16"/>
          <w:szCs w:val="16"/>
          <w:lang w:eastAsia="ru-RU"/>
        </w:rPr>
        <w:t xml:space="preserve">, начальником штаба германских армий на Восточном фронте, вначале заявляли о претензиях на присоединение к Украине </w:t>
      </w:r>
      <w:hyperlink r:id="rId782" w:tooltip="Холмщина" w:history="1">
        <w:r w:rsidRPr="002F2FDF">
          <w:rPr>
            <w:rFonts w:ascii="Times New Roman" w:eastAsia="Times New Roman" w:hAnsi="Times New Roman" w:cs="Times New Roman"/>
            <w:color w:val="000000" w:themeColor="text1"/>
            <w:kern w:val="2"/>
            <w:sz w:val="16"/>
            <w:szCs w:val="16"/>
            <w:lang w:eastAsia="ru-RU"/>
          </w:rPr>
          <w:t>Холмщины</w:t>
        </w:r>
      </w:hyperlink>
      <w:r w:rsidRPr="002F2FDF">
        <w:rPr>
          <w:rFonts w:ascii="Times New Roman" w:eastAsia="Times New Roman" w:hAnsi="Times New Roman" w:cs="Times New Roman"/>
          <w:color w:val="000000" w:themeColor="text1"/>
          <w:kern w:val="2"/>
          <w:sz w:val="16"/>
          <w:szCs w:val="16"/>
          <w:lang w:eastAsia="ru-RU"/>
        </w:rPr>
        <w:t xml:space="preserve"> (входившей в состав Польши), а также австро-венгерских территорий — </w:t>
      </w:r>
      <w:hyperlink r:id="rId783" w:tooltip="Буковина" w:history="1">
        <w:r w:rsidRPr="002F2FDF">
          <w:rPr>
            <w:rFonts w:ascii="Times New Roman" w:eastAsia="Times New Roman" w:hAnsi="Times New Roman" w:cs="Times New Roman"/>
            <w:color w:val="000000" w:themeColor="text1"/>
            <w:kern w:val="2"/>
            <w:sz w:val="16"/>
            <w:szCs w:val="16"/>
            <w:lang w:eastAsia="ru-RU"/>
          </w:rPr>
          <w:t>Буковины</w:t>
        </w:r>
      </w:hyperlink>
      <w:r w:rsidRPr="002F2FDF">
        <w:rPr>
          <w:rFonts w:ascii="Times New Roman" w:eastAsia="Times New Roman" w:hAnsi="Times New Roman" w:cs="Times New Roman"/>
          <w:color w:val="000000" w:themeColor="text1"/>
          <w:kern w:val="2"/>
          <w:sz w:val="16"/>
          <w:szCs w:val="16"/>
          <w:lang w:eastAsia="ru-RU"/>
        </w:rPr>
        <w:t xml:space="preserve"> и </w:t>
      </w:r>
      <w:hyperlink r:id="rId784" w:tooltip="Восточная Галиция" w:history="1">
        <w:r w:rsidRPr="002F2FDF">
          <w:rPr>
            <w:rFonts w:ascii="Times New Roman" w:eastAsia="Times New Roman" w:hAnsi="Times New Roman" w:cs="Times New Roman"/>
            <w:color w:val="000000" w:themeColor="text1"/>
            <w:kern w:val="2"/>
            <w:sz w:val="16"/>
            <w:szCs w:val="16"/>
            <w:lang w:eastAsia="ru-RU"/>
          </w:rPr>
          <w:t>Восточной Галиции</w:t>
        </w:r>
      </w:hyperlink>
      <w:r w:rsidRPr="002F2FDF">
        <w:rPr>
          <w:rFonts w:ascii="Times New Roman" w:eastAsia="Times New Roman" w:hAnsi="Times New Roman" w:cs="Times New Roman"/>
          <w:color w:val="000000" w:themeColor="text1"/>
          <w:kern w:val="2"/>
          <w:sz w:val="16"/>
          <w:szCs w:val="16"/>
          <w:lang w:eastAsia="ru-RU"/>
        </w:rPr>
        <w:t xml:space="preserve">. Гофман, однако, настоял на том, чтобы они снизили свои требования и ограничились одной Холмщиной, согласившись на то, чтобы </w:t>
      </w:r>
      <w:hyperlink r:id="rId785" w:tooltip="Буковина" w:history="1">
        <w:r w:rsidRPr="002F2FDF">
          <w:rPr>
            <w:rFonts w:ascii="Times New Roman" w:eastAsia="Times New Roman" w:hAnsi="Times New Roman" w:cs="Times New Roman"/>
            <w:color w:val="000000" w:themeColor="text1"/>
            <w:kern w:val="2"/>
            <w:sz w:val="16"/>
            <w:szCs w:val="16"/>
            <w:lang w:eastAsia="ru-RU"/>
          </w:rPr>
          <w:t>Буковина</w:t>
        </w:r>
      </w:hyperlink>
      <w:r w:rsidRPr="002F2FDF">
        <w:rPr>
          <w:rFonts w:ascii="Times New Roman" w:eastAsia="Times New Roman" w:hAnsi="Times New Roman" w:cs="Times New Roman"/>
          <w:color w:val="000000" w:themeColor="text1"/>
          <w:kern w:val="2"/>
          <w:sz w:val="16"/>
          <w:szCs w:val="16"/>
          <w:lang w:eastAsia="ru-RU"/>
        </w:rPr>
        <w:t xml:space="preserve"> и Восточная Галиция образовали самостоятельную австро-венгерскую коронную территорию под владычеством </w:t>
      </w:r>
      <w:hyperlink r:id="rId786" w:tooltip="Габсбурги" w:history="1">
        <w:r w:rsidRPr="002F2FDF">
          <w:rPr>
            <w:rFonts w:ascii="Times New Roman" w:eastAsia="Times New Roman" w:hAnsi="Times New Roman" w:cs="Times New Roman"/>
            <w:color w:val="000000" w:themeColor="text1"/>
            <w:kern w:val="2"/>
            <w:sz w:val="16"/>
            <w:szCs w:val="16"/>
            <w:lang w:eastAsia="ru-RU"/>
          </w:rPr>
          <w:t>Габсбургов</w:t>
        </w:r>
      </w:hyperlink>
      <w:r w:rsidRPr="002F2FDF">
        <w:rPr>
          <w:rFonts w:ascii="Times New Roman" w:eastAsia="Times New Roman" w:hAnsi="Times New Roman" w:cs="Times New Roman"/>
          <w:color w:val="000000" w:themeColor="text1"/>
          <w:kern w:val="2"/>
          <w:sz w:val="16"/>
          <w:szCs w:val="16"/>
          <w:lang w:eastAsia="ru-RU"/>
        </w:rPr>
        <w:t>. Именно эти требования они отстаивали в своих дальнейших переговорах с австро-венгерской делегацией. Переговоры с украинцами затянулись так, что открытие конференции пришлось перенести на 27</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декабря 1917 года (</w:t>
      </w:r>
      <w:hyperlink r:id="rId787" w:tooltip="9 января" w:history="1">
        <w:r w:rsidRPr="002F2FDF">
          <w:rPr>
            <w:rFonts w:ascii="Times New Roman" w:eastAsia="Times New Roman" w:hAnsi="Times New Roman" w:cs="Times New Roman"/>
            <w:color w:val="000000" w:themeColor="text1"/>
            <w:kern w:val="2"/>
            <w:sz w:val="16"/>
            <w:szCs w:val="16"/>
            <w:lang w:eastAsia="ru-RU"/>
          </w:rPr>
          <w:t>9</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января</w:t>
        </w:r>
      </w:hyperlink>
      <w:hyperlink r:id="rId788" w:tooltip="1918 год" w:history="1">
        <w:r w:rsidRPr="002F2FDF">
          <w:rPr>
            <w:rFonts w:ascii="Times New Roman" w:eastAsia="Times New Roman" w:hAnsi="Times New Roman" w:cs="Times New Roman"/>
            <w:color w:val="000000" w:themeColor="text1"/>
            <w:kern w:val="2"/>
            <w:sz w:val="16"/>
            <w:szCs w:val="16"/>
            <w:lang w:eastAsia="ru-RU"/>
          </w:rPr>
          <w:t>1918</w:t>
        </w:r>
      </w:hyperlink>
      <w:r w:rsidRPr="002F2FDF">
        <w:rPr>
          <w:rFonts w:ascii="Times New Roman" w:eastAsia="Times New Roman" w:hAnsi="Times New Roman" w:cs="Times New Roman"/>
          <w:color w:val="000000" w:themeColor="text1"/>
          <w:kern w:val="2"/>
          <w:sz w:val="16"/>
          <w:szCs w:val="16"/>
          <w:lang w:eastAsia="ru-RU"/>
        </w:rPr>
        <w:t>) (17035).</w:t>
      </w:r>
    </w:p>
    <w:p w14:paraId="72B2A852" w14:textId="77777777" w:rsidR="0096612C" w:rsidRPr="002F2FDF" w:rsidRDefault="0096612C" w:rsidP="0083075A">
      <w:pPr>
        <w:spacing w:after="0" w:line="240" w:lineRule="auto"/>
        <w:jc w:val="both"/>
        <w:rPr>
          <w:rFonts w:ascii="Times New Roman" w:eastAsia="Times New Roman" w:hAnsi="Times New Roman" w:cs="Times New Roman"/>
          <w:color w:val="000000" w:themeColor="text1"/>
          <w:kern w:val="2"/>
          <w:sz w:val="16"/>
          <w:szCs w:val="16"/>
          <w:lang w:eastAsia="ru-RU"/>
        </w:rPr>
      </w:pPr>
    </w:p>
    <w:p w14:paraId="0E7AE4B1" w14:textId="77777777" w:rsidR="00043FA6" w:rsidRPr="002F2FDF" w:rsidRDefault="00043FA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BA420D0" w14:textId="77777777" w:rsidR="00043FA6" w:rsidRPr="002F2FDF" w:rsidRDefault="00043FA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8B7C1F" w14:textId="77777777" w:rsidR="00043FA6" w:rsidRPr="002F2FDF" w:rsidRDefault="00043FA6" w:rsidP="0083075A">
      <w:pPr>
        <w:pStyle w:val="ae"/>
        <w:spacing w:before="0" w:after="0"/>
        <w:jc w:val="both"/>
        <w:rPr>
          <w:color w:val="000000" w:themeColor="text1"/>
          <w:kern w:val="2"/>
          <w:sz w:val="16"/>
          <w:szCs w:val="16"/>
        </w:rPr>
      </w:pPr>
      <w:r w:rsidRPr="002F2FDF">
        <w:rPr>
          <w:color w:val="000000" w:themeColor="text1"/>
          <w:kern w:val="2"/>
          <w:sz w:val="16"/>
          <w:szCs w:val="16"/>
        </w:rPr>
        <w:t>22 декабря 1917 (4 января 1918) вслед за Россией независимость окончательно отпавшей от нее Финляндии признала Германия, а чуть позже — Франция и другие страны Антанты (17045).</w:t>
      </w:r>
    </w:p>
    <w:p w14:paraId="3C255959" w14:textId="77777777" w:rsidR="00043FA6" w:rsidRPr="002F2FDF" w:rsidRDefault="00043F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E18BFD" w14:textId="77777777" w:rsidR="00043FA6" w:rsidRPr="002F2FDF" w:rsidRDefault="00043F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22 декабря 1917 (4 января 1918) общее собрание рассыльных Центрального телеграфа постановило признать практиковавшиеся до сих пор праздничные сборы денег унижающими честь и достоинство пролетариев и отменить их навсегда (18685).</w:t>
      </w:r>
    </w:p>
    <w:p w14:paraId="0AC465E5" w14:textId="77777777" w:rsidR="00043FA6" w:rsidRPr="002F2FDF" w:rsidRDefault="00043FA6" w:rsidP="0083075A">
      <w:pPr>
        <w:spacing w:after="0" w:line="240" w:lineRule="auto"/>
        <w:jc w:val="both"/>
        <w:rPr>
          <w:rFonts w:ascii="Times New Roman" w:hAnsi="Times New Roman" w:cs="Times New Roman"/>
          <w:color w:val="000000" w:themeColor="text1"/>
          <w:sz w:val="16"/>
          <w:szCs w:val="16"/>
        </w:rPr>
      </w:pPr>
    </w:p>
    <w:p w14:paraId="2B85B4C5" w14:textId="77777777" w:rsidR="00043FA6" w:rsidRPr="002F2FDF" w:rsidRDefault="00043F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декабря 1917 (4 января 1918) была написана "Декларация прав трудящихся и эксплуатируемого народа" (3481).</w:t>
      </w:r>
    </w:p>
    <w:p w14:paraId="4374B458" w14:textId="77777777" w:rsidR="00043FA6" w:rsidRPr="002F2FDF" w:rsidRDefault="00043F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377872" w14:textId="77777777" w:rsidR="00043FA6" w:rsidRPr="002F2FDF" w:rsidRDefault="00043F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декабря 1917 (4 января 1918) вышел декрет о страховании от болезни (3908,273).</w:t>
      </w:r>
    </w:p>
    <w:p w14:paraId="3E149D82" w14:textId="77777777" w:rsidR="00043FA6" w:rsidRPr="002F2FDF" w:rsidRDefault="00043F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EB53E0" w14:textId="77777777" w:rsidR="00043FA6" w:rsidRPr="002F2FDF" w:rsidRDefault="00043F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декабря 1917 (4 января 1918) 1 Сибирский съезд Советов принял решение о вооруженной поддержке Советской власти (3481).</w:t>
      </w:r>
    </w:p>
    <w:p w14:paraId="59FD956F" w14:textId="77777777" w:rsidR="00043FA6" w:rsidRPr="002F2FDF" w:rsidRDefault="00043FA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F041E2" w14:textId="77777777" w:rsidR="0096612C"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7E1C4ABF" w14:textId="77777777" w:rsidR="0096612C" w:rsidRPr="002F2FDF" w:rsidRDefault="0096612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6C84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декабря 1917 (4 января 1918) Россия признала независимость Финляндии, но войска не вывела. Маннергейм создал финскую армию. Началась гражданская война и финнам помогли немцы. Российским войскам пришлось эвакуироваться, но закончили 16 мая 1918 (2438,194).</w:t>
      </w:r>
    </w:p>
    <w:p w14:paraId="442FEA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3550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декабря 1917 (4 января) Петроград.ВЦИК утвердил декрет СНК от 31(18).12.1917 г. о признании независимости Финляндии (7450).</w:t>
      </w:r>
    </w:p>
    <w:p w14:paraId="015D08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0AA95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90E9D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B8A1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 декабря 1917 (4 января 1918) б. премьер-министр Франции Ж.Келло был арестован по подозрению в подготовке переворота и немедленного заключения мира. В апреле 1920 приговорили к тюремному заключению (3907,96).</w:t>
      </w:r>
    </w:p>
    <w:p w14:paraId="662410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8EC030" w14:textId="77777777"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22 декабря 1917 (4 января</w:t>
      </w:r>
      <w:r w:rsidRPr="002F2FDF">
        <w:rPr>
          <w:rFonts w:ascii="Times New Roman" w:hAnsi="Times New Roman" w:cs="Times New Roman"/>
          <w:color w:val="000000" w:themeColor="text1"/>
          <w:kern w:val="2"/>
          <w:sz w:val="16"/>
          <w:szCs w:val="16"/>
        </w:rPr>
        <w:t xml:space="preserve"> в 1918) году Жозеф Кайо, бывший премьер-министр Франции, арестован и заключен под стражу по подозрению в подготовке государственного переворота и немедленного заключения мира с Германией (в апреле 1920 г.приговорен к тюремному заключению) (14999).</w:t>
      </w:r>
    </w:p>
    <w:p w14:paraId="4F6F9960" w14:textId="71053255"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p>
    <w:p w14:paraId="4721ADCB" w14:textId="7177756D" w:rsidR="00043FA6" w:rsidRPr="002F2FDF" w:rsidRDefault="00043FA6" w:rsidP="0083075A">
      <w:pPr>
        <w:pStyle w:val="ae"/>
        <w:spacing w:before="0" w:after="0"/>
        <w:jc w:val="both"/>
        <w:rPr>
          <w:color w:val="000000" w:themeColor="text1"/>
          <w:kern w:val="2"/>
          <w:sz w:val="16"/>
          <w:szCs w:val="16"/>
        </w:rPr>
      </w:pPr>
      <w:r w:rsidRPr="002F2FDF">
        <w:rPr>
          <w:rFonts w:eastAsia="Times New Roman"/>
          <w:color w:val="000000" w:themeColor="text1"/>
          <w:kern w:val="2"/>
          <w:sz w:val="16"/>
          <w:szCs w:val="16"/>
          <w:lang w:eastAsia="ru-RU"/>
        </w:rPr>
        <w:t>22</w:t>
      </w:r>
      <w:r w:rsidR="00E52569">
        <w:rPr>
          <w:rFonts w:eastAsia="Times New Roman"/>
          <w:color w:val="000000" w:themeColor="text1"/>
          <w:kern w:val="2"/>
          <w:sz w:val="16"/>
          <w:szCs w:val="16"/>
          <w:lang w:eastAsia="ru-RU"/>
        </w:rPr>
        <w:t xml:space="preserve"> </w:t>
      </w:r>
      <w:r w:rsidRPr="002F2FDF">
        <w:rPr>
          <w:rFonts w:eastAsia="Times New Roman"/>
          <w:color w:val="000000" w:themeColor="text1"/>
          <w:kern w:val="2"/>
          <w:sz w:val="16"/>
          <w:szCs w:val="16"/>
          <w:lang w:eastAsia="ru-RU"/>
        </w:rPr>
        <w:t>декабря 1917 года (</w:t>
      </w:r>
      <w:hyperlink r:id="rId789" w:tooltip="4 января" w:history="1">
        <w:r w:rsidRPr="002F2FDF">
          <w:rPr>
            <w:rFonts w:eastAsia="Times New Roman"/>
            <w:color w:val="000000" w:themeColor="text1"/>
            <w:kern w:val="2"/>
            <w:sz w:val="16"/>
            <w:szCs w:val="16"/>
            <w:lang w:eastAsia="ru-RU"/>
          </w:rPr>
          <w:t>4</w:t>
        </w:r>
        <w:r w:rsidR="00E52569">
          <w:rPr>
            <w:rFonts w:eastAsia="Times New Roman"/>
            <w:color w:val="000000" w:themeColor="text1"/>
            <w:kern w:val="2"/>
            <w:sz w:val="16"/>
            <w:szCs w:val="16"/>
            <w:lang w:eastAsia="ru-RU"/>
          </w:rPr>
          <w:t xml:space="preserve"> </w:t>
        </w:r>
        <w:r w:rsidRPr="002F2FDF">
          <w:rPr>
            <w:rFonts w:eastAsia="Times New Roman"/>
            <w:color w:val="000000" w:themeColor="text1"/>
            <w:kern w:val="2"/>
            <w:sz w:val="16"/>
            <w:szCs w:val="16"/>
            <w:lang w:eastAsia="ru-RU"/>
          </w:rPr>
          <w:t>января</w:t>
        </w:r>
      </w:hyperlink>
      <w:hyperlink r:id="rId790" w:tooltip="1918 год" w:history="1">
        <w:r w:rsidRPr="002F2FDF">
          <w:rPr>
            <w:rFonts w:eastAsia="Times New Roman"/>
            <w:color w:val="000000" w:themeColor="text1"/>
            <w:kern w:val="2"/>
            <w:sz w:val="16"/>
            <w:szCs w:val="16"/>
            <w:lang w:eastAsia="ru-RU"/>
          </w:rPr>
          <w:t>1918</w:t>
        </w:r>
      </w:hyperlink>
      <w:r w:rsidRPr="002F2FDF">
        <w:rPr>
          <w:rFonts w:eastAsia="Times New Roman"/>
          <w:color w:val="000000" w:themeColor="text1"/>
          <w:kern w:val="2"/>
          <w:sz w:val="16"/>
          <w:szCs w:val="16"/>
          <w:lang w:eastAsia="ru-RU"/>
        </w:rPr>
        <w:t xml:space="preserve">) </w:t>
      </w:r>
      <w:r w:rsidRPr="002F2FDF">
        <w:rPr>
          <w:color w:val="000000" w:themeColor="text1"/>
          <w:kern w:val="2"/>
          <w:sz w:val="16"/>
          <w:szCs w:val="16"/>
        </w:rPr>
        <w:t>у берегов юго-западной Англии было торпедированы британское госпитальное судно «Рева». На его борту находилось около 280 раненых офицеров, большинство которых удалось спасти. Погибли 4 человека. В Средиземном море 4 января был затоплен итальянский пассажирский пароход «Реджина Елена» (17045).</w:t>
      </w:r>
    </w:p>
    <w:p w14:paraId="7215306A" w14:textId="77777777" w:rsidR="00043FA6" w:rsidRPr="002F2FDF" w:rsidRDefault="00043FA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C4C5A6" w14:textId="698FA921" w:rsidR="00CE0CEC" w:rsidRPr="002F2FDF" w:rsidRDefault="00CE0CEC" w:rsidP="0083075A">
      <w:pPr>
        <w:pStyle w:val="ae"/>
        <w:spacing w:before="0" w:after="0"/>
        <w:jc w:val="both"/>
        <w:rPr>
          <w:color w:val="000000" w:themeColor="text1"/>
          <w:kern w:val="2"/>
          <w:sz w:val="16"/>
          <w:szCs w:val="16"/>
        </w:rPr>
      </w:pPr>
      <w:r w:rsidRPr="002F2FDF">
        <w:rPr>
          <w:color w:val="000000" w:themeColor="text1"/>
          <w:kern w:val="2"/>
          <w:sz w:val="16"/>
          <w:szCs w:val="16"/>
        </w:rPr>
        <w:t>В первую неделю января 1918 германские подводные лодки затопили 44 судна. В частности, 22 декабря 1917 (4 января 1918) берегов юго-западной Англии было торпедированы британское госпитальное судно «Рева». На его борту находилось около 280 раненых офицеров, большинство которых удалось спасти. Погибли 4 человека. В Средиземном море 4 января был затоплен итальянский пассажирский пароход «Реджина Елена» (17045).</w:t>
      </w:r>
    </w:p>
    <w:p w14:paraId="1CDF5629" w14:textId="77777777" w:rsidR="00CE0CEC" w:rsidRPr="002F2FDF" w:rsidRDefault="00CE0CE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68E654" w14:textId="28F5AEEB" w:rsidR="00C42824" w:rsidRPr="002F2FDF" w:rsidRDefault="00C42824" w:rsidP="0083075A">
      <w:pPr>
        <w:spacing w:after="0" w:line="240" w:lineRule="auto"/>
        <w:jc w:val="both"/>
        <w:rPr>
          <w:rFonts w:ascii="Times New Roman" w:hAnsi="Times New Roman" w:cs="Times New Roman"/>
          <w:i/>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4BA3A67" w14:textId="77777777" w:rsidR="00C42824" w:rsidRPr="002F2FDF" w:rsidRDefault="00C42824" w:rsidP="0083075A">
      <w:pPr>
        <w:spacing w:after="0" w:line="240" w:lineRule="auto"/>
        <w:jc w:val="both"/>
        <w:rPr>
          <w:rFonts w:ascii="Times New Roman" w:hAnsi="Times New Roman" w:cs="Times New Roman"/>
          <w:i/>
          <w:iCs/>
          <w:color w:val="000000" w:themeColor="text1"/>
          <w:kern w:val="2"/>
          <w:sz w:val="16"/>
          <w:szCs w:val="16"/>
        </w:rPr>
      </w:pPr>
    </w:p>
    <w:p w14:paraId="0F3F33DF"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23 декабря 1917 г. (5 января 1918) </w:t>
      </w:r>
    </w:p>
    <w:p w14:paraId="06B59A2D"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Резолюция по Журналу № 214.  </w:t>
      </w:r>
    </w:p>
    <w:p w14:paraId="7FE8719B"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Заседание 23 декабря 1917 г. </w:t>
      </w:r>
    </w:p>
    <w:p w14:paraId="135B4F88"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28   декабря.</w:t>
      </w:r>
    </w:p>
    <w:p w14:paraId="3106D093"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Резолюция   Председателя   Особого   Совещания   по  финансированию  по  журналу  Особого  Совещания  от  23-го  декабря  1917 года за № 214. </w:t>
      </w:r>
    </w:p>
    <w:p w14:paraId="6D7C6BC5"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Рассмотрев настоящий журнал, я в отношении приведения в исполнение требующих того суждений Особого Совещания решил: </w:t>
      </w:r>
    </w:p>
    <w:p w14:paraId="593F52A3"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 Одобрить проект правил о демобилизации промышленности, работающей на армию, с принятыми в Совещании изменениями. </w:t>
      </w:r>
    </w:p>
    <w:p w14:paraId="6D520A9C"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2. По ходатайству главного управления кораблестроения об отпуске  ссуды Обуховскому сталелитейному заводу: </w:t>
      </w:r>
    </w:p>
    <w:p w14:paraId="7F6DE2E0"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а) разрешить названному заводу выдачу краткосрочной беспроцентной ссуды в размере пяти миллионов (5 000 000) руб лей, с зачетом ранее  выданного одного миллиона рублей из чрезвычайного кредита морского  ведомства, для расплаты с рабочими и служащими, с погашением этой  ссуды из авансов, имеющих быть выданными в счет увеличения расценок по заказам упомянутого ведомства; </w:t>
      </w:r>
    </w:p>
    <w:p w14:paraId="35A5B445"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б)  предложить     правлению     поименованного      завода   представить  хозяйственно-финансовые  соображения,  касающиеся  деятельности  завода, в связи с современной обстановкой. </w:t>
      </w:r>
    </w:p>
    <w:p w14:paraId="31018F83"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3. По ходатайству совета управления делами заводов морского ведомства о выдаче ссуды Адмиралтейскому заводу: </w:t>
      </w:r>
    </w:p>
    <w:p w14:paraId="23EB6344"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а) разрешить выдачу названному заводу краткосрочной беспроцентной ссуды в размере двух миллионов (2 000 000) руб лей из чрезвычайного кредита морского ведомства для расплаты с рабочими и служащими,  с погашением этой ссуды из авансов, имеющих быть выданными в счет  увеличения расценок по заказам морского ведомства; </w:t>
      </w:r>
    </w:p>
    <w:p w14:paraId="184BF6E8"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б)   предложить      правлению      означенного     завода    представить  хозяйственно-финансовые  соображения,  касающиеся  деятельности  завода, в связи с современной обстановкой. </w:t>
      </w:r>
    </w:p>
    <w:p w14:paraId="354BD588"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4. Утвердить доклад главного артиллерийского управления от 15 декабря  1917  года  за  №  191674  о  выдаче  50 %  аванса  комитету  для  заведывания  снабжением  сырьем  хлопчатобумажных  фабрик  в  счет  заказа  110 000 пудов клетчатки, на изложенных в докладе основаниях. </w:t>
      </w:r>
    </w:p>
    <w:p w14:paraId="394BA58A"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5. По вопросу о положении дел на фабрике сельскохозяйственных машин и орудий акционерного общества «Вдова Матиас и С-я в городе Бердянске»:  передать  означенное  дело  для  выяснения  вопроса  о  секвестре  завода  —  в  коллегию  Комиссаров  при  управлении  военно-воздушного  флота, а затем в Реквизиционно-секвестрационную комиссию; по вопросу же о финансировании предприятия  — передать дело на рассмотрение  подготовительной комиссии по авиационным вопросам. </w:t>
      </w:r>
    </w:p>
    <w:p w14:paraId="261A5E86"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6.  Выдать  главному  по  снабжению  армии  комитету  Всероссийских  Земского и Городского союзов дополнительный до 75 % аванс без обеспечения  в  размере  семнадцати  миллионов  двухсот  семидесяти  девяти  тысяч шестисот шестидесяти двух (17 279 662) руб лей 50 коп., по заказам  главного интендантского управления на обозное имущество. </w:t>
      </w:r>
    </w:p>
    <w:p w14:paraId="5CA907C8"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7.  По  ходатайству  товарищества  Инженеров  «Элеваторные  и  Сушильные установки» об оказании ему содействия для получения средств  от Земско-Городского Областного комитета по снабжению армии  — передать означенное дело в Петроградское заводское совещание для урегулирования вопроса об уплате. </w:t>
      </w:r>
    </w:p>
    <w:p w14:paraId="5B9C59F9"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8.   По   ходатайству   машиностроительного   акционерного   общества  Р.  Г.  Мантель  о  выдаче  ему  ссуды  для  продолжения  деятельности  его  заводов  —  разрешить  выдачу  названному  обществу  ссуды  в  размере  ста  двадцати  пяти  тысяч  (125  000)  руб лей,  по  смете  главного  военно-технического  управления,  с  последующим  погашением  этой  ссуды  из  фонда  по  восстановлению  предприятий  (по  Министерству  путей  сообщения); означенную ссуду выдать через Екатеринославское заводское  совещание, под его наблюдением и контролем заводского комитета. </w:t>
      </w:r>
    </w:p>
    <w:p w14:paraId="183488E4"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9. Удовлетворить ходатайство Первого Русского акционерного общества Ружейных и Пулеметных заводов о выдаче обществу незамедлительно разрешенного Председателем Особого Совещания 16-го декабря сего  года  аванса  в  размере  трех  миллионов  ста  восьмидесяти  восьми  тысяч  двухсот пятидесяти (3  188  250) рублей без предварительного представления акта залога, отобрав подписку, что таковой акт будет представлен  в течение шести недель. </w:t>
      </w:r>
    </w:p>
    <w:p w14:paraId="327447BB"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10. Одобрить доклад главного интендантского управления от 14  декабря  сего  года  за  №  91471  в  подготовительную  комиссию  по  общим  вопросам  о  прекращении  дальнейшего  изготовления  касок  Центральным   военно-промышленным   комитетом,   на   изложенных   в   докладе  основаниях. </w:t>
      </w:r>
    </w:p>
    <w:p w14:paraId="31F08D8D"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11.   Утвердить   доклад   главного   военно-технического   управления  от 11  декабря 1917 года за №  126963 в подготовительную комиссию по  общим вопросам о выдаче товариществу «Вл.  Алексеев, П.  Вишняков и  А. Шамшин» аванса без обеспечения в сумме одного миллиона семидесяти шести тысяч шестнадцати (1  076  016) рублей, по наряду № 45934, на  изложенных в докладе основаниях. </w:t>
      </w:r>
    </w:p>
    <w:p w14:paraId="74733209"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12.  Утвердить  доклад  главного  военно-технического  управления  от  8 декабря 1917 года за № 6214 в исполнительную комиссию о выдаче дополнительного, до 50 %, аванса без обеспечения Русскому обществу беспроволочных телеграфов и телефонов по заказу названным управлением  радиостанций,  радиопеленгаторных  станций,  бензино-динамо  и  запасных агрегатов, на изложенных в докладе основаниях. </w:t>
      </w:r>
    </w:p>
    <w:p w14:paraId="02537EFB"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13.  Утвердить  доклад  главного  военно-технического  управления  от  23  ноября  1917  года  за  №  9029  в  исполнительную  комиссию  о  выдаче  заводу  «Амо»  аванса  без  обеспечения  в  размере  ста  пятидесяти  тысяч  (150 000) руб лей, на изложенных в докладе основаниях. </w:t>
      </w:r>
    </w:p>
    <w:p w14:paraId="583B1276"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14.  Одобрить  доклад  главного  военно-технического  управления  от  7 декабря 1917 года за № 4152 в исполнительную комиссию о заготовке  мастерского инструмента и о выдаче аванса без обеспечения судостроительной верфи М.  И.  Кузнецова по заказу названным управлением полукруглых  стамесок  и  отверток  в  случае  благоприятных  отзывов  со  стороны Центрального военно-промышленного комитета относительно  кредитоспособности и со стороны заводского совещания — относительно  возможности выполнения этого заказа означенной верфью. </w:t>
      </w:r>
    </w:p>
    <w:p w14:paraId="6D402A4F"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15.  Утвердить  доклад  главного  военно-технического  управления  от  5 декабря 1917 года за №  126832 в исполнительную комиссию о выдаче  физико-механику  и  оптику  И.  Горячеву  аванса  без  обеспечения  в  сумме тридцати одной тысячи восьмисот (31 800) руб лей по наряду № 3473  на  поставку  2  000  медно-цинковых  батарей,  на  изложенных  в  докладе  основаниях. </w:t>
      </w:r>
    </w:p>
    <w:p w14:paraId="51A409B1"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16.   Утвердить   доклад   главного   военно-технического   управления  от 16  декабря сего года за №  135/9034 в исполнительную комиссию об  утверждении  наряда  на  изготовление  автомобильных  запасных  частей  и о выдаче аванса без обеспечения в размере ста двадцати шести тысяч  пятисот (126  500) руб лей «Русско-Американскому кооперативному заводу», на упомянутых в докладе основаниях. </w:t>
      </w:r>
    </w:p>
    <w:p w14:paraId="1D14A1D8"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17.  Утвердить  представление  начальника  управления  военного  воздушного флота от 20 декабря 1917 года за №  12031/3433 в исполнительную комиссию о выдаче заводу самолетов Артур Анатра дополнительных  авансов без обеспечения в размере 50 % стоимости недвижимого имущества по контрактам от 14  декабря 1916 года за №  91178; от 15  декабря  1916 года за № 91179; от 30 января 1917 года за № 32166 и от 30 января  1917 года за № 32504. Означенные авансы выдать через Одесское заводское совещание, под его наблюдением и контролем центрального заводского комитета. </w:t>
      </w:r>
    </w:p>
    <w:p w14:paraId="3B91AD71"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18.  Утвердить  доклад  управления  военного  воздушного  флота  от  15 декабря 1917 года за №  12010/3412  — о выдаче торговому дому «Иноженер М. Ф. Адамчик, А. А. Кузнецов, Н. Р. Лобанов и К  » дополнительного аванса без обеспечения в размере 50 % стоимости не сданных ко времени выдачи нового аванса комплектов лыж по контрактам от 12  июля  1917 года за № 39123/20133. </w:t>
      </w:r>
    </w:p>
    <w:p w14:paraId="5EB796F3"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19. Отклонить ходатайство акционерного общества «Искромет» о выдаче ему дополнительного аванса по заказам управления военного воздушного флота на магнето. </w:t>
      </w:r>
    </w:p>
    <w:p w14:paraId="4426CC62"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20. Отклонить ходатайство фирмы «</w:t>
      </w:r>
      <w:r w:rsidRPr="002F2FDF">
        <w:rPr>
          <w:rFonts w:ascii="Times New Roman" w:hAnsi="Times New Roman" w:cs="Times New Roman"/>
          <w:color w:val="000000" w:themeColor="text1"/>
          <w:sz w:val="16"/>
          <w:szCs w:val="16"/>
          <w:highlight w:val="yellow"/>
        </w:rPr>
        <w:t>О.  Мельцер»</w:t>
      </w:r>
      <w:r w:rsidRPr="002F2FDF">
        <w:rPr>
          <w:rFonts w:ascii="Times New Roman" w:hAnsi="Times New Roman" w:cs="Times New Roman"/>
          <w:color w:val="000000" w:themeColor="text1"/>
          <w:sz w:val="16"/>
          <w:szCs w:val="16"/>
        </w:rPr>
        <w:t xml:space="preserve"> о выдаче дополнительного аванса по заказу управления военного воздушного флота воздушных винтов по контракту от 6 февраля 1917 года за № 32200/4296. </w:t>
      </w:r>
    </w:p>
    <w:p w14:paraId="1F7B98DB"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21.  Утвердить  доклад  начальника  управления  военного  воздушного  флота  от  12  декабря  1917  года  за  №  12001/3395  —  о  выдаче  обществу  моторов «Гном и Рон» дополнительного аванса без обеспечения по контракту от 13 ноября 1915 г. / 28 марта 1916 г. за № 30300/33867 в размере  50 % стоимости не сданного по этому контракту имущества, по частям, на  общем основании, с зачетом выданных 9 декабря 1917 года трехсот тысяч  (300 000) рублей. </w:t>
      </w:r>
    </w:p>
    <w:p w14:paraId="63A3C773"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22.  Отклонить      ходатайство     Ф.   Мельцер      о  выдаче    ему   ссуды  850 000 руб лей на постройку лесопилки, сушилки и мастерских для первоначальной разделки дерева. </w:t>
      </w:r>
    </w:p>
    <w:p w14:paraId="1D2761F8"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    Председательствующий в Особом Совещании Козьмин. </w:t>
      </w:r>
    </w:p>
    <w:p w14:paraId="0AE61CBF"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    Д. 397. Л. 42–45. Подлинник (20676).</w:t>
      </w:r>
    </w:p>
    <w:p w14:paraId="38E980F6" w14:textId="77777777" w:rsidR="00C42824" w:rsidRPr="002F2FDF" w:rsidRDefault="00C42824" w:rsidP="0083075A">
      <w:pPr>
        <w:spacing w:after="0" w:line="240" w:lineRule="auto"/>
        <w:jc w:val="both"/>
        <w:rPr>
          <w:rFonts w:ascii="Times New Roman" w:hAnsi="Times New Roman" w:cs="Times New Roman"/>
          <w:color w:val="000000" w:themeColor="text1"/>
          <w:sz w:val="16"/>
          <w:szCs w:val="16"/>
        </w:rPr>
      </w:pPr>
    </w:p>
    <w:p w14:paraId="075BCA9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77817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2804F3" w14:textId="6B8B9ADC"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23 декабря 1917 </w:t>
      </w:r>
      <w:r w:rsidR="005F253F" w:rsidRPr="002F2FDF">
        <w:rPr>
          <w:rFonts w:ascii="Times New Roman" w:hAnsi="Times New Roman" w:cs="Times New Roman"/>
          <w:color w:val="000000" w:themeColor="text1"/>
          <w:kern w:val="2"/>
          <w:sz w:val="16"/>
          <w:szCs w:val="16"/>
        </w:rPr>
        <w:t>(5 января 1918)</w:t>
      </w:r>
      <w:r w:rsidR="005F253F">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 Петрограде состоялось экстренное собранно представителей Народного комиссариата по военным делам, Всероссийского бюро фронтовых и тыловых военных организаций при ЦК РСДРП(б) и Главного штаба Красной гвардии Петрограда, на котором обсуждался проект практических мер по созданию новой армии. В результате обмена мнениями было решено новую армию назвать социалистической, немедленно приступить к ее формированию и после проведения мобилизации в Красную гвардию спешно отправить на фронт пять эшелонов красногвардейцев. Собрание высказалось за издание декрета об организации социалистической армии и сформировало штаб для технической работы по ее созданию (4216).</w:t>
      </w:r>
    </w:p>
    <w:p w14:paraId="6B5288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5B3A0B" w14:textId="33F12A3C" w:rsidR="003E28E5" w:rsidRPr="002F2FDF" w:rsidRDefault="003E28E5" w:rsidP="0083075A">
      <w:pPr>
        <w:pStyle w:val="ae"/>
        <w:spacing w:before="0" w:after="0"/>
        <w:jc w:val="both"/>
        <w:rPr>
          <w:color w:val="000000" w:themeColor="text1"/>
          <w:kern w:val="2"/>
          <w:sz w:val="16"/>
          <w:szCs w:val="16"/>
        </w:rPr>
      </w:pPr>
      <w:r w:rsidRPr="002F2FDF">
        <w:rPr>
          <w:color w:val="000000" w:themeColor="text1"/>
          <w:kern w:val="2"/>
          <w:sz w:val="16"/>
          <w:szCs w:val="16"/>
        </w:rPr>
        <w:t>23 декабря 1917</w:t>
      </w:r>
      <w:r w:rsidR="005F253F" w:rsidRPr="002F2FDF">
        <w:rPr>
          <w:color w:val="000000" w:themeColor="text1"/>
          <w:kern w:val="2"/>
          <w:sz w:val="16"/>
          <w:szCs w:val="16"/>
        </w:rPr>
        <w:t xml:space="preserve"> (5 января 1918)</w:t>
      </w:r>
      <w:r w:rsidRPr="002F2FDF">
        <w:rPr>
          <w:color w:val="000000" w:themeColor="text1"/>
          <w:kern w:val="2"/>
          <w:sz w:val="16"/>
          <w:szCs w:val="16"/>
        </w:rPr>
        <w:t xml:space="preserve"> в зону боев на севере Франции прибыл Русский легион чести — воинское подразделение, созданное из числа немногих солдат и офицеров (всего около 300 человек) Русского экспедиционного корпуса во Франции, не признавших власть большевиков и не желавших соглашаться с условиями заключенного ими перемирия с немцами. Легион вошел в состав французской Марокканской ударной дивизии (17045).</w:t>
      </w:r>
    </w:p>
    <w:p w14:paraId="3ECEAB50" w14:textId="77777777" w:rsidR="003E28E5" w:rsidRPr="002F2FDF" w:rsidRDefault="003E28E5"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8EE47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9DEAE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E1C9B9" w14:textId="77777777" w:rsidR="0040277E" w:rsidRPr="002F2FDF" w:rsidRDefault="0040277E" w:rsidP="0083075A">
      <w:pPr>
        <w:pStyle w:val="a3"/>
        <w:rPr>
          <w:color w:val="000000" w:themeColor="text1"/>
          <w:lang w:val="ru-RU"/>
        </w:rPr>
      </w:pPr>
      <w:r w:rsidRPr="002F2FDF">
        <w:rPr>
          <w:color w:val="000000" w:themeColor="text1"/>
          <w:lang w:val="ru-RU"/>
        </w:rPr>
        <w:t>23 декабря 1917 г. (5 января 1918 г.) СНК вернулся к вопросу о запрещении оплаты процентных бумаг. Было решено временно приостановить всякую оплату купонов и запретить сделки с ценными бумагами до выработки ВСНХ законов о ликвидации займов. 29 декабря 1917 г. (11 января 1918 г.) появился декрет Совнаркома о запрещении операций с ценными бумагами. Благодаря этому закону была уничтожена фондовая биржа (18085).</w:t>
      </w:r>
    </w:p>
    <w:p w14:paraId="070481DF" w14:textId="77777777" w:rsidR="0040277E" w:rsidRPr="002F2FDF" w:rsidRDefault="0040277E" w:rsidP="0083075A">
      <w:pPr>
        <w:pStyle w:val="a3"/>
        <w:rPr>
          <w:color w:val="000000" w:themeColor="text1"/>
          <w:lang w:val="ru-RU"/>
        </w:rPr>
      </w:pPr>
    </w:p>
    <w:p w14:paraId="52F6FC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декабря 1917 (5 января 1918) в России было введено новое правописание (3481).</w:t>
      </w:r>
    </w:p>
    <w:p w14:paraId="683A5A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B4D7D1" w14:textId="77777777"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23 декабря 1917 (5 января</w:t>
      </w:r>
      <w:r w:rsidRPr="002F2FDF">
        <w:rPr>
          <w:rFonts w:ascii="Times New Roman" w:hAnsi="Times New Roman" w:cs="Times New Roman"/>
          <w:color w:val="000000" w:themeColor="text1"/>
          <w:kern w:val="2"/>
          <w:sz w:val="16"/>
          <w:szCs w:val="16"/>
        </w:rPr>
        <w:t xml:space="preserve"> в 1918 году) вступает в силу декрет СНК РСФСР о переходе к новой орфографии. Нововведение поначалу вызвало бурный протест и активное неприятие, однако у истоков этого "достижения" стояли отнюдь не большевики - еще в правление Николая II вопросам реформы письменности уделялось большое внимание - из слов исчезли "фита" и "ижица". Убрать "яти", "еры", а за компанию и "i" надо было осенью 1917, а тут и революция подоспела. В течение нескольких лет после революции внутри слов вместо твердого знака применялся апостроф. Сразу возникли и другие сложности, в частности совпадение омонимов, от чего все языки стараются избавиться. Так, советское "миру мир" (заимствованное из богослужебного "мира мiрови у Господа просим") поражает своей бессмысленностью. Все дело в том, что первый "мiръ" - "земля, вселенная"; второй "миръ" - "согласие, единодушие, дружба". Самая же первая реформа была проведена Петром I, устранившим "пси" с "омегами" и иные знаки, введшим в употребление "э" и "я" и заменивший буквенные обозначения цифр арабскими цифрами. Однако полностью проблемы Петр не решил, поэтому уже в 1781 году директор Академии наук С.Г.Домашнев издает распоряжение об издании некоторых бюллетеней академических известий без твердого знака на конце слов. В 1838 году И.И.Лажечников издает роман "Басурман", в котором нет "фиты", зато есть "о" после шипящих и своеобразные окончания прилагательных и местоимений ("ничево", "дальнева" и пр.). Над Лажечниковым похихикали, и второе издание "Басурмана" было уже "правильным". Начиная с 1879 года издается журнал "Русский филологический вестник", который предпринял попытку публиковать свои материалы без пресловутого "ер". В 1904 году Академия наук создает специальную орфографическую комиссию, в задачу которой входит упорядочение орфографии в соответствии с фонетикой, но принятый комиссией в 1912 году проект реформы высочайше провалился. Орфографические комиссии после реформы 1918 года собирались в 1929, 1939, 1962 (это уже после относительной унификации правописания в 1956 году и издания "Правил русской орфографии и пунктуации"), 1973 и 1990 гг. В 2002 году тоже действовала орфографическая комиссия, предложившая было писать "парашут" и "заец", но ход делу не дали (15000).</w:t>
      </w:r>
    </w:p>
    <w:p w14:paraId="31C83F46" w14:textId="77777777"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p>
    <w:p w14:paraId="6A302BCE" w14:textId="63833DDF" w:rsidR="00EF53B3" w:rsidRPr="002F2FDF" w:rsidRDefault="00EF53B3" w:rsidP="0083075A">
      <w:pPr>
        <w:pStyle w:val="ae"/>
        <w:spacing w:before="0" w:after="0"/>
        <w:jc w:val="both"/>
        <w:rPr>
          <w:color w:val="000000" w:themeColor="text1"/>
          <w:kern w:val="2"/>
          <w:sz w:val="16"/>
          <w:szCs w:val="16"/>
        </w:rPr>
      </w:pPr>
      <w:r w:rsidRPr="002F2FDF">
        <w:rPr>
          <w:bCs/>
          <w:color w:val="000000" w:themeColor="text1"/>
          <w:kern w:val="2"/>
          <w:sz w:val="16"/>
          <w:szCs w:val="16"/>
        </w:rPr>
        <w:t>23 декабря 1917 (5 января</w:t>
      </w:r>
      <w:r w:rsidRPr="002F2FDF">
        <w:rPr>
          <w:color w:val="000000" w:themeColor="text1"/>
          <w:kern w:val="2"/>
          <w:sz w:val="16"/>
          <w:szCs w:val="16"/>
        </w:rPr>
        <w:t xml:space="preserve"> в 1918 году) был издан декрет Народного комиссариата просвещения «О введении нового правописания», который предписывал «всем правительственным и государственным изданиям» печататься по новому правописанию в соответствии с реформой русской орфографии. Она разрабатывалась еще царским правительством</w:t>
      </w:r>
      <w:r w:rsidR="00E52569">
        <w:rPr>
          <w:color w:val="000000" w:themeColor="text1"/>
          <w:kern w:val="2"/>
          <w:sz w:val="16"/>
          <w:szCs w:val="16"/>
        </w:rPr>
        <w:t xml:space="preserve"> </w:t>
      </w:r>
      <w:r w:rsidRPr="002F2FDF">
        <w:rPr>
          <w:color w:val="000000" w:themeColor="text1"/>
          <w:kern w:val="2"/>
          <w:sz w:val="16"/>
          <w:szCs w:val="16"/>
        </w:rPr>
        <w:t>начиная с 1904 года, но была осуществлена лишь большевиками. Из русского алфавита исключались буквы Ѣ (ять), Ѳ (фита), I («десятеричное и»), было сокращено применение твердого знака, осуществлено изменение правописания окончаний некоторых слов и т.д. Письменный русский язык окончательно приобрел вид, близкий к употребляемому сегодня (17045).</w:t>
      </w:r>
    </w:p>
    <w:p w14:paraId="550D73B2" w14:textId="77777777" w:rsidR="00EF53B3" w:rsidRPr="002F2FDF" w:rsidRDefault="00EF53B3" w:rsidP="0083075A">
      <w:pPr>
        <w:pStyle w:val="ae"/>
        <w:spacing w:before="0" w:after="0"/>
        <w:jc w:val="both"/>
        <w:rPr>
          <w:color w:val="000000" w:themeColor="text1"/>
          <w:kern w:val="2"/>
          <w:sz w:val="16"/>
          <w:szCs w:val="16"/>
        </w:rPr>
      </w:pPr>
    </w:p>
    <w:p w14:paraId="001C6928" w14:textId="77777777" w:rsidR="00EF53B3" w:rsidRPr="002F2FDF" w:rsidRDefault="00EF53B3" w:rsidP="0083075A">
      <w:pPr>
        <w:pStyle w:val="ae"/>
        <w:spacing w:before="0" w:after="0"/>
        <w:jc w:val="both"/>
        <w:rPr>
          <w:color w:val="000000" w:themeColor="text1"/>
          <w:kern w:val="2"/>
          <w:sz w:val="16"/>
          <w:szCs w:val="16"/>
        </w:rPr>
      </w:pPr>
      <w:r w:rsidRPr="002F2FDF">
        <w:rPr>
          <w:color w:val="000000" w:themeColor="text1"/>
          <w:kern w:val="2"/>
          <w:sz w:val="16"/>
          <w:szCs w:val="16"/>
        </w:rPr>
        <w:t>23 декабря 1917 (5 января 1918) года территория Эстонии (тогда еще Эстляндской губернии) была расширена за счет передачи в ее состав города Нарва, до этого относившегося к Петроградской губернии. Это решение было принято по итогам референдума среди местных жителей, проведенного еще в декабре 1917 года (17045).</w:t>
      </w:r>
    </w:p>
    <w:p w14:paraId="5CFACFD0" w14:textId="77777777" w:rsidR="00EF53B3" w:rsidRPr="002F2FDF" w:rsidRDefault="00EF53B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0345D1" w14:textId="77777777" w:rsidR="00324D59" w:rsidRPr="002F2FDF" w:rsidRDefault="00324D59"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декабря 1917 (5 января 1918) г. вышло Постановление ВЦИК «О признании контрреволюционным действием всех попыток присвоить себе функции государственной власти» (17460)</w:t>
      </w:r>
    </w:p>
    <w:p w14:paraId="219A3054" w14:textId="77777777" w:rsidR="00324D59" w:rsidRPr="002F2FDF" w:rsidRDefault="00324D59" w:rsidP="0083075A">
      <w:pPr>
        <w:spacing w:after="0" w:line="240" w:lineRule="auto"/>
        <w:jc w:val="both"/>
        <w:rPr>
          <w:rFonts w:ascii="Times New Roman" w:hAnsi="Times New Roman" w:cs="Times New Roman"/>
          <w:color w:val="000000" w:themeColor="text1"/>
          <w:kern w:val="2"/>
          <w:sz w:val="16"/>
          <w:szCs w:val="16"/>
        </w:rPr>
      </w:pPr>
    </w:p>
    <w:p w14:paraId="333CD25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F5E4C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B989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декабря 1917 (5 января 1918</w:t>
      </w:r>
      <w:r w:rsidR="00631AD8"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rPr>
        <w:t xml:space="preserve"> года, вследствие умышленного поджога, в Альгорне были уничтожены 4 эллинга с шестью находящимися в них цеппелинами новейшей постройки. В 1917 году, когда армия ликвидировала сухопутное управляемое воздухоплавание, часть принадлежащих ей баз, как, например, в Виттмундсгафене (2 больших сдвоенных эллинга) и Вильдесгаузене (1 большой эллинг), построенных у Северного моря, перешли флоту (11324).</w:t>
      </w:r>
    </w:p>
    <w:p w14:paraId="2BE71F7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AEC3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23 декабря </w:t>
      </w:r>
      <w:r w:rsidR="00631AD8" w:rsidRPr="002F2FDF">
        <w:rPr>
          <w:rFonts w:ascii="Times New Roman" w:hAnsi="Times New Roman" w:cs="Times New Roman"/>
          <w:color w:val="000000" w:themeColor="text1"/>
          <w:kern w:val="2"/>
          <w:sz w:val="16"/>
          <w:szCs w:val="16"/>
        </w:rPr>
        <w:t xml:space="preserve">1917 </w:t>
      </w:r>
      <w:r w:rsidRPr="002F2FDF">
        <w:rPr>
          <w:rFonts w:ascii="Times New Roman" w:hAnsi="Times New Roman" w:cs="Times New Roman"/>
          <w:color w:val="000000" w:themeColor="text1"/>
          <w:kern w:val="2"/>
          <w:sz w:val="16"/>
          <w:szCs w:val="16"/>
        </w:rPr>
        <w:t>(5 января 1918</w:t>
      </w:r>
      <w:r w:rsidR="00631AD8"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rPr>
        <w:t xml:space="preserve"> во время ремонта цеппелина L-51 в эллинге на базе Альхорн возник пожар, в результате которого дирижабль взорвался, уничтожив при этом находившийся там и L-47. Этим же взрывом в соседних эллингах уничтожило другие цеппелины: L-46, L-58 и новенький SL-20 объемом 56 000 куб. м. Еще несколько морских дирижаблей были серьезно повреждены. [228] Недостаток многих видов сырья затруднял ремонт старых и изготовление новых цеппелинов, а отсутствие топлива — выучку новых экипажей и командиров. Но несмотря на это, морское воздухоплавание, ведомое Петером Штрассером, продолжало сражаться. Патрулирование Северного моря, как и налеты на Англию, также продолжалось. Правда, интенсивность налётов упала. Штрассер просто фанатически верил в боевые возможности цеппелинов. В то время когда флотилия несла одну потерю за другой, все свои надежды отважный воздухоплаватель связывал с цеппелинами новой серии “х”, которые и появились благодаря его стараниям. LZ-112 был первым дирижаблем этого типа. В июле 1918 года его передали флоту, где он получил обозначение L-70. Однотипными ему кораблями являлись L-71 и L-72. Это были самые совершенные для своего времени образцы воздухоплавательной техники, длиной 211,5 м и объемом 62 200 куб. м. L-70 оснащались семью моторами “Майбах” Mb.IVa; по одному в передней гондоле и в четырех боковых мотогондолах и два в задней гондоле. Испытания L-70 продемонстрировали прекрасные характеристики нового дирижабля; статический потолок достигал 6600 м, динамический — 7000 м, скорость 131,3 км/ч. Полезная грузоподъемность, равная 39 200 кг, позволяла взять на борт при налете на Англию 3650 кг бомбовой нагрузки. Еще раньше на цеппелины снова стали устанавливать оборонительное вооружение, но число пулеметов было меньшим. Теперь же избыток грузоподъемности позволил разместить на дирижабле две 20-мм пушки “Беккер” (11324).</w:t>
      </w:r>
    </w:p>
    <w:p w14:paraId="37A19D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7E5111" w14:textId="77777777" w:rsidR="00FE0F9B" w:rsidRPr="002F2FDF" w:rsidRDefault="00FE0F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23 декабря 1917 (5 января 1918) серия быстрых взрывов и быстро распространяющихся пожаров на базе дирижаблей Императорского флота Германии в Тондерне уничтожает четыре ангара и пять дирижаблей за пять минут, убивая четырех гражданских рабочих и 10 военно-морских сил и ранив 134 солдат военно-морских сил (20343).</w:t>
      </w:r>
    </w:p>
    <w:p w14:paraId="49F8D6FC" w14:textId="77777777" w:rsidR="00FE0F9B" w:rsidRPr="002F2FDF" w:rsidRDefault="00FE0F9B" w:rsidP="0083075A">
      <w:pPr>
        <w:spacing w:after="0" w:line="240" w:lineRule="auto"/>
        <w:jc w:val="both"/>
        <w:rPr>
          <w:rFonts w:ascii="Times New Roman" w:hAnsi="Times New Roman" w:cs="Times New Roman"/>
          <w:color w:val="000000" w:themeColor="text1"/>
          <w:sz w:val="16"/>
          <w:szCs w:val="16"/>
        </w:rPr>
      </w:pPr>
    </w:p>
    <w:p w14:paraId="4E2D84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декабря 1917 (5 января 1918) началась массовая антивоенная стачка в Германии и Австро-Венгрии, в которой приняло участие более 1 млн. чел. (3186).</w:t>
      </w:r>
    </w:p>
    <w:p w14:paraId="433759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67C9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декабря 1917 (5 января 1918) Лондон. Выступление премьер-министра Д.Ллойд-Джорджа перед представителями тред-юнионов с декларацией о целях британского правительства в текущей войн, в котором в частности поставлены задачи: Восстановление независимости Польши и предоставление автономии славянскому населению Австро-Венгрии и России (7451).</w:t>
      </w:r>
    </w:p>
    <w:p w14:paraId="51A88C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17AD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декабря 1917 (5 января 1918) в США президент В.Вильсон огласил мирную программу из 14 пунктов (3186).</w:t>
      </w:r>
    </w:p>
    <w:p w14:paraId="09552B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493FC1" w14:textId="4F7B19FD" w:rsidR="00FE0F9B" w:rsidRPr="002F2FDF" w:rsidRDefault="00FE0F9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bookmarkStart w:id="417" w:name="_Hlk93569374"/>
      <w:r w:rsidRPr="002F2FDF">
        <w:rPr>
          <w:rFonts w:ascii="Times New Roman" w:hAnsi="Times New Roman" w:cs="Times New Roman"/>
          <w:i/>
          <w:iCs/>
          <w:color w:val="000000" w:themeColor="text1"/>
          <w:kern w:val="2"/>
          <w:sz w:val="16"/>
          <w:szCs w:val="16"/>
        </w:rPr>
        <w:t>Авиапромышленность:</w:t>
      </w:r>
    </w:p>
    <w:p w14:paraId="531FA043" w14:textId="77777777" w:rsidR="00FE0F9B" w:rsidRPr="002F2FDF" w:rsidRDefault="00FE0F9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FD156C" w14:textId="77777777" w:rsidR="00FE0F9B" w:rsidRPr="002F2FDF" w:rsidRDefault="00FE0F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24 декабря 1917 года  (6 января 1918) состоялось последнее заседание правления АО «ДЕКА», на котором общество было распущено. В создавшейся обстановке для прекращения разворовывания завода и саботажа выполнения военных заказов на заводе был введен рабочий контроль, а 20 января 1918 года был издан Декрет Совета Народных Комиссаров о переходе завода «ДЕКА» г. Александровск в распоряжение трудового коллектива. Среди подписавших этот исторический документ был и В.И. Ленин (22898).</w:t>
      </w:r>
    </w:p>
    <w:p w14:paraId="432BC798" w14:textId="77777777" w:rsidR="00FE0F9B" w:rsidRPr="002F2FDF" w:rsidRDefault="00FE0F9B" w:rsidP="0083075A">
      <w:pPr>
        <w:spacing w:after="0" w:line="240" w:lineRule="auto"/>
        <w:jc w:val="both"/>
        <w:rPr>
          <w:rFonts w:ascii="Times New Roman" w:hAnsi="Times New Roman" w:cs="Times New Roman"/>
          <w:color w:val="000000" w:themeColor="text1"/>
          <w:sz w:val="16"/>
          <w:szCs w:val="16"/>
        </w:rPr>
      </w:pPr>
    </w:p>
    <w:bookmarkEnd w:id="417"/>
    <w:p w14:paraId="2366241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082FF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80D7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декабря 1917 (6 января 1918) в Харькове был создан штаб революционных частей Южного фронта для борьбы с контрреволюцией под командованием Антонова. муравьев стал нач. штаба (2239).</w:t>
      </w:r>
    </w:p>
    <w:p w14:paraId="55D5EB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C525CC" w14:textId="77777777" w:rsidR="00D771A4"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r w:rsidR="00D771A4" w:rsidRPr="002F2FDF">
        <w:rPr>
          <w:rFonts w:ascii="Times New Roman" w:hAnsi="Times New Roman" w:cs="Times New Roman"/>
          <w:iCs/>
          <w:color w:val="000000" w:themeColor="text1"/>
          <w:kern w:val="2"/>
          <w:sz w:val="16"/>
          <w:szCs w:val="16"/>
        </w:rPr>
        <w:t>:</w:t>
      </w:r>
    </w:p>
    <w:p w14:paraId="4847A74D" w14:textId="77777777" w:rsidR="00D771A4" w:rsidRPr="002F2FDF" w:rsidRDefault="00D771A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EA048B" w14:textId="2025D961" w:rsidR="00EF53B3" w:rsidRPr="002F2FDF" w:rsidRDefault="00EF53B3" w:rsidP="0083075A">
      <w:pPr>
        <w:pStyle w:val="ae"/>
        <w:spacing w:before="0" w:after="0"/>
        <w:jc w:val="both"/>
        <w:rPr>
          <w:color w:val="000000" w:themeColor="text1"/>
          <w:kern w:val="2"/>
          <w:sz w:val="16"/>
          <w:szCs w:val="16"/>
        </w:rPr>
      </w:pPr>
      <w:r w:rsidRPr="002F2FDF">
        <w:rPr>
          <w:color w:val="000000" w:themeColor="text1"/>
          <w:kern w:val="2"/>
          <w:sz w:val="16"/>
          <w:szCs w:val="16"/>
        </w:rPr>
        <w:t>24 декабря 1917 (6 января 1918) в городе Валка (на севере нынешней Латвии) исполнительный комитет Совета рабочих, солдатских и безземельных депутатов Латвии (Исколат) принял декларацию о самоопределении Латвии в составе Советской России. Новая автономия получила название «Республика Исколата» и</w:t>
      </w:r>
      <w:r w:rsidR="00E52569">
        <w:rPr>
          <w:color w:val="000000" w:themeColor="text1"/>
          <w:kern w:val="2"/>
          <w:sz w:val="16"/>
          <w:szCs w:val="16"/>
        </w:rPr>
        <w:t xml:space="preserve"> </w:t>
      </w:r>
      <w:r w:rsidRPr="002F2FDF">
        <w:rPr>
          <w:color w:val="000000" w:themeColor="text1"/>
          <w:kern w:val="2"/>
          <w:sz w:val="16"/>
          <w:szCs w:val="16"/>
        </w:rPr>
        <w:t xml:space="preserve"> контролировала лишь северо-восточную часть Латвии, еще не оккупированную немцами. </w:t>
      </w:r>
      <w:r w:rsidR="00E52569">
        <w:rPr>
          <w:color w:val="000000" w:themeColor="text1"/>
          <w:kern w:val="2"/>
          <w:sz w:val="16"/>
          <w:szCs w:val="16"/>
        </w:rPr>
        <w:t xml:space="preserve"> </w:t>
      </w:r>
      <w:r w:rsidRPr="002F2FDF">
        <w:rPr>
          <w:color w:val="000000" w:themeColor="text1"/>
          <w:kern w:val="2"/>
          <w:sz w:val="16"/>
          <w:szCs w:val="16"/>
        </w:rPr>
        <w:t>Председателем правительства Исколаты стал латышский революционер,</w:t>
      </w:r>
      <w:r w:rsidR="00E52569">
        <w:rPr>
          <w:color w:val="000000" w:themeColor="text1"/>
          <w:kern w:val="2"/>
          <w:sz w:val="16"/>
          <w:szCs w:val="16"/>
        </w:rPr>
        <w:t xml:space="preserve"> </w:t>
      </w:r>
      <w:r w:rsidRPr="002F2FDF">
        <w:rPr>
          <w:color w:val="000000" w:themeColor="text1"/>
          <w:kern w:val="2"/>
          <w:sz w:val="16"/>
          <w:szCs w:val="16"/>
        </w:rPr>
        <w:t>марксист Фрицис Розиньш (17045).</w:t>
      </w:r>
    </w:p>
    <w:p w14:paraId="4FBD44F4" w14:textId="77777777" w:rsidR="00EF53B3" w:rsidRPr="002F2FDF" w:rsidRDefault="00EF53B3" w:rsidP="0083075A">
      <w:pPr>
        <w:spacing w:after="0" w:line="240" w:lineRule="auto"/>
        <w:jc w:val="both"/>
        <w:rPr>
          <w:rFonts w:ascii="Times New Roman" w:hAnsi="Times New Roman" w:cs="Times New Roman"/>
          <w:color w:val="000000" w:themeColor="text1"/>
          <w:kern w:val="2"/>
          <w:sz w:val="16"/>
          <w:szCs w:val="16"/>
        </w:rPr>
      </w:pPr>
    </w:p>
    <w:p w14:paraId="2B0B133E" w14:textId="77777777" w:rsidR="00D771A4" w:rsidRPr="002F2FDF" w:rsidRDefault="00D771A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декабря 1917 (6 января 1918) в Харькове прошел первый съезд советов, провозгласивший Украину советской республикой и федеративные отношения с РСФСР. А в Киеве - Рада. Как говорил Дорошенко: "Во всех крупных центрах власть правительства Центральной рады существовала к концу года лишь номинально. В Киеве это сознавали, но ничего уже поделать не могли" (12629).</w:t>
      </w:r>
    </w:p>
    <w:p w14:paraId="62EDF9C1" w14:textId="77777777" w:rsidR="00D771A4" w:rsidRPr="002F2FDF" w:rsidRDefault="00D771A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933ED9" w14:textId="77777777" w:rsidR="00067426" w:rsidRPr="002F2FDF" w:rsidRDefault="0006742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24 декабря 1917 (6 января 1918) вышел в свет первый номер сатирического журнала "Соловей". Участие в нем приняли В. Маяковский, Д. Бедный и Л. Котомка. Издание прекратилось на втором номере в феврале 1918 г. (18685).</w:t>
      </w:r>
    </w:p>
    <w:p w14:paraId="51DEED96" w14:textId="77777777" w:rsidR="00067426" w:rsidRPr="002F2FDF" w:rsidRDefault="00067426" w:rsidP="0083075A">
      <w:pPr>
        <w:spacing w:after="0" w:line="240" w:lineRule="auto"/>
        <w:jc w:val="both"/>
        <w:rPr>
          <w:rFonts w:ascii="Times New Roman" w:hAnsi="Times New Roman" w:cs="Times New Roman"/>
          <w:color w:val="000000" w:themeColor="text1"/>
          <w:sz w:val="16"/>
          <w:szCs w:val="16"/>
        </w:rPr>
      </w:pPr>
    </w:p>
    <w:p w14:paraId="704D7CC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7B84C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6B5B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декабря 1917 (6 января 1918) Берлин. Начало всеобщей забастовки в столице (7449).</w:t>
      </w:r>
    </w:p>
    <w:p w14:paraId="459250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1512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декабря 1917 (6 января 1918) Германия признала независимость Финляндии (2100).</w:t>
      </w:r>
    </w:p>
    <w:p w14:paraId="58646F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1365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декабря 1917 (6 января 1918) Генеральный сейм чешских имперских и земских депутатов принял в Праге декларацию, требовавшую самоопределения для чешского и словацкого народов (3186).</w:t>
      </w:r>
    </w:p>
    <w:p w14:paraId="232486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4A293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771CB9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F670F8" w14:textId="77777777" w:rsidR="00EF53B3" w:rsidRPr="002F2FDF" w:rsidRDefault="00EF53B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декабря 1917 (7 января 1918) немцы перебросили 75 тыс. солдат с восточного на западный фронт (2100).</w:t>
      </w:r>
    </w:p>
    <w:p w14:paraId="40588F12" w14:textId="77777777" w:rsidR="00EF53B3" w:rsidRPr="002F2FDF" w:rsidRDefault="00EF53B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7569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декабря 1917 (7 января 1918) началось наступление советских войск против Каледина (3908,273).</w:t>
      </w:r>
    </w:p>
    <w:p w14:paraId="534EC4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CE5383" w14:textId="77777777" w:rsidR="00EF53B3" w:rsidRPr="002F2FDF" w:rsidRDefault="00EF53B3" w:rsidP="0083075A">
      <w:pPr>
        <w:pStyle w:val="ae"/>
        <w:spacing w:before="0" w:after="0"/>
        <w:jc w:val="both"/>
        <w:rPr>
          <w:color w:val="000000" w:themeColor="text1"/>
          <w:kern w:val="2"/>
          <w:sz w:val="16"/>
          <w:szCs w:val="16"/>
        </w:rPr>
      </w:pPr>
      <w:r w:rsidRPr="002F2FDF">
        <w:rPr>
          <w:color w:val="000000" w:themeColor="text1"/>
          <w:kern w:val="2"/>
          <w:sz w:val="16"/>
          <w:szCs w:val="16"/>
        </w:rPr>
        <w:t>К 25 декабря 1917 (7 января 1918) большевики также заняли город Ровно на западе Украины, где арестовали местную раду. В первую неделю января бои с применением артиллерии шли между красногвардейцами и частями Украинской центральной рады за Николаев и Екатеринослав (ныне Днепропетровск). Войска Рады, в свою очередь, выдвинулись в сторону Харькова (17045).</w:t>
      </w:r>
    </w:p>
    <w:p w14:paraId="79667445" w14:textId="77777777" w:rsidR="00EF53B3" w:rsidRPr="002F2FDF" w:rsidRDefault="00EF53B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8777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декабря 1917 (7 января 1918) Л.Г.Корнилов был назначен главнокомандующим Добровольческой армией (3481).</w:t>
      </w:r>
    </w:p>
    <w:p w14:paraId="69F87E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231A95" w14:textId="77777777" w:rsidR="00EF53B3" w:rsidRPr="002F2FDF" w:rsidRDefault="00EF53B3" w:rsidP="0083075A">
      <w:pPr>
        <w:pStyle w:val="ae"/>
        <w:spacing w:before="0" w:after="0"/>
        <w:jc w:val="both"/>
        <w:rPr>
          <w:color w:val="000000" w:themeColor="text1"/>
          <w:kern w:val="2"/>
          <w:sz w:val="16"/>
          <w:szCs w:val="16"/>
        </w:rPr>
      </w:pPr>
      <w:r w:rsidRPr="002F2FDF">
        <w:rPr>
          <w:color w:val="000000" w:themeColor="text1"/>
          <w:kern w:val="2"/>
          <w:sz w:val="16"/>
          <w:szCs w:val="16"/>
        </w:rPr>
        <w:t>25 декабря 1917 (7 января 1918) формируемая на Дону, в Новочеркасске, генералами Михаилом Алексеевым и Лавром Корниловым антибольшевистская «Алексеевская организация» была переименована в «Добровольческую армию». Это было первое крупное белогвардейское военное соединение, насчитывавшее к середине января уже более 5 тысяч добровольцев, как из числа пробиравшихся на Дон офицеров и юнкеров, так и из числа местных казаков. В этот же день Корнилов был назначен официальным главнокомандующим армии.</w:t>
      </w:r>
    </w:p>
    <w:p w14:paraId="46BFC4FC" w14:textId="1499A564" w:rsidR="00EF53B3" w:rsidRPr="002F2FDF" w:rsidRDefault="00EF53B3" w:rsidP="0083075A">
      <w:pPr>
        <w:pStyle w:val="ae"/>
        <w:spacing w:before="0" w:after="0"/>
        <w:jc w:val="both"/>
        <w:rPr>
          <w:color w:val="000000" w:themeColor="text1"/>
          <w:kern w:val="2"/>
          <w:sz w:val="16"/>
          <w:szCs w:val="16"/>
        </w:rPr>
      </w:pPr>
      <w:r w:rsidRPr="002F2FDF">
        <w:rPr>
          <w:color w:val="000000" w:themeColor="text1"/>
          <w:kern w:val="2"/>
          <w:sz w:val="16"/>
          <w:szCs w:val="16"/>
        </w:rPr>
        <w:t>В эти же дни части красногвардейцев начали наступление на Дон со стороны Харькова, находившегося в руках большевиков. Еще в декабре для борьбы против украинской Центральной Рады и против донских казаков большевистский СНК в Петрограде создал Южный фронт по борьбе с контрреволюцией, который возглавил Владимир Антонов-Овсеенко — один из немногих лидеров большевиков с военным образованием. К 7 января отряды под его командованием почти беспрепятственно заняли Донбасс. Однако</w:t>
      </w:r>
      <w:r w:rsidR="00E52569">
        <w:rPr>
          <w:color w:val="000000" w:themeColor="text1"/>
          <w:kern w:val="2"/>
          <w:sz w:val="16"/>
          <w:szCs w:val="16"/>
        </w:rPr>
        <w:t xml:space="preserve"> </w:t>
      </w:r>
      <w:r w:rsidRPr="002F2FDF">
        <w:rPr>
          <w:color w:val="000000" w:themeColor="text1"/>
          <w:kern w:val="2"/>
          <w:sz w:val="16"/>
          <w:szCs w:val="16"/>
        </w:rPr>
        <w:t>дальнейшее наступление уже натолкнулось на сопротивление и замедлилось (17045).</w:t>
      </w:r>
    </w:p>
    <w:p w14:paraId="45F4BEF4" w14:textId="77777777" w:rsidR="00EF53B3" w:rsidRPr="002F2FDF" w:rsidRDefault="00EF53B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4E747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1D649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CE98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декабря 1917 (7 января 1918) вышел декрет ВЦИК о роспуске Учредительного собрания (3481).</w:t>
      </w:r>
    </w:p>
    <w:p w14:paraId="04C320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CC36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декабря 1917 г. (7 января 1918) В структуре НКЮ создается Тюремное управление, преобразованное в январе 1918 г. в Тюремную коллегию (10303).</w:t>
      </w:r>
    </w:p>
    <w:p w14:paraId="515A44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12BC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25 декабря 1917 (7 января 1918) года высшим государственным органом руководства здравоохранением в стране стал Совет врачебных коллегий под председательством Винокурова А.Н. (9090).</w:t>
      </w:r>
    </w:p>
    <w:p w14:paraId="5CD429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45DD10"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декабря 1917 (7 января 1918) по приказу Центральной Рады в Киеве зверски убит председатель военно-революционного комитета большевик Леонид Пятаков (4962).</w:t>
      </w:r>
    </w:p>
    <w:p w14:paraId="5D3E9DE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3D9B9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44879B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7658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декабря 1917 (7 января 1918) Берлин. Получена телеграмма Центрального Совета Восточного фронта о необходимости восстановления дипломатических отношений с РСФСР и мирном урегулировании вопросов эвакуации германских войск из России. Рабочие отряды начали захват вокзалов, заняли редакцию и типографию газеты СДПГ "Форветс" (7446).</w:t>
      </w:r>
    </w:p>
    <w:p w14:paraId="542BFC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8D8C78" w14:textId="77777777" w:rsidR="00FE0F9B" w:rsidRPr="002F2FDF" w:rsidRDefault="00FE0F9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85293EA" w14:textId="77777777" w:rsidR="00FE0F9B" w:rsidRPr="002F2FDF" w:rsidRDefault="00FE0F9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E54D11" w14:textId="77777777" w:rsidR="00FE0F9B" w:rsidRPr="002F2FDF" w:rsidRDefault="00FE0F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25 декабря 1917 (7 января 1918) после того, как британская армия отказывается от политики неразглашения имен успешных пилотов Королевского летного корпуса до их гибели, Daily Mail публикует «Наши замечательные летчики - наконец их имена», первую статью в британской прессе, в которой говорится о живых пилотах RFC по именам. В статье рассматриваются подвиги капитанов Филипа Фуллера и Джеймса МакКуддена (20343).</w:t>
      </w:r>
    </w:p>
    <w:p w14:paraId="2ECA4398" w14:textId="77777777" w:rsidR="00FE0F9B" w:rsidRPr="002F2FDF" w:rsidRDefault="00FE0F9B" w:rsidP="0083075A">
      <w:pPr>
        <w:spacing w:after="0" w:line="240" w:lineRule="auto"/>
        <w:jc w:val="both"/>
        <w:rPr>
          <w:rFonts w:ascii="Times New Roman" w:hAnsi="Times New Roman" w:cs="Times New Roman"/>
          <w:color w:val="000000" w:themeColor="text1"/>
          <w:sz w:val="16"/>
          <w:szCs w:val="16"/>
        </w:rPr>
      </w:pPr>
    </w:p>
    <w:p w14:paraId="368F550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33BE3C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20C245"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26 декабря 1917 г. </w:t>
      </w:r>
      <w:r w:rsidR="009556D7" w:rsidRPr="002F2FDF">
        <w:rPr>
          <w:rFonts w:ascii="Times New Roman" w:hAnsi="Times New Roman" w:cs="Times New Roman"/>
          <w:color w:val="000000" w:themeColor="text1"/>
          <w:kern w:val="2"/>
          <w:sz w:val="16"/>
          <w:szCs w:val="16"/>
        </w:rPr>
        <w:t xml:space="preserve">(8 января 1918) </w:t>
      </w:r>
      <w:r w:rsidRPr="002F2FDF">
        <w:rPr>
          <w:rFonts w:ascii="Times New Roman" w:hAnsi="Times New Roman" w:cs="Times New Roman"/>
          <w:color w:val="000000" w:themeColor="text1"/>
          <w:kern w:val="2"/>
          <w:sz w:val="16"/>
          <w:szCs w:val="16"/>
        </w:rPr>
        <w:t xml:space="preserve">Обуховскому заводу Наркомзем выдал заказ на изготовление партии тракторов. В качестве прототипа был выбран хорошо известный, хотя и не самый современный «Холт» 75 </w:t>
      </w:r>
      <w:r w:rsidRPr="002F2FDF">
        <w:rPr>
          <w:rFonts w:ascii="Times New Roman" w:hAnsi="Times New Roman" w:cs="Times New Roman"/>
          <w:color w:val="000000" w:themeColor="text1"/>
          <w:kern w:val="2"/>
          <w:sz w:val="16"/>
          <w:szCs w:val="16"/>
          <w:lang w:val="en-US"/>
        </w:rPr>
        <w:t>HP</w:t>
      </w:r>
      <w:r w:rsidRPr="002F2FDF">
        <w:rPr>
          <w:rFonts w:ascii="Times New Roman" w:hAnsi="Times New Roman" w:cs="Times New Roman"/>
          <w:color w:val="000000" w:themeColor="text1"/>
          <w:kern w:val="2"/>
          <w:sz w:val="16"/>
          <w:szCs w:val="16"/>
        </w:rPr>
        <w:t xml:space="preserve"> (мощно</w:t>
      </w:r>
      <w:r w:rsidRPr="002F2FDF">
        <w:rPr>
          <w:rFonts w:ascii="Times New Roman" w:hAnsi="Times New Roman" w:cs="Times New Roman"/>
          <w:color w:val="000000" w:themeColor="text1"/>
          <w:kern w:val="2"/>
          <w:sz w:val="16"/>
          <w:szCs w:val="16"/>
        </w:rPr>
        <w:softHyphen/>
        <w:t>стью 75 л.е.). Однако решение о серийном выпуске было скорее номинальным, так как еще 22 декабря 1917 г. Обуховский завод остановился, а 28 января 1918 г. все рабо</w:t>
      </w:r>
      <w:r w:rsidRPr="002F2FDF">
        <w:rPr>
          <w:rFonts w:ascii="Times New Roman" w:hAnsi="Times New Roman" w:cs="Times New Roman"/>
          <w:color w:val="000000" w:themeColor="text1"/>
          <w:kern w:val="2"/>
          <w:sz w:val="16"/>
          <w:szCs w:val="16"/>
        </w:rPr>
        <w:softHyphen/>
        <w:t>чие (12 тысяч) были рассчитаны.</w:t>
      </w:r>
    </w:p>
    <w:p w14:paraId="17C98C0A"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Подобное положение сложилось и на других промышленных предприятиях Пет</w:t>
      </w:r>
      <w:r w:rsidRPr="002F2FDF">
        <w:rPr>
          <w:rFonts w:ascii="Times New Roman" w:hAnsi="Times New Roman" w:cs="Times New Roman"/>
          <w:color w:val="000000" w:themeColor="text1"/>
          <w:kern w:val="2"/>
          <w:sz w:val="16"/>
          <w:szCs w:val="16"/>
        </w:rPr>
        <w:softHyphen/>
        <w:t>рограда, пребывавших в глубоком кризи</w:t>
      </w:r>
      <w:r w:rsidRPr="002F2FDF">
        <w:rPr>
          <w:rFonts w:ascii="Times New Roman" w:hAnsi="Times New Roman" w:cs="Times New Roman"/>
          <w:color w:val="000000" w:themeColor="text1"/>
          <w:kern w:val="2"/>
          <w:sz w:val="16"/>
          <w:szCs w:val="16"/>
        </w:rPr>
        <w:softHyphen/>
        <w:t>се. Из-за германских успехов на фронте возникла угроза захвата города, и Времен</w:t>
      </w:r>
      <w:r w:rsidRPr="002F2FDF">
        <w:rPr>
          <w:rFonts w:ascii="Times New Roman" w:hAnsi="Times New Roman" w:cs="Times New Roman"/>
          <w:color w:val="000000" w:themeColor="text1"/>
          <w:kern w:val="2"/>
          <w:sz w:val="16"/>
          <w:szCs w:val="16"/>
        </w:rPr>
        <w:softHyphen/>
        <w:t>ное правительство в августе 1917 г. орга</w:t>
      </w:r>
      <w:r w:rsidRPr="002F2FDF">
        <w:rPr>
          <w:rFonts w:ascii="Times New Roman" w:hAnsi="Times New Roman" w:cs="Times New Roman"/>
          <w:color w:val="000000" w:themeColor="text1"/>
          <w:kern w:val="2"/>
          <w:sz w:val="16"/>
          <w:szCs w:val="16"/>
        </w:rPr>
        <w:softHyphen/>
        <w:t>низовало Комиссию по разгрузке Петрог</w:t>
      </w:r>
      <w:r w:rsidRPr="002F2FDF">
        <w:rPr>
          <w:rFonts w:ascii="Times New Roman" w:hAnsi="Times New Roman" w:cs="Times New Roman"/>
          <w:color w:val="000000" w:themeColor="text1"/>
          <w:kern w:val="2"/>
          <w:sz w:val="16"/>
          <w:szCs w:val="16"/>
        </w:rPr>
        <w:softHyphen/>
        <w:t xml:space="preserve">рада. После разгрома красных частей и их </w:t>
      </w:r>
      <w:r w:rsidRPr="002F2FDF">
        <w:rPr>
          <w:rFonts w:ascii="Times New Roman" w:hAnsi="Times New Roman" w:cs="Times New Roman"/>
          <w:color w:val="000000" w:themeColor="text1"/>
          <w:kern w:val="2"/>
          <w:sz w:val="16"/>
          <w:szCs w:val="16"/>
        </w:rPr>
        <w:lastRenderedPageBreak/>
        <w:t>отступления в феврале 1918 г. уже советс</w:t>
      </w:r>
      <w:r w:rsidRPr="002F2FDF">
        <w:rPr>
          <w:rFonts w:ascii="Times New Roman" w:hAnsi="Times New Roman" w:cs="Times New Roman"/>
          <w:color w:val="000000" w:themeColor="text1"/>
          <w:kern w:val="2"/>
          <w:sz w:val="16"/>
          <w:szCs w:val="16"/>
        </w:rPr>
        <w:softHyphen/>
        <w:t>кое правительство оказалось перед угро</w:t>
      </w:r>
      <w:r w:rsidRPr="002F2FDF">
        <w:rPr>
          <w:rFonts w:ascii="Times New Roman" w:hAnsi="Times New Roman" w:cs="Times New Roman"/>
          <w:color w:val="000000" w:themeColor="text1"/>
          <w:kern w:val="2"/>
          <w:sz w:val="16"/>
          <w:szCs w:val="16"/>
        </w:rPr>
        <w:softHyphen/>
        <w:t>зой оккупации Петрограда наступающими немецкими войсками. В этих условиях было принято решение об эвакуации предприя</w:t>
      </w:r>
      <w:r w:rsidRPr="002F2FDF">
        <w:rPr>
          <w:rFonts w:ascii="Times New Roman" w:hAnsi="Times New Roman" w:cs="Times New Roman"/>
          <w:color w:val="000000" w:themeColor="text1"/>
          <w:kern w:val="2"/>
          <w:sz w:val="16"/>
          <w:szCs w:val="16"/>
        </w:rPr>
        <w:softHyphen/>
        <w:t>тий и переносе столицы в Москву. 22 фев</w:t>
      </w:r>
      <w:r w:rsidRPr="002F2FDF">
        <w:rPr>
          <w:rFonts w:ascii="Times New Roman" w:hAnsi="Times New Roman" w:cs="Times New Roman"/>
          <w:color w:val="000000" w:themeColor="text1"/>
          <w:kern w:val="2"/>
          <w:sz w:val="16"/>
          <w:szCs w:val="16"/>
        </w:rPr>
        <w:softHyphen/>
        <w:t>раля была сформирована Чрезвычайная комиссия по эвакуации и разгрузке Петрог</w:t>
      </w:r>
      <w:r w:rsidRPr="002F2FDF">
        <w:rPr>
          <w:rFonts w:ascii="Times New Roman" w:hAnsi="Times New Roman" w:cs="Times New Roman"/>
          <w:color w:val="000000" w:themeColor="text1"/>
          <w:kern w:val="2"/>
          <w:sz w:val="16"/>
          <w:szCs w:val="16"/>
        </w:rPr>
        <w:softHyphen/>
        <w:t>рада, а 4 марта - Центроколлегия (ранее образованная Чрезвычайная комиссия вли</w:t>
      </w:r>
      <w:r w:rsidRPr="002F2FDF">
        <w:rPr>
          <w:rFonts w:ascii="Times New Roman" w:hAnsi="Times New Roman" w:cs="Times New Roman"/>
          <w:color w:val="000000" w:themeColor="text1"/>
          <w:kern w:val="2"/>
          <w:sz w:val="16"/>
          <w:szCs w:val="16"/>
        </w:rPr>
        <w:softHyphen/>
        <w:t>лась в состав Центроколлегии как один из отделов). В марте начался вывоз из Пет</w:t>
      </w:r>
      <w:r w:rsidRPr="002F2FDF">
        <w:rPr>
          <w:rFonts w:ascii="Times New Roman" w:hAnsi="Times New Roman" w:cs="Times New Roman"/>
          <w:color w:val="000000" w:themeColor="text1"/>
          <w:kern w:val="2"/>
          <w:sz w:val="16"/>
          <w:szCs w:val="16"/>
        </w:rPr>
        <w:softHyphen/>
        <w:t>рограда первых промышленных предпри</w:t>
      </w:r>
      <w:r w:rsidRPr="002F2FDF">
        <w:rPr>
          <w:rFonts w:ascii="Times New Roman" w:hAnsi="Times New Roman" w:cs="Times New Roman"/>
          <w:color w:val="000000" w:themeColor="text1"/>
          <w:kern w:val="2"/>
          <w:sz w:val="16"/>
          <w:szCs w:val="16"/>
        </w:rPr>
        <w:softHyphen/>
        <w:t>ятий. Параллельно происходил перенос столицы. Транспортные перевозки ослож</w:t>
      </w:r>
      <w:r w:rsidRPr="002F2FDF">
        <w:rPr>
          <w:rFonts w:ascii="Times New Roman" w:hAnsi="Times New Roman" w:cs="Times New Roman"/>
          <w:color w:val="000000" w:themeColor="text1"/>
          <w:kern w:val="2"/>
          <w:sz w:val="16"/>
          <w:szCs w:val="16"/>
        </w:rPr>
        <w:softHyphen/>
        <w:t>нялись плохим состоянием подвижного состава железных дорог, хроническим не</w:t>
      </w:r>
      <w:r w:rsidRPr="002F2FDF">
        <w:rPr>
          <w:rFonts w:ascii="Times New Roman" w:hAnsi="Times New Roman" w:cs="Times New Roman"/>
          <w:color w:val="000000" w:themeColor="text1"/>
          <w:kern w:val="2"/>
          <w:sz w:val="16"/>
          <w:szCs w:val="16"/>
        </w:rPr>
        <w:softHyphen/>
        <w:t>достатком топлива и т.д. Производствен</w:t>
      </w:r>
      <w:r w:rsidRPr="002F2FDF">
        <w:rPr>
          <w:rFonts w:ascii="Times New Roman" w:hAnsi="Times New Roman" w:cs="Times New Roman"/>
          <w:color w:val="000000" w:themeColor="text1"/>
          <w:kern w:val="2"/>
          <w:sz w:val="16"/>
          <w:szCs w:val="16"/>
        </w:rPr>
        <w:softHyphen/>
        <w:t>ное оборудование прежде всего вывози</w:t>
      </w:r>
      <w:r w:rsidRPr="002F2FDF">
        <w:rPr>
          <w:rFonts w:ascii="Times New Roman" w:hAnsi="Times New Roman" w:cs="Times New Roman"/>
          <w:color w:val="000000" w:themeColor="text1"/>
          <w:kern w:val="2"/>
          <w:sz w:val="16"/>
          <w:szCs w:val="16"/>
        </w:rPr>
        <w:softHyphen/>
        <w:t>лось с крупных оборонных предприятий.</w:t>
      </w:r>
    </w:p>
    <w:p w14:paraId="2A0E0D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noProof/>
          <w:color w:val="000000" w:themeColor="text1"/>
          <w:kern w:val="2"/>
          <w:sz w:val="16"/>
          <w:szCs w:val="16"/>
        </w:rPr>
      </w:pPr>
      <w:r w:rsidRPr="002F2FDF">
        <w:rPr>
          <w:rFonts w:ascii="Times New Roman" w:hAnsi="Times New Roman" w:cs="Times New Roman"/>
          <w:noProof/>
          <w:color w:val="000000" w:themeColor="text1"/>
          <w:kern w:val="2"/>
          <w:sz w:val="16"/>
          <w:szCs w:val="16"/>
        </w:rPr>
        <w:t>Ход и результаты эвакуации оценивались весьма скептически. Так, в 1925 г. в письме к председателю РВСР М.В. Фрунзе Управ</w:t>
      </w:r>
      <w:r w:rsidRPr="002F2FDF">
        <w:rPr>
          <w:rFonts w:ascii="Times New Roman" w:hAnsi="Times New Roman" w:cs="Times New Roman"/>
          <w:noProof/>
          <w:color w:val="000000" w:themeColor="text1"/>
          <w:kern w:val="2"/>
          <w:sz w:val="16"/>
          <w:szCs w:val="16"/>
        </w:rPr>
        <w:softHyphen/>
        <w:t>ление военной промышленности констати</w:t>
      </w:r>
      <w:r w:rsidRPr="002F2FDF">
        <w:rPr>
          <w:rFonts w:ascii="Times New Roman" w:hAnsi="Times New Roman" w:cs="Times New Roman"/>
          <w:noProof/>
          <w:color w:val="000000" w:themeColor="text1"/>
          <w:kern w:val="2"/>
          <w:sz w:val="16"/>
          <w:szCs w:val="16"/>
        </w:rPr>
        <w:softHyphen/>
        <w:t>ровало:«Процессрасстройства заводов был в значительной степени усилен эвакуацией ленинградских военных заводов, имевшей место в начале 1918 г. Эта эвакуация была проведена в спешном порядке при отсут</w:t>
      </w:r>
      <w:r w:rsidRPr="002F2FDF">
        <w:rPr>
          <w:rFonts w:ascii="Times New Roman" w:hAnsi="Times New Roman" w:cs="Times New Roman"/>
          <w:noProof/>
          <w:color w:val="000000" w:themeColor="text1"/>
          <w:kern w:val="2"/>
          <w:sz w:val="16"/>
          <w:szCs w:val="16"/>
        </w:rPr>
        <w:softHyphen/>
        <w:t>ствии заранее разработанного плана выво</w:t>
      </w:r>
      <w:r w:rsidRPr="002F2FDF">
        <w:rPr>
          <w:rFonts w:ascii="Times New Roman" w:hAnsi="Times New Roman" w:cs="Times New Roman"/>
          <w:noProof/>
          <w:color w:val="000000" w:themeColor="text1"/>
          <w:kern w:val="2"/>
          <w:sz w:val="16"/>
          <w:szCs w:val="16"/>
        </w:rPr>
        <w:softHyphen/>
        <w:t>за заводов, а также при отсутствии заранее выбранных пунктов для размещения эваку</w:t>
      </w:r>
      <w:r w:rsidRPr="002F2FDF">
        <w:rPr>
          <w:rFonts w:ascii="Times New Roman" w:hAnsi="Times New Roman" w:cs="Times New Roman"/>
          <w:noProof/>
          <w:color w:val="000000" w:themeColor="text1"/>
          <w:kern w:val="2"/>
          <w:sz w:val="16"/>
          <w:szCs w:val="16"/>
        </w:rPr>
        <w:softHyphen/>
        <w:t>ированных единиц. В результате крупнейшие военные заводы были вывезены из Ленинг</w:t>
      </w:r>
      <w:r w:rsidRPr="002F2FDF">
        <w:rPr>
          <w:rFonts w:ascii="Times New Roman" w:hAnsi="Times New Roman" w:cs="Times New Roman"/>
          <w:noProof/>
          <w:color w:val="000000" w:themeColor="text1"/>
          <w:kern w:val="2"/>
          <w:sz w:val="16"/>
          <w:szCs w:val="16"/>
        </w:rPr>
        <w:softHyphen/>
        <w:t>рада либо полностью (патронные и орудий</w:t>
      </w:r>
      <w:r w:rsidRPr="002F2FDF">
        <w:rPr>
          <w:rFonts w:ascii="Times New Roman" w:hAnsi="Times New Roman" w:cs="Times New Roman"/>
          <w:noProof/>
          <w:color w:val="000000" w:themeColor="text1"/>
          <w:kern w:val="2"/>
          <w:sz w:val="16"/>
          <w:szCs w:val="16"/>
        </w:rPr>
        <w:softHyphen/>
        <w:t>ные), либо частично (трубочный, Охтинский, Обуховский, Арсенал). При эвакуации часть оборудования погибла в пути, растерялась на железной дороге или утонула при водных перевозках. Другая часть осела в пунктах, которые нельзя было признать удобными для размещения крупных и важных производ</w:t>
      </w:r>
      <w:r w:rsidRPr="002F2FDF">
        <w:rPr>
          <w:rFonts w:ascii="Times New Roman" w:hAnsi="Times New Roman" w:cs="Times New Roman"/>
          <w:noProof/>
          <w:color w:val="000000" w:themeColor="text1"/>
          <w:kern w:val="2"/>
          <w:sz w:val="16"/>
          <w:szCs w:val="16"/>
        </w:rPr>
        <w:softHyphen/>
        <w:t>ственных единиц. В итоге производственная мощность отдельных групп заводов, в осо</w:t>
      </w:r>
      <w:r w:rsidRPr="002F2FDF">
        <w:rPr>
          <w:rFonts w:ascii="Times New Roman" w:hAnsi="Times New Roman" w:cs="Times New Roman"/>
          <w:noProof/>
          <w:color w:val="000000" w:themeColor="text1"/>
          <w:kern w:val="2"/>
          <w:sz w:val="16"/>
          <w:szCs w:val="16"/>
        </w:rPr>
        <w:softHyphen/>
        <w:t>бенности патронных и арсенальных, значи</w:t>
      </w:r>
      <w:r w:rsidRPr="002F2FDF">
        <w:rPr>
          <w:rFonts w:ascii="Times New Roman" w:hAnsi="Times New Roman" w:cs="Times New Roman"/>
          <w:noProof/>
          <w:color w:val="000000" w:themeColor="text1"/>
          <w:kern w:val="2"/>
          <w:sz w:val="16"/>
          <w:szCs w:val="16"/>
        </w:rPr>
        <w:softHyphen/>
        <w:t>тельно понизилась&gt;.</w:t>
      </w:r>
    </w:p>
    <w:p w14:paraId="781E9A13"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Недостаток сырья и материалов, квали</w:t>
      </w:r>
      <w:r w:rsidRPr="002F2FDF">
        <w:rPr>
          <w:rFonts w:ascii="Times New Roman" w:hAnsi="Times New Roman" w:cs="Times New Roman"/>
          <w:color w:val="000000" w:themeColor="text1"/>
          <w:kern w:val="2"/>
          <w:sz w:val="16"/>
          <w:szCs w:val="16"/>
        </w:rPr>
        <w:softHyphen/>
        <w:t>фицированных кадров, продовольствия и т.п. усложняли и без того труднейшее положе</w:t>
      </w:r>
      <w:r w:rsidRPr="002F2FDF">
        <w:rPr>
          <w:rFonts w:ascii="Times New Roman" w:hAnsi="Times New Roman" w:cs="Times New Roman"/>
          <w:color w:val="000000" w:themeColor="text1"/>
          <w:kern w:val="2"/>
          <w:sz w:val="16"/>
          <w:szCs w:val="16"/>
        </w:rPr>
        <w:softHyphen/>
        <w:t>ние промышленности. Оставшиеся в Петрог</w:t>
      </w:r>
      <w:r w:rsidRPr="002F2FDF">
        <w:rPr>
          <w:rFonts w:ascii="Times New Roman" w:hAnsi="Times New Roman" w:cs="Times New Roman"/>
          <w:color w:val="000000" w:themeColor="text1"/>
          <w:kern w:val="2"/>
          <w:sz w:val="16"/>
          <w:szCs w:val="16"/>
        </w:rPr>
        <w:softHyphen/>
        <w:t>раде предприятия испытывали жесточайший дефицит топлива и электроэнергии. Напри</w:t>
      </w:r>
      <w:r w:rsidRPr="002F2FDF">
        <w:rPr>
          <w:rFonts w:ascii="Times New Roman" w:hAnsi="Times New Roman" w:cs="Times New Roman"/>
          <w:color w:val="000000" w:themeColor="text1"/>
          <w:kern w:val="2"/>
          <w:sz w:val="16"/>
          <w:szCs w:val="16"/>
        </w:rPr>
        <w:softHyphen/>
        <w:t>мер, поданным Петроградского совнархоза на апрель 1918 г., три электрические город</w:t>
      </w:r>
      <w:r w:rsidRPr="002F2FDF">
        <w:rPr>
          <w:rFonts w:ascii="Times New Roman" w:hAnsi="Times New Roman" w:cs="Times New Roman"/>
          <w:color w:val="000000" w:themeColor="text1"/>
          <w:kern w:val="2"/>
          <w:sz w:val="16"/>
          <w:szCs w:val="16"/>
        </w:rPr>
        <w:softHyphen/>
        <w:t>ские станции развили мощность 113812 л.е., тогда как работавшая на оборону промыш- ËáÍÍÎÑÒÚ потребляла 230137 л .с., а вся про</w:t>
      </w:r>
      <w:r w:rsidRPr="002F2FDF">
        <w:rPr>
          <w:rFonts w:ascii="Times New Roman" w:hAnsi="Times New Roman" w:cs="Times New Roman"/>
          <w:color w:val="000000" w:themeColor="text1"/>
          <w:kern w:val="2"/>
          <w:sz w:val="16"/>
          <w:szCs w:val="16"/>
        </w:rPr>
        <w:softHyphen/>
        <w:t>мышленность города - 344508 л.е., т.е. элек</w:t>
      </w:r>
      <w:r w:rsidRPr="002F2FDF">
        <w:rPr>
          <w:rFonts w:ascii="Times New Roman" w:hAnsi="Times New Roman" w:cs="Times New Roman"/>
          <w:color w:val="000000" w:themeColor="text1"/>
          <w:kern w:val="2"/>
          <w:sz w:val="16"/>
          <w:szCs w:val="16"/>
        </w:rPr>
        <w:softHyphen/>
        <w:t>тростанции покрывали едва ли треть ее по</w:t>
      </w:r>
      <w:r w:rsidRPr="002F2FDF">
        <w:rPr>
          <w:rFonts w:ascii="Times New Roman" w:hAnsi="Times New Roman" w:cs="Times New Roman"/>
          <w:color w:val="000000" w:themeColor="text1"/>
          <w:kern w:val="2"/>
          <w:sz w:val="16"/>
          <w:szCs w:val="16"/>
        </w:rPr>
        <w:softHyphen/>
        <w:t>требностей в электроэнергии (11905).</w:t>
      </w:r>
    </w:p>
    <w:p w14:paraId="4909BE97"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E1921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09ADE0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2042B2" w14:textId="77777777" w:rsidR="00FE0F9B" w:rsidRPr="002F2FDF" w:rsidRDefault="00FE0F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26 декабря 1917 (8 января 1918) в Лубнах, находившихся под контролем властей Украинской Народной Республики, вспыхнуло большевистское восстание. Французским авиаторам под командованием Ж. Лякманна при</w:t>
      </w:r>
      <w:r w:rsidRPr="002F2FDF">
        <w:rPr>
          <w:rFonts w:ascii="Times New Roman" w:hAnsi="Times New Roman" w:cs="Times New Roman"/>
          <w:color w:val="000000" w:themeColor="text1"/>
          <w:sz w:val="16"/>
          <w:szCs w:val="16"/>
        </w:rPr>
        <w:softHyphen/>
        <w:t>шлось занять оборону и даже отстреливаться, но на этот раз все обошлось. Сидение в Лубнах продолжалось без какой-либо цели и без средств к существованию. Французы не получали жа</w:t>
      </w:r>
      <w:r w:rsidRPr="002F2FDF">
        <w:rPr>
          <w:rFonts w:ascii="Times New Roman" w:hAnsi="Times New Roman" w:cs="Times New Roman"/>
          <w:color w:val="000000" w:themeColor="text1"/>
          <w:sz w:val="16"/>
          <w:szCs w:val="16"/>
        </w:rPr>
        <w:softHyphen/>
        <w:t>лования с конца ноября 1917 г., и Лякманну пришлось продать несколько лошадей, дабы прокормить личный состав.</w:t>
      </w:r>
    </w:p>
    <w:p w14:paraId="14ABA718" w14:textId="77777777" w:rsidR="00FE0F9B" w:rsidRPr="002F2FDF" w:rsidRDefault="00FE0F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25 января 1918 г. в Лубны прибыли пять эшелонов с больше</w:t>
      </w:r>
      <w:r w:rsidRPr="002F2FDF">
        <w:rPr>
          <w:rFonts w:ascii="Times New Roman" w:hAnsi="Times New Roman" w:cs="Times New Roman"/>
          <w:color w:val="000000" w:themeColor="text1"/>
          <w:sz w:val="16"/>
          <w:szCs w:val="16"/>
        </w:rPr>
        <w:softHyphen/>
        <w:t>вистскими войсками под командованием Михаила Муравьева. Две с половиной тысячи солдат, матросов и красногвардейцев быстро стали хозяевами положения в городе, являвшимся про</w:t>
      </w:r>
      <w:r w:rsidRPr="002F2FDF">
        <w:rPr>
          <w:rFonts w:ascii="Times New Roman" w:hAnsi="Times New Roman" w:cs="Times New Roman"/>
          <w:color w:val="000000" w:themeColor="text1"/>
          <w:sz w:val="16"/>
          <w:szCs w:val="16"/>
        </w:rPr>
        <w:softHyphen/>
        <w:t>межуточным пунктом на их пути к Киеву. Лякманн с Кудоре пошли на переговоры с большевистским командованием и су</w:t>
      </w:r>
      <w:r w:rsidRPr="002F2FDF">
        <w:rPr>
          <w:rFonts w:ascii="Times New Roman" w:hAnsi="Times New Roman" w:cs="Times New Roman"/>
          <w:color w:val="000000" w:themeColor="text1"/>
          <w:sz w:val="16"/>
          <w:szCs w:val="16"/>
        </w:rPr>
        <w:softHyphen/>
        <w:t>мели убедить его в нейтралитете французов. Персоналу N 581 были выданы пропуска для перемещения по городу с правом ношения оружия. В тот же день (или на следующий) Лякманн решил отправить гонцов в Киев за жалованием. Выбор его оста</w:t>
      </w:r>
      <w:r w:rsidRPr="002F2FDF">
        <w:rPr>
          <w:rFonts w:ascii="Times New Roman" w:hAnsi="Times New Roman" w:cs="Times New Roman"/>
          <w:color w:val="000000" w:themeColor="text1"/>
          <w:sz w:val="16"/>
          <w:szCs w:val="16"/>
        </w:rPr>
        <w:softHyphen/>
        <w:t>новился на уже известном нам Л. Кудоре, вместе с которым по</w:t>
      </w:r>
      <w:r w:rsidRPr="002F2FDF">
        <w:rPr>
          <w:rFonts w:ascii="Times New Roman" w:hAnsi="Times New Roman" w:cs="Times New Roman"/>
          <w:color w:val="000000" w:themeColor="text1"/>
          <w:sz w:val="16"/>
          <w:szCs w:val="16"/>
        </w:rPr>
        <w:softHyphen/>
        <w:t>летел су-лейтенант Мурат (Murat). Французские источники го</w:t>
      </w:r>
      <w:r w:rsidRPr="002F2FDF">
        <w:rPr>
          <w:rFonts w:ascii="Times New Roman" w:hAnsi="Times New Roman" w:cs="Times New Roman"/>
          <w:color w:val="000000" w:themeColor="text1"/>
          <w:sz w:val="16"/>
          <w:szCs w:val="16"/>
        </w:rPr>
        <w:softHyphen/>
        <w:t>ворят, что полет происходил на «Ньюпоре», но вряд ли двое мужчин могли уместиться в этом самолете. Вероятно, в распо</w:t>
      </w:r>
      <w:r w:rsidRPr="002F2FDF">
        <w:rPr>
          <w:rFonts w:ascii="Times New Roman" w:hAnsi="Times New Roman" w:cs="Times New Roman"/>
          <w:color w:val="000000" w:themeColor="text1"/>
          <w:sz w:val="16"/>
          <w:szCs w:val="16"/>
        </w:rPr>
        <w:softHyphen/>
        <w:t>ряжении командира N 581 имелся, по крайней мере, один двух</w:t>
      </w:r>
      <w:r w:rsidRPr="002F2FDF">
        <w:rPr>
          <w:rFonts w:ascii="Times New Roman" w:hAnsi="Times New Roman" w:cs="Times New Roman"/>
          <w:color w:val="000000" w:themeColor="text1"/>
          <w:sz w:val="16"/>
          <w:szCs w:val="16"/>
        </w:rPr>
        <w:softHyphen/>
        <w:t>местный «Сопвич».</w:t>
      </w:r>
    </w:p>
    <w:p w14:paraId="18360416" w14:textId="77777777" w:rsidR="00FE0F9B" w:rsidRPr="002F2FDF" w:rsidRDefault="00FE0F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Когда о вылете стало известно Муравьеву, он буквально взбесился, считая, что французы полетели в Киев, дабы преду</w:t>
      </w:r>
      <w:r w:rsidRPr="002F2FDF">
        <w:rPr>
          <w:rFonts w:ascii="Times New Roman" w:hAnsi="Times New Roman" w:cs="Times New Roman"/>
          <w:color w:val="000000" w:themeColor="text1"/>
          <w:sz w:val="16"/>
          <w:szCs w:val="16"/>
        </w:rPr>
        <w:softHyphen/>
        <w:t>предить руководство УНР о приближении больше</w:t>
      </w:r>
      <w:r w:rsidRPr="002F2FDF">
        <w:rPr>
          <w:rFonts w:ascii="Times New Roman" w:hAnsi="Times New Roman" w:cs="Times New Roman"/>
          <w:color w:val="000000" w:themeColor="text1"/>
          <w:sz w:val="16"/>
          <w:szCs w:val="16"/>
        </w:rPr>
        <w:softHyphen/>
        <w:t>виков. Последовал приказ о разоружении францу</w:t>
      </w:r>
      <w:r w:rsidRPr="002F2FDF">
        <w:rPr>
          <w:rFonts w:ascii="Times New Roman" w:hAnsi="Times New Roman" w:cs="Times New Roman"/>
          <w:color w:val="000000" w:themeColor="text1"/>
          <w:sz w:val="16"/>
          <w:szCs w:val="16"/>
        </w:rPr>
        <w:softHyphen/>
        <w:t>зов. С самолетов сняли пулеметы «Виккерс» и «Льюис», а у военнослужащих изъяли личное оружие (карабины «Винчестер» и револьверы). Лякманн в паре с л-том Левембергом (Levemberg), знавшим русский язык, несколько часов вели переговоры. В конечном итоге им и на этот раз удалось убедить большевиков в отсутствии враждебных намерений. Французам даже вернули оружие — за исключением 46 револьверов, объявленных «украденными».</w:t>
      </w:r>
    </w:p>
    <w:p w14:paraId="6B477497" w14:textId="77777777" w:rsidR="00FE0F9B" w:rsidRPr="002F2FDF" w:rsidRDefault="00FE0F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Тем временем Кудоре и Мурату удалось совер</w:t>
      </w:r>
      <w:r w:rsidRPr="002F2FDF">
        <w:rPr>
          <w:rFonts w:ascii="Times New Roman" w:hAnsi="Times New Roman" w:cs="Times New Roman"/>
          <w:color w:val="000000" w:themeColor="text1"/>
          <w:sz w:val="16"/>
          <w:szCs w:val="16"/>
        </w:rPr>
        <w:softHyphen/>
        <w:t>шить невозможное. Приземлившись в 17 км от Кие</w:t>
      </w:r>
      <w:r w:rsidRPr="002F2FDF">
        <w:rPr>
          <w:rFonts w:ascii="Times New Roman" w:hAnsi="Times New Roman" w:cs="Times New Roman"/>
          <w:color w:val="000000" w:themeColor="text1"/>
          <w:sz w:val="16"/>
          <w:szCs w:val="16"/>
        </w:rPr>
        <w:softHyphen/>
        <w:t>ва, они на перекладных добрались до города, в ко</w:t>
      </w:r>
      <w:r w:rsidRPr="002F2FDF">
        <w:rPr>
          <w:rFonts w:ascii="Times New Roman" w:hAnsi="Times New Roman" w:cs="Times New Roman"/>
          <w:color w:val="000000" w:themeColor="text1"/>
          <w:sz w:val="16"/>
          <w:szCs w:val="16"/>
        </w:rPr>
        <w:softHyphen/>
        <w:t>тором шли бои между войсками Центральной Рады и большевистскими повстанцами. Оказалось, что, несмотря на хаос, казначейство исправно работало! Более того, предъявленные французами векселя были приняты к оплате и выдана необходимая сум</w:t>
      </w:r>
      <w:r w:rsidRPr="002F2FDF">
        <w:rPr>
          <w:rFonts w:ascii="Times New Roman" w:hAnsi="Times New Roman" w:cs="Times New Roman"/>
          <w:color w:val="000000" w:themeColor="text1"/>
          <w:sz w:val="16"/>
          <w:szCs w:val="16"/>
        </w:rPr>
        <w:softHyphen/>
        <w:t>ма наличных. Кудоре и Мурат сумели вернуться в Лубны, привезя столь необходимые деньги.</w:t>
      </w:r>
    </w:p>
    <w:p w14:paraId="2F50B254" w14:textId="77777777" w:rsidR="00FE0F9B" w:rsidRPr="002F2FDF" w:rsidRDefault="00FE0F9B"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Поскольку дальнейшее нахождение французов на территории Украины не имело смысла, француз</w:t>
      </w:r>
      <w:r w:rsidRPr="002F2FDF">
        <w:rPr>
          <w:rFonts w:ascii="Times New Roman" w:hAnsi="Times New Roman" w:cs="Times New Roman"/>
          <w:color w:val="000000" w:themeColor="text1"/>
          <w:sz w:val="16"/>
          <w:szCs w:val="16"/>
        </w:rPr>
        <w:softHyphen/>
        <w:t>ский комиссар при правительстве УНР генерал Жорж Табуи (Georges Tabouis) приказал отправить их в Москву для дальнейшей эвакуации на родину. Технику и имущество предписывалось передать Чехословацкому корпусу, а при невозможности — уничтожить. Один из «Сопвичей» в январе 1918 г. пе</w:t>
      </w:r>
      <w:r w:rsidRPr="002F2FDF">
        <w:rPr>
          <w:rFonts w:ascii="Times New Roman" w:hAnsi="Times New Roman" w:cs="Times New Roman"/>
          <w:color w:val="000000" w:themeColor="text1"/>
          <w:sz w:val="16"/>
          <w:szCs w:val="16"/>
        </w:rPr>
        <w:softHyphen/>
        <w:t>редали в Киеве авиации УНР. Эшелон с остальным имуществом через Полтаву, Харьков и Тулу 22 фев</w:t>
      </w:r>
      <w:r w:rsidRPr="002F2FDF">
        <w:rPr>
          <w:rFonts w:ascii="Times New Roman" w:hAnsi="Times New Roman" w:cs="Times New Roman"/>
          <w:color w:val="000000" w:themeColor="text1"/>
          <w:sz w:val="16"/>
          <w:szCs w:val="16"/>
        </w:rPr>
        <w:softHyphen/>
        <w:t>раля прибыл в Москву. Лякманну пришлось оставить в Лубнах лишь несколько грузовиков — для них не хватило платформ. А вот эскадрилья SOP 582 смогла эвакуировать из Симферополя только личный со</w:t>
      </w:r>
      <w:r w:rsidRPr="002F2FDF">
        <w:rPr>
          <w:rFonts w:ascii="Times New Roman" w:hAnsi="Times New Roman" w:cs="Times New Roman"/>
          <w:color w:val="000000" w:themeColor="text1"/>
          <w:sz w:val="16"/>
          <w:szCs w:val="16"/>
        </w:rPr>
        <w:softHyphen/>
        <w:t>став — всю технику и имущество пришлось бросить. 15 марта 1918 г. французы прибыли в Мурманск, от</w:t>
      </w:r>
      <w:r w:rsidRPr="002F2FDF">
        <w:rPr>
          <w:rFonts w:ascii="Times New Roman" w:hAnsi="Times New Roman" w:cs="Times New Roman"/>
          <w:color w:val="000000" w:themeColor="text1"/>
          <w:sz w:val="16"/>
          <w:szCs w:val="16"/>
        </w:rPr>
        <w:softHyphen/>
        <w:t>куда были эвакуированы на родину (22287)</w:t>
      </w:r>
    </w:p>
    <w:p w14:paraId="45D60287" w14:textId="77777777" w:rsidR="00FE0F9B" w:rsidRPr="002F2FDF" w:rsidRDefault="00FE0F9B" w:rsidP="0083075A">
      <w:pPr>
        <w:spacing w:after="0" w:line="240" w:lineRule="auto"/>
        <w:jc w:val="both"/>
        <w:rPr>
          <w:rFonts w:ascii="Times New Roman" w:hAnsi="Times New Roman" w:cs="Times New Roman"/>
          <w:color w:val="000000" w:themeColor="text1"/>
          <w:sz w:val="16"/>
          <w:szCs w:val="16"/>
        </w:rPr>
      </w:pPr>
    </w:p>
    <w:p w14:paraId="6E83F9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декабря 1917 (8 января 1918) в Петрограде состоялось заседание Всероссийского бюро фронтовых и тыловых военных организаций при ЦК РСДРП(б). Н.И. Подвойский в докладе указал, что за полтора месяца можно создать социалистическую армию в 300 тыс. штыков. Собрание утвердило состав штаба, образованного 23 декабря экстренным собранием Наркомвоена, Военной организации при ЦК партии и Главного штаба Красной гвардии Петрограда. Общее руководство созданием социалистической армии возложено на Народный комиссариат по военным делам в лице Н.И. Подвойского и К.А. Мехоношина и представителей Красной гвардии (4216).</w:t>
      </w:r>
    </w:p>
    <w:p w14:paraId="57FE7E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392B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декабря 1917 (8 января 1918) года Приказом Народного комиссара по военным делам Н.Подвойского №11 И.С.Плотников назначен Главным Комиссаром по делам военной цензуры и военного контроля (8983).</w:t>
      </w:r>
    </w:p>
    <w:p w14:paraId="014B74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B15D76" w14:textId="77777777" w:rsidR="00067426" w:rsidRPr="002F2FDF" w:rsidRDefault="0006742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D5B602C" w14:textId="77777777" w:rsidR="00067426" w:rsidRPr="002F2FDF" w:rsidRDefault="0006742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8530EE" w14:textId="77777777" w:rsidR="00067426" w:rsidRPr="002F2FDF" w:rsidRDefault="0006742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26 декабря 1917 (8 января 1918) в художественном салоне на Большой Дмитровке открылась выставка картин "Мир искусства" (18685).</w:t>
      </w:r>
    </w:p>
    <w:p w14:paraId="71B2F618" w14:textId="77777777" w:rsidR="00067426" w:rsidRPr="002F2FDF" w:rsidRDefault="00067426" w:rsidP="0083075A">
      <w:pPr>
        <w:spacing w:after="0" w:line="240" w:lineRule="auto"/>
        <w:jc w:val="both"/>
        <w:rPr>
          <w:rFonts w:ascii="Times New Roman" w:hAnsi="Times New Roman" w:cs="Times New Roman"/>
          <w:color w:val="000000" w:themeColor="text1"/>
          <w:sz w:val="16"/>
          <w:szCs w:val="16"/>
        </w:rPr>
      </w:pPr>
    </w:p>
    <w:p w14:paraId="7997FC8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6C023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2C6D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декабря 1917 (8 января 1918) п Вудро Вильсон в послании к Конгрессу США назвал 14 пунктов об условиях мира (2443,389), в т.ч. пункт: независимость Польши, включая территории по национальному признаку: со свободным выходом Польши к морям (7451).</w:t>
      </w:r>
    </w:p>
    <w:p w14:paraId="577CA1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3BFC57" w14:textId="33737D0B" w:rsidR="003E28E5" w:rsidRPr="002F2FDF" w:rsidRDefault="003E28E5" w:rsidP="0083075A">
      <w:pPr>
        <w:pStyle w:val="ae"/>
        <w:spacing w:before="0" w:after="0"/>
        <w:jc w:val="both"/>
        <w:rPr>
          <w:color w:val="000000" w:themeColor="text1"/>
          <w:kern w:val="2"/>
          <w:sz w:val="16"/>
          <w:szCs w:val="16"/>
        </w:rPr>
      </w:pPr>
      <w:r w:rsidRPr="002F2FDF">
        <w:rPr>
          <w:color w:val="000000" w:themeColor="text1"/>
          <w:kern w:val="2"/>
          <w:sz w:val="16"/>
          <w:szCs w:val="16"/>
        </w:rPr>
        <w:t>26 декабря 1917 (8 января 1918) президент США Вудро Вильсон представил Конгрессу свой проект договора, который мог бы оформить завершение мировой</w:t>
      </w:r>
      <w:r w:rsidR="00E52569">
        <w:rPr>
          <w:color w:val="000000" w:themeColor="text1"/>
          <w:kern w:val="2"/>
          <w:sz w:val="16"/>
          <w:szCs w:val="16"/>
        </w:rPr>
        <w:t xml:space="preserve"> </w:t>
      </w:r>
      <w:r w:rsidRPr="002F2FDF">
        <w:rPr>
          <w:color w:val="000000" w:themeColor="text1"/>
          <w:kern w:val="2"/>
          <w:sz w:val="16"/>
          <w:szCs w:val="16"/>
        </w:rPr>
        <w:t>войны. Этот план, вошедший в историю как «14 пунктов Вильсона», предусматривал открытость дипломатии, свободу судоходства и международной торговли, сокращение вооружений, приоритет прав местного населения в спорах о границах колоний, вывод немецких частей из оккупированных стран, включая часть России, восстановление независимости Польши, объединение Эльзаса и Лотарингии с Францией и населенных итальянцами австро-венгерских территорий — с Италией, освобождение народов Османской империи, создание международной организации, которая могла бы решать споры между странами, чтобы впредь дело не доходило до войн (будущая «Лига Наций») (17045).</w:t>
      </w:r>
      <w:r w:rsidR="00E52569">
        <w:rPr>
          <w:color w:val="000000" w:themeColor="text1"/>
          <w:kern w:val="2"/>
          <w:sz w:val="16"/>
          <w:szCs w:val="16"/>
        </w:rPr>
        <w:t xml:space="preserve"> </w:t>
      </w:r>
    </w:p>
    <w:p w14:paraId="0F4C766B" w14:textId="77777777" w:rsidR="003E28E5" w:rsidRPr="002F2FDF" w:rsidRDefault="003E28E5" w:rsidP="0083075A">
      <w:pPr>
        <w:pStyle w:val="ae"/>
        <w:spacing w:before="0" w:after="0"/>
        <w:jc w:val="both"/>
        <w:rPr>
          <w:color w:val="000000" w:themeColor="text1"/>
          <w:kern w:val="2"/>
          <w:sz w:val="16"/>
          <w:szCs w:val="16"/>
        </w:rPr>
      </w:pPr>
    </w:p>
    <w:p w14:paraId="03678E10" w14:textId="260BFED3" w:rsidR="0065055E" w:rsidRPr="002F2FDF" w:rsidRDefault="0065055E"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26 декабря 1917 (8</w:t>
      </w:r>
      <w:r w:rsidR="00E52569">
        <w:rPr>
          <w:rFonts w:ascii="Times New Roman" w:eastAsia="Times New Roman" w:hAnsi="Times New Roman" w:cs="Times New Roman"/>
          <w:color w:val="000000" w:themeColor="text1"/>
          <w:sz w:val="16"/>
          <w:szCs w:val="16"/>
          <w:lang w:eastAsia="ru-RU"/>
        </w:rPr>
        <w:t xml:space="preserve"> </w:t>
      </w:r>
      <w:r w:rsidRPr="002F2FDF">
        <w:rPr>
          <w:rFonts w:ascii="Times New Roman" w:eastAsia="Times New Roman" w:hAnsi="Times New Roman" w:cs="Times New Roman"/>
          <w:color w:val="000000" w:themeColor="text1"/>
          <w:sz w:val="16"/>
          <w:szCs w:val="16"/>
          <w:lang w:eastAsia="ru-RU"/>
        </w:rPr>
        <w:t>января) 1918</w:t>
      </w:r>
      <w:r w:rsidR="00E52569">
        <w:rPr>
          <w:rFonts w:ascii="Times New Roman" w:eastAsia="Times New Roman" w:hAnsi="Times New Roman" w:cs="Times New Roman"/>
          <w:color w:val="000000" w:themeColor="text1"/>
          <w:sz w:val="16"/>
          <w:szCs w:val="16"/>
          <w:lang w:eastAsia="ru-RU"/>
        </w:rPr>
        <w:t xml:space="preserve"> </w:t>
      </w:r>
      <w:r w:rsidRPr="002F2FDF">
        <w:rPr>
          <w:rFonts w:ascii="Times New Roman" w:eastAsia="Times New Roman" w:hAnsi="Times New Roman" w:cs="Times New Roman"/>
          <w:color w:val="000000" w:themeColor="text1"/>
          <w:sz w:val="16"/>
          <w:szCs w:val="16"/>
          <w:lang w:eastAsia="ru-RU"/>
        </w:rPr>
        <w:t>года в послании президента конгрессу были сформулированы условия мира с германским правительством («Четырнадцать пунктов»).</w:t>
      </w:r>
    </w:p>
    <w:p w14:paraId="36C1AF37" w14:textId="77777777" w:rsidR="0065055E" w:rsidRPr="002F2FDF" w:rsidRDefault="0065055E"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Пункт шестой выдвигал требования освобождения немецкими войсками всей русской территории и такое урегулирование «русского вопроса», которое гарантирует России «самое полное и свободное содействие со стороны других наций в деле получения… возможности принять независимое решение относительно ее собственного политического развития и ее национальной политики и обеспечение ей радушного приема в сообществе свободных наций при том образе правления, который она сама для себя изберет». Здесь у Вильсона голова болела напрасно: большевики уже избрали для России образ правления, и меньше всего их интересовало мнение «сообщества свободных наций». Однако территориальных претензий к Германии, за исключением возвращения Франции Эльзаса и Лотарингии и уступок в пользу возрождаемой Польши, в «Четырнадцати пунктах» не было (18268).</w:t>
      </w:r>
    </w:p>
    <w:p w14:paraId="3F6B9BAF" w14:textId="77777777" w:rsidR="0065055E" w:rsidRPr="002F2FDF" w:rsidRDefault="0065055E" w:rsidP="0083075A">
      <w:pPr>
        <w:spacing w:after="0" w:line="240" w:lineRule="auto"/>
        <w:jc w:val="both"/>
        <w:rPr>
          <w:rFonts w:ascii="Times New Roman" w:hAnsi="Times New Roman" w:cs="Times New Roman"/>
          <w:color w:val="000000" w:themeColor="text1"/>
          <w:sz w:val="16"/>
          <w:szCs w:val="16"/>
        </w:rPr>
      </w:pPr>
    </w:p>
    <w:p w14:paraId="1E406616" w14:textId="12325642" w:rsidR="003E28E5" w:rsidRPr="002F2FDF" w:rsidRDefault="003E28E5" w:rsidP="0083075A">
      <w:pPr>
        <w:pStyle w:val="ae"/>
        <w:spacing w:before="0" w:after="0"/>
        <w:jc w:val="both"/>
        <w:rPr>
          <w:color w:val="000000" w:themeColor="text1"/>
          <w:kern w:val="2"/>
          <w:sz w:val="16"/>
          <w:szCs w:val="16"/>
        </w:rPr>
      </w:pPr>
      <w:r w:rsidRPr="002F2FDF">
        <w:rPr>
          <w:color w:val="000000" w:themeColor="text1"/>
          <w:kern w:val="2"/>
          <w:sz w:val="16"/>
          <w:szCs w:val="16"/>
        </w:rPr>
        <w:t>26 декабря 1917 (8 января 1918) войска Румынии,</w:t>
      </w:r>
      <w:r w:rsidR="00E52569">
        <w:rPr>
          <w:color w:val="000000" w:themeColor="text1"/>
          <w:kern w:val="2"/>
          <w:sz w:val="16"/>
          <w:szCs w:val="16"/>
        </w:rPr>
        <w:t xml:space="preserve"> </w:t>
      </w:r>
      <w:r w:rsidRPr="002F2FDF">
        <w:rPr>
          <w:color w:val="000000" w:themeColor="text1"/>
          <w:kern w:val="2"/>
          <w:sz w:val="16"/>
          <w:szCs w:val="16"/>
        </w:rPr>
        <w:t>бывшей союзницы России,</w:t>
      </w:r>
      <w:r w:rsidR="00E52569">
        <w:rPr>
          <w:color w:val="000000" w:themeColor="text1"/>
          <w:kern w:val="2"/>
          <w:sz w:val="16"/>
          <w:szCs w:val="16"/>
        </w:rPr>
        <w:t xml:space="preserve"> </w:t>
      </w:r>
      <w:r w:rsidRPr="002F2FDF">
        <w:rPr>
          <w:color w:val="000000" w:themeColor="text1"/>
          <w:kern w:val="2"/>
          <w:sz w:val="16"/>
          <w:szCs w:val="16"/>
        </w:rPr>
        <w:t>пересекли пограничную реку Прут и вошли в Бессарабию (историческая область на территории нынешних Молдавии и Западной Украины), относившуюся до этого к России. 13 января после незначительных боев с местными красногвардейцами румыны заняли Кишинев, который оставался в состав Румынии вплоть до 1940 года (17045).</w:t>
      </w:r>
    </w:p>
    <w:p w14:paraId="279927D8" w14:textId="77777777" w:rsidR="003E28E5" w:rsidRPr="002F2FDF" w:rsidRDefault="003E28E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9A58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декабря 1917 (8 января 1918) Представители РК вступили в переговоры с Эбертом. В знак протеста ЦК КПГ отозвал К.Либкнехта и В.Пика из РК (7446).</w:t>
      </w:r>
    </w:p>
    <w:p w14:paraId="714B51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868651" w14:textId="19D7E23A" w:rsidR="00B738C2" w:rsidRPr="002F2FDF" w:rsidRDefault="00B738C2"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С 26 декабря 1917 по 1 января (8 по 14 января) 1918 германскими подводными лодками было потоплено и повреждено 32 корабля стран Антанты и нейтральных </w:t>
      </w:r>
      <w:r w:rsidRPr="002F2FDF">
        <w:rPr>
          <w:color w:val="000000" w:themeColor="text1"/>
          <w:kern w:val="2"/>
          <w:sz w:val="16"/>
          <w:szCs w:val="16"/>
        </w:rPr>
        <w:lastRenderedPageBreak/>
        <w:t>держав, что было в разы меньше, чем они топили годом ранее, — эффект дала введенная союзниками по Антанте для защиты от подлодок система конвоев. В результате не оправдался расчет немецких ВМС</w:t>
      </w:r>
      <w:r w:rsidR="00E52569">
        <w:rPr>
          <w:color w:val="000000" w:themeColor="text1"/>
          <w:kern w:val="2"/>
          <w:sz w:val="16"/>
          <w:szCs w:val="16"/>
        </w:rPr>
        <w:t xml:space="preserve"> </w:t>
      </w:r>
      <w:r w:rsidRPr="002F2FDF">
        <w:rPr>
          <w:color w:val="000000" w:themeColor="text1"/>
          <w:kern w:val="2"/>
          <w:sz w:val="16"/>
          <w:szCs w:val="16"/>
        </w:rPr>
        <w:t>на морскую блокаду Великобритании, полностью зависевшей от морских перевозок, и принуждении ее к миру под угрозой голода и экономического кризиса. Эрих</w:t>
      </w:r>
      <w:r w:rsidR="00E52569">
        <w:rPr>
          <w:color w:val="000000" w:themeColor="text1"/>
          <w:kern w:val="2"/>
          <w:sz w:val="16"/>
          <w:szCs w:val="16"/>
        </w:rPr>
        <w:t xml:space="preserve"> </w:t>
      </w:r>
      <w:r w:rsidRPr="002F2FDF">
        <w:rPr>
          <w:color w:val="000000" w:themeColor="text1"/>
          <w:kern w:val="2"/>
          <w:sz w:val="16"/>
          <w:szCs w:val="16"/>
        </w:rPr>
        <w:t>Людендорф был вынужден признать: «В экономическом плане неограниченная подводная война не дала тех результатов, которых от нее ожидал начальник главного морского штаба и на которые я, исходя из оценок специалистов, надеялся. Из-за слишком позднего ее начала Антанта за два года сумела подготовиться к ней и принять действенные защитные меры» (17045).</w:t>
      </w:r>
    </w:p>
    <w:p w14:paraId="50DBB78D" w14:textId="77777777" w:rsidR="00B738C2" w:rsidRPr="002F2FDF" w:rsidRDefault="00B738C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1D8C3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099EF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7A7F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декабря 1917 (9 января 1918) подписан приказ Совнаркома о национализации завода А.А.Анатра в Симферополе (237,130) и Одессе (318,95) "Ввиду категорического отказа правления завода...подчиниться декрету СНК о рабочем контроле, нежелания пойти на какие-либо уступки по отношению к рабочим..." (66,28). На заседании под председательством И.В.С. (271,76).</w:t>
      </w:r>
    </w:p>
    <w:p w14:paraId="3269C5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724F57" w14:textId="77777777" w:rsidR="006B39A0" w:rsidRPr="005D7D69" w:rsidRDefault="006B39A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5D7D69">
        <w:rPr>
          <w:rFonts w:ascii="Times New Roman" w:hAnsi="Times New Roman" w:cs="Times New Roman"/>
          <w:color w:val="0070C0"/>
          <w:sz w:val="16"/>
          <w:szCs w:val="16"/>
        </w:rPr>
        <w:t>7 декабря</w:t>
      </w:r>
      <w:r>
        <w:rPr>
          <w:rFonts w:ascii="Times New Roman" w:hAnsi="Times New Roman" w:cs="Times New Roman"/>
          <w:color w:val="0070C0"/>
          <w:sz w:val="16"/>
          <w:szCs w:val="16"/>
        </w:rPr>
        <w:t xml:space="preserve"> 1917 г</w:t>
      </w:r>
      <w:r w:rsidRPr="005D7D69">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(9 января 1918 г.) </w:t>
      </w:r>
      <w:r w:rsidRPr="005D7D69">
        <w:rPr>
          <w:rFonts w:ascii="Times New Roman" w:hAnsi="Times New Roman" w:cs="Times New Roman"/>
          <w:color w:val="0070C0"/>
          <w:sz w:val="16"/>
          <w:szCs w:val="16"/>
        </w:rPr>
        <w:t>Совет Народи их Комиссаров РС</w:t>
      </w:r>
      <w:r>
        <w:rPr>
          <w:rFonts w:ascii="Times New Roman" w:hAnsi="Times New Roman" w:cs="Times New Roman"/>
          <w:color w:val="0070C0"/>
          <w:sz w:val="16"/>
          <w:szCs w:val="16"/>
        </w:rPr>
        <w:t>ФС</w:t>
      </w:r>
      <w:r w:rsidRPr="005D7D69">
        <w:rPr>
          <w:rFonts w:ascii="Times New Roman" w:hAnsi="Times New Roman" w:cs="Times New Roman"/>
          <w:color w:val="0070C0"/>
          <w:sz w:val="16"/>
          <w:szCs w:val="16"/>
        </w:rPr>
        <w:t>Р постановил конф</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ско</w:t>
      </w:r>
      <w:r>
        <w:rPr>
          <w:rFonts w:ascii="Times New Roman" w:hAnsi="Times New Roman" w:cs="Times New Roman"/>
          <w:color w:val="0070C0"/>
          <w:sz w:val="16"/>
          <w:szCs w:val="16"/>
        </w:rPr>
        <w:t>в</w:t>
      </w:r>
      <w:r w:rsidRPr="005D7D69">
        <w:rPr>
          <w:rFonts w:ascii="Times New Roman" w:hAnsi="Times New Roman" w:cs="Times New Roman"/>
          <w:color w:val="0070C0"/>
          <w:sz w:val="16"/>
          <w:szCs w:val="16"/>
        </w:rPr>
        <w:t>ать и об</w:t>
      </w:r>
      <w:r>
        <w:rPr>
          <w:rFonts w:ascii="Times New Roman" w:hAnsi="Times New Roman" w:cs="Times New Roman"/>
          <w:color w:val="0070C0"/>
          <w:sz w:val="16"/>
          <w:szCs w:val="16"/>
        </w:rPr>
        <w:t>ъ</w:t>
      </w:r>
      <w:r w:rsidRPr="005D7D69">
        <w:rPr>
          <w:rFonts w:ascii="Times New Roman" w:hAnsi="Times New Roman" w:cs="Times New Roman"/>
          <w:color w:val="0070C0"/>
          <w:sz w:val="16"/>
          <w:szCs w:val="16"/>
        </w:rPr>
        <w:t>яв</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ть собственность</w:t>
      </w:r>
      <w:r>
        <w:rPr>
          <w:rFonts w:ascii="Times New Roman" w:hAnsi="Times New Roman" w:cs="Times New Roman"/>
          <w:color w:val="0070C0"/>
          <w:sz w:val="16"/>
          <w:szCs w:val="16"/>
        </w:rPr>
        <w:t>ю</w:t>
      </w:r>
      <w:r w:rsidRPr="005D7D69">
        <w:rPr>
          <w:rFonts w:ascii="Times New Roman" w:hAnsi="Times New Roman" w:cs="Times New Roman"/>
          <w:color w:val="0070C0"/>
          <w:sz w:val="16"/>
          <w:szCs w:val="16"/>
        </w:rPr>
        <w:t xml:space="preserve"> российской республики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амолетостроит</w:t>
      </w:r>
      <w:r>
        <w:rPr>
          <w:rFonts w:ascii="Times New Roman" w:hAnsi="Times New Roman" w:cs="Times New Roman"/>
          <w:color w:val="0070C0"/>
          <w:sz w:val="16"/>
          <w:szCs w:val="16"/>
        </w:rPr>
        <w:t>е</w:t>
      </w:r>
      <w:r w:rsidRPr="005D7D69">
        <w:rPr>
          <w:rFonts w:ascii="Times New Roman" w:hAnsi="Times New Roman" w:cs="Times New Roman"/>
          <w:color w:val="0070C0"/>
          <w:sz w:val="16"/>
          <w:szCs w:val="16"/>
        </w:rPr>
        <w:t xml:space="preserve">лъиый завод А.А.Анатры в Симферополе за неподчинение декрету </w:t>
      </w:r>
      <w:r>
        <w:rPr>
          <w:rFonts w:ascii="Times New Roman" w:hAnsi="Times New Roman" w:cs="Times New Roman"/>
          <w:color w:val="0070C0"/>
          <w:sz w:val="16"/>
          <w:szCs w:val="16"/>
        </w:rPr>
        <w:t>СНК</w:t>
      </w:r>
      <w:r w:rsidRPr="005D7D69">
        <w:rPr>
          <w:rFonts w:ascii="Times New Roman" w:hAnsi="Times New Roman" w:cs="Times New Roman"/>
          <w:color w:val="0070C0"/>
          <w:sz w:val="16"/>
          <w:szCs w:val="16"/>
        </w:rPr>
        <w:t xml:space="preserve"> о рабочем контроле и за требование обязательных сверхурочных работ при наличия больной безработицы в Симферополе,</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в результате чего возникла забастовка рабочих завода</w:t>
      </w:r>
      <w:r>
        <w:rPr>
          <w:rFonts w:ascii="Times New Roman" w:hAnsi="Times New Roman" w:cs="Times New Roman"/>
          <w:color w:val="0070C0"/>
          <w:sz w:val="16"/>
          <w:szCs w:val="16"/>
        </w:rPr>
        <w:t>.</w:t>
      </w:r>
    </w:p>
    <w:p w14:paraId="305A6F68" w14:textId="77777777" w:rsidR="006B39A0" w:rsidRPr="005D7D69" w:rsidRDefault="006B39A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/«Документы Октябрьской Революции», 1933, том 1,</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389/</w:t>
      </w:r>
      <w:r>
        <w:rPr>
          <w:rFonts w:ascii="Times New Roman" w:hAnsi="Times New Roman" w:cs="Times New Roman"/>
          <w:color w:val="0070C0"/>
          <w:sz w:val="16"/>
          <w:szCs w:val="16"/>
        </w:rPr>
        <w:t xml:space="preserve"> (23370).</w:t>
      </w:r>
    </w:p>
    <w:p w14:paraId="1870C878" w14:textId="77777777" w:rsidR="006B39A0" w:rsidRDefault="006B39A0" w:rsidP="0083075A">
      <w:pPr>
        <w:spacing w:after="0" w:line="240" w:lineRule="auto"/>
        <w:jc w:val="both"/>
        <w:rPr>
          <w:rFonts w:ascii="Times New Roman" w:hAnsi="Times New Roman" w:cs="Times New Roman"/>
          <w:color w:val="0070C0"/>
          <w:sz w:val="16"/>
          <w:szCs w:val="16"/>
        </w:rPr>
      </w:pPr>
    </w:p>
    <w:p w14:paraId="68ECA953" w14:textId="1DE0BB65" w:rsidR="00765CAE" w:rsidRPr="00FB4F67" w:rsidRDefault="00765CA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27 декаб</w:t>
      </w:r>
      <w:r w:rsidRPr="00FB4F67">
        <w:rPr>
          <w:rFonts w:ascii="Times New Roman" w:hAnsi="Times New Roman" w:cs="Times New Roman"/>
          <w:color w:val="0070C0"/>
          <w:sz w:val="16"/>
          <w:szCs w:val="16"/>
        </w:rPr>
        <w:softHyphen/>
        <w:t xml:space="preserve">ря 1917 г. </w:t>
      </w:r>
      <w:r>
        <w:rPr>
          <w:rFonts w:ascii="Times New Roman" w:hAnsi="Times New Roman" w:cs="Times New Roman"/>
          <w:color w:val="0070C0"/>
          <w:sz w:val="16"/>
          <w:szCs w:val="16"/>
        </w:rPr>
        <w:t xml:space="preserve">(9 января 1918 г.) </w:t>
      </w:r>
      <w:r w:rsidRPr="00FB4F67">
        <w:rPr>
          <w:rFonts w:ascii="Times New Roman" w:hAnsi="Times New Roman" w:cs="Times New Roman"/>
          <w:color w:val="0070C0"/>
          <w:sz w:val="16"/>
          <w:szCs w:val="16"/>
        </w:rPr>
        <w:t>симферопольский филиал предприятия Анатра был конфискован согласно Декрету Совета Народных комиссаров. Однако развернувшаяся граж</w:t>
      </w:r>
      <w:r w:rsidRPr="00FB4F67">
        <w:rPr>
          <w:rFonts w:ascii="Times New Roman" w:hAnsi="Times New Roman" w:cs="Times New Roman"/>
          <w:color w:val="0070C0"/>
          <w:sz w:val="16"/>
          <w:szCs w:val="16"/>
        </w:rPr>
        <w:softHyphen/>
        <w:t>данская война внесла свои коррективы — вплоть до 1920 г. завод в Симферополе использовали как ремонтное и сборочное предприятие представители Белого движе</w:t>
      </w:r>
      <w:r w:rsidRPr="00FB4F67">
        <w:rPr>
          <w:rFonts w:ascii="Times New Roman" w:hAnsi="Times New Roman" w:cs="Times New Roman"/>
          <w:color w:val="0070C0"/>
          <w:sz w:val="16"/>
          <w:szCs w:val="16"/>
        </w:rPr>
        <w:softHyphen/>
        <w:t>ния. После гражданской войны симферо</w:t>
      </w:r>
      <w:r w:rsidRPr="00FB4F67">
        <w:rPr>
          <w:rFonts w:ascii="Times New Roman" w:hAnsi="Times New Roman" w:cs="Times New Roman"/>
          <w:color w:val="0070C0"/>
          <w:sz w:val="16"/>
          <w:szCs w:val="16"/>
        </w:rPr>
        <w:softHyphen/>
        <w:t>польский завод получил наименование Го</w:t>
      </w:r>
      <w:r w:rsidRPr="00FB4F67">
        <w:rPr>
          <w:rFonts w:ascii="Times New Roman" w:hAnsi="Times New Roman" w:cs="Times New Roman"/>
          <w:color w:val="0070C0"/>
          <w:sz w:val="16"/>
          <w:szCs w:val="16"/>
        </w:rPr>
        <w:softHyphen/>
        <w:t>сударственных авиамастерских №15 (ГАМ №15) и просуществовал до 1922 г. Впос</w:t>
      </w:r>
      <w:r w:rsidRPr="00FB4F67">
        <w:rPr>
          <w:rFonts w:ascii="Times New Roman" w:hAnsi="Times New Roman" w:cs="Times New Roman"/>
          <w:color w:val="0070C0"/>
          <w:sz w:val="16"/>
          <w:szCs w:val="16"/>
        </w:rPr>
        <w:softHyphen/>
        <w:t>ледствии авиационное производство здесь не велось (23374).</w:t>
      </w:r>
    </w:p>
    <w:p w14:paraId="5A28C877" w14:textId="77777777" w:rsidR="00765CAE" w:rsidRPr="00FB4F67" w:rsidRDefault="00765CAE" w:rsidP="0083075A">
      <w:pPr>
        <w:spacing w:after="0" w:line="240" w:lineRule="auto"/>
        <w:jc w:val="both"/>
        <w:rPr>
          <w:rFonts w:ascii="Times New Roman" w:hAnsi="Times New Roman" w:cs="Times New Roman"/>
          <w:color w:val="0070C0"/>
          <w:sz w:val="16"/>
          <w:szCs w:val="16"/>
        </w:rPr>
      </w:pPr>
    </w:p>
    <w:p w14:paraId="1EDB26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декабря 1917-го (9 января 1918) симферопольский филиал Анатра был конфискован согласно Декрету Совета Народных Комиссаров. Однако развернувшаяся гражданская война внесла свои коррективы - вплоть до 1920-го завод в Симферополе использовали как ремонтное и сборочное предприятие представители армии Деникина (9806).</w:t>
      </w:r>
    </w:p>
    <w:p w14:paraId="58735E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EEBD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декабря 1917 (9 января 1918) СНК на заседании под председательством И.В.С. принял декрет о конфискации частного аэропланного завода Анатра (271,76).</w:t>
      </w:r>
    </w:p>
    <w:p w14:paraId="4DE9BD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2938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27 декабря 1917 г. </w:t>
      </w:r>
      <w:r w:rsidR="009556D7" w:rsidRPr="002F2FDF">
        <w:rPr>
          <w:rFonts w:ascii="Times New Roman" w:hAnsi="Times New Roman" w:cs="Times New Roman"/>
          <w:color w:val="000000" w:themeColor="text1"/>
          <w:kern w:val="2"/>
          <w:sz w:val="16"/>
          <w:szCs w:val="16"/>
        </w:rPr>
        <w:t xml:space="preserve">(9 января) </w:t>
      </w:r>
      <w:r w:rsidRPr="002F2FDF">
        <w:rPr>
          <w:rFonts w:ascii="Times New Roman" w:hAnsi="Times New Roman" w:cs="Times New Roman"/>
          <w:color w:val="000000" w:themeColor="text1"/>
          <w:kern w:val="2"/>
          <w:sz w:val="16"/>
          <w:szCs w:val="16"/>
        </w:rPr>
        <w:t>издается декрет Совета народных комиссаров РСФСР «О конфискации аэропланового за</w:t>
      </w:r>
      <w:r w:rsidRPr="002F2FDF">
        <w:rPr>
          <w:rFonts w:ascii="Times New Roman" w:hAnsi="Times New Roman" w:cs="Times New Roman"/>
          <w:color w:val="000000" w:themeColor="text1"/>
          <w:kern w:val="2"/>
          <w:sz w:val="16"/>
          <w:szCs w:val="16"/>
        </w:rPr>
        <w:softHyphen/>
        <w:t>вода "Анатра" в Симферополе». В общем, напомнили о себе (Дек</w:t>
      </w:r>
      <w:r w:rsidRPr="002F2FDF">
        <w:rPr>
          <w:rFonts w:ascii="Times New Roman" w:hAnsi="Times New Roman" w:cs="Times New Roman"/>
          <w:color w:val="000000" w:themeColor="text1"/>
          <w:kern w:val="2"/>
          <w:sz w:val="16"/>
          <w:szCs w:val="16"/>
        </w:rPr>
        <w:softHyphen/>
        <w:t>реты. 1933: 389) (12096).</w:t>
      </w:r>
    </w:p>
    <w:p w14:paraId="176EE7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74DF35"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27 ДЕКАБРЯ 1917 года (9 января 1918)</w:t>
      </w:r>
    </w:p>
    <w:p w14:paraId="63A3A82D"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ПОВЕСТКА ЗАСЕДАНИЯ СОВЕТА НАРОДНЫХ КОМИССАРОВ НА 27 ДЕКАБРЯ 1917 года</w:t>
      </w:r>
    </w:p>
    <w:p w14:paraId="1877C1D5"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протоколу 35</w:t>
      </w:r>
    </w:p>
    <w:p w14:paraId="4553C90B"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&lt;1, О конфискации автомобильных мастерских Международного общества спальных вагонов, имущества Акционерного общества Кыштымского горного округа и имущества Акционерного общества Сергинско-У фал ейского горного округа и Путиловского завода. (Шляпников,)&gt;</w:t>
      </w:r>
    </w:p>
    <w:p w14:paraId="3A547B78"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&lt;2, О назначении членом коллегии по продовольствию Дмитрия Петровича Малютина, (Шлихтер),&gt;</w:t>
      </w:r>
    </w:p>
    <w:p w14:paraId="56118794"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 О реорганизации Государственного контроля196, (Виноградов.)</w:t>
      </w:r>
    </w:p>
    <w:p w14:paraId="798B2290"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 О праве и порядке издания декретов Высшим советом народного хозяйства, (Елизаров, Шляпников и Оболенский.)</w:t>
      </w:r>
    </w:p>
    <w:p w14:paraId="69B9DA6F"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 Постановление Высшего совета народного хозяйства о принятии Копорской железной дороги в казну, (Елизаров.)</w:t>
      </w:r>
    </w:p>
    <w:p w14:paraId="19FDB25D"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6, Заявление рабочих «Динамо», (Ленин.)</w:t>
      </w:r>
    </w:p>
    <w:p w14:paraId="34B04BB0"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7, Календарь22, (Луначарский.)</w:t>
      </w:r>
    </w:p>
    <w:p w14:paraId="6A5477BA"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8, О Продовольственном совете197, (Троцкий.)</w:t>
      </w:r>
    </w:p>
    <w:p w14:paraId="4581FDC6"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9, О направлении неоконченных дел упраздненных судебных установлений 204, (Штейнберг.)</w:t>
      </w:r>
    </w:p>
    <w:p w14:paraId="26F181A7"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10, Вывод войск из Персии, (Троцкий.)</w:t>
      </w:r>
    </w:p>
    <w:p w14:paraId="1A07ACA7"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11, Смета по Комиссариату юстиции, (Штейнберг.)</w:t>
      </w:r>
    </w:p>
    <w:p w14:paraId="337732FF"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12, Финансирование Иваново-Вознесенского текстильного района. (Шляпников.)</w:t>
      </w:r>
    </w:p>
    <w:p w14:paraId="7EEC408B"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13, Нормы оплаты высших должностных лиц по управлению заводами207. (Шляпников.)</w:t>
      </w:r>
    </w:p>
    <w:p w14:paraId="48750184"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14. Смета на содержание народных судов в Петрограде на сумму в 165 000 руб. за декабрь. (Штейнберг.)</w:t>
      </w:r>
    </w:p>
    <w:p w14:paraId="4BC809E2"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 Заявление Портянко, Эссена и (подпись неразборчива).</w:t>
      </w:r>
    </w:p>
    <w:p w14:paraId="542FF047"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16. Об охране предметов старины и имущества, принадлежащих польскому народу208. (Циховский.)</w:t>
      </w:r>
    </w:p>
    <w:p w14:paraId="4E21B114"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17. Аванс в сумме 200 000 руб. «Газете Временного Рабочего и Крестьянского Правительства»111.</w:t>
      </w:r>
    </w:p>
    <w:p w14:paraId="7D932B92"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18. О дворцах. (Карелин.)</w:t>
      </w:r>
    </w:p>
    <w:p w14:paraId="11FB820B"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19. Об остаточных суммах по смете Государственного совета. (Алгасов.)</w:t>
      </w:r>
    </w:p>
    <w:p w14:paraId="78B8992A"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20. Об ассигновании 50 000 руб. сверхсметным кредитом Петроградской одиночной тюрьме. (Алгасов.)</w:t>
      </w:r>
    </w:p>
    <w:p w14:paraId="5CD8D0CC"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21. Борьба с саботажем213. (Алгасов.)</w:t>
      </w:r>
    </w:p>
    <w:p w14:paraId="04CF1BB9"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22. Об увеличении оклада жалования [одно слово не разобрано] почтово-телеграфным служащим210.</w:t>
      </w:r>
    </w:p>
    <w:p w14:paraId="1867341E"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23. Об Армении190.</w:t>
      </w:r>
    </w:p>
    <w:p w14:paraId="4A47274F"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&lt;24. Штейнберг и комиссия по борьбе с контрреволюцией.;*188</w:t>
      </w:r>
    </w:p>
    <w:p w14:paraId="26BBD552"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24. О наших комиссарах в частных банках и о Сокольникове217.</w:t>
      </w:r>
    </w:p>
    <w:p w14:paraId="0EF3798B"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ПРОТОКОЛ ЗАСЕДАНИЯ СОВЕТА НАРОДНЫХ КОМИССАРОВ</w:t>
      </w:r>
    </w:p>
    <w:p w14:paraId="2D8A794D"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ОТ 27 ДЕКАБРЯ 1917 г. 3 5</w:t>
      </w:r>
    </w:p>
    <w:p w14:paraId="345C5478"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Председательствует Сталин.</w:t>
      </w:r>
    </w:p>
    <w:p w14:paraId="55213CBC"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Слушали:</w:t>
      </w:r>
    </w:p>
    <w:p w14:paraId="7723DA86"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О конфискации автомобильных мастерских Международного общества спальных вагонов (Чичеринская, 1). (Шляпников.)</w:t>
      </w:r>
    </w:p>
    <w:p w14:paraId="35834BE7"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О конфискации имущества Акционерного общества Сергинско-Уфалейского горного округа. (Шляпников)</w:t>
      </w:r>
    </w:p>
    <w:p w14:paraId="0903B543"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 О конфискации имущества Акционерного общества Кыштымского горного округа. (Шляпников.)</w:t>
      </w:r>
    </w:p>
    <w:p w14:paraId="6E4D84BB"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 О конфискации имущества Акционерного общества Путиловских заводов. (Шляпников.)</w:t>
      </w:r>
    </w:p>
    <w:p w14:paraId="2EE9FF62"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 О назначении т. Д.П. Малютина членом коллегии по продовольствию.</w:t>
      </w:r>
    </w:p>
    <w:p w14:paraId="61F71968"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6. О конфискации завода аэропланов А.А. Анатра в Симферополе.</w:t>
      </w:r>
    </w:p>
    <w:p w14:paraId="5F969D92"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Постановили:</w:t>
      </w:r>
    </w:p>
    <w:p w14:paraId="3027CE5F"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Конфисковать. Предложенный тов. Шляпниковым декрет утвердить</w:t>
      </w:r>
    </w:p>
    <w:p w14:paraId="0224CE4F"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Конфисковать. Предложенный тов. Шляпниковым декрет утвердить</w:t>
      </w:r>
    </w:p>
    <w:p w14:paraId="590B5E3A"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 Конфисковать. Предложенный тов. Шляпниковым декрет утвердить</w:t>
      </w:r>
    </w:p>
    <w:p w14:paraId="242AB363"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 Конфисковать. Предложенный тов. Шляпниковым декрет утвердить</w:t>
      </w:r>
    </w:p>
    <w:p w14:paraId="15309F0E"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 Назначить</w:t>
      </w:r>
    </w:p>
    <w:p w14:paraId="05529782"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6. Конфисковать Предложенный тов. Шляпниковым декрет утвердить</w:t>
      </w:r>
    </w:p>
    <w:p w14:paraId="4C8B0B46"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Протоколы заседаний Совета Народных Комиссаров РСФСР...</w:t>
      </w:r>
    </w:p>
    <w:p w14:paraId="0D3C6D5A"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Приложение</w:t>
      </w:r>
    </w:p>
    <w:p w14:paraId="623BBEE7"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Кп. в.</w:t>
      </w:r>
    </w:p>
    <w:p w14:paraId="2917A060"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Декрет о конфискации завода АЛ. Анатра в Симферополе</w:t>
      </w:r>
    </w:p>
    <w:p w14:paraId="0A705167"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Ввиду категорического отказа правления завода аэропланов А.А. Анатра в Симферополе подчиниться декрету Совета Народных Комиссаров о рабочем контроле, нежелания пойти на какие-либо уступки по отношению к рабочим, благодаря чему возникла забастовка в предприятии, требования владельца обязательных сверхурочных работ, несмотря на безработицу среди рабочих Симферополя, — Совет Народных Комиссаров постановил конфисковать аэропланный завод со всем его имуществом и объявить его собственностью Российской республики.</w:t>
      </w:r>
    </w:p>
    <w:p w14:paraId="11EF9DAF"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Весь служебный и технический персонал обязан оставаться на местах и исполнять свои обязанности.</w:t>
      </w:r>
    </w:p>
    <w:p w14:paraId="3080FE12"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 самовольное оставление занимаемой должности или саботаж виновные будут преданы революционному суду.</w:t>
      </w:r>
    </w:p>
    <w:p w14:paraId="5F9FB48E"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Порядок передачи управления делами представителям фабрично-заводского комитета будет определен особым постановлением народного комиссара торговли и промышленности.</w:t>
      </w:r>
    </w:p>
    <w:p w14:paraId="0CDE9863"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 председателя Совета Народных Комиссаров И. Сталин,</w:t>
      </w:r>
    </w:p>
    <w:p w14:paraId="5288B78D"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Народные комиссары: А, Колегаев, А, Шлихтер, Г. Петровский, А. Шляпников,</w:t>
      </w:r>
    </w:p>
    <w:p w14:paraId="61F66ECB"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Управляющий делами Влад. Бонч-Бруевич,</w:t>
      </w:r>
    </w:p>
    <w:p w14:paraId="46054207"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Секретарь Совета Народных Комиссаров Н. Горбунов,</w:t>
      </w:r>
    </w:p>
    <w:p w14:paraId="52C2F00B"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Подлинник; пометка: К протоколу 35, пункт 6 — JI. 7 (20437).</w:t>
      </w:r>
    </w:p>
    <w:p w14:paraId="1B7FA63F" w14:textId="77777777" w:rsidR="00270DCE" w:rsidRPr="002F2FDF" w:rsidRDefault="00270DCE" w:rsidP="0083075A">
      <w:pPr>
        <w:spacing w:after="0" w:line="240" w:lineRule="auto"/>
        <w:jc w:val="both"/>
        <w:rPr>
          <w:rFonts w:ascii="Times New Roman" w:hAnsi="Times New Roman" w:cs="Times New Roman"/>
          <w:color w:val="000000" w:themeColor="text1"/>
          <w:sz w:val="16"/>
          <w:szCs w:val="16"/>
        </w:rPr>
      </w:pPr>
    </w:p>
    <w:p w14:paraId="14A8D13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B6F19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34FA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декабря 1917 (9 января 1918) были рационализованы и Путиловские заводы (1348,113).</w:t>
      </w:r>
    </w:p>
    <w:p w14:paraId="6B6CF3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C52BDE" w14:textId="77777777"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27 декабря 1917 (9 января</w:t>
      </w:r>
      <w:r w:rsidRPr="002F2FDF">
        <w:rPr>
          <w:rFonts w:ascii="Times New Roman" w:hAnsi="Times New Roman" w:cs="Times New Roman"/>
          <w:color w:val="000000" w:themeColor="text1"/>
          <w:kern w:val="2"/>
          <w:sz w:val="16"/>
          <w:szCs w:val="16"/>
        </w:rPr>
        <w:t xml:space="preserve"> в 1918) году СНК принял постановление о национализации Путиловских заводов в Санкт-Петербурге.</w:t>
      </w:r>
    </w:p>
    <w:p w14:paraId="2030C56F" w14:textId="77777777"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постановления Совнаркома о национализации Путиловского завода</w:t>
      </w:r>
    </w:p>
    <w:p w14:paraId="0A12E861" w14:textId="77777777"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января 1918 г. (27 декабря 1917 г.)</w:t>
      </w:r>
    </w:p>
    <w:p w14:paraId="1269756F" w14:textId="77777777"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виду задолженности Акционерного Общества Путиловских заводов казне Российской Республики, Совет Народных Комиссаров постановляет: принять Путиловские заводы со всем имуществом Акционерного Общества Путиловских заводов, в чем бы оно ни состояло, в собственность Российской Республики.</w:t>
      </w:r>
    </w:p>
    <w:p w14:paraId="72CACC88" w14:textId="77777777"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Организация управления заводами и делами означенного Акционерного Общества возлагается на Народного Комиссара Торговли и Промышленности.</w:t>
      </w:r>
    </w:p>
    <w:p w14:paraId="691579DC" w14:textId="77777777"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председателя Совета Народных Комиссаров И.Сталин» (15004).</w:t>
      </w:r>
    </w:p>
    <w:p w14:paraId="77F0E1E2" w14:textId="77777777"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p>
    <w:p w14:paraId="6F1689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27 декабря 1917 г. </w:t>
      </w:r>
      <w:r w:rsidR="009556D7" w:rsidRPr="002F2FDF">
        <w:rPr>
          <w:rFonts w:ascii="Times New Roman" w:hAnsi="Times New Roman" w:cs="Times New Roman"/>
          <w:color w:val="000000" w:themeColor="text1"/>
          <w:kern w:val="2"/>
          <w:sz w:val="16"/>
          <w:szCs w:val="16"/>
        </w:rPr>
        <w:t xml:space="preserve">(9 января 1918 ) </w:t>
      </w:r>
      <w:r w:rsidRPr="002F2FDF">
        <w:rPr>
          <w:rFonts w:ascii="Times New Roman" w:hAnsi="Times New Roman" w:cs="Times New Roman"/>
          <w:color w:val="000000" w:themeColor="text1"/>
          <w:kern w:val="2"/>
          <w:sz w:val="16"/>
          <w:szCs w:val="16"/>
        </w:rPr>
        <w:t>в соответствии с пост. СНК от Путиловская судостроительная верфь Общества Путиловских заводов (Завод № 190 им. А.А. Жданова НКОП, НКСП, Путиловская судостроительная верфь Общества Путиловских заводов, Путиловская верфь, Северная судостроительная верфь ВСНХ, НКТП, Судостроительный завод им. А.А. Жданова НКТП, Ленинградский государственный судостроительный завод им. А.А. Жданова МСП, ОАО «Судостроительный завод (СЗ) «Северная верфь» / г. Ленинград п/я 464 (1938 г.)/ /198096  г. Ленинград, Санкт- Петербург ул. Корабельная, 6 тел. 324-29-00/) была национализирована и передана в ведение Правительственного правления Путиловских заводов СНХ Северного района. В 1921 г. Путиловская верфь передана в подченение Судотреста, организованного в составе Отдела металла Петроградского СНХ (Петрогубметалла), в 10.1921 г. переименована в Северную судостроительную верфь Районного правления заводов тяжелой индустрии. Велось гражданское судостроение.</w:t>
      </w:r>
    </w:p>
    <w:p w14:paraId="4EAD4F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1926 г. - производство турбозубчатых агрегатов. С конца 1920-х  г. началось строительство небольших сторожевиков и тральщиков. В 1920-е  г. осваивалось турбинное производство. В 1928-32 г. на заводе построен новый деревообрабатывающий цех. К 1931 г. построен специальный слип для постройки траулеров. В начале 1930-х  г. начато внедрение электросварки, на 1.01.1932 г. на заводе было 55 сварочных постов.</w:t>
      </w:r>
    </w:p>
    <w:p w14:paraId="69CBDE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состав завода был влит Северный газовый завод.</w:t>
      </w:r>
    </w:p>
    <w:p w14:paraId="4D3274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1924 г. - в ведении Судотреста, с 1930 г. - Союзверфи ВСНХ. В 1933 г. передан из Союзверфи в подчинение Главморпрому НКТП. В 1935 г. верфь переименована в ССЗ им. А.А. Жданова. В 12.1936 г. завод передан в НКОП, по пр. № Обсс от 30.12.1936 г. переименован в завод № 190; в 02.1937 г. завод - в ведении 2ГУ; приказом № 136 от 11.04.1937 г. утвержден Устав завода. В 02.1939 г. завод № 190 2ГУ передан в ведение 1ГУ НКСП.</w:t>
      </w:r>
    </w:p>
    <w:p w14:paraId="23A631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 0014 от 1.02.1937 г. утверждены работы по капстроительству на 1937 г.: окончание реконструкции сталелитейного и медно-литейного цехов и кислородной станции. По пр. № 482с от 31.12.1938 г. на заводе организован отдел опытных работ.</w:t>
      </w:r>
    </w:p>
    <w:p w14:paraId="39C7E9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1937 г. велась подготовка к закладке лидера эсминцев по итальянскому проекту (пр. 20) «Баку», но корабль заложен не был. Пр. № 444сс от 25.11.1938 г. заводу предписано заложить в 4-м квартале 1938 г. два эсминца пр. 7у со сроком сдачи в 1940 г.</w:t>
      </w:r>
    </w:p>
    <w:p w14:paraId="455205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 НКТП № 12сс от 1937 г. завод к 1.03.1937 г. должен был сдать: 20 судовых турбо-динамо (не сдано).</w:t>
      </w:r>
    </w:p>
    <w:p w14:paraId="76BA82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пост. ГКО № 99сс от 11.07.1941 г. часть завода (264 чел.) эвакуирована в Сталинград на завод № 264 НКСП, а турбинный цех- на Уральский турбинный завод (Свердловск).</w:t>
      </w:r>
    </w:p>
    <w:p w14:paraId="6C380E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решению Военного совета фронта от 17.09.1941 г., в связи с обстрелами, машиностроительная часть завода перебазирована на Выборгскую сторону, где организована временная верфь, заводским причалом стала набережная р. Большой Невки. Здесь в 1942 г. действовали механические цехи, осенью 1942 г. сюда перебазированы корпусной цех с котельным участком, монтажный, трубомедницкий, деревообделочный и такелажно-парусный цехи. Временная верфь существовала до 1944 г., затем производство перебазировано обратно.</w:t>
      </w:r>
    </w:p>
    <w:p w14:paraId="3D8373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годы ВОВ производился ремонт и переоборудование кораблей.</w:t>
      </w:r>
    </w:p>
    <w:p w14:paraId="76E119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1943 г. на заводе образован филиал ЦКБ-32 для сопровождения постройки сторожевика пр. 29. На заводе действовал филиал ЦКБ-17, в 1946 г. он преобразован в самостоятельное ЦКБ-53.</w:t>
      </w:r>
    </w:p>
    <w:p w14:paraId="348DE0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w:t>
      </w:r>
    </w:p>
    <w:p w14:paraId="41E2D7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1944 г. начато восстановление производства, реконструкция производственных мощностей. В 1951-55 г. построен новый комплекс для крупносерийного строительства эсминцев, состоящий из 4-пролетного эллинга, трансбордера и поперечного слипа. В 1960-е  г. для строительства сухогрузов был восстановлен наклонный продольный стапель под эллингом, поврежденный в годы войны. К стапелю пристроили «горку», по которой на стапель подавались готовые корпусные блоки.</w:t>
      </w:r>
    </w:p>
    <w:p w14:paraId="3675B2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30.12.1961 г. вышло ПСМ № 1180-510 о строительстве на заводе кораблей ПВО-ПЛО пр. 1134.</w:t>
      </w:r>
    </w:p>
    <w:p w14:paraId="5C3E0E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середины 1970-х  г. сильно сокращено строительство гражданских судов. В связи с началом постройки больших противолодочных кораблей начата реконструкция судостроительного комплекса.</w:t>
      </w:r>
    </w:p>
    <w:p w14:paraId="53B844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1992 г. Ленинградский государственный судостроительный завод им. А.А. Жданова акционирован и преобразован в АООТ,</w:t>
      </w:r>
      <w:r w:rsidRPr="002F2FDF">
        <w:rPr>
          <w:rFonts w:ascii="Times New Roman" w:hAnsi="Times New Roman" w:cs="Times New Roman"/>
          <w:color w:val="000000" w:themeColor="text1"/>
          <w:kern w:val="2"/>
          <w:sz w:val="16"/>
          <w:szCs w:val="16"/>
          <w:vertAlign w:val="superscript"/>
        </w:rPr>
        <w:t>131</w:t>
      </w:r>
      <w:r w:rsidRPr="002F2FDF">
        <w:rPr>
          <w:rFonts w:ascii="Times New Roman" w:hAnsi="Times New Roman" w:cs="Times New Roman"/>
          <w:color w:val="000000" w:themeColor="text1"/>
          <w:kern w:val="2"/>
          <w:sz w:val="16"/>
          <w:szCs w:val="16"/>
        </w:rPr>
        <w:t xml:space="preserve"> а с 14.04.1994 г. - ОАО «Северная верфь».</w:t>
      </w:r>
    </w:p>
    <w:p w14:paraId="5F1CF4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2005 г. всего построено около 200 боевых кораблей.</w:t>
      </w:r>
    </w:p>
    <w:p w14:paraId="74ECFB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решению правительства № 22-р от 9.01.2004 г. вошло в перечень стратегических предприятий. ОАО «Северная верфь» входила в ЗАО «Объединенная промышленная корпорация» (ОПК) (2005-08 г.). В 2007 г. планировалось создать на базе предприятия судостроительный холдинг (один из 7 в России) ОАО «Западный центр судостроения», в который также должны войти: завод «Янтарь», завод «Красное Сормово», «Адмиралтейские верфи», Средне-Невский ССЗ, Кронштадтский морской завод и 33-й СРЗ МО.</w:t>
      </w:r>
    </w:p>
    <w:p w14:paraId="428750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06.2006 г. разработан проект реконструкции завода, включающий перевод на его площадку Балтийского завода.</w:t>
      </w:r>
    </w:p>
    <w:p w14:paraId="5C21C1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Имелись производства (2006 г.): корпусообрабатывающее (мощностью 20 тыс. т в год); стапельное (4 горизонтальных стапеля); спускоподъемный комплекс; две достроечные набережные.</w:t>
      </w:r>
    </w:p>
    <w:p w14:paraId="15FF44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2007 г. планировалась модернизация 4 кораблей ВМС Алжира: двух МРК пр. 1234Э в пр. 1234МЭ и двух корветов пр. 1159Т.</w:t>
      </w:r>
    </w:p>
    <w:p w14:paraId="7CFCB8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территории (2006 г.)- около 90 га, из них под производственными мощностями- 60 га.</w:t>
      </w:r>
    </w:p>
    <w:p w14:paraId="064424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(1937 г.)- 9254 чел., (06.1941 г.)- 11.500 чел.</w:t>
      </w:r>
    </w:p>
    <w:p w14:paraId="7F4B43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(1913 г.-)- Орбановский, (1910-е)- п Н.Н. Кутейников, (-1936 г.)- Мирошин (снят за «неумение возглавлять завод»), (1936-7.09.1937 г.)- Л.С. Окорский, (7.09.1937-11.1938 г.-)- А.Е. Лобанов, (1941 г.)- И. Г. Миляшкин, (1942 г.)- С.А. Боголюбов,</w:t>
      </w:r>
      <w:r w:rsidRPr="002F2FDF">
        <w:rPr>
          <w:rFonts w:ascii="Times New Roman" w:hAnsi="Times New Roman" w:cs="Times New Roman"/>
          <w:color w:val="000000" w:themeColor="text1"/>
          <w:kern w:val="2"/>
          <w:sz w:val="16"/>
          <w:szCs w:val="16"/>
          <w:vertAlign w:val="superscript"/>
        </w:rPr>
        <w:t>61</w:t>
      </w:r>
      <w:r w:rsidRPr="002F2FDF">
        <w:rPr>
          <w:rFonts w:ascii="Times New Roman" w:hAnsi="Times New Roman" w:cs="Times New Roman"/>
          <w:color w:val="000000" w:themeColor="text1"/>
          <w:kern w:val="2"/>
          <w:sz w:val="16"/>
          <w:szCs w:val="16"/>
        </w:rPr>
        <w:t xml:space="preserve"> (1950 г.-)- А.А. Горегляд, (1970-е)- В.Д. Колечицкий. Гендиректор (1987 г.)- В.А. Емельянов, (-2000-И.2004 г.)- В.В. Венков, (11.2004-06 г.-)- А.С. Бузаков, (-2007-08 г.-)- А.Б. Фомичев.</w:t>
      </w:r>
    </w:p>
    <w:p w14:paraId="0570B1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Помощник директора (1913 г.-)- К.А. Теннисон. Зам. директора (21.01.1937 г.-)- В.Ф. Попов.</w:t>
      </w:r>
    </w:p>
    <w:p w14:paraId="4F685A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технический (1936 г.)- А.И. Павлов; коммерческий (-10.2006 г.)- И. Александров; по экономике и финансам (2008 г.)- С.Е. Юрчук.</w:t>
      </w:r>
    </w:p>
    <w:p w14:paraId="717121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инженер (21.01.1937 г.-)- В.Ф. Попов.</w:t>
      </w:r>
    </w:p>
    <w:p w14:paraId="1C1C25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технолог (1960-е)- Д.И. Михелев.</w:t>
      </w:r>
    </w:p>
    <w:p w14:paraId="7EC7E3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цехов: турбинного (1920-е)- В.К. Васильев; № 8 и.о. (09.1938 г.)- Уманцев; № 10 (09.1938 г.)- Сидоренко.</w:t>
      </w:r>
    </w:p>
    <w:p w14:paraId="556077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строитель (инженер) проекта: (1960-е)- Е.М. Яковлев (пр.58), (2006 г.)- Д. Силантьев (пр. 22350).</w:t>
      </w:r>
    </w:p>
    <w:p w14:paraId="70D14F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Строители кораблей (1913 г.-)- К.А. Теннисон, (1915 г.)- п И.Е. Храповицкий, (1916 г.)- пп Ф.А. Вомпе, (1932 г.)- А.Н. Нейман, (1933 г.)- И.С. Кузовов, (1935-37 г.)- В.Л. Бжезинский (репрессирован), (-1941-42 г.-)- Д.А. Чалык, (-1941-42 г.-)- В.К. Кабышев.</w:t>
      </w:r>
    </w:p>
    <w:p w14:paraId="28EF84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Ответственные сдатчики: (1930 г.)- К.А. Камешков.</w:t>
      </w:r>
    </w:p>
    <w:p w14:paraId="07AE93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Производство: эсминцы: тала «Новик» «Лейтенант Ильин», «Лейтенант Дубасов», «Капитан Изыльметьев» (11.1913-20-е)- 4, «Капитан Кроун», «Капитан Кингсберген» («Капитан 1 ранга Миклухо-Маклай») (11.1914-), достройка «Прямислав» («Калинин») (-1925), «Капитан Керн» («Рыков», «Куйбышев») (-1927), «Капитан Белли» («Карл Либкнехт») (-1928); пр. 45 «Серго Орджоникидзе» («Опытный») (06.1935-40); пр. 7 «Гневный» (зак. 501, 11.1935-07.1936), «Грозный» (зак. 502), «Громкий» (зак. 503), «Грозящий», «Гордый» (зак. 514), «Гремящий» (11.1935-01.1938), пр. 7у «Сторожевой» (-10.1938), «Стойкий», «Смелый», «Сильный», «Страшный» (-1939), «Стерегущий», «Строгий» (-12.1939), «Скорый», «Свирепый», «Статный», «Стройный» (-04.1940); пр. 30 «Отличный», «Образцовый», «Отважный» (-1941), «Одаренный», «Огненный», «Ожесточенный», «Острый», «Ослепительный», «Осторожный», «Отчетливый» (1941-), пр. 30К «Отличный» (1948), (1950)- 1, пр. ЗОбис «Смелый» (05-09.1948), «Способный» (03-12.1950), (-02.1953)- 14; пр. 41 «Неустрашимый» (12.1949-01.1952); пр. 56 «Спокойный» (03.1953-55), (1955-57)- 11, пр. 56М «Проворный» (-12.1958); ракетные пр. 57бис «Гремящий» (02.1959-61), «Жгучий», «Зоркий», «Дерзкий» (1960-61), с КР П-35 пр. 58 «Грозный» (02.1960-03.1961), «Адмирал Фокин», «Адмирал Головко», «Варяг» (1962-08.1965); пр. 956 «Современный» (03.1976-11.1978), (- 1993)- 16, пр. 956Э для Китая (1999-2000)- 2, «Вечный» пр. 956ЭМ для Китая (2003-06)- 2; крейсеры «Адмирал Бутаков» («Правда», «Ворошилов») (11.1913-07.1916), «Адмирал Спиридов» (11.1913-08.1916), переоборудование крейсера «Адмирал Спиридов» в танкер «Грознефть» (-1926); тральщики: типа «Капсюль» «Капсюль», «Груз» (-03.1916), типа «Ударник» «Ударник», «Защитник» (02-07.1916), (10.1917-)- 5; пр. 3 «Заряд» (Т-201), «Буй» (Т-202), «Патрон» (Т-203), «Фугас» (Т-204) (10.1933-); пр. 53 Т-1 «Стрела», Т-2 «Трос», Т-3 «Проводник», Т-4 «Подсекатель» (05.1935-36, достройка на заводе 196); пр. 253л (МТ-1) (1943-44)- 9, МТ-2 (1944); речные буксиры (1920-)- 20; рефрижераторы: типа «Смольный» «Ян Рудзутак» («Мария Ульянова»), «Алексей Рыков» («Андрей Жданов») (05.1925-08.1926), II серии «Смольный», «Феликс Дзержинский», III серии «Сибирь», «Кооперация» (1926-30); лесовозы: типа «Волголес» «Мурманлес», «Старый большевик» (1930-е); пр. 596 типа «Вытегралес» (1962-)- 64 (вместе с заводом 870); сухогрузы: I и II серий «Бела Кун» («В. Маяковский»), «Макс Гельц», «Жан Жорес», «Фридрих Энгельс» (1929-32), III и IV серий «КИМ», «Комсомол», «Челюскинец», «Литвинов» (1931-36); типа «Валдай»; пр. 1562 «50-летие комсомола» (1968-); пр. 1607 «Иван Скуридин» (1975-)- 14, пр. 16073 «60-летие СССР» (1982-)- 5, пр. 16071 «С. Киров» (1986-89); пр. 15760 (-1994); лихтеры типа «Комсеверопуть» I и II серии (-1930)- 4; траулеры I серии РТ-57 «Смена» (-11.1930), РТ-58 «Спартак», РТ-59 «Колхозник», РТ-61 «Водник», «Одесский горсовет» (1930-31)- 28, II серии (1933-35)- 20; барэюи: (1929, сборка в Тюмени)- 7, (1930, сборка в Тюмени)- 4, нефтеналивная (1930)- 1, 600-т (1942, сборка в бухте Гольсмана)- 3; самоходные плашкоуты (1942); гидрографические суда типа «Челюскин» «Камчадал», «Партизан», «Полярный» (1934-, достройка на заводе им. Марти); танкеры для ВМФ пр. 437Н (1954-); ПЛ: V серии «Судак» (Щ-106), «Сиг» (Щ-107), «Сом» (Щ-109), «Язь» (Щ-110) (1932-); лидеры эсминцев: пр. 1 «Ленинград» (11.1932-11.1933), пр. 38 «Минск» (зак. 471, 10.1934-09.1935), пр. 48 «Сталинабад» (1939-, не достроен); корабль РЛ дозора пр. 62 (1960-е, не достроен); БПЛК: пр. 1134 с ККР П-35 «Адмирал Зозуля» (07.1964-65), «Владивосток» (-1968), «Вице- адмирал Дрозд» (-1969), «Севастополь» (-1969), пр. 1134А «Кронштадт» (1966-12.1969), «Адмирал Юмашев» (-1977)- 10; пр. 1155 «Фрегат» «Вице-адмирал Кулаков» (1979-12.1981), «Маршал Василевский» (-1983), «Адмирал Трибуц» (-1985), «Адмирал Левченко» (-1988); сторожевики (СКР): типа «Ураган» «Ураган» (08.1927-05.1929), «Тайфун», «Смерч», «Циклон», «Гроза», «Вихрь» (08.1927-30), II серии (пр. 4) «Метель», «Вьюга» (12.1931-, сборка на Дальзаводе), III серии (пр. 39) «Буря», «Пурга» (1934-), «Молния» (1934-, сборка на Дальзаводе), IV серии (пр, 39) «Снег», «Туча» (04.1935-09.1938); пр. 29 «Ястреб» (05.1939-07.1940), «Беркут», «Сокол», «Гриф», «Тайфун» (1939-41-), пр. 29к «Орел», «Коршун», «Зоркий» (1947-51); пограничные пр. 43 ПСК-301 («Жемчуг»), ПСК-302 («Рубин»), ПСК-303 («Бриллиант»), ПСК-304 («Сапфир») (1934-37); пр. 61 С-751 «Огневой» (08.1962-05.1963), «Образцовый» (1963-), «Одаренный» (1963-), «Славный» (1964-), «Стерегущий» (1964-66); пр. 1135, «Жаркий» (04.1974-76), «Ретивый» (1974-), «Комсомолец Ленинграда» (03.1976-09.1977), «Бдительный» (-09.1979)- 6; корвет пр. 20380 «Стерегущий» (12.2001-06), «Сообразительный» (05.2003-03.2010), «Бойкий» (07.2005-), «Стойкий» (11.2006-); БПЛК пр. 1155 «Удалой»; служебно-разъездной катер пр. 21270 «Буревестник» (-05.2003 г.), «Альбатрос» (-2007); суда спецназначения для ВМФ: освещения подводной обстановки пр. 11810 (1980-е-90-е, не достроен); корабль разведки и связи пр. 18280 «Адмирал Ю. Иванов» (12.2004-); фрегат пр. 22350 «Адмирал Горшков» (02.2006 г.-); передаточный плавдок на 12.000 т пр. 1769 (1972- 75)- 2; автомобильные паромы (1970-е); пассажирский теплоход пр. 1877 «Россия» (1973); гл. турбины для эсминцев пр. 45 (1936), пр. 7 (1930-е); бомбы ЗАБ-50, ЗАБ-2,5, детали минометов (ВОВ); переоборудование: транспорта «Тосно» в плавбазу ПЛ (1916), пароходов «Вергилия» и «Руссланд» в минзаги «Свирь» и «Мета» (1915), рефрижератора «Феликс Дзержинский» в минный заградитель пр. 125 (1940); финских судов в экспедиционные гидроакустические пр. 221 и пр. 222 (I960)- 2; лесовозов пр. 596 в плавучий КИК по пр. 1918 «Селена-1» (1967)- 4 (вместе с заводом 870), по пр. 1929 «Селена-2» (1976-78)- 4; БРК пр. 57Б в БПЖ по пр. 57А (1968-73)- 8 (вместе с заводами 445 и 202); БПЛК пр. 61 по пр. 61МП (1971-81)- 5 (вместе с заводами 445 и 497); капремонт: гидроавиатранспорта «Орлица» (1922); лидера «Минск» (ВОВ); восстановительно- реставрационный ремонт крейсера «Аврора» по пр. 01917 (1984-87);</w:t>
      </w:r>
      <w:r w:rsidRPr="002F2FDF">
        <w:rPr>
          <w:rFonts w:ascii="Times New Roman" w:hAnsi="Times New Roman" w:cs="Times New Roman"/>
          <w:color w:val="000000" w:themeColor="text1"/>
          <w:kern w:val="2"/>
          <w:sz w:val="16"/>
          <w:szCs w:val="16"/>
          <w:vertAlign w:val="superscript"/>
        </w:rPr>
        <w:t>116</w:t>
      </w:r>
      <w:r w:rsidRPr="002F2FDF">
        <w:rPr>
          <w:rFonts w:ascii="Times New Roman" w:hAnsi="Times New Roman" w:cs="Times New Roman"/>
          <w:color w:val="000000" w:themeColor="text1"/>
          <w:kern w:val="2"/>
          <w:sz w:val="16"/>
          <w:szCs w:val="16"/>
        </w:rPr>
        <w:t xml:space="preserve"> эсминцев пр. 956, БПЖ пр. 1155, крейсера «Адмирал Устинов» (1990-е) (11982).</w:t>
      </w:r>
    </w:p>
    <w:p w14:paraId="4F58D2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97C4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27 декабря 1917 г. </w:t>
      </w:r>
      <w:r w:rsidR="009556D7" w:rsidRPr="002F2FDF">
        <w:rPr>
          <w:rFonts w:ascii="Times New Roman" w:hAnsi="Times New Roman" w:cs="Times New Roman"/>
          <w:color w:val="000000" w:themeColor="text1"/>
          <w:kern w:val="2"/>
          <w:sz w:val="16"/>
          <w:szCs w:val="16"/>
        </w:rPr>
        <w:t xml:space="preserve">(9 января 1918) </w:t>
      </w:r>
      <w:r w:rsidRPr="002F2FDF">
        <w:rPr>
          <w:rFonts w:ascii="Times New Roman" w:hAnsi="Times New Roman" w:cs="Times New Roman"/>
          <w:color w:val="000000" w:themeColor="text1"/>
          <w:kern w:val="2"/>
          <w:sz w:val="16"/>
          <w:szCs w:val="16"/>
        </w:rPr>
        <w:t>Декретом СНК завод завод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  г. Ленинград;  г. Челябинск/ /198097  г. Ленинград,  г. Санкт-Петербург пр. Стачек, д. 47 тел. 183-80-01/) вновь национализирован и передан в ведение образованного Правительственного правления Путиловского завода и верфи СНХ Северного района; 5.04.1919 г. Правление ликвидировано в связи с образованием правления «Петротяж».</w:t>
      </w:r>
    </w:p>
    <w:p w14:paraId="62498C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11.1917 г. на заводе был оборудован бронепоезд «Стальной противосамолетный бронепоезд». В 12.1917 г. работа завода была приостановлена из-за отсутствия топлива и разрухи. Однако на заводе продолжались работы по переводу бронеавтомобилей на полугусеничный ход. В 1919 г. было выпущено 5 бронеавтомобилей "</w:t>
      </w:r>
      <w:r w:rsidRPr="002F2FDF">
        <w:rPr>
          <w:rFonts w:ascii="Times New Roman" w:hAnsi="Times New Roman" w:cs="Times New Roman"/>
          <w:color w:val="000000" w:themeColor="text1"/>
          <w:kern w:val="2"/>
          <w:sz w:val="16"/>
          <w:szCs w:val="16"/>
          <w:lang w:val="en-US"/>
        </w:rPr>
        <w:t>Austin</w:t>
      </w:r>
      <w:r w:rsidRPr="002F2FDF">
        <w:rPr>
          <w:rFonts w:ascii="Times New Roman" w:hAnsi="Times New Roman" w:cs="Times New Roman"/>
          <w:color w:val="000000" w:themeColor="text1"/>
          <w:kern w:val="2"/>
          <w:sz w:val="16"/>
          <w:szCs w:val="16"/>
        </w:rPr>
        <w:t>" на полугусеничном шасси А. Кегресса. Пост. СТО от 3.10.1921 г. было приказано пустить завод. В 1920-30-е  г. - производство стали, металлопроката, паровозов, вагонов. Зарождаются новые производства - танкостроение, турбостроение, тракторостроение.</w:t>
      </w:r>
    </w:p>
    <w:p w14:paraId="3A8CD5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конца 1921 г. завод - в ведении Секции тяжелой индустрии Петроградского СНХ, с 1922 г. - треста «Машинострой». В 11.1922 г. Путюговский завод переименован в «Красный путиловец», с 1932 г. - в ведении Главмашпрома НКТП. 15(7).12.1934 г. переименован в Кировский завод. С 1936 г. - в ведении НКТМ, в 12.1937 г. - в ведении Главтяжмаша НКМ. С 1.07.1941 г. передан в состав НКСМ, с 09.1941 г. - в НКТП.</w:t>
      </w:r>
    </w:p>
    <w:p w14:paraId="47E01476" w14:textId="77777777" w:rsidR="003431D2" w:rsidRPr="002F2FDF" w:rsidRDefault="003431D2" w:rsidP="0083075A">
      <w:pPr>
        <w:tabs>
          <w:tab w:val="left" w:pos="1153"/>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1932 г. на заводе разработана 45-мм танковая пушка. Для танка Т-28 создана 76,2-мм пушка КТ («Кировская танковая») обр. 1927/32 г. С 05.1933 г. начато освоение производства танковой пушки ПС-3, в 1938 г. она снята с вооружения в связи с арестом П. Сячинтова. В 1935-36 г. конструкторами П. Сячинтовым и ЛИ. Горлицким под руководством С.А. Маханова на базе ПС-19 создана 76-мм пушка </w:t>
      </w:r>
      <w:r w:rsidRPr="002F2FDF">
        <w:rPr>
          <w:rFonts w:ascii="Times New Roman" w:hAnsi="Times New Roman" w:cs="Times New Roman"/>
          <w:color w:val="000000" w:themeColor="text1"/>
          <w:kern w:val="2"/>
          <w:sz w:val="16"/>
          <w:szCs w:val="16"/>
          <w:lang w:val="en-US"/>
        </w:rPr>
        <w:t>JI</w:t>
      </w:r>
      <w:r w:rsidRPr="002F2FDF">
        <w:rPr>
          <w:rFonts w:ascii="Times New Roman" w:hAnsi="Times New Roman" w:cs="Times New Roman"/>
          <w:color w:val="000000" w:themeColor="text1"/>
          <w:kern w:val="2"/>
          <w:sz w:val="16"/>
          <w:szCs w:val="16"/>
        </w:rPr>
        <w:t xml:space="preserve">-7 для Т-28, велись работы по универсальной 76-мм пушке </w:t>
      </w:r>
      <w:r w:rsidRPr="002F2FDF">
        <w:rPr>
          <w:rFonts w:ascii="Times New Roman" w:hAnsi="Times New Roman" w:cs="Times New Roman"/>
          <w:color w:val="000000" w:themeColor="text1"/>
          <w:kern w:val="2"/>
          <w:sz w:val="16"/>
          <w:szCs w:val="16"/>
          <w:lang w:val="en-US"/>
        </w:rPr>
        <w:t>JI</w:t>
      </w:r>
      <w:r w:rsidRPr="002F2FDF">
        <w:rPr>
          <w:rFonts w:ascii="Times New Roman" w:hAnsi="Times New Roman" w:cs="Times New Roman"/>
          <w:color w:val="000000" w:themeColor="text1"/>
          <w:kern w:val="2"/>
          <w:sz w:val="16"/>
          <w:szCs w:val="16"/>
        </w:rPr>
        <w:t xml:space="preserve">-10 (1938 г.). В 1938 г. на базе </w:t>
      </w:r>
      <w:r w:rsidRPr="002F2FDF">
        <w:rPr>
          <w:rFonts w:ascii="Times New Roman" w:hAnsi="Times New Roman" w:cs="Times New Roman"/>
          <w:color w:val="000000" w:themeColor="text1"/>
          <w:kern w:val="2"/>
          <w:sz w:val="16"/>
          <w:szCs w:val="16"/>
          <w:lang w:val="en-US"/>
        </w:rPr>
        <w:t>JI</w:t>
      </w:r>
      <w:r w:rsidRPr="002F2FDF">
        <w:rPr>
          <w:rFonts w:ascii="Times New Roman" w:hAnsi="Times New Roman" w:cs="Times New Roman"/>
          <w:color w:val="000000" w:themeColor="text1"/>
          <w:kern w:val="2"/>
          <w:sz w:val="16"/>
          <w:szCs w:val="16"/>
        </w:rPr>
        <w:t xml:space="preserve">-10 создана </w:t>
      </w:r>
      <w:r w:rsidRPr="002F2FDF">
        <w:rPr>
          <w:rFonts w:ascii="Times New Roman" w:hAnsi="Times New Roman" w:cs="Times New Roman"/>
          <w:color w:val="000000" w:themeColor="text1"/>
          <w:kern w:val="2"/>
          <w:sz w:val="16"/>
          <w:szCs w:val="16"/>
          <w:lang w:val="en-US"/>
        </w:rPr>
        <w:t>JI</w:t>
      </w:r>
      <w:r w:rsidRPr="002F2FDF">
        <w:rPr>
          <w:rFonts w:ascii="Times New Roman" w:hAnsi="Times New Roman" w:cs="Times New Roman"/>
          <w:color w:val="000000" w:themeColor="text1"/>
          <w:kern w:val="2"/>
          <w:sz w:val="16"/>
          <w:szCs w:val="16"/>
        </w:rPr>
        <w:t>-11, в 04.1939 г. он пнв для танков Т-28 и БТ-7А, но затем снята с вооружения из-за конструктивных недостатков.</w:t>
      </w:r>
    </w:p>
    <w:p w14:paraId="7A7DC7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решению СТО в 09.1932 г. начата подготовка к серийному выпуску танка Т-28. Для него был выделен цех МХ-2 (2-й механический, или «паровозный»). По распоряжению С.М. Кирова завод был укомплектован оборудованием, сюда перевели несколько опытных мастеров с других заводов. В 04.1933 г. выпущены первые 12 танков. В 1933 г. куплено около 30 станков, в цехе создано 8 стапелей для сборки танков, в 1934 г. перестройка цеха МХ-2 завершена. В конце 1933 г. для сопровождения выпуска танка создано СКБ-2.</w:t>
      </w:r>
      <w:r w:rsidRPr="002F2FDF">
        <w:rPr>
          <w:rFonts w:ascii="Times New Roman" w:hAnsi="Times New Roman" w:cs="Times New Roman"/>
          <w:color w:val="000000" w:themeColor="text1"/>
          <w:kern w:val="2"/>
          <w:sz w:val="16"/>
          <w:szCs w:val="16"/>
          <w:vertAlign w:val="superscript"/>
        </w:rPr>
        <w:t>124</w:t>
      </w:r>
    </w:p>
    <w:p w14:paraId="466555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Перед войной на заводе прекращен выпуск тракторов, тракторные цеха переоборудованы под производство авиационных дизелей.</w:t>
      </w:r>
    </w:p>
    <w:p w14:paraId="389F9B34" w14:textId="77777777" w:rsidR="003431D2" w:rsidRPr="002F2FDF" w:rsidRDefault="003431D2" w:rsidP="0083075A">
      <w:pPr>
        <w:tabs>
          <w:tab w:val="left" w:pos="1172"/>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1930-е-40-е </w:t>
      </w:r>
      <w:r w:rsidR="009556D7" w:rsidRPr="002F2FDF">
        <w:rPr>
          <w:rFonts w:ascii="Times New Roman" w:hAnsi="Times New Roman" w:cs="Times New Roman"/>
          <w:color w:val="000000" w:themeColor="text1"/>
          <w:kern w:val="2"/>
          <w:sz w:val="16"/>
          <w:szCs w:val="16"/>
        </w:rPr>
        <w:t>г</w:t>
      </w:r>
      <w:r w:rsidRPr="002F2FDF">
        <w:rPr>
          <w:rFonts w:ascii="Times New Roman" w:hAnsi="Times New Roman" w:cs="Times New Roman"/>
          <w:color w:val="000000" w:themeColor="text1"/>
          <w:kern w:val="2"/>
          <w:sz w:val="16"/>
          <w:szCs w:val="16"/>
        </w:rPr>
        <w:t>г. завод имел цех по производству авиадвигателей. Пост. ГКО № 148 от 14.07.1941 г. заводу поручено производство авиадизелей М-40. На заводе в 1941 г. создано КБ по авиадизелям В.М. Яковлева.</w:t>
      </w:r>
    </w:p>
    <w:p w14:paraId="5E11F5C0" w14:textId="77777777" w:rsidR="003431D2" w:rsidRPr="002F2FDF" w:rsidRDefault="003431D2" w:rsidP="0083075A">
      <w:pPr>
        <w:tabs>
          <w:tab w:val="left" w:pos="1182"/>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НКТМ № 231с от 04.1941 г. отделу № 5 завода было поручено спроектировать и изготовить к 15.10.1941 г. два опытных дизеля мощностью 1200 л.с. на базе М-40 и М-50 для танков КВ-4 и КВ-5. До лета 1941 г. строились М-40 и М-40Ф.</w:t>
      </w:r>
    </w:p>
    <w:p w14:paraId="720DBB1C" w14:textId="77777777" w:rsidR="003431D2" w:rsidRPr="002F2FDF" w:rsidRDefault="003431D2" w:rsidP="0083075A">
      <w:pPr>
        <w:tabs>
          <w:tab w:val="left" w:pos="146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 НКТП № 12сс от 1937 г. завод к 1.03.1937 г. должен был сдать: 2 главных судовых турбины (сдана 1), судовых насосов: турбо-циркуляционных конденсатных - 4 (не сдано), нефтеперекачивающих - 10 (0), турбо- вентиляторов- 8 (0).</w:t>
      </w:r>
    </w:p>
    <w:p w14:paraId="13D024C0" w14:textId="77777777" w:rsidR="003431D2" w:rsidRPr="002F2FDF" w:rsidRDefault="003431D2" w:rsidP="0083075A">
      <w:pPr>
        <w:tabs>
          <w:tab w:val="left" w:pos="120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 КО № 14 от 25.05.1937 г. заводу поручалось к 1.08.1937 г. изготовить образец Т-29Ц с цементированной •»</w:t>
      </w:r>
      <w:r w:rsidRPr="002F2FDF">
        <w:rPr>
          <w:rFonts w:ascii="Times New Roman" w:hAnsi="Times New Roman" w:cs="Times New Roman"/>
          <w:color w:val="000000" w:themeColor="text1"/>
          <w:kern w:val="2"/>
          <w:sz w:val="16"/>
          <w:szCs w:val="16"/>
        </w:rPr>
        <w:tab/>
        <w:t>броней (построен не был).</w:t>
      </w:r>
    </w:p>
    <w:p w14:paraId="331E8B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соответствии с пост. КО № 443сс от 19.12.1939 г. начато производство танка КВ. В 1940 г. выпущено 139 КВ- 1 и 104 КВ-2. В 08.1940 г. в СТБ завода (Рудаков) разработаны конструкции литого корпуса и башни для танка КВ. К концу июля 1941 г. суточный выпуск </w:t>
      </w:r>
      <w:r w:rsidRPr="002F2FDF">
        <w:rPr>
          <w:rFonts w:ascii="Times New Roman" w:hAnsi="Times New Roman" w:cs="Times New Roman"/>
          <w:color w:val="000000" w:themeColor="text1"/>
          <w:kern w:val="2"/>
          <w:sz w:val="16"/>
          <w:szCs w:val="16"/>
          <w:lang w:val="en-US"/>
        </w:rPr>
        <w:t>KB</w:t>
      </w:r>
      <w:r w:rsidRPr="002F2FDF">
        <w:rPr>
          <w:rFonts w:ascii="Times New Roman" w:hAnsi="Times New Roman" w:cs="Times New Roman"/>
          <w:color w:val="000000" w:themeColor="text1"/>
          <w:kern w:val="2"/>
          <w:sz w:val="16"/>
          <w:szCs w:val="16"/>
        </w:rPr>
        <w:t xml:space="preserve"> доведен до 10 машин.</w:t>
      </w:r>
    </w:p>
    <w:p w14:paraId="35E33E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 КО № 45сс от 26.01.1940 г. пушка Ф-32 принята на вооружение танка КВ. Заводу поручено ее производство со 2-го квартала 1940 г. с выпуском первых 30 пушек до 1.07.1940 г. и программой выпуска в 1941 г. 2500 штук.</w:t>
      </w:r>
    </w:p>
    <w:p w14:paraId="69DAFB99" w14:textId="77777777" w:rsidR="003431D2" w:rsidRPr="002F2FDF" w:rsidRDefault="003431D2" w:rsidP="0083075A">
      <w:pPr>
        <w:tabs>
          <w:tab w:val="left" w:pos="146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 СНК от 17.07.1940 г. заводу было поручено к 1.11.1940 г. выпустить два тяжелых танка с броней 90 мм.</w:t>
      </w:r>
    </w:p>
    <w:p w14:paraId="10F309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5.11.1940 г. был построен опытный Т-150 с броней 90 мм, а 5.12.1940 г.- Т-220 с броней 100 мм. В соответствии с пост. СНК № 548-232сс от 15.03.1941 г. заводу поручено с 06.1940 г. начать серийный выпуск Т-150 (КВ-3).</w:t>
      </w:r>
    </w:p>
    <w:p w14:paraId="56C71D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02.1941 г. в состав завода был передан расположенный рядом механический завод им. Молотова. В нем были организованы новые танковые цехи: сборочный СБ-2, сдаточный СД-2; были перестроены и расширены цехи: механический МХ-2, литейные, кузнечные, термические. В 07.1941 г. на территории опытного цеха ОП-2 в пригороде Ленинграда устроен испытательный танкодром. После захвата немцами Красного Села начались обстрелы завода, и танковое производство было переведено на Выборгскую сторону на площадку завода им. Сталина. 18.10.1941 г. был собран последний танк </w:t>
      </w:r>
      <w:r w:rsidRPr="002F2FDF">
        <w:rPr>
          <w:rFonts w:ascii="Times New Roman" w:hAnsi="Times New Roman" w:cs="Times New Roman"/>
          <w:color w:val="000000" w:themeColor="text1"/>
          <w:kern w:val="2"/>
          <w:sz w:val="16"/>
          <w:szCs w:val="16"/>
          <w:lang w:val="en-US"/>
        </w:rPr>
        <w:t>KB</w:t>
      </w:r>
      <w:r w:rsidRPr="002F2FDF">
        <w:rPr>
          <w:rFonts w:ascii="Times New Roman" w:hAnsi="Times New Roman" w:cs="Times New Roman"/>
          <w:color w:val="000000" w:themeColor="text1"/>
          <w:kern w:val="2"/>
          <w:sz w:val="16"/>
          <w:szCs w:val="16"/>
        </w:rPr>
        <w:t xml:space="preserve"> в Ленинграде.</w:t>
      </w:r>
    </w:p>
    <w:p w14:paraId="2FCA11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04.1941 г. завод имел филиал - завод № 1 «Знамя труда».</w:t>
      </w:r>
    </w:p>
    <w:p w14:paraId="7610EF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соответствии с пост, правительства от 25.06.1941 г. и приказом НКТМ № 253сс от 26.06.1941 г. с 1.07.1941 г. подготовка производства КВ-3 снята с Кировского завода и передана на ЧТЗ, а Кировский завод передан из НКТМ в ведение НКСМ. В соответствии с пост. ГКО № 99сс от 11.07.1941 г. Кировский завод НКСМ йодлежал эвакуации в Нижний Тагил на площадку Уралвагонзавода. 26.08.1941 г. вышло постановление ГКО № 587 об эвакуации завода, но уже 28.08.1941 г. вышло </w:t>
      </w:r>
      <w:r w:rsidRPr="002F2FDF">
        <w:rPr>
          <w:rFonts w:ascii="Times New Roman" w:hAnsi="Times New Roman" w:cs="Times New Roman"/>
          <w:color w:val="000000" w:themeColor="text1"/>
          <w:kern w:val="2"/>
          <w:sz w:val="16"/>
          <w:szCs w:val="16"/>
        </w:rPr>
        <w:lastRenderedPageBreak/>
        <w:t>постановление ГКО № 596 об отсрочке эвакуации (однако, в июле- августе было отправлено не менее 6 эшелонов).</w:t>
      </w:r>
      <w:r w:rsidRPr="002F2FDF">
        <w:rPr>
          <w:rFonts w:ascii="Times New Roman" w:hAnsi="Times New Roman" w:cs="Times New Roman"/>
          <w:color w:val="000000" w:themeColor="text1"/>
          <w:kern w:val="2"/>
          <w:sz w:val="16"/>
          <w:szCs w:val="16"/>
          <w:vertAlign w:val="superscript"/>
        </w:rPr>
        <w:t>128</w:t>
      </w:r>
      <w:r w:rsidRPr="002F2FDF">
        <w:rPr>
          <w:rFonts w:ascii="Times New Roman" w:hAnsi="Times New Roman" w:cs="Times New Roman"/>
          <w:color w:val="000000" w:themeColor="text1"/>
          <w:kern w:val="2"/>
          <w:sz w:val="16"/>
          <w:szCs w:val="16"/>
        </w:rPr>
        <w:t xml:space="preserve"> По постановлению ГКО № 734сс от 4.10.1941 г. Кировский завод необходимо было с 4 октября по 1 ноября 1941 г. эвакуировать в Челябинск и уже в 10.1941 г. начать выпуск танков на новом месте. Завод частично эвакуирован на ЧТЗ, где образован Челябинский Кировский завод; часть танкового производства эвакуирована на УЗТМ; дизельное производство эвакуировано на площадку Уральского турбинного завода; до ноября 1941 г. было эвакуировано около 11 тыс. чел. работников завода с семьями. Часть завода продолжила действовать в Ленинграде.</w:t>
      </w:r>
    </w:p>
    <w:p w14:paraId="02CD26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соответствии с пост. ГКО № 1923 от 22.06.1942 г. начат выпуск трактора-тягача С-10. 16.07.1942 г. вышло постановление ГКО № 2058 о запуске в производство на заводе улучшенных агрегатов танка Т-34. 15.10.1942 г. вышло постановление ГКО № 2420 о выпуске на заводе 100 танков </w:t>
      </w:r>
      <w:r w:rsidRPr="002F2FDF">
        <w:rPr>
          <w:rFonts w:ascii="Times New Roman" w:hAnsi="Times New Roman" w:cs="Times New Roman"/>
          <w:color w:val="000000" w:themeColor="text1"/>
          <w:kern w:val="2"/>
          <w:sz w:val="16"/>
          <w:szCs w:val="16"/>
          <w:lang w:val="en-US"/>
        </w:rPr>
        <w:t>KB</w:t>
      </w:r>
      <w:r w:rsidRPr="002F2FDF">
        <w:rPr>
          <w:rFonts w:ascii="Times New Roman" w:hAnsi="Times New Roman" w:cs="Times New Roman"/>
          <w:color w:val="000000" w:themeColor="text1"/>
          <w:kern w:val="2"/>
          <w:sz w:val="16"/>
          <w:szCs w:val="16"/>
        </w:rPr>
        <w:t xml:space="preserve"> с утолщенной бортовой броней. В соответствии с пост. ГКО № 3891сс от 8.08.1943 г. запущен в серию танк КВ-85 вплоть до освоения выпуска танка ИС. Пост. ГКО № 4043сс от 4.09.1943 г. танк ИС-85 пнв и запущен в серию. 7.09.1943 г. НКТТТ определил программу выпуска ИС: в ноябре- 25 шт., в декабре- 75шт., увеличенную затем до 300 шт. Пост. ГКО № 4479сс от 31.10.1943 г. заводу поручено производство танка ИС-2 (ИС-122) с выпуском в декабре 35 машин. С 15.03.1944 г. для увеличения выпуска ИС прекращено производство танка Т-34. 8.04.1944 г. вышло постановление ГКО № 5583сс об изготовлении на заводе двух опытных образцов тяжелого танка «К» («объект 701»), 26.05.1944 г. - постановление ГКО № 5959 об организации производства танка ИС на заводе и о восстановлении металлургии. 25.10.1944 г. - распоряжение ГКО № 6778 о мерах по бесперебойной доставке пушек для производства танков ИС и САУ.</w:t>
      </w:r>
    </w:p>
    <w:p w14:paraId="135291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1942 г. на Кировском заводе образован филиал завода № 100 НКТП. В 01.1949 г. он реорганизован в самостоятельный НИИ-100 МТМ.</w:t>
      </w:r>
    </w:p>
    <w:p w14:paraId="61B5C0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27.07.1943 г. вышло постановление ГКО № 3821 об увеличении энергетических мощностей Кировского завода в Челябинске. 16.06.1944 г. вышло распоряжение ГКО № 6070 о направление на Кировский завод в Челябинске 3250 рабочих.</w:t>
      </w:r>
    </w:p>
    <w:p w14:paraId="14A668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1946 г. Кировский завод - в ведении МТМ, с 1957 г. - Управления тяжелой промышленности ЛенСНХ, с 1965 г. - МОП. 15.11.1973 г. на базе завода образовано ПО «Кировский завод».</w:t>
      </w:r>
    </w:p>
    <w:p w14:paraId="4F0408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1945 г. завод долгое время был единственным в стране по производству главных энергетических установок кораблей и ПЛ ВМФ, атомных ледоколов. К началу 2000-х  г. построено более 1000 турбинных установок.</w:t>
      </w:r>
    </w:p>
    <w:p w14:paraId="68CE0A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войны образовано КБ-4 по проектированию главных турбозубчатых агрегатов (ГТЗА) для судов.</w:t>
      </w:r>
    </w:p>
    <w:p w14:paraId="436369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войны создано СКВ для разработки оборудования по производству обогащенного урана.</w:t>
      </w:r>
    </w:p>
    <w:p w14:paraId="57E4DD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1967-75 г. произведена полная реконструкция копрового, мартеновского и прокатного цехов.</w:t>
      </w:r>
    </w:p>
    <w:p w14:paraId="021D0C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01.1968 г. на Тихвинском заводе «Центролит» образован филиал Кировского завода по выпуску узлов к тракторам К-701 «Кировец». В 11.1973 г. «Центролит», филиал ПО «Кировский завод» и ВПТИлитпром были объединены в Тихвинские производства ПО «Кировский завод». В 1993 г. предприятие преобразовано в самостоятельный Завод «Трансмаш».</w:t>
      </w:r>
    </w:p>
    <w:p w14:paraId="2F6A43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5.11.1992 г. предприятие преобразовано в АООТ, в 1996 г. - в ОАО «Кировский завод». В 1994 г. образованы первые 10 дочерних предприятий. В 2004 г. в его состав входило 37 дочерних предприятий, в т.ч. «Термопресс», завод «Киров-Энергомаш», ООО «Киров-Станкомаш», металлургический завод «Петросталь», ЗАО «Петербургский тракторный завод» ( ПТЗ), Кузнечный завод, завод «Универсалмаш», ЗАО «Спецпривод», ЗАО «Металик», ЗАО «КировТЭК», АО «Петербургский автобус», ЗАО «Локомотив», ЗАО «Атомэнерго», ЗАО ПКБ «Автоматика», ОАО «Синтез-Кировец», ЗАО «Гидравлика», ЗАО «Центр метрологии, испытаний и охраны труда», АО «Принт-СТО», СП «Кировец-ЛандТехник СПб», ОАО «Тетрамет», «Уником», ЗАО «Кировремстройкомплекс», ОАО «Промышленный комплекс «Энергия».</w:t>
      </w:r>
    </w:p>
    <w:p w14:paraId="1AA084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решению правительства № 22-р от 9.01.2004 г. ОАО «Кировский завод» вошло в перечень стратегических предприятий.</w:t>
      </w:r>
    </w:p>
    <w:p w14:paraId="1B172A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помещений (2005 г.)- 1,2 млн. м</w:t>
      </w:r>
      <w:r w:rsidRPr="002F2FDF">
        <w:rPr>
          <w:rFonts w:ascii="Times New Roman" w:hAnsi="Times New Roman" w:cs="Times New Roman"/>
          <w:color w:val="000000" w:themeColor="text1"/>
          <w:kern w:val="2"/>
          <w:sz w:val="16"/>
          <w:szCs w:val="16"/>
          <w:vertAlign w:val="superscript"/>
        </w:rPr>
        <w:t>2</w:t>
      </w:r>
      <w:r w:rsidRPr="002F2FDF">
        <w:rPr>
          <w:rFonts w:ascii="Times New Roman" w:hAnsi="Times New Roman" w:cs="Times New Roman"/>
          <w:color w:val="000000" w:themeColor="text1"/>
          <w:kern w:val="2"/>
          <w:sz w:val="16"/>
          <w:szCs w:val="16"/>
        </w:rPr>
        <w:t>.</w:t>
      </w:r>
    </w:p>
    <w:p w14:paraId="62CEB3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Артиллерийского отдела (1916 г.)- более 15.000 чел., (1996 г.)-12.154 чел.</w:t>
      </w:r>
    </w:p>
    <w:p w14:paraId="2EC559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Владелец (1868-80 г.)- Н.И. Путилов.</w:t>
      </w:r>
    </w:p>
    <w:p w14:paraId="63F7F6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(1801 г.-)- К. Гаскойн, (1913 г.)- г А.Ф. Бринк; И.О. директора (-12.1917 г.)- Щегольков, (1918 г.)- А.Е. Васильев; (1922 г.-)- С. Афанасьев, (02.1937 г.)- Тер-Асатуров, (03.1938 г.)- Львов, (-1939-08.1941-; -10.1943- 03.1945 г.-)- И.М. Зальцман,</w:t>
      </w:r>
      <w:r w:rsidRPr="002F2FDF">
        <w:rPr>
          <w:rFonts w:ascii="Times New Roman" w:hAnsi="Times New Roman" w:cs="Times New Roman"/>
          <w:color w:val="000000" w:themeColor="text1"/>
          <w:kern w:val="2"/>
          <w:sz w:val="16"/>
          <w:szCs w:val="16"/>
          <w:vertAlign w:val="superscript"/>
        </w:rPr>
        <w:t>65</w:t>
      </w:r>
      <w:r w:rsidRPr="002F2FDF">
        <w:rPr>
          <w:rFonts w:ascii="Times New Roman" w:hAnsi="Times New Roman" w:cs="Times New Roman"/>
          <w:color w:val="000000" w:themeColor="text1"/>
          <w:kern w:val="2"/>
          <w:sz w:val="16"/>
          <w:szCs w:val="16"/>
        </w:rPr>
        <w:t xml:space="preserve"> (05.1943 г.)- Длугач. Гендиректор (1987-10.08.2005 г.)- П. Г. Семененко (погиб). И.О. Гендиректора (08.2005-08 г.-)-  Г.П. Семененко.</w:t>
      </w:r>
    </w:p>
    <w:p w14:paraId="3AB419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Помощник директора (08.1918 г.-)- И.А. Тугаринов. Зам. гендиректора- П. Г. Семененко; по экономике и финансам (2005 г.)- Ю. Борисов.</w:t>
      </w:r>
    </w:p>
    <w:p w14:paraId="2A4E54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инженер (11.1944 г.)- С.Н. Маконин, (-1987 г.)- П. Г. Семененко.</w:t>
      </w:r>
    </w:p>
    <w:p w14:paraId="1A18A8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гл. инженера (-1943-45 г.)- Н.А. Богородицкий.</w:t>
      </w:r>
    </w:p>
    <w:p w14:paraId="3EF691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конструктор (1939 г.)- С.А. Маханов, (02.1944 г.-)- Ж .Я. Котин.</w:t>
      </w:r>
    </w:p>
    <w:p w14:paraId="142810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гл. конструктора по артиллерийскому вооружению (1939 г.)- Л.И. Горлицкий.</w:t>
      </w:r>
    </w:p>
    <w:p w14:paraId="601DD5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металлург (-1939 г.)- Б. Г. Музруков.</w:t>
      </w:r>
    </w:p>
    <w:p w14:paraId="739DDA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танкового производства- П. Г. Семененко; технический (1918 г.)- В.Л. Саблин, Дмитриев.</w:t>
      </w:r>
    </w:p>
    <w:p w14:paraId="09C3F5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директора турбинного производства- П. Г. Семененко.</w:t>
      </w:r>
    </w:p>
    <w:p w14:paraId="3D9AE2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цехов: 4-го (07.1937 г.)- Мирошниченко; (1941 г.)- Н.А. Богородицкий, (1970 г.-)- П. Г. Семененко.</w:t>
      </w:r>
    </w:p>
    <w:p w14:paraId="79F52E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конструкторы: отдела № 5 (1941 г.)- В.М. Яковлев; ОГК (1944 г.)- Духов.</w:t>
      </w:r>
    </w:p>
    <w:p w14:paraId="4DFF1F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 отделами: Механическим- И.А. Тугаринов; судостроительным: по механической части (1909 г.)- Д.Д. Дубницкий; по судостроительной части (1909 г.)- Б.О. Василевский, (1912 г.)- г-м  Г.Ф. Шлезингер.</w:t>
      </w:r>
    </w:p>
    <w:p w14:paraId="4F610E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СТБ (1940 г.)- Рудаков.</w:t>
      </w:r>
    </w:p>
    <w:p w14:paraId="5987D7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 судостроитель (1905 г.)- М.К. Яковлев. Гл. строитель (1910 г.)- К.А. Теннисон.</w:t>
      </w:r>
    </w:p>
    <w:p w14:paraId="4B620A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Ведущие конструкторы: (1939 г.)- С.А. Маханов.</w:t>
      </w:r>
    </w:p>
    <w:p w14:paraId="0B2E77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Производство: миноносцы: «Биорке», «Роченсальм» (1889-90), «Гапсаль», «Моонзунд» (1890-91), «Тосно» и «Домеснес» (1894-), «Москвитянин» и «Доброволец» (1905-); эсминцы: «Новик» (07.1910-06.191:1),,-«Капитан Конон Зотов», «Капитан Керн» (11.1913-); миноносные крейсера: «Доброволец» (-05.1905), «Москвитянин» (- 05.1905); канонерская лодка «Кореец» (1906-); спасательное судно «Волхов» (11.1912-03.1915); башенные орудийные установки: (305-мм и 152-мм) для броненосцев «Три святителя» (1893), «Император Александр III», «Князь Суворов» (1890-е), 305-мм- для броненосцев типа «Император Павел I» (1905-), для линкора «Гангут» (1911)- 4; 3-дюймовая полевая пушка (1902-); ГТЗА: ТВ-6, для эсминцев пр. 7 (1930-е), пр. 30 (1939), для ледокола «Ленин» (1957), ГТУ-20 для газотурбохода «Парижская коммуна» (1961), ТС-1 для сухогрузов типа «Ленинский комсомол», ТС-2 для танкеров типа «Прага», ТС-3 для супертанкеров типа «Крьм» (1976), для атомного лихтеровоза «Севморпуть» (1985), ГТЗА-674 для ТАКР «Баку», для АЛЛ «Наутилус», «Комсомолец», «Акула»; турбонаддувный агрегат ТНА-3 для ТАКР «Новороссийск»; танки: Т-26 (1932-), Т-28 (1933-), Т-28А (1936-40)- 52 (1936), </w:t>
      </w:r>
      <w:r w:rsidRPr="002F2FDF">
        <w:rPr>
          <w:rFonts w:ascii="Times New Roman" w:hAnsi="Times New Roman" w:cs="Times New Roman"/>
          <w:color w:val="000000" w:themeColor="text1"/>
          <w:kern w:val="2"/>
          <w:sz w:val="16"/>
          <w:szCs w:val="16"/>
          <w:lang w:val="en-US"/>
        </w:rPr>
        <w:t>KB</w:t>
      </w:r>
      <w:r w:rsidRPr="002F2FDF">
        <w:rPr>
          <w:rFonts w:ascii="Times New Roman" w:hAnsi="Times New Roman" w:cs="Times New Roman"/>
          <w:color w:val="000000" w:themeColor="text1"/>
          <w:kern w:val="2"/>
          <w:sz w:val="16"/>
          <w:szCs w:val="16"/>
        </w:rPr>
        <w:t xml:space="preserve"> (1939-41)- 885 (1941), ИС-7 (1948)- 4, Т-80 (1976-); гусеничное шасси: «объект 271» для пушки СМ- 54 (2АЗ), стреляющей ядерными боеприпасами (1957); «объект 273» для миномета «Ока» (2Б2), стреляющего ядерыми боеприпасами (1957); самоходные ПУ: 2П4 для ОТРК «Филин» (1957-58)- 36; для ЗРК С-ЗООВ; пушки танковые: 76-мм КТ (1932-), 76-мм ПС-3 (1933-37)- около 20, Л-11 (1939), 76-мм Ф-32 (1940-); двигатели дизельные: авиационные М-40, М-40Ф (-1941); танковые В-2К, В-5 (07.1941); шестерни для танка Т-18 (1929), каретка подвески и бортовые редукторы для Т-26 (1931-); детали для </w:t>
      </w:r>
      <w:r w:rsidRPr="002F2FDF">
        <w:rPr>
          <w:rFonts w:ascii="Times New Roman" w:hAnsi="Times New Roman" w:cs="Times New Roman"/>
          <w:color w:val="000000" w:themeColor="text1"/>
          <w:kern w:val="2"/>
          <w:sz w:val="16"/>
          <w:szCs w:val="16"/>
          <w:lang w:val="en-US"/>
        </w:rPr>
        <w:t>PC</w:t>
      </w:r>
      <w:r w:rsidRPr="002F2FDF">
        <w:rPr>
          <w:rFonts w:ascii="Times New Roman" w:hAnsi="Times New Roman" w:cs="Times New Roman"/>
          <w:color w:val="000000" w:themeColor="text1"/>
          <w:kern w:val="2"/>
          <w:sz w:val="16"/>
          <w:szCs w:val="16"/>
        </w:rPr>
        <w:t xml:space="preserve"> М-13 (1942); УР: Х-55, В-601, 611, 9МЗЗ, 9М331, 9М332; паровозы (1894-); экскаваторы: паровые (1912)- 3, ЭОВ-4221 (2000); тракторы: «Фордзон-Путиловец» (1924- ), «Универсал-1», «Уншерсал-2» (1920-е), тягач С-10 (1942-), КТ-12 (1947-), К-700 «Кировец» (1962- 2002), К-701 (1975-), К-703 (1979-), К-744 (1995-), К-745 (2002-), К-3000 (2003); колесно-гусеничное шасси ШКГ- 101 (1997); снегоболотоход ШСГ 401 (2001); самоходный гусеничный кран СГК-80Р (1996); внедорожные автомобили (1992), траншейная машина «Тундра» (1995-), коммунальная машина К-20ВМ (1996), АПВ-4 (1997), фрезерно-роторная снегоуборочная машина ФРО-180, автомобили «Канонир» (2000-); паровые турбины для электростанций: ОК-ЗО (1931-); установка для ремонта нефтяных и газовых скважин (1992); насосные агрегаты АНА-105 (1996-); автоматическая газонаполнительная компрессорная станция АГНКС, газоперекачивающий агрегат ГПА-16 (2001); СВП «Север-СК» (2003);</w:t>
      </w:r>
      <w:r w:rsidRPr="002F2FDF">
        <w:rPr>
          <w:rFonts w:ascii="Times New Roman" w:hAnsi="Times New Roman" w:cs="Times New Roman"/>
          <w:color w:val="000000" w:themeColor="text1"/>
          <w:kern w:val="2"/>
          <w:sz w:val="16"/>
          <w:szCs w:val="16"/>
          <w:vertAlign w:val="superscript"/>
          <w:lang w:val="en-US"/>
        </w:rPr>
        <w:t>WKW</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vertAlign w:val="superscript"/>
          <w:lang w:val="en-US"/>
        </w:rPr>
        <w:t>kirotsk</w:t>
      </w:r>
      <w:r w:rsidRPr="002F2FDF">
        <w:rPr>
          <w:rFonts w:ascii="Times New Roman" w:hAnsi="Times New Roman" w:cs="Times New Roman"/>
          <w:color w:val="000000" w:themeColor="text1"/>
          <w:kern w:val="2"/>
          <w:sz w:val="16"/>
          <w:szCs w:val="16"/>
          <w:vertAlign w:val="superscript"/>
        </w:rPr>
        <w:t xml:space="preserve">, </w:t>
      </w:r>
      <w:r w:rsidRPr="002F2FDF">
        <w:rPr>
          <w:rFonts w:ascii="Times New Roman" w:hAnsi="Times New Roman" w:cs="Times New Roman"/>
          <w:color w:val="000000" w:themeColor="text1"/>
          <w:kern w:val="2"/>
          <w:sz w:val="16"/>
          <w:szCs w:val="16"/>
          <w:vertAlign w:val="superscript"/>
          <w:lang w:val="en-US"/>
        </w:rPr>
        <w:t>ra</w:t>
      </w:r>
      <w:r w:rsidRPr="002F2FDF">
        <w:rPr>
          <w:rFonts w:ascii="Times New Roman" w:hAnsi="Times New Roman" w:cs="Times New Roman"/>
          <w:color w:val="000000" w:themeColor="text1"/>
          <w:kern w:val="2"/>
          <w:sz w:val="16"/>
          <w:szCs w:val="16"/>
        </w:rPr>
        <w:t xml:space="preserve"> катер на воздушной подушке «Виктория».</w:t>
      </w:r>
    </w:p>
    <w:p w14:paraId="10AB91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КБ паротурбин</w:t>
      </w:r>
    </w:p>
    <w:p w14:paraId="20F66B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Организовано в 1930-е  г. для создания паротурбинных установок на дешевых сортах топлива для тяжелых самолетов. Был построен испытательный стенд, представлявший собой макет самолета ТБ-3 с действующей паротурбинной установкой. Закрыто в связи с началом работ по воздушно-реактивным двигателям.</w:t>
      </w:r>
      <w:r w:rsidRPr="002F2FDF">
        <w:rPr>
          <w:rFonts w:ascii="Times New Roman" w:hAnsi="Times New Roman" w:cs="Times New Roman"/>
          <w:color w:val="000000" w:themeColor="text1"/>
          <w:kern w:val="2"/>
          <w:sz w:val="16"/>
          <w:szCs w:val="16"/>
          <w:vertAlign w:val="superscript"/>
        </w:rPr>
        <w:t>140</w:t>
      </w:r>
    </w:p>
    <w:p w14:paraId="2887A9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конструктор (конец 1930-х)- С.А. Аксютин.</w:t>
      </w:r>
    </w:p>
    <w:p w14:paraId="7774F7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ОКБ НКВД</w:t>
      </w:r>
    </w:p>
    <w:p w14:paraId="5D4AE8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Кировском заводе действовало ОКБ НКВД. Разработка береговой артиллерии.</w:t>
      </w:r>
    </w:p>
    <w:p w14:paraId="1DBB85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СКБ-1 Кировского завода, КБ авиадизелей</w:t>
      </w:r>
    </w:p>
    <w:p w14:paraId="3DEF4C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конце 1938 г. в СКБ-1 переведен из ХАИ </w:t>
      </w:r>
      <w:r w:rsidRPr="002F2FDF">
        <w:rPr>
          <w:rFonts w:ascii="Times New Roman" w:hAnsi="Times New Roman" w:cs="Times New Roman"/>
          <w:color w:val="000000" w:themeColor="text1"/>
          <w:kern w:val="2"/>
          <w:sz w:val="16"/>
          <w:szCs w:val="16"/>
          <w:lang w:val="en-US"/>
        </w:rPr>
        <w:t>A</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M</w:t>
      </w:r>
      <w:r w:rsidRPr="002F2FDF">
        <w:rPr>
          <w:rFonts w:ascii="Times New Roman" w:hAnsi="Times New Roman" w:cs="Times New Roman"/>
          <w:color w:val="000000" w:themeColor="text1"/>
          <w:kern w:val="2"/>
          <w:sz w:val="16"/>
          <w:szCs w:val="16"/>
        </w:rPr>
        <w:t>. Люлька для создания первого советского ТРД РД-1 собственной конструкции. Люлька назначен техническим руководителем проекта. С ним приехали И.Ф. Козлов и И.А. Тарасов. Из ЦКТИ переведены С.П. Кувшинников, П.В. Мартынов, Е.И. Вольпер, Н.С. Виноградов и др. СКБ размещалось в одноэтажном корпусе рядом с турбинным цехом завода. В составе КБ группы: компрессора, камеры сгорания, турбины, автоматики, конструкции двигателя. Осенью 1940 г. рабочий проект двигателя был завершен. В 1940 г. Люлькой впервые в мире предложена схема двухконтурного ГТД.</w:t>
      </w:r>
    </w:p>
    <w:p w14:paraId="2058D0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Весной 1941 г. СКБ переведено в новое здание рядом со сборочным цехом. Сюда же переведена группа конструкторов из ЦИАМ во главе с В.М. Яковлевым для разработки и сопровождения производства авиационных дизелей. Яковлев возглавил объединенное КБ авиадизелей, СКБ вошло в его состав. Продолжены работы по дизелю М-40 (бывший АН-</w:t>
      </w:r>
      <w:r w:rsidRPr="002F2FDF">
        <w:rPr>
          <w:rFonts w:ascii="Times New Roman" w:hAnsi="Times New Roman" w:cs="Times New Roman"/>
          <w:color w:val="000000" w:themeColor="text1"/>
          <w:kern w:val="2"/>
          <w:sz w:val="16"/>
          <w:szCs w:val="16"/>
          <w:lang w:val="en-US"/>
        </w:rPr>
        <w:t>IP</w:t>
      </w:r>
      <w:r w:rsidRPr="002F2FDF">
        <w:rPr>
          <w:rFonts w:ascii="Times New Roman" w:hAnsi="Times New Roman" w:cs="Times New Roman"/>
          <w:color w:val="000000" w:themeColor="text1"/>
          <w:kern w:val="2"/>
          <w:sz w:val="16"/>
          <w:szCs w:val="16"/>
        </w:rPr>
        <w:t>), создан форсированный вариант М-40Ф, 1500 л.с.(взл.).</w:t>
      </w:r>
    </w:p>
    <w:p w14:paraId="0A3C2F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08.1941 г. работы над ТРД законсервированы, летная группа СКБ передана КБ авиадизелей, остальной состав СКБ влит в состав танкового СКБ-2. КБ авиадизелей эвакуировано вместе с заводом в Челябинск (или в Свердловск</w:t>
      </w:r>
      <w:r w:rsidRPr="002F2FDF">
        <w:rPr>
          <w:rFonts w:ascii="Times New Roman" w:hAnsi="Times New Roman" w:cs="Times New Roman"/>
          <w:color w:val="000000" w:themeColor="text1"/>
          <w:kern w:val="2"/>
          <w:sz w:val="16"/>
          <w:szCs w:val="16"/>
          <w:vertAlign w:val="superscript"/>
        </w:rPr>
        <w:t>140</w:t>
      </w:r>
      <w:r w:rsidRPr="002F2FDF">
        <w:rPr>
          <w:rFonts w:ascii="Times New Roman" w:hAnsi="Times New Roman" w:cs="Times New Roman"/>
          <w:color w:val="000000" w:themeColor="text1"/>
          <w:kern w:val="2"/>
          <w:sz w:val="16"/>
          <w:szCs w:val="16"/>
        </w:rPr>
        <w:t>). По постановлению ГКО от 9.06.1942 г. и приказу № 433сс/ов от 11.06.1942 г. группа Люльки (23 чел.) переведена на завод № 293 для продолжения работ по ТРД (на заводе- с 1.07.1942 г.). В 1943 г. работы по ТРД продолжены уже в ЦИАМ.</w:t>
      </w:r>
    </w:p>
    <w:p w14:paraId="41FDFC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(1930-е)- И.М. Синев.</w:t>
      </w:r>
    </w:p>
    <w:p w14:paraId="47DC09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конструктор (1941-42 г.)- В.М. Яковлев.</w:t>
      </w:r>
    </w:p>
    <w:p w14:paraId="5F71D0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гл. конструктора (08.1941 г.)- И.М. Синев, (08.1941 г.)- Константинов, (08.1941 г.)- Эфрос.</w:t>
      </w:r>
    </w:p>
    <w:p w14:paraId="2C5F3B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Ведущий конструктор (08.1941 г.)- </w:t>
      </w:r>
      <w:r w:rsidRPr="002F2FDF">
        <w:rPr>
          <w:rFonts w:ascii="Times New Roman" w:hAnsi="Times New Roman" w:cs="Times New Roman"/>
          <w:color w:val="000000" w:themeColor="text1"/>
          <w:kern w:val="2"/>
          <w:sz w:val="16"/>
          <w:szCs w:val="16"/>
          <w:lang w:val="en-US"/>
        </w:rPr>
        <w:t>A</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M</w:t>
      </w:r>
      <w:r w:rsidRPr="002F2FDF">
        <w:rPr>
          <w:rFonts w:ascii="Times New Roman" w:hAnsi="Times New Roman" w:cs="Times New Roman"/>
          <w:color w:val="000000" w:themeColor="text1"/>
          <w:kern w:val="2"/>
          <w:sz w:val="16"/>
          <w:szCs w:val="16"/>
        </w:rPr>
        <w:t>. Люлька (РД-1) (11982).</w:t>
      </w:r>
    </w:p>
    <w:p w14:paraId="5C743E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9A92F7" w14:textId="77777777"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27 декабря 1917 (9 января</w:t>
      </w:r>
      <w:r w:rsidRPr="002F2FDF">
        <w:rPr>
          <w:rFonts w:ascii="Times New Roman" w:hAnsi="Times New Roman" w:cs="Times New Roman"/>
          <w:color w:val="000000" w:themeColor="text1"/>
          <w:kern w:val="2"/>
          <w:sz w:val="16"/>
          <w:szCs w:val="16"/>
        </w:rPr>
        <w:t xml:space="preserve"> в 1918 году) СНК принял постановление о о конфискации имущества Акционерного общества Кыштымского горного округа.</w:t>
      </w:r>
    </w:p>
    <w:p w14:paraId="2F051307" w14:textId="77777777"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«Декрет Совнаркома о конфискации имущества Акционерного общества Кыштымского горного округа 9 января 1918 г. (27 декабря 1917 г.)</w:t>
      </w:r>
    </w:p>
    <w:p w14:paraId="70B7D2C6" w14:textId="77777777"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виду отказа заводоуправления Акционерного Общества Кыштымского горного округа подчиниться декрету Совета Народных Комиссаров о введении рабочего контроля над производством, Совет Народных Комиссаров постановил конфисковать все имущество Акционерного Общества Кыштымского горного округа, в чем бы это имущество ни состояло, и объявить его собственностью Российской Республики.</w:t>
      </w:r>
    </w:p>
    <w:p w14:paraId="571DF0F6" w14:textId="77777777"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Весь служебный и технический персонал обязан остаться на местах и исполнять свои обязанности.</w:t>
      </w:r>
    </w:p>
    <w:p w14:paraId="32B1F119" w14:textId="77777777"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самовольное оставление занимаемой должности или саботаж виновные будут преданы Революционному Суду.</w:t>
      </w:r>
    </w:p>
    <w:p w14:paraId="6F7B1CDA" w14:textId="77777777"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Порядок управления делами общества в Петрограде и условия передачи отдельных заводов, предприятий и отраслей во временное ведение местных Советов Рабочих и Солдатских депутатов, фабрично-заводских комитетов и подобных учреждений будут определены особыми постановлениями Народного Комиссара Торговли и Промышленности.</w:t>
      </w:r>
    </w:p>
    <w:p w14:paraId="610ED00E" w14:textId="77777777"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председателя Совета Народных Комиссаров И.Сталин» (15004).</w:t>
      </w:r>
    </w:p>
    <w:p w14:paraId="1050827B" w14:textId="77777777" w:rsidR="00D95A37" w:rsidRPr="002F2FDF" w:rsidRDefault="00D95A37" w:rsidP="0083075A">
      <w:pPr>
        <w:spacing w:after="0" w:line="240" w:lineRule="auto"/>
        <w:jc w:val="both"/>
        <w:rPr>
          <w:rFonts w:ascii="Times New Roman" w:hAnsi="Times New Roman" w:cs="Times New Roman"/>
          <w:color w:val="000000" w:themeColor="text1"/>
          <w:kern w:val="2"/>
          <w:sz w:val="16"/>
          <w:szCs w:val="16"/>
        </w:rPr>
      </w:pPr>
    </w:p>
    <w:p w14:paraId="7BAA508B"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FE0D6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9611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декабря 1917 (9 января 1918) НКВоенделам издал приказ, на основе которого офицеры штабов, управлений и заведений увольнялись из армии только тогда, когда занимаемые ими должности могли быть без ущерба замещены подготовленными лицами (505,23).</w:t>
      </w:r>
    </w:p>
    <w:p w14:paraId="3B1A60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020F0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006F0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41AB9D" w14:textId="74952CFF" w:rsidR="0082798F" w:rsidRPr="002F2FDF" w:rsidRDefault="0082798F" w:rsidP="0083075A">
      <w:pPr>
        <w:pStyle w:val="ae"/>
        <w:spacing w:before="0" w:after="0"/>
        <w:jc w:val="both"/>
        <w:rPr>
          <w:color w:val="000000" w:themeColor="text1"/>
          <w:sz w:val="16"/>
          <w:szCs w:val="16"/>
        </w:rPr>
      </w:pPr>
      <w:r w:rsidRPr="002F2FDF">
        <w:rPr>
          <w:rStyle w:val="a7"/>
          <w:rFonts w:eastAsiaTheme="majorEastAsia"/>
          <w:b w:val="0"/>
          <w:color w:val="000000" w:themeColor="text1"/>
          <w:sz w:val="16"/>
          <w:szCs w:val="16"/>
        </w:rPr>
        <w:t>27 декабря (9 января)</w:t>
      </w:r>
      <w:r w:rsidR="00E52569">
        <w:rPr>
          <w:rStyle w:val="a7"/>
          <w:rFonts w:eastAsiaTheme="majorEastAsia"/>
          <w:b w:val="0"/>
          <w:color w:val="000000" w:themeColor="text1"/>
          <w:sz w:val="16"/>
          <w:szCs w:val="16"/>
        </w:rPr>
        <w:t xml:space="preserve"> </w:t>
      </w:r>
      <w:r w:rsidRPr="002F2FDF">
        <w:rPr>
          <w:rStyle w:val="a7"/>
          <w:rFonts w:eastAsiaTheme="majorEastAsia"/>
          <w:b w:val="0"/>
          <w:color w:val="000000" w:themeColor="text1"/>
          <w:sz w:val="16"/>
          <w:szCs w:val="16"/>
        </w:rPr>
        <w:t>1917</w:t>
      </w:r>
      <w:r w:rsidR="00E52569">
        <w:rPr>
          <w:color w:val="000000" w:themeColor="text1"/>
          <w:sz w:val="16"/>
          <w:szCs w:val="16"/>
        </w:rPr>
        <w:t xml:space="preserve"> </w:t>
      </w:r>
      <w:r w:rsidRPr="002F2FDF">
        <w:rPr>
          <w:color w:val="000000" w:themeColor="text1"/>
          <w:sz w:val="16"/>
          <w:szCs w:val="16"/>
        </w:rPr>
        <w:t>И.В.</w:t>
      </w:r>
      <w:r w:rsidR="00E52569">
        <w:rPr>
          <w:color w:val="000000" w:themeColor="text1"/>
          <w:sz w:val="16"/>
          <w:szCs w:val="16"/>
        </w:rPr>
        <w:t xml:space="preserve"> </w:t>
      </w:r>
      <w:r w:rsidRPr="002F2FDF">
        <w:rPr>
          <w:color w:val="000000" w:themeColor="text1"/>
          <w:sz w:val="16"/>
          <w:szCs w:val="16"/>
        </w:rPr>
        <w:t>Сталин на переговорах с представителями Донского казачества высказал свое мнение о судьбе Учредительного Собрания. На вопрос «</w:t>
      </w:r>
      <w:r w:rsidRPr="002F2FDF">
        <w:rPr>
          <w:rStyle w:val="af0"/>
          <w:i w:val="0"/>
          <w:color w:val="000000" w:themeColor="text1"/>
          <w:sz w:val="16"/>
          <w:szCs w:val="16"/>
        </w:rPr>
        <w:t>Как поступите вы, если Учредительное Собрание не признает декретов о мире, о земле и национализации банков</w:t>
      </w:r>
      <w:r w:rsidRPr="002F2FDF">
        <w:rPr>
          <w:color w:val="000000" w:themeColor="text1"/>
          <w:sz w:val="16"/>
          <w:szCs w:val="16"/>
        </w:rPr>
        <w:t>?», он ответил: «</w:t>
      </w:r>
      <w:r w:rsidRPr="002F2FDF">
        <w:rPr>
          <w:rStyle w:val="af0"/>
          <w:i w:val="0"/>
          <w:color w:val="000000" w:themeColor="text1"/>
          <w:sz w:val="16"/>
          <w:szCs w:val="16"/>
        </w:rPr>
        <w:t>Распустим Учредительное собрание и назначим новые выборы… Мы получили власть непосредственно от народа, революционным путем; народ доверил нам свою судьбу и мы не в праве отстраниться от власти и передать защиту интересов и самую судьбу народа кому-либо другому</w:t>
      </w:r>
      <w:r w:rsidRPr="002F2FDF">
        <w:rPr>
          <w:color w:val="000000" w:themeColor="text1"/>
          <w:sz w:val="16"/>
          <w:szCs w:val="16"/>
        </w:rPr>
        <w:t>» (18371).</w:t>
      </w:r>
    </w:p>
    <w:p w14:paraId="136153BF" w14:textId="77777777" w:rsidR="0082798F" w:rsidRPr="002F2FDF" w:rsidRDefault="0082798F" w:rsidP="0083075A">
      <w:pPr>
        <w:pStyle w:val="ae"/>
        <w:spacing w:before="0" w:after="0"/>
        <w:jc w:val="both"/>
        <w:rPr>
          <w:color w:val="000000" w:themeColor="text1"/>
          <w:sz w:val="16"/>
          <w:szCs w:val="16"/>
        </w:rPr>
      </w:pPr>
    </w:p>
    <w:p w14:paraId="17D67239"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декабря 1917 (9 января 1918) в Новочеркасске было объявлено о создании Добровольческой армии для борьбы с большевистским режимом (3186) - русские генералы Корнилов, Алексеев и (4962).</w:t>
      </w:r>
    </w:p>
    <w:p w14:paraId="18E8B22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0733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27 декабря 1917 г. </w:t>
      </w:r>
      <w:r w:rsidR="009556D7" w:rsidRPr="002F2FDF">
        <w:rPr>
          <w:rFonts w:ascii="Times New Roman" w:hAnsi="Times New Roman" w:cs="Times New Roman"/>
          <w:color w:val="000000" w:themeColor="text1"/>
          <w:kern w:val="2"/>
          <w:sz w:val="16"/>
          <w:szCs w:val="16"/>
        </w:rPr>
        <w:t xml:space="preserve">(9 января 1918) </w:t>
      </w:r>
      <w:r w:rsidRPr="002F2FDF">
        <w:rPr>
          <w:rFonts w:ascii="Times New Roman" w:hAnsi="Times New Roman" w:cs="Times New Roman"/>
          <w:color w:val="000000" w:themeColor="text1"/>
          <w:kern w:val="2"/>
          <w:sz w:val="16"/>
          <w:szCs w:val="16"/>
        </w:rPr>
        <w:t>Декретом СНК состав Земского Союза был распущен, сам Союз ликвидирован и образован комитет по роспуску земств вообще. Однако, уже в процессе подготовки первой Конституции РСФСР 1918 года при работе над разделом 3 “Конструкция Советской власти” (часть Б “Организация Советской власти на местах”), большинство предлагавшихся проектов организации местной власти (“Учреждение Советов” левых эсэров, проекты эсэров-максималистов П.П.Ренгартена, М.А. Рейснера и др.), хотя и декларировали “торжество Советской власти”, строились на системе и опыте деятельности земского и городского самоуправления, были пронизаны их идеологией. Советы виделись авторам проектов не боевым орудием пролетариата, а лишь органом местного самоуправления, подобного земствам (11030).</w:t>
      </w:r>
    </w:p>
    <w:p w14:paraId="595150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7FE77D" w14:textId="43A56B1A" w:rsidR="005500E8" w:rsidRPr="002F2FDF" w:rsidRDefault="00B738C2" w:rsidP="0083075A">
      <w:pPr>
        <w:pStyle w:val="ae"/>
        <w:spacing w:before="0" w:after="0"/>
        <w:jc w:val="both"/>
        <w:rPr>
          <w:color w:val="000000" w:themeColor="text1"/>
          <w:kern w:val="2"/>
          <w:sz w:val="16"/>
          <w:szCs w:val="16"/>
        </w:rPr>
      </w:pPr>
      <w:r w:rsidRPr="002F2FDF">
        <w:rPr>
          <w:color w:val="000000" w:themeColor="text1"/>
          <w:kern w:val="2"/>
          <w:sz w:val="16"/>
          <w:szCs w:val="16"/>
        </w:rPr>
        <w:t>27 – 30 декабря 1917 г. (9-12 января 1918) на западе Азербайджана неподалеку от железнодорожной станции Шамхор (ныне город Шамкир) произошли события, известные как «Шамхорская резня». Местные жители под руководством представителей формирующегося закавказского правительства атаковали эшелоны с русскими солдатами, которые возвращались</w:t>
      </w:r>
      <w:r w:rsidR="00E52569">
        <w:rPr>
          <w:color w:val="000000" w:themeColor="text1"/>
          <w:kern w:val="2"/>
          <w:sz w:val="16"/>
          <w:szCs w:val="16"/>
        </w:rPr>
        <w:t xml:space="preserve"> </w:t>
      </w:r>
      <w:r w:rsidRPr="002F2FDF">
        <w:rPr>
          <w:color w:val="000000" w:themeColor="text1"/>
          <w:kern w:val="2"/>
          <w:sz w:val="16"/>
          <w:szCs w:val="16"/>
        </w:rPr>
        <w:t>с Кавказского фронта. Они ссылались на приказ министра внутренних дел закавказского правительства Ноя Рамишвили о разоружении эшелонов — на фоне развала армии и госаппарата местные политики боялись остаться один на один с турками и без оружия. На деле же попытка остановка</w:t>
      </w:r>
      <w:r w:rsidR="00E52569">
        <w:rPr>
          <w:color w:val="000000" w:themeColor="text1"/>
          <w:kern w:val="2"/>
          <w:sz w:val="16"/>
          <w:szCs w:val="16"/>
        </w:rPr>
        <w:t xml:space="preserve"> </w:t>
      </w:r>
      <w:r w:rsidRPr="002F2FDF">
        <w:rPr>
          <w:color w:val="000000" w:themeColor="text1"/>
          <w:kern w:val="2"/>
          <w:sz w:val="16"/>
          <w:szCs w:val="16"/>
        </w:rPr>
        <w:t>солдатских эшелонов вылилась в настоящий бой, в ходе которого русские солдаты потерпели поражение от азербайджанцев</w:t>
      </w:r>
      <w:r w:rsidR="005500E8" w:rsidRPr="002F2FDF">
        <w:rPr>
          <w:color w:val="000000" w:themeColor="text1"/>
          <w:kern w:val="2"/>
          <w:sz w:val="16"/>
          <w:szCs w:val="16"/>
        </w:rPr>
        <w:t>.</w:t>
      </w:r>
    </w:p>
    <w:p w14:paraId="08E06A26" w14:textId="77777777" w:rsidR="00B738C2" w:rsidRPr="002F2FDF" w:rsidRDefault="005500E8" w:rsidP="0083075A">
      <w:pPr>
        <w:pStyle w:val="ae"/>
        <w:spacing w:before="0" w:after="0"/>
        <w:jc w:val="both"/>
        <w:rPr>
          <w:color w:val="000000" w:themeColor="text1"/>
          <w:kern w:val="2"/>
          <w:sz w:val="16"/>
          <w:szCs w:val="16"/>
        </w:rPr>
      </w:pPr>
      <w:r w:rsidRPr="002F2FDF">
        <w:rPr>
          <w:color w:val="000000" w:themeColor="text1"/>
          <w:kern w:val="2"/>
          <w:sz w:val="16"/>
          <w:szCs w:val="16"/>
        </w:rPr>
        <w:t>Точное количество жертв трагедии неизвестно, иногда называются вызывающие сомнения цифры до 2000 и даже 5000 убитых и ограбленных солдат, с которых снимали даже одежду и сапоги. В качестве трофеев местным жителям досталось около 15 тысяч винтовок, 70 пулеметов, 20 пушек. Лишь спустя три дня представителям закавказского правительства удалось прекратить бойню, местные врачи оказали помощь раненым солдатам</w:t>
      </w:r>
      <w:r w:rsidR="00B738C2" w:rsidRPr="002F2FDF">
        <w:rPr>
          <w:color w:val="000000" w:themeColor="text1"/>
          <w:kern w:val="2"/>
          <w:sz w:val="16"/>
          <w:szCs w:val="16"/>
        </w:rPr>
        <w:t xml:space="preserve"> (17045).</w:t>
      </w:r>
    </w:p>
    <w:p w14:paraId="2454EF13" w14:textId="77777777" w:rsidR="00B738C2" w:rsidRPr="002F2FDF" w:rsidRDefault="00B738C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647960" w14:textId="77777777" w:rsidR="00D771A4"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4E915109" w14:textId="77777777" w:rsidR="00D771A4" w:rsidRPr="002F2FDF" w:rsidRDefault="00D771A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DE9518" w14:textId="7F8918A1" w:rsidR="0096612C" w:rsidRPr="002F2FDF" w:rsidRDefault="0096612C"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27</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декабря 1917 года (</w:t>
      </w:r>
      <w:hyperlink r:id="rId791" w:tooltip="9 января" w:history="1">
        <w:r w:rsidRPr="002F2FDF">
          <w:rPr>
            <w:rFonts w:ascii="Times New Roman" w:eastAsia="Times New Roman" w:hAnsi="Times New Roman" w:cs="Times New Roman"/>
            <w:color w:val="000000" w:themeColor="text1"/>
            <w:kern w:val="2"/>
            <w:sz w:val="16"/>
            <w:szCs w:val="16"/>
            <w:lang w:eastAsia="ru-RU"/>
          </w:rPr>
          <w:t>9</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января</w:t>
        </w:r>
      </w:hyperlink>
      <w:hyperlink r:id="rId792" w:tooltip="1918 год" w:history="1">
        <w:r w:rsidRPr="002F2FDF">
          <w:rPr>
            <w:rFonts w:ascii="Times New Roman" w:eastAsia="Times New Roman" w:hAnsi="Times New Roman" w:cs="Times New Roman"/>
            <w:color w:val="000000" w:themeColor="text1"/>
            <w:kern w:val="2"/>
            <w:sz w:val="16"/>
            <w:szCs w:val="16"/>
            <w:lang w:eastAsia="ru-RU"/>
          </w:rPr>
          <w:t>1918</w:t>
        </w:r>
      </w:hyperlink>
      <w:r w:rsidRPr="002F2FDF">
        <w:rPr>
          <w:rFonts w:ascii="Times New Roman" w:eastAsia="Times New Roman" w:hAnsi="Times New Roman" w:cs="Times New Roman"/>
          <w:color w:val="000000" w:themeColor="text1"/>
          <w:kern w:val="2"/>
          <w:sz w:val="16"/>
          <w:szCs w:val="16"/>
          <w:lang w:eastAsia="ru-RU"/>
        </w:rPr>
        <w:t xml:space="preserve">),  открывая конференцию, Р. фон Кюльман заявил, что, поскольку в течение перерыва в мирных переговорах ни от одной из основных участниц войны не поступило заявления о присоединении к ним, то делегации стран Четверного союза отказываются от своего ранее выраженного намерения присоединиться к советской формуле мира «без аннексий и контрибуций». И фон Кюльман, и глава австро-венгерской делегации Чернин высказались против перенесения переговоров в Стокгольм. Кроме того — поскольку союзники России не ответили на предложение принять участие в переговорах, то речь теперь, по мнению германского блока, должна будет идти не о всеобщем мире, а о </w:t>
      </w:r>
      <w:hyperlink r:id="rId793" w:tooltip="Сепаратный мир" w:history="1">
        <w:r w:rsidRPr="002F2FDF">
          <w:rPr>
            <w:rFonts w:ascii="Times New Roman" w:eastAsia="Times New Roman" w:hAnsi="Times New Roman" w:cs="Times New Roman"/>
            <w:color w:val="000000" w:themeColor="text1"/>
            <w:kern w:val="2"/>
            <w:sz w:val="16"/>
            <w:szCs w:val="16"/>
            <w:lang w:eastAsia="ru-RU"/>
          </w:rPr>
          <w:t>сепаратном мире</w:t>
        </w:r>
      </w:hyperlink>
      <w:r w:rsidRPr="002F2FDF">
        <w:rPr>
          <w:rFonts w:ascii="Times New Roman" w:eastAsia="Times New Roman" w:hAnsi="Times New Roman" w:cs="Times New Roman"/>
          <w:color w:val="000000" w:themeColor="text1"/>
          <w:kern w:val="2"/>
          <w:sz w:val="16"/>
          <w:szCs w:val="16"/>
          <w:lang w:eastAsia="ru-RU"/>
        </w:rPr>
        <w:t xml:space="preserve"> между Россией и державами Четверного союза (17035).</w:t>
      </w:r>
    </w:p>
    <w:p w14:paraId="710A96DA" w14:textId="77777777" w:rsidR="0096612C" w:rsidRPr="002F2FDF" w:rsidRDefault="0096612C" w:rsidP="0083075A">
      <w:pPr>
        <w:spacing w:after="0" w:line="240" w:lineRule="auto"/>
        <w:jc w:val="both"/>
        <w:rPr>
          <w:rFonts w:ascii="Times New Roman" w:eastAsia="Times New Roman" w:hAnsi="Times New Roman" w:cs="Times New Roman"/>
          <w:color w:val="000000" w:themeColor="text1"/>
          <w:kern w:val="2"/>
          <w:sz w:val="16"/>
          <w:szCs w:val="16"/>
          <w:lang w:eastAsia="ru-RU"/>
        </w:rPr>
      </w:pPr>
    </w:p>
    <w:p w14:paraId="3E4A20EE" w14:textId="77777777" w:rsidR="00D771A4" w:rsidRPr="002F2FDF" w:rsidRDefault="00D771A4"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декабря 1917 (9 января 1918) после 10 дневного перерыва, вызванного попытками привлечь к переговорам страны Антанты (3908,273) возобновились переговоры в Брест Литовске об условиях мира (1348,114).</w:t>
      </w:r>
    </w:p>
    <w:p w14:paraId="3CDE2E7E" w14:textId="77777777" w:rsidR="00D771A4" w:rsidRPr="002F2FDF" w:rsidRDefault="00D771A4"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AA5E0F" w14:textId="77777777" w:rsidR="00D771A4" w:rsidRPr="002F2FDF" w:rsidRDefault="00D771A4"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декабря 1917 (9 января 1918) начался 2-й этапа мирных переговоров в Бресте. Теперь от Советов рулил Троцкий. Немцы сразу начали ставить его в стойло: поскольку союзники России промолчали, то речь будет идти не о всеобщем мире, а о сепаратной сделке между Россией и Четвертным союзом. Мира без аннексий и контрибуций тоже не будет. А еще к нам приехала украинская делегация. Это ваши подчиненные, господин Троцкий? Нет, они сами по себе, промычал Лев Давидович. Очень хорошо. Приступим. Р. фон Кюльман вручил советской стороне австро-германские условия мира, согласно которым от России отторгались польские земли, Литва, Курляндия, часть Эстонии и Лифляндии и переходили под покровительство Германии. Круто? Мелочи, ибо на третьем этапе всем стало намного веселее.</w:t>
      </w:r>
    </w:p>
    <w:p w14:paraId="4CE72776" w14:textId="77777777" w:rsidR="00D771A4" w:rsidRPr="002F2FDF" w:rsidRDefault="00D771A4"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E1B4AE" w14:textId="4146BF81" w:rsidR="00FA7CE5" w:rsidRPr="002F2FDF" w:rsidRDefault="00FA7CE5" w:rsidP="0083075A">
      <w:pPr>
        <w:pStyle w:val="ae"/>
        <w:spacing w:before="0" w:after="0"/>
        <w:jc w:val="both"/>
        <w:rPr>
          <w:color w:val="000000" w:themeColor="text1"/>
          <w:kern w:val="2"/>
          <w:sz w:val="16"/>
          <w:szCs w:val="16"/>
        </w:rPr>
      </w:pPr>
      <w:r w:rsidRPr="002F2FDF">
        <w:rPr>
          <w:color w:val="000000" w:themeColor="text1"/>
          <w:kern w:val="2"/>
          <w:sz w:val="16"/>
          <w:szCs w:val="16"/>
        </w:rPr>
        <w:t>С 27</w:t>
      </w:r>
      <w:r w:rsidR="00E52569">
        <w:rPr>
          <w:color w:val="000000" w:themeColor="text1"/>
          <w:kern w:val="2"/>
          <w:sz w:val="16"/>
          <w:szCs w:val="16"/>
        </w:rPr>
        <w:t xml:space="preserve"> </w:t>
      </w:r>
      <w:r w:rsidRPr="002F2FDF">
        <w:rPr>
          <w:color w:val="000000" w:themeColor="text1"/>
          <w:kern w:val="2"/>
          <w:sz w:val="16"/>
          <w:szCs w:val="16"/>
        </w:rPr>
        <w:t>декабря 1917 (</w:t>
      </w:r>
      <w:hyperlink r:id="rId794" w:tooltip="9 января" w:history="1">
        <w:r w:rsidRPr="002F2FDF">
          <w:rPr>
            <w:rStyle w:val="a5"/>
            <w:color w:val="000000" w:themeColor="text1"/>
            <w:kern w:val="2"/>
            <w:sz w:val="16"/>
            <w:szCs w:val="16"/>
            <w:u w:val="none"/>
          </w:rPr>
          <w:t>9</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января</w:t>
        </w:r>
      </w:hyperlink>
      <w:hyperlink r:id="rId795" w:tooltip="1918 год" w:history="1">
        <w:r w:rsidRPr="002F2FDF">
          <w:rPr>
            <w:rStyle w:val="a5"/>
            <w:color w:val="000000" w:themeColor="text1"/>
            <w:kern w:val="2"/>
            <w:sz w:val="16"/>
            <w:szCs w:val="16"/>
            <w:u w:val="none"/>
          </w:rPr>
          <w:t>1918</w:t>
        </w:r>
      </w:hyperlink>
      <w:r w:rsidRPr="002F2FDF">
        <w:rPr>
          <w:color w:val="000000" w:themeColor="text1"/>
          <w:kern w:val="2"/>
          <w:sz w:val="16"/>
          <w:szCs w:val="16"/>
        </w:rPr>
        <w:t>) года по 28</w:t>
      </w:r>
      <w:r w:rsidR="00E52569">
        <w:rPr>
          <w:color w:val="000000" w:themeColor="text1"/>
          <w:kern w:val="2"/>
          <w:sz w:val="16"/>
          <w:szCs w:val="16"/>
        </w:rPr>
        <w:t xml:space="preserve"> </w:t>
      </w:r>
      <w:r w:rsidRPr="002F2FDF">
        <w:rPr>
          <w:color w:val="000000" w:themeColor="text1"/>
          <w:kern w:val="2"/>
          <w:sz w:val="16"/>
          <w:szCs w:val="16"/>
        </w:rPr>
        <w:t>января (</w:t>
      </w:r>
      <w:hyperlink r:id="rId796" w:tooltip="10 февраля" w:history="1">
        <w:r w:rsidRPr="002F2FDF">
          <w:rPr>
            <w:rStyle w:val="a5"/>
            <w:color w:val="000000" w:themeColor="text1"/>
            <w:kern w:val="2"/>
            <w:sz w:val="16"/>
            <w:szCs w:val="16"/>
            <w:u w:val="none"/>
          </w:rPr>
          <w:t>10</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февраля</w:t>
        </w:r>
      </w:hyperlink>
      <w:r w:rsidRPr="002F2FDF">
        <w:rPr>
          <w:color w:val="000000" w:themeColor="text1"/>
          <w:kern w:val="2"/>
          <w:sz w:val="16"/>
          <w:szCs w:val="16"/>
        </w:rPr>
        <w:t>)</w:t>
      </w:r>
      <w:r w:rsidR="00E52569">
        <w:rPr>
          <w:color w:val="000000" w:themeColor="text1"/>
          <w:kern w:val="2"/>
          <w:sz w:val="16"/>
          <w:szCs w:val="16"/>
        </w:rPr>
        <w:t xml:space="preserve"> </w:t>
      </w:r>
      <w:hyperlink r:id="rId797" w:tooltip="1918 год" w:history="1">
        <w:r w:rsidRPr="002F2FDF">
          <w:rPr>
            <w:rStyle w:val="a5"/>
            <w:color w:val="000000" w:themeColor="text1"/>
            <w:kern w:val="2"/>
            <w:sz w:val="16"/>
            <w:szCs w:val="16"/>
            <w:u w:val="none"/>
          </w:rPr>
          <w:t>1918 года</w:t>
        </w:r>
      </w:hyperlink>
      <w:r w:rsidRPr="002F2FDF">
        <w:rPr>
          <w:color w:val="000000" w:themeColor="text1"/>
          <w:kern w:val="2"/>
          <w:sz w:val="16"/>
          <w:szCs w:val="16"/>
        </w:rPr>
        <w:t>в три этапа (1 этап - с 9</w:t>
      </w:r>
      <w:r w:rsidR="00E52569">
        <w:rPr>
          <w:color w:val="000000" w:themeColor="text1"/>
          <w:kern w:val="2"/>
          <w:sz w:val="16"/>
          <w:szCs w:val="16"/>
        </w:rPr>
        <w:t xml:space="preserve"> </w:t>
      </w:r>
      <w:hyperlink r:id="rId798" w:tooltip="22 декабря" w:history="1">
        <w:r w:rsidRPr="002F2FDF">
          <w:rPr>
            <w:rStyle w:val="a5"/>
            <w:color w:val="000000" w:themeColor="text1"/>
            <w:kern w:val="2"/>
            <w:sz w:val="16"/>
            <w:szCs w:val="16"/>
            <w:u w:val="none"/>
          </w:rPr>
          <w:t>(22)</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декабря</w:t>
        </w:r>
      </w:hyperlink>
      <w:r w:rsidRPr="002F2FDF">
        <w:rPr>
          <w:color w:val="000000" w:themeColor="text1"/>
          <w:kern w:val="2"/>
          <w:sz w:val="16"/>
          <w:szCs w:val="16"/>
        </w:rPr>
        <w:t xml:space="preserve"> по 15</w:t>
      </w:r>
      <w:r w:rsidR="00E52569">
        <w:rPr>
          <w:color w:val="000000" w:themeColor="text1"/>
          <w:kern w:val="2"/>
          <w:sz w:val="16"/>
          <w:szCs w:val="16"/>
        </w:rPr>
        <w:t xml:space="preserve"> </w:t>
      </w:r>
      <w:hyperlink r:id="rId799" w:tooltip="28 декабря" w:history="1">
        <w:r w:rsidRPr="002F2FDF">
          <w:rPr>
            <w:rStyle w:val="a5"/>
            <w:color w:val="000000" w:themeColor="text1"/>
            <w:kern w:val="2"/>
            <w:sz w:val="16"/>
            <w:szCs w:val="16"/>
            <w:u w:val="none"/>
          </w:rPr>
          <w:t>(28)</w:t>
        </w:r>
        <w:r w:rsidR="00E52569">
          <w:rPr>
            <w:rStyle w:val="a5"/>
            <w:color w:val="000000" w:themeColor="text1"/>
            <w:kern w:val="2"/>
            <w:sz w:val="16"/>
            <w:szCs w:val="16"/>
            <w:u w:val="none"/>
          </w:rPr>
          <w:t xml:space="preserve"> </w:t>
        </w:r>
        <w:r w:rsidRPr="002F2FDF">
          <w:rPr>
            <w:rStyle w:val="a5"/>
            <w:color w:val="000000" w:themeColor="text1"/>
            <w:kern w:val="2"/>
            <w:sz w:val="16"/>
            <w:szCs w:val="16"/>
            <w:u w:val="none"/>
          </w:rPr>
          <w:t>декабря</w:t>
        </w:r>
      </w:hyperlink>
      <w:r w:rsidR="00E52569">
        <w:rPr>
          <w:color w:val="000000" w:themeColor="text1"/>
          <w:kern w:val="2"/>
          <w:sz w:val="16"/>
          <w:szCs w:val="16"/>
        </w:rPr>
        <w:t xml:space="preserve"> </w:t>
      </w:r>
      <w:hyperlink r:id="rId800" w:tooltip="1917 год" w:history="1">
        <w:r w:rsidRPr="002F2FDF">
          <w:rPr>
            <w:rStyle w:val="a5"/>
            <w:color w:val="000000" w:themeColor="text1"/>
            <w:kern w:val="2"/>
            <w:sz w:val="16"/>
            <w:szCs w:val="16"/>
            <w:u w:val="none"/>
          </w:rPr>
          <w:t>1917 года</w:t>
        </w:r>
      </w:hyperlink>
      <w:r w:rsidRPr="002F2FDF">
        <w:rPr>
          <w:color w:val="000000" w:themeColor="text1"/>
          <w:kern w:val="2"/>
          <w:sz w:val="16"/>
          <w:szCs w:val="16"/>
        </w:rPr>
        <w:t xml:space="preserve"> и 3 этап - с </w:t>
      </w:r>
      <w:hyperlink r:id="rId801" w:tooltip="1 марта" w:history="1">
        <w:r w:rsidRPr="002F2FDF">
          <w:rPr>
            <w:rStyle w:val="a5"/>
            <w:color w:val="000000" w:themeColor="text1"/>
            <w:kern w:val="2"/>
            <w:sz w:val="16"/>
            <w:szCs w:val="16"/>
            <w:u w:val="none"/>
          </w:rPr>
          <w:t>1</w:t>
        </w:r>
      </w:hyperlink>
      <w:r w:rsidRPr="002F2FDF">
        <w:rPr>
          <w:color w:val="000000" w:themeColor="text1"/>
          <w:kern w:val="2"/>
          <w:sz w:val="16"/>
          <w:szCs w:val="16"/>
        </w:rPr>
        <w:t xml:space="preserve"> по </w:t>
      </w:r>
      <w:hyperlink r:id="rId802" w:tooltip="3 марта" w:history="1">
        <w:r w:rsidRPr="002F2FDF">
          <w:rPr>
            <w:rStyle w:val="a5"/>
            <w:color w:val="000000" w:themeColor="text1"/>
            <w:kern w:val="2"/>
            <w:sz w:val="16"/>
            <w:szCs w:val="16"/>
            <w:u w:val="none"/>
          </w:rPr>
          <w:t>3 марта</w:t>
        </w:r>
      </w:hyperlink>
      <w:hyperlink r:id="rId803" w:tooltip="1918 год" w:history="1">
        <w:r w:rsidRPr="002F2FDF">
          <w:rPr>
            <w:rStyle w:val="a5"/>
            <w:color w:val="000000" w:themeColor="text1"/>
            <w:kern w:val="2"/>
            <w:sz w:val="16"/>
            <w:szCs w:val="16"/>
            <w:u w:val="none"/>
          </w:rPr>
          <w:t>1918 года</w:t>
        </w:r>
      </w:hyperlink>
      <w:r w:rsidRPr="002F2FDF">
        <w:rPr>
          <w:color w:val="000000" w:themeColor="text1"/>
          <w:kern w:val="2"/>
          <w:sz w:val="16"/>
          <w:szCs w:val="16"/>
        </w:rPr>
        <w:t>, велись переговоры, которые предшествовали подписанию Брестского мирного договора (17035).</w:t>
      </w:r>
    </w:p>
    <w:p w14:paraId="1FDD56BF" w14:textId="77777777" w:rsidR="00FA7CE5" w:rsidRPr="002F2FDF" w:rsidRDefault="00FA7CE5"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55A79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360A38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1C97B2"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27 декабря 1917 (9 января 1918) в воздушном бою над Moorslede, Бельгия с тремя самолетами RFC, включая один R.E.8 из No. 21 Squadron и два S.E.5a из No. 60 Squadron, Макса Риттер фон Мюллер на Альбатрос D.Va поджигают и он погибает. Фон Мюллер с 36 победами был самым результативным баварским асом Первой мировой войны (20343).</w:t>
      </w:r>
    </w:p>
    <w:p w14:paraId="55F4542A"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p>
    <w:p w14:paraId="4130C8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декабря 1917 (9 января 1918) ФИНЛЯНДИЯ. Хельсинки. Правительство Свинхувуда уполномочило командование Белой гвардии (шюцкор) восстановить общественный порядок в стране (7450).</w:t>
      </w:r>
    </w:p>
    <w:p w14:paraId="077FA5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E4C5D2" w14:textId="1F17E989" w:rsidR="006B39A0" w:rsidRDefault="006B39A0"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Pr>
          <w:rFonts w:ascii="Times New Roman" w:hAnsi="Times New Roman" w:cs="Times New Roman"/>
          <w:i/>
          <w:iCs/>
          <w:color w:val="000000" w:themeColor="text1"/>
          <w:kern w:val="2"/>
          <w:sz w:val="16"/>
          <w:szCs w:val="16"/>
        </w:rPr>
        <w:t>Армия:</w:t>
      </w:r>
    </w:p>
    <w:p w14:paraId="4B32A104" w14:textId="77777777" w:rsidR="006B39A0" w:rsidRDefault="006B39A0"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5CC6396" w14:textId="77777777" w:rsidR="00A848FE" w:rsidRPr="005D7D69" w:rsidRDefault="00A848FE"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lastRenderedPageBreak/>
        <w:t>2</w:t>
      </w:r>
      <w:r w:rsidRPr="005D7D69">
        <w:rPr>
          <w:rFonts w:ascii="Times New Roman" w:hAnsi="Times New Roman" w:cs="Times New Roman"/>
          <w:color w:val="0070C0"/>
          <w:sz w:val="16"/>
          <w:szCs w:val="16"/>
        </w:rPr>
        <w:t>8 декабря</w:t>
      </w:r>
      <w:r>
        <w:rPr>
          <w:rFonts w:ascii="Times New Roman" w:hAnsi="Times New Roman" w:cs="Times New Roman"/>
          <w:color w:val="0070C0"/>
          <w:sz w:val="16"/>
          <w:szCs w:val="16"/>
        </w:rPr>
        <w:t xml:space="preserve"> 1917 г. (10 января 1918 г.) </w:t>
      </w:r>
      <w:r w:rsidRPr="005D7D69">
        <w:rPr>
          <w:rFonts w:ascii="Times New Roman" w:hAnsi="Times New Roman" w:cs="Times New Roman"/>
          <w:color w:val="0070C0"/>
          <w:sz w:val="16"/>
          <w:szCs w:val="16"/>
        </w:rPr>
        <w:t>yправление морокой авиации /ума/ ре</w:t>
      </w:r>
      <w:r>
        <w:rPr>
          <w:rFonts w:ascii="Times New Roman" w:hAnsi="Times New Roman" w:cs="Times New Roman"/>
          <w:color w:val="0070C0"/>
          <w:sz w:val="16"/>
          <w:szCs w:val="16"/>
        </w:rPr>
        <w:t>шил</w:t>
      </w:r>
      <w:r w:rsidRPr="005D7D69">
        <w:rPr>
          <w:rFonts w:ascii="Times New Roman" w:hAnsi="Times New Roman" w:cs="Times New Roman"/>
          <w:color w:val="0070C0"/>
          <w:sz w:val="16"/>
          <w:szCs w:val="16"/>
        </w:rPr>
        <w:t>о отложить вы</w:t>
      </w:r>
      <w:r w:rsidRPr="005D7D69">
        <w:rPr>
          <w:rFonts w:ascii="Times New Roman" w:hAnsi="Times New Roman" w:cs="Times New Roman"/>
          <w:color w:val="0070C0"/>
          <w:sz w:val="16"/>
          <w:szCs w:val="16"/>
        </w:rPr>
        <w:softHyphen/>
        <w:t xml:space="preserve">полнение приказа </w:t>
      </w:r>
      <w:r>
        <w:rPr>
          <w:rFonts w:ascii="Times New Roman" w:hAnsi="Times New Roman" w:cs="Times New Roman"/>
          <w:color w:val="0070C0"/>
          <w:sz w:val="16"/>
          <w:szCs w:val="16"/>
        </w:rPr>
        <w:t>Н</w:t>
      </w:r>
      <w:r w:rsidRPr="005D7D69">
        <w:rPr>
          <w:rFonts w:ascii="Times New Roman" w:hAnsi="Times New Roman" w:cs="Times New Roman"/>
          <w:color w:val="0070C0"/>
          <w:sz w:val="16"/>
          <w:szCs w:val="16"/>
        </w:rPr>
        <w:t xml:space="preserve">аркомвоенмора </w:t>
      </w:r>
      <w:r>
        <w:rPr>
          <w:rFonts w:ascii="Times New Roman" w:hAnsi="Times New Roman" w:cs="Times New Roman"/>
          <w:color w:val="0070C0"/>
          <w:sz w:val="16"/>
          <w:szCs w:val="16"/>
        </w:rPr>
        <w:t>№</w:t>
      </w:r>
      <w:r w:rsidRPr="005D7D69">
        <w:rPr>
          <w:rFonts w:ascii="Times New Roman" w:hAnsi="Times New Roman" w:cs="Times New Roman"/>
          <w:color w:val="0070C0"/>
          <w:sz w:val="16"/>
          <w:szCs w:val="16"/>
        </w:rPr>
        <w:t xml:space="preserve"> 4 о слиянии мор</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кой авиации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 су</w:t>
      </w:r>
      <w:r w:rsidRPr="005D7D69">
        <w:rPr>
          <w:rFonts w:ascii="Times New Roman" w:hAnsi="Times New Roman" w:cs="Times New Roman"/>
          <w:color w:val="0070C0"/>
          <w:sz w:val="16"/>
          <w:szCs w:val="16"/>
        </w:rPr>
        <w:softHyphen/>
        <w:t xml:space="preserve">хопутной, считая </w:t>
      </w:r>
      <w:r>
        <w:rPr>
          <w:rFonts w:ascii="Times New Roman" w:hAnsi="Times New Roman" w:cs="Times New Roman"/>
          <w:color w:val="0070C0"/>
          <w:sz w:val="16"/>
          <w:szCs w:val="16"/>
        </w:rPr>
        <w:t>э</w:t>
      </w:r>
      <w:r w:rsidRPr="005D7D69">
        <w:rPr>
          <w:rFonts w:ascii="Times New Roman" w:hAnsi="Times New Roman" w:cs="Times New Roman"/>
          <w:color w:val="0070C0"/>
          <w:sz w:val="16"/>
          <w:szCs w:val="16"/>
        </w:rPr>
        <w:t>ту реформу преждевременной. Междуведомственная ко</w:t>
      </w:r>
      <w:r w:rsidRPr="005D7D69">
        <w:rPr>
          <w:rFonts w:ascii="Times New Roman" w:hAnsi="Times New Roman" w:cs="Times New Roman"/>
          <w:color w:val="0070C0"/>
          <w:sz w:val="16"/>
          <w:szCs w:val="16"/>
        </w:rPr>
        <w:softHyphen/>
        <w:t xml:space="preserve">миссия, образованная для детального рассмотрения </w:t>
      </w:r>
      <w:r>
        <w:rPr>
          <w:rFonts w:ascii="Times New Roman" w:hAnsi="Times New Roman" w:cs="Times New Roman"/>
          <w:color w:val="0070C0"/>
          <w:sz w:val="16"/>
          <w:szCs w:val="16"/>
        </w:rPr>
        <w:t>э</w:t>
      </w:r>
      <w:r w:rsidRPr="005D7D69">
        <w:rPr>
          <w:rFonts w:ascii="Times New Roman" w:hAnsi="Times New Roman" w:cs="Times New Roman"/>
          <w:color w:val="0070C0"/>
          <w:sz w:val="16"/>
          <w:szCs w:val="16"/>
        </w:rPr>
        <w:t>того вопроса, так</w:t>
      </w:r>
      <w:r w:rsidRPr="005D7D69">
        <w:rPr>
          <w:rFonts w:ascii="Times New Roman" w:hAnsi="Times New Roman" w:cs="Times New Roman"/>
          <w:color w:val="0070C0"/>
          <w:sz w:val="16"/>
          <w:szCs w:val="16"/>
        </w:rPr>
        <w:softHyphen/>
        <w:t>ие не могла добиться положительного р</w:t>
      </w:r>
      <w:r>
        <w:rPr>
          <w:rFonts w:ascii="Times New Roman" w:hAnsi="Times New Roman" w:cs="Times New Roman"/>
          <w:color w:val="0070C0"/>
          <w:sz w:val="16"/>
          <w:szCs w:val="16"/>
        </w:rPr>
        <w:t>еш</w:t>
      </w:r>
      <w:r w:rsidRPr="005D7D69">
        <w:rPr>
          <w:rFonts w:ascii="Times New Roman" w:hAnsi="Times New Roman" w:cs="Times New Roman"/>
          <w:color w:val="0070C0"/>
          <w:sz w:val="16"/>
          <w:szCs w:val="16"/>
        </w:rPr>
        <w:t>ения.</w:t>
      </w:r>
      <w:r>
        <w:rPr>
          <w:rFonts w:ascii="Times New Roman" w:hAnsi="Times New Roman" w:cs="Times New Roman"/>
          <w:color w:val="0070C0"/>
          <w:sz w:val="16"/>
          <w:szCs w:val="16"/>
        </w:rPr>
        <w:t xml:space="preserve"> С</w:t>
      </w:r>
      <w:r w:rsidRPr="005D7D69">
        <w:rPr>
          <w:rFonts w:ascii="Times New Roman" w:hAnsi="Times New Roman" w:cs="Times New Roman"/>
          <w:color w:val="0070C0"/>
          <w:sz w:val="16"/>
          <w:szCs w:val="16"/>
        </w:rPr>
        <w:t>лияние морской авиа</w:t>
      </w:r>
      <w:r w:rsidRPr="005D7D69">
        <w:rPr>
          <w:rFonts w:ascii="Times New Roman" w:hAnsi="Times New Roman" w:cs="Times New Roman"/>
          <w:color w:val="0070C0"/>
          <w:sz w:val="16"/>
          <w:szCs w:val="16"/>
        </w:rPr>
        <w:softHyphen/>
        <w:t>ции с сухопутной произошло только в 1920 году</w:t>
      </w:r>
      <w:r>
        <w:rPr>
          <w:rFonts w:ascii="Times New Roman" w:hAnsi="Times New Roman" w:cs="Times New Roman"/>
          <w:color w:val="0070C0"/>
          <w:sz w:val="16"/>
          <w:szCs w:val="16"/>
        </w:rPr>
        <w:t>.</w:t>
      </w:r>
    </w:p>
    <w:p w14:paraId="7D153081" w14:textId="77777777" w:rsidR="00A848FE" w:rsidRDefault="00A848FE"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/С. Столяр</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кнй. Краткий очерк развития морской авиации в России/</w:t>
      </w:r>
      <w:r>
        <w:rPr>
          <w:rFonts w:ascii="Times New Roman" w:hAnsi="Times New Roman" w:cs="Times New Roman"/>
          <w:color w:val="0070C0"/>
          <w:sz w:val="16"/>
          <w:szCs w:val="16"/>
        </w:rPr>
        <w:t xml:space="preserve"> (23370).</w:t>
      </w:r>
    </w:p>
    <w:p w14:paraId="30F2BBDA" w14:textId="77777777" w:rsidR="00A848FE" w:rsidRPr="005D7D69" w:rsidRDefault="00A848FE" w:rsidP="0083075A">
      <w:pPr>
        <w:spacing w:after="0" w:line="240" w:lineRule="auto"/>
        <w:jc w:val="both"/>
        <w:rPr>
          <w:rFonts w:ascii="Times New Roman" w:hAnsi="Times New Roman" w:cs="Times New Roman"/>
          <w:color w:val="0070C0"/>
          <w:sz w:val="16"/>
          <w:szCs w:val="16"/>
        </w:rPr>
      </w:pPr>
    </w:p>
    <w:p w14:paraId="598FC8CB" w14:textId="77777777" w:rsidR="008D68E8" w:rsidRPr="005D7D69" w:rsidRDefault="008D68E8"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5D7D69">
        <w:rPr>
          <w:rFonts w:ascii="Times New Roman" w:hAnsi="Times New Roman" w:cs="Times New Roman"/>
          <w:color w:val="0070C0"/>
          <w:sz w:val="16"/>
          <w:szCs w:val="16"/>
        </w:rPr>
        <w:t>8 декабря</w:t>
      </w:r>
      <w:r>
        <w:rPr>
          <w:rFonts w:ascii="Times New Roman" w:hAnsi="Times New Roman" w:cs="Times New Roman"/>
          <w:color w:val="0070C0"/>
          <w:sz w:val="16"/>
          <w:szCs w:val="16"/>
        </w:rPr>
        <w:t xml:space="preserve"> 1917 г. (10 января 1918 г.) н</w:t>
      </w:r>
      <w:r w:rsidRPr="005D7D69">
        <w:rPr>
          <w:rFonts w:ascii="Times New Roman" w:hAnsi="Times New Roman" w:cs="Times New Roman"/>
          <w:color w:val="0070C0"/>
          <w:sz w:val="16"/>
          <w:szCs w:val="16"/>
        </w:rPr>
        <w:t>ачалось первое в на</w:t>
      </w:r>
      <w:r>
        <w:rPr>
          <w:rFonts w:ascii="Times New Roman" w:hAnsi="Times New Roman" w:cs="Times New Roman"/>
          <w:color w:val="0070C0"/>
          <w:sz w:val="16"/>
          <w:szCs w:val="16"/>
        </w:rPr>
        <w:t>ш</w:t>
      </w:r>
      <w:r w:rsidRPr="005D7D69">
        <w:rPr>
          <w:rFonts w:ascii="Times New Roman" w:hAnsi="Times New Roman" w:cs="Times New Roman"/>
          <w:color w:val="0070C0"/>
          <w:sz w:val="16"/>
          <w:szCs w:val="16"/>
        </w:rPr>
        <w:t>ей стране военно-почтовое воздушное сообщение, организованное военными летчиками Н.Пу</w:t>
      </w:r>
      <w:r>
        <w:rPr>
          <w:rFonts w:ascii="Times New Roman" w:hAnsi="Times New Roman" w:cs="Times New Roman"/>
          <w:color w:val="0070C0"/>
          <w:sz w:val="16"/>
          <w:szCs w:val="16"/>
        </w:rPr>
        <w:t>ш</w:t>
      </w:r>
      <w:r w:rsidRPr="005D7D69">
        <w:rPr>
          <w:rFonts w:ascii="Times New Roman" w:hAnsi="Times New Roman" w:cs="Times New Roman"/>
          <w:color w:val="0070C0"/>
          <w:sz w:val="16"/>
          <w:szCs w:val="16"/>
        </w:rPr>
        <w:t>келем и Т. Вассерма</w:t>
      </w:r>
      <w:r>
        <w:rPr>
          <w:rFonts w:ascii="Times New Roman" w:hAnsi="Times New Roman" w:cs="Times New Roman"/>
          <w:color w:val="0070C0"/>
          <w:sz w:val="16"/>
          <w:szCs w:val="16"/>
        </w:rPr>
        <w:t>н</w:t>
      </w:r>
      <w:r w:rsidRPr="005D7D69">
        <w:rPr>
          <w:rFonts w:ascii="Times New Roman" w:hAnsi="Times New Roman" w:cs="Times New Roman"/>
          <w:color w:val="0070C0"/>
          <w:sz w:val="16"/>
          <w:szCs w:val="16"/>
        </w:rPr>
        <w:t>ом по линии Псков-Петроград.</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И</w:t>
      </w:r>
      <w:r>
        <w:rPr>
          <w:rFonts w:ascii="Times New Roman" w:hAnsi="Times New Roman" w:cs="Times New Roman"/>
          <w:color w:val="0070C0"/>
          <w:sz w:val="16"/>
          <w:szCs w:val="16"/>
        </w:rPr>
        <w:t>з</w:t>
      </w:r>
      <w:r w:rsidRPr="005D7D69">
        <w:rPr>
          <w:rFonts w:ascii="Times New Roman" w:hAnsi="Times New Roman" w:cs="Times New Roman"/>
          <w:color w:val="0070C0"/>
          <w:sz w:val="16"/>
          <w:szCs w:val="16"/>
        </w:rPr>
        <w:t xml:space="preserve"> Пскова летчики возили почту </w:t>
      </w:r>
      <w:r>
        <w:rPr>
          <w:rFonts w:ascii="Times New Roman" w:hAnsi="Times New Roman" w:cs="Times New Roman"/>
          <w:color w:val="0070C0"/>
          <w:sz w:val="16"/>
          <w:szCs w:val="16"/>
        </w:rPr>
        <w:t>ш</w:t>
      </w:r>
      <w:r w:rsidRPr="005D7D69">
        <w:rPr>
          <w:rFonts w:ascii="Times New Roman" w:hAnsi="Times New Roman" w:cs="Times New Roman"/>
          <w:color w:val="0070C0"/>
          <w:sz w:val="16"/>
          <w:szCs w:val="16"/>
        </w:rPr>
        <w:t>таба Северного фронта, из Петрограда - правительственную почту и цен</w:t>
      </w:r>
      <w:r w:rsidRPr="005D7D69">
        <w:rPr>
          <w:rFonts w:ascii="Times New Roman" w:hAnsi="Times New Roman" w:cs="Times New Roman"/>
          <w:color w:val="0070C0"/>
          <w:sz w:val="16"/>
          <w:szCs w:val="16"/>
        </w:rPr>
        <w:softHyphen/>
        <w:t>тральные газеты</w:t>
      </w:r>
      <w:r>
        <w:rPr>
          <w:rFonts w:ascii="Times New Roman" w:hAnsi="Times New Roman" w:cs="Times New Roman"/>
          <w:color w:val="0070C0"/>
          <w:sz w:val="16"/>
          <w:szCs w:val="16"/>
        </w:rPr>
        <w:t>.</w:t>
      </w:r>
      <w:r w:rsidRPr="005D7D69">
        <w:rPr>
          <w:rFonts w:ascii="Times New Roman" w:hAnsi="Times New Roman" w:cs="Times New Roman"/>
          <w:color w:val="0070C0"/>
          <w:sz w:val="16"/>
          <w:szCs w:val="16"/>
        </w:rPr>
        <w:t xml:space="preserve"> Полеты о авиапочтой продолжались до 22 февраля 1918 г</w:t>
      </w:r>
    </w:p>
    <w:p w14:paraId="7C16FD77" w14:textId="77777777" w:rsidR="008D68E8" w:rsidRDefault="008D68E8"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/«Известия ревельокого совета солдатских депутатов</w:t>
      </w:r>
      <w:r>
        <w:rPr>
          <w:rFonts w:ascii="Times New Roman" w:hAnsi="Times New Roman" w:cs="Times New Roman"/>
          <w:color w:val="0070C0"/>
          <w:sz w:val="16"/>
          <w:szCs w:val="16"/>
        </w:rPr>
        <w:t>»</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5D7D69">
        <w:rPr>
          <w:rFonts w:ascii="Times New Roman" w:hAnsi="Times New Roman" w:cs="Times New Roman"/>
          <w:color w:val="0070C0"/>
          <w:sz w:val="16"/>
          <w:szCs w:val="16"/>
        </w:rPr>
        <w:t>0 дек</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1917/</w:t>
      </w:r>
      <w:r>
        <w:rPr>
          <w:rFonts w:ascii="Times New Roman" w:hAnsi="Times New Roman" w:cs="Times New Roman"/>
          <w:color w:val="0070C0"/>
          <w:sz w:val="16"/>
          <w:szCs w:val="16"/>
        </w:rPr>
        <w:t xml:space="preserve"> (23370).</w:t>
      </w:r>
    </w:p>
    <w:p w14:paraId="1906C9C0" w14:textId="77777777" w:rsidR="008D68E8" w:rsidRPr="005D7D69" w:rsidRDefault="008D68E8" w:rsidP="0083075A">
      <w:pPr>
        <w:spacing w:after="0" w:line="240" w:lineRule="auto"/>
        <w:jc w:val="both"/>
        <w:rPr>
          <w:rFonts w:ascii="Times New Roman" w:hAnsi="Times New Roman" w:cs="Times New Roman"/>
          <w:color w:val="0070C0"/>
          <w:sz w:val="16"/>
          <w:szCs w:val="16"/>
        </w:rPr>
      </w:pPr>
    </w:p>
    <w:p w14:paraId="46F766EE" w14:textId="4C85FC73" w:rsidR="00321EA1"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1C348E42" w14:textId="77777777" w:rsidR="00321EA1" w:rsidRPr="002F2FDF" w:rsidRDefault="00321EA1"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422CA1" w14:textId="77777777" w:rsidR="00321EA1" w:rsidRPr="002F2FDF" w:rsidRDefault="00321E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28 декабоя 1917 (10 января</w:t>
      </w:r>
      <w:r w:rsidRPr="002F2FDF">
        <w:rPr>
          <w:rFonts w:ascii="Times New Roman" w:hAnsi="Times New Roman" w:cs="Times New Roman"/>
          <w:color w:val="000000" w:themeColor="text1"/>
          <w:kern w:val="2"/>
          <w:sz w:val="16"/>
          <w:szCs w:val="16"/>
        </w:rPr>
        <w:t xml:space="preserve"> в 1918 году) в составе Наркомата социального обеспечения был создан отдел охраны материнства и детства, который начал организацию женских и детских консультаций, яслей, домов матери и ребенка (15005).</w:t>
      </w:r>
    </w:p>
    <w:p w14:paraId="30B6EE3C" w14:textId="77777777" w:rsidR="00321EA1" w:rsidRPr="002F2FDF" w:rsidRDefault="00321EA1" w:rsidP="0083075A">
      <w:pPr>
        <w:spacing w:after="0" w:line="240" w:lineRule="auto"/>
        <w:jc w:val="both"/>
        <w:rPr>
          <w:rFonts w:ascii="Times New Roman" w:hAnsi="Times New Roman" w:cs="Times New Roman"/>
          <w:color w:val="000000" w:themeColor="text1"/>
          <w:kern w:val="2"/>
          <w:sz w:val="16"/>
          <w:szCs w:val="16"/>
        </w:rPr>
      </w:pPr>
    </w:p>
    <w:p w14:paraId="74DE5427"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28 декабря 1917 (10 января 1918) на почтамте подучен декрет комиссара труда, что все служащие почт и телеграфа объявляются отбывающими общественную трудовую повинность Их отказ от работы в почтово-телеграфных учреждениях будет расцениваться как государственное преступление.</w:t>
      </w:r>
    </w:p>
    <w:p w14:paraId="104F4CA3"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Таганских центральных мастерских большевики реквизировали все исправные двуколки и повозки (18685).</w:t>
      </w:r>
    </w:p>
    <w:p w14:paraId="4D3BD56B"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p>
    <w:p w14:paraId="066CC362" w14:textId="3A0A7E44" w:rsidR="00364602" w:rsidRPr="00FB4F67" w:rsidRDefault="00364602"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28 декабря 1917 г. (</w:t>
      </w:r>
      <w:r w:rsidRPr="00FB4F67">
        <w:rPr>
          <w:rFonts w:ascii="Times New Roman" w:hAnsi="Times New Roman" w:cs="Times New Roman"/>
          <w:color w:val="0070C0"/>
          <w:sz w:val="16"/>
          <w:szCs w:val="16"/>
        </w:rPr>
        <w:t>10 января 1918 г.</w:t>
      </w:r>
      <w:r>
        <w:rPr>
          <w:rFonts w:ascii="Times New Roman" w:hAnsi="Times New Roman" w:cs="Times New Roman"/>
          <w:color w:val="0070C0"/>
          <w:sz w:val="16"/>
          <w:szCs w:val="16"/>
        </w:rPr>
        <w:t>)</w:t>
      </w:r>
      <w:r w:rsidRPr="00FB4F67">
        <w:rPr>
          <w:rFonts w:ascii="Times New Roman" w:hAnsi="Times New Roman" w:cs="Times New Roman"/>
          <w:color w:val="0070C0"/>
          <w:sz w:val="16"/>
          <w:szCs w:val="16"/>
        </w:rPr>
        <w:t xml:space="preserve"> Советская Россия признала независимость Польши (23525).</w:t>
      </w:r>
    </w:p>
    <w:p w14:paraId="15903CB4" w14:textId="77777777" w:rsidR="00364602" w:rsidRPr="00FB4F67" w:rsidRDefault="00364602" w:rsidP="0083075A">
      <w:pPr>
        <w:spacing w:after="0" w:line="240" w:lineRule="auto"/>
        <w:jc w:val="both"/>
        <w:rPr>
          <w:rFonts w:ascii="Times New Roman" w:hAnsi="Times New Roman" w:cs="Times New Roman"/>
          <w:color w:val="0070C0"/>
          <w:sz w:val="16"/>
          <w:szCs w:val="16"/>
        </w:rPr>
      </w:pPr>
    </w:p>
    <w:p w14:paraId="0B77394C" w14:textId="77777777" w:rsidR="009C6F3B"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77DDE0C3" w14:textId="77777777" w:rsidR="009C6F3B" w:rsidRPr="002F2FDF" w:rsidRDefault="009C6F3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0495F9" w14:textId="0B460491" w:rsidR="00B738C2" w:rsidRPr="002F2FDF" w:rsidRDefault="00B738C2" w:rsidP="0083075A">
      <w:pPr>
        <w:pStyle w:val="ae"/>
        <w:spacing w:before="0" w:after="0"/>
        <w:jc w:val="both"/>
        <w:rPr>
          <w:color w:val="000000" w:themeColor="text1"/>
          <w:kern w:val="2"/>
          <w:sz w:val="16"/>
          <w:szCs w:val="16"/>
        </w:rPr>
      </w:pPr>
      <w:r w:rsidRPr="002F2FDF">
        <w:rPr>
          <w:rFonts w:eastAsia="Times New Roman"/>
          <w:color w:val="000000" w:themeColor="text1"/>
          <w:kern w:val="2"/>
          <w:sz w:val="16"/>
          <w:szCs w:val="16"/>
          <w:lang w:eastAsia="ru-RU"/>
        </w:rPr>
        <w:t>28</w:t>
      </w:r>
      <w:r w:rsidR="00E52569">
        <w:rPr>
          <w:rFonts w:eastAsia="Times New Roman"/>
          <w:color w:val="000000" w:themeColor="text1"/>
          <w:kern w:val="2"/>
          <w:sz w:val="16"/>
          <w:szCs w:val="16"/>
          <w:lang w:eastAsia="ru-RU"/>
        </w:rPr>
        <w:t xml:space="preserve"> </w:t>
      </w:r>
      <w:r w:rsidRPr="002F2FDF">
        <w:rPr>
          <w:rFonts w:eastAsia="Times New Roman"/>
          <w:color w:val="000000" w:themeColor="text1"/>
          <w:kern w:val="2"/>
          <w:sz w:val="16"/>
          <w:szCs w:val="16"/>
          <w:lang w:eastAsia="ru-RU"/>
        </w:rPr>
        <w:t>декабря 1917 (</w:t>
      </w:r>
      <w:hyperlink r:id="rId804" w:tooltip="10 января" w:history="1">
        <w:r w:rsidRPr="002F2FDF">
          <w:rPr>
            <w:rFonts w:eastAsia="Times New Roman"/>
            <w:color w:val="000000" w:themeColor="text1"/>
            <w:kern w:val="2"/>
            <w:sz w:val="16"/>
            <w:szCs w:val="16"/>
            <w:lang w:eastAsia="ru-RU"/>
          </w:rPr>
          <w:t>10</w:t>
        </w:r>
        <w:r w:rsidR="00E52569">
          <w:rPr>
            <w:rFonts w:eastAsia="Times New Roman"/>
            <w:color w:val="000000" w:themeColor="text1"/>
            <w:kern w:val="2"/>
            <w:sz w:val="16"/>
            <w:szCs w:val="16"/>
            <w:lang w:eastAsia="ru-RU"/>
          </w:rPr>
          <w:t xml:space="preserve"> </w:t>
        </w:r>
        <w:r w:rsidRPr="002F2FDF">
          <w:rPr>
            <w:rFonts w:eastAsia="Times New Roman"/>
            <w:color w:val="000000" w:themeColor="text1"/>
            <w:kern w:val="2"/>
            <w:sz w:val="16"/>
            <w:szCs w:val="16"/>
            <w:lang w:eastAsia="ru-RU"/>
          </w:rPr>
          <w:t>января</w:t>
        </w:r>
      </w:hyperlink>
      <w:hyperlink r:id="rId805" w:tooltip="1918 год" w:history="1">
        <w:r w:rsidRPr="002F2FDF">
          <w:rPr>
            <w:rFonts w:eastAsia="Times New Roman"/>
            <w:color w:val="000000" w:themeColor="text1"/>
            <w:kern w:val="2"/>
            <w:sz w:val="16"/>
            <w:szCs w:val="16"/>
            <w:lang w:eastAsia="ru-RU"/>
          </w:rPr>
          <w:t>1918</w:t>
        </w:r>
      </w:hyperlink>
      <w:r w:rsidRPr="002F2FDF">
        <w:rPr>
          <w:rFonts w:eastAsia="Times New Roman"/>
          <w:color w:val="000000" w:themeColor="text1"/>
          <w:kern w:val="2"/>
          <w:sz w:val="16"/>
          <w:szCs w:val="16"/>
          <w:lang w:eastAsia="ru-RU"/>
        </w:rPr>
        <w:t xml:space="preserve">) </w:t>
      </w:r>
      <w:r w:rsidRPr="002F2FDF">
        <w:rPr>
          <w:color w:val="000000" w:themeColor="text1"/>
          <w:kern w:val="2"/>
          <w:sz w:val="16"/>
          <w:szCs w:val="16"/>
        </w:rPr>
        <w:t>народный комиссар иностранных дел Лев Троцкий, возглавивший советскую делегацию на переговорах о заключении мира между Центральными державами и Советской Россией в Брест-Литовске, признал</w:t>
      </w:r>
      <w:r w:rsidR="00E52569">
        <w:rPr>
          <w:color w:val="000000" w:themeColor="text1"/>
          <w:kern w:val="2"/>
          <w:sz w:val="16"/>
          <w:szCs w:val="16"/>
        </w:rPr>
        <w:t xml:space="preserve"> </w:t>
      </w:r>
      <w:r w:rsidRPr="002F2FDF">
        <w:rPr>
          <w:color w:val="000000" w:themeColor="text1"/>
          <w:kern w:val="2"/>
          <w:sz w:val="16"/>
          <w:szCs w:val="16"/>
        </w:rPr>
        <w:t>в качестве независимой и самостоятельной делегации представителей антибольшевистской Украинской Центральной Рады. Это было вынужденное решение, принятое под давлением Германии, которая стремилась максимально ослабить переговорную позицию большевиков. Последние, в свою очередь, попутно готовили «ликвидацию» независимой Украинской Народной Республики (УНР), организовав восстание в Киеве и двинув ему на поддержку части Красной гвардии со стороны созданной ранее в Харькове Украинской Народной республики Советов (17045).</w:t>
      </w:r>
      <w:r w:rsidR="00E52569">
        <w:rPr>
          <w:color w:val="000000" w:themeColor="text1"/>
          <w:kern w:val="2"/>
          <w:sz w:val="16"/>
          <w:szCs w:val="16"/>
        </w:rPr>
        <w:t xml:space="preserve"> </w:t>
      </w:r>
    </w:p>
    <w:p w14:paraId="48FA321F" w14:textId="77777777" w:rsidR="00B738C2" w:rsidRPr="002F2FDF" w:rsidRDefault="00B738C2" w:rsidP="0083075A">
      <w:pPr>
        <w:spacing w:after="0" w:line="240" w:lineRule="auto"/>
        <w:jc w:val="both"/>
        <w:rPr>
          <w:rFonts w:ascii="Times New Roman" w:eastAsia="Times New Roman" w:hAnsi="Times New Roman" w:cs="Times New Roman"/>
          <w:color w:val="000000" w:themeColor="text1"/>
          <w:kern w:val="2"/>
          <w:sz w:val="16"/>
          <w:szCs w:val="16"/>
          <w:lang w:eastAsia="ru-RU"/>
        </w:rPr>
      </w:pPr>
    </w:p>
    <w:p w14:paraId="41619FBC" w14:textId="5C5FD8A5" w:rsidR="009C6F3B" w:rsidRPr="002F2FDF" w:rsidRDefault="009C6F3B"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28</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декабря 1917 (</w:t>
      </w:r>
      <w:hyperlink r:id="rId806" w:tooltip="10 января" w:history="1">
        <w:r w:rsidRPr="002F2FDF">
          <w:rPr>
            <w:rFonts w:ascii="Times New Roman" w:eastAsia="Times New Roman" w:hAnsi="Times New Roman" w:cs="Times New Roman"/>
            <w:color w:val="000000" w:themeColor="text1"/>
            <w:kern w:val="2"/>
            <w:sz w:val="16"/>
            <w:szCs w:val="16"/>
            <w:lang w:eastAsia="ru-RU"/>
          </w:rPr>
          <w:t>10</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января</w:t>
        </w:r>
      </w:hyperlink>
      <w:hyperlink r:id="rId807" w:tooltip="1918 год" w:history="1">
        <w:r w:rsidRPr="002F2FDF">
          <w:rPr>
            <w:rFonts w:ascii="Times New Roman" w:eastAsia="Times New Roman" w:hAnsi="Times New Roman" w:cs="Times New Roman"/>
            <w:color w:val="000000" w:themeColor="text1"/>
            <w:kern w:val="2"/>
            <w:sz w:val="16"/>
            <w:szCs w:val="16"/>
            <w:lang w:eastAsia="ru-RU"/>
          </w:rPr>
          <w:t>1918</w:t>
        </w:r>
      </w:hyperlink>
      <w:r w:rsidRPr="002F2FDF">
        <w:rPr>
          <w:rFonts w:ascii="Times New Roman" w:eastAsia="Times New Roman" w:hAnsi="Times New Roman" w:cs="Times New Roman"/>
          <w:color w:val="000000" w:themeColor="text1"/>
          <w:kern w:val="2"/>
          <w:sz w:val="16"/>
          <w:szCs w:val="16"/>
          <w:lang w:eastAsia="ru-RU"/>
        </w:rPr>
        <w:t xml:space="preserve">) на следующее заседание немцы пригласили украинскую делегацию. Её председатель </w:t>
      </w:r>
      <w:hyperlink r:id="rId808" w:tooltip="Голубович, Всеволод Александрович" w:history="1">
        <w:r w:rsidRPr="002F2FDF">
          <w:rPr>
            <w:rFonts w:ascii="Times New Roman" w:eastAsia="Times New Roman" w:hAnsi="Times New Roman" w:cs="Times New Roman"/>
            <w:color w:val="000000" w:themeColor="text1"/>
            <w:kern w:val="2"/>
            <w:sz w:val="16"/>
            <w:szCs w:val="16"/>
            <w:lang w:eastAsia="ru-RU"/>
          </w:rPr>
          <w:t>В. А. Голубович</w:t>
        </w:r>
      </w:hyperlink>
      <w:r w:rsidRPr="002F2FDF">
        <w:rPr>
          <w:rFonts w:ascii="Times New Roman" w:eastAsia="Times New Roman" w:hAnsi="Times New Roman" w:cs="Times New Roman"/>
          <w:color w:val="000000" w:themeColor="text1"/>
          <w:kern w:val="2"/>
          <w:sz w:val="16"/>
          <w:szCs w:val="16"/>
          <w:lang w:eastAsia="ru-RU"/>
        </w:rPr>
        <w:t xml:space="preserve"> огласил декларацию Центральной рады о том, что власть </w:t>
      </w:r>
      <w:hyperlink r:id="rId809" w:tooltip="Совет народных комиссаров РСФСР" w:history="1">
        <w:r w:rsidRPr="002F2FDF">
          <w:rPr>
            <w:rFonts w:ascii="Times New Roman" w:eastAsia="Times New Roman" w:hAnsi="Times New Roman" w:cs="Times New Roman"/>
            <w:color w:val="000000" w:themeColor="text1"/>
            <w:kern w:val="2"/>
            <w:sz w:val="16"/>
            <w:szCs w:val="16"/>
            <w:lang w:eastAsia="ru-RU"/>
          </w:rPr>
          <w:t>Совнаркома</w:t>
        </w:r>
      </w:hyperlink>
      <w:hyperlink r:id="rId810" w:tooltip="РСФСР" w:history="1">
        <w:r w:rsidRPr="002F2FDF">
          <w:rPr>
            <w:rFonts w:ascii="Times New Roman" w:eastAsia="Times New Roman" w:hAnsi="Times New Roman" w:cs="Times New Roman"/>
            <w:color w:val="000000" w:themeColor="text1"/>
            <w:kern w:val="2"/>
            <w:sz w:val="16"/>
            <w:szCs w:val="16"/>
            <w:lang w:eastAsia="ru-RU"/>
          </w:rPr>
          <w:t>Советской России</w:t>
        </w:r>
      </w:hyperlink>
      <w:r w:rsidRPr="002F2FDF">
        <w:rPr>
          <w:rFonts w:ascii="Times New Roman" w:eastAsia="Times New Roman" w:hAnsi="Times New Roman" w:cs="Times New Roman"/>
          <w:color w:val="000000" w:themeColor="text1"/>
          <w:kern w:val="2"/>
          <w:sz w:val="16"/>
          <w:szCs w:val="16"/>
          <w:lang w:eastAsia="ru-RU"/>
        </w:rPr>
        <w:t xml:space="preserve"> не распространяется на Украину, а потому Центральная рада намерена самостоятельно вести мирные переговоры. Р. фон Кюльман обратился к </w:t>
      </w:r>
      <w:hyperlink r:id="rId811" w:tooltip="Лев Троцкий" w:history="1">
        <w:r w:rsidRPr="002F2FDF">
          <w:rPr>
            <w:rFonts w:ascii="Times New Roman" w:eastAsia="Times New Roman" w:hAnsi="Times New Roman" w:cs="Times New Roman"/>
            <w:color w:val="000000" w:themeColor="text1"/>
            <w:kern w:val="2"/>
            <w:sz w:val="16"/>
            <w:szCs w:val="16"/>
            <w:lang w:eastAsia="ru-RU"/>
          </w:rPr>
          <w:t>Л. Д. Троцкому</w:t>
        </w:r>
      </w:hyperlink>
      <w:r w:rsidRPr="002F2FDF">
        <w:rPr>
          <w:rFonts w:ascii="Times New Roman" w:eastAsia="Times New Roman" w:hAnsi="Times New Roman" w:cs="Times New Roman"/>
          <w:color w:val="000000" w:themeColor="text1"/>
          <w:kern w:val="2"/>
          <w:sz w:val="16"/>
          <w:szCs w:val="16"/>
          <w:lang w:eastAsia="ru-RU"/>
        </w:rPr>
        <w:t>, возглавившему советскую делегацию на втором этапе переговоров, с вопросом, намерен ли он и его делегация и впредь быть в Брест-Литовске единственными дипломатическими представителями всей России, а также следует ли считать украинскую делегацию частью русской делегации или же она представляет самостоятельное государство. Троцкий знал о том, что Рада фактически находится в состоянии войны с РСФСР</w:t>
      </w:r>
      <w:hyperlink r:id="rId812" w:anchor="cite_note-8" w:history="1">
        <w:r w:rsidRPr="002F2FDF">
          <w:rPr>
            <w:rFonts w:ascii="Times New Roman" w:eastAsia="Times New Roman" w:hAnsi="Times New Roman" w:cs="Times New Roman"/>
            <w:color w:val="000000" w:themeColor="text1"/>
            <w:kern w:val="2"/>
            <w:sz w:val="16"/>
            <w:szCs w:val="16"/>
            <w:vertAlign w:val="superscript"/>
            <w:lang w:eastAsia="ru-RU"/>
          </w:rPr>
          <w:t>[8]</w:t>
        </w:r>
      </w:hyperlink>
      <w:r w:rsidRPr="002F2FDF">
        <w:rPr>
          <w:rFonts w:ascii="Times New Roman" w:eastAsia="Times New Roman" w:hAnsi="Times New Roman" w:cs="Times New Roman"/>
          <w:color w:val="000000" w:themeColor="text1"/>
          <w:kern w:val="2"/>
          <w:sz w:val="16"/>
          <w:szCs w:val="16"/>
          <w:lang w:eastAsia="ru-RU"/>
        </w:rPr>
        <w:t>. Поэтому, согласившись рассматривать делегацию Украинской Центральной рады как самостоятельную, он фактически сыграл на руку представителям Центральных держав и предоставил Германии и Австро-Венгрии возможность продолжать контакты с Украинской Центральной радой, в то время как переговоры с Советской Россией ещё два дня топтались на месте.</w:t>
      </w:r>
    </w:p>
    <w:p w14:paraId="5939CC48" w14:textId="77777777" w:rsidR="009C6F3B" w:rsidRPr="002F2FDF" w:rsidRDefault="009C6F3B"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 xml:space="preserve">Германское верховное командование выражало крайнее недовольство затягиванием мирных переговоров, опасаясь разложения армии. Генерал </w:t>
      </w:r>
      <w:hyperlink r:id="rId813" w:tooltip="Людендорф, Эрих" w:history="1">
        <w:r w:rsidRPr="002F2FDF">
          <w:rPr>
            <w:rFonts w:ascii="Times New Roman" w:eastAsia="Times New Roman" w:hAnsi="Times New Roman" w:cs="Times New Roman"/>
            <w:color w:val="000000" w:themeColor="text1"/>
            <w:kern w:val="2"/>
            <w:sz w:val="16"/>
            <w:szCs w:val="16"/>
            <w:lang w:eastAsia="ru-RU"/>
          </w:rPr>
          <w:t>Э. Людендорф</w:t>
        </w:r>
      </w:hyperlink>
      <w:r w:rsidRPr="002F2FDF">
        <w:rPr>
          <w:rFonts w:ascii="Times New Roman" w:eastAsia="Times New Roman" w:hAnsi="Times New Roman" w:cs="Times New Roman"/>
          <w:color w:val="000000" w:themeColor="text1"/>
          <w:kern w:val="2"/>
          <w:sz w:val="16"/>
          <w:szCs w:val="16"/>
          <w:lang w:eastAsia="ru-RU"/>
        </w:rPr>
        <w:t xml:space="preserve"> требовал от генерала Гофмана ускорить переговоры (17035).</w:t>
      </w:r>
    </w:p>
    <w:p w14:paraId="195ECFF5" w14:textId="77777777" w:rsidR="009C6F3B" w:rsidRPr="002F2FDF" w:rsidRDefault="009C6F3B" w:rsidP="0083075A">
      <w:pPr>
        <w:spacing w:after="0" w:line="240" w:lineRule="auto"/>
        <w:jc w:val="both"/>
        <w:rPr>
          <w:rFonts w:ascii="Times New Roman" w:eastAsia="Times New Roman" w:hAnsi="Times New Roman" w:cs="Times New Roman"/>
          <w:color w:val="000000" w:themeColor="text1"/>
          <w:kern w:val="2"/>
          <w:sz w:val="16"/>
          <w:szCs w:val="16"/>
          <w:lang w:eastAsia="ru-RU"/>
        </w:rPr>
      </w:pPr>
    </w:p>
    <w:p w14:paraId="655CAFC3" w14:textId="77777777" w:rsidR="00321EA1" w:rsidRPr="002F2FDF" w:rsidRDefault="00321E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28 декабря 1917 (10 января</w:t>
      </w:r>
      <w:r w:rsidRPr="002F2FDF">
        <w:rPr>
          <w:rFonts w:ascii="Times New Roman" w:hAnsi="Times New Roman" w:cs="Times New Roman"/>
          <w:color w:val="000000" w:themeColor="text1"/>
          <w:kern w:val="2"/>
          <w:sz w:val="16"/>
          <w:szCs w:val="16"/>
        </w:rPr>
        <w:t xml:space="preserve"> в 1918 годуЪ Лев Троцкий, занимавший в ту пору пост наркома иностранных дел РСФСР, выступил с длинной речью на пленарном заседании Мирной конференции в Брест-Литовске. Троцкий сообщил о решении советской делегации остаться в Брест-Литовске и продолжать переговоры, подчинившись таким образом германо-австро-венгерскому ультиматуму. Дело в том, что с первых дней мирных переговоров советская сторона настаивала на переносе конференции из Брестской крепости, «главной квартиры неприятельских армий», в нейтральную страну. Однако представители держав Четверного Союза решительно опротестовали это требование. Советской делегации пришлось примириться, дабы переговоры не оказались под угрозой срыва. «Мы считаем необходимым открыто, пред лицом всего мира, и прежде всего германского народа, принять предъявленный нам ультиматум», — подытоживал Троцкий (15005).</w:t>
      </w:r>
    </w:p>
    <w:p w14:paraId="2FCFA9CD" w14:textId="77777777" w:rsidR="00321EA1" w:rsidRPr="002F2FDF" w:rsidRDefault="00321EA1" w:rsidP="0083075A">
      <w:pPr>
        <w:spacing w:after="0" w:line="240" w:lineRule="auto"/>
        <w:jc w:val="both"/>
        <w:rPr>
          <w:rFonts w:ascii="Times New Roman" w:hAnsi="Times New Roman" w:cs="Times New Roman"/>
          <w:color w:val="000000" w:themeColor="text1"/>
          <w:kern w:val="2"/>
          <w:sz w:val="16"/>
          <w:szCs w:val="16"/>
        </w:rPr>
      </w:pPr>
    </w:p>
    <w:p w14:paraId="4CB1EEC5" w14:textId="77777777" w:rsidR="00D117E6" w:rsidRPr="002F2FDF" w:rsidRDefault="00D117E6"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28 декабря 1917 года (10 января 1918) Московское областное бюро РСДРП(б), где временно «левые коммунисты» получили большинство, приняло резолюцию с требованием разрыва переговоров с Германией. Наркоминдел Троцкий предпочитает лавировать между двумя фракциями, выдвинув «промежуточную» платформу «ни мира, ни войны» — «Мы войну прекращаем, мира не заключаем, армию демобилизуем».</w:t>
      </w:r>
    </w:p>
    <w:p w14:paraId="6121D87A" w14:textId="0B461FEA" w:rsidR="00D117E6" w:rsidRPr="002F2FDF" w:rsidRDefault="00D117E6"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8</w:t>
      </w:r>
      <w:r w:rsidR="00E52569">
        <w:rPr>
          <w:rFonts w:ascii="Times New Roman" w:eastAsia="Times New Roman" w:hAnsi="Times New Roman" w:cs="Times New Roman"/>
          <w:color w:val="000000" w:themeColor="text1"/>
          <w:kern w:val="2"/>
          <w:sz w:val="16"/>
          <w:szCs w:val="16"/>
          <w:lang w:eastAsia="ru-RU"/>
        </w:rPr>
        <w:t xml:space="preserve"> </w:t>
      </w:r>
      <w:hyperlink r:id="rId814" w:tooltip="21 января" w:history="1">
        <w:r w:rsidRPr="002F2FDF">
          <w:rPr>
            <w:rFonts w:ascii="Times New Roman" w:eastAsia="Times New Roman" w:hAnsi="Times New Roman" w:cs="Times New Roman"/>
            <w:color w:val="000000" w:themeColor="text1"/>
            <w:kern w:val="2"/>
            <w:sz w:val="16"/>
            <w:szCs w:val="16"/>
            <w:lang w:eastAsia="ru-RU"/>
          </w:rPr>
          <w:t>(21)</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января</w:t>
        </w:r>
      </w:hyperlink>
      <w:r w:rsidRPr="002F2FDF">
        <w:rPr>
          <w:rFonts w:ascii="Times New Roman" w:eastAsia="Times New Roman" w:hAnsi="Times New Roman" w:cs="Times New Roman"/>
          <w:color w:val="000000" w:themeColor="text1"/>
          <w:kern w:val="2"/>
          <w:sz w:val="16"/>
          <w:szCs w:val="16"/>
          <w:lang w:eastAsia="ru-RU"/>
        </w:rPr>
        <w:t xml:space="preserve"> Ленин, выступая на совещании членов ЦК с партийными работниками, приводит развёрнутое обоснование необходимости подписания мира, огласив свои «Тезисы по вопросу о немедленном заключении сепаратного и аннексионистского мира» (опубликованы лишь 24 февраля). За ленинские тезисы проголосовало лишь 15 участников совещания, 32 человека поддержали позицию «левых коммунистов» и 16 — позицию Троцкого (17035).</w:t>
      </w:r>
    </w:p>
    <w:p w14:paraId="6A7AA326" w14:textId="77777777" w:rsidR="00D117E6" w:rsidRPr="002F2FDF" w:rsidRDefault="00D117E6" w:rsidP="0083075A">
      <w:pPr>
        <w:spacing w:after="0" w:line="240" w:lineRule="auto"/>
        <w:jc w:val="both"/>
        <w:rPr>
          <w:rFonts w:ascii="Times New Roman" w:eastAsia="Times New Roman" w:hAnsi="Times New Roman" w:cs="Times New Roman"/>
          <w:color w:val="000000" w:themeColor="text1"/>
          <w:kern w:val="2"/>
          <w:sz w:val="16"/>
          <w:szCs w:val="16"/>
          <w:lang w:eastAsia="ru-RU"/>
        </w:rPr>
      </w:pPr>
    </w:p>
    <w:p w14:paraId="7DD1D90B" w14:textId="50CC9571" w:rsidR="00321EA1" w:rsidRPr="002F2FDF" w:rsidRDefault="00321EA1"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28 декабря 1917 (10 января 1918) президент США Вудро Вильсон наконец подписывает доклад госсекретаря Лансинга (от 10 декабря) о предоставлении тайной поддержки британским и французским инициативам, направленным против Советской власти. Речь шла о помощи Каледину. Поскольку Каледин и его сторонники не являлись признанными де-юре, закон запрещал предоставление им займов, поэтому Лансинг подчеркивал важность «избежать огласки намерений Соединенных Штатов продемонстрировать симпатии к движению Каледина, а тем более предоставить свою финансовую помощь».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 этих целях помощь осуществлялась через Англию и Францию (15497).</w:t>
      </w:r>
    </w:p>
    <w:p w14:paraId="76807EF1" w14:textId="77777777" w:rsidR="00321EA1" w:rsidRPr="002F2FDF" w:rsidRDefault="00321EA1" w:rsidP="0083075A">
      <w:pPr>
        <w:spacing w:after="0" w:line="240" w:lineRule="auto"/>
        <w:jc w:val="both"/>
        <w:rPr>
          <w:rFonts w:ascii="Times New Roman" w:hAnsi="Times New Roman" w:cs="Times New Roman"/>
          <w:color w:val="000000" w:themeColor="text1"/>
          <w:kern w:val="2"/>
          <w:sz w:val="16"/>
          <w:szCs w:val="16"/>
        </w:rPr>
      </w:pPr>
    </w:p>
    <w:p w14:paraId="3A92DEC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F7A7D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296F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декабря 1917 (10 января 1918) Бремен. Взятие власти Советом. Провозглашение Бременской Советской республики (БСР), создан СНУ БСР (7446).</w:t>
      </w:r>
    </w:p>
    <w:p w14:paraId="15A732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57B01D" w14:textId="73B9ADCC" w:rsidR="00B738C2" w:rsidRPr="002F2FDF" w:rsidRDefault="00B738C2" w:rsidP="0083075A">
      <w:pPr>
        <w:pStyle w:val="ae"/>
        <w:spacing w:before="0" w:after="0"/>
        <w:jc w:val="both"/>
        <w:rPr>
          <w:color w:val="000000" w:themeColor="text1"/>
          <w:kern w:val="2"/>
          <w:sz w:val="16"/>
          <w:szCs w:val="16"/>
        </w:rPr>
      </w:pPr>
      <w:r w:rsidRPr="002F2FDF">
        <w:rPr>
          <w:color w:val="000000" w:themeColor="text1"/>
          <w:kern w:val="2"/>
          <w:sz w:val="16"/>
          <w:szCs w:val="16"/>
        </w:rPr>
        <w:t>28 декабря 1917 (10 января 1918) независимость Финляндии признали Норвегия и Дания, 11 января — Швейцария, 13 января — Австро-Венгрия. Тем временем</w:t>
      </w:r>
      <w:r w:rsidR="00E52569">
        <w:rPr>
          <w:color w:val="000000" w:themeColor="text1"/>
          <w:kern w:val="2"/>
          <w:sz w:val="16"/>
          <w:szCs w:val="16"/>
        </w:rPr>
        <w:t xml:space="preserve"> </w:t>
      </w:r>
      <w:r w:rsidRPr="002F2FDF">
        <w:rPr>
          <w:color w:val="000000" w:themeColor="text1"/>
          <w:kern w:val="2"/>
          <w:sz w:val="16"/>
          <w:szCs w:val="16"/>
        </w:rPr>
        <w:t>в самой Финляндии обострилось противостояние между местными «красными» (сторонниками Социал-демократической партии) и «белыми» (поддерживавших финский Сенат — правительство). Стычки между ними</w:t>
      </w:r>
      <w:r w:rsidR="00E52569">
        <w:rPr>
          <w:color w:val="000000" w:themeColor="text1"/>
          <w:kern w:val="2"/>
          <w:sz w:val="16"/>
          <w:szCs w:val="16"/>
        </w:rPr>
        <w:t xml:space="preserve"> </w:t>
      </w:r>
      <w:r w:rsidRPr="002F2FDF">
        <w:rPr>
          <w:color w:val="000000" w:themeColor="text1"/>
          <w:kern w:val="2"/>
          <w:sz w:val="16"/>
          <w:szCs w:val="16"/>
        </w:rPr>
        <w:t>начались еще в декабре 1917 года. 12 января парламент Финляндии уполномочил Сенат принять жесткие меры по наведению порядка в стране, назначив командующим только создающихся национальных вооруженных сил бывшего генерала царской русской армии Карла Густава Маннергейма. Формирование «белых» финских частей он начал в городе Вааса на западе страны, планируя в первую очередь провести разоружение красногвардейцев и русских гарнизонов, которые из Финляндии так и не были выведены. К боям готовились и «красные», которые создали Исполнительный комитет рабочих, контролировавший</w:t>
      </w:r>
      <w:r w:rsidR="00E52569">
        <w:rPr>
          <w:color w:val="000000" w:themeColor="text1"/>
          <w:kern w:val="2"/>
          <w:sz w:val="16"/>
          <w:szCs w:val="16"/>
        </w:rPr>
        <w:t xml:space="preserve"> </w:t>
      </w:r>
      <w:r w:rsidRPr="002F2FDF">
        <w:rPr>
          <w:color w:val="000000" w:themeColor="text1"/>
          <w:kern w:val="2"/>
          <w:sz w:val="16"/>
          <w:szCs w:val="16"/>
        </w:rPr>
        <w:t>в основном</w:t>
      </w:r>
      <w:r w:rsidR="00E52569">
        <w:rPr>
          <w:color w:val="000000" w:themeColor="text1"/>
          <w:kern w:val="2"/>
          <w:sz w:val="16"/>
          <w:szCs w:val="16"/>
        </w:rPr>
        <w:t xml:space="preserve"> </w:t>
      </w:r>
      <w:r w:rsidRPr="002F2FDF">
        <w:rPr>
          <w:color w:val="000000" w:themeColor="text1"/>
          <w:kern w:val="2"/>
          <w:sz w:val="16"/>
          <w:szCs w:val="16"/>
        </w:rPr>
        <w:t>южные районы страны. При этом лидер большевиков Владимир Ленин пообещал финским соратникам помощь в организации мятежа, дав распоряжение начать отправку в Хельсинки оружия (17045).</w:t>
      </w:r>
    </w:p>
    <w:p w14:paraId="210C223A" w14:textId="77777777" w:rsidR="00B738C2" w:rsidRPr="002F2FDF" w:rsidRDefault="00B738C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29EB5B" w14:textId="3AC1F272" w:rsidR="004318A6" w:rsidRPr="002F2FDF" w:rsidRDefault="004318A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7F36E6FC" w14:textId="77777777" w:rsidR="004318A6" w:rsidRPr="002F2FDF" w:rsidRDefault="004318A6"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3FEC35"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29 ДЕКАБРЯ 1917 года (10 января 1918)</w:t>
      </w:r>
    </w:p>
    <w:p w14:paraId="5F559F4B"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Протокол от 29 декабря 1917 г.</w:t>
      </w:r>
    </w:p>
    <w:p w14:paraId="72CCEBC4"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Повестка дня:</w:t>
      </w:r>
    </w:p>
    <w:p w14:paraId="3A7DB125"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Машинописный текст, на бланке:</w:t>
      </w:r>
    </w:p>
    <w:p w14:paraId="0301A47F"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Управление делами Крестьянского и Рабочего правительства республики России. Петроград, от 29 декабря 1917 г.</w:t>
      </w:r>
    </w:p>
    <w:p w14:paraId="71105D9F"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ПОВЕСТКА ЗАСЕДАНИЯ СОВЕТА НАРОДНЫХ КОМИССАРОВ</w:t>
      </w:r>
    </w:p>
    <w:p w14:paraId="1BE49387"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29 ДЕКАБРЯ 1917 года</w:t>
      </w:r>
    </w:p>
    <w:p w14:paraId="2AFC68B4"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&lt;0 а. Об Армении. (Сталин.)&gt;</w:t>
      </w:r>
    </w:p>
    <w:p w14:paraId="30497FE2"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0 б. О комиссарах в частных банках и о Сокольникове.</w:t>
      </w:r>
    </w:p>
    <w:p w14:paraId="0EBBC750"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Манифест о социалистической войне.</w:t>
      </w:r>
    </w:p>
    <w:p w14:paraId="54DA031B"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2. Учредительное собрание. (Урицкий.)</w:t>
      </w:r>
    </w:p>
    <w:p w14:paraId="4AB601BE"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 Заявление Эссена, Портянко и других (письменно).</w:t>
      </w:r>
    </w:p>
    <w:p w14:paraId="436DB52F"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 Указы Штейнберга186.</w:t>
      </w:r>
    </w:p>
    <w:p w14:paraId="62CC99C6"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 Конфискация имущества Путилова. (Урицкий.)</w:t>
      </w:r>
    </w:p>
    <w:p w14:paraId="5E3428A1"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6. О порядке и праве издания декретов Советом народного хозяйства.</w:t>
      </w:r>
    </w:p>
    <w:p w14:paraId="12079151"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(Елизаров, Шляпников и Оболенский.)</w:t>
      </w:r>
    </w:p>
    <w:p w14:paraId="475E8852"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7. О Копорской железной дороге. (Елизаров.)</w:t>
      </w:r>
    </w:p>
    <w:p w14:paraId="10A09EF6"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8. О реорганизации Государственного контроля. (Виноградов.)</w:t>
      </w:r>
    </w:p>
    <w:p w14:paraId="7CFF0FCA"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9. Заявление рабочих завода «Динамо».</w:t>
      </w:r>
    </w:p>
    <w:p w14:paraId="600DC313"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10. Календарь, (Луначарский.)</w:t>
      </w:r>
    </w:p>
    <w:p w14:paraId="0B019223"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11. Смета по Комиссариату юстиции. (Штейнберг.)</w:t>
      </w:r>
    </w:p>
    <w:p w14:paraId="56500136"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&lt;12. О незаполнении анкеты народными комиссарами.&gt;</w:t>
      </w:r>
    </w:p>
    <w:p w14:paraId="564B4CCF"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13. О Продовольственном совете. (Троцкий.)</w:t>
      </w:r>
    </w:p>
    <w:p w14:paraId="21CE7306"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14. О конфискации завода Анатра в Симферополе. (Шляпников.)</w:t>
      </w:r>
    </w:p>
    <w:p w14:paraId="081F6E25"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 Санатория Халила. (Ленин.)</w:t>
      </w:r>
    </w:p>
    <w:p w14:paraId="38D1476D"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16. Телеграмма Скоропися и Меленевского из Стокгольма.</w:t>
      </w:r>
    </w:p>
    <w:p w14:paraId="4FADED19"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17. Вывод войск из Персии. (Троцкий.)</w:t>
      </w:r>
    </w:p>
    <w:p w14:paraId="5E6DC361"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18. О направлении неоконченных дел упраздненных судебных установлений. (Штейнберг.)</w:t>
      </w:r>
    </w:p>
    <w:p w14:paraId="33ED3E46"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19. Финансирование Иваново-Вознесенского района. (Шляпников.)</w:t>
      </w:r>
    </w:p>
    <w:p w14:paraId="2F7ADBB2"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20. Нормы оплаты высших должностных лиц по заводоуправлению. (Шляпников.)</w:t>
      </w:r>
    </w:p>
    <w:p w14:paraId="174B1475"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21. Смета на содержание народных судов в Петрограде на сумму 165 000 руб. за декабрь. (Штейнберг.)</w:t>
      </w:r>
    </w:p>
    <w:p w14:paraId="365C8959"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22. Об охране предметов старины и искусства, принадлежащих польскому народу208. (Циховский.)</w:t>
      </w:r>
    </w:p>
    <w:p w14:paraId="170DE1B1" w14:textId="58DB3D80"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23. Аванс в сумме 200 000 руб. «Газете Временного Рабочего и Крестьянского Правительства».&gt;</w:t>
      </w:r>
    </w:p>
    <w:p w14:paraId="0A980C49"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24. О дворцах. (Карелин.)</w:t>
      </w:r>
    </w:p>
    <w:p w14:paraId="061BFCDA"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25. Об остаточных суммах по смете Государственного совета. (Алгасов.)</w:t>
      </w:r>
    </w:p>
    <w:p w14:paraId="7ABFF0BD"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26. Об ассигновании 50 000 руб. сверхсметным кредитом Петроградской одиночной тюрьме. (Алгасов.)</w:t>
      </w:r>
    </w:p>
    <w:p w14:paraId="30836FAF"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27. Борьба с саботажем213. (Алгасов.)</w:t>
      </w:r>
    </w:p>
    <w:p w14:paraId="3D604B24"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28. Об увеличении окладов жалованья почтово-телеграфным служащим. (Прошьян.)</w:t>
      </w:r>
    </w:p>
    <w:p w14:paraId="322F7141"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29. Об освобождении уголовного Нильса Гумэлиуса под ручательство и ответственность шведских подданных Карльсона и Гэльберга221, (Штейнберг)</w:t>
      </w:r>
    </w:p>
    <w:p w14:paraId="6118A7E6"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&lt;30. О порядке выдачи разрешений на экспорт и импорт товаров. (Оболенский)</w:t>
      </w:r>
    </w:p>
    <w:p w14:paraId="09EE01DE"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&lt;31. О продлении срока действия существующего повышенного акциза на зажигательные спички. (Аксельрод.)&gt;</w:t>
      </w:r>
    </w:p>
    <w:p w14:paraId="0ACA56ED"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ЗАСЕДАНИЕ СОВЕТА НАРОДНЫХ КОМИССАРОВ</w:t>
      </w:r>
    </w:p>
    <w:p w14:paraId="0F757B32"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29 ДЕКАБРЯ 1917 года 3 6</w:t>
      </w:r>
    </w:p>
    <w:p w14:paraId="2903F060"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Председательствует Вл, Ильич Ленин.</w:t>
      </w:r>
    </w:p>
    <w:p w14:paraId="17296A18"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Присутствуют: Свердлов, Аксельрод, Менжинский, Бонч-Бруевич, Оболенский, Покровский, Петровский, Козьмин, Подвойский, Трутовский, Шляпников, Алгасов, Колегаев, Закс, Сталин, Карелин, Шлихтер (4), Урицкий (7).</w:t>
      </w:r>
    </w:p>
    <w:p w14:paraId="2AD7DEAE"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Слушали:</w:t>
      </w:r>
    </w:p>
    <w:p w14:paraId="36868963"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Об ассигновании 2 000 000 руб.</w:t>
      </w:r>
    </w:p>
    <w:p w14:paraId="62515C13"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ЦИК на расходы, связанные с подготовкой и созывом январских съездов. (Свердлов.)</w:t>
      </w:r>
    </w:p>
    <w:p w14:paraId="66463F2F"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Постановили:</w:t>
      </w:r>
    </w:p>
    <w:p w14:paraId="2FF2D8B3"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 Против резолюции Ленина голосовали все, за исключением Петровского и Ленина. Принята резолюция т. Оболенского.</w:t>
      </w:r>
    </w:p>
    <w:p w14:paraId="127010B7"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Предложено три резолюции: Ленина, Свердлова и Оболенского.</w:t>
      </w:r>
    </w:p>
    <w:p w14:paraId="703DED1B"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Об оплате вольнонаемных во флоте и о выводе войск из тыловых частей Финляндии. (Аксельрод.)</w:t>
      </w:r>
    </w:p>
    <w:p w14:paraId="12BE2098"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 Заявление Шляпникова о необходимости согласования заработной платы рабочим и служащим во всех ведомствах.</w:t>
      </w:r>
    </w:p>
    <w:p w14:paraId="22F51D65"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 О продлении повышенного акциза на спички. (Аксельрод.)</w:t>
      </w:r>
    </w:p>
    <w:p w14:paraId="30756BAE"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 О разрешениях на экспорт и импорт товаров в Россию. (Оболенский.)</w:t>
      </w:r>
    </w:p>
    <w:p w14:paraId="23B0D0B3"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6. Конфискация имущества Акционерного общества Невьянского горного округа. (Шляпников.)</w:t>
      </w:r>
    </w:p>
    <w:p w14:paraId="51431860"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7. Об Армении (проект декрета, выработанный тт. Сталиным, Прошьяном и Зорьяном).</w:t>
      </w:r>
    </w:p>
    <w:p w14:paraId="160B014E"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8. Об ассигновке 200 000 руб. «Газете Временного Рабочего и Крестьянского Правительства». (Таргулов.)</w:t>
      </w:r>
    </w:p>
    <w:p w14:paraId="3F3DCC6D"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О централизации правительственных газет. (Ленин.)</w:t>
      </w:r>
    </w:p>
    <w:p w14:paraId="40D84930"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9. О нормах оплаты труда служащим правительственных учреждений.</w:t>
      </w:r>
    </w:p>
    <w:p w14:paraId="447C9D3D"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10. О Раде.</w:t>
      </w:r>
    </w:p>
    <w:p w14:paraId="7BA90F17"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11. Об открытии заседаний Совета в точно назначенные часы.</w:t>
      </w:r>
    </w:p>
    <w:p w14:paraId="1FB4CEB5"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 Сдать на срочное обсуждение и заключение Народных комиссариатов военного, финансов, морского и труда. Обратить внимание комиссии о необходимости согласованных действий с Финляндским областным комитетом (Смилгой.)</w:t>
      </w:r>
    </w:p>
    <w:p w14:paraId="766AB836"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 Все вопросы, связанные с установлением заработной платы по тому или иному комиссариату и подведомственным ему учреждениям,</w:t>
      </w:r>
    </w:p>
    <w:p w14:paraId="7729F43D"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должны доставляться на предварительное заключение Народного комиссариата труда.</w:t>
      </w:r>
    </w:p>
    <w:p w14:paraId="1F8BB57C"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 Предложенный проект декрета принять и утвердить как декрет.</w:t>
      </w:r>
    </w:p>
    <w:p w14:paraId="4DBE0A1F"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5. Предложенный проект декрета принять и утвердить как декрет.</w:t>
      </w:r>
    </w:p>
    <w:p w14:paraId="0E972A52"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6. Предложенный проект декрета принять и утвердить как декрет.</w:t>
      </w:r>
    </w:p>
    <w:p w14:paraId="583F4435"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7. Поручается тов. Сталину поместить в печати подробное сообщение о предварительном соглашении между тт. Сталиным и Прошьяном и представителем партии Дашнакцутюн по поводу предлагаемого проекта декрета. Декрет принять и утвердить.</w:t>
      </w:r>
    </w:p>
    <w:p w14:paraId="0E289CD8"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8. Сдать вопрос о ссуде в Комиссариаты финансов и государственного контроля с правом окончательного решения.</w:t>
      </w:r>
    </w:p>
    <w:p w14:paraId="4715BA0C"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Поручить тов, Таргулову и БончБруевичу создать особую комиссию для выяснения вопросов о централизации правительственных газет и представить результат работ в недельный срок в Совет Народных Комиссаров.</w:t>
      </w:r>
    </w:p>
    <w:p w14:paraId="278F4550"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9. Не опубликовывать.</w:t>
      </w:r>
    </w:p>
    <w:p w14:paraId="3E62D791"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10. Перенести вопрос на завтра.</w:t>
      </w:r>
    </w:p>
    <w:p w14:paraId="70F4B6C8"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11. Установить штраф для опаздывающих на заседания Совета Народных Комиссаров в размере: до получаса — 5 руб., до часа — 10 руб. От штрафа освобождаются те из народных комиссаров, которые заранее представляют соответствующие заявления секретарю Совета с точным указанием причин опоздания или неявки -</w:t>
      </w:r>
    </w:p>
    <w:p w14:paraId="77150014"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12. О разоружении польского полка, отказавшегося идти против Рады (Первый польский революционный полк).</w:t>
      </w:r>
    </w:p>
    <w:p w14:paraId="7BB0EEFB"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12. Поручить тов. Сталину, Подвойскому составить комиссию с привлечением представителей Польского</w:t>
      </w:r>
    </w:p>
    <w:p w14:paraId="4DCD0CCB"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комиссариата в целях наиболее обстоятельного выяснения этого дела.</w:t>
      </w:r>
    </w:p>
    <w:p w14:paraId="4E709A17"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Поручить тов. Сталину и Подвойскому внести завтра в Совет соответствующее заявление о принятии необходимых мер.</w:t>
      </w:r>
    </w:p>
    <w:p w14:paraId="50D45619"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Следующее заседание назначается на завтра в 8 часов вечера.</w:t>
      </w:r>
    </w:p>
    <w:p w14:paraId="7CF7CC94"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Приложение</w:t>
      </w:r>
    </w:p>
    <w:p w14:paraId="49703F41"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Кп. в.</w:t>
      </w:r>
    </w:p>
    <w:p w14:paraId="72377342"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Декрет о конфискации завода АЛ. Анатра в Симферополе</w:t>
      </w:r>
    </w:p>
    <w:p w14:paraId="544D923A"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Ввиду категорического отказа правления завода аэропланов А.А. Анатра в Симферополе подчиниться декрету Совета Народных Комиссаров о рабочем контроле, нежелания пойти на какие-либо уступки по отношению к рабочим, благодаря чему возникла забастовка в предприятии, требования владельца обязательных сверхурочных работ, несмотря на безработицу среди рабочих Симферополя, — Совет Народных Комиссаров постановил конфисковать аэропланный завод со всем его имуществом и объявить его собственностью Российской республики.</w:t>
      </w:r>
    </w:p>
    <w:p w14:paraId="3EEFA099"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Весь служебный и технический персонал обязан оставаться на местах и исполнять свои обязанности.</w:t>
      </w:r>
    </w:p>
    <w:p w14:paraId="09F0EC25"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 самовольное оставление занимаемой должности или саботаж виновные будут преданы революционному суду.</w:t>
      </w:r>
    </w:p>
    <w:p w14:paraId="7AA003C1"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Порядок передачи управления делами представителям фабрично-заводского комитета будет определен особым постановлением народного комиссара торговли и промышленности.</w:t>
      </w:r>
    </w:p>
    <w:p w14:paraId="67BD0BC8"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За председателя Совета Народных Комиссаров И. Сталин,</w:t>
      </w:r>
    </w:p>
    <w:p w14:paraId="5A79DD7C"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Народные комиссары: А, Колегаев, А, Шлихтер, Г. Петровский, А. Шляпников,</w:t>
      </w:r>
    </w:p>
    <w:p w14:paraId="1032B21F"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Управляющий делами Влад. Бонч-Бруевич,</w:t>
      </w:r>
    </w:p>
    <w:p w14:paraId="03E7FB19"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Секретарь Совета Народных Комиссаров Н. Горбунов,</w:t>
      </w:r>
    </w:p>
    <w:p w14:paraId="7598AB85"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Подлинник; пометка: К протоколу 35, пункт 6 — JI. 7. (20462).</w:t>
      </w:r>
    </w:p>
    <w:p w14:paraId="7CF90B6B" w14:textId="77777777" w:rsidR="004318A6" w:rsidRPr="002F2FDF" w:rsidRDefault="004318A6" w:rsidP="0083075A">
      <w:pPr>
        <w:spacing w:after="0" w:line="240" w:lineRule="auto"/>
        <w:jc w:val="both"/>
        <w:rPr>
          <w:rFonts w:ascii="Times New Roman" w:hAnsi="Times New Roman" w:cs="Times New Roman"/>
          <w:color w:val="000000" w:themeColor="text1"/>
          <w:sz w:val="16"/>
          <w:szCs w:val="16"/>
        </w:rPr>
      </w:pPr>
    </w:p>
    <w:p w14:paraId="6989CEC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6CF96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4CC47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декабря 1917 г. (11 января 1918) линкор “Император Александр III ” вошел в состав “красного” Черноморского флота (11454).</w:t>
      </w:r>
    </w:p>
    <w:p w14:paraId="6BCF50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49C21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7A6E3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6B45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29-31 декабря 1917 (11-13 января 1918) Крыленко призвал к созданию революционной народной социалистический армии. Началась борьба против Украинской рады (2239).</w:t>
      </w:r>
    </w:p>
    <w:p w14:paraId="565397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DC84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декабря 1917 (11 января 1918) В.И.Л. подписал декреты СНК "О выборном начале и об организации власти в армии" и "Об уравнении всех военнослужащих в правах" (3398,445) - м.б. 16 (29) декабря 1917</w:t>
      </w:r>
    </w:p>
    <w:p w14:paraId="29D7D2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A7C897"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5AC72F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73825A"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29 декабря 1917 (11 января 1918) в город прибыли отряды матросов Балтийского флота для борьбы с все нарастающей преступностью и для охраны жизни и имущества москвичей. Руководить этими отрядами назначили начальника уголовно-розыскной милиции К. П. Маршалка (18685).</w:t>
      </w:r>
    </w:p>
    <w:p w14:paraId="385C860C"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p>
    <w:p w14:paraId="508F3B8C" w14:textId="77777777" w:rsidR="0040277E" w:rsidRPr="002F2FDF" w:rsidRDefault="0040277E" w:rsidP="0083075A">
      <w:pPr>
        <w:pStyle w:val="a3"/>
        <w:rPr>
          <w:color w:val="000000" w:themeColor="text1"/>
          <w:lang w:val="ru-RU"/>
        </w:rPr>
      </w:pPr>
      <w:r w:rsidRPr="002F2FDF">
        <w:rPr>
          <w:color w:val="000000" w:themeColor="text1"/>
          <w:lang w:val="ru-RU"/>
        </w:rPr>
        <w:t>29 декабря 1917 г. (11 января 1918 г.) появился декрет Совнаркома о запрещении операций с ценными бумагами. Благодаря этому закону была уничтожена фондовая биржа (18085).</w:t>
      </w:r>
    </w:p>
    <w:p w14:paraId="21EC44C0" w14:textId="77777777" w:rsidR="0040277E" w:rsidRPr="002F2FDF" w:rsidRDefault="0040277E" w:rsidP="0083075A">
      <w:pPr>
        <w:pStyle w:val="a3"/>
        <w:rPr>
          <w:color w:val="000000" w:themeColor="text1"/>
          <w:lang w:val="ru-RU"/>
        </w:rPr>
      </w:pPr>
    </w:p>
    <w:p w14:paraId="001639E5"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декабря 1917 (11 января 1918) Совнарком принял декрет о праве на отделение народа Турецкой Армении, оккупированной Россией (4962).</w:t>
      </w:r>
    </w:p>
    <w:p w14:paraId="6FB7A5E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0FA06A" w14:textId="62894B5B" w:rsidR="00783B7D" w:rsidRPr="002F2FDF" w:rsidRDefault="00783B7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7989C557" w14:textId="77777777" w:rsidR="00783B7D" w:rsidRPr="002F2FDF" w:rsidRDefault="00783B7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D32A71" w14:textId="77777777" w:rsidR="00783B7D" w:rsidRPr="002F2FDF" w:rsidRDefault="00783B7D" w:rsidP="0083075A">
      <w:pPr>
        <w:pStyle w:val="p1"/>
        <w:spacing w:before="0" w:beforeAutospacing="0" w:after="0" w:afterAutospacing="0"/>
        <w:jc w:val="both"/>
        <w:rPr>
          <w:color w:val="000000" w:themeColor="text1"/>
          <w:sz w:val="16"/>
          <w:szCs w:val="16"/>
        </w:rPr>
      </w:pPr>
      <w:r w:rsidRPr="002F2FDF">
        <w:rPr>
          <w:color w:val="000000" w:themeColor="text1"/>
          <w:sz w:val="16"/>
          <w:szCs w:val="16"/>
          <w:shd w:val="clear" w:color="auto" w:fill="FFFFFF"/>
        </w:rPr>
        <w:t>29 декабря 1917 года (10 января 1918) Советское правительство устанавливает строжайшую разрешительно-запретительную систему внешней торговли страны, передав эту отрасль экономики в ведение Отдела внешней торговли Народного Комиссариата Торговли и Промышленности. Этот акт был направлен не на построение закрытой экономики, а на построение управляемого государством ее внешнеэкономического сектора. Развитие и практика разрешительно-запретительной системы внешней торговли посредством декретов правительства, принятых в 1918г., 1920г. и 1921г. положили начало монополии внешней торговли Советской России, а затем и Советского Союза (20213).</w:t>
      </w:r>
    </w:p>
    <w:p w14:paraId="5910342D" w14:textId="77777777" w:rsidR="00783B7D" w:rsidRPr="002F2FDF" w:rsidRDefault="00783B7D" w:rsidP="0083075A">
      <w:pPr>
        <w:pStyle w:val="p1"/>
        <w:spacing w:before="0" w:beforeAutospacing="0" w:after="0" w:afterAutospacing="0"/>
        <w:jc w:val="both"/>
        <w:rPr>
          <w:color w:val="000000" w:themeColor="text1"/>
          <w:sz w:val="16"/>
          <w:szCs w:val="16"/>
        </w:rPr>
      </w:pPr>
    </w:p>
    <w:p w14:paraId="7363C8E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56206D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20A6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декабря 1917 (11 января 1918) Правительственными войсками при поддержке артиллерии начали штурм зданий полицей-президиума и редакции газеты "Форветс", занятых отрядами РК. Ожесточенные бои в р-не вокзала. Правительство Эберта объявило КПГ вне закона (7449).</w:t>
      </w:r>
    </w:p>
    <w:p w14:paraId="40A792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B17C3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EF70D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C4C80A"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декабря 1917 (12 января 1918) Совнарком объявил о конфискации всего имущества русского предпринимателя и банкира Алексей Путилова (4962).</w:t>
      </w:r>
    </w:p>
    <w:p w14:paraId="163AF57C"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906702" w14:textId="77777777" w:rsidR="009C6F3B"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6ACC6CC6" w14:textId="77777777" w:rsidR="009C6F3B" w:rsidRPr="002F2FDF" w:rsidRDefault="009C6F3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75D8D9" w14:textId="77777777" w:rsidR="009C6F3B" w:rsidRPr="002F2FDF" w:rsidRDefault="009C6F3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декабря 1917 (12 января 1918) 1-й соц. авиаотряд был направлен из Петрограда на Украину воевать с петлюровцами и немцами. Потом на фронт под Могилев отправился 2-й (356,27).</w:t>
      </w:r>
    </w:p>
    <w:p w14:paraId="270CCC7C" w14:textId="77777777" w:rsidR="009C6F3B" w:rsidRPr="002F2FDF" w:rsidRDefault="009C6F3B"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72D385" w14:textId="77777777" w:rsidR="00DE5913" w:rsidRPr="005D7D69" w:rsidRDefault="00DE5913"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30 д</w:t>
      </w:r>
      <w:r>
        <w:rPr>
          <w:rFonts w:ascii="Times New Roman" w:hAnsi="Times New Roman" w:cs="Times New Roman"/>
          <w:color w:val="0070C0"/>
          <w:sz w:val="16"/>
          <w:szCs w:val="16"/>
        </w:rPr>
        <w:t>ек</w:t>
      </w:r>
      <w:r w:rsidRPr="005D7D69">
        <w:rPr>
          <w:rFonts w:ascii="Times New Roman" w:hAnsi="Times New Roman" w:cs="Times New Roman"/>
          <w:color w:val="0070C0"/>
          <w:sz w:val="16"/>
          <w:szCs w:val="16"/>
        </w:rPr>
        <w:t>абр</w:t>
      </w:r>
      <w:r>
        <w:rPr>
          <w:rFonts w:ascii="Times New Roman" w:hAnsi="Times New Roman" w:cs="Times New Roman"/>
          <w:color w:val="0070C0"/>
          <w:sz w:val="16"/>
          <w:szCs w:val="16"/>
        </w:rPr>
        <w:t>я 1917 г. (12 января 1918 г</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w:t>
      </w:r>
      <w:r w:rsidRPr="005D7D69">
        <w:rPr>
          <w:rFonts w:ascii="Times New Roman" w:hAnsi="Times New Roman" w:cs="Times New Roman"/>
          <w:color w:val="0070C0"/>
          <w:sz w:val="16"/>
          <w:szCs w:val="16"/>
        </w:rPr>
        <w:t xml:space="preserve"> Авиационный </w:t>
      </w:r>
      <w:r>
        <w:rPr>
          <w:rFonts w:ascii="Times New Roman" w:hAnsi="Times New Roman" w:cs="Times New Roman"/>
          <w:color w:val="0070C0"/>
          <w:sz w:val="16"/>
          <w:szCs w:val="16"/>
        </w:rPr>
        <w:t>съ</w:t>
      </w:r>
      <w:r w:rsidRPr="005D7D69">
        <w:rPr>
          <w:rFonts w:ascii="Times New Roman" w:hAnsi="Times New Roman" w:cs="Times New Roman"/>
          <w:color w:val="0070C0"/>
          <w:sz w:val="16"/>
          <w:szCs w:val="16"/>
        </w:rPr>
        <w:t>е</w:t>
      </w:r>
      <w:r>
        <w:rPr>
          <w:rFonts w:ascii="Times New Roman" w:hAnsi="Times New Roman" w:cs="Times New Roman"/>
          <w:color w:val="0070C0"/>
          <w:sz w:val="16"/>
          <w:szCs w:val="16"/>
        </w:rPr>
        <w:t>з</w:t>
      </w:r>
      <w:r w:rsidRPr="005D7D69">
        <w:rPr>
          <w:rFonts w:ascii="Times New Roman" w:hAnsi="Times New Roman" w:cs="Times New Roman"/>
          <w:color w:val="0070C0"/>
          <w:sz w:val="16"/>
          <w:szCs w:val="16"/>
        </w:rPr>
        <w:t>д северного фронта /Псков/ по</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тано</w:t>
      </w:r>
      <w:r>
        <w:rPr>
          <w:rFonts w:ascii="Times New Roman" w:hAnsi="Times New Roman" w:cs="Times New Roman"/>
          <w:color w:val="0070C0"/>
          <w:sz w:val="16"/>
          <w:szCs w:val="16"/>
        </w:rPr>
        <w:t>в</w:t>
      </w:r>
      <w:r w:rsidRPr="005D7D69">
        <w:rPr>
          <w:rFonts w:ascii="Times New Roman" w:hAnsi="Times New Roman" w:cs="Times New Roman"/>
          <w:color w:val="0070C0"/>
          <w:sz w:val="16"/>
          <w:szCs w:val="16"/>
        </w:rPr>
        <w:t>ил обратиться ко в</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ем авиаработникам фронта послать своих представителей на Второй Всероссийский авиационный </w:t>
      </w:r>
      <w:r>
        <w:rPr>
          <w:rFonts w:ascii="Times New Roman" w:hAnsi="Times New Roman" w:cs="Times New Roman"/>
          <w:color w:val="0070C0"/>
          <w:sz w:val="16"/>
          <w:szCs w:val="16"/>
        </w:rPr>
        <w:t>съ</w:t>
      </w:r>
      <w:r w:rsidRPr="005D7D69">
        <w:rPr>
          <w:rFonts w:ascii="Times New Roman" w:hAnsi="Times New Roman" w:cs="Times New Roman"/>
          <w:color w:val="0070C0"/>
          <w:sz w:val="16"/>
          <w:szCs w:val="16"/>
        </w:rPr>
        <w:t xml:space="preserve">езд </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«на защиту победы человеческого духа, на защиту средств единения всех народов </w:t>
      </w:r>
      <w:r>
        <w:rPr>
          <w:rFonts w:ascii="Times New Roman" w:hAnsi="Times New Roman" w:cs="Times New Roman"/>
          <w:color w:val="0070C0"/>
          <w:sz w:val="16"/>
          <w:szCs w:val="16"/>
        </w:rPr>
        <w:t>В</w:t>
      </w:r>
      <w:r w:rsidRPr="005D7D69">
        <w:rPr>
          <w:rFonts w:ascii="Times New Roman" w:hAnsi="Times New Roman" w:cs="Times New Roman"/>
          <w:color w:val="0070C0"/>
          <w:sz w:val="16"/>
          <w:szCs w:val="16"/>
        </w:rPr>
        <w:t>ели</w:t>
      </w:r>
      <w:r>
        <w:rPr>
          <w:rFonts w:ascii="Times New Roman" w:hAnsi="Times New Roman" w:cs="Times New Roman"/>
          <w:color w:val="0070C0"/>
          <w:sz w:val="16"/>
          <w:szCs w:val="16"/>
        </w:rPr>
        <w:t>к</w:t>
      </w:r>
      <w:r w:rsidRPr="005D7D69">
        <w:rPr>
          <w:rFonts w:ascii="Times New Roman" w:hAnsi="Times New Roman" w:cs="Times New Roman"/>
          <w:color w:val="0070C0"/>
          <w:sz w:val="16"/>
          <w:szCs w:val="16"/>
        </w:rPr>
        <w:t>ой России,</w:t>
      </w:r>
      <w:r>
        <w:rPr>
          <w:rFonts w:ascii="Times New Roman" w:hAnsi="Times New Roman" w:cs="Times New Roman"/>
          <w:color w:val="0070C0"/>
          <w:sz w:val="16"/>
          <w:szCs w:val="16"/>
        </w:rPr>
        <w:t xml:space="preserve"> н</w:t>
      </w:r>
      <w:r w:rsidRPr="005D7D69">
        <w:rPr>
          <w:rFonts w:ascii="Times New Roman" w:hAnsi="Times New Roman" w:cs="Times New Roman"/>
          <w:color w:val="0070C0"/>
          <w:sz w:val="16"/>
          <w:szCs w:val="16"/>
        </w:rPr>
        <w:t>а защиту ее очей</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что </w:t>
      </w:r>
      <w:r>
        <w:rPr>
          <w:rFonts w:ascii="Times New Roman" w:hAnsi="Times New Roman" w:cs="Times New Roman"/>
          <w:color w:val="0070C0"/>
          <w:sz w:val="16"/>
          <w:szCs w:val="16"/>
        </w:rPr>
        <w:t>о</w:t>
      </w:r>
      <w:r w:rsidRPr="005D7D69">
        <w:rPr>
          <w:rFonts w:ascii="Times New Roman" w:hAnsi="Times New Roman" w:cs="Times New Roman"/>
          <w:color w:val="0070C0"/>
          <w:sz w:val="16"/>
          <w:szCs w:val="16"/>
        </w:rPr>
        <w:t>рлиным взглядом в</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е продели </w:t>
      </w:r>
      <w:r>
        <w:rPr>
          <w:rFonts w:ascii="Times New Roman" w:hAnsi="Times New Roman" w:cs="Times New Roman"/>
          <w:color w:val="0070C0"/>
          <w:sz w:val="16"/>
          <w:szCs w:val="16"/>
        </w:rPr>
        <w:t>от и народов</w:t>
      </w:r>
      <w:r w:rsidRPr="005D7D69">
        <w:rPr>
          <w:rFonts w:ascii="Times New Roman" w:hAnsi="Times New Roman" w:cs="Times New Roman"/>
          <w:color w:val="0070C0"/>
          <w:sz w:val="16"/>
          <w:szCs w:val="16"/>
        </w:rPr>
        <w:t xml:space="preserve"> видят».</w:t>
      </w:r>
    </w:p>
    <w:p w14:paraId="61297021" w14:textId="20BAA2D2" w:rsidR="00DE5913" w:rsidRDefault="00DE5913"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/ЦГА</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ф.2в,</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оп.1,</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9,</w:t>
      </w:r>
      <w:r>
        <w:rPr>
          <w:rFonts w:ascii="Times New Roman" w:hAnsi="Times New Roman" w:cs="Times New Roman"/>
          <w:color w:val="0070C0"/>
          <w:sz w:val="16"/>
          <w:szCs w:val="16"/>
        </w:rPr>
        <w:t xml:space="preserve"> л. 1</w:t>
      </w:r>
      <w:r w:rsidRPr="005D7D69">
        <w:rPr>
          <w:rFonts w:ascii="Times New Roman" w:hAnsi="Times New Roman" w:cs="Times New Roman"/>
          <w:color w:val="0070C0"/>
          <w:sz w:val="16"/>
          <w:szCs w:val="16"/>
        </w:rPr>
        <w:t>2/</w:t>
      </w:r>
      <w:r>
        <w:rPr>
          <w:rFonts w:ascii="Times New Roman" w:hAnsi="Times New Roman" w:cs="Times New Roman"/>
          <w:color w:val="0070C0"/>
          <w:sz w:val="16"/>
          <w:szCs w:val="16"/>
        </w:rPr>
        <w:t xml:space="preserve"> (23370).</w:t>
      </w:r>
    </w:p>
    <w:p w14:paraId="33052529" w14:textId="77777777" w:rsidR="00DE5913" w:rsidRDefault="00DE5913" w:rsidP="0083075A">
      <w:pPr>
        <w:spacing w:after="0" w:line="240" w:lineRule="auto"/>
        <w:jc w:val="both"/>
        <w:rPr>
          <w:rFonts w:ascii="Times New Roman" w:hAnsi="Times New Roman" w:cs="Times New Roman"/>
          <w:color w:val="0070C0"/>
          <w:sz w:val="16"/>
          <w:szCs w:val="16"/>
        </w:rPr>
      </w:pPr>
    </w:p>
    <w:p w14:paraId="310D67B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A51D4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5D3162"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декабря 1917 (12 января 1918) Центральная Рада приняла решение о создании украинской милиции (4962).</w:t>
      </w:r>
    </w:p>
    <w:p w14:paraId="723C5AEF"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CA7249" w14:textId="77777777" w:rsidR="00364602" w:rsidRPr="002F2FDF" w:rsidRDefault="0036460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30 декабря 1917 (12 января</w:t>
      </w:r>
      <w:r w:rsidRPr="002F2FDF">
        <w:rPr>
          <w:rFonts w:ascii="Times New Roman" w:hAnsi="Times New Roman" w:cs="Times New Roman"/>
          <w:color w:val="000000" w:themeColor="text1"/>
          <w:kern w:val="2"/>
          <w:sz w:val="16"/>
          <w:szCs w:val="16"/>
        </w:rPr>
        <w:t xml:space="preserve"> в 1918 году) Совнарком объявляет о конфискации всего имущества русского предпринимателя и банкира Алексей Путилова (15007).</w:t>
      </w:r>
    </w:p>
    <w:p w14:paraId="308F3B8E" w14:textId="77777777" w:rsidR="00364602" w:rsidRPr="002F2FDF" w:rsidRDefault="00364602" w:rsidP="0083075A">
      <w:pPr>
        <w:spacing w:after="0" w:line="240" w:lineRule="auto"/>
        <w:jc w:val="both"/>
        <w:rPr>
          <w:rFonts w:ascii="Times New Roman" w:hAnsi="Times New Roman" w:cs="Times New Roman"/>
          <w:color w:val="000000" w:themeColor="text1"/>
          <w:kern w:val="2"/>
          <w:sz w:val="16"/>
          <w:szCs w:val="16"/>
        </w:rPr>
      </w:pPr>
    </w:p>
    <w:p w14:paraId="01EC72AF" w14:textId="77777777" w:rsidR="00364602" w:rsidRPr="002F2FDF" w:rsidRDefault="00364602"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bCs/>
          <w:color w:val="000000" w:themeColor="text1"/>
          <w:kern w:val="2"/>
          <w:sz w:val="16"/>
          <w:szCs w:val="16"/>
        </w:rPr>
        <w:t>30 декабря 1917 (12 января</w:t>
      </w:r>
      <w:r w:rsidRPr="002F2FDF">
        <w:rPr>
          <w:rFonts w:ascii="Times New Roman" w:hAnsi="Times New Roman" w:cs="Times New Roman"/>
          <w:color w:val="000000" w:themeColor="text1"/>
          <w:kern w:val="2"/>
          <w:sz w:val="16"/>
          <w:szCs w:val="16"/>
        </w:rPr>
        <w:t xml:space="preserve"> в 1918 году) декларация прав трудящихся и эксплуатируемого народа (15007).</w:t>
      </w:r>
    </w:p>
    <w:p w14:paraId="66F84A9C" w14:textId="77777777" w:rsidR="00364602" w:rsidRPr="002F2FDF" w:rsidRDefault="00364602" w:rsidP="0083075A">
      <w:pPr>
        <w:spacing w:after="0" w:line="240" w:lineRule="auto"/>
        <w:jc w:val="both"/>
        <w:rPr>
          <w:rFonts w:ascii="Times New Roman" w:hAnsi="Times New Roman" w:cs="Times New Roman"/>
          <w:color w:val="000000" w:themeColor="text1"/>
          <w:kern w:val="2"/>
          <w:sz w:val="16"/>
          <w:szCs w:val="16"/>
        </w:rPr>
      </w:pPr>
    </w:p>
    <w:p w14:paraId="5E5334DD" w14:textId="77777777" w:rsidR="00364602" w:rsidRPr="00FB4F67" w:rsidRDefault="00364602"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30 д</w:t>
      </w:r>
      <w:r>
        <w:rPr>
          <w:rFonts w:ascii="Times New Roman" w:hAnsi="Times New Roman" w:cs="Times New Roman"/>
          <w:color w:val="0070C0"/>
          <w:sz w:val="16"/>
          <w:szCs w:val="16"/>
        </w:rPr>
        <w:t>ек</w:t>
      </w:r>
      <w:r w:rsidRPr="005D7D69">
        <w:rPr>
          <w:rFonts w:ascii="Times New Roman" w:hAnsi="Times New Roman" w:cs="Times New Roman"/>
          <w:color w:val="0070C0"/>
          <w:sz w:val="16"/>
          <w:szCs w:val="16"/>
        </w:rPr>
        <w:t>абр</w:t>
      </w:r>
      <w:r>
        <w:rPr>
          <w:rFonts w:ascii="Times New Roman" w:hAnsi="Times New Roman" w:cs="Times New Roman"/>
          <w:color w:val="0070C0"/>
          <w:sz w:val="16"/>
          <w:szCs w:val="16"/>
        </w:rPr>
        <w:t>я 1917 г. (12 января 1918 г</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w:t>
      </w:r>
      <w:r w:rsidRPr="005D7D69">
        <w:rPr>
          <w:rFonts w:ascii="Times New Roman" w:hAnsi="Times New Roman" w:cs="Times New Roman"/>
          <w:color w:val="0070C0"/>
          <w:sz w:val="16"/>
          <w:szCs w:val="16"/>
        </w:rPr>
        <w:t xml:space="preserve"> </w:t>
      </w:r>
      <w:r w:rsidRPr="00FB4F67">
        <w:rPr>
          <w:rFonts w:ascii="Times New Roman" w:hAnsi="Times New Roman" w:cs="Times New Roman"/>
          <w:color w:val="0070C0"/>
          <w:sz w:val="16"/>
          <w:szCs w:val="16"/>
        </w:rPr>
        <w:t>в Риге Лифляндия (Латвия) снова объявила о своей независимости от России (23525).</w:t>
      </w:r>
    </w:p>
    <w:p w14:paraId="391FEC3C" w14:textId="77777777" w:rsidR="00364602" w:rsidRPr="00FB4F67" w:rsidRDefault="00364602" w:rsidP="0083075A">
      <w:pPr>
        <w:spacing w:after="0" w:line="240" w:lineRule="auto"/>
        <w:jc w:val="both"/>
        <w:rPr>
          <w:rFonts w:ascii="Times New Roman" w:hAnsi="Times New Roman" w:cs="Times New Roman"/>
          <w:color w:val="0070C0"/>
          <w:sz w:val="16"/>
          <w:szCs w:val="16"/>
        </w:rPr>
      </w:pPr>
    </w:p>
    <w:p w14:paraId="107976F7" w14:textId="77777777" w:rsidR="009C6F3B"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1ED5AA30" w14:textId="77777777" w:rsidR="009C6F3B" w:rsidRPr="002F2FDF" w:rsidRDefault="009C6F3B"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EEBFB8" w14:textId="1C4309FF" w:rsidR="00B738C2" w:rsidRPr="002F2FDF" w:rsidRDefault="00B738C2" w:rsidP="0083075A">
      <w:pPr>
        <w:pStyle w:val="ae"/>
        <w:spacing w:before="0" w:after="0"/>
        <w:jc w:val="both"/>
        <w:rPr>
          <w:color w:val="000000" w:themeColor="text1"/>
          <w:kern w:val="2"/>
          <w:sz w:val="16"/>
          <w:szCs w:val="16"/>
        </w:rPr>
      </w:pPr>
      <w:r w:rsidRPr="002F2FDF">
        <w:rPr>
          <w:rFonts w:eastAsia="Times New Roman"/>
          <w:color w:val="000000" w:themeColor="text1"/>
          <w:kern w:val="2"/>
          <w:sz w:val="16"/>
          <w:szCs w:val="16"/>
          <w:lang w:eastAsia="ru-RU"/>
        </w:rPr>
        <w:t>30</w:t>
      </w:r>
      <w:r w:rsidR="00E52569">
        <w:rPr>
          <w:rFonts w:eastAsia="Times New Roman"/>
          <w:color w:val="000000" w:themeColor="text1"/>
          <w:kern w:val="2"/>
          <w:sz w:val="16"/>
          <w:szCs w:val="16"/>
          <w:lang w:eastAsia="ru-RU"/>
        </w:rPr>
        <w:t xml:space="preserve"> </w:t>
      </w:r>
      <w:r w:rsidRPr="002F2FDF">
        <w:rPr>
          <w:rFonts w:eastAsia="Times New Roman"/>
          <w:color w:val="000000" w:themeColor="text1"/>
          <w:kern w:val="2"/>
          <w:sz w:val="16"/>
          <w:szCs w:val="16"/>
          <w:lang w:eastAsia="ru-RU"/>
        </w:rPr>
        <w:t>декабря 1917 (</w:t>
      </w:r>
      <w:hyperlink r:id="rId815" w:tooltip="12 января" w:history="1">
        <w:r w:rsidRPr="002F2FDF">
          <w:rPr>
            <w:rFonts w:eastAsia="Times New Roman"/>
            <w:color w:val="000000" w:themeColor="text1"/>
            <w:kern w:val="2"/>
            <w:sz w:val="16"/>
            <w:szCs w:val="16"/>
            <w:lang w:eastAsia="ru-RU"/>
          </w:rPr>
          <w:t>12</w:t>
        </w:r>
        <w:r w:rsidR="00E52569">
          <w:rPr>
            <w:rFonts w:eastAsia="Times New Roman"/>
            <w:color w:val="000000" w:themeColor="text1"/>
            <w:kern w:val="2"/>
            <w:sz w:val="16"/>
            <w:szCs w:val="16"/>
            <w:lang w:eastAsia="ru-RU"/>
          </w:rPr>
          <w:t xml:space="preserve"> </w:t>
        </w:r>
        <w:r w:rsidRPr="002F2FDF">
          <w:rPr>
            <w:rFonts w:eastAsia="Times New Roman"/>
            <w:color w:val="000000" w:themeColor="text1"/>
            <w:kern w:val="2"/>
            <w:sz w:val="16"/>
            <w:szCs w:val="16"/>
            <w:lang w:eastAsia="ru-RU"/>
          </w:rPr>
          <w:t>января</w:t>
        </w:r>
      </w:hyperlink>
      <w:hyperlink r:id="rId816" w:tooltip="1918 год" w:history="1">
        <w:r w:rsidRPr="002F2FDF">
          <w:rPr>
            <w:rFonts w:eastAsia="Times New Roman"/>
            <w:color w:val="000000" w:themeColor="text1"/>
            <w:kern w:val="2"/>
            <w:sz w:val="16"/>
            <w:szCs w:val="16"/>
            <w:lang w:eastAsia="ru-RU"/>
          </w:rPr>
          <w:t>1918</w:t>
        </w:r>
      </w:hyperlink>
      <w:r w:rsidRPr="002F2FDF">
        <w:rPr>
          <w:rFonts w:eastAsia="Times New Roman"/>
          <w:color w:val="000000" w:themeColor="text1"/>
          <w:kern w:val="2"/>
          <w:sz w:val="16"/>
          <w:szCs w:val="16"/>
          <w:lang w:eastAsia="ru-RU"/>
        </w:rPr>
        <w:t xml:space="preserve">) </w:t>
      </w:r>
      <w:r w:rsidRPr="002F2FDF">
        <w:rPr>
          <w:color w:val="000000" w:themeColor="text1"/>
          <w:kern w:val="2"/>
          <w:sz w:val="16"/>
          <w:szCs w:val="16"/>
        </w:rPr>
        <w:t>в Брест-Литовске министр иностранных дел Австро-Венгрии граф Оттокар Чернин принял делегацию УНР и от имени всех Центральных держав дал согласие на вхождение в состав будущего украинского государства Холмской губернии и части Подляшья (исторические области на востоке современной Польши), ранее входивших в русскую часть Польши. Украинцы также претендовали на входившие в состав Австро-Венгрии Галицию, Буковину и Закарпатье, но эти претензии были оставлены без внимания (17045).</w:t>
      </w:r>
    </w:p>
    <w:p w14:paraId="333DA5E0" w14:textId="77777777" w:rsidR="00B738C2" w:rsidRPr="002F2FDF" w:rsidRDefault="00B738C2" w:rsidP="0083075A">
      <w:pPr>
        <w:spacing w:after="0" w:line="240" w:lineRule="auto"/>
        <w:jc w:val="both"/>
        <w:rPr>
          <w:rFonts w:ascii="Times New Roman" w:eastAsia="Times New Roman" w:hAnsi="Times New Roman" w:cs="Times New Roman"/>
          <w:color w:val="000000" w:themeColor="text1"/>
          <w:kern w:val="2"/>
          <w:sz w:val="16"/>
          <w:szCs w:val="16"/>
          <w:lang w:eastAsia="ru-RU"/>
        </w:rPr>
      </w:pPr>
    </w:p>
    <w:p w14:paraId="5F114669" w14:textId="03AD5430" w:rsidR="009C6F3B" w:rsidRPr="002F2FDF" w:rsidRDefault="009C6F3B"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30</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декабря 1917 (</w:t>
      </w:r>
      <w:hyperlink r:id="rId817" w:tooltip="12 января" w:history="1">
        <w:r w:rsidRPr="002F2FDF">
          <w:rPr>
            <w:rFonts w:ascii="Times New Roman" w:eastAsia="Times New Roman" w:hAnsi="Times New Roman" w:cs="Times New Roman"/>
            <w:color w:val="000000" w:themeColor="text1"/>
            <w:kern w:val="2"/>
            <w:sz w:val="16"/>
            <w:szCs w:val="16"/>
            <w:lang w:eastAsia="ru-RU"/>
          </w:rPr>
          <w:t>12</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января</w:t>
        </w:r>
      </w:hyperlink>
      <w:hyperlink r:id="rId818" w:tooltip="1918 год" w:history="1">
        <w:r w:rsidRPr="002F2FDF">
          <w:rPr>
            <w:rFonts w:ascii="Times New Roman" w:eastAsia="Times New Roman" w:hAnsi="Times New Roman" w:cs="Times New Roman"/>
            <w:color w:val="000000" w:themeColor="text1"/>
            <w:kern w:val="2"/>
            <w:sz w:val="16"/>
            <w:szCs w:val="16"/>
            <w:lang w:eastAsia="ru-RU"/>
          </w:rPr>
          <w:t>1918</w:t>
        </w:r>
      </w:hyperlink>
      <w:r w:rsidRPr="002F2FDF">
        <w:rPr>
          <w:rFonts w:ascii="Times New Roman" w:eastAsia="Times New Roman" w:hAnsi="Times New Roman" w:cs="Times New Roman"/>
          <w:color w:val="000000" w:themeColor="text1"/>
          <w:kern w:val="2"/>
          <w:sz w:val="16"/>
          <w:szCs w:val="16"/>
          <w:lang w:eastAsia="ru-RU"/>
        </w:rPr>
        <w:t>) на заседании политической комиссии советская делегация потребовала от правительств Германии и Австро-Венгрии категорически подтвердить отсутствие у них намерений присоединить какие бы то ни было территории бывшей Российской империи — по мнению советской делегации, решение вопроса о будущей судьбе самоопределяющихся территорий должно осуществляться путём всенародного референдума, после вывода иностранных войск и возвращения беженцев и переселённых лиц. Генерал Гофман в ответной пространной речи заявил, что германское правительство отказывается очистить оккупированные территории Курляндии, Литвы, Ригу и острова Рижского залива.</w:t>
      </w:r>
    </w:p>
    <w:p w14:paraId="34C7014A" w14:textId="77777777" w:rsidR="009C6F3B" w:rsidRPr="002F2FDF" w:rsidRDefault="009C6F3B"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Тем временем в тылу Центральных держав положение обострялось. Экономическое положение Германии и Австро-Венгрии из-за затянувшейся войны было не намного лучше российского. Уже к весне 1917 года германское правительство приблизилось к исчерпанию мобилизационных ресурсов — весьма ограниченных, в отличие от Антанты с её огромными колониальными владениями. Практически вся германская промышленность к 1917 году была переведена на военные рельсы, причём правительство было вынуждено вернуть с фронта 125 тыс. рабочих. Распространились разнообразные суррогаты («</w:t>
      </w:r>
      <w:hyperlink r:id="rId819" w:tooltip="Эрзац" w:history="1">
        <w:r w:rsidRPr="002F2FDF">
          <w:rPr>
            <w:rFonts w:ascii="Times New Roman" w:eastAsia="Times New Roman" w:hAnsi="Times New Roman" w:cs="Times New Roman"/>
            <w:color w:val="000000" w:themeColor="text1"/>
            <w:kern w:val="2"/>
            <w:sz w:val="16"/>
            <w:szCs w:val="16"/>
            <w:lang w:eastAsia="ru-RU"/>
          </w:rPr>
          <w:t>эрзац</w:t>
        </w:r>
      </w:hyperlink>
      <w:r w:rsidRPr="002F2FDF">
        <w:rPr>
          <w:rFonts w:ascii="Times New Roman" w:eastAsia="Times New Roman" w:hAnsi="Times New Roman" w:cs="Times New Roman"/>
          <w:color w:val="000000" w:themeColor="text1"/>
          <w:kern w:val="2"/>
          <w:sz w:val="16"/>
          <w:szCs w:val="16"/>
          <w:lang w:eastAsia="ru-RU"/>
        </w:rPr>
        <w:t>»), а уже зима 1916/1917 годов вошла в германскую историю как «брюквенная зима», в ходе которой, по некоторым источникам, умерло от голода до 700 тыс. чел.</w:t>
      </w:r>
    </w:p>
    <w:p w14:paraId="518930E0" w14:textId="65F62F7D" w:rsidR="009C6F3B" w:rsidRPr="002F2FDF" w:rsidRDefault="009C6F3B" w:rsidP="0083075A">
      <w:pPr>
        <w:spacing w:after="0" w:line="240" w:lineRule="auto"/>
        <w:jc w:val="both"/>
        <w:rPr>
          <w:rFonts w:ascii="Times New Roman" w:eastAsia="Times New Roman" w:hAnsi="Times New Roman" w:cs="Times New Roman"/>
          <w:color w:val="000000" w:themeColor="text1"/>
          <w:kern w:val="2"/>
          <w:sz w:val="16"/>
          <w:szCs w:val="16"/>
          <w:lang w:eastAsia="ru-RU"/>
        </w:rPr>
      </w:pPr>
      <w:r w:rsidRPr="002F2FDF">
        <w:rPr>
          <w:rFonts w:ascii="Times New Roman" w:eastAsia="Times New Roman" w:hAnsi="Times New Roman" w:cs="Times New Roman"/>
          <w:color w:val="000000" w:themeColor="text1"/>
          <w:kern w:val="2"/>
          <w:sz w:val="16"/>
          <w:szCs w:val="16"/>
          <w:lang w:eastAsia="ru-RU"/>
        </w:rPr>
        <w:t xml:space="preserve">К зиме 1917/1918 годов положение Центральных держав стало ещё хуже. Недельные нормы потребления по карточкам составляли: картофеля — 3,3 кг, хлеба — 1,8 кг, мяса — 240 граммов, жиров — 70-90 граммов. Затягивание мирных переговоров и ухудшение продовольственной ситуации в Германии и Австро-Венгрии привело к резкому росту забастовочного движения, которое в Австро-Венгрии переросло во всеобщую забастовку. В ряде районов начали появляться первые Советы по </w:t>
      </w:r>
      <w:r w:rsidRPr="002F2FDF">
        <w:rPr>
          <w:rFonts w:ascii="Times New Roman" w:eastAsia="Times New Roman" w:hAnsi="Times New Roman" w:cs="Times New Roman"/>
          <w:color w:val="000000" w:themeColor="text1"/>
          <w:kern w:val="2"/>
          <w:sz w:val="16"/>
          <w:szCs w:val="16"/>
          <w:lang w:eastAsia="ru-RU"/>
        </w:rPr>
        <w:lastRenderedPageBreak/>
        <w:t>российскому образцу. Лишь 9</w:t>
      </w:r>
      <w:r w:rsidR="00E52569">
        <w:rPr>
          <w:rFonts w:ascii="Times New Roman" w:eastAsia="Times New Roman" w:hAnsi="Times New Roman" w:cs="Times New Roman"/>
          <w:color w:val="000000" w:themeColor="text1"/>
          <w:kern w:val="2"/>
          <w:sz w:val="16"/>
          <w:szCs w:val="16"/>
          <w:lang w:eastAsia="ru-RU"/>
        </w:rPr>
        <w:t xml:space="preserve"> </w:t>
      </w:r>
      <w:hyperlink r:id="rId820" w:tooltip="22 января" w:history="1">
        <w:r w:rsidRPr="002F2FDF">
          <w:rPr>
            <w:rFonts w:ascii="Times New Roman" w:eastAsia="Times New Roman" w:hAnsi="Times New Roman" w:cs="Times New Roman"/>
            <w:color w:val="000000" w:themeColor="text1"/>
            <w:kern w:val="2"/>
            <w:sz w:val="16"/>
            <w:szCs w:val="16"/>
            <w:lang w:eastAsia="ru-RU"/>
          </w:rPr>
          <w:t>(22)</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января</w:t>
        </w:r>
      </w:hyperlink>
      <w:r w:rsidRPr="002F2FDF">
        <w:rPr>
          <w:rFonts w:ascii="Times New Roman" w:eastAsia="Times New Roman" w:hAnsi="Times New Roman" w:cs="Times New Roman"/>
          <w:color w:val="000000" w:themeColor="text1"/>
          <w:kern w:val="2"/>
          <w:sz w:val="16"/>
          <w:szCs w:val="16"/>
          <w:lang w:eastAsia="ru-RU"/>
        </w:rPr>
        <w:t>, получив от правительства обещания подписать мир с Россией и улучшить продовольственную ситуацию, стачечники возобновили работу. 15</w:t>
      </w:r>
      <w:r w:rsidR="00E52569">
        <w:rPr>
          <w:rFonts w:ascii="Times New Roman" w:eastAsia="Times New Roman" w:hAnsi="Times New Roman" w:cs="Times New Roman"/>
          <w:color w:val="000000" w:themeColor="text1"/>
          <w:kern w:val="2"/>
          <w:sz w:val="16"/>
          <w:szCs w:val="16"/>
          <w:lang w:eastAsia="ru-RU"/>
        </w:rPr>
        <w:t xml:space="preserve"> </w:t>
      </w:r>
      <w:hyperlink r:id="rId821" w:tooltip="28 января" w:history="1">
        <w:r w:rsidRPr="002F2FDF">
          <w:rPr>
            <w:rFonts w:ascii="Times New Roman" w:eastAsia="Times New Roman" w:hAnsi="Times New Roman" w:cs="Times New Roman"/>
            <w:color w:val="000000" w:themeColor="text1"/>
            <w:kern w:val="2"/>
            <w:sz w:val="16"/>
            <w:szCs w:val="16"/>
            <w:lang w:eastAsia="ru-RU"/>
          </w:rPr>
          <w:t>(28)</w:t>
        </w:r>
        <w:r w:rsidR="00E52569">
          <w:rPr>
            <w:rFonts w:ascii="Times New Roman" w:eastAsia="Times New Roman" w:hAnsi="Times New Roman" w:cs="Times New Roman"/>
            <w:color w:val="000000" w:themeColor="text1"/>
            <w:kern w:val="2"/>
            <w:sz w:val="16"/>
            <w:szCs w:val="16"/>
            <w:lang w:eastAsia="ru-RU"/>
          </w:rPr>
          <w:t xml:space="preserve"> </w:t>
        </w:r>
        <w:r w:rsidRPr="002F2FDF">
          <w:rPr>
            <w:rFonts w:ascii="Times New Roman" w:eastAsia="Times New Roman" w:hAnsi="Times New Roman" w:cs="Times New Roman"/>
            <w:color w:val="000000" w:themeColor="text1"/>
            <w:kern w:val="2"/>
            <w:sz w:val="16"/>
            <w:szCs w:val="16"/>
            <w:lang w:eastAsia="ru-RU"/>
          </w:rPr>
          <w:t>января</w:t>
        </w:r>
      </w:hyperlink>
      <w:r w:rsidRPr="002F2FDF">
        <w:rPr>
          <w:rFonts w:ascii="Times New Roman" w:eastAsia="Times New Roman" w:hAnsi="Times New Roman" w:cs="Times New Roman"/>
          <w:color w:val="000000" w:themeColor="text1"/>
          <w:kern w:val="2"/>
          <w:sz w:val="16"/>
          <w:szCs w:val="16"/>
          <w:lang w:eastAsia="ru-RU"/>
        </w:rPr>
        <w:t xml:space="preserve"> забастовки парализовали берлинскую оборонную промышленность, быстро охватили другие отрасли производства и распространились по всей стране. Центром стачечного движения был Берлин, где, согласно официальным сообщениям, бастовало около полумиллиона рабочих. Как и в Австро-Венгрии, в Германии были образованы Советы, требовавшие в первую очередь заключения мира и установления республики (17035).</w:t>
      </w:r>
    </w:p>
    <w:p w14:paraId="1724D5AC" w14:textId="77777777" w:rsidR="009C6F3B" w:rsidRPr="002F2FDF" w:rsidRDefault="009C6F3B" w:rsidP="0083075A">
      <w:pPr>
        <w:spacing w:after="0" w:line="240" w:lineRule="auto"/>
        <w:jc w:val="both"/>
        <w:rPr>
          <w:rFonts w:ascii="Times New Roman" w:eastAsia="Times New Roman" w:hAnsi="Times New Roman" w:cs="Times New Roman"/>
          <w:color w:val="000000" w:themeColor="text1"/>
          <w:kern w:val="2"/>
          <w:sz w:val="16"/>
          <w:szCs w:val="16"/>
          <w:lang w:eastAsia="ru-RU"/>
        </w:rPr>
      </w:pPr>
    </w:p>
    <w:p w14:paraId="7B25E838"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84AAA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6E4C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декабря 1917 (12 января 1918) Хельсинки. Сейм принял законы о предоставлении правительству Свинхувуда чрезвычайных полномочий и взятии на государственное содержание белой гвардии (шюцкора) (7450).</w:t>
      </w:r>
    </w:p>
    <w:p w14:paraId="198306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933D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декабря 1917 (12 января 1918) США начали использовать заключенных в качестве сельскохозяйственных рабочих (2100).</w:t>
      </w:r>
    </w:p>
    <w:p w14:paraId="75AF4F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814D2E"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87AB7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D4EE6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декабря 1917 (13 января 1918) первый аппарат ВМ-5 (иначе В.М.У и ВМ-У) с заводским номером 3, называвшийся в современной переписке В.М.У №3 ил ч ВМ-У №3, который подготовили к испытаниям к 5 октября 1917 г. и доставили на станцию фирмы на Крестовском острове, где из-за наступившей зимы самолет не мог быть опробован на воде и был поставлен на лыжное шасси, встретил на Комендантском аэродроме. В июле аэроплан все еще находился там, но, по всей видимости, никаких опытов с ним так и не предпринималось. Второй прототип закончили строительством в ноябре или декабре 1917 г. Один из этих ВМ-5, по непонятной причине числившийся как ВМ-5 №2 (скорее всего, "№2" обозначал здесь 2-й экспериментальный истребитель типа ВМ-5, хотя простая опечатка также возможна), перелетел на морскую авиационную станцию в Ораниенбауме 18 октября 1918 г., будучи движим мотором "Клерже" мощностью 130 л.с. В ноябре того же года планировалось испытать его на лыжах, т.к. Финский залив опять замерз. В конце концов специальная комиссия опробовала машину в период с 25 по 29 марта 1919 г., но о результатах ничего не сообщалось (2843).</w:t>
      </w:r>
    </w:p>
    <w:p w14:paraId="41CB1C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FEB88B" w14:textId="77777777" w:rsidR="00097678" w:rsidRPr="002F2FDF" w:rsidRDefault="0009767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31 декабря 1917 г. (13 января 1918) 28, прошедших военную приемку  «Анасалей», оставались на заводе Анатра (12252).</w:t>
      </w:r>
    </w:p>
    <w:p w14:paraId="71FA8655" w14:textId="77777777" w:rsidR="00097678" w:rsidRPr="002F2FDF" w:rsidRDefault="00097678" w:rsidP="0083075A">
      <w:pPr>
        <w:spacing w:after="0" w:line="240" w:lineRule="auto"/>
        <w:jc w:val="both"/>
        <w:rPr>
          <w:rFonts w:ascii="Times New Roman" w:hAnsi="Times New Roman" w:cs="Times New Roman"/>
          <w:color w:val="000000" w:themeColor="text1"/>
          <w:kern w:val="2"/>
          <w:sz w:val="16"/>
          <w:szCs w:val="16"/>
        </w:rPr>
      </w:pPr>
    </w:p>
    <w:p w14:paraId="2C388C0F" w14:textId="77777777" w:rsidR="003B4909" w:rsidRPr="002F2FDF" w:rsidRDefault="003B4909" w:rsidP="0083075A">
      <w:pPr>
        <w:pStyle w:val="p1"/>
        <w:spacing w:before="0" w:beforeAutospacing="0" w:after="0" w:afterAutospacing="0"/>
        <w:jc w:val="both"/>
        <w:rPr>
          <w:color w:val="000000" w:themeColor="text1"/>
          <w:sz w:val="16"/>
          <w:szCs w:val="16"/>
        </w:rPr>
      </w:pPr>
      <w:r w:rsidRPr="002F2FDF">
        <w:rPr>
          <w:color w:val="000000" w:themeColor="text1"/>
          <w:sz w:val="16"/>
          <w:szCs w:val="16"/>
        </w:rPr>
        <w:t>31 декабря 1917 (13 января 1918) завод «Моска» национализировали, загрузив выпуском учебных самолетов Пороховщикова, и на этом история первого российского серийного самолета-истребителя МБ-бис закончилась (22754).</w:t>
      </w:r>
    </w:p>
    <w:p w14:paraId="1061D320" w14:textId="77777777" w:rsidR="003B4909" w:rsidRPr="002F2FDF" w:rsidRDefault="003B4909" w:rsidP="0083075A">
      <w:pPr>
        <w:pStyle w:val="p1"/>
        <w:spacing w:before="0" w:beforeAutospacing="0" w:after="0" w:afterAutospacing="0"/>
        <w:jc w:val="both"/>
        <w:rPr>
          <w:color w:val="000000" w:themeColor="text1"/>
          <w:sz w:val="16"/>
          <w:szCs w:val="16"/>
        </w:rPr>
      </w:pPr>
    </w:p>
    <w:p w14:paraId="5FB4E3E1" w14:textId="25D24E3D" w:rsidR="00765CAE" w:rsidRPr="00FB4F67" w:rsidRDefault="00765CA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31 декабря 1918 г. </w:t>
      </w:r>
      <w:r>
        <w:rPr>
          <w:rFonts w:ascii="Times New Roman" w:hAnsi="Times New Roman" w:cs="Times New Roman"/>
          <w:color w:val="0070C0"/>
          <w:sz w:val="16"/>
          <w:szCs w:val="16"/>
        </w:rPr>
        <w:t>(13 января 1918 г.) п</w:t>
      </w:r>
      <w:r w:rsidRPr="00FB4F67">
        <w:rPr>
          <w:rFonts w:ascii="Times New Roman" w:hAnsi="Times New Roman" w:cs="Times New Roman"/>
          <w:color w:val="0070C0"/>
          <w:sz w:val="16"/>
          <w:szCs w:val="16"/>
        </w:rPr>
        <w:t>резидиум Всероссийского совета народного хозяйства (ВСНХ) постановил: «Объявить собственностью РСФСР четыре авиационных завода акционерных обществ «Моска», «Дукс», «Мотор», «Гном и Рон» со всеми их капиталами и прочим имуществом, где бы оно не находилось и в чем бы не состояло» (23472).</w:t>
      </w:r>
    </w:p>
    <w:p w14:paraId="399712C5" w14:textId="77777777" w:rsidR="00765CAE" w:rsidRPr="00FB4F67" w:rsidRDefault="00765CAE" w:rsidP="0083075A">
      <w:pPr>
        <w:spacing w:after="0" w:line="240" w:lineRule="auto"/>
        <w:jc w:val="both"/>
        <w:rPr>
          <w:rFonts w:ascii="Times New Roman" w:hAnsi="Times New Roman" w:cs="Times New Roman"/>
          <w:color w:val="0070C0"/>
          <w:sz w:val="16"/>
          <w:szCs w:val="16"/>
        </w:rPr>
      </w:pPr>
    </w:p>
    <w:p w14:paraId="330062E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30DF84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ECCB06" w14:textId="77777777" w:rsidR="009E7F6D" w:rsidRPr="002F2FDF" w:rsidRDefault="009E7F6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На прошедшем с 31 декабря 1917 г. по 5 января 1918 г. Всероссийском съезде шоферских союзов и автомобильных частей фронта и тыла был образован Всероссийский союз шоферов и автотехников и избран Центральный совет. На съезде была выдвинута идея об объединении всех транспортных рабочих в единый профессиональный союз, что и было сделано в период с 12 по 18 сентября 1919 г. на Всероссийском съезде транспортных рабочих, когда образовали ВПСТР. Под эгидой ВПСТР в 1922 г. в Москве и Петрограде были открыли автомотоклубы. Московский автомотоклуб стал издавать журнал «Вестник Мосавтоклуба», переименованный позднее в «Автомобильный вестник», а в 1923 г. – журнал «Мотор» (19776).</w:t>
      </w:r>
    </w:p>
    <w:p w14:paraId="5C3568B0" w14:textId="77777777" w:rsidR="009E7F6D" w:rsidRPr="002F2FDF" w:rsidRDefault="009E7F6D" w:rsidP="0083075A">
      <w:pPr>
        <w:spacing w:after="0" w:line="240" w:lineRule="auto"/>
        <w:jc w:val="both"/>
        <w:rPr>
          <w:rFonts w:ascii="Times New Roman" w:hAnsi="Times New Roman" w:cs="Times New Roman"/>
          <w:color w:val="000000" w:themeColor="text1"/>
          <w:sz w:val="16"/>
          <w:szCs w:val="16"/>
        </w:rPr>
      </w:pPr>
    </w:p>
    <w:p w14:paraId="07FE1B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31 декабря 1917 г. (13 января 1918) В целях борьбы с саботажем бывших чиновников МВД, Коллегия НКВД принимает решение: </w:t>
      </w:r>
    </w:p>
    <w:p w14:paraId="3A5FB5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"Все чиновники, оставившие работу, считаются уволенными и лишенными пенсий.</w:t>
      </w:r>
    </w:p>
    <w:p w14:paraId="04BE42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Их фамилии опубликовать.</w:t>
      </w:r>
    </w:p>
    <w:p w14:paraId="120150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Предлагается всем органам по уборке улиц Петрограда обязать их принудительно работать по уборке улиц."</w:t>
      </w:r>
    </w:p>
    <w:p w14:paraId="578656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координации деятельности всех местных государственных и общественных учреждений создается Комиссариат по местному самоуправлению. Из НКВД ему передаются функции управления делами местного хозяйства, распределения городского и земского кредита и пр (10303).</w:t>
      </w:r>
    </w:p>
    <w:p w14:paraId="57B1D1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C6D8BB"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31 декабря 1917 (13 января 1918) в манеже Алексеевского военного училища в Лефортове состоялись митинг и концерт "в честь первого после Октябрьской революции Нового года". Присутствовало свыше восьми тысяч рабочих и солдат. Об этом концерте писатель Александр Серафимович писак "К краю эстрады скромно подходит девушка в белом с черным, со скрипкой... Слыхали ль вы, как перестают дышать восемь тысяч человек".. Девушка принесла свое чудесное искусство, свое творчество. И его бережно приняли и теперь благодарили. Выходили певцы, пели. Выходили артисты" читали. Я прочитал рассказ... Никто не хочет уходить. Хотелось еще и еще продолжать этот необычайный вечер... Молодежь сгрудилась к эстраде, уже несется оттуда хор "Кузнецы", кующие счастье народа. В другом месте взмывает"Интернационал". Гремит прощальный привет оркестра (18685).</w:t>
      </w:r>
    </w:p>
    <w:p w14:paraId="76755ED0"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p>
    <w:p w14:paraId="0FC34C73"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декабря 1917 (13 января 1918) в Макеевке (Донбасс) калединцами расстреляны 118 шахтеров (4962).</w:t>
      </w:r>
    </w:p>
    <w:p w14:paraId="5258870E"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421587"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декабря 1917 (13 января 1918) из-за разногласий с главой Центральной Рады В. Винниченко войсковой атаман Украины С. Петлюра подал в отставку (4962).</w:t>
      </w:r>
    </w:p>
    <w:p w14:paraId="6740B608" w14:textId="77777777" w:rsidR="003431D2" w:rsidRPr="002F2FDF" w:rsidRDefault="003431D2" w:rsidP="0083075A">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942059" w14:textId="333C4F69" w:rsidR="00765CAE" w:rsidRPr="00FB4F67" w:rsidRDefault="00765CAE"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xml:space="preserve">31 декабря 1917 г. </w:t>
      </w:r>
      <w:r>
        <w:rPr>
          <w:rFonts w:ascii="Times New Roman" w:hAnsi="Times New Roman" w:cs="Times New Roman"/>
          <w:color w:val="0070C0"/>
          <w:sz w:val="16"/>
          <w:szCs w:val="16"/>
        </w:rPr>
        <w:t xml:space="preserve">(13 января 1818 г.) </w:t>
      </w:r>
      <w:r w:rsidRPr="00FB4F67">
        <w:rPr>
          <w:rFonts w:ascii="Times New Roman" w:hAnsi="Times New Roman" w:cs="Times New Roman"/>
          <w:color w:val="0070C0"/>
          <w:sz w:val="16"/>
          <w:szCs w:val="16"/>
        </w:rPr>
        <w:t>устраивают в бальном зале Петроградского Михайловского артиллерийского училища первую советскую новогоднюю ёлку. А вскоре «пролетарские ёлки» организуют во всех районах Петрограда. Обычай наряжать ёлку на Новый год успел потерять немецкие корни и воспринимался как свой, поэтому и был возрождён. Религиозное содержание праздника не высмеивали, а ненавязчиво выносили за скобки. Например, в 1919 г., когда Владимир Ильич Ленин посетил детскую ёлку в Сокольниках, упор делался на хороводы, угощение, игры, песни и раздачу подарков (23448).</w:t>
      </w:r>
    </w:p>
    <w:p w14:paraId="23A9E05C" w14:textId="77777777" w:rsidR="00765CAE" w:rsidRPr="00FB4F67" w:rsidRDefault="00765CAE" w:rsidP="0083075A">
      <w:pPr>
        <w:spacing w:after="0" w:line="240" w:lineRule="auto"/>
        <w:jc w:val="both"/>
        <w:rPr>
          <w:rFonts w:ascii="Times New Roman" w:hAnsi="Times New Roman" w:cs="Times New Roman"/>
          <w:color w:val="0070C0"/>
          <w:sz w:val="16"/>
          <w:szCs w:val="16"/>
        </w:rPr>
      </w:pPr>
    </w:p>
    <w:p w14:paraId="3894308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81609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67F9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 декабря 1917 (13 января 1918) Берлин. Правительственные войска установили порядок в городе. НСДПГ объявила о прекращении всеобщей забастовки и вооруженной борьбы (7446).</w:t>
      </w:r>
    </w:p>
    <w:p w14:paraId="5FD868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3ED51F" w14:textId="77777777" w:rsidR="00B738C2" w:rsidRPr="002F2FDF" w:rsidRDefault="00B738C2" w:rsidP="0083075A">
      <w:pPr>
        <w:pStyle w:val="ae"/>
        <w:spacing w:before="0" w:after="0"/>
        <w:jc w:val="both"/>
        <w:rPr>
          <w:color w:val="000000" w:themeColor="text1"/>
          <w:kern w:val="2"/>
          <w:sz w:val="16"/>
          <w:szCs w:val="16"/>
        </w:rPr>
      </w:pPr>
      <w:r w:rsidRPr="002F2FDF">
        <w:rPr>
          <w:color w:val="000000" w:themeColor="text1"/>
          <w:kern w:val="2"/>
          <w:sz w:val="16"/>
          <w:szCs w:val="16"/>
        </w:rPr>
        <w:t>31 декабря 1917 (13 января 1918) после незначительных боев с местными красногвардейцами румыны заняли Кишинев, который оставался в состав Румынии вплоть до 1940 года (17045).</w:t>
      </w:r>
    </w:p>
    <w:p w14:paraId="6182CB7E" w14:textId="77777777" w:rsidR="00B738C2" w:rsidRPr="002F2FDF" w:rsidRDefault="00B738C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C59AAE" w14:textId="77777777" w:rsidR="00BC2F7C" w:rsidRPr="002F2FDF" w:rsidRDefault="00BC2F7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44CBF35B" w14:textId="77777777" w:rsidR="00BC2F7C" w:rsidRPr="002F2FDF" w:rsidRDefault="00BC2F7C"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43C47F"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Конец декабря 1917. В некоторых магазинах" несмотря на войну с Германией" появились немецкие товары: чулки, нитки, гребешки, ленты, кружева, обувь (18685).</w:t>
      </w:r>
    </w:p>
    <w:p w14:paraId="45D61F31"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p>
    <w:p w14:paraId="42777996" w14:textId="77777777" w:rsidR="009E7F6D" w:rsidRPr="002F2FDF" w:rsidRDefault="009E7F6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7C8040B6" w14:textId="77777777" w:rsidR="009E7F6D" w:rsidRPr="002F2FDF" w:rsidRDefault="009E7F6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3F826C" w14:textId="77777777" w:rsidR="009E7F6D" w:rsidRPr="002F2FDF" w:rsidRDefault="009E7F6D" w:rsidP="0083075A">
      <w:pPr>
        <w:pStyle w:val="ae"/>
        <w:shd w:val="clear" w:color="auto" w:fill="FFFFFF"/>
        <w:spacing w:before="0" w:after="0"/>
        <w:jc w:val="both"/>
        <w:textAlignment w:val="baseline"/>
        <w:rPr>
          <w:color w:val="000000" w:themeColor="text1"/>
          <w:sz w:val="16"/>
          <w:szCs w:val="16"/>
        </w:rPr>
      </w:pPr>
      <w:r w:rsidRPr="002F2FDF">
        <w:rPr>
          <w:color w:val="000000" w:themeColor="text1"/>
          <w:sz w:val="16"/>
          <w:szCs w:val="16"/>
        </w:rPr>
        <w:t>В конце декабря 1917 года на пост начальника Управления военной авиации Военного министерства назначается полковник Ди (Dhi). Он параллельно становится руководителем Центральной службой по производству авиационной техники в министерстве вооружения. В январе 1918 года СТАе возглавил известный изобретатель А. Како (Albert Caquot), который навел порядок в системе производства авиационной техники — к концу войны французские предприятия выпускали до 100 самолётов в сутки (19791).</w:t>
      </w:r>
    </w:p>
    <w:p w14:paraId="227B5043" w14:textId="77777777" w:rsidR="009E7F6D" w:rsidRPr="002F2FDF" w:rsidRDefault="009E7F6D" w:rsidP="0083075A">
      <w:pPr>
        <w:pStyle w:val="ae"/>
        <w:shd w:val="clear" w:color="auto" w:fill="FFFFFF"/>
        <w:spacing w:before="0" w:after="0"/>
        <w:jc w:val="both"/>
        <w:textAlignment w:val="baseline"/>
        <w:rPr>
          <w:color w:val="000000" w:themeColor="text1"/>
          <w:sz w:val="16"/>
          <w:szCs w:val="16"/>
        </w:rPr>
      </w:pPr>
    </w:p>
    <w:p w14:paraId="6FC2EACF"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3B70A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1C86B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декабре или ноябре 1917 г. закончили строительством второй МВ-5 Виллиша. Один из этих ВМ-5, по непонятной причине числившийся как ВМ-5 №2 (скорее всего, "№2" обозначал здесь 2-й экспериментальный истребитель типа ВМ-5, хотя простая опечатка также возможна), перелетел на морскую авиационную станцию в Ораниенбауме 18 октября 1918 г., будучи движим мотором "Клерже" мощностью 130 л.с. В ноябре того же года планировалось испытать его на лыжах, т.к. Финский залив опять замерз. В конце концов специальная комиссия опробовала машину в период с 25 по 29 марта 1919 г., но о результатах ничего не сообщалось (2843).</w:t>
      </w:r>
    </w:p>
    <w:p w14:paraId="2169A70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0BB041" w14:textId="77777777" w:rsidR="009F39F8" w:rsidRPr="002F2FDF" w:rsidRDefault="009F39F8"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На декабрь 1917 г. на заводе Гамаюн оставались 61 самолет М-11 и М-12 заказа № 4 и 17 несданных самолетов тех же типов, которые были заложены по заказам № 1 и № 2, но ни один из них так и не был достроен. Имеющимся сведениям о том, что завод в 1917 г. сдал еще 10 самолетов М-11 или М-12, пока не найдено подтверждений. Итого было выпущено по одному опытному М-11 и М-12, а также не менее 41 серийного самолета, в том числе 14 в виде М-11 достоверно, 12 — предположительно, 7 — как М-12, остальные — неустановленного типа (22832).</w:t>
      </w:r>
    </w:p>
    <w:p w14:paraId="16759C23" w14:textId="77777777" w:rsidR="009F39F8" w:rsidRPr="002F2FDF" w:rsidRDefault="009F39F8" w:rsidP="0083075A">
      <w:pPr>
        <w:pStyle w:val="p1"/>
        <w:spacing w:before="0" w:beforeAutospacing="0" w:after="0" w:afterAutospacing="0"/>
        <w:jc w:val="both"/>
        <w:rPr>
          <w:color w:val="000000" w:themeColor="text1"/>
          <w:sz w:val="16"/>
          <w:szCs w:val="16"/>
        </w:rPr>
      </w:pPr>
    </w:p>
    <w:p w14:paraId="6D396B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декабре 1917 В.И.Л. наложил резолюцию на ходатайство Управления ВВФ об ускорении выдачи дополнительных авансов заводу А.А.Анатра (356,30).</w:t>
      </w:r>
    </w:p>
    <w:p w14:paraId="4ECB70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A744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декабря 1917 г. завод Анатра в Одессе был национализирован. С весны 1918 г. завод работал на Австро-Венгрию, войска которой оккупировали Одессу. В 11.1918 г. австрийские войска покинули Одессу. В начале 1920 г. после освобождения города завод национализирован и получил наименование Государственные авиамастерские (ГАМ) № 7 (Государственные авиамастерские (ГАМ) № 7 ГУВП ВСНХ, Завод А.А. Анатра, Государственный Авиационный завод № 11 (ГАЗ-11)). В 1921 г. завод - в ведении Главкоавиа, в 1924 г. ГАЗ-11 - в ведении ГУВП ВСНХ, весной 1925 г. завод закрыт. Позднее на этом месте основан 562-й АРЗ МО.</w:t>
      </w:r>
    </w:p>
    <w:p w14:paraId="450CFA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Создан сельскохозяйственный самолет «Конек-Горбунок» (ВХ-5), первый полет 19.07.1924 г.</w:t>
      </w:r>
    </w:p>
    <w:p w14:paraId="1DF084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(07.1914 г.)- 95 чел., (06.1917 г.)- 1380 чел.</w:t>
      </w:r>
    </w:p>
    <w:p w14:paraId="2F2014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Гл. конструктор КБ завода- Г.М. Макеев, (1915-17 г.)- Декан (Е.А. Де Камп, </w:t>
      </w:r>
      <w:r w:rsidRPr="002F2FDF">
        <w:rPr>
          <w:rFonts w:ascii="Times New Roman" w:hAnsi="Times New Roman" w:cs="Times New Roman"/>
          <w:color w:val="000000" w:themeColor="text1"/>
          <w:kern w:val="2"/>
          <w:sz w:val="16"/>
          <w:szCs w:val="16"/>
          <w:lang w:val="en-US"/>
        </w:rPr>
        <w:t>DesCamps</w:t>
      </w:r>
      <w:r w:rsidRPr="002F2FDF">
        <w:rPr>
          <w:rFonts w:ascii="Times New Roman" w:hAnsi="Times New Roman" w:cs="Times New Roman"/>
          <w:color w:val="000000" w:themeColor="text1"/>
          <w:kern w:val="2"/>
          <w:sz w:val="16"/>
          <w:szCs w:val="16"/>
        </w:rPr>
        <w:t>), (1921 г.-)- В.Н. Хиони («Конек-Горбунок»),</w:t>
      </w:r>
    </w:p>
    <w:p w14:paraId="7CCA0E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Производство</w:t>
      </w:r>
      <w:r w:rsidRPr="002F2FDF">
        <w:rPr>
          <w:rFonts w:ascii="Times New Roman" w:hAnsi="Times New Roman" w:cs="Times New Roman"/>
          <w:iCs/>
          <w:color w:val="000000" w:themeColor="text1"/>
          <w:kern w:val="2"/>
          <w:sz w:val="16"/>
          <w:szCs w:val="16"/>
          <w:lang w:val="en-US"/>
        </w:rPr>
        <w:t>:</w:t>
      </w:r>
      <w:r w:rsidRPr="002F2FDF">
        <w:rPr>
          <w:rFonts w:ascii="Times New Roman" w:hAnsi="Times New Roman" w:cs="Times New Roman"/>
          <w:color w:val="000000" w:themeColor="text1"/>
          <w:kern w:val="2"/>
          <w:sz w:val="16"/>
          <w:szCs w:val="16"/>
          <w:lang w:val="en-US"/>
        </w:rPr>
        <w:t xml:space="preserve"> "Farman-IV" (04.1911-), "Newport", "Morane", "Voisin"; "Anade" (1916-18)- 225, "Anacle "(-1917)- 24, «</w:t>
      </w:r>
      <w:r w:rsidRPr="002F2FDF">
        <w:rPr>
          <w:rFonts w:ascii="Times New Roman" w:hAnsi="Times New Roman" w:cs="Times New Roman"/>
          <w:color w:val="000000" w:themeColor="text1"/>
          <w:kern w:val="2"/>
          <w:sz w:val="16"/>
          <w:szCs w:val="16"/>
        </w:rPr>
        <w:t>В</w:t>
      </w:r>
      <w:r w:rsidRPr="002F2FDF">
        <w:rPr>
          <w:rFonts w:ascii="Times New Roman" w:hAnsi="Times New Roman" w:cs="Times New Roman"/>
          <w:color w:val="000000" w:themeColor="text1"/>
          <w:kern w:val="2"/>
          <w:sz w:val="16"/>
          <w:szCs w:val="16"/>
          <w:lang w:val="en-US"/>
        </w:rPr>
        <w:t>.</w:t>
      </w:r>
      <w:r w:rsidRPr="002F2FDF">
        <w:rPr>
          <w:rFonts w:ascii="Times New Roman" w:hAnsi="Times New Roman" w:cs="Times New Roman"/>
          <w:color w:val="000000" w:themeColor="text1"/>
          <w:kern w:val="2"/>
          <w:sz w:val="16"/>
          <w:szCs w:val="16"/>
        </w:rPr>
        <w:t>И</w:t>
      </w:r>
      <w:r w:rsidRPr="002F2FDF">
        <w:rPr>
          <w:rFonts w:ascii="Times New Roman" w:hAnsi="Times New Roman" w:cs="Times New Roman"/>
          <w:color w:val="000000" w:themeColor="text1"/>
          <w:kern w:val="2"/>
          <w:sz w:val="16"/>
          <w:szCs w:val="16"/>
          <w:lang w:val="en-US"/>
        </w:rPr>
        <w:t xml:space="preserve">.» </w:t>
      </w:r>
      <w:r w:rsidRPr="002F2FDF">
        <w:rPr>
          <w:rFonts w:ascii="Times New Roman" w:hAnsi="Times New Roman" w:cs="Times New Roman"/>
          <w:color w:val="000000" w:themeColor="text1"/>
          <w:kern w:val="2"/>
          <w:sz w:val="16"/>
          <w:szCs w:val="16"/>
        </w:rPr>
        <w:t xml:space="preserve">(«Вуазен Иванова», 1916-17)- 150, </w:t>
      </w:r>
      <w:r w:rsidRPr="002F2FDF">
        <w:rPr>
          <w:rFonts w:ascii="Times New Roman" w:hAnsi="Times New Roman" w:cs="Times New Roman"/>
          <w:color w:val="000000" w:themeColor="text1"/>
          <w:kern w:val="2"/>
          <w:sz w:val="16"/>
          <w:szCs w:val="16"/>
          <w:lang w:val="en-US"/>
        </w:rPr>
        <w:t>M</w:t>
      </w:r>
      <w:r w:rsidRPr="002F2FDF">
        <w:rPr>
          <w:rFonts w:ascii="Times New Roman" w:hAnsi="Times New Roman" w:cs="Times New Roman"/>
          <w:color w:val="000000" w:themeColor="text1"/>
          <w:kern w:val="2"/>
          <w:sz w:val="16"/>
          <w:szCs w:val="16"/>
        </w:rPr>
        <w:t>-5 (1916), Анадва ВХ (1916-17)- 2, Анадис (1916)-1, "</w:t>
      </w:r>
      <w:r w:rsidRPr="002F2FDF">
        <w:rPr>
          <w:rFonts w:ascii="Times New Roman" w:hAnsi="Times New Roman" w:cs="Times New Roman"/>
          <w:color w:val="000000" w:themeColor="text1"/>
          <w:kern w:val="2"/>
          <w:sz w:val="16"/>
          <w:szCs w:val="16"/>
          <w:lang w:val="en-US"/>
        </w:rPr>
        <w:t>Anasal</w:t>
      </w:r>
      <w:r w:rsidRPr="002F2FDF">
        <w:rPr>
          <w:rFonts w:ascii="Times New Roman" w:hAnsi="Times New Roman" w:cs="Times New Roman"/>
          <w:color w:val="000000" w:themeColor="text1"/>
          <w:kern w:val="2"/>
          <w:sz w:val="16"/>
          <w:szCs w:val="16"/>
        </w:rPr>
        <w:t>" (1917-18)- не менее 450, ВХ-5 (1923-25)- 30.</w:t>
      </w:r>
    </w:p>
    <w:p w14:paraId="6E91A608" w14:textId="77777777" w:rsidR="009556D7" w:rsidRPr="002F2FDF" w:rsidRDefault="009556D7"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9B79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декабре 1917 на заводе В.А.Лебедева в Таганроге был выпущен Альбатрос поплавковый Г.А.Фриде с ИС 200 нр. Заказ от 14 июня 1917 был на 175 (92,234).</w:t>
      </w:r>
    </w:p>
    <w:p w14:paraId="3B956D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A41A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декабре 1917 г. все предприятия авиационной промышленности встали. Лишь в начале 1918 г. “Авиа-Балт” получил от Управления военно-воздушного флота (УВВФ) заказ на достройку самолетов из имеющегося на заводе задела. Однако в условиях царившей в стране анархии и беспорядка выполнить его было не просто. Кадры разъехались, разбежались в поисках пропитания и более безопасных мест. Ходили слухи одни страшнее других. Границы были открыты. Старой армии не существовало, а созданная Красная Армия с выборными командирами и митингующим составом была пока не в состоянии выполнять свои функции. Любое сообщение о появлении вооруженных формирований в обозримой близости от Петрограда, будь то эстонское национальное ополчение, перешедшее Нарву, или финские отряды, лихорадило город. В апреле 1918 г. УВВФ приказало эвакуировать “Авиа-Балт” в Ярославль на авиационный завод С. С. Щетинина. Однако вскоре выяснилось, что распоряжением Красина завод отдан под производство сельхозоборудования. Часть имущества переправили в Фили, остальное вернулось в Петроград. В июне 1918 г. последовало указание эвакуироваться в Казань. В это время Правление объединенных петроградских заводов приказало закрыть “Авиа-Балт”, в середине же июля Совнархоз Северного района распорядился сохранить имущество завода. В этой неразберихе завод, директором которого по-прежнему оставался В. И. Ярковский, ухитрялся все же достраивать самолеты. В УВВФ сохранились акты о сдаче в первой половине 1918 г. “Муромцев” (№ 239–242 и 245). </w:t>
      </w:r>
    </w:p>
    <w:p w14:paraId="289FB6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Авиационная промышленность России находилась в коматозном состоянии. Этому способствовали и роковые события июля 1918 г., когда в дни “красного террора” резко усилились репрессии против “контрреволюционеров”. К ним один из ведущих идеологов правящей партии Н. И. Бухарин в своих трудах относил: ... </w:t>
      </w:r>
    </w:p>
    <w:p w14:paraId="123329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буржуазных предпринимателей-организаторов и директоров ...</w:t>
      </w:r>
    </w:p>
    <w:p w14:paraId="4FDCA0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 квалифицированную бюрократию — штатскую, военную и духовную; </w:t>
      </w:r>
    </w:p>
    <w:p w14:paraId="5E0701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5) техническую интеллигенцию и интеллигенцию вообще ... </w:t>
      </w:r>
    </w:p>
    <w:p w14:paraId="4DCAEC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 офицерство”. (В. Кардашов. Наши разногласия. Ленинградская панорама. 1990. № 2. С. 34–35; А. Смолин. У истоков красного террора. Ленинградская панорама. 1989. № 3. С. 25–28). </w:t>
      </w:r>
    </w:p>
    <w:p w14:paraId="7CE957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Пик репрессий пришелся на Петроград, где “красный террор” возглавлял Г. Зиновьев, призывавший рабочих расправляться с интеллигенцией “по-своему, прямо на улице”. Были расстреляны тысячи интеллигентов-чиновников, адвокатов, инженеров, врачей, священников, офицеров, учителей, профессоров и просто дворян. В. И. Ярковский, неоднократно отказывавшийся от лестных предложений выехать за рубеж на престижную и хорошо оплачиваемую работу, в августе 1918 г. был арестован за “саботаж” и, несмотря на ходатайства многих видных деятелей культуры, науки и техники, был казнен в Петропавловской крепости. М. В. Шидловский с семьей пытался выехать в Финляндию. На границе он вместе со своим восемнадцатилетним сыном был расстрелян красногвардейцами. Погибли многие сподвижники И. И. Сикорского, отдавшие все свои силы созданию и прославлению российской авиации. </w:t>
      </w:r>
    </w:p>
    <w:p w14:paraId="1ED048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План Ю. М. Ларина, если не полностью, то во многом осуществлялся. Прекратилось строительство Центральной научно-технической лаборатории, многих лабораторий и других авиационных предприятий. В 1918 г. в Петрограде был закрыт авиационный завод В. В. Слюсаренко, в начале 1919 г. — заводы Д. П. Григоровича и А. А. Пороховщикова, а крупное предприятие Ф. Мельцера переведено на производство мебели. Наряду с херсонским “Авиагородком” прекратили существование все южные самолетостроительные заводы (кроме таганрогского), в том числе и такие крупные, как “Анатра”. В Москве сгорел аэротехнический завод вместе с построенной там уникальной аэродинамической трубой. </w:t>
      </w:r>
    </w:p>
    <w:p w14:paraId="377A9B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Оставшиеся заводы влачили нищенское существование. За всю гражданскую войну “Авиа-Балт” не выпустил ни одной новой модели самолета. Там только собирали, да и то нерегулярно, оставшийся дореволюционный задел. К концу войны петроградская авиапромышленность, еще в недалеком прошлом одна из самых передовых в мире, представляла собой жалкое зрелище. В бывшей столице российской империи уцелело, да и то не полностью, только три завода: “Авиа-Балт”, В. А. Лебедева и С. С. Щетинина. Остатки их в 1920 г. были объединены в Государственный авиазавод № 3 (впоследствии № 23). Он оказался пригоден только для серийного производства легкого учебного самолета У-1 (копия английского “Авро-504” образца 1914 г. ) и впоследствии У-2. </w:t>
      </w:r>
    </w:p>
    <w:p w14:paraId="75A612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сожалению, такова судьба созданного трудами подвижников российской авиации, и в первую очередь И. И. Сикорского и М. В. Шидловского, уникального авиационного производства, имевшего все основания стать ведущим мировым производством тяжелых многомоторных самолетов (11196).</w:t>
      </w:r>
    </w:p>
    <w:p w14:paraId="7F24680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B886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декабре 1917 А.А.Микулин и Б.С.Стечкин - оба племянники Н.Е.Ж. (3249,29) завершили постройку двухтактного мотора АМБЕС (237,130).</w:t>
      </w:r>
    </w:p>
    <w:p w14:paraId="6C1D01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D319B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Согласно документам декабря 1917 г. 1300 различных моторов "Испано-Суиза" мощностью от 150 до 200 л.с. были заказаны флотом во Франции, а общее количество купленных за рубежом 200-сильных двигателей этой марки достигало 1400 единиц. Однако, только ДЕСЯТЬ из всей этой массы находились на складах и только ЧЕТЫРЕ из них были нужной мощности. Морское ведомство обязало фирму поставить два прототипа "Альбатроса" и вернуть германский аппарат, но, по всей видимости, ни один из опытных аэропланов так и не покинул таганрогского филиала — если даже и был построен там, а "Фридрихсхафен" никогда не возвратился на Балтику и судьба его неизвестна (2843).</w:t>
      </w:r>
    </w:p>
    <w:p w14:paraId="508E076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BEBB4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декабре 1917 г. строительство Авиаприбора прекратилось, "произошла пере</w:t>
      </w:r>
      <w:r w:rsidRPr="002F2FDF">
        <w:rPr>
          <w:rFonts w:ascii="Times New Roman" w:hAnsi="Times New Roman" w:cs="Times New Roman"/>
          <w:color w:val="000000" w:themeColor="text1"/>
          <w:kern w:val="2"/>
          <w:sz w:val="16"/>
          <w:szCs w:val="16"/>
        </w:rPr>
        <w:softHyphen/>
        <w:t>мена в личном составе заводоуправления. Фридман сложил с себя обязанности по управлению заводом и передал их Боголюбову". 31 декабря 1917 г. избран Совет завода в составе двух лиц от служащих и четырех от рабочих. Кроме избранных лиц в Совет за</w:t>
      </w:r>
      <w:r w:rsidRPr="002F2FDF">
        <w:rPr>
          <w:rFonts w:ascii="Times New Roman" w:hAnsi="Times New Roman" w:cs="Times New Roman"/>
          <w:color w:val="000000" w:themeColor="text1"/>
          <w:kern w:val="2"/>
          <w:sz w:val="16"/>
          <w:szCs w:val="16"/>
        </w:rPr>
        <w:softHyphen/>
        <w:t>вода вошли Боголюбов (технический директор) и Дмитревский (ком</w:t>
      </w:r>
      <w:r w:rsidRPr="002F2FDF">
        <w:rPr>
          <w:rFonts w:ascii="Times New Roman" w:hAnsi="Times New Roman" w:cs="Times New Roman"/>
          <w:color w:val="000000" w:themeColor="text1"/>
          <w:kern w:val="2"/>
          <w:sz w:val="16"/>
          <w:szCs w:val="16"/>
        </w:rPr>
        <w:softHyphen/>
        <w:t>мерческий директор).</w:t>
      </w:r>
    </w:p>
    <w:p w14:paraId="772484B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этом закончился дореволюционный период развития завода "Авиаприбор" и начался советский период.</w:t>
      </w:r>
    </w:p>
    <w:p w14:paraId="4F04312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DF7D5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декабря 1917 по апрель 1918 г. Раевский заведовал аэростанцией Главного аэродрома в Херсоне, участвовал в испытаниях новых самолётов. В апреле 1918 г. Херсон оккупировали петлюровцы, австро-германс</w:t>
      </w:r>
      <w:r w:rsidRPr="002F2FDF">
        <w:rPr>
          <w:rFonts w:ascii="Times New Roman" w:hAnsi="Times New Roman" w:cs="Times New Roman"/>
          <w:color w:val="000000" w:themeColor="text1"/>
          <w:kern w:val="2"/>
          <w:sz w:val="16"/>
          <w:szCs w:val="16"/>
        </w:rPr>
        <w:softHyphen/>
        <w:t>кие и турецкие интервенты, а позже и французские. Летчики А.Е. Раевс</w:t>
      </w:r>
      <w:r w:rsidRPr="002F2FDF">
        <w:rPr>
          <w:rFonts w:ascii="Times New Roman" w:hAnsi="Times New Roman" w:cs="Times New Roman"/>
          <w:color w:val="000000" w:themeColor="text1"/>
          <w:kern w:val="2"/>
          <w:sz w:val="16"/>
          <w:szCs w:val="16"/>
        </w:rPr>
        <w:softHyphen/>
        <w:t>кий и Н.А. Жемчужин выводили последние самолёты из Херсона. Затем А.Е. Раевский готовил летчиков в Киевской, а с августа 1919 г. - в Москов</w:t>
      </w:r>
      <w:r w:rsidRPr="002F2FDF">
        <w:rPr>
          <w:rFonts w:ascii="Times New Roman" w:hAnsi="Times New Roman" w:cs="Times New Roman"/>
          <w:color w:val="000000" w:themeColor="text1"/>
          <w:kern w:val="2"/>
          <w:sz w:val="16"/>
          <w:szCs w:val="16"/>
        </w:rPr>
        <w:softHyphen/>
        <w:t>ской школах авиации (11425).</w:t>
      </w:r>
    </w:p>
    <w:p w14:paraId="0ED74A7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50A05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542496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BB1F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декабре 1917 было создано ГАУ (1073,12).</w:t>
      </w:r>
    </w:p>
    <w:p w14:paraId="17C1CA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716F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декабре 1917 г. Второв передал оба снаряжательных завода в ведение ГАУ. В 11.1918 г. помещения бывшей фабрики Байера передали под фабрику Гознака, а снаряжательные мастерские - под склады ГАУ. В 1931 г. на площадке фабрики Гознака был организован завод по изготовлению штампов, приспособлений и пресс-форм, в 1938 г. он был передан в ведение 1ГУ НКОП. В 1939 г. завод был влит в состав завода № 1 ОАП НКАП.</w:t>
      </w:r>
    </w:p>
    <w:p w14:paraId="1ACD6B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(1916 г.)- около 2000 чел. (11982)</w:t>
      </w:r>
    </w:p>
    <w:p w14:paraId="55B4A1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9AFF83"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shd w:val="clear" w:color="auto" w:fill="FFFFFF"/>
        </w:rPr>
      </w:pPr>
      <w:r w:rsidRPr="002F2FDF">
        <w:rPr>
          <w:rFonts w:ascii="Times New Roman" w:hAnsi="Times New Roman" w:cs="Times New Roman"/>
          <w:color w:val="000000" w:themeColor="text1"/>
          <w:sz w:val="16"/>
          <w:szCs w:val="16"/>
          <w:shd w:val="clear" w:color="auto" w:fill="FFFFFF"/>
        </w:rPr>
        <w:t>В декабре 1917 года находившийся на ремонте в Одесских главных мастерских мото-броневагон был включен в состав войск украинской Центральной Рады. Наблюдающим за ходом работ на нем новая власть назначила полковника Поплавко", однако к началу 1918 года закончить их не удалось - активная большевистская агитация среди рабочих мастерских привела к массовому саботажу (18626).</w:t>
      </w:r>
    </w:p>
    <w:p w14:paraId="0E490BED"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p>
    <w:p w14:paraId="235B3394"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Декабрь 1917. Состоялся 1-й съезд делегатов Всероссийского союза обществ заводчиков и фабрикантов. Съезд вынес решение закрыть те предприятия, где рабочие будут вмешиваться в управление производством.</w:t>
      </w:r>
    </w:p>
    <w:p w14:paraId="7CD67C3E"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течение месяца в Москве было муниципализировано четыре тысячи крупных домов (18685).</w:t>
      </w:r>
    </w:p>
    <w:p w14:paraId="4B6961AA"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p>
    <w:p w14:paraId="24D49C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декабре 1917 была создана Коллегия изобретателей (359,27).</w:t>
      </w:r>
    </w:p>
    <w:p w14:paraId="0B823A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1764BB" w14:textId="77777777" w:rsidR="006970C8" w:rsidRPr="002F2FDF" w:rsidRDefault="006970C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декабре 1917 г. М3 был разработан проект железнодорожного транспортёра для 305-мм гаубицы, но в металле он не был реализован (15132).</w:t>
      </w:r>
    </w:p>
    <w:p w14:paraId="028016A1" w14:textId="77777777" w:rsidR="006970C8" w:rsidRPr="002F2FDF" w:rsidRDefault="006970C8" w:rsidP="0083075A">
      <w:pPr>
        <w:spacing w:after="0" w:line="240" w:lineRule="auto"/>
        <w:jc w:val="both"/>
        <w:rPr>
          <w:rFonts w:ascii="Times New Roman" w:hAnsi="Times New Roman" w:cs="Times New Roman"/>
          <w:color w:val="000000" w:themeColor="text1"/>
          <w:kern w:val="2"/>
          <w:sz w:val="16"/>
          <w:szCs w:val="16"/>
        </w:rPr>
      </w:pPr>
    </w:p>
    <w:p w14:paraId="06F0D6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декабре 1917 г. специалистами Металлического завода Петрограда под руководством начальника Артиллерийского конструкторского бюро А. Г. Дукельского разработан проект железнодорожного транспортера для 305-мм гаубицы (не был реализован) (11454).</w:t>
      </w:r>
    </w:p>
    <w:p w14:paraId="607179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5D26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декабре 1917 г. завод (АО «Русский Рено», Авторемонтный завод ПОГАРЗ, Петроградский объединенный государственный авторемонтный завод им. Плетнева ВСНХ, Государственный авторемонтный завод «Авторемонт» ВСНХ, Мотоциклетный завод  Г.Е. Зиновьева, Ленинградский объединенный государственный авторемонтный завод (ЛОГАРЗ) /г. Петроград,  г. Ленинград/), основанный 20.10.1914  г. как мастерские по ремонту автомобилей «Рено», был закрыт. Декретом ВСНХ от 28.06.1918 г. (или пост. ВСНХ от 19.02.1919 г.) завод национализирован и переименован в Авторемонтный завод ПОГАРЗ. С 17.12.1918 г. завод вошел в состав Авиаправления Секции по металлу СНХ Северного района, с 04.1919 г. - правления Северной районной группы авиазаводов. В 09.1920 г. завод реорганизован в 9-е отделение ПОГАРЗ, находился на консервации. В 1922 г. Авторемонтный завод переименован в Петроградский объединенный государственный авторемонтный завод им. Плетнева в ведении Севзаппромбюро ВСНХ, в 1924 г. - в Государственный авторемонтный завод «Авторемонт» Маштреста ВСНХ. В 1924-26 г. завод сдавался в аренду и назывался мотоциклетным заводом  Г.Е. Зиновьева.</w:t>
      </w:r>
      <w:r w:rsidRPr="002F2FDF">
        <w:rPr>
          <w:rFonts w:ascii="Times New Roman" w:hAnsi="Times New Roman" w:cs="Times New Roman"/>
          <w:color w:val="000000" w:themeColor="text1"/>
          <w:kern w:val="2"/>
          <w:sz w:val="16"/>
          <w:szCs w:val="16"/>
          <w:vertAlign w:val="superscript"/>
        </w:rPr>
        <w:t xml:space="preserve">ы </w:t>
      </w:r>
      <w:r w:rsidRPr="002F2FDF">
        <w:rPr>
          <w:rFonts w:ascii="Times New Roman" w:hAnsi="Times New Roman" w:cs="Times New Roman"/>
          <w:color w:val="000000" w:themeColor="text1"/>
          <w:kern w:val="2"/>
          <w:sz w:val="16"/>
          <w:szCs w:val="16"/>
        </w:rPr>
        <w:t>Упоминается также название завода- ЛОГАРЗ.</w:t>
      </w:r>
    </w:p>
    <w:p w14:paraId="1C9E17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1918 г. велся ремонт автомобилей и мотоциклов.</w:t>
      </w:r>
    </w:p>
    <w:p w14:paraId="77E8BC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1927 г. частично законсервированный ЛОГАРЗ слит с заводом «Красный Октябрь» (на своей промплощадке) (11982).</w:t>
      </w:r>
    </w:p>
    <w:p w14:paraId="368216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B4BABD" w14:textId="414A9525" w:rsidR="006970C8" w:rsidRPr="002F2FDF" w:rsidRDefault="006970C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декабре 1917 г. остановленному Обуховскому заводу был выдан заказ на изготовление 2000 тракторов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американской системы Holt 75 л. с. Этот гусеничный трактор производился в США с 1912 г. В России тракторное производство было совершенно новым делом. Обуховскому заводу предстояло стать пионером тракторостроения в России. Кроме тракторостроения завод должен был обслуживать железнодорожный транспорт: выдан заказ на ремонт 200 паровозов, нескольких тысяч</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вагонов, изготовление рессор, букс подшипников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других запасных частей для подвижного состава. Для сельского хозяйства заводу в производственную программу включили изготовление 25 тысяч плугов и металлических частей для молотилок общим весом в 4 тысячи пудов (15132).</w:t>
      </w:r>
    </w:p>
    <w:p w14:paraId="2B6CA7F3" w14:textId="77777777" w:rsidR="006970C8" w:rsidRPr="002F2FDF" w:rsidRDefault="006970C8" w:rsidP="0083075A">
      <w:pPr>
        <w:spacing w:after="0" w:line="240" w:lineRule="auto"/>
        <w:jc w:val="both"/>
        <w:rPr>
          <w:rFonts w:ascii="Times New Roman" w:hAnsi="Times New Roman" w:cs="Times New Roman"/>
          <w:color w:val="000000" w:themeColor="text1"/>
          <w:kern w:val="2"/>
          <w:sz w:val="16"/>
          <w:szCs w:val="16"/>
        </w:rPr>
      </w:pPr>
    </w:p>
    <w:p w14:paraId="0273CD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декабре 1917 г. Николаевским заводом была предъявлена для испытаний подводная лодка Буревестник. Вот текст телеграммы.</w:t>
      </w:r>
    </w:p>
    <w:p w14:paraId="2F901E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Кому: Генмор, Комисп.</w:t>
      </w:r>
    </w:p>
    <w:p w14:paraId="46E6A7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От Крутикова. Подана 2 декабря 1917 года в Николаеве</w:t>
      </w:r>
    </w:p>
    <w:p w14:paraId="19A432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Получена 3 декабря 1917 года в Петрограде</w:t>
      </w:r>
    </w:p>
    <w:p w14:paraId="4B241E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Предъявлен Буревестник. Необходимо срочно командировать Морица в Севастополь, Лихманова в Николаев. Прошу перевести телеграфом жалованье, суточные, прогонные в Николаев - Севастополь и обратно. 5-го ухожу с лодкой</w:t>
      </w:r>
    </w:p>
    <w:p w14:paraId="43C4B0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1116. Крутиков (10700).</w:t>
      </w:r>
    </w:p>
    <w:p w14:paraId="6BBB2A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0B16C9" w14:textId="2B7B08B7" w:rsidR="009F39F8" w:rsidRPr="002F2FDF" w:rsidRDefault="009F39F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декабре 1917</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г. в неопубликованной в свое время работе «Как нам организовать соревнование», Ленин уделил трудовой дисциплине немало страниц, которые находили отражение в советских декретах. Бросается в глаза, что статья была буквально наполнена чувством социальной вражды, которая распространялась не только на «капиталистов – организаторов подневольного труда», но и на их «лакеев», «прихлебателей и приживальщиков» из интеллигенции, «шкурников», стремящихся «урвать кусок побольше и удрать», разгильдяев, жуликов, тунеядцев, «безруких», хулиганов и пр. Источником новых форм труда, по Ленину, должны были стать инициатива и таланты, «которых в народе непочатый родник», а также «всенародный учет и контроль», методом же внедрения – широчайшая пропаганда трудовых достижений. Ленин пишет о разнообразии трудовых инициатив как «ручательстве их жизненности», а «порукой успеха» их – «очистка земли российской от всяких вредных насекомых, от блох – жуликов, от клопов – богатых и прочее и прочее». В одном месте, пишет он, – посадят в тюрьму десяток богачей, дюжину жуликов, полдюжины рабочих, отлынивающих от работы. ... В другом – поставят их чистить сортиры. В третьем – снабдят их, по отбытию карцера, желтыми билетами, чтобы весь народ до их исправления надзирал за ними, как</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вредными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людьми. В четвертом – расстреляют на месте одного из десяти, виновных в тунеядстве. В пятом – придумают комбинацию из этих средств ...</w:t>
      </w:r>
      <w:bookmarkStart w:id="418" w:name="02"/>
      <w:bookmarkEnd w:id="418"/>
      <w:r w:rsidRPr="002F2FDF">
        <w:rPr>
          <w:rFonts w:ascii="Times New Roman" w:hAnsi="Times New Roman" w:cs="Times New Roman"/>
          <w:color w:val="000000" w:themeColor="text1"/>
          <w:sz w:val="16"/>
          <w:szCs w:val="16"/>
        </w:rPr>
        <w:t>. Как видим, речь идет не столько о разнообразных, сколько о весьма своеобразных инициативах, которые тем не менее оказались востребованными в советской истории. Степень их распространенности после революции – особый вопрос, которому современная литература уделяет довольно пристальное внимание (21332).</w:t>
      </w:r>
    </w:p>
    <w:p w14:paraId="0575E016" w14:textId="77777777" w:rsidR="009F39F8" w:rsidRPr="002F2FDF" w:rsidRDefault="009F39F8" w:rsidP="0083075A">
      <w:pPr>
        <w:spacing w:after="0" w:line="240" w:lineRule="auto"/>
        <w:jc w:val="both"/>
        <w:rPr>
          <w:rFonts w:ascii="Times New Roman" w:hAnsi="Times New Roman" w:cs="Times New Roman"/>
          <w:color w:val="000000" w:themeColor="text1"/>
          <w:sz w:val="16"/>
          <w:szCs w:val="16"/>
        </w:rPr>
      </w:pPr>
    </w:p>
    <w:p w14:paraId="0652A8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r w:rsidR="00BC2F7C" w:rsidRPr="002F2FDF">
        <w:rPr>
          <w:rFonts w:ascii="Times New Roman" w:hAnsi="Times New Roman" w:cs="Times New Roman"/>
          <w:i/>
          <w:iCs/>
          <w:color w:val="000000" w:themeColor="text1"/>
          <w:kern w:val="2"/>
          <w:sz w:val="16"/>
          <w:szCs w:val="16"/>
        </w:rPr>
        <w:t>:</w:t>
      </w:r>
    </w:p>
    <w:p w14:paraId="2C062A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9695C8"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декабре 1917 г. из-за прекращения боевых действий обновленную усилиями начальника ПУАВ В.М. Ткачева систему авиационно-технического и тылового обеспечения всесторонне апробировать на фронте не удалось (19566).</w:t>
      </w:r>
    </w:p>
    <w:p w14:paraId="42FCC8A3"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p>
    <w:p w14:paraId="76A9EAC8"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декабре 1917 г. из-за прекращения боевых действий обновленную систему технического обеспечения апробировать на фронте не удалось. Оптимизация организационного построения системы авиационно-технического обеспечения действующей авиации шло через количественно-качественное совершенствование авиарот, преобразование их в авиапарки, формирование передовых авиабаз и складов, увеличение числа ПАРМ-поездов и создание специальных технических служб. Как показало исследование, система авиационно-технического и тылового обеспечения авиации действующей армии, построенная во время Первой мировой войны, наилучшим образом соответствовала позиционному характеру войны и ее техническая составляющая могла бы быть успешно использована в РабочеКрестьянском Красном Военном Воздушном флоте при условии отвода авиапарков в более глубокий тыл страны, однако расслоение социальной составляющей этой системы привело к потере более чем половины ее материальной части (19566).</w:t>
      </w:r>
    </w:p>
    <w:p w14:paraId="6FA0E520"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p>
    <w:p w14:paraId="0A8301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декабре 1917 приказом Наркомвоенмора было создано Управление ВВФ (Увофлота) во главе со всероссийской коллегией из 10 человек (228,30).</w:t>
      </w:r>
    </w:p>
    <w:p w14:paraId="5ED0DB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7870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начала войны по декабрь 1917 г. по данным технического отделения Воздухоотдела действующей армии, погибло 75 русских аэростатов от различных причин - от пожаров в воздухе и на земле, от ураганов. Количество воздухоплавательных отрядов в 1916-1917 гг. в русской армии было доведено до 90, а парк аэростатов вырос до 200 штук. Воздухоплавательный отряд придавался каждому корпусу и армии. Отряд состоял из трех-четырех офицеров и около 100 рядовых, имел конский обоз, полевую газодобывающую установку и два аэростата. В последние годы войны стали внедряться автомобильные бензиновые лебедки системы Гарута, оборудованные измерителями натяжения троса. Такие лебедки могли передислоцировать аэростат в воздухе и быстро опускать его (11238).</w:t>
      </w:r>
    </w:p>
    <w:p w14:paraId="608E61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3B1F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декабре 1917 г. СНК в целях реорганизации ГВСУ и налаживания его работы в своих интересах назначил в это управление коллегию из числа врачей-большевиков под председательством Барсукова М.И. (9090).</w:t>
      </w:r>
    </w:p>
    <w:p w14:paraId="642FB5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BE43BC" w14:textId="77777777" w:rsidR="003A2080" w:rsidRDefault="003A2080" w:rsidP="008307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 д</w:t>
      </w:r>
      <w:r w:rsidRPr="005D7D69">
        <w:rPr>
          <w:rFonts w:ascii="Times New Roman" w:hAnsi="Times New Roman" w:cs="Times New Roman"/>
          <w:color w:val="0070C0"/>
          <w:sz w:val="16"/>
          <w:szCs w:val="16"/>
        </w:rPr>
        <w:t>екабр</w:t>
      </w:r>
      <w:r>
        <w:rPr>
          <w:rFonts w:ascii="Times New Roman" w:hAnsi="Times New Roman" w:cs="Times New Roman"/>
          <w:color w:val="0070C0"/>
          <w:sz w:val="16"/>
          <w:szCs w:val="16"/>
        </w:rPr>
        <w:t>е 1917 г</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D7D69">
        <w:rPr>
          <w:rFonts w:ascii="Times New Roman" w:hAnsi="Times New Roman" w:cs="Times New Roman"/>
          <w:color w:val="0070C0"/>
          <w:sz w:val="16"/>
          <w:szCs w:val="16"/>
        </w:rPr>
        <w:t xml:space="preserve"> Москве при штабе военного округа по инициативе </w:t>
      </w:r>
      <w:r>
        <w:rPr>
          <w:rFonts w:ascii="Times New Roman" w:hAnsi="Times New Roman" w:cs="Times New Roman"/>
          <w:color w:val="0070C0"/>
          <w:sz w:val="16"/>
          <w:szCs w:val="16"/>
        </w:rPr>
        <w:t>н</w:t>
      </w:r>
      <w:r w:rsidRPr="005D7D69">
        <w:rPr>
          <w:rFonts w:ascii="Times New Roman" w:hAnsi="Times New Roman" w:cs="Times New Roman"/>
          <w:color w:val="0070C0"/>
          <w:sz w:val="16"/>
          <w:szCs w:val="16"/>
        </w:rPr>
        <w:t>еко</w:t>
      </w:r>
      <w:r w:rsidRPr="005D7D69">
        <w:rPr>
          <w:rFonts w:ascii="Times New Roman" w:hAnsi="Times New Roman" w:cs="Times New Roman"/>
          <w:color w:val="0070C0"/>
          <w:sz w:val="16"/>
          <w:szCs w:val="16"/>
        </w:rPr>
        <w:softHyphen/>
        <w:t>тор</w:t>
      </w:r>
      <w:r>
        <w:rPr>
          <w:rFonts w:ascii="Times New Roman" w:hAnsi="Times New Roman" w:cs="Times New Roman"/>
          <w:color w:val="0070C0"/>
          <w:sz w:val="16"/>
          <w:szCs w:val="16"/>
        </w:rPr>
        <w:t>ы</w:t>
      </w:r>
      <w:r w:rsidRPr="005D7D69">
        <w:rPr>
          <w:rFonts w:ascii="Times New Roman" w:hAnsi="Times New Roman" w:cs="Times New Roman"/>
          <w:color w:val="0070C0"/>
          <w:sz w:val="16"/>
          <w:szCs w:val="16"/>
        </w:rPr>
        <w:t>х авиаработников организовался вое</w:t>
      </w:r>
      <w:r>
        <w:rPr>
          <w:rFonts w:ascii="Times New Roman" w:hAnsi="Times New Roman" w:cs="Times New Roman"/>
          <w:color w:val="0070C0"/>
          <w:sz w:val="16"/>
          <w:szCs w:val="16"/>
        </w:rPr>
        <w:t>нн</w:t>
      </w:r>
      <w:r w:rsidRPr="005D7D69">
        <w:rPr>
          <w:rFonts w:ascii="Times New Roman" w:hAnsi="Times New Roman" w:cs="Times New Roman"/>
          <w:color w:val="0070C0"/>
          <w:sz w:val="16"/>
          <w:szCs w:val="16"/>
        </w:rPr>
        <w:t xml:space="preserve">о-революционный комитет авиации, поставивший себе целью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бор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учет прибывающего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 </w:t>
      </w:r>
      <w:r>
        <w:rPr>
          <w:rFonts w:ascii="Times New Roman" w:hAnsi="Times New Roman" w:cs="Times New Roman"/>
          <w:color w:val="0070C0"/>
          <w:sz w:val="16"/>
          <w:szCs w:val="16"/>
        </w:rPr>
        <w:t>ф</w:t>
      </w:r>
      <w:r w:rsidRPr="005D7D69">
        <w:rPr>
          <w:rFonts w:ascii="Times New Roman" w:hAnsi="Times New Roman" w:cs="Times New Roman"/>
          <w:color w:val="0070C0"/>
          <w:sz w:val="16"/>
          <w:szCs w:val="16"/>
        </w:rPr>
        <w:t>рон</w:t>
      </w:r>
      <w:r w:rsidRPr="005D7D69">
        <w:rPr>
          <w:rFonts w:ascii="Times New Roman" w:hAnsi="Times New Roman" w:cs="Times New Roman"/>
          <w:color w:val="0070C0"/>
          <w:sz w:val="16"/>
          <w:szCs w:val="16"/>
        </w:rPr>
        <w:softHyphen/>
        <w:t xml:space="preserve">тов авиационного имущества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формирование новых авиа-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воздухча</w:t>
      </w:r>
      <w:r>
        <w:rPr>
          <w:rFonts w:ascii="Times New Roman" w:hAnsi="Times New Roman" w:cs="Times New Roman"/>
          <w:color w:val="0070C0"/>
          <w:sz w:val="16"/>
          <w:szCs w:val="16"/>
        </w:rPr>
        <w:t>стей.</w:t>
      </w:r>
    </w:p>
    <w:p w14:paraId="453964DB" w14:textId="77777777" w:rsidR="003A2080" w:rsidRPr="005D7D69" w:rsidRDefault="003A208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 xml:space="preserve">В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тав комитета входили летчики </w:t>
      </w:r>
      <w:r>
        <w:rPr>
          <w:rFonts w:ascii="Times New Roman" w:hAnsi="Times New Roman" w:cs="Times New Roman"/>
          <w:color w:val="0070C0"/>
          <w:sz w:val="16"/>
          <w:szCs w:val="16"/>
        </w:rPr>
        <w:t>Б</w:t>
      </w:r>
      <w:r w:rsidRPr="005D7D69">
        <w:rPr>
          <w:rFonts w:ascii="Times New Roman" w:hAnsi="Times New Roman" w:cs="Times New Roman"/>
          <w:color w:val="0070C0"/>
          <w:sz w:val="16"/>
          <w:szCs w:val="16"/>
        </w:rPr>
        <w:t>.И.Росси</w:t>
      </w:r>
      <w:r>
        <w:rPr>
          <w:rFonts w:ascii="Times New Roman" w:hAnsi="Times New Roman" w:cs="Times New Roman"/>
          <w:color w:val="0070C0"/>
          <w:sz w:val="16"/>
          <w:szCs w:val="16"/>
        </w:rPr>
        <w:t>н</w:t>
      </w:r>
      <w:r w:rsidRPr="005D7D69">
        <w:rPr>
          <w:rFonts w:ascii="Times New Roman" w:hAnsi="Times New Roman" w:cs="Times New Roman"/>
          <w:color w:val="0070C0"/>
          <w:sz w:val="16"/>
          <w:szCs w:val="16"/>
        </w:rPr>
        <w:t>ский /председа</w:t>
      </w:r>
      <w:r w:rsidRPr="005D7D69">
        <w:rPr>
          <w:rFonts w:ascii="Times New Roman" w:hAnsi="Times New Roman" w:cs="Times New Roman"/>
          <w:color w:val="0070C0"/>
          <w:sz w:val="16"/>
          <w:szCs w:val="16"/>
        </w:rPr>
        <w:softHyphen/>
        <w:t>тель/, В Л. Коровин, А. М.Габер-Влын</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кий, воздухоплаватель </w:t>
      </w:r>
      <w:r>
        <w:rPr>
          <w:rFonts w:ascii="Times New Roman" w:hAnsi="Times New Roman" w:cs="Times New Roman"/>
          <w:color w:val="0070C0"/>
          <w:sz w:val="16"/>
          <w:szCs w:val="16"/>
        </w:rPr>
        <w:t>Н</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Д</w:t>
      </w:r>
      <w:r w:rsidRPr="005D7D69">
        <w:rPr>
          <w:rFonts w:ascii="Times New Roman" w:hAnsi="Times New Roman" w:cs="Times New Roman"/>
          <w:color w:val="0070C0"/>
          <w:sz w:val="16"/>
          <w:szCs w:val="16"/>
        </w:rPr>
        <w:t>.Анощ</w:t>
      </w:r>
      <w:r>
        <w:rPr>
          <w:rFonts w:ascii="Times New Roman" w:hAnsi="Times New Roman" w:cs="Times New Roman"/>
          <w:color w:val="0070C0"/>
          <w:sz w:val="16"/>
          <w:szCs w:val="16"/>
        </w:rPr>
        <w:t>е</w:t>
      </w:r>
      <w:r w:rsidRPr="005D7D69">
        <w:rPr>
          <w:rFonts w:ascii="Times New Roman" w:hAnsi="Times New Roman" w:cs="Times New Roman"/>
          <w:color w:val="0070C0"/>
          <w:sz w:val="16"/>
          <w:szCs w:val="16"/>
        </w:rPr>
        <w:t>нко,</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техник А.В.Духовецкий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др.</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Комитет просуществовал до февраля 1918 года, когда был заменен окружной коллегией.</w:t>
      </w:r>
    </w:p>
    <w:p w14:paraId="45DEEC11" w14:textId="77777777" w:rsidR="003A2080" w:rsidRDefault="003A208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/"Вестник воздушного Флота"</w:t>
      </w:r>
      <w:r>
        <w:rPr>
          <w:rFonts w:ascii="Times New Roman" w:hAnsi="Times New Roman" w:cs="Times New Roman"/>
          <w:color w:val="0070C0"/>
          <w:sz w:val="16"/>
          <w:szCs w:val="16"/>
        </w:rPr>
        <w:t>,</w:t>
      </w:r>
      <w:r w:rsidRPr="005D7D69">
        <w:rPr>
          <w:rFonts w:ascii="Times New Roman" w:hAnsi="Times New Roman" w:cs="Times New Roman"/>
          <w:color w:val="0070C0"/>
          <w:sz w:val="16"/>
          <w:szCs w:val="16"/>
        </w:rPr>
        <w:t xml:space="preserve"> 19</w:t>
      </w:r>
      <w:r>
        <w:rPr>
          <w:rFonts w:ascii="Times New Roman" w:hAnsi="Times New Roman" w:cs="Times New Roman"/>
          <w:color w:val="0070C0"/>
          <w:sz w:val="16"/>
          <w:szCs w:val="16"/>
        </w:rPr>
        <w:t>3</w:t>
      </w:r>
      <w:r w:rsidRPr="005D7D69">
        <w:rPr>
          <w:rFonts w:ascii="Times New Roman" w:hAnsi="Times New Roman" w:cs="Times New Roman"/>
          <w:color w:val="0070C0"/>
          <w:sz w:val="16"/>
          <w:szCs w:val="16"/>
        </w:rPr>
        <w:t>3</w:t>
      </w:r>
      <w:r>
        <w:rPr>
          <w:rFonts w:ascii="Times New Roman" w:hAnsi="Times New Roman" w:cs="Times New Roman"/>
          <w:color w:val="0070C0"/>
          <w:sz w:val="16"/>
          <w:szCs w:val="16"/>
        </w:rPr>
        <w:t>, №</w:t>
      </w:r>
      <w:r w:rsidRPr="005D7D69">
        <w:rPr>
          <w:rFonts w:ascii="Times New Roman" w:hAnsi="Times New Roman" w:cs="Times New Roman"/>
          <w:color w:val="0070C0"/>
          <w:sz w:val="16"/>
          <w:szCs w:val="16"/>
        </w:rPr>
        <w:t xml:space="preserve"> 2</w:t>
      </w:r>
      <w:r>
        <w:rPr>
          <w:rFonts w:ascii="Times New Roman" w:hAnsi="Times New Roman" w:cs="Times New Roman"/>
          <w:color w:val="0070C0"/>
          <w:sz w:val="16"/>
          <w:szCs w:val="16"/>
        </w:rPr>
        <w:t>, с</w:t>
      </w:r>
      <w:r w:rsidRPr="005D7D69">
        <w:rPr>
          <w:rFonts w:ascii="Times New Roman" w:hAnsi="Times New Roman" w:cs="Times New Roman"/>
          <w:color w:val="0070C0"/>
          <w:sz w:val="16"/>
          <w:szCs w:val="16"/>
        </w:rPr>
        <w:t>тр.</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29-З</w:t>
      </w:r>
      <w:r>
        <w:rPr>
          <w:rFonts w:ascii="Times New Roman" w:hAnsi="Times New Roman" w:cs="Times New Roman"/>
          <w:color w:val="0070C0"/>
          <w:sz w:val="16"/>
          <w:szCs w:val="16"/>
        </w:rPr>
        <w:t>0</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79B5794F" w14:textId="77777777" w:rsidR="00407F0F" w:rsidRPr="00FB4F67" w:rsidRDefault="00407F0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декабре 1917 г. авиадивизия Балтийского флота насчитывала уже восемьдесят семь летчиков и девяносто восемь самолетов, плюс около пятидесяти летчиков-курсантов в Ораниенбауме и около двадцати пяти летчиков-курсантов в Красном Селе (23525).</w:t>
      </w:r>
    </w:p>
    <w:p w14:paraId="41FBB3ED" w14:textId="77777777" w:rsidR="00407F0F" w:rsidRPr="00FB4F67" w:rsidRDefault="00407F0F" w:rsidP="0083075A">
      <w:pPr>
        <w:spacing w:after="0" w:line="240" w:lineRule="auto"/>
        <w:jc w:val="both"/>
        <w:rPr>
          <w:rFonts w:ascii="Times New Roman" w:hAnsi="Times New Roman" w:cs="Times New Roman"/>
          <w:color w:val="0070C0"/>
          <w:sz w:val="16"/>
          <w:szCs w:val="16"/>
        </w:rPr>
      </w:pPr>
    </w:p>
    <w:p w14:paraId="7032580C" w14:textId="77777777" w:rsidR="00407F0F" w:rsidRPr="00FB4F67" w:rsidRDefault="00407F0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декабре 1917 г. Полковник Баранов планировал сформировать две авиационные части: 1-ю УНР ФАО (истребительную) и 1-ю УНР АО (разведывательную) во главе с военным летчиком Наконечным. Среди</w:t>
      </w:r>
      <w:r w:rsidRPr="00407F0F">
        <w:rPr>
          <w:rFonts w:ascii="Times New Roman" w:hAnsi="Times New Roman" w:cs="Times New Roman"/>
          <w:color w:val="0070C0"/>
          <w:sz w:val="16"/>
          <w:szCs w:val="16"/>
          <w:lang w:val="en-US"/>
        </w:rPr>
        <w:t xml:space="preserve"> </w:t>
      </w:r>
      <w:r w:rsidRPr="00FB4F67">
        <w:rPr>
          <w:rFonts w:ascii="Times New Roman" w:hAnsi="Times New Roman" w:cs="Times New Roman"/>
          <w:color w:val="0070C0"/>
          <w:sz w:val="16"/>
          <w:szCs w:val="16"/>
        </w:rPr>
        <w:t>самолетов</w:t>
      </w:r>
      <w:r w:rsidRPr="00407F0F">
        <w:rPr>
          <w:rFonts w:ascii="Times New Roman" w:hAnsi="Times New Roman" w:cs="Times New Roman"/>
          <w:color w:val="0070C0"/>
          <w:sz w:val="16"/>
          <w:szCs w:val="16"/>
          <w:lang w:val="en-US"/>
        </w:rPr>
        <w:t xml:space="preserve"> </w:t>
      </w:r>
      <w:r w:rsidRPr="00FB4F67">
        <w:rPr>
          <w:rFonts w:ascii="Times New Roman" w:hAnsi="Times New Roman" w:cs="Times New Roman"/>
          <w:color w:val="0070C0"/>
          <w:sz w:val="16"/>
          <w:szCs w:val="16"/>
        </w:rPr>
        <w:t>были</w:t>
      </w:r>
      <w:r w:rsidRPr="00407F0F">
        <w:rPr>
          <w:rFonts w:ascii="Times New Roman" w:hAnsi="Times New Roman" w:cs="Times New Roman"/>
          <w:color w:val="0070C0"/>
          <w:sz w:val="16"/>
          <w:szCs w:val="16"/>
          <w:lang w:val="en-US"/>
        </w:rPr>
        <w:t xml:space="preserve"> Nieuports XVII, XXI, XXIII, Sopwith 1 1/2 Strutters, Voisin LA, Farman 30, Anatra Anasals, Anatra D </w:t>
      </w:r>
      <w:r w:rsidRPr="00FB4F67">
        <w:rPr>
          <w:rFonts w:ascii="Times New Roman" w:hAnsi="Times New Roman" w:cs="Times New Roman"/>
          <w:color w:val="0070C0"/>
          <w:sz w:val="16"/>
          <w:szCs w:val="16"/>
        </w:rPr>
        <w:t>и</w:t>
      </w:r>
      <w:r w:rsidRPr="00407F0F">
        <w:rPr>
          <w:rFonts w:ascii="Times New Roman" w:hAnsi="Times New Roman" w:cs="Times New Roman"/>
          <w:color w:val="0070C0"/>
          <w:sz w:val="16"/>
          <w:szCs w:val="16"/>
          <w:lang w:val="en-US"/>
        </w:rPr>
        <w:t xml:space="preserve"> Sikorsky S-16. </w:t>
      </w:r>
      <w:r w:rsidRPr="00FB4F67">
        <w:rPr>
          <w:rFonts w:ascii="Times New Roman" w:hAnsi="Times New Roman" w:cs="Times New Roman"/>
          <w:color w:val="0070C0"/>
          <w:sz w:val="16"/>
          <w:szCs w:val="16"/>
        </w:rPr>
        <w:t>В Виннице оставшиеся четыре ЭВК «Илья Муромец» (четыре моторных бомбардировщика) должны были быть сформированы в подразделение под командованием сотника Неймарка (23525).</w:t>
      </w:r>
    </w:p>
    <w:p w14:paraId="5668B31A" w14:textId="77777777" w:rsidR="00407F0F" w:rsidRPr="00FB4F67" w:rsidRDefault="00407F0F" w:rsidP="0083075A">
      <w:pPr>
        <w:spacing w:after="0" w:line="240" w:lineRule="auto"/>
        <w:jc w:val="both"/>
        <w:rPr>
          <w:rFonts w:ascii="Times New Roman" w:hAnsi="Times New Roman" w:cs="Times New Roman"/>
          <w:color w:val="0070C0"/>
          <w:sz w:val="16"/>
          <w:szCs w:val="16"/>
        </w:rPr>
      </w:pPr>
    </w:p>
    <w:p w14:paraId="09ABD845" w14:textId="77777777" w:rsidR="00407F0F" w:rsidRPr="00FB4F67" w:rsidRDefault="00407F0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декабре 1917 г. на Украине поляки начинают формирование 3-го Польского корпуса в районе Винницы, западнее Киева. В середине июня 1918 года они были захвачены наступающими австро-венгерскими войсками, которые разоружили их и отправили обратно в Польшу. Неизвестно, имело ли это подразделение какой-либо авиационный элемент (23525).</w:t>
      </w:r>
    </w:p>
    <w:p w14:paraId="20949128" w14:textId="77777777" w:rsidR="00407F0F" w:rsidRPr="00FB4F67" w:rsidRDefault="00407F0F" w:rsidP="0083075A">
      <w:pPr>
        <w:spacing w:after="0" w:line="240" w:lineRule="auto"/>
        <w:jc w:val="both"/>
        <w:rPr>
          <w:rFonts w:ascii="Times New Roman" w:hAnsi="Times New Roman" w:cs="Times New Roman"/>
          <w:color w:val="0070C0"/>
          <w:sz w:val="16"/>
          <w:szCs w:val="16"/>
        </w:rPr>
      </w:pPr>
    </w:p>
    <w:p w14:paraId="1547C4D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7D5644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8E62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декабре 1917 был создан малый Совнарком на правах комиссии для разгрузки СНК от мелких вопросов. Все решенные вопросы подписывались В.И.Л. и становились постановлениями СНК (1849,49).</w:t>
      </w:r>
    </w:p>
    <w:p w14:paraId="7E76E1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BDF0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Декабрь 1917 г. Вышел первый номер журнала "Вестник комиссариата внутренних дел", который с конца 1918 г. стал называться "Власть Советов" (10303).</w:t>
      </w:r>
    </w:p>
    <w:p w14:paraId="5EBDD3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0351DB" w14:textId="7255288C" w:rsidR="00BC2F7C" w:rsidRPr="002F2FDF" w:rsidRDefault="00BC2F7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декабре 1917 г. Буржуазная московская «Утро России», имевшая стотысячный тираж, сообщила читателям, что Советская власть готовит новый декрет об объявлениях «вследствие практической неосуществимости первого декрета». Новый декрет, якобы, допускает печатание частных объявлений для всех периодических изданий, но с</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полученной от объявлений суммы должен будет уплачиваться определенный процент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пользу местных властей. Можно предположить, что таким образом частная пресса предлагала замену монополизации дела печатания объявлений установлением налога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пользу Советской власти, то есть компромисс политический 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экономический. Предложение предпринимательских кругов было частично реализовано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Москве. По сообщению вечерней газеты «Четвертый час»,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которой сотрудничали Аркадий Аверченко, Вера Ибнер, Алексей Толстой, комиссариат по делам печати временно разрешил печатать объявления, относящиеся к</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области театра, кинематографа, музыки, живописи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специальных органах печати. Объявления подлежали обложением налогом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пользу государства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размере 15 коп. со строки. Данный опыт можно рассматривать как попытку новой власти в</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начальной фазе революции решить проблему взаимоотношения с</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небольшевистской прессой экономическими мерами, сохраняя часть старых институтов периодической печати и</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альтернативные формы собственности (19545).</w:t>
      </w:r>
    </w:p>
    <w:p w14:paraId="4A683ADD"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p>
    <w:p w14:paraId="1BA7175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743628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BDEC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декабре 1917 года было закончено создание аппарата Народного Комиссариата иностранных дел (НКИД) (8983).</w:t>
      </w:r>
    </w:p>
    <w:p w14:paraId="7D3091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5D63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декабре 1917 правительства Англии и Франции с ведома и согласия США заключили тайное соглашение о разделе сфер военных действий. Франция взяла на себя борьбу с советами на Украине, в Крыму, в Бесарабии, а Англия - на Дону, Кубани, Кавказе (226,261).</w:t>
      </w:r>
    </w:p>
    <w:p w14:paraId="58C43E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8D70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декабре 1917 г. Иранское правительство официально признало Советскую Россию. Но оно отказалось принять советскую дипломатическую миссию, так как в Тегеране продолжал находиться старый российский посол фон Эттер. Прибывший в Тегеран глава советской дипломатической миссии И.И.Коломийцев не получил аккредитации (3871).</w:t>
      </w:r>
    </w:p>
    <w:p w14:paraId="7C2B9B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0761F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26457A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D7560A" w14:textId="77777777" w:rsidR="009F39F8" w:rsidRPr="002F2FDF" w:rsidRDefault="009F39F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декабре 1917 г. был рассмотрен проект Ганза-Бранденбург W29, и в том же месяце фирма получила заказ на шесть самолетов, которые были оплачены 5 апреля следующего года. Их производство началось в январе 1918 г. на одном из заводов фирмы «Ганза-Бранденбург», а головной облетал 27 марта сам оберлейтенант Христиансен. Он дал самолету самую высокую оценку и настоял на передаче уже на следующий день эксплуатационных испытаний на авиастанцию Зебрюгге. Дело было не столько в его уверенности в новом самолете, в создании которого он участвовал, а в невозможности надолго оставить вверенную ему базу (22843).</w:t>
      </w:r>
    </w:p>
    <w:p w14:paraId="720C844A" w14:textId="77777777" w:rsidR="009F39F8" w:rsidRPr="002F2FDF" w:rsidRDefault="009F39F8" w:rsidP="0083075A">
      <w:pPr>
        <w:spacing w:after="0" w:line="240" w:lineRule="auto"/>
        <w:jc w:val="both"/>
        <w:rPr>
          <w:rFonts w:ascii="Times New Roman" w:hAnsi="Times New Roman" w:cs="Times New Roman"/>
          <w:color w:val="000000" w:themeColor="text1"/>
          <w:sz w:val="16"/>
          <w:szCs w:val="16"/>
        </w:rPr>
      </w:pPr>
    </w:p>
    <w:p w14:paraId="653BEFBC" w14:textId="49864E91" w:rsidR="009F39F8" w:rsidRPr="002F2FDF" w:rsidRDefault="009F39F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декабре 1917 г. Фоккеру сообщили, что командование ВВС сделало ставку на двигатели водяного охлаждения с большими резервами наращивания мощности и лучшей надежностью, и приоритеты пришлось менять. Чтобы успеть на конкурс, запланированный IdFlieg на январь, по сравнению с «девяткой» Антон Фоккер разрешил лишь увеличить размеры крыльев и улучшить их конструкцию, сделав двухлонжеронными, а верхнее еще и разъемным, поменять стойки бипланной коробки, оставив ее безрастяжечной. Основная идея консолей с переменной относительной толщиной и оптимальной прочностью фанерных лобиков и лонжеронов в каждом сечении, внедренная еще на Фоккере Dr I, была доведена до совершенства «малой кровью». Фюзеляж оставили, как на «девятке», но сняли трехгранные надстройки по бортам: форсированный по степени сжатия рядный мотор Мерседес IIIAu мощностью на взлете и у земли 175</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180</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л.</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с. и боевой 200</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205</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л.</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с. на высоте 1</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000 м был уже 110-сильного ротативного Оберурселя Ur II на прототипе. Мотораму и капот пришлось делать заново, но они были очень простыми, а лобовой сотовый радиатор взяли из чертежей экспериментального истребителя-пятиплана Фоккер V.8.</w:t>
      </w:r>
    </w:p>
    <w:p w14:paraId="4768EC05" w14:textId="70D8FC11" w:rsidR="009F39F8" w:rsidRPr="002F2FDF" w:rsidRDefault="009F39F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Вооружение осталось обычным</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два пулемета LMG 08/15 «Шпандау» калибра 7,92</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мм, а новый синхронизатор «Централстерунг» собственной разработки уже опробовали на том же V.8</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он надежно работал в паре с другим и совмещался с любыми моторами. Снижение инерции деталей дало очень высокую теоретическую скорострельность, равную половине оборотов мотора, но «тормозили» характеристики пулемета, и практический темп стрельбы остался таким же, как и со «Штангенстерунгом»</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порядка 300 выстрелов в минуту. Первый опытный Фоккер V.11/I был построен заводом в Герризе в середине января 1918 г. (22874).</w:t>
      </w:r>
    </w:p>
    <w:p w14:paraId="1F3344CD" w14:textId="77777777" w:rsidR="009F39F8" w:rsidRPr="002F2FDF" w:rsidRDefault="009F39F8" w:rsidP="0083075A">
      <w:pPr>
        <w:spacing w:after="0" w:line="240" w:lineRule="auto"/>
        <w:jc w:val="both"/>
        <w:rPr>
          <w:rFonts w:ascii="Times New Roman" w:hAnsi="Times New Roman" w:cs="Times New Roman"/>
          <w:color w:val="000000" w:themeColor="text1"/>
          <w:sz w:val="16"/>
          <w:szCs w:val="16"/>
        </w:rPr>
      </w:pPr>
    </w:p>
    <w:p w14:paraId="0CE31CCE" w14:textId="05873749" w:rsidR="009F39F8" w:rsidRPr="002F2FDF" w:rsidRDefault="009F39F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декабре 1917 г. на ходовых испытаниях выяснилось, что длинная ходовая часть существенно снижала маневренность</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FCM 1A — поворачивать танк мог с большим трудом, а его механическая трансмиссия работала с большим напряжением, перегревался и двигатель. Хотя результаты испытаний прототипа FCM 1A были сочтены удовлетворительными, серийно строить танк не стали, сосредоточив внимание на следующих, более многообещающих проектах</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FCM 1В и FCM 1С. FCM 1В имел боевую массу около 45 т, гидравлическую трансмиссию и вооружался 75-мм пушкой и двумя пулеметами. Но он так и остался только на бумаге. FCM 1С выглядел еще более солидно</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при боевой массе около 60 т, он должен был получить электрическую трансмиссию фирмы Establishment Experementale Francais и двигательную установку мощностью около 450–500 л.</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с. Броня лобовой части корпуса и башни была усилена до 45 мм, а вооружение включало 75-мм пушку и четыре пулемета. Длина этого монстра достигала 9,31 м! (22875).</w:t>
      </w:r>
    </w:p>
    <w:p w14:paraId="7FD4C461" w14:textId="77777777" w:rsidR="009F39F8" w:rsidRPr="002F2FDF" w:rsidRDefault="009F39F8" w:rsidP="0083075A">
      <w:pPr>
        <w:spacing w:after="0" w:line="240" w:lineRule="auto"/>
        <w:jc w:val="both"/>
        <w:rPr>
          <w:rFonts w:ascii="Times New Roman" w:hAnsi="Times New Roman" w:cs="Times New Roman"/>
          <w:color w:val="000000" w:themeColor="text1"/>
          <w:sz w:val="16"/>
          <w:szCs w:val="16"/>
        </w:rPr>
      </w:pPr>
    </w:p>
    <w:p w14:paraId="207EAA43" w14:textId="78C651D7" w:rsidR="009F39F8" w:rsidRPr="002F2FDF" w:rsidRDefault="009F39F8"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В декабре 1917 г. после завершения боев в Камбрэ и Ипра (север Франции и Бельгия) по опыту применения одноместных истребителей Airco D.H. 5, Sopwith Camel (F.1) фирма Сопвич получила задание на опытный штурмовик Сопвич «Кэмел» </w:t>
      </w:r>
      <w:r w:rsidRPr="002F2FDF">
        <w:rPr>
          <w:rFonts w:ascii="Times New Roman" w:hAnsi="Times New Roman" w:cs="Times New Roman"/>
          <w:color w:val="000000" w:themeColor="text1"/>
          <w:sz w:val="16"/>
          <w:szCs w:val="16"/>
          <w:lang w:val="en-US"/>
        </w:rPr>
        <w:t>T</w:t>
      </w:r>
      <w:r w:rsidRPr="002F2FDF">
        <w:rPr>
          <w:rFonts w:ascii="Times New Roman" w:hAnsi="Times New Roman" w:cs="Times New Roman"/>
          <w:color w:val="000000" w:themeColor="text1"/>
          <w:sz w:val="16"/>
          <w:szCs w:val="16"/>
        </w:rPr>
        <w:t>.</w:t>
      </w:r>
      <w:r w:rsidRPr="002F2FDF">
        <w:rPr>
          <w:rFonts w:ascii="Times New Roman" w:hAnsi="Times New Roman" w:cs="Times New Roman"/>
          <w:color w:val="000000" w:themeColor="text1"/>
          <w:sz w:val="16"/>
          <w:szCs w:val="16"/>
          <w:lang w:val="en-US"/>
        </w:rPr>
        <w:t>F</w:t>
      </w:r>
      <w:r w:rsidRPr="002F2FDF">
        <w:rPr>
          <w:rFonts w:ascii="Times New Roman" w:hAnsi="Times New Roman" w:cs="Times New Roman"/>
          <w:color w:val="000000" w:themeColor="text1"/>
          <w:sz w:val="16"/>
          <w:szCs w:val="16"/>
        </w:rPr>
        <w:t>.1 (</w:t>
      </w:r>
      <w:r w:rsidRPr="002F2FDF">
        <w:rPr>
          <w:rFonts w:ascii="Times New Roman" w:hAnsi="Times New Roman" w:cs="Times New Roman"/>
          <w:color w:val="000000" w:themeColor="text1"/>
          <w:sz w:val="16"/>
          <w:szCs w:val="16"/>
          <w:lang w:val="en-US"/>
        </w:rPr>
        <w:t>Trench</w:t>
      </w:r>
      <w:r w:rsidRPr="002F2FDF">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lang w:val="en-US"/>
        </w:rPr>
        <w:t>Fighter</w:t>
      </w:r>
      <w:r w:rsidRPr="002F2FDF">
        <w:rPr>
          <w:rFonts w:ascii="Times New Roman" w:hAnsi="Times New Roman" w:cs="Times New Roman"/>
          <w:color w:val="000000" w:themeColor="text1"/>
          <w:sz w:val="16"/>
          <w:szCs w:val="16"/>
        </w:rPr>
        <w:t xml:space="preserve">, рег. № RNAS B9278). Одновременно для той же цели проектировались два других самолета, которые представляли собой новые типы: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двухместный штурмовик и ближний бомбардировщик Sopwith Buffalo;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одноместный бронированный штурмовик Sopwith Salamander (23154).</w:t>
      </w:r>
    </w:p>
    <w:p w14:paraId="36568AE8" w14:textId="77777777" w:rsidR="009F39F8" w:rsidRPr="002F2FDF" w:rsidRDefault="009F39F8" w:rsidP="0083075A">
      <w:pPr>
        <w:shd w:val="clear" w:color="auto" w:fill="FFFFFF"/>
        <w:spacing w:after="0" w:line="240" w:lineRule="auto"/>
        <w:jc w:val="both"/>
        <w:rPr>
          <w:rFonts w:ascii="Times New Roman" w:hAnsi="Times New Roman" w:cs="Times New Roman"/>
          <w:color w:val="000000" w:themeColor="text1"/>
          <w:sz w:val="16"/>
          <w:szCs w:val="16"/>
        </w:rPr>
      </w:pPr>
    </w:p>
    <w:p w14:paraId="5268F9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декабре 1917 года в необитаемых местах тыла германских армий было найдено корзин с голубями 63, в январе 1918 года - 41, в конце мая 1918 года в одной только армии - 45. На фронте наблюдались постоянно летящие голуби, несшие, по словам полковника Николаи, важные военные донесения. Попадать в них было очень трудно и только 11 голубей было подстрелено. Эта система, по-видимому дававшая нашим союзникам хорошие результаты, была введена ими с 1918 года, причем корзины с голубями перебрасывались при помощи небольшого в пять метров в диаметре воздушного шара с надписью: "Немецкий воздушный шар, может быть уничтожен". Впоследствии этот шар сжигался автоматически сам после того, как корзина с голубями достигала земли. Опасение за жизнь почтовых голубей, спускаемых в необитаемых местах, заставила союзников перебрасывать через фронт при помощи небольших воздушных шаров небесного цвета пакеты с одним — двумя сложенными воздушными шарами, наставлением для их наполнения, иногда и химическими препаратами для добывания газа. Этим же путем союзники сбрасывали и отправительные (Имеются в виду передающие. — Прим. состав.) радиостанции с 4-мя аккумуляторами по сто вольтовых сухих батарей каждая и 30-метровую антенну. Дальность действия такой станции - пятьдесят километров. Немцы часто находили в тылу своих армий подобным образом переброшенные радиостанции, но ни разу не удалось открыть подобную радиостанцию в действии (11204).</w:t>
      </w:r>
    </w:p>
    <w:p w14:paraId="204131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1CBE21" w14:textId="77777777" w:rsidR="006970C8" w:rsidRPr="002F2FDF" w:rsidRDefault="006970C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декабре 1917 г. началось строительство прототипа </w:t>
      </w:r>
      <w:r w:rsidRPr="002F2FDF">
        <w:rPr>
          <w:rFonts w:ascii="Times New Roman" w:hAnsi="Times New Roman" w:cs="Times New Roman"/>
          <w:color w:val="000000" w:themeColor="text1"/>
          <w:kern w:val="2"/>
          <w:sz w:val="16"/>
          <w:szCs w:val="16"/>
          <w:lang w:val="en-US"/>
        </w:rPr>
        <w:t>NC</w:t>
      </w:r>
      <w:r w:rsidRPr="002F2FDF">
        <w:rPr>
          <w:rFonts w:ascii="Times New Roman" w:hAnsi="Times New Roman" w:cs="Times New Roman"/>
          <w:color w:val="000000" w:themeColor="text1"/>
          <w:kern w:val="2"/>
          <w:sz w:val="16"/>
          <w:szCs w:val="16"/>
        </w:rPr>
        <w:t>-1.</w:t>
      </w:r>
    </w:p>
    <w:p w14:paraId="69B6B581" w14:textId="77777777" w:rsidR="006970C8" w:rsidRPr="002F2FDF" w:rsidRDefault="006970C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lang w:val="en-US"/>
        </w:rPr>
        <w:t>CurtissModel</w:t>
      </w:r>
      <w:r w:rsidRPr="002F2FDF">
        <w:rPr>
          <w:rFonts w:ascii="Times New Roman" w:hAnsi="Times New Roman" w:cs="Times New Roman"/>
          <w:color w:val="000000" w:themeColor="text1"/>
          <w:kern w:val="2"/>
          <w:sz w:val="16"/>
          <w:szCs w:val="16"/>
        </w:rPr>
        <w:t xml:space="preserve"> 12 </w:t>
      </w:r>
      <w:r w:rsidRPr="002F2FDF">
        <w:rPr>
          <w:rFonts w:ascii="Times New Roman" w:hAnsi="Times New Roman" w:cs="Times New Roman"/>
          <w:color w:val="000000" w:themeColor="text1"/>
          <w:kern w:val="2"/>
          <w:sz w:val="16"/>
          <w:szCs w:val="16"/>
          <w:lang w:val="en-US"/>
        </w:rPr>
        <w:t>NC</w:t>
      </w:r>
      <w:r w:rsidRPr="002F2FDF">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lang w:val="en-US"/>
        </w:rPr>
        <w:t>NavyCurtiss</w:t>
      </w:r>
      <w:r w:rsidRPr="002F2FDF">
        <w:rPr>
          <w:rFonts w:ascii="Times New Roman" w:hAnsi="Times New Roman" w:cs="Times New Roman"/>
          <w:color w:val="000000" w:themeColor="text1"/>
          <w:kern w:val="2"/>
          <w:sz w:val="16"/>
          <w:szCs w:val="16"/>
        </w:rPr>
        <w:t>) создавался вовсе не ради рекордов, а для военных целей. Инициатором его появления был контр-адмирал Дэвид Тейлор (</w:t>
      </w:r>
      <w:r w:rsidRPr="002F2FDF">
        <w:rPr>
          <w:rFonts w:ascii="Times New Roman" w:hAnsi="Times New Roman" w:cs="Times New Roman"/>
          <w:color w:val="000000" w:themeColor="text1"/>
          <w:kern w:val="2"/>
          <w:sz w:val="16"/>
          <w:szCs w:val="16"/>
          <w:lang w:val="en-US"/>
        </w:rPr>
        <w:t>DavidW</w:t>
      </w:r>
      <w:r w:rsidRPr="002F2FDF">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lang w:val="en-US"/>
        </w:rPr>
        <w:t>Taylor</w:t>
      </w:r>
      <w:r w:rsidRPr="002F2FDF">
        <w:rPr>
          <w:rFonts w:ascii="Times New Roman" w:hAnsi="Times New Roman" w:cs="Times New Roman"/>
          <w:color w:val="000000" w:themeColor="text1"/>
          <w:kern w:val="2"/>
          <w:sz w:val="16"/>
          <w:szCs w:val="16"/>
        </w:rPr>
        <w:t xml:space="preserve">), начальник технической службы </w:t>
      </w:r>
      <w:r w:rsidRPr="002F2FDF">
        <w:rPr>
          <w:rFonts w:ascii="Times New Roman" w:hAnsi="Times New Roman" w:cs="Times New Roman"/>
          <w:color w:val="000000" w:themeColor="text1"/>
          <w:kern w:val="2"/>
          <w:sz w:val="16"/>
          <w:szCs w:val="16"/>
          <w:lang w:val="en-US"/>
        </w:rPr>
        <w:t>USNavy</w:t>
      </w:r>
      <w:r w:rsidRPr="002F2FDF">
        <w:rPr>
          <w:rFonts w:ascii="Times New Roman" w:hAnsi="Times New Roman" w:cs="Times New Roman"/>
          <w:color w:val="000000" w:themeColor="text1"/>
          <w:kern w:val="2"/>
          <w:sz w:val="16"/>
          <w:szCs w:val="16"/>
        </w:rPr>
        <w:t>. Адмирала сильно беспокоили потери противоло</w:t>
      </w:r>
      <w:r w:rsidRPr="002F2FDF">
        <w:rPr>
          <w:rFonts w:ascii="Times New Roman" w:hAnsi="Times New Roman" w:cs="Times New Roman"/>
          <w:color w:val="000000" w:themeColor="text1"/>
          <w:kern w:val="2"/>
          <w:sz w:val="16"/>
          <w:szCs w:val="16"/>
        </w:rPr>
        <w:softHyphen/>
        <w:t xml:space="preserve">дочных самолётов при их транспортировке через Атлантику </w:t>
      </w:r>
      <w:r w:rsidRPr="002F2FDF">
        <w:rPr>
          <w:rFonts w:ascii="Times New Roman" w:hAnsi="Times New Roman" w:cs="Times New Roman"/>
          <w:color w:val="000000" w:themeColor="text1"/>
          <w:kern w:val="2"/>
          <w:sz w:val="16"/>
          <w:szCs w:val="16"/>
        </w:rPr>
        <w:lastRenderedPageBreak/>
        <w:t>морскими судами из-за атак немецких подводных лодок. Поэтому Тейлор предложил создать боевой самолёт, способ</w:t>
      </w:r>
      <w:r w:rsidRPr="002F2FDF">
        <w:rPr>
          <w:rFonts w:ascii="Times New Roman" w:hAnsi="Times New Roman" w:cs="Times New Roman"/>
          <w:color w:val="000000" w:themeColor="text1"/>
          <w:kern w:val="2"/>
          <w:sz w:val="16"/>
          <w:szCs w:val="16"/>
        </w:rPr>
        <w:softHyphen/>
        <w:t>ный преодолеть океан самостоятельно. Изучив ряд вариантов, его служба выдала заказ Глену Кёртиссу.</w:t>
      </w:r>
    </w:p>
    <w:p w14:paraId="215DF494" w14:textId="77777777" w:rsidR="006970C8" w:rsidRPr="002F2FDF" w:rsidRDefault="006970C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результате на свет появилась большая цельнодеревянная летающая лодка. На центральной части корпуса лодки установ</w:t>
      </w:r>
      <w:r w:rsidRPr="002F2FDF">
        <w:rPr>
          <w:rFonts w:ascii="Times New Roman" w:hAnsi="Times New Roman" w:cs="Times New Roman"/>
          <w:color w:val="000000" w:themeColor="text1"/>
          <w:kern w:val="2"/>
          <w:sz w:val="16"/>
          <w:szCs w:val="16"/>
        </w:rPr>
        <w:softHyphen/>
        <w:t>лена бипланная коробка с размахом верхнего крыла 38,4 м. Верхнее крыло семисекционное, нижнее - четырёхсек- ционное. Сбалансированные элероны имеются только на верхнем крыле. Трёх- килевое бипланное хвостовое опере</w:t>
      </w:r>
      <w:r w:rsidRPr="002F2FDF">
        <w:rPr>
          <w:rFonts w:ascii="Times New Roman" w:hAnsi="Times New Roman" w:cs="Times New Roman"/>
          <w:color w:val="000000" w:themeColor="text1"/>
          <w:kern w:val="2"/>
          <w:sz w:val="16"/>
          <w:szCs w:val="16"/>
        </w:rPr>
        <w:softHyphen/>
        <w:t>ние крепится к корпусу и верхнему кры</w:t>
      </w:r>
      <w:r w:rsidRPr="002F2FDF">
        <w:rPr>
          <w:rFonts w:ascii="Times New Roman" w:hAnsi="Times New Roman" w:cs="Times New Roman"/>
          <w:color w:val="000000" w:themeColor="text1"/>
          <w:kern w:val="2"/>
          <w:sz w:val="16"/>
          <w:szCs w:val="16"/>
        </w:rPr>
        <w:softHyphen/>
        <w:t>лу на балках. Между верхним и ниж</w:t>
      </w:r>
      <w:r w:rsidRPr="002F2FDF">
        <w:rPr>
          <w:rFonts w:ascii="Times New Roman" w:hAnsi="Times New Roman" w:cs="Times New Roman"/>
          <w:color w:val="000000" w:themeColor="text1"/>
          <w:kern w:val="2"/>
          <w:sz w:val="16"/>
          <w:szCs w:val="16"/>
        </w:rPr>
        <w:softHyphen/>
        <w:t>ним крылом размещаются три двигате</w:t>
      </w:r>
      <w:r w:rsidRPr="002F2FDF">
        <w:rPr>
          <w:rFonts w:ascii="Times New Roman" w:hAnsi="Times New Roman" w:cs="Times New Roman"/>
          <w:color w:val="000000" w:themeColor="text1"/>
          <w:kern w:val="2"/>
          <w:sz w:val="16"/>
          <w:szCs w:val="16"/>
        </w:rPr>
        <w:softHyphen/>
        <w:t xml:space="preserve">ля </w:t>
      </w:r>
      <w:r w:rsidRPr="002F2FDF">
        <w:rPr>
          <w:rFonts w:ascii="Times New Roman" w:hAnsi="Times New Roman" w:cs="Times New Roman"/>
          <w:color w:val="000000" w:themeColor="text1"/>
          <w:kern w:val="2"/>
          <w:sz w:val="16"/>
          <w:szCs w:val="16"/>
          <w:lang w:val="en-US"/>
        </w:rPr>
        <w:t>Liberty</w:t>
      </w:r>
      <w:r w:rsidRPr="002F2FDF">
        <w:rPr>
          <w:rFonts w:ascii="Times New Roman" w:hAnsi="Times New Roman" w:cs="Times New Roman"/>
          <w:color w:val="000000" w:themeColor="text1"/>
          <w:kern w:val="2"/>
          <w:sz w:val="16"/>
          <w:szCs w:val="16"/>
        </w:rPr>
        <w:t xml:space="preserve"> мощностью по 380 л.с. с тяну</w:t>
      </w:r>
      <w:r w:rsidRPr="002F2FDF">
        <w:rPr>
          <w:rFonts w:ascii="Times New Roman" w:hAnsi="Times New Roman" w:cs="Times New Roman"/>
          <w:color w:val="000000" w:themeColor="text1"/>
          <w:kern w:val="2"/>
          <w:sz w:val="16"/>
          <w:szCs w:val="16"/>
        </w:rPr>
        <w:softHyphen/>
        <w:t>щими четырёхлопастными винтами (се</w:t>
      </w:r>
      <w:r w:rsidRPr="002F2FDF">
        <w:rPr>
          <w:rFonts w:ascii="Times New Roman" w:hAnsi="Times New Roman" w:cs="Times New Roman"/>
          <w:color w:val="000000" w:themeColor="text1"/>
          <w:kern w:val="2"/>
          <w:sz w:val="16"/>
          <w:szCs w:val="16"/>
        </w:rPr>
        <w:softHyphen/>
        <w:t xml:space="preserve">рийные моторы </w:t>
      </w:r>
      <w:r w:rsidRPr="002F2FDF">
        <w:rPr>
          <w:rFonts w:ascii="Times New Roman" w:hAnsi="Times New Roman" w:cs="Times New Roman"/>
          <w:color w:val="000000" w:themeColor="text1"/>
          <w:kern w:val="2"/>
          <w:sz w:val="16"/>
          <w:szCs w:val="16"/>
          <w:lang w:val="en-US"/>
        </w:rPr>
        <w:t>Liberty</w:t>
      </w:r>
      <w:r w:rsidRPr="002F2FDF">
        <w:rPr>
          <w:rFonts w:ascii="Times New Roman" w:hAnsi="Times New Roman" w:cs="Times New Roman"/>
          <w:color w:val="000000" w:themeColor="text1"/>
          <w:kern w:val="2"/>
          <w:sz w:val="16"/>
          <w:szCs w:val="16"/>
        </w:rPr>
        <w:t xml:space="preserve"> 12 выдавали большую мощность, 400 л.е.). Система </w:t>
      </w:r>
      <w:bookmarkStart w:id="419" w:name="bookmark24"/>
      <w:r w:rsidRPr="002F2FDF">
        <w:rPr>
          <w:rFonts w:ascii="Times New Roman" w:hAnsi="Times New Roman" w:cs="Times New Roman"/>
          <w:color w:val="000000" w:themeColor="text1"/>
          <w:kern w:val="2"/>
          <w:sz w:val="16"/>
          <w:szCs w:val="16"/>
        </w:rPr>
        <w:t>управления самолётом сдвоенная, уп</w:t>
      </w:r>
      <w:r w:rsidRPr="002F2FDF">
        <w:rPr>
          <w:rFonts w:ascii="Times New Roman" w:hAnsi="Times New Roman" w:cs="Times New Roman"/>
          <w:color w:val="000000" w:themeColor="text1"/>
          <w:kern w:val="2"/>
          <w:sz w:val="16"/>
          <w:szCs w:val="16"/>
        </w:rPr>
        <w:softHyphen/>
        <w:t>равление тросовое.</w:t>
      </w:r>
      <w:bookmarkEnd w:id="419"/>
    </w:p>
    <w:p w14:paraId="2C7C840B" w14:textId="77777777" w:rsidR="006970C8" w:rsidRPr="002F2FDF" w:rsidRDefault="006970C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Длина корпуса лодки 13,61 м. Его внутренний объём делится на герметичные отсеки, обеспечивающие плавучесть при повреждении. В носовой части корпуса размещается открытая кабина штурмана. За ней двухместная пилотская кабина с местами бок обок. В хвостовой части места для бортмеханика и радиста.</w:t>
      </w:r>
    </w:p>
    <w:p w14:paraId="3FE26F44" w14:textId="77777777" w:rsidR="006970C8" w:rsidRPr="002F2FDF" w:rsidRDefault="006970C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Окон</w:t>
      </w:r>
      <w:r w:rsidRPr="002F2FDF">
        <w:rPr>
          <w:rFonts w:ascii="Times New Roman" w:hAnsi="Times New Roman" w:cs="Times New Roman"/>
          <w:color w:val="000000" w:themeColor="text1"/>
          <w:kern w:val="2"/>
          <w:sz w:val="16"/>
          <w:szCs w:val="16"/>
        </w:rPr>
        <w:softHyphen/>
        <w:t>чательная сборка производилась на военно-морской базе Рокуэй на Лонг-Айленде, штат Нью-Йорк (15834).</w:t>
      </w:r>
    </w:p>
    <w:p w14:paraId="6CD3524D" w14:textId="77777777" w:rsidR="006970C8" w:rsidRPr="002F2FDF" w:rsidRDefault="006970C8" w:rsidP="0083075A">
      <w:pPr>
        <w:spacing w:after="0" w:line="240" w:lineRule="auto"/>
        <w:jc w:val="both"/>
        <w:rPr>
          <w:rFonts w:ascii="Times New Roman" w:hAnsi="Times New Roman" w:cs="Times New Roman"/>
          <w:color w:val="000000" w:themeColor="text1"/>
          <w:kern w:val="2"/>
          <w:sz w:val="16"/>
          <w:szCs w:val="16"/>
        </w:rPr>
      </w:pPr>
    </w:p>
    <w:p w14:paraId="020942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декабре 1917 года английский дирижабль С.27 —. При розыске С.27 был потерян и С.26. Остальные британские мягкие дирижабли, после выработки налета, разобрали. </w:t>
      </w:r>
    </w:p>
    <w:p w14:paraId="384B92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463CA8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20287F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4CBCE7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05F780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подлодки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02F99A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платформе. Подготовкой офицерских кадров британская служба воздухоплавания занималась основательно. Вначале курсанты летали на воздушных шарах воздухоплавательной станции Уормвуд Скреббе, а затем изучали навигацию в Портсмуте. И только закончив эту часть курса подготовки, приступали к обучению полетам на дирижаблях (11324).</w:t>
      </w:r>
    </w:p>
    <w:p w14:paraId="3CAC81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EEF6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Начавшаяся в декабре 1917 года переброска большинства находившихся на востоке авиаотрядов на западный театр военных действий позволила вообще отказаться от формирования новых отрядов и вместе с тем довести состав еще 7 авиаотрядов (А) до 9 самолетов. Это усиление состава значительного числа авиаотрядов (А) позволило освободить эскадрильи охраны от их прежних задач и предоставить им поле самостоятельной деятельности вне зависимости от авиаотрядов (А) (11282).</w:t>
      </w:r>
    </w:p>
    <w:p w14:paraId="2A73F9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31AB8A"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С декабря 1917 г. по апрель 1918 г. Всероссийская Коллегия рассмотрела около тысячи различных вопросов. Большая часть из них была связана с авиационной промышленностью, с Увофлотом, авиапарками, складами и авиашколами. Вопросы финансирования авиационного дела рассматривались почти на всех заседаниях Коллегии. Формирование авиачастей занимало в ее работе меньшую часть времени. При формировании системы управления советской военной авиацией, прежде всего, принимался во внимание Декрет ВЦИК от 28 апреля 1918 г. «О порядке замещения должностей в Рабоче-Крестьянской Красной Армии», который отменил выборность командиров и упразднил почти все коллегии (19566).</w:t>
      </w:r>
    </w:p>
    <w:p w14:paraId="128EAFAB"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p>
    <w:p w14:paraId="06F5E12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21CA76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9633BF" w14:textId="77777777" w:rsidR="00407F0F" w:rsidRPr="00FB4F67" w:rsidRDefault="00407F0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концу 1917 гг. число работающих в самолетостроении возросло почти в семь раз — с 1675 до 10800 человек. Самым крупным предприятием был московский «Дукс», второе место по количеству работников и числу станков в 1917 г. занимал одесский завод А. Анатры. В создании самолетов участвовали также моторостроительные и пропеллерные предприятия. В 1917 г. производством моторов занимались Механический завод Русско-балтийского акционерного общества и «Русский Рено» в Петрограде, «Гном и Рон», «Сальмсон», «Мотор» и мастерские П. Ильина в Москве, завод «Дека» в Александровске. Воздушные винты изготавливали петроградские заводы Ф. Мельцера, А. Засса и Е. Ланского, «Интеграл» А.А. Лебедева, мастерская Адамчика в Москве. В 1917 г. на моторостроительных и пропеллерных предприятиях работало 2227 человек (23472).</w:t>
      </w:r>
    </w:p>
    <w:p w14:paraId="014BF358" w14:textId="77777777" w:rsidR="00407F0F" w:rsidRPr="00FB4F67" w:rsidRDefault="00407F0F" w:rsidP="0083075A">
      <w:pPr>
        <w:spacing w:after="0" w:line="240" w:lineRule="auto"/>
        <w:jc w:val="both"/>
        <w:rPr>
          <w:rFonts w:ascii="Times New Roman" w:hAnsi="Times New Roman" w:cs="Times New Roman"/>
          <w:color w:val="0070C0"/>
          <w:sz w:val="16"/>
          <w:szCs w:val="16"/>
        </w:rPr>
      </w:pPr>
    </w:p>
    <w:p w14:paraId="6F385DFB" w14:textId="5CD73F57" w:rsidR="00BC2F7C" w:rsidRPr="002F2FDF" w:rsidRDefault="00BC2F7C" w:rsidP="0083075A">
      <w:pPr>
        <w:pStyle w:val="ae"/>
        <w:spacing w:before="0" w:after="0"/>
        <w:jc w:val="both"/>
        <w:rPr>
          <w:color w:val="000000" w:themeColor="text1"/>
          <w:sz w:val="16"/>
          <w:szCs w:val="16"/>
        </w:rPr>
      </w:pPr>
      <w:r w:rsidRPr="002F2FDF">
        <w:rPr>
          <w:color w:val="000000" w:themeColor="text1"/>
          <w:sz w:val="16"/>
          <w:szCs w:val="16"/>
        </w:rPr>
        <w:t xml:space="preserve">В конце 1917 г. </w:t>
      </w:r>
      <w:r w:rsidRPr="002F2FDF">
        <w:rPr>
          <w:rStyle w:val="a7"/>
          <w:rFonts w:eastAsiaTheme="majorEastAsia"/>
          <w:b w:val="0"/>
          <w:color w:val="000000" w:themeColor="text1"/>
          <w:sz w:val="16"/>
          <w:szCs w:val="16"/>
        </w:rPr>
        <w:t>Таганроге</w:t>
      </w:r>
      <w:r w:rsidRPr="002F2FDF">
        <w:rPr>
          <w:color w:val="000000" w:themeColor="text1"/>
          <w:sz w:val="16"/>
          <w:szCs w:val="16"/>
        </w:rPr>
        <w:t xml:space="preserve"> оказался в самом центре братоубийственной войны, неоднократно переходил из рук в руки. Наладить серьезное производство на </w:t>
      </w:r>
      <w:r w:rsidRPr="002F2FDF">
        <w:rPr>
          <w:rStyle w:val="a7"/>
          <w:rFonts w:eastAsiaTheme="majorEastAsia"/>
          <w:b w:val="0"/>
          <w:color w:val="000000" w:themeColor="text1"/>
          <w:sz w:val="16"/>
          <w:szCs w:val="16"/>
        </w:rPr>
        <w:t>заводе в Таганроге, котолрый В.А. Лебедев</w:t>
      </w:r>
      <w:r w:rsidR="00E52569">
        <w:rPr>
          <w:color w:val="000000" w:themeColor="text1"/>
          <w:sz w:val="16"/>
          <w:szCs w:val="16"/>
        </w:rPr>
        <w:t xml:space="preserve"> </w:t>
      </w:r>
      <w:r w:rsidRPr="002F2FDF">
        <w:rPr>
          <w:color w:val="000000" w:themeColor="text1"/>
          <w:sz w:val="16"/>
          <w:szCs w:val="16"/>
        </w:rPr>
        <w:t>сдал в аренду предпринимателям Гасовскому, Моске и Гончарову в таких условиях было невозможно, все ограничивалось эпизодическим ремонтом самолетов для господствующей в данный момент власти. Использовался завод и как склад авиатехники. Когда в феврале 1920 г. Красная армия вошла в Таганрог, на заводском дворе обнаружили десятки ящиков с еще не собранными самолетами английского и французского производства (18302).</w:t>
      </w:r>
    </w:p>
    <w:p w14:paraId="607A65C9" w14:textId="77777777" w:rsidR="00BC2F7C" w:rsidRPr="002F2FDF" w:rsidRDefault="00BC2F7C" w:rsidP="0083075A">
      <w:pPr>
        <w:pStyle w:val="ae"/>
        <w:spacing w:before="0" w:after="0"/>
        <w:jc w:val="both"/>
        <w:rPr>
          <w:color w:val="000000" w:themeColor="text1"/>
          <w:sz w:val="16"/>
          <w:szCs w:val="16"/>
        </w:rPr>
      </w:pPr>
    </w:p>
    <w:p w14:paraId="26EB56C5" w14:textId="77777777" w:rsidR="00407F0F" w:rsidRPr="00FB4F67" w:rsidRDefault="00407F0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конце 1917 г. на заводе Лебедева в Таганроге выполнили два экземпляра АБ-1 («Альбатрос» с двигателем «Бенц»-1) с двигателями «Испано-Сюиза» мощностью 200 л.с., изготовленных по немецкому образцу - трофейному двух</w:t>
      </w:r>
      <w:r w:rsidRPr="00FB4F67">
        <w:rPr>
          <w:rFonts w:ascii="Times New Roman" w:hAnsi="Times New Roman" w:cs="Times New Roman"/>
          <w:color w:val="0070C0"/>
          <w:sz w:val="16"/>
          <w:szCs w:val="16"/>
        </w:rPr>
        <w:softHyphen/>
        <w:t>поплавковому «Фридрихсгафен». Предполага</w:t>
      </w:r>
      <w:r w:rsidRPr="00FB4F67">
        <w:rPr>
          <w:rFonts w:ascii="Times New Roman" w:hAnsi="Times New Roman" w:cs="Times New Roman"/>
          <w:color w:val="0070C0"/>
          <w:sz w:val="16"/>
          <w:szCs w:val="16"/>
        </w:rPr>
        <w:softHyphen/>
        <w:t>лась серия, имелся заказ на 175 машин, который на практике не реализовали</w:t>
      </w:r>
    </w:p>
    <w:p w14:paraId="2D6C7ADD" w14:textId="77777777" w:rsidR="00407F0F" w:rsidRPr="00FB4F67" w:rsidRDefault="00407F0F" w:rsidP="0083075A">
      <w:pPr>
        <w:spacing w:after="0" w:line="240" w:lineRule="auto"/>
        <w:jc w:val="both"/>
        <w:rPr>
          <w:rFonts w:ascii="Times New Roman" w:hAnsi="Times New Roman" w:cs="Times New Roman"/>
          <w:color w:val="0070C0"/>
          <w:sz w:val="16"/>
          <w:szCs w:val="16"/>
        </w:rPr>
      </w:pPr>
    </w:p>
    <w:p w14:paraId="76B59783" w14:textId="77777777" w:rsidR="00407F0F" w:rsidRPr="00FB4F67" w:rsidRDefault="00407F0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конце 1917 г. недостроенный завод в Таганроге, который В.А.Лебедев сдал в аренду предпринимателям Гасовскому, Моске и Гончарову, которые пытались наладить там ремонт самолетов, брали частные заказы на столярные изделия, как и город оказался в самом центре братоубийственной войны, неоднократно переходил из рук в руки. Наладить серьезное производство в таких условиях было невозможно, все ограничивалось эпизодическим ремонтом самолетов для господствующей в данный момент власти. Использовался завод и как склад авиатехники. Когда в феврале 1920 г. Красная армия вошла в Таганрог, на заводском дворе обнаружили десятки ящиков с еще не собранными самолетами (23472).</w:t>
      </w:r>
    </w:p>
    <w:p w14:paraId="2F827527" w14:textId="77777777" w:rsidR="00407F0F" w:rsidRPr="00FB4F67" w:rsidRDefault="00407F0F" w:rsidP="0083075A">
      <w:pPr>
        <w:spacing w:after="0" w:line="240" w:lineRule="auto"/>
        <w:jc w:val="both"/>
        <w:rPr>
          <w:rFonts w:ascii="Times New Roman" w:hAnsi="Times New Roman" w:cs="Times New Roman"/>
          <w:color w:val="0070C0"/>
          <w:sz w:val="16"/>
          <w:szCs w:val="16"/>
        </w:rPr>
      </w:pPr>
    </w:p>
    <w:p w14:paraId="534684F3" w14:textId="77777777" w:rsidR="00CD4A5B" w:rsidRPr="002F2FDF" w:rsidRDefault="00CD4A5B" w:rsidP="0083075A">
      <w:pPr>
        <w:pStyle w:val="ae"/>
        <w:spacing w:before="0" w:after="0"/>
        <w:jc w:val="both"/>
        <w:rPr>
          <w:color w:val="000000" w:themeColor="text1"/>
          <w:kern w:val="2"/>
          <w:sz w:val="16"/>
          <w:szCs w:val="16"/>
        </w:rPr>
      </w:pPr>
      <w:r w:rsidRPr="002F2FDF">
        <w:rPr>
          <w:color w:val="000000" w:themeColor="text1"/>
          <w:kern w:val="2"/>
          <w:sz w:val="16"/>
          <w:szCs w:val="16"/>
        </w:rPr>
        <w:t xml:space="preserve">В конце 1917 г. </w:t>
      </w:r>
      <w:r w:rsidRPr="002F2FDF">
        <w:rPr>
          <w:rStyle w:val="a7"/>
          <w:b w:val="0"/>
          <w:color w:val="000000" w:themeColor="text1"/>
          <w:kern w:val="2"/>
          <w:sz w:val="16"/>
          <w:szCs w:val="16"/>
        </w:rPr>
        <w:t>недостроенный завод в Таганроге, который В.А. Лебедев</w:t>
      </w:r>
      <w:r w:rsidRPr="002F2FDF">
        <w:rPr>
          <w:color w:val="000000" w:themeColor="text1"/>
          <w:kern w:val="2"/>
          <w:sz w:val="16"/>
          <w:szCs w:val="16"/>
        </w:rPr>
        <w:t>сдал в аренду предпринимателям Гасовскому, Моске и Гончарову оказался в самом центре братоубийственной войны, неоднократно переходил из рук в руки. Наладить серьезное производство в таких условиях было невозможно, все ограничивалось эпизодическим ремонтом самолетов для господствующей в данный момент власти. Использовался завод и как склад авиатехники. Когда в феврале 1920 г. Красная армия вошла в Таганрог, на заводском дворе обнаружили десятки ящиков с еще не собранными самолетами английского и французского производства (Емельянов С.Н. Таганрогская авиация. Таганрог, 2006. С. 62.) (12630).</w:t>
      </w:r>
    </w:p>
    <w:p w14:paraId="5367447B" w14:textId="77777777" w:rsidR="00CD4A5B" w:rsidRPr="002F2FDF" w:rsidRDefault="00CD4A5B" w:rsidP="0083075A">
      <w:pPr>
        <w:pStyle w:val="ae"/>
        <w:spacing w:before="0" w:after="0"/>
        <w:jc w:val="both"/>
        <w:rPr>
          <w:color w:val="000000" w:themeColor="text1"/>
          <w:kern w:val="2"/>
          <w:sz w:val="16"/>
          <w:szCs w:val="16"/>
        </w:rPr>
      </w:pPr>
    </w:p>
    <w:p w14:paraId="02FA45D2"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г. В.А. Лебедев пробовал заинтересовать Морское ведомство Лебедем 16 выдавая ее за новейшую разработку, и к тому же за гидроаэроплан (2843).</w:t>
      </w:r>
    </w:p>
    <w:p w14:paraId="5655333F"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9BED4E"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1917 г. В. А. Лебедева обязали сдать 140 “Сопвичей”. Машина этого типа использовалась в качестве истребителя. Кроме того, заводу предлагалось освоить производство корпусных самолетов типа “Фарман-30”. К концу года следовало сдать военному ведомству 80 машин этого типа. Крайне напряженное положение с двигателями задерживало поставку самолетов армии. Оставался также невыполненным заказ на 40 двухместных разведчиков типа “Ньюпор-10”. Для реализации заказов необходимо было значительно поднять производственные мощности завода (9705).</w:t>
      </w:r>
    </w:p>
    <w:p w14:paraId="01EB85A8"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5B55B3"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К концу 1917 года строительство завода Лебедь в Таганроге на берегу Азовского моря близь рощи “Карантин” было приостановлено и в строй вошли только несколько мастерских. С этого времени завод прситупил к ремонту самолетов разных типов. В 1923 году заводу ВСНХ была дана программа выпуска самолетов Р-1 (разведчик) с мотором “Сидлей пума”. В 1925 году окончательно были достроены корпуса завода. В 1925 году по решению Правительства завода присвоили № 31. В этом году завод выпускал самолет Р-1, но уже с мотором “Либерти”, который выпускался в Англии и в Америке. В 1926 году завод перешел на выпуск самолетов Р-1 с отечественным мотором М-5 (завода № 24 им. Фрунзе). В 1930 году завод получил новое задание к переходу на морское самолетостроение. В 1930 году завод приступил к выпуску самолетов Р-5 с мотором М-17, была изготовлена опытная партия в количестве 5 машин, но по решению Правительства весь задел был передан заводу № 1, в связи с внедрением на заводе новой машины Амфибия, которая выпускалась до конца 1931 года. В 1932 году было дано новое задание по выпуску гидросамолетов “Савоя 62 бис” с мотором “Изота Фраскини”. Перед заводом была поставлена задача поставлять эти самолеты с отечественным мотором М-34, но ввиду конструктивных особенностей этого мотора, использовать его на этой машине не удалось и решением Правительства машина была снята с производства.</w:t>
      </w:r>
    </w:p>
    <w:p w14:paraId="7CF39C19"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этого заводу было дано новое задание по выпуску самолета Р-6 металлической конструкции и пассажирской машины АНТ-9 с двумя моторами М-17. К концу 1932 года завод приступил к строительству так называемого нового завода с новыми корпусами под металлическое самолетостроение. В 1933 году завод получил задание по выпуску гидросамолета МБР-2.</w:t>
      </w:r>
    </w:p>
    <w:p w14:paraId="28B876C0"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Наряду с этим завод изготовлял металлическую машину Р-6, машина АНТ-9 была снята с производства.</w:t>
      </w:r>
    </w:p>
    <w:p w14:paraId="47B06D68"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новых корпусах завод сосредоточил выпуск металлических самолетов, а в старых корпусах – самолетов деревянной конструкции.</w:t>
      </w:r>
    </w:p>
    <w:p w14:paraId="5661F776"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Конструкция самолетов МБР-2 модернизировалась вплоть до 1938 года.</w:t>
      </w:r>
    </w:p>
    <w:p w14:paraId="075F4B0E"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новых корпусах машина Р-6 была снята и начата подготовка к выпуску самолета МДР-4 (трехмоторного морского бомбардировщика).</w:t>
      </w:r>
    </w:p>
    <w:p w14:paraId="6DCEFBC0"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Несколько самолетов МДР-4 были сданы заводом заказчику, но в период их серийного освоения эти самолеты были сняты с производства. К концу 1937 года было поручено производство летающей лодки американской конструкции типа “Консолидейт”, которую завод выпустил в количестве 23 машин. В 1938 году “Консолидейт” снимается с производства и взамен запускается морская машина “Н” конструкции Четверикова и самолет “КОР” конструкции Бериева. Весь 1939 год завод выпускал самолеты “Н” и “КОР”. В 1940 году с программы завода снимается самолет “Н” конструкции Четверикова.</w:t>
      </w:r>
    </w:p>
    <w:p w14:paraId="389CE046"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получает задание выпускать самолеты ББ-1 конструкции Сухого. В декабре 1940 года самолет ББ-1 снимается с производства и заводу дается задание выпускать самолеты ЛАГГ-3. В октябре 1941 года завод был эвакуирован в Тбилиси.</w:t>
      </w:r>
    </w:p>
    <w:p w14:paraId="7554AA14"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Тбилиси завод был размещен на территории строящегося авиамоторного завода № 448, куда также был переведен завод № 45 из Севастополя.</w:t>
      </w:r>
    </w:p>
    <w:p w14:paraId="4C0DBA80"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приказу НКАП за № 1173с от 20 декабря 1941 года заводы №№ 31, 45 и 448 объединились и объединенному заводу был присвоен № 31 им. Димитрова.</w:t>
      </w:r>
    </w:p>
    <w:p w14:paraId="45B89671"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Строительство завода № 448 начато в октябре 1940 года на основании постановления СНК и ЦК ВКП(б) от 19 сентября 1940 года за № 1723/692сс “О строительстве моторного завода в Тбилиси” и приказа НКАП от 24 сентября 1940 года за № 507сс. Было предусмотрено строительство завода по выпуску моторов типа М-105. В ноябре 1941 года завод выпустил два и в декабре 1941 года 18 ЛАГГ-3 с мотором М-105П, после чего перешел на серийный выпуск этих самолетов. С мая 1942 года по март 1944 года завод выпускал самолеты ЛАГГ-3, но уже с мотором М-105ПФ (с 1941 до конца 1943 гг. директорами завода работали Агаджанов и Саладзе, гл. конструкторами ЛАГГ-3 были Лавочкин, Горбунов и Гудков). В этот период завод также выполнял литье корпусов мин, выпускал стволы автоматов ППШ и др. В начале 1944 года заводу было поручено наладить выпуск новых истребителей ЯК-3 с мотором ВК-105ПФ. С апреля 1944 года завод приступил к серийному выпуску этого самолета.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55705400"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515373DE"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0990ECC2"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17D7918A"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43F7246A"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7B3CC2B5"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завода Хведелиани</w:t>
      </w:r>
    </w:p>
    <w:p w14:paraId="65068F8A"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Адрес: Тбилиси, п/я 51</w:t>
      </w:r>
    </w:p>
    <w:p w14:paraId="47BD8FA7"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июля 1956 года завод приступил к освоению нового самолета МИГ-21 (9821).</w:t>
      </w:r>
    </w:p>
    <w:p w14:paraId="4E3CD06F"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8599E2" w14:textId="77777777" w:rsidR="009F39F8" w:rsidRPr="002F2FDF" w:rsidRDefault="009F39F8"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конце 1917 была разработана программа гидросамолетостроения на 1918 г. в количестве 138 самолетов (19929).</w:t>
      </w:r>
    </w:p>
    <w:p w14:paraId="556D491E" w14:textId="77777777" w:rsidR="009F39F8" w:rsidRPr="002F2FDF" w:rsidRDefault="009F39F8" w:rsidP="0083075A">
      <w:pPr>
        <w:spacing w:after="0" w:line="240" w:lineRule="auto"/>
        <w:jc w:val="both"/>
        <w:rPr>
          <w:rFonts w:ascii="Times New Roman" w:hAnsi="Times New Roman" w:cs="Times New Roman"/>
          <w:color w:val="000000" w:themeColor="text1"/>
          <w:sz w:val="16"/>
          <w:szCs w:val="16"/>
        </w:rPr>
      </w:pPr>
    </w:p>
    <w:p w14:paraId="529FB6BF"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концу 1917 года на московском заводе «Дукс», который с сентября прекратил отгрузку самолетов на фронт, стояло (частично – без двигателей) более 370 машин! Комитет рабочих и служащих предприятия жаловался в Увофлот: «Все мастерские и склады завода забиты аппаратами до такой степени, что невозможно вести дальнейшую сборку». Огромные авиационные запасы хранились на территории крупнейшего в России 1-го Центрального авиапарка-склада, располагавшегося в районе Ходынки. Осенью 1917-го там находилось 70 истребителей «Ньюпор-23», 23 «Ньюпора-17», 4 «Спада», 12 разведчиков «Фарман-40», 15 «Кодронов» и 72 английских самолета различных марок (преимущественно «Сопвичей»). Итого 196 аппаратов. Длинные складские корпуса были так переполнены, что многое приходилось держать под открытым небом. Очевидцы вспоминали о кое-как накрытых брезентом «поленницах» из самолетных винтов, о многоярусных нагромождениях различных ящиков, бочек с горючим и смазочными маслами.</w:t>
      </w:r>
    </w:p>
    <w:p w14:paraId="54329859"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Приехавший из Петрограда для инспекции авиапарка А.В. Горшков был поражен, с одной стороны, количеством хранящегося там добра, а с другой – полным отсутствием охраны и элементарного порядка. Горшков писал в своих мемуарах, что к моменту его прибытия всю территорию парка охраняла... одна винтовка, прислоненная к забору. Куда подевался часовой, выяснить так и не удалось. Зато скоро выяснилось, что со склада уже «исчезло» несколько десятков пулеметов, более 80 ящиков с патронами и сотни комплектов летного обмундирования, не считая всякой «мелочи» вроде шлемов, ботинок, планшетов, компасов или биноклей. Чтобы предотвратить дальнейшее разграбление, Горшков добился выделения для круглосуточной охраны авиапарка роты латышских стрелков в количестве 150 человек (18562).</w:t>
      </w:r>
    </w:p>
    <w:p w14:paraId="340B7BCE"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p>
    <w:p w14:paraId="37994F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г. В.И.Ленин дал указание ускорить выдачу одесскому заводу А.А.Анатра денежного аванса для покрытия производственных расходов и оплаты труда рабочих (276).</w:t>
      </w:r>
    </w:p>
    <w:p w14:paraId="0F9632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121F25" w14:textId="77777777" w:rsidR="00407F0F" w:rsidRPr="00FB4F67" w:rsidRDefault="00407F0F"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конце 1917 г., после свершившейся революции, одесский завод короткое вре</w:t>
      </w:r>
      <w:r w:rsidRPr="00FB4F67">
        <w:rPr>
          <w:rFonts w:ascii="Times New Roman" w:hAnsi="Times New Roman" w:cs="Times New Roman"/>
          <w:color w:val="0070C0"/>
          <w:sz w:val="16"/>
          <w:szCs w:val="16"/>
        </w:rPr>
        <w:softHyphen/>
        <w:t>мя принадлежал независимой Украине. Весной 1918 г., когда Одессу оккупирова</w:t>
      </w:r>
      <w:r w:rsidRPr="00FB4F67">
        <w:rPr>
          <w:rFonts w:ascii="Times New Roman" w:hAnsi="Times New Roman" w:cs="Times New Roman"/>
          <w:color w:val="0070C0"/>
          <w:sz w:val="16"/>
          <w:szCs w:val="16"/>
        </w:rPr>
        <w:softHyphen/>
        <w:t>ли австрийские войска, завод Анатра про</w:t>
      </w:r>
      <w:r w:rsidRPr="00FB4F67">
        <w:rPr>
          <w:rFonts w:ascii="Times New Roman" w:hAnsi="Times New Roman" w:cs="Times New Roman"/>
          <w:color w:val="0070C0"/>
          <w:sz w:val="16"/>
          <w:szCs w:val="16"/>
        </w:rPr>
        <w:softHyphen/>
        <w:t>должил свою работу в интересах новых хо</w:t>
      </w:r>
      <w:r w:rsidRPr="00FB4F67">
        <w:rPr>
          <w:rFonts w:ascii="Times New Roman" w:hAnsi="Times New Roman" w:cs="Times New Roman"/>
          <w:color w:val="0070C0"/>
          <w:sz w:val="16"/>
          <w:szCs w:val="16"/>
        </w:rPr>
        <w:softHyphen/>
        <w:t>зяев — выпускал самолеты для авиации Австро-Венгрии. После капитуляции Гер</w:t>
      </w:r>
      <w:r w:rsidRPr="00FB4F67">
        <w:rPr>
          <w:rFonts w:ascii="Times New Roman" w:hAnsi="Times New Roman" w:cs="Times New Roman"/>
          <w:color w:val="0070C0"/>
          <w:sz w:val="16"/>
          <w:szCs w:val="16"/>
        </w:rPr>
        <w:softHyphen/>
        <w:t>мании и ее союзников Одесса некоторое время находится в руках Добровольческой армии генерала Деникина и войск Антанты. В 1920 г. в результате успешных боевых действий Красной армии город оконча</w:t>
      </w:r>
      <w:r w:rsidRPr="00FB4F67">
        <w:rPr>
          <w:rFonts w:ascii="Times New Roman" w:hAnsi="Times New Roman" w:cs="Times New Roman"/>
          <w:color w:val="0070C0"/>
          <w:sz w:val="16"/>
          <w:szCs w:val="16"/>
        </w:rPr>
        <w:softHyphen/>
        <w:t>тельно переходит под юрисдикцию Совет</w:t>
      </w:r>
      <w:r w:rsidRPr="00FB4F67">
        <w:rPr>
          <w:rFonts w:ascii="Times New Roman" w:hAnsi="Times New Roman" w:cs="Times New Roman"/>
          <w:color w:val="0070C0"/>
          <w:sz w:val="16"/>
          <w:szCs w:val="16"/>
        </w:rPr>
        <w:softHyphen/>
        <w:t>ской России (23374).</w:t>
      </w:r>
    </w:p>
    <w:p w14:paraId="5741BB3C" w14:textId="77777777" w:rsidR="00407F0F" w:rsidRPr="00FB4F67" w:rsidRDefault="00407F0F" w:rsidP="0083075A">
      <w:pPr>
        <w:spacing w:after="0" w:line="240" w:lineRule="auto"/>
        <w:jc w:val="both"/>
        <w:rPr>
          <w:rFonts w:ascii="Times New Roman" w:hAnsi="Times New Roman" w:cs="Times New Roman"/>
          <w:color w:val="0070C0"/>
          <w:sz w:val="16"/>
          <w:szCs w:val="16"/>
        </w:rPr>
      </w:pPr>
    </w:p>
    <w:p w14:paraId="6B4BEB87"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конца 1917 года Анатра изготовили более 100 "Анасалей", сдав 46 экземпляров военному ведомству. Послужить в авиации русской армии эти самолеты практически не успели, так как революционные события привели к развалу армии и отступлению с линии фронта войсковых соединений (9806).</w:t>
      </w:r>
    </w:p>
    <w:p w14:paraId="5A9799CB"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F3F56A" w14:textId="77777777" w:rsidR="00DC0C73" w:rsidRPr="002F2FDF" w:rsidRDefault="00DC0C73"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1917 г. Анатре удалось сдать заказчику менее трети — 225 Анаде. В это число входили и 24 машины, построенные в июле-октябре 1917 г. с более мощными моторами «Клерже» (110 либо 130 л.с), которые получили обозначение «Анаклер». Интересно, что 47 принятых самолетов не проходили сдаточных испытаний из-за задержек с поставками двигателей (12252).</w:t>
      </w:r>
    </w:p>
    <w:p w14:paraId="1E1A8FDE" w14:textId="77777777" w:rsidR="00DC0C73" w:rsidRPr="002F2FDF" w:rsidRDefault="00DC0C73" w:rsidP="0083075A">
      <w:pPr>
        <w:spacing w:after="0" w:line="240" w:lineRule="auto"/>
        <w:jc w:val="both"/>
        <w:rPr>
          <w:rFonts w:ascii="Times New Roman" w:hAnsi="Times New Roman" w:cs="Times New Roman"/>
          <w:color w:val="000000" w:themeColor="text1"/>
          <w:kern w:val="2"/>
          <w:sz w:val="16"/>
          <w:szCs w:val="16"/>
        </w:rPr>
      </w:pPr>
    </w:p>
    <w:p w14:paraId="7C0DFF80"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1917-го, после свершившейся революции, одесский завод Анатра недолго принадлежал независимой Украине (9806).</w:t>
      </w:r>
    </w:p>
    <w:p w14:paraId="400FD91F"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094B69"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конце 1917 г. симферопольский завод авиадвигателей (филиал одесского завода А.Анатра) еще находился в периоде организации. Никакой реальной пользы для русской авиации он не принес (9705).</w:t>
      </w:r>
    </w:p>
    <w:p w14:paraId="6E9ECA1E" w14:textId="77777777" w:rsidR="00DC0C73" w:rsidRPr="002F2FDF" w:rsidRDefault="00DC0C73"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26B9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г. начальник главного аэродрома военный летчик полковник А.Н.Вегенер писал управляющему делами технического комитета УВВФ, что изобретатель Михайлов не работает в мастерских аэродрома. Модель аппарата так и не была закончена (9705).</w:t>
      </w:r>
    </w:p>
    <w:p w14:paraId="38AA79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FC2F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1917 г. еще более усугубились трудности с производством самолетов на заводах Щетинина и Лебедева, не было авиационных двигателей, отсутствовало сырье (9528).</w:t>
      </w:r>
    </w:p>
    <w:p w14:paraId="2BAC9D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1046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началась постройка контристребителя ВМ-6 А.Ю.Виллиш, сухопутного фюзеляжного самолета, взлетающего с берега, сбрасывающего шасси и садящегося на воду. Задание дало Управление морской авиации (УМА). Сначала предлагали Д.П.Г., КБ АИС и А.Ю.Виллишу, но взялся только А.Ю.Виллиш (92,231).</w:t>
      </w:r>
    </w:p>
    <w:p w14:paraId="437E77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A8009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г. или начале 1918 г. моторы с лл Энгельса сняли и поместили на склад на Гутуевском острове в Петрог</w:t>
      </w:r>
      <w:r w:rsidRPr="002F2FDF">
        <w:rPr>
          <w:rFonts w:ascii="Times New Roman" w:hAnsi="Times New Roman" w:cs="Times New Roman"/>
          <w:color w:val="000000" w:themeColor="text1"/>
          <w:kern w:val="2"/>
          <w:sz w:val="16"/>
          <w:szCs w:val="16"/>
        </w:rPr>
        <w:softHyphen/>
        <w:t>раде. Один из истребителей был затем упакован в отделении завода ПРТВ на Комендант</w:t>
      </w:r>
      <w:r w:rsidRPr="002F2FDF">
        <w:rPr>
          <w:rFonts w:ascii="Times New Roman" w:hAnsi="Times New Roman" w:cs="Times New Roman"/>
          <w:color w:val="000000" w:themeColor="text1"/>
          <w:kern w:val="2"/>
          <w:sz w:val="16"/>
          <w:szCs w:val="16"/>
        </w:rPr>
        <w:softHyphen/>
        <w:t>ском аэродроме 18 октября 1918 г. и отправлен в Нижний Новгород ночью с 24-го на 25-е. Он должен был служить в Петроградской школе морской авиации, которая эвакуировалась на Волгу, но из-за гражданской войны машина не летала до марта 1920 г. Тогда ее подре</w:t>
      </w:r>
      <w:r w:rsidRPr="002F2FDF">
        <w:rPr>
          <w:rFonts w:ascii="Times New Roman" w:hAnsi="Times New Roman" w:cs="Times New Roman"/>
          <w:color w:val="000000" w:themeColor="text1"/>
          <w:kern w:val="2"/>
          <w:sz w:val="16"/>
          <w:szCs w:val="16"/>
        </w:rPr>
        <w:softHyphen/>
        <w:t>монтировали, оборудовали лыжным шасси и опробовали, а потом вместе со школой перевели в Самару и вновь испытали там в 1921 г., на этот раз на воде. Во время первого взлета поплавковые законцовки крыльев были повреждены и их заменили обычными поплавками с летающей лодки М-5, укрепив те при помощи стоек и растяжек. Последовала новая по</w:t>
      </w:r>
      <w:r w:rsidRPr="002F2FDF">
        <w:rPr>
          <w:rFonts w:ascii="Times New Roman" w:hAnsi="Times New Roman" w:cs="Times New Roman"/>
          <w:color w:val="000000" w:themeColor="text1"/>
          <w:kern w:val="2"/>
          <w:sz w:val="16"/>
          <w:szCs w:val="16"/>
        </w:rPr>
        <w:softHyphen/>
        <w:t>пытка подняться, но гидроаэроплан, так и не покинув воды, перевернулся. Его пилот С.А. Кочеригин остался цел, но все эксперименты с машиной были оставлены, и теперь уж — навсегда (2843).</w:t>
      </w:r>
    </w:p>
    <w:p w14:paraId="792C30B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Сведения о контракте на летающие лодки типа Э.1П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2F2FDF" w14:paraId="6FAF8D77" w14:textId="77777777">
        <w:tc>
          <w:tcPr>
            <w:tcW w:w="4788" w:type="dxa"/>
            <w:tcBorders>
              <w:top w:val="single" w:sz="12" w:space="0" w:color="auto"/>
            </w:tcBorders>
            <w:shd w:val="clear" w:color="auto" w:fill="FFFFFF"/>
          </w:tcPr>
          <w:p w14:paraId="2F54F6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697605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Апрель 27 1917</w:t>
            </w:r>
          </w:p>
        </w:tc>
      </w:tr>
      <w:tr w:rsidR="002B1C74" w:rsidRPr="002F2FDF" w14:paraId="45C3920B" w14:textId="77777777">
        <w:tc>
          <w:tcPr>
            <w:tcW w:w="4788" w:type="dxa"/>
            <w:shd w:val="clear" w:color="auto" w:fill="FFFFFF"/>
          </w:tcPr>
          <w:p w14:paraId="3CD2FD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заказанных аэропланов</w:t>
            </w:r>
          </w:p>
        </w:tc>
        <w:tc>
          <w:tcPr>
            <w:tcW w:w="4788" w:type="dxa"/>
            <w:shd w:val="clear" w:color="auto" w:fill="FFFFFF"/>
          </w:tcPr>
          <w:p w14:paraId="054867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w:t>
            </w:r>
          </w:p>
        </w:tc>
      </w:tr>
      <w:tr w:rsidR="002B1C74" w:rsidRPr="002F2FDF" w14:paraId="248C90CE" w14:textId="77777777">
        <w:tc>
          <w:tcPr>
            <w:tcW w:w="4788" w:type="dxa"/>
            <w:shd w:val="clear" w:color="auto" w:fill="FFFFFF"/>
          </w:tcPr>
          <w:p w14:paraId="7AC697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Заводские номера сданных аэропланов</w:t>
            </w:r>
          </w:p>
        </w:tc>
        <w:tc>
          <w:tcPr>
            <w:tcW w:w="4788" w:type="dxa"/>
            <w:shd w:val="clear" w:color="auto" w:fill="FFFFFF"/>
          </w:tcPr>
          <w:p w14:paraId="2F9C91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1, 2</w:t>
            </w:r>
          </w:p>
        </w:tc>
      </w:tr>
      <w:tr w:rsidR="002B1C74" w:rsidRPr="002F2FDF" w14:paraId="26BD5810" w14:textId="77777777">
        <w:tc>
          <w:tcPr>
            <w:tcW w:w="4788" w:type="dxa"/>
            <w:tcBorders>
              <w:bottom w:val="single" w:sz="12" w:space="0" w:color="auto"/>
            </w:tcBorders>
            <w:shd w:val="clear" w:color="auto" w:fill="FFFFFF"/>
          </w:tcPr>
          <w:p w14:paraId="3F9C00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5EC0D5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13.000 руб. за аппарат, срок исполнения с 15 июня по 1 ноября 1917 г. (контракт аннулирован). Примечания: условный заказ; 4 опытных прототипа должны были быть построены и успешно испытаны, чтобы еще 56 машин были заказаны (2843).</w:t>
            </w:r>
          </w:p>
        </w:tc>
      </w:tr>
    </w:tbl>
    <w:p w14:paraId="48E8281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55EE3E" w14:textId="77777777" w:rsidR="00D124E5" w:rsidRPr="002F2FDF" w:rsidRDefault="00D124E5"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 начале 1918 года новая власть тоже долго не могла определиться, что же делать с царицынским орудийным заводом: закрыть и не обременять тощий бюджет дополнительными затратами или все-таки использовать производственный потенциал завода. Поначалу смена власти на жизни завода не особо отразилась. По-прежнему идет переписка о принятом еще в сентябре 1917 года плане Морского министерства о переносе части Обуховского завода в связи трудностями в обеспечении столицы топливом и материалами, а также близостью фронта из Петрограда на площади ЦОЗа. Приостановилась, но вскоре была возобновлена работа по передаче завода в казну. Продолжалась работа и в цехах завода по обновлению (ремонту) орудий, хотя наряд от Морского ведомства так и не был оформлен, и деньги за выполненные работы не поступали. Проблема с финансированием, осложнившаяся еще при Временном правительстве, при советской власти очень скоро стала критической. Деньги переводились только тогда, когда ситуация становилась невыносимой. В конце ноября месячное отсутствие денег привело к приостановке работы подрядчиков и выкупа приходящих по железной до- роге грузов. Правительственный инспектор, а после решения Временного правительства именно так именовался директор завода Филиппов, шлет отчаянные письма в Морское министерство и Особый комитет по обороне государства. Выделенные с задержкой и в неполном объеме деньги вновь закончились в начале января 1918 года. Приехавшие в Правление в Петроград заводские делегаты Чистов, Миллер и Новиков добились очередной выплаты. Но проходило время, касса пустела. Опять директор шлет письма и телеграммы, получает меньше, чем просит и т. д. (12632).</w:t>
      </w:r>
    </w:p>
    <w:p w14:paraId="34A180BD" w14:textId="77777777" w:rsidR="00D124E5" w:rsidRPr="002F2FDF" w:rsidRDefault="00D124E5" w:rsidP="0083075A">
      <w:pPr>
        <w:spacing w:after="0" w:line="240" w:lineRule="auto"/>
        <w:jc w:val="both"/>
        <w:rPr>
          <w:rFonts w:ascii="Times New Roman" w:hAnsi="Times New Roman" w:cs="Times New Roman"/>
          <w:color w:val="000000" w:themeColor="text1"/>
          <w:kern w:val="2"/>
          <w:sz w:val="16"/>
          <w:szCs w:val="16"/>
        </w:rPr>
      </w:pPr>
    </w:p>
    <w:p w14:paraId="32D49FB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1917 г. договоренность претерпела изменения и фирме Мельцера давалось по</w:t>
      </w:r>
      <w:r w:rsidRPr="002F2FDF">
        <w:rPr>
          <w:rFonts w:ascii="Times New Roman" w:hAnsi="Times New Roman" w:cs="Times New Roman"/>
          <w:color w:val="000000" w:themeColor="text1"/>
          <w:kern w:val="2"/>
          <w:sz w:val="16"/>
          <w:szCs w:val="16"/>
        </w:rPr>
        <w:softHyphen/>
        <w:t>ручение строить 25 разведчиков и 55 сухопутных истребителей неустановленных типов. По</w:t>
      </w:r>
      <w:r w:rsidRPr="002F2FDF">
        <w:rPr>
          <w:rFonts w:ascii="Times New Roman" w:hAnsi="Times New Roman" w:cs="Times New Roman"/>
          <w:color w:val="000000" w:themeColor="text1"/>
          <w:kern w:val="2"/>
          <w:sz w:val="16"/>
          <w:szCs w:val="16"/>
        </w:rPr>
        <w:softHyphen/>
        <w:t>нятно, что пересмотру подверглось и дело в отношении истребителей Энгельса. Сроки их выпуска сначала продлили, а 15 июля компании официально заказали только 2 прототипа летающей лодки типа Э.1П, на каждом из которых планировалась установка мотора "Рон" 125 л.с. Ко дню подписания контракта одна из опытных машин была, по всей видимости, уже готова, но ее испытания начались только 24 августа. Гидроаэроплан Э.1П №1 был дви</w:t>
      </w:r>
      <w:r w:rsidRPr="002F2FDF">
        <w:rPr>
          <w:rFonts w:ascii="Times New Roman" w:hAnsi="Times New Roman" w:cs="Times New Roman"/>
          <w:color w:val="000000" w:themeColor="text1"/>
          <w:kern w:val="2"/>
          <w:sz w:val="16"/>
          <w:szCs w:val="16"/>
        </w:rPr>
        <w:softHyphen/>
        <w:t>жим номинально 120-сильным "Роном", развивавшим на деле 131 л.с. Свинцовый груз в левом крыле оказался недостаточным для компенсации гироскопического эффекта более мощной энергетической установки и вероятно поэтому летающая лодка зарывалась в воду законцовкой правого крыла, так и не выйдя на редан и не оторвавшись от морской повер</w:t>
      </w:r>
      <w:r w:rsidRPr="002F2FDF">
        <w:rPr>
          <w:rFonts w:ascii="Times New Roman" w:hAnsi="Times New Roman" w:cs="Times New Roman"/>
          <w:color w:val="000000" w:themeColor="text1"/>
          <w:kern w:val="2"/>
          <w:sz w:val="16"/>
          <w:szCs w:val="16"/>
        </w:rPr>
        <w:softHyphen/>
        <w:t>хности. Управлял ею во время этого неудачного эксперимента лейтенант Н.А. Яковицкий, инструктор Петроградской школы морской авиации, а сам опыт осуществлялся на станции Мельцера на Крестовском острове. К 25 сентября недостаток конструкции устранили, скорее всего путем увеличения противовеса, и согласно Шаврову 10 октября аэроплан был якобы принят флотом (автор не нашел подтверждения этой информации). Аппарат Э.1П №2 со</w:t>
      </w:r>
      <w:r w:rsidRPr="002F2FDF">
        <w:rPr>
          <w:rFonts w:ascii="Times New Roman" w:hAnsi="Times New Roman" w:cs="Times New Roman"/>
          <w:color w:val="000000" w:themeColor="text1"/>
          <w:kern w:val="2"/>
          <w:sz w:val="16"/>
          <w:szCs w:val="16"/>
        </w:rPr>
        <w:softHyphen/>
        <w:t>брали к 1 августа 1917 г., но затем планировалось вносить в него какие-то улучшения по результатам испытаний №1.</w:t>
      </w:r>
    </w:p>
    <w:p w14:paraId="21FEF24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A1C21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1917 г. владения ПРТВ выглядели следующим образом: контора, завод и испытательно-сбороч</w:t>
      </w:r>
      <w:r w:rsidRPr="002F2FDF">
        <w:rPr>
          <w:rFonts w:ascii="Times New Roman" w:hAnsi="Times New Roman" w:cs="Times New Roman"/>
          <w:color w:val="000000" w:themeColor="text1"/>
          <w:kern w:val="2"/>
          <w:sz w:val="16"/>
          <w:szCs w:val="16"/>
        </w:rPr>
        <w:softHyphen/>
        <w:t>ное отделение, плюс испытательная станция в Петрограде (адреса, соответственно: Большая Гребецкая улица, дом 73, телеграфный код ГАМАЮН; Корпусная улица, дом 3; Комендантский аэродром; Крес</w:t>
      </w:r>
      <w:r w:rsidRPr="002F2FDF">
        <w:rPr>
          <w:rFonts w:ascii="Times New Roman" w:hAnsi="Times New Roman" w:cs="Times New Roman"/>
          <w:color w:val="000000" w:themeColor="text1"/>
          <w:kern w:val="2"/>
          <w:sz w:val="16"/>
          <w:szCs w:val="16"/>
        </w:rPr>
        <w:softHyphen/>
        <w:t>товский остров) и еще одна сдаточно-испытательная станция в Севастополе (телеграфный адрес ГИДРОМЕГА).</w:t>
      </w:r>
    </w:p>
    <w:p w14:paraId="749F076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сказанного очевидно, что Щетинин сумел изрядно расширить свои столичные владения. Шесто</w:t>
      </w:r>
      <w:r w:rsidRPr="002F2FDF">
        <w:rPr>
          <w:rFonts w:ascii="Times New Roman" w:hAnsi="Times New Roman" w:cs="Times New Roman"/>
          <w:color w:val="000000" w:themeColor="text1"/>
          <w:kern w:val="2"/>
          <w:sz w:val="16"/>
          <w:szCs w:val="16"/>
        </w:rPr>
        <w:softHyphen/>
        <w:t>го июля 1916 г. он известил МГШ о ликвидации заказов Военного ведомства, следствием чего явилась посланная в Управление военно-воздушного флота просьба Воздухоплавательного отделения о перехо</w:t>
      </w:r>
      <w:r w:rsidRPr="002F2FDF">
        <w:rPr>
          <w:rFonts w:ascii="Times New Roman" w:hAnsi="Times New Roman" w:cs="Times New Roman"/>
          <w:color w:val="000000" w:themeColor="text1"/>
          <w:kern w:val="2"/>
          <w:sz w:val="16"/>
          <w:szCs w:val="16"/>
        </w:rPr>
        <w:softHyphen/>
        <w:t>де ПРТВ на выполнение контрактов исключительно Морского министерства. Десятого октября лично Морской министр И. К. Григорович ходатайствовал перед командиром Петроградской крепости о пере</w:t>
      </w:r>
      <w:r w:rsidRPr="002F2FDF">
        <w:rPr>
          <w:rFonts w:ascii="Times New Roman" w:hAnsi="Times New Roman" w:cs="Times New Roman"/>
          <w:color w:val="000000" w:themeColor="text1"/>
          <w:kern w:val="2"/>
          <w:sz w:val="16"/>
          <w:szCs w:val="16"/>
        </w:rPr>
        <w:softHyphen/>
        <w:t>даче участка площадью около 4 гектаров: обоснованием служил тот факт, что на Комендантском аэро</w:t>
      </w:r>
      <w:r w:rsidRPr="002F2FDF">
        <w:rPr>
          <w:rFonts w:ascii="Times New Roman" w:hAnsi="Times New Roman" w:cs="Times New Roman"/>
          <w:color w:val="000000" w:themeColor="text1"/>
          <w:kern w:val="2"/>
          <w:sz w:val="16"/>
          <w:szCs w:val="16"/>
        </w:rPr>
        <w:softHyphen/>
        <w:t>дроме на арендуемой у Императорского всероссийского аэроклуба земле компания заканчивала возве</w:t>
      </w:r>
      <w:r w:rsidRPr="002F2FDF">
        <w:rPr>
          <w:rFonts w:ascii="Times New Roman" w:hAnsi="Times New Roman" w:cs="Times New Roman"/>
          <w:color w:val="000000" w:themeColor="text1"/>
          <w:kern w:val="2"/>
          <w:sz w:val="16"/>
          <w:szCs w:val="16"/>
        </w:rPr>
        <w:softHyphen/>
        <w:t>дение нового завода и нуждалась в складе.</w:t>
      </w:r>
    </w:p>
    <w:p w14:paraId="13ECC71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Фабрикант имел все основания думать об увеличении производственных мощностей. В 1916 г. он получил заказы на 105 аппаратов типа М-5, 165 М-9, 75 М-11, 100 М-15, 50 М-16 и 10 ГАСН, а в следующем году общее число просимых у компании гидроаэропланов грозило достигнуть 1 тыс. 800-2 тыс. единиц. Однако при тогдашних условиях такой объем работ вряд ли мог быть исполнен, и в июле 1917 г. месячный выпуск ПРТВ составлял около 40 аппаратов. По всей вероятности, Морское ведом</w:t>
      </w:r>
      <w:r w:rsidRPr="002F2FDF">
        <w:rPr>
          <w:rFonts w:ascii="Times New Roman" w:hAnsi="Times New Roman" w:cs="Times New Roman"/>
          <w:color w:val="000000" w:themeColor="text1"/>
          <w:kern w:val="2"/>
          <w:sz w:val="16"/>
          <w:szCs w:val="16"/>
        </w:rPr>
        <w:softHyphen/>
        <w:t>ство и производитель возлагали все надежды на ярославльский филиал, которому предстояло также строить истребители “Спад” и многоцелевые бипланы типа “Ди-Эйч-Найн” (“Де Хэвиллэнд-9”). Пер</w:t>
      </w:r>
      <w:r w:rsidRPr="002F2FDF">
        <w:rPr>
          <w:rFonts w:ascii="Times New Roman" w:hAnsi="Times New Roman" w:cs="Times New Roman"/>
          <w:color w:val="000000" w:themeColor="text1"/>
          <w:kern w:val="2"/>
          <w:sz w:val="16"/>
          <w:szCs w:val="16"/>
        </w:rPr>
        <w:softHyphen/>
        <w:t>вую партию в 20-30 крылатых машин ожидали, по плану, в январе 1918 г., но, как уже говорилось, вся программа обернулась всего лишь “воздушным замком”, исчезнувшим вместе с налетевшими порывами злого холодного ветра (2807).</w:t>
      </w:r>
    </w:p>
    <w:p w14:paraId="7D9EF68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8C9978"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конце 1917 г. на Черном море их числи</w:t>
      </w:r>
      <w:r w:rsidRPr="00FB4F67">
        <w:rPr>
          <w:rFonts w:ascii="Times New Roman" w:hAnsi="Times New Roman" w:cs="Times New Roman"/>
          <w:color w:val="0070C0"/>
          <w:sz w:val="16"/>
          <w:szCs w:val="16"/>
        </w:rPr>
        <w:softHyphen/>
        <w:t>лось 24 экземпляра М-5.</w:t>
      </w:r>
    </w:p>
    <w:p w14:paraId="1AE86CC2"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Вооружение боевых М-5 состояло из од</w:t>
      </w:r>
      <w:r w:rsidRPr="00FB4F67">
        <w:rPr>
          <w:rFonts w:ascii="Times New Roman" w:hAnsi="Times New Roman" w:cs="Times New Roman"/>
          <w:color w:val="0070C0"/>
          <w:sz w:val="16"/>
          <w:szCs w:val="16"/>
        </w:rPr>
        <w:softHyphen/>
        <w:t>ного пулемета «Максим», «Виккерс» или «Льюис», установленных на треноге перед правым членом экипажа, нескольких 8</w:t>
      </w:r>
      <w:r w:rsidRPr="00FB4F67">
        <w:rPr>
          <w:rFonts w:ascii="Times New Roman" w:hAnsi="Times New Roman" w:cs="Times New Roman"/>
          <w:color w:val="0070C0"/>
          <w:sz w:val="16"/>
          <w:szCs w:val="16"/>
        </w:rPr>
        <w:softHyphen/>
        <w:t>фунтовых или двух 50-фунтовых бомб. С ноября 1915 г. на отдельных экземплярах устанавливали радиотелеграфные станции с дальностью связи 40 км и фотоаппараты «Потте».</w:t>
      </w:r>
    </w:p>
    <w:p w14:paraId="61A111FC"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Черноморские М-5 базировались в Сева</w:t>
      </w:r>
      <w:r w:rsidRPr="00FB4F67">
        <w:rPr>
          <w:rFonts w:ascii="Times New Roman" w:hAnsi="Times New Roman" w:cs="Times New Roman"/>
          <w:color w:val="0070C0"/>
          <w:sz w:val="16"/>
          <w:szCs w:val="16"/>
        </w:rPr>
        <w:softHyphen/>
        <w:t>стополе (1-й и 2-й отряды Воздушной ди</w:t>
      </w:r>
      <w:r w:rsidRPr="00FB4F67">
        <w:rPr>
          <w:rFonts w:ascii="Times New Roman" w:hAnsi="Times New Roman" w:cs="Times New Roman"/>
          <w:color w:val="0070C0"/>
          <w:sz w:val="16"/>
          <w:szCs w:val="16"/>
        </w:rPr>
        <w:softHyphen/>
        <w:t>визии), Одессе и Батуме (Кавказский фронт). Кроме этого, часть аппаратов была приписана к 1, 2 и 3-му корабельным авиа</w:t>
      </w:r>
      <w:r w:rsidRPr="00FB4F67">
        <w:rPr>
          <w:rFonts w:ascii="Times New Roman" w:hAnsi="Times New Roman" w:cs="Times New Roman"/>
          <w:color w:val="0070C0"/>
          <w:sz w:val="16"/>
          <w:szCs w:val="16"/>
        </w:rPr>
        <w:softHyphen/>
        <w:t>отрядам на гидрокрейсерах «Александр I» и «Николай I». В отдельных случаях самолеты доставляли крейсеры «Алмаз» и «Па</w:t>
      </w:r>
      <w:r w:rsidRPr="00FB4F67">
        <w:rPr>
          <w:rFonts w:ascii="Times New Roman" w:hAnsi="Times New Roman" w:cs="Times New Roman"/>
          <w:color w:val="0070C0"/>
          <w:sz w:val="16"/>
          <w:szCs w:val="16"/>
        </w:rPr>
        <w:softHyphen/>
        <w:t>мять Меркурия» (23374).</w:t>
      </w:r>
    </w:p>
    <w:p w14:paraId="7B3BE3A2" w14:textId="77777777" w:rsidR="00DC0C73" w:rsidRPr="00FB4F67" w:rsidRDefault="00DC0C73" w:rsidP="0083075A">
      <w:pPr>
        <w:spacing w:after="0" w:line="240" w:lineRule="auto"/>
        <w:jc w:val="both"/>
        <w:rPr>
          <w:rFonts w:ascii="Times New Roman" w:hAnsi="Times New Roman" w:cs="Times New Roman"/>
          <w:color w:val="0070C0"/>
          <w:sz w:val="16"/>
          <w:szCs w:val="16"/>
        </w:rPr>
      </w:pPr>
    </w:p>
    <w:p w14:paraId="4398BE0E"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До конца 1917 г. продолжалась постройка М-15, начавшаяся со второй половины 1916 г. Всего изготовили 54 М-15, большая часть их использовалась на Балтике, ори</w:t>
      </w:r>
      <w:r w:rsidRPr="00FB4F67">
        <w:rPr>
          <w:rFonts w:ascii="Times New Roman" w:hAnsi="Times New Roman" w:cs="Times New Roman"/>
          <w:color w:val="0070C0"/>
          <w:sz w:val="16"/>
          <w:szCs w:val="16"/>
        </w:rPr>
        <w:softHyphen/>
        <w:t>ентировочно до двух десятков на Черном море и два экземпляра в летной школе в Баку. Два самолета достались Финляндии, один М-15 был захвачен неприятелем, эва</w:t>
      </w:r>
      <w:r w:rsidRPr="00FB4F67">
        <w:rPr>
          <w:rFonts w:ascii="Times New Roman" w:hAnsi="Times New Roman" w:cs="Times New Roman"/>
          <w:color w:val="0070C0"/>
          <w:sz w:val="16"/>
          <w:szCs w:val="16"/>
        </w:rPr>
        <w:softHyphen/>
        <w:t>куирован на германскую территорию, по</w:t>
      </w:r>
      <w:r w:rsidRPr="00FB4F67">
        <w:rPr>
          <w:rFonts w:ascii="Times New Roman" w:hAnsi="Times New Roman" w:cs="Times New Roman"/>
          <w:color w:val="0070C0"/>
          <w:sz w:val="16"/>
          <w:szCs w:val="16"/>
        </w:rPr>
        <w:softHyphen/>
        <w:t>зднее попал в музей авиации в Берлине, в котором находился до 1945 г. Затем был вывезен в Польшу, где хранится по сей день в авиационном музее в городе Кра</w:t>
      </w:r>
      <w:r w:rsidRPr="00FB4F67">
        <w:rPr>
          <w:rFonts w:ascii="Times New Roman" w:hAnsi="Times New Roman" w:cs="Times New Roman"/>
          <w:color w:val="0070C0"/>
          <w:sz w:val="16"/>
          <w:szCs w:val="16"/>
        </w:rPr>
        <w:softHyphen/>
        <w:t>ков.</w:t>
      </w:r>
    </w:p>
    <w:p w14:paraId="55BFF0D5"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Летные и технические характеристики М-15</w:t>
      </w:r>
    </w:p>
    <w:tbl>
      <w:tblPr>
        <w:tblOverlap w:val="never"/>
        <w:tblW w:w="0" w:type="auto"/>
        <w:tblLayout w:type="fixed"/>
        <w:tblCellMar>
          <w:left w:w="10" w:type="dxa"/>
          <w:right w:w="10" w:type="dxa"/>
        </w:tblCellMar>
        <w:tblLook w:val="0000" w:firstRow="0" w:lastRow="0" w:firstColumn="0" w:lastColumn="0" w:noHBand="0" w:noVBand="0"/>
      </w:tblPr>
      <w:tblGrid>
        <w:gridCol w:w="3850"/>
        <w:gridCol w:w="1872"/>
      </w:tblGrid>
      <w:tr w:rsidR="00DC0C73" w:rsidRPr="00FB4F67" w14:paraId="608B6A54" w14:textId="77777777" w:rsidTr="00B85784">
        <w:trPr>
          <w:trHeight w:val="264"/>
        </w:trPr>
        <w:tc>
          <w:tcPr>
            <w:tcW w:w="3850" w:type="dxa"/>
            <w:tcBorders>
              <w:top w:val="single" w:sz="4" w:space="0" w:color="auto"/>
              <w:left w:val="single" w:sz="4" w:space="0" w:color="auto"/>
            </w:tcBorders>
            <w:shd w:val="clear" w:color="auto" w:fill="auto"/>
            <w:vAlign w:val="bottom"/>
          </w:tcPr>
          <w:p w14:paraId="3F86FBBD"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Размах верхнего крыла (м)</w:t>
            </w:r>
          </w:p>
        </w:tc>
        <w:tc>
          <w:tcPr>
            <w:tcW w:w="1872" w:type="dxa"/>
            <w:tcBorders>
              <w:top w:val="single" w:sz="4" w:space="0" w:color="auto"/>
              <w:right w:val="single" w:sz="4" w:space="0" w:color="auto"/>
            </w:tcBorders>
            <w:shd w:val="clear" w:color="auto" w:fill="auto"/>
            <w:vAlign w:val="bottom"/>
          </w:tcPr>
          <w:p w14:paraId="38744BC4"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11,50 (11,9*)</w:t>
            </w:r>
          </w:p>
        </w:tc>
      </w:tr>
      <w:tr w:rsidR="00DC0C73" w:rsidRPr="00FB4F67" w14:paraId="4832D6B5" w14:textId="77777777" w:rsidTr="00B85784">
        <w:trPr>
          <w:trHeight w:val="192"/>
        </w:trPr>
        <w:tc>
          <w:tcPr>
            <w:tcW w:w="3850" w:type="dxa"/>
            <w:tcBorders>
              <w:left w:val="single" w:sz="4" w:space="0" w:color="auto"/>
            </w:tcBorders>
            <w:shd w:val="clear" w:color="auto" w:fill="auto"/>
          </w:tcPr>
          <w:p w14:paraId="5F7B0755"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Длина в линии полета (м)</w:t>
            </w:r>
          </w:p>
        </w:tc>
        <w:tc>
          <w:tcPr>
            <w:tcW w:w="1872" w:type="dxa"/>
            <w:tcBorders>
              <w:right w:val="single" w:sz="4" w:space="0" w:color="auto"/>
            </w:tcBorders>
            <w:shd w:val="clear" w:color="auto" w:fill="auto"/>
          </w:tcPr>
          <w:p w14:paraId="0DD53A86"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8,385 (8,43*)</w:t>
            </w:r>
          </w:p>
        </w:tc>
      </w:tr>
      <w:tr w:rsidR="00DC0C73" w:rsidRPr="00FB4F67" w14:paraId="10DC550F" w14:textId="77777777" w:rsidTr="00B85784">
        <w:trPr>
          <w:trHeight w:val="197"/>
        </w:trPr>
        <w:tc>
          <w:tcPr>
            <w:tcW w:w="3850" w:type="dxa"/>
            <w:tcBorders>
              <w:left w:val="single" w:sz="4" w:space="0" w:color="auto"/>
            </w:tcBorders>
            <w:shd w:val="clear" w:color="auto" w:fill="auto"/>
            <w:vAlign w:val="bottom"/>
          </w:tcPr>
          <w:p w14:paraId="6163C826"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Площадь крыльев (м2)</w:t>
            </w:r>
          </w:p>
        </w:tc>
        <w:tc>
          <w:tcPr>
            <w:tcW w:w="1872" w:type="dxa"/>
            <w:tcBorders>
              <w:right w:val="single" w:sz="4" w:space="0" w:color="auto"/>
            </w:tcBorders>
            <w:shd w:val="clear" w:color="auto" w:fill="auto"/>
            <w:vAlign w:val="bottom"/>
          </w:tcPr>
          <w:p w14:paraId="4C02574F"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45,48</w:t>
            </w:r>
          </w:p>
        </w:tc>
      </w:tr>
      <w:tr w:rsidR="00DC0C73" w:rsidRPr="00FB4F67" w14:paraId="23184F0D" w14:textId="77777777" w:rsidTr="00B85784">
        <w:trPr>
          <w:trHeight w:val="192"/>
        </w:trPr>
        <w:tc>
          <w:tcPr>
            <w:tcW w:w="3850" w:type="dxa"/>
            <w:tcBorders>
              <w:left w:val="single" w:sz="4" w:space="0" w:color="auto"/>
            </w:tcBorders>
            <w:shd w:val="clear" w:color="auto" w:fill="auto"/>
          </w:tcPr>
          <w:p w14:paraId="6FB7CE61"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Вес пустого (кг)</w:t>
            </w:r>
          </w:p>
        </w:tc>
        <w:tc>
          <w:tcPr>
            <w:tcW w:w="1872" w:type="dxa"/>
            <w:tcBorders>
              <w:right w:val="single" w:sz="4" w:space="0" w:color="auto"/>
            </w:tcBorders>
            <w:shd w:val="clear" w:color="auto" w:fill="auto"/>
          </w:tcPr>
          <w:p w14:paraId="79754656"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840</w:t>
            </w:r>
          </w:p>
        </w:tc>
      </w:tr>
      <w:tr w:rsidR="00DC0C73" w:rsidRPr="00FB4F67" w14:paraId="02FA4662" w14:textId="77777777" w:rsidTr="00B85784">
        <w:trPr>
          <w:trHeight w:val="187"/>
        </w:trPr>
        <w:tc>
          <w:tcPr>
            <w:tcW w:w="3850" w:type="dxa"/>
            <w:tcBorders>
              <w:left w:val="single" w:sz="4" w:space="0" w:color="auto"/>
            </w:tcBorders>
            <w:shd w:val="clear" w:color="auto" w:fill="auto"/>
          </w:tcPr>
          <w:p w14:paraId="769D584C"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Полетный вес (кг)</w:t>
            </w:r>
          </w:p>
        </w:tc>
        <w:tc>
          <w:tcPr>
            <w:tcW w:w="1872" w:type="dxa"/>
            <w:tcBorders>
              <w:right w:val="single" w:sz="4" w:space="0" w:color="auto"/>
            </w:tcBorders>
            <w:shd w:val="clear" w:color="auto" w:fill="auto"/>
          </w:tcPr>
          <w:p w14:paraId="0D514CC1"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1320</w:t>
            </w:r>
          </w:p>
        </w:tc>
      </w:tr>
      <w:tr w:rsidR="00DC0C73" w:rsidRPr="00FB4F67" w14:paraId="700091C0" w14:textId="77777777" w:rsidTr="00B85784">
        <w:trPr>
          <w:trHeight w:val="206"/>
        </w:trPr>
        <w:tc>
          <w:tcPr>
            <w:tcW w:w="3850" w:type="dxa"/>
            <w:tcBorders>
              <w:left w:val="single" w:sz="4" w:space="0" w:color="auto"/>
            </w:tcBorders>
            <w:shd w:val="clear" w:color="auto" w:fill="auto"/>
          </w:tcPr>
          <w:p w14:paraId="566ACEE7"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lastRenderedPageBreak/>
              <w:t>Скорость у земли (км/ч)</w:t>
            </w:r>
          </w:p>
        </w:tc>
        <w:tc>
          <w:tcPr>
            <w:tcW w:w="1872" w:type="dxa"/>
            <w:tcBorders>
              <w:right w:val="single" w:sz="4" w:space="0" w:color="auto"/>
            </w:tcBorders>
            <w:shd w:val="clear" w:color="auto" w:fill="auto"/>
          </w:tcPr>
          <w:p w14:paraId="5A9061B0"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125-130</w:t>
            </w:r>
          </w:p>
        </w:tc>
      </w:tr>
      <w:tr w:rsidR="00DC0C73" w:rsidRPr="00FB4F67" w14:paraId="40568E39" w14:textId="77777777" w:rsidTr="00B85784">
        <w:trPr>
          <w:trHeight w:val="197"/>
        </w:trPr>
        <w:tc>
          <w:tcPr>
            <w:tcW w:w="3850" w:type="dxa"/>
            <w:tcBorders>
              <w:left w:val="single" w:sz="4" w:space="0" w:color="auto"/>
            </w:tcBorders>
            <w:shd w:val="clear" w:color="auto" w:fill="auto"/>
          </w:tcPr>
          <w:p w14:paraId="60E45368"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Время набора высоты 2000 м (мин)</w:t>
            </w:r>
          </w:p>
        </w:tc>
        <w:tc>
          <w:tcPr>
            <w:tcW w:w="1872" w:type="dxa"/>
            <w:tcBorders>
              <w:right w:val="single" w:sz="4" w:space="0" w:color="auto"/>
            </w:tcBorders>
            <w:shd w:val="clear" w:color="auto" w:fill="auto"/>
          </w:tcPr>
          <w:p w14:paraId="3260A2E9"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20</w:t>
            </w:r>
          </w:p>
        </w:tc>
      </w:tr>
      <w:tr w:rsidR="00DC0C73" w:rsidRPr="00FB4F67" w14:paraId="68333805" w14:textId="77777777" w:rsidTr="00B85784">
        <w:trPr>
          <w:trHeight w:val="192"/>
        </w:trPr>
        <w:tc>
          <w:tcPr>
            <w:tcW w:w="3850" w:type="dxa"/>
            <w:tcBorders>
              <w:left w:val="single" w:sz="4" w:space="0" w:color="auto"/>
            </w:tcBorders>
            <w:shd w:val="clear" w:color="auto" w:fill="auto"/>
          </w:tcPr>
          <w:p w14:paraId="539B08C8"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Потолок (м)</w:t>
            </w:r>
          </w:p>
        </w:tc>
        <w:tc>
          <w:tcPr>
            <w:tcW w:w="1872" w:type="dxa"/>
            <w:tcBorders>
              <w:right w:val="single" w:sz="4" w:space="0" w:color="auto"/>
            </w:tcBorders>
            <w:shd w:val="clear" w:color="auto" w:fill="auto"/>
          </w:tcPr>
          <w:p w14:paraId="7DACC5F5"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3500</w:t>
            </w:r>
          </w:p>
        </w:tc>
      </w:tr>
      <w:tr w:rsidR="00DC0C73" w:rsidRPr="00FB4F67" w14:paraId="1528CABB" w14:textId="77777777" w:rsidTr="00B85784">
        <w:trPr>
          <w:trHeight w:val="230"/>
        </w:trPr>
        <w:tc>
          <w:tcPr>
            <w:tcW w:w="3850" w:type="dxa"/>
            <w:tcBorders>
              <w:left w:val="single" w:sz="4" w:space="0" w:color="auto"/>
              <w:bottom w:val="single" w:sz="4" w:space="0" w:color="auto"/>
            </w:tcBorders>
            <w:shd w:val="clear" w:color="auto" w:fill="auto"/>
          </w:tcPr>
          <w:p w14:paraId="0FF906F0"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Продолжительность полета (час)</w:t>
            </w:r>
          </w:p>
        </w:tc>
        <w:tc>
          <w:tcPr>
            <w:tcW w:w="1872" w:type="dxa"/>
            <w:tcBorders>
              <w:bottom w:val="single" w:sz="4" w:space="0" w:color="auto"/>
              <w:right w:val="single" w:sz="4" w:space="0" w:color="auto"/>
            </w:tcBorders>
            <w:shd w:val="clear" w:color="auto" w:fill="auto"/>
          </w:tcPr>
          <w:p w14:paraId="5F8BE6F9"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5</w:t>
            </w:r>
          </w:p>
        </w:tc>
      </w:tr>
    </w:tbl>
    <w:p w14:paraId="58F62D77"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(23374).</w:t>
      </w:r>
    </w:p>
    <w:p w14:paraId="773B1DA5" w14:textId="77777777" w:rsidR="00DC0C73" w:rsidRPr="00FB4F67" w:rsidRDefault="00DC0C73" w:rsidP="0083075A">
      <w:pPr>
        <w:spacing w:after="0" w:line="240" w:lineRule="auto"/>
        <w:jc w:val="both"/>
        <w:rPr>
          <w:rFonts w:ascii="Times New Roman" w:hAnsi="Times New Roman" w:cs="Times New Roman"/>
          <w:color w:val="0070C0"/>
          <w:sz w:val="16"/>
          <w:szCs w:val="16"/>
        </w:rPr>
      </w:pPr>
    </w:p>
    <w:p w14:paraId="5663865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1917 г. “Дукс” построив 100 Спадов VII из-за отсутствия дефицитных двигателей выпуск прекратили. Еще более дефицитны</w:t>
      </w:r>
      <w:r w:rsidRPr="002F2FDF">
        <w:rPr>
          <w:rFonts w:ascii="Times New Roman" w:hAnsi="Times New Roman" w:cs="Times New Roman"/>
          <w:color w:val="000000" w:themeColor="text1"/>
          <w:kern w:val="2"/>
          <w:sz w:val="16"/>
          <w:szCs w:val="16"/>
        </w:rPr>
        <w:softHyphen/>
        <w:t>ми являлись мощные 200-сильные моторы “Испано-Сюи</w:t>
      </w:r>
      <w:r w:rsidRPr="002F2FDF">
        <w:rPr>
          <w:rFonts w:ascii="Times New Roman" w:hAnsi="Times New Roman" w:cs="Times New Roman"/>
          <w:color w:val="000000" w:themeColor="text1"/>
          <w:kern w:val="2"/>
          <w:sz w:val="16"/>
          <w:szCs w:val="16"/>
        </w:rPr>
        <w:softHyphen/>
        <w:t>за” для истребителя “Спад-ХШ”, развивавшего скорость ~200 км/ч (один из самых быстрых боевых самолетов тех лет, но неясно, строили ли его на “Дуксе”) (9651).</w:t>
      </w:r>
    </w:p>
    <w:p w14:paraId="4325523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CF81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конца 1917 г. часть из аэропланов, заказанных 3 (16) августа 1917 50 тренировочных "Ньюпоров" тип 10, 25 истребителей "Ньюпор" тип 17 и еще 10 истребителей "Спад" тип 7, под ротативные моторы "Рон" 110 л.с. и стационарные двигатели "Испано-Суиза" 150 л.с., успели принять. Таким обра</w:t>
      </w:r>
      <w:r w:rsidRPr="002F2FDF">
        <w:rPr>
          <w:rFonts w:ascii="Times New Roman" w:hAnsi="Times New Roman" w:cs="Times New Roman"/>
          <w:color w:val="000000" w:themeColor="text1"/>
          <w:kern w:val="2"/>
          <w:sz w:val="16"/>
          <w:szCs w:val="16"/>
        </w:rPr>
        <w:softHyphen/>
        <w:t>зом, "Дукс" все же вошел в список фирм, работавших на флот (2843).</w:t>
      </w:r>
    </w:p>
    <w:p w14:paraId="789DCDA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2</w:t>
      </w:r>
    </w:p>
    <w:p w14:paraId="58E7B7B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Некоторые статистические данные об авиационном отделении компании "Дукс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2F2FDF" w14:paraId="607B5A04" w14:textId="77777777">
        <w:tc>
          <w:tcPr>
            <w:tcW w:w="4788" w:type="dxa"/>
            <w:tcBorders>
              <w:top w:val="single" w:sz="12" w:space="0" w:color="auto"/>
            </w:tcBorders>
            <w:shd w:val="clear" w:color="auto" w:fill="FFFFFF"/>
          </w:tcPr>
          <w:p w14:paraId="4C7EDF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 основания</w:t>
            </w:r>
          </w:p>
        </w:tc>
        <w:tc>
          <w:tcPr>
            <w:tcW w:w="4788" w:type="dxa"/>
            <w:tcBorders>
              <w:top w:val="single" w:sz="12" w:space="0" w:color="auto"/>
            </w:tcBorders>
            <w:shd w:val="clear" w:color="auto" w:fill="FFFFFF"/>
          </w:tcPr>
          <w:p w14:paraId="3A4ABE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1910</w:t>
            </w:r>
          </w:p>
        </w:tc>
      </w:tr>
      <w:tr w:rsidR="002B1C74" w:rsidRPr="002F2FDF" w14:paraId="4491E82B" w14:textId="77777777">
        <w:tc>
          <w:tcPr>
            <w:tcW w:w="4788" w:type="dxa"/>
            <w:shd w:val="clear" w:color="auto" w:fill="FFFFFF"/>
          </w:tcPr>
          <w:p w14:paraId="77392E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строений к 1918 г., кв.м</w:t>
            </w:r>
          </w:p>
        </w:tc>
        <w:tc>
          <w:tcPr>
            <w:tcW w:w="4788" w:type="dxa"/>
            <w:shd w:val="clear" w:color="auto" w:fill="FFFFFF"/>
          </w:tcPr>
          <w:p w14:paraId="67BFCF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36.472</w:t>
            </w:r>
          </w:p>
        </w:tc>
      </w:tr>
      <w:tr w:rsidR="002B1C74" w:rsidRPr="002F2FDF" w14:paraId="75DB8AF1" w14:textId="77777777">
        <w:tc>
          <w:tcPr>
            <w:tcW w:w="4788" w:type="dxa"/>
            <w:shd w:val="clear" w:color="auto" w:fill="FFFFFF"/>
          </w:tcPr>
          <w:p w14:paraId="2C8497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территории, кв.м</w:t>
            </w:r>
          </w:p>
        </w:tc>
        <w:tc>
          <w:tcPr>
            <w:tcW w:w="4788" w:type="dxa"/>
            <w:shd w:val="clear" w:color="auto" w:fill="FFFFFF"/>
          </w:tcPr>
          <w:p w14:paraId="75AC80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59.950</w:t>
            </w:r>
          </w:p>
        </w:tc>
      </w:tr>
      <w:tr w:rsidR="002B1C74" w:rsidRPr="002F2FDF" w14:paraId="0CF9555A" w14:textId="77777777">
        <w:tc>
          <w:tcPr>
            <w:tcW w:w="4788" w:type="dxa"/>
            <w:shd w:val="clear" w:color="auto" w:fill="FFFFFF"/>
          </w:tcPr>
          <w:p w14:paraId="026E47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Мощность энергетических установок, л.с.</w:t>
            </w:r>
          </w:p>
        </w:tc>
        <w:tc>
          <w:tcPr>
            <w:tcW w:w="4788" w:type="dxa"/>
            <w:shd w:val="clear" w:color="auto" w:fill="FFFFFF"/>
          </w:tcPr>
          <w:p w14:paraId="5BB013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480</w:t>
            </w:r>
          </w:p>
        </w:tc>
      </w:tr>
      <w:tr w:rsidR="002B1C74" w:rsidRPr="002F2FDF" w14:paraId="7770AD20" w14:textId="77777777">
        <w:tc>
          <w:tcPr>
            <w:tcW w:w="4788" w:type="dxa"/>
            <w:shd w:val="clear" w:color="auto" w:fill="FFFFFF"/>
          </w:tcPr>
          <w:p w14:paraId="544C17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двигателей</w:t>
            </w:r>
          </w:p>
        </w:tc>
        <w:tc>
          <w:tcPr>
            <w:tcW w:w="4788" w:type="dxa"/>
            <w:shd w:val="clear" w:color="auto" w:fill="FFFFFF"/>
          </w:tcPr>
          <w:p w14:paraId="062FEB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r>
      <w:tr w:rsidR="002B1C74" w:rsidRPr="002F2FDF" w14:paraId="264341A9" w14:textId="77777777">
        <w:tc>
          <w:tcPr>
            <w:tcW w:w="4788" w:type="dxa"/>
            <w:shd w:val="clear" w:color="auto" w:fill="FFFFFF"/>
          </w:tcPr>
          <w:p w14:paraId="38AE92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станков</w:t>
            </w:r>
          </w:p>
        </w:tc>
        <w:tc>
          <w:tcPr>
            <w:tcW w:w="4788" w:type="dxa"/>
            <w:shd w:val="clear" w:color="auto" w:fill="FFFFFF"/>
          </w:tcPr>
          <w:p w14:paraId="1C3E8A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195</w:t>
            </w:r>
          </w:p>
        </w:tc>
      </w:tr>
      <w:tr w:rsidR="002B1C74" w:rsidRPr="002F2FDF" w14:paraId="0A23D56F" w14:textId="77777777">
        <w:tc>
          <w:tcPr>
            <w:tcW w:w="4788" w:type="dxa"/>
            <w:shd w:val="clear" w:color="auto" w:fill="FFFFFF"/>
          </w:tcPr>
          <w:p w14:paraId="7D3AAC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служащих в 1917</w:t>
            </w:r>
          </w:p>
        </w:tc>
        <w:tc>
          <w:tcPr>
            <w:tcW w:w="4788" w:type="dxa"/>
            <w:shd w:val="clear" w:color="auto" w:fill="FFFFFF"/>
          </w:tcPr>
          <w:p w14:paraId="4EFAE4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около 300</w:t>
            </w:r>
          </w:p>
        </w:tc>
      </w:tr>
      <w:tr w:rsidR="002B1C74" w:rsidRPr="002F2FDF" w14:paraId="327E6002" w14:textId="77777777">
        <w:tc>
          <w:tcPr>
            <w:tcW w:w="4788" w:type="dxa"/>
            <w:shd w:val="clear" w:color="auto" w:fill="FFFFFF"/>
          </w:tcPr>
          <w:p w14:paraId="1BBFBE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рабочих в</w:t>
            </w:r>
          </w:p>
        </w:tc>
        <w:tc>
          <w:tcPr>
            <w:tcW w:w="4788" w:type="dxa"/>
            <w:shd w:val="clear" w:color="auto" w:fill="FFFFFF"/>
          </w:tcPr>
          <w:p w14:paraId="25F13B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23F89C88" w14:textId="77777777">
        <w:tc>
          <w:tcPr>
            <w:tcW w:w="4788" w:type="dxa"/>
            <w:shd w:val="clear" w:color="auto" w:fill="FFFFFF"/>
          </w:tcPr>
          <w:p w14:paraId="3535F9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 г.</w:t>
            </w:r>
          </w:p>
        </w:tc>
        <w:tc>
          <w:tcPr>
            <w:tcW w:w="4788" w:type="dxa"/>
            <w:shd w:val="clear" w:color="auto" w:fill="FFFFFF"/>
          </w:tcPr>
          <w:p w14:paraId="72B850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725</w:t>
            </w:r>
          </w:p>
        </w:tc>
      </w:tr>
      <w:tr w:rsidR="002B1C74" w:rsidRPr="002F2FDF" w14:paraId="5E51FB39" w14:textId="77777777">
        <w:tc>
          <w:tcPr>
            <w:tcW w:w="4788" w:type="dxa"/>
            <w:shd w:val="clear" w:color="auto" w:fill="FFFFFF"/>
          </w:tcPr>
          <w:p w14:paraId="1399C1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w:t>
            </w:r>
          </w:p>
        </w:tc>
        <w:tc>
          <w:tcPr>
            <w:tcW w:w="4788" w:type="dxa"/>
            <w:shd w:val="clear" w:color="auto" w:fill="FFFFFF"/>
          </w:tcPr>
          <w:p w14:paraId="0CA62E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850</w:t>
            </w:r>
          </w:p>
        </w:tc>
      </w:tr>
      <w:tr w:rsidR="002B1C74" w:rsidRPr="002F2FDF" w14:paraId="3BF41B4C" w14:textId="77777777">
        <w:tc>
          <w:tcPr>
            <w:tcW w:w="4788" w:type="dxa"/>
            <w:shd w:val="clear" w:color="auto" w:fill="FFFFFF"/>
          </w:tcPr>
          <w:p w14:paraId="0A1FB2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4788" w:type="dxa"/>
            <w:shd w:val="clear" w:color="auto" w:fill="FFFFFF"/>
          </w:tcPr>
          <w:p w14:paraId="7CFE1E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1575</w:t>
            </w:r>
          </w:p>
        </w:tc>
      </w:tr>
      <w:tr w:rsidR="002B1C74" w:rsidRPr="002F2FDF" w14:paraId="5CAEBC89" w14:textId="77777777">
        <w:tc>
          <w:tcPr>
            <w:tcW w:w="4788" w:type="dxa"/>
            <w:shd w:val="clear" w:color="auto" w:fill="FFFFFF"/>
          </w:tcPr>
          <w:p w14:paraId="1EC7FF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4788" w:type="dxa"/>
            <w:shd w:val="clear" w:color="auto" w:fill="FFFFFF"/>
          </w:tcPr>
          <w:p w14:paraId="79AF7F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2120</w:t>
            </w:r>
          </w:p>
        </w:tc>
      </w:tr>
      <w:tr w:rsidR="002B1C74" w:rsidRPr="002F2FDF" w14:paraId="5A087114" w14:textId="77777777">
        <w:tc>
          <w:tcPr>
            <w:tcW w:w="4788" w:type="dxa"/>
            <w:shd w:val="clear" w:color="auto" w:fill="FFFFFF"/>
          </w:tcPr>
          <w:p w14:paraId="3683AF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сданных аппаратов за период</w:t>
            </w:r>
          </w:p>
        </w:tc>
        <w:tc>
          <w:tcPr>
            <w:tcW w:w="4788" w:type="dxa"/>
            <w:shd w:val="clear" w:color="auto" w:fill="FFFFFF"/>
          </w:tcPr>
          <w:p w14:paraId="74FE47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0F0C7F84" w14:textId="77777777">
        <w:tc>
          <w:tcPr>
            <w:tcW w:w="4788" w:type="dxa"/>
            <w:shd w:val="clear" w:color="auto" w:fill="FFFFFF"/>
          </w:tcPr>
          <w:p w14:paraId="10E6E5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1910-1913 г.г.</w:t>
            </w:r>
          </w:p>
        </w:tc>
        <w:tc>
          <w:tcPr>
            <w:tcW w:w="4788" w:type="dxa"/>
            <w:shd w:val="clear" w:color="auto" w:fill="FFFFFF"/>
          </w:tcPr>
          <w:p w14:paraId="050AEC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137</w:t>
            </w:r>
          </w:p>
        </w:tc>
      </w:tr>
      <w:tr w:rsidR="002B1C74" w:rsidRPr="002F2FDF" w14:paraId="33DBC473" w14:textId="77777777">
        <w:tc>
          <w:tcPr>
            <w:tcW w:w="4788" w:type="dxa"/>
            <w:tcBorders>
              <w:bottom w:val="single" w:sz="12" w:space="0" w:color="auto"/>
            </w:tcBorders>
            <w:shd w:val="clear" w:color="auto" w:fill="FFFFFF"/>
          </w:tcPr>
          <w:p w14:paraId="6D8491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1914-1917 г.г.</w:t>
            </w:r>
          </w:p>
        </w:tc>
        <w:tc>
          <w:tcPr>
            <w:tcW w:w="4788" w:type="dxa"/>
            <w:tcBorders>
              <w:bottom w:val="single" w:sz="12" w:space="0" w:color="auto"/>
            </w:tcBorders>
            <w:shd w:val="clear" w:color="auto" w:fill="FFFFFF"/>
          </w:tcPr>
          <w:p w14:paraId="11C7AA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1569 (2843).</w:t>
            </w:r>
          </w:p>
        </w:tc>
      </w:tr>
    </w:tbl>
    <w:p w14:paraId="110C502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6B18D2" w14:textId="77777777" w:rsidR="006970C8" w:rsidRPr="002F2FDF" w:rsidRDefault="006970C8"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До конца 1917 года на летные испытания отправили менее 40 из 50 заказанных Морским ведомством «Ньюпоров-Х». 15 «Ньюпоров- XVII» сентябрьского заказа сдавали в полете с 28 ноября 1917 г. по 31 января 1918 г. Сколько из них реально успело попасть на фронт, а сколько так и осталось гнить в парк-складе и занимать места в сборочных цехах — точно неизвестно (15464).</w:t>
      </w:r>
    </w:p>
    <w:p w14:paraId="47A3FC6B" w14:textId="77777777" w:rsidR="006970C8" w:rsidRPr="002F2FDF" w:rsidRDefault="006970C8" w:rsidP="0083075A">
      <w:pPr>
        <w:pStyle w:val="2"/>
        <w:spacing w:before="0" w:beforeAutospacing="0" w:after="0" w:afterAutospacing="0"/>
        <w:jc w:val="both"/>
        <w:rPr>
          <w:b w:val="0"/>
          <w:color w:val="000000" w:themeColor="text1"/>
          <w:kern w:val="2"/>
          <w:sz w:val="16"/>
          <w:szCs w:val="16"/>
        </w:rPr>
      </w:pPr>
    </w:p>
    <w:p w14:paraId="79175D53" w14:textId="77777777" w:rsidR="006970C8" w:rsidRPr="002F2FDF" w:rsidRDefault="006970C8"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В конце 1917 г. попытки рабочих «Дукса» преодолеть сложившуюся на заводе тяжелую экономическую ситуацию успеха не имели. Хотя 14 ноября 1917 г. постановлением ВЦИК и Совнаркома в России ввели положение о рабочем контроле над производством, и два месяца 1917 г. и первое полугодие 1918 г. «Дукс» работал на основе временного договора, заключенного между старыми хозяевами и советской властью, последней в те дни было совсем не до авиации. Партийные деятели — Ю.АЛарин и Г.В.Зиновьев, сравнивали авиапромышленность с «ненужными теперь фабриками духов и помады» и для выживания рабочих предлагали делать, как и раньше, велосипеды.22 Писали, что помогло только личное обращение к В.И.Ленину. Странно, что до него не вмешался и не помог родному заводу бывший слесарь «Дукса» большевик А.В.Можаев, в 1912 г. инициатор забастовок на заводе, в 1917 г. — курсант авиашколы, с 28 октября — председатель Петроградского бюро комиссаров авиации и воздухоплавания при Военно-революционном комитете (15464).</w:t>
      </w:r>
    </w:p>
    <w:p w14:paraId="10642BCC" w14:textId="77777777" w:rsidR="006970C8" w:rsidRPr="002F2FDF" w:rsidRDefault="006970C8" w:rsidP="0083075A">
      <w:pPr>
        <w:pStyle w:val="2"/>
        <w:spacing w:before="0" w:beforeAutospacing="0" w:after="0" w:afterAutospacing="0"/>
        <w:jc w:val="both"/>
        <w:rPr>
          <w:b w:val="0"/>
          <w:color w:val="000000" w:themeColor="text1"/>
          <w:kern w:val="2"/>
          <w:sz w:val="16"/>
          <w:szCs w:val="16"/>
        </w:rPr>
      </w:pPr>
    </w:p>
    <w:p w14:paraId="6DF0E149" w14:textId="45512687" w:rsidR="006970C8" w:rsidRPr="002F2FDF" w:rsidRDefault="006970C8" w:rsidP="0083075A">
      <w:pPr>
        <w:shd w:val="clear" w:color="auto" w:fill="FFFFFF"/>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концу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выпуск одноместного истребителя-биплана «Спад-VII» с</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мотором водяного охлаждения «Испано-Сюиза»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140 л. с. (позже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150 л. с.), который быстро завоевал популярность у</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фронтовых летчиков и которых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Дукс</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построил около 100 машин, из-за отсутствия дефицитных двигателей прекратили. Еще более дефицитными были мощные 200-сильные моторы «Испано-Сюиза» для истребителя «Спад-ХШ», скорость которого превышала 200 км/ч (один из</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самых быстрых боевых самолетов).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России он</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встречался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единичных экземплярах, данных 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постройке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Дуксе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нет. Также нет данных 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попытках сборки или собственной постройки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Москве французских самолетов других фирм</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«Кодрон», «Бреге», «Сальмсон» и т. д. Единичные «Бреге», по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схеме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увеличенные «Вуазены»,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начале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летали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Московской авиашколе,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них прошли переподготовку несколько офицеров-летчиков. Два экземпляра экспериментального двухвинтового «Сальмсона» Sal-1-АЗ с</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единственным двигателем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245 л. с, передававшим крутящий момент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два винта между крыльями,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собрали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облетали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Ходынке, но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без успеха (15219).</w:t>
      </w:r>
    </w:p>
    <w:p w14:paraId="4CFFA5DB" w14:textId="77777777" w:rsidR="006970C8" w:rsidRPr="002F2FDF" w:rsidRDefault="006970C8"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068A919D" w14:textId="77777777" w:rsidR="006970C8" w:rsidRPr="002F2FDF" w:rsidRDefault="006970C8"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В самом конце 1917 г. — начале 1918 г. на Ходынке состоялся первый смотр авиации новой властью. Как вспоминал И.Т.Спирин, это произошло «тотчас после октябрьских боев, когда еще не смолкли орудийные залпы, когда на улицах еще разъезжали грузовики, наполненные вооруженными рабочими, когда еще не сняты были с плеч пулеметные ленты, а у поясов висели гранаты...» По его мемуарам, задуманная многими летчиками попытка обструкции большевиков не удалась, но именно с этого момента начались классовые чистки. М.Громов писал о прибывшей в школу комиссии по проверке личного состава. Его с близкими друзьями тогда еще не считали «классово чуждыми» и оставили в авиашколе, но многих товарищей по школе и теоретическим курсам после чистки не досчитались. (15464).</w:t>
      </w:r>
    </w:p>
    <w:p w14:paraId="0D00D95A" w14:textId="77777777" w:rsidR="006970C8" w:rsidRPr="002F2FDF" w:rsidRDefault="006970C8" w:rsidP="0083075A">
      <w:pPr>
        <w:pStyle w:val="2"/>
        <w:spacing w:before="0" w:beforeAutospacing="0" w:after="0" w:afterAutospacing="0"/>
        <w:jc w:val="both"/>
        <w:rPr>
          <w:b w:val="0"/>
          <w:color w:val="000000" w:themeColor="text1"/>
          <w:kern w:val="2"/>
          <w:sz w:val="16"/>
          <w:szCs w:val="16"/>
        </w:rPr>
      </w:pPr>
    </w:p>
    <w:p w14:paraId="749F16B4" w14:textId="77777777" w:rsidR="006970C8" w:rsidRPr="002F2FDF" w:rsidRDefault="006970C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 начале 1918 гг. Советским правительством были приняты меры к ликвидации центрального и местного управления воздушным флотом, унаследованного от царского режима и Временного правительства. Была полностью ликвидирована канцелярия полевого генерал-инспектора авиации и воздухоплавания (Авиаканц). По решению большевистского правительства в Могилев, где находилась старая Ставка, с целью расформирования Авиаканца и приема ее дел были направлены авиаторы - большевики А.В. Сергеев, Я.Т. Кошкин, В.Л. Мельников. Над управлением воздушного флота (Увофлотом) был установлен политический контроль - туда были посланы политические комиссары - К.В. Акащев, С.Е. Андреев, А.В. Можаев и др. Увофлот, как и все военное министерство, подвергся чистке. Во главе Увофлота была поставлена Всероссийская коллегия Рабоче-Крестьянского Воздушного Флота. Управление морской авиацией приказом РВС республики (18.12.1918 года) было преобразовано в авиационный отдел морского ведомства. Для руководства авиационными частями на местах организовывались окружные коллегии (15135).</w:t>
      </w:r>
    </w:p>
    <w:p w14:paraId="1636DC66" w14:textId="77777777" w:rsidR="006970C8" w:rsidRPr="002F2FDF" w:rsidRDefault="006970C8" w:rsidP="0083075A">
      <w:pPr>
        <w:spacing w:after="0" w:line="240" w:lineRule="auto"/>
        <w:jc w:val="both"/>
        <w:rPr>
          <w:rFonts w:ascii="Times New Roman" w:hAnsi="Times New Roman" w:cs="Times New Roman"/>
          <w:color w:val="000000" w:themeColor="text1"/>
          <w:kern w:val="2"/>
          <w:sz w:val="16"/>
          <w:szCs w:val="16"/>
        </w:rPr>
      </w:pPr>
    </w:p>
    <w:p w14:paraId="51B1E2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прекратили строительство большого шестимоторного самолета Ижорского завода (Д.С.Сухоржевский и А.Д.Кондратьев) - биплана весом 9.6 т., начатое 14 июня 1916 после того, как ТК УВВС был одобрен заказ (438,312).</w:t>
      </w:r>
    </w:p>
    <w:p w14:paraId="305804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C117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1917 готовность самолета Ижорского завода определялась приблизительно в 50 %. Лонжероны главной коробки крыльев (центроплан) были почти полиостью собраны и отделаны. Фюзеляж закончен сборкой и подготовлен к испытанию на прочность. Нервюры крыльев готовы, рули высоты и поворотов также в основном закончены. Были заготовлены все необходимые материалы для обшивки фюзеляжа и рулей. Подмоторные рамы готовы на 30 %, шасси на резиновых шинах - на 50 %. “Проба колеса нагрузкой была произведена - окончилась неудачей, были сделаны изменения в колесе, и теперь необходимо опять произвести пробу”, - писал начальник завода. Воздушные винты находились в производстве, бензобаки имелись в наличии. Самолетостроители не приступали к изготовлению приспособлений для управления двигателями и рулями. Обтяжка крыльев, рулей, гондолы, окраска не начинались. Завод израсходовал 218 825 руб., на окончательное изготовление самолета требовалось еще 250-300 тыс. руб.2, т. е. стоимость его постройки втрое превышала предварительно начисленную. Достроить этот самолет так и не удалось (9705).</w:t>
      </w:r>
    </w:p>
    <w:p w14:paraId="79C136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8630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1917 года завод Русский Рено в Рыбинске еще не был пущен в эксплуатацию: из справки УВВФ следовало, что Рыбинский завод “находится в периоде организации, рассчитывает приступить к производству двигателей “Рено” в 260 л. с. с начала будущего года”. К этому времени на территории предприятия были закончены главный корпус, предназначенный для размещения механического и инструментального цехов, вспомогательный корпус для кузницы, литейной, термической и других цехов, а также контора. Все здания были сделаны капитально, из кирпича. Однако французская администрация завода, учитывая политическую обстановку в России, не торопилась завозить сюда оборудование.</w:t>
      </w:r>
    </w:p>
    <w:p w14:paraId="02FF9D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Таким образом, на нужды войны работал лишь петроградский завод общества “Русский Рено”. Его среднемесячная производительность не превышала 10 авиадвигателей. Высокая интенсивность труда, пренебрежение к элементарным нуждам рабочих были присущи военной промышленности того времени, особенно авиационным предприятиям, связанным с иностранным капиталом. Не случайно, что именно на заводе “Рено” 17 октября 1916 г. вспыхнула забастовка, охватившая вскоре всю Выборгскую сторону Петрограда (9705).</w:t>
      </w:r>
    </w:p>
    <w:p w14:paraId="235B72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3EE9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г. в Россию в небольшом количестве стали поступать английские самолеты “Де-Хевиланд-9” с двигателем “Пума”. Однако к производству этих самолетов в России не приступали (9705).</w:t>
      </w:r>
    </w:p>
    <w:p w14:paraId="3688EA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895A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1915 года удалось наладить производство и выйти на проектную мощь на Ижорском заводе, где с апреля 1917 г.  начался монтаж оборудования для производства двигателей «Испано-Сюиза». Согласно расчетам, он должен был удовлет</w:t>
      </w:r>
      <w:r w:rsidRPr="002F2FDF">
        <w:rPr>
          <w:rFonts w:ascii="Times New Roman" w:hAnsi="Times New Roman" w:cs="Times New Roman"/>
          <w:color w:val="000000" w:themeColor="text1"/>
          <w:kern w:val="2"/>
          <w:sz w:val="16"/>
          <w:szCs w:val="16"/>
        </w:rPr>
        <w:softHyphen/>
        <w:t>ворить до 20% потребностей мор</w:t>
      </w:r>
      <w:r w:rsidRPr="002F2FDF">
        <w:rPr>
          <w:rFonts w:ascii="Times New Roman" w:hAnsi="Times New Roman" w:cs="Times New Roman"/>
          <w:color w:val="000000" w:themeColor="text1"/>
          <w:kern w:val="2"/>
          <w:sz w:val="16"/>
          <w:szCs w:val="16"/>
        </w:rPr>
        <w:softHyphen/>
        <w:t>ской авиации в двигателях. Тем не менее, объективно оценивая воз</w:t>
      </w:r>
      <w:r w:rsidRPr="002F2FDF">
        <w:rPr>
          <w:rFonts w:ascii="Times New Roman" w:hAnsi="Times New Roman" w:cs="Times New Roman"/>
          <w:color w:val="000000" w:themeColor="text1"/>
          <w:kern w:val="2"/>
          <w:sz w:val="16"/>
          <w:szCs w:val="16"/>
        </w:rPr>
        <w:softHyphen/>
        <w:t>можности отечественных моторос</w:t>
      </w:r>
      <w:r w:rsidRPr="002F2FDF">
        <w:rPr>
          <w:rFonts w:ascii="Times New Roman" w:hAnsi="Times New Roman" w:cs="Times New Roman"/>
          <w:color w:val="000000" w:themeColor="text1"/>
          <w:kern w:val="2"/>
          <w:sz w:val="16"/>
          <w:szCs w:val="16"/>
        </w:rPr>
        <w:softHyphen/>
        <w:t>троителей, морское министерство в 1916 г. заказало в Англии 523 и во Франции 1926 двигателей раз</w:t>
      </w:r>
      <w:r w:rsidRPr="002F2FDF">
        <w:rPr>
          <w:rFonts w:ascii="Times New Roman" w:hAnsi="Times New Roman" w:cs="Times New Roman"/>
          <w:color w:val="000000" w:themeColor="text1"/>
          <w:kern w:val="2"/>
          <w:sz w:val="16"/>
          <w:szCs w:val="16"/>
        </w:rPr>
        <w:softHyphen/>
        <w:t>личного типа. Несмотря на принимаемые меры, в России производилось не более 1300 - 1400 двигателей в год, что в свою очередь тормозило раз</w:t>
      </w:r>
      <w:r w:rsidRPr="002F2FDF">
        <w:rPr>
          <w:rFonts w:ascii="Times New Roman" w:hAnsi="Times New Roman" w:cs="Times New Roman"/>
          <w:color w:val="000000" w:themeColor="text1"/>
          <w:kern w:val="2"/>
          <w:sz w:val="16"/>
          <w:szCs w:val="16"/>
        </w:rPr>
        <w:softHyphen/>
        <w:t>витие авиации. С заграничными поставками постоянно возникали затруднения по самым различным причинам и поводам. И это вызыва</w:t>
      </w:r>
      <w:r w:rsidRPr="002F2FDF">
        <w:rPr>
          <w:rFonts w:ascii="Times New Roman" w:hAnsi="Times New Roman" w:cs="Times New Roman"/>
          <w:color w:val="000000" w:themeColor="text1"/>
          <w:kern w:val="2"/>
          <w:sz w:val="16"/>
          <w:szCs w:val="16"/>
        </w:rPr>
        <w:softHyphen/>
        <w:t>ло определенное беспокойство (11872).</w:t>
      </w:r>
    </w:p>
    <w:p w14:paraId="595871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F474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1917 г. ежемесячные потери исчислялись в 400 боевых аппаратов. Ставка верховного главнокомандующего подсчитала, что на последующие восемь месяцев авиационным частям необходимо дать 3375 самолетов, из них 275 для артиллерийских отрядов, 1250 для корпусных и 1850 - истребителей. Потребность в большом числе истребителей объяснялась тем, что без прикрытия стали немыслимы ни дальние рейды бомбардировщиков, ни работа армейских и даже разведывательных самолетов (9705).</w:t>
      </w:r>
    </w:p>
    <w:p w14:paraId="2D2743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4AB5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г. стоимость каждого заграничного самолета вместе с запчастями составляла 30 тыс. франков. Столько же стоил каждый двигатель с запчастями. Кроме того, 30 % стоимости двигателя составляли упаковка и доставка в Россию. 10 % стоимости удерживалась за ремонт двигателей, доставленных в Россию и поврежденных вследствие частых перегрузок в пути. Таким образом, заграничные двигатели обходились значительно дороже отечественных (9705).</w:t>
      </w:r>
    </w:p>
    <w:p w14:paraId="0B3225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CB2400" w14:textId="77777777" w:rsidR="006970C8" w:rsidRPr="002F2FDF" w:rsidRDefault="006970C8"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К концу 1917 г. на русских моторных заводах насчитывалось всего 1872 рабочих [и служащих. Общая производительность заводов не превышала 1300—1400 двигателей в год. В 1917 г. выпуск упал примерно в три раза, сделали всего 450 двигателей. Производство моторов отставало даже от выпуска самолетов, и разрыв в их выпуске постоянно увеличивался. Если к 1 мая 1916 г. самолетостроители получили с моторных заводов 461 отечественный двигатель (~35%), то к концу 1917 г. поставки отечественных моторов не превышали 5% потребностей авиазаводов. Имея заказы на 2290 самолетов, от военного ведомства к октябрю 1917 г. удалось получить только 525 моторов (включая зарубежные поставки). На первое полугодие 1918 г. самолетостроительная программа была обеспечена моторами не более чем на 15%. В 1917 г. «Дукс» имел всего 20 двигателей на 60 «Спадов».</w:t>
      </w:r>
    </w:p>
    <w:p w14:paraId="1530C621" w14:textId="77777777" w:rsidR="006970C8" w:rsidRPr="002F2FDF" w:rsidRDefault="006970C8"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За годы войны авиазаводы в России сдали в казну 5605 самолетов и всего лишь 1511 двигателей (меньше, чем на «Дуксе» построили самолетов). Выручить могли лишь заграничные поставки (15464).</w:t>
      </w:r>
    </w:p>
    <w:p w14:paraId="0B2DA753" w14:textId="77777777" w:rsidR="006970C8" w:rsidRPr="002F2FDF" w:rsidRDefault="006970C8" w:rsidP="0083075A">
      <w:pPr>
        <w:pStyle w:val="2"/>
        <w:spacing w:before="0" w:beforeAutospacing="0" w:after="0" w:afterAutospacing="0"/>
        <w:jc w:val="both"/>
        <w:rPr>
          <w:b w:val="0"/>
          <w:color w:val="000000" w:themeColor="text1"/>
          <w:kern w:val="2"/>
          <w:sz w:val="16"/>
          <w:szCs w:val="16"/>
        </w:rPr>
      </w:pPr>
    </w:p>
    <w:p w14:paraId="7178CBA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года С.П. Тимошенко написал монографию “О прочно</w:t>
      </w:r>
      <w:r w:rsidRPr="002F2FDF">
        <w:rPr>
          <w:rFonts w:ascii="Times New Roman" w:hAnsi="Times New Roman" w:cs="Times New Roman"/>
          <w:color w:val="000000" w:themeColor="text1"/>
          <w:kern w:val="2"/>
          <w:sz w:val="16"/>
          <w:szCs w:val="16"/>
        </w:rPr>
        <w:softHyphen/>
        <w:t>сти аэропланов”. В введении этой монографии С.П. Тимошенко излагает значение его книги:</w:t>
      </w:r>
    </w:p>
    <w:p w14:paraId="4228CD5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начальной стадии развития воздухоплавания, когда оно служило, главным образом, предметом спорта, вопросы прочности не играли су</w:t>
      </w:r>
      <w:r w:rsidRPr="002F2FDF">
        <w:rPr>
          <w:rFonts w:ascii="Times New Roman" w:hAnsi="Times New Roman" w:cs="Times New Roman"/>
          <w:color w:val="000000" w:themeColor="text1"/>
          <w:kern w:val="2"/>
          <w:sz w:val="16"/>
          <w:szCs w:val="16"/>
        </w:rPr>
        <w:softHyphen/>
        <w:t>щественной роли. Пока полеты были сравнительно кратковременными и совершались при благоприятной погоде, условия прочности легко могли быть удовлетворены, и каких-либо расчетов в этом направлении часто вовсе не производилось. Надлежащие размеры частей подбирались обык</w:t>
      </w:r>
      <w:r w:rsidRPr="002F2FDF">
        <w:rPr>
          <w:rFonts w:ascii="Times New Roman" w:hAnsi="Times New Roman" w:cs="Times New Roman"/>
          <w:color w:val="000000" w:themeColor="text1"/>
          <w:kern w:val="2"/>
          <w:sz w:val="16"/>
          <w:szCs w:val="16"/>
        </w:rPr>
        <w:softHyphen/>
        <w:t>новенно эмпирическим путем.</w:t>
      </w:r>
    </w:p>
    <w:p w14:paraId="325A1AC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настоящее время при всех возрастающих требованиях, предъяв</w:t>
      </w:r>
      <w:r w:rsidRPr="002F2FDF">
        <w:rPr>
          <w:rFonts w:ascii="Times New Roman" w:hAnsi="Times New Roman" w:cs="Times New Roman"/>
          <w:color w:val="000000" w:themeColor="text1"/>
          <w:kern w:val="2"/>
          <w:sz w:val="16"/>
          <w:szCs w:val="16"/>
        </w:rPr>
        <w:softHyphen/>
        <w:t>ляемых к скорости, грузоподъемности и выносливости аппаратов и при переходе к массовому изготовлению этих аппаратов, предварительный их расчет на прочность получает большое практическое значение. Мас</w:t>
      </w:r>
      <w:r w:rsidRPr="002F2FDF">
        <w:rPr>
          <w:rFonts w:ascii="Times New Roman" w:hAnsi="Times New Roman" w:cs="Times New Roman"/>
          <w:color w:val="000000" w:themeColor="text1"/>
          <w:kern w:val="2"/>
          <w:sz w:val="16"/>
          <w:szCs w:val="16"/>
        </w:rPr>
        <w:softHyphen/>
        <w:t>совое производство предполагает подробную теоретическую и экспери</w:t>
      </w:r>
      <w:r w:rsidRPr="002F2FDF">
        <w:rPr>
          <w:rFonts w:ascii="Times New Roman" w:hAnsi="Times New Roman" w:cs="Times New Roman"/>
          <w:color w:val="000000" w:themeColor="text1"/>
          <w:kern w:val="2"/>
          <w:sz w:val="16"/>
          <w:szCs w:val="16"/>
        </w:rPr>
        <w:softHyphen/>
        <w:t>ментальную разработку предварительного проекта при содействии спе</w:t>
      </w:r>
      <w:r w:rsidRPr="002F2FDF">
        <w:rPr>
          <w:rFonts w:ascii="Times New Roman" w:hAnsi="Times New Roman" w:cs="Times New Roman"/>
          <w:color w:val="000000" w:themeColor="text1"/>
          <w:kern w:val="2"/>
          <w:sz w:val="16"/>
          <w:szCs w:val="16"/>
        </w:rPr>
        <w:softHyphen/>
        <w:t>циальных лабораторий. Аэродинамические исследования над соответству</w:t>
      </w:r>
      <w:r w:rsidRPr="002F2FDF">
        <w:rPr>
          <w:rFonts w:ascii="Times New Roman" w:hAnsi="Times New Roman" w:cs="Times New Roman"/>
          <w:color w:val="000000" w:themeColor="text1"/>
          <w:kern w:val="2"/>
          <w:sz w:val="16"/>
          <w:szCs w:val="16"/>
        </w:rPr>
        <w:softHyphen/>
        <w:t>ющими моделями дают нам надежное основание для определения тех внешних сил, которыми будет подвергаться проектируемый аппарат при различных условиях полета. Наиболее неблагоприятная комбинация этих сил, очевидно, должна быть положена в основание расчетов на прочность. Кроме того, массовое производство дает возможность переходить к все более совершенным материалам и к все более усовершенствованным способам изготовления, при которых исключаются различные неблагоп</w:t>
      </w:r>
      <w:r w:rsidRPr="002F2FDF">
        <w:rPr>
          <w:rFonts w:ascii="Times New Roman" w:hAnsi="Times New Roman" w:cs="Times New Roman"/>
          <w:color w:val="000000" w:themeColor="text1"/>
          <w:kern w:val="2"/>
          <w:sz w:val="16"/>
          <w:szCs w:val="16"/>
        </w:rPr>
        <w:softHyphen/>
        <w:t>риятные случайности, неизбежные при кустарном выполнении аппаратов.</w:t>
      </w:r>
    </w:p>
    <w:p w14:paraId="45C3446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Правильная оценка внешних сил, применение материалов высокого качества и усовершенствованных однообразных способов изготовления являются теми условиями, которые повышают надежность всех наших расчетов и, соответственно, позволяют уменьшать коэффициент безопас</w:t>
      </w:r>
      <w:r w:rsidRPr="002F2FDF">
        <w:rPr>
          <w:rFonts w:ascii="Times New Roman" w:hAnsi="Times New Roman" w:cs="Times New Roman"/>
          <w:color w:val="000000" w:themeColor="text1"/>
          <w:kern w:val="2"/>
          <w:sz w:val="16"/>
          <w:szCs w:val="16"/>
        </w:rPr>
        <w:softHyphen/>
        <w:t>ности, а вместе с тем и вес аппарата.</w:t>
      </w:r>
    </w:p>
    <w:p w14:paraId="6F22F4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поручению военного ведомства я некоторое время занимался расчетами прочности аэропланов и экспериментальными исследования</w:t>
      </w:r>
      <w:r w:rsidRPr="002F2FDF">
        <w:rPr>
          <w:rFonts w:ascii="Times New Roman" w:hAnsi="Times New Roman" w:cs="Times New Roman"/>
          <w:color w:val="000000" w:themeColor="text1"/>
          <w:kern w:val="2"/>
          <w:sz w:val="16"/>
          <w:szCs w:val="16"/>
        </w:rPr>
        <w:softHyphen/>
        <w:t>ми применяемых в аэропланах материалов. При этих работах выяснилась желательность составления для заводских инженеров книги, где были бы собраны соответствующие сведения из области строительной механики. По первоначальному плану книга должна была заключить в себе как тео</w:t>
      </w:r>
      <w:r w:rsidRPr="002F2FDF">
        <w:rPr>
          <w:rFonts w:ascii="Times New Roman" w:hAnsi="Times New Roman" w:cs="Times New Roman"/>
          <w:color w:val="000000" w:themeColor="text1"/>
          <w:kern w:val="2"/>
          <w:sz w:val="16"/>
          <w:szCs w:val="16"/>
        </w:rPr>
        <w:softHyphen/>
        <w:t>ретическую часть, так и разделы экспериментального характера, где дол</w:t>
      </w:r>
      <w:r w:rsidRPr="002F2FDF">
        <w:rPr>
          <w:rFonts w:ascii="Times New Roman" w:hAnsi="Times New Roman" w:cs="Times New Roman"/>
          <w:color w:val="000000" w:themeColor="text1"/>
          <w:kern w:val="2"/>
          <w:sz w:val="16"/>
          <w:szCs w:val="16"/>
        </w:rPr>
        <w:softHyphen/>
        <w:t>жны были бы помещены результаты произведенных под моим руковод</w:t>
      </w:r>
      <w:r w:rsidRPr="002F2FDF">
        <w:rPr>
          <w:rFonts w:ascii="Times New Roman" w:hAnsi="Times New Roman" w:cs="Times New Roman"/>
          <w:color w:val="000000" w:themeColor="text1"/>
          <w:kern w:val="2"/>
          <w:sz w:val="16"/>
          <w:szCs w:val="16"/>
        </w:rPr>
        <w:softHyphen/>
        <w:t>ством опытов по исследованию прочности употребляемых в аэропланах материалов и конструкций. К сожалению, вследствие тяжелых условий последнего времени накопленный экспериментальный материал не мог быть использован при составлении настоящей книги. Кроме того, зате-оялись некоторые расчеты, относящиеся к взятым из жизни типам аэро</w:t>
      </w:r>
      <w:r w:rsidRPr="002F2FDF">
        <w:rPr>
          <w:rFonts w:ascii="Times New Roman" w:hAnsi="Times New Roman" w:cs="Times New Roman"/>
          <w:color w:val="000000" w:themeColor="text1"/>
          <w:kern w:val="2"/>
          <w:sz w:val="16"/>
          <w:szCs w:val="16"/>
        </w:rPr>
        <w:softHyphen/>
        <w:t>планов, и в моем распоряжении осталось лишь несколько глав теорети</w:t>
      </w:r>
      <w:r w:rsidRPr="002F2FDF">
        <w:rPr>
          <w:rFonts w:ascii="Times New Roman" w:hAnsi="Times New Roman" w:cs="Times New Roman"/>
          <w:color w:val="000000" w:themeColor="text1"/>
          <w:kern w:val="2"/>
          <w:sz w:val="16"/>
          <w:szCs w:val="16"/>
        </w:rPr>
        <w:softHyphen/>
        <w:t>ческого характера, которые я и решил напечатать, не ожидая того време</w:t>
      </w:r>
      <w:r w:rsidRPr="002F2FDF">
        <w:rPr>
          <w:rFonts w:ascii="Times New Roman" w:hAnsi="Times New Roman" w:cs="Times New Roman"/>
          <w:color w:val="000000" w:themeColor="text1"/>
          <w:kern w:val="2"/>
          <w:sz w:val="16"/>
          <w:szCs w:val="16"/>
        </w:rPr>
        <w:softHyphen/>
        <w:t>ни, когда можно будет вновь собрать все материалы.</w:t>
      </w:r>
    </w:p>
    <w:p w14:paraId="2AFDA83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 думаю, что при отсутствии литературы по рассматриваемому воп</w:t>
      </w:r>
      <w:r w:rsidRPr="002F2FDF">
        <w:rPr>
          <w:rFonts w:ascii="Times New Roman" w:hAnsi="Times New Roman" w:cs="Times New Roman"/>
          <w:color w:val="000000" w:themeColor="text1"/>
          <w:kern w:val="2"/>
          <w:sz w:val="16"/>
          <w:szCs w:val="16"/>
        </w:rPr>
        <w:softHyphen/>
        <w:t>росу, печатаемый ниже материал может представить некоторый интерес для лиц, занимающихся расчетами аэропланов.” [29].</w:t>
      </w:r>
    </w:p>
    <w:p w14:paraId="602AAE8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Книга состоит из двух глав.</w:t>
      </w:r>
    </w:p>
    <w:p w14:paraId="6076508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 полноте рассмотрения вопросов первой главы можно судить по названиям параграфов: § 1. Давление воздуха</w:t>
      </w:r>
    </w:p>
    <w:p w14:paraId="35FB281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 Распределение давления воздуха по поверхности крыла § 3. Нормальный полет § 4. Планирующий спуск § 5. Пикирующий спуск § 6. Влияние центробежной силы § 7. Влияние ветра § 8. Давления на поверхности рулей § 9. Силы инерции при посадке §10. Силы винтомоторной группы</w:t>
      </w:r>
    </w:p>
    <w:p w14:paraId="7F3D381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этой главе С.П. Тимошенко рассматривает силы, действующие на аэроплан.</w:t>
      </w:r>
    </w:p>
    <w:p w14:paraId="6A9EC13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проверке прочности аэропланов приходится принимать в рас-четтри группы сил: а) собственный вес и соответствующие ему силы инер</w:t>
      </w:r>
      <w:r w:rsidRPr="002F2FDF">
        <w:rPr>
          <w:rFonts w:ascii="Times New Roman" w:hAnsi="Times New Roman" w:cs="Times New Roman"/>
          <w:color w:val="000000" w:themeColor="text1"/>
          <w:kern w:val="2"/>
          <w:sz w:val="16"/>
          <w:szCs w:val="16"/>
        </w:rPr>
        <w:softHyphen/>
        <w:t>ции, Ь) винтомоторную группу сил, с) давление воздуха.</w:t>
      </w:r>
    </w:p>
    <w:p w14:paraId="676777F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 касается первой группы сил, то при поверочных расчетах уже изготовленных аппаратов величина этих сил и расположение легко опре</w:t>
      </w:r>
      <w:r w:rsidRPr="002F2FDF">
        <w:rPr>
          <w:rFonts w:ascii="Times New Roman" w:hAnsi="Times New Roman" w:cs="Times New Roman"/>
          <w:color w:val="000000" w:themeColor="text1"/>
          <w:kern w:val="2"/>
          <w:sz w:val="16"/>
          <w:szCs w:val="16"/>
        </w:rPr>
        <w:softHyphen/>
        <w:t>деляются по действительным весам отдельных частей. Для предваритель</w:t>
      </w:r>
      <w:r w:rsidRPr="002F2FDF">
        <w:rPr>
          <w:rFonts w:ascii="Times New Roman" w:hAnsi="Times New Roman" w:cs="Times New Roman"/>
          <w:color w:val="000000" w:themeColor="text1"/>
          <w:kern w:val="2"/>
          <w:sz w:val="16"/>
          <w:szCs w:val="16"/>
        </w:rPr>
        <w:softHyphen/>
        <w:t>ных расчетов веса могут быть приблизительно определены путем срав</w:t>
      </w:r>
      <w:r w:rsidRPr="002F2FDF">
        <w:rPr>
          <w:rFonts w:ascii="Times New Roman" w:hAnsi="Times New Roman" w:cs="Times New Roman"/>
          <w:color w:val="000000" w:themeColor="text1"/>
          <w:kern w:val="2"/>
          <w:sz w:val="16"/>
          <w:szCs w:val="16"/>
        </w:rPr>
        <w:softHyphen/>
        <w:t>нения разрабатываемого типа с уже изготовленными аппаратами.</w:t>
      </w:r>
    </w:p>
    <w:p w14:paraId="0771BA1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Винтомоторная группа сил не играет большой роли при оценке об</w:t>
      </w:r>
      <w:r w:rsidRPr="002F2FDF">
        <w:rPr>
          <w:rFonts w:ascii="Times New Roman" w:hAnsi="Times New Roman" w:cs="Times New Roman"/>
          <w:color w:val="000000" w:themeColor="text1"/>
          <w:kern w:val="2"/>
          <w:sz w:val="16"/>
          <w:szCs w:val="16"/>
        </w:rPr>
        <w:softHyphen/>
        <w:t>щей прочности главной коробки аппарата. С этими силами приходится считаться, главным образом, при расчете некоторых деталей, о которых будет сказано далее. Давление воздуха, уравновешивающее, главным образом, собственный вес аппарата, имеет большое значение при иссле</w:t>
      </w:r>
      <w:r w:rsidRPr="002F2FDF">
        <w:rPr>
          <w:rFonts w:ascii="Times New Roman" w:hAnsi="Times New Roman" w:cs="Times New Roman"/>
          <w:color w:val="000000" w:themeColor="text1"/>
          <w:kern w:val="2"/>
          <w:sz w:val="16"/>
          <w:szCs w:val="16"/>
        </w:rPr>
        <w:softHyphen/>
        <w:t>довании прочности аэропланов, и мы начнем наше исследование с рас</w:t>
      </w:r>
      <w:r w:rsidRPr="002F2FDF">
        <w:rPr>
          <w:rFonts w:ascii="Times New Roman" w:hAnsi="Times New Roman" w:cs="Times New Roman"/>
          <w:color w:val="000000" w:themeColor="text1"/>
          <w:kern w:val="2"/>
          <w:sz w:val="16"/>
          <w:szCs w:val="16"/>
        </w:rPr>
        <w:softHyphen/>
        <w:t>смотрения именно этой группы сил” [29].</w:t>
      </w:r>
    </w:p>
    <w:p w14:paraId="30FCADC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С.П. Тимошенко рассматривает достаточно подробно основные рас</w:t>
      </w:r>
      <w:r w:rsidRPr="002F2FDF">
        <w:rPr>
          <w:rFonts w:ascii="Times New Roman" w:hAnsi="Times New Roman" w:cs="Times New Roman"/>
          <w:color w:val="000000" w:themeColor="text1"/>
          <w:kern w:val="2"/>
          <w:sz w:val="16"/>
          <w:szCs w:val="16"/>
        </w:rPr>
        <w:softHyphen/>
        <w:t>четные случаи нагружения аэроплана, которые актуальны и в настоящее время. Во всех расчетных случаях он предлагает аналитические зависи</w:t>
      </w:r>
      <w:r w:rsidRPr="002F2FDF">
        <w:rPr>
          <w:rFonts w:ascii="Times New Roman" w:hAnsi="Times New Roman" w:cs="Times New Roman"/>
          <w:color w:val="000000" w:themeColor="text1"/>
          <w:kern w:val="2"/>
          <w:sz w:val="16"/>
          <w:szCs w:val="16"/>
        </w:rPr>
        <w:softHyphen/>
        <w:t>мости для оценки нагрузок. Например, для маневра истребителя он обо</w:t>
      </w:r>
      <w:r w:rsidRPr="002F2FDF">
        <w:rPr>
          <w:rFonts w:ascii="Times New Roman" w:hAnsi="Times New Roman" w:cs="Times New Roman"/>
          <w:color w:val="000000" w:themeColor="text1"/>
          <w:kern w:val="2"/>
          <w:sz w:val="16"/>
          <w:szCs w:val="16"/>
        </w:rPr>
        <w:softHyphen/>
        <w:t>сновывает величину максимальной перегрузки равную семи. Подробно рассмотрены случаи оценки нагрузок при посадке, где проводится ана</w:t>
      </w:r>
      <w:r w:rsidRPr="002F2FDF">
        <w:rPr>
          <w:rFonts w:ascii="Times New Roman" w:hAnsi="Times New Roman" w:cs="Times New Roman"/>
          <w:color w:val="000000" w:themeColor="text1"/>
          <w:kern w:val="2"/>
          <w:sz w:val="16"/>
          <w:szCs w:val="16"/>
        </w:rPr>
        <w:softHyphen/>
        <w:t>лиз движения самолёта при первом ударе. В этом случае он предлагает расчет на перегрузку равную четырем.</w:t>
      </w:r>
    </w:p>
    <w:p w14:paraId="68A4096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второй главе изложены способы расчета на прочность частей аэроплана, о которых можно судить по названиям параграфов: §11. Расчет главной коробки § 12. Роль поперечных связей § 13. О влиянии предварительной затяжки § 14. Об изгибе лонжеронов § 15. Об устойчивости сжатых частей аэроплана § 16. О выборе прочных размеров частей аэроплана</w:t>
      </w:r>
    </w:p>
    <w:p w14:paraId="7808B6C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последнем 16 параграфе изложены основные концепции методов расчетов на прочность конструкции аэроплана:</w:t>
      </w:r>
    </w:p>
    <w:p w14:paraId="01583F9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“Выбор прочных размеров аэроплана стоит в самой тесной связи с нормами допускаемых напряжений для материалов, входящих в конструк</w:t>
      </w:r>
      <w:r w:rsidRPr="002F2FDF">
        <w:rPr>
          <w:rFonts w:ascii="Times New Roman" w:hAnsi="Times New Roman" w:cs="Times New Roman"/>
          <w:color w:val="000000" w:themeColor="text1"/>
          <w:kern w:val="2"/>
          <w:sz w:val="16"/>
          <w:szCs w:val="16"/>
        </w:rPr>
        <w:softHyphen/>
        <w:t>цию аппарата. Величина допускаемого напряжения для какого-либо ма</w:t>
      </w:r>
      <w:r w:rsidRPr="002F2FDF">
        <w:rPr>
          <w:rFonts w:ascii="Times New Roman" w:hAnsi="Times New Roman" w:cs="Times New Roman"/>
          <w:color w:val="000000" w:themeColor="text1"/>
          <w:kern w:val="2"/>
          <w:sz w:val="16"/>
          <w:szCs w:val="16"/>
        </w:rPr>
        <w:softHyphen/>
        <w:t>териала в том или ином случае зависит не только от прочности и упругос</w:t>
      </w:r>
      <w:r w:rsidRPr="002F2FDF">
        <w:rPr>
          <w:rFonts w:ascii="Times New Roman" w:hAnsi="Times New Roman" w:cs="Times New Roman"/>
          <w:color w:val="000000" w:themeColor="text1"/>
          <w:kern w:val="2"/>
          <w:sz w:val="16"/>
          <w:szCs w:val="16"/>
        </w:rPr>
        <w:softHyphen/>
        <w:t>ти свойств материала, но также и от степени надежности принятых при</w:t>
      </w:r>
      <w:r w:rsidRPr="002F2FDF">
        <w:rPr>
          <w:rFonts w:ascii="Times New Roman" w:hAnsi="Times New Roman" w:cs="Times New Roman"/>
          <w:color w:val="000000" w:themeColor="text1"/>
          <w:kern w:val="2"/>
          <w:sz w:val="16"/>
          <w:szCs w:val="16"/>
        </w:rPr>
        <w:softHyphen/>
        <w:t>емов расчетов и от степени достоверности, с которой нам известны дей</w:t>
      </w:r>
      <w:r w:rsidRPr="002F2FDF">
        <w:rPr>
          <w:rFonts w:ascii="Times New Roman" w:hAnsi="Times New Roman" w:cs="Times New Roman"/>
          <w:color w:val="000000" w:themeColor="text1"/>
          <w:kern w:val="2"/>
          <w:sz w:val="16"/>
          <w:szCs w:val="16"/>
        </w:rPr>
        <w:softHyphen/>
        <w:t>ствующие на конструкцию внешние силы. Чем однороднее по своим свой</w:t>
      </w:r>
      <w:r w:rsidRPr="002F2FDF">
        <w:rPr>
          <w:rFonts w:ascii="Times New Roman" w:hAnsi="Times New Roman" w:cs="Times New Roman"/>
          <w:color w:val="000000" w:themeColor="text1"/>
          <w:kern w:val="2"/>
          <w:sz w:val="16"/>
          <w:szCs w:val="16"/>
        </w:rPr>
        <w:softHyphen/>
        <w:t>ствам применяемые материалы, чем точнее способы расчетов и чем с большей достоверностью нам известны те максимальные нагрузки, кото</w:t>
      </w:r>
      <w:r w:rsidRPr="002F2FDF">
        <w:rPr>
          <w:rFonts w:ascii="Times New Roman" w:hAnsi="Times New Roman" w:cs="Times New Roman"/>
          <w:color w:val="000000" w:themeColor="text1"/>
          <w:kern w:val="2"/>
          <w:sz w:val="16"/>
          <w:szCs w:val="16"/>
        </w:rPr>
        <w:softHyphen/>
        <w:t>рые могут действовать на сооружение, тем, очевидно, выше может быть назначено допускаемое напряжение. Стремление получить возможно меньший вес аппарата должно приводить в конечном счете к тому, что в аэропланостроении будут применяться лишь материалы самого высоко</w:t>
      </w:r>
      <w:r w:rsidRPr="002F2FDF">
        <w:rPr>
          <w:rFonts w:ascii="Times New Roman" w:hAnsi="Times New Roman" w:cs="Times New Roman"/>
          <w:color w:val="000000" w:themeColor="text1"/>
          <w:kern w:val="2"/>
          <w:sz w:val="16"/>
          <w:szCs w:val="16"/>
        </w:rPr>
        <w:softHyphen/>
        <w:t>го качества, лишь высшие сорта стали и породы дерева, обладающие наи</w:t>
      </w:r>
      <w:r w:rsidRPr="002F2FDF">
        <w:rPr>
          <w:rFonts w:ascii="Times New Roman" w:hAnsi="Times New Roman" w:cs="Times New Roman"/>
          <w:color w:val="000000" w:themeColor="text1"/>
          <w:kern w:val="2"/>
          <w:sz w:val="16"/>
          <w:szCs w:val="16"/>
        </w:rPr>
        <w:softHyphen/>
        <w:t>более высоким свойством в отношении однородности и упругих свойств.</w:t>
      </w:r>
    </w:p>
    <w:p w14:paraId="318C5B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Что касается способов расчета, то определение усилий, основанное на предположении шарнирных соединений в узлах, по своей точности соответствует обычным приемам расчетов различного рода инженерных сооружений. Дальнейшие исследования прочности, связанные с рассмот</w:t>
      </w:r>
      <w:r w:rsidRPr="002F2FDF">
        <w:rPr>
          <w:rFonts w:ascii="Times New Roman" w:hAnsi="Times New Roman" w:cs="Times New Roman"/>
          <w:color w:val="000000" w:themeColor="text1"/>
          <w:kern w:val="2"/>
          <w:sz w:val="16"/>
          <w:szCs w:val="16"/>
        </w:rPr>
        <w:softHyphen/>
        <w:t xml:space="preserve">рением изгиба лонжеронов, как неразрезных балок, с оценкой влияния продольных сил на изгиб лонжеронов и с определением критической силы для лонжеронов, как неразрезной балки, дают нам более близкую </w:t>
      </w:r>
      <w:r w:rsidRPr="002F2FDF">
        <w:rPr>
          <w:rFonts w:ascii="Times New Roman" w:hAnsi="Times New Roman" w:cs="Times New Roman"/>
          <w:color w:val="000000" w:themeColor="text1"/>
          <w:kern w:val="2"/>
          <w:sz w:val="16"/>
          <w:szCs w:val="16"/>
        </w:rPr>
        <w:lastRenderedPageBreak/>
        <w:t>к дей</w:t>
      </w:r>
      <w:r w:rsidRPr="002F2FDF">
        <w:rPr>
          <w:rFonts w:ascii="Times New Roman" w:hAnsi="Times New Roman" w:cs="Times New Roman"/>
          <w:color w:val="000000" w:themeColor="text1"/>
          <w:kern w:val="2"/>
          <w:sz w:val="16"/>
          <w:szCs w:val="16"/>
        </w:rPr>
        <w:softHyphen/>
        <w:t>ствительности картину распределения напряжений в частях аэроплана, что позволяет нам при выборе прочных размеров назначать более высо</w:t>
      </w:r>
      <w:r w:rsidRPr="002F2FDF">
        <w:rPr>
          <w:rFonts w:ascii="Times New Roman" w:hAnsi="Times New Roman" w:cs="Times New Roman"/>
          <w:color w:val="000000" w:themeColor="text1"/>
          <w:kern w:val="2"/>
          <w:sz w:val="16"/>
          <w:szCs w:val="16"/>
        </w:rPr>
        <w:softHyphen/>
        <w:t>кие нормы допускаемых напряжений.</w:t>
      </w:r>
    </w:p>
    <w:p w14:paraId="70974B7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Внешние силы и их распределение в случае нормального полета нам известны с большой точностью, в особенности, если произведены предва</w:t>
      </w:r>
      <w:r w:rsidRPr="002F2FDF">
        <w:rPr>
          <w:rFonts w:ascii="Times New Roman" w:hAnsi="Times New Roman" w:cs="Times New Roman"/>
          <w:color w:val="000000" w:themeColor="text1"/>
          <w:kern w:val="2"/>
          <w:sz w:val="16"/>
          <w:szCs w:val="16"/>
        </w:rPr>
        <w:softHyphen/>
        <w:t>рительные испытания в лаборатории над соответствующей моделью аппа</w:t>
      </w:r>
      <w:r w:rsidRPr="002F2FDF">
        <w:rPr>
          <w:rFonts w:ascii="Times New Roman" w:hAnsi="Times New Roman" w:cs="Times New Roman"/>
          <w:color w:val="000000" w:themeColor="text1"/>
          <w:kern w:val="2"/>
          <w:sz w:val="16"/>
          <w:szCs w:val="16"/>
        </w:rPr>
        <w:softHyphen/>
        <w:t>рата. С достаточной точностью можно оценить также повышения давления воздуха, которые получаются при поворотах и при выравнивании аппарата.</w:t>
      </w:r>
    </w:p>
    <w:p w14:paraId="773756A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меньшей достоверностью нам известны те давления, которые при некоторых условиях могут действовать на аппарат сверху вниз, мало ис</w:t>
      </w:r>
      <w:r w:rsidRPr="002F2FDF">
        <w:rPr>
          <w:rFonts w:ascii="Times New Roman" w:hAnsi="Times New Roman" w:cs="Times New Roman"/>
          <w:color w:val="000000" w:themeColor="text1"/>
          <w:kern w:val="2"/>
          <w:sz w:val="16"/>
          <w:szCs w:val="16"/>
        </w:rPr>
        <w:softHyphen/>
        <w:t>следован вопрос о величине сил инерции при посадке аппарата и воз</w:t>
      </w:r>
      <w:r w:rsidRPr="002F2FDF">
        <w:rPr>
          <w:rFonts w:ascii="Times New Roman" w:hAnsi="Times New Roman" w:cs="Times New Roman"/>
          <w:color w:val="000000" w:themeColor="text1"/>
          <w:kern w:val="2"/>
          <w:sz w:val="16"/>
          <w:szCs w:val="16"/>
        </w:rPr>
        <w:softHyphen/>
        <w:t>можные нагрузки от изменений интенсивности направления ветра. Но все же для аппаратов, которые не должны делать в воздухе столь резких эво</w:t>
      </w:r>
      <w:r w:rsidRPr="002F2FDF">
        <w:rPr>
          <w:rFonts w:ascii="Times New Roman" w:hAnsi="Times New Roman" w:cs="Times New Roman"/>
          <w:color w:val="000000" w:themeColor="text1"/>
          <w:kern w:val="2"/>
          <w:sz w:val="16"/>
          <w:szCs w:val="16"/>
        </w:rPr>
        <w:softHyphen/>
        <w:t>люции, как, например, пикирующий спуск или мертвые петли, мы с доста</w:t>
      </w:r>
      <w:r w:rsidRPr="002F2FDF">
        <w:rPr>
          <w:rFonts w:ascii="Times New Roman" w:hAnsi="Times New Roman" w:cs="Times New Roman"/>
          <w:color w:val="000000" w:themeColor="text1"/>
          <w:kern w:val="2"/>
          <w:sz w:val="16"/>
          <w:szCs w:val="16"/>
        </w:rPr>
        <w:softHyphen/>
        <w:t>точной точностью можем назначить те предельные нагрузки, которых можно ожидать при самых неблагоприятных обстоятельствах.</w:t>
      </w:r>
    </w:p>
    <w:p w14:paraId="210355D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менее благоприятных условиях мы находимся при проектировании аппаратов типа истребителей. Здесь мы имеем значительно меньше ука</w:t>
      </w:r>
      <w:r w:rsidRPr="002F2FDF">
        <w:rPr>
          <w:rFonts w:ascii="Times New Roman" w:hAnsi="Times New Roman" w:cs="Times New Roman"/>
          <w:color w:val="000000" w:themeColor="text1"/>
          <w:kern w:val="2"/>
          <w:sz w:val="16"/>
          <w:szCs w:val="16"/>
        </w:rPr>
        <w:softHyphen/>
        <w:t>заний относительно возможных предельных нагрузок, и потому должны эту недостаточную осведомленность относительно внешних сил покры</w:t>
      </w:r>
      <w:r w:rsidRPr="002F2FDF">
        <w:rPr>
          <w:rFonts w:ascii="Times New Roman" w:hAnsi="Times New Roman" w:cs="Times New Roman"/>
          <w:color w:val="000000" w:themeColor="text1"/>
          <w:kern w:val="2"/>
          <w:sz w:val="16"/>
          <w:szCs w:val="16"/>
        </w:rPr>
        <w:softHyphen/>
        <w:t>вать понижением допускаемых напряжений при условиях нормального полета, или, что все равно, соответствующим повышением коэффициен</w:t>
      </w:r>
      <w:r w:rsidRPr="002F2FDF">
        <w:rPr>
          <w:rFonts w:ascii="Times New Roman" w:hAnsi="Times New Roman" w:cs="Times New Roman"/>
          <w:color w:val="000000" w:themeColor="text1"/>
          <w:kern w:val="2"/>
          <w:sz w:val="16"/>
          <w:szCs w:val="16"/>
        </w:rPr>
        <w:softHyphen/>
        <w:t>тов безопасности.</w:t>
      </w:r>
    </w:p>
    <w:p w14:paraId="18014D5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выборе прочных размеров частей аппарата следует исходить из того положения, что ни одна часть, при самой неблагоприятной комбинации вне</w:t>
      </w:r>
      <w:r w:rsidRPr="002F2FDF">
        <w:rPr>
          <w:rFonts w:ascii="Times New Roman" w:hAnsi="Times New Roman" w:cs="Times New Roman"/>
          <w:color w:val="000000" w:themeColor="text1"/>
          <w:kern w:val="2"/>
          <w:sz w:val="16"/>
          <w:szCs w:val="16"/>
        </w:rPr>
        <w:softHyphen/>
        <w:t>шних сил, не должна получать остаточных деформаций. Нигде не должен быть перейден предел упругости материала. В соединениях не должно получать</w:t>
      </w:r>
      <w:r w:rsidRPr="002F2FDF">
        <w:rPr>
          <w:rFonts w:ascii="Times New Roman" w:hAnsi="Times New Roman" w:cs="Times New Roman"/>
          <w:color w:val="000000" w:themeColor="text1"/>
          <w:kern w:val="2"/>
          <w:sz w:val="16"/>
          <w:szCs w:val="16"/>
        </w:rPr>
        <w:softHyphen/>
        <w:t>ся усилий, при которых соединение начинает сдавать. В сжатых частях не должно получаться усилий, вызывающих продольный изгиб.</w:t>
      </w:r>
    </w:p>
    <w:p w14:paraId="04FFA39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случае аппаратов, не предназначенных для выполнения в воздухе каких-либо резких эволюции, мы полагали бы возможным установить для отдельных частей такие расчетные нагрузки:</w:t>
      </w:r>
    </w:p>
    <w:p w14:paraId="5E34CF0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При расчете частей главной коробки иметь в виду:</w:t>
      </w:r>
    </w:p>
    <w:p w14:paraId="2AF6DED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давление воздуха, направленное снизу вверх и равное удвоенному пол</w:t>
      </w:r>
      <w:r w:rsidRPr="002F2FDF">
        <w:rPr>
          <w:rFonts w:ascii="Times New Roman" w:hAnsi="Times New Roman" w:cs="Times New Roman"/>
          <w:color w:val="000000" w:themeColor="text1"/>
          <w:kern w:val="2"/>
          <w:sz w:val="16"/>
          <w:szCs w:val="16"/>
        </w:rPr>
        <w:softHyphen/>
        <w:t>ному весу аппарата;</w:t>
      </w:r>
    </w:p>
    <w:p w14:paraId="5BD09B4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давление воздуха сверху вниз, равное весу аппарата;</w:t>
      </w:r>
    </w:p>
    <w:p w14:paraId="6CE1C83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силы инерции при посадке, направленные сверху вниз и равные учет</w:t>
      </w:r>
      <w:r w:rsidRPr="002F2FDF">
        <w:rPr>
          <w:rFonts w:ascii="Times New Roman" w:hAnsi="Times New Roman" w:cs="Times New Roman"/>
          <w:color w:val="000000" w:themeColor="text1"/>
          <w:kern w:val="2"/>
          <w:sz w:val="16"/>
          <w:szCs w:val="16"/>
        </w:rPr>
        <w:softHyphen/>
        <w:t>веренному весу аппарата;</w:t>
      </w:r>
    </w:p>
    <w:p w14:paraId="2CCA9C2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 лобовое сопротивление, равное половине веса аппарата.</w:t>
      </w:r>
    </w:p>
    <w:p w14:paraId="73D56A9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При расчете хвостовой фермы должны быть рассмотрены следую</w:t>
      </w:r>
      <w:r w:rsidRPr="002F2FDF">
        <w:rPr>
          <w:rFonts w:ascii="Times New Roman" w:hAnsi="Times New Roman" w:cs="Times New Roman"/>
          <w:color w:val="000000" w:themeColor="text1"/>
          <w:kern w:val="2"/>
          <w:sz w:val="16"/>
          <w:szCs w:val="16"/>
        </w:rPr>
        <w:softHyphen/>
        <w:t>щие случаи действия сил:</w:t>
      </w:r>
    </w:p>
    <w:p w14:paraId="5D672EA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давление на рули, соответствующее отклонению в 15°;</w:t>
      </w:r>
    </w:p>
    <w:p w14:paraId="5A76543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 силы инерции при посадке, равные учетверенному собственному весу.</w:t>
      </w:r>
    </w:p>
    <w:p w14:paraId="088A037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Расчет шасси должен быть произведен на силы инерции при посадке равные учетверенному весу аппарата.</w:t>
      </w:r>
    </w:p>
    <w:p w14:paraId="31B3061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При подсчете напряжений должна быть принята во внимание пер</w:t>
      </w:r>
      <w:r w:rsidRPr="002F2FDF">
        <w:rPr>
          <w:rFonts w:ascii="Times New Roman" w:hAnsi="Times New Roman" w:cs="Times New Roman"/>
          <w:color w:val="000000" w:themeColor="text1"/>
          <w:kern w:val="2"/>
          <w:sz w:val="16"/>
          <w:szCs w:val="16"/>
        </w:rPr>
        <w:softHyphen/>
        <w:t>воначальная затяжка диагоналей, которую следует выбрать так, чтобы не был понижен общий предел упругости конструкции и в то же время, чтобы диагонали не разгружались при тех предельных нагрузках, которые ука</w:t>
      </w:r>
      <w:r w:rsidRPr="002F2FDF">
        <w:rPr>
          <w:rFonts w:ascii="Times New Roman" w:hAnsi="Times New Roman" w:cs="Times New Roman"/>
          <w:color w:val="000000" w:themeColor="text1"/>
          <w:kern w:val="2"/>
          <w:sz w:val="16"/>
          <w:szCs w:val="16"/>
        </w:rPr>
        <w:softHyphen/>
        <w:t>заны в пункте 1 .</w:t>
      </w:r>
    </w:p>
    <w:p w14:paraId="3BFDFD8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Размеры частей аппарата должны быть подобраны так, чтобы при перечисленных нагрузках нигде не получалось остаточных деформаций. Если те усилия, которые уже вызывают в рассчитываемых частях остаточ</w:t>
      </w:r>
      <w:r w:rsidRPr="002F2FDF">
        <w:rPr>
          <w:rFonts w:ascii="Times New Roman" w:hAnsi="Times New Roman" w:cs="Times New Roman"/>
          <w:color w:val="000000" w:themeColor="text1"/>
          <w:kern w:val="2"/>
          <w:sz w:val="16"/>
          <w:szCs w:val="16"/>
        </w:rPr>
        <w:softHyphen/>
        <w:t>ные деформации, не получены опытным путем, то мы их будем принимать в наших расчетах равными 0,5-0,6 от разрушающих усилий, или 0,6-0,75 от критических нагрузок” [29].</w:t>
      </w:r>
    </w:p>
    <w:p w14:paraId="19F49F2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Эта монография показывает, что в России в дореволюционные годы научный уровень исследований в области авиации был достаточно высок и не уступал передовым странам. Она явилась первой в мире книгой, спе</w:t>
      </w:r>
      <w:r w:rsidRPr="002F2FDF">
        <w:rPr>
          <w:rFonts w:ascii="Times New Roman" w:hAnsi="Times New Roman" w:cs="Times New Roman"/>
          <w:color w:val="000000" w:themeColor="text1"/>
          <w:kern w:val="2"/>
          <w:sz w:val="16"/>
          <w:szCs w:val="16"/>
        </w:rPr>
        <w:softHyphen/>
        <w:t>циально посвященной вопросам прочности аэропланов, хотя по незави</w:t>
      </w:r>
      <w:r w:rsidRPr="002F2FDF">
        <w:rPr>
          <w:rFonts w:ascii="Times New Roman" w:hAnsi="Times New Roman" w:cs="Times New Roman"/>
          <w:color w:val="000000" w:themeColor="text1"/>
          <w:kern w:val="2"/>
          <w:sz w:val="16"/>
          <w:szCs w:val="16"/>
        </w:rPr>
        <w:softHyphen/>
        <w:t>сящим от автора причинам ( война 1 9 1 4- 1 9 1 8 гг. , революция 1 9 1 7 г. ) не была издана типографским способом. Только в 2003 г., в год 100-летия первого полета аэроплана братьев Райт, питая глубокое уважение к научным зас</w:t>
      </w:r>
      <w:r w:rsidRPr="002F2FDF">
        <w:rPr>
          <w:rFonts w:ascii="Times New Roman" w:hAnsi="Times New Roman" w:cs="Times New Roman"/>
          <w:color w:val="000000" w:themeColor="text1"/>
          <w:kern w:val="2"/>
          <w:sz w:val="16"/>
          <w:szCs w:val="16"/>
        </w:rPr>
        <w:softHyphen/>
        <w:t>лугам великого ученого С. П. Тимошенко, ЦАГИ опубликовал его труды в области авиации [29] (11425).</w:t>
      </w:r>
    </w:p>
    <w:p w14:paraId="5889827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5EE20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были следующие мастерские авиационных приборов:</w:t>
      </w:r>
    </w:p>
    <w:p w14:paraId="0911F55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мастерская точных приборов при Николаевской Главной физической обсерватории (компасы, высотомеры, анемотахометры) г.Петроград ("Список приборов",предназначенных для ремонта " (1918 г.) -ЦГВИА, ф.493, 014.9, ед.хр.81, л.43).</w:t>
      </w:r>
    </w:p>
    <w:p w14:paraId="10FEF44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мастерские товарищества "Фавловский и К ", г.Петроград (тахометры);</w:t>
      </w:r>
    </w:p>
    <w:p w14:paraId="1FEE65E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мастерская научных приборов В.Е.Дмитриевского, г.Петро</w:t>
      </w:r>
      <w:r w:rsidRPr="002F2FDF">
        <w:rPr>
          <w:rFonts w:ascii="Times New Roman" w:hAnsi="Times New Roman" w:cs="Times New Roman"/>
          <w:color w:val="000000" w:themeColor="text1"/>
          <w:kern w:val="2"/>
          <w:sz w:val="16"/>
          <w:szCs w:val="16"/>
        </w:rPr>
        <w:softHyphen/>
        <w:t>град (компасы, счетчики оборотов, указатели скорости, прицелы) (ЦГАСА, ф.29, ол.17, ед.хр. 302, л.10);</w:t>
      </w:r>
    </w:p>
    <w:p w14:paraId="17C7BFB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мастерская авиационных приборов инженера Э.Гарфа, г. Киев ("Рапорт начальнику УВВФ зав. авиационными и воздухоплаватель</w:t>
      </w:r>
      <w:r w:rsidRPr="002F2FDF">
        <w:rPr>
          <w:rFonts w:ascii="Times New Roman" w:hAnsi="Times New Roman" w:cs="Times New Roman"/>
          <w:color w:val="000000" w:themeColor="text1"/>
          <w:kern w:val="2"/>
          <w:sz w:val="16"/>
          <w:szCs w:val="16"/>
        </w:rPr>
        <w:softHyphen/>
        <w:t>ными приемками" - ЦГАСА, ф.29, оп.19, ед.хр.285);</w:t>
      </w:r>
    </w:p>
    <w:p w14:paraId="6512617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орудийный завод, г. Петроград (ветрочет капитана Журавченко) ("Рапорт начальнику УВВФ зав. авиационными и воздухоплаватель</w:t>
      </w:r>
      <w:r w:rsidRPr="002F2FDF">
        <w:rPr>
          <w:rFonts w:ascii="Times New Roman" w:hAnsi="Times New Roman" w:cs="Times New Roman"/>
          <w:color w:val="000000" w:themeColor="text1"/>
          <w:kern w:val="2"/>
          <w:sz w:val="16"/>
          <w:szCs w:val="16"/>
        </w:rPr>
        <w:softHyphen/>
        <w:t>ными приемками" - ЦГАСА, ф.29, оп.19, ед.хр.285)</w:t>
      </w:r>
    </w:p>
    <w:p w14:paraId="0D31DC7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мастерские Луценко (Протокол заседания Комиссии по обследованию заводов Централь</w:t>
      </w:r>
      <w:r w:rsidRPr="002F2FDF">
        <w:rPr>
          <w:rFonts w:ascii="Times New Roman" w:hAnsi="Times New Roman" w:cs="Times New Roman"/>
          <w:color w:val="000000" w:themeColor="text1"/>
          <w:kern w:val="2"/>
          <w:sz w:val="16"/>
          <w:szCs w:val="16"/>
        </w:rPr>
        <w:softHyphen/>
        <w:t>ного района, работающих на авиацию и имеющих заказы от УВВФ. 4 марта (19 февраля) 1918 г. - ЦГАСА, ф.29, опЛ, ед.хр. 23, л. 17-48.);</w:t>
      </w:r>
    </w:p>
    <w:p w14:paraId="4CE45B1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мастерские Щетинина (Н.Ф.Кудрявцев. История техники аэронавигации. Монино, 1947. Рукопись, хранится в музее ВВС, Монияо);</w:t>
      </w:r>
    </w:p>
    <w:p w14:paraId="6F8827B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мастерские Немчинова (Протоко.л заседания Комиссии по обследованию заводов Централь</w:t>
      </w:r>
      <w:r w:rsidRPr="002F2FDF">
        <w:rPr>
          <w:rFonts w:ascii="Times New Roman" w:hAnsi="Times New Roman" w:cs="Times New Roman"/>
          <w:color w:val="000000" w:themeColor="text1"/>
          <w:kern w:val="2"/>
          <w:sz w:val="16"/>
          <w:szCs w:val="16"/>
        </w:rPr>
        <w:softHyphen/>
        <w:t>ного района, работающих на авиацию и имеющих заказы от УВВФ. 4 марта (19 февраля) 1918 г. - ЦГАСА, ф.29, оп 11, ед.хр. 23, л. 17-48.) (11077).</w:t>
      </w:r>
    </w:p>
    <w:p w14:paraId="5569BDC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A24AA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1917 г., ко времени Октябрьской революции, поло</w:t>
      </w:r>
      <w:r w:rsidRPr="002F2FDF">
        <w:rPr>
          <w:rFonts w:ascii="Times New Roman" w:hAnsi="Times New Roman" w:cs="Times New Roman"/>
          <w:color w:val="000000" w:themeColor="text1"/>
          <w:kern w:val="2"/>
          <w:sz w:val="16"/>
          <w:szCs w:val="16"/>
        </w:rPr>
        <w:softHyphen/>
        <w:t>жение в авиапромышленности еще более ухудшилось. Нахва</w:t>
      </w:r>
      <w:r w:rsidRPr="002F2FDF">
        <w:rPr>
          <w:rFonts w:ascii="Times New Roman" w:hAnsi="Times New Roman" w:cs="Times New Roman"/>
          <w:color w:val="000000" w:themeColor="text1"/>
          <w:kern w:val="2"/>
          <w:sz w:val="16"/>
          <w:szCs w:val="16"/>
        </w:rPr>
        <w:softHyphen/>
        <w:t>тало металла и рабочих рук. Заводская администрация и ин</w:t>
      </w:r>
      <w:r w:rsidRPr="002F2FDF">
        <w:rPr>
          <w:rFonts w:ascii="Times New Roman" w:hAnsi="Times New Roman" w:cs="Times New Roman"/>
          <w:color w:val="000000" w:themeColor="text1"/>
          <w:kern w:val="2"/>
          <w:sz w:val="16"/>
          <w:szCs w:val="16"/>
        </w:rPr>
        <w:softHyphen/>
        <w:t>женеры в большинстве встретили ра'бочую 'власть в штыки и активно занимались саботажем, т. е. попросту вредитель</w:t>
      </w:r>
      <w:r w:rsidRPr="002F2FDF">
        <w:rPr>
          <w:rFonts w:ascii="Times New Roman" w:hAnsi="Times New Roman" w:cs="Times New Roman"/>
          <w:color w:val="000000" w:themeColor="text1"/>
          <w:kern w:val="2"/>
          <w:sz w:val="16"/>
          <w:szCs w:val="16"/>
        </w:rPr>
        <w:softHyphen/>
        <w:t>ством. Лучшие силы рабочих уходили в Красную гвардию (11094).</w:t>
      </w:r>
    </w:p>
    <w:p w14:paraId="71165D2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FF95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г. в Центральной лаборатории по “артиллерийским вопросам авиации”, то есть по разработке авиационного бомбового вооружения, изготовили и испытали опытные образцы бомб, снаряженных зажигательными элементами - картушами и зажигательными пулями. Радиус действия таких бомб по сравнению с существующими существенно возрос за счет использования в составе боеприпаса заряда ВВ, при подрыве которого зажигательные элементы загорались и разлетались на значительное расстояние. Обладая высокой кинетической энергией, такие элементы были способны вонзаться в стены домов, деревья и прочие преграды. При этом они создавали отдельные малые очаги пожаров, которые спустя непродолжительное время сливались в один большой (7453).</w:t>
      </w:r>
    </w:p>
    <w:p w14:paraId="452598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6995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года практически весь запас химических авиационных бомб был уничтожен на месте ВВИДУ их крайней опасности, а также невозможности транспортировки в глубь страны (9656).</w:t>
      </w:r>
    </w:p>
    <w:p w14:paraId="439FA7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E8AB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за годы войны Россия получила 6812 самолетов и 5511 двигателей, из которых 5012 самолетов и 1800 двигателей поставили отечественные заводы (в основном, по французским образцам), а остальные были закуплены во Франции (до 65% самолетов и 90% двигателей), Италии (25% самолетов) и Англии (10% самолетов и 10% двигателей). Следует отметить, что эффективность применения русской авиации снижалась из-за разнотипности самолетного парка, затруднявшей материальное снабжение и подготовку персонала. К концу 1917 года в строю находились самолеты 30 различных типов, 17 из которыя являлись основными. В боях испорльзовались и трорфейные самолеты, 120-150 которых было захвачено в относительно исправном состоянии в течение войны (11184).</w:t>
      </w:r>
    </w:p>
    <w:p w14:paraId="1F05E9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E5C444" w14:textId="0CF020CC" w:rsidR="006970C8" w:rsidRPr="002F2FDF" w:rsidRDefault="006970C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новые российские власти вошли в контакт со шведами и скоро Швеция стала для Страны Советов «окном» в Западную Европу. Гражданская война прервала эти отношения, и Швеция официально примкнула к международной блокаде Советской России. До 1920 года у последней не было нормальных дипломатических отношений с другими странами (15120).</w:t>
      </w:r>
    </w:p>
    <w:p w14:paraId="49A74A28" w14:textId="77777777" w:rsidR="006970C8" w:rsidRPr="002F2FDF" w:rsidRDefault="006970C8" w:rsidP="0083075A">
      <w:pPr>
        <w:spacing w:after="0" w:line="240" w:lineRule="auto"/>
        <w:jc w:val="both"/>
        <w:rPr>
          <w:rFonts w:ascii="Times New Roman" w:hAnsi="Times New Roman" w:cs="Times New Roman"/>
          <w:color w:val="000000" w:themeColor="text1"/>
          <w:kern w:val="2"/>
          <w:sz w:val="16"/>
          <w:szCs w:val="16"/>
        </w:rPr>
      </w:pPr>
    </w:p>
    <w:p w14:paraId="487BD7E4" w14:textId="77777777" w:rsidR="009F39F8" w:rsidRPr="002F2FDF" w:rsidRDefault="009F39F8"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конце 1917 г. После Октябрьской Революции, работа аэроклуба прекратилась. По другим данным аэроклуб – работал до лета 1918</w:t>
      </w:r>
      <w:r w:rsidRPr="002F2FDF">
        <w:rPr>
          <w:rFonts w:ascii="Times New Roman" w:hAnsi="Times New Roman" w:cs="Times New Roman"/>
          <w:color w:val="000000" w:themeColor="text1"/>
          <w:sz w:val="16"/>
          <w:szCs w:val="16"/>
          <w:shd w:val="clear" w:color="auto" w:fill="FFFFFF"/>
        </w:rPr>
        <w:t xml:space="preserve"> Есть мнение, что после революции 1917 года Всероссийский клуб перестал быть Императорским и </w:t>
      </w:r>
      <w:r w:rsidRPr="002F2FDF">
        <w:rPr>
          <w:rFonts w:ascii="Times New Roman" w:hAnsi="Times New Roman" w:cs="Times New Roman"/>
          <w:color w:val="000000" w:themeColor="text1"/>
          <w:sz w:val="16"/>
          <w:szCs w:val="16"/>
        </w:rPr>
        <w:t>С 22 марта 1918</w:t>
      </w:r>
      <w:r w:rsidRPr="002F2FDF">
        <w:rPr>
          <w:rFonts w:ascii="Times New Roman" w:hAnsi="Times New Roman" w:cs="Times New Roman"/>
          <w:color w:val="000000" w:themeColor="text1"/>
          <w:sz w:val="16"/>
          <w:szCs w:val="16"/>
          <w:shd w:val="clear" w:color="auto" w:fill="FFFFFF"/>
        </w:rPr>
        <w:t xml:space="preserve"> года изменил своё название на ВАВО (Всероссийское авиационное и воздухоплавательное общество), к концу года прекратив своё существование (20170).</w:t>
      </w:r>
    </w:p>
    <w:p w14:paraId="521613E7" w14:textId="77777777" w:rsidR="009F39F8" w:rsidRPr="002F2FDF" w:rsidRDefault="009F39F8" w:rsidP="0083075A">
      <w:pPr>
        <w:spacing w:after="0" w:line="240" w:lineRule="auto"/>
        <w:jc w:val="both"/>
        <w:rPr>
          <w:rFonts w:ascii="Times New Roman" w:hAnsi="Times New Roman" w:cs="Times New Roman"/>
          <w:color w:val="000000" w:themeColor="text1"/>
          <w:sz w:val="16"/>
          <w:szCs w:val="16"/>
        </w:rPr>
      </w:pPr>
    </w:p>
    <w:p w14:paraId="31D4B820"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48A864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139BBE" w14:textId="77777777" w:rsidR="00BC2F7C" w:rsidRPr="002F2FDF" w:rsidRDefault="00BC2F7C" w:rsidP="0083075A">
      <w:pPr>
        <w:pStyle w:val="p1"/>
        <w:spacing w:before="0" w:beforeAutospacing="0" w:after="0" w:afterAutospacing="0"/>
        <w:jc w:val="both"/>
        <w:rPr>
          <w:color w:val="000000" w:themeColor="text1"/>
          <w:sz w:val="16"/>
          <w:szCs w:val="16"/>
        </w:rPr>
      </w:pPr>
      <w:r w:rsidRPr="002F2FDF">
        <w:rPr>
          <w:color w:val="000000" w:themeColor="text1"/>
          <w:sz w:val="16"/>
          <w:szCs w:val="16"/>
        </w:rPr>
        <w:t>В конце 1917 г. строительство Екатеринославского оружейного завода возобновилось, но затем его участь была окончательно решена: ГАУ позволило комиссии, сооружавшей Воронежский завод взрывателей, взять с екатеринославской стройки кабель, «а также, если окажется возможным… разные хозяйственные предметы, кои окажутся пригодными для завода взрывателей». С переходом же 4 апреля 1918 г. власти в Екатеринославе к украинской Центральной раде Залюбовский, возглавлявший строительную комиссию, признал дело окончательно загубленным и предложил ликвидацию (18409).</w:t>
      </w:r>
    </w:p>
    <w:p w14:paraId="2E4AB160" w14:textId="77777777" w:rsidR="00BC2F7C" w:rsidRPr="002F2FDF" w:rsidRDefault="00BC2F7C" w:rsidP="0083075A">
      <w:pPr>
        <w:pStyle w:val="p1"/>
        <w:spacing w:before="0" w:beforeAutospacing="0" w:after="0" w:afterAutospacing="0"/>
        <w:jc w:val="both"/>
        <w:rPr>
          <w:color w:val="000000" w:themeColor="text1"/>
          <w:sz w:val="16"/>
          <w:szCs w:val="16"/>
        </w:rPr>
      </w:pPr>
    </w:p>
    <w:p w14:paraId="02837257" w14:textId="77777777" w:rsidR="00BC2F7C" w:rsidRPr="002F2FDF" w:rsidRDefault="00BC2F7C" w:rsidP="0083075A">
      <w:pPr>
        <w:pStyle w:val="ae"/>
        <w:spacing w:before="0" w:after="0"/>
        <w:jc w:val="both"/>
        <w:rPr>
          <w:color w:val="000000" w:themeColor="text1"/>
          <w:sz w:val="16"/>
          <w:szCs w:val="16"/>
        </w:rPr>
      </w:pPr>
      <w:r w:rsidRPr="002F2FDF">
        <w:rPr>
          <w:color w:val="000000" w:themeColor="text1"/>
          <w:sz w:val="16"/>
          <w:szCs w:val="16"/>
        </w:rPr>
        <w:lastRenderedPageBreak/>
        <w:t>К концу 1917 г. от союзников было получено 86.750 снарядов [3]. К орудиям среднего калибра от союзников было получено 2.649.845 снарядов, в то время как отечественная промышленность произвела около 8.500.000 артиллерийских снарядов (18515).</w:t>
      </w:r>
    </w:p>
    <w:p w14:paraId="07C62B81" w14:textId="77777777" w:rsidR="00BC2F7C" w:rsidRPr="002F2FDF" w:rsidRDefault="00BC2F7C" w:rsidP="0083075A">
      <w:pPr>
        <w:pStyle w:val="ae"/>
        <w:spacing w:before="0" w:after="0"/>
        <w:jc w:val="both"/>
        <w:rPr>
          <w:color w:val="000000" w:themeColor="text1"/>
          <w:sz w:val="16"/>
          <w:szCs w:val="16"/>
        </w:rPr>
      </w:pPr>
    </w:p>
    <w:p w14:paraId="587FBAAC"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shd w:val="clear" w:color="auto" w:fill="FFFEFF"/>
        </w:rPr>
        <w:t>К концу 1917 г. в Россию было доставлено 42.438 штук пулеметов, причем 79 % пулеметов были произведены в США. Если учесть что за годы войны отечественная промышленность произвела 28 тыс. пулеметов, то вклад союзников в деле оснащения российской армии автоматическим оружием следует признать очень значительным и важным. Однако необходимо отметить, что основная масса пулеметов была поставлена в Россию только в 1917 г.</w:t>
      </w:r>
      <w:r w:rsidRPr="002F2FDF">
        <w:rPr>
          <w:rFonts w:ascii="Times New Roman" w:hAnsi="Times New Roman" w:cs="Times New Roman"/>
          <w:color w:val="000000" w:themeColor="text1"/>
          <w:sz w:val="16"/>
          <w:szCs w:val="16"/>
        </w:rPr>
        <w:t xml:space="preserve"> (18515).</w:t>
      </w:r>
    </w:p>
    <w:p w14:paraId="37293BE8"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p>
    <w:p w14:paraId="43EBFF42" w14:textId="74A632A0" w:rsidR="00BC2F7C" w:rsidRPr="002F2FDF" w:rsidRDefault="00BC2F7C" w:rsidP="0083075A">
      <w:pPr>
        <w:pStyle w:val="ae"/>
        <w:spacing w:before="0" w:after="0"/>
        <w:jc w:val="both"/>
        <w:rPr>
          <w:color w:val="000000" w:themeColor="text1"/>
          <w:sz w:val="16"/>
          <w:szCs w:val="16"/>
        </w:rPr>
      </w:pPr>
      <w:r w:rsidRPr="002F2FDF">
        <w:rPr>
          <w:color w:val="000000" w:themeColor="text1"/>
          <w:sz w:val="16"/>
          <w:szCs w:val="16"/>
        </w:rPr>
        <w:t>К концу 1917 г. было выстроено 85 %</w:t>
      </w:r>
      <w:r w:rsidR="00E52569">
        <w:rPr>
          <w:color w:val="000000" w:themeColor="text1"/>
          <w:sz w:val="16"/>
          <w:szCs w:val="16"/>
        </w:rPr>
        <w:t xml:space="preserve"> </w:t>
      </w:r>
      <w:r w:rsidRPr="002F2FDF">
        <w:rPr>
          <w:color w:val="000000" w:themeColor="text1"/>
          <w:sz w:val="16"/>
          <w:szCs w:val="16"/>
        </w:rPr>
        <w:t xml:space="preserve"> зданий и установлено 25 % оборудования автомобильного завода о-ва «Аксай», которое велось на территории принадлежащего ему предприятия сельскохозяйственных машин. Однако правление завода даже не приступило к разработке конструкции автомобиля и налаживания</w:t>
      </w:r>
      <w:r w:rsidR="00E52569">
        <w:rPr>
          <w:color w:val="000000" w:themeColor="text1"/>
          <w:sz w:val="16"/>
          <w:szCs w:val="16"/>
        </w:rPr>
        <w:t xml:space="preserve"> </w:t>
      </w:r>
      <w:r w:rsidRPr="002F2FDF">
        <w:rPr>
          <w:color w:val="000000" w:themeColor="text1"/>
          <w:sz w:val="16"/>
          <w:szCs w:val="16"/>
        </w:rPr>
        <w:t xml:space="preserve"> автомобильного производства. В дальнейшем завод «Красный Аксай», расширившийся за счет нового строительства, продолжал специализироваться в области сельскохозяйственного машиностроения (18369).</w:t>
      </w:r>
    </w:p>
    <w:p w14:paraId="4FAC67DC" w14:textId="77777777" w:rsidR="00BC2F7C" w:rsidRPr="002F2FDF" w:rsidRDefault="00BC2F7C" w:rsidP="0083075A">
      <w:pPr>
        <w:pStyle w:val="ae"/>
        <w:spacing w:before="0" w:after="0"/>
        <w:jc w:val="both"/>
        <w:rPr>
          <w:color w:val="000000" w:themeColor="text1"/>
          <w:sz w:val="16"/>
          <w:szCs w:val="16"/>
        </w:rPr>
      </w:pPr>
    </w:p>
    <w:p w14:paraId="241937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1917 г. по представлению артиллерийского ведомства был построен Таватуйский динамитный завод (Завод № 594 НКБ, Таватуйский динамитный завод, п/я 31, Калиновский химический завод (КХЗ), ОАО «КХЗ» Росбоеприпаса /пос. Таватуй; пос. Калиново Невьянского р-на Свердловской обл. (1942 г.);  г. Сверловск п/я 31 «Заря» (1943 г.)/ /624186 пос. Калиново Невьянского р-на Свердловской обл. ул. Ленина, 8/), но, в связи с революционными событиями, в число действующих так и не был введен.</w:t>
      </w:r>
    </w:p>
    <w:p w14:paraId="7670BF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1930-е  г. на площадке завода созданы Таватуйские базисные склады.</w:t>
      </w:r>
    </w:p>
    <w:p w14:paraId="5E76DA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Осенью 1941 г. на площадку завода № 594 эвакуировано производство динамитов и аммонитов (71 ед. оборудования) завода № 59 НКБ. Затем - производство динамита и аммонита (61 ед. оборудования) завода № 6 из Ленинграда. В 1942 г. производство динамита и аммонита (117 ед. оборудования) эвакуированного завода № 52, прибывшее в Молотов на завод № 98, передано на завод № 594. Строительство завода завершено в 1943 г.</w:t>
      </w:r>
    </w:p>
    <w:p w14:paraId="10B285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12.1942-04.1943 г. завод - в ведении треста «Артсбыт», в 08.1943-09.1944 г. - в ведении ЗГУ НКБ. Имел обозначение «п/я 31» (1943 г.).</w:t>
      </w:r>
    </w:p>
    <w:p w14:paraId="2BAB63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(2000-е): промышленные ВВ (промежуточные детонаторы, смесевые и эмульсионные ВВ).</w:t>
      </w:r>
    </w:p>
    <w:p w14:paraId="6912AE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Указу Президента РФ № 1009 от 4.08.2004 г. вошел в число стратегических оборонных предприятий.</w:t>
      </w:r>
    </w:p>
    <w:p w14:paraId="0CCEBC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(1943 г.): производственная- 1698 м</w:t>
      </w:r>
      <w:r w:rsidRPr="002F2FDF">
        <w:rPr>
          <w:rFonts w:ascii="Times New Roman" w:hAnsi="Times New Roman" w:cs="Times New Roman"/>
          <w:color w:val="000000" w:themeColor="text1"/>
          <w:kern w:val="2"/>
          <w:sz w:val="16"/>
          <w:szCs w:val="16"/>
          <w:vertAlign w:val="superscript"/>
        </w:rPr>
        <w:t>2</w:t>
      </w:r>
      <w:r w:rsidRPr="002F2FDF">
        <w:rPr>
          <w:rFonts w:ascii="Times New Roman" w:hAnsi="Times New Roman" w:cs="Times New Roman"/>
          <w:color w:val="000000" w:themeColor="text1"/>
          <w:kern w:val="2"/>
          <w:sz w:val="16"/>
          <w:szCs w:val="16"/>
        </w:rPr>
        <w:t>; вспомогательная- 688 м</w:t>
      </w:r>
      <w:r w:rsidRPr="002F2FDF">
        <w:rPr>
          <w:rFonts w:ascii="Times New Roman" w:hAnsi="Times New Roman" w:cs="Times New Roman"/>
          <w:color w:val="000000" w:themeColor="text1"/>
          <w:kern w:val="2"/>
          <w:sz w:val="16"/>
          <w:szCs w:val="16"/>
          <w:vertAlign w:val="superscript"/>
        </w:rPr>
        <w:t>2</w:t>
      </w:r>
      <w:r w:rsidRPr="002F2FDF">
        <w:rPr>
          <w:rFonts w:ascii="Times New Roman" w:hAnsi="Times New Roman" w:cs="Times New Roman"/>
          <w:color w:val="000000" w:themeColor="text1"/>
          <w:kern w:val="2"/>
          <w:sz w:val="16"/>
          <w:szCs w:val="16"/>
        </w:rPr>
        <w:t>.</w:t>
      </w:r>
    </w:p>
    <w:p w14:paraId="722B0F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(12.1942 г.)- 365 чел.</w:t>
      </w:r>
    </w:p>
    <w:p w14:paraId="79024D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И.О. директора (10.1943 г.)- Бабкин. Гендиректор (2001 г.)- С.А. Образцов.</w:t>
      </w:r>
    </w:p>
    <w:p w14:paraId="685992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отделов: планового (12.1942 г.)- Марголин, (04.1943 г.)- Леонов.</w:t>
      </w:r>
    </w:p>
    <w:p w14:paraId="4F59BA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vertAlign w:val="superscript"/>
        </w:rPr>
      </w:pPr>
      <w:r w:rsidRPr="002F2FDF">
        <w:rPr>
          <w:rFonts w:ascii="Times New Roman" w:hAnsi="Times New Roman" w:cs="Times New Roman"/>
          <w:color w:val="000000" w:themeColor="text1"/>
          <w:kern w:val="2"/>
          <w:sz w:val="16"/>
          <w:szCs w:val="16"/>
        </w:rPr>
        <w:t>Производство: аммонит (1943) (11982).</w:t>
      </w:r>
    </w:p>
    <w:p w14:paraId="404316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B9A8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года на ИНЗ были выпущены первые образцы оружия, которые комиссией не были приняты.</w:t>
      </w:r>
    </w:p>
    <w:p w14:paraId="358CF3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этому же времени завод получил заказ на изготовление стрелкового оружия – автомата русского изобретателя В.Г. Федорова. В 1918 году для установки и развертывания производства по изготовлению автоматического оружия на завод прибыл изобретатель – инженер В.Г. Федоров и вместе с ним прибыл Дегтярев В.А. 8 июля 1918 года завод был национализирован ВСНХ. В 1926 году был принят на вооружение 7,62 мм ручной пулемет системы В.А. Дегтярева. В период 1927-1933 гг. завод изготовляет в больших количествах разновидности ручного пулемета системы Дегтярева ДП, приспособленного для использования в авиации – ДА и ДА-2, в танковых частях – ДТ. В 1934-35 гг. осваивается производство малокалиберной винтовки ТВ-8. В 1936 году заводом осваивается производство крупнокалиберной 12,5 мм, а потом 20 мм авиационной пушки ШВАК.</w:t>
      </w:r>
    </w:p>
    <w:p w14:paraId="7B6440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это же время осваивается в производстве 12,5 мм пулемет ДШК со станком, морской тумбовой установкой и турелью под него. В 1939 году на производство ставится ручной автомат ППД с последующим переходом на ППШ и осваивается производство крупнокалиберных авиационных пулеметов системы Березина БС, БК и БТ. К началу 1941 года на производстве завода в основном шли пехотный и танковый пулеметы системы Дегтярева, автомат ППШ, крупнокалиберный пулемет системы Березина и авиационная пушка ШВАК. В 1941 году в период боев под Москвой заводом выпускается 20 мм пушка ШВАК, приспособленная для танков и осваивается производство 14,5 мм противотанкового ружья ПТРД.</w:t>
      </w:r>
    </w:p>
    <w:p w14:paraId="50149B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время ВОВ, кроме имевшихся на производстве изделий заводом осваивается производство 23 мм авиационной пушки ВЯ и станкового пулемета системы Горюнова С.Г. на станке СД. В 1944 году на замену 20 мм пушки ШВАК осваивается производство 23 мм авиапушек НС.</w:t>
      </w:r>
    </w:p>
    <w:p w14:paraId="41920B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послевоенный период заводом осваивается производство авиационной пушки НР-23, впоследствии замененной НР-30, зенитного, танкового и стрелкового 14,5 мм пулемета КПВ, КПВТ и КПВС. В период 1952-1963 гг. завод производил автопилоты АП-75-01 и АП-755. С 1946 года заводом поставлено производство мотоциклов (10255).</w:t>
      </w:r>
    </w:p>
    <w:p w14:paraId="1AD9AF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1B5C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конце 1917 г. Тульский завод остановился из-за недостатка топлива и простоял до апреля 1918 года. Пришлось большое количество рабочих рассчитать, при чем утеряно было много старых опытных рабочих. </w:t>
      </w:r>
    </w:p>
    <w:p w14:paraId="30AD22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Движение рабочей силы выражается следующим образом: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36"/>
        <w:gridCol w:w="481"/>
        <w:gridCol w:w="1092"/>
        <w:gridCol w:w="828"/>
      </w:tblGrid>
      <w:tr w:rsidR="002B1C74" w:rsidRPr="002F2FDF" w14:paraId="43308ABC" w14:textId="77777777">
        <w:tc>
          <w:tcPr>
            <w:tcW w:w="1236" w:type="dxa"/>
            <w:tcBorders>
              <w:top w:val="single" w:sz="12" w:space="0" w:color="auto"/>
            </w:tcBorders>
          </w:tcPr>
          <w:p w14:paraId="7D10E8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1903 г.</w:t>
            </w:r>
          </w:p>
        </w:tc>
        <w:tc>
          <w:tcPr>
            <w:tcW w:w="481" w:type="dxa"/>
            <w:tcBorders>
              <w:top w:val="single" w:sz="12" w:space="0" w:color="auto"/>
            </w:tcBorders>
          </w:tcPr>
          <w:p w14:paraId="0CC5C6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1.490</w:t>
            </w:r>
          </w:p>
        </w:tc>
        <w:tc>
          <w:tcPr>
            <w:tcW w:w="1092" w:type="dxa"/>
            <w:tcBorders>
              <w:top w:val="single" w:sz="12" w:space="0" w:color="auto"/>
            </w:tcBorders>
          </w:tcPr>
          <w:p w14:paraId="1A67E7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1911 г.</w:t>
            </w:r>
          </w:p>
        </w:tc>
        <w:tc>
          <w:tcPr>
            <w:tcW w:w="828" w:type="dxa"/>
            <w:tcBorders>
              <w:top w:val="single" w:sz="12" w:space="0" w:color="auto"/>
            </w:tcBorders>
          </w:tcPr>
          <w:p w14:paraId="1F2756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2.960</w:t>
            </w:r>
          </w:p>
        </w:tc>
      </w:tr>
      <w:tr w:rsidR="002B1C74" w:rsidRPr="002F2FDF" w14:paraId="173168D7" w14:textId="77777777">
        <w:tc>
          <w:tcPr>
            <w:tcW w:w="1236" w:type="dxa"/>
          </w:tcPr>
          <w:p w14:paraId="38471F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1904 г.</w:t>
            </w:r>
          </w:p>
        </w:tc>
        <w:tc>
          <w:tcPr>
            <w:tcW w:w="481" w:type="dxa"/>
          </w:tcPr>
          <w:p w14:paraId="1B9107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3.060</w:t>
            </w:r>
          </w:p>
        </w:tc>
        <w:tc>
          <w:tcPr>
            <w:tcW w:w="1092" w:type="dxa"/>
          </w:tcPr>
          <w:p w14:paraId="25D055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1912 г.</w:t>
            </w:r>
          </w:p>
        </w:tc>
        <w:tc>
          <w:tcPr>
            <w:tcW w:w="828" w:type="dxa"/>
          </w:tcPr>
          <w:p w14:paraId="447D54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4.560</w:t>
            </w:r>
          </w:p>
        </w:tc>
      </w:tr>
      <w:tr w:rsidR="002B1C74" w:rsidRPr="002F2FDF" w14:paraId="6BB8BAF6" w14:textId="77777777">
        <w:tc>
          <w:tcPr>
            <w:tcW w:w="1236" w:type="dxa"/>
          </w:tcPr>
          <w:p w14:paraId="5D8FC3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1905 г.</w:t>
            </w:r>
          </w:p>
        </w:tc>
        <w:tc>
          <w:tcPr>
            <w:tcW w:w="481" w:type="dxa"/>
          </w:tcPr>
          <w:p w14:paraId="6F3F11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5.650</w:t>
            </w:r>
          </w:p>
        </w:tc>
        <w:tc>
          <w:tcPr>
            <w:tcW w:w="1092" w:type="dxa"/>
          </w:tcPr>
          <w:p w14:paraId="619E97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 г.</w:t>
            </w:r>
          </w:p>
        </w:tc>
        <w:tc>
          <w:tcPr>
            <w:tcW w:w="828" w:type="dxa"/>
          </w:tcPr>
          <w:p w14:paraId="1C184F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6.290</w:t>
            </w:r>
          </w:p>
        </w:tc>
      </w:tr>
      <w:tr w:rsidR="002B1C74" w:rsidRPr="002F2FDF" w14:paraId="6507AFAC" w14:textId="77777777">
        <w:tc>
          <w:tcPr>
            <w:tcW w:w="1236" w:type="dxa"/>
          </w:tcPr>
          <w:p w14:paraId="28E968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1906 г.</w:t>
            </w:r>
          </w:p>
        </w:tc>
        <w:tc>
          <w:tcPr>
            <w:tcW w:w="481" w:type="dxa"/>
          </w:tcPr>
          <w:p w14:paraId="1D5612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4.600</w:t>
            </w:r>
          </w:p>
        </w:tc>
        <w:tc>
          <w:tcPr>
            <w:tcW w:w="1092" w:type="dxa"/>
          </w:tcPr>
          <w:p w14:paraId="0A051A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 г.</w:t>
            </w:r>
          </w:p>
        </w:tc>
        <w:tc>
          <w:tcPr>
            <w:tcW w:w="828" w:type="dxa"/>
          </w:tcPr>
          <w:p w14:paraId="00E4CF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7.300</w:t>
            </w:r>
          </w:p>
        </w:tc>
      </w:tr>
      <w:tr w:rsidR="002B1C74" w:rsidRPr="002F2FDF" w14:paraId="49F11009" w14:textId="77777777">
        <w:tc>
          <w:tcPr>
            <w:tcW w:w="1236" w:type="dxa"/>
          </w:tcPr>
          <w:p w14:paraId="72EB37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1907 г.</w:t>
            </w:r>
          </w:p>
        </w:tc>
        <w:tc>
          <w:tcPr>
            <w:tcW w:w="481" w:type="dxa"/>
          </w:tcPr>
          <w:p w14:paraId="44BDCD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2.140</w:t>
            </w:r>
          </w:p>
        </w:tc>
        <w:tc>
          <w:tcPr>
            <w:tcW w:w="1092" w:type="dxa"/>
          </w:tcPr>
          <w:p w14:paraId="407016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w:t>
            </w:r>
          </w:p>
        </w:tc>
        <w:tc>
          <w:tcPr>
            <w:tcW w:w="828" w:type="dxa"/>
          </w:tcPr>
          <w:p w14:paraId="2710C8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9.880</w:t>
            </w:r>
          </w:p>
        </w:tc>
      </w:tr>
      <w:tr w:rsidR="002B1C74" w:rsidRPr="002F2FDF" w14:paraId="51EA6AD1" w14:textId="77777777">
        <w:tc>
          <w:tcPr>
            <w:tcW w:w="1236" w:type="dxa"/>
          </w:tcPr>
          <w:p w14:paraId="400117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1908 г.</w:t>
            </w:r>
          </w:p>
        </w:tc>
        <w:tc>
          <w:tcPr>
            <w:tcW w:w="481" w:type="dxa"/>
          </w:tcPr>
          <w:p w14:paraId="04E658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1.610</w:t>
            </w:r>
          </w:p>
        </w:tc>
        <w:tc>
          <w:tcPr>
            <w:tcW w:w="1092" w:type="dxa"/>
          </w:tcPr>
          <w:p w14:paraId="13CCEE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828" w:type="dxa"/>
          </w:tcPr>
          <w:p w14:paraId="37E471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13.200</w:t>
            </w:r>
          </w:p>
        </w:tc>
      </w:tr>
      <w:tr w:rsidR="002B1C74" w:rsidRPr="002F2FDF" w14:paraId="699F60B2" w14:textId="77777777">
        <w:tc>
          <w:tcPr>
            <w:tcW w:w="1236" w:type="dxa"/>
          </w:tcPr>
          <w:p w14:paraId="2910B3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1909 г.</w:t>
            </w:r>
          </w:p>
        </w:tc>
        <w:tc>
          <w:tcPr>
            <w:tcW w:w="481" w:type="dxa"/>
          </w:tcPr>
          <w:p w14:paraId="00CCFF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1.790</w:t>
            </w:r>
          </w:p>
        </w:tc>
        <w:tc>
          <w:tcPr>
            <w:tcW w:w="1092" w:type="dxa"/>
          </w:tcPr>
          <w:p w14:paraId="5373C7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828" w:type="dxa"/>
          </w:tcPr>
          <w:p w14:paraId="1BA6D0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14.260</w:t>
            </w:r>
          </w:p>
        </w:tc>
      </w:tr>
      <w:tr w:rsidR="002B1C74" w:rsidRPr="002F2FDF" w14:paraId="0AA9701A" w14:textId="77777777">
        <w:tc>
          <w:tcPr>
            <w:tcW w:w="1236" w:type="dxa"/>
            <w:tcBorders>
              <w:bottom w:val="single" w:sz="12" w:space="0" w:color="auto"/>
            </w:tcBorders>
          </w:tcPr>
          <w:p w14:paraId="224D78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1910 г.</w:t>
            </w:r>
          </w:p>
        </w:tc>
        <w:tc>
          <w:tcPr>
            <w:tcW w:w="481" w:type="dxa"/>
            <w:tcBorders>
              <w:bottom w:val="single" w:sz="12" w:space="0" w:color="auto"/>
            </w:tcBorders>
          </w:tcPr>
          <w:p w14:paraId="110896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3.230</w:t>
            </w:r>
          </w:p>
        </w:tc>
        <w:tc>
          <w:tcPr>
            <w:tcW w:w="1092" w:type="dxa"/>
            <w:tcBorders>
              <w:bottom w:val="single" w:sz="12" w:space="0" w:color="auto"/>
            </w:tcBorders>
          </w:tcPr>
          <w:p w14:paraId="116FE3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1918 г.</w:t>
            </w:r>
          </w:p>
        </w:tc>
        <w:tc>
          <w:tcPr>
            <w:tcW w:w="828" w:type="dxa"/>
            <w:tcBorders>
              <w:bottom w:val="single" w:sz="12" w:space="0" w:color="auto"/>
            </w:tcBorders>
          </w:tcPr>
          <w:p w14:paraId="0C71F3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4.760</w:t>
            </w:r>
          </w:p>
        </w:tc>
      </w:tr>
    </w:tbl>
    <w:p w14:paraId="213E44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денежном выражении производство дает следующую картину (млн руб.): </w:t>
      </w:r>
    </w:p>
    <w:tbl>
      <w:tblPr>
        <w:tblW w:w="0" w:type="auto"/>
        <w:tblLayout w:type="fixed"/>
        <w:tblCellMar>
          <w:left w:w="0" w:type="dxa"/>
          <w:right w:w="0" w:type="dxa"/>
        </w:tblCellMar>
        <w:tblLook w:val="0000" w:firstRow="0" w:lastRow="0" w:firstColumn="0" w:lastColumn="0" w:noHBand="0" w:noVBand="0"/>
      </w:tblPr>
      <w:tblGrid>
        <w:gridCol w:w="1140"/>
        <w:gridCol w:w="1500"/>
        <w:gridCol w:w="924"/>
        <w:gridCol w:w="937"/>
        <w:gridCol w:w="876"/>
        <w:gridCol w:w="744"/>
      </w:tblGrid>
      <w:tr w:rsidR="002B1C74" w:rsidRPr="002F2FDF" w14:paraId="2BD3A854" w14:textId="77777777">
        <w:tc>
          <w:tcPr>
            <w:tcW w:w="1140" w:type="dxa"/>
            <w:tcBorders>
              <w:top w:val="single" w:sz="12" w:space="0" w:color="auto"/>
              <w:left w:val="single" w:sz="12" w:space="0" w:color="auto"/>
              <w:bottom w:val="single" w:sz="12" w:space="0" w:color="auto"/>
              <w:right w:val="single" w:sz="6" w:space="0" w:color="auto"/>
            </w:tcBorders>
          </w:tcPr>
          <w:p w14:paraId="6CD0FF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Выпуск продукции</w:t>
            </w:r>
          </w:p>
        </w:tc>
        <w:tc>
          <w:tcPr>
            <w:tcW w:w="1500" w:type="dxa"/>
            <w:tcBorders>
              <w:top w:val="single" w:sz="12" w:space="0" w:color="auto"/>
              <w:left w:val="single" w:sz="6" w:space="0" w:color="auto"/>
              <w:bottom w:val="single" w:sz="12" w:space="0" w:color="auto"/>
              <w:right w:val="single" w:sz="6" w:space="0" w:color="auto"/>
            </w:tcBorders>
          </w:tcPr>
          <w:p w14:paraId="28DECE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артиллерийского ведомства</w:t>
            </w:r>
          </w:p>
        </w:tc>
        <w:tc>
          <w:tcPr>
            <w:tcW w:w="924" w:type="dxa"/>
            <w:tcBorders>
              <w:top w:val="single" w:sz="12" w:space="0" w:color="auto"/>
              <w:left w:val="single" w:sz="6" w:space="0" w:color="auto"/>
              <w:bottom w:val="single" w:sz="12" w:space="0" w:color="auto"/>
              <w:right w:val="single" w:sz="6" w:space="0" w:color="auto"/>
            </w:tcBorders>
          </w:tcPr>
          <w:p w14:paraId="06B1EB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морского ведомства</w:t>
            </w:r>
          </w:p>
        </w:tc>
        <w:tc>
          <w:tcPr>
            <w:tcW w:w="937" w:type="dxa"/>
            <w:tcBorders>
              <w:top w:val="single" w:sz="12" w:space="0" w:color="auto"/>
              <w:left w:val="single" w:sz="6" w:space="0" w:color="auto"/>
              <w:bottom w:val="single" w:sz="12" w:space="0" w:color="auto"/>
              <w:right w:val="single" w:sz="6" w:space="0" w:color="auto"/>
            </w:tcBorders>
          </w:tcPr>
          <w:p w14:paraId="72B179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Железным дорогам</w:t>
            </w:r>
          </w:p>
        </w:tc>
        <w:tc>
          <w:tcPr>
            <w:tcW w:w="876" w:type="dxa"/>
            <w:tcBorders>
              <w:top w:val="single" w:sz="12" w:space="0" w:color="auto"/>
              <w:left w:val="single" w:sz="6" w:space="0" w:color="auto"/>
              <w:bottom w:val="single" w:sz="12" w:space="0" w:color="auto"/>
              <w:right w:val="single" w:sz="6" w:space="0" w:color="auto"/>
            </w:tcBorders>
          </w:tcPr>
          <w:p w14:paraId="1D9CD6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Частный рынок</w:t>
            </w:r>
          </w:p>
        </w:tc>
        <w:tc>
          <w:tcPr>
            <w:tcW w:w="744" w:type="dxa"/>
            <w:tcBorders>
              <w:top w:val="single" w:sz="12" w:space="0" w:color="auto"/>
              <w:left w:val="single" w:sz="6" w:space="0" w:color="auto"/>
              <w:bottom w:val="single" w:sz="12" w:space="0" w:color="auto"/>
              <w:right w:val="single" w:sz="12" w:space="0" w:color="auto"/>
            </w:tcBorders>
          </w:tcPr>
          <w:p w14:paraId="24D21D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r>
      <w:tr w:rsidR="002B1C74" w:rsidRPr="002F2FDF" w14:paraId="41D0283B" w14:textId="77777777">
        <w:tc>
          <w:tcPr>
            <w:tcW w:w="1140" w:type="dxa"/>
            <w:tcBorders>
              <w:top w:val="nil"/>
              <w:left w:val="single" w:sz="12" w:space="0" w:color="auto"/>
              <w:bottom w:val="single" w:sz="6" w:space="0" w:color="auto"/>
              <w:right w:val="single" w:sz="6" w:space="0" w:color="auto"/>
            </w:tcBorders>
          </w:tcPr>
          <w:p w14:paraId="71ED69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1902 г.</w:t>
            </w:r>
          </w:p>
        </w:tc>
        <w:tc>
          <w:tcPr>
            <w:tcW w:w="1500" w:type="dxa"/>
            <w:tcBorders>
              <w:top w:val="nil"/>
              <w:left w:val="single" w:sz="6" w:space="0" w:color="auto"/>
              <w:bottom w:val="single" w:sz="6" w:space="0" w:color="auto"/>
              <w:right w:val="single" w:sz="6" w:space="0" w:color="auto"/>
            </w:tcBorders>
          </w:tcPr>
          <w:p w14:paraId="3BE4A7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w:t>
            </w:r>
          </w:p>
        </w:tc>
        <w:tc>
          <w:tcPr>
            <w:tcW w:w="924" w:type="dxa"/>
            <w:tcBorders>
              <w:top w:val="nil"/>
              <w:left w:val="single" w:sz="6" w:space="0" w:color="auto"/>
              <w:bottom w:val="single" w:sz="6" w:space="0" w:color="auto"/>
              <w:right w:val="single" w:sz="6" w:space="0" w:color="auto"/>
            </w:tcBorders>
          </w:tcPr>
          <w:p w14:paraId="4DEBD9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0.1</w:t>
            </w:r>
          </w:p>
        </w:tc>
        <w:tc>
          <w:tcPr>
            <w:tcW w:w="937" w:type="dxa"/>
            <w:tcBorders>
              <w:top w:val="nil"/>
              <w:left w:val="single" w:sz="6" w:space="0" w:color="auto"/>
              <w:bottom w:val="single" w:sz="6" w:space="0" w:color="auto"/>
              <w:right w:val="single" w:sz="6" w:space="0" w:color="auto"/>
            </w:tcBorders>
          </w:tcPr>
          <w:p w14:paraId="6C0E83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876" w:type="dxa"/>
            <w:tcBorders>
              <w:top w:val="nil"/>
              <w:left w:val="single" w:sz="6" w:space="0" w:color="auto"/>
              <w:bottom w:val="single" w:sz="6" w:space="0" w:color="auto"/>
              <w:right w:val="single" w:sz="6" w:space="0" w:color="auto"/>
            </w:tcBorders>
          </w:tcPr>
          <w:p w14:paraId="03E162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744" w:type="dxa"/>
            <w:tcBorders>
              <w:top w:val="nil"/>
              <w:left w:val="single" w:sz="6" w:space="0" w:color="auto"/>
              <w:bottom w:val="single" w:sz="6" w:space="0" w:color="auto"/>
              <w:right w:val="single" w:sz="12" w:space="0" w:color="auto"/>
            </w:tcBorders>
          </w:tcPr>
          <w:p w14:paraId="788C84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w:t>
            </w:r>
          </w:p>
        </w:tc>
      </w:tr>
      <w:tr w:rsidR="002B1C74" w:rsidRPr="002F2FDF" w14:paraId="61BB98F1" w14:textId="77777777">
        <w:tc>
          <w:tcPr>
            <w:tcW w:w="1140" w:type="dxa"/>
            <w:tcBorders>
              <w:top w:val="single" w:sz="6" w:space="0" w:color="auto"/>
              <w:left w:val="single" w:sz="12" w:space="0" w:color="auto"/>
              <w:bottom w:val="single" w:sz="6" w:space="0" w:color="auto"/>
              <w:right w:val="single" w:sz="6" w:space="0" w:color="auto"/>
            </w:tcBorders>
          </w:tcPr>
          <w:p w14:paraId="69A445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1903 г.</w:t>
            </w:r>
          </w:p>
        </w:tc>
        <w:tc>
          <w:tcPr>
            <w:tcW w:w="1500" w:type="dxa"/>
            <w:tcBorders>
              <w:top w:val="single" w:sz="6" w:space="0" w:color="auto"/>
              <w:left w:val="single" w:sz="6" w:space="0" w:color="auto"/>
              <w:bottom w:val="single" w:sz="6" w:space="0" w:color="auto"/>
              <w:right w:val="single" w:sz="6" w:space="0" w:color="auto"/>
            </w:tcBorders>
          </w:tcPr>
          <w:p w14:paraId="5E01EF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w:t>
            </w:r>
          </w:p>
        </w:tc>
        <w:tc>
          <w:tcPr>
            <w:tcW w:w="924" w:type="dxa"/>
            <w:tcBorders>
              <w:top w:val="single" w:sz="6" w:space="0" w:color="auto"/>
              <w:left w:val="single" w:sz="6" w:space="0" w:color="auto"/>
              <w:bottom w:val="single" w:sz="6" w:space="0" w:color="auto"/>
              <w:right w:val="single" w:sz="6" w:space="0" w:color="auto"/>
            </w:tcBorders>
          </w:tcPr>
          <w:p w14:paraId="0B4A61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0.3</w:t>
            </w:r>
          </w:p>
        </w:tc>
        <w:tc>
          <w:tcPr>
            <w:tcW w:w="937" w:type="dxa"/>
            <w:tcBorders>
              <w:top w:val="single" w:sz="6" w:space="0" w:color="auto"/>
              <w:left w:val="single" w:sz="6" w:space="0" w:color="auto"/>
              <w:bottom w:val="single" w:sz="6" w:space="0" w:color="auto"/>
              <w:right w:val="single" w:sz="6" w:space="0" w:color="auto"/>
            </w:tcBorders>
          </w:tcPr>
          <w:p w14:paraId="3F852A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876" w:type="dxa"/>
            <w:tcBorders>
              <w:top w:val="single" w:sz="6" w:space="0" w:color="auto"/>
              <w:left w:val="single" w:sz="6" w:space="0" w:color="auto"/>
              <w:bottom w:val="single" w:sz="6" w:space="0" w:color="auto"/>
              <w:right w:val="single" w:sz="6" w:space="0" w:color="auto"/>
            </w:tcBorders>
          </w:tcPr>
          <w:p w14:paraId="72B8D5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c>
          <w:tcPr>
            <w:tcW w:w="744" w:type="dxa"/>
            <w:tcBorders>
              <w:top w:val="single" w:sz="6" w:space="0" w:color="auto"/>
              <w:left w:val="single" w:sz="6" w:space="0" w:color="auto"/>
              <w:bottom w:val="single" w:sz="6" w:space="0" w:color="auto"/>
              <w:right w:val="single" w:sz="12" w:space="0" w:color="auto"/>
            </w:tcBorders>
          </w:tcPr>
          <w:p w14:paraId="37F233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w:t>
            </w:r>
          </w:p>
        </w:tc>
      </w:tr>
      <w:tr w:rsidR="002B1C74" w:rsidRPr="002F2FDF" w14:paraId="04273EC8" w14:textId="77777777">
        <w:tc>
          <w:tcPr>
            <w:tcW w:w="1140" w:type="dxa"/>
            <w:tcBorders>
              <w:top w:val="single" w:sz="6" w:space="0" w:color="auto"/>
              <w:left w:val="single" w:sz="12" w:space="0" w:color="auto"/>
              <w:bottom w:val="single" w:sz="6" w:space="0" w:color="auto"/>
              <w:right w:val="single" w:sz="6" w:space="0" w:color="auto"/>
            </w:tcBorders>
          </w:tcPr>
          <w:p w14:paraId="74E74D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1904 г.</w:t>
            </w:r>
          </w:p>
        </w:tc>
        <w:tc>
          <w:tcPr>
            <w:tcW w:w="1500" w:type="dxa"/>
            <w:tcBorders>
              <w:top w:val="single" w:sz="6" w:space="0" w:color="auto"/>
              <w:left w:val="single" w:sz="6" w:space="0" w:color="auto"/>
              <w:bottom w:val="single" w:sz="6" w:space="0" w:color="auto"/>
              <w:right w:val="single" w:sz="6" w:space="0" w:color="auto"/>
            </w:tcBorders>
          </w:tcPr>
          <w:p w14:paraId="68984C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w:t>
            </w:r>
          </w:p>
        </w:tc>
        <w:tc>
          <w:tcPr>
            <w:tcW w:w="924" w:type="dxa"/>
            <w:tcBorders>
              <w:top w:val="single" w:sz="6" w:space="0" w:color="auto"/>
              <w:left w:val="single" w:sz="6" w:space="0" w:color="auto"/>
              <w:bottom w:val="single" w:sz="6" w:space="0" w:color="auto"/>
              <w:right w:val="single" w:sz="6" w:space="0" w:color="auto"/>
            </w:tcBorders>
          </w:tcPr>
          <w:p w14:paraId="35CA48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0.01</w:t>
            </w:r>
          </w:p>
        </w:tc>
        <w:tc>
          <w:tcPr>
            <w:tcW w:w="937" w:type="dxa"/>
            <w:tcBorders>
              <w:top w:val="single" w:sz="6" w:space="0" w:color="auto"/>
              <w:left w:val="single" w:sz="6" w:space="0" w:color="auto"/>
              <w:bottom w:val="single" w:sz="6" w:space="0" w:color="auto"/>
              <w:right w:val="single" w:sz="6" w:space="0" w:color="auto"/>
            </w:tcBorders>
          </w:tcPr>
          <w:p w14:paraId="2C486A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w:t>
            </w:r>
          </w:p>
        </w:tc>
        <w:tc>
          <w:tcPr>
            <w:tcW w:w="876" w:type="dxa"/>
            <w:tcBorders>
              <w:top w:val="single" w:sz="6" w:space="0" w:color="auto"/>
              <w:left w:val="single" w:sz="6" w:space="0" w:color="auto"/>
              <w:bottom w:val="single" w:sz="6" w:space="0" w:color="auto"/>
              <w:right w:val="single" w:sz="6" w:space="0" w:color="auto"/>
            </w:tcBorders>
          </w:tcPr>
          <w:p w14:paraId="711CAE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0.8</w:t>
            </w:r>
          </w:p>
        </w:tc>
        <w:tc>
          <w:tcPr>
            <w:tcW w:w="744" w:type="dxa"/>
            <w:tcBorders>
              <w:top w:val="single" w:sz="6" w:space="0" w:color="auto"/>
              <w:left w:val="single" w:sz="6" w:space="0" w:color="auto"/>
              <w:bottom w:val="single" w:sz="6" w:space="0" w:color="auto"/>
              <w:right w:val="single" w:sz="12" w:space="0" w:color="auto"/>
            </w:tcBorders>
          </w:tcPr>
          <w:p w14:paraId="746FE8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9.9</w:t>
            </w:r>
          </w:p>
        </w:tc>
      </w:tr>
      <w:tr w:rsidR="002B1C74" w:rsidRPr="002F2FDF" w14:paraId="49732610" w14:textId="77777777">
        <w:tc>
          <w:tcPr>
            <w:tcW w:w="1140" w:type="dxa"/>
            <w:tcBorders>
              <w:top w:val="single" w:sz="6" w:space="0" w:color="auto"/>
              <w:left w:val="single" w:sz="12" w:space="0" w:color="auto"/>
              <w:bottom w:val="single" w:sz="6" w:space="0" w:color="auto"/>
              <w:right w:val="single" w:sz="6" w:space="0" w:color="auto"/>
            </w:tcBorders>
          </w:tcPr>
          <w:p w14:paraId="70A027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1905 г.</w:t>
            </w:r>
          </w:p>
        </w:tc>
        <w:tc>
          <w:tcPr>
            <w:tcW w:w="1500" w:type="dxa"/>
            <w:tcBorders>
              <w:top w:val="single" w:sz="6" w:space="0" w:color="auto"/>
              <w:left w:val="single" w:sz="6" w:space="0" w:color="auto"/>
              <w:bottom w:val="single" w:sz="6" w:space="0" w:color="auto"/>
              <w:right w:val="single" w:sz="6" w:space="0" w:color="auto"/>
            </w:tcBorders>
          </w:tcPr>
          <w:p w14:paraId="4B1226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w:t>
            </w:r>
          </w:p>
        </w:tc>
        <w:tc>
          <w:tcPr>
            <w:tcW w:w="924" w:type="dxa"/>
            <w:tcBorders>
              <w:top w:val="single" w:sz="6" w:space="0" w:color="auto"/>
              <w:left w:val="single" w:sz="6" w:space="0" w:color="auto"/>
              <w:bottom w:val="single" w:sz="6" w:space="0" w:color="auto"/>
              <w:right w:val="single" w:sz="6" w:space="0" w:color="auto"/>
            </w:tcBorders>
          </w:tcPr>
          <w:p w14:paraId="126173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0.05</w:t>
            </w:r>
          </w:p>
        </w:tc>
        <w:tc>
          <w:tcPr>
            <w:tcW w:w="937" w:type="dxa"/>
            <w:tcBorders>
              <w:top w:val="single" w:sz="6" w:space="0" w:color="auto"/>
              <w:left w:val="single" w:sz="6" w:space="0" w:color="auto"/>
              <w:bottom w:val="single" w:sz="6" w:space="0" w:color="auto"/>
              <w:right w:val="single" w:sz="6" w:space="0" w:color="auto"/>
            </w:tcBorders>
          </w:tcPr>
          <w:p w14:paraId="3F9768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w:t>
            </w:r>
          </w:p>
        </w:tc>
        <w:tc>
          <w:tcPr>
            <w:tcW w:w="876" w:type="dxa"/>
            <w:tcBorders>
              <w:top w:val="single" w:sz="6" w:space="0" w:color="auto"/>
              <w:left w:val="single" w:sz="6" w:space="0" w:color="auto"/>
              <w:bottom w:val="single" w:sz="6" w:space="0" w:color="auto"/>
              <w:right w:val="single" w:sz="6" w:space="0" w:color="auto"/>
            </w:tcBorders>
          </w:tcPr>
          <w:p w14:paraId="2E9C99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w:t>
            </w:r>
          </w:p>
        </w:tc>
        <w:tc>
          <w:tcPr>
            <w:tcW w:w="744" w:type="dxa"/>
            <w:tcBorders>
              <w:top w:val="single" w:sz="6" w:space="0" w:color="auto"/>
              <w:left w:val="single" w:sz="6" w:space="0" w:color="auto"/>
              <w:bottom w:val="single" w:sz="6" w:space="0" w:color="auto"/>
              <w:right w:val="single" w:sz="12" w:space="0" w:color="auto"/>
            </w:tcBorders>
          </w:tcPr>
          <w:p w14:paraId="48AA54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w:t>
            </w:r>
          </w:p>
        </w:tc>
      </w:tr>
      <w:tr w:rsidR="002B1C74" w:rsidRPr="002F2FDF" w14:paraId="15054423" w14:textId="77777777">
        <w:tc>
          <w:tcPr>
            <w:tcW w:w="1140" w:type="dxa"/>
            <w:tcBorders>
              <w:top w:val="single" w:sz="6" w:space="0" w:color="auto"/>
              <w:left w:val="single" w:sz="12" w:space="0" w:color="auto"/>
              <w:bottom w:val="single" w:sz="6" w:space="0" w:color="auto"/>
              <w:right w:val="single" w:sz="6" w:space="0" w:color="auto"/>
            </w:tcBorders>
          </w:tcPr>
          <w:p w14:paraId="618809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1906 г.</w:t>
            </w:r>
          </w:p>
        </w:tc>
        <w:tc>
          <w:tcPr>
            <w:tcW w:w="1500" w:type="dxa"/>
            <w:tcBorders>
              <w:top w:val="single" w:sz="6" w:space="0" w:color="auto"/>
              <w:left w:val="single" w:sz="6" w:space="0" w:color="auto"/>
              <w:bottom w:val="single" w:sz="6" w:space="0" w:color="auto"/>
              <w:right w:val="single" w:sz="6" w:space="0" w:color="auto"/>
            </w:tcBorders>
          </w:tcPr>
          <w:p w14:paraId="3AD139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w:t>
            </w:r>
          </w:p>
        </w:tc>
        <w:tc>
          <w:tcPr>
            <w:tcW w:w="924" w:type="dxa"/>
            <w:tcBorders>
              <w:top w:val="single" w:sz="6" w:space="0" w:color="auto"/>
              <w:left w:val="single" w:sz="6" w:space="0" w:color="auto"/>
              <w:bottom w:val="single" w:sz="6" w:space="0" w:color="auto"/>
              <w:right w:val="single" w:sz="6" w:space="0" w:color="auto"/>
            </w:tcBorders>
          </w:tcPr>
          <w:p w14:paraId="078D54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7" w:type="dxa"/>
            <w:tcBorders>
              <w:top w:val="single" w:sz="6" w:space="0" w:color="auto"/>
              <w:left w:val="single" w:sz="6" w:space="0" w:color="auto"/>
              <w:bottom w:val="single" w:sz="6" w:space="0" w:color="auto"/>
              <w:right w:val="single" w:sz="6" w:space="0" w:color="auto"/>
            </w:tcBorders>
          </w:tcPr>
          <w:p w14:paraId="53F5DB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876" w:type="dxa"/>
            <w:tcBorders>
              <w:top w:val="single" w:sz="6" w:space="0" w:color="auto"/>
              <w:left w:val="single" w:sz="6" w:space="0" w:color="auto"/>
              <w:bottom w:val="single" w:sz="6" w:space="0" w:color="auto"/>
              <w:right w:val="single" w:sz="6" w:space="0" w:color="auto"/>
            </w:tcBorders>
          </w:tcPr>
          <w:p w14:paraId="19F253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c>
          <w:tcPr>
            <w:tcW w:w="744" w:type="dxa"/>
            <w:tcBorders>
              <w:top w:val="single" w:sz="6" w:space="0" w:color="auto"/>
              <w:left w:val="single" w:sz="6" w:space="0" w:color="auto"/>
              <w:bottom w:val="single" w:sz="6" w:space="0" w:color="auto"/>
              <w:right w:val="single" w:sz="12" w:space="0" w:color="auto"/>
            </w:tcBorders>
          </w:tcPr>
          <w:p w14:paraId="007B4B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w:t>
            </w:r>
          </w:p>
        </w:tc>
      </w:tr>
      <w:tr w:rsidR="002B1C74" w:rsidRPr="002F2FDF" w14:paraId="2B5C4E27" w14:textId="77777777">
        <w:tc>
          <w:tcPr>
            <w:tcW w:w="1140" w:type="dxa"/>
            <w:tcBorders>
              <w:top w:val="single" w:sz="6" w:space="0" w:color="auto"/>
              <w:left w:val="single" w:sz="12" w:space="0" w:color="auto"/>
              <w:bottom w:val="single" w:sz="6" w:space="0" w:color="auto"/>
              <w:right w:val="single" w:sz="6" w:space="0" w:color="auto"/>
            </w:tcBorders>
          </w:tcPr>
          <w:p w14:paraId="0613A0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1907 г.</w:t>
            </w:r>
          </w:p>
        </w:tc>
        <w:tc>
          <w:tcPr>
            <w:tcW w:w="1500" w:type="dxa"/>
            <w:tcBorders>
              <w:top w:val="single" w:sz="6" w:space="0" w:color="auto"/>
              <w:left w:val="single" w:sz="6" w:space="0" w:color="auto"/>
              <w:bottom w:val="single" w:sz="6" w:space="0" w:color="auto"/>
              <w:right w:val="single" w:sz="6" w:space="0" w:color="auto"/>
            </w:tcBorders>
          </w:tcPr>
          <w:p w14:paraId="3A0C8C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924" w:type="dxa"/>
            <w:tcBorders>
              <w:top w:val="single" w:sz="6" w:space="0" w:color="auto"/>
              <w:left w:val="single" w:sz="6" w:space="0" w:color="auto"/>
              <w:bottom w:val="single" w:sz="6" w:space="0" w:color="auto"/>
              <w:right w:val="single" w:sz="6" w:space="0" w:color="auto"/>
            </w:tcBorders>
          </w:tcPr>
          <w:p w14:paraId="0E6EAA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0.07</w:t>
            </w:r>
          </w:p>
        </w:tc>
        <w:tc>
          <w:tcPr>
            <w:tcW w:w="937" w:type="dxa"/>
            <w:tcBorders>
              <w:top w:val="single" w:sz="6" w:space="0" w:color="auto"/>
              <w:left w:val="single" w:sz="6" w:space="0" w:color="auto"/>
              <w:bottom w:val="single" w:sz="6" w:space="0" w:color="auto"/>
              <w:right w:val="single" w:sz="6" w:space="0" w:color="auto"/>
            </w:tcBorders>
          </w:tcPr>
          <w:p w14:paraId="468AB2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w:t>
            </w:r>
          </w:p>
        </w:tc>
        <w:tc>
          <w:tcPr>
            <w:tcW w:w="876" w:type="dxa"/>
            <w:tcBorders>
              <w:top w:val="single" w:sz="6" w:space="0" w:color="auto"/>
              <w:left w:val="single" w:sz="6" w:space="0" w:color="auto"/>
              <w:bottom w:val="single" w:sz="6" w:space="0" w:color="auto"/>
              <w:right w:val="single" w:sz="6" w:space="0" w:color="auto"/>
            </w:tcBorders>
          </w:tcPr>
          <w:p w14:paraId="51E3A8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w:t>
            </w:r>
          </w:p>
        </w:tc>
        <w:tc>
          <w:tcPr>
            <w:tcW w:w="744" w:type="dxa"/>
            <w:tcBorders>
              <w:top w:val="single" w:sz="6" w:space="0" w:color="auto"/>
              <w:left w:val="single" w:sz="6" w:space="0" w:color="auto"/>
              <w:bottom w:val="single" w:sz="6" w:space="0" w:color="auto"/>
              <w:right w:val="single" w:sz="12" w:space="0" w:color="auto"/>
            </w:tcBorders>
          </w:tcPr>
          <w:p w14:paraId="25B853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w:t>
            </w:r>
          </w:p>
        </w:tc>
      </w:tr>
      <w:tr w:rsidR="002B1C74" w:rsidRPr="002F2FDF" w14:paraId="714B7D9F" w14:textId="77777777">
        <w:tc>
          <w:tcPr>
            <w:tcW w:w="1140" w:type="dxa"/>
            <w:tcBorders>
              <w:top w:val="single" w:sz="6" w:space="0" w:color="auto"/>
              <w:left w:val="single" w:sz="12" w:space="0" w:color="auto"/>
              <w:bottom w:val="single" w:sz="6" w:space="0" w:color="auto"/>
              <w:right w:val="single" w:sz="6" w:space="0" w:color="auto"/>
            </w:tcBorders>
          </w:tcPr>
          <w:p w14:paraId="0F2EEF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1908 г.</w:t>
            </w:r>
          </w:p>
        </w:tc>
        <w:tc>
          <w:tcPr>
            <w:tcW w:w="1500" w:type="dxa"/>
            <w:tcBorders>
              <w:top w:val="single" w:sz="6" w:space="0" w:color="auto"/>
              <w:left w:val="single" w:sz="6" w:space="0" w:color="auto"/>
              <w:bottom w:val="single" w:sz="6" w:space="0" w:color="auto"/>
              <w:right w:val="single" w:sz="6" w:space="0" w:color="auto"/>
            </w:tcBorders>
          </w:tcPr>
          <w:p w14:paraId="16A150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w:t>
            </w:r>
          </w:p>
        </w:tc>
        <w:tc>
          <w:tcPr>
            <w:tcW w:w="924" w:type="dxa"/>
            <w:tcBorders>
              <w:top w:val="single" w:sz="6" w:space="0" w:color="auto"/>
              <w:left w:val="single" w:sz="6" w:space="0" w:color="auto"/>
              <w:bottom w:val="single" w:sz="6" w:space="0" w:color="auto"/>
              <w:right w:val="single" w:sz="6" w:space="0" w:color="auto"/>
            </w:tcBorders>
          </w:tcPr>
          <w:p w14:paraId="45AB3A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0.04</w:t>
            </w:r>
          </w:p>
        </w:tc>
        <w:tc>
          <w:tcPr>
            <w:tcW w:w="937" w:type="dxa"/>
            <w:tcBorders>
              <w:top w:val="single" w:sz="6" w:space="0" w:color="auto"/>
              <w:left w:val="single" w:sz="6" w:space="0" w:color="auto"/>
              <w:bottom w:val="single" w:sz="6" w:space="0" w:color="auto"/>
              <w:right w:val="single" w:sz="6" w:space="0" w:color="auto"/>
            </w:tcBorders>
          </w:tcPr>
          <w:p w14:paraId="54ECE0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876" w:type="dxa"/>
            <w:tcBorders>
              <w:top w:val="single" w:sz="6" w:space="0" w:color="auto"/>
              <w:left w:val="single" w:sz="6" w:space="0" w:color="auto"/>
              <w:bottom w:val="single" w:sz="6" w:space="0" w:color="auto"/>
              <w:right w:val="single" w:sz="6" w:space="0" w:color="auto"/>
            </w:tcBorders>
          </w:tcPr>
          <w:p w14:paraId="1E7DDD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w:t>
            </w:r>
          </w:p>
        </w:tc>
        <w:tc>
          <w:tcPr>
            <w:tcW w:w="744" w:type="dxa"/>
            <w:tcBorders>
              <w:top w:val="single" w:sz="6" w:space="0" w:color="auto"/>
              <w:left w:val="single" w:sz="6" w:space="0" w:color="auto"/>
              <w:bottom w:val="single" w:sz="6" w:space="0" w:color="auto"/>
              <w:right w:val="single" w:sz="12" w:space="0" w:color="auto"/>
            </w:tcBorders>
          </w:tcPr>
          <w:p w14:paraId="5DB7DA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w:t>
            </w:r>
          </w:p>
        </w:tc>
      </w:tr>
      <w:tr w:rsidR="002B1C74" w:rsidRPr="002F2FDF" w14:paraId="66429C02" w14:textId="77777777">
        <w:tc>
          <w:tcPr>
            <w:tcW w:w="1140" w:type="dxa"/>
            <w:tcBorders>
              <w:top w:val="single" w:sz="6" w:space="0" w:color="auto"/>
              <w:left w:val="single" w:sz="12" w:space="0" w:color="auto"/>
              <w:bottom w:val="single" w:sz="6" w:space="0" w:color="auto"/>
              <w:right w:val="single" w:sz="6" w:space="0" w:color="auto"/>
            </w:tcBorders>
          </w:tcPr>
          <w:p w14:paraId="781F37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1909 г.</w:t>
            </w:r>
          </w:p>
        </w:tc>
        <w:tc>
          <w:tcPr>
            <w:tcW w:w="1500" w:type="dxa"/>
            <w:tcBorders>
              <w:top w:val="single" w:sz="6" w:space="0" w:color="auto"/>
              <w:left w:val="single" w:sz="6" w:space="0" w:color="auto"/>
              <w:bottom w:val="single" w:sz="6" w:space="0" w:color="auto"/>
              <w:right w:val="single" w:sz="6" w:space="0" w:color="auto"/>
            </w:tcBorders>
          </w:tcPr>
          <w:p w14:paraId="60AF2A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w:t>
            </w:r>
          </w:p>
        </w:tc>
        <w:tc>
          <w:tcPr>
            <w:tcW w:w="924" w:type="dxa"/>
            <w:tcBorders>
              <w:top w:val="single" w:sz="6" w:space="0" w:color="auto"/>
              <w:left w:val="single" w:sz="6" w:space="0" w:color="auto"/>
              <w:bottom w:val="single" w:sz="6" w:space="0" w:color="auto"/>
              <w:right w:val="single" w:sz="6" w:space="0" w:color="auto"/>
            </w:tcBorders>
          </w:tcPr>
          <w:p w14:paraId="3AF585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0.1</w:t>
            </w:r>
          </w:p>
        </w:tc>
        <w:tc>
          <w:tcPr>
            <w:tcW w:w="937" w:type="dxa"/>
            <w:tcBorders>
              <w:top w:val="single" w:sz="6" w:space="0" w:color="auto"/>
              <w:left w:val="single" w:sz="6" w:space="0" w:color="auto"/>
              <w:bottom w:val="single" w:sz="6" w:space="0" w:color="auto"/>
              <w:right w:val="single" w:sz="6" w:space="0" w:color="auto"/>
            </w:tcBorders>
          </w:tcPr>
          <w:p w14:paraId="780360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876" w:type="dxa"/>
            <w:tcBorders>
              <w:top w:val="single" w:sz="6" w:space="0" w:color="auto"/>
              <w:left w:val="single" w:sz="6" w:space="0" w:color="auto"/>
              <w:bottom w:val="single" w:sz="6" w:space="0" w:color="auto"/>
              <w:right w:val="single" w:sz="6" w:space="0" w:color="auto"/>
            </w:tcBorders>
          </w:tcPr>
          <w:p w14:paraId="3495FA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744" w:type="dxa"/>
            <w:tcBorders>
              <w:top w:val="single" w:sz="6" w:space="0" w:color="auto"/>
              <w:left w:val="single" w:sz="6" w:space="0" w:color="auto"/>
              <w:bottom w:val="single" w:sz="6" w:space="0" w:color="auto"/>
              <w:right w:val="single" w:sz="12" w:space="0" w:color="auto"/>
            </w:tcBorders>
          </w:tcPr>
          <w:p w14:paraId="78B22B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w:t>
            </w:r>
          </w:p>
        </w:tc>
      </w:tr>
      <w:tr w:rsidR="002B1C74" w:rsidRPr="002F2FDF" w14:paraId="56288E18" w14:textId="77777777">
        <w:tc>
          <w:tcPr>
            <w:tcW w:w="1140" w:type="dxa"/>
            <w:tcBorders>
              <w:top w:val="single" w:sz="6" w:space="0" w:color="auto"/>
              <w:left w:val="single" w:sz="12" w:space="0" w:color="auto"/>
              <w:bottom w:val="single" w:sz="6" w:space="0" w:color="auto"/>
              <w:right w:val="single" w:sz="6" w:space="0" w:color="auto"/>
            </w:tcBorders>
          </w:tcPr>
          <w:p w14:paraId="2467E4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1910 г.</w:t>
            </w:r>
          </w:p>
        </w:tc>
        <w:tc>
          <w:tcPr>
            <w:tcW w:w="1500" w:type="dxa"/>
            <w:tcBorders>
              <w:top w:val="single" w:sz="6" w:space="0" w:color="auto"/>
              <w:left w:val="single" w:sz="6" w:space="0" w:color="auto"/>
              <w:bottom w:val="single" w:sz="6" w:space="0" w:color="auto"/>
              <w:right w:val="single" w:sz="6" w:space="0" w:color="auto"/>
            </w:tcBorders>
          </w:tcPr>
          <w:p w14:paraId="40C336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w:t>
            </w:r>
          </w:p>
        </w:tc>
        <w:tc>
          <w:tcPr>
            <w:tcW w:w="924" w:type="dxa"/>
            <w:tcBorders>
              <w:top w:val="single" w:sz="6" w:space="0" w:color="auto"/>
              <w:left w:val="single" w:sz="6" w:space="0" w:color="auto"/>
              <w:bottom w:val="single" w:sz="6" w:space="0" w:color="auto"/>
              <w:right w:val="single" w:sz="6" w:space="0" w:color="auto"/>
            </w:tcBorders>
          </w:tcPr>
          <w:p w14:paraId="1C19DB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0.2</w:t>
            </w:r>
          </w:p>
        </w:tc>
        <w:tc>
          <w:tcPr>
            <w:tcW w:w="937" w:type="dxa"/>
            <w:tcBorders>
              <w:top w:val="single" w:sz="6" w:space="0" w:color="auto"/>
              <w:left w:val="single" w:sz="6" w:space="0" w:color="auto"/>
              <w:bottom w:val="single" w:sz="6" w:space="0" w:color="auto"/>
              <w:right w:val="single" w:sz="6" w:space="0" w:color="auto"/>
            </w:tcBorders>
          </w:tcPr>
          <w:p w14:paraId="26F511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0.7</w:t>
            </w:r>
          </w:p>
        </w:tc>
        <w:tc>
          <w:tcPr>
            <w:tcW w:w="876" w:type="dxa"/>
            <w:tcBorders>
              <w:top w:val="single" w:sz="6" w:space="0" w:color="auto"/>
              <w:left w:val="single" w:sz="6" w:space="0" w:color="auto"/>
              <w:bottom w:val="single" w:sz="6" w:space="0" w:color="auto"/>
              <w:right w:val="single" w:sz="6" w:space="0" w:color="auto"/>
            </w:tcBorders>
          </w:tcPr>
          <w:p w14:paraId="22BCD4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w:t>
            </w:r>
          </w:p>
        </w:tc>
        <w:tc>
          <w:tcPr>
            <w:tcW w:w="744" w:type="dxa"/>
            <w:tcBorders>
              <w:top w:val="single" w:sz="6" w:space="0" w:color="auto"/>
              <w:left w:val="single" w:sz="6" w:space="0" w:color="auto"/>
              <w:bottom w:val="single" w:sz="6" w:space="0" w:color="auto"/>
              <w:right w:val="single" w:sz="12" w:space="0" w:color="auto"/>
            </w:tcBorders>
          </w:tcPr>
          <w:p w14:paraId="412226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w:t>
            </w:r>
          </w:p>
        </w:tc>
      </w:tr>
      <w:tr w:rsidR="002B1C74" w:rsidRPr="002F2FDF" w14:paraId="0B259B3C" w14:textId="77777777">
        <w:tc>
          <w:tcPr>
            <w:tcW w:w="1140" w:type="dxa"/>
            <w:tcBorders>
              <w:top w:val="single" w:sz="6" w:space="0" w:color="auto"/>
              <w:left w:val="single" w:sz="12" w:space="0" w:color="auto"/>
              <w:bottom w:val="single" w:sz="6" w:space="0" w:color="auto"/>
              <w:right w:val="single" w:sz="6" w:space="0" w:color="auto"/>
            </w:tcBorders>
          </w:tcPr>
          <w:p w14:paraId="6CE003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1911 г.</w:t>
            </w:r>
          </w:p>
        </w:tc>
        <w:tc>
          <w:tcPr>
            <w:tcW w:w="1500" w:type="dxa"/>
            <w:tcBorders>
              <w:top w:val="single" w:sz="6" w:space="0" w:color="auto"/>
              <w:left w:val="single" w:sz="6" w:space="0" w:color="auto"/>
              <w:bottom w:val="single" w:sz="6" w:space="0" w:color="auto"/>
              <w:right w:val="single" w:sz="6" w:space="0" w:color="auto"/>
            </w:tcBorders>
          </w:tcPr>
          <w:p w14:paraId="68F490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w:t>
            </w:r>
          </w:p>
        </w:tc>
        <w:tc>
          <w:tcPr>
            <w:tcW w:w="924" w:type="dxa"/>
            <w:tcBorders>
              <w:top w:val="single" w:sz="6" w:space="0" w:color="auto"/>
              <w:left w:val="single" w:sz="6" w:space="0" w:color="auto"/>
              <w:bottom w:val="single" w:sz="6" w:space="0" w:color="auto"/>
              <w:right w:val="single" w:sz="6" w:space="0" w:color="auto"/>
            </w:tcBorders>
          </w:tcPr>
          <w:p w14:paraId="095021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0.1</w:t>
            </w:r>
          </w:p>
        </w:tc>
        <w:tc>
          <w:tcPr>
            <w:tcW w:w="937" w:type="dxa"/>
            <w:tcBorders>
              <w:top w:val="single" w:sz="6" w:space="0" w:color="auto"/>
              <w:left w:val="single" w:sz="6" w:space="0" w:color="auto"/>
              <w:bottom w:val="single" w:sz="6" w:space="0" w:color="auto"/>
              <w:right w:val="single" w:sz="6" w:space="0" w:color="auto"/>
            </w:tcBorders>
          </w:tcPr>
          <w:p w14:paraId="622400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0.9</w:t>
            </w:r>
          </w:p>
        </w:tc>
        <w:tc>
          <w:tcPr>
            <w:tcW w:w="876" w:type="dxa"/>
            <w:tcBorders>
              <w:top w:val="single" w:sz="6" w:space="0" w:color="auto"/>
              <w:left w:val="single" w:sz="6" w:space="0" w:color="auto"/>
              <w:bottom w:val="single" w:sz="6" w:space="0" w:color="auto"/>
              <w:right w:val="single" w:sz="6" w:space="0" w:color="auto"/>
            </w:tcBorders>
          </w:tcPr>
          <w:p w14:paraId="1A3AE0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w:t>
            </w:r>
          </w:p>
        </w:tc>
        <w:tc>
          <w:tcPr>
            <w:tcW w:w="744" w:type="dxa"/>
            <w:tcBorders>
              <w:top w:val="single" w:sz="6" w:space="0" w:color="auto"/>
              <w:left w:val="single" w:sz="6" w:space="0" w:color="auto"/>
              <w:bottom w:val="single" w:sz="6" w:space="0" w:color="auto"/>
              <w:right w:val="single" w:sz="12" w:space="0" w:color="auto"/>
            </w:tcBorders>
          </w:tcPr>
          <w:p w14:paraId="5FC7B2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8.3</w:t>
            </w:r>
          </w:p>
        </w:tc>
      </w:tr>
      <w:tr w:rsidR="002B1C74" w:rsidRPr="002F2FDF" w14:paraId="176C351C" w14:textId="77777777">
        <w:tc>
          <w:tcPr>
            <w:tcW w:w="1140" w:type="dxa"/>
            <w:tcBorders>
              <w:top w:val="single" w:sz="6" w:space="0" w:color="auto"/>
              <w:left w:val="single" w:sz="12" w:space="0" w:color="auto"/>
              <w:bottom w:val="single" w:sz="6" w:space="0" w:color="auto"/>
              <w:right w:val="single" w:sz="6" w:space="0" w:color="auto"/>
            </w:tcBorders>
          </w:tcPr>
          <w:p w14:paraId="3CC103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1912 г.</w:t>
            </w:r>
          </w:p>
        </w:tc>
        <w:tc>
          <w:tcPr>
            <w:tcW w:w="1500" w:type="dxa"/>
            <w:tcBorders>
              <w:top w:val="single" w:sz="6" w:space="0" w:color="auto"/>
              <w:left w:val="single" w:sz="6" w:space="0" w:color="auto"/>
              <w:bottom w:val="single" w:sz="6" w:space="0" w:color="auto"/>
              <w:right w:val="single" w:sz="6" w:space="0" w:color="auto"/>
            </w:tcBorders>
          </w:tcPr>
          <w:p w14:paraId="53A46A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10.1</w:t>
            </w:r>
          </w:p>
        </w:tc>
        <w:tc>
          <w:tcPr>
            <w:tcW w:w="924" w:type="dxa"/>
            <w:tcBorders>
              <w:top w:val="single" w:sz="6" w:space="0" w:color="auto"/>
              <w:left w:val="single" w:sz="6" w:space="0" w:color="auto"/>
              <w:bottom w:val="single" w:sz="6" w:space="0" w:color="auto"/>
              <w:right w:val="single" w:sz="6" w:space="0" w:color="auto"/>
            </w:tcBorders>
          </w:tcPr>
          <w:p w14:paraId="658593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0.07</w:t>
            </w:r>
          </w:p>
        </w:tc>
        <w:tc>
          <w:tcPr>
            <w:tcW w:w="937" w:type="dxa"/>
            <w:tcBorders>
              <w:top w:val="single" w:sz="6" w:space="0" w:color="auto"/>
              <w:left w:val="single" w:sz="6" w:space="0" w:color="auto"/>
              <w:bottom w:val="single" w:sz="6" w:space="0" w:color="auto"/>
              <w:right w:val="single" w:sz="6" w:space="0" w:color="auto"/>
            </w:tcBorders>
          </w:tcPr>
          <w:p w14:paraId="507B24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c>
          <w:tcPr>
            <w:tcW w:w="876" w:type="dxa"/>
            <w:tcBorders>
              <w:top w:val="single" w:sz="6" w:space="0" w:color="auto"/>
              <w:left w:val="single" w:sz="6" w:space="0" w:color="auto"/>
              <w:bottom w:val="single" w:sz="6" w:space="0" w:color="auto"/>
              <w:right w:val="single" w:sz="6" w:space="0" w:color="auto"/>
            </w:tcBorders>
          </w:tcPr>
          <w:p w14:paraId="1F4281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744" w:type="dxa"/>
            <w:tcBorders>
              <w:top w:val="single" w:sz="6" w:space="0" w:color="auto"/>
              <w:left w:val="single" w:sz="6" w:space="0" w:color="auto"/>
              <w:bottom w:val="single" w:sz="6" w:space="0" w:color="auto"/>
              <w:right w:val="single" w:sz="12" w:space="0" w:color="auto"/>
            </w:tcBorders>
          </w:tcPr>
          <w:p w14:paraId="5564CF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12.7</w:t>
            </w:r>
          </w:p>
        </w:tc>
      </w:tr>
      <w:tr w:rsidR="002B1C74" w:rsidRPr="002F2FDF" w14:paraId="54EAAB5E" w14:textId="77777777">
        <w:tc>
          <w:tcPr>
            <w:tcW w:w="1140" w:type="dxa"/>
            <w:tcBorders>
              <w:top w:val="single" w:sz="6" w:space="0" w:color="auto"/>
              <w:left w:val="single" w:sz="12" w:space="0" w:color="auto"/>
              <w:bottom w:val="single" w:sz="6" w:space="0" w:color="auto"/>
              <w:right w:val="single" w:sz="6" w:space="0" w:color="auto"/>
            </w:tcBorders>
          </w:tcPr>
          <w:p w14:paraId="2D3E25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 г.</w:t>
            </w:r>
          </w:p>
        </w:tc>
        <w:tc>
          <w:tcPr>
            <w:tcW w:w="1500" w:type="dxa"/>
            <w:tcBorders>
              <w:top w:val="single" w:sz="6" w:space="0" w:color="auto"/>
              <w:left w:val="single" w:sz="6" w:space="0" w:color="auto"/>
              <w:bottom w:val="single" w:sz="6" w:space="0" w:color="auto"/>
              <w:right w:val="single" w:sz="6" w:space="0" w:color="auto"/>
            </w:tcBorders>
          </w:tcPr>
          <w:p w14:paraId="442402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11.5</w:t>
            </w:r>
          </w:p>
        </w:tc>
        <w:tc>
          <w:tcPr>
            <w:tcW w:w="924" w:type="dxa"/>
            <w:tcBorders>
              <w:top w:val="single" w:sz="6" w:space="0" w:color="auto"/>
              <w:left w:val="single" w:sz="6" w:space="0" w:color="auto"/>
              <w:bottom w:val="single" w:sz="6" w:space="0" w:color="auto"/>
              <w:right w:val="single" w:sz="6" w:space="0" w:color="auto"/>
            </w:tcBorders>
          </w:tcPr>
          <w:p w14:paraId="34832D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0.9</w:t>
            </w:r>
          </w:p>
        </w:tc>
        <w:tc>
          <w:tcPr>
            <w:tcW w:w="937" w:type="dxa"/>
            <w:tcBorders>
              <w:top w:val="single" w:sz="6" w:space="0" w:color="auto"/>
              <w:left w:val="single" w:sz="6" w:space="0" w:color="auto"/>
              <w:bottom w:val="single" w:sz="6" w:space="0" w:color="auto"/>
              <w:right w:val="single" w:sz="6" w:space="0" w:color="auto"/>
            </w:tcBorders>
          </w:tcPr>
          <w:p w14:paraId="277168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w:t>
            </w:r>
          </w:p>
        </w:tc>
        <w:tc>
          <w:tcPr>
            <w:tcW w:w="876" w:type="dxa"/>
            <w:tcBorders>
              <w:top w:val="single" w:sz="6" w:space="0" w:color="auto"/>
              <w:left w:val="single" w:sz="6" w:space="0" w:color="auto"/>
              <w:bottom w:val="single" w:sz="6" w:space="0" w:color="auto"/>
              <w:right w:val="single" w:sz="6" w:space="0" w:color="auto"/>
            </w:tcBorders>
          </w:tcPr>
          <w:p w14:paraId="44CDD2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w:t>
            </w:r>
          </w:p>
        </w:tc>
        <w:tc>
          <w:tcPr>
            <w:tcW w:w="744" w:type="dxa"/>
            <w:tcBorders>
              <w:top w:val="single" w:sz="6" w:space="0" w:color="auto"/>
              <w:left w:val="single" w:sz="6" w:space="0" w:color="auto"/>
              <w:bottom w:val="single" w:sz="6" w:space="0" w:color="auto"/>
              <w:right w:val="single" w:sz="12" w:space="0" w:color="auto"/>
            </w:tcBorders>
          </w:tcPr>
          <w:p w14:paraId="271E6A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16.3</w:t>
            </w:r>
          </w:p>
        </w:tc>
      </w:tr>
      <w:tr w:rsidR="002B1C74" w:rsidRPr="002F2FDF" w14:paraId="6E7DBC5C" w14:textId="77777777">
        <w:tc>
          <w:tcPr>
            <w:tcW w:w="1140" w:type="dxa"/>
            <w:tcBorders>
              <w:top w:val="single" w:sz="6" w:space="0" w:color="auto"/>
              <w:left w:val="single" w:sz="12" w:space="0" w:color="auto"/>
              <w:bottom w:val="single" w:sz="6" w:space="0" w:color="auto"/>
              <w:right w:val="single" w:sz="6" w:space="0" w:color="auto"/>
            </w:tcBorders>
          </w:tcPr>
          <w:p w14:paraId="49BD10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 г.</w:t>
            </w:r>
          </w:p>
        </w:tc>
        <w:tc>
          <w:tcPr>
            <w:tcW w:w="1500" w:type="dxa"/>
            <w:tcBorders>
              <w:top w:val="single" w:sz="6" w:space="0" w:color="auto"/>
              <w:left w:val="single" w:sz="6" w:space="0" w:color="auto"/>
              <w:bottom w:val="single" w:sz="6" w:space="0" w:color="auto"/>
              <w:right w:val="single" w:sz="6" w:space="0" w:color="auto"/>
            </w:tcBorders>
          </w:tcPr>
          <w:p w14:paraId="75312E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21.3</w:t>
            </w:r>
          </w:p>
        </w:tc>
        <w:tc>
          <w:tcPr>
            <w:tcW w:w="924" w:type="dxa"/>
            <w:tcBorders>
              <w:top w:val="single" w:sz="6" w:space="0" w:color="auto"/>
              <w:left w:val="single" w:sz="6" w:space="0" w:color="auto"/>
              <w:bottom w:val="single" w:sz="6" w:space="0" w:color="auto"/>
              <w:right w:val="single" w:sz="6" w:space="0" w:color="auto"/>
            </w:tcBorders>
          </w:tcPr>
          <w:p w14:paraId="7ADFCA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0.9</w:t>
            </w:r>
          </w:p>
        </w:tc>
        <w:tc>
          <w:tcPr>
            <w:tcW w:w="937" w:type="dxa"/>
            <w:tcBorders>
              <w:top w:val="single" w:sz="6" w:space="0" w:color="auto"/>
              <w:left w:val="single" w:sz="6" w:space="0" w:color="auto"/>
              <w:bottom w:val="single" w:sz="6" w:space="0" w:color="auto"/>
              <w:right w:val="single" w:sz="6" w:space="0" w:color="auto"/>
            </w:tcBorders>
          </w:tcPr>
          <w:p w14:paraId="765DC2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w:t>
            </w:r>
          </w:p>
        </w:tc>
        <w:tc>
          <w:tcPr>
            <w:tcW w:w="876" w:type="dxa"/>
            <w:tcBorders>
              <w:top w:val="single" w:sz="6" w:space="0" w:color="auto"/>
              <w:left w:val="single" w:sz="6" w:space="0" w:color="auto"/>
              <w:bottom w:val="single" w:sz="6" w:space="0" w:color="auto"/>
              <w:right w:val="single" w:sz="6" w:space="0" w:color="auto"/>
            </w:tcBorders>
          </w:tcPr>
          <w:p w14:paraId="060CC0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w:t>
            </w:r>
          </w:p>
        </w:tc>
        <w:tc>
          <w:tcPr>
            <w:tcW w:w="744" w:type="dxa"/>
            <w:tcBorders>
              <w:top w:val="single" w:sz="6" w:space="0" w:color="auto"/>
              <w:left w:val="single" w:sz="6" w:space="0" w:color="auto"/>
              <w:bottom w:val="single" w:sz="6" w:space="0" w:color="auto"/>
              <w:right w:val="single" w:sz="12" w:space="0" w:color="auto"/>
            </w:tcBorders>
          </w:tcPr>
          <w:p w14:paraId="324DD1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27.4</w:t>
            </w:r>
          </w:p>
        </w:tc>
      </w:tr>
      <w:tr w:rsidR="002B1C74" w:rsidRPr="002F2FDF" w14:paraId="0EAEE326" w14:textId="77777777">
        <w:tc>
          <w:tcPr>
            <w:tcW w:w="1140" w:type="dxa"/>
            <w:tcBorders>
              <w:top w:val="single" w:sz="6" w:space="0" w:color="auto"/>
              <w:left w:val="single" w:sz="12" w:space="0" w:color="auto"/>
              <w:bottom w:val="single" w:sz="6" w:space="0" w:color="auto"/>
              <w:right w:val="single" w:sz="6" w:space="0" w:color="auto"/>
            </w:tcBorders>
          </w:tcPr>
          <w:p w14:paraId="68B013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w:t>
            </w:r>
          </w:p>
        </w:tc>
        <w:tc>
          <w:tcPr>
            <w:tcW w:w="1500" w:type="dxa"/>
            <w:tcBorders>
              <w:top w:val="single" w:sz="6" w:space="0" w:color="auto"/>
              <w:left w:val="single" w:sz="6" w:space="0" w:color="auto"/>
              <w:bottom w:val="single" w:sz="6" w:space="0" w:color="auto"/>
              <w:right w:val="single" w:sz="6" w:space="0" w:color="auto"/>
            </w:tcBorders>
          </w:tcPr>
          <w:p w14:paraId="45E430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46.5</w:t>
            </w:r>
          </w:p>
        </w:tc>
        <w:tc>
          <w:tcPr>
            <w:tcW w:w="924" w:type="dxa"/>
            <w:tcBorders>
              <w:top w:val="single" w:sz="6" w:space="0" w:color="auto"/>
              <w:left w:val="single" w:sz="6" w:space="0" w:color="auto"/>
              <w:bottom w:val="single" w:sz="6" w:space="0" w:color="auto"/>
              <w:right w:val="single" w:sz="6" w:space="0" w:color="auto"/>
            </w:tcBorders>
          </w:tcPr>
          <w:p w14:paraId="5E2F1E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w:t>
            </w:r>
          </w:p>
        </w:tc>
        <w:tc>
          <w:tcPr>
            <w:tcW w:w="937" w:type="dxa"/>
            <w:tcBorders>
              <w:top w:val="single" w:sz="6" w:space="0" w:color="auto"/>
              <w:left w:val="single" w:sz="6" w:space="0" w:color="auto"/>
              <w:bottom w:val="single" w:sz="6" w:space="0" w:color="auto"/>
              <w:right w:val="single" w:sz="6" w:space="0" w:color="auto"/>
            </w:tcBorders>
          </w:tcPr>
          <w:p w14:paraId="50B7AB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w:t>
            </w:r>
          </w:p>
        </w:tc>
        <w:tc>
          <w:tcPr>
            <w:tcW w:w="876" w:type="dxa"/>
            <w:tcBorders>
              <w:top w:val="single" w:sz="6" w:space="0" w:color="auto"/>
              <w:left w:val="single" w:sz="6" w:space="0" w:color="auto"/>
              <w:bottom w:val="single" w:sz="6" w:space="0" w:color="auto"/>
              <w:right w:val="single" w:sz="6" w:space="0" w:color="auto"/>
            </w:tcBorders>
          </w:tcPr>
          <w:p w14:paraId="313C69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w:t>
            </w:r>
          </w:p>
        </w:tc>
        <w:tc>
          <w:tcPr>
            <w:tcW w:w="744" w:type="dxa"/>
            <w:tcBorders>
              <w:top w:val="single" w:sz="6" w:space="0" w:color="auto"/>
              <w:left w:val="single" w:sz="6" w:space="0" w:color="auto"/>
              <w:bottom w:val="single" w:sz="6" w:space="0" w:color="auto"/>
              <w:right w:val="single" w:sz="12" w:space="0" w:color="auto"/>
            </w:tcBorders>
          </w:tcPr>
          <w:p w14:paraId="75A67A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56.4</w:t>
            </w:r>
          </w:p>
        </w:tc>
      </w:tr>
      <w:tr w:rsidR="002B1C74" w:rsidRPr="002F2FDF" w14:paraId="146BF1F3" w14:textId="77777777">
        <w:tc>
          <w:tcPr>
            <w:tcW w:w="1140" w:type="dxa"/>
            <w:tcBorders>
              <w:top w:val="single" w:sz="6" w:space="0" w:color="auto"/>
              <w:left w:val="single" w:sz="12" w:space="0" w:color="auto"/>
              <w:bottom w:val="single" w:sz="6" w:space="0" w:color="auto"/>
              <w:right w:val="single" w:sz="6" w:space="0" w:color="auto"/>
            </w:tcBorders>
          </w:tcPr>
          <w:p w14:paraId="664CCF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1500" w:type="dxa"/>
            <w:tcBorders>
              <w:top w:val="single" w:sz="6" w:space="0" w:color="auto"/>
              <w:left w:val="single" w:sz="6" w:space="0" w:color="auto"/>
              <w:bottom w:val="single" w:sz="6" w:space="0" w:color="auto"/>
              <w:right w:val="single" w:sz="6" w:space="0" w:color="auto"/>
            </w:tcBorders>
          </w:tcPr>
          <w:p w14:paraId="2BD41D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58.5</w:t>
            </w:r>
          </w:p>
        </w:tc>
        <w:tc>
          <w:tcPr>
            <w:tcW w:w="924" w:type="dxa"/>
            <w:tcBorders>
              <w:top w:val="single" w:sz="6" w:space="0" w:color="auto"/>
              <w:left w:val="single" w:sz="6" w:space="0" w:color="auto"/>
              <w:bottom w:val="single" w:sz="6" w:space="0" w:color="auto"/>
              <w:right w:val="single" w:sz="6" w:space="0" w:color="auto"/>
            </w:tcBorders>
          </w:tcPr>
          <w:p w14:paraId="036AD3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w:t>
            </w:r>
          </w:p>
        </w:tc>
        <w:tc>
          <w:tcPr>
            <w:tcW w:w="937" w:type="dxa"/>
            <w:tcBorders>
              <w:top w:val="single" w:sz="6" w:space="0" w:color="auto"/>
              <w:left w:val="single" w:sz="6" w:space="0" w:color="auto"/>
              <w:bottom w:val="single" w:sz="6" w:space="0" w:color="auto"/>
              <w:right w:val="single" w:sz="6" w:space="0" w:color="auto"/>
            </w:tcBorders>
          </w:tcPr>
          <w:p w14:paraId="343A67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w:t>
            </w:r>
          </w:p>
        </w:tc>
        <w:tc>
          <w:tcPr>
            <w:tcW w:w="876" w:type="dxa"/>
            <w:tcBorders>
              <w:top w:val="single" w:sz="6" w:space="0" w:color="auto"/>
              <w:left w:val="single" w:sz="6" w:space="0" w:color="auto"/>
              <w:bottom w:val="single" w:sz="6" w:space="0" w:color="auto"/>
              <w:right w:val="single" w:sz="6" w:space="0" w:color="auto"/>
            </w:tcBorders>
          </w:tcPr>
          <w:p w14:paraId="3FAB24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w:t>
            </w:r>
          </w:p>
        </w:tc>
        <w:tc>
          <w:tcPr>
            <w:tcW w:w="744" w:type="dxa"/>
            <w:tcBorders>
              <w:top w:val="single" w:sz="6" w:space="0" w:color="auto"/>
              <w:left w:val="single" w:sz="6" w:space="0" w:color="auto"/>
              <w:bottom w:val="single" w:sz="6" w:space="0" w:color="auto"/>
              <w:right w:val="single" w:sz="12" w:space="0" w:color="auto"/>
            </w:tcBorders>
          </w:tcPr>
          <w:p w14:paraId="23B5E7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76.0</w:t>
            </w:r>
          </w:p>
        </w:tc>
      </w:tr>
      <w:tr w:rsidR="002B1C74" w:rsidRPr="002F2FDF" w14:paraId="279CFBD6" w14:textId="77777777">
        <w:tc>
          <w:tcPr>
            <w:tcW w:w="1140" w:type="dxa"/>
            <w:tcBorders>
              <w:top w:val="single" w:sz="6" w:space="0" w:color="auto"/>
              <w:left w:val="single" w:sz="12" w:space="0" w:color="auto"/>
              <w:bottom w:val="single" w:sz="12" w:space="0" w:color="auto"/>
              <w:right w:val="single" w:sz="6" w:space="0" w:color="auto"/>
            </w:tcBorders>
          </w:tcPr>
          <w:p w14:paraId="0C2DAF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1500" w:type="dxa"/>
            <w:tcBorders>
              <w:top w:val="single" w:sz="6" w:space="0" w:color="auto"/>
              <w:left w:val="single" w:sz="6" w:space="0" w:color="auto"/>
              <w:bottom w:val="single" w:sz="12" w:space="0" w:color="auto"/>
              <w:right w:val="single" w:sz="6" w:space="0" w:color="auto"/>
            </w:tcBorders>
          </w:tcPr>
          <w:p w14:paraId="4FC2D6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61.4</w:t>
            </w:r>
          </w:p>
        </w:tc>
        <w:tc>
          <w:tcPr>
            <w:tcW w:w="924" w:type="dxa"/>
            <w:tcBorders>
              <w:top w:val="single" w:sz="6" w:space="0" w:color="auto"/>
              <w:left w:val="single" w:sz="6" w:space="0" w:color="auto"/>
              <w:bottom w:val="single" w:sz="12" w:space="0" w:color="auto"/>
              <w:right w:val="single" w:sz="6" w:space="0" w:color="auto"/>
            </w:tcBorders>
          </w:tcPr>
          <w:p w14:paraId="00B9A5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937" w:type="dxa"/>
            <w:tcBorders>
              <w:top w:val="single" w:sz="6" w:space="0" w:color="auto"/>
              <w:left w:val="single" w:sz="6" w:space="0" w:color="auto"/>
              <w:bottom w:val="single" w:sz="12" w:space="0" w:color="auto"/>
              <w:right w:val="single" w:sz="6" w:space="0" w:color="auto"/>
            </w:tcBorders>
          </w:tcPr>
          <w:p w14:paraId="6D1CF7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w:t>
            </w:r>
          </w:p>
        </w:tc>
        <w:tc>
          <w:tcPr>
            <w:tcW w:w="876" w:type="dxa"/>
            <w:tcBorders>
              <w:top w:val="single" w:sz="6" w:space="0" w:color="auto"/>
              <w:left w:val="single" w:sz="6" w:space="0" w:color="auto"/>
              <w:bottom w:val="single" w:sz="12" w:space="0" w:color="auto"/>
              <w:right w:val="single" w:sz="6" w:space="0" w:color="auto"/>
            </w:tcBorders>
          </w:tcPr>
          <w:p w14:paraId="0B4A69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2.3</w:t>
            </w:r>
          </w:p>
        </w:tc>
        <w:tc>
          <w:tcPr>
            <w:tcW w:w="744" w:type="dxa"/>
            <w:tcBorders>
              <w:top w:val="single" w:sz="6" w:space="0" w:color="auto"/>
              <w:left w:val="single" w:sz="6" w:space="0" w:color="auto"/>
              <w:bottom w:val="single" w:sz="12" w:space="0" w:color="auto"/>
              <w:right w:val="single" w:sz="12" w:space="0" w:color="auto"/>
            </w:tcBorders>
          </w:tcPr>
          <w:p w14:paraId="40C6D9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66.6</w:t>
            </w:r>
          </w:p>
        </w:tc>
      </w:tr>
    </w:tbl>
    <w:p w14:paraId="4C760D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Эти цифры указывают, что завод на протяжении всей своей истории неизменно сохранял военное значение, хотя и имел разнообразные гражданские производства (11329).</w:t>
      </w:r>
    </w:p>
    <w:p w14:paraId="67E12F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4D7F8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конце 1917 г. Шлиссельбургски завод прекратил военные производства и с тех пор в этой части остается на консервации. </w:t>
      </w:r>
    </w:p>
    <w:p w14:paraId="2C66C4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xml:space="preserve">Помимо интереса технико-производственного, история Шлиссельбургского завода интересна и в другом отношении: она ярко иллюстрирует те порядки, которые существовали в прошлом в отношении охраны "военной тайны" и безопасности военного снабжения от покушений неприятеля. </w:t>
      </w:r>
    </w:p>
    <w:p w14:paraId="7D7A86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Трудно себе представить, по каким мотивам и соображениям нужно было призывать иностранцев строить крупный пороховой завод в России вблизи столицы. Пороховое производство не являлось в России новым. Оно существовало на трех казенных пороховых заводах. Если нужно было усилить ресурсы порохоснабжения, то это можно было сделать путем предоставления постройки порохового завода русским предпринимателям, подобно тому, как строились в свое время Обуховский, Тульский патронный и другие заводы крупного военного значения. Тем более что и закон, как указано выше, не разрешал иностранцам быть владельцами пороховых заводов. </w:t>
      </w:r>
    </w:p>
    <w:p w14:paraId="6096F1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Но если такая ошибка была сделана в начале 80-х годов, то не было оснований повторять ее в начале 90-х годов, когда ставилось производство бездымного пороха, а затем повторять и в третий раз в 1909 г., когда ставилось производство тротила. В обоих случаях было полное основание поддержать русскую отечественную промышленность. Правда, Шлиссельбургский завод титуловался "Русское общество для выделки и продажи пороха". Однако трудно себе представить, что, собственно говоря, было русского в этом Обществе. Завод представлял собой подлинный уголок Германии. Вся руководящая администрация завода, сверху донизу, состояла из немцев. Кое-где, для очистки совести, вкрапливалась русская фамилия. Говорили и писали по-немецки. С Германией находились в прямых и непосредственных сношениях. Инженеры Шлиссельбурга ездили в Германию, и, обратно — германские навещали Шлиссельбург. </w:t>
      </w:r>
    </w:p>
    <w:p w14:paraId="19C695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Несмотря на то, что Шлиссельбургский завод существовал главным образом заказами военного ведомства, инженеры последнего не допускались для осмотра и ознакомления с производствами. </w:t>
      </w:r>
    </w:p>
    <w:p w14:paraId="725480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 весьма тесном контакте с Германией говорит один характерный случай из прошлого. Инженеру М[ихайлову] в 1907 г. посчастливилось добыть на германском заводе взрывчатых веществ, принадлежащем Обществу "Карбонит", ценные данные о производстве тротила, позволившие поставить это производство в России. Шлиссельбургский завод, узнав об этом, немедленно послал директору "Карбонита" запрос, на каком основании Общество допустило такую неосторожность. Директор "Карбонита" Бихель был очень взволнован этим запросом и немедленно написал о нем инженеру М., прося совета — как успокоить шлиссельбуржцев. Инженер М. посоветовал Бихелю, каким образом можно было "отписаться" от этого запроса. </w:t>
      </w:r>
    </w:p>
    <w:p w14:paraId="2EC774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Этот инцидент, не лишенный пикантности, свидетельствует о том, что Шлиссельбургский завод находился в теснейшей деловой и коммерческой связи с обществом "Карбонит" и что шлиссельбуржцы менее были склонны к любезности по отношению к приютившей их России, чем подлинные немцы из "Карбонита". </w:t>
      </w:r>
    </w:p>
    <w:p w14:paraId="34C5A2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всем этом Шлиссельбург нес на себе более 50% снабжения всего флота бездымными порохами и тротилом, а также в известной доле снабжал тем и другим сухопутную армию. Не нужно объяснять, что при таких условиях трудно было гарантировать соблюдение "военной тайны" по части снабжения военного флота такими важными боевыми припасами, как порох и тротил. Не надо также объяснять, что был большой риск в том, что Шлиссельбургский завод в момент объявления войны с Германией мог по какой-либо несчастной случайности (пожар, взрыв) выбыть из строя. Это поставило бы флот в исключительно тяжелое положение, так как морские пороха были другого типа, чем сухопутные, по форме и составу пироксилина и перебросить их производство на какой-либо из казенных заводов представляло бы трудную в техническом отношении задачу (11329).</w:t>
      </w:r>
    </w:p>
    <w:p w14:paraId="1CF19A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BF2C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конца 1917 г. организация С. Н. Ванкова поставила в армию более 14 млн корпусов снарядов, в том числе 13 млн 683 тыс. 76-мм гранат — почти половину всех 76-мм гранат, изготовленных в России за годы войны. Организация С. Н. Ванкова изготовила также около полумиллиона корпусов 152-мм бомб. На фронт было отправ</w:t>
      </w:r>
      <w:r w:rsidRPr="002F2FDF">
        <w:rPr>
          <w:rFonts w:ascii="Times New Roman" w:hAnsi="Times New Roman" w:cs="Times New Roman"/>
          <w:color w:val="000000" w:themeColor="text1"/>
          <w:kern w:val="2"/>
          <w:sz w:val="16"/>
          <w:szCs w:val="16"/>
        </w:rPr>
        <w:softHyphen/>
        <w:t>лено 8399236 шт. окончательно снаряженных 76-мм гранат и 225911 шт. 152-мм бомб (табл. 1.9) [5, с. 197].</w:t>
      </w:r>
    </w:p>
    <w:p w14:paraId="701A4A7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снарядов организацией уполномоченного ГАУ С. Н. Ванкова с сентября 1915 г. по декабрь 1917 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014"/>
        <w:gridCol w:w="1277"/>
        <w:gridCol w:w="998"/>
        <w:gridCol w:w="1114"/>
      </w:tblGrid>
      <w:tr w:rsidR="002B1C74" w:rsidRPr="002F2FDF" w14:paraId="48A3469D" w14:textId="77777777">
        <w:trPr>
          <w:trHeight w:val="355"/>
        </w:trPr>
        <w:tc>
          <w:tcPr>
            <w:tcW w:w="3014" w:type="dxa"/>
            <w:tcBorders>
              <w:top w:val="single" w:sz="12" w:space="0" w:color="auto"/>
            </w:tcBorders>
          </w:tcPr>
          <w:p w14:paraId="3BA6B04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Название изделий</w:t>
            </w:r>
          </w:p>
          <w:p w14:paraId="04C5B54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Borders>
              <w:top w:val="single" w:sz="12" w:space="0" w:color="auto"/>
            </w:tcBorders>
          </w:tcPr>
          <w:p w14:paraId="2FC7B5E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принято</w:t>
            </w:r>
          </w:p>
          <w:p w14:paraId="1B99AA8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112" w:type="dxa"/>
            <w:gridSpan w:val="2"/>
            <w:tcBorders>
              <w:top w:val="single" w:sz="12" w:space="0" w:color="auto"/>
            </w:tcBorders>
          </w:tcPr>
          <w:p w14:paraId="7130719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этого числа</w:t>
            </w:r>
          </w:p>
          <w:p w14:paraId="6A8342B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1B2A84A7" w14:textId="77777777">
        <w:trPr>
          <w:trHeight w:val="269"/>
        </w:trPr>
        <w:tc>
          <w:tcPr>
            <w:tcW w:w="3014" w:type="dxa"/>
          </w:tcPr>
          <w:p w14:paraId="3AD8D09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C7561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3C3DDE3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заводов до 1 января 1918 г.</w:t>
            </w:r>
          </w:p>
          <w:p w14:paraId="2C837AA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4B04AD0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сдано окон-</w:t>
            </w:r>
          </w:p>
          <w:p w14:paraId="0D6FFD3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1C527FA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выдано для</w:t>
            </w:r>
          </w:p>
          <w:p w14:paraId="23F8CF0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5A73F05B" w14:textId="77777777">
        <w:trPr>
          <w:trHeight w:val="154"/>
        </w:trPr>
        <w:tc>
          <w:tcPr>
            <w:tcW w:w="3014" w:type="dxa"/>
          </w:tcPr>
          <w:p w14:paraId="492FB6F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8BC3D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7AE5680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D4824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6C95A39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чательно</w:t>
            </w:r>
          </w:p>
          <w:p w14:paraId="43B1EFF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1C4F800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снаряжения</w:t>
            </w:r>
          </w:p>
          <w:p w14:paraId="30EEF68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6D5E103B" w14:textId="77777777">
        <w:trPr>
          <w:trHeight w:val="202"/>
        </w:trPr>
        <w:tc>
          <w:tcPr>
            <w:tcW w:w="3014" w:type="dxa"/>
          </w:tcPr>
          <w:p w14:paraId="2CD8BB1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8D0CC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6B3048C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65826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6F49014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снаряжен-</w:t>
            </w:r>
          </w:p>
          <w:p w14:paraId="5EC3331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018D11C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ОВ</w:t>
            </w:r>
          </w:p>
          <w:p w14:paraId="1BF050F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230FB6D8" w14:textId="77777777">
        <w:trPr>
          <w:trHeight w:val="240"/>
        </w:trPr>
        <w:tc>
          <w:tcPr>
            <w:tcW w:w="3014" w:type="dxa"/>
          </w:tcPr>
          <w:p w14:paraId="4CA1953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E739A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5A9C66A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1A251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2F0E1E8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ных</w:t>
            </w:r>
          </w:p>
          <w:p w14:paraId="4BB5F0D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1DE5531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B1F4F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644765BE" w14:textId="77777777">
        <w:trPr>
          <w:trHeight w:val="259"/>
        </w:trPr>
        <w:tc>
          <w:tcPr>
            <w:tcW w:w="3014" w:type="dxa"/>
          </w:tcPr>
          <w:p w14:paraId="2CE653C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Корпуса 76-мм гранат</w:t>
            </w:r>
          </w:p>
          <w:p w14:paraId="1B2841C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72700BE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13 683,334</w:t>
            </w:r>
          </w:p>
          <w:p w14:paraId="4F85F8A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61A221F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8 399,236</w:t>
            </w:r>
          </w:p>
          <w:p w14:paraId="23FE23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67A3C6E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2291,969</w:t>
            </w:r>
          </w:p>
          <w:p w14:paraId="11116B2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37082FDD" w14:textId="77777777">
        <w:trPr>
          <w:trHeight w:val="163"/>
        </w:trPr>
        <w:tc>
          <w:tcPr>
            <w:tcW w:w="3014" w:type="dxa"/>
          </w:tcPr>
          <w:p w14:paraId="22170FE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Корпуса 122-мм бомб</w:t>
            </w:r>
          </w:p>
          <w:p w14:paraId="69CAD22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24EC56C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104,956</w:t>
            </w:r>
          </w:p>
          <w:p w14:paraId="19CA679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04F3D38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1906E88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3913D1B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4860722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23D1DBA3" w14:textId="77777777">
        <w:trPr>
          <w:trHeight w:val="182"/>
        </w:trPr>
        <w:tc>
          <w:tcPr>
            <w:tcW w:w="3014" w:type="dxa"/>
          </w:tcPr>
          <w:p w14:paraId="5021082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Корпуса 152-мм бомб</w:t>
            </w:r>
          </w:p>
          <w:p w14:paraId="1E41A17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56DC5D5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488,487</w:t>
            </w:r>
          </w:p>
          <w:p w14:paraId="5EF6EB1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41A69D1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225,911</w:t>
            </w:r>
          </w:p>
          <w:p w14:paraId="2FE44D6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6479183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134,692</w:t>
            </w:r>
          </w:p>
          <w:p w14:paraId="14A1F21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4D7DEC2A" w14:textId="77777777">
        <w:trPr>
          <w:trHeight w:val="173"/>
        </w:trPr>
        <w:tc>
          <w:tcPr>
            <w:tcW w:w="3014" w:type="dxa"/>
          </w:tcPr>
          <w:p w14:paraId="44E3D04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Запальные стаканы 76-мм</w:t>
            </w:r>
          </w:p>
          <w:p w14:paraId="72BA52B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71041A4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12 250,863</w:t>
            </w:r>
          </w:p>
          <w:p w14:paraId="45713A4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23D4EAC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3A40280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4A4CED9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04445BA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5EAB6A43" w14:textId="77777777">
        <w:trPr>
          <w:trHeight w:val="154"/>
        </w:trPr>
        <w:tc>
          <w:tcPr>
            <w:tcW w:w="3014" w:type="dxa"/>
          </w:tcPr>
          <w:p w14:paraId="72D9EBC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Запальные стаканы 152-мм</w:t>
            </w:r>
          </w:p>
          <w:p w14:paraId="2D385B4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6611E4F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730,294</w:t>
            </w:r>
          </w:p>
          <w:p w14:paraId="5788D5F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3784DAC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7EC964F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0F33812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45EE367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4B824394" w14:textId="77777777">
        <w:trPr>
          <w:trHeight w:val="173"/>
        </w:trPr>
        <w:tc>
          <w:tcPr>
            <w:tcW w:w="3014" w:type="dxa"/>
          </w:tcPr>
          <w:p w14:paraId="711864A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Запальные стаканы к ОВ</w:t>
            </w:r>
          </w:p>
          <w:p w14:paraId="4FDB46F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2A3E775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646,572</w:t>
            </w:r>
          </w:p>
          <w:p w14:paraId="3974A62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4B183CA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7BDBBBD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37C30E6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510BC49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0854663C" w14:textId="77777777">
        <w:trPr>
          <w:trHeight w:val="173"/>
        </w:trPr>
        <w:tc>
          <w:tcPr>
            <w:tcW w:w="3014" w:type="dxa"/>
          </w:tcPr>
          <w:p w14:paraId="5F67535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Детонаторные трубки снаряженные</w:t>
            </w:r>
          </w:p>
          <w:p w14:paraId="19F6056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0E3937F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3 521,260</w:t>
            </w:r>
          </w:p>
          <w:p w14:paraId="44252E3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616AB6E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55F72A8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06279E3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38ED72A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26476E0E" w14:textId="77777777">
        <w:trPr>
          <w:trHeight w:val="365"/>
        </w:trPr>
        <w:tc>
          <w:tcPr>
            <w:tcW w:w="3014" w:type="dxa"/>
            <w:tcBorders>
              <w:bottom w:val="single" w:sz="12" w:space="0" w:color="auto"/>
            </w:tcBorders>
          </w:tcPr>
          <w:p w14:paraId="28E2BF0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Детонаторные трубки неснаряженные</w:t>
            </w:r>
          </w:p>
          <w:p w14:paraId="1DC8127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Borders>
              <w:bottom w:val="single" w:sz="12" w:space="0" w:color="auto"/>
            </w:tcBorders>
          </w:tcPr>
          <w:p w14:paraId="1F7A2B2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4 906,975</w:t>
            </w:r>
          </w:p>
          <w:p w14:paraId="2CD6B75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Borders>
              <w:bottom w:val="single" w:sz="12" w:space="0" w:color="auto"/>
            </w:tcBorders>
          </w:tcPr>
          <w:p w14:paraId="44451AB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2A1FA81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Borders>
              <w:bottom w:val="single" w:sz="12" w:space="0" w:color="auto"/>
            </w:tcBorders>
          </w:tcPr>
          <w:p w14:paraId="1B80559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2561716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1D55E46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Важной заслугой организации С. Н. Ванкова явилось создание производства корпусов 152-мм и 122-мм снарядов из сталистого чугуна [4, с. 310; 9]. Организация разработала и внедрила на 14 заво</w:t>
      </w:r>
      <w:r w:rsidRPr="002F2FDF">
        <w:rPr>
          <w:rFonts w:ascii="Times New Roman" w:hAnsi="Times New Roman" w:cs="Times New Roman"/>
          <w:color w:val="000000" w:themeColor="text1"/>
          <w:kern w:val="2"/>
          <w:sz w:val="16"/>
          <w:szCs w:val="16"/>
        </w:rPr>
        <w:softHyphen/>
        <w:t>дах, главным образом южных, новые методы приемки снарядов из сталистого чугуна, отличные от французских.</w:t>
      </w:r>
    </w:p>
    <w:p w14:paraId="032925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Главным в работе организации С. Н. Ванкова, впоследствии вид</w:t>
      </w:r>
      <w:r w:rsidRPr="002F2FDF">
        <w:rPr>
          <w:rFonts w:ascii="Times New Roman" w:hAnsi="Times New Roman" w:cs="Times New Roman"/>
          <w:color w:val="000000" w:themeColor="text1"/>
          <w:kern w:val="2"/>
          <w:sz w:val="16"/>
          <w:szCs w:val="16"/>
        </w:rPr>
        <w:softHyphen/>
        <w:t>ного ученого, профессора, начальника Отдела металлов ВСНХ РСФСР,было то, что при всех сложностях военного времени удалось без всякой предварительной подготовки в короткие сроки организо</w:t>
      </w:r>
      <w:r w:rsidRPr="002F2FDF">
        <w:rPr>
          <w:rFonts w:ascii="Times New Roman" w:hAnsi="Times New Roman" w:cs="Times New Roman"/>
          <w:color w:val="000000" w:themeColor="text1"/>
          <w:kern w:val="2"/>
          <w:sz w:val="16"/>
          <w:szCs w:val="16"/>
        </w:rPr>
        <w:softHyphen/>
        <w:t>вать согласованную и целенаправленную работу многих сотен пред</w:t>
      </w:r>
      <w:r w:rsidRPr="002F2FDF">
        <w:rPr>
          <w:rFonts w:ascii="Times New Roman" w:hAnsi="Times New Roman" w:cs="Times New Roman"/>
          <w:color w:val="000000" w:themeColor="text1"/>
          <w:kern w:val="2"/>
          <w:sz w:val="16"/>
          <w:szCs w:val="16"/>
        </w:rPr>
        <w:softHyphen/>
        <w:t>приятий (5484).</w:t>
      </w:r>
    </w:p>
    <w:p w14:paraId="5C9196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482410" w14:textId="69346AC1" w:rsidR="0096612C" w:rsidRPr="002F2FDF" w:rsidRDefault="0096612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1917 г. Обуховским заводом было сдано заказчику 42 305-мм гаубиц. В период 1916-1917 гг. было потеряно 12 гаубиц. На начало войны, 22 июня 1941 г., в РККА имелось 34 305-мм гаубицы обр. 1915 г. Из них были организованы дивизионы особой мощности. Во время ВОВ все гаубицы входили в состав батарей РВГК.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Они использовались в 1944 г. на Ленинградском</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фронте при прорыве «Карельского вала» и в 1945 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при взятии крепости Кенигсберг (15132).</w:t>
      </w:r>
    </w:p>
    <w:p w14:paraId="629C700C" w14:textId="77777777" w:rsidR="0096612C" w:rsidRPr="002F2FDF" w:rsidRDefault="0096612C" w:rsidP="0083075A">
      <w:pPr>
        <w:spacing w:after="0" w:line="240" w:lineRule="auto"/>
        <w:jc w:val="both"/>
        <w:rPr>
          <w:rFonts w:ascii="Times New Roman" w:hAnsi="Times New Roman" w:cs="Times New Roman"/>
          <w:color w:val="000000" w:themeColor="text1"/>
          <w:kern w:val="2"/>
          <w:sz w:val="16"/>
          <w:szCs w:val="16"/>
        </w:rPr>
      </w:pPr>
    </w:p>
    <w:p w14:paraId="688DFD0A" w14:textId="77777777" w:rsidR="00176EBD" w:rsidRPr="00FB4F67" w:rsidRDefault="00176EB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конце 1917 года производство орудий обр. 1902 г. резко снизилось, а в 1918 году с началом гражданской войны практически прекратилось. «Трехдюймовки» активно использова</w:t>
      </w:r>
      <w:r w:rsidRPr="00FB4F67">
        <w:rPr>
          <w:rFonts w:ascii="Times New Roman" w:hAnsi="Times New Roman" w:cs="Times New Roman"/>
          <w:color w:val="0070C0"/>
          <w:sz w:val="16"/>
          <w:szCs w:val="16"/>
        </w:rPr>
        <w:softHyphen/>
        <w:t>лись всеми участниками гражданской войны в России. И это неудивительно - война носила маневренный характер и орудия более крупных калибров применялись крайне ограничено. Интенсивность боевого применения обусловила большие потери 76-мм пушек. При этом производство их было относительно небольшим и с трудом позволяло восполнять потери. Так, на</w:t>
      </w:r>
      <w:r w:rsidRPr="00FB4F67">
        <w:rPr>
          <w:rFonts w:ascii="Times New Roman" w:hAnsi="Times New Roman" w:cs="Times New Roman"/>
          <w:color w:val="0070C0"/>
          <w:sz w:val="16"/>
          <w:szCs w:val="16"/>
        </w:rPr>
        <w:softHyphen/>
        <w:t>пример, в 1919 году было изготовлено только 300 орудий (23385).</w:t>
      </w:r>
    </w:p>
    <w:p w14:paraId="2A3152A8" w14:textId="77777777" w:rsidR="00176EBD" w:rsidRPr="00FB4F67" w:rsidRDefault="00176EBD" w:rsidP="0083075A">
      <w:pPr>
        <w:spacing w:after="0" w:line="240" w:lineRule="auto"/>
        <w:jc w:val="both"/>
        <w:rPr>
          <w:rFonts w:ascii="Times New Roman" w:hAnsi="Times New Roman" w:cs="Times New Roman"/>
          <w:color w:val="0070C0"/>
          <w:sz w:val="16"/>
          <w:szCs w:val="16"/>
        </w:rPr>
      </w:pPr>
    </w:p>
    <w:p w14:paraId="413CD1B2" w14:textId="77777777" w:rsidR="00176EBD" w:rsidRPr="00FB4F67" w:rsidRDefault="00176EB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конце 1917 г. постройка завода оптического стекла в Изюме остановилась, но в 1923 г. была возобновлена. В Петрограде оптический отдел Фар</w:t>
      </w:r>
      <w:r w:rsidRPr="00FB4F67">
        <w:rPr>
          <w:rFonts w:ascii="Times New Roman" w:hAnsi="Times New Roman" w:cs="Times New Roman"/>
          <w:color w:val="0070C0"/>
          <w:sz w:val="16"/>
          <w:szCs w:val="16"/>
        </w:rPr>
        <w:softHyphen/>
        <w:t>форового завода был остановлен на консервацию в 1920 г. К тому времени английский метод «был более или менее освоен», но выпускалось лишь небольшое количество стек</w:t>
      </w:r>
      <w:r w:rsidRPr="00FB4F67">
        <w:rPr>
          <w:rFonts w:ascii="Times New Roman" w:hAnsi="Times New Roman" w:cs="Times New Roman"/>
          <w:color w:val="0070C0"/>
          <w:sz w:val="16"/>
          <w:szCs w:val="16"/>
        </w:rPr>
        <w:softHyphen/>
        <w:t>ла, да и «качество продукции было невысокое». До февраля 1918 г. было проведено 585 плавок; хотя трудоемкие под</w:t>
      </w:r>
      <w:r w:rsidRPr="00FB4F67">
        <w:rPr>
          <w:rFonts w:ascii="Times New Roman" w:hAnsi="Times New Roman" w:cs="Times New Roman"/>
          <w:color w:val="0070C0"/>
          <w:sz w:val="16"/>
          <w:szCs w:val="16"/>
        </w:rPr>
        <w:softHyphen/>
        <w:t>готовительные операции выполнялись вручную или с по</w:t>
      </w:r>
      <w:r w:rsidRPr="00FB4F67">
        <w:rPr>
          <w:rFonts w:ascii="Times New Roman" w:hAnsi="Times New Roman" w:cs="Times New Roman"/>
          <w:color w:val="0070C0"/>
          <w:sz w:val="16"/>
          <w:szCs w:val="16"/>
        </w:rPr>
        <w:softHyphen/>
        <w:t>мощью примитивных устройств, удалось получить три тон</w:t>
      </w:r>
      <w:r w:rsidRPr="00FB4F67">
        <w:rPr>
          <w:rFonts w:ascii="Times New Roman" w:hAnsi="Times New Roman" w:cs="Times New Roman"/>
          <w:color w:val="0070C0"/>
          <w:sz w:val="16"/>
          <w:szCs w:val="16"/>
        </w:rPr>
        <w:softHyphen/>
        <w:t>ны годного стекла, то есть около половины обещанного годового производства в 420 пудов (6,7 тонны) (Генерал В.С. Михайлов. С. 271; Указывая, что за 1916—1917 гг. завод дал около 7 т годного стекла, Осиновский и Кононков, видимо, приняли за факт именно этот про</w:t>
      </w:r>
      <w:r w:rsidRPr="00FB4F67">
        <w:rPr>
          <w:rFonts w:ascii="Times New Roman" w:hAnsi="Times New Roman" w:cs="Times New Roman"/>
          <w:color w:val="0070C0"/>
          <w:sz w:val="16"/>
          <w:szCs w:val="16"/>
        </w:rPr>
        <w:softHyphen/>
        <w:t>ектированный показатель (Осиновский А.Н., Кононков А.Ф. Указ. соч. С. 39)). С 1926 г. Рождественский изменил метод перемешивания расплав</w:t>
      </w:r>
      <w:r w:rsidRPr="00FB4F67">
        <w:rPr>
          <w:rFonts w:ascii="Times New Roman" w:hAnsi="Times New Roman" w:cs="Times New Roman"/>
          <w:color w:val="0070C0"/>
          <w:sz w:val="16"/>
          <w:szCs w:val="16"/>
        </w:rPr>
        <w:softHyphen/>
        <w:t>ленной массы, отказавшись от английской технологии, и разработал «совершенно новый процесс ускоренных ва</w:t>
      </w:r>
      <w:r w:rsidRPr="00FB4F67">
        <w:rPr>
          <w:rFonts w:ascii="Times New Roman" w:hAnsi="Times New Roman" w:cs="Times New Roman"/>
          <w:color w:val="0070C0"/>
          <w:sz w:val="16"/>
          <w:szCs w:val="16"/>
        </w:rPr>
        <w:softHyphen/>
        <w:t>рок», основанный на идее физика Дж. Морея, после чего и производительность и качество продукции ЛенЗОС и ИЗОС существенно повысились (Качалов Н.Н. Указ. соч. С. 451; Стожаров А.И. Д.С. Рождествен</w:t>
      </w:r>
      <w:r w:rsidRPr="00FB4F67">
        <w:rPr>
          <w:rFonts w:ascii="Times New Roman" w:hAnsi="Times New Roman" w:cs="Times New Roman"/>
          <w:color w:val="0070C0"/>
          <w:sz w:val="16"/>
          <w:szCs w:val="16"/>
        </w:rPr>
        <w:softHyphen/>
        <w:t xml:space="preserve">ский // </w:t>
      </w:r>
      <w:r w:rsidRPr="00FB4F67">
        <w:rPr>
          <w:rFonts w:ascii="Times New Roman" w:hAnsi="Times New Roman" w:cs="Times New Roman"/>
          <w:color w:val="0070C0"/>
          <w:sz w:val="16"/>
          <w:szCs w:val="16"/>
        </w:rPr>
        <w:lastRenderedPageBreak/>
        <w:t>Воспоминания об академике Д.С. Рождественском. Л</w:t>
      </w:r>
      <w:r w:rsidRPr="00176EBD">
        <w:rPr>
          <w:rFonts w:ascii="Times New Roman" w:hAnsi="Times New Roman" w:cs="Times New Roman"/>
          <w:color w:val="0070C0"/>
          <w:sz w:val="16"/>
          <w:szCs w:val="16"/>
          <w:lang w:val="en-US"/>
        </w:rPr>
        <w:t xml:space="preserve">., 1976. </w:t>
      </w:r>
      <w:r w:rsidRPr="00FB4F67">
        <w:rPr>
          <w:rFonts w:ascii="Times New Roman" w:hAnsi="Times New Roman" w:cs="Times New Roman"/>
          <w:color w:val="0070C0"/>
          <w:sz w:val="16"/>
          <w:szCs w:val="16"/>
        </w:rPr>
        <w:t>С</w:t>
      </w:r>
      <w:r w:rsidRPr="00176EBD">
        <w:rPr>
          <w:rFonts w:ascii="Times New Roman" w:hAnsi="Times New Roman" w:cs="Times New Roman"/>
          <w:color w:val="0070C0"/>
          <w:sz w:val="16"/>
          <w:szCs w:val="16"/>
          <w:lang w:val="en-US"/>
        </w:rPr>
        <w:t xml:space="preserve">. 97; Morey G. </w:t>
      </w:r>
      <w:r w:rsidRPr="00FB4F67">
        <w:rPr>
          <w:rFonts w:ascii="Times New Roman" w:hAnsi="Times New Roman" w:cs="Times New Roman"/>
          <w:color w:val="0070C0"/>
          <w:sz w:val="16"/>
          <w:szCs w:val="16"/>
        </w:rPr>
        <w:t>Ж</w:t>
      </w:r>
      <w:r w:rsidRPr="00176EBD">
        <w:rPr>
          <w:rFonts w:ascii="Times New Roman" w:hAnsi="Times New Roman" w:cs="Times New Roman"/>
          <w:color w:val="0070C0"/>
          <w:sz w:val="16"/>
          <w:szCs w:val="16"/>
          <w:lang w:val="en-US"/>
        </w:rPr>
        <w:t xml:space="preserve"> An Improved Method of Optical Glass Manufacture // Journal of American Ceramic Society. </w:t>
      </w:r>
      <w:r w:rsidRPr="00FB4F67">
        <w:rPr>
          <w:rFonts w:ascii="Times New Roman" w:hAnsi="Times New Roman" w:cs="Times New Roman"/>
          <w:color w:val="0070C0"/>
          <w:sz w:val="16"/>
          <w:szCs w:val="16"/>
        </w:rPr>
        <w:t>1919. № 2; Технология стекла. T. 2. С. 374) (23452).</w:t>
      </w:r>
    </w:p>
    <w:p w14:paraId="55456B43" w14:textId="77777777" w:rsidR="00176EBD" w:rsidRPr="00FB4F67" w:rsidRDefault="00176EBD" w:rsidP="0083075A">
      <w:pPr>
        <w:spacing w:after="0" w:line="240" w:lineRule="auto"/>
        <w:jc w:val="both"/>
        <w:rPr>
          <w:rFonts w:ascii="Times New Roman" w:hAnsi="Times New Roman" w:cs="Times New Roman"/>
          <w:color w:val="0070C0"/>
          <w:sz w:val="16"/>
          <w:szCs w:val="16"/>
        </w:rPr>
      </w:pPr>
    </w:p>
    <w:p w14:paraId="6330BBC2" w14:textId="77777777" w:rsidR="00176EBD" w:rsidRPr="00FB4F67" w:rsidRDefault="00176EBD"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концу 1917 г. выпустили не менее 50 комплектов системы Кегресс для переделки автомобилей в автосани, из них 34 - для броневиков, разработанных инже</w:t>
      </w:r>
      <w:r w:rsidRPr="00FB4F67">
        <w:rPr>
          <w:rFonts w:ascii="Times New Roman" w:hAnsi="Times New Roman" w:cs="Times New Roman"/>
          <w:color w:val="0070C0"/>
          <w:sz w:val="16"/>
          <w:szCs w:val="16"/>
        </w:rPr>
        <w:softHyphen/>
        <w:t>нерами ОПЗ и переданными в производство весной 1917 г. Но из-за событий лета и осени того года сроки постройки бронеавтомобилей конструкции Путиловского завода на британ</w:t>
      </w:r>
      <w:r w:rsidRPr="00FB4F67">
        <w:rPr>
          <w:rFonts w:ascii="Times New Roman" w:hAnsi="Times New Roman" w:cs="Times New Roman"/>
          <w:color w:val="0070C0"/>
          <w:sz w:val="16"/>
          <w:szCs w:val="16"/>
        </w:rPr>
        <w:softHyphen/>
        <w:t>ских шасси Austin были сорваны, а гусенич</w:t>
      </w:r>
      <w:r w:rsidRPr="00FB4F67">
        <w:rPr>
          <w:rFonts w:ascii="Times New Roman" w:hAnsi="Times New Roman" w:cs="Times New Roman"/>
          <w:color w:val="0070C0"/>
          <w:sz w:val="16"/>
          <w:szCs w:val="16"/>
        </w:rPr>
        <w:softHyphen/>
        <w:t>ные движители предназначались в первую очередь для них (23481).</w:t>
      </w:r>
    </w:p>
    <w:p w14:paraId="5F9FFA2F" w14:textId="77777777" w:rsidR="00176EBD" w:rsidRPr="00FB4F67" w:rsidRDefault="00176EBD" w:rsidP="0083075A">
      <w:pPr>
        <w:spacing w:after="0" w:line="240" w:lineRule="auto"/>
        <w:jc w:val="both"/>
        <w:rPr>
          <w:rFonts w:ascii="Times New Roman" w:hAnsi="Times New Roman" w:cs="Times New Roman"/>
          <w:color w:val="0070C0"/>
          <w:sz w:val="16"/>
          <w:szCs w:val="16"/>
        </w:rPr>
      </w:pPr>
    </w:p>
    <w:p w14:paraId="26836E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1917 г. на Аксайском заводе, который рассматривался как наиболее проблемный, было выстроено 85 % зданий и установлено 25 % оборудования. Строительство автомобильного завода о-ва «Аксай» велось на территории принадлежащего ему предприятия сельскохозяйственных машин. Однако правление завода даже не приступило к разработке конструкции автомобиля и налаживания автомобильного производства. В дальнейшем завод «Красный Аксай», расширившийся за счет нового строительства, продолжал специализироваться в области сельскохозяйственного машиностроения. Сооружение новых предприятий велось прежде всего в отраслях и производствах, работающих на оборону, хотя некоторые имели и более широкое экономическое значение. Это относится к авиационной, автомобильной и химической промышленности. Преимущественное строительство в 1915-1917 гг. именно оборонных предприятий подтверждает информация о других строительных программах и сооружении отдельных заводов (11863).</w:t>
      </w:r>
    </w:p>
    <w:p w14:paraId="1B2C4A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3512B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1917 г. удалось наладить ремонт автомобилей и мотоциклов [3.1]. Постепенно этот вид деятельности Советской власти распространился на Москву, другие большие города, а за</w:t>
      </w:r>
      <w:r w:rsidRPr="002F2FDF">
        <w:rPr>
          <w:rFonts w:ascii="Times New Roman" w:hAnsi="Times New Roman" w:cs="Times New Roman"/>
          <w:color w:val="000000" w:themeColor="text1"/>
          <w:kern w:val="2"/>
          <w:sz w:val="16"/>
          <w:szCs w:val="16"/>
        </w:rPr>
        <w:softHyphen/>
        <w:t>тем и на всю территорию страны. Восстановленные автомобили и мотоциклы использовались на фронтах гражданской войны и повседневном управлении хозяйством страны [3.2] (11429).</w:t>
      </w:r>
    </w:p>
    <w:p w14:paraId="481BA3E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B5CEB6" w14:textId="125DC6C7" w:rsidR="007C4D5D" w:rsidRPr="002F2FDF" w:rsidRDefault="007C4D5D" w:rsidP="0083075A">
      <w:pPr>
        <w:pStyle w:val="ae"/>
        <w:shd w:val="clear" w:color="auto" w:fill="FFFFFF"/>
        <w:spacing w:before="0" w:after="0"/>
        <w:jc w:val="both"/>
        <w:rPr>
          <w:color w:val="000000" w:themeColor="text1"/>
          <w:sz w:val="16"/>
          <w:szCs w:val="16"/>
        </w:rPr>
      </w:pPr>
      <w:r w:rsidRPr="002F2FDF">
        <w:rPr>
          <w:color w:val="000000" w:themeColor="text1"/>
          <w:sz w:val="16"/>
          <w:szCs w:val="16"/>
        </w:rPr>
        <w:t>К концу 1917 г. было выстроено 85%</w:t>
      </w:r>
      <w:r w:rsidR="00E52569">
        <w:rPr>
          <w:color w:val="000000" w:themeColor="text1"/>
          <w:sz w:val="16"/>
          <w:szCs w:val="16"/>
        </w:rPr>
        <w:t xml:space="preserve"> </w:t>
      </w:r>
      <w:r w:rsidRPr="002F2FDF">
        <w:rPr>
          <w:color w:val="000000" w:themeColor="text1"/>
          <w:sz w:val="16"/>
          <w:szCs w:val="16"/>
        </w:rPr>
        <w:t xml:space="preserve"> зданий и установлено 25% оборудования автомобильного завода о-ва «Аксай». Однако правление завода даже не приступило к разработке конструкции автомобиля и налаживания автомобильного производства. В дальнейшем завод «Красный Аксай», расширившийся за счет нового строительства, продолжал специализироваться в области сельскохозяйственного машиностроения (21552).</w:t>
      </w:r>
    </w:p>
    <w:p w14:paraId="05C7E015" w14:textId="77777777" w:rsidR="007C4D5D" w:rsidRPr="002F2FDF" w:rsidRDefault="007C4D5D" w:rsidP="0083075A">
      <w:pPr>
        <w:autoSpaceDE w:val="0"/>
        <w:autoSpaceDN w:val="0"/>
        <w:adjustRightInd w:val="0"/>
        <w:spacing w:after="0" w:line="240" w:lineRule="auto"/>
        <w:jc w:val="both"/>
        <w:rPr>
          <w:rFonts w:ascii="Times New Roman" w:eastAsia="TimesNewRoman" w:hAnsi="Times New Roman" w:cs="Times New Roman"/>
          <w:color w:val="000000" w:themeColor="text1"/>
          <w:sz w:val="16"/>
          <w:szCs w:val="16"/>
        </w:rPr>
      </w:pPr>
    </w:p>
    <w:p w14:paraId="676B18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 начале 1918 гг. РОБТиТ эвакуирует из Петрограда в Москву заводскую лабораторию, значительную часть оборудования и находившие на складе гото вые изделия. Оставшееся в Петрограде оборудование было законсервировано. Декретом Совета народных комиссаров от 28 марта 1918 г. завод РОБТиТ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ский радиоаппаратный завод (11870).</w:t>
      </w:r>
    </w:p>
    <w:p w14:paraId="128A5E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4894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1917 года с 1914 гг. на Петроградском телефонно-телеграфном заводе Гейслера было произведено 119100 телефонных и 25640 телеграфных аппаратов (Болошина Н.Ю. Указ.соч. С. 97.). Акционерное общество на 2/3 принадле жало шведскому капиталу, а на 1/3 – американскому. Только к началу Первой мировой войны предприятие стало освобождаться от опеки иностранного капи тала (Центральная радиолаборатория в Ленинграде. [Очерк истории ЦРЛ – ИРПА] / Под ред. И. В. Бренева. – М.: Советское радио, 1973. С.10.). Мировая война способствовала загрузке завода военными заказами. Из двухсот видов изделий, выпускавшихся предприятием, на их долю приходилось 50%. Национализация предприятия в 1919 г. принесла ему и новое наименова ние - Петроградский телефонно-телеграфный завод (Гейслера) (11870).</w:t>
      </w:r>
    </w:p>
    <w:p w14:paraId="38877D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F30D6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755E4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7084EC" w14:textId="30664825" w:rsidR="003A2080" w:rsidRPr="005D7D69" w:rsidRDefault="003A208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 xml:space="preserve">К концу </w:t>
      </w:r>
      <w:r>
        <w:rPr>
          <w:rFonts w:ascii="Times New Roman" w:hAnsi="Times New Roman" w:cs="Times New Roman"/>
          <w:color w:val="0070C0"/>
          <w:sz w:val="16"/>
          <w:szCs w:val="16"/>
        </w:rPr>
        <w:t xml:space="preserve">1917 </w:t>
      </w:r>
      <w:r w:rsidRPr="005D7D69">
        <w:rPr>
          <w:rFonts w:ascii="Times New Roman" w:hAnsi="Times New Roman" w:cs="Times New Roman"/>
          <w:color w:val="0070C0"/>
          <w:sz w:val="16"/>
          <w:szCs w:val="16"/>
        </w:rPr>
        <w:t>года в результат</w:t>
      </w:r>
      <w:r>
        <w:rPr>
          <w:rFonts w:ascii="Times New Roman" w:hAnsi="Times New Roman" w:cs="Times New Roman"/>
          <w:color w:val="0070C0"/>
          <w:sz w:val="16"/>
          <w:szCs w:val="16"/>
        </w:rPr>
        <w:t>е</w:t>
      </w:r>
      <w:r w:rsidRPr="005D7D69">
        <w:rPr>
          <w:rFonts w:ascii="Times New Roman" w:hAnsi="Times New Roman" w:cs="Times New Roman"/>
          <w:color w:val="0070C0"/>
          <w:sz w:val="16"/>
          <w:szCs w:val="16"/>
        </w:rPr>
        <w:t xml:space="preserve"> самодемобилизации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тарой армии возду</w:t>
      </w:r>
      <w:r>
        <w:rPr>
          <w:rFonts w:ascii="Times New Roman" w:hAnsi="Times New Roman" w:cs="Times New Roman"/>
          <w:color w:val="0070C0"/>
          <w:sz w:val="16"/>
          <w:szCs w:val="16"/>
        </w:rPr>
        <w:t>ш</w:t>
      </w:r>
      <w:r w:rsidRPr="005D7D69">
        <w:rPr>
          <w:rFonts w:ascii="Times New Roman" w:hAnsi="Times New Roman" w:cs="Times New Roman"/>
          <w:color w:val="0070C0"/>
          <w:sz w:val="16"/>
          <w:szCs w:val="16"/>
        </w:rPr>
        <w:t>ный флот подвергся распаду.</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Во многих фронтовых частях рядовой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тав самод</w:t>
      </w:r>
      <w:r>
        <w:rPr>
          <w:rFonts w:ascii="Times New Roman" w:hAnsi="Times New Roman" w:cs="Times New Roman"/>
          <w:color w:val="0070C0"/>
          <w:sz w:val="16"/>
          <w:szCs w:val="16"/>
        </w:rPr>
        <w:t>е</w:t>
      </w:r>
      <w:r w:rsidRPr="005D7D69">
        <w:rPr>
          <w:rFonts w:ascii="Times New Roman" w:hAnsi="Times New Roman" w:cs="Times New Roman"/>
          <w:color w:val="0070C0"/>
          <w:sz w:val="16"/>
          <w:szCs w:val="16"/>
        </w:rPr>
        <w:t>мобили</w:t>
      </w:r>
      <w:r>
        <w:rPr>
          <w:rFonts w:ascii="Times New Roman" w:hAnsi="Times New Roman" w:cs="Times New Roman"/>
          <w:color w:val="0070C0"/>
          <w:sz w:val="16"/>
          <w:szCs w:val="16"/>
        </w:rPr>
        <w:t>з</w:t>
      </w:r>
      <w:r w:rsidRPr="005D7D69">
        <w:rPr>
          <w:rFonts w:ascii="Times New Roman" w:hAnsi="Times New Roman" w:cs="Times New Roman"/>
          <w:color w:val="0070C0"/>
          <w:sz w:val="16"/>
          <w:szCs w:val="16"/>
        </w:rPr>
        <w:t>овал</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я,</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тавив на произвол всю технику.</w:t>
      </w:r>
      <w:r>
        <w:rPr>
          <w:rFonts w:ascii="Times New Roman" w:hAnsi="Times New Roman" w:cs="Times New Roman"/>
          <w:color w:val="0070C0"/>
          <w:sz w:val="16"/>
          <w:szCs w:val="16"/>
        </w:rPr>
        <w:t xml:space="preserve"> М</w:t>
      </w:r>
      <w:r w:rsidRPr="005D7D69">
        <w:rPr>
          <w:rFonts w:ascii="Times New Roman" w:hAnsi="Times New Roman" w:cs="Times New Roman"/>
          <w:color w:val="0070C0"/>
          <w:sz w:val="16"/>
          <w:szCs w:val="16"/>
        </w:rPr>
        <w:t xml:space="preserve">ногие из летчиков-офицеров бросили свои частя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следуя агитации контр- революционных генералов, пробирались на юг.</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Большинство летчииов-</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олдат, мотористы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прочие авиаспециалисты остались при отрядах </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 вместе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 ними пробирались,</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часто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 боями,</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на территорию Советской</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Росс</w:t>
      </w:r>
      <w:r>
        <w:rPr>
          <w:rFonts w:ascii="Times New Roman" w:hAnsi="Times New Roman" w:cs="Times New Roman"/>
          <w:color w:val="0070C0"/>
          <w:sz w:val="16"/>
          <w:szCs w:val="16"/>
        </w:rPr>
        <w:t>и</w:t>
      </w:r>
      <w:r w:rsidRPr="005D7D69">
        <w:rPr>
          <w:rFonts w:ascii="Times New Roman" w:hAnsi="Times New Roman" w:cs="Times New Roman"/>
          <w:color w:val="0070C0"/>
          <w:sz w:val="16"/>
          <w:szCs w:val="16"/>
        </w:rPr>
        <w:t xml:space="preserve">и. В конечном итоге из 91 авиаотряда было эвакуировано в тыл только 33 </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 xml:space="preserve"> числом самолетов около 200.</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Д</w:t>
      </w:r>
      <w:r>
        <w:rPr>
          <w:rFonts w:ascii="Times New Roman" w:hAnsi="Times New Roman" w:cs="Times New Roman"/>
          <w:color w:val="0070C0"/>
          <w:sz w:val="16"/>
          <w:szCs w:val="16"/>
        </w:rPr>
        <w:t>о</w:t>
      </w:r>
      <w:r w:rsidRPr="005D7D69">
        <w:rPr>
          <w:rFonts w:ascii="Times New Roman" w:hAnsi="Times New Roman" w:cs="Times New Roman"/>
          <w:color w:val="0070C0"/>
          <w:sz w:val="16"/>
          <w:szCs w:val="16"/>
        </w:rPr>
        <w:t xml:space="preserve"> 500 самолетов было </w:t>
      </w:r>
      <w:r>
        <w:rPr>
          <w:rFonts w:ascii="Times New Roman" w:hAnsi="Times New Roman" w:cs="Times New Roman"/>
          <w:color w:val="0070C0"/>
          <w:sz w:val="16"/>
          <w:szCs w:val="16"/>
        </w:rPr>
        <w:t>з</w:t>
      </w:r>
      <w:r w:rsidRPr="005D7D69">
        <w:rPr>
          <w:rFonts w:ascii="Times New Roman" w:hAnsi="Times New Roman" w:cs="Times New Roman"/>
          <w:color w:val="0070C0"/>
          <w:sz w:val="16"/>
          <w:szCs w:val="16"/>
        </w:rPr>
        <w:t>axвачено немцами, в том числе в</w:t>
      </w:r>
      <w:r>
        <w:rPr>
          <w:rFonts w:ascii="Times New Roman" w:hAnsi="Times New Roman" w:cs="Times New Roman"/>
          <w:color w:val="0070C0"/>
          <w:sz w:val="16"/>
          <w:szCs w:val="16"/>
        </w:rPr>
        <w:t>с</w:t>
      </w:r>
      <w:r w:rsidRPr="005D7D69">
        <w:rPr>
          <w:rFonts w:ascii="Times New Roman" w:hAnsi="Times New Roman" w:cs="Times New Roman"/>
          <w:color w:val="0070C0"/>
          <w:sz w:val="16"/>
          <w:szCs w:val="16"/>
        </w:rPr>
        <w:t>я эскадра воздушных кораблей "Илья Муромец" в Виннице.</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Морская авиация в Прибалтике </w:t>
      </w:r>
      <w:r>
        <w:rPr>
          <w:rFonts w:ascii="Times New Roman" w:hAnsi="Times New Roman" w:cs="Times New Roman"/>
          <w:color w:val="0070C0"/>
          <w:sz w:val="16"/>
          <w:szCs w:val="16"/>
        </w:rPr>
        <w:t>была</w:t>
      </w:r>
      <w:r w:rsidRPr="005D7D69">
        <w:rPr>
          <w:rFonts w:ascii="Times New Roman" w:hAnsi="Times New Roman" w:cs="Times New Roman"/>
          <w:color w:val="0070C0"/>
          <w:sz w:val="16"/>
          <w:szCs w:val="16"/>
        </w:rPr>
        <w:t xml:space="preserve"> уничтожена или захвачена немцами.</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Авиация военного времени формировалась на фронте и для фронта,</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 xml:space="preserve">а по окончании войны не знала </w:t>
      </w:r>
      <w:r>
        <w:rPr>
          <w:rFonts w:ascii="Times New Roman" w:hAnsi="Times New Roman" w:cs="Times New Roman"/>
          <w:color w:val="0070C0"/>
          <w:sz w:val="16"/>
          <w:szCs w:val="16"/>
        </w:rPr>
        <w:t>к</w:t>
      </w:r>
      <w:r w:rsidRPr="005D7D69">
        <w:rPr>
          <w:rFonts w:ascii="Times New Roman" w:hAnsi="Times New Roman" w:cs="Times New Roman"/>
          <w:color w:val="0070C0"/>
          <w:sz w:val="16"/>
          <w:szCs w:val="16"/>
        </w:rPr>
        <w:t>уда вернуться. Авиаотряды эвакуировались вглубь страны и оседали в случайных ме</w:t>
      </w:r>
      <w:r w:rsidRPr="005D7D69">
        <w:rPr>
          <w:rFonts w:ascii="Times New Roman" w:hAnsi="Times New Roman" w:cs="Times New Roman"/>
          <w:color w:val="0070C0"/>
          <w:sz w:val="16"/>
          <w:szCs w:val="16"/>
        </w:rPr>
        <w:softHyphen/>
        <w:t>стах.</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Самолеты зачастую нуждались в ремонте.</w:t>
      </w:r>
      <w:r>
        <w:rPr>
          <w:rFonts w:ascii="Times New Roman" w:hAnsi="Times New Roman" w:cs="Times New Roman"/>
          <w:color w:val="0070C0"/>
          <w:sz w:val="16"/>
          <w:szCs w:val="16"/>
        </w:rPr>
        <w:t xml:space="preserve"> </w:t>
      </w:r>
      <w:r w:rsidRPr="005D7D69">
        <w:rPr>
          <w:rFonts w:ascii="Times New Roman" w:hAnsi="Times New Roman" w:cs="Times New Roman"/>
          <w:color w:val="0070C0"/>
          <w:sz w:val="16"/>
          <w:szCs w:val="16"/>
        </w:rPr>
        <w:t>Они</w:t>
      </w:r>
      <w:r>
        <w:rPr>
          <w:rFonts w:ascii="Times New Roman" w:hAnsi="Times New Roman" w:cs="Times New Roman"/>
          <w:color w:val="0070C0"/>
          <w:sz w:val="16"/>
          <w:szCs w:val="16"/>
        </w:rPr>
        <w:t>-</w:t>
      </w:r>
      <w:r w:rsidRPr="005D7D69">
        <w:rPr>
          <w:rFonts w:ascii="Times New Roman" w:hAnsi="Times New Roman" w:cs="Times New Roman"/>
          <w:color w:val="0070C0"/>
          <w:sz w:val="16"/>
          <w:szCs w:val="16"/>
        </w:rPr>
        <w:t xml:space="preserve">то и </w:t>
      </w:r>
      <w:r>
        <w:rPr>
          <w:rFonts w:ascii="Times New Roman" w:hAnsi="Times New Roman" w:cs="Times New Roman"/>
          <w:color w:val="0070C0"/>
          <w:sz w:val="16"/>
          <w:szCs w:val="16"/>
        </w:rPr>
        <w:t>были</w:t>
      </w:r>
      <w:r w:rsidRPr="005D7D69">
        <w:rPr>
          <w:rFonts w:ascii="Times New Roman" w:hAnsi="Times New Roman" w:cs="Times New Roman"/>
          <w:color w:val="0070C0"/>
          <w:sz w:val="16"/>
          <w:szCs w:val="16"/>
        </w:rPr>
        <w:t xml:space="preserve"> на во</w:t>
      </w:r>
      <w:r w:rsidRPr="005D7D69">
        <w:rPr>
          <w:rFonts w:ascii="Times New Roman" w:hAnsi="Times New Roman" w:cs="Times New Roman"/>
          <w:color w:val="0070C0"/>
          <w:sz w:val="16"/>
          <w:szCs w:val="16"/>
        </w:rPr>
        <w:softHyphen/>
        <w:t>оружение первых социалистических авиаотрядов.</w:t>
      </w:r>
    </w:p>
    <w:p w14:paraId="6CA84366" w14:textId="77777777" w:rsidR="003A2080" w:rsidRPr="005D7D69" w:rsidRDefault="003A2080" w:rsidP="0083075A">
      <w:pPr>
        <w:spacing w:after="0" w:line="240" w:lineRule="auto"/>
        <w:jc w:val="both"/>
        <w:rPr>
          <w:rFonts w:ascii="Times New Roman" w:hAnsi="Times New Roman" w:cs="Times New Roman"/>
          <w:color w:val="0070C0"/>
          <w:sz w:val="16"/>
          <w:szCs w:val="16"/>
        </w:rPr>
      </w:pPr>
      <w:r w:rsidRPr="005D7D69">
        <w:rPr>
          <w:rFonts w:ascii="Times New Roman" w:hAnsi="Times New Roman" w:cs="Times New Roman"/>
          <w:color w:val="0070C0"/>
          <w:sz w:val="16"/>
          <w:szCs w:val="16"/>
        </w:rPr>
        <w:t>/По материалам ВВ</w:t>
      </w:r>
      <w:r>
        <w:rPr>
          <w:rFonts w:ascii="Times New Roman" w:hAnsi="Times New Roman" w:cs="Times New Roman"/>
          <w:color w:val="0070C0"/>
          <w:sz w:val="16"/>
          <w:szCs w:val="16"/>
        </w:rPr>
        <w:t>Ф</w:t>
      </w:r>
      <w:r w:rsidRPr="005D7D69">
        <w:rPr>
          <w:rFonts w:ascii="Times New Roman" w:hAnsi="Times New Roman" w:cs="Times New Roman"/>
          <w:color w:val="0070C0"/>
          <w:sz w:val="16"/>
          <w:szCs w:val="16"/>
        </w:rPr>
        <w:t xml:space="preserve"> за 1923-1933 гг./</w:t>
      </w:r>
      <w:r>
        <w:rPr>
          <w:rFonts w:ascii="Times New Roman" w:hAnsi="Times New Roman" w:cs="Times New Roman"/>
          <w:color w:val="0070C0"/>
          <w:sz w:val="16"/>
          <w:szCs w:val="16"/>
        </w:rPr>
        <w:t xml:space="preserve"> (23370).</w:t>
      </w:r>
    </w:p>
    <w:p w14:paraId="2B31B378" w14:textId="77777777" w:rsidR="003A2080" w:rsidRDefault="003A2080" w:rsidP="0083075A">
      <w:pPr>
        <w:spacing w:after="0" w:line="240" w:lineRule="auto"/>
        <w:jc w:val="both"/>
        <w:rPr>
          <w:rFonts w:ascii="Times New Roman" w:hAnsi="Times New Roman" w:cs="Times New Roman"/>
          <w:color w:val="000000" w:themeColor="text1"/>
          <w:sz w:val="16"/>
          <w:szCs w:val="16"/>
        </w:rPr>
      </w:pPr>
    </w:p>
    <w:p w14:paraId="453202BB" w14:textId="0E2E8F07" w:rsidR="00BC2F7C" w:rsidRPr="002F2FDF" w:rsidRDefault="00BC2F7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конце 1917 г. в Петрограде прежний состав Управления ВВФ не мог быть полностью использован в новых условиях из-за приверженности большей части сотрудников Увофлота старой идеологии и мотивации к службе. Также дела обстояли и в других управлениях Военного министерства. Постановление об их «чистке» Совнарком Российской Республики принял 19 ноября 1917 г. Кроме того, он постановил для управления вновь организованными Наркоматами и входящими в них управлениями создать коллегии, состоящие на 2/3 от рабочих организаций и на 1/3 - от специалистов (19566).</w:t>
      </w:r>
    </w:p>
    <w:p w14:paraId="2A9FA9E2"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p>
    <w:p w14:paraId="4A4516CC"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концу 1917 года все центральные рычаги управления Воздушным флотом сосредоточились в руках честолюбивой и энергичной группы молодых (средний возраст не превышал 30 лет) петроградских авиаторов. Но оставалось еще ПУАиВ, которому подчинялись наиболее боеспособные фронтовые отряды. В ноябре 1917-го в них числилось более 600 самолетов. Управление размещалось в Могилеве, вдали от «колыбели революции», а в его штате преобладали офицеры, относящиеся враждебно к большевикам вообще и к октябрьскому перевороту в частности (18562).</w:t>
      </w:r>
    </w:p>
    <w:p w14:paraId="578865D4" w14:textId="77777777" w:rsidR="00BC2F7C" w:rsidRPr="002F2FDF" w:rsidRDefault="00BC2F7C" w:rsidP="0083075A">
      <w:pPr>
        <w:spacing w:after="0" w:line="240" w:lineRule="auto"/>
        <w:jc w:val="both"/>
        <w:rPr>
          <w:rFonts w:ascii="Times New Roman" w:hAnsi="Times New Roman" w:cs="Times New Roman"/>
          <w:color w:val="000000" w:themeColor="text1"/>
          <w:sz w:val="16"/>
          <w:szCs w:val="16"/>
        </w:rPr>
      </w:pPr>
    </w:p>
    <w:p w14:paraId="26B74810" w14:textId="77777777" w:rsidR="00BC2F7C" w:rsidRPr="002F2FDF" w:rsidRDefault="00BC2F7C" w:rsidP="0083075A">
      <w:pPr>
        <w:pStyle w:val="ae"/>
        <w:spacing w:before="0" w:after="0"/>
        <w:jc w:val="both"/>
        <w:rPr>
          <w:color w:val="000000" w:themeColor="text1"/>
          <w:sz w:val="16"/>
          <w:szCs w:val="16"/>
        </w:rPr>
      </w:pPr>
      <w:r w:rsidRPr="002F2FDF">
        <w:rPr>
          <w:color w:val="000000" w:themeColor="text1"/>
          <w:sz w:val="16"/>
          <w:szCs w:val="16"/>
        </w:rPr>
        <w:t>В конце 1917 г. Россия прекратила боевые действия. Фронт был открыт, солдаты расходись по домам, уцелевшие самолеты отправляли в тыл. Новых заказов авиазаводам не давали. Большевики надеялись, что за российской пролетарской революцией последуют восстания пролетариев других стран, освобождающие трудящихся от капиталистических уз, и вскоре наступят всеобщий мир и благоденствие.</w:t>
      </w:r>
    </w:p>
    <w:p w14:paraId="605463AE" w14:textId="77777777" w:rsidR="00BC2F7C" w:rsidRPr="002F2FDF" w:rsidRDefault="00BC2F7C" w:rsidP="0083075A">
      <w:pPr>
        <w:pStyle w:val="ae"/>
        <w:spacing w:before="0" w:after="0"/>
        <w:jc w:val="both"/>
        <w:rPr>
          <w:color w:val="000000" w:themeColor="text1"/>
          <w:sz w:val="16"/>
          <w:szCs w:val="16"/>
        </w:rPr>
      </w:pPr>
      <w:r w:rsidRPr="002F2FDF">
        <w:rPr>
          <w:color w:val="000000" w:themeColor="text1"/>
          <w:sz w:val="16"/>
          <w:szCs w:val="16"/>
        </w:rPr>
        <w:t>Находясь в плену иллюзий, руководство Советской России не планировало восстановления военной авиационной промышленности. В литературе неоднократно приводились слова члена президиума Всероссийского совета народного хозяйства Ю.М. Ларина об авиации как о «буржуазном излишестве», не нужном первому в мире государству рабочих и крестьян. Но эта крамольная мысль принадлежит не Ларину, а высшему руководству страны, Ларин лишь озвучил государственное решение (18302).</w:t>
      </w:r>
    </w:p>
    <w:p w14:paraId="2080EA32" w14:textId="77777777" w:rsidR="00BC2F7C" w:rsidRPr="002F2FDF" w:rsidRDefault="00BC2F7C" w:rsidP="0083075A">
      <w:pPr>
        <w:pStyle w:val="ae"/>
        <w:spacing w:before="0" w:after="0"/>
        <w:jc w:val="both"/>
        <w:rPr>
          <w:color w:val="000000" w:themeColor="text1"/>
          <w:sz w:val="16"/>
          <w:szCs w:val="16"/>
        </w:rPr>
      </w:pPr>
    </w:p>
    <w:p w14:paraId="0CA54DCB" w14:textId="77777777" w:rsidR="000E7270" w:rsidRPr="002F2FDF" w:rsidRDefault="000E727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конец 1917 года состояние парка авиатехники в России было удручающим. В целом по стране числилось 1109 самолетов (для сравнения, в Германии — более 2800). Из них на фронтах в составе девяноста одного авиаотряда находилось 579 машин. Остальные 530 самолетов состояли в распоряжении учебных центров. Союзники по Антанте фактически бойкотировали выполнение русских заказов на поставку авиационной техники. По уже утвержденным контрактам из заказанных за границей 1153 самолетов в порт Архангельска до 1 января 1918 года прибыло всего 148 крылатых машин (17011).</w:t>
      </w:r>
    </w:p>
    <w:p w14:paraId="3CA61F1E" w14:textId="77777777" w:rsidR="000E7270" w:rsidRPr="002F2FDF" w:rsidRDefault="000E7270" w:rsidP="0083075A">
      <w:pPr>
        <w:spacing w:after="0" w:line="240" w:lineRule="auto"/>
        <w:jc w:val="both"/>
        <w:rPr>
          <w:rFonts w:ascii="Times New Roman" w:hAnsi="Times New Roman" w:cs="Times New Roman"/>
          <w:color w:val="000000" w:themeColor="text1"/>
          <w:kern w:val="2"/>
          <w:sz w:val="16"/>
          <w:szCs w:val="16"/>
        </w:rPr>
      </w:pPr>
    </w:p>
    <w:p w14:paraId="4C04887B" w14:textId="2A069FCB" w:rsidR="00B46B0F" w:rsidRPr="002F2FDF" w:rsidRDefault="00B46B0F"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1917 года в строю находились самолеты 30 различных типов, 17 из которых</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являлись основными. В боях использовались и трофейные самолеты, 120-150 которых было захвачено в относительно исправном состоянии в течение войны. Разумеется, объемы поставок техники российской авиационной промышленности уступали масштабам самолетостроения в Германии, где до конца 1917 года было выпущено 33808 самолетов» (17037).</w:t>
      </w:r>
    </w:p>
    <w:p w14:paraId="64F4B491" w14:textId="77777777" w:rsidR="00B46B0F" w:rsidRPr="002F2FDF" w:rsidRDefault="00B46B0F" w:rsidP="0083075A">
      <w:pPr>
        <w:spacing w:after="0" w:line="240" w:lineRule="auto"/>
        <w:jc w:val="both"/>
        <w:rPr>
          <w:rFonts w:ascii="Times New Roman" w:hAnsi="Times New Roman" w:cs="Times New Roman"/>
          <w:color w:val="000000" w:themeColor="text1"/>
          <w:kern w:val="2"/>
          <w:sz w:val="16"/>
          <w:szCs w:val="16"/>
        </w:rPr>
      </w:pPr>
    </w:p>
    <w:p w14:paraId="1AC00F5F" w14:textId="77777777" w:rsidR="00D124E5" w:rsidRPr="002F2FDF" w:rsidRDefault="00D124E5" w:rsidP="0083075A">
      <w:pPr>
        <w:pStyle w:val="ae"/>
        <w:spacing w:before="0" w:after="0"/>
        <w:jc w:val="both"/>
        <w:rPr>
          <w:color w:val="000000" w:themeColor="text1"/>
          <w:kern w:val="2"/>
          <w:sz w:val="16"/>
          <w:szCs w:val="16"/>
        </w:rPr>
      </w:pPr>
      <w:r w:rsidRPr="002F2FDF">
        <w:rPr>
          <w:color w:val="000000" w:themeColor="text1"/>
          <w:kern w:val="2"/>
          <w:sz w:val="16"/>
          <w:szCs w:val="16"/>
        </w:rPr>
        <w:t>В конце 1917 г. Россия прекратила боевые действия. Фронт был открыт, солдаты расходись по домам, уцелевшие самолеты отправляли в тыл. Новых заказов авиазаводам не давали. Большевики надеялись, что за российской пролетарской революцией последуют восстания пролетариев других стран, освобождающие трудящихся от капиталистических уз, и вскоре наступят всеобщий мир и благоденствие (12630).</w:t>
      </w:r>
    </w:p>
    <w:p w14:paraId="551A6A2E" w14:textId="77777777" w:rsidR="00D124E5" w:rsidRPr="002F2FDF" w:rsidRDefault="00D124E5" w:rsidP="0083075A">
      <w:pPr>
        <w:pStyle w:val="ae"/>
        <w:spacing w:before="0" w:after="0"/>
        <w:jc w:val="both"/>
        <w:rPr>
          <w:color w:val="000000" w:themeColor="text1"/>
          <w:kern w:val="2"/>
          <w:sz w:val="16"/>
          <w:szCs w:val="16"/>
        </w:rPr>
      </w:pPr>
    </w:p>
    <w:p w14:paraId="716849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к концу 1917 года в сухопутных войсках имелся 91 авиационный отряд: 44 корпусных, 24 истребительных, 12 армейских, четыре артиллерийских, четыре крепостных и три в управлениях. Корпусные отряды располагали по штату шестью разведчиками, двумя самолетами для корректирования артиллерийского огня и двумя истребителями. Армейские отряды должны были иметь шесть разведчиков и два истребителя, артиллерийские - по десять машин, а истребительные - по восемь. Однако реально в наличии был лишь 461 самоле положенных по табелю. Кроме того, в ремонте находилось 106 самолоетов различных типов. Причем, если истребительные и армейские отряды имели полный комплект, то корпусные вместо 440 машин располагали лишь 144 (11184).</w:t>
      </w:r>
    </w:p>
    <w:p w14:paraId="48CBC4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2BE6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концу 1917 года воздушный флот России имел 132 авиаотряда (91 сухопутный отряд, пять отрядов тяжелых кораблей "Илья Муромец" и 36 отрядов гидроавиации). В сухопутных войсках насчитывалось 1109 самолетов, 35 машинами располагала Эскадра воздушных кораблей, 106 самолетов находилось в ремонте и еще около 700 </w:t>
      </w:r>
      <w:r w:rsidRPr="002F2FDF">
        <w:rPr>
          <w:rFonts w:ascii="Times New Roman" w:hAnsi="Times New Roman" w:cs="Times New Roman"/>
          <w:color w:val="000000" w:themeColor="text1"/>
          <w:kern w:val="2"/>
          <w:sz w:val="16"/>
          <w:szCs w:val="16"/>
        </w:rPr>
        <w:lastRenderedPageBreak/>
        <w:t>имелось в резерве и хранилось на складах в разобранном виде. Это позволяло постоянно использовать в боевых действиях 500-600 самолетов в сухопутных войсках и 150 гидросамолетов в морской авиации (11184).</w:t>
      </w:r>
    </w:p>
    <w:p w14:paraId="4B268D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10E6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 к концу 1917 года в российской морской авиации имелось 240 самолетов и 133 летчика. По мере роста числа самолоетов в составе флотов было сформировано по одной воздушной дивизии во главе с контрадмиралом. Каждая дивизия, насчитававшая более сотни самолетов, состояла из двух авиабригад по три гидродиыизиона, причем на Черноморском флоте один дивизион являлся корабельным. Сравнивая морскую авиацию России с авицией ВМС Германии, которая в 1915 году имела два авиатранспорта и семь авиастанций, можно сделать вывод, что Россия лидировала в этой области вплоть до 1917 года и имела определенное превосходство над противником (11184).</w:t>
      </w:r>
    </w:p>
    <w:p w14:paraId="2059A1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A80F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г. на Чёрном море находилось 74 лётчика и 112 самолётов. В первой половине 1918 г. объекты, принадлежавшие черноморской авиации, заняли германские, австро-венгерские и турецкие оккупанты. Все значимые порты Черноморско-Азовского театра: Мариуполь, Херсон, Таганрог, Бердянск, Феодосия, Евпатория и Ялта были потеряны. В августе турецкий гидроотряд разместился в Батуме, германские поплавковые самолеты базировались в Севастополе, Одессе и Керчи. Представляется не совсем понятным, как в этих условиях бывшему 1-му дивизиону воздушной дивизии Чёрного моря вообще удалось удержаться в Одессе. Более того, в январе 1918 г. летающие лодки двух его отрядов, находившихся в Сулине, были перебазированы в Отарик, а истребители с колёсными шасси - в Одессу. При эвакуации Одессы в марте 1918 г. дивизион места базирования не менял, а в конце сентября 1918 г. часть дивизиона перебралась в Екатеринодар, где в ноябре, того же года на его базе сформировали 3-й авиаотряд Добровольческой армии, который воевал вплоть до окончательной эвакуации из Крыма в конце 1920 г.</w:t>
      </w:r>
    </w:p>
    <w:p w14:paraId="2F59ED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Оккупантов первой волны сменили интервенты - англичане и французы. В этой обстановке Добровольческая белая армия также приступила к формированию частей, в том числе и морской авиации. Для начала удалось отыскать десять, нуждающихся в ремонте, летающих лодок в Севастополе и семь в Одессе. В марте 1919 г. в Севастополе базировался 1-й добровольческий морской авиаотряд (начальник - капитан 2-го ранга М.А. Крыгин) и 1-й воздушный дивизион в Одессе (начальник - старший лейтенант Е.Е. Коведяев). Отряд находился в Севастополе до середины апреля, когда интервенты заключили с наступавшими красными перемирие.</w:t>
      </w:r>
    </w:p>
    <w:p w14:paraId="27E750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Интервентов и добровольцев сменили украинские большевики, попытавшиеся обзавестись своей морской авиацией, с подчинением её гидроавиационному отделу при Управлении воздушного флота Украины (УВФУ) в Киеве. Киевским эмиссарам удалось привлечь часть проживавших в Крыму и в Одессе лётчиков. Хуже обстояло дело с базированием и техникой. После знакомства с состоянием базы в Севастополе стало ясно, что восстановить её не представляется возможным. Лучше сохранилась станция в бухте Нахидиова. Но имевшиеся там самолёты нуждались в длительном ремонте (12033).</w:t>
      </w:r>
    </w:p>
    <w:p w14:paraId="6FF519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D17D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конца 1917 года всё имущество российских авиаотрядов, оставшееся на территории Украины, обращалось на создание авиации Украинской Народной республики (УНР). Вследствие украинизации значительная часть личного состава ЭВК (в основном русские по происхождению) была демобилизована. Эскадру стали именовать на украинский манер "Ескадра Пов1трових Корабл1в" (ЕПК). Она входила в авиационный отдел военно-воздушного флота УН Р, ее предполагали сохранить как резерв бомбардировочной авиации Генерального штаба.</w:t>
      </w:r>
    </w:p>
    <w:p w14:paraId="07BBE2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конца 1917 года власть на Украине постоянно менялась. После недолгого правления большевиков Винницу захватили части 7-го гайдамацкого имени гетмана Петра Дорошенко полка. 17 января 1918 года аэродром ЕПК с боем был занят большевистским 2-м гвардейским корпусом под командованием "мадам Бош", затем, после их ухода, 17 февраля Винницу заняли солдаты 133-го Саксонского пехотного полка.</w:t>
      </w:r>
    </w:p>
    <w:p w14:paraId="4DF754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с помощью немцев на Украине к власти пришёл гетман Скоропадский, который провозгласил Украинскую Державу. Интересно, что главой "Пов1трово1 Фльоти" Украинской Державы некоторое время был бывший "начмуромец" полковник (отоман) Г.Г. Горшков. Начальником остатков Эскадры Воздушных Кораблей назначили подполковника Р.Л. Н ижевского.</w:t>
      </w:r>
    </w:p>
    <w:p w14:paraId="2475FB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Всё оставшееся имущество фронтовых отрядов ЭВК с громадными трудностями было свезено в Винницу (12041).</w:t>
      </w:r>
    </w:p>
    <w:p w14:paraId="5D4F8F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3607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из-за наступления немцев мы потеряли Гельсинфорс и почти все имущество авиации Балтийского моря. Лишь Ревельская группа спасла 50 моторов и несколько самолетов (1076,872).</w:t>
      </w:r>
    </w:p>
    <w:p w14:paraId="43BA32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2D673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г. использо</w:t>
      </w:r>
      <w:r w:rsidRPr="002F2FDF">
        <w:rPr>
          <w:rFonts w:ascii="Times New Roman" w:hAnsi="Times New Roman" w:cs="Times New Roman"/>
          <w:color w:val="000000" w:themeColor="text1"/>
          <w:kern w:val="2"/>
          <w:sz w:val="16"/>
          <w:szCs w:val="16"/>
        </w:rPr>
        <w:softHyphen/>
        <w:t>вание “Орлицы” в качестве плавучей авиабазы прекрати</w:t>
      </w:r>
      <w:r w:rsidRPr="002F2FDF">
        <w:rPr>
          <w:rFonts w:ascii="Times New Roman" w:hAnsi="Times New Roman" w:cs="Times New Roman"/>
          <w:color w:val="000000" w:themeColor="text1"/>
          <w:kern w:val="2"/>
          <w:sz w:val="16"/>
          <w:szCs w:val="16"/>
        </w:rPr>
        <w:softHyphen/>
        <w:t>лось. Уже на следующий год судно переименовали в “Со</w:t>
      </w:r>
      <w:r w:rsidRPr="002F2FDF">
        <w:rPr>
          <w:rFonts w:ascii="Times New Roman" w:hAnsi="Times New Roman" w:cs="Times New Roman"/>
          <w:color w:val="000000" w:themeColor="text1"/>
          <w:kern w:val="2"/>
          <w:sz w:val="16"/>
          <w:szCs w:val="16"/>
        </w:rPr>
        <w:softHyphen/>
        <w:t>вет” и далее использовали во вспомогательных целях (11107).</w:t>
      </w:r>
    </w:p>
    <w:p w14:paraId="3DDDD79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A391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г. было выработано положение об образовании школы воздушного плавания, которую предполагалось создать в Евпатории для усовершенствования навыков по основным элементам летной подготовки у пилотов и летчиков-наблюдателей действующей армии. Школа в Евпатории состояла из четырех отделов: воздушного боя, бомбометания, корректирования и разведки, воздушной стрельбы. То есть без особой натяжки ее можно было назвать современным термином - центр боевого применения. К ее созданию подтолкнула военная действительность: авиация, вступив в войну в новом качестве, уже в 1915 г. приобрела новые свойства, что привело в 1916 г. к необходимости переучивания летного состава (РГВИА, ф.2003, оп.З, д.663, л. 111) (11182).</w:t>
      </w:r>
    </w:p>
    <w:p w14:paraId="581920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F12F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12/52-дюймовая Батарея №43 была захвачена немцами, а батареи №60 и №39 финнами в 1918 году. 12/52-дюймовая береговая батарея с русскими орудиями использовалась немцами в 1943-1944 годах в проливе Ла-Манш (3861).</w:t>
      </w:r>
    </w:p>
    <w:p w14:paraId="7DA62F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7858E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г. при штабе Верховного главнокомандующего была учреждена должность инспектора бронечастей. После Февральской революции при ГВТУ был создан отдел бронечастей, который в феврале 1918 г. сошел на нет.</w:t>
      </w:r>
    </w:p>
    <w:p w14:paraId="02F759E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РГВА. Ф. 27. Оп. 1. Д. 430. Л. 67,68-69 об., 71 об., 75-75 об. Подлинник (10711,261).</w:t>
      </w:r>
    </w:p>
    <w:p w14:paraId="663FDCF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0D9D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1917 года созданная Генеральным штабом агентурная сеть охватывала всю Западную Европу, Финляндию, Ближний, Средний и Дальний Восток, давала ценные сведения и обещала в будущем дать богатый материал&gt; (7559).</w:t>
      </w:r>
    </w:p>
    <w:p w14:paraId="147300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D6BA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началось формирование антибольшевистских формирований в Сибири. Их основу составили подпольные военные организации, которые возникли в Иркутске, Томске, и др. Городах (4084).</w:t>
      </w:r>
    </w:p>
    <w:p w14:paraId="3ACA66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D3D6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Период гражданской войны с конца 1917 по середину 1918 вошел в историю как период "эшелонной войны". Войска в эшелонах и по железным дорогам весь маневр. Поэтому бронепоезда. Потом пошла полевая тактика (359,45).</w:t>
      </w:r>
    </w:p>
    <w:p w14:paraId="36CEFF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2189A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г. Тухачевский по</w:t>
      </w:r>
      <w:r w:rsidRPr="002F2FDF">
        <w:rPr>
          <w:rFonts w:ascii="Times New Roman" w:hAnsi="Times New Roman" w:cs="Times New Roman"/>
          <w:color w:val="000000" w:themeColor="text1"/>
          <w:kern w:val="2"/>
          <w:sz w:val="16"/>
          <w:szCs w:val="16"/>
        </w:rPr>
        <w:softHyphen/>
        <w:t>является в Петрограде (10675).</w:t>
      </w:r>
    </w:p>
    <w:p w14:paraId="27AB47C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EE65C7" w14:textId="77777777" w:rsidR="00097678" w:rsidRPr="002F2FDF" w:rsidRDefault="0009767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Только к концу 1917 г. немцы сформировали еще три бронеавтомобильных пулеметных взвода и сосредоточили их на Востоке. Но даже и в этом случае их основной функцией оставалось патрулирование и боевое охранение. К середине 1918 г. у них было всего лишь одиннадцать таких взводов, укомплектованных большей частью трофейными броневиками. Некоторые их них ограниченно применялись на территории России, где и понесли свои первые потери в боях с Красной армией. Два бронеавтомобиля «Эрхардт» (один модели М1915, другой модели М1917, оба из 1-го отделения) оказались захваченными в 1918 г. в боях на фронтовом отрезке Харьков—Ростов. Это были единственные потери германских броне-автомобильных частей за весь период Первой мировой войны (12256).</w:t>
      </w:r>
    </w:p>
    <w:p w14:paraId="04C36920" w14:textId="77777777" w:rsidR="00097678" w:rsidRPr="002F2FDF" w:rsidRDefault="00097678" w:rsidP="0083075A">
      <w:pPr>
        <w:spacing w:after="0" w:line="240" w:lineRule="auto"/>
        <w:jc w:val="both"/>
        <w:rPr>
          <w:rFonts w:ascii="Times New Roman" w:hAnsi="Times New Roman" w:cs="Times New Roman"/>
          <w:color w:val="000000" w:themeColor="text1"/>
          <w:kern w:val="2"/>
          <w:sz w:val="16"/>
          <w:szCs w:val="16"/>
        </w:rPr>
      </w:pPr>
    </w:p>
    <w:p w14:paraId="57A49E6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 начале 1918 годов надводные корабли и транспортные суда Черноморского флота занимались труд</w:t>
      </w:r>
      <w:r w:rsidRPr="002F2FDF">
        <w:rPr>
          <w:rFonts w:ascii="Times New Roman" w:hAnsi="Times New Roman" w:cs="Times New Roman"/>
          <w:color w:val="000000" w:themeColor="text1"/>
          <w:kern w:val="2"/>
          <w:sz w:val="16"/>
          <w:szCs w:val="16"/>
        </w:rPr>
        <w:softHyphen/>
        <w:t>ной работой по эвакуации из Трапезунда в русские порты боль</w:t>
      </w:r>
      <w:r w:rsidRPr="002F2FDF">
        <w:rPr>
          <w:rFonts w:ascii="Times New Roman" w:hAnsi="Times New Roman" w:cs="Times New Roman"/>
          <w:color w:val="000000" w:themeColor="text1"/>
          <w:kern w:val="2"/>
          <w:sz w:val="16"/>
          <w:szCs w:val="16"/>
        </w:rPr>
        <w:softHyphen/>
        <w:t>шого количества войсковых частей с вооружением и имуще</w:t>
      </w:r>
      <w:r w:rsidRPr="002F2FDF">
        <w:rPr>
          <w:rFonts w:ascii="Times New Roman" w:hAnsi="Times New Roman" w:cs="Times New Roman"/>
          <w:color w:val="000000" w:themeColor="text1"/>
          <w:kern w:val="2"/>
          <w:sz w:val="16"/>
          <w:szCs w:val="16"/>
        </w:rPr>
        <w:softHyphen/>
        <w:t>ством бывшего Кавказского фронта. В связи с демобилизацией моряков старших возрастов и отправкой флотских отрядов на подавление контрреволюционных выступлений, устаревшие военные корабли, береговые и авиационные части были пере</w:t>
      </w:r>
      <w:r w:rsidRPr="002F2FDF">
        <w:rPr>
          <w:rFonts w:ascii="Times New Roman" w:hAnsi="Times New Roman" w:cs="Times New Roman"/>
          <w:color w:val="000000" w:themeColor="text1"/>
          <w:kern w:val="2"/>
          <w:sz w:val="16"/>
          <w:szCs w:val="16"/>
        </w:rPr>
        <w:softHyphen/>
        <w:t>ведены в резерв. Значительное сокращение их личного соста</w:t>
      </w:r>
      <w:r w:rsidRPr="002F2FDF">
        <w:rPr>
          <w:rFonts w:ascii="Times New Roman" w:hAnsi="Times New Roman" w:cs="Times New Roman"/>
          <w:color w:val="000000" w:themeColor="text1"/>
          <w:kern w:val="2"/>
          <w:sz w:val="16"/>
          <w:szCs w:val="16"/>
        </w:rPr>
        <w:softHyphen/>
        <w:t>ва дозволило укомплектовать остальные. Из-за предательства народных интересов ярыми национа</w:t>
      </w:r>
      <w:r w:rsidRPr="002F2FDF">
        <w:rPr>
          <w:rFonts w:ascii="Times New Roman" w:hAnsi="Times New Roman" w:cs="Times New Roman"/>
          <w:color w:val="000000" w:themeColor="text1"/>
          <w:kern w:val="2"/>
          <w:sz w:val="16"/>
          <w:szCs w:val="16"/>
        </w:rPr>
        <w:softHyphen/>
        <w:t>листами - многими членами созданной в Киеве буржуазной Центральной Рады, заявившей о выходе недавно провозгла</w:t>
      </w:r>
      <w:r w:rsidRPr="002F2FDF">
        <w:rPr>
          <w:rFonts w:ascii="Times New Roman" w:hAnsi="Times New Roman" w:cs="Times New Roman"/>
          <w:color w:val="000000" w:themeColor="text1"/>
          <w:kern w:val="2"/>
          <w:sz w:val="16"/>
          <w:szCs w:val="16"/>
        </w:rPr>
        <w:softHyphen/>
        <w:t>шенной Украинской республики из состава РСФСР и для это</w:t>
      </w:r>
      <w:r w:rsidRPr="002F2FDF">
        <w:rPr>
          <w:rFonts w:ascii="Times New Roman" w:hAnsi="Times New Roman" w:cs="Times New Roman"/>
          <w:color w:val="000000" w:themeColor="text1"/>
          <w:kern w:val="2"/>
          <w:sz w:val="16"/>
          <w:szCs w:val="16"/>
        </w:rPr>
        <w:softHyphen/>
        <w:t>го вступившей в сговор с кайзеровской Германией, произошли непредсказуемые исторические события. Еще до начала вес</w:t>
      </w:r>
      <w:r w:rsidRPr="002F2FDF">
        <w:rPr>
          <w:rFonts w:ascii="Times New Roman" w:hAnsi="Times New Roman" w:cs="Times New Roman"/>
          <w:color w:val="000000" w:themeColor="text1"/>
          <w:kern w:val="2"/>
          <w:sz w:val="16"/>
          <w:szCs w:val="16"/>
        </w:rPr>
        <w:softHyphen/>
        <w:t>ны 300-тысячная группировка войск германских армий пере</w:t>
      </w:r>
      <w:r w:rsidRPr="002F2FDF">
        <w:rPr>
          <w:rFonts w:ascii="Times New Roman" w:hAnsi="Times New Roman" w:cs="Times New Roman"/>
          <w:color w:val="000000" w:themeColor="text1"/>
          <w:kern w:val="2"/>
          <w:sz w:val="16"/>
          <w:szCs w:val="16"/>
        </w:rPr>
        <w:softHyphen/>
        <w:t>шла границу и быстро оккупировала большую половину Ук</w:t>
      </w:r>
      <w:r w:rsidRPr="002F2FDF">
        <w:rPr>
          <w:rFonts w:ascii="Times New Roman" w:hAnsi="Times New Roman" w:cs="Times New Roman"/>
          <w:color w:val="000000" w:themeColor="text1"/>
          <w:kern w:val="2"/>
          <w:sz w:val="16"/>
          <w:szCs w:val="16"/>
        </w:rPr>
        <w:softHyphen/>
        <w:t>раины. До конца марта немцы заняли Одессу, Николаев, Херсон. 25 апреля они вступили в Симферополь, затем в другие сосед</w:t>
      </w:r>
      <w:r w:rsidRPr="002F2FDF">
        <w:rPr>
          <w:rFonts w:ascii="Times New Roman" w:hAnsi="Times New Roman" w:cs="Times New Roman"/>
          <w:color w:val="000000" w:themeColor="text1"/>
          <w:kern w:val="2"/>
          <w:sz w:val="16"/>
          <w:szCs w:val="16"/>
        </w:rPr>
        <w:softHyphen/>
        <w:t>ние города, а 1 мая вторглись в Севастополь. За сутки до того свою главную базу над огнем германских орудий покинул сводный отряд лучших кораблей Черноморс</w:t>
      </w:r>
      <w:r w:rsidRPr="002F2FDF">
        <w:rPr>
          <w:rFonts w:ascii="Times New Roman" w:hAnsi="Times New Roman" w:cs="Times New Roman"/>
          <w:color w:val="000000" w:themeColor="text1"/>
          <w:kern w:val="2"/>
          <w:sz w:val="16"/>
          <w:szCs w:val="16"/>
        </w:rPr>
        <w:softHyphen/>
        <w:t>кого флота, совершивший переход в слабо оборудованный Но</w:t>
      </w:r>
      <w:r w:rsidRPr="002F2FDF">
        <w:rPr>
          <w:rFonts w:ascii="Times New Roman" w:hAnsi="Times New Roman" w:cs="Times New Roman"/>
          <w:color w:val="000000" w:themeColor="text1"/>
          <w:kern w:val="2"/>
          <w:sz w:val="16"/>
          <w:szCs w:val="16"/>
        </w:rPr>
        <w:softHyphen/>
        <w:t>вороссийский порт. Среди множества оставшихся в Севасто</w:t>
      </w:r>
      <w:r w:rsidRPr="002F2FDF">
        <w:rPr>
          <w:rFonts w:ascii="Times New Roman" w:hAnsi="Times New Roman" w:cs="Times New Roman"/>
          <w:color w:val="000000" w:themeColor="text1"/>
          <w:kern w:val="2"/>
          <w:sz w:val="16"/>
          <w:szCs w:val="16"/>
        </w:rPr>
        <w:softHyphen/>
        <w:t>поле кораблей и судов находились все гидрокрейсеры и авиасуда. Материальная часть большинства прибрежных и корабельных авиационных отрядов была захвачена германс</w:t>
      </w:r>
      <w:r w:rsidRPr="002F2FDF">
        <w:rPr>
          <w:rFonts w:ascii="Times New Roman" w:hAnsi="Times New Roman" w:cs="Times New Roman"/>
          <w:color w:val="000000" w:themeColor="text1"/>
          <w:kern w:val="2"/>
          <w:sz w:val="16"/>
          <w:szCs w:val="16"/>
        </w:rPr>
        <w:softHyphen/>
        <w:t>кими оккупантами. Созданные там первые в России крупные воздушные стан</w:t>
      </w:r>
      <w:r w:rsidRPr="002F2FDF">
        <w:rPr>
          <w:rFonts w:ascii="Times New Roman" w:hAnsi="Times New Roman" w:cs="Times New Roman"/>
          <w:color w:val="000000" w:themeColor="text1"/>
          <w:kern w:val="2"/>
          <w:sz w:val="16"/>
          <w:szCs w:val="16"/>
        </w:rPr>
        <w:softHyphen/>
        <w:t>ции морской авиации подверглись варварскому разорению и разрушению не только немцами, но и сменившими их англи</w:t>
      </w:r>
      <w:r w:rsidRPr="002F2FDF">
        <w:rPr>
          <w:rFonts w:ascii="Times New Roman" w:hAnsi="Times New Roman" w:cs="Times New Roman"/>
          <w:color w:val="000000" w:themeColor="text1"/>
          <w:kern w:val="2"/>
          <w:sz w:val="16"/>
          <w:szCs w:val="16"/>
        </w:rPr>
        <w:softHyphen/>
        <w:t>чанами и французами. Старейшая станция “Севастополь” находилась на Корабель</w:t>
      </w:r>
      <w:r w:rsidRPr="002F2FDF">
        <w:rPr>
          <w:rFonts w:ascii="Times New Roman" w:hAnsi="Times New Roman" w:cs="Times New Roman"/>
          <w:color w:val="000000" w:themeColor="text1"/>
          <w:kern w:val="2"/>
          <w:sz w:val="16"/>
          <w:szCs w:val="16"/>
        </w:rPr>
        <w:softHyphen/>
        <w:t xml:space="preserve">ной стороне города в Килен-бухте, на ее </w:t>
      </w:r>
      <w:r w:rsidRPr="002F2FDF">
        <w:rPr>
          <w:rFonts w:ascii="Times New Roman" w:hAnsi="Times New Roman" w:cs="Times New Roman"/>
          <w:color w:val="000000" w:themeColor="text1"/>
          <w:kern w:val="2"/>
          <w:sz w:val="16"/>
          <w:szCs w:val="16"/>
        </w:rPr>
        <w:lastRenderedPageBreak/>
        <w:t>восточном береговом склоне с каменными гидроспусками к воде. Она располагала двумя каменными и четырьмя металлическими ангарами, луч</w:t>
      </w:r>
      <w:r w:rsidRPr="002F2FDF">
        <w:rPr>
          <w:rFonts w:ascii="Times New Roman" w:hAnsi="Times New Roman" w:cs="Times New Roman"/>
          <w:color w:val="000000" w:themeColor="text1"/>
          <w:kern w:val="2"/>
          <w:sz w:val="16"/>
          <w:szCs w:val="16"/>
        </w:rPr>
        <w:softHyphen/>
        <w:t>шими мастерскими по ремонту авиатехники и обеспечивала тренировки молодых летчиков. Там же размещалась штаб-квартира Воздушной дивизии Черного моря. Казарменные по</w:t>
      </w:r>
      <w:r w:rsidRPr="002F2FDF">
        <w:rPr>
          <w:rFonts w:ascii="Times New Roman" w:hAnsi="Times New Roman" w:cs="Times New Roman"/>
          <w:color w:val="000000" w:themeColor="text1"/>
          <w:kern w:val="2"/>
          <w:sz w:val="16"/>
          <w:szCs w:val="16"/>
        </w:rPr>
        <w:softHyphen/>
        <w:t>мещения были рассчитаны на проживание 300 человек. Станция “Бухта Нахимова” находилась на Северной сторо</w:t>
      </w:r>
      <w:r w:rsidRPr="002F2FDF">
        <w:rPr>
          <w:rFonts w:ascii="Times New Roman" w:hAnsi="Times New Roman" w:cs="Times New Roman"/>
          <w:color w:val="000000" w:themeColor="text1"/>
          <w:kern w:val="2"/>
          <w:sz w:val="16"/>
          <w:szCs w:val="16"/>
        </w:rPr>
        <w:softHyphen/>
        <w:t>не города между Константиновским и Михайловским равели</w:t>
      </w:r>
      <w:r w:rsidRPr="002F2FDF">
        <w:rPr>
          <w:rFonts w:ascii="Times New Roman" w:hAnsi="Times New Roman" w:cs="Times New Roman"/>
          <w:color w:val="000000" w:themeColor="text1"/>
          <w:kern w:val="2"/>
          <w:sz w:val="16"/>
          <w:szCs w:val="16"/>
        </w:rPr>
        <w:softHyphen/>
        <w:t>нами, на низменном берегу. Она служила местом базирова</w:t>
      </w:r>
      <w:r w:rsidRPr="002F2FDF">
        <w:rPr>
          <w:rFonts w:ascii="Times New Roman" w:hAnsi="Times New Roman" w:cs="Times New Roman"/>
          <w:color w:val="000000" w:themeColor="text1"/>
          <w:kern w:val="2"/>
          <w:sz w:val="16"/>
          <w:szCs w:val="16"/>
        </w:rPr>
        <w:softHyphen/>
        <w:t>ния трех корабельных авиаотрядов во время пребывания в главной базе гидрокрейсеров и авиасудов. Здесь тоже имелись авиамастерские, учебные классы для младших специалистов, военные склады. Жилые помещения обеспечивали размеще</w:t>
      </w:r>
      <w:r w:rsidRPr="002F2FDF">
        <w:rPr>
          <w:rFonts w:ascii="Times New Roman" w:hAnsi="Times New Roman" w:cs="Times New Roman"/>
          <w:color w:val="000000" w:themeColor="text1"/>
          <w:kern w:val="2"/>
          <w:sz w:val="16"/>
          <w:szCs w:val="16"/>
        </w:rPr>
        <w:softHyphen/>
        <w:t>ние 350 человек. Находившаяся в 10 верстах западнее города воздушная стан</w:t>
      </w:r>
      <w:r w:rsidRPr="002F2FDF">
        <w:rPr>
          <w:rFonts w:ascii="Times New Roman" w:hAnsi="Times New Roman" w:cs="Times New Roman"/>
          <w:color w:val="000000" w:themeColor="text1"/>
          <w:kern w:val="2"/>
          <w:sz w:val="16"/>
          <w:szCs w:val="16"/>
        </w:rPr>
        <w:softHyphen/>
        <w:t>ция “Круглая бухта” использовалась для стационарного ба</w:t>
      </w:r>
      <w:r w:rsidRPr="002F2FDF">
        <w:rPr>
          <w:rFonts w:ascii="Times New Roman" w:hAnsi="Times New Roman" w:cs="Times New Roman"/>
          <w:color w:val="000000" w:themeColor="text1"/>
          <w:kern w:val="2"/>
          <w:sz w:val="16"/>
          <w:szCs w:val="16"/>
        </w:rPr>
        <w:softHyphen/>
        <w:t>зирования трех и более прибрежных авиаотрядов. Отсюда во время минувшей войны были осуществлены сотни боевых вылетов для проведения воздушной разведки морских подхо</w:t>
      </w:r>
      <w:r w:rsidRPr="002F2FDF">
        <w:rPr>
          <w:rFonts w:ascii="Times New Roman" w:hAnsi="Times New Roman" w:cs="Times New Roman"/>
          <w:color w:val="000000" w:themeColor="text1"/>
          <w:kern w:val="2"/>
          <w:sz w:val="16"/>
          <w:szCs w:val="16"/>
        </w:rPr>
        <w:softHyphen/>
        <w:t>дов к главной базе, осуществления противолодочной обороны корабельных соединений и отрядов, выполнения других задач. Здесь находились штабы 1-й воздушной бригады и ее дивизио</w:t>
      </w:r>
      <w:r w:rsidRPr="002F2FDF">
        <w:rPr>
          <w:rFonts w:ascii="Times New Roman" w:hAnsi="Times New Roman" w:cs="Times New Roman"/>
          <w:color w:val="000000" w:themeColor="text1"/>
          <w:kern w:val="2"/>
          <w:sz w:val="16"/>
          <w:szCs w:val="16"/>
        </w:rPr>
        <w:softHyphen/>
        <w:t>нов. Жилые помещения были рассчитаны на одновременное пребывание 300 человек (11283).</w:t>
      </w:r>
    </w:p>
    <w:p w14:paraId="615DD4F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BF27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конце 1917 флотилия Северного Ледовитого океана включала линкор «Чесма» (бывший «Полтава»), крейсера «Аскольд» и «Варяг» (последний с двумя миноносцами находился в Ливерпуле на ремонте, где они были незаконно захвачены англичанами), 6 миноносцев, 3 подводные лодки, до 10 тральщиков, минный заградитель «Уссури», 7 ледоколов и более 20 вспомогательных судов. </w:t>
      </w:r>
    </w:p>
    <w:p w14:paraId="2B5EF0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феврале 1918 флотилия перешла на сторону Советской власти. В августе боевое ядро флотилии в Кольском зал. оказалось в руках белогвардейцев и интервентов. Часть судов, находившихся в Архангельске, удалось увести по Северной Двине к Котласу, где из них была сформирована Северо-Двинская военная флотилия, которая оказывала поддержку частям Красной Армии в боях с белогвардейцами. После освобождения Севера 26.5 1920 была расформирована, а ее корабли вошли в состав Морских сил Северного моря (11712).</w:t>
      </w:r>
    </w:p>
    <w:p w14:paraId="7444CDE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9B1C30" w14:textId="77777777" w:rsidR="00097678" w:rsidRPr="002F2FDF" w:rsidRDefault="0009767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г. использование «Орлицы» в качестве плаву</w:t>
      </w:r>
      <w:r w:rsidRPr="002F2FDF">
        <w:rPr>
          <w:rFonts w:ascii="Times New Roman" w:hAnsi="Times New Roman" w:cs="Times New Roman"/>
          <w:color w:val="000000" w:themeColor="text1"/>
          <w:kern w:val="2"/>
          <w:sz w:val="16"/>
          <w:szCs w:val="16"/>
        </w:rPr>
        <w:softHyphen/>
        <w:t>чей авиабазы закончилось. Уже на следующий год судно переименовали в «Совет» и далее ис</w:t>
      </w:r>
      <w:r w:rsidRPr="002F2FDF">
        <w:rPr>
          <w:rFonts w:ascii="Times New Roman" w:hAnsi="Times New Roman" w:cs="Times New Roman"/>
          <w:color w:val="000000" w:themeColor="text1"/>
          <w:kern w:val="2"/>
          <w:sz w:val="16"/>
          <w:szCs w:val="16"/>
        </w:rPr>
        <w:softHyphen/>
        <w:t>пользовали во вспомогательных целях (12301).</w:t>
      </w:r>
    </w:p>
    <w:p w14:paraId="6F952331" w14:textId="77777777" w:rsidR="00097678" w:rsidRPr="002F2FDF" w:rsidRDefault="00097678" w:rsidP="0083075A">
      <w:pPr>
        <w:spacing w:after="0" w:line="240" w:lineRule="auto"/>
        <w:jc w:val="both"/>
        <w:rPr>
          <w:rFonts w:ascii="Times New Roman" w:hAnsi="Times New Roman" w:cs="Times New Roman"/>
          <w:color w:val="000000" w:themeColor="text1"/>
          <w:kern w:val="2"/>
          <w:sz w:val="16"/>
          <w:szCs w:val="16"/>
        </w:rPr>
      </w:pPr>
    </w:p>
    <w:p w14:paraId="47741320" w14:textId="0EA03E2A" w:rsidR="003A5290" w:rsidRPr="002F2FDF" w:rsidRDefault="003A5290"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концу </w:t>
      </w:r>
      <w:bookmarkStart w:id="420" w:name="YANDEX_36"/>
      <w:bookmarkEnd w:id="420"/>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1917</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xml:space="preserve"> года в русской армии было 58 890 отравленных не смертельно и 6268 умерших от </w:t>
      </w:r>
      <w:bookmarkStart w:id="421" w:name="YANDEX_37"/>
      <w:bookmarkEnd w:id="421"/>
      <w:r w:rsidR="00E52569">
        <w:rPr>
          <w:rStyle w:val="highlight"/>
          <w:rFonts w:ascii="Times New Roman" w:hAnsi="Times New Roman" w:cs="Times New Roman"/>
          <w:color w:val="000000" w:themeColor="text1"/>
          <w:kern w:val="2"/>
          <w:sz w:val="16"/>
          <w:szCs w:val="16"/>
        </w:rPr>
        <w:t xml:space="preserve"> </w:t>
      </w:r>
      <w:r w:rsidRPr="002F2FDF">
        <w:rPr>
          <w:rStyle w:val="highlight"/>
          <w:rFonts w:ascii="Times New Roman" w:hAnsi="Times New Roman" w:cs="Times New Roman"/>
          <w:color w:val="000000" w:themeColor="text1"/>
          <w:kern w:val="2"/>
          <w:sz w:val="16"/>
          <w:szCs w:val="16"/>
        </w:rPr>
        <w:t>газов</w:t>
      </w:r>
      <w:r w:rsidR="00E52569">
        <w:rPr>
          <w:rStyle w:val="highlight"/>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Вышедшие по горячим следам в 20-30-е годы XX века исследования на Западе приводили куда большие цифры — свыше 56 тысяч убитыми и около 420 тысяч отравленных (17021).</w:t>
      </w:r>
    </w:p>
    <w:p w14:paraId="4B0E8412" w14:textId="77777777" w:rsidR="003A5290" w:rsidRPr="002F2FDF" w:rsidRDefault="003A5290" w:rsidP="0083075A">
      <w:pPr>
        <w:spacing w:after="0" w:line="240" w:lineRule="auto"/>
        <w:jc w:val="both"/>
        <w:rPr>
          <w:rFonts w:ascii="Times New Roman" w:hAnsi="Times New Roman" w:cs="Times New Roman"/>
          <w:color w:val="000000" w:themeColor="text1"/>
          <w:kern w:val="2"/>
          <w:sz w:val="16"/>
          <w:szCs w:val="16"/>
        </w:rPr>
      </w:pPr>
    </w:p>
    <w:p w14:paraId="06ED9164"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2EF5D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E4DB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на Чрезвычайном и 2 Всероссийском съездах советов эсеры пытались противопоставить большевикам крестьянских депутатов. Но решили единые советы р,с и к депутатов. Так левые эсеры Колегаев, Пршьян и Штейнберг вошли в Совнарком (226,238).</w:t>
      </w:r>
    </w:p>
    <w:p w14:paraId="4DBAA3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201D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1917 г. на большей части Туркестанского генерал-губернаторства была установлена советская власть (3871).</w:t>
      </w:r>
    </w:p>
    <w:p w14:paraId="471E5E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1EC4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г. в Туркестанском генерал-губернаторстве была предпринята попытка установления несоветской республиканской власти. В Коканде (Ферганская долина) представители национальной буржуазии и духовенства в союзе с местными меньшевиками и эсерами объединенными силами белогвардейских отрядов и вооруженных формирований местного басмаческого лидера Иргаша собрали съезд своих представителей и провозгласили Кокандскую автономную республику в составе России, объявив "священную войну" советской власти. Однако эта республика просуществовала недолго (3871).</w:t>
      </w:r>
    </w:p>
    <w:p w14:paraId="7E6FF9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D31D9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4623CB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523B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 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 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7BCC19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FA7B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новые российские власти вошли в контакт со шведами и скоро Швеция стала для Страны Советов окном в Западную Европу. Гражданская война прервала эти отношения, и Швеция официально примкнула к международной блокаде Советской России (7644).</w:t>
      </w:r>
    </w:p>
    <w:p w14:paraId="276EDA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D36EC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44EA1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1B0200" w14:textId="51790E04" w:rsidR="007C4D5D" w:rsidRPr="002F2FDF" w:rsidRDefault="007C4D5D" w:rsidP="0083075A">
      <w:pPr>
        <w:autoSpaceDE w:val="0"/>
        <w:autoSpaceDN w:val="0"/>
        <w:adjustRightInd w:val="0"/>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конце 1917 г. фирме Моран-Сольньер был выдан первый небольшой заказ и уже в январе 1918-го начались поставки Моран AI в эскадрилью N156, которая сдала «Ньюпоры» и получила новый шифр MS в соответствии с эксплуатируемой техникой. В феврале 1918 г. перевооружение начала 161-я, а в марте</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158-я эскадрильи, число принятых самолетов быстро перевалило за полтысячи, но дальше освоение забуксовало.</w:t>
      </w:r>
    </w:p>
    <w:p w14:paraId="7F28800E" w14:textId="3826CBA4" w:rsidR="007C4D5D" w:rsidRPr="002F2FDF" w:rsidRDefault="007C4D5D" w:rsidP="0083075A">
      <w:pPr>
        <w:autoSpaceDE w:val="0"/>
        <w:autoSpaceDN w:val="0"/>
        <w:adjustRightInd w:val="0"/>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Появление двухпулеметной модификации MoS.29C1 не изменило отношение к новому истребителюмоноплану, и уже в мае последнего военного года он был снят с вооружения. Производство продолжалось, но с осени выпускались только учебные MoS.30E1 и MoS.30bis без вооружения и с моторами пониженной мощности. Только немногие из построенных 1</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210 самолетов успели повоевать, авиация США купила 55 тренировочных MoS.30E1, а после войны лишь некоторые экземпляры удалось продать Бельгии, Перу, Швейцарии, Чехословакии, Японии и СССР. И нигде этот истребитель-моноплан не вызвал большого интереса, зато он пользовался искренней любовью скупавших по дешевке разоруженные самолеты авиаторов-спортсменов (22877).</w:t>
      </w:r>
    </w:p>
    <w:p w14:paraId="4FC592EB" w14:textId="77777777" w:rsidR="007C4D5D" w:rsidRPr="002F2FDF" w:rsidRDefault="007C4D5D" w:rsidP="0083075A">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p>
    <w:p w14:paraId="69A228B2" w14:textId="77777777" w:rsidR="007C4D5D" w:rsidRPr="002F2FDF" w:rsidRDefault="007C4D5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lang w:eastAsia="ru-RU" w:bidi="ru-RU"/>
        </w:rPr>
        <w:t>В конце 1917 г. немцы начали искать способ в дальних рейдах защитить свои цеппелины от британских истребителей. Рост несущих возможностей больших дирижаблей позволил рас</w:t>
      </w:r>
      <w:r w:rsidRPr="002F2FDF">
        <w:rPr>
          <w:rFonts w:ascii="Times New Roman" w:hAnsi="Times New Roman" w:cs="Times New Roman"/>
          <w:color w:val="000000" w:themeColor="text1"/>
          <w:sz w:val="16"/>
          <w:szCs w:val="16"/>
          <w:lang w:eastAsia="ru-RU" w:bidi="ru-RU"/>
        </w:rPr>
        <w:softHyphen/>
        <w:t>смотреть идею о том, что они смогут сами нести свое истреби</w:t>
      </w:r>
      <w:r w:rsidRPr="002F2FDF">
        <w:rPr>
          <w:rFonts w:ascii="Times New Roman" w:hAnsi="Times New Roman" w:cs="Times New Roman"/>
          <w:color w:val="000000" w:themeColor="text1"/>
          <w:sz w:val="16"/>
          <w:szCs w:val="16"/>
          <w:lang w:eastAsia="ru-RU" w:bidi="ru-RU"/>
        </w:rPr>
        <w:softHyphen/>
        <w:t xml:space="preserve">тельное прикрытие. Для проведения эксперимента был выбран </w:t>
      </w:r>
      <w:r w:rsidRPr="002F2FDF">
        <w:rPr>
          <w:rFonts w:ascii="Times New Roman" w:hAnsi="Times New Roman" w:cs="Times New Roman"/>
          <w:color w:val="000000" w:themeColor="text1"/>
          <w:sz w:val="16"/>
          <w:szCs w:val="16"/>
          <w:lang w:val="en-US" w:bidi="en-US"/>
        </w:rPr>
        <w:t>Zeppelin</w:t>
      </w:r>
      <w:r w:rsidRPr="002F2FDF">
        <w:rPr>
          <w:rFonts w:ascii="Times New Roman" w:hAnsi="Times New Roman" w:cs="Times New Roman"/>
          <w:color w:val="000000" w:themeColor="text1"/>
          <w:sz w:val="16"/>
          <w:szCs w:val="16"/>
          <w:lang w:bidi="en-US"/>
        </w:rPr>
        <w:t xml:space="preserve"> </w:t>
      </w:r>
      <w:r w:rsidRPr="002F2FDF">
        <w:rPr>
          <w:rFonts w:ascii="Times New Roman" w:hAnsi="Times New Roman" w:cs="Times New Roman"/>
          <w:color w:val="000000" w:themeColor="text1"/>
          <w:sz w:val="16"/>
          <w:szCs w:val="16"/>
          <w:lang w:val="en-US" w:bidi="en-US"/>
        </w:rPr>
        <w:t>L</w:t>
      </w:r>
      <w:r w:rsidRPr="002F2FDF">
        <w:rPr>
          <w:rFonts w:ascii="Times New Roman" w:hAnsi="Times New Roman" w:cs="Times New Roman"/>
          <w:color w:val="000000" w:themeColor="text1"/>
          <w:sz w:val="16"/>
          <w:szCs w:val="16"/>
          <w:lang w:bidi="en-US"/>
        </w:rPr>
        <w:t xml:space="preserve">-35 </w:t>
      </w:r>
      <w:r w:rsidRPr="002F2FDF">
        <w:rPr>
          <w:rFonts w:ascii="Times New Roman" w:hAnsi="Times New Roman" w:cs="Times New Roman"/>
          <w:color w:val="000000" w:themeColor="text1"/>
          <w:sz w:val="16"/>
          <w:szCs w:val="16"/>
          <w:lang w:eastAsia="ru-RU" w:bidi="ru-RU"/>
        </w:rPr>
        <w:t>— дирижабль жесткого типа, объем 55 200 м</w:t>
      </w:r>
      <w:r w:rsidRPr="002F2FDF">
        <w:rPr>
          <w:rFonts w:ascii="Times New Roman" w:hAnsi="Times New Roman" w:cs="Times New Roman"/>
          <w:color w:val="000000" w:themeColor="text1"/>
          <w:sz w:val="16"/>
          <w:szCs w:val="16"/>
          <w:vertAlign w:val="superscript"/>
          <w:lang w:eastAsia="ru-RU" w:bidi="ru-RU"/>
        </w:rPr>
        <w:t>3</w:t>
      </w:r>
      <w:r w:rsidRPr="002F2FDF">
        <w:rPr>
          <w:rFonts w:ascii="Times New Roman" w:hAnsi="Times New Roman" w:cs="Times New Roman"/>
          <w:color w:val="000000" w:themeColor="text1"/>
          <w:sz w:val="16"/>
          <w:szCs w:val="16"/>
          <w:lang w:eastAsia="ru-RU" w:bidi="ru-RU"/>
        </w:rPr>
        <w:t>, гру</w:t>
      </w:r>
      <w:r w:rsidRPr="002F2FDF">
        <w:rPr>
          <w:rFonts w:ascii="Times New Roman" w:hAnsi="Times New Roman" w:cs="Times New Roman"/>
          <w:color w:val="000000" w:themeColor="text1"/>
          <w:sz w:val="16"/>
          <w:szCs w:val="16"/>
          <w:lang w:eastAsia="ru-RU" w:bidi="ru-RU"/>
        </w:rPr>
        <w:softHyphen/>
        <w:t xml:space="preserve">зоподъемность 32,5 т, длина 196 м, шесть двигателей </w:t>
      </w:r>
      <w:r w:rsidRPr="002F2FDF">
        <w:rPr>
          <w:rFonts w:ascii="Times New Roman" w:hAnsi="Times New Roman" w:cs="Times New Roman"/>
          <w:color w:val="000000" w:themeColor="text1"/>
          <w:sz w:val="16"/>
          <w:szCs w:val="16"/>
          <w:lang w:val="en-US" w:bidi="en-US"/>
        </w:rPr>
        <w:t>Maybach</w:t>
      </w:r>
      <w:r w:rsidRPr="002F2FDF">
        <w:rPr>
          <w:rFonts w:ascii="Times New Roman" w:hAnsi="Times New Roman" w:cs="Times New Roman"/>
          <w:color w:val="000000" w:themeColor="text1"/>
          <w:sz w:val="16"/>
          <w:szCs w:val="16"/>
          <w:lang w:bidi="en-US"/>
        </w:rPr>
        <w:t xml:space="preserve"> </w:t>
      </w:r>
      <w:r w:rsidRPr="002F2FDF">
        <w:rPr>
          <w:rFonts w:ascii="Times New Roman" w:hAnsi="Times New Roman" w:cs="Times New Roman"/>
          <w:color w:val="000000" w:themeColor="text1"/>
          <w:sz w:val="16"/>
          <w:szCs w:val="16"/>
          <w:lang w:eastAsia="ru-RU" w:bidi="ru-RU"/>
        </w:rPr>
        <w:t>мощно</w:t>
      </w:r>
      <w:r w:rsidRPr="002F2FDF">
        <w:rPr>
          <w:rFonts w:ascii="Times New Roman" w:hAnsi="Times New Roman" w:cs="Times New Roman"/>
          <w:color w:val="000000" w:themeColor="text1"/>
          <w:sz w:val="16"/>
          <w:szCs w:val="16"/>
          <w:lang w:eastAsia="ru-RU" w:bidi="ru-RU"/>
        </w:rPr>
        <w:softHyphen/>
        <w:t xml:space="preserve">стью по 177 кВт, максимальная скорость 103 км/ч. На авиабазе в Ютеборге на нижней поверхности </w:t>
      </w:r>
      <w:r w:rsidRPr="002F2FDF">
        <w:rPr>
          <w:rFonts w:ascii="Times New Roman" w:hAnsi="Times New Roman" w:cs="Times New Roman"/>
          <w:color w:val="000000" w:themeColor="text1"/>
          <w:sz w:val="16"/>
          <w:szCs w:val="16"/>
          <w:lang w:val="en-US" w:bidi="en-US"/>
        </w:rPr>
        <w:t>L</w:t>
      </w:r>
      <w:r w:rsidRPr="002F2FDF">
        <w:rPr>
          <w:rFonts w:ascii="Times New Roman" w:hAnsi="Times New Roman" w:cs="Times New Roman"/>
          <w:color w:val="000000" w:themeColor="text1"/>
          <w:sz w:val="16"/>
          <w:szCs w:val="16"/>
          <w:lang w:bidi="en-US"/>
        </w:rPr>
        <w:t xml:space="preserve">-35 </w:t>
      </w:r>
      <w:r w:rsidRPr="002F2FDF">
        <w:rPr>
          <w:rFonts w:ascii="Times New Roman" w:hAnsi="Times New Roman" w:cs="Times New Roman"/>
          <w:color w:val="000000" w:themeColor="text1"/>
          <w:sz w:val="16"/>
          <w:szCs w:val="16"/>
          <w:lang w:eastAsia="ru-RU" w:bidi="ru-RU"/>
        </w:rPr>
        <w:t>были установлены специальные крю</w:t>
      </w:r>
      <w:r w:rsidRPr="002F2FDF">
        <w:rPr>
          <w:rFonts w:ascii="Times New Roman" w:hAnsi="Times New Roman" w:cs="Times New Roman"/>
          <w:color w:val="000000" w:themeColor="text1"/>
          <w:sz w:val="16"/>
          <w:szCs w:val="16"/>
          <w:lang w:eastAsia="ru-RU" w:bidi="ru-RU"/>
        </w:rPr>
        <w:softHyphen/>
        <w:t xml:space="preserve">чья, за которые цеплялся истребитель «Альбатрос» </w:t>
      </w:r>
      <w:r w:rsidRPr="002F2FDF">
        <w:rPr>
          <w:rFonts w:ascii="Times New Roman" w:hAnsi="Times New Roman" w:cs="Times New Roman"/>
          <w:color w:val="000000" w:themeColor="text1"/>
          <w:sz w:val="16"/>
          <w:szCs w:val="16"/>
          <w:lang w:val="en-US" w:bidi="en-US"/>
        </w:rPr>
        <w:t>D</w:t>
      </w:r>
      <w:r w:rsidRPr="002F2FDF">
        <w:rPr>
          <w:rFonts w:ascii="Times New Roman" w:hAnsi="Times New Roman" w:cs="Times New Roman"/>
          <w:color w:val="000000" w:themeColor="text1"/>
          <w:sz w:val="16"/>
          <w:szCs w:val="16"/>
          <w:lang w:bidi="en-US"/>
        </w:rPr>
        <w:t>.</w:t>
      </w:r>
      <w:r w:rsidRPr="002F2FDF">
        <w:rPr>
          <w:rFonts w:ascii="Times New Roman" w:hAnsi="Times New Roman" w:cs="Times New Roman"/>
          <w:color w:val="000000" w:themeColor="text1"/>
          <w:sz w:val="16"/>
          <w:szCs w:val="16"/>
          <w:lang w:val="en-US" w:bidi="en-US"/>
        </w:rPr>
        <w:t>III</w:t>
      </w:r>
      <w:r w:rsidRPr="002F2FDF">
        <w:rPr>
          <w:rFonts w:ascii="Times New Roman" w:hAnsi="Times New Roman" w:cs="Times New Roman"/>
          <w:color w:val="000000" w:themeColor="text1"/>
          <w:sz w:val="16"/>
          <w:szCs w:val="16"/>
          <w:lang w:bidi="en-US"/>
        </w:rPr>
        <w:t xml:space="preserve"> </w:t>
      </w:r>
      <w:r w:rsidRPr="002F2FDF">
        <w:rPr>
          <w:rFonts w:ascii="Times New Roman" w:hAnsi="Times New Roman" w:cs="Times New Roman"/>
          <w:color w:val="000000" w:themeColor="text1"/>
          <w:sz w:val="16"/>
          <w:szCs w:val="16"/>
          <w:lang w:eastAsia="ru-RU" w:bidi="ru-RU"/>
        </w:rPr>
        <w:t>(вес 661 кг, длина 7,33 м, размах крыльев 9,4 м, скорость 175 км/ч). «Тендем» поднялся в воздух 26 января 1918 г. На высоте 1380 м самолет отцепился, со сни</w:t>
      </w:r>
      <w:r w:rsidRPr="002F2FDF">
        <w:rPr>
          <w:rFonts w:ascii="Times New Roman" w:hAnsi="Times New Roman" w:cs="Times New Roman"/>
          <w:color w:val="000000" w:themeColor="text1"/>
          <w:sz w:val="16"/>
          <w:szCs w:val="16"/>
          <w:lang w:eastAsia="ru-RU" w:bidi="ru-RU"/>
        </w:rPr>
        <w:softHyphen/>
        <w:t xml:space="preserve">жением отлетел от дирижабля и благополучно приземлился. В феврале рассматривался вопрос о практическом использовании этого способа, но его отвергли, ибо командир Дивизиона воздушных кораблей </w:t>
      </w:r>
      <w:r w:rsidRPr="002F2FDF">
        <w:rPr>
          <w:rFonts w:ascii="Times New Roman" w:hAnsi="Times New Roman" w:cs="Times New Roman"/>
          <w:color w:val="000000" w:themeColor="text1"/>
          <w:sz w:val="16"/>
          <w:szCs w:val="16"/>
          <w:lang w:val="en-US" w:bidi="en-US"/>
        </w:rPr>
        <w:t>Kapitan</w:t>
      </w:r>
      <w:r w:rsidRPr="002F2FDF">
        <w:rPr>
          <w:rFonts w:ascii="Times New Roman" w:hAnsi="Times New Roman" w:cs="Times New Roman"/>
          <w:color w:val="000000" w:themeColor="text1"/>
          <w:sz w:val="16"/>
          <w:szCs w:val="16"/>
          <w:lang w:bidi="en-US"/>
        </w:rPr>
        <w:t xml:space="preserve"> </w:t>
      </w:r>
      <w:r w:rsidRPr="002F2FDF">
        <w:rPr>
          <w:rFonts w:ascii="Times New Roman" w:hAnsi="Times New Roman" w:cs="Times New Roman"/>
          <w:color w:val="000000" w:themeColor="text1"/>
          <w:sz w:val="16"/>
          <w:szCs w:val="16"/>
          <w:lang w:val="en-US" w:bidi="en-US"/>
        </w:rPr>
        <w:t>zur</w:t>
      </w:r>
      <w:r w:rsidRPr="002F2FDF">
        <w:rPr>
          <w:rFonts w:ascii="Times New Roman" w:hAnsi="Times New Roman" w:cs="Times New Roman"/>
          <w:color w:val="000000" w:themeColor="text1"/>
          <w:sz w:val="16"/>
          <w:szCs w:val="16"/>
          <w:lang w:bidi="en-US"/>
        </w:rPr>
        <w:t xml:space="preserve"> </w:t>
      </w:r>
      <w:r w:rsidRPr="002F2FDF">
        <w:rPr>
          <w:rFonts w:ascii="Times New Roman" w:hAnsi="Times New Roman" w:cs="Times New Roman"/>
          <w:color w:val="000000" w:themeColor="text1"/>
          <w:sz w:val="16"/>
          <w:szCs w:val="16"/>
          <w:lang w:val="en-US" w:bidi="en-US"/>
        </w:rPr>
        <w:t>See</w:t>
      </w:r>
      <w:r w:rsidRPr="002F2FDF">
        <w:rPr>
          <w:rFonts w:ascii="Times New Roman" w:hAnsi="Times New Roman" w:cs="Times New Roman"/>
          <w:color w:val="000000" w:themeColor="text1"/>
          <w:sz w:val="16"/>
          <w:szCs w:val="16"/>
          <w:lang w:bidi="en-US"/>
        </w:rPr>
        <w:t xml:space="preserve"> </w:t>
      </w:r>
      <w:r w:rsidRPr="002F2FDF">
        <w:rPr>
          <w:rFonts w:ascii="Times New Roman" w:hAnsi="Times New Roman" w:cs="Times New Roman"/>
          <w:color w:val="000000" w:themeColor="text1"/>
          <w:sz w:val="16"/>
          <w:szCs w:val="16"/>
          <w:lang w:eastAsia="ru-RU" w:bidi="ru-RU"/>
        </w:rPr>
        <w:t xml:space="preserve">(капитан 1-го ранга) Петер Штрассер </w:t>
      </w:r>
      <w:r w:rsidRPr="002F2FDF">
        <w:rPr>
          <w:rFonts w:ascii="Times New Roman" w:hAnsi="Times New Roman" w:cs="Times New Roman"/>
          <w:color w:val="000000" w:themeColor="text1"/>
          <w:sz w:val="16"/>
          <w:szCs w:val="16"/>
          <w:lang w:bidi="en-US"/>
        </w:rPr>
        <w:t>(</w:t>
      </w:r>
      <w:r w:rsidRPr="002F2FDF">
        <w:rPr>
          <w:rFonts w:ascii="Times New Roman" w:hAnsi="Times New Roman" w:cs="Times New Roman"/>
          <w:color w:val="000000" w:themeColor="text1"/>
          <w:sz w:val="16"/>
          <w:szCs w:val="16"/>
          <w:lang w:val="en-US" w:bidi="en-US"/>
        </w:rPr>
        <w:t>Peter</w:t>
      </w:r>
      <w:r w:rsidRPr="002F2FDF">
        <w:rPr>
          <w:rFonts w:ascii="Times New Roman" w:hAnsi="Times New Roman" w:cs="Times New Roman"/>
          <w:color w:val="000000" w:themeColor="text1"/>
          <w:sz w:val="16"/>
          <w:szCs w:val="16"/>
          <w:lang w:bidi="en-US"/>
        </w:rPr>
        <w:t xml:space="preserve"> </w:t>
      </w:r>
      <w:r w:rsidRPr="002F2FDF">
        <w:rPr>
          <w:rFonts w:ascii="Times New Roman" w:hAnsi="Times New Roman" w:cs="Times New Roman"/>
          <w:color w:val="000000" w:themeColor="text1"/>
          <w:sz w:val="16"/>
          <w:szCs w:val="16"/>
          <w:lang w:val="en-US" w:bidi="en-US"/>
        </w:rPr>
        <w:t>Strasser</w:t>
      </w:r>
      <w:r w:rsidRPr="002F2FDF">
        <w:rPr>
          <w:rFonts w:ascii="Times New Roman" w:hAnsi="Times New Roman" w:cs="Times New Roman"/>
          <w:color w:val="000000" w:themeColor="text1"/>
          <w:sz w:val="16"/>
          <w:szCs w:val="16"/>
          <w:lang w:bidi="en-US"/>
        </w:rPr>
        <w:t xml:space="preserve">; </w:t>
      </w:r>
      <w:r w:rsidRPr="002F2FDF">
        <w:rPr>
          <w:rFonts w:ascii="Times New Roman" w:hAnsi="Times New Roman" w:cs="Times New Roman"/>
          <w:color w:val="000000" w:themeColor="text1"/>
          <w:sz w:val="16"/>
          <w:szCs w:val="16"/>
          <w:lang w:eastAsia="ru-RU" w:bidi="ru-RU"/>
        </w:rPr>
        <w:t>1876-1918) довольно скептически отнесся к этой идее. Гораздо больше он верил в высотные возможности новых цеппелинов (22730).</w:t>
      </w:r>
    </w:p>
    <w:p w14:paraId="0D002104" w14:textId="77777777" w:rsidR="007C4D5D" w:rsidRPr="002F2FDF" w:rsidRDefault="007C4D5D" w:rsidP="0083075A">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p>
    <w:p w14:paraId="58FF3C97" w14:textId="77777777" w:rsidR="007C4D5D" w:rsidRPr="002F2FDF" w:rsidRDefault="007C4D5D"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Когда в конце 1917 г. выпуск моторов Мерседес D IVa, надежность которых так и не стала достаточной, а цена была высока, был сокращен. Теперь его давали только на сухопутные разведчики и бомбардировщики, и в серию морской истребитель Румплер 6В2 пошел со старым мотором Мерседес D III и «коротким» мотоотсеком, остальные увеличенные размеры остались, вызвав закономерное падение летных данных (22841). </w:t>
      </w:r>
    </w:p>
    <w:p w14:paraId="52C45827" w14:textId="77777777" w:rsidR="007C4D5D" w:rsidRPr="002F2FDF" w:rsidRDefault="007C4D5D" w:rsidP="0083075A">
      <w:pPr>
        <w:shd w:val="clear" w:color="auto" w:fill="FFFFFF"/>
        <w:spacing w:after="0" w:line="240" w:lineRule="auto"/>
        <w:jc w:val="both"/>
        <w:rPr>
          <w:rFonts w:ascii="Times New Roman" w:hAnsi="Times New Roman" w:cs="Times New Roman"/>
          <w:color w:val="000000" w:themeColor="text1"/>
          <w:sz w:val="16"/>
          <w:szCs w:val="16"/>
        </w:rPr>
      </w:pPr>
    </w:p>
    <w:p w14:paraId="5176AE34" w14:textId="77777777" w:rsidR="007C4D5D" w:rsidRPr="002F2FDF" w:rsidRDefault="007C4D5D" w:rsidP="0083075A">
      <w:pPr>
        <w:shd w:val="clear" w:color="auto" w:fill="FFFFFF"/>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К концу 1917 г. в Германии ясно обозначился дефицит металла. Заказы для морской авиации шли через Инспекцию ВВС, и та в распределении скудеющих лимитов стала выделять морякам все меньше и меньше труб и проката. Ломая голову над тем, как сделать новый гидроплан лучше и дешевле, Эрнст Хейнкель получил дельный совет командира авиастанции морской авиации Зебрюгге Фридриха Христиансена. Он считал, что моноплан выиграет в скорости при меньшей материалоемкости, Хейнкель с ним согласился и пригласил надзирать за строительством нового самолета Ганза-Бранденбург W29 и провести его испытания (22843).</w:t>
      </w:r>
    </w:p>
    <w:p w14:paraId="5105D928" w14:textId="77777777" w:rsidR="007C4D5D" w:rsidRPr="002F2FDF" w:rsidRDefault="007C4D5D" w:rsidP="0083075A">
      <w:pPr>
        <w:shd w:val="clear" w:color="auto" w:fill="FFFFFF"/>
        <w:spacing w:after="0" w:line="240" w:lineRule="auto"/>
        <w:jc w:val="both"/>
        <w:rPr>
          <w:rFonts w:ascii="Times New Roman" w:hAnsi="Times New Roman" w:cs="Times New Roman"/>
          <w:color w:val="000000" w:themeColor="text1"/>
          <w:sz w:val="16"/>
          <w:szCs w:val="16"/>
        </w:rPr>
      </w:pPr>
    </w:p>
    <w:p w14:paraId="6868AC52" w14:textId="77777777" w:rsidR="007C4D5D" w:rsidRPr="002F2FDF" w:rsidRDefault="007C4D5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конце 1917 г., когда под впечатлением успеха английского самолета Sopwith Triplane Антон Фоккер спроектировал и запустил в серийное производство истребитель-триплан Fokker Dr I, а за ним создание таких самолетов начали и многие другие конструкторы в Германии, а затем и в Австро-Венгрии, автро-венгерская фирма «Остерейхиш Флюгцойгфабрик» (Österreichische Flugzeugfabrik – Oeffag) начала проектирование Oeffag CF (23138).</w:t>
      </w:r>
    </w:p>
    <w:p w14:paraId="12A7A8FF" w14:textId="77777777" w:rsidR="007C4D5D" w:rsidRPr="002F2FDF" w:rsidRDefault="007C4D5D" w:rsidP="0083075A">
      <w:pPr>
        <w:spacing w:after="0" w:line="240" w:lineRule="auto"/>
        <w:jc w:val="both"/>
        <w:rPr>
          <w:rFonts w:ascii="Times New Roman" w:hAnsi="Times New Roman" w:cs="Times New Roman"/>
          <w:color w:val="000000" w:themeColor="text1"/>
          <w:sz w:val="16"/>
          <w:szCs w:val="16"/>
        </w:rPr>
      </w:pPr>
    </w:p>
    <w:p w14:paraId="450B04FF" w14:textId="77777777" w:rsidR="007C4D5D" w:rsidRPr="002F2FDF" w:rsidRDefault="007C4D5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конце 1917 г. заводом фирмы Фоккер в Герризе был построен Фоккер V.13/I, 1-й опытный с мотором Le Rhone 9J шведского производства (110 л.с.) без вооружения. Он совершил первый полет до конца 1917 г.</w:t>
      </w:r>
    </w:p>
    <w:p w14:paraId="52CB739E" w14:textId="35DE8F0B" w:rsidR="007C4D5D" w:rsidRPr="002F2FDF" w:rsidRDefault="007C4D5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lastRenderedPageBreak/>
        <w:t xml:space="preserve">В ходе испытаний на самолет установили предусмотренный проектом двигатель Oberursel Ur II (110 л.с.) немецкого производства, а затем Oberursel Ur III (145 л.с.).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Самолет был представлен вместе с другими машинами фирмы в т.ч. V.13/II на 1-м конкурсе истребителей, проводившимся IdFlieg на базе в Адлерсхофе в январе-феврале 1918 г.</w:t>
      </w:r>
    </w:p>
    <w:p w14:paraId="621F4B17" w14:textId="2F330A51" w:rsidR="007C4D5D" w:rsidRPr="002F2FDF" w:rsidRDefault="007C4D5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Летные испытания самолета в ходе конкурса (но вне его программы) проводил М. фон Рихтгофен. Его выводы: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конструкция самолета</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и мотора традиционная для этой фирмы, ее ремонт и эксплуатация хорошо освоены в войсках;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самолет прост в управлении, имеет нормальную устойчивость и управляемость;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маневренность очень хорошая;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скорость и скороподъемность недостаточны. Также было отмечено, что конструкция унифицирована с другими самолетами фирмы, что упрощает эксплуатацию и ремонт самолета.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Самолет был допущен к официальным конкурсным испытаниям, которые также провел М. фон Рихтгофен.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Один из опытных образцов самолета (не ясно, какой, но вероятно V.13/I) в ходе выполнения конкурсной программы потерпел аварию, столкнувшись с др. самолетом фирмы – Fokker V.18 (23159).</w:t>
      </w:r>
    </w:p>
    <w:p w14:paraId="65909143" w14:textId="77777777" w:rsidR="007C4D5D" w:rsidRPr="002F2FDF" w:rsidRDefault="007C4D5D" w:rsidP="0083075A">
      <w:pPr>
        <w:spacing w:after="0" w:line="240" w:lineRule="auto"/>
        <w:jc w:val="both"/>
        <w:rPr>
          <w:rFonts w:ascii="Times New Roman" w:hAnsi="Times New Roman" w:cs="Times New Roman"/>
          <w:color w:val="000000" w:themeColor="text1"/>
          <w:sz w:val="16"/>
          <w:szCs w:val="16"/>
        </w:rPr>
      </w:pPr>
    </w:p>
    <w:p w14:paraId="7621A45C" w14:textId="5A229CE9" w:rsidR="007C4D5D" w:rsidRPr="002F2FDF" w:rsidRDefault="007C4D5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конце 1917 г. на базе самолета Pfalz Dr I</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с целью устранения его недостатков по силовой установке, выявленных на конкурсе истребителей в октябре 1917 г. было начато проектирование Pfalz Dr II.</w:t>
      </w:r>
    </w:p>
    <w:p w14:paraId="03AB4248" w14:textId="4C037306" w:rsidR="007C4D5D" w:rsidRPr="002F2FDF" w:rsidRDefault="007C4D5D"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 xml:space="preserve">Самолет был построен заводом фирмы в г. Шпайер-ам-Рейн без вооружения. По данным историка У. Ламбертона фактически был установлен мотор Oberursel U I (100 л.с.), а в немецких источниках приводится мотор Oberursel Ur I (110 л.с.). </w:t>
      </w:r>
      <w:r w:rsidR="00E52569">
        <w:rPr>
          <w:rFonts w:ascii="Times New Roman" w:hAnsi="Times New Roman" w:cs="Times New Roman"/>
          <w:color w:val="000000" w:themeColor="text1"/>
          <w:sz w:val="16"/>
          <w:szCs w:val="16"/>
        </w:rPr>
        <w:t xml:space="preserve"> </w:t>
      </w:r>
      <w:r w:rsidRPr="002F2FDF">
        <w:rPr>
          <w:rFonts w:ascii="Times New Roman" w:hAnsi="Times New Roman" w:cs="Times New Roman"/>
          <w:color w:val="000000" w:themeColor="text1"/>
          <w:sz w:val="16"/>
          <w:szCs w:val="16"/>
        </w:rPr>
        <w:t xml:space="preserve"> Совершил первый полет в 1918 г. Летные характеристики самолета оказались заметно ниже расчетных и было принято решение вернуться к применению биротоативных моторов на 2-м опытном образце самолета (23165).</w:t>
      </w:r>
    </w:p>
    <w:p w14:paraId="5C1A6426" w14:textId="77777777" w:rsidR="007C4D5D" w:rsidRPr="002F2FDF" w:rsidRDefault="007C4D5D" w:rsidP="0083075A">
      <w:pPr>
        <w:spacing w:after="0" w:line="240" w:lineRule="auto"/>
        <w:jc w:val="both"/>
        <w:rPr>
          <w:rFonts w:ascii="Times New Roman" w:hAnsi="Times New Roman" w:cs="Times New Roman"/>
          <w:color w:val="000000" w:themeColor="text1"/>
          <w:sz w:val="16"/>
          <w:szCs w:val="16"/>
        </w:rPr>
      </w:pPr>
    </w:p>
    <w:p w14:paraId="7B80F525" w14:textId="77777777" w:rsidR="007C4D5D" w:rsidRPr="002F2FDF" w:rsidRDefault="007C4D5D" w:rsidP="0083075A">
      <w:pPr>
        <w:pStyle w:val="191"/>
        <w:shd w:val="clear" w:color="auto" w:fill="auto"/>
        <w:spacing w:before="0" w:after="0" w:line="240" w:lineRule="auto"/>
        <w:jc w:val="both"/>
        <w:rPr>
          <w:rFonts w:ascii="Times New Roman" w:hAnsi="Times New Roman" w:cs="Times New Roman"/>
          <w:color w:val="000000" w:themeColor="text1"/>
          <w:sz w:val="16"/>
          <w:szCs w:val="16"/>
          <w:lang w:val="ru-RU"/>
        </w:rPr>
      </w:pPr>
      <w:r w:rsidRPr="002F2FDF">
        <w:rPr>
          <w:rFonts w:ascii="Times New Roman" w:hAnsi="Times New Roman" w:cs="Times New Roman"/>
          <w:color w:val="000000" w:themeColor="text1"/>
          <w:sz w:val="16"/>
          <w:szCs w:val="16"/>
          <w:lang w:val="ru-RU"/>
        </w:rPr>
        <w:t>С</w:t>
      </w:r>
      <w:r w:rsidRPr="002F2FDF">
        <w:rPr>
          <w:rFonts w:ascii="Times New Roman" w:hAnsi="Times New Roman" w:cs="Times New Roman"/>
          <w:color w:val="000000" w:themeColor="text1"/>
          <w:sz w:val="16"/>
          <w:szCs w:val="16"/>
        </w:rPr>
        <w:t xml:space="preserve"> конца 1917 г. под руководством главного конструктора фирмы WKF (Wiener Karosserie Flugzeugfabrik) Альфреда Гасснера при участии проф. Альфреда фон Мизеса (в частности, он обеспечил продувки в АДТ моделей крыльев для разработки их аэродинамического профиля) конструкторским отделом завода WKF велось </w:t>
      </w:r>
      <w:r w:rsidRPr="002F2FDF">
        <w:rPr>
          <w:rFonts w:ascii="Times New Roman" w:hAnsi="Times New Roman" w:cs="Times New Roman"/>
          <w:color w:val="000000" w:themeColor="text1"/>
          <w:sz w:val="16"/>
          <w:szCs w:val="16"/>
          <w:lang w:val="ru-RU"/>
        </w:rPr>
        <w:t>п</w:t>
      </w:r>
      <w:r w:rsidRPr="002F2FDF">
        <w:rPr>
          <w:rFonts w:ascii="Times New Roman" w:hAnsi="Times New Roman" w:cs="Times New Roman"/>
          <w:color w:val="000000" w:themeColor="text1"/>
          <w:sz w:val="16"/>
          <w:szCs w:val="16"/>
        </w:rPr>
        <w:t>роектирование</w:t>
      </w:r>
      <w:r w:rsidRPr="002F2FDF">
        <w:rPr>
          <w:rFonts w:ascii="Times New Roman" w:hAnsi="Times New Roman" w:cs="Times New Roman"/>
          <w:color w:val="000000" w:themeColor="text1"/>
          <w:sz w:val="16"/>
          <w:szCs w:val="16"/>
          <w:lang w:val="ru-RU"/>
        </w:rPr>
        <w:t xml:space="preserve"> истребителя </w:t>
      </w:r>
      <w:r w:rsidRPr="002F2FDF">
        <w:rPr>
          <w:rFonts w:ascii="Times New Roman" w:hAnsi="Times New Roman" w:cs="Times New Roman"/>
          <w:color w:val="000000" w:themeColor="text1"/>
          <w:sz w:val="16"/>
          <w:szCs w:val="16"/>
        </w:rPr>
        <w:t xml:space="preserve">WKF D I (рег. № 80.06, затем 80.06В) </w:t>
      </w:r>
      <w:r w:rsidRPr="002F2FDF">
        <w:rPr>
          <w:rFonts w:ascii="Times New Roman" w:hAnsi="Times New Roman" w:cs="Times New Roman"/>
          <w:color w:val="000000" w:themeColor="text1"/>
          <w:sz w:val="16"/>
          <w:szCs w:val="16"/>
          <w:lang w:val="ru-RU"/>
        </w:rPr>
        <w:t>(23140).</w:t>
      </w:r>
    </w:p>
    <w:p w14:paraId="1D498980" w14:textId="77777777" w:rsidR="007C4D5D" w:rsidRPr="002F2FDF" w:rsidRDefault="007C4D5D" w:rsidP="0083075A">
      <w:pPr>
        <w:pStyle w:val="191"/>
        <w:shd w:val="clear" w:color="auto" w:fill="auto"/>
        <w:spacing w:before="0" w:after="0" w:line="240" w:lineRule="auto"/>
        <w:jc w:val="both"/>
        <w:rPr>
          <w:rFonts w:ascii="Times New Roman" w:hAnsi="Times New Roman" w:cs="Times New Roman"/>
          <w:color w:val="000000" w:themeColor="text1"/>
          <w:sz w:val="16"/>
          <w:szCs w:val="16"/>
        </w:rPr>
      </w:pPr>
    </w:p>
    <w:p w14:paraId="292CAD1F" w14:textId="77777777" w:rsidR="007C4D5D" w:rsidRPr="002F2FDF" w:rsidRDefault="007C4D5D" w:rsidP="0083075A">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r w:rsidRPr="002F2FDF">
        <w:rPr>
          <w:rFonts w:ascii="Times New Roman" w:eastAsia="TimesNewRoman" w:hAnsi="Times New Roman" w:cs="Times New Roman"/>
          <w:color w:val="000000" w:themeColor="text1"/>
          <w:sz w:val="16"/>
          <w:szCs w:val="16"/>
        </w:rPr>
        <w:t xml:space="preserve">В конце </w:t>
      </w:r>
      <w:r w:rsidRPr="002F2FDF">
        <w:rPr>
          <w:rFonts w:ascii="Times New Roman" w:eastAsia="Times-Roman" w:hAnsi="Times New Roman" w:cs="Times New Roman"/>
          <w:color w:val="000000" w:themeColor="text1"/>
          <w:sz w:val="16"/>
          <w:szCs w:val="16"/>
        </w:rPr>
        <w:t xml:space="preserve">1917 </w:t>
      </w:r>
      <w:r w:rsidRPr="002F2FDF">
        <w:rPr>
          <w:rFonts w:ascii="Times New Roman" w:eastAsia="TimesNewRoman" w:hAnsi="Times New Roman" w:cs="Times New Roman"/>
          <w:color w:val="000000" w:themeColor="text1"/>
          <w:sz w:val="16"/>
          <w:szCs w:val="16"/>
        </w:rPr>
        <w:t xml:space="preserve">года правительство США приобрело территорию вблизи города Абердин </w:t>
      </w:r>
      <w:r w:rsidRPr="002F2FDF">
        <w:rPr>
          <w:rFonts w:ascii="Times New Roman" w:eastAsia="Times-Roman" w:hAnsi="Times New Roman" w:cs="Times New Roman"/>
          <w:color w:val="000000" w:themeColor="text1"/>
          <w:sz w:val="16"/>
          <w:szCs w:val="16"/>
        </w:rPr>
        <w:t>(</w:t>
      </w:r>
      <w:r w:rsidRPr="002F2FDF">
        <w:rPr>
          <w:rFonts w:ascii="Times New Roman" w:eastAsia="TimesNewRoman" w:hAnsi="Times New Roman" w:cs="Times New Roman"/>
          <w:color w:val="000000" w:themeColor="text1"/>
          <w:sz w:val="16"/>
          <w:szCs w:val="16"/>
        </w:rPr>
        <w:t>штат Мэриленд</w:t>
      </w:r>
      <w:r w:rsidRPr="002F2FDF">
        <w:rPr>
          <w:rFonts w:ascii="Times New Roman" w:eastAsia="Times-Roman" w:hAnsi="Times New Roman" w:cs="Times New Roman"/>
          <w:color w:val="000000" w:themeColor="text1"/>
          <w:sz w:val="16"/>
          <w:szCs w:val="16"/>
        </w:rPr>
        <w:t xml:space="preserve">) </w:t>
      </w:r>
      <w:r w:rsidRPr="002F2FDF">
        <w:rPr>
          <w:rFonts w:ascii="Times New Roman" w:eastAsia="TimesNewRoman" w:hAnsi="Times New Roman" w:cs="Times New Roman"/>
          <w:color w:val="000000" w:themeColor="text1"/>
          <w:sz w:val="16"/>
          <w:szCs w:val="16"/>
        </w:rPr>
        <w:t>под артиллейрийский полигон</w:t>
      </w:r>
      <w:r w:rsidRPr="002F2FDF">
        <w:rPr>
          <w:rFonts w:ascii="Times New Roman" w:eastAsia="Times-Roman" w:hAnsi="Times New Roman" w:cs="Times New Roman"/>
          <w:color w:val="000000" w:themeColor="text1"/>
          <w:sz w:val="16"/>
          <w:szCs w:val="16"/>
        </w:rPr>
        <w:t xml:space="preserve">. </w:t>
      </w:r>
      <w:r w:rsidRPr="002F2FDF">
        <w:rPr>
          <w:rFonts w:ascii="Times New Roman" w:eastAsia="TimesNewRoman" w:hAnsi="Times New Roman" w:cs="Times New Roman"/>
          <w:color w:val="000000" w:themeColor="text1"/>
          <w:sz w:val="16"/>
          <w:szCs w:val="16"/>
        </w:rPr>
        <w:t xml:space="preserve">На южной части территории этого полигона площадью </w:t>
      </w:r>
      <w:r w:rsidRPr="002F2FDF">
        <w:rPr>
          <w:rFonts w:ascii="Times New Roman" w:eastAsia="Times-Roman" w:hAnsi="Times New Roman" w:cs="Times New Roman"/>
          <w:color w:val="000000" w:themeColor="text1"/>
          <w:sz w:val="16"/>
          <w:szCs w:val="16"/>
        </w:rPr>
        <w:t xml:space="preserve">1400 </w:t>
      </w:r>
      <w:r w:rsidRPr="002F2FDF">
        <w:rPr>
          <w:rFonts w:ascii="Times New Roman" w:eastAsia="TimesNewRoman" w:hAnsi="Times New Roman" w:cs="Times New Roman"/>
          <w:color w:val="000000" w:themeColor="text1"/>
          <w:sz w:val="16"/>
          <w:szCs w:val="16"/>
        </w:rPr>
        <w:t>гектаров и был размещен Эджвудский арсенал</w:t>
      </w:r>
      <w:r w:rsidRPr="002F2FDF">
        <w:rPr>
          <w:rFonts w:ascii="Times New Roman" w:eastAsia="Times-Roman" w:hAnsi="Times New Roman" w:cs="Times New Roman"/>
          <w:color w:val="000000" w:themeColor="text1"/>
          <w:sz w:val="16"/>
          <w:szCs w:val="16"/>
        </w:rPr>
        <w:t xml:space="preserve">. </w:t>
      </w:r>
      <w:r w:rsidRPr="002F2FDF">
        <w:rPr>
          <w:rFonts w:ascii="Times New Roman" w:eastAsia="TimesNewRoman" w:hAnsi="Times New Roman" w:cs="Times New Roman"/>
          <w:color w:val="000000" w:themeColor="text1"/>
          <w:sz w:val="16"/>
          <w:szCs w:val="16"/>
        </w:rPr>
        <w:t>К тому времени объем поставок фосгена и других газов коммерческими фирмами перестал удовлетворять растущие потребности американского экспедиционного корпуса генерала Джона Першинга</w:t>
      </w:r>
      <w:r w:rsidRPr="002F2FDF">
        <w:rPr>
          <w:rFonts w:ascii="Times New Roman" w:eastAsia="Times-Roman" w:hAnsi="Times New Roman" w:cs="Times New Roman"/>
          <w:color w:val="000000" w:themeColor="text1"/>
          <w:sz w:val="16"/>
          <w:szCs w:val="16"/>
        </w:rPr>
        <w:t xml:space="preserve">, </w:t>
      </w:r>
      <w:r w:rsidRPr="002F2FDF">
        <w:rPr>
          <w:rFonts w:ascii="Times New Roman" w:eastAsia="TimesNewRoman" w:hAnsi="Times New Roman" w:cs="Times New Roman"/>
          <w:color w:val="000000" w:themeColor="text1"/>
          <w:sz w:val="16"/>
          <w:szCs w:val="16"/>
        </w:rPr>
        <w:t>вступившего в боевые действия против Германии с территории Франции (20240)</w:t>
      </w:r>
      <w:r w:rsidRPr="002F2FDF">
        <w:rPr>
          <w:rFonts w:ascii="Times New Roman" w:eastAsia="Times-Roman" w:hAnsi="Times New Roman" w:cs="Times New Roman"/>
          <w:color w:val="000000" w:themeColor="text1"/>
          <w:sz w:val="16"/>
          <w:szCs w:val="16"/>
        </w:rPr>
        <w:t>.</w:t>
      </w:r>
    </w:p>
    <w:p w14:paraId="31FA4BE3" w14:textId="77777777" w:rsidR="007C4D5D" w:rsidRPr="002F2FDF" w:rsidRDefault="007C4D5D" w:rsidP="0083075A">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p>
    <w:p w14:paraId="37904B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г. в Германии из армии было возвращено 125 тыс. квалифицированных специалистов, рабочих рук не хватало. В экономическом отношении Германия находилась в весьма тяжелом положении. Почти полностью изолированная от внешнего мира она переживала продовольственный кризис. Производство сельскохозяйственных продуктов значительно уменьшилось. Для промышленности не хватало стратегического сырья.</w:t>
      </w:r>
    </w:p>
    <w:p w14:paraId="35AECB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Едва держались и союзники Германии. Экономика Австро-Венгрии была почти полностью дезорганизована. Плохо было с продовольствием в Турции и Болгарии. "Четверной союз держался единственно надеждой на победу германского оружия" (Людендорф). Очень возрос и еще один фактор. Выход России из войны усилил стремление воюющих сторон к миру.</w:t>
      </w:r>
    </w:p>
    <w:p w14:paraId="0DB508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Экономическое положение Англии и Франции также было тяжелым. Большой ущерб причиняла Англии тотальная подводная война. Однако военные возможности союзников значительно превосходили германские. Английская и французская авиапромышленность в эти дни производили ежемесячно около 3 тыс. самолетов, что вдвое превышало германское производство. Страны Антанты располагали и несравнимыми людскими ресурсами; они широко использовали колониальные войска (11999).</w:t>
      </w:r>
    </w:p>
    <w:p w14:paraId="7522C5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F631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конца 1917 г. во Франции имелось свыше 5 истребительных групп, к февралю 1918 г. их число возросло до 11, в результате чего 6 из них были объединены в две истребительные эскадры. В этом французские военные последовали примеру Германии. Однако французские истребительные эскадры, в отличие от германских, подчинялись не штабам армий, а оставались в руках Главного руководства воздушных сил. Наряду с построением истребительных эскадр концентрировались в эскадры и разрозненные дневные и ночные группы бомбардировщиков; эти эскадры еще и комбинировались с истребителями. В июле, благодаря построению во Франции единого воздушного дивизиона под командованием генерала Мари- Виктора Дюваля, этот процесс пришел к своему логическому завершению. Воздушный дивизион насчитывал в совокупности 788 самолетов и был первым оперативным объединением ВВС в мировой истории. Вообще Франция в 1918 г. насчитывала 146 разведэскадрилий, 80 истребительных эскадрилий и 32 бомбардировочные (11999).</w:t>
      </w:r>
    </w:p>
    <w:p w14:paraId="6CE20B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4E9C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года первый корабль SL-20 объемом 56 000 куб. м, мало чем уступавший цеппелинам, прибыл на Балтийское море, где еще успел принять участие в боевой работе. В Северном море ему уже не пришлось повоевать, так как в январе 1918 года он был уничтожен во время большого взрыва в Альгорне. Однотипный корабль SL-22 не соответствовал военным требованиям, и поэтому в боевых действиях участия не принимал (11234).</w:t>
      </w:r>
    </w:p>
    <w:p w14:paraId="72E14A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EDF9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года немцы начали реализацию проектов, призванных защитить цеппелины от британских истребителей. Несущие возможности больших цеппелинов позволили рассмотреть идею о том, что дирижабль может сам нести свое истребительное сопровождение. На авиабазе в Ютеборге на нижней поверхности цеппелина L-35 был установлен специальный крюк, на который цеплялся истребитель “Альбатрос” D.III. 26 января 1918 года L-35 поднялся в воздух. На высоте 1380 м самолет отцепился, со снижением отлетел от дирижабля и благополучно приземлился. В феврале рассматривался вопрос о практическом использовании этого способа, но Штрассер довольно скептически отнесся к этой возможности. Гораздо больше он верил в высотные возможности новых цеппелинов. В то же время испытывались крылатые планирующие торпеды, правда, как и в предыдущем случае, с самолетами дальше испытаний дело не пошло (11324).</w:t>
      </w:r>
    </w:p>
    <w:p w14:paraId="0F95BD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A09E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года немцы начали реализацию проектов, призванных защитить цеппелины от британских истребителей. Несущие возможности больших цеппелинов позволили рассмотреть идею о том, что дирижабль может сам нести свое истребительное сопровождение. На авиабазе в Ютеборге на нижней поверхности цеппелина L-35 был установлен специальный крюк, на который цеплялся истребитель “Альбатрос” D.III. 26 января 1918 года L-35 поднялся в воздух. На высоте 1380 м самолет отцепился, со снижением отлетел от дирижабля и благополучно приземлился. В феврале рассматривался вопрос о практическом использовании этого способа, но Штрассер довольно скептически отнесся к этой возможности. Гораздо больше он верил в высотные возможности новых цеппелинов. В то же время испытывались крылатые планирующие торпеды, правда, как и в предыдущем случае, с самолетами дальше испытаний дело не пошло (11324).</w:t>
      </w:r>
    </w:p>
    <w:p w14:paraId="72F4F8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E80E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1917 года были достигнуты и первые позитивные результаты — интенсивность разведки цеппелинами в Северном море снизилась из-за активного противодействия английских авианосцев (11324).</w:t>
      </w:r>
    </w:p>
    <w:p w14:paraId="7374B5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706B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конца 1917 г. французское командование стало широко применять на Западном фронте истребительную авиацию для штурмовых действий на решающих участках фронта (9705).</w:t>
      </w:r>
    </w:p>
    <w:p w14:paraId="76E8F1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8217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конца 1917 года в Германии было выпущено 33808 самолетов. Однако следует учесть, что основная масса германской авиации было сосредоточена на Западном фронте. Это позволяло ВВС России, в ряде случаев, добиваться превосходства в воздухе на направлениях главных ударов. Так, в середине 1917 года в полосе Юго-Западного фронта 225 росийских самолетов противостояло 226 вражеским самолетам, при этом они нанесли противнику урон (сбив в воздушных боях 23 неприятельских аппарата), в три раза превосходящий собственные потери (11184).</w:t>
      </w:r>
    </w:p>
    <w:p w14:paraId="56C1A3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B0DF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1917 г. немецкое военное министерство получило подробно проработанный и подкрепленный математическими выкладками проект снаряда большой дальности с ракетным двигателем, работающим на смеси жидкого кислорода и этанола с водой. Автором проекта был выдающийся пионер ракетостроения Герман Оберт (11686).</w:t>
      </w:r>
    </w:p>
    <w:p w14:paraId="65806E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1ACD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концу 1917 г. собственными торпедоносцами обзавелись флоты США и Австро-Венгрии, вскоре после окончания войны - Франции и Японии. В межвоенный период небольшими торпедоносными подразделениями обзавелись многие мелкие страны, которые видели угрозу для себя со стороны противников, находящихся за морем, например Голландия, Швеция, Норвегия и т.д. (12002)</w:t>
      </w:r>
    </w:p>
    <w:p w14:paraId="1E5A0E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789D12"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конце 1917 года на ди</w:t>
      </w:r>
      <w:r w:rsidRPr="00FB4F67">
        <w:rPr>
          <w:rFonts w:ascii="Times New Roman" w:hAnsi="Times New Roman" w:cs="Times New Roman"/>
          <w:color w:val="0070C0"/>
          <w:sz w:val="16"/>
          <w:szCs w:val="16"/>
        </w:rPr>
        <w:softHyphen/>
        <w:t>рижабле L-35 была смонтирована система для крепления на земле истребителя «Альба</w:t>
      </w:r>
      <w:r w:rsidRPr="00FB4F67">
        <w:rPr>
          <w:rFonts w:ascii="Times New Roman" w:hAnsi="Times New Roman" w:cs="Times New Roman"/>
          <w:color w:val="0070C0"/>
          <w:sz w:val="16"/>
          <w:szCs w:val="16"/>
        </w:rPr>
        <w:softHyphen/>
        <w:t>трос» D.III и последующей транспортировкой его в полете. 26 января 1918 года L-35 поднялся в небо с подцепленным под него истребителем и на высоте 1380 метров «выпустил» его. «Альбатрос» облетел ди</w:t>
      </w:r>
      <w:r w:rsidRPr="00FB4F67">
        <w:rPr>
          <w:rFonts w:ascii="Times New Roman" w:hAnsi="Times New Roman" w:cs="Times New Roman"/>
          <w:color w:val="0070C0"/>
          <w:sz w:val="16"/>
          <w:szCs w:val="16"/>
        </w:rPr>
        <w:softHyphen/>
        <w:t>рижабль, произвел необходимые эволюции и отпра</w:t>
      </w:r>
      <w:r w:rsidRPr="00FB4F67">
        <w:rPr>
          <w:rFonts w:ascii="Times New Roman" w:hAnsi="Times New Roman" w:cs="Times New Roman"/>
          <w:color w:val="0070C0"/>
          <w:sz w:val="16"/>
          <w:szCs w:val="16"/>
        </w:rPr>
        <w:softHyphen/>
        <w:t>вился на посадку. Опыт признавался успешным, од</w:t>
      </w:r>
      <w:r w:rsidRPr="00FB4F67">
        <w:rPr>
          <w:rFonts w:ascii="Times New Roman" w:hAnsi="Times New Roman" w:cs="Times New Roman"/>
          <w:color w:val="0070C0"/>
          <w:sz w:val="16"/>
          <w:szCs w:val="16"/>
        </w:rPr>
        <w:softHyphen/>
        <w:t>нако до практического применения дело не дошло. Кроме истребителя, немцы сбрасывали опытным по</w:t>
      </w:r>
      <w:r w:rsidRPr="00FB4F67">
        <w:rPr>
          <w:rFonts w:ascii="Times New Roman" w:hAnsi="Times New Roman" w:cs="Times New Roman"/>
          <w:color w:val="0070C0"/>
          <w:sz w:val="16"/>
          <w:szCs w:val="16"/>
        </w:rPr>
        <w:softHyphen/>
        <w:t>рядком с дирижабля и планирующие бомбы-торпе</w:t>
      </w:r>
      <w:r w:rsidRPr="00FB4F67">
        <w:rPr>
          <w:rFonts w:ascii="Times New Roman" w:hAnsi="Times New Roman" w:cs="Times New Roman"/>
          <w:color w:val="0070C0"/>
          <w:sz w:val="16"/>
          <w:szCs w:val="16"/>
        </w:rPr>
        <w:softHyphen/>
        <w:t>ды, впрочем, также без дальнейшего продолжения (23378).</w:t>
      </w:r>
    </w:p>
    <w:p w14:paraId="4D2E95D4" w14:textId="77777777" w:rsidR="00DC0C73" w:rsidRPr="00FB4F67" w:rsidRDefault="00DC0C73" w:rsidP="0083075A">
      <w:pPr>
        <w:spacing w:after="0" w:line="240" w:lineRule="auto"/>
        <w:jc w:val="both"/>
        <w:rPr>
          <w:rFonts w:ascii="Times New Roman" w:hAnsi="Times New Roman" w:cs="Times New Roman"/>
          <w:color w:val="0070C0"/>
          <w:sz w:val="16"/>
          <w:szCs w:val="16"/>
        </w:rPr>
      </w:pPr>
    </w:p>
    <w:p w14:paraId="0F36BB23"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К концу 1917 г. собственными торпедонос</w:t>
      </w:r>
      <w:r w:rsidRPr="00FB4F67">
        <w:rPr>
          <w:rFonts w:ascii="Times New Roman" w:hAnsi="Times New Roman" w:cs="Times New Roman"/>
          <w:color w:val="0070C0"/>
          <w:sz w:val="16"/>
          <w:szCs w:val="16"/>
        </w:rPr>
        <w:softHyphen/>
        <w:t>цами обзавелись флоты США и Австро-Венгрии, вскоре после окончания вой</w:t>
      </w:r>
      <w:r w:rsidRPr="00FB4F67">
        <w:rPr>
          <w:rFonts w:ascii="Times New Roman" w:hAnsi="Times New Roman" w:cs="Times New Roman"/>
          <w:color w:val="0070C0"/>
          <w:sz w:val="16"/>
          <w:szCs w:val="16"/>
        </w:rPr>
        <w:softHyphen/>
        <w:t>ны - Франции и Японии (23464).</w:t>
      </w:r>
    </w:p>
    <w:p w14:paraId="41B5EE61" w14:textId="77777777" w:rsidR="00DC0C73" w:rsidRPr="00FB4F67" w:rsidRDefault="00DC0C73" w:rsidP="0083075A">
      <w:pPr>
        <w:spacing w:after="0" w:line="240" w:lineRule="auto"/>
        <w:jc w:val="both"/>
        <w:rPr>
          <w:rFonts w:ascii="Times New Roman" w:hAnsi="Times New Roman" w:cs="Times New Roman"/>
          <w:color w:val="0070C0"/>
          <w:sz w:val="16"/>
          <w:szCs w:val="16"/>
        </w:rPr>
      </w:pPr>
    </w:p>
    <w:p w14:paraId="681BF4A1" w14:textId="77777777" w:rsidR="007C4D5D" w:rsidRPr="002F2FDF" w:rsidRDefault="007C4D5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1384B303" w14:textId="77777777" w:rsidR="007C4D5D" w:rsidRPr="002F2FDF" w:rsidRDefault="007C4D5D"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ED2A89" w14:textId="77777777" w:rsidR="007C4D5D" w:rsidRPr="002F2FDF" w:rsidRDefault="007C4D5D" w:rsidP="0083075A">
      <w:pPr>
        <w:pStyle w:val="191"/>
        <w:shd w:val="clear" w:color="auto" w:fill="auto"/>
        <w:spacing w:before="0"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lang w:val="ru-RU"/>
        </w:rPr>
        <w:t>В</w:t>
      </w:r>
      <w:r w:rsidRPr="002F2FDF">
        <w:rPr>
          <w:rFonts w:ascii="Times New Roman" w:hAnsi="Times New Roman" w:cs="Times New Roman"/>
          <w:color w:val="000000" w:themeColor="text1"/>
          <w:sz w:val="16"/>
          <w:szCs w:val="16"/>
        </w:rPr>
        <w:t xml:space="preserve"> конце 1917 </w:t>
      </w:r>
      <w:r w:rsidRPr="002F2FDF">
        <w:rPr>
          <w:rFonts w:ascii="Times New Roman" w:hAnsi="Times New Roman" w:cs="Times New Roman"/>
          <w:color w:val="000000" w:themeColor="text1"/>
          <w:sz w:val="16"/>
          <w:szCs w:val="16"/>
          <w:lang w:val="ru-RU"/>
        </w:rPr>
        <w:t xml:space="preserve">- </w:t>
      </w:r>
      <w:r w:rsidRPr="002F2FDF">
        <w:rPr>
          <w:rFonts w:ascii="Times New Roman" w:hAnsi="Times New Roman" w:cs="Times New Roman"/>
          <w:color w:val="000000" w:themeColor="text1"/>
          <w:sz w:val="16"/>
          <w:szCs w:val="16"/>
        </w:rPr>
        <w:t xml:space="preserve">начале 1918 гг. </w:t>
      </w:r>
      <w:r w:rsidRPr="002F2FDF">
        <w:rPr>
          <w:rFonts w:ascii="Times New Roman" w:hAnsi="Times New Roman" w:cs="Times New Roman"/>
          <w:color w:val="000000" w:themeColor="text1"/>
          <w:sz w:val="16"/>
          <w:szCs w:val="16"/>
          <w:lang w:val="ru-RU"/>
        </w:rPr>
        <w:t xml:space="preserve">С развалом фронта </w:t>
      </w:r>
      <w:r w:rsidRPr="002F2FDF">
        <w:rPr>
          <w:rFonts w:ascii="Times New Roman" w:hAnsi="Times New Roman" w:cs="Times New Roman"/>
          <w:color w:val="000000" w:themeColor="text1"/>
          <w:sz w:val="16"/>
          <w:szCs w:val="16"/>
        </w:rPr>
        <w:t>российская авиация потеряла более восьми сотен машин. Эвакуированных с фронтов 296 самолетов для возрождения воздушного флота было совершенно недо</w:t>
      </w:r>
      <w:r w:rsidRPr="002F2FDF">
        <w:rPr>
          <w:rFonts w:ascii="Times New Roman" w:hAnsi="Times New Roman" w:cs="Times New Roman"/>
          <w:color w:val="000000" w:themeColor="text1"/>
          <w:sz w:val="16"/>
          <w:szCs w:val="16"/>
        </w:rPr>
        <w:softHyphen/>
        <w:t>статочно, к тому же, многие из них оказались в малопригодными для службы состоянии. А еще требовались самолеты для авиашкол, для замены изношенных аппаратов, для воспол</w:t>
      </w:r>
      <w:r w:rsidRPr="002F2FDF">
        <w:rPr>
          <w:rFonts w:ascii="Times New Roman" w:hAnsi="Times New Roman" w:cs="Times New Roman"/>
          <w:color w:val="000000" w:themeColor="text1"/>
          <w:sz w:val="16"/>
          <w:szCs w:val="16"/>
        </w:rPr>
        <w:softHyphen/>
        <w:t>нения боевых потерь. Возникший дефицит аэропланов заставил использовать все резервы. Немало самолетов удалось обнару</w:t>
      </w:r>
      <w:r w:rsidRPr="002F2FDF">
        <w:rPr>
          <w:rFonts w:ascii="Times New Roman" w:hAnsi="Times New Roman" w:cs="Times New Roman"/>
          <w:color w:val="000000" w:themeColor="text1"/>
          <w:sz w:val="16"/>
          <w:szCs w:val="16"/>
        </w:rPr>
        <w:softHyphen/>
        <w:t>жить на заводах, ведь почти все они, за исключением одесской «Анатры» и таганрог</w:t>
      </w:r>
      <w:r w:rsidRPr="002F2FDF">
        <w:rPr>
          <w:rFonts w:ascii="Times New Roman" w:hAnsi="Times New Roman" w:cs="Times New Roman"/>
          <w:color w:val="000000" w:themeColor="text1"/>
          <w:sz w:val="16"/>
          <w:szCs w:val="16"/>
        </w:rPr>
        <w:softHyphen/>
        <w:t>ского филиала завода «Лебедева», оказались на советской территории, а оставшиеся без оплаты заказы продолжали накапливаться там с середины 1917 года. Только на заводе «Дукс» нашли более 370 самолетов, правда, большая их часть не имела двигателей. Наи</w:t>
      </w:r>
      <w:r w:rsidRPr="002F2FDF">
        <w:rPr>
          <w:rFonts w:ascii="Times New Roman" w:hAnsi="Times New Roman" w:cs="Times New Roman"/>
          <w:color w:val="000000" w:themeColor="text1"/>
          <w:sz w:val="16"/>
          <w:szCs w:val="16"/>
        </w:rPr>
        <w:softHyphen/>
        <w:t>более результативными оказались поиски на складах и в авиапарках, суммарно давшие 980 самолетов и 1320 моторов разного типа. Последним резервом оказались портовые склады Архангельска, где обнаружилось еще более 300 самолетов и почти 400 двигателей. Кроме готовых самолетов и двигателей нашли еще множество деталей, узлов и ком</w:t>
      </w:r>
      <w:r w:rsidRPr="002F2FDF">
        <w:rPr>
          <w:rFonts w:ascii="Times New Roman" w:hAnsi="Times New Roman" w:cs="Times New Roman"/>
          <w:color w:val="000000" w:themeColor="text1"/>
          <w:sz w:val="16"/>
          <w:szCs w:val="16"/>
        </w:rPr>
        <w:softHyphen/>
        <w:t>плектующих. Но это были временные меры - любой запас рано или поздно заканчивается, а для авиации тех лет это грозило произойти совсем быстро, ведь ресурс самолетов был очень мал: в годы Гражданской войны они в среднем до списания делали всего по 10 бое</w:t>
      </w:r>
      <w:r w:rsidRPr="002F2FDF">
        <w:rPr>
          <w:rFonts w:ascii="Times New Roman" w:hAnsi="Times New Roman" w:cs="Times New Roman"/>
          <w:color w:val="000000" w:themeColor="text1"/>
          <w:sz w:val="16"/>
          <w:szCs w:val="16"/>
        </w:rPr>
        <w:softHyphen/>
        <w:t>вых вылетов</w:t>
      </w:r>
      <w:r w:rsidRPr="002F2FDF">
        <w:rPr>
          <w:rFonts w:ascii="Times New Roman" w:hAnsi="Times New Roman" w:cs="Times New Roman"/>
          <w:color w:val="000000" w:themeColor="text1"/>
          <w:sz w:val="16"/>
          <w:szCs w:val="16"/>
          <w:lang w:val="ru-RU"/>
        </w:rPr>
        <w:t xml:space="preserve"> (19862)</w:t>
      </w:r>
      <w:r w:rsidRPr="002F2FDF">
        <w:rPr>
          <w:rFonts w:ascii="Times New Roman" w:hAnsi="Times New Roman" w:cs="Times New Roman"/>
          <w:color w:val="000000" w:themeColor="text1"/>
          <w:sz w:val="16"/>
          <w:szCs w:val="16"/>
        </w:rPr>
        <w:t>.</w:t>
      </w:r>
    </w:p>
    <w:p w14:paraId="1D85AC27" w14:textId="77777777" w:rsidR="007C4D5D" w:rsidRPr="002F2FDF" w:rsidRDefault="007C4D5D" w:rsidP="0083075A">
      <w:pPr>
        <w:pStyle w:val="191"/>
        <w:shd w:val="clear" w:color="auto" w:fill="auto"/>
        <w:spacing w:before="0" w:after="0" w:line="240" w:lineRule="auto"/>
        <w:jc w:val="both"/>
        <w:rPr>
          <w:rFonts w:ascii="Times New Roman" w:hAnsi="Times New Roman" w:cs="Times New Roman"/>
          <w:color w:val="000000" w:themeColor="text1"/>
          <w:sz w:val="16"/>
          <w:szCs w:val="16"/>
        </w:rPr>
      </w:pPr>
    </w:p>
    <w:p w14:paraId="7FF3E06A"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49F543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29D0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второй половине 1917 прервалась постройка самолета Лебедь-Гранд - трехстоечного биплана с фюзеляжем монокок почти круглого сечения Л.Д.Колпакова-Мирошниченко, работающего у В.А.Лебедева, которая велась с 1915. При первом взлете круто пошел вверх и упал, но л М.Ф.Госповский не пострадал. Ремонтировать не стали (92,168).</w:t>
      </w:r>
    </w:p>
    <w:p w14:paraId="1C334E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5945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второй половины 1917 года продолжалась постройка аппарата "Лебедь-Гранд", которая началась в середине 1916 года. Начавшиеся летные испытания до конца доведены не были, однако, было выявлено, что центровка машины была неудовлетворительной. На вооружение армии самолет, естественно, принят не был. Имевшиеся в конструкции недостатки можно было устранить, но отрицательное отношение Военного ведомства к машинам большого тоннажа не дало возможности довести "Лебедя-Гранда" до серийного производства. Ко всему прочему, политические события в Петрограде, да и в России в целом, не позволили проводить дальнейшее совершенствование авиационной техники. Обрушившийся на Российскую империю всеобщий крах выбил авиацию "как класс" на полных 6-7 лет, пока в 1923-24 гг. не начали появляться вновь первые низкопробные любительские авиетки и на верные 10-12 лет, пока в стране не появились первые крупносерийные самолеты, достойные всеобщего уважения (11237).</w:t>
      </w:r>
    </w:p>
    <w:p w14:paraId="36BBB9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BBD414" w14:textId="77777777" w:rsidR="0096612C" w:rsidRPr="002F2FDF" w:rsidRDefault="0096612C"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Во второй половине 1917 г. выпуск и сдача самолетов на Дуксе существенно сократились: июль — 10, август — 16, сентябрь — 11. октябрь — 6, ноябрь — 3, декабрь — 2. Примерно так же обстояло дело и с «Ньюпорами-XVII» с моторами «Рон» в 110 л.с., в 1917 г. «единолично» сдаваемыми Габер-Влынским: август — 29, сентябрь — 29, октябрь — 12, ноябрь — 11, декабрь — 4. 11 августа Габер даже установил личный рекорд, за день сдав пять «Ньюпоров». Впрочем, тогда начиналась поставка истребителей Морскому ведомству по майским контрактам, первые самолеты поступили с завода на аэродром 30 июля и уже 4 августа Габер сдал четыре (два для авиации флота). По-видимому, надо было срочно показать «товар лицом», ведь на подходе маячили новые заказы от 25 июля на 20 «Ньюпоров-XVII» и от 12 сентября еще на 15. До работ по последнему заказу дело так и не дошло (15464).</w:t>
      </w:r>
    </w:p>
    <w:p w14:paraId="72C3F035" w14:textId="77777777" w:rsidR="0096612C" w:rsidRPr="002F2FDF" w:rsidRDefault="0096612C" w:rsidP="0083075A">
      <w:pPr>
        <w:pStyle w:val="2"/>
        <w:spacing w:before="0" w:beforeAutospacing="0" w:after="0" w:afterAutospacing="0"/>
        <w:jc w:val="both"/>
        <w:rPr>
          <w:b w:val="0"/>
          <w:color w:val="000000" w:themeColor="text1"/>
          <w:kern w:val="2"/>
          <w:sz w:val="16"/>
          <w:szCs w:val="16"/>
        </w:rPr>
      </w:pPr>
    </w:p>
    <w:p w14:paraId="61E325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второй половине 1917 не были окончены самолеты Монокок Слюсаренко и Двухвостка Слюсаренко по проектам Г.П.Адлера (92,170).</w:t>
      </w:r>
    </w:p>
    <w:p w14:paraId="622290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C2DE6F"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Во второй половине 1917 года построили</w:t>
      </w:r>
      <w:bookmarkStart w:id="422" w:name="bookmark212"/>
      <w:r w:rsidRPr="00FB4F67">
        <w:rPr>
          <w:rFonts w:ascii="Times New Roman" w:hAnsi="Times New Roman" w:cs="Times New Roman"/>
          <w:color w:val="0070C0"/>
          <w:sz w:val="16"/>
          <w:szCs w:val="16"/>
        </w:rPr>
        <w:t xml:space="preserve"> Монокок Слюсаренко</w:t>
      </w:r>
      <w:bookmarkEnd w:id="422"/>
      <w:r w:rsidRPr="00FB4F67">
        <w:rPr>
          <w:rFonts w:ascii="Times New Roman" w:hAnsi="Times New Roman" w:cs="Times New Roman"/>
          <w:color w:val="0070C0"/>
          <w:sz w:val="16"/>
          <w:szCs w:val="16"/>
        </w:rPr>
        <w:t>, он летал, но до конца испытаний не прошел. Макси</w:t>
      </w:r>
      <w:r w:rsidRPr="00FB4F67">
        <w:rPr>
          <w:rFonts w:ascii="Times New Roman" w:hAnsi="Times New Roman" w:cs="Times New Roman"/>
          <w:color w:val="0070C0"/>
          <w:sz w:val="16"/>
          <w:szCs w:val="16"/>
        </w:rPr>
        <w:softHyphen/>
        <w:t>мальная скорость достигала 163 км/ч. Строился как одноместный истребитель — моноплан с крылом расчалочной конструк</w:t>
      </w:r>
      <w:r w:rsidRPr="00FB4F67">
        <w:rPr>
          <w:rFonts w:ascii="Times New Roman" w:hAnsi="Times New Roman" w:cs="Times New Roman"/>
          <w:color w:val="0070C0"/>
          <w:sz w:val="16"/>
          <w:szCs w:val="16"/>
        </w:rPr>
        <w:softHyphen/>
        <w:t>ции. Фюзеляж — деревянный монокок круг</w:t>
      </w:r>
      <w:r w:rsidRPr="00FB4F67">
        <w:rPr>
          <w:rFonts w:ascii="Times New Roman" w:hAnsi="Times New Roman" w:cs="Times New Roman"/>
          <w:color w:val="0070C0"/>
          <w:sz w:val="16"/>
          <w:szCs w:val="16"/>
        </w:rPr>
        <w:softHyphen/>
        <w:t>лого сечения, двигатель «Клерже» 130 л.с. или «Рон» 120 л.с. (23374).</w:t>
      </w:r>
    </w:p>
    <w:p w14:paraId="01DC35A6" w14:textId="77777777" w:rsidR="00DC0C73" w:rsidRPr="00FB4F67" w:rsidRDefault="00DC0C73" w:rsidP="0083075A">
      <w:pPr>
        <w:spacing w:after="0" w:line="240" w:lineRule="auto"/>
        <w:jc w:val="both"/>
        <w:rPr>
          <w:rFonts w:ascii="Times New Roman" w:hAnsi="Times New Roman" w:cs="Times New Roman"/>
          <w:color w:val="0070C0"/>
          <w:sz w:val="16"/>
          <w:szCs w:val="16"/>
        </w:rPr>
      </w:pPr>
    </w:p>
    <w:p w14:paraId="630568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второй половине 1917 г. Фарманы 40 как устаревшие стали возвращать в авиароты. Их оставляли на вооружении тыловых авиаотрядов - Петроградского и Кронштадского из авиадивизиона для воздушной охраны г. Петрограда. "Морис Фарман-40" в России был представлен двумя десятками французских экземпляров. Самолет оснащался двигателем "Рено" водяного или воздушного охлаждения мощностью 130-150 л. с. Он обладал неважными летными свойствами, был неустойчив в полете, труден при взлете и посадке. Учебный "Морис Фарман-1Г был близок по схеме и конструкции "сороковому", но имел менее мощный двигатель "Рено" в 70 л. с. Небольшое их количество использовали в качестве учебно-тренировочных самолетов в авиашколах. "Фарман-40" находился на вооружении (наряду с другими типами самолетов) в 5-м, 13-м, 24-м, 34-м и 37-м корпусных, 3-м и 8-м армейских, 1-м и 2-м Гвардейских авиаотрядах (11237).</w:t>
      </w:r>
    </w:p>
    <w:p w14:paraId="618E9F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9270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второй половине 1917 г. импорт двигателей почти прекратился, русская авиация оказалась в тяжелом положении. Дело осложнялось еще и тем, что война предъявляла требования на все более мощные и надежные двигатели, ибо от этого зависела боеспособность авиации. Производство самолетов в России превышало заграничный импорт в два с лишним раза, в производстве же двигателей наблюдалось обратное соотношение: импорт двигателей в два с половиной раза превышал отечественное производство. Достаточно напомнить, что французы только в 1917 г. построили 23 092 авиадвигателя, чтобы отсталость России стала особенно очевидной (9705).</w:t>
      </w:r>
    </w:p>
    <w:p w14:paraId="07ECCE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C027EC" w14:textId="77777777" w:rsidR="001D20BA" w:rsidRPr="002F2FDF" w:rsidRDefault="001D20B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40C84101" w14:textId="77777777" w:rsidR="001D20BA" w:rsidRPr="002F2FDF" w:rsidRDefault="001D20BA"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72AD03" w14:textId="77777777" w:rsidR="001D20BA" w:rsidRPr="002F2FDF" w:rsidRDefault="001D20BA"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Зимой – весной 1918-го на авиазаводах, в авиапарках и на складах Москвы, Ярославля, Смоленска, Рыбинска и других городов удалось отыскать ни много ни мало 502 самолета и 1320 моторов, а также массу другого авиационного имущества (18562).</w:t>
      </w:r>
    </w:p>
    <w:p w14:paraId="13642A47" w14:textId="77777777" w:rsidR="001D20BA" w:rsidRPr="002F2FDF" w:rsidRDefault="001D20BA" w:rsidP="0083075A">
      <w:pPr>
        <w:spacing w:after="0" w:line="240" w:lineRule="auto"/>
        <w:jc w:val="both"/>
        <w:rPr>
          <w:rFonts w:ascii="Times New Roman" w:eastAsia="Times New Roman" w:hAnsi="Times New Roman" w:cs="Times New Roman"/>
          <w:color w:val="000000" w:themeColor="text1"/>
          <w:sz w:val="16"/>
          <w:szCs w:val="16"/>
          <w:lang w:eastAsia="ru-RU"/>
        </w:rPr>
      </w:pPr>
    </w:p>
    <w:p w14:paraId="04B6A5A3"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6DFD08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3815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Зимой 1917— 1918 годов развал России позволил главному командованию вновь перейти в наступление на западном фронте. Три армии, в состав которых вошло 50—60 дивизий, должны были прорвать неприятельский фронт на участке шириной 70 км. Соответственным этому должно было быть и число авиационных соединений, предназначенных для участия в наступлении. Предварительно нужно было разработать необходимые для сосредоточения такой многочисленной авиации меры, правила ее развертывания и применения. С этой целью при штабе командующего германскими воздушными силами была проведена военная игра, к которой были привлечены с фронта опытные офицеры-летчики. Заданием служило выполнение наступления армией в составе 12 дивизий первой линии и 12 дивизий второй линии, полностью оснащенной авиационными средствами. Предполагалось, что в распоряжении каждой дивизии первой и второй линий находится один авиаотряд (А), равным образом штаб каждой из четырех групп дивизий располагал одним авиаотрядом; кроме того, два из этих штабов групп располагали по одной истребительной группе в составе 6 эскадрилий. В распоряжении штаба армии находились: 1 фотосъемочный отряд, 1 авиаотряд (А), 1 истребительная эскадра, 1 истребительная группа в составе 4 эскадрилий, 16 штурмовых эскадрилий, 3 бомбардировочные эскадры, 1 отряд воздушных кораблей (“„s„y„s„p„~ самолетов”), 2 отделения маршрутной съемки и 1 армейский авиапарк. Это распределение авиачастей приблизительно соответствовало тому, которое было намечено для армий, предназначенных к наступлению. Во время игры особенно детально было рассмотрено развертывание столь многочисленных авиасоединений. Успех германского наступления зависел от того, удастся или нет захватить противника врасплох. Мы могли при этом учиться на ошибках врага, намерения которого обычно выдавались увеличением числа аэродромов и усилением деятельности авиации на тех участках фронта, где им намечалось наступление. Прежде всего нужно было скрыть появление перед атакой многочисленных палаток для самолетов. Постройка постоянных ангаров, энергично производившаяся в течение зимы, не должна была ограничиваться предназначенным для наступления участком фронта. Она велась поэтому по возможности равномерно на фронтах всех армий. Число аэродромов для бомбардировочных эскадр было увеличено настолько, что все эскадры могли быть сосредоточены на фронтеЛилль—ЛаФер. Из опыта военной игры выяснилась необходимость принятия ряда мер для переброски авиасоединений и для обеспечения снабжения; к проведению этих мер в жизнь нужно было приступить немедленно. Многое из того имущества, которым обзавелись отряды за время долгой позиционной войны, пришлось оставить. Разработка плана погрузки немногочисленных грузовиков требовала тщательного обсуждения. Армейские авиапарки должны были быть расширены из расчета обслуживания не менее 200 самолетов и наличия около 1000 человек личного состава. Следовало позаботиться о заготовке достаточного запаса бензина, масла, бомб, ручных гранат, специальных боеприпасов, запасных пулеметов, палаток, фотографических принадлежностей и т.д. Чтобы не зависеть от задержек железнодорожного транспорта, позади участка предполагаемого наступления в центральном пункте — Мобеже — был устроен обширный склад, который должен был обслуживать авиачасти в случае прекращения непосредственной доставки предметов снабжения из глубокого тыла в армейские парки вследствие заторов на железных дорогах.. Дабы подчеркнуть зависимость </w:t>
      </w:r>
      <w:r w:rsidRPr="002F2FDF">
        <w:rPr>
          <w:rFonts w:ascii="Times New Roman" w:hAnsi="Times New Roman" w:cs="Times New Roman"/>
          <w:color w:val="000000" w:themeColor="text1"/>
          <w:kern w:val="2"/>
          <w:sz w:val="16"/>
          <w:szCs w:val="16"/>
        </w:rPr>
        <w:lastRenderedPageBreak/>
        <w:t>деятельности всех авиасоединений от намерений командования, все мероприятия, вытекавшие из опыта военной игры, были перечислены в приказах по армиям, корпусам и дивизиям, а также в приказах по эскадрам и отрядам. Таким образом, основные положения изданных главным командованием наставлений, прежде всего нового наставления для истребительных и штурмовых эскадрилий, были подкреплены практическими примерами. Наставления базировались на опыте последних боев, однако имели в виду, главным образом, условия наступательной кампании. Они указывали, что истребительные эскадрильи должны стремиться к успеху в тех пунктах, где операции на земле имеют решающее значение. Наставления подчеркивали затем необходимость тесной связи между командирами истребительных эскадрилий и общевойсковыми начальниками; они требовали также, чтобы истребительным частям давались точные боевые задания и чтобы их постоянно информировали о ходе сражения. Нельзя было отказаться от подчинения истребительных эскадрилий отдельным корпусным командирам; но основная масса, и прежде всего истребительные эскадры, должны были, как правило, оставаться в распоряжении командующего армией. Штурмовые эскадрильи еще не сводились в эскадры. Из опыта военной игры выяснилась необходимость сведения имеющихся боевых эскадрилий в четыре группы по четыре эскадрильи в каждой. Три такие группы были подчинены штабу того корпуса, на который было возложено нанесение главного удара; четвертую штаб армии оставил в своем распоряжении. Тем самым удалось избежать распыления сил, которое вызвало бы распределение эскадрилий по всему фронту наступления и от которого предостерегало наставление для штурмовых эскадрилий. При назначении летчиков на разведку нужно было строго разделять зоны действий (районы разведки) отдельных соединений как по ширине, так и по глубине. Недостаток материалов принудил также ограничивать фотографическую разведку с целью экономии пластинок и т.п. Работу авиаотрядов во время маневренной войны значительно значительно усложняла проблема поддержания связи между общевойсковым начальником и командиром отряда, а также между войсками и наблюдателем в воздухе. Можно было заранее ожидать, что недостаток автомобилей и загруженность дорог войсками будут препятствовать прямым контактам командира отряда с общевойсковым начальником. Прикомандирование к штабу дивизии одного офицера для связи с авиацией, уже практиковавшейся во время Фландрского сражения, явилось необходимым и в маневренной войне. На этого офицера возлагалось также отыскание вблизи расположения штаба дивизии площадок, на которые могли бы спускаться с донесениями летчики, поддерживающие в случаях необходимости связь на самолетах (11282).</w:t>
      </w:r>
    </w:p>
    <w:p w14:paraId="458AD3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E2C2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Зимою 1917—1918 годов германская артиллерия получила изрядное количество приемных станций. Авиация приветствовала подобное усиление радиосвязи, так как оно позволяло рассчитывать на осуществление, наконец, надежной связи между самолетом, радиостанцией и батареей, но при этом предполагалось, что новые артиллерийские радиотелеграфные станции будут служить лишь для связи на земле, так как ошибочно было думать, что они смогут поддерживать связь с наблюдателем на самолете. Последнему нужно не только работать с телеграфным ключом, но и наблюдать, а подчас и защищаться от нападения неприятельских самолетов. Таким образом, радиосвязь с самолетами с земли была чрезвычайно затруднительна. Наземному радиотелеграфисту нужны были особые способности, подготовка и опыт для обслуживания связи с самолетом. Этих необходимых качеств трудно было ожидать от артиллерийских радиотелеграфистов, прошедших весьма посредственную подготовку на аппаратах Морзе. Тем не менее в конце января 1918 года главное командование отдало приказ о передаче всего персонала и имущества радиотелеграфной службы частям связи. При каждом авиаотряде осталась в качестве прикомандированной одна аэродромная станция или же одна полевая или приемная станция вместе с персоналом. Все остальные радиотелеграфисты вместе с имуществом (за исключением аппаратов на борту самолетов) перешли в распоряжение частей связи. Это имевшее серьезные последствия решение вызвало прекращение взаимодействия между авиацией и артиллерией, и как раз в тот момент, когда необходимо было сделать эту взаимную связь как можно более надежной. Командующий воздушными силами как только мог противился осуществлению намеченных мероприятий. Он всячески подчеркивал, что уничтожение авиационных радиотелеграфных станций является серьезной угрозой рациональному использованию воздушного наблюдения. В конце концов между ним и начальником связи разгорелась борьба, окончившаяся неудачно для авиации из-за решения главного командования. К сожалению, дальнейшие события показали справедливость опасений командующего воздушными силами (11282).</w:t>
      </w:r>
    </w:p>
    <w:p w14:paraId="0B5279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0189F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34160D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236D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только 36% заказов на авиационную продукцию выполняли российские промышленники. Несмотря на то, что русская армия разваливалась, ее ВВС продолжали совершенствоваться, хотя в снабжении авиачастей по-прежнему русская авиация сильно зависела от стран Антанты (11999).</w:t>
      </w:r>
    </w:p>
    <w:p w14:paraId="631FBE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218F94"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1917 г. Сикорским не было создано ни одной новой машины. Сикорскому и его помощникам не удалось выполнить всего, что было задумано. Не удалось завершить произ</w:t>
      </w:r>
      <w:r w:rsidRPr="00FB4F67">
        <w:rPr>
          <w:rFonts w:ascii="Times New Roman" w:hAnsi="Times New Roman" w:cs="Times New Roman"/>
          <w:color w:val="0070C0"/>
          <w:sz w:val="16"/>
          <w:szCs w:val="16"/>
        </w:rPr>
        <w:softHyphen/>
        <w:t>водство всех заказанных воздушных кораблей типа «Г», довести до работоспособного состояния тип «Д», начать массовый выпуск бомбардировщиков типа «Е». Остался на бумаге и проект дальнейшего развития «Му</w:t>
      </w:r>
      <w:r w:rsidRPr="00FB4F67">
        <w:rPr>
          <w:rFonts w:ascii="Times New Roman" w:hAnsi="Times New Roman" w:cs="Times New Roman"/>
          <w:color w:val="0070C0"/>
          <w:sz w:val="16"/>
          <w:szCs w:val="16"/>
        </w:rPr>
        <w:softHyphen/>
        <w:t>ромца» — нового тяжелого самолета. С легкими маши</w:t>
      </w:r>
      <w:r w:rsidRPr="00FB4F67">
        <w:rPr>
          <w:rFonts w:ascii="Times New Roman" w:hAnsi="Times New Roman" w:cs="Times New Roman"/>
          <w:color w:val="0070C0"/>
          <w:sz w:val="16"/>
          <w:szCs w:val="16"/>
        </w:rPr>
        <w:softHyphen/>
        <w:t>нами было то же самое. Не закончена серия самолетов С-16, уникальный штурмовик С-19 и великолепный ис</w:t>
      </w:r>
      <w:r w:rsidRPr="00FB4F67">
        <w:rPr>
          <w:rFonts w:ascii="Times New Roman" w:hAnsi="Times New Roman" w:cs="Times New Roman"/>
          <w:color w:val="0070C0"/>
          <w:sz w:val="16"/>
          <w:szCs w:val="16"/>
        </w:rPr>
        <w:softHyphen/>
        <w:t>требитель С-20 так и остались в опытных образцах, не осуществлен проект нового истребителя (24177).</w:t>
      </w:r>
    </w:p>
    <w:p w14:paraId="638DEE51" w14:textId="77777777" w:rsidR="00DC0C73" w:rsidRPr="00FB4F67" w:rsidRDefault="00DC0C73" w:rsidP="0083075A">
      <w:pPr>
        <w:spacing w:after="0" w:line="240" w:lineRule="auto"/>
        <w:jc w:val="both"/>
        <w:rPr>
          <w:rFonts w:ascii="Times New Roman" w:hAnsi="Times New Roman" w:cs="Times New Roman"/>
          <w:color w:val="0070C0"/>
          <w:sz w:val="16"/>
          <w:szCs w:val="16"/>
        </w:rPr>
      </w:pPr>
    </w:p>
    <w:p w14:paraId="56FC7330"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1917 г. в условиях появления на Восточном фронте немецких истребителей класса D, вооруженных двумя синхронными пулеметами, было принято решение о повышении живучести самолета ИМ и экипажа, которое предусматривало ряд независимых мер:</w:t>
      </w:r>
    </w:p>
    <w:p w14:paraId="2DDBE981"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установку бронеспинки и защиты кабины снизу из стального листа толщиной не ниже 10 мм;</w:t>
      </w:r>
    </w:p>
    <w:p w14:paraId="6899D75F"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введение в экипировку экипажа кирас, штампованных из стали толщиной 2 мм с последующей закалкой (комплект изготовлен Ижорским заводом, кираса выдерживала попадание пули 7,62 мм с типовой дистанции, но стесняла движение и потому не применялась);</w:t>
      </w:r>
    </w:p>
    <w:p w14:paraId="70E84BB9"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 протектинование бензобаков слоями резины, войлока и брезента с последующей пропиткой в борной кислоте (для предотвращения вытекания бензина при простреле бака – первый опыт такой защиты бака в России, а возможно – и в мире и др.</w:t>
      </w:r>
    </w:p>
    <w:p w14:paraId="1AADEDD9"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Эти решения были одобрены, но не известно, было ли это выполнено, на каких самолетах и как именно (23553).</w:t>
      </w:r>
    </w:p>
    <w:p w14:paraId="1D8A5834" w14:textId="77777777" w:rsidR="00DC0C73" w:rsidRPr="00FB4F67" w:rsidRDefault="00DC0C73" w:rsidP="0083075A">
      <w:pPr>
        <w:spacing w:after="0" w:line="240" w:lineRule="auto"/>
        <w:jc w:val="both"/>
        <w:rPr>
          <w:rFonts w:ascii="Times New Roman" w:hAnsi="Times New Roman" w:cs="Times New Roman"/>
          <w:color w:val="0070C0"/>
          <w:sz w:val="16"/>
          <w:szCs w:val="16"/>
        </w:rPr>
      </w:pPr>
    </w:p>
    <w:p w14:paraId="5F668979"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течение 1917 года Слюсаренко получил заказы на 45 Morane-Saulnier G и 28 H, 20 Lebed 12, 20 Farman I V и 4 Farman 16, из 117 заказанных 63 были доставлены. Всегда возникает вопрос, сколько поставленных самолетов было фактически принято военными. Цифры для каждой компании часто различаются из-за разных источников и могут не быть исторически точными.</w:t>
      </w:r>
    </w:p>
    <w:p w14:paraId="7BB4C4D7"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1917 году Слюсаренко построил несколько единственных в своем роде собственных проектов, но они не увенчались успехом. В 1918 году красные закрыли его завод, и ему удалось эмигрировать во Францию. Его судьба неизвестна.</w:t>
      </w:r>
    </w:p>
    <w:p w14:paraId="60F05CCC" w14:textId="77777777" w:rsidR="00DC0C73" w:rsidRPr="00FB4F67" w:rsidRDefault="00DC0C73"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Его жена Лидия родилась в 1890 году и начала обучение на летчика в июне 1911 года в летной школе в Гатчине. 22 августа 1911 г. получила свидетельство пилота №31. В конце 1912 года вышла замуж за своего наставника Владимира. Лидия летала с выставками в Баку, Тифлис, Ригу. Она приобрела некоторые навыки авиаконструктора и работала со своим мужем над некоторыми проектами. 19 мая 1914 года она совершила круг на Моране в Риге. Она родила Слюсаренко сына и умерла от тифа 28 мая 1916 года в Петрограде (23525).</w:t>
      </w:r>
    </w:p>
    <w:p w14:paraId="0024DF25" w14:textId="77777777" w:rsidR="00DC0C73" w:rsidRPr="00FB4F67" w:rsidRDefault="00DC0C73" w:rsidP="0083075A">
      <w:pPr>
        <w:spacing w:after="0" w:line="240" w:lineRule="auto"/>
        <w:jc w:val="both"/>
        <w:rPr>
          <w:rFonts w:ascii="Times New Roman" w:hAnsi="Times New Roman" w:cs="Times New Roman"/>
          <w:color w:val="0070C0"/>
          <w:sz w:val="16"/>
          <w:szCs w:val="16"/>
        </w:rPr>
      </w:pPr>
    </w:p>
    <w:p w14:paraId="53D5365D" w14:textId="77777777" w:rsidR="00404660" w:rsidRPr="002F2FDF" w:rsidRDefault="00404660"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В 1917 г. Лебедев решил существенно расширить свое производство. Однако земельный участок на Комендантском аэродроме имел ограниченные размеры и не позволял осуществить грандиозные планы авиапромышленника. Поэтому Владимир Лебедев решил построить еще три завода в Таганроге, Пензе и Ярославле.</w:t>
      </w:r>
    </w:p>
    <w:p w14:paraId="3593812D" w14:textId="77777777" w:rsidR="00404660" w:rsidRPr="002F2FDF" w:rsidRDefault="00404660"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В 1917 г. Владимир Лебедев был избран Президентом Всероссийского Аэро-Клуба. Помимо этого, несмотря на его огромную занятность производственными заботами, правление Аэро-Клуба назначило Лебедева начальником авиашколы, заведующим Комендантским аэродромом и гидропланной станцией на Крестовском острове в Петрограде.</w:t>
      </w:r>
    </w:p>
    <w:p w14:paraId="76CF6AB2" w14:textId="77777777" w:rsidR="00404660" w:rsidRPr="002F2FDF" w:rsidRDefault="00404660"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К тому времени на Комендантском аэродроме были выстроены сборочные цехи и ангары многих русских авиационных заводов: Щетинина, Русско-Балтийского, Слюсаренко, Пороховщикова. В 1917 г. на северо-восточной окраине Комендантского аэродрома открылись авиационные заводы Мельцера, Засс, Ланского и других промышленников. Вообще в районе этого аэродрома к 1918 г. было сосредоточено более половины самолетостроительных предприятий России (18255).</w:t>
      </w:r>
    </w:p>
    <w:p w14:paraId="0E3D1638" w14:textId="77777777" w:rsidR="00404660" w:rsidRPr="002F2FDF" w:rsidRDefault="00404660" w:rsidP="0083075A">
      <w:pPr>
        <w:spacing w:after="0" w:line="240" w:lineRule="auto"/>
        <w:jc w:val="both"/>
        <w:rPr>
          <w:rFonts w:ascii="Times New Roman" w:eastAsia="Times New Roman" w:hAnsi="Times New Roman" w:cs="Times New Roman"/>
          <w:color w:val="000000" w:themeColor="text1"/>
          <w:sz w:val="16"/>
          <w:szCs w:val="16"/>
          <w:lang w:eastAsia="ru-RU"/>
        </w:rPr>
      </w:pPr>
    </w:p>
    <w:p w14:paraId="588A1704" w14:textId="77777777" w:rsidR="00404660" w:rsidRPr="002F2FDF" w:rsidRDefault="00404660"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По 1917 с 1909 по 1917 г. в России возникло 20 небольших авиационных заводов, которые занимались изготовлением самолетов в основном зарубежных конструкций и из импортных деталей. В течение 1915 г. армия получила с этих заводов 772 самолета, а в 1916 г. — 1384 самолета и 1398 моторов, при общей потребности 10 тыс. самолетов в год. Постройка крупного авиационного завода началась в 1916 г. в г.Херсоне, но завершить его строительство и начать выпуск продукции до конца войны так и не удалось (18411).</w:t>
      </w:r>
    </w:p>
    <w:p w14:paraId="44A1E8E4" w14:textId="77777777" w:rsidR="00404660" w:rsidRPr="002F2FDF" w:rsidRDefault="00404660" w:rsidP="0083075A">
      <w:pPr>
        <w:spacing w:after="0" w:line="240" w:lineRule="auto"/>
        <w:jc w:val="both"/>
        <w:rPr>
          <w:rFonts w:ascii="Times New Roman" w:eastAsia="Times New Roman" w:hAnsi="Times New Roman" w:cs="Times New Roman"/>
          <w:color w:val="000000" w:themeColor="text1"/>
          <w:sz w:val="16"/>
          <w:szCs w:val="16"/>
          <w:lang w:eastAsia="ru-RU"/>
        </w:rPr>
      </w:pPr>
    </w:p>
    <w:p w14:paraId="12705703" w14:textId="77777777" w:rsidR="00404660" w:rsidRPr="002F2FDF" w:rsidRDefault="00404660" w:rsidP="0083075A">
      <w:pPr>
        <w:pStyle w:val="ae"/>
        <w:spacing w:before="0" w:after="0"/>
        <w:jc w:val="both"/>
        <w:rPr>
          <w:color w:val="000000" w:themeColor="text1"/>
          <w:sz w:val="16"/>
          <w:szCs w:val="16"/>
        </w:rPr>
      </w:pPr>
      <w:r w:rsidRPr="002F2FDF">
        <w:rPr>
          <w:color w:val="000000" w:themeColor="text1"/>
          <w:sz w:val="16"/>
          <w:szCs w:val="16"/>
        </w:rPr>
        <w:t>С 1917 г. по начало 1920 г. численность работающих в самолетостроении уменьшилась в пять раз — с 10800 до 2169 человек. Отчасти это было связано с захватом предприятий на юге страны силами белых или иностранными интервентами, отчасти — с резким сокращением персонала на заводах Москвы и Петрограда (18302).</w:t>
      </w:r>
    </w:p>
    <w:p w14:paraId="7AC6BBF1" w14:textId="77777777" w:rsidR="00404660" w:rsidRPr="002F2FDF" w:rsidRDefault="00404660" w:rsidP="0083075A">
      <w:pPr>
        <w:pStyle w:val="ae"/>
        <w:spacing w:before="0" w:after="0"/>
        <w:jc w:val="both"/>
        <w:rPr>
          <w:rStyle w:val="a7"/>
          <w:rFonts w:eastAsiaTheme="majorEastAsia"/>
          <w:b w:val="0"/>
          <w:color w:val="000000" w:themeColor="text1"/>
          <w:sz w:val="16"/>
          <w:szCs w:val="16"/>
        </w:rPr>
      </w:pPr>
      <w:r w:rsidRPr="002F2FDF">
        <w:rPr>
          <w:rStyle w:val="a7"/>
          <w:rFonts w:eastAsiaTheme="majorEastAsia"/>
          <w:b w:val="0"/>
          <w:color w:val="000000" w:themeColor="text1"/>
          <w:sz w:val="16"/>
          <w:szCs w:val="16"/>
        </w:rPr>
        <w:t>Численность работников петроградских и московских самолетостроительных заводов</w:t>
      </w:r>
    </w:p>
    <w:tbl>
      <w:tblPr>
        <w:tblW w:w="21600" w:type="dxa"/>
        <w:tblCellSpacing w:w="15" w:type="dxa"/>
        <w:tblCellMar>
          <w:top w:w="15" w:type="dxa"/>
          <w:left w:w="15" w:type="dxa"/>
          <w:bottom w:w="15" w:type="dxa"/>
          <w:right w:w="15" w:type="dxa"/>
        </w:tblCellMar>
        <w:tblLook w:val="04A0" w:firstRow="1" w:lastRow="0" w:firstColumn="1" w:lastColumn="0" w:noHBand="0" w:noVBand="1"/>
      </w:tblPr>
      <w:tblGrid>
        <w:gridCol w:w="1775"/>
        <w:gridCol w:w="11120"/>
        <w:gridCol w:w="8705"/>
      </w:tblGrid>
      <w:tr w:rsidR="002B1C74" w:rsidRPr="002F2FDF" w14:paraId="6440FE4A" w14:textId="77777777" w:rsidTr="00A63911">
        <w:trPr>
          <w:tblHeader/>
          <w:tblCellSpacing w:w="15" w:type="dxa"/>
        </w:trPr>
        <w:tc>
          <w:tcPr>
            <w:tcW w:w="1730" w:type="dxa"/>
            <w:tcBorders>
              <w:bottom w:val="single" w:sz="4" w:space="0" w:color="CCCCCC"/>
            </w:tcBorders>
            <w:shd w:val="clear" w:color="auto" w:fill="auto"/>
            <w:tcMar>
              <w:top w:w="44" w:type="dxa"/>
              <w:left w:w="44" w:type="dxa"/>
              <w:bottom w:w="44" w:type="dxa"/>
              <w:right w:w="44" w:type="dxa"/>
            </w:tcMar>
            <w:vAlign w:val="center"/>
            <w:hideMark/>
          </w:tcPr>
          <w:p w14:paraId="3525130C" w14:textId="77777777" w:rsidR="00404660" w:rsidRPr="002F2FDF" w:rsidRDefault="00404660" w:rsidP="0083075A">
            <w:pPr>
              <w:spacing w:after="0" w:line="240" w:lineRule="auto"/>
              <w:jc w:val="both"/>
              <w:rPr>
                <w:rFonts w:ascii="Times New Roman" w:hAnsi="Times New Roman" w:cs="Times New Roman"/>
                <w:bCs/>
                <w:color w:val="000000" w:themeColor="text1"/>
                <w:sz w:val="16"/>
                <w:szCs w:val="16"/>
              </w:rPr>
            </w:pPr>
            <w:r w:rsidRPr="002F2FDF">
              <w:rPr>
                <w:rStyle w:val="a7"/>
                <w:rFonts w:ascii="Times New Roman" w:hAnsi="Times New Roman" w:cs="Times New Roman"/>
                <w:b w:val="0"/>
                <w:color w:val="000000" w:themeColor="text1"/>
                <w:sz w:val="16"/>
                <w:szCs w:val="16"/>
              </w:rPr>
              <w:t>Завод</w:t>
            </w:r>
          </w:p>
        </w:tc>
        <w:tc>
          <w:tcPr>
            <w:tcW w:w="11090" w:type="dxa"/>
            <w:tcBorders>
              <w:bottom w:val="single" w:sz="4" w:space="0" w:color="CCCCCC"/>
            </w:tcBorders>
            <w:shd w:val="clear" w:color="auto" w:fill="auto"/>
            <w:tcMar>
              <w:top w:w="44" w:type="dxa"/>
              <w:left w:w="44" w:type="dxa"/>
              <w:bottom w:w="44" w:type="dxa"/>
              <w:right w:w="44" w:type="dxa"/>
            </w:tcMar>
            <w:vAlign w:val="center"/>
            <w:hideMark/>
          </w:tcPr>
          <w:p w14:paraId="6A588EFF" w14:textId="77777777" w:rsidR="00404660" w:rsidRPr="002F2FDF" w:rsidRDefault="00404660" w:rsidP="0083075A">
            <w:pPr>
              <w:spacing w:after="0" w:line="240" w:lineRule="auto"/>
              <w:jc w:val="both"/>
              <w:rPr>
                <w:rFonts w:ascii="Times New Roman" w:hAnsi="Times New Roman" w:cs="Times New Roman"/>
                <w:bCs/>
                <w:color w:val="000000" w:themeColor="text1"/>
                <w:sz w:val="16"/>
                <w:szCs w:val="16"/>
              </w:rPr>
            </w:pPr>
            <w:r w:rsidRPr="002F2FDF">
              <w:rPr>
                <w:rStyle w:val="a7"/>
                <w:rFonts w:ascii="Times New Roman" w:hAnsi="Times New Roman" w:cs="Times New Roman"/>
                <w:b w:val="0"/>
                <w:color w:val="000000" w:themeColor="text1"/>
                <w:sz w:val="16"/>
                <w:szCs w:val="16"/>
              </w:rPr>
              <w:t>1917 г.</w:t>
            </w:r>
          </w:p>
        </w:tc>
        <w:tc>
          <w:tcPr>
            <w:tcW w:w="0" w:type="auto"/>
            <w:tcBorders>
              <w:bottom w:val="single" w:sz="4" w:space="0" w:color="CCCCCC"/>
            </w:tcBorders>
            <w:shd w:val="clear" w:color="auto" w:fill="4B75B1"/>
            <w:tcMar>
              <w:top w:w="44" w:type="dxa"/>
              <w:left w:w="44" w:type="dxa"/>
              <w:bottom w:w="44" w:type="dxa"/>
              <w:right w:w="44" w:type="dxa"/>
            </w:tcMar>
            <w:vAlign w:val="center"/>
            <w:hideMark/>
          </w:tcPr>
          <w:p w14:paraId="6272AC18" w14:textId="77777777" w:rsidR="00404660" w:rsidRPr="002F2FDF" w:rsidRDefault="00404660" w:rsidP="0083075A">
            <w:pPr>
              <w:spacing w:after="0" w:line="240" w:lineRule="auto"/>
              <w:jc w:val="both"/>
              <w:rPr>
                <w:rFonts w:ascii="Times New Roman" w:hAnsi="Times New Roman" w:cs="Times New Roman"/>
                <w:bCs/>
                <w:color w:val="000000" w:themeColor="text1"/>
                <w:sz w:val="16"/>
                <w:szCs w:val="16"/>
              </w:rPr>
            </w:pPr>
            <w:r w:rsidRPr="002F2FDF">
              <w:rPr>
                <w:rStyle w:val="a7"/>
                <w:rFonts w:ascii="Times New Roman" w:hAnsi="Times New Roman" w:cs="Times New Roman"/>
                <w:b w:val="0"/>
                <w:color w:val="000000" w:themeColor="text1"/>
                <w:sz w:val="16"/>
                <w:szCs w:val="16"/>
              </w:rPr>
              <w:t>март 1920 г.</w:t>
            </w:r>
          </w:p>
        </w:tc>
      </w:tr>
      <w:tr w:rsidR="002B1C74" w:rsidRPr="002F2FDF" w14:paraId="0AA345F0" w14:textId="77777777" w:rsidTr="00A63911">
        <w:trPr>
          <w:tblCellSpacing w:w="15" w:type="dxa"/>
        </w:trPr>
        <w:tc>
          <w:tcPr>
            <w:tcW w:w="1730" w:type="dxa"/>
            <w:tcBorders>
              <w:top w:val="single" w:sz="4" w:space="0" w:color="auto"/>
              <w:left w:val="single" w:sz="4" w:space="0" w:color="auto"/>
              <w:bottom w:val="single" w:sz="4" w:space="0" w:color="auto"/>
              <w:right w:val="single" w:sz="4" w:space="0" w:color="auto"/>
            </w:tcBorders>
            <w:shd w:val="clear" w:color="auto" w:fill="auto"/>
            <w:tcMar>
              <w:top w:w="44" w:type="dxa"/>
              <w:left w:w="44" w:type="dxa"/>
              <w:bottom w:w="44" w:type="dxa"/>
              <w:right w:w="44" w:type="dxa"/>
            </w:tcMar>
            <w:vAlign w:val="center"/>
            <w:hideMark/>
          </w:tcPr>
          <w:p w14:paraId="2C685A77" w14:textId="77777777" w:rsidR="00404660" w:rsidRPr="002F2FDF" w:rsidRDefault="00404660" w:rsidP="0083075A">
            <w:pPr>
              <w:spacing w:after="0" w:line="240" w:lineRule="auto"/>
              <w:jc w:val="both"/>
              <w:rPr>
                <w:rFonts w:ascii="Times New Roman" w:hAnsi="Times New Roman" w:cs="Times New Roman"/>
                <w:color w:val="000000" w:themeColor="text1"/>
                <w:sz w:val="16"/>
                <w:szCs w:val="16"/>
              </w:rPr>
            </w:pPr>
            <w:r w:rsidRPr="002F2FDF">
              <w:rPr>
                <w:rStyle w:val="a7"/>
                <w:rFonts w:ascii="Times New Roman" w:hAnsi="Times New Roman" w:cs="Times New Roman"/>
                <w:b w:val="0"/>
                <w:color w:val="000000" w:themeColor="text1"/>
                <w:sz w:val="16"/>
                <w:szCs w:val="16"/>
              </w:rPr>
              <w:t>Дукс</w:t>
            </w:r>
          </w:p>
        </w:tc>
        <w:tc>
          <w:tcPr>
            <w:tcW w:w="11090" w:type="dxa"/>
            <w:tcBorders>
              <w:top w:val="single" w:sz="4" w:space="0" w:color="auto"/>
              <w:left w:val="single" w:sz="4" w:space="0" w:color="auto"/>
              <w:bottom w:val="single" w:sz="4" w:space="0" w:color="auto"/>
              <w:right w:val="single" w:sz="4" w:space="0" w:color="auto"/>
            </w:tcBorders>
            <w:shd w:val="clear" w:color="auto" w:fill="auto"/>
            <w:tcMar>
              <w:top w:w="44" w:type="dxa"/>
              <w:left w:w="44" w:type="dxa"/>
              <w:bottom w:w="44" w:type="dxa"/>
              <w:right w:w="44" w:type="dxa"/>
            </w:tcMar>
            <w:vAlign w:val="center"/>
            <w:hideMark/>
          </w:tcPr>
          <w:p w14:paraId="3A634B31" w14:textId="77777777" w:rsidR="00404660" w:rsidRPr="002F2FDF" w:rsidRDefault="0040466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2500</w:t>
            </w:r>
          </w:p>
        </w:tc>
        <w:tc>
          <w:tcPr>
            <w:tcW w:w="0" w:type="auto"/>
            <w:tcBorders>
              <w:bottom w:val="single" w:sz="4" w:space="0" w:color="DDDDDD"/>
            </w:tcBorders>
            <w:tcMar>
              <w:top w:w="44" w:type="dxa"/>
              <w:left w:w="44" w:type="dxa"/>
              <w:bottom w:w="44" w:type="dxa"/>
              <w:right w:w="44" w:type="dxa"/>
            </w:tcMar>
            <w:vAlign w:val="center"/>
            <w:hideMark/>
          </w:tcPr>
          <w:p w14:paraId="0E4866FA" w14:textId="77777777" w:rsidR="00404660" w:rsidRPr="002F2FDF" w:rsidRDefault="0040466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1301</w:t>
            </w:r>
          </w:p>
        </w:tc>
      </w:tr>
      <w:tr w:rsidR="002B1C74" w:rsidRPr="002F2FDF" w14:paraId="0114F5E8" w14:textId="77777777" w:rsidTr="00A63911">
        <w:trPr>
          <w:tblCellSpacing w:w="15" w:type="dxa"/>
        </w:trPr>
        <w:tc>
          <w:tcPr>
            <w:tcW w:w="1730" w:type="dxa"/>
            <w:tcBorders>
              <w:top w:val="single" w:sz="4" w:space="0" w:color="auto"/>
              <w:left w:val="single" w:sz="4" w:space="0" w:color="auto"/>
              <w:bottom w:val="single" w:sz="4" w:space="0" w:color="auto"/>
              <w:right w:val="single" w:sz="4" w:space="0" w:color="auto"/>
            </w:tcBorders>
            <w:shd w:val="clear" w:color="auto" w:fill="auto"/>
            <w:tcMar>
              <w:top w:w="44" w:type="dxa"/>
              <w:left w:w="44" w:type="dxa"/>
              <w:bottom w:w="44" w:type="dxa"/>
              <w:right w:w="44" w:type="dxa"/>
            </w:tcMar>
            <w:vAlign w:val="center"/>
            <w:hideMark/>
          </w:tcPr>
          <w:p w14:paraId="34BEB5BF" w14:textId="77777777" w:rsidR="00404660" w:rsidRPr="002F2FDF" w:rsidRDefault="00404660" w:rsidP="0083075A">
            <w:pPr>
              <w:spacing w:after="0" w:line="240" w:lineRule="auto"/>
              <w:jc w:val="both"/>
              <w:rPr>
                <w:rFonts w:ascii="Times New Roman" w:hAnsi="Times New Roman" w:cs="Times New Roman"/>
                <w:color w:val="000000" w:themeColor="text1"/>
                <w:sz w:val="16"/>
                <w:szCs w:val="16"/>
              </w:rPr>
            </w:pPr>
            <w:r w:rsidRPr="002F2FDF">
              <w:rPr>
                <w:rStyle w:val="a7"/>
                <w:rFonts w:ascii="Times New Roman" w:hAnsi="Times New Roman" w:cs="Times New Roman"/>
                <w:b w:val="0"/>
                <w:color w:val="000000" w:themeColor="text1"/>
                <w:sz w:val="16"/>
                <w:szCs w:val="16"/>
              </w:rPr>
              <w:lastRenderedPageBreak/>
              <w:t>Моска</w:t>
            </w:r>
          </w:p>
        </w:tc>
        <w:tc>
          <w:tcPr>
            <w:tcW w:w="11090" w:type="dxa"/>
            <w:tcBorders>
              <w:top w:val="single" w:sz="4" w:space="0" w:color="auto"/>
              <w:left w:val="single" w:sz="4" w:space="0" w:color="auto"/>
              <w:bottom w:val="single" w:sz="4" w:space="0" w:color="auto"/>
              <w:right w:val="single" w:sz="4" w:space="0" w:color="auto"/>
            </w:tcBorders>
            <w:shd w:val="clear" w:color="auto" w:fill="auto"/>
            <w:tcMar>
              <w:top w:w="44" w:type="dxa"/>
              <w:left w:w="44" w:type="dxa"/>
              <w:bottom w:w="44" w:type="dxa"/>
              <w:right w:w="44" w:type="dxa"/>
            </w:tcMar>
            <w:vAlign w:val="center"/>
            <w:hideMark/>
          </w:tcPr>
          <w:p w14:paraId="134F24A6" w14:textId="77777777" w:rsidR="00404660" w:rsidRPr="002F2FDF" w:rsidRDefault="0040466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313</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E3DB9FD" w14:textId="77777777" w:rsidR="00404660" w:rsidRPr="002F2FDF" w:rsidRDefault="0040466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190</w:t>
            </w:r>
          </w:p>
        </w:tc>
      </w:tr>
      <w:tr w:rsidR="002B1C74" w:rsidRPr="002F2FDF" w14:paraId="7061E792" w14:textId="77777777" w:rsidTr="00A63911">
        <w:trPr>
          <w:tblCellSpacing w:w="15" w:type="dxa"/>
        </w:trPr>
        <w:tc>
          <w:tcPr>
            <w:tcW w:w="1730" w:type="dxa"/>
            <w:tcBorders>
              <w:top w:val="single" w:sz="4" w:space="0" w:color="auto"/>
              <w:left w:val="single" w:sz="4" w:space="0" w:color="auto"/>
              <w:bottom w:val="single" w:sz="4" w:space="0" w:color="auto"/>
              <w:right w:val="single" w:sz="4" w:space="0" w:color="auto"/>
            </w:tcBorders>
            <w:shd w:val="clear" w:color="auto" w:fill="auto"/>
            <w:tcMar>
              <w:top w:w="44" w:type="dxa"/>
              <w:left w:w="44" w:type="dxa"/>
              <w:bottom w:w="44" w:type="dxa"/>
              <w:right w:w="44" w:type="dxa"/>
            </w:tcMar>
            <w:vAlign w:val="center"/>
            <w:hideMark/>
          </w:tcPr>
          <w:p w14:paraId="1C2A7457" w14:textId="77777777" w:rsidR="00404660" w:rsidRPr="002F2FDF" w:rsidRDefault="00404660" w:rsidP="0083075A">
            <w:pPr>
              <w:spacing w:after="0" w:line="240" w:lineRule="auto"/>
              <w:jc w:val="both"/>
              <w:rPr>
                <w:rFonts w:ascii="Times New Roman" w:hAnsi="Times New Roman" w:cs="Times New Roman"/>
                <w:color w:val="000000" w:themeColor="text1"/>
                <w:sz w:val="16"/>
                <w:szCs w:val="16"/>
              </w:rPr>
            </w:pPr>
            <w:r w:rsidRPr="002F2FDF">
              <w:rPr>
                <w:rStyle w:val="a7"/>
                <w:rFonts w:ascii="Times New Roman" w:hAnsi="Times New Roman" w:cs="Times New Roman"/>
                <w:b w:val="0"/>
                <w:color w:val="000000" w:themeColor="text1"/>
                <w:sz w:val="16"/>
                <w:szCs w:val="16"/>
              </w:rPr>
              <w:t>Гамаюн</w:t>
            </w:r>
          </w:p>
        </w:tc>
        <w:tc>
          <w:tcPr>
            <w:tcW w:w="11090" w:type="dxa"/>
            <w:tcBorders>
              <w:top w:val="single" w:sz="4" w:space="0" w:color="auto"/>
              <w:left w:val="single" w:sz="4" w:space="0" w:color="auto"/>
              <w:bottom w:val="single" w:sz="4" w:space="0" w:color="auto"/>
              <w:right w:val="single" w:sz="4" w:space="0" w:color="auto"/>
            </w:tcBorders>
            <w:shd w:val="clear" w:color="auto" w:fill="auto"/>
            <w:tcMar>
              <w:top w:w="44" w:type="dxa"/>
              <w:left w:w="44" w:type="dxa"/>
              <w:bottom w:w="44" w:type="dxa"/>
              <w:right w:w="44" w:type="dxa"/>
            </w:tcMar>
            <w:vAlign w:val="center"/>
            <w:hideMark/>
          </w:tcPr>
          <w:p w14:paraId="23BDE3C8" w14:textId="77777777" w:rsidR="00404660" w:rsidRPr="002F2FDF" w:rsidRDefault="0040466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1530</w:t>
            </w:r>
          </w:p>
        </w:tc>
        <w:tc>
          <w:tcPr>
            <w:tcW w:w="0" w:type="auto"/>
            <w:tcBorders>
              <w:bottom w:val="single" w:sz="4" w:space="0" w:color="DDDDDD"/>
            </w:tcBorders>
            <w:tcMar>
              <w:top w:w="44" w:type="dxa"/>
              <w:left w:w="44" w:type="dxa"/>
              <w:bottom w:w="44" w:type="dxa"/>
              <w:right w:w="44" w:type="dxa"/>
            </w:tcMar>
            <w:vAlign w:val="center"/>
            <w:hideMark/>
          </w:tcPr>
          <w:p w14:paraId="46D83B25" w14:textId="77777777" w:rsidR="00404660" w:rsidRPr="002F2FDF" w:rsidRDefault="0040466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469</w:t>
            </w:r>
          </w:p>
        </w:tc>
      </w:tr>
      <w:tr w:rsidR="002B1C74" w:rsidRPr="002F2FDF" w14:paraId="729A12C0" w14:textId="77777777" w:rsidTr="00A63911">
        <w:trPr>
          <w:tblCellSpacing w:w="15" w:type="dxa"/>
        </w:trPr>
        <w:tc>
          <w:tcPr>
            <w:tcW w:w="1730" w:type="dxa"/>
            <w:tcBorders>
              <w:top w:val="single" w:sz="4" w:space="0" w:color="auto"/>
              <w:left w:val="single" w:sz="4" w:space="0" w:color="auto"/>
              <w:bottom w:val="single" w:sz="4" w:space="0" w:color="auto"/>
              <w:right w:val="single" w:sz="4" w:space="0" w:color="auto"/>
            </w:tcBorders>
            <w:shd w:val="clear" w:color="auto" w:fill="auto"/>
            <w:tcMar>
              <w:top w:w="44" w:type="dxa"/>
              <w:left w:w="44" w:type="dxa"/>
              <w:bottom w:w="44" w:type="dxa"/>
              <w:right w:w="44" w:type="dxa"/>
            </w:tcMar>
            <w:vAlign w:val="center"/>
            <w:hideMark/>
          </w:tcPr>
          <w:p w14:paraId="76FDCE90" w14:textId="77777777" w:rsidR="00404660" w:rsidRPr="002F2FDF" w:rsidRDefault="00404660" w:rsidP="0083075A">
            <w:pPr>
              <w:spacing w:after="0" w:line="240" w:lineRule="auto"/>
              <w:jc w:val="both"/>
              <w:rPr>
                <w:rFonts w:ascii="Times New Roman" w:hAnsi="Times New Roman" w:cs="Times New Roman"/>
                <w:color w:val="000000" w:themeColor="text1"/>
                <w:sz w:val="16"/>
                <w:szCs w:val="16"/>
              </w:rPr>
            </w:pPr>
            <w:r w:rsidRPr="002F2FDF">
              <w:rPr>
                <w:rStyle w:val="a7"/>
                <w:rFonts w:ascii="Times New Roman" w:hAnsi="Times New Roman" w:cs="Times New Roman"/>
                <w:b w:val="0"/>
                <w:color w:val="000000" w:themeColor="text1"/>
                <w:sz w:val="16"/>
                <w:szCs w:val="16"/>
              </w:rPr>
              <w:t>Лебедев</w:t>
            </w:r>
          </w:p>
        </w:tc>
        <w:tc>
          <w:tcPr>
            <w:tcW w:w="11090" w:type="dxa"/>
            <w:tcBorders>
              <w:top w:val="single" w:sz="4" w:space="0" w:color="auto"/>
              <w:left w:val="single" w:sz="4" w:space="0" w:color="auto"/>
              <w:bottom w:val="single" w:sz="4" w:space="0" w:color="auto"/>
              <w:right w:val="single" w:sz="4" w:space="0" w:color="auto"/>
            </w:tcBorders>
            <w:shd w:val="clear" w:color="auto" w:fill="auto"/>
            <w:tcMar>
              <w:top w:w="44" w:type="dxa"/>
              <w:left w:w="44" w:type="dxa"/>
              <w:bottom w:w="44" w:type="dxa"/>
              <w:right w:w="44" w:type="dxa"/>
            </w:tcMar>
            <w:vAlign w:val="center"/>
            <w:hideMark/>
          </w:tcPr>
          <w:p w14:paraId="01EA5457" w14:textId="77777777" w:rsidR="00404660" w:rsidRPr="002F2FDF" w:rsidRDefault="0040466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1435</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15B241FC" w14:textId="77777777" w:rsidR="00404660" w:rsidRPr="002F2FDF" w:rsidRDefault="0040466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180</w:t>
            </w:r>
          </w:p>
        </w:tc>
      </w:tr>
      <w:tr w:rsidR="002B1C74" w:rsidRPr="002F2FDF" w14:paraId="45C2F293" w14:textId="77777777" w:rsidTr="00A63911">
        <w:trPr>
          <w:tblCellSpacing w:w="15" w:type="dxa"/>
        </w:trPr>
        <w:tc>
          <w:tcPr>
            <w:tcW w:w="1730" w:type="dxa"/>
            <w:tcBorders>
              <w:top w:val="single" w:sz="4" w:space="0" w:color="auto"/>
              <w:left w:val="single" w:sz="4" w:space="0" w:color="auto"/>
              <w:bottom w:val="single" w:sz="4" w:space="0" w:color="auto"/>
              <w:right w:val="single" w:sz="4" w:space="0" w:color="auto"/>
            </w:tcBorders>
            <w:shd w:val="clear" w:color="auto" w:fill="auto"/>
            <w:tcMar>
              <w:top w:w="44" w:type="dxa"/>
              <w:left w:w="44" w:type="dxa"/>
              <w:bottom w:w="44" w:type="dxa"/>
              <w:right w:w="44" w:type="dxa"/>
            </w:tcMar>
            <w:vAlign w:val="center"/>
            <w:hideMark/>
          </w:tcPr>
          <w:p w14:paraId="1BCE350E" w14:textId="77777777" w:rsidR="00404660" w:rsidRPr="002F2FDF" w:rsidRDefault="00404660" w:rsidP="0083075A">
            <w:pPr>
              <w:spacing w:after="0" w:line="240" w:lineRule="auto"/>
              <w:jc w:val="both"/>
              <w:rPr>
                <w:rFonts w:ascii="Times New Roman" w:hAnsi="Times New Roman" w:cs="Times New Roman"/>
                <w:color w:val="000000" w:themeColor="text1"/>
                <w:sz w:val="16"/>
                <w:szCs w:val="16"/>
              </w:rPr>
            </w:pPr>
            <w:r w:rsidRPr="002F2FDF">
              <w:rPr>
                <w:rStyle w:val="a7"/>
                <w:rFonts w:ascii="Times New Roman" w:hAnsi="Times New Roman" w:cs="Times New Roman"/>
                <w:b w:val="0"/>
                <w:color w:val="000000" w:themeColor="text1"/>
                <w:sz w:val="16"/>
                <w:szCs w:val="16"/>
              </w:rPr>
              <w:t>Авиа-Балт</w:t>
            </w:r>
          </w:p>
        </w:tc>
        <w:tc>
          <w:tcPr>
            <w:tcW w:w="11090" w:type="dxa"/>
            <w:tcBorders>
              <w:top w:val="single" w:sz="4" w:space="0" w:color="auto"/>
              <w:left w:val="single" w:sz="4" w:space="0" w:color="auto"/>
              <w:bottom w:val="single" w:sz="4" w:space="0" w:color="auto"/>
              <w:right w:val="single" w:sz="4" w:space="0" w:color="auto"/>
            </w:tcBorders>
            <w:shd w:val="clear" w:color="auto" w:fill="auto"/>
            <w:tcMar>
              <w:top w:w="44" w:type="dxa"/>
              <w:left w:w="44" w:type="dxa"/>
              <w:bottom w:w="44" w:type="dxa"/>
              <w:right w:w="44" w:type="dxa"/>
            </w:tcMar>
            <w:vAlign w:val="center"/>
            <w:hideMark/>
          </w:tcPr>
          <w:p w14:paraId="50D623BD" w14:textId="77777777" w:rsidR="00404660" w:rsidRPr="002F2FDF" w:rsidRDefault="0040466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475</w:t>
            </w:r>
          </w:p>
        </w:tc>
        <w:tc>
          <w:tcPr>
            <w:tcW w:w="0" w:type="auto"/>
            <w:tcBorders>
              <w:bottom w:val="single" w:sz="4" w:space="0" w:color="DDDDDD"/>
            </w:tcBorders>
            <w:tcMar>
              <w:top w:w="44" w:type="dxa"/>
              <w:left w:w="44" w:type="dxa"/>
              <w:bottom w:w="44" w:type="dxa"/>
              <w:right w:w="44" w:type="dxa"/>
            </w:tcMar>
            <w:vAlign w:val="center"/>
            <w:hideMark/>
          </w:tcPr>
          <w:p w14:paraId="4225F8B4" w14:textId="77777777" w:rsidR="00404660" w:rsidRPr="002F2FDF" w:rsidRDefault="00404660"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29</w:t>
            </w:r>
          </w:p>
        </w:tc>
      </w:tr>
    </w:tbl>
    <w:p w14:paraId="62E0BB6E" w14:textId="77777777" w:rsidR="00404660" w:rsidRPr="002F2FDF" w:rsidRDefault="00404660" w:rsidP="0083075A">
      <w:pPr>
        <w:pStyle w:val="ae"/>
        <w:spacing w:before="0" w:after="0"/>
        <w:jc w:val="both"/>
        <w:rPr>
          <w:color w:val="000000" w:themeColor="text1"/>
          <w:sz w:val="16"/>
          <w:szCs w:val="16"/>
        </w:rPr>
      </w:pPr>
      <w:r w:rsidRPr="002F2FDF">
        <w:rPr>
          <w:color w:val="000000" w:themeColor="text1"/>
          <w:sz w:val="16"/>
          <w:szCs w:val="16"/>
        </w:rPr>
        <w:t>(18302).</w:t>
      </w:r>
    </w:p>
    <w:p w14:paraId="6283567B" w14:textId="77777777" w:rsidR="00404660" w:rsidRPr="002F2FDF" w:rsidRDefault="00404660" w:rsidP="0083075A">
      <w:pPr>
        <w:pStyle w:val="ae"/>
        <w:spacing w:before="0" w:after="0"/>
        <w:jc w:val="both"/>
        <w:rPr>
          <w:color w:val="000000" w:themeColor="text1"/>
          <w:sz w:val="16"/>
          <w:szCs w:val="16"/>
        </w:rPr>
      </w:pPr>
    </w:p>
    <w:p w14:paraId="63999F9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младший механик 6-го авиапарка унтер-офицер Иван Иванович Диль построил двухместный фюзеляжный биплан с изменяемым углом установки крыльев. Двигатель “Рон” в 80 л.с. закры</w:t>
      </w:r>
      <w:r w:rsidRPr="002F2FDF">
        <w:rPr>
          <w:rFonts w:ascii="Times New Roman" w:hAnsi="Times New Roman" w:cs="Times New Roman"/>
          <w:color w:val="000000" w:themeColor="text1"/>
          <w:kern w:val="2"/>
          <w:sz w:val="16"/>
          <w:szCs w:val="16"/>
        </w:rPr>
        <w:softHyphen/>
        <w:t>вался круглым капотом. Коробка крыльев односто-ечная с одинарными стойками и расчалками. Верх</w:t>
      </w:r>
      <w:r w:rsidRPr="002F2FDF">
        <w:rPr>
          <w:rFonts w:ascii="Times New Roman" w:hAnsi="Times New Roman" w:cs="Times New Roman"/>
          <w:color w:val="000000" w:themeColor="text1"/>
          <w:kern w:val="2"/>
          <w:sz w:val="16"/>
          <w:szCs w:val="16"/>
        </w:rPr>
        <w:softHyphen/>
        <w:t>нее крыло по размаху и хорде немного больше ниж</w:t>
      </w:r>
      <w:r w:rsidRPr="002F2FDF">
        <w:rPr>
          <w:rFonts w:ascii="Times New Roman" w:hAnsi="Times New Roman" w:cs="Times New Roman"/>
          <w:color w:val="000000" w:themeColor="text1"/>
          <w:kern w:val="2"/>
          <w:sz w:val="16"/>
          <w:szCs w:val="16"/>
        </w:rPr>
        <w:softHyphen/>
        <w:t>него и разделено на две части просветом над фюзеляжем. У летчика-наблюдателя имелась вращаю</w:t>
      </w:r>
      <w:r w:rsidRPr="002F2FDF">
        <w:rPr>
          <w:rFonts w:ascii="Times New Roman" w:hAnsi="Times New Roman" w:cs="Times New Roman"/>
          <w:color w:val="000000" w:themeColor="text1"/>
          <w:kern w:val="2"/>
          <w:sz w:val="16"/>
          <w:szCs w:val="16"/>
        </w:rPr>
        <w:softHyphen/>
        <w:t>щаяся пулеметная установка (553).</w:t>
      </w:r>
    </w:p>
    <w:p w14:paraId="178D890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CEAB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1917 построили 1900 самолетов, а всего за время войны - 5700, в т.ч. 240 РБВЗ, 1360 - заводом Т.Т.Щетинина, 1733 - Дукс, 138 - Слюсаренко, 700 - Лебедева, 140 - Моска, 1056 - Анатра (438,377):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939"/>
        <w:gridCol w:w="939"/>
        <w:gridCol w:w="939"/>
        <w:gridCol w:w="939"/>
        <w:gridCol w:w="939"/>
        <w:gridCol w:w="939"/>
        <w:gridCol w:w="939"/>
        <w:gridCol w:w="939"/>
        <w:gridCol w:w="939"/>
      </w:tblGrid>
      <w:tr w:rsidR="002B1C74" w:rsidRPr="002F2FDF" w14:paraId="446D4F5D" w14:textId="77777777">
        <w:tc>
          <w:tcPr>
            <w:tcW w:w="939" w:type="dxa"/>
          </w:tcPr>
          <w:p w14:paraId="329480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Предприятие</w:t>
            </w:r>
          </w:p>
        </w:tc>
        <w:tc>
          <w:tcPr>
            <w:tcW w:w="939" w:type="dxa"/>
          </w:tcPr>
          <w:p w14:paraId="0604E0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1909</w:t>
            </w:r>
          </w:p>
        </w:tc>
        <w:tc>
          <w:tcPr>
            <w:tcW w:w="939" w:type="dxa"/>
          </w:tcPr>
          <w:p w14:paraId="042D74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1910</w:t>
            </w:r>
          </w:p>
        </w:tc>
        <w:tc>
          <w:tcPr>
            <w:tcW w:w="939" w:type="dxa"/>
          </w:tcPr>
          <w:p w14:paraId="5EE37F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1911</w:t>
            </w:r>
          </w:p>
        </w:tc>
        <w:tc>
          <w:tcPr>
            <w:tcW w:w="939" w:type="dxa"/>
          </w:tcPr>
          <w:p w14:paraId="588ED9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1912</w:t>
            </w:r>
          </w:p>
        </w:tc>
        <w:tc>
          <w:tcPr>
            <w:tcW w:w="939" w:type="dxa"/>
          </w:tcPr>
          <w:p w14:paraId="7B4024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1913</w:t>
            </w:r>
          </w:p>
        </w:tc>
        <w:tc>
          <w:tcPr>
            <w:tcW w:w="939" w:type="dxa"/>
          </w:tcPr>
          <w:p w14:paraId="66D727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tc>
        <w:tc>
          <w:tcPr>
            <w:tcW w:w="939" w:type="dxa"/>
          </w:tcPr>
          <w:p w14:paraId="670E22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tc>
        <w:tc>
          <w:tcPr>
            <w:tcW w:w="939" w:type="dxa"/>
          </w:tcPr>
          <w:p w14:paraId="245EDF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939" w:type="dxa"/>
          </w:tcPr>
          <w:p w14:paraId="66BF5E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w:t>
            </w:r>
          </w:p>
        </w:tc>
        <w:tc>
          <w:tcPr>
            <w:tcW w:w="939" w:type="dxa"/>
          </w:tcPr>
          <w:p w14:paraId="56A9A0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r>
      <w:tr w:rsidR="002B1C74" w:rsidRPr="002F2FDF" w14:paraId="0BEA428E" w14:textId="77777777">
        <w:tc>
          <w:tcPr>
            <w:tcW w:w="939" w:type="dxa"/>
          </w:tcPr>
          <w:p w14:paraId="308A71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РБВЗ</w:t>
            </w:r>
          </w:p>
        </w:tc>
        <w:tc>
          <w:tcPr>
            <w:tcW w:w="939" w:type="dxa"/>
          </w:tcPr>
          <w:p w14:paraId="4A29CB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406A11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939" w:type="dxa"/>
          </w:tcPr>
          <w:p w14:paraId="401B5C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939" w:type="dxa"/>
          </w:tcPr>
          <w:p w14:paraId="74A964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939" w:type="dxa"/>
          </w:tcPr>
          <w:p w14:paraId="21855E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w:t>
            </w:r>
          </w:p>
        </w:tc>
        <w:tc>
          <w:tcPr>
            <w:tcW w:w="939" w:type="dxa"/>
          </w:tcPr>
          <w:p w14:paraId="147DDC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w:t>
            </w:r>
          </w:p>
        </w:tc>
        <w:tc>
          <w:tcPr>
            <w:tcW w:w="939" w:type="dxa"/>
          </w:tcPr>
          <w:p w14:paraId="3B85A7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939" w:type="dxa"/>
          </w:tcPr>
          <w:p w14:paraId="116503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w:t>
            </w:r>
          </w:p>
        </w:tc>
        <w:tc>
          <w:tcPr>
            <w:tcW w:w="939" w:type="dxa"/>
          </w:tcPr>
          <w:p w14:paraId="6B42E3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939" w:type="dxa"/>
          </w:tcPr>
          <w:p w14:paraId="00139F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w:t>
            </w:r>
          </w:p>
        </w:tc>
      </w:tr>
      <w:tr w:rsidR="002B1C74" w:rsidRPr="002F2FDF" w14:paraId="6B28EF90" w14:textId="77777777">
        <w:tc>
          <w:tcPr>
            <w:tcW w:w="939" w:type="dxa"/>
          </w:tcPr>
          <w:p w14:paraId="3507E8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 Щетинина</w:t>
            </w:r>
          </w:p>
        </w:tc>
        <w:tc>
          <w:tcPr>
            <w:tcW w:w="939" w:type="dxa"/>
          </w:tcPr>
          <w:p w14:paraId="0B76FB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6E9A66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939" w:type="dxa"/>
          </w:tcPr>
          <w:p w14:paraId="3469FE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939" w:type="dxa"/>
          </w:tcPr>
          <w:p w14:paraId="61447F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w:t>
            </w:r>
          </w:p>
        </w:tc>
        <w:tc>
          <w:tcPr>
            <w:tcW w:w="939" w:type="dxa"/>
          </w:tcPr>
          <w:p w14:paraId="1BD6B4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939" w:type="dxa"/>
          </w:tcPr>
          <w:p w14:paraId="16CC09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w:t>
            </w:r>
          </w:p>
        </w:tc>
        <w:tc>
          <w:tcPr>
            <w:tcW w:w="939" w:type="dxa"/>
          </w:tcPr>
          <w:p w14:paraId="2C88FE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250</w:t>
            </w:r>
          </w:p>
        </w:tc>
        <w:tc>
          <w:tcPr>
            <w:tcW w:w="939" w:type="dxa"/>
          </w:tcPr>
          <w:p w14:paraId="1EA4F2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460</w:t>
            </w:r>
          </w:p>
        </w:tc>
        <w:tc>
          <w:tcPr>
            <w:tcW w:w="939" w:type="dxa"/>
          </w:tcPr>
          <w:p w14:paraId="38E660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400</w:t>
            </w:r>
          </w:p>
        </w:tc>
        <w:tc>
          <w:tcPr>
            <w:tcW w:w="939" w:type="dxa"/>
          </w:tcPr>
          <w:p w14:paraId="790FB8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1354</w:t>
            </w:r>
          </w:p>
        </w:tc>
      </w:tr>
      <w:tr w:rsidR="002B1C74" w:rsidRPr="002F2FDF" w14:paraId="1DD03C26" w14:textId="77777777">
        <w:tc>
          <w:tcPr>
            <w:tcW w:w="939" w:type="dxa"/>
          </w:tcPr>
          <w:p w14:paraId="1C7B53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 Лебедева</w:t>
            </w:r>
          </w:p>
        </w:tc>
        <w:tc>
          <w:tcPr>
            <w:tcW w:w="939" w:type="dxa"/>
          </w:tcPr>
          <w:p w14:paraId="423CA7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2BED4C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49A3D4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2D24C6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76EA86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1E3C7D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w:t>
            </w:r>
          </w:p>
        </w:tc>
        <w:tc>
          <w:tcPr>
            <w:tcW w:w="939" w:type="dxa"/>
          </w:tcPr>
          <w:p w14:paraId="11AD20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w:t>
            </w:r>
          </w:p>
        </w:tc>
        <w:tc>
          <w:tcPr>
            <w:tcW w:w="939" w:type="dxa"/>
          </w:tcPr>
          <w:p w14:paraId="39B719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w:t>
            </w:r>
          </w:p>
        </w:tc>
        <w:tc>
          <w:tcPr>
            <w:tcW w:w="939" w:type="dxa"/>
          </w:tcPr>
          <w:p w14:paraId="4051EA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223</w:t>
            </w:r>
          </w:p>
        </w:tc>
        <w:tc>
          <w:tcPr>
            <w:tcW w:w="939" w:type="dxa"/>
          </w:tcPr>
          <w:p w14:paraId="21964B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700</w:t>
            </w:r>
          </w:p>
        </w:tc>
      </w:tr>
      <w:tr w:rsidR="002B1C74" w:rsidRPr="002F2FDF" w14:paraId="4B38C92B" w14:textId="77777777">
        <w:tc>
          <w:tcPr>
            <w:tcW w:w="939" w:type="dxa"/>
          </w:tcPr>
          <w:p w14:paraId="58A036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 Слюсаренко</w:t>
            </w:r>
          </w:p>
        </w:tc>
        <w:tc>
          <w:tcPr>
            <w:tcW w:w="939" w:type="dxa"/>
          </w:tcPr>
          <w:p w14:paraId="154480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000975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05EE2E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1D8582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25F4F9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421182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939" w:type="dxa"/>
          </w:tcPr>
          <w:p w14:paraId="34C529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939" w:type="dxa"/>
          </w:tcPr>
          <w:p w14:paraId="0AC58E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w:t>
            </w:r>
          </w:p>
        </w:tc>
        <w:tc>
          <w:tcPr>
            <w:tcW w:w="939" w:type="dxa"/>
          </w:tcPr>
          <w:p w14:paraId="57F6B5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w:t>
            </w:r>
          </w:p>
        </w:tc>
        <w:tc>
          <w:tcPr>
            <w:tcW w:w="939" w:type="dxa"/>
          </w:tcPr>
          <w:p w14:paraId="2EA6AC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138</w:t>
            </w:r>
          </w:p>
        </w:tc>
      </w:tr>
      <w:tr w:rsidR="002B1C74" w:rsidRPr="002F2FDF" w14:paraId="5B6260F1" w14:textId="77777777">
        <w:tc>
          <w:tcPr>
            <w:tcW w:w="939" w:type="dxa"/>
          </w:tcPr>
          <w:p w14:paraId="5C8A51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Дукс</w:t>
            </w:r>
          </w:p>
        </w:tc>
        <w:tc>
          <w:tcPr>
            <w:tcW w:w="939" w:type="dxa"/>
          </w:tcPr>
          <w:p w14:paraId="41548F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641226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939" w:type="dxa"/>
          </w:tcPr>
          <w:p w14:paraId="27617F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939" w:type="dxa"/>
          </w:tcPr>
          <w:p w14:paraId="626633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c>
          <w:tcPr>
            <w:tcW w:w="939" w:type="dxa"/>
          </w:tcPr>
          <w:p w14:paraId="05E531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w:t>
            </w:r>
          </w:p>
        </w:tc>
        <w:tc>
          <w:tcPr>
            <w:tcW w:w="939" w:type="dxa"/>
          </w:tcPr>
          <w:p w14:paraId="44A8C5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w:t>
            </w:r>
          </w:p>
        </w:tc>
        <w:tc>
          <w:tcPr>
            <w:tcW w:w="939" w:type="dxa"/>
          </w:tcPr>
          <w:p w14:paraId="199A98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382</w:t>
            </w:r>
          </w:p>
        </w:tc>
        <w:tc>
          <w:tcPr>
            <w:tcW w:w="939" w:type="dxa"/>
          </w:tcPr>
          <w:p w14:paraId="5AD81D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481</w:t>
            </w:r>
          </w:p>
        </w:tc>
        <w:tc>
          <w:tcPr>
            <w:tcW w:w="939" w:type="dxa"/>
          </w:tcPr>
          <w:p w14:paraId="2FDE12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543</w:t>
            </w:r>
          </w:p>
        </w:tc>
        <w:tc>
          <w:tcPr>
            <w:tcW w:w="939" w:type="dxa"/>
          </w:tcPr>
          <w:p w14:paraId="756915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1733</w:t>
            </w:r>
          </w:p>
        </w:tc>
      </w:tr>
      <w:tr w:rsidR="002B1C74" w:rsidRPr="002F2FDF" w14:paraId="4D1E8C86" w14:textId="77777777">
        <w:tc>
          <w:tcPr>
            <w:tcW w:w="939" w:type="dxa"/>
          </w:tcPr>
          <w:p w14:paraId="682DEC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 Моска</w:t>
            </w:r>
          </w:p>
        </w:tc>
        <w:tc>
          <w:tcPr>
            <w:tcW w:w="939" w:type="dxa"/>
          </w:tcPr>
          <w:p w14:paraId="44C645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055DA8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750B08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435295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5231EE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60A45B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939" w:type="dxa"/>
          </w:tcPr>
          <w:p w14:paraId="1C578D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w:t>
            </w:r>
          </w:p>
        </w:tc>
        <w:tc>
          <w:tcPr>
            <w:tcW w:w="939" w:type="dxa"/>
          </w:tcPr>
          <w:p w14:paraId="65D3AA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w:t>
            </w:r>
          </w:p>
        </w:tc>
        <w:tc>
          <w:tcPr>
            <w:tcW w:w="939" w:type="dxa"/>
          </w:tcPr>
          <w:p w14:paraId="04492B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c>
          <w:tcPr>
            <w:tcW w:w="939" w:type="dxa"/>
          </w:tcPr>
          <w:p w14:paraId="0606C7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w:t>
            </w:r>
          </w:p>
        </w:tc>
      </w:tr>
      <w:tr w:rsidR="002B1C74" w:rsidRPr="002F2FDF" w14:paraId="102661E6" w14:textId="77777777">
        <w:tc>
          <w:tcPr>
            <w:tcW w:w="939" w:type="dxa"/>
          </w:tcPr>
          <w:p w14:paraId="2801D3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 Анатра</w:t>
            </w:r>
          </w:p>
        </w:tc>
        <w:tc>
          <w:tcPr>
            <w:tcW w:w="939" w:type="dxa"/>
          </w:tcPr>
          <w:p w14:paraId="691372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2A2A25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2DEDBF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14E896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39E0B2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7C20B1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0D3EDD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3FBD60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5F2B83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2351B2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79FC685C" w14:textId="77777777">
        <w:tc>
          <w:tcPr>
            <w:tcW w:w="939" w:type="dxa"/>
          </w:tcPr>
          <w:p w14:paraId="2B867B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Одесса</w:t>
            </w:r>
          </w:p>
        </w:tc>
        <w:tc>
          <w:tcPr>
            <w:tcW w:w="939" w:type="dxa"/>
          </w:tcPr>
          <w:p w14:paraId="61376B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2618DA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229458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300382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11AF92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178B58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w:t>
            </w:r>
          </w:p>
        </w:tc>
        <w:tc>
          <w:tcPr>
            <w:tcW w:w="939" w:type="dxa"/>
          </w:tcPr>
          <w:p w14:paraId="57DD74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270</w:t>
            </w:r>
          </w:p>
        </w:tc>
        <w:tc>
          <w:tcPr>
            <w:tcW w:w="939" w:type="dxa"/>
          </w:tcPr>
          <w:p w14:paraId="65C089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359</w:t>
            </w:r>
          </w:p>
        </w:tc>
        <w:tc>
          <w:tcPr>
            <w:tcW w:w="939" w:type="dxa"/>
          </w:tcPr>
          <w:p w14:paraId="265FF3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347</w:t>
            </w:r>
          </w:p>
        </w:tc>
        <w:tc>
          <w:tcPr>
            <w:tcW w:w="939" w:type="dxa"/>
          </w:tcPr>
          <w:p w14:paraId="4A0341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1056</w:t>
            </w:r>
          </w:p>
        </w:tc>
      </w:tr>
      <w:tr w:rsidR="002B1C74" w:rsidRPr="002F2FDF" w14:paraId="3F073829" w14:textId="77777777">
        <w:tc>
          <w:tcPr>
            <w:tcW w:w="939" w:type="dxa"/>
          </w:tcPr>
          <w:p w14:paraId="633C86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Симфе.</w:t>
            </w:r>
          </w:p>
        </w:tc>
        <w:tc>
          <w:tcPr>
            <w:tcW w:w="939" w:type="dxa"/>
          </w:tcPr>
          <w:p w14:paraId="2407CB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5A207F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2BC1C0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42F00E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0E6EF5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51BFED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4AFCA0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58B5F8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939" w:type="dxa"/>
          </w:tcPr>
          <w:p w14:paraId="580AB8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c>
          <w:tcPr>
            <w:tcW w:w="939" w:type="dxa"/>
          </w:tcPr>
          <w:p w14:paraId="2E48EF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r>
      <w:tr w:rsidR="002B1C74" w:rsidRPr="002F2FDF" w14:paraId="70F6C2ED" w14:textId="77777777">
        <w:tc>
          <w:tcPr>
            <w:tcW w:w="939" w:type="dxa"/>
          </w:tcPr>
          <w:p w14:paraId="13025B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 Терещенко</w:t>
            </w:r>
          </w:p>
        </w:tc>
        <w:tc>
          <w:tcPr>
            <w:tcW w:w="939" w:type="dxa"/>
          </w:tcPr>
          <w:p w14:paraId="5C7B53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939" w:type="dxa"/>
          </w:tcPr>
          <w:p w14:paraId="024B81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25B78A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939" w:type="dxa"/>
          </w:tcPr>
          <w:p w14:paraId="0D37C2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939" w:type="dxa"/>
          </w:tcPr>
          <w:p w14:paraId="2F2ADF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939" w:type="dxa"/>
          </w:tcPr>
          <w:p w14:paraId="1AC002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939" w:type="dxa"/>
          </w:tcPr>
          <w:p w14:paraId="5331D9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939" w:type="dxa"/>
          </w:tcPr>
          <w:p w14:paraId="3A6EAC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939" w:type="dxa"/>
          </w:tcPr>
          <w:p w14:paraId="42CFE6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939" w:type="dxa"/>
          </w:tcPr>
          <w:p w14:paraId="3CD275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w:t>
            </w:r>
          </w:p>
        </w:tc>
      </w:tr>
      <w:tr w:rsidR="002B1C74" w:rsidRPr="002F2FDF" w14:paraId="4B56D90C" w14:textId="77777777">
        <w:tc>
          <w:tcPr>
            <w:tcW w:w="939" w:type="dxa"/>
          </w:tcPr>
          <w:p w14:paraId="45A0F5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 Адаменко</w:t>
            </w:r>
          </w:p>
        </w:tc>
        <w:tc>
          <w:tcPr>
            <w:tcW w:w="939" w:type="dxa"/>
          </w:tcPr>
          <w:p w14:paraId="4AF570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44FC21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178ECD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5C5DF1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1AFBEE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4E011E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1BF9D7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939" w:type="dxa"/>
          </w:tcPr>
          <w:p w14:paraId="5ADE6B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939" w:type="dxa"/>
          </w:tcPr>
          <w:p w14:paraId="21D3DD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939" w:type="dxa"/>
          </w:tcPr>
          <w:p w14:paraId="57F775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r>
      <w:tr w:rsidR="002B1C74" w:rsidRPr="002F2FDF" w14:paraId="38D316C5" w14:textId="77777777">
        <w:tc>
          <w:tcPr>
            <w:tcW w:w="939" w:type="dxa"/>
          </w:tcPr>
          <w:p w14:paraId="5DD186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 Матиас</w:t>
            </w:r>
          </w:p>
        </w:tc>
        <w:tc>
          <w:tcPr>
            <w:tcW w:w="939" w:type="dxa"/>
          </w:tcPr>
          <w:p w14:paraId="4A2DB1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55F20B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41C20B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4C2DCE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1458F9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3470D8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6821B8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70B66A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211392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939" w:type="dxa"/>
          </w:tcPr>
          <w:p w14:paraId="06DF1F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r>
      <w:tr w:rsidR="002B1C74" w:rsidRPr="002F2FDF" w14:paraId="0FC2F6D2" w14:textId="77777777">
        <w:tc>
          <w:tcPr>
            <w:tcW w:w="939" w:type="dxa"/>
          </w:tcPr>
          <w:p w14:paraId="151D58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 Мельцер</w:t>
            </w:r>
          </w:p>
        </w:tc>
        <w:tc>
          <w:tcPr>
            <w:tcW w:w="939" w:type="dxa"/>
          </w:tcPr>
          <w:p w14:paraId="21DD38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3ED632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3A5D41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26AC90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454314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396D9D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3D40B3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7640CF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2F6F92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939" w:type="dxa"/>
          </w:tcPr>
          <w:p w14:paraId="664212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r>
      <w:tr w:rsidR="002B1C74" w:rsidRPr="002F2FDF" w14:paraId="7C95746E" w14:textId="77777777">
        <w:tc>
          <w:tcPr>
            <w:tcW w:w="939" w:type="dxa"/>
          </w:tcPr>
          <w:p w14:paraId="45839A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 Келеп</w:t>
            </w:r>
          </w:p>
        </w:tc>
        <w:tc>
          <w:tcPr>
            <w:tcW w:w="939" w:type="dxa"/>
          </w:tcPr>
          <w:p w14:paraId="64C719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451D3F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939" w:type="dxa"/>
          </w:tcPr>
          <w:p w14:paraId="0E1999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939" w:type="dxa"/>
          </w:tcPr>
          <w:p w14:paraId="072067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013474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546D5E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02D5EB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63B51B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35E417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0A5867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r>
      <w:tr w:rsidR="002B1C74" w:rsidRPr="002F2FDF" w14:paraId="4C76052F" w14:textId="77777777">
        <w:tc>
          <w:tcPr>
            <w:tcW w:w="939" w:type="dxa"/>
          </w:tcPr>
          <w:p w14:paraId="0CA096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Одесский морской</w:t>
            </w:r>
          </w:p>
        </w:tc>
        <w:tc>
          <w:tcPr>
            <w:tcW w:w="939" w:type="dxa"/>
          </w:tcPr>
          <w:p w14:paraId="07B78D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27C869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4E94DB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3FC6E9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4CEDF1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5F537B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20A937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16AFEA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75B289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5D4573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731AB337" w14:textId="77777777">
        <w:tc>
          <w:tcPr>
            <w:tcW w:w="939" w:type="dxa"/>
          </w:tcPr>
          <w:p w14:paraId="66B1A8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батальон</w:t>
            </w:r>
          </w:p>
        </w:tc>
        <w:tc>
          <w:tcPr>
            <w:tcW w:w="939" w:type="dxa"/>
          </w:tcPr>
          <w:p w14:paraId="489FDA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3790EC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939" w:type="dxa"/>
          </w:tcPr>
          <w:p w14:paraId="4DDF25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939" w:type="dxa"/>
          </w:tcPr>
          <w:p w14:paraId="04A610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939" w:type="dxa"/>
          </w:tcPr>
          <w:p w14:paraId="71D0F4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783510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26D0C0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316ABA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667F97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47E9E5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r>
      <w:tr w:rsidR="002B1C74" w:rsidRPr="002F2FDF" w14:paraId="279476F8" w14:textId="77777777">
        <w:tc>
          <w:tcPr>
            <w:tcW w:w="939" w:type="dxa"/>
          </w:tcPr>
          <w:p w14:paraId="625A36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Киевская воздухо-</w:t>
            </w:r>
          </w:p>
        </w:tc>
        <w:tc>
          <w:tcPr>
            <w:tcW w:w="939" w:type="dxa"/>
          </w:tcPr>
          <w:p w14:paraId="39E987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4EF35F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69934F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53641E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430423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10C81E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6845B6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5576AB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449F5D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30C8EF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2FB1F93B" w14:textId="77777777">
        <w:tc>
          <w:tcPr>
            <w:tcW w:w="939" w:type="dxa"/>
          </w:tcPr>
          <w:p w14:paraId="05A4BE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плавательная рота</w:t>
            </w:r>
          </w:p>
        </w:tc>
        <w:tc>
          <w:tcPr>
            <w:tcW w:w="939" w:type="dxa"/>
          </w:tcPr>
          <w:p w14:paraId="1C3DFB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10F539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939" w:type="dxa"/>
          </w:tcPr>
          <w:p w14:paraId="2AAF0E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939" w:type="dxa"/>
          </w:tcPr>
          <w:p w14:paraId="18CF0A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c>
          <w:tcPr>
            <w:tcW w:w="939" w:type="dxa"/>
          </w:tcPr>
          <w:p w14:paraId="59D295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939" w:type="dxa"/>
          </w:tcPr>
          <w:p w14:paraId="7ECFC0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031703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24FE50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4B586C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1A3CF5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r>
      <w:tr w:rsidR="002B1C74" w:rsidRPr="002F2FDF" w14:paraId="3E177F70" w14:textId="77777777">
        <w:tc>
          <w:tcPr>
            <w:tcW w:w="939" w:type="dxa"/>
          </w:tcPr>
          <w:p w14:paraId="59B318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Летные школы</w:t>
            </w:r>
          </w:p>
        </w:tc>
        <w:tc>
          <w:tcPr>
            <w:tcW w:w="939" w:type="dxa"/>
          </w:tcPr>
          <w:p w14:paraId="46B695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6589EE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778715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939" w:type="dxa"/>
          </w:tcPr>
          <w:p w14:paraId="143F65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939" w:type="dxa"/>
          </w:tcPr>
          <w:p w14:paraId="5F32EC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939" w:type="dxa"/>
          </w:tcPr>
          <w:p w14:paraId="3FA048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939" w:type="dxa"/>
          </w:tcPr>
          <w:p w14:paraId="02FE9A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939" w:type="dxa"/>
          </w:tcPr>
          <w:p w14:paraId="7C7B0A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174537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558082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w:t>
            </w:r>
          </w:p>
        </w:tc>
      </w:tr>
      <w:tr w:rsidR="002B1C74" w:rsidRPr="002F2FDF" w14:paraId="31177386" w14:textId="77777777">
        <w:tc>
          <w:tcPr>
            <w:tcW w:w="939" w:type="dxa"/>
          </w:tcPr>
          <w:p w14:paraId="2680B3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Опытные самолеты</w:t>
            </w:r>
          </w:p>
        </w:tc>
        <w:tc>
          <w:tcPr>
            <w:tcW w:w="939" w:type="dxa"/>
          </w:tcPr>
          <w:p w14:paraId="32693D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0A6061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2E8B1D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2A019C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1AEC31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723FDC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170439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1814DF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73D50B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4F2A9E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51763089" w14:textId="77777777">
        <w:tc>
          <w:tcPr>
            <w:tcW w:w="939" w:type="dxa"/>
          </w:tcPr>
          <w:p w14:paraId="6BB7B9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лиц и организаций</w:t>
            </w:r>
          </w:p>
        </w:tc>
        <w:tc>
          <w:tcPr>
            <w:tcW w:w="939" w:type="dxa"/>
          </w:tcPr>
          <w:p w14:paraId="0253DA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939" w:type="dxa"/>
          </w:tcPr>
          <w:p w14:paraId="65E42F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w:t>
            </w:r>
          </w:p>
        </w:tc>
        <w:tc>
          <w:tcPr>
            <w:tcW w:w="939" w:type="dxa"/>
          </w:tcPr>
          <w:p w14:paraId="7E0229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939" w:type="dxa"/>
          </w:tcPr>
          <w:p w14:paraId="340B1A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w:t>
            </w:r>
          </w:p>
        </w:tc>
        <w:tc>
          <w:tcPr>
            <w:tcW w:w="939" w:type="dxa"/>
          </w:tcPr>
          <w:p w14:paraId="290D4F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939" w:type="dxa"/>
          </w:tcPr>
          <w:p w14:paraId="7EB66E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939" w:type="dxa"/>
          </w:tcPr>
          <w:p w14:paraId="37AF5A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939" w:type="dxa"/>
          </w:tcPr>
          <w:p w14:paraId="5D2BBE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c>
          <w:tcPr>
            <w:tcW w:w="939" w:type="dxa"/>
          </w:tcPr>
          <w:p w14:paraId="72460C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w:t>
            </w:r>
          </w:p>
        </w:tc>
        <w:tc>
          <w:tcPr>
            <w:tcW w:w="939" w:type="dxa"/>
          </w:tcPr>
          <w:p w14:paraId="046929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180</w:t>
            </w:r>
          </w:p>
        </w:tc>
      </w:tr>
      <w:tr w:rsidR="002B1C74" w:rsidRPr="002F2FDF" w14:paraId="48351E2A" w14:textId="77777777">
        <w:tc>
          <w:tcPr>
            <w:tcW w:w="939" w:type="dxa"/>
          </w:tcPr>
          <w:p w14:paraId="3E30CA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Прочие, построен-ные и не сданные</w:t>
            </w:r>
          </w:p>
        </w:tc>
        <w:tc>
          <w:tcPr>
            <w:tcW w:w="939" w:type="dxa"/>
          </w:tcPr>
          <w:p w14:paraId="70C3CC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228585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39" w:type="dxa"/>
          </w:tcPr>
          <w:p w14:paraId="775B8F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939" w:type="dxa"/>
          </w:tcPr>
          <w:p w14:paraId="0E903A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c>
          <w:tcPr>
            <w:tcW w:w="939" w:type="dxa"/>
          </w:tcPr>
          <w:p w14:paraId="4E2C2D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c>
          <w:tcPr>
            <w:tcW w:w="939" w:type="dxa"/>
          </w:tcPr>
          <w:p w14:paraId="0FC830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w:t>
            </w:r>
          </w:p>
        </w:tc>
        <w:tc>
          <w:tcPr>
            <w:tcW w:w="939" w:type="dxa"/>
          </w:tcPr>
          <w:p w14:paraId="0DFE1D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w:t>
            </w:r>
          </w:p>
        </w:tc>
        <w:tc>
          <w:tcPr>
            <w:tcW w:w="939" w:type="dxa"/>
          </w:tcPr>
          <w:p w14:paraId="68C82E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136</w:t>
            </w:r>
          </w:p>
        </w:tc>
        <w:tc>
          <w:tcPr>
            <w:tcW w:w="939" w:type="dxa"/>
          </w:tcPr>
          <w:p w14:paraId="62A750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161</w:t>
            </w:r>
          </w:p>
        </w:tc>
        <w:tc>
          <w:tcPr>
            <w:tcW w:w="939" w:type="dxa"/>
          </w:tcPr>
          <w:p w14:paraId="47CAC0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429</w:t>
            </w:r>
          </w:p>
        </w:tc>
      </w:tr>
      <w:tr w:rsidR="002B1C74" w:rsidRPr="002F2FDF" w14:paraId="428CD023" w14:textId="77777777">
        <w:tc>
          <w:tcPr>
            <w:tcW w:w="939" w:type="dxa"/>
          </w:tcPr>
          <w:p w14:paraId="38D2FA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c>
          <w:tcPr>
            <w:tcW w:w="939" w:type="dxa"/>
          </w:tcPr>
          <w:p w14:paraId="10DC8C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939" w:type="dxa"/>
          </w:tcPr>
          <w:p w14:paraId="780A7A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w:t>
            </w:r>
          </w:p>
        </w:tc>
        <w:tc>
          <w:tcPr>
            <w:tcW w:w="939" w:type="dxa"/>
          </w:tcPr>
          <w:p w14:paraId="45191D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w:t>
            </w:r>
          </w:p>
        </w:tc>
        <w:tc>
          <w:tcPr>
            <w:tcW w:w="939" w:type="dxa"/>
          </w:tcPr>
          <w:p w14:paraId="6F9BD1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170</w:t>
            </w:r>
          </w:p>
        </w:tc>
        <w:tc>
          <w:tcPr>
            <w:tcW w:w="939" w:type="dxa"/>
          </w:tcPr>
          <w:p w14:paraId="47D02E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280</w:t>
            </w:r>
          </w:p>
        </w:tc>
        <w:tc>
          <w:tcPr>
            <w:tcW w:w="939" w:type="dxa"/>
          </w:tcPr>
          <w:p w14:paraId="18A375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535</w:t>
            </w:r>
          </w:p>
        </w:tc>
        <w:tc>
          <w:tcPr>
            <w:tcW w:w="939" w:type="dxa"/>
          </w:tcPr>
          <w:p w14:paraId="51D17B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1305</w:t>
            </w:r>
          </w:p>
        </w:tc>
        <w:tc>
          <w:tcPr>
            <w:tcW w:w="939" w:type="dxa"/>
          </w:tcPr>
          <w:p w14:paraId="6C8781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1870</w:t>
            </w:r>
          </w:p>
        </w:tc>
        <w:tc>
          <w:tcPr>
            <w:tcW w:w="939" w:type="dxa"/>
          </w:tcPr>
          <w:p w14:paraId="2583BC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1897</w:t>
            </w:r>
          </w:p>
        </w:tc>
        <w:tc>
          <w:tcPr>
            <w:tcW w:w="939" w:type="dxa"/>
          </w:tcPr>
          <w:p w14:paraId="49EDCA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6962</w:t>
            </w:r>
          </w:p>
        </w:tc>
      </w:tr>
    </w:tbl>
    <w:p w14:paraId="2F19A3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(438,380).</w:t>
      </w:r>
    </w:p>
    <w:p w14:paraId="05A669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356D9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1917-й год было построено -около 1900 самолетов, в том числе 34 образца отечественных конструкций. Всего же за время войны было построено 5700 самолетов,-из них: РБВЗ - 240, за</w:t>
      </w:r>
      <w:r w:rsidRPr="002F2FDF">
        <w:rPr>
          <w:rFonts w:ascii="Times New Roman" w:hAnsi="Times New Roman" w:cs="Times New Roman"/>
          <w:color w:val="000000" w:themeColor="text1"/>
          <w:kern w:val="2"/>
          <w:sz w:val="16"/>
          <w:szCs w:val="16"/>
        </w:rPr>
        <w:softHyphen/>
        <w:t>водом Щетинина - 1360, зэводом_"Дукс" - 1733, заводом Слюсо-ренко - 138, заводом Лебедева - 700, заводом Москв - 140, заводом Анэтра - 1056, остальные - разными мелкими заводами и мастерскими. От союзников за время войны было получено 1800 самолетов, из них половине ,-,.,-в 1917 году. 800 самолетов остались невывезенными в Архангельске.</w:t>
      </w:r>
    </w:p>
    <w:p w14:paraId="08B9C8F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60864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1917 году в России стало 34 завода, работавших на авиацию, в том числе 20 самолетных и 9 авиамоторных; из них вели </w:t>
      </w:r>
      <w:r w:rsidRPr="002F2FDF">
        <w:rPr>
          <w:rFonts w:ascii="Times New Roman" w:hAnsi="Times New Roman" w:cs="Times New Roman"/>
          <w:iCs/>
          <w:color w:val="000000" w:themeColor="text1"/>
          <w:kern w:val="2"/>
          <w:sz w:val="16"/>
          <w:szCs w:val="16"/>
        </w:rPr>
        <w:t xml:space="preserve">в </w:t>
      </w:r>
      <w:r w:rsidRPr="002F2FDF">
        <w:rPr>
          <w:rFonts w:ascii="Times New Roman" w:hAnsi="Times New Roman" w:cs="Times New Roman"/>
          <w:color w:val="000000" w:themeColor="text1"/>
          <w:kern w:val="2"/>
          <w:sz w:val="16"/>
          <w:szCs w:val="16"/>
        </w:rPr>
        <w:t>основном авиационное производство те же 7 самолетных заводов и 2 авиамоторных; остальные 25 заводов или занима</w:t>
      </w:r>
      <w:r w:rsidRPr="002F2FDF">
        <w:rPr>
          <w:rFonts w:ascii="Times New Roman" w:hAnsi="Times New Roman" w:cs="Times New Roman"/>
          <w:color w:val="000000" w:themeColor="text1"/>
          <w:kern w:val="2"/>
          <w:sz w:val="16"/>
          <w:szCs w:val="16"/>
        </w:rPr>
        <w:softHyphen/>
        <w:t>лись авиастроением наряду со многими другими производства</w:t>
      </w:r>
      <w:r w:rsidRPr="002F2FDF">
        <w:rPr>
          <w:rFonts w:ascii="Times New Roman" w:hAnsi="Times New Roman" w:cs="Times New Roman"/>
          <w:color w:val="000000" w:themeColor="text1"/>
          <w:kern w:val="2"/>
          <w:sz w:val="16"/>
          <w:szCs w:val="16"/>
        </w:rPr>
        <w:softHyphen/>
        <w:t>ми или еще не успели развернуть, даже начать производство. Названия заводов, строго говоря, заслуживали только 4 само</w:t>
      </w:r>
      <w:r w:rsidRPr="002F2FDF">
        <w:rPr>
          <w:rFonts w:ascii="Times New Roman" w:hAnsi="Times New Roman" w:cs="Times New Roman"/>
          <w:color w:val="000000" w:themeColor="text1"/>
          <w:kern w:val="2"/>
          <w:sz w:val="16"/>
          <w:szCs w:val="16"/>
        </w:rPr>
        <w:softHyphen/>
        <w:t>летных завода, а 30 остальных были полукустарными мастер</w:t>
      </w:r>
      <w:r w:rsidRPr="002F2FDF">
        <w:rPr>
          <w:rFonts w:ascii="Times New Roman" w:hAnsi="Times New Roman" w:cs="Times New Roman"/>
          <w:color w:val="000000" w:themeColor="text1"/>
          <w:kern w:val="2"/>
          <w:sz w:val="16"/>
          <w:szCs w:val="16"/>
        </w:rPr>
        <w:softHyphen/>
        <w:t>скими. Наибольшее число рабочих, занятых на этих авиацион</w:t>
      </w:r>
      <w:r w:rsidRPr="002F2FDF">
        <w:rPr>
          <w:rFonts w:ascii="Times New Roman" w:hAnsi="Times New Roman" w:cs="Times New Roman"/>
          <w:color w:val="000000" w:themeColor="text1"/>
          <w:kern w:val="2"/>
          <w:sz w:val="16"/>
          <w:szCs w:val="16"/>
        </w:rPr>
        <w:softHyphen/>
        <w:t>ных предприятиях, составляло 12 000 человек (11092).</w:t>
      </w:r>
    </w:p>
    <w:p w14:paraId="440C08A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B453E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1917 г. основные авиационные заводы были сосредоточены в Пет</w:t>
      </w:r>
      <w:r w:rsidRPr="002F2FDF">
        <w:rPr>
          <w:rFonts w:ascii="Times New Roman" w:hAnsi="Times New Roman" w:cs="Times New Roman"/>
          <w:color w:val="000000" w:themeColor="text1"/>
          <w:kern w:val="2"/>
          <w:sz w:val="16"/>
          <w:szCs w:val="16"/>
        </w:rPr>
        <w:softHyphen/>
        <w:t>рограде (Балтийский завод, завод Щетинина, завод Лебедева, Ижорский завод и др.) и в Москве (Дукс). Самолётостроительные заводы за время войны (1914-1917гг.) разрослись и окрепли.</w:t>
      </w:r>
    </w:p>
    <w:p w14:paraId="4D043E2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России до 1917 года созданием самолётов занимались И.И. Сикорский (“Илья Муромец”), В.А. Слесарев (“Святогор”), Л.Д. Колпаков (“Лебедь-Гранд”), В.Н. Хиони (“Хиони-4”), Д.П. Григорович (гидросамо</w:t>
      </w:r>
      <w:r w:rsidRPr="002F2FDF">
        <w:rPr>
          <w:rFonts w:ascii="Times New Roman" w:hAnsi="Times New Roman" w:cs="Times New Roman"/>
          <w:color w:val="000000" w:themeColor="text1"/>
          <w:kern w:val="2"/>
          <w:sz w:val="16"/>
          <w:szCs w:val="16"/>
        </w:rPr>
        <w:softHyphen/>
        <w:t>лёты М-5, М-7, М-11 и М-12), Я.М. Гаккель (Гаккель III, Гаккель IX), В.Н. Перловский, А.А. Безобразов, В.Ф. Савельев, ГА. Ботезат (самолёт с автоматом устойчивости), В.С. Кебуров, В.М. Ольховский (“Торпедо”), И. Рябоконь (самолёт со стрельбой через винт), А.Н. Вегенер, И.И. Диль, П.И. Рыслев и другие. Н.Н. Поликарпов после окончания в 1916 году ППИ был первым русским инженером-организатором производства много</w:t>
      </w:r>
      <w:r w:rsidRPr="002F2FDF">
        <w:rPr>
          <w:rFonts w:ascii="Times New Roman" w:hAnsi="Times New Roman" w:cs="Times New Roman"/>
          <w:color w:val="000000" w:themeColor="text1"/>
          <w:kern w:val="2"/>
          <w:sz w:val="16"/>
          <w:szCs w:val="16"/>
        </w:rPr>
        <w:softHyphen/>
        <w:t>моторных самолётов на Русско-Балтийском Заводе.</w:t>
      </w:r>
    </w:p>
    <w:p w14:paraId="36D057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данным В.Б. Шаврова полная сводка самолетов, строившихся в России до 1917 г., насчитывает 315 названий оригинальных русских кон</w:t>
      </w:r>
      <w:r w:rsidRPr="002F2FDF">
        <w:rPr>
          <w:rFonts w:ascii="Times New Roman" w:hAnsi="Times New Roman" w:cs="Times New Roman"/>
          <w:color w:val="000000" w:themeColor="text1"/>
          <w:kern w:val="2"/>
          <w:sz w:val="16"/>
          <w:szCs w:val="16"/>
        </w:rPr>
        <w:softHyphen/>
        <w:t>струкций, из которых 38 строилось серийно, и 117 самолетов иностран</w:t>
      </w:r>
      <w:r w:rsidRPr="002F2FDF">
        <w:rPr>
          <w:rFonts w:ascii="Times New Roman" w:hAnsi="Times New Roman" w:cs="Times New Roman"/>
          <w:color w:val="000000" w:themeColor="text1"/>
          <w:kern w:val="2"/>
          <w:sz w:val="16"/>
          <w:szCs w:val="16"/>
        </w:rPr>
        <w:softHyphen/>
        <w:t>ного происхождения, из которых 35 строилось серийно, а остальные были в нескольких экземплярах.</w:t>
      </w:r>
    </w:p>
    <w:p w14:paraId="71A93AA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315 самолетов летали 240 (или 76%:), не летали или же не были закончены 75 опытных самолетов. По общему количеству опытных само</w:t>
      </w:r>
      <w:r w:rsidRPr="002F2FDF">
        <w:rPr>
          <w:rFonts w:ascii="Times New Roman" w:hAnsi="Times New Roman" w:cs="Times New Roman"/>
          <w:color w:val="000000" w:themeColor="text1"/>
          <w:kern w:val="2"/>
          <w:sz w:val="16"/>
          <w:szCs w:val="16"/>
        </w:rPr>
        <w:softHyphen/>
        <w:t>летов Россия не отставала от передовых капиталистических стран тех лет.</w:t>
      </w:r>
    </w:p>
    <w:p w14:paraId="043B44A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Список авторов-конструкторов русских самолетов включает 120 фа</w:t>
      </w:r>
      <w:r w:rsidRPr="002F2FDF">
        <w:rPr>
          <w:rFonts w:ascii="Times New Roman" w:hAnsi="Times New Roman" w:cs="Times New Roman"/>
          <w:color w:val="000000" w:themeColor="text1"/>
          <w:kern w:val="2"/>
          <w:sz w:val="16"/>
          <w:szCs w:val="16"/>
        </w:rPr>
        <w:softHyphen/>
        <w:t>милий и 4 организации. Уровень технического выполнения русских само</w:t>
      </w:r>
      <w:r w:rsidRPr="002F2FDF">
        <w:rPr>
          <w:rFonts w:ascii="Times New Roman" w:hAnsi="Times New Roman" w:cs="Times New Roman"/>
          <w:color w:val="000000" w:themeColor="text1"/>
          <w:kern w:val="2"/>
          <w:sz w:val="16"/>
          <w:szCs w:val="16"/>
        </w:rPr>
        <w:softHyphen/>
        <w:t>летов в общем был не ниже зарубежных. [32] (11425).</w:t>
      </w:r>
    </w:p>
    <w:p w14:paraId="70C6630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D12C7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сравнительно короткий срок с 1907 по 1917гг. было организо</w:t>
      </w:r>
      <w:r w:rsidRPr="002F2FDF">
        <w:rPr>
          <w:rFonts w:ascii="Times New Roman" w:hAnsi="Times New Roman" w:cs="Times New Roman"/>
          <w:color w:val="000000" w:themeColor="text1"/>
          <w:kern w:val="2"/>
          <w:sz w:val="16"/>
          <w:szCs w:val="16"/>
        </w:rPr>
        <w:softHyphen/>
        <w:t>вано серийное производство самолетов на авиационных заводах. Воз</w:t>
      </w:r>
      <w:r w:rsidRPr="002F2FDF">
        <w:rPr>
          <w:rFonts w:ascii="Times New Roman" w:hAnsi="Times New Roman" w:cs="Times New Roman"/>
          <w:color w:val="000000" w:themeColor="text1"/>
          <w:kern w:val="2"/>
          <w:sz w:val="16"/>
          <w:szCs w:val="16"/>
        </w:rPr>
        <w:softHyphen/>
        <w:t>никнув на базе машиностроения, самолетостроение сравнительно быст</w:t>
      </w:r>
      <w:r w:rsidRPr="002F2FDF">
        <w:rPr>
          <w:rFonts w:ascii="Times New Roman" w:hAnsi="Times New Roman" w:cs="Times New Roman"/>
          <w:color w:val="000000" w:themeColor="text1"/>
          <w:kern w:val="2"/>
          <w:sz w:val="16"/>
          <w:szCs w:val="16"/>
        </w:rPr>
        <w:softHyphen/>
        <w:t>ро превратилось в самостоятельную область производства. Серийный выпуск самолетов, требования элементарной взаимозаменяемости, из</w:t>
      </w:r>
      <w:r w:rsidRPr="002F2FDF">
        <w:rPr>
          <w:rFonts w:ascii="Times New Roman" w:hAnsi="Times New Roman" w:cs="Times New Roman"/>
          <w:color w:val="000000" w:themeColor="text1"/>
          <w:kern w:val="2"/>
          <w:sz w:val="16"/>
          <w:szCs w:val="16"/>
        </w:rPr>
        <w:softHyphen/>
        <w:t>менение конструкции, улучшение наружных обводов самолетов и необ</w:t>
      </w:r>
      <w:r w:rsidRPr="002F2FDF">
        <w:rPr>
          <w:rFonts w:ascii="Times New Roman" w:hAnsi="Times New Roman" w:cs="Times New Roman"/>
          <w:color w:val="000000" w:themeColor="text1"/>
          <w:kern w:val="2"/>
          <w:sz w:val="16"/>
          <w:szCs w:val="16"/>
        </w:rPr>
        <w:softHyphen/>
        <w:t>ходимость применения легких, но прочных материалов вызвали появле</w:t>
      </w:r>
      <w:r w:rsidRPr="002F2FDF">
        <w:rPr>
          <w:rFonts w:ascii="Times New Roman" w:hAnsi="Times New Roman" w:cs="Times New Roman"/>
          <w:color w:val="000000" w:themeColor="text1"/>
          <w:kern w:val="2"/>
          <w:sz w:val="16"/>
          <w:szCs w:val="16"/>
        </w:rPr>
        <w:softHyphen/>
        <w:t>ние некоторых специфических для самолетостроения методов изготов</w:t>
      </w:r>
      <w:r w:rsidRPr="002F2FDF">
        <w:rPr>
          <w:rFonts w:ascii="Times New Roman" w:hAnsi="Times New Roman" w:cs="Times New Roman"/>
          <w:color w:val="000000" w:themeColor="text1"/>
          <w:kern w:val="2"/>
          <w:sz w:val="16"/>
          <w:szCs w:val="16"/>
        </w:rPr>
        <w:softHyphen/>
        <w:t>ления изделий. Были внедрены в производство выклейка обшивок из шпона, покрытия из полотна, изготовление капотов и коков из листового алюминия. Для изготовления деталей, сборки узлов и агрегатов начали применять шаблоны и простейшие сборочные приспособления, вычер</w:t>
      </w:r>
      <w:r w:rsidRPr="002F2FDF">
        <w:rPr>
          <w:rFonts w:ascii="Times New Roman" w:hAnsi="Times New Roman" w:cs="Times New Roman"/>
          <w:color w:val="000000" w:themeColor="text1"/>
          <w:kern w:val="2"/>
          <w:sz w:val="16"/>
          <w:szCs w:val="16"/>
        </w:rPr>
        <w:softHyphen/>
        <w:t>чивая предварительно контуры частей самолетов на плазах. Все это яви</w:t>
      </w:r>
      <w:r w:rsidRPr="002F2FDF">
        <w:rPr>
          <w:rFonts w:ascii="Times New Roman" w:hAnsi="Times New Roman" w:cs="Times New Roman"/>
          <w:color w:val="000000" w:themeColor="text1"/>
          <w:kern w:val="2"/>
          <w:sz w:val="16"/>
          <w:szCs w:val="16"/>
        </w:rPr>
        <w:softHyphen/>
        <w:t>лось предпосылкой создания впоследствии специфических методов про</w:t>
      </w:r>
      <w:r w:rsidRPr="002F2FDF">
        <w:rPr>
          <w:rFonts w:ascii="Times New Roman" w:hAnsi="Times New Roman" w:cs="Times New Roman"/>
          <w:color w:val="000000" w:themeColor="text1"/>
          <w:kern w:val="2"/>
          <w:sz w:val="16"/>
          <w:szCs w:val="16"/>
        </w:rPr>
        <w:softHyphen/>
        <w:t>изводства самолетов” [1] (11425). По заказам военного ведомства началось массовое производство аэропланов. Из мероприятий военного ведомства, принесших пользу авиацион</w:t>
      </w:r>
      <w:r w:rsidRPr="002F2FDF">
        <w:rPr>
          <w:rFonts w:ascii="Times New Roman" w:hAnsi="Times New Roman" w:cs="Times New Roman"/>
          <w:color w:val="000000" w:themeColor="text1"/>
          <w:kern w:val="2"/>
          <w:sz w:val="16"/>
          <w:szCs w:val="16"/>
        </w:rPr>
        <w:softHyphen/>
        <w:t>ным заводам, надо отметить предоставление права пользования “лите</w:t>
      </w:r>
      <w:r w:rsidRPr="002F2FDF">
        <w:rPr>
          <w:rFonts w:ascii="Times New Roman" w:hAnsi="Times New Roman" w:cs="Times New Roman"/>
          <w:color w:val="000000" w:themeColor="text1"/>
          <w:kern w:val="2"/>
          <w:sz w:val="16"/>
          <w:szCs w:val="16"/>
        </w:rPr>
        <w:softHyphen/>
        <w:t>ром Н” для перевозки материалов и полуфабрикатов. Это позволяло ус</w:t>
      </w:r>
      <w:r w:rsidRPr="002F2FDF">
        <w:rPr>
          <w:rFonts w:ascii="Times New Roman" w:hAnsi="Times New Roman" w:cs="Times New Roman"/>
          <w:color w:val="000000" w:themeColor="text1"/>
          <w:kern w:val="2"/>
          <w:sz w:val="16"/>
          <w:szCs w:val="16"/>
        </w:rPr>
        <w:softHyphen/>
        <w:t>корить транспортировку грузов, которая являлась одним из самых узких мест военной промышленности (11425).</w:t>
      </w:r>
    </w:p>
    <w:p w14:paraId="44A41BC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C9E0B4" w14:textId="77777777" w:rsidR="0096612C" w:rsidRPr="002F2FDF" w:rsidRDefault="0096612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на РБВЗ, несмотря на значительный рост производственных мощностей, выпуск продукции уменьшился: было изготовлено 11 «Муромцев» и 15С-16. В 1918 г. планировалось построить 14 истребителей С-16, 30 разведчиков «Фарман-30», 13 «Муромцев», а также 10 учебно-тренировочных самолетов типа С-12 и «Фарман-4». Однако эти планы претворить в жизнь не удалось (15125).</w:t>
      </w:r>
    </w:p>
    <w:p w14:paraId="69BE4390" w14:textId="77777777" w:rsidR="0096612C" w:rsidRPr="002F2FDF" w:rsidRDefault="0096612C" w:rsidP="0083075A">
      <w:pPr>
        <w:spacing w:after="0" w:line="240" w:lineRule="auto"/>
        <w:jc w:val="both"/>
        <w:rPr>
          <w:rFonts w:ascii="Times New Roman" w:hAnsi="Times New Roman" w:cs="Times New Roman"/>
          <w:color w:val="000000" w:themeColor="text1"/>
          <w:kern w:val="2"/>
          <w:sz w:val="16"/>
          <w:szCs w:val="16"/>
        </w:rPr>
      </w:pPr>
    </w:p>
    <w:p w14:paraId="4332D3EA" w14:textId="3221EA63" w:rsidR="0096612C" w:rsidRPr="002F2FDF" w:rsidRDefault="0096612C" w:rsidP="0083075A">
      <w:pPr>
        <w:spacing w:after="0" w:line="240" w:lineRule="auto"/>
        <w:jc w:val="both"/>
        <w:rPr>
          <w:rFonts w:ascii="Times New Roman" w:hAnsi="Times New Roman" w:cs="Times New Roman"/>
          <w:bCs/>
          <w:color w:val="000000" w:themeColor="text1"/>
          <w:kern w:val="2"/>
          <w:sz w:val="16"/>
          <w:szCs w:val="16"/>
        </w:rPr>
      </w:pPr>
      <w:r w:rsidRPr="002F2FDF">
        <w:rPr>
          <w:rFonts w:ascii="Times New Roman" w:hAnsi="Times New Roman" w:cs="Times New Roman"/>
          <w:bCs/>
          <w:color w:val="000000" w:themeColor="text1"/>
          <w:kern w:val="2"/>
          <w:sz w:val="16"/>
          <w:szCs w:val="16"/>
        </w:rPr>
        <w:t xml:space="preserve">В 1917 г. на </w:t>
      </w:r>
      <w:r w:rsidR="00E52569">
        <w:rPr>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РБВЗ</w:t>
      </w:r>
      <w:r w:rsidR="00E52569">
        <w:rPr>
          <w:rFonts w:ascii="Times New Roman" w:hAnsi="Times New Roman" w:cs="Times New Roman"/>
          <w:bCs/>
          <w:color w:val="000000" w:themeColor="text1"/>
          <w:kern w:val="2"/>
          <w:sz w:val="16"/>
          <w:szCs w:val="16"/>
        </w:rPr>
        <w:t xml:space="preserve"> </w:t>
      </w:r>
      <w:r w:rsidRPr="002F2FDF">
        <w:rPr>
          <w:rFonts w:ascii="Times New Roman" w:hAnsi="Times New Roman" w:cs="Times New Roman"/>
          <w:bCs/>
          <w:color w:val="000000" w:themeColor="text1"/>
          <w:kern w:val="2"/>
          <w:sz w:val="16"/>
          <w:szCs w:val="16"/>
        </w:rPr>
        <w:t xml:space="preserve"> В. В. Киреевым был разработан проект двенадцатицилиндрового двигателя в 600 л. с, получившего высокую оценку специалистов того времени. В совокупности с перспективой форсирования существующих двигателей «Рено» все это давало надежные гарантии успешного создания новых тяжелых бомбардировщиков для российской армии, по-прежнему не уступающих пальму первенства никому. К сожалению, события бурного времени затянули разработку этого проекта, и он был представлен только в октябре 1917 г., когда все уже было обречено (15127).</w:t>
      </w:r>
    </w:p>
    <w:p w14:paraId="0FF8815E" w14:textId="77777777" w:rsidR="0096612C" w:rsidRPr="002F2FDF" w:rsidRDefault="0096612C" w:rsidP="0083075A">
      <w:pPr>
        <w:spacing w:after="0" w:line="240" w:lineRule="auto"/>
        <w:jc w:val="both"/>
        <w:rPr>
          <w:rFonts w:ascii="Times New Roman" w:hAnsi="Times New Roman" w:cs="Times New Roman"/>
          <w:bCs/>
          <w:color w:val="000000" w:themeColor="text1"/>
          <w:kern w:val="2"/>
          <w:sz w:val="16"/>
          <w:szCs w:val="16"/>
        </w:rPr>
      </w:pPr>
    </w:p>
    <w:p w14:paraId="4B879F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За 1917 год Эскадра получила только 4 корабля, да и то в конце года, их не успели даже собрать. Это были "Муромцы" нового типа Г-3 (№236-238 и 243) (11277). </w:t>
      </w:r>
    </w:p>
    <w:p w14:paraId="2D1045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3FB0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1917 год Эскадра получила только 4 корабля, да и то в конце года, их не успели даже собрать. Это были "Муромцы" нового типа Г-3 (№236-238 и 243) (12038).</w:t>
      </w:r>
    </w:p>
    <w:p w14:paraId="7A589A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32D7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"Илья Муромец" 1914-1917 годы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2B1C74" w:rsidRPr="002F2FDF" w14:paraId="71014939" w14:textId="77777777">
        <w:tc>
          <w:tcPr>
            <w:tcW w:w="2802" w:type="dxa"/>
            <w:tcBorders>
              <w:top w:val="single" w:sz="12" w:space="0" w:color="auto"/>
            </w:tcBorders>
          </w:tcPr>
          <w:p w14:paraId="1D8174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Заводской и</w:t>
            </w:r>
          </w:p>
        </w:tc>
        <w:tc>
          <w:tcPr>
            <w:tcW w:w="2802" w:type="dxa"/>
            <w:tcBorders>
              <w:top w:val="single" w:sz="12" w:space="0" w:color="auto"/>
            </w:tcBorders>
          </w:tcPr>
          <w:p w14:paraId="0A633F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Номер воздушного</w:t>
            </w:r>
          </w:p>
        </w:tc>
        <w:tc>
          <w:tcPr>
            <w:tcW w:w="2802" w:type="dxa"/>
            <w:tcBorders>
              <w:top w:val="single" w:sz="12" w:space="0" w:color="auto"/>
            </w:tcBorders>
          </w:tcPr>
          <w:p w14:paraId="1C95EE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Моторы,</w:t>
            </w:r>
          </w:p>
        </w:tc>
        <w:tc>
          <w:tcPr>
            <w:tcW w:w="2802" w:type="dxa"/>
            <w:tcBorders>
              <w:top w:val="single" w:sz="12" w:space="0" w:color="auto"/>
            </w:tcBorders>
          </w:tcPr>
          <w:p w14:paraId="3EDE4B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Примечание</w:t>
            </w:r>
          </w:p>
        </w:tc>
      </w:tr>
      <w:tr w:rsidR="002B1C74" w:rsidRPr="002F2FDF" w14:paraId="210039E8" w14:textId="77777777">
        <w:tc>
          <w:tcPr>
            <w:tcW w:w="2802" w:type="dxa"/>
          </w:tcPr>
          <w:p w14:paraId="596316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дополнительный</w:t>
            </w:r>
          </w:p>
        </w:tc>
        <w:tc>
          <w:tcPr>
            <w:tcW w:w="2802" w:type="dxa"/>
          </w:tcPr>
          <w:p w14:paraId="496BC3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корабля</w:t>
            </w:r>
          </w:p>
        </w:tc>
        <w:tc>
          <w:tcPr>
            <w:tcW w:w="2802" w:type="dxa"/>
          </w:tcPr>
          <w:p w14:paraId="463F73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мощность</w:t>
            </w:r>
          </w:p>
        </w:tc>
        <w:tc>
          <w:tcPr>
            <w:tcW w:w="2802" w:type="dxa"/>
          </w:tcPr>
          <w:p w14:paraId="0B42E9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138DEC4E" w14:textId="77777777">
        <w:tc>
          <w:tcPr>
            <w:tcW w:w="2802" w:type="dxa"/>
          </w:tcPr>
          <w:p w14:paraId="20BA42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номер</w:t>
            </w:r>
          </w:p>
        </w:tc>
        <w:tc>
          <w:tcPr>
            <w:tcW w:w="2802" w:type="dxa"/>
          </w:tcPr>
          <w:p w14:paraId="24A6B9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B355A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8EA67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5993CC1F" w14:textId="77777777">
        <w:tc>
          <w:tcPr>
            <w:tcW w:w="2802" w:type="dxa"/>
          </w:tcPr>
          <w:p w14:paraId="46AF38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107 А-1</w:t>
            </w:r>
          </w:p>
        </w:tc>
        <w:tc>
          <w:tcPr>
            <w:tcW w:w="2802" w:type="dxa"/>
          </w:tcPr>
          <w:p w14:paraId="4B2734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3A25A8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2х "Аргус" 115 л.е., 2х "Сальмсон" 200 л.с.</w:t>
            </w:r>
          </w:p>
        </w:tc>
        <w:tc>
          <w:tcPr>
            <w:tcW w:w="2802" w:type="dxa"/>
          </w:tcPr>
          <w:p w14:paraId="51C04E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 маю 1914 года гидроаэроплан был доставлен в Либаву. Сожжен экипажем 21 июля 1914 года в бухте Карал на острове Эзель</w:t>
            </w:r>
          </w:p>
        </w:tc>
      </w:tr>
      <w:tr w:rsidR="002B1C74" w:rsidRPr="002F2FDF" w14:paraId="2314F081" w14:textId="77777777">
        <w:tc>
          <w:tcPr>
            <w:tcW w:w="2802" w:type="dxa"/>
          </w:tcPr>
          <w:p w14:paraId="160AB6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128 Б-2</w:t>
            </w:r>
          </w:p>
        </w:tc>
        <w:tc>
          <w:tcPr>
            <w:tcW w:w="2802" w:type="dxa"/>
          </w:tcPr>
          <w:p w14:paraId="33FD97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"Киевский" (VII)</w:t>
            </w:r>
          </w:p>
        </w:tc>
        <w:tc>
          <w:tcPr>
            <w:tcW w:w="2802" w:type="dxa"/>
          </w:tcPr>
          <w:p w14:paraId="22A242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2х "Аргус" 140 л.с., 2х "Аргус" 125 л.с.</w:t>
            </w:r>
          </w:p>
        </w:tc>
        <w:tc>
          <w:tcPr>
            <w:tcW w:w="2802" w:type="dxa"/>
          </w:tcPr>
          <w:p w14:paraId="45E5FC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Принят 16 августа 1914 года Военно-авиационной школой. Использовался для учебных целей</w:t>
            </w:r>
          </w:p>
        </w:tc>
      </w:tr>
      <w:tr w:rsidR="002B1C74" w:rsidRPr="002F2FDF" w14:paraId="28170E5D" w14:textId="77777777">
        <w:tc>
          <w:tcPr>
            <w:tcW w:w="2802" w:type="dxa"/>
          </w:tcPr>
          <w:p w14:paraId="755B40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135 Б-3</w:t>
            </w:r>
          </w:p>
        </w:tc>
        <w:tc>
          <w:tcPr>
            <w:tcW w:w="2802" w:type="dxa"/>
          </w:tcPr>
          <w:p w14:paraId="48BB05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2802" w:type="dxa"/>
          </w:tcPr>
          <w:p w14:paraId="49D672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"Аргус" 140 л.с.</w:t>
            </w:r>
          </w:p>
        </w:tc>
        <w:tc>
          <w:tcPr>
            <w:tcW w:w="2802" w:type="dxa"/>
          </w:tcPr>
          <w:p w14:paraId="42FE12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1914 года принят штабс-капитаном Е.В. Рудневым как ИМ I. 31 августа 1914 года отправился на Северо-Западный фронт. Списан в мае 1915 года в Яблонне</w:t>
            </w:r>
          </w:p>
        </w:tc>
      </w:tr>
      <w:tr w:rsidR="002B1C74" w:rsidRPr="002F2FDF" w14:paraId="31500A00" w14:textId="77777777">
        <w:tc>
          <w:tcPr>
            <w:tcW w:w="2802" w:type="dxa"/>
          </w:tcPr>
          <w:p w14:paraId="178EC2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136 Б-4</w:t>
            </w:r>
          </w:p>
        </w:tc>
        <w:tc>
          <w:tcPr>
            <w:tcW w:w="2802" w:type="dxa"/>
          </w:tcPr>
          <w:p w14:paraId="5AD8E0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w:t>
            </w:r>
          </w:p>
        </w:tc>
        <w:tc>
          <w:tcPr>
            <w:tcW w:w="2802" w:type="dxa"/>
          </w:tcPr>
          <w:p w14:paraId="4D22D5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2х "Сальмсон" 130 л.с., 2х "Сальмсон" 200 л.с.</w:t>
            </w:r>
          </w:p>
        </w:tc>
        <w:tc>
          <w:tcPr>
            <w:tcW w:w="2802" w:type="dxa"/>
          </w:tcPr>
          <w:p w14:paraId="4C609C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1914 года принят поручиком А.В. Панкратьевым как ИМ II. 24 сентября 1914 года отправился на Северо-Западный фронт. Списан в мае 1915 года в Яблонне</w:t>
            </w:r>
          </w:p>
        </w:tc>
      </w:tr>
      <w:tr w:rsidR="002B1C74" w:rsidRPr="002F2FDF" w14:paraId="51B19BB8" w14:textId="77777777">
        <w:tc>
          <w:tcPr>
            <w:tcW w:w="2802" w:type="dxa"/>
          </w:tcPr>
          <w:p w14:paraId="669C62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137 Б-5</w:t>
            </w:r>
          </w:p>
        </w:tc>
        <w:tc>
          <w:tcPr>
            <w:tcW w:w="2802" w:type="dxa"/>
          </w:tcPr>
          <w:p w14:paraId="188D63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III, VI</w:t>
            </w:r>
          </w:p>
        </w:tc>
        <w:tc>
          <w:tcPr>
            <w:tcW w:w="2802" w:type="dxa"/>
          </w:tcPr>
          <w:p w14:paraId="03372F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2х "Сальмсон" 130 л.с., 2х "Сальмсон" 200 л.с.</w:t>
            </w:r>
          </w:p>
        </w:tc>
        <w:tc>
          <w:tcPr>
            <w:tcW w:w="2802" w:type="dxa"/>
          </w:tcPr>
          <w:p w14:paraId="77389B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августе 1914 года принят поручиком С.М. Бродовичем как ИМ III. В декабре 1914 года аппарат отправлен в Яблонну. 7 марта 1915 года получен поручиком С.Н. Головиным как BK VI. Разбит 30 апреля 1915 года поручиком Головиным в Яблонне</w:t>
            </w:r>
          </w:p>
        </w:tc>
      </w:tr>
      <w:tr w:rsidR="002B1C74" w:rsidRPr="002F2FDF" w14:paraId="36608D1A" w14:textId="77777777">
        <w:tc>
          <w:tcPr>
            <w:tcW w:w="2802" w:type="dxa"/>
          </w:tcPr>
          <w:p w14:paraId="25AFD1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138 Б-6</w:t>
            </w:r>
          </w:p>
        </w:tc>
        <w:tc>
          <w:tcPr>
            <w:tcW w:w="2802" w:type="dxa"/>
          </w:tcPr>
          <w:p w14:paraId="64F615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IV</w:t>
            </w:r>
          </w:p>
        </w:tc>
        <w:tc>
          <w:tcPr>
            <w:tcW w:w="2802" w:type="dxa"/>
          </w:tcPr>
          <w:p w14:paraId="4F9A69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2х "Сальмсон" 130 л.с., 2х "Сальмсон" 200 л.с.</w:t>
            </w:r>
          </w:p>
        </w:tc>
        <w:tc>
          <w:tcPr>
            <w:tcW w:w="2802" w:type="dxa"/>
          </w:tcPr>
          <w:p w14:paraId="71BB38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1914 года принят поручиком С.К. Модрахом как ИМ IV. Разбит 30 октября 1914 года капитаном Горшковым при сдаче в Петрограде</w:t>
            </w:r>
          </w:p>
        </w:tc>
      </w:tr>
      <w:tr w:rsidR="002B1C74" w:rsidRPr="002F2FDF" w14:paraId="4D512876" w14:textId="77777777">
        <w:tc>
          <w:tcPr>
            <w:tcW w:w="2802" w:type="dxa"/>
          </w:tcPr>
          <w:p w14:paraId="3111F9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143 Б-7</w:t>
            </w:r>
          </w:p>
        </w:tc>
        <w:tc>
          <w:tcPr>
            <w:tcW w:w="2802" w:type="dxa"/>
          </w:tcPr>
          <w:p w14:paraId="199718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w:t>
            </w:r>
          </w:p>
        </w:tc>
        <w:tc>
          <w:tcPr>
            <w:tcW w:w="2802" w:type="dxa"/>
          </w:tcPr>
          <w:p w14:paraId="548F2D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2х "Сальмсон" 130 л.с., 2х "Сальмсон" 200 л.с.как ИМ V.</w:t>
            </w:r>
          </w:p>
        </w:tc>
        <w:tc>
          <w:tcPr>
            <w:tcW w:w="2802" w:type="dxa"/>
          </w:tcPr>
          <w:p w14:paraId="13D77F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1914 года принят поручиком Г.В. Алехновичем В декабре 1914 года аппарат убыл в Яблонну. Списан в мае 1915 года в Яблонне</w:t>
            </w:r>
          </w:p>
        </w:tc>
      </w:tr>
      <w:tr w:rsidR="002B1C74" w:rsidRPr="002F2FDF" w14:paraId="683DD6B7" w14:textId="77777777">
        <w:tc>
          <w:tcPr>
            <w:tcW w:w="2802" w:type="dxa"/>
          </w:tcPr>
          <w:p w14:paraId="3D8A15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149 В-8</w:t>
            </w:r>
          </w:p>
        </w:tc>
        <w:tc>
          <w:tcPr>
            <w:tcW w:w="2802" w:type="dxa"/>
          </w:tcPr>
          <w:p w14:paraId="755F19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w:t>
            </w:r>
          </w:p>
        </w:tc>
        <w:tc>
          <w:tcPr>
            <w:tcW w:w="2802" w:type="dxa"/>
          </w:tcPr>
          <w:p w14:paraId="5C6387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2х "Сальмсон" 200 л.с.</w:t>
            </w:r>
          </w:p>
        </w:tc>
        <w:tc>
          <w:tcPr>
            <w:tcW w:w="2802" w:type="dxa"/>
          </w:tcPr>
          <w:p w14:paraId="714B13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ноябре 1914 года принят штабс-капитаном Б.Н. Фирсовым как ИМ VI. В декабре 1914 года аппарат убыл в Яблонну. Разбит 13 февраля 1915 года штабс-капитаном Фирсовым в Яблонне</w:t>
            </w:r>
          </w:p>
        </w:tc>
      </w:tr>
      <w:tr w:rsidR="002B1C74" w:rsidRPr="002F2FDF" w14:paraId="4FC5DD1A" w14:textId="77777777">
        <w:tc>
          <w:tcPr>
            <w:tcW w:w="2802" w:type="dxa"/>
          </w:tcPr>
          <w:p w14:paraId="27631D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 В-9</w:t>
            </w:r>
          </w:p>
        </w:tc>
        <w:tc>
          <w:tcPr>
            <w:tcW w:w="2802" w:type="dxa"/>
          </w:tcPr>
          <w:p w14:paraId="207AE3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"Киевский"</w:t>
            </w:r>
          </w:p>
        </w:tc>
        <w:tc>
          <w:tcPr>
            <w:tcW w:w="2802" w:type="dxa"/>
          </w:tcPr>
          <w:p w14:paraId="25761E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2х "Аргус" 140 л.е., 2х "Аргус" 125 л.с.</w:t>
            </w:r>
          </w:p>
        </w:tc>
        <w:tc>
          <w:tcPr>
            <w:tcW w:w="2802" w:type="dxa"/>
          </w:tcPr>
          <w:p w14:paraId="3F6CE6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Принят капитаном Г.Г. Горшковым как ИМ VII. В декабре 1914 года</w:t>
            </w:r>
          </w:p>
        </w:tc>
      </w:tr>
      <w:tr w:rsidR="002B1C74" w:rsidRPr="002F2FDF" w14:paraId="71401C3E" w14:textId="77777777">
        <w:tc>
          <w:tcPr>
            <w:tcW w:w="2802" w:type="dxa"/>
          </w:tcPr>
          <w:p w14:paraId="74C009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62A48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F3680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8DBBF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аппарат убыл в Яблонну. Командиры - капитан Г.Г. Горшков, затем поручик И.С. Башко. Аппарат списан после воздушного боя 5 июля 1915 года</w:t>
            </w:r>
          </w:p>
        </w:tc>
      </w:tr>
      <w:tr w:rsidR="002B1C74" w:rsidRPr="002F2FDF" w14:paraId="63CACEE0" w14:textId="77777777">
        <w:tc>
          <w:tcPr>
            <w:tcW w:w="2802" w:type="dxa"/>
          </w:tcPr>
          <w:p w14:paraId="43886C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151 В-10</w:t>
            </w:r>
          </w:p>
        </w:tc>
        <w:tc>
          <w:tcPr>
            <w:tcW w:w="2802" w:type="dxa"/>
          </w:tcPr>
          <w:p w14:paraId="63C140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III</w:t>
            </w:r>
          </w:p>
        </w:tc>
        <w:tc>
          <w:tcPr>
            <w:tcW w:w="2802" w:type="dxa"/>
          </w:tcPr>
          <w:p w14:paraId="07D7D3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"Аргус" 140 л.с.</w:t>
            </w:r>
          </w:p>
        </w:tc>
        <w:tc>
          <w:tcPr>
            <w:tcW w:w="2802" w:type="dxa"/>
          </w:tcPr>
          <w:p w14:paraId="7DCE06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14 января 1915 года аппарат прибыл в Яблонну. 7 марта 1915 года принят поручиком С.М. Бродовичем как BK III. В мае 1915 года аппарат принят поручиком Д А. Озерским. 2 ноября </w:t>
            </w:r>
            <w:r w:rsidRPr="002F2FDF">
              <w:rPr>
                <w:rFonts w:ascii="Times New Roman" w:hAnsi="Times New Roman" w:cs="Times New Roman"/>
                <w:color w:val="000000" w:themeColor="text1"/>
                <w:kern w:val="2"/>
                <w:sz w:val="16"/>
                <w:szCs w:val="16"/>
              </w:rPr>
              <w:lastRenderedPageBreak/>
              <w:t>1915 года разбит при возвращении с разведки</w:t>
            </w:r>
          </w:p>
        </w:tc>
      </w:tr>
      <w:tr w:rsidR="002B1C74" w:rsidRPr="002F2FDF" w14:paraId="29D221A5" w14:textId="77777777">
        <w:tc>
          <w:tcPr>
            <w:tcW w:w="2802" w:type="dxa"/>
          </w:tcPr>
          <w:p w14:paraId="766F63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157 В-11</w:t>
            </w:r>
          </w:p>
        </w:tc>
        <w:tc>
          <w:tcPr>
            <w:tcW w:w="2802" w:type="dxa"/>
          </w:tcPr>
          <w:p w14:paraId="2A4471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IV. VI</w:t>
            </w:r>
          </w:p>
        </w:tc>
        <w:tc>
          <w:tcPr>
            <w:tcW w:w="2802" w:type="dxa"/>
          </w:tcPr>
          <w:p w14:paraId="1EC9FA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2х "Сальмсон" 200 л.с.</w:t>
            </w:r>
          </w:p>
        </w:tc>
        <w:tc>
          <w:tcPr>
            <w:tcW w:w="2802" w:type="dxa"/>
          </w:tcPr>
          <w:p w14:paraId="459615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марте 1915 года аппарат доставлен в Яблонну. 6 июня 1915 года принят поручиком Шаровым как BK IV, 30 июня принят поручиком Лукинским как BK VI</w:t>
            </w:r>
          </w:p>
        </w:tc>
      </w:tr>
      <w:tr w:rsidR="002B1C74" w:rsidRPr="002F2FDF" w14:paraId="6AB0D10E" w14:textId="77777777">
        <w:tc>
          <w:tcPr>
            <w:tcW w:w="2802" w:type="dxa"/>
          </w:tcPr>
          <w:p w14:paraId="7D6186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158В-12</w:t>
            </w:r>
          </w:p>
        </w:tc>
        <w:tc>
          <w:tcPr>
            <w:tcW w:w="2802" w:type="dxa"/>
          </w:tcPr>
          <w:p w14:paraId="21780B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w:t>
            </w:r>
          </w:p>
        </w:tc>
        <w:tc>
          <w:tcPr>
            <w:tcW w:w="2802" w:type="dxa"/>
          </w:tcPr>
          <w:p w14:paraId="15690A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79CDE4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марте 1915 года аппарат доставлен в Яблонну. 7 мая 1915 года принят штабс-капитаном Г.В. Алехновичем как BK V</w:t>
            </w:r>
          </w:p>
        </w:tc>
      </w:tr>
      <w:tr w:rsidR="002B1C74" w:rsidRPr="002F2FDF" w14:paraId="14187672" w14:textId="77777777">
        <w:tc>
          <w:tcPr>
            <w:tcW w:w="2802" w:type="dxa"/>
          </w:tcPr>
          <w:p w14:paraId="1C50E6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159 В-13</w:t>
            </w:r>
          </w:p>
        </w:tc>
        <w:tc>
          <w:tcPr>
            <w:tcW w:w="2802" w:type="dxa"/>
          </w:tcPr>
          <w:p w14:paraId="66970E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w:t>
            </w:r>
          </w:p>
        </w:tc>
        <w:tc>
          <w:tcPr>
            <w:tcW w:w="2802" w:type="dxa"/>
          </w:tcPr>
          <w:p w14:paraId="4C0741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2х "Санбим" 255 л.с.</w:t>
            </w:r>
          </w:p>
        </w:tc>
        <w:tc>
          <w:tcPr>
            <w:tcW w:w="2802" w:type="dxa"/>
          </w:tcPr>
          <w:p w14:paraId="4D7B73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марте 1915 года аппарат доставлен в Яблонну. 29 июля 1915 года принят штабс-капитаном Чечулиным как BK X</w:t>
            </w:r>
          </w:p>
        </w:tc>
      </w:tr>
      <w:tr w:rsidR="002B1C74" w:rsidRPr="002F2FDF" w14:paraId="58E6E262" w14:textId="77777777">
        <w:tc>
          <w:tcPr>
            <w:tcW w:w="2802" w:type="dxa"/>
          </w:tcPr>
          <w:p w14:paraId="0984BD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160 В-14</w:t>
            </w:r>
          </w:p>
        </w:tc>
        <w:tc>
          <w:tcPr>
            <w:tcW w:w="2802" w:type="dxa"/>
          </w:tcPr>
          <w:p w14:paraId="447003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w:t>
            </w:r>
          </w:p>
        </w:tc>
        <w:tc>
          <w:tcPr>
            <w:tcW w:w="2802" w:type="dxa"/>
          </w:tcPr>
          <w:p w14:paraId="183212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53FE2B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1915 года аппарат доставлен в Яблонну. 7 мая 1915 года принят штабс-капитаном А.В. Панкратьевым как BK II</w:t>
            </w:r>
          </w:p>
        </w:tc>
      </w:tr>
      <w:tr w:rsidR="002B1C74" w:rsidRPr="002F2FDF" w14:paraId="6AA5CF00" w14:textId="77777777">
        <w:tc>
          <w:tcPr>
            <w:tcW w:w="2802" w:type="dxa"/>
          </w:tcPr>
          <w:p w14:paraId="2C879C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161 В-15</w:t>
            </w:r>
          </w:p>
        </w:tc>
        <w:tc>
          <w:tcPr>
            <w:tcW w:w="2802" w:type="dxa"/>
          </w:tcPr>
          <w:p w14:paraId="698D83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w:t>
            </w:r>
          </w:p>
        </w:tc>
        <w:tc>
          <w:tcPr>
            <w:tcW w:w="2802" w:type="dxa"/>
          </w:tcPr>
          <w:p w14:paraId="74FF3F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2х "Санбим" 255 л.с.</w:t>
            </w:r>
          </w:p>
        </w:tc>
        <w:tc>
          <w:tcPr>
            <w:tcW w:w="2802" w:type="dxa"/>
          </w:tcPr>
          <w:p w14:paraId="7F39E2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1915 года аппарат доставлен в Яблонну. Списан в 1916 году</w:t>
            </w:r>
          </w:p>
        </w:tc>
      </w:tr>
      <w:tr w:rsidR="002B1C74" w:rsidRPr="002F2FDF" w14:paraId="39324A23" w14:textId="77777777">
        <w:tc>
          <w:tcPr>
            <w:tcW w:w="2802" w:type="dxa"/>
          </w:tcPr>
          <w:p w14:paraId="760335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162 В-16</w:t>
            </w:r>
          </w:p>
        </w:tc>
        <w:tc>
          <w:tcPr>
            <w:tcW w:w="2802" w:type="dxa"/>
          </w:tcPr>
          <w:p w14:paraId="74209F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w:t>
            </w:r>
          </w:p>
        </w:tc>
        <w:tc>
          <w:tcPr>
            <w:tcW w:w="2802" w:type="dxa"/>
          </w:tcPr>
          <w:p w14:paraId="22A4B9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247861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апреля 1915 года аппарат доставлен в Яблонну. 29 июля 1915 года принят поручиком С.Н. Головиным как BK VI. Разбит при аварии в ноябре 1915 года</w:t>
            </w:r>
          </w:p>
        </w:tc>
      </w:tr>
      <w:tr w:rsidR="002B1C74" w:rsidRPr="002F2FDF" w14:paraId="5F8FAC61" w14:textId="77777777">
        <w:tc>
          <w:tcPr>
            <w:tcW w:w="2802" w:type="dxa"/>
          </w:tcPr>
          <w:p w14:paraId="5952E7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163 В-17</w:t>
            </w:r>
          </w:p>
        </w:tc>
        <w:tc>
          <w:tcPr>
            <w:tcW w:w="2802" w:type="dxa"/>
          </w:tcPr>
          <w:p w14:paraId="5C944B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IV, II учебный</w:t>
            </w:r>
          </w:p>
        </w:tc>
        <w:tc>
          <w:tcPr>
            <w:tcW w:w="2802" w:type="dxa"/>
          </w:tcPr>
          <w:p w14:paraId="4024B3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5B0EBD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марте 1915 года аппарат доставлен в Яблонну. 29 июля 1915 года принят поручиком Я.Н. Шаровым как BK IV. 16 мая 1916 года разбит в Пскове штабс-капитаном Е.А. Иньковым как II учебный</w:t>
            </w:r>
          </w:p>
        </w:tc>
      </w:tr>
      <w:tr w:rsidR="002B1C74" w:rsidRPr="002F2FDF" w14:paraId="58610CE7" w14:textId="77777777">
        <w:tc>
          <w:tcPr>
            <w:tcW w:w="2802" w:type="dxa"/>
          </w:tcPr>
          <w:p w14:paraId="25D4DB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164 В-18</w:t>
            </w:r>
          </w:p>
        </w:tc>
        <w:tc>
          <w:tcPr>
            <w:tcW w:w="2802" w:type="dxa"/>
          </w:tcPr>
          <w:p w14:paraId="720339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IV, "Киевский", IX</w:t>
            </w:r>
          </w:p>
        </w:tc>
        <w:tc>
          <w:tcPr>
            <w:tcW w:w="2802" w:type="dxa"/>
          </w:tcPr>
          <w:p w14:paraId="00C1AE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2147BE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 1915 года аппарат доставлен в Яблонну. 30 июня 1915 года</w:t>
            </w:r>
          </w:p>
        </w:tc>
      </w:tr>
      <w:tr w:rsidR="002B1C74" w:rsidRPr="002F2FDF" w14:paraId="0FB494B4" w14:textId="77777777">
        <w:tc>
          <w:tcPr>
            <w:tcW w:w="2802" w:type="dxa"/>
          </w:tcPr>
          <w:p w14:paraId="1E38CC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416A7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41737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9AF28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принят поручиком Я.Н. Шаровым как BK IV, 29 июля - принят поручиком И.С. Башко как BK "Киевский", 13 сентября - принят штабс-капитаном Р.Л. Нижевским как BK IX</w:t>
            </w:r>
          </w:p>
        </w:tc>
      </w:tr>
      <w:tr w:rsidR="002B1C74" w:rsidRPr="002F2FDF" w14:paraId="327E8124" w14:textId="77777777">
        <w:tc>
          <w:tcPr>
            <w:tcW w:w="2802" w:type="dxa"/>
          </w:tcPr>
          <w:p w14:paraId="1DB976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165В-19</w:t>
            </w:r>
          </w:p>
        </w:tc>
        <w:tc>
          <w:tcPr>
            <w:tcW w:w="2802" w:type="dxa"/>
          </w:tcPr>
          <w:p w14:paraId="6EF7DD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VI</w:t>
            </w:r>
          </w:p>
        </w:tc>
        <w:tc>
          <w:tcPr>
            <w:tcW w:w="2802" w:type="dxa"/>
          </w:tcPr>
          <w:p w14:paraId="35EB6F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241E1E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апреле 1915 года аппарат доставлен в Яблонну. 30 июня 1915 года принят лейтенантом Г.И. Лавровым как BK I. В ноябре 1915 года принят поручиком С.Н. Головиным как BK VI. 3 января 1916 года аппарат разбит ураганом в Зегевольде</w:t>
            </w:r>
          </w:p>
        </w:tc>
      </w:tr>
      <w:tr w:rsidR="002B1C74" w:rsidRPr="002F2FDF" w14:paraId="2CB0D6B3" w14:textId="77777777">
        <w:tc>
          <w:tcPr>
            <w:tcW w:w="2802" w:type="dxa"/>
          </w:tcPr>
          <w:p w14:paraId="3A2D08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166 Г-'</w:t>
            </w:r>
          </w:p>
        </w:tc>
        <w:tc>
          <w:tcPr>
            <w:tcW w:w="2802" w:type="dxa"/>
          </w:tcPr>
          <w:p w14:paraId="6CBAB8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5253E7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77D7CB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ноября 1916 года аппарат доставлен в Винницу</w:t>
            </w:r>
          </w:p>
        </w:tc>
      </w:tr>
      <w:tr w:rsidR="002B1C74" w:rsidRPr="002F2FDF" w14:paraId="49530C8F" w14:textId="77777777">
        <w:tc>
          <w:tcPr>
            <w:tcW w:w="2802" w:type="dxa"/>
          </w:tcPr>
          <w:p w14:paraId="172969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167 В-21</w:t>
            </w:r>
          </w:p>
        </w:tc>
        <w:tc>
          <w:tcPr>
            <w:tcW w:w="2802" w:type="dxa"/>
          </w:tcPr>
          <w:p w14:paraId="2ABC1A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w:t>
            </w:r>
          </w:p>
        </w:tc>
        <w:tc>
          <w:tcPr>
            <w:tcW w:w="2802" w:type="dxa"/>
          </w:tcPr>
          <w:p w14:paraId="0D6115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РБВЗ.6 150 л.с.</w:t>
            </w:r>
          </w:p>
        </w:tc>
        <w:tc>
          <w:tcPr>
            <w:tcW w:w="2802" w:type="dxa"/>
          </w:tcPr>
          <w:p w14:paraId="607D7D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июля 1915 года аппарат принят штабс-капитаном А.В. Панкратьевым как BK II. Летом 1916 года списан как ветхий</w:t>
            </w:r>
          </w:p>
        </w:tc>
      </w:tr>
      <w:tr w:rsidR="002B1C74" w:rsidRPr="002F2FDF" w14:paraId="73A95990" w14:textId="77777777">
        <w:tc>
          <w:tcPr>
            <w:tcW w:w="2802" w:type="dxa"/>
          </w:tcPr>
          <w:p w14:paraId="1215B2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168 Г-*</w:t>
            </w:r>
          </w:p>
        </w:tc>
        <w:tc>
          <w:tcPr>
            <w:tcW w:w="2802" w:type="dxa"/>
          </w:tcPr>
          <w:p w14:paraId="6569D4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2816F1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132E56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марта 1916 года аппарат отправлен в Псков</w:t>
            </w:r>
          </w:p>
        </w:tc>
      </w:tr>
      <w:tr w:rsidR="002B1C74" w:rsidRPr="002F2FDF" w14:paraId="0AD64F4C" w14:textId="77777777">
        <w:tc>
          <w:tcPr>
            <w:tcW w:w="2802" w:type="dxa"/>
          </w:tcPr>
          <w:p w14:paraId="42DDE5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169 В-23</w:t>
            </w:r>
          </w:p>
        </w:tc>
        <w:tc>
          <w:tcPr>
            <w:tcW w:w="2802" w:type="dxa"/>
          </w:tcPr>
          <w:p w14:paraId="55C485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"Киевский", XIII</w:t>
            </w:r>
          </w:p>
        </w:tc>
        <w:tc>
          <w:tcPr>
            <w:tcW w:w="2802" w:type="dxa"/>
          </w:tcPr>
          <w:p w14:paraId="6F358A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"Аргус" 140 л.с.</w:t>
            </w:r>
          </w:p>
        </w:tc>
        <w:tc>
          <w:tcPr>
            <w:tcW w:w="2802" w:type="dxa"/>
          </w:tcPr>
          <w:p w14:paraId="741CAA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сентября 1915 года аппарат доставлен в Псков. Принят штабс-капитаном И.С. Башко. В апреле 1916 года принят штабс-капитаном В.А. Соловьёвым как BK XIII. Весной 1917 года переведён в разряд учебных кораблей</w:t>
            </w:r>
          </w:p>
        </w:tc>
      </w:tr>
      <w:tr w:rsidR="002B1C74" w:rsidRPr="002F2FDF" w14:paraId="0D41CA6F" w14:textId="77777777">
        <w:tc>
          <w:tcPr>
            <w:tcW w:w="2802" w:type="dxa"/>
          </w:tcPr>
          <w:p w14:paraId="5AACBA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170 В-24</w:t>
            </w:r>
          </w:p>
        </w:tc>
        <w:tc>
          <w:tcPr>
            <w:tcW w:w="2802" w:type="dxa"/>
          </w:tcPr>
          <w:p w14:paraId="2F701B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7ACBC5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765DF3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октября 1915 года аппарат разбит поручиком Я.Н. Шаровым при перелёте в Псков</w:t>
            </w:r>
          </w:p>
        </w:tc>
      </w:tr>
      <w:tr w:rsidR="002B1C74" w:rsidRPr="002F2FDF" w14:paraId="0687AB15" w14:textId="77777777">
        <w:tc>
          <w:tcPr>
            <w:tcW w:w="2802" w:type="dxa"/>
          </w:tcPr>
          <w:p w14:paraId="2FFFCB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171 Г-</w:t>
            </w:r>
          </w:p>
        </w:tc>
        <w:tc>
          <w:tcPr>
            <w:tcW w:w="2802" w:type="dxa"/>
          </w:tcPr>
          <w:p w14:paraId="032663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72C4C1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013C6F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ноября 1916 года аппарат отправлен в Винницу</w:t>
            </w:r>
          </w:p>
        </w:tc>
      </w:tr>
      <w:tr w:rsidR="002B1C74" w:rsidRPr="002F2FDF" w14:paraId="1B5014D3" w14:textId="77777777">
        <w:tc>
          <w:tcPr>
            <w:tcW w:w="2802" w:type="dxa"/>
          </w:tcPr>
          <w:p w14:paraId="1DBAF5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86E25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497B0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A6763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6797C5AA" w14:textId="77777777">
        <w:tc>
          <w:tcPr>
            <w:tcW w:w="2802" w:type="dxa"/>
          </w:tcPr>
          <w:p w14:paraId="6A3BA0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172 В-26</w:t>
            </w:r>
          </w:p>
        </w:tc>
        <w:tc>
          <w:tcPr>
            <w:tcW w:w="2802" w:type="dxa"/>
          </w:tcPr>
          <w:p w14:paraId="0C908F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VIII</w:t>
            </w:r>
          </w:p>
        </w:tc>
        <w:tc>
          <w:tcPr>
            <w:tcW w:w="2802" w:type="dxa"/>
          </w:tcPr>
          <w:p w14:paraId="20DB1C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10DC1E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января 1916 года аппарат доставлен в Зегевольд.</w:t>
            </w:r>
          </w:p>
        </w:tc>
      </w:tr>
      <w:tr w:rsidR="002B1C74" w:rsidRPr="002F2FDF" w14:paraId="1394D9D3" w14:textId="77777777">
        <w:tc>
          <w:tcPr>
            <w:tcW w:w="2802" w:type="dxa"/>
          </w:tcPr>
          <w:p w14:paraId="448707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B3257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549EB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FD398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июня 1916 года сгорел из-за неосторожного обращения с бензином</w:t>
            </w:r>
          </w:p>
        </w:tc>
      </w:tr>
      <w:tr w:rsidR="002B1C74" w:rsidRPr="002F2FDF" w14:paraId="106C680D" w14:textId="77777777">
        <w:tc>
          <w:tcPr>
            <w:tcW w:w="2802" w:type="dxa"/>
          </w:tcPr>
          <w:p w14:paraId="507537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173 Г-</w:t>
            </w:r>
          </w:p>
        </w:tc>
        <w:tc>
          <w:tcPr>
            <w:tcW w:w="2802" w:type="dxa"/>
          </w:tcPr>
          <w:p w14:paraId="3BD4F2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737591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005322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ноября 1916 года аппарат отправлен в Винницу</w:t>
            </w:r>
          </w:p>
        </w:tc>
      </w:tr>
      <w:tr w:rsidR="002B1C74" w:rsidRPr="002F2FDF" w14:paraId="40B2B243" w14:textId="77777777">
        <w:tc>
          <w:tcPr>
            <w:tcW w:w="2802" w:type="dxa"/>
          </w:tcPr>
          <w:p w14:paraId="29E07B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174 В-28</w:t>
            </w:r>
          </w:p>
        </w:tc>
        <w:tc>
          <w:tcPr>
            <w:tcW w:w="2802" w:type="dxa"/>
          </w:tcPr>
          <w:p w14:paraId="23E783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w:t>
            </w:r>
          </w:p>
        </w:tc>
        <w:tc>
          <w:tcPr>
            <w:tcW w:w="2802" w:type="dxa"/>
          </w:tcPr>
          <w:p w14:paraId="03BD4C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101996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января 1916 года аппарат отправлен в Зегевольд.</w:t>
            </w:r>
          </w:p>
        </w:tc>
      </w:tr>
      <w:tr w:rsidR="002B1C74" w:rsidRPr="002F2FDF" w14:paraId="152D3DBE" w14:textId="77777777">
        <w:tc>
          <w:tcPr>
            <w:tcW w:w="2802" w:type="dxa"/>
          </w:tcPr>
          <w:p w14:paraId="226D8F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03669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276A8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D2A27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Принят поручиком С.Н. Головиным</w:t>
            </w:r>
          </w:p>
        </w:tc>
      </w:tr>
      <w:tr w:rsidR="002B1C74" w:rsidRPr="002F2FDF" w14:paraId="3F417012" w14:textId="77777777">
        <w:tc>
          <w:tcPr>
            <w:tcW w:w="2802" w:type="dxa"/>
          </w:tcPr>
          <w:p w14:paraId="03A660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175 Г-</w:t>
            </w:r>
          </w:p>
        </w:tc>
        <w:tc>
          <w:tcPr>
            <w:tcW w:w="2802" w:type="dxa"/>
          </w:tcPr>
          <w:p w14:paraId="20CE8E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2F3592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353EA4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декабря 1916 года аппарат отправлен в Винницу</w:t>
            </w:r>
          </w:p>
        </w:tc>
      </w:tr>
      <w:tr w:rsidR="002B1C74" w:rsidRPr="002F2FDF" w14:paraId="78F4B195" w14:textId="77777777">
        <w:tc>
          <w:tcPr>
            <w:tcW w:w="2802" w:type="dxa"/>
          </w:tcPr>
          <w:p w14:paraId="4C7544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176 Г-</w:t>
            </w:r>
          </w:p>
        </w:tc>
        <w:tc>
          <w:tcPr>
            <w:tcW w:w="2802" w:type="dxa"/>
          </w:tcPr>
          <w:p w14:paraId="49DEF8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09E84F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2х "Рено" 225 л.с.,</w:t>
            </w:r>
          </w:p>
        </w:tc>
        <w:tc>
          <w:tcPr>
            <w:tcW w:w="2802" w:type="dxa"/>
          </w:tcPr>
          <w:p w14:paraId="304598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сентября 1916 года аппарат отправлен в Псков</w:t>
            </w:r>
          </w:p>
        </w:tc>
      </w:tr>
      <w:tr w:rsidR="002B1C74" w:rsidRPr="002F2FDF" w14:paraId="7072F9F6" w14:textId="77777777">
        <w:tc>
          <w:tcPr>
            <w:tcW w:w="2802" w:type="dxa"/>
          </w:tcPr>
          <w:p w14:paraId="5E4D9F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2E28F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89E44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2х РБ3.6 150 л.с.</w:t>
            </w:r>
          </w:p>
        </w:tc>
        <w:tc>
          <w:tcPr>
            <w:tcW w:w="2802" w:type="dxa"/>
          </w:tcPr>
          <w:p w14:paraId="5AB86E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5CD66BDE" w14:textId="77777777">
        <w:tc>
          <w:tcPr>
            <w:tcW w:w="2802" w:type="dxa"/>
          </w:tcPr>
          <w:p w14:paraId="05EC42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177 Г-</w:t>
            </w:r>
          </w:p>
        </w:tc>
        <w:tc>
          <w:tcPr>
            <w:tcW w:w="2802" w:type="dxa"/>
          </w:tcPr>
          <w:p w14:paraId="53C718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17F85A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2DB6E7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сентября 1916 года аппарат отправлен в Псков</w:t>
            </w:r>
          </w:p>
        </w:tc>
      </w:tr>
      <w:tr w:rsidR="002B1C74" w:rsidRPr="002F2FDF" w14:paraId="45A6E6FA" w14:textId="77777777">
        <w:tc>
          <w:tcPr>
            <w:tcW w:w="2802" w:type="dxa"/>
          </w:tcPr>
          <w:p w14:paraId="28F50D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178 Г-</w:t>
            </w:r>
          </w:p>
        </w:tc>
        <w:tc>
          <w:tcPr>
            <w:tcW w:w="2802" w:type="dxa"/>
          </w:tcPr>
          <w:p w14:paraId="5C0EDA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2802" w:type="dxa"/>
          </w:tcPr>
          <w:p w14:paraId="40E78D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2х "Рено" 225 л.с.,</w:t>
            </w:r>
          </w:p>
        </w:tc>
        <w:tc>
          <w:tcPr>
            <w:tcW w:w="2802" w:type="dxa"/>
          </w:tcPr>
          <w:p w14:paraId="0E3942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августа 1916 года аппарат отправлен в Псков.</w:t>
            </w:r>
          </w:p>
        </w:tc>
      </w:tr>
      <w:tr w:rsidR="002B1C74" w:rsidRPr="002F2FDF" w14:paraId="2D64A780" w14:textId="77777777">
        <w:tc>
          <w:tcPr>
            <w:tcW w:w="2802" w:type="dxa"/>
          </w:tcPr>
          <w:p w14:paraId="2EF7D5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4D57A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CBDBF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2х РБ3.6 150 л.с.</w:t>
            </w:r>
          </w:p>
        </w:tc>
        <w:tc>
          <w:tcPr>
            <w:tcW w:w="2802" w:type="dxa"/>
          </w:tcPr>
          <w:p w14:paraId="5662F5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Погиб 29 апреля 1917 года с экипажем Лаврова после вылета</w:t>
            </w:r>
          </w:p>
        </w:tc>
      </w:tr>
      <w:tr w:rsidR="002B1C74" w:rsidRPr="002F2FDF" w14:paraId="16E8F193" w14:textId="77777777">
        <w:tc>
          <w:tcPr>
            <w:tcW w:w="2802" w:type="dxa"/>
          </w:tcPr>
          <w:p w14:paraId="097A9F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04244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95190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o</w:t>
            </w:r>
          </w:p>
        </w:tc>
        <w:tc>
          <w:tcPr>
            <w:tcW w:w="2802" w:type="dxa"/>
          </w:tcPr>
          <w:p w14:paraId="59185E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боевое задание</w:t>
            </w:r>
          </w:p>
        </w:tc>
      </w:tr>
      <w:tr w:rsidR="002B1C74" w:rsidRPr="002F2FDF" w14:paraId="7DD5E3E8" w14:textId="77777777">
        <w:tc>
          <w:tcPr>
            <w:tcW w:w="2802" w:type="dxa"/>
          </w:tcPr>
          <w:p w14:paraId="01885B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179 Г-</w:t>
            </w:r>
          </w:p>
        </w:tc>
        <w:tc>
          <w:tcPr>
            <w:tcW w:w="2802" w:type="dxa"/>
          </w:tcPr>
          <w:p w14:paraId="672892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1A8F0F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7D3F3B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ноября 1916 года аппарат отправлен в Винницу</w:t>
            </w:r>
          </w:p>
        </w:tc>
      </w:tr>
      <w:tr w:rsidR="002B1C74" w:rsidRPr="002F2FDF" w14:paraId="192D7CE7" w14:textId="77777777">
        <w:tc>
          <w:tcPr>
            <w:tcW w:w="2802" w:type="dxa"/>
          </w:tcPr>
          <w:p w14:paraId="11953C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180 Г-</w:t>
            </w:r>
          </w:p>
        </w:tc>
        <w:tc>
          <w:tcPr>
            <w:tcW w:w="2802" w:type="dxa"/>
          </w:tcPr>
          <w:p w14:paraId="253494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6D31D0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2B05D0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ноября1916 года аппарат отправлен в Винницу</w:t>
            </w:r>
          </w:p>
        </w:tc>
      </w:tr>
      <w:tr w:rsidR="002B1C74" w:rsidRPr="002F2FDF" w14:paraId="6FB2F1E4" w14:textId="77777777">
        <w:tc>
          <w:tcPr>
            <w:tcW w:w="2802" w:type="dxa"/>
          </w:tcPr>
          <w:p w14:paraId="011D6B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181 В-35</w:t>
            </w:r>
          </w:p>
        </w:tc>
        <w:tc>
          <w:tcPr>
            <w:tcW w:w="2802" w:type="dxa"/>
          </w:tcPr>
          <w:p w14:paraId="60A2C5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IV</w:t>
            </w:r>
          </w:p>
        </w:tc>
        <w:tc>
          <w:tcPr>
            <w:tcW w:w="2802" w:type="dxa"/>
          </w:tcPr>
          <w:p w14:paraId="5F8724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5E8357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января 1916 года аппарат отправлен в Зегевольд.</w:t>
            </w:r>
          </w:p>
        </w:tc>
      </w:tr>
      <w:tr w:rsidR="002B1C74" w:rsidRPr="002F2FDF" w14:paraId="6D1E8A1A" w14:textId="77777777">
        <w:tc>
          <w:tcPr>
            <w:tcW w:w="2802" w:type="dxa"/>
          </w:tcPr>
          <w:p w14:paraId="3EF6B4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97D82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F0615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77FCE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апреля 1916 года вышел из строя из-за взрыва баллона</w:t>
            </w:r>
          </w:p>
        </w:tc>
      </w:tr>
      <w:tr w:rsidR="002B1C74" w:rsidRPr="002F2FDF" w14:paraId="4BB00DB1" w14:textId="77777777">
        <w:tc>
          <w:tcPr>
            <w:tcW w:w="2802" w:type="dxa"/>
          </w:tcPr>
          <w:p w14:paraId="47A500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182 В-36</w:t>
            </w:r>
          </w:p>
        </w:tc>
        <w:tc>
          <w:tcPr>
            <w:tcW w:w="2802" w:type="dxa"/>
          </w:tcPr>
          <w:p w14:paraId="2006A9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"Киевский"</w:t>
            </w:r>
          </w:p>
        </w:tc>
        <w:tc>
          <w:tcPr>
            <w:tcW w:w="2802" w:type="dxa"/>
          </w:tcPr>
          <w:p w14:paraId="3AAC29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"Аргус" 140 л.с.</w:t>
            </w:r>
          </w:p>
        </w:tc>
        <w:tc>
          <w:tcPr>
            <w:tcW w:w="2802" w:type="dxa"/>
          </w:tcPr>
          <w:p w14:paraId="79AF0D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июля 1916 года аппарат отправлен в Койданово.</w:t>
            </w:r>
          </w:p>
        </w:tc>
      </w:tr>
      <w:tr w:rsidR="002B1C74" w:rsidRPr="002F2FDF" w14:paraId="4EDF8DAA" w14:textId="77777777">
        <w:tc>
          <w:tcPr>
            <w:tcW w:w="2802" w:type="dxa"/>
          </w:tcPr>
          <w:p w14:paraId="3C0A11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95F58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9C628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211C5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Принят штабс-капитаном И.С. Башко</w:t>
            </w:r>
          </w:p>
        </w:tc>
      </w:tr>
      <w:tr w:rsidR="002B1C74" w:rsidRPr="002F2FDF" w14:paraId="6D5FB781" w14:textId="77777777">
        <w:tc>
          <w:tcPr>
            <w:tcW w:w="2802" w:type="dxa"/>
          </w:tcPr>
          <w:p w14:paraId="714A94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182 Г-36</w:t>
            </w:r>
          </w:p>
        </w:tc>
        <w:tc>
          <w:tcPr>
            <w:tcW w:w="2802" w:type="dxa"/>
          </w:tcPr>
          <w:p w14:paraId="5528AD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"Киевский"</w:t>
            </w:r>
          </w:p>
        </w:tc>
        <w:tc>
          <w:tcPr>
            <w:tcW w:w="2802" w:type="dxa"/>
          </w:tcPr>
          <w:p w14:paraId="14A580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"Бердмор" 160 л.с.</w:t>
            </w:r>
          </w:p>
        </w:tc>
        <w:tc>
          <w:tcPr>
            <w:tcW w:w="2802" w:type="dxa"/>
          </w:tcPr>
          <w:p w14:paraId="2C4BA7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мае 1917 года аппарат переделан в Виннице.</w:t>
            </w:r>
          </w:p>
        </w:tc>
      </w:tr>
      <w:tr w:rsidR="002B1C74" w:rsidRPr="002F2FDF" w14:paraId="106A65C2" w14:textId="77777777">
        <w:tc>
          <w:tcPr>
            <w:tcW w:w="2802" w:type="dxa"/>
          </w:tcPr>
          <w:p w14:paraId="0C0FB6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51CE3A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FAB82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1C151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Принят штабс-капитаном И.С. Башко</w:t>
            </w:r>
          </w:p>
        </w:tc>
      </w:tr>
      <w:tr w:rsidR="002B1C74" w:rsidRPr="002F2FDF" w14:paraId="61CB4334" w14:textId="77777777">
        <w:tc>
          <w:tcPr>
            <w:tcW w:w="2802" w:type="dxa"/>
          </w:tcPr>
          <w:p w14:paraId="5CCE74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183 Г-37</w:t>
            </w:r>
          </w:p>
        </w:tc>
        <w:tc>
          <w:tcPr>
            <w:tcW w:w="2802" w:type="dxa"/>
          </w:tcPr>
          <w:p w14:paraId="775D24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2802" w:type="dxa"/>
          </w:tcPr>
          <w:p w14:paraId="4B4743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080278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января 1916 года аппарат отправлен в Зегевольд.</w:t>
            </w:r>
          </w:p>
        </w:tc>
      </w:tr>
      <w:tr w:rsidR="002B1C74" w:rsidRPr="002F2FDF" w14:paraId="5B970763" w14:textId="77777777">
        <w:tc>
          <w:tcPr>
            <w:tcW w:w="2802" w:type="dxa"/>
          </w:tcPr>
          <w:p w14:paraId="4DDDFE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587C41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1F0F9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4A225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Принят лейтенантом Г.И. Лавровым</w:t>
            </w:r>
          </w:p>
        </w:tc>
      </w:tr>
      <w:tr w:rsidR="002B1C74" w:rsidRPr="002F2FDF" w14:paraId="13E2A10E" w14:textId="77777777">
        <w:tc>
          <w:tcPr>
            <w:tcW w:w="2802" w:type="dxa"/>
          </w:tcPr>
          <w:p w14:paraId="4C0343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184 Г-38</w:t>
            </w:r>
          </w:p>
        </w:tc>
        <w:tc>
          <w:tcPr>
            <w:tcW w:w="2802" w:type="dxa"/>
          </w:tcPr>
          <w:p w14:paraId="344413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w:t>
            </w:r>
          </w:p>
        </w:tc>
        <w:tc>
          <w:tcPr>
            <w:tcW w:w="2802" w:type="dxa"/>
          </w:tcPr>
          <w:p w14:paraId="32A833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79D8F9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января 1916 года аппарат отправлен в Псков.</w:t>
            </w:r>
          </w:p>
        </w:tc>
      </w:tr>
      <w:tr w:rsidR="002B1C74" w:rsidRPr="002F2FDF" w14:paraId="75F7A2AA" w14:textId="77777777">
        <w:tc>
          <w:tcPr>
            <w:tcW w:w="2802" w:type="dxa"/>
          </w:tcPr>
          <w:p w14:paraId="784941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D6CF8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8839A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BC956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апреля 1916 года повреждён во время налёта на станцию Даудзевас</w:t>
            </w:r>
          </w:p>
        </w:tc>
      </w:tr>
      <w:tr w:rsidR="002B1C74" w:rsidRPr="002F2FDF" w14:paraId="61862FF6" w14:textId="77777777">
        <w:tc>
          <w:tcPr>
            <w:tcW w:w="2802" w:type="dxa"/>
          </w:tcPr>
          <w:p w14:paraId="382841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185 Г-</w:t>
            </w:r>
          </w:p>
        </w:tc>
        <w:tc>
          <w:tcPr>
            <w:tcW w:w="2802" w:type="dxa"/>
          </w:tcPr>
          <w:p w14:paraId="7B66B5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2E5E35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6F4267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ноября1916 года аппарат отправлен в Винницу</w:t>
            </w:r>
          </w:p>
        </w:tc>
      </w:tr>
      <w:tr w:rsidR="002B1C74" w:rsidRPr="002F2FDF" w14:paraId="72B04F4E" w14:textId="77777777">
        <w:tc>
          <w:tcPr>
            <w:tcW w:w="2802" w:type="dxa"/>
          </w:tcPr>
          <w:p w14:paraId="73EAE4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186 Г-</w:t>
            </w:r>
          </w:p>
        </w:tc>
        <w:tc>
          <w:tcPr>
            <w:tcW w:w="2802" w:type="dxa"/>
          </w:tcPr>
          <w:p w14:paraId="154477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7EB963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292E5C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марта 1916 года аппарат отправлен в Зегевольд</w:t>
            </w:r>
          </w:p>
        </w:tc>
      </w:tr>
      <w:tr w:rsidR="002B1C74" w:rsidRPr="002F2FDF" w14:paraId="2F6E67F4" w14:textId="77777777">
        <w:tc>
          <w:tcPr>
            <w:tcW w:w="2802" w:type="dxa"/>
          </w:tcPr>
          <w:p w14:paraId="70DF67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187 Г-41</w:t>
            </w:r>
          </w:p>
        </w:tc>
        <w:tc>
          <w:tcPr>
            <w:tcW w:w="2802" w:type="dxa"/>
          </w:tcPr>
          <w:p w14:paraId="45988F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"Киевский"</w:t>
            </w:r>
          </w:p>
        </w:tc>
        <w:tc>
          <w:tcPr>
            <w:tcW w:w="2802" w:type="dxa"/>
          </w:tcPr>
          <w:p w14:paraId="08D316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"Аргус" 140 л.с.</w:t>
            </w:r>
          </w:p>
        </w:tc>
        <w:tc>
          <w:tcPr>
            <w:tcW w:w="2802" w:type="dxa"/>
          </w:tcPr>
          <w:p w14:paraId="2500EC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марта 1916 года аппарат отправлен в Колодзиевку.</w:t>
            </w:r>
          </w:p>
        </w:tc>
      </w:tr>
      <w:tr w:rsidR="002B1C74" w:rsidRPr="002F2FDF" w14:paraId="46BC45BA" w14:textId="77777777">
        <w:tc>
          <w:tcPr>
            <w:tcW w:w="2802" w:type="dxa"/>
          </w:tcPr>
          <w:p w14:paraId="3996D2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A1886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9E8D7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4A847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апреля 1916 года разбит штабс-капитаном И.С. Башко</w:t>
            </w:r>
          </w:p>
        </w:tc>
      </w:tr>
      <w:tr w:rsidR="002B1C74" w:rsidRPr="002F2FDF" w14:paraId="10927332" w14:textId="77777777">
        <w:tc>
          <w:tcPr>
            <w:tcW w:w="2802" w:type="dxa"/>
          </w:tcPr>
          <w:p w14:paraId="3FCBBA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188 Г-42</w:t>
            </w:r>
          </w:p>
        </w:tc>
        <w:tc>
          <w:tcPr>
            <w:tcW w:w="2802" w:type="dxa"/>
          </w:tcPr>
          <w:p w14:paraId="05BF8B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XVI</w:t>
            </w:r>
          </w:p>
        </w:tc>
        <w:tc>
          <w:tcPr>
            <w:tcW w:w="2802" w:type="dxa"/>
          </w:tcPr>
          <w:p w14:paraId="204D4D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50A2CC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марта 1916 года аппарат отправлен в Псков.</w:t>
            </w:r>
          </w:p>
        </w:tc>
      </w:tr>
      <w:tr w:rsidR="002B1C74" w:rsidRPr="002F2FDF" w14:paraId="050C2D2A" w14:textId="77777777">
        <w:tc>
          <w:tcPr>
            <w:tcW w:w="2802" w:type="dxa"/>
          </w:tcPr>
          <w:p w14:paraId="5D5A0C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28CFB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55A2FB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8905B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Принят поручиком Д.Д. Макшеевым. 12 сентября 1916 года сбит</w:t>
            </w:r>
          </w:p>
        </w:tc>
      </w:tr>
      <w:tr w:rsidR="002B1C74" w:rsidRPr="002F2FDF" w14:paraId="2419FBE3" w14:textId="77777777">
        <w:tc>
          <w:tcPr>
            <w:tcW w:w="2802" w:type="dxa"/>
          </w:tcPr>
          <w:p w14:paraId="3F2D45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6D3F8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CE821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06B01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время воздушного боя у Крево</w:t>
            </w:r>
          </w:p>
        </w:tc>
      </w:tr>
      <w:tr w:rsidR="002B1C74" w:rsidRPr="002F2FDF" w14:paraId="35E7279D" w14:textId="77777777">
        <w:tc>
          <w:tcPr>
            <w:tcW w:w="2802" w:type="dxa"/>
          </w:tcPr>
          <w:p w14:paraId="13E0FE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189 Г-</w:t>
            </w:r>
          </w:p>
        </w:tc>
        <w:tc>
          <w:tcPr>
            <w:tcW w:w="2802" w:type="dxa"/>
          </w:tcPr>
          <w:p w14:paraId="3997BF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0DA328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4758D4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марта 1916 года аппарат отправлен в Зегевольд</w:t>
            </w:r>
          </w:p>
        </w:tc>
      </w:tr>
      <w:tr w:rsidR="002B1C74" w:rsidRPr="002F2FDF" w14:paraId="69C816B5" w14:textId="77777777">
        <w:tc>
          <w:tcPr>
            <w:tcW w:w="2802" w:type="dxa"/>
          </w:tcPr>
          <w:p w14:paraId="7FE785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 Г-44</w:t>
            </w:r>
          </w:p>
        </w:tc>
        <w:tc>
          <w:tcPr>
            <w:tcW w:w="2802" w:type="dxa"/>
          </w:tcPr>
          <w:p w14:paraId="6FFF4C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"Киевский"</w:t>
            </w:r>
          </w:p>
        </w:tc>
        <w:tc>
          <w:tcPr>
            <w:tcW w:w="2802" w:type="dxa"/>
          </w:tcPr>
          <w:p w14:paraId="30316A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"Аргус" 140 л.с.</w:t>
            </w:r>
          </w:p>
        </w:tc>
        <w:tc>
          <w:tcPr>
            <w:tcW w:w="2802" w:type="dxa"/>
          </w:tcPr>
          <w:p w14:paraId="72DED6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мая 1916 года аппарат отправлен в Псков.</w:t>
            </w:r>
          </w:p>
        </w:tc>
      </w:tr>
      <w:tr w:rsidR="002B1C74" w:rsidRPr="002F2FDF" w14:paraId="1AFD7169" w14:textId="77777777">
        <w:tc>
          <w:tcPr>
            <w:tcW w:w="2802" w:type="dxa"/>
          </w:tcPr>
          <w:p w14:paraId="3C1BFC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8AE4B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197A4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183DE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Принят штабс-капитаном И.С. Башко. Разбит 16 июля 1916 года</w:t>
            </w:r>
          </w:p>
        </w:tc>
      </w:tr>
      <w:tr w:rsidR="002B1C74" w:rsidRPr="002F2FDF" w14:paraId="47439852" w14:textId="77777777">
        <w:tc>
          <w:tcPr>
            <w:tcW w:w="2802" w:type="dxa"/>
          </w:tcPr>
          <w:p w14:paraId="07F486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 Г-</w:t>
            </w:r>
          </w:p>
        </w:tc>
        <w:tc>
          <w:tcPr>
            <w:tcW w:w="2802" w:type="dxa"/>
          </w:tcPr>
          <w:p w14:paraId="4AE1BF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XII</w:t>
            </w:r>
          </w:p>
        </w:tc>
        <w:tc>
          <w:tcPr>
            <w:tcW w:w="2802" w:type="dxa"/>
          </w:tcPr>
          <w:p w14:paraId="518E9F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679B2E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апреля 1916 года аппарат отправлен в Псков.</w:t>
            </w:r>
          </w:p>
        </w:tc>
      </w:tr>
      <w:tr w:rsidR="002B1C74" w:rsidRPr="002F2FDF" w14:paraId="5C7E4A5D" w14:textId="77777777">
        <w:tc>
          <w:tcPr>
            <w:tcW w:w="2802" w:type="dxa"/>
          </w:tcPr>
          <w:p w14:paraId="073760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280B8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F37A8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5377B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Принят штабс-капитаном Е.М. Городецким.</w:t>
            </w:r>
          </w:p>
        </w:tc>
      </w:tr>
      <w:tr w:rsidR="002B1C74" w:rsidRPr="002F2FDF" w14:paraId="4DFB01B1" w14:textId="77777777">
        <w:tc>
          <w:tcPr>
            <w:tcW w:w="2802" w:type="dxa"/>
          </w:tcPr>
          <w:p w14:paraId="73F7AE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FF8A5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0ECCC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77DBE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Поломан ураганом 29 мая 1917 года</w:t>
            </w:r>
          </w:p>
        </w:tc>
      </w:tr>
      <w:tr w:rsidR="002B1C74" w:rsidRPr="002F2FDF" w14:paraId="2C0FB92B" w14:textId="77777777">
        <w:tc>
          <w:tcPr>
            <w:tcW w:w="2802" w:type="dxa"/>
          </w:tcPr>
          <w:p w14:paraId="317CC7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192 Г-</w:t>
            </w:r>
          </w:p>
        </w:tc>
        <w:tc>
          <w:tcPr>
            <w:tcW w:w="2802" w:type="dxa"/>
          </w:tcPr>
          <w:p w14:paraId="1B01DD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XVII</w:t>
            </w:r>
          </w:p>
        </w:tc>
        <w:tc>
          <w:tcPr>
            <w:tcW w:w="2802" w:type="dxa"/>
          </w:tcPr>
          <w:p w14:paraId="31A4C5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1945F6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мая 1916 года аппарат отправлен в Псков.</w:t>
            </w:r>
          </w:p>
        </w:tc>
      </w:tr>
      <w:tr w:rsidR="002B1C74" w:rsidRPr="002F2FDF" w14:paraId="2C9AD85D" w14:textId="77777777">
        <w:tc>
          <w:tcPr>
            <w:tcW w:w="2802" w:type="dxa"/>
          </w:tcPr>
          <w:p w14:paraId="723F60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46497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21EE8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6C207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Принят поручиком А.И. Беляковым. Повреждён 18 июня 1916 года</w:t>
            </w:r>
          </w:p>
        </w:tc>
      </w:tr>
      <w:tr w:rsidR="002B1C74" w:rsidRPr="002F2FDF" w14:paraId="4A6F7BF5" w14:textId="77777777">
        <w:tc>
          <w:tcPr>
            <w:tcW w:w="2802" w:type="dxa"/>
          </w:tcPr>
          <w:p w14:paraId="4B6B41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CB8C9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80AF5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78593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перелёте в 3-й боевой отряд</w:t>
            </w:r>
          </w:p>
        </w:tc>
      </w:tr>
      <w:tr w:rsidR="002B1C74" w:rsidRPr="002F2FDF" w14:paraId="64EA7AAE" w14:textId="77777777">
        <w:tc>
          <w:tcPr>
            <w:tcW w:w="2802" w:type="dxa"/>
          </w:tcPr>
          <w:p w14:paraId="31F341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193 Г-45</w:t>
            </w:r>
          </w:p>
        </w:tc>
        <w:tc>
          <w:tcPr>
            <w:tcW w:w="2802" w:type="dxa"/>
          </w:tcPr>
          <w:p w14:paraId="5C18D0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F0F97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5433DE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мая 1916 года аппарат отправлен в Псков</w:t>
            </w:r>
          </w:p>
        </w:tc>
      </w:tr>
      <w:tr w:rsidR="002B1C74" w:rsidRPr="002F2FDF" w14:paraId="3D8921B4" w14:textId="77777777">
        <w:tc>
          <w:tcPr>
            <w:tcW w:w="2802" w:type="dxa"/>
          </w:tcPr>
          <w:p w14:paraId="127164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194 Г-</w:t>
            </w:r>
          </w:p>
        </w:tc>
        <w:tc>
          <w:tcPr>
            <w:tcW w:w="2802" w:type="dxa"/>
          </w:tcPr>
          <w:p w14:paraId="232147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w:t>
            </w:r>
          </w:p>
        </w:tc>
        <w:tc>
          <w:tcPr>
            <w:tcW w:w="2802" w:type="dxa"/>
          </w:tcPr>
          <w:p w14:paraId="4EB23A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РБ3.6 150 л.с.</w:t>
            </w:r>
          </w:p>
        </w:tc>
        <w:tc>
          <w:tcPr>
            <w:tcW w:w="2802" w:type="dxa"/>
          </w:tcPr>
          <w:p w14:paraId="268453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 мая 1916 года аппарат отправлен в Колодзиевку.</w:t>
            </w:r>
          </w:p>
        </w:tc>
      </w:tr>
      <w:tr w:rsidR="002B1C74" w:rsidRPr="002F2FDF" w14:paraId="6EE0CE4D" w14:textId="77777777">
        <w:tc>
          <w:tcPr>
            <w:tcW w:w="2802" w:type="dxa"/>
          </w:tcPr>
          <w:p w14:paraId="50DEC4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D26CD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49E13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5F5585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Принят штабс-капитаном А.В. Панкратьевым</w:t>
            </w:r>
          </w:p>
        </w:tc>
      </w:tr>
      <w:tr w:rsidR="002B1C74" w:rsidRPr="002F2FDF" w14:paraId="64FE0FB9" w14:textId="77777777">
        <w:tc>
          <w:tcPr>
            <w:tcW w:w="2802" w:type="dxa"/>
          </w:tcPr>
          <w:p w14:paraId="41574A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195 Г-47</w:t>
            </w:r>
          </w:p>
        </w:tc>
        <w:tc>
          <w:tcPr>
            <w:tcW w:w="2802" w:type="dxa"/>
          </w:tcPr>
          <w:p w14:paraId="4CC736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w:t>
            </w:r>
          </w:p>
        </w:tc>
        <w:tc>
          <w:tcPr>
            <w:tcW w:w="2802" w:type="dxa"/>
          </w:tcPr>
          <w:p w14:paraId="1171D6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57514C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мая 1916 года аппарат отправлен в Псков.</w:t>
            </w:r>
          </w:p>
        </w:tc>
      </w:tr>
      <w:tr w:rsidR="002B1C74" w:rsidRPr="002F2FDF" w14:paraId="692D3F3E" w14:textId="77777777">
        <w:tc>
          <w:tcPr>
            <w:tcW w:w="2802" w:type="dxa"/>
          </w:tcPr>
          <w:p w14:paraId="01AE25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0ED95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58189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5595A6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Принят штабс-капитаном Н.Н. Базановым как BK XI и в августе</w:t>
            </w:r>
          </w:p>
        </w:tc>
      </w:tr>
      <w:tr w:rsidR="002B1C74" w:rsidRPr="002F2FDF" w14:paraId="491F8187" w14:textId="77777777">
        <w:tc>
          <w:tcPr>
            <w:tcW w:w="2802" w:type="dxa"/>
          </w:tcPr>
          <w:p w14:paraId="07E02A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DD9CF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7ED0E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C4188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года направлен в 1-й боевой отряд ЭВК</w:t>
            </w:r>
          </w:p>
        </w:tc>
      </w:tr>
      <w:tr w:rsidR="002B1C74" w:rsidRPr="002F2FDF" w14:paraId="7B98BE6D" w14:textId="77777777">
        <w:tc>
          <w:tcPr>
            <w:tcW w:w="2802" w:type="dxa"/>
          </w:tcPr>
          <w:p w14:paraId="58B8F3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A6C19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01CA8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567C5A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сентября 1916 года корабль повреждён</w:t>
            </w:r>
          </w:p>
        </w:tc>
      </w:tr>
      <w:tr w:rsidR="002B1C74" w:rsidRPr="002F2FDF" w14:paraId="7403E81D" w14:textId="77777777">
        <w:tc>
          <w:tcPr>
            <w:tcW w:w="2802" w:type="dxa"/>
          </w:tcPr>
          <w:p w14:paraId="2DCE63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1DB0B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B4B85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B5C6E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аварии в Ягельнице и отправлен для ремонта в Псков</w:t>
            </w:r>
          </w:p>
        </w:tc>
      </w:tr>
      <w:tr w:rsidR="002B1C74" w:rsidRPr="002F2FDF" w14:paraId="3F55591E" w14:textId="77777777">
        <w:tc>
          <w:tcPr>
            <w:tcW w:w="2802" w:type="dxa"/>
          </w:tcPr>
          <w:p w14:paraId="54EC8F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196 Г-</w:t>
            </w:r>
          </w:p>
        </w:tc>
        <w:tc>
          <w:tcPr>
            <w:tcW w:w="2802" w:type="dxa"/>
          </w:tcPr>
          <w:p w14:paraId="1238E2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2B668B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2х "Рено" 225 л.с.,</w:t>
            </w:r>
          </w:p>
        </w:tc>
        <w:tc>
          <w:tcPr>
            <w:tcW w:w="2802" w:type="dxa"/>
          </w:tcPr>
          <w:p w14:paraId="181381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мая 1916 года аппарат отправлен в Псков</w:t>
            </w:r>
          </w:p>
        </w:tc>
      </w:tr>
      <w:tr w:rsidR="002B1C74" w:rsidRPr="002F2FDF" w14:paraId="39B46E90" w14:textId="77777777">
        <w:tc>
          <w:tcPr>
            <w:tcW w:w="2802" w:type="dxa"/>
          </w:tcPr>
          <w:p w14:paraId="4848B9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8FE69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31506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2х РБ3.6 150 л.с</w:t>
            </w:r>
          </w:p>
        </w:tc>
        <w:tc>
          <w:tcPr>
            <w:tcW w:w="2802" w:type="dxa"/>
          </w:tcPr>
          <w:p w14:paraId="189C27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5492FC20" w14:textId="77777777">
        <w:tc>
          <w:tcPr>
            <w:tcW w:w="2802" w:type="dxa"/>
          </w:tcPr>
          <w:p w14:paraId="5A025E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197 Г-</w:t>
            </w:r>
          </w:p>
        </w:tc>
        <w:tc>
          <w:tcPr>
            <w:tcW w:w="2802" w:type="dxa"/>
          </w:tcPr>
          <w:p w14:paraId="27EBA7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Ill</w:t>
            </w:r>
          </w:p>
        </w:tc>
        <w:tc>
          <w:tcPr>
            <w:tcW w:w="2802" w:type="dxa"/>
          </w:tcPr>
          <w:p w14:paraId="169120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58A888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июля 1916 года аппарат отправлен в Псков.</w:t>
            </w:r>
          </w:p>
        </w:tc>
      </w:tr>
      <w:tr w:rsidR="002B1C74" w:rsidRPr="002F2FDF" w14:paraId="5D93C2FB" w14:textId="77777777">
        <w:tc>
          <w:tcPr>
            <w:tcW w:w="2802" w:type="dxa"/>
          </w:tcPr>
          <w:p w14:paraId="25DF31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E73B4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7D36A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4AA8A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Разбит бурей 5 августа 1916 года</w:t>
            </w:r>
          </w:p>
        </w:tc>
      </w:tr>
      <w:tr w:rsidR="002B1C74" w:rsidRPr="002F2FDF" w14:paraId="1D324AFD" w14:textId="77777777">
        <w:tc>
          <w:tcPr>
            <w:tcW w:w="2802" w:type="dxa"/>
          </w:tcPr>
          <w:p w14:paraId="08AC08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198 Г-</w:t>
            </w:r>
          </w:p>
        </w:tc>
        <w:tc>
          <w:tcPr>
            <w:tcW w:w="2802" w:type="dxa"/>
          </w:tcPr>
          <w:p w14:paraId="4AC55C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XVII</w:t>
            </w:r>
          </w:p>
        </w:tc>
        <w:tc>
          <w:tcPr>
            <w:tcW w:w="2802" w:type="dxa"/>
          </w:tcPr>
          <w:p w14:paraId="108472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4430BF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июля 1916 года аппарат отправлен в Псков.</w:t>
            </w:r>
          </w:p>
        </w:tc>
      </w:tr>
      <w:tr w:rsidR="002B1C74" w:rsidRPr="002F2FDF" w14:paraId="631A300E" w14:textId="77777777">
        <w:tc>
          <w:tcPr>
            <w:tcW w:w="2802" w:type="dxa"/>
          </w:tcPr>
          <w:p w14:paraId="2D7384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3B121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D6733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B1EAE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Разбит бурей в сентябре 1916 года</w:t>
            </w:r>
          </w:p>
        </w:tc>
      </w:tr>
      <w:tr w:rsidR="002B1C74" w:rsidRPr="002F2FDF" w14:paraId="7AEC873E" w14:textId="77777777">
        <w:tc>
          <w:tcPr>
            <w:tcW w:w="2802" w:type="dxa"/>
          </w:tcPr>
          <w:p w14:paraId="7EB280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218 Г-</w:t>
            </w:r>
          </w:p>
        </w:tc>
        <w:tc>
          <w:tcPr>
            <w:tcW w:w="2802" w:type="dxa"/>
          </w:tcPr>
          <w:p w14:paraId="20EAFD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720583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588B81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декабря 1916 года аппарат доставлен в Винницу</w:t>
            </w:r>
          </w:p>
        </w:tc>
      </w:tr>
      <w:tr w:rsidR="002B1C74" w:rsidRPr="002F2FDF" w14:paraId="65230206" w14:textId="77777777">
        <w:tc>
          <w:tcPr>
            <w:tcW w:w="2802" w:type="dxa"/>
          </w:tcPr>
          <w:p w14:paraId="5F0D43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219 Г-</w:t>
            </w:r>
          </w:p>
        </w:tc>
        <w:tc>
          <w:tcPr>
            <w:tcW w:w="2802" w:type="dxa"/>
          </w:tcPr>
          <w:p w14:paraId="1AE9D1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17193E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2х "Рено" 225 л.с.,</w:t>
            </w:r>
          </w:p>
        </w:tc>
        <w:tc>
          <w:tcPr>
            <w:tcW w:w="2802" w:type="dxa"/>
          </w:tcPr>
          <w:p w14:paraId="3E6C8B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декабря 1916 года аппарат отправлен в Винницу</w:t>
            </w:r>
          </w:p>
        </w:tc>
      </w:tr>
      <w:tr w:rsidR="002B1C74" w:rsidRPr="002F2FDF" w14:paraId="55D3ED84" w14:textId="77777777">
        <w:tc>
          <w:tcPr>
            <w:tcW w:w="2802" w:type="dxa"/>
          </w:tcPr>
          <w:p w14:paraId="0B119C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DAD28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6E451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2х РБ3.6 150 л.с.</w:t>
            </w:r>
          </w:p>
        </w:tc>
        <w:tc>
          <w:tcPr>
            <w:tcW w:w="2802" w:type="dxa"/>
          </w:tcPr>
          <w:p w14:paraId="7017A2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4AA8030C" w14:textId="77777777">
        <w:tc>
          <w:tcPr>
            <w:tcW w:w="2802" w:type="dxa"/>
          </w:tcPr>
          <w:p w14:paraId="3E4BD0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220 Г-55</w:t>
            </w:r>
          </w:p>
        </w:tc>
        <w:tc>
          <w:tcPr>
            <w:tcW w:w="2802" w:type="dxa"/>
          </w:tcPr>
          <w:p w14:paraId="7D9129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IV?</w:t>
            </w:r>
          </w:p>
        </w:tc>
        <w:tc>
          <w:tcPr>
            <w:tcW w:w="2802" w:type="dxa"/>
          </w:tcPr>
          <w:p w14:paraId="44F7DD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160 л.с.</w:t>
            </w:r>
          </w:p>
        </w:tc>
        <w:tc>
          <w:tcPr>
            <w:tcW w:w="2802" w:type="dxa"/>
          </w:tcPr>
          <w:p w14:paraId="73F2F4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декабря 1916 года аппарат отправлен в Винницу</w:t>
            </w:r>
          </w:p>
        </w:tc>
      </w:tr>
      <w:tr w:rsidR="002B1C74" w:rsidRPr="002F2FDF" w14:paraId="43C6ECA4" w14:textId="77777777">
        <w:tc>
          <w:tcPr>
            <w:tcW w:w="2802" w:type="dxa"/>
          </w:tcPr>
          <w:p w14:paraId="2A89B1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221 Г-</w:t>
            </w:r>
          </w:p>
        </w:tc>
        <w:tc>
          <w:tcPr>
            <w:tcW w:w="2802" w:type="dxa"/>
          </w:tcPr>
          <w:p w14:paraId="7F6BB3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XVIII</w:t>
            </w:r>
          </w:p>
        </w:tc>
        <w:tc>
          <w:tcPr>
            <w:tcW w:w="2802" w:type="dxa"/>
          </w:tcPr>
          <w:p w14:paraId="61CD39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2х "Рено" 225 л.с.,</w:t>
            </w:r>
          </w:p>
        </w:tc>
        <w:tc>
          <w:tcPr>
            <w:tcW w:w="2802" w:type="dxa"/>
          </w:tcPr>
          <w:p w14:paraId="1935E6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декабря 1916 года аппарат отправлен в Винницу.</w:t>
            </w:r>
          </w:p>
        </w:tc>
      </w:tr>
      <w:tr w:rsidR="002B1C74" w:rsidRPr="002F2FDF" w14:paraId="3F4B2492" w14:textId="77777777">
        <w:tc>
          <w:tcPr>
            <w:tcW w:w="2802" w:type="dxa"/>
          </w:tcPr>
          <w:p w14:paraId="417135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F262A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632E6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2х РБ3.6 150 л.с.</w:t>
            </w:r>
          </w:p>
        </w:tc>
        <w:tc>
          <w:tcPr>
            <w:tcW w:w="2802" w:type="dxa"/>
          </w:tcPr>
          <w:p w14:paraId="49D303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Принят ротмистром А.В. Середницким</w:t>
            </w:r>
          </w:p>
        </w:tc>
      </w:tr>
      <w:tr w:rsidR="002B1C74" w:rsidRPr="002F2FDF" w14:paraId="769F13E3" w14:textId="77777777">
        <w:tc>
          <w:tcPr>
            <w:tcW w:w="2802" w:type="dxa"/>
          </w:tcPr>
          <w:p w14:paraId="40C6BD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222 Г-</w:t>
            </w:r>
          </w:p>
        </w:tc>
        <w:tc>
          <w:tcPr>
            <w:tcW w:w="2802" w:type="dxa"/>
          </w:tcPr>
          <w:p w14:paraId="23691D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128B5F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07DE4F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декабря 1916 года аппарат отправлен в Винницу</w:t>
            </w:r>
          </w:p>
        </w:tc>
      </w:tr>
      <w:tr w:rsidR="002B1C74" w:rsidRPr="002F2FDF" w14:paraId="6F2057DF" w14:textId="77777777">
        <w:tc>
          <w:tcPr>
            <w:tcW w:w="2802" w:type="dxa"/>
          </w:tcPr>
          <w:p w14:paraId="4FCADD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223 Д-53</w:t>
            </w:r>
          </w:p>
        </w:tc>
        <w:tc>
          <w:tcPr>
            <w:tcW w:w="2802" w:type="dxa"/>
          </w:tcPr>
          <w:p w14:paraId="34A928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5893C5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"Санбим" 150 л.с.</w:t>
            </w:r>
          </w:p>
        </w:tc>
        <w:tc>
          <w:tcPr>
            <w:tcW w:w="2802" w:type="dxa"/>
          </w:tcPr>
          <w:p w14:paraId="380692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апреля 1916 года аппарат отправлен в Псков.</w:t>
            </w:r>
          </w:p>
        </w:tc>
      </w:tr>
      <w:tr w:rsidR="002B1C74" w:rsidRPr="002F2FDF" w14:paraId="21B094C0" w14:textId="77777777">
        <w:tc>
          <w:tcPr>
            <w:tcW w:w="2802" w:type="dxa"/>
          </w:tcPr>
          <w:p w14:paraId="46D7F1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548A2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E8343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CCB63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1916 года отправлен в Петроград на РБВЗ</w:t>
            </w:r>
          </w:p>
        </w:tc>
      </w:tr>
      <w:tr w:rsidR="002B1C74" w:rsidRPr="002F2FDF" w14:paraId="5B665C00" w14:textId="77777777">
        <w:tc>
          <w:tcPr>
            <w:tcW w:w="2802" w:type="dxa"/>
          </w:tcPr>
          <w:p w14:paraId="0E473D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224 Д-</w:t>
            </w:r>
          </w:p>
        </w:tc>
        <w:tc>
          <w:tcPr>
            <w:tcW w:w="2802" w:type="dxa"/>
          </w:tcPr>
          <w:p w14:paraId="5E1BAA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6670C0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2802" w:type="dxa"/>
          </w:tcPr>
          <w:p w14:paraId="0E973F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ноября 1916 года аппарат отправлен в Винницу</w:t>
            </w:r>
          </w:p>
        </w:tc>
      </w:tr>
      <w:tr w:rsidR="002B1C74" w:rsidRPr="002F2FDF" w14:paraId="0AD5DA04" w14:textId="77777777">
        <w:tc>
          <w:tcPr>
            <w:tcW w:w="2802" w:type="dxa"/>
          </w:tcPr>
          <w:p w14:paraId="00E452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265 Е-56</w:t>
            </w:r>
          </w:p>
        </w:tc>
        <w:tc>
          <w:tcPr>
            <w:tcW w:w="2802" w:type="dxa"/>
          </w:tcPr>
          <w:p w14:paraId="524F24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IX</w:t>
            </w:r>
          </w:p>
        </w:tc>
        <w:tc>
          <w:tcPr>
            <w:tcW w:w="2802" w:type="dxa"/>
          </w:tcPr>
          <w:p w14:paraId="412A80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"Рено" 225 л.с.</w:t>
            </w:r>
          </w:p>
        </w:tc>
        <w:tc>
          <w:tcPr>
            <w:tcW w:w="2802" w:type="dxa"/>
          </w:tcPr>
          <w:p w14:paraId="16926F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июля 1916 года аппарат отправлен в Псков</w:t>
            </w:r>
          </w:p>
        </w:tc>
      </w:tr>
      <w:tr w:rsidR="002B1C74" w:rsidRPr="002F2FDF" w14:paraId="7A30B58F" w14:textId="77777777">
        <w:tc>
          <w:tcPr>
            <w:tcW w:w="2802" w:type="dxa"/>
          </w:tcPr>
          <w:p w14:paraId="491986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266 Е-57</w:t>
            </w:r>
          </w:p>
        </w:tc>
        <w:tc>
          <w:tcPr>
            <w:tcW w:w="2802" w:type="dxa"/>
          </w:tcPr>
          <w:p w14:paraId="735AD4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w:t>
            </w:r>
          </w:p>
        </w:tc>
        <w:tc>
          <w:tcPr>
            <w:tcW w:w="2802" w:type="dxa"/>
          </w:tcPr>
          <w:p w14:paraId="7E8F2E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4х "Рено" 225 л.с.</w:t>
            </w:r>
          </w:p>
        </w:tc>
        <w:tc>
          <w:tcPr>
            <w:tcW w:w="2802" w:type="dxa"/>
          </w:tcPr>
          <w:p w14:paraId="55E62B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августа 1916 года аппарат отправлен в Псков.</w:t>
            </w:r>
          </w:p>
        </w:tc>
      </w:tr>
      <w:tr w:rsidR="002B1C74" w:rsidRPr="002F2FDF" w14:paraId="738606B4" w14:textId="77777777">
        <w:tc>
          <w:tcPr>
            <w:tcW w:w="2802" w:type="dxa"/>
            <w:tcBorders>
              <w:bottom w:val="single" w:sz="12" w:space="0" w:color="auto"/>
            </w:tcBorders>
          </w:tcPr>
          <w:p w14:paraId="39B216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Borders>
              <w:bottom w:val="single" w:sz="12" w:space="0" w:color="auto"/>
            </w:tcBorders>
          </w:tcPr>
          <w:p w14:paraId="000A88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Borders>
              <w:bottom w:val="single" w:sz="12" w:space="0" w:color="auto"/>
            </w:tcBorders>
          </w:tcPr>
          <w:p w14:paraId="2F125F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Borders>
              <w:bottom w:val="single" w:sz="12" w:space="0" w:color="auto"/>
            </w:tcBorders>
          </w:tcPr>
          <w:p w14:paraId="6EEC1F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ноября 1917 года разбит в Виннице</w:t>
            </w:r>
          </w:p>
        </w:tc>
      </w:tr>
    </w:tbl>
    <w:p w14:paraId="77BC0F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Примечание:</w:t>
      </w:r>
    </w:p>
    <w:p w14:paraId="04AFED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 Соответствие порядковых номеров (-20, -22. -25. -27, -</w:t>
      </w:r>
      <w:r w:rsidRPr="002F2FDF">
        <w:rPr>
          <w:rFonts w:ascii="Times New Roman" w:hAnsi="Times New Roman" w:cs="Times New Roman"/>
          <w:color w:val="000000" w:themeColor="text1"/>
          <w:kern w:val="2"/>
          <w:sz w:val="16"/>
          <w:szCs w:val="16"/>
        </w:rPr>
        <w:tab/>
        <w:t>29-34. -39-40. -43. -46. -48-52. -54. -58 и -59) типа Гс№№ 166. 168. 171, 173, 175-180. 185-186, 189. 191-192, 194. 196-198.218,219. 221,222 и Д с №224 не установлено. Тип Д-3 имел номер 225Д-60, а 10 серийных Д с присвоенными зав. номерами 226-235 Д-61...70 были не достроены. Далее шла серия из 10 Г-3 с №№ 236-245 от Г-71 до Г-80 соответственно.</w:t>
      </w:r>
    </w:p>
    <w:p w14:paraId="6C315E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Сокращения ИМ - "Илья Муромец", ВК</w:t>
      </w:r>
      <w:r w:rsidRPr="002F2FDF">
        <w:rPr>
          <w:rFonts w:ascii="Times New Roman" w:hAnsi="Times New Roman" w:cs="Times New Roman"/>
          <w:color w:val="000000" w:themeColor="text1"/>
          <w:kern w:val="2"/>
          <w:sz w:val="16"/>
          <w:szCs w:val="16"/>
        </w:rPr>
        <w:tab/>
        <w:t>- воздушный корабль (12041).</w:t>
      </w:r>
    </w:p>
    <w:p w14:paraId="3CF5CA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644D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уже возник вопрос о создании по аналогии с Военным и Морским отдельного Министерства ВВФ (11230).</w:t>
      </w:r>
    </w:p>
    <w:p w14:paraId="6F0F81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FA22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на заводе "Дукс" выпущен пробный экземпляр "Морана-Солнье" N. От французского образца он отличался, в частности, формой капота и отсутствием кока на винте. Испытания показали, что летные данные машины уже не отвечают требованиям времени и предпочтение отдали истребителям "Ныопор" (11265).</w:t>
      </w:r>
    </w:p>
    <w:p w14:paraId="5712D1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E9A76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владелец завода Дукс Ю.А. Меллер, получив заказы и лицензии на выпуск самолётов “Спад” и “Сопвич” с большим количеством алюминиевых деталей, закупил оборудование для изготовления проката. Его установили в отдельном цехе и к 1920 г. отладили техноло</w:t>
      </w:r>
      <w:r w:rsidRPr="002F2FDF">
        <w:rPr>
          <w:rFonts w:ascii="Times New Roman" w:hAnsi="Times New Roman" w:cs="Times New Roman"/>
          <w:color w:val="000000" w:themeColor="text1"/>
          <w:kern w:val="2"/>
          <w:sz w:val="16"/>
          <w:szCs w:val="16"/>
        </w:rPr>
        <w:softHyphen/>
        <w:t>гию. В 1922 г. с помощью металлурга Ю.Г. Музалевского освоили выплавку дюралевых сплавов, листовой прокат, получили нужный сортамент из гофрированного и сортового проката (11696).</w:t>
      </w:r>
    </w:p>
    <w:p w14:paraId="29C7D43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2410FF" w14:textId="0824F87A"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w:t>
      </w:r>
      <w:r w:rsidR="00807D26" w:rsidRPr="002F2FDF">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1917 г. новый завод в Филях, получивший название "Автомобильный завод РБВЗ" (или Русско-Балтийский автомобильный завод - "Автобалт") стали рассматривать как многопрофильное производство, в том числе и для выпуска авиационной техники. В 20-е годы этот завод (ныне МПО им. Хруничева) стал базой для создания советского тяжелого самолетостроения, а впоследствии и тяжелого ракетостроения. В настоящее время самая мощная в мире ракета-носитель "Энергия" построена именно на этом предприятии (11230).</w:t>
      </w:r>
    </w:p>
    <w:p w14:paraId="6CAD05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Причиной возведения "Автобалта" в Москве были не только огромные заказы на прекрасно зарекомендовавшие себя в нелегких фронтовых условиях автомобили, но и эвакуация рижского завода в связи с приближением фронта к городу. Эвакуированное из Риги оборудование РБВЗ разместили преимущественно в Твери на бывшем Верхневолжском вагоностроительном заводе, оставшуюся его часть направили в Петроград. Правление РБВЗ быстро восстановило выпуск своей главной продукции - вагонов, а также начало производство по заказам военного ведомства другой техники. Среди них были различное инженерное имущество, артиллерийские передки, походные кухни и даже моторизованные десантные понтоны. Правление, видимо, смотрело далеко вперед, если в обмен за предоставленные в 1917 г. союзникам чертежи "Ильи Муромца" потребовало чертежи британского танка, а в ближайшей перспективе производственные мощности Тверского завода рассматривались для возможного выпуска самолетов (11230).</w:t>
      </w:r>
    </w:p>
    <w:p w14:paraId="44B87A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3414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1917 году Лебедев решил существенно расширить свое производство. Однако земельный участок на Комендантском аэродроме имел ограниченные размеры и не позволял осуществить грандиозные планы авиапромышленника. Поэтому Владимир Лебедев решил построить еще три завода в Таганроге, Пензе и Ярославле, чему весьма способствовали заказы на сотни самолетов от Морского и Военного ведомств. Так, весной 1917 г. Лебедев заключил контракт с последним на поставку двух сотен "Альбатросов" с моторами "Испано-Сюиза" 200 л.с. Однако заказ не был выполнен из-за срыва поставок двигателей из Англии и Франции во второй половине 1917 г. Другой контракт предусматривал поставку 260 самолетов "Сопвич Полуторостоечный" с мотором "Клерже" 130 л.с., однако построили только 5 экземпляров этого самолета(по данным В.Б.Шаврова; по архивным данным было произведено 7 машин, но все - уже в советское время). Для авиазавода в Пензе, специализировавшегося на выпуске пропеллеров, Лебедев заключил контракт о поставке 60 учебных самолетов "Альбатрос"-VII, который также выполнен не был. </w:t>
      </w:r>
    </w:p>
    <w:p w14:paraId="0D06FB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Лебедев брался за постройку любых аэропланов, производство которых могло приносить прибыль. Однако по ходу 1917 года выполнять заказы становилось все труднее. В марте на заводе начались забастовки рабочих. Лебедев удовлетворил их требования и с 24 апреля ввел на своем заводе 8-часовой рабочий день. Эта мера временно погасила недовольство рабочих. </w:t>
      </w:r>
    </w:p>
    <w:p w14:paraId="5FFAFA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Острый дефицит материалов, необходимых для выпуска аэропланов, в первую очередь древесины и металла, отрицательно сказывался на производстве. Цены на это сырье неуклонно возрастали. В этих условиях авиационное производство становилось убыточным и Лебедев неоднократно обращался в Управление Военно-Воздушного флота с просьбами откорректировать сроки поставки и договорные цены на поставляемые аэропланы с учетом дороговизны материалов и забастовок. </w:t>
      </w:r>
    </w:p>
    <w:p w14:paraId="3A6FA1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Завод продолжал выпуск разведчика "Лебедь"-ХII, к концу 1917 г. безнадежно устаревшего. Однако Военное ведомство продолжало закупать эти самолеты, несмотря на многочисленные нарекания фронтовых летчиков. В конце концов недостатки машин стали настолько неприемлемы, что их перестали посылать на фронт, а оставляли для использования в авиашколах. </w:t>
      </w:r>
    </w:p>
    <w:p w14:paraId="678BFA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Лебедев попытался выполнить заказ Морского ведомства на поплавковые "Альбатросы", однако ему удалось построить и продать только два таких аппарата. </w:t>
      </w:r>
    </w:p>
    <w:p w14:paraId="001EF0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Суммарный выпуск самолетов, построенных на заводе Лебедева в 1914-1917 годах в Петрограде отражет следующая таблица: </w:t>
      </w:r>
    </w:p>
    <w:p w14:paraId="3DFCBE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Аэропланы завода Лебедева 1914-1917 гг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5" w:type="dxa"/>
          <w:right w:w="75" w:type="dxa"/>
        </w:tblCellMar>
        <w:tblLook w:val="0000" w:firstRow="0" w:lastRow="0" w:firstColumn="0" w:lastColumn="0" w:noHBand="0" w:noVBand="0"/>
      </w:tblPr>
      <w:tblGrid>
        <w:gridCol w:w="2685"/>
        <w:gridCol w:w="4874"/>
        <w:gridCol w:w="2685"/>
      </w:tblGrid>
      <w:tr w:rsidR="002B1C74" w:rsidRPr="002F2FDF" w14:paraId="0A101D03" w14:textId="77777777">
        <w:trPr>
          <w:jc w:val="center"/>
        </w:trPr>
        <w:tc>
          <w:tcPr>
            <w:tcW w:w="2685" w:type="dxa"/>
            <w:tcBorders>
              <w:top w:val="single" w:sz="12" w:space="0" w:color="auto"/>
            </w:tcBorders>
          </w:tcPr>
          <w:p w14:paraId="241F85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Год выпуска </w:t>
            </w:r>
          </w:p>
        </w:tc>
        <w:tc>
          <w:tcPr>
            <w:tcW w:w="4874" w:type="dxa"/>
            <w:tcBorders>
              <w:top w:val="single" w:sz="12" w:space="0" w:color="auto"/>
            </w:tcBorders>
          </w:tcPr>
          <w:p w14:paraId="685DAC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Тип самолета </w:t>
            </w:r>
          </w:p>
        </w:tc>
        <w:tc>
          <w:tcPr>
            <w:tcW w:w="2685" w:type="dxa"/>
            <w:tcBorders>
              <w:top w:val="single" w:sz="12" w:space="0" w:color="auto"/>
            </w:tcBorders>
          </w:tcPr>
          <w:p w14:paraId="6CB22A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Число выпущенных самолетов </w:t>
            </w:r>
          </w:p>
        </w:tc>
      </w:tr>
      <w:tr w:rsidR="002B1C74" w:rsidRPr="002F2FDF" w14:paraId="152AAA23" w14:textId="77777777">
        <w:trPr>
          <w:jc w:val="center"/>
        </w:trPr>
        <w:tc>
          <w:tcPr>
            <w:tcW w:w="2685" w:type="dxa"/>
          </w:tcPr>
          <w:p w14:paraId="2735AC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1914 </w:t>
            </w:r>
          </w:p>
        </w:tc>
        <w:tc>
          <w:tcPr>
            <w:tcW w:w="4874" w:type="dxa"/>
          </w:tcPr>
          <w:p w14:paraId="5135A4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"Фарман" IV и "Ньюпор" IV </w:t>
            </w:r>
          </w:p>
        </w:tc>
        <w:tc>
          <w:tcPr>
            <w:tcW w:w="2685" w:type="dxa"/>
          </w:tcPr>
          <w:p w14:paraId="11E18E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34 </w:t>
            </w:r>
          </w:p>
        </w:tc>
      </w:tr>
      <w:tr w:rsidR="002B1C74" w:rsidRPr="002F2FDF" w14:paraId="15D10212" w14:textId="77777777">
        <w:trPr>
          <w:jc w:val="center"/>
        </w:trPr>
        <w:tc>
          <w:tcPr>
            <w:tcW w:w="2685" w:type="dxa"/>
          </w:tcPr>
          <w:p w14:paraId="20CDB1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1914-1915 </w:t>
            </w:r>
          </w:p>
        </w:tc>
        <w:tc>
          <w:tcPr>
            <w:tcW w:w="4874" w:type="dxa"/>
          </w:tcPr>
          <w:p w14:paraId="0E2A91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"Депердюссен" </w:t>
            </w:r>
          </w:p>
        </w:tc>
        <w:tc>
          <w:tcPr>
            <w:tcW w:w="2685" w:type="dxa"/>
          </w:tcPr>
          <w:p w14:paraId="1220F7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63 </w:t>
            </w:r>
          </w:p>
        </w:tc>
      </w:tr>
      <w:tr w:rsidR="002B1C74" w:rsidRPr="002F2FDF" w14:paraId="14F576E4" w14:textId="77777777">
        <w:trPr>
          <w:jc w:val="center"/>
        </w:trPr>
        <w:tc>
          <w:tcPr>
            <w:tcW w:w="2685" w:type="dxa"/>
          </w:tcPr>
          <w:p w14:paraId="0E4935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1914-1917 </w:t>
            </w:r>
          </w:p>
        </w:tc>
        <w:tc>
          <w:tcPr>
            <w:tcW w:w="4874" w:type="dxa"/>
          </w:tcPr>
          <w:p w14:paraId="29A565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"Вуазен" LA и LAS </w:t>
            </w:r>
          </w:p>
        </w:tc>
        <w:tc>
          <w:tcPr>
            <w:tcW w:w="2685" w:type="dxa"/>
          </w:tcPr>
          <w:p w14:paraId="492E6C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153 </w:t>
            </w:r>
          </w:p>
        </w:tc>
      </w:tr>
      <w:tr w:rsidR="002B1C74" w:rsidRPr="002F2FDF" w14:paraId="5AB24747" w14:textId="77777777">
        <w:trPr>
          <w:jc w:val="center"/>
        </w:trPr>
        <w:tc>
          <w:tcPr>
            <w:tcW w:w="2685" w:type="dxa"/>
          </w:tcPr>
          <w:p w14:paraId="27DEB5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1914 </w:t>
            </w:r>
          </w:p>
        </w:tc>
        <w:tc>
          <w:tcPr>
            <w:tcW w:w="4874" w:type="dxa"/>
          </w:tcPr>
          <w:p w14:paraId="25EDD9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"Фарман" ХVI </w:t>
            </w:r>
          </w:p>
        </w:tc>
        <w:tc>
          <w:tcPr>
            <w:tcW w:w="2685" w:type="dxa"/>
          </w:tcPr>
          <w:p w14:paraId="30B995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20 </w:t>
            </w:r>
          </w:p>
        </w:tc>
      </w:tr>
      <w:tr w:rsidR="002B1C74" w:rsidRPr="002F2FDF" w14:paraId="32EE4093" w14:textId="77777777">
        <w:trPr>
          <w:jc w:val="center"/>
        </w:trPr>
        <w:tc>
          <w:tcPr>
            <w:tcW w:w="2685" w:type="dxa"/>
          </w:tcPr>
          <w:p w14:paraId="046563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1915 </w:t>
            </w:r>
          </w:p>
        </w:tc>
        <w:tc>
          <w:tcPr>
            <w:tcW w:w="4874" w:type="dxa"/>
          </w:tcPr>
          <w:p w14:paraId="40B691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"Фарман" ХХII бис </w:t>
            </w:r>
          </w:p>
        </w:tc>
        <w:tc>
          <w:tcPr>
            <w:tcW w:w="2685" w:type="dxa"/>
          </w:tcPr>
          <w:p w14:paraId="36F6BE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20 </w:t>
            </w:r>
          </w:p>
        </w:tc>
      </w:tr>
      <w:tr w:rsidR="002B1C74" w:rsidRPr="002F2FDF" w14:paraId="74F8C071" w14:textId="77777777">
        <w:trPr>
          <w:jc w:val="center"/>
        </w:trPr>
        <w:tc>
          <w:tcPr>
            <w:tcW w:w="2685" w:type="dxa"/>
          </w:tcPr>
          <w:p w14:paraId="793003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1914-1916 </w:t>
            </w:r>
          </w:p>
        </w:tc>
        <w:tc>
          <w:tcPr>
            <w:tcW w:w="4874" w:type="dxa"/>
          </w:tcPr>
          <w:p w14:paraId="41FA4C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"Лебедь" VII, VIII, IХ, Х, ХI </w:t>
            </w:r>
          </w:p>
        </w:tc>
        <w:tc>
          <w:tcPr>
            <w:tcW w:w="2685" w:type="dxa"/>
          </w:tcPr>
          <w:p w14:paraId="3A65F8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15 </w:t>
            </w:r>
          </w:p>
        </w:tc>
      </w:tr>
      <w:tr w:rsidR="002B1C74" w:rsidRPr="002F2FDF" w14:paraId="68B9C7F4" w14:textId="77777777">
        <w:trPr>
          <w:jc w:val="center"/>
        </w:trPr>
        <w:tc>
          <w:tcPr>
            <w:tcW w:w="2685" w:type="dxa"/>
          </w:tcPr>
          <w:p w14:paraId="05FBB4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1914-1916 </w:t>
            </w:r>
          </w:p>
        </w:tc>
        <w:tc>
          <w:tcPr>
            <w:tcW w:w="4874" w:type="dxa"/>
          </w:tcPr>
          <w:p w14:paraId="244859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летающая лодка "ФБА" </w:t>
            </w:r>
          </w:p>
        </w:tc>
        <w:tc>
          <w:tcPr>
            <w:tcW w:w="2685" w:type="dxa"/>
          </w:tcPr>
          <w:p w14:paraId="0696F8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34 </w:t>
            </w:r>
          </w:p>
        </w:tc>
      </w:tr>
      <w:tr w:rsidR="002B1C74" w:rsidRPr="002F2FDF" w14:paraId="0D88A583" w14:textId="77777777">
        <w:trPr>
          <w:jc w:val="center"/>
        </w:trPr>
        <w:tc>
          <w:tcPr>
            <w:tcW w:w="2685" w:type="dxa"/>
          </w:tcPr>
          <w:p w14:paraId="3A38BD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1916-1917 </w:t>
            </w:r>
          </w:p>
        </w:tc>
        <w:tc>
          <w:tcPr>
            <w:tcW w:w="4874" w:type="dxa"/>
          </w:tcPr>
          <w:p w14:paraId="2DD613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"Лебедь" ХII </w:t>
            </w:r>
          </w:p>
        </w:tc>
        <w:tc>
          <w:tcPr>
            <w:tcW w:w="2685" w:type="dxa"/>
          </w:tcPr>
          <w:p w14:paraId="08A3C3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216 </w:t>
            </w:r>
          </w:p>
        </w:tc>
      </w:tr>
      <w:tr w:rsidR="002B1C74" w:rsidRPr="002F2FDF" w14:paraId="1CE3FFF6" w14:textId="77777777">
        <w:trPr>
          <w:jc w:val="center"/>
        </w:trPr>
        <w:tc>
          <w:tcPr>
            <w:tcW w:w="2685" w:type="dxa"/>
          </w:tcPr>
          <w:p w14:paraId="4E4257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1916-1917 </w:t>
            </w:r>
          </w:p>
        </w:tc>
        <w:tc>
          <w:tcPr>
            <w:tcW w:w="4874" w:type="dxa"/>
          </w:tcPr>
          <w:p w14:paraId="62134E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"Лебедь" ХIII, ХV, ХVI, ХVIII, ХХVI </w:t>
            </w:r>
          </w:p>
        </w:tc>
        <w:tc>
          <w:tcPr>
            <w:tcW w:w="2685" w:type="dxa"/>
          </w:tcPr>
          <w:p w14:paraId="19B702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 </w:t>
            </w:r>
          </w:p>
        </w:tc>
      </w:tr>
      <w:tr w:rsidR="002B1C74" w:rsidRPr="002F2FDF" w14:paraId="09686138" w14:textId="77777777">
        <w:trPr>
          <w:jc w:val="center"/>
        </w:trPr>
        <w:tc>
          <w:tcPr>
            <w:tcW w:w="2685" w:type="dxa"/>
          </w:tcPr>
          <w:p w14:paraId="71DF52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1915-1917 </w:t>
            </w:r>
          </w:p>
        </w:tc>
        <w:tc>
          <w:tcPr>
            <w:tcW w:w="4874" w:type="dxa"/>
          </w:tcPr>
          <w:p w14:paraId="1F66A2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"Моран Парасоль" </w:t>
            </w:r>
          </w:p>
        </w:tc>
        <w:tc>
          <w:tcPr>
            <w:tcW w:w="2685" w:type="dxa"/>
          </w:tcPr>
          <w:p w14:paraId="3F7513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30 </w:t>
            </w:r>
          </w:p>
        </w:tc>
      </w:tr>
      <w:tr w:rsidR="002B1C74" w:rsidRPr="002F2FDF" w14:paraId="349144BC" w14:textId="77777777">
        <w:trPr>
          <w:jc w:val="center"/>
        </w:trPr>
        <w:tc>
          <w:tcPr>
            <w:tcW w:w="2685" w:type="dxa"/>
          </w:tcPr>
          <w:p w14:paraId="04665B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1915-1916 </w:t>
            </w:r>
          </w:p>
        </w:tc>
        <w:tc>
          <w:tcPr>
            <w:tcW w:w="4874" w:type="dxa"/>
          </w:tcPr>
          <w:p w14:paraId="65C243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"Моран" Ж </w:t>
            </w:r>
          </w:p>
        </w:tc>
        <w:tc>
          <w:tcPr>
            <w:tcW w:w="2685" w:type="dxa"/>
          </w:tcPr>
          <w:p w14:paraId="6894EE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20 </w:t>
            </w:r>
          </w:p>
        </w:tc>
      </w:tr>
      <w:tr w:rsidR="002B1C74" w:rsidRPr="002F2FDF" w14:paraId="76A6AE2C" w14:textId="77777777">
        <w:trPr>
          <w:jc w:val="center"/>
        </w:trPr>
        <w:tc>
          <w:tcPr>
            <w:tcW w:w="2685" w:type="dxa"/>
          </w:tcPr>
          <w:p w14:paraId="4406B7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1916 </w:t>
            </w:r>
          </w:p>
        </w:tc>
        <w:tc>
          <w:tcPr>
            <w:tcW w:w="4874" w:type="dxa"/>
          </w:tcPr>
          <w:p w14:paraId="50ACA7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поплавковые самолеты Лебедева </w:t>
            </w:r>
          </w:p>
        </w:tc>
        <w:tc>
          <w:tcPr>
            <w:tcW w:w="2685" w:type="dxa"/>
          </w:tcPr>
          <w:p w14:paraId="0AA4FD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 </w:t>
            </w:r>
          </w:p>
        </w:tc>
      </w:tr>
      <w:tr w:rsidR="002B1C74" w:rsidRPr="002F2FDF" w14:paraId="6244841D" w14:textId="77777777">
        <w:trPr>
          <w:jc w:val="center"/>
        </w:trPr>
        <w:tc>
          <w:tcPr>
            <w:tcW w:w="2685" w:type="dxa"/>
          </w:tcPr>
          <w:p w14:paraId="7374B3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1916-1917 </w:t>
            </w:r>
          </w:p>
        </w:tc>
        <w:tc>
          <w:tcPr>
            <w:tcW w:w="4874" w:type="dxa"/>
          </w:tcPr>
          <w:p w14:paraId="5F1787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"Ньюпор" Х </w:t>
            </w:r>
          </w:p>
        </w:tc>
        <w:tc>
          <w:tcPr>
            <w:tcW w:w="2685" w:type="dxa"/>
          </w:tcPr>
          <w:p w14:paraId="24AB7F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 </w:t>
            </w:r>
          </w:p>
        </w:tc>
      </w:tr>
      <w:tr w:rsidR="002B1C74" w:rsidRPr="002F2FDF" w14:paraId="07D471C8" w14:textId="77777777">
        <w:trPr>
          <w:jc w:val="center"/>
        </w:trPr>
        <w:tc>
          <w:tcPr>
            <w:tcW w:w="2685" w:type="dxa"/>
          </w:tcPr>
          <w:p w14:paraId="798D2E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xml:space="preserve">1917 </w:t>
            </w:r>
          </w:p>
        </w:tc>
        <w:tc>
          <w:tcPr>
            <w:tcW w:w="4874" w:type="dxa"/>
          </w:tcPr>
          <w:p w14:paraId="384234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"Сопвич Полутаростоечный" </w:t>
            </w:r>
          </w:p>
        </w:tc>
        <w:tc>
          <w:tcPr>
            <w:tcW w:w="2685" w:type="dxa"/>
          </w:tcPr>
          <w:p w14:paraId="5EDE0E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7 </w:t>
            </w:r>
          </w:p>
        </w:tc>
      </w:tr>
      <w:tr w:rsidR="002B1C74" w:rsidRPr="002F2FDF" w14:paraId="321840D3" w14:textId="77777777">
        <w:trPr>
          <w:jc w:val="center"/>
        </w:trPr>
        <w:tc>
          <w:tcPr>
            <w:tcW w:w="2685" w:type="dxa"/>
          </w:tcPr>
          <w:p w14:paraId="7C1DCD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1914-1917 </w:t>
            </w:r>
          </w:p>
        </w:tc>
        <w:tc>
          <w:tcPr>
            <w:tcW w:w="4874" w:type="dxa"/>
          </w:tcPr>
          <w:p w14:paraId="1E67BB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копии французских и английских самолетов </w:t>
            </w:r>
          </w:p>
        </w:tc>
        <w:tc>
          <w:tcPr>
            <w:tcW w:w="2685" w:type="dxa"/>
          </w:tcPr>
          <w:p w14:paraId="0C9458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 </w:t>
            </w:r>
          </w:p>
        </w:tc>
      </w:tr>
      <w:tr w:rsidR="002B1C74" w:rsidRPr="002F2FDF" w14:paraId="0E48F021" w14:textId="77777777">
        <w:trPr>
          <w:jc w:val="center"/>
        </w:trPr>
        <w:tc>
          <w:tcPr>
            <w:tcW w:w="2685" w:type="dxa"/>
          </w:tcPr>
          <w:p w14:paraId="677BA4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1914-1917 </w:t>
            </w:r>
          </w:p>
        </w:tc>
        <w:tc>
          <w:tcPr>
            <w:tcW w:w="4874" w:type="dxa"/>
          </w:tcPr>
          <w:p w14:paraId="0D64ED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трофейные самолеты </w:t>
            </w:r>
          </w:p>
        </w:tc>
        <w:tc>
          <w:tcPr>
            <w:tcW w:w="2685" w:type="dxa"/>
          </w:tcPr>
          <w:p w14:paraId="740566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30 </w:t>
            </w:r>
          </w:p>
        </w:tc>
      </w:tr>
      <w:tr w:rsidR="002B1C74" w:rsidRPr="002F2FDF" w14:paraId="7A542499" w14:textId="77777777">
        <w:trPr>
          <w:jc w:val="center"/>
        </w:trPr>
        <w:tc>
          <w:tcPr>
            <w:tcW w:w="2685" w:type="dxa"/>
          </w:tcPr>
          <w:p w14:paraId="1F30D7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Всего </w:t>
            </w:r>
          </w:p>
        </w:tc>
        <w:tc>
          <w:tcPr>
            <w:tcW w:w="4874" w:type="dxa"/>
          </w:tcPr>
          <w:p w14:paraId="2FCA84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w:t>
            </w:r>
          </w:p>
        </w:tc>
        <w:tc>
          <w:tcPr>
            <w:tcW w:w="2685" w:type="dxa"/>
          </w:tcPr>
          <w:p w14:paraId="074197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675 </w:t>
            </w:r>
          </w:p>
        </w:tc>
      </w:tr>
      <w:tr w:rsidR="005D0E99" w:rsidRPr="002F2FDF" w14:paraId="536649A1" w14:textId="77777777" w:rsidTr="003431D2">
        <w:trPr>
          <w:jc w:val="center"/>
        </w:trPr>
        <w:tc>
          <w:tcPr>
            <w:tcW w:w="2685" w:type="dxa"/>
            <w:gridSpan w:val="3"/>
            <w:tcBorders>
              <w:bottom w:val="single" w:sz="12" w:space="0" w:color="auto"/>
            </w:tcBorders>
          </w:tcPr>
          <w:p w14:paraId="090D04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учетом экспериментальных самолетов было выпущено более 700 машин (11183)</w:t>
            </w:r>
          </w:p>
        </w:tc>
      </w:tr>
    </w:tbl>
    <w:p w14:paraId="162375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4EBC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Владимир Лебедев был избран Президентом Всероссийского Аэро-Клуба. Помимо этого, несмотря на его огромную занятность производственными заботами, правление Аэро-Клуба назначило Лебедева начальником авиашколы, заведующим Комендантским аэродромом и гидропланной станцией на Крестовском острове в Петрограде (11183).</w:t>
      </w:r>
    </w:p>
    <w:p w14:paraId="0CB1DE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BD6C7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выпуск морских машин сосредоточился бы — целиком или частично — в таган</w:t>
      </w:r>
      <w:r w:rsidRPr="002F2FDF">
        <w:rPr>
          <w:rFonts w:ascii="Times New Roman" w:hAnsi="Times New Roman" w:cs="Times New Roman"/>
          <w:color w:val="000000" w:themeColor="text1"/>
          <w:kern w:val="2"/>
          <w:sz w:val="16"/>
          <w:szCs w:val="16"/>
        </w:rPr>
        <w:softHyphen/>
        <w:t>рогском филиале, где устраивались хорошие спуски для операций с этими аппаратами. Как уже говорилось, большие надежды не сбылись, тогда как сама по себе деятельность компа</w:t>
      </w:r>
      <w:r w:rsidRPr="002F2FDF">
        <w:rPr>
          <w:rFonts w:ascii="Times New Roman" w:hAnsi="Times New Roman" w:cs="Times New Roman"/>
          <w:color w:val="000000" w:themeColor="text1"/>
          <w:kern w:val="2"/>
          <w:sz w:val="16"/>
          <w:szCs w:val="16"/>
        </w:rPr>
        <w:softHyphen/>
        <w:t>нии по созданию гидроаэропланов была безсистемной и непродуманной и специалистам Ле</w:t>
      </w:r>
      <w:r w:rsidRPr="002F2FDF">
        <w:rPr>
          <w:rFonts w:ascii="Times New Roman" w:hAnsi="Times New Roman" w:cs="Times New Roman"/>
          <w:color w:val="000000" w:themeColor="text1"/>
          <w:kern w:val="2"/>
          <w:sz w:val="16"/>
          <w:szCs w:val="16"/>
        </w:rPr>
        <w:softHyphen/>
        <w:t>бедева так и не удалось сконструировать достаточно перспективной базовой модели, которая могла бы стать основой для дальнейшего развития. После прихода к власти большевиков, пензенский завод получил название ГАЗ №7 и работал с 1919 г. в течение непродолжи</w:t>
      </w:r>
      <w:r w:rsidRPr="002F2FDF">
        <w:rPr>
          <w:rFonts w:ascii="Times New Roman" w:hAnsi="Times New Roman" w:cs="Times New Roman"/>
          <w:color w:val="000000" w:themeColor="text1"/>
          <w:kern w:val="2"/>
          <w:sz w:val="16"/>
          <w:szCs w:val="16"/>
        </w:rPr>
        <w:softHyphen/>
        <w:t>тельного времени. Таганрогский филиал переименовали сначала в ГАЗ №10, а затем в завод №31. Он претерпел реорганизации и модернизации, пережил гражданскую войну и две не</w:t>
      </w:r>
      <w:r w:rsidRPr="002F2FDF">
        <w:rPr>
          <w:rFonts w:ascii="Times New Roman" w:hAnsi="Times New Roman" w:cs="Times New Roman"/>
          <w:color w:val="000000" w:themeColor="text1"/>
          <w:kern w:val="2"/>
          <w:sz w:val="16"/>
          <w:szCs w:val="16"/>
        </w:rPr>
        <w:softHyphen/>
        <w:t>мецкие оккупации и существует по сей день. Основное же предприятие В.А. Лебедева на Комендантском аэродроме уже к 1920-м годам деградировало до уровня вспомогательных ремонтных мастерских (2843).</w:t>
      </w:r>
    </w:p>
    <w:p w14:paraId="63F6CCB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Таблица 3</w:t>
      </w:r>
    </w:p>
    <w:p w14:paraId="0E18B79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Некоторые статистические данные о заводе В. А. Лебедева в Петрограде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2F2FDF" w14:paraId="3449BDF3" w14:textId="77777777">
        <w:tc>
          <w:tcPr>
            <w:tcW w:w="4788" w:type="dxa"/>
            <w:tcBorders>
              <w:top w:val="single" w:sz="12" w:space="0" w:color="auto"/>
            </w:tcBorders>
            <w:shd w:val="clear" w:color="auto" w:fill="FFFFFF"/>
          </w:tcPr>
          <w:p w14:paraId="6547E2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 основания</w:t>
            </w:r>
          </w:p>
        </w:tc>
        <w:tc>
          <w:tcPr>
            <w:tcW w:w="4788" w:type="dxa"/>
            <w:tcBorders>
              <w:top w:val="single" w:sz="12" w:space="0" w:color="auto"/>
            </w:tcBorders>
            <w:shd w:val="clear" w:color="auto" w:fill="FFFFFF"/>
          </w:tcPr>
          <w:p w14:paraId="11C100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tc>
      </w:tr>
      <w:tr w:rsidR="002B1C74" w:rsidRPr="002F2FDF" w14:paraId="6AEF7206" w14:textId="77777777">
        <w:tc>
          <w:tcPr>
            <w:tcW w:w="4788" w:type="dxa"/>
            <w:shd w:val="clear" w:color="auto" w:fill="FFFFFF"/>
          </w:tcPr>
          <w:p w14:paraId="0C08F3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строений к 1918 г., кв.м</w:t>
            </w:r>
          </w:p>
        </w:tc>
        <w:tc>
          <w:tcPr>
            <w:tcW w:w="4788" w:type="dxa"/>
            <w:shd w:val="clear" w:color="auto" w:fill="FFFFFF"/>
          </w:tcPr>
          <w:p w14:paraId="4E749E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20.584</w:t>
            </w:r>
          </w:p>
        </w:tc>
      </w:tr>
      <w:tr w:rsidR="002B1C74" w:rsidRPr="002F2FDF" w14:paraId="2A85BB8D" w14:textId="77777777">
        <w:tc>
          <w:tcPr>
            <w:tcW w:w="4788" w:type="dxa"/>
            <w:shd w:val="clear" w:color="auto" w:fill="FFFFFF"/>
          </w:tcPr>
          <w:p w14:paraId="7EF63E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территории, кв.м</w:t>
            </w:r>
          </w:p>
        </w:tc>
        <w:tc>
          <w:tcPr>
            <w:tcW w:w="4788" w:type="dxa"/>
            <w:shd w:val="clear" w:color="auto" w:fill="FFFFFF"/>
          </w:tcPr>
          <w:p w14:paraId="47CD50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136.500</w:t>
            </w:r>
          </w:p>
        </w:tc>
      </w:tr>
      <w:tr w:rsidR="002B1C74" w:rsidRPr="002F2FDF" w14:paraId="58EA65D8" w14:textId="77777777">
        <w:tc>
          <w:tcPr>
            <w:tcW w:w="4788" w:type="dxa"/>
            <w:shd w:val="clear" w:color="auto" w:fill="FFFFFF"/>
          </w:tcPr>
          <w:p w14:paraId="6778D1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Мощность энергетических установок, л.с.</w:t>
            </w:r>
          </w:p>
        </w:tc>
        <w:tc>
          <w:tcPr>
            <w:tcW w:w="4788" w:type="dxa"/>
            <w:shd w:val="clear" w:color="auto" w:fill="FFFFFF"/>
          </w:tcPr>
          <w:p w14:paraId="20FB04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153</w:t>
            </w:r>
          </w:p>
        </w:tc>
      </w:tr>
      <w:tr w:rsidR="002B1C74" w:rsidRPr="002F2FDF" w14:paraId="6E0B5DF8" w14:textId="77777777">
        <w:tc>
          <w:tcPr>
            <w:tcW w:w="4788" w:type="dxa"/>
            <w:shd w:val="clear" w:color="auto" w:fill="FFFFFF"/>
          </w:tcPr>
          <w:p w14:paraId="3351FA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двигателей</w:t>
            </w:r>
          </w:p>
        </w:tc>
        <w:tc>
          <w:tcPr>
            <w:tcW w:w="4788" w:type="dxa"/>
            <w:shd w:val="clear" w:color="auto" w:fill="FFFFFF"/>
          </w:tcPr>
          <w:p w14:paraId="6AFFAF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w:t>
            </w:r>
          </w:p>
        </w:tc>
      </w:tr>
      <w:tr w:rsidR="002B1C74" w:rsidRPr="002F2FDF" w14:paraId="1395D793" w14:textId="77777777">
        <w:tc>
          <w:tcPr>
            <w:tcW w:w="4788" w:type="dxa"/>
            <w:shd w:val="clear" w:color="auto" w:fill="FFFFFF"/>
          </w:tcPr>
          <w:p w14:paraId="4520F0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станков</w:t>
            </w:r>
          </w:p>
        </w:tc>
        <w:tc>
          <w:tcPr>
            <w:tcW w:w="4788" w:type="dxa"/>
            <w:shd w:val="clear" w:color="auto" w:fill="FFFFFF"/>
          </w:tcPr>
          <w:p w14:paraId="1BB541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w:t>
            </w:r>
          </w:p>
        </w:tc>
      </w:tr>
      <w:tr w:rsidR="002B1C74" w:rsidRPr="002F2FDF" w14:paraId="00A3EB71" w14:textId="77777777">
        <w:tc>
          <w:tcPr>
            <w:tcW w:w="4788" w:type="dxa"/>
            <w:shd w:val="clear" w:color="auto" w:fill="FFFFFF"/>
          </w:tcPr>
          <w:p w14:paraId="767BDE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служащих в 1917 г.</w:t>
            </w:r>
          </w:p>
        </w:tc>
        <w:tc>
          <w:tcPr>
            <w:tcW w:w="4788" w:type="dxa"/>
            <w:shd w:val="clear" w:color="auto" w:fill="FFFFFF"/>
          </w:tcPr>
          <w:p w14:paraId="090ADB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w:t>
            </w:r>
          </w:p>
        </w:tc>
      </w:tr>
      <w:tr w:rsidR="002B1C74" w:rsidRPr="002F2FDF" w14:paraId="325623BC" w14:textId="77777777">
        <w:tc>
          <w:tcPr>
            <w:tcW w:w="4788" w:type="dxa"/>
            <w:shd w:val="clear" w:color="auto" w:fill="FFFFFF"/>
          </w:tcPr>
          <w:p w14:paraId="2B8C07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Количество рабочих в </w:t>
            </w:r>
          </w:p>
        </w:tc>
        <w:tc>
          <w:tcPr>
            <w:tcW w:w="4788" w:type="dxa"/>
            <w:shd w:val="clear" w:color="auto" w:fill="FFFFFF"/>
          </w:tcPr>
          <w:p w14:paraId="36067F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2A880AC6" w14:textId="77777777">
        <w:tc>
          <w:tcPr>
            <w:tcW w:w="4788" w:type="dxa"/>
            <w:shd w:val="clear" w:color="auto" w:fill="FFFFFF"/>
          </w:tcPr>
          <w:p w14:paraId="2DA5B7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4788" w:type="dxa"/>
            <w:shd w:val="clear" w:color="auto" w:fill="FFFFFF"/>
          </w:tcPr>
          <w:p w14:paraId="497863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867</w:t>
            </w:r>
          </w:p>
        </w:tc>
      </w:tr>
      <w:tr w:rsidR="002B1C74" w:rsidRPr="002F2FDF" w14:paraId="00B9A29D" w14:textId="77777777">
        <w:tc>
          <w:tcPr>
            <w:tcW w:w="4788" w:type="dxa"/>
            <w:shd w:val="clear" w:color="auto" w:fill="FFFFFF"/>
          </w:tcPr>
          <w:p w14:paraId="401225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c>
          <w:tcPr>
            <w:tcW w:w="4788" w:type="dxa"/>
            <w:shd w:val="clear" w:color="auto" w:fill="FFFFFF"/>
          </w:tcPr>
          <w:p w14:paraId="133C05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1156</w:t>
            </w:r>
          </w:p>
        </w:tc>
      </w:tr>
      <w:tr w:rsidR="002B1C74" w:rsidRPr="002F2FDF" w14:paraId="25162C9E" w14:textId="77777777">
        <w:tc>
          <w:tcPr>
            <w:tcW w:w="4788" w:type="dxa"/>
            <w:tcBorders>
              <w:bottom w:val="single" w:sz="12" w:space="0" w:color="auto"/>
            </w:tcBorders>
            <w:shd w:val="clear" w:color="auto" w:fill="FFFFFF"/>
          </w:tcPr>
          <w:p w14:paraId="6CA024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сданных аппаратов за период 1914-1917 г.г.</w:t>
            </w:r>
          </w:p>
        </w:tc>
        <w:tc>
          <w:tcPr>
            <w:tcW w:w="4788" w:type="dxa"/>
            <w:tcBorders>
              <w:bottom w:val="single" w:sz="12" w:space="0" w:color="auto"/>
            </w:tcBorders>
            <w:shd w:val="clear" w:color="auto" w:fill="FFFFFF"/>
          </w:tcPr>
          <w:p w14:paraId="56AF7B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674 (2843)</w:t>
            </w:r>
          </w:p>
        </w:tc>
      </w:tr>
    </w:tbl>
    <w:p w14:paraId="5EBA821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Хаотичная на первый взгляд система обозначений завода Лебедева все же имела свою внутреннюю логику. Конструкции, чье германское происхождение негласно признавалось, назывались "Альбатросами", а заглавная буква "А" плюс порядковый номер модели служи</w:t>
      </w:r>
      <w:r w:rsidRPr="002F2FDF">
        <w:rPr>
          <w:rFonts w:ascii="Times New Roman" w:hAnsi="Times New Roman" w:cs="Times New Roman"/>
          <w:color w:val="000000" w:themeColor="text1"/>
          <w:kern w:val="2"/>
          <w:sz w:val="16"/>
          <w:szCs w:val="16"/>
        </w:rPr>
        <w:softHyphen/>
        <w:t>ли, чтобы отличить один тип от другого. Как правило, "Альбатросы" различных моделей имели разные моторы, и в результате всего вышесказанного существовали, среди прочих, "Альбатрос" тип А.2 с двигателем "Санбим" 140 л.с., "Альбатрос" тип А.8 с "Фиатом" в 100 л.с. и т.д. Предназначаясь для флота и оснащаясь поплавками, такие машины получали окончание "М.Л." ("Морской Лебедь" или "Морской Лебедева") к своему базовому обозна</w:t>
      </w:r>
      <w:r w:rsidRPr="002F2FDF">
        <w:rPr>
          <w:rFonts w:ascii="Times New Roman" w:hAnsi="Times New Roman" w:cs="Times New Roman"/>
          <w:color w:val="000000" w:themeColor="text1"/>
          <w:kern w:val="2"/>
          <w:sz w:val="16"/>
          <w:szCs w:val="16"/>
        </w:rPr>
        <w:softHyphen/>
        <w:t>чению, а вся эта комбинация иногда украшалась еще и заводским номером аэроплана: на</w:t>
      </w:r>
      <w:r w:rsidRPr="002F2FDF">
        <w:rPr>
          <w:rFonts w:ascii="Times New Roman" w:hAnsi="Times New Roman" w:cs="Times New Roman"/>
          <w:color w:val="000000" w:themeColor="text1"/>
          <w:kern w:val="2"/>
          <w:sz w:val="16"/>
          <w:szCs w:val="16"/>
        </w:rPr>
        <w:softHyphen/>
        <w:t>пример, "Альбатрос" тип А.2 М.Л.218.</w:t>
      </w:r>
    </w:p>
    <w:p w14:paraId="341E6EC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 же морские "Альбатросы" могли иметь и имели и более короткие обозначения — Л.М.-1 или ЛМ-1 и Л.М.-2 или ЛМ-2, причем аббревиатура "Л.М./ЛМ" носила прежний смысл: "Лебедь Морской" или "Лебедев Морской". Только два самолета модели ЛМ-1 были построены, будучи уже упоминавшимися "Альбатросами" типа А.2", но на поплавковом шас</w:t>
      </w:r>
      <w:r w:rsidRPr="002F2FDF">
        <w:rPr>
          <w:rFonts w:ascii="Times New Roman" w:hAnsi="Times New Roman" w:cs="Times New Roman"/>
          <w:color w:val="000000" w:themeColor="text1"/>
          <w:kern w:val="2"/>
          <w:sz w:val="16"/>
          <w:szCs w:val="16"/>
        </w:rPr>
        <w:softHyphen/>
        <w:t>си, а вот три аэроплана ЛМ-2 должны были оснащаться 80- или 100-сильными моторами неизвестной марки, что не дает возможности установить их модель с достаточной долей уверенности. Как будто чтобы запутать ситуацию еще больше, в архивных документах эти три машины иногда назывались даже летающими лодками, но, по иронии судьбы, построенные летать на поплавках, они в конце концов попали в армейские авиашколы, где дол</w:t>
      </w:r>
      <w:r w:rsidRPr="002F2FDF">
        <w:rPr>
          <w:rFonts w:ascii="Times New Roman" w:hAnsi="Times New Roman" w:cs="Times New Roman"/>
          <w:color w:val="000000" w:themeColor="text1"/>
          <w:kern w:val="2"/>
          <w:sz w:val="16"/>
          <w:szCs w:val="16"/>
        </w:rPr>
        <w:softHyphen/>
        <w:t>жны были оснащаться колесным шасси. Последний морской "Альбатрос", разрабатывавшийся на базе трофейного поплавкового "Фридрихсхафена" ФФ.ЗЗ, так и не получил ни буквен</w:t>
      </w:r>
      <w:r w:rsidRPr="002F2FDF">
        <w:rPr>
          <w:rFonts w:ascii="Times New Roman" w:hAnsi="Times New Roman" w:cs="Times New Roman"/>
          <w:color w:val="000000" w:themeColor="text1"/>
          <w:kern w:val="2"/>
          <w:sz w:val="16"/>
          <w:szCs w:val="16"/>
        </w:rPr>
        <w:softHyphen/>
        <w:t>ного, ни цифрового обозначения.</w:t>
      </w:r>
    </w:p>
    <w:p w14:paraId="0E8C6C6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Построенные по лицензии летающие лодки "ФБА" и аэропланы "Фарман" тип МФ.11, пе</w:t>
      </w:r>
      <w:r w:rsidRPr="002F2FDF">
        <w:rPr>
          <w:rFonts w:ascii="Times New Roman" w:hAnsi="Times New Roman" w:cs="Times New Roman"/>
          <w:color w:val="000000" w:themeColor="text1"/>
          <w:kern w:val="2"/>
          <w:sz w:val="16"/>
          <w:szCs w:val="16"/>
        </w:rPr>
        <w:softHyphen/>
        <w:t>ределанные на заводе в поплавковые, также не имели специальных обозначений компании Лебедева и назывались по их оригинальным именам, флотским номерам и телеграфным ко</w:t>
      </w:r>
      <w:r w:rsidRPr="002F2FDF">
        <w:rPr>
          <w:rFonts w:ascii="Times New Roman" w:hAnsi="Times New Roman" w:cs="Times New Roman"/>
          <w:color w:val="000000" w:themeColor="text1"/>
          <w:kern w:val="2"/>
          <w:sz w:val="16"/>
          <w:szCs w:val="16"/>
        </w:rPr>
        <w:softHyphen/>
        <w:t>дам. Иногда их причастность к продукции фирмы все же отмечалась в документах, но весь этот сюжет более подробно описывается в 3-м томе.</w:t>
      </w:r>
    </w:p>
    <w:p w14:paraId="3C27C0C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Оригинальные конструкции Акционерного общества В.А. Лебедева носили общее наимено</w:t>
      </w:r>
      <w:r w:rsidRPr="002F2FDF">
        <w:rPr>
          <w:rFonts w:ascii="Times New Roman" w:hAnsi="Times New Roman" w:cs="Times New Roman"/>
          <w:color w:val="000000" w:themeColor="text1"/>
          <w:kern w:val="2"/>
          <w:sz w:val="16"/>
          <w:szCs w:val="16"/>
        </w:rPr>
        <w:softHyphen/>
        <w:t>вание "Лебедь", которое дополнялось порядковым номером для обозначения конкретной модели. По Шаврову, в их число входили аппараты от "Лебедь 1" до "Лебедь 24" (вместо арабских могли стоять и римские цифры) и, скорее всего, некоторые из этого ряда были теми же "Аль</w:t>
      </w:r>
      <w:r w:rsidRPr="002F2FDF">
        <w:rPr>
          <w:rFonts w:ascii="Times New Roman" w:hAnsi="Times New Roman" w:cs="Times New Roman"/>
          <w:color w:val="000000" w:themeColor="text1"/>
          <w:kern w:val="2"/>
          <w:sz w:val="16"/>
          <w:szCs w:val="16"/>
        </w:rPr>
        <w:softHyphen/>
        <w:t>батросами", или машинами с германской, английской и французской родословной. Морское ве</w:t>
      </w:r>
      <w:r w:rsidRPr="002F2FDF">
        <w:rPr>
          <w:rFonts w:ascii="Times New Roman" w:hAnsi="Times New Roman" w:cs="Times New Roman"/>
          <w:color w:val="000000" w:themeColor="text1"/>
          <w:kern w:val="2"/>
          <w:sz w:val="16"/>
          <w:szCs w:val="16"/>
        </w:rPr>
        <w:softHyphen/>
        <w:t>домство закупало только одну из упомянутых моделей — "Лебедь 12", но флотское предназ</w:t>
      </w:r>
      <w:r w:rsidRPr="002F2FDF">
        <w:rPr>
          <w:rFonts w:ascii="Times New Roman" w:hAnsi="Times New Roman" w:cs="Times New Roman"/>
          <w:color w:val="000000" w:themeColor="text1"/>
          <w:kern w:val="2"/>
          <w:sz w:val="16"/>
          <w:szCs w:val="16"/>
        </w:rPr>
        <w:softHyphen/>
        <w:t>начение учебных сухопутных аэропланов этого типа никак особо не указывалось.</w:t>
      </w:r>
    </w:p>
    <w:p w14:paraId="5C1A5FF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серийные аппараты и некоторые прототипы компании имели соответствующие завод</w:t>
      </w:r>
      <w:r w:rsidRPr="002F2FDF">
        <w:rPr>
          <w:rFonts w:ascii="Times New Roman" w:hAnsi="Times New Roman" w:cs="Times New Roman"/>
          <w:color w:val="000000" w:themeColor="text1"/>
          <w:kern w:val="2"/>
          <w:sz w:val="16"/>
          <w:szCs w:val="16"/>
        </w:rPr>
        <w:softHyphen/>
        <w:t>ские номера, но только самолеты "Депердюссен" и "ФБА</w:t>
      </w:r>
      <w:r w:rsidRPr="002F2FDF">
        <w:rPr>
          <w:rFonts w:ascii="Times New Roman" w:hAnsi="Times New Roman" w:cs="Times New Roman"/>
          <w:color w:val="000000" w:themeColor="text1"/>
          <w:kern w:val="2"/>
          <w:sz w:val="16"/>
          <w:szCs w:val="16"/>
          <w:vertAlign w:val="superscript"/>
        </w:rPr>
        <w:t>-</w:t>
      </w:r>
      <w:r w:rsidRPr="002F2FDF">
        <w:rPr>
          <w:rFonts w:ascii="Times New Roman" w:hAnsi="Times New Roman" w:cs="Times New Roman"/>
          <w:color w:val="000000" w:themeColor="text1"/>
          <w:kern w:val="2"/>
          <w:sz w:val="16"/>
          <w:szCs w:val="16"/>
        </w:rPr>
        <w:t>получали затем флотские кодовые обозначения. Потому для применявшихся в военно-морских силах аэропланов фирмы их заводская нумерация оставалась главнейшим отличительным признаком.</w:t>
      </w:r>
    </w:p>
    <w:p w14:paraId="7AE054E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Обозначения прототипов, построенных компанией, но разработанных "вольными" конст</w:t>
      </w:r>
      <w:r w:rsidRPr="002F2FDF">
        <w:rPr>
          <w:rFonts w:ascii="Times New Roman" w:hAnsi="Times New Roman" w:cs="Times New Roman"/>
          <w:color w:val="000000" w:themeColor="text1"/>
          <w:kern w:val="2"/>
          <w:sz w:val="16"/>
          <w:szCs w:val="16"/>
        </w:rPr>
        <w:softHyphen/>
        <w:t>рукторами, т.е. людьми в некоторой степени со стороны, не подчинялись общей системе и давались от случая к случаю: один из аппаратов Виллиша назывался "летающей лодкой Виллиша", а проект лейтенанта Г.А. Фриде последовательно становился "летающей лодкой Фриде", "летающей лодкой лейтенанта Фриде тип Г.Ф." и т.п.; аббревиатура "Г.Ф." в по</w:t>
      </w:r>
      <w:r w:rsidRPr="002F2FDF">
        <w:rPr>
          <w:rFonts w:ascii="Times New Roman" w:hAnsi="Times New Roman" w:cs="Times New Roman"/>
          <w:color w:val="000000" w:themeColor="text1"/>
          <w:kern w:val="2"/>
          <w:sz w:val="16"/>
          <w:szCs w:val="16"/>
        </w:rPr>
        <w:softHyphen/>
        <w:t>следнем варианте могла, вероятно, расшифровываться двояко — Г. Фриде или Гидро Фриде (2843).</w:t>
      </w:r>
    </w:p>
    <w:p w14:paraId="0B2526E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51A2B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в России того времени не существовало основательной базы для быстрого развертывания авиапромышленности — не было автомобильной промышленности, производств мотоцик</w:t>
      </w:r>
      <w:r w:rsidRPr="002F2FDF">
        <w:rPr>
          <w:rFonts w:ascii="Times New Roman" w:hAnsi="Times New Roman" w:cs="Times New Roman"/>
          <w:color w:val="000000" w:themeColor="text1"/>
          <w:kern w:val="2"/>
          <w:sz w:val="16"/>
          <w:szCs w:val="16"/>
        </w:rPr>
        <w:softHyphen/>
        <w:t>лов и моторных катеров, алюминия и спецстали, приборострое</w:t>
      </w:r>
      <w:r w:rsidRPr="002F2FDF">
        <w:rPr>
          <w:rFonts w:ascii="Times New Roman" w:hAnsi="Times New Roman" w:cs="Times New Roman"/>
          <w:color w:val="000000" w:themeColor="text1"/>
          <w:kern w:val="2"/>
          <w:sz w:val="16"/>
          <w:szCs w:val="16"/>
        </w:rPr>
        <w:softHyphen/>
        <w:t>ния и т. д. Крайне мало было инженеров, техников и масте</w:t>
      </w:r>
      <w:r w:rsidRPr="002F2FDF">
        <w:rPr>
          <w:rFonts w:ascii="Times New Roman" w:hAnsi="Times New Roman" w:cs="Times New Roman"/>
          <w:color w:val="000000" w:themeColor="text1"/>
          <w:kern w:val="2"/>
          <w:sz w:val="16"/>
          <w:szCs w:val="16"/>
        </w:rPr>
        <w:softHyphen/>
        <w:t>ров соответствующей квалификации. Если за 14 лет, с 1903 по 1916, в США было выпущено всего 937 самолетов против 2050 самолетов, выпущенных в России за 9 лет, с 1908 по 1916, то в 1917 году в США было выпущено уже 2148 самолетов против 1700, выпущенных в России. А в 1918 году США до</w:t>
      </w:r>
      <w:r w:rsidRPr="002F2FDF">
        <w:rPr>
          <w:rFonts w:ascii="Times New Roman" w:hAnsi="Times New Roman" w:cs="Times New Roman"/>
          <w:color w:val="000000" w:themeColor="text1"/>
          <w:kern w:val="2"/>
          <w:sz w:val="16"/>
          <w:szCs w:val="16"/>
        </w:rPr>
        <w:softHyphen/>
        <w:t>стигли выпуска более 2000 самолетов в месяц.</w:t>
      </w:r>
    </w:p>
    <w:p w14:paraId="75DC0E8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Русское авиастроение было малосерийным, малоэкономич</w:t>
      </w:r>
      <w:r w:rsidRPr="002F2FDF">
        <w:rPr>
          <w:rFonts w:ascii="Times New Roman" w:hAnsi="Times New Roman" w:cs="Times New Roman"/>
          <w:color w:val="000000" w:themeColor="text1"/>
          <w:kern w:val="2"/>
          <w:sz w:val="16"/>
          <w:szCs w:val="16"/>
        </w:rPr>
        <w:softHyphen/>
        <w:t>ным. Среди серийных образцов самолетов и авиамоторов пре</w:t>
      </w:r>
      <w:r w:rsidRPr="002F2FDF">
        <w:rPr>
          <w:rFonts w:ascii="Times New Roman" w:hAnsi="Times New Roman" w:cs="Times New Roman"/>
          <w:color w:val="000000" w:themeColor="text1"/>
          <w:kern w:val="2"/>
          <w:sz w:val="16"/>
          <w:szCs w:val="16"/>
        </w:rPr>
        <w:softHyphen/>
        <w:t>обладали французские, но подвергшиеся некоторым изменени</w:t>
      </w:r>
      <w:r w:rsidRPr="002F2FDF">
        <w:rPr>
          <w:rFonts w:ascii="Times New Roman" w:hAnsi="Times New Roman" w:cs="Times New Roman"/>
          <w:color w:val="000000" w:themeColor="text1"/>
          <w:kern w:val="2"/>
          <w:sz w:val="16"/>
          <w:szCs w:val="16"/>
        </w:rPr>
        <w:softHyphen/>
        <w:t>ям. В бомбардировочной и морской авиации преобладали рус</w:t>
      </w:r>
      <w:r w:rsidRPr="002F2FDF">
        <w:rPr>
          <w:rFonts w:ascii="Times New Roman" w:hAnsi="Times New Roman" w:cs="Times New Roman"/>
          <w:color w:val="000000" w:themeColor="text1"/>
          <w:kern w:val="2"/>
          <w:sz w:val="16"/>
          <w:szCs w:val="16"/>
        </w:rPr>
        <w:softHyphen/>
        <w:t>ские конструкции. Три четверти всех фронтовых самолетов бы</w:t>
      </w:r>
      <w:r w:rsidRPr="002F2FDF">
        <w:rPr>
          <w:rFonts w:ascii="Times New Roman" w:hAnsi="Times New Roman" w:cs="Times New Roman"/>
          <w:color w:val="000000" w:themeColor="text1"/>
          <w:kern w:val="2"/>
          <w:sz w:val="16"/>
          <w:szCs w:val="16"/>
        </w:rPr>
        <w:softHyphen/>
        <w:t>ли русского производства; однако доля авиамоторов, произве</w:t>
      </w:r>
      <w:r w:rsidRPr="002F2FDF">
        <w:rPr>
          <w:rFonts w:ascii="Times New Roman" w:hAnsi="Times New Roman" w:cs="Times New Roman"/>
          <w:color w:val="000000" w:themeColor="text1"/>
          <w:kern w:val="2"/>
          <w:sz w:val="16"/>
          <w:szCs w:val="16"/>
        </w:rPr>
        <w:softHyphen/>
        <w:t>денных в России, была гораздо меньше. Авиабензином Россия была вполне обеспечена, но в авиаматериалах, кроме древеси</w:t>
      </w:r>
      <w:r w:rsidRPr="002F2FDF">
        <w:rPr>
          <w:rFonts w:ascii="Times New Roman" w:hAnsi="Times New Roman" w:cs="Times New Roman"/>
          <w:color w:val="000000" w:themeColor="text1"/>
          <w:kern w:val="2"/>
          <w:sz w:val="16"/>
          <w:szCs w:val="16"/>
        </w:rPr>
        <w:softHyphen/>
        <w:t>ны, испытывала большую нужду, до последней крайности дефи</w:t>
      </w:r>
      <w:r w:rsidRPr="002F2FDF">
        <w:rPr>
          <w:rFonts w:ascii="Times New Roman" w:hAnsi="Times New Roman" w:cs="Times New Roman"/>
          <w:color w:val="000000" w:themeColor="text1"/>
          <w:kern w:val="2"/>
          <w:sz w:val="16"/>
          <w:szCs w:val="16"/>
        </w:rPr>
        <w:softHyphen/>
        <w:t>цитны были магнето. В поддержании численности самолетного парка очень большую роль играл ремонт в условиях отсутствия или крайнего недостатка запасных частей. Смены основных об</w:t>
      </w:r>
      <w:r w:rsidRPr="002F2FDF">
        <w:rPr>
          <w:rFonts w:ascii="Times New Roman" w:hAnsi="Times New Roman" w:cs="Times New Roman"/>
          <w:color w:val="000000" w:themeColor="text1"/>
          <w:kern w:val="2"/>
          <w:sz w:val="16"/>
          <w:szCs w:val="16"/>
        </w:rPr>
        <w:softHyphen/>
        <w:t>разцов в производстве серийные заводы усиленно избегали, чтобы не проигрывать б количестве выпускаемых машин и не испытывать неизбежных при этом неполадок.</w:t>
      </w:r>
    </w:p>
    <w:p w14:paraId="16277A1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результате русская авиация имела в строю слишком мало машин, среди которых было много разнотипных, устарелых об</w:t>
      </w:r>
      <w:r w:rsidRPr="002F2FDF">
        <w:rPr>
          <w:rFonts w:ascii="Times New Roman" w:hAnsi="Times New Roman" w:cs="Times New Roman"/>
          <w:color w:val="000000" w:themeColor="text1"/>
          <w:kern w:val="2"/>
          <w:sz w:val="16"/>
          <w:szCs w:val="16"/>
        </w:rPr>
        <w:softHyphen/>
        <w:t>разцов, изношенных и те вполне исправных (11092).</w:t>
      </w:r>
    </w:p>
    <w:p w14:paraId="03846F4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AC8D0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во время революции, открылось авиационное производство еще на 6 заводах, из них 3 строили самолеты и 1— моторы, а остальные—винты, лыжи, авиаприборы и магнето. Кроме того, было заложено еще 7 авиазаводов.,—из них 6 самолетных и 1 моторный.</w:t>
      </w:r>
    </w:p>
    <w:p w14:paraId="18AAB71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из 34 заводов, работавших на авиацию было 20 самолетных и 9 моторных. Из них серьезно ведущих авиационное производство было всего лишь 7 самолетных и 2 моторных, а остальные занимались им “между прочим” или просто еще не работали (11094).</w:t>
      </w:r>
    </w:p>
    <w:p w14:paraId="683E784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работающих целиком на авиацию можно было назвать заводами лишь 4 самолетостроительных, все остальные самолешые и моторные “заводы” были, в сущности, убогими мастерскими. Большинство самолетостроительных заводов помещалось в деревянных постройках, а их сборочные цеха были исклю</w:t>
      </w:r>
      <w:r w:rsidRPr="002F2FDF">
        <w:rPr>
          <w:rFonts w:ascii="Times New Roman" w:hAnsi="Times New Roman" w:cs="Times New Roman"/>
          <w:color w:val="000000" w:themeColor="text1"/>
          <w:kern w:val="2"/>
          <w:sz w:val="16"/>
          <w:szCs w:val="16"/>
        </w:rPr>
        <w:softHyphen/>
        <w:t xml:space="preserve">чительно деревянные. Возникавшие во время войны заводы строились наспех и были обречены на скорый износ (8—10 лет службы). Площадь полов самого крупного из заводов (“Дукс”) была менее 15000 </w:t>
      </w:r>
      <w:r w:rsidRPr="002F2FDF">
        <w:rPr>
          <w:rFonts w:ascii="Times New Roman" w:hAnsi="Times New Roman" w:cs="Times New Roman"/>
          <w:iCs/>
          <w:color w:val="000000" w:themeColor="text1"/>
          <w:kern w:val="2"/>
          <w:sz w:val="16"/>
          <w:szCs w:val="16"/>
        </w:rPr>
        <w:t xml:space="preserve">м2. </w:t>
      </w:r>
      <w:r w:rsidRPr="002F2FDF">
        <w:rPr>
          <w:rFonts w:ascii="Times New Roman" w:hAnsi="Times New Roman" w:cs="Times New Roman"/>
          <w:color w:val="000000" w:themeColor="text1"/>
          <w:kern w:val="2"/>
          <w:sz w:val="16"/>
          <w:szCs w:val="16"/>
        </w:rPr>
        <w:t>В подавляющем большин</w:t>
      </w:r>
      <w:r w:rsidRPr="002F2FDF">
        <w:rPr>
          <w:rFonts w:ascii="Times New Roman" w:hAnsi="Times New Roman" w:cs="Times New Roman"/>
          <w:color w:val="000000" w:themeColor="text1"/>
          <w:kern w:val="2"/>
          <w:sz w:val="16"/>
          <w:szCs w:val="16"/>
        </w:rPr>
        <w:softHyphen/>
        <w:t>стве заводы были значительно удалены от железнодорожных путей и аэродромов, где испытывались самолеты, а заводской транспорт был преимущественно гужевой (11094).</w:t>
      </w:r>
    </w:p>
    <w:p w14:paraId="3F99C30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Вся авиапромышленостъ потребляла смехотворно мало ме</w:t>
      </w:r>
      <w:r w:rsidRPr="002F2FDF">
        <w:rPr>
          <w:rFonts w:ascii="Times New Roman" w:hAnsi="Times New Roman" w:cs="Times New Roman"/>
          <w:color w:val="000000" w:themeColor="text1"/>
          <w:kern w:val="2"/>
          <w:sz w:val="16"/>
          <w:szCs w:val="16"/>
        </w:rPr>
        <w:softHyphen/>
        <w:t>ханической энергии, а именно: 18 работавших к концу 1917 г. заводов потребляли всего 4500 л; с., причем наибольшей мощностью обладал завод 480 л. с. “Дукс”, но был и “завод” (“Слюсаренко”), обладавший всего... 16 л. с. (11094).</w:t>
      </w:r>
    </w:p>
    <w:p w14:paraId="08DB4E4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отношении оборудования имеются следующие данные по тем же 18 заводам: станков по металлу на всех было 1357 единиц; станков по дереву—330 (при почти исключительно-деревянном самолетостроении); разных прессов—102; куз</w:t>
      </w:r>
      <w:r w:rsidRPr="002F2FDF">
        <w:rPr>
          <w:rFonts w:ascii="Times New Roman" w:hAnsi="Times New Roman" w:cs="Times New Roman"/>
          <w:color w:val="000000" w:themeColor="text1"/>
          <w:kern w:val="2"/>
          <w:sz w:val="16"/>
          <w:szCs w:val="16"/>
        </w:rPr>
        <w:softHyphen/>
        <w:t>нечных горнов—</w:t>
      </w:r>
      <w:r w:rsidRPr="002F2FDF">
        <w:rPr>
          <w:rFonts w:ascii="Times New Roman" w:hAnsi="Times New Roman" w:cs="Times New Roman"/>
          <w:iCs/>
          <w:color w:val="000000" w:themeColor="text1"/>
          <w:kern w:val="2"/>
          <w:sz w:val="16"/>
          <w:szCs w:val="16"/>
        </w:rPr>
        <w:t xml:space="preserve">-72; </w:t>
      </w:r>
      <w:r w:rsidRPr="002F2FDF">
        <w:rPr>
          <w:rFonts w:ascii="Times New Roman" w:hAnsi="Times New Roman" w:cs="Times New Roman"/>
          <w:color w:val="000000" w:themeColor="text1"/>
          <w:kern w:val="2"/>
          <w:sz w:val="16"/>
          <w:szCs w:val="16"/>
        </w:rPr>
        <w:t>калильных печей—25. Всего этого обо</w:t>
      </w:r>
      <w:r w:rsidRPr="002F2FDF">
        <w:rPr>
          <w:rFonts w:ascii="Times New Roman" w:hAnsi="Times New Roman" w:cs="Times New Roman"/>
          <w:color w:val="000000" w:themeColor="text1"/>
          <w:kern w:val="2"/>
          <w:sz w:val="16"/>
          <w:szCs w:val="16"/>
        </w:rPr>
        <w:softHyphen/>
        <w:t>рудования хватило бы лишь на 1—2 авиазавода того вре</w:t>
      </w:r>
      <w:r w:rsidRPr="002F2FDF">
        <w:rPr>
          <w:rFonts w:ascii="Times New Roman" w:hAnsi="Times New Roman" w:cs="Times New Roman"/>
          <w:color w:val="000000" w:themeColor="text1"/>
          <w:kern w:val="2"/>
          <w:sz w:val="16"/>
          <w:szCs w:val="16"/>
        </w:rPr>
        <w:softHyphen/>
        <w:t>мени из европейских, не говоря уже о современных. При Этом часть оборудования использовалась для неавиационного производства, а часть—для производства разной мелочи, ко</w:t>
      </w:r>
      <w:r w:rsidRPr="002F2FDF">
        <w:rPr>
          <w:rFonts w:ascii="Times New Roman" w:hAnsi="Times New Roman" w:cs="Times New Roman"/>
          <w:color w:val="000000" w:themeColor="text1"/>
          <w:kern w:val="2"/>
          <w:sz w:val="16"/>
          <w:szCs w:val="16"/>
        </w:rPr>
        <w:softHyphen/>
        <w:t>торая, теперь обычно не производится на специальных авиа</w:t>
      </w:r>
      <w:r w:rsidRPr="002F2FDF">
        <w:rPr>
          <w:rFonts w:ascii="Times New Roman" w:hAnsi="Times New Roman" w:cs="Times New Roman"/>
          <w:color w:val="000000" w:themeColor="text1"/>
          <w:kern w:val="2"/>
          <w:sz w:val="16"/>
          <w:szCs w:val="16"/>
        </w:rPr>
        <w:softHyphen/>
        <w:t>заводах, а заказывается на стороне. Больше 195 станков по , металлу не имел ни один завод, а наименьшее число таких станков на “завод” было... 10. Наибольшее число деревообделочных станков на один завод было 44 (11094).</w:t>
      </w:r>
    </w:p>
    <w:p w14:paraId="60564A1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Моторостроение характеризуется следующими цифрами: 15% общей площади цехов всех русских авиазаводов; 24% потребляемой ими энергии; 47% станков по металлу; 48% молотов; 26% прессов; 41% кузнечных горнов; 55% калильных печей. Принимая во внимание ничтожность цифр, выражающих абсолютные числа этих орудий, указан</w:t>
      </w:r>
      <w:r w:rsidRPr="002F2FDF">
        <w:rPr>
          <w:rFonts w:ascii="Times New Roman" w:hAnsi="Times New Roman" w:cs="Times New Roman"/>
          <w:color w:val="000000" w:themeColor="text1"/>
          <w:kern w:val="2"/>
          <w:sz w:val="16"/>
          <w:szCs w:val="16"/>
        </w:rPr>
        <w:softHyphen/>
        <w:t>ные процентные данные характеризуют лишь слабость авиа</w:t>
      </w:r>
      <w:r w:rsidRPr="002F2FDF">
        <w:rPr>
          <w:rFonts w:ascii="Times New Roman" w:hAnsi="Times New Roman" w:cs="Times New Roman"/>
          <w:color w:val="000000" w:themeColor="text1"/>
          <w:kern w:val="2"/>
          <w:sz w:val="16"/>
          <w:szCs w:val="16"/>
        </w:rPr>
        <w:softHyphen/>
        <w:t>моторной промышленности (11094).</w:t>
      </w:r>
    </w:p>
    <w:p w14:paraId="69642CF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Число рабочих и служащих, в авиапромышленности дости</w:t>
      </w:r>
      <w:r w:rsidRPr="002F2FDF">
        <w:rPr>
          <w:rFonts w:ascii="Times New Roman" w:hAnsi="Times New Roman" w:cs="Times New Roman"/>
          <w:color w:val="000000" w:themeColor="text1"/>
          <w:kern w:val="2"/>
          <w:sz w:val="16"/>
          <w:szCs w:val="16"/>
        </w:rPr>
        <w:softHyphen/>
        <w:t>гало наибольшей цифры 12000 человек, из которых в мото</w:t>
      </w:r>
      <w:r w:rsidRPr="002F2FDF">
        <w:rPr>
          <w:rFonts w:ascii="Times New Roman" w:hAnsi="Times New Roman" w:cs="Times New Roman"/>
          <w:color w:val="000000" w:themeColor="text1"/>
          <w:kern w:val="2"/>
          <w:sz w:val="16"/>
          <w:szCs w:val="16"/>
        </w:rPr>
        <w:softHyphen/>
        <w:t>ростроении было занято не более 20%. В среднем на завод приходилось около 400 человек. Насыщенность инженерно-техническим составом была в 2—4 раза меньше, нежели в Европе и Америке (11094).</w:t>
      </w:r>
    </w:p>
    <w:p w14:paraId="431DE1D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Авиационная промышленность требует создания не только самолето- и моторостроительных заводов. Самолеты и мо</w:t>
      </w:r>
      <w:r w:rsidRPr="002F2FDF">
        <w:rPr>
          <w:rFonts w:ascii="Times New Roman" w:hAnsi="Times New Roman" w:cs="Times New Roman"/>
          <w:color w:val="000000" w:themeColor="text1"/>
          <w:kern w:val="2"/>
          <w:sz w:val="16"/>
          <w:szCs w:val="16"/>
        </w:rPr>
        <w:softHyphen/>
        <w:t>торы требуют для своего производства и оборудования высококачественных сталей, и легких алюминиевых сплавов, и сложнейших приборов для управления, зажигания, осве</w:t>
      </w:r>
      <w:r w:rsidRPr="002F2FDF">
        <w:rPr>
          <w:rFonts w:ascii="Times New Roman" w:hAnsi="Times New Roman" w:cs="Times New Roman"/>
          <w:color w:val="000000" w:themeColor="text1"/>
          <w:kern w:val="2"/>
          <w:sz w:val="16"/>
          <w:szCs w:val="16"/>
        </w:rPr>
        <w:softHyphen/>
        <w:t>щения и, наконец, вооружения. На это в царской России обращалось меньше всего внимания. Во время мировой войны появились лишь зародыши некоторых из этих важных про</w:t>
      </w:r>
      <w:r w:rsidRPr="002F2FDF">
        <w:rPr>
          <w:rFonts w:ascii="Times New Roman" w:hAnsi="Times New Roman" w:cs="Times New Roman"/>
          <w:color w:val="000000" w:themeColor="text1"/>
          <w:kern w:val="2"/>
          <w:sz w:val="16"/>
          <w:szCs w:val="16"/>
        </w:rPr>
        <w:softHyphen/>
        <w:t>изводств: шарикоподшипники; (SKF), авиаприборы (“Авиа</w:t>
      </w:r>
      <w:r w:rsidRPr="002F2FDF">
        <w:rPr>
          <w:rFonts w:ascii="Times New Roman" w:hAnsi="Times New Roman" w:cs="Times New Roman"/>
          <w:color w:val="000000" w:themeColor="text1"/>
          <w:kern w:val="2"/>
          <w:sz w:val="16"/>
          <w:szCs w:val="16"/>
        </w:rPr>
        <w:softHyphen/>
        <w:t>прибор”) ; электрооборудование (“Искромет”); специальные, стали (Омутнинский завод). Но масштаб этих производств был настолько мал, что серьезного значения они, конечно, не имели. В основном все ввозилось из-за границы (11094).</w:t>
      </w:r>
    </w:p>
    <w:p w14:paraId="6C6CB97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Самостоятельная научно-исследовательская работа велась, правда, в нескольких местах, но она была совершенно оторвана от производства. Замечательные работы “отца русской авиации” проф. Н. Е. Жуковского практически совер</w:t>
      </w:r>
      <w:r w:rsidRPr="002F2FDF">
        <w:rPr>
          <w:rFonts w:ascii="Times New Roman" w:hAnsi="Times New Roman" w:cs="Times New Roman"/>
          <w:color w:val="000000" w:themeColor="text1"/>
          <w:kern w:val="2"/>
          <w:sz w:val="16"/>
          <w:szCs w:val="16"/>
        </w:rPr>
        <w:softHyphen/>
        <w:t>шенно не использовались в России. Как только дело Доходи</w:t>
      </w:r>
      <w:r w:rsidRPr="002F2FDF">
        <w:rPr>
          <w:rFonts w:ascii="Times New Roman" w:hAnsi="Times New Roman" w:cs="Times New Roman"/>
          <w:color w:val="000000" w:themeColor="text1"/>
          <w:kern w:val="2"/>
          <w:sz w:val="16"/>
          <w:szCs w:val="16"/>
        </w:rPr>
        <w:softHyphen/>
        <w:t>ло до необходимости совершенствовать находящиеся в про</w:t>
      </w:r>
      <w:r w:rsidRPr="002F2FDF">
        <w:rPr>
          <w:rFonts w:ascii="Times New Roman" w:hAnsi="Times New Roman" w:cs="Times New Roman"/>
          <w:color w:val="000000" w:themeColor="text1"/>
          <w:kern w:val="2"/>
          <w:sz w:val="16"/>
          <w:szCs w:val="16"/>
        </w:rPr>
        <w:softHyphen/>
        <w:t>изводстве типы самолетов, не говоря уже о моторах, так “практические купцы” обращались к помощи французов и даже немцев, самолеты и моторы которых, попавшие в плен, усердно и долго копировались. В этом вопросе шли по линии наименьшего сопротивления—производить, что подешевле, полегче, попрйбыльнней (11094).</w:t>
      </w:r>
    </w:p>
    <w:p w14:paraId="2214AA7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16 типов самолетов, состоявших в 1917 г.; на вооружении царской авиации, только 2 были русскими по конструкции, остальные были французские, немецкие и английские. Из 9 типов моторов, на них установленных, русский был всего один. Если же взять отношение числа самолетов и .моторов русских типов к числу самолетов и моторов иностранных типов, то отношение изменится в сторону еще большей не</w:t>
      </w:r>
      <w:r w:rsidRPr="002F2FDF">
        <w:rPr>
          <w:rFonts w:ascii="Times New Roman" w:hAnsi="Times New Roman" w:cs="Times New Roman"/>
          <w:color w:val="000000" w:themeColor="text1"/>
          <w:kern w:val="2"/>
          <w:sz w:val="16"/>
          <w:szCs w:val="16"/>
        </w:rPr>
        <w:softHyphen/>
        <w:t>выгодности для самостоятельной конструкторской работы русской авиапромышленности (11094).</w:t>
      </w:r>
    </w:p>
    <w:p w14:paraId="0DDD01D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сравнению с немецкими самолетами, а также француз</w:t>
      </w:r>
      <w:r w:rsidRPr="002F2FDF">
        <w:rPr>
          <w:rFonts w:ascii="Times New Roman" w:hAnsi="Times New Roman" w:cs="Times New Roman"/>
          <w:color w:val="000000" w:themeColor="text1"/>
          <w:kern w:val="2"/>
          <w:sz w:val="16"/>
          <w:szCs w:val="16"/>
        </w:rPr>
        <w:softHyphen/>
        <w:t>скими и английскими, применявшимися в то время на Запад</w:t>
      </w:r>
      <w:r w:rsidRPr="002F2FDF">
        <w:rPr>
          <w:rFonts w:ascii="Times New Roman" w:hAnsi="Times New Roman" w:cs="Times New Roman"/>
          <w:color w:val="000000" w:themeColor="text1"/>
          <w:kern w:val="2"/>
          <w:sz w:val="16"/>
          <w:szCs w:val="16"/>
        </w:rPr>
        <w:softHyphen/>
        <w:t>ном фронте, русские самолеты были тихоходны, неповорот</w:t>
      </w:r>
      <w:r w:rsidRPr="002F2FDF">
        <w:rPr>
          <w:rFonts w:ascii="Times New Roman" w:hAnsi="Times New Roman" w:cs="Times New Roman"/>
          <w:color w:val="000000" w:themeColor="text1"/>
          <w:kern w:val="2"/>
          <w:sz w:val="16"/>
          <w:szCs w:val="16"/>
        </w:rPr>
        <w:softHyphen/>
        <w:t>ливы и малобоеспособны. В 1917 г. в царской авиации ско</w:t>
      </w:r>
      <w:r w:rsidRPr="002F2FDF">
        <w:rPr>
          <w:rFonts w:ascii="Times New Roman" w:hAnsi="Times New Roman" w:cs="Times New Roman"/>
          <w:color w:val="000000" w:themeColor="text1"/>
          <w:kern w:val="2"/>
          <w:sz w:val="16"/>
          <w:szCs w:val="16"/>
        </w:rPr>
        <w:softHyphen/>
        <w:t xml:space="preserve">рость одноместных истребителей колебалась между 130 и 180 </w:t>
      </w:r>
      <w:r w:rsidRPr="002F2FDF">
        <w:rPr>
          <w:rFonts w:ascii="Times New Roman" w:hAnsi="Times New Roman" w:cs="Times New Roman"/>
          <w:iCs/>
          <w:color w:val="000000" w:themeColor="text1"/>
          <w:kern w:val="2"/>
          <w:sz w:val="16"/>
          <w:szCs w:val="16"/>
        </w:rPr>
        <w:t xml:space="preserve">км/час; </w:t>
      </w:r>
      <w:r w:rsidRPr="002F2FDF">
        <w:rPr>
          <w:rFonts w:ascii="Times New Roman" w:hAnsi="Times New Roman" w:cs="Times New Roman"/>
          <w:color w:val="000000" w:themeColor="text1"/>
          <w:kern w:val="2"/>
          <w:sz w:val="16"/>
          <w:szCs w:val="16"/>
        </w:rPr>
        <w:t xml:space="preserve">разведчиков — 125—140 </w:t>
      </w:r>
      <w:r w:rsidRPr="002F2FDF">
        <w:rPr>
          <w:rFonts w:ascii="Times New Roman" w:hAnsi="Times New Roman" w:cs="Times New Roman"/>
          <w:iCs/>
          <w:color w:val="000000" w:themeColor="text1"/>
          <w:kern w:val="2"/>
          <w:sz w:val="16"/>
          <w:szCs w:val="16"/>
        </w:rPr>
        <w:t xml:space="preserve">км/час; </w:t>
      </w:r>
      <w:r w:rsidRPr="002F2FDF">
        <w:rPr>
          <w:rFonts w:ascii="Times New Roman" w:hAnsi="Times New Roman" w:cs="Times New Roman"/>
          <w:color w:val="000000" w:themeColor="text1"/>
          <w:kern w:val="2"/>
          <w:sz w:val="16"/>
          <w:szCs w:val="16"/>
        </w:rPr>
        <w:t xml:space="preserve">бомбардировщики “Муромцы” делали всего 115 </w:t>
      </w:r>
      <w:r w:rsidRPr="002F2FDF">
        <w:rPr>
          <w:rFonts w:ascii="Times New Roman" w:hAnsi="Times New Roman" w:cs="Times New Roman"/>
          <w:iCs/>
          <w:color w:val="000000" w:themeColor="text1"/>
          <w:kern w:val="2"/>
          <w:sz w:val="16"/>
          <w:szCs w:val="16"/>
        </w:rPr>
        <w:t xml:space="preserve">км/час. </w:t>
      </w:r>
      <w:r w:rsidRPr="002F2FDF">
        <w:rPr>
          <w:rFonts w:ascii="Times New Roman" w:hAnsi="Times New Roman" w:cs="Times New Roman"/>
          <w:color w:val="000000" w:themeColor="text1"/>
          <w:kern w:val="2"/>
          <w:sz w:val="16"/>
          <w:szCs w:val="16"/>
        </w:rPr>
        <w:t>Скорости эти были при</w:t>
      </w:r>
      <w:r w:rsidRPr="002F2FDF">
        <w:rPr>
          <w:rFonts w:ascii="Times New Roman" w:hAnsi="Times New Roman" w:cs="Times New Roman"/>
          <w:color w:val="000000" w:themeColor="text1"/>
          <w:kern w:val="2"/>
          <w:sz w:val="16"/>
          <w:szCs w:val="16"/>
        </w:rPr>
        <w:softHyphen/>
        <w:t>мерно на 25% ниже, чем скорости самолетов, которыми были вооружены другие европейские воюющие страны (11094).</w:t>
      </w:r>
    </w:p>
    <w:p w14:paraId="729C175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38C2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 (11863).</w:t>
      </w:r>
    </w:p>
    <w:p w14:paraId="4194C8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E7192B" w14:textId="10C35BE4" w:rsidR="0096612C" w:rsidRPr="002F2FDF" w:rsidRDefault="0096612C" w:rsidP="0083075A">
      <w:pPr>
        <w:shd w:val="clear" w:color="auto" w:fill="FFFFFF"/>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 Россию попал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серийно строился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Дуксе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«Ньюпор-ХХШ» («Бебе-23»), отличавшийся от</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«Ньюпора-XXI» удлиненным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0,6</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 фюзеляжем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измененными элеронами. Точных численных данных 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его выпуске нет, но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время гражданской войны он</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количественно преобладал среди других типов «Ньюпоров». Десяток импортных экземпляров «Ньюпора-XXIV» с</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«Роном»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120 л. с, отличавшегося от</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других «Ньюпоров» уменьшенным килем, привел 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серийной постройке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Москве, начиная с</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1917</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 «Ньюпора-XXIVбис» с</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традиционным хвостовым оперением. Его продолжали строить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годы гражданской войны. Среди многообразия типов истребителей «Ньюпор» выделить какие-то оригинальные технические решения, внесенные «</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Дуксом</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 очень сложно. Весьма вероятно, что изменения, главным образом, были связаны с</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установкой другого типа двигателя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подгонкой конструкции под уже сложившуюся на</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заводе технологию производства. К</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тому</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же нередко многие изменения вносились во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время ремонта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частях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фронтовых авиапарках. Из</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Франции поступило пять машин «Ньюпор-XXV» с</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мотором «Клерже»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130 л. с, под названием «Ньюпор-XXVII» встречались единичные экземпляры с</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«Ронами»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80, 100 и</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130 л. с. Но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это был все тот</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же «Ньюпор-XXIVбис», только с</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другими двигателями. Шавров упоминает даже о</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«Ньюпоре» с</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крыльями от</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«Сопвича-разведчика» и с</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«Роном» в</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80 л. с. Место рождения этого «уникального творения» не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установлено (15219).</w:t>
      </w:r>
    </w:p>
    <w:p w14:paraId="53BD33CD" w14:textId="77777777" w:rsidR="0096612C" w:rsidRPr="002F2FDF" w:rsidRDefault="0096612C" w:rsidP="0083075A">
      <w:pPr>
        <w:shd w:val="clear" w:color="auto" w:fill="FFFFFF"/>
        <w:spacing w:after="0" w:line="240" w:lineRule="auto"/>
        <w:jc w:val="both"/>
        <w:rPr>
          <w:rFonts w:ascii="Times New Roman" w:hAnsi="Times New Roman" w:cs="Times New Roman"/>
          <w:color w:val="000000" w:themeColor="text1"/>
          <w:kern w:val="2"/>
          <w:sz w:val="16"/>
          <w:szCs w:val="16"/>
        </w:rPr>
      </w:pPr>
    </w:p>
    <w:p w14:paraId="1C792D9F" w14:textId="77777777" w:rsidR="0096612C" w:rsidRPr="002F2FDF" w:rsidRDefault="0096612C"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В 1917 г. в качестве летчиков-сдатчиков всех без исключения самолетов фигурируют лишь два пилота — Габер-Влынский (собственный вес 4 пуда 20 фунтов) и Россинский (5 пудов 35 фунтов). Если по каким-либо причинам летчик менялся, то вместе с фамилией корректировался и вес нагрузки. Сохранившиеся сдаточные полетные ведомости аэропланов завода «Дукс» за 1917—1918 гг. позволяют судить, насколько на Ходынке следовали разработанным с помощью АРИБ правилам. В полетных листах на сдачу «Фарманов-ХХХ», помимо данных о погоде и состоянии атмосферы, высоте облачности, указаны точный вес пилота и пассажира, бензина (6 пудов 30 фунтов), масла (1 пуд), пулемет (1 пуд 30 фунтов), бомбы (25 фунтов) и другая боевая нагрузка, которую заменял 1 пуд свинца, и даже вес барографа — 5,5 фунтов. Обязательно фиксировался тип и номер винта и двигателя, магнето («Бош»), счетчика оборотов и т.д. Сдаточные испытания проводились только с несколькими тщательно отпарированными винтами, во всех полетных листах фигурируют одни и те же номера винтов (до пяти номеров) с обязательной припиской «винт остается на аэродроме».</w:t>
      </w:r>
    </w:p>
    <w:p w14:paraId="6FD7E0AF" w14:textId="77777777" w:rsidR="0096612C" w:rsidRPr="002F2FDF" w:rsidRDefault="0096612C"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В сдаточной ведомости указаны число оборотов мотора на земле, в наборе высоты и в горизонтальном полете, продолжительность полета (обычно она варьировалась от 15 до 50 мин) и фиксировалось время подъема на высоты 500—2500 м с интервалом в 500 м. На полях мелким и неразборчивым почерком, как правило карандашом, фиксировали отмеченные в полете замечания, нередко их число превышало десяток, отмечено даже отсутствие аэротермометра. Как и когда они устранялись, данных нет, аварии и поломки также не отмечались. Каждый полетный лист обязательно подписывал военный приемщик капитан П.С.Прищепов (в мае 1917 г. приемщики менялись довольно часто, затем листы подписывали поручик В.Т.Соколов или прапорщик Жемличка) и директор аэродрома «пилот-инженер» В.В.Прохоров.</w:t>
      </w:r>
    </w:p>
    <w:p w14:paraId="47D3950E" w14:textId="77777777" w:rsidR="0096612C" w:rsidRPr="002F2FDF" w:rsidRDefault="0096612C"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Вес пассажира, как правило, указывался неизменным — 4 пуда 20 фунтов. А летали на сдачу аэропланов, грубо говоря, все кому не лень — рабочие, слесаря, механики, писаря, фельдшеры и даже личный шофер Габер-Влынского. Нередко встречались и знакомые фамилии — А.ВДуховецкнй, В.С.Рябушинский прапорщик Кулебакин и другие офицеры. Единственными «анонимными» пассажирами, чьи фамилии никогда не фиксировались, были ученики авиашколы, поэтому однозначно установить дату «крещения небом» М.М.Громова невозможно. Однако в исключительных случаях (их всего 2—3) варьировался и вес ученика (4 пуда 30—35 фунтов). Поэтому, принимая во внимание юношескую кличку Громова «Слон» за могучее телосложение и ряд других косвенных признаков, можно полагать, что его полет с Россинским состоялся 7 (или 5) июня 1917 г. «Дедушка» «единолично» сдавал «Фарманы-ХХХ» с марта и до конца 1917 г., Габер сдал все «Фарманы» (24 экз.) в феврале 1917 г. и четыре (из 19) в марте, затем полностью переключился на «Ньюпоры» тип 10 н 17 для УВВФ и Морского ведомства. В первой половине 1917 г. работа продолжалась более или менее ритмично: апрель — 22, май — 24, июнь — 21. Нередки были случаи, когда в один день сдавались 3—4 самолета, как правило, ближе к концу месяца, хотя явных признаков «штурмовщины» не наблюдалось (15464)</w:t>
      </w:r>
    </w:p>
    <w:p w14:paraId="1B0A211D" w14:textId="77777777" w:rsidR="0096612C" w:rsidRPr="002F2FDF" w:rsidRDefault="0096612C"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В марте 1915 г. ГВТУ прислало на «Дукс» извещение об изменении технических условий (ТУ) с уточнениями нормы испытательной нагрузки для сдачи в полете «Фарманов-ХХНбис» (15464).</w:t>
      </w:r>
    </w:p>
    <w:p w14:paraId="6EA52601" w14:textId="77777777" w:rsidR="0096612C" w:rsidRPr="002F2FDF" w:rsidRDefault="0096612C" w:rsidP="0083075A">
      <w:pPr>
        <w:pStyle w:val="2"/>
        <w:spacing w:before="0" w:beforeAutospacing="0" w:after="0" w:afterAutospacing="0"/>
        <w:jc w:val="both"/>
        <w:rPr>
          <w:b w:val="0"/>
          <w:color w:val="000000" w:themeColor="text1"/>
          <w:kern w:val="2"/>
          <w:sz w:val="16"/>
          <w:szCs w:val="16"/>
        </w:rPr>
      </w:pPr>
    </w:p>
    <w:p w14:paraId="50AFF7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1917-м завод Анатра должен был выпустить в январе 30 самолетов, в феврале-мае - по 40 и начиная с июня - по 60. Симферопольскому за воду в 1917-м предписывалось довести выпуск до 25 машин ежемесячно (9806).</w:t>
      </w:r>
    </w:p>
    <w:p w14:paraId="09BEEA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49DEF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В.М.Ольховский приступил к построй</w:t>
      </w:r>
      <w:r w:rsidRPr="002F2FDF">
        <w:rPr>
          <w:rFonts w:ascii="Times New Roman" w:hAnsi="Times New Roman" w:cs="Times New Roman"/>
          <w:color w:val="000000" w:themeColor="text1"/>
          <w:kern w:val="2"/>
          <w:sz w:val="16"/>
          <w:szCs w:val="16"/>
        </w:rPr>
        <w:softHyphen/>
        <w:t>ке биплана с мотором “Сальмсон” в 160 л.с. и толка</w:t>
      </w:r>
      <w:r w:rsidRPr="002F2FDF">
        <w:rPr>
          <w:rFonts w:ascii="Times New Roman" w:hAnsi="Times New Roman" w:cs="Times New Roman"/>
          <w:color w:val="000000" w:themeColor="text1"/>
          <w:kern w:val="2"/>
          <w:sz w:val="16"/>
          <w:szCs w:val="16"/>
        </w:rPr>
        <w:softHyphen/>
        <w:t>ющим винтом. По проекту самолет должен был иметь трехколесное шасси оригинальной конструкции. Ре</w:t>
      </w:r>
      <w:r w:rsidRPr="002F2FDF">
        <w:rPr>
          <w:rFonts w:ascii="Times New Roman" w:hAnsi="Times New Roman" w:cs="Times New Roman"/>
          <w:color w:val="000000" w:themeColor="text1"/>
          <w:kern w:val="2"/>
          <w:sz w:val="16"/>
          <w:szCs w:val="16"/>
        </w:rPr>
        <w:softHyphen/>
        <w:t>волюционные события прервали эту работу (553).</w:t>
      </w:r>
    </w:p>
    <w:p w14:paraId="38FCDCD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B0F5D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инженеры АИС создали несколько новых моделей, каковыми были: поплавко</w:t>
      </w:r>
      <w:r w:rsidRPr="002F2FDF">
        <w:rPr>
          <w:rFonts w:ascii="Times New Roman" w:hAnsi="Times New Roman" w:cs="Times New Roman"/>
          <w:color w:val="000000" w:themeColor="text1"/>
          <w:kern w:val="2"/>
          <w:sz w:val="16"/>
          <w:szCs w:val="16"/>
        </w:rPr>
        <w:softHyphen/>
        <w:t>вый разведчик, поплавковый торпедоносец, контр-истребитель и летающая лодка-разведчик. О контр-истребителе в этой книге уже упоминалось; его проекты, включая и аппарат ВМ-6, явились следствием идеи капитана 2 р. Щербачева. В отличие от Виллиша, Шишков, по всей видимости, не сумел достигнуть каких-либо заметных успехов при выполнении задания и никаких сведений о его контр-истребителс не обнаружено. Остальным трем типам повезло больше и они могут быть описаны более подробно (2843).</w:t>
      </w:r>
    </w:p>
    <w:p w14:paraId="3AD48C8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20ED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1917 года завод Рено (будущий завод № 234 и № 117) был передан в ведение государства под названием “Русский Рено”.</w:t>
      </w:r>
    </w:p>
    <w:p w14:paraId="154B6B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Территория, на которой находится завод до 1917 года принадлежала как концессия французской фирме “Рено”. В период до войны 1914 года на этой территории фирмой “Рено” был организован автомобильно-сборочный завод, на котором производилась сборка и монтаж автомобилей марки “Рено” из привозимых деталей производства той же фирмы. В начале войны 1914 года завод помимо сборки автомобилей начал монтировать авиамоторы для самолетов, для чего была установлена испытательная станция. С 1918 до 1927 года завод был закрыт. В 1927 году на территории завода размещался маленький завод в системе АО “Электропомощь”, на </w:t>
      </w:r>
      <w:r w:rsidRPr="002F2FDF">
        <w:rPr>
          <w:rFonts w:ascii="Times New Roman" w:hAnsi="Times New Roman" w:cs="Times New Roman"/>
          <w:color w:val="000000" w:themeColor="text1"/>
          <w:kern w:val="2"/>
          <w:sz w:val="16"/>
          <w:szCs w:val="16"/>
        </w:rPr>
        <w:lastRenderedPageBreak/>
        <w:t>котором налаживалось производство и выпуск тракторных деталей и электрических подъемных механизмов. С 1929 года завод получил название “Красный Октябрь” и на нем было в дальнейшем налажено производство малолитражных мотоциклов марки “Красный Октябрь”. В 1932 году завод начал производить коробки скоростей к танкам Т-26 и запчасти к ним, кооперируясь с заводом им. Ворошилова (теперь завод № 800). Производство коробок скоростей было до 1939 года. В это время завод находился в ведении НК среднего машиностроения. В 1937 году заводу “Красный Октябрь” был присвоен номер 234. Перейдя в 1940 году в ведение НКАП завод реконструировался и строился под серийное производство авиамоторов. Заводу № 234 были переданы дополнительно площадки следующих заводов и фабрик:</w:t>
      </w:r>
    </w:p>
    <w:p w14:paraId="0965236C" w14:textId="77777777" w:rsidR="003431D2" w:rsidRPr="002F2FDF" w:rsidRDefault="003431D2" w:rsidP="0083075A">
      <w:pPr>
        <w:tabs>
          <w:tab w:val="left" w:pos="36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Рояльная фабрика по Алексеевскому проспекту 9 на Выборгской стороне (теперь там завод № 466 МАП);</w:t>
      </w:r>
    </w:p>
    <w:p w14:paraId="080C8C27" w14:textId="77777777" w:rsidR="003431D2" w:rsidRPr="002F2FDF" w:rsidRDefault="003431D2" w:rsidP="0083075A">
      <w:pPr>
        <w:tabs>
          <w:tab w:val="left" w:pos="36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Патефонный завод – по Обводному каналу (теперь находится завод № 283 МАП);</w:t>
      </w:r>
    </w:p>
    <w:p w14:paraId="64696432" w14:textId="77777777" w:rsidR="003431D2" w:rsidRPr="002F2FDF" w:rsidRDefault="003431D2" w:rsidP="0083075A">
      <w:pPr>
        <w:tabs>
          <w:tab w:val="left" w:pos="36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пишущих машинок (в Лигове) в Урицке (во время блокады 1941-1944 гг. разрушен) и шло строительство на площадке Языкова пер., д. 9.</w:t>
      </w:r>
    </w:p>
    <w:p w14:paraId="3A35BC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июне-июле 1941 года завод № 234 эвакуировался в Черниковск БашАССР (от Уфы 16 км) на базу находившегося там завода № 384 МАП.</w:t>
      </w:r>
    </w:p>
    <w:p w14:paraId="3A8FB7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прибытии на ту же базу в декабре 1941 года из Рыбинска завода № 26 завод № 234 слился с ним и утратил свой номер.</w:t>
      </w:r>
    </w:p>
    <w:p w14:paraId="367DC0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 время ВОВ на территории бывш. завода № 234 (Ленинград, Флюгов пер., 13) находилась ремонтная база по ремонту танков и другого военного снаряжения.</w:t>
      </w:r>
    </w:p>
    <w:p w14:paraId="114E9C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Ремонтная база ликвидировалась в 1944 году. В 1945 году согласно Постановления СМ на площадку бывш. завода № 234 (Ленинград) был перебазирован завод № 466 из Горького и располагался в тот момент на трех площадках: Флюгов пер., д. 13; Алексеевский пер., д. 9 и Языков пер., д. 9.</w:t>
      </w:r>
    </w:p>
    <w:p w14:paraId="0FD40F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Через некоторое время после переезда завода № 466 в Ленинград из Черниковска с завода № 26 на завод № 466 была передана большая часть работников опытного КБ гл. конструктора Климова В.Я. и на этой базе было оранизовано ОКБ завода № 466.</w:t>
      </w:r>
    </w:p>
    <w:p w14:paraId="5552B0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Согласно Постановления СМ № 2227-607сс от 30 сентября 1946 года и приказа МАП № 424 от 3 июля 1947 года ОКБ гл. конструктора Климова В.Я. было преобразовано в опытный завод газотурбинных реактивных двигателей и ему был присвоен № 117.</w:t>
      </w:r>
    </w:p>
    <w:p w14:paraId="604086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 117 остался на основной площадке (Флюгов пер., д. 13), а завод № 466 на площадке по адресу Алексеевский пер., д. 9.</w:t>
      </w:r>
    </w:p>
    <w:p w14:paraId="2673E0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1959 завод № 117 занимал три площадки: Кантемировская ул., д. 13 (бывш. Флюгов пер., д. 13): Белоостровская ул., д. 9 (бывш. Языков пер., д. 9) и для строительства Экспериментально-опытной базы заводу № 117 Адрес: Ленинград, Выборгский район, Кантемировская ул., д. 13 (бывш. Флюгов пер.)</w:t>
      </w:r>
    </w:p>
    <w:p w14:paraId="46782A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Производственный профиль – опытное авиамоторостроение</w:t>
      </w:r>
    </w:p>
    <w:p w14:paraId="0AFE6E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Постановлением СМ за № 17677рс от 30 октября 1953 года отведен участок 64-67 в районе Парголовской дачи.</w:t>
      </w:r>
    </w:p>
    <w:p w14:paraId="5DD7A0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Директором завода и гл. конструктором с 1947 года является Климов В.Я. (9676)</w:t>
      </w:r>
    </w:p>
    <w:p w14:paraId="343925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“Дека”, помимо двигателей “Мерседес” мощностью 129 л. с., удалось освоить двигатель того же типа мощностью 170 л. с. Однако тяжелая обстановка на фронте и внутри страны, все более нараставшая хозяйственная разруха привели к тому, что фронт не получил от нового завода “Дека” авиадвигатели, на которые рассчитывал (9705).</w:t>
      </w:r>
    </w:p>
    <w:p w14:paraId="0F64C0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3C4D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грек Матиас начал строительство авиационного завода в Бердянске. По своей мощности он планировался равным заводам Анатра или “Дукс”. Матиас получил от военного ведомства заказы на постройку 75 самолетов типа “Фарман” с двигателями “Сальмсон” мощностью 160-170 л. с. и 200 самолетов типа “Спад” по французским образцам. УВВФ отмечало, что завод “приступил к выполнению заказа и с января будущего года рассчитывает довести выпуск аппаратов до 60 штук в месяц” (9743).</w:t>
      </w:r>
    </w:p>
    <w:p w14:paraId="4F8629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DFF62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завод акционерного общества “Ма</w:t>
      </w:r>
      <w:r w:rsidRPr="002F2FDF">
        <w:rPr>
          <w:rFonts w:ascii="Times New Roman" w:hAnsi="Times New Roman" w:cs="Times New Roman"/>
          <w:color w:val="000000" w:themeColor="text1"/>
          <w:kern w:val="2"/>
          <w:sz w:val="16"/>
          <w:szCs w:val="16"/>
        </w:rPr>
        <w:softHyphen/>
        <w:t>тиас”, созданный в Бердянске на базе фабрики сель</w:t>
      </w:r>
      <w:r w:rsidRPr="002F2FDF">
        <w:rPr>
          <w:rFonts w:ascii="Times New Roman" w:hAnsi="Times New Roman" w:cs="Times New Roman"/>
          <w:color w:val="000000" w:themeColor="text1"/>
          <w:kern w:val="2"/>
          <w:sz w:val="16"/>
          <w:szCs w:val="16"/>
        </w:rPr>
        <w:softHyphen/>
        <w:t>скохозяйственных орудий, получил крупный заказ военного ведомства и перешел к выпуску самолетов. Проектная мощность предприятия предполагалась равной заводам Анатра в Одессе и Симферополе. Однако реально выпустили всего 6 самолетов. В ходе гражданской войны завод был разрушен (553).</w:t>
      </w:r>
    </w:p>
    <w:p w14:paraId="72F2705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CC61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РБВЗ было изготовлено 11 “Муромцев” и 15 С-16. В 1918 г. планировалось построить 14 истребителей С-16, 30 разведчиков “Фар-ман-30”, 13 “Муромцев”, а также 10 учебно-тренировочных (10667).</w:t>
      </w:r>
    </w:p>
    <w:p w14:paraId="10D823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D75B6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началось строительство в Евпатории отделения московского заво</w:t>
      </w:r>
      <w:r w:rsidRPr="002F2FDF">
        <w:rPr>
          <w:rFonts w:ascii="Times New Roman" w:hAnsi="Times New Roman" w:cs="Times New Roman"/>
          <w:color w:val="000000" w:themeColor="text1"/>
          <w:kern w:val="2"/>
          <w:sz w:val="16"/>
          <w:szCs w:val="16"/>
        </w:rPr>
        <w:softHyphen/>
        <w:t>да “Дукс” для сборки гидросамолетов (553).</w:t>
      </w:r>
    </w:p>
    <w:p w14:paraId="36DAD0E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8C9D70" w14:textId="77777777" w:rsidR="0096612C" w:rsidRPr="002F2FDF" w:rsidRDefault="0096612C" w:rsidP="0083075A">
      <w:pPr>
        <w:pStyle w:val="2"/>
        <w:spacing w:before="0" w:beforeAutospacing="0" w:after="0" w:afterAutospacing="0"/>
        <w:jc w:val="both"/>
        <w:rPr>
          <w:b w:val="0"/>
          <w:color w:val="000000" w:themeColor="text1"/>
          <w:kern w:val="2"/>
          <w:sz w:val="16"/>
          <w:szCs w:val="16"/>
        </w:rPr>
      </w:pPr>
      <w:r w:rsidRPr="002F2FDF">
        <w:rPr>
          <w:b w:val="0"/>
          <w:iCs/>
          <w:color w:val="000000" w:themeColor="text1"/>
          <w:kern w:val="2"/>
          <w:sz w:val="16"/>
          <w:szCs w:val="16"/>
        </w:rPr>
        <w:t>В 1917 г., в Ново-Николаевске (сегодняшнем Новосибирске) были построены и поднялись в воздух два первых “сибирских” самолета (15466).</w:t>
      </w:r>
    </w:p>
    <w:p w14:paraId="448086A9" w14:textId="77777777" w:rsidR="0096612C" w:rsidRPr="002F2FDF" w:rsidRDefault="0096612C" w:rsidP="0083075A">
      <w:pPr>
        <w:pStyle w:val="2"/>
        <w:spacing w:before="0" w:beforeAutospacing="0" w:after="0" w:afterAutospacing="0"/>
        <w:jc w:val="both"/>
        <w:rPr>
          <w:b w:val="0"/>
          <w:color w:val="000000" w:themeColor="text1"/>
          <w:kern w:val="2"/>
          <w:sz w:val="16"/>
          <w:szCs w:val="16"/>
        </w:rPr>
      </w:pPr>
    </w:p>
    <w:p w14:paraId="11BAEB59" w14:textId="77777777" w:rsidR="0096612C" w:rsidRPr="002F2FDF" w:rsidRDefault="0096612C"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До 1917 г. возглавляемая Н.Е.Жуковским экспертная комиссия в Обществе Леденцова рассмотрела более 120 проектов. Среди них встречались ошибочные и откровенно нелепые, наподобие «микстов» и «махолетов» Спасова и Смурова, или «пятимоторного аэроплана» А.П.Федотова, где четыре 2-метровых вертолетных винта, вращаемые 150-сильными моторами, должны были поднимать в воздух 4—5 т, что было явно нереально. Но попадались и весьма перспективные изобретения, доведенные до стадии практической реализации и летных испытаний. Среди них авиационные лыжи и самолет конструкции Лобанова, геликоптер Юрьева, «Тренитер» И.А.Рубинского, выключаемое двойное управление для учебного самолета и муфта для автоматического сброса поврежденного воздушного винта, созданные студентом А.К.Тихомировым (15464).</w:t>
      </w:r>
    </w:p>
    <w:p w14:paraId="4AE362AA" w14:textId="77777777" w:rsidR="0096612C" w:rsidRPr="002F2FDF" w:rsidRDefault="0096612C" w:rsidP="0083075A">
      <w:pPr>
        <w:pStyle w:val="2"/>
        <w:spacing w:before="0" w:beforeAutospacing="0" w:after="0" w:afterAutospacing="0"/>
        <w:jc w:val="both"/>
        <w:rPr>
          <w:b w:val="0"/>
          <w:color w:val="000000" w:themeColor="text1"/>
          <w:kern w:val="2"/>
          <w:sz w:val="16"/>
          <w:szCs w:val="16"/>
        </w:rPr>
      </w:pPr>
    </w:p>
    <w:p w14:paraId="104CE9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завод Мотор выпустил двадцать моторов К-80 и около 120 комплектов запасных частей к ним. Сразу после революции начали осваивать выпуск новых, более сильных моторов РОН мощностью в 110 лошадиных сил (11228).</w:t>
      </w:r>
    </w:p>
    <w:p w14:paraId="71A5BF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AB4F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завод французского акционерного обще</w:t>
      </w:r>
      <w:r w:rsidRPr="002F2FDF">
        <w:rPr>
          <w:rFonts w:ascii="Times New Roman" w:hAnsi="Times New Roman" w:cs="Times New Roman"/>
          <w:color w:val="000000" w:themeColor="text1"/>
          <w:kern w:val="2"/>
          <w:sz w:val="16"/>
          <w:szCs w:val="16"/>
        </w:rPr>
        <w:softHyphen/>
        <w:t>ства «Гном» был расширен и его про</w:t>
      </w:r>
      <w:r w:rsidRPr="002F2FDF">
        <w:rPr>
          <w:rFonts w:ascii="Times New Roman" w:hAnsi="Times New Roman" w:cs="Times New Roman"/>
          <w:color w:val="000000" w:themeColor="text1"/>
          <w:kern w:val="2"/>
          <w:sz w:val="16"/>
          <w:szCs w:val="16"/>
        </w:rPr>
        <w:softHyphen/>
        <w:t>изводительность доведена до 40 двигателей двух модификаций в месяц (11872).</w:t>
      </w:r>
    </w:p>
    <w:p w14:paraId="0D032C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D252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число рабочих на заводе “Сальмсон”, пущеном французским обществом авиационных двигателей «Сальмсон» в июле 1915 г., достигало 500 человек, производительность составляла 50 моторов в месяц [Там же. Оп. 9. Д. 56. Л. 200; Там же. Ф. 369. Оп. 8. Д. 74. Л. 18об.] (11863).</w:t>
      </w:r>
    </w:p>
    <w:p w14:paraId="18A59B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494DF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группа любителей на Брянском паровозостроительном заводе построила по схеме Уфимцева мотор мощностью 40 л.с. Ни один из этих бирота-тивных двигателей не устанавливался на летательных аппаратах (11852).</w:t>
      </w:r>
    </w:p>
    <w:p w14:paraId="2B41BA2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8E47F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еще до Октябрьской революции в России вызвал интерес весьма удачный американский авиамотор Форд А12-400 «Либерти», за</w:t>
      </w:r>
      <w:r w:rsidRPr="002F2FDF">
        <w:rPr>
          <w:rFonts w:ascii="Times New Roman" w:hAnsi="Times New Roman" w:cs="Times New Roman"/>
          <w:color w:val="000000" w:themeColor="text1"/>
          <w:kern w:val="2"/>
          <w:sz w:val="16"/>
          <w:szCs w:val="16"/>
        </w:rPr>
        <w:softHyphen/>
        <w:t>пущенный в серийное производство. Но практически досконально ознакомить</w:t>
      </w:r>
      <w:r w:rsidRPr="002F2FDF">
        <w:rPr>
          <w:rFonts w:ascii="Times New Roman" w:hAnsi="Times New Roman" w:cs="Times New Roman"/>
          <w:color w:val="000000" w:themeColor="text1"/>
          <w:kern w:val="2"/>
          <w:sz w:val="16"/>
          <w:szCs w:val="16"/>
        </w:rPr>
        <w:softHyphen/>
        <w:t>ся с ним удалось лишь во время Гражданской войны. На юге войска красных захватили у белых несколько разведчиков Де Хевилленд ОН.9а с этими двигателями. Один из самолетов вывезли в Москву и в 1920 г испытали на Научно-опытном аэродроме (НОА). После окончания Гражданской войны для Красного воздушного флота в Англии начали приобретать планеры ОН.9а из числа оставшихся в из</w:t>
      </w:r>
      <w:r w:rsidRPr="002F2FDF">
        <w:rPr>
          <w:rFonts w:ascii="Times New Roman" w:hAnsi="Times New Roman" w:cs="Times New Roman"/>
          <w:color w:val="000000" w:themeColor="text1"/>
          <w:kern w:val="2"/>
          <w:sz w:val="16"/>
          <w:szCs w:val="16"/>
        </w:rPr>
        <w:softHyphen/>
        <w:t>лишке после завершения мировой войны. Но в России к ним не было подходящих двигателей — ставили купленные по случаю «Даймлеры», а затем английские моторы «Пума». Параллельно готовилось производство ВН.9а (под обозначением Р-1) в Москве, с использованием чертежей, по</w:t>
      </w:r>
      <w:r w:rsidRPr="002F2FDF">
        <w:rPr>
          <w:rFonts w:ascii="Times New Roman" w:hAnsi="Times New Roman" w:cs="Times New Roman"/>
          <w:color w:val="000000" w:themeColor="text1"/>
          <w:kern w:val="2"/>
          <w:sz w:val="16"/>
          <w:szCs w:val="16"/>
        </w:rPr>
        <w:softHyphen/>
        <w:t>лученных из Великобритании еще до революции.</w:t>
      </w:r>
    </w:p>
    <w:p w14:paraId="546B057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BCF44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выпуск тросов для проводок управления нала</w:t>
      </w:r>
      <w:r w:rsidRPr="002F2FDF">
        <w:rPr>
          <w:rFonts w:ascii="Times New Roman" w:hAnsi="Times New Roman" w:cs="Times New Roman"/>
          <w:color w:val="000000" w:themeColor="text1"/>
          <w:kern w:val="2"/>
          <w:sz w:val="16"/>
          <w:szCs w:val="16"/>
        </w:rPr>
        <w:softHyphen/>
        <w:t>дил Черноморский завод в Одессе. В том же году в Харькове начал действовать завод по выпуску воз</w:t>
      </w:r>
      <w:r w:rsidRPr="002F2FDF">
        <w:rPr>
          <w:rFonts w:ascii="Times New Roman" w:hAnsi="Times New Roman" w:cs="Times New Roman"/>
          <w:color w:val="000000" w:themeColor="text1"/>
          <w:kern w:val="2"/>
          <w:sz w:val="16"/>
          <w:szCs w:val="16"/>
        </w:rPr>
        <w:softHyphen/>
        <w:t>душных винтов и лыж к самолетам (553).</w:t>
      </w:r>
    </w:p>
    <w:p w14:paraId="73F3358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598D0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боевые действия первой мировой войны требо</w:t>
      </w:r>
      <w:r w:rsidRPr="002F2FDF">
        <w:rPr>
          <w:rFonts w:ascii="Times New Roman" w:hAnsi="Times New Roman" w:cs="Times New Roman"/>
          <w:color w:val="000000" w:themeColor="text1"/>
          <w:kern w:val="2"/>
          <w:sz w:val="16"/>
          <w:szCs w:val="16"/>
        </w:rPr>
        <w:softHyphen/>
        <w:t>вали большого количества военной техники. Выпуск аэропланов в воюющих странах увеличивался за каж</w:t>
      </w:r>
      <w:r w:rsidRPr="002F2FDF">
        <w:rPr>
          <w:rFonts w:ascii="Times New Roman" w:hAnsi="Times New Roman" w:cs="Times New Roman"/>
          <w:color w:val="000000" w:themeColor="text1"/>
          <w:kern w:val="2"/>
          <w:sz w:val="16"/>
          <w:szCs w:val="16"/>
        </w:rPr>
        <w:softHyphen/>
        <w:t>дый год войны более чем в два раза. Прирост выпус</w:t>
      </w:r>
      <w:r w:rsidRPr="002F2FDF">
        <w:rPr>
          <w:rFonts w:ascii="Times New Roman" w:hAnsi="Times New Roman" w:cs="Times New Roman"/>
          <w:color w:val="000000" w:themeColor="text1"/>
          <w:kern w:val="2"/>
          <w:sz w:val="16"/>
          <w:szCs w:val="16"/>
        </w:rPr>
        <w:softHyphen/>
        <w:t>каемых аппаратов в некоторых странах достиг 200-300 % в год. Подобное напряжение могли вынести лишь тех</w:t>
      </w:r>
      <w:r w:rsidRPr="002F2FDF">
        <w:rPr>
          <w:rFonts w:ascii="Times New Roman" w:hAnsi="Times New Roman" w:cs="Times New Roman"/>
          <w:color w:val="000000" w:themeColor="text1"/>
          <w:kern w:val="2"/>
          <w:sz w:val="16"/>
          <w:szCs w:val="16"/>
        </w:rPr>
        <w:softHyphen/>
        <w:t>нически развитые страны с мощной промышленнос</w:t>
      </w:r>
      <w:r w:rsidRPr="002F2FDF">
        <w:rPr>
          <w:rFonts w:ascii="Times New Roman" w:hAnsi="Times New Roman" w:cs="Times New Roman"/>
          <w:color w:val="000000" w:themeColor="text1"/>
          <w:kern w:val="2"/>
          <w:sz w:val="16"/>
          <w:szCs w:val="16"/>
        </w:rPr>
        <w:softHyphen/>
        <w:t>тью. Поэтому не удивительно, что Россия не выне</w:t>
      </w:r>
      <w:r w:rsidRPr="002F2FDF">
        <w:rPr>
          <w:rFonts w:ascii="Times New Roman" w:hAnsi="Times New Roman" w:cs="Times New Roman"/>
          <w:color w:val="000000" w:themeColor="text1"/>
          <w:kern w:val="2"/>
          <w:sz w:val="16"/>
          <w:szCs w:val="16"/>
        </w:rPr>
        <w:softHyphen/>
        <w:t>сла такого темпа. В 1916 году выпуск самолетов уве</w:t>
      </w:r>
      <w:r w:rsidRPr="002F2FDF">
        <w:rPr>
          <w:rFonts w:ascii="Times New Roman" w:hAnsi="Times New Roman" w:cs="Times New Roman"/>
          <w:color w:val="000000" w:themeColor="text1"/>
          <w:kern w:val="2"/>
          <w:sz w:val="16"/>
          <w:szCs w:val="16"/>
        </w:rPr>
        <w:softHyphen/>
        <w:t>личился лишь в полтора раза, а в 1917 году разница с предыдущим периодом составила лишь 50 самоле</w:t>
      </w:r>
      <w:r w:rsidRPr="002F2FDF">
        <w:rPr>
          <w:rFonts w:ascii="Times New Roman" w:hAnsi="Times New Roman" w:cs="Times New Roman"/>
          <w:color w:val="000000" w:themeColor="text1"/>
          <w:kern w:val="2"/>
          <w:sz w:val="16"/>
          <w:szCs w:val="16"/>
        </w:rPr>
        <w:softHyphen/>
        <w:t>тов. И если в этом году в России выпустили 1900 аэропланов, то в Германии — 19746. Выравнять положение стремились за счет поста</w:t>
      </w:r>
      <w:r w:rsidRPr="002F2FDF">
        <w:rPr>
          <w:rFonts w:ascii="Times New Roman" w:hAnsi="Times New Roman" w:cs="Times New Roman"/>
          <w:color w:val="000000" w:themeColor="text1"/>
          <w:kern w:val="2"/>
          <w:sz w:val="16"/>
          <w:szCs w:val="16"/>
        </w:rPr>
        <w:softHyphen/>
        <w:t>вок союзников. Однако они не могли удовлетворить потребности фронта. Решить проблему можно было, лишь наладив производство самолетов в России. Многие летчики и механики авиачастей, понимая сложившуюся ситуа</w:t>
      </w:r>
      <w:r w:rsidRPr="002F2FDF">
        <w:rPr>
          <w:rFonts w:ascii="Times New Roman" w:hAnsi="Times New Roman" w:cs="Times New Roman"/>
          <w:color w:val="000000" w:themeColor="text1"/>
          <w:kern w:val="2"/>
          <w:sz w:val="16"/>
          <w:szCs w:val="16"/>
        </w:rPr>
        <w:softHyphen/>
        <w:t>цию, ытались внести посильный вклад в дело снаб</w:t>
      </w:r>
      <w:r w:rsidRPr="002F2FDF">
        <w:rPr>
          <w:rFonts w:ascii="Times New Roman" w:hAnsi="Times New Roman" w:cs="Times New Roman"/>
          <w:color w:val="000000" w:themeColor="text1"/>
          <w:kern w:val="2"/>
          <w:sz w:val="16"/>
          <w:szCs w:val="16"/>
        </w:rPr>
        <w:softHyphen/>
        <w:t>жения воздушного флота самолетами.В соответствую</w:t>
      </w:r>
      <w:r w:rsidRPr="002F2FDF">
        <w:rPr>
          <w:rFonts w:ascii="Times New Roman" w:hAnsi="Times New Roman" w:cs="Times New Roman"/>
          <w:color w:val="000000" w:themeColor="text1"/>
          <w:kern w:val="2"/>
          <w:sz w:val="16"/>
          <w:szCs w:val="16"/>
        </w:rPr>
        <w:softHyphen/>
        <w:t>щие ведомства из действующей армии поступало мно</w:t>
      </w:r>
      <w:r w:rsidRPr="002F2FDF">
        <w:rPr>
          <w:rFonts w:ascii="Times New Roman" w:hAnsi="Times New Roman" w:cs="Times New Roman"/>
          <w:color w:val="000000" w:themeColor="text1"/>
          <w:kern w:val="2"/>
          <w:sz w:val="16"/>
          <w:szCs w:val="16"/>
        </w:rPr>
        <w:softHyphen/>
        <w:t>жество проектов усовершенствованных аэропланов, кроме того, военнослужащие и сами строили само</w:t>
      </w:r>
      <w:r w:rsidRPr="002F2FDF">
        <w:rPr>
          <w:rFonts w:ascii="Times New Roman" w:hAnsi="Times New Roman" w:cs="Times New Roman"/>
          <w:color w:val="000000" w:themeColor="text1"/>
          <w:kern w:val="2"/>
          <w:sz w:val="16"/>
          <w:szCs w:val="16"/>
        </w:rPr>
        <w:softHyphen/>
        <w:t>леты (553).</w:t>
      </w:r>
    </w:p>
    <w:p w14:paraId="0A8431A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7224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1916–1917 гг. выдающийся русский ученый Г. А. Ботезат, хорошо знакомый с конструкциями Сикорского, консультировал на Ижорском заводе по заказу военного ведомства разработку шестимоторных гигантов — биплана и триплана, а мобилизованный в армию инженер РБВЗ В. Ф. Савельев вместе с В. Залевским в 1916 г. приступили в Смоленском авиапарке к разработке гигантского четырехплана. Завершить эти интересные планы до октября 1917 г. не удалось. Г. А. Ботезат и В. Залевский в 1917 г. встретились в Херсоне, куда оба переехали для интересной в перспективной работы. Дело в том, что в 1916 г. царское правительство привяло решение создать под Херсоном, где достаточно благоприятный климат, крупнейший в мире государственный многопрофильный авиационный комплекс </w:t>
      </w:r>
      <w:r w:rsidRPr="002F2FDF">
        <w:rPr>
          <w:rFonts w:ascii="Times New Roman" w:hAnsi="Times New Roman" w:cs="Times New Roman"/>
          <w:color w:val="000000" w:themeColor="text1"/>
          <w:kern w:val="2"/>
          <w:sz w:val="16"/>
          <w:szCs w:val="16"/>
        </w:rPr>
        <w:lastRenderedPageBreak/>
        <w:t>(“Авиагородок”), куда должны были входить научно-исследовательская аэродинамическая лаборатория с аэродинамической трубой, позволявшей исследовать самолеты в натуральную величину при скоростях полета до 320 км/ч, опытный завод для постройки по проектам талантливых изобретателей и конструкторов самолетов, двигателей и авиационного оборудования, два серийных завода (самолетный и двигательный), высшее учебное заведение, авиашкола, а также аэродром Управления Военно-Воздушного Флота России, предназначенный для летных испытаний и доводки опытных самолетов — предшественник нынешнего ГНИКИ ВВС. Научными руководителями этого комплекса были приглашены профессоры Г. А. Ботезат и А. П. Фан-дер-Флит. Там В. Залевский и разрабатывал свой тяжелый мультиплан. Однако всем этим грандиозным планам, как и многим другим, свершиться было не дано. 1917 г. изменил весь ход событий. В истории мирового самолетостроения “Муромцы” являются одной из наиболее ярких страниц ее начального периода. Воздушные гиганты И. И. Сикорского стали гордостью России, символом ее нарождавшейся технической мощи. Они были самобытны, уникальны, и их создание является неоспоримым приоритетом России в области разработки тяжелых воздушных кораблей, их оборудования, вооружения, а также военного применения. Полученный огромный опыт постройки и эксплуатации многомоторных тяжелых самолетов стал весомым вкладом в развитие мировой авиации, и это, несомненно, является предметом нашей национальной гордости (11196).</w:t>
      </w:r>
    </w:p>
    <w:p w14:paraId="11F778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C8D9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Анатра получил заказ на 200 моторов «Испано-Сюиза» (200 л.с.). Намерение организовать выпуск двигателей «Испано-Сюиза» (200 л.с.) на одном из заводов А.А. Анатры на юге России — в Одессе или Симферополе осталось невыполненным и заказ остался только на бумаге (11852).</w:t>
      </w:r>
    </w:p>
    <w:p w14:paraId="7D5FA1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CCBFE7" w14:textId="77777777" w:rsidR="006970C8" w:rsidRPr="002F2FDF" w:rsidRDefault="006970C8" w:rsidP="0083075A">
      <w:pPr>
        <w:pStyle w:val="2"/>
        <w:spacing w:before="0" w:beforeAutospacing="0" w:after="0" w:afterAutospacing="0"/>
        <w:jc w:val="both"/>
        <w:rPr>
          <w:b w:val="0"/>
          <w:color w:val="000000" w:themeColor="text1"/>
          <w:kern w:val="2"/>
          <w:sz w:val="16"/>
          <w:szCs w:val="16"/>
        </w:rPr>
      </w:pPr>
      <w:r w:rsidRPr="002F2FDF">
        <w:rPr>
          <w:b w:val="0"/>
          <w:color w:val="000000" w:themeColor="text1"/>
          <w:kern w:val="2"/>
          <w:sz w:val="16"/>
          <w:szCs w:val="16"/>
        </w:rPr>
        <w:t>В 1917 г. в АРИБ испытали двигатель оригинальной конструкции «АМБС», созданный А.А.Мнкулиным и Б.С.Стечкиным. Будущие академики попытались приспособить его к «Царь-танку» Н.Н.Лебеденко, для него Микулин разработал оригинальную трансмиссию, часть расчетов выполнил сам Н.Е.Жуковский. Но в итоге для силовой установки «бронеколесницы» с гигантскими 9-м колесами взяли два 200-сильных «Майбаха» со сбитого «Цеппелина». Неудачные испытания «чудо-оружия» в августе 1917 г. выявили общую несостоятельность конструкции (15464).</w:t>
      </w:r>
    </w:p>
    <w:p w14:paraId="41EADEA7" w14:textId="77777777" w:rsidR="006970C8" w:rsidRPr="002F2FDF" w:rsidRDefault="006970C8" w:rsidP="0083075A">
      <w:pPr>
        <w:pStyle w:val="2"/>
        <w:spacing w:before="0" w:beforeAutospacing="0" w:after="0" w:afterAutospacing="0"/>
        <w:jc w:val="both"/>
        <w:rPr>
          <w:b w:val="0"/>
          <w:color w:val="000000" w:themeColor="text1"/>
          <w:kern w:val="2"/>
          <w:sz w:val="16"/>
          <w:szCs w:val="16"/>
        </w:rPr>
      </w:pPr>
    </w:p>
    <w:p w14:paraId="6A6C8F6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была завершена постройка натурной аэродинамичес</w:t>
      </w:r>
      <w:r w:rsidRPr="002F2FDF">
        <w:rPr>
          <w:rFonts w:ascii="Times New Roman" w:hAnsi="Times New Roman" w:cs="Times New Roman"/>
          <w:color w:val="000000" w:themeColor="text1"/>
          <w:kern w:val="2"/>
          <w:sz w:val="16"/>
          <w:szCs w:val="16"/>
        </w:rPr>
        <w:softHyphen/>
        <w:t>кой трубы на Главном аэродроме, которая, к сожалению, сгорела в 1918 г. Ботезат разработал проект этой трубы для продувок самолётов в натуральную величину. Также большое внимание уделялось проек</w:t>
      </w:r>
      <w:r w:rsidRPr="002F2FDF">
        <w:rPr>
          <w:rFonts w:ascii="Times New Roman" w:hAnsi="Times New Roman" w:cs="Times New Roman"/>
          <w:color w:val="000000" w:themeColor="text1"/>
          <w:kern w:val="2"/>
          <w:sz w:val="16"/>
          <w:szCs w:val="16"/>
        </w:rPr>
        <w:softHyphen/>
        <w:t>тированию и других аэродинамических труб, в том числе и околозвуковой. ГА. Следует отметить, что за рубежом строительство натурных аэродинамических труб началось только с середины двадцатых годов. При морской авиационной испытательной станции также в 1916 г. была построена аэродинамическая труба диаметром 0,5 м и готовились к строительству трубы диаметром 2,5 м (11425).</w:t>
      </w:r>
    </w:p>
    <w:p w14:paraId="61C70B8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115BE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приступили к строительству аэродинамической трубы в Пе</w:t>
      </w:r>
      <w:r w:rsidRPr="002F2FDF">
        <w:rPr>
          <w:rFonts w:ascii="Times New Roman" w:hAnsi="Times New Roman" w:cs="Times New Roman"/>
          <w:color w:val="000000" w:themeColor="text1"/>
          <w:kern w:val="2"/>
          <w:sz w:val="16"/>
          <w:szCs w:val="16"/>
        </w:rPr>
        <w:softHyphen/>
        <w:t>тербургском технологическом институте, где предполагалось готовить авиационных инженеров эксплуатационщиков. Аэродинамические трубы были построены также в Офицерской воз</w:t>
      </w:r>
      <w:r w:rsidRPr="002F2FDF">
        <w:rPr>
          <w:rFonts w:ascii="Times New Roman" w:hAnsi="Times New Roman" w:cs="Times New Roman"/>
          <w:color w:val="000000" w:themeColor="text1"/>
          <w:kern w:val="2"/>
          <w:sz w:val="16"/>
          <w:szCs w:val="16"/>
        </w:rPr>
        <w:softHyphen/>
        <w:t>духоплавательной школе, которую возглавлял А.М. Кованько, и при Цент</w:t>
      </w:r>
      <w:r w:rsidRPr="002F2FDF">
        <w:rPr>
          <w:rFonts w:ascii="Times New Roman" w:hAnsi="Times New Roman" w:cs="Times New Roman"/>
          <w:color w:val="000000" w:themeColor="text1"/>
          <w:kern w:val="2"/>
          <w:sz w:val="16"/>
          <w:szCs w:val="16"/>
        </w:rPr>
        <w:softHyphen/>
        <w:t>ральной научно-технической лаборатории Военного министерства.</w:t>
      </w:r>
    </w:p>
    <w:p w14:paraId="3100B44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Следует отметить основные работы, выполненные в аэродинамичес</w:t>
      </w:r>
      <w:r w:rsidRPr="002F2FDF">
        <w:rPr>
          <w:rFonts w:ascii="Times New Roman" w:hAnsi="Times New Roman" w:cs="Times New Roman"/>
          <w:color w:val="000000" w:themeColor="text1"/>
          <w:kern w:val="2"/>
          <w:sz w:val="16"/>
          <w:szCs w:val="16"/>
        </w:rPr>
        <w:softHyphen/>
        <w:t>кой лаборатории Петербурга.</w:t>
      </w:r>
    </w:p>
    <w:p w14:paraId="031089B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1915 г. были также проведены исследования крыльев, фюзеляжа и винтов самолёта И.И. Сикорского “Илья Муромец”, что позволило усовер</w:t>
      </w:r>
      <w:r w:rsidRPr="002F2FDF">
        <w:rPr>
          <w:rFonts w:ascii="Times New Roman" w:hAnsi="Times New Roman" w:cs="Times New Roman"/>
          <w:color w:val="000000" w:themeColor="text1"/>
          <w:kern w:val="2"/>
          <w:sz w:val="16"/>
          <w:szCs w:val="16"/>
        </w:rPr>
        <w:softHyphen/>
        <w:t>шенствовать этот самолёт, который в 1916 г. выгодно отличался по аэро</w:t>
      </w:r>
      <w:r w:rsidRPr="002F2FDF">
        <w:rPr>
          <w:rFonts w:ascii="Times New Roman" w:hAnsi="Times New Roman" w:cs="Times New Roman"/>
          <w:color w:val="000000" w:themeColor="text1"/>
          <w:kern w:val="2"/>
          <w:sz w:val="16"/>
          <w:szCs w:val="16"/>
        </w:rPr>
        <w:softHyphen/>
        <w:t>динамическим качествам от первенца, построенного в 1913 г.</w:t>
      </w:r>
    </w:p>
    <w:p w14:paraId="2C810D3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Результаты экспериментов В. А. Слесарева в большой и малой аэродинамических трубах способствовали усовершенствованию конст</w:t>
      </w:r>
      <w:r w:rsidRPr="002F2FDF">
        <w:rPr>
          <w:rFonts w:ascii="Times New Roman" w:hAnsi="Times New Roman" w:cs="Times New Roman"/>
          <w:color w:val="000000" w:themeColor="text1"/>
          <w:kern w:val="2"/>
          <w:sz w:val="16"/>
          <w:szCs w:val="16"/>
        </w:rPr>
        <w:softHyphen/>
        <w:t>рукции основных боевых самолётов России “Ньюпор” и “Фарман”. В этих же трубах продувались элементы самолёта И. И.Сикорского “Илья Муромец”. Опираясь на опыт постройки и эксплуатации этого самолё</w:t>
      </w:r>
      <w:r w:rsidRPr="002F2FDF">
        <w:rPr>
          <w:rFonts w:ascii="Times New Roman" w:hAnsi="Times New Roman" w:cs="Times New Roman"/>
          <w:color w:val="000000" w:themeColor="text1"/>
          <w:kern w:val="2"/>
          <w:sz w:val="16"/>
          <w:szCs w:val="16"/>
        </w:rPr>
        <w:softHyphen/>
        <w:t>та-гиганта, В.А. Слесарев построил свой тяжелый самолет. Все его эле</w:t>
      </w:r>
      <w:r w:rsidRPr="002F2FDF">
        <w:rPr>
          <w:rFonts w:ascii="Times New Roman" w:hAnsi="Times New Roman" w:cs="Times New Roman"/>
          <w:color w:val="000000" w:themeColor="text1"/>
          <w:kern w:val="2"/>
          <w:sz w:val="16"/>
          <w:szCs w:val="16"/>
        </w:rPr>
        <w:softHyphen/>
        <w:t>менты, даже самые мелкие - стойки, подкосы, расчалки - имели обте</w:t>
      </w:r>
      <w:r w:rsidRPr="002F2FDF">
        <w:rPr>
          <w:rFonts w:ascii="Times New Roman" w:hAnsi="Times New Roman" w:cs="Times New Roman"/>
          <w:color w:val="000000" w:themeColor="text1"/>
          <w:kern w:val="2"/>
          <w:sz w:val="16"/>
          <w:szCs w:val="16"/>
        </w:rPr>
        <w:softHyphen/>
        <w:t>каемую форму. Максимальное аэродинамическое качество его, по оцен</w:t>
      </w:r>
      <w:r w:rsidRPr="002F2FDF">
        <w:rPr>
          <w:rFonts w:ascii="Times New Roman" w:hAnsi="Times New Roman" w:cs="Times New Roman"/>
          <w:color w:val="000000" w:themeColor="text1"/>
          <w:kern w:val="2"/>
          <w:sz w:val="16"/>
          <w:szCs w:val="16"/>
        </w:rPr>
        <w:softHyphen/>
        <w:t>ке В. А. Слесарева, получалось более 9 (тогда как у “Ильи Муромца” оно составляло 5,6).</w:t>
      </w:r>
    </w:p>
    <w:p w14:paraId="6DE51D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первой мировой войны при Петербургском политехничес</w:t>
      </w:r>
      <w:r w:rsidRPr="002F2FDF">
        <w:rPr>
          <w:rFonts w:ascii="Times New Roman" w:hAnsi="Times New Roman" w:cs="Times New Roman"/>
          <w:color w:val="000000" w:themeColor="text1"/>
          <w:kern w:val="2"/>
          <w:sz w:val="16"/>
          <w:szCs w:val="16"/>
        </w:rPr>
        <w:softHyphen/>
        <w:t>ком институте было организовано расчетно-испытательное бюро (РИБ) для обслуживания нужд Управления морской авиации и воздухоплавания.</w:t>
      </w:r>
    </w:p>
    <w:p w14:paraId="09A2CCE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Таким образом, деятельность Аэродинамической лаборатории Политех</w:t>
      </w:r>
      <w:r w:rsidRPr="002F2FDF">
        <w:rPr>
          <w:rFonts w:ascii="Times New Roman" w:hAnsi="Times New Roman" w:cs="Times New Roman"/>
          <w:color w:val="000000" w:themeColor="text1"/>
          <w:kern w:val="2"/>
          <w:sz w:val="16"/>
          <w:szCs w:val="16"/>
        </w:rPr>
        <w:softHyphen/>
        <w:t>нического института внесла большой вклад в практику отечественного са</w:t>
      </w:r>
      <w:r w:rsidRPr="002F2FDF">
        <w:rPr>
          <w:rFonts w:ascii="Times New Roman" w:hAnsi="Times New Roman" w:cs="Times New Roman"/>
          <w:color w:val="000000" w:themeColor="text1"/>
          <w:kern w:val="2"/>
          <w:sz w:val="16"/>
          <w:szCs w:val="16"/>
        </w:rPr>
        <w:softHyphen/>
        <w:t>молётостроения. Этим она выгодно отличалась от других, более мелких аэродинамических лабораторий Петербурга.</w:t>
      </w:r>
    </w:p>
    <w:p w14:paraId="459C569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 постройке гидросамолётов Д.П. Григоровича проводились ис</w:t>
      </w:r>
      <w:r w:rsidRPr="002F2FDF">
        <w:rPr>
          <w:rFonts w:ascii="Times New Roman" w:hAnsi="Times New Roman" w:cs="Times New Roman"/>
          <w:color w:val="000000" w:themeColor="text1"/>
          <w:kern w:val="2"/>
          <w:sz w:val="16"/>
          <w:szCs w:val="16"/>
        </w:rPr>
        <w:softHyphen/>
        <w:t>следования моделей крыльев и фюзеляжа в аэродинамической трубе. Модели гидролодки протаскивали в гидроканале военно-морского фло</w:t>
      </w:r>
      <w:r w:rsidRPr="002F2FDF">
        <w:rPr>
          <w:rFonts w:ascii="Times New Roman" w:hAnsi="Times New Roman" w:cs="Times New Roman"/>
          <w:color w:val="000000" w:themeColor="text1"/>
          <w:kern w:val="2"/>
          <w:sz w:val="16"/>
          <w:szCs w:val="16"/>
        </w:rPr>
        <w:softHyphen/>
        <w:t>та. На основе этих экспериментов был создан гидросамолёт М-5, пока</w:t>
      </w:r>
      <w:r w:rsidRPr="002F2FDF">
        <w:rPr>
          <w:rFonts w:ascii="Times New Roman" w:hAnsi="Times New Roman" w:cs="Times New Roman"/>
          <w:color w:val="000000" w:themeColor="text1"/>
          <w:kern w:val="2"/>
          <w:sz w:val="16"/>
          <w:szCs w:val="16"/>
        </w:rPr>
        <w:softHyphen/>
        <w:t>завший хорошие летные и мореходные качества.</w:t>
      </w:r>
    </w:p>
    <w:p w14:paraId="19B1FAE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Интересные исследования проводились по совершенствованию авиабомб, что позволило существенно повысить точность бомбометания.</w:t>
      </w:r>
    </w:p>
    <w:p w14:paraId="5BF33DE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лаборатории также проводились продувки по выбору оптимальных форм дирижабля “Гигант” объемом 20 тыс. м</w:t>
      </w:r>
      <w:r w:rsidRPr="002F2FDF">
        <w:rPr>
          <w:rFonts w:ascii="Times New Roman" w:hAnsi="Times New Roman" w:cs="Times New Roman"/>
          <w:color w:val="000000" w:themeColor="text1"/>
          <w:kern w:val="2"/>
          <w:sz w:val="16"/>
          <w:szCs w:val="16"/>
          <w:vertAlign w:val="superscript"/>
        </w:rPr>
        <w:t>3</w:t>
      </w:r>
      <w:r w:rsidRPr="002F2FDF">
        <w:rPr>
          <w:rFonts w:ascii="Times New Roman" w:hAnsi="Times New Roman" w:cs="Times New Roman"/>
          <w:color w:val="000000" w:themeColor="text1"/>
          <w:kern w:val="2"/>
          <w:sz w:val="16"/>
          <w:szCs w:val="16"/>
        </w:rPr>
        <w:t>, строившегося на Ижорс-ком заводе.</w:t>
      </w:r>
    </w:p>
    <w:p w14:paraId="1D9B3D9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Ценные опыты были выполнены в вертикальной аэродинамической трубе по изучению парашюта Г.Е. Котельникова (11425).</w:t>
      </w:r>
    </w:p>
    <w:p w14:paraId="6796557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59BC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Ботезату удалось разработать основные методы создания вертолёта. Сотрудники авиационного отделения ДЕКА под руководством Ботезата приступили к проектированию и деталей аппарата. Завершить сборку планировалось к 1918 г. На этот период на заводе уже успешно функционировало производство авиамоторов, поэтому все силы и сред</w:t>
      </w:r>
      <w:r w:rsidRPr="002F2FDF">
        <w:rPr>
          <w:rFonts w:ascii="Times New Roman" w:hAnsi="Times New Roman" w:cs="Times New Roman"/>
          <w:color w:val="000000" w:themeColor="text1"/>
          <w:kern w:val="2"/>
          <w:sz w:val="16"/>
          <w:szCs w:val="16"/>
        </w:rPr>
        <w:softHyphen/>
        <w:t>ства можно было направить на развитие самолёто и вертолётостроения (11425).</w:t>
      </w:r>
    </w:p>
    <w:p w14:paraId="469BA7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806A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Москве  был образован Завод аналитических весов «Метрон» при ВОТИ для выпуска весов и лабораторных приборов (введен в эксплуатацию в 1917(8) г.) (ГС завод № 214 НКОП, НКАП, МАП, Завод «Метрон» НКТП, Свердловский приборостроительный завод, Уральский приборостроительный завод, ОАО «Уральский приборостроительный завод» /г. Москва Б. Боженинский пер., 17 ст. Воробьевы Горы;  г. Свердловск/ /620151  г. Екатеринбург ул. Горького, 17 тел. 51-90-94/).</w:t>
      </w:r>
    </w:p>
    <w:p w14:paraId="457E43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1929 г. завод реконструирован. Располагался на Б. Боженинском пер. (возле ул. Пироговской). Серийный выпуск приборов. В 1934 г. передан в Авиапром. Полностью введен в эксплуатацию в 1936 г. В 12.1936 г. завод «Метрон» передан из ВОТИ НКТП в ведение НКОП и по пр. № 06сс от 30.12.1936 г. переименован в завод № 214. В соответствии с пост. СНК № 2139-425сс от 21.12.1936 г. и</w:t>
      </w:r>
      <w:r w:rsidRPr="002F2FDF">
        <w:rPr>
          <w:rFonts w:ascii="Times New Roman" w:hAnsi="Times New Roman" w:cs="Times New Roman"/>
          <w:iCs/>
          <w:color w:val="000000" w:themeColor="text1"/>
          <w:kern w:val="2"/>
          <w:sz w:val="16"/>
          <w:szCs w:val="16"/>
        </w:rPr>
        <w:t xml:space="preserve"> пр. № 59</w:t>
      </w:r>
      <w:r w:rsidRPr="002F2FDF">
        <w:rPr>
          <w:rFonts w:ascii="Times New Roman" w:hAnsi="Times New Roman" w:cs="Times New Roman"/>
          <w:color w:val="000000" w:themeColor="text1"/>
          <w:kern w:val="2"/>
          <w:sz w:val="16"/>
          <w:szCs w:val="16"/>
        </w:rPr>
        <w:t xml:space="preserve"> от 14.02.1937 г. завод № 214 передан в ведение ЮГУ НКОП, приказом № 90 от 13.03.1937 г. утвержден Устав завода. С 01.1939 г. передан из ЮГУ НКОП в 8ГУ НКАП, работы по точным аэроприборам.</w:t>
      </w:r>
    </w:p>
    <w:p w14:paraId="17FB5E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Серийное производство пилотажных и навигационных приборов. Приказом № 0134 от 14.06.1937 г. заводу поручено организовать дублирующее производство автопилота АВП-12 (завода № 213), изготовить в 4-м квартале 1937 г. первую серию в 15 шт. Для специализации завода по гироскопическим приборам приказом № 161с от 14.05.1938 г. поручено в дополнение к прибору № 80 во 2-3 квартале 1938 г. подготовить производство приборов № 10 и 22.</w:t>
      </w:r>
    </w:p>
    <w:p w14:paraId="216403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конце 1941 г. завод № 214 5ГУ НКАП эвакуирован в  г. Свердловск. Эвакуация проходила в два этапа. Сначала в соответствии с пост. ГКО № 213сс от 20.07.1941 г. и по приказам № 738сс от 24.07.1941 г. и № 894сс от 22.08.1941 г. для организации дублера завода № 214 на площади клуба им. Профинтерна была переведена часть оборудования завода № 214, а также оборудование и личный состав завода № 382 5ГУ НКАП из Владимира. Далее по приказу № 1050сс от 8.10.1941 г. туда же эвакуирована остальная часть завода № 214. Сюда же эвакуирован завод № 155 5ГУ НКАП. По приказу № 1120сс от 14.11.1941 г. три завода объединены в единый завод № 214 НКАП. Выпуск пилотажных приборов (АПГ-1, АК-1), электроклапанов ЭК-1, а так же минометных прицелов «МП».</w:t>
      </w:r>
    </w:p>
    <w:p w14:paraId="14E255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площади эвакуированного завода в Москве по приказу № 63с от 25.01.1942 г. началось формирование Ремонтных мастерских по приборам при 5ГУ НКАП. По приказу № 239с от 30.03.1942 г. мастерские преобразованы в прибороремонтный завод при Главремуправлении. В соответствии с пост. ГКО № 1367с от 2.03.1942 г. и приказом № 177с от 8.03.1942 г. на площадку эвакуированного завода № 214 переведены мастерские по ремонту гироприборов, располагавшиеся на месте Института авиационного приборостроения (НИИ-12). Далее в соответствии с решением ГКО № 1543сс от 5.04.1942 г. и приказом № 269сс от 10.04.1942 г. на площадке эвакуированного завода № 214 образован Завод № 133 НКАП.</w:t>
      </w:r>
    </w:p>
    <w:p w14:paraId="49EEC2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7.10.1942 г. вышло постановление ГКО № 2381 о мероприятиях по заводу № 214.</w:t>
      </w:r>
    </w:p>
    <w:p w14:paraId="67A612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распоряжением СНК № 21822-рс от 24.11.1944 г. и по приказу НКАП № 21с от 24.01.1945 г. в состав завода № 214 5ГУ с 1.01.1945 г. влит завод № 474 НКАП.</w:t>
      </w:r>
    </w:p>
    <w:p w14:paraId="69176A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пост. СМ СССР № 713-342 от 26.06.1957 г. передан в ведение СНХ РСФСР.</w:t>
      </w:r>
    </w:p>
    <w:p w14:paraId="425AF2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1991 г. вошел в ЗАО «Авиаприбор». По решению правительства № 22-р от 9.01.2004 г. и Указу Президента РФ № 1009 от 4.08.2004 г. вошло в число стратегических оборонных предприятий.</w:t>
      </w:r>
    </w:p>
    <w:p w14:paraId="362356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(2002 г.): авиационные гироскопические приборы (авиагризонты, гировертикали, датчики первичной информации); системы дистанционного и комплексного управления полетом; аппараты искусственной вентиляции легких; системы и счетчики учета электроэнергии.</w:t>
      </w:r>
    </w:p>
    <w:p w14:paraId="04B8A8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(-15.07.1937 г.)- В.Д. Машкин, (15.07-23.11.1937 г.)- С.П. Соловьев, (23.11.1937-42 г.)- М.С. Гоцеридзе, (-07.1942-01.1943 г.-)- Лебедев, (08.1944 г.)- И.С. Алешин, (01.1945 г.)- В.И. Воробьев. Гендиректор (2002 г.)- В.У. Годлевский.</w:t>
      </w:r>
    </w:p>
    <w:p w14:paraId="3B1FB3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Помощник директора по найму и увольнению (-15.12.1938 г.)- Е.Б. Коган, (15.12.1938 г.-)- Т.Н. Артемов.</w:t>
      </w:r>
    </w:p>
    <w:p w14:paraId="4A41AC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Коммерческий директор (2002 г.)- С.С. Арефьев. Технический директор (2002 г.)- </w:t>
      </w:r>
      <w:r w:rsidRPr="002F2FDF">
        <w:rPr>
          <w:rFonts w:ascii="Times New Roman" w:hAnsi="Times New Roman" w:cs="Times New Roman"/>
          <w:color w:val="000000" w:themeColor="text1"/>
          <w:kern w:val="2"/>
          <w:sz w:val="16"/>
          <w:szCs w:val="16"/>
          <w:lang w:val="en-US"/>
        </w:rPr>
        <w:t>B</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JI</w:t>
      </w:r>
      <w:r w:rsidRPr="002F2FDF">
        <w:rPr>
          <w:rFonts w:ascii="Times New Roman" w:hAnsi="Times New Roman" w:cs="Times New Roman"/>
          <w:color w:val="000000" w:themeColor="text1"/>
          <w:kern w:val="2"/>
          <w:sz w:val="16"/>
          <w:szCs w:val="16"/>
        </w:rPr>
        <w:t>. Степанов.</w:t>
      </w:r>
      <w:r w:rsidRPr="002F2FDF">
        <w:rPr>
          <w:rFonts w:ascii="Times New Roman" w:hAnsi="Times New Roman" w:cs="Times New Roman"/>
          <w:color w:val="000000" w:themeColor="text1"/>
          <w:kern w:val="2"/>
          <w:sz w:val="16"/>
          <w:szCs w:val="16"/>
          <w:vertAlign w:val="superscript"/>
        </w:rPr>
        <w:t>69</w:t>
      </w:r>
    </w:p>
    <w:p w14:paraId="547AA3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инженер (8.03.1938 г.-)- В.И. Восторин.</w:t>
      </w:r>
      <w:r w:rsidRPr="002F2FDF">
        <w:rPr>
          <w:rFonts w:ascii="Times New Roman" w:hAnsi="Times New Roman" w:cs="Times New Roman"/>
          <w:color w:val="000000" w:themeColor="text1"/>
          <w:kern w:val="2"/>
          <w:sz w:val="16"/>
          <w:szCs w:val="16"/>
          <w:vertAlign w:val="superscript"/>
        </w:rPr>
        <w:t>139</w:t>
      </w:r>
    </w:p>
    <w:p w14:paraId="7FCCA3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Производство:</w:t>
      </w:r>
      <w:r w:rsidRPr="002F2FDF">
        <w:rPr>
          <w:rFonts w:ascii="Times New Roman" w:hAnsi="Times New Roman" w:cs="Times New Roman"/>
          <w:color w:val="000000" w:themeColor="text1"/>
          <w:kern w:val="2"/>
          <w:sz w:val="16"/>
          <w:szCs w:val="16"/>
        </w:rPr>
        <w:t xml:space="preserve"> авиагоризонты АГД-1, АГР-7А, АГР-74, гирокомпас АГК-47Б; автопилоты АВП-3 (1934-), АВП-12 (193 7-), АПГ-1; автомат курса АК-1; индикаторы курса, трубки Вентури, стабилизаторы танковых прицелов (1940-), бензиномеры, редукционные клапаны и др.</w:t>
      </w:r>
    </w:p>
    <w:p w14:paraId="6896FD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ОКБ-214 НКАП, КБ-214 при заводе № 214, ОКБ-1 НКАП при заводе № 122</w:t>
      </w:r>
    </w:p>
    <w:p w14:paraId="038681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г. Москва;  г. Свердловск;  г. Москва/</w:t>
      </w:r>
    </w:p>
    <w:p w14:paraId="5A20A3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11.1932 г. при заводе «Метрон» образовано КБ-214 для отработки пневматического автопилота АВП-1 (разработанного в Остехбюро инженером Р. Г. Ниренбергом) для самолета ТБ-1. Руководителем КБ назначен В.М. Соркин. Далее разработан АВП-10 для ТБ-ЗРН.</w:t>
      </w:r>
    </w:p>
    <w:p w14:paraId="312452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11.1937 г. на базе небольшого КБ-214 на заводе № 214 образовалось ОКБ-214 по гироскопическим приборам, руководителем которого с 02.1938 г. назначен В.М. Соркин.</w:t>
      </w:r>
    </w:p>
    <w:p w14:paraId="596BA6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Работы по автопилотам: А-3 (шифр «80»), АПГ-1 для ДБ-3 и ТБ-7 (пнв в 1939-40 г.),</w:t>
      </w:r>
    </w:p>
    <w:p w14:paraId="11E7A1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1941 г. ОКБ-214 вместе с заводом № 214 эвакуировалось в Свердловск. Продолжены работы по автопилотам, автомату курса АК-1 для Пе-2 и Ту-2 (пнв в 1942 г.). Создан опытный автопилот АПГ-2, счетчик остатка патронов СОП, указатель поворота УП-2, пневматический гирокомпас ДГМПК.</w:t>
      </w:r>
    </w:p>
    <w:p w14:paraId="7E3D07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приказу НКАП № 643с от 28(25).10(12).1943 г. ОКБ-214 НКАП реэвакуировано в Москву на новое место- на площадку завода № 122 НКАП. По тому же приказу ОКБ-214 объединено с ОКБ-122 НКАП с образованием единого ОКБ-1 НКАП в системе 9ГУ (гл. конструктор- В.М. Соркин).</w:t>
      </w:r>
    </w:p>
    <w:p w14:paraId="0665D3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течение 1943-45 г. создано 10 образцов пневматических автопилотов, в том числе АП-4 для снаряда «10Х» ; начаты работы по созданию автопилота АП-5 для Ту-4 (копия американского С-3).</w:t>
      </w:r>
    </w:p>
    <w:p w14:paraId="0B6A36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11.1945 г. ОКБ-1 в полном составе перебазировано на территорию опытного завода № 118 НКАП, а в 02.1946 г. на базе завода № 118 и ОКБ-1 был образован ГС опытный завод № 118 НКАП.</w:t>
      </w:r>
    </w:p>
    <w:p w14:paraId="04AD60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Руководитель/ гл. конструктор (1932-43 г.-)- В.М. Соркин (11982).</w:t>
      </w:r>
    </w:p>
    <w:p w14:paraId="0A6277C9" w14:textId="77777777" w:rsidR="0096612C" w:rsidRPr="002F2FDF" w:rsidRDefault="0096612C" w:rsidP="0083075A">
      <w:pPr>
        <w:pStyle w:val="2"/>
        <w:spacing w:before="0" w:beforeAutospacing="0" w:after="0" w:afterAutospacing="0"/>
        <w:jc w:val="both"/>
        <w:rPr>
          <w:b w:val="0"/>
          <w:color w:val="000000" w:themeColor="text1"/>
          <w:kern w:val="2"/>
          <w:sz w:val="16"/>
          <w:szCs w:val="16"/>
        </w:rPr>
      </w:pPr>
    </w:p>
    <w:p w14:paraId="7E9A1090" w14:textId="77777777" w:rsidR="0096612C" w:rsidRPr="002F2FDF" w:rsidRDefault="0096612C" w:rsidP="0083075A">
      <w:pPr>
        <w:pStyle w:val="ae"/>
        <w:spacing w:before="0" w:after="0"/>
        <w:jc w:val="both"/>
        <w:rPr>
          <w:color w:val="000000" w:themeColor="text1"/>
          <w:kern w:val="2"/>
          <w:sz w:val="16"/>
          <w:szCs w:val="16"/>
        </w:rPr>
      </w:pPr>
      <w:r w:rsidRPr="002F2FDF">
        <w:rPr>
          <w:color w:val="000000" w:themeColor="text1"/>
          <w:kern w:val="2"/>
          <w:sz w:val="16"/>
          <w:szCs w:val="16"/>
        </w:rPr>
        <w:t>В 1917 году в Москве создается «Электротехнический завод Военного ведомства» но внести какой-либо заметный вклад общую картину он не успел (15736).</w:t>
      </w:r>
    </w:p>
    <w:p w14:paraId="777A6D81" w14:textId="77777777" w:rsidR="0096612C" w:rsidRPr="002F2FDF" w:rsidRDefault="0096612C" w:rsidP="0083075A">
      <w:pPr>
        <w:pStyle w:val="ae"/>
        <w:spacing w:before="0" w:after="0"/>
        <w:jc w:val="both"/>
        <w:rPr>
          <w:color w:val="000000" w:themeColor="text1"/>
          <w:kern w:val="2"/>
          <w:sz w:val="16"/>
          <w:szCs w:val="16"/>
        </w:rPr>
      </w:pPr>
    </w:p>
    <w:p w14:paraId="2EC7DE2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было заказано 400000 “пуль для метания с аэропланов” (11425).</w:t>
      </w:r>
    </w:p>
    <w:p w14:paraId="44A36F5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F33445"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292928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10778E" w14:textId="77777777" w:rsidR="00B36061" w:rsidRPr="002F2FDF" w:rsidRDefault="00B36061"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По 1917 с 1914 г. по лицензии фирмы Викерс было изготовлено 27877 штук пулеметов Максим. От союзников поступило 42398 пулеметов различных систем. Потребность фронта была в несколько раз больше. По предложению датского оружейного синдиката проектировалось строительство завода по производству пулеметов вблизи г.Коврова, но синдикат не смог выполнить свои обязательства из- за отсутствия станков и инструментов (18411).</w:t>
      </w:r>
    </w:p>
    <w:p w14:paraId="31C745F3" w14:textId="77777777" w:rsidR="00B36061" w:rsidRPr="002F2FDF" w:rsidRDefault="00B36061" w:rsidP="0083075A">
      <w:pPr>
        <w:spacing w:after="0" w:line="240" w:lineRule="auto"/>
        <w:jc w:val="both"/>
        <w:rPr>
          <w:rFonts w:ascii="Times New Roman" w:eastAsia="Times New Roman" w:hAnsi="Times New Roman" w:cs="Times New Roman"/>
          <w:color w:val="000000" w:themeColor="text1"/>
          <w:sz w:val="16"/>
          <w:szCs w:val="16"/>
          <w:lang w:eastAsia="ru-RU"/>
        </w:rPr>
      </w:pPr>
    </w:p>
    <w:p w14:paraId="44D33A11" w14:textId="77777777" w:rsidR="00B36061" w:rsidRPr="002F2FDF" w:rsidRDefault="00B36061" w:rsidP="0083075A">
      <w:pPr>
        <w:spacing w:after="0" w:line="240" w:lineRule="auto"/>
        <w:jc w:val="both"/>
        <w:rPr>
          <w:rFonts w:ascii="Times New Roman" w:eastAsia="Times New Roman" w:hAnsi="Times New Roman" w:cs="Times New Roman"/>
          <w:color w:val="000000" w:themeColor="text1"/>
          <w:sz w:val="16"/>
          <w:szCs w:val="16"/>
          <w:lang w:eastAsia="ru-RU"/>
        </w:rPr>
      </w:pPr>
      <w:r w:rsidRPr="002F2FDF">
        <w:rPr>
          <w:rFonts w:ascii="Times New Roman" w:eastAsia="Times New Roman" w:hAnsi="Times New Roman" w:cs="Times New Roman"/>
          <w:color w:val="000000" w:themeColor="text1"/>
          <w:sz w:val="16"/>
          <w:szCs w:val="16"/>
          <w:lang w:eastAsia="ru-RU"/>
        </w:rPr>
        <w:t>По 1917 с 1914 гг. на Путиловском, Обуховском, Пермском и Петроградском орудийных заводах изготовили около 10 тыс. полевых орудий. Кроме них к выполнению заказа военного ведомства были привлечены Сормовский, Петроградский металлический, Коломенский и Лесснеровский заводы, которые в 1916-1917 годы изготовили 2033 полевых орудия. Минимальная годовая потребность определялась Ставкой в 1916 г. в 14400 орудий, в 1917 г. — в 15108 орудий. Недостача восполнялась поставками из-за границы. Мелкокалиберная траншейная и зенитная артиллерия производилась в ограниченном количестве; орудий калибра от 107 мм. до 152 мм. за годы войны было произведено 1011 шт. — в 2 раза меньше, чем произвела Германия в одном только 1917 году. Артиллерийские системы двенадцати, — десяти и шестидюймовых пушек для береговой артиллерии вообще не были ^ запущены в производство. На I 1% от потребности фронта удовлетворялось производство тяжелых минометов. Легкие минометы и бомбометы производились в необходимом количестве (Ижорский, Невский, Путиловский заводы и несколько предприятий, находившихся в ведении губернских военно-промышленных комитетов) (19411).</w:t>
      </w:r>
    </w:p>
    <w:p w14:paraId="76678041" w14:textId="77777777" w:rsidR="00B36061" w:rsidRPr="002F2FDF" w:rsidRDefault="00B36061" w:rsidP="0083075A">
      <w:pPr>
        <w:spacing w:after="0" w:line="240" w:lineRule="auto"/>
        <w:jc w:val="both"/>
        <w:rPr>
          <w:rFonts w:ascii="Times New Roman" w:eastAsia="Times New Roman" w:hAnsi="Times New Roman" w:cs="Times New Roman"/>
          <w:color w:val="000000" w:themeColor="text1"/>
          <w:sz w:val="16"/>
          <w:szCs w:val="16"/>
          <w:lang w:eastAsia="ru-RU"/>
        </w:rPr>
      </w:pPr>
    </w:p>
    <w:p w14:paraId="7BB034E5" w14:textId="77777777" w:rsidR="00B36061" w:rsidRPr="002F2FDF" w:rsidRDefault="00B36061" w:rsidP="0083075A">
      <w:pPr>
        <w:autoSpaceDE w:val="0"/>
        <w:autoSpaceDN w:val="0"/>
        <w:adjustRightInd w:val="0"/>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1917 г. с ГВТУ были заключен контракт с ВРКР на сумму 3 млн. руб., предусматривающий изготовление 100 полковых радиостанций, 150 аэропланных передающих станций системы «Телефункен», 168 артиллерийских приемных станций французского образца, 40 аванпостных раций и другого имущества. Однако выполнить эти заказы предприятие ВРКР в полном объеме не успело, когда в начале 1918 г. они были аннулированы (18297).</w:t>
      </w:r>
    </w:p>
    <w:p w14:paraId="31EA3BFD" w14:textId="77777777" w:rsidR="00B36061" w:rsidRPr="002F2FDF" w:rsidRDefault="00B36061" w:rsidP="0083075A">
      <w:pPr>
        <w:spacing w:after="0" w:line="240" w:lineRule="auto"/>
        <w:jc w:val="both"/>
        <w:rPr>
          <w:rFonts w:ascii="Times New Roman" w:hAnsi="Times New Roman" w:cs="Times New Roman"/>
          <w:color w:val="000000" w:themeColor="text1"/>
          <w:sz w:val="16"/>
          <w:szCs w:val="16"/>
        </w:rPr>
      </w:pPr>
    </w:p>
    <w:p w14:paraId="020C2A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была создана Комиссия особых артиллерийских опытов (КОСАРТОП). Руководитель- В.М. Трофимов (бывший генерал, начальник артиллерийского полигона в 1910-17 г.). В 1917-25 г. при КОСАРТОП действует артполигон. В 1927 г. КОСАРТОП расформирована и создано КБ Арткома ГАУ. В 1930 г. на базе КБ Арткома создан АНИИ, в ведение которого перешел артполигон.</w:t>
      </w:r>
      <w:r w:rsidRPr="002F2FDF">
        <w:rPr>
          <w:rFonts w:ascii="Times New Roman" w:hAnsi="Times New Roman" w:cs="Times New Roman"/>
          <w:color w:val="000000" w:themeColor="text1"/>
          <w:kern w:val="2"/>
          <w:sz w:val="16"/>
          <w:szCs w:val="16"/>
          <w:vertAlign w:val="superscript"/>
        </w:rPr>
        <w:t xml:space="preserve">97 </w:t>
      </w:r>
      <w:r w:rsidRPr="002F2FDF">
        <w:rPr>
          <w:rFonts w:ascii="Times New Roman" w:hAnsi="Times New Roman" w:cs="Times New Roman"/>
          <w:color w:val="000000" w:themeColor="text1"/>
          <w:kern w:val="2"/>
          <w:sz w:val="16"/>
          <w:szCs w:val="16"/>
        </w:rPr>
        <w:t>И.О. начальника (05.1938 г.)- п Сорокин. Военком (05.1938 г.)- Тихонов. Начальники отделов: 4-го (05.1938 г.)- Тихов.</w:t>
      </w:r>
    </w:p>
    <w:p w14:paraId="27B650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Создано:</w:t>
      </w:r>
      <w:r w:rsidRPr="002F2FDF">
        <w:rPr>
          <w:rFonts w:ascii="Times New Roman" w:hAnsi="Times New Roman" w:cs="Times New Roman"/>
          <w:color w:val="000000" w:themeColor="text1"/>
          <w:kern w:val="2"/>
          <w:sz w:val="16"/>
          <w:szCs w:val="16"/>
        </w:rPr>
        <w:t xml:space="preserve"> рецептура и снаряжение 76-мм и 107-мм зажигательных снарядов (1934 г.); зажигательный 122-мм снаряд к пушке А-19, 122-мм парашютный осветительный снаряд, 122-мм и 76-мм беспарашютные осветительные снаряды (1935 г.) (11982).</w:t>
      </w:r>
    </w:p>
    <w:p w14:paraId="18382A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BBF8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1917 года 130/55-мм пушки использовались в береговой обороне (3861).</w:t>
      </w:r>
    </w:p>
    <w:p w14:paraId="6F45DE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869C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был разработан проект железнодорожной установки на базе 305-мм гаубицы обр. 1915 г., однако реализован он не был (3861).</w:t>
      </w:r>
    </w:p>
    <w:p w14:paraId="551D19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64623A" w14:textId="60354399" w:rsidR="0096612C" w:rsidRPr="002F2FDF" w:rsidRDefault="0096612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построили два первых в стране железнодорожных транспортёра с 10-дм (254/45-мм)</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орудиями. Орудия было изготовлены ОСЗ для вооружения броненосцев. Транспортёры прошли испытания на морском полигоне, но принять участие</w:t>
      </w:r>
      <w:r w:rsidR="00E52569">
        <w:rPr>
          <w:rFonts w:ascii="Times New Roman" w:hAnsi="Times New Roman" w:cs="Times New Roman"/>
          <w:color w:val="000000" w:themeColor="text1"/>
          <w:kern w:val="2"/>
          <w:sz w:val="16"/>
          <w:szCs w:val="16"/>
        </w:rPr>
        <w:t xml:space="preserve"> </w:t>
      </w:r>
      <w:r w:rsidRPr="002F2FDF">
        <w:rPr>
          <w:rFonts w:ascii="Times New Roman" w:hAnsi="Times New Roman" w:cs="Times New Roman"/>
          <w:color w:val="000000" w:themeColor="text1"/>
          <w:kern w:val="2"/>
          <w:sz w:val="16"/>
          <w:szCs w:val="16"/>
        </w:rPr>
        <w:t>в боевых действиях они не успели (15132).</w:t>
      </w:r>
    </w:p>
    <w:p w14:paraId="1E1934CC" w14:textId="77777777" w:rsidR="0096612C" w:rsidRPr="002F2FDF" w:rsidRDefault="0096612C" w:rsidP="0083075A">
      <w:pPr>
        <w:spacing w:after="0" w:line="240" w:lineRule="auto"/>
        <w:jc w:val="both"/>
        <w:rPr>
          <w:rFonts w:ascii="Times New Roman" w:hAnsi="Times New Roman" w:cs="Times New Roman"/>
          <w:color w:val="000000" w:themeColor="text1"/>
          <w:kern w:val="2"/>
          <w:sz w:val="16"/>
          <w:szCs w:val="16"/>
        </w:rPr>
      </w:pPr>
    </w:p>
    <w:p w14:paraId="480B34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из Англии поступили четыре 40-мм автомата Виккерса на колесных лафетах Депора. Вес системы в боевом положении - 850 кг, вес системы в походном положении с передком - 1560 кг. Возка системы производилась четверкой лошадей. В 1923 году установки Депора были на складах Красной армии. Дальнейшая их судьба неизвестна (3861).</w:t>
      </w:r>
    </w:p>
    <w:p w14:paraId="70F93D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BE67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кроме тумбового станка для 37-мм пушки Максима был разработан и колесный лафет. Такой лафет допускал зенитную стрельбу. Угол ВН составлял -10°; +80°, однако угол ГН был весьма мал - +20°. Ширина хода лафета составляла 1324 мм, а диаметр колеса - 1045 мм. В походном положении лафет вместе с передком перевозился четверкой лошадей. Тем не менее и лафет, и передок были подрессорены и могли перевозиться мехтягой. Вес передка с шестью патронными ящиками (все 300 патрон) составлял 491 кг. В связи с революцией и Гражданской войной работы по колесному лафету были прекращены на стадии испытаний опытных образцов (3861).</w:t>
      </w:r>
    </w:p>
    <w:p w14:paraId="37878A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CBA4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были начаты поставки из Японии 120 107-мм пушек обр. 1905 г. в течение 1917 было доставлено 73 орудия. Остальные пушки, судя по всему, были поставлены белым (3861).</w:t>
      </w:r>
    </w:p>
    <w:p w14:paraId="508113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DF4F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1914-1917 годах русская армия получила огромное количество 76-мм осколочных гранат, как русского, так и французского, английского, американского и японского изготовления. Многие из них были снаряжены суррогатными взрывчатыми веществами и имели суррогатные взрыватели военного времени (вплоть до ударных трубок обр. 1884 г) (3861).</w:t>
      </w:r>
    </w:p>
    <w:p w14:paraId="4BEEE0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1807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1917 по 1920 гг. будущий завод № 11 носил название “Троицкий снаряжательный завод”. В 1920 году был переименован и до 1927 года имел название “Завод Красная ракета”. В 1927 году завод был вновь переименован и получил название “Сергиевский завод № 11”, позднее, в 1932 году слово “Сергиевский” из наименования завода было изъято.</w:t>
      </w:r>
    </w:p>
    <w:p w14:paraId="02DA65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Поселок завода с 1940 года стал именоваться городом Краснозаводск (10023).</w:t>
      </w:r>
    </w:p>
    <w:p w14:paraId="0F7CB3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024B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мировую войну в связи с резким расширением оружейного производства на всех трех оружейных заводах — Ижевский сталеделательный завод, как указано выше, был значительно усилен дополнительным оборудованием и постройками. За годы войны стальной завод изготовил: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60"/>
        <w:gridCol w:w="864"/>
        <w:gridCol w:w="828"/>
        <w:gridCol w:w="864"/>
        <w:gridCol w:w="801"/>
      </w:tblGrid>
      <w:tr w:rsidR="002B1C74" w:rsidRPr="002F2FDF" w14:paraId="4116AF21" w14:textId="77777777">
        <w:tc>
          <w:tcPr>
            <w:tcW w:w="1860" w:type="dxa"/>
            <w:tcBorders>
              <w:top w:val="single" w:sz="12" w:space="0" w:color="auto"/>
            </w:tcBorders>
          </w:tcPr>
          <w:p w14:paraId="791270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Годы</w:t>
            </w:r>
          </w:p>
        </w:tc>
        <w:tc>
          <w:tcPr>
            <w:tcW w:w="864" w:type="dxa"/>
            <w:tcBorders>
              <w:top w:val="single" w:sz="12" w:space="0" w:color="auto"/>
            </w:tcBorders>
          </w:tcPr>
          <w:p w14:paraId="536361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tc>
        <w:tc>
          <w:tcPr>
            <w:tcW w:w="828" w:type="dxa"/>
            <w:tcBorders>
              <w:top w:val="single" w:sz="12" w:space="0" w:color="auto"/>
            </w:tcBorders>
          </w:tcPr>
          <w:p w14:paraId="2694AD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tc>
        <w:tc>
          <w:tcPr>
            <w:tcW w:w="864" w:type="dxa"/>
            <w:tcBorders>
              <w:top w:val="single" w:sz="12" w:space="0" w:color="auto"/>
            </w:tcBorders>
          </w:tcPr>
          <w:p w14:paraId="30D3EE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801" w:type="dxa"/>
            <w:tcBorders>
              <w:top w:val="single" w:sz="12" w:space="0" w:color="auto"/>
            </w:tcBorders>
          </w:tcPr>
          <w:p w14:paraId="4D75F3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w:t>
            </w:r>
          </w:p>
        </w:tc>
      </w:tr>
      <w:tr w:rsidR="002B1C74" w:rsidRPr="002F2FDF" w14:paraId="7DD313FC" w14:textId="77777777">
        <w:tc>
          <w:tcPr>
            <w:tcW w:w="1860" w:type="dxa"/>
          </w:tcPr>
          <w:p w14:paraId="1E494C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Стали тигельной, пудов</w:t>
            </w:r>
          </w:p>
        </w:tc>
        <w:tc>
          <w:tcPr>
            <w:tcW w:w="864" w:type="dxa"/>
          </w:tcPr>
          <w:p w14:paraId="7D0A5C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53.500</w:t>
            </w:r>
          </w:p>
        </w:tc>
        <w:tc>
          <w:tcPr>
            <w:tcW w:w="828" w:type="dxa"/>
          </w:tcPr>
          <w:p w14:paraId="118198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53.600</w:t>
            </w:r>
          </w:p>
        </w:tc>
        <w:tc>
          <w:tcPr>
            <w:tcW w:w="864" w:type="dxa"/>
          </w:tcPr>
          <w:p w14:paraId="33B144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133.200</w:t>
            </w:r>
          </w:p>
        </w:tc>
        <w:tc>
          <w:tcPr>
            <w:tcW w:w="801" w:type="dxa"/>
          </w:tcPr>
          <w:p w14:paraId="32979F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135.200</w:t>
            </w:r>
          </w:p>
        </w:tc>
      </w:tr>
      <w:tr w:rsidR="002B1C74" w:rsidRPr="002F2FDF" w14:paraId="460A171D" w14:textId="77777777">
        <w:tc>
          <w:tcPr>
            <w:tcW w:w="1860" w:type="dxa"/>
          </w:tcPr>
          <w:p w14:paraId="25B2B5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Стали Мартена, пудов</w:t>
            </w:r>
          </w:p>
        </w:tc>
        <w:tc>
          <w:tcPr>
            <w:tcW w:w="864" w:type="dxa"/>
          </w:tcPr>
          <w:p w14:paraId="53E867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206.400</w:t>
            </w:r>
          </w:p>
        </w:tc>
        <w:tc>
          <w:tcPr>
            <w:tcW w:w="828" w:type="dxa"/>
          </w:tcPr>
          <w:p w14:paraId="15C743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346.300</w:t>
            </w:r>
          </w:p>
        </w:tc>
        <w:tc>
          <w:tcPr>
            <w:tcW w:w="864" w:type="dxa"/>
          </w:tcPr>
          <w:p w14:paraId="187E32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453.700</w:t>
            </w:r>
          </w:p>
        </w:tc>
        <w:tc>
          <w:tcPr>
            <w:tcW w:w="801" w:type="dxa"/>
          </w:tcPr>
          <w:p w14:paraId="3C55E3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383.600</w:t>
            </w:r>
          </w:p>
        </w:tc>
      </w:tr>
      <w:tr w:rsidR="002B1C74" w:rsidRPr="002F2FDF" w14:paraId="71F89F7B" w14:textId="77777777">
        <w:tc>
          <w:tcPr>
            <w:tcW w:w="1860" w:type="dxa"/>
          </w:tcPr>
          <w:p w14:paraId="0C2590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Стали “Рапид”, пудов</w:t>
            </w:r>
          </w:p>
        </w:tc>
        <w:tc>
          <w:tcPr>
            <w:tcW w:w="864" w:type="dxa"/>
          </w:tcPr>
          <w:p w14:paraId="183487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w:t>
            </w:r>
          </w:p>
        </w:tc>
        <w:tc>
          <w:tcPr>
            <w:tcW w:w="828" w:type="dxa"/>
          </w:tcPr>
          <w:p w14:paraId="323DDE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2.300</w:t>
            </w:r>
          </w:p>
        </w:tc>
        <w:tc>
          <w:tcPr>
            <w:tcW w:w="864" w:type="dxa"/>
          </w:tcPr>
          <w:p w14:paraId="0A7EB8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3.800</w:t>
            </w:r>
          </w:p>
        </w:tc>
        <w:tc>
          <w:tcPr>
            <w:tcW w:w="801" w:type="dxa"/>
          </w:tcPr>
          <w:p w14:paraId="3A65E4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14.300</w:t>
            </w:r>
          </w:p>
        </w:tc>
      </w:tr>
      <w:tr w:rsidR="002B1C74" w:rsidRPr="002F2FDF" w14:paraId="4AFE1E86" w14:textId="77777777">
        <w:tc>
          <w:tcPr>
            <w:tcW w:w="1860" w:type="dxa"/>
          </w:tcPr>
          <w:p w14:paraId="6A0B1D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Стали обоймочной, на число обойм, млн штук</w:t>
            </w:r>
          </w:p>
        </w:tc>
        <w:tc>
          <w:tcPr>
            <w:tcW w:w="864" w:type="dxa"/>
          </w:tcPr>
          <w:p w14:paraId="478625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55.3</w:t>
            </w:r>
          </w:p>
        </w:tc>
        <w:tc>
          <w:tcPr>
            <w:tcW w:w="828" w:type="dxa"/>
          </w:tcPr>
          <w:p w14:paraId="005FDE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58.8</w:t>
            </w:r>
          </w:p>
        </w:tc>
        <w:tc>
          <w:tcPr>
            <w:tcW w:w="864" w:type="dxa"/>
          </w:tcPr>
          <w:p w14:paraId="78DFE6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95.2</w:t>
            </w:r>
          </w:p>
        </w:tc>
        <w:tc>
          <w:tcPr>
            <w:tcW w:w="801" w:type="dxa"/>
          </w:tcPr>
          <w:p w14:paraId="40A9BE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64.9</w:t>
            </w:r>
          </w:p>
        </w:tc>
      </w:tr>
      <w:tr w:rsidR="002B1C74" w:rsidRPr="002F2FDF" w14:paraId="0B011FFB" w14:textId="77777777">
        <w:tc>
          <w:tcPr>
            <w:tcW w:w="1860" w:type="dxa"/>
          </w:tcPr>
          <w:p w14:paraId="11E5D5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Стали для взрывателей, пудов</w:t>
            </w:r>
          </w:p>
        </w:tc>
        <w:tc>
          <w:tcPr>
            <w:tcW w:w="864" w:type="dxa"/>
          </w:tcPr>
          <w:p w14:paraId="393662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37.900</w:t>
            </w:r>
          </w:p>
        </w:tc>
        <w:tc>
          <w:tcPr>
            <w:tcW w:w="828" w:type="dxa"/>
          </w:tcPr>
          <w:p w14:paraId="767027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29.900</w:t>
            </w:r>
          </w:p>
        </w:tc>
        <w:tc>
          <w:tcPr>
            <w:tcW w:w="864" w:type="dxa"/>
          </w:tcPr>
          <w:p w14:paraId="4798BC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801" w:type="dxa"/>
          </w:tcPr>
          <w:p w14:paraId="498193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523F04FC" w14:textId="77777777">
        <w:tc>
          <w:tcPr>
            <w:tcW w:w="1860" w:type="dxa"/>
          </w:tcPr>
          <w:p w14:paraId="453484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Проволоки тигнльной и мартеновской, пудов</w:t>
            </w:r>
          </w:p>
        </w:tc>
        <w:tc>
          <w:tcPr>
            <w:tcW w:w="864" w:type="dxa"/>
          </w:tcPr>
          <w:p w14:paraId="0AD865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12.800</w:t>
            </w:r>
          </w:p>
        </w:tc>
        <w:tc>
          <w:tcPr>
            <w:tcW w:w="828" w:type="dxa"/>
          </w:tcPr>
          <w:p w14:paraId="2AC15B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23.100</w:t>
            </w:r>
          </w:p>
        </w:tc>
        <w:tc>
          <w:tcPr>
            <w:tcW w:w="864" w:type="dxa"/>
          </w:tcPr>
          <w:p w14:paraId="56D51D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29.100</w:t>
            </w:r>
          </w:p>
        </w:tc>
        <w:tc>
          <w:tcPr>
            <w:tcW w:w="801" w:type="dxa"/>
          </w:tcPr>
          <w:p w14:paraId="48E347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29.600</w:t>
            </w:r>
          </w:p>
        </w:tc>
      </w:tr>
      <w:tr w:rsidR="002B1C74" w:rsidRPr="002F2FDF" w14:paraId="4BF2C0F5" w14:textId="77777777">
        <w:tc>
          <w:tcPr>
            <w:tcW w:w="1860" w:type="dxa"/>
          </w:tcPr>
          <w:p w14:paraId="56AF25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Стволов винтовочвых, штук</w:t>
            </w:r>
          </w:p>
        </w:tc>
        <w:tc>
          <w:tcPr>
            <w:tcW w:w="864" w:type="dxa"/>
          </w:tcPr>
          <w:p w14:paraId="1831B2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247.500</w:t>
            </w:r>
          </w:p>
        </w:tc>
        <w:tc>
          <w:tcPr>
            <w:tcW w:w="828" w:type="dxa"/>
          </w:tcPr>
          <w:p w14:paraId="45997D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813.100</w:t>
            </w:r>
          </w:p>
        </w:tc>
        <w:tc>
          <w:tcPr>
            <w:tcW w:w="864" w:type="dxa"/>
          </w:tcPr>
          <w:p w14:paraId="2C79A0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1.457.700</w:t>
            </w:r>
          </w:p>
        </w:tc>
        <w:tc>
          <w:tcPr>
            <w:tcW w:w="801" w:type="dxa"/>
          </w:tcPr>
          <w:p w14:paraId="50FE6E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1.282.700</w:t>
            </w:r>
          </w:p>
        </w:tc>
      </w:tr>
      <w:tr w:rsidR="002B1C74" w:rsidRPr="002F2FDF" w14:paraId="4F96C54F" w14:textId="77777777">
        <w:tc>
          <w:tcPr>
            <w:tcW w:w="1860" w:type="dxa"/>
          </w:tcPr>
          <w:p w14:paraId="3AE153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Стволов пулеметных, штук</w:t>
            </w:r>
          </w:p>
        </w:tc>
        <w:tc>
          <w:tcPr>
            <w:tcW w:w="864" w:type="dxa"/>
          </w:tcPr>
          <w:p w14:paraId="71547B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3.800</w:t>
            </w:r>
          </w:p>
        </w:tc>
        <w:tc>
          <w:tcPr>
            <w:tcW w:w="828" w:type="dxa"/>
          </w:tcPr>
          <w:p w14:paraId="510836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30 900</w:t>
            </w:r>
          </w:p>
        </w:tc>
        <w:tc>
          <w:tcPr>
            <w:tcW w:w="864" w:type="dxa"/>
          </w:tcPr>
          <w:p w14:paraId="431877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66.400</w:t>
            </w:r>
          </w:p>
        </w:tc>
        <w:tc>
          <w:tcPr>
            <w:tcW w:w="801" w:type="dxa"/>
          </w:tcPr>
          <w:p w14:paraId="1CB10E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99.900</w:t>
            </w:r>
          </w:p>
        </w:tc>
      </w:tr>
      <w:tr w:rsidR="002B1C74" w:rsidRPr="002F2FDF" w14:paraId="4D6E826C" w14:textId="77777777">
        <w:tc>
          <w:tcPr>
            <w:tcW w:w="1860" w:type="dxa"/>
          </w:tcPr>
          <w:p w14:paraId="661C43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Коробок ствольных, штук</w:t>
            </w:r>
          </w:p>
        </w:tc>
        <w:tc>
          <w:tcPr>
            <w:tcW w:w="864" w:type="dxa"/>
          </w:tcPr>
          <w:p w14:paraId="6552F9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390.300</w:t>
            </w:r>
          </w:p>
        </w:tc>
        <w:tc>
          <w:tcPr>
            <w:tcW w:w="828" w:type="dxa"/>
          </w:tcPr>
          <w:p w14:paraId="3B3D3B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859.700</w:t>
            </w:r>
          </w:p>
        </w:tc>
        <w:tc>
          <w:tcPr>
            <w:tcW w:w="864" w:type="dxa"/>
          </w:tcPr>
          <w:p w14:paraId="372028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1.124.700</w:t>
            </w:r>
          </w:p>
        </w:tc>
        <w:tc>
          <w:tcPr>
            <w:tcW w:w="801" w:type="dxa"/>
          </w:tcPr>
          <w:p w14:paraId="67B95E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1.109.500</w:t>
            </w:r>
          </w:p>
        </w:tc>
      </w:tr>
      <w:tr w:rsidR="002B1C74" w:rsidRPr="002F2FDF" w14:paraId="35EC1B3B" w14:textId="77777777">
        <w:tc>
          <w:tcPr>
            <w:tcW w:w="1860" w:type="dxa"/>
          </w:tcPr>
          <w:p w14:paraId="238E52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Стенок короба пулеметного, штук</w:t>
            </w:r>
          </w:p>
        </w:tc>
        <w:tc>
          <w:tcPr>
            <w:tcW w:w="864" w:type="dxa"/>
          </w:tcPr>
          <w:p w14:paraId="260306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2.600</w:t>
            </w:r>
          </w:p>
        </w:tc>
        <w:tc>
          <w:tcPr>
            <w:tcW w:w="828" w:type="dxa"/>
          </w:tcPr>
          <w:p w14:paraId="5D28DD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12.600</w:t>
            </w:r>
          </w:p>
        </w:tc>
        <w:tc>
          <w:tcPr>
            <w:tcW w:w="864" w:type="dxa"/>
          </w:tcPr>
          <w:p w14:paraId="03B93C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16.600</w:t>
            </w:r>
          </w:p>
        </w:tc>
        <w:tc>
          <w:tcPr>
            <w:tcW w:w="801" w:type="dxa"/>
          </w:tcPr>
          <w:p w14:paraId="7463DB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12.400</w:t>
            </w:r>
          </w:p>
        </w:tc>
      </w:tr>
      <w:tr w:rsidR="002B1C74" w:rsidRPr="002F2FDF" w14:paraId="50DEEBB8" w14:textId="77777777">
        <w:tc>
          <w:tcPr>
            <w:tcW w:w="1860" w:type="dxa"/>
            <w:tcBorders>
              <w:bottom w:val="single" w:sz="12" w:space="0" w:color="auto"/>
            </w:tcBorders>
          </w:tcPr>
          <w:p w14:paraId="3DDD65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Щитов стальных Соколова, штук</w:t>
            </w:r>
          </w:p>
        </w:tc>
        <w:tc>
          <w:tcPr>
            <w:tcW w:w="864" w:type="dxa"/>
            <w:tcBorders>
              <w:bottom w:val="single" w:sz="12" w:space="0" w:color="auto"/>
            </w:tcBorders>
          </w:tcPr>
          <w:p w14:paraId="717E3D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1.300</w:t>
            </w:r>
          </w:p>
        </w:tc>
        <w:tc>
          <w:tcPr>
            <w:tcW w:w="828" w:type="dxa"/>
            <w:tcBorders>
              <w:bottom w:val="single" w:sz="12" w:space="0" w:color="auto"/>
            </w:tcBorders>
          </w:tcPr>
          <w:p w14:paraId="131A35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5.900</w:t>
            </w:r>
          </w:p>
        </w:tc>
        <w:tc>
          <w:tcPr>
            <w:tcW w:w="864" w:type="dxa"/>
            <w:tcBorders>
              <w:bottom w:val="single" w:sz="12" w:space="0" w:color="auto"/>
            </w:tcBorders>
          </w:tcPr>
          <w:p w14:paraId="6F8003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9.500</w:t>
            </w:r>
          </w:p>
        </w:tc>
        <w:tc>
          <w:tcPr>
            <w:tcW w:w="801" w:type="dxa"/>
            <w:tcBorders>
              <w:bottom w:val="single" w:sz="12" w:space="0" w:color="auto"/>
            </w:tcBorders>
          </w:tcPr>
          <w:p w14:paraId="1D1886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4.700</w:t>
            </w:r>
          </w:p>
        </w:tc>
      </w:tr>
    </w:tbl>
    <w:p w14:paraId="1305C7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(11329).</w:t>
      </w:r>
    </w:p>
    <w:p w14:paraId="5FB472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8B70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Все производство ручного огнестрельного оружия в течение трех лет мировой войны вынесли на своих плечах три казенных оружейных завода: Тульский, Ижевский и Сестрорецкий. Все попытки со стороны правящих сфер привлечь к этому производству гражданскую промышленность оказались бесплодными, и из этого источника не было получено ни одной винтовки, ни одного пулемета, ни одного револьвера. Иначе и быть не могло, ибо импровизировать наспех производства такого порядка, как ружейное, конечно, затея вполне праздная. И если за нее брались, то лишь благодаря полному незнакомству с характером и существом военной техники. </w:t>
      </w:r>
    </w:p>
    <w:p w14:paraId="0878D1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Производство винтовок за годы войны развивалось следующим образом (тысячи штук):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86"/>
        <w:gridCol w:w="515"/>
        <w:gridCol w:w="426"/>
        <w:gridCol w:w="425"/>
        <w:gridCol w:w="425"/>
        <w:gridCol w:w="425"/>
        <w:gridCol w:w="426"/>
        <w:gridCol w:w="425"/>
        <w:gridCol w:w="425"/>
        <w:gridCol w:w="425"/>
        <w:gridCol w:w="426"/>
        <w:gridCol w:w="425"/>
        <w:gridCol w:w="567"/>
        <w:gridCol w:w="567"/>
        <w:gridCol w:w="17"/>
      </w:tblGrid>
      <w:tr w:rsidR="002B1C74" w:rsidRPr="002F2FDF" w14:paraId="14CC689E" w14:textId="77777777">
        <w:trPr>
          <w:gridAfter w:val="1"/>
          <w:wAfter w:w="17" w:type="dxa"/>
        </w:trPr>
        <w:tc>
          <w:tcPr>
            <w:tcW w:w="1186" w:type="dxa"/>
            <w:tcBorders>
              <w:top w:val="single" w:sz="12" w:space="0" w:color="auto"/>
            </w:tcBorders>
          </w:tcPr>
          <w:p w14:paraId="1E0FB0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 год (месяцы)</w:t>
            </w:r>
          </w:p>
        </w:tc>
        <w:tc>
          <w:tcPr>
            <w:tcW w:w="515" w:type="dxa"/>
            <w:tcBorders>
              <w:top w:val="single" w:sz="12" w:space="0" w:color="auto"/>
            </w:tcBorders>
          </w:tcPr>
          <w:p w14:paraId="5AE218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w:t>
            </w:r>
          </w:p>
        </w:tc>
        <w:tc>
          <w:tcPr>
            <w:tcW w:w="426" w:type="dxa"/>
            <w:tcBorders>
              <w:top w:val="single" w:sz="12" w:space="0" w:color="auto"/>
            </w:tcBorders>
          </w:tcPr>
          <w:p w14:paraId="2EDB52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w:t>
            </w:r>
          </w:p>
        </w:tc>
        <w:tc>
          <w:tcPr>
            <w:tcW w:w="425" w:type="dxa"/>
            <w:tcBorders>
              <w:top w:val="single" w:sz="12" w:space="0" w:color="auto"/>
            </w:tcBorders>
          </w:tcPr>
          <w:p w14:paraId="2F08AF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III</w:t>
            </w:r>
          </w:p>
        </w:tc>
        <w:tc>
          <w:tcPr>
            <w:tcW w:w="425" w:type="dxa"/>
            <w:tcBorders>
              <w:top w:val="single" w:sz="12" w:space="0" w:color="auto"/>
            </w:tcBorders>
          </w:tcPr>
          <w:p w14:paraId="7B3FC3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IV</w:t>
            </w:r>
          </w:p>
        </w:tc>
        <w:tc>
          <w:tcPr>
            <w:tcW w:w="425" w:type="dxa"/>
            <w:tcBorders>
              <w:top w:val="single" w:sz="12" w:space="0" w:color="auto"/>
            </w:tcBorders>
          </w:tcPr>
          <w:p w14:paraId="5847F8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w:t>
            </w:r>
          </w:p>
        </w:tc>
        <w:tc>
          <w:tcPr>
            <w:tcW w:w="426" w:type="dxa"/>
            <w:tcBorders>
              <w:top w:val="single" w:sz="12" w:space="0" w:color="auto"/>
            </w:tcBorders>
          </w:tcPr>
          <w:p w14:paraId="5C06BD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w:t>
            </w:r>
          </w:p>
        </w:tc>
        <w:tc>
          <w:tcPr>
            <w:tcW w:w="425" w:type="dxa"/>
            <w:tcBorders>
              <w:top w:val="single" w:sz="12" w:space="0" w:color="auto"/>
            </w:tcBorders>
          </w:tcPr>
          <w:p w14:paraId="099990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VII</w:t>
            </w:r>
          </w:p>
        </w:tc>
        <w:tc>
          <w:tcPr>
            <w:tcW w:w="425" w:type="dxa"/>
            <w:tcBorders>
              <w:top w:val="single" w:sz="12" w:space="0" w:color="auto"/>
            </w:tcBorders>
          </w:tcPr>
          <w:p w14:paraId="633C56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VIII</w:t>
            </w:r>
          </w:p>
        </w:tc>
        <w:tc>
          <w:tcPr>
            <w:tcW w:w="425" w:type="dxa"/>
            <w:tcBorders>
              <w:top w:val="single" w:sz="12" w:space="0" w:color="auto"/>
            </w:tcBorders>
          </w:tcPr>
          <w:p w14:paraId="1CD046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IX</w:t>
            </w:r>
          </w:p>
        </w:tc>
        <w:tc>
          <w:tcPr>
            <w:tcW w:w="426" w:type="dxa"/>
            <w:tcBorders>
              <w:top w:val="single" w:sz="12" w:space="0" w:color="auto"/>
            </w:tcBorders>
          </w:tcPr>
          <w:p w14:paraId="7D2E2F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w:t>
            </w:r>
          </w:p>
        </w:tc>
        <w:tc>
          <w:tcPr>
            <w:tcW w:w="425" w:type="dxa"/>
            <w:tcBorders>
              <w:top w:val="single" w:sz="12" w:space="0" w:color="auto"/>
            </w:tcBorders>
          </w:tcPr>
          <w:p w14:paraId="6FD23A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w:t>
            </w:r>
          </w:p>
        </w:tc>
        <w:tc>
          <w:tcPr>
            <w:tcW w:w="567" w:type="dxa"/>
            <w:tcBorders>
              <w:top w:val="single" w:sz="12" w:space="0" w:color="auto"/>
            </w:tcBorders>
          </w:tcPr>
          <w:p w14:paraId="6F15B8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XII</w:t>
            </w:r>
          </w:p>
        </w:tc>
        <w:tc>
          <w:tcPr>
            <w:tcW w:w="567" w:type="dxa"/>
            <w:tcBorders>
              <w:top w:val="single" w:sz="12" w:space="0" w:color="auto"/>
            </w:tcBorders>
          </w:tcPr>
          <w:p w14:paraId="2F5617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r>
      <w:tr w:rsidR="002B1C74" w:rsidRPr="002F2FDF" w14:paraId="51061B3C" w14:textId="77777777">
        <w:trPr>
          <w:gridAfter w:val="1"/>
          <w:wAfter w:w="17" w:type="dxa"/>
        </w:trPr>
        <w:tc>
          <w:tcPr>
            <w:tcW w:w="1186" w:type="dxa"/>
          </w:tcPr>
          <w:p w14:paraId="00D630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Тульский завод</w:t>
            </w:r>
          </w:p>
        </w:tc>
        <w:tc>
          <w:tcPr>
            <w:tcW w:w="515" w:type="dxa"/>
          </w:tcPr>
          <w:p w14:paraId="3412FD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426" w:type="dxa"/>
          </w:tcPr>
          <w:p w14:paraId="579C9F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425" w:type="dxa"/>
          </w:tcPr>
          <w:p w14:paraId="2E9F58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w:t>
            </w:r>
          </w:p>
        </w:tc>
        <w:tc>
          <w:tcPr>
            <w:tcW w:w="425" w:type="dxa"/>
          </w:tcPr>
          <w:p w14:paraId="320DB0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425" w:type="dxa"/>
          </w:tcPr>
          <w:p w14:paraId="524325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426" w:type="dxa"/>
          </w:tcPr>
          <w:p w14:paraId="7511A2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425" w:type="dxa"/>
          </w:tcPr>
          <w:p w14:paraId="408486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425" w:type="dxa"/>
          </w:tcPr>
          <w:p w14:paraId="371978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w:t>
            </w:r>
          </w:p>
        </w:tc>
        <w:tc>
          <w:tcPr>
            <w:tcW w:w="425" w:type="dxa"/>
          </w:tcPr>
          <w:p w14:paraId="672BC8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w:t>
            </w:r>
          </w:p>
        </w:tc>
        <w:tc>
          <w:tcPr>
            <w:tcW w:w="426" w:type="dxa"/>
          </w:tcPr>
          <w:p w14:paraId="15A678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10.3</w:t>
            </w:r>
          </w:p>
        </w:tc>
        <w:tc>
          <w:tcPr>
            <w:tcW w:w="425" w:type="dxa"/>
          </w:tcPr>
          <w:p w14:paraId="2E56C4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13.1</w:t>
            </w:r>
          </w:p>
        </w:tc>
        <w:tc>
          <w:tcPr>
            <w:tcW w:w="567" w:type="dxa"/>
          </w:tcPr>
          <w:p w14:paraId="51AB68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w:t>
            </w:r>
          </w:p>
        </w:tc>
        <w:tc>
          <w:tcPr>
            <w:tcW w:w="567" w:type="dxa"/>
          </w:tcPr>
          <w:p w14:paraId="37E46B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46,0</w:t>
            </w:r>
          </w:p>
        </w:tc>
      </w:tr>
      <w:tr w:rsidR="002B1C74" w:rsidRPr="002F2FDF" w14:paraId="1A9842E9" w14:textId="77777777">
        <w:trPr>
          <w:gridAfter w:val="1"/>
          <w:wAfter w:w="17" w:type="dxa"/>
        </w:trPr>
        <w:tc>
          <w:tcPr>
            <w:tcW w:w="1186" w:type="dxa"/>
          </w:tcPr>
          <w:p w14:paraId="724FA4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Ижевский </w:t>
            </w:r>
          </w:p>
        </w:tc>
        <w:tc>
          <w:tcPr>
            <w:tcW w:w="3067" w:type="dxa"/>
            <w:gridSpan w:val="7"/>
          </w:tcPr>
          <w:p w14:paraId="7453F1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помесячных</w:t>
            </w:r>
          </w:p>
          <w:p w14:paraId="53613FC1" w14:textId="20D1FCB1"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54D7BD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w:t>
            </w:r>
          </w:p>
        </w:tc>
        <w:tc>
          <w:tcPr>
            <w:tcW w:w="425" w:type="dxa"/>
          </w:tcPr>
          <w:p w14:paraId="7392C6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16.1</w:t>
            </w:r>
          </w:p>
        </w:tc>
        <w:tc>
          <w:tcPr>
            <w:tcW w:w="426" w:type="dxa"/>
          </w:tcPr>
          <w:p w14:paraId="60DA82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21.0</w:t>
            </w:r>
          </w:p>
        </w:tc>
        <w:tc>
          <w:tcPr>
            <w:tcW w:w="425" w:type="dxa"/>
          </w:tcPr>
          <w:p w14:paraId="39C4A0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20.1</w:t>
            </w:r>
          </w:p>
        </w:tc>
        <w:tc>
          <w:tcPr>
            <w:tcW w:w="567" w:type="dxa"/>
          </w:tcPr>
          <w:p w14:paraId="474A7B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18.5</w:t>
            </w:r>
          </w:p>
        </w:tc>
        <w:tc>
          <w:tcPr>
            <w:tcW w:w="567" w:type="dxa"/>
          </w:tcPr>
          <w:p w14:paraId="0F751A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82.1</w:t>
            </w:r>
          </w:p>
        </w:tc>
      </w:tr>
      <w:tr w:rsidR="002B1C74" w:rsidRPr="002F2FDF" w14:paraId="086AC27F" w14:textId="77777777">
        <w:trPr>
          <w:gridAfter w:val="1"/>
          <w:wAfter w:w="17" w:type="dxa"/>
        </w:trPr>
        <w:tc>
          <w:tcPr>
            <w:tcW w:w="1186" w:type="dxa"/>
          </w:tcPr>
          <w:p w14:paraId="5E4B9B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Сестрорецкий</w:t>
            </w:r>
          </w:p>
        </w:tc>
        <w:tc>
          <w:tcPr>
            <w:tcW w:w="3067" w:type="dxa"/>
            <w:gridSpan w:val="7"/>
          </w:tcPr>
          <w:p w14:paraId="159BE8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сведений нет</w:t>
            </w:r>
          </w:p>
        </w:tc>
        <w:tc>
          <w:tcPr>
            <w:tcW w:w="425" w:type="dxa"/>
          </w:tcPr>
          <w:p w14:paraId="1945E7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425" w:type="dxa"/>
          </w:tcPr>
          <w:p w14:paraId="29C2D5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426" w:type="dxa"/>
          </w:tcPr>
          <w:p w14:paraId="3286AB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425" w:type="dxa"/>
          </w:tcPr>
          <w:p w14:paraId="738093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567" w:type="dxa"/>
          </w:tcPr>
          <w:p w14:paraId="26A39A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w:t>
            </w:r>
          </w:p>
        </w:tc>
        <w:tc>
          <w:tcPr>
            <w:tcW w:w="567" w:type="dxa"/>
          </w:tcPr>
          <w:p w14:paraId="6D664B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w:t>
            </w:r>
          </w:p>
        </w:tc>
      </w:tr>
      <w:tr w:rsidR="002B1C74" w:rsidRPr="002F2FDF" w14:paraId="643CB705" w14:textId="77777777">
        <w:trPr>
          <w:gridAfter w:val="1"/>
          <w:wAfter w:w="17" w:type="dxa"/>
        </w:trPr>
        <w:tc>
          <w:tcPr>
            <w:tcW w:w="1186" w:type="dxa"/>
          </w:tcPr>
          <w:p w14:paraId="02B42B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515" w:type="dxa"/>
          </w:tcPr>
          <w:p w14:paraId="54FE2AC7" w14:textId="1DB0D39A"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6" w:type="dxa"/>
          </w:tcPr>
          <w:p w14:paraId="35BBF494" w14:textId="10D564CE"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06A2ABE8" w14:textId="4FADA019"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29A9AA77" w14:textId="03F815E5"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6CFD6022" w14:textId="6639217F"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6" w:type="dxa"/>
          </w:tcPr>
          <w:p w14:paraId="4F5DEE70" w14:textId="45A631F8"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619122B7" w14:textId="57D38560"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17EDB3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10.3</w:t>
            </w:r>
          </w:p>
        </w:tc>
        <w:tc>
          <w:tcPr>
            <w:tcW w:w="425" w:type="dxa"/>
          </w:tcPr>
          <w:p w14:paraId="14FDBB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22.8</w:t>
            </w:r>
          </w:p>
        </w:tc>
        <w:tc>
          <w:tcPr>
            <w:tcW w:w="426" w:type="dxa"/>
          </w:tcPr>
          <w:p w14:paraId="64FBC9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32.4</w:t>
            </w:r>
          </w:p>
        </w:tc>
        <w:tc>
          <w:tcPr>
            <w:tcW w:w="425" w:type="dxa"/>
          </w:tcPr>
          <w:p w14:paraId="2A7A10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35.2</w:t>
            </w:r>
          </w:p>
        </w:tc>
        <w:tc>
          <w:tcPr>
            <w:tcW w:w="567" w:type="dxa"/>
          </w:tcPr>
          <w:p w14:paraId="27C859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33.3</w:t>
            </w:r>
          </w:p>
        </w:tc>
        <w:tc>
          <w:tcPr>
            <w:tcW w:w="567" w:type="dxa"/>
          </w:tcPr>
          <w:p w14:paraId="4C1532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134.0</w:t>
            </w:r>
          </w:p>
        </w:tc>
      </w:tr>
      <w:tr w:rsidR="002B1C74" w:rsidRPr="002F2FDF" w14:paraId="51B813CD" w14:textId="77777777">
        <w:trPr>
          <w:gridAfter w:val="1"/>
          <w:wAfter w:w="17" w:type="dxa"/>
        </w:trPr>
        <w:tc>
          <w:tcPr>
            <w:tcW w:w="1186" w:type="dxa"/>
          </w:tcPr>
          <w:p w14:paraId="08462D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год</w:t>
            </w:r>
          </w:p>
          <w:p w14:paraId="07591741" w14:textId="5C164AAA"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515" w:type="dxa"/>
          </w:tcPr>
          <w:p w14:paraId="7FDDC80A" w14:textId="20B7BDEE"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6" w:type="dxa"/>
          </w:tcPr>
          <w:p w14:paraId="7A502702" w14:textId="03AD733E"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6FF56FD6" w14:textId="73B7A3F6"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35D0452D" w14:textId="6EEFF2A5"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11FAA080" w14:textId="5DE822FB"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6" w:type="dxa"/>
          </w:tcPr>
          <w:p w14:paraId="56EBF71C" w14:textId="74CE4052"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3573D83F" w14:textId="70B8F7D0"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383BB204" w14:textId="5DD7056F"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65292814" w14:textId="7E2DBBFD"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6" w:type="dxa"/>
          </w:tcPr>
          <w:p w14:paraId="76F3854B" w14:textId="636B947D"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774D7C03" w14:textId="11EF29CF"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567" w:type="dxa"/>
          </w:tcPr>
          <w:p w14:paraId="729B8356" w14:textId="32A73B91"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567" w:type="dxa"/>
          </w:tcPr>
          <w:p w14:paraId="530A6B02" w14:textId="5770E88D"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ABA9321" w14:textId="77777777">
        <w:trPr>
          <w:gridAfter w:val="1"/>
          <w:wAfter w:w="17" w:type="dxa"/>
        </w:trPr>
        <w:tc>
          <w:tcPr>
            <w:tcW w:w="1186" w:type="dxa"/>
          </w:tcPr>
          <w:p w14:paraId="1DDC84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Тульский</w:t>
            </w:r>
          </w:p>
        </w:tc>
        <w:tc>
          <w:tcPr>
            <w:tcW w:w="515" w:type="dxa"/>
          </w:tcPr>
          <w:p w14:paraId="2FDE8F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13.4</w:t>
            </w:r>
          </w:p>
        </w:tc>
        <w:tc>
          <w:tcPr>
            <w:tcW w:w="426" w:type="dxa"/>
          </w:tcPr>
          <w:p w14:paraId="084525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17.8</w:t>
            </w:r>
          </w:p>
        </w:tc>
        <w:tc>
          <w:tcPr>
            <w:tcW w:w="425" w:type="dxa"/>
          </w:tcPr>
          <w:p w14:paraId="5FCE09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18.2</w:t>
            </w:r>
          </w:p>
        </w:tc>
        <w:tc>
          <w:tcPr>
            <w:tcW w:w="425" w:type="dxa"/>
          </w:tcPr>
          <w:p w14:paraId="7E4340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26.0</w:t>
            </w:r>
          </w:p>
        </w:tc>
        <w:tc>
          <w:tcPr>
            <w:tcW w:w="425" w:type="dxa"/>
          </w:tcPr>
          <w:p w14:paraId="750D00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26.4</w:t>
            </w:r>
          </w:p>
        </w:tc>
        <w:tc>
          <w:tcPr>
            <w:tcW w:w="426" w:type="dxa"/>
          </w:tcPr>
          <w:p w14:paraId="0EE2B8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27.6</w:t>
            </w:r>
          </w:p>
        </w:tc>
        <w:tc>
          <w:tcPr>
            <w:tcW w:w="425" w:type="dxa"/>
          </w:tcPr>
          <w:p w14:paraId="2AD70A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32.9</w:t>
            </w:r>
          </w:p>
        </w:tc>
        <w:tc>
          <w:tcPr>
            <w:tcW w:w="425" w:type="dxa"/>
          </w:tcPr>
          <w:p w14:paraId="16AD30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33.9</w:t>
            </w:r>
          </w:p>
        </w:tc>
        <w:tc>
          <w:tcPr>
            <w:tcW w:w="425" w:type="dxa"/>
          </w:tcPr>
          <w:p w14:paraId="0D2CFF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37.5</w:t>
            </w:r>
          </w:p>
        </w:tc>
        <w:tc>
          <w:tcPr>
            <w:tcW w:w="426" w:type="dxa"/>
          </w:tcPr>
          <w:p w14:paraId="125556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37.5</w:t>
            </w:r>
          </w:p>
        </w:tc>
        <w:tc>
          <w:tcPr>
            <w:tcW w:w="425" w:type="dxa"/>
          </w:tcPr>
          <w:p w14:paraId="6ED73F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40.0</w:t>
            </w:r>
          </w:p>
        </w:tc>
        <w:tc>
          <w:tcPr>
            <w:tcW w:w="567" w:type="dxa"/>
          </w:tcPr>
          <w:p w14:paraId="52B4C4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41.4</w:t>
            </w:r>
          </w:p>
        </w:tc>
        <w:tc>
          <w:tcPr>
            <w:tcW w:w="567" w:type="dxa"/>
          </w:tcPr>
          <w:p w14:paraId="7BEE94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352.6</w:t>
            </w:r>
          </w:p>
        </w:tc>
      </w:tr>
      <w:tr w:rsidR="002B1C74" w:rsidRPr="002F2FDF" w14:paraId="4F1F02C2" w14:textId="77777777">
        <w:trPr>
          <w:gridAfter w:val="1"/>
          <w:wAfter w:w="17" w:type="dxa"/>
        </w:trPr>
        <w:tc>
          <w:tcPr>
            <w:tcW w:w="1186" w:type="dxa"/>
          </w:tcPr>
          <w:p w14:paraId="32AB02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Ижевский</w:t>
            </w:r>
          </w:p>
        </w:tc>
        <w:tc>
          <w:tcPr>
            <w:tcW w:w="515" w:type="dxa"/>
          </w:tcPr>
          <w:p w14:paraId="659A13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18.2</w:t>
            </w:r>
          </w:p>
        </w:tc>
        <w:tc>
          <w:tcPr>
            <w:tcW w:w="426" w:type="dxa"/>
          </w:tcPr>
          <w:p w14:paraId="62E93F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18.0</w:t>
            </w:r>
          </w:p>
        </w:tc>
        <w:tc>
          <w:tcPr>
            <w:tcW w:w="425" w:type="dxa"/>
          </w:tcPr>
          <w:p w14:paraId="292E57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18.5</w:t>
            </w:r>
          </w:p>
        </w:tc>
        <w:tc>
          <w:tcPr>
            <w:tcW w:w="425" w:type="dxa"/>
          </w:tcPr>
          <w:p w14:paraId="71F1AD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21.7</w:t>
            </w:r>
          </w:p>
        </w:tc>
        <w:tc>
          <w:tcPr>
            <w:tcW w:w="425" w:type="dxa"/>
          </w:tcPr>
          <w:p w14:paraId="5F9E6F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23.2</w:t>
            </w:r>
          </w:p>
        </w:tc>
        <w:tc>
          <w:tcPr>
            <w:tcW w:w="426" w:type="dxa"/>
          </w:tcPr>
          <w:p w14:paraId="5C1ADC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25.6</w:t>
            </w:r>
          </w:p>
        </w:tc>
        <w:tc>
          <w:tcPr>
            <w:tcW w:w="425" w:type="dxa"/>
          </w:tcPr>
          <w:p w14:paraId="0D8035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28.9</w:t>
            </w:r>
          </w:p>
        </w:tc>
        <w:tc>
          <w:tcPr>
            <w:tcW w:w="425" w:type="dxa"/>
          </w:tcPr>
          <w:p w14:paraId="0A9AF0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29.5</w:t>
            </w:r>
          </w:p>
        </w:tc>
        <w:tc>
          <w:tcPr>
            <w:tcW w:w="425" w:type="dxa"/>
          </w:tcPr>
          <w:p w14:paraId="751976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32.2</w:t>
            </w:r>
          </w:p>
        </w:tc>
        <w:tc>
          <w:tcPr>
            <w:tcW w:w="426" w:type="dxa"/>
          </w:tcPr>
          <w:p w14:paraId="6CDD8A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32.3</w:t>
            </w:r>
          </w:p>
        </w:tc>
        <w:tc>
          <w:tcPr>
            <w:tcW w:w="425" w:type="dxa"/>
          </w:tcPr>
          <w:p w14:paraId="0A1AE2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30.8</w:t>
            </w:r>
          </w:p>
        </w:tc>
        <w:tc>
          <w:tcPr>
            <w:tcW w:w="567" w:type="dxa"/>
          </w:tcPr>
          <w:p w14:paraId="447CB1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33.9</w:t>
            </w:r>
          </w:p>
        </w:tc>
        <w:tc>
          <w:tcPr>
            <w:tcW w:w="567" w:type="dxa"/>
          </w:tcPr>
          <w:p w14:paraId="7EAD08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312.9</w:t>
            </w:r>
          </w:p>
        </w:tc>
      </w:tr>
      <w:tr w:rsidR="002B1C74" w:rsidRPr="002F2FDF" w14:paraId="4B9275AE" w14:textId="77777777">
        <w:trPr>
          <w:gridAfter w:val="1"/>
          <w:wAfter w:w="17" w:type="dxa"/>
        </w:trPr>
        <w:tc>
          <w:tcPr>
            <w:tcW w:w="1186" w:type="dxa"/>
          </w:tcPr>
          <w:p w14:paraId="73B99B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Сестрорецкий</w:t>
            </w:r>
          </w:p>
        </w:tc>
        <w:tc>
          <w:tcPr>
            <w:tcW w:w="515" w:type="dxa"/>
          </w:tcPr>
          <w:p w14:paraId="329615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w:t>
            </w:r>
          </w:p>
        </w:tc>
        <w:tc>
          <w:tcPr>
            <w:tcW w:w="426" w:type="dxa"/>
          </w:tcPr>
          <w:p w14:paraId="42C232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w:t>
            </w:r>
          </w:p>
        </w:tc>
        <w:tc>
          <w:tcPr>
            <w:tcW w:w="425" w:type="dxa"/>
          </w:tcPr>
          <w:p w14:paraId="2F2B46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w:t>
            </w:r>
          </w:p>
        </w:tc>
        <w:tc>
          <w:tcPr>
            <w:tcW w:w="425" w:type="dxa"/>
          </w:tcPr>
          <w:p w14:paraId="2A3837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w:t>
            </w:r>
          </w:p>
        </w:tc>
        <w:tc>
          <w:tcPr>
            <w:tcW w:w="425" w:type="dxa"/>
          </w:tcPr>
          <w:p w14:paraId="49B34D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w:t>
            </w:r>
          </w:p>
        </w:tc>
        <w:tc>
          <w:tcPr>
            <w:tcW w:w="426" w:type="dxa"/>
          </w:tcPr>
          <w:p w14:paraId="7EA880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w:t>
            </w:r>
          </w:p>
        </w:tc>
        <w:tc>
          <w:tcPr>
            <w:tcW w:w="425" w:type="dxa"/>
          </w:tcPr>
          <w:p w14:paraId="214BE5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w:t>
            </w:r>
          </w:p>
        </w:tc>
        <w:tc>
          <w:tcPr>
            <w:tcW w:w="425" w:type="dxa"/>
          </w:tcPr>
          <w:p w14:paraId="77C23E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w:t>
            </w:r>
          </w:p>
        </w:tc>
        <w:tc>
          <w:tcPr>
            <w:tcW w:w="425" w:type="dxa"/>
          </w:tcPr>
          <w:p w14:paraId="71D9F6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w:t>
            </w:r>
          </w:p>
        </w:tc>
        <w:tc>
          <w:tcPr>
            <w:tcW w:w="426" w:type="dxa"/>
          </w:tcPr>
          <w:p w14:paraId="51D0DA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8.3</w:t>
            </w:r>
          </w:p>
        </w:tc>
        <w:tc>
          <w:tcPr>
            <w:tcW w:w="425" w:type="dxa"/>
          </w:tcPr>
          <w:p w14:paraId="544C95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9.3</w:t>
            </w:r>
          </w:p>
        </w:tc>
        <w:tc>
          <w:tcPr>
            <w:tcW w:w="567" w:type="dxa"/>
          </w:tcPr>
          <w:p w14:paraId="1905B4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w:t>
            </w:r>
          </w:p>
        </w:tc>
        <w:tc>
          <w:tcPr>
            <w:tcW w:w="567" w:type="dxa"/>
          </w:tcPr>
          <w:p w14:paraId="0ADFEC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73.9</w:t>
            </w:r>
          </w:p>
        </w:tc>
      </w:tr>
      <w:tr w:rsidR="002B1C74" w:rsidRPr="002F2FDF" w14:paraId="13B4A424" w14:textId="77777777">
        <w:trPr>
          <w:gridAfter w:val="1"/>
          <w:wAfter w:w="17" w:type="dxa"/>
        </w:trPr>
        <w:tc>
          <w:tcPr>
            <w:tcW w:w="1186" w:type="dxa"/>
          </w:tcPr>
          <w:p w14:paraId="4CB965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515" w:type="dxa"/>
          </w:tcPr>
          <w:p w14:paraId="7F7DC8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34.8</w:t>
            </w:r>
          </w:p>
        </w:tc>
        <w:tc>
          <w:tcPr>
            <w:tcW w:w="426" w:type="dxa"/>
          </w:tcPr>
          <w:p w14:paraId="17903A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34.8</w:t>
            </w:r>
          </w:p>
        </w:tc>
        <w:tc>
          <w:tcPr>
            <w:tcW w:w="425" w:type="dxa"/>
          </w:tcPr>
          <w:p w14:paraId="131A73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40.0</w:t>
            </w:r>
          </w:p>
        </w:tc>
        <w:tc>
          <w:tcPr>
            <w:tcW w:w="425" w:type="dxa"/>
          </w:tcPr>
          <w:p w14:paraId="78C308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51.3</w:t>
            </w:r>
          </w:p>
        </w:tc>
        <w:tc>
          <w:tcPr>
            <w:tcW w:w="425" w:type="dxa"/>
          </w:tcPr>
          <w:p w14:paraId="6D3787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54.9</w:t>
            </w:r>
          </w:p>
        </w:tc>
        <w:tc>
          <w:tcPr>
            <w:tcW w:w="426" w:type="dxa"/>
          </w:tcPr>
          <w:p w14:paraId="065296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58.8</w:t>
            </w:r>
          </w:p>
        </w:tc>
        <w:tc>
          <w:tcPr>
            <w:tcW w:w="425" w:type="dxa"/>
          </w:tcPr>
          <w:p w14:paraId="296447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68.7</w:t>
            </w:r>
          </w:p>
        </w:tc>
        <w:tc>
          <w:tcPr>
            <w:tcW w:w="425" w:type="dxa"/>
          </w:tcPr>
          <w:p w14:paraId="0713F5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71.4</w:t>
            </w:r>
          </w:p>
        </w:tc>
        <w:tc>
          <w:tcPr>
            <w:tcW w:w="425" w:type="dxa"/>
          </w:tcPr>
          <w:p w14:paraId="23CDCE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77.1</w:t>
            </w:r>
          </w:p>
        </w:tc>
        <w:tc>
          <w:tcPr>
            <w:tcW w:w="426" w:type="dxa"/>
          </w:tcPr>
          <w:p w14:paraId="2965A8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78.1</w:t>
            </w:r>
          </w:p>
        </w:tc>
        <w:tc>
          <w:tcPr>
            <w:tcW w:w="425" w:type="dxa"/>
          </w:tcPr>
          <w:p w14:paraId="3C104E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80.1</w:t>
            </w:r>
          </w:p>
        </w:tc>
        <w:tc>
          <w:tcPr>
            <w:tcW w:w="567" w:type="dxa"/>
          </w:tcPr>
          <w:p w14:paraId="58AAAE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84.8</w:t>
            </w:r>
          </w:p>
        </w:tc>
        <w:tc>
          <w:tcPr>
            <w:tcW w:w="567" w:type="dxa"/>
          </w:tcPr>
          <w:p w14:paraId="26E755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739.4</w:t>
            </w:r>
          </w:p>
        </w:tc>
      </w:tr>
      <w:tr w:rsidR="002B1C74" w:rsidRPr="002F2FDF" w14:paraId="09DBA199" w14:textId="77777777">
        <w:trPr>
          <w:gridAfter w:val="1"/>
          <w:wAfter w:w="17" w:type="dxa"/>
        </w:trPr>
        <w:tc>
          <w:tcPr>
            <w:tcW w:w="1186" w:type="dxa"/>
          </w:tcPr>
          <w:p w14:paraId="1409A2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1916 год </w:t>
            </w:r>
          </w:p>
        </w:tc>
        <w:tc>
          <w:tcPr>
            <w:tcW w:w="515" w:type="dxa"/>
          </w:tcPr>
          <w:p w14:paraId="50BDA5D0" w14:textId="1BCB77AB"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6" w:type="dxa"/>
          </w:tcPr>
          <w:p w14:paraId="168EEC5D" w14:textId="7E86CC83"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040E706C" w14:textId="5F3B3C75"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38FBA166" w14:textId="409CA82E"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286B8871" w14:textId="180BBD9C"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6" w:type="dxa"/>
          </w:tcPr>
          <w:p w14:paraId="405E2E58" w14:textId="5FF4B757"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7824B0E5" w14:textId="56874C4F"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32A3339C" w14:textId="268A050C"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39FFA93C" w14:textId="79D2ADFB"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6" w:type="dxa"/>
          </w:tcPr>
          <w:p w14:paraId="200C3A2A" w14:textId="3FED285F"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10202F28" w14:textId="18B55716"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567" w:type="dxa"/>
          </w:tcPr>
          <w:p w14:paraId="3DBDD976" w14:textId="01CC0F1B"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567" w:type="dxa"/>
          </w:tcPr>
          <w:p w14:paraId="374C6C18" w14:textId="2B4E092A"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3A254E68" w14:textId="77777777">
        <w:trPr>
          <w:gridAfter w:val="1"/>
          <w:wAfter w:w="17" w:type="dxa"/>
        </w:trPr>
        <w:tc>
          <w:tcPr>
            <w:tcW w:w="1186" w:type="dxa"/>
          </w:tcPr>
          <w:p w14:paraId="49D32B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Тульский</w:t>
            </w:r>
          </w:p>
        </w:tc>
        <w:tc>
          <w:tcPr>
            <w:tcW w:w="515" w:type="dxa"/>
          </w:tcPr>
          <w:p w14:paraId="454B9F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43.2</w:t>
            </w:r>
          </w:p>
        </w:tc>
        <w:tc>
          <w:tcPr>
            <w:tcW w:w="426" w:type="dxa"/>
          </w:tcPr>
          <w:p w14:paraId="012229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45.6</w:t>
            </w:r>
          </w:p>
        </w:tc>
        <w:tc>
          <w:tcPr>
            <w:tcW w:w="425" w:type="dxa"/>
          </w:tcPr>
          <w:p w14:paraId="1697CF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52.0</w:t>
            </w:r>
          </w:p>
        </w:tc>
        <w:tc>
          <w:tcPr>
            <w:tcW w:w="425" w:type="dxa"/>
          </w:tcPr>
          <w:p w14:paraId="59045C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52.0</w:t>
            </w:r>
          </w:p>
        </w:tc>
        <w:tc>
          <w:tcPr>
            <w:tcW w:w="425" w:type="dxa"/>
          </w:tcPr>
          <w:p w14:paraId="176074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52.0</w:t>
            </w:r>
          </w:p>
        </w:tc>
        <w:tc>
          <w:tcPr>
            <w:tcW w:w="426" w:type="dxa"/>
          </w:tcPr>
          <w:p w14:paraId="6A7500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53.0</w:t>
            </w:r>
          </w:p>
        </w:tc>
        <w:tc>
          <w:tcPr>
            <w:tcW w:w="425" w:type="dxa"/>
          </w:tcPr>
          <w:p w14:paraId="25A2F7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56.0</w:t>
            </w:r>
          </w:p>
        </w:tc>
        <w:tc>
          <w:tcPr>
            <w:tcW w:w="425" w:type="dxa"/>
          </w:tcPr>
          <w:p w14:paraId="78022C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57.0</w:t>
            </w:r>
          </w:p>
        </w:tc>
        <w:tc>
          <w:tcPr>
            <w:tcW w:w="425" w:type="dxa"/>
          </w:tcPr>
          <w:p w14:paraId="066F75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58.0</w:t>
            </w:r>
          </w:p>
        </w:tc>
        <w:tc>
          <w:tcPr>
            <w:tcW w:w="426" w:type="dxa"/>
          </w:tcPr>
          <w:p w14:paraId="7CFA39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59.0</w:t>
            </w:r>
          </w:p>
        </w:tc>
        <w:tc>
          <w:tcPr>
            <w:tcW w:w="425" w:type="dxa"/>
          </w:tcPr>
          <w:p w14:paraId="2682E3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60.0</w:t>
            </w:r>
          </w:p>
        </w:tc>
        <w:tc>
          <w:tcPr>
            <w:tcW w:w="567" w:type="dxa"/>
          </w:tcPr>
          <w:p w14:paraId="066487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61.0</w:t>
            </w:r>
          </w:p>
        </w:tc>
        <w:tc>
          <w:tcPr>
            <w:tcW w:w="567" w:type="dxa"/>
          </w:tcPr>
          <w:p w14:paraId="59A215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648.8</w:t>
            </w:r>
          </w:p>
        </w:tc>
      </w:tr>
      <w:tr w:rsidR="002B1C74" w:rsidRPr="002F2FDF" w14:paraId="4281F78D" w14:textId="77777777">
        <w:trPr>
          <w:gridAfter w:val="1"/>
          <w:wAfter w:w="17" w:type="dxa"/>
        </w:trPr>
        <w:tc>
          <w:tcPr>
            <w:tcW w:w="1186" w:type="dxa"/>
          </w:tcPr>
          <w:p w14:paraId="443DC2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Ижевский</w:t>
            </w:r>
          </w:p>
        </w:tc>
        <w:tc>
          <w:tcPr>
            <w:tcW w:w="515" w:type="dxa"/>
          </w:tcPr>
          <w:p w14:paraId="104C1C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36.0</w:t>
            </w:r>
          </w:p>
        </w:tc>
        <w:tc>
          <w:tcPr>
            <w:tcW w:w="426" w:type="dxa"/>
          </w:tcPr>
          <w:p w14:paraId="52EEA8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33.1</w:t>
            </w:r>
          </w:p>
        </w:tc>
        <w:tc>
          <w:tcPr>
            <w:tcW w:w="425" w:type="dxa"/>
          </w:tcPr>
          <w:p w14:paraId="28D096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37.7</w:t>
            </w:r>
          </w:p>
        </w:tc>
        <w:tc>
          <w:tcPr>
            <w:tcW w:w="425" w:type="dxa"/>
          </w:tcPr>
          <w:p w14:paraId="651E14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38.0</w:t>
            </w:r>
          </w:p>
        </w:tc>
        <w:tc>
          <w:tcPr>
            <w:tcW w:w="425" w:type="dxa"/>
          </w:tcPr>
          <w:p w14:paraId="4DF864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38.4</w:t>
            </w:r>
          </w:p>
        </w:tc>
        <w:tc>
          <w:tcPr>
            <w:tcW w:w="426" w:type="dxa"/>
          </w:tcPr>
          <w:p w14:paraId="4D383D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38.7</w:t>
            </w:r>
          </w:p>
        </w:tc>
        <w:tc>
          <w:tcPr>
            <w:tcW w:w="425" w:type="dxa"/>
          </w:tcPr>
          <w:p w14:paraId="019CB5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40.8</w:t>
            </w:r>
          </w:p>
        </w:tc>
        <w:tc>
          <w:tcPr>
            <w:tcW w:w="425" w:type="dxa"/>
          </w:tcPr>
          <w:p w14:paraId="73DB04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43.2</w:t>
            </w:r>
          </w:p>
        </w:tc>
        <w:tc>
          <w:tcPr>
            <w:tcW w:w="425" w:type="dxa"/>
          </w:tcPr>
          <w:p w14:paraId="3458B0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45.3</w:t>
            </w:r>
          </w:p>
        </w:tc>
        <w:tc>
          <w:tcPr>
            <w:tcW w:w="426" w:type="dxa"/>
          </w:tcPr>
          <w:p w14:paraId="4989FA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50.2</w:t>
            </w:r>
          </w:p>
        </w:tc>
        <w:tc>
          <w:tcPr>
            <w:tcW w:w="425" w:type="dxa"/>
          </w:tcPr>
          <w:p w14:paraId="4D571E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50.4</w:t>
            </w:r>
          </w:p>
        </w:tc>
        <w:tc>
          <w:tcPr>
            <w:tcW w:w="567" w:type="dxa"/>
          </w:tcPr>
          <w:p w14:paraId="223519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53.2</w:t>
            </w:r>
          </w:p>
        </w:tc>
        <w:tc>
          <w:tcPr>
            <w:tcW w:w="567" w:type="dxa"/>
          </w:tcPr>
          <w:p w14:paraId="6A11A8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504.9</w:t>
            </w:r>
          </w:p>
        </w:tc>
      </w:tr>
      <w:tr w:rsidR="002B1C74" w:rsidRPr="002F2FDF" w14:paraId="74837F3A" w14:textId="77777777">
        <w:trPr>
          <w:gridAfter w:val="1"/>
          <w:wAfter w:w="17" w:type="dxa"/>
        </w:trPr>
        <w:tc>
          <w:tcPr>
            <w:tcW w:w="1186" w:type="dxa"/>
          </w:tcPr>
          <w:p w14:paraId="0F02C7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Сестрорецкий</w:t>
            </w:r>
          </w:p>
        </w:tc>
        <w:tc>
          <w:tcPr>
            <w:tcW w:w="515" w:type="dxa"/>
          </w:tcPr>
          <w:p w14:paraId="78A197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10.2</w:t>
            </w:r>
          </w:p>
        </w:tc>
        <w:tc>
          <w:tcPr>
            <w:tcW w:w="426" w:type="dxa"/>
          </w:tcPr>
          <w:p w14:paraId="6A4C08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425" w:type="dxa"/>
          </w:tcPr>
          <w:p w14:paraId="01EB08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10.8</w:t>
            </w:r>
          </w:p>
        </w:tc>
        <w:tc>
          <w:tcPr>
            <w:tcW w:w="425" w:type="dxa"/>
          </w:tcPr>
          <w:p w14:paraId="30B1C9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425" w:type="dxa"/>
          </w:tcPr>
          <w:p w14:paraId="2F78EF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12.5</w:t>
            </w:r>
          </w:p>
        </w:tc>
        <w:tc>
          <w:tcPr>
            <w:tcW w:w="426" w:type="dxa"/>
          </w:tcPr>
          <w:p w14:paraId="4D7C6A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12.6</w:t>
            </w:r>
          </w:p>
        </w:tc>
        <w:tc>
          <w:tcPr>
            <w:tcW w:w="425" w:type="dxa"/>
          </w:tcPr>
          <w:p w14:paraId="3911E3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13.0</w:t>
            </w:r>
          </w:p>
        </w:tc>
        <w:tc>
          <w:tcPr>
            <w:tcW w:w="425" w:type="dxa"/>
          </w:tcPr>
          <w:p w14:paraId="7E43D6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13.8</w:t>
            </w:r>
          </w:p>
        </w:tc>
        <w:tc>
          <w:tcPr>
            <w:tcW w:w="425" w:type="dxa"/>
          </w:tcPr>
          <w:p w14:paraId="0B8651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w:t>
            </w:r>
          </w:p>
        </w:tc>
        <w:tc>
          <w:tcPr>
            <w:tcW w:w="426" w:type="dxa"/>
          </w:tcPr>
          <w:p w14:paraId="3B0165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14.5</w:t>
            </w:r>
          </w:p>
        </w:tc>
        <w:tc>
          <w:tcPr>
            <w:tcW w:w="425" w:type="dxa"/>
          </w:tcPr>
          <w:p w14:paraId="3FB059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13.3</w:t>
            </w:r>
          </w:p>
        </w:tc>
        <w:tc>
          <w:tcPr>
            <w:tcW w:w="567" w:type="dxa"/>
          </w:tcPr>
          <w:p w14:paraId="6B5A7E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13.0</w:t>
            </w:r>
          </w:p>
        </w:tc>
        <w:tc>
          <w:tcPr>
            <w:tcW w:w="567" w:type="dxa"/>
          </w:tcPr>
          <w:p w14:paraId="09BB60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147.8</w:t>
            </w:r>
          </w:p>
        </w:tc>
      </w:tr>
      <w:tr w:rsidR="002B1C74" w:rsidRPr="002F2FDF" w14:paraId="54D493FD" w14:textId="77777777">
        <w:trPr>
          <w:gridAfter w:val="1"/>
          <w:wAfter w:w="17" w:type="dxa"/>
        </w:trPr>
        <w:tc>
          <w:tcPr>
            <w:tcW w:w="1186" w:type="dxa"/>
          </w:tcPr>
          <w:p w14:paraId="73B4C7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515" w:type="dxa"/>
          </w:tcPr>
          <w:p w14:paraId="794F09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89.4</w:t>
            </w:r>
          </w:p>
        </w:tc>
        <w:tc>
          <w:tcPr>
            <w:tcW w:w="426" w:type="dxa"/>
          </w:tcPr>
          <w:p w14:paraId="6831169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88.7</w:t>
            </w:r>
          </w:p>
        </w:tc>
        <w:tc>
          <w:tcPr>
            <w:tcW w:w="425" w:type="dxa"/>
          </w:tcPr>
          <w:p w14:paraId="3E3B91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100.5</w:t>
            </w:r>
          </w:p>
        </w:tc>
        <w:tc>
          <w:tcPr>
            <w:tcW w:w="425" w:type="dxa"/>
          </w:tcPr>
          <w:p w14:paraId="0E4E25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100.0</w:t>
            </w:r>
          </w:p>
        </w:tc>
        <w:tc>
          <w:tcPr>
            <w:tcW w:w="425" w:type="dxa"/>
          </w:tcPr>
          <w:p w14:paraId="66F513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102.9</w:t>
            </w:r>
          </w:p>
        </w:tc>
        <w:tc>
          <w:tcPr>
            <w:tcW w:w="426" w:type="dxa"/>
          </w:tcPr>
          <w:p w14:paraId="630675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104.3</w:t>
            </w:r>
          </w:p>
        </w:tc>
        <w:tc>
          <w:tcPr>
            <w:tcW w:w="425" w:type="dxa"/>
          </w:tcPr>
          <w:p w14:paraId="09DFF0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109.8</w:t>
            </w:r>
          </w:p>
        </w:tc>
        <w:tc>
          <w:tcPr>
            <w:tcW w:w="425" w:type="dxa"/>
          </w:tcPr>
          <w:p w14:paraId="6F0866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114.0</w:t>
            </w:r>
          </w:p>
        </w:tc>
        <w:tc>
          <w:tcPr>
            <w:tcW w:w="425" w:type="dxa"/>
          </w:tcPr>
          <w:p w14:paraId="304A95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117.3</w:t>
            </w:r>
          </w:p>
        </w:tc>
        <w:tc>
          <w:tcPr>
            <w:tcW w:w="426" w:type="dxa"/>
          </w:tcPr>
          <w:p w14:paraId="384DD3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123.7</w:t>
            </w:r>
          </w:p>
        </w:tc>
        <w:tc>
          <w:tcPr>
            <w:tcW w:w="425" w:type="dxa"/>
          </w:tcPr>
          <w:p w14:paraId="1CAD63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123.7</w:t>
            </w:r>
          </w:p>
        </w:tc>
        <w:tc>
          <w:tcPr>
            <w:tcW w:w="567" w:type="dxa"/>
          </w:tcPr>
          <w:p w14:paraId="42D813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127.2</w:t>
            </w:r>
          </w:p>
        </w:tc>
        <w:tc>
          <w:tcPr>
            <w:tcW w:w="567" w:type="dxa"/>
          </w:tcPr>
          <w:p w14:paraId="7669D3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1301.4</w:t>
            </w:r>
          </w:p>
        </w:tc>
      </w:tr>
      <w:tr w:rsidR="002B1C74" w:rsidRPr="002F2FDF" w14:paraId="037E1CB5" w14:textId="77777777">
        <w:tc>
          <w:tcPr>
            <w:tcW w:w="1186" w:type="dxa"/>
          </w:tcPr>
          <w:p w14:paraId="7A3E41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1917 год </w:t>
            </w:r>
          </w:p>
        </w:tc>
        <w:tc>
          <w:tcPr>
            <w:tcW w:w="515" w:type="dxa"/>
          </w:tcPr>
          <w:p w14:paraId="415EF25E" w14:textId="1A6A2DEE"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6" w:type="dxa"/>
          </w:tcPr>
          <w:p w14:paraId="7284C89A" w14:textId="617C74F0"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6B10AE95" w14:textId="362D3C8E"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7A068708" w14:textId="3B6432D2"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67773650" w14:textId="75DEA747"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6" w:type="dxa"/>
          </w:tcPr>
          <w:p w14:paraId="636B975E" w14:textId="7A624674"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319AD81A" w14:textId="552221C0"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1C6126F4" w14:textId="52D69E11"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56201962" w14:textId="1816E572"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6" w:type="dxa"/>
          </w:tcPr>
          <w:p w14:paraId="287AAE07" w14:textId="10226A51"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425" w:type="dxa"/>
          </w:tcPr>
          <w:p w14:paraId="05730BD4" w14:textId="4EC72A7E"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567" w:type="dxa"/>
          </w:tcPr>
          <w:p w14:paraId="299969DB" w14:textId="64C3EDBB"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584" w:type="dxa"/>
            <w:gridSpan w:val="2"/>
          </w:tcPr>
          <w:p w14:paraId="7D7EC5FB" w14:textId="268BB4D0"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3114555F" w14:textId="77777777">
        <w:tc>
          <w:tcPr>
            <w:tcW w:w="1186" w:type="dxa"/>
          </w:tcPr>
          <w:p w14:paraId="181FFC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Тульский</w:t>
            </w:r>
          </w:p>
        </w:tc>
        <w:tc>
          <w:tcPr>
            <w:tcW w:w="515" w:type="dxa"/>
          </w:tcPr>
          <w:p w14:paraId="1E1C51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62.0</w:t>
            </w:r>
          </w:p>
        </w:tc>
        <w:tc>
          <w:tcPr>
            <w:tcW w:w="426" w:type="dxa"/>
          </w:tcPr>
          <w:p w14:paraId="3F66F5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42.0</w:t>
            </w:r>
          </w:p>
        </w:tc>
        <w:tc>
          <w:tcPr>
            <w:tcW w:w="425" w:type="dxa"/>
          </w:tcPr>
          <w:p w14:paraId="6BE7C7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58.4</w:t>
            </w:r>
          </w:p>
        </w:tc>
        <w:tc>
          <w:tcPr>
            <w:tcW w:w="425" w:type="dxa"/>
          </w:tcPr>
          <w:p w14:paraId="35E2C4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47.8</w:t>
            </w:r>
          </w:p>
        </w:tc>
        <w:tc>
          <w:tcPr>
            <w:tcW w:w="425" w:type="dxa"/>
          </w:tcPr>
          <w:p w14:paraId="578A1E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51.5</w:t>
            </w:r>
          </w:p>
        </w:tc>
        <w:tc>
          <w:tcPr>
            <w:tcW w:w="426" w:type="dxa"/>
          </w:tcPr>
          <w:p w14:paraId="68BEBE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54.1</w:t>
            </w:r>
          </w:p>
        </w:tc>
        <w:tc>
          <w:tcPr>
            <w:tcW w:w="425" w:type="dxa"/>
          </w:tcPr>
          <w:p w14:paraId="78A6B7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40.5</w:t>
            </w:r>
          </w:p>
        </w:tc>
        <w:tc>
          <w:tcPr>
            <w:tcW w:w="425" w:type="dxa"/>
          </w:tcPr>
          <w:p w14:paraId="2ECF78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37.5</w:t>
            </w:r>
          </w:p>
        </w:tc>
        <w:tc>
          <w:tcPr>
            <w:tcW w:w="425" w:type="dxa"/>
          </w:tcPr>
          <w:p w14:paraId="685AE0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40.0</w:t>
            </w:r>
          </w:p>
        </w:tc>
        <w:tc>
          <w:tcPr>
            <w:tcW w:w="426" w:type="dxa"/>
          </w:tcPr>
          <w:p w14:paraId="017055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28.1</w:t>
            </w:r>
          </w:p>
        </w:tc>
        <w:tc>
          <w:tcPr>
            <w:tcW w:w="425" w:type="dxa"/>
          </w:tcPr>
          <w:p w14:paraId="4D9473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29.6</w:t>
            </w:r>
          </w:p>
        </w:tc>
        <w:tc>
          <w:tcPr>
            <w:tcW w:w="567" w:type="dxa"/>
          </w:tcPr>
          <w:p w14:paraId="5319BD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15.2</w:t>
            </w:r>
          </w:p>
        </w:tc>
        <w:tc>
          <w:tcPr>
            <w:tcW w:w="584" w:type="dxa"/>
            <w:gridSpan w:val="2"/>
          </w:tcPr>
          <w:p w14:paraId="1D7874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506.7</w:t>
            </w:r>
          </w:p>
        </w:tc>
      </w:tr>
      <w:tr w:rsidR="002B1C74" w:rsidRPr="002F2FDF" w14:paraId="28F75825" w14:textId="77777777">
        <w:tc>
          <w:tcPr>
            <w:tcW w:w="1186" w:type="dxa"/>
          </w:tcPr>
          <w:p w14:paraId="741BEB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Ижевскиий</w:t>
            </w:r>
          </w:p>
        </w:tc>
        <w:tc>
          <w:tcPr>
            <w:tcW w:w="515" w:type="dxa"/>
          </w:tcPr>
          <w:p w14:paraId="6E29BD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55.7</w:t>
            </w:r>
          </w:p>
        </w:tc>
        <w:tc>
          <w:tcPr>
            <w:tcW w:w="426" w:type="dxa"/>
          </w:tcPr>
          <w:p w14:paraId="525E43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39.0</w:t>
            </w:r>
          </w:p>
        </w:tc>
        <w:tc>
          <w:tcPr>
            <w:tcW w:w="425" w:type="dxa"/>
          </w:tcPr>
          <w:p w14:paraId="055B10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55.8</w:t>
            </w:r>
          </w:p>
        </w:tc>
        <w:tc>
          <w:tcPr>
            <w:tcW w:w="425" w:type="dxa"/>
          </w:tcPr>
          <w:p w14:paraId="1193AA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52.7</w:t>
            </w:r>
          </w:p>
        </w:tc>
        <w:tc>
          <w:tcPr>
            <w:tcW w:w="425" w:type="dxa"/>
          </w:tcPr>
          <w:p w14:paraId="68EDBD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55.1</w:t>
            </w:r>
          </w:p>
        </w:tc>
        <w:tc>
          <w:tcPr>
            <w:tcW w:w="426" w:type="dxa"/>
          </w:tcPr>
          <w:p w14:paraId="037C9F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54.0</w:t>
            </w:r>
          </w:p>
        </w:tc>
        <w:tc>
          <w:tcPr>
            <w:tcW w:w="425" w:type="dxa"/>
          </w:tcPr>
          <w:p w14:paraId="5EFA4B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46.8</w:t>
            </w:r>
          </w:p>
        </w:tc>
        <w:tc>
          <w:tcPr>
            <w:tcW w:w="425" w:type="dxa"/>
          </w:tcPr>
          <w:p w14:paraId="432158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31.3</w:t>
            </w:r>
          </w:p>
        </w:tc>
        <w:tc>
          <w:tcPr>
            <w:tcW w:w="425" w:type="dxa"/>
          </w:tcPr>
          <w:p w14:paraId="715992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w:t>
            </w:r>
          </w:p>
        </w:tc>
        <w:tc>
          <w:tcPr>
            <w:tcW w:w="426" w:type="dxa"/>
          </w:tcPr>
          <w:p w14:paraId="144529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32.5</w:t>
            </w:r>
          </w:p>
        </w:tc>
        <w:tc>
          <w:tcPr>
            <w:tcW w:w="425" w:type="dxa"/>
          </w:tcPr>
          <w:p w14:paraId="3C5634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28.8</w:t>
            </w:r>
          </w:p>
        </w:tc>
        <w:tc>
          <w:tcPr>
            <w:tcW w:w="567" w:type="dxa"/>
          </w:tcPr>
          <w:p w14:paraId="523AF8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24.3</w:t>
            </w:r>
          </w:p>
        </w:tc>
        <w:tc>
          <w:tcPr>
            <w:tcW w:w="584" w:type="dxa"/>
            <w:gridSpan w:val="2"/>
          </w:tcPr>
          <w:p w14:paraId="3B6190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505.9</w:t>
            </w:r>
          </w:p>
        </w:tc>
      </w:tr>
      <w:tr w:rsidR="002B1C74" w:rsidRPr="002F2FDF" w14:paraId="473E485E" w14:textId="77777777">
        <w:tc>
          <w:tcPr>
            <w:tcW w:w="1186" w:type="dxa"/>
          </w:tcPr>
          <w:p w14:paraId="33FD58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Сестрорецкий</w:t>
            </w:r>
          </w:p>
        </w:tc>
        <w:tc>
          <w:tcPr>
            <w:tcW w:w="515" w:type="dxa"/>
          </w:tcPr>
          <w:p w14:paraId="19386D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11.1</w:t>
            </w:r>
          </w:p>
        </w:tc>
        <w:tc>
          <w:tcPr>
            <w:tcW w:w="426" w:type="dxa"/>
          </w:tcPr>
          <w:p w14:paraId="24BE79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w:t>
            </w:r>
          </w:p>
        </w:tc>
        <w:tc>
          <w:tcPr>
            <w:tcW w:w="425" w:type="dxa"/>
          </w:tcPr>
          <w:p w14:paraId="3A4441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w:t>
            </w:r>
          </w:p>
        </w:tc>
        <w:tc>
          <w:tcPr>
            <w:tcW w:w="425" w:type="dxa"/>
          </w:tcPr>
          <w:p w14:paraId="677F96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w:t>
            </w:r>
          </w:p>
        </w:tc>
        <w:tc>
          <w:tcPr>
            <w:tcW w:w="425" w:type="dxa"/>
          </w:tcPr>
          <w:p w14:paraId="24CB76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9.9</w:t>
            </w:r>
          </w:p>
        </w:tc>
        <w:tc>
          <w:tcPr>
            <w:tcW w:w="426" w:type="dxa"/>
          </w:tcPr>
          <w:p w14:paraId="2C939A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9.8</w:t>
            </w:r>
          </w:p>
        </w:tc>
        <w:tc>
          <w:tcPr>
            <w:tcW w:w="425" w:type="dxa"/>
          </w:tcPr>
          <w:p w14:paraId="3596D1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8.6</w:t>
            </w:r>
          </w:p>
        </w:tc>
        <w:tc>
          <w:tcPr>
            <w:tcW w:w="425" w:type="dxa"/>
          </w:tcPr>
          <w:p w14:paraId="75E5BB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9.8</w:t>
            </w:r>
          </w:p>
        </w:tc>
        <w:tc>
          <w:tcPr>
            <w:tcW w:w="425" w:type="dxa"/>
          </w:tcPr>
          <w:p w14:paraId="095C82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w:t>
            </w:r>
          </w:p>
        </w:tc>
        <w:tc>
          <w:tcPr>
            <w:tcW w:w="426" w:type="dxa"/>
          </w:tcPr>
          <w:p w14:paraId="3D03A5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10.7</w:t>
            </w:r>
          </w:p>
        </w:tc>
        <w:tc>
          <w:tcPr>
            <w:tcW w:w="425" w:type="dxa"/>
          </w:tcPr>
          <w:p w14:paraId="4FE292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8.1</w:t>
            </w:r>
          </w:p>
        </w:tc>
        <w:tc>
          <w:tcPr>
            <w:tcW w:w="567" w:type="dxa"/>
          </w:tcPr>
          <w:p w14:paraId="420F4C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w:t>
            </w:r>
          </w:p>
        </w:tc>
        <w:tc>
          <w:tcPr>
            <w:tcW w:w="584" w:type="dxa"/>
            <w:gridSpan w:val="2"/>
          </w:tcPr>
          <w:p w14:paraId="5FEDF7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98.9</w:t>
            </w:r>
          </w:p>
        </w:tc>
      </w:tr>
      <w:tr w:rsidR="002B1C74" w:rsidRPr="002F2FDF" w14:paraId="6C464655" w14:textId="77777777">
        <w:tc>
          <w:tcPr>
            <w:tcW w:w="1186" w:type="dxa"/>
            <w:tcBorders>
              <w:bottom w:val="single" w:sz="12" w:space="0" w:color="auto"/>
            </w:tcBorders>
          </w:tcPr>
          <w:p w14:paraId="3B6B12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515" w:type="dxa"/>
            <w:tcBorders>
              <w:bottom w:val="single" w:sz="12" w:space="0" w:color="auto"/>
            </w:tcBorders>
          </w:tcPr>
          <w:p w14:paraId="15BDBF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128.8</w:t>
            </w:r>
          </w:p>
        </w:tc>
        <w:tc>
          <w:tcPr>
            <w:tcW w:w="426" w:type="dxa"/>
            <w:tcBorders>
              <w:bottom w:val="single" w:sz="12" w:space="0" w:color="auto"/>
            </w:tcBorders>
          </w:tcPr>
          <w:p w14:paraId="2B68A1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92.0</w:t>
            </w:r>
          </w:p>
        </w:tc>
        <w:tc>
          <w:tcPr>
            <w:tcW w:w="425" w:type="dxa"/>
            <w:tcBorders>
              <w:bottom w:val="single" w:sz="12" w:space="0" w:color="auto"/>
            </w:tcBorders>
          </w:tcPr>
          <w:p w14:paraId="67F7BD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120.6</w:t>
            </w:r>
          </w:p>
        </w:tc>
        <w:tc>
          <w:tcPr>
            <w:tcW w:w="425" w:type="dxa"/>
            <w:tcBorders>
              <w:bottom w:val="single" w:sz="12" w:space="0" w:color="auto"/>
            </w:tcBorders>
          </w:tcPr>
          <w:p w14:paraId="262FA2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101.7</w:t>
            </w:r>
          </w:p>
        </w:tc>
        <w:tc>
          <w:tcPr>
            <w:tcW w:w="425" w:type="dxa"/>
            <w:tcBorders>
              <w:bottom w:val="single" w:sz="12" w:space="0" w:color="auto"/>
            </w:tcBorders>
          </w:tcPr>
          <w:p w14:paraId="0C84ED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116.4</w:t>
            </w:r>
          </w:p>
        </w:tc>
        <w:tc>
          <w:tcPr>
            <w:tcW w:w="426" w:type="dxa"/>
            <w:tcBorders>
              <w:bottom w:val="single" w:sz="12" w:space="0" w:color="auto"/>
            </w:tcBorders>
          </w:tcPr>
          <w:p w14:paraId="629F25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117.9</w:t>
            </w:r>
          </w:p>
        </w:tc>
        <w:tc>
          <w:tcPr>
            <w:tcW w:w="425" w:type="dxa"/>
            <w:tcBorders>
              <w:bottom w:val="single" w:sz="12" w:space="0" w:color="auto"/>
            </w:tcBorders>
          </w:tcPr>
          <w:p w14:paraId="0E669C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95.9</w:t>
            </w:r>
          </w:p>
        </w:tc>
        <w:tc>
          <w:tcPr>
            <w:tcW w:w="425" w:type="dxa"/>
            <w:tcBorders>
              <w:bottom w:val="single" w:sz="12" w:space="0" w:color="auto"/>
            </w:tcBorders>
          </w:tcPr>
          <w:p w14:paraId="118D62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78.6</w:t>
            </w:r>
          </w:p>
        </w:tc>
        <w:tc>
          <w:tcPr>
            <w:tcW w:w="425" w:type="dxa"/>
            <w:tcBorders>
              <w:bottom w:val="single" w:sz="12" w:space="0" w:color="auto"/>
            </w:tcBorders>
          </w:tcPr>
          <w:p w14:paraId="780826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78.0</w:t>
            </w:r>
          </w:p>
        </w:tc>
        <w:tc>
          <w:tcPr>
            <w:tcW w:w="426" w:type="dxa"/>
            <w:tcBorders>
              <w:bottom w:val="single" w:sz="12" w:space="0" w:color="auto"/>
            </w:tcBorders>
          </w:tcPr>
          <w:p w14:paraId="6BB64B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71.3</w:t>
            </w:r>
          </w:p>
        </w:tc>
        <w:tc>
          <w:tcPr>
            <w:tcW w:w="425" w:type="dxa"/>
            <w:tcBorders>
              <w:bottom w:val="single" w:sz="12" w:space="0" w:color="auto"/>
            </w:tcBorders>
          </w:tcPr>
          <w:p w14:paraId="4B6F17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66.5</w:t>
            </w:r>
          </w:p>
        </w:tc>
        <w:tc>
          <w:tcPr>
            <w:tcW w:w="567" w:type="dxa"/>
            <w:tcBorders>
              <w:bottom w:val="single" w:sz="12" w:space="0" w:color="auto"/>
            </w:tcBorders>
          </w:tcPr>
          <w:p w14:paraId="7FD32F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43.7</w:t>
            </w:r>
          </w:p>
        </w:tc>
        <w:tc>
          <w:tcPr>
            <w:tcW w:w="584" w:type="dxa"/>
            <w:gridSpan w:val="2"/>
            <w:tcBorders>
              <w:bottom w:val="single" w:sz="12" w:space="0" w:color="auto"/>
            </w:tcBorders>
          </w:tcPr>
          <w:p w14:paraId="63E53C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1111.4</w:t>
            </w:r>
          </w:p>
        </w:tc>
      </w:tr>
    </w:tbl>
    <w:p w14:paraId="5F0523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Мощность оружейных заводов к началу войны, по составу их оборудования, оценивалась, при расчете на 2-2,5 сменную работу, в следующих цифрах: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56"/>
        <w:gridCol w:w="1356"/>
        <w:gridCol w:w="1356"/>
        <w:gridCol w:w="1356"/>
      </w:tblGrid>
      <w:tr w:rsidR="002B1C74" w:rsidRPr="002F2FDF" w14:paraId="195E8103" w14:textId="77777777">
        <w:tc>
          <w:tcPr>
            <w:tcW w:w="1356" w:type="dxa"/>
            <w:tcBorders>
              <w:top w:val="single" w:sz="12" w:space="0" w:color="auto"/>
            </w:tcBorders>
          </w:tcPr>
          <w:p w14:paraId="6324C407" w14:textId="31A6BD0E"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1356" w:type="dxa"/>
            <w:tcBorders>
              <w:top w:val="single" w:sz="12" w:space="0" w:color="auto"/>
            </w:tcBorders>
          </w:tcPr>
          <w:p w14:paraId="14813296" w14:textId="3DEF9C70"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1356" w:type="dxa"/>
            <w:tcBorders>
              <w:top w:val="single" w:sz="12" w:space="0" w:color="auto"/>
            </w:tcBorders>
          </w:tcPr>
          <w:p w14:paraId="3B7E69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год</w:t>
            </w:r>
          </w:p>
        </w:tc>
        <w:tc>
          <w:tcPr>
            <w:tcW w:w="1356" w:type="dxa"/>
            <w:tcBorders>
              <w:top w:val="single" w:sz="12" w:space="0" w:color="auto"/>
            </w:tcBorders>
          </w:tcPr>
          <w:p w14:paraId="7BA238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месяц</w:t>
            </w:r>
          </w:p>
        </w:tc>
      </w:tr>
      <w:tr w:rsidR="002B1C74" w:rsidRPr="002F2FDF" w14:paraId="0F67D421" w14:textId="77777777">
        <w:tc>
          <w:tcPr>
            <w:tcW w:w="1356" w:type="dxa"/>
          </w:tcPr>
          <w:p w14:paraId="598802F7" w14:textId="44361A1F"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1356" w:type="dxa"/>
          </w:tcPr>
          <w:p w14:paraId="51E6A4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Тульский завод</w:t>
            </w:r>
          </w:p>
        </w:tc>
        <w:tc>
          <w:tcPr>
            <w:tcW w:w="1356" w:type="dxa"/>
          </w:tcPr>
          <w:p w14:paraId="183D17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250.000</w:t>
            </w:r>
          </w:p>
        </w:tc>
        <w:tc>
          <w:tcPr>
            <w:tcW w:w="1356" w:type="dxa"/>
          </w:tcPr>
          <w:p w14:paraId="7ABF13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21.000</w:t>
            </w:r>
          </w:p>
        </w:tc>
      </w:tr>
      <w:tr w:rsidR="002B1C74" w:rsidRPr="002F2FDF" w14:paraId="2C667DEA" w14:textId="77777777">
        <w:tc>
          <w:tcPr>
            <w:tcW w:w="1356" w:type="dxa"/>
          </w:tcPr>
          <w:p w14:paraId="1D41A712" w14:textId="716D8789"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1356" w:type="dxa"/>
          </w:tcPr>
          <w:p w14:paraId="7AB310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Ижевский</w:t>
            </w:r>
          </w:p>
        </w:tc>
        <w:tc>
          <w:tcPr>
            <w:tcW w:w="1356" w:type="dxa"/>
          </w:tcPr>
          <w:p w14:paraId="427B39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200.000</w:t>
            </w:r>
          </w:p>
        </w:tc>
        <w:tc>
          <w:tcPr>
            <w:tcW w:w="1356" w:type="dxa"/>
          </w:tcPr>
          <w:p w14:paraId="0C657C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17.000</w:t>
            </w:r>
          </w:p>
        </w:tc>
      </w:tr>
      <w:tr w:rsidR="002B1C74" w:rsidRPr="002F2FDF" w14:paraId="3051C0A8" w14:textId="77777777">
        <w:tc>
          <w:tcPr>
            <w:tcW w:w="1356" w:type="dxa"/>
          </w:tcPr>
          <w:p w14:paraId="72F9490E" w14:textId="10C17E13"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1356" w:type="dxa"/>
          </w:tcPr>
          <w:p w14:paraId="607490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Сестрорецкий</w:t>
            </w:r>
          </w:p>
        </w:tc>
        <w:tc>
          <w:tcPr>
            <w:tcW w:w="1356" w:type="dxa"/>
          </w:tcPr>
          <w:p w14:paraId="72CA07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75.000</w:t>
            </w:r>
          </w:p>
        </w:tc>
        <w:tc>
          <w:tcPr>
            <w:tcW w:w="1356" w:type="dxa"/>
          </w:tcPr>
          <w:p w14:paraId="4B8109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6.000</w:t>
            </w:r>
          </w:p>
        </w:tc>
      </w:tr>
      <w:tr w:rsidR="002B1C74" w:rsidRPr="002F2FDF" w14:paraId="2500F8D6" w14:textId="77777777">
        <w:tc>
          <w:tcPr>
            <w:tcW w:w="1356" w:type="dxa"/>
            <w:tcBorders>
              <w:bottom w:val="single" w:sz="12" w:space="0" w:color="auto"/>
            </w:tcBorders>
          </w:tcPr>
          <w:p w14:paraId="4B58AE85" w14:textId="40CED82E"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1356" w:type="dxa"/>
            <w:tcBorders>
              <w:bottom w:val="single" w:sz="12" w:space="0" w:color="auto"/>
            </w:tcBorders>
          </w:tcPr>
          <w:p w14:paraId="242BF4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1356" w:type="dxa"/>
            <w:tcBorders>
              <w:bottom w:val="single" w:sz="12" w:space="0" w:color="auto"/>
            </w:tcBorders>
          </w:tcPr>
          <w:p w14:paraId="4557E6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525.000</w:t>
            </w:r>
          </w:p>
        </w:tc>
        <w:tc>
          <w:tcPr>
            <w:tcW w:w="1356" w:type="dxa"/>
            <w:tcBorders>
              <w:bottom w:val="single" w:sz="12" w:space="0" w:color="auto"/>
            </w:tcBorders>
          </w:tcPr>
          <w:p w14:paraId="583284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44.000</w:t>
            </w:r>
          </w:p>
        </w:tc>
      </w:tr>
    </w:tbl>
    <w:p w14:paraId="3156E4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Из приведенных таблиц видно, что заводы, начав разворачивать производство с августа 1914 г., в каковой [месяц] было выпущено суммарно 10,3 тыс. винтовок, достигли своего номинального довоенного максимума, 44 тыс., в апреле 1915 г., то есть на 9-м месяце. Дальнейшее развитие производительности шло за счет форсировки производственных процессов (увеличение скоростей резания и подачи на станках и пр.), за счет увеличения числа рабочих дней в месяце и за счет усиления станочного парка завода путем постановки нового оборудования. </w:t>
      </w:r>
    </w:p>
    <w:p w14:paraId="6D96B1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Если принять указанный максимум (44 тыс.) за единицу, то суммарный выпуск винтовок, возрастет следующим образом: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12"/>
        <w:gridCol w:w="864"/>
        <w:gridCol w:w="828"/>
        <w:gridCol w:w="912"/>
      </w:tblGrid>
      <w:tr w:rsidR="002B1C74" w:rsidRPr="002F2FDF" w14:paraId="2CBAC26B" w14:textId="77777777">
        <w:tc>
          <w:tcPr>
            <w:tcW w:w="912" w:type="dxa"/>
            <w:tcBorders>
              <w:top w:val="single" w:sz="12" w:space="0" w:color="auto"/>
            </w:tcBorders>
          </w:tcPr>
          <w:p w14:paraId="4930C6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1911 г.</w:t>
            </w:r>
          </w:p>
        </w:tc>
        <w:tc>
          <w:tcPr>
            <w:tcW w:w="864" w:type="dxa"/>
            <w:tcBorders>
              <w:top w:val="single" w:sz="12" w:space="0" w:color="auto"/>
            </w:tcBorders>
          </w:tcPr>
          <w:p w14:paraId="6F4342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w:t>
            </w:r>
          </w:p>
        </w:tc>
        <w:tc>
          <w:tcPr>
            <w:tcW w:w="828" w:type="dxa"/>
            <w:tcBorders>
              <w:top w:val="single" w:sz="12" w:space="0" w:color="auto"/>
            </w:tcBorders>
          </w:tcPr>
          <w:p w14:paraId="025920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912" w:type="dxa"/>
            <w:tcBorders>
              <w:top w:val="single" w:sz="12" w:space="0" w:color="auto"/>
            </w:tcBorders>
          </w:tcPr>
          <w:p w14:paraId="3050F4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r>
      <w:tr w:rsidR="002B1C74" w:rsidRPr="002F2FDF" w14:paraId="4846C6EF" w14:textId="77777777">
        <w:tc>
          <w:tcPr>
            <w:tcW w:w="912" w:type="dxa"/>
          </w:tcPr>
          <w:p w14:paraId="13C143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VIII - 0.25</w:t>
            </w:r>
          </w:p>
        </w:tc>
        <w:tc>
          <w:tcPr>
            <w:tcW w:w="864" w:type="dxa"/>
          </w:tcPr>
          <w:p w14:paraId="78400F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 0.87</w:t>
            </w:r>
          </w:p>
        </w:tc>
        <w:tc>
          <w:tcPr>
            <w:tcW w:w="828" w:type="dxa"/>
          </w:tcPr>
          <w:p w14:paraId="4CA47C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 2.23</w:t>
            </w:r>
          </w:p>
        </w:tc>
        <w:tc>
          <w:tcPr>
            <w:tcW w:w="912" w:type="dxa"/>
          </w:tcPr>
          <w:p w14:paraId="5D5606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 3.22</w:t>
            </w:r>
          </w:p>
        </w:tc>
      </w:tr>
      <w:tr w:rsidR="002B1C74" w:rsidRPr="002F2FDF" w14:paraId="2703448F" w14:textId="77777777">
        <w:tc>
          <w:tcPr>
            <w:tcW w:w="912" w:type="dxa"/>
          </w:tcPr>
          <w:p w14:paraId="5E4AAB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IX — 0.56</w:t>
            </w:r>
          </w:p>
        </w:tc>
        <w:tc>
          <w:tcPr>
            <w:tcW w:w="864" w:type="dxa"/>
          </w:tcPr>
          <w:p w14:paraId="71B522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 0.98</w:t>
            </w:r>
          </w:p>
        </w:tc>
        <w:tc>
          <w:tcPr>
            <w:tcW w:w="828" w:type="dxa"/>
          </w:tcPr>
          <w:p w14:paraId="4CE8A4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 2.21</w:t>
            </w:r>
          </w:p>
        </w:tc>
        <w:tc>
          <w:tcPr>
            <w:tcW w:w="912" w:type="dxa"/>
          </w:tcPr>
          <w:p w14:paraId="13EDDB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 2.25</w:t>
            </w:r>
          </w:p>
        </w:tc>
      </w:tr>
      <w:tr w:rsidR="002B1C74" w:rsidRPr="002F2FDF" w14:paraId="0A96A27F" w14:textId="77777777">
        <w:tc>
          <w:tcPr>
            <w:tcW w:w="912" w:type="dxa"/>
          </w:tcPr>
          <w:p w14:paraId="4369FA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 — 0.80</w:t>
            </w:r>
          </w:p>
        </w:tc>
        <w:tc>
          <w:tcPr>
            <w:tcW w:w="864" w:type="dxa"/>
          </w:tcPr>
          <w:p w14:paraId="53AE08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III — 1.00</w:t>
            </w:r>
          </w:p>
        </w:tc>
        <w:tc>
          <w:tcPr>
            <w:tcW w:w="828" w:type="dxa"/>
          </w:tcPr>
          <w:p w14:paraId="569846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III — 2.5</w:t>
            </w:r>
          </w:p>
        </w:tc>
        <w:tc>
          <w:tcPr>
            <w:tcW w:w="912" w:type="dxa"/>
          </w:tcPr>
          <w:p w14:paraId="2AE41216" w14:textId="1F58F149"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4A8A3DA" w14:textId="77777777">
        <w:tc>
          <w:tcPr>
            <w:tcW w:w="912" w:type="dxa"/>
          </w:tcPr>
          <w:p w14:paraId="4FE4A7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 — 0.88</w:t>
            </w:r>
          </w:p>
        </w:tc>
        <w:tc>
          <w:tcPr>
            <w:tcW w:w="864" w:type="dxa"/>
          </w:tcPr>
          <w:p w14:paraId="11EA3B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IV — 1.25</w:t>
            </w:r>
          </w:p>
        </w:tc>
        <w:tc>
          <w:tcPr>
            <w:tcW w:w="828" w:type="dxa"/>
          </w:tcPr>
          <w:p w14:paraId="61FC4E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IV — 2.5</w:t>
            </w:r>
          </w:p>
        </w:tc>
        <w:tc>
          <w:tcPr>
            <w:tcW w:w="912" w:type="dxa"/>
          </w:tcPr>
          <w:p w14:paraId="2762CEEA" w14:textId="0C8683C0"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51CB51C" w14:textId="77777777">
        <w:tc>
          <w:tcPr>
            <w:tcW w:w="912" w:type="dxa"/>
          </w:tcPr>
          <w:p w14:paraId="24A2A8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XII — 0.87</w:t>
            </w:r>
          </w:p>
        </w:tc>
        <w:tc>
          <w:tcPr>
            <w:tcW w:w="864" w:type="dxa"/>
          </w:tcPr>
          <w:p w14:paraId="0F2918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 — 1.37</w:t>
            </w:r>
          </w:p>
        </w:tc>
        <w:tc>
          <w:tcPr>
            <w:tcW w:w="828" w:type="dxa"/>
          </w:tcPr>
          <w:p w14:paraId="36A049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 — 2.57</w:t>
            </w:r>
          </w:p>
        </w:tc>
        <w:tc>
          <w:tcPr>
            <w:tcW w:w="912" w:type="dxa"/>
          </w:tcPr>
          <w:p w14:paraId="3E2B7B0F" w14:textId="01E938D3"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6220D176" w14:textId="77777777">
        <w:tc>
          <w:tcPr>
            <w:tcW w:w="912" w:type="dxa"/>
          </w:tcPr>
          <w:p w14:paraId="595CB1A9" w14:textId="05032336"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864" w:type="dxa"/>
          </w:tcPr>
          <w:p w14:paraId="54188C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 — 1.47</w:t>
            </w:r>
          </w:p>
        </w:tc>
        <w:tc>
          <w:tcPr>
            <w:tcW w:w="828" w:type="dxa"/>
          </w:tcPr>
          <w:p w14:paraId="4CE4C1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 — 2.6</w:t>
            </w:r>
          </w:p>
        </w:tc>
        <w:tc>
          <w:tcPr>
            <w:tcW w:w="912" w:type="dxa"/>
          </w:tcPr>
          <w:p w14:paraId="7ED23AA5" w14:textId="6272C264"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3685C5B" w14:textId="77777777">
        <w:tc>
          <w:tcPr>
            <w:tcW w:w="912" w:type="dxa"/>
          </w:tcPr>
          <w:p w14:paraId="20109015" w14:textId="5E83D707"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864" w:type="dxa"/>
          </w:tcPr>
          <w:p w14:paraId="367444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VII — 1.70</w:t>
            </w:r>
          </w:p>
        </w:tc>
        <w:tc>
          <w:tcPr>
            <w:tcW w:w="828" w:type="dxa"/>
          </w:tcPr>
          <w:p w14:paraId="258432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VII — 2.78</w:t>
            </w:r>
          </w:p>
        </w:tc>
        <w:tc>
          <w:tcPr>
            <w:tcW w:w="912" w:type="dxa"/>
          </w:tcPr>
          <w:p w14:paraId="5B923782" w14:textId="732362ED"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DCB6D67" w14:textId="77777777">
        <w:tc>
          <w:tcPr>
            <w:tcW w:w="912" w:type="dxa"/>
          </w:tcPr>
          <w:p w14:paraId="25ABD8A4" w14:textId="529DA237"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864" w:type="dxa"/>
          </w:tcPr>
          <w:p w14:paraId="4CA2CD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VIII — 1.78</w:t>
            </w:r>
          </w:p>
        </w:tc>
        <w:tc>
          <w:tcPr>
            <w:tcW w:w="828" w:type="dxa"/>
          </w:tcPr>
          <w:p w14:paraId="1CAA75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VIII — 2.85</w:t>
            </w:r>
          </w:p>
        </w:tc>
        <w:tc>
          <w:tcPr>
            <w:tcW w:w="912" w:type="dxa"/>
          </w:tcPr>
          <w:p w14:paraId="525E7C17" w14:textId="33A5C889"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46C29B0" w14:textId="77777777">
        <w:tc>
          <w:tcPr>
            <w:tcW w:w="912" w:type="dxa"/>
          </w:tcPr>
          <w:p w14:paraId="5030C33C" w14:textId="112C7D7F"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864" w:type="dxa"/>
          </w:tcPr>
          <w:p w14:paraId="79BEC5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IX — 1.93</w:t>
            </w:r>
          </w:p>
        </w:tc>
        <w:tc>
          <w:tcPr>
            <w:tcW w:w="828" w:type="dxa"/>
          </w:tcPr>
          <w:p w14:paraId="269FAD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IX — 2.9</w:t>
            </w:r>
          </w:p>
        </w:tc>
        <w:tc>
          <w:tcPr>
            <w:tcW w:w="912" w:type="dxa"/>
          </w:tcPr>
          <w:p w14:paraId="56E18305" w14:textId="468CBFB4"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764A123C" w14:textId="77777777">
        <w:tc>
          <w:tcPr>
            <w:tcW w:w="912" w:type="dxa"/>
          </w:tcPr>
          <w:p w14:paraId="64881ABA" w14:textId="2E2560F9"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864" w:type="dxa"/>
          </w:tcPr>
          <w:p w14:paraId="547650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 — 1.95</w:t>
            </w:r>
          </w:p>
        </w:tc>
        <w:tc>
          <w:tcPr>
            <w:tcW w:w="828" w:type="dxa"/>
          </w:tcPr>
          <w:p w14:paraId="5A0C4C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 — 3.0</w:t>
            </w:r>
          </w:p>
        </w:tc>
        <w:tc>
          <w:tcPr>
            <w:tcW w:w="912" w:type="dxa"/>
          </w:tcPr>
          <w:p w14:paraId="24CD628A" w14:textId="5EBDBA33"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3D4B622C" w14:textId="77777777">
        <w:tc>
          <w:tcPr>
            <w:tcW w:w="912" w:type="dxa"/>
          </w:tcPr>
          <w:p w14:paraId="12AA7A4A" w14:textId="377E3857"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864" w:type="dxa"/>
          </w:tcPr>
          <w:p w14:paraId="312231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 — 2.0</w:t>
            </w:r>
          </w:p>
        </w:tc>
        <w:tc>
          <w:tcPr>
            <w:tcW w:w="828" w:type="dxa"/>
          </w:tcPr>
          <w:p w14:paraId="07CBA2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 — 3.0</w:t>
            </w:r>
          </w:p>
        </w:tc>
        <w:tc>
          <w:tcPr>
            <w:tcW w:w="912" w:type="dxa"/>
          </w:tcPr>
          <w:p w14:paraId="2A348E7F" w14:textId="5150BCA0"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420391AD" w14:textId="77777777">
        <w:tc>
          <w:tcPr>
            <w:tcW w:w="912" w:type="dxa"/>
            <w:tcBorders>
              <w:bottom w:val="single" w:sz="12" w:space="0" w:color="auto"/>
            </w:tcBorders>
          </w:tcPr>
          <w:p w14:paraId="10020921" w14:textId="261426CA"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864" w:type="dxa"/>
            <w:tcBorders>
              <w:bottom w:val="single" w:sz="12" w:space="0" w:color="auto"/>
            </w:tcBorders>
          </w:tcPr>
          <w:p w14:paraId="3924F3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XII — 2.1</w:t>
            </w:r>
          </w:p>
        </w:tc>
        <w:tc>
          <w:tcPr>
            <w:tcW w:w="828" w:type="dxa"/>
            <w:tcBorders>
              <w:bottom w:val="single" w:sz="12" w:space="0" w:color="auto"/>
            </w:tcBorders>
          </w:tcPr>
          <w:p w14:paraId="59B0B8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XII — 3.2</w:t>
            </w:r>
          </w:p>
        </w:tc>
        <w:tc>
          <w:tcPr>
            <w:tcW w:w="912" w:type="dxa"/>
            <w:tcBorders>
              <w:bottom w:val="single" w:sz="12" w:space="0" w:color="auto"/>
            </w:tcBorders>
          </w:tcPr>
          <w:p w14:paraId="6BA2076B" w14:textId="7F703E6E"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bl>
    <w:p w14:paraId="1DF872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Приведенные коэффициенты поучительны. Если учесть все обстоятельства, при которых они получены, то надо считать, что они показывают ту предельную календарную скорость разворачивания производства, которую практически можно требовать от оружейных заводов. Правда, разворачивание шло импровизированным порядком, без предварительной мобилизационной подготовки. Это обстоятельство, без сомнения, действовало тормозящим образом. Но, с другой стороны, работа шла под натиском жесточайшей форсировки, которая не могла бы быть допущена при плановом разворачивании. В итоге можно считать, что эти два фактора, противоположно влияющие, взаимно уравновешивались. </w:t>
      </w:r>
    </w:p>
    <w:p w14:paraId="5F587A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Из таблиц видно, что максимум, 44 тыс., достигнут на 9-м месяце. Что касается дальнейшего подъема производительности, то можно считать, что рост ее в пределах коэффициентов от 1 до 1,3 можно отнести за счет форсировки работы, то есть увеличения скоростей подач, увеличения рабочих дней в месяце и пр. Дальнейший же рост выше 1,3 — это результат усиления оборудования при наличии той же форсировки. </w:t>
      </w:r>
    </w:p>
    <w:p w14:paraId="60535B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таблиц видно также, что чем выше загрузка завода заказами в мирное время, тем в более короткий срок достигается максимум при мобилизационном разворачивании. Впрочем, это ясно, конечно, и без таблиц (11329).</w:t>
      </w:r>
    </w:p>
    <w:p w14:paraId="78E53B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p>
    <w:p w14:paraId="0D2C78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Разворачивание работы патронных заводов с началом мировой войны шло следующим образом (млн штук):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84"/>
        <w:gridCol w:w="360"/>
        <w:gridCol w:w="360"/>
        <w:gridCol w:w="123"/>
        <w:gridCol w:w="217"/>
        <w:gridCol w:w="326"/>
        <w:gridCol w:w="48"/>
        <w:gridCol w:w="362"/>
        <w:gridCol w:w="133"/>
        <w:gridCol w:w="229"/>
        <w:gridCol w:w="314"/>
        <w:gridCol w:w="60"/>
        <w:gridCol w:w="362"/>
        <w:gridCol w:w="90"/>
        <w:gridCol w:w="325"/>
        <w:gridCol w:w="222"/>
        <w:gridCol w:w="18"/>
        <w:gridCol w:w="131"/>
        <w:gridCol w:w="371"/>
        <w:gridCol w:w="27"/>
        <w:gridCol w:w="100"/>
        <w:gridCol w:w="244"/>
        <w:gridCol w:w="203"/>
        <w:gridCol w:w="61"/>
        <w:gridCol w:w="296"/>
      </w:tblGrid>
      <w:tr w:rsidR="002B1C74" w:rsidRPr="002F2FDF" w14:paraId="710C9117" w14:textId="77777777">
        <w:tc>
          <w:tcPr>
            <w:tcW w:w="1284" w:type="dxa"/>
            <w:tcBorders>
              <w:top w:val="single" w:sz="12" w:space="0" w:color="auto"/>
            </w:tcBorders>
          </w:tcPr>
          <w:p w14:paraId="7E292C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xml:space="preserve">1914 г. Месяцы </w:t>
            </w:r>
          </w:p>
        </w:tc>
        <w:tc>
          <w:tcPr>
            <w:tcW w:w="360" w:type="dxa"/>
            <w:tcBorders>
              <w:top w:val="single" w:sz="12" w:space="0" w:color="auto"/>
            </w:tcBorders>
          </w:tcPr>
          <w:p w14:paraId="0C8F32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w:t>
            </w:r>
          </w:p>
        </w:tc>
        <w:tc>
          <w:tcPr>
            <w:tcW w:w="360" w:type="dxa"/>
            <w:tcBorders>
              <w:top w:val="single" w:sz="12" w:space="0" w:color="auto"/>
            </w:tcBorders>
          </w:tcPr>
          <w:p w14:paraId="6C8F49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w:t>
            </w:r>
          </w:p>
        </w:tc>
        <w:tc>
          <w:tcPr>
            <w:tcW w:w="340" w:type="dxa"/>
            <w:gridSpan w:val="2"/>
            <w:tcBorders>
              <w:top w:val="single" w:sz="12" w:space="0" w:color="auto"/>
            </w:tcBorders>
          </w:tcPr>
          <w:p w14:paraId="500F50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III</w:t>
            </w:r>
          </w:p>
        </w:tc>
        <w:tc>
          <w:tcPr>
            <w:tcW w:w="374" w:type="dxa"/>
            <w:gridSpan w:val="2"/>
            <w:tcBorders>
              <w:top w:val="single" w:sz="12" w:space="0" w:color="auto"/>
            </w:tcBorders>
          </w:tcPr>
          <w:p w14:paraId="768F67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IV</w:t>
            </w:r>
          </w:p>
        </w:tc>
        <w:tc>
          <w:tcPr>
            <w:tcW w:w="362" w:type="dxa"/>
            <w:tcBorders>
              <w:top w:val="single" w:sz="12" w:space="0" w:color="auto"/>
            </w:tcBorders>
          </w:tcPr>
          <w:p w14:paraId="767745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w:t>
            </w:r>
          </w:p>
        </w:tc>
        <w:tc>
          <w:tcPr>
            <w:tcW w:w="362" w:type="dxa"/>
            <w:gridSpan w:val="2"/>
            <w:tcBorders>
              <w:top w:val="single" w:sz="12" w:space="0" w:color="auto"/>
            </w:tcBorders>
          </w:tcPr>
          <w:p w14:paraId="589F0E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w:t>
            </w:r>
          </w:p>
        </w:tc>
        <w:tc>
          <w:tcPr>
            <w:tcW w:w="374" w:type="dxa"/>
            <w:gridSpan w:val="2"/>
            <w:tcBorders>
              <w:top w:val="single" w:sz="12" w:space="0" w:color="auto"/>
            </w:tcBorders>
          </w:tcPr>
          <w:p w14:paraId="6907CD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VII</w:t>
            </w:r>
          </w:p>
        </w:tc>
        <w:tc>
          <w:tcPr>
            <w:tcW w:w="362" w:type="dxa"/>
            <w:tcBorders>
              <w:top w:val="single" w:sz="12" w:space="0" w:color="auto"/>
            </w:tcBorders>
          </w:tcPr>
          <w:p w14:paraId="6B6E16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VIII</w:t>
            </w:r>
          </w:p>
        </w:tc>
        <w:tc>
          <w:tcPr>
            <w:tcW w:w="415" w:type="dxa"/>
            <w:gridSpan w:val="2"/>
            <w:tcBorders>
              <w:top w:val="single" w:sz="12" w:space="0" w:color="auto"/>
            </w:tcBorders>
          </w:tcPr>
          <w:p w14:paraId="795195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IX</w:t>
            </w:r>
          </w:p>
        </w:tc>
        <w:tc>
          <w:tcPr>
            <w:tcW w:w="371" w:type="dxa"/>
            <w:gridSpan w:val="3"/>
            <w:tcBorders>
              <w:top w:val="single" w:sz="12" w:space="0" w:color="auto"/>
            </w:tcBorders>
          </w:tcPr>
          <w:p w14:paraId="49CEAA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w:t>
            </w:r>
          </w:p>
        </w:tc>
        <w:tc>
          <w:tcPr>
            <w:tcW w:w="371" w:type="dxa"/>
            <w:tcBorders>
              <w:top w:val="single" w:sz="12" w:space="0" w:color="auto"/>
            </w:tcBorders>
          </w:tcPr>
          <w:p w14:paraId="18746C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w:t>
            </w:r>
          </w:p>
        </w:tc>
        <w:tc>
          <w:tcPr>
            <w:tcW w:w="371" w:type="dxa"/>
            <w:gridSpan w:val="3"/>
            <w:tcBorders>
              <w:top w:val="single" w:sz="12" w:space="0" w:color="auto"/>
            </w:tcBorders>
          </w:tcPr>
          <w:p w14:paraId="45717E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XII</w:t>
            </w:r>
          </w:p>
        </w:tc>
        <w:tc>
          <w:tcPr>
            <w:tcW w:w="543" w:type="dxa"/>
            <w:gridSpan w:val="3"/>
            <w:tcBorders>
              <w:top w:val="single" w:sz="12" w:space="0" w:color="auto"/>
            </w:tcBorders>
          </w:tcPr>
          <w:p w14:paraId="2DFD7F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 за 1914 г.</w:t>
            </w:r>
          </w:p>
        </w:tc>
      </w:tr>
      <w:tr w:rsidR="002B1C74" w:rsidRPr="002F2FDF" w14:paraId="20C446BE" w14:textId="77777777">
        <w:tc>
          <w:tcPr>
            <w:tcW w:w="1284" w:type="dxa"/>
          </w:tcPr>
          <w:p w14:paraId="0A270B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Петроградские заводы</w:t>
            </w:r>
          </w:p>
        </w:tc>
        <w:tc>
          <w:tcPr>
            <w:tcW w:w="1434" w:type="dxa"/>
            <w:gridSpan w:val="6"/>
          </w:tcPr>
          <w:p w14:paraId="170164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среднем</w:t>
            </w:r>
          </w:p>
        </w:tc>
        <w:tc>
          <w:tcPr>
            <w:tcW w:w="1098" w:type="dxa"/>
            <w:gridSpan w:val="5"/>
          </w:tcPr>
          <w:p w14:paraId="2B7C67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27.0 </w:t>
            </w:r>
          </w:p>
        </w:tc>
        <w:tc>
          <w:tcPr>
            <w:tcW w:w="362" w:type="dxa"/>
          </w:tcPr>
          <w:p w14:paraId="5EA1E6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23.7</w:t>
            </w:r>
          </w:p>
        </w:tc>
        <w:tc>
          <w:tcPr>
            <w:tcW w:w="415" w:type="dxa"/>
            <w:gridSpan w:val="2"/>
          </w:tcPr>
          <w:p w14:paraId="040780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34.99</w:t>
            </w:r>
          </w:p>
        </w:tc>
        <w:tc>
          <w:tcPr>
            <w:tcW w:w="371" w:type="dxa"/>
            <w:gridSpan w:val="3"/>
          </w:tcPr>
          <w:p w14:paraId="2EEB8E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39.4</w:t>
            </w:r>
          </w:p>
        </w:tc>
        <w:tc>
          <w:tcPr>
            <w:tcW w:w="371" w:type="dxa"/>
          </w:tcPr>
          <w:p w14:paraId="1DBDE7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36.0</w:t>
            </w:r>
          </w:p>
        </w:tc>
        <w:tc>
          <w:tcPr>
            <w:tcW w:w="371" w:type="dxa"/>
            <w:gridSpan w:val="3"/>
          </w:tcPr>
          <w:p w14:paraId="196CAB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22.8</w:t>
            </w:r>
          </w:p>
        </w:tc>
        <w:tc>
          <w:tcPr>
            <w:tcW w:w="543" w:type="dxa"/>
            <w:gridSpan w:val="3"/>
          </w:tcPr>
          <w:p w14:paraId="78F9C3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156.9</w:t>
            </w:r>
          </w:p>
        </w:tc>
      </w:tr>
      <w:tr w:rsidR="002B1C74" w:rsidRPr="002F2FDF" w14:paraId="398EFBCA" w14:textId="77777777">
        <w:tc>
          <w:tcPr>
            <w:tcW w:w="1284" w:type="dxa"/>
          </w:tcPr>
          <w:p w14:paraId="24DAAE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Луганский завод</w:t>
            </w:r>
          </w:p>
        </w:tc>
        <w:tc>
          <w:tcPr>
            <w:tcW w:w="1434" w:type="dxa"/>
            <w:gridSpan w:val="6"/>
          </w:tcPr>
          <w:p w14:paraId="74628F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месяц</w:t>
            </w:r>
          </w:p>
        </w:tc>
        <w:tc>
          <w:tcPr>
            <w:tcW w:w="1098" w:type="dxa"/>
            <w:gridSpan w:val="5"/>
          </w:tcPr>
          <w:p w14:paraId="043262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18.0 </w:t>
            </w:r>
          </w:p>
        </w:tc>
        <w:tc>
          <w:tcPr>
            <w:tcW w:w="362" w:type="dxa"/>
          </w:tcPr>
          <w:p w14:paraId="1BF196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17.2</w:t>
            </w:r>
          </w:p>
        </w:tc>
        <w:tc>
          <w:tcPr>
            <w:tcW w:w="415" w:type="dxa"/>
            <w:gridSpan w:val="2"/>
          </w:tcPr>
          <w:p w14:paraId="1E1899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18.8</w:t>
            </w:r>
          </w:p>
        </w:tc>
        <w:tc>
          <w:tcPr>
            <w:tcW w:w="371" w:type="dxa"/>
            <w:gridSpan w:val="3"/>
          </w:tcPr>
          <w:p w14:paraId="30BAEC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19.8</w:t>
            </w:r>
          </w:p>
        </w:tc>
        <w:tc>
          <w:tcPr>
            <w:tcW w:w="371" w:type="dxa"/>
          </w:tcPr>
          <w:p w14:paraId="0E1018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19.9</w:t>
            </w:r>
          </w:p>
        </w:tc>
        <w:tc>
          <w:tcPr>
            <w:tcW w:w="371" w:type="dxa"/>
            <w:gridSpan w:val="3"/>
          </w:tcPr>
          <w:p w14:paraId="1A76DE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15.4</w:t>
            </w:r>
          </w:p>
        </w:tc>
        <w:tc>
          <w:tcPr>
            <w:tcW w:w="543" w:type="dxa"/>
            <w:gridSpan w:val="3"/>
          </w:tcPr>
          <w:p w14:paraId="5D4EF8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91.1</w:t>
            </w:r>
          </w:p>
        </w:tc>
      </w:tr>
      <w:tr w:rsidR="002B1C74" w:rsidRPr="002F2FDF" w14:paraId="5AF8CA1B" w14:textId="77777777">
        <w:tc>
          <w:tcPr>
            <w:tcW w:w="1284" w:type="dxa"/>
          </w:tcPr>
          <w:p w14:paraId="3D5E51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Тульский завод</w:t>
            </w:r>
          </w:p>
        </w:tc>
        <w:tc>
          <w:tcPr>
            <w:tcW w:w="2532" w:type="dxa"/>
            <w:gridSpan w:val="11"/>
          </w:tcPr>
          <w:p w14:paraId="66788C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1-е полугодие 1914 г. 14.7</w:t>
            </w:r>
          </w:p>
        </w:tc>
        <w:tc>
          <w:tcPr>
            <w:tcW w:w="362" w:type="dxa"/>
          </w:tcPr>
          <w:p w14:paraId="39A151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17.6</w:t>
            </w:r>
          </w:p>
        </w:tc>
        <w:tc>
          <w:tcPr>
            <w:tcW w:w="415" w:type="dxa"/>
            <w:gridSpan w:val="2"/>
          </w:tcPr>
          <w:p w14:paraId="7CB7A4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15.8</w:t>
            </w:r>
          </w:p>
        </w:tc>
        <w:tc>
          <w:tcPr>
            <w:tcW w:w="371" w:type="dxa"/>
            <w:gridSpan w:val="3"/>
          </w:tcPr>
          <w:p w14:paraId="2C3453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23.4</w:t>
            </w:r>
          </w:p>
        </w:tc>
        <w:tc>
          <w:tcPr>
            <w:tcW w:w="371" w:type="dxa"/>
          </w:tcPr>
          <w:p w14:paraId="6E6D0A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21.0</w:t>
            </w:r>
          </w:p>
        </w:tc>
        <w:tc>
          <w:tcPr>
            <w:tcW w:w="371" w:type="dxa"/>
            <w:gridSpan w:val="3"/>
          </w:tcPr>
          <w:p w14:paraId="682CC3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15.5</w:t>
            </w:r>
          </w:p>
        </w:tc>
        <w:tc>
          <w:tcPr>
            <w:tcW w:w="543" w:type="dxa"/>
            <w:gridSpan w:val="3"/>
          </w:tcPr>
          <w:p w14:paraId="185048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93.4</w:t>
            </w:r>
          </w:p>
        </w:tc>
      </w:tr>
      <w:tr w:rsidR="002B1C74" w:rsidRPr="002F2FDF" w14:paraId="74B40A93" w14:textId="77777777">
        <w:tc>
          <w:tcPr>
            <w:tcW w:w="1284" w:type="dxa"/>
          </w:tcPr>
          <w:p w14:paraId="156E55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360" w:type="dxa"/>
          </w:tcPr>
          <w:p w14:paraId="44D624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360" w:type="dxa"/>
          </w:tcPr>
          <w:p w14:paraId="66534B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340" w:type="dxa"/>
            <w:gridSpan w:val="2"/>
          </w:tcPr>
          <w:p w14:paraId="249297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374" w:type="dxa"/>
            <w:gridSpan w:val="2"/>
          </w:tcPr>
          <w:p w14:paraId="26CD11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362" w:type="dxa"/>
          </w:tcPr>
          <w:p w14:paraId="2432CE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362" w:type="dxa"/>
            <w:gridSpan w:val="2"/>
          </w:tcPr>
          <w:p w14:paraId="4C2084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374" w:type="dxa"/>
            <w:gridSpan w:val="2"/>
          </w:tcPr>
          <w:p w14:paraId="167BEB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362" w:type="dxa"/>
          </w:tcPr>
          <w:p w14:paraId="2B0EDA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58.6</w:t>
            </w:r>
          </w:p>
        </w:tc>
        <w:tc>
          <w:tcPr>
            <w:tcW w:w="415" w:type="dxa"/>
            <w:gridSpan w:val="2"/>
          </w:tcPr>
          <w:p w14:paraId="73D671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69.4</w:t>
            </w:r>
          </w:p>
        </w:tc>
        <w:tc>
          <w:tcPr>
            <w:tcW w:w="371" w:type="dxa"/>
            <w:gridSpan w:val="3"/>
          </w:tcPr>
          <w:p w14:paraId="04BFEB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82.6</w:t>
            </w:r>
          </w:p>
        </w:tc>
        <w:tc>
          <w:tcPr>
            <w:tcW w:w="371" w:type="dxa"/>
          </w:tcPr>
          <w:p w14:paraId="51A9B5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76.9</w:t>
            </w:r>
          </w:p>
        </w:tc>
        <w:tc>
          <w:tcPr>
            <w:tcW w:w="371" w:type="dxa"/>
            <w:gridSpan w:val="3"/>
          </w:tcPr>
          <w:p w14:paraId="76A217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53.8</w:t>
            </w:r>
          </w:p>
        </w:tc>
        <w:tc>
          <w:tcPr>
            <w:tcW w:w="543" w:type="dxa"/>
            <w:gridSpan w:val="3"/>
          </w:tcPr>
          <w:p w14:paraId="435A27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341.4</w:t>
            </w:r>
          </w:p>
        </w:tc>
      </w:tr>
      <w:tr w:rsidR="002B1C74" w:rsidRPr="002F2FDF" w14:paraId="3FED5C44" w14:textId="77777777">
        <w:tc>
          <w:tcPr>
            <w:tcW w:w="1284" w:type="dxa"/>
          </w:tcPr>
          <w:p w14:paraId="3A06A6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Коэффициент нарастания выхода патронов</w:t>
            </w:r>
          </w:p>
        </w:tc>
        <w:tc>
          <w:tcPr>
            <w:tcW w:w="360" w:type="dxa"/>
          </w:tcPr>
          <w:p w14:paraId="2C1E57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360" w:type="dxa"/>
          </w:tcPr>
          <w:p w14:paraId="22FEB5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340" w:type="dxa"/>
            <w:gridSpan w:val="2"/>
          </w:tcPr>
          <w:p w14:paraId="208DEA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374" w:type="dxa"/>
            <w:gridSpan w:val="2"/>
          </w:tcPr>
          <w:p w14:paraId="7F5A98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362" w:type="dxa"/>
          </w:tcPr>
          <w:p w14:paraId="51A884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362" w:type="dxa"/>
            <w:gridSpan w:val="2"/>
          </w:tcPr>
          <w:p w14:paraId="48FF41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374" w:type="dxa"/>
            <w:gridSpan w:val="2"/>
          </w:tcPr>
          <w:p w14:paraId="03750C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362" w:type="dxa"/>
          </w:tcPr>
          <w:p w14:paraId="3C7170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415" w:type="dxa"/>
            <w:gridSpan w:val="2"/>
          </w:tcPr>
          <w:p w14:paraId="66EDF3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c>
          <w:tcPr>
            <w:tcW w:w="371" w:type="dxa"/>
            <w:gridSpan w:val="3"/>
          </w:tcPr>
          <w:p w14:paraId="51987C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371" w:type="dxa"/>
          </w:tcPr>
          <w:p w14:paraId="61ECBC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w:t>
            </w:r>
          </w:p>
        </w:tc>
        <w:tc>
          <w:tcPr>
            <w:tcW w:w="371" w:type="dxa"/>
            <w:gridSpan w:val="3"/>
          </w:tcPr>
          <w:p w14:paraId="5211D6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0.9</w:t>
            </w:r>
          </w:p>
        </w:tc>
        <w:tc>
          <w:tcPr>
            <w:tcW w:w="543" w:type="dxa"/>
            <w:gridSpan w:val="3"/>
          </w:tcPr>
          <w:p w14:paraId="115D36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3EC091B5" w14:textId="77777777">
        <w:trPr>
          <w:gridAfter w:val="2"/>
          <w:wAfter w:w="355" w:type="dxa"/>
        </w:trPr>
        <w:tc>
          <w:tcPr>
            <w:tcW w:w="2127" w:type="dxa"/>
            <w:gridSpan w:val="4"/>
          </w:tcPr>
          <w:p w14:paraId="0FF974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 Месяцы</w:t>
            </w:r>
          </w:p>
        </w:tc>
        <w:tc>
          <w:tcPr>
            <w:tcW w:w="538" w:type="dxa"/>
            <w:gridSpan w:val="2"/>
          </w:tcPr>
          <w:p w14:paraId="6FF227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w:t>
            </w:r>
          </w:p>
        </w:tc>
        <w:tc>
          <w:tcPr>
            <w:tcW w:w="538" w:type="dxa"/>
            <w:gridSpan w:val="3"/>
          </w:tcPr>
          <w:p w14:paraId="37F240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w:t>
            </w:r>
          </w:p>
        </w:tc>
        <w:tc>
          <w:tcPr>
            <w:tcW w:w="538" w:type="dxa"/>
            <w:gridSpan w:val="2"/>
          </w:tcPr>
          <w:p w14:paraId="63950E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III</w:t>
            </w:r>
          </w:p>
        </w:tc>
        <w:tc>
          <w:tcPr>
            <w:tcW w:w="512" w:type="dxa"/>
            <w:gridSpan w:val="3"/>
          </w:tcPr>
          <w:p w14:paraId="68579D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IV</w:t>
            </w:r>
          </w:p>
        </w:tc>
        <w:tc>
          <w:tcPr>
            <w:tcW w:w="547" w:type="dxa"/>
            <w:gridSpan w:val="2"/>
          </w:tcPr>
          <w:p w14:paraId="044133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w:t>
            </w:r>
          </w:p>
        </w:tc>
        <w:tc>
          <w:tcPr>
            <w:tcW w:w="547" w:type="dxa"/>
            <w:gridSpan w:val="4"/>
          </w:tcPr>
          <w:p w14:paraId="545DC7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w:t>
            </w:r>
          </w:p>
        </w:tc>
        <w:tc>
          <w:tcPr>
            <w:tcW w:w="547" w:type="dxa"/>
            <w:gridSpan w:val="3"/>
          </w:tcPr>
          <w:p w14:paraId="2CB535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VII</w:t>
            </w:r>
          </w:p>
        </w:tc>
      </w:tr>
      <w:tr w:rsidR="002B1C74" w:rsidRPr="002F2FDF" w14:paraId="39602623" w14:textId="77777777">
        <w:trPr>
          <w:gridAfter w:val="2"/>
          <w:wAfter w:w="355" w:type="dxa"/>
        </w:trPr>
        <w:tc>
          <w:tcPr>
            <w:tcW w:w="2127" w:type="dxa"/>
            <w:gridSpan w:val="4"/>
          </w:tcPr>
          <w:p w14:paraId="7CA294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Петроградский завод</w:t>
            </w:r>
          </w:p>
        </w:tc>
        <w:tc>
          <w:tcPr>
            <w:tcW w:w="538" w:type="dxa"/>
            <w:gridSpan w:val="2"/>
          </w:tcPr>
          <w:p w14:paraId="0431C5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16.5</w:t>
            </w:r>
          </w:p>
        </w:tc>
        <w:tc>
          <w:tcPr>
            <w:tcW w:w="538" w:type="dxa"/>
            <w:gridSpan w:val="3"/>
          </w:tcPr>
          <w:p w14:paraId="047920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23.4</w:t>
            </w:r>
          </w:p>
        </w:tc>
        <w:tc>
          <w:tcPr>
            <w:tcW w:w="538" w:type="dxa"/>
            <w:gridSpan w:val="2"/>
          </w:tcPr>
          <w:p w14:paraId="35D6AC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33.1</w:t>
            </w:r>
          </w:p>
        </w:tc>
        <w:tc>
          <w:tcPr>
            <w:tcW w:w="512" w:type="dxa"/>
            <w:gridSpan w:val="3"/>
          </w:tcPr>
          <w:p w14:paraId="079D3E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40.7</w:t>
            </w:r>
          </w:p>
        </w:tc>
        <w:tc>
          <w:tcPr>
            <w:tcW w:w="547" w:type="dxa"/>
            <w:gridSpan w:val="2"/>
          </w:tcPr>
          <w:p w14:paraId="36859B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19.9</w:t>
            </w:r>
          </w:p>
        </w:tc>
        <w:tc>
          <w:tcPr>
            <w:tcW w:w="547" w:type="dxa"/>
            <w:gridSpan w:val="4"/>
          </w:tcPr>
          <w:p w14:paraId="3EBE28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29.5</w:t>
            </w:r>
          </w:p>
        </w:tc>
        <w:tc>
          <w:tcPr>
            <w:tcW w:w="547" w:type="dxa"/>
            <w:gridSpan w:val="3"/>
          </w:tcPr>
          <w:p w14:paraId="201DFC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30.2</w:t>
            </w:r>
          </w:p>
        </w:tc>
      </w:tr>
      <w:tr w:rsidR="002B1C74" w:rsidRPr="002F2FDF" w14:paraId="68A8F1DB" w14:textId="77777777">
        <w:trPr>
          <w:gridAfter w:val="2"/>
          <w:wAfter w:w="355" w:type="dxa"/>
        </w:trPr>
        <w:tc>
          <w:tcPr>
            <w:tcW w:w="2127" w:type="dxa"/>
            <w:gridSpan w:val="4"/>
          </w:tcPr>
          <w:p w14:paraId="38A3D3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Луганский завод</w:t>
            </w:r>
          </w:p>
        </w:tc>
        <w:tc>
          <w:tcPr>
            <w:tcW w:w="538" w:type="dxa"/>
            <w:gridSpan w:val="2"/>
          </w:tcPr>
          <w:p w14:paraId="7FFF27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17.6</w:t>
            </w:r>
          </w:p>
        </w:tc>
        <w:tc>
          <w:tcPr>
            <w:tcW w:w="538" w:type="dxa"/>
            <w:gridSpan w:val="3"/>
          </w:tcPr>
          <w:p w14:paraId="7AA395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21.4</w:t>
            </w:r>
          </w:p>
        </w:tc>
        <w:tc>
          <w:tcPr>
            <w:tcW w:w="538" w:type="dxa"/>
            <w:gridSpan w:val="2"/>
          </w:tcPr>
          <w:p w14:paraId="70B709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22.0</w:t>
            </w:r>
          </w:p>
        </w:tc>
        <w:tc>
          <w:tcPr>
            <w:tcW w:w="512" w:type="dxa"/>
            <w:gridSpan w:val="3"/>
          </w:tcPr>
          <w:p w14:paraId="38F940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25.1</w:t>
            </w:r>
          </w:p>
        </w:tc>
        <w:tc>
          <w:tcPr>
            <w:tcW w:w="547" w:type="dxa"/>
            <w:gridSpan w:val="2"/>
          </w:tcPr>
          <w:p w14:paraId="4D38C8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22.6</w:t>
            </w:r>
          </w:p>
        </w:tc>
        <w:tc>
          <w:tcPr>
            <w:tcW w:w="547" w:type="dxa"/>
            <w:gridSpan w:val="4"/>
          </w:tcPr>
          <w:p w14:paraId="16776F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22.3</w:t>
            </w:r>
          </w:p>
        </w:tc>
        <w:tc>
          <w:tcPr>
            <w:tcW w:w="547" w:type="dxa"/>
            <w:gridSpan w:val="3"/>
          </w:tcPr>
          <w:p w14:paraId="7EFDC6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35.1</w:t>
            </w:r>
          </w:p>
        </w:tc>
      </w:tr>
      <w:tr w:rsidR="002B1C74" w:rsidRPr="002F2FDF" w14:paraId="01556430" w14:textId="77777777">
        <w:trPr>
          <w:gridAfter w:val="2"/>
          <w:wAfter w:w="355" w:type="dxa"/>
        </w:trPr>
        <w:tc>
          <w:tcPr>
            <w:tcW w:w="2127" w:type="dxa"/>
            <w:gridSpan w:val="4"/>
          </w:tcPr>
          <w:p w14:paraId="345357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Тульский завод</w:t>
            </w:r>
          </w:p>
        </w:tc>
        <w:tc>
          <w:tcPr>
            <w:tcW w:w="538" w:type="dxa"/>
            <w:gridSpan w:val="2"/>
          </w:tcPr>
          <w:p w14:paraId="7C47BD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15.8</w:t>
            </w:r>
          </w:p>
        </w:tc>
        <w:tc>
          <w:tcPr>
            <w:tcW w:w="538" w:type="dxa"/>
            <w:gridSpan w:val="3"/>
          </w:tcPr>
          <w:p w14:paraId="673B8D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23.0</w:t>
            </w:r>
          </w:p>
        </w:tc>
        <w:tc>
          <w:tcPr>
            <w:tcW w:w="538" w:type="dxa"/>
            <w:gridSpan w:val="2"/>
          </w:tcPr>
          <w:p w14:paraId="72C019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13.9</w:t>
            </w:r>
          </w:p>
        </w:tc>
        <w:tc>
          <w:tcPr>
            <w:tcW w:w="512" w:type="dxa"/>
            <w:gridSpan w:val="3"/>
          </w:tcPr>
          <w:p w14:paraId="4E93DF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25.1</w:t>
            </w:r>
          </w:p>
        </w:tc>
        <w:tc>
          <w:tcPr>
            <w:tcW w:w="547" w:type="dxa"/>
            <w:gridSpan w:val="2"/>
          </w:tcPr>
          <w:p w14:paraId="1A002A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21.1</w:t>
            </w:r>
          </w:p>
        </w:tc>
        <w:tc>
          <w:tcPr>
            <w:tcW w:w="547" w:type="dxa"/>
            <w:gridSpan w:val="4"/>
          </w:tcPr>
          <w:p w14:paraId="1375FA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18.5</w:t>
            </w:r>
          </w:p>
        </w:tc>
        <w:tc>
          <w:tcPr>
            <w:tcW w:w="547" w:type="dxa"/>
            <w:gridSpan w:val="3"/>
          </w:tcPr>
          <w:p w14:paraId="30066B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25.0</w:t>
            </w:r>
          </w:p>
        </w:tc>
      </w:tr>
      <w:tr w:rsidR="002B1C74" w:rsidRPr="002F2FDF" w14:paraId="149994B7" w14:textId="77777777">
        <w:trPr>
          <w:gridAfter w:val="2"/>
          <w:wAfter w:w="355" w:type="dxa"/>
        </w:trPr>
        <w:tc>
          <w:tcPr>
            <w:tcW w:w="2127" w:type="dxa"/>
            <w:gridSpan w:val="4"/>
          </w:tcPr>
          <w:p w14:paraId="43F142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538" w:type="dxa"/>
            <w:gridSpan w:val="2"/>
          </w:tcPr>
          <w:p w14:paraId="19912A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49.9</w:t>
            </w:r>
          </w:p>
        </w:tc>
        <w:tc>
          <w:tcPr>
            <w:tcW w:w="538" w:type="dxa"/>
            <w:gridSpan w:val="3"/>
          </w:tcPr>
          <w:p w14:paraId="7109FC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67.8</w:t>
            </w:r>
          </w:p>
        </w:tc>
        <w:tc>
          <w:tcPr>
            <w:tcW w:w="538" w:type="dxa"/>
            <w:gridSpan w:val="2"/>
          </w:tcPr>
          <w:p w14:paraId="27180E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68.9</w:t>
            </w:r>
          </w:p>
        </w:tc>
        <w:tc>
          <w:tcPr>
            <w:tcW w:w="512" w:type="dxa"/>
            <w:gridSpan w:val="3"/>
          </w:tcPr>
          <w:p w14:paraId="60EAE4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90.8</w:t>
            </w:r>
          </w:p>
        </w:tc>
        <w:tc>
          <w:tcPr>
            <w:tcW w:w="547" w:type="dxa"/>
            <w:gridSpan w:val="2"/>
          </w:tcPr>
          <w:p w14:paraId="2E45C0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63.6</w:t>
            </w:r>
          </w:p>
        </w:tc>
        <w:tc>
          <w:tcPr>
            <w:tcW w:w="547" w:type="dxa"/>
            <w:gridSpan w:val="4"/>
          </w:tcPr>
          <w:p w14:paraId="44F8EC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70.3</w:t>
            </w:r>
          </w:p>
        </w:tc>
        <w:tc>
          <w:tcPr>
            <w:tcW w:w="547" w:type="dxa"/>
            <w:gridSpan w:val="3"/>
          </w:tcPr>
          <w:p w14:paraId="1C8AD1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90.3</w:t>
            </w:r>
          </w:p>
        </w:tc>
      </w:tr>
      <w:tr w:rsidR="002B1C74" w:rsidRPr="002F2FDF" w14:paraId="4A836CCA" w14:textId="77777777">
        <w:trPr>
          <w:gridAfter w:val="2"/>
          <w:wAfter w:w="355" w:type="dxa"/>
        </w:trPr>
        <w:tc>
          <w:tcPr>
            <w:tcW w:w="2127" w:type="dxa"/>
            <w:gridSpan w:val="4"/>
          </w:tcPr>
          <w:p w14:paraId="62EAE7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Коэффициент нарастания</w:t>
            </w:r>
          </w:p>
        </w:tc>
        <w:tc>
          <w:tcPr>
            <w:tcW w:w="538" w:type="dxa"/>
            <w:gridSpan w:val="2"/>
          </w:tcPr>
          <w:p w14:paraId="68D058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0.8</w:t>
            </w:r>
          </w:p>
        </w:tc>
        <w:tc>
          <w:tcPr>
            <w:tcW w:w="538" w:type="dxa"/>
            <w:gridSpan w:val="3"/>
          </w:tcPr>
          <w:p w14:paraId="1BEC55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538" w:type="dxa"/>
            <w:gridSpan w:val="2"/>
          </w:tcPr>
          <w:p w14:paraId="5496B2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c>
          <w:tcPr>
            <w:tcW w:w="512" w:type="dxa"/>
            <w:gridSpan w:val="3"/>
          </w:tcPr>
          <w:p w14:paraId="343C93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547" w:type="dxa"/>
            <w:gridSpan w:val="2"/>
          </w:tcPr>
          <w:p w14:paraId="12EAC4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547" w:type="dxa"/>
            <w:gridSpan w:val="4"/>
          </w:tcPr>
          <w:p w14:paraId="538F23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c>
          <w:tcPr>
            <w:tcW w:w="547" w:type="dxa"/>
            <w:gridSpan w:val="3"/>
          </w:tcPr>
          <w:p w14:paraId="354C48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r>
      <w:tr w:rsidR="002B1C74" w:rsidRPr="002F2FDF" w14:paraId="3867ED9D" w14:textId="77777777">
        <w:trPr>
          <w:gridAfter w:val="4"/>
          <w:wAfter w:w="802" w:type="dxa"/>
        </w:trPr>
        <w:tc>
          <w:tcPr>
            <w:tcW w:w="2127" w:type="dxa"/>
            <w:gridSpan w:val="4"/>
          </w:tcPr>
          <w:p w14:paraId="2EF170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1915 г. Месяцы </w:t>
            </w:r>
          </w:p>
        </w:tc>
        <w:tc>
          <w:tcPr>
            <w:tcW w:w="543" w:type="dxa"/>
            <w:gridSpan w:val="2"/>
          </w:tcPr>
          <w:p w14:paraId="7F75C6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VIII</w:t>
            </w:r>
          </w:p>
        </w:tc>
        <w:tc>
          <w:tcPr>
            <w:tcW w:w="543" w:type="dxa"/>
            <w:gridSpan w:val="3"/>
          </w:tcPr>
          <w:p w14:paraId="6452BA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IX</w:t>
            </w:r>
          </w:p>
        </w:tc>
        <w:tc>
          <w:tcPr>
            <w:tcW w:w="543" w:type="dxa"/>
            <w:gridSpan w:val="2"/>
          </w:tcPr>
          <w:p w14:paraId="54CC85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w:t>
            </w:r>
          </w:p>
        </w:tc>
        <w:tc>
          <w:tcPr>
            <w:tcW w:w="497" w:type="dxa"/>
            <w:gridSpan w:val="3"/>
          </w:tcPr>
          <w:p w14:paraId="452583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w:t>
            </w:r>
          </w:p>
        </w:tc>
        <w:tc>
          <w:tcPr>
            <w:tcW w:w="565" w:type="dxa"/>
            <w:gridSpan w:val="3"/>
          </w:tcPr>
          <w:p w14:paraId="4B41E8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XII</w:t>
            </w:r>
          </w:p>
        </w:tc>
        <w:tc>
          <w:tcPr>
            <w:tcW w:w="629" w:type="dxa"/>
            <w:gridSpan w:val="4"/>
          </w:tcPr>
          <w:p w14:paraId="3A71BC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r>
      <w:tr w:rsidR="002B1C74" w:rsidRPr="002F2FDF" w14:paraId="5C6E173D" w14:textId="77777777">
        <w:trPr>
          <w:gridAfter w:val="4"/>
          <w:wAfter w:w="802" w:type="dxa"/>
        </w:trPr>
        <w:tc>
          <w:tcPr>
            <w:tcW w:w="2127" w:type="dxa"/>
            <w:gridSpan w:val="4"/>
          </w:tcPr>
          <w:p w14:paraId="06136C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Петроградский завод</w:t>
            </w:r>
          </w:p>
        </w:tc>
        <w:tc>
          <w:tcPr>
            <w:tcW w:w="543" w:type="dxa"/>
            <w:gridSpan w:val="2"/>
          </w:tcPr>
          <w:p w14:paraId="32404E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40.1</w:t>
            </w:r>
          </w:p>
        </w:tc>
        <w:tc>
          <w:tcPr>
            <w:tcW w:w="543" w:type="dxa"/>
            <w:gridSpan w:val="3"/>
          </w:tcPr>
          <w:p w14:paraId="68173A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40.2</w:t>
            </w:r>
          </w:p>
        </w:tc>
        <w:tc>
          <w:tcPr>
            <w:tcW w:w="543" w:type="dxa"/>
            <w:gridSpan w:val="2"/>
          </w:tcPr>
          <w:p w14:paraId="5E3AC9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50.0</w:t>
            </w:r>
          </w:p>
        </w:tc>
        <w:tc>
          <w:tcPr>
            <w:tcW w:w="497" w:type="dxa"/>
            <w:gridSpan w:val="3"/>
          </w:tcPr>
          <w:p w14:paraId="1050B5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59.0</w:t>
            </w:r>
          </w:p>
        </w:tc>
        <w:tc>
          <w:tcPr>
            <w:tcW w:w="565" w:type="dxa"/>
            <w:gridSpan w:val="3"/>
          </w:tcPr>
          <w:p w14:paraId="033C8C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53.7</w:t>
            </w:r>
          </w:p>
        </w:tc>
        <w:tc>
          <w:tcPr>
            <w:tcW w:w="629" w:type="dxa"/>
            <w:gridSpan w:val="4"/>
          </w:tcPr>
          <w:p w14:paraId="44F094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436.5</w:t>
            </w:r>
          </w:p>
        </w:tc>
      </w:tr>
      <w:tr w:rsidR="002B1C74" w:rsidRPr="002F2FDF" w14:paraId="123DA401" w14:textId="77777777">
        <w:trPr>
          <w:gridAfter w:val="4"/>
          <w:wAfter w:w="802" w:type="dxa"/>
        </w:trPr>
        <w:tc>
          <w:tcPr>
            <w:tcW w:w="2127" w:type="dxa"/>
            <w:gridSpan w:val="4"/>
          </w:tcPr>
          <w:p w14:paraId="067E6A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Луганский завод</w:t>
            </w:r>
          </w:p>
        </w:tc>
        <w:tc>
          <w:tcPr>
            <w:tcW w:w="543" w:type="dxa"/>
            <w:gridSpan w:val="2"/>
          </w:tcPr>
          <w:p w14:paraId="3ACF88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29.2</w:t>
            </w:r>
          </w:p>
        </w:tc>
        <w:tc>
          <w:tcPr>
            <w:tcW w:w="543" w:type="dxa"/>
            <w:gridSpan w:val="3"/>
          </w:tcPr>
          <w:p w14:paraId="46A70C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26.5</w:t>
            </w:r>
          </w:p>
        </w:tc>
        <w:tc>
          <w:tcPr>
            <w:tcW w:w="543" w:type="dxa"/>
            <w:gridSpan w:val="2"/>
          </w:tcPr>
          <w:p w14:paraId="1186E8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34.4</w:t>
            </w:r>
          </w:p>
        </w:tc>
        <w:tc>
          <w:tcPr>
            <w:tcW w:w="497" w:type="dxa"/>
            <w:gridSpan w:val="3"/>
          </w:tcPr>
          <w:p w14:paraId="7F9082C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36.8</w:t>
            </w:r>
          </w:p>
        </w:tc>
        <w:tc>
          <w:tcPr>
            <w:tcW w:w="565" w:type="dxa"/>
            <w:gridSpan w:val="3"/>
          </w:tcPr>
          <w:p w14:paraId="65F607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31.7</w:t>
            </w:r>
          </w:p>
        </w:tc>
        <w:tc>
          <w:tcPr>
            <w:tcW w:w="629" w:type="dxa"/>
            <w:gridSpan w:val="4"/>
          </w:tcPr>
          <w:p w14:paraId="2A9ADD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324.5</w:t>
            </w:r>
          </w:p>
        </w:tc>
      </w:tr>
      <w:tr w:rsidR="002B1C74" w:rsidRPr="002F2FDF" w14:paraId="562D65CC" w14:textId="77777777">
        <w:trPr>
          <w:gridAfter w:val="4"/>
          <w:wAfter w:w="802" w:type="dxa"/>
        </w:trPr>
        <w:tc>
          <w:tcPr>
            <w:tcW w:w="2127" w:type="dxa"/>
            <w:gridSpan w:val="4"/>
          </w:tcPr>
          <w:p w14:paraId="61C969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Тульский завод</w:t>
            </w:r>
          </w:p>
        </w:tc>
        <w:tc>
          <w:tcPr>
            <w:tcW w:w="543" w:type="dxa"/>
            <w:gridSpan w:val="2"/>
          </w:tcPr>
          <w:p w14:paraId="06E0EA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23.9</w:t>
            </w:r>
          </w:p>
        </w:tc>
        <w:tc>
          <w:tcPr>
            <w:tcW w:w="543" w:type="dxa"/>
            <w:gridSpan w:val="3"/>
          </w:tcPr>
          <w:p w14:paraId="7D8888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23.1</w:t>
            </w:r>
          </w:p>
        </w:tc>
        <w:tc>
          <w:tcPr>
            <w:tcW w:w="543" w:type="dxa"/>
            <w:gridSpan w:val="2"/>
          </w:tcPr>
          <w:p w14:paraId="79D72D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26.2</w:t>
            </w:r>
          </w:p>
        </w:tc>
        <w:tc>
          <w:tcPr>
            <w:tcW w:w="497" w:type="dxa"/>
            <w:gridSpan w:val="3"/>
          </w:tcPr>
          <w:p w14:paraId="4EE7B0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w:t>
            </w:r>
          </w:p>
        </w:tc>
        <w:tc>
          <w:tcPr>
            <w:tcW w:w="565" w:type="dxa"/>
            <w:gridSpan w:val="3"/>
          </w:tcPr>
          <w:p w14:paraId="297D20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21.7</w:t>
            </w:r>
          </w:p>
        </w:tc>
        <w:tc>
          <w:tcPr>
            <w:tcW w:w="629" w:type="dxa"/>
            <w:gridSpan w:val="4"/>
          </w:tcPr>
          <w:p w14:paraId="404C9C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264.2</w:t>
            </w:r>
          </w:p>
        </w:tc>
      </w:tr>
      <w:tr w:rsidR="002B1C74" w:rsidRPr="002F2FDF" w14:paraId="62A30770" w14:textId="77777777">
        <w:trPr>
          <w:gridAfter w:val="4"/>
          <w:wAfter w:w="802" w:type="dxa"/>
        </w:trPr>
        <w:tc>
          <w:tcPr>
            <w:tcW w:w="2127" w:type="dxa"/>
            <w:gridSpan w:val="4"/>
          </w:tcPr>
          <w:p w14:paraId="26A72F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543" w:type="dxa"/>
            <w:gridSpan w:val="2"/>
          </w:tcPr>
          <w:p w14:paraId="76CEA8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93.1</w:t>
            </w:r>
          </w:p>
        </w:tc>
        <w:tc>
          <w:tcPr>
            <w:tcW w:w="543" w:type="dxa"/>
            <w:gridSpan w:val="3"/>
          </w:tcPr>
          <w:p w14:paraId="711A05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89.8</w:t>
            </w:r>
          </w:p>
        </w:tc>
        <w:tc>
          <w:tcPr>
            <w:tcW w:w="543" w:type="dxa"/>
            <w:gridSpan w:val="2"/>
          </w:tcPr>
          <w:p w14:paraId="0E6066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110.6</w:t>
            </w:r>
          </w:p>
        </w:tc>
        <w:tc>
          <w:tcPr>
            <w:tcW w:w="497" w:type="dxa"/>
            <w:gridSpan w:val="3"/>
          </w:tcPr>
          <w:p w14:paraId="233C93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119.8</w:t>
            </w:r>
          </w:p>
        </w:tc>
        <w:tc>
          <w:tcPr>
            <w:tcW w:w="565" w:type="dxa"/>
            <w:gridSpan w:val="3"/>
          </w:tcPr>
          <w:p w14:paraId="65EBF1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107.1</w:t>
            </w:r>
          </w:p>
        </w:tc>
        <w:tc>
          <w:tcPr>
            <w:tcW w:w="629" w:type="dxa"/>
            <w:gridSpan w:val="4"/>
          </w:tcPr>
          <w:p w14:paraId="27A43C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1.015.2</w:t>
            </w:r>
          </w:p>
        </w:tc>
      </w:tr>
      <w:tr w:rsidR="002B1C74" w:rsidRPr="002F2FDF" w14:paraId="10765C57" w14:textId="77777777">
        <w:trPr>
          <w:gridAfter w:val="4"/>
          <w:wAfter w:w="802" w:type="dxa"/>
        </w:trPr>
        <w:tc>
          <w:tcPr>
            <w:tcW w:w="2127" w:type="dxa"/>
            <w:gridSpan w:val="4"/>
          </w:tcPr>
          <w:p w14:paraId="23614A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Коэффициент нарастания</w:t>
            </w:r>
          </w:p>
        </w:tc>
        <w:tc>
          <w:tcPr>
            <w:tcW w:w="543" w:type="dxa"/>
            <w:gridSpan w:val="2"/>
          </w:tcPr>
          <w:p w14:paraId="668333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543" w:type="dxa"/>
            <w:gridSpan w:val="3"/>
          </w:tcPr>
          <w:p w14:paraId="52491C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543" w:type="dxa"/>
            <w:gridSpan w:val="2"/>
          </w:tcPr>
          <w:p w14:paraId="59C466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w:t>
            </w:r>
          </w:p>
        </w:tc>
        <w:tc>
          <w:tcPr>
            <w:tcW w:w="497" w:type="dxa"/>
            <w:gridSpan w:val="3"/>
          </w:tcPr>
          <w:p w14:paraId="5EA593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565" w:type="dxa"/>
            <w:gridSpan w:val="3"/>
          </w:tcPr>
          <w:p w14:paraId="111AB2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w:t>
            </w:r>
          </w:p>
        </w:tc>
        <w:tc>
          <w:tcPr>
            <w:tcW w:w="629" w:type="dxa"/>
            <w:gridSpan w:val="4"/>
          </w:tcPr>
          <w:p w14:paraId="483766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59842275" w14:textId="77777777">
        <w:trPr>
          <w:gridAfter w:val="1"/>
          <w:wAfter w:w="296" w:type="dxa"/>
        </w:trPr>
        <w:tc>
          <w:tcPr>
            <w:tcW w:w="2127" w:type="dxa"/>
            <w:gridSpan w:val="4"/>
          </w:tcPr>
          <w:p w14:paraId="27C12F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 Месяцы</w:t>
            </w:r>
          </w:p>
        </w:tc>
        <w:tc>
          <w:tcPr>
            <w:tcW w:w="538" w:type="dxa"/>
            <w:gridSpan w:val="2"/>
          </w:tcPr>
          <w:p w14:paraId="3937D1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w:t>
            </w:r>
          </w:p>
        </w:tc>
        <w:tc>
          <w:tcPr>
            <w:tcW w:w="538" w:type="dxa"/>
            <w:gridSpan w:val="3"/>
          </w:tcPr>
          <w:p w14:paraId="2D7E66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w:t>
            </w:r>
          </w:p>
        </w:tc>
        <w:tc>
          <w:tcPr>
            <w:tcW w:w="538" w:type="dxa"/>
            <w:gridSpan w:val="2"/>
          </w:tcPr>
          <w:p w14:paraId="653381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III</w:t>
            </w:r>
          </w:p>
        </w:tc>
        <w:tc>
          <w:tcPr>
            <w:tcW w:w="512" w:type="dxa"/>
            <w:gridSpan w:val="3"/>
          </w:tcPr>
          <w:p w14:paraId="03F199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IV</w:t>
            </w:r>
          </w:p>
        </w:tc>
        <w:tc>
          <w:tcPr>
            <w:tcW w:w="546" w:type="dxa"/>
            <w:gridSpan w:val="2"/>
          </w:tcPr>
          <w:p w14:paraId="669551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w:t>
            </w:r>
          </w:p>
        </w:tc>
        <w:tc>
          <w:tcPr>
            <w:tcW w:w="546" w:type="dxa"/>
            <w:gridSpan w:val="4"/>
          </w:tcPr>
          <w:p w14:paraId="097627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w:t>
            </w:r>
          </w:p>
        </w:tc>
        <w:tc>
          <w:tcPr>
            <w:tcW w:w="608" w:type="dxa"/>
            <w:gridSpan w:val="4"/>
          </w:tcPr>
          <w:p w14:paraId="14DC10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VII</w:t>
            </w:r>
          </w:p>
        </w:tc>
      </w:tr>
      <w:tr w:rsidR="002B1C74" w:rsidRPr="002F2FDF" w14:paraId="414881D8" w14:textId="77777777">
        <w:trPr>
          <w:gridAfter w:val="1"/>
          <w:wAfter w:w="296" w:type="dxa"/>
        </w:trPr>
        <w:tc>
          <w:tcPr>
            <w:tcW w:w="2127" w:type="dxa"/>
            <w:gridSpan w:val="4"/>
          </w:tcPr>
          <w:p w14:paraId="3D2AC1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Петроградский завод</w:t>
            </w:r>
          </w:p>
        </w:tc>
        <w:tc>
          <w:tcPr>
            <w:tcW w:w="538" w:type="dxa"/>
            <w:gridSpan w:val="2"/>
          </w:tcPr>
          <w:p w14:paraId="2C5FE3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56,8</w:t>
            </w:r>
          </w:p>
        </w:tc>
        <w:tc>
          <w:tcPr>
            <w:tcW w:w="538" w:type="dxa"/>
            <w:gridSpan w:val="3"/>
          </w:tcPr>
          <w:p w14:paraId="75B86B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48.4</w:t>
            </w:r>
          </w:p>
        </w:tc>
        <w:tc>
          <w:tcPr>
            <w:tcW w:w="538" w:type="dxa"/>
            <w:gridSpan w:val="2"/>
          </w:tcPr>
          <w:p w14:paraId="3F0B28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50,2</w:t>
            </w:r>
          </w:p>
        </w:tc>
        <w:tc>
          <w:tcPr>
            <w:tcW w:w="512" w:type="dxa"/>
            <w:gridSpan w:val="3"/>
          </w:tcPr>
          <w:p w14:paraId="2A1E93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54,5</w:t>
            </w:r>
          </w:p>
        </w:tc>
        <w:tc>
          <w:tcPr>
            <w:tcW w:w="546" w:type="dxa"/>
            <w:gridSpan w:val="2"/>
          </w:tcPr>
          <w:p w14:paraId="72056C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39,9</w:t>
            </w:r>
          </w:p>
        </w:tc>
        <w:tc>
          <w:tcPr>
            <w:tcW w:w="546" w:type="dxa"/>
            <w:gridSpan w:val="4"/>
          </w:tcPr>
          <w:p w14:paraId="5519A2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57,1</w:t>
            </w:r>
          </w:p>
        </w:tc>
        <w:tc>
          <w:tcPr>
            <w:tcW w:w="608" w:type="dxa"/>
            <w:gridSpan w:val="4"/>
          </w:tcPr>
          <w:p w14:paraId="5374C2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50,2</w:t>
            </w:r>
          </w:p>
        </w:tc>
      </w:tr>
      <w:tr w:rsidR="002B1C74" w:rsidRPr="002F2FDF" w14:paraId="3DB515FF" w14:textId="77777777">
        <w:trPr>
          <w:gridAfter w:val="1"/>
          <w:wAfter w:w="296" w:type="dxa"/>
        </w:trPr>
        <w:tc>
          <w:tcPr>
            <w:tcW w:w="2127" w:type="dxa"/>
            <w:gridSpan w:val="4"/>
          </w:tcPr>
          <w:p w14:paraId="15AA20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Луганский завод</w:t>
            </w:r>
          </w:p>
        </w:tc>
        <w:tc>
          <w:tcPr>
            <w:tcW w:w="538" w:type="dxa"/>
            <w:gridSpan w:val="2"/>
          </w:tcPr>
          <w:p w14:paraId="3A9E36C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34,6</w:t>
            </w:r>
          </w:p>
        </w:tc>
        <w:tc>
          <w:tcPr>
            <w:tcW w:w="538" w:type="dxa"/>
            <w:gridSpan w:val="3"/>
          </w:tcPr>
          <w:p w14:paraId="62A72B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35,8</w:t>
            </w:r>
          </w:p>
        </w:tc>
        <w:tc>
          <w:tcPr>
            <w:tcW w:w="538" w:type="dxa"/>
            <w:gridSpan w:val="2"/>
          </w:tcPr>
          <w:p w14:paraId="422F7B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40,0</w:t>
            </w:r>
          </w:p>
        </w:tc>
        <w:tc>
          <w:tcPr>
            <w:tcW w:w="512" w:type="dxa"/>
            <w:gridSpan w:val="3"/>
          </w:tcPr>
          <w:p w14:paraId="329BA2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40,0</w:t>
            </w:r>
          </w:p>
        </w:tc>
        <w:tc>
          <w:tcPr>
            <w:tcW w:w="546" w:type="dxa"/>
            <w:gridSpan w:val="2"/>
          </w:tcPr>
          <w:p w14:paraId="17AF55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50,1</w:t>
            </w:r>
          </w:p>
        </w:tc>
        <w:tc>
          <w:tcPr>
            <w:tcW w:w="546" w:type="dxa"/>
            <w:gridSpan w:val="4"/>
          </w:tcPr>
          <w:p w14:paraId="3C7663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50,8</w:t>
            </w:r>
          </w:p>
        </w:tc>
        <w:tc>
          <w:tcPr>
            <w:tcW w:w="608" w:type="dxa"/>
            <w:gridSpan w:val="4"/>
          </w:tcPr>
          <w:p w14:paraId="24C892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32,1</w:t>
            </w:r>
          </w:p>
        </w:tc>
      </w:tr>
      <w:tr w:rsidR="002B1C74" w:rsidRPr="002F2FDF" w14:paraId="382DB5B2" w14:textId="77777777">
        <w:trPr>
          <w:gridAfter w:val="1"/>
          <w:wAfter w:w="296" w:type="dxa"/>
        </w:trPr>
        <w:tc>
          <w:tcPr>
            <w:tcW w:w="2127" w:type="dxa"/>
            <w:gridSpan w:val="4"/>
          </w:tcPr>
          <w:p w14:paraId="6719A8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Тульский завод</w:t>
            </w:r>
          </w:p>
        </w:tc>
        <w:tc>
          <w:tcPr>
            <w:tcW w:w="538" w:type="dxa"/>
            <w:gridSpan w:val="2"/>
          </w:tcPr>
          <w:p w14:paraId="5E6A16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18,2</w:t>
            </w:r>
          </w:p>
        </w:tc>
        <w:tc>
          <w:tcPr>
            <w:tcW w:w="538" w:type="dxa"/>
            <w:gridSpan w:val="3"/>
          </w:tcPr>
          <w:p w14:paraId="26DF92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28,2</w:t>
            </w:r>
          </w:p>
        </w:tc>
        <w:tc>
          <w:tcPr>
            <w:tcW w:w="538" w:type="dxa"/>
            <w:gridSpan w:val="2"/>
          </w:tcPr>
          <w:p w14:paraId="6A025B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32,7</w:t>
            </w:r>
          </w:p>
        </w:tc>
        <w:tc>
          <w:tcPr>
            <w:tcW w:w="512" w:type="dxa"/>
            <w:gridSpan w:val="3"/>
          </w:tcPr>
          <w:p w14:paraId="7773DB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21,0</w:t>
            </w:r>
          </w:p>
        </w:tc>
        <w:tc>
          <w:tcPr>
            <w:tcW w:w="546" w:type="dxa"/>
            <w:gridSpan w:val="2"/>
          </w:tcPr>
          <w:p w14:paraId="32AA46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19,3</w:t>
            </w:r>
          </w:p>
        </w:tc>
        <w:tc>
          <w:tcPr>
            <w:tcW w:w="546" w:type="dxa"/>
            <w:gridSpan w:val="4"/>
          </w:tcPr>
          <w:p w14:paraId="496EAB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21,6</w:t>
            </w:r>
          </w:p>
        </w:tc>
        <w:tc>
          <w:tcPr>
            <w:tcW w:w="608" w:type="dxa"/>
            <w:gridSpan w:val="4"/>
          </w:tcPr>
          <w:p w14:paraId="35A93A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23,0</w:t>
            </w:r>
          </w:p>
        </w:tc>
      </w:tr>
      <w:tr w:rsidR="002B1C74" w:rsidRPr="002F2FDF" w14:paraId="4FDE08B1" w14:textId="77777777">
        <w:trPr>
          <w:gridAfter w:val="1"/>
          <w:wAfter w:w="296" w:type="dxa"/>
        </w:trPr>
        <w:tc>
          <w:tcPr>
            <w:tcW w:w="2127" w:type="dxa"/>
            <w:gridSpan w:val="4"/>
          </w:tcPr>
          <w:p w14:paraId="4CA049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538" w:type="dxa"/>
            <w:gridSpan w:val="2"/>
          </w:tcPr>
          <w:p w14:paraId="3C3D0D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109.3</w:t>
            </w:r>
          </w:p>
        </w:tc>
        <w:tc>
          <w:tcPr>
            <w:tcW w:w="538" w:type="dxa"/>
            <w:gridSpan w:val="3"/>
          </w:tcPr>
          <w:p w14:paraId="0D3CC0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112,2</w:t>
            </w:r>
          </w:p>
        </w:tc>
        <w:tc>
          <w:tcPr>
            <w:tcW w:w="538" w:type="dxa"/>
            <w:gridSpan w:val="2"/>
          </w:tcPr>
          <w:p w14:paraId="6EBC1F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123,1</w:t>
            </w:r>
          </w:p>
        </w:tc>
        <w:tc>
          <w:tcPr>
            <w:tcW w:w="512" w:type="dxa"/>
            <w:gridSpan w:val="3"/>
          </w:tcPr>
          <w:p w14:paraId="420DAA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115.5</w:t>
            </w:r>
          </w:p>
        </w:tc>
        <w:tc>
          <w:tcPr>
            <w:tcW w:w="546" w:type="dxa"/>
            <w:gridSpan w:val="2"/>
          </w:tcPr>
          <w:p w14:paraId="2150FD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109,4</w:t>
            </w:r>
          </w:p>
        </w:tc>
        <w:tc>
          <w:tcPr>
            <w:tcW w:w="546" w:type="dxa"/>
            <w:gridSpan w:val="4"/>
          </w:tcPr>
          <w:p w14:paraId="3B20D8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129,5</w:t>
            </w:r>
          </w:p>
        </w:tc>
        <w:tc>
          <w:tcPr>
            <w:tcW w:w="608" w:type="dxa"/>
            <w:gridSpan w:val="4"/>
          </w:tcPr>
          <w:p w14:paraId="76199E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105,3</w:t>
            </w:r>
          </w:p>
        </w:tc>
      </w:tr>
      <w:tr w:rsidR="002B1C74" w:rsidRPr="002F2FDF" w14:paraId="2F9A8311" w14:textId="77777777">
        <w:trPr>
          <w:gridAfter w:val="1"/>
          <w:wAfter w:w="296" w:type="dxa"/>
        </w:trPr>
        <w:tc>
          <w:tcPr>
            <w:tcW w:w="2127" w:type="dxa"/>
            <w:gridSpan w:val="4"/>
          </w:tcPr>
          <w:p w14:paraId="140048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Коэффициент нарастания</w:t>
            </w:r>
          </w:p>
        </w:tc>
        <w:tc>
          <w:tcPr>
            <w:tcW w:w="538" w:type="dxa"/>
            <w:gridSpan w:val="2"/>
          </w:tcPr>
          <w:p w14:paraId="69DC5E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w:t>
            </w:r>
          </w:p>
        </w:tc>
        <w:tc>
          <w:tcPr>
            <w:tcW w:w="538" w:type="dxa"/>
            <w:gridSpan w:val="3"/>
          </w:tcPr>
          <w:p w14:paraId="462BC5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w:t>
            </w:r>
          </w:p>
        </w:tc>
        <w:tc>
          <w:tcPr>
            <w:tcW w:w="538" w:type="dxa"/>
            <w:gridSpan w:val="2"/>
          </w:tcPr>
          <w:p w14:paraId="1836C4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w:t>
            </w:r>
          </w:p>
        </w:tc>
        <w:tc>
          <w:tcPr>
            <w:tcW w:w="512" w:type="dxa"/>
            <w:gridSpan w:val="3"/>
          </w:tcPr>
          <w:p w14:paraId="0815B0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c>
          <w:tcPr>
            <w:tcW w:w="546" w:type="dxa"/>
            <w:gridSpan w:val="2"/>
          </w:tcPr>
          <w:p w14:paraId="43112E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w:t>
            </w:r>
          </w:p>
        </w:tc>
        <w:tc>
          <w:tcPr>
            <w:tcW w:w="546" w:type="dxa"/>
            <w:gridSpan w:val="4"/>
          </w:tcPr>
          <w:p w14:paraId="052B53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w:t>
            </w:r>
          </w:p>
        </w:tc>
        <w:tc>
          <w:tcPr>
            <w:tcW w:w="608" w:type="dxa"/>
            <w:gridSpan w:val="4"/>
          </w:tcPr>
          <w:p w14:paraId="6A3934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w:t>
            </w:r>
          </w:p>
        </w:tc>
      </w:tr>
      <w:tr w:rsidR="002B1C74" w:rsidRPr="002F2FDF" w14:paraId="01EE6DC6" w14:textId="77777777">
        <w:trPr>
          <w:gridAfter w:val="1"/>
          <w:wAfter w:w="296" w:type="dxa"/>
        </w:trPr>
        <w:tc>
          <w:tcPr>
            <w:tcW w:w="2127" w:type="dxa"/>
            <w:gridSpan w:val="4"/>
          </w:tcPr>
          <w:p w14:paraId="55A2EE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 Месяцы</w:t>
            </w:r>
          </w:p>
        </w:tc>
        <w:tc>
          <w:tcPr>
            <w:tcW w:w="538" w:type="dxa"/>
            <w:gridSpan w:val="2"/>
          </w:tcPr>
          <w:p w14:paraId="669B0D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VIII</w:t>
            </w:r>
          </w:p>
        </w:tc>
        <w:tc>
          <w:tcPr>
            <w:tcW w:w="538" w:type="dxa"/>
            <w:gridSpan w:val="3"/>
          </w:tcPr>
          <w:p w14:paraId="6565AC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IX</w:t>
            </w:r>
          </w:p>
        </w:tc>
        <w:tc>
          <w:tcPr>
            <w:tcW w:w="538" w:type="dxa"/>
            <w:gridSpan w:val="2"/>
          </w:tcPr>
          <w:p w14:paraId="089994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w:t>
            </w:r>
          </w:p>
        </w:tc>
        <w:tc>
          <w:tcPr>
            <w:tcW w:w="512" w:type="dxa"/>
            <w:gridSpan w:val="3"/>
          </w:tcPr>
          <w:p w14:paraId="06EBBF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w:t>
            </w:r>
          </w:p>
        </w:tc>
        <w:tc>
          <w:tcPr>
            <w:tcW w:w="546" w:type="dxa"/>
            <w:gridSpan w:val="2"/>
          </w:tcPr>
          <w:p w14:paraId="1D15A5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XII</w:t>
            </w:r>
          </w:p>
        </w:tc>
        <w:tc>
          <w:tcPr>
            <w:tcW w:w="546" w:type="dxa"/>
            <w:gridSpan w:val="4"/>
          </w:tcPr>
          <w:p w14:paraId="626D1F35" w14:textId="01437799"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608" w:type="dxa"/>
            <w:gridSpan w:val="4"/>
          </w:tcPr>
          <w:p w14:paraId="0F5318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r>
      <w:tr w:rsidR="002B1C74" w:rsidRPr="002F2FDF" w14:paraId="29195AFC" w14:textId="77777777">
        <w:trPr>
          <w:gridAfter w:val="1"/>
          <w:wAfter w:w="296" w:type="dxa"/>
        </w:trPr>
        <w:tc>
          <w:tcPr>
            <w:tcW w:w="2127" w:type="dxa"/>
            <w:gridSpan w:val="4"/>
          </w:tcPr>
          <w:p w14:paraId="32F5E5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Петроградский завод</w:t>
            </w:r>
          </w:p>
        </w:tc>
        <w:tc>
          <w:tcPr>
            <w:tcW w:w="538" w:type="dxa"/>
            <w:gridSpan w:val="2"/>
          </w:tcPr>
          <w:p w14:paraId="1E845F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50,0</w:t>
            </w:r>
          </w:p>
        </w:tc>
        <w:tc>
          <w:tcPr>
            <w:tcW w:w="538" w:type="dxa"/>
            <w:gridSpan w:val="3"/>
          </w:tcPr>
          <w:p w14:paraId="5747B4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52,3</w:t>
            </w:r>
          </w:p>
        </w:tc>
        <w:tc>
          <w:tcPr>
            <w:tcW w:w="538" w:type="dxa"/>
            <w:gridSpan w:val="2"/>
          </w:tcPr>
          <w:p w14:paraId="74E1BC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59,3</w:t>
            </w:r>
          </w:p>
        </w:tc>
        <w:tc>
          <w:tcPr>
            <w:tcW w:w="512" w:type="dxa"/>
            <w:gridSpan w:val="3"/>
          </w:tcPr>
          <w:p w14:paraId="12F7FB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58,7</w:t>
            </w:r>
          </w:p>
        </w:tc>
        <w:tc>
          <w:tcPr>
            <w:tcW w:w="546" w:type="dxa"/>
            <w:gridSpan w:val="2"/>
          </w:tcPr>
          <w:p w14:paraId="4E6F308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44.2</w:t>
            </w:r>
          </w:p>
        </w:tc>
        <w:tc>
          <w:tcPr>
            <w:tcW w:w="546" w:type="dxa"/>
            <w:gridSpan w:val="4"/>
          </w:tcPr>
          <w:p w14:paraId="1AA66AB1" w14:textId="581B8D37"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608" w:type="dxa"/>
            <w:gridSpan w:val="4"/>
          </w:tcPr>
          <w:p w14:paraId="7D57B7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623,3</w:t>
            </w:r>
          </w:p>
        </w:tc>
      </w:tr>
      <w:tr w:rsidR="002B1C74" w:rsidRPr="002F2FDF" w14:paraId="50E1F647" w14:textId="77777777">
        <w:trPr>
          <w:gridAfter w:val="1"/>
          <w:wAfter w:w="296" w:type="dxa"/>
        </w:trPr>
        <w:tc>
          <w:tcPr>
            <w:tcW w:w="2127" w:type="dxa"/>
            <w:gridSpan w:val="4"/>
          </w:tcPr>
          <w:p w14:paraId="4CC441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Луганский завод</w:t>
            </w:r>
          </w:p>
        </w:tc>
        <w:tc>
          <w:tcPr>
            <w:tcW w:w="538" w:type="dxa"/>
            <w:gridSpan w:val="2"/>
          </w:tcPr>
          <w:p w14:paraId="2020F1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50,1</w:t>
            </w:r>
          </w:p>
        </w:tc>
        <w:tc>
          <w:tcPr>
            <w:tcW w:w="538" w:type="dxa"/>
            <w:gridSpan w:val="3"/>
          </w:tcPr>
          <w:p w14:paraId="2AED84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52,0</w:t>
            </w:r>
          </w:p>
        </w:tc>
        <w:tc>
          <w:tcPr>
            <w:tcW w:w="538" w:type="dxa"/>
            <w:gridSpan w:val="2"/>
          </w:tcPr>
          <w:p w14:paraId="74F8BC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56,1</w:t>
            </w:r>
          </w:p>
        </w:tc>
        <w:tc>
          <w:tcPr>
            <w:tcW w:w="512" w:type="dxa"/>
            <w:gridSpan w:val="3"/>
          </w:tcPr>
          <w:p w14:paraId="055285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60,0</w:t>
            </w:r>
          </w:p>
        </w:tc>
        <w:tc>
          <w:tcPr>
            <w:tcW w:w="546" w:type="dxa"/>
            <w:gridSpan w:val="2"/>
          </w:tcPr>
          <w:p w14:paraId="49C91C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55,6</w:t>
            </w:r>
          </w:p>
        </w:tc>
        <w:tc>
          <w:tcPr>
            <w:tcW w:w="546" w:type="dxa"/>
            <w:gridSpan w:val="4"/>
          </w:tcPr>
          <w:p w14:paraId="4359FCFB" w14:textId="4B6904F2"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608" w:type="dxa"/>
            <w:gridSpan w:val="4"/>
          </w:tcPr>
          <w:p w14:paraId="6E4B11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567,1</w:t>
            </w:r>
          </w:p>
        </w:tc>
      </w:tr>
      <w:tr w:rsidR="002B1C74" w:rsidRPr="002F2FDF" w14:paraId="7AF24976" w14:textId="77777777">
        <w:trPr>
          <w:gridAfter w:val="1"/>
          <w:wAfter w:w="296" w:type="dxa"/>
        </w:trPr>
        <w:tc>
          <w:tcPr>
            <w:tcW w:w="2127" w:type="dxa"/>
            <w:gridSpan w:val="4"/>
          </w:tcPr>
          <w:p w14:paraId="07B1F1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Тульский завод</w:t>
            </w:r>
          </w:p>
        </w:tc>
        <w:tc>
          <w:tcPr>
            <w:tcW w:w="538" w:type="dxa"/>
            <w:gridSpan w:val="2"/>
          </w:tcPr>
          <w:p w14:paraId="509681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w:t>
            </w:r>
          </w:p>
        </w:tc>
        <w:tc>
          <w:tcPr>
            <w:tcW w:w="538" w:type="dxa"/>
            <w:gridSpan w:val="3"/>
          </w:tcPr>
          <w:p w14:paraId="38E908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25,0</w:t>
            </w:r>
          </w:p>
        </w:tc>
        <w:tc>
          <w:tcPr>
            <w:tcW w:w="538" w:type="dxa"/>
            <w:gridSpan w:val="2"/>
          </w:tcPr>
          <w:p w14:paraId="5EFFD1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29,0</w:t>
            </w:r>
          </w:p>
        </w:tc>
        <w:tc>
          <w:tcPr>
            <w:tcW w:w="512" w:type="dxa"/>
            <w:gridSpan w:val="3"/>
          </w:tcPr>
          <w:p w14:paraId="171FD1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32,0</w:t>
            </w:r>
          </w:p>
        </w:tc>
        <w:tc>
          <w:tcPr>
            <w:tcW w:w="546" w:type="dxa"/>
            <w:gridSpan w:val="2"/>
          </w:tcPr>
          <w:p w14:paraId="3AA89E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33,0</w:t>
            </w:r>
          </w:p>
        </w:tc>
        <w:tc>
          <w:tcPr>
            <w:tcW w:w="546" w:type="dxa"/>
            <w:gridSpan w:val="4"/>
          </w:tcPr>
          <w:p w14:paraId="71CD48C8" w14:textId="7E58BA8F"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608" w:type="dxa"/>
            <w:gridSpan w:val="4"/>
          </w:tcPr>
          <w:p w14:paraId="6B6E20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303,4</w:t>
            </w:r>
          </w:p>
        </w:tc>
      </w:tr>
      <w:tr w:rsidR="002B1C74" w:rsidRPr="002F2FDF" w14:paraId="473F84CC" w14:textId="77777777">
        <w:trPr>
          <w:gridAfter w:val="1"/>
          <w:wAfter w:w="296" w:type="dxa"/>
        </w:trPr>
        <w:tc>
          <w:tcPr>
            <w:tcW w:w="2127" w:type="dxa"/>
            <w:gridSpan w:val="4"/>
          </w:tcPr>
          <w:p w14:paraId="3BF92F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538" w:type="dxa"/>
            <w:gridSpan w:val="2"/>
          </w:tcPr>
          <w:p w14:paraId="61A2F0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120,4</w:t>
            </w:r>
          </w:p>
        </w:tc>
        <w:tc>
          <w:tcPr>
            <w:tcW w:w="538" w:type="dxa"/>
            <w:gridSpan w:val="3"/>
          </w:tcPr>
          <w:p w14:paraId="42DFC7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129,3</w:t>
            </w:r>
          </w:p>
        </w:tc>
        <w:tc>
          <w:tcPr>
            <w:tcW w:w="538" w:type="dxa"/>
            <w:gridSpan w:val="2"/>
          </w:tcPr>
          <w:p w14:paraId="1DF2ED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144,4</w:t>
            </w:r>
          </w:p>
        </w:tc>
        <w:tc>
          <w:tcPr>
            <w:tcW w:w="512" w:type="dxa"/>
            <w:gridSpan w:val="3"/>
          </w:tcPr>
          <w:p w14:paraId="0B94E5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150.7</w:t>
            </w:r>
          </w:p>
        </w:tc>
        <w:tc>
          <w:tcPr>
            <w:tcW w:w="546" w:type="dxa"/>
            <w:gridSpan w:val="2"/>
          </w:tcPr>
          <w:p w14:paraId="6A338A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132,8</w:t>
            </w:r>
          </w:p>
        </w:tc>
        <w:tc>
          <w:tcPr>
            <w:tcW w:w="546" w:type="dxa"/>
            <w:gridSpan w:val="4"/>
          </w:tcPr>
          <w:p w14:paraId="565AF7A4" w14:textId="0E6EA3B6"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608" w:type="dxa"/>
            <w:gridSpan w:val="4"/>
          </w:tcPr>
          <w:p w14:paraId="7ADB39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1.481.8</w:t>
            </w:r>
          </w:p>
        </w:tc>
      </w:tr>
      <w:tr w:rsidR="002B1C74" w:rsidRPr="002F2FDF" w14:paraId="72B7E771" w14:textId="77777777">
        <w:trPr>
          <w:gridAfter w:val="1"/>
          <w:wAfter w:w="296" w:type="dxa"/>
        </w:trPr>
        <w:tc>
          <w:tcPr>
            <w:tcW w:w="2127" w:type="dxa"/>
            <w:gridSpan w:val="4"/>
          </w:tcPr>
          <w:p w14:paraId="6AD66A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Коэффициент нарастания</w:t>
            </w:r>
          </w:p>
        </w:tc>
        <w:tc>
          <w:tcPr>
            <w:tcW w:w="538" w:type="dxa"/>
            <w:gridSpan w:val="2"/>
          </w:tcPr>
          <w:p w14:paraId="3EC9AC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w:t>
            </w:r>
          </w:p>
        </w:tc>
        <w:tc>
          <w:tcPr>
            <w:tcW w:w="538" w:type="dxa"/>
            <w:gridSpan w:val="3"/>
          </w:tcPr>
          <w:p w14:paraId="59E4DA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w:t>
            </w:r>
          </w:p>
        </w:tc>
        <w:tc>
          <w:tcPr>
            <w:tcW w:w="538" w:type="dxa"/>
            <w:gridSpan w:val="2"/>
          </w:tcPr>
          <w:p w14:paraId="3B8ED0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w:t>
            </w:r>
          </w:p>
        </w:tc>
        <w:tc>
          <w:tcPr>
            <w:tcW w:w="512" w:type="dxa"/>
            <w:gridSpan w:val="3"/>
          </w:tcPr>
          <w:p w14:paraId="70D962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46" w:type="dxa"/>
            <w:gridSpan w:val="2"/>
          </w:tcPr>
          <w:p w14:paraId="5E917F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46" w:type="dxa"/>
            <w:gridSpan w:val="4"/>
          </w:tcPr>
          <w:p w14:paraId="0EE49BF6" w14:textId="07E827FD"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608" w:type="dxa"/>
            <w:gridSpan w:val="4"/>
          </w:tcPr>
          <w:p w14:paraId="733FD4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w:t>
            </w:r>
          </w:p>
        </w:tc>
      </w:tr>
      <w:tr w:rsidR="002B1C74" w:rsidRPr="002F2FDF" w14:paraId="766C46C1" w14:textId="77777777">
        <w:trPr>
          <w:gridAfter w:val="1"/>
          <w:wAfter w:w="296" w:type="dxa"/>
        </w:trPr>
        <w:tc>
          <w:tcPr>
            <w:tcW w:w="2127" w:type="dxa"/>
            <w:gridSpan w:val="4"/>
          </w:tcPr>
          <w:p w14:paraId="1436D4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 Месяцы</w:t>
            </w:r>
          </w:p>
        </w:tc>
        <w:tc>
          <w:tcPr>
            <w:tcW w:w="538" w:type="dxa"/>
            <w:gridSpan w:val="2"/>
          </w:tcPr>
          <w:p w14:paraId="168B0A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w:t>
            </w:r>
          </w:p>
        </w:tc>
        <w:tc>
          <w:tcPr>
            <w:tcW w:w="538" w:type="dxa"/>
            <w:gridSpan w:val="3"/>
          </w:tcPr>
          <w:p w14:paraId="6F2F2A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w:t>
            </w:r>
          </w:p>
        </w:tc>
        <w:tc>
          <w:tcPr>
            <w:tcW w:w="538" w:type="dxa"/>
            <w:gridSpan w:val="2"/>
          </w:tcPr>
          <w:p w14:paraId="7F8C81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III</w:t>
            </w:r>
          </w:p>
        </w:tc>
        <w:tc>
          <w:tcPr>
            <w:tcW w:w="512" w:type="dxa"/>
            <w:gridSpan w:val="3"/>
          </w:tcPr>
          <w:p w14:paraId="4C5AB3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IV</w:t>
            </w:r>
          </w:p>
        </w:tc>
        <w:tc>
          <w:tcPr>
            <w:tcW w:w="546" w:type="dxa"/>
            <w:gridSpan w:val="2"/>
          </w:tcPr>
          <w:p w14:paraId="4EAE1F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w:t>
            </w:r>
          </w:p>
        </w:tc>
        <w:tc>
          <w:tcPr>
            <w:tcW w:w="546" w:type="dxa"/>
            <w:gridSpan w:val="4"/>
          </w:tcPr>
          <w:p w14:paraId="08F829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w:t>
            </w:r>
          </w:p>
        </w:tc>
        <w:tc>
          <w:tcPr>
            <w:tcW w:w="608" w:type="dxa"/>
            <w:gridSpan w:val="4"/>
          </w:tcPr>
          <w:p w14:paraId="3369A1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VII</w:t>
            </w:r>
          </w:p>
        </w:tc>
      </w:tr>
      <w:tr w:rsidR="002B1C74" w:rsidRPr="002F2FDF" w14:paraId="2EFF4E08" w14:textId="77777777">
        <w:trPr>
          <w:gridAfter w:val="1"/>
          <w:wAfter w:w="296" w:type="dxa"/>
        </w:trPr>
        <w:tc>
          <w:tcPr>
            <w:tcW w:w="2127" w:type="dxa"/>
            <w:gridSpan w:val="4"/>
          </w:tcPr>
          <w:p w14:paraId="32E363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Петроградский завод</w:t>
            </w:r>
          </w:p>
        </w:tc>
        <w:tc>
          <w:tcPr>
            <w:tcW w:w="538" w:type="dxa"/>
            <w:gridSpan w:val="2"/>
          </w:tcPr>
          <w:p w14:paraId="586597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48,5</w:t>
            </w:r>
          </w:p>
        </w:tc>
        <w:tc>
          <w:tcPr>
            <w:tcW w:w="538" w:type="dxa"/>
            <w:gridSpan w:val="3"/>
          </w:tcPr>
          <w:p w14:paraId="4C77C6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41,5</w:t>
            </w:r>
          </w:p>
        </w:tc>
        <w:tc>
          <w:tcPr>
            <w:tcW w:w="538" w:type="dxa"/>
            <w:gridSpan w:val="2"/>
          </w:tcPr>
          <w:p w14:paraId="29FC49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35,6</w:t>
            </w:r>
          </w:p>
        </w:tc>
        <w:tc>
          <w:tcPr>
            <w:tcW w:w="512" w:type="dxa"/>
            <w:gridSpan w:val="3"/>
          </w:tcPr>
          <w:p w14:paraId="4E98E6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51,1</w:t>
            </w:r>
          </w:p>
        </w:tc>
        <w:tc>
          <w:tcPr>
            <w:tcW w:w="546" w:type="dxa"/>
            <w:gridSpan w:val="2"/>
          </w:tcPr>
          <w:p w14:paraId="5AC842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53,5</w:t>
            </w:r>
          </w:p>
        </w:tc>
        <w:tc>
          <w:tcPr>
            <w:tcW w:w="546" w:type="dxa"/>
            <w:gridSpan w:val="4"/>
          </w:tcPr>
          <w:p w14:paraId="4F9DFF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43,7</w:t>
            </w:r>
          </w:p>
        </w:tc>
        <w:tc>
          <w:tcPr>
            <w:tcW w:w="608" w:type="dxa"/>
            <w:gridSpan w:val="4"/>
          </w:tcPr>
          <w:p w14:paraId="7B6363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32,4</w:t>
            </w:r>
          </w:p>
        </w:tc>
      </w:tr>
      <w:tr w:rsidR="002B1C74" w:rsidRPr="002F2FDF" w14:paraId="117955A6" w14:textId="77777777">
        <w:trPr>
          <w:gridAfter w:val="1"/>
          <w:wAfter w:w="296" w:type="dxa"/>
        </w:trPr>
        <w:tc>
          <w:tcPr>
            <w:tcW w:w="2127" w:type="dxa"/>
            <w:gridSpan w:val="4"/>
          </w:tcPr>
          <w:p w14:paraId="136145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Луганский завод</w:t>
            </w:r>
          </w:p>
        </w:tc>
        <w:tc>
          <w:tcPr>
            <w:tcW w:w="538" w:type="dxa"/>
            <w:gridSpan w:val="2"/>
          </w:tcPr>
          <w:p w14:paraId="15A3BE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58,9</w:t>
            </w:r>
          </w:p>
        </w:tc>
        <w:tc>
          <w:tcPr>
            <w:tcW w:w="538" w:type="dxa"/>
            <w:gridSpan w:val="3"/>
          </w:tcPr>
          <w:p w14:paraId="45C74B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45,0</w:t>
            </w:r>
          </w:p>
        </w:tc>
        <w:tc>
          <w:tcPr>
            <w:tcW w:w="538" w:type="dxa"/>
            <w:gridSpan w:val="2"/>
          </w:tcPr>
          <w:p w14:paraId="099A51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25,9</w:t>
            </w:r>
          </w:p>
        </w:tc>
        <w:tc>
          <w:tcPr>
            <w:tcW w:w="512" w:type="dxa"/>
            <w:gridSpan w:val="3"/>
          </w:tcPr>
          <w:p w14:paraId="00239F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40,0</w:t>
            </w:r>
          </w:p>
        </w:tc>
        <w:tc>
          <w:tcPr>
            <w:tcW w:w="546" w:type="dxa"/>
            <w:gridSpan w:val="2"/>
          </w:tcPr>
          <w:p w14:paraId="71AB24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53,5</w:t>
            </w:r>
          </w:p>
        </w:tc>
        <w:tc>
          <w:tcPr>
            <w:tcW w:w="546" w:type="dxa"/>
            <w:gridSpan w:val="4"/>
          </w:tcPr>
          <w:p w14:paraId="4DB29F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46,9</w:t>
            </w:r>
          </w:p>
        </w:tc>
        <w:tc>
          <w:tcPr>
            <w:tcW w:w="608" w:type="dxa"/>
            <w:gridSpan w:val="4"/>
          </w:tcPr>
          <w:p w14:paraId="58A6C8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42,4</w:t>
            </w:r>
          </w:p>
        </w:tc>
      </w:tr>
      <w:tr w:rsidR="002B1C74" w:rsidRPr="002F2FDF" w14:paraId="26CF21C5" w14:textId="77777777">
        <w:trPr>
          <w:gridAfter w:val="1"/>
          <w:wAfter w:w="296" w:type="dxa"/>
        </w:trPr>
        <w:tc>
          <w:tcPr>
            <w:tcW w:w="2127" w:type="dxa"/>
            <w:gridSpan w:val="4"/>
          </w:tcPr>
          <w:p w14:paraId="76D77C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Тульский завод</w:t>
            </w:r>
          </w:p>
        </w:tc>
        <w:tc>
          <w:tcPr>
            <w:tcW w:w="538" w:type="dxa"/>
            <w:gridSpan w:val="2"/>
          </w:tcPr>
          <w:p w14:paraId="43D2E0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35.0</w:t>
            </w:r>
          </w:p>
        </w:tc>
        <w:tc>
          <w:tcPr>
            <w:tcW w:w="538" w:type="dxa"/>
            <w:gridSpan w:val="3"/>
          </w:tcPr>
          <w:p w14:paraId="0C09EA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32,0</w:t>
            </w:r>
          </w:p>
        </w:tc>
        <w:tc>
          <w:tcPr>
            <w:tcW w:w="538" w:type="dxa"/>
            <w:gridSpan w:val="2"/>
          </w:tcPr>
          <w:p w14:paraId="737D18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29,8</w:t>
            </w:r>
          </w:p>
        </w:tc>
        <w:tc>
          <w:tcPr>
            <w:tcW w:w="512" w:type="dxa"/>
            <w:gridSpan w:val="3"/>
          </w:tcPr>
          <w:p w14:paraId="211B70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24,2</w:t>
            </w:r>
          </w:p>
        </w:tc>
        <w:tc>
          <w:tcPr>
            <w:tcW w:w="546" w:type="dxa"/>
            <w:gridSpan w:val="2"/>
          </w:tcPr>
          <w:p w14:paraId="34A9C0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16,0</w:t>
            </w:r>
          </w:p>
        </w:tc>
        <w:tc>
          <w:tcPr>
            <w:tcW w:w="546" w:type="dxa"/>
            <w:gridSpan w:val="4"/>
          </w:tcPr>
          <w:p w14:paraId="6F5A8E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35,6</w:t>
            </w:r>
          </w:p>
        </w:tc>
        <w:tc>
          <w:tcPr>
            <w:tcW w:w="608" w:type="dxa"/>
            <w:gridSpan w:val="4"/>
          </w:tcPr>
          <w:p w14:paraId="0017A9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29,2</w:t>
            </w:r>
          </w:p>
        </w:tc>
      </w:tr>
      <w:tr w:rsidR="002B1C74" w:rsidRPr="002F2FDF" w14:paraId="6887691A" w14:textId="77777777">
        <w:trPr>
          <w:gridAfter w:val="1"/>
          <w:wAfter w:w="296" w:type="dxa"/>
        </w:trPr>
        <w:tc>
          <w:tcPr>
            <w:tcW w:w="2127" w:type="dxa"/>
            <w:gridSpan w:val="4"/>
          </w:tcPr>
          <w:p w14:paraId="734F3C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538" w:type="dxa"/>
            <w:gridSpan w:val="2"/>
          </w:tcPr>
          <w:p w14:paraId="41DEB7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42,1</w:t>
            </w:r>
          </w:p>
        </w:tc>
        <w:tc>
          <w:tcPr>
            <w:tcW w:w="538" w:type="dxa"/>
            <w:gridSpan w:val="3"/>
          </w:tcPr>
          <w:p w14:paraId="1833E7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118,5</w:t>
            </w:r>
          </w:p>
        </w:tc>
        <w:tc>
          <w:tcPr>
            <w:tcW w:w="538" w:type="dxa"/>
            <w:gridSpan w:val="2"/>
          </w:tcPr>
          <w:p w14:paraId="1A358C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98,8</w:t>
            </w:r>
          </w:p>
        </w:tc>
        <w:tc>
          <w:tcPr>
            <w:tcW w:w="512" w:type="dxa"/>
            <w:gridSpan w:val="3"/>
          </w:tcPr>
          <w:p w14:paraId="1351D8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15,3</w:t>
            </w:r>
          </w:p>
        </w:tc>
        <w:tc>
          <w:tcPr>
            <w:tcW w:w="546" w:type="dxa"/>
            <w:gridSpan w:val="2"/>
          </w:tcPr>
          <w:p w14:paraId="45DA47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123,0</w:t>
            </w:r>
          </w:p>
        </w:tc>
        <w:tc>
          <w:tcPr>
            <w:tcW w:w="546" w:type="dxa"/>
            <w:gridSpan w:val="4"/>
          </w:tcPr>
          <w:p w14:paraId="61E3F5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126.2</w:t>
            </w:r>
          </w:p>
        </w:tc>
        <w:tc>
          <w:tcPr>
            <w:tcW w:w="608" w:type="dxa"/>
            <w:gridSpan w:val="4"/>
          </w:tcPr>
          <w:p w14:paraId="015658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104,0</w:t>
            </w:r>
          </w:p>
        </w:tc>
      </w:tr>
      <w:tr w:rsidR="002B1C74" w:rsidRPr="002F2FDF" w14:paraId="644FA719" w14:textId="77777777">
        <w:trPr>
          <w:gridAfter w:val="1"/>
          <w:wAfter w:w="296" w:type="dxa"/>
        </w:trPr>
        <w:tc>
          <w:tcPr>
            <w:tcW w:w="2127" w:type="dxa"/>
            <w:gridSpan w:val="4"/>
          </w:tcPr>
          <w:p w14:paraId="2DD7FB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Коэффициент нарастания</w:t>
            </w:r>
          </w:p>
        </w:tc>
        <w:tc>
          <w:tcPr>
            <w:tcW w:w="538" w:type="dxa"/>
            <w:gridSpan w:val="2"/>
          </w:tcPr>
          <w:p w14:paraId="51D5D9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w:t>
            </w:r>
          </w:p>
        </w:tc>
        <w:tc>
          <w:tcPr>
            <w:tcW w:w="538" w:type="dxa"/>
            <w:gridSpan w:val="3"/>
          </w:tcPr>
          <w:p w14:paraId="140D4B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38" w:type="dxa"/>
            <w:gridSpan w:val="2"/>
          </w:tcPr>
          <w:p w14:paraId="5D1AD0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12" w:type="dxa"/>
            <w:gridSpan w:val="3"/>
          </w:tcPr>
          <w:p w14:paraId="68CEF1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46" w:type="dxa"/>
            <w:gridSpan w:val="2"/>
          </w:tcPr>
          <w:p w14:paraId="660D62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546" w:type="dxa"/>
            <w:gridSpan w:val="4"/>
          </w:tcPr>
          <w:p w14:paraId="2A7A8F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08" w:type="dxa"/>
            <w:gridSpan w:val="4"/>
          </w:tcPr>
          <w:p w14:paraId="3AEAFF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0313C009" w14:textId="77777777">
        <w:trPr>
          <w:gridAfter w:val="1"/>
          <w:wAfter w:w="296" w:type="dxa"/>
        </w:trPr>
        <w:tc>
          <w:tcPr>
            <w:tcW w:w="2127" w:type="dxa"/>
            <w:gridSpan w:val="4"/>
          </w:tcPr>
          <w:p w14:paraId="5ECA4A4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 Месяцы</w:t>
            </w:r>
          </w:p>
        </w:tc>
        <w:tc>
          <w:tcPr>
            <w:tcW w:w="538" w:type="dxa"/>
            <w:gridSpan w:val="2"/>
          </w:tcPr>
          <w:p w14:paraId="1190DB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VIII</w:t>
            </w:r>
          </w:p>
        </w:tc>
        <w:tc>
          <w:tcPr>
            <w:tcW w:w="538" w:type="dxa"/>
            <w:gridSpan w:val="3"/>
          </w:tcPr>
          <w:p w14:paraId="7D3E45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IX</w:t>
            </w:r>
          </w:p>
        </w:tc>
        <w:tc>
          <w:tcPr>
            <w:tcW w:w="538" w:type="dxa"/>
            <w:gridSpan w:val="2"/>
          </w:tcPr>
          <w:p w14:paraId="590B90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w:t>
            </w:r>
          </w:p>
        </w:tc>
        <w:tc>
          <w:tcPr>
            <w:tcW w:w="512" w:type="dxa"/>
            <w:gridSpan w:val="3"/>
          </w:tcPr>
          <w:p w14:paraId="2BB138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w:t>
            </w:r>
          </w:p>
        </w:tc>
        <w:tc>
          <w:tcPr>
            <w:tcW w:w="546" w:type="dxa"/>
            <w:gridSpan w:val="2"/>
          </w:tcPr>
          <w:p w14:paraId="48DD3D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XII</w:t>
            </w:r>
          </w:p>
        </w:tc>
        <w:tc>
          <w:tcPr>
            <w:tcW w:w="546" w:type="dxa"/>
            <w:gridSpan w:val="4"/>
          </w:tcPr>
          <w:p w14:paraId="6A89A14F" w14:textId="343A1FFD"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608" w:type="dxa"/>
            <w:gridSpan w:val="4"/>
          </w:tcPr>
          <w:p w14:paraId="3CFE4E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r>
      <w:tr w:rsidR="002B1C74" w:rsidRPr="002F2FDF" w14:paraId="28FE078E" w14:textId="77777777">
        <w:trPr>
          <w:gridAfter w:val="1"/>
          <w:wAfter w:w="296" w:type="dxa"/>
        </w:trPr>
        <w:tc>
          <w:tcPr>
            <w:tcW w:w="2127" w:type="dxa"/>
            <w:gridSpan w:val="4"/>
          </w:tcPr>
          <w:p w14:paraId="27BAC6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Петроградский завод</w:t>
            </w:r>
          </w:p>
        </w:tc>
        <w:tc>
          <w:tcPr>
            <w:tcW w:w="538" w:type="dxa"/>
            <w:gridSpan w:val="2"/>
          </w:tcPr>
          <w:p w14:paraId="435378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37,0</w:t>
            </w:r>
          </w:p>
        </w:tc>
        <w:tc>
          <w:tcPr>
            <w:tcW w:w="538" w:type="dxa"/>
            <w:gridSpan w:val="3"/>
          </w:tcPr>
          <w:p w14:paraId="743B6C5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38.0</w:t>
            </w:r>
          </w:p>
        </w:tc>
        <w:tc>
          <w:tcPr>
            <w:tcW w:w="538" w:type="dxa"/>
            <w:gridSpan w:val="2"/>
          </w:tcPr>
          <w:p w14:paraId="26B8A9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40,5</w:t>
            </w:r>
          </w:p>
        </w:tc>
        <w:tc>
          <w:tcPr>
            <w:tcW w:w="512" w:type="dxa"/>
            <w:gridSpan w:val="3"/>
          </w:tcPr>
          <w:p w14:paraId="155E1A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16,6</w:t>
            </w:r>
          </w:p>
        </w:tc>
        <w:tc>
          <w:tcPr>
            <w:tcW w:w="546" w:type="dxa"/>
            <w:gridSpan w:val="2"/>
          </w:tcPr>
          <w:p w14:paraId="563D37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w:t>
            </w:r>
          </w:p>
        </w:tc>
        <w:tc>
          <w:tcPr>
            <w:tcW w:w="546" w:type="dxa"/>
            <w:gridSpan w:val="4"/>
          </w:tcPr>
          <w:p w14:paraId="057C2FBF" w14:textId="110645F1"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608" w:type="dxa"/>
            <w:gridSpan w:val="4"/>
          </w:tcPr>
          <w:p w14:paraId="084062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442.7</w:t>
            </w:r>
          </w:p>
        </w:tc>
      </w:tr>
      <w:tr w:rsidR="002B1C74" w:rsidRPr="002F2FDF" w14:paraId="06BB1E2C" w14:textId="77777777">
        <w:trPr>
          <w:gridAfter w:val="1"/>
          <w:wAfter w:w="296" w:type="dxa"/>
        </w:trPr>
        <w:tc>
          <w:tcPr>
            <w:tcW w:w="2127" w:type="dxa"/>
            <w:gridSpan w:val="4"/>
          </w:tcPr>
          <w:p w14:paraId="347497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Лугаяский завод</w:t>
            </w:r>
          </w:p>
        </w:tc>
        <w:tc>
          <w:tcPr>
            <w:tcW w:w="538" w:type="dxa"/>
            <w:gridSpan w:val="2"/>
          </w:tcPr>
          <w:p w14:paraId="77F6E6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34,9</w:t>
            </w:r>
          </w:p>
        </w:tc>
        <w:tc>
          <w:tcPr>
            <w:tcW w:w="538" w:type="dxa"/>
            <w:gridSpan w:val="3"/>
          </w:tcPr>
          <w:p w14:paraId="55F87B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37,4</w:t>
            </w:r>
          </w:p>
        </w:tc>
        <w:tc>
          <w:tcPr>
            <w:tcW w:w="538" w:type="dxa"/>
            <w:gridSpan w:val="2"/>
          </w:tcPr>
          <w:p w14:paraId="389F3A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29,3</w:t>
            </w:r>
          </w:p>
        </w:tc>
        <w:tc>
          <w:tcPr>
            <w:tcW w:w="512" w:type="dxa"/>
            <w:gridSpan w:val="3"/>
          </w:tcPr>
          <w:p w14:paraId="4F8F42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22,7</w:t>
            </w:r>
          </w:p>
        </w:tc>
        <w:tc>
          <w:tcPr>
            <w:tcW w:w="546" w:type="dxa"/>
            <w:gridSpan w:val="2"/>
          </w:tcPr>
          <w:p w14:paraId="460848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16,9</w:t>
            </w:r>
          </w:p>
        </w:tc>
        <w:tc>
          <w:tcPr>
            <w:tcW w:w="546" w:type="dxa"/>
            <w:gridSpan w:val="4"/>
          </w:tcPr>
          <w:p w14:paraId="46D084B9" w14:textId="37141C8A"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608" w:type="dxa"/>
            <w:gridSpan w:val="4"/>
          </w:tcPr>
          <w:p w14:paraId="48808D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453,6</w:t>
            </w:r>
          </w:p>
        </w:tc>
      </w:tr>
      <w:tr w:rsidR="002B1C74" w:rsidRPr="002F2FDF" w14:paraId="3CD0977A" w14:textId="77777777">
        <w:trPr>
          <w:gridAfter w:val="1"/>
          <w:wAfter w:w="296" w:type="dxa"/>
        </w:trPr>
        <w:tc>
          <w:tcPr>
            <w:tcW w:w="2127" w:type="dxa"/>
            <w:gridSpan w:val="4"/>
          </w:tcPr>
          <w:p w14:paraId="538130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Тульский завод</w:t>
            </w:r>
          </w:p>
        </w:tc>
        <w:tc>
          <w:tcPr>
            <w:tcW w:w="538" w:type="dxa"/>
            <w:gridSpan w:val="2"/>
          </w:tcPr>
          <w:p w14:paraId="1E1F8F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23,9</w:t>
            </w:r>
          </w:p>
        </w:tc>
        <w:tc>
          <w:tcPr>
            <w:tcW w:w="538" w:type="dxa"/>
            <w:gridSpan w:val="3"/>
          </w:tcPr>
          <w:p w14:paraId="3BDF0E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24.5</w:t>
            </w:r>
          </w:p>
        </w:tc>
        <w:tc>
          <w:tcPr>
            <w:tcW w:w="538" w:type="dxa"/>
            <w:gridSpan w:val="2"/>
          </w:tcPr>
          <w:p w14:paraId="773BBF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24.1</w:t>
            </w:r>
          </w:p>
        </w:tc>
        <w:tc>
          <w:tcPr>
            <w:tcW w:w="512" w:type="dxa"/>
            <w:gridSpan w:val="3"/>
          </w:tcPr>
          <w:p w14:paraId="4A2505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23,0</w:t>
            </w:r>
          </w:p>
        </w:tc>
        <w:tc>
          <w:tcPr>
            <w:tcW w:w="546" w:type="dxa"/>
            <w:gridSpan w:val="2"/>
          </w:tcPr>
          <w:p w14:paraId="094CB3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15,5</w:t>
            </w:r>
          </w:p>
        </w:tc>
        <w:tc>
          <w:tcPr>
            <w:tcW w:w="546" w:type="dxa"/>
            <w:gridSpan w:val="4"/>
          </w:tcPr>
          <w:p w14:paraId="5E7C19DC" w14:textId="6BE02920"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608" w:type="dxa"/>
            <w:gridSpan w:val="4"/>
          </w:tcPr>
          <w:p w14:paraId="59F8E7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312,9</w:t>
            </w:r>
          </w:p>
        </w:tc>
      </w:tr>
      <w:tr w:rsidR="002B1C74" w:rsidRPr="002F2FDF" w14:paraId="7831CC02" w14:textId="77777777">
        <w:trPr>
          <w:gridAfter w:val="1"/>
          <w:wAfter w:w="296" w:type="dxa"/>
        </w:trPr>
        <w:tc>
          <w:tcPr>
            <w:tcW w:w="2127" w:type="dxa"/>
            <w:gridSpan w:val="4"/>
            <w:tcBorders>
              <w:bottom w:val="single" w:sz="12" w:space="0" w:color="auto"/>
            </w:tcBorders>
          </w:tcPr>
          <w:p w14:paraId="295002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538" w:type="dxa"/>
            <w:gridSpan w:val="2"/>
            <w:tcBorders>
              <w:bottom w:val="single" w:sz="12" w:space="0" w:color="auto"/>
            </w:tcBorders>
          </w:tcPr>
          <w:p w14:paraId="7D6D97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95,8</w:t>
            </w:r>
          </w:p>
        </w:tc>
        <w:tc>
          <w:tcPr>
            <w:tcW w:w="538" w:type="dxa"/>
            <w:gridSpan w:val="3"/>
            <w:tcBorders>
              <w:bottom w:val="single" w:sz="12" w:space="0" w:color="auto"/>
            </w:tcBorders>
          </w:tcPr>
          <w:p w14:paraId="7047E3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95.8</w:t>
            </w:r>
          </w:p>
        </w:tc>
        <w:tc>
          <w:tcPr>
            <w:tcW w:w="538" w:type="dxa"/>
            <w:gridSpan w:val="2"/>
            <w:tcBorders>
              <w:bottom w:val="single" w:sz="12" w:space="0" w:color="auto"/>
            </w:tcBorders>
          </w:tcPr>
          <w:p w14:paraId="10FCE2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93,9</w:t>
            </w:r>
          </w:p>
        </w:tc>
        <w:tc>
          <w:tcPr>
            <w:tcW w:w="512" w:type="dxa"/>
            <w:gridSpan w:val="3"/>
            <w:tcBorders>
              <w:bottom w:val="single" w:sz="12" w:space="0" w:color="auto"/>
            </w:tcBorders>
          </w:tcPr>
          <w:p w14:paraId="5097E2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62,3</w:t>
            </w:r>
          </w:p>
        </w:tc>
        <w:tc>
          <w:tcPr>
            <w:tcW w:w="546" w:type="dxa"/>
            <w:gridSpan w:val="2"/>
            <w:tcBorders>
              <w:bottom w:val="single" w:sz="12" w:space="0" w:color="auto"/>
            </w:tcBorders>
          </w:tcPr>
          <w:p w14:paraId="6DD7F9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37,0</w:t>
            </w:r>
          </w:p>
        </w:tc>
        <w:tc>
          <w:tcPr>
            <w:tcW w:w="546" w:type="dxa"/>
            <w:gridSpan w:val="4"/>
            <w:tcBorders>
              <w:bottom w:val="single" w:sz="12" w:space="0" w:color="auto"/>
            </w:tcBorders>
          </w:tcPr>
          <w:p w14:paraId="118D558A" w14:textId="5CF94789"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608" w:type="dxa"/>
            <w:gridSpan w:val="4"/>
            <w:tcBorders>
              <w:bottom w:val="single" w:sz="12" w:space="0" w:color="auto"/>
            </w:tcBorders>
          </w:tcPr>
          <w:p w14:paraId="761755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1.208,9</w:t>
            </w:r>
          </w:p>
        </w:tc>
      </w:tr>
    </w:tbl>
    <w:p w14:paraId="296C6E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(11389).</w:t>
      </w:r>
    </w:p>
    <w:p w14:paraId="3FC5BB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B3A6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За время мировой войны Пермский завод выпустил следующее количество военных изделий: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24"/>
        <w:gridCol w:w="660"/>
        <w:gridCol w:w="681"/>
        <w:gridCol w:w="681"/>
      </w:tblGrid>
      <w:tr w:rsidR="002B1C74" w:rsidRPr="002F2FDF" w14:paraId="3474E9DB" w14:textId="77777777">
        <w:tc>
          <w:tcPr>
            <w:tcW w:w="3324" w:type="dxa"/>
            <w:tcBorders>
              <w:top w:val="single" w:sz="12" w:space="0" w:color="auto"/>
            </w:tcBorders>
          </w:tcPr>
          <w:p w14:paraId="49FAEFED" w14:textId="717CD86A"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660" w:type="dxa"/>
            <w:tcBorders>
              <w:top w:val="single" w:sz="12" w:space="0" w:color="auto"/>
            </w:tcBorders>
          </w:tcPr>
          <w:p w14:paraId="3AD3404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 г.</w:t>
            </w:r>
          </w:p>
        </w:tc>
        <w:tc>
          <w:tcPr>
            <w:tcW w:w="681" w:type="dxa"/>
            <w:tcBorders>
              <w:top w:val="single" w:sz="12" w:space="0" w:color="auto"/>
            </w:tcBorders>
          </w:tcPr>
          <w:p w14:paraId="55567E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w:t>
            </w:r>
          </w:p>
        </w:tc>
        <w:tc>
          <w:tcPr>
            <w:tcW w:w="681" w:type="dxa"/>
            <w:tcBorders>
              <w:top w:val="single" w:sz="12" w:space="0" w:color="auto"/>
            </w:tcBorders>
          </w:tcPr>
          <w:p w14:paraId="7239F4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r>
      <w:tr w:rsidR="002B1C74" w:rsidRPr="002F2FDF" w14:paraId="3A9BE749" w14:textId="77777777">
        <w:tc>
          <w:tcPr>
            <w:tcW w:w="3324" w:type="dxa"/>
          </w:tcPr>
          <w:p w14:paraId="043C49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3-дм полевых пушек обр. 1902 г. (тел с затворами)</w:t>
            </w:r>
          </w:p>
        </w:tc>
        <w:tc>
          <w:tcPr>
            <w:tcW w:w="660" w:type="dxa"/>
          </w:tcPr>
          <w:p w14:paraId="17D6F6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w:t>
            </w:r>
          </w:p>
        </w:tc>
        <w:tc>
          <w:tcPr>
            <w:tcW w:w="681" w:type="dxa"/>
          </w:tcPr>
          <w:p w14:paraId="2CCA19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662</w:t>
            </w:r>
          </w:p>
        </w:tc>
        <w:tc>
          <w:tcPr>
            <w:tcW w:w="681" w:type="dxa"/>
          </w:tcPr>
          <w:p w14:paraId="60370A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1.030</w:t>
            </w:r>
          </w:p>
        </w:tc>
      </w:tr>
      <w:tr w:rsidR="002B1C74" w:rsidRPr="002F2FDF" w14:paraId="5B80D188" w14:textId="77777777">
        <w:tc>
          <w:tcPr>
            <w:tcW w:w="3324" w:type="dxa"/>
          </w:tcPr>
          <w:p w14:paraId="0A04BA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 Лафетов к ним</w:t>
            </w:r>
          </w:p>
        </w:tc>
        <w:tc>
          <w:tcPr>
            <w:tcW w:w="660" w:type="dxa"/>
          </w:tcPr>
          <w:p w14:paraId="726933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w:t>
            </w:r>
          </w:p>
        </w:tc>
        <w:tc>
          <w:tcPr>
            <w:tcW w:w="681" w:type="dxa"/>
          </w:tcPr>
          <w:p w14:paraId="48F0C1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545</w:t>
            </w:r>
          </w:p>
        </w:tc>
        <w:tc>
          <w:tcPr>
            <w:tcW w:w="681" w:type="dxa"/>
          </w:tcPr>
          <w:p w14:paraId="572903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835</w:t>
            </w:r>
          </w:p>
        </w:tc>
      </w:tr>
      <w:tr w:rsidR="002B1C74" w:rsidRPr="002F2FDF" w14:paraId="3B05EDCF" w14:textId="77777777">
        <w:tc>
          <w:tcPr>
            <w:tcW w:w="3324" w:type="dxa"/>
          </w:tcPr>
          <w:p w14:paraId="77F33B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 Люлек к ним</w:t>
            </w:r>
          </w:p>
        </w:tc>
        <w:tc>
          <w:tcPr>
            <w:tcW w:w="660" w:type="dxa"/>
          </w:tcPr>
          <w:p w14:paraId="494CE8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268708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480</w:t>
            </w:r>
          </w:p>
        </w:tc>
        <w:tc>
          <w:tcPr>
            <w:tcW w:w="681" w:type="dxa"/>
          </w:tcPr>
          <w:p w14:paraId="256551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932</w:t>
            </w:r>
          </w:p>
        </w:tc>
      </w:tr>
      <w:tr w:rsidR="002B1C74" w:rsidRPr="002F2FDF" w14:paraId="31ED11E3" w14:textId="77777777">
        <w:tc>
          <w:tcPr>
            <w:tcW w:w="3324" w:type="dxa"/>
          </w:tcPr>
          <w:p w14:paraId="6D80F4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Запасных частей к ним, комплектов</w:t>
            </w:r>
          </w:p>
        </w:tc>
        <w:tc>
          <w:tcPr>
            <w:tcW w:w="660" w:type="dxa"/>
          </w:tcPr>
          <w:p w14:paraId="073CCE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w:t>
            </w:r>
          </w:p>
        </w:tc>
        <w:tc>
          <w:tcPr>
            <w:tcW w:w="681" w:type="dxa"/>
          </w:tcPr>
          <w:p w14:paraId="42D8E5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630</w:t>
            </w:r>
          </w:p>
        </w:tc>
        <w:tc>
          <w:tcPr>
            <w:tcW w:w="681" w:type="dxa"/>
          </w:tcPr>
          <w:p w14:paraId="15E94A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320</w:t>
            </w:r>
          </w:p>
        </w:tc>
      </w:tr>
      <w:tr w:rsidR="002B1C74" w:rsidRPr="002F2FDF" w14:paraId="56B62014" w14:textId="77777777">
        <w:tc>
          <w:tcPr>
            <w:tcW w:w="3324" w:type="dxa"/>
          </w:tcPr>
          <w:p w14:paraId="6ED401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Болванок для 3-дм полевых пушек (труб, кожухов и проч.)</w:t>
            </w:r>
          </w:p>
        </w:tc>
        <w:tc>
          <w:tcPr>
            <w:tcW w:w="660" w:type="dxa"/>
          </w:tcPr>
          <w:p w14:paraId="5649F1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6DD3D3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160</w:t>
            </w:r>
          </w:p>
        </w:tc>
        <w:tc>
          <w:tcPr>
            <w:tcW w:w="681" w:type="dxa"/>
          </w:tcPr>
          <w:p w14:paraId="726639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132</w:t>
            </w:r>
          </w:p>
        </w:tc>
      </w:tr>
      <w:tr w:rsidR="002B1C74" w:rsidRPr="002F2FDF" w14:paraId="103B9197" w14:textId="77777777">
        <w:tc>
          <w:tcPr>
            <w:tcW w:w="3324" w:type="dxa"/>
          </w:tcPr>
          <w:p w14:paraId="23F987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 Исправлено 3-дм полевых пушек 1902 г. </w:t>
            </w:r>
          </w:p>
        </w:tc>
        <w:tc>
          <w:tcPr>
            <w:tcW w:w="660" w:type="dxa"/>
          </w:tcPr>
          <w:p w14:paraId="36CFB9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5A11FD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112</w:t>
            </w:r>
          </w:p>
        </w:tc>
        <w:tc>
          <w:tcPr>
            <w:tcW w:w="681" w:type="dxa"/>
          </w:tcPr>
          <w:p w14:paraId="7F26D8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881</w:t>
            </w:r>
          </w:p>
        </w:tc>
      </w:tr>
      <w:tr w:rsidR="002B1C74" w:rsidRPr="002F2FDF" w14:paraId="55B9B182" w14:textId="77777777">
        <w:tc>
          <w:tcPr>
            <w:tcW w:w="3324" w:type="dxa"/>
          </w:tcPr>
          <w:p w14:paraId="584D15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Болванок для 3-дм горных пушек (труб, кожу</w:t>
            </w:r>
            <w:r w:rsidRPr="002F2FDF">
              <w:rPr>
                <w:rFonts w:ascii="Times New Roman" w:hAnsi="Times New Roman" w:cs="Times New Roman"/>
                <w:color w:val="000000" w:themeColor="text1"/>
                <w:kern w:val="2"/>
                <w:sz w:val="16"/>
                <w:szCs w:val="16"/>
              </w:rPr>
              <w:softHyphen/>
              <w:t>хов, муфт и проч.)</w:t>
            </w:r>
          </w:p>
        </w:tc>
        <w:tc>
          <w:tcPr>
            <w:tcW w:w="660" w:type="dxa"/>
          </w:tcPr>
          <w:p w14:paraId="202FC9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644E8C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w:t>
            </w:r>
          </w:p>
        </w:tc>
        <w:tc>
          <w:tcPr>
            <w:tcW w:w="681" w:type="dxa"/>
          </w:tcPr>
          <w:p w14:paraId="347A5F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w:t>
            </w:r>
          </w:p>
        </w:tc>
      </w:tr>
      <w:tr w:rsidR="002B1C74" w:rsidRPr="002F2FDF" w14:paraId="7A9450AF" w14:textId="77777777">
        <w:tc>
          <w:tcPr>
            <w:tcW w:w="3324" w:type="dxa"/>
          </w:tcPr>
          <w:p w14:paraId="4FDB9B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Стальных болванок и поковок частей для 48-лин. гаубиц 1909 г. (труб, кожухов и пр.) комплектов</w:t>
            </w:r>
          </w:p>
        </w:tc>
        <w:tc>
          <w:tcPr>
            <w:tcW w:w="660" w:type="dxa"/>
          </w:tcPr>
          <w:p w14:paraId="36FC62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82</w:t>
            </w:r>
          </w:p>
        </w:tc>
        <w:tc>
          <w:tcPr>
            <w:tcW w:w="681" w:type="dxa"/>
          </w:tcPr>
          <w:p w14:paraId="0B54D8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w:t>
            </w:r>
          </w:p>
        </w:tc>
        <w:tc>
          <w:tcPr>
            <w:tcW w:w="681" w:type="dxa"/>
          </w:tcPr>
          <w:p w14:paraId="50F24D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140</w:t>
            </w:r>
          </w:p>
        </w:tc>
      </w:tr>
      <w:tr w:rsidR="002B1C74" w:rsidRPr="002F2FDF" w14:paraId="0BD22CAD" w14:textId="77777777">
        <w:tc>
          <w:tcPr>
            <w:tcW w:w="3324" w:type="dxa"/>
          </w:tcPr>
          <w:p w14:paraId="26E84F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 6-дм полевая скорострельная гаубиц Шнейдера</w:t>
            </w:r>
          </w:p>
        </w:tc>
        <w:tc>
          <w:tcPr>
            <w:tcW w:w="660" w:type="dxa"/>
          </w:tcPr>
          <w:p w14:paraId="3937DF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2F84E0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w:t>
            </w:r>
          </w:p>
        </w:tc>
        <w:tc>
          <w:tcPr>
            <w:tcW w:w="681" w:type="dxa"/>
          </w:tcPr>
          <w:p w14:paraId="17B4BD6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84</w:t>
            </w:r>
          </w:p>
        </w:tc>
      </w:tr>
      <w:tr w:rsidR="002B1C74" w:rsidRPr="002F2FDF" w14:paraId="5F0E63B1" w14:textId="77777777">
        <w:tc>
          <w:tcPr>
            <w:tcW w:w="3324" w:type="dxa"/>
          </w:tcPr>
          <w:p w14:paraId="190894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Лафетов к 6-дм гаубице Шнейдера</w:t>
            </w:r>
          </w:p>
        </w:tc>
        <w:tc>
          <w:tcPr>
            <w:tcW w:w="660" w:type="dxa"/>
          </w:tcPr>
          <w:p w14:paraId="793CBB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29DF60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w:t>
            </w:r>
          </w:p>
        </w:tc>
        <w:tc>
          <w:tcPr>
            <w:tcW w:w="681" w:type="dxa"/>
          </w:tcPr>
          <w:p w14:paraId="797A2C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w:t>
            </w:r>
          </w:p>
        </w:tc>
      </w:tr>
      <w:tr w:rsidR="002B1C74" w:rsidRPr="002F2FDF" w14:paraId="33BAC78D" w14:textId="77777777">
        <w:tc>
          <w:tcPr>
            <w:tcW w:w="3324" w:type="dxa"/>
          </w:tcPr>
          <w:p w14:paraId="461363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 Люлек к ним</w:t>
            </w:r>
          </w:p>
        </w:tc>
        <w:tc>
          <w:tcPr>
            <w:tcW w:w="660" w:type="dxa"/>
          </w:tcPr>
          <w:p w14:paraId="70DA3C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7F5162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703170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w:t>
            </w:r>
          </w:p>
        </w:tc>
      </w:tr>
      <w:tr w:rsidR="002B1C74" w:rsidRPr="002F2FDF" w14:paraId="41C6F999" w14:textId="77777777">
        <w:tc>
          <w:tcPr>
            <w:tcW w:w="3324" w:type="dxa"/>
          </w:tcPr>
          <w:p w14:paraId="1F8637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Исправление 6-дм гаубиц Шнейдера</w:t>
            </w:r>
          </w:p>
        </w:tc>
        <w:tc>
          <w:tcPr>
            <w:tcW w:w="660" w:type="dxa"/>
          </w:tcPr>
          <w:p w14:paraId="7B187E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75A8C8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671593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r>
      <w:tr w:rsidR="002B1C74" w:rsidRPr="002F2FDF" w14:paraId="11514B39" w14:textId="77777777">
        <w:tc>
          <w:tcPr>
            <w:tcW w:w="3324" w:type="dxa"/>
          </w:tcPr>
          <w:p w14:paraId="096233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 6-дм пушек Канэ нескрепленных</w:t>
            </w:r>
          </w:p>
        </w:tc>
        <w:tc>
          <w:tcPr>
            <w:tcW w:w="660" w:type="dxa"/>
          </w:tcPr>
          <w:p w14:paraId="1758FC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w:t>
            </w:r>
          </w:p>
        </w:tc>
        <w:tc>
          <w:tcPr>
            <w:tcW w:w="681" w:type="dxa"/>
          </w:tcPr>
          <w:p w14:paraId="4BDDAC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w:t>
            </w:r>
          </w:p>
        </w:tc>
        <w:tc>
          <w:tcPr>
            <w:tcW w:w="681" w:type="dxa"/>
          </w:tcPr>
          <w:p w14:paraId="123EE1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w:t>
            </w:r>
          </w:p>
        </w:tc>
      </w:tr>
      <w:tr w:rsidR="002B1C74" w:rsidRPr="002F2FDF" w14:paraId="19B6500A" w14:textId="77777777">
        <w:tc>
          <w:tcPr>
            <w:tcW w:w="3324" w:type="dxa"/>
          </w:tcPr>
          <w:p w14:paraId="76BF95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6-дм пушек Канэ скрепленных</w:t>
            </w:r>
          </w:p>
        </w:tc>
        <w:tc>
          <w:tcPr>
            <w:tcW w:w="660" w:type="dxa"/>
          </w:tcPr>
          <w:p w14:paraId="2ECFDC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773BBA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681" w:type="dxa"/>
          </w:tcPr>
          <w:p w14:paraId="497146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w:t>
            </w:r>
          </w:p>
        </w:tc>
      </w:tr>
      <w:tr w:rsidR="002B1C74" w:rsidRPr="002F2FDF" w14:paraId="45ED2FCE" w14:textId="77777777">
        <w:tc>
          <w:tcPr>
            <w:tcW w:w="3324" w:type="dxa"/>
          </w:tcPr>
          <w:p w14:paraId="022945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120-мм пушек Канэ скрепленных</w:t>
            </w:r>
          </w:p>
        </w:tc>
        <w:tc>
          <w:tcPr>
            <w:tcW w:w="660" w:type="dxa"/>
          </w:tcPr>
          <w:p w14:paraId="044DF7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w:t>
            </w:r>
          </w:p>
        </w:tc>
        <w:tc>
          <w:tcPr>
            <w:tcW w:w="681" w:type="dxa"/>
          </w:tcPr>
          <w:p w14:paraId="3E1714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681" w:type="dxa"/>
          </w:tcPr>
          <w:p w14:paraId="1689F7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r>
      <w:tr w:rsidR="002B1C74" w:rsidRPr="002F2FDF" w14:paraId="46D8C87E" w14:textId="77777777">
        <w:tc>
          <w:tcPr>
            <w:tcW w:w="3324" w:type="dxa"/>
          </w:tcPr>
          <w:p w14:paraId="374FCF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120мм пушек Канэ нескрепленных</w:t>
            </w:r>
          </w:p>
        </w:tc>
        <w:tc>
          <w:tcPr>
            <w:tcW w:w="660" w:type="dxa"/>
          </w:tcPr>
          <w:p w14:paraId="0BDDD6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c>
          <w:tcPr>
            <w:tcW w:w="681" w:type="dxa"/>
          </w:tcPr>
          <w:p w14:paraId="58811C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681" w:type="dxa"/>
          </w:tcPr>
          <w:p w14:paraId="6C3EF8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w:t>
            </w:r>
          </w:p>
        </w:tc>
      </w:tr>
      <w:tr w:rsidR="002B1C74" w:rsidRPr="002F2FDF" w14:paraId="04B3D559" w14:textId="77777777">
        <w:tc>
          <w:tcPr>
            <w:tcW w:w="3324" w:type="dxa"/>
          </w:tcPr>
          <w:p w14:paraId="05906A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75-мм пушек Канэ</w:t>
            </w:r>
          </w:p>
        </w:tc>
        <w:tc>
          <w:tcPr>
            <w:tcW w:w="660" w:type="dxa"/>
          </w:tcPr>
          <w:p w14:paraId="104744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w:t>
            </w:r>
          </w:p>
        </w:tc>
        <w:tc>
          <w:tcPr>
            <w:tcW w:w="681" w:type="dxa"/>
          </w:tcPr>
          <w:p w14:paraId="191512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w:t>
            </w:r>
          </w:p>
        </w:tc>
        <w:tc>
          <w:tcPr>
            <w:tcW w:w="681" w:type="dxa"/>
          </w:tcPr>
          <w:p w14:paraId="587467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r>
      <w:tr w:rsidR="002B1C74" w:rsidRPr="002F2FDF" w14:paraId="6A43F277" w14:textId="77777777">
        <w:tc>
          <w:tcPr>
            <w:tcW w:w="3324" w:type="dxa"/>
          </w:tcPr>
          <w:p w14:paraId="020C79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 Переносных стрелковых щитов</w:t>
            </w:r>
          </w:p>
        </w:tc>
        <w:tc>
          <w:tcPr>
            <w:tcW w:w="660" w:type="dxa"/>
          </w:tcPr>
          <w:p w14:paraId="338F60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1E693D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4669F7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3.000</w:t>
            </w:r>
          </w:p>
        </w:tc>
      </w:tr>
      <w:tr w:rsidR="002B1C74" w:rsidRPr="002F2FDF" w14:paraId="5BFF1BFB" w14:textId="77777777">
        <w:tc>
          <w:tcPr>
            <w:tcW w:w="3324" w:type="dxa"/>
          </w:tcPr>
          <w:p w14:paraId="4BB9C2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Снаряды</w:t>
            </w:r>
          </w:p>
        </w:tc>
        <w:tc>
          <w:tcPr>
            <w:tcW w:w="2022" w:type="dxa"/>
            <w:gridSpan w:val="3"/>
          </w:tcPr>
          <w:p w14:paraId="305C3236" w14:textId="280C9F5A"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3A0420AB" w14:textId="77777777">
        <w:tc>
          <w:tcPr>
            <w:tcW w:w="3324" w:type="dxa"/>
          </w:tcPr>
          <w:p w14:paraId="64E148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3-дм тротиловых гранат</w:t>
            </w:r>
          </w:p>
        </w:tc>
        <w:tc>
          <w:tcPr>
            <w:tcW w:w="660" w:type="dxa"/>
          </w:tcPr>
          <w:p w14:paraId="319E61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53.800</w:t>
            </w:r>
          </w:p>
        </w:tc>
        <w:tc>
          <w:tcPr>
            <w:tcW w:w="681" w:type="dxa"/>
          </w:tcPr>
          <w:p w14:paraId="24215E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152.500</w:t>
            </w:r>
          </w:p>
        </w:tc>
        <w:tc>
          <w:tcPr>
            <w:tcW w:w="681" w:type="dxa"/>
          </w:tcPr>
          <w:p w14:paraId="2F2BAF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231.200</w:t>
            </w:r>
          </w:p>
        </w:tc>
      </w:tr>
      <w:tr w:rsidR="002B1C74" w:rsidRPr="002F2FDF" w14:paraId="42350BDE" w14:textId="77777777">
        <w:tc>
          <w:tcPr>
            <w:tcW w:w="3324" w:type="dxa"/>
          </w:tcPr>
          <w:p w14:paraId="4B6607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4-дм фугасных снарядов обр. 1911 г. 60 калибров</w:t>
            </w:r>
          </w:p>
        </w:tc>
        <w:tc>
          <w:tcPr>
            <w:tcW w:w="660" w:type="dxa"/>
          </w:tcPr>
          <w:p w14:paraId="244443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69DD09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5FC5CC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6.100</w:t>
            </w:r>
          </w:p>
        </w:tc>
      </w:tr>
      <w:tr w:rsidR="002B1C74" w:rsidRPr="002F2FDF" w14:paraId="70D1FA44" w14:textId="77777777">
        <w:tc>
          <w:tcPr>
            <w:tcW w:w="3324" w:type="dxa"/>
          </w:tcPr>
          <w:p w14:paraId="081523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12-см шрапнелей</w:t>
            </w:r>
          </w:p>
        </w:tc>
        <w:tc>
          <w:tcPr>
            <w:tcW w:w="660" w:type="dxa"/>
          </w:tcPr>
          <w:p w14:paraId="2DFF0B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2C7214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12.800</w:t>
            </w:r>
          </w:p>
        </w:tc>
        <w:tc>
          <w:tcPr>
            <w:tcW w:w="681" w:type="dxa"/>
          </w:tcPr>
          <w:p w14:paraId="2F8087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1C579028" w14:textId="77777777">
        <w:tc>
          <w:tcPr>
            <w:tcW w:w="3324" w:type="dxa"/>
          </w:tcPr>
          <w:p w14:paraId="427AF6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48-лин. тротиловых бомб 4,5 калибра</w:t>
            </w:r>
          </w:p>
        </w:tc>
        <w:tc>
          <w:tcPr>
            <w:tcW w:w="660" w:type="dxa"/>
          </w:tcPr>
          <w:p w14:paraId="024585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51.000</w:t>
            </w:r>
          </w:p>
        </w:tc>
        <w:tc>
          <w:tcPr>
            <w:tcW w:w="681" w:type="dxa"/>
          </w:tcPr>
          <w:p w14:paraId="4030F5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90.300</w:t>
            </w:r>
          </w:p>
        </w:tc>
        <w:tc>
          <w:tcPr>
            <w:tcW w:w="681" w:type="dxa"/>
          </w:tcPr>
          <w:p w14:paraId="313D6B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243.400</w:t>
            </w:r>
          </w:p>
        </w:tc>
      </w:tr>
      <w:tr w:rsidR="002B1C74" w:rsidRPr="002F2FDF" w14:paraId="7B228B7B" w14:textId="77777777">
        <w:tc>
          <w:tcPr>
            <w:tcW w:w="3324" w:type="dxa"/>
          </w:tcPr>
          <w:p w14:paraId="664201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48-лин. шрапнелей</w:t>
            </w:r>
          </w:p>
        </w:tc>
        <w:tc>
          <w:tcPr>
            <w:tcW w:w="660" w:type="dxa"/>
          </w:tcPr>
          <w:p w14:paraId="0D4579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21.200</w:t>
            </w:r>
          </w:p>
        </w:tc>
        <w:tc>
          <w:tcPr>
            <w:tcW w:w="681" w:type="dxa"/>
          </w:tcPr>
          <w:p w14:paraId="3D4188F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33.700</w:t>
            </w:r>
          </w:p>
        </w:tc>
        <w:tc>
          <w:tcPr>
            <w:tcW w:w="681" w:type="dxa"/>
          </w:tcPr>
          <w:p w14:paraId="163144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47.200</w:t>
            </w:r>
          </w:p>
        </w:tc>
      </w:tr>
      <w:tr w:rsidR="002B1C74" w:rsidRPr="002F2FDF" w14:paraId="15683B5F" w14:textId="77777777">
        <w:tc>
          <w:tcPr>
            <w:tcW w:w="3324" w:type="dxa"/>
          </w:tcPr>
          <w:p w14:paraId="774DFA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120-мм фугасных бронебойных бомб 50 калибров с наконечниками</w:t>
            </w:r>
          </w:p>
        </w:tc>
        <w:tc>
          <w:tcPr>
            <w:tcW w:w="660" w:type="dxa"/>
          </w:tcPr>
          <w:p w14:paraId="058919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3.100</w:t>
            </w:r>
          </w:p>
        </w:tc>
        <w:tc>
          <w:tcPr>
            <w:tcW w:w="681" w:type="dxa"/>
          </w:tcPr>
          <w:p w14:paraId="77AD74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4.500</w:t>
            </w:r>
          </w:p>
        </w:tc>
        <w:tc>
          <w:tcPr>
            <w:tcW w:w="681" w:type="dxa"/>
          </w:tcPr>
          <w:p w14:paraId="546A84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065E6E3C" w14:textId="77777777">
        <w:tc>
          <w:tcPr>
            <w:tcW w:w="3324" w:type="dxa"/>
          </w:tcPr>
          <w:p w14:paraId="5ABA6E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120-мм фугасных бомб с подкаленными головками</w:t>
            </w:r>
          </w:p>
        </w:tc>
        <w:tc>
          <w:tcPr>
            <w:tcW w:w="660" w:type="dxa"/>
          </w:tcPr>
          <w:p w14:paraId="3D2267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6BE2E2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2.000</w:t>
            </w:r>
          </w:p>
        </w:tc>
        <w:tc>
          <w:tcPr>
            <w:tcW w:w="681" w:type="dxa"/>
          </w:tcPr>
          <w:p w14:paraId="7A1157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w:t>
            </w:r>
          </w:p>
        </w:tc>
      </w:tr>
      <w:tr w:rsidR="002B1C74" w:rsidRPr="002F2FDF" w14:paraId="6605E0A5" w14:textId="77777777">
        <w:tc>
          <w:tcPr>
            <w:tcW w:w="3324" w:type="dxa"/>
          </w:tcPr>
          <w:p w14:paraId="6FB79F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130-мм бомб 1911 г. 52 калибра</w:t>
            </w:r>
          </w:p>
        </w:tc>
        <w:tc>
          <w:tcPr>
            <w:tcW w:w="660" w:type="dxa"/>
          </w:tcPr>
          <w:p w14:paraId="726288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490AE4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c>
          <w:tcPr>
            <w:tcW w:w="681" w:type="dxa"/>
          </w:tcPr>
          <w:p w14:paraId="41F819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3.050</w:t>
            </w:r>
          </w:p>
        </w:tc>
      </w:tr>
      <w:tr w:rsidR="002B1C74" w:rsidRPr="002F2FDF" w14:paraId="711868A9" w14:textId="77777777">
        <w:tc>
          <w:tcPr>
            <w:tcW w:w="3324" w:type="dxa"/>
          </w:tcPr>
          <w:p w14:paraId="0A8809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6-дм фугасных тротиловых бомб для пушки в 200 пудов</w:t>
            </w:r>
          </w:p>
        </w:tc>
        <w:tc>
          <w:tcPr>
            <w:tcW w:w="660" w:type="dxa"/>
          </w:tcPr>
          <w:p w14:paraId="1FD62C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7.800</w:t>
            </w:r>
          </w:p>
        </w:tc>
        <w:tc>
          <w:tcPr>
            <w:tcW w:w="681" w:type="dxa"/>
          </w:tcPr>
          <w:p w14:paraId="766FE9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12.600</w:t>
            </w:r>
          </w:p>
        </w:tc>
        <w:tc>
          <w:tcPr>
            <w:tcW w:w="681" w:type="dxa"/>
          </w:tcPr>
          <w:p w14:paraId="3E62D8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32.700</w:t>
            </w:r>
          </w:p>
        </w:tc>
      </w:tr>
      <w:tr w:rsidR="002B1C74" w:rsidRPr="002F2FDF" w14:paraId="09CAB399" w14:textId="77777777">
        <w:tc>
          <w:tcPr>
            <w:tcW w:w="3324" w:type="dxa"/>
          </w:tcPr>
          <w:p w14:paraId="507404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6-дм шрапнелей</w:t>
            </w:r>
          </w:p>
        </w:tc>
        <w:tc>
          <w:tcPr>
            <w:tcW w:w="660" w:type="dxa"/>
          </w:tcPr>
          <w:p w14:paraId="0DCFD6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46.400</w:t>
            </w:r>
          </w:p>
        </w:tc>
        <w:tc>
          <w:tcPr>
            <w:tcW w:w="681" w:type="dxa"/>
          </w:tcPr>
          <w:p w14:paraId="797374F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98.300</w:t>
            </w:r>
          </w:p>
        </w:tc>
        <w:tc>
          <w:tcPr>
            <w:tcW w:w="681" w:type="dxa"/>
          </w:tcPr>
          <w:p w14:paraId="5D5B11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69.000</w:t>
            </w:r>
          </w:p>
        </w:tc>
      </w:tr>
      <w:tr w:rsidR="002B1C74" w:rsidRPr="002F2FDF" w14:paraId="7BE8B414" w14:textId="77777777">
        <w:tc>
          <w:tcPr>
            <w:tcW w:w="3324" w:type="dxa"/>
          </w:tcPr>
          <w:p w14:paraId="40589E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6-дм фугасных бомб с подкаленной головкой</w:t>
            </w:r>
          </w:p>
        </w:tc>
        <w:tc>
          <w:tcPr>
            <w:tcW w:w="660" w:type="dxa"/>
          </w:tcPr>
          <w:p w14:paraId="22C709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48C60B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1.120</w:t>
            </w:r>
          </w:p>
        </w:tc>
        <w:tc>
          <w:tcPr>
            <w:tcW w:w="681" w:type="dxa"/>
          </w:tcPr>
          <w:p w14:paraId="70B5722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w:t>
            </w:r>
          </w:p>
        </w:tc>
      </w:tr>
      <w:tr w:rsidR="002B1C74" w:rsidRPr="002F2FDF" w14:paraId="11582BD4" w14:textId="77777777">
        <w:tc>
          <w:tcPr>
            <w:tcW w:w="3324" w:type="dxa"/>
          </w:tcPr>
          <w:p w14:paraId="29515D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6-дм фугасных бомб для гаубиц</w:t>
            </w:r>
          </w:p>
        </w:tc>
        <w:tc>
          <w:tcPr>
            <w:tcW w:w="660" w:type="dxa"/>
          </w:tcPr>
          <w:p w14:paraId="31874E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12.600</w:t>
            </w:r>
          </w:p>
        </w:tc>
        <w:tc>
          <w:tcPr>
            <w:tcW w:w="681" w:type="dxa"/>
          </w:tcPr>
          <w:p w14:paraId="2ECEAE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9.400</w:t>
            </w:r>
          </w:p>
        </w:tc>
        <w:tc>
          <w:tcPr>
            <w:tcW w:w="681" w:type="dxa"/>
          </w:tcPr>
          <w:p w14:paraId="4A0087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21.700</w:t>
            </w:r>
          </w:p>
        </w:tc>
      </w:tr>
      <w:tr w:rsidR="002B1C74" w:rsidRPr="002F2FDF" w14:paraId="15BC2BB9" w14:textId="77777777">
        <w:tc>
          <w:tcPr>
            <w:tcW w:w="3324" w:type="dxa"/>
          </w:tcPr>
          <w:p w14:paraId="7E9625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6-дм фугасных бомб для пушек 120 пудов</w:t>
            </w:r>
          </w:p>
        </w:tc>
        <w:tc>
          <w:tcPr>
            <w:tcW w:w="660" w:type="dxa"/>
          </w:tcPr>
          <w:p w14:paraId="612C76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15.000</w:t>
            </w:r>
          </w:p>
        </w:tc>
        <w:tc>
          <w:tcPr>
            <w:tcW w:w="681" w:type="dxa"/>
          </w:tcPr>
          <w:p w14:paraId="01BCC8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17.000</w:t>
            </w:r>
          </w:p>
        </w:tc>
        <w:tc>
          <w:tcPr>
            <w:tcW w:w="681" w:type="dxa"/>
          </w:tcPr>
          <w:p w14:paraId="4260C6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053D3A7D" w14:textId="77777777">
        <w:tc>
          <w:tcPr>
            <w:tcW w:w="3324" w:type="dxa"/>
          </w:tcPr>
          <w:p w14:paraId="6EE616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8-дм фугасных бомб обр. 1907 г. с наконечниками 4,5 калибра</w:t>
            </w:r>
          </w:p>
        </w:tc>
        <w:tc>
          <w:tcPr>
            <w:tcW w:w="660" w:type="dxa"/>
          </w:tcPr>
          <w:p w14:paraId="0BF8F7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69407C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w:t>
            </w:r>
          </w:p>
        </w:tc>
        <w:tc>
          <w:tcPr>
            <w:tcW w:w="681" w:type="dxa"/>
          </w:tcPr>
          <w:p w14:paraId="69FC0A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650</w:t>
            </w:r>
          </w:p>
        </w:tc>
      </w:tr>
      <w:tr w:rsidR="002B1C74" w:rsidRPr="002F2FDF" w14:paraId="67E94F6E" w14:textId="77777777">
        <w:tc>
          <w:tcPr>
            <w:tcW w:w="3324" w:type="dxa"/>
          </w:tcPr>
          <w:p w14:paraId="18F98CF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10-дм фугасных бомб 5,0 калибра с наконечниками</w:t>
            </w:r>
          </w:p>
        </w:tc>
        <w:tc>
          <w:tcPr>
            <w:tcW w:w="660" w:type="dxa"/>
          </w:tcPr>
          <w:p w14:paraId="38A121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1887EE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w:t>
            </w:r>
          </w:p>
        </w:tc>
        <w:tc>
          <w:tcPr>
            <w:tcW w:w="681" w:type="dxa"/>
          </w:tcPr>
          <w:p w14:paraId="31D588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1.000</w:t>
            </w:r>
          </w:p>
        </w:tc>
      </w:tr>
      <w:tr w:rsidR="002B1C74" w:rsidRPr="002F2FDF" w14:paraId="2D4277D7" w14:textId="77777777">
        <w:tc>
          <w:tcPr>
            <w:tcW w:w="3324" w:type="dxa"/>
          </w:tcPr>
          <w:p w14:paraId="7C990F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10-дм фугасных бомб 4,5 калибра с подкаленныйми головками</w:t>
            </w:r>
          </w:p>
        </w:tc>
        <w:tc>
          <w:tcPr>
            <w:tcW w:w="660" w:type="dxa"/>
          </w:tcPr>
          <w:p w14:paraId="16E4E7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770</w:t>
            </w:r>
          </w:p>
        </w:tc>
        <w:tc>
          <w:tcPr>
            <w:tcW w:w="681" w:type="dxa"/>
          </w:tcPr>
          <w:p w14:paraId="66898D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370</w:t>
            </w:r>
          </w:p>
        </w:tc>
        <w:tc>
          <w:tcPr>
            <w:tcW w:w="681" w:type="dxa"/>
          </w:tcPr>
          <w:p w14:paraId="4611A0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w:t>
            </w:r>
          </w:p>
        </w:tc>
      </w:tr>
      <w:tr w:rsidR="002B1C74" w:rsidRPr="002F2FDF" w14:paraId="5BDECA8E" w14:textId="77777777">
        <w:tc>
          <w:tcPr>
            <w:tcW w:w="3324" w:type="dxa"/>
          </w:tcPr>
          <w:p w14:paraId="69FC3B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10-дм фугасных бронебойных бомб с наконечниками</w:t>
            </w:r>
          </w:p>
        </w:tc>
        <w:tc>
          <w:tcPr>
            <w:tcW w:w="660" w:type="dxa"/>
          </w:tcPr>
          <w:p w14:paraId="0C7D2F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39A66C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w:t>
            </w:r>
          </w:p>
        </w:tc>
        <w:tc>
          <w:tcPr>
            <w:tcW w:w="681" w:type="dxa"/>
          </w:tcPr>
          <w:p w14:paraId="40A02C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3720E31F" w14:textId="77777777">
        <w:tc>
          <w:tcPr>
            <w:tcW w:w="3324" w:type="dxa"/>
          </w:tcPr>
          <w:p w14:paraId="0D0D7E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11-дм фугасных бомб 4,5 калибра</w:t>
            </w:r>
          </w:p>
        </w:tc>
        <w:tc>
          <w:tcPr>
            <w:tcW w:w="660" w:type="dxa"/>
          </w:tcPr>
          <w:p w14:paraId="59A8C79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3AFD6E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820</w:t>
            </w:r>
          </w:p>
        </w:tc>
        <w:tc>
          <w:tcPr>
            <w:tcW w:w="681" w:type="dxa"/>
          </w:tcPr>
          <w:p w14:paraId="277E66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1.050</w:t>
            </w:r>
          </w:p>
        </w:tc>
      </w:tr>
      <w:tr w:rsidR="002B1C74" w:rsidRPr="002F2FDF" w14:paraId="7A5DB6AA" w14:textId="77777777">
        <w:tc>
          <w:tcPr>
            <w:tcW w:w="3324" w:type="dxa"/>
          </w:tcPr>
          <w:p w14:paraId="03B5DB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11=дм фугасных бомб 2,8 калибра</w:t>
            </w:r>
          </w:p>
        </w:tc>
        <w:tc>
          <w:tcPr>
            <w:tcW w:w="660" w:type="dxa"/>
          </w:tcPr>
          <w:p w14:paraId="72B862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1.420</w:t>
            </w:r>
          </w:p>
        </w:tc>
        <w:tc>
          <w:tcPr>
            <w:tcW w:w="681" w:type="dxa"/>
          </w:tcPr>
          <w:p w14:paraId="26B1F5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270</w:t>
            </w:r>
          </w:p>
        </w:tc>
        <w:tc>
          <w:tcPr>
            <w:tcW w:w="681" w:type="dxa"/>
          </w:tcPr>
          <w:p w14:paraId="1432C2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300</w:t>
            </w:r>
          </w:p>
        </w:tc>
      </w:tr>
      <w:tr w:rsidR="002B1C74" w:rsidRPr="002F2FDF" w14:paraId="7832B5A4" w14:textId="77777777">
        <w:tc>
          <w:tcPr>
            <w:tcW w:w="3324" w:type="dxa"/>
          </w:tcPr>
          <w:p w14:paraId="7835A1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11-дм полуоб /так!/ бомб 3 калибра</w:t>
            </w:r>
          </w:p>
        </w:tc>
        <w:tc>
          <w:tcPr>
            <w:tcW w:w="660" w:type="dxa"/>
          </w:tcPr>
          <w:p w14:paraId="3C723A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950</w:t>
            </w:r>
          </w:p>
        </w:tc>
        <w:tc>
          <w:tcPr>
            <w:tcW w:w="681" w:type="dxa"/>
          </w:tcPr>
          <w:p w14:paraId="0534D1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260</w:t>
            </w:r>
          </w:p>
        </w:tc>
        <w:tc>
          <w:tcPr>
            <w:tcW w:w="681" w:type="dxa"/>
          </w:tcPr>
          <w:p w14:paraId="565AE5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795A3CEB" w14:textId="77777777">
        <w:tc>
          <w:tcPr>
            <w:tcW w:w="3324" w:type="dxa"/>
          </w:tcPr>
          <w:p w14:paraId="4C6F55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12-дм фугасных бомб 4,75 калибра</w:t>
            </w:r>
          </w:p>
        </w:tc>
        <w:tc>
          <w:tcPr>
            <w:tcW w:w="660" w:type="dxa"/>
          </w:tcPr>
          <w:p w14:paraId="663F6C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2A33BA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440</w:t>
            </w:r>
          </w:p>
        </w:tc>
        <w:tc>
          <w:tcPr>
            <w:tcW w:w="681" w:type="dxa"/>
          </w:tcPr>
          <w:p w14:paraId="1D73AA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680</w:t>
            </w:r>
          </w:p>
        </w:tc>
      </w:tr>
      <w:tr w:rsidR="002B1C74" w:rsidRPr="002F2FDF" w14:paraId="2B509143" w14:textId="77777777">
        <w:tc>
          <w:tcPr>
            <w:tcW w:w="3324" w:type="dxa"/>
          </w:tcPr>
          <w:p w14:paraId="15DFEC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12-дм бронебойных бомб</w:t>
            </w:r>
          </w:p>
        </w:tc>
        <w:tc>
          <w:tcPr>
            <w:tcW w:w="660" w:type="dxa"/>
          </w:tcPr>
          <w:p w14:paraId="4A8097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42535B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c>
          <w:tcPr>
            <w:tcW w:w="681" w:type="dxa"/>
          </w:tcPr>
          <w:p w14:paraId="12F710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631B3ED3" w14:textId="77777777">
        <w:tc>
          <w:tcPr>
            <w:tcW w:w="3324" w:type="dxa"/>
          </w:tcPr>
          <w:p w14:paraId="4CE190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 же с подкаленными головками</w:t>
            </w:r>
          </w:p>
        </w:tc>
        <w:tc>
          <w:tcPr>
            <w:tcW w:w="660" w:type="dxa"/>
          </w:tcPr>
          <w:p w14:paraId="0468E4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530</w:t>
            </w:r>
          </w:p>
        </w:tc>
        <w:tc>
          <w:tcPr>
            <w:tcW w:w="681" w:type="dxa"/>
          </w:tcPr>
          <w:p w14:paraId="472389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681" w:type="dxa"/>
          </w:tcPr>
          <w:p w14:paraId="39573F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55A1F26E" w14:textId="77777777">
        <w:tc>
          <w:tcPr>
            <w:tcW w:w="3324" w:type="dxa"/>
            <w:tcBorders>
              <w:bottom w:val="single" w:sz="12" w:space="0" w:color="auto"/>
            </w:tcBorders>
          </w:tcPr>
          <w:p w14:paraId="274601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14-дм бомб разных</w:t>
            </w:r>
          </w:p>
        </w:tc>
        <w:tc>
          <w:tcPr>
            <w:tcW w:w="660" w:type="dxa"/>
            <w:tcBorders>
              <w:bottom w:val="single" w:sz="12" w:space="0" w:color="auto"/>
            </w:tcBorders>
          </w:tcPr>
          <w:p w14:paraId="43BC93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c>
          <w:tcPr>
            <w:tcW w:w="681" w:type="dxa"/>
            <w:tcBorders>
              <w:bottom w:val="single" w:sz="12" w:space="0" w:color="auto"/>
            </w:tcBorders>
          </w:tcPr>
          <w:p w14:paraId="34822D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w:t>
            </w:r>
          </w:p>
        </w:tc>
        <w:tc>
          <w:tcPr>
            <w:tcW w:w="681" w:type="dxa"/>
            <w:tcBorders>
              <w:bottom w:val="single" w:sz="12" w:space="0" w:color="auto"/>
            </w:tcBorders>
          </w:tcPr>
          <w:p w14:paraId="01091C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bl>
    <w:p w14:paraId="40DE54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 указанного перечня видно, что во время мировой войны завод работал по изготовлению орудий средних и малых калибров, от 3-дм до 6-дм, снаряды же изготовлял всех калибров от 3-дм до 14-дм (11329).</w:t>
      </w:r>
    </w:p>
    <w:p w14:paraId="2C6194A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90C7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Итоги работы орудийных заводов в войну 1914—1918 годов</w:t>
      </w:r>
    </w:p>
    <w:p w14:paraId="6B4804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Производство 3-дм полевых скорострельных и 3-дм горных пушек на русских заводах за годы войны выразилось в следующих цифрах: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68"/>
        <w:gridCol w:w="799"/>
        <w:gridCol w:w="799"/>
        <w:gridCol w:w="799"/>
        <w:gridCol w:w="799"/>
        <w:gridCol w:w="799"/>
        <w:gridCol w:w="799"/>
      </w:tblGrid>
      <w:tr w:rsidR="002B1C74" w:rsidRPr="002F2FDF" w14:paraId="18C361CA" w14:textId="77777777">
        <w:tc>
          <w:tcPr>
            <w:tcW w:w="2268" w:type="dxa"/>
            <w:tcBorders>
              <w:top w:val="single" w:sz="12" w:space="0" w:color="auto"/>
            </w:tcBorders>
          </w:tcPr>
          <w:p w14:paraId="44D7AFAA" w14:textId="3F21A132"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1598" w:type="dxa"/>
            <w:gridSpan w:val="2"/>
            <w:tcBorders>
              <w:top w:val="single" w:sz="12" w:space="0" w:color="auto"/>
            </w:tcBorders>
          </w:tcPr>
          <w:p w14:paraId="217AF1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год</w:t>
            </w:r>
          </w:p>
        </w:tc>
        <w:tc>
          <w:tcPr>
            <w:tcW w:w="1598" w:type="dxa"/>
            <w:gridSpan w:val="2"/>
            <w:tcBorders>
              <w:top w:val="single" w:sz="12" w:space="0" w:color="auto"/>
            </w:tcBorders>
          </w:tcPr>
          <w:p w14:paraId="048B3A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год</w:t>
            </w:r>
          </w:p>
        </w:tc>
        <w:tc>
          <w:tcPr>
            <w:tcW w:w="1598" w:type="dxa"/>
            <w:gridSpan w:val="2"/>
            <w:tcBorders>
              <w:top w:val="single" w:sz="12" w:space="0" w:color="auto"/>
            </w:tcBorders>
          </w:tcPr>
          <w:p w14:paraId="6C5520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год</w:t>
            </w:r>
          </w:p>
        </w:tc>
      </w:tr>
      <w:tr w:rsidR="002B1C74" w:rsidRPr="002F2FDF" w14:paraId="56968785" w14:textId="77777777">
        <w:tc>
          <w:tcPr>
            <w:tcW w:w="2268" w:type="dxa"/>
          </w:tcPr>
          <w:p w14:paraId="1A8B45BF" w14:textId="784455DF"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799" w:type="dxa"/>
          </w:tcPr>
          <w:p w14:paraId="6BFF6F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половина</w:t>
            </w:r>
          </w:p>
        </w:tc>
        <w:tc>
          <w:tcPr>
            <w:tcW w:w="799" w:type="dxa"/>
          </w:tcPr>
          <w:p w14:paraId="4158F3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половина</w:t>
            </w:r>
          </w:p>
        </w:tc>
        <w:tc>
          <w:tcPr>
            <w:tcW w:w="799" w:type="dxa"/>
          </w:tcPr>
          <w:p w14:paraId="0C7F93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половина</w:t>
            </w:r>
          </w:p>
        </w:tc>
        <w:tc>
          <w:tcPr>
            <w:tcW w:w="799" w:type="dxa"/>
          </w:tcPr>
          <w:p w14:paraId="155C05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половина</w:t>
            </w:r>
          </w:p>
        </w:tc>
        <w:tc>
          <w:tcPr>
            <w:tcW w:w="799" w:type="dxa"/>
          </w:tcPr>
          <w:p w14:paraId="064833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половина</w:t>
            </w:r>
          </w:p>
        </w:tc>
        <w:tc>
          <w:tcPr>
            <w:tcW w:w="799" w:type="dxa"/>
          </w:tcPr>
          <w:p w14:paraId="1AF57B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половина</w:t>
            </w:r>
          </w:p>
        </w:tc>
      </w:tr>
      <w:tr w:rsidR="002B1C74" w:rsidRPr="002F2FDF" w14:paraId="6411984B" w14:textId="77777777">
        <w:tc>
          <w:tcPr>
            <w:tcW w:w="2268" w:type="dxa"/>
          </w:tcPr>
          <w:p w14:paraId="67D9D3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3-дм полевые скорострельные пушки</w:t>
            </w:r>
          </w:p>
        </w:tc>
        <w:tc>
          <w:tcPr>
            <w:tcW w:w="4794" w:type="dxa"/>
            <w:gridSpan w:val="6"/>
          </w:tcPr>
          <w:p w14:paraId="2AA0560A" w14:textId="29E84F8E"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57C2D8D" w14:textId="77777777">
        <w:tc>
          <w:tcPr>
            <w:tcW w:w="2268" w:type="dxa"/>
          </w:tcPr>
          <w:p w14:paraId="120C6D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Путиловский завод</w:t>
            </w:r>
          </w:p>
        </w:tc>
        <w:tc>
          <w:tcPr>
            <w:tcW w:w="799" w:type="dxa"/>
          </w:tcPr>
          <w:p w14:paraId="01C65C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99" w:type="dxa"/>
          </w:tcPr>
          <w:p w14:paraId="31DE2B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552</w:t>
            </w:r>
          </w:p>
        </w:tc>
        <w:tc>
          <w:tcPr>
            <w:tcW w:w="799" w:type="dxa"/>
          </w:tcPr>
          <w:p w14:paraId="332BE8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686</w:t>
            </w:r>
          </w:p>
        </w:tc>
        <w:tc>
          <w:tcPr>
            <w:tcW w:w="799" w:type="dxa"/>
          </w:tcPr>
          <w:p w14:paraId="368503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864</w:t>
            </w:r>
          </w:p>
        </w:tc>
        <w:tc>
          <w:tcPr>
            <w:tcW w:w="799" w:type="dxa"/>
          </w:tcPr>
          <w:p w14:paraId="27D0DD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481</w:t>
            </w:r>
          </w:p>
        </w:tc>
        <w:tc>
          <w:tcPr>
            <w:tcW w:w="799" w:type="dxa"/>
          </w:tcPr>
          <w:p w14:paraId="12BD5B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170</w:t>
            </w:r>
          </w:p>
        </w:tc>
      </w:tr>
      <w:tr w:rsidR="002B1C74" w:rsidRPr="002F2FDF" w14:paraId="49A65E66" w14:textId="77777777">
        <w:tc>
          <w:tcPr>
            <w:tcW w:w="2268" w:type="dxa"/>
          </w:tcPr>
          <w:p w14:paraId="07EC32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Пермский завод</w:t>
            </w:r>
          </w:p>
        </w:tc>
        <w:tc>
          <w:tcPr>
            <w:tcW w:w="799" w:type="dxa"/>
          </w:tcPr>
          <w:p w14:paraId="0B5155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230</w:t>
            </w:r>
          </w:p>
        </w:tc>
        <w:tc>
          <w:tcPr>
            <w:tcW w:w="799" w:type="dxa"/>
          </w:tcPr>
          <w:p w14:paraId="4A55D0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392</w:t>
            </w:r>
          </w:p>
        </w:tc>
        <w:tc>
          <w:tcPr>
            <w:tcW w:w="799" w:type="dxa"/>
          </w:tcPr>
          <w:p w14:paraId="593614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418</w:t>
            </w:r>
          </w:p>
        </w:tc>
        <w:tc>
          <w:tcPr>
            <w:tcW w:w="799" w:type="dxa"/>
          </w:tcPr>
          <w:p w14:paraId="0ABBF4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577</w:t>
            </w:r>
          </w:p>
        </w:tc>
        <w:tc>
          <w:tcPr>
            <w:tcW w:w="799" w:type="dxa"/>
          </w:tcPr>
          <w:p w14:paraId="6799A9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562</w:t>
            </w:r>
          </w:p>
        </w:tc>
        <w:tc>
          <w:tcPr>
            <w:tcW w:w="799" w:type="dxa"/>
          </w:tcPr>
          <w:p w14:paraId="0CF5B82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443</w:t>
            </w:r>
          </w:p>
        </w:tc>
      </w:tr>
      <w:tr w:rsidR="002B1C74" w:rsidRPr="002F2FDF" w14:paraId="26FA8016" w14:textId="77777777">
        <w:tc>
          <w:tcPr>
            <w:tcW w:w="2268" w:type="dxa"/>
          </w:tcPr>
          <w:p w14:paraId="0E804B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Петроградский орудийный завод</w:t>
            </w:r>
          </w:p>
        </w:tc>
        <w:tc>
          <w:tcPr>
            <w:tcW w:w="799" w:type="dxa"/>
          </w:tcPr>
          <w:p w14:paraId="6AE3A6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w:t>
            </w:r>
          </w:p>
        </w:tc>
        <w:tc>
          <w:tcPr>
            <w:tcW w:w="799" w:type="dxa"/>
          </w:tcPr>
          <w:p w14:paraId="3A6727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145</w:t>
            </w:r>
          </w:p>
        </w:tc>
        <w:tc>
          <w:tcPr>
            <w:tcW w:w="799" w:type="dxa"/>
          </w:tcPr>
          <w:p w14:paraId="226827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164</w:t>
            </w:r>
          </w:p>
        </w:tc>
        <w:tc>
          <w:tcPr>
            <w:tcW w:w="799" w:type="dxa"/>
          </w:tcPr>
          <w:p w14:paraId="10C8D5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212</w:t>
            </w:r>
          </w:p>
        </w:tc>
        <w:tc>
          <w:tcPr>
            <w:tcW w:w="799" w:type="dxa"/>
          </w:tcPr>
          <w:p w14:paraId="03A21C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181</w:t>
            </w:r>
          </w:p>
        </w:tc>
        <w:tc>
          <w:tcPr>
            <w:tcW w:w="799" w:type="dxa"/>
          </w:tcPr>
          <w:p w14:paraId="7D259C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136</w:t>
            </w:r>
          </w:p>
        </w:tc>
      </w:tr>
      <w:tr w:rsidR="002B1C74" w:rsidRPr="002F2FDF" w14:paraId="6CA1E638" w14:textId="77777777">
        <w:tc>
          <w:tcPr>
            <w:tcW w:w="2268" w:type="dxa"/>
          </w:tcPr>
          <w:p w14:paraId="731090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Царицынская группа</w:t>
            </w:r>
          </w:p>
        </w:tc>
        <w:tc>
          <w:tcPr>
            <w:tcW w:w="799" w:type="dxa"/>
          </w:tcPr>
          <w:p w14:paraId="5D91D2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99" w:type="dxa"/>
          </w:tcPr>
          <w:p w14:paraId="3E3C30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799" w:type="dxa"/>
          </w:tcPr>
          <w:p w14:paraId="262BE7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w:t>
            </w:r>
          </w:p>
        </w:tc>
        <w:tc>
          <w:tcPr>
            <w:tcW w:w="799" w:type="dxa"/>
          </w:tcPr>
          <w:p w14:paraId="7D65A9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751</w:t>
            </w:r>
          </w:p>
        </w:tc>
        <w:tc>
          <w:tcPr>
            <w:tcW w:w="799" w:type="dxa"/>
          </w:tcPr>
          <w:p w14:paraId="401359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760</w:t>
            </w:r>
          </w:p>
        </w:tc>
        <w:tc>
          <w:tcPr>
            <w:tcW w:w="799" w:type="dxa"/>
          </w:tcPr>
          <w:p w14:paraId="4168CD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473</w:t>
            </w:r>
          </w:p>
        </w:tc>
      </w:tr>
      <w:tr w:rsidR="002B1C74" w:rsidRPr="002F2FDF" w14:paraId="6FD8C359" w14:textId="77777777">
        <w:tc>
          <w:tcPr>
            <w:tcW w:w="2268" w:type="dxa"/>
          </w:tcPr>
          <w:p w14:paraId="1A09F04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799" w:type="dxa"/>
          </w:tcPr>
          <w:p w14:paraId="0A547A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279</w:t>
            </w:r>
          </w:p>
        </w:tc>
        <w:tc>
          <w:tcPr>
            <w:tcW w:w="799" w:type="dxa"/>
          </w:tcPr>
          <w:p w14:paraId="65EBCF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1089</w:t>
            </w:r>
          </w:p>
        </w:tc>
        <w:tc>
          <w:tcPr>
            <w:tcW w:w="799" w:type="dxa"/>
          </w:tcPr>
          <w:p w14:paraId="22955C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1317</w:t>
            </w:r>
          </w:p>
        </w:tc>
        <w:tc>
          <w:tcPr>
            <w:tcW w:w="799" w:type="dxa"/>
          </w:tcPr>
          <w:p w14:paraId="56FCBA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2404</w:t>
            </w:r>
          </w:p>
        </w:tc>
        <w:tc>
          <w:tcPr>
            <w:tcW w:w="799" w:type="dxa"/>
          </w:tcPr>
          <w:p w14:paraId="387D50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1984</w:t>
            </w:r>
          </w:p>
        </w:tc>
        <w:tc>
          <w:tcPr>
            <w:tcW w:w="799" w:type="dxa"/>
          </w:tcPr>
          <w:p w14:paraId="3A9136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1222</w:t>
            </w:r>
          </w:p>
        </w:tc>
      </w:tr>
      <w:tr w:rsidR="002B1C74" w:rsidRPr="002F2FDF" w14:paraId="1B420408" w14:textId="77777777">
        <w:tc>
          <w:tcPr>
            <w:tcW w:w="2268" w:type="dxa"/>
          </w:tcPr>
          <w:p w14:paraId="69CB2D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среднем в месяц</w:t>
            </w:r>
          </w:p>
        </w:tc>
        <w:tc>
          <w:tcPr>
            <w:tcW w:w="799" w:type="dxa"/>
          </w:tcPr>
          <w:p w14:paraId="329BD2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46</w:t>
            </w:r>
          </w:p>
        </w:tc>
        <w:tc>
          <w:tcPr>
            <w:tcW w:w="799" w:type="dxa"/>
          </w:tcPr>
          <w:p w14:paraId="1EEFC8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181</w:t>
            </w:r>
          </w:p>
        </w:tc>
        <w:tc>
          <w:tcPr>
            <w:tcW w:w="799" w:type="dxa"/>
          </w:tcPr>
          <w:p w14:paraId="6FE3AA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220</w:t>
            </w:r>
          </w:p>
        </w:tc>
        <w:tc>
          <w:tcPr>
            <w:tcW w:w="799" w:type="dxa"/>
          </w:tcPr>
          <w:p w14:paraId="0C1E63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400</w:t>
            </w:r>
          </w:p>
        </w:tc>
        <w:tc>
          <w:tcPr>
            <w:tcW w:w="799" w:type="dxa"/>
          </w:tcPr>
          <w:p w14:paraId="04DF24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330</w:t>
            </w:r>
          </w:p>
        </w:tc>
        <w:tc>
          <w:tcPr>
            <w:tcW w:w="799" w:type="dxa"/>
          </w:tcPr>
          <w:p w14:paraId="7F8E90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203</w:t>
            </w:r>
          </w:p>
        </w:tc>
      </w:tr>
      <w:tr w:rsidR="002B1C74" w:rsidRPr="002F2FDF" w14:paraId="2454ACDE" w14:textId="77777777">
        <w:tc>
          <w:tcPr>
            <w:tcW w:w="2268" w:type="dxa"/>
          </w:tcPr>
          <w:p w14:paraId="4EA173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3-дм горные и короткие пушки</w:t>
            </w:r>
          </w:p>
        </w:tc>
        <w:tc>
          <w:tcPr>
            <w:tcW w:w="4794" w:type="dxa"/>
            <w:gridSpan w:val="6"/>
          </w:tcPr>
          <w:p w14:paraId="22E0C790" w14:textId="5F144E72"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4151234B" w14:textId="77777777">
        <w:tc>
          <w:tcPr>
            <w:tcW w:w="2268" w:type="dxa"/>
          </w:tcPr>
          <w:p w14:paraId="5F7874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Путиловский завод</w:t>
            </w:r>
          </w:p>
        </w:tc>
        <w:tc>
          <w:tcPr>
            <w:tcW w:w="799" w:type="dxa"/>
          </w:tcPr>
          <w:p w14:paraId="2B08E1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94</w:t>
            </w:r>
          </w:p>
        </w:tc>
        <w:tc>
          <w:tcPr>
            <w:tcW w:w="799" w:type="dxa"/>
          </w:tcPr>
          <w:p w14:paraId="0EBCF0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134</w:t>
            </w:r>
          </w:p>
        </w:tc>
        <w:tc>
          <w:tcPr>
            <w:tcW w:w="799" w:type="dxa"/>
          </w:tcPr>
          <w:p w14:paraId="0154300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141</w:t>
            </w:r>
          </w:p>
        </w:tc>
        <w:tc>
          <w:tcPr>
            <w:tcW w:w="799" w:type="dxa"/>
          </w:tcPr>
          <w:p w14:paraId="15C325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229</w:t>
            </w:r>
          </w:p>
        </w:tc>
        <w:tc>
          <w:tcPr>
            <w:tcW w:w="799" w:type="dxa"/>
          </w:tcPr>
          <w:p w14:paraId="7A80B3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127</w:t>
            </w:r>
          </w:p>
        </w:tc>
        <w:tc>
          <w:tcPr>
            <w:tcW w:w="799" w:type="dxa"/>
          </w:tcPr>
          <w:p w14:paraId="367BAA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103</w:t>
            </w:r>
          </w:p>
        </w:tc>
      </w:tr>
      <w:tr w:rsidR="002B1C74" w:rsidRPr="002F2FDF" w14:paraId="762B5736" w14:textId="77777777">
        <w:tc>
          <w:tcPr>
            <w:tcW w:w="2268" w:type="dxa"/>
          </w:tcPr>
          <w:p w14:paraId="60C3D4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Петроградский орудийный завод</w:t>
            </w:r>
          </w:p>
        </w:tc>
        <w:tc>
          <w:tcPr>
            <w:tcW w:w="799" w:type="dxa"/>
          </w:tcPr>
          <w:p w14:paraId="53CB87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w:t>
            </w:r>
          </w:p>
        </w:tc>
        <w:tc>
          <w:tcPr>
            <w:tcW w:w="799" w:type="dxa"/>
          </w:tcPr>
          <w:p w14:paraId="42293E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w:t>
            </w:r>
          </w:p>
        </w:tc>
        <w:tc>
          <w:tcPr>
            <w:tcW w:w="799" w:type="dxa"/>
          </w:tcPr>
          <w:p w14:paraId="4343F4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59</w:t>
            </w:r>
          </w:p>
        </w:tc>
        <w:tc>
          <w:tcPr>
            <w:tcW w:w="799" w:type="dxa"/>
          </w:tcPr>
          <w:p w14:paraId="2106F7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w:t>
            </w:r>
          </w:p>
        </w:tc>
        <w:tc>
          <w:tcPr>
            <w:tcW w:w="799" w:type="dxa"/>
          </w:tcPr>
          <w:p w14:paraId="2347AF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w:t>
            </w:r>
          </w:p>
        </w:tc>
        <w:tc>
          <w:tcPr>
            <w:tcW w:w="799" w:type="dxa"/>
          </w:tcPr>
          <w:p w14:paraId="103256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r>
      <w:tr w:rsidR="002B1C74" w:rsidRPr="002F2FDF" w14:paraId="585924B5" w14:textId="77777777">
        <w:tc>
          <w:tcPr>
            <w:tcW w:w="2268" w:type="dxa"/>
          </w:tcPr>
          <w:p w14:paraId="77BD9F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w:t>
            </w:r>
          </w:p>
        </w:tc>
        <w:tc>
          <w:tcPr>
            <w:tcW w:w="799" w:type="dxa"/>
          </w:tcPr>
          <w:p w14:paraId="40AAB4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131</w:t>
            </w:r>
          </w:p>
        </w:tc>
        <w:tc>
          <w:tcPr>
            <w:tcW w:w="799" w:type="dxa"/>
          </w:tcPr>
          <w:p w14:paraId="6FE817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174</w:t>
            </w:r>
          </w:p>
        </w:tc>
        <w:tc>
          <w:tcPr>
            <w:tcW w:w="799" w:type="dxa"/>
          </w:tcPr>
          <w:p w14:paraId="35D03A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200</w:t>
            </w:r>
          </w:p>
        </w:tc>
        <w:tc>
          <w:tcPr>
            <w:tcW w:w="799" w:type="dxa"/>
          </w:tcPr>
          <w:p w14:paraId="104FFC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285</w:t>
            </w:r>
          </w:p>
        </w:tc>
        <w:tc>
          <w:tcPr>
            <w:tcW w:w="799" w:type="dxa"/>
          </w:tcPr>
          <w:p w14:paraId="678C58C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166</w:t>
            </w:r>
          </w:p>
        </w:tc>
        <w:tc>
          <w:tcPr>
            <w:tcW w:w="799" w:type="dxa"/>
          </w:tcPr>
          <w:p w14:paraId="0E3668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133</w:t>
            </w:r>
          </w:p>
        </w:tc>
      </w:tr>
      <w:tr w:rsidR="002B1C74" w:rsidRPr="002F2FDF" w14:paraId="2C3DE4EE" w14:textId="77777777">
        <w:tc>
          <w:tcPr>
            <w:tcW w:w="2268" w:type="dxa"/>
            <w:tcBorders>
              <w:bottom w:val="single" w:sz="12" w:space="0" w:color="auto"/>
            </w:tcBorders>
          </w:tcPr>
          <w:p w14:paraId="6EE218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среднем в месяц</w:t>
            </w:r>
          </w:p>
        </w:tc>
        <w:tc>
          <w:tcPr>
            <w:tcW w:w="799" w:type="dxa"/>
            <w:tcBorders>
              <w:bottom w:val="single" w:sz="12" w:space="0" w:color="auto"/>
            </w:tcBorders>
          </w:tcPr>
          <w:p w14:paraId="72CE3F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w:t>
            </w:r>
          </w:p>
        </w:tc>
        <w:tc>
          <w:tcPr>
            <w:tcW w:w="799" w:type="dxa"/>
            <w:tcBorders>
              <w:bottom w:val="single" w:sz="12" w:space="0" w:color="auto"/>
            </w:tcBorders>
          </w:tcPr>
          <w:p w14:paraId="6D5E01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799" w:type="dxa"/>
            <w:tcBorders>
              <w:bottom w:val="single" w:sz="12" w:space="0" w:color="auto"/>
            </w:tcBorders>
          </w:tcPr>
          <w:p w14:paraId="4A711C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w:t>
            </w:r>
          </w:p>
        </w:tc>
        <w:tc>
          <w:tcPr>
            <w:tcW w:w="799" w:type="dxa"/>
            <w:tcBorders>
              <w:bottom w:val="single" w:sz="12" w:space="0" w:color="auto"/>
            </w:tcBorders>
          </w:tcPr>
          <w:p w14:paraId="706268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w:t>
            </w:r>
          </w:p>
        </w:tc>
        <w:tc>
          <w:tcPr>
            <w:tcW w:w="799" w:type="dxa"/>
            <w:tcBorders>
              <w:bottom w:val="single" w:sz="12" w:space="0" w:color="auto"/>
            </w:tcBorders>
          </w:tcPr>
          <w:p w14:paraId="0A55B7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w:t>
            </w:r>
          </w:p>
        </w:tc>
        <w:tc>
          <w:tcPr>
            <w:tcW w:w="799" w:type="dxa"/>
            <w:tcBorders>
              <w:bottom w:val="single" w:sz="12" w:space="0" w:color="auto"/>
            </w:tcBorders>
          </w:tcPr>
          <w:p w14:paraId="156A5B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w:t>
            </w:r>
          </w:p>
        </w:tc>
      </w:tr>
    </w:tbl>
    <w:p w14:paraId="5D8442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"Группа Царицынских заводов" состояла из Сормовского завода (тела орудий), завода Лесснера (затворы), Петроградского металлического и Коломенского заводов (лафеты). </w:t>
      </w:r>
    </w:p>
    <w:p w14:paraId="35EF39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Что касается потребностей фронта, то первые более или менее систематические требования были заявлены в середине 1915 года. В дальнейшем они менялись, постепенно увеличиваясь. Разновременно были установлены следующие требования на ежемесячную подачу 3-дм пушек (суммарно — полевых и горных):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56"/>
        <w:gridCol w:w="912"/>
        <w:gridCol w:w="912"/>
        <w:gridCol w:w="912"/>
      </w:tblGrid>
      <w:tr w:rsidR="002B1C74" w:rsidRPr="002F2FDF" w14:paraId="37AA8A5B" w14:textId="77777777">
        <w:tc>
          <w:tcPr>
            <w:tcW w:w="1356" w:type="dxa"/>
            <w:tcBorders>
              <w:top w:val="single" w:sz="12" w:space="0" w:color="auto"/>
            </w:tcBorders>
          </w:tcPr>
          <w:p w14:paraId="35841E7A" w14:textId="3E285294"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912" w:type="dxa"/>
            <w:tcBorders>
              <w:top w:val="single" w:sz="12" w:space="0" w:color="auto"/>
            </w:tcBorders>
          </w:tcPr>
          <w:p w14:paraId="289201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Суммарно</w:t>
            </w:r>
          </w:p>
        </w:tc>
        <w:tc>
          <w:tcPr>
            <w:tcW w:w="912" w:type="dxa"/>
            <w:tcBorders>
              <w:top w:val="single" w:sz="12" w:space="0" w:color="auto"/>
            </w:tcBorders>
          </w:tcPr>
          <w:p w14:paraId="04500A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Полевых</w:t>
            </w:r>
          </w:p>
        </w:tc>
        <w:tc>
          <w:tcPr>
            <w:tcW w:w="912" w:type="dxa"/>
            <w:tcBorders>
              <w:top w:val="single" w:sz="12" w:space="0" w:color="auto"/>
            </w:tcBorders>
          </w:tcPr>
          <w:p w14:paraId="0D9F69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Горных</w:t>
            </w:r>
          </w:p>
        </w:tc>
      </w:tr>
      <w:tr w:rsidR="002B1C74" w:rsidRPr="002F2FDF" w14:paraId="7DB99A33" w14:textId="77777777">
        <w:tc>
          <w:tcPr>
            <w:tcW w:w="1356" w:type="dxa"/>
          </w:tcPr>
          <w:p w14:paraId="248A97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Май 1915 г.</w:t>
            </w:r>
          </w:p>
        </w:tc>
        <w:tc>
          <w:tcPr>
            <w:tcW w:w="912" w:type="dxa"/>
          </w:tcPr>
          <w:p w14:paraId="73DC5C4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293</w:t>
            </w:r>
          </w:p>
        </w:tc>
        <w:tc>
          <w:tcPr>
            <w:tcW w:w="912" w:type="dxa"/>
          </w:tcPr>
          <w:p w14:paraId="67CD56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268</w:t>
            </w:r>
          </w:p>
        </w:tc>
        <w:tc>
          <w:tcPr>
            <w:tcW w:w="912" w:type="dxa"/>
          </w:tcPr>
          <w:p w14:paraId="4B7C61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r>
      <w:tr w:rsidR="002B1C74" w:rsidRPr="002F2FDF" w14:paraId="681D1F2A" w14:textId="77777777">
        <w:tc>
          <w:tcPr>
            <w:tcW w:w="1356" w:type="dxa"/>
          </w:tcPr>
          <w:p w14:paraId="545D92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Август 1915 г.</w:t>
            </w:r>
          </w:p>
        </w:tc>
        <w:tc>
          <w:tcPr>
            <w:tcW w:w="912" w:type="dxa"/>
          </w:tcPr>
          <w:p w14:paraId="24C59D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540</w:t>
            </w:r>
          </w:p>
        </w:tc>
        <w:tc>
          <w:tcPr>
            <w:tcW w:w="912" w:type="dxa"/>
          </w:tcPr>
          <w:p w14:paraId="4C2BD6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450 </w:t>
            </w:r>
          </w:p>
        </w:tc>
        <w:tc>
          <w:tcPr>
            <w:tcW w:w="912" w:type="dxa"/>
          </w:tcPr>
          <w:p w14:paraId="48E083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90</w:t>
            </w:r>
          </w:p>
        </w:tc>
      </w:tr>
      <w:tr w:rsidR="002B1C74" w:rsidRPr="002F2FDF" w14:paraId="1329885D" w14:textId="77777777">
        <w:tc>
          <w:tcPr>
            <w:tcW w:w="1356" w:type="dxa"/>
          </w:tcPr>
          <w:p w14:paraId="404182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 1916 г.</w:t>
            </w:r>
          </w:p>
        </w:tc>
        <w:tc>
          <w:tcPr>
            <w:tcW w:w="912" w:type="dxa"/>
          </w:tcPr>
          <w:p w14:paraId="2C486A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505</w:t>
            </w:r>
          </w:p>
        </w:tc>
        <w:tc>
          <w:tcPr>
            <w:tcW w:w="912" w:type="dxa"/>
          </w:tcPr>
          <w:p w14:paraId="7128D2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450</w:t>
            </w:r>
          </w:p>
        </w:tc>
        <w:tc>
          <w:tcPr>
            <w:tcW w:w="912" w:type="dxa"/>
          </w:tcPr>
          <w:p w14:paraId="461AF4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w:t>
            </w:r>
          </w:p>
        </w:tc>
      </w:tr>
      <w:tr w:rsidR="002B1C74" w:rsidRPr="002F2FDF" w14:paraId="36DC78E5" w14:textId="77777777">
        <w:tc>
          <w:tcPr>
            <w:tcW w:w="1356" w:type="dxa"/>
            <w:tcBorders>
              <w:bottom w:val="single" w:sz="12" w:space="0" w:color="auto"/>
            </w:tcBorders>
          </w:tcPr>
          <w:p w14:paraId="3B6100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 1916 г.</w:t>
            </w:r>
          </w:p>
        </w:tc>
        <w:tc>
          <w:tcPr>
            <w:tcW w:w="912" w:type="dxa"/>
            <w:tcBorders>
              <w:bottom w:val="single" w:sz="12" w:space="0" w:color="auto"/>
            </w:tcBorders>
          </w:tcPr>
          <w:p w14:paraId="13590D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560</w:t>
            </w:r>
          </w:p>
        </w:tc>
        <w:tc>
          <w:tcPr>
            <w:tcW w:w="912" w:type="dxa"/>
            <w:tcBorders>
              <w:bottom w:val="single" w:sz="12" w:space="0" w:color="auto"/>
            </w:tcBorders>
          </w:tcPr>
          <w:p w14:paraId="5A71E1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490</w:t>
            </w:r>
          </w:p>
        </w:tc>
        <w:tc>
          <w:tcPr>
            <w:tcW w:w="912" w:type="dxa"/>
            <w:tcBorders>
              <w:bottom w:val="single" w:sz="12" w:space="0" w:color="auto"/>
            </w:tcBorders>
          </w:tcPr>
          <w:p w14:paraId="5DDE5E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w:t>
            </w:r>
          </w:p>
        </w:tc>
      </w:tr>
    </w:tbl>
    <w:p w14:paraId="4316B0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Октябрь 1916 года. К междусоюзнической конференции были заявлены следующие требования на 3-дм орудия:</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600"/>
        <w:gridCol w:w="792"/>
      </w:tblGrid>
      <w:tr w:rsidR="002B1C74" w:rsidRPr="002F2FDF" w14:paraId="624038E0" w14:textId="77777777">
        <w:tc>
          <w:tcPr>
            <w:tcW w:w="3600" w:type="dxa"/>
            <w:tcBorders>
              <w:top w:val="single" w:sz="12" w:space="0" w:color="auto"/>
            </w:tcBorders>
          </w:tcPr>
          <w:p w14:paraId="5881BB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I период (январь—июнь 1917 г.)</w:t>
            </w:r>
          </w:p>
        </w:tc>
        <w:tc>
          <w:tcPr>
            <w:tcW w:w="792" w:type="dxa"/>
            <w:tcBorders>
              <w:top w:val="single" w:sz="12" w:space="0" w:color="auto"/>
            </w:tcBorders>
          </w:tcPr>
          <w:p w14:paraId="03FED5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1000</w:t>
            </w:r>
          </w:p>
        </w:tc>
      </w:tr>
      <w:tr w:rsidR="002B1C74" w:rsidRPr="002F2FDF" w14:paraId="24B9EE08" w14:textId="77777777">
        <w:tc>
          <w:tcPr>
            <w:tcW w:w="3600" w:type="dxa"/>
          </w:tcPr>
          <w:p w14:paraId="54D2CB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 II период (январь—декабрь 1917 г.) </w:t>
            </w:r>
          </w:p>
        </w:tc>
        <w:tc>
          <w:tcPr>
            <w:tcW w:w="792" w:type="dxa"/>
          </w:tcPr>
          <w:p w14:paraId="35D418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1200</w:t>
            </w:r>
          </w:p>
        </w:tc>
      </w:tr>
      <w:tr w:rsidR="002B1C74" w:rsidRPr="002F2FDF" w14:paraId="6E29D2A1" w14:textId="77777777">
        <w:tc>
          <w:tcPr>
            <w:tcW w:w="3600" w:type="dxa"/>
            <w:tcBorders>
              <w:bottom w:val="single" w:sz="12" w:space="0" w:color="auto"/>
            </w:tcBorders>
          </w:tcPr>
          <w:p w14:paraId="0BED79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III период (январь 1917 —июнь 1918 г.)</w:t>
            </w:r>
          </w:p>
        </w:tc>
        <w:tc>
          <w:tcPr>
            <w:tcW w:w="792" w:type="dxa"/>
            <w:tcBorders>
              <w:bottom w:val="single" w:sz="12" w:space="0" w:color="auto"/>
            </w:tcBorders>
          </w:tcPr>
          <w:p w14:paraId="306D5A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1100</w:t>
            </w:r>
          </w:p>
        </w:tc>
      </w:tr>
    </w:tbl>
    <w:p w14:paraId="558259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Максимальная подача 3-дм орудий достигала только 400 шт. в месяц во втором полугодии 1916 года. </w:t>
      </w:r>
    </w:p>
    <w:p w14:paraId="04B477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Производство 48-лин. гаубицы [обр.] 1909 г. и 1910 г. дало следующие цифры: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60"/>
        <w:gridCol w:w="895"/>
        <w:gridCol w:w="895"/>
        <w:gridCol w:w="895"/>
        <w:gridCol w:w="895"/>
        <w:gridCol w:w="895"/>
        <w:gridCol w:w="895"/>
      </w:tblGrid>
      <w:tr w:rsidR="002B1C74" w:rsidRPr="002F2FDF" w14:paraId="201F6339" w14:textId="77777777">
        <w:tc>
          <w:tcPr>
            <w:tcW w:w="2160" w:type="dxa"/>
            <w:tcBorders>
              <w:top w:val="single" w:sz="12" w:space="0" w:color="auto"/>
            </w:tcBorders>
          </w:tcPr>
          <w:p w14:paraId="1A5A8FA6" w14:textId="67CF935C"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1790" w:type="dxa"/>
            <w:gridSpan w:val="2"/>
            <w:tcBorders>
              <w:top w:val="single" w:sz="12" w:space="0" w:color="auto"/>
            </w:tcBorders>
          </w:tcPr>
          <w:p w14:paraId="1F4594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год</w:t>
            </w:r>
          </w:p>
        </w:tc>
        <w:tc>
          <w:tcPr>
            <w:tcW w:w="1790" w:type="dxa"/>
            <w:gridSpan w:val="2"/>
            <w:tcBorders>
              <w:top w:val="single" w:sz="12" w:space="0" w:color="auto"/>
            </w:tcBorders>
          </w:tcPr>
          <w:p w14:paraId="4B6720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год</w:t>
            </w:r>
          </w:p>
        </w:tc>
        <w:tc>
          <w:tcPr>
            <w:tcW w:w="1790" w:type="dxa"/>
            <w:gridSpan w:val="2"/>
            <w:tcBorders>
              <w:top w:val="single" w:sz="12" w:space="0" w:color="auto"/>
            </w:tcBorders>
          </w:tcPr>
          <w:p w14:paraId="4E4DF7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год</w:t>
            </w:r>
          </w:p>
        </w:tc>
      </w:tr>
      <w:tr w:rsidR="002B1C74" w:rsidRPr="002F2FDF" w14:paraId="35273B45" w14:textId="77777777">
        <w:tc>
          <w:tcPr>
            <w:tcW w:w="2160" w:type="dxa"/>
          </w:tcPr>
          <w:p w14:paraId="6F2E4A9C" w14:textId="5BA78243"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895" w:type="dxa"/>
          </w:tcPr>
          <w:p w14:paraId="5DF138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полугодие</w:t>
            </w:r>
          </w:p>
        </w:tc>
        <w:tc>
          <w:tcPr>
            <w:tcW w:w="895" w:type="dxa"/>
          </w:tcPr>
          <w:p w14:paraId="0A1B4E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полугодие</w:t>
            </w:r>
          </w:p>
        </w:tc>
        <w:tc>
          <w:tcPr>
            <w:tcW w:w="895" w:type="dxa"/>
          </w:tcPr>
          <w:p w14:paraId="549F97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полугодие</w:t>
            </w:r>
          </w:p>
        </w:tc>
        <w:tc>
          <w:tcPr>
            <w:tcW w:w="895" w:type="dxa"/>
          </w:tcPr>
          <w:p w14:paraId="09843E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полугодие</w:t>
            </w:r>
          </w:p>
        </w:tc>
        <w:tc>
          <w:tcPr>
            <w:tcW w:w="895" w:type="dxa"/>
          </w:tcPr>
          <w:p w14:paraId="316274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полугодие</w:t>
            </w:r>
          </w:p>
        </w:tc>
        <w:tc>
          <w:tcPr>
            <w:tcW w:w="895" w:type="dxa"/>
          </w:tcPr>
          <w:p w14:paraId="292616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полугодие</w:t>
            </w:r>
          </w:p>
        </w:tc>
      </w:tr>
      <w:tr w:rsidR="002B1C74" w:rsidRPr="002F2FDF" w14:paraId="7DE0185B" w14:textId="77777777">
        <w:tc>
          <w:tcPr>
            <w:tcW w:w="2160" w:type="dxa"/>
          </w:tcPr>
          <w:p w14:paraId="3D1999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Обуховский завод</w:t>
            </w:r>
          </w:p>
        </w:tc>
        <w:tc>
          <w:tcPr>
            <w:tcW w:w="895" w:type="dxa"/>
          </w:tcPr>
          <w:p w14:paraId="1A15A4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c>
          <w:tcPr>
            <w:tcW w:w="895" w:type="dxa"/>
          </w:tcPr>
          <w:p w14:paraId="4B5827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w:t>
            </w:r>
          </w:p>
        </w:tc>
        <w:tc>
          <w:tcPr>
            <w:tcW w:w="895" w:type="dxa"/>
          </w:tcPr>
          <w:p w14:paraId="0FFE68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w:t>
            </w:r>
          </w:p>
        </w:tc>
        <w:tc>
          <w:tcPr>
            <w:tcW w:w="895" w:type="dxa"/>
          </w:tcPr>
          <w:p w14:paraId="2E0A7B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114</w:t>
            </w:r>
          </w:p>
        </w:tc>
        <w:tc>
          <w:tcPr>
            <w:tcW w:w="895" w:type="dxa"/>
          </w:tcPr>
          <w:p w14:paraId="633FD9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98</w:t>
            </w:r>
          </w:p>
        </w:tc>
        <w:tc>
          <w:tcPr>
            <w:tcW w:w="895" w:type="dxa"/>
          </w:tcPr>
          <w:p w14:paraId="237C98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w:t>
            </w:r>
          </w:p>
        </w:tc>
      </w:tr>
      <w:tr w:rsidR="002B1C74" w:rsidRPr="002F2FDF" w14:paraId="26693D35" w14:textId="77777777">
        <w:tc>
          <w:tcPr>
            <w:tcW w:w="2160" w:type="dxa"/>
          </w:tcPr>
          <w:p w14:paraId="19134B8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Путиловский завод</w:t>
            </w:r>
          </w:p>
        </w:tc>
        <w:tc>
          <w:tcPr>
            <w:tcW w:w="895" w:type="dxa"/>
          </w:tcPr>
          <w:p w14:paraId="144546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104</w:t>
            </w:r>
          </w:p>
        </w:tc>
        <w:tc>
          <w:tcPr>
            <w:tcW w:w="895" w:type="dxa"/>
          </w:tcPr>
          <w:p w14:paraId="40A4AE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105</w:t>
            </w:r>
          </w:p>
        </w:tc>
        <w:tc>
          <w:tcPr>
            <w:tcW w:w="895" w:type="dxa"/>
          </w:tcPr>
          <w:p w14:paraId="08BFFB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w:t>
            </w:r>
          </w:p>
        </w:tc>
        <w:tc>
          <w:tcPr>
            <w:tcW w:w="895" w:type="dxa"/>
          </w:tcPr>
          <w:p w14:paraId="48156A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180</w:t>
            </w:r>
          </w:p>
        </w:tc>
        <w:tc>
          <w:tcPr>
            <w:tcW w:w="895" w:type="dxa"/>
          </w:tcPr>
          <w:p w14:paraId="78949B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126</w:t>
            </w:r>
          </w:p>
        </w:tc>
        <w:tc>
          <w:tcPr>
            <w:tcW w:w="895" w:type="dxa"/>
          </w:tcPr>
          <w:p w14:paraId="780D04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w:t>
            </w:r>
          </w:p>
        </w:tc>
      </w:tr>
      <w:tr w:rsidR="002B1C74" w:rsidRPr="002F2FDF" w14:paraId="2962F8F3" w14:textId="77777777">
        <w:tc>
          <w:tcPr>
            <w:tcW w:w="2160" w:type="dxa"/>
          </w:tcPr>
          <w:p w14:paraId="2E5DDD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Петроградский орудийный завод</w:t>
            </w:r>
          </w:p>
        </w:tc>
        <w:tc>
          <w:tcPr>
            <w:tcW w:w="895" w:type="dxa"/>
          </w:tcPr>
          <w:p w14:paraId="61F4B6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c>
          <w:tcPr>
            <w:tcW w:w="895" w:type="dxa"/>
          </w:tcPr>
          <w:p w14:paraId="03FF85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w:t>
            </w:r>
          </w:p>
        </w:tc>
        <w:tc>
          <w:tcPr>
            <w:tcW w:w="895" w:type="dxa"/>
          </w:tcPr>
          <w:p w14:paraId="7CAD41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71</w:t>
            </w:r>
          </w:p>
        </w:tc>
        <w:tc>
          <w:tcPr>
            <w:tcW w:w="895" w:type="dxa"/>
          </w:tcPr>
          <w:p w14:paraId="1DBB20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68</w:t>
            </w:r>
          </w:p>
        </w:tc>
        <w:tc>
          <w:tcPr>
            <w:tcW w:w="895" w:type="dxa"/>
          </w:tcPr>
          <w:p w14:paraId="2EE010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c>
          <w:tcPr>
            <w:tcW w:w="895" w:type="dxa"/>
          </w:tcPr>
          <w:p w14:paraId="64D70E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r>
      <w:tr w:rsidR="002B1C74" w:rsidRPr="002F2FDF" w14:paraId="3B05E0F2" w14:textId="77777777">
        <w:tc>
          <w:tcPr>
            <w:tcW w:w="2160" w:type="dxa"/>
          </w:tcPr>
          <w:p w14:paraId="54F55D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 в полугодие</w:t>
            </w:r>
          </w:p>
        </w:tc>
        <w:tc>
          <w:tcPr>
            <w:tcW w:w="895" w:type="dxa"/>
          </w:tcPr>
          <w:p w14:paraId="6423995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128</w:t>
            </w:r>
          </w:p>
        </w:tc>
        <w:tc>
          <w:tcPr>
            <w:tcW w:w="895" w:type="dxa"/>
          </w:tcPr>
          <w:p w14:paraId="44BE5D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233</w:t>
            </w:r>
          </w:p>
        </w:tc>
        <w:tc>
          <w:tcPr>
            <w:tcW w:w="895" w:type="dxa"/>
          </w:tcPr>
          <w:p w14:paraId="561D4D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271</w:t>
            </w:r>
          </w:p>
        </w:tc>
        <w:tc>
          <w:tcPr>
            <w:tcW w:w="895" w:type="dxa"/>
          </w:tcPr>
          <w:p w14:paraId="3D299D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362</w:t>
            </w:r>
          </w:p>
        </w:tc>
        <w:tc>
          <w:tcPr>
            <w:tcW w:w="895" w:type="dxa"/>
          </w:tcPr>
          <w:p w14:paraId="0088CD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254</w:t>
            </w:r>
          </w:p>
        </w:tc>
        <w:tc>
          <w:tcPr>
            <w:tcW w:w="895" w:type="dxa"/>
          </w:tcPr>
          <w:p w14:paraId="1B3E2B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137</w:t>
            </w:r>
          </w:p>
        </w:tc>
      </w:tr>
      <w:tr w:rsidR="002B1C74" w:rsidRPr="002F2FDF" w14:paraId="52B9996F" w14:textId="77777777">
        <w:tc>
          <w:tcPr>
            <w:tcW w:w="2160" w:type="dxa"/>
            <w:tcBorders>
              <w:bottom w:val="single" w:sz="12" w:space="0" w:color="auto"/>
            </w:tcBorders>
          </w:tcPr>
          <w:p w14:paraId="6B937F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среднем в месяц</w:t>
            </w:r>
          </w:p>
        </w:tc>
        <w:tc>
          <w:tcPr>
            <w:tcW w:w="895" w:type="dxa"/>
            <w:tcBorders>
              <w:bottom w:val="single" w:sz="12" w:space="0" w:color="auto"/>
            </w:tcBorders>
          </w:tcPr>
          <w:p w14:paraId="149853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w:t>
            </w:r>
          </w:p>
        </w:tc>
        <w:tc>
          <w:tcPr>
            <w:tcW w:w="895" w:type="dxa"/>
            <w:tcBorders>
              <w:bottom w:val="single" w:sz="12" w:space="0" w:color="auto"/>
            </w:tcBorders>
          </w:tcPr>
          <w:p w14:paraId="32C14C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w:t>
            </w:r>
          </w:p>
        </w:tc>
        <w:tc>
          <w:tcPr>
            <w:tcW w:w="895" w:type="dxa"/>
            <w:tcBorders>
              <w:bottom w:val="single" w:sz="12" w:space="0" w:color="auto"/>
            </w:tcBorders>
          </w:tcPr>
          <w:p w14:paraId="3CA950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w:t>
            </w:r>
          </w:p>
        </w:tc>
        <w:tc>
          <w:tcPr>
            <w:tcW w:w="895" w:type="dxa"/>
            <w:tcBorders>
              <w:bottom w:val="single" w:sz="12" w:space="0" w:color="auto"/>
            </w:tcBorders>
          </w:tcPr>
          <w:p w14:paraId="468397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w:t>
            </w:r>
          </w:p>
        </w:tc>
        <w:tc>
          <w:tcPr>
            <w:tcW w:w="895" w:type="dxa"/>
            <w:tcBorders>
              <w:bottom w:val="single" w:sz="12" w:space="0" w:color="auto"/>
            </w:tcBorders>
          </w:tcPr>
          <w:p w14:paraId="414D3E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w:t>
            </w:r>
          </w:p>
        </w:tc>
        <w:tc>
          <w:tcPr>
            <w:tcW w:w="895" w:type="dxa"/>
            <w:tcBorders>
              <w:bottom w:val="single" w:sz="12" w:space="0" w:color="auto"/>
            </w:tcBorders>
          </w:tcPr>
          <w:p w14:paraId="4B6091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w:t>
            </w:r>
          </w:p>
        </w:tc>
      </w:tr>
    </w:tbl>
    <w:p w14:paraId="354026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Требования ставки на ежемесячную подачу 48-лин. гаубиц постепенно изменялись и были следующие: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792"/>
      </w:tblGrid>
      <w:tr w:rsidR="002B1C74" w:rsidRPr="002F2FDF" w14:paraId="2D84BAAD" w14:textId="77777777">
        <w:tc>
          <w:tcPr>
            <w:tcW w:w="2472" w:type="dxa"/>
            <w:tcBorders>
              <w:top w:val="single" w:sz="12" w:space="0" w:color="auto"/>
            </w:tcBorders>
          </w:tcPr>
          <w:p w14:paraId="7909E5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войны</w:t>
            </w:r>
          </w:p>
        </w:tc>
        <w:tc>
          <w:tcPr>
            <w:tcW w:w="792" w:type="dxa"/>
            <w:tcBorders>
              <w:top w:val="single" w:sz="12" w:space="0" w:color="auto"/>
            </w:tcBorders>
          </w:tcPr>
          <w:p w14:paraId="0BB4AE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35 </w:t>
            </w:r>
          </w:p>
        </w:tc>
      </w:tr>
      <w:tr w:rsidR="002B1C74" w:rsidRPr="002F2FDF" w14:paraId="6800D11B" w14:textId="77777777">
        <w:tc>
          <w:tcPr>
            <w:tcW w:w="2472" w:type="dxa"/>
          </w:tcPr>
          <w:p w14:paraId="57FA55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Июнь — июль 1915 г.</w:t>
            </w:r>
          </w:p>
        </w:tc>
        <w:tc>
          <w:tcPr>
            <w:tcW w:w="792" w:type="dxa"/>
          </w:tcPr>
          <w:p w14:paraId="39BECE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100 </w:t>
            </w:r>
          </w:p>
        </w:tc>
      </w:tr>
      <w:tr w:rsidR="002B1C74" w:rsidRPr="002F2FDF" w14:paraId="2A19A468" w14:textId="77777777">
        <w:tc>
          <w:tcPr>
            <w:tcW w:w="2472" w:type="dxa"/>
          </w:tcPr>
          <w:p w14:paraId="0262DF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 1915 г.</w:t>
            </w:r>
          </w:p>
        </w:tc>
        <w:tc>
          <w:tcPr>
            <w:tcW w:w="792" w:type="dxa"/>
          </w:tcPr>
          <w:p w14:paraId="262665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83 </w:t>
            </w:r>
          </w:p>
        </w:tc>
      </w:tr>
      <w:tr w:rsidR="002B1C74" w:rsidRPr="002F2FDF" w14:paraId="5B84D106" w14:textId="77777777">
        <w:tc>
          <w:tcPr>
            <w:tcW w:w="2472" w:type="dxa"/>
            <w:tcBorders>
              <w:bottom w:val="single" w:sz="12" w:space="0" w:color="auto"/>
            </w:tcBorders>
          </w:tcPr>
          <w:p w14:paraId="34C502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 — февраль 1916 г.</w:t>
            </w:r>
          </w:p>
        </w:tc>
        <w:tc>
          <w:tcPr>
            <w:tcW w:w="792" w:type="dxa"/>
            <w:tcBorders>
              <w:bottom w:val="single" w:sz="12" w:space="0" w:color="auto"/>
            </w:tcBorders>
          </w:tcPr>
          <w:p w14:paraId="05063D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108</w:t>
            </w:r>
          </w:p>
        </w:tc>
      </w:tr>
    </w:tbl>
    <w:p w14:paraId="1153C3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конце 1916 г., к союзнической конференции </w:t>
      </w:r>
      <w:r w:rsidRPr="002F2FDF">
        <w:rPr>
          <w:rFonts w:ascii="Times New Roman" w:hAnsi="Times New Roman" w:cs="Times New Roman"/>
          <w:color w:val="000000" w:themeColor="text1"/>
          <w:kern w:val="2"/>
          <w:sz w:val="16"/>
          <w:szCs w:val="16"/>
          <w:vertAlign w:val="superscript"/>
        </w:rPr>
        <w:t>11</w:t>
      </w:r>
      <w:r w:rsidRPr="002F2FDF">
        <w:rPr>
          <w:rFonts w:ascii="Times New Roman" w:hAnsi="Times New Roman" w:cs="Times New Roman"/>
          <w:color w:val="000000" w:themeColor="text1"/>
          <w:kern w:val="2"/>
          <w:sz w:val="16"/>
          <w:szCs w:val="16"/>
        </w:rPr>
        <w:t xml:space="preserve">, требования фронта выражались в следующих цифрах: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720"/>
        <w:gridCol w:w="792"/>
      </w:tblGrid>
      <w:tr w:rsidR="002B1C74" w:rsidRPr="002F2FDF" w14:paraId="36A390EC" w14:textId="77777777">
        <w:tc>
          <w:tcPr>
            <w:tcW w:w="3720" w:type="dxa"/>
            <w:tcBorders>
              <w:top w:val="single" w:sz="12" w:space="0" w:color="auto"/>
            </w:tcBorders>
          </w:tcPr>
          <w:p w14:paraId="557724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период (январь — июнь 1917 г.)</w:t>
            </w:r>
          </w:p>
        </w:tc>
        <w:tc>
          <w:tcPr>
            <w:tcW w:w="792" w:type="dxa"/>
            <w:tcBorders>
              <w:top w:val="single" w:sz="12" w:space="0" w:color="auto"/>
            </w:tcBorders>
          </w:tcPr>
          <w:p w14:paraId="56AFF05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97 </w:t>
            </w:r>
          </w:p>
        </w:tc>
      </w:tr>
      <w:tr w:rsidR="002B1C74" w:rsidRPr="002F2FDF" w14:paraId="043EEB9D" w14:textId="77777777">
        <w:tc>
          <w:tcPr>
            <w:tcW w:w="3720" w:type="dxa"/>
          </w:tcPr>
          <w:p w14:paraId="3BFB6F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период (январь — декабрь 1917 г.)</w:t>
            </w:r>
          </w:p>
        </w:tc>
        <w:tc>
          <w:tcPr>
            <w:tcW w:w="792" w:type="dxa"/>
          </w:tcPr>
          <w:p w14:paraId="37EC6D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200 </w:t>
            </w:r>
          </w:p>
        </w:tc>
      </w:tr>
      <w:tr w:rsidR="002B1C74" w:rsidRPr="002F2FDF" w14:paraId="3CAC0151" w14:textId="77777777">
        <w:tc>
          <w:tcPr>
            <w:tcW w:w="3720" w:type="dxa"/>
            <w:tcBorders>
              <w:bottom w:val="single" w:sz="12" w:space="0" w:color="auto"/>
            </w:tcBorders>
          </w:tcPr>
          <w:p w14:paraId="7CE187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III период (январь 1917 — июнь 1918 г.)</w:t>
            </w:r>
          </w:p>
        </w:tc>
        <w:tc>
          <w:tcPr>
            <w:tcW w:w="792" w:type="dxa"/>
            <w:tcBorders>
              <w:bottom w:val="single" w:sz="12" w:space="0" w:color="auto"/>
            </w:tcBorders>
          </w:tcPr>
          <w:p w14:paraId="732A66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170</w:t>
            </w:r>
          </w:p>
        </w:tc>
      </w:tr>
    </w:tbl>
    <w:p w14:paraId="2DBB43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Максимальная подача 48-лин. гаубиц доходила только до 60, то есть много меньше требований ставки. </w:t>
      </w:r>
    </w:p>
    <w:p w14:paraId="04245B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42-лин. пушки готовились на трех заводах — Обуховском, Петроградском и Путиловском.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60"/>
        <w:gridCol w:w="895"/>
        <w:gridCol w:w="895"/>
        <w:gridCol w:w="895"/>
        <w:gridCol w:w="895"/>
        <w:gridCol w:w="895"/>
        <w:gridCol w:w="895"/>
      </w:tblGrid>
      <w:tr w:rsidR="002B1C74" w:rsidRPr="002F2FDF" w14:paraId="38EB62D9" w14:textId="77777777">
        <w:tc>
          <w:tcPr>
            <w:tcW w:w="2160" w:type="dxa"/>
            <w:tcBorders>
              <w:top w:val="single" w:sz="12" w:space="0" w:color="auto"/>
            </w:tcBorders>
          </w:tcPr>
          <w:p w14:paraId="01CA8912" w14:textId="79CC8495"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1790" w:type="dxa"/>
            <w:gridSpan w:val="2"/>
            <w:tcBorders>
              <w:top w:val="single" w:sz="12" w:space="0" w:color="auto"/>
            </w:tcBorders>
          </w:tcPr>
          <w:p w14:paraId="51F922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год</w:t>
            </w:r>
          </w:p>
        </w:tc>
        <w:tc>
          <w:tcPr>
            <w:tcW w:w="1790" w:type="dxa"/>
            <w:gridSpan w:val="2"/>
            <w:tcBorders>
              <w:top w:val="single" w:sz="12" w:space="0" w:color="auto"/>
            </w:tcBorders>
          </w:tcPr>
          <w:p w14:paraId="5D9DF9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год</w:t>
            </w:r>
          </w:p>
        </w:tc>
        <w:tc>
          <w:tcPr>
            <w:tcW w:w="1790" w:type="dxa"/>
            <w:gridSpan w:val="2"/>
            <w:tcBorders>
              <w:top w:val="single" w:sz="12" w:space="0" w:color="auto"/>
            </w:tcBorders>
          </w:tcPr>
          <w:p w14:paraId="107A25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год</w:t>
            </w:r>
          </w:p>
        </w:tc>
      </w:tr>
      <w:tr w:rsidR="002B1C74" w:rsidRPr="002F2FDF" w14:paraId="1A647FF2" w14:textId="77777777">
        <w:tc>
          <w:tcPr>
            <w:tcW w:w="2160" w:type="dxa"/>
          </w:tcPr>
          <w:p w14:paraId="393BE87D" w14:textId="51B667E2"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895" w:type="dxa"/>
          </w:tcPr>
          <w:p w14:paraId="4A52CC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полугодие</w:t>
            </w:r>
          </w:p>
        </w:tc>
        <w:tc>
          <w:tcPr>
            <w:tcW w:w="895" w:type="dxa"/>
          </w:tcPr>
          <w:p w14:paraId="656C6F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полугодие</w:t>
            </w:r>
          </w:p>
        </w:tc>
        <w:tc>
          <w:tcPr>
            <w:tcW w:w="895" w:type="dxa"/>
          </w:tcPr>
          <w:p w14:paraId="0BFFCB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полугодие</w:t>
            </w:r>
          </w:p>
        </w:tc>
        <w:tc>
          <w:tcPr>
            <w:tcW w:w="895" w:type="dxa"/>
          </w:tcPr>
          <w:p w14:paraId="6F21CF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полугодие</w:t>
            </w:r>
          </w:p>
        </w:tc>
        <w:tc>
          <w:tcPr>
            <w:tcW w:w="895" w:type="dxa"/>
          </w:tcPr>
          <w:p w14:paraId="7F1F08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полугодие</w:t>
            </w:r>
          </w:p>
        </w:tc>
        <w:tc>
          <w:tcPr>
            <w:tcW w:w="895" w:type="dxa"/>
          </w:tcPr>
          <w:p w14:paraId="6493EF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полугодие</w:t>
            </w:r>
          </w:p>
        </w:tc>
      </w:tr>
      <w:tr w:rsidR="002B1C74" w:rsidRPr="002F2FDF" w14:paraId="45A2E926" w14:textId="77777777">
        <w:tc>
          <w:tcPr>
            <w:tcW w:w="2160" w:type="dxa"/>
          </w:tcPr>
          <w:p w14:paraId="1C8D17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Путиловский завод</w:t>
            </w:r>
          </w:p>
        </w:tc>
        <w:tc>
          <w:tcPr>
            <w:tcW w:w="895" w:type="dxa"/>
          </w:tcPr>
          <w:p w14:paraId="6BDB64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895" w:type="dxa"/>
          </w:tcPr>
          <w:p w14:paraId="5AA272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895" w:type="dxa"/>
          </w:tcPr>
          <w:p w14:paraId="252288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895" w:type="dxa"/>
          </w:tcPr>
          <w:p w14:paraId="38E953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w:t>
            </w:r>
          </w:p>
        </w:tc>
        <w:tc>
          <w:tcPr>
            <w:tcW w:w="895" w:type="dxa"/>
          </w:tcPr>
          <w:p w14:paraId="6A2833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w:t>
            </w:r>
          </w:p>
        </w:tc>
        <w:tc>
          <w:tcPr>
            <w:tcW w:w="895" w:type="dxa"/>
          </w:tcPr>
          <w:p w14:paraId="235316E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64</w:t>
            </w:r>
          </w:p>
        </w:tc>
      </w:tr>
      <w:tr w:rsidR="002B1C74" w:rsidRPr="002F2FDF" w14:paraId="4C05AB21" w14:textId="77777777">
        <w:tc>
          <w:tcPr>
            <w:tcW w:w="2160" w:type="dxa"/>
          </w:tcPr>
          <w:p w14:paraId="15D71D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Петроградский орудийный завод</w:t>
            </w:r>
          </w:p>
        </w:tc>
        <w:tc>
          <w:tcPr>
            <w:tcW w:w="895" w:type="dxa"/>
          </w:tcPr>
          <w:p w14:paraId="78A63BD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895" w:type="dxa"/>
          </w:tcPr>
          <w:p w14:paraId="1C5190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895" w:type="dxa"/>
          </w:tcPr>
          <w:p w14:paraId="002714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895" w:type="dxa"/>
          </w:tcPr>
          <w:p w14:paraId="7643ED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w:t>
            </w:r>
          </w:p>
        </w:tc>
        <w:tc>
          <w:tcPr>
            <w:tcW w:w="895" w:type="dxa"/>
          </w:tcPr>
          <w:p w14:paraId="26FC160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w:t>
            </w:r>
          </w:p>
        </w:tc>
        <w:tc>
          <w:tcPr>
            <w:tcW w:w="895" w:type="dxa"/>
          </w:tcPr>
          <w:p w14:paraId="2FE700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r>
      <w:tr w:rsidR="002B1C74" w:rsidRPr="002F2FDF" w14:paraId="4B02A439" w14:textId="77777777">
        <w:tc>
          <w:tcPr>
            <w:tcW w:w="2160" w:type="dxa"/>
          </w:tcPr>
          <w:p w14:paraId="1082E57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Обуховский завод</w:t>
            </w:r>
          </w:p>
        </w:tc>
        <w:tc>
          <w:tcPr>
            <w:tcW w:w="895" w:type="dxa"/>
          </w:tcPr>
          <w:p w14:paraId="08A8A2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895" w:type="dxa"/>
          </w:tcPr>
          <w:p w14:paraId="485BA9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895" w:type="dxa"/>
          </w:tcPr>
          <w:p w14:paraId="7F76E3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895" w:type="dxa"/>
          </w:tcPr>
          <w:p w14:paraId="0EF4BF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w:t>
            </w:r>
          </w:p>
        </w:tc>
        <w:tc>
          <w:tcPr>
            <w:tcW w:w="895" w:type="dxa"/>
          </w:tcPr>
          <w:p w14:paraId="5E583A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58</w:t>
            </w:r>
          </w:p>
        </w:tc>
        <w:tc>
          <w:tcPr>
            <w:tcW w:w="895" w:type="dxa"/>
          </w:tcPr>
          <w:p w14:paraId="79B90B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w:t>
            </w:r>
          </w:p>
        </w:tc>
      </w:tr>
      <w:tr w:rsidR="002B1C74" w:rsidRPr="002F2FDF" w14:paraId="13F64897" w14:textId="77777777">
        <w:tc>
          <w:tcPr>
            <w:tcW w:w="2160" w:type="dxa"/>
          </w:tcPr>
          <w:p w14:paraId="3F6302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 в полугодие</w:t>
            </w:r>
          </w:p>
        </w:tc>
        <w:tc>
          <w:tcPr>
            <w:tcW w:w="895" w:type="dxa"/>
          </w:tcPr>
          <w:p w14:paraId="546713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895" w:type="dxa"/>
          </w:tcPr>
          <w:p w14:paraId="11587C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895" w:type="dxa"/>
          </w:tcPr>
          <w:p w14:paraId="0A9F718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w:t>
            </w:r>
          </w:p>
        </w:tc>
        <w:tc>
          <w:tcPr>
            <w:tcW w:w="895" w:type="dxa"/>
          </w:tcPr>
          <w:p w14:paraId="21D248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83</w:t>
            </w:r>
          </w:p>
        </w:tc>
        <w:tc>
          <w:tcPr>
            <w:tcW w:w="895" w:type="dxa"/>
          </w:tcPr>
          <w:p w14:paraId="1B31E4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127</w:t>
            </w:r>
          </w:p>
        </w:tc>
        <w:tc>
          <w:tcPr>
            <w:tcW w:w="895" w:type="dxa"/>
          </w:tcPr>
          <w:p w14:paraId="6407A2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120</w:t>
            </w:r>
          </w:p>
        </w:tc>
      </w:tr>
      <w:tr w:rsidR="002B1C74" w:rsidRPr="002F2FDF" w14:paraId="49C837E0" w14:textId="77777777">
        <w:tc>
          <w:tcPr>
            <w:tcW w:w="2160" w:type="dxa"/>
            <w:tcBorders>
              <w:bottom w:val="single" w:sz="12" w:space="0" w:color="auto"/>
            </w:tcBorders>
          </w:tcPr>
          <w:p w14:paraId="6A4B7D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среднем в месяц</w:t>
            </w:r>
          </w:p>
        </w:tc>
        <w:tc>
          <w:tcPr>
            <w:tcW w:w="895" w:type="dxa"/>
            <w:tcBorders>
              <w:bottom w:val="single" w:sz="12" w:space="0" w:color="auto"/>
            </w:tcBorders>
          </w:tcPr>
          <w:p w14:paraId="6D15D8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895" w:type="dxa"/>
            <w:tcBorders>
              <w:bottom w:val="single" w:sz="12" w:space="0" w:color="auto"/>
            </w:tcBorders>
          </w:tcPr>
          <w:p w14:paraId="7A28B7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895" w:type="dxa"/>
            <w:tcBorders>
              <w:bottom w:val="single" w:sz="12" w:space="0" w:color="auto"/>
            </w:tcBorders>
          </w:tcPr>
          <w:p w14:paraId="070474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w:t>
            </w:r>
          </w:p>
        </w:tc>
        <w:tc>
          <w:tcPr>
            <w:tcW w:w="895" w:type="dxa"/>
            <w:tcBorders>
              <w:bottom w:val="single" w:sz="12" w:space="0" w:color="auto"/>
            </w:tcBorders>
          </w:tcPr>
          <w:p w14:paraId="50E9AA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c>
          <w:tcPr>
            <w:tcW w:w="895" w:type="dxa"/>
            <w:tcBorders>
              <w:bottom w:val="single" w:sz="12" w:space="0" w:color="auto"/>
            </w:tcBorders>
          </w:tcPr>
          <w:p w14:paraId="2F336E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w:t>
            </w:r>
          </w:p>
        </w:tc>
        <w:tc>
          <w:tcPr>
            <w:tcW w:w="895" w:type="dxa"/>
            <w:tcBorders>
              <w:bottom w:val="single" w:sz="12" w:space="0" w:color="auto"/>
            </w:tcBorders>
          </w:tcPr>
          <w:p w14:paraId="631578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w:t>
            </w:r>
          </w:p>
        </w:tc>
      </w:tr>
    </w:tbl>
    <w:p w14:paraId="211459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Требования на ежемесячную подачу 42-лин. пушек разновременно ставкой заявлялись следующие: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564"/>
      </w:tblGrid>
      <w:tr w:rsidR="002B1C74" w:rsidRPr="002F2FDF" w14:paraId="077D4FCD" w14:textId="77777777">
        <w:tc>
          <w:tcPr>
            <w:tcW w:w="2472" w:type="dxa"/>
            <w:tcBorders>
              <w:top w:val="single" w:sz="12" w:space="0" w:color="auto"/>
            </w:tcBorders>
          </w:tcPr>
          <w:p w14:paraId="24B3B3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войны</w:t>
            </w:r>
          </w:p>
        </w:tc>
        <w:tc>
          <w:tcPr>
            <w:tcW w:w="564" w:type="dxa"/>
            <w:tcBorders>
              <w:top w:val="single" w:sz="12" w:space="0" w:color="auto"/>
            </w:tcBorders>
          </w:tcPr>
          <w:p w14:paraId="1D0943D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w:t>
            </w:r>
          </w:p>
        </w:tc>
      </w:tr>
      <w:tr w:rsidR="002B1C74" w:rsidRPr="002F2FDF" w14:paraId="367F9933" w14:textId="77777777">
        <w:tc>
          <w:tcPr>
            <w:tcW w:w="2472" w:type="dxa"/>
          </w:tcPr>
          <w:p w14:paraId="6D6B2F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Сентябрь 1915 г.</w:t>
            </w:r>
          </w:p>
        </w:tc>
        <w:tc>
          <w:tcPr>
            <w:tcW w:w="564" w:type="dxa"/>
          </w:tcPr>
          <w:p w14:paraId="43FC06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r>
      <w:tr w:rsidR="002B1C74" w:rsidRPr="002F2FDF" w14:paraId="2D4D242B" w14:textId="77777777">
        <w:tc>
          <w:tcPr>
            <w:tcW w:w="2472" w:type="dxa"/>
            <w:tcBorders>
              <w:bottom w:val="single" w:sz="12" w:space="0" w:color="auto"/>
            </w:tcBorders>
          </w:tcPr>
          <w:p w14:paraId="582519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Январь 1916 г.</w:t>
            </w:r>
          </w:p>
        </w:tc>
        <w:tc>
          <w:tcPr>
            <w:tcW w:w="564" w:type="dxa"/>
            <w:tcBorders>
              <w:bottom w:val="single" w:sz="12" w:space="0" w:color="auto"/>
            </w:tcBorders>
          </w:tcPr>
          <w:p w14:paraId="225EE3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w:t>
            </w:r>
          </w:p>
        </w:tc>
      </w:tr>
    </w:tbl>
    <w:p w14:paraId="03714E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международной конференции в 1916 году </w:t>
      </w:r>
      <w:r w:rsidRPr="002F2FDF">
        <w:rPr>
          <w:rFonts w:ascii="Times New Roman" w:hAnsi="Times New Roman" w:cs="Times New Roman"/>
          <w:color w:val="000000" w:themeColor="text1"/>
          <w:kern w:val="2"/>
          <w:sz w:val="16"/>
          <w:szCs w:val="16"/>
          <w:vertAlign w:val="superscript"/>
        </w:rPr>
        <w:t>11</w:t>
      </w:r>
      <w:r w:rsidRPr="002F2FDF">
        <w:rPr>
          <w:rFonts w:ascii="Times New Roman" w:hAnsi="Times New Roman" w:cs="Times New Roman"/>
          <w:color w:val="000000" w:themeColor="text1"/>
          <w:kern w:val="2"/>
          <w:sz w:val="16"/>
          <w:szCs w:val="16"/>
        </w:rPr>
        <w:t xml:space="preserve">: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564"/>
      </w:tblGrid>
      <w:tr w:rsidR="002B1C74" w:rsidRPr="002F2FDF" w14:paraId="331199DD" w14:textId="77777777">
        <w:tc>
          <w:tcPr>
            <w:tcW w:w="2472" w:type="dxa"/>
            <w:tcBorders>
              <w:top w:val="single" w:sz="12" w:space="0" w:color="auto"/>
            </w:tcBorders>
          </w:tcPr>
          <w:p w14:paraId="2CCD21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период</w:t>
            </w:r>
          </w:p>
        </w:tc>
        <w:tc>
          <w:tcPr>
            <w:tcW w:w="564" w:type="dxa"/>
            <w:tcBorders>
              <w:top w:val="single" w:sz="12" w:space="0" w:color="auto"/>
            </w:tcBorders>
          </w:tcPr>
          <w:p w14:paraId="548CA7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39</w:t>
            </w:r>
          </w:p>
        </w:tc>
      </w:tr>
      <w:tr w:rsidR="002B1C74" w:rsidRPr="002F2FDF" w14:paraId="34F516F0" w14:textId="77777777">
        <w:tc>
          <w:tcPr>
            <w:tcW w:w="2472" w:type="dxa"/>
          </w:tcPr>
          <w:p w14:paraId="45488A6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период</w:t>
            </w:r>
          </w:p>
        </w:tc>
        <w:tc>
          <w:tcPr>
            <w:tcW w:w="564" w:type="dxa"/>
          </w:tcPr>
          <w:p w14:paraId="0AF35A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w:t>
            </w:r>
          </w:p>
        </w:tc>
      </w:tr>
      <w:tr w:rsidR="002B1C74" w:rsidRPr="002F2FDF" w14:paraId="2688B300" w14:textId="77777777">
        <w:tc>
          <w:tcPr>
            <w:tcW w:w="2472" w:type="dxa"/>
            <w:tcBorders>
              <w:bottom w:val="single" w:sz="12" w:space="0" w:color="auto"/>
            </w:tcBorders>
          </w:tcPr>
          <w:p w14:paraId="397DB5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III период</w:t>
            </w:r>
          </w:p>
        </w:tc>
        <w:tc>
          <w:tcPr>
            <w:tcW w:w="564" w:type="dxa"/>
            <w:tcBorders>
              <w:bottom w:val="single" w:sz="12" w:space="0" w:color="auto"/>
            </w:tcBorders>
          </w:tcPr>
          <w:p w14:paraId="26B91C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w:t>
            </w:r>
          </w:p>
        </w:tc>
      </w:tr>
    </w:tbl>
    <w:p w14:paraId="6547CAC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Наконец, 6-дм гаубицы — крепостные и полевые — готовились в следующих количествах: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56"/>
        <w:gridCol w:w="895"/>
        <w:gridCol w:w="895"/>
        <w:gridCol w:w="895"/>
        <w:gridCol w:w="895"/>
        <w:gridCol w:w="895"/>
        <w:gridCol w:w="895"/>
      </w:tblGrid>
      <w:tr w:rsidR="002B1C74" w:rsidRPr="002F2FDF" w14:paraId="2DB6298E" w14:textId="77777777">
        <w:tc>
          <w:tcPr>
            <w:tcW w:w="1356" w:type="dxa"/>
            <w:tcBorders>
              <w:top w:val="single" w:sz="12" w:space="0" w:color="auto"/>
            </w:tcBorders>
          </w:tcPr>
          <w:p w14:paraId="0E3C4FCD" w14:textId="15252E45"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1790" w:type="dxa"/>
            <w:gridSpan w:val="2"/>
            <w:tcBorders>
              <w:top w:val="single" w:sz="12" w:space="0" w:color="auto"/>
            </w:tcBorders>
          </w:tcPr>
          <w:p w14:paraId="3ACE34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w:t>
            </w:r>
          </w:p>
        </w:tc>
        <w:tc>
          <w:tcPr>
            <w:tcW w:w="1790" w:type="dxa"/>
            <w:gridSpan w:val="2"/>
            <w:tcBorders>
              <w:top w:val="single" w:sz="12" w:space="0" w:color="auto"/>
            </w:tcBorders>
          </w:tcPr>
          <w:p w14:paraId="13CD7C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1790" w:type="dxa"/>
            <w:gridSpan w:val="2"/>
            <w:tcBorders>
              <w:top w:val="single" w:sz="12" w:space="0" w:color="auto"/>
            </w:tcBorders>
          </w:tcPr>
          <w:p w14:paraId="4D2208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r>
      <w:tr w:rsidR="002B1C74" w:rsidRPr="002F2FDF" w14:paraId="373F0DB0" w14:textId="77777777">
        <w:tc>
          <w:tcPr>
            <w:tcW w:w="1356" w:type="dxa"/>
          </w:tcPr>
          <w:p w14:paraId="4064FFD5" w14:textId="3E28FA66"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c>
          <w:tcPr>
            <w:tcW w:w="895" w:type="dxa"/>
          </w:tcPr>
          <w:p w14:paraId="7DB760A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полугодие</w:t>
            </w:r>
          </w:p>
        </w:tc>
        <w:tc>
          <w:tcPr>
            <w:tcW w:w="895" w:type="dxa"/>
          </w:tcPr>
          <w:p w14:paraId="7F03AB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полугодие</w:t>
            </w:r>
          </w:p>
        </w:tc>
        <w:tc>
          <w:tcPr>
            <w:tcW w:w="895" w:type="dxa"/>
          </w:tcPr>
          <w:p w14:paraId="4AC6F1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полугодие</w:t>
            </w:r>
          </w:p>
        </w:tc>
        <w:tc>
          <w:tcPr>
            <w:tcW w:w="895" w:type="dxa"/>
          </w:tcPr>
          <w:p w14:paraId="4D3D402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полугодие</w:t>
            </w:r>
          </w:p>
        </w:tc>
        <w:tc>
          <w:tcPr>
            <w:tcW w:w="895" w:type="dxa"/>
          </w:tcPr>
          <w:p w14:paraId="41D33D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полугодие</w:t>
            </w:r>
          </w:p>
        </w:tc>
        <w:tc>
          <w:tcPr>
            <w:tcW w:w="895" w:type="dxa"/>
          </w:tcPr>
          <w:p w14:paraId="5FFAE5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полугодие</w:t>
            </w:r>
          </w:p>
        </w:tc>
      </w:tr>
      <w:tr w:rsidR="002B1C74" w:rsidRPr="002F2FDF" w14:paraId="553FA6E1" w14:textId="77777777">
        <w:tc>
          <w:tcPr>
            <w:tcW w:w="1356" w:type="dxa"/>
          </w:tcPr>
          <w:p w14:paraId="08FCE3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Путиловский завод</w:t>
            </w:r>
          </w:p>
        </w:tc>
        <w:tc>
          <w:tcPr>
            <w:tcW w:w="895" w:type="dxa"/>
          </w:tcPr>
          <w:p w14:paraId="689EE9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895" w:type="dxa"/>
          </w:tcPr>
          <w:p w14:paraId="3362391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895" w:type="dxa"/>
          </w:tcPr>
          <w:p w14:paraId="5A34A6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895" w:type="dxa"/>
          </w:tcPr>
          <w:p w14:paraId="30F3E8A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w:t>
            </w:r>
          </w:p>
        </w:tc>
        <w:tc>
          <w:tcPr>
            <w:tcW w:w="895" w:type="dxa"/>
          </w:tcPr>
          <w:p w14:paraId="1831F8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w:t>
            </w:r>
          </w:p>
        </w:tc>
        <w:tc>
          <w:tcPr>
            <w:tcW w:w="895" w:type="dxa"/>
          </w:tcPr>
          <w:p w14:paraId="5025CD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w:t>
            </w:r>
          </w:p>
        </w:tc>
      </w:tr>
      <w:tr w:rsidR="002B1C74" w:rsidRPr="002F2FDF" w14:paraId="463E343D" w14:textId="77777777">
        <w:tc>
          <w:tcPr>
            <w:tcW w:w="1356" w:type="dxa"/>
          </w:tcPr>
          <w:p w14:paraId="05F1DA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Пермский завод</w:t>
            </w:r>
          </w:p>
        </w:tc>
        <w:tc>
          <w:tcPr>
            <w:tcW w:w="895" w:type="dxa"/>
          </w:tcPr>
          <w:p w14:paraId="2A464C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w:t>
            </w:r>
          </w:p>
        </w:tc>
        <w:tc>
          <w:tcPr>
            <w:tcW w:w="895" w:type="dxa"/>
          </w:tcPr>
          <w:p w14:paraId="65DEC0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w:t>
            </w:r>
          </w:p>
        </w:tc>
        <w:tc>
          <w:tcPr>
            <w:tcW w:w="895" w:type="dxa"/>
          </w:tcPr>
          <w:p w14:paraId="2D7F0A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w:t>
            </w:r>
          </w:p>
        </w:tc>
        <w:tc>
          <w:tcPr>
            <w:tcW w:w="895" w:type="dxa"/>
          </w:tcPr>
          <w:p w14:paraId="7DC221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w:t>
            </w:r>
          </w:p>
        </w:tc>
        <w:tc>
          <w:tcPr>
            <w:tcW w:w="895" w:type="dxa"/>
          </w:tcPr>
          <w:p w14:paraId="1B8149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w:t>
            </w:r>
          </w:p>
        </w:tc>
        <w:tc>
          <w:tcPr>
            <w:tcW w:w="895" w:type="dxa"/>
          </w:tcPr>
          <w:p w14:paraId="49FE92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w:t>
            </w:r>
          </w:p>
        </w:tc>
      </w:tr>
      <w:tr w:rsidR="002B1C74" w:rsidRPr="002F2FDF" w14:paraId="373DAC53" w14:textId="77777777">
        <w:tc>
          <w:tcPr>
            <w:tcW w:w="1356" w:type="dxa"/>
          </w:tcPr>
          <w:p w14:paraId="5B66D3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Итого в полугодие</w:t>
            </w:r>
          </w:p>
        </w:tc>
        <w:tc>
          <w:tcPr>
            <w:tcW w:w="895" w:type="dxa"/>
          </w:tcPr>
          <w:p w14:paraId="12CB44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w:t>
            </w:r>
          </w:p>
        </w:tc>
        <w:tc>
          <w:tcPr>
            <w:tcW w:w="895" w:type="dxa"/>
          </w:tcPr>
          <w:p w14:paraId="1B19C0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w:t>
            </w:r>
          </w:p>
        </w:tc>
        <w:tc>
          <w:tcPr>
            <w:tcW w:w="895" w:type="dxa"/>
          </w:tcPr>
          <w:p w14:paraId="45EADE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w:t>
            </w:r>
          </w:p>
        </w:tc>
        <w:tc>
          <w:tcPr>
            <w:tcW w:w="895" w:type="dxa"/>
          </w:tcPr>
          <w:p w14:paraId="5E5D9B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w:t>
            </w:r>
          </w:p>
        </w:tc>
        <w:tc>
          <w:tcPr>
            <w:tcW w:w="895" w:type="dxa"/>
          </w:tcPr>
          <w:p w14:paraId="48147B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w:t>
            </w:r>
          </w:p>
        </w:tc>
        <w:tc>
          <w:tcPr>
            <w:tcW w:w="895" w:type="dxa"/>
          </w:tcPr>
          <w:p w14:paraId="54C57C4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w:t>
            </w:r>
          </w:p>
        </w:tc>
      </w:tr>
      <w:tr w:rsidR="002B1C74" w:rsidRPr="002F2FDF" w14:paraId="2921C746" w14:textId="77777777">
        <w:tc>
          <w:tcPr>
            <w:tcW w:w="1356" w:type="dxa"/>
            <w:tcBorders>
              <w:bottom w:val="single" w:sz="12" w:space="0" w:color="auto"/>
            </w:tcBorders>
          </w:tcPr>
          <w:p w14:paraId="5408C1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среднем в месяц</w:t>
            </w:r>
          </w:p>
        </w:tc>
        <w:tc>
          <w:tcPr>
            <w:tcW w:w="895" w:type="dxa"/>
            <w:tcBorders>
              <w:bottom w:val="single" w:sz="12" w:space="0" w:color="auto"/>
            </w:tcBorders>
          </w:tcPr>
          <w:p w14:paraId="6EF9BA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w:t>
            </w:r>
          </w:p>
        </w:tc>
        <w:tc>
          <w:tcPr>
            <w:tcW w:w="895" w:type="dxa"/>
            <w:tcBorders>
              <w:bottom w:val="single" w:sz="12" w:space="0" w:color="auto"/>
            </w:tcBorders>
          </w:tcPr>
          <w:p w14:paraId="7D7289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w:t>
            </w:r>
          </w:p>
        </w:tc>
        <w:tc>
          <w:tcPr>
            <w:tcW w:w="895" w:type="dxa"/>
            <w:tcBorders>
              <w:bottom w:val="single" w:sz="12" w:space="0" w:color="auto"/>
            </w:tcBorders>
          </w:tcPr>
          <w:p w14:paraId="2E175D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c>
          <w:tcPr>
            <w:tcW w:w="895" w:type="dxa"/>
            <w:tcBorders>
              <w:bottom w:val="single" w:sz="12" w:space="0" w:color="auto"/>
            </w:tcBorders>
          </w:tcPr>
          <w:p w14:paraId="517939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895" w:type="dxa"/>
            <w:tcBorders>
              <w:bottom w:val="single" w:sz="12" w:space="0" w:color="auto"/>
            </w:tcBorders>
          </w:tcPr>
          <w:p w14:paraId="32A3EA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w:t>
            </w:r>
          </w:p>
        </w:tc>
        <w:tc>
          <w:tcPr>
            <w:tcW w:w="895" w:type="dxa"/>
            <w:tcBorders>
              <w:bottom w:val="single" w:sz="12" w:space="0" w:color="auto"/>
            </w:tcBorders>
          </w:tcPr>
          <w:p w14:paraId="5561EF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w:t>
            </w:r>
          </w:p>
        </w:tc>
      </w:tr>
    </w:tbl>
    <w:p w14:paraId="0FE6A3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Путиловский завод готовил крепостную гаубицу, а Пермский — полевую. </w:t>
      </w:r>
    </w:p>
    <w:p w14:paraId="1E0E81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Требования на 6-дм гаубицы были следующие (шт.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916"/>
        <w:gridCol w:w="792"/>
      </w:tblGrid>
      <w:tr w:rsidR="002B1C74" w:rsidRPr="002F2FDF" w14:paraId="1992A476" w14:textId="77777777">
        <w:tc>
          <w:tcPr>
            <w:tcW w:w="2916" w:type="dxa"/>
            <w:tcBorders>
              <w:top w:val="single" w:sz="12" w:space="0" w:color="auto"/>
            </w:tcBorders>
          </w:tcPr>
          <w:p w14:paraId="2D7EDC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начале войны</w:t>
            </w:r>
          </w:p>
        </w:tc>
        <w:tc>
          <w:tcPr>
            <w:tcW w:w="792" w:type="dxa"/>
            <w:tcBorders>
              <w:top w:val="single" w:sz="12" w:space="0" w:color="auto"/>
            </w:tcBorders>
          </w:tcPr>
          <w:p w14:paraId="76E711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25 </w:t>
            </w:r>
          </w:p>
        </w:tc>
      </w:tr>
      <w:tr w:rsidR="002B1C74" w:rsidRPr="002F2FDF" w14:paraId="76714D08" w14:textId="77777777">
        <w:tc>
          <w:tcPr>
            <w:tcW w:w="2916" w:type="dxa"/>
          </w:tcPr>
          <w:p w14:paraId="29BBFD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сентябре 1915 г.</w:t>
            </w:r>
          </w:p>
        </w:tc>
        <w:tc>
          <w:tcPr>
            <w:tcW w:w="792" w:type="dxa"/>
          </w:tcPr>
          <w:p w14:paraId="2C05D2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20 </w:t>
            </w:r>
          </w:p>
        </w:tc>
      </w:tr>
      <w:tr w:rsidR="002B1C74" w:rsidRPr="002F2FDF" w14:paraId="1909C732" w14:textId="77777777">
        <w:tc>
          <w:tcPr>
            <w:tcW w:w="2916" w:type="dxa"/>
            <w:tcBorders>
              <w:bottom w:val="single" w:sz="12" w:space="0" w:color="auto"/>
            </w:tcBorders>
          </w:tcPr>
          <w:p w14:paraId="73A51F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январе 1916 г.</w:t>
            </w:r>
          </w:p>
        </w:tc>
        <w:tc>
          <w:tcPr>
            <w:tcW w:w="792" w:type="dxa"/>
            <w:tcBorders>
              <w:bottom w:val="single" w:sz="12" w:space="0" w:color="auto"/>
            </w:tcBorders>
          </w:tcPr>
          <w:p w14:paraId="20B9F5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36 </w:t>
            </w:r>
          </w:p>
        </w:tc>
      </w:tr>
    </w:tbl>
    <w:p w14:paraId="272B86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 международной конференции 1916 г.: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916"/>
        <w:gridCol w:w="792"/>
      </w:tblGrid>
      <w:tr w:rsidR="002B1C74" w:rsidRPr="002F2FDF" w14:paraId="216E948F" w14:textId="77777777">
        <w:tc>
          <w:tcPr>
            <w:tcW w:w="2916" w:type="dxa"/>
            <w:tcBorders>
              <w:top w:val="single" w:sz="12" w:space="0" w:color="auto"/>
            </w:tcBorders>
          </w:tcPr>
          <w:p w14:paraId="4BC680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 период</w:t>
            </w:r>
          </w:p>
        </w:tc>
        <w:tc>
          <w:tcPr>
            <w:tcW w:w="792" w:type="dxa"/>
            <w:tcBorders>
              <w:top w:val="single" w:sz="12" w:space="0" w:color="auto"/>
            </w:tcBorders>
          </w:tcPr>
          <w:p w14:paraId="194905C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66</w:t>
            </w:r>
          </w:p>
        </w:tc>
      </w:tr>
      <w:tr w:rsidR="002B1C74" w:rsidRPr="002F2FDF" w14:paraId="54D6C7E0" w14:textId="77777777">
        <w:tc>
          <w:tcPr>
            <w:tcW w:w="2916" w:type="dxa"/>
          </w:tcPr>
          <w:p w14:paraId="2A45E4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 период</w:t>
            </w:r>
          </w:p>
        </w:tc>
        <w:tc>
          <w:tcPr>
            <w:tcW w:w="792" w:type="dxa"/>
          </w:tcPr>
          <w:p w14:paraId="5659F9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w:t>
            </w:r>
          </w:p>
        </w:tc>
      </w:tr>
      <w:tr w:rsidR="002B1C74" w:rsidRPr="002F2FDF" w14:paraId="44720122" w14:textId="77777777">
        <w:tc>
          <w:tcPr>
            <w:tcW w:w="2916" w:type="dxa"/>
            <w:tcBorders>
              <w:bottom w:val="single" w:sz="12" w:space="0" w:color="auto"/>
            </w:tcBorders>
          </w:tcPr>
          <w:p w14:paraId="4EBECC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III период</w:t>
            </w:r>
          </w:p>
        </w:tc>
        <w:tc>
          <w:tcPr>
            <w:tcW w:w="792" w:type="dxa"/>
            <w:tcBorders>
              <w:bottom w:val="single" w:sz="12" w:space="0" w:color="auto"/>
            </w:tcBorders>
          </w:tcPr>
          <w:p w14:paraId="08A887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60</w:t>
            </w:r>
          </w:p>
        </w:tc>
      </w:tr>
    </w:tbl>
    <w:p w14:paraId="64A23DE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Максимальная подача достигала в 1916 г. 15 шт. в месяц.</w:t>
      </w:r>
    </w:p>
    <w:p w14:paraId="3F2CDA5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другим калибрам трудно сделать сопоставление производства с потребностью, так как потребность не была ясно формулирована.</w:t>
      </w:r>
    </w:p>
    <w:p w14:paraId="36C15A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Картина несоответствия между потребностями и ресурсами в отношении орудий становится еще более яркой, если вспомнить, что артиллерийское ведомство располагало всего одним Петроградским заводом, не имеющим при том же собственной металлургической базы (11329).</w:t>
      </w:r>
    </w:p>
    <w:p w14:paraId="32BDB0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3156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За годы войны Шлиссельбургский завод изготовил следующие количества порохов и взрывчатых веществ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12"/>
        <w:gridCol w:w="912"/>
        <w:gridCol w:w="912"/>
        <w:gridCol w:w="960"/>
        <w:gridCol w:w="744"/>
      </w:tblGrid>
      <w:tr w:rsidR="002B1C74" w:rsidRPr="002F2FDF" w14:paraId="62DBC4BA" w14:textId="77777777">
        <w:tc>
          <w:tcPr>
            <w:tcW w:w="1812" w:type="dxa"/>
            <w:tcBorders>
              <w:top w:val="single" w:sz="12" w:space="0" w:color="auto"/>
            </w:tcBorders>
          </w:tcPr>
          <w:p w14:paraId="29CEE1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Пороха и взрыввещества</w:t>
            </w:r>
          </w:p>
        </w:tc>
        <w:tc>
          <w:tcPr>
            <w:tcW w:w="912" w:type="dxa"/>
            <w:tcBorders>
              <w:top w:val="single" w:sz="12" w:space="0" w:color="auto"/>
            </w:tcBorders>
          </w:tcPr>
          <w:p w14:paraId="00C030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 г.</w:t>
            </w:r>
          </w:p>
        </w:tc>
        <w:tc>
          <w:tcPr>
            <w:tcW w:w="912" w:type="dxa"/>
            <w:tcBorders>
              <w:top w:val="single" w:sz="12" w:space="0" w:color="auto"/>
            </w:tcBorders>
          </w:tcPr>
          <w:p w14:paraId="680BC2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 г.</w:t>
            </w:r>
          </w:p>
        </w:tc>
        <w:tc>
          <w:tcPr>
            <w:tcW w:w="960" w:type="dxa"/>
            <w:tcBorders>
              <w:top w:val="single" w:sz="12" w:space="0" w:color="auto"/>
            </w:tcBorders>
          </w:tcPr>
          <w:p w14:paraId="26258EF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 г.</w:t>
            </w:r>
          </w:p>
        </w:tc>
        <w:tc>
          <w:tcPr>
            <w:tcW w:w="744" w:type="dxa"/>
            <w:tcBorders>
              <w:top w:val="single" w:sz="12" w:space="0" w:color="auto"/>
            </w:tcBorders>
          </w:tcPr>
          <w:p w14:paraId="09E9A14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w:t>
            </w:r>
          </w:p>
        </w:tc>
      </w:tr>
      <w:tr w:rsidR="002B1C74" w:rsidRPr="002F2FDF" w14:paraId="4AE2EA1F" w14:textId="77777777">
        <w:tc>
          <w:tcPr>
            <w:tcW w:w="1812" w:type="dxa"/>
          </w:tcPr>
          <w:p w14:paraId="241701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Бездымного пороха.</w:t>
            </w:r>
          </w:p>
        </w:tc>
        <w:tc>
          <w:tcPr>
            <w:tcW w:w="3528" w:type="dxa"/>
            <w:gridSpan w:val="4"/>
          </w:tcPr>
          <w:p w14:paraId="219E244A" w14:textId="376B18C4"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170A61C7" w14:textId="77777777">
        <w:tc>
          <w:tcPr>
            <w:tcW w:w="1812" w:type="dxa"/>
          </w:tcPr>
          <w:p w14:paraId="7E3C8C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год</w:t>
            </w:r>
          </w:p>
        </w:tc>
        <w:tc>
          <w:tcPr>
            <w:tcW w:w="912" w:type="dxa"/>
          </w:tcPr>
          <w:p w14:paraId="73F1FF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132.000</w:t>
            </w:r>
          </w:p>
        </w:tc>
        <w:tc>
          <w:tcPr>
            <w:tcW w:w="912" w:type="dxa"/>
          </w:tcPr>
          <w:p w14:paraId="25F4A36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180.000</w:t>
            </w:r>
          </w:p>
        </w:tc>
        <w:tc>
          <w:tcPr>
            <w:tcW w:w="960" w:type="dxa"/>
          </w:tcPr>
          <w:p w14:paraId="352CB0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247.000</w:t>
            </w:r>
          </w:p>
        </w:tc>
        <w:tc>
          <w:tcPr>
            <w:tcW w:w="744" w:type="dxa"/>
          </w:tcPr>
          <w:p w14:paraId="0E7E1C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171.000</w:t>
            </w:r>
          </w:p>
        </w:tc>
      </w:tr>
      <w:tr w:rsidR="002B1C74" w:rsidRPr="002F2FDF" w14:paraId="67798A00" w14:textId="77777777">
        <w:tc>
          <w:tcPr>
            <w:tcW w:w="1812" w:type="dxa"/>
          </w:tcPr>
          <w:p w14:paraId="0455DA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Среднее в месяц</w:t>
            </w:r>
          </w:p>
        </w:tc>
        <w:tc>
          <w:tcPr>
            <w:tcW w:w="912" w:type="dxa"/>
          </w:tcPr>
          <w:p w14:paraId="6CB887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11.000</w:t>
            </w:r>
          </w:p>
        </w:tc>
        <w:tc>
          <w:tcPr>
            <w:tcW w:w="912" w:type="dxa"/>
          </w:tcPr>
          <w:p w14:paraId="7E3BB17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15.000</w:t>
            </w:r>
          </w:p>
        </w:tc>
        <w:tc>
          <w:tcPr>
            <w:tcW w:w="960" w:type="dxa"/>
          </w:tcPr>
          <w:p w14:paraId="531382A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20.500</w:t>
            </w:r>
          </w:p>
        </w:tc>
        <w:tc>
          <w:tcPr>
            <w:tcW w:w="744" w:type="dxa"/>
          </w:tcPr>
          <w:p w14:paraId="2E8961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14.200</w:t>
            </w:r>
          </w:p>
        </w:tc>
      </w:tr>
      <w:tr w:rsidR="002B1C74" w:rsidRPr="002F2FDF" w14:paraId="39B6FC9B" w14:textId="77777777">
        <w:tc>
          <w:tcPr>
            <w:tcW w:w="1812" w:type="dxa"/>
          </w:tcPr>
          <w:p w14:paraId="3CB019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Тротила</w:t>
            </w:r>
          </w:p>
        </w:tc>
        <w:tc>
          <w:tcPr>
            <w:tcW w:w="3528" w:type="dxa"/>
            <w:gridSpan w:val="4"/>
          </w:tcPr>
          <w:p w14:paraId="4AC9C5D3" w14:textId="3B44122D"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2AF11ADB" w14:textId="77777777">
        <w:tc>
          <w:tcPr>
            <w:tcW w:w="1812" w:type="dxa"/>
          </w:tcPr>
          <w:p w14:paraId="3C058E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год</w:t>
            </w:r>
          </w:p>
        </w:tc>
        <w:tc>
          <w:tcPr>
            <w:tcW w:w="912" w:type="dxa"/>
          </w:tcPr>
          <w:p w14:paraId="3C3FE1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104.600</w:t>
            </w:r>
          </w:p>
        </w:tc>
        <w:tc>
          <w:tcPr>
            <w:tcW w:w="912" w:type="dxa"/>
          </w:tcPr>
          <w:p w14:paraId="79BEF8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133.100</w:t>
            </w:r>
          </w:p>
        </w:tc>
        <w:tc>
          <w:tcPr>
            <w:tcW w:w="960" w:type="dxa"/>
          </w:tcPr>
          <w:p w14:paraId="2E440D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198.700</w:t>
            </w:r>
          </w:p>
        </w:tc>
        <w:tc>
          <w:tcPr>
            <w:tcW w:w="744" w:type="dxa"/>
          </w:tcPr>
          <w:p w14:paraId="03B752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115.600</w:t>
            </w:r>
          </w:p>
        </w:tc>
      </w:tr>
      <w:tr w:rsidR="002B1C74" w:rsidRPr="002F2FDF" w14:paraId="00FDD4EC" w14:textId="77777777">
        <w:tc>
          <w:tcPr>
            <w:tcW w:w="1812" w:type="dxa"/>
          </w:tcPr>
          <w:p w14:paraId="7EA011D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Среднее в месяц</w:t>
            </w:r>
          </w:p>
        </w:tc>
        <w:tc>
          <w:tcPr>
            <w:tcW w:w="912" w:type="dxa"/>
          </w:tcPr>
          <w:p w14:paraId="5DD9F7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8.700</w:t>
            </w:r>
          </w:p>
        </w:tc>
        <w:tc>
          <w:tcPr>
            <w:tcW w:w="912" w:type="dxa"/>
          </w:tcPr>
          <w:p w14:paraId="0DFE3C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11.100</w:t>
            </w:r>
          </w:p>
        </w:tc>
        <w:tc>
          <w:tcPr>
            <w:tcW w:w="960" w:type="dxa"/>
          </w:tcPr>
          <w:p w14:paraId="6D6F3F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16.500</w:t>
            </w:r>
          </w:p>
        </w:tc>
        <w:tc>
          <w:tcPr>
            <w:tcW w:w="744" w:type="dxa"/>
          </w:tcPr>
          <w:p w14:paraId="5FDECA2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9.600</w:t>
            </w:r>
          </w:p>
        </w:tc>
      </w:tr>
      <w:tr w:rsidR="002B1C74" w:rsidRPr="002F2FDF" w14:paraId="176B706A" w14:textId="77777777">
        <w:tc>
          <w:tcPr>
            <w:tcW w:w="1812" w:type="dxa"/>
          </w:tcPr>
          <w:p w14:paraId="24DE0F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Тетрила</w:t>
            </w:r>
          </w:p>
        </w:tc>
        <w:tc>
          <w:tcPr>
            <w:tcW w:w="3528" w:type="dxa"/>
            <w:gridSpan w:val="4"/>
          </w:tcPr>
          <w:p w14:paraId="75FD7481" w14:textId="0F5955D0"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44218469" w14:textId="77777777">
        <w:tc>
          <w:tcPr>
            <w:tcW w:w="1812" w:type="dxa"/>
          </w:tcPr>
          <w:p w14:paraId="0FC451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год</w:t>
            </w:r>
          </w:p>
        </w:tc>
        <w:tc>
          <w:tcPr>
            <w:tcW w:w="912" w:type="dxa"/>
          </w:tcPr>
          <w:p w14:paraId="7983D1C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790</w:t>
            </w:r>
          </w:p>
        </w:tc>
        <w:tc>
          <w:tcPr>
            <w:tcW w:w="912" w:type="dxa"/>
          </w:tcPr>
          <w:p w14:paraId="5113E6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5.280</w:t>
            </w:r>
          </w:p>
        </w:tc>
        <w:tc>
          <w:tcPr>
            <w:tcW w:w="960" w:type="dxa"/>
          </w:tcPr>
          <w:p w14:paraId="037CF9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2.910</w:t>
            </w:r>
          </w:p>
        </w:tc>
        <w:tc>
          <w:tcPr>
            <w:tcW w:w="744" w:type="dxa"/>
          </w:tcPr>
          <w:p w14:paraId="6C81A1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44AC277F" w14:textId="77777777">
        <w:tc>
          <w:tcPr>
            <w:tcW w:w="1812" w:type="dxa"/>
          </w:tcPr>
          <w:p w14:paraId="54E186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Среднее в месяц</w:t>
            </w:r>
          </w:p>
        </w:tc>
        <w:tc>
          <w:tcPr>
            <w:tcW w:w="912" w:type="dxa"/>
          </w:tcPr>
          <w:p w14:paraId="6AF320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65</w:t>
            </w:r>
          </w:p>
        </w:tc>
        <w:tc>
          <w:tcPr>
            <w:tcW w:w="912" w:type="dxa"/>
          </w:tcPr>
          <w:p w14:paraId="0C25E8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440</w:t>
            </w:r>
          </w:p>
        </w:tc>
        <w:tc>
          <w:tcPr>
            <w:tcW w:w="960" w:type="dxa"/>
          </w:tcPr>
          <w:p w14:paraId="255F644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w:t>
            </w:r>
          </w:p>
        </w:tc>
        <w:tc>
          <w:tcPr>
            <w:tcW w:w="744" w:type="dxa"/>
          </w:tcPr>
          <w:p w14:paraId="579686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r>
      <w:tr w:rsidR="002B1C74" w:rsidRPr="002F2FDF" w14:paraId="00A0241F" w14:textId="77777777">
        <w:tc>
          <w:tcPr>
            <w:tcW w:w="1812" w:type="dxa"/>
          </w:tcPr>
          <w:p w14:paraId="1B740A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Пикриновая кислота</w:t>
            </w:r>
          </w:p>
        </w:tc>
        <w:tc>
          <w:tcPr>
            <w:tcW w:w="3528" w:type="dxa"/>
            <w:gridSpan w:val="4"/>
          </w:tcPr>
          <w:p w14:paraId="4DD507FC" w14:textId="6BE58FCF"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0E59B83D" w14:textId="77777777">
        <w:tc>
          <w:tcPr>
            <w:tcW w:w="1812" w:type="dxa"/>
          </w:tcPr>
          <w:p w14:paraId="1A9657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год</w:t>
            </w:r>
          </w:p>
        </w:tc>
        <w:tc>
          <w:tcPr>
            <w:tcW w:w="912" w:type="dxa"/>
          </w:tcPr>
          <w:p w14:paraId="1494C5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12" w:type="dxa"/>
          </w:tcPr>
          <w:p w14:paraId="2A768D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23.000</w:t>
            </w:r>
          </w:p>
        </w:tc>
        <w:tc>
          <w:tcPr>
            <w:tcW w:w="960" w:type="dxa"/>
          </w:tcPr>
          <w:p w14:paraId="211E64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40.000</w:t>
            </w:r>
          </w:p>
        </w:tc>
        <w:tc>
          <w:tcPr>
            <w:tcW w:w="744" w:type="dxa"/>
          </w:tcPr>
          <w:p w14:paraId="2607A53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19.000</w:t>
            </w:r>
          </w:p>
        </w:tc>
      </w:tr>
      <w:tr w:rsidR="002B1C74" w:rsidRPr="002F2FDF" w14:paraId="36A1BD6B" w14:textId="77777777">
        <w:tc>
          <w:tcPr>
            <w:tcW w:w="1812" w:type="dxa"/>
          </w:tcPr>
          <w:p w14:paraId="22FDAD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Среднее в месяц</w:t>
            </w:r>
          </w:p>
        </w:tc>
        <w:tc>
          <w:tcPr>
            <w:tcW w:w="912" w:type="dxa"/>
          </w:tcPr>
          <w:p w14:paraId="78E4A6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912" w:type="dxa"/>
          </w:tcPr>
          <w:p w14:paraId="76CE85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1.900</w:t>
            </w:r>
          </w:p>
        </w:tc>
        <w:tc>
          <w:tcPr>
            <w:tcW w:w="960" w:type="dxa"/>
          </w:tcPr>
          <w:p w14:paraId="6BE932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3.300</w:t>
            </w:r>
          </w:p>
        </w:tc>
        <w:tc>
          <w:tcPr>
            <w:tcW w:w="744" w:type="dxa"/>
          </w:tcPr>
          <w:p w14:paraId="6C5291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1.580</w:t>
            </w:r>
          </w:p>
        </w:tc>
      </w:tr>
      <w:tr w:rsidR="002B1C74" w:rsidRPr="002F2FDF" w14:paraId="64BABFBB" w14:textId="77777777">
        <w:tc>
          <w:tcPr>
            <w:tcW w:w="1812" w:type="dxa"/>
          </w:tcPr>
          <w:p w14:paraId="75EC7B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Дымных порохов</w:t>
            </w:r>
          </w:p>
        </w:tc>
        <w:tc>
          <w:tcPr>
            <w:tcW w:w="3528" w:type="dxa"/>
            <w:gridSpan w:val="4"/>
          </w:tcPr>
          <w:p w14:paraId="0C5CF1F3" w14:textId="60DFD042" w:rsidR="003431D2" w:rsidRPr="002F2FDF" w:rsidRDefault="00E52569"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p>
        </w:tc>
      </w:tr>
      <w:tr w:rsidR="002B1C74" w:rsidRPr="002F2FDF" w14:paraId="510E008B" w14:textId="77777777">
        <w:tc>
          <w:tcPr>
            <w:tcW w:w="1812" w:type="dxa"/>
          </w:tcPr>
          <w:p w14:paraId="6B5A5B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год</w:t>
            </w:r>
          </w:p>
        </w:tc>
        <w:tc>
          <w:tcPr>
            <w:tcW w:w="912" w:type="dxa"/>
          </w:tcPr>
          <w:p w14:paraId="0477ECC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74.800</w:t>
            </w:r>
          </w:p>
        </w:tc>
        <w:tc>
          <w:tcPr>
            <w:tcW w:w="912" w:type="dxa"/>
          </w:tcPr>
          <w:p w14:paraId="07C412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45.800</w:t>
            </w:r>
          </w:p>
        </w:tc>
        <w:tc>
          <w:tcPr>
            <w:tcW w:w="960" w:type="dxa"/>
          </w:tcPr>
          <w:p w14:paraId="07FBCC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101.800</w:t>
            </w:r>
          </w:p>
        </w:tc>
        <w:tc>
          <w:tcPr>
            <w:tcW w:w="744" w:type="dxa"/>
          </w:tcPr>
          <w:p w14:paraId="61DF5D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54.000</w:t>
            </w:r>
          </w:p>
        </w:tc>
      </w:tr>
      <w:tr w:rsidR="002B1C74" w:rsidRPr="002F2FDF" w14:paraId="0897E65A" w14:textId="77777777">
        <w:tc>
          <w:tcPr>
            <w:tcW w:w="1812" w:type="dxa"/>
            <w:tcBorders>
              <w:bottom w:val="single" w:sz="12" w:space="0" w:color="auto"/>
            </w:tcBorders>
          </w:tcPr>
          <w:p w14:paraId="2137B8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Среднее в месяц</w:t>
            </w:r>
          </w:p>
        </w:tc>
        <w:tc>
          <w:tcPr>
            <w:tcW w:w="912" w:type="dxa"/>
            <w:tcBorders>
              <w:bottom w:val="single" w:sz="12" w:space="0" w:color="auto"/>
            </w:tcBorders>
          </w:tcPr>
          <w:p w14:paraId="719D9A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6.200</w:t>
            </w:r>
          </w:p>
        </w:tc>
        <w:tc>
          <w:tcPr>
            <w:tcW w:w="912" w:type="dxa"/>
            <w:tcBorders>
              <w:bottom w:val="single" w:sz="12" w:space="0" w:color="auto"/>
            </w:tcBorders>
          </w:tcPr>
          <w:p w14:paraId="462DB2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2.800</w:t>
            </w:r>
          </w:p>
        </w:tc>
        <w:tc>
          <w:tcPr>
            <w:tcW w:w="960" w:type="dxa"/>
            <w:tcBorders>
              <w:bottom w:val="single" w:sz="12" w:space="0" w:color="auto"/>
            </w:tcBorders>
          </w:tcPr>
          <w:p w14:paraId="62198D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8.500</w:t>
            </w:r>
          </w:p>
        </w:tc>
        <w:tc>
          <w:tcPr>
            <w:tcW w:w="744" w:type="dxa"/>
            <w:tcBorders>
              <w:bottom w:val="single" w:sz="12" w:space="0" w:color="auto"/>
            </w:tcBorders>
          </w:tcPr>
          <w:p w14:paraId="095E7A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4.500</w:t>
            </w:r>
          </w:p>
        </w:tc>
      </w:tr>
    </w:tbl>
    <w:p w14:paraId="466CD2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Цифры показаны с округлением (11329).</w:t>
      </w:r>
    </w:p>
    <w:p w14:paraId="57E4AB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A0ED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Итоги строительства за 1914—1917 годы</w:t>
      </w:r>
    </w:p>
    <w:p w14:paraId="0AB61A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Ниже сведены в краткий перечень все перечисленные выше заводы разных специальностей, вошедшие в большую программу строительства, и указаны округленные цифры стоимости постройки каждого из них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512"/>
        <w:gridCol w:w="792"/>
      </w:tblGrid>
      <w:tr w:rsidR="002B1C74" w:rsidRPr="002F2FDF" w14:paraId="5F8BAF37" w14:textId="77777777">
        <w:tc>
          <w:tcPr>
            <w:tcW w:w="4512" w:type="dxa"/>
            <w:tcBorders>
              <w:top w:val="single" w:sz="12" w:space="0" w:color="auto"/>
            </w:tcBorders>
          </w:tcPr>
          <w:p w14:paraId="07284DE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2-й Тульский оружейный</w:t>
            </w:r>
          </w:p>
        </w:tc>
        <w:tc>
          <w:tcPr>
            <w:tcW w:w="792" w:type="dxa"/>
            <w:tcBorders>
              <w:top w:val="single" w:sz="12" w:space="0" w:color="auto"/>
            </w:tcBorders>
          </w:tcPr>
          <w:p w14:paraId="304198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49,7 </w:t>
            </w:r>
          </w:p>
        </w:tc>
      </w:tr>
      <w:tr w:rsidR="002B1C74" w:rsidRPr="002F2FDF" w14:paraId="503FD2C1" w14:textId="77777777">
        <w:tc>
          <w:tcPr>
            <w:tcW w:w="4512" w:type="dxa"/>
          </w:tcPr>
          <w:p w14:paraId="0CCDC6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Екатеринославский оружейный</w:t>
            </w:r>
          </w:p>
        </w:tc>
        <w:tc>
          <w:tcPr>
            <w:tcW w:w="792" w:type="dxa"/>
          </w:tcPr>
          <w:p w14:paraId="4D54FB7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34,6 </w:t>
            </w:r>
          </w:p>
        </w:tc>
      </w:tr>
      <w:tr w:rsidR="002B1C74" w:rsidRPr="002F2FDF" w14:paraId="3BBD5356" w14:textId="77777777">
        <w:tc>
          <w:tcPr>
            <w:tcW w:w="4512" w:type="dxa"/>
          </w:tcPr>
          <w:p w14:paraId="3B851DB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Ковровский пулеметный</w:t>
            </w:r>
          </w:p>
        </w:tc>
        <w:tc>
          <w:tcPr>
            <w:tcW w:w="792" w:type="dxa"/>
          </w:tcPr>
          <w:p w14:paraId="7CD2BD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26,0 </w:t>
            </w:r>
          </w:p>
        </w:tc>
      </w:tr>
      <w:tr w:rsidR="002B1C74" w:rsidRPr="002F2FDF" w14:paraId="72E16A91" w14:textId="77777777">
        <w:tc>
          <w:tcPr>
            <w:tcW w:w="4512" w:type="dxa"/>
          </w:tcPr>
          <w:p w14:paraId="6932D0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Симбирский патронный</w:t>
            </w:r>
          </w:p>
        </w:tc>
        <w:tc>
          <w:tcPr>
            <w:tcW w:w="792" w:type="dxa"/>
          </w:tcPr>
          <w:p w14:paraId="5D7F2C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40,9 </w:t>
            </w:r>
          </w:p>
        </w:tc>
      </w:tr>
      <w:tr w:rsidR="002B1C74" w:rsidRPr="002F2FDF" w14:paraId="0534DA54" w14:textId="77777777">
        <w:tc>
          <w:tcPr>
            <w:tcW w:w="4512" w:type="dxa"/>
          </w:tcPr>
          <w:p w14:paraId="4CC243B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Пензенский трубочный</w:t>
            </w:r>
          </w:p>
        </w:tc>
        <w:tc>
          <w:tcPr>
            <w:tcW w:w="792" w:type="dxa"/>
          </w:tcPr>
          <w:p w14:paraId="53ABE9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20,7 </w:t>
            </w:r>
          </w:p>
        </w:tc>
      </w:tr>
      <w:tr w:rsidR="002B1C74" w:rsidRPr="002F2FDF" w14:paraId="5D6D0487" w14:textId="77777777">
        <w:tc>
          <w:tcPr>
            <w:tcW w:w="4512" w:type="dxa"/>
          </w:tcPr>
          <w:p w14:paraId="57A88A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Воронежский завод взрывателей</w:t>
            </w:r>
          </w:p>
        </w:tc>
        <w:tc>
          <w:tcPr>
            <w:tcW w:w="792" w:type="dxa"/>
          </w:tcPr>
          <w:p w14:paraId="77CBB8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41,6 </w:t>
            </w:r>
          </w:p>
        </w:tc>
      </w:tr>
      <w:tr w:rsidR="002B1C74" w:rsidRPr="002F2FDF" w14:paraId="2E355945" w14:textId="77777777">
        <w:tc>
          <w:tcPr>
            <w:tcW w:w="4512" w:type="dxa"/>
          </w:tcPr>
          <w:p w14:paraId="3A539E2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Саратовский орудийный</w:t>
            </w:r>
          </w:p>
        </w:tc>
        <w:tc>
          <w:tcPr>
            <w:tcW w:w="792" w:type="dxa"/>
          </w:tcPr>
          <w:p w14:paraId="34E773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37,5 </w:t>
            </w:r>
          </w:p>
        </w:tc>
      </w:tr>
      <w:tr w:rsidR="002B1C74" w:rsidRPr="002F2FDF" w14:paraId="7245DFA8" w14:textId="77777777">
        <w:tc>
          <w:tcPr>
            <w:tcW w:w="4512" w:type="dxa"/>
          </w:tcPr>
          <w:p w14:paraId="4FAE71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Тамбовский пороховой</w:t>
            </w:r>
          </w:p>
        </w:tc>
        <w:tc>
          <w:tcPr>
            <w:tcW w:w="792" w:type="dxa"/>
          </w:tcPr>
          <w:p w14:paraId="7248E9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30,1 </w:t>
            </w:r>
          </w:p>
        </w:tc>
      </w:tr>
      <w:tr w:rsidR="002B1C74" w:rsidRPr="002F2FDF" w14:paraId="70432CDD" w14:textId="77777777">
        <w:tc>
          <w:tcPr>
            <w:tcW w:w="4512" w:type="dxa"/>
          </w:tcPr>
          <w:p w14:paraId="7DA2325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Самарский пороховой</w:t>
            </w:r>
          </w:p>
        </w:tc>
        <w:tc>
          <w:tcPr>
            <w:tcW w:w="792" w:type="dxa"/>
          </w:tcPr>
          <w:p w14:paraId="5271BBE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30,0 </w:t>
            </w:r>
          </w:p>
        </w:tc>
      </w:tr>
      <w:tr w:rsidR="002B1C74" w:rsidRPr="002F2FDF" w14:paraId="41D8E53F" w14:textId="77777777">
        <w:tc>
          <w:tcPr>
            <w:tcW w:w="4512" w:type="dxa"/>
          </w:tcPr>
          <w:p w14:paraId="5C1D1C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Ташкентский хлопкоочистительный</w:t>
            </w:r>
          </w:p>
        </w:tc>
        <w:tc>
          <w:tcPr>
            <w:tcW w:w="792" w:type="dxa"/>
          </w:tcPr>
          <w:p w14:paraId="63D01C4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4,0 </w:t>
            </w:r>
          </w:p>
        </w:tc>
      </w:tr>
      <w:tr w:rsidR="002B1C74" w:rsidRPr="002F2FDF" w14:paraId="5028F850" w14:textId="77777777">
        <w:tc>
          <w:tcPr>
            <w:tcW w:w="4512" w:type="dxa"/>
          </w:tcPr>
          <w:p w14:paraId="38DF70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Нижегородский завод взрывчатых веществ</w:t>
            </w:r>
          </w:p>
        </w:tc>
        <w:tc>
          <w:tcPr>
            <w:tcW w:w="792" w:type="dxa"/>
          </w:tcPr>
          <w:p w14:paraId="6EEB33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17,4 </w:t>
            </w:r>
          </w:p>
        </w:tc>
      </w:tr>
      <w:tr w:rsidR="002B1C74" w:rsidRPr="002F2FDF" w14:paraId="77E54E1F" w14:textId="77777777">
        <w:tc>
          <w:tcPr>
            <w:tcW w:w="4512" w:type="dxa"/>
          </w:tcPr>
          <w:p w14:paraId="4ECAF7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Уфимский завод взрывчатых веществ</w:t>
            </w:r>
          </w:p>
        </w:tc>
        <w:tc>
          <w:tcPr>
            <w:tcW w:w="792" w:type="dxa"/>
          </w:tcPr>
          <w:p w14:paraId="5B94D6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20,6 </w:t>
            </w:r>
          </w:p>
        </w:tc>
      </w:tr>
      <w:tr w:rsidR="002B1C74" w:rsidRPr="002F2FDF" w14:paraId="4E9E21A2" w14:textId="77777777">
        <w:tc>
          <w:tcPr>
            <w:tcW w:w="4512" w:type="dxa"/>
          </w:tcPr>
          <w:p w14:paraId="32F2F6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Екатеринодарская мастерская</w:t>
            </w:r>
          </w:p>
        </w:tc>
        <w:tc>
          <w:tcPr>
            <w:tcW w:w="792" w:type="dxa"/>
          </w:tcPr>
          <w:p w14:paraId="2DE53E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4,5 </w:t>
            </w:r>
          </w:p>
        </w:tc>
      </w:tr>
      <w:tr w:rsidR="002B1C74" w:rsidRPr="002F2FDF" w14:paraId="2818A371" w14:textId="77777777">
        <w:tc>
          <w:tcPr>
            <w:tcW w:w="4512" w:type="dxa"/>
          </w:tcPr>
          <w:p w14:paraId="237D1F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Грозненская мастерская</w:t>
            </w:r>
          </w:p>
        </w:tc>
        <w:tc>
          <w:tcPr>
            <w:tcW w:w="792" w:type="dxa"/>
          </w:tcPr>
          <w:p w14:paraId="12281E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1,4 </w:t>
            </w:r>
          </w:p>
        </w:tc>
      </w:tr>
      <w:tr w:rsidR="002B1C74" w:rsidRPr="002F2FDF" w14:paraId="72162DCF" w14:textId="77777777">
        <w:tc>
          <w:tcPr>
            <w:tcW w:w="4512" w:type="dxa"/>
          </w:tcPr>
          <w:p w14:paraId="5442FC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Богородский снаряжательный</w:t>
            </w:r>
          </w:p>
        </w:tc>
        <w:tc>
          <w:tcPr>
            <w:tcW w:w="792" w:type="dxa"/>
          </w:tcPr>
          <w:p w14:paraId="28DE45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20,9 </w:t>
            </w:r>
          </w:p>
        </w:tc>
      </w:tr>
      <w:tr w:rsidR="002B1C74" w:rsidRPr="002F2FDF" w14:paraId="2A4F682A" w14:textId="77777777">
        <w:tc>
          <w:tcPr>
            <w:tcW w:w="4512" w:type="dxa"/>
          </w:tcPr>
          <w:p w14:paraId="57E841E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Троицкий снаряжательный</w:t>
            </w:r>
          </w:p>
        </w:tc>
        <w:tc>
          <w:tcPr>
            <w:tcW w:w="792" w:type="dxa"/>
          </w:tcPr>
          <w:p w14:paraId="043618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3,5 </w:t>
            </w:r>
          </w:p>
        </w:tc>
      </w:tr>
      <w:tr w:rsidR="002B1C74" w:rsidRPr="002F2FDF" w14:paraId="44A68548" w14:textId="77777777">
        <w:tc>
          <w:tcPr>
            <w:tcW w:w="4512" w:type="dxa"/>
          </w:tcPr>
          <w:p w14:paraId="435BE8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Тверская снаряжательная мастерская</w:t>
            </w:r>
          </w:p>
        </w:tc>
        <w:tc>
          <w:tcPr>
            <w:tcW w:w="792" w:type="dxa"/>
          </w:tcPr>
          <w:p w14:paraId="37F171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1,2 </w:t>
            </w:r>
          </w:p>
        </w:tc>
      </w:tr>
      <w:tr w:rsidR="002B1C74" w:rsidRPr="002F2FDF" w14:paraId="32CE9CF3" w14:textId="77777777">
        <w:tc>
          <w:tcPr>
            <w:tcW w:w="4512" w:type="dxa"/>
          </w:tcPr>
          <w:p w14:paraId="4353F8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Екатеринославская снаряжательная мастерская</w:t>
            </w:r>
          </w:p>
        </w:tc>
        <w:tc>
          <w:tcPr>
            <w:tcW w:w="792" w:type="dxa"/>
          </w:tcPr>
          <w:p w14:paraId="0771C63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1,3 </w:t>
            </w:r>
          </w:p>
        </w:tc>
      </w:tr>
      <w:tr w:rsidR="002B1C74" w:rsidRPr="002F2FDF" w14:paraId="691951AE" w14:textId="77777777">
        <w:tc>
          <w:tcPr>
            <w:tcW w:w="4512" w:type="dxa"/>
          </w:tcPr>
          <w:p w14:paraId="3B67F6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Кронштадтская снаряжательная мастерская</w:t>
            </w:r>
          </w:p>
        </w:tc>
        <w:tc>
          <w:tcPr>
            <w:tcW w:w="792" w:type="dxa"/>
          </w:tcPr>
          <w:p w14:paraId="1E5976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0,1 </w:t>
            </w:r>
          </w:p>
        </w:tc>
      </w:tr>
      <w:tr w:rsidR="002B1C74" w:rsidRPr="002F2FDF" w14:paraId="2344314C" w14:textId="77777777">
        <w:tc>
          <w:tcPr>
            <w:tcW w:w="4512" w:type="dxa"/>
          </w:tcPr>
          <w:p w14:paraId="0B5F6C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Свеаборгская снаряжательная мастерская</w:t>
            </w:r>
          </w:p>
        </w:tc>
        <w:tc>
          <w:tcPr>
            <w:tcW w:w="792" w:type="dxa"/>
          </w:tcPr>
          <w:p w14:paraId="66CEB6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0,1 </w:t>
            </w:r>
          </w:p>
        </w:tc>
      </w:tr>
      <w:tr w:rsidR="002B1C74" w:rsidRPr="002F2FDF" w14:paraId="3677E71E" w14:textId="77777777">
        <w:tc>
          <w:tcPr>
            <w:tcW w:w="4512" w:type="dxa"/>
          </w:tcPr>
          <w:p w14:paraId="0A23E78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Петроградская химическая снаряжательная мастерская</w:t>
            </w:r>
          </w:p>
        </w:tc>
        <w:tc>
          <w:tcPr>
            <w:tcW w:w="792" w:type="dxa"/>
          </w:tcPr>
          <w:p w14:paraId="1E762B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0,1 </w:t>
            </w:r>
          </w:p>
        </w:tc>
      </w:tr>
      <w:tr w:rsidR="002B1C74" w:rsidRPr="002F2FDF" w14:paraId="3B6A4B12" w14:textId="77777777">
        <w:tc>
          <w:tcPr>
            <w:tcW w:w="4512" w:type="dxa"/>
          </w:tcPr>
          <w:p w14:paraId="30EA495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Юзовский завод азотной кислоты</w:t>
            </w:r>
          </w:p>
        </w:tc>
        <w:tc>
          <w:tcPr>
            <w:tcW w:w="792" w:type="dxa"/>
          </w:tcPr>
          <w:p w14:paraId="270D11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1,3 </w:t>
            </w:r>
          </w:p>
        </w:tc>
      </w:tr>
      <w:tr w:rsidR="002B1C74" w:rsidRPr="002F2FDF" w14:paraId="6D67111C" w14:textId="77777777">
        <w:tc>
          <w:tcPr>
            <w:tcW w:w="4512" w:type="dxa"/>
          </w:tcPr>
          <w:p w14:paraId="77CEB5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Кадиевский бензольный</w:t>
            </w:r>
          </w:p>
        </w:tc>
        <w:tc>
          <w:tcPr>
            <w:tcW w:w="792" w:type="dxa"/>
          </w:tcPr>
          <w:p w14:paraId="5015BFA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0,7 </w:t>
            </w:r>
          </w:p>
        </w:tc>
      </w:tr>
      <w:tr w:rsidR="002B1C74" w:rsidRPr="002F2FDF" w14:paraId="74118945" w14:textId="77777777">
        <w:tc>
          <w:tcPr>
            <w:tcW w:w="4512" w:type="dxa"/>
          </w:tcPr>
          <w:p w14:paraId="260841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Казанский нефтеперегонный</w:t>
            </w:r>
          </w:p>
        </w:tc>
        <w:tc>
          <w:tcPr>
            <w:tcW w:w="792" w:type="dxa"/>
          </w:tcPr>
          <w:p w14:paraId="25B38C1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0,11 </w:t>
            </w:r>
          </w:p>
        </w:tc>
      </w:tr>
      <w:tr w:rsidR="002B1C74" w:rsidRPr="002F2FDF" w14:paraId="6FE37661" w14:textId="77777777">
        <w:tc>
          <w:tcPr>
            <w:tcW w:w="4512" w:type="dxa"/>
          </w:tcPr>
          <w:p w14:paraId="5FCC0A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Нижегородский кислотный</w:t>
            </w:r>
          </w:p>
        </w:tc>
        <w:tc>
          <w:tcPr>
            <w:tcW w:w="792" w:type="dxa"/>
          </w:tcPr>
          <w:p w14:paraId="31ADB4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1,9 </w:t>
            </w:r>
          </w:p>
        </w:tc>
      </w:tr>
      <w:tr w:rsidR="002B1C74" w:rsidRPr="002F2FDF" w14:paraId="43F344C4" w14:textId="77777777">
        <w:tc>
          <w:tcPr>
            <w:tcW w:w="4512" w:type="dxa"/>
          </w:tcPr>
          <w:p w14:paraId="044149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Финляндские хлорные заводы</w:t>
            </w:r>
          </w:p>
        </w:tc>
        <w:tc>
          <w:tcPr>
            <w:tcW w:w="792" w:type="dxa"/>
          </w:tcPr>
          <w:p w14:paraId="57B7DF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3,2 </w:t>
            </w:r>
          </w:p>
        </w:tc>
      </w:tr>
      <w:tr w:rsidR="002B1C74" w:rsidRPr="002F2FDF" w14:paraId="5E1F0D09" w14:textId="77777777">
        <w:tc>
          <w:tcPr>
            <w:tcW w:w="4512" w:type="dxa"/>
          </w:tcPr>
          <w:p w14:paraId="66A1E2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Казанский военно-химический</w:t>
            </w:r>
          </w:p>
        </w:tc>
        <w:tc>
          <w:tcPr>
            <w:tcW w:w="792" w:type="dxa"/>
          </w:tcPr>
          <w:p w14:paraId="6B7763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0,4 </w:t>
            </w:r>
          </w:p>
        </w:tc>
      </w:tr>
      <w:tr w:rsidR="002B1C74" w:rsidRPr="002F2FDF" w14:paraId="795FC95C" w14:textId="77777777">
        <w:tc>
          <w:tcPr>
            <w:tcW w:w="4512" w:type="dxa"/>
          </w:tcPr>
          <w:p w14:paraId="6843F8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Глобинский военно-химический</w:t>
            </w:r>
          </w:p>
        </w:tc>
        <w:tc>
          <w:tcPr>
            <w:tcW w:w="792" w:type="dxa"/>
          </w:tcPr>
          <w:p w14:paraId="1291AB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0,5 </w:t>
            </w:r>
          </w:p>
        </w:tc>
      </w:tr>
      <w:tr w:rsidR="002B1C74" w:rsidRPr="002F2FDF" w14:paraId="1C93EBF6" w14:textId="77777777">
        <w:tc>
          <w:tcPr>
            <w:tcW w:w="4512" w:type="dxa"/>
          </w:tcPr>
          <w:p w14:paraId="6ABCD8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Каменский сталелитейный</w:t>
            </w:r>
          </w:p>
        </w:tc>
        <w:tc>
          <w:tcPr>
            <w:tcW w:w="792" w:type="dxa"/>
          </w:tcPr>
          <w:p w14:paraId="69CDF0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49,0 </w:t>
            </w:r>
          </w:p>
        </w:tc>
      </w:tr>
      <w:tr w:rsidR="002B1C74" w:rsidRPr="002F2FDF" w14:paraId="03C581B1" w14:textId="77777777">
        <w:tc>
          <w:tcPr>
            <w:tcW w:w="4512" w:type="dxa"/>
          </w:tcPr>
          <w:p w14:paraId="71CFEFB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Каменский снарядный</w:t>
            </w:r>
          </w:p>
        </w:tc>
        <w:tc>
          <w:tcPr>
            <w:tcW w:w="792" w:type="dxa"/>
          </w:tcPr>
          <w:p w14:paraId="512B43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138,0</w:t>
            </w:r>
          </w:p>
        </w:tc>
      </w:tr>
      <w:tr w:rsidR="002B1C74" w:rsidRPr="002F2FDF" w14:paraId="3B031A29" w14:textId="77777777">
        <w:tc>
          <w:tcPr>
            <w:tcW w:w="4512" w:type="dxa"/>
          </w:tcPr>
          <w:p w14:paraId="4B0D0A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Алюминиевый</w:t>
            </w:r>
          </w:p>
        </w:tc>
        <w:tc>
          <w:tcPr>
            <w:tcW w:w="792" w:type="dxa"/>
          </w:tcPr>
          <w:p w14:paraId="4E55574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10,0 </w:t>
            </w:r>
          </w:p>
        </w:tc>
      </w:tr>
      <w:tr w:rsidR="002B1C74" w:rsidRPr="002F2FDF" w14:paraId="4D8D0FAC" w14:textId="77777777">
        <w:tc>
          <w:tcPr>
            <w:tcW w:w="4512" w:type="dxa"/>
          </w:tcPr>
          <w:p w14:paraId="010F74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Изюмский оптического стекла завод</w:t>
            </w:r>
          </w:p>
        </w:tc>
        <w:tc>
          <w:tcPr>
            <w:tcW w:w="792" w:type="dxa"/>
          </w:tcPr>
          <w:p w14:paraId="48E328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1,2 </w:t>
            </w:r>
          </w:p>
        </w:tc>
      </w:tr>
      <w:tr w:rsidR="002B1C74" w:rsidRPr="002F2FDF" w14:paraId="64E22C34" w14:textId="77777777">
        <w:tc>
          <w:tcPr>
            <w:tcW w:w="4512" w:type="dxa"/>
          </w:tcPr>
          <w:p w14:paraId="379F23A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Изюмский оптических приборов</w:t>
            </w:r>
          </w:p>
        </w:tc>
        <w:tc>
          <w:tcPr>
            <w:tcW w:w="792" w:type="dxa"/>
          </w:tcPr>
          <w:p w14:paraId="6F27CCA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4,8 </w:t>
            </w:r>
          </w:p>
        </w:tc>
      </w:tr>
      <w:tr w:rsidR="002B1C74" w:rsidRPr="002F2FDF" w14:paraId="78973056" w14:textId="77777777">
        <w:tc>
          <w:tcPr>
            <w:tcW w:w="4512" w:type="dxa"/>
          </w:tcPr>
          <w:p w14:paraId="53C6C08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Тульский Машиностроительный </w:t>
            </w:r>
          </w:p>
        </w:tc>
        <w:tc>
          <w:tcPr>
            <w:tcW w:w="792" w:type="dxa"/>
          </w:tcPr>
          <w:p w14:paraId="0AD3C0C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31,9 </w:t>
            </w:r>
          </w:p>
        </w:tc>
      </w:tr>
      <w:tr w:rsidR="002B1C74" w:rsidRPr="002F2FDF" w14:paraId="6DC0E674" w14:textId="77777777">
        <w:tc>
          <w:tcPr>
            <w:tcW w:w="4512" w:type="dxa"/>
          </w:tcPr>
          <w:p w14:paraId="5B264D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Онежский завод азотной кислоты</w:t>
            </w:r>
          </w:p>
        </w:tc>
        <w:tc>
          <w:tcPr>
            <w:tcW w:w="792" w:type="dxa"/>
          </w:tcPr>
          <w:p w14:paraId="676D78D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26,1 </w:t>
            </w:r>
          </w:p>
        </w:tc>
      </w:tr>
      <w:tr w:rsidR="002B1C74" w:rsidRPr="002F2FDF" w14:paraId="15761C2F" w14:textId="77777777">
        <w:tc>
          <w:tcPr>
            <w:tcW w:w="4512" w:type="dxa"/>
            <w:tcBorders>
              <w:bottom w:val="single" w:sz="12" w:space="0" w:color="auto"/>
            </w:tcBorders>
          </w:tcPr>
          <w:p w14:paraId="1C55EC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 Всего на сумму</w:t>
            </w:r>
          </w:p>
        </w:tc>
        <w:tc>
          <w:tcPr>
            <w:tcW w:w="792" w:type="dxa"/>
            <w:tcBorders>
              <w:bottom w:val="single" w:sz="12" w:space="0" w:color="auto"/>
            </w:tcBorders>
          </w:tcPr>
          <w:p w14:paraId="274B793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655,2 </w:t>
            </w:r>
          </w:p>
        </w:tc>
      </w:tr>
    </w:tbl>
    <w:p w14:paraId="6F23EB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Приведенный выше перечень заводов, подлежавших постройке, и стоимость их свидетельствуют об исключительно широком масштабе программы строительства, выдвинутой А.А. Маниковским во время войны. И действительно, в прошлом, за все двухсотлетие существования казенной артиллерийской промышленности, разновременно было выстроено всего только 23 завода. Это составляет около 1 завода в десятилетие в среднем. Программой же намечалось построить 18 заводов больших и 16 малых в тот же десятилетний период, так как, судя по календарным срокам постройки отдельных заводов, вся программа, начатая в 1914 г., должна была завершиться в 1923—1924 годах. </w:t>
      </w:r>
    </w:p>
    <w:p w14:paraId="500C735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То же констатируют и расходы по строительству. Стоимость всей программы, как указано выше, оценивалась в 655,2 млн руб. в ценах 1916 года. Если сделать пересчет в довоенные цены, то, пользуясь коэффициентом 2, или даже 2,5, это составит 260 млн рублей. Этой сумме может быть противопоставлена другая — это 5,5 млн руб., истраченных на постройку в 1909 г. двух заводов — Самарского трубочного и Самарского взрывчатых веществ, единственную за период с 1895 по 1914 год. Если сосчитать стоимость расширений, которые были произведены на этих заводах до 1914 г., то указанная сумма может быть увеличена до 7 миллионов. Но и в этом виде она в 35 раз меньше стоимости программы. </w:t>
      </w:r>
    </w:p>
    <w:p w14:paraId="08B1C5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Выдвигая такую грандиозную программу строительства, А.А. Маниковский преследовал задачу — одним ударом привести мощность артиллерийской промышленности в полное соответствие с требованиями современной войны и эмансипировать военное снабжение от всякой зависимости по отношению к иностранным рынкам. </w:t>
      </w:r>
    </w:p>
    <w:p w14:paraId="26EF7A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Действительно, если бы программа была осуществлена полностью, то в руках военного ведомства был бы сосредоточен крайне мощный кадр артиллерийских заводов, охватывающий полный цикл основных артиллерийских производств. По некоторым производствам, как, например, оружейное и патронное, этот кадр мог самостоятельно покрывать полностью потребности крупного масштаба, какие предъявила Европейская война. По другим производствам кадр покрывал значительную часть потребности с тем, чтобы остальная часть покрывалась работой гражданской промышленности. </w:t>
      </w:r>
    </w:p>
    <w:p w14:paraId="4C3C730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докладе А.А. Маниковского твердо и определенно высказан принцип планомерного привлечения всей гражданской промышленности к работе на оборону с условием заблаговременной мобилизационной подготовки ее к выполнению этой задачи. Однако эта тема не получила в докладе развития, как это сделано по отношению к военной промышленности, и автор ограничивается лишь соображениями общего характера. </w:t>
      </w:r>
    </w:p>
    <w:p w14:paraId="461568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докладе А.А. Маниковского не подвергнута разработке еще одна важная сторона программы — это вопрос о производственном режиме казенных заводов в мирное время, вопрос, так сказать, демобилизационный. Если в военное время кадр казенных заводов является главной опорой и основным ресурсом снабжения, то в мирное время этот же кадр становится тяжелым бременем для государства. Действительно, в мирное время объем заказов на вооружение весьма мал по сравнению с тем, что имеет место в периоды войны. Так, например, если война требует 200 000 винтовок в месяц, то в периоды мира трудно рассчитывать, чтобы весь годовой заказ превышал эту цифру. То же должно иметь место и по отношению к большинству других производств. Иначе говоря, казенные заводы в мирное время неизбежно обрекаются на ничтожную загрузку военными заказами, оцениваемую цифрами порядка 5-10% от полной мощности завода, и вынужденное бездействие. </w:t>
      </w:r>
    </w:p>
    <w:p w14:paraId="3E6330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Трудность положения осложняется еще тем, что военные заводы в этом вопросе лишены той свободы маневрирования, которой обладает промышленность гражданская. Здесь речь идет о возможности концентрации заказов на минимальном числе заводов с тем, чтобы дать им нормальную нагрузку работой и остальные заводы поставить на мертвую консервацию. Эта мера неприменима к военным заводам или по крайней мере должна применяться с чрезвычайными предосторожностями, ввиду того, что постановка завода на мертвую консервацию постепенно сводит к нулю его для обороны. Так как одна из основных задач казенных военных заводов — мобилизоваться в первую очередь, в кратчайший срок, то это обязывает поддерживать все наличные военные заводы в действенном состоянии, для чего необходимо более или менее равномерно распределять между ними военные заказы, как бы они малы ни были. Отсюда — обычно малая загрузка заводов, высокие накладные и консервационные расходы и повышенная стоимость предметов вооружения. </w:t>
      </w:r>
    </w:p>
    <w:p w14:paraId="7E4C8ED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своем докладе А.А. Маниковский не указывает методов, какими можно было бы сократить холостой ход казенных заводов в мирное время. В дальнейшем жизнь сама указала такой метод — это приспособление военного оборудования к работе на гражданский рынок. Однако на пути практического осуществления его лежит много трудностей. Центр тяжести их отнюдь не в технике. </w:t>
      </w:r>
    </w:p>
    <w:p w14:paraId="5A1184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Значительно большие трудности представляет задача разработки и установления для военной промышленности устойчивой и жизненной программы гражданских производств. Здесь необходимо согласовать ряд сложных и часто противоречивых требований. Прежде всего гражданские производства должны быть технологически родственны существующим военным производствам и обслуживаться станками военного назначения, требуя минимального переустройства и переустановок. Затем, программы гражданских производств должны отвечать запросам рынка и быть строго согласованны с текущей программой соответствующих гражданских промышленных отраслей. Так как военные заводы обладают большой мощностью, то по некоторым гражданским изделиям они могли полностью покрывать все потребности рынка. Но, с другой стороны, нельзя упускать из виду то обстоятельство, что с наступлением войны и с мобилизацией военных заводов [их] гражданские производства будут в кратчайший срок ликвидироваться. При этих условиях роль военной промышленности в деле гражданских производств должна быть ограничена известными пределами, ибо в противном случае с мобилизацией военных заводов возникнут серьезные потрясения и расстройства в сфере гражданской промышленности. </w:t>
      </w:r>
    </w:p>
    <w:p w14:paraId="6D27832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Если бы строительная программа А.А. Маниковского была полностью осуществлена, то основной капитал группы казенных артиллерийских заводов достигал бы цифры близкой к миллиарду. В каком бы низком проценте ни считать амортизационные и консервационные расходы по содержанию этих заводов, абсолютная цифра их была бы весьма велика, даже при хорошей их загрузке "мирными" заказами. </w:t>
      </w:r>
    </w:p>
    <w:p w14:paraId="1FDF2D3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Несмотря на отмеченную неполноту разработки вопроса строительства артиллерийской промышленности, доклад А.А. Маниковского представляет большой интерес, как исторический, так и деловой. Ряд вопросов принципиального порядка, касающихся организации военной промышленности и снабжения поставлен им в докладе с большой смелостью и с большим даром предвидения, и многие из этих вопросов в настоящее время не только не устарели, но приобрели особо актуальное значение и ждут изучения и разработки (11329).</w:t>
      </w:r>
    </w:p>
    <w:p w14:paraId="4FD633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7DE40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когда был достигнут наивысший уровень производства, Штеровский завод хими</w:t>
      </w:r>
      <w:r w:rsidRPr="002F2FDF">
        <w:rPr>
          <w:rFonts w:ascii="Times New Roman" w:hAnsi="Times New Roman" w:cs="Times New Roman"/>
          <w:color w:val="000000" w:themeColor="text1"/>
          <w:kern w:val="2"/>
          <w:sz w:val="16"/>
          <w:szCs w:val="16"/>
        </w:rPr>
        <w:softHyphen/>
        <w:t>ческих продуктов (Екатеринославская губер</w:t>
      </w:r>
      <w:r w:rsidRPr="002F2FDF">
        <w:rPr>
          <w:rFonts w:ascii="Times New Roman" w:hAnsi="Times New Roman" w:cs="Times New Roman"/>
          <w:color w:val="000000" w:themeColor="text1"/>
          <w:kern w:val="2"/>
          <w:sz w:val="16"/>
          <w:szCs w:val="16"/>
        </w:rPr>
        <w:softHyphen/>
        <w:t>ния), принадлежавший франко-русскому обществу химических про</w:t>
      </w:r>
      <w:r w:rsidRPr="002F2FDF">
        <w:rPr>
          <w:rFonts w:ascii="Times New Roman" w:hAnsi="Times New Roman" w:cs="Times New Roman"/>
          <w:color w:val="000000" w:themeColor="text1"/>
          <w:kern w:val="2"/>
          <w:sz w:val="16"/>
          <w:szCs w:val="16"/>
        </w:rPr>
        <w:softHyphen/>
        <w:t>дуктов и ВВ, выпустил 17,7 тыс. пудов пироксилина; 22,6 тыс. пудов азотной кислоты; 58,5 тыс. пудов серной кислоты (5484).</w:t>
      </w:r>
    </w:p>
    <w:p w14:paraId="63A0FD6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2699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на базе частного дореволюционного завода фирмы “Пэлка” с выпуском оборудования и подков был создан будущий опытный завод ГСНИИ-642, завод № 67 Мостяжарт, а корпуса института из дореволюционного завода холодной штамповки из жести фирмы “Бонакер”.</w:t>
      </w:r>
    </w:p>
    <w:p w14:paraId="0DD90D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Первоначально реконструкция имела направление на ремонт артиллерии и холодной штамповки из жести тары под продукцию местной промышленности. С 1924 года опытный завод потерпел вторую реконструкцию с уклоном на котлостроение и изготовление металлических конструкций. С 1930 года профиль завода изменился на бомбостроение и средства химзащиты без их снаряжения с продолжением котлостроения и металлококнструкций до 1936 года. В 1941 году жестяно-штамповальное производство было эвакуировано в Дзержинск, а механическое оборудование – в Миасы. В период 1941-1945 гг. опытный завод полностью был загружен выпуском </w:t>
      </w:r>
      <w:r w:rsidRPr="002F2FDF">
        <w:rPr>
          <w:rFonts w:ascii="Times New Roman" w:hAnsi="Times New Roman" w:cs="Times New Roman"/>
          <w:color w:val="000000" w:themeColor="text1"/>
          <w:kern w:val="2"/>
          <w:sz w:val="16"/>
          <w:szCs w:val="16"/>
        </w:rPr>
        <w:lastRenderedPageBreak/>
        <w:t>боеприпасов всех направлений, как по линии ВВС, а также по ВМС, ГАУ и ВИУ. В 1947 году бывш. цех холодной штамповки с прилегающими службами, складами, оборудованием, рабочей силой по распоряжению МСХМ был передан бывш. КБ-2, ныне ГСНИИ-642.</w:t>
      </w:r>
    </w:p>
    <w:p w14:paraId="5AEA502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 1953 года опытный завод, ранее именовавшийся “Завод № 67 им. С.К. Тимошенко” слился с институтом, как опытная базаё при институте (10040).</w:t>
      </w:r>
    </w:p>
    <w:p w14:paraId="6A112E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2257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Металлургический завод Гужона, основаный в 1883 г., был переименован в Московский государственный металлический завод № 9 (упоминалось также название Большой московский металлический завод № 1) (Московский государственный металлический завод № 9, Московский металлургический завод Гужона, Большой московский металлический завод № 1, Московский металлургический завод «Серп и молот» ВСНХ, НКТП, НКМ, НКЧМ, Московский ордена Ленина завод «Серп и молот» НКЧМ, ОАО «Московский металлургический завод «Серп и молот» /г. Москва Застава Ильича (1935 г.)/ /109033 г. Москва Золоторожский вал, 11 тел. 278-71-81/). В 1922 г. получил название «Серп и молот». В 1920-е г. - в ведении ВСНХ, с 1932 г. - НКТП. В 1935 г. завод в ведении треста «Спецсталь». В 12.1938 г. - в ведении НКМ, в 1940 г. - в ведении НКЧМ.</w:t>
      </w:r>
    </w:p>
    <w:p w14:paraId="308AD64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1934-3 5 г. изготовлены узлы из нержавеющей стали для самолета ДАР. По распоряжению НКОП № 6/07с от 16.01.1937 г. заводу поручено к 1.10.1937 г. изготовить опытную партию литых чугунных 122-мм снарядов. В 1939 г. выпускал тросы для тралов. С 1940 г. начато снаряжение ручных гранат.</w:t>
      </w:r>
    </w:p>
    <w:p w14:paraId="594B25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пост.ениями ГКО № 424 от 7.08.1941 г. и № 778 от 13.10.1941 г. завод «Серп и молот» НКЧМ эвакуирован.</w:t>
      </w:r>
    </w:p>
    <w:p w14:paraId="32E5CD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26.11.1943 г. вышло распоряжение ГКО № 4677 о мерах неотложной помощи Московскому ордена Ленина заводу «Серп и молот» НКЧМ. 8.04.1944 г. вышло постановление ГКО № 5581 об обеспечении пуска цеха серебрянки.</w:t>
      </w:r>
    </w:p>
    <w:p w14:paraId="351A1F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годы войны изготовлял бомбы ФАБ-5000, С 16.05.1945 г. переведен на гражданское производство.</w:t>
      </w:r>
    </w:p>
    <w:p w14:paraId="4638E9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1947 г. завод - в ведении Главспецстали.</w:t>
      </w:r>
    </w:p>
    <w:p w14:paraId="10644F5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высококачественных магнитных, нержавеющих сталей (1975 г.).</w:t>
      </w:r>
    </w:p>
    <w:p w14:paraId="734582C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Входил в состав СГМ (2004 г.). В 2007 г. должен был войти в холдинг «Русспецсталь».</w:t>
      </w:r>
    </w:p>
    <w:p w14:paraId="4CB68D3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Директор (1921-25 г.)- И.Р. Бурдачев, (1925-38 г.)- П.Ф. Степанов, (1938; 1940 г.)- Г.М. Ильин, (1938 г.-)- Н.Б. Родзевич, (1961-71 г.)- В.А. Ермолаев. Гендиректор (-2000-09 г.-)- </w:t>
      </w:r>
      <w:r w:rsidRPr="002F2FDF">
        <w:rPr>
          <w:rFonts w:ascii="Times New Roman" w:hAnsi="Times New Roman" w:cs="Times New Roman"/>
          <w:color w:val="000000" w:themeColor="text1"/>
          <w:kern w:val="2"/>
          <w:sz w:val="16"/>
          <w:szCs w:val="16"/>
          <w:lang w:val="en-US"/>
        </w:rPr>
        <w:t>C</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JL</w:t>
      </w:r>
      <w:r w:rsidRPr="002F2FDF">
        <w:rPr>
          <w:rFonts w:ascii="Times New Roman" w:hAnsi="Times New Roman" w:cs="Times New Roman"/>
          <w:color w:val="000000" w:themeColor="text1"/>
          <w:kern w:val="2"/>
          <w:sz w:val="16"/>
          <w:szCs w:val="16"/>
        </w:rPr>
        <w:t xml:space="preserve"> Пареньков (11982).</w:t>
      </w:r>
    </w:p>
    <w:p w14:paraId="12537189" w14:textId="77777777" w:rsidR="0040277E" w:rsidRPr="002F2FDF" w:rsidRDefault="0040277E"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375B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1917 года завод № 53 приступает к выполнению заданий Советского Правительства. До 1922 года завод выполнял задания только для военных нужд. В 1927 году капсюльное производство стало оснащаться новым оборудованием. В 1941 году завод был эвакуирован в г. Нижний Ломов Пензенской области. Там было восстановлено и начало массовый выпуск производство боеприпасов.</w:t>
      </w:r>
    </w:p>
    <w:p w14:paraId="34B8699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освобождения Шостки в 1943 году началось восстановление Шосткинского капсюльного завода № 53. В 1944 году завод начал выпускать продукцию для фронта и приказом НКБ от 2 июня 1944 года за № 6020 Шосткинский капсюльный завод № 53 был введен в число действующих предприятий.</w:t>
      </w:r>
    </w:p>
    <w:p w14:paraId="21B743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Адрес: Шостка Сумской области, п/я 13.</w:t>
      </w:r>
    </w:p>
    <w:p w14:paraId="0EA3C0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завода – П. Трошин (10026).</w:t>
      </w:r>
    </w:p>
    <w:p w14:paraId="3B1E2A3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46C07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будущий завод № 52, основанный частным лицом в 1876 году, при национализации имел три основных цеха: дымных порохов, динамитов и огнепроводного шнура. До своей эвакуации в 1941 году в восточные районы завод выпускал продукцию в указанных выше цехах, а также изготовлял зажигательный фитиль, аммонит и замедлительный состав.</w:t>
      </w:r>
    </w:p>
    <w:p w14:paraId="2852ADC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приказом НКБ от 21 июля 1945 года за № 269, распоряжения СМ за № 6006 ср от 8 мая 1946 года и др. завод начал восстанавливаться.</w:t>
      </w:r>
    </w:p>
    <w:p w14:paraId="06E1CAF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Восстановительные работы начались с 1947 года и в 1950 году был пущен в эксплуатацию цех огнепроводного шнура. Завод находится в стадии строительства.</w:t>
      </w:r>
    </w:p>
    <w:p w14:paraId="1F3442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Адрес: пос. Тосно Ленинградской области, п/я 4</w:t>
      </w:r>
    </w:p>
    <w:p w14:paraId="32E7B0A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завода – Мартынов (10024).</w:t>
      </w:r>
    </w:p>
    <w:p w14:paraId="7D7162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D2C1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промышленные здания и сооружения завода № 50 им. Фрунзе в Пензе были в основном закончены. По проекту завод предназначался для производства дистанционных трубок.. Первая реконструкция завода произведена в 1927 году. В 1934 году отдельно от завода организована площадка для сборочного цеха и построен цех сборки взрывателей и др. В 1931 году организована отдельная площадка и построен деревообделочный цех.</w:t>
      </w:r>
    </w:p>
    <w:p w14:paraId="0D50C2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Первоначально завод в основном оснащался оборудованием с эвакуированного Петроградского трубочного завода, небольшая его часть приобретена на разных заводах дореволюционной России.</w:t>
      </w:r>
    </w:p>
    <w:p w14:paraId="6E3D18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Промплощадка основного завода расположена в северо-западной части Пензы. Промплощадка сборочных цехов расположена на расстоянии 1,5 км к северо-западу от основного производства и расположена по обеим сторонам поймы оврага Безымянный, который является притоком реки Суры.</w:t>
      </w:r>
    </w:p>
    <w:p w14:paraId="38DDA4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Вспомогательная промплощадка расположена на севере от основного завода и непосредственно примыкает к его территории.</w:t>
      </w:r>
    </w:p>
    <w:p w14:paraId="29F937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Адрес: Пенза, п/я 25</w:t>
      </w:r>
    </w:p>
    <w:p w14:paraId="58C0A3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 В. Джанполадов</w:t>
      </w:r>
    </w:p>
    <w:p w14:paraId="715588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Строительство завода начато в 1915 году (10025).</w:t>
      </w:r>
    </w:p>
    <w:p w14:paraId="796A70C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765B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в России в различное время автомобили выпускались следующими заводами и фабриками: “П.А.Фрезе и К”, “Э.Л.Лидтке”, “Д.Скавронский”, АО “Г.А.Лесснер”, “Ив. Брейтигам”, Товариществом “Политехник”, “П.Д.Яковлев”, “К.Крюммель”, “И.П.Пузырёв” (Санкт-Петербург), АО “Луке”, “Н.Э.Бромлей”, “Братья Крыловы и К”, “А.И.Евсеев”, “П.П.Ильин”, “Автомобильное Московское общество (АМО)” братьев Рябушинских (Москва), “А.Лейтнер”, АО “Русско-Балтийский вагонный завод (РБВЗ)” (Рига), машиностроительной мастерской М.М.Хрущёва (Орёл), АО “В.А.Лебедев” (Ярославль), “Аксай” (Ростов-на-Дону), “Русский Рено” (Рыбинск), “Бекас” (Мытищи) и др. Одновременно существовало большое число предприятий по производству шин, аккумуляторов, электрооборудования, автомобильных принадлежностей, одежды для водителей. До 1917 г. в разное время издавалось 18 периодических изданий, связанных с автотранспортом. Наиболее авторитетным из них был журнал Российского автомобильного общества “Автомобиль” (11275).</w:t>
      </w:r>
    </w:p>
    <w:p w14:paraId="6EAC1CD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DB306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период первой мировой войны во всех отраслях тяжелой промышленности интенсивно шел процесс монополизации. Важнейшие монополии держали в своих руках от 60 до 95 % производства промышленной продукции. В годы первой мировой войны производство металла и топлива сокращалось (табл. 1.2).</w:t>
      </w:r>
    </w:p>
    <w:p w14:paraId="02DBF62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 Производство основных продуктов тяжелой промышленности России в годы первой мировой войны ( в млн пудов) [6, с. 70; 54]</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86"/>
        <w:gridCol w:w="1104"/>
        <w:gridCol w:w="998"/>
        <w:gridCol w:w="1315"/>
        <w:gridCol w:w="950"/>
        <w:gridCol w:w="1411"/>
      </w:tblGrid>
      <w:tr w:rsidR="002B1C74" w:rsidRPr="002F2FDF" w14:paraId="14395EA7" w14:textId="77777777">
        <w:trPr>
          <w:trHeight w:val="298"/>
        </w:trPr>
        <w:tc>
          <w:tcPr>
            <w:tcW w:w="586" w:type="dxa"/>
            <w:tcBorders>
              <w:top w:val="single" w:sz="12" w:space="0" w:color="auto"/>
            </w:tcBorders>
          </w:tcPr>
          <w:p w14:paraId="4B7EBB6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w:t>
            </w:r>
          </w:p>
          <w:p w14:paraId="57E8A06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04" w:type="dxa"/>
            <w:tcBorders>
              <w:top w:val="single" w:sz="12" w:space="0" w:color="auto"/>
            </w:tcBorders>
          </w:tcPr>
          <w:p w14:paraId="125EB0E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Выплавка</w:t>
            </w:r>
          </w:p>
          <w:p w14:paraId="55B4DF0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Borders>
              <w:top w:val="single" w:sz="12" w:space="0" w:color="auto"/>
            </w:tcBorders>
          </w:tcPr>
          <w:p w14:paraId="16DC5B2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Выплавка</w:t>
            </w:r>
          </w:p>
          <w:p w14:paraId="1EA25BB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15" w:type="dxa"/>
            <w:tcBorders>
              <w:top w:val="single" w:sz="12" w:space="0" w:color="auto"/>
            </w:tcBorders>
          </w:tcPr>
          <w:p w14:paraId="55A6105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Добыча ка-</w:t>
            </w:r>
          </w:p>
          <w:p w14:paraId="5ECDB9A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50" w:type="dxa"/>
            <w:tcBorders>
              <w:top w:val="single" w:sz="12" w:space="0" w:color="auto"/>
            </w:tcBorders>
          </w:tcPr>
          <w:p w14:paraId="1558835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Добыча</w:t>
            </w:r>
          </w:p>
          <w:p w14:paraId="7FB3F04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411" w:type="dxa"/>
            <w:tcBorders>
              <w:top w:val="single" w:sz="12" w:space="0" w:color="auto"/>
            </w:tcBorders>
          </w:tcPr>
          <w:p w14:paraId="3516CDA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Выплавка</w:t>
            </w:r>
          </w:p>
          <w:p w14:paraId="46DC807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39110691" w14:textId="77777777">
        <w:trPr>
          <w:trHeight w:val="192"/>
        </w:trPr>
        <w:tc>
          <w:tcPr>
            <w:tcW w:w="586" w:type="dxa"/>
          </w:tcPr>
          <w:p w14:paraId="77F0E51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91749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04" w:type="dxa"/>
          </w:tcPr>
          <w:p w14:paraId="3A3227B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чугуна</w:t>
            </w:r>
          </w:p>
          <w:p w14:paraId="312A31C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3AC4962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железа и</w:t>
            </w:r>
          </w:p>
          <w:p w14:paraId="22C04CF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15" w:type="dxa"/>
          </w:tcPr>
          <w:p w14:paraId="4655D64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менного угля</w:t>
            </w:r>
          </w:p>
          <w:p w14:paraId="660967B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50" w:type="dxa"/>
          </w:tcPr>
          <w:p w14:paraId="11DD754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нефти</w:t>
            </w:r>
          </w:p>
          <w:p w14:paraId="77E8364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411" w:type="dxa"/>
          </w:tcPr>
          <w:p w14:paraId="2276F85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меди</w:t>
            </w:r>
          </w:p>
          <w:p w14:paraId="4922047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59226ABD" w14:textId="77777777">
        <w:trPr>
          <w:trHeight w:val="202"/>
        </w:trPr>
        <w:tc>
          <w:tcPr>
            <w:tcW w:w="586" w:type="dxa"/>
          </w:tcPr>
          <w:p w14:paraId="5D35C64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03CD2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04" w:type="dxa"/>
          </w:tcPr>
          <w:p w14:paraId="73E2690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E4D26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186828D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стали</w:t>
            </w:r>
          </w:p>
          <w:p w14:paraId="6EF4544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15" w:type="dxa"/>
          </w:tcPr>
          <w:p w14:paraId="2E5288F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5CCC0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50" w:type="dxa"/>
          </w:tcPr>
          <w:p w14:paraId="160C557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380BD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411" w:type="dxa"/>
          </w:tcPr>
          <w:p w14:paraId="6B2B7E9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A3488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258A52B8" w14:textId="77777777">
        <w:trPr>
          <w:trHeight w:val="250"/>
        </w:trPr>
        <w:tc>
          <w:tcPr>
            <w:tcW w:w="586" w:type="dxa"/>
          </w:tcPr>
          <w:p w14:paraId="1865ACB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p w14:paraId="0F9F394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04" w:type="dxa"/>
          </w:tcPr>
          <w:p w14:paraId="6A6521F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264,2</w:t>
            </w:r>
          </w:p>
          <w:p w14:paraId="44D61F3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6579145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240,0</w:t>
            </w:r>
          </w:p>
          <w:p w14:paraId="710E3BB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15" w:type="dxa"/>
          </w:tcPr>
          <w:p w14:paraId="4A170F0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2175,4</w:t>
            </w:r>
          </w:p>
          <w:p w14:paraId="71A8C7D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50" w:type="dxa"/>
          </w:tcPr>
          <w:p w14:paraId="7306D7A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556,9</w:t>
            </w:r>
          </w:p>
          <w:p w14:paraId="688BC7A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411" w:type="dxa"/>
          </w:tcPr>
          <w:p w14:paraId="5577557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1,888</w:t>
            </w:r>
          </w:p>
          <w:p w14:paraId="5E16A37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380F591B" w14:textId="77777777">
        <w:trPr>
          <w:trHeight w:val="163"/>
        </w:trPr>
        <w:tc>
          <w:tcPr>
            <w:tcW w:w="586" w:type="dxa"/>
          </w:tcPr>
          <w:p w14:paraId="469416B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p w14:paraId="3A37407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04" w:type="dxa"/>
          </w:tcPr>
          <w:p w14:paraId="74B10FF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225,3</w:t>
            </w:r>
          </w:p>
          <w:p w14:paraId="47BE3E7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686E221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199,4</w:t>
            </w:r>
          </w:p>
          <w:p w14:paraId="641E5FD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15" w:type="dxa"/>
          </w:tcPr>
          <w:p w14:paraId="7C4F774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1905,5</w:t>
            </w:r>
          </w:p>
          <w:p w14:paraId="0F9F8CC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50" w:type="dxa"/>
          </w:tcPr>
          <w:p w14:paraId="76E95C5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568,1</w:t>
            </w:r>
          </w:p>
          <w:p w14:paraId="7187E3C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411" w:type="dxa"/>
          </w:tcPr>
          <w:p w14:paraId="0539F41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1,536</w:t>
            </w:r>
          </w:p>
          <w:p w14:paraId="1B55725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29553BD3" w14:textId="77777777">
        <w:trPr>
          <w:trHeight w:val="173"/>
        </w:trPr>
        <w:tc>
          <w:tcPr>
            <w:tcW w:w="586" w:type="dxa"/>
          </w:tcPr>
          <w:p w14:paraId="3FDA25D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p w14:paraId="2EE9A7E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04" w:type="dxa"/>
          </w:tcPr>
          <w:p w14:paraId="54DC299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232,0</w:t>
            </w:r>
          </w:p>
          <w:p w14:paraId="1D34F87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142D19A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205,9</w:t>
            </w:r>
          </w:p>
          <w:p w14:paraId="213D80B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15" w:type="dxa"/>
          </w:tcPr>
          <w:p w14:paraId="4F7EF78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1954,7</w:t>
            </w:r>
          </w:p>
          <w:p w14:paraId="54EA6E6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50" w:type="dxa"/>
          </w:tcPr>
          <w:p w14:paraId="409A2B0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492,1</w:t>
            </w:r>
          </w:p>
          <w:p w14:paraId="75717B9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411" w:type="dxa"/>
          </w:tcPr>
          <w:p w14:paraId="1D9E433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1,269</w:t>
            </w:r>
          </w:p>
          <w:p w14:paraId="5B85713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2F2FDF" w14:paraId="78EDCE9E" w14:textId="77777777">
        <w:trPr>
          <w:trHeight w:val="374"/>
        </w:trPr>
        <w:tc>
          <w:tcPr>
            <w:tcW w:w="586" w:type="dxa"/>
            <w:tcBorders>
              <w:bottom w:val="single" w:sz="12" w:space="0" w:color="auto"/>
            </w:tcBorders>
          </w:tcPr>
          <w:p w14:paraId="45E4D64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w:t>
            </w:r>
          </w:p>
          <w:p w14:paraId="76FC7C3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04" w:type="dxa"/>
            <w:tcBorders>
              <w:bottom w:val="single" w:sz="12" w:space="0" w:color="auto"/>
            </w:tcBorders>
          </w:tcPr>
          <w:p w14:paraId="4F3531F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190,5</w:t>
            </w:r>
          </w:p>
          <w:p w14:paraId="46CA228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Borders>
              <w:bottom w:val="single" w:sz="12" w:space="0" w:color="auto"/>
            </w:tcBorders>
          </w:tcPr>
          <w:p w14:paraId="539A5F9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155,6</w:t>
            </w:r>
          </w:p>
          <w:p w14:paraId="64511A0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15" w:type="dxa"/>
            <w:tcBorders>
              <w:bottom w:val="single" w:sz="12" w:space="0" w:color="auto"/>
            </w:tcBorders>
          </w:tcPr>
          <w:p w14:paraId="1661B03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1746,9</w:t>
            </w:r>
          </w:p>
          <w:p w14:paraId="3CB287C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50" w:type="dxa"/>
            <w:tcBorders>
              <w:bottom w:val="single" w:sz="12" w:space="0" w:color="auto"/>
            </w:tcBorders>
          </w:tcPr>
          <w:p w14:paraId="2810781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422,6</w:t>
            </w:r>
          </w:p>
          <w:p w14:paraId="1ADB380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411" w:type="dxa"/>
            <w:tcBorders>
              <w:bottom w:val="single" w:sz="12" w:space="0" w:color="auto"/>
            </w:tcBorders>
          </w:tcPr>
          <w:p w14:paraId="67008D0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p w14:paraId="1B2F196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561C739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(5484).</w:t>
      </w:r>
    </w:p>
    <w:p w14:paraId="1C8A58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6CEE1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бездымного пороха казенными заводами России в период 1900—1917 гг. (в тыс. пудов)[7, с. 124—126]</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86"/>
        <w:gridCol w:w="1181"/>
        <w:gridCol w:w="1152"/>
        <w:gridCol w:w="1334"/>
        <w:gridCol w:w="1276"/>
        <w:gridCol w:w="1275"/>
      </w:tblGrid>
      <w:tr w:rsidR="002B1C74" w:rsidRPr="002F2FDF" w14:paraId="5ECE4536" w14:textId="77777777">
        <w:trPr>
          <w:trHeight w:val="528"/>
        </w:trPr>
        <w:tc>
          <w:tcPr>
            <w:tcW w:w="586" w:type="dxa"/>
            <w:tcBorders>
              <w:top w:val="single" w:sz="12" w:space="0" w:color="auto"/>
            </w:tcBorders>
          </w:tcPr>
          <w:p w14:paraId="27F57C1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Год</w:t>
            </w:r>
          </w:p>
        </w:tc>
        <w:tc>
          <w:tcPr>
            <w:tcW w:w="1181" w:type="dxa"/>
            <w:tcBorders>
              <w:top w:val="single" w:sz="12" w:space="0" w:color="auto"/>
            </w:tcBorders>
          </w:tcPr>
          <w:p w14:paraId="0FA6FCA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Охтинский</w:t>
            </w:r>
          </w:p>
        </w:tc>
        <w:tc>
          <w:tcPr>
            <w:tcW w:w="1152" w:type="dxa"/>
            <w:tcBorders>
              <w:top w:val="single" w:sz="12" w:space="0" w:color="auto"/>
            </w:tcBorders>
          </w:tcPr>
          <w:p w14:paraId="1437E2F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Казанский</w:t>
            </w:r>
          </w:p>
        </w:tc>
        <w:tc>
          <w:tcPr>
            <w:tcW w:w="1334" w:type="dxa"/>
            <w:tcBorders>
              <w:top w:val="single" w:sz="12" w:space="0" w:color="auto"/>
            </w:tcBorders>
          </w:tcPr>
          <w:p w14:paraId="3F0B1C6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Шосткинский </w:t>
            </w:r>
          </w:p>
        </w:tc>
        <w:tc>
          <w:tcPr>
            <w:tcW w:w="1276" w:type="dxa"/>
            <w:tcBorders>
              <w:top w:val="single" w:sz="12" w:space="0" w:color="auto"/>
            </w:tcBorders>
          </w:tcPr>
          <w:p w14:paraId="284EAE1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Тамбов</w:t>
            </w:r>
            <w:r w:rsidRPr="002F2FDF">
              <w:rPr>
                <w:rFonts w:ascii="Times New Roman" w:hAnsi="Times New Roman" w:cs="Times New Roman"/>
                <w:color w:val="000000" w:themeColor="text1"/>
                <w:kern w:val="2"/>
                <w:sz w:val="16"/>
                <w:szCs w:val="16"/>
              </w:rPr>
              <w:softHyphen/>
              <w:t>ский</w:t>
            </w:r>
          </w:p>
        </w:tc>
        <w:tc>
          <w:tcPr>
            <w:tcW w:w="1275" w:type="dxa"/>
            <w:tcBorders>
              <w:top w:val="single" w:sz="12" w:space="0" w:color="auto"/>
            </w:tcBorders>
          </w:tcPr>
          <w:p w14:paraId="6D793AB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Всего</w:t>
            </w:r>
          </w:p>
        </w:tc>
      </w:tr>
      <w:tr w:rsidR="002B1C74" w:rsidRPr="002F2FDF" w14:paraId="54817ABD" w14:textId="77777777">
        <w:trPr>
          <w:trHeight w:val="240"/>
        </w:trPr>
        <w:tc>
          <w:tcPr>
            <w:tcW w:w="586" w:type="dxa"/>
          </w:tcPr>
          <w:p w14:paraId="2A42147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1900</w:t>
            </w:r>
          </w:p>
        </w:tc>
        <w:tc>
          <w:tcPr>
            <w:tcW w:w="1181" w:type="dxa"/>
          </w:tcPr>
          <w:p w14:paraId="4416F52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53,7</w:t>
            </w:r>
          </w:p>
        </w:tc>
        <w:tc>
          <w:tcPr>
            <w:tcW w:w="1152" w:type="dxa"/>
          </w:tcPr>
          <w:p w14:paraId="3FC7217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35,0</w:t>
            </w:r>
          </w:p>
        </w:tc>
        <w:tc>
          <w:tcPr>
            <w:tcW w:w="1334" w:type="dxa"/>
          </w:tcPr>
          <w:p w14:paraId="555CE08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35,3</w:t>
            </w:r>
          </w:p>
        </w:tc>
        <w:tc>
          <w:tcPr>
            <w:tcW w:w="1276" w:type="dxa"/>
          </w:tcPr>
          <w:p w14:paraId="671F4BC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275" w:type="dxa"/>
          </w:tcPr>
          <w:p w14:paraId="36AAE0D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124,0</w:t>
            </w:r>
          </w:p>
        </w:tc>
      </w:tr>
      <w:tr w:rsidR="002B1C74" w:rsidRPr="002F2FDF" w14:paraId="59085A81" w14:textId="77777777">
        <w:trPr>
          <w:trHeight w:val="173"/>
        </w:trPr>
        <w:tc>
          <w:tcPr>
            <w:tcW w:w="586" w:type="dxa"/>
          </w:tcPr>
          <w:p w14:paraId="064E998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1901</w:t>
            </w:r>
          </w:p>
        </w:tc>
        <w:tc>
          <w:tcPr>
            <w:tcW w:w="1181" w:type="dxa"/>
          </w:tcPr>
          <w:p w14:paraId="1065777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52,0</w:t>
            </w:r>
          </w:p>
        </w:tc>
        <w:tc>
          <w:tcPr>
            <w:tcW w:w="1152" w:type="dxa"/>
          </w:tcPr>
          <w:p w14:paraId="1FA5B1E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35,0</w:t>
            </w:r>
          </w:p>
        </w:tc>
        <w:tc>
          <w:tcPr>
            <w:tcW w:w="1334" w:type="dxa"/>
          </w:tcPr>
          <w:p w14:paraId="32A6CD4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35,0</w:t>
            </w:r>
          </w:p>
        </w:tc>
        <w:tc>
          <w:tcPr>
            <w:tcW w:w="1276" w:type="dxa"/>
          </w:tcPr>
          <w:p w14:paraId="441EC96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275" w:type="dxa"/>
          </w:tcPr>
          <w:p w14:paraId="6C216AB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122,0</w:t>
            </w:r>
          </w:p>
        </w:tc>
      </w:tr>
      <w:tr w:rsidR="002B1C74" w:rsidRPr="002F2FDF" w14:paraId="5F51979E" w14:textId="77777777">
        <w:trPr>
          <w:trHeight w:val="173"/>
        </w:trPr>
        <w:tc>
          <w:tcPr>
            <w:tcW w:w="586" w:type="dxa"/>
          </w:tcPr>
          <w:p w14:paraId="3084E74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1902</w:t>
            </w:r>
          </w:p>
        </w:tc>
        <w:tc>
          <w:tcPr>
            <w:tcW w:w="1181" w:type="dxa"/>
          </w:tcPr>
          <w:p w14:paraId="75AA1FA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50,0</w:t>
            </w:r>
          </w:p>
        </w:tc>
        <w:tc>
          <w:tcPr>
            <w:tcW w:w="1152" w:type="dxa"/>
          </w:tcPr>
          <w:p w14:paraId="1A8E449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40,0</w:t>
            </w:r>
          </w:p>
        </w:tc>
        <w:tc>
          <w:tcPr>
            <w:tcW w:w="1334" w:type="dxa"/>
          </w:tcPr>
          <w:p w14:paraId="5EE9D10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40,0</w:t>
            </w:r>
          </w:p>
        </w:tc>
        <w:tc>
          <w:tcPr>
            <w:tcW w:w="1276" w:type="dxa"/>
          </w:tcPr>
          <w:p w14:paraId="4B0515F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275" w:type="dxa"/>
          </w:tcPr>
          <w:p w14:paraId="1D29954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130,0</w:t>
            </w:r>
          </w:p>
        </w:tc>
      </w:tr>
      <w:tr w:rsidR="002B1C74" w:rsidRPr="002F2FDF" w14:paraId="23FACE2B" w14:textId="77777777">
        <w:trPr>
          <w:trHeight w:val="163"/>
        </w:trPr>
        <w:tc>
          <w:tcPr>
            <w:tcW w:w="586" w:type="dxa"/>
          </w:tcPr>
          <w:p w14:paraId="583270C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1903</w:t>
            </w:r>
          </w:p>
        </w:tc>
        <w:tc>
          <w:tcPr>
            <w:tcW w:w="1181" w:type="dxa"/>
          </w:tcPr>
          <w:p w14:paraId="221D36B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47,9</w:t>
            </w:r>
          </w:p>
        </w:tc>
        <w:tc>
          <w:tcPr>
            <w:tcW w:w="1152" w:type="dxa"/>
          </w:tcPr>
          <w:p w14:paraId="55C9F68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41,1</w:t>
            </w:r>
          </w:p>
        </w:tc>
        <w:tc>
          <w:tcPr>
            <w:tcW w:w="1334" w:type="dxa"/>
          </w:tcPr>
          <w:p w14:paraId="4004962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41,5</w:t>
            </w:r>
          </w:p>
        </w:tc>
        <w:tc>
          <w:tcPr>
            <w:tcW w:w="1276" w:type="dxa"/>
          </w:tcPr>
          <w:p w14:paraId="0B00431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275" w:type="dxa"/>
          </w:tcPr>
          <w:p w14:paraId="241A675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130,5</w:t>
            </w:r>
          </w:p>
        </w:tc>
      </w:tr>
      <w:tr w:rsidR="002B1C74" w:rsidRPr="002F2FDF" w14:paraId="5CEE69DE" w14:textId="77777777">
        <w:trPr>
          <w:trHeight w:val="173"/>
        </w:trPr>
        <w:tc>
          <w:tcPr>
            <w:tcW w:w="586" w:type="dxa"/>
          </w:tcPr>
          <w:p w14:paraId="67C41A7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1904</w:t>
            </w:r>
          </w:p>
        </w:tc>
        <w:tc>
          <w:tcPr>
            <w:tcW w:w="1181" w:type="dxa"/>
          </w:tcPr>
          <w:p w14:paraId="6939299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48,1</w:t>
            </w:r>
          </w:p>
        </w:tc>
        <w:tc>
          <w:tcPr>
            <w:tcW w:w="1152" w:type="dxa"/>
          </w:tcPr>
          <w:p w14:paraId="50FC78B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28,3</w:t>
            </w:r>
          </w:p>
        </w:tc>
        <w:tc>
          <w:tcPr>
            <w:tcW w:w="1334" w:type="dxa"/>
          </w:tcPr>
          <w:p w14:paraId="00AEF00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26,5</w:t>
            </w:r>
          </w:p>
        </w:tc>
        <w:tc>
          <w:tcPr>
            <w:tcW w:w="1276" w:type="dxa"/>
          </w:tcPr>
          <w:p w14:paraId="523BDCB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275" w:type="dxa"/>
          </w:tcPr>
          <w:p w14:paraId="5D8F48F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103,0</w:t>
            </w:r>
          </w:p>
        </w:tc>
      </w:tr>
      <w:tr w:rsidR="002B1C74" w:rsidRPr="002F2FDF" w14:paraId="1E060A2D" w14:textId="77777777">
        <w:trPr>
          <w:trHeight w:val="173"/>
        </w:trPr>
        <w:tc>
          <w:tcPr>
            <w:tcW w:w="586" w:type="dxa"/>
          </w:tcPr>
          <w:p w14:paraId="4160507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1905</w:t>
            </w:r>
          </w:p>
        </w:tc>
        <w:tc>
          <w:tcPr>
            <w:tcW w:w="1181" w:type="dxa"/>
          </w:tcPr>
          <w:p w14:paraId="26FB2DB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84,1</w:t>
            </w:r>
          </w:p>
        </w:tc>
        <w:tc>
          <w:tcPr>
            <w:tcW w:w="1152" w:type="dxa"/>
          </w:tcPr>
          <w:p w14:paraId="0D15621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50,6</w:t>
            </w:r>
          </w:p>
        </w:tc>
        <w:tc>
          <w:tcPr>
            <w:tcW w:w="1334" w:type="dxa"/>
          </w:tcPr>
          <w:p w14:paraId="0861682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53,3</w:t>
            </w:r>
          </w:p>
        </w:tc>
        <w:tc>
          <w:tcPr>
            <w:tcW w:w="1276" w:type="dxa"/>
          </w:tcPr>
          <w:p w14:paraId="1BE43D9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275" w:type="dxa"/>
          </w:tcPr>
          <w:p w14:paraId="1E1B728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188,0</w:t>
            </w:r>
          </w:p>
        </w:tc>
      </w:tr>
      <w:tr w:rsidR="002B1C74" w:rsidRPr="002F2FDF" w14:paraId="3862EBDE" w14:textId="77777777">
        <w:trPr>
          <w:trHeight w:val="163"/>
        </w:trPr>
        <w:tc>
          <w:tcPr>
            <w:tcW w:w="586" w:type="dxa"/>
          </w:tcPr>
          <w:p w14:paraId="68C1255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1906</w:t>
            </w:r>
          </w:p>
        </w:tc>
        <w:tc>
          <w:tcPr>
            <w:tcW w:w="1181" w:type="dxa"/>
          </w:tcPr>
          <w:p w14:paraId="54C2F91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73,3</w:t>
            </w:r>
          </w:p>
        </w:tc>
        <w:tc>
          <w:tcPr>
            <w:tcW w:w="1152" w:type="dxa"/>
          </w:tcPr>
          <w:p w14:paraId="56D9AEF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43,0</w:t>
            </w:r>
          </w:p>
        </w:tc>
        <w:tc>
          <w:tcPr>
            <w:tcW w:w="1334" w:type="dxa"/>
          </w:tcPr>
          <w:p w14:paraId="7819C62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53,8</w:t>
            </w:r>
          </w:p>
        </w:tc>
        <w:tc>
          <w:tcPr>
            <w:tcW w:w="1276" w:type="dxa"/>
          </w:tcPr>
          <w:p w14:paraId="0FD43F4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275" w:type="dxa"/>
          </w:tcPr>
          <w:p w14:paraId="5C8D6B8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170,0</w:t>
            </w:r>
          </w:p>
        </w:tc>
      </w:tr>
      <w:tr w:rsidR="002B1C74" w:rsidRPr="002F2FDF" w14:paraId="38566044" w14:textId="77777777">
        <w:trPr>
          <w:trHeight w:val="173"/>
        </w:trPr>
        <w:tc>
          <w:tcPr>
            <w:tcW w:w="586" w:type="dxa"/>
          </w:tcPr>
          <w:p w14:paraId="45FF649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1907</w:t>
            </w:r>
          </w:p>
        </w:tc>
        <w:tc>
          <w:tcPr>
            <w:tcW w:w="1181" w:type="dxa"/>
          </w:tcPr>
          <w:p w14:paraId="71C3A10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56,0</w:t>
            </w:r>
          </w:p>
        </w:tc>
        <w:tc>
          <w:tcPr>
            <w:tcW w:w="1152" w:type="dxa"/>
          </w:tcPr>
          <w:p w14:paraId="7905095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37,4</w:t>
            </w:r>
          </w:p>
        </w:tc>
        <w:tc>
          <w:tcPr>
            <w:tcW w:w="1334" w:type="dxa"/>
          </w:tcPr>
          <w:p w14:paraId="514353C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37,3</w:t>
            </w:r>
          </w:p>
        </w:tc>
        <w:tc>
          <w:tcPr>
            <w:tcW w:w="1276" w:type="dxa"/>
          </w:tcPr>
          <w:p w14:paraId="1EF29E3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275" w:type="dxa"/>
          </w:tcPr>
          <w:p w14:paraId="5CAB728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130,6</w:t>
            </w:r>
          </w:p>
        </w:tc>
      </w:tr>
      <w:tr w:rsidR="002B1C74" w:rsidRPr="002F2FDF" w14:paraId="764B2CA3" w14:textId="77777777">
        <w:trPr>
          <w:trHeight w:val="173"/>
        </w:trPr>
        <w:tc>
          <w:tcPr>
            <w:tcW w:w="586" w:type="dxa"/>
          </w:tcPr>
          <w:p w14:paraId="64B7F0C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1908</w:t>
            </w:r>
          </w:p>
        </w:tc>
        <w:tc>
          <w:tcPr>
            <w:tcW w:w="1181" w:type="dxa"/>
          </w:tcPr>
          <w:p w14:paraId="7F9C3D6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53,9</w:t>
            </w:r>
          </w:p>
        </w:tc>
        <w:tc>
          <w:tcPr>
            <w:tcW w:w="1152" w:type="dxa"/>
          </w:tcPr>
          <w:p w14:paraId="27EDA7F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38,4</w:t>
            </w:r>
          </w:p>
        </w:tc>
        <w:tc>
          <w:tcPr>
            <w:tcW w:w="1334" w:type="dxa"/>
          </w:tcPr>
          <w:p w14:paraId="6350692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41,3</w:t>
            </w:r>
          </w:p>
        </w:tc>
        <w:tc>
          <w:tcPr>
            <w:tcW w:w="1276" w:type="dxa"/>
          </w:tcPr>
          <w:p w14:paraId="1EDE8AC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275" w:type="dxa"/>
          </w:tcPr>
          <w:p w14:paraId="5A7FDCE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133,5</w:t>
            </w:r>
          </w:p>
        </w:tc>
      </w:tr>
      <w:tr w:rsidR="002B1C74" w:rsidRPr="002F2FDF" w14:paraId="55638B12" w14:textId="77777777">
        <w:trPr>
          <w:trHeight w:val="163"/>
        </w:trPr>
        <w:tc>
          <w:tcPr>
            <w:tcW w:w="586" w:type="dxa"/>
          </w:tcPr>
          <w:p w14:paraId="3CFC606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1909</w:t>
            </w:r>
          </w:p>
        </w:tc>
        <w:tc>
          <w:tcPr>
            <w:tcW w:w="1181" w:type="dxa"/>
          </w:tcPr>
          <w:p w14:paraId="390C0F23"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73,5</w:t>
            </w:r>
          </w:p>
        </w:tc>
        <w:tc>
          <w:tcPr>
            <w:tcW w:w="1152" w:type="dxa"/>
          </w:tcPr>
          <w:p w14:paraId="1EAD8DE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47,4</w:t>
            </w:r>
          </w:p>
        </w:tc>
        <w:tc>
          <w:tcPr>
            <w:tcW w:w="1334" w:type="dxa"/>
          </w:tcPr>
          <w:p w14:paraId="0328B44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45,0</w:t>
            </w:r>
          </w:p>
        </w:tc>
        <w:tc>
          <w:tcPr>
            <w:tcW w:w="1276" w:type="dxa"/>
          </w:tcPr>
          <w:p w14:paraId="4B97C7F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275" w:type="dxa"/>
          </w:tcPr>
          <w:p w14:paraId="18DF9BA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165,9</w:t>
            </w:r>
          </w:p>
        </w:tc>
      </w:tr>
      <w:tr w:rsidR="002B1C74" w:rsidRPr="002F2FDF" w14:paraId="4B6EAB66" w14:textId="77777777">
        <w:trPr>
          <w:trHeight w:val="163"/>
        </w:trPr>
        <w:tc>
          <w:tcPr>
            <w:tcW w:w="586" w:type="dxa"/>
          </w:tcPr>
          <w:p w14:paraId="66DB01D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1910</w:t>
            </w:r>
          </w:p>
        </w:tc>
        <w:tc>
          <w:tcPr>
            <w:tcW w:w="1181" w:type="dxa"/>
          </w:tcPr>
          <w:p w14:paraId="7AE34A5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70,3</w:t>
            </w:r>
          </w:p>
        </w:tc>
        <w:tc>
          <w:tcPr>
            <w:tcW w:w="1152" w:type="dxa"/>
          </w:tcPr>
          <w:p w14:paraId="7CA790E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47,3</w:t>
            </w:r>
          </w:p>
        </w:tc>
        <w:tc>
          <w:tcPr>
            <w:tcW w:w="1334" w:type="dxa"/>
          </w:tcPr>
          <w:p w14:paraId="436F72E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38,8</w:t>
            </w:r>
          </w:p>
        </w:tc>
        <w:tc>
          <w:tcPr>
            <w:tcW w:w="1276" w:type="dxa"/>
          </w:tcPr>
          <w:p w14:paraId="259787D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275" w:type="dxa"/>
          </w:tcPr>
          <w:p w14:paraId="41433C5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156,4</w:t>
            </w:r>
          </w:p>
        </w:tc>
      </w:tr>
      <w:tr w:rsidR="002B1C74" w:rsidRPr="002F2FDF" w14:paraId="5E7B1D47" w14:textId="77777777">
        <w:trPr>
          <w:trHeight w:val="173"/>
        </w:trPr>
        <w:tc>
          <w:tcPr>
            <w:tcW w:w="586" w:type="dxa"/>
          </w:tcPr>
          <w:p w14:paraId="6FB2411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1914</w:t>
            </w:r>
          </w:p>
        </w:tc>
        <w:tc>
          <w:tcPr>
            <w:tcW w:w="1181" w:type="dxa"/>
          </w:tcPr>
          <w:p w14:paraId="2477214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106,6</w:t>
            </w:r>
          </w:p>
        </w:tc>
        <w:tc>
          <w:tcPr>
            <w:tcW w:w="1152" w:type="dxa"/>
          </w:tcPr>
          <w:p w14:paraId="0944CDF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82,4</w:t>
            </w:r>
          </w:p>
        </w:tc>
        <w:tc>
          <w:tcPr>
            <w:tcW w:w="1334" w:type="dxa"/>
          </w:tcPr>
          <w:p w14:paraId="2F9DDAB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80,9</w:t>
            </w:r>
          </w:p>
        </w:tc>
        <w:tc>
          <w:tcPr>
            <w:tcW w:w="1276" w:type="dxa"/>
          </w:tcPr>
          <w:p w14:paraId="55DC667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275" w:type="dxa"/>
          </w:tcPr>
          <w:p w14:paraId="0354923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269,9</w:t>
            </w:r>
          </w:p>
        </w:tc>
      </w:tr>
      <w:tr w:rsidR="002B1C74" w:rsidRPr="002F2FDF" w14:paraId="2985E7D9" w14:textId="77777777">
        <w:trPr>
          <w:trHeight w:val="173"/>
        </w:trPr>
        <w:tc>
          <w:tcPr>
            <w:tcW w:w="586" w:type="dxa"/>
          </w:tcPr>
          <w:p w14:paraId="341F14F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1915</w:t>
            </w:r>
          </w:p>
        </w:tc>
        <w:tc>
          <w:tcPr>
            <w:tcW w:w="1181" w:type="dxa"/>
          </w:tcPr>
          <w:p w14:paraId="277364D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179,9</w:t>
            </w:r>
          </w:p>
        </w:tc>
        <w:tc>
          <w:tcPr>
            <w:tcW w:w="1152" w:type="dxa"/>
          </w:tcPr>
          <w:p w14:paraId="10EFD57C"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162,0</w:t>
            </w:r>
          </w:p>
        </w:tc>
        <w:tc>
          <w:tcPr>
            <w:tcW w:w="1334" w:type="dxa"/>
          </w:tcPr>
          <w:p w14:paraId="5BDDBFED"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171,2</w:t>
            </w:r>
          </w:p>
        </w:tc>
        <w:tc>
          <w:tcPr>
            <w:tcW w:w="1276" w:type="dxa"/>
          </w:tcPr>
          <w:p w14:paraId="6518C4A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275" w:type="dxa"/>
          </w:tcPr>
          <w:p w14:paraId="023E426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513,2</w:t>
            </w:r>
          </w:p>
        </w:tc>
      </w:tr>
      <w:tr w:rsidR="002B1C74" w:rsidRPr="002F2FDF" w14:paraId="67BE3EEC" w14:textId="77777777">
        <w:trPr>
          <w:trHeight w:val="173"/>
        </w:trPr>
        <w:tc>
          <w:tcPr>
            <w:tcW w:w="586" w:type="dxa"/>
          </w:tcPr>
          <w:p w14:paraId="111C2A6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1916</w:t>
            </w:r>
          </w:p>
        </w:tc>
        <w:tc>
          <w:tcPr>
            <w:tcW w:w="1181" w:type="dxa"/>
          </w:tcPr>
          <w:p w14:paraId="00948A1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232,3</w:t>
            </w:r>
          </w:p>
        </w:tc>
        <w:tc>
          <w:tcPr>
            <w:tcW w:w="1152" w:type="dxa"/>
          </w:tcPr>
          <w:p w14:paraId="5D825CC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296,7</w:t>
            </w:r>
          </w:p>
        </w:tc>
        <w:tc>
          <w:tcPr>
            <w:tcW w:w="1334" w:type="dxa"/>
          </w:tcPr>
          <w:p w14:paraId="6D2F63D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299,8</w:t>
            </w:r>
          </w:p>
        </w:tc>
        <w:tc>
          <w:tcPr>
            <w:tcW w:w="1276" w:type="dxa"/>
          </w:tcPr>
          <w:p w14:paraId="4E1610F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w:t>
            </w:r>
          </w:p>
        </w:tc>
        <w:tc>
          <w:tcPr>
            <w:tcW w:w="1275" w:type="dxa"/>
          </w:tcPr>
          <w:p w14:paraId="3F958FE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738,8</w:t>
            </w:r>
          </w:p>
        </w:tc>
      </w:tr>
      <w:tr w:rsidR="002B1C74" w:rsidRPr="002F2FDF" w14:paraId="0BAEA54F" w14:textId="77777777">
        <w:trPr>
          <w:trHeight w:val="365"/>
        </w:trPr>
        <w:tc>
          <w:tcPr>
            <w:tcW w:w="586" w:type="dxa"/>
            <w:tcBorders>
              <w:bottom w:val="single" w:sz="12" w:space="0" w:color="auto"/>
            </w:tcBorders>
          </w:tcPr>
          <w:p w14:paraId="0880D1CF"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w:t>
            </w:r>
          </w:p>
        </w:tc>
        <w:tc>
          <w:tcPr>
            <w:tcW w:w="1181" w:type="dxa"/>
            <w:tcBorders>
              <w:bottom w:val="single" w:sz="12" w:space="0" w:color="auto"/>
            </w:tcBorders>
          </w:tcPr>
          <w:p w14:paraId="50FD9F2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133,7</w:t>
            </w:r>
          </w:p>
        </w:tc>
        <w:tc>
          <w:tcPr>
            <w:tcW w:w="1152" w:type="dxa"/>
            <w:tcBorders>
              <w:bottom w:val="single" w:sz="12" w:space="0" w:color="auto"/>
            </w:tcBorders>
          </w:tcPr>
          <w:p w14:paraId="2CCF9AC6"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209,8</w:t>
            </w:r>
          </w:p>
        </w:tc>
        <w:tc>
          <w:tcPr>
            <w:tcW w:w="1334" w:type="dxa"/>
            <w:tcBorders>
              <w:bottom w:val="single" w:sz="12" w:space="0" w:color="auto"/>
            </w:tcBorders>
          </w:tcPr>
          <w:p w14:paraId="33715E3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185,5</w:t>
            </w:r>
          </w:p>
        </w:tc>
        <w:tc>
          <w:tcPr>
            <w:tcW w:w="1276" w:type="dxa"/>
            <w:tcBorders>
              <w:bottom w:val="single" w:sz="12" w:space="0" w:color="auto"/>
            </w:tcBorders>
          </w:tcPr>
          <w:p w14:paraId="1F385E5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41,7</w:t>
            </w:r>
          </w:p>
        </w:tc>
        <w:tc>
          <w:tcPr>
            <w:tcW w:w="1275" w:type="dxa"/>
            <w:tcBorders>
              <w:bottom w:val="single" w:sz="12" w:space="0" w:color="auto"/>
            </w:tcBorders>
          </w:tcPr>
          <w:p w14:paraId="5087FAD5"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576,8</w:t>
            </w:r>
          </w:p>
        </w:tc>
      </w:tr>
    </w:tbl>
    <w:p w14:paraId="460878B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(5484).</w:t>
      </w:r>
    </w:p>
    <w:p w14:paraId="4E0B6349"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ECD5D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на заводе “Русский Рено” в Рыбинске французы предлагали начать выпуск в России оригинальных боевых машин на гусенич</w:t>
      </w:r>
      <w:r w:rsidRPr="002F2FDF">
        <w:rPr>
          <w:rFonts w:ascii="Times New Roman" w:hAnsi="Times New Roman" w:cs="Times New Roman"/>
          <w:color w:val="000000" w:themeColor="text1"/>
          <w:kern w:val="2"/>
          <w:sz w:val="16"/>
          <w:szCs w:val="16"/>
        </w:rPr>
        <w:softHyphen/>
        <w:t>ном шасси. В носовой части машин массой около 12 т рас</w:t>
      </w:r>
      <w:r w:rsidRPr="002F2FDF">
        <w:rPr>
          <w:rFonts w:ascii="Times New Roman" w:hAnsi="Times New Roman" w:cs="Times New Roman"/>
          <w:color w:val="000000" w:themeColor="text1"/>
          <w:kern w:val="2"/>
          <w:sz w:val="16"/>
          <w:szCs w:val="16"/>
        </w:rPr>
        <w:softHyphen/>
        <w:t>полагался пост управления и пулеметчик, вооруженный 8-мм пулеметом “Гочкис”, за которыми был установлен трак</w:t>
      </w:r>
      <w:r w:rsidRPr="002F2FDF">
        <w:rPr>
          <w:rFonts w:ascii="Times New Roman" w:hAnsi="Times New Roman" w:cs="Times New Roman"/>
          <w:color w:val="000000" w:themeColor="text1"/>
          <w:kern w:val="2"/>
          <w:sz w:val="16"/>
          <w:szCs w:val="16"/>
        </w:rPr>
        <w:softHyphen/>
        <w:t>торный газолиновый двигатель с системами питания и ох</w:t>
      </w:r>
      <w:r w:rsidRPr="002F2FDF">
        <w:rPr>
          <w:rFonts w:ascii="Times New Roman" w:hAnsi="Times New Roman" w:cs="Times New Roman"/>
          <w:color w:val="000000" w:themeColor="text1"/>
          <w:kern w:val="2"/>
          <w:sz w:val="16"/>
          <w:szCs w:val="16"/>
        </w:rPr>
        <w:softHyphen/>
        <w:t>лаждения, а также с орудием калибра 75 мм в кормовой час</w:t>
      </w:r>
      <w:r w:rsidRPr="002F2FDF">
        <w:rPr>
          <w:rFonts w:ascii="Times New Roman" w:hAnsi="Times New Roman" w:cs="Times New Roman"/>
          <w:color w:val="000000" w:themeColor="text1"/>
          <w:kern w:val="2"/>
          <w:sz w:val="16"/>
          <w:szCs w:val="16"/>
        </w:rPr>
        <w:softHyphen/>
        <w:t>ти. Предполагалось, что в атаку эти машины будут идти впе</w:t>
      </w:r>
      <w:r w:rsidRPr="002F2FDF">
        <w:rPr>
          <w:rFonts w:ascii="Times New Roman" w:hAnsi="Times New Roman" w:cs="Times New Roman"/>
          <w:color w:val="000000" w:themeColor="text1"/>
          <w:kern w:val="2"/>
          <w:sz w:val="16"/>
          <w:szCs w:val="16"/>
        </w:rPr>
        <w:softHyphen/>
        <w:t>реди пехоты, прикрывая ее своей броней и поддерживая ог</w:t>
      </w:r>
      <w:r w:rsidRPr="002F2FDF">
        <w:rPr>
          <w:rFonts w:ascii="Times New Roman" w:hAnsi="Times New Roman" w:cs="Times New Roman"/>
          <w:color w:val="000000" w:themeColor="text1"/>
          <w:kern w:val="2"/>
          <w:sz w:val="16"/>
          <w:szCs w:val="16"/>
        </w:rPr>
        <w:softHyphen/>
        <w:t>нем пулеметов, а в случае встречи с огневыми точками или заграждениями машины должны были развернуться и унич</w:t>
      </w:r>
      <w:r w:rsidRPr="002F2FDF">
        <w:rPr>
          <w:rFonts w:ascii="Times New Roman" w:hAnsi="Times New Roman" w:cs="Times New Roman"/>
          <w:color w:val="000000" w:themeColor="text1"/>
          <w:kern w:val="2"/>
          <w:sz w:val="16"/>
          <w:szCs w:val="16"/>
        </w:rPr>
        <w:softHyphen/>
        <w:t>тожить препятствия огнем из орудия прямой наводкой, по</w:t>
      </w:r>
      <w:r w:rsidRPr="002F2FDF">
        <w:rPr>
          <w:rFonts w:ascii="Times New Roman" w:hAnsi="Times New Roman" w:cs="Times New Roman"/>
          <w:color w:val="000000" w:themeColor="text1"/>
          <w:kern w:val="2"/>
          <w:sz w:val="16"/>
          <w:szCs w:val="16"/>
        </w:rPr>
        <w:softHyphen/>
        <w:t>сле чего продолжать сопровождение пехоты. Выпуск этой машины, известной под названием “танк Рыбинского завода”, планировалось развернуть в 1918 г. Но уже летом 1917 г. стало понятно, что планам этим не суждено сбыться. Начавшийся развал в стране перечеркнул все пер</w:t>
      </w:r>
      <w:r w:rsidRPr="002F2FDF">
        <w:rPr>
          <w:rFonts w:ascii="Times New Roman" w:hAnsi="Times New Roman" w:cs="Times New Roman"/>
          <w:color w:val="000000" w:themeColor="text1"/>
          <w:kern w:val="2"/>
          <w:sz w:val="16"/>
          <w:szCs w:val="16"/>
        </w:rPr>
        <w:softHyphen/>
        <w:t>спективные планы создания новой боевой техники (11417).</w:t>
      </w:r>
    </w:p>
    <w:p w14:paraId="09D374C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343643" w14:textId="5F9F9506" w:rsidR="003431D2" w:rsidRPr="002F2FDF" w:rsidRDefault="00807D26"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w:t>
      </w:r>
      <w:r w:rsidR="003431D2" w:rsidRPr="002F2FDF">
        <w:rPr>
          <w:rFonts w:ascii="Times New Roman" w:hAnsi="Times New Roman" w:cs="Times New Roman"/>
          <w:color w:val="000000" w:themeColor="text1"/>
          <w:kern w:val="2"/>
          <w:sz w:val="16"/>
          <w:szCs w:val="16"/>
        </w:rPr>
        <w:t xml:space="preserve"> 1917 году</w:t>
      </w:r>
      <w:r w:rsidRPr="002F2FDF">
        <w:rPr>
          <w:rFonts w:ascii="Times New Roman" w:hAnsi="Times New Roman" w:cs="Times New Roman"/>
          <w:color w:val="000000" w:themeColor="text1"/>
          <w:kern w:val="2"/>
          <w:sz w:val="16"/>
          <w:szCs w:val="16"/>
        </w:rPr>
        <w:t xml:space="preserve"> завод РОБТиТ построил свою последнюю радиостанцию</w:t>
      </w:r>
      <w:r w:rsidR="003431D2" w:rsidRPr="002F2FDF">
        <w:rPr>
          <w:rFonts w:ascii="Times New Roman" w:hAnsi="Times New Roman" w:cs="Times New Roman"/>
          <w:color w:val="000000" w:themeColor="text1"/>
          <w:kern w:val="2"/>
          <w:sz w:val="16"/>
          <w:szCs w:val="16"/>
        </w:rPr>
        <w:t>. Она вступила в строй перед самой революцией и из</w:t>
      </w:r>
      <w:r w:rsidR="003431D2" w:rsidRPr="002F2FDF">
        <w:rPr>
          <w:rFonts w:ascii="Times New Roman" w:hAnsi="Times New Roman" w:cs="Times New Roman"/>
          <w:color w:val="000000" w:themeColor="text1"/>
          <w:kern w:val="2"/>
          <w:sz w:val="16"/>
          <w:szCs w:val="16"/>
        </w:rPr>
        <w:softHyphen/>
        <w:t>вестна своим участием в событиях 1917 года. К её созданию пря</w:t>
      </w:r>
      <w:r w:rsidR="003431D2" w:rsidRPr="002F2FDF">
        <w:rPr>
          <w:rFonts w:ascii="Times New Roman" w:hAnsi="Times New Roman" w:cs="Times New Roman"/>
          <w:color w:val="000000" w:themeColor="text1"/>
          <w:kern w:val="2"/>
          <w:sz w:val="16"/>
          <w:szCs w:val="16"/>
        </w:rPr>
        <w:softHyphen/>
        <w:t>мое отношение имел начальник Минного отдела Главного уп</w:t>
      </w:r>
      <w:r w:rsidR="003431D2" w:rsidRPr="002F2FDF">
        <w:rPr>
          <w:rFonts w:ascii="Times New Roman" w:hAnsi="Times New Roman" w:cs="Times New Roman"/>
          <w:color w:val="000000" w:themeColor="text1"/>
          <w:kern w:val="2"/>
          <w:sz w:val="16"/>
          <w:szCs w:val="16"/>
        </w:rPr>
        <w:softHyphen/>
        <w:t>равления кораблестроения генерал-майор А. Реммерт. Он опре</w:t>
      </w:r>
      <w:r w:rsidR="003431D2" w:rsidRPr="002F2FDF">
        <w:rPr>
          <w:rFonts w:ascii="Times New Roman" w:hAnsi="Times New Roman" w:cs="Times New Roman"/>
          <w:color w:val="000000" w:themeColor="text1"/>
          <w:kern w:val="2"/>
          <w:sz w:val="16"/>
          <w:szCs w:val="16"/>
        </w:rPr>
        <w:softHyphen/>
        <w:t>делил место для радиостанции на острове, принадлежащем мор</w:t>
      </w:r>
      <w:r w:rsidR="003431D2" w:rsidRPr="002F2FDF">
        <w:rPr>
          <w:rFonts w:ascii="Times New Roman" w:hAnsi="Times New Roman" w:cs="Times New Roman"/>
          <w:color w:val="000000" w:themeColor="text1"/>
          <w:kern w:val="2"/>
          <w:sz w:val="16"/>
          <w:szCs w:val="16"/>
        </w:rPr>
        <w:softHyphen/>
        <w:t>скому ведомству и с петровских времен называемом "Новая Гол</w:t>
      </w:r>
      <w:r w:rsidR="003431D2" w:rsidRPr="002F2FDF">
        <w:rPr>
          <w:rFonts w:ascii="Times New Roman" w:hAnsi="Times New Roman" w:cs="Times New Roman"/>
          <w:color w:val="000000" w:themeColor="text1"/>
          <w:kern w:val="2"/>
          <w:sz w:val="16"/>
          <w:szCs w:val="16"/>
        </w:rPr>
        <w:softHyphen/>
        <w:t>ландия" .</w:t>
      </w:r>
    </w:p>
    <w:p w14:paraId="3E1269C1"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Её основные характеристики: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3119"/>
      </w:tblGrid>
      <w:tr w:rsidR="002B1C74" w:rsidRPr="002F2FDF" w14:paraId="42F99466" w14:textId="77777777">
        <w:tc>
          <w:tcPr>
            <w:tcW w:w="2943" w:type="dxa"/>
            <w:tcBorders>
              <w:top w:val="single" w:sz="12" w:space="0" w:color="auto"/>
            </w:tcBorders>
            <w:shd w:val="clear" w:color="auto" w:fill="FFFFFF"/>
          </w:tcPr>
          <w:p w14:paraId="636FDA8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мощность передатчика</w:t>
            </w:r>
          </w:p>
        </w:tc>
        <w:tc>
          <w:tcPr>
            <w:tcW w:w="3119" w:type="dxa"/>
            <w:tcBorders>
              <w:top w:val="single" w:sz="12" w:space="0" w:color="auto"/>
            </w:tcBorders>
            <w:shd w:val="clear" w:color="auto" w:fill="FFFFFF"/>
          </w:tcPr>
          <w:p w14:paraId="551FE0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 кВт;</w:t>
            </w:r>
          </w:p>
        </w:tc>
      </w:tr>
      <w:tr w:rsidR="002B1C74" w:rsidRPr="002F2FDF" w14:paraId="52E06C62" w14:textId="77777777">
        <w:tc>
          <w:tcPr>
            <w:tcW w:w="2943" w:type="dxa"/>
            <w:tcBorders>
              <w:bottom w:val="single" w:sz="12" w:space="0" w:color="auto"/>
            </w:tcBorders>
            <w:shd w:val="clear" w:color="auto" w:fill="FFFFFF"/>
          </w:tcPr>
          <w:p w14:paraId="7BBED5F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длина волны</w:t>
            </w:r>
          </w:p>
        </w:tc>
        <w:tc>
          <w:tcPr>
            <w:tcW w:w="3119" w:type="dxa"/>
            <w:tcBorders>
              <w:bottom w:val="single" w:sz="12" w:space="0" w:color="auto"/>
            </w:tcBorders>
            <w:shd w:val="clear" w:color="auto" w:fill="FFFFFF"/>
          </w:tcPr>
          <w:p w14:paraId="63230E1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1800-3000 м.;</w:t>
            </w:r>
          </w:p>
        </w:tc>
      </w:tr>
    </w:tbl>
    <w:p w14:paraId="06AAD84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уверенный прием круглые сутки депеш с радиостан</w:t>
      </w:r>
      <w:r w:rsidRPr="002F2FDF">
        <w:rPr>
          <w:rFonts w:ascii="Times New Roman" w:hAnsi="Times New Roman" w:cs="Times New Roman"/>
          <w:color w:val="000000" w:themeColor="text1"/>
          <w:kern w:val="2"/>
          <w:sz w:val="16"/>
          <w:szCs w:val="16"/>
        </w:rPr>
        <w:softHyphen/>
        <w:t>ций в Лионе, Карнарвоне и Николаеве; работа как обычным ключом Морзе, так и аппара</w:t>
      </w:r>
      <w:r w:rsidRPr="002F2FDF">
        <w:rPr>
          <w:rFonts w:ascii="Times New Roman" w:hAnsi="Times New Roman" w:cs="Times New Roman"/>
          <w:color w:val="000000" w:themeColor="text1"/>
          <w:kern w:val="2"/>
          <w:sz w:val="16"/>
          <w:szCs w:val="16"/>
        </w:rPr>
        <w:softHyphen/>
        <w:t>том Уинстона;</w:t>
      </w:r>
    </w:p>
    <w:p w14:paraId="6336D143" w14:textId="77777777" w:rsidR="003431D2" w:rsidRPr="002F2FDF" w:rsidRDefault="003431D2" w:rsidP="0083075A">
      <w:pPr>
        <w:shd w:val="clear" w:color="auto" w:fill="FFFFFF"/>
        <w:tabs>
          <w:tab w:val="left" w:pos="3274"/>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скорость телеграфирования до 70 слов в минуту.</w:t>
      </w:r>
    </w:p>
    <w:p w14:paraId="4906D227" w14:textId="77777777" w:rsidR="003431D2" w:rsidRPr="002F2FDF" w:rsidRDefault="003431D2" w:rsidP="0083075A">
      <w:pPr>
        <w:shd w:val="clear" w:color="auto" w:fill="FFFFFF"/>
        <w:tabs>
          <w:tab w:val="left" w:pos="3274"/>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Приёмная часть состояла из трёх приёмников: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3119"/>
      </w:tblGrid>
      <w:tr w:rsidR="002B1C74" w:rsidRPr="002F2FDF" w14:paraId="52855422" w14:textId="77777777">
        <w:tc>
          <w:tcPr>
            <w:tcW w:w="2943" w:type="dxa"/>
            <w:tcBorders>
              <w:top w:val="single" w:sz="12" w:space="0" w:color="auto"/>
            </w:tcBorders>
            <w:shd w:val="clear" w:color="auto" w:fill="FFFFFF"/>
          </w:tcPr>
          <w:p w14:paraId="25B901B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типа КСТ</w:t>
            </w:r>
          </w:p>
        </w:tc>
        <w:tc>
          <w:tcPr>
            <w:tcW w:w="3119" w:type="dxa"/>
            <w:tcBorders>
              <w:top w:val="single" w:sz="12" w:space="0" w:color="auto"/>
            </w:tcBorders>
            <w:shd w:val="clear" w:color="auto" w:fill="FFFFFF"/>
          </w:tcPr>
          <w:p w14:paraId="4583209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волн 180 - 5000 м;</w:t>
            </w:r>
          </w:p>
        </w:tc>
      </w:tr>
      <w:tr w:rsidR="002B1C74" w:rsidRPr="002F2FDF" w14:paraId="6C6697BE" w14:textId="77777777">
        <w:tc>
          <w:tcPr>
            <w:tcW w:w="2943" w:type="dxa"/>
            <w:shd w:val="clear" w:color="auto" w:fill="FFFFFF"/>
          </w:tcPr>
          <w:p w14:paraId="5FF987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типа ТФ</w:t>
            </w:r>
          </w:p>
        </w:tc>
        <w:tc>
          <w:tcPr>
            <w:tcW w:w="3119" w:type="dxa"/>
            <w:shd w:val="clear" w:color="auto" w:fill="FFFFFF"/>
          </w:tcPr>
          <w:p w14:paraId="02BECA6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волн 2000 - 6000 м;</w:t>
            </w:r>
          </w:p>
        </w:tc>
      </w:tr>
      <w:tr w:rsidR="002B1C74" w:rsidRPr="002F2FDF" w14:paraId="55BBA29D" w14:textId="77777777">
        <w:tc>
          <w:tcPr>
            <w:tcW w:w="2943" w:type="dxa"/>
            <w:tcBorders>
              <w:bottom w:val="single" w:sz="12" w:space="0" w:color="auto"/>
            </w:tcBorders>
            <w:shd w:val="clear" w:color="auto" w:fill="FFFFFF"/>
          </w:tcPr>
          <w:p w14:paraId="36D850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типа РГС-5</w:t>
            </w:r>
          </w:p>
        </w:tc>
        <w:tc>
          <w:tcPr>
            <w:tcW w:w="3119" w:type="dxa"/>
            <w:tcBorders>
              <w:bottom w:val="single" w:sz="12" w:space="0" w:color="auto"/>
            </w:tcBorders>
            <w:shd w:val="clear" w:color="auto" w:fill="FFFFFF"/>
          </w:tcPr>
          <w:p w14:paraId="2388E4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волн 2000 - 16000 м.</w:t>
            </w:r>
          </w:p>
        </w:tc>
      </w:tr>
    </w:tbl>
    <w:p w14:paraId="1A5A4238"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комплект станции входили приборы для записи на фо</w:t>
      </w:r>
      <w:r w:rsidRPr="002F2FDF">
        <w:rPr>
          <w:rFonts w:ascii="Times New Roman" w:hAnsi="Times New Roman" w:cs="Times New Roman"/>
          <w:color w:val="000000" w:themeColor="text1"/>
          <w:kern w:val="2"/>
          <w:sz w:val="16"/>
          <w:szCs w:val="16"/>
        </w:rPr>
        <w:softHyphen/>
        <w:t>нографические валики.</w:t>
      </w:r>
    </w:p>
    <w:p w14:paraId="13AB2860"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Отмечая заслуги РОБТиТ, начальник Минного отдела ГУК генерал-майор Реммерт 3.03.16 г. писал: </w:t>
      </w:r>
      <w:r w:rsidRPr="002F2FDF">
        <w:rPr>
          <w:rFonts w:ascii="Times New Roman" w:hAnsi="Times New Roman" w:cs="Times New Roman"/>
          <w:iCs/>
          <w:color w:val="000000" w:themeColor="text1"/>
          <w:kern w:val="2"/>
          <w:sz w:val="16"/>
          <w:szCs w:val="16"/>
        </w:rPr>
        <w:t>"...Общество имеет от Морского ведомства большие заказы и может рассчитывать и на дальнейшие, так как наш Минный отдел весьма ценит добросовес</w:t>
      </w:r>
      <w:r w:rsidRPr="002F2FDF">
        <w:rPr>
          <w:rFonts w:ascii="Times New Roman" w:hAnsi="Times New Roman" w:cs="Times New Roman"/>
          <w:iCs/>
          <w:color w:val="000000" w:themeColor="text1"/>
          <w:kern w:val="2"/>
          <w:sz w:val="16"/>
          <w:szCs w:val="16"/>
        </w:rPr>
        <w:softHyphen/>
        <w:t>тное отношение Общества, идущего во всем навстречу нарожда</w:t>
      </w:r>
      <w:r w:rsidRPr="002F2FDF">
        <w:rPr>
          <w:rFonts w:ascii="Times New Roman" w:hAnsi="Times New Roman" w:cs="Times New Roman"/>
          <w:iCs/>
          <w:color w:val="000000" w:themeColor="text1"/>
          <w:kern w:val="2"/>
          <w:sz w:val="16"/>
          <w:szCs w:val="16"/>
        </w:rPr>
        <w:softHyphen/>
        <w:t>ющимся новым потребностям" (11481).</w:t>
      </w:r>
    </w:p>
    <w:p w14:paraId="2838B00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C615D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владелец, С. Балакшин, добровольно передает завод народу.</w:t>
      </w:r>
    </w:p>
    <w:p w14:paraId="4740F1B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возобновил производство водяных турбин, принимает участие в реализации плана ГОЭЛРО. Освоен выпуск маслобоек. В 1924 г. завод перебазирован на новую площадку (на которой действовал и в 2000-е  г.). В начале 1930-х  г. начат выпуск запчастей для тракторов, в 1933 г. - оборудования для мелькомбинатов. С 1938 г. выпускались «трясуны Евстигнеева».</w:t>
      </w:r>
    </w:p>
    <w:p w14:paraId="218693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июле 1941 г. на площадку завода в Кургане был эвакуирован завод «Гомсельмаш», часть оборудования Люберецкого завода им. Ухтомского. Осенью 1941 г. принято решение о переводе завода на выпуск военной продукции, которая начала поступать на фронт с 10.1941 г. Объединенный завод получил название «Уралсельмаш». В соответствии с пост, правительства № 837-430сс от 3.06.1942 г. и приказом НКМВ № 250с от 7.07.1942 г. завод «Уралсельмаш» НКМВ переименован в завод № 707 в ведении 1ГУ (Завод № 707 НКМВ, НКСХМ, МСХМ, Завод «Уралсельмаш», Завод, ПО, ОАО «Кургансельмаш» /640006  г. Курган ул. Куйбышева, 144/).</w:t>
      </w:r>
    </w:p>
    <w:p w14:paraId="42CA57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годы войны производил минометное вооружение. Пост. ГКО № 1962сс от 4.07.1942 г. и приказом НКМВ № 237сс от 7.07.1942 г. заводу установлен план выпуска на 3-й квартал 1942 г. 82-мм минометов - 250 шт. 30.03.1944 г. вышло распоряжение ГКО № 5512 о срочной вывозке с завода готовых корпусов 82-мм мин из-за угрозы затопления.</w:t>
      </w:r>
    </w:p>
    <w:p w14:paraId="678254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После войны начат выпуск сельскохозяйственных машин: моторных и конных сенных прессов, конных молотилок, силосорезок. С 1953 г. начата реконструкция завода; освоен выпуск безбашенной электрической водоподъемной установки. В 1959 г. начато освоение нового направления: сдана в эксплуатацию 1-я очередь блока цехов экскаваторного производства, в 1961 г. - 2-я очередь, в 1970 г. - 3-я очередь. В середине 1960-х  г. завод стал специализироваться на выпуске машин для животноводства. В 1974 г. вступил в строй цех цветного литья под давлением № 2, новая котельная. В 1980-е  г. закуплено кузнечно-прессовое оборудование в ГДР, чехословацкая линия для сварки ванн охладителей молока. В 1984 г. введен в строй новый корпус цеха № 24 по выпуску резервуаров-охладителей молока и вакуумных насосов. В 1987 г. сдан в эксплуатацию цех кокильного литья № 3.</w:t>
      </w:r>
    </w:p>
    <w:p w14:paraId="0DE6C3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01.1946 г. завод передан в ведение НКСХМ, затем- МСХМ. 1.04.1950 г. из состава завода «Уралсельмаш» выделилось самостоятельное предприятие (далее - КЗКТ); оставшийся на прежней площадке завод переименован в «Кургансельмаш». В 1974 г. завод объединен с Сидоровским механическим заводом и образовано ПО «Кургансельмаш». В 1992 г. ПО «Кургансельмаш» преобразовано в ОАО.</w:t>
      </w:r>
    </w:p>
    <w:p w14:paraId="68E65A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Работы (2000-е): разработка и производство: машины для животноводства и молочной промышленности; резервуары-охладители для молока.</w:t>
      </w:r>
    </w:p>
    <w:p w14:paraId="683023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(1938 г.)- 817 чел., (ВОВ)- около 1000 чел., (03.1946 г.)- 3695 чел.</w:t>
      </w:r>
    </w:p>
    <w:p w14:paraId="19C796D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(1918 г.-)- Ф.Р. Вотяков, (1921 г.-)- А.Ф. Ледус, (1932 г.-)- Гаврюшин, (1941-06.1942 г.-&gt; А.К. Генкин, (1953 г.-)- А.П. Леонов, (1957 г.-)-  Г.М. Кетов, (1961 г.-)- Н.П. Строганов, (1966 г.-)- А.А. Минаков. Гендиректор (1978 г.-)- В.В. Пискунов, (1987 г.-)- Н.Д. Багрецов, (1994 г.-)- П.К. Гринюк.</w:t>
      </w:r>
    </w:p>
    <w:p w14:paraId="18F1B9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инженер (1957-66 г.)- А.А. Минаков, (1966 г.-)- В.В. Пискунов, (1978 г.-)- Л.А. Сентяков, (1987 г.-)- С.П. Аносов.</w:t>
      </w:r>
    </w:p>
    <w:p w14:paraId="0C5ABB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Производство:</w:t>
      </w:r>
      <w:r w:rsidRPr="002F2FDF">
        <w:rPr>
          <w:rFonts w:ascii="Times New Roman" w:hAnsi="Times New Roman" w:cs="Times New Roman"/>
          <w:color w:val="000000" w:themeColor="text1"/>
          <w:kern w:val="2"/>
          <w:sz w:val="16"/>
          <w:szCs w:val="16"/>
        </w:rPr>
        <w:t xml:space="preserve"> 82-мм минометы; корпуса 82-мм мин, детали для </w:t>
      </w:r>
      <w:r w:rsidRPr="002F2FDF">
        <w:rPr>
          <w:rFonts w:ascii="Times New Roman" w:hAnsi="Times New Roman" w:cs="Times New Roman"/>
          <w:color w:val="000000" w:themeColor="text1"/>
          <w:kern w:val="2"/>
          <w:sz w:val="16"/>
          <w:szCs w:val="16"/>
          <w:lang w:val="en-US"/>
        </w:rPr>
        <w:t>PC</w:t>
      </w:r>
      <w:r w:rsidRPr="002F2FDF">
        <w:rPr>
          <w:rFonts w:ascii="Times New Roman" w:hAnsi="Times New Roman" w:cs="Times New Roman"/>
          <w:color w:val="000000" w:themeColor="text1"/>
          <w:kern w:val="2"/>
          <w:sz w:val="16"/>
          <w:szCs w:val="16"/>
        </w:rPr>
        <w:t xml:space="preserve"> М-13 (-1942-44-); силосорезка РКС-12 (1940-е), сепаратор кукурузных семян ОКС-4 (1957-), свеклоуборочный комбайн СКН-2А (1961-), подборщик- копнитель сена ПКС-2М (1966-), универсальная доильная станция УДС-3 (1966-), УДС-ЗА, установки УДА-8. УДА-16; вакуумный насос для доильных установок УВА12000 (1960-е); охладители молока РПО-2,5, МКА-2000Л (1983-), минимолокозавод КВМ-2000 (1994-), маслобойка МБЦ-020 (1994-); экскаватор Э-155 (1959-); тракторный прицеп ЗПТС-12 (1965-), навесной снегоотвал для автомобилей «КамАЗ», «Урал» (1997-).</w:t>
      </w:r>
    </w:p>
    <w:p w14:paraId="0FCDC13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«Гомсельмаш» НКМВ /Белоруссия  г. Гомель/</w:t>
      </w:r>
    </w:p>
    <w:p w14:paraId="637B36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«Гомсельмаш» в 07.1941 г. эвакуирован в  г. Курган на площадку завода сельхозмашин.</w:t>
      </w:r>
    </w:p>
    <w:p w14:paraId="08DB11B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25.03.1944 г. вышло постановление ГКО № 5464 о неотложных мерах по восстановлению завода сельхозмашиностроения «Гомсельмаш» НКМВ.</w:t>
      </w:r>
    </w:p>
    <w:p w14:paraId="5743E6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1980-е  г. изготовлены металлоконструкции для ЗГРЛС в Чернобыле.</w:t>
      </w:r>
    </w:p>
    <w:p w14:paraId="62E27C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(03.1946 г.)- 1010 чел.</w:t>
      </w:r>
    </w:p>
    <w:p w14:paraId="25C3BC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Курганский завод колесных тягачей (КЗКТ) им. Д.М. Карбышева, ОАО «Русич-КЗКТ» /640003  г. Курган ул. Невежина, 3 тел. (3522) 44-00-71/</w:t>
      </w:r>
    </w:p>
    <w:p w14:paraId="6128D3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создан 1.04.1950 г. в результате разделения завода «Уралсельмаш». В конце 1950-х  г. завод реконструирован и перепрофилирован на выпуск колесных тягачей-танковозов. В 1960-е  г. освоено производство бронетранспортеров. В 1980-е  г. выпускал 1000 тягачей в год, более 1600 БТР.</w:t>
      </w:r>
    </w:p>
    <w:p w14:paraId="763523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1975 г. заводу присвоено имя Д.М. Карбышева.</w:t>
      </w:r>
    </w:p>
    <w:p w14:paraId="6F98977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1990 г. прекращен выпуск БТР, резко сокращено производство тягачей, освоен выпуск полуприцепов большой грузоподъемности. В 10.2005 г. завод обанкрочен, на заводе введено конкурсное производство.</w:t>
      </w:r>
    </w:p>
    <w:p w14:paraId="4BF898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(2002 г.)- 7000 чел.</w:t>
      </w:r>
    </w:p>
    <w:p w14:paraId="1AF054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Гендиректор (-2000-02 г.-)- Б.М. Черва, (10.2005 г.)- В. Бобин.</w:t>
      </w:r>
    </w:p>
    <w:p w14:paraId="10DADCD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Гл. конструктор (2000 г.)- М. Бухман.</w:t>
      </w:r>
    </w:p>
    <w:p w14:paraId="375682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Производство:</w:t>
      </w:r>
      <w:r w:rsidRPr="002F2FDF">
        <w:rPr>
          <w:rFonts w:ascii="Times New Roman" w:hAnsi="Times New Roman" w:cs="Times New Roman"/>
          <w:color w:val="000000" w:themeColor="text1"/>
          <w:kern w:val="2"/>
          <w:sz w:val="16"/>
          <w:szCs w:val="16"/>
        </w:rPr>
        <w:t xml:space="preserve"> БТР-60ЛБ (1960-е); аэродромные тягачи (2002), тягач КЗКТ-7428 с полуприцепом КЗКТ-9101 (2000), машина технической помощи МТП-А4 на шасси КЗКТ-74281 (2000), тягач КЗКТ-8014 (2000) (11982).</w:t>
      </w:r>
    </w:p>
    <w:p w14:paraId="0CDD937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6EC1D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1917 всего выпуском отравляющих веществ занималось уже 30 заводов, а в 1917 г. ожидалось подключение еще 11, включая обеих финских хлорных. Большинство из них представляли из себя скорее мастерские. Заводами я бы назвал Лисичанский и Славянский хлорные заводы, Ушкова, завод «Фосген» Шустова, Афанасьева, Беккель и Рабинека. </w:t>
      </w:r>
    </w:p>
    <w:p w14:paraId="530F93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Финские же хлорные заводы не стоит упоминать, поскольку оные не были закончены строительством.</w:t>
      </w:r>
    </w:p>
    <w:p w14:paraId="179D3DE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Надо заметить, что все выше перечисленные химические производства не были лишь военными. Дело в том, что те химические продукты, каковые они вырабатывали, широко использовались и в «культурно-промышленных целях». </w:t>
      </w:r>
    </w:p>
    <w:p w14:paraId="065C960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Так хлор был чрезвычайно ценен для производства хлорной извести, бумаги, хлорирования воды. Очень интересные результаты получил Наркозем при травле сусликов и саранчи в начале 20-х годов. Фосген использовался для изготовления уксусного ангидрида, для дезинсекции и для тех же сусликов. Хлорпикрин – для выделки красок. Есть информация об очень успешном применении синильной кислоты для борьбы с грызунами и окуривании плодовых деревьев.</w:t>
      </w:r>
    </w:p>
    <w:p w14:paraId="28F4F6A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Показательно, что по вопросу мирного использования удушающих газов летом 1920 г. состоялся грандиозный мегасрач между ВСНХ и ГАУ.</w:t>
      </w:r>
    </w:p>
    <w:p w14:paraId="58A6D8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Поэтому строительство химических заводов было выгодно само по себе и они не испытывали тех трудностей в мирное время, как чисто военные заводы.</w:t>
      </w:r>
    </w:p>
    <w:p w14:paraId="13D9226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Фосген производили:</w:t>
      </w:r>
    </w:p>
    <w:p w14:paraId="0C094D5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завод Шустова в Москве (120 пуд.),</w:t>
      </w:r>
    </w:p>
    <w:p w14:paraId="5BE7E0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Прав ли автор статьи в том, что производство фосгена было налажено на простаивающем водочном заводе?</w:t>
      </w:r>
    </w:p>
    <w:p w14:paraId="69AF051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То, что фосген производили на заводе около современной гостиницы Пекин это верно. Простаивал ли водочный завод, мне неведомо.</w:t>
      </w:r>
    </w:p>
    <w:p w14:paraId="7A63A35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 статья, кстати, очень хорошая. Я ее уже давно читал и использую (11783).</w:t>
      </w:r>
    </w:p>
    <w:p w14:paraId="5B7D31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DACB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по сведениям комиссии Н.Н. Покровского, занимавшейся пересмотром планов строительства, в перечень вновь сооружаемых заводов входили Пензенский трубочный, Воронежский завод взрывателей, Каменский артиллерийского ведомства, Онежский по производству серной кислоты, Изюмский оптических приборов, Ижорские авиационные мастерские, Александровский проволочный, Екатеринославский оружейный, Симбирский патронный и другие. Сведения о строящихся заводах имеются в делах Металлургического комитета. В ответах Комитету по его запросам представители разных ведомств сообщали о сооружении на средства ГАУ костромских лесотехнических заводов, целлюлозной фабрики в Лысьвенском горном округе, волочильной - на Алапаевских заводах и прочих. [РГИА. Ф. 31. Оп. 1. Д. 19. Л. 17-17об. См. также: РГВИА. Ф. 369. Оп. 1. Д. 428. Л. 196-196об. РГИА. Ф. 31. Оп. 1. Д. 15. Л. 1, 8 -12.]. В сентябре 1916 г. в Особое совещание по обороне поступила программа строительства пяти казенных заводов ГВТУ, среди которых были и оборонные предприятия, и заведения гражданского назначения. Предлагалась постройка механического, проволочно-кабельного, электротехнического, моторного и подрывного заводов [РГВИА. Ф. 369. Оп. 2. Д. 35. Л. 14-24об.]. Предложение ГВТУ в целом получило одобрение Особого совещания, хотя были высказаны замечания о чрезмерном увлечении казенном строительством, которое, во-первых, «может парализовать и без того мучительно слабую ...в России частную инициативу» (С.Ф. Ольденбург), и, во-вторых, приведет к той же неподготовленности частной промышленности к работе на оборону, как в 1914 г. (В.П. Литвинов-Фалинский) [Там же. Д. 8. Л. 39-41.; Там же. Д. 35. Л. 8-8об.]. Программа ГВТУ в течение 1917 г. так и не вышла из стадии обсуждения.</w:t>
      </w:r>
    </w:p>
    <w:p w14:paraId="20BAA88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Подобная ситуация была характерна для решения вопросов производства новых видов вооружения или более совершенных их типов. Обсуждение предложений, как правило, тонуло в бесконечных согласованиях, уточнениях и в самом Особом совещании по обороне, и в управлениях военного ведомства. Такая судьба постигла ходатайства о налаживании производства нового образца миномета на Ижорском заводе, о строительстве заводов по изготовлению пулеметов, о производстве опытной партии автоматического ружья Федорова [Там же. Оп. 1. Д. 175. Л. 143; Там же. Оп. 3. Д. 6. Л. 138-139; Маниковский А.А. Боевое снабжение русской армии в мировую войну. Изд.3.М.,1937. С.305.] (11863).</w:t>
      </w:r>
    </w:p>
    <w:p w14:paraId="33E0292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98469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течение 1917 г. Программа ГВТУ строительства пяти казенных заводов ГВТУ, среди которых были и оборонные предприятия, и заведения гражданского назначения. Предлагалась постройка механического, проволочно-кабельного, электротехнического, моторного и подрывного заводов [РГВИА. Ф. 369. Оп. 2. Д. 35. Л. 14-24об.] так и не вышла из стадии обсуждения. Предложение ГВТУ в целом получило одобрение Особого совещания, хотя были высказаны замечания о чрезмерном увлечении казенном строительством, которое, во-первых, «может парализовать и без того мучительно слабую ...в России частную инициативу» (С.Ф. Ольденбург), и, во-вторых, приведет к той же неподготовленности частной промышленности к работе на оборону, как в 1914 г. (В.П. Литвинов-Фалинский) [Там же. Д. 8. Л. 39-41.; Там же. Д. 35. Л. 8-8об.]. Подобная ситуация была характерна для решения вопросов производства новых видов вооружения или более совершенных их типов. Обсуждение предложений, как правило, тонуло в бесконечных согласованиях, уточнениях и в самом Особом совещании по обороне, и в управлениях военного ведомства. Такая судьба постигла ходатайства о налаживании производства нового образца миномета на Ижорском заводе, о строительстве заводов по изготовлению пулеметов, о производстве опытной партии автоматического ружья Федорова [Там же. Оп. 1. Д. 175. Л. 143; Там же. Оп. 3. Д. 6. Л. 138-139; Маниковский А.А. Боевое снабжение русской армии в мировую войну. Изд.3.М.,1937. С.305.] (11863).</w:t>
      </w:r>
    </w:p>
    <w:p w14:paraId="21D7EA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47BD4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завод (Московский ГС завод № 203 им.  Г.К. Орджоникидзе НКОП, НКАП, НКЭП, МПСС, МРТП, Московский телеграфный завод, 1-й Государственный электротехнический завод, Московский электротехнический завод «Мосэлектрик», Московский электромеханический завод им. С. Орджоникидзе НКОП, ГС Ордена Ленина и Ордена Трудового Красного Знамени завод им.  Г.К. Орджоникидзе (ЗиО), Сарапульский радиозавод (СРЗ) им. Серго Орджоникидзе, Г-4391, ОАО «СРЗ», ОАО «СРЗ-холдинг» /г. Москва;  г. Сарапул/ /Удмуртия 427960 (427900)  г. Сарапул ул. Гоголя, 40 тел. (31147) 30-250, -226/) национализирован и, по-видимому, остановлен. 17.02.1918 г. сюда эвакуирован Петроградский электротехнический завод (основанный в 1900 г.). Объединенный завод вступил в строй 16.04.1918 г., пост. Президиума ВСНХ от 17.02.1918 г. получил название 1-й Государственный электротехнический завод. Выпускал средства связи для армии, измерительные приборы, бытовые радиоприемники; кроме того, выпускались шкивы, муфты и другие механические изделия. С 1926 г. выпускал железнодорожную сигнализацию, радиоприемники; в 1926 г. завод был единственным производителем радиооборудования для авиации и бронетехники. Налажено производство сопротивлений: в 1934 г. - коксовых, с лакосажевьми пленками на фарфоровых трубках; в 1939 г.- термосопротивлений. С 1935 г. завод полностью перешел на производство военной продукции, выпускал авиационные и пехотные радиостанции.</w:t>
      </w:r>
    </w:p>
    <w:p w14:paraId="2234C9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1927 г. на заводе создана радиолаборатория, в 1929 г. - лаборатория непроволочных сопротивлений. По пр. № 00236 от 29.10.1937 г. на заводе организовано КБ для разработки нового полукомпаса.</w:t>
      </w:r>
    </w:p>
    <w:p w14:paraId="5E2B86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1932 г. разработан первый отечественный сетевой радиоприемник, в 1934 г. - батарейный приемник БИ-234.</w:t>
      </w:r>
    </w:p>
    <w:p w14:paraId="46E5738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1923(5) г. переименован в Московский электротехнический завод «Мосэлектрик». В 1931 г. присвоено имя С. Орджоникидзе, в 1932 г. - в Московский электромеханический завод им. С. Орджоникидзе. В 12.1936 г. передан в ведение НКОП, по пр. № Обсс от 30.12.1936 г. переименован в завод № 203 им. Орджоникидзе; приказом № 116 от 31.03.1937 г. утвержден Устав ГС завода № 203 им. Орджоникидзе 5ГУ НКОП. В 01.1939 г. завод № 203 5ГУ передан в ведение 7ГУ НКАП. Устав завода утвержден в 01.1939 г. По Указу Президиума ВС от 17.04.1940 г. и приказу НКАП/НКЭП № 105/5 от 23.04.1940 г. передан в ведение вновь образованного НКЭП.</w:t>
      </w:r>
    </w:p>
    <w:p w14:paraId="6B8D7B3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Приказом № 0020 от 3.02.1937 г. заводу предписано создать к 1.01.1938 г. мощности по производству радиостанций: самолетных - 12300 шт. в год; танковых - 4000 шт.; войсковых - 6230 шт. Приказом № 0063 от 27.03.1937 г. заводу выдано задание выпустить в 1937 г. 6000 приемников для автомобиля ЗиС. Приказом № 0207 от 17.09.1937 г. заводу задан план на 4-й квартал 1937 г.: конденсаторы постоянной емкости - 1253, сопротивления Каминского - 199. По пр. № 156с от 7/10.05.1938 г. заводу в 1938 г. выделено 6 станков.</w:t>
      </w:r>
    </w:p>
    <w:p w14:paraId="2DBD259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Перед войной являлся единственным в стране заводом по производству танковых и самолетных радиостанций (400 шт. в месяц).</w:t>
      </w:r>
    </w:p>
    <w:p w14:paraId="4C58745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10.11.1941 г. основная часть завода была эвакуирована в Сарапул, где завод продолжил действовать под прежним номером; часть - в Горький; часть завода, вероятно, эвакуирована в Томск (где образован завод № 625).</w:t>
      </w:r>
    </w:p>
    <w:p w14:paraId="7874F1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Небольшая часть завода, в т.ч. конструкторский коллектив Е.Н. Геништы, осталась в Москве. На ее базе организованы мастерские по ремонту войсковой радиоаппаратуры. В 1942 г. они преобразованы в завод № 528 НКЭП.</w:t>
      </w:r>
    </w:p>
    <w:p w14:paraId="395F7E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годы войны в Сарапуле продолжено производство танковых и самолетных радиостанций, радиополукомпасов.</w:t>
      </w:r>
    </w:p>
    <w:p w14:paraId="1F79580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приказу № 17 от 27.01.1946 г. завод, наряду с выпуском радиоаппратуры для армии, начал освоение гражданской продукции. При заводе организовано КБ, в котором разрабатывалась бытовая радиоаппаратура.</w:t>
      </w:r>
    </w:p>
    <w:p w14:paraId="0D31B9F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Назывался ГС Завод им.  Г.К. Орджоникидзе (ЗиО), в 1952 г.- в ведении МПСС, в 1953 г.- в МРШ, в 1963 г.- в ведении Западно-Уральского СНХ. Имел наименование «п/я Г-4391».</w:t>
      </w:r>
    </w:p>
    <w:p w14:paraId="47B700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1992 г. предприятие акционировано и преобразовано в ОАО СРЗ. В начале 1990-х  г. выпуск радиотехники был практически прекращен, лишь в конце 1998 г. вновь начат выпуск автомагнитол. В 1998 г. проведена реструктуризация производства; предприятие преобразовано в ОАО «Сарапульский радиозавод-холдинг» с выделением дочерних предприятий: ОАО СРЗ (выпуск специзделий), ОАО «СРЗ-Микрон» (инструментальное производство), ОАО «СРЗ-ЭМУ» (водотеплоэнергоснабжение).</w:t>
      </w:r>
    </w:p>
    <w:p w14:paraId="528916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Производство (2005 г.): комплексы связи для бронетехники; изделия радиотелефонии, средства коммуникации и связи, устройства мультиплексной системы электрооборудования автомобилей, электронные устройства для станкостроения, медицинская техника.</w:t>
      </w:r>
    </w:p>
    <w:p w14:paraId="70335C1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 заводе имелся Конструкторский отдел, который проводил НИОКР по созданию перспективной техники связи; КБ (2005 г.). Имелись производства: механообработка, сборочное, литье под давлением изделий из пластмасс и резины, изготовление печатных плат, гальванических и лакокрасочных покрытий, испытательная станция.</w:t>
      </w:r>
    </w:p>
    <w:p w14:paraId="7D61C18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Директор (-14.02.1937 г.)- М.В. Ясвойн, (11.02-7.09.1937 г.)- А.А. Нудэ, (7.09.1937-05.1938 г.-)- Б.П. Осипов, (1940 г.)- Воронцов, Д.И. Тимин, Б.С. Тамаркин, М.А. Иванов, (1960-75 г.)- И.А. Романенко, (1982-92 г.)- </w:t>
      </w:r>
      <w:r w:rsidRPr="002F2FDF">
        <w:rPr>
          <w:rFonts w:ascii="Times New Roman" w:hAnsi="Times New Roman" w:cs="Times New Roman"/>
          <w:color w:val="000000" w:themeColor="text1"/>
          <w:kern w:val="2"/>
          <w:sz w:val="16"/>
          <w:szCs w:val="16"/>
          <w:lang w:val="en-US"/>
        </w:rPr>
        <w:t>A</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M</w:t>
      </w:r>
      <w:r w:rsidRPr="002F2FDF">
        <w:rPr>
          <w:rFonts w:ascii="Times New Roman" w:hAnsi="Times New Roman" w:cs="Times New Roman"/>
          <w:color w:val="000000" w:themeColor="text1"/>
          <w:kern w:val="2"/>
          <w:sz w:val="16"/>
          <w:szCs w:val="16"/>
        </w:rPr>
        <w:t>. Полусмак. Гендиректор (1992-98 г.)- А.М. Полусмак.</w:t>
      </w:r>
    </w:p>
    <w:p w14:paraId="2A49BD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директора (3.10.1937 г.-)- А.А. Шамараков; по ПВО и охране (5.11.1938 г.-)- К.С. Князев. Зам. гендиректора: по науке- А.К. Андреев; по производству (-1992 г.)- А.А. Гадельгареев; по ВЭС- А.К. Андреев; по качеству- В.М. Козырев; (1990-е)- А.А. Гадельгареев, В.М. Козырев.</w:t>
      </w:r>
    </w:p>
    <w:p w14:paraId="6A06C50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инженер (-16.02.1937 г.)- В.Н. Котельников, (17.05.1937-17.12.1938 г.)- В.В. Альбицкий, (17.12.1938 г.-)- Н.В. Сафонов, (1958 г.)- А. Личнов, (-1976 г.)- И.Л. Лазебник, В.М. Козырев.</w:t>
      </w:r>
    </w:p>
    <w:p w14:paraId="20C222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 производства (1990-е)- А.А. Гадельгареев. Гл. технолог- И.Л. Лазебник. Гл. контролер- В.М. Козырев.</w:t>
      </w:r>
    </w:p>
    <w:p w14:paraId="52B035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управлений: экономики, учета и финансов- А.А. Гадельгареев; качеством- В.М. Козырев; научно- производственного комплекса спецтехники и радиотелефонии (-1998 г.)- А.А. Гадельгареев.</w:t>
      </w:r>
    </w:p>
    <w:p w14:paraId="4CEEF73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конструкторы: (1930-е)- Е.Н. Геништа (ЭЧС-2, БИ-234, СИ-235, РПК-2, РПК-10); направления: В.М. Лихарев; по САПР и АСУП (2006 г.)- А. Подкин.</w:t>
      </w:r>
    </w:p>
    <w:p w14:paraId="068E5F6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цехов: № 5 (-1938 г.)- Я.К. Кирштейн; А.А. Гадельгареев.</w:t>
      </w:r>
    </w:p>
    <w:p w14:paraId="1EEFDB2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Зам. начальника цеха: В.М. Козырев.</w:t>
      </w:r>
    </w:p>
    <w:p w14:paraId="72B61E2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отделов: НТО (1938 г.)- Н.Ф. Сафонов; ОТК- В.М. Козырев; А.К. Андреев, А.А. Гадельгареев, Е.М. Пластов.</w:t>
      </w:r>
    </w:p>
    <w:p w14:paraId="4FAEF1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лабораторий: И.Л. Лазебник; и.о.- А.К. Белопашцев.</w:t>
      </w:r>
    </w:p>
    <w:p w14:paraId="057155E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секторов: А.К. Андреев, В.М. Лихарев.</w:t>
      </w:r>
    </w:p>
    <w:p w14:paraId="67F8DD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бюро: КТБ пресс-форм и форм литья- А.А. Гадельгареев; (2007 г.)- В.М. Лихарев.</w:t>
      </w:r>
    </w:p>
    <w:p w14:paraId="515650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Руководители групп: автоматов- А.К. Белопашцев; В.М. Лихарев.</w:t>
      </w:r>
    </w:p>
    <w:p w14:paraId="776A090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Производство: радиостанции: авиационные РСИ (-1935-36-), РСИА (1937), РСР, РСРМ (1937), РРД (радиорекорд дальности, 1930-е), «Сокол-Орел» (1930-е), «Сокол», «Орел», «Чайка» (1930-е); танковые 9Р «Тапир» (1930-е-40-е), 9РМ «Тапир-М», 9РС «Тур» (1930-е-40-е), десантная 6ПК (1937), Р-113, Р-123, Р-123М, Р- 173; «Кугуар» (1938), РБ (ВОВ); аварийно-спасательные «Шлюп», «Плот»; специальные аэростатные; </w:t>
      </w:r>
      <w:r w:rsidRPr="002F2FDF">
        <w:rPr>
          <w:rFonts w:ascii="Times New Roman" w:hAnsi="Times New Roman" w:cs="Times New Roman"/>
          <w:color w:val="000000" w:themeColor="text1"/>
          <w:kern w:val="2"/>
          <w:sz w:val="16"/>
          <w:szCs w:val="16"/>
          <w:lang w:val="en-US"/>
        </w:rPr>
        <w:t>KB</w:t>
      </w:r>
      <w:r w:rsidRPr="002F2FDF">
        <w:rPr>
          <w:rFonts w:ascii="Times New Roman" w:hAnsi="Times New Roman" w:cs="Times New Roman"/>
          <w:color w:val="000000" w:themeColor="text1"/>
          <w:kern w:val="2"/>
          <w:sz w:val="16"/>
          <w:szCs w:val="16"/>
        </w:rPr>
        <w:t xml:space="preserve"> Р- 394КМ, портативная </w:t>
      </w:r>
      <w:r w:rsidRPr="002F2FDF">
        <w:rPr>
          <w:rFonts w:ascii="Times New Roman" w:hAnsi="Times New Roman" w:cs="Times New Roman"/>
          <w:color w:val="000000" w:themeColor="text1"/>
          <w:kern w:val="2"/>
          <w:sz w:val="16"/>
          <w:szCs w:val="16"/>
          <w:lang w:val="en-US"/>
        </w:rPr>
        <w:t>KB</w:t>
      </w:r>
      <w:r w:rsidRPr="002F2FDF">
        <w:rPr>
          <w:rFonts w:ascii="Times New Roman" w:hAnsi="Times New Roman" w:cs="Times New Roman"/>
          <w:color w:val="000000" w:themeColor="text1"/>
          <w:kern w:val="2"/>
          <w:sz w:val="16"/>
          <w:szCs w:val="16"/>
        </w:rPr>
        <w:t xml:space="preserve"> «Северок-К» (2000-е); передатчики РСИ-3 «Орел», РСИ-ЗМ, РСИ-4 (ВОВ); радиокомпас «Москит-М» (1930-е), радиополукомпасы: РПК-2 «Чайка», РПК-10 «Чаенок» (1930-е), РПКО-Ю «Пчела», РПК-2 «Чайка», РГОС-2С, РПКО-2 «Москит» (ВОВ); приемники УС, АИ (1938); комплексы связи для бронетехники: «Арбалет» (радиостанция Р-163-50У, приемник Р-163УП), «Акведук» (станции Р-163-5УВ, Р-168-25У, Р-168- 100У, приемник Р-168УП) (2000-е);</w:t>
      </w:r>
    </w:p>
    <w:p w14:paraId="39EA29D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репродукторы «Рекорд» (1934-), «Зорька» (1934-); радиоприемники: П-2 (1926-), П-3, Р-2, П-6 (1927-), П-7, РПЛ-1 (1927-), РПЛ-2, ПЛ-1 (1929-), ПЛ-2, ЭЧС (1930-), ЭЧС-2 (1932-), ЭЧС-3 (1933-), БИ-234 (1934-), СИ-235 (1935-), автомобильный АИ (1930-е), «Весна», «Луч» (1951-), «Родина», «Москвич-В», «Матрешка», «Селена», «Лунник», «Аленушка», миниатюрные «Космос», «Космос-М, -602», Т-7 «Алмаз», «Рубин», «Рубин-2», «Орленок» (1967-), «Орленок-М, -605», автомобильные «Урал-авто» (1968-), «Урал-Авто-2, -202», «Урал-301, - 302, РП-306, РП-340А»; радиолы. «Урал-47 (1947-), -49, -50 (1951-), -52, -53, -57, -1 (1963-), -2, -5, -6 (1968-), -7 («Иоланта», 1969-), -8, -110 (1970-), -111 (1973-), -112, -114 (1978-), -208С, -210С, -320, -322», «Кама» (1951-), «Кама-61, -62», «Рапсодия» (1964-), «Рубин», «Италмас», «Комета» (1960-е); автомагнитолы: «Урал-233С, РМ- 235С, РМ-260С, РМ-261С, РМ-262С, РМ-285С, РМ-292С, РМ-293С (2000-е), РМ-ЗЗЗС, РМ-334С», РМ-206СА, РМК-210СА; «Урал-293»;</w:t>
      </w:r>
      <w:r w:rsidRPr="002F2FDF">
        <w:rPr>
          <w:rFonts w:ascii="Times New Roman" w:hAnsi="Times New Roman" w:cs="Times New Roman"/>
          <w:color w:val="000000" w:themeColor="text1"/>
          <w:kern w:val="2"/>
          <w:sz w:val="16"/>
          <w:szCs w:val="16"/>
          <w:vertAlign w:val="superscript"/>
        </w:rPr>
        <w:t>101</w:t>
      </w:r>
      <w:r w:rsidRPr="002F2FDF">
        <w:rPr>
          <w:rFonts w:ascii="Times New Roman" w:hAnsi="Times New Roman" w:cs="Times New Roman"/>
          <w:color w:val="000000" w:themeColor="text1"/>
          <w:kern w:val="2"/>
          <w:sz w:val="16"/>
          <w:szCs w:val="16"/>
        </w:rPr>
        <w:t xml:space="preserve"> телевизоры: Т-1 «Москвич» (1947), «Темп», «Темп-2, -3, -4, -5»; антенны: АР-105, АА-ЗА, АА-5А, АШ-1А, АШ-4А; выпрямитель для питания радиоламп «Микро» (1927-); сопротивления Каминского, конденсаторы постоянной емкости, детекторы (1937) (11982).</w:t>
      </w:r>
    </w:p>
    <w:p w14:paraId="6753E9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248B62" w14:textId="5D4F4213" w:rsidR="003431D2" w:rsidRPr="002F2FDF" w:rsidRDefault="00807D2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w:t>
      </w:r>
      <w:r w:rsidR="003431D2" w:rsidRPr="002F2FDF">
        <w:rPr>
          <w:rFonts w:ascii="Times New Roman" w:hAnsi="Times New Roman" w:cs="Times New Roman"/>
          <w:color w:val="000000" w:themeColor="text1"/>
          <w:kern w:val="2"/>
          <w:sz w:val="16"/>
          <w:szCs w:val="16"/>
        </w:rPr>
        <w:t>о 1917 г.</w:t>
      </w:r>
      <w:r w:rsidRPr="002F2FDF">
        <w:rPr>
          <w:rFonts w:ascii="Times New Roman" w:hAnsi="Times New Roman" w:cs="Times New Roman"/>
          <w:color w:val="000000" w:themeColor="text1"/>
          <w:kern w:val="2"/>
          <w:sz w:val="16"/>
          <w:szCs w:val="16"/>
        </w:rPr>
        <w:t xml:space="preserve"> в России</w:t>
      </w:r>
      <w:r w:rsidR="003431D2" w:rsidRPr="002F2FDF">
        <w:rPr>
          <w:rFonts w:ascii="Times New Roman" w:hAnsi="Times New Roman" w:cs="Times New Roman"/>
          <w:color w:val="000000" w:themeColor="text1"/>
          <w:kern w:val="2"/>
          <w:sz w:val="16"/>
          <w:szCs w:val="16"/>
        </w:rPr>
        <w:t xml:space="preserve"> потребность в транс</w:t>
      </w:r>
      <w:r w:rsidR="003431D2" w:rsidRPr="002F2FDF">
        <w:rPr>
          <w:rFonts w:ascii="Times New Roman" w:hAnsi="Times New Roman" w:cs="Times New Roman"/>
          <w:color w:val="000000" w:themeColor="text1"/>
          <w:kern w:val="2"/>
          <w:sz w:val="16"/>
          <w:szCs w:val="16"/>
        </w:rPr>
        <w:softHyphen/>
        <w:t>портных и сельскохозяйственных машинах покрывалась за счет импорта, поскольку сво</w:t>
      </w:r>
      <w:r w:rsidR="003431D2" w:rsidRPr="002F2FDF">
        <w:rPr>
          <w:rFonts w:ascii="Times New Roman" w:hAnsi="Times New Roman" w:cs="Times New Roman"/>
          <w:color w:val="000000" w:themeColor="text1"/>
          <w:kern w:val="2"/>
          <w:sz w:val="16"/>
          <w:szCs w:val="16"/>
        </w:rPr>
        <w:softHyphen/>
        <w:t>ей тракторной промышленности фактичес</w:t>
      </w:r>
      <w:r w:rsidR="003431D2" w:rsidRPr="002F2FDF">
        <w:rPr>
          <w:rFonts w:ascii="Times New Roman" w:hAnsi="Times New Roman" w:cs="Times New Roman"/>
          <w:color w:val="000000" w:themeColor="text1"/>
          <w:kern w:val="2"/>
          <w:sz w:val="16"/>
          <w:szCs w:val="16"/>
        </w:rPr>
        <w:softHyphen/>
        <w:t>ки не имелось. Отечественные тракторы из</w:t>
      </w:r>
      <w:r w:rsidR="003431D2" w:rsidRPr="002F2FDF">
        <w:rPr>
          <w:rFonts w:ascii="Times New Roman" w:hAnsi="Times New Roman" w:cs="Times New Roman"/>
          <w:color w:val="000000" w:themeColor="text1"/>
          <w:kern w:val="2"/>
          <w:sz w:val="16"/>
          <w:szCs w:val="16"/>
        </w:rPr>
        <w:softHyphen/>
        <w:t>готавливались в штучных экземплярах. В частности, завсд «Аксай» предпринял по</w:t>
      </w:r>
      <w:r w:rsidR="003431D2" w:rsidRPr="002F2FDF">
        <w:rPr>
          <w:rFonts w:ascii="Times New Roman" w:hAnsi="Times New Roman" w:cs="Times New Roman"/>
          <w:color w:val="000000" w:themeColor="text1"/>
          <w:kern w:val="2"/>
          <w:sz w:val="16"/>
          <w:szCs w:val="16"/>
        </w:rPr>
        <w:softHyphen/>
        <w:t>стройку автоплуга типа «Шток»; южные за</w:t>
      </w:r>
      <w:r w:rsidR="003431D2" w:rsidRPr="002F2FDF">
        <w:rPr>
          <w:rFonts w:ascii="Times New Roman" w:hAnsi="Times New Roman" w:cs="Times New Roman"/>
          <w:color w:val="000000" w:themeColor="text1"/>
          <w:kern w:val="2"/>
          <w:sz w:val="16"/>
          <w:szCs w:val="16"/>
        </w:rPr>
        <w:softHyphen/>
        <w:t>воды общества Копп предполагали выпус</w:t>
      </w:r>
      <w:r w:rsidR="003431D2" w:rsidRPr="002F2FDF">
        <w:rPr>
          <w:rFonts w:ascii="Times New Roman" w:hAnsi="Times New Roman" w:cs="Times New Roman"/>
          <w:color w:val="000000" w:themeColor="text1"/>
          <w:kern w:val="2"/>
          <w:sz w:val="16"/>
          <w:szCs w:val="16"/>
        </w:rPr>
        <w:softHyphen/>
        <w:t>кать тракторы с выписанными из Германии моторами; в Кичкасе наметили постройку тракторов по типу американских машин; на заводе Гельферих Саде в Харькове и Брянс</w:t>
      </w:r>
      <w:r w:rsidR="003431D2" w:rsidRPr="002F2FDF">
        <w:rPr>
          <w:rFonts w:ascii="Times New Roman" w:hAnsi="Times New Roman" w:cs="Times New Roman"/>
          <w:color w:val="000000" w:themeColor="text1"/>
          <w:kern w:val="2"/>
          <w:sz w:val="16"/>
          <w:szCs w:val="16"/>
        </w:rPr>
        <w:softHyphen/>
        <w:t>ком заводе в Бежице планировали органи</w:t>
      </w:r>
      <w:r w:rsidR="003431D2" w:rsidRPr="002F2FDF">
        <w:rPr>
          <w:rFonts w:ascii="Times New Roman" w:hAnsi="Times New Roman" w:cs="Times New Roman"/>
          <w:color w:val="000000" w:themeColor="text1"/>
          <w:kern w:val="2"/>
          <w:sz w:val="16"/>
          <w:szCs w:val="16"/>
        </w:rPr>
        <w:softHyphen/>
        <w:t>зовать выпуск тракторов «Бикфорд» и «Аллис-Чалмерс». Завод Я.В. Мамина в Балакове Саратовской губернии также собрал несколько тракторов собственной конструк</w:t>
      </w:r>
      <w:r w:rsidR="003431D2" w:rsidRPr="002F2FDF">
        <w:rPr>
          <w:rFonts w:ascii="Times New Roman" w:hAnsi="Times New Roman" w:cs="Times New Roman"/>
          <w:color w:val="000000" w:themeColor="text1"/>
          <w:kern w:val="2"/>
          <w:sz w:val="16"/>
          <w:szCs w:val="16"/>
        </w:rPr>
        <w:softHyphen/>
        <w:t>ции. Эти работы прервалисьс началом Пер</w:t>
      </w:r>
      <w:r w:rsidR="003431D2" w:rsidRPr="002F2FDF">
        <w:rPr>
          <w:rFonts w:ascii="Times New Roman" w:hAnsi="Times New Roman" w:cs="Times New Roman"/>
          <w:color w:val="000000" w:themeColor="text1"/>
          <w:kern w:val="2"/>
          <w:sz w:val="16"/>
          <w:szCs w:val="16"/>
        </w:rPr>
        <w:softHyphen/>
        <w:t>вой мировой войны, а единичные экземпля</w:t>
      </w:r>
      <w:r w:rsidR="003431D2" w:rsidRPr="002F2FDF">
        <w:rPr>
          <w:rFonts w:ascii="Times New Roman" w:hAnsi="Times New Roman" w:cs="Times New Roman"/>
          <w:color w:val="000000" w:themeColor="text1"/>
          <w:kern w:val="2"/>
          <w:sz w:val="16"/>
          <w:szCs w:val="16"/>
        </w:rPr>
        <w:softHyphen/>
        <w:t>ры или тем более проекты не сыграли суще</w:t>
      </w:r>
      <w:r w:rsidR="003431D2" w:rsidRPr="002F2FDF">
        <w:rPr>
          <w:rFonts w:ascii="Times New Roman" w:hAnsi="Times New Roman" w:cs="Times New Roman"/>
          <w:color w:val="000000" w:themeColor="text1"/>
          <w:kern w:val="2"/>
          <w:sz w:val="16"/>
          <w:szCs w:val="16"/>
        </w:rPr>
        <w:softHyphen/>
        <w:t>ственной роли в механизации сельского хо</w:t>
      </w:r>
      <w:r w:rsidR="003431D2" w:rsidRPr="002F2FDF">
        <w:rPr>
          <w:rFonts w:ascii="Times New Roman" w:hAnsi="Times New Roman" w:cs="Times New Roman"/>
          <w:color w:val="000000" w:themeColor="text1"/>
          <w:kern w:val="2"/>
          <w:sz w:val="16"/>
          <w:szCs w:val="16"/>
        </w:rPr>
        <w:softHyphen/>
        <w:t>зяйства, поэтому началом практического тракторостроения в нашей стране можно считать работы уже советского периода. На рубеже Х</w:t>
      </w:r>
      <w:r w:rsidR="003431D2" w:rsidRPr="002F2FDF">
        <w:rPr>
          <w:rFonts w:ascii="Times New Roman" w:hAnsi="Times New Roman" w:cs="Times New Roman"/>
          <w:color w:val="000000" w:themeColor="text1"/>
          <w:kern w:val="2"/>
          <w:sz w:val="16"/>
          <w:szCs w:val="16"/>
          <w:lang w:val="en-US"/>
        </w:rPr>
        <w:t>I</w:t>
      </w:r>
      <w:r w:rsidR="003431D2" w:rsidRPr="002F2FDF">
        <w:rPr>
          <w:rFonts w:ascii="Times New Roman" w:hAnsi="Times New Roman" w:cs="Times New Roman"/>
          <w:color w:val="000000" w:themeColor="text1"/>
          <w:kern w:val="2"/>
          <w:sz w:val="16"/>
          <w:szCs w:val="16"/>
        </w:rPr>
        <w:t>Х и XX веков тракторы наря</w:t>
      </w:r>
      <w:r w:rsidR="003431D2" w:rsidRPr="002F2FDF">
        <w:rPr>
          <w:rFonts w:ascii="Times New Roman" w:hAnsi="Times New Roman" w:cs="Times New Roman"/>
          <w:color w:val="000000" w:themeColor="text1"/>
          <w:kern w:val="2"/>
          <w:sz w:val="16"/>
          <w:szCs w:val="16"/>
        </w:rPr>
        <w:softHyphen/>
        <w:t>ду с другими средствами механизации сель</w:t>
      </w:r>
      <w:r w:rsidR="003431D2" w:rsidRPr="002F2FDF">
        <w:rPr>
          <w:rFonts w:ascii="Times New Roman" w:hAnsi="Times New Roman" w:cs="Times New Roman"/>
          <w:color w:val="000000" w:themeColor="text1"/>
          <w:kern w:val="2"/>
          <w:sz w:val="16"/>
          <w:szCs w:val="16"/>
        </w:rPr>
        <w:softHyphen/>
        <w:t>ского хозяйства, как в то время говорили «объектами мотокультуры», стали внедрять</w:t>
      </w:r>
      <w:r w:rsidR="003431D2" w:rsidRPr="002F2FDF">
        <w:rPr>
          <w:rFonts w:ascii="Times New Roman" w:hAnsi="Times New Roman" w:cs="Times New Roman"/>
          <w:color w:val="000000" w:themeColor="text1"/>
          <w:kern w:val="2"/>
          <w:sz w:val="16"/>
          <w:szCs w:val="16"/>
        </w:rPr>
        <w:softHyphen/>
        <w:t>ся в народное хозяйство Российской импе</w:t>
      </w:r>
      <w:r w:rsidR="003431D2" w:rsidRPr="002F2FDF">
        <w:rPr>
          <w:rFonts w:ascii="Times New Roman" w:hAnsi="Times New Roman" w:cs="Times New Roman"/>
          <w:color w:val="000000" w:themeColor="text1"/>
          <w:kern w:val="2"/>
          <w:sz w:val="16"/>
          <w:szCs w:val="16"/>
        </w:rPr>
        <w:softHyphen/>
        <w:t>рии. В сельском хозяйстве тракторы приме</w:t>
      </w:r>
      <w:r w:rsidR="003431D2" w:rsidRPr="002F2FDF">
        <w:rPr>
          <w:rFonts w:ascii="Times New Roman" w:hAnsi="Times New Roman" w:cs="Times New Roman"/>
          <w:color w:val="000000" w:themeColor="text1"/>
          <w:kern w:val="2"/>
          <w:sz w:val="16"/>
          <w:szCs w:val="16"/>
        </w:rPr>
        <w:softHyphen/>
        <w:t>нялись исключительно в крупных частных имениях юга России — преимущественно для вспашки. В основном это были работавшие с 6-10-корпусными плугами тракторы с си</w:t>
      </w:r>
      <w:r w:rsidR="003431D2" w:rsidRPr="002F2FDF">
        <w:rPr>
          <w:rFonts w:ascii="Times New Roman" w:hAnsi="Times New Roman" w:cs="Times New Roman"/>
          <w:color w:val="000000" w:themeColor="text1"/>
          <w:kern w:val="2"/>
          <w:sz w:val="16"/>
          <w:szCs w:val="16"/>
        </w:rPr>
        <w:softHyphen/>
        <w:t>ловыми установками мощностью до 110 л.с. Всего же, поданным Бюро по сельскохозяй</w:t>
      </w:r>
      <w:r w:rsidR="003431D2" w:rsidRPr="002F2FDF">
        <w:rPr>
          <w:rFonts w:ascii="Times New Roman" w:hAnsi="Times New Roman" w:cs="Times New Roman"/>
          <w:color w:val="000000" w:themeColor="text1"/>
          <w:kern w:val="2"/>
          <w:sz w:val="16"/>
          <w:szCs w:val="16"/>
        </w:rPr>
        <w:softHyphen/>
        <w:t>ственной механике, без учета занятых в про</w:t>
      </w:r>
      <w:r w:rsidR="003431D2" w:rsidRPr="002F2FDF">
        <w:rPr>
          <w:rFonts w:ascii="Times New Roman" w:hAnsi="Times New Roman" w:cs="Times New Roman"/>
          <w:color w:val="000000" w:themeColor="text1"/>
          <w:kern w:val="2"/>
          <w:sz w:val="16"/>
          <w:szCs w:val="16"/>
        </w:rPr>
        <w:softHyphen/>
        <w:t>мышленности и находившихся в ведении военных машин накануне Первой мировой войны в России насчитывалось 165 разно</w:t>
      </w:r>
      <w:r w:rsidR="003431D2" w:rsidRPr="002F2FDF">
        <w:rPr>
          <w:rFonts w:ascii="Times New Roman" w:hAnsi="Times New Roman" w:cs="Times New Roman"/>
          <w:color w:val="000000" w:themeColor="text1"/>
          <w:kern w:val="2"/>
          <w:sz w:val="16"/>
          <w:szCs w:val="16"/>
        </w:rPr>
        <w:softHyphen/>
        <w:t>типных тракторов, из них 75 - паровых и 90—с керосиновыми или бензиновыми дви</w:t>
      </w:r>
      <w:r w:rsidR="003431D2" w:rsidRPr="002F2FDF">
        <w:rPr>
          <w:rFonts w:ascii="Times New Roman" w:hAnsi="Times New Roman" w:cs="Times New Roman"/>
          <w:color w:val="000000" w:themeColor="text1"/>
          <w:kern w:val="2"/>
          <w:sz w:val="16"/>
          <w:szCs w:val="16"/>
        </w:rPr>
        <w:softHyphen/>
        <w:t>гателями внутреннего сгорания. С началом войны тракторный парк зна</w:t>
      </w:r>
      <w:r w:rsidR="003431D2" w:rsidRPr="002F2FDF">
        <w:rPr>
          <w:rFonts w:ascii="Times New Roman" w:hAnsi="Times New Roman" w:cs="Times New Roman"/>
          <w:color w:val="000000" w:themeColor="text1"/>
          <w:kern w:val="2"/>
          <w:sz w:val="16"/>
          <w:szCs w:val="16"/>
        </w:rPr>
        <w:softHyphen/>
        <w:t>чительно увеличился за счет импорта мощ</w:t>
      </w:r>
      <w:r w:rsidR="003431D2" w:rsidRPr="002F2FDF">
        <w:rPr>
          <w:rFonts w:ascii="Times New Roman" w:hAnsi="Times New Roman" w:cs="Times New Roman"/>
          <w:color w:val="000000" w:themeColor="text1"/>
          <w:kern w:val="2"/>
          <w:sz w:val="16"/>
          <w:szCs w:val="16"/>
        </w:rPr>
        <w:softHyphen/>
        <w:t>ных тракторов - в основном военного на</w:t>
      </w:r>
      <w:r w:rsidR="003431D2" w:rsidRPr="002F2FDF">
        <w:rPr>
          <w:rFonts w:ascii="Times New Roman" w:hAnsi="Times New Roman" w:cs="Times New Roman"/>
          <w:color w:val="000000" w:themeColor="text1"/>
          <w:kern w:val="2"/>
          <w:sz w:val="16"/>
          <w:szCs w:val="16"/>
        </w:rPr>
        <w:softHyphen/>
        <w:t>значения. После 1917 г. вопрос обеспече</w:t>
      </w:r>
      <w:r w:rsidR="003431D2" w:rsidRPr="002F2FDF">
        <w:rPr>
          <w:rFonts w:ascii="Times New Roman" w:hAnsi="Times New Roman" w:cs="Times New Roman"/>
          <w:color w:val="000000" w:themeColor="text1"/>
          <w:kern w:val="2"/>
          <w:sz w:val="16"/>
          <w:szCs w:val="16"/>
        </w:rPr>
        <w:softHyphen/>
        <w:t>ния тракторами решался путем организации производства и создания эффективной сис</w:t>
      </w:r>
      <w:r w:rsidR="003431D2" w:rsidRPr="002F2FDF">
        <w:rPr>
          <w:rFonts w:ascii="Times New Roman" w:hAnsi="Times New Roman" w:cs="Times New Roman"/>
          <w:color w:val="000000" w:themeColor="text1"/>
          <w:kern w:val="2"/>
          <w:sz w:val="16"/>
          <w:szCs w:val="16"/>
        </w:rPr>
        <w:softHyphen/>
        <w:t>темы эксплуатации дня наиболее рациональ</w:t>
      </w:r>
      <w:r w:rsidR="003431D2" w:rsidRPr="002F2FDF">
        <w:rPr>
          <w:rFonts w:ascii="Times New Roman" w:hAnsi="Times New Roman" w:cs="Times New Roman"/>
          <w:color w:val="000000" w:themeColor="text1"/>
          <w:kern w:val="2"/>
          <w:sz w:val="16"/>
          <w:szCs w:val="16"/>
        </w:rPr>
        <w:softHyphen/>
        <w:t>ного использования существующего парка (11902).</w:t>
      </w:r>
    </w:p>
    <w:p w14:paraId="2A03FF00"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5A79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было начато строительство аффинерного завода (по вторичной переработке цветных металлов) - Подольского оловянного завода /г. Подольск Московской обл./. В 08.1941 г. Подольский оловянный завод был эвакуирован в Новосибирск на площадку строительства оловянного комбината.</w:t>
      </w:r>
    </w:p>
    <w:p w14:paraId="07E17C6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Затем, вероятно, завод вернулся на прежнее место, восстановлен в 1947 г. на годовую мощность 2000 т олова. Возможно, в 1958 г. вошел в состав Гиредмета в качестве опытного технологического завода.</w:t>
      </w:r>
    </w:p>
    <w:p w14:paraId="706D34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ОАО «Опытный химико-металлургический завод Гиредмета» (ОХМЗ)</w:t>
      </w:r>
    </w:p>
    <w:p w14:paraId="287D89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/142100 г. Подольск Московской обл. ул. Железнодорожная, 12 тел. (495) 137-94-15/</w:t>
      </w:r>
    </w:p>
    <w:p w14:paraId="730A3D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Указу Президента РФ № 1009 от 4.08.2004 г. вошло в число стратегических оборонных предприятий.</w:t>
      </w:r>
    </w:p>
    <w:p w14:paraId="6AE427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2006 г. завод уже не принадлежал Гиредмету.</w:t>
      </w:r>
    </w:p>
    <w:p w14:paraId="4DD64CA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(2000-е): высокочистые: алюминий, галлий, германий, индий, скандий, теллур; кадмий, сурьма; тугоплавкие и редкие металлы и сплавы, проволока и листы из них; изделия для производства интегральных схем и планарных полупроводниковых приборов.</w:t>
      </w:r>
    </w:p>
    <w:p w14:paraId="3147F41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(2002 г.)- 200 чел.</w:t>
      </w:r>
    </w:p>
    <w:p w14:paraId="306C0A7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Гендиректор (2002 г.)- А.А. Семин (11982).</w:t>
      </w:r>
    </w:p>
    <w:p w14:paraId="3BDB727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C23D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велось расширение производства Кольчугинского завода, был построен новый прокатный цех, но его вводу в строй помешала революция.</w:t>
      </w:r>
    </w:p>
    <w:p w14:paraId="72C7F3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1922 г. назывался 1-й государственный завод по обработке цветных металлов (Завод № 7 НКЦМ, Латунный и меднопрокатный завод товарищества Кольчугина, 1-й государственный завод но обработке цветных металлов, Кольчугинский завод Гинромцветмета, НКМ, Кольчугинский завод им. С. Орджоникидзе НКЦМ, ОАО «Кольчугинский завод по обработке цветных металлов им. С. Орджоникидзе» («Кольчугцветмет»), ЗАО «Кольчугцветмет» /601744 г. Кольчугино Владимирской обл. ул. К. Маркса, 25/). В 12.1938 г. - в ведении Главцветметобработки НКМ.</w:t>
      </w:r>
    </w:p>
    <w:p w14:paraId="7BDED0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1922 г. здесь под руководством В.А. Буталова (по другой информации настоящим автором сплава был Ю.Г. Музалевский, вынужденный в 1922 г. уйти с завода</w:t>
      </w:r>
      <w:r w:rsidRPr="002F2FDF">
        <w:rPr>
          <w:rFonts w:ascii="Times New Roman" w:hAnsi="Times New Roman" w:cs="Times New Roman"/>
          <w:color w:val="000000" w:themeColor="text1"/>
          <w:kern w:val="2"/>
          <w:sz w:val="16"/>
          <w:szCs w:val="16"/>
          <w:vertAlign w:val="superscript"/>
        </w:rPr>
        <w:t>144</w:t>
      </w:r>
      <w:r w:rsidRPr="002F2FDF">
        <w:rPr>
          <w:rFonts w:ascii="Times New Roman" w:hAnsi="Times New Roman" w:cs="Times New Roman"/>
          <w:color w:val="000000" w:themeColor="text1"/>
          <w:kern w:val="2"/>
          <w:sz w:val="16"/>
          <w:szCs w:val="16"/>
        </w:rPr>
        <w:t>) налажено производство отечественного дюралюминия - «кольчугалюминия», в 04.1922 г. получен первый слиток. В 1923 г. в здании нового прокатного цеха организована авиамастерская по производству дюралевого листа и проката для авиапромышленности под руководством А.Н. Туполева. Затем технология выпуска дюралюминия была передана на завод «Красный Выборжец». В 1930-е г. завод выпускал латунь Л62 для патронных гильз.</w:t>
      </w:r>
    </w:p>
    <w:p w14:paraId="2DE2A7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соответствии с пост. Экономического Совета при СНК и приказами НКЦМ и НКЭСиЭП в 1939 г. из состава Кольчугинского завода им. С. Орджоникидзе НКЦМ были выделены кабельный цех, корпус красной меди проволочного цеха, металлоткацкий цех и чугунолитейная мастерская в самостоятельный Кольчугинский кабельный завод «Электрокабель».</w:t>
      </w:r>
    </w:p>
    <w:p w14:paraId="6B3CDD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Перед войной начата реконструкция завода, он был освобожден от выпуска дюралюминия.</w:t>
      </w:r>
    </w:p>
    <w:p w14:paraId="18FE01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 решению правительства от 3.10.1941 г. завод со всем оборудованием и кадрами был полностью эвакуирован: в 10.1941 г. прокатный цех завода эвакуирован в Казахстан на площадку Балхашского медеплавильного комбината, где образован завод № 517, первый эшелон ушел 19.10.1941 г.; трубоволочильный цех № 2 эвакуирован в Ревду, где образован завод № 518 НКЦМ; оборудование по сборке М-13 - на завод № 78 в Челябинск; остальная часть завода- в Каменск-Уральский, Орск и Верхнюю Салду, где, соответственно, были созданы заводы№515,516и519 НКЦМ.</w:t>
      </w:r>
    </w:p>
    <w:p w14:paraId="638BA88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медного, латунного, бронзового и медно-никелевого проката (2003 г.). Завод являлся основным поставщиком для Монетного двора. В 11.2003 г. предприятие было остановлено. По Указу Президента РФ № 1009 от 4.08.2004 г. вошел в число стратегических оборонных предприятий. В 01.2005 г. начата процедура банкротства, летом 2005 г. на заводе введено внешнее управление. В 04.2006 г. предприятие признано банкротом, на базе обанкроченного ОАО создано ЗАО «Кольчугцветмет». В 09.2007 г. ЗАО куплено Уральской горно</w:t>
      </w:r>
      <w:r w:rsidRPr="002F2FDF">
        <w:rPr>
          <w:rFonts w:ascii="Times New Roman" w:hAnsi="Times New Roman" w:cs="Times New Roman"/>
          <w:color w:val="000000" w:themeColor="text1"/>
          <w:kern w:val="2"/>
          <w:sz w:val="16"/>
          <w:szCs w:val="16"/>
        </w:rPr>
        <w:softHyphen/>
        <w:t>металлургической компанией (УГМК).</w:t>
      </w:r>
    </w:p>
    <w:p w14:paraId="7FCCD2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Имелись цехи: № 2, 6,7, 8,12, сложных сплавов (2000-е).</w:t>
      </w:r>
    </w:p>
    <w:p w14:paraId="6FA7FC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(1941 г.)- около 4000 чел.</w:t>
      </w:r>
    </w:p>
    <w:p w14:paraId="1A96AF6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(1937-39 г.)- П.Ф. Ломако. Гендиректор (-12.2003 г.)- Н. Мочалов; И.О. гендректора (12.2003- 01.2004 г.)- А. Бровко; (01.2004-05 г.-)- А.Г. Бровко.</w:t>
      </w:r>
    </w:p>
    <w:p w14:paraId="21D3E1C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цехов: литейного (1922 г.)- В.А. Буталов.</w:t>
      </w:r>
    </w:p>
    <w:p w14:paraId="588A58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Начальники мастерских: авиационной (1923 г.)- А.Н. Туполев (11982).</w:t>
      </w:r>
    </w:p>
    <w:p w14:paraId="4E61D2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D947E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оборудование завода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машинокотлостроительный и меднопрокатный завод им. Карла Либкнехта ВСНХ, Республиканский машинокотлостроительный и меднопрокатный завод им. Карла Либкнехта, Ленинградский государственный механический завод им. Карла Либкнехта ВСНХ) и кадры (около 80 вагонов) эвакуированы в Новороссийск.</w:t>
      </w:r>
    </w:p>
    <w:p w14:paraId="3FA7EF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02.1918 г. меднопрокатный и механический завод АО Франко-Русских заводов был секвестрирован, пост. Президиума ВСНХ от 8.07.1918 г. национализирован. Действовал в ведении секции по металлу СНХ Северного района, с 05.1919 г. - Центрального правления заводов тяжелой индустрии, с 08.1919 г. - правления «Петротяжа». В 10.1921 г. получил название Государственный завод машин и котлов № 6. В 10.1922 г. переименован в Петроградский государственный машинокотлостроительный и меднопрокатный завод им. Карла Либкнехта в ведении Росмашкотлостроя ВСНХ, в 1923 г. - в Республиканский машинокотлостроительный и меднопрокатный завод им. Карла Либкнехта Машинокотлостроя Севзаппромбюро. В 1923 г. по 10.1924 г. завод законсервирован. Решением президиума Севзаппромбюро от 13.10.1924 г. меднопрокатный отдел завода передан с 27.12.1924 г. заводу «Красный выборжец» в качестве отделения для организации производства дюралюминия. Отделение вступило в строй в 1927 г., в 1928 г. оно преобразовано в самостоятельный Государственный медеобрабатывающий завод. Пост. Севзаппромбюро от 7.02.1925 г. завод передан в подчинение Судотресту ВСНХ. Пост, от 9.06.1926 г. Ленинградский государственный механический завод им. Карла Либкнехта вошел в состав Адмиралтейского завода.</w:t>
      </w:r>
      <w:r w:rsidRPr="002F2FDF">
        <w:rPr>
          <w:rFonts w:ascii="Times New Roman" w:hAnsi="Times New Roman" w:cs="Times New Roman"/>
          <w:color w:val="000000" w:themeColor="text1"/>
          <w:kern w:val="2"/>
          <w:sz w:val="16"/>
          <w:szCs w:val="16"/>
          <w:vertAlign w:val="superscript"/>
        </w:rPr>
        <w:t>114</w:t>
      </w:r>
    </w:p>
    <w:p w14:paraId="28AAAD2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Главный уполномоченный (-1883-88 г.-)- П.К. Дю Буи, (1891 г.)-  Г. Кох. Директор (1914 г.)- В.П. Вологдин.</w:t>
      </w:r>
    </w:p>
    <w:p w14:paraId="36C2B61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корабельный инженер (-1883-86 г.-)- П.А. Титов.</w:t>
      </w:r>
    </w:p>
    <w:p w14:paraId="66D1992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Машинный мастер (1819 г.)- </w:t>
      </w:r>
      <w:r w:rsidRPr="002F2FDF">
        <w:rPr>
          <w:rFonts w:ascii="Times New Roman" w:hAnsi="Times New Roman" w:cs="Times New Roman"/>
          <w:color w:val="000000" w:themeColor="text1"/>
          <w:kern w:val="2"/>
          <w:sz w:val="16"/>
          <w:szCs w:val="16"/>
          <w:lang w:val="en-US"/>
        </w:rPr>
        <w:t>B</w:t>
      </w:r>
      <w:r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lang w:val="en-US"/>
        </w:rPr>
        <w:t>C</w:t>
      </w:r>
      <w:r w:rsidRPr="002F2FDF">
        <w:rPr>
          <w:rFonts w:ascii="Times New Roman" w:hAnsi="Times New Roman" w:cs="Times New Roman"/>
          <w:color w:val="000000" w:themeColor="text1"/>
          <w:kern w:val="2"/>
          <w:sz w:val="16"/>
          <w:szCs w:val="16"/>
        </w:rPr>
        <w:t>. Овен. Строители кораблей (1896 г.)- П.Е. Андрущенко, (1896 г.)- А.И. Мустафин, (1900 г.)- М.К. Яковлев.</w:t>
      </w:r>
    </w:p>
    <w:p w14:paraId="11EC66F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Производство: судовые механизмы для: пароходов «Везувий» (1819), «Метеор» (1823), дноуглубительной машины (1821), винтовых фрегатов «Аскольд», «Дмитрий Донской», «Петропавловск», «Князь Пожарский» (1850-е-60-е), линейного корабля «Орел» (1858), мониторов «Ураган», «Тифон», «Стрелец», «Единорог» (1863), «Русалка», «Чародейка» (1860-е), миноносца «Взрыв» (1877), клипера «Разбойник» (1879), броненосцев «Генерал-адмирал» (1870-е), «Петр Великий» (1869), «Новгород», «Вице-адмирал Попов» (1870-е), «Бородино», «Андрей Первозванный» (1905), канонерских лодок «Бурун», «Туча» (1879), крейсера «Олег» (1901), линкоров «Гангут» и «Полтава» (1910-е); башенные установки для мониторов «Стрелец», «Единорог» (1863); котлы для броненосца «Иоанн Златоуст» (1904); пароходы: (1815-20)- 4, «Владимир» (1869), «Башкир» (1882); миноноски: типа «Орел» (1877-78)- 22, типа «Черепаха» (1877-78)- 2; корветы «Витязь» (08.1883-10.1884), «Рында» (08.1883- ); броненосцы: «Император Николай I» (1886-05.1889), «Наварин» (07.1889-10.1891), «Севастополь», «Петропавловск» (03.1892-10.1894), «Орел» (05.1900-07.1902); крейсеры: «Память Азова» (03.1886-89), «Паллада» (07.1896-08.1899), «Диана» (07.1896-09.1899), «Витязь» (1900-сгорел на стапеле); капремонт и перевооружение крейсера «Аврора» (осень 1916-02.1917) (11982).</w:t>
      </w:r>
    </w:p>
    <w:p w14:paraId="35372C15" w14:textId="77777777" w:rsidR="00AC7478" w:rsidRPr="002F2FDF" w:rsidRDefault="00AC747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5187A8" w14:textId="77777777" w:rsidR="0003758F" w:rsidRPr="002F2FDF" w:rsidRDefault="0003758F" w:rsidP="0083075A">
      <w:pPr>
        <w:pStyle w:val="ae"/>
        <w:shd w:val="clear" w:color="auto" w:fill="FFFFFF"/>
        <w:spacing w:before="0" w:after="0"/>
        <w:jc w:val="both"/>
        <w:rPr>
          <w:color w:val="000000" w:themeColor="text1"/>
          <w:sz w:val="16"/>
          <w:szCs w:val="16"/>
        </w:rPr>
      </w:pPr>
      <w:r w:rsidRPr="002F2FDF">
        <w:rPr>
          <w:color w:val="000000" w:themeColor="text1"/>
          <w:sz w:val="16"/>
          <w:szCs w:val="16"/>
        </w:rPr>
        <w:t>В 1917 несмотря на все сложности экономической и политической ситуации, строительные работы на большинстве автомобильных заводов и их оборудование были продолжены, что дало свои результаты.</w:t>
      </w:r>
    </w:p>
    <w:p w14:paraId="1CCE18EA" w14:textId="77777777" w:rsidR="0003758F" w:rsidRPr="002F2FDF" w:rsidRDefault="0003758F" w:rsidP="0083075A">
      <w:pPr>
        <w:pStyle w:val="ae"/>
        <w:shd w:val="clear" w:color="auto" w:fill="FFFFFF"/>
        <w:spacing w:before="0" w:after="0"/>
        <w:jc w:val="both"/>
        <w:rPr>
          <w:color w:val="000000" w:themeColor="text1"/>
          <w:sz w:val="16"/>
          <w:szCs w:val="16"/>
        </w:rPr>
      </w:pPr>
      <w:r w:rsidRPr="002F2FDF">
        <w:rPr>
          <w:color w:val="000000" w:themeColor="text1"/>
          <w:sz w:val="16"/>
          <w:szCs w:val="16"/>
        </w:rPr>
        <w:t>Наиболее успешным среди частных заводов было сооружение «АМО», чему способствовала, безусловно, предприимчивость его владельцев, в том числе добившихся перехода на свое предприятие квалифицированных инженеров и конструкторов автоотдела Русско-Балтийского вагонного завода. К июню 1917 г. было сооружено 95 % всех производственных зданий, имелся контингент, свыше 300 человек, квалифицированных цеховых рабочих и около 300 служащих, включая техников-специалистов. Осенью того же года завод был на 50-60 % оборудован, располагал запасами металла, топлива, инструментов, продолжал получать заказанное оборудование. Завод оценивался представителя ГВТУ как первоклассное производственное сооружение, к тому же рассчитанное на большую производительность, чем это предусматривалось контрактом. Последующая история 1-ого государственного автомобильного завода - ЗИС - ЗИЛа подтвердила эту оценку.</w:t>
      </w:r>
    </w:p>
    <w:p w14:paraId="299E9D87" w14:textId="77777777" w:rsidR="0003758F" w:rsidRPr="002F2FDF" w:rsidRDefault="0003758F" w:rsidP="0083075A">
      <w:pPr>
        <w:pStyle w:val="ae"/>
        <w:shd w:val="clear" w:color="auto" w:fill="FFFFFF"/>
        <w:spacing w:before="0" w:after="0"/>
        <w:jc w:val="both"/>
        <w:rPr>
          <w:color w:val="000000" w:themeColor="text1"/>
          <w:sz w:val="16"/>
          <w:szCs w:val="16"/>
        </w:rPr>
      </w:pPr>
      <w:r w:rsidRPr="002F2FDF">
        <w:rPr>
          <w:color w:val="000000" w:themeColor="text1"/>
          <w:sz w:val="16"/>
          <w:szCs w:val="16"/>
        </w:rPr>
        <w:t>Достаточно успешным было сооружение автомобильного завода в Ярославле, строительный подряд на который получил один из акционеров о-ва “В.А. Лебедев” “Торговый дом А.В. Зобнин и К</w:t>
      </w:r>
      <w:r w:rsidRPr="002F2FDF">
        <w:rPr>
          <w:color w:val="000000" w:themeColor="text1"/>
          <w:sz w:val="16"/>
          <w:szCs w:val="16"/>
          <w:vertAlign w:val="superscript"/>
        </w:rPr>
        <w:t>о</w:t>
      </w:r>
      <w:r w:rsidRPr="002F2FDF">
        <w:rPr>
          <w:color w:val="000000" w:themeColor="text1"/>
          <w:sz w:val="16"/>
          <w:szCs w:val="16"/>
        </w:rPr>
        <w:t>. Волжское строительное дело”. К лету 1917 г. 90 % основных, каменных зданий было закончено, от железнодорожной линии Ярославль-Вологда была проведена ветка, тянувшаяся вдоль всей территории завода; имелась хорошо оборудованная силовая станция. Завод располагал запасами леса, арматуры, почти 9 тыс. пудов черного и цветного металлов, однако станочного парка было установлено только 25 % . Интенсивный процесс дооборудования предприятия, именовавшегося с августа 1918 г. 1-ым государственным авторемонтным заводом, продолжался в последующие годы несколькими путями. Прибыла из Архангельска и Владивостока часть станков, заказанных за рубежом, в распоряжение завода поступило оборудование авторемонтных тыловых мастерских Западного фронта, а позже закрытого недостроенного автомобильного завода в Рыбинске. С середины 1920-х гг. и до 1958 г. завод был ведущим предприятием отечественного тяжелого автомобилестроения; впоследствии входил в объединение «Автодизель».</w:t>
      </w:r>
    </w:p>
    <w:p w14:paraId="450E19B0" w14:textId="11271197" w:rsidR="0003758F" w:rsidRPr="002F2FDF" w:rsidRDefault="0003758F" w:rsidP="0083075A">
      <w:pPr>
        <w:pStyle w:val="ae"/>
        <w:shd w:val="clear" w:color="auto" w:fill="FFFFFF"/>
        <w:spacing w:before="0" w:after="0"/>
        <w:jc w:val="both"/>
        <w:rPr>
          <w:color w:val="000000" w:themeColor="text1"/>
          <w:sz w:val="16"/>
          <w:szCs w:val="16"/>
        </w:rPr>
      </w:pPr>
      <w:r w:rsidRPr="002F2FDF">
        <w:rPr>
          <w:color w:val="000000" w:themeColor="text1"/>
          <w:sz w:val="16"/>
          <w:szCs w:val="16"/>
        </w:rPr>
        <w:t>Существенные задержки имели место в сооружении московского автомобильного завода РБВЗ, что, по мнению ГВТУ, объяснялось малой инициативностью</w:t>
      </w:r>
      <w:r w:rsidR="00E52569">
        <w:rPr>
          <w:color w:val="000000" w:themeColor="text1"/>
          <w:sz w:val="16"/>
          <w:szCs w:val="16"/>
        </w:rPr>
        <w:t xml:space="preserve"> </w:t>
      </w:r>
      <w:r w:rsidRPr="002F2FDF">
        <w:rPr>
          <w:color w:val="000000" w:themeColor="text1"/>
          <w:sz w:val="16"/>
          <w:szCs w:val="16"/>
        </w:rPr>
        <w:t xml:space="preserve"> и энергичностью правления, которое, сдав подряд на строительство, сняло с себя всякую ответственность. Положение несколько изменилось только к осени 1917 г., когда было завершено большинство строительных работ и более 75 % станков прибыло в Россию, в том числе 50 % находились уже в Москве. Завод частично дооборудовался за счет своего эвакуированного</w:t>
      </w:r>
      <w:r w:rsidR="00E52569">
        <w:rPr>
          <w:color w:val="000000" w:themeColor="text1"/>
          <w:sz w:val="16"/>
          <w:szCs w:val="16"/>
        </w:rPr>
        <w:t xml:space="preserve"> </w:t>
      </w:r>
      <w:r w:rsidRPr="002F2FDF">
        <w:rPr>
          <w:color w:val="000000" w:themeColor="text1"/>
          <w:sz w:val="16"/>
          <w:szCs w:val="16"/>
        </w:rPr>
        <w:t xml:space="preserve"> из Риги автоотдела и передачи ему реквизированного имущества других предприятий. Все это позволило проводить на заводе в течение 1917 - 1920 гг. ремонт и даже сборку автомобилей из старых и новых частей. В августе 1921 г. 2-ой государственный автомобильный завод (бывш. РБВЗ) был передан Бронеуправлению</w:t>
      </w:r>
      <w:bookmarkStart w:id="423" w:name="_ednref86"/>
      <w:r w:rsidRPr="002F2FDF">
        <w:rPr>
          <w:color w:val="000000" w:themeColor="text1"/>
          <w:sz w:val="16"/>
          <w:szCs w:val="16"/>
        </w:rPr>
        <w:fldChar w:fldCharType="begin"/>
      </w:r>
      <w:r w:rsidRPr="002F2FDF">
        <w:rPr>
          <w:color w:val="000000" w:themeColor="text1"/>
          <w:sz w:val="16"/>
          <w:szCs w:val="16"/>
        </w:rPr>
        <w:instrText xml:space="preserve"> HYPERLINK "http://economicarggu.ru/2002_5/01.shtml" \l "_edn86" \o "" </w:instrText>
      </w:r>
      <w:r w:rsidRPr="002F2FDF">
        <w:rPr>
          <w:color w:val="000000" w:themeColor="text1"/>
          <w:sz w:val="16"/>
          <w:szCs w:val="16"/>
        </w:rPr>
      </w:r>
      <w:r w:rsidRPr="002F2FDF">
        <w:rPr>
          <w:color w:val="000000" w:themeColor="text1"/>
          <w:sz w:val="16"/>
          <w:szCs w:val="16"/>
        </w:rPr>
        <w:fldChar w:fldCharType="separate"/>
      </w:r>
      <w:r w:rsidRPr="002F2FDF">
        <w:rPr>
          <w:rStyle w:val="a5"/>
          <w:rFonts w:eastAsiaTheme="majorEastAsia"/>
          <w:color w:val="000000" w:themeColor="text1"/>
          <w:sz w:val="16"/>
          <w:szCs w:val="16"/>
        </w:rPr>
        <w:t>[86]</w:t>
      </w:r>
      <w:r w:rsidRPr="002F2FDF">
        <w:rPr>
          <w:color w:val="000000" w:themeColor="text1"/>
          <w:sz w:val="16"/>
          <w:szCs w:val="16"/>
        </w:rPr>
        <w:fldChar w:fldCharType="end"/>
      </w:r>
      <w:bookmarkEnd w:id="423"/>
      <w:r w:rsidRPr="002F2FDF">
        <w:rPr>
          <w:color w:val="000000" w:themeColor="text1"/>
          <w:sz w:val="16"/>
          <w:szCs w:val="16"/>
        </w:rPr>
        <w:t>.</w:t>
      </w:r>
    </w:p>
    <w:p w14:paraId="48FC4004" w14:textId="77777777" w:rsidR="0003758F" w:rsidRPr="002F2FDF" w:rsidRDefault="0003758F" w:rsidP="0083075A">
      <w:pPr>
        <w:pStyle w:val="ae"/>
        <w:shd w:val="clear" w:color="auto" w:fill="FFFFFF"/>
        <w:spacing w:before="0" w:after="0"/>
        <w:jc w:val="both"/>
        <w:rPr>
          <w:color w:val="000000" w:themeColor="text1"/>
          <w:sz w:val="16"/>
          <w:szCs w:val="16"/>
        </w:rPr>
      </w:pPr>
      <w:r w:rsidRPr="002F2FDF">
        <w:rPr>
          <w:color w:val="000000" w:themeColor="text1"/>
          <w:sz w:val="16"/>
          <w:szCs w:val="16"/>
        </w:rPr>
        <w:t>Производство строительных работ автомобильного завода «Русский Рено» в Рыбинске было поручено вновь образованному акционерному обществу «Рыбинских металлических и железнодорожных заводов». К концу 1916 г. основные здания предприятия были сооружены лишь частично, поступление станков, заказанных во Франции, также задерживалось. В течение всего 1917 г. на Рыбинском заводе продолжалось строительство. В итоге к началу 1918 г. большая часть производственных зданий была готова и установлена половина оборудования, что позволило начать авторемонтные работы на предприятии.</w:t>
      </w:r>
    </w:p>
    <w:p w14:paraId="1030B372" w14:textId="49FE6A3E" w:rsidR="0003758F" w:rsidRPr="002F2FDF" w:rsidRDefault="0003758F" w:rsidP="0083075A">
      <w:pPr>
        <w:pStyle w:val="ae"/>
        <w:shd w:val="clear" w:color="auto" w:fill="FFFFFF"/>
        <w:spacing w:before="0" w:after="0"/>
        <w:jc w:val="both"/>
        <w:rPr>
          <w:color w:val="000000" w:themeColor="text1"/>
          <w:sz w:val="16"/>
          <w:szCs w:val="16"/>
        </w:rPr>
      </w:pPr>
      <w:r w:rsidRPr="002F2FDF">
        <w:rPr>
          <w:color w:val="000000" w:themeColor="text1"/>
          <w:sz w:val="16"/>
          <w:szCs w:val="16"/>
        </w:rPr>
        <w:t>Наименее успешным было создание автомобильного завода о-ва «Аксай», которое велось на территории принадлежащего ему предприятия сельскохозяйственных машин. К концу 1917 г. было выстроено 85 %</w:t>
      </w:r>
      <w:r w:rsidR="00E52569">
        <w:rPr>
          <w:color w:val="000000" w:themeColor="text1"/>
          <w:sz w:val="16"/>
          <w:szCs w:val="16"/>
        </w:rPr>
        <w:t xml:space="preserve"> </w:t>
      </w:r>
      <w:r w:rsidRPr="002F2FDF">
        <w:rPr>
          <w:color w:val="000000" w:themeColor="text1"/>
          <w:sz w:val="16"/>
          <w:szCs w:val="16"/>
        </w:rPr>
        <w:t xml:space="preserve"> зданий и установлено 25 % оборудования. Однако правление завода даже не приступило к разработке конструкции автомобиля и налаживания</w:t>
      </w:r>
      <w:r w:rsidR="00E52569">
        <w:rPr>
          <w:color w:val="000000" w:themeColor="text1"/>
          <w:sz w:val="16"/>
          <w:szCs w:val="16"/>
        </w:rPr>
        <w:t xml:space="preserve"> </w:t>
      </w:r>
      <w:r w:rsidRPr="002F2FDF">
        <w:rPr>
          <w:color w:val="000000" w:themeColor="text1"/>
          <w:sz w:val="16"/>
          <w:szCs w:val="16"/>
        </w:rPr>
        <w:t xml:space="preserve"> автомобильного производства. В дальнейшем завод «Красный Аксай», расширившийся за счет нового строительства, продолжал специализироваться в области сельскохозяйственного машиностроения (21552).</w:t>
      </w:r>
    </w:p>
    <w:p w14:paraId="3760D5A9" w14:textId="77777777" w:rsidR="0003758F" w:rsidRPr="002F2FDF" w:rsidRDefault="0003758F" w:rsidP="0083075A">
      <w:pPr>
        <w:pStyle w:val="ae"/>
        <w:shd w:val="clear" w:color="auto" w:fill="FFFFFF"/>
        <w:spacing w:before="0" w:after="0"/>
        <w:jc w:val="both"/>
        <w:rPr>
          <w:color w:val="000000" w:themeColor="text1"/>
          <w:sz w:val="16"/>
          <w:szCs w:val="16"/>
        </w:rPr>
      </w:pPr>
    </w:p>
    <w:p w14:paraId="20A3025D"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Армия:</w:t>
      </w:r>
    </w:p>
    <w:p w14:paraId="289E705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49A40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1917 год должен был стать годом решающих сражений. Но положение осложнялось огромными людскими потерями стран — участниц военных действий. Потери эти составили к концу войны 10 млн убитых и свыше 20 млн раненых и контуженых. Из них в России убитыми и не возвратившимися из плена числились 2,3 млн человек; во Франции — 1,4 млн; в Англии — 0,7 млн; в Бельгии — 0,1 млн, в США — 800 тысяч; в Италии — 500 тысяч; в Румынии — 100 тысяч; в Германии — 2 млн человек; в Австро-Венгрии — 1,4 млн; в Болгарии — 100 тыс. человек (Мировая война в цифрах. М.; Л., 1934. С. 21) (11270).</w:t>
      </w:r>
    </w:p>
    <w:p w14:paraId="6126B79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5E49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1914-17 гг. в целом, истребительная авиация составляла 35% от общего состава ВВС России, а летчики-истребители вместе с летчиками других родов авиации уничтожили более 2000 самолетов протитвника. Всего в России на 200 истребителей имелось 28 асов (т.е. летчиков, сбивших более пяти самолетов противника). Наиболее известные их них - А.Казаков (32 победы), П.Маринович (22), Е.Крутень и В.Федоров (20), К.Арцеулов (18), П.Аргеев (15), А.Северский (13), П.Смирнов (12), М.Сафанов, Б.Сергиевский и Э.Томсон (11), И.Орлов (10), Э.Пульпе и Г.Сук (7), О.Тетер, Я.Махлапуу и В.Янченко (6). Всего русскими асами было уничтожено 226 самолетов противника (11184).</w:t>
      </w:r>
    </w:p>
    <w:p w14:paraId="2D3AEE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02C67D" w14:textId="77777777" w:rsidR="00257900" w:rsidRPr="00FB4F67" w:rsidRDefault="0025790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ходе кампании 1917 г. противник потерял на востоке максимальное количество (в сравнении с предыдущими кампаниями) своих летательных аппаратов - 205. Основную их часть (137 боевых машин) записали на свой счет русские и союзные летчики. 57 аэропланов и аэростатов были сбиты зенитным огнем, 11 воздушных судов захвачены нашими войсками в качестве трофеев (23405).</w:t>
      </w:r>
    </w:p>
    <w:p w14:paraId="4B85A62A" w14:textId="77777777" w:rsidR="00257900" w:rsidRPr="00FB4F67" w:rsidRDefault="00257900" w:rsidP="0083075A">
      <w:pPr>
        <w:spacing w:after="0" w:line="240" w:lineRule="auto"/>
        <w:jc w:val="both"/>
        <w:rPr>
          <w:rFonts w:ascii="Times New Roman" w:hAnsi="Times New Roman" w:cs="Times New Roman"/>
          <w:color w:val="0070C0"/>
          <w:sz w:val="16"/>
          <w:szCs w:val="16"/>
        </w:rPr>
      </w:pPr>
    </w:p>
    <w:p w14:paraId="614483BB" w14:textId="77777777" w:rsidR="00257900" w:rsidRPr="00FB4F67" w:rsidRDefault="00257900" w:rsidP="0083075A">
      <w:pPr>
        <w:spacing w:after="0" w:line="240" w:lineRule="auto"/>
        <w:jc w:val="both"/>
        <w:rPr>
          <w:rFonts w:ascii="Times New Roman" w:hAnsi="Times New Roman" w:cs="Times New Roman"/>
          <w:color w:val="0070C0"/>
          <w:sz w:val="16"/>
          <w:szCs w:val="16"/>
        </w:rPr>
      </w:pPr>
      <w:r w:rsidRPr="00FB4F67">
        <w:rPr>
          <w:rFonts w:ascii="Times New Roman" w:hAnsi="Times New Roman" w:cs="Times New Roman"/>
          <w:color w:val="0070C0"/>
          <w:sz w:val="16"/>
          <w:szCs w:val="16"/>
        </w:rPr>
        <w:t>В течение 1917 года русские потеряли пятьдесят два аэростата, сорок один из них потеряли в полевых условиях и одиннадцать на своих бивуаках. В течение года девять наблюдателей были убиты и двадцать ранены (23525).</w:t>
      </w:r>
    </w:p>
    <w:p w14:paraId="1C7E7B0C" w14:textId="77777777" w:rsidR="00257900" w:rsidRPr="00FB4F67" w:rsidRDefault="00257900" w:rsidP="0083075A">
      <w:pPr>
        <w:spacing w:after="0" w:line="240" w:lineRule="auto"/>
        <w:jc w:val="both"/>
        <w:rPr>
          <w:rFonts w:ascii="Times New Roman" w:hAnsi="Times New Roman" w:cs="Times New Roman"/>
          <w:color w:val="0070C0"/>
          <w:sz w:val="16"/>
          <w:szCs w:val="16"/>
        </w:rPr>
      </w:pPr>
    </w:p>
    <w:p w14:paraId="48DC25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весь 1917 год Эскадра совершила около 70 боевых полетов, сбросив на противника до 650 пудов бомб. За всю германскую кампанию из 51 боевого корабля, поступивших на фронт, воевало около 40 машин. Они совершили до 300 вылетов, сбросив около 3000 пудов бомб (12038).</w:t>
      </w:r>
    </w:p>
    <w:p w14:paraId="408AFB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D2C04B" w14:textId="12CDF5FB" w:rsidR="003431D2" w:rsidRPr="002F2FDF" w:rsidRDefault="00807D26"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w:t>
      </w:r>
      <w:r w:rsidR="003431D2" w:rsidRPr="002F2FDF">
        <w:rPr>
          <w:rFonts w:ascii="Times New Roman" w:hAnsi="Times New Roman" w:cs="Times New Roman"/>
          <w:color w:val="000000" w:themeColor="text1"/>
          <w:kern w:val="2"/>
          <w:sz w:val="16"/>
          <w:szCs w:val="16"/>
        </w:rPr>
        <w:t xml:space="preserve">1917 г. </w:t>
      </w:r>
      <w:r w:rsidRPr="002F2FDF">
        <w:rPr>
          <w:rFonts w:ascii="Times New Roman" w:hAnsi="Times New Roman" w:cs="Times New Roman"/>
          <w:color w:val="000000" w:themeColor="text1"/>
          <w:kern w:val="2"/>
          <w:sz w:val="16"/>
          <w:szCs w:val="16"/>
        </w:rPr>
        <w:t xml:space="preserve">всю каманию </w:t>
      </w:r>
      <w:r w:rsidR="003431D2" w:rsidRPr="002F2FDF">
        <w:rPr>
          <w:rFonts w:ascii="Times New Roman" w:hAnsi="Times New Roman" w:cs="Times New Roman"/>
          <w:color w:val="000000" w:themeColor="text1"/>
          <w:kern w:val="2"/>
          <w:sz w:val="16"/>
          <w:szCs w:val="16"/>
        </w:rPr>
        <w:t>"Муромцы" воевали в основном на двух фронтах: Юго-Западном и Румынском. На румынский фронт был назначен 4-й боевой отряд под командованием капитана Р.Л.Нижевского в составе которого находились корабли: V-й №266 тип Е — штабс-капитана Г.В.Алехновича, 1Х-Й №265 тип Е — Начальника отряда, IV-й — поручика Я.Н.Шарова и III-й — капитана Е.И.Жигайлова. В апреле экипажи получили задание вылететь на фронт. 8 апреля до места назначения (с.Болгарийка под Белградом) добрались лишь IV-й и IX-й кораб­ли. У 111-го корабля из-за сильного ветра было сломано правое крыло и его пришлось доставлять для ремонта в Винницу. Корабль V-й сел в Кишиневе и лишь в мае присоединился к отряду. Первый боевой полет 4-го боевого отряда (и первый боевой полет "Муромца" типа Е) состоялся 8 апреля 1917 г. Экипаж 1Х-го корабля получил задание произвести бомбометание по портовым сооружениям и складам г.Тульча, попутно осуществляя разведку и фотографирование. 116-пудовую нагрузку "муромца" составляли: 7 членов экипажа (командир, артофицер, механик, моторист и 3 пулеметчика), бензина 48 пудов, масла 8 пудов, 2 пулемета "Виккерса", 3 — "Льюиса". 2 — "Мадсена" и 10 пудовых бомб. Полет длился 3 часа 18 минут. 20 апреля в полет отправилось уже 2 машины: IV-й и IX-й корабли. Но у поручика Шарова на высоте 700 м остановился мотор и при вынужденной посадке было сломано шасси, вин­ты и передняя коробка крыльев. Его пришлось отправить в ремонт в Винницу. В мае 1917 г. из Кишинева в 4-й отряд прибыл второй "Муромец"типа Е — "V-й корабль" №266 штабс-капитана Алехновича. 31 мая оба аппарата типа Е совершили совместный налет на Тульчу, сбросив по складам и казармам неприятеля 18 пудов бомб. 17 июня V-й корабль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6627DA0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E3539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За весь 1917 год Эскадра совершила около 70 боевых полетов, сбросив на противника до 650 пудов бомб. За всю германскую кампанию из 51 боевого корабля, поступивших на фронт, воевало около 40 машин. Они совершили до 300 вылетов, сбросив около 3000 пудов бомб (11277).</w:t>
      </w:r>
    </w:p>
    <w:p w14:paraId="290BCCE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BFD6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в разведывательную авиацию поступили ламповые передатчики РОБТиТ российского производства (11184).</w:t>
      </w:r>
    </w:p>
    <w:p w14:paraId="0EA5910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BA6DB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вокруг Петрограда и Одессы уже было выставлено по 60 наблюдательных постов, сведенных в роты наблюдателей и укомплектованных кадровыми офицерами и солдатами. В дальнейшем вокруг Петрограда количество таких постов увеличилось до 83. Для приема донесений от постов также было создано вокруг российской столицы 15 телефонных и телеграфных станций (11198).</w:t>
      </w:r>
    </w:p>
    <w:p w14:paraId="0B102F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F7F4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из 62 случаев применения парашюта 42 завершились благополучным исходом, 12 летчиков получили ушибы и телесные повреждения, и лишь восемь погибли. В “Вестнике Воздушного Флота” № 4 за 1918 год говорится, что в русской военной авиации парашюты практически не применялись до 1917 года. Это объяснялось “особой позицией” царского генералитета, который считал, что летчики, имеющие парашюты, в случае малейшей опасности будут покидать дорогостоящие самолеты, купленные за границей. К тому же некоторые генералы, в том числе непосредственно отвечавшие за авиацию, считали парашют сомнительным и ненадежным средством спасения. Однако статистика опровергла этот вывод (11266).</w:t>
      </w:r>
    </w:p>
    <w:p w14:paraId="7160A6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0094BD" w14:textId="77777777" w:rsidR="00807D26" w:rsidRPr="002F2FDF" w:rsidRDefault="00807D2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В 1917 г. было совершено 5 прыжков на па</w:t>
      </w:r>
      <w:r w:rsidRPr="002F2FDF">
        <w:rPr>
          <w:rFonts w:ascii="Times New Roman" w:hAnsi="Times New Roman" w:cs="Times New Roman"/>
          <w:color w:val="000000" w:themeColor="text1"/>
          <w:sz w:val="16"/>
          <w:szCs w:val="16"/>
        </w:rPr>
        <w:softHyphen/>
        <w:t>рашюте Котельникова и 57 — на парашюте Жюкмесса. 18 из них закончились гибелью па</w:t>
      </w:r>
      <w:r w:rsidRPr="002F2FDF">
        <w:rPr>
          <w:rFonts w:ascii="Times New Roman" w:hAnsi="Times New Roman" w:cs="Times New Roman"/>
          <w:color w:val="000000" w:themeColor="text1"/>
          <w:sz w:val="16"/>
          <w:szCs w:val="16"/>
        </w:rPr>
        <w:softHyphen/>
        <w:t>рашютистов. Всего же за годы Первой мировой войны в русской армии воздухоплаватели совер</w:t>
      </w:r>
      <w:r w:rsidRPr="002F2FDF">
        <w:rPr>
          <w:rFonts w:ascii="Times New Roman" w:hAnsi="Times New Roman" w:cs="Times New Roman"/>
          <w:color w:val="000000" w:themeColor="text1"/>
          <w:sz w:val="16"/>
          <w:szCs w:val="16"/>
        </w:rPr>
        <w:softHyphen/>
        <w:t>шили 65 прыжков (29 добровольных и 36 вы</w:t>
      </w:r>
      <w:r w:rsidRPr="002F2FDF">
        <w:rPr>
          <w:rFonts w:ascii="Times New Roman" w:hAnsi="Times New Roman" w:cs="Times New Roman"/>
          <w:color w:val="000000" w:themeColor="text1"/>
          <w:sz w:val="16"/>
          <w:szCs w:val="16"/>
        </w:rPr>
        <w:softHyphen/>
        <w:t>нужденных). При этом 12,5% парашютистов раз</w:t>
      </w:r>
      <w:r w:rsidRPr="002F2FDF">
        <w:rPr>
          <w:rFonts w:ascii="Times New Roman" w:hAnsi="Times New Roman" w:cs="Times New Roman"/>
          <w:color w:val="000000" w:themeColor="text1"/>
          <w:sz w:val="16"/>
          <w:szCs w:val="16"/>
        </w:rPr>
        <w:softHyphen/>
        <w:t>бились при падении, 14% — получили ранения и 73,5% благополучно приземлились.</w:t>
      </w:r>
    </w:p>
    <w:p w14:paraId="2356CC3C" w14:textId="77777777" w:rsidR="00807D26" w:rsidRPr="002F2FDF" w:rsidRDefault="00807D26" w:rsidP="0083075A">
      <w:pPr>
        <w:spacing w:after="0" w:line="240" w:lineRule="auto"/>
        <w:jc w:val="both"/>
        <w:rPr>
          <w:rFonts w:ascii="Times New Roman" w:hAnsi="Times New Roman" w:cs="Times New Roman"/>
          <w:color w:val="000000" w:themeColor="text1"/>
          <w:sz w:val="16"/>
          <w:szCs w:val="16"/>
        </w:rPr>
      </w:pPr>
      <w:r w:rsidRPr="002F2FDF">
        <w:rPr>
          <w:rFonts w:ascii="Times New Roman" w:hAnsi="Times New Roman" w:cs="Times New Roman"/>
          <w:color w:val="000000" w:themeColor="text1"/>
          <w:sz w:val="16"/>
          <w:szCs w:val="16"/>
        </w:rPr>
        <w:t>За это же время в армии 22 раза воздухоплава</w:t>
      </w:r>
      <w:r w:rsidRPr="002F2FDF">
        <w:rPr>
          <w:rFonts w:ascii="Times New Roman" w:hAnsi="Times New Roman" w:cs="Times New Roman"/>
          <w:color w:val="000000" w:themeColor="text1"/>
          <w:sz w:val="16"/>
          <w:szCs w:val="16"/>
        </w:rPr>
        <w:softHyphen/>
        <w:t>тели спускались на повреждённых аэростатах без парашюта (из-за его отсутствия или нахождения аэростата на малой высоте). При этом 21% воз</w:t>
      </w:r>
      <w:r w:rsidRPr="002F2FDF">
        <w:rPr>
          <w:rFonts w:ascii="Times New Roman" w:hAnsi="Times New Roman" w:cs="Times New Roman"/>
          <w:color w:val="000000" w:themeColor="text1"/>
          <w:sz w:val="16"/>
          <w:szCs w:val="16"/>
        </w:rPr>
        <w:softHyphen/>
        <w:t>духоплавателей разбились при падении, получи</w:t>
      </w:r>
      <w:r w:rsidRPr="002F2FDF">
        <w:rPr>
          <w:rFonts w:ascii="Times New Roman" w:hAnsi="Times New Roman" w:cs="Times New Roman"/>
          <w:color w:val="000000" w:themeColor="text1"/>
          <w:sz w:val="16"/>
          <w:szCs w:val="16"/>
        </w:rPr>
        <w:softHyphen/>
        <w:t>ли тяжёлые ранения — 24,5%, лёгкие ранения — 41% и благополучно спустились — только 14,5% (20120).</w:t>
      </w:r>
    </w:p>
    <w:p w14:paraId="53E5EEC4" w14:textId="77777777" w:rsidR="00807D26" w:rsidRPr="002F2FDF" w:rsidRDefault="00807D26" w:rsidP="0083075A">
      <w:pPr>
        <w:spacing w:after="0" w:line="240" w:lineRule="auto"/>
        <w:jc w:val="both"/>
        <w:rPr>
          <w:rFonts w:ascii="Times New Roman" w:hAnsi="Times New Roman" w:cs="Times New Roman"/>
          <w:color w:val="000000" w:themeColor="text1"/>
          <w:sz w:val="16"/>
          <w:szCs w:val="16"/>
        </w:rPr>
      </w:pPr>
    </w:p>
    <w:p w14:paraId="23EECD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воздухоплавательные роты были переформированы в армейские и корпусные воздухоплавательные отряды, сведённые в 1-14-й воздухоплавательные дивизионы. Всего в Действующей армии имелось 59 корпусных и 29 армейских воздухоплавательных отрядов, Ревельская и Свеаборгская крепостные воздухоплавательные роты (по 3 наблюдательные станции). Всего в этих подразделениях имелось около 200 змейковых аэростатов. Численность личного состава воздухоплавательных частей составляла около 700 офицеров и 28 тысяч нижних чинов. В ноябре 1916 г. при 28 воздухоплавательных дивизионах сформировано 28 воздухоплавательных отрядов (по 2 привязных змейковых аэростата). Командиры дивизионов были подчинены инспектору артиллерии армии. Для корректировки воздухоплавательные дивизионы придавались корпусам, и тогда командир отряда подчинялся инспектору артиллерии корпуса (приказ начальника Штаба ВГК № 1623 от 22.11.1916 г.) (11672).</w:t>
      </w:r>
    </w:p>
    <w:p w14:paraId="1B3F726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15B5D5" w14:textId="77777777" w:rsidR="00097678" w:rsidRPr="002F2FDF" w:rsidRDefault="00097678"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Американские гусеничные тракторы «Ломбард» с двигателями 60, 100, 110, 120 и 140 л.с. начали поступать в Главное инженерное управление Русской армии. Прицепные рыхлители (рутеры, рипперы) применялись в Русской армии не только для строительства дорог, но и для их разрушения. На немецкой открытке 1917 г. трофейный рыхлитель описан как «Машины для приведения в непроходимость шоссе, которые использовали русские во время своего отступления» (12140).</w:t>
      </w:r>
    </w:p>
    <w:p w14:paraId="17ED9E59" w14:textId="77777777" w:rsidR="00097678" w:rsidRPr="002F2FDF" w:rsidRDefault="00097678" w:rsidP="0083075A">
      <w:pPr>
        <w:spacing w:after="0" w:line="240" w:lineRule="auto"/>
        <w:jc w:val="both"/>
        <w:rPr>
          <w:rFonts w:ascii="Times New Roman" w:hAnsi="Times New Roman" w:cs="Times New Roman"/>
          <w:color w:val="000000" w:themeColor="text1"/>
          <w:kern w:val="2"/>
          <w:sz w:val="16"/>
          <w:szCs w:val="16"/>
        </w:rPr>
      </w:pPr>
    </w:p>
    <w:p w14:paraId="11E07A73" w14:textId="77777777" w:rsidR="0040277E" w:rsidRPr="002F2FDF" w:rsidRDefault="0040277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Жизнь и внутренняя политика:</w:t>
      </w:r>
    </w:p>
    <w:p w14:paraId="6BC65781" w14:textId="77777777" w:rsidR="0040277E" w:rsidRPr="002F2FDF" w:rsidRDefault="0040277E"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17E5E0" w14:textId="77777777" w:rsidR="0040277E" w:rsidRPr="002F2FDF" w:rsidRDefault="0040277E" w:rsidP="0083075A">
      <w:pPr>
        <w:pStyle w:val="a3"/>
        <w:rPr>
          <w:color w:val="000000" w:themeColor="text1"/>
          <w:lang w:val="ru-RU"/>
        </w:rPr>
      </w:pPr>
      <w:r w:rsidRPr="002F2FDF">
        <w:rPr>
          <w:color w:val="000000" w:themeColor="text1"/>
          <w:lang w:val="ru-RU"/>
        </w:rPr>
        <w:t>В 1917 г. произошел резкий спад реальной зарплаты промышленных рабочих – до 38% к довоенному уровню, в то время, как в первые два года войны росла (18078),</w:t>
      </w:r>
    </w:p>
    <w:p w14:paraId="36DA9F83" w14:textId="77777777" w:rsidR="0040277E" w:rsidRPr="002F2FDF" w:rsidRDefault="0040277E" w:rsidP="0083075A">
      <w:pPr>
        <w:pStyle w:val="a3"/>
        <w:rPr>
          <w:color w:val="000000" w:themeColor="text1"/>
          <w:lang w:val="ru-RU"/>
        </w:rPr>
      </w:pPr>
    </w:p>
    <w:p w14:paraId="7C2635F5" w14:textId="77777777" w:rsidR="0040277E" w:rsidRPr="002F2FDF" w:rsidRDefault="0040277E" w:rsidP="0083075A">
      <w:pPr>
        <w:pStyle w:val="a3"/>
        <w:rPr>
          <w:color w:val="000000" w:themeColor="text1"/>
          <w:lang w:val="ru-RU"/>
        </w:rPr>
      </w:pPr>
      <w:r w:rsidRPr="002F2FDF">
        <w:rPr>
          <w:color w:val="000000" w:themeColor="text1"/>
          <w:lang w:val="ru-RU"/>
        </w:rPr>
        <w:t>В 1917 году индекс оптовых цен в Германии был 179, в Великобритании — 206, во Франции — 262, в Италии — 306 (за 100 принималось значение индекса в 1913 году), в России в 1916 году — 199,3 (18087).</w:t>
      </w:r>
    </w:p>
    <w:p w14:paraId="60F1023F" w14:textId="77777777" w:rsidR="0040277E" w:rsidRPr="002F2FDF" w:rsidRDefault="0040277E" w:rsidP="0083075A">
      <w:pPr>
        <w:pStyle w:val="a3"/>
        <w:rPr>
          <w:color w:val="000000" w:themeColor="text1"/>
          <w:lang w:val="ru-RU"/>
        </w:rPr>
      </w:pPr>
    </w:p>
    <w:p w14:paraId="18F009AC"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Внешняя политика:</w:t>
      </w:r>
    </w:p>
    <w:p w14:paraId="4BAFDCB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B2E1B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были остановлены российские военный заказы за рубежом.</w:t>
      </w:r>
    </w:p>
    <w:p w14:paraId="4D8950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Первое, что нужно отметить, это то обстоятельство, что никто из союзников, в том числе, конечно, и русские, не знал природы и характерных черт американской промышленности. Поэтому ей приписывали всемогущество, которым она не обладала. </w:t>
      </w:r>
    </w:p>
    <w:p w14:paraId="27E686E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Затем, никто из союзников в надлежащей мере не оценил технической и организационной сложности задач, которые представляло собой выполнение громадных военных заказов промышленностью, не имевшей опыта в военной технике. Столь же мало ее оценили и сами американские промышленники. Поэтому контрактные сроки выполнения заказов, принятые обеими сторонами, были в некоторых случаях смехотворно малы. Впрочем, надо думать, что, кроме добросовестного заблуждения, в некоторых случаях американцы шли заведомо на невыполнение заказа в срок. </w:t>
      </w:r>
    </w:p>
    <w:p w14:paraId="51D22D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Только близкое ознакомление наших приемщиков с американской индустрией в процессе трехлетней совместной работы позволило дать правильную оценку тех ее сторон, которые могут и должны интересовать военнопромышленника. </w:t>
      </w:r>
    </w:p>
    <w:p w14:paraId="0716289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Прежде всего, к началу Европейской войны военная промышленность Америки как отдельная отрасль по объему своему была весьма мала. Она ограничивалась весьма небольшим числом казенных и частных заводов. Поэтому в Америке имелось весьма ограниченное число инженеров, мастеров и специалистов-рабочих, знающих и опытных в технике военных производств. И сама эта техника стояла на среднем уровне. Остальной громадней американской промышленности военно-производственная работа была незнакома и чужда. </w:t>
      </w:r>
    </w:p>
    <w:p w14:paraId="78208B9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Что касается гражданской промышленности, то при всех ее положительных качествах — финансовой мощи, энергии, предприимчивости, широте размаха, высоком уровне техники, она обладала одной отрицательной особенностью: прекрасно работая по установившимся стандартам, она страдала отсутствием производственно-технической гибкости и быстрой приспособляемости в постановке новых производств. </w:t>
      </w:r>
    </w:p>
    <w:p w14:paraId="1397EC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итоге указанных выше обстоятельств все заказы, как России, так и других союзников, почти неизменно терпели неудачу во всех случаях, когда требовалась установка новых производств. За малым исключением эти заказы выполнялись с громадным запозданием в сроках, в то время как весь смысл их был в срочности исполнения. </w:t>
      </w:r>
    </w:p>
    <w:p w14:paraId="4647CA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тех случаях, где объектами заказа являлись предметы, уже ранее изготовлявшиеся на американских заводах, он проходил весьма успешно как в смысле сроков, так и качества изделий. </w:t>
      </w:r>
    </w:p>
    <w:p w14:paraId="4B419B6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 xml:space="preserve">Контрактные цены на изделия, заказываемые в Америке, были, за малым исключением, весьма высокими, несмотря на то, что объем заказов был обычно весьма велик. Эти цены превышали значительно соответственные русские цены того времени. Например, винтовка была заказана по цене 30 долларов, в то время как в России она стоила 24 рубля. Если же к указанным контрактным ценам прибавить все неизбежные в обстановке американских заказов накладные расходы, то окончательная стоимость некоторых предметов вооружения, заказанных в Америке и фактически прибывших в Россию, достигает прямо чудовищных цифр. К таким накладным расходам относились: а) проценты по иностранным займам, на которые велись заказы; б) организационные расходы по содержанию Заготовительного комитета в Америке и Правительственного комитета в Лондоне; в) организационные расходы по проведению заказов; г) расходы по хранению готовых изделий на территории Америки; д) расходы по транспорту на территории Америки и по доставке в Россию; е) убытки от пожаров и взрывов на заводах и складах в Америке; ж) убытки от потопления в пути судов с русскими военными грузами; з) убытки от порчи военных грузов в пути и в портах при хранении; и) убытки по вынужденному финансированию контрагентов сверх условий контрактов; к) убытки от недобросовестных претензий и исков со стороны контрагентов и пр. </w:t>
      </w:r>
    </w:p>
    <w:p w14:paraId="2EF391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Сверх указанных прямых накладных расходов следовало бы, конечно, добавить и те косвенные убытки, которые понесло государство благодаря громадным опозданиям в исполнении заказов, что в корне разрушало все расчеты и планы по ведению войны и влекло за собой военные неудачи. </w:t>
      </w:r>
    </w:p>
    <w:p w14:paraId="5110FA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Затем, условия реализации заграничных военных заказов часто вынуждали идти,. в порядке неизбежной уступки требованиям контрагента, на изменения технических требований, предъявляемых к заказанным изделиям, а иногда и на серьезные изменения в конструкции самого изделия. Типичный пример — три разновидности дистанционных трубок в канадском и моргановском заказах на 3-дм патроны. В итоге — пестрота и разнотипность вооружения армии. </w:t>
      </w:r>
    </w:p>
    <w:p w14:paraId="13561D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Далее, размещая военные заказы на иностранных рынках, заказчик часто вынужден вместо принятых на вооружение в его армии образцов принимать образцы иностранные. Пример — одновременные заказы на пулеметы Кольта, Виккерса и Льюиса. Опять в результате пестрота вооружения и сложность снабжения боеприпасами. </w:t>
      </w:r>
    </w:p>
    <w:p w14:paraId="69AAB16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Наконец, надо твердо напомнить, что военные заказы, помещенные на нейтральных рынках, всегда будут находиться под угрозой шпионажных покушений со стороны неприятеля и терпеть определенный ущерб, как это и имелось в американских заказах. </w:t>
      </w:r>
    </w:p>
    <w:p w14:paraId="546567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Как правило, надо считать, что в обстановке заграничных военных заказов из двух договаривающихся сторон — хозяином положения всегда будет контрагент. Это положение хорошо поясняется приведенными выше описаниями прохождения заказов. Во всякого рода спорах, вытекающих из договорных отношений сторон, выигрышная позиция неизменно будет оставаться за контрагентом, так как он может всегда найти множество поводов — чисто формального порядка — возложить на заказчика виновность в неуспехе хода поставки. </w:t>
      </w:r>
    </w:p>
    <w:p w14:paraId="51334B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При выполнении заграничных военных заказов весьма трудная роль выпадает на приемную инспекцию. Прежде всего она неизбежно должна взять на себя задачу инструктажа в работе заводов-контрагентов в тех случаях, когда этим последним приходится ставить производства заново. Вся дальнейшая работа по приемке изделий и корректированию работы поставщика должна вестись с исключительной осторожностью и уменьем, так как каждый неверный шаг даст поставщику право, вернее повод, приписывать неуспех в работе неправильным действиям инспекций. Поэтому кадр приемщиков должен быть обязательно высокой квалификации и не может комплектоваться людьми случайными. С полным беспристрастием и справедливостью надлежит указать, что русские приемщики, работавшие на американских заказах, были во многих случаях подлинными инструкторами американских заводов при постановке производства. </w:t>
      </w:r>
    </w:p>
    <w:p w14:paraId="37D477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При помещении военных заказов в нейтральных странах неизбежно придется конкурировать не только с союзниками, а иногда и с враждебными государствами. Контрагент всегда отдает предпочтение тому из заказчиков, который обладает большей платежеспособностью. В русско-японскую войну на заводе Круппа одновременно выполнялись заказы русских и японцев, и приемщики обеих воюющих стран обедали в Казино завода, за одним столом. </w:t>
      </w:r>
    </w:p>
    <w:p w14:paraId="6D0730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Здесь уместно сказать, что вся обстановка военных заказов — их громадный масштаб, крайняя срочность — неизбежно создают вокруг этих заказов большой ажиотаж, спекуляцию и темную работу всякого рода дельцов и комиссионеров. В результате вздуваются цены и заказчик часто рискует стать жертвой крупного мошенничества. </w:t>
      </w:r>
    </w:p>
    <w:p w14:paraId="47D109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Наконец, надо отметить, что размещение военных заказов и выполнение их всегда протекает под знаком сложных политических влияний как со стороны союзников, так и противников. Здесь к слову напомнить, что Россия в русско-японскую войну разместила в Германии и Австрии крупные военные заказы, которые ей, по существу, не были особенно нужны. Эти заказы являлись оплатой нейтралитета этих стран в японской войне. </w:t>
      </w:r>
    </w:p>
    <w:p w14:paraId="39602F5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Все перечисленные выше обстоятельства должны быть тщательным образом взвешены и учтены при разрешении вопросов о заграничных заказах во время войны на предметы вооружения. </w:t>
      </w:r>
    </w:p>
    <w:p w14:paraId="3A04E33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Представляется совершенно бесспорным, что заграничные заказы ни в коем случае не могут входить в качестве планового элемента в организацию боевого снабжения армии. Заграничный рынок, конечно, может и должен быть использован для усиления снабжения в тех случаях, когда это представляется возможным и удобным, но строить на нем прочные перспективные расчеты по снабжению, понятно, ни в коем случае нельзя. Это с достаточной ясностью показала история военных заказов в Америке. </w:t>
      </w:r>
    </w:p>
    <w:p w14:paraId="688C865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Есть еще одна сторона в вопросе о заграничных заказах, которую не надо упускать из вида. За счет тех миллиардов золота, которые текли в Америку по руслу военных заказов, там в короткий срок выросла громадного масштаба военная промышленность. За счет заказчиков сооружены были сотни богато оборудованных заводов по всем военным специальностям. Путем бесплатного высококомпетентного инструктажа со стороны заказчиков создался по всем военным специальностям богатый кадр опытных инженеров, мастеров и сотен тысяч рабочих-специалистов. Усилиями заказчиков был, можно сказать насильственно, привит американской промышленности богатейший и ценный опыт в военных производствах. </w:t>
      </w:r>
    </w:p>
    <w:p w14:paraId="7209E87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 все это было создано в четыре года, на пустом месте, поскольку в Америке военная индустрия была до войны лишь в зародыше, без всяких затрат со стороны государства, и притом на фоне общего обогащения страны за счет все тех же заказчиков. </w:t>
      </w:r>
    </w:p>
    <w:p w14:paraId="012897B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Можно задать вопрос: сколько времени, каких средств и каких усилий потребовалось бы государству, даже самому богатому, чтобы достигнуть самостоятельно, без вмешательства внешних сил, таких результатов в смысле развития военной промышленности? </w:t>
      </w:r>
    </w:p>
    <w:p w14:paraId="0D512A0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Можно и нужно поставить и другой вопрос. Россия в три года влила в американский рынок почти 900 000 000 долларов, или, грубо, 1 800 000 000 золотых рублей, притом без особо ощутительных для себя боевых результатов. Каковы были бы результаты, если небольшая доля названной суммы, в мирное время, в течение ряда лет была бы планомерно затрачена на создание у себя нескольких военных заводов и на мобилизационную подготовку гражданской промышленности? </w:t>
      </w:r>
    </w:p>
    <w:p w14:paraId="7DC5897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Можно поставить и третий вопрос. Гарантированы ли союзники, что громадная военная мощь Америки, созданная их руками, не обратится в один прекрасный день против кого-либо из них самих? </w:t>
      </w:r>
    </w:p>
    <w:p w14:paraId="1E3747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Россия в период Европейской войны поместила крупные военные заказы не только в Америке, но и во Франции, Англии, Италии и Японии. </w:t>
      </w:r>
    </w:p>
    <w:p w14:paraId="49AE85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Для дела государственной обороны было бы весьма полезно, чтобы ведомства, поверяющие или, вернее, урезающие военно-промышленные кредиты, были ближе знакомы с историей военной промышленности вообще, и в частности — с заграничными заказами (11329).</w:t>
      </w:r>
    </w:p>
    <w:p w14:paraId="4756E578" w14:textId="77777777" w:rsidR="00AC7478" w:rsidRPr="002F2FDF" w:rsidRDefault="00AC7478"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AE0D06"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За рубежом:</w:t>
      </w:r>
    </w:p>
    <w:p w14:paraId="0F36969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3CF38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Кампания 1917 г. характеризуется дальнейшими поисками способов и средств прорыва позиционного фронта. И именно в эту военную кампанию появилось новое средство для этого - танки. Авиация в этот год еще более утвердила свои позиции: теперь она выступает уже официально не только как весьма эффективное средство помощи наземным операциям, но и как самостоятельный род войск.</w:t>
      </w:r>
    </w:p>
    <w:p w14:paraId="095865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Усилия бомбардировочной авиации все больше направлялись на объекты глубокого тыла, недосягаемые для артиллерии - на железнодорожные станции, оперативные резервы и аэродромы. Наряду с поддержкой наступления наземных войск бомбардировочная авиация вела большую самостоятельную работу преимущественно по ночам.</w:t>
      </w:r>
    </w:p>
    <w:p w14:paraId="1F35149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Наряду с ночными действиями бомбардировочной авиации вновь возродились и ее дневные рейды, стали все более распространяться тяжелые бомбардировщики . Германская бомбардировочная авиация приступила к плановым бомбардировкам Лондона и Парижа и военных объектов в районе Нанси. Значение ночной бомбардировочной деятельности настолько возросло, что в конце этого года в Германии насчитывалось уже не два, а шесть бомбардировочных дивизионов; но теперь они уже назывались не Kampfgeschwader (KG), как ВАО и ВАМ, а - Bombengeschwader (BG - Бомбардировочные эскадры). Несколькими бомбардировками только одного такого дивизиона было сброшено на Дюнкир- хен около 125 т бомб (груз девяти ж/д вагонов).</w:t>
      </w:r>
    </w:p>
    <w:p w14:paraId="52630DF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Французские бомбардировщики совершали налеты на промышленные центры Бриэ и Саар. Регулярно бомбили Тионвиль. Английская бомбардировочная авиация систематически бомбардировала верфь германских подводных лодок в Брюгге.</w:t>
      </w:r>
    </w:p>
    <w:p w14:paraId="3D1A956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Бомбардировочные отряды (эскадры) действовали одиночными самолетами и держали в напряжении объект атаки на протяжении почти всей ночи. Германская авиация применяла бомбы замедленного действия весом от 100 до 300 кг. В результате систематических налетов германской бомбардировочной авиации, большинство французских военных предприятий в Невмезоне было остановлено. Они возобновили свою деятельность только тогда, когда были совершенно прекращены налеты германской авиации на район Нанси.</w:t>
      </w:r>
    </w:p>
    <w:p w14:paraId="3FE2EC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Ночная бомбардировочная авиация обеих сторон эффективно действовала и по аэродромам. Так, например, после германских бомбардировок, продолжавшихся подряд в течение двух ночей, англичане вынуждены были совершенно покинуть аэродром в Кудкерке, с которого систематически производили налеты на германскую верфь подводных лодок. Действия германской бомбардировочной авиации по аэродромам были особенно эффективны. Так, в Леме и в Оше германскими летчиками было уничтожено 60 самолетов за одну ночь. Также по ночам совершали нападения на Англию и цеппелины, хотя количество этих нападений и снизилось до 7 против 22 в предыдущем году.</w:t>
      </w:r>
    </w:p>
    <w:p w14:paraId="7F99F6B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связи с этим возникла необходимость действия истребителей в ночных условиях, и в этот год бои в воздухе стали происходить не только днем. Для борьбы с ночными налетами были подготовлены специальные части ночной истребительной авиации. Ночной воздушный бой в эту кампанию стал довольно частым явлением. Однако наибольшие потери германские бомбардировщики несли при посадке на свой аэродром.</w:t>
      </w:r>
    </w:p>
    <w:p w14:paraId="509C048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этой военной кампании началось планирование действий не только бомбардировочной авиации. Начали выделяться авиационные резервы отдельных армий и групп армий. Авиации предъявлялись конкретные требования, имеющие своей целью, прежде всего, завоевание господства в воздухе. Для этого массированные нападения на воздушные силы противника назначались накануне планируемых наступлений. Также важной задачей авиации была признана всесторонняя поддержка войск на поле боя во время проведения боевых операций.</w:t>
      </w:r>
    </w:p>
    <w:p w14:paraId="0C67AF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Еще больше возросла роль истребительной авиации. В воздушных боях участвовали одновременно по 20 и более истребителей с каждой стороны, бои происходили на высотах до 4000 м. Наиболее тренированные летчики сторон сражались на высоте до 6000 м.</w:t>
      </w:r>
    </w:p>
    <w:p w14:paraId="00C49B4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этом году резко возросло производство самолетов и двигателей к ним. Ежемесячное производство двигателей во Франции в сорок раз превышало продукцию русских заводов. Заводы Англии поставили в 1917 г. И 536 двигателей. В то же время Германия построила в 1917 г. 19 746 самолетов. Германия имела в строю не менее 1500 боевых машин только в начале 1917 года.</w:t>
      </w:r>
    </w:p>
    <w:p w14:paraId="11854A6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Именно в этом году по-настоящему развернулось соревнование военных летчиков за первенство в списке асов Великой войны.</w:t>
      </w:r>
    </w:p>
    <w:p w14:paraId="418455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конца этого года французское командование стало широко применять на Западном фронте авиацию для штурмовых действий на решающих участках фронта.</w:t>
      </w:r>
    </w:p>
    <w:p w14:paraId="0CC8F79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эффективнее начинает работать и противовоздушная оборона. Для этих целей используются специальные зенитные орудия с приборами управления огнем и истребительная авиация. Применяются аэростаты заграждения, зенитные прожекторы, оформляется служба ВНОС (11999).</w:t>
      </w:r>
    </w:p>
    <w:p w14:paraId="14CF868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6953C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когда армия ликвидировала сухопутное управляемое воздухоплавание, часть принадлежащих ей баз, как, например, в Виттмундсгафене (2 больших сдвоенных эллинга) и Вильдесгаузене (1 большой эллинг), построенных у Северного моря, перешли флоту (11324).</w:t>
      </w:r>
    </w:p>
    <w:p w14:paraId="7BC06FA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8862D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была готова конструкция R.80, который изготовила фирма “Виккерс” самостоятельно. Главный конструктор Барнес Валлис разработал новую веретенообразную форму оболочки дирижабля, воздушное сопротивление которой было существенно ниже, чем у обычных дирижаблей с цилиндрической средней частью. При этом гондолы проектировались также с учетом требования наименьшего сопротивления. Их было три — одна спереди и две рядом примерно посередине оболочки. С виду R.80 получился очень красивым дирижаблем. Его разработка продолжалась весьма долго и неоднократно по требованию военных переделывалась. Моторная установка состояла из четырех двигателей “Уолслей-Майбах” мощностью по 230 л. с. — два с приводом на один винт в задней части передней гондолы и по одному в каждой из задних гондол. Вооружение состояло из трех двуствольных пушек для борьбы с кораблями и подводными лодками и двух пулеметов для обороны от истребителей. Ожидалось достижение максимальной скорости 96,5 км/ч и дальности полета 6200 км. Строительство R.80 велось в Барроу, однако весной 1919 года работы приостановили. Правительство пожелало, чтобы все новые дирижабли могли использоваться и в коммерческих целях, что для R.80 являлось невыполнимым. В апреле 1920 года была установлена внешняя обшивка оболочки, и уже 19 июня дирижабль совершил первый полет, к сожалению закончившийся аварией — серьезные повреждения получила хвостовая часть. Ремонт затянулся, и свой следующий полет R.80 смог совершить только в январе следующего года. Его характеристики, к сожалению, уже не удовлетворяли требованиям времени, и в феврале 1921 года Королевские ВВС заявили о своей незаинтересованности в данном проекте. Позже R.80 совершил несколько вылетов для обучения экипажей американских дирижаблей и в октябре был передан на хранение. Налетал только 73 часа. На его строительство было израсходовано 275 000 фунтов стерлингов. Строительство так называемого “систершипа” дирижабля R.81, заказанного в 1918 году, так и не началось (11324).</w:t>
      </w:r>
    </w:p>
    <w:p w14:paraId="2B45823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A242B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За весь 1917 год английскими дирижаблями было обнаружено 26 лодок, из них атаковано 15. </w:t>
      </w:r>
    </w:p>
    <w:p w14:paraId="7FE6372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Потери британских дирижаблей были в целом невелики. Среди дирижаблей S.S.P. один был потерян над морем и еще один над материком; два N.S. потеряны над Северным морем и два потерпели крушение. Много боевых столкновений с неприятелем имели дирижабли типа “С”. Так, С. 17 был [278] сбит немцами в апреле, а С.27 — в декабре 1917 года. При розыске С.27 был потерян и С.26. Остальные британские мягкие дирижабли, после выработки налета, разобрали. </w:t>
      </w:r>
    </w:p>
    <w:p w14:paraId="3DDFAB3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48B9209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0124547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69C92CA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65C1D65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подлодки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584868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платформе. Подготовкой офицерских кадров британская служба воздухоплавания занималась основательно. Вначале курсанты летали на воздушных шарах воздухоплавательной станции Уормвуд Скреббе, а затем изучали навигацию в Портсмуте. И только закончив эту часть курса подготовки, приступали к обучению полетам на дирижаблях (11324).</w:t>
      </w:r>
    </w:p>
    <w:p w14:paraId="6CEC25B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702D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во французской армии остались только 2 боевые воздухоплавательные базы, которые размещались в городах Эпиналь и Туль. Окончательная ликвидация армейского воздухоплавания была намечена на март, и поэтому генеральный штаб приказал провести последний демонстрационный налет на территорию противника. 23 февраля в воздух поднялись “Шампань” и “Пилатр де Розье”, для которого этот полет действительно оказался последним — он был сбит над Эльзасом близ Вермердингена. Экипаж вместе с капитаном Прешером погиб, в живых остался только граф де ля Во. Дирижабль выполнил всего 2 боевых вылета (11324).</w:t>
      </w:r>
    </w:p>
    <w:p w14:paraId="7C9EE9E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7F8E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1917 году французские морские дирижабли совершили 1128 вылетов (4164 часов в воздухе), а в следующем году 2201 (12 133 часов). В основном это вылеты на прикрытие транспортных конвоев, поиска мин и подводных лодок. Кроме того, нередки были полеты для спасения моряков с торпедированных судов, а также потерпевших аварию морских самолетов. Дирижабли обезвредили 100 плавающих мин и 60 раз атаковали подводные лодки противника. Они прекрасно справлялись со своими обязанностями. Сопровождая караваны, направляющиеся в Салоники или Америку, или в обратном направлении, воздушные корабли провели в воздухе тысячи часов. Те, кто имел счастье принимать участие в этой трудной и почетной боевой работе, хранят прекрасные воспоминания о тех днях, когда охраняемые дирижаблями караваны всегда благополучно достигали намеченного пункта назначения. Не было ни одного случая нападения подлодок — воздушные корабли надежно прикрывали своих подопечных и делали эту работу лучше, чем гидросамолеты или быстроходные противолодочные корабли. И это было естественно, так как дирижабли легко могли контролировать большую территорию, [328] с высоты морские глубины просматривались очень хорошо, а их способность зависать на одном месте давала возможность с высокой точностью производить бомбометание. Командиры подводных лодок прекрасно знали все это и всеми силами пытались избежать встречи с дирижаблями. Экипажи дирижаблей типа “AT”, “ZD” и “СМ” обычно состояли из командира, его помощника, вахтенного офицера, двух рулевых (направления и высоты), двух механиков и радиотелеграфиста. Во время длительных полетов роли часто менялись, и это становилось прекрасной возможностью повышать профессионализм экипажа. Подготовка пилотов и механиков производилась на базах, но большая их часть прошла обучение в воздухоплавательной школе в Сен-Сире. После того как немецкий пилот удачно отбомбился там по эллингу, в котором находился учебный дирижабль “Флерю”, школу перевели в Рошфор. В среднем продолжительность полетов при выполнении разведки, патрулирования и сопровождения конвоев составляла для дирижаблей крейсерского типа около 10 часов и для разведывательных кораблей — 6 часов. Разведчики, [329] базировавшиеся в Пембефе и пилотируемые американскими экипажами, нередко используя только один двигатель, превышали рубеж 10-12 часов. Крейсерские дирижабли типа “AT” легко проводили в воздухе по 15 часов. АТ-1 при перелете из Пембефа в </w:t>
      </w:r>
      <w:r w:rsidRPr="002F2FDF">
        <w:rPr>
          <w:rFonts w:ascii="Times New Roman" w:hAnsi="Times New Roman" w:cs="Times New Roman"/>
          <w:color w:val="000000" w:themeColor="text1"/>
          <w:kern w:val="2"/>
          <w:sz w:val="16"/>
          <w:szCs w:val="16"/>
        </w:rPr>
        <w:lastRenderedPageBreak/>
        <w:t xml:space="preserve">Обань продержался в воздухе 25 часов 43 минуты, а АТ-11 20-21 октября 1918 года выполнял полет в течение 37 часов 15 минут, установив национальный рекорд продолжительности полета для кораблей своего класса. Дирижабли типа “ZD” и “СМ” при необходимости могли осуществлять полеты продолжительностью 12-13 часов. </w:t>
      </w:r>
    </w:p>
    <w:p w14:paraId="739AA51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Представляет интерес сводка боевой работы (продолжительность полета) дирижабля АТ-9, базировавшегося в Обане в сентябре 1917 года. </w:t>
      </w:r>
    </w:p>
    <w:p w14:paraId="0EBD17FD"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 сентября — 7 часов 45 минут</w:t>
      </w:r>
    </w:p>
    <w:p w14:paraId="074DFF48"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2-3 сентября — 24 часа 20 минут</w:t>
      </w:r>
    </w:p>
    <w:p w14:paraId="564733BD"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4 сентября — 10 часов 30 минут</w:t>
      </w:r>
    </w:p>
    <w:p w14:paraId="0498B78D"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5 сентября — 7 часов 55 минут</w:t>
      </w:r>
    </w:p>
    <w:p w14:paraId="71C6402F"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6 сентября — 4 часа 45 минут и 14 часов 35 минут</w:t>
      </w:r>
    </w:p>
    <w:p w14:paraId="5D995278"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7 сентября — 11 часов 5 минут</w:t>
      </w:r>
    </w:p>
    <w:p w14:paraId="5DFDA81F"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8 сентября — 15 часов 20 минут</w:t>
      </w:r>
    </w:p>
    <w:p w14:paraId="6727A7FE"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10 сентября — 8 часов 5 минут</w:t>
      </w:r>
    </w:p>
    <w:p w14:paraId="7764A957"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14 сентября — 14 часов</w:t>
      </w:r>
    </w:p>
    <w:p w14:paraId="6BC16849"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 сентября — 14 часов 20 минут</w:t>
      </w:r>
    </w:p>
    <w:p w14:paraId="75CAB81F"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16 сентября — 14 часов</w:t>
      </w:r>
    </w:p>
    <w:p w14:paraId="7D0663FC"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17 сентября — 9 часов 45 минут</w:t>
      </w:r>
    </w:p>
    <w:p w14:paraId="7936BBF2"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19 сентября — 10 часов</w:t>
      </w:r>
    </w:p>
    <w:p w14:paraId="43D5276D"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20 сентября — 11 часов 30 минут</w:t>
      </w:r>
    </w:p>
    <w:p w14:paraId="63566BD1"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24 сентября — 55 минут</w:t>
      </w:r>
    </w:p>
    <w:p w14:paraId="05732E5C"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26 сентября — 7 часов 5 минут</w:t>
      </w:r>
    </w:p>
    <w:p w14:paraId="2EC63572"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27 сентября — 12 часов 5 минут</w:t>
      </w:r>
    </w:p>
    <w:p w14:paraId="04FD2ED5"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28 сентября — 3 часа 45 минут</w:t>
      </w:r>
    </w:p>
    <w:p w14:paraId="7FFA61BD"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29 сентября — 1 час 10 минут</w:t>
      </w:r>
    </w:p>
    <w:p w14:paraId="438490FD" w14:textId="77777777" w:rsidR="003431D2" w:rsidRPr="002F2FDF" w:rsidRDefault="003431D2" w:rsidP="0083075A">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30 сентября — 21 час 35 минут</w:t>
      </w:r>
    </w:p>
    <w:p w14:paraId="4FBB012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Во время боевых действий 15 сентября 1917 года дирижабль АТ-6 под командованием лейтенанта Деноа впервые пересек Средиземное море. Всего было совершено 8 перелетов Средиземного моря: упомянутый АТ-6, 24 декабря 1917 года — АТ-8, 30 января 1918 года — ZD-1, 9 февраля — ZD-2, 29 марта — АТ-3, 2 мая — АТ-7, 25-26 июня — АТ-2 и 26 августа — ZD-5. Интересно, [330] что все эти полеты прошли без всяких происшествий. </w:t>
      </w:r>
    </w:p>
    <w:p w14:paraId="54289E7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Французские морские дирижабли, все без исключения, оснащались радиотелеграфами “Ведетта” — оборудованием мощностью 400 Вт, а более крупные корабли — 500 Вт. </w:t>
      </w:r>
    </w:p>
    <w:p w14:paraId="355539B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На побережье Средиземного моря и Северной Африки было построено 11 воздухоплавательных баз. В целом деятельность французских морских дирижаблей во время войны являлась весьма успешной, хотя их боевая работа и заслонялась блестящими победами на фронтах и в небесах над ними. В официальном отчете морского министерства об итогах войны было сказано, что французские дирижабли за военный период полностью выполнили все боевые задачи. </w:t>
      </w:r>
    </w:p>
    <w:p w14:paraId="2194EC1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во Франции впервые рассматривался более или менее серьезный проект жесткого дирижабля, в основу которого первоначально был положен германский L-33. Намечались 2 центра для постройки жестких дирижаблей: один в Бизерте, другой — в Гюере. Началом осуществления намеченной программы стало изготовление фирмой Шнейдера дирижабля объемом 50 000 куб. м (F-2). В связи с тем, что морской флот заказал 10 жестких дирижаблей, программой 1918 года для Шнейдера предусматривалась постройка еще пяти дирижаблей, остальных — фирмами “Астра” и “Клеман-Байяр”, а также организация третьего производственного центра в Люсоне. Первые четыре дирижабля должны были быть готовы к июлю 1919 года, остальные — к январю 1920 года. Однако после заключения перемирия и окончания войны были сняты кредиты на постройку всех дирижаблей, кроме F-2, а в январе 1920 года и на последний, так и оставшийся недостроенным (11324).</w:t>
      </w:r>
    </w:p>
    <w:p w14:paraId="69310AE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7D6C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итальянский воздухоплавательный парк пополнился небольшим дирижаблем U.5 конструктора Ч. Узуелли, единственным дирижаблем мягкого типа, построенным отечественной промышленностью во время войны. Экипаж состоял из пяти человек. Корабль, в основном, использовался в области Лигурия. В самом конце войны в состав флота вошли четыре дирижабля серии “PV” (piccolo veloce — малые, скоростные), перестроенные из последних машин серии “Р”. Они имели объем 4700 куб. м, оснащались двумя моторами SPA и несли 350 кг бомб. На основе конструкции британских дирижаблей серии S.S. в Италии построили собственный тип, получившие обозначение О (osservatori — разведывательный). Было построено 3 таких дирижабля: от О.1 до О.3. В отличие от мягкого британского образца, “итальянцы” имели полужесткую конструкцию объемом 3600 куб. м. В гондоле были установлены 2 мотора “Коломбо” мощностью по 110 л. с. Дирижабли развивали скорость 85 км/ч, неся на своем борту до 200 кг бомб (11324).</w:t>
      </w:r>
    </w:p>
    <w:p w14:paraId="7BC9CF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31873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ВМФ США в дополнение к 14 дирижаблям типа SBEF заказал 17 дирижаблей серии “В” объемом 2377 куб. м. Оболочки были выполнены по единому образцу фирмами “Гудиер Раббер Ко.”, “Гудрич Раббер Ко.” и “Коннектикут Эйкрафт Ко.”. Гондолы и двигатели (100 л. с.) изготавливались фирмой “Кертисс”. Получились довольно-таки неплохие машины. Так, первый дирижабль, изготовленный фирмой “Гудиер”, пролетел без посадки от Чикаго до Акрона. Фирмы “Гудиер” и “Гудрич” совместно с авиационным заводом ВМФ в Филадельфии особенно преуспели в деле строительства воздушных кораблей. Проекты дирижаблей большей частью разрабатывались авиационным отделом ВМФ (11324).</w:t>
      </w:r>
    </w:p>
    <w:p w14:paraId="6F1D924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82E38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Немцы в 1917 выпустили бронированный Юнкерс Д-1 с защитой двигателя и экипажа от обстрела с земли. Не нашел применение из-за большой массы. Англичане захватили, но воспроизводить Юнкерс сами не стали (92,417).</w:t>
      </w:r>
    </w:p>
    <w:p w14:paraId="245F6B3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A0E72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в Германии появилась идея создать прозрачный самолет, обшитый материалом "целлон" вместо ткани или фанеры. Работу над целлоном вели инженер Штумпф и доктор Айхберг в лаборатории в Геттингене. Целлоном покрыли несколько небольших самолетов-разведчиков "ЛФГ", "Румплер", "АЕГ", а также один тяжелый бомбардировщик серии "R" (R 8/15) фирмы "Линке-Гоффманн". Прозрачная обшивка, действительно, делала самолет менее заметным в небе. Но успех оказался половинчатым. В конструкции самолета оказалось множество других непрозрачных элементов, невозможно было сделать прозрачными и членов экипажа. Кроме того, целлон оказался недостаточно прочным, что ослабляло общую конструкцию самолета. Поэтому от использования целлона отказались (11262).</w:t>
      </w:r>
    </w:p>
    <w:p w14:paraId="66D0E2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A0EEA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на фронте он появился четырехмоторный "Цеппелин-Штаакен R-VI". Концерн "Цеппелин", потерпевший крах со своими боевыми дирижаблями переключился на постройку бомбардировщиков на заводе в городе Штаакен. Бомбовая нагрузка "Цеппелин-Штаакен R-VI" достигала 1800 кг, но самолет получился очень дорогим и сложным. Для работавшей к тому времени на пределе своих возможностей промышленности Германии оказалось не по силам изготовить более 17 подобных машин. Вскоре два из них были сбиты, а восемь разрушены во время воздушных налетов противника. Но свою лепту в бомбардировки этот самолет все же внес. Большая грузоподъемность "R-VI" позволила применить 1000-килограммовые бомбы огромной разрушительной силы (3861).</w:t>
      </w:r>
    </w:p>
    <w:p w14:paraId="16F183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42E3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наиболее известными самолетами класса “CL” стали Halberstadt CL.2, CL.2a и CL.4, Hannover CL.2, CL.3 и CL.Sa (9649).</w:t>
      </w:r>
    </w:p>
    <w:p w14:paraId="032E5E2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DFB9D8"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в Германии постройка самолетов и моторов, как и ранее, была поручена частным заводам. Чтобы поставить снабжение фронта на возможно более широкий базис и повысить соревновательность, непрерывно привлекались все новые и новые заводы. Всего за время войны на снабжение авиавойск работали 36 авиазаводов и 21 моторостроительный завод, помимо 16-ти авиационных и 17-ти моторостроительных мастерских, занимавшихся исключительно ремонтом. Должное руководящее влияние на производство инспекция обеспечила за собой посредством назначения на каждый завод постоянных контролеров, которыми в 1916 году были заменены выездные приемные комиссии. Контролеры не только следили за регулярной и безукоризненной работой, но и служили посредниками в тех случаях, когда нужно было оставить незаменимых специалистов на заводах, достать сырье для производства или же улучшить положение рабочих. Однако, невзирая на их деятельность, недостаточная устойчивость условий труда рабочих, отсутствие возможности расширения и, наконец, недостаток сырья неблагоприятно влияли на производительность авиапромышленности. Ввиду сложности условий военного времени, заводы предпочитали постройку уже запущенных в серию самолетов и были мало склонны к новшествам. Для инспектора здесь открывалось широкое полеплодотворной деятельности (11282).</w:t>
      </w:r>
    </w:p>
    <w:p w14:paraId="35E9509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C669E8" w14:textId="77777777" w:rsidR="0096612C" w:rsidRPr="002F2FDF" w:rsidRDefault="0096612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в городе Фарнборо при большом скоплении народа был показан радиоуправляемый самолет. Однако система управления вышла из строя, и самолет упал рядом с толпой зрителей. Чудом никто не пострадал (15117).</w:t>
      </w:r>
    </w:p>
    <w:p w14:paraId="20D9BF14" w14:textId="77777777" w:rsidR="0096612C" w:rsidRPr="002F2FDF" w:rsidRDefault="0096612C" w:rsidP="0083075A">
      <w:pPr>
        <w:spacing w:after="0" w:line="240" w:lineRule="auto"/>
        <w:jc w:val="both"/>
        <w:rPr>
          <w:rFonts w:ascii="Times New Roman" w:hAnsi="Times New Roman" w:cs="Times New Roman"/>
          <w:color w:val="000000" w:themeColor="text1"/>
          <w:kern w:val="2"/>
          <w:sz w:val="16"/>
          <w:szCs w:val="16"/>
        </w:rPr>
      </w:pPr>
    </w:p>
    <w:p w14:paraId="5C8414E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В 1917 году одному из дирижаблей удалось совершить налет на Булонь. На востоке планировался налет на Петербург, однако дирижаблю, чтобы пуститься в столь долгий путь, требовались долгие облачные зимние ночи без западного ветра и не очень морозные. Ввиду того, что такое сочетание благоприятных условий места так </w:t>
      </w:r>
      <w:r w:rsidRPr="002F2FDF">
        <w:rPr>
          <w:rFonts w:ascii="Times New Roman" w:hAnsi="Times New Roman" w:cs="Times New Roman"/>
          <w:color w:val="000000" w:themeColor="text1"/>
          <w:kern w:val="2"/>
          <w:sz w:val="16"/>
          <w:szCs w:val="16"/>
        </w:rPr>
        <w:lastRenderedPageBreak/>
        <w:t>и не имело, оба предоставленных армии дирижабля с оболочками емкостью по 55 000 м3 не смогли выполнить этой задачи. На Балканах “LZ-97” должен был из Тимишоара совершать налеты на военные объекты итальянского и албанского побережий; успеха эти налеты не имели. “LZ-101” произвел из Ямбола очень успешный налет на базу флота в Мудрое. Из предоставленных флоту на лето дирижаблей “LZ-120” пролетел без посадки за 101 час 6105 км —расстояние, соответствующее приблизительно расстоянию между Гамбургом и Нью-Йорком, и тем самым установил мировой рекорд. Техническое совершенствование дирижаблей с начала войны, невзирая на нехватку сырья, велось интенсивно. В этом большая заслуга заводов дирижаблей в Ланце, а также завода Майба и “завода аэростатных оболочек”. Однако, невзирая на все усовершенствования и на все еще неисчерпанные воз157 можности модернизации дирижаблей, они не могли при все более совершенствовавшейся обороне неприятеля достичь результатов, которые стоили бы произведенных затрат. В июне 1917 года командующий воздушными силами вместо сокращения ходатайствовал о полной ликвидации армейского воздухоплавания; главное командование согласилось с этим предложением. Все дирижабли, аэродромы и эллинги были предложены в дар флоту, но тот теперь отказался этот дар принять. Таким образом, не оставалось ничего другого, как разобрать дирижабли, в большинстве случаев стоявшие без дела в течение всей зимы. Пригодные части и эллинги были использованы для других целей армии; освободившийся личный состав послужил для пополнения и формирования авиа- и воздухоплавательных отрядов, а также и пехотных частей. Командиры и экипажи дирижаблей заслужили огромную признательность за свою настойчивость, изобретательность и содействие усовершенствованию дирижаблей. Отражая нападения вражеских самолетов или пролетая под огнем неприятельских зенитных орудий на малой высоте, они никогда не теряли самообладания и мужества. Они тяжело страдали от бездействия, навязанного им неблагоприятной погодой. При 111 налетах дирижаблями было сброшено 164 203 кг взрывчатых веществ: из них в России — 60 322 кг, в Бельгии и во Франции — 44 686 кг и в Англии — 36 589 кг. При этом разведывательная деятельность совершенно отошла на задний план. 15 офицеров, 50 инженеров, штурманов, машинистов и пулеметчиков пали геройской смертью. Из 50-ти обслуживавших армию дирижаблей 25 погибло; из них 17 — под неприятельским огнем (11282).</w:t>
      </w:r>
    </w:p>
    <w:p w14:paraId="52234D1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52584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самолеты самолеты союзников сбили 115, а артиллерия — 20 германских аэростатов (11282).</w:t>
      </w:r>
    </w:p>
    <w:p w14:paraId="0510A6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C03F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германская ЗА сбила 467 самолетов; в 1918 году 748 самолетов — всего 1588 самолетов и 2 дирижабля, в том числе 51 самолет был уничтожен при поддержке прожекторных установок (11282).</w:t>
      </w:r>
    </w:p>
    <w:p w14:paraId="6C5ABD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354619"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в Германии при команде резерва зенитно-прожекторных частей было учреждено дела занималось испытательное исследовательское отделение для испытания прожекторов, пулеметов и совершенствованием мишеней для зенитных орудий, а также развитием прожекторного и звукометрического оборудования. Это отделение готовило пополнение для находившихся на фронте и в тылу зенитно-прожекторных и звукометрических команд; обучение заканчивалось в прожекторной школе в Ганновере. Последняя имела в своем распоряжении для ночной практики летчиков, которые могли уверенно летать и под лучами прожекторов. Одновременно в прожекторной школе на ее стрельбище в Ребурге происходило обучение пулеметной стрельбе (11282).</w:t>
      </w:r>
    </w:p>
    <w:p w14:paraId="46CF29FD"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8AA0F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течение 1917 года германские зенитные и прожекторные частив были значительно усилены; к концу года на фронте и в тылу они располагали: 104-мя тяжелыми автозенитными орудиями, 112-ю легкими автозенитными орудиями, 998-ю стационарными и зенитными орудиями с конной тягой, 171 196-ю скорострельными зенитными орудиями — калибра 37 мм, 542-мя зенитными орудиями — калибра 90 мм, 416-ю прожекторами, в том числе 329-ю стационарными, 87-ю на повозках с конной запряжкой, на автомобилях и железнодорожных платформах. В 1917 году на совещании командующего воздушными силами и представителей главного командования, Военного министерства, Артиллерийской испытательной комиссии с представителями фирм Круппа и Эргардта главным орудием зенитной артиллерии была признана пушка калибра 88 мм; кроме того, намечено как необходимое производство мобильного автомобильного орудия с более высокими баллистическими качествами снаряда, чем у орудия калибра 77 мм. Так как изготовить новое орудие и без того перегруженная заказами промышленность не могла, то решено было ограничиться орудием калибра 76,2 мм. Такое орудие имелось в наличии, т.к. в Германии некогда уже изготовляли стволы для русских орудий аналогичного типа. От этого орудия требовалась скорость при движения по дороге, по меньшей мере, 15 км/час и возможность передвижения по любой местности даже вне дорог. Зенитное орудие калибра 88 мм, обладавшее изрядным весом, ставилось на прицеп, который со скоростью до 30 км/час тащил автомобиль полутракторного типа с мотором мощностью 100 лошадиных сил. Колеса обоих орудий для движения по целине были снабжены специальными приспособлениями на ободьях; зенитное орудие калибра 88 мм, кроме того оснащалось лебедкой, которая давала орудию возможность преодолевать значительные препятствия. Еще до окончания войны были произведены испытания зенитных орудий большего и меньшего калибра, чем указанные. Против увеличения калибра говорил связанный с этим больший вес снаряда, который замедлял обслуживание и очень затруднял применение таких зенитных орудий, по крайней мере, на фронте. Мелкокалиберные зенитные орудия, стрелявшие сна рядами с повышенными баллистическими качества” были необходимы для поражения самолетов на небольших высотах. Зенитные орудия среднего и крупного калибра при стрельбе по целям, летящим ниже 500 м, имели мало шансов на успех и при этом подвергали опасности поражения свою же пехоту. Скорострельные пушки калибра 37 мм имели тот большой недостаток, что при своей малой дальнобойности должны были вы- г двигаться вплотную к передовой линии, при этом светящиеся по вылете из их дула снаряды весьма облегчали противнику пристрелку и уничтожение этих орудий. Кроме того, производились опыты с горными зенитными орудиями и с применением тракторов для транспортирования зенитных орудий. Для устранения неравномерности горения состава дистанционной трубки, вызываемого атмосферным влиянием, стремились сконструировать взрыватель с действующим механическим часовым механизмом. Одной их фирм удалось изготовить такие дистанционные трубки с часовым механизмом, работавшим достаточно четко, но до конца войны они не были введены во всех армиях и для всех калибров. Шрапнелью, преимущественно применявшейся в первый период войны, стали пользоваться лишь при недостатке гранат и на небольших дистанциях. Малая конечная скорость снарядов при больших высотах и дистанциях не давала шрапнельным пулям достаточной пробивной способности. Особый вид шрапнели с зажигательным действием производил только устрашающее действие. Измерением времени полетаснаряда и интенсивности звука разрыва удалось, правда, определить те влияния, которые были обусловлены изменениями температуры горения пороха и износом ствола орудия, но невозможно было учесть влияние ветра для всех направлений стрельбы (360 градусов) и на различных высотах вплоть до высоты 5000 метров (11282).</w:t>
      </w:r>
    </w:p>
    <w:p w14:paraId="254DACE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EDC6F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Оберт разработал проект ракеты, произведя все необходимые расчеты. Проект предусматривал создание огромной по тем временам ракеты – высотой в 25 метров (это высота 8-этажного дома) и диаметром 5 метров. Внешне она походила на баллистические ракеты сегодняшнего дня. В головной части ракеты помещался заряд взрывчатого вещества массой 10 тонн. Там же Оберт разместил автоматическое устройство для управления полетом, сконструированное на использовании одного свободного гироскопа, ось которого располагалась параллельно оси симметрии ракеты и, кроме того, в заданном направлении движения ракеты. Для управления угловым положением ракеты сигналы, снимавшиеся с гироскопа, преобразовывались в команды поворота рулей, установленных в хвостовой части ракеты.</w:t>
      </w:r>
    </w:p>
    <w:p w14:paraId="4FF7F24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ракете 1917 года Оберт отказался от старой идеи использовать в качестве топлива водород и кислород. Дело в том, что эта смесь дает при сгорании столь высокую температуру, что охлаждение камеры сгорания и сопла становилось целой проблемой. Переход к топливам, выделяющим при реакции горения меньше тепла, упрощало задачу охлаждения ракетного двигателя. Правда, при этом уменьшалась и скорость истечения продуктов сгорания из сопла, что снижало эффективность двигателя, однако Оберт не планировал использовать свою ракету для достижения космических скоростей, видя в ней боевую ракету небольшой дальности полета. Соображения такого рода дали Оберту основания выбрать в качестве окислителя жидкий воздух, а в качестве горючего – этиловый спирт (с возможностью снижения его калорийности добавлением воды).</w:t>
      </w:r>
    </w:p>
    <w:p w14:paraId="7615D51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Теплоизолированный бак с жидким воздухом помещался над баком со спиртом. Подача топлива в камеры сгорания двигателей осуществлялась специальными насосами. Для приведения в действие насосов и небольшой динамомашины (обеспечивающей бортовое питание электроэнергией) на ракете устанавливался газогенератор, работавший на тех же компонентах, что и основные ракетные двигатели. Этот же газ использовался для наддува баков с целью придания их тонкостенным конструкциям необходимой устойчивости. Для охлаждения камеры сгорания двигателей предполагалось использовать охлажденный спирт, который затем, уже подогретым, поступал в камеру сгорания – в итоге тепло, ушедшее через стенки камеры в охлаждающую жидкость, не терялось, а возвращалось в цикл.</w:t>
      </w:r>
    </w:p>
    <w:p w14:paraId="3E9C007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Когда Оберт рассказал об этой разработке главному врачу госпиталя, тот посоветовал ему послать проект не в Вену (сомневаясь в достаточности технических знаний у австрийских офицеров), а в Германию. С этой целью при содействии главного врача, молодому изобретателю удалось посетить германского консула в одном из близлежащих городов. Несколько месяцев соответствующие службы Германии не подавали признаков жизни. Но в 1918 году Оберт получил поразительный ответ: некий майор, который ведавший ракетными делами в кайзеровской армии (говоря точнее – осветительными и сигнальными ракетами), написал в своем заключении что, как показывает опыт, ракеты не в состоянии преодолевать расстояния, превышающие семи километров. Полученный официальный отзыв, безусловно, разочаровал Оберта, но ничуть не ослабил его стремления продолжать работы на продвижение идеи космического полета (11688).</w:t>
      </w:r>
    </w:p>
    <w:p w14:paraId="01CB731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0AC4E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фирма "Супермарин" построила самолет для борьбы с дирижаблями. Это был двухмоторный квадриплан с большим прожектором в передней части фюзеляжа и вооруженный безоткатной пушкой Дэвиса и двумя пулеметами. Самолет мог держаться в воздухе на протяжении 18 часов, но его летные качества оказались весьма посредственными, поэтому практического применения он не получил. В итоге от строительства специальных самолетов для борьбы с дирижаблями отказались. Очень эффективным самолетом оказался английский "Кемел" 2F.1. Морская модификация этого самолета могла действовать с палубы корабля и с наземных аэродромов. Последнего цеппелина в войне (L.35) сбил капитан С.Д. Калли, взлетевший с понтона на "Кемел" 2F.1 10 августа 1918 года (11262).</w:t>
      </w:r>
    </w:p>
    <w:p w14:paraId="39305DFC"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926065"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В 1917 г. англичане создали двухместный штурмовик А.Е.3, на котором была установлена бронированная кабина с тремя пулеметами для стрельбы вперед-вниз и пулеметом для защиты задней полусферы. Всего было изготовлено три опытных экземпляра (9649).</w:t>
      </w:r>
    </w:p>
    <w:p w14:paraId="7D88BFF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39F05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в Великобритании введено обязательное применение парашютов в авиации. В Германии обязательное применение парашютов ввели в начале 1918 года. Многие летчики спаслись благодаря парашютам. Например, немецкий ас Рудольф Бертольд дважды прыгал с парашютом из горящего "Фоккера" (11262).</w:t>
      </w:r>
    </w:p>
    <w:p w14:paraId="03C6836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AB4C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когда первенство в небе полностью захватили маневренные бипланы, на фирме "Моран-Солнье" решили превратить свой самолет в биплан. На фюзеляж типа N поставили бипланную коробку, а к названию добавили литеру "А". В зависимости от типа мотора прибавлялась еще одна буква. Так, например, "Моран-Солнье" тип ANR - был с мотором "Рено", ANB - с мотором "Бугатти", ANL- с мотором "Либерти", ANS - с мотором "Сальмсон". Серийно строились только AN R и ANS под обозначением MoS-35 и MoS-36 8 России был проект создания на базе "Морана" двухместного биплана - разведчика, вооруженного двумя пулеметами "Виккерс" с мотором -Рон.в 110л. с. На заводе "Дукс" предпринималась попытка налаживания выпуска такого "Морана" - биплана (у нас его называли "Морбип"). Но по своим характеристикам он, как и "Мормон", уже уступал современным ему самолетам и поэтому от производства вскоре отказались, да и на западе "Моран-биплан" не оставил заметного следа (11265).</w:t>
      </w:r>
    </w:p>
    <w:p w14:paraId="53B10B0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00D83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 xml:space="preserve">С 1917 года французы практиковали спуск шпионов с аэроплана при помощи парашюта. Уже в 1917 году немцы насчитали три случая спуска таких шпионов. Об использовании парашютов в бою много говорится в книге германского майора Schuttel, изданной в 1935 году, "Fallschirmtruppen und Luftinfanterie" ("Парашютные войска и воздушная пехота") (11204). </w:t>
      </w:r>
    </w:p>
    <w:p w14:paraId="1D72C90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97341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француз Мориз представил проект двигательной установки для самолетов, которая, как предполагалось, позволяла соединить планер с реактивным двигателем. С помощью компрессора, топливных форсунок и камеры сгорания с выхлопным соплом Мориз сумел получить реактивную струю. Дополнением к его двигателю являлась форсажная камера – устройство, замедляющее скорость реактивной струи, но увеличивающее ее массу. Однако, осуществить свою идею на практике Мориз, однако, не сумел. Три года спустя это сделал за него его соотечественник инженер Мело.</w:t>
      </w:r>
    </w:p>
    <w:p w14:paraId="5EB522D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Мело отказался от большей части оборудования Мориза, а вместо этого взял два цилиндра и соединил их открытыми концами друг с другом. На каждом конце этой двухцилиндровой сборки имелись отверстия для подачи топлива и запальные свечи. Внутри помещался свободный поршень без шатуна, двигавшийся взад и вперед для создания компрессии. Выхлоп осуществлялся через отводные трубки в общую “буферную камеру”, к которой крепилось реактивное сопло. В результате создавалась пульсирующая реактивная струя, которая затем также пропускалась через форсажную камеру.</w:t>
      </w:r>
    </w:p>
    <w:p w14:paraId="6605F0C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Мело не только описал свой проект, но и построил действующий двигатель. Правда, его было трудно запускать, но работал он исправно. После того, как были накоплены опытные данные, Мело рассчитал, что двух больших двигателей такого рода достаточно, чтобы поднять обычный для того времени самолет (11688).</w:t>
      </w:r>
    </w:p>
    <w:p w14:paraId="0CF249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EEF3A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году, когда политическая пропаганда союзников в Германии давала уже должные плоды, стали применять четвертый способ сношения с тылами германских армий - в виде спуска с аэроплана в небольших корзинах при помощи парашюта почтовых голубей и воздушных шаров для донесений. Кроме наставлений, как надо поступать с голубями, и пищи для них, там находились: вопросный лист, образец донесений, французские деньги и следующее обращение: "Сопротивление бошей наступлению союзников приходит к концу. Союзники уже очистили часть французской территории. Для продолжения наступления нужно, чтобы союзники хорошо были осведомлены о расположении противника и о его намерениях... Посылкой донесений Вы окажете своей стране ценную услугу и приблизите конец войны" (11204).</w:t>
      </w:r>
    </w:p>
    <w:p w14:paraId="7B0559F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59BAA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была построена планирующая крылатая торпеда фирмы “Сименс”. Ее вес составил 1000 кг, вес боевой части – 300 кг. Управление торпедой осуществлялось по проводам (11686).</w:t>
      </w:r>
    </w:p>
    <w:p w14:paraId="6859F1EE"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A314D2" w14:textId="77777777" w:rsidR="0096612C" w:rsidRPr="002F2FDF" w:rsidRDefault="0096612C" w:rsidP="0083075A">
      <w:pPr>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 г. Адмиралтейство заказало фирме «Торникрофт» серию новых 55-фунтовых торпедных катеров. Катера эти имели усиленное вооружение, состоявшее уже из двух торпед, два мотора авиационного типа общей мощностью 750 л. с. и среднюю скорость 40 уз. Чтобы снизить воздушное сопротивление движущемуся катеру, его верхнюю палубу сделали заметно выпуклой. Корпус катера из красного дерева сохранял обводы глиссера с одним реданом. Всего в 1917—1922 гг. фирма «Торникрофт» построила 72 — 55-фунтовых катера. И именно они появлялись в ходе интервенции против Советской России на Балтийском и Каспийском морях (15117).</w:t>
      </w:r>
    </w:p>
    <w:p w14:paraId="5462A291" w14:textId="77777777" w:rsidR="0096612C" w:rsidRPr="002F2FDF" w:rsidRDefault="0096612C" w:rsidP="0083075A">
      <w:pPr>
        <w:spacing w:after="0" w:line="240" w:lineRule="auto"/>
        <w:jc w:val="both"/>
        <w:rPr>
          <w:rFonts w:ascii="Times New Roman" w:hAnsi="Times New Roman" w:cs="Times New Roman"/>
          <w:color w:val="000000" w:themeColor="text1"/>
          <w:kern w:val="2"/>
          <w:sz w:val="16"/>
          <w:szCs w:val="16"/>
        </w:rPr>
      </w:pPr>
    </w:p>
    <w:p w14:paraId="67036C31"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Авиапромышленность:</w:t>
      </w:r>
    </w:p>
    <w:p w14:paraId="095A73A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12F3E7"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1917-1918 гг декретами Совета Народных комиссаров были нацио</w:t>
      </w:r>
      <w:r w:rsidRPr="002F2FDF">
        <w:rPr>
          <w:rFonts w:ascii="Times New Roman" w:hAnsi="Times New Roman" w:cs="Times New Roman"/>
          <w:color w:val="000000" w:themeColor="text1"/>
          <w:kern w:val="2"/>
          <w:sz w:val="16"/>
          <w:szCs w:val="16"/>
        </w:rPr>
        <w:softHyphen/>
        <w:t>нализированы все предприятия авиационной промышленности и ремонтные мастерские. Для управления и координации работ авиационных предприя</w:t>
      </w:r>
      <w:r w:rsidRPr="002F2FDF">
        <w:rPr>
          <w:rFonts w:ascii="Times New Roman" w:hAnsi="Times New Roman" w:cs="Times New Roman"/>
          <w:color w:val="000000" w:themeColor="text1"/>
          <w:kern w:val="2"/>
          <w:sz w:val="16"/>
          <w:szCs w:val="16"/>
        </w:rPr>
        <w:softHyphen/>
        <w:t>тий советской республики 31 декабря 1918 г. при Высшем Совете народного хозяйства было создано Главное управление объединенных авиационных заводов авиапромышленности (Главкоавиа). Были приняты необходимые меры по обеспечению авиационной промышленности финансами, сырьем, оборудованием, а также по обеспечению авиационных предприятий квали</w:t>
      </w:r>
      <w:r w:rsidRPr="002F2FDF">
        <w:rPr>
          <w:rFonts w:ascii="Times New Roman" w:hAnsi="Times New Roman" w:cs="Times New Roman"/>
          <w:color w:val="000000" w:themeColor="text1"/>
          <w:kern w:val="2"/>
          <w:sz w:val="16"/>
          <w:szCs w:val="16"/>
        </w:rPr>
        <w:softHyphen/>
        <w:t>фицированной рабочей силой (для чего была проведена мобилизация всех лиц, работавших ранее на заводах авиационной промышленности).</w:t>
      </w:r>
    </w:p>
    <w:p w14:paraId="6823CDE4"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Все эти меры позволили в короткие сроки наладить серийное про</w:t>
      </w:r>
      <w:r w:rsidRPr="002F2FDF">
        <w:rPr>
          <w:rFonts w:ascii="Times New Roman" w:hAnsi="Times New Roman" w:cs="Times New Roman"/>
          <w:color w:val="000000" w:themeColor="text1"/>
          <w:kern w:val="2"/>
          <w:sz w:val="16"/>
          <w:szCs w:val="16"/>
        </w:rPr>
        <w:softHyphen/>
        <w:t>изводство авиационных двигателей (11425).</w:t>
      </w:r>
    </w:p>
    <w:p w14:paraId="409E901A"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0AFAFB"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1917-1918 гг. в РИБ были изданы семь выпусков Трудов, в том чис</w:t>
      </w:r>
      <w:r w:rsidRPr="002F2FDF">
        <w:rPr>
          <w:rFonts w:ascii="Times New Roman" w:hAnsi="Times New Roman" w:cs="Times New Roman"/>
          <w:color w:val="000000" w:themeColor="text1"/>
          <w:kern w:val="2"/>
          <w:sz w:val="16"/>
          <w:szCs w:val="16"/>
        </w:rPr>
        <w:softHyphen/>
        <w:t>ле три выпуска по прочности:</w:t>
      </w:r>
    </w:p>
    <w:p w14:paraId="264B383E"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Ветчинкин В. П. Конспект лекций по расчету аэропланов на прочность. Наставление к регулировке аэропланов на затяжку проволок. М.1917. Вып. 2;</w:t>
      </w:r>
    </w:p>
    <w:p w14:paraId="2EB959D2" w14:textId="77777777" w:rsidR="003431D2" w:rsidRPr="002F2FDF" w:rsidRDefault="003431D2" w:rsidP="0083075A">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Жуковский Н.Е. Исследование устойчивости конструкции аэропланов. М. 1918. Вып. 5;</w:t>
      </w:r>
    </w:p>
    <w:p w14:paraId="17B7A91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Ветчинкин В. П. О выборе материалов для аэропланных конструкций под условием наименьшего веса. М. 1918. Вып. 7. (11425).</w:t>
      </w:r>
    </w:p>
    <w:p w14:paraId="7BDE2B4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2FE3F2" w14:textId="77777777" w:rsidR="003431D2" w:rsidRPr="002F2FDF" w:rsidRDefault="00CC1BE3"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2F2FDF">
        <w:rPr>
          <w:rFonts w:ascii="Times New Roman" w:hAnsi="Times New Roman" w:cs="Times New Roman"/>
          <w:i/>
          <w:iCs/>
          <w:color w:val="000000" w:themeColor="text1"/>
          <w:kern w:val="2"/>
          <w:sz w:val="16"/>
          <w:szCs w:val="16"/>
        </w:rPr>
        <w:t>Другие оборонные отрасли:</w:t>
      </w:r>
    </w:p>
    <w:p w14:paraId="69486C9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7AC71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С 1917 по 1923 год созданием новых артил­лерийских систем никто не занимался. Политические события октября 1917 года, последовавшие за ними военная интервенция и Гражданская война, разруха практически свели на нет существовавшее в России про­изводство корабельной артиллерии. Лишь в июле 1923 года на заводе «Красная Заря» (бывший завод Эриксона) в Петрограде было создано Техническое бюро военно-морского отдела, в задачи которого прежде всего входила разработка проектов ре­монта и модернизации существовавших ар­тиллерийских систем. В 1926 году начал работать цех морской артиллерии на заво­де «Большевик» (бывший Обуховский). С этого времени, когда организационно сфор­мировались основы производства артилле­рийских систем, началось восстановление артиллерии на кораблях Морских сил РККА СССР (11866).</w:t>
      </w:r>
    </w:p>
    <w:p w14:paraId="7335200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19FEB0"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1917-1922 г. Товарищество чугунолитейного и механического производств «Добровы и Набгольц» называлось Завод № 3 (бывший «Добровых и Набгольц») Московского губернского управления металлообрабатывающей промышленности (Мосмет) МосСНХ. С 1922 г. - Государственный московский завод № 3 мельнично-ткацких оборудований Государственного московского машиностроительного треста МосСНХ, в 1925 г. присвоено имя М.И. Калинина. С 1928 г. - Государственный московский машиностроительный завод № 3 им. М.И. Калинина Государственного московского машиностроительного треста МосСНХ, с 1932 г. - в ведении Всесоюзного насосно-компрессорного объединения НКТП, с 1935 г. - в ведении Главгормаша НКТМ, с 1936 г. - в ведении Главхиммаша НКМ, с 1939 г. - в ведении Главхиммаша НКОМ. В 06.1942 г. Завод № 720 им. М.И. Калинина - в ведении Главхимбуммаша НКМВ, приказом НКМВ № 250с от 7.07.1942 г. передан в ведение 4ГУ.</w:t>
      </w:r>
      <w:r w:rsidRPr="002F2FDF">
        <w:rPr>
          <w:rFonts w:ascii="Times New Roman" w:hAnsi="Times New Roman" w:cs="Times New Roman"/>
          <w:color w:val="000000" w:themeColor="text1"/>
          <w:kern w:val="2"/>
          <w:sz w:val="16"/>
          <w:szCs w:val="16"/>
          <w:vertAlign w:val="superscript"/>
        </w:rPr>
        <w:t>129</w:t>
      </w:r>
    </w:p>
    <w:p w14:paraId="784C797B"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Пост. ГКО № 1962сс от 4.07.1942 г. и приказом НКМВ № 237сс от 7.07.1942 г. заводу установлен план выпуска на 3-й квартал 1942 г. 120-мм минометов - 750 шт.</w:t>
      </w:r>
    </w:p>
    <w:p w14:paraId="28DD51D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1946 г. переименован в Ордена Трудового Красного Знамени Московский насосный завод имени М.И.Калинина в ведении Главхиммаша ММиП, с 1951 г. - в ведении Главгидромаша ММиП, в 1953 г. - в ведении Главхиммаша ММ и ММиП, затем в 1953-1955 г. - вновь в ведении Главгидромаша ММиП, в 1956-57г, - вновь в ведении Главгидромаша ММ. С 1957 г. завод передан в подчинение Управления общего машиностроения МосгорСНХ, с 1958 г. - Управления машиностроения МосгорСНХ, с 1959 г. - Управления автомобильной промышленности МосгорСНХ. С 1966 г. - в ведении ГУ насосного машиностроения Минхимнефтемаша.</w:t>
      </w:r>
    </w:p>
    <w:p w14:paraId="4D990C74"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составе завода (1947 г.) цехи: основные: механические № 1, 2, станкоцех, литейный, термический, нормалей, кузница; вспомогательные: модельный, инструментальный, ремонтный, транспортный, компрессорная. Кроме того, (1953 г.): основные: механосборочные № 3, 4, 5, 14, 18, модельный № 7, кузнечно-термический № 8, инструментальный № 9, ремонтный № 10, электроцех № 11, строительный № 12, транспортный № 13, нормалей № 17, ширпотреба, утильцех, испытательная станция.</w:t>
      </w:r>
    </w:p>
    <w:p w14:paraId="037FA13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15.02.1991 г. предприятие акционировано и преобразовано в АООТ.</w:t>
      </w:r>
    </w:p>
    <w:p w14:paraId="5257D9F3"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В 2004 г. завод перебазирован на новое место (вероятно, на Угрешский пр.). Имел два филиала в Московской обл.</w:t>
      </w:r>
    </w:p>
    <w:p w14:paraId="0F51108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lastRenderedPageBreak/>
        <w:t>Производство (2004 г.): насосное оборудование для военных кораблей, в т.ч. АПЛ, пусковых комплексов БР, для АЭС и «Мосэнерго».</w:t>
      </w:r>
    </w:p>
    <w:p w14:paraId="33F2D47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Количество оборудования: (1939 г.)- 449 ед., (1946 г.)- 457 ед., (1947 г.)- 440 ед., (1953 г.)- 660 ед.</w:t>
      </w:r>
    </w:p>
    <w:p w14:paraId="05CCDA02"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Площадь: территории (1947 г.)- 4,2 га, (1953 г.)- 3,25 га; застройки (1947 г.)- 16942 м</w:t>
      </w:r>
      <w:r w:rsidRPr="002F2FDF">
        <w:rPr>
          <w:rFonts w:ascii="Times New Roman" w:hAnsi="Times New Roman" w:cs="Times New Roman"/>
          <w:color w:val="000000" w:themeColor="text1"/>
          <w:kern w:val="2"/>
          <w:sz w:val="16"/>
          <w:szCs w:val="16"/>
          <w:vertAlign w:val="superscript"/>
        </w:rPr>
        <w:t>2</w:t>
      </w:r>
      <w:r w:rsidRPr="002F2FDF">
        <w:rPr>
          <w:rFonts w:ascii="Times New Roman" w:hAnsi="Times New Roman" w:cs="Times New Roman"/>
          <w:color w:val="000000" w:themeColor="text1"/>
          <w:kern w:val="2"/>
          <w:sz w:val="16"/>
          <w:szCs w:val="16"/>
        </w:rPr>
        <w:t>, (1953 г.)- 17341 м</w:t>
      </w:r>
      <w:r w:rsidRPr="002F2FDF">
        <w:rPr>
          <w:rFonts w:ascii="Times New Roman" w:hAnsi="Times New Roman" w:cs="Times New Roman"/>
          <w:color w:val="000000" w:themeColor="text1"/>
          <w:kern w:val="2"/>
          <w:sz w:val="16"/>
          <w:szCs w:val="16"/>
          <w:vertAlign w:val="superscript"/>
        </w:rPr>
        <w:t>2</w:t>
      </w:r>
      <w:r w:rsidRPr="002F2FDF">
        <w:rPr>
          <w:rFonts w:ascii="Times New Roman" w:hAnsi="Times New Roman" w:cs="Times New Roman"/>
          <w:color w:val="000000" w:themeColor="text1"/>
          <w:kern w:val="2"/>
          <w:sz w:val="16"/>
          <w:szCs w:val="16"/>
        </w:rPr>
        <w:t>; производственная (1939 г.)- 10405 м</w:t>
      </w:r>
      <w:r w:rsidRPr="002F2FDF">
        <w:rPr>
          <w:rFonts w:ascii="Times New Roman" w:hAnsi="Times New Roman" w:cs="Times New Roman"/>
          <w:color w:val="000000" w:themeColor="text1"/>
          <w:kern w:val="2"/>
          <w:sz w:val="16"/>
          <w:szCs w:val="16"/>
          <w:vertAlign w:val="superscript"/>
        </w:rPr>
        <w:t>2</w:t>
      </w:r>
      <w:r w:rsidRPr="002F2FDF">
        <w:rPr>
          <w:rFonts w:ascii="Times New Roman" w:hAnsi="Times New Roman" w:cs="Times New Roman"/>
          <w:color w:val="000000" w:themeColor="text1"/>
          <w:kern w:val="2"/>
          <w:sz w:val="16"/>
          <w:szCs w:val="16"/>
        </w:rPr>
        <w:t>, (1946 г.)- 11694 м</w:t>
      </w:r>
      <w:r w:rsidRPr="002F2FDF">
        <w:rPr>
          <w:rFonts w:ascii="Times New Roman" w:hAnsi="Times New Roman" w:cs="Times New Roman"/>
          <w:color w:val="000000" w:themeColor="text1"/>
          <w:kern w:val="2"/>
          <w:sz w:val="16"/>
          <w:szCs w:val="16"/>
          <w:vertAlign w:val="superscript"/>
        </w:rPr>
        <w:t>2</w:t>
      </w:r>
      <w:r w:rsidRPr="002F2FDF">
        <w:rPr>
          <w:rFonts w:ascii="Times New Roman" w:hAnsi="Times New Roman" w:cs="Times New Roman"/>
          <w:color w:val="000000" w:themeColor="text1"/>
          <w:kern w:val="2"/>
          <w:sz w:val="16"/>
          <w:szCs w:val="16"/>
        </w:rPr>
        <w:t>, (1947 г.)- 11873 м</w:t>
      </w:r>
      <w:r w:rsidRPr="002F2FDF">
        <w:rPr>
          <w:rFonts w:ascii="Times New Roman" w:hAnsi="Times New Roman" w:cs="Times New Roman"/>
          <w:color w:val="000000" w:themeColor="text1"/>
          <w:kern w:val="2"/>
          <w:sz w:val="16"/>
          <w:szCs w:val="16"/>
          <w:vertAlign w:val="superscript"/>
        </w:rPr>
        <w:t>2</w:t>
      </w:r>
      <w:r w:rsidRPr="002F2FDF">
        <w:rPr>
          <w:rFonts w:ascii="Times New Roman" w:hAnsi="Times New Roman" w:cs="Times New Roman"/>
          <w:color w:val="000000" w:themeColor="text1"/>
          <w:kern w:val="2"/>
          <w:sz w:val="16"/>
          <w:szCs w:val="16"/>
        </w:rPr>
        <w:t>, (1953 г.)- 14711 м</w:t>
      </w:r>
      <w:r w:rsidRPr="002F2FDF">
        <w:rPr>
          <w:rFonts w:ascii="Times New Roman" w:hAnsi="Times New Roman" w:cs="Times New Roman"/>
          <w:color w:val="000000" w:themeColor="text1"/>
          <w:kern w:val="2"/>
          <w:sz w:val="16"/>
          <w:szCs w:val="16"/>
          <w:vertAlign w:val="superscript"/>
        </w:rPr>
        <w:t>2</w:t>
      </w:r>
      <w:r w:rsidRPr="002F2FDF">
        <w:rPr>
          <w:rFonts w:ascii="Times New Roman" w:hAnsi="Times New Roman" w:cs="Times New Roman"/>
          <w:color w:val="000000" w:themeColor="text1"/>
          <w:kern w:val="2"/>
          <w:sz w:val="16"/>
          <w:szCs w:val="16"/>
        </w:rPr>
        <w:t>; вспомогательная (1953 г.)- 3175; прочая (1953 г.)- 6876 м</w:t>
      </w:r>
      <w:r w:rsidRPr="002F2FDF">
        <w:rPr>
          <w:rFonts w:ascii="Times New Roman" w:hAnsi="Times New Roman" w:cs="Times New Roman"/>
          <w:color w:val="000000" w:themeColor="text1"/>
          <w:kern w:val="2"/>
          <w:sz w:val="16"/>
          <w:szCs w:val="16"/>
          <w:vertAlign w:val="superscript"/>
        </w:rPr>
        <w:t>2</w:t>
      </w:r>
      <w:r w:rsidRPr="002F2FDF">
        <w:rPr>
          <w:rFonts w:ascii="Times New Roman" w:hAnsi="Times New Roman" w:cs="Times New Roman"/>
          <w:color w:val="000000" w:themeColor="text1"/>
          <w:kern w:val="2"/>
          <w:sz w:val="16"/>
          <w:szCs w:val="16"/>
        </w:rPr>
        <w:t>.</w:t>
      </w:r>
    </w:p>
    <w:p w14:paraId="1ED421DF"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Численность персонала (1939 г.)-1304 чел., (1946 г.)- 1334 чел., (1947 г.)- 1317 чел., (1953 г.)- 1644 чел., (2005 г.)- 202 чел., (2006 г.)- 181 чел.</w:t>
      </w:r>
    </w:p>
    <w:p w14:paraId="4B2422C1"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Директор (06.1942 г.)- Горин, (1948 г.)- Арофикин. Гендиректор (1995-2007 г.-)- И.А. Родькин.</w:t>
      </w:r>
    </w:p>
    <w:p w14:paraId="44562F8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Гл. механик (1948 г.)- Буровой.</w:t>
      </w:r>
    </w:p>
    <w:p w14:paraId="396A8A6A"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iCs/>
          <w:color w:val="000000" w:themeColor="text1"/>
          <w:kern w:val="2"/>
          <w:sz w:val="16"/>
          <w:szCs w:val="16"/>
        </w:rPr>
        <w:t>Производство:</w:t>
      </w:r>
      <w:r w:rsidRPr="002F2FDF">
        <w:rPr>
          <w:rFonts w:ascii="Times New Roman" w:hAnsi="Times New Roman" w:cs="Times New Roman"/>
          <w:color w:val="000000" w:themeColor="text1"/>
          <w:kern w:val="2"/>
          <w:sz w:val="16"/>
          <w:szCs w:val="16"/>
        </w:rPr>
        <w:t xml:space="preserve"> 120-мм минометы; корпуса 82-мм мин, 37-мм снаряды, детали для </w:t>
      </w:r>
      <w:r w:rsidRPr="002F2FDF">
        <w:rPr>
          <w:rFonts w:ascii="Times New Roman" w:hAnsi="Times New Roman" w:cs="Times New Roman"/>
          <w:color w:val="000000" w:themeColor="text1"/>
          <w:kern w:val="2"/>
          <w:sz w:val="16"/>
          <w:szCs w:val="16"/>
          <w:lang w:val="en-US"/>
        </w:rPr>
        <w:t>PC</w:t>
      </w:r>
      <w:r w:rsidRPr="002F2FDF">
        <w:rPr>
          <w:rFonts w:ascii="Times New Roman" w:hAnsi="Times New Roman" w:cs="Times New Roman"/>
          <w:color w:val="000000" w:themeColor="text1"/>
          <w:kern w:val="2"/>
          <w:sz w:val="16"/>
          <w:szCs w:val="16"/>
        </w:rPr>
        <w:t xml:space="preserve"> М-13 (1942); </w:t>
      </w:r>
      <w:r w:rsidRPr="002F2FDF">
        <w:rPr>
          <w:rFonts w:ascii="Times New Roman" w:hAnsi="Times New Roman" w:cs="Times New Roman"/>
          <w:iCs/>
          <w:color w:val="000000" w:themeColor="text1"/>
          <w:kern w:val="2"/>
          <w:sz w:val="16"/>
          <w:szCs w:val="16"/>
        </w:rPr>
        <w:t>центробежные насосы:</w:t>
      </w:r>
      <w:r w:rsidRPr="002F2FDF">
        <w:rPr>
          <w:rFonts w:ascii="Times New Roman" w:hAnsi="Times New Roman" w:cs="Times New Roman"/>
          <w:color w:val="000000" w:themeColor="text1"/>
          <w:kern w:val="2"/>
          <w:sz w:val="16"/>
          <w:szCs w:val="16"/>
        </w:rPr>
        <w:t xml:space="preserve"> 4НДВ, 6НДВ (-1947-53-), 5НДВ, 6НДВ, 6НДВ6 (1953), 8НДВ (-1947-53-), 6НДС, 12НДС, 16НДН (-1947-53-), 20Д6 (1953), 22НДС, 8х2НКК, 32Д-19, 12НЗБ, 153КД, ЗхЗНМГ, ЗхбНМГ (1947), 24НДН, ВСА-100, ЦСП-51, ПН-40, КД 153 (1953) (11982).</w:t>
      </w:r>
    </w:p>
    <w:p w14:paraId="474CD0B6"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EFA58A" w14:textId="0AEFEC6A"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2F2FDF">
        <w:rPr>
          <w:rFonts w:ascii="Times New Roman" w:hAnsi="Times New Roman" w:cs="Times New Roman"/>
          <w:color w:val="000000" w:themeColor="text1"/>
          <w:kern w:val="2"/>
          <w:sz w:val="16"/>
          <w:szCs w:val="16"/>
        </w:rPr>
        <w:t>Большевики пока не разобрались ни с авиацией</w:t>
      </w:r>
      <w:r w:rsidR="00E6361A" w:rsidRPr="002F2FDF">
        <w:rPr>
          <w:rFonts w:ascii="Times New Roman" w:hAnsi="Times New Roman" w:cs="Times New Roman"/>
          <w:color w:val="000000" w:themeColor="text1"/>
          <w:kern w:val="2"/>
          <w:sz w:val="16"/>
          <w:szCs w:val="16"/>
        </w:rPr>
        <w:t>,</w:t>
      </w:r>
      <w:r w:rsidRPr="002F2FDF">
        <w:rPr>
          <w:rFonts w:ascii="Times New Roman" w:hAnsi="Times New Roman" w:cs="Times New Roman"/>
          <w:color w:val="000000" w:themeColor="text1"/>
          <w:kern w:val="2"/>
          <w:sz w:val="16"/>
          <w:szCs w:val="16"/>
        </w:rPr>
        <w:t xml:space="preserve"> ни с авиастроением. Старики еще не определились</w:t>
      </w:r>
    </w:p>
    <w:p w14:paraId="4CAE8DA7" w14:textId="77777777" w:rsidR="003431D2" w:rsidRPr="002F2FDF" w:rsidRDefault="003431D2" w:rsidP="0083075A">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sectPr w:rsidR="003431D2" w:rsidRPr="002F2FDF" w:rsidSect="00386FE7">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CC"/>
    <w:family w:val="swiss"/>
    <w:pitch w:val="variable"/>
    <w:sig w:usb0="00000287" w:usb1="00000800" w:usb2="00000000" w:usb3="00000000" w:csb0="000000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Verdana">
    <w:panose1 w:val="020B0604030504040204"/>
    <w:charset w:val="CC"/>
    <w:family w:val="swiss"/>
    <w:pitch w:val="variable"/>
    <w:sig w:usb0="A00006FF" w:usb1="4000205B" w:usb2="00000010" w:usb3="00000000" w:csb0="0000019F" w:csb1="00000000"/>
  </w:font>
  <w:font w:name="Century Gothic">
    <w:panose1 w:val="020B0502020202020204"/>
    <w:charset w:val="CC"/>
    <w:family w:val="swiss"/>
    <w:pitch w:val="variable"/>
    <w:sig w:usb0="00000287" w:usb1="000000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Roman">
    <w:altName w:val="MS Mincho"/>
    <w:panose1 w:val="00000000000000000000"/>
    <w:charset w:val="80"/>
    <w:family w:val="roman"/>
    <w:notTrueType/>
    <w:pitch w:val="default"/>
    <w:sig w:usb0="00000000"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1"/>
    <w:multiLevelType w:val="multilevel"/>
    <w:tmpl w:val="00000010"/>
    <w:lvl w:ilvl="0">
      <w:start w:val="1"/>
      <w:numFmt w:val="bullet"/>
      <w:lvlText w:val="—"/>
      <w:lvlJc w:val="left"/>
      <w:rPr>
        <w:rFonts w:ascii="Arial" w:hAnsi="Arial" w:cs="Arial"/>
        <w:b w:val="0"/>
        <w:bCs w:val="0"/>
        <w:i w:val="0"/>
        <w:iCs w:val="0"/>
        <w:smallCaps w:val="0"/>
        <w:strike w:val="0"/>
        <w:color w:val="000000"/>
        <w:spacing w:val="0"/>
        <w:w w:val="100"/>
        <w:position w:val="0"/>
        <w:sz w:val="18"/>
        <w:szCs w:val="18"/>
        <w:u w:val="none"/>
      </w:rPr>
    </w:lvl>
    <w:lvl w:ilvl="1">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2">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3">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4">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5">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6">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7">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8">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abstractNum>
  <w:abstractNum w:abstractNumId="1" w15:restartNumberingAfterBreak="0">
    <w:nsid w:val="07A74284"/>
    <w:multiLevelType w:val="multilevel"/>
    <w:tmpl w:val="29B8EB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F41FA7"/>
    <w:multiLevelType w:val="multilevel"/>
    <w:tmpl w:val="0340E9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C303646"/>
    <w:multiLevelType w:val="multilevel"/>
    <w:tmpl w:val="9E84B754"/>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2"/>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1"/>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start w:val="2"/>
      <w:numFmt w:val="decimal"/>
      <w:lvlText w:val="%4."/>
      <w:lvlJc w:val="left"/>
      <w:rPr>
        <w:rFonts w:ascii="Arial" w:eastAsia="Arial" w:hAnsi="Arial" w:cs="Arial"/>
        <w:b w:val="0"/>
        <w:bCs w:val="0"/>
        <w:i w:val="0"/>
        <w:iCs w:val="0"/>
        <w:smallCaps w:val="0"/>
        <w:strike w:val="0"/>
        <w:color w:val="000000"/>
        <w:spacing w:val="0"/>
        <w:w w:val="100"/>
        <w:position w:val="0"/>
        <w:sz w:val="19"/>
        <w:szCs w:val="19"/>
        <w:u w:val="none"/>
      </w:rPr>
    </w:lvl>
    <w:lvl w:ilvl="4">
      <w:start w:val="2"/>
      <w:numFmt w:val="decimal"/>
      <w:lvlText w:val="%5."/>
      <w:lvlJc w:val="left"/>
      <w:rPr>
        <w:rFonts w:ascii="Arial" w:eastAsia="Arial" w:hAnsi="Arial" w:cs="Arial"/>
        <w:b w:val="0"/>
        <w:bCs w:val="0"/>
        <w:i w:val="0"/>
        <w:iCs w:val="0"/>
        <w:smallCaps w:val="0"/>
        <w:strike w:val="0"/>
        <w:color w:val="000000"/>
        <w:spacing w:val="0"/>
        <w:w w:val="100"/>
        <w:position w:val="0"/>
        <w:sz w:val="19"/>
        <w:szCs w:val="19"/>
        <w:u w:val="none"/>
      </w:rPr>
    </w:lvl>
    <w:lvl w:ilvl="5">
      <w:start w:val="9"/>
      <w:numFmt w:val="decimal"/>
      <w:lvlText w:val="%6."/>
      <w:lvlJc w:val="left"/>
      <w:rPr>
        <w:rFonts w:ascii="Arial" w:eastAsia="Arial" w:hAnsi="Arial" w:cs="Arial"/>
        <w:b w:val="0"/>
        <w:bCs w:val="0"/>
        <w:i w:val="0"/>
        <w:iCs w:val="0"/>
        <w:smallCaps w:val="0"/>
        <w:strike w:val="0"/>
        <w:color w:val="000000"/>
        <w:spacing w:val="0"/>
        <w:w w:val="100"/>
        <w:position w:val="0"/>
        <w:sz w:val="19"/>
        <w:szCs w:val="19"/>
        <w:u w:val="none"/>
      </w:rPr>
    </w:lvl>
    <w:lvl w:ilvl="6">
      <w:start w:val="1"/>
      <w:numFmt w:val="decimal"/>
      <w:lvlText w:val="%7."/>
      <w:lvlJc w:val="left"/>
      <w:rPr>
        <w:rFonts w:ascii="Arial" w:eastAsia="Arial" w:hAnsi="Arial" w:cs="Arial"/>
        <w:b w:val="0"/>
        <w:bCs w:val="0"/>
        <w:i w:val="0"/>
        <w:iCs w:val="0"/>
        <w:smallCaps w:val="0"/>
        <w:strike w:val="0"/>
        <w:color w:val="000000"/>
        <w:spacing w:val="0"/>
        <w:w w:val="100"/>
        <w:position w:val="0"/>
        <w:sz w:val="19"/>
        <w:szCs w:val="19"/>
        <w:u w:val="none"/>
      </w:rPr>
    </w:lvl>
    <w:lvl w:ilvl="7">
      <w:start w:val="2"/>
      <w:numFmt w:val="decimal"/>
      <w:lvlText w:val="%8."/>
      <w:lvlJc w:val="left"/>
      <w:rPr>
        <w:rFonts w:ascii="Arial" w:eastAsia="Arial" w:hAnsi="Arial" w:cs="Arial"/>
        <w:b w:val="0"/>
        <w:bCs w:val="0"/>
        <w:i w:val="0"/>
        <w:iCs w:val="0"/>
        <w:smallCaps w:val="0"/>
        <w:strike w:val="0"/>
        <w:color w:val="000000"/>
        <w:spacing w:val="0"/>
        <w:w w:val="100"/>
        <w:position w:val="0"/>
        <w:sz w:val="19"/>
        <w:szCs w:val="19"/>
        <w:u w:val="none"/>
      </w:rPr>
    </w:lvl>
    <w:lvl w:ilvl="8">
      <w:start w:val="1"/>
      <w:numFmt w:val="decimal"/>
      <w:lvlText w:val="%9."/>
      <w:lvlJc w:val="left"/>
      <w:rPr>
        <w:rFonts w:ascii="Arial" w:eastAsia="Arial" w:hAnsi="Arial" w:cs="Arial"/>
        <w:b w:val="0"/>
        <w:bCs w:val="0"/>
        <w:i w:val="0"/>
        <w:iCs w:val="0"/>
        <w:smallCaps w:val="0"/>
        <w:strike w:val="0"/>
        <w:color w:val="000000"/>
        <w:spacing w:val="0"/>
        <w:w w:val="100"/>
        <w:position w:val="0"/>
        <w:sz w:val="19"/>
        <w:szCs w:val="19"/>
        <w:u w:val="none"/>
      </w:rPr>
    </w:lvl>
  </w:abstractNum>
  <w:abstractNum w:abstractNumId="4" w15:restartNumberingAfterBreak="0">
    <w:nsid w:val="10303E90"/>
    <w:multiLevelType w:val="multilevel"/>
    <w:tmpl w:val="C4ACB5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634017"/>
    <w:multiLevelType w:val="multilevel"/>
    <w:tmpl w:val="C73E22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982386A"/>
    <w:multiLevelType w:val="multilevel"/>
    <w:tmpl w:val="FA08CF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A4D31E9"/>
    <w:multiLevelType w:val="multilevel"/>
    <w:tmpl w:val="C4F2F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5CC4861"/>
    <w:multiLevelType w:val="multilevel"/>
    <w:tmpl w:val="D08E7A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0D74434"/>
    <w:multiLevelType w:val="multilevel"/>
    <w:tmpl w:val="86388E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42501C1"/>
    <w:multiLevelType w:val="multilevel"/>
    <w:tmpl w:val="DEF27FEA"/>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4D9B7253"/>
    <w:multiLevelType w:val="multilevel"/>
    <w:tmpl w:val="577A73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3A41404"/>
    <w:multiLevelType w:val="multilevel"/>
    <w:tmpl w:val="0BE0E4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4DC4730"/>
    <w:multiLevelType w:val="multilevel"/>
    <w:tmpl w:val="A29601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A401A89"/>
    <w:multiLevelType w:val="hybridMultilevel"/>
    <w:tmpl w:val="73DE66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5AB648BF"/>
    <w:multiLevelType w:val="multilevel"/>
    <w:tmpl w:val="1B34F022"/>
    <w:lvl w:ilvl="0">
      <w:start w:val="25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31A2113"/>
    <w:multiLevelType w:val="singleLevel"/>
    <w:tmpl w:val="BAEA28E4"/>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 w15:restartNumberingAfterBreak="0">
    <w:nsid w:val="73C1168C"/>
    <w:multiLevelType w:val="multilevel"/>
    <w:tmpl w:val="7E1EE2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42D2DD5"/>
    <w:multiLevelType w:val="multilevel"/>
    <w:tmpl w:val="1584C9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841203D"/>
    <w:multiLevelType w:val="multilevel"/>
    <w:tmpl w:val="07220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D741CD2"/>
    <w:multiLevelType w:val="hybridMultilevel"/>
    <w:tmpl w:val="B388EB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7F2D4424"/>
    <w:multiLevelType w:val="multilevel"/>
    <w:tmpl w:val="BA74A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19852952">
    <w:abstractNumId w:val="16"/>
  </w:num>
  <w:num w:numId="2" w16cid:durableId="252319911">
    <w:abstractNumId w:val="1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 w16cid:durableId="1899900605">
    <w:abstractNumId w:val="1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 w16cid:durableId="298609727">
    <w:abstractNumId w:val="15"/>
  </w:num>
  <w:num w:numId="5" w16cid:durableId="592739495">
    <w:abstractNumId w:val="4"/>
  </w:num>
  <w:num w:numId="6" w16cid:durableId="434130544">
    <w:abstractNumId w:val="1"/>
  </w:num>
  <w:num w:numId="7" w16cid:durableId="231697856">
    <w:abstractNumId w:val="18"/>
  </w:num>
  <w:num w:numId="8" w16cid:durableId="866408188">
    <w:abstractNumId w:val="17"/>
  </w:num>
  <w:num w:numId="9" w16cid:durableId="226961438">
    <w:abstractNumId w:val="7"/>
  </w:num>
  <w:num w:numId="10" w16cid:durableId="1133015249">
    <w:abstractNumId w:val="11"/>
  </w:num>
  <w:num w:numId="11" w16cid:durableId="2033456101">
    <w:abstractNumId w:val="8"/>
  </w:num>
  <w:num w:numId="12" w16cid:durableId="1339384426">
    <w:abstractNumId w:val="10"/>
  </w:num>
  <w:num w:numId="13" w16cid:durableId="862941166">
    <w:abstractNumId w:val="0"/>
  </w:num>
  <w:num w:numId="14" w16cid:durableId="2007978965">
    <w:abstractNumId w:val="3"/>
  </w:num>
  <w:num w:numId="15" w16cid:durableId="1695619616">
    <w:abstractNumId w:val="19"/>
  </w:num>
  <w:num w:numId="16" w16cid:durableId="881793477">
    <w:abstractNumId w:val="21"/>
  </w:num>
  <w:num w:numId="17" w16cid:durableId="1425875747">
    <w:abstractNumId w:val="5"/>
  </w:num>
  <w:num w:numId="18" w16cid:durableId="376583963">
    <w:abstractNumId w:val="14"/>
  </w:num>
  <w:num w:numId="19" w16cid:durableId="832180254">
    <w:abstractNumId w:val="12"/>
  </w:num>
  <w:num w:numId="20" w16cid:durableId="778112559">
    <w:abstractNumId w:val="6"/>
  </w:num>
  <w:num w:numId="21" w16cid:durableId="1560627903">
    <w:abstractNumId w:val="2"/>
  </w:num>
  <w:num w:numId="22" w16cid:durableId="1373798363">
    <w:abstractNumId w:val="9"/>
  </w:num>
  <w:num w:numId="23" w16cid:durableId="1833789818">
    <w:abstractNumId w:val="13"/>
  </w:num>
  <w:num w:numId="24" w16cid:durableId="146010480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281"/>
    <w:rsid w:val="00014CAF"/>
    <w:rsid w:val="00015826"/>
    <w:rsid w:val="00016FD0"/>
    <w:rsid w:val="000214FC"/>
    <w:rsid w:val="0002201C"/>
    <w:rsid w:val="00022C32"/>
    <w:rsid w:val="00023CA1"/>
    <w:rsid w:val="00025472"/>
    <w:rsid w:val="00026008"/>
    <w:rsid w:val="00026D63"/>
    <w:rsid w:val="0003758F"/>
    <w:rsid w:val="00040BD8"/>
    <w:rsid w:val="00043FA6"/>
    <w:rsid w:val="00045B2F"/>
    <w:rsid w:val="00047607"/>
    <w:rsid w:val="00047A9F"/>
    <w:rsid w:val="00047CAC"/>
    <w:rsid w:val="00053465"/>
    <w:rsid w:val="00053C2F"/>
    <w:rsid w:val="00053D91"/>
    <w:rsid w:val="000551B1"/>
    <w:rsid w:val="00060FC5"/>
    <w:rsid w:val="000616EE"/>
    <w:rsid w:val="00062843"/>
    <w:rsid w:val="00063416"/>
    <w:rsid w:val="00065021"/>
    <w:rsid w:val="000655F6"/>
    <w:rsid w:val="00066F80"/>
    <w:rsid w:val="00067426"/>
    <w:rsid w:val="000701C9"/>
    <w:rsid w:val="000742C6"/>
    <w:rsid w:val="00076ECA"/>
    <w:rsid w:val="000814A4"/>
    <w:rsid w:val="00081843"/>
    <w:rsid w:val="000834C9"/>
    <w:rsid w:val="00091580"/>
    <w:rsid w:val="00093696"/>
    <w:rsid w:val="00094AE4"/>
    <w:rsid w:val="00094F32"/>
    <w:rsid w:val="00095E32"/>
    <w:rsid w:val="00095EC7"/>
    <w:rsid w:val="00096E4B"/>
    <w:rsid w:val="00097678"/>
    <w:rsid w:val="000A1B92"/>
    <w:rsid w:val="000A3576"/>
    <w:rsid w:val="000A625D"/>
    <w:rsid w:val="000A792C"/>
    <w:rsid w:val="000B0998"/>
    <w:rsid w:val="000B16CD"/>
    <w:rsid w:val="000B3C99"/>
    <w:rsid w:val="000B430C"/>
    <w:rsid w:val="000B53BF"/>
    <w:rsid w:val="000B7371"/>
    <w:rsid w:val="000C394F"/>
    <w:rsid w:val="000C5E7E"/>
    <w:rsid w:val="000D11AB"/>
    <w:rsid w:val="000D147A"/>
    <w:rsid w:val="000D235B"/>
    <w:rsid w:val="000D456B"/>
    <w:rsid w:val="000D6ECB"/>
    <w:rsid w:val="000D7EED"/>
    <w:rsid w:val="000E683A"/>
    <w:rsid w:val="000E7270"/>
    <w:rsid w:val="000E76F1"/>
    <w:rsid w:val="000F08C4"/>
    <w:rsid w:val="000F30A8"/>
    <w:rsid w:val="000F3C8E"/>
    <w:rsid w:val="000F43BC"/>
    <w:rsid w:val="000F4B94"/>
    <w:rsid w:val="000F5178"/>
    <w:rsid w:val="000F57CF"/>
    <w:rsid w:val="00103C92"/>
    <w:rsid w:val="001045FD"/>
    <w:rsid w:val="00104B12"/>
    <w:rsid w:val="00104EF5"/>
    <w:rsid w:val="00106883"/>
    <w:rsid w:val="001126FC"/>
    <w:rsid w:val="00113D98"/>
    <w:rsid w:val="001157F8"/>
    <w:rsid w:val="00121858"/>
    <w:rsid w:val="00122AB1"/>
    <w:rsid w:val="00125068"/>
    <w:rsid w:val="00125E17"/>
    <w:rsid w:val="001267E4"/>
    <w:rsid w:val="0013042E"/>
    <w:rsid w:val="00130660"/>
    <w:rsid w:val="00132B49"/>
    <w:rsid w:val="00133092"/>
    <w:rsid w:val="00135C75"/>
    <w:rsid w:val="00145AFC"/>
    <w:rsid w:val="0014789E"/>
    <w:rsid w:val="00147B32"/>
    <w:rsid w:val="00150B7E"/>
    <w:rsid w:val="001519DB"/>
    <w:rsid w:val="00153023"/>
    <w:rsid w:val="00155DD3"/>
    <w:rsid w:val="001569C2"/>
    <w:rsid w:val="00161A6B"/>
    <w:rsid w:val="0016518E"/>
    <w:rsid w:val="00166A21"/>
    <w:rsid w:val="00170A9A"/>
    <w:rsid w:val="0017182D"/>
    <w:rsid w:val="001720A9"/>
    <w:rsid w:val="00172A82"/>
    <w:rsid w:val="00174956"/>
    <w:rsid w:val="00175851"/>
    <w:rsid w:val="00175890"/>
    <w:rsid w:val="00176C48"/>
    <w:rsid w:val="00176EBD"/>
    <w:rsid w:val="00186128"/>
    <w:rsid w:val="00187993"/>
    <w:rsid w:val="00192DB3"/>
    <w:rsid w:val="001938C8"/>
    <w:rsid w:val="0019702E"/>
    <w:rsid w:val="00197288"/>
    <w:rsid w:val="001A1F94"/>
    <w:rsid w:val="001A7088"/>
    <w:rsid w:val="001B016C"/>
    <w:rsid w:val="001B0E65"/>
    <w:rsid w:val="001B4BD6"/>
    <w:rsid w:val="001B6ED4"/>
    <w:rsid w:val="001B6F8A"/>
    <w:rsid w:val="001B7625"/>
    <w:rsid w:val="001C52E7"/>
    <w:rsid w:val="001C568D"/>
    <w:rsid w:val="001C5D77"/>
    <w:rsid w:val="001C638F"/>
    <w:rsid w:val="001D20BA"/>
    <w:rsid w:val="001D314A"/>
    <w:rsid w:val="001E13F7"/>
    <w:rsid w:val="001E2084"/>
    <w:rsid w:val="001E32B6"/>
    <w:rsid w:val="001E471D"/>
    <w:rsid w:val="001E7FC5"/>
    <w:rsid w:val="001F271E"/>
    <w:rsid w:val="001F5364"/>
    <w:rsid w:val="001F5BD5"/>
    <w:rsid w:val="001F7908"/>
    <w:rsid w:val="00202F89"/>
    <w:rsid w:val="00203A11"/>
    <w:rsid w:val="0020515A"/>
    <w:rsid w:val="00206E0B"/>
    <w:rsid w:val="00207363"/>
    <w:rsid w:val="00212426"/>
    <w:rsid w:val="00212E98"/>
    <w:rsid w:val="00213252"/>
    <w:rsid w:val="002138D7"/>
    <w:rsid w:val="0021568A"/>
    <w:rsid w:val="00216808"/>
    <w:rsid w:val="00220D1F"/>
    <w:rsid w:val="00221BF0"/>
    <w:rsid w:val="00230BC3"/>
    <w:rsid w:val="00231E61"/>
    <w:rsid w:val="00237152"/>
    <w:rsid w:val="00240462"/>
    <w:rsid w:val="00247666"/>
    <w:rsid w:val="00247AF3"/>
    <w:rsid w:val="0025156F"/>
    <w:rsid w:val="0025540B"/>
    <w:rsid w:val="00256266"/>
    <w:rsid w:val="00256D55"/>
    <w:rsid w:val="00257900"/>
    <w:rsid w:val="00260EEA"/>
    <w:rsid w:val="00262537"/>
    <w:rsid w:val="0026359A"/>
    <w:rsid w:val="00270DCE"/>
    <w:rsid w:val="00271E93"/>
    <w:rsid w:val="0027354C"/>
    <w:rsid w:val="00273B27"/>
    <w:rsid w:val="00276866"/>
    <w:rsid w:val="00276C1E"/>
    <w:rsid w:val="00277423"/>
    <w:rsid w:val="002831F2"/>
    <w:rsid w:val="0028394A"/>
    <w:rsid w:val="0028450E"/>
    <w:rsid w:val="0028644D"/>
    <w:rsid w:val="0029131A"/>
    <w:rsid w:val="00291B3A"/>
    <w:rsid w:val="00292519"/>
    <w:rsid w:val="002966F1"/>
    <w:rsid w:val="00296738"/>
    <w:rsid w:val="002A470B"/>
    <w:rsid w:val="002A5D58"/>
    <w:rsid w:val="002A7D93"/>
    <w:rsid w:val="002B1C74"/>
    <w:rsid w:val="002B4021"/>
    <w:rsid w:val="002B4992"/>
    <w:rsid w:val="002B526B"/>
    <w:rsid w:val="002B580E"/>
    <w:rsid w:val="002B67C2"/>
    <w:rsid w:val="002C14D7"/>
    <w:rsid w:val="002C21EC"/>
    <w:rsid w:val="002C2273"/>
    <w:rsid w:val="002C67BA"/>
    <w:rsid w:val="002C6FAA"/>
    <w:rsid w:val="002C7D24"/>
    <w:rsid w:val="002D7855"/>
    <w:rsid w:val="002D78FD"/>
    <w:rsid w:val="002E02D2"/>
    <w:rsid w:val="002E11B0"/>
    <w:rsid w:val="002E2452"/>
    <w:rsid w:val="002E24E6"/>
    <w:rsid w:val="002E3319"/>
    <w:rsid w:val="002E4200"/>
    <w:rsid w:val="002E7C73"/>
    <w:rsid w:val="002F055D"/>
    <w:rsid w:val="002F0CB2"/>
    <w:rsid w:val="002F2FDF"/>
    <w:rsid w:val="002F382F"/>
    <w:rsid w:val="002F3D6F"/>
    <w:rsid w:val="002F58C3"/>
    <w:rsid w:val="003032C8"/>
    <w:rsid w:val="00305A71"/>
    <w:rsid w:val="00305E0A"/>
    <w:rsid w:val="00307841"/>
    <w:rsid w:val="00312320"/>
    <w:rsid w:val="00312626"/>
    <w:rsid w:val="003130C4"/>
    <w:rsid w:val="00315041"/>
    <w:rsid w:val="003150CD"/>
    <w:rsid w:val="00315738"/>
    <w:rsid w:val="00320E61"/>
    <w:rsid w:val="00321EA1"/>
    <w:rsid w:val="003230C7"/>
    <w:rsid w:val="00324D59"/>
    <w:rsid w:val="00332462"/>
    <w:rsid w:val="00334613"/>
    <w:rsid w:val="003355CF"/>
    <w:rsid w:val="0033751B"/>
    <w:rsid w:val="00342516"/>
    <w:rsid w:val="003431D2"/>
    <w:rsid w:val="003446BF"/>
    <w:rsid w:val="00346298"/>
    <w:rsid w:val="00346C00"/>
    <w:rsid w:val="00347BB1"/>
    <w:rsid w:val="003552A0"/>
    <w:rsid w:val="00356B64"/>
    <w:rsid w:val="003573C6"/>
    <w:rsid w:val="00362E42"/>
    <w:rsid w:val="0036342E"/>
    <w:rsid w:val="00364602"/>
    <w:rsid w:val="00366FBB"/>
    <w:rsid w:val="00372D9A"/>
    <w:rsid w:val="00373D7A"/>
    <w:rsid w:val="00382475"/>
    <w:rsid w:val="00383063"/>
    <w:rsid w:val="00384421"/>
    <w:rsid w:val="00384EC0"/>
    <w:rsid w:val="00386FE7"/>
    <w:rsid w:val="003875B3"/>
    <w:rsid w:val="00387F6A"/>
    <w:rsid w:val="00392001"/>
    <w:rsid w:val="00392894"/>
    <w:rsid w:val="00393BC3"/>
    <w:rsid w:val="00394BC0"/>
    <w:rsid w:val="00396E71"/>
    <w:rsid w:val="00396FE3"/>
    <w:rsid w:val="003979E1"/>
    <w:rsid w:val="003A17E0"/>
    <w:rsid w:val="003A2080"/>
    <w:rsid w:val="003A28CA"/>
    <w:rsid w:val="003A43C6"/>
    <w:rsid w:val="003A5290"/>
    <w:rsid w:val="003B02B1"/>
    <w:rsid w:val="003B02DF"/>
    <w:rsid w:val="003B4909"/>
    <w:rsid w:val="003C305D"/>
    <w:rsid w:val="003C4B91"/>
    <w:rsid w:val="003C6EC9"/>
    <w:rsid w:val="003D072A"/>
    <w:rsid w:val="003D09FB"/>
    <w:rsid w:val="003D1D16"/>
    <w:rsid w:val="003D6BB9"/>
    <w:rsid w:val="003E0160"/>
    <w:rsid w:val="003E0642"/>
    <w:rsid w:val="003E28E5"/>
    <w:rsid w:val="003E30FD"/>
    <w:rsid w:val="003E442B"/>
    <w:rsid w:val="003E53DB"/>
    <w:rsid w:val="003F2424"/>
    <w:rsid w:val="003F2A09"/>
    <w:rsid w:val="003F6F42"/>
    <w:rsid w:val="0040277E"/>
    <w:rsid w:val="00403176"/>
    <w:rsid w:val="00403653"/>
    <w:rsid w:val="0040389F"/>
    <w:rsid w:val="00404660"/>
    <w:rsid w:val="00406B18"/>
    <w:rsid w:val="00407F0F"/>
    <w:rsid w:val="00412A61"/>
    <w:rsid w:val="004139EC"/>
    <w:rsid w:val="00413CD7"/>
    <w:rsid w:val="00420384"/>
    <w:rsid w:val="004208DE"/>
    <w:rsid w:val="00421CDC"/>
    <w:rsid w:val="004231CF"/>
    <w:rsid w:val="004318A6"/>
    <w:rsid w:val="00436AFF"/>
    <w:rsid w:val="00441081"/>
    <w:rsid w:val="004463C1"/>
    <w:rsid w:val="00446A93"/>
    <w:rsid w:val="00447212"/>
    <w:rsid w:val="0044768C"/>
    <w:rsid w:val="00454891"/>
    <w:rsid w:val="00455A23"/>
    <w:rsid w:val="004568DF"/>
    <w:rsid w:val="0045750D"/>
    <w:rsid w:val="004575E2"/>
    <w:rsid w:val="00457C3B"/>
    <w:rsid w:val="00460F40"/>
    <w:rsid w:val="00462FCF"/>
    <w:rsid w:val="0046469F"/>
    <w:rsid w:val="00464B78"/>
    <w:rsid w:val="00465FFE"/>
    <w:rsid w:val="004705B5"/>
    <w:rsid w:val="004734F2"/>
    <w:rsid w:val="0047418C"/>
    <w:rsid w:val="00474654"/>
    <w:rsid w:val="0047630E"/>
    <w:rsid w:val="00480E2E"/>
    <w:rsid w:val="00481E1E"/>
    <w:rsid w:val="0048374E"/>
    <w:rsid w:val="0048397F"/>
    <w:rsid w:val="00483AEB"/>
    <w:rsid w:val="00484235"/>
    <w:rsid w:val="004855F5"/>
    <w:rsid w:val="004868FE"/>
    <w:rsid w:val="004941D0"/>
    <w:rsid w:val="00494398"/>
    <w:rsid w:val="004963BB"/>
    <w:rsid w:val="004A1FB3"/>
    <w:rsid w:val="004A7149"/>
    <w:rsid w:val="004B0814"/>
    <w:rsid w:val="004B3019"/>
    <w:rsid w:val="004B3576"/>
    <w:rsid w:val="004B45E1"/>
    <w:rsid w:val="004B5C1B"/>
    <w:rsid w:val="004B7158"/>
    <w:rsid w:val="004C18A1"/>
    <w:rsid w:val="004C240B"/>
    <w:rsid w:val="004C280F"/>
    <w:rsid w:val="004C450A"/>
    <w:rsid w:val="004C58A1"/>
    <w:rsid w:val="004C5E00"/>
    <w:rsid w:val="004D05D9"/>
    <w:rsid w:val="004E5432"/>
    <w:rsid w:val="004F0CD1"/>
    <w:rsid w:val="004F30FB"/>
    <w:rsid w:val="004F33D1"/>
    <w:rsid w:val="004F6CFB"/>
    <w:rsid w:val="004F758B"/>
    <w:rsid w:val="00504A20"/>
    <w:rsid w:val="0050748F"/>
    <w:rsid w:val="00507A1A"/>
    <w:rsid w:val="00510171"/>
    <w:rsid w:val="005119C8"/>
    <w:rsid w:val="00516B82"/>
    <w:rsid w:val="00516D73"/>
    <w:rsid w:val="00516F12"/>
    <w:rsid w:val="00516F49"/>
    <w:rsid w:val="00517316"/>
    <w:rsid w:val="005241BF"/>
    <w:rsid w:val="0052661D"/>
    <w:rsid w:val="00531997"/>
    <w:rsid w:val="00531BA2"/>
    <w:rsid w:val="00531D92"/>
    <w:rsid w:val="00537E6E"/>
    <w:rsid w:val="0054283F"/>
    <w:rsid w:val="005500E8"/>
    <w:rsid w:val="005505D2"/>
    <w:rsid w:val="0055271B"/>
    <w:rsid w:val="00556363"/>
    <w:rsid w:val="0055751C"/>
    <w:rsid w:val="00562E88"/>
    <w:rsid w:val="0056617B"/>
    <w:rsid w:val="00570C45"/>
    <w:rsid w:val="00570D2F"/>
    <w:rsid w:val="00573996"/>
    <w:rsid w:val="00577C2C"/>
    <w:rsid w:val="00593099"/>
    <w:rsid w:val="005931B2"/>
    <w:rsid w:val="00593C72"/>
    <w:rsid w:val="00593D13"/>
    <w:rsid w:val="005962D4"/>
    <w:rsid w:val="00597FF8"/>
    <w:rsid w:val="005A1661"/>
    <w:rsid w:val="005A202B"/>
    <w:rsid w:val="005B2321"/>
    <w:rsid w:val="005B454A"/>
    <w:rsid w:val="005B524F"/>
    <w:rsid w:val="005B5D8E"/>
    <w:rsid w:val="005C783F"/>
    <w:rsid w:val="005C7A08"/>
    <w:rsid w:val="005D0E99"/>
    <w:rsid w:val="005D2783"/>
    <w:rsid w:val="005D3D2E"/>
    <w:rsid w:val="005D46C8"/>
    <w:rsid w:val="005D5D55"/>
    <w:rsid w:val="005E24BE"/>
    <w:rsid w:val="005E2948"/>
    <w:rsid w:val="005E31B0"/>
    <w:rsid w:val="005E57EA"/>
    <w:rsid w:val="005F253F"/>
    <w:rsid w:val="005F2B51"/>
    <w:rsid w:val="005F63C0"/>
    <w:rsid w:val="00601560"/>
    <w:rsid w:val="00605EDC"/>
    <w:rsid w:val="006064F0"/>
    <w:rsid w:val="00606F47"/>
    <w:rsid w:val="00607337"/>
    <w:rsid w:val="00607F19"/>
    <w:rsid w:val="00610AA6"/>
    <w:rsid w:val="00611FB3"/>
    <w:rsid w:val="00612111"/>
    <w:rsid w:val="0061497A"/>
    <w:rsid w:val="0062000C"/>
    <w:rsid w:val="00621AC5"/>
    <w:rsid w:val="00621FD4"/>
    <w:rsid w:val="006229A4"/>
    <w:rsid w:val="00623859"/>
    <w:rsid w:val="0063139D"/>
    <w:rsid w:val="00631AD8"/>
    <w:rsid w:val="006323CD"/>
    <w:rsid w:val="00634C94"/>
    <w:rsid w:val="00636CA3"/>
    <w:rsid w:val="00637EA0"/>
    <w:rsid w:val="00640265"/>
    <w:rsid w:val="00640944"/>
    <w:rsid w:val="00642623"/>
    <w:rsid w:val="00644C44"/>
    <w:rsid w:val="00645292"/>
    <w:rsid w:val="006464AE"/>
    <w:rsid w:val="0065055E"/>
    <w:rsid w:val="006514E2"/>
    <w:rsid w:val="006534B6"/>
    <w:rsid w:val="006548F0"/>
    <w:rsid w:val="00655A59"/>
    <w:rsid w:val="00657464"/>
    <w:rsid w:val="0066178E"/>
    <w:rsid w:val="006627A3"/>
    <w:rsid w:val="006709A3"/>
    <w:rsid w:val="00672EDF"/>
    <w:rsid w:val="00674846"/>
    <w:rsid w:val="00674AAD"/>
    <w:rsid w:val="006775F3"/>
    <w:rsid w:val="00680400"/>
    <w:rsid w:val="0068196A"/>
    <w:rsid w:val="0068213E"/>
    <w:rsid w:val="00683575"/>
    <w:rsid w:val="00683EB6"/>
    <w:rsid w:val="00685DD5"/>
    <w:rsid w:val="006970C8"/>
    <w:rsid w:val="0069777D"/>
    <w:rsid w:val="00697826"/>
    <w:rsid w:val="00697B1B"/>
    <w:rsid w:val="006A0EAE"/>
    <w:rsid w:val="006A7032"/>
    <w:rsid w:val="006A795C"/>
    <w:rsid w:val="006B0222"/>
    <w:rsid w:val="006B0735"/>
    <w:rsid w:val="006B078B"/>
    <w:rsid w:val="006B07EF"/>
    <w:rsid w:val="006B0B5F"/>
    <w:rsid w:val="006B155B"/>
    <w:rsid w:val="006B2BD0"/>
    <w:rsid w:val="006B2EB3"/>
    <w:rsid w:val="006B362D"/>
    <w:rsid w:val="006B39A0"/>
    <w:rsid w:val="006B559B"/>
    <w:rsid w:val="006B5704"/>
    <w:rsid w:val="006B6876"/>
    <w:rsid w:val="006B7AC1"/>
    <w:rsid w:val="006C121E"/>
    <w:rsid w:val="006D1205"/>
    <w:rsid w:val="006D25BA"/>
    <w:rsid w:val="006D4978"/>
    <w:rsid w:val="006E0883"/>
    <w:rsid w:val="006E0C58"/>
    <w:rsid w:val="006E2BB0"/>
    <w:rsid w:val="006E3931"/>
    <w:rsid w:val="006E4FF2"/>
    <w:rsid w:val="006E5CD0"/>
    <w:rsid w:val="006F3A1F"/>
    <w:rsid w:val="006F4921"/>
    <w:rsid w:val="006F7B4F"/>
    <w:rsid w:val="0070626D"/>
    <w:rsid w:val="00706E2E"/>
    <w:rsid w:val="00713C18"/>
    <w:rsid w:val="00714B68"/>
    <w:rsid w:val="00714C8B"/>
    <w:rsid w:val="00714CB5"/>
    <w:rsid w:val="00715076"/>
    <w:rsid w:val="0071649C"/>
    <w:rsid w:val="00716CDB"/>
    <w:rsid w:val="007312B4"/>
    <w:rsid w:val="00731D28"/>
    <w:rsid w:val="0073216F"/>
    <w:rsid w:val="007325A2"/>
    <w:rsid w:val="0073361C"/>
    <w:rsid w:val="00733A67"/>
    <w:rsid w:val="00733E6C"/>
    <w:rsid w:val="0074459A"/>
    <w:rsid w:val="00744DA6"/>
    <w:rsid w:val="00746A80"/>
    <w:rsid w:val="00752B3E"/>
    <w:rsid w:val="007548B1"/>
    <w:rsid w:val="00756CD7"/>
    <w:rsid w:val="00762819"/>
    <w:rsid w:val="00763B8F"/>
    <w:rsid w:val="00765CAE"/>
    <w:rsid w:val="00772665"/>
    <w:rsid w:val="00780B21"/>
    <w:rsid w:val="007810A3"/>
    <w:rsid w:val="00782893"/>
    <w:rsid w:val="00783072"/>
    <w:rsid w:val="00783B7D"/>
    <w:rsid w:val="00783BE2"/>
    <w:rsid w:val="00783C50"/>
    <w:rsid w:val="00784795"/>
    <w:rsid w:val="00787699"/>
    <w:rsid w:val="00787FF0"/>
    <w:rsid w:val="00792E6D"/>
    <w:rsid w:val="0079390B"/>
    <w:rsid w:val="00797A02"/>
    <w:rsid w:val="007A359D"/>
    <w:rsid w:val="007A4234"/>
    <w:rsid w:val="007A769B"/>
    <w:rsid w:val="007B029C"/>
    <w:rsid w:val="007B10CD"/>
    <w:rsid w:val="007B334A"/>
    <w:rsid w:val="007B4BAF"/>
    <w:rsid w:val="007B636A"/>
    <w:rsid w:val="007C0382"/>
    <w:rsid w:val="007C463D"/>
    <w:rsid w:val="007C4D5D"/>
    <w:rsid w:val="007C76B0"/>
    <w:rsid w:val="007D74B2"/>
    <w:rsid w:val="007E26D6"/>
    <w:rsid w:val="007E33B9"/>
    <w:rsid w:val="007E448A"/>
    <w:rsid w:val="007E6D50"/>
    <w:rsid w:val="007E7643"/>
    <w:rsid w:val="007F3D25"/>
    <w:rsid w:val="007F40F7"/>
    <w:rsid w:val="007F78D6"/>
    <w:rsid w:val="008019CE"/>
    <w:rsid w:val="0080429A"/>
    <w:rsid w:val="00804AD2"/>
    <w:rsid w:val="0080789B"/>
    <w:rsid w:val="00807BD8"/>
    <w:rsid w:val="00807D26"/>
    <w:rsid w:val="00811799"/>
    <w:rsid w:val="008127A2"/>
    <w:rsid w:val="00814096"/>
    <w:rsid w:val="008233F1"/>
    <w:rsid w:val="008256FD"/>
    <w:rsid w:val="00826055"/>
    <w:rsid w:val="0082798F"/>
    <w:rsid w:val="0083075A"/>
    <w:rsid w:val="00831AEF"/>
    <w:rsid w:val="00831CDC"/>
    <w:rsid w:val="00834DFB"/>
    <w:rsid w:val="00836BBB"/>
    <w:rsid w:val="00847535"/>
    <w:rsid w:val="00851731"/>
    <w:rsid w:val="00853407"/>
    <w:rsid w:val="00855416"/>
    <w:rsid w:val="00856C3A"/>
    <w:rsid w:val="008626EA"/>
    <w:rsid w:val="008648EA"/>
    <w:rsid w:val="00866C07"/>
    <w:rsid w:val="00871D7D"/>
    <w:rsid w:val="00873850"/>
    <w:rsid w:val="00873E5B"/>
    <w:rsid w:val="00874C46"/>
    <w:rsid w:val="00875D28"/>
    <w:rsid w:val="00875F0C"/>
    <w:rsid w:val="008772C5"/>
    <w:rsid w:val="008774AD"/>
    <w:rsid w:val="00880559"/>
    <w:rsid w:val="00880BED"/>
    <w:rsid w:val="008836A0"/>
    <w:rsid w:val="00883CAF"/>
    <w:rsid w:val="008842A1"/>
    <w:rsid w:val="008849C8"/>
    <w:rsid w:val="00885424"/>
    <w:rsid w:val="00890A59"/>
    <w:rsid w:val="00896779"/>
    <w:rsid w:val="008A48F2"/>
    <w:rsid w:val="008A5E89"/>
    <w:rsid w:val="008B065B"/>
    <w:rsid w:val="008B3774"/>
    <w:rsid w:val="008B3C13"/>
    <w:rsid w:val="008B7CA9"/>
    <w:rsid w:val="008C3BE8"/>
    <w:rsid w:val="008C5CCC"/>
    <w:rsid w:val="008C783F"/>
    <w:rsid w:val="008D16F6"/>
    <w:rsid w:val="008D249A"/>
    <w:rsid w:val="008D68E8"/>
    <w:rsid w:val="008E0A15"/>
    <w:rsid w:val="008E0E67"/>
    <w:rsid w:val="008E6AE0"/>
    <w:rsid w:val="008E6FB1"/>
    <w:rsid w:val="008E7FAF"/>
    <w:rsid w:val="008F10E6"/>
    <w:rsid w:val="008F43EB"/>
    <w:rsid w:val="008F4C3B"/>
    <w:rsid w:val="008F5998"/>
    <w:rsid w:val="008F6208"/>
    <w:rsid w:val="008F6C98"/>
    <w:rsid w:val="008F70A0"/>
    <w:rsid w:val="0090030F"/>
    <w:rsid w:val="009042DF"/>
    <w:rsid w:val="00905338"/>
    <w:rsid w:val="00910E1B"/>
    <w:rsid w:val="00910F46"/>
    <w:rsid w:val="009117EA"/>
    <w:rsid w:val="00914D94"/>
    <w:rsid w:val="00920A3D"/>
    <w:rsid w:val="00922CA7"/>
    <w:rsid w:val="00923329"/>
    <w:rsid w:val="00923640"/>
    <w:rsid w:val="00924B0E"/>
    <w:rsid w:val="00927133"/>
    <w:rsid w:val="00930008"/>
    <w:rsid w:val="009359BB"/>
    <w:rsid w:val="009376D7"/>
    <w:rsid w:val="00945C28"/>
    <w:rsid w:val="00946AE8"/>
    <w:rsid w:val="00950170"/>
    <w:rsid w:val="00952699"/>
    <w:rsid w:val="00952980"/>
    <w:rsid w:val="00953D01"/>
    <w:rsid w:val="009547C9"/>
    <w:rsid w:val="00954CDF"/>
    <w:rsid w:val="009556D7"/>
    <w:rsid w:val="0096035A"/>
    <w:rsid w:val="009615CB"/>
    <w:rsid w:val="0096208F"/>
    <w:rsid w:val="00965F83"/>
    <w:rsid w:val="0096612C"/>
    <w:rsid w:val="009665DE"/>
    <w:rsid w:val="00967187"/>
    <w:rsid w:val="00975009"/>
    <w:rsid w:val="00980BD1"/>
    <w:rsid w:val="00987A47"/>
    <w:rsid w:val="00990F31"/>
    <w:rsid w:val="00992313"/>
    <w:rsid w:val="00996297"/>
    <w:rsid w:val="00996D96"/>
    <w:rsid w:val="009A1531"/>
    <w:rsid w:val="009A165D"/>
    <w:rsid w:val="009A4A84"/>
    <w:rsid w:val="009A574A"/>
    <w:rsid w:val="009A7BFE"/>
    <w:rsid w:val="009B4CC6"/>
    <w:rsid w:val="009B4F0E"/>
    <w:rsid w:val="009B647F"/>
    <w:rsid w:val="009B7C68"/>
    <w:rsid w:val="009C08ED"/>
    <w:rsid w:val="009C2037"/>
    <w:rsid w:val="009C37DA"/>
    <w:rsid w:val="009C6F0C"/>
    <w:rsid w:val="009C6F3B"/>
    <w:rsid w:val="009D0510"/>
    <w:rsid w:val="009D293D"/>
    <w:rsid w:val="009D3057"/>
    <w:rsid w:val="009D44EF"/>
    <w:rsid w:val="009D465F"/>
    <w:rsid w:val="009E00B5"/>
    <w:rsid w:val="009E251C"/>
    <w:rsid w:val="009E49F6"/>
    <w:rsid w:val="009E4C2F"/>
    <w:rsid w:val="009E604C"/>
    <w:rsid w:val="009E7F6D"/>
    <w:rsid w:val="009F168F"/>
    <w:rsid w:val="009F39F8"/>
    <w:rsid w:val="009F3E62"/>
    <w:rsid w:val="009F5E8B"/>
    <w:rsid w:val="00A01B86"/>
    <w:rsid w:val="00A01CD9"/>
    <w:rsid w:val="00A05C66"/>
    <w:rsid w:val="00A06735"/>
    <w:rsid w:val="00A074A8"/>
    <w:rsid w:val="00A115EF"/>
    <w:rsid w:val="00A21D78"/>
    <w:rsid w:val="00A24778"/>
    <w:rsid w:val="00A24FD8"/>
    <w:rsid w:val="00A2630F"/>
    <w:rsid w:val="00A27F39"/>
    <w:rsid w:val="00A32A27"/>
    <w:rsid w:val="00A32C90"/>
    <w:rsid w:val="00A37304"/>
    <w:rsid w:val="00A37479"/>
    <w:rsid w:val="00A41326"/>
    <w:rsid w:val="00A423C1"/>
    <w:rsid w:val="00A44B9C"/>
    <w:rsid w:val="00A531D8"/>
    <w:rsid w:val="00A56BA5"/>
    <w:rsid w:val="00A5705E"/>
    <w:rsid w:val="00A5772A"/>
    <w:rsid w:val="00A616E3"/>
    <w:rsid w:val="00A616FB"/>
    <w:rsid w:val="00A637F9"/>
    <w:rsid w:val="00A6454A"/>
    <w:rsid w:val="00A64B86"/>
    <w:rsid w:val="00A65C94"/>
    <w:rsid w:val="00A713EB"/>
    <w:rsid w:val="00A71B3E"/>
    <w:rsid w:val="00A81F96"/>
    <w:rsid w:val="00A848FE"/>
    <w:rsid w:val="00A86BBC"/>
    <w:rsid w:val="00A8785D"/>
    <w:rsid w:val="00A952AA"/>
    <w:rsid w:val="00A954CF"/>
    <w:rsid w:val="00AA0423"/>
    <w:rsid w:val="00AA0D39"/>
    <w:rsid w:val="00AA1040"/>
    <w:rsid w:val="00AA209E"/>
    <w:rsid w:val="00AA3EB5"/>
    <w:rsid w:val="00AA6296"/>
    <w:rsid w:val="00AB0807"/>
    <w:rsid w:val="00AB4BA0"/>
    <w:rsid w:val="00AB6AA0"/>
    <w:rsid w:val="00AB78C2"/>
    <w:rsid w:val="00AC0AA6"/>
    <w:rsid w:val="00AC12ED"/>
    <w:rsid w:val="00AC4F19"/>
    <w:rsid w:val="00AC6457"/>
    <w:rsid w:val="00AC7478"/>
    <w:rsid w:val="00AC7BEF"/>
    <w:rsid w:val="00AD0B31"/>
    <w:rsid w:val="00AD1920"/>
    <w:rsid w:val="00AD329D"/>
    <w:rsid w:val="00AD778E"/>
    <w:rsid w:val="00AE0938"/>
    <w:rsid w:val="00AE2B0B"/>
    <w:rsid w:val="00AE4028"/>
    <w:rsid w:val="00AE489D"/>
    <w:rsid w:val="00AE4E0E"/>
    <w:rsid w:val="00AE5284"/>
    <w:rsid w:val="00AE71CB"/>
    <w:rsid w:val="00AF1055"/>
    <w:rsid w:val="00AF28C3"/>
    <w:rsid w:val="00AF6148"/>
    <w:rsid w:val="00B00B79"/>
    <w:rsid w:val="00B027CF"/>
    <w:rsid w:val="00B0513C"/>
    <w:rsid w:val="00B16EA0"/>
    <w:rsid w:val="00B16EFB"/>
    <w:rsid w:val="00B23481"/>
    <w:rsid w:val="00B24245"/>
    <w:rsid w:val="00B250AD"/>
    <w:rsid w:val="00B25AF9"/>
    <w:rsid w:val="00B34788"/>
    <w:rsid w:val="00B36061"/>
    <w:rsid w:val="00B37396"/>
    <w:rsid w:val="00B40943"/>
    <w:rsid w:val="00B40BBD"/>
    <w:rsid w:val="00B423F2"/>
    <w:rsid w:val="00B42572"/>
    <w:rsid w:val="00B4260C"/>
    <w:rsid w:val="00B45BC6"/>
    <w:rsid w:val="00B465BC"/>
    <w:rsid w:val="00B46B0F"/>
    <w:rsid w:val="00B47A00"/>
    <w:rsid w:val="00B51D7D"/>
    <w:rsid w:val="00B52344"/>
    <w:rsid w:val="00B5261F"/>
    <w:rsid w:val="00B545F5"/>
    <w:rsid w:val="00B54A93"/>
    <w:rsid w:val="00B553D8"/>
    <w:rsid w:val="00B56299"/>
    <w:rsid w:val="00B570C6"/>
    <w:rsid w:val="00B57901"/>
    <w:rsid w:val="00B6143B"/>
    <w:rsid w:val="00B62298"/>
    <w:rsid w:val="00B6489E"/>
    <w:rsid w:val="00B66F97"/>
    <w:rsid w:val="00B70273"/>
    <w:rsid w:val="00B70A4B"/>
    <w:rsid w:val="00B738C2"/>
    <w:rsid w:val="00B756EA"/>
    <w:rsid w:val="00B75F1E"/>
    <w:rsid w:val="00B76A70"/>
    <w:rsid w:val="00B76D7A"/>
    <w:rsid w:val="00B829FF"/>
    <w:rsid w:val="00B82EA2"/>
    <w:rsid w:val="00B837BE"/>
    <w:rsid w:val="00B84C42"/>
    <w:rsid w:val="00B85E2D"/>
    <w:rsid w:val="00B85F42"/>
    <w:rsid w:val="00B9099D"/>
    <w:rsid w:val="00B91D66"/>
    <w:rsid w:val="00B94A97"/>
    <w:rsid w:val="00BA2B3A"/>
    <w:rsid w:val="00BA3275"/>
    <w:rsid w:val="00BA5103"/>
    <w:rsid w:val="00BA5C59"/>
    <w:rsid w:val="00BB12B7"/>
    <w:rsid w:val="00BB309C"/>
    <w:rsid w:val="00BB359D"/>
    <w:rsid w:val="00BB5EE6"/>
    <w:rsid w:val="00BB647E"/>
    <w:rsid w:val="00BC0261"/>
    <w:rsid w:val="00BC13DE"/>
    <w:rsid w:val="00BC2F7C"/>
    <w:rsid w:val="00BC6B7E"/>
    <w:rsid w:val="00BC79AF"/>
    <w:rsid w:val="00BD009E"/>
    <w:rsid w:val="00BD288C"/>
    <w:rsid w:val="00BD50E8"/>
    <w:rsid w:val="00BD6940"/>
    <w:rsid w:val="00BE0165"/>
    <w:rsid w:val="00BE2C85"/>
    <w:rsid w:val="00BE6188"/>
    <w:rsid w:val="00BF13D4"/>
    <w:rsid w:val="00BF2596"/>
    <w:rsid w:val="00BF362A"/>
    <w:rsid w:val="00BF4A08"/>
    <w:rsid w:val="00BF655D"/>
    <w:rsid w:val="00BF6E8E"/>
    <w:rsid w:val="00BF74EB"/>
    <w:rsid w:val="00C06026"/>
    <w:rsid w:val="00C0695C"/>
    <w:rsid w:val="00C06ECB"/>
    <w:rsid w:val="00C119B3"/>
    <w:rsid w:val="00C11BD2"/>
    <w:rsid w:val="00C16319"/>
    <w:rsid w:val="00C16E64"/>
    <w:rsid w:val="00C2390E"/>
    <w:rsid w:val="00C248DB"/>
    <w:rsid w:val="00C26D81"/>
    <w:rsid w:val="00C27A12"/>
    <w:rsid w:val="00C27B4B"/>
    <w:rsid w:val="00C312C3"/>
    <w:rsid w:val="00C33AC1"/>
    <w:rsid w:val="00C34BC2"/>
    <w:rsid w:val="00C35683"/>
    <w:rsid w:val="00C3579C"/>
    <w:rsid w:val="00C364AB"/>
    <w:rsid w:val="00C40290"/>
    <w:rsid w:val="00C4133C"/>
    <w:rsid w:val="00C41520"/>
    <w:rsid w:val="00C42824"/>
    <w:rsid w:val="00C43DB9"/>
    <w:rsid w:val="00C45126"/>
    <w:rsid w:val="00C45699"/>
    <w:rsid w:val="00C45776"/>
    <w:rsid w:val="00C46B86"/>
    <w:rsid w:val="00C470E5"/>
    <w:rsid w:val="00C472CB"/>
    <w:rsid w:val="00C53D87"/>
    <w:rsid w:val="00C5695F"/>
    <w:rsid w:val="00C615A7"/>
    <w:rsid w:val="00C61686"/>
    <w:rsid w:val="00C6188C"/>
    <w:rsid w:val="00C62043"/>
    <w:rsid w:val="00C62DE7"/>
    <w:rsid w:val="00C65B05"/>
    <w:rsid w:val="00C7105F"/>
    <w:rsid w:val="00C72DEA"/>
    <w:rsid w:val="00C74A63"/>
    <w:rsid w:val="00C76B33"/>
    <w:rsid w:val="00C76C8C"/>
    <w:rsid w:val="00C77FF0"/>
    <w:rsid w:val="00C82BFF"/>
    <w:rsid w:val="00C84CF2"/>
    <w:rsid w:val="00C87725"/>
    <w:rsid w:val="00C87824"/>
    <w:rsid w:val="00C87AE4"/>
    <w:rsid w:val="00C90ABE"/>
    <w:rsid w:val="00C91EB6"/>
    <w:rsid w:val="00C92259"/>
    <w:rsid w:val="00C9329C"/>
    <w:rsid w:val="00C9473E"/>
    <w:rsid w:val="00C96D3D"/>
    <w:rsid w:val="00C977C1"/>
    <w:rsid w:val="00CA0EAE"/>
    <w:rsid w:val="00CA46D5"/>
    <w:rsid w:val="00CA5AFC"/>
    <w:rsid w:val="00CA6C19"/>
    <w:rsid w:val="00CA6D87"/>
    <w:rsid w:val="00CB1135"/>
    <w:rsid w:val="00CB1C2E"/>
    <w:rsid w:val="00CB2867"/>
    <w:rsid w:val="00CB2E19"/>
    <w:rsid w:val="00CB3164"/>
    <w:rsid w:val="00CB3CC2"/>
    <w:rsid w:val="00CB3E65"/>
    <w:rsid w:val="00CB4077"/>
    <w:rsid w:val="00CB4F0A"/>
    <w:rsid w:val="00CC19BB"/>
    <w:rsid w:val="00CC1BE3"/>
    <w:rsid w:val="00CC247A"/>
    <w:rsid w:val="00CC3127"/>
    <w:rsid w:val="00CD089F"/>
    <w:rsid w:val="00CD1AB0"/>
    <w:rsid w:val="00CD1AD1"/>
    <w:rsid w:val="00CD1F09"/>
    <w:rsid w:val="00CD2298"/>
    <w:rsid w:val="00CD47B4"/>
    <w:rsid w:val="00CD4A5B"/>
    <w:rsid w:val="00CD74B5"/>
    <w:rsid w:val="00CE0CEC"/>
    <w:rsid w:val="00CE28D1"/>
    <w:rsid w:val="00CE3F91"/>
    <w:rsid w:val="00CE4A00"/>
    <w:rsid w:val="00CF2488"/>
    <w:rsid w:val="00CF4618"/>
    <w:rsid w:val="00CF5032"/>
    <w:rsid w:val="00CF76C4"/>
    <w:rsid w:val="00D0336F"/>
    <w:rsid w:val="00D074D0"/>
    <w:rsid w:val="00D11089"/>
    <w:rsid w:val="00D117E6"/>
    <w:rsid w:val="00D11A13"/>
    <w:rsid w:val="00D11E26"/>
    <w:rsid w:val="00D124E5"/>
    <w:rsid w:val="00D130CE"/>
    <w:rsid w:val="00D140B3"/>
    <w:rsid w:val="00D155A9"/>
    <w:rsid w:val="00D16D02"/>
    <w:rsid w:val="00D16EE0"/>
    <w:rsid w:val="00D23D16"/>
    <w:rsid w:val="00D23E57"/>
    <w:rsid w:val="00D251C6"/>
    <w:rsid w:val="00D34991"/>
    <w:rsid w:val="00D363DB"/>
    <w:rsid w:val="00D36674"/>
    <w:rsid w:val="00D37B8A"/>
    <w:rsid w:val="00D37E1F"/>
    <w:rsid w:val="00D40A22"/>
    <w:rsid w:val="00D42617"/>
    <w:rsid w:val="00D44956"/>
    <w:rsid w:val="00D477F6"/>
    <w:rsid w:val="00D50B49"/>
    <w:rsid w:val="00D51D78"/>
    <w:rsid w:val="00D568BD"/>
    <w:rsid w:val="00D568C8"/>
    <w:rsid w:val="00D56C8F"/>
    <w:rsid w:val="00D574B0"/>
    <w:rsid w:val="00D6419B"/>
    <w:rsid w:val="00D66E84"/>
    <w:rsid w:val="00D72DBD"/>
    <w:rsid w:val="00D73E9F"/>
    <w:rsid w:val="00D771A4"/>
    <w:rsid w:val="00D77D42"/>
    <w:rsid w:val="00D81820"/>
    <w:rsid w:val="00D905F0"/>
    <w:rsid w:val="00D909C1"/>
    <w:rsid w:val="00D90A50"/>
    <w:rsid w:val="00D9336B"/>
    <w:rsid w:val="00D93438"/>
    <w:rsid w:val="00D95A37"/>
    <w:rsid w:val="00D96056"/>
    <w:rsid w:val="00DA1578"/>
    <w:rsid w:val="00DA7733"/>
    <w:rsid w:val="00DA796B"/>
    <w:rsid w:val="00DB0A0A"/>
    <w:rsid w:val="00DB0CE4"/>
    <w:rsid w:val="00DB63D5"/>
    <w:rsid w:val="00DC0C73"/>
    <w:rsid w:val="00DC18E0"/>
    <w:rsid w:val="00DD3C22"/>
    <w:rsid w:val="00DD42F1"/>
    <w:rsid w:val="00DD4536"/>
    <w:rsid w:val="00DD479A"/>
    <w:rsid w:val="00DD4D0B"/>
    <w:rsid w:val="00DD6D84"/>
    <w:rsid w:val="00DE1DCB"/>
    <w:rsid w:val="00DE1F21"/>
    <w:rsid w:val="00DE30D6"/>
    <w:rsid w:val="00DE5913"/>
    <w:rsid w:val="00DE6FEA"/>
    <w:rsid w:val="00DE709B"/>
    <w:rsid w:val="00DF19B3"/>
    <w:rsid w:val="00DF4D53"/>
    <w:rsid w:val="00DF5463"/>
    <w:rsid w:val="00E047D9"/>
    <w:rsid w:val="00E063D4"/>
    <w:rsid w:val="00E12803"/>
    <w:rsid w:val="00E13280"/>
    <w:rsid w:val="00E139CA"/>
    <w:rsid w:val="00E15B27"/>
    <w:rsid w:val="00E16E55"/>
    <w:rsid w:val="00E21703"/>
    <w:rsid w:val="00E21C6B"/>
    <w:rsid w:val="00E2230B"/>
    <w:rsid w:val="00E231EB"/>
    <w:rsid w:val="00E30864"/>
    <w:rsid w:val="00E32520"/>
    <w:rsid w:val="00E41759"/>
    <w:rsid w:val="00E44BC9"/>
    <w:rsid w:val="00E44BF8"/>
    <w:rsid w:val="00E450B9"/>
    <w:rsid w:val="00E500E2"/>
    <w:rsid w:val="00E519A0"/>
    <w:rsid w:val="00E52569"/>
    <w:rsid w:val="00E535E7"/>
    <w:rsid w:val="00E55A6A"/>
    <w:rsid w:val="00E57831"/>
    <w:rsid w:val="00E61A30"/>
    <w:rsid w:val="00E625B9"/>
    <w:rsid w:val="00E62A0D"/>
    <w:rsid w:val="00E62E8A"/>
    <w:rsid w:val="00E633D1"/>
    <w:rsid w:val="00E6361A"/>
    <w:rsid w:val="00E64DCB"/>
    <w:rsid w:val="00E70609"/>
    <w:rsid w:val="00E706C0"/>
    <w:rsid w:val="00E707DF"/>
    <w:rsid w:val="00E72266"/>
    <w:rsid w:val="00E72C7E"/>
    <w:rsid w:val="00E741B5"/>
    <w:rsid w:val="00E74517"/>
    <w:rsid w:val="00E804E9"/>
    <w:rsid w:val="00E8146D"/>
    <w:rsid w:val="00E874D7"/>
    <w:rsid w:val="00E879F2"/>
    <w:rsid w:val="00E937AB"/>
    <w:rsid w:val="00E953F4"/>
    <w:rsid w:val="00E95DA1"/>
    <w:rsid w:val="00E9657C"/>
    <w:rsid w:val="00E97350"/>
    <w:rsid w:val="00EA1484"/>
    <w:rsid w:val="00EA1875"/>
    <w:rsid w:val="00EA2540"/>
    <w:rsid w:val="00EA3234"/>
    <w:rsid w:val="00EA5EB3"/>
    <w:rsid w:val="00EB3E32"/>
    <w:rsid w:val="00EC0E98"/>
    <w:rsid w:val="00EC1B6F"/>
    <w:rsid w:val="00EC3673"/>
    <w:rsid w:val="00EC440A"/>
    <w:rsid w:val="00EC5BE1"/>
    <w:rsid w:val="00ED2748"/>
    <w:rsid w:val="00ED35CD"/>
    <w:rsid w:val="00ED69E8"/>
    <w:rsid w:val="00ED7ED5"/>
    <w:rsid w:val="00EE1282"/>
    <w:rsid w:val="00EE27E7"/>
    <w:rsid w:val="00EE3D36"/>
    <w:rsid w:val="00EE4596"/>
    <w:rsid w:val="00EE66CD"/>
    <w:rsid w:val="00EE7F7C"/>
    <w:rsid w:val="00EF1095"/>
    <w:rsid w:val="00EF53B3"/>
    <w:rsid w:val="00EF7883"/>
    <w:rsid w:val="00F00AB7"/>
    <w:rsid w:val="00F00ABE"/>
    <w:rsid w:val="00F02E42"/>
    <w:rsid w:val="00F02E79"/>
    <w:rsid w:val="00F1039C"/>
    <w:rsid w:val="00F15D5E"/>
    <w:rsid w:val="00F200B5"/>
    <w:rsid w:val="00F23EF8"/>
    <w:rsid w:val="00F24881"/>
    <w:rsid w:val="00F27038"/>
    <w:rsid w:val="00F270F0"/>
    <w:rsid w:val="00F32028"/>
    <w:rsid w:val="00F3724E"/>
    <w:rsid w:val="00F41AC8"/>
    <w:rsid w:val="00F452AA"/>
    <w:rsid w:val="00F460DA"/>
    <w:rsid w:val="00F512B2"/>
    <w:rsid w:val="00F51852"/>
    <w:rsid w:val="00F5411E"/>
    <w:rsid w:val="00F55611"/>
    <w:rsid w:val="00F60B3C"/>
    <w:rsid w:val="00F61F4C"/>
    <w:rsid w:val="00F672F0"/>
    <w:rsid w:val="00F75330"/>
    <w:rsid w:val="00F80126"/>
    <w:rsid w:val="00F87E9C"/>
    <w:rsid w:val="00F91B7A"/>
    <w:rsid w:val="00F93F9D"/>
    <w:rsid w:val="00F94494"/>
    <w:rsid w:val="00F94E09"/>
    <w:rsid w:val="00F95428"/>
    <w:rsid w:val="00FA2F17"/>
    <w:rsid w:val="00FA35C4"/>
    <w:rsid w:val="00FA3D9E"/>
    <w:rsid w:val="00FA6533"/>
    <w:rsid w:val="00FA6D11"/>
    <w:rsid w:val="00FA7CE5"/>
    <w:rsid w:val="00FB0248"/>
    <w:rsid w:val="00FB3431"/>
    <w:rsid w:val="00FB7462"/>
    <w:rsid w:val="00FC0C6C"/>
    <w:rsid w:val="00FC6555"/>
    <w:rsid w:val="00FD10ED"/>
    <w:rsid w:val="00FD262B"/>
    <w:rsid w:val="00FD27EC"/>
    <w:rsid w:val="00FD5EDA"/>
    <w:rsid w:val="00FD62E7"/>
    <w:rsid w:val="00FE04A7"/>
    <w:rsid w:val="00FE0F9B"/>
    <w:rsid w:val="00FE124C"/>
    <w:rsid w:val="00FE2C00"/>
    <w:rsid w:val="00FE2D53"/>
    <w:rsid w:val="00FE48C8"/>
    <w:rsid w:val="00FE48DD"/>
    <w:rsid w:val="00FE7049"/>
    <w:rsid w:val="00FF1A24"/>
    <w:rsid w:val="00FF1DF9"/>
    <w:rsid w:val="00FF2231"/>
    <w:rsid w:val="00FF2B08"/>
    <w:rsid w:val="00FF33C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E35331"/>
  <w15:docId w15:val="{9A3DB900-28B6-4AD8-B1A1-36C750D71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paragraph" w:styleId="1">
    <w:name w:val="heading 1"/>
    <w:basedOn w:val="a"/>
    <w:next w:val="a"/>
    <w:link w:val="10"/>
    <w:uiPriority w:val="9"/>
    <w:qFormat/>
    <w:rsid w:val="00392894"/>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link w:val="20"/>
    <w:uiPriority w:val="9"/>
    <w:qFormat/>
    <w:rsid w:val="00C0602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unhideWhenUsed/>
    <w:qFormat/>
    <w:rsid w:val="00392894"/>
    <w:pPr>
      <w:keepNext/>
      <w:keepLines/>
      <w:spacing w:before="40" w:after="0" w:line="259" w:lineRule="auto"/>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link w:val="40"/>
    <w:uiPriority w:val="9"/>
    <w:qFormat/>
    <w:rsid w:val="00392894"/>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5">
    <w:name w:val="heading 5"/>
    <w:basedOn w:val="a"/>
    <w:next w:val="a"/>
    <w:link w:val="50"/>
    <w:uiPriority w:val="9"/>
    <w:unhideWhenUsed/>
    <w:qFormat/>
    <w:rsid w:val="00392894"/>
    <w:pPr>
      <w:keepNext/>
      <w:keepLines/>
      <w:spacing w:before="40" w:after="0" w:line="259" w:lineRule="auto"/>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92894"/>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rsid w:val="00C06026"/>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392894"/>
    <w:rPr>
      <w:rFonts w:asciiTheme="majorHAnsi" w:eastAsiaTheme="majorEastAsia" w:hAnsiTheme="majorHAnsi" w:cstheme="majorBidi"/>
      <w:color w:val="243F60" w:themeColor="accent1" w:themeShade="7F"/>
      <w:sz w:val="24"/>
      <w:szCs w:val="24"/>
    </w:rPr>
  </w:style>
  <w:style w:type="character" w:customStyle="1" w:styleId="40">
    <w:name w:val="Заголовок 4 Знак"/>
    <w:basedOn w:val="a0"/>
    <w:link w:val="4"/>
    <w:uiPriority w:val="9"/>
    <w:rsid w:val="00392894"/>
    <w:rPr>
      <w:rFonts w:ascii="Times New Roman" w:eastAsia="Times New Roman" w:hAnsi="Times New Roman" w:cs="Times New Roman"/>
      <w:b/>
      <w:bCs/>
      <w:sz w:val="24"/>
      <w:szCs w:val="24"/>
      <w:lang w:eastAsia="ru-RU"/>
    </w:rPr>
  </w:style>
  <w:style w:type="character" w:customStyle="1" w:styleId="50">
    <w:name w:val="Заголовок 5 Знак"/>
    <w:basedOn w:val="a0"/>
    <w:link w:val="5"/>
    <w:uiPriority w:val="9"/>
    <w:rsid w:val="00392894"/>
    <w:rPr>
      <w:rFonts w:asciiTheme="majorHAnsi" w:eastAsiaTheme="majorEastAsia" w:hAnsiTheme="majorHAnsi" w:cstheme="majorBidi"/>
      <w:color w:val="365F91" w:themeColor="accent1" w:themeShade="BF"/>
    </w:rPr>
  </w:style>
  <w:style w:type="paragraph" w:customStyle="1" w:styleId="11">
    <w:name w:val="заголовок 1"/>
    <w:basedOn w:val="a"/>
    <w:next w:val="a"/>
    <w:uiPriority w:val="99"/>
    <w:rsid w:val="003431D2"/>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3431D2"/>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0">
    <w:name w:val="заголовок 11"/>
    <w:basedOn w:val="a"/>
    <w:next w:val="a"/>
    <w:uiPriority w:val="99"/>
    <w:rsid w:val="003431D2"/>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3431D2"/>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3431D2"/>
    <w:rPr>
      <w:rFonts w:ascii="Times New Roman" w:hAnsi="Times New Roman" w:cs="Times New Roman"/>
      <w:color w:val="0000FF"/>
      <w:sz w:val="16"/>
      <w:szCs w:val="16"/>
      <w:lang w:val="en-US"/>
    </w:rPr>
  </w:style>
  <w:style w:type="paragraph" w:styleId="22">
    <w:name w:val="Body Text Indent 2"/>
    <w:basedOn w:val="a"/>
    <w:link w:val="23"/>
    <w:uiPriority w:val="99"/>
    <w:rsid w:val="003431D2"/>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3431D2"/>
    <w:rPr>
      <w:rFonts w:ascii="Times New Roman" w:hAnsi="Times New Roman" w:cs="Times New Roman"/>
      <w:color w:val="0000FF"/>
      <w:sz w:val="16"/>
      <w:szCs w:val="16"/>
      <w:lang w:val="en-US"/>
    </w:rPr>
  </w:style>
  <w:style w:type="paragraph" w:styleId="24">
    <w:name w:val="Body Text 2"/>
    <w:basedOn w:val="a"/>
    <w:link w:val="25"/>
    <w:uiPriority w:val="99"/>
    <w:rsid w:val="003431D2"/>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3431D2"/>
    <w:rPr>
      <w:rFonts w:ascii="Times New Roman" w:hAnsi="Times New Roman" w:cs="Times New Roman"/>
      <w:color w:val="0000FF"/>
      <w:sz w:val="16"/>
      <w:szCs w:val="16"/>
    </w:rPr>
  </w:style>
  <w:style w:type="character" w:styleId="a5">
    <w:name w:val="Hyperlink"/>
    <w:basedOn w:val="a0"/>
    <w:uiPriority w:val="99"/>
    <w:rsid w:val="003431D2"/>
    <w:rPr>
      <w:color w:val="0000FF"/>
      <w:sz w:val="20"/>
      <w:szCs w:val="20"/>
      <w:u w:val="single"/>
    </w:rPr>
  </w:style>
  <w:style w:type="paragraph" w:styleId="31">
    <w:name w:val="Body Text 3"/>
    <w:basedOn w:val="a"/>
    <w:link w:val="32"/>
    <w:uiPriority w:val="99"/>
    <w:rsid w:val="003431D2"/>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2">
    <w:name w:val="Основной текст 3 Знак"/>
    <w:basedOn w:val="a0"/>
    <w:link w:val="31"/>
    <w:uiPriority w:val="99"/>
    <w:rsid w:val="003431D2"/>
    <w:rPr>
      <w:rFonts w:ascii="Times New Roman" w:hAnsi="Times New Roman" w:cs="Times New Roman"/>
      <w:color w:val="0000FF"/>
      <w:sz w:val="16"/>
      <w:szCs w:val="16"/>
    </w:rPr>
  </w:style>
  <w:style w:type="character" w:customStyle="1" w:styleId="12">
    <w:name w:val="С1"/>
    <w:uiPriority w:val="99"/>
    <w:rsid w:val="003431D2"/>
    <w:rPr>
      <w:b/>
      <w:bCs/>
    </w:rPr>
  </w:style>
  <w:style w:type="paragraph" w:customStyle="1" w:styleId="a6">
    <w:name w:val="Ц"/>
    <w:basedOn w:val="a"/>
    <w:uiPriority w:val="99"/>
    <w:rsid w:val="003431D2"/>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3431D2"/>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3431D2"/>
    <w:rPr>
      <w:b/>
      <w:bCs/>
      <w:sz w:val="20"/>
      <w:szCs w:val="20"/>
    </w:rPr>
  </w:style>
  <w:style w:type="paragraph" w:customStyle="1" w:styleId="Blockquote">
    <w:name w:val="Blockquote"/>
    <w:basedOn w:val="a"/>
    <w:uiPriority w:val="99"/>
    <w:rsid w:val="003431D2"/>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1">
    <w:name w:val="Заголовок 11"/>
    <w:basedOn w:val="a"/>
    <w:next w:val="a"/>
    <w:uiPriority w:val="99"/>
    <w:rsid w:val="003431D2"/>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uiPriority w:val="99"/>
    <w:rsid w:val="003431D2"/>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3431D2"/>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3431D2"/>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3431D2"/>
    <w:rPr>
      <w:rFonts w:ascii="Courier New" w:hAnsi="Courier New" w:cs="Courier New"/>
      <w:color w:val="0000FF"/>
      <w:sz w:val="16"/>
      <w:szCs w:val="16"/>
    </w:rPr>
  </w:style>
  <w:style w:type="paragraph" w:customStyle="1" w:styleId="Text">
    <w:name w:val="Text"/>
    <w:basedOn w:val="a"/>
    <w:uiPriority w:val="99"/>
    <w:rsid w:val="003431D2"/>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3431D2"/>
    <w:rPr>
      <w:i/>
      <w:iCs/>
    </w:rPr>
  </w:style>
  <w:style w:type="paragraph" w:customStyle="1" w:styleId="H5">
    <w:name w:val="H5"/>
    <w:basedOn w:val="a"/>
    <w:next w:val="a"/>
    <w:uiPriority w:val="99"/>
    <w:rsid w:val="003431D2"/>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uiPriority w:val="99"/>
    <w:rsid w:val="003431D2"/>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3431D2"/>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3431D2"/>
    <w:rPr>
      <w:color w:val="0000FF"/>
      <w:u w:val="single"/>
    </w:rPr>
  </w:style>
  <w:style w:type="character" w:customStyle="1" w:styleId="ac">
    <w:name w:val="В"/>
    <w:uiPriority w:val="99"/>
    <w:rsid w:val="003431D2"/>
    <w:rPr>
      <w:i/>
      <w:iCs/>
    </w:rPr>
  </w:style>
  <w:style w:type="paragraph" w:customStyle="1" w:styleId="H1">
    <w:name w:val="H1"/>
    <w:basedOn w:val="a"/>
    <w:next w:val="a"/>
    <w:uiPriority w:val="99"/>
    <w:rsid w:val="003431D2"/>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3431D2"/>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uiPriority w:val="99"/>
    <w:rsid w:val="003431D2"/>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3431D2"/>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3431D2"/>
    <w:rPr>
      <w:sz w:val="20"/>
      <w:szCs w:val="20"/>
    </w:rPr>
  </w:style>
  <w:style w:type="paragraph" w:customStyle="1" w:styleId="Iniiaiieoaeno">
    <w:name w:val="Iniiaiie oaeno"/>
    <w:basedOn w:val="Iauiue"/>
    <w:uiPriority w:val="99"/>
    <w:rsid w:val="003431D2"/>
    <w:pPr>
      <w:jc w:val="both"/>
    </w:pPr>
    <w:rPr>
      <w:sz w:val="16"/>
      <w:szCs w:val="16"/>
    </w:rPr>
  </w:style>
  <w:style w:type="paragraph" w:customStyle="1" w:styleId="z-TopofForm">
    <w:name w:val="z-Top of Form"/>
    <w:next w:val="Iauiue"/>
    <w:uiPriority w:val="99"/>
    <w:rsid w:val="003431D2"/>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3431D2"/>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3431D2"/>
    <w:rPr>
      <w:i/>
      <w:iCs/>
      <w:sz w:val="24"/>
      <w:szCs w:val="24"/>
    </w:rPr>
  </w:style>
  <w:style w:type="character" w:customStyle="1" w:styleId="A20">
    <w:name w:val="A2"/>
    <w:uiPriority w:val="99"/>
    <w:rsid w:val="003431D2"/>
    <w:rPr>
      <w:color w:val="0000FF"/>
      <w:sz w:val="20"/>
      <w:szCs w:val="20"/>
      <w:u w:val="single"/>
    </w:rPr>
  </w:style>
  <w:style w:type="paragraph" w:customStyle="1" w:styleId="O">
    <w:name w:val="O"/>
    <w:basedOn w:val="Iauiue"/>
    <w:uiPriority w:val="99"/>
    <w:rsid w:val="003431D2"/>
    <w:pPr>
      <w:spacing w:before="100" w:after="100"/>
      <w:ind w:left="360" w:right="360"/>
    </w:pPr>
    <w:rPr>
      <w:sz w:val="24"/>
      <w:szCs w:val="24"/>
    </w:rPr>
  </w:style>
  <w:style w:type="character" w:customStyle="1" w:styleId="A10">
    <w:name w:val="A1"/>
    <w:uiPriority w:val="99"/>
    <w:rsid w:val="003431D2"/>
    <w:rPr>
      <w:i/>
      <w:iCs/>
      <w:sz w:val="20"/>
      <w:szCs w:val="20"/>
    </w:rPr>
  </w:style>
  <w:style w:type="paragraph" w:customStyle="1" w:styleId="Noaiaaieoiaioa">
    <w:name w:val="Noaia aieoiaioa"/>
    <w:basedOn w:val="Iauiue"/>
    <w:uiPriority w:val="99"/>
    <w:rsid w:val="003431D2"/>
    <w:pPr>
      <w:shd w:val="clear" w:color="auto" w:fill="000080"/>
    </w:pPr>
    <w:rPr>
      <w:rFonts w:ascii="Tahoma" w:hAnsi="Tahoma" w:cs="Tahoma"/>
    </w:rPr>
  </w:style>
  <w:style w:type="paragraph" w:customStyle="1" w:styleId="DefinitionTerm">
    <w:name w:val="Definition Term"/>
    <w:basedOn w:val="a"/>
    <w:next w:val="DefinitionList"/>
    <w:uiPriority w:val="99"/>
    <w:rsid w:val="003431D2"/>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3431D2"/>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3431D2"/>
    <w:rPr>
      <w:i/>
      <w:iCs/>
    </w:rPr>
  </w:style>
  <w:style w:type="paragraph" w:customStyle="1" w:styleId="H2">
    <w:name w:val="H2"/>
    <w:basedOn w:val="a"/>
    <w:next w:val="a"/>
    <w:uiPriority w:val="99"/>
    <w:rsid w:val="003431D2"/>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3431D2"/>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3431D2"/>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3431D2"/>
    <w:rPr>
      <w:i/>
      <w:iCs/>
    </w:rPr>
  </w:style>
  <w:style w:type="character" w:customStyle="1" w:styleId="CODE">
    <w:name w:val="CODE"/>
    <w:uiPriority w:val="99"/>
    <w:rsid w:val="003431D2"/>
    <w:rPr>
      <w:rFonts w:ascii="Courier New" w:hAnsi="Courier New" w:cs="Courier New"/>
      <w:sz w:val="20"/>
      <w:szCs w:val="20"/>
    </w:rPr>
  </w:style>
  <w:style w:type="character" w:styleId="af0">
    <w:name w:val="Emphasis"/>
    <w:basedOn w:val="a0"/>
    <w:uiPriority w:val="20"/>
    <w:qFormat/>
    <w:rsid w:val="003431D2"/>
    <w:rPr>
      <w:i/>
      <w:iCs/>
    </w:rPr>
  </w:style>
  <w:style w:type="character" w:styleId="af1">
    <w:name w:val="FollowedHyperlink"/>
    <w:basedOn w:val="a0"/>
    <w:uiPriority w:val="99"/>
    <w:rsid w:val="003431D2"/>
    <w:rPr>
      <w:color w:val="800080"/>
      <w:u w:val="single"/>
    </w:rPr>
  </w:style>
  <w:style w:type="character" w:customStyle="1" w:styleId="Keyboard">
    <w:name w:val="Keyboard"/>
    <w:uiPriority w:val="99"/>
    <w:rsid w:val="003431D2"/>
    <w:rPr>
      <w:rFonts w:ascii="Courier New" w:hAnsi="Courier New" w:cs="Courier New"/>
      <w:b/>
      <w:bCs/>
      <w:sz w:val="20"/>
      <w:szCs w:val="20"/>
    </w:rPr>
  </w:style>
  <w:style w:type="character" w:customStyle="1" w:styleId="Sample">
    <w:name w:val="Sample"/>
    <w:uiPriority w:val="99"/>
    <w:rsid w:val="003431D2"/>
    <w:rPr>
      <w:rFonts w:ascii="Courier New" w:hAnsi="Courier New" w:cs="Courier New"/>
    </w:rPr>
  </w:style>
  <w:style w:type="character" w:customStyle="1" w:styleId="Typewriter">
    <w:name w:val="Typewriter"/>
    <w:uiPriority w:val="99"/>
    <w:rsid w:val="003431D2"/>
    <w:rPr>
      <w:rFonts w:ascii="Courier New" w:hAnsi="Courier New" w:cs="Courier New"/>
      <w:sz w:val="20"/>
      <w:szCs w:val="20"/>
    </w:rPr>
  </w:style>
  <w:style w:type="character" w:customStyle="1" w:styleId="Variable">
    <w:name w:val="Variable"/>
    <w:uiPriority w:val="99"/>
    <w:rsid w:val="003431D2"/>
    <w:rPr>
      <w:i/>
      <w:iCs/>
    </w:rPr>
  </w:style>
  <w:style w:type="character" w:customStyle="1" w:styleId="HTMLMarkup">
    <w:name w:val="HTML Markup"/>
    <w:uiPriority w:val="99"/>
    <w:rsid w:val="003431D2"/>
    <w:rPr>
      <w:vanish/>
      <w:color w:val="FF0000"/>
    </w:rPr>
  </w:style>
  <w:style w:type="character" w:customStyle="1" w:styleId="Comment">
    <w:name w:val="Comment"/>
    <w:uiPriority w:val="99"/>
    <w:rsid w:val="003431D2"/>
    <w:rPr>
      <w:vanish/>
    </w:rPr>
  </w:style>
  <w:style w:type="paragraph" w:customStyle="1" w:styleId="af2">
    <w:name w:val="п"/>
    <w:uiPriority w:val="99"/>
    <w:rsid w:val="003431D2"/>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3">
    <w:name w:val="Заголовок1"/>
    <w:basedOn w:val="a"/>
    <w:rsid w:val="003431D2"/>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3431D2"/>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3431D2"/>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3431D2"/>
    <w:rPr>
      <w:sz w:val="20"/>
      <w:szCs w:val="20"/>
      <w:vertAlign w:val="superscript"/>
    </w:rPr>
  </w:style>
  <w:style w:type="character" w:customStyle="1" w:styleId="af6">
    <w:name w:val="К"/>
    <w:uiPriority w:val="99"/>
    <w:rsid w:val="003431D2"/>
    <w:rPr>
      <w:rFonts w:ascii="Courier New" w:hAnsi="Courier New" w:cs="Courier New"/>
      <w:sz w:val="20"/>
      <w:szCs w:val="20"/>
    </w:rPr>
  </w:style>
  <w:style w:type="paragraph" w:customStyle="1" w:styleId="af7">
    <w:name w:val="Ф"/>
    <w:basedOn w:val="af8"/>
    <w:uiPriority w:val="99"/>
    <w:rsid w:val="003431D2"/>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3431D2"/>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3431D2"/>
    <w:rPr>
      <w:vanish/>
      <w:color w:val="FF0000"/>
    </w:rPr>
  </w:style>
  <w:style w:type="paragraph" w:customStyle="1" w:styleId="Z-1">
    <w:name w:val="Z-1"/>
    <w:next w:val="af8"/>
    <w:uiPriority w:val="99"/>
    <w:rsid w:val="003431D2"/>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3431D2"/>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3431D2"/>
    <w:pPr>
      <w:spacing w:before="0" w:after="0"/>
    </w:pPr>
  </w:style>
  <w:style w:type="paragraph" w:customStyle="1" w:styleId="afb">
    <w:name w:val="А"/>
    <w:basedOn w:val="a"/>
    <w:next w:val="a"/>
    <w:uiPriority w:val="99"/>
    <w:rsid w:val="003431D2"/>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3431D2"/>
    <w:pPr>
      <w:widowControl/>
      <w:ind w:left="360"/>
    </w:pPr>
    <w:rPr>
      <w:sz w:val="24"/>
      <w:szCs w:val="24"/>
    </w:rPr>
  </w:style>
  <w:style w:type="paragraph" w:customStyle="1" w:styleId="afc">
    <w:name w:val="......."/>
    <w:basedOn w:val="a"/>
    <w:next w:val="a"/>
    <w:uiPriority w:val="99"/>
    <w:rsid w:val="003431D2"/>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3431D2"/>
    <w:rPr>
      <w:color w:val="0000FF"/>
      <w:u w:val="single"/>
    </w:rPr>
  </w:style>
  <w:style w:type="character" w:customStyle="1" w:styleId="14">
    <w:name w:val="О1"/>
    <w:uiPriority w:val="99"/>
    <w:rsid w:val="003431D2"/>
    <w:rPr>
      <w:i/>
      <w:iCs/>
    </w:rPr>
  </w:style>
  <w:style w:type="character" w:customStyle="1" w:styleId="afe">
    <w:name w:val="П"/>
    <w:uiPriority w:val="99"/>
    <w:rsid w:val="003431D2"/>
    <w:rPr>
      <w:color w:val="800080"/>
      <w:u w:val="single"/>
    </w:rPr>
  </w:style>
  <w:style w:type="character" w:customStyle="1" w:styleId="15">
    <w:name w:val="К1"/>
    <w:uiPriority w:val="99"/>
    <w:rsid w:val="003431D2"/>
    <w:rPr>
      <w:rFonts w:ascii="Courier New" w:hAnsi="Courier New" w:cs="Courier New"/>
      <w:b/>
      <w:bCs/>
      <w:sz w:val="20"/>
      <w:szCs w:val="20"/>
    </w:rPr>
  </w:style>
  <w:style w:type="character" w:customStyle="1" w:styleId="41">
    <w:name w:val="П4"/>
    <w:uiPriority w:val="99"/>
    <w:rsid w:val="003431D2"/>
    <w:rPr>
      <w:rFonts w:ascii="Courier New" w:hAnsi="Courier New" w:cs="Courier New"/>
    </w:rPr>
  </w:style>
  <w:style w:type="character" w:customStyle="1" w:styleId="33">
    <w:name w:val="П3"/>
    <w:uiPriority w:val="99"/>
    <w:rsid w:val="003431D2"/>
    <w:rPr>
      <w:rFonts w:ascii="Courier New" w:hAnsi="Courier New" w:cs="Courier New"/>
      <w:sz w:val="20"/>
      <w:szCs w:val="20"/>
    </w:rPr>
  </w:style>
  <w:style w:type="character" w:customStyle="1" w:styleId="26">
    <w:name w:val="П2"/>
    <w:uiPriority w:val="99"/>
    <w:rsid w:val="003431D2"/>
    <w:rPr>
      <w:i/>
      <w:iCs/>
    </w:rPr>
  </w:style>
  <w:style w:type="character" w:customStyle="1" w:styleId="16">
    <w:name w:val="П1"/>
    <w:uiPriority w:val="99"/>
    <w:rsid w:val="003431D2"/>
    <w:rPr>
      <w:vanish/>
    </w:rPr>
  </w:style>
  <w:style w:type="paragraph" w:customStyle="1" w:styleId="Iniiaiieoaeno2">
    <w:name w:val="Iniiaiie oaeno 2"/>
    <w:basedOn w:val="Iauiue"/>
    <w:uiPriority w:val="99"/>
    <w:rsid w:val="003431D2"/>
    <w:pPr>
      <w:jc w:val="both"/>
    </w:pPr>
    <w:rPr>
      <w:sz w:val="16"/>
      <w:szCs w:val="16"/>
    </w:rPr>
  </w:style>
  <w:style w:type="character" w:customStyle="1" w:styleId="Aeiannueea">
    <w:name w:val="Aeia?nnueea"/>
    <w:basedOn w:val="Iniiaiieoeoo"/>
    <w:uiPriority w:val="99"/>
    <w:rsid w:val="003431D2"/>
    <w:rPr>
      <w:color w:val="0000FF"/>
      <w:sz w:val="20"/>
      <w:szCs w:val="20"/>
      <w:u w:val="single"/>
    </w:rPr>
  </w:style>
  <w:style w:type="character" w:customStyle="1" w:styleId="N1">
    <w:name w:val="N1"/>
    <w:uiPriority w:val="99"/>
    <w:rsid w:val="003431D2"/>
    <w:rPr>
      <w:b/>
      <w:bCs/>
    </w:rPr>
  </w:style>
  <w:style w:type="paragraph" w:customStyle="1" w:styleId="Iaeeiaaiiuenienie">
    <w:name w:val="Ia?ee?iaaiiue nienie"/>
    <w:basedOn w:val="Iauiue"/>
    <w:uiPriority w:val="99"/>
    <w:rsid w:val="003431D2"/>
    <w:pPr>
      <w:widowControl/>
      <w:ind w:left="283" w:hanging="283"/>
    </w:pPr>
  </w:style>
  <w:style w:type="paragraph" w:customStyle="1" w:styleId="Oaeno">
    <w:name w:val="Oaeno"/>
    <w:basedOn w:val="Iauiue"/>
    <w:uiPriority w:val="99"/>
    <w:rsid w:val="003431D2"/>
    <w:rPr>
      <w:rFonts w:ascii="Courier New" w:hAnsi="Courier New" w:cs="Courier New"/>
    </w:rPr>
  </w:style>
  <w:style w:type="paragraph" w:customStyle="1" w:styleId="Iniiaiieoaeno3">
    <w:name w:val="Iniiaiie oaeno 3"/>
    <w:basedOn w:val="Iauiue"/>
    <w:uiPriority w:val="99"/>
    <w:rsid w:val="003431D2"/>
    <w:pPr>
      <w:jc w:val="center"/>
    </w:pPr>
    <w:rPr>
      <w:sz w:val="16"/>
      <w:szCs w:val="16"/>
    </w:rPr>
  </w:style>
  <w:style w:type="paragraph" w:customStyle="1" w:styleId="Aaoieeeieiioeooe">
    <w:name w:val="Aa?oiee eieiioeooe"/>
    <w:basedOn w:val="Iauiue"/>
    <w:uiPriority w:val="99"/>
    <w:rsid w:val="003431D2"/>
    <w:pPr>
      <w:widowControl/>
      <w:tabs>
        <w:tab w:val="center" w:pos="4153"/>
        <w:tab w:val="right" w:pos="8306"/>
      </w:tabs>
    </w:pPr>
  </w:style>
  <w:style w:type="paragraph" w:customStyle="1" w:styleId="Ieieeeieiioeooe">
    <w:name w:val="Ie?iee eieiioeooe"/>
    <w:basedOn w:val="Iauiue"/>
    <w:uiPriority w:val="99"/>
    <w:rsid w:val="003431D2"/>
    <w:pPr>
      <w:widowControl/>
      <w:tabs>
        <w:tab w:val="center" w:pos="4153"/>
        <w:tab w:val="right" w:pos="8306"/>
      </w:tabs>
    </w:pPr>
  </w:style>
  <w:style w:type="paragraph" w:customStyle="1" w:styleId="Default">
    <w:name w:val="Default"/>
    <w:uiPriority w:val="99"/>
    <w:rsid w:val="003431D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3431D2"/>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3431D2"/>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3431D2"/>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3431D2"/>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3431D2"/>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3431D2"/>
    <w:rPr>
      <w:b/>
      <w:bCs/>
      <w:i/>
      <w:iCs/>
      <w:sz w:val="17"/>
      <w:szCs w:val="17"/>
    </w:rPr>
  </w:style>
  <w:style w:type="paragraph" w:customStyle="1" w:styleId="310">
    <w:name w:val="Основной текст (3)1"/>
    <w:basedOn w:val="a"/>
    <w:link w:val="34"/>
    <w:rsid w:val="003431D2"/>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34">
    <w:name w:val="Основной текст (3)_"/>
    <w:basedOn w:val="a0"/>
    <w:link w:val="310"/>
    <w:uiPriority w:val="99"/>
    <w:locked/>
    <w:rsid w:val="00392894"/>
    <w:rPr>
      <w:rFonts w:ascii="Times New Roman" w:hAnsi="Times New Roman" w:cs="Times New Roman"/>
      <w:b/>
      <w:bCs/>
      <w:i/>
      <w:iCs/>
      <w:noProof/>
      <w:sz w:val="17"/>
      <w:szCs w:val="17"/>
      <w:shd w:val="clear" w:color="auto" w:fill="FFFFFF"/>
      <w:lang w:val="en-US"/>
    </w:rPr>
  </w:style>
  <w:style w:type="character" w:customStyle="1" w:styleId="8pt30390pt109">
    <w:name w:val="Основной текст + 8 pt30.Курсив39.Интервал 0 pt109"/>
    <w:basedOn w:val="a0"/>
    <w:uiPriority w:val="99"/>
    <w:rsid w:val="003431D2"/>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3431D2"/>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3431D2"/>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3431D2"/>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3431D2"/>
    <w:rPr>
      <w:i/>
      <w:iCs/>
      <w:spacing w:val="0"/>
      <w:sz w:val="16"/>
      <w:szCs w:val="16"/>
    </w:rPr>
  </w:style>
  <w:style w:type="character" w:customStyle="1" w:styleId="578">
    <w:name w:val="Основной текст (5)78"/>
    <w:basedOn w:val="a0"/>
    <w:uiPriority w:val="99"/>
    <w:rsid w:val="003431D2"/>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3431D2"/>
    <w:rPr>
      <w:b/>
      <w:bCs/>
      <w:i/>
      <w:iCs/>
      <w:spacing w:val="0"/>
      <w:sz w:val="14"/>
      <w:szCs w:val="14"/>
    </w:rPr>
  </w:style>
  <w:style w:type="character" w:customStyle="1" w:styleId="57pt124">
    <w:name w:val="Основной текст (5) + 7 pt1.Полужирный24"/>
    <w:basedOn w:val="a0"/>
    <w:uiPriority w:val="99"/>
    <w:rsid w:val="003431D2"/>
    <w:rPr>
      <w:b/>
      <w:bCs/>
      <w:i/>
      <w:iCs/>
      <w:spacing w:val="0"/>
      <w:sz w:val="14"/>
      <w:szCs w:val="14"/>
    </w:rPr>
  </w:style>
  <w:style w:type="character" w:customStyle="1" w:styleId="8pt25340pt104">
    <w:name w:val="Основной текст + 8 pt25.Курсив34.Интервал 0 pt104"/>
    <w:basedOn w:val="a0"/>
    <w:uiPriority w:val="99"/>
    <w:rsid w:val="003431D2"/>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3431D2"/>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3431D2"/>
    <w:rPr>
      <w:i/>
      <w:iCs/>
      <w:spacing w:val="0"/>
      <w:sz w:val="16"/>
      <w:szCs w:val="16"/>
    </w:rPr>
  </w:style>
  <w:style w:type="character" w:customStyle="1" w:styleId="576">
    <w:name w:val="Основной текст (5)76"/>
    <w:basedOn w:val="a0"/>
    <w:uiPriority w:val="99"/>
    <w:rsid w:val="003431D2"/>
    <w:rPr>
      <w:rFonts w:ascii="Arial Unicode MS" w:eastAsia="Arial Unicode MS" w:cs="Arial Unicode MS"/>
      <w:i/>
      <w:iCs/>
      <w:noProof/>
      <w:spacing w:val="0"/>
      <w:sz w:val="16"/>
      <w:szCs w:val="16"/>
    </w:rPr>
  </w:style>
  <w:style w:type="paragraph" w:customStyle="1" w:styleId="61">
    <w:name w:val="Заголовок №61"/>
    <w:basedOn w:val="a"/>
    <w:uiPriority w:val="99"/>
    <w:rsid w:val="003431D2"/>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3431D2"/>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3431D2"/>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3431D2"/>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3431D2"/>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3431D2"/>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3431D2"/>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3431D2"/>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3431D2"/>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3431D2"/>
    <w:rPr>
      <w:rFonts w:ascii="Arial Narrow" w:hAnsi="Arial Narrow" w:cs="Arial Narrow"/>
      <w:i/>
      <w:iCs/>
      <w:sz w:val="15"/>
      <w:szCs w:val="15"/>
    </w:rPr>
  </w:style>
  <w:style w:type="paragraph" w:customStyle="1" w:styleId="100">
    <w:name w:val="Заголовок №10"/>
    <w:basedOn w:val="a"/>
    <w:uiPriority w:val="99"/>
    <w:rsid w:val="003431D2"/>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3431D2"/>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3431D2"/>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3431D2"/>
    <w:rPr>
      <w:rFonts w:ascii="Lucida Sans Unicode" w:hAnsi="Lucida Sans Unicode" w:cs="Lucida Sans Unicode"/>
      <w:i/>
      <w:iCs/>
      <w:spacing w:val="0"/>
      <w:sz w:val="16"/>
      <w:szCs w:val="16"/>
    </w:rPr>
  </w:style>
  <w:style w:type="character" w:customStyle="1" w:styleId="aff">
    <w:name w:val="Основной текст_"/>
    <w:basedOn w:val="a0"/>
    <w:rsid w:val="003431D2"/>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3431D2"/>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uiPriority w:val="99"/>
    <w:rsid w:val="003431D2"/>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aff1">
    <w:name w:val="Подпись к таблице_"/>
    <w:basedOn w:val="a0"/>
    <w:link w:val="aff0"/>
    <w:uiPriority w:val="99"/>
    <w:rsid w:val="00392894"/>
    <w:rPr>
      <w:rFonts w:ascii="Arial Narrow" w:hAnsi="Arial Narrow" w:cs="Arial Narrow"/>
      <w:i/>
      <w:iCs/>
      <w:noProof/>
      <w:sz w:val="20"/>
      <w:szCs w:val="20"/>
      <w:shd w:val="clear" w:color="auto" w:fill="FFFFFF"/>
      <w:lang w:val="en-US"/>
    </w:rPr>
  </w:style>
  <w:style w:type="character" w:customStyle="1" w:styleId="14ArialNarrow10pt39">
    <w:name w:val="Основной текст (14) + Arial Narrow1.Малые прописные.Интервал 0 pt39"/>
    <w:basedOn w:val="a0"/>
    <w:uiPriority w:val="99"/>
    <w:rsid w:val="003431D2"/>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3431D2"/>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3431D2"/>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3431D2"/>
    <w:rPr>
      <w:b/>
      <w:bCs/>
      <w:i/>
      <w:iCs/>
      <w:sz w:val="15"/>
      <w:szCs w:val="15"/>
    </w:rPr>
  </w:style>
  <w:style w:type="character" w:customStyle="1" w:styleId="2050pt30">
    <w:name w:val="Основной текст (20) + Не курсив5.Интервал 0 pt30"/>
    <w:basedOn w:val="200"/>
    <w:uiPriority w:val="99"/>
    <w:rsid w:val="003431D2"/>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3431D2"/>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3431D2"/>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3431D2"/>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3431D2"/>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3431D2"/>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3431D2"/>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3431D2"/>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uiPriority w:val="99"/>
    <w:rsid w:val="003431D2"/>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aff3">
    <w:name w:val="Сноска_"/>
    <w:basedOn w:val="a0"/>
    <w:link w:val="aff2"/>
    <w:uiPriority w:val="99"/>
    <w:rsid w:val="00392894"/>
    <w:rPr>
      <w:rFonts w:ascii="Lucida Sans Unicode" w:hAnsi="Lucida Sans Unicode" w:cs="Lucida Sans Unicode"/>
      <w:i/>
      <w:iCs/>
      <w:noProof/>
      <w:sz w:val="13"/>
      <w:szCs w:val="13"/>
      <w:shd w:val="clear" w:color="auto" w:fill="FFFFFF"/>
      <w:lang w:val="en-US"/>
    </w:rPr>
  </w:style>
  <w:style w:type="character" w:customStyle="1" w:styleId="101">
    <w:name w:val="Основной текст + Курсив10"/>
    <w:basedOn w:val="aff"/>
    <w:uiPriority w:val="99"/>
    <w:rsid w:val="003431D2"/>
    <w:rPr>
      <w:rFonts w:ascii="Arial" w:hAnsi="Arial" w:cs="Arial"/>
      <w:i/>
      <w:iCs/>
      <w:spacing w:val="-10"/>
      <w:sz w:val="17"/>
      <w:szCs w:val="17"/>
    </w:rPr>
  </w:style>
  <w:style w:type="paragraph" w:customStyle="1" w:styleId="250">
    <w:name w:val="Основной текст25"/>
    <w:basedOn w:val="a"/>
    <w:uiPriority w:val="99"/>
    <w:rsid w:val="003431D2"/>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3431D2"/>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basedOn w:val="a0"/>
    <w:uiPriority w:val="99"/>
    <w:rsid w:val="003431D2"/>
    <w:rPr>
      <w:rFonts w:ascii="Times New Roman" w:hAnsi="Times New Roman" w:cs="Times New Roman"/>
      <w:spacing w:val="0"/>
      <w:sz w:val="21"/>
      <w:szCs w:val="21"/>
      <w:u w:val="single"/>
    </w:rPr>
  </w:style>
  <w:style w:type="paragraph" w:customStyle="1" w:styleId="140">
    <w:name w:val="Заголовок №14"/>
    <w:basedOn w:val="a"/>
    <w:uiPriority w:val="99"/>
    <w:rsid w:val="003431D2"/>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3431D2"/>
    <w:rPr>
      <w:spacing w:val="40"/>
      <w:sz w:val="25"/>
      <w:szCs w:val="25"/>
    </w:rPr>
  </w:style>
  <w:style w:type="paragraph" w:customStyle="1" w:styleId="7">
    <w:name w:val="Основной текст (7)"/>
    <w:basedOn w:val="a"/>
    <w:link w:val="70"/>
    <w:uiPriority w:val="99"/>
    <w:rsid w:val="003431D2"/>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70">
    <w:name w:val="Основной текст (7)_"/>
    <w:basedOn w:val="a0"/>
    <w:link w:val="7"/>
    <w:uiPriority w:val="99"/>
    <w:rsid w:val="00392894"/>
    <w:rPr>
      <w:rFonts w:ascii="Arial Unicode MS" w:eastAsia="Arial Unicode MS" w:hAnsi="Times New Roman" w:cs="Arial Unicode MS"/>
      <w:spacing w:val="20"/>
      <w:sz w:val="25"/>
      <w:szCs w:val="25"/>
      <w:shd w:val="clear" w:color="auto" w:fill="FFFFFF"/>
    </w:rPr>
  </w:style>
  <w:style w:type="character" w:customStyle="1" w:styleId="13pt">
    <w:name w:val="Основной текст + 13 pt"/>
    <w:basedOn w:val="a0"/>
    <w:uiPriority w:val="99"/>
    <w:rsid w:val="003431D2"/>
    <w:rPr>
      <w:spacing w:val="10"/>
      <w:sz w:val="26"/>
      <w:szCs w:val="26"/>
    </w:rPr>
  </w:style>
  <w:style w:type="character" w:customStyle="1" w:styleId="240">
    <w:name w:val="Основной текст24"/>
    <w:basedOn w:val="a0"/>
    <w:uiPriority w:val="99"/>
    <w:rsid w:val="003431D2"/>
    <w:rPr>
      <w:sz w:val="25"/>
      <w:szCs w:val="25"/>
    </w:rPr>
  </w:style>
  <w:style w:type="paragraph" w:customStyle="1" w:styleId="6">
    <w:name w:val="Заголовок №6"/>
    <w:basedOn w:val="a"/>
    <w:uiPriority w:val="99"/>
    <w:rsid w:val="003431D2"/>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3431D2"/>
    <w:rPr>
      <w:rFonts w:ascii="Lucida Sans Unicode" w:hAnsi="Lucida Sans Unicode" w:cs="Lucida Sans Unicode"/>
      <w:i/>
      <w:iCs/>
      <w:sz w:val="16"/>
      <w:szCs w:val="16"/>
    </w:rPr>
  </w:style>
  <w:style w:type="character" w:customStyle="1" w:styleId="aff5">
    <w:name w:val="Основной текст + Курсив"/>
    <w:aliases w:val="Интервал 0 pt59"/>
    <w:basedOn w:val="a0"/>
    <w:uiPriority w:val="99"/>
    <w:rsid w:val="003431D2"/>
    <w:rPr>
      <w:rFonts w:ascii="Lucida Sans Unicode" w:hAnsi="Lucida Sans Unicode" w:cs="Lucida Sans Unicode"/>
      <w:i/>
      <w:iCs/>
      <w:sz w:val="16"/>
      <w:szCs w:val="16"/>
    </w:rPr>
  </w:style>
  <w:style w:type="paragraph" w:customStyle="1" w:styleId="80">
    <w:name w:val="Основной текст (8)"/>
    <w:basedOn w:val="a"/>
    <w:uiPriority w:val="99"/>
    <w:rsid w:val="003431D2"/>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uiPriority w:val="99"/>
    <w:rsid w:val="003431D2"/>
    <w:rPr>
      <w:rFonts w:ascii="Lucida Sans Unicode" w:hAnsi="Lucida Sans Unicode" w:cs="Lucida Sans Unicode"/>
      <w:sz w:val="16"/>
      <w:szCs w:val="16"/>
    </w:rPr>
  </w:style>
  <w:style w:type="character" w:customStyle="1" w:styleId="4pt">
    <w:name w:val="Основной текст + Интервал 4 pt"/>
    <w:basedOn w:val="a0"/>
    <w:rsid w:val="003431D2"/>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3431D2"/>
    <w:rPr>
      <w:rFonts w:ascii="Segoe UI" w:hAnsi="Segoe UI" w:cs="Segoe UI"/>
      <w:b/>
      <w:bCs/>
      <w:i/>
      <w:iCs/>
      <w:spacing w:val="0"/>
      <w:sz w:val="16"/>
      <w:szCs w:val="16"/>
    </w:rPr>
  </w:style>
  <w:style w:type="character" w:customStyle="1" w:styleId="SegoeUI1">
    <w:name w:val="Основной текст + Segoe UI1"/>
    <w:aliases w:val="Основной текст + Times New Roman1,81,5 pt2,Полужирный5,Основной текст + Arial Unicode MS1,Основной текст + 82,Основной текст + 9 pt2,Основной текст + MS Reference Sans Serif1,Основной текст + 71"/>
    <w:basedOn w:val="a0"/>
    <w:uiPriority w:val="99"/>
    <w:rsid w:val="003431D2"/>
    <w:rPr>
      <w:rFonts w:ascii="Segoe UI" w:hAnsi="Segoe UI" w:cs="Segoe UI"/>
      <w:i/>
      <w:iCs/>
      <w:spacing w:val="0"/>
      <w:sz w:val="13"/>
      <w:szCs w:val="13"/>
    </w:rPr>
  </w:style>
  <w:style w:type="character" w:customStyle="1" w:styleId="17">
    <w:name w:val="Основной текст1"/>
    <w:basedOn w:val="a0"/>
    <w:uiPriority w:val="99"/>
    <w:rsid w:val="003431D2"/>
    <w:rPr>
      <w:rFonts w:ascii="Gungsuh" w:eastAsia="Gungsuh" w:cs="Gungsuh"/>
      <w:spacing w:val="-10"/>
      <w:sz w:val="16"/>
      <w:szCs w:val="16"/>
      <w:u w:val="single"/>
    </w:rPr>
  </w:style>
  <w:style w:type="paragraph" w:customStyle="1" w:styleId="35">
    <w:name w:val="Основной текст (3)"/>
    <w:basedOn w:val="a"/>
    <w:uiPriority w:val="99"/>
    <w:rsid w:val="003431D2"/>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3431D2"/>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uiPriority w:val="99"/>
    <w:rsid w:val="003431D2"/>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character" w:customStyle="1" w:styleId="46">
    <w:name w:val="Основной текст (4)_"/>
    <w:basedOn w:val="a0"/>
    <w:link w:val="45"/>
    <w:uiPriority w:val="99"/>
    <w:rsid w:val="008F43EB"/>
    <w:rPr>
      <w:rFonts w:ascii="Gungsuh" w:eastAsia="Gungsuh" w:hAnsi="Times New Roman" w:cs="Gungsuh"/>
      <w:sz w:val="13"/>
      <w:szCs w:val="13"/>
      <w:shd w:val="clear" w:color="auto" w:fill="FFFFFF"/>
    </w:rPr>
  </w:style>
  <w:style w:type="paragraph" w:customStyle="1" w:styleId="28">
    <w:name w:val="Основной текст (2)"/>
    <w:basedOn w:val="a"/>
    <w:link w:val="2a"/>
    <w:rsid w:val="003431D2"/>
    <w:pPr>
      <w:shd w:val="clear" w:color="auto" w:fill="FFFFFF"/>
      <w:autoSpaceDE w:val="0"/>
      <w:autoSpaceDN w:val="0"/>
      <w:adjustRightInd w:val="0"/>
      <w:spacing w:before="120" w:after="0" w:line="240" w:lineRule="atLeast"/>
    </w:pPr>
    <w:rPr>
      <w:rFonts w:ascii="Segoe UI" w:hAnsi="Segoe UI" w:cs="Segoe UI"/>
      <w:sz w:val="13"/>
      <w:szCs w:val="13"/>
    </w:rPr>
  </w:style>
  <w:style w:type="character" w:customStyle="1" w:styleId="2a">
    <w:name w:val="Основной текст (2)_"/>
    <w:basedOn w:val="a0"/>
    <w:link w:val="28"/>
    <w:uiPriority w:val="99"/>
    <w:locked/>
    <w:rsid w:val="008F43EB"/>
    <w:rPr>
      <w:rFonts w:ascii="Segoe UI" w:hAnsi="Segoe UI" w:cs="Segoe UI"/>
      <w:sz w:val="13"/>
      <w:szCs w:val="13"/>
      <w:shd w:val="clear" w:color="auto" w:fill="FFFFFF"/>
    </w:rPr>
  </w:style>
  <w:style w:type="paragraph" w:customStyle="1" w:styleId="18">
    <w:name w:val="Заголовок №1"/>
    <w:basedOn w:val="a"/>
    <w:link w:val="19"/>
    <w:uiPriority w:val="99"/>
    <w:rsid w:val="003431D2"/>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19">
    <w:name w:val="Заголовок №1_"/>
    <w:basedOn w:val="a0"/>
    <w:link w:val="18"/>
    <w:uiPriority w:val="99"/>
    <w:rsid w:val="00392894"/>
    <w:rPr>
      <w:rFonts w:ascii="Segoe UI" w:hAnsi="Segoe UI" w:cs="Segoe UI"/>
      <w:sz w:val="20"/>
      <w:szCs w:val="20"/>
      <w:shd w:val="clear" w:color="auto" w:fill="FFFFFF"/>
    </w:rPr>
  </w:style>
  <w:style w:type="character" w:customStyle="1" w:styleId="72">
    <w:name w:val="Основной текст + 7"/>
    <w:basedOn w:val="a0"/>
    <w:uiPriority w:val="99"/>
    <w:rsid w:val="003431D2"/>
    <w:rPr>
      <w:rFonts w:ascii="Gungsuh" w:eastAsia="Gungsuh" w:cs="Gungsuh"/>
      <w:spacing w:val="0"/>
      <w:sz w:val="15"/>
      <w:szCs w:val="15"/>
    </w:rPr>
  </w:style>
  <w:style w:type="character" w:customStyle="1" w:styleId="TrebuchetMS">
    <w:name w:val="Основной текст + Trebuchet MS"/>
    <w:basedOn w:val="a0"/>
    <w:uiPriority w:val="99"/>
    <w:rsid w:val="003431D2"/>
    <w:rPr>
      <w:rFonts w:ascii="Trebuchet MS" w:hAnsi="Trebuchet MS" w:cs="Trebuchet MS"/>
      <w:b/>
      <w:bCs/>
      <w:spacing w:val="0"/>
      <w:sz w:val="20"/>
      <w:szCs w:val="20"/>
    </w:rPr>
  </w:style>
  <w:style w:type="character" w:customStyle="1" w:styleId="102">
    <w:name w:val="Основной текст + 10"/>
    <w:basedOn w:val="a0"/>
    <w:uiPriority w:val="99"/>
    <w:rsid w:val="003431D2"/>
    <w:rPr>
      <w:rFonts w:ascii="Gungsuh" w:eastAsia="Gungsuh" w:cs="Gungsuh"/>
      <w:spacing w:val="-20"/>
      <w:sz w:val="21"/>
      <w:szCs w:val="21"/>
    </w:rPr>
  </w:style>
  <w:style w:type="character" w:customStyle="1" w:styleId="9">
    <w:name w:val="Основной текст + 9"/>
    <w:basedOn w:val="a0"/>
    <w:uiPriority w:val="99"/>
    <w:rsid w:val="003431D2"/>
    <w:rPr>
      <w:rFonts w:ascii="Gungsuh" w:eastAsia="Gungsuh" w:cs="Gungsuh"/>
      <w:smallCaps/>
      <w:spacing w:val="-10"/>
      <w:sz w:val="19"/>
      <w:szCs w:val="19"/>
    </w:rPr>
  </w:style>
  <w:style w:type="character" w:customStyle="1" w:styleId="Candara">
    <w:name w:val="Основной текст + Candara"/>
    <w:aliases w:val="Основной текст + 8 pt4,Полужирный7,Интервал 0 pt5,16 pt,82"/>
    <w:basedOn w:val="a0"/>
    <w:uiPriority w:val="99"/>
    <w:rsid w:val="003431D2"/>
    <w:rPr>
      <w:rFonts w:ascii="Candara" w:hAnsi="Candara" w:cs="Candara"/>
      <w:b/>
      <w:bCs/>
      <w:spacing w:val="0"/>
      <w:sz w:val="22"/>
      <w:szCs w:val="22"/>
    </w:rPr>
  </w:style>
  <w:style w:type="character" w:customStyle="1" w:styleId="0pt">
    <w:name w:val="Основной текст + Интервал 0 pt"/>
    <w:basedOn w:val="a0"/>
    <w:uiPriority w:val="99"/>
    <w:rsid w:val="003431D2"/>
    <w:rPr>
      <w:rFonts w:ascii="Gungsuh" w:eastAsia="Gungsuh" w:cs="Gungsuh"/>
      <w:spacing w:val="10"/>
      <w:sz w:val="18"/>
      <w:szCs w:val="18"/>
    </w:rPr>
  </w:style>
  <w:style w:type="character" w:customStyle="1" w:styleId="8pt">
    <w:name w:val="Основной текст + 8 pt"/>
    <w:aliases w:val="Полужирный65"/>
    <w:basedOn w:val="a0"/>
    <w:uiPriority w:val="99"/>
    <w:rsid w:val="003431D2"/>
    <w:rPr>
      <w:rFonts w:ascii="Gungsuh" w:eastAsia="Gungsuh" w:cs="Gungsuh"/>
      <w:spacing w:val="-10"/>
      <w:sz w:val="16"/>
      <w:szCs w:val="16"/>
    </w:rPr>
  </w:style>
  <w:style w:type="character" w:customStyle="1" w:styleId="Consolas">
    <w:name w:val="Основной текст + Consolas"/>
    <w:basedOn w:val="a0"/>
    <w:uiPriority w:val="99"/>
    <w:rsid w:val="003431D2"/>
    <w:rPr>
      <w:rFonts w:ascii="Consolas" w:hAnsi="Consolas" w:cs="Consolas"/>
      <w:b/>
      <w:bCs/>
      <w:spacing w:val="0"/>
      <w:sz w:val="19"/>
      <w:szCs w:val="19"/>
    </w:rPr>
  </w:style>
  <w:style w:type="character" w:customStyle="1" w:styleId="82">
    <w:name w:val="Основной текст + 8"/>
    <w:basedOn w:val="a0"/>
    <w:uiPriority w:val="99"/>
    <w:rsid w:val="003431D2"/>
    <w:rPr>
      <w:rFonts w:ascii="Arial Narrow" w:hAnsi="Arial Narrow" w:cs="Arial Narrow"/>
      <w:i/>
      <w:iCs/>
      <w:smallCaps/>
      <w:sz w:val="17"/>
      <w:szCs w:val="17"/>
    </w:rPr>
  </w:style>
  <w:style w:type="character" w:customStyle="1" w:styleId="280">
    <w:name w:val="Основной текст (2) + 8"/>
    <w:basedOn w:val="a0"/>
    <w:uiPriority w:val="99"/>
    <w:rsid w:val="003431D2"/>
    <w:rPr>
      <w:rFonts w:ascii="Arial Narrow" w:hAnsi="Arial Narrow" w:cs="Arial Narrow"/>
      <w:i/>
      <w:iCs/>
      <w:smallCaps/>
      <w:spacing w:val="0"/>
      <w:sz w:val="17"/>
      <w:szCs w:val="17"/>
    </w:rPr>
  </w:style>
  <w:style w:type="character" w:customStyle="1" w:styleId="7pt">
    <w:name w:val="Основной текст + 7 pt"/>
    <w:basedOn w:val="a0"/>
    <w:uiPriority w:val="99"/>
    <w:rsid w:val="003431D2"/>
    <w:rPr>
      <w:rFonts w:ascii="Gungsuh" w:eastAsia="Gungsuh" w:cs="Gungsuh"/>
      <w:spacing w:val="0"/>
      <w:sz w:val="14"/>
      <w:szCs w:val="14"/>
    </w:rPr>
  </w:style>
  <w:style w:type="character" w:customStyle="1" w:styleId="9pt">
    <w:name w:val="Основной текст + 9 pt"/>
    <w:aliases w:val="Колонтитул + 92,5 pt7,Подпись к картинке (28) + Sylfaen,61,Полужирный10,Основной текст + 84,Малые прописные4,Основной текст (2) + Microsoft Sans Serif,Колонтитул + Century Gothic1,Основной текст (25) + 9"/>
    <w:basedOn w:val="a0"/>
    <w:uiPriority w:val="99"/>
    <w:rsid w:val="003431D2"/>
    <w:rPr>
      <w:rFonts w:ascii="Gungsuh" w:eastAsia="Gungsuh" w:cs="Gungsuh"/>
      <w:b/>
      <w:bCs/>
      <w:i/>
      <w:iCs/>
      <w:spacing w:val="0"/>
      <w:sz w:val="18"/>
      <w:szCs w:val="18"/>
    </w:rPr>
  </w:style>
  <w:style w:type="character" w:customStyle="1" w:styleId="9pt1">
    <w:name w:val="Основной текст + 9 pt1"/>
    <w:basedOn w:val="a0"/>
    <w:uiPriority w:val="99"/>
    <w:rsid w:val="003431D2"/>
    <w:rPr>
      <w:rFonts w:ascii="Gungsuh" w:eastAsia="Gungsuh" w:cs="Gungsuh"/>
      <w:smallCaps/>
      <w:spacing w:val="0"/>
      <w:sz w:val="18"/>
      <w:szCs w:val="18"/>
    </w:rPr>
  </w:style>
  <w:style w:type="character" w:customStyle="1" w:styleId="1pt">
    <w:name w:val="Основной текст + Интервал 1 pt"/>
    <w:basedOn w:val="a0"/>
    <w:uiPriority w:val="99"/>
    <w:rsid w:val="003431D2"/>
    <w:rPr>
      <w:rFonts w:ascii="Gungsuh" w:eastAsia="Gungsuh" w:cs="Gungsuh"/>
      <w:spacing w:val="30"/>
      <w:sz w:val="17"/>
      <w:szCs w:val="17"/>
    </w:rPr>
  </w:style>
  <w:style w:type="character" w:customStyle="1" w:styleId="Garamond">
    <w:name w:val="Колонтитул + Garamond"/>
    <w:basedOn w:val="a0"/>
    <w:uiPriority w:val="99"/>
    <w:rsid w:val="003431D2"/>
    <w:rPr>
      <w:rFonts w:ascii="Garamond" w:hAnsi="Garamond" w:cs="Garamond"/>
      <w:sz w:val="18"/>
      <w:szCs w:val="18"/>
    </w:rPr>
  </w:style>
  <w:style w:type="character" w:customStyle="1" w:styleId="3pt">
    <w:name w:val="Основной текст + Интервал 3 pt"/>
    <w:basedOn w:val="a0"/>
    <w:uiPriority w:val="99"/>
    <w:rsid w:val="003431D2"/>
    <w:rPr>
      <w:rFonts w:ascii="Gungsuh" w:eastAsia="Gungsuh" w:cs="Gungsuh"/>
      <w:spacing w:val="60"/>
      <w:sz w:val="17"/>
      <w:szCs w:val="17"/>
    </w:rPr>
  </w:style>
  <w:style w:type="paragraph" w:customStyle="1" w:styleId="aff6">
    <w:name w:val="Колонтитул"/>
    <w:basedOn w:val="a"/>
    <w:link w:val="aff7"/>
    <w:uiPriority w:val="99"/>
    <w:rsid w:val="003431D2"/>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ff7">
    <w:name w:val="Колонтитул_"/>
    <w:basedOn w:val="a0"/>
    <w:link w:val="aff6"/>
    <w:uiPriority w:val="99"/>
    <w:locked/>
    <w:rsid w:val="00392894"/>
    <w:rPr>
      <w:rFonts w:ascii="Times New Roman" w:hAnsi="Times New Roman" w:cs="Times New Roman"/>
      <w:sz w:val="20"/>
      <w:szCs w:val="20"/>
      <w:shd w:val="clear" w:color="auto" w:fill="FFFFFF"/>
    </w:rPr>
  </w:style>
  <w:style w:type="character" w:customStyle="1" w:styleId="Arial">
    <w:name w:val="Основной текст + Arial"/>
    <w:basedOn w:val="a0"/>
    <w:uiPriority w:val="99"/>
    <w:rsid w:val="003431D2"/>
    <w:rPr>
      <w:rFonts w:ascii="Arial" w:hAnsi="Arial" w:cs="Arial"/>
      <w:sz w:val="21"/>
      <w:szCs w:val="21"/>
    </w:rPr>
  </w:style>
  <w:style w:type="paragraph" w:customStyle="1" w:styleId="2b">
    <w:name w:val="Заголовок №2"/>
    <w:basedOn w:val="a"/>
    <w:link w:val="2c"/>
    <w:rsid w:val="003431D2"/>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c">
    <w:name w:val="Заголовок №2_"/>
    <w:basedOn w:val="a0"/>
    <w:link w:val="2b"/>
    <w:locked/>
    <w:rsid w:val="00392894"/>
    <w:rPr>
      <w:rFonts w:ascii="Century Schoolbook" w:hAnsi="Century Schoolbook" w:cs="Century Schoolbook"/>
      <w:sz w:val="17"/>
      <w:szCs w:val="17"/>
      <w:shd w:val="clear" w:color="auto" w:fill="FFFFFF"/>
    </w:rPr>
  </w:style>
  <w:style w:type="character" w:customStyle="1" w:styleId="2Gulim">
    <w:name w:val="Основной текст (2) + Gulim"/>
    <w:basedOn w:val="a0"/>
    <w:uiPriority w:val="99"/>
    <w:rsid w:val="003431D2"/>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3431D2"/>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3431D2"/>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uiPriority w:val="99"/>
    <w:rsid w:val="003431D2"/>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3431D2"/>
    <w:rPr>
      <w:rFonts w:ascii="Batang" w:eastAsia="Batang" w:cs="Batang"/>
      <w:b/>
      <w:bCs/>
      <w:smallCaps/>
      <w:spacing w:val="0"/>
      <w:sz w:val="19"/>
      <w:szCs w:val="19"/>
    </w:rPr>
  </w:style>
  <w:style w:type="character" w:customStyle="1" w:styleId="FrankRuehl">
    <w:name w:val="Основной текст + FrankRuehl"/>
    <w:basedOn w:val="a0"/>
    <w:uiPriority w:val="99"/>
    <w:rsid w:val="003431D2"/>
    <w:rPr>
      <w:rFonts w:ascii="FrankRuehl" w:cs="FrankRuehl"/>
      <w:sz w:val="30"/>
      <w:szCs w:val="30"/>
      <w:lang w:bidi="he-IL"/>
    </w:rPr>
  </w:style>
  <w:style w:type="character" w:customStyle="1" w:styleId="FrankRuehl2">
    <w:name w:val="Основной текст + FrankRuehl2"/>
    <w:basedOn w:val="a0"/>
    <w:uiPriority w:val="99"/>
    <w:rsid w:val="003431D2"/>
    <w:rPr>
      <w:rFonts w:ascii="FrankRuehl" w:cs="FrankRuehl"/>
      <w:sz w:val="29"/>
      <w:szCs w:val="29"/>
      <w:lang w:bidi="he-IL"/>
    </w:rPr>
  </w:style>
  <w:style w:type="character" w:customStyle="1" w:styleId="FrankRuehl1">
    <w:name w:val="Основной текст + FrankRuehl1"/>
    <w:basedOn w:val="a0"/>
    <w:uiPriority w:val="99"/>
    <w:rsid w:val="003431D2"/>
    <w:rPr>
      <w:rFonts w:ascii="FrankRuehl" w:cs="FrankRuehl"/>
      <w:i/>
      <w:iCs/>
      <w:sz w:val="16"/>
      <w:szCs w:val="16"/>
      <w:lang w:bidi="he-IL"/>
    </w:rPr>
  </w:style>
  <w:style w:type="character" w:customStyle="1" w:styleId="112">
    <w:name w:val="Основной текст + 11"/>
    <w:basedOn w:val="a0"/>
    <w:uiPriority w:val="99"/>
    <w:rsid w:val="003431D2"/>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3431D2"/>
    <w:rPr>
      <w:rFonts w:ascii="FrankRuehl" w:cs="FrankRuehl"/>
      <w:b/>
      <w:bCs/>
      <w:i/>
      <w:iCs/>
      <w:spacing w:val="0"/>
      <w:sz w:val="9"/>
      <w:szCs w:val="9"/>
      <w:lang w:bidi="he-IL"/>
    </w:rPr>
  </w:style>
  <w:style w:type="paragraph" w:customStyle="1" w:styleId="47">
    <w:name w:val="Основной текст4"/>
    <w:basedOn w:val="a"/>
    <w:uiPriority w:val="99"/>
    <w:rsid w:val="003431D2"/>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3431D2"/>
    <w:rPr>
      <w:rFonts w:ascii="Gungsuh" w:eastAsia="Gungsuh" w:cs="Gungsuh"/>
      <w:sz w:val="33"/>
      <w:szCs w:val="33"/>
    </w:rPr>
  </w:style>
  <w:style w:type="character" w:customStyle="1" w:styleId="10pt">
    <w:name w:val="Основной текст + 10 pt"/>
    <w:aliases w:val="Интервал 0 pt26"/>
    <w:basedOn w:val="a0"/>
    <w:uiPriority w:val="99"/>
    <w:rsid w:val="003431D2"/>
    <w:rPr>
      <w:rFonts w:ascii="Gungsuh" w:eastAsia="Gungsuh" w:cs="Gungsuh"/>
      <w:spacing w:val="-20"/>
      <w:sz w:val="20"/>
      <w:szCs w:val="20"/>
    </w:rPr>
  </w:style>
  <w:style w:type="character" w:customStyle="1" w:styleId="aff8">
    <w:name w:val="Основной текст + Полужирный"/>
    <w:aliases w:val="Интервал 0 pt9"/>
    <w:basedOn w:val="a0"/>
    <w:uiPriority w:val="99"/>
    <w:rsid w:val="003431D2"/>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3431D2"/>
    <w:rPr>
      <w:rFonts w:ascii="Times New Roman" w:hAnsi="Times New Roman" w:cs="Times New Roman"/>
      <w:b/>
      <w:bCs/>
      <w:sz w:val="21"/>
      <w:szCs w:val="21"/>
    </w:rPr>
  </w:style>
  <w:style w:type="character" w:customStyle="1" w:styleId="-1pt0">
    <w:name w:val="Оглавление + Интервал -1 pt"/>
    <w:basedOn w:val="a0"/>
    <w:uiPriority w:val="99"/>
    <w:rsid w:val="003431D2"/>
    <w:rPr>
      <w:rFonts w:ascii="Times New Roman" w:hAnsi="Times New Roman" w:cs="Times New Roman"/>
      <w:spacing w:val="-20"/>
      <w:sz w:val="21"/>
      <w:szCs w:val="21"/>
    </w:rPr>
  </w:style>
  <w:style w:type="character" w:customStyle="1" w:styleId="300">
    <w:name w:val="Основной текст + 30"/>
    <w:basedOn w:val="a0"/>
    <w:uiPriority w:val="99"/>
    <w:rsid w:val="003431D2"/>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3431D2"/>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3431D2"/>
    <w:rPr>
      <w:rFonts w:ascii="Bookman Old Style" w:hAnsi="Bookman Old Style" w:cs="Bookman Old Style"/>
      <w:spacing w:val="-20"/>
      <w:sz w:val="16"/>
      <w:szCs w:val="16"/>
    </w:rPr>
  </w:style>
  <w:style w:type="character" w:customStyle="1" w:styleId="202">
    <w:name w:val="Подпись к картинке (20)"/>
    <w:basedOn w:val="a0"/>
    <w:uiPriority w:val="99"/>
    <w:rsid w:val="003431D2"/>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3431D2"/>
    <w:rPr>
      <w:rFonts w:ascii="Arial Narrow" w:hAnsi="Arial Narrow" w:cs="Arial Narrow"/>
      <w:strike/>
      <w:spacing w:val="0"/>
      <w:sz w:val="22"/>
      <w:szCs w:val="22"/>
    </w:rPr>
  </w:style>
  <w:style w:type="character" w:customStyle="1" w:styleId="51">
    <w:name w:val="Подпись к картинке (5)"/>
    <w:basedOn w:val="a0"/>
    <w:uiPriority w:val="99"/>
    <w:rsid w:val="003431D2"/>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3431D2"/>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3431D2"/>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3431D2"/>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link w:val="affa"/>
    <w:uiPriority w:val="99"/>
    <w:rsid w:val="003431D2"/>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character" w:customStyle="1" w:styleId="affa">
    <w:name w:val="Подпись к картинке_"/>
    <w:basedOn w:val="a0"/>
    <w:link w:val="aff9"/>
    <w:uiPriority w:val="99"/>
    <w:rsid w:val="00392894"/>
    <w:rPr>
      <w:rFonts w:ascii="MS Reference Sans Serif" w:hAnsi="MS Reference Sans Serif" w:cs="MS Reference Sans Serif"/>
      <w:b/>
      <w:bCs/>
      <w:sz w:val="13"/>
      <w:szCs w:val="13"/>
      <w:shd w:val="clear" w:color="auto" w:fill="FFFFFF"/>
    </w:rPr>
  </w:style>
  <w:style w:type="paragraph" w:customStyle="1" w:styleId="121">
    <w:name w:val="Основной текст (12)"/>
    <w:basedOn w:val="a"/>
    <w:uiPriority w:val="99"/>
    <w:rsid w:val="003431D2"/>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uiPriority w:val="99"/>
    <w:rsid w:val="003431D2"/>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3431D2"/>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
    <w:uiPriority w:val="99"/>
    <w:rsid w:val="003431D2"/>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uiPriority w:val="99"/>
    <w:rsid w:val="003431D2"/>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3431D2"/>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3431D2"/>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3431D2"/>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3431D2"/>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3431D2"/>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3431D2"/>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3431D2"/>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3431D2"/>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3431D2"/>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link w:val="581"/>
    <w:rsid w:val="003431D2"/>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581">
    <w:name w:val="Основной текст (58)_"/>
    <w:basedOn w:val="a0"/>
    <w:link w:val="580"/>
    <w:rsid w:val="00392894"/>
    <w:rPr>
      <w:rFonts w:ascii="MS Reference Sans Serif" w:hAnsi="MS Reference Sans Serif" w:cs="MS Reference Sans Serif"/>
      <w:i/>
      <w:iCs/>
      <w:sz w:val="20"/>
      <w:szCs w:val="20"/>
      <w:shd w:val="clear" w:color="auto" w:fill="FFFFFF"/>
    </w:rPr>
  </w:style>
  <w:style w:type="character" w:customStyle="1" w:styleId="4475pt">
    <w:name w:val="Основной текст (44) + 7.5 pt.Малые прописные"/>
    <w:basedOn w:val="a0"/>
    <w:uiPriority w:val="99"/>
    <w:rsid w:val="003431D2"/>
    <w:rPr>
      <w:rFonts w:ascii="Arial Narrow" w:hAnsi="Arial Narrow" w:cs="Arial Narrow"/>
      <w:b/>
      <w:bCs/>
      <w:i/>
      <w:iCs/>
      <w:smallCaps/>
      <w:spacing w:val="0"/>
      <w:sz w:val="15"/>
      <w:szCs w:val="15"/>
    </w:rPr>
  </w:style>
  <w:style w:type="character" w:customStyle="1" w:styleId="1a">
    <w:name w:val="Основной текст + Курсив1"/>
    <w:basedOn w:val="a0"/>
    <w:uiPriority w:val="99"/>
    <w:rsid w:val="003431D2"/>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3431D2"/>
    <w:rPr>
      <w:rFonts w:ascii="Arial Narrow" w:hAnsi="Arial Narrow" w:cs="Arial Narrow"/>
      <w:spacing w:val="0"/>
      <w:sz w:val="17"/>
      <w:szCs w:val="17"/>
    </w:rPr>
  </w:style>
  <w:style w:type="paragraph" w:customStyle="1" w:styleId="113">
    <w:name w:val="Основной текст (11)"/>
    <w:basedOn w:val="a"/>
    <w:link w:val="114"/>
    <w:uiPriority w:val="99"/>
    <w:rsid w:val="003431D2"/>
    <w:pPr>
      <w:shd w:val="clear" w:color="auto" w:fill="FFFFFF"/>
      <w:autoSpaceDE w:val="0"/>
      <w:autoSpaceDN w:val="0"/>
      <w:adjustRightInd w:val="0"/>
      <w:spacing w:after="0" w:line="240" w:lineRule="atLeast"/>
    </w:pPr>
    <w:rPr>
      <w:rFonts w:ascii="Arial Narrow" w:hAnsi="Arial Narrow" w:cs="Arial Narrow"/>
      <w:b/>
      <w:bCs/>
      <w:sz w:val="46"/>
      <w:szCs w:val="46"/>
    </w:rPr>
  </w:style>
  <w:style w:type="character" w:customStyle="1" w:styleId="114">
    <w:name w:val="Основной текст (11)_"/>
    <w:basedOn w:val="a0"/>
    <w:link w:val="113"/>
    <w:uiPriority w:val="99"/>
    <w:rsid w:val="00392894"/>
    <w:rPr>
      <w:rFonts w:ascii="Arial Narrow" w:hAnsi="Arial Narrow" w:cs="Arial Narrow"/>
      <w:b/>
      <w:bCs/>
      <w:sz w:val="46"/>
      <w:szCs w:val="46"/>
      <w:shd w:val="clear" w:color="auto" w:fill="FFFFFF"/>
    </w:rPr>
  </w:style>
  <w:style w:type="paragraph" w:customStyle="1" w:styleId="290">
    <w:name w:val="Основной текст (29)"/>
    <w:basedOn w:val="a"/>
    <w:uiPriority w:val="99"/>
    <w:rsid w:val="003431D2"/>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d">
    <w:name w:val="Подпись к картинке (2)"/>
    <w:basedOn w:val="a"/>
    <w:uiPriority w:val="99"/>
    <w:rsid w:val="003431D2"/>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link w:val="49"/>
    <w:uiPriority w:val="99"/>
    <w:rsid w:val="003431D2"/>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character" w:customStyle="1" w:styleId="49">
    <w:name w:val="Подпись к картинке (4)_"/>
    <w:basedOn w:val="a0"/>
    <w:link w:val="48"/>
    <w:uiPriority w:val="99"/>
    <w:rsid w:val="00392894"/>
    <w:rPr>
      <w:rFonts w:ascii="Arial Narrow" w:hAnsi="Arial Narrow" w:cs="Arial Narrow"/>
      <w:i/>
      <w:iCs/>
      <w:sz w:val="17"/>
      <w:szCs w:val="17"/>
      <w:shd w:val="clear" w:color="auto" w:fill="FFFFFF"/>
    </w:rPr>
  </w:style>
  <w:style w:type="paragraph" w:customStyle="1" w:styleId="410">
    <w:name w:val="Основной текст (41)"/>
    <w:basedOn w:val="a"/>
    <w:uiPriority w:val="99"/>
    <w:rsid w:val="003431D2"/>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3431D2"/>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3431D2"/>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3431D2"/>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3431D2"/>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3431D2"/>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3431D2"/>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3431D2"/>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3431D2"/>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3431D2"/>
    <w:rPr>
      <w:rFonts w:ascii="Arial Narrow" w:hAnsi="Arial Narrow" w:cs="Arial Narrow"/>
      <w:i/>
      <w:iCs/>
      <w:spacing w:val="0"/>
      <w:sz w:val="14"/>
      <w:szCs w:val="14"/>
    </w:rPr>
  </w:style>
  <w:style w:type="character" w:customStyle="1" w:styleId="38">
    <w:name w:val="Основной текст + Курсив3"/>
    <w:basedOn w:val="a0"/>
    <w:uiPriority w:val="99"/>
    <w:rsid w:val="003431D2"/>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3431D2"/>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3431D2"/>
    <w:rPr>
      <w:rFonts w:ascii="MS Reference Sans Serif" w:hAnsi="MS Reference Sans Serif" w:cs="MS Reference Sans Serif"/>
      <w:smallCaps/>
      <w:spacing w:val="-10"/>
      <w:sz w:val="14"/>
      <w:szCs w:val="14"/>
    </w:rPr>
  </w:style>
  <w:style w:type="character" w:customStyle="1" w:styleId="2e">
    <w:name w:val="Основной текст + Курсив2"/>
    <w:basedOn w:val="a0"/>
    <w:uiPriority w:val="99"/>
    <w:rsid w:val="003431D2"/>
    <w:rPr>
      <w:rFonts w:ascii="Arial Narrow" w:hAnsi="Arial Narrow" w:cs="Arial Narrow"/>
      <w:i/>
      <w:iCs/>
      <w:spacing w:val="0"/>
      <w:sz w:val="17"/>
      <w:szCs w:val="17"/>
    </w:rPr>
  </w:style>
  <w:style w:type="paragraph" w:customStyle="1" w:styleId="271">
    <w:name w:val="Основной текст (27)1"/>
    <w:basedOn w:val="a"/>
    <w:uiPriority w:val="99"/>
    <w:rsid w:val="003431D2"/>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3431D2"/>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3431D2"/>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3431D2"/>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3">
    <w:name w:val="Подпись к картинке (7)"/>
    <w:basedOn w:val="a"/>
    <w:uiPriority w:val="99"/>
    <w:rsid w:val="003431D2"/>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3431D2"/>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3431D2"/>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3431D2"/>
    <w:rPr>
      <w:rFonts w:ascii="Gulim" w:eastAsia="Gulim" w:cs="Gulim"/>
      <w:i/>
      <w:iCs/>
      <w:spacing w:val="0"/>
      <w:sz w:val="13"/>
      <w:szCs w:val="13"/>
    </w:rPr>
  </w:style>
  <w:style w:type="character" w:customStyle="1" w:styleId="74">
    <w:name w:val="Основной текст + Курсив7"/>
    <w:basedOn w:val="a0"/>
    <w:uiPriority w:val="99"/>
    <w:rsid w:val="003431D2"/>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3431D2"/>
    <w:rPr>
      <w:rFonts w:ascii="Arial Narrow" w:hAnsi="Arial Narrow" w:cs="Arial Narrow"/>
      <w:spacing w:val="0"/>
      <w:sz w:val="17"/>
      <w:szCs w:val="17"/>
    </w:rPr>
  </w:style>
  <w:style w:type="character" w:customStyle="1" w:styleId="275">
    <w:name w:val="Основной текст (27) + Не курсив5"/>
    <w:basedOn w:val="a0"/>
    <w:uiPriority w:val="99"/>
    <w:rsid w:val="003431D2"/>
    <w:rPr>
      <w:rFonts w:ascii="Arial Narrow" w:hAnsi="Arial Narrow" w:cs="Arial Narrow"/>
      <w:spacing w:val="0"/>
      <w:sz w:val="17"/>
      <w:szCs w:val="17"/>
    </w:rPr>
  </w:style>
  <w:style w:type="character" w:customStyle="1" w:styleId="64">
    <w:name w:val="Основной текст + Курсив6"/>
    <w:basedOn w:val="a0"/>
    <w:uiPriority w:val="99"/>
    <w:rsid w:val="003431D2"/>
    <w:rPr>
      <w:rFonts w:ascii="Arial Narrow" w:hAnsi="Arial Narrow" w:cs="Arial Narrow"/>
      <w:i/>
      <w:iCs/>
      <w:spacing w:val="0"/>
      <w:sz w:val="17"/>
      <w:szCs w:val="17"/>
    </w:rPr>
  </w:style>
  <w:style w:type="character" w:customStyle="1" w:styleId="270">
    <w:name w:val="Основной текст (27)"/>
    <w:basedOn w:val="a0"/>
    <w:uiPriority w:val="99"/>
    <w:rsid w:val="003431D2"/>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3431D2"/>
    <w:rPr>
      <w:rFonts w:ascii="Arial Narrow" w:hAnsi="Arial Narrow" w:cs="Arial Narrow"/>
      <w:spacing w:val="0"/>
      <w:sz w:val="17"/>
      <w:szCs w:val="17"/>
    </w:rPr>
  </w:style>
  <w:style w:type="character" w:customStyle="1" w:styleId="58pt">
    <w:name w:val="Основной текст (5) + 8 pt.Не курсив"/>
    <w:basedOn w:val="a0"/>
    <w:uiPriority w:val="99"/>
    <w:rsid w:val="003431D2"/>
    <w:rPr>
      <w:rFonts w:ascii="Arial Narrow" w:hAnsi="Arial Narrow" w:cs="Arial Narrow"/>
      <w:spacing w:val="0"/>
      <w:sz w:val="16"/>
      <w:szCs w:val="16"/>
    </w:rPr>
  </w:style>
  <w:style w:type="paragraph" w:customStyle="1" w:styleId="512">
    <w:name w:val="Основной текст (5)1"/>
    <w:basedOn w:val="a"/>
    <w:uiPriority w:val="99"/>
    <w:rsid w:val="003431D2"/>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3431D2"/>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3431D2"/>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3431D2"/>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3431D2"/>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3431D2"/>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3431D2"/>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character" w:customStyle="1" w:styleId="91">
    <w:name w:val="Основной текст (9)_"/>
    <w:basedOn w:val="a0"/>
    <w:link w:val="90"/>
    <w:uiPriority w:val="99"/>
    <w:rsid w:val="00392894"/>
    <w:rPr>
      <w:rFonts w:ascii="Lucida Sans Unicode" w:hAnsi="Lucida Sans Unicode" w:cs="Lucida Sans Unicode"/>
      <w:sz w:val="14"/>
      <w:szCs w:val="14"/>
      <w:shd w:val="clear" w:color="auto" w:fill="FFFFFF"/>
    </w:rPr>
  </w:style>
  <w:style w:type="paragraph" w:customStyle="1" w:styleId="281">
    <w:name w:val="Основной текст (28)"/>
    <w:basedOn w:val="a"/>
    <w:link w:val="282"/>
    <w:rsid w:val="003431D2"/>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a">
    <w:name w:val="Заголовок №3"/>
    <w:basedOn w:val="a"/>
    <w:link w:val="3b"/>
    <w:rsid w:val="003431D2"/>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character" w:customStyle="1" w:styleId="3b">
    <w:name w:val="Заголовок №3_"/>
    <w:basedOn w:val="a0"/>
    <w:link w:val="3a"/>
    <w:locked/>
    <w:rsid w:val="00392894"/>
    <w:rPr>
      <w:rFonts w:ascii="Times New Roman" w:hAnsi="Times New Roman" w:cs="Times New Roman"/>
      <w:spacing w:val="40"/>
      <w:sz w:val="52"/>
      <w:szCs w:val="52"/>
      <w:shd w:val="clear" w:color="auto" w:fill="FFFFFF"/>
    </w:rPr>
  </w:style>
  <w:style w:type="paragraph" w:customStyle="1" w:styleId="182">
    <w:name w:val="Основной текст (18)"/>
    <w:basedOn w:val="a"/>
    <w:uiPriority w:val="99"/>
    <w:rsid w:val="003431D2"/>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3431D2"/>
    <w:rPr>
      <w:rFonts w:ascii="Arial" w:hAnsi="Arial" w:cs="Arial"/>
      <w:b/>
      <w:bCs/>
      <w:spacing w:val="0"/>
      <w:sz w:val="23"/>
      <w:szCs w:val="23"/>
    </w:rPr>
  </w:style>
  <w:style w:type="character" w:customStyle="1" w:styleId="14pt">
    <w:name w:val="Основной текст + 14 pt"/>
    <w:basedOn w:val="a0"/>
    <w:rsid w:val="003431D2"/>
    <w:rPr>
      <w:rFonts w:ascii="Lucida Sans Unicode" w:hAnsi="Lucida Sans Unicode" w:cs="Lucida Sans Unicode"/>
      <w:sz w:val="28"/>
      <w:szCs w:val="28"/>
    </w:rPr>
  </w:style>
  <w:style w:type="paragraph" w:customStyle="1" w:styleId="2f">
    <w:name w:val="Подпись к таблице (2)"/>
    <w:basedOn w:val="a"/>
    <w:uiPriority w:val="99"/>
    <w:rsid w:val="003431D2"/>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1b">
    <w:name w:val="Строгий1"/>
    <w:rsid w:val="00447212"/>
    <w:rPr>
      <w:b/>
    </w:rPr>
  </w:style>
  <w:style w:type="paragraph" w:customStyle="1" w:styleId="1c">
    <w:name w:val="Обычный (веб)1"/>
    <w:basedOn w:val="a"/>
    <w:rsid w:val="00447212"/>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character" w:customStyle="1" w:styleId="1d">
    <w:name w:val="Выделение1"/>
    <w:rsid w:val="00447212"/>
    <w:rPr>
      <w:rFonts w:ascii="Calibri" w:hAnsi="Calibri"/>
      <w:b/>
      <w:i/>
    </w:rPr>
  </w:style>
  <w:style w:type="paragraph" w:customStyle="1" w:styleId="83">
    <w:name w:val="Основной текст8"/>
    <w:basedOn w:val="a"/>
    <w:rsid w:val="00447212"/>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cs="Times New Roman"/>
      <w:sz w:val="26"/>
      <w:szCs w:val="20"/>
      <w:lang w:eastAsia="ru-RU"/>
    </w:rPr>
  </w:style>
  <w:style w:type="character" w:customStyle="1" w:styleId="1e">
    <w:name w:val="Гиперссылка1"/>
    <w:rsid w:val="00C27B4B"/>
    <w:rPr>
      <w:color w:val="0000FF"/>
      <w:u w:val="single"/>
    </w:rPr>
  </w:style>
  <w:style w:type="paragraph" w:customStyle="1" w:styleId="rtejustify">
    <w:name w:val="rtejustify"/>
    <w:basedOn w:val="a"/>
    <w:rsid w:val="00B545F5"/>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character" w:customStyle="1" w:styleId="10pt0">
    <w:name w:val="Основной текст + 10 pt;Полужирный"/>
    <w:basedOn w:val="aff"/>
    <w:rsid w:val="00436AFF"/>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115pt0pt">
    <w:name w:val="Основной текст + 11;5 pt;Полужирный;Интервал 0 pt"/>
    <w:basedOn w:val="aff"/>
    <w:rsid w:val="00436AFF"/>
    <w:rPr>
      <w:rFonts w:ascii="Arial Narrow" w:eastAsia="Arial Narrow" w:hAnsi="Arial Narrow" w:cs="Arial Narrow"/>
      <w:b/>
      <w:bCs/>
      <w:i w:val="0"/>
      <w:iCs w:val="0"/>
      <w:smallCaps w:val="0"/>
      <w:strike w:val="0"/>
      <w:spacing w:val="-10"/>
      <w:sz w:val="23"/>
      <w:szCs w:val="23"/>
      <w:shd w:val="clear" w:color="auto" w:fill="FFFFFF"/>
    </w:rPr>
  </w:style>
  <w:style w:type="character" w:customStyle="1" w:styleId="490">
    <w:name w:val="Основной текст + Полужирный49"/>
    <w:basedOn w:val="a0"/>
    <w:uiPriority w:val="99"/>
    <w:rsid w:val="00436AFF"/>
    <w:rPr>
      <w:rFonts w:ascii="Arial Narrow" w:hAnsi="Arial Narrow" w:cs="Arial Narrow"/>
      <w:b/>
      <w:bCs/>
      <w:sz w:val="18"/>
      <w:szCs w:val="18"/>
      <w:shd w:val="clear" w:color="auto" w:fill="FFFFFF"/>
    </w:rPr>
  </w:style>
  <w:style w:type="character" w:customStyle="1" w:styleId="915">
    <w:name w:val="Основной текст + 915"/>
    <w:aliases w:val="5 pt66,Полужирный68,Интервал 0 pt46,Основной текст + 832"/>
    <w:basedOn w:val="a0"/>
    <w:uiPriority w:val="99"/>
    <w:rsid w:val="00436AFF"/>
    <w:rPr>
      <w:rFonts w:ascii="Arial Narrow" w:hAnsi="Arial Narrow" w:cs="Arial Narrow"/>
      <w:b/>
      <w:bCs/>
      <w:spacing w:val="-10"/>
      <w:sz w:val="19"/>
      <w:szCs w:val="19"/>
      <w:shd w:val="clear" w:color="auto" w:fill="FFFFFF"/>
    </w:rPr>
  </w:style>
  <w:style w:type="character" w:customStyle="1" w:styleId="highlight">
    <w:name w:val="highlight"/>
    <w:basedOn w:val="a0"/>
    <w:rsid w:val="009E00B5"/>
  </w:style>
  <w:style w:type="character" w:customStyle="1" w:styleId="3c">
    <w:name w:val="Основной текст (3) + Курсив"/>
    <w:basedOn w:val="a0"/>
    <w:uiPriority w:val="99"/>
    <w:rsid w:val="008F43EB"/>
    <w:rPr>
      <w:rFonts w:ascii="Times New Roman" w:eastAsia="Times New Roman" w:hAnsi="Times New Roman" w:cs="Times New Roman"/>
      <w:b w:val="0"/>
      <w:bCs w:val="0"/>
      <w:i/>
      <w:iCs/>
      <w:smallCaps w:val="0"/>
      <w:strike w:val="0"/>
      <w:spacing w:val="0"/>
      <w:sz w:val="17"/>
      <w:szCs w:val="17"/>
      <w:shd w:val="clear" w:color="auto" w:fill="FFFFFF"/>
    </w:rPr>
  </w:style>
  <w:style w:type="paragraph" w:customStyle="1" w:styleId="rtecenter">
    <w:name w:val="rtecenter"/>
    <w:basedOn w:val="a"/>
    <w:rsid w:val="005B454A"/>
    <w:pPr>
      <w:spacing w:before="150" w:after="150" w:line="240" w:lineRule="auto"/>
      <w:jc w:val="center"/>
    </w:pPr>
    <w:rPr>
      <w:rFonts w:ascii="Times New Roman" w:eastAsia="Times New Roman" w:hAnsi="Times New Roman" w:cs="Times New Roman"/>
      <w:sz w:val="24"/>
      <w:szCs w:val="24"/>
      <w:lang w:eastAsia="ru-RU"/>
    </w:rPr>
  </w:style>
  <w:style w:type="paragraph" w:customStyle="1" w:styleId="rteright">
    <w:name w:val="rteright"/>
    <w:basedOn w:val="a"/>
    <w:rsid w:val="008C5CCC"/>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character" w:customStyle="1" w:styleId="ucoz-forum-post">
    <w:name w:val="ucoz-forum-post"/>
    <w:basedOn w:val="a0"/>
    <w:rsid w:val="008C5CCC"/>
  </w:style>
  <w:style w:type="paragraph" w:customStyle="1" w:styleId="rteindent1">
    <w:name w:val="rteindent1"/>
    <w:basedOn w:val="a"/>
    <w:rsid w:val="008E6FB1"/>
    <w:pPr>
      <w:spacing w:before="100" w:beforeAutospacing="1" w:after="100" w:afterAutospacing="1" w:line="240" w:lineRule="auto"/>
      <w:ind w:left="600"/>
    </w:pPr>
    <w:rPr>
      <w:rFonts w:ascii="Times New Roman" w:eastAsia="Times New Roman" w:hAnsi="Times New Roman" w:cs="Times New Roman"/>
      <w:sz w:val="24"/>
      <w:szCs w:val="24"/>
      <w:lang w:eastAsia="ru-RU"/>
    </w:rPr>
  </w:style>
  <w:style w:type="paragraph" w:customStyle="1" w:styleId="rteindent2">
    <w:name w:val="rteindent2"/>
    <w:basedOn w:val="a"/>
    <w:rsid w:val="008E6FB1"/>
    <w:pPr>
      <w:spacing w:before="100" w:beforeAutospacing="1" w:after="100" w:afterAutospacing="1" w:line="240" w:lineRule="auto"/>
      <w:ind w:left="1200"/>
    </w:pPr>
    <w:rPr>
      <w:rFonts w:ascii="Times New Roman" w:eastAsia="Times New Roman" w:hAnsi="Times New Roman" w:cs="Times New Roman"/>
      <w:sz w:val="24"/>
      <w:szCs w:val="24"/>
      <w:lang w:eastAsia="ru-RU"/>
    </w:rPr>
  </w:style>
  <w:style w:type="paragraph" w:customStyle="1" w:styleId="rteindent11">
    <w:name w:val="rteindent11"/>
    <w:basedOn w:val="a"/>
    <w:rsid w:val="0073216F"/>
    <w:pPr>
      <w:spacing w:before="100" w:beforeAutospacing="1" w:after="150" w:line="240" w:lineRule="auto"/>
      <w:ind w:left="600" w:firstLine="300"/>
      <w:jc w:val="both"/>
    </w:pPr>
    <w:rPr>
      <w:rFonts w:ascii="Times New Roman" w:eastAsia="Times New Roman" w:hAnsi="Times New Roman" w:cs="Times New Roman"/>
      <w:sz w:val="24"/>
      <w:szCs w:val="24"/>
      <w:lang w:eastAsia="ru-RU"/>
    </w:rPr>
  </w:style>
  <w:style w:type="character" w:customStyle="1" w:styleId="1pt6">
    <w:name w:val="Основной текст + Интервал 1 pt6"/>
    <w:basedOn w:val="a0"/>
    <w:uiPriority w:val="99"/>
    <w:rsid w:val="006E2BB0"/>
    <w:rPr>
      <w:rFonts w:ascii="Arial" w:hAnsi="Arial" w:cs="Arial"/>
      <w:spacing w:val="20"/>
      <w:sz w:val="18"/>
      <w:szCs w:val="18"/>
      <w:shd w:val="clear" w:color="auto" w:fill="FFFFFF"/>
    </w:rPr>
  </w:style>
  <w:style w:type="character" w:customStyle="1" w:styleId="selected1">
    <w:name w:val="selected1"/>
    <w:basedOn w:val="a0"/>
    <w:rsid w:val="00392894"/>
    <w:rPr>
      <w:color w:val="05A505"/>
    </w:rPr>
  </w:style>
  <w:style w:type="character" w:customStyle="1" w:styleId="affb">
    <w:name w:val="Текст выноски Знак"/>
    <w:basedOn w:val="a0"/>
    <w:link w:val="affc"/>
    <w:uiPriority w:val="99"/>
    <w:semiHidden/>
    <w:rsid w:val="00392894"/>
    <w:rPr>
      <w:rFonts w:ascii="Segoe UI" w:hAnsi="Segoe UI" w:cs="Segoe UI"/>
      <w:sz w:val="18"/>
      <w:szCs w:val="18"/>
    </w:rPr>
  </w:style>
  <w:style w:type="paragraph" w:styleId="affc">
    <w:name w:val="Balloon Text"/>
    <w:basedOn w:val="a"/>
    <w:link w:val="affb"/>
    <w:uiPriority w:val="99"/>
    <w:semiHidden/>
    <w:unhideWhenUsed/>
    <w:rsid w:val="00392894"/>
    <w:pPr>
      <w:spacing w:after="0" w:line="240" w:lineRule="auto"/>
    </w:pPr>
    <w:rPr>
      <w:rFonts w:ascii="Segoe UI" w:hAnsi="Segoe UI" w:cs="Segoe UI"/>
      <w:sz w:val="18"/>
      <w:szCs w:val="18"/>
    </w:rPr>
  </w:style>
  <w:style w:type="paragraph" w:styleId="affd">
    <w:name w:val="annotation text"/>
    <w:basedOn w:val="a"/>
    <w:link w:val="affe"/>
    <w:uiPriority w:val="99"/>
    <w:semiHidden/>
    <w:unhideWhenUsed/>
    <w:rsid w:val="00392894"/>
    <w:pPr>
      <w:spacing w:after="160" w:line="240" w:lineRule="auto"/>
    </w:pPr>
    <w:rPr>
      <w:sz w:val="20"/>
      <w:szCs w:val="20"/>
    </w:rPr>
  </w:style>
  <w:style w:type="character" w:customStyle="1" w:styleId="affe">
    <w:name w:val="Текст примечания Знак"/>
    <w:basedOn w:val="a0"/>
    <w:link w:val="affd"/>
    <w:uiPriority w:val="99"/>
    <w:semiHidden/>
    <w:rsid w:val="00392894"/>
    <w:rPr>
      <w:sz w:val="20"/>
      <w:szCs w:val="20"/>
    </w:rPr>
  </w:style>
  <w:style w:type="character" w:customStyle="1" w:styleId="gogofoundword1">
    <w:name w:val="gogofoundword1"/>
    <w:basedOn w:val="a0"/>
    <w:rsid w:val="00392894"/>
    <w:rPr>
      <w:shd w:val="clear" w:color="auto" w:fill="FFFF00"/>
    </w:rPr>
  </w:style>
  <w:style w:type="paragraph" w:customStyle="1" w:styleId="droplist">
    <w:name w:val="droplist"/>
    <w:basedOn w:val="a"/>
    <w:rsid w:val="00392894"/>
    <w:pPr>
      <w:shd w:val="clear" w:color="auto" w:fill="FFFFFF"/>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elementgal">
    <w:name w:val="jg_element_ga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elementgalr">
    <w:name w:val="jg_element_gal_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elementtxtsubs">
    <w:name w:val="jg_element_txt_subs"/>
    <w:basedOn w:val="a"/>
    <w:rsid w:val="00392894"/>
    <w:pPr>
      <w:spacing w:before="100" w:beforeAutospacing="1" w:after="100" w:afterAutospacing="1" w:line="240" w:lineRule="auto"/>
    </w:pPr>
    <w:rPr>
      <w:rFonts w:ascii="Times New Roman" w:eastAsia="Times New Roman" w:hAnsi="Times New Roman" w:cs="Times New Roman"/>
      <w:lang w:eastAsia="ru-RU"/>
    </w:rPr>
  </w:style>
  <w:style w:type="paragraph" w:customStyle="1" w:styleId="jgelementcat">
    <w:name w:val="jg_element_ca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subcatelemcat">
    <w:name w:val="jg_subcatelem_cat"/>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subcatelemcatr">
    <w:name w:val="jg_subcatelem_cat_r"/>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subcatelemtxt">
    <w:name w:val="jg_subcatelem_txt"/>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minipic">
    <w:name w:val="jg_minipic"/>
    <w:basedOn w:val="a"/>
    <w:rsid w:val="00392894"/>
    <w:pPr>
      <w:pBdr>
        <w:top w:val="single" w:sz="6" w:space="1" w:color="000000"/>
        <w:left w:val="single" w:sz="6" w:space="1" w:color="000000"/>
        <w:bottom w:val="single" w:sz="6" w:space="1" w:color="000000"/>
        <w:right w:val="single" w:sz="6" w:space="1" w:color="000000"/>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rm">
    <w:name w:val="jg_rm"/>
    <w:basedOn w:val="a"/>
    <w:rsid w:val="00392894"/>
    <w:pPr>
      <w:spacing w:before="100" w:beforeAutospacing="1" w:after="100" w:afterAutospacing="1" w:line="240" w:lineRule="auto"/>
      <w:textAlignment w:val="center"/>
    </w:pPr>
    <w:rPr>
      <w:rFonts w:ascii="Times New Roman" w:eastAsia="Times New Roman" w:hAnsi="Times New Roman" w:cs="Times New Roman"/>
      <w:color w:val="999999"/>
      <w:sz w:val="19"/>
      <w:szCs w:val="19"/>
      <w:lang w:eastAsia="ru-RU"/>
    </w:rPr>
  </w:style>
  <w:style w:type="paragraph" w:customStyle="1" w:styleId="jgsm">
    <w:name w:val="jg_sm"/>
    <w:basedOn w:val="a"/>
    <w:rsid w:val="00392894"/>
    <w:pPr>
      <w:spacing w:before="100" w:beforeAutospacing="1" w:after="100" w:afterAutospacing="1" w:line="240" w:lineRule="auto"/>
      <w:textAlignment w:val="center"/>
    </w:pPr>
    <w:rPr>
      <w:rFonts w:ascii="Times New Roman" w:eastAsia="Times New Roman" w:hAnsi="Times New Roman" w:cs="Times New Roman"/>
      <w:color w:val="999999"/>
      <w:sz w:val="19"/>
      <w:szCs w:val="19"/>
      <w:lang w:eastAsia="ru-RU"/>
    </w:rPr>
  </w:style>
  <w:style w:type="paragraph" w:customStyle="1" w:styleId="jgback">
    <w:name w:val="jg_back"/>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noscript">
    <w:name w:val="jg_no_script"/>
    <w:basedOn w:val="a"/>
    <w:rsid w:val="00392894"/>
    <w:pPr>
      <w:spacing w:before="100" w:beforeAutospacing="1" w:after="100" w:afterAutospacing="1" w:line="240" w:lineRule="auto"/>
    </w:pPr>
    <w:rPr>
      <w:rFonts w:ascii="Times New Roman" w:eastAsia="Times New Roman" w:hAnsi="Times New Roman" w:cs="Times New Roman"/>
      <w:color w:val="999999"/>
      <w:sz w:val="19"/>
      <w:szCs w:val="19"/>
      <w:lang w:eastAsia="ru-RU"/>
    </w:rPr>
  </w:style>
  <w:style w:type="paragraph" w:customStyle="1" w:styleId="jgnoaccess">
    <w:name w:val="jg_no_access"/>
    <w:basedOn w:val="a"/>
    <w:rsid w:val="00392894"/>
    <w:pPr>
      <w:spacing w:before="100" w:beforeAutospacing="1" w:after="100" w:afterAutospacing="1" w:line="240" w:lineRule="auto"/>
    </w:pPr>
    <w:rPr>
      <w:rFonts w:ascii="Times New Roman" w:eastAsia="Times New Roman" w:hAnsi="Times New Roman" w:cs="Times New Roman"/>
      <w:color w:val="777777"/>
      <w:sz w:val="24"/>
      <w:szCs w:val="24"/>
      <w:lang w:eastAsia="ru-RU"/>
    </w:rPr>
  </w:style>
  <w:style w:type="paragraph" w:customStyle="1" w:styleId="jgspinner">
    <w:name w:val="jg_spinn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pathway">
    <w:name w:val="jg_pathway"/>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mygal">
    <w:name w:val="jg_mygal"/>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jggalcountcats">
    <w:name w:val="jg_galcountcats"/>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catcountimg">
    <w:name w:val="jg_catcountimg"/>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catcountsubcats">
    <w:name w:val="jg_catcountsubcats"/>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txtrow">
    <w:name w:val="jg_txtrow"/>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toplist">
    <w:name w:val="jg_toplist"/>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gallerystats">
    <w:name w:val="jg_gallerystats"/>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hidden">
    <w:name w:val="jg_hidden"/>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displaynone">
    <w:name w:val="jg_displaynone"/>
    <w:basedOn w:val="a"/>
    <w:rsid w:val="00392894"/>
    <w:pPr>
      <w:spacing w:before="100" w:beforeAutospacing="1" w:after="100" w:afterAutospacing="1" w:line="240" w:lineRule="auto"/>
    </w:pPr>
    <w:rPr>
      <w:rFonts w:ascii="Times New Roman" w:eastAsia="Times New Roman" w:hAnsi="Times New Roman" w:cs="Times New Roman"/>
      <w:vanish/>
      <w:sz w:val="24"/>
      <w:szCs w:val="24"/>
      <w:lang w:eastAsia="ru-RU"/>
    </w:rPr>
  </w:style>
  <w:style w:type="paragraph" w:customStyle="1" w:styleId="jgoverflowhidden">
    <w:name w:val="jg_overflowhidden"/>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clearboth">
    <w:name w:val="jg_clearboth"/>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poweredby">
    <w:name w:val="jg_poweredby"/>
    <w:basedOn w:val="a"/>
    <w:rsid w:val="00392894"/>
    <w:pPr>
      <w:pBdr>
        <w:top w:val="single" w:sz="6" w:space="2" w:color="666666"/>
        <w:left w:val="single" w:sz="6" w:space="2" w:color="666666"/>
        <w:bottom w:val="single" w:sz="6" w:space="2" w:color="666666"/>
        <w:right w:val="single" w:sz="6" w:space="2" w:color="666666"/>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newpic">
    <w:name w:val="jg_newpic"/>
    <w:basedOn w:val="a"/>
    <w:rsid w:val="00392894"/>
    <w:pPr>
      <w:spacing w:after="0" w:line="240" w:lineRule="auto"/>
      <w:ind w:left="144"/>
      <w:textAlignment w:val="bottom"/>
    </w:pPr>
    <w:rPr>
      <w:rFonts w:ascii="Times New Roman" w:eastAsia="Times New Roman" w:hAnsi="Times New Roman" w:cs="Times New Roman"/>
      <w:sz w:val="24"/>
      <w:szCs w:val="24"/>
      <w:lang w:eastAsia="ru-RU"/>
    </w:rPr>
  </w:style>
  <w:style w:type="paragraph" w:customStyle="1" w:styleId="jgrow">
    <w:name w:val="jg_row"/>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photocontainerl">
    <w:name w:val="jg_photo_container_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subcatelemphotol">
    <w:name w:val="jg_subcatelem_photo_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photocontainerr">
    <w:name w:val="jg_photo_container_r"/>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subcatelemphotor">
    <w:name w:val="jg_subcatelem_photo_r"/>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elementimg">
    <w:name w:val="jg_element_img"/>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elementtxtsubsr">
    <w:name w:val="jg_element_txt_subs_r"/>
    <w:basedOn w:val="a"/>
    <w:rsid w:val="00392894"/>
    <w:pPr>
      <w:spacing w:before="100" w:beforeAutospacing="1" w:after="100" w:afterAutospacing="1" w:line="240" w:lineRule="auto"/>
      <w:jc w:val="right"/>
    </w:pPr>
    <w:rPr>
      <w:rFonts w:ascii="Times New Roman" w:eastAsia="Times New Roman" w:hAnsi="Times New Roman" w:cs="Times New Roman"/>
      <w:lang w:eastAsia="ru-RU"/>
    </w:rPr>
  </w:style>
  <w:style w:type="paragraph" w:customStyle="1" w:styleId="jgimgtitle">
    <w:name w:val="jg_imgtitle"/>
    <w:basedOn w:val="a"/>
    <w:rsid w:val="00392894"/>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jgcmticons">
    <w:name w:val="jg_cmticon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cmtsmilies">
    <w:name w:val="jg_cmtsmilie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cmtl">
    <w:name w:val="jg_cmtl"/>
    <w:basedOn w:val="a"/>
    <w:rsid w:val="00392894"/>
    <w:pPr>
      <w:spacing w:before="100" w:beforeAutospacing="1" w:after="100" w:afterAutospacing="1" w:line="240" w:lineRule="auto"/>
      <w:textAlignment w:val="top"/>
    </w:pPr>
    <w:rPr>
      <w:rFonts w:ascii="Times New Roman" w:eastAsia="Times New Roman" w:hAnsi="Times New Roman" w:cs="Times New Roman"/>
      <w:sz w:val="24"/>
      <w:szCs w:val="24"/>
      <w:lang w:eastAsia="ru-RU"/>
    </w:rPr>
  </w:style>
  <w:style w:type="paragraph" w:customStyle="1" w:styleId="jgs2fl">
    <w:name w:val="jg_s2fl"/>
    <w:basedOn w:val="a"/>
    <w:rsid w:val="00392894"/>
    <w:pPr>
      <w:spacing w:before="100" w:beforeAutospacing="1" w:after="100" w:afterAutospacing="1" w:line="240" w:lineRule="auto"/>
      <w:textAlignment w:val="top"/>
    </w:pPr>
    <w:rPr>
      <w:rFonts w:ascii="Times New Roman" w:eastAsia="Times New Roman" w:hAnsi="Times New Roman" w:cs="Times New Roman"/>
      <w:sz w:val="24"/>
      <w:szCs w:val="24"/>
      <w:lang w:eastAsia="ru-RU"/>
    </w:rPr>
  </w:style>
  <w:style w:type="paragraph" w:customStyle="1" w:styleId="jgcmtr">
    <w:name w:val="jg_cmt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s2fr">
    <w:name w:val="jg_s2f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detailnavi">
    <w:name w:val="jg_detailnavi"/>
    <w:basedOn w:val="a"/>
    <w:rsid w:val="00392894"/>
    <w:pPr>
      <w:spacing w:before="100" w:beforeAutospacing="1" w:after="216" w:line="240" w:lineRule="auto"/>
      <w:jc w:val="center"/>
    </w:pPr>
    <w:rPr>
      <w:rFonts w:ascii="Times New Roman" w:eastAsia="Times New Roman" w:hAnsi="Times New Roman" w:cs="Times New Roman"/>
      <w:sz w:val="24"/>
      <w:szCs w:val="24"/>
      <w:lang w:eastAsia="ru-RU"/>
    </w:rPr>
  </w:style>
  <w:style w:type="paragraph" w:customStyle="1" w:styleId="jgdetailnaviprev">
    <w:name w:val="jg_detailnaviprev"/>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detailnavinext">
    <w:name w:val="jg_detailnavinext"/>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detailnavislide">
    <w:name w:val="jg_detailnavislide"/>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iconbar">
    <w:name w:val="jg_iconbar"/>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minis">
    <w:name w:val="jg_minis"/>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nameshield">
    <w:name w:val="nameshield"/>
    <w:basedOn w:val="a"/>
    <w:rsid w:val="00392894"/>
    <w:pPr>
      <w:pBdr>
        <w:top w:val="single" w:sz="6" w:space="0" w:color="888888"/>
        <w:left w:val="single" w:sz="6" w:space="2" w:color="888888"/>
        <w:bottom w:val="single" w:sz="6" w:space="0" w:color="888888"/>
        <w:right w:val="single" w:sz="6" w:space="2" w:color="888888"/>
      </w:pBdr>
      <w:shd w:val="clear" w:color="auto" w:fill="E5E5E5"/>
      <w:spacing w:before="100" w:beforeAutospacing="1" w:after="100" w:afterAutospacing="1" w:line="240" w:lineRule="auto"/>
    </w:pPr>
    <w:rPr>
      <w:rFonts w:ascii="Times New Roman" w:eastAsia="Times New Roman" w:hAnsi="Times New Roman" w:cs="Times New Roman"/>
      <w:color w:val="4F4F4F"/>
      <w:sz w:val="15"/>
      <w:szCs w:val="15"/>
      <w:lang w:eastAsia="ru-RU"/>
    </w:rPr>
  </w:style>
  <w:style w:type="paragraph" w:customStyle="1" w:styleId="joomgallery-toggler">
    <w:name w:val="joomgallery-toggler"/>
    <w:basedOn w:val="a"/>
    <w:rsid w:val="00392894"/>
    <w:pPr>
      <w:spacing w:before="72" w:after="72" w:line="240" w:lineRule="auto"/>
      <w:ind w:left="72" w:right="72"/>
    </w:pPr>
    <w:rPr>
      <w:rFonts w:ascii="Times New Roman" w:eastAsia="Times New Roman" w:hAnsi="Times New Roman" w:cs="Times New Roman"/>
      <w:sz w:val="24"/>
      <w:szCs w:val="24"/>
      <w:lang w:eastAsia="ru-RU"/>
    </w:rPr>
  </w:style>
  <w:style w:type="paragraph" w:customStyle="1" w:styleId="joomgallery-toggler-down">
    <w:name w:val="joomgallery-toggler-down"/>
    <w:basedOn w:val="a"/>
    <w:rsid w:val="00392894"/>
    <w:pPr>
      <w:spacing w:before="72" w:after="72" w:line="240" w:lineRule="auto"/>
      <w:ind w:left="72" w:right="72"/>
    </w:pPr>
    <w:rPr>
      <w:rFonts w:ascii="Times New Roman" w:eastAsia="Times New Roman" w:hAnsi="Times New Roman" w:cs="Times New Roman"/>
      <w:sz w:val="24"/>
      <w:szCs w:val="24"/>
      <w:lang w:eastAsia="ru-RU"/>
    </w:rPr>
  </w:style>
  <w:style w:type="paragraph" w:customStyle="1" w:styleId="joomgallery-slider">
    <w:name w:val="joomgallery-slider"/>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jguploadquotas">
    <w:name w:val="jg_uploadquotas"/>
    <w:basedOn w:val="a"/>
    <w:rsid w:val="00392894"/>
    <w:pPr>
      <w:spacing w:before="100" w:beforeAutospacing="1" w:after="100" w:afterAutospacing="1" w:line="240" w:lineRule="auto"/>
      <w:jc w:val="center"/>
    </w:pPr>
    <w:rPr>
      <w:rFonts w:ascii="Times New Roman" w:eastAsia="Times New Roman" w:hAnsi="Times New Roman" w:cs="Times New Roman"/>
      <w:sz w:val="15"/>
      <w:szCs w:val="15"/>
      <w:lang w:eastAsia="ru-RU"/>
    </w:rPr>
  </w:style>
  <w:style w:type="paragraph" w:customStyle="1" w:styleId="jgfavswitchlayout">
    <w:name w:val="jg_fav_switchlayout"/>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favclearlist">
    <w:name w:val="jg_fav_clearlist"/>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upesub3">
    <w:name w:val="jg_up_esub3"/>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upesub4">
    <w:name w:val="jg_up_esub4"/>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topelement">
    <w:name w:val="jg_top_element"/>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createzip">
    <w:name w:val="jg_createzip"/>
    <w:basedOn w:val="a"/>
    <w:rsid w:val="00392894"/>
    <w:pPr>
      <w:spacing w:before="300" w:after="300" w:line="240" w:lineRule="auto"/>
      <w:jc w:val="center"/>
    </w:pPr>
    <w:rPr>
      <w:rFonts w:ascii="Times New Roman" w:eastAsia="Times New Roman" w:hAnsi="Times New Roman" w:cs="Times New Roman"/>
      <w:sz w:val="24"/>
      <w:szCs w:val="24"/>
      <w:lang w:eastAsia="ru-RU"/>
    </w:rPr>
  </w:style>
  <w:style w:type="paragraph" w:customStyle="1" w:styleId="jguphead">
    <w:name w:val="jg_up_head"/>
    <w:basedOn w:val="a"/>
    <w:rsid w:val="00392894"/>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ru-RU"/>
    </w:rPr>
  </w:style>
  <w:style w:type="paragraph" w:customStyle="1" w:styleId="jgupentry">
    <w:name w:val="jg_up_entry"/>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uprow">
    <w:name w:val="jg_uprow"/>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text">
    <w:name w:val="jg_uptext"/>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upename">
    <w:name w:val="jg_up_enam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ehits">
    <w:name w:val="jg_up_ehit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ecat">
    <w:name w:val="jg_up_eca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eact">
    <w:name w:val="jg_up_eac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esub1">
    <w:name w:val="jg_up_esub1"/>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upesub2">
    <w:name w:val="jg_up_esub2"/>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eappr">
    <w:name w:val="jg_up_eapp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epubl">
    <w:name w:val="jg_up_epub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eminithumb">
    <w:name w:val="jg_up_eminithumb"/>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filterentry">
    <w:name w:val="jg_up_filter_entry"/>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filterecol1">
    <w:name w:val="jg_up_filter_ecol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filterecol2">
    <w:name w:val="jg_up_filter_ecol2"/>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buttons">
    <w:name w:val="jg_up_buttons"/>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catdescr">
    <w:name w:val="jg_catdescr"/>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catorderlist">
    <w:name w:val="jg_catorderlist"/>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catelemtxt">
    <w:name w:val="jg_catelem_txt"/>
    <w:basedOn w:val="a"/>
    <w:rsid w:val="00392894"/>
    <w:pPr>
      <w:spacing w:before="100" w:beforeAutospacing="1" w:after="100" w:afterAutospacing="1" w:line="240" w:lineRule="auto"/>
      <w:ind w:left="72" w:right="72"/>
    </w:pPr>
    <w:rPr>
      <w:rFonts w:ascii="Times New Roman" w:eastAsia="Times New Roman" w:hAnsi="Times New Roman" w:cs="Times New Roman"/>
      <w:sz w:val="24"/>
      <w:szCs w:val="24"/>
      <w:lang w:eastAsia="ru-RU"/>
    </w:rPr>
  </w:style>
  <w:style w:type="paragraph" w:customStyle="1" w:styleId="jg-spinner">
    <w:name w:val="jg-spinn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category-results">
    <w:name w:val="jg-category-results"/>
    <w:basedOn w:val="a"/>
    <w:rsid w:val="00392894"/>
    <w:pPr>
      <w:shd w:val="clear" w:color="auto" w:fill="FFFFFF"/>
      <w:spacing w:before="100" w:beforeAutospacing="1" w:after="100" w:afterAutospacing="1" w:line="240" w:lineRule="auto"/>
    </w:pPr>
    <w:rPr>
      <w:rFonts w:ascii="Times New Roman" w:eastAsia="Times New Roman" w:hAnsi="Times New Roman" w:cs="Times New Roman"/>
      <w:vanish/>
      <w:sz w:val="24"/>
      <w:szCs w:val="24"/>
      <w:lang w:eastAsia="ru-RU"/>
    </w:rPr>
  </w:style>
  <w:style w:type="paragraph" w:customStyle="1" w:styleId="jg-category-result">
    <w:name w:val="jg-category-resul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ow0">
    <w:name w:val="row0"/>
    <w:basedOn w:val="a"/>
    <w:rsid w:val="00392894"/>
    <w:pPr>
      <w:shd w:val="clear" w:color="auto" w:fill="F7F7F7"/>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ow1">
    <w:name w:val="row1"/>
    <w:basedOn w:val="a"/>
    <w:rsid w:val="00392894"/>
    <w:pPr>
      <w:pBdr>
        <w:top w:val="single" w:sz="6" w:space="0" w:color="FFFFFF"/>
      </w:pBdr>
      <w:shd w:val="clear" w:color="auto" w:fill="F0F0F0"/>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no-results">
    <w:name w:val="jg-no-result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category-more-results">
    <w:name w:val="jg-category-more-result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clr">
    <w:name w:val="joomimg_cl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row">
    <w:name w:val="joomimg_row"/>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7img">
    <w:name w:val="joomimg127_img"/>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7txt">
    <w:name w:val="joomimg127_t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6img">
    <w:name w:val="joomimg126_img"/>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6txt">
    <w:name w:val="joomimg126_t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5img">
    <w:name w:val="joomimg125_img"/>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5txt">
    <w:name w:val="joomimg125_t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rctranslayer">
    <w:name w:val="mrc__translayer"/>
    <w:basedOn w:val="a"/>
    <w:rsid w:val="00392894"/>
    <w:pPr>
      <w:shd w:val="clear" w:color="auto" w:fill="FFFFFF"/>
      <w:spacing w:before="100" w:beforeAutospacing="1" w:after="100" w:afterAutospacing="1" w:line="240" w:lineRule="auto"/>
    </w:pPr>
    <w:rPr>
      <w:rFonts w:ascii="Times New Roman" w:eastAsia="Times New Roman" w:hAnsi="Times New Roman" w:cs="Times New Roman"/>
      <w:vanish/>
      <w:sz w:val="24"/>
      <w:szCs w:val="24"/>
      <w:lang w:eastAsia="ru-RU"/>
    </w:rPr>
  </w:style>
  <w:style w:type="paragraph" w:customStyle="1" w:styleId="mrctranslayeron">
    <w:name w:val="mrc__translayer_on"/>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ectiontableheader">
    <w:name w:val="sectiontablehead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ip">
    <w:name w:val="tip"/>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ip-title">
    <w:name w:val="tip-titl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ip-text">
    <w:name w:val="tip-te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topdetails">
    <w:name w:val="jg_top_detail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topelemtxt">
    <w:name w:val="jg_topelem_t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searchelemtxt">
    <w:name w:val="jg_searchelem_t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inputbox">
    <w:name w:val="inputbox"/>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subcatelemphoto">
    <w:name w:val="jg_subcatelem_photo"/>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photocontainerc">
    <w:name w:val="jg_photo_container_c"/>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subcatelemphotoc">
    <w:name w:val="jg_subcatelem_photo_c"/>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elementtxtr">
    <w:name w:val="jg_element_txt_r"/>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subcatelemtxtr">
    <w:name w:val="jg_subcatelem_txt_r"/>
    <w:basedOn w:val="a"/>
    <w:rsid w:val="00392894"/>
    <w:pPr>
      <w:spacing w:before="100" w:beforeAutospacing="1" w:after="100" w:afterAutospacing="1"/>
      <w:jc w:val="right"/>
    </w:pPr>
    <w:rPr>
      <w:rFonts w:ascii="Times New Roman" w:eastAsia="Times New Roman" w:hAnsi="Times New Roman" w:cs="Times New Roman"/>
      <w:sz w:val="24"/>
      <w:szCs w:val="24"/>
      <w:lang w:eastAsia="ru-RU"/>
    </w:rPr>
  </w:style>
  <w:style w:type="paragraph" w:customStyle="1" w:styleId="jgelementtxtl">
    <w:name w:val="jg_element_txt_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subcatelemtxtl">
    <w:name w:val="jg_subcatelem_txt_l"/>
    <w:basedOn w:val="a"/>
    <w:rsid w:val="00392894"/>
    <w:pPr>
      <w:spacing w:before="100" w:beforeAutospacing="1" w:after="100" w:afterAutospacing="1"/>
    </w:pPr>
    <w:rPr>
      <w:rFonts w:ascii="Times New Roman" w:eastAsia="Times New Roman" w:hAnsi="Times New Roman" w:cs="Times New Roman"/>
      <w:sz w:val="24"/>
      <w:szCs w:val="24"/>
      <w:lang w:eastAsia="ru-RU"/>
    </w:rPr>
  </w:style>
  <w:style w:type="paragraph" w:customStyle="1" w:styleId="jgelementtxtc">
    <w:name w:val="jg_element_txt_c"/>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subcatelemtxtc">
    <w:name w:val="jg_subcatelem_txt_c"/>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category-result-hover">
    <w:name w:val="jg-category-result-hover"/>
    <w:basedOn w:val="a"/>
    <w:rsid w:val="00392894"/>
    <w:pPr>
      <w:shd w:val="clear" w:color="auto" w:fill="E8F6FE"/>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7imgct">
    <w:name w:val="joomimg127_imgc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6imgct">
    <w:name w:val="joomimg126_imgc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5imgct">
    <w:name w:val="joomimg125_imgc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jgquotatitle">
    <w:name w:val="jg_quotatitle"/>
    <w:basedOn w:val="a0"/>
    <w:rsid w:val="00392894"/>
    <w:rPr>
      <w:b/>
      <w:bCs/>
    </w:rPr>
  </w:style>
  <w:style w:type="paragraph" w:customStyle="1" w:styleId="sectiontableheader1">
    <w:name w:val="sectiontableheader1"/>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inputbox1">
    <w:name w:val="inputbox1"/>
    <w:basedOn w:val="a"/>
    <w:rsid w:val="00392894"/>
    <w:pPr>
      <w:spacing w:after="0" w:line="240" w:lineRule="auto"/>
      <w:ind w:left="75"/>
    </w:pPr>
    <w:rPr>
      <w:rFonts w:ascii="Times New Roman" w:eastAsia="Times New Roman" w:hAnsi="Times New Roman" w:cs="Times New Roman"/>
      <w:sz w:val="24"/>
      <w:szCs w:val="24"/>
      <w:lang w:eastAsia="ru-RU"/>
    </w:rPr>
  </w:style>
  <w:style w:type="paragraph" w:customStyle="1" w:styleId="tip1">
    <w:name w:val="tip1"/>
    <w:basedOn w:val="a"/>
    <w:rsid w:val="00392894"/>
    <w:pPr>
      <w:shd w:val="clear" w:color="auto" w:fill="C64934"/>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ip-title1">
    <w:name w:val="tip-title1"/>
    <w:basedOn w:val="a"/>
    <w:rsid w:val="00392894"/>
    <w:pPr>
      <w:spacing w:after="0" w:line="240" w:lineRule="auto"/>
    </w:pPr>
    <w:rPr>
      <w:rFonts w:ascii="Verdana" w:eastAsia="Times New Roman" w:hAnsi="Verdana" w:cs="Times New Roman"/>
      <w:b/>
      <w:bCs/>
      <w:color w:val="FFFFFF"/>
      <w:sz w:val="15"/>
      <w:szCs w:val="15"/>
      <w:lang w:eastAsia="ru-RU"/>
    </w:rPr>
  </w:style>
  <w:style w:type="paragraph" w:customStyle="1" w:styleId="tip-text1">
    <w:name w:val="tip-text1"/>
    <w:basedOn w:val="a"/>
    <w:rsid w:val="00392894"/>
    <w:pPr>
      <w:pBdr>
        <w:top w:val="single" w:sz="6" w:space="2" w:color="D0D0CA"/>
        <w:left w:val="single" w:sz="6" w:space="2" w:color="D0D0CA"/>
        <w:bottom w:val="single" w:sz="6" w:space="2" w:color="D0D0CA"/>
        <w:right w:val="single" w:sz="6" w:space="2" w:color="D0D0CA"/>
      </w:pBdr>
      <w:shd w:val="clear" w:color="auto" w:fill="FFFFFF"/>
      <w:spacing w:before="15" w:after="15" w:line="240" w:lineRule="auto"/>
      <w:ind w:left="15" w:right="15"/>
    </w:pPr>
    <w:rPr>
      <w:rFonts w:ascii="Verdana" w:eastAsia="Times New Roman" w:hAnsi="Verdana" w:cs="Times New Roman"/>
      <w:color w:val="000000"/>
      <w:sz w:val="15"/>
      <w:szCs w:val="15"/>
      <w:lang w:eastAsia="ru-RU"/>
    </w:rPr>
  </w:style>
  <w:style w:type="paragraph" w:customStyle="1" w:styleId="jgtopdetails1">
    <w:name w:val="jg_top_details1"/>
    <w:basedOn w:val="a"/>
    <w:rsid w:val="00392894"/>
    <w:pPr>
      <w:spacing w:after="0" w:line="240" w:lineRule="auto"/>
      <w:jc w:val="center"/>
    </w:pPr>
    <w:rPr>
      <w:rFonts w:ascii="Times New Roman" w:eastAsia="Times New Roman" w:hAnsi="Times New Roman" w:cs="Times New Roman"/>
      <w:sz w:val="24"/>
      <w:szCs w:val="24"/>
      <w:lang w:eastAsia="ru-RU"/>
    </w:rPr>
  </w:style>
  <w:style w:type="paragraph" w:customStyle="1" w:styleId="jgtopelemtxt1">
    <w:name w:val="jg_topelem_txt1"/>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jgsearchelemtxt1">
    <w:name w:val="jg_searchelem_txt1"/>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jgtxtrow1">
    <w:name w:val="jg_txtrow1"/>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txtrow2">
    <w:name w:val="jg_txtrow2"/>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character" w:customStyle="1" w:styleId="z-0">
    <w:name w:val="z-Начало формы Знак"/>
    <w:basedOn w:val="a0"/>
    <w:link w:val="z-2"/>
    <w:uiPriority w:val="99"/>
    <w:semiHidden/>
    <w:rsid w:val="00392894"/>
    <w:rPr>
      <w:rFonts w:ascii="Arial" w:eastAsia="Times New Roman" w:hAnsi="Arial" w:cs="Arial"/>
      <w:vanish/>
      <w:sz w:val="16"/>
      <w:szCs w:val="16"/>
      <w:lang w:eastAsia="ru-RU"/>
    </w:rPr>
  </w:style>
  <w:style w:type="paragraph" w:styleId="z-2">
    <w:name w:val="HTML Top of Form"/>
    <w:basedOn w:val="a"/>
    <w:next w:val="a"/>
    <w:link w:val="z-0"/>
    <w:hidden/>
    <w:uiPriority w:val="99"/>
    <w:semiHidden/>
    <w:unhideWhenUsed/>
    <w:rsid w:val="00392894"/>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3">
    <w:name w:val="z-Конец формы Знак"/>
    <w:basedOn w:val="a0"/>
    <w:link w:val="z-4"/>
    <w:uiPriority w:val="99"/>
    <w:semiHidden/>
    <w:rsid w:val="00392894"/>
    <w:rPr>
      <w:rFonts w:ascii="Arial" w:eastAsia="Times New Roman" w:hAnsi="Arial" w:cs="Arial"/>
      <w:vanish/>
      <w:sz w:val="16"/>
      <w:szCs w:val="16"/>
      <w:lang w:eastAsia="ru-RU"/>
    </w:rPr>
  </w:style>
  <w:style w:type="paragraph" w:styleId="z-4">
    <w:name w:val="HTML Bottom of Form"/>
    <w:basedOn w:val="a"/>
    <w:next w:val="a"/>
    <w:link w:val="z-3"/>
    <w:hidden/>
    <w:uiPriority w:val="99"/>
    <w:semiHidden/>
    <w:unhideWhenUsed/>
    <w:rsid w:val="00392894"/>
    <w:pPr>
      <w:pBdr>
        <w:top w:val="single" w:sz="6" w:space="1" w:color="auto"/>
      </w:pBdr>
      <w:spacing w:after="0" w:line="240" w:lineRule="auto"/>
      <w:jc w:val="center"/>
    </w:pPr>
    <w:rPr>
      <w:rFonts w:ascii="Arial" w:eastAsia="Times New Roman" w:hAnsi="Arial" w:cs="Arial"/>
      <w:vanish/>
      <w:sz w:val="16"/>
      <w:szCs w:val="16"/>
      <w:lang w:eastAsia="ru-RU"/>
    </w:rPr>
  </w:style>
  <w:style w:type="paragraph" w:customStyle="1" w:styleId="citp">
    <w:name w:val="citp"/>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itaut">
    <w:name w:val="citau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it">
    <w:name w:val="ci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it1">
    <w:name w:val="cit1"/>
    <w:basedOn w:val="a0"/>
    <w:rsid w:val="00392894"/>
  </w:style>
  <w:style w:type="paragraph" w:customStyle="1" w:styleId="sectiontableheader2">
    <w:name w:val="sectiontableheader2"/>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inputbox2">
    <w:name w:val="inputbox2"/>
    <w:basedOn w:val="a"/>
    <w:rsid w:val="00392894"/>
    <w:pPr>
      <w:spacing w:after="0" w:line="240" w:lineRule="auto"/>
      <w:ind w:left="75"/>
    </w:pPr>
    <w:rPr>
      <w:rFonts w:ascii="Times New Roman" w:eastAsia="Times New Roman" w:hAnsi="Times New Roman" w:cs="Times New Roman"/>
      <w:sz w:val="24"/>
      <w:szCs w:val="24"/>
      <w:lang w:eastAsia="ru-RU"/>
    </w:rPr>
  </w:style>
  <w:style w:type="paragraph" w:customStyle="1" w:styleId="tip2">
    <w:name w:val="tip2"/>
    <w:basedOn w:val="a"/>
    <w:rsid w:val="00392894"/>
    <w:pPr>
      <w:shd w:val="clear" w:color="auto" w:fill="C64934"/>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ip-title2">
    <w:name w:val="tip-title2"/>
    <w:basedOn w:val="a"/>
    <w:rsid w:val="00392894"/>
    <w:pPr>
      <w:spacing w:after="0" w:line="240" w:lineRule="auto"/>
    </w:pPr>
    <w:rPr>
      <w:rFonts w:ascii="Verdana" w:eastAsia="Times New Roman" w:hAnsi="Verdana" w:cs="Times New Roman"/>
      <w:b/>
      <w:bCs/>
      <w:color w:val="FFFFFF"/>
      <w:sz w:val="15"/>
      <w:szCs w:val="15"/>
      <w:lang w:eastAsia="ru-RU"/>
    </w:rPr>
  </w:style>
  <w:style w:type="paragraph" w:customStyle="1" w:styleId="tip-text2">
    <w:name w:val="tip-text2"/>
    <w:basedOn w:val="a"/>
    <w:rsid w:val="00392894"/>
    <w:pPr>
      <w:pBdr>
        <w:top w:val="single" w:sz="6" w:space="2" w:color="D0D0CA"/>
        <w:left w:val="single" w:sz="6" w:space="2" w:color="D0D0CA"/>
        <w:bottom w:val="single" w:sz="6" w:space="2" w:color="D0D0CA"/>
        <w:right w:val="single" w:sz="6" w:space="2" w:color="D0D0CA"/>
      </w:pBdr>
      <w:shd w:val="clear" w:color="auto" w:fill="FFFFFF"/>
      <w:spacing w:before="15" w:after="15" w:line="240" w:lineRule="auto"/>
      <w:ind w:left="15" w:right="15"/>
    </w:pPr>
    <w:rPr>
      <w:rFonts w:ascii="Verdana" w:eastAsia="Times New Roman" w:hAnsi="Verdana" w:cs="Times New Roman"/>
      <w:color w:val="000000"/>
      <w:sz w:val="15"/>
      <w:szCs w:val="15"/>
      <w:lang w:eastAsia="ru-RU"/>
    </w:rPr>
  </w:style>
  <w:style w:type="paragraph" w:customStyle="1" w:styleId="jgtopdetails2">
    <w:name w:val="jg_top_details2"/>
    <w:basedOn w:val="a"/>
    <w:rsid w:val="00392894"/>
    <w:pPr>
      <w:spacing w:after="0" w:line="240" w:lineRule="auto"/>
      <w:jc w:val="center"/>
    </w:pPr>
    <w:rPr>
      <w:rFonts w:ascii="Times New Roman" w:eastAsia="Times New Roman" w:hAnsi="Times New Roman" w:cs="Times New Roman"/>
      <w:sz w:val="24"/>
      <w:szCs w:val="24"/>
      <w:lang w:eastAsia="ru-RU"/>
    </w:rPr>
  </w:style>
  <w:style w:type="paragraph" w:customStyle="1" w:styleId="jgtopelemtxt2">
    <w:name w:val="jg_topelem_txt2"/>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jgsearchelemtxt2">
    <w:name w:val="jg_searchelem_txt2"/>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jgtxtrow3">
    <w:name w:val="jg_txtrow3"/>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txtrow4">
    <w:name w:val="jg_txtrow4"/>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character" w:customStyle="1" w:styleId="p">
    <w:name w:val="p"/>
    <w:basedOn w:val="a0"/>
    <w:rsid w:val="00392894"/>
  </w:style>
  <w:style w:type="paragraph" w:customStyle="1" w:styleId="book">
    <w:name w:val="book"/>
    <w:basedOn w:val="a"/>
    <w:rsid w:val="00392894"/>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character" w:customStyle="1" w:styleId="fieldset-legend">
    <w:name w:val="fieldset-legend"/>
    <w:basedOn w:val="a0"/>
    <w:rsid w:val="00392894"/>
  </w:style>
  <w:style w:type="character" w:customStyle="1" w:styleId="fieldset-legend-prefix">
    <w:name w:val="fieldset-legend-prefix"/>
    <w:basedOn w:val="a0"/>
    <w:rsid w:val="00392894"/>
  </w:style>
  <w:style w:type="character" w:customStyle="1" w:styleId="HTML">
    <w:name w:val="Стандартный HTML Знак"/>
    <w:basedOn w:val="a0"/>
    <w:link w:val="HTML0"/>
    <w:uiPriority w:val="99"/>
    <w:semiHidden/>
    <w:rsid w:val="00392894"/>
    <w:rPr>
      <w:rFonts w:ascii="Courier New" w:eastAsia="Times New Roman" w:hAnsi="Courier New" w:cs="Courier New"/>
      <w:sz w:val="24"/>
      <w:szCs w:val="24"/>
      <w:lang w:eastAsia="ru-RU"/>
    </w:rPr>
  </w:style>
  <w:style w:type="paragraph" w:styleId="HTML0">
    <w:name w:val="HTML Preformatted"/>
    <w:basedOn w:val="a"/>
    <w:link w:val="HTML"/>
    <w:uiPriority w:val="99"/>
    <w:semiHidden/>
    <w:unhideWhenUsed/>
    <w:rsid w:val="003928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4"/>
      <w:szCs w:val="24"/>
      <w:lang w:eastAsia="ru-RU"/>
    </w:rPr>
  </w:style>
  <w:style w:type="paragraph" w:customStyle="1" w:styleId="msonormal0">
    <w:name w:val="msonorma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error">
    <w:name w:val="error"/>
    <w:basedOn w:val="a"/>
    <w:rsid w:val="00392894"/>
    <w:pPr>
      <w:spacing w:before="100" w:beforeAutospacing="1" w:after="100" w:afterAutospacing="1" w:line="240" w:lineRule="auto"/>
    </w:pPr>
    <w:rPr>
      <w:rFonts w:ascii="Times New Roman" w:eastAsia="Times New Roman" w:hAnsi="Times New Roman" w:cs="Times New Roman"/>
      <w:color w:val="8C2E0B"/>
      <w:sz w:val="24"/>
      <w:szCs w:val="24"/>
      <w:lang w:eastAsia="ru-RU"/>
    </w:rPr>
  </w:style>
  <w:style w:type="paragraph" w:customStyle="1" w:styleId="informer">
    <w:name w:val="inform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abledrag-toggle-weight-wrapper">
    <w:name w:val="tabledrag-toggle-weight-wrapper"/>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ajax-progress-bar">
    <w:name w:val="ajax-progress-ba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wrap">
    <w:name w:val="nowrap"/>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element-hidden">
    <w:name w:val="element-hidden"/>
    <w:basedOn w:val="a"/>
    <w:rsid w:val="00392894"/>
    <w:pPr>
      <w:spacing w:before="100" w:beforeAutospacing="1" w:after="100" w:afterAutospacing="1" w:line="240" w:lineRule="auto"/>
    </w:pPr>
    <w:rPr>
      <w:rFonts w:ascii="Times New Roman" w:eastAsia="Times New Roman" w:hAnsi="Times New Roman" w:cs="Times New Roman"/>
      <w:vanish/>
      <w:sz w:val="24"/>
      <w:szCs w:val="24"/>
      <w:lang w:eastAsia="ru-RU"/>
    </w:rPr>
  </w:style>
  <w:style w:type="paragraph" w:customStyle="1" w:styleId="element-invisible">
    <w:name w:val="element-invisibl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readcrumb">
    <w:name w:val="breadcrumb"/>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ok">
    <w:name w:val="ok"/>
    <w:basedOn w:val="a"/>
    <w:rsid w:val="00392894"/>
    <w:pPr>
      <w:spacing w:before="100" w:beforeAutospacing="1" w:after="100" w:afterAutospacing="1" w:line="240" w:lineRule="auto"/>
    </w:pPr>
    <w:rPr>
      <w:rFonts w:ascii="Times New Roman" w:eastAsia="Times New Roman" w:hAnsi="Times New Roman" w:cs="Times New Roman"/>
      <w:color w:val="234600"/>
      <w:sz w:val="24"/>
      <w:szCs w:val="24"/>
      <w:lang w:eastAsia="ru-RU"/>
    </w:rPr>
  </w:style>
  <w:style w:type="paragraph" w:customStyle="1" w:styleId="warning">
    <w:name w:val="warning"/>
    <w:basedOn w:val="a"/>
    <w:rsid w:val="00392894"/>
    <w:pPr>
      <w:spacing w:before="100" w:beforeAutospacing="1" w:after="100" w:afterAutospacing="1" w:line="240" w:lineRule="auto"/>
    </w:pPr>
    <w:rPr>
      <w:rFonts w:ascii="Times New Roman" w:eastAsia="Times New Roman" w:hAnsi="Times New Roman" w:cs="Times New Roman"/>
      <w:color w:val="884400"/>
      <w:sz w:val="24"/>
      <w:szCs w:val="24"/>
      <w:lang w:eastAsia="ru-RU"/>
    </w:rPr>
  </w:style>
  <w:style w:type="paragraph" w:customStyle="1" w:styleId="form-item">
    <w:name w:val="form-item"/>
    <w:basedOn w:val="a"/>
    <w:rsid w:val="00392894"/>
    <w:pPr>
      <w:spacing w:before="240" w:after="240" w:line="240" w:lineRule="auto"/>
    </w:pPr>
    <w:rPr>
      <w:rFonts w:ascii="Times New Roman" w:eastAsia="Times New Roman" w:hAnsi="Times New Roman" w:cs="Times New Roman"/>
      <w:sz w:val="24"/>
      <w:szCs w:val="24"/>
      <w:lang w:eastAsia="ru-RU"/>
    </w:rPr>
  </w:style>
  <w:style w:type="paragraph" w:customStyle="1" w:styleId="form-actions">
    <w:name w:val="form-actions"/>
    <w:basedOn w:val="a"/>
    <w:rsid w:val="00392894"/>
    <w:pPr>
      <w:spacing w:before="240" w:after="240" w:line="240" w:lineRule="auto"/>
    </w:pPr>
    <w:rPr>
      <w:rFonts w:ascii="Times New Roman" w:eastAsia="Times New Roman" w:hAnsi="Times New Roman" w:cs="Times New Roman"/>
      <w:sz w:val="24"/>
      <w:szCs w:val="24"/>
      <w:lang w:eastAsia="ru-RU"/>
    </w:rPr>
  </w:style>
  <w:style w:type="paragraph" w:customStyle="1" w:styleId="marker">
    <w:name w:val="marker"/>
    <w:basedOn w:val="a"/>
    <w:rsid w:val="00392894"/>
    <w:pPr>
      <w:spacing w:before="100" w:beforeAutospacing="1" w:after="100" w:afterAutospacing="1" w:line="240" w:lineRule="auto"/>
    </w:pPr>
    <w:rPr>
      <w:rFonts w:ascii="Times New Roman" w:eastAsia="Times New Roman" w:hAnsi="Times New Roman" w:cs="Times New Roman"/>
      <w:color w:val="FF0000"/>
      <w:sz w:val="24"/>
      <w:szCs w:val="24"/>
      <w:lang w:eastAsia="ru-RU"/>
    </w:rPr>
  </w:style>
  <w:style w:type="paragraph" w:customStyle="1" w:styleId="form-required">
    <w:name w:val="form-required"/>
    <w:basedOn w:val="a"/>
    <w:rsid w:val="00392894"/>
    <w:pPr>
      <w:spacing w:before="100" w:beforeAutospacing="1" w:after="100" w:afterAutospacing="1" w:line="240" w:lineRule="auto"/>
    </w:pPr>
    <w:rPr>
      <w:rFonts w:ascii="Times New Roman" w:eastAsia="Times New Roman" w:hAnsi="Times New Roman" w:cs="Times New Roman"/>
      <w:color w:val="FF0000"/>
      <w:sz w:val="24"/>
      <w:szCs w:val="24"/>
      <w:lang w:eastAsia="ru-RU"/>
    </w:rPr>
  </w:style>
  <w:style w:type="paragraph" w:customStyle="1" w:styleId="more-link">
    <w:name w:val="more-link"/>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more-help-link">
    <w:name w:val="more-help-link"/>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ager-current">
    <w:name w:val="pager-current"/>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tabledrag-toggle-weight">
    <w:name w:val="tabledrag-toggle-weight"/>
    <w:basedOn w:val="a"/>
    <w:rsid w:val="00392894"/>
    <w:pPr>
      <w:spacing w:before="100" w:beforeAutospacing="1" w:after="100" w:afterAutospacing="1" w:line="240" w:lineRule="auto"/>
    </w:pPr>
    <w:rPr>
      <w:rFonts w:ascii="Times New Roman" w:eastAsia="Times New Roman" w:hAnsi="Times New Roman" w:cs="Times New Roman"/>
      <w:lang w:eastAsia="ru-RU"/>
    </w:rPr>
  </w:style>
  <w:style w:type="paragraph" w:customStyle="1" w:styleId="progress">
    <w:name w:val="progress"/>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ui-helper-hidden">
    <w:name w:val="ui-helper-hidden"/>
    <w:basedOn w:val="a"/>
    <w:rsid w:val="00392894"/>
    <w:pPr>
      <w:spacing w:before="100" w:beforeAutospacing="1" w:after="100" w:afterAutospacing="1" w:line="240" w:lineRule="auto"/>
    </w:pPr>
    <w:rPr>
      <w:rFonts w:ascii="Times New Roman" w:eastAsia="Times New Roman" w:hAnsi="Times New Roman" w:cs="Times New Roman"/>
      <w:vanish/>
      <w:sz w:val="24"/>
      <w:szCs w:val="24"/>
      <w:lang w:eastAsia="ru-RU"/>
    </w:rPr>
  </w:style>
  <w:style w:type="paragraph" w:customStyle="1" w:styleId="ui-helper-reset">
    <w:name w:val="ui-helper-reset"/>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ui-helper-clearfix">
    <w:name w:val="ui-helper-clearfix"/>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helper-zfix">
    <w:name w:val="ui-helper-zfix"/>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icon">
    <w:name w:val="ui-icon"/>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widget-overlay">
    <w:name w:val="ui-widget-overlay"/>
    <w:basedOn w:val="a"/>
    <w:rsid w:val="00392894"/>
    <w:pPr>
      <w:shd w:val="clear" w:color="auto" w:fill="AAAAAA"/>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widget">
    <w:name w:val="ui-widget"/>
    <w:basedOn w:val="a"/>
    <w:rsid w:val="00392894"/>
    <w:pPr>
      <w:spacing w:before="100" w:beforeAutospacing="1" w:after="100" w:afterAutospacing="1" w:line="240" w:lineRule="auto"/>
    </w:pPr>
    <w:rPr>
      <w:rFonts w:ascii="Verdana" w:eastAsia="Times New Roman" w:hAnsi="Verdana" w:cs="Times New Roman"/>
      <w:sz w:val="26"/>
      <w:szCs w:val="26"/>
      <w:lang w:eastAsia="ru-RU"/>
    </w:rPr>
  </w:style>
  <w:style w:type="paragraph" w:customStyle="1" w:styleId="ui-widget-content">
    <w:name w:val="ui-widget-content"/>
    <w:basedOn w:val="a"/>
    <w:rsid w:val="00392894"/>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line="240" w:lineRule="auto"/>
    </w:pPr>
    <w:rPr>
      <w:rFonts w:ascii="Times New Roman" w:eastAsia="Times New Roman" w:hAnsi="Times New Roman" w:cs="Times New Roman"/>
      <w:color w:val="222222"/>
      <w:sz w:val="24"/>
      <w:szCs w:val="24"/>
      <w:lang w:eastAsia="ru-RU"/>
    </w:rPr>
  </w:style>
  <w:style w:type="paragraph" w:customStyle="1" w:styleId="ui-widget-header">
    <w:name w:val="ui-widget-header"/>
    <w:basedOn w:val="a"/>
    <w:rsid w:val="00392894"/>
    <w:pPr>
      <w:pBdr>
        <w:top w:val="single" w:sz="6" w:space="0" w:color="AAAAAA"/>
        <w:left w:val="single" w:sz="6" w:space="0" w:color="AAAAAA"/>
        <w:bottom w:val="single" w:sz="6" w:space="0" w:color="AAAAAA"/>
        <w:right w:val="single" w:sz="6" w:space="0" w:color="AAAAAA"/>
      </w:pBdr>
      <w:shd w:val="clear" w:color="auto" w:fill="CCCCCC"/>
      <w:spacing w:before="100" w:beforeAutospacing="1" w:after="100" w:afterAutospacing="1" w:line="240" w:lineRule="auto"/>
    </w:pPr>
    <w:rPr>
      <w:rFonts w:ascii="Times New Roman" w:eastAsia="Times New Roman" w:hAnsi="Times New Roman" w:cs="Times New Roman"/>
      <w:b/>
      <w:bCs/>
      <w:color w:val="222222"/>
      <w:sz w:val="24"/>
      <w:szCs w:val="24"/>
      <w:lang w:eastAsia="ru-RU"/>
    </w:rPr>
  </w:style>
  <w:style w:type="paragraph" w:customStyle="1" w:styleId="ui-state-default">
    <w:name w:val="ui-state-default"/>
    <w:basedOn w:val="a"/>
    <w:rsid w:val="00392894"/>
    <w:pPr>
      <w:pBdr>
        <w:top w:val="single" w:sz="6" w:space="0" w:color="D3D3D3"/>
        <w:left w:val="single" w:sz="6" w:space="0" w:color="D3D3D3"/>
        <w:bottom w:val="single" w:sz="6" w:space="0" w:color="D3D3D3"/>
        <w:right w:val="single" w:sz="6" w:space="0" w:color="D3D3D3"/>
      </w:pBdr>
      <w:shd w:val="clear" w:color="auto" w:fill="E6E6E6"/>
      <w:spacing w:before="100" w:beforeAutospacing="1" w:after="100" w:afterAutospacing="1" w:line="240" w:lineRule="auto"/>
    </w:pPr>
    <w:rPr>
      <w:rFonts w:ascii="Times New Roman" w:eastAsia="Times New Roman" w:hAnsi="Times New Roman" w:cs="Times New Roman"/>
      <w:color w:val="555555"/>
      <w:sz w:val="24"/>
      <w:szCs w:val="24"/>
      <w:lang w:eastAsia="ru-RU"/>
    </w:rPr>
  </w:style>
  <w:style w:type="paragraph" w:customStyle="1" w:styleId="ui-state-hover">
    <w:name w:val="ui-state-hover"/>
    <w:basedOn w:val="a"/>
    <w:rsid w:val="00392894"/>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focus">
    <w:name w:val="ui-state-focus"/>
    <w:basedOn w:val="a"/>
    <w:rsid w:val="00392894"/>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active">
    <w:name w:val="ui-state-active"/>
    <w:basedOn w:val="a"/>
    <w:rsid w:val="00392894"/>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highlight">
    <w:name w:val="ui-state-highlight"/>
    <w:basedOn w:val="a"/>
    <w:rsid w:val="00392894"/>
    <w:pPr>
      <w:pBdr>
        <w:top w:val="single" w:sz="6" w:space="0" w:color="FCEFA1"/>
        <w:left w:val="single" w:sz="6" w:space="0" w:color="FCEFA1"/>
        <w:bottom w:val="single" w:sz="6" w:space="0" w:color="FCEFA1"/>
        <w:right w:val="single" w:sz="6" w:space="0" w:color="FCEFA1"/>
      </w:pBdr>
      <w:shd w:val="clear" w:color="auto" w:fill="FBF9EE"/>
      <w:spacing w:before="100" w:beforeAutospacing="1" w:after="100" w:afterAutospacing="1" w:line="240" w:lineRule="auto"/>
    </w:pPr>
    <w:rPr>
      <w:rFonts w:ascii="Times New Roman" w:eastAsia="Times New Roman" w:hAnsi="Times New Roman" w:cs="Times New Roman"/>
      <w:color w:val="363636"/>
      <w:sz w:val="24"/>
      <w:szCs w:val="24"/>
      <w:lang w:eastAsia="ru-RU"/>
    </w:rPr>
  </w:style>
  <w:style w:type="paragraph" w:customStyle="1" w:styleId="ui-state-error">
    <w:name w:val="ui-state-error"/>
    <w:basedOn w:val="a"/>
    <w:rsid w:val="00392894"/>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line="240" w:lineRule="auto"/>
    </w:pPr>
    <w:rPr>
      <w:rFonts w:ascii="Times New Roman" w:eastAsia="Times New Roman" w:hAnsi="Times New Roman" w:cs="Times New Roman"/>
      <w:color w:val="CD0A0A"/>
      <w:sz w:val="24"/>
      <w:szCs w:val="24"/>
      <w:lang w:eastAsia="ru-RU"/>
    </w:rPr>
  </w:style>
  <w:style w:type="paragraph" w:customStyle="1" w:styleId="ui-state-error-text">
    <w:name w:val="ui-state-error-text"/>
    <w:basedOn w:val="a"/>
    <w:rsid w:val="00392894"/>
    <w:pPr>
      <w:spacing w:before="100" w:beforeAutospacing="1" w:after="100" w:afterAutospacing="1" w:line="240" w:lineRule="auto"/>
    </w:pPr>
    <w:rPr>
      <w:rFonts w:ascii="Times New Roman" w:eastAsia="Times New Roman" w:hAnsi="Times New Roman" w:cs="Times New Roman"/>
      <w:color w:val="CD0A0A"/>
      <w:sz w:val="24"/>
      <w:szCs w:val="24"/>
      <w:lang w:eastAsia="ru-RU"/>
    </w:rPr>
  </w:style>
  <w:style w:type="paragraph" w:customStyle="1" w:styleId="ui-priority-primary">
    <w:name w:val="ui-priority-primary"/>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ui-priority-secondary">
    <w:name w:val="ui-priority-secondary"/>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state-disabled">
    <w:name w:val="ui-state-disabled"/>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widget-shadow">
    <w:name w:val="ui-widget-shadow"/>
    <w:basedOn w:val="a"/>
    <w:rsid w:val="00392894"/>
    <w:pPr>
      <w:shd w:val="clear" w:color="auto" w:fill="AAAAAA"/>
      <w:spacing w:after="0" w:line="240" w:lineRule="auto"/>
      <w:ind w:left="-120"/>
    </w:pPr>
    <w:rPr>
      <w:rFonts w:ascii="Times New Roman" w:eastAsia="Times New Roman" w:hAnsi="Times New Roman" w:cs="Times New Roman"/>
      <w:sz w:val="24"/>
      <w:szCs w:val="24"/>
      <w:lang w:eastAsia="ru-RU"/>
    </w:rPr>
  </w:style>
  <w:style w:type="paragraph" w:customStyle="1" w:styleId="footnotes">
    <w:name w:val="footnotes"/>
    <w:basedOn w:val="a"/>
    <w:rsid w:val="00392894"/>
    <w:pPr>
      <w:pBdr>
        <w:top w:val="single" w:sz="6" w:space="0" w:color="000000"/>
      </w:pBdr>
      <w:spacing w:before="960" w:after="480" w:line="240" w:lineRule="auto"/>
    </w:pPr>
    <w:rPr>
      <w:rFonts w:ascii="Times New Roman" w:eastAsia="Times New Roman" w:hAnsi="Times New Roman" w:cs="Times New Roman"/>
      <w:lang w:eastAsia="ru-RU"/>
    </w:rPr>
  </w:style>
  <w:style w:type="paragraph" w:customStyle="1" w:styleId="see-footnote">
    <w:name w:val="see-footnote"/>
    <w:basedOn w:val="a"/>
    <w:rsid w:val="00392894"/>
    <w:pPr>
      <w:spacing w:before="100" w:beforeAutospacing="1" w:after="100" w:afterAutospacing="1" w:line="240" w:lineRule="auto"/>
      <w:textAlignment w:val="top"/>
    </w:pPr>
    <w:rPr>
      <w:rFonts w:ascii="Times New Roman" w:eastAsia="Times New Roman" w:hAnsi="Times New Roman" w:cs="Times New Roman"/>
      <w:lang w:eastAsia="ru-RU"/>
    </w:rPr>
  </w:style>
  <w:style w:type="paragraph" w:customStyle="1" w:styleId="footnote">
    <w:name w:val="footnote"/>
    <w:basedOn w:val="a"/>
    <w:rsid w:val="00392894"/>
    <w:pPr>
      <w:spacing w:before="100" w:beforeAutospacing="1" w:after="100" w:afterAutospacing="1" w:line="240" w:lineRule="auto"/>
    </w:pPr>
    <w:rPr>
      <w:rFonts w:ascii="Times New Roman" w:eastAsia="Times New Roman" w:hAnsi="Times New Roman" w:cs="Times New Roman"/>
      <w:lang w:eastAsia="ru-RU"/>
    </w:rPr>
  </w:style>
  <w:style w:type="paragraph" w:customStyle="1" w:styleId="indented">
    <w:name w:val="indented"/>
    <w:basedOn w:val="a"/>
    <w:rsid w:val="00392894"/>
    <w:pPr>
      <w:spacing w:before="100" w:beforeAutospacing="1" w:after="100" w:afterAutospacing="1" w:line="240" w:lineRule="auto"/>
      <w:ind w:left="375"/>
    </w:pPr>
    <w:rPr>
      <w:rFonts w:ascii="Times New Roman" w:eastAsia="Times New Roman" w:hAnsi="Times New Roman" w:cs="Times New Roman"/>
      <w:sz w:val="24"/>
      <w:szCs w:val="24"/>
      <w:lang w:eastAsia="ru-RU"/>
    </w:rPr>
  </w:style>
  <w:style w:type="paragraph" w:customStyle="1" w:styleId="comment-unpublished">
    <w:name w:val="comment-unpublished"/>
    <w:basedOn w:val="a"/>
    <w:rsid w:val="00392894"/>
    <w:pPr>
      <w:shd w:val="clear" w:color="auto" w:fill="FFF4F4"/>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mment-preview">
    <w:name w:val="comment-preview"/>
    <w:basedOn w:val="a"/>
    <w:rsid w:val="00392894"/>
    <w:pPr>
      <w:shd w:val="clear" w:color="auto" w:fill="FFFFEA"/>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de-unpublished">
    <w:name w:val="node-unpublished"/>
    <w:basedOn w:val="a"/>
    <w:rsid w:val="00392894"/>
    <w:pPr>
      <w:shd w:val="clear" w:color="auto" w:fill="FFF4F4"/>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earch-form">
    <w:name w:val="search-form"/>
    <w:basedOn w:val="a"/>
    <w:rsid w:val="00392894"/>
    <w:pPr>
      <w:spacing w:before="100" w:beforeAutospacing="1" w:after="240" w:line="240" w:lineRule="auto"/>
    </w:pPr>
    <w:rPr>
      <w:rFonts w:ascii="Times New Roman" w:eastAsia="Times New Roman" w:hAnsi="Times New Roman" w:cs="Times New Roman"/>
      <w:sz w:val="24"/>
      <w:szCs w:val="24"/>
      <w:lang w:eastAsia="ru-RU"/>
    </w:rPr>
  </w:style>
  <w:style w:type="paragraph" w:customStyle="1" w:styleId="password-strength">
    <w:name w:val="password-strength"/>
    <w:basedOn w:val="a"/>
    <w:rsid w:val="00392894"/>
    <w:pPr>
      <w:spacing w:before="336" w:after="100" w:afterAutospacing="1" w:line="240" w:lineRule="auto"/>
    </w:pPr>
    <w:rPr>
      <w:rFonts w:ascii="Times New Roman" w:eastAsia="Times New Roman" w:hAnsi="Times New Roman" w:cs="Times New Roman"/>
      <w:sz w:val="24"/>
      <w:szCs w:val="24"/>
      <w:lang w:eastAsia="ru-RU"/>
    </w:rPr>
  </w:style>
  <w:style w:type="paragraph" w:customStyle="1" w:styleId="password-strength-title">
    <w:name w:val="password-strength-titl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ssword-strength-text">
    <w:name w:val="password-strength-text"/>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password-indicator">
    <w:name w:val="password-indicator"/>
    <w:basedOn w:val="a"/>
    <w:rsid w:val="00392894"/>
    <w:pPr>
      <w:shd w:val="clear" w:color="auto" w:fill="C4C4C4"/>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firm-parent">
    <w:name w:val="confirm-parent"/>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password-parent">
    <w:name w:val="password-parent"/>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profile">
    <w:name w:val="profile"/>
    <w:basedOn w:val="a"/>
    <w:rsid w:val="00392894"/>
    <w:pPr>
      <w:spacing w:before="240" w:after="240" w:line="240" w:lineRule="auto"/>
    </w:pPr>
    <w:rPr>
      <w:rFonts w:ascii="Times New Roman" w:eastAsia="Times New Roman" w:hAnsi="Times New Roman" w:cs="Times New Roman"/>
      <w:sz w:val="24"/>
      <w:szCs w:val="24"/>
      <w:lang w:eastAsia="ru-RU"/>
    </w:rPr>
  </w:style>
  <w:style w:type="paragraph" w:customStyle="1" w:styleId="views-exposed-widgets">
    <w:name w:val="views-exposed-widgets"/>
    <w:basedOn w:val="a"/>
    <w:rsid w:val="00392894"/>
    <w:pPr>
      <w:spacing w:before="100" w:beforeAutospacing="1" w:after="120" w:line="240" w:lineRule="auto"/>
    </w:pPr>
    <w:rPr>
      <w:rFonts w:ascii="Times New Roman" w:eastAsia="Times New Roman" w:hAnsi="Times New Roman" w:cs="Times New Roman"/>
      <w:sz w:val="24"/>
      <w:szCs w:val="24"/>
      <w:lang w:eastAsia="ru-RU"/>
    </w:rPr>
  </w:style>
  <w:style w:type="paragraph" w:customStyle="1" w:styleId="views-align-left">
    <w:name w:val="views-align-lef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views-align-right">
    <w:name w:val="views-align-right"/>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views-align-center">
    <w:name w:val="views-align-center"/>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rteindent3">
    <w:name w:val="rteindent3"/>
    <w:basedOn w:val="a"/>
    <w:rsid w:val="00392894"/>
    <w:pPr>
      <w:spacing w:before="100" w:beforeAutospacing="1" w:after="100" w:afterAutospacing="1" w:line="240" w:lineRule="auto"/>
      <w:ind w:left="1800"/>
    </w:pPr>
    <w:rPr>
      <w:rFonts w:ascii="Times New Roman" w:eastAsia="Times New Roman" w:hAnsi="Times New Roman" w:cs="Times New Roman"/>
      <w:sz w:val="24"/>
      <w:szCs w:val="24"/>
      <w:lang w:eastAsia="ru-RU"/>
    </w:rPr>
  </w:style>
  <w:style w:type="paragraph" w:customStyle="1" w:styleId="rteindent4">
    <w:name w:val="rteindent4"/>
    <w:basedOn w:val="a"/>
    <w:rsid w:val="00392894"/>
    <w:pPr>
      <w:spacing w:before="100" w:beforeAutospacing="1" w:after="100" w:afterAutospacing="1" w:line="240" w:lineRule="auto"/>
      <w:ind w:left="2400"/>
    </w:pPr>
    <w:rPr>
      <w:rFonts w:ascii="Times New Roman" w:eastAsia="Times New Roman" w:hAnsi="Times New Roman" w:cs="Times New Roman"/>
      <w:sz w:val="24"/>
      <w:szCs w:val="24"/>
      <w:lang w:eastAsia="ru-RU"/>
    </w:rPr>
  </w:style>
  <w:style w:type="paragraph" w:customStyle="1" w:styleId="rteleft">
    <w:name w:val="rtelef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boxphoto">
    <w:name w:val="cboxphoto"/>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boxiframe">
    <w:name w:val="cboxifram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tools-locked">
    <w:name w:val="ctools-locked"/>
    <w:basedOn w:val="a"/>
    <w:rsid w:val="00392894"/>
    <w:pPr>
      <w:pBdr>
        <w:top w:val="single" w:sz="6" w:space="12" w:color="FF0000"/>
        <w:left w:val="single" w:sz="6" w:space="12" w:color="FF0000"/>
        <w:bottom w:val="single" w:sz="6" w:space="12" w:color="FF0000"/>
        <w:right w:val="single" w:sz="6" w:space="12" w:color="FF0000"/>
      </w:pBdr>
      <w:spacing w:before="100" w:beforeAutospacing="1" w:after="100" w:afterAutospacing="1" w:line="240" w:lineRule="auto"/>
    </w:pPr>
    <w:rPr>
      <w:rFonts w:ascii="Times New Roman" w:eastAsia="Times New Roman" w:hAnsi="Times New Roman" w:cs="Times New Roman"/>
      <w:color w:val="FF0000"/>
      <w:sz w:val="24"/>
      <w:szCs w:val="24"/>
      <w:lang w:eastAsia="ru-RU"/>
    </w:rPr>
  </w:style>
  <w:style w:type="paragraph" w:customStyle="1" w:styleId="ctools-owns-lock">
    <w:name w:val="ctools-owns-lock"/>
    <w:basedOn w:val="a"/>
    <w:rsid w:val="00392894"/>
    <w:pPr>
      <w:pBdr>
        <w:top w:val="single" w:sz="6" w:space="12" w:color="F0C020"/>
        <w:left w:val="single" w:sz="6" w:space="12" w:color="F0C020"/>
        <w:bottom w:val="single" w:sz="6" w:space="12" w:color="F0C020"/>
        <w:right w:val="single" w:sz="6" w:space="12" w:color="F0C020"/>
      </w:pBdr>
      <w:shd w:val="clear" w:color="auto" w:fill="FFFFDD"/>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quote-author">
    <w:name w:val="quote-author"/>
    <w:basedOn w:val="a"/>
    <w:rsid w:val="00392894"/>
    <w:pPr>
      <w:spacing w:after="240" w:line="240" w:lineRule="auto"/>
    </w:pPr>
    <w:rPr>
      <w:rFonts w:ascii="Times New Roman" w:eastAsia="Times New Roman" w:hAnsi="Times New Roman" w:cs="Times New Roman"/>
      <w:b/>
      <w:bCs/>
      <w:sz w:val="24"/>
      <w:szCs w:val="24"/>
      <w:lang w:eastAsia="ru-RU"/>
    </w:rPr>
  </w:style>
  <w:style w:type="paragraph" w:customStyle="1" w:styleId="quote-msg">
    <w:name w:val="quote-msg"/>
    <w:basedOn w:val="a"/>
    <w:rsid w:val="00392894"/>
    <w:pPr>
      <w:pBdr>
        <w:top w:val="single" w:sz="6" w:space="12" w:color="DDDDDD"/>
        <w:left w:val="single" w:sz="6" w:space="12" w:color="DDDDDD"/>
        <w:bottom w:val="single" w:sz="6" w:space="12" w:color="DDDDDD"/>
        <w:right w:val="single" w:sz="6" w:space="12" w:color="DDDDDD"/>
      </w:pBdr>
      <w:shd w:val="clear" w:color="auto" w:fill="F6F6F6"/>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quote-snip">
    <w:name w:val="quote-snip"/>
    <w:basedOn w:val="a"/>
    <w:rsid w:val="00392894"/>
    <w:pPr>
      <w:pBdr>
        <w:top w:val="single" w:sz="6" w:space="12" w:color="DDDDDD"/>
        <w:left w:val="single" w:sz="6" w:space="12" w:color="DDDDDD"/>
        <w:bottom w:val="single" w:sz="6" w:space="12" w:color="DDDDDD"/>
        <w:right w:val="single" w:sz="6" w:space="12" w:color="DDDDDD"/>
      </w:pBdr>
      <w:shd w:val="clear" w:color="auto" w:fill="F6F6F6"/>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rate-info">
    <w:name w:val="rate-info"/>
    <w:basedOn w:val="a"/>
    <w:rsid w:val="00392894"/>
    <w:pPr>
      <w:spacing w:before="100" w:beforeAutospacing="1" w:after="100" w:afterAutospacing="1" w:line="240" w:lineRule="auto"/>
    </w:pPr>
    <w:rPr>
      <w:rFonts w:ascii="Times New Roman" w:eastAsia="Times New Roman" w:hAnsi="Times New Roman" w:cs="Times New Roman"/>
      <w:color w:val="666666"/>
      <w:sz w:val="19"/>
      <w:szCs w:val="19"/>
      <w:lang w:eastAsia="ru-RU"/>
    </w:rPr>
  </w:style>
  <w:style w:type="paragraph" w:customStyle="1" w:styleId="rate-description">
    <w:name w:val="rate-description"/>
    <w:basedOn w:val="a"/>
    <w:rsid w:val="00392894"/>
    <w:pPr>
      <w:spacing w:before="100" w:beforeAutospacing="1" w:after="100" w:afterAutospacing="1" w:line="240" w:lineRule="auto"/>
    </w:pPr>
    <w:rPr>
      <w:rFonts w:ascii="Times New Roman" w:eastAsia="Times New Roman" w:hAnsi="Times New Roman" w:cs="Times New Roman"/>
      <w:color w:val="666666"/>
      <w:sz w:val="19"/>
      <w:szCs w:val="19"/>
      <w:lang w:eastAsia="ru-RU"/>
    </w:rPr>
  </w:style>
  <w:style w:type="paragraph" w:customStyle="1" w:styleId="forum-table-superheader">
    <w:name w:val="forum-table-superheader"/>
    <w:basedOn w:val="a"/>
    <w:rsid w:val="00392894"/>
    <w:pPr>
      <w:pBdr>
        <w:top w:val="single" w:sz="6" w:space="0" w:color="A89664"/>
        <w:left w:val="single" w:sz="6" w:space="0" w:color="A89664"/>
        <w:bottom w:val="single" w:sz="6" w:space="0" w:color="A89664"/>
        <w:right w:val="single" w:sz="6" w:space="0" w:color="A89664"/>
      </w:pBdr>
      <w:shd w:val="clear" w:color="auto" w:fill="EDE6D3"/>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um-node-create-links-top">
    <w:name w:val="forum-node-create-links-top"/>
    <w:basedOn w:val="a"/>
    <w:rsid w:val="00392894"/>
    <w:pPr>
      <w:spacing w:before="100" w:beforeAutospacing="1" w:after="100" w:afterAutospacing="1" w:line="240" w:lineRule="auto"/>
    </w:pPr>
    <w:rPr>
      <w:rFonts w:ascii="Times New Roman" w:eastAsia="Times New Roman" w:hAnsi="Times New Roman" w:cs="Times New Roman"/>
      <w:vanish/>
      <w:sz w:val="24"/>
      <w:szCs w:val="24"/>
      <w:lang w:eastAsia="ru-RU"/>
    </w:rPr>
  </w:style>
  <w:style w:type="paragraph" w:customStyle="1" w:styleId="forum-post-info">
    <w:name w:val="forum-post-info"/>
    <w:basedOn w:val="a"/>
    <w:rsid w:val="00392894"/>
    <w:pPr>
      <w:shd w:val="clear" w:color="auto" w:fill="EDE6D3"/>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um-post-wrapper">
    <w:name w:val="forum-post-wrapper"/>
    <w:basedOn w:val="a"/>
    <w:rsid w:val="00392894"/>
    <w:pPr>
      <w:shd w:val="clear" w:color="auto" w:fill="EDE6D3"/>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um-post-panel-main">
    <w:name w:val="forum-post-panel-main"/>
    <w:basedOn w:val="a"/>
    <w:rsid w:val="00392894"/>
    <w:pPr>
      <w:shd w:val="clear" w:color="auto" w:fill="F2EEE1"/>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mment0">
    <w:name w:val="comment"/>
    <w:basedOn w:val="a"/>
    <w:rsid w:val="00392894"/>
    <w:pPr>
      <w:pBdr>
        <w:left w:val="dotted" w:sz="6" w:space="6" w:color="A89664"/>
        <w:bottom w:val="dotted" w:sz="6" w:space="6" w:color="A89664"/>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ield-multiple-table">
    <w:name w:val="field-multiple-tabl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ield-add-more-submit">
    <w:name w:val="field-add-more-submi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grippie">
    <w:name w:val="grippi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ar">
    <w:name w:val="ba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illed">
    <w:name w:val="filled"/>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hrobber">
    <w:name w:val="throbb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essage">
    <w:name w:val="messag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ieldset-wrapper">
    <w:name w:val="fieldset-wrapp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scription">
    <w:name w:val="description"/>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ger">
    <w:name w:val="pag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otnote-multi">
    <w:name w:val="footnote-multi"/>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enu">
    <w:name w:val="menu"/>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ge-links">
    <w:name w:val="page-link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ge-previous">
    <w:name w:val="page-previou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ge-up">
    <w:name w:val="page-up"/>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ge-next">
    <w:name w:val="page-ne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ield-label">
    <w:name w:val="field-labe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de">
    <w:name w:val="nod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links">
    <w:name w:val="link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ercent">
    <w:name w:val="percen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otal">
    <w:name w:val="tota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vote-form">
    <w:name w:val="vote-form"/>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earch-snippet-info">
    <w:name w:val="search-snippet-info"/>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earch-info">
    <w:name w:val="search-info"/>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riterion">
    <w:name w:val="criterion"/>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ction">
    <w:name w:val="action"/>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ser-picture">
    <w:name w:val="user-pictur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views-exposed-widget">
    <w:name w:val="views-exposed-widge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submit">
    <w:name w:val="form-submi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ield-item">
    <w:name w:val="field-item"/>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andle">
    <w:name w:val="handl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s-hide">
    <w:name w:val="js-hid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text">
    <w:name w:val="form-te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odal-title">
    <w:name w:val="modal-titl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odal-header">
    <w:name w:val="modal-head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odal-content">
    <w:name w:val="modal-conten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esizable-textarea">
    <w:name w:val="resizable-textarea"/>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pendent-options">
    <w:name w:val="dependent-option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eground">
    <w:name w:val="foreground"/>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hoices">
    <w:name w:val="choice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odal-throbber-wrapper">
    <w:name w:val="modal-throbber-wrapp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ips">
    <w:name w:val="tip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item-name">
    <w:name w:val="form-item-nam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item-notify-type">
    <w:name w:val="form-item-notify-typ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tools-modal-content">
    <w:name w:val="ctools-modal-conten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ection">
    <w:name w:val="section"/>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lock">
    <w:name w:val="block"/>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de-teaser">
    <w:name w:val="node-teas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de-sticky">
    <w:name w:val="node-sticky"/>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um-post">
    <w:name w:val="forum-pos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icon">
    <w:name w:val="icon"/>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ummary">
    <w:name w:val="summary"/>
    <w:basedOn w:val="a0"/>
    <w:rsid w:val="00392894"/>
  </w:style>
  <w:style w:type="paragraph" w:customStyle="1" w:styleId="grippie1">
    <w:name w:val="grippie1"/>
    <w:basedOn w:val="a"/>
    <w:rsid w:val="00392894"/>
    <w:pPr>
      <w:pBdr>
        <w:top w:val="single" w:sz="2" w:space="0" w:color="DDDDDD"/>
        <w:left w:val="single" w:sz="6" w:space="0" w:color="DDDDDD"/>
        <w:bottom w:val="single" w:sz="6" w:space="0" w:color="DDDDDD"/>
        <w:right w:val="single" w:sz="6" w:space="0" w:color="DDDDDD"/>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andle1">
    <w:name w:val="handle1"/>
    <w:basedOn w:val="a"/>
    <w:rsid w:val="00392894"/>
    <w:pPr>
      <w:spacing w:after="0" w:line="240" w:lineRule="auto"/>
      <w:ind w:left="120" w:right="120"/>
    </w:pPr>
    <w:rPr>
      <w:rFonts w:ascii="Times New Roman" w:eastAsia="Times New Roman" w:hAnsi="Times New Roman" w:cs="Times New Roman"/>
      <w:sz w:val="24"/>
      <w:szCs w:val="24"/>
      <w:lang w:eastAsia="ru-RU"/>
    </w:rPr>
  </w:style>
  <w:style w:type="paragraph" w:customStyle="1" w:styleId="bar1">
    <w:name w:val="bar1"/>
    <w:basedOn w:val="a"/>
    <w:rsid w:val="00392894"/>
    <w:pPr>
      <w:pBdr>
        <w:top w:val="single" w:sz="6" w:space="0" w:color="666666"/>
        <w:left w:val="single" w:sz="6" w:space="0" w:color="666666"/>
        <w:bottom w:val="single" w:sz="6" w:space="0" w:color="666666"/>
        <w:right w:val="single" w:sz="6" w:space="0" w:color="666666"/>
      </w:pBdr>
      <w:shd w:val="clear" w:color="auto" w:fill="CCCCCC"/>
      <w:spacing w:after="0" w:line="240" w:lineRule="auto"/>
      <w:ind w:left="48" w:right="48"/>
    </w:pPr>
    <w:rPr>
      <w:rFonts w:ascii="Times New Roman" w:eastAsia="Times New Roman" w:hAnsi="Times New Roman" w:cs="Times New Roman"/>
      <w:sz w:val="24"/>
      <w:szCs w:val="24"/>
      <w:lang w:eastAsia="ru-RU"/>
    </w:rPr>
  </w:style>
  <w:style w:type="paragraph" w:customStyle="1" w:styleId="filled1">
    <w:name w:val="filled1"/>
    <w:basedOn w:val="a"/>
    <w:rsid w:val="00392894"/>
    <w:pPr>
      <w:shd w:val="clear" w:color="auto" w:fill="0072B9"/>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hrobber1">
    <w:name w:val="throbber1"/>
    <w:basedOn w:val="a"/>
    <w:rsid w:val="00392894"/>
    <w:pPr>
      <w:spacing w:before="30" w:after="30" w:line="240" w:lineRule="auto"/>
      <w:ind w:left="30" w:right="30"/>
    </w:pPr>
    <w:rPr>
      <w:rFonts w:ascii="Times New Roman" w:eastAsia="Times New Roman" w:hAnsi="Times New Roman" w:cs="Times New Roman"/>
      <w:sz w:val="24"/>
      <w:szCs w:val="24"/>
      <w:lang w:eastAsia="ru-RU"/>
    </w:rPr>
  </w:style>
  <w:style w:type="paragraph" w:customStyle="1" w:styleId="message1">
    <w:name w:val="message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hrobber2">
    <w:name w:val="throbber2"/>
    <w:basedOn w:val="a"/>
    <w:rsid w:val="00392894"/>
    <w:pPr>
      <w:spacing w:after="0" w:line="240" w:lineRule="auto"/>
      <w:ind w:left="30" w:right="30"/>
    </w:pPr>
    <w:rPr>
      <w:rFonts w:ascii="Times New Roman" w:eastAsia="Times New Roman" w:hAnsi="Times New Roman" w:cs="Times New Roman"/>
      <w:sz w:val="24"/>
      <w:szCs w:val="24"/>
      <w:lang w:eastAsia="ru-RU"/>
    </w:rPr>
  </w:style>
  <w:style w:type="paragraph" w:customStyle="1" w:styleId="fieldset-wrapper1">
    <w:name w:val="fieldset-wrapper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s-hide1">
    <w:name w:val="js-hide1"/>
    <w:basedOn w:val="a"/>
    <w:rsid w:val="00392894"/>
    <w:pPr>
      <w:spacing w:before="100" w:beforeAutospacing="1" w:after="100" w:afterAutospacing="1" w:line="240" w:lineRule="auto"/>
    </w:pPr>
    <w:rPr>
      <w:rFonts w:ascii="Times New Roman" w:eastAsia="Times New Roman" w:hAnsi="Times New Roman" w:cs="Times New Roman"/>
      <w:vanish/>
      <w:sz w:val="24"/>
      <w:szCs w:val="24"/>
      <w:lang w:eastAsia="ru-RU"/>
    </w:rPr>
  </w:style>
  <w:style w:type="paragraph" w:customStyle="1" w:styleId="error1">
    <w:name w:val="error1"/>
    <w:basedOn w:val="a"/>
    <w:rsid w:val="00392894"/>
    <w:pPr>
      <w:spacing w:before="100" w:beforeAutospacing="1" w:after="100" w:afterAutospacing="1" w:line="240" w:lineRule="auto"/>
    </w:pPr>
    <w:rPr>
      <w:rFonts w:ascii="Times New Roman" w:eastAsia="Times New Roman" w:hAnsi="Times New Roman" w:cs="Times New Roman"/>
      <w:color w:val="333333"/>
      <w:sz w:val="24"/>
      <w:szCs w:val="24"/>
      <w:lang w:eastAsia="ru-RU"/>
    </w:rPr>
  </w:style>
  <w:style w:type="paragraph" w:customStyle="1" w:styleId="title1">
    <w:name w:val="title1"/>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form-item1">
    <w:name w:val="form-item1"/>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form-item2">
    <w:name w:val="form-item2"/>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description1">
    <w:name w:val="description1"/>
    <w:basedOn w:val="a"/>
    <w:rsid w:val="00392894"/>
    <w:pPr>
      <w:spacing w:before="100" w:beforeAutospacing="1" w:after="100" w:afterAutospacing="1" w:line="240" w:lineRule="auto"/>
    </w:pPr>
    <w:rPr>
      <w:rFonts w:ascii="Times New Roman" w:eastAsia="Times New Roman" w:hAnsi="Times New Roman" w:cs="Times New Roman"/>
      <w:sz w:val="20"/>
      <w:szCs w:val="20"/>
      <w:lang w:eastAsia="ru-RU"/>
    </w:rPr>
  </w:style>
  <w:style w:type="paragraph" w:customStyle="1" w:styleId="form-item3">
    <w:name w:val="form-item3"/>
    <w:basedOn w:val="a"/>
    <w:rsid w:val="00392894"/>
    <w:pPr>
      <w:spacing w:before="96" w:after="96" w:line="240" w:lineRule="auto"/>
    </w:pPr>
    <w:rPr>
      <w:rFonts w:ascii="Times New Roman" w:eastAsia="Times New Roman" w:hAnsi="Times New Roman" w:cs="Times New Roman"/>
      <w:sz w:val="24"/>
      <w:szCs w:val="24"/>
      <w:lang w:eastAsia="ru-RU"/>
    </w:rPr>
  </w:style>
  <w:style w:type="paragraph" w:customStyle="1" w:styleId="form-item4">
    <w:name w:val="form-item4"/>
    <w:basedOn w:val="a"/>
    <w:rsid w:val="00392894"/>
    <w:pPr>
      <w:spacing w:before="96" w:after="96" w:line="240" w:lineRule="auto"/>
    </w:pPr>
    <w:rPr>
      <w:rFonts w:ascii="Times New Roman" w:eastAsia="Times New Roman" w:hAnsi="Times New Roman" w:cs="Times New Roman"/>
      <w:sz w:val="24"/>
      <w:szCs w:val="24"/>
      <w:lang w:eastAsia="ru-RU"/>
    </w:rPr>
  </w:style>
  <w:style w:type="paragraph" w:customStyle="1" w:styleId="description2">
    <w:name w:val="description2"/>
    <w:basedOn w:val="a"/>
    <w:rsid w:val="00392894"/>
    <w:pPr>
      <w:spacing w:before="100" w:beforeAutospacing="1" w:after="100" w:afterAutospacing="1" w:line="240" w:lineRule="auto"/>
      <w:ind w:left="576"/>
    </w:pPr>
    <w:rPr>
      <w:rFonts w:ascii="Times New Roman" w:eastAsia="Times New Roman" w:hAnsi="Times New Roman" w:cs="Times New Roman"/>
      <w:sz w:val="24"/>
      <w:szCs w:val="24"/>
      <w:lang w:eastAsia="ru-RU"/>
    </w:rPr>
  </w:style>
  <w:style w:type="paragraph" w:customStyle="1" w:styleId="description3">
    <w:name w:val="description3"/>
    <w:basedOn w:val="a"/>
    <w:rsid w:val="00392894"/>
    <w:pPr>
      <w:spacing w:before="100" w:beforeAutospacing="1" w:after="100" w:afterAutospacing="1" w:line="240" w:lineRule="auto"/>
      <w:ind w:left="576"/>
    </w:pPr>
    <w:rPr>
      <w:rFonts w:ascii="Times New Roman" w:eastAsia="Times New Roman" w:hAnsi="Times New Roman" w:cs="Times New Roman"/>
      <w:sz w:val="24"/>
      <w:szCs w:val="24"/>
      <w:lang w:eastAsia="ru-RU"/>
    </w:rPr>
  </w:style>
  <w:style w:type="paragraph" w:customStyle="1" w:styleId="pager1">
    <w:name w:val="pager1"/>
    <w:basedOn w:val="a"/>
    <w:rsid w:val="00392894"/>
    <w:pPr>
      <w:spacing w:before="120" w:after="120" w:line="240" w:lineRule="auto"/>
      <w:jc w:val="center"/>
    </w:pPr>
    <w:rPr>
      <w:rFonts w:ascii="Times New Roman" w:eastAsia="Times New Roman" w:hAnsi="Times New Roman" w:cs="Times New Roman"/>
      <w:sz w:val="24"/>
      <w:szCs w:val="24"/>
      <w:lang w:eastAsia="ru-RU"/>
    </w:rPr>
  </w:style>
  <w:style w:type="character" w:customStyle="1" w:styleId="summary1">
    <w:name w:val="summary1"/>
    <w:basedOn w:val="a0"/>
    <w:rsid w:val="00392894"/>
    <w:rPr>
      <w:color w:val="999999"/>
      <w:sz w:val="22"/>
      <w:szCs w:val="22"/>
    </w:rPr>
  </w:style>
  <w:style w:type="paragraph" w:customStyle="1" w:styleId="ui-widget1">
    <w:name w:val="ui-widget1"/>
    <w:basedOn w:val="a"/>
    <w:rsid w:val="00392894"/>
    <w:pPr>
      <w:spacing w:before="100" w:beforeAutospacing="1" w:after="100" w:afterAutospacing="1" w:line="240" w:lineRule="auto"/>
    </w:pPr>
    <w:rPr>
      <w:rFonts w:ascii="Verdana" w:eastAsia="Times New Roman" w:hAnsi="Verdana" w:cs="Times New Roman"/>
      <w:sz w:val="24"/>
      <w:szCs w:val="24"/>
      <w:lang w:eastAsia="ru-RU"/>
    </w:rPr>
  </w:style>
  <w:style w:type="paragraph" w:customStyle="1" w:styleId="ui-state-default1">
    <w:name w:val="ui-state-default1"/>
    <w:basedOn w:val="a"/>
    <w:rsid w:val="00392894"/>
    <w:pPr>
      <w:pBdr>
        <w:top w:val="single" w:sz="6" w:space="0" w:color="D3D3D3"/>
        <w:left w:val="single" w:sz="6" w:space="0" w:color="D3D3D3"/>
        <w:bottom w:val="single" w:sz="6" w:space="0" w:color="D3D3D3"/>
        <w:right w:val="single" w:sz="6" w:space="0" w:color="D3D3D3"/>
      </w:pBdr>
      <w:shd w:val="clear" w:color="auto" w:fill="E6E6E6"/>
      <w:spacing w:before="100" w:beforeAutospacing="1" w:after="100" w:afterAutospacing="1" w:line="240" w:lineRule="auto"/>
    </w:pPr>
    <w:rPr>
      <w:rFonts w:ascii="Times New Roman" w:eastAsia="Times New Roman" w:hAnsi="Times New Roman" w:cs="Times New Roman"/>
      <w:color w:val="555555"/>
      <w:sz w:val="24"/>
      <w:szCs w:val="24"/>
      <w:lang w:eastAsia="ru-RU"/>
    </w:rPr>
  </w:style>
  <w:style w:type="paragraph" w:customStyle="1" w:styleId="ui-state-default2">
    <w:name w:val="ui-state-default2"/>
    <w:basedOn w:val="a"/>
    <w:rsid w:val="00392894"/>
    <w:pPr>
      <w:pBdr>
        <w:top w:val="single" w:sz="6" w:space="0" w:color="D3D3D3"/>
        <w:left w:val="single" w:sz="6" w:space="0" w:color="D3D3D3"/>
        <w:bottom w:val="single" w:sz="6" w:space="0" w:color="D3D3D3"/>
        <w:right w:val="single" w:sz="6" w:space="0" w:color="D3D3D3"/>
      </w:pBdr>
      <w:shd w:val="clear" w:color="auto" w:fill="E6E6E6"/>
      <w:spacing w:before="100" w:beforeAutospacing="1" w:after="100" w:afterAutospacing="1" w:line="240" w:lineRule="auto"/>
    </w:pPr>
    <w:rPr>
      <w:rFonts w:ascii="Times New Roman" w:eastAsia="Times New Roman" w:hAnsi="Times New Roman" w:cs="Times New Roman"/>
      <w:color w:val="555555"/>
      <w:sz w:val="24"/>
      <w:szCs w:val="24"/>
      <w:lang w:eastAsia="ru-RU"/>
    </w:rPr>
  </w:style>
  <w:style w:type="paragraph" w:customStyle="1" w:styleId="ui-state-hover1">
    <w:name w:val="ui-state-hover1"/>
    <w:basedOn w:val="a"/>
    <w:rsid w:val="00392894"/>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hover2">
    <w:name w:val="ui-state-hover2"/>
    <w:basedOn w:val="a"/>
    <w:rsid w:val="00392894"/>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focus1">
    <w:name w:val="ui-state-focus1"/>
    <w:basedOn w:val="a"/>
    <w:rsid w:val="00392894"/>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focus2">
    <w:name w:val="ui-state-focus2"/>
    <w:basedOn w:val="a"/>
    <w:rsid w:val="00392894"/>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active1">
    <w:name w:val="ui-state-active1"/>
    <w:basedOn w:val="a"/>
    <w:rsid w:val="00392894"/>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active2">
    <w:name w:val="ui-state-active2"/>
    <w:basedOn w:val="a"/>
    <w:rsid w:val="00392894"/>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highlight1">
    <w:name w:val="ui-state-highlight1"/>
    <w:basedOn w:val="a"/>
    <w:rsid w:val="00392894"/>
    <w:pPr>
      <w:pBdr>
        <w:top w:val="single" w:sz="6" w:space="0" w:color="FCEFA1"/>
        <w:left w:val="single" w:sz="6" w:space="0" w:color="FCEFA1"/>
        <w:bottom w:val="single" w:sz="6" w:space="0" w:color="FCEFA1"/>
        <w:right w:val="single" w:sz="6" w:space="0" w:color="FCEFA1"/>
      </w:pBdr>
      <w:shd w:val="clear" w:color="auto" w:fill="FBF9EE"/>
      <w:spacing w:before="100" w:beforeAutospacing="1" w:after="100" w:afterAutospacing="1" w:line="240" w:lineRule="auto"/>
    </w:pPr>
    <w:rPr>
      <w:rFonts w:ascii="Times New Roman" w:eastAsia="Times New Roman" w:hAnsi="Times New Roman" w:cs="Times New Roman"/>
      <w:color w:val="363636"/>
      <w:sz w:val="24"/>
      <w:szCs w:val="24"/>
      <w:lang w:eastAsia="ru-RU"/>
    </w:rPr>
  </w:style>
  <w:style w:type="paragraph" w:customStyle="1" w:styleId="ui-state-highlight2">
    <w:name w:val="ui-state-highlight2"/>
    <w:basedOn w:val="a"/>
    <w:rsid w:val="00392894"/>
    <w:pPr>
      <w:pBdr>
        <w:top w:val="single" w:sz="6" w:space="0" w:color="FCEFA1"/>
        <w:left w:val="single" w:sz="6" w:space="0" w:color="FCEFA1"/>
        <w:bottom w:val="single" w:sz="6" w:space="0" w:color="FCEFA1"/>
        <w:right w:val="single" w:sz="6" w:space="0" w:color="FCEFA1"/>
      </w:pBdr>
      <w:shd w:val="clear" w:color="auto" w:fill="FBF9EE"/>
      <w:spacing w:before="100" w:beforeAutospacing="1" w:after="100" w:afterAutospacing="1" w:line="240" w:lineRule="auto"/>
    </w:pPr>
    <w:rPr>
      <w:rFonts w:ascii="Times New Roman" w:eastAsia="Times New Roman" w:hAnsi="Times New Roman" w:cs="Times New Roman"/>
      <w:color w:val="363636"/>
      <w:sz w:val="24"/>
      <w:szCs w:val="24"/>
      <w:lang w:eastAsia="ru-RU"/>
    </w:rPr>
  </w:style>
  <w:style w:type="paragraph" w:customStyle="1" w:styleId="ui-state-error1">
    <w:name w:val="ui-state-error1"/>
    <w:basedOn w:val="a"/>
    <w:rsid w:val="00392894"/>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line="240" w:lineRule="auto"/>
    </w:pPr>
    <w:rPr>
      <w:rFonts w:ascii="Times New Roman" w:eastAsia="Times New Roman" w:hAnsi="Times New Roman" w:cs="Times New Roman"/>
      <w:color w:val="CD0A0A"/>
      <w:sz w:val="24"/>
      <w:szCs w:val="24"/>
      <w:lang w:eastAsia="ru-RU"/>
    </w:rPr>
  </w:style>
  <w:style w:type="paragraph" w:customStyle="1" w:styleId="ui-state-error2">
    <w:name w:val="ui-state-error2"/>
    <w:basedOn w:val="a"/>
    <w:rsid w:val="00392894"/>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line="240" w:lineRule="auto"/>
    </w:pPr>
    <w:rPr>
      <w:rFonts w:ascii="Times New Roman" w:eastAsia="Times New Roman" w:hAnsi="Times New Roman" w:cs="Times New Roman"/>
      <w:color w:val="CD0A0A"/>
      <w:sz w:val="24"/>
      <w:szCs w:val="24"/>
      <w:lang w:eastAsia="ru-RU"/>
    </w:rPr>
  </w:style>
  <w:style w:type="paragraph" w:customStyle="1" w:styleId="ui-state-error-text1">
    <w:name w:val="ui-state-error-text1"/>
    <w:basedOn w:val="a"/>
    <w:rsid w:val="00392894"/>
    <w:pPr>
      <w:spacing w:before="100" w:beforeAutospacing="1" w:after="100" w:afterAutospacing="1" w:line="240" w:lineRule="auto"/>
    </w:pPr>
    <w:rPr>
      <w:rFonts w:ascii="Times New Roman" w:eastAsia="Times New Roman" w:hAnsi="Times New Roman" w:cs="Times New Roman"/>
      <w:color w:val="CD0A0A"/>
      <w:sz w:val="24"/>
      <w:szCs w:val="24"/>
      <w:lang w:eastAsia="ru-RU"/>
    </w:rPr>
  </w:style>
  <w:style w:type="paragraph" w:customStyle="1" w:styleId="ui-state-error-text2">
    <w:name w:val="ui-state-error-text2"/>
    <w:basedOn w:val="a"/>
    <w:rsid w:val="00392894"/>
    <w:pPr>
      <w:spacing w:before="100" w:beforeAutospacing="1" w:after="100" w:afterAutospacing="1" w:line="240" w:lineRule="auto"/>
    </w:pPr>
    <w:rPr>
      <w:rFonts w:ascii="Times New Roman" w:eastAsia="Times New Roman" w:hAnsi="Times New Roman" w:cs="Times New Roman"/>
      <w:color w:val="CD0A0A"/>
      <w:sz w:val="24"/>
      <w:szCs w:val="24"/>
      <w:lang w:eastAsia="ru-RU"/>
    </w:rPr>
  </w:style>
  <w:style w:type="paragraph" w:customStyle="1" w:styleId="ui-priority-primary1">
    <w:name w:val="ui-priority-primary1"/>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ui-priority-primary2">
    <w:name w:val="ui-priority-primary2"/>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ui-priority-secondary1">
    <w:name w:val="ui-priority-secondary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priority-secondary2">
    <w:name w:val="ui-priority-secondary2"/>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state-disabled1">
    <w:name w:val="ui-state-disabled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state-disabled2">
    <w:name w:val="ui-state-disabled2"/>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icon1">
    <w:name w:val="ui-icon1"/>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2">
    <w:name w:val="ui-icon2"/>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3">
    <w:name w:val="ui-icon3"/>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4">
    <w:name w:val="ui-icon4"/>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5">
    <w:name w:val="ui-icon5"/>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6">
    <w:name w:val="ui-icon6"/>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7">
    <w:name w:val="ui-icon7"/>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8">
    <w:name w:val="ui-icon8"/>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9">
    <w:name w:val="ui-icon9"/>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footnote-multi1">
    <w:name w:val="footnote-multi1"/>
    <w:basedOn w:val="a"/>
    <w:rsid w:val="00392894"/>
    <w:pPr>
      <w:spacing w:before="100" w:beforeAutospacing="1" w:after="100" w:afterAutospacing="1" w:line="240" w:lineRule="auto"/>
      <w:textAlignment w:val="top"/>
    </w:pPr>
    <w:rPr>
      <w:rFonts w:ascii="Times New Roman" w:eastAsia="Times New Roman" w:hAnsi="Times New Roman" w:cs="Times New Roman"/>
      <w:sz w:val="18"/>
      <w:szCs w:val="18"/>
      <w:lang w:eastAsia="ru-RU"/>
    </w:rPr>
  </w:style>
  <w:style w:type="paragraph" w:customStyle="1" w:styleId="menu1">
    <w:name w:val="menu1"/>
    <w:basedOn w:val="a"/>
    <w:rsid w:val="00392894"/>
    <w:pPr>
      <w:pBdr>
        <w:top w:val="single" w:sz="6" w:space="12" w:color="888888"/>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ge-links1">
    <w:name w:val="page-links1"/>
    <w:basedOn w:val="a"/>
    <w:rsid w:val="00392894"/>
    <w:pPr>
      <w:pBdr>
        <w:top w:val="single" w:sz="6" w:space="6" w:color="888888"/>
        <w:bottom w:val="single" w:sz="6" w:space="6" w:color="888888"/>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page-previous1">
    <w:name w:val="page-previous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ge-up1">
    <w:name w:val="page-up1"/>
    <w:basedOn w:val="a"/>
    <w:rsid w:val="00392894"/>
    <w:pPr>
      <w:spacing w:after="0" w:line="240" w:lineRule="auto"/>
      <w:ind w:left="612" w:right="612"/>
    </w:pPr>
    <w:rPr>
      <w:rFonts w:ascii="Times New Roman" w:eastAsia="Times New Roman" w:hAnsi="Times New Roman" w:cs="Times New Roman"/>
      <w:sz w:val="24"/>
      <w:szCs w:val="24"/>
      <w:lang w:eastAsia="ru-RU"/>
    </w:rPr>
  </w:style>
  <w:style w:type="paragraph" w:customStyle="1" w:styleId="page-next1">
    <w:name w:val="page-next1"/>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form-item5">
    <w:name w:val="form-item5"/>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description4">
    <w:name w:val="description4"/>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ield-label1">
    <w:name w:val="field-label1"/>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field-multiple-table1">
    <w:name w:val="field-multiple-table1"/>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field-add-more-submit1">
    <w:name w:val="field-add-more-submit1"/>
    <w:basedOn w:val="a"/>
    <w:rsid w:val="00392894"/>
    <w:pPr>
      <w:spacing w:before="120" w:after="0" w:line="240" w:lineRule="auto"/>
    </w:pPr>
    <w:rPr>
      <w:rFonts w:ascii="Times New Roman" w:eastAsia="Times New Roman" w:hAnsi="Times New Roman" w:cs="Times New Roman"/>
      <w:sz w:val="24"/>
      <w:szCs w:val="24"/>
      <w:lang w:eastAsia="ru-RU"/>
    </w:rPr>
  </w:style>
  <w:style w:type="paragraph" w:customStyle="1" w:styleId="node1">
    <w:name w:val="node1"/>
    <w:basedOn w:val="a"/>
    <w:rsid w:val="00392894"/>
    <w:pPr>
      <w:shd w:val="clear" w:color="auto" w:fill="FFFFEA"/>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ar2">
    <w:name w:val="bar2"/>
    <w:basedOn w:val="a"/>
    <w:rsid w:val="00392894"/>
    <w:pPr>
      <w:shd w:val="clear" w:color="auto" w:fill="DDDDDD"/>
      <w:spacing w:before="15" w:after="15" w:line="240" w:lineRule="auto"/>
    </w:pPr>
    <w:rPr>
      <w:rFonts w:ascii="Times New Roman" w:eastAsia="Times New Roman" w:hAnsi="Times New Roman" w:cs="Times New Roman"/>
      <w:sz w:val="24"/>
      <w:szCs w:val="24"/>
      <w:lang w:eastAsia="ru-RU"/>
    </w:rPr>
  </w:style>
  <w:style w:type="paragraph" w:customStyle="1" w:styleId="foreground1">
    <w:name w:val="foreground1"/>
    <w:basedOn w:val="a"/>
    <w:rsid w:val="00392894"/>
    <w:pPr>
      <w:shd w:val="clear" w:color="auto" w:fill="000000"/>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links1">
    <w:name w:val="links1"/>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percent1">
    <w:name w:val="percent1"/>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total1">
    <w:name w:val="total1"/>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vote-form1">
    <w:name w:val="vote-form1"/>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choices1">
    <w:name w:val="choices1"/>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title2">
    <w:name w:val="title2"/>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form-text1">
    <w:name w:val="form-text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text2">
    <w:name w:val="form-text2"/>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itle3">
    <w:name w:val="title3"/>
    <w:basedOn w:val="a"/>
    <w:rsid w:val="00392894"/>
    <w:pPr>
      <w:spacing w:after="100" w:afterAutospacing="1" w:line="240" w:lineRule="auto"/>
    </w:pPr>
    <w:rPr>
      <w:rFonts w:ascii="Times New Roman" w:eastAsia="Times New Roman" w:hAnsi="Times New Roman" w:cs="Times New Roman"/>
      <w:sz w:val="29"/>
      <w:szCs w:val="29"/>
      <w:lang w:eastAsia="ru-RU"/>
    </w:rPr>
  </w:style>
  <w:style w:type="paragraph" w:customStyle="1" w:styleId="search-snippet-info1">
    <w:name w:val="search-snippet-info1"/>
    <w:basedOn w:val="a"/>
    <w:rsid w:val="00392894"/>
    <w:pPr>
      <w:spacing w:after="100" w:afterAutospacing="1" w:line="240" w:lineRule="auto"/>
    </w:pPr>
    <w:rPr>
      <w:rFonts w:ascii="Times New Roman" w:eastAsia="Times New Roman" w:hAnsi="Times New Roman" w:cs="Times New Roman"/>
      <w:sz w:val="24"/>
      <w:szCs w:val="24"/>
      <w:lang w:eastAsia="ru-RU"/>
    </w:rPr>
  </w:style>
  <w:style w:type="paragraph" w:customStyle="1" w:styleId="search-info1">
    <w:name w:val="search-info1"/>
    <w:basedOn w:val="a"/>
    <w:rsid w:val="00392894"/>
    <w:pPr>
      <w:spacing w:after="100" w:afterAutospacing="1" w:line="240" w:lineRule="auto"/>
    </w:pPr>
    <w:rPr>
      <w:rFonts w:ascii="Times New Roman" w:eastAsia="Times New Roman" w:hAnsi="Times New Roman" w:cs="Times New Roman"/>
      <w:sz w:val="20"/>
      <w:szCs w:val="20"/>
      <w:lang w:eastAsia="ru-RU"/>
    </w:rPr>
  </w:style>
  <w:style w:type="paragraph" w:customStyle="1" w:styleId="criterion1">
    <w:name w:val="criterion1"/>
    <w:basedOn w:val="a"/>
    <w:rsid w:val="00392894"/>
    <w:pPr>
      <w:spacing w:before="100" w:beforeAutospacing="1" w:after="100" w:afterAutospacing="1" w:line="240" w:lineRule="auto"/>
      <w:ind w:right="480"/>
    </w:pPr>
    <w:rPr>
      <w:rFonts w:ascii="Times New Roman" w:eastAsia="Times New Roman" w:hAnsi="Times New Roman" w:cs="Times New Roman"/>
      <w:sz w:val="24"/>
      <w:szCs w:val="24"/>
      <w:lang w:eastAsia="ru-RU"/>
    </w:rPr>
  </w:style>
  <w:style w:type="paragraph" w:customStyle="1" w:styleId="action1">
    <w:name w:val="action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item6">
    <w:name w:val="form-item6"/>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form-item7">
    <w:name w:val="form-item7"/>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form-item-name1">
    <w:name w:val="form-item-name1"/>
    <w:basedOn w:val="a"/>
    <w:rsid w:val="00392894"/>
    <w:pPr>
      <w:spacing w:before="100" w:beforeAutospacing="1" w:after="100" w:afterAutospacing="1" w:line="240" w:lineRule="auto"/>
      <w:ind w:right="240"/>
    </w:pPr>
    <w:rPr>
      <w:rFonts w:ascii="Times New Roman" w:eastAsia="Times New Roman" w:hAnsi="Times New Roman" w:cs="Times New Roman"/>
      <w:sz w:val="24"/>
      <w:szCs w:val="24"/>
      <w:lang w:eastAsia="ru-RU"/>
    </w:rPr>
  </w:style>
  <w:style w:type="paragraph" w:customStyle="1" w:styleId="user-picture1">
    <w:name w:val="user-picture1"/>
    <w:basedOn w:val="a"/>
    <w:rsid w:val="00392894"/>
    <w:pPr>
      <w:spacing w:after="240" w:line="240" w:lineRule="auto"/>
      <w:ind w:right="240"/>
    </w:pPr>
    <w:rPr>
      <w:rFonts w:ascii="Times New Roman" w:eastAsia="Times New Roman" w:hAnsi="Times New Roman" w:cs="Times New Roman"/>
      <w:sz w:val="24"/>
      <w:szCs w:val="24"/>
      <w:lang w:eastAsia="ru-RU"/>
    </w:rPr>
  </w:style>
  <w:style w:type="paragraph" w:customStyle="1" w:styleId="description5">
    <w:name w:val="description5"/>
    <w:basedOn w:val="a"/>
    <w:rsid w:val="00392894"/>
    <w:pPr>
      <w:spacing w:before="120" w:after="120" w:line="240" w:lineRule="auto"/>
      <w:ind w:left="120" w:right="120"/>
    </w:pPr>
    <w:rPr>
      <w:rFonts w:ascii="Times New Roman" w:eastAsia="Times New Roman" w:hAnsi="Times New Roman" w:cs="Times New Roman"/>
      <w:lang w:eastAsia="ru-RU"/>
    </w:rPr>
  </w:style>
  <w:style w:type="paragraph" w:customStyle="1" w:styleId="icon1">
    <w:name w:val="icon1"/>
    <w:basedOn w:val="a"/>
    <w:rsid w:val="00392894"/>
    <w:pPr>
      <w:spacing w:after="0" w:line="240" w:lineRule="auto"/>
      <w:ind w:right="135"/>
    </w:pPr>
    <w:rPr>
      <w:rFonts w:ascii="Times New Roman" w:eastAsia="Times New Roman" w:hAnsi="Times New Roman" w:cs="Times New Roman"/>
      <w:sz w:val="24"/>
      <w:szCs w:val="24"/>
      <w:lang w:eastAsia="ru-RU"/>
    </w:rPr>
  </w:style>
  <w:style w:type="paragraph" w:customStyle="1" w:styleId="views-exposed-widget1">
    <w:name w:val="views-exposed-widget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submit1">
    <w:name w:val="form-submit1"/>
    <w:basedOn w:val="a"/>
    <w:rsid w:val="00392894"/>
    <w:pPr>
      <w:spacing w:before="384" w:after="0" w:line="240" w:lineRule="auto"/>
    </w:pPr>
    <w:rPr>
      <w:rFonts w:ascii="Times New Roman" w:eastAsia="Times New Roman" w:hAnsi="Times New Roman" w:cs="Times New Roman"/>
      <w:sz w:val="24"/>
      <w:szCs w:val="24"/>
      <w:lang w:eastAsia="ru-RU"/>
    </w:rPr>
  </w:style>
  <w:style w:type="paragraph" w:customStyle="1" w:styleId="form-item8">
    <w:name w:val="form-item8"/>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form-submit2">
    <w:name w:val="form-submit2"/>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form-item-notify-type1">
    <w:name w:val="form-item-notify-type1"/>
    <w:basedOn w:val="a"/>
    <w:rsid w:val="00392894"/>
    <w:pPr>
      <w:spacing w:before="100" w:beforeAutospacing="1" w:after="100" w:afterAutospacing="1" w:line="240" w:lineRule="auto"/>
      <w:ind w:left="360"/>
    </w:pPr>
    <w:rPr>
      <w:rFonts w:ascii="Times New Roman" w:eastAsia="Times New Roman" w:hAnsi="Times New Roman" w:cs="Times New Roman"/>
      <w:sz w:val="24"/>
      <w:szCs w:val="24"/>
      <w:lang w:eastAsia="ru-RU"/>
    </w:rPr>
  </w:style>
  <w:style w:type="paragraph" w:customStyle="1" w:styleId="modal-header1">
    <w:name w:val="modal-header1"/>
    <w:basedOn w:val="a"/>
    <w:rsid w:val="00392894"/>
    <w:pPr>
      <w:shd w:val="clear" w:color="auto" w:fill="999999"/>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tools-modal-content1">
    <w:name w:val="ctools-modal-content1"/>
    <w:basedOn w:val="a"/>
    <w:rsid w:val="00392894"/>
    <w:pPr>
      <w:shd w:val="clear" w:color="auto" w:fill="FFFFFF"/>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odal-title1">
    <w:name w:val="modal-title1"/>
    <w:basedOn w:val="a"/>
    <w:rsid w:val="00392894"/>
    <w:pPr>
      <w:spacing w:before="100" w:beforeAutospacing="1" w:after="100" w:afterAutospacing="1" w:line="240" w:lineRule="auto"/>
    </w:pPr>
    <w:rPr>
      <w:rFonts w:ascii="Times New Roman" w:eastAsia="Times New Roman" w:hAnsi="Times New Roman" w:cs="Times New Roman"/>
      <w:b/>
      <w:bCs/>
      <w:color w:val="FFFFFF"/>
      <w:sz w:val="29"/>
      <w:szCs w:val="29"/>
      <w:lang w:eastAsia="ru-RU"/>
    </w:rPr>
  </w:style>
  <w:style w:type="paragraph" w:customStyle="1" w:styleId="modal-header2">
    <w:name w:val="modal-header2"/>
    <w:basedOn w:val="a"/>
    <w:rsid w:val="00392894"/>
    <w:pPr>
      <w:shd w:val="clear" w:color="auto" w:fill="2385C2"/>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odal-content1">
    <w:name w:val="modal-content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odal-throbber-wrapper1">
    <w:name w:val="modal-throbber-wrapper1"/>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description6">
    <w:name w:val="description6"/>
    <w:basedOn w:val="a"/>
    <w:rsid w:val="00392894"/>
    <w:pPr>
      <w:spacing w:before="100" w:beforeAutospacing="1" w:after="100" w:afterAutospacing="1" w:line="240" w:lineRule="auto"/>
    </w:pPr>
    <w:rPr>
      <w:rFonts w:ascii="Times New Roman" w:eastAsia="Times New Roman" w:hAnsi="Times New Roman" w:cs="Times New Roman"/>
      <w:sz w:val="20"/>
      <w:szCs w:val="20"/>
      <w:lang w:eastAsia="ru-RU"/>
    </w:rPr>
  </w:style>
  <w:style w:type="paragraph" w:customStyle="1" w:styleId="tips1">
    <w:name w:val="tips1"/>
    <w:basedOn w:val="a"/>
    <w:rsid w:val="00392894"/>
    <w:pPr>
      <w:spacing w:before="100" w:beforeAutospacing="1" w:after="100" w:afterAutospacing="1" w:line="240" w:lineRule="auto"/>
      <w:ind w:left="480"/>
    </w:pPr>
    <w:rPr>
      <w:rFonts w:ascii="Times New Roman" w:eastAsia="Times New Roman" w:hAnsi="Times New Roman" w:cs="Times New Roman"/>
      <w:sz w:val="24"/>
      <w:szCs w:val="24"/>
      <w:lang w:eastAsia="ru-RU"/>
    </w:rPr>
  </w:style>
  <w:style w:type="paragraph" w:customStyle="1" w:styleId="resizable-textarea1">
    <w:name w:val="resizable-textarea1"/>
    <w:basedOn w:val="a"/>
    <w:rsid w:val="00392894"/>
    <w:pPr>
      <w:spacing w:before="100" w:beforeAutospacing="1" w:after="100" w:afterAutospacing="1" w:line="240" w:lineRule="auto"/>
      <w:ind w:left="3600" w:right="1200"/>
    </w:pPr>
    <w:rPr>
      <w:rFonts w:ascii="Times New Roman" w:eastAsia="Times New Roman" w:hAnsi="Times New Roman" w:cs="Times New Roman"/>
      <w:sz w:val="24"/>
      <w:szCs w:val="24"/>
      <w:lang w:eastAsia="ru-RU"/>
    </w:rPr>
  </w:style>
  <w:style w:type="paragraph" w:customStyle="1" w:styleId="form-item9">
    <w:name w:val="form-item9"/>
    <w:basedOn w:val="a"/>
    <w:rsid w:val="00392894"/>
    <w:pPr>
      <w:spacing w:before="240" w:after="240" w:line="240" w:lineRule="auto"/>
      <w:ind w:right="480"/>
    </w:pPr>
    <w:rPr>
      <w:rFonts w:ascii="Times New Roman" w:eastAsia="Times New Roman" w:hAnsi="Times New Roman" w:cs="Times New Roman"/>
      <w:sz w:val="24"/>
      <w:szCs w:val="24"/>
      <w:lang w:eastAsia="ru-RU"/>
    </w:rPr>
  </w:style>
  <w:style w:type="paragraph" w:customStyle="1" w:styleId="form-item10">
    <w:name w:val="form-item10"/>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dependent-options1">
    <w:name w:val="dependent-options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ection1">
    <w:name w:val="section1"/>
    <w:basedOn w:val="a"/>
    <w:rsid w:val="00392894"/>
    <w:pPr>
      <w:spacing w:before="100" w:beforeAutospacing="1" w:after="100" w:afterAutospacing="1" w:line="240" w:lineRule="auto"/>
      <w:jc w:val="center"/>
    </w:pPr>
    <w:rPr>
      <w:rFonts w:ascii="Times New Roman" w:eastAsia="Times New Roman" w:hAnsi="Times New Roman" w:cs="Times New Roman"/>
      <w:b/>
      <w:bCs/>
      <w:i/>
      <w:iCs/>
      <w:sz w:val="18"/>
      <w:szCs w:val="18"/>
      <w:lang w:eastAsia="ru-RU"/>
    </w:rPr>
  </w:style>
  <w:style w:type="paragraph" w:customStyle="1" w:styleId="fieldset-wrapper2">
    <w:name w:val="fieldset-wrapper2"/>
    <w:basedOn w:val="a"/>
    <w:rsid w:val="00392894"/>
    <w:pPr>
      <w:spacing w:before="100" w:beforeAutospacing="1" w:after="100" w:afterAutospacing="1" w:line="240" w:lineRule="auto"/>
    </w:pPr>
    <w:rPr>
      <w:rFonts w:ascii="Times New Roman" w:eastAsia="Times New Roman" w:hAnsi="Times New Roman" w:cs="Times New Roman"/>
      <w:sz w:val="21"/>
      <w:szCs w:val="21"/>
      <w:lang w:eastAsia="ru-RU"/>
    </w:rPr>
  </w:style>
  <w:style w:type="paragraph" w:customStyle="1" w:styleId="field-item1">
    <w:name w:val="field-item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lock1">
    <w:name w:val="block1"/>
    <w:basedOn w:val="a"/>
    <w:rsid w:val="00392894"/>
    <w:pPr>
      <w:pBdr>
        <w:top w:val="single" w:sz="6" w:space="12" w:color="A89664"/>
        <w:left w:val="single" w:sz="6" w:space="12" w:color="A89664"/>
        <w:bottom w:val="single" w:sz="6" w:space="12" w:color="A89664"/>
        <w:right w:val="single" w:sz="6" w:space="12" w:color="A89664"/>
      </w:pBdr>
      <w:spacing w:before="240" w:after="100" w:afterAutospacing="1" w:line="240" w:lineRule="auto"/>
    </w:pPr>
    <w:rPr>
      <w:rFonts w:ascii="Times New Roman" w:eastAsia="Times New Roman" w:hAnsi="Times New Roman" w:cs="Times New Roman"/>
      <w:sz w:val="24"/>
      <w:szCs w:val="24"/>
      <w:lang w:eastAsia="ru-RU"/>
    </w:rPr>
  </w:style>
  <w:style w:type="paragraph" w:customStyle="1" w:styleId="informer1">
    <w:name w:val="informer1"/>
    <w:basedOn w:val="a"/>
    <w:rsid w:val="00392894"/>
    <w:pPr>
      <w:spacing w:before="100" w:beforeAutospacing="1" w:after="0" w:line="240" w:lineRule="auto"/>
    </w:pPr>
    <w:rPr>
      <w:rFonts w:ascii="Times New Roman" w:eastAsia="Times New Roman" w:hAnsi="Times New Roman" w:cs="Times New Roman"/>
      <w:sz w:val="24"/>
      <w:szCs w:val="24"/>
      <w:lang w:eastAsia="ru-RU"/>
    </w:rPr>
  </w:style>
  <w:style w:type="paragraph" w:customStyle="1" w:styleId="node-teaser1">
    <w:name w:val="node-teaser1"/>
    <w:basedOn w:val="a"/>
    <w:rsid w:val="00392894"/>
    <w:pPr>
      <w:pBdr>
        <w:bottom w:val="dotted" w:sz="6" w:space="0" w:color="A89664"/>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de-sticky1">
    <w:name w:val="node-sticky1"/>
    <w:basedOn w:val="a"/>
    <w:rsid w:val="00392894"/>
    <w:pPr>
      <w:spacing w:before="375" w:after="100" w:afterAutospacing="1" w:line="240" w:lineRule="auto"/>
    </w:pPr>
    <w:rPr>
      <w:rFonts w:ascii="Times New Roman" w:eastAsia="Times New Roman" w:hAnsi="Times New Roman" w:cs="Times New Roman"/>
      <w:sz w:val="24"/>
      <w:szCs w:val="24"/>
      <w:lang w:eastAsia="ru-RU"/>
    </w:rPr>
  </w:style>
  <w:style w:type="paragraph" w:customStyle="1" w:styleId="forum-post1">
    <w:name w:val="forum-post1"/>
    <w:basedOn w:val="a"/>
    <w:rsid w:val="00392894"/>
    <w:pPr>
      <w:pBdr>
        <w:left w:val="dotted" w:sz="6" w:space="6" w:color="A89664"/>
        <w:bottom w:val="dotted" w:sz="6" w:space="6" w:color="A89664"/>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ser-picture2">
    <w:name w:val="user-picture2"/>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2f0">
    <w:name w:val="Заголовок2"/>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3d">
    <w:name w:val="Заголовок3"/>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4a">
    <w:name w:val="Заголовок4"/>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ib">
    <w:name w:val="ib"/>
    <w:basedOn w:val="a0"/>
    <w:rsid w:val="00392894"/>
  </w:style>
  <w:style w:type="character" w:customStyle="1" w:styleId="flright">
    <w:name w:val="flright"/>
    <w:basedOn w:val="a0"/>
    <w:rsid w:val="00392894"/>
  </w:style>
  <w:style w:type="character" w:customStyle="1" w:styleId="gogofoundword2">
    <w:name w:val="gogofoundword2"/>
    <w:basedOn w:val="a0"/>
    <w:rsid w:val="00392894"/>
    <w:rPr>
      <w:shd w:val="clear" w:color="auto" w:fill="FFFF00"/>
    </w:rPr>
  </w:style>
  <w:style w:type="paragraph" w:styleId="afff">
    <w:name w:val="List Paragraph"/>
    <w:basedOn w:val="a"/>
    <w:uiPriority w:val="34"/>
    <w:qFormat/>
    <w:rsid w:val="00392894"/>
    <w:pPr>
      <w:spacing w:after="160" w:line="259" w:lineRule="auto"/>
      <w:ind w:left="720"/>
      <w:contextualSpacing/>
    </w:pPr>
  </w:style>
  <w:style w:type="character" w:customStyle="1" w:styleId="ArialUnicodeMS7pt0pt">
    <w:name w:val="Основной текст + Arial Unicode MS;7 pt;Полужирный;Курсив;Интервал 0 pt"/>
    <w:basedOn w:val="aff"/>
    <w:rsid w:val="00392894"/>
    <w:rPr>
      <w:rFonts w:ascii="Arial Unicode MS" w:eastAsia="Arial Unicode MS" w:hAnsi="Arial Unicode MS" w:cs="Arial Unicode MS"/>
      <w:b/>
      <w:bCs/>
      <w:i/>
      <w:iCs/>
      <w:smallCaps w:val="0"/>
      <w:strike w:val="0"/>
      <w:spacing w:val="10"/>
      <w:sz w:val="14"/>
      <w:szCs w:val="14"/>
      <w:shd w:val="clear" w:color="auto" w:fill="FFFFFF"/>
    </w:rPr>
  </w:style>
  <w:style w:type="character" w:customStyle="1" w:styleId="Bodytext2">
    <w:name w:val="Body text (2)"/>
    <w:basedOn w:val="a0"/>
    <w:rsid w:val="00392894"/>
    <w:rPr>
      <w:rFonts w:ascii="Times New Roman" w:eastAsia="Times New Roman" w:hAnsi="Times New Roman" w:cs="Times New Roman"/>
      <w:b w:val="0"/>
      <w:bCs w:val="0"/>
      <w:i w:val="0"/>
      <w:iCs w:val="0"/>
      <w:smallCaps w:val="0"/>
      <w:strike w:val="0"/>
      <w:spacing w:val="0"/>
      <w:sz w:val="18"/>
      <w:szCs w:val="18"/>
    </w:rPr>
  </w:style>
  <w:style w:type="character" w:customStyle="1" w:styleId="Bodytext3">
    <w:name w:val="Body text (3)"/>
    <w:basedOn w:val="a0"/>
    <w:rsid w:val="00392894"/>
    <w:rPr>
      <w:rFonts w:ascii="Times New Roman" w:eastAsia="Times New Roman" w:hAnsi="Times New Roman" w:cs="Times New Roman"/>
      <w:b w:val="0"/>
      <w:bCs w:val="0"/>
      <w:i w:val="0"/>
      <w:iCs w:val="0"/>
      <w:smallCaps w:val="0"/>
      <w:strike w:val="0"/>
      <w:spacing w:val="0"/>
      <w:sz w:val="18"/>
      <w:szCs w:val="18"/>
    </w:rPr>
  </w:style>
  <w:style w:type="character" w:customStyle="1" w:styleId="Bodytext">
    <w:name w:val="Body text_"/>
    <w:basedOn w:val="a0"/>
    <w:link w:val="620"/>
    <w:uiPriority w:val="99"/>
    <w:rsid w:val="00392894"/>
    <w:rPr>
      <w:rFonts w:ascii="Times New Roman" w:eastAsia="Times New Roman" w:hAnsi="Times New Roman" w:cs="Times New Roman"/>
      <w:shd w:val="clear" w:color="auto" w:fill="FFFFFF"/>
    </w:rPr>
  </w:style>
  <w:style w:type="paragraph" w:customStyle="1" w:styleId="620">
    <w:name w:val="Основной текст62"/>
    <w:basedOn w:val="a"/>
    <w:link w:val="Bodytext"/>
    <w:rsid w:val="00392894"/>
    <w:pPr>
      <w:shd w:val="clear" w:color="auto" w:fill="FFFFFF"/>
      <w:spacing w:before="420" w:after="0" w:line="216" w:lineRule="exact"/>
      <w:jc w:val="both"/>
    </w:pPr>
    <w:rPr>
      <w:rFonts w:ascii="Times New Roman" w:eastAsia="Times New Roman" w:hAnsi="Times New Roman" w:cs="Times New Roman"/>
    </w:rPr>
  </w:style>
  <w:style w:type="character" w:customStyle="1" w:styleId="Heading3">
    <w:name w:val="Heading #3"/>
    <w:basedOn w:val="a0"/>
    <w:rsid w:val="00392894"/>
    <w:rPr>
      <w:rFonts w:ascii="Times New Roman" w:eastAsia="Times New Roman" w:hAnsi="Times New Roman" w:cs="Times New Roman"/>
      <w:b w:val="0"/>
      <w:bCs w:val="0"/>
      <w:i w:val="0"/>
      <w:iCs w:val="0"/>
      <w:smallCaps w:val="0"/>
      <w:strike w:val="0"/>
      <w:spacing w:val="0"/>
      <w:sz w:val="23"/>
      <w:szCs w:val="23"/>
    </w:rPr>
  </w:style>
  <w:style w:type="character" w:customStyle="1" w:styleId="59">
    <w:name w:val="Основной текст5"/>
    <w:basedOn w:val="Bodytext"/>
    <w:rsid w:val="00392894"/>
    <w:rPr>
      <w:rFonts w:ascii="Times New Roman" w:eastAsia="Times New Roman" w:hAnsi="Times New Roman" w:cs="Times New Roman"/>
      <w:shd w:val="clear" w:color="auto" w:fill="FFFFFF"/>
    </w:rPr>
  </w:style>
  <w:style w:type="character" w:customStyle="1" w:styleId="Footnote0">
    <w:name w:val="Footnote"/>
    <w:basedOn w:val="a0"/>
    <w:rsid w:val="00392894"/>
    <w:rPr>
      <w:rFonts w:ascii="Times New Roman" w:eastAsia="Times New Roman" w:hAnsi="Times New Roman" w:cs="Times New Roman"/>
      <w:b w:val="0"/>
      <w:bCs w:val="0"/>
      <w:i w:val="0"/>
      <w:iCs w:val="0"/>
      <w:smallCaps w:val="0"/>
      <w:strike w:val="0"/>
      <w:spacing w:val="0"/>
      <w:sz w:val="18"/>
      <w:szCs w:val="18"/>
    </w:rPr>
  </w:style>
  <w:style w:type="character" w:customStyle="1" w:styleId="65">
    <w:name w:val="Основной текст6"/>
    <w:basedOn w:val="Bodytext"/>
    <w:rsid w:val="00392894"/>
    <w:rPr>
      <w:rFonts w:ascii="Times New Roman" w:eastAsia="Times New Roman" w:hAnsi="Times New Roman" w:cs="Times New Roman"/>
      <w:shd w:val="clear" w:color="auto" w:fill="FFFFFF"/>
    </w:rPr>
  </w:style>
  <w:style w:type="character" w:customStyle="1" w:styleId="Heading4">
    <w:name w:val="Heading #4"/>
    <w:basedOn w:val="a0"/>
    <w:rsid w:val="00392894"/>
    <w:rPr>
      <w:rFonts w:ascii="Times New Roman" w:eastAsia="Times New Roman" w:hAnsi="Times New Roman" w:cs="Times New Roman"/>
      <w:b w:val="0"/>
      <w:bCs w:val="0"/>
      <w:i w:val="0"/>
      <w:iCs w:val="0"/>
      <w:smallCaps w:val="0"/>
      <w:strike w:val="0"/>
      <w:spacing w:val="0"/>
      <w:sz w:val="20"/>
      <w:szCs w:val="20"/>
    </w:rPr>
  </w:style>
  <w:style w:type="character" w:customStyle="1" w:styleId="BodytextItalic">
    <w:name w:val="Body text + Italic"/>
    <w:basedOn w:val="Bodytext"/>
    <w:rsid w:val="00392894"/>
    <w:rPr>
      <w:rFonts w:ascii="Times New Roman" w:eastAsia="Times New Roman" w:hAnsi="Times New Roman" w:cs="Times New Roman"/>
      <w:i/>
      <w:iCs/>
      <w:shd w:val="clear" w:color="auto" w:fill="FFFFFF"/>
    </w:rPr>
  </w:style>
  <w:style w:type="character" w:customStyle="1" w:styleId="75">
    <w:name w:val="Основной текст7"/>
    <w:basedOn w:val="Bodytext"/>
    <w:rsid w:val="00392894"/>
    <w:rPr>
      <w:rFonts w:ascii="Times New Roman" w:eastAsia="Times New Roman" w:hAnsi="Times New Roman" w:cs="Times New Roman"/>
      <w:shd w:val="clear" w:color="auto" w:fill="FFFFFF"/>
    </w:rPr>
  </w:style>
  <w:style w:type="character" w:customStyle="1" w:styleId="92">
    <w:name w:val="Основной текст9"/>
    <w:basedOn w:val="Bodytext"/>
    <w:rsid w:val="00392894"/>
    <w:rPr>
      <w:rFonts w:ascii="Times New Roman" w:eastAsia="Times New Roman" w:hAnsi="Times New Roman" w:cs="Times New Roman"/>
      <w:shd w:val="clear" w:color="auto" w:fill="FFFFFF"/>
    </w:rPr>
  </w:style>
  <w:style w:type="character" w:customStyle="1" w:styleId="Bodytext211pt">
    <w:name w:val="Body text (2) + 11 pt"/>
    <w:basedOn w:val="a0"/>
    <w:rsid w:val="00392894"/>
    <w:rPr>
      <w:rFonts w:ascii="Times New Roman" w:eastAsia="Times New Roman" w:hAnsi="Times New Roman" w:cs="Times New Roman"/>
      <w:b w:val="0"/>
      <w:bCs w:val="0"/>
      <w:i w:val="0"/>
      <w:iCs w:val="0"/>
      <w:smallCaps w:val="0"/>
      <w:strike w:val="0"/>
      <w:spacing w:val="0"/>
      <w:sz w:val="22"/>
      <w:szCs w:val="22"/>
    </w:rPr>
  </w:style>
  <w:style w:type="paragraph" w:customStyle="1" w:styleId="a00">
    <w:name w:val="a0"/>
    <w:basedOn w:val="a"/>
    <w:rsid w:val="00392894"/>
    <w:pPr>
      <w:spacing w:after="75" w:line="240" w:lineRule="auto"/>
    </w:pPr>
    <w:rPr>
      <w:rFonts w:ascii="Times New Roman" w:eastAsia="Times New Roman" w:hAnsi="Times New Roman" w:cs="Times New Roman"/>
      <w:sz w:val="24"/>
      <w:szCs w:val="24"/>
      <w:lang w:eastAsia="ru-RU"/>
    </w:rPr>
  </w:style>
  <w:style w:type="character" w:customStyle="1" w:styleId="66">
    <w:name w:val="Основной текст (6)_"/>
    <w:basedOn w:val="a0"/>
    <w:link w:val="67"/>
    <w:locked/>
    <w:rsid w:val="00392894"/>
    <w:rPr>
      <w:rFonts w:ascii="Times New Roman" w:hAnsi="Times New Roman" w:cs="Times New Roman"/>
      <w:b/>
      <w:bCs/>
      <w:sz w:val="20"/>
      <w:szCs w:val="20"/>
      <w:shd w:val="clear" w:color="auto" w:fill="FFFFFF"/>
    </w:rPr>
  </w:style>
  <w:style w:type="paragraph" w:customStyle="1" w:styleId="67">
    <w:name w:val="Основной текст (6)"/>
    <w:basedOn w:val="a"/>
    <w:link w:val="66"/>
    <w:rsid w:val="00392894"/>
    <w:pPr>
      <w:shd w:val="clear" w:color="auto" w:fill="FFFFFF"/>
      <w:spacing w:before="600" w:after="0" w:line="240" w:lineRule="exact"/>
      <w:jc w:val="center"/>
    </w:pPr>
    <w:rPr>
      <w:rFonts w:ascii="Times New Roman" w:hAnsi="Times New Roman" w:cs="Times New Roman"/>
      <w:b/>
      <w:bCs/>
      <w:sz w:val="20"/>
      <w:szCs w:val="20"/>
    </w:rPr>
  </w:style>
  <w:style w:type="character" w:customStyle="1" w:styleId="3e">
    <w:name w:val="Основной текст (3) + Не курсив"/>
    <w:basedOn w:val="34"/>
    <w:rsid w:val="00392894"/>
    <w:rPr>
      <w:rFonts w:ascii="Times New Roman" w:hAnsi="Times New Roman" w:cs="Times New Roman"/>
      <w:b/>
      <w:bCs/>
      <w:i/>
      <w:iCs/>
      <w:noProof/>
      <w:sz w:val="20"/>
      <w:szCs w:val="20"/>
      <w:shd w:val="clear" w:color="auto" w:fill="FFFFFF"/>
      <w:lang w:val="en-US"/>
    </w:rPr>
  </w:style>
  <w:style w:type="character" w:customStyle="1" w:styleId="341">
    <w:name w:val="Заголовок №3 (4)_"/>
    <w:basedOn w:val="a0"/>
    <w:link w:val="342"/>
    <w:locked/>
    <w:rsid w:val="00392894"/>
    <w:rPr>
      <w:rFonts w:ascii="Times New Roman" w:hAnsi="Times New Roman" w:cs="Times New Roman"/>
      <w:sz w:val="20"/>
      <w:szCs w:val="20"/>
      <w:shd w:val="clear" w:color="auto" w:fill="FFFFFF"/>
    </w:rPr>
  </w:style>
  <w:style w:type="paragraph" w:customStyle="1" w:styleId="342">
    <w:name w:val="Заголовок №3 (4)"/>
    <w:basedOn w:val="a"/>
    <w:link w:val="341"/>
    <w:rsid w:val="00392894"/>
    <w:pPr>
      <w:shd w:val="clear" w:color="auto" w:fill="FFFFFF"/>
      <w:spacing w:after="0" w:line="235" w:lineRule="exact"/>
      <w:jc w:val="center"/>
      <w:outlineLvl w:val="2"/>
    </w:pPr>
    <w:rPr>
      <w:rFonts w:ascii="Times New Roman" w:hAnsi="Times New Roman" w:cs="Times New Roman"/>
      <w:sz w:val="20"/>
      <w:szCs w:val="20"/>
    </w:rPr>
  </w:style>
  <w:style w:type="character" w:customStyle="1" w:styleId="341pt">
    <w:name w:val="Заголовок №3 (4) + Интервал 1 pt"/>
    <w:basedOn w:val="341"/>
    <w:rsid w:val="00392894"/>
    <w:rPr>
      <w:rFonts w:ascii="Times New Roman" w:hAnsi="Times New Roman" w:cs="Times New Roman"/>
      <w:spacing w:val="30"/>
      <w:sz w:val="20"/>
      <w:szCs w:val="20"/>
      <w:shd w:val="clear" w:color="auto" w:fill="FFFFFF"/>
    </w:rPr>
  </w:style>
  <w:style w:type="character" w:customStyle="1" w:styleId="93">
    <w:name w:val="Колонтитул + 9"/>
    <w:aliases w:val="5 pt8,Курсив5"/>
    <w:basedOn w:val="aff7"/>
    <w:rsid w:val="00392894"/>
    <w:rPr>
      <w:rFonts w:ascii="Times New Roman" w:hAnsi="Times New Roman" w:cs="Times New Roman"/>
      <w:i/>
      <w:iCs/>
      <w:spacing w:val="0"/>
      <w:sz w:val="19"/>
      <w:szCs w:val="19"/>
      <w:shd w:val="clear" w:color="auto" w:fill="FFFFFF"/>
    </w:rPr>
  </w:style>
  <w:style w:type="character" w:customStyle="1" w:styleId="31pt">
    <w:name w:val="Заголовок №3 + Интервал 1 pt"/>
    <w:basedOn w:val="3b"/>
    <w:rsid w:val="00392894"/>
    <w:rPr>
      <w:rFonts w:ascii="Times New Roman" w:hAnsi="Times New Roman" w:cs="Times New Roman"/>
      <w:spacing w:val="20"/>
      <w:sz w:val="52"/>
      <w:szCs w:val="52"/>
      <w:shd w:val="clear" w:color="auto" w:fill="FFFFFF"/>
    </w:rPr>
  </w:style>
  <w:style w:type="character" w:customStyle="1" w:styleId="122">
    <w:name w:val="Колонтитул + 12"/>
    <w:aliases w:val="5 pt4"/>
    <w:basedOn w:val="aff7"/>
    <w:rsid w:val="00392894"/>
    <w:rPr>
      <w:rFonts w:ascii="Times New Roman" w:hAnsi="Times New Roman" w:cs="Times New Roman"/>
      <w:spacing w:val="0"/>
      <w:sz w:val="25"/>
      <w:szCs w:val="25"/>
      <w:shd w:val="clear" w:color="auto" w:fill="FFFFFF"/>
    </w:rPr>
  </w:style>
  <w:style w:type="character" w:customStyle="1" w:styleId="115pt">
    <w:name w:val="Колонтитул + 11;5 pt"/>
    <w:basedOn w:val="aff7"/>
    <w:rsid w:val="00392894"/>
    <w:rPr>
      <w:rFonts w:ascii="Times New Roman" w:eastAsia="Times New Roman" w:hAnsi="Times New Roman" w:cs="Times New Roman"/>
      <w:b w:val="0"/>
      <w:bCs w:val="0"/>
      <w:i w:val="0"/>
      <w:iCs w:val="0"/>
      <w:smallCaps w:val="0"/>
      <w:strike w:val="0"/>
      <w:spacing w:val="0"/>
      <w:sz w:val="23"/>
      <w:szCs w:val="23"/>
      <w:shd w:val="clear" w:color="auto" w:fill="FFFFFF"/>
    </w:rPr>
  </w:style>
  <w:style w:type="character" w:customStyle="1" w:styleId="2f1">
    <w:name w:val="Основной текст (2) + Курсив"/>
    <w:basedOn w:val="2a"/>
    <w:uiPriority w:val="99"/>
    <w:rsid w:val="00392894"/>
    <w:rPr>
      <w:rFonts w:ascii="Times New Roman" w:eastAsia="Times New Roman" w:hAnsi="Times New Roman" w:cs="Times New Roman"/>
      <w:b/>
      <w:bCs/>
      <w:i/>
      <w:iCs/>
      <w:smallCaps w:val="0"/>
      <w:strike w:val="0"/>
      <w:spacing w:val="0"/>
      <w:sz w:val="21"/>
      <w:szCs w:val="21"/>
      <w:shd w:val="clear" w:color="auto" w:fill="FFFFFF"/>
    </w:rPr>
  </w:style>
  <w:style w:type="character" w:customStyle="1" w:styleId="213">
    <w:name w:val="Основной текст (2) + Курсив1"/>
    <w:basedOn w:val="2a"/>
    <w:uiPriority w:val="99"/>
    <w:rsid w:val="00392894"/>
    <w:rPr>
      <w:rFonts w:ascii="Times New Roman" w:eastAsia="Times New Roman" w:hAnsi="Times New Roman" w:cs="Times New Roman"/>
      <w:b/>
      <w:bCs/>
      <w:i/>
      <w:iCs/>
      <w:smallCaps w:val="0"/>
      <w:strike w:val="0"/>
      <w:spacing w:val="0"/>
      <w:sz w:val="21"/>
      <w:szCs w:val="21"/>
      <w:shd w:val="clear" w:color="auto" w:fill="FFFFFF"/>
    </w:rPr>
  </w:style>
  <w:style w:type="character" w:customStyle="1" w:styleId="380">
    <w:name w:val="Основной текст + Курсив38"/>
    <w:basedOn w:val="a0"/>
    <w:uiPriority w:val="99"/>
    <w:rsid w:val="00392894"/>
    <w:rPr>
      <w:rFonts w:ascii="Arial Narrow" w:hAnsi="Arial Narrow" w:cs="Arial Narrow"/>
      <w:i/>
      <w:iCs/>
      <w:sz w:val="18"/>
      <w:szCs w:val="18"/>
      <w:shd w:val="clear" w:color="auto" w:fill="FFFFFF"/>
    </w:rPr>
  </w:style>
  <w:style w:type="character" w:customStyle="1" w:styleId="480">
    <w:name w:val="Основной текст + Полужирный48"/>
    <w:basedOn w:val="a0"/>
    <w:uiPriority w:val="99"/>
    <w:rsid w:val="00392894"/>
    <w:rPr>
      <w:rFonts w:ascii="Arial Narrow" w:hAnsi="Arial Narrow" w:cs="Arial Narrow"/>
      <w:b/>
      <w:bCs/>
      <w:sz w:val="18"/>
      <w:szCs w:val="18"/>
      <w:shd w:val="clear" w:color="auto" w:fill="FFFFFF"/>
    </w:rPr>
  </w:style>
  <w:style w:type="paragraph" w:customStyle="1" w:styleId="1f">
    <w:name w:val="Подпись к картинке1"/>
    <w:basedOn w:val="a"/>
    <w:uiPriority w:val="99"/>
    <w:rsid w:val="00392894"/>
    <w:pPr>
      <w:shd w:val="clear" w:color="auto" w:fill="FFFFFF"/>
      <w:spacing w:after="0" w:line="240" w:lineRule="atLeast"/>
      <w:ind w:hanging="280"/>
    </w:pPr>
    <w:rPr>
      <w:rFonts w:ascii="Arial" w:eastAsia="Arial Unicode MS" w:hAnsi="Arial" w:cs="Arial"/>
      <w:b/>
      <w:bCs/>
      <w:sz w:val="14"/>
      <w:szCs w:val="14"/>
      <w:lang w:eastAsia="ru-RU"/>
    </w:rPr>
  </w:style>
  <w:style w:type="character" w:customStyle="1" w:styleId="371">
    <w:name w:val="Основной текст + Курсив37"/>
    <w:basedOn w:val="a0"/>
    <w:uiPriority w:val="99"/>
    <w:rsid w:val="00392894"/>
    <w:rPr>
      <w:rFonts w:ascii="Arial Narrow" w:hAnsi="Arial Narrow" w:cs="Arial Narrow"/>
      <w:i/>
      <w:iCs/>
      <w:sz w:val="18"/>
      <w:szCs w:val="18"/>
      <w:shd w:val="clear" w:color="auto" w:fill="FFFFFF"/>
    </w:rPr>
  </w:style>
  <w:style w:type="character" w:customStyle="1" w:styleId="afff0">
    <w:name w:val="Оглавление_"/>
    <w:basedOn w:val="a0"/>
    <w:uiPriority w:val="99"/>
    <w:rsid w:val="00392894"/>
    <w:rPr>
      <w:rFonts w:ascii="Arial Narrow" w:hAnsi="Arial Narrow" w:cs="Arial Narrow"/>
      <w:sz w:val="18"/>
      <w:szCs w:val="18"/>
      <w:shd w:val="clear" w:color="auto" w:fill="FFFFFF"/>
    </w:rPr>
  </w:style>
  <w:style w:type="character" w:customStyle="1" w:styleId="430">
    <w:name w:val="Основной текст + Полужирный43"/>
    <w:basedOn w:val="a0"/>
    <w:uiPriority w:val="99"/>
    <w:rsid w:val="00392894"/>
    <w:rPr>
      <w:rFonts w:ascii="Arial Narrow" w:hAnsi="Arial Narrow" w:cs="Arial Narrow"/>
      <w:b/>
      <w:bCs/>
      <w:spacing w:val="0"/>
      <w:sz w:val="18"/>
      <w:szCs w:val="18"/>
      <w:shd w:val="clear" w:color="auto" w:fill="FFFFFF"/>
    </w:rPr>
  </w:style>
  <w:style w:type="character" w:customStyle="1" w:styleId="312">
    <w:name w:val="Основной текст + Курсив31"/>
    <w:basedOn w:val="a0"/>
    <w:uiPriority w:val="99"/>
    <w:rsid w:val="00392894"/>
    <w:rPr>
      <w:rFonts w:ascii="Arial Narrow" w:hAnsi="Arial Narrow" w:cs="Arial Narrow"/>
      <w:i/>
      <w:iCs/>
      <w:spacing w:val="0"/>
      <w:sz w:val="18"/>
      <w:szCs w:val="18"/>
      <w:shd w:val="clear" w:color="auto" w:fill="FFFFFF"/>
    </w:rPr>
  </w:style>
  <w:style w:type="paragraph" w:customStyle="1" w:styleId="1010">
    <w:name w:val="Основной текст (10)1"/>
    <w:basedOn w:val="a"/>
    <w:uiPriority w:val="99"/>
    <w:rsid w:val="00392894"/>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1031">
    <w:name w:val="Основной текст (10) + Не курсив31"/>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9">
    <w:name w:val="Основной текст (10) + 9"/>
    <w:aliases w:val="5 pt58,Полужирный55,Не курсив17,Интервал 0 pt37,Основной текст + 102,Малые прописные13,Основной текст (2) + 5 pt"/>
    <w:basedOn w:val="a0"/>
    <w:uiPriority w:val="99"/>
    <w:rsid w:val="00392894"/>
    <w:rPr>
      <w:rFonts w:ascii="Arial Narrow" w:eastAsia="Times New Roman" w:hAnsi="Arial Narrow" w:cs="Arial Narrow"/>
      <w:b/>
      <w:bCs/>
      <w:i w:val="0"/>
      <w:iCs w:val="0"/>
      <w:smallCaps w:val="0"/>
      <w:strike w:val="0"/>
      <w:spacing w:val="-10"/>
      <w:sz w:val="19"/>
      <w:szCs w:val="19"/>
    </w:rPr>
  </w:style>
  <w:style w:type="character" w:customStyle="1" w:styleId="107">
    <w:name w:val="Основной текст (10) + 7"/>
    <w:aliases w:val="5 pt57,Полужирный54,Основной текст + 829"/>
    <w:basedOn w:val="a0"/>
    <w:uiPriority w:val="99"/>
    <w:rsid w:val="00392894"/>
    <w:rPr>
      <w:rFonts w:ascii="Arial Narrow" w:eastAsia="Times New Roman" w:hAnsi="Arial Narrow" w:cs="Arial Narrow"/>
      <w:b/>
      <w:bCs/>
      <w:i/>
      <w:iCs/>
      <w:smallCaps w:val="0"/>
      <w:strike w:val="0"/>
      <w:spacing w:val="0"/>
      <w:sz w:val="15"/>
      <w:szCs w:val="15"/>
    </w:rPr>
  </w:style>
  <w:style w:type="character" w:customStyle="1" w:styleId="1016">
    <w:name w:val="Основной текст (10) + Полужирный16"/>
    <w:basedOn w:val="a0"/>
    <w:uiPriority w:val="99"/>
    <w:rsid w:val="00392894"/>
    <w:rPr>
      <w:rFonts w:ascii="Arial Narrow" w:eastAsia="Times New Roman" w:hAnsi="Arial Narrow" w:cs="Arial Narrow"/>
      <w:b/>
      <w:bCs/>
      <w:i/>
      <w:iCs/>
      <w:smallCaps w:val="0"/>
      <w:strike w:val="0"/>
      <w:spacing w:val="0"/>
      <w:sz w:val="18"/>
      <w:szCs w:val="18"/>
    </w:rPr>
  </w:style>
  <w:style w:type="character" w:customStyle="1" w:styleId="291">
    <w:name w:val="Основной текст + Курсив29"/>
    <w:aliases w:val="Интервал 0 pt55"/>
    <w:basedOn w:val="a0"/>
    <w:uiPriority w:val="99"/>
    <w:rsid w:val="00392894"/>
    <w:rPr>
      <w:rFonts w:ascii="Arial Narrow" w:hAnsi="Arial Narrow" w:cs="Arial Narrow"/>
      <w:i/>
      <w:iCs/>
      <w:spacing w:val="0"/>
      <w:sz w:val="18"/>
      <w:szCs w:val="18"/>
      <w:shd w:val="clear" w:color="auto" w:fill="FFFFFF"/>
    </w:rPr>
  </w:style>
  <w:style w:type="character" w:customStyle="1" w:styleId="1030">
    <w:name w:val="Основной текст (10) + Не курсив30"/>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15">
    <w:name w:val="Основной текст (10) + Полужирный15"/>
    <w:aliases w:val="Не курсив16"/>
    <w:basedOn w:val="a0"/>
    <w:uiPriority w:val="99"/>
    <w:rsid w:val="00392894"/>
    <w:rPr>
      <w:rFonts w:ascii="Arial Narrow" w:eastAsia="Times New Roman" w:hAnsi="Arial Narrow" w:cs="Arial Narrow"/>
      <w:b/>
      <w:bCs/>
      <w:i w:val="0"/>
      <w:iCs w:val="0"/>
      <w:smallCaps w:val="0"/>
      <w:strike w:val="0"/>
      <w:spacing w:val="0"/>
      <w:sz w:val="18"/>
      <w:szCs w:val="18"/>
    </w:rPr>
  </w:style>
  <w:style w:type="character" w:customStyle="1" w:styleId="1029">
    <w:name w:val="Основной текст (10) + Не курсив29"/>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272">
    <w:name w:val="Основной текст + Курсив27"/>
    <w:aliases w:val="Интервал 0 pt52"/>
    <w:basedOn w:val="a0"/>
    <w:uiPriority w:val="99"/>
    <w:rsid w:val="00392894"/>
    <w:rPr>
      <w:rFonts w:ascii="Arial Narrow" w:hAnsi="Arial Narrow" w:cs="Arial Narrow"/>
      <w:i/>
      <w:iCs/>
      <w:spacing w:val="0"/>
      <w:sz w:val="18"/>
      <w:szCs w:val="18"/>
      <w:shd w:val="clear" w:color="auto" w:fill="FFFFFF"/>
    </w:rPr>
  </w:style>
  <w:style w:type="character" w:customStyle="1" w:styleId="1028">
    <w:name w:val="Основной текст (10) + Не курсив28"/>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14">
    <w:name w:val="Основной текст (10) + Полужирный14"/>
    <w:basedOn w:val="a0"/>
    <w:uiPriority w:val="99"/>
    <w:rsid w:val="00392894"/>
    <w:rPr>
      <w:rFonts w:ascii="Arial Narrow" w:eastAsia="Times New Roman" w:hAnsi="Arial Narrow" w:cs="Arial Narrow"/>
      <w:b/>
      <w:bCs/>
      <w:i/>
      <w:iCs/>
      <w:smallCaps w:val="0"/>
      <w:strike w:val="0"/>
      <w:spacing w:val="0"/>
      <w:sz w:val="18"/>
      <w:szCs w:val="18"/>
    </w:rPr>
  </w:style>
  <w:style w:type="character" w:customStyle="1" w:styleId="1091">
    <w:name w:val="Основной текст (10) + 91"/>
    <w:aliases w:val="5 pt54,Полужирный52,Не курсив15,Интервал 0 pt35,Основной текст + 827"/>
    <w:basedOn w:val="a0"/>
    <w:uiPriority w:val="99"/>
    <w:rsid w:val="00392894"/>
    <w:rPr>
      <w:rFonts w:ascii="Arial Narrow" w:eastAsia="Times New Roman" w:hAnsi="Arial Narrow" w:cs="Arial Narrow"/>
      <w:b/>
      <w:bCs/>
      <w:i w:val="0"/>
      <w:iCs w:val="0"/>
      <w:smallCaps w:val="0"/>
      <w:strike w:val="0"/>
      <w:spacing w:val="-10"/>
      <w:sz w:val="19"/>
      <w:szCs w:val="19"/>
    </w:rPr>
  </w:style>
  <w:style w:type="character" w:customStyle="1" w:styleId="10MicrosoftSansSerif">
    <w:name w:val="Основной текст (10) + Microsoft Sans Serif"/>
    <w:aliases w:val="85,5 pt53,Полужирный51,Основной текст + Segoe UI5"/>
    <w:basedOn w:val="a0"/>
    <w:uiPriority w:val="99"/>
    <w:rsid w:val="00392894"/>
    <w:rPr>
      <w:rFonts w:ascii="Microsoft Sans Serif" w:eastAsia="Times New Roman" w:hAnsi="Microsoft Sans Serif" w:cs="Microsoft Sans Serif"/>
      <w:b/>
      <w:bCs/>
      <w:i/>
      <w:iCs/>
      <w:smallCaps w:val="0"/>
      <w:strike w:val="0"/>
      <w:spacing w:val="0"/>
      <w:sz w:val="17"/>
      <w:szCs w:val="17"/>
    </w:rPr>
  </w:style>
  <w:style w:type="character" w:customStyle="1" w:styleId="108pt">
    <w:name w:val="Основной текст (10) + 8 pt"/>
    <w:aliases w:val="Не курсив14"/>
    <w:basedOn w:val="a0"/>
    <w:uiPriority w:val="99"/>
    <w:rsid w:val="00392894"/>
    <w:rPr>
      <w:rFonts w:ascii="Arial Narrow" w:eastAsia="Times New Roman" w:hAnsi="Arial Narrow" w:cs="Arial Narrow"/>
      <w:b w:val="0"/>
      <w:bCs w:val="0"/>
      <w:i w:val="0"/>
      <w:iCs w:val="0"/>
      <w:smallCaps w:val="0"/>
      <w:strike w:val="0"/>
      <w:spacing w:val="0"/>
      <w:w w:val="100"/>
      <w:sz w:val="16"/>
      <w:szCs w:val="16"/>
    </w:rPr>
  </w:style>
  <w:style w:type="character" w:customStyle="1" w:styleId="108pt1">
    <w:name w:val="Основной текст (10) + 8 pt1"/>
    <w:aliases w:val="Не курсив13"/>
    <w:basedOn w:val="a0"/>
    <w:uiPriority w:val="99"/>
    <w:rsid w:val="00392894"/>
    <w:rPr>
      <w:rFonts w:ascii="Arial Narrow" w:eastAsia="Times New Roman" w:hAnsi="Arial Narrow" w:cs="Arial Narrow"/>
      <w:b w:val="0"/>
      <w:bCs w:val="0"/>
      <w:i w:val="0"/>
      <w:iCs w:val="0"/>
      <w:smallCaps w:val="0"/>
      <w:strike w:val="0"/>
      <w:spacing w:val="0"/>
      <w:w w:val="100"/>
      <w:sz w:val="16"/>
      <w:szCs w:val="16"/>
    </w:rPr>
  </w:style>
  <w:style w:type="character" w:customStyle="1" w:styleId="1027">
    <w:name w:val="Основной текст (10) + Не курсив27"/>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26">
    <w:name w:val="Основной текст (10) + Не курсив26"/>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13">
    <w:name w:val="Основной текст (10) + Полужирный13"/>
    <w:basedOn w:val="a0"/>
    <w:uiPriority w:val="99"/>
    <w:rsid w:val="00392894"/>
    <w:rPr>
      <w:rFonts w:ascii="Arial Narrow" w:eastAsia="Times New Roman" w:hAnsi="Arial Narrow" w:cs="Arial Narrow"/>
      <w:b/>
      <w:bCs/>
      <w:i/>
      <w:iCs/>
      <w:smallCaps w:val="0"/>
      <w:strike w:val="0"/>
      <w:spacing w:val="0"/>
      <w:sz w:val="18"/>
      <w:szCs w:val="18"/>
    </w:rPr>
  </w:style>
  <w:style w:type="character" w:customStyle="1" w:styleId="260">
    <w:name w:val="Основной текст + Курсив26"/>
    <w:basedOn w:val="a0"/>
    <w:uiPriority w:val="99"/>
    <w:rsid w:val="00392894"/>
    <w:rPr>
      <w:rFonts w:ascii="Arial Narrow" w:hAnsi="Arial Narrow" w:cs="Arial Narrow"/>
      <w:i/>
      <w:iCs/>
      <w:spacing w:val="0"/>
      <w:sz w:val="18"/>
      <w:szCs w:val="18"/>
      <w:shd w:val="clear" w:color="auto" w:fill="FFFFFF"/>
    </w:rPr>
  </w:style>
  <w:style w:type="character" w:customStyle="1" w:styleId="1025">
    <w:name w:val="Основной текст (10) + Не курсив25"/>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12">
    <w:name w:val="Основной текст (10) + Полужирный12"/>
    <w:aliases w:val="Не курсив12"/>
    <w:basedOn w:val="a0"/>
    <w:uiPriority w:val="99"/>
    <w:rsid w:val="00392894"/>
    <w:rPr>
      <w:rFonts w:ascii="Arial Narrow" w:eastAsia="Times New Roman" w:hAnsi="Arial Narrow" w:cs="Arial Narrow"/>
      <w:b/>
      <w:bCs/>
      <w:i w:val="0"/>
      <w:iCs w:val="0"/>
      <w:smallCaps w:val="0"/>
      <w:strike w:val="0"/>
      <w:spacing w:val="0"/>
      <w:sz w:val="18"/>
      <w:szCs w:val="18"/>
    </w:rPr>
  </w:style>
  <w:style w:type="character" w:customStyle="1" w:styleId="10MicrosoftSansSerif2">
    <w:name w:val="Основной текст (10) + Microsoft Sans Serif2"/>
    <w:aliases w:val="84,5 pt52,Полужирный50,Основной текст + 11 pt4,Основной текст + Segoe UI4"/>
    <w:basedOn w:val="a0"/>
    <w:uiPriority w:val="99"/>
    <w:rsid w:val="00392894"/>
    <w:rPr>
      <w:rFonts w:ascii="Microsoft Sans Serif" w:eastAsia="Times New Roman" w:hAnsi="Microsoft Sans Serif" w:cs="Microsoft Sans Serif"/>
      <w:b/>
      <w:bCs/>
      <w:i/>
      <w:iCs/>
      <w:smallCaps w:val="0"/>
      <w:strike w:val="0"/>
      <w:spacing w:val="0"/>
      <w:sz w:val="17"/>
      <w:szCs w:val="17"/>
    </w:rPr>
  </w:style>
  <w:style w:type="character" w:customStyle="1" w:styleId="134">
    <w:name w:val="Заголовок №13 (4)_"/>
    <w:basedOn w:val="a0"/>
    <w:link w:val="1340"/>
    <w:uiPriority w:val="99"/>
    <w:rsid w:val="00392894"/>
    <w:rPr>
      <w:rFonts w:ascii="Arial Narrow" w:hAnsi="Arial Narrow" w:cs="Arial Narrow"/>
      <w:i/>
      <w:iCs/>
      <w:sz w:val="18"/>
      <w:szCs w:val="18"/>
      <w:shd w:val="clear" w:color="auto" w:fill="FFFFFF"/>
    </w:rPr>
  </w:style>
  <w:style w:type="paragraph" w:customStyle="1" w:styleId="1340">
    <w:name w:val="Заголовок №13 (4)"/>
    <w:basedOn w:val="a"/>
    <w:link w:val="134"/>
    <w:uiPriority w:val="99"/>
    <w:rsid w:val="00392894"/>
    <w:pPr>
      <w:shd w:val="clear" w:color="auto" w:fill="FFFFFF"/>
      <w:spacing w:after="0" w:line="221" w:lineRule="exact"/>
      <w:ind w:firstLine="280"/>
      <w:jc w:val="both"/>
    </w:pPr>
    <w:rPr>
      <w:rFonts w:ascii="Arial Narrow" w:hAnsi="Arial Narrow" w:cs="Arial Narrow"/>
      <w:i/>
      <w:iCs/>
      <w:sz w:val="18"/>
      <w:szCs w:val="18"/>
    </w:rPr>
  </w:style>
  <w:style w:type="character" w:customStyle="1" w:styleId="1341">
    <w:name w:val="Заголовок №13 (4) + Полужирный"/>
    <w:basedOn w:val="134"/>
    <w:uiPriority w:val="99"/>
    <w:rsid w:val="00392894"/>
    <w:rPr>
      <w:rFonts w:ascii="Arial Narrow" w:hAnsi="Arial Narrow" w:cs="Arial Narrow"/>
      <w:b/>
      <w:bCs/>
      <w:i/>
      <w:iCs/>
      <w:sz w:val="18"/>
      <w:szCs w:val="18"/>
      <w:shd w:val="clear" w:color="auto" w:fill="FFFFFF"/>
    </w:rPr>
  </w:style>
  <w:style w:type="character" w:customStyle="1" w:styleId="134FranklinGothicBook">
    <w:name w:val="Заголовок №13 (4) + Franklin Gothic Book"/>
    <w:aliases w:val="96,5 pt51,Полужирный49,Интервал -1 pt12,Колонтитул + MS Reference Sans Serif7"/>
    <w:basedOn w:val="134"/>
    <w:uiPriority w:val="99"/>
    <w:rsid w:val="00392894"/>
    <w:rPr>
      <w:rFonts w:ascii="Franklin Gothic Book" w:hAnsi="Franklin Gothic Book" w:cs="Franklin Gothic Book"/>
      <w:b/>
      <w:bCs/>
      <w:i/>
      <w:iCs/>
      <w:spacing w:val="-20"/>
      <w:sz w:val="19"/>
      <w:szCs w:val="19"/>
      <w:shd w:val="clear" w:color="auto" w:fill="FFFFFF"/>
    </w:rPr>
  </w:style>
  <w:style w:type="character" w:customStyle="1" w:styleId="134MicrosoftSansSerif">
    <w:name w:val="Заголовок №13 (4) + Microsoft Sans Serif"/>
    <w:aliases w:val="83,5 pt50,Полужирный48,Основной текст (6) + 8,Основной текст + Segoe UI3"/>
    <w:basedOn w:val="134"/>
    <w:uiPriority w:val="99"/>
    <w:rsid w:val="00392894"/>
    <w:rPr>
      <w:rFonts w:ascii="Microsoft Sans Serif" w:hAnsi="Microsoft Sans Serif" w:cs="Microsoft Sans Serif"/>
      <w:b/>
      <w:bCs/>
      <w:i/>
      <w:iCs/>
      <w:sz w:val="17"/>
      <w:szCs w:val="17"/>
      <w:shd w:val="clear" w:color="auto" w:fill="FFFFFF"/>
    </w:rPr>
  </w:style>
  <w:style w:type="character" w:customStyle="1" w:styleId="1342">
    <w:name w:val="Заголовок №13 (4) + Не курсив"/>
    <w:basedOn w:val="134"/>
    <w:uiPriority w:val="99"/>
    <w:rsid w:val="00392894"/>
    <w:rPr>
      <w:rFonts w:ascii="Arial Narrow" w:hAnsi="Arial Narrow" w:cs="Arial Narrow"/>
      <w:i w:val="0"/>
      <w:iCs w:val="0"/>
      <w:sz w:val="18"/>
      <w:szCs w:val="18"/>
      <w:shd w:val="clear" w:color="auto" w:fill="FFFFFF"/>
    </w:rPr>
  </w:style>
  <w:style w:type="character" w:customStyle="1" w:styleId="391">
    <w:name w:val="Основной текст + Полужирный39"/>
    <w:basedOn w:val="a0"/>
    <w:uiPriority w:val="99"/>
    <w:rsid w:val="00392894"/>
    <w:rPr>
      <w:rFonts w:ascii="Arial Narrow" w:hAnsi="Arial Narrow" w:cs="Arial Narrow"/>
      <w:b/>
      <w:bCs/>
      <w:spacing w:val="0"/>
      <w:sz w:val="18"/>
      <w:szCs w:val="18"/>
      <w:shd w:val="clear" w:color="auto" w:fill="FFFFFF"/>
    </w:rPr>
  </w:style>
  <w:style w:type="character" w:customStyle="1" w:styleId="912">
    <w:name w:val="Основной текст + 912"/>
    <w:aliases w:val="5 pt49,Полужирный47,Интервал 0 pt34,Основной текст (5) + Не курсив8,Основной текст (2) + 5 pt1"/>
    <w:basedOn w:val="a0"/>
    <w:uiPriority w:val="99"/>
    <w:rsid w:val="00392894"/>
    <w:rPr>
      <w:rFonts w:ascii="Arial Narrow" w:hAnsi="Arial Narrow" w:cs="Arial Narrow"/>
      <w:b/>
      <w:bCs/>
      <w:spacing w:val="-10"/>
      <w:sz w:val="19"/>
      <w:szCs w:val="19"/>
      <w:shd w:val="clear" w:color="auto" w:fill="FFFFFF"/>
    </w:rPr>
  </w:style>
  <w:style w:type="character" w:customStyle="1" w:styleId="1024">
    <w:name w:val="Основной текст (10) + Не курсив24"/>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23">
    <w:name w:val="Основной текст (10) + Не курсив23"/>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221">
    <w:name w:val="Основной текст (22)_"/>
    <w:basedOn w:val="a0"/>
    <w:link w:val="222"/>
    <w:uiPriority w:val="99"/>
    <w:rsid w:val="00392894"/>
    <w:rPr>
      <w:rFonts w:ascii="Arial Narrow" w:hAnsi="Arial Narrow" w:cs="Arial Narrow"/>
      <w:b/>
      <w:bCs/>
      <w:sz w:val="18"/>
      <w:szCs w:val="18"/>
      <w:shd w:val="clear" w:color="auto" w:fill="FFFFFF"/>
    </w:rPr>
  </w:style>
  <w:style w:type="paragraph" w:customStyle="1" w:styleId="222">
    <w:name w:val="Основной текст (22)"/>
    <w:basedOn w:val="a"/>
    <w:link w:val="221"/>
    <w:uiPriority w:val="99"/>
    <w:rsid w:val="00392894"/>
    <w:pPr>
      <w:shd w:val="clear" w:color="auto" w:fill="FFFFFF"/>
      <w:spacing w:after="0" w:line="197" w:lineRule="exact"/>
      <w:jc w:val="both"/>
    </w:pPr>
    <w:rPr>
      <w:rFonts w:ascii="Arial Narrow" w:hAnsi="Arial Narrow" w:cs="Arial Narrow"/>
      <w:b/>
      <w:bCs/>
      <w:sz w:val="18"/>
      <w:szCs w:val="18"/>
    </w:rPr>
  </w:style>
  <w:style w:type="character" w:customStyle="1" w:styleId="251">
    <w:name w:val="Основной текст + Курсив25"/>
    <w:basedOn w:val="a0"/>
    <w:uiPriority w:val="99"/>
    <w:rsid w:val="00392894"/>
    <w:rPr>
      <w:rFonts w:ascii="Arial Narrow" w:hAnsi="Arial Narrow" w:cs="Arial Narrow"/>
      <w:i/>
      <w:iCs/>
      <w:spacing w:val="0"/>
      <w:sz w:val="18"/>
      <w:szCs w:val="18"/>
      <w:shd w:val="clear" w:color="auto" w:fill="FFFFFF"/>
    </w:rPr>
  </w:style>
  <w:style w:type="character" w:customStyle="1" w:styleId="223">
    <w:name w:val="Основной текст (22) + Не полужирный3"/>
    <w:basedOn w:val="221"/>
    <w:uiPriority w:val="99"/>
    <w:rsid w:val="00392894"/>
    <w:rPr>
      <w:rFonts w:ascii="Arial Narrow" w:hAnsi="Arial Narrow" w:cs="Arial Narrow"/>
      <w:b w:val="0"/>
      <w:bCs w:val="0"/>
      <w:spacing w:val="0"/>
      <w:sz w:val="18"/>
      <w:szCs w:val="18"/>
      <w:shd w:val="clear" w:color="auto" w:fill="FFFFFF"/>
    </w:rPr>
  </w:style>
  <w:style w:type="character" w:customStyle="1" w:styleId="229">
    <w:name w:val="Основной текст (22) + 9"/>
    <w:aliases w:val="5 pt48,Интервал 0 pt33"/>
    <w:basedOn w:val="221"/>
    <w:uiPriority w:val="99"/>
    <w:rsid w:val="00392894"/>
    <w:rPr>
      <w:rFonts w:ascii="Arial Narrow" w:hAnsi="Arial Narrow" w:cs="Arial Narrow"/>
      <w:b/>
      <w:bCs/>
      <w:spacing w:val="-10"/>
      <w:sz w:val="19"/>
      <w:szCs w:val="19"/>
      <w:shd w:val="clear" w:color="auto" w:fill="FFFFFF"/>
    </w:rPr>
  </w:style>
  <w:style w:type="character" w:customStyle="1" w:styleId="381">
    <w:name w:val="Основной текст + Полужирный38"/>
    <w:basedOn w:val="a0"/>
    <w:uiPriority w:val="99"/>
    <w:rsid w:val="00392894"/>
    <w:rPr>
      <w:rFonts w:ascii="Arial Narrow" w:hAnsi="Arial Narrow" w:cs="Arial Narrow"/>
      <w:b/>
      <w:bCs/>
      <w:spacing w:val="0"/>
      <w:sz w:val="18"/>
      <w:szCs w:val="18"/>
      <w:shd w:val="clear" w:color="auto" w:fill="FFFFFF"/>
    </w:rPr>
  </w:style>
  <w:style w:type="character" w:customStyle="1" w:styleId="283">
    <w:name w:val="Основной текст + Полужирный28"/>
    <w:aliases w:val="Интервал 0 pt62"/>
    <w:basedOn w:val="a0"/>
    <w:uiPriority w:val="99"/>
    <w:rsid w:val="00392894"/>
    <w:rPr>
      <w:rFonts w:ascii="Arial Narrow" w:hAnsi="Arial Narrow" w:cs="Arial Narrow"/>
      <w:b/>
      <w:bCs/>
      <w:spacing w:val="0"/>
      <w:sz w:val="18"/>
      <w:szCs w:val="18"/>
      <w:shd w:val="clear" w:color="auto" w:fill="FFFFFF"/>
    </w:rPr>
  </w:style>
  <w:style w:type="character" w:customStyle="1" w:styleId="183">
    <w:name w:val="Основной текст + Курсив18"/>
    <w:basedOn w:val="a0"/>
    <w:uiPriority w:val="99"/>
    <w:rsid w:val="00392894"/>
    <w:rPr>
      <w:rFonts w:ascii="Arial Narrow" w:hAnsi="Arial Narrow" w:cs="Arial Narrow"/>
      <w:i/>
      <w:iCs/>
      <w:spacing w:val="0"/>
      <w:sz w:val="18"/>
      <w:szCs w:val="18"/>
      <w:shd w:val="clear" w:color="auto" w:fill="FFFFFF"/>
    </w:rPr>
  </w:style>
  <w:style w:type="character" w:customStyle="1" w:styleId="1f0">
    <w:name w:val="Основной текст Знак1"/>
    <w:basedOn w:val="a0"/>
    <w:uiPriority w:val="99"/>
    <w:rsid w:val="00392894"/>
    <w:rPr>
      <w:rFonts w:ascii="Arial Narrow" w:hAnsi="Arial Narrow" w:cs="Arial Narrow"/>
      <w:sz w:val="18"/>
      <w:szCs w:val="18"/>
      <w:shd w:val="clear" w:color="auto" w:fill="FFFFFF"/>
    </w:rPr>
  </w:style>
  <w:style w:type="character" w:customStyle="1" w:styleId="142">
    <w:name w:val="Основной текст (14)_"/>
    <w:basedOn w:val="a0"/>
    <w:link w:val="143"/>
    <w:uiPriority w:val="99"/>
    <w:rsid w:val="00392894"/>
    <w:rPr>
      <w:rFonts w:ascii="Arial Narrow" w:hAnsi="Arial Narrow" w:cs="Arial Narrow"/>
      <w:b/>
      <w:bCs/>
      <w:sz w:val="16"/>
      <w:szCs w:val="16"/>
      <w:shd w:val="clear" w:color="auto" w:fill="FFFFFF"/>
    </w:rPr>
  </w:style>
  <w:style w:type="paragraph" w:customStyle="1" w:styleId="143">
    <w:name w:val="Основной текст (14)"/>
    <w:basedOn w:val="a"/>
    <w:link w:val="142"/>
    <w:uiPriority w:val="99"/>
    <w:rsid w:val="00392894"/>
    <w:pPr>
      <w:shd w:val="clear" w:color="auto" w:fill="FFFFFF"/>
      <w:spacing w:after="0" w:line="240" w:lineRule="atLeast"/>
    </w:pPr>
    <w:rPr>
      <w:rFonts w:ascii="Arial Narrow" w:hAnsi="Arial Narrow" w:cs="Arial Narrow"/>
      <w:b/>
      <w:bCs/>
      <w:sz w:val="16"/>
      <w:szCs w:val="16"/>
    </w:rPr>
  </w:style>
  <w:style w:type="character" w:customStyle="1" w:styleId="151">
    <w:name w:val="Основной текст (15)_"/>
    <w:basedOn w:val="a0"/>
    <w:link w:val="152"/>
    <w:uiPriority w:val="99"/>
    <w:rsid w:val="00392894"/>
    <w:rPr>
      <w:rFonts w:ascii="Arial Narrow" w:hAnsi="Arial Narrow" w:cs="Arial Narrow"/>
      <w:i/>
      <w:iCs/>
      <w:sz w:val="14"/>
      <w:szCs w:val="14"/>
      <w:shd w:val="clear" w:color="auto" w:fill="FFFFFF"/>
    </w:rPr>
  </w:style>
  <w:style w:type="paragraph" w:customStyle="1" w:styleId="152">
    <w:name w:val="Основной текст (15)"/>
    <w:basedOn w:val="a"/>
    <w:link w:val="151"/>
    <w:uiPriority w:val="99"/>
    <w:rsid w:val="00392894"/>
    <w:pPr>
      <w:shd w:val="clear" w:color="auto" w:fill="FFFFFF"/>
      <w:spacing w:after="0" w:line="163" w:lineRule="exact"/>
      <w:jc w:val="both"/>
    </w:pPr>
    <w:rPr>
      <w:rFonts w:ascii="Arial Narrow" w:hAnsi="Arial Narrow" w:cs="Arial Narrow"/>
      <w:i/>
      <w:iCs/>
      <w:sz w:val="14"/>
      <w:szCs w:val="14"/>
    </w:rPr>
  </w:style>
  <w:style w:type="character" w:customStyle="1" w:styleId="103">
    <w:name w:val="Подпись к картинке (10)_"/>
    <w:basedOn w:val="a0"/>
    <w:link w:val="104"/>
    <w:uiPriority w:val="99"/>
    <w:rsid w:val="00392894"/>
    <w:rPr>
      <w:rFonts w:ascii="MS Reference Sans Serif" w:hAnsi="MS Reference Sans Serif" w:cs="MS Reference Sans Serif"/>
      <w:i/>
      <w:iCs/>
      <w:sz w:val="18"/>
      <w:szCs w:val="18"/>
      <w:shd w:val="clear" w:color="auto" w:fill="FFFFFF"/>
    </w:rPr>
  </w:style>
  <w:style w:type="paragraph" w:customStyle="1" w:styleId="104">
    <w:name w:val="Подпись к картинке (10)"/>
    <w:basedOn w:val="a"/>
    <w:link w:val="103"/>
    <w:uiPriority w:val="99"/>
    <w:rsid w:val="00392894"/>
    <w:pPr>
      <w:shd w:val="clear" w:color="auto" w:fill="FFFFFF"/>
      <w:spacing w:after="0" w:line="240" w:lineRule="atLeast"/>
    </w:pPr>
    <w:rPr>
      <w:rFonts w:ascii="MS Reference Sans Serif" w:hAnsi="MS Reference Sans Serif" w:cs="MS Reference Sans Serif"/>
      <w:i/>
      <w:iCs/>
      <w:sz w:val="18"/>
      <w:szCs w:val="18"/>
    </w:rPr>
  </w:style>
  <w:style w:type="character" w:customStyle="1" w:styleId="640">
    <w:name w:val="Основной текст (64)_"/>
    <w:basedOn w:val="a0"/>
    <w:link w:val="641"/>
    <w:rsid w:val="00392894"/>
    <w:rPr>
      <w:rFonts w:ascii="Franklin Gothic Book" w:hAnsi="Franklin Gothic Book" w:cs="Franklin Gothic Book"/>
      <w:noProof/>
      <w:sz w:val="8"/>
      <w:szCs w:val="8"/>
      <w:shd w:val="clear" w:color="auto" w:fill="FFFFFF"/>
    </w:rPr>
  </w:style>
  <w:style w:type="paragraph" w:customStyle="1" w:styleId="641">
    <w:name w:val="Основной текст (64)"/>
    <w:basedOn w:val="a"/>
    <w:link w:val="640"/>
    <w:rsid w:val="00392894"/>
    <w:pPr>
      <w:shd w:val="clear" w:color="auto" w:fill="FFFFFF"/>
      <w:spacing w:after="0" w:line="240" w:lineRule="atLeast"/>
    </w:pPr>
    <w:rPr>
      <w:rFonts w:ascii="Franklin Gothic Book" w:hAnsi="Franklin Gothic Book" w:cs="Franklin Gothic Book"/>
      <w:noProof/>
      <w:sz w:val="8"/>
      <w:szCs w:val="8"/>
    </w:rPr>
  </w:style>
  <w:style w:type="character" w:customStyle="1" w:styleId="650">
    <w:name w:val="Основной текст (65)_"/>
    <w:basedOn w:val="a0"/>
    <w:link w:val="651"/>
    <w:rsid w:val="00392894"/>
    <w:rPr>
      <w:rFonts w:ascii="Franklin Gothic Book" w:hAnsi="Franklin Gothic Book" w:cs="Franklin Gothic Book"/>
      <w:noProof/>
      <w:sz w:val="8"/>
      <w:szCs w:val="8"/>
      <w:shd w:val="clear" w:color="auto" w:fill="FFFFFF"/>
    </w:rPr>
  </w:style>
  <w:style w:type="paragraph" w:customStyle="1" w:styleId="651">
    <w:name w:val="Основной текст (65)"/>
    <w:basedOn w:val="a"/>
    <w:link w:val="650"/>
    <w:rsid w:val="00392894"/>
    <w:pPr>
      <w:shd w:val="clear" w:color="auto" w:fill="FFFFFF"/>
      <w:spacing w:after="0" w:line="240" w:lineRule="atLeast"/>
    </w:pPr>
    <w:rPr>
      <w:rFonts w:ascii="Franklin Gothic Book" w:hAnsi="Franklin Gothic Book" w:cs="Franklin Gothic Book"/>
      <w:noProof/>
      <w:sz w:val="8"/>
      <w:szCs w:val="8"/>
    </w:rPr>
  </w:style>
  <w:style w:type="character" w:customStyle="1" w:styleId="89pt">
    <w:name w:val="Основной текст (8) + 9 pt"/>
    <w:basedOn w:val="81"/>
    <w:rsid w:val="00392894"/>
    <w:rPr>
      <w:rFonts w:ascii="Arial Narrow" w:eastAsia="Times New Roman" w:hAnsi="Arial Narrow" w:cs="Arial Narrow"/>
      <w:sz w:val="18"/>
      <w:szCs w:val="18"/>
      <w:shd w:val="clear" w:color="auto" w:fill="FFFFFF"/>
    </w:rPr>
  </w:style>
  <w:style w:type="character" w:customStyle="1" w:styleId="87pt1">
    <w:name w:val="Основной текст (8) + 7 pt1"/>
    <w:aliases w:val="Курсив4"/>
    <w:basedOn w:val="81"/>
    <w:uiPriority w:val="99"/>
    <w:rsid w:val="00392894"/>
    <w:rPr>
      <w:rFonts w:ascii="Arial Narrow" w:eastAsia="Times New Roman" w:hAnsi="Arial Narrow" w:cs="Arial Narrow"/>
      <w:i/>
      <w:iCs/>
      <w:sz w:val="14"/>
      <w:szCs w:val="14"/>
      <w:shd w:val="clear" w:color="auto" w:fill="FFFFFF"/>
    </w:rPr>
  </w:style>
  <w:style w:type="character" w:customStyle="1" w:styleId="106">
    <w:name w:val="Основной текст (10) + Не курсив6"/>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5">
    <w:name w:val="Основной текст + Полужирный10"/>
    <w:basedOn w:val="1f0"/>
    <w:uiPriority w:val="99"/>
    <w:rsid w:val="00392894"/>
    <w:rPr>
      <w:rFonts w:ascii="Arial Narrow" w:hAnsi="Arial Narrow" w:cs="Arial Narrow"/>
      <w:b/>
      <w:bCs/>
      <w:spacing w:val="0"/>
      <w:sz w:val="18"/>
      <w:szCs w:val="18"/>
      <w:shd w:val="clear" w:color="auto" w:fill="FFFFFF"/>
    </w:rPr>
  </w:style>
  <w:style w:type="character" w:customStyle="1" w:styleId="0pt0">
    <w:name w:val="Основной текст + Полужирный;Интервал 0 pt"/>
    <w:basedOn w:val="aff"/>
    <w:rsid w:val="00392894"/>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130">
    <w:name w:val="Подпись к картинке (13)_"/>
    <w:basedOn w:val="a0"/>
    <w:link w:val="131"/>
    <w:rsid w:val="00392894"/>
    <w:rPr>
      <w:rFonts w:ascii="Arial Narrow" w:hAnsi="Arial Narrow" w:cs="Arial Narrow"/>
      <w:i/>
      <w:iCs/>
      <w:sz w:val="18"/>
      <w:szCs w:val="18"/>
      <w:shd w:val="clear" w:color="auto" w:fill="FFFFFF"/>
    </w:rPr>
  </w:style>
  <w:style w:type="paragraph" w:customStyle="1" w:styleId="131">
    <w:name w:val="Подпись к картинке (13)"/>
    <w:basedOn w:val="a"/>
    <w:link w:val="130"/>
    <w:rsid w:val="00392894"/>
    <w:pPr>
      <w:shd w:val="clear" w:color="auto" w:fill="FFFFFF"/>
      <w:spacing w:after="0" w:line="240" w:lineRule="atLeast"/>
    </w:pPr>
    <w:rPr>
      <w:rFonts w:ascii="Arial Narrow" w:hAnsi="Arial Narrow" w:cs="Arial Narrow"/>
      <w:i/>
      <w:iCs/>
      <w:sz w:val="18"/>
      <w:szCs w:val="18"/>
    </w:rPr>
  </w:style>
  <w:style w:type="character" w:customStyle="1" w:styleId="95pt-1pt">
    <w:name w:val="Основной текст + 9;5 pt;Полужирный;Интервал -1 pt"/>
    <w:basedOn w:val="aff"/>
    <w:rsid w:val="00392894"/>
    <w:rPr>
      <w:rFonts w:ascii="Arial Narrow" w:eastAsia="Arial Narrow" w:hAnsi="Arial Narrow" w:cs="Arial Narrow"/>
      <w:b/>
      <w:bCs/>
      <w:i w:val="0"/>
      <w:iCs w:val="0"/>
      <w:smallCaps w:val="0"/>
      <w:strike w:val="0"/>
      <w:spacing w:val="-20"/>
      <w:sz w:val="19"/>
      <w:szCs w:val="19"/>
      <w:shd w:val="clear" w:color="auto" w:fill="FFFFFF"/>
    </w:rPr>
  </w:style>
  <w:style w:type="character" w:customStyle="1" w:styleId="90pt">
    <w:name w:val="Основной текст (9) + Не полужирный;Интервал 0 pt"/>
    <w:basedOn w:val="a0"/>
    <w:rsid w:val="00392894"/>
    <w:rPr>
      <w:rFonts w:ascii="Arial Narrow" w:eastAsia="Arial Narrow" w:hAnsi="Arial Narrow" w:cs="Arial Narrow"/>
      <w:b/>
      <w:bCs/>
      <w:i w:val="0"/>
      <w:iCs w:val="0"/>
      <w:smallCaps w:val="0"/>
      <w:strike w:val="0"/>
      <w:spacing w:val="0"/>
      <w:sz w:val="18"/>
      <w:szCs w:val="18"/>
    </w:rPr>
  </w:style>
  <w:style w:type="character" w:customStyle="1" w:styleId="2f2">
    <w:name w:val="Основной текст (2) + Не полужирный"/>
    <w:basedOn w:val="2a"/>
    <w:rsid w:val="00392894"/>
    <w:rPr>
      <w:rFonts w:ascii="Arial Narrow" w:eastAsia="Arial Narrow" w:hAnsi="Arial Narrow" w:cs="Arial Narrow"/>
      <w:b/>
      <w:bCs/>
      <w:i w:val="0"/>
      <w:iCs w:val="0"/>
      <w:smallCaps w:val="0"/>
      <w:strike w:val="0"/>
      <w:spacing w:val="0"/>
      <w:sz w:val="18"/>
      <w:szCs w:val="18"/>
      <w:shd w:val="clear" w:color="auto" w:fill="FFFFFF"/>
    </w:rPr>
  </w:style>
  <w:style w:type="character" w:customStyle="1" w:styleId="10pt-1pt">
    <w:name w:val="Основной текст + 10 pt;Интервал -1 pt"/>
    <w:basedOn w:val="aff"/>
    <w:rsid w:val="00392894"/>
    <w:rPr>
      <w:rFonts w:ascii="Arial Narrow" w:eastAsia="Arial Narrow" w:hAnsi="Arial Narrow" w:cs="Arial Narrow"/>
      <w:b w:val="0"/>
      <w:bCs w:val="0"/>
      <w:i w:val="0"/>
      <w:iCs w:val="0"/>
      <w:smallCaps w:val="0"/>
      <w:strike w:val="0"/>
      <w:spacing w:val="-20"/>
      <w:sz w:val="20"/>
      <w:szCs w:val="20"/>
      <w:shd w:val="clear" w:color="auto" w:fill="FFFFFF"/>
    </w:rPr>
  </w:style>
  <w:style w:type="character" w:customStyle="1" w:styleId="4b">
    <w:name w:val="Основной текст (4) + Не курсив"/>
    <w:basedOn w:val="46"/>
    <w:rsid w:val="00392894"/>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40pt">
    <w:name w:val="Основной текст (4) + Полужирный;Не курсив;Интервал 0 pt"/>
    <w:basedOn w:val="46"/>
    <w:rsid w:val="00392894"/>
    <w:rPr>
      <w:rFonts w:ascii="Arial Narrow" w:eastAsia="Arial Narrow" w:hAnsi="Arial Narrow" w:cs="Arial Narrow"/>
      <w:b/>
      <w:bCs/>
      <w:i/>
      <w:iCs/>
      <w:smallCaps w:val="0"/>
      <w:strike w:val="0"/>
      <w:spacing w:val="-10"/>
      <w:sz w:val="18"/>
      <w:szCs w:val="18"/>
      <w:shd w:val="clear" w:color="auto" w:fill="FFFFFF"/>
    </w:rPr>
  </w:style>
  <w:style w:type="character" w:customStyle="1" w:styleId="4c">
    <w:name w:val="Основной текст (4) + Полужирный"/>
    <w:basedOn w:val="46"/>
    <w:rsid w:val="00392894"/>
    <w:rPr>
      <w:rFonts w:ascii="Arial Narrow" w:eastAsia="Arial Narrow" w:hAnsi="Arial Narrow" w:cs="Arial Narrow"/>
      <w:b/>
      <w:bCs/>
      <w:i w:val="0"/>
      <w:iCs w:val="0"/>
      <w:smallCaps w:val="0"/>
      <w:strike w:val="0"/>
      <w:spacing w:val="0"/>
      <w:sz w:val="18"/>
      <w:szCs w:val="18"/>
      <w:shd w:val="clear" w:color="auto" w:fill="FFFFFF"/>
    </w:rPr>
  </w:style>
  <w:style w:type="character" w:customStyle="1" w:styleId="afff1">
    <w:name w:val="Основной текст + Полужирный;Курсив"/>
    <w:basedOn w:val="aff"/>
    <w:rsid w:val="00392894"/>
    <w:rPr>
      <w:rFonts w:ascii="Arial Narrow" w:eastAsia="Arial Narrow" w:hAnsi="Arial Narrow" w:cs="Arial Narrow"/>
      <w:b/>
      <w:bCs/>
      <w:i/>
      <w:iCs/>
      <w:smallCaps w:val="0"/>
      <w:strike w:val="0"/>
      <w:spacing w:val="0"/>
      <w:sz w:val="18"/>
      <w:szCs w:val="18"/>
      <w:shd w:val="clear" w:color="auto" w:fill="FFFFFF"/>
    </w:rPr>
  </w:style>
  <w:style w:type="character" w:customStyle="1" w:styleId="76">
    <w:name w:val="Заголовок №7_"/>
    <w:basedOn w:val="a0"/>
    <w:link w:val="77"/>
    <w:rsid w:val="00392894"/>
    <w:rPr>
      <w:rFonts w:ascii="Arial Narrow" w:hAnsi="Arial Narrow" w:cs="Arial Narrow"/>
      <w:i/>
      <w:iCs/>
      <w:sz w:val="18"/>
      <w:szCs w:val="18"/>
      <w:shd w:val="clear" w:color="auto" w:fill="FFFFFF"/>
    </w:rPr>
  </w:style>
  <w:style w:type="paragraph" w:customStyle="1" w:styleId="77">
    <w:name w:val="Заголовок №7"/>
    <w:basedOn w:val="a"/>
    <w:link w:val="76"/>
    <w:rsid w:val="00392894"/>
    <w:pPr>
      <w:shd w:val="clear" w:color="auto" w:fill="FFFFFF"/>
      <w:spacing w:after="0" w:line="240" w:lineRule="atLeast"/>
      <w:outlineLvl w:val="6"/>
    </w:pPr>
    <w:rPr>
      <w:rFonts w:ascii="Arial Narrow" w:hAnsi="Arial Narrow" w:cs="Arial Narrow"/>
      <w:i/>
      <w:iCs/>
      <w:sz w:val="18"/>
      <w:szCs w:val="18"/>
    </w:rPr>
  </w:style>
  <w:style w:type="character" w:customStyle="1" w:styleId="75pt">
    <w:name w:val="Основной текст + 7;5 pt;Полужирный"/>
    <w:basedOn w:val="aff"/>
    <w:rsid w:val="00392894"/>
    <w:rPr>
      <w:rFonts w:ascii="Arial Narrow" w:eastAsia="Arial Narrow" w:hAnsi="Arial Narrow" w:cs="Arial Narrow"/>
      <w:b/>
      <w:bCs/>
      <w:i w:val="0"/>
      <w:iCs w:val="0"/>
      <w:smallCaps w:val="0"/>
      <w:strike w:val="0"/>
      <w:spacing w:val="0"/>
      <w:sz w:val="15"/>
      <w:szCs w:val="15"/>
      <w:shd w:val="clear" w:color="auto" w:fill="FFFFFF"/>
    </w:rPr>
  </w:style>
  <w:style w:type="paragraph" w:customStyle="1" w:styleId="161">
    <w:name w:val="Основной текст16"/>
    <w:basedOn w:val="a"/>
    <w:rsid w:val="00392894"/>
    <w:pPr>
      <w:shd w:val="clear" w:color="auto" w:fill="FFFFFF"/>
      <w:spacing w:before="120" w:after="0" w:line="216" w:lineRule="exact"/>
      <w:ind w:hanging="200"/>
      <w:jc w:val="both"/>
    </w:pPr>
    <w:rPr>
      <w:rFonts w:ascii="Arial" w:eastAsia="Arial" w:hAnsi="Arial" w:cs="Arial"/>
      <w:color w:val="000000"/>
      <w:sz w:val="18"/>
      <w:szCs w:val="18"/>
      <w:lang w:eastAsia="ru-RU"/>
    </w:rPr>
  </w:style>
  <w:style w:type="character" w:customStyle="1" w:styleId="10pt-1pt0">
    <w:name w:val="Основной текст + 10 pt;Полужирный;Интервал -1 pt"/>
    <w:basedOn w:val="aff"/>
    <w:rsid w:val="00392894"/>
    <w:rPr>
      <w:rFonts w:ascii="Arial" w:eastAsia="Arial" w:hAnsi="Arial" w:cs="Arial"/>
      <w:b/>
      <w:bCs/>
      <w:i w:val="0"/>
      <w:iCs w:val="0"/>
      <w:smallCaps w:val="0"/>
      <w:strike w:val="0"/>
      <w:spacing w:val="-20"/>
      <w:sz w:val="20"/>
      <w:szCs w:val="20"/>
      <w:shd w:val="clear" w:color="auto" w:fill="FFFFFF"/>
    </w:rPr>
  </w:style>
  <w:style w:type="character" w:customStyle="1" w:styleId="5a">
    <w:name w:val="Основной текст (5)_"/>
    <w:basedOn w:val="a0"/>
    <w:link w:val="5b"/>
    <w:uiPriority w:val="99"/>
    <w:rsid w:val="00392894"/>
    <w:rPr>
      <w:rFonts w:ascii="Times New Roman" w:eastAsia="Times New Roman" w:hAnsi="Times New Roman" w:cs="Times New Roman"/>
      <w:sz w:val="17"/>
      <w:szCs w:val="17"/>
      <w:shd w:val="clear" w:color="auto" w:fill="FFFFFF"/>
    </w:rPr>
  </w:style>
  <w:style w:type="paragraph" w:customStyle="1" w:styleId="5b">
    <w:name w:val="Основной текст (5)"/>
    <w:basedOn w:val="a"/>
    <w:link w:val="5a"/>
    <w:uiPriority w:val="99"/>
    <w:rsid w:val="00392894"/>
    <w:pPr>
      <w:shd w:val="clear" w:color="auto" w:fill="FFFFFF"/>
      <w:spacing w:before="120" w:after="0" w:line="202" w:lineRule="exact"/>
      <w:jc w:val="both"/>
    </w:pPr>
    <w:rPr>
      <w:rFonts w:ascii="Times New Roman" w:eastAsia="Times New Roman" w:hAnsi="Times New Roman" w:cs="Times New Roman"/>
      <w:sz w:val="17"/>
      <w:szCs w:val="17"/>
    </w:rPr>
  </w:style>
  <w:style w:type="character" w:customStyle="1" w:styleId="4d">
    <w:name w:val="Заголовок №4_"/>
    <w:basedOn w:val="a0"/>
    <w:link w:val="4e"/>
    <w:uiPriority w:val="99"/>
    <w:rsid w:val="00392894"/>
    <w:rPr>
      <w:rFonts w:ascii="Arial Narrow" w:hAnsi="Arial Narrow" w:cs="Arial Narrow"/>
      <w:b/>
      <w:bCs/>
      <w:sz w:val="51"/>
      <w:szCs w:val="51"/>
      <w:shd w:val="clear" w:color="auto" w:fill="FFFFFF"/>
    </w:rPr>
  </w:style>
  <w:style w:type="paragraph" w:customStyle="1" w:styleId="4e">
    <w:name w:val="Заголовок №4"/>
    <w:basedOn w:val="a"/>
    <w:link w:val="4d"/>
    <w:uiPriority w:val="99"/>
    <w:rsid w:val="00392894"/>
    <w:pPr>
      <w:shd w:val="clear" w:color="auto" w:fill="FFFFFF"/>
      <w:spacing w:after="0" w:line="240" w:lineRule="atLeast"/>
      <w:outlineLvl w:val="3"/>
    </w:pPr>
    <w:rPr>
      <w:rFonts w:ascii="Arial Narrow" w:hAnsi="Arial Narrow" w:cs="Arial Narrow"/>
      <w:b/>
      <w:bCs/>
      <w:sz w:val="51"/>
      <w:szCs w:val="51"/>
    </w:rPr>
  </w:style>
  <w:style w:type="character" w:customStyle="1" w:styleId="59pt">
    <w:name w:val="Основной текст (5) + 9 pt"/>
    <w:basedOn w:val="5a"/>
    <w:uiPriority w:val="99"/>
    <w:rsid w:val="00392894"/>
    <w:rPr>
      <w:rFonts w:ascii="Arial" w:eastAsia="Arial" w:hAnsi="Arial" w:cs="Arial"/>
      <w:sz w:val="18"/>
      <w:szCs w:val="18"/>
      <w:shd w:val="clear" w:color="auto" w:fill="FFFFFF"/>
    </w:rPr>
  </w:style>
  <w:style w:type="character" w:customStyle="1" w:styleId="55pt">
    <w:name w:val="Основной текст (5) + 5 pt"/>
    <w:basedOn w:val="5a"/>
    <w:rsid w:val="00392894"/>
    <w:rPr>
      <w:rFonts w:ascii="Arial" w:eastAsia="Arial" w:hAnsi="Arial" w:cs="Arial"/>
      <w:sz w:val="10"/>
      <w:szCs w:val="10"/>
      <w:shd w:val="clear" w:color="auto" w:fill="FFFFFF"/>
    </w:rPr>
  </w:style>
  <w:style w:type="character" w:customStyle="1" w:styleId="65pt1pt">
    <w:name w:val="Основной текст + 6;5 pt;Курсив;Интервал 1 pt"/>
    <w:basedOn w:val="aff"/>
    <w:rsid w:val="00392894"/>
    <w:rPr>
      <w:rFonts w:ascii="Arial" w:eastAsia="Arial" w:hAnsi="Arial" w:cs="Arial"/>
      <w:b w:val="0"/>
      <w:bCs w:val="0"/>
      <w:i/>
      <w:iCs/>
      <w:smallCaps w:val="0"/>
      <w:strike w:val="0"/>
      <w:spacing w:val="20"/>
      <w:sz w:val="13"/>
      <w:szCs w:val="13"/>
      <w:shd w:val="clear" w:color="auto" w:fill="FFFFFF"/>
    </w:rPr>
  </w:style>
  <w:style w:type="character" w:customStyle="1" w:styleId="9pt0">
    <w:name w:val="Основной текст + 9 pt;Курсив"/>
    <w:basedOn w:val="aff"/>
    <w:rsid w:val="00392894"/>
    <w:rPr>
      <w:rFonts w:ascii="Arial" w:eastAsia="Arial" w:hAnsi="Arial" w:cs="Arial"/>
      <w:b w:val="0"/>
      <w:bCs w:val="0"/>
      <w:i/>
      <w:iCs/>
      <w:smallCaps w:val="0"/>
      <w:strike w:val="0"/>
      <w:spacing w:val="0"/>
      <w:sz w:val="18"/>
      <w:szCs w:val="18"/>
      <w:shd w:val="clear" w:color="auto" w:fill="FFFFFF"/>
    </w:rPr>
  </w:style>
  <w:style w:type="character" w:customStyle="1" w:styleId="-1pt1">
    <w:name w:val="Основной текст + Полужирный;Интервал -1 pt"/>
    <w:basedOn w:val="aff"/>
    <w:rsid w:val="00392894"/>
    <w:rPr>
      <w:rFonts w:ascii="Arial" w:eastAsia="Arial" w:hAnsi="Arial" w:cs="Arial"/>
      <w:b/>
      <w:bCs/>
      <w:i w:val="0"/>
      <w:iCs w:val="0"/>
      <w:smallCaps w:val="0"/>
      <w:strike w:val="0"/>
      <w:spacing w:val="-20"/>
      <w:sz w:val="18"/>
      <w:szCs w:val="18"/>
      <w:shd w:val="clear" w:color="auto" w:fill="FFFFFF"/>
    </w:rPr>
  </w:style>
  <w:style w:type="character" w:customStyle="1" w:styleId="2ArialUnicodeMS95pt">
    <w:name w:val="Основной текст (2) + Arial Unicode MS;9;5 pt;Полужирный"/>
    <w:basedOn w:val="2a"/>
    <w:rsid w:val="00392894"/>
    <w:rPr>
      <w:rFonts w:ascii="Arial Unicode MS" w:eastAsia="Arial Unicode MS" w:hAnsi="Arial Unicode MS" w:cs="Arial Unicode MS"/>
      <w:b/>
      <w:bCs/>
      <w:i w:val="0"/>
      <w:iCs w:val="0"/>
      <w:smallCaps w:val="0"/>
      <w:strike w:val="0"/>
      <w:spacing w:val="0"/>
      <w:sz w:val="19"/>
      <w:szCs w:val="19"/>
      <w:shd w:val="clear" w:color="auto" w:fill="FFFFFF"/>
    </w:rPr>
  </w:style>
  <w:style w:type="character" w:customStyle="1" w:styleId="5ArialUnicodeMS0pt">
    <w:name w:val="Заголовок №5 + Arial Unicode MS;Курсив;Интервал 0 pt"/>
    <w:basedOn w:val="a0"/>
    <w:rsid w:val="00392894"/>
    <w:rPr>
      <w:rFonts w:ascii="Arial Unicode MS" w:eastAsia="Arial Unicode MS" w:hAnsi="Arial Unicode MS" w:cs="Arial Unicode MS"/>
      <w:b w:val="0"/>
      <w:bCs w:val="0"/>
      <w:i/>
      <w:iCs/>
      <w:smallCaps w:val="0"/>
      <w:strike w:val="0"/>
      <w:spacing w:val="0"/>
      <w:sz w:val="19"/>
      <w:szCs w:val="19"/>
      <w:shd w:val="clear" w:color="auto" w:fill="FFFFFF"/>
    </w:rPr>
  </w:style>
  <w:style w:type="character" w:customStyle="1" w:styleId="295pt">
    <w:name w:val="Основной текст (2) + 9;5 pt;Не курсив"/>
    <w:basedOn w:val="2a"/>
    <w:rsid w:val="00392894"/>
    <w:rPr>
      <w:rFonts w:ascii="Arial" w:eastAsia="Arial" w:hAnsi="Arial" w:cs="Arial"/>
      <w:b w:val="0"/>
      <w:bCs w:val="0"/>
      <w:i/>
      <w:iCs/>
      <w:smallCaps w:val="0"/>
      <w:strike w:val="0"/>
      <w:spacing w:val="0"/>
      <w:sz w:val="19"/>
      <w:szCs w:val="19"/>
      <w:shd w:val="clear" w:color="auto" w:fill="FFFFFF"/>
    </w:rPr>
  </w:style>
  <w:style w:type="character" w:customStyle="1" w:styleId="295pt0pt">
    <w:name w:val="Основной текст (2) + 9;5 pt;Полужирный;Не курсив;Интервал 0 pt"/>
    <w:basedOn w:val="2a"/>
    <w:rsid w:val="00392894"/>
    <w:rPr>
      <w:rFonts w:ascii="Arial" w:eastAsia="Arial" w:hAnsi="Arial" w:cs="Arial"/>
      <w:b/>
      <w:bCs/>
      <w:i/>
      <w:iCs/>
      <w:smallCaps w:val="0"/>
      <w:strike w:val="0"/>
      <w:spacing w:val="-10"/>
      <w:sz w:val="19"/>
      <w:szCs w:val="19"/>
      <w:shd w:val="clear" w:color="auto" w:fill="FFFFFF"/>
    </w:rPr>
  </w:style>
  <w:style w:type="character" w:customStyle="1" w:styleId="ArialUnicodeMS10pt-1pt">
    <w:name w:val="Основной текст + Arial Unicode MS;10 pt;Полужирный;Интервал -1 pt"/>
    <w:basedOn w:val="aff"/>
    <w:rsid w:val="00392894"/>
    <w:rPr>
      <w:rFonts w:ascii="Arial Unicode MS" w:eastAsia="Arial Unicode MS" w:hAnsi="Arial Unicode MS" w:cs="Arial Unicode MS"/>
      <w:b/>
      <w:bCs/>
      <w:i w:val="0"/>
      <w:iCs w:val="0"/>
      <w:smallCaps w:val="0"/>
      <w:strike w:val="0"/>
      <w:spacing w:val="-20"/>
      <w:sz w:val="20"/>
      <w:szCs w:val="20"/>
      <w:u w:val="single"/>
      <w:shd w:val="clear" w:color="auto" w:fill="FFFFFF"/>
    </w:rPr>
  </w:style>
  <w:style w:type="character" w:customStyle="1" w:styleId="105pt0pt">
    <w:name w:val="Основной текст + 10;5 pt;Интервал 0 pt"/>
    <w:basedOn w:val="aff"/>
    <w:rsid w:val="00392894"/>
    <w:rPr>
      <w:rFonts w:ascii="Arial" w:eastAsia="Arial" w:hAnsi="Arial" w:cs="Arial"/>
      <w:b w:val="0"/>
      <w:bCs w:val="0"/>
      <w:i w:val="0"/>
      <w:iCs w:val="0"/>
      <w:smallCaps w:val="0"/>
      <w:strike w:val="0"/>
      <w:spacing w:val="-10"/>
      <w:sz w:val="21"/>
      <w:szCs w:val="21"/>
      <w:shd w:val="clear" w:color="auto" w:fill="FFFFFF"/>
    </w:rPr>
  </w:style>
  <w:style w:type="character" w:customStyle="1" w:styleId="108">
    <w:name w:val="Основной текст10"/>
    <w:basedOn w:val="aff"/>
    <w:rsid w:val="00392894"/>
    <w:rPr>
      <w:rFonts w:ascii="Arial" w:eastAsia="Arial" w:hAnsi="Arial" w:cs="Arial"/>
      <w:b w:val="0"/>
      <w:bCs w:val="0"/>
      <w:i w:val="0"/>
      <w:iCs w:val="0"/>
      <w:smallCaps w:val="0"/>
      <w:strike w:val="0"/>
      <w:spacing w:val="0"/>
      <w:sz w:val="18"/>
      <w:szCs w:val="18"/>
      <w:shd w:val="clear" w:color="auto" w:fill="FFFFFF"/>
    </w:rPr>
  </w:style>
  <w:style w:type="character" w:customStyle="1" w:styleId="115">
    <w:name w:val="Основной текст11"/>
    <w:basedOn w:val="aff"/>
    <w:rsid w:val="00392894"/>
    <w:rPr>
      <w:rFonts w:ascii="Arial" w:eastAsia="Arial" w:hAnsi="Arial" w:cs="Arial"/>
      <w:b w:val="0"/>
      <w:bCs w:val="0"/>
      <w:i w:val="0"/>
      <w:iCs w:val="0"/>
      <w:smallCaps w:val="0"/>
      <w:strike w:val="0"/>
      <w:spacing w:val="0"/>
      <w:sz w:val="18"/>
      <w:szCs w:val="18"/>
      <w:shd w:val="clear" w:color="auto" w:fill="FFFFFF"/>
    </w:rPr>
  </w:style>
  <w:style w:type="character" w:customStyle="1" w:styleId="85pt">
    <w:name w:val="Основной текст + 8;5 pt;Полужирный;Малые прописные"/>
    <w:basedOn w:val="aff"/>
    <w:rsid w:val="00392894"/>
    <w:rPr>
      <w:rFonts w:ascii="Arial" w:eastAsia="Arial" w:hAnsi="Arial" w:cs="Arial"/>
      <w:b/>
      <w:bCs/>
      <w:i w:val="0"/>
      <w:iCs w:val="0"/>
      <w:smallCaps/>
      <w:strike w:val="0"/>
      <w:spacing w:val="0"/>
      <w:sz w:val="17"/>
      <w:szCs w:val="17"/>
      <w:u w:val="single"/>
      <w:shd w:val="clear" w:color="auto" w:fill="FFFFFF"/>
    </w:rPr>
  </w:style>
  <w:style w:type="character" w:customStyle="1" w:styleId="123">
    <w:name w:val="Основной текст12"/>
    <w:basedOn w:val="aff"/>
    <w:rsid w:val="00392894"/>
    <w:rPr>
      <w:rFonts w:ascii="Arial" w:eastAsia="Arial" w:hAnsi="Arial" w:cs="Arial"/>
      <w:b w:val="0"/>
      <w:bCs w:val="0"/>
      <w:i w:val="0"/>
      <w:iCs w:val="0"/>
      <w:smallCaps w:val="0"/>
      <w:strike w:val="0"/>
      <w:spacing w:val="0"/>
      <w:sz w:val="18"/>
      <w:szCs w:val="18"/>
      <w:shd w:val="clear" w:color="auto" w:fill="FFFFFF"/>
    </w:rPr>
  </w:style>
  <w:style w:type="character" w:customStyle="1" w:styleId="132">
    <w:name w:val="Основной текст13"/>
    <w:basedOn w:val="aff"/>
    <w:rsid w:val="00392894"/>
    <w:rPr>
      <w:rFonts w:ascii="Arial" w:eastAsia="Arial" w:hAnsi="Arial" w:cs="Arial"/>
      <w:b w:val="0"/>
      <w:bCs w:val="0"/>
      <w:i w:val="0"/>
      <w:iCs w:val="0"/>
      <w:smallCaps w:val="0"/>
      <w:strike w:val="0"/>
      <w:spacing w:val="0"/>
      <w:sz w:val="18"/>
      <w:szCs w:val="18"/>
      <w:u w:val="single"/>
      <w:shd w:val="clear" w:color="auto" w:fill="FFFFFF"/>
    </w:rPr>
  </w:style>
  <w:style w:type="character" w:customStyle="1" w:styleId="144">
    <w:name w:val="Основной текст14"/>
    <w:basedOn w:val="aff"/>
    <w:rsid w:val="00392894"/>
    <w:rPr>
      <w:rFonts w:ascii="Arial" w:eastAsia="Arial" w:hAnsi="Arial" w:cs="Arial"/>
      <w:b w:val="0"/>
      <w:bCs w:val="0"/>
      <w:i w:val="0"/>
      <w:iCs w:val="0"/>
      <w:smallCaps w:val="0"/>
      <w:strike w:val="0"/>
      <w:spacing w:val="0"/>
      <w:sz w:val="18"/>
      <w:szCs w:val="18"/>
      <w:shd w:val="clear" w:color="auto" w:fill="FFFFFF"/>
    </w:rPr>
  </w:style>
  <w:style w:type="character" w:customStyle="1" w:styleId="153">
    <w:name w:val="Основной текст15"/>
    <w:basedOn w:val="aff"/>
    <w:rsid w:val="00392894"/>
    <w:rPr>
      <w:rFonts w:ascii="Arial" w:eastAsia="Arial" w:hAnsi="Arial" w:cs="Arial"/>
      <w:b w:val="0"/>
      <w:bCs w:val="0"/>
      <w:i w:val="0"/>
      <w:iCs w:val="0"/>
      <w:smallCaps w:val="0"/>
      <w:strike w:val="0"/>
      <w:spacing w:val="0"/>
      <w:sz w:val="18"/>
      <w:szCs w:val="18"/>
      <w:u w:val="single"/>
      <w:shd w:val="clear" w:color="auto" w:fill="FFFFFF"/>
    </w:rPr>
  </w:style>
  <w:style w:type="character" w:customStyle="1" w:styleId="171">
    <w:name w:val="Основной текст17"/>
    <w:basedOn w:val="aff"/>
    <w:rsid w:val="00392894"/>
    <w:rPr>
      <w:rFonts w:ascii="Arial" w:eastAsia="Arial" w:hAnsi="Arial" w:cs="Arial"/>
      <w:b w:val="0"/>
      <w:bCs w:val="0"/>
      <w:i w:val="0"/>
      <w:iCs w:val="0"/>
      <w:smallCaps w:val="0"/>
      <w:strike w:val="0"/>
      <w:spacing w:val="0"/>
      <w:sz w:val="19"/>
      <w:szCs w:val="19"/>
      <w:u w:val="single"/>
      <w:shd w:val="clear" w:color="auto" w:fill="FFFFFF"/>
    </w:rPr>
  </w:style>
  <w:style w:type="character" w:customStyle="1" w:styleId="214">
    <w:name w:val="Основной текст + Полужирный21"/>
    <w:basedOn w:val="1f0"/>
    <w:uiPriority w:val="99"/>
    <w:rsid w:val="00392894"/>
    <w:rPr>
      <w:rFonts w:ascii="Arial Narrow" w:hAnsi="Arial Narrow" w:cs="Arial Narrow"/>
      <w:b/>
      <w:bCs/>
      <w:spacing w:val="0"/>
      <w:sz w:val="18"/>
      <w:szCs w:val="18"/>
      <w:shd w:val="clear" w:color="auto" w:fill="FFFFFF"/>
    </w:rPr>
  </w:style>
  <w:style w:type="character" w:customStyle="1" w:styleId="162">
    <w:name w:val="Основной текст + Полужирный16"/>
    <w:basedOn w:val="1f0"/>
    <w:uiPriority w:val="99"/>
    <w:rsid w:val="00392894"/>
    <w:rPr>
      <w:rFonts w:ascii="Arial Narrow" w:hAnsi="Arial Narrow" w:cs="Arial Narrow"/>
      <w:b/>
      <w:bCs/>
      <w:spacing w:val="0"/>
      <w:sz w:val="18"/>
      <w:szCs w:val="18"/>
      <w:shd w:val="clear" w:color="auto" w:fill="FFFFFF"/>
    </w:rPr>
  </w:style>
  <w:style w:type="character" w:customStyle="1" w:styleId="154">
    <w:name w:val="Основной текст + Полужирный15"/>
    <w:basedOn w:val="1f0"/>
    <w:uiPriority w:val="99"/>
    <w:rsid w:val="00392894"/>
    <w:rPr>
      <w:rFonts w:ascii="Arial Narrow" w:hAnsi="Arial Narrow" w:cs="Arial Narrow"/>
      <w:b/>
      <w:bCs/>
      <w:spacing w:val="0"/>
      <w:sz w:val="18"/>
      <w:szCs w:val="18"/>
      <w:shd w:val="clear" w:color="auto" w:fill="FFFFFF"/>
    </w:rPr>
  </w:style>
  <w:style w:type="character" w:customStyle="1" w:styleId="910">
    <w:name w:val="Основной текст + 91"/>
    <w:aliases w:val="5 pt3,Полужирный8,Интервал 0 pt6,Основной текст + 10 pt3,Интервал -1 pt15,Основной текст (5) + Не курсив1,Основной текст + 20,Основной текст (2) + 71"/>
    <w:basedOn w:val="1f0"/>
    <w:uiPriority w:val="99"/>
    <w:rsid w:val="00392894"/>
    <w:rPr>
      <w:rFonts w:ascii="Arial Narrow" w:hAnsi="Arial Narrow" w:cs="Arial Narrow"/>
      <w:b/>
      <w:bCs/>
      <w:spacing w:val="-10"/>
      <w:sz w:val="19"/>
      <w:szCs w:val="19"/>
      <w:shd w:val="clear" w:color="auto" w:fill="FFFFFF"/>
    </w:rPr>
  </w:style>
  <w:style w:type="character" w:customStyle="1" w:styleId="28Arial">
    <w:name w:val="Подпись к картинке (28) + Arial"/>
    <w:aliases w:val="Полужирный9,Не малые прописные,Основной текст + MS Reference Sans Serif3,Основной текст + 11 pt2"/>
    <w:basedOn w:val="a0"/>
    <w:uiPriority w:val="99"/>
    <w:rsid w:val="00392894"/>
    <w:rPr>
      <w:rFonts w:ascii="Arial" w:hAnsi="Arial" w:cs="Arial"/>
      <w:b/>
      <w:bCs/>
      <w:smallCaps w:val="0"/>
      <w:sz w:val="14"/>
      <w:szCs w:val="14"/>
      <w:shd w:val="clear" w:color="auto" w:fill="FFFFFF"/>
    </w:rPr>
  </w:style>
  <w:style w:type="character" w:customStyle="1" w:styleId="84">
    <w:name w:val="Основной текст + Полужирный8"/>
    <w:basedOn w:val="1f0"/>
    <w:uiPriority w:val="99"/>
    <w:rsid w:val="00392894"/>
    <w:rPr>
      <w:rFonts w:ascii="Arial Narrow" w:hAnsi="Arial Narrow" w:cs="Arial Narrow"/>
      <w:b/>
      <w:bCs/>
      <w:spacing w:val="0"/>
      <w:sz w:val="18"/>
      <w:szCs w:val="18"/>
      <w:shd w:val="clear" w:color="auto" w:fill="FFFFFF"/>
    </w:rPr>
  </w:style>
  <w:style w:type="character" w:customStyle="1" w:styleId="1pt4">
    <w:name w:val="Основной текст + Интервал 1 pt4"/>
    <w:basedOn w:val="1f0"/>
    <w:uiPriority w:val="99"/>
    <w:rsid w:val="00392894"/>
    <w:rPr>
      <w:rFonts w:ascii="Arial" w:hAnsi="Arial" w:cs="Arial"/>
      <w:spacing w:val="20"/>
      <w:sz w:val="18"/>
      <w:szCs w:val="18"/>
      <w:shd w:val="clear" w:color="auto" w:fill="FFFFFF"/>
    </w:rPr>
  </w:style>
  <w:style w:type="character" w:customStyle="1" w:styleId="68">
    <w:name w:val="Основной текст + Полужирный6"/>
    <w:basedOn w:val="1f0"/>
    <w:uiPriority w:val="99"/>
    <w:rsid w:val="00392894"/>
    <w:rPr>
      <w:rFonts w:ascii="Arial Narrow" w:hAnsi="Arial Narrow" w:cs="Arial Narrow"/>
      <w:b/>
      <w:bCs/>
      <w:spacing w:val="0"/>
      <w:sz w:val="18"/>
      <w:szCs w:val="18"/>
      <w:shd w:val="clear" w:color="auto" w:fill="FFFFFF"/>
    </w:rPr>
  </w:style>
  <w:style w:type="character" w:customStyle="1" w:styleId="5c">
    <w:name w:val="Основной текст + Полужирный5"/>
    <w:basedOn w:val="1f0"/>
    <w:uiPriority w:val="99"/>
    <w:rsid w:val="00392894"/>
    <w:rPr>
      <w:rFonts w:ascii="Arial Narrow" w:hAnsi="Arial Narrow" w:cs="Arial Narrow"/>
      <w:b/>
      <w:bCs/>
      <w:spacing w:val="0"/>
      <w:sz w:val="18"/>
      <w:szCs w:val="18"/>
      <w:shd w:val="clear" w:color="auto" w:fill="FFFFFF"/>
    </w:rPr>
  </w:style>
  <w:style w:type="character" w:customStyle="1" w:styleId="1pt3">
    <w:name w:val="Основной текст + Интервал 1 pt3"/>
    <w:basedOn w:val="1f0"/>
    <w:uiPriority w:val="99"/>
    <w:rsid w:val="00392894"/>
    <w:rPr>
      <w:rFonts w:ascii="Arial" w:hAnsi="Arial" w:cs="Arial"/>
      <w:spacing w:val="20"/>
      <w:sz w:val="18"/>
      <w:szCs w:val="18"/>
      <w:shd w:val="clear" w:color="auto" w:fill="FFFFFF"/>
    </w:rPr>
  </w:style>
  <w:style w:type="character" w:customStyle="1" w:styleId="4f">
    <w:name w:val="Основной текст + Полужирный4"/>
    <w:basedOn w:val="1f0"/>
    <w:uiPriority w:val="99"/>
    <w:rsid w:val="00392894"/>
    <w:rPr>
      <w:rFonts w:ascii="Arial Narrow" w:hAnsi="Arial Narrow" w:cs="Arial Narrow"/>
      <w:b/>
      <w:bCs/>
      <w:spacing w:val="0"/>
      <w:sz w:val="18"/>
      <w:szCs w:val="18"/>
      <w:shd w:val="clear" w:color="auto" w:fill="FFFFFF"/>
    </w:rPr>
  </w:style>
  <w:style w:type="character" w:customStyle="1" w:styleId="2pt1">
    <w:name w:val="Основной текст + Интервал 2 pt1"/>
    <w:basedOn w:val="1f0"/>
    <w:uiPriority w:val="99"/>
    <w:rsid w:val="00392894"/>
    <w:rPr>
      <w:rFonts w:ascii="Arial" w:hAnsi="Arial" w:cs="Arial"/>
      <w:spacing w:val="40"/>
      <w:sz w:val="18"/>
      <w:szCs w:val="18"/>
      <w:shd w:val="clear" w:color="auto" w:fill="FFFFFF"/>
    </w:rPr>
  </w:style>
  <w:style w:type="character" w:customStyle="1" w:styleId="1pt2">
    <w:name w:val="Основной текст + Интервал 1 pt2"/>
    <w:basedOn w:val="1f0"/>
    <w:uiPriority w:val="99"/>
    <w:rsid w:val="00392894"/>
    <w:rPr>
      <w:rFonts w:ascii="Arial" w:hAnsi="Arial" w:cs="Arial"/>
      <w:spacing w:val="20"/>
      <w:sz w:val="18"/>
      <w:szCs w:val="18"/>
      <w:shd w:val="clear" w:color="auto" w:fill="FFFFFF"/>
    </w:rPr>
  </w:style>
  <w:style w:type="character" w:customStyle="1" w:styleId="147">
    <w:name w:val="Основной текст (14) + 7"/>
    <w:aliases w:val="5 pt6,Не полужирный2,Основной текст + 101,Малые прописные3,Основной текст (4) + 7 pt,Основной текст + 72"/>
    <w:basedOn w:val="142"/>
    <w:uiPriority w:val="99"/>
    <w:rsid w:val="00392894"/>
    <w:rPr>
      <w:rFonts w:ascii="Arial Narrow" w:hAnsi="Arial Narrow" w:cs="Arial Narrow"/>
      <w:b w:val="0"/>
      <w:bCs w:val="0"/>
      <w:spacing w:val="0"/>
      <w:sz w:val="15"/>
      <w:szCs w:val="15"/>
      <w:shd w:val="clear" w:color="auto" w:fill="FFFFFF"/>
    </w:rPr>
  </w:style>
  <w:style w:type="character" w:customStyle="1" w:styleId="15MSReferenceSansSerif1">
    <w:name w:val="Основной текст (15) + MS Reference Sans Serif1"/>
    <w:aliases w:val="62,5 pt9,Не курсив1,Основной текст + 85,Основной текст (2) + Полужирный1,Колонтитул + Century Gothic,Основной текст (5) + Полужирный2,Основной текст (22) + Times New Roman,41"/>
    <w:basedOn w:val="151"/>
    <w:uiPriority w:val="99"/>
    <w:rsid w:val="00392894"/>
    <w:rPr>
      <w:rFonts w:ascii="MS Reference Sans Serif" w:hAnsi="MS Reference Sans Serif" w:cs="MS Reference Sans Serif"/>
      <w:i w:val="0"/>
      <w:iCs w:val="0"/>
      <w:spacing w:val="0"/>
      <w:sz w:val="13"/>
      <w:szCs w:val="13"/>
      <w:shd w:val="clear" w:color="auto" w:fill="FFFFFF"/>
    </w:rPr>
  </w:style>
  <w:style w:type="character" w:customStyle="1" w:styleId="1pt1">
    <w:name w:val="Основной текст + Интервал 1 pt1"/>
    <w:basedOn w:val="1f0"/>
    <w:uiPriority w:val="99"/>
    <w:rsid w:val="00392894"/>
    <w:rPr>
      <w:rFonts w:ascii="Arial" w:hAnsi="Arial" w:cs="Arial"/>
      <w:spacing w:val="20"/>
      <w:sz w:val="18"/>
      <w:szCs w:val="18"/>
      <w:shd w:val="clear" w:color="auto" w:fill="FFFFFF"/>
    </w:rPr>
  </w:style>
  <w:style w:type="character" w:customStyle="1" w:styleId="94">
    <w:name w:val="Основной текст + 94"/>
    <w:aliases w:val="5 pt28,Полужирный23,Интервал 0 pt16,5 pt14,Основной текст (5) + 91,Интервал -1 pt29,Интервал -1 pt8,Основной текст (5) + Не курсив3"/>
    <w:basedOn w:val="1f0"/>
    <w:uiPriority w:val="99"/>
    <w:rsid w:val="00392894"/>
    <w:rPr>
      <w:rFonts w:ascii="Arial Narrow" w:hAnsi="Arial Narrow" w:cs="Arial Narrow"/>
      <w:b/>
      <w:bCs/>
      <w:spacing w:val="-10"/>
      <w:sz w:val="19"/>
      <w:szCs w:val="19"/>
      <w:shd w:val="clear" w:color="auto" w:fill="FFFFFF"/>
    </w:rPr>
  </w:style>
  <w:style w:type="character" w:customStyle="1" w:styleId="116">
    <w:name w:val="Основной текст + Полужирный11"/>
    <w:basedOn w:val="1f0"/>
    <w:uiPriority w:val="99"/>
    <w:rsid w:val="00392894"/>
    <w:rPr>
      <w:rFonts w:ascii="Arial Narrow" w:hAnsi="Arial Narrow" w:cs="Arial Narrow"/>
      <w:b/>
      <w:bCs/>
      <w:spacing w:val="0"/>
      <w:sz w:val="18"/>
      <w:szCs w:val="18"/>
      <w:shd w:val="clear" w:color="auto" w:fill="FFFFFF"/>
    </w:rPr>
  </w:style>
  <w:style w:type="character" w:customStyle="1" w:styleId="5d">
    <w:name w:val="Заголовок №5 + Не полужирный"/>
    <w:basedOn w:val="a0"/>
    <w:uiPriority w:val="99"/>
    <w:rsid w:val="00392894"/>
    <w:rPr>
      <w:rFonts w:ascii="Arial" w:hAnsi="Arial" w:cs="Arial"/>
      <w:b w:val="0"/>
      <w:bCs w:val="0"/>
      <w:spacing w:val="0"/>
      <w:sz w:val="18"/>
      <w:szCs w:val="18"/>
      <w:shd w:val="clear" w:color="auto" w:fill="FFFFFF"/>
    </w:rPr>
  </w:style>
  <w:style w:type="character" w:customStyle="1" w:styleId="2f3">
    <w:name w:val="Основной текст + Полужирный2"/>
    <w:basedOn w:val="1f0"/>
    <w:uiPriority w:val="99"/>
    <w:rsid w:val="00392894"/>
    <w:rPr>
      <w:rFonts w:ascii="Arial Narrow" w:hAnsi="Arial Narrow" w:cs="Arial Narrow"/>
      <w:b/>
      <w:bCs/>
      <w:spacing w:val="0"/>
      <w:sz w:val="18"/>
      <w:szCs w:val="18"/>
      <w:shd w:val="clear" w:color="auto" w:fill="FFFFFF"/>
    </w:rPr>
  </w:style>
  <w:style w:type="character" w:customStyle="1" w:styleId="8pt1">
    <w:name w:val="Основной текст + 8 pt1"/>
    <w:aliases w:val="Полужирный2,Интервал 0 pt1,Колонтитул + Microsoft Sans Serif2,Основной текст + 11 pt1"/>
    <w:basedOn w:val="1f0"/>
    <w:uiPriority w:val="99"/>
    <w:rsid w:val="00392894"/>
    <w:rPr>
      <w:rFonts w:ascii="Arial Narrow" w:hAnsi="Arial Narrow" w:cs="Arial Narrow"/>
      <w:b/>
      <w:bCs/>
      <w:spacing w:val="-10"/>
      <w:sz w:val="16"/>
      <w:szCs w:val="16"/>
      <w:shd w:val="clear" w:color="auto" w:fill="FFFFFF"/>
    </w:rPr>
  </w:style>
  <w:style w:type="character" w:customStyle="1" w:styleId="Batang65pt0pt">
    <w:name w:val="Основной текст + Batang;6;5 pt;Полужирный;Интервал 0 pt"/>
    <w:basedOn w:val="aff"/>
    <w:rsid w:val="00392894"/>
    <w:rPr>
      <w:rFonts w:ascii="Batang" w:eastAsia="Batang" w:hAnsi="Batang" w:cs="Batang"/>
      <w:b/>
      <w:bCs/>
      <w:i w:val="0"/>
      <w:iCs w:val="0"/>
      <w:smallCaps w:val="0"/>
      <w:strike w:val="0"/>
      <w:spacing w:val="10"/>
      <w:sz w:val="13"/>
      <w:szCs w:val="13"/>
      <w:shd w:val="clear" w:color="auto" w:fill="FFFFFF"/>
    </w:rPr>
  </w:style>
  <w:style w:type="character" w:customStyle="1" w:styleId="30pt">
    <w:name w:val="Основной текст (3) + Не курсив;Интервал 0 pt"/>
    <w:basedOn w:val="34"/>
    <w:rsid w:val="00392894"/>
    <w:rPr>
      <w:rFonts w:ascii="Century Gothic" w:eastAsia="Century Gothic" w:hAnsi="Century Gothic" w:cs="Century Gothic"/>
      <w:b/>
      <w:bCs/>
      <w:i/>
      <w:iCs/>
      <w:smallCaps w:val="0"/>
      <w:strike w:val="0"/>
      <w:noProof/>
      <w:spacing w:val="0"/>
      <w:sz w:val="17"/>
      <w:szCs w:val="17"/>
      <w:shd w:val="clear" w:color="auto" w:fill="FFFFFF"/>
      <w:lang w:val="en-US"/>
    </w:rPr>
  </w:style>
  <w:style w:type="character" w:customStyle="1" w:styleId="301">
    <w:name w:val="Основной текст + Курсив30"/>
    <w:aliases w:val="Интервал 0 pt56"/>
    <w:basedOn w:val="1f0"/>
    <w:uiPriority w:val="99"/>
    <w:rsid w:val="00392894"/>
    <w:rPr>
      <w:rFonts w:ascii="Arial Narrow" w:hAnsi="Arial Narrow" w:cs="Arial Narrow"/>
      <w:i/>
      <w:iCs/>
      <w:spacing w:val="0"/>
      <w:sz w:val="18"/>
      <w:szCs w:val="18"/>
      <w:shd w:val="clear" w:color="auto" w:fill="FFFFFF"/>
    </w:rPr>
  </w:style>
  <w:style w:type="character" w:customStyle="1" w:styleId="284">
    <w:name w:val="Основной текст + Курсив28"/>
    <w:aliases w:val="Интервал 0 pt54"/>
    <w:basedOn w:val="1f0"/>
    <w:uiPriority w:val="99"/>
    <w:rsid w:val="00392894"/>
    <w:rPr>
      <w:rFonts w:ascii="Arial Narrow" w:hAnsi="Arial Narrow" w:cs="Arial Narrow"/>
      <w:i/>
      <w:iCs/>
      <w:spacing w:val="0"/>
      <w:sz w:val="18"/>
      <w:szCs w:val="18"/>
      <w:shd w:val="clear" w:color="auto" w:fill="FFFFFF"/>
    </w:rPr>
  </w:style>
  <w:style w:type="character" w:customStyle="1" w:styleId="59pt0">
    <w:name w:val="Заголовок №5 + 9 pt;Курсив"/>
    <w:basedOn w:val="a0"/>
    <w:rsid w:val="00392894"/>
    <w:rPr>
      <w:rFonts w:ascii="Arial" w:eastAsia="Arial" w:hAnsi="Arial" w:cs="Arial"/>
      <w:b w:val="0"/>
      <w:bCs w:val="0"/>
      <w:i/>
      <w:iCs/>
      <w:smallCaps w:val="0"/>
      <w:strike w:val="0"/>
      <w:spacing w:val="0"/>
      <w:sz w:val="18"/>
      <w:szCs w:val="18"/>
      <w:shd w:val="clear" w:color="auto" w:fill="FFFFFF"/>
      <w:lang w:val="en-US"/>
    </w:rPr>
  </w:style>
  <w:style w:type="character" w:customStyle="1" w:styleId="7pt0">
    <w:name w:val="Основной текст + 7 pt;Полужирный"/>
    <w:basedOn w:val="aff"/>
    <w:rsid w:val="00392894"/>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78">
    <w:name w:val="Основной текст (7) + Не полужирный"/>
    <w:basedOn w:val="70"/>
    <w:rsid w:val="00392894"/>
    <w:rPr>
      <w:rFonts w:ascii="Arial" w:eastAsia="Arial" w:hAnsi="Arial" w:cs="Arial"/>
      <w:b/>
      <w:bCs/>
      <w:i w:val="0"/>
      <w:iCs w:val="0"/>
      <w:smallCaps w:val="0"/>
      <w:strike w:val="0"/>
      <w:spacing w:val="0"/>
      <w:sz w:val="17"/>
      <w:szCs w:val="17"/>
      <w:shd w:val="clear" w:color="auto" w:fill="FFFFFF"/>
    </w:rPr>
  </w:style>
  <w:style w:type="character" w:customStyle="1" w:styleId="14pt60">
    <w:name w:val="Основной текст + 14 pt;Масштаб 60%"/>
    <w:basedOn w:val="aff"/>
    <w:rsid w:val="00392894"/>
    <w:rPr>
      <w:rFonts w:ascii="Arial" w:eastAsia="Arial" w:hAnsi="Arial" w:cs="Arial"/>
      <w:b w:val="0"/>
      <w:bCs w:val="0"/>
      <w:i w:val="0"/>
      <w:iCs w:val="0"/>
      <w:smallCaps w:val="0"/>
      <w:strike w:val="0"/>
      <w:spacing w:val="0"/>
      <w:w w:val="60"/>
      <w:sz w:val="28"/>
      <w:szCs w:val="28"/>
      <w:shd w:val="clear" w:color="auto" w:fill="FFFFFF"/>
    </w:rPr>
  </w:style>
  <w:style w:type="character" w:customStyle="1" w:styleId="4f0">
    <w:name w:val="Подпись к картинке (4) + Полужирный"/>
    <w:basedOn w:val="49"/>
    <w:rsid w:val="00392894"/>
    <w:rPr>
      <w:rFonts w:ascii="Arial" w:eastAsia="Arial" w:hAnsi="Arial" w:cs="Arial"/>
      <w:b/>
      <w:bCs/>
      <w:i/>
      <w:iCs/>
      <w:smallCaps w:val="0"/>
      <w:strike w:val="0"/>
      <w:spacing w:val="0"/>
      <w:sz w:val="17"/>
      <w:szCs w:val="17"/>
      <w:shd w:val="clear" w:color="auto" w:fill="FFFFFF"/>
    </w:rPr>
  </w:style>
  <w:style w:type="character" w:customStyle="1" w:styleId="75pt0">
    <w:name w:val="Основной текст + 7;5 pt"/>
    <w:basedOn w:val="aff"/>
    <w:rsid w:val="00392894"/>
    <w:rPr>
      <w:rFonts w:ascii="Arial" w:eastAsia="Arial" w:hAnsi="Arial" w:cs="Arial"/>
      <w:b w:val="0"/>
      <w:bCs w:val="0"/>
      <w:i w:val="0"/>
      <w:iCs w:val="0"/>
      <w:smallCaps w:val="0"/>
      <w:strike w:val="0"/>
      <w:spacing w:val="0"/>
      <w:sz w:val="15"/>
      <w:szCs w:val="15"/>
      <w:shd w:val="clear" w:color="auto" w:fill="FFFFFF"/>
    </w:rPr>
  </w:style>
  <w:style w:type="character" w:customStyle="1" w:styleId="12pt70">
    <w:name w:val="Основной текст + 12 pt;Масштаб 70%"/>
    <w:basedOn w:val="aff"/>
    <w:rsid w:val="00392894"/>
    <w:rPr>
      <w:rFonts w:ascii="Arial" w:eastAsia="Arial" w:hAnsi="Arial" w:cs="Arial"/>
      <w:b w:val="0"/>
      <w:bCs w:val="0"/>
      <w:i w:val="0"/>
      <w:iCs w:val="0"/>
      <w:smallCaps w:val="0"/>
      <w:strike w:val="0"/>
      <w:spacing w:val="0"/>
      <w:w w:val="70"/>
      <w:sz w:val="24"/>
      <w:szCs w:val="24"/>
      <w:shd w:val="clear" w:color="auto" w:fill="FFFFFF"/>
    </w:rPr>
  </w:style>
  <w:style w:type="character" w:customStyle="1" w:styleId="40pt0">
    <w:name w:val="Основной текст (4) + Полужирный;Интервал 0 pt"/>
    <w:basedOn w:val="46"/>
    <w:rsid w:val="00392894"/>
    <w:rPr>
      <w:rFonts w:ascii="Arial Narrow" w:eastAsia="Arial Narrow" w:hAnsi="Arial Narrow" w:cs="Arial Narrow"/>
      <w:b/>
      <w:bCs/>
      <w:i w:val="0"/>
      <w:iCs w:val="0"/>
      <w:smallCaps w:val="0"/>
      <w:strike w:val="0"/>
      <w:spacing w:val="-10"/>
      <w:sz w:val="18"/>
      <w:szCs w:val="18"/>
      <w:shd w:val="clear" w:color="auto" w:fill="FFFFFF"/>
    </w:rPr>
  </w:style>
  <w:style w:type="character" w:customStyle="1" w:styleId="85pt0">
    <w:name w:val="Сноска + 8;5 pt"/>
    <w:basedOn w:val="aff3"/>
    <w:rsid w:val="00392894"/>
    <w:rPr>
      <w:rFonts w:ascii="Arial" w:eastAsia="Arial" w:hAnsi="Arial" w:cs="Arial"/>
      <w:b w:val="0"/>
      <w:bCs w:val="0"/>
      <w:i w:val="0"/>
      <w:iCs w:val="0"/>
      <w:smallCaps w:val="0"/>
      <w:strike w:val="0"/>
      <w:noProof/>
      <w:spacing w:val="0"/>
      <w:sz w:val="17"/>
      <w:szCs w:val="17"/>
      <w:shd w:val="clear" w:color="auto" w:fill="FFFFFF"/>
      <w:lang w:val="en-US"/>
    </w:rPr>
  </w:style>
  <w:style w:type="character" w:customStyle="1" w:styleId="2f4">
    <w:name w:val="Основной текст (2) + Не курсив"/>
    <w:basedOn w:val="2a"/>
    <w:uiPriority w:val="99"/>
    <w:rsid w:val="00392894"/>
    <w:rPr>
      <w:rFonts w:ascii="Arial" w:eastAsia="Times New Roman" w:hAnsi="Arial" w:cs="Arial"/>
      <w:b w:val="0"/>
      <w:bCs w:val="0"/>
      <w:i w:val="0"/>
      <w:iCs w:val="0"/>
      <w:smallCaps w:val="0"/>
      <w:strike w:val="0"/>
      <w:noProof/>
      <w:spacing w:val="0"/>
      <w:sz w:val="18"/>
      <w:szCs w:val="18"/>
      <w:shd w:val="clear" w:color="auto" w:fill="FFFFFF"/>
    </w:rPr>
  </w:style>
  <w:style w:type="character" w:customStyle="1" w:styleId="2pt">
    <w:name w:val="Основной текст + Интервал 2 pt"/>
    <w:basedOn w:val="aff"/>
    <w:uiPriority w:val="99"/>
    <w:rsid w:val="00392894"/>
    <w:rPr>
      <w:rFonts w:ascii="Arial" w:eastAsia="Arial" w:hAnsi="Arial" w:cs="Arial"/>
      <w:b w:val="0"/>
      <w:bCs w:val="0"/>
      <w:i w:val="0"/>
      <w:iCs w:val="0"/>
      <w:smallCaps w:val="0"/>
      <w:strike w:val="0"/>
      <w:spacing w:val="40"/>
      <w:sz w:val="18"/>
      <w:szCs w:val="18"/>
      <w:shd w:val="clear" w:color="auto" w:fill="FFFFFF"/>
    </w:rPr>
  </w:style>
  <w:style w:type="character" w:customStyle="1" w:styleId="85pt0pt">
    <w:name w:val="Основной текст + 8;5 pt;Полужирный;Интервал 0 pt"/>
    <w:basedOn w:val="aff"/>
    <w:rsid w:val="00392894"/>
    <w:rPr>
      <w:rFonts w:ascii="Arial" w:eastAsia="Arial" w:hAnsi="Arial" w:cs="Arial"/>
      <w:b/>
      <w:bCs/>
      <w:i w:val="0"/>
      <w:iCs w:val="0"/>
      <w:smallCaps w:val="0"/>
      <w:strike w:val="0"/>
      <w:spacing w:val="-10"/>
      <w:sz w:val="17"/>
      <w:szCs w:val="17"/>
      <w:shd w:val="clear" w:color="auto" w:fill="FFFFFF"/>
    </w:rPr>
  </w:style>
  <w:style w:type="character" w:customStyle="1" w:styleId="6pt">
    <w:name w:val="Основной текст + 6 pt"/>
    <w:basedOn w:val="aff"/>
    <w:uiPriority w:val="99"/>
    <w:rsid w:val="00392894"/>
    <w:rPr>
      <w:rFonts w:ascii="Century Gothic" w:eastAsia="Century Gothic" w:hAnsi="Century Gothic" w:cs="Century Gothic"/>
      <w:b w:val="0"/>
      <w:bCs w:val="0"/>
      <w:i w:val="0"/>
      <w:iCs w:val="0"/>
      <w:smallCaps w:val="0"/>
      <w:strike w:val="0"/>
      <w:spacing w:val="0"/>
      <w:sz w:val="12"/>
      <w:szCs w:val="12"/>
      <w:shd w:val="clear" w:color="auto" w:fill="FFFFFF"/>
    </w:rPr>
  </w:style>
  <w:style w:type="character" w:customStyle="1" w:styleId="26pt">
    <w:name w:val="Основной текст (2) + 6 pt"/>
    <w:basedOn w:val="2a"/>
    <w:uiPriority w:val="99"/>
    <w:rsid w:val="00392894"/>
    <w:rPr>
      <w:rFonts w:ascii="Century Gothic" w:eastAsia="Century Gothic" w:hAnsi="Century Gothic" w:cs="Century Gothic"/>
      <w:b w:val="0"/>
      <w:bCs w:val="0"/>
      <w:i w:val="0"/>
      <w:iCs w:val="0"/>
      <w:smallCaps w:val="0"/>
      <w:strike w:val="0"/>
      <w:spacing w:val="0"/>
      <w:sz w:val="12"/>
      <w:szCs w:val="12"/>
      <w:shd w:val="clear" w:color="auto" w:fill="FFFFFF"/>
    </w:rPr>
  </w:style>
  <w:style w:type="character" w:customStyle="1" w:styleId="reference">
    <w:name w:val="reference"/>
    <w:basedOn w:val="a0"/>
    <w:rsid w:val="006B559B"/>
  </w:style>
  <w:style w:type="character" w:styleId="afff2">
    <w:name w:val="annotation reference"/>
    <w:basedOn w:val="a0"/>
    <w:uiPriority w:val="99"/>
    <w:semiHidden/>
    <w:unhideWhenUsed/>
    <w:rsid w:val="00A32C90"/>
    <w:rPr>
      <w:sz w:val="16"/>
      <w:szCs w:val="16"/>
    </w:rPr>
  </w:style>
  <w:style w:type="character" w:styleId="HTML1">
    <w:name w:val="HTML Code"/>
    <w:basedOn w:val="a0"/>
    <w:uiPriority w:val="99"/>
    <w:semiHidden/>
    <w:unhideWhenUsed/>
    <w:rsid w:val="00A32C90"/>
    <w:rPr>
      <w:rFonts w:ascii="Courier New" w:eastAsia="Times New Roman" w:hAnsi="Courier New" w:cs="Courier New" w:hint="default"/>
      <w:sz w:val="24"/>
      <w:szCs w:val="24"/>
    </w:rPr>
  </w:style>
  <w:style w:type="character" w:styleId="HTML2">
    <w:name w:val="HTML Definition"/>
    <w:basedOn w:val="a0"/>
    <w:uiPriority w:val="99"/>
    <w:semiHidden/>
    <w:unhideWhenUsed/>
    <w:rsid w:val="00A32C90"/>
    <w:rPr>
      <w:i/>
      <w:iCs/>
    </w:rPr>
  </w:style>
  <w:style w:type="character" w:styleId="HTML3">
    <w:name w:val="HTML Keyboard"/>
    <w:basedOn w:val="a0"/>
    <w:uiPriority w:val="99"/>
    <w:semiHidden/>
    <w:unhideWhenUsed/>
    <w:rsid w:val="00A32C90"/>
    <w:rPr>
      <w:rFonts w:ascii="Courier New" w:eastAsia="Times New Roman" w:hAnsi="Courier New" w:cs="Courier New" w:hint="default"/>
      <w:sz w:val="24"/>
      <w:szCs w:val="24"/>
    </w:rPr>
  </w:style>
  <w:style w:type="character" w:styleId="HTML4">
    <w:name w:val="HTML Sample"/>
    <w:basedOn w:val="a0"/>
    <w:uiPriority w:val="99"/>
    <w:semiHidden/>
    <w:unhideWhenUsed/>
    <w:rsid w:val="00A32C90"/>
    <w:rPr>
      <w:rFonts w:ascii="Courier New" w:eastAsia="Times New Roman" w:hAnsi="Courier New" w:cs="Courier New" w:hint="default"/>
      <w:sz w:val="24"/>
      <w:szCs w:val="24"/>
    </w:rPr>
  </w:style>
  <w:style w:type="table" w:styleId="afff3">
    <w:name w:val="Table Grid"/>
    <w:basedOn w:val="a1"/>
    <w:uiPriority w:val="39"/>
    <w:rsid w:val="00A32C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5">
    <w:name w:val="HTML Cite"/>
    <w:basedOn w:val="a0"/>
    <w:uiPriority w:val="99"/>
    <w:semiHidden/>
    <w:unhideWhenUsed/>
    <w:rsid w:val="00873E5B"/>
    <w:rPr>
      <w:i/>
      <w:iCs/>
    </w:rPr>
  </w:style>
  <w:style w:type="paragraph" w:customStyle="1" w:styleId="p1">
    <w:name w:val="p1"/>
    <w:basedOn w:val="a"/>
    <w:rsid w:val="00022C3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krstr">
    <w:name w:val="kr_str"/>
    <w:basedOn w:val="a"/>
    <w:rsid w:val="0045489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icture-center">
    <w:name w:val="picture-center"/>
    <w:basedOn w:val="a"/>
    <w:rsid w:val="00460F4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82">
    <w:name w:val="Основной текст (28)_"/>
    <w:basedOn w:val="a0"/>
    <w:link w:val="281"/>
    <w:rsid w:val="00B42572"/>
    <w:rPr>
      <w:rFonts w:ascii="Lucida Sans Unicode" w:hAnsi="Lucida Sans Unicode" w:cs="Lucida Sans Unicode"/>
      <w:spacing w:val="10"/>
      <w:sz w:val="24"/>
      <w:szCs w:val="24"/>
      <w:shd w:val="clear" w:color="auto" w:fill="FFFFFF"/>
    </w:rPr>
  </w:style>
  <w:style w:type="character" w:customStyle="1" w:styleId="3f">
    <w:name w:val="Подпись к таблице (3)"/>
    <w:basedOn w:val="a0"/>
    <w:rsid w:val="00D44956"/>
    <w:rPr>
      <w:rFonts w:ascii="Times New Roman" w:eastAsia="Times New Roman" w:hAnsi="Times New Roman" w:cs="Times New Roman"/>
      <w:b w:val="0"/>
      <w:bCs w:val="0"/>
      <w:i w:val="0"/>
      <w:iCs w:val="0"/>
      <w:smallCaps w:val="0"/>
      <w:strike w:val="0"/>
      <w:spacing w:val="0"/>
      <w:sz w:val="17"/>
      <w:szCs w:val="17"/>
    </w:rPr>
  </w:style>
  <w:style w:type="paragraph" w:customStyle="1" w:styleId="article-renderblock">
    <w:name w:val="article-render__block"/>
    <w:basedOn w:val="a"/>
    <w:rsid w:val="00797A0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91">
    <w:name w:val="Основной текст19"/>
    <w:basedOn w:val="a"/>
    <w:rsid w:val="00905338"/>
    <w:pPr>
      <w:shd w:val="clear" w:color="auto" w:fill="FFFFFF"/>
      <w:spacing w:before="120" w:after="1140" w:line="0" w:lineRule="atLeast"/>
    </w:pPr>
    <w:rPr>
      <w:rFonts w:ascii="Segoe UI" w:eastAsia="Segoe UI" w:hAnsi="Segoe UI" w:cs="Segoe UI"/>
      <w:color w:val="000000"/>
      <w:sz w:val="14"/>
      <w:szCs w:val="14"/>
      <w:lang w:val="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17529">
      <w:bodyDiv w:val="1"/>
      <w:marLeft w:val="0"/>
      <w:marRight w:val="0"/>
      <w:marTop w:val="0"/>
      <w:marBottom w:val="0"/>
      <w:divBdr>
        <w:top w:val="none" w:sz="0" w:space="0" w:color="auto"/>
        <w:left w:val="none" w:sz="0" w:space="0" w:color="auto"/>
        <w:bottom w:val="none" w:sz="0" w:space="0" w:color="auto"/>
        <w:right w:val="none" w:sz="0" w:space="0" w:color="auto"/>
      </w:divBdr>
      <w:divsChild>
        <w:div w:id="105201441">
          <w:marLeft w:val="0"/>
          <w:marRight w:val="0"/>
          <w:marTop w:val="0"/>
          <w:marBottom w:val="0"/>
          <w:divBdr>
            <w:top w:val="none" w:sz="0" w:space="0" w:color="auto"/>
            <w:left w:val="none" w:sz="0" w:space="0" w:color="auto"/>
            <w:bottom w:val="none" w:sz="0" w:space="0" w:color="auto"/>
            <w:right w:val="none" w:sz="0" w:space="0" w:color="auto"/>
          </w:divBdr>
          <w:divsChild>
            <w:div w:id="283737103">
              <w:marLeft w:val="0"/>
              <w:marRight w:val="0"/>
              <w:marTop w:val="0"/>
              <w:marBottom w:val="0"/>
              <w:divBdr>
                <w:top w:val="none" w:sz="0" w:space="0" w:color="auto"/>
                <w:left w:val="none" w:sz="0" w:space="0" w:color="auto"/>
                <w:bottom w:val="none" w:sz="0" w:space="0" w:color="auto"/>
                <w:right w:val="none" w:sz="0" w:space="0" w:color="auto"/>
              </w:divBdr>
              <w:divsChild>
                <w:div w:id="591472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20003">
      <w:bodyDiv w:val="1"/>
      <w:marLeft w:val="0"/>
      <w:marRight w:val="0"/>
      <w:marTop w:val="0"/>
      <w:marBottom w:val="0"/>
      <w:divBdr>
        <w:top w:val="none" w:sz="0" w:space="0" w:color="auto"/>
        <w:left w:val="none" w:sz="0" w:space="0" w:color="auto"/>
        <w:bottom w:val="none" w:sz="0" w:space="0" w:color="auto"/>
        <w:right w:val="none" w:sz="0" w:space="0" w:color="auto"/>
      </w:divBdr>
      <w:divsChild>
        <w:div w:id="552087269">
          <w:marLeft w:val="0"/>
          <w:marRight w:val="0"/>
          <w:marTop w:val="0"/>
          <w:marBottom w:val="0"/>
          <w:divBdr>
            <w:top w:val="none" w:sz="0" w:space="0" w:color="auto"/>
            <w:left w:val="none" w:sz="0" w:space="0" w:color="auto"/>
            <w:bottom w:val="none" w:sz="0" w:space="0" w:color="auto"/>
            <w:right w:val="none" w:sz="0" w:space="0" w:color="auto"/>
          </w:divBdr>
          <w:divsChild>
            <w:div w:id="372582760">
              <w:marLeft w:val="0"/>
              <w:marRight w:val="0"/>
              <w:marTop w:val="0"/>
              <w:marBottom w:val="0"/>
              <w:divBdr>
                <w:top w:val="none" w:sz="0" w:space="0" w:color="auto"/>
                <w:left w:val="none" w:sz="0" w:space="0" w:color="auto"/>
                <w:bottom w:val="none" w:sz="0" w:space="0" w:color="auto"/>
                <w:right w:val="none" w:sz="0" w:space="0" w:color="auto"/>
              </w:divBdr>
              <w:divsChild>
                <w:div w:id="1546288321">
                  <w:marLeft w:val="0"/>
                  <w:marRight w:val="0"/>
                  <w:marTop w:val="0"/>
                  <w:marBottom w:val="0"/>
                  <w:divBdr>
                    <w:top w:val="none" w:sz="0" w:space="0" w:color="auto"/>
                    <w:left w:val="none" w:sz="0" w:space="0" w:color="auto"/>
                    <w:bottom w:val="none" w:sz="0" w:space="0" w:color="auto"/>
                    <w:right w:val="none" w:sz="0" w:space="0" w:color="auto"/>
                  </w:divBdr>
                  <w:divsChild>
                    <w:div w:id="1347318671">
                      <w:marLeft w:val="0"/>
                      <w:marRight w:val="0"/>
                      <w:marTop w:val="0"/>
                      <w:marBottom w:val="0"/>
                      <w:divBdr>
                        <w:top w:val="none" w:sz="0" w:space="0" w:color="auto"/>
                        <w:left w:val="none" w:sz="0" w:space="0" w:color="auto"/>
                        <w:bottom w:val="none" w:sz="0" w:space="0" w:color="auto"/>
                        <w:right w:val="none" w:sz="0" w:space="0" w:color="auto"/>
                      </w:divBdr>
                      <w:divsChild>
                        <w:div w:id="1747997814">
                          <w:marLeft w:val="0"/>
                          <w:marRight w:val="0"/>
                          <w:marTop w:val="0"/>
                          <w:marBottom w:val="0"/>
                          <w:divBdr>
                            <w:top w:val="none" w:sz="0" w:space="0" w:color="auto"/>
                            <w:left w:val="none" w:sz="0" w:space="0" w:color="auto"/>
                            <w:bottom w:val="none" w:sz="0" w:space="0" w:color="auto"/>
                            <w:right w:val="none" w:sz="0" w:space="0" w:color="auto"/>
                          </w:divBdr>
                          <w:divsChild>
                            <w:div w:id="514809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730183">
      <w:bodyDiv w:val="1"/>
      <w:marLeft w:val="0"/>
      <w:marRight w:val="0"/>
      <w:marTop w:val="0"/>
      <w:marBottom w:val="0"/>
      <w:divBdr>
        <w:top w:val="none" w:sz="0" w:space="0" w:color="auto"/>
        <w:left w:val="none" w:sz="0" w:space="0" w:color="auto"/>
        <w:bottom w:val="none" w:sz="0" w:space="0" w:color="auto"/>
        <w:right w:val="none" w:sz="0" w:space="0" w:color="auto"/>
      </w:divBdr>
      <w:divsChild>
        <w:div w:id="395590560">
          <w:marLeft w:val="0"/>
          <w:marRight w:val="0"/>
          <w:marTop w:val="0"/>
          <w:marBottom w:val="0"/>
          <w:divBdr>
            <w:top w:val="none" w:sz="0" w:space="0" w:color="auto"/>
            <w:left w:val="none" w:sz="0" w:space="0" w:color="auto"/>
            <w:bottom w:val="none" w:sz="0" w:space="0" w:color="auto"/>
            <w:right w:val="none" w:sz="0" w:space="0" w:color="auto"/>
          </w:divBdr>
          <w:divsChild>
            <w:div w:id="1199010414">
              <w:marLeft w:val="0"/>
              <w:marRight w:val="0"/>
              <w:marTop w:val="0"/>
              <w:marBottom w:val="0"/>
              <w:divBdr>
                <w:top w:val="none" w:sz="0" w:space="0" w:color="auto"/>
                <w:left w:val="none" w:sz="0" w:space="0" w:color="auto"/>
                <w:bottom w:val="none" w:sz="0" w:space="0" w:color="auto"/>
                <w:right w:val="none" w:sz="0" w:space="0" w:color="auto"/>
              </w:divBdr>
              <w:divsChild>
                <w:div w:id="1011176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1482749">
      <w:bodyDiv w:val="1"/>
      <w:marLeft w:val="0"/>
      <w:marRight w:val="0"/>
      <w:marTop w:val="0"/>
      <w:marBottom w:val="0"/>
      <w:divBdr>
        <w:top w:val="none" w:sz="0" w:space="0" w:color="auto"/>
        <w:left w:val="none" w:sz="0" w:space="0" w:color="auto"/>
        <w:bottom w:val="none" w:sz="0" w:space="0" w:color="auto"/>
        <w:right w:val="none" w:sz="0" w:space="0" w:color="auto"/>
      </w:divBdr>
      <w:divsChild>
        <w:div w:id="1936205580">
          <w:marLeft w:val="0"/>
          <w:marRight w:val="0"/>
          <w:marTop w:val="0"/>
          <w:marBottom w:val="0"/>
          <w:divBdr>
            <w:top w:val="none" w:sz="0" w:space="0" w:color="auto"/>
            <w:left w:val="none" w:sz="0" w:space="0" w:color="auto"/>
            <w:bottom w:val="none" w:sz="0" w:space="0" w:color="auto"/>
            <w:right w:val="none" w:sz="0" w:space="0" w:color="auto"/>
          </w:divBdr>
          <w:divsChild>
            <w:div w:id="1706253885">
              <w:marLeft w:val="0"/>
              <w:marRight w:val="0"/>
              <w:marTop w:val="0"/>
              <w:marBottom w:val="0"/>
              <w:divBdr>
                <w:top w:val="none" w:sz="0" w:space="0" w:color="auto"/>
                <w:left w:val="none" w:sz="0" w:space="0" w:color="auto"/>
                <w:bottom w:val="none" w:sz="0" w:space="0" w:color="auto"/>
                <w:right w:val="none" w:sz="0" w:space="0" w:color="auto"/>
              </w:divBdr>
              <w:divsChild>
                <w:div w:id="837038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3450124">
      <w:bodyDiv w:val="1"/>
      <w:marLeft w:val="0"/>
      <w:marRight w:val="0"/>
      <w:marTop w:val="0"/>
      <w:marBottom w:val="0"/>
      <w:divBdr>
        <w:top w:val="none" w:sz="0" w:space="0" w:color="auto"/>
        <w:left w:val="none" w:sz="0" w:space="0" w:color="auto"/>
        <w:bottom w:val="none" w:sz="0" w:space="0" w:color="auto"/>
        <w:right w:val="none" w:sz="0" w:space="0" w:color="auto"/>
      </w:divBdr>
      <w:divsChild>
        <w:div w:id="262497077">
          <w:marLeft w:val="0"/>
          <w:marRight w:val="0"/>
          <w:marTop w:val="0"/>
          <w:marBottom w:val="0"/>
          <w:divBdr>
            <w:top w:val="none" w:sz="0" w:space="0" w:color="auto"/>
            <w:left w:val="none" w:sz="0" w:space="0" w:color="auto"/>
            <w:bottom w:val="none" w:sz="0" w:space="0" w:color="auto"/>
            <w:right w:val="none" w:sz="0" w:space="0" w:color="auto"/>
          </w:divBdr>
          <w:divsChild>
            <w:div w:id="902760199">
              <w:marLeft w:val="0"/>
              <w:marRight w:val="0"/>
              <w:marTop w:val="0"/>
              <w:marBottom w:val="0"/>
              <w:divBdr>
                <w:top w:val="none" w:sz="0" w:space="0" w:color="auto"/>
                <w:left w:val="none" w:sz="0" w:space="0" w:color="auto"/>
                <w:bottom w:val="none" w:sz="0" w:space="0" w:color="auto"/>
                <w:right w:val="none" w:sz="0" w:space="0" w:color="auto"/>
              </w:divBdr>
              <w:divsChild>
                <w:div w:id="361324178">
                  <w:marLeft w:val="0"/>
                  <w:marRight w:val="0"/>
                  <w:marTop w:val="0"/>
                  <w:marBottom w:val="0"/>
                  <w:divBdr>
                    <w:top w:val="none" w:sz="0" w:space="0" w:color="auto"/>
                    <w:left w:val="none" w:sz="0" w:space="0" w:color="auto"/>
                    <w:bottom w:val="none" w:sz="0" w:space="0" w:color="auto"/>
                    <w:right w:val="none" w:sz="0" w:space="0" w:color="auto"/>
                  </w:divBdr>
                  <w:divsChild>
                    <w:div w:id="670455167">
                      <w:marLeft w:val="0"/>
                      <w:marRight w:val="0"/>
                      <w:marTop w:val="0"/>
                      <w:marBottom w:val="0"/>
                      <w:divBdr>
                        <w:top w:val="none" w:sz="0" w:space="0" w:color="auto"/>
                        <w:left w:val="none" w:sz="0" w:space="0" w:color="auto"/>
                        <w:bottom w:val="none" w:sz="0" w:space="0" w:color="auto"/>
                        <w:right w:val="none" w:sz="0" w:space="0" w:color="auto"/>
                      </w:divBdr>
                      <w:divsChild>
                        <w:div w:id="2065057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4954915">
      <w:bodyDiv w:val="1"/>
      <w:marLeft w:val="0"/>
      <w:marRight w:val="0"/>
      <w:marTop w:val="0"/>
      <w:marBottom w:val="0"/>
      <w:divBdr>
        <w:top w:val="none" w:sz="0" w:space="0" w:color="auto"/>
        <w:left w:val="none" w:sz="0" w:space="0" w:color="auto"/>
        <w:bottom w:val="none" w:sz="0" w:space="0" w:color="auto"/>
        <w:right w:val="none" w:sz="0" w:space="0" w:color="auto"/>
      </w:divBdr>
      <w:divsChild>
        <w:div w:id="1640264482">
          <w:marLeft w:val="0"/>
          <w:marRight w:val="0"/>
          <w:marTop w:val="0"/>
          <w:marBottom w:val="0"/>
          <w:divBdr>
            <w:top w:val="none" w:sz="0" w:space="0" w:color="auto"/>
            <w:left w:val="none" w:sz="0" w:space="0" w:color="auto"/>
            <w:bottom w:val="none" w:sz="0" w:space="0" w:color="auto"/>
            <w:right w:val="none" w:sz="0" w:space="0" w:color="auto"/>
          </w:divBdr>
          <w:divsChild>
            <w:div w:id="1549686069">
              <w:marLeft w:val="0"/>
              <w:marRight w:val="0"/>
              <w:marTop w:val="0"/>
              <w:marBottom w:val="0"/>
              <w:divBdr>
                <w:top w:val="none" w:sz="0" w:space="0" w:color="auto"/>
                <w:left w:val="none" w:sz="0" w:space="0" w:color="auto"/>
                <w:bottom w:val="none" w:sz="0" w:space="0" w:color="auto"/>
                <w:right w:val="none" w:sz="0" w:space="0" w:color="auto"/>
              </w:divBdr>
              <w:divsChild>
                <w:div w:id="1758596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1792670">
      <w:bodyDiv w:val="1"/>
      <w:marLeft w:val="0"/>
      <w:marRight w:val="0"/>
      <w:marTop w:val="0"/>
      <w:marBottom w:val="0"/>
      <w:divBdr>
        <w:top w:val="none" w:sz="0" w:space="0" w:color="auto"/>
        <w:left w:val="none" w:sz="0" w:space="0" w:color="auto"/>
        <w:bottom w:val="none" w:sz="0" w:space="0" w:color="auto"/>
        <w:right w:val="none" w:sz="0" w:space="0" w:color="auto"/>
      </w:divBdr>
      <w:divsChild>
        <w:div w:id="2070879008">
          <w:marLeft w:val="0"/>
          <w:marRight w:val="0"/>
          <w:marTop w:val="0"/>
          <w:marBottom w:val="0"/>
          <w:divBdr>
            <w:top w:val="none" w:sz="0" w:space="0" w:color="auto"/>
            <w:left w:val="none" w:sz="0" w:space="0" w:color="auto"/>
            <w:bottom w:val="none" w:sz="0" w:space="0" w:color="auto"/>
            <w:right w:val="none" w:sz="0" w:space="0" w:color="auto"/>
          </w:divBdr>
          <w:divsChild>
            <w:div w:id="267156195">
              <w:marLeft w:val="0"/>
              <w:marRight w:val="0"/>
              <w:marTop w:val="0"/>
              <w:marBottom w:val="0"/>
              <w:divBdr>
                <w:top w:val="none" w:sz="0" w:space="0" w:color="auto"/>
                <w:left w:val="none" w:sz="0" w:space="0" w:color="auto"/>
                <w:bottom w:val="none" w:sz="0" w:space="0" w:color="auto"/>
                <w:right w:val="none" w:sz="0" w:space="0" w:color="auto"/>
              </w:divBdr>
              <w:divsChild>
                <w:div w:id="973562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2905661">
      <w:bodyDiv w:val="1"/>
      <w:marLeft w:val="0"/>
      <w:marRight w:val="0"/>
      <w:marTop w:val="0"/>
      <w:marBottom w:val="0"/>
      <w:divBdr>
        <w:top w:val="none" w:sz="0" w:space="0" w:color="auto"/>
        <w:left w:val="none" w:sz="0" w:space="0" w:color="auto"/>
        <w:bottom w:val="none" w:sz="0" w:space="0" w:color="auto"/>
        <w:right w:val="none" w:sz="0" w:space="0" w:color="auto"/>
      </w:divBdr>
      <w:divsChild>
        <w:div w:id="1238132938">
          <w:marLeft w:val="0"/>
          <w:marRight w:val="0"/>
          <w:marTop w:val="0"/>
          <w:marBottom w:val="0"/>
          <w:divBdr>
            <w:top w:val="none" w:sz="0" w:space="0" w:color="auto"/>
            <w:left w:val="none" w:sz="0" w:space="0" w:color="auto"/>
            <w:bottom w:val="none" w:sz="0" w:space="0" w:color="auto"/>
            <w:right w:val="none" w:sz="0" w:space="0" w:color="auto"/>
          </w:divBdr>
          <w:divsChild>
            <w:div w:id="975329758">
              <w:marLeft w:val="0"/>
              <w:marRight w:val="0"/>
              <w:marTop w:val="0"/>
              <w:marBottom w:val="0"/>
              <w:divBdr>
                <w:top w:val="none" w:sz="0" w:space="0" w:color="auto"/>
                <w:left w:val="none" w:sz="0" w:space="0" w:color="auto"/>
                <w:bottom w:val="none" w:sz="0" w:space="0" w:color="auto"/>
                <w:right w:val="none" w:sz="0" w:space="0" w:color="auto"/>
              </w:divBdr>
              <w:divsChild>
                <w:div w:id="891116919">
                  <w:marLeft w:val="0"/>
                  <w:marRight w:val="0"/>
                  <w:marTop w:val="0"/>
                  <w:marBottom w:val="0"/>
                  <w:divBdr>
                    <w:top w:val="none" w:sz="0" w:space="0" w:color="auto"/>
                    <w:left w:val="none" w:sz="0" w:space="0" w:color="auto"/>
                    <w:bottom w:val="none" w:sz="0" w:space="0" w:color="auto"/>
                    <w:right w:val="none" w:sz="0" w:space="0" w:color="auto"/>
                  </w:divBdr>
                  <w:divsChild>
                    <w:div w:id="1537961556">
                      <w:marLeft w:val="0"/>
                      <w:marRight w:val="0"/>
                      <w:marTop w:val="0"/>
                      <w:marBottom w:val="0"/>
                      <w:divBdr>
                        <w:top w:val="none" w:sz="0" w:space="0" w:color="auto"/>
                        <w:left w:val="none" w:sz="0" w:space="0" w:color="auto"/>
                        <w:bottom w:val="none" w:sz="0" w:space="0" w:color="auto"/>
                        <w:right w:val="none" w:sz="0" w:space="0" w:color="auto"/>
                      </w:divBdr>
                      <w:divsChild>
                        <w:div w:id="1294949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5797319">
      <w:bodyDiv w:val="1"/>
      <w:marLeft w:val="0"/>
      <w:marRight w:val="0"/>
      <w:marTop w:val="0"/>
      <w:marBottom w:val="0"/>
      <w:divBdr>
        <w:top w:val="none" w:sz="0" w:space="0" w:color="auto"/>
        <w:left w:val="none" w:sz="0" w:space="0" w:color="auto"/>
        <w:bottom w:val="none" w:sz="0" w:space="0" w:color="auto"/>
        <w:right w:val="none" w:sz="0" w:space="0" w:color="auto"/>
      </w:divBdr>
      <w:divsChild>
        <w:div w:id="313682645">
          <w:marLeft w:val="0"/>
          <w:marRight w:val="0"/>
          <w:marTop w:val="0"/>
          <w:marBottom w:val="0"/>
          <w:divBdr>
            <w:top w:val="none" w:sz="0" w:space="0" w:color="auto"/>
            <w:left w:val="none" w:sz="0" w:space="0" w:color="auto"/>
            <w:bottom w:val="none" w:sz="0" w:space="0" w:color="auto"/>
            <w:right w:val="none" w:sz="0" w:space="0" w:color="auto"/>
          </w:divBdr>
          <w:divsChild>
            <w:div w:id="1527866422">
              <w:marLeft w:val="0"/>
              <w:marRight w:val="0"/>
              <w:marTop w:val="0"/>
              <w:marBottom w:val="0"/>
              <w:divBdr>
                <w:top w:val="none" w:sz="0" w:space="0" w:color="auto"/>
                <w:left w:val="none" w:sz="0" w:space="0" w:color="auto"/>
                <w:bottom w:val="none" w:sz="0" w:space="0" w:color="auto"/>
                <w:right w:val="none" w:sz="0" w:space="0" w:color="auto"/>
              </w:divBdr>
              <w:divsChild>
                <w:div w:id="1236084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5688725">
      <w:bodyDiv w:val="1"/>
      <w:marLeft w:val="0"/>
      <w:marRight w:val="0"/>
      <w:marTop w:val="0"/>
      <w:marBottom w:val="0"/>
      <w:divBdr>
        <w:top w:val="none" w:sz="0" w:space="0" w:color="auto"/>
        <w:left w:val="none" w:sz="0" w:space="0" w:color="auto"/>
        <w:bottom w:val="none" w:sz="0" w:space="0" w:color="auto"/>
        <w:right w:val="none" w:sz="0" w:space="0" w:color="auto"/>
      </w:divBdr>
      <w:divsChild>
        <w:div w:id="2087729464">
          <w:marLeft w:val="0"/>
          <w:marRight w:val="0"/>
          <w:marTop w:val="0"/>
          <w:marBottom w:val="0"/>
          <w:divBdr>
            <w:top w:val="none" w:sz="0" w:space="0" w:color="auto"/>
            <w:left w:val="none" w:sz="0" w:space="0" w:color="auto"/>
            <w:bottom w:val="none" w:sz="0" w:space="0" w:color="auto"/>
            <w:right w:val="none" w:sz="0" w:space="0" w:color="auto"/>
          </w:divBdr>
          <w:divsChild>
            <w:div w:id="1621768166">
              <w:marLeft w:val="0"/>
              <w:marRight w:val="0"/>
              <w:marTop w:val="0"/>
              <w:marBottom w:val="0"/>
              <w:divBdr>
                <w:top w:val="none" w:sz="0" w:space="0" w:color="auto"/>
                <w:left w:val="none" w:sz="0" w:space="0" w:color="auto"/>
                <w:bottom w:val="none" w:sz="0" w:space="0" w:color="auto"/>
                <w:right w:val="none" w:sz="0" w:space="0" w:color="auto"/>
              </w:divBdr>
              <w:divsChild>
                <w:div w:id="406617212">
                  <w:marLeft w:val="0"/>
                  <w:marRight w:val="0"/>
                  <w:marTop w:val="0"/>
                  <w:marBottom w:val="0"/>
                  <w:divBdr>
                    <w:top w:val="none" w:sz="0" w:space="0" w:color="auto"/>
                    <w:left w:val="none" w:sz="0" w:space="0" w:color="auto"/>
                    <w:bottom w:val="none" w:sz="0" w:space="0" w:color="auto"/>
                    <w:right w:val="none" w:sz="0" w:space="0" w:color="auto"/>
                  </w:divBdr>
                  <w:divsChild>
                    <w:div w:id="1365793078">
                      <w:marLeft w:val="0"/>
                      <w:marRight w:val="0"/>
                      <w:marTop w:val="0"/>
                      <w:marBottom w:val="0"/>
                      <w:divBdr>
                        <w:top w:val="none" w:sz="0" w:space="0" w:color="auto"/>
                        <w:left w:val="none" w:sz="0" w:space="0" w:color="auto"/>
                        <w:bottom w:val="none" w:sz="0" w:space="0" w:color="auto"/>
                        <w:right w:val="none" w:sz="0" w:space="0" w:color="auto"/>
                      </w:divBdr>
                      <w:divsChild>
                        <w:div w:id="783500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3074059">
      <w:bodyDiv w:val="1"/>
      <w:marLeft w:val="0"/>
      <w:marRight w:val="0"/>
      <w:marTop w:val="0"/>
      <w:marBottom w:val="0"/>
      <w:divBdr>
        <w:top w:val="none" w:sz="0" w:space="0" w:color="auto"/>
        <w:left w:val="none" w:sz="0" w:space="0" w:color="auto"/>
        <w:bottom w:val="none" w:sz="0" w:space="0" w:color="auto"/>
        <w:right w:val="none" w:sz="0" w:space="0" w:color="auto"/>
      </w:divBdr>
      <w:divsChild>
        <w:div w:id="595990151">
          <w:marLeft w:val="0"/>
          <w:marRight w:val="0"/>
          <w:marTop w:val="0"/>
          <w:marBottom w:val="0"/>
          <w:divBdr>
            <w:top w:val="none" w:sz="0" w:space="0" w:color="auto"/>
            <w:left w:val="none" w:sz="0" w:space="0" w:color="auto"/>
            <w:bottom w:val="none" w:sz="0" w:space="0" w:color="auto"/>
            <w:right w:val="none" w:sz="0" w:space="0" w:color="auto"/>
          </w:divBdr>
          <w:divsChild>
            <w:div w:id="280693812">
              <w:marLeft w:val="0"/>
              <w:marRight w:val="0"/>
              <w:marTop w:val="0"/>
              <w:marBottom w:val="0"/>
              <w:divBdr>
                <w:top w:val="none" w:sz="0" w:space="0" w:color="auto"/>
                <w:left w:val="none" w:sz="0" w:space="0" w:color="auto"/>
                <w:bottom w:val="none" w:sz="0" w:space="0" w:color="auto"/>
                <w:right w:val="none" w:sz="0" w:space="0" w:color="auto"/>
              </w:divBdr>
              <w:divsChild>
                <w:div w:id="1799909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1345485">
      <w:bodyDiv w:val="1"/>
      <w:marLeft w:val="0"/>
      <w:marRight w:val="0"/>
      <w:marTop w:val="0"/>
      <w:marBottom w:val="0"/>
      <w:divBdr>
        <w:top w:val="none" w:sz="0" w:space="0" w:color="auto"/>
        <w:left w:val="none" w:sz="0" w:space="0" w:color="auto"/>
        <w:bottom w:val="none" w:sz="0" w:space="0" w:color="auto"/>
        <w:right w:val="none" w:sz="0" w:space="0" w:color="auto"/>
      </w:divBdr>
    </w:div>
    <w:div w:id="1057586858">
      <w:bodyDiv w:val="1"/>
      <w:marLeft w:val="0"/>
      <w:marRight w:val="0"/>
      <w:marTop w:val="0"/>
      <w:marBottom w:val="0"/>
      <w:divBdr>
        <w:top w:val="none" w:sz="0" w:space="0" w:color="auto"/>
        <w:left w:val="none" w:sz="0" w:space="0" w:color="auto"/>
        <w:bottom w:val="none" w:sz="0" w:space="0" w:color="auto"/>
        <w:right w:val="none" w:sz="0" w:space="0" w:color="auto"/>
      </w:divBdr>
      <w:divsChild>
        <w:div w:id="895118188">
          <w:marLeft w:val="0"/>
          <w:marRight w:val="0"/>
          <w:marTop w:val="0"/>
          <w:marBottom w:val="0"/>
          <w:divBdr>
            <w:top w:val="none" w:sz="0" w:space="0" w:color="auto"/>
            <w:left w:val="none" w:sz="0" w:space="0" w:color="auto"/>
            <w:bottom w:val="none" w:sz="0" w:space="0" w:color="auto"/>
            <w:right w:val="none" w:sz="0" w:space="0" w:color="auto"/>
          </w:divBdr>
          <w:divsChild>
            <w:div w:id="1288389328">
              <w:marLeft w:val="0"/>
              <w:marRight w:val="0"/>
              <w:marTop w:val="0"/>
              <w:marBottom w:val="0"/>
              <w:divBdr>
                <w:top w:val="none" w:sz="0" w:space="0" w:color="auto"/>
                <w:left w:val="none" w:sz="0" w:space="0" w:color="auto"/>
                <w:bottom w:val="none" w:sz="0" w:space="0" w:color="auto"/>
                <w:right w:val="none" w:sz="0" w:space="0" w:color="auto"/>
              </w:divBdr>
              <w:divsChild>
                <w:div w:id="965239633">
                  <w:marLeft w:val="0"/>
                  <w:marRight w:val="0"/>
                  <w:marTop w:val="0"/>
                  <w:marBottom w:val="0"/>
                  <w:divBdr>
                    <w:top w:val="none" w:sz="0" w:space="0" w:color="auto"/>
                    <w:left w:val="none" w:sz="0" w:space="0" w:color="auto"/>
                    <w:bottom w:val="none" w:sz="0" w:space="0" w:color="auto"/>
                    <w:right w:val="none" w:sz="0" w:space="0" w:color="auto"/>
                  </w:divBdr>
                  <w:divsChild>
                    <w:div w:id="1008098345">
                      <w:marLeft w:val="0"/>
                      <w:marRight w:val="0"/>
                      <w:marTop w:val="0"/>
                      <w:marBottom w:val="0"/>
                      <w:divBdr>
                        <w:top w:val="none" w:sz="0" w:space="0" w:color="auto"/>
                        <w:left w:val="none" w:sz="0" w:space="0" w:color="auto"/>
                        <w:bottom w:val="none" w:sz="0" w:space="0" w:color="auto"/>
                        <w:right w:val="none" w:sz="0" w:space="0" w:color="auto"/>
                      </w:divBdr>
                      <w:divsChild>
                        <w:div w:id="600919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5002978">
      <w:bodyDiv w:val="1"/>
      <w:marLeft w:val="0"/>
      <w:marRight w:val="0"/>
      <w:marTop w:val="0"/>
      <w:marBottom w:val="0"/>
      <w:divBdr>
        <w:top w:val="none" w:sz="0" w:space="0" w:color="auto"/>
        <w:left w:val="none" w:sz="0" w:space="0" w:color="auto"/>
        <w:bottom w:val="none" w:sz="0" w:space="0" w:color="auto"/>
        <w:right w:val="none" w:sz="0" w:space="0" w:color="auto"/>
      </w:divBdr>
      <w:divsChild>
        <w:div w:id="1138260035">
          <w:marLeft w:val="0"/>
          <w:marRight w:val="0"/>
          <w:marTop w:val="0"/>
          <w:marBottom w:val="0"/>
          <w:divBdr>
            <w:top w:val="none" w:sz="0" w:space="0" w:color="auto"/>
            <w:left w:val="none" w:sz="0" w:space="0" w:color="auto"/>
            <w:bottom w:val="none" w:sz="0" w:space="0" w:color="auto"/>
            <w:right w:val="none" w:sz="0" w:space="0" w:color="auto"/>
          </w:divBdr>
          <w:divsChild>
            <w:div w:id="573778668">
              <w:marLeft w:val="0"/>
              <w:marRight w:val="0"/>
              <w:marTop w:val="0"/>
              <w:marBottom w:val="0"/>
              <w:divBdr>
                <w:top w:val="none" w:sz="0" w:space="0" w:color="auto"/>
                <w:left w:val="none" w:sz="0" w:space="0" w:color="auto"/>
                <w:bottom w:val="none" w:sz="0" w:space="0" w:color="auto"/>
                <w:right w:val="none" w:sz="0" w:space="0" w:color="auto"/>
              </w:divBdr>
              <w:divsChild>
                <w:div w:id="1646936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4182655">
      <w:bodyDiv w:val="1"/>
      <w:marLeft w:val="0"/>
      <w:marRight w:val="0"/>
      <w:marTop w:val="0"/>
      <w:marBottom w:val="0"/>
      <w:divBdr>
        <w:top w:val="none" w:sz="0" w:space="0" w:color="auto"/>
        <w:left w:val="none" w:sz="0" w:space="0" w:color="auto"/>
        <w:bottom w:val="none" w:sz="0" w:space="0" w:color="auto"/>
        <w:right w:val="none" w:sz="0" w:space="0" w:color="auto"/>
      </w:divBdr>
      <w:divsChild>
        <w:div w:id="1382243923">
          <w:marLeft w:val="0"/>
          <w:marRight w:val="0"/>
          <w:marTop w:val="0"/>
          <w:marBottom w:val="0"/>
          <w:divBdr>
            <w:top w:val="none" w:sz="0" w:space="0" w:color="auto"/>
            <w:left w:val="none" w:sz="0" w:space="0" w:color="auto"/>
            <w:bottom w:val="none" w:sz="0" w:space="0" w:color="auto"/>
            <w:right w:val="none" w:sz="0" w:space="0" w:color="auto"/>
          </w:divBdr>
          <w:divsChild>
            <w:div w:id="621424559">
              <w:marLeft w:val="0"/>
              <w:marRight w:val="0"/>
              <w:marTop w:val="0"/>
              <w:marBottom w:val="0"/>
              <w:divBdr>
                <w:top w:val="none" w:sz="0" w:space="0" w:color="auto"/>
                <w:left w:val="none" w:sz="0" w:space="0" w:color="auto"/>
                <w:bottom w:val="none" w:sz="0" w:space="0" w:color="auto"/>
                <w:right w:val="none" w:sz="0" w:space="0" w:color="auto"/>
              </w:divBdr>
              <w:divsChild>
                <w:div w:id="350424733">
                  <w:marLeft w:val="0"/>
                  <w:marRight w:val="0"/>
                  <w:marTop w:val="0"/>
                  <w:marBottom w:val="0"/>
                  <w:divBdr>
                    <w:top w:val="none" w:sz="0" w:space="0" w:color="auto"/>
                    <w:left w:val="none" w:sz="0" w:space="0" w:color="auto"/>
                    <w:bottom w:val="none" w:sz="0" w:space="0" w:color="auto"/>
                    <w:right w:val="none" w:sz="0" w:space="0" w:color="auto"/>
                  </w:divBdr>
                  <w:divsChild>
                    <w:div w:id="1377243898">
                      <w:marLeft w:val="0"/>
                      <w:marRight w:val="0"/>
                      <w:marTop w:val="0"/>
                      <w:marBottom w:val="0"/>
                      <w:divBdr>
                        <w:top w:val="none" w:sz="0" w:space="0" w:color="auto"/>
                        <w:left w:val="none" w:sz="0" w:space="0" w:color="auto"/>
                        <w:bottom w:val="none" w:sz="0" w:space="0" w:color="auto"/>
                        <w:right w:val="none" w:sz="0" w:space="0" w:color="auto"/>
                      </w:divBdr>
                      <w:divsChild>
                        <w:div w:id="1426921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2784575">
      <w:bodyDiv w:val="1"/>
      <w:marLeft w:val="0"/>
      <w:marRight w:val="0"/>
      <w:marTop w:val="0"/>
      <w:marBottom w:val="0"/>
      <w:divBdr>
        <w:top w:val="none" w:sz="0" w:space="0" w:color="auto"/>
        <w:left w:val="none" w:sz="0" w:space="0" w:color="auto"/>
        <w:bottom w:val="none" w:sz="0" w:space="0" w:color="auto"/>
        <w:right w:val="none" w:sz="0" w:space="0" w:color="auto"/>
      </w:divBdr>
      <w:divsChild>
        <w:div w:id="1454132588">
          <w:marLeft w:val="0"/>
          <w:marRight w:val="0"/>
          <w:marTop w:val="0"/>
          <w:marBottom w:val="0"/>
          <w:divBdr>
            <w:top w:val="none" w:sz="0" w:space="0" w:color="auto"/>
            <w:left w:val="none" w:sz="0" w:space="0" w:color="auto"/>
            <w:bottom w:val="none" w:sz="0" w:space="0" w:color="auto"/>
            <w:right w:val="none" w:sz="0" w:space="0" w:color="auto"/>
          </w:divBdr>
          <w:divsChild>
            <w:div w:id="1513453091">
              <w:marLeft w:val="0"/>
              <w:marRight w:val="0"/>
              <w:marTop w:val="0"/>
              <w:marBottom w:val="0"/>
              <w:divBdr>
                <w:top w:val="none" w:sz="0" w:space="0" w:color="auto"/>
                <w:left w:val="none" w:sz="0" w:space="0" w:color="auto"/>
                <w:bottom w:val="none" w:sz="0" w:space="0" w:color="auto"/>
                <w:right w:val="none" w:sz="0" w:space="0" w:color="auto"/>
              </w:divBdr>
              <w:divsChild>
                <w:div w:id="1622102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1200092">
      <w:bodyDiv w:val="1"/>
      <w:marLeft w:val="0"/>
      <w:marRight w:val="0"/>
      <w:marTop w:val="0"/>
      <w:marBottom w:val="0"/>
      <w:divBdr>
        <w:top w:val="none" w:sz="0" w:space="0" w:color="auto"/>
        <w:left w:val="none" w:sz="0" w:space="0" w:color="auto"/>
        <w:bottom w:val="none" w:sz="0" w:space="0" w:color="auto"/>
        <w:right w:val="none" w:sz="0" w:space="0" w:color="auto"/>
      </w:divBdr>
      <w:divsChild>
        <w:div w:id="1726218899">
          <w:marLeft w:val="0"/>
          <w:marRight w:val="0"/>
          <w:marTop w:val="0"/>
          <w:marBottom w:val="0"/>
          <w:divBdr>
            <w:top w:val="none" w:sz="0" w:space="0" w:color="auto"/>
            <w:left w:val="none" w:sz="0" w:space="0" w:color="auto"/>
            <w:bottom w:val="none" w:sz="0" w:space="0" w:color="auto"/>
            <w:right w:val="none" w:sz="0" w:space="0" w:color="auto"/>
          </w:divBdr>
          <w:divsChild>
            <w:div w:id="113641865">
              <w:marLeft w:val="0"/>
              <w:marRight w:val="0"/>
              <w:marTop w:val="0"/>
              <w:marBottom w:val="0"/>
              <w:divBdr>
                <w:top w:val="none" w:sz="0" w:space="0" w:color="auto"/>
                <w:left w:val="none" w:sz="0" w:space="0" w:color="auto"/>
                <w:bottom w:val="none" w:sz="0" w:space="0" w:color="auto"/>
                <w:right w:val="none" w:sz="0" w:space="0" w:color="auto"/>
              </w:divBdr>
              <w:divsChild>
                <w:div w:id="577255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8676722">
      <w:bodyDiv w:val="1"/>
      <w:marLeft w:val="0"/>
      <w:marRight w:val="0"/>
      <w:marTop w:val="0"/>
      <w:marBottom w:val="0"/>
      <w:divBdr>
        <w:top w:val="none" w:sz="0" w:space="0" w:color="auto"/>
        <w:left w:val="none" w:sz="0" w:space="0" w:color="auto"/>
        <w:bottom w:val="none" w:sz="0" w:space="0" w:color="auto"/>
        <w:right w:val="none" w:sz="0" w:space="0" w:color="auto"/>
      </w:divBdr>
      <w:divsChild>
        <w:div w:id="438646807">
          <w:marLeft w:val="0"/>
          <w:marRight w:val="0"/>
          <w:marTop w:val="0"/>
          <w:marBottom w:val="0"/>
          <w:divBdr>
            <w:top w:val="none" w:sz="0" w:space="0" w:color="auto"/>
            <w:left w:val="none" w:sz="0" w:space="0" w:color="auto"/>
            <w:bottom w:val="none" w:sz="0" w:space="0" w:color="auto"/>
            <w:right w:val="none" w:sz="0" w:space="0" w:color="auto"/>
          </w:divBdr>
          <w:divsChild>
            <w:div w:id="1264679642">
              <w:marLeft w:val="0"/>
              <w:marRight w:val="0"/>
              <w:marTop w:val="0"/>
              <w:marBottom w:val="0"/>
              <w:divBdr>
                <w:top w:val="none" w:sz="0" w:space="0" w:color="auto"/>
                <w:left w:val="none" w:sz="0" w:space="0" w:color="auto"/>
                <w:bottom w:val="none" w:sz="0" w:space="0" w:color="auto"/>
                <w:right w:val="none" w:sz="0" w:space="0" w:color="auto"/>
              </w:divBdr>
              <w:divsChild>
                <w:div w:id="285746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8335307">
      <w:bodyDiv w:val="1"/>
      <w:marLeft w:val="0"/>
      <w:marRight w:val="0"/>
      <w:marTop w:val="0"/>
      <w:marBottom w:val="0"/>
      <w:divBdr>
        <w:top w:val="none" w:sz="0" w:space="0" w:color="auto"/>
        <w:left w:val="none" w:sz="0" w:space="0" w:color="auto"/>
        <w:bottom w:val="none" w:sz="0" w:space="0" w:color="auto"/>
        <w:right w:val="none" w:sz="0" w:space="0" w:color="auto"/>
      </w:divBdr>
      <w:divsChild>
        <w:div w:id="144005669">
          <w:marLeft w:val="0"/>
          <w:marRight w:val="0"/>
          <w:marTop w:val="0"/>
          <w:marBottom w:val="0"/>
          <w:divBdr>
            <w:top w:val="none" w:sz="0" w:space="0" w:color="auto"/>
            <w:left w:val="none" w:sz="0" w:space="0" w:color="auto"/>
            <w:bottom w:val="none" w:sz="0" w:space="0" w:color="auto"/>
            <w:right w:val="none" w:sz="0" w:space="0" w:color="auto"/>
          </w:divBdr>
          <w:divsChild>
            <w:div w:id="2062316215">
              <w:marLeft w:val="0"/>
              <w:marRight w:val="0"/>
              <w:marTop w:val="0"/>
              <w:marBottom w:val="0"/>
              <w:divBdr>
                <w:top w:val="none" w:sz="0" w:space="0" w:color="auto"/>
                <w:left w:val="none" w:sz="0" w:space="0" w:color="auto"/>
                <w:bottom w:val="none" w:sz="0" w:space="0" w:color="auto"/>
                <w:right w:val="none" w:sz="0" w:space="0" w:color="auto"/>
              </w:divBdr>
              <w:divsChild>
                <w:div w:id="76562713">
                  <w:marLeft w:val="0"/>
                  <w:marRight w:val="0"/>
                  <w:marTop w:val="0"/>
                  <w:marBottom w:val="0"/>
                  <w:divBdr>
                    <w:top w:val="none" w:sz="0" w:space="0" w:color="auto"/>
                    <w:left w:val="none" w:sz="0" w:space="0" w:color="auto"/>
                    <w:bottom w:val="none" w:sz="0" w:space="0" w:color="auto"/>
                    <w:right w:val="none" w:sz="0" w:space="0" w:color="auto"/>
                  </w:divBdr>
                  <w:divsChild>
                    <w:div w:id="1930386222">
                      <w:marLeft w:val="0"/>
                      <w:marRight w:val="0"/>
                      <w:marTop w:val="0"/>
                      <w:marBottom w:val="0"/>
                      <w:divBdr>
                        <w:top w:val="none" w:sz="0" w:space="0" w:color="auto"/>
                        <w:left w:val="none" w:sz="0" w:space="0" w:color="auto"/>
                        <w:bottom w:val="none" w:sz="0" w:space="0" w:color="auto"/>
                        <w:right w:val="none" w:sz="0" w:space="0" w:color="auto"/>
                      </w:divBdr>
                      <w:divsChild>
                        <w:div w:id="234243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8283721">
      <w:bodyDiv w:val="1"/>
      <w:marLeft w:val="0"/>
      <w:marRight w:val="0"/>
      <w:marTop w:val="0"/>
      <w:marBottom w:val="0"/>
      <w:divBdr>
        <w:top w:val="none" w:sz="0" w:space="0" w:color="auto"/>
        <w:left w:val="none" w:sz="0" w:space="0" w:color="auto"/>
        <w:bottom w:val="none" w:sz="0" w:space="0" w:color="auto"/>
        <w:right w:val="none" w:sz="0" w:space="0" w:color="auto"/>
      </w:divBdr>
      <w:divsChild>
        <w:div w:id="1524202817">
          <w:marLeft w:val="0"/>
          <w:marRight w:val="0"/>
          <w:marTop w:val="0"/>
          <w:marBottom w:val="0"/>
          <w:divBdr>
            <w:top w:val="none" w:sz="0" w:space="0" w:color="auto"/>
            <w:left w:val="none" w:sz="0" w:space="0" w:color="auto"/>
            <w:bottom w:val="none" w:sz="0" w:space="0" w:color="auto"/>
            <w:right w:val="none" w:sz="0" w:space="0" w:color="auto"/>
          </w:divBdr>
          <w:divsChild>
            <w:div w:id="981421457">
              <w:marLeft w:val="0"/>
              <w:marRight w:val="0"/>
              <w:marTop w:val="0"/>
              <w:marBottom w:val="0"/>
              <w:divBdr>
                <w:top w:val="none" w:sz="0" w:space="0" w:color="auto"/>
                <w:left w:val="none" w:sz="0" w:space="0" w:color="auto"/>
                <w:bottom w:val="none" w:sz="0" w:space="0" w:color="auto"/>
                <w:right w:val="none" w:sz="0" w:space="0" w:color="auto"/>
              </w:divBdr>
              <w:divsChild>
                <w:div w:id="491683160">
                  <w:marLeft w:val="0"/>
                  <w:marRight w:val="0"/>
                  <w:marTop w:val="0"/>
                  <w:marBottom w:val="0"/>
                  <w:divBdr>
                    <w:top w:val="none" w:sz="0" w:space="0" w:color="auto"/>
                    <w:left w:val="none" w:sz="0" w:space="0" w:color="auto"/>
                    <w:bottom w:val="none" w:sz="0" w:space="0" w:color="auto"/>
                    <w:right w:val="none" w:sz="0" w:space="0" w:color="auto"/>
                  </w:divBdr>
                  <w:divsChild>
                    <w:div w:id="114255226">
                      <w:marLeft w:val="0"/>
                      <w:marRight w:val="0"/>
                      <w:marTop w:val="0"/>
                      <w:marBottom w:val="0"/>
                      <w:divBdr>
                        <w:top w:val="none" w:sz="0" w:space="0" w:color="auto"/>
                        <w:left w:val="none" w:sz="0" w:space="0" w:color="auto"/>
                        <w:bottom w:val="none" w:sz="0" w:space="0" w:color="auto"/>
                        <w:right w:val="none" w:sz="0" w:space="0" w:color="auto"/>
                      </w:divBdr>
                      <w:divsChild>
                        <w:div w:id="349259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2265639">
      <w:bodyDiv w:val="1"/>
      <w:marLeft w:val="0"/>
      <w:marRight w:val="0"/>
      <w:marTop w:val="0"/>
      <w:marBottom w:val="0"/>
      <w:divBdr>
        <w:top w:val="none" w:sz="0" w:space="0" w:color="auto"/>
        <w:left w:val="none" w:sz="0" w:space="0" w:color="auto"/>
        <w:bottom w:val="none" w:sz="0" w:space="0" w:color="auto"/>
        <w:right w:val="none" w:sz="0" w:space="0" w:color="auto"/>
      </w:divBdr>
      <w:divsChild>
        <w:div w:id="198444928">
          <w:marLeft w:val="0"/>
          <w:marRight w:val="0"/>
          <w:marTop w:val="0"/>
          <w:marBottom w:val="0"/>
          <w:divBdr>
            <w:top w:val="none" w:sz="0" w:space="0" w:color="auto"/>
            <w:left w:val="none" w:sz="0" w:space="0" w:color="auto"/>
            <w:bottom w:val="none" w:sz="0" w:space="0" w:color="auto"/>
            <w:right w:val="none" w:sz="0" w:space="0" w:color="auto"/>
          </w:divBdr>
          <w:divsChild>
            <w:div w:id="1600604245">
              <w:marLeft w:val="0"/>
              <w:marRight w:val="0"/>
              <w:marTop w:val="0"/>
              <w:marBottom w:val="0"/>
              <w:divBdr>
                <w:top w:val="none" w:sz="0" w:space="0" w:color="auto"/>
                <w:left w:val="none" w:sz="0" w:space="0" w:color="auto"/>
                <w:bottom w:val="none" w:sz="0" w:space="0" w:color="auto"/>
                <w:right w:val="none" w:sz="0" w:space="0" w:color="auto"/>
              </w:divBdr>
              <w:divsChild>
                <w:div w:id="703166925">
                  <w:marLeft w:val="0"/>
                  <w:marRight w:val="0"/>
                  <w:marTop w:val="0"/>
                  <w:marBottom w:val="0"/>
                  <w:divBdr>
                    <w:top w:val="none" w:sz="0" w:space="0" w:color="auto"/>
                    <w:left w:val="none" w:sz="0" w:space="0" w:color="auto"/>
                    <w:bottom w:val="none" w:sz="0" w:space="0" w:color="auto"/>
                    <w:right w:val="none" w:sz="0" w:space="0" w:color="auto"/>
                  </w:divBdr>
                  <w:divsChild>
                    <w:div w:id="942343983">
                      <w:marLeft w:val="0"/>
                      <w:marRight w:val="0"/>
                      <w:marTop w:val="0"/>
                      <w:marBottom w:val="0"/>
                      <w:divBdr>
                        <w:top w:val="none" w:sz="0" w:space="0" w:color="auto"/>
                        <w:left w:val="none" w:sz="0" w:space="0" w:color="auto"/>
                        <w:bottom w:val="none" w:sz="0" w:space="0" w:color="auto"/>
                        <w:right w:val="none" w:sz="0" w:space="0" w:color="auto"/>
                      </w:divBdr>
                      <w:divsChild>
                        <w:div w:id="1843929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9666244">
      <w:bodyDiv w:val="1"/>
      <w:marLeft w:val="0"/>
      <w:marRight w:val="0"/>
      <w:marTop w:val="0"/>
      <w:marBottom w:val="0"/>
      <w:divBdr>
        <w:top w:val="none" w:sz="0" w:space="0" w:color="auto"/>
        <w:left w:val="none" w:sz="0" w:space="0" w:color="auto"/>
        <w:bottom w:val="none" w:sz="0" w:space="0" w:color="auto"/>
        <w:right w:val="none" w:sz="0" w:space="0" w:color="auto"/>
      </w:divBdr>
      <w:divsChild>
        <w:div w:id="1552613575">
          <w:marLeft w:val="0"/>
          <w:marRight w:val="0"/>
          <w:marTop w:val="0"/>
          <w:marBottom w:val="0"/>
          <w:divBdr>
            <w:top w:val="none" w:sz="0" w:space="0" w:color="auto"/>
            <w:left w:val="none" w:sz="0" w:space="0" w:color="auto"/>
            <w:bottom w:val="none" w:sz="0" w:space="0" w:color="auto"/>
            <w:right w:val="none" w:sz="0" w:space="0" w:color="auto"/>
          </w:divBdr>
          <w:divsChild>
            <w:div w:id="1147161624">
              <w:marLeft w:val="0"/>
              <w:marRight w:val="0"/>
              <w:marTop w:val="0"/>
              <w:marBottom w:val="0"/>
              <w:divBdr>
                <w:top w:val="none" w:sz="0" w:space="0" w:color="auto"/>
                <w:left w:val="none" w:sz="0" w:space="0" w:color="auto"/>
                <w:bottom w:val="none" w:sz="0" w:space="0" w:color="auto"/>
                <w:right w:val="none" w:sz="0" w:space="0" w:color="auto"/>
              </w:divBdr>
              <w:divsChild>
                <w:div w:id="2093424664">
                  <w:marLeft w:val="0"/>
                  <w:marRight w:val="0"/>
                  <w:marTop w:val="0"/>
                  <w:marBottom w:val="0"/>
                  <w:divBdr>
                    <w:top w:val="none" w:sz="0" w:space="0" w:color="auto"/>
                    <w:left w:val="none" w:sz="0" w:space="0" w:color="auto"/>
                    <w:bottom w:val="none" w:sz="0" w:space="0" w:color="auto"/>
                    <w:right w:val="none" w:sz="0" w:space="0" w:color="auto"/>
                  </w:divBdr>
                  <w:divsChild>
                    <w:div w:id="1604026125">
                      <w:blockQuote w:val="1"/>
                      <w:marLeft w:val="5"/>
                      <w:marRight w:val="0"/>
                      <w:marTop w:val="168"/>
                      <w:marBottom w:val="168"/>
                      <w:divBdr>
                        <w:top w:val="single" w:sz="6" w:space="2" w:color="E0E0E0"/>
                        <w:left w:val="single" w:sz="6" w:space="11" w:color="E0E0E0"/>
                        <w:bottom w:val="single" w:sz="6" w:space="2" w:color="E0E0E0"/>
                        <w:right w:val="single" w:sz="6" w:space="11" w:color="E0E0E0"/>
                      </w:divBdr>
                      <w:divsChild>
                        <w:div w:id="871456317">
                          <w:marLeft w:val="0"/>
                          <w:marRight w:val="0"/>
                          <w:marTop w:val="0"/>
                          <w:marBottom w:val="0"/>
                          <w:divBdr>
                            <w:top w:val="none" w:sz="0" w:space="0" w:color="auto"/>
                            <w:left w:val="none" w:sz="0" w:space="0" w:color="auto"/>
                            <w:bottom w:val="none" w:sz="0" w:space="0" w:color="auto"/>
                            <w:right w:val="none" w:sz="0" w:space="0" w:color="auto"/>
                          </w:divBdr>
                        </w:div>
                      </w:divsChild>
                    </w:div>
                    <w:div w:id="202638431">
                      <w:blockQuote w:val="1"/>
                      <w:marLeft w:val="5"/>
                      <w:marRight w:val="0"/>
                      <w:marTop w:val="168"/>
                      <w:marBottom w:val="168"/>
                      <w:divBdr>
                        <w:top w:val="single" w:sz="6" w:space="2" w:color="E0E0E0"/>
                        <w:left w:val="single" w:sz="6" w:space="11" w:color="E0E0E0"/>
                        <w:bottom w:val="single" w:sz="6" w:space="2" w:color="E0E0E0"/>
                        <w:right w:val="single" w:sz="6" w:space="11" w:color="E0E0E0"/>
                      </w:divBdr>
                      <w:divsChild>
                        <w:div w:id="1413771919">
                          <w:marLeft w:val="0"/>
                          <w:marRight w:val="0"/>
                          <w:marTop w:val="0"/>
                          <w:marBottom w:val="0"/>
                          <w:divBdr>
                            <w:top w:val="none" w:sz="0" w:space="0" w:color="auto"/>
                            <w:left w:val="none" w:sz="0" w:space="0" w:color="auto"/>
                            <w:bottom w:val="none" w:sz="0" w:space="0" w:color="auto"/>
                            <w:right w:val="none" w:sz="0" w:space="0" w:color="auto"/>
                          </w:divBdr>
                        </w:div>
                      </w:divsChild>
                    </w:div>
                    <w:div w:id="1022050845">
                      <w:blockQuote w:val="1"/>
                      <w:marLeft w:val="5"/>
                      <w:marRight w:val="0"/>
                      <w:marTop w:val="168"/>
                      <w:marBottom w:val="168"/>
                      <w:divBdr>
                        <w:top w:val="single" w:sz="6" w:space="2" w:color="E0E0E0"/>
                        <w:left w:val="single" w:sz="6" w:space="11" w:color="E0E0E0"/>
                        <w:bottom w:val="single" w:sz="6" w:space="2" w:color="E0E0E0"/>
                        <w:right w:val="single" w:sz="6" w:space="11" w:color="E0E0E0"/>
                      </w:divBdr>
                      <w:divsChild>
                        <w:div w:id="763305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1676778">
      <w:bodyDiv w:val="1"/>
      <w:marLeft w:val="0"/>
      <w:marRight w:val="0"/>
      <w:marTop w:val="0"/>
      <w:marBottom w:val="0"/>
      <w:divBdr>
        <w:top w:val="none" w:sz="0" w:space="0" w:color="auto"/>
        <w:left w:val="none" w:sz="0" w:space="0" w:color="auto"/>
        <w:bottom w:val="none" w:sz="0" w:space="0" w:color="auto"/>
        <w:right w:val="none" w:sz="0" w:space="0" w:color="auto"/>
      </w:divBdr>
      <w:divsChild>
        <w:div w:id="187263009">
          <w:marLeft w:val="0"/>
          <w:marRight w:val="0"/>
          <w:marTop w:val="0"/>
          <w:marBottom w:val="0"/>
          <w:divBdr>
            <w:top w:val="none" w:sz="0" w:space="0" w:color="auto"/>
            <w:left w:val="none" w:sz="0" w:space="0" w:color="auto"/>
            <w:bottom w:val="none" w:sz="0" w:space="0" w:color="auto"/>
            <w:right w:val="none" w:sz="0" w:space="0" w:color="auto"/>
          </w:divBdr>
          <w:divsChild>
            <w:div w:id="170992543">
              <w:marLeft w:val="0"/>
              <w:marRight w:val="0"/>
              <w:marTop w:val="0"/>
              <w:marBottom w:val="0"/>
              <w:divBdr>
                <w:top w:val="none" w:sz="0" w:space="0" w:color="auto"/>
                <w:left w:val="none" w:sz="0" w:space="0" w:color="auto"/>
                <w:bottom w:val="none" w:sz="0" w:space="0" w:color="auto"/>
                <w:right w:val="none" w:sz="0" w:space="0" w:color="auto"/>
              </w:divBdr>
              <w:divsChild>
                <w:div w:id="259028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3908112">
      <w:bodyDiv w:val="1"/>
      <w:marLeft w:val="0"/>
      <w:marRight w:val="0"/>
      <w:marTop w:val="0"/>
      <w:marBottom w:val="0"/>
      <w:divBdr>
        <w:top w:val="none" w:sz="0" w:space="0" w:color="auto"/>
        <w:left w:val="none" w:sz="0" w:space="0" w:color="auto"/>
        <w:bottom w:val="none" w:sz="0" w:space="0" w:color="auto"/>
        <w:right w:val="none" w:sz="0" w:space="0" w:color="auto"/>
      </w:divBdr>
      <w:divsChild>
        <w:div w:id="1888645804">
          <w:marLeft w:val="0"/>
          <w:marRight w:val="0"/>
          <w:marTop w:val="0"/>
          <w:marBottom w:val="0"/>
          <w:divBdr>
            <w:top w:val="none" w:sz="0" w:space="0" w:color="auto"/>
            <w:left w:val="none" w:sz="0" w:space="0" w:color="auto"/>
            <w:bottom w:val="none" w:sz="0" w:space="0" w:color="auto"/>
            <w:right w:val="none" w:sz="0" w:space="0" w:color="auto"/>
          </w:divBdr>
          <w:divsChild>
            <w:div w:id="1299801782">
              <w:marLeft w:val="0"/>
              <w:marRight w:val="0"/>
              <w:marTop w:val="0"/>
              <w:marBottom w:val="0"/>
              <w:divBdr>
                <w:top w:val="none" w:sz="0" w:space="0" w:color="auto"/>
                <w:left w:val="none" w:sz="0" w:space="0" w:color="auto"/>
                <w:bottom w:val="none" w:sz="0" w:space="0" w:color="auto"/>
                <w:right w:val="none" w:sz="0" w:space="0" w:color="auto"/>
              </w:divBdr>
              <w:divsChild>
                <w:div w:id="1484353442">
                  <w:marLeft w:val="0"/>
                  <w:marRight w:val="0"/>
                  <w:marTop w:val="0"/>
                  <w:marBottom w:val="0"/>
                  <w:divBdr>
                    <w:top w:val="none" w:sz="0" w:space="0" w:color="auto"/>
                    <w:left w:val="none" w:sz="0" w:space="0" w:color="auto"/>
                    <w:bottom w:val="none" w:sz="0" w:space="0" w:color="auto"/>
                    <w:right w:val="none" w:sz="0" w:space="0" w:color="auto"/>
                  </w:divBdr>
                  <w:divsChild>
                    <w:div w:id="1405370705">
                      <w:marLeft w:val="0"/>
                      <w:marRight w:val="0"/>
                      <w:marTop w:val="0"/>
                      <w:marBottom w:val="0"/>
                      <w:divBdr>
                        <w:top w:val="none" w:sz="0" w:space="0" w:color="auto"/>
                        <w:left w:val="none" w:sz="0" w:space="0" w:color="auto"/>
                        <w:bottom w:val="none" w:sz="0" w:space="0" w:color="auto"/>
                        <w:right w:val="none" w:sz="0" w:space="0" w:color="auto"/>
                      </w:divBdr>
                      <w:divsChild>
                        <w:div w:id="520433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0509085">
      <w:bodyDiv w:val="1"/>
      <w:marLeft w:val="0"/>
      <w:marRight w:val="0"/>
      <w:marTop w:val="0"/>
      <w:marBottom w:val="0"/>
      <w:divBdr>
        <w:top w:val="none" w:sz="0" w:space="0" w:color="auto"/>
        <w:left w:val="none" w:sz="0" w:space="0" w:color="auto"/>
        <w:bottom w:val="none" w:sz="0" w:space="0" w:color="auto"/>
        <w:right w:val="none" w:sz="0" w:space="0" w:color="auto"/>
      </w:divBdr>
      <w:divsChild>
        <w:div w:id="1768185832">
          <w:marLeft w:val="0"/>
          <w:marRight w:val="0"/>
          <w:marTop w:val="0"/>
          <w:marBottom w:val="0"/>
          <w:divBdr>
            <w:top w:val="none" w:sz="0" w:space="0" w:color="auto"/>
            <w:left w:val="none" w:sz="0" w:space="0" w:color="auto"/>
            <w:bottom w:val="none" w:sz="0" w:space="0" w:color="auto"/>
            <w:right w:val="none" w:sz="0" w:space="0" w:color="auto"/>
          </w:divBdr>
          <w:divsChild>
            <w:div w:id="1273437232">
              <w:marLeft w:val="0"/>
              <w:marRight w:val="0"/>
              <w:marTop w:val="0"/>
              <w:marBottom w:val="0"/>
              <w:divBdr>
                <w:top w:val="none" w:sz="0" w:space="0" w:color="auto"/>
                <w:left w:val="none" w:sz="0" w:space="0" w:color="auto"/>
                <w:bottom w:val="none" w:sz="0" w:space="0" w:color="auto"/>
                <w:right w:val="none" w:sz="0" w:space="0" w:color="auto"/>
              </w:divBdr>
              <w:divsChild>
                <w:div w:id="203396">
                  <w:marLeft w:val="0"/>
                  <w:marRight w:val="0"/>
                  <w:marTop w:val="0"/>
                  <w:marBottom w:val="0"/>
                  <w:divBdr>
                    <w:top w:val="none" w:sz="0" w:space="0" w:color="auto"/>
                    <w:left w:val="none" w:sz="0" w:space="0" w:color="auto"/>
                    <w:bottom w:val="none" w:sz="0" w:space="0" w:color="auto"/>
                    <w:right w:val="none" w:sz="0" w:space="0" w:color="auto"/>
                  </w:divBdr>
                  <w:divsChild>
                    <w:div w:id="547686347">
                      <w:marLeft w:val="0"/>
                      <w:marRight w:val="0"/>
                      <w:marTop w:val="0"/>
                      <w:marBottom w:val="0"/>
                      <w:divBdr>
                        <w:top w:val="none" w:sz="0" w:space="0" w:color="auto"/>
                        <w:left w:val="none" w:sz="0" w:space="0" w:color="auto"/>
                        <w:bottom w:val="none" w:sz="0" w:space="0" w:color="auto"/>
                        <w:right w:val="none" w:sz="0" w:space="0" w:color="auto"/>
                      </w:divBdr>
                      <w:divsChild>
                        <w:div w:id="1865358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3157068">
      <w:bodyDiv w:val="1"/>
      <w:marLeft w:val="0"/>
      <w:marRight w:val="0"/>
      <w:marTop w:val="0"/>
      <w:marBottom w:val="0"/>
      <w:divBdr>
        <w:top w:val="none" w:sz="0" w:space="0" w:color="auto"/>
        <w:left w:val="none" w:sz="0" w:space="0" w:color="auto"/>
        <w:bottom w:val="none" w:sz="0" w:space="0" w:color="auto"/>
        <w:right w:val="none" w:sz="0" w:space="0" w:color="auto"/>
      </w:divBdr>
      <w:divsChild>
        <w:div w:id="69087988">
          <w:marLeft w:val="0"/>
          <w:marRight w:val="0"/>
          <w:marTop w:val="0"/>
          <w:marBottom w:val="0"/>
          <w:divBdr>
            <w:top w:val="none" w:sz="0" w:space="0" w:color="auto"/>
            <w:left w:val="none" w:sz="0" w:space="0" w:color="auto"/>
            <w:bottom w:val="none" w:sz="0" w:space="0" w:color="auto"/>
            <w:right w:val="none" w:sz="0" w:space="0" w:color="auto"/>
          </w:divBdr>
          <w:divsChild>
            <w:div w:id="949975899">
              <w:marLeft w:val="0"/>
              <w:marRight w:val="0"/>
              <w:marTop w:val="0"/>
              <w:marBottom w:val="0"/>
              <w:divBdr>
                <w:top w:val="none" w:sz="0" w:space="0" w:color="auto"/>
                <w:left w:val="none" w:sz="0" w:space="0" w:color="auto"/>
                <w:bottom w:val="none" w:sz="0" w:space="0" w:color="auto"/>
                <w:right w:val="none" w:sz="0" w:space="0" w:color="auto"/>
              </w:divBdr>
              <w:divsChild>
                <w:div w:id="1029992481">
                  <w:marLeft w:val="0"/>
                  <w:marRight w:val="0"/>
                  <w:marTop w:val="0"/>
                  <w:marBottom w:val="0"/>
                  <w:divBdr>
                    <w:top w:val="none" w:sz="0" w:space="0" w:color="auto"/>
                    <w:left w:val="none" w:sz="0" w:space="0" w:color="auto"/>
                    <w:bottom w:val="none" w:sz="0" w:space="0" w:color="auto"/>
                    <w:right w:val="none" w:sz="0" w:space="0" w:color="auto"/>
                  </w:divBdr>
                  <w:divsChild>
                    <w:div w:id="1925795273">
                      <w:marLeft w:val="0"/>
                      <w:marRight w:val="0"/>
                      <w:marTop w:val="0"/>
                      <w:marBottom w:val="0"/>
                      <w:divBdr>
                        <w:top w:val="none" w:sz="0" w:space="0" w:color="auto"/>
                        <w:left w:val="none" w:sz="0" w:space="0" w:color="auto"/>
                        <w:bottom w:val="none" w:sz="0" w:space="0" w:color="auto"/>
                        <w:right w:val="none" w:sz="0" w:space="0" w:color="auto"/>
                      </w:divBdr>
                      <w:divsChild>
                        <w:div w:id="989404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6184256">
      <w:bodyDiv w:val="1"/>
      <w:marLeft w:val="0"/>
      <w:marRight w:val="0"/>
      <w:marTop w:val="0"/>
      <w:marBottom w:val="0"/>
      <w:divBdr>
        <w:top w:val="none" w:sz="0" w:space="0" w:color="auto"/>
        <w:left w:val="none" w:sz="0" w:space="0" w:color="auto"/>
        <w:bottom w:val="none" w:sz="0" w:space="0" w:color="auto"/>
        <w:right w:val="none" w:sz="0" w:space="0" w:color="auto"/>
      </w:divBdr>
      <w:divsChild>
        <w:div w:id="1704747684">
          <w:marLeft w:val="0"/>
          <w:marRight w:val="0"/>
          <w:marTop w:val="0"/>
          <w:marBottom w:val="0"/>
          <w:divBdr>
            <w:top w:val="none" w:sz="0" w:space="0" w:color="auto"/>
            <w:left w:val="none" w:sz="0" w:space="0" w:color="auto"/>
            <w:bottom w:val="none" w:sz="0" w:space="0" w:color="auto"/>
            <w:right w:val="none" w:sz="0" w:space="0" w:color="auto"/>
          </w:divBdr>
          <w:divsChild>
            <w:div w:id="1500071944">
              <w:marLeft w:val="0"/>
              <w:marRight w:val="0"/>
              <w:marTop w:val="0"/>
              <w:marBottom w:val="0"/>
              <w:divBdr>
                <w:top w:val="none" w:sz="0" w:space="0" w:color="auto"/>
                <w:left w:val="none" w:sz="0" w:space="0" w:color="auto"/>
                <w:bottom w:val="none" w:sz="0" w:space="0" w:color="auto"/>
                <w:right w:val="none" w:sz="0" w:space="0" w:color="auto"/>
              </w:divBdr>
              <w:divsChild>
                <w:div w:id="893278286">
                  <w:marLeft w:val="0"/>
                  <w:marRight w:val="0"/>
                  <w:marTop w:val="0"/>
                  <w:marBottom w:val="0"/>
                  <w:divBdr>
                    <w:top w:val="none" w:sz="0" w:space="0" w:color="auto"/>
                    <w:left w:val="none" w:sz="0" w:space="0" w:color="auto"/>
                    <w:bottom w:val="none" w:sz="0" w:space="0" w:color="auto"/>
                    <w:right w:val="none" w:sz="0" w:space="0" w:color="auto"/>
                  </w:divBdr>
                  <w:divsChild>
                    <w:div w:id="591472564">
                      <w:marLeft w:val="0"/>
                      <w:marRight w:val="0"/>
                      <w:marTop w:val="0"/>
                      <w:marBottom w:val="0"/>
                      <w:divBdr>
                        <w:top w:val="none" w:sz="0" w:space="0" w:color="auto"/>
                        <w:left w:val="none" w:sz="0" w:space="0" w:color="auto"/>
                        <w:bottom w:val="none" w:sz="0" w:space="0" w:color="auto"/>
                        <w:right w:val="none" w:sz="0" w:space="0" w:color="auto"/>
                      </w:divBdr>
                      <w:divsChild>
                        <w:div w:id="81607735">
                          <w:marLeft w:val="0"/>
                          <w:marRight w:val="0"/>
                          <w:marTop w:val="0"/>
                          <w:marBottom w:val="0"/>
                          <w:divBdr>
                            <w:top w:val="none" w:sz="0" w:space="0" w:color="auto"/>
                            <w:left w:val="none" w:sz="0" w:space="0" w:color="auto"/>
                            <w:bottom w:val="none" w:sz="0" w:space="0" w:color="auto"/>
                            <w:right w:val="none" w:sz="0" w:space="0" w:color="auto"/>
                          </w:divBdr>
                          <w:divsChild>
                            <w:div w:id="577710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1458177">
      <w:bodyDiv w:val="1"/>
      <w:marLeft w:val="0"/>
      <w:marRight w:val="0"/>
      <w:marTop w:val="0"/>
      <w:marBottom w:val="0"/>
      <w:divBdr>
        <w:top w:val="none" w:sz="0" w:space="0" w:color="auto"/>
        <w:left w:val="none" w:sz="0" w:space="0" w:color="auto"/>
        <w:bottom w:val="none" w:sz="0" w:space="0" w:color="auto"/>
        <w:right w:val="none" w:sz="0" w:space="0" w:color="auto"/>
      </w:divBdr>
      <w:divsChild>
        <w:div w:id="797839681">
          <w:marLeft w:val="0"/>
          <w:marRight w:val="0"/>
          <w:marTop w:val="0"/>
          <w:marBottom w:val="0"/>
          <w:divBdr>
            <w:top w:val="none" w:sz="0" w:space="0" w:color="auto"/>
            <w:left w:val="none" w:sz="0" w:space="0" w:color="auto"/>
            <w:bottom w:val="none" w:sz="0" w:space="0" w:color="auto"/>
            <w:right w:val="none" w:sz="0" w:space="0" w:color="auto"/>
          </w:divBdr>
        </w:div>
      </w:divsChild>
    </w:div>
    <w:div w:id="1832208209">
      <w:bodyDiv w:val="1"/>
      <w:marLeft w:val="0"/>
      <w:marRight w:val="0"/>
      <w:marTop w:val="0"/>
      <w:marBottom w:val="0"/>
      <w:divBdr>
        <w:top w:val="none" w:sz="0" w:space="0" w:color="auto"/>
        <w:left w:val="none" w:sz="0" w:space="0" w:color="auto"/>
        <w:bottom w:val="none" w:sz="0" w:space="0" w:color="auto"/>
        <w:right w:val="none" w:sz="0" w:space="0" w:color="auto"/>
      </w:divBdr>
      <w:divsChild>
        <w:div w:id="1093548646">
          <w:marLeft w:val="0"/>
          <w:marRight w:val="0"/>
          <w:marTop w:val="0"/>
          <w:marBottom w:val="0"/>
          <w:divBdr>
            <w:top w:val="none" w:sz="0" w:space="0" w:color="auto"/>
            <w:left w:val="none" w:sz="0" w:space="0" w:color="auto"/>
            <w:bottom w:val="none" w:sz="0" w:space="0" w:color="auto"/>
            <w:right w:val="none" w:sz="0" w:space="0" w:color="auto"/>
          </w:divBdr>
          <w:divsChild>
            <w:div w:id="1025600341">
              <w:marLeft w:val="0"/>
              <w:marRight w:val="0"/>
              <w:marTop w:val="0"/>
              <w:marBottom w:val="0"/>
              <w:divBdr>
                <w:top w:val="none" w:sz="0" w:space="0" w:color="auto"/>
                <w:left w:val="none" w:sz="0" w:space="0" w:color="auto"/>
                <w:bottom w:val="none" w:sz="0" w:space="0" w:color="auto"/>
                <w:right w:val="none" w:sz="0" w:space="0" w:color="auto"/>
              </w:divBdr>
              <w:divsChild>
                <w:div w:id="1474829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0726594">
      <w:bodyDiv w:val="1"/>
      <w:marLeft w:val="0"/>
      <w:marRight w:val="0"/>
      <w:marTop w:val="0"/>
      <w:marBottom w:val="0"/>
      <w:divBdr>
        <w:top w:val="none" w:sz="0" w:space="0" w:color="auto"/>
        <w:left w:val="none" w:sz="0" w:space="0" w:color="auto"/>
        <w:bottom w:val="none" w:sz="0" w:space="0" w:color="auto"/>
        <w:right w:val="none" w:sz="0" w:space="0" w:color="auto"/>
      </w:divBdr>
      <w:divsChild>
        <w:div w:id="248471748">
          <w:marLeft w:val="0"/>
          <w:marRight w:val="0"/>
          <w:marTop w:val="0"/>
          <w:marBottom w:val="0"/>
          <w:divBdr>
            <w:top w:val="none" w:sz="0" w:space="0" w:color="auto"/>
            <w:left w:val="none" w:sz="0" w:space="0" w:color="auto"/>
            <w:bottom w:val="none" w:sz="0" w:space="0" w:color="auto"/>
            <w:right w:val="none" w:sz="0" w:space="0" w:color="auto"/>
          </w:divBdr>
          <w:divsChild>
            <w:div w:id="1227645148">
              <w:marLeft w:val="0"/>
              <w:marRight w:val="0"/>
              <w:marTop w:val="0"/>
              <w:marBottom w:val="0"/>
              <w:divBdr>
                <w:top w:val="none" w:sz="0" w:space="0" w:color="auto"/>
                <w:left w:val="none" w:sz="0" w:space="0" w:color="auto"/>
                <w:bottom w:val="none" w:sz="0" w:space="0" w:color="auto"/>
                <w:right w:val="none" w:sz="0" w:space="0" w:color="auto"/>
              </w:divBdr>
              <w:divsChild>
                <w:div w:id="1222059289">
                  <w:marLeft w:val="0"/>
                  <w:marRight w:val="0"/>
                  <w:marTop w:val="0"/>
                  <w:marBottom w:val="0"/>
                  <w:divBdr>
                    <w:top w:val="none" w:sz="0" w:space="0" w:color="auto"/>
                    <w:left w:val="none" w:sz="0" w:space="0" w:color="auto"/>
                    <w:bottom w:val="none" w:sz="0" w:space="0" w:color="auto"/>
                    <w:right w:val="none" w:sz="0" w:space="0" w:color="auto"/>
                  </w:divBdr>
                  <w:divsChild>
                    <w:div w:id="1665086116">
                      <w:marLeft w:val="0"/>
                      <w:marRight w:val="0"/>
                      <w:marTop w:val="0"/>
                      <w:marBottom w:val="0"/>
                      <w:divBdr>
                        <w:top w:val="none" w:sz="0" w:space="0" w:color="auto"/>
                        <w:left w:val="none" w:sz="0" w:space="0" w:color="auto"/>
                        <w:bottom w:val="none" w:sz="0" w:space="0" w:color="auto"/>
                        <w:right w:val="none" w:sz="0" w:space="0" w:color="auto"/>
                      </w:divBdr>
                      <w:divsChild>
                        <w:div w:id="1827823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7303846">
      <w:bodyDiv w:val="1"/>
      <w:marLeft w:val="0"/>
      <w:marRight w:val="0"/>
      <w:marTop w:val="0"/>
      <w:marBottom w:val="0"/>
      <w:divBdr>
        <w:top w:val="none" w:sz="0" w:space="0" w:color="auto"/>
        <w:left w:val="none" w:sz="0" w:space="0" w:color="auto"/>
        <w:bottom w:val="none" w:sz="0" w:space="0" w:color="auto"/>
        <w:right w:val="none" w:sz="0" w:space="0" w:color="auto"/>
      </w:divBdr>
      <w:divsChild>
        <w:div w:id="1693410828">
          <w:marLeft w:val="0"/>
          <w:marRight w:val="0"/>
          <w:marTop w:val="0"/>
          <w:marBottom w:val="0"/>
          <w:divBdr>
            <w:top w:val="none" w:sz="0" w:space="0" w:color="auto"/>
            <w:left w:val="none" w:sz="0" w:space="0" w:color="auto"/>
            <w:bottom w:val="none" w:sz="0" w:space="0" w:color="auto"/>
            <w:right w:val="none" w:sz="0" w:space="0" w:color="auto"/>
          </w:divBdr>
          <w:divsChild>
            <w:div w:id="2065785625">
              <w:marLeft w:val="0"/>
              <w:marRight w:val="0"/>
              <w:marTop w:val="0"/>
              <w:marBottom w:val="0"/>
              <w:divBdr>
                <w:top w:val="none" w:sz="0" w:space="0" w:color="auto"/>
                <w:left w:val="none" w:sz="0" w:space="0" w:color="auto"/>
                <w:bottom w:val="none" w:sz="0" w:space="0" w:color="auto"/>
                <w:right w:val="none" w:sz="0" w:space="0" w:color="auto"/>
              </w:divBdr>
              <w:divsChild>
                <w:div w:id="712342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357558">
      <w:bodyDiv w:val="1"/>
      <w:marLeft w:val="0"/>
      <w:marRight w:val="0"/>
      <w:marTop w:val="0"/>
      <w:marBottom w:val="0"/>
      <w:divBdr>
        <w:top w:val="none" w:sz="0" w:space="0" w:color="auto"/>
        <w:left w:val="none" w:sz="0" w:space="0" w:color="auto"/>
        <w:bottom w:val="none" w:sz="0" w:space="0" w:color="auto"/>
        <w:right w:val="none" w:sz="0" w:space="0" w:color="auto"/>
      </w:divBdr>
      <w:divsChild>
        <w:div w:id="355883848">
          <w:marLeft w:val="0"/>
          <w:marRight w:val="0"/>
          <w:marTop w:val="0"/>
          <w:marBottom w:val="0"/>
          <w:divBdr>
            <w:top w:val="none" w:sz="0" w:space="0" w:color="auto"/>
            <w:left w:val="none" w:sz="0" w:space="0" w:color="auto"/>
            <w:bottom w:val="none" w:sz="0" w:space="0" w:color="auto"/>
            <w:right w:val="none" w:sz="0" w:space="0" w:color="auto"/>
          </w:divBdr>
          <w:divsChild>
            <w:div w:id="473641658">
              <w:marLeft w:val="0"/>
              <w:marRight w:val="0"/>
              <w:marTop w:val="0"/>
              <w:marBottom w:val="0"/>
              <w:divBdr>
                <w:top w:val="none" w:sz="0" w:space="0" w:color="auto"/>
                <w:left w:val="none" w:sz="0" w:space="0" w:color="auto"/>
                <w:bottom w:val="none" w:sz="0" w:space="0" w:color="auto"/>
                <w:right w:val="none" w:sz="0" w:space="0" w:color="auto"/>
              </w:divBdr>
              <w:divsChild>
                <w:div w:id="167908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593723">
      <w:bodyDiv w:val="1"/>
      <w:marLeft w:val="0"/>
      <w:marRight w:val="0"/>
      <w:marTop w:val="0"/>
      <w:marBottom w:val="0"/>
      <w:divBdr>
        <w:top w:val="none" w:sz="0" w:space="0" w:color="auto"/>
        <w:left w:val="none" w:sz="0" w:space="0" w:color="auto"/>
        <w:bottom w:val="none" w:sz="0" w:space="0" w:color="auto"/>
        <w:right w:val="none" w:sz="0" w:space="0" w:color="auto"/>
      </w:divBdr>
      <w:divsChild>
        <w:div w:id="1405298413">
          <w:marLeft w:val="0"/>
          <w:marRight w:val="0"/>
          <w:marTop w:val="0"/>
          <w:marBottom w:val="0"/>
          <w:divBdr>
            <w:top w:val="none" w:sz="0" w:space="0" w:color="auto"/>
            <w:left w:val="none" w:sz="0" w:space="0" w:color="auto"/>
            <w:bottom w:val="none" w:sz="0" w:space="0" w:color="auto"/>
            <w:right w:val="none" w:sz="0" w:space="0" w:color="auto"/>
          </w:divBdr>
          <w:divsChild>
            <w:div w:id="286818005">
              <w:marLeft w:val="0"/>
              <w:marRight w:val="0"/>
              <w:marTop w:val="0"/>
              <w:marBottom w:val="0"/>
              <w:divBdr>
                <w:top w:val="none" w:sz="0" w:space="0" w:color="auto"/>
                <w:left w:val="none" w:sz="0" w:space="0" w:color="auto"/>
                <w:bottom w:val="none" w:sz="0" w:space="0" w:color="auto"/>
                <w:right w:val="none" w:sz="0" w:space="0" w:color="auto"/>
              </w:divBdr>
              <w:divsChild>
                <w:div w:id="2141997588">
                  <w:marLeft w:val="0"/>
                  <w:marRight w:val="0"/>
                  <w:marTop w:val="0"/>
                  <w:marBottom w:val="0"/>
                  <w:divBdr>
                    <w:top w:val="none" w:sz="0" w:space="0" w:color="auto"/>
                    <w:left w:val="none" w:sz="0" w:space="0" w:color="auto"/>
                    <w:bottom w:val="none" w:sz="0" w:space="0" w:color="auto"/>
                    <w:right w:val="none" w:sz="0" w:space="0" w:color="auto"/>
                  </w:divBdr>
                  <w:divsChild>
                    <w:div w:id="1131050876">
                      <w:marLeft w:val="0"/>
                      <w:marRight w:val="0"/>
                      <w:marTop w:val="0"/>
                      <w:marBottom w:val="0"/>
                      <w:divBdr>
                        <w:top w:val="none" w:sz="0" w:space="0" w:color="auto"/>
                        <w:left w:val="none" w:sz="0" w:space="0" w:color="auto"/>
                        <w:bottom w:val="none" w:sz="0" w:space="0" w:color="auto"/>
                        <w:right w:val="none" w:sz="0" w:space="0" w:color="auto"/>
                      </w:divBdr>
                      <w:divsChild>
                        <w:div w:id="680620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6332984">
      <w:bodyDiv w:val="1"/>
      <w:marLeft w:val="0"/>
      <w:marRight w:val="0"/>
      <w:marTop w:val="0"/>
      <w:marBottom w:val="0"/>
      <w:divBdr>
        <w:top w:val="none" w:sz="0" w:space="0" w:color="auto"/>
        <w:left w:val="none" w:sz="0" w:space="0" w:color="auto"/>
        <w:bottom w:val="none" w:sz="0" w:space="0" w:color="auto"/>
        <w:right w:val="none" w:sz="0" w:space="0" w:color="auto"/>
      </w:divBdr>
      <w:divsChild>
        <w:div w:id="1962761876">
          <w:marLeft w:val="0"/>
          <w:marRight w:val="0"/>
          <w:marTop w:val="0"/>
          <w:marBottom w:val="0"/>
          <w:divBdr>
            <w:top w:val="none" w:sz="0" w:space="0" w:color="auto"/>
            <w:left w:val="none" w:sz="0" w:space="0" w:color="auto"/>
            <w:bottom w:val="none" w:sz="0" w:space="0" w:color="auto"/>
            <w:right w:val="none" w:sz="0" w:space="0" w:color="auto"/>
          </w:divBdr>
          <w:divsChild>
            <w:div w:id="180776664">
              <w:marLeft w:val="0"/>
              <w:marRight w:val="0"/>
              <w:marTop w:val="0"/>
              <w:marBottom w:val="0"/>
              <w:divBdr>
                <w:top w:val="none" w:sz="0" w:space="0" w:color="auto"/>
                <w:left w:val="none" w:sz="0" w:space="0" w:color="auto"/>
                <w:bottom w:val="none" w:sz="0" w:space="0" w:color="auto"/>
                <w:right w:val="none" w:sz="0" w:space="0" w:color="auto"/>
              </w:divBdr>
              <w:divsChild>
                <w:div w:id="1400640230">
                  <w:marLeft w:val="0"/>
                  <w:marRight w:val="0"/>
                  <w:marTop w:val="0"/>
                  <w:marBottom w:val="0"/>
                  <w:divBdr>
                    <w:top w:val="none" w:sz="0" w:space="0" w:color="auto"/>
                    <w:left w:val="none" w:sz="0" w:space="0" w:color="auto"/>
                    <w:bottom w:val="none" w:sz="0" w:space="0" w:color="auto"/>
                    <w:right w:val="none" w:sz="0" w:space="0" w:color="auto"/>
                  </w:divBdr>
                  <w:divsChild>
                    <w:div w:id="926772527">
                      <w:marLeft w:val="0"/>
                      <w:marRight w:val="0"/>
                      <w:marTop w:val="0"/>
                      <w:marBottom w:val="0"/>
                      <w:divBdr>
                        <w:top w:val="none" w:sz="0" w:space="0" w:color="auto"/>
                        <w:left w:val="none" w:sz="0" w:space="0" w:color="auto"/>
                        <w:bottom w:val="none" w:sz="0" w:space="0" w:color="auto"/>
                        <w:right w:val="none" w:sz="0" w:space="0" w:color="auto"/>
                      </w:divBdr>
                      <w:divsChild>
                        <w:div w:id="1648049454">
                          <w:marLeft w:val="0"/>
                          <w:marRight w:val="0"/>
                          <w:marTop w:val="0"/>
                          <w:marBottom w:val="0"/>
                          <w:divBdr>
                            <w:top w:val="none" w:sz="0" w:space="0" w:color="auto"/>
                            <w:left w:val="none" w:sz="0" w:space="0" w:color="auto"/>
                            <w:bottom w:val="none" w:sz="0" w:space="0" w:color="auto"/>
                            <w:right w:val="none" w:sz="0" w:space="0" w:color="auto"/>
                          </w:divBdr>
                          <w:divsChild>
                            <w:div w:id="2034064860">
                              <w:marLeft w:val="0"/>
                              <w:marRight w:val="0"/>
                              <w:marTop w:val="0"/>
                              <w:marBottom w:val="0"/>
                              <w:divBdr>
                                <w:top w:val="none" w:sz="0" w:space="0" w:color="auto"/>
                                <w:left w:val="none" w:sz="0" w:space="0" w:color="auto"/>
                                <w:bottom w:val="none" w:sz="0" w:space="0" w:color="auto"/>
                                <w:right w:val="none" w:sz="0" w:space="0" w:color="auto"/>
                              </w:divBdr>
                              <w:divsChild>
                                <w:div w:id="1346445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74153018">
      <w:bodyDiv w:val="1"/>
      <w:marLeft w:val="0"/>
      <w:marRight w:val="0"/>
      <w:marTop w:val="0"/>
      <w:marBottom w:val="0"/>
      <w:divBdr>
        <w:top w:val="none" w:sz="0" w:space="0" w:color="auto"/>
        <w:left w:val="none" w:sz="0" w:space="0" w:color="auto"/>
        <w:bottom w:val="none" w:sz="0" w:space="0" w:color="auto"/>
        <w:right w:val="none" w:sz="0" w:space="0" w:color="auto"/>
      </w:divBdr>
      <w:divsChild>
        <w:div w:id="72361803">
          <w:marLeft w:val="0"/>
          <w:marRight w:val="0"/>
          <w:marTop w:val="0"/>
          <w:marBottom w:val="0"/>
          <w:divBdr>
            <w:top w:val="none" w:sz="0" w:space="0" w:color="auto"/>
            <w:left w:val="none" w:sz="0" w:space="0" w:color="auto"/>
            <w:bottom w:val="none" w:sz="0" w:space="0" w:color="auto"/>
            <w:right w:val="none" w:sz="0" w:space="0" w:color="auto"/>
          </w:divBdr>
          <w:divsChild>
            <w:div w:id="1982953407">
              <w:marLeft w:val="0"/>
              <w:marRight w:val="0"/>
              <w:marTop w:val="0"/>
              <w:marBottom w:val="0"/>
              <w:divBdr>
                <w:top w:val="none" w:sz="0" w:space="0" w:color="auto"/>
                <w:left w:val="none" w:sz="0" w:space="0" w:color="auto"/>
                <w:bottom w:val="none" w:sz="0" w:space="0" w:color="auto"/>
                <w:right w:val="none" w:sz="0" w:space="0" w:color="auto"/>
              </w:divBdr>
              <w:divsChild>
                <w:div w:id="133716221">
                  <w:marLeft w:val="0"/>
                  <w:marRight w:val="0"/>
                  <w:marTop w:val="0"/>
                  <w:marBottom w:val="0"/>
                  <w:divBdr>
                    <w:top w:val="none" w:sz="0" w:space="0" w:color="auto"/>
                    <w:left w:val="none" w:sz="0" w:space="0" w:color="auto"/>
                    <w:bottom w:val="none" w:sz="0" w:space="0" w:color="auto"/>
                    <w:right w:val="none" w:sz="0" w:space="0" w:color="auto"/>
                  </w:divBdr>
                  <w:divsChild>
                    <w:div w:id="1731730641">
                      <w:marLeft w:val="0"/>
                      <w:marRight w:val="0"/>
                      <w:marTop w:val="0"/>
                      <w:marBottom w:val="0"/>
                      <w:divBdr>
                        <w:top w:val="none" w:sz="0" w:space="0" w:color="auto"/>
                        <w:left w:val="none" w:sz="0" w:space="0" w:color="auto"/>
                        <w:bottom w:val="none" w:sz="0" w:space="0" w:color="auto"/>
                        <w:right w:val="none" w:sz="0" w:space="0" w:color="auto"/>
                      </w:divBdr>
                      <w:divsChild>
                        <w:div w:id="1670210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istmat.info/node/44723" TargetMode="External"/><Relationship Id="rId671" Type="http://schemas.openxmlformats.org/officeDocument/2006/relationships/hyperlink" Target="https://ru.wikipedia.org/wiki/2_%D0%B4%D0%B5%D0%BA%D0%B0%D0%B1%D1%80%D1%8F" TargetMode="External"/><Relationship Id="rId769" Type="http://schemas.openxmlformats.org/officeDocument/2006/relationships/hyperlink" Target="http://www.isolux.ru/snegouborshiki-benzinovye" TargetMode="External"/><Relationship Id="rId21" Type="http://schemas.openxmlformats.org/officeDocument/2006/relationships/hyperlink" Target="http://flyingmachines.ru/Site2/Crafts/Craft25440.htm%20www.airwar.ru/enc/fww1/fe8.html" TargetMode="External"/><Relationship Id="rId324" Type="http://schemas.openxmlformats.org/officeDocument/2006/relationships/hyperlink" Target="http://istmat.info/node/44690" TargetMode="External"/><Relationship Id="rId531" Type="http://schemas.openxmlformats.org/officeDocument/2006/relationships/hyperlink" Target="http://istmat.info/node/38157" TargetMode="External"/><Relationship Id="rId629" Type="http://schemas.openxmlformats.org/officeDocument/2006/relationships/hyperlink" Target="http://istmat.info/node/38798" TargetMode="External"/><Relationship Id="rId170" Type="http://schemas.openxmlformats.org/officeDocument/2006/relationships/hyperlink" Target="https://ru.wikipedia.org/wiki/%D0%A0%D0%B0%D1%81%D0%BA%D0%BE%D0%BB%D1%8C%D0%BD%D0%B8%D0%BA%D0%BE%D0%B2,_%D0%A4%D1%91%D0%B4%D0%BE%D1%80_%D0%A4%D1%91%D0%B4%D0%BE%D1%80%D0%BE%D0%B2%D0%B8%D1%87" TargetMode="External"/><Relationship Id="rId268" Type="http://schemas.openxmlformats.org/officeDocument/2006/relationships/hyperlink" Target="https://ru.wikipedia.org/wiki/%D0%92%D1%8B%D0%B1%D0%BE%D1%80%D0%B3%D1%81%D0%BA%D0%B0%D1%8F_%D1%81%D1%82%D0%BE%D1%80%D0%BE%D0%BD%D0%B0" TargetMode="External"/><Relationship Id="rId475" Type="http://schemas.openxmlformats.org/officeDocument/2006/relationships/hyperlink" Target="http://istmat.info/node/37796" TargetMode="External"/><Relationship Id="rId682" Type="http://schemas.openxmlformats.org/officeDocument/2006/relationships/hyperlink" Target="https://ru.wikipedia.org/wiki/17_%D0%B4%D0%B5%D0%BA%D0%B0%D0%B1%D1%80%D1%8F" TargetMode="External"/><Relationship Id="rId32" Type="http://schemas.openxmlformats.org/officeDocument/2006/relationships/hyperlink" Target="http://www.airwar.ru/enc/other1/campania.html" TargetMode="External"/><Relationship Id="rId128" Type="http://schemas.openxmlformats.org/officeDocument/2006/relationships/hyperlink" Target="http://istmat.info/node/44683" TargetMode="External"/><Relationship Id="rId335" Type="http://schemas.openxmlformats.org/officeDocument/2006/relationships/hyperlink" Target="http://istmat.info/node/44815" TargetMode="External"/><Relationship Id="rId542" Type="http://schemas.openxmlformats.org/officeDocument/2006/relationships/hyperlink" Target="http://istmat.info/node/44695" TargetMode="External"/><Relationship Id="rId181" Type="http://schemas.openxmlformats.org/officeDocument/2006/relationships/hyperlink" Target="http://istmat.info/node/44732" TargetMode="External"/><Relationship Id="rId402" Type="http://schemas.openxmlformats.org/officeDocument/2006/relationships/hyperlink" Target="https://ru.wikipedia.org/wiki/%D0%94%D0%BE%D0%BD%D1%81%D0%BA%D0%BE%D0%B9_1-%D0%B9_%D0%BA%D0%B0%D0%B7%D0%B0%D1%87%D0%B8%D0%B9_%D0%BF%D0%BE%D0%BB%D0%BA" TargetMode="External"/><Relationship Id="rId279" Type="http://schemas.openxmlformats.org/officeDocument/2006/relationships/hyperlink" Target="http://istmat.info/node/41158" TargetMode="External"/><Relationship Id="rId486" Type="http://schemas.openxmlformats.org/officeDocument/2006/relationships/hyperlink" Target="http://istmat.info/node/44821" TargetMode="External"/><Relationship Id="rId693" Type="http://schemas.openxmlformats.org/officeDocument/2006/relationships/hyperlink" Target="http://istmat.info/node/41408" TargetMode="External"/><Relationship Id="rId707" Type="http://schemas.openxmlformats.org/officeDocument/2006/relationships/hyperlink" Target="https://ru.wikipedia.org/wiki/1917_%D0%B3%D0%BE%D0%B4" TargetMode="External"/><Relationship Id="rId43" Type="http://schemas.openxmlformats.org/officeDocument/2006/relationships/hyperlink" Target="http://istmat.info/node/37773" TargetMode="External"/><Relationship Id="rId139" Type="http://schemas.openxmlformats.org/officeDocument/2006/relationships/hyperlink" Target="http://istmat.info/node/44726" TargetMode="External"/><Relationship Id="rId346" Type="http://schemas.openxmlformats.org/officeDocument/2006/relationships/hyperlink" Target="http://istmat.info/node/38260" TargetMode="External"/><Relationship Id="rId553" Type="http://schemas.openxmlformats.org/officeDocument/2006/relationships/hyperlink" Target="http://istmat.info/node/41152" TargetMode="External"/><Relationship Id="rId760" Type="http://schemas.openxmlformats.org/officeDocument/2006/relationships/hyperlink" Target="https://ru.wikipedia.org/wiki/%D0%9B%D0%B8%D1%82%D0%BE%D0%B2%D1%81%D0%BA%D0%B0%D1%8F_%D0%A2%D0%B0%D1%80%D0%B8%D0%B1%D0%B0" TargetMode="External"/><Relationship Id="rId192" Type="http://schemas.openxmlformats.org/officeDocument/2006/relationships/hyperlink" Target="http://istmat.info/node/44685" TargetMode="External"/><Relationship Id="rId206" Type="http://schemas.openxmlformats.org/officeDocument/2006/relationships/hyperlink" Target="http://istmat.info/node/44734" TargetMode="External"/><Relationship Id="rId413" Type="http://schemas.openxmlformats.org/officeDocument/2006/relationships/hyperlink" Target="https://ru.wikipedia.org/wiki/%D0%A1%D1%82%D0%B5%D0%BA%D0%BB%D0%BE%D0%B2,_%D0%AE%D1%80%D0%B8%D0%B9_%D0%9C%D0%B8%D1%85%D0%B0%D0%B9%D0%BB%D0%BE%D0%B2%D0%B8%D1%87" TargetMode="External"/><Relationship Id="rId497" Type="http://schemas.openxmlformats.org/officeDocument/2006/relationships/hyperlink" Target="http://istmat.info/node/38790" TargetMode="External"/><Relationship Id="rId620" Type="http://schemas.openxmlformats.org/officeDocument/2006/relationships/hyperlink" Target="http://istmat.info/node/38161" TargetMode="External"/><Relationship Id="rId718" Type="http://schemas.openxmlformats.org/officeDocument/2006/relationships/hyperlink" Target="https://ru.wikipedia.org/wiki/%D0%93%D0%B5%D1%80%D0%BC%D0%B0%D0%BD%D0%B8%D1%8F" TargetMode="External"/><Relationship Id="rId357" Type="http://schemas.openxmlformats.org/officeDocument/2006/relationships/hyperlink" Target="http://istmat.info/node/38260" TargetMode="External"/><Relationship Id="rId54" Type="http://schemas.openxmlformats.org/officeDocument/2006/relationships/hyperlink" Target="http://saoirse-2010.livejournal.com/31008.html" TargetMode="External"/><Relationship Id="rId217" Type="http://schemas.openxmlformats.org/officeDocument/2006/relationships/hyperlink" Target="http://istmat.info/node/44688" TargetMode="External"/><Relationship Id="rId564" Type="http://schemas.openxmlformats.org/officeDocument/2006/relationships/hyperlink" Target="http://istmat.info/node/38150" TargetMode="External"/><Relationship Id="rId771" Type="http://schemas.openxmlformats.org/officeDocument/2006/relationships/hyperlink" Target="https://ru.wikipedia.org/wiki/1918_%D0%B3%D0%BE%D0%B4" TargetMode="External"/><Relationship Id="rId424" Type="http://schemas.openxmlformats.org/officeDocument/2006/relationships/hyperlink" Target="https://ru.wikipedia.org/wiki/%D0%A1%D1%82%D0%B5%D0%BA%D0%BB%D0%BE%D0%B2,_%D0%AE%D1%80%D0%B8%D0%B9_%D0%9C%D0%B8%D1%85%D0%B0%D0%B9%D0%BB%D0%BE%D0%B2%D0%B8%D1%87" TargetMode="External"/><Relationship Id="rId631" Type="http://schemas.openxmlformats.org/officeDocument/2006/relationships/hyperlink" Target="http://istmat.info/node/38798" TargetMode="External"/><Relationship Id="rId729" Type="http://schemas.openxmlformats.org/officeDocument/2006/relationships/hyperlink" Target="https://ru.wikipedia.org/wiki/%D0%A1%D0%BE%D0%BA%D0%BE%D0%BB%D1%8C%D0%BD%D0%B8%D0%BA%D0%BE%D0%B2,_%D0%93%D1%80%D0%B8%D0%B3%D0%BE%D1%80%D0%B8%D0%B9_%D0%AF%D0%BA%D0%BE%D0%B2%D0%BB%D0%B5%D0%B2%D0%B8%D1%87" TargetMode="External"/><Relationship Id="rId270" Type="http://schemas.openxmlformats.org/officeDocument/2006/relationships/hyperlink" Target="https://ru.wikipedia.org/wiki/%D0%98%D1%8E%D0%BD%D1%8C%D1%81%D0%BA%D0%BE%D0%B5_%D0%BD%D0%B0%D1%81%D1%82%D1%83%D0%BF%D0%BB%D0%B5%D0%BD%D0%B8%D0%B5" TargetMode="External"/><Relationship Id="rId65" Type="http://schemas.openxmlformats.org/officeDocument/2006/relationships/hyperlink" Target="http://istmat.info/node/37775" TargetMode="External"/><Relationship Id="rId130" Type="http://schemas.openxmlformats.org/officeDocument/2006/relationships/hyperlink" Target="http://istmat.info/node/44684" TargetMode="External"/><Relationship Id="rId368" Type="http://schemas.openxmlformats.org/officeDocument/2006/relationships/hyperlink" Target="https://ru.wikipedia.org/wiki/%D0%9B%D1%8C%D0%B2%D0%BE%D0%B2,_%D0%93%D0%B5%D0%BE%D1%80%D0%B3%D0%B8%D0%B9_%D0%95%D0%B2%D0%B3%D0%B5%D0%BD%D1%8C%D0%B5%D0%B2%D0%B8%D1%87" TargetMode="External"/><Relationship Id="rId575" Type="http://schemas.openxmlformats.org/officeDocument/2006/relationships/hyperlink" Target="https://ru-wiki.ru/w/index.php?title=%D0%A3%D0%BF%D1%80%D0%B0%D0%B2%D0%BB%D0%B5%D0%BD%D0%B8%D0%B5_%D0%BC%D0%BE%D1%80%D1%81%D0%BA%D0%BE%D0%B9_%D0%B0%D0%B2%D0%B8%D0%B0%D1%86%D0%B8%D0%B8&amp;action=edit&amp;redlink=1" TargetMode="External"/><Relationship Id="rId782" Type="http://schemas.openxmlformats.org/officeDocument/2006/relationships/hyperlink" Target="https://ru.wikipedia.org/wiki/%D0%A5%D0%BE%D0%BB%D0%BC%D1%89%D0%B8%D0%BD%D0%B0" TargetMode="External"/><Relationship Id="rId228" Type="http://schemas.openxmlformats.org/officeDocument/2006/relationships/hyperlink" Target="http://www.airwar.ru/enc/fww1/lohnera.html" TargetMode="External"/><Relationship Id="rId435" Type="http://schemas.openxmlformats.org/officeDocument/2006/relationships/hyperlink" Target="http://istmat.info/node/37794" TargetMode="External"/><Relationship Id="rId642" Type="http://schemas.openxmlformats.org/officeDocument/2006/relationships/hyperlink" Target="https://ru.wikipedia.org/wiki/%D0%9D%D0%BE%D1%82%D0%B0_(%D0%B4%D0%B8%D0%BF%D0%BB%D0%BE%D0%BC%D0%B0%D1%82%D0%B8%D1%8F)" TargetMode="External"/><Relationship Id="rId281" Type="http://schemas.openxmlformats.org/officeDocument/2006/relationships/hyperlink" Target="http://istmat.info/node/41158" TargetMode="External"/><Relationship Id="rId502" Type="http://schemas.openxmlformats.org/officeDocument/2006/relationships/hyperlink" Target="http://istmat.info/node/37778" TargetMode="External"/><Relationship Id="rId76" Type="http://schemas.openxmlformats.org/officeDocument/2006/relationships/hyperlink" Target="http://istmat.info/node/44681" TargetMode="External"/><Relationship Id="rId141" Type="http://schemas.openxmlformats.org/officeDocument/2006/relationships/hyperlink" Target="http://istmat.info/node/44727" TargetMode="External"/><Relationship Id="rId379" Type="http://schemas.openxmlformats.org/officeDocument/2006/relationships/hyperlink" Target="https://ru.wikipedia.org/wiki/%D0%91%D0%B8%D1%80%D0%B6%D0%B5%D0%B2%D0%BE%D0%B9_%D0%BC%D0%BE%D1%81%D1%82" TargetMode="External"/><Relationship Id="rId586" Type="http://schemas.openxmlformats.org/officeDocument/2006/relationships/hyperlink" Target="http://his95.narod.ru/spr/keren.htm" TargetMode="External"/><Relationship Id="rId793" Type="http://schemas.openxmlformats.org/officeDocument/2006/relationships/hyperlink" Target="https://ru.wikipedia.org/wiki/%D0%A1%D0%B5%D0%BF%D0%B0%D1%80%D0%B0%D1%82%D0%BD%D1%8B%D0%B9_%D0%BC%D0%B8%D1%80" TargetMode="External"/><Relationship Id="rId807" Type="http://schemas.openxmlformats.org/officeDocument/2006/relationships/hyperlink" Target="https://ru.wikipedia.org/wiki/1918_%D0%B3%D0%BE%D0%B4" TargetMode="External"/><Relationship Id="rId7" Type="http://schemas.openxmlformats.org/officeDocument/2006/relationships/hyperlink" Target="http://istmat.info/node/37772" TargetMode="External"/><Relationship Id="rId239" Type="http://schemas.openxmlformats.org/officeDocument/2006/relationships/hyperlink" Target="http://istmat.info/node/41157" TargetMode="External"/><Relationship Id="rId446" Type="http://schemas.openxmlformats.org/officeDocument/2006/relationships/hyperlink" Target="http://istmat.info/node/41157" TargetMode="External"/><Relationship Id="rId653" Type="http://schemas.openxmlformats.org/officeDocument/2006/relationships/hyperlink" Target="https://ru.wikipedia.org/wiki/%D0%9C%D0%B0%D0%B4%D1%80%D0%B8%D0%B4" TargetMode="External"/><Relationship Id="rId292" Type="http://schemas.openxmlformats.org/officeDocument/2006/relationships/hyperlink" Target="http://istmat.info/node/44739" TargetMode="External"/><Relationship Id="rId306" Type="http://schemas.openxmlformats.org/officeDocument/2006/relationships/hyperlink" Target="http://istmat.info/node/44814" TargetMode="External"/><Relationship Id="rId87" Type="http://schemas.openxmlformats.org/officeDocument/2006/relationships/hyperlink" Target="http://istmat.info/node/44665" TargetMode="External"/><Relationship Id="rId513" Type="http://schemas.openxmlformats.org/officeDocument/2006/relationships/hyperlink" Target="http://istmat.info/node/37897" TargetMode="External"/><Relationship Id="rId597" Type="http://schemas.openxmlformats.org/officeDocument/2006/relationships/hyperlink" Target="http://istmat.info/node/44827" TargetMode="External"/><Relationship Id="rId720" Type="http://schemas.openxmlformats.org/officeDocument/2006/relationships/hyperlink" Target="https://ru.wikipedia.org/wiki/%D0%90%D0%B2%D1%81%D1%82%D1%80%D0%BE-%D0%92%D0%B5%D0%BD%D0%B3%D1%80%D0%B8%D1%8F" TargetMode="External"/><Relationship Id="rId818" Type="http://schemas.openxmlformats.org/officeDocument/2006/relationships/hyperlink" Target="https://ru.wikipedia.org/wiki/1918_%D0%B3%D0%BE%D0%B4" TargetMode="External"/><Relationship Id="rId152" Type="http://schemas.openxmlformats.org/officeDocument/2006/relationships/hyperlink" Target="http://istmat.info/node/44810" TargetMode="External"/><Relationship Id="rId457" Type="http://schemas.openxmlformats.org/officeDocument/2006/relationships/hyperlink" Target="http://istmat.info/node/44819" TargetMode="External"/><Relationship Id="rId664" Type="http://schemas.openxmlformats.org/officeDocument/2006/relationships/hyperlink" Target="https://ru.wikipedia.org/wiki/%D0%AF%D0%BF%D0%BE%D0%BD%D0%B8%D1%8F" TargetMode="External"/><Relationship Id="rId14" Type="http://schemas.openxmlformats.org/officeDocument/2006/relationships/hyperlink" Target="http://istmat.info/node/37772" TargetMode="External"/><Relationship Id="rId317" Type="http://schemas.openxmlformats.org/officeDocument/2006/relationships/hyperlink" Target="http://istmat.info/node/44689" TargetMode="External"/><Relationship Id="rId524" Type="http://schemas.openxmlformats.org/officeDocument/2006/relationships/hyperlink" Target="http://istmat.info/node/38149" TargetMode="External"/><Relationship Id="rId731" Type="http://schemas.openxmlformats.org/officeDocument/2006/relationships/hyperlink" Target="https://ru.wikipedia.org/wiki/%D0%9C%D0%B0%D1%81%D0%BB%D0%BE%D0%B2%D1%81%D0%BA%D0%B8%D0%B9-%D0%9C%D1%81%D1%82%D0%B8%D1%81%D0%BB%D0%B0%D0%B2%D1%81%D0%BA%D0%B8%D0%B9,_%D0%A1%D0%B5%D1%80%D0%B3%D0%B5%D0%B9_%D0%94%D0%BC%D0%B8%D1%82%D1%80%D0%B8%D0%B5%D0%B2%D0%B8%D1%87" TargetMode="External"/><Relationship Id="rId98" Type="http://schemas.openxmlformats.org/officeDocument/2006/relationships/hyperlink" Target="http://istmat.info/node/38164" TargetMode="External"/><Relationship Id="rId163" Type="http://schemas.openxmlformats.org/officeDocument/2006/relationships/hyperlink" Target="http://istmat.info/node/44730" TargetMode="External"/><Relationship Id="rId370" Type="http://schemas.openxmlformats.org/officeDocument/2006/relationships/hyperlink" Target="https://ru.wikipedia.org/wiki/%D0%9A%D1%80%D0%BE%D0%BD%D1%88%D1%82%D0%B0%D0%B4%D1%82" TargetMode="External"/><Relationship Id="rId230" Type="http://schemas.openxmlformats.org/officeDocument/2006/relationships/hyperlink" Target="https://ru.wikipedia.org/wiki/1917_%D0%B3%D0%BE%D0%B4" TargetMode="External"/><Relationship Id="rId468" Type="http://schemas.openxmlformats.org/officeDocument/2006/relationships/hyperlink" Target="http://istmat.info/node/37795" TargetMode="External"/><Relationship Id="rId675" Type="http://schemas.openxmlformats.org/officeDocument/2006/relationships/hyperlink" Target="https://ru.wikipedia.org/wiki/%D0%9A%D1%80%D1%8B%D0%BB%D0%B5%D0%BD%D0%BA%D0%BE,_%D0%9D%D0%B8%D0%BA%D0%BE%D0%BB%D0%B0%D0%B9_%D0%92%D0%B0%D1%81%D0%B8%D0%BB%D1%8C%D0%B5%D0%B2%D0%B8%D1%87" TargetMode="External"/><Relationship Id="rId25" Type="http://schemas.openxmlformats.org/officeDocument/2006/relationships/hyperlink" Target="http://www.teoria-practica.ru/-10-2012/history/vinogradov.pdf" TargetMode="External"/><Relationship Id="rId328" Type="http://schemas.openxmlformats.org/officeDocument/2006/relationships/hyperlink" Target="http://istmat.info/node/41404" TargetMode="External"/><Relationship Id="rId535" Type="http://schemas.openxmlformats.org/officeDocument/2006/relationships/hyperlink" Target="http://istmat.info/node/38157" TargetMode="External"/><Relationship Id="rId742" Type="http://schemas.openxmlformats.org/officeDocument/2006/relationships/hyperlink" Target="https://ru.wikipedia.org/wiki/%D0%94%D0%B5%D0%BA%D1%80%D0%B5%D1%82_%D0%BE_%D0%BC%D0%B8%D1%80%D0%B5" TargetMode="External"/><Relationship Id="rId174" Type="http://schemas.openxmlformats.org/officeDocument/2006/relationships/hyperlink" Target="http://istmat.info/node/38257" TargetMode="External"/><Relationship Id="rId381" Type="http://schemas.openxmlformats.org/officeDocument/2006/relationships/hyperlink" Target="https://ru.wikipedia.org/wiki/%D0%A0%D0%B0%D1%81%D0%BA%D0%BE%D0%BB%D1%8C%D0%BD%D0%B8%D0%BA%D0%BE%D0%B2,_%D0%A4%D1%91%D0%B4%D0%BE%D1%80_%D0%A4%D1%91%D0%B4%D0%BE%D1%80%D0%BE%D0%B2%D0%B8%D1%87" TargetMode="External"/><Relationship Id="rId602" Type="http://schemas.openxmlformats.org/officeDocument/2006/relationships/hyperlink" Target="http://istmat.info/node/38799" TargetMode="External"/><Relationship Id="rId241" Type="http://schemas.openxmlformats.org/officeDocument/2006/relationships/hyperlink" Target="http://istmat.info/node/41157" TargetMode="External"/><Relationship Id="rId479" Type="http://schemas.openxmlformats.org/officeDocument/2006/relationships/hyperlink" Target="http://www.airwar.ru/enc/bww1/wightcs.html" TargetMode="External"/><Relationship Id="rId686" Type="http://schemas.openxmlformats.org/officeDocument/2006/relationships/hyperlink" Target="http://istmat.info/node/41408" TargetMode="External"/><Relationship Id="rId36" Type="http://schemas.openxmlformats.org/officeDocument/2006/relationships/hyperlink" Target="http://istmat.info/node/37773" TargetMode="External"/><Relationship Id="rId339" Type="http://schemas.openxmlformats.org/officeDocument/2006/relationships/hyperlink" Target="http://istmat.info/node/38260" TargetMode="External"/><Relationship Id="rId546" Type="http://schemas.openxmlformats.org/officeDocument/2006/relationships/hyperlink" Target="http://istmat.info/node/41407" TargetMode="External"/><Relationship Id="rId753" Type="http://schemas.openxmlformats.org/officeDocument/2006/relationships/hyperlink" Target="https://ru.wikipedia.org/wiki/%D0%90%D0%BD%D0%BD%D0%B5%D0%BA%D1%81%D0%B8%D1%8F" TargetMode="External"/><Relationship Id="rId101" Type="http://schemas.openxmlformats.org/officeDocument/2006/relationships/hyperlink" Target="http://istmat.info/node/38164" TargetMode="External"/><Relationship Id="rId185" Type="http://schemas.openxmlformats.org/officeDocument/2006/relationships/hyperlink" Target="http://istmat.info/node/44732" TargetMode="External"/><Relationship Id="rId406" Type="http://schemas.openxmlformats.org/officeDocument/2006/relationships/hyperlink" Target="https://ru.wikipedia.org/wiki/%D0%9E%D1%81%D0%BE%D0%B1%D0%BD%D1%8F%D0%BA_%D0%9A%D1%88%D0%B5%D1%81%D0%B8%D0%BD%D1%81%D0%BA%D0%BE%D0%B9" TargetMode="External"/><Relationship Id="rId392" Type="http://schemas.openxmlformats.org/officeDocument/2006/relationships/hyperlink" Target="https://ru.wikipedia.org/wiki/%D0%AD%D1%81%D0%B5%D1%80%D1%8B" TargetMode="External"/><Relationship Id="rId613" Type="http://schemas.openxmlformats.org/officeDocument/2006/relationships/hyperlink" Target="http://istmat.info/node/38160" TargetMode="External"/><Relationship Id="rId697" Type="http://schemas.openxmlformats.org/officeDocument/2006/relationships/hyperlink" Target="http://istmat.info/node/41408" TargetMode="External"/><Relationship Id="rId820" Type="http://schemas.openxmlformats.org/officeDocument/2006/relationships/hyperlink" Target="https://ru.wikipedia.org/wiki/22_%D1%8F%D0%BD%D0%B2%D0%B0%D1%80%D1%8F" TargetMode="External"/><Relationship Id="rId252" Type="http://schemas.openxmlformats.org/officeDocument/2006/relationships/hyperlink" Target="http://istmat.info/node/41157" TargetMode="External"/><Relationship Id="rId47" Type="http://schemas.openxmlformats.org/officeDocument/2006/relationships/hyperlink" Target="http://istmat.info/node/37773" TargetMode="External"/><Relationship Id="rId112" Type="http://schemas.openxmlformats.org/officeDocument/2006/relationships/hyperlink" Target="http://istmat.info/node/44721" TargetMode="External"/><Relationship Id="rId557" Type="http://schemas.openxmlformats.org/officeDocument/2006/relationships/hyperlink" Target="http://istmat.info/node/41152" TargetMode="External"/><Relationship Id="rId764" Type="http://schemas.openxmlformats.org/officeDocument/2006/relationships/hyperlink" Target="https://ru.wikipedia.org/wiki/31_%D0%B4%D0%B5%D0%BA%D0%B0%D0%B1%D1%80%D1%8F" TargetMode="External"/><Relationship Id="rId196" Type="http://schemas.openxmlformats.org/officeDocument/2006/relationships/hyperlink" Target="http://xn--80aafy5bs.xn--p1ai/aviamuseum/aviatsiya/russkij-imperatorskij-voenno-vozdushnyj-flot/samolety-razvedchiki/samolyot-razvedchik-lebed-hii/" TargetMode="External"/><Relationship Id="rId417" Type="http://schemas.openxmlformats.org/officeDocument/2006/relationships/hyperlink" Target="https://ru.wikipedia.org/wiki/1917_%D0%B3%D0%BE%D0%B4" TargetMode="External"/><Relationship Id="rId624" Type="http://schemas.openxmlformats.org/officeDocument/2006/relationships/hyperlink" Target="http://istmat.info/node/38798" TargetMode="External"/><Relationship Id="rId263" Type="http://schemas.openxmlformats.org/officeDocument/2006/relationships/hyperlink" Target="https://ru.wikipedia.org/wiki/2_%D0%B8%D1%8E%D0%BB%D1%8F" TargetMode="External"/><Relationship Id="rId470" Type="http://schemas.openxmlformats.org/officeDocument/2006/relationships/hyperlink" Target="http://istmat.info/node/37795" TargetMode="External"/><Relationship Id="rId58" Type="http://schemas.openxmlformats.org/officeDocument/2006/relationships/hyperlink" Target="http://saoirse-2010.livejournal.com/31008.html" TargetMode="External"/><Relationship Id="rId123" Type="http://schemas.openxmlformats.org/officeDocument/2006/relationships/hyperlink" Target="http://istmat.info/node/44724" TargetMode="External"/><Relationship Id="rId330" Type="http://schemas.openxmlformats.org/officeDocument/2006/relationships/hyperlink" Target="http://istmat.info/node/41404" TargetMode="External"/><Relationship Id="rId568" Type="http://schemas.openxmlformats.org/officeDocument/2006/relationships/hyperlink" Target="http://istmat.info/node/38150" TargetMode="External"/><Relationship Id="rId775" Type="http://schemas.openxmlformats.org/officeDocument/2006/relationships/hyperlink" Target="https://ru.wikipedia.org/wiki/1918_%D0%B3%D0%BE%D0%B4" TargetMode="External"/><Relationship Id="rId428" Type="http://schemas.openxmlformats.org/officeDocument/2006/relationships/hyperlink" Target="http://istmat.info/node/37794" TargetMode="External"/><Relationship Id="rId635" Type="http://schemas.openxmlformats.org/officeDocument/2006/relationships/hyperlink" Target="http://www.libussr.ru/doc_ussr/ussr_7.htm" TargetMode="External"/><Relationship Id="rId274" Type="http://schemas.openxmlformats.org/officeDocument/2006/relationships/hyperlink" Target="http://istmat.info/node/44737" TargetMode="External"/><Relationship Id="rId481" Type="http://schemas.openxmlformats.org/officeDocument/2006/relationships/hyperlink" Target="http://istmat.info/node/37777" TargetMode="External"/><Relationship Id="rId702" Type="http://schemas.openxmlformats.org/officeDocument/2006/relationships/hyperlink" Target="https://ru.wikipedia.org/wiki/1917_%D0%B3%D0%BE%D0%B4" TargetMode="External"/><Relationship Id="rId69" Type="http://schemas.openxmlformats.org/officeDocument/2006/relationships/hyperlink" Target="http://istmat.info/node/44680" TargetMode="External"/><Relationship Id="rId134" Type="http://schemas.openxmlformats.org/officeDocument/2006/relationships/hyperlink" Target="http://istmat.info/node/44808" TargetMode="External"/><Relationship Id="rId579" Type="http://schemas.openxmlformats.org/officeDocument/2006/relationships/hyperlink" Target="https://ru-wiki.ru/wiki/%D0%93%D0%B5%D0%BD%D0%B5%D1%80%D0%B0%D0%BB-%D0%BC%D0%B0%D0%B9%D0%BE%D1%80" TargetMode="External"/><Relationship Id="rId786" Type="http://schemas.openxmlformats.org/officeDocument/2006/relationships/hyperlink" Target="https://ru.wikipedia.org/wiki/%D0%93%D0%B0%D0%B1%D1%81%D0%B1%D1%83%D1%80%D0%B3%D0%B8" TargetMode="External"/><Relationship Id="rId341" Type="http://schemas.openxmlformats.org/officeDocument/2006/relationships/hyperlink" Target="http://istmat.info/node/38260" TargetMode="External"/><Relationship Id="rId439" Type="http://schemas.openxmlformats.org/officeDocument/2006/relationships/hyperlink" Target="http://istmat.info/node/41405" TargetMode="External"/><Relationship Id="rId646" Type="http://schemas.openxmlformats.org/officeDocument/2006/relationships/hyperlink" Target="https://ru.wikipedia.org/wiki/1914_%D0%B3%D0%BE%D0%B4" TargetMode="External"/><Relationship Id="rId201" Type="http://schemas.openxmlformats.org/officeDocument/2006/relationships/hyperlink" Target="http://istmat.info/node/37789" TargetMode="External"/><Relationship Id="rId285" Type="http://schemas.openxmlformats.org/officeDocument/2006/relationships/hyperlink" Target="http://istmat.info/node/41158" TargetMode="External"/><Relationship Id="rId506" Type="http://schemas.openxmlformats.org/officeDocument/2006/relationships/hyperlink" Target="http://istmat.info/node/37779" TargetMode="External"/><Relationship Id="rId492" Type="http://schemas.openxmlformats.org/officeDocument/2006/relationships/hyperlink" Target="http://istmat.info/node/44694" TargetMode="External"/><Relationship Id="rId713" Type="http://schemas.openxmlformats.org/officeDocument/2006/relationships/hyperlink" Target="https://ru.wikipedia.org/wiki/3_%D0%BC%D0%B0%D1%80%D1%82%D0%B0" TargetMode="External"/><Relationship Id="rId797" Type="http://schemas.openxmlformats.org/officeDocument/2006/relationships/hyperlink" Target="https://ru.wikipedia.org/wiki/1918_%D0%B3%D0%BE%D0%B4" TargetMode="External"/><Relationship Id="rId145" Type="http://schemas.openxmlformats.org/officeDocument/2006/relationships/hyperlink" Target="http://airspot.ru/catalogue/item/blackburn-white-falcon" TargetMode="External"/><Relationship Id="rId352" Type="http://schemas.openxmlformats.org/officeDocument/2006/relationships/hyperlink" Target="http://istmat.info/node/38260" TargetMode="External"/><Relationship Id="rId212" Type="http://schemas.openxmlformats.org/officeDocument/2006/relationships/hyperlink" Target="http://istmat.info/node/44735" TargetMode="External"/><Relationship Id="rId657" Type="http://schemas.openxmlformats.org/officeDocument/2006/relationships/hyperlink" Target="https://ru.wikipedia.org/wiki/%D0%A4%D1%80%D0%B0%D0%BD%D1%86%D0%B8%D1%8F" TargetMode="External"/><Relationship Id="rId296" Type="http://schemas.openxmlformats.org/officeDocument/2006/relationships/hyperlink" Target="http://istmat.info/node/44739" TargetMode="External"/><Relationship Id="rId517" Type="http://schemas.openxmlformats.org/officeDocument/2006/relationships/hyperlink" Target="http://istmat.info/node/37897" TargetMode="External"/><Relationship Id="rId724" Type="http://schemas.openxmlformats.org/officeDocument/2006/relationships/hyperlink" Target="https://ru.wikipedia.org/wiki/%D0%A2%D0%B0%D0%BB%D0%B0%D0%B0%D1%82-%D0%BF%D0%B0%D1%88%D0%B0,_%D0%9C%D0%B5%D1%85%D0%BC%D0%B5%D0%B4" TargetMode="External"/><Relationship Id="rId60" Type="http://schemas.openxmlformats.org/officeDocument/2006/relationships/hyperlink" Target="http://istmat.info/node/44717" TargetMode="External"/><Relationship Id="rId156" Type="http://schemas.openxmlformats.org/officeDocument/2006/relationships/hyperlink" Target="http://istmat.info/node/44730" TargetMode="External"/><Relationship Id="rId363" Type="http://schemas.openxmlformats.org/officeDocument/2006/relationships/hyperlink" Target="https://ru.wikipedia.org/wiki/%D0%A2%D0%B5%D1%80%D0%B5%D1%89%D0%B5%D0%BD%D0%BA%D0%BE,_%D0%9C%D0%B8%D1%85%D0%B0%D0%B8%D0%BB_%D0%98%D0%B2%D0%B0%D0%BD%D0%BE%D0%B2%D0%B8%D1%87" TargetMode="External"/><Relationship Id="rId570" Type="http://schemas.openxmlformats.org/officeDocument/2006/relationships/hyperlink" Target="http://istmat.info/node/38158" TargetMode="External"/><Relationship Id="rId223" Type="http://schemas.openxmlformats.org/officeDocument/2006/relationships/hyperlink" Target="https://ru.wikipedia.org/wiki/23_%D0%B8%D1%8E%D0%BD%D1%8F" TargetMode="External"/><Relationship Id="rId430" Type="http://schemas.openxmlformats.org/officeDocument/2006/relationships/hyperlink" Target="http://istmat.info/node/37794" TargetMode="External"/><Relationship Id="rId668" Type="http://schemas.openxmlformats.org/officeDocument/2006/relationships/hyperlink" Target="https://ru.wikipedia.org/wiki/1917_%D0%B3%D0%BE%D0%B4" TargetMode="External"/><Relationship Id="rId18" Type="http://schemas.openxmlformats.org/officeDocument/2006/relationships/hyperlink" Target="http://istmat.info/node/37772" TargetMode="External"/><Relationship Id="rId528" Type="http://schemas.openxmlformats.org/officeDocument/2006/relationships/hyperlink" Target="https://ru.wikipedia.org/wiki/%D0%A2%D1%80%D0%BE%D1%86%D0%BA%D0%B8%D0%B9" TargetMode="External"/><Relationship Id="rId735" Type="http://schemas.openxmlformats.org/officeDocument/2006/relationships/hyperlink" Target="https://ru.wikipedia.org/wiki/%D0%90%D0%BD%D0%B4%D0%BE%D0%B3%D1%81%D0%BA%D0%B8%D0%B9,_%D0%90%D0%BB%D0%B5%D0%BA%D1%81%D0%B0%D0%BD%D0%B4%D1%80_%D0%98%D0%B2%D0%B0%D0%BD%D0%BE%D0%B2%D0%B8%D1%87" TargetMode="External"/><Relationship Id="rId167" Type="http://schemas.openxmlformats.org/officeDocument/2006/relationships/hyperlink" Target="http://istmat.info/node/44811" TargetMode="External"/><Relationship Id="rId374" Type="http://schemas.openxmlformats.org/officeDocument/2006/relationships/hyperlink" Target="https://ru.wikipedia.org/wiki/%D0%92%D0%BE%D0%B9%D1%82%D0%B8%D0%BD%D1%81%D0%BA%D0%B8%D0%B9,_%D0%92%D0%BB%D0%B0%D0%B4%D0%B8%D0%BC%D0%B8%D1%80_%D0%A1%D0%B0%D0%B2%D0%B5%D0%BB%D1%8C%D0%B5%D0%B2%D0%B8%D1%87" TargetMode="External"/><Relationship Id="rId581" Type="http://schemas.openxmlformats.org/officeDocument/2006/relationships/hyperlink" Target="http://istmat.info/node/37782" TargetMode="External"/><Relationship Id="rId71" Type="http://schemas.openxmlformats.org/officeDocument/2006/relationships/hyperlink" Target="http://istmat.info/node/44680" TargetMode="External"/><Relationship Id="rId234" Type="http://schemas.openxmlformats.org/officeDocument/2006/relationships/hyperlink" Target="http://istmat.info/node/44736" TargetMode="External"/><Relationship Id="rId679" Type="http://schemas.openxmlformats.org/officeDocument/2006/relationships/hyperlink" Target="https://ru.wikipedia.org/wiki/%D0%9C%D0%BE%D0%BE%D0%BD%D0%B7%D1%83%D0%BD%D0%B4%D1%81%D0%BA%D0%B8%D0%B9_%D0%B0%D1%80%D1%85%D0%B8%D0%BF%D0%B5%D0%BB%D0%B0%D0%B3" TargetMode="External"/><Relationship Id="rId802" Type="http://schemas.openxmlformats.org/officeDocument/2006/relationships/hyperlink" Target="https://ru.wikipedia.org/wiki/3_%D0%BC%D0%B0%D1%80%D1%82%D0%B0" TargetMode="External"/><Relationship Id="rId2" Type="http://schemas.openxmlformats.org/officeDocument/2006/relationships/numbering" Target="numbering.xml"/><Relationship Id="rId29" Type="http://schemas.openxmlformats.org/officeDocument/2006/relationships/hyperlink" Target="http://istmat.info/node/44622" TargetMode="External"/><Relationship Id="rId441" Type="http://schemas.openxmlformats.org/officeDocument/2006/relationships/hyperlink" Target="http://istmat.info/node/41405" TargetMode="External"/><Relationship Id="rId539" Type="http://schemas.openxmlformats.org/officeDocument/2006/relationships/hyperlink" Target="http://istmat.info/node/44696" TargetMode="External"/><Relationship Id="rId746" Type="http://schemas.openxmlformats.org/officeDocument/2006/relationships/hyperlink" Target="https://ru.wikipedia.org/wiki/1917_%D0%B3%D0%BE%D0%B4" TargetMode="External"/><Relationship Id="rId178" Type="http://schemas.openxmlformats.org/officeDocument/2006/relationships/hyperlink" Target="http://istmat.info/node/44732" TargetMode="External"/><Relationship Id="rId301" Type="http://schemas.openxmlformats.org/officeDocument/2006/relationships/hyperlink" Target="http://istmat.info/node/44814" TargetMode="External"/><Relationship Id="rId82" Type="http://schemas.openxmlformats.org/officeDocument/2006/relationships/hyperlink" Target="http://istmat.info/node/44718" TargetMode="External"/><Relationship Id="rId385" Type="http://schemas.openxmlformats.org/officeDocument/2006/relationships/hyperlink" Target="https://ru.wikipedia.org/wiki/%D0%A0%D0%B0%D0%B1%D0%B8%D0%BD%D0%BE%D0%B2%D0%B8%D1%87,_%D0%90%D0%BB%D0%B5%D0%BA%D1%81%D0%B0%D0%BD%D0%B4%D1%80_%D0%95%D0%B2%D0%B3%D0%B5%D0%BD%D1%8C%D0%B5%D0%B2%D0%B8%D1%87" TargetMode="External"/><Relationship Id="rId592" Type="http://schemas.openxmlformats.org/officeDocument/2006/relationships/hyperlink" Target="http://istmat.info/node/41153" TargetMode="External"/><Relationship Id="rId606" Type="http://schemas.openxmlformats.org/officeDocument/2006/relationships/hyperlink" Target="http://istmat.info/node/38160" TargetMode="External"/><Relationship Id="rId813" Type="http://schemas.openxmlformats.org/officeDocument/2006/relationships/hyperlink" Target="https://ru.wikipedia.org/wiki/%D0%9B%D1%8E%D0%B4%D0%B5%D0%BD%D0%B4%D0%BE%D1%80%D1%84,_%D0%AD%D1%80%D0%B8%D1%85" TargetMode="External"/><Relationship Id="rId245" Type="http://schemas.openxmlformats.org/officeDocument/2006/relationships/hyperlink" Target="http://istmat.info/node/41157" TargetMode="External"/><Relationship Id="rId452" Type="http://schemas.openxmlformats.org/officeDocument/2006/relationships/hyperlink" Target="http://istmat.info/node/44744" TargetMode="External"/><Relationship Id="rId105" Type="http://schemas.openxmlformats.org/officeDocument/2006/relationships/hyperlink" Target="http://istmat.info/node/38164" TargetMode="External"/><Relationship Id="rId312" Type="http://schemas.openxmlformats.org/officeDocument/2006/relationships/hyperlink" Target="http://istmat.info/node/44814" TargetMode="External"/><Relationship Id="rId757" Type="http://schemas.openxmlformats.org/officeDocument/2006/relationships/hyperlink" Target="https://ru.wikipedia.org/wiki/%D0%A1%D0%B0%D0%BC%D0%BE%D0%BE%D0%BF%D1%80%D0%B5%D0%B4%D0%B5%D0%BB%D0%B5%D0%BD%D0%B8%D0%B5" TargetMode="External"/><Relationship Id="rId93" Type="http://schemas.openxmlformats.org/officeDocument/2006/relationships/hyperlink" Target="http://istmat.info/node/44720" TargetMode="External"/><Relationship Id="rId189" Type="http://schemas.openxmlformats.org/officeDocument/2006/relationships/hyperlink" Target="http://istmat.info/node/44685" TargetMode="External"/><Relationship Id="rId396" Type="http://schemas.openxmlformats.org/officeDocument/2006/relationships/hyperlink" Target="https://ru.wikipedia.org/wiki/%D0%9F%D0%B5%D1%80%D0%B5%D0%B2%D0%B5%D1%80%D0%B7%D0%B5%D0%B2,_%D0%9F%D0%B0%D0%B2%D0%B5%D0%BB_%D0%9D%D0%B8%D0%BA%D0%BE%D0%BB%D0%B0%D0%B5%D0%B2%D0%B8%D1%87" TargetMode="External"/><Relationship Id="rId617" Type="http://schemas.openxmlformats.org/officeDocument/2006/relationships/hyperlink" Target="http://istmat.info/node/38161" TargetMode="External"/><Relationship Id="rId256" Type="http://schemas.openxmlformats.org/officeDocument/2006/relationships/hyperlink" Target="https://ru.wikipedia.org/wiki/1917_%D0%B3%D0%BE%D0%B4" TargetMode="External"/><Relationship Id="rId463" Type="http://schemas.openxmlformats.org/officeDocument/2006/relationships/hyperlink" Target="http://istmat.info/node/37795" TargetMode="External"/><Relationship Id="rId670" Type="http://schemas.openxmlformats.org/officeDocument/2006/relationships/hyperlink" Target="https://ru.wikipedia.org/wiki/%D0%9A%D1%80%D1%8B%D0%BB%D0%B5%D0%BD%D0%BA%D0%BE,_%D0%9D%D0%B8%D0%BA%D0%BE%D0%BB%D0%B0%D0%B9_%D0%92%D0%B0%D1%81%D0%B8%D0%BB%D1%8C%D0%B5%D0%B2%D0%B8%D1%87" TargetMode="External"/><Relationship Id="rId116" Type="http://schemas.openxmlformats.org/officeDocument/2006/relationships/hyperlink" Target="http://istmat.info/node/44723" TargetMode="External"/><Relationship Id="rId323" Type="http://schemas.openxmlformats.org/officeDocument/2006/relationships/hyperlink" Target="http://istmat.info/node/44690" TargetMode="External"/><Relationship Id="rId530" Type="http://schemas.openxmlformats.org/officeDocument/2006/relationships/hyperlink" Target="http://istmat.info/node/38157" TargetMode="External"/><Relationship Id="rId768" Type="http://schemas.openxmlformats.org/officeDocument/2006/relationships/hyperlink" Target="https://ru.wikipedia.org/wiki/%D0%90%D0%BD%D1%82%D0%B0%D0%BD%D1%82%D0%B0" TargetMode="External"/><Relationship Id="rId20" Type="http://schemas.openxmlformats.org/officeDocument/2006/relationships/hyperlink" Target="http://www.airwar.ru/enc/craft/hs125.html" TargetMode="External"/><Relationship Id="rId628" Type="http://schemas.openxmlformats.org/officeDocument/2006/relationships/hyperlink" Target="http://istmat.info/node/38798" TargetMode="External"/><Relationship Id="rId267" Type="http://schemas.openxmlformats.org/officeDocument/2006/relationships/hyperlink" Target="https://ru.wikipedia.org/wiki/%D0%9B%D0%BE%D0%BC%D0%BE%D0%BD%D0%BE%D1%81%D0%BE%D0%B2_(%D0%B3%D0%BE%D1%80%D0%BE%D0%B4)" TargetMode="External"/><Relationship Id="rId474" Type="http://schemas.openxmlformats.org/officeDocument/2006/relationships/hyperlink" Target="http://istmat.info/node/37796" TargetMode="External"/><Relationship Id="rId127" Type="http://schemas.openxmlformats.org/officeDocument/2006/relationships/hyperlink" Target="http://istmat.info/node/44683" TargetMode="External"/><Relationship Id="rId681" Type="http://schemas.openxmlformats.org/officeDocument/2006/relationships/hyperlink" Target="https://ru.wikipedia.org/wiki/7_%D0%B4%D0%B5%D0%BA%D0%B0%D0%B1%D1%80%D1%8F" TargetMode="External"/><Relationship Id="rId779" Type="http://schemas.openxmlformats.org/officeDocument/2006/relationships/hyperlink" Target="https://ru.wikipedia.org/wiki/%D0%91%D1%80%D0%B5%D1%81%D1%82-%D0%9B%D0%B8%D1%82%D0%BE%D0%B2%D1%81%D0%BA" TargetMode="External"/><Relationship Id="rId31" Type="http://schemas.openxmlformats.org/officeDocument/2006/relationships/hyperlink" Target="http://istmat.info/node/44802" TargetMode="External"/><Relationship Id="rId334" Type="http://schemas.openxmlformats.org/officeDocument/2006/relationships/hyperlink" Target="http://istmat.info/node/44815" TargetMode="External"/><Relationship Id="rId541" Type="http://schemas.openxmlformats.org/officeDocument/2006/relationships/hyperlink" Target="http://istmat.info/node/44695" TargetMode="External"/><Relationship Id="rId639" Type="http://schemas.openxmlformats.org/officeDocument/2006/relationships/hyperlink" Target="https://ru.wikipedia.org/wiki/25_%D0%BD%D0%BE%D1%8F%D0%B1%D1%80%D1%8F" TargetMode="External"/><Relationship Id="rId180" Type="http://schemas.openxmlformats.org/officeDocument/2006/relationships/hyperlink" Target="http://istmat.info/node/44732" TargetMode="External"/><Relationship Id="rId278" Type="http://schemas.openxmlformats.org/officeDocument/2006/relationships/hyperlink" Target="http://istmat.info/node/44738" TargetMode="External"/><Relationship Id="rId401" Type="http://schemas.openxmlformats.org/officeDocument/2006/relationships/hyperlink" Target="https://ru.wikipedia.org/wiki/%D0%9A%D0%B0%D0%B7%D0%B0%D1%87%D1%8C%D1%8F_%D1%81%D0%BE%D1%82%D0%BD%D1%8F" TargetMode="External"/><Relationship Id="rId485" Type="http://schemas.openxmlformats.org/officeDocument/2006/relationships/hyperlink" Target="http://istmat.info/node/44693" TargetMode="External"/><Relationship Id="rId692" Type="http://schemas.openxmlformats.org/officeDocument/2006/relationships/hyperlink" Target="http://istmat.info/node/41408" TargetMode="External"/><Relationship Id="rId706" Type="http://schemas.openxmlformats.org/officeDocument/2006/relationships/hyperlink" Target="https://ru.wikipedia.org/wiki/28_%D0%B4%D0%B5%D0%BA%D0%B0%D0%B1%D1%80%D1%8F" TargetMode="External"/><Relationship Id="rId42" Type="http://schemas.openxmlformats.org/officeDocument/2006/relationships/hyperlink" Target="http://istmat.info/node/37773" TargetMode="External"/><Relationship Id="rId138" Type="http://schemas.openxmlformats.org/officeDocument/2006/relationships/hyperlink" Target="http://istmat.info/node/44809" TargetMode="External"/><Relationship Id="rId345" Type="http://schemas.openxmlformats.org/officeDocument/2006/relationships/hyperlink" Target="http://istmat.info/node/38260" TargetMode="External"/><Relationship Id="rId552" Type="http://schemas.openxmlformats.org/officeDocument/2006/relationships/hyperlink" Target="http://istmat.info/node/38794" TargetMode="External"/><Relationship Id="rId191" Type="http://schemas.openxmlformats.org/officeDocument/2006/relationships/hyperlink" Target="http://istmat.info/node/44685" TargetMode="External"/><Relationship Id="rId205" Type="http://schemas.openxmlformats.org/officeDocument/2006/relationships/hyperlink" Target="http://istmat.info/node/44734" TargetMode="External"/><Relationship Id="rId412" Type="http://schemas.openxmlformats.org/officeDocument/2006/relationships/hyperlink" Target="https://ru.wikipedia.org/wiki/%D0%97%D0%B8%D0%BC%D0%BD%D0%B8%D0%B9_%D0%B4%D0%B2%D0%BE%D1%80%D0%B5%D1%86" TargetMode="External"/><Relationship Id="rId289" Type="http://schemas.openxmlformats.org/officeDocument/2006/relationships/hyperlink" Target="http://istmat.info/node/41158" TargetMode="External"/><Relationship Id="rId496" Type="http://schemas.openxmlformats.org/officeDocument/2006/relationships/hyperlink" Target="http://istmat.info/node/38790" TargetMode="External"/><Relationship Id="rId717" Type="http://schemas.openxmlformats.org/officeDocument/2006/relationships/hyperlink" Target="https://ru.wikipedia.org/wiki/%D0%A6%D0%B5%D0%BD%D1%82%D1%80%D0%B0%D0%BB%D1%8C%D0%BD%D1%8B%D0%B5_%D0%B4%D0%B5%D1%80%D0%B6%D0%B0%D0%B2%D1%8B" TargetMode="External"/><Relationship Id="rId53" Type="http://schemas.openxmlformats.org/officeDocument/2006/relationships/hyperlink" Target="http://amastercar.ru/blog/chto-takoe-otvertochnaya-sborka-avtomobilej.html" TargetMode="External"/><Relationship Id="rId149" Type="http://schemas.openxmlformats.org/officeDocument/2006/relationships/hyperlink" Target="http://istmat.info/node/44810" TargetMode="External"/><Relationship Id="rId356" Type="http://schemas.openxmlformats.org/officeDocument/2006/relationships/hyperlink" Target="http://istmat.info/node/38260" TargetMode="External"/><Relationship Id="rId563" Type="http://schemas.openxmlformats.org/officeDocument/2006/relationships/hyperlink" Target="http://istmat.info/node/41152" TargetMode="External"/><Relationship Id="rId770" Type="http://schemas.openxmlformats.org/officeDocument/2006/relationships/hyperlink" Target="https://ru.wikipedia.org/wiki/2_%D1%8F%D0%BD%D0%B2%D0%B0%D1%80%D1%8F" TargetMode="External"/><Relationship Id="rId216" Type="http://schemas.openxmlformats.org/officeDocument/2006/relationships/hyperlink" Target="http://istmat.info/node/44688" TargetMode="External"/><Relationship Id="rId423" Type="http://schemas.openxmlformats.org/officeDocument/2006/relationships/hyperlink" Target="https://ru.wikipedia.org/wiki/%D0%97%D0%B8%D0%BC%D0%BD%D0%B8%D0%B9_%D0%B4%D0%B2%D0%BE%D1%80%D0%B5%D1%86" TargetMode="External"/><Relationship Id="rId630" Type="http://schemas.openxmlformats.org/officeDocument/2006/relationships/hyperlink" Target="http://istmat.info/node/38798" TargetMode="External"/><Relationship Id="rId728" Type="http://schemas.openxmlformats.org/officeDocument/2006/relationships/hyperlink" Target="https://ru.wikipedia.org/wiki/%D0%9A%D0%B0%D0%BC%D0%B5%D0%BD%D0%B5%D0%B2,_%D0%9B%D0%B5%D0%B2_%D0%91%D0%BE%D1%80%D0%B8%D1%81%D0%BE%D0%B2%D0%B8%D1%87" TargetMode="External"/><Relationship Id="rId64" Type="http://schemas.openxmlformats.org/officeDocument/2006/relationships/hyperlink" Target="http://istmat.info/node/37775" TargetMode="External"/><Relationship Id="rId367" Type="http://schemas.openxmlformats.org/officeDocument/2006/relationships/hyperlink" Target="https://ru.wikipedia.org/wiki/%D0%A8%D0%B8%D0%BD%D0%B3%D0%B0%D1%80%D1%91%D0%B2,_%D0%90%D0%BD%D0%B4%D1%80%D0%B5%D0%B9_%D0%98%D0%B2%D0%B0%D0%BD%D0%BE%D0%B2%D0%B8%D1%87" TargetMode="External"/><Relationship Id="rId574" Type="http://schemas.openxmlformats.org/officeDocument/2006/relationships/hyperlink" Target="https://ru-wiki.ru/w/index.php?title=%D0%A3%D0%BF%D1%80%D0%B0%D0%B2%D0%BB%D0%B5%D0%BD%D0%B8%D0%B5_%D0%B2%D0%BE%D0%B5%D0%BD%D0%BD%D0%BE-%D0%B2%D0%BE%D0%B7%D0%B4%D1%83%D1%88%D0%BD%D0%BE%D0%B3%D0%BE_%D1%84%D0%BB%D0%BE%D1%82%D0%B0&amp;action=edit&amp;redlink=1" TargetMode="External"/><Relationship Id="rId227" Type="http://schemas.openxmlformats.org/officeDocument/2006/relationships/hyperlink" Target="http://www.airwar.ru/enc/fww1/msaf.html" TargetMode="External"/><Relationship Id="rId781" Type="http://schemas.openxmlformats.org/officeDocument/2006/relationships/hyperlink" Target="https://ru.wikipedia.org/wiki/%D0%93%D0%BE%D1%84%D0%BC%D0%B0%D0%BD,_%D0%9C%D0%B0%D0%BA%D1%81" TargetMode="External"/><Relationship Id="rId434" Type="http://schemas.openxmlformats.org/officeDocument/2006/relationships/hyperlink" Target="http://istmat.info/node/37794" TargetMode="External"/><Relationship Id="rId641" Type="http://schemas.openxmlformats.org/officeDocument/2006/relationships/hyperlink" Target="https://ru.wikipedia.org/wiki/%D0%9D%D0%B0%D1%80%D0%BE%D0%B4%D0%BD%D1%8B%D0%B9_%D0%BA%D0%BE%D0%BC%D0%B8%D1%81%D1%81%D0%B0%D1%80%D0%B8%D0%B0%D1%82_%D0%BF%D0%BE_%D0%B8%D0%BD%D0%BE%D1%81%D1%82%D1%80%D0%B0%D0%BD%D0%BD%D1%8B%D0%BC_%D0%B4%D0%B5%D0%BB%D0%B0%D0%BC_%D0%A0%D0%A1%D0%A4%D0%A1%D0%A0" TargetMode="External"/><Relationship Id="rId739" Type="http://schemas.openxmlformats.org/officeDocument/2006/relationships/hyperlink" Target="https://ru.wikipedia.org/wiki/%D0%91%D0%B5%D0%BB%D1%8F%D0%BA%D0%BE%D0%B2,_%D0%9D%D0%B8%D0%BA%D0%BE%D0%BB%D0%B0%D0%B9_%D0%9A%D1%83%D0%B7%D1%8C%D0%BC%D0%B8%D1%87" TargetMode="External"/><Relationship Id="rId280" Type="http://schemas.openxmlformats.org/officeDocument/2006/relationships/hyperlink" Target="http://istmat.info/node/41158" TargetMode="External"/><Relationship Id="rId501" Type="http://schemas.openxmlformats.org/officeDocument/2006/relationships/hyperlink" Target="http://istmat.info/node/37778" TargetMode="External"/><Relationship Id="rId75" Type="http://schemas.openxmlformats.org/officeDocument/2006/relationships/hyperlink" Target="http://istmat.info/node/44681" TargetMode="External"/><Relationship Id="rId140" Type="http://schemas.openxmlformats.org/officeDocument/2006/relationships/hyperlink" Target="http://istmat.info/node/44727" TargetMode="External"/><Relationship Id="rId378" Type="http://schemas.openxmlformats.org/officeDocument/2006/relationships/hyperlink" Target="https://ru.wikipedia.org/wiki/%D0%9E%D1%81%D0%BE%D0%B1%D0%BD%D1%8F%D0%BA_%D0%9A%D1%88%D0%B5%D1%81%D0%B8%D0%BD%D1%81%D0%BA%D0%BE%D0%B9" TargetMode="External"/><Relationship Id="rId585" Type="http://schemas.openxmlformats.org/officeDocument/2006/relationships/hyperlink" Target="http://istmat.info/node/38159" TargetMode="External"/><Relationship Id="rId792" Type="http://schemas.openxmlformats.org/officeDocument/2006/relationships/hyperlink" Target="https://ru.wikipedia.org/wiki/1918_%D0%B3%D0%BE%D0%B4" TargetMode="External"/><Relationship Id="rId806" Type="http://schemas.openxmlformats.org/officeDocument/2006/relationships/hyperlink" Target="https://ru.wikipedia.org/wiki/10_%D1%8F%D0%BD%D0%B2%D0%B0%D1%80%D1%8F" TargetMode="External"/><Relationship Id="rId6" Type="http://schemas.openxmlformats.org/officeDocument/2006/relationships/hyperlink" Target="http://economicarggu.ru/2002_5/01.shtml" TargetMode="External"/><Relationship Id="rId238" Type="http://schemas.openxmlformats.org/officeDocument/2006/relationships/hyperlink" Target="http://istmat.info/node/38258" TargetMode="External"/><Relationship Id="rId445" Type="http://schemas.openxmlformats.org/officeDocument/2006/relationships/hyperlink" Target="http://istmat.info/node/41157" TargetMode="External"/><Relationship Id="rId652" Type="http://schemas.openxmlformats.org/officeDocument/2006/relationships/hyperlink" Target="https://ru.wikipedia.org/wiki/%D0%9D%D0%B0%D1%80%D0%BE%D0%B4%D0%BD%D1%8B%D0%B9_%D0%BA%D0%BE%D0%BC%D0%B8%D1%81%D1%81%D0%B0%D1%80%D0%B8%D0%B0%D1%82_%D0%BF%D0%BE_%D0%B8%D0%BD%D0%BE%D1%81%D1%82%D1%80%D0%B0%D0%BD%D0%BD%D1%8B%D0%BC_%D0%B4%D0%B5%D0%BB%D0%B0%D0%BC_%D0%A0%D0%A1%D0%A4%D0%A1%D0%A0" TargetMode="External"/><Relationship Id="rId291" Type="http://schemas.openxmlformats.org/officeDocument/2006/relationships/hyperlink" Target="http://istmat.info/node/44739" TargetMode="External"/><Relationship Id="rId305" Type="http://schemas.openxmlformats.org/officeDocument/2006/relationships/hyperlink" Target="http://istmat.info/node/44814" TargetMode="External"/><Relationship Id="rId512" Type="http://schemas.openxmlformats.org/officeDocument/2006/relationships/hyperlink" Target="http://istmat.info/node/37897" TargetMode="External"/><Relationship Id="rId44" Type="http://schemas.openxmlformats.org/officeDocument/2006/relationships/hyperlink" Target="http://istmat.info/node/37773" TargetMode="External"/><Relationship Id="rId86" Type="http://schemas.openxmlformats.org/officeDocument/2006/relationships/hyperlink" Target="http://istmat.info/node/44803" TargetMode="External"/><Relationship Id="rId151" Type="http://schemas.openxmlformats.org/officeDocument/2006/relationships/hyperlink" Target="http://istmat.info/node/44810" TargetMode="External"/><Relationship Id="rId389" Type="http://schemas.openxmlformats.org/officeDocument/2006/relationships/hyperlink" Target="https://ru.wikipedia.org/wiki/%D0%92%D1%80%D0%B5%D0%BC%D0%B5%D0%BD%D0%BD%D0%BE%D0%B5_%D0%BF%D1%80%D0%B0%D0%B2%D0%B8%D1%82%D0%B5%D0%BB%D1%8C%D1%81%D1%82%D0%B2%D0%BE_%D0%A0%D0%BE%D1%81%D1%81%D0%B8%D0%B8" TargetMode="External"/><Relationship Id="rId554" Type="http://schemas.openxmlformats.org/officeDocument/2006/relationships/hyperlink" Target="http://istmat.info/node/41152" TargetMode="External"/><Relationship Id="rId596" Type="http://schemas.openxmlformats.org/officeDocument/2006/relationships/hyperlink" Target="http://istmat.info/node/41153" TargetMode="External"/><Relationship Id="rId761" Type="http://schemas.openxmlformats.org/officeDocument/2006/relationships/hyperlink" Target="https://ru.wikipedia.org/wiki/28_%D0%B4%D0%B5%D0%BA%D0%B0%D0%B1%D1%80%D1%8F" TargetMode="External"/><Relationship Id="rId817" Type="http://schemas.openxmlformats.org/officeDocument/2006/relationships/hyperlink" Target="https://ru.wikipedia.org/wiki/12_%D1%8F%D0%BD%D0%B2%D0%B0%D1%80%D1%8F" TargetMode="External"/><Relationship Id="rId193" Type="http://schemas.openxmlformats.org/officeDocument/2006/relationships/hyperlink" Target="http://xn--80aafy5bs.xn--p1ai/aviamuseum/aviatsiya/russkij-imperatorskij-voenno-vozdushnyj-flot/inostrannye-samolety-rivvf/mnogotselevoj-istrebitel-sopwith-1-strutter/" TargetMode="External"/><Relationship Id="rId207" Type="http://schemas.openxmlformats.org/officeDocument/2006/relationships/hyperlink" Target="https://warspot.ru/2463-gibel-hayt-klaymera" TargetMode="External"/><Relationship Id="rId249" Type="http://schemas.openxmlformats.org/officeDocument/2006/relationships/hyperlink" Target="http://istmat.info/node/41157" TargetMode="External"/><Relationship Id="rId414" Type="http://schemas.openxmlformats.org/officeDocument/2006/relationships/hyperlink" Target="https://ru.wikipedia.org/wiki/%D0%97%D0%B8%D0%BD%D0%BE%D0%B2%D1%8C%D0%B5%D0%B2,_%D0%93%D1%80%D0%B8%D0%B3%D0%BE%D1%80%D0%B8%D0%B9_%D0%95%D0%B2%D1%81%D0%B5%D0%B5%D0%B2%D0%B8%D1%87" TargetMode="External"/><Relationship Id="rId456" Type="http://schemas.openxmlformats.org/officeDocument/2006/relationships/hyperlink" Target="http://istmat.info/node/44819" TargetMode="External"/><Relationship Id="rId498" Type="http://schemas.openxmlformats.org/officeDocument/2006/relationships/hyperlink" Target="http://istmat.info/node/37778" TargetMode="External"/><Relationship Id="rId621" Type="http://schemas.openxmlformats.org/officeDocument/2006/relationships/hyperlink" Target="http://istmat.info/node/38161" TargetMode="External"/><Relationship Id="rId663" Type="http://schemas.openxmlformats.org/officeDocument/2006/relationships/hyperlink" Target="https://ru.wikipedia.org/wiki/%D0%A0%D1%83%D0%BC%D1%8B%D0%BD%D0%B8%D1%8F" TargetMode="External"/><Relationship Id="rId13" Type="http://schemas.openxmlformats.org/officeDocument/2006/relationships/hyperlink" Target="http://istmat.info/node/37772" TargetMode="External"/><Relationship Id="rId109" Type="http://schemas.openxmlformats.org/officeDocument/2006/relationships/hyperlink" Target="http://istmat.info/node/44624" TargetMode="External"/><Relationship Id="rId260" Type="http://schemas.openxmlformats.org/officeDocument/2006/relationships/hyperlink" Target="http://istmat.info/node/37791" TargetMode="External"/><Relationship Id="rId316" Type="http://schemas.openxmlformats.org/officeDocument/2006/relationships/hyperlink" Target="http://www.airwar.ru/enc/fww1/spads12.html" TargetMode="External"/><Relationship Id="rId523" Type="http://schemas.openxmlformats.org/officeDocument/2006/relationships/hyperlink" Target="http://istmat.info/node/37897" TargetMode="External"/><Relationship Id="rId719" Type="http://schemas.openxmlformats.org/officeDocument/2006/relationships/hyperlink" Target="https://ru.wikipedia.org/wiki/%D0%9A%D1%8E%D0%BB%D1%8C%D0%BC%D0%B0%D0%BD,_%D0%A0%D0%B8%D1%85%D0%B0%D1%80%D0%B4_%D1%84%D0%BE%D0%BD" TargetMode="External"/><Relationship Id="rId55" Type="http://schemas.openxmlformats.org/officeDocument/2006/relationships/hyperlink" Target="http://saoirse-2010.livejournal.com/31008.html" TargetMode="External"/><Relationship Id="rId97" Type="http://schemas.openxmlformats.org/officeDocument/2006/relationships/hyperlink" Target="http://istmat.info/node/38164" TargetMode="External"/><Relationship Id="rId120" Type="http://schemas.openxmlformats.org/officeDocument/2006/relationships/hyperlink" Target="http://istmat.info/node/44723" TargetMode="External"/><Relationship Id="rId358" Type="http://schemas.openxmlformats.org/officeDocument/2006/relationships/hyperlink" Target="http://istmat.info/node/38260" TargetMode="External"/><Relationship Id="rId565" Type="http://schemas.openxmlformats.org/officeDocument/2006/relationships/hyperlink" Target="http://istmat.info/node/38150" TargetMode="External"/><Relationship Id="rId730" Type="http://schemas.openxmlformats.org/officeDocument/2006/relationships/hyperlink" Target="https://ru.wikipedia.org/wiki/%D0%91%D0%B8%D1%86%D0%B5%D0%BD%D0%BA%D0%BE,_%D0%90%D0%BD%D0%B0%D1%81%D1%82%D0%B0%D1%81%D0%B8%D1%8F_%D0%90%D0%BB%D0%B5%D0%BA%D1%81%D0%B5%D0%B5%D0%B2%D0%BD%D0%B0" TargetMode="External"/><Relationship Id="rId772" Type="http://schemas.openxmlformats.org/officeDocument/2006/relationships/hyperlink" Target="https://ru.wikipedia.org/wiki/%D0%A1%D1%82%D0%BE%D0%BA%D0%B3%D0%BE%D0%BB%D1%8C%D0%BC" TargetMode="External"/><Relationship Id="rId162" Type="http://schemas.openxmlformats.org/officeDocument/2006/relationships/hyperlink" Target="http://istmat.info/node/44730" TargetMode="External"/><Relationship Id="rId218" Type="http://schemas.openxmlformats.org/officeDocument/2006/relationships/hyperlink" Target="http://istmat.info/node/44688" TargetMode="External"/><Relationship Id="rId425" Type="http://schemas.openxmlformats.org/officeDocument/2006/relationships/hyperlink" Target="http://istmat.info/node/37793" TargetMode="External"/><Relationship Id="rId467" Type="http://schemas.openxmlformats.org/officeDocument/2006/relationships/hyperlink" Target="http://istmat.info/node/37795" TargetMode="External"/><Relationship Id="rId632" Type="http://schemas.openxmlformats.org/officeDocument/2006/relationships/hyperlink" Target="http://istmat.info/node/38798" TargetMode="External"/><Relationship Id="rId271" Type="http://schemas.openxmlformats.org/officeDocument/2006/relationships/hyperlink" Target="https://ru.wikipedia.org/wiki/4_%D0%B8%D1%8E%D0%BB%D1%8F" TargetMode="External"/><Relationship Id="rId674" Type="http://schemas.openxmlformats.org/officeDocument/2006/relationships/hyperlink" Target="https://ru.wikipedia.org/wiki/%D0%9C%D0%BE%D0%B3%D0%B8%D0%BB%D1%91%D0%B2" TargetMode="External"/><Relationship Id="rId24" Type="http://schemas.openxmlformats.org/officeDocument/2006/relationships/hyperlink" Target="http://www.airwar.ru/enc/fww1/juj1.html" TargetMode="External"/><Relationship Id="rId66" Type="http://schemas.openxmlformats.org/officeDocument/2006/relationships/hyperlink" Target="http://istmat.info/node/44680" TargetMode="External"/><Relationship Id="rId131" Type="http://schemas.openxmlformats.org/officeDocument/2006/relationships/hyperlink" Target="http://istmat.info/node/44684" TargetMode="External"/><Relationship Id="rId327" Type="http://schemas.openxmlformats.org/officeDocument/2006/relationships/hyperlink" Target="http://istmat.info/node/41404" TargetMode="External"/><Relationship Id="rId369" Type="http://schemas.openxmlformats.org/officeDocument/2006/relationships/hyperlink" Target="https://ru.wikipedia.org/wiki/%D0%A4.%D0%A4._%D0%A0%D0%B0%D1%81%D0%BA%D0%BE%D0%BB%D1%8C%D0%BD%D0%B8%D0%BA%D0%BE%D0%B2" TargetMode="External"/><Relationship Id="rId534" Type="http://schemas.openxmlformats.org/officeDocument/2006/relationships/hyperlink" Target="http://istmat.info/node/38157" TargetMode="External"/><Relationship Id="rId576" Type="http://schemas.openxmlformats.org/officeDocument/2006/relationships/hyperlink" Target="https://ru-wiki.ru/w/index.php?title=%D0%92%D1%81%D0%B5%D1%80%D0%BE%D1%81%D1%81%D0%B8%D0%B9%D1%81%D0%BA%D0%B8%D0%B9_%D1%81%D0%BE%D0%B2%D0%B5%D1%82_%D0%B0%D0%B2%D0%B8%D0%B0%D1%86%D0%B8%D0%B8&amp;action=edit&amp;redlink=1" TargetMode="External"/><Relationship Id="rId741" Type="http://schemas.openxmlformats.org/officeDocument/2006/relationships/hyperlink" Target="https://ru.wikipedia.org/wiki/12_%D0%B4%D0%B5%D0%BA%D0%B0%D0%B1%D1%80%D1%8F" TargetMode="External"/><Relationship Id="rId783" Type="http://schemas.openxmlformats.org/officeDocument/2006/relationships/hyperlink" Target="https://ru.wikipedia.org/wiki/%D0%91%D1%83%D0%BA%D0%BE%D0%B2%D0%B8%D0%BD%D0%B0" TargetMode="External"/><Relationship Id="rId173" Type="http://schemas.openxmlformats.org/officeDocument/2006/relationships/hyperlink" Target="http://istmat.info/node/38257" TargetMode="External"/><Relationship Id="rId229" Type="http://schemas.openxmlformats.org/officeDocument/2006/relationships/hyperlink" Target="https://ru.wikipedia.org/wiki/25_%D0%B8%D1%8E%D0%BD%D1%8F" TargetMode="External"/><Relationship Id="rId380" Type="http://schemas.openxmlformats.org/officeDocument/2006/relationships/hyperlink" Target="https://ru.wikipedia.org/wiki/%D0%9B%D0%B5%D0%BD%D0%B8%D0%BD,_%D0%92%D0%BB%D0%B0%D0%B4%D0%B8%D0%BC%D0%B8%D1%80_%D0%98%D0%BB%D1%8C%D0%B8%D1%87" TargetMode="External"/><Relationship Id="rId436" Type="http://schemas.openxmlformats.org/officeDocument/2006/relationships/hyperlink" Target="http://istmat.info/node/41405" TargetMode="External"/><Relationship Id="rId601" Type="http://schemas.openxmlformats.org/officeDocument/2006/relationships/hyperlink" Target="http://istmat.info/node/38799" TargetMode="External"/><Relationship Id="rId643" Type="http://schemas.openxmlformats.org/officeDocument/2006/relationships/hyperlink" Target="https://ru.wikipedia.org/wiki/%D0%90%D0%BD%D1%82%D0%B0%D0%BD%D1%82%D0%B0" TargetMode="External"/><Relationship Id="rId240" Type="http://schemas.openxmlformats.org/officeDocument/2006/relationships/hyperlink" Target="http://istmat.info/node/41157" TargetMode="External"/><Relationship Id="rId478" Type="http://schemas.openxmlformats.org/officeDocument/2006/relationships/hyperlink" Target="http://eng.ship.bsu.by/ship/103463" TargetMode="External"/><Relationship Id="rId685" Type="http://schemas.openxmlformats.org/officeDocument/2006/relationships/hyperlink" Target="https://ru.wikipedia.org/wiki/12_%D0%B4%D0%B5%D0%BA%D0%B0%D0%B1%D1%80%D1%8F" TargetMode="External"/><Relationship Id="rId35" Type="http://schemas.openxmlformats.org/officeDocument/2006/relationships/hyperlink" Target="http://airspot.ru/catalogue/item/ltg-fd-1" TargetMode="External"/><Relationship Id="rId77" Type="http://schemas.openxmlformats.org/officeDocument/2006/relationships/hyperlink" Target="http://istmat.info/node/44681" TargetMode="External"/><Relationship Id="rId100" Type="http://schemas.openxmlformats.org/officeDocument/2006/relationships/hyperlink" Target="http://istmat.info/node/38164" TargetMode="External"/><Relationship Id="rId282" Type="http://schemas.openxmlformats.org/officeDocument/2006/relationships/hyperlink" Target="http://istmat.info/node/41158" TargetMode="External"/><Relationship Id="rId338" Type="http://schemas.openxmlformats.org/officeDocument/2006/relationships/hyperlink" Target="http://www.airwar.ru/enc/fww1/kasyanenko5.html" TargetMode="External"/><Relationship Id="rId503" Type="http://schemas.openxmlformats.org/officeDocument/2006/relationships/hyperlink" Target="http://istmat.info/node/37778" TargetMode="External"/><Relationship Id="rId545" Type="http://schemas.openxmlformats.org/officeDocument/2006/relationships/hyperlink" Target="http://istmat.info/node/41407" TargetMode="External"/><Relationship Id="rId587" Type="http://schemas.openxmlformats.org/officeDocument/2006/relationships/hyperlink" Target="http://istmat.info/node/41153" TargetMode="External"/><Relationship Id="rId710" Type="http://schemas.openxmlformats.org/officeDocument/2006/relationships/hyperlink" Target="https://ru.wikipedia.org/wiki/10_%D1%84%D0%B5%D0%B2%D1%80%D0%B0%D0%BB%D1%8F" TargetMode="External"/><Relationship Id="rId752" Type="http://schemas.openxmlformats.org/officeDocument/2006/relationships/hyperlink" Target="https://ru.wikipedia.org/wiki/1917_%D0%B3%D0%BE%D0%B4" TargetMode="External"/><Relationship Id="rId808" Type="http://schemas.openxmlformats.org/officeDocument/2006/relationships/hyperlink" Target="https://ru.wikipedia.org/wiki/%D0%93%D0%BE%D0%BB%D1%83%D0%B1%D0%BE%D0%B2%D0%B8%D1%87,_%D0%92%D1%81%D0%B5%D0%B2%D0%BE%D0%BB%D0%BE%D0%B4_%D0%90%D0%BB%D0%B5%D0%BA%D1%81%D0%B0%D0%BD%D0%B4%D1%80%D0%BE%D0%B2%D0%B8%D1%87" TargetMode="External"/><Relationship Id="rId8" Type="http://schemas.openxmlformats.org/officeDocument/2006/relationships/hyperlink" Target="http://istmat.info/node/37772" TargetMode="External"/><Relationship Id="rId142" Type="http://schemas.openxmlformats.org/officeDocument/2006/relationships/hyperlink" Target="http://flyingmachines.ru/Site2/Crafts/Craft25445.htm" TargetMode="External"/><Relationship Id="rId184" Type="http://schemas.openxmlformats.org/officeDocument/2006/relationships/hyperlink" Target="http://istmat.info/node/44732" TargetMode="External"/><Relationship Id="rId391" Type="http://schemas.openxmlformats.org/officeDocument/2006/relationships/hyperlink" Target="https://ru.wikipedia.org/wiki/%D0%9C%D0%B5%D0%BD%D1%8C%D1%88%D0%B5%D0%B2%D0%B8%D0%BA%D0%B8" TargetMode="External"/><Relationship Id="rId405" Type="http://schemas.openxmlformats.org/officeDocument/2006/relationships/hyperlink" Target="https://ru.wikipedia.org/wiki/%D0%A2%D0%B0%D0%B1%D0%B5%D0%BB%D1%8C_%D0%BE_%D1%80%D0%B0%D0%BD%D0%B3%D0%B0%D1%85" TargetMode="External"/><Relationship Id="rId447" Type="http://schemas.openxmlformats.org/officeDocument/2006/relationships/hyperlink" Target="http://istmat.info/node/41157" TargetMode="External"/><Relationship Id="rId612" Type="http://schemas.openxmlformats.org/officeDocument/2006/relationships/hyperlink" Target="http://istmat.info/node/38160" TargetMode="External"/><Relationship Id="rId794" Type="http://schemas.openxmlformats.org/officeDocument/2006/relationships/hyperlink" Target="https://ru.wikipedia.org/wiki/9_%D1%8F%D0%BD%D0%B2%D0%B0%D1%80%D1%8F" TargetMode="External"/><Relationship Id="rId251" Type="http://schemas.openxmlformats.org/officeDocument/2006/relationships/hyperlink" Target="http://istmat.info/node/41157" TargetMode="External"/><Relationship Id="rId489" Type="http://schemas.openxmlformats.org/officeDocument/2006/relationships/hyperlink" Target="http://istmat.info/node/44821" TargetMode="External"/><Relationship Id="rId654" Type="http://schemas.openxmlformats.org/officeDocument/2006/relationships/hyperlink" Target="https://ru.wikipedia.org/wiki/%D0%A6%D0%B5%D0%BD%D1%82%D1%80%D0%B0%D0%BB%D1%8C%D0%BD%D1%8B%D0%B5_%D0%B4%D0%B5%D1%80%D0%B6%D0%B0%D0%B2%D1%8B" TargetMode="External"/><Relationship Id="rId696" Type="http://schemas.openxmlformats.org/officeDocument/2006/relationships/hyperlink" Target="http://istmat.info/node/41408" TargetMode="External"/><Relationship Id="rId46" Type="http://schemas.openxmlformats.org/officeDocument/2006/relationships/hyperlink" Target="http://istmat.info/node/37773" TargetMode="External"/><Relationship Id="rId293" Type="http://schemas.openxmlformats.org/officeDocument/2006/relationships/hyperlink" Target="http://istmat.info/node/44739" TargetMode="External"/><Relationship Id="rId307" Type="http://schemas.openxmlformats.org/officeDocument/2006/relationships/hyperlink" Target="http://istmat.info/node/44817" TargetMode="External"/><Relationship Id="rId349" Type="http://schemas.openxmlformats.org/officeDocument/2006/relationships/hyperlink" Target="http://istmat.info/node/38260" TargetMode="External"/><Relationship Id="rId514" Type="http://schemas.openxmlformats.org/officeDocument/2006/relationships/hyperlink" Target="http://istmat.info/node/37897" TargetMode="External"/><Relationship Id="rId556" Type="http://schemas.openxmlformats.org/officeDocument/2006/relationships/hyperlink" Target="http://istmat.info/node/41152" TargetMode="External"/><Relationship Id="rId721" Type="http://schemas.openxmlformats.org/officeDocument/2006/relationships/hyperlink" Target="https://ru.wikipedia.org/wiki/%D0%A7%D0%B5%D1%80%D0%BD%D0%B8%D0%BD,_%D0%9E%D1%82%D1%82%D0%BE%D0%BA%D0%B0%D1%80" TargetMode="External"/><Relationship Id="rId763" Type="http://schemas.openxmlformats.org/officeDocument/2006/relationships/hyperlink" Target="https://ru.wikipedia.org/wiki/%D0%A0%D0%A1%D0%94%D0%A0%D0%9F(%D0%B1)" TargetMode="External"/><Relationship Id="rId88" Type="http://schemas.openxmlformats.org/officeDocument/2006/relationships/hyperlink" Target="http://www.airwar.ru/enc/fww1/brist_f2b.html" TargetMode="External"/><Relationship Id="rId111" Type="http://schemas.openxmlformats.org/officeDocument/2006/relationships/hyperlink" Target="http://istmat.info/node/44721" TargetMode="External"/><Relationship Id="rId153" Type="http://schemas.openxmlformats.org/officeDocument/2006/relationships/hyperlink" Target="http://istmat.info/node/44810" TargetMode="External"/><Relationship Id="rId195" Type="http://schemas.openxmlformats.org/officeDocument/2006/relationships/hyperlink" Target="http://xn--80aafy5bs.xn--p1ai/aviamuseum/aviatory/aviakonstruktory/5-sssr/shavrov-vadim-borisovich/" TargetMode="External"/><Relationship Id="rId209" Type="http://schemas.openxmlformats.org/officeDocument/2006/relationships/hyperlink" Target="https://ru.wikipedia.org/wiki/1917_%D0%B3%D0%BE%D0%B4" TargetMode="External"/><Relationship Id="rId360" Type="http://schemas.openxmlformats.org/officeDocument/2006/relationships/hyperlink" Target="http://istmat.info/node/38260" TargetMode="External"/><Relationship Id="rId416" Type="http://schemas.openxmlformats.org/officeDocument/2006/relationships/hyperlink" Target="https://ru.wikipedia.org/wiki/%D0%92%D1%8B%D1%88%D0%B8%D0%BD%D1%81%D0%BA%D0%B8%D0%B9,_%D0%90%D0%BD%D0%B4%D1%80%D0%B5%D0%B9_%D0%AF%D0%BD%D1%83%D0%B0%D1%80%D1%8C%D0%B5%D0%B2%D0%B8%D1%87" TargetMode="External"/><Relationship Id="rId598" Type="http://schemas.openxmlformats.org/officeDocument/2006/relationships/hyperlink" Target="http://istmat.info/node/38799" TargetMode="External"/><Relationship Id="rId819" Type="http://schemas.openxmlformats.org/officeDocument/2006/relationships/hyperlink" Target="https://ru.wikipedia.org/wiki/%D0%AD%D1%80%D0%B7%D0%B0%D1%86" TargetMode="External"/><Relationship Id="rId220" Type="http://schemas.openxmlformats.org/officeDocument/2006/relationships/hyperlink" Target="http://istmat.info/node/44688" TargetMode="External"/><Relationship Id="rId458" Type="http://schemas.openxmlformats.org/officeDocument/2006/relationships/hyperlink" Target="http://www.airwar.ru/enc/fww1/mb.html" TargetMode="External"/><Relationship Id="rId623" Type="http://schemas.openxmlformats.org/officeDocument/2006/relationships/hyperlink" Target="http://istmat.info/node/38798" TargetMode="External"/><Relationship Id="rId665" Type="http://schemas.openxmlformats.org/officeDocument/2006/relationships/hyperlink" Target="https://ru.wikipedia.org/wiki/%D0%9A%D0%B8%D1%82%D0%B0%D0%B9" TargetMode="External"/><Relationship Id="rId15" Type="http://schemas.openxmlformats.org/officeDocument/2006/relationships/hyperlink" Target="http://istmat.info/node/37772" TargetMode="External"/><Relationship Id="rId57" Type="http://schemas.openxmlformats.org/officeDocument/2006/relationships/hyperlink" Target="http://saoirse-2010.livejournal.com/31008.html" TargetMode="External"/><Relationship Id="rId262" Type="http://schemas.openxmlformats.org/officeDocument/2006/relationships/hyperlink" Target="http://istmat.info/node/37791" TargetMode="External"/><Relationship Id="rId318" Type="http://schemas.openxmlformats.org/officeDocument/2006/relationships/hyperlink" Target="http://istmat.info/node/44740" TargetMode="External"/><Relationship Id="rId525" Type="http://schemas.openxmlformats.org/officeDocument/2006/relationships/hyperlink" Target="http://istmat.info/node/38149" TargetMode="External"/><Relationship Id="rId567" Type="http://schemas.openxmlformats.org/officeDocument/2006/relationships/hyperlink" Target="http://istmat.info/node/38150" TargetMode="External"/><Relationship Id="rId732" Type="http://schemas.openxmlformats.org/officeDocument/2006/relationships/hyperlink" Target="https://ru.wikipedia.org/wiki/%D0%A1%D0%BA%D0%B0%D0%BB%D0%BE%D0%BD,_%D0%92%D0%BB%D0%B0%D0%B4%D0%B8%D0%BC%D0%B8%D1%80_%D0%95%D0%B2%D1%81%D1%82%D0%B0%D1%84%D1%8C%D0%B5%D0%B2%D0%B8%D1%87" TargetMode="External"/><Relationship Id="rId99" Type="http://schemas.openxmlformats.org/officeDocument/2006/relationships/hyperlink" Target="http://istmat.info/node/38164" TargetMode="External"/><Relationship Id="rId122" Type="http://schemas.openxmlformats.org/officeDocument/2006/relationships/hyperlink" Target="http://istmat.info/node/44724" TargetMode="External"/><Relationship Id="rId164" Type="http://schemas.openxmlformats.org/officeDocument/2006/relationships/hyperlink" Target="http://istmat.info/node/44811" TargetMode="External"/><Relationship Id="rId371" Type="http://schemas.openxmlformats.org/officeDocument/2006/relationships/hyperlink" Target="https://ru.wikipedia.org/wiki/%D0%A0%D0%BE%D1%88%D0%B0%D0%BB%D1%8C,_%D0%A1%D0%B5%D0%BC%D1%91%D0%BD_%D0%93%D1%80%D0%B8%D0%B3%D0%BE%D1%80%D1%8C%D0%B5%D0%B2%D0%B8%D1%87" TargetMode="External"/><Relationship Id="rId774" Type="http://schemas.openxmlformats.org/officeDocument/2006/relationships/hyperlink" Target="https://ru.wikipedia.org/wiki/4_%D1%8F%D0%BD%D0%B2%D0%B0%D1%80%D1%8F" TargetMode="External"/><Relationship Id="rId427" Type="http://schemas.openxmlformats.org/officeDocument/2006/relationships/hyperlink" Target="http://istmat.info/node/38261" TargetMode="External"/><Relationship Id="rId469" Type="http://schemas.openxmlformats.org/officeDocument/2006/relationships/hyperlink" Target="http://istmat.info/node/37795" TargetMode="External"/><Relationship Id="rId634" Type="http://schemas.openxmlformats.org/officeDocument/2006/relationships/hyperlink" Target="http://istmat.info/node/38798" TargetMode="External"/><Relationship Id="rId676" Type="http://schemas.openxmlformats.org/officeDocument/2006/relationships/hyperlink" Target="https://ru.wikipedia.org/wiki/4_%D0%B4%D0%B5%D0%BA%D0%B0%D0%B1%D1%80%D1%8F" TargetMode="External"/><Relationship Id="rId26" Type="http://schemas.openxmlformats.org/officeDocument/2006/relationships/hyperlink" Target="http://www.airwar.ru/enc/fww1/beardmore3.html" TargetMode="External"/><Relationship Id="rId231" Type="http://schemas.openxmlformats.org/officeDocument/2006/relationships/hyperlink" Target="https://ru.wikipedia.org/wiki/25_%D0%B8%D1%8E%D0%BD%D1%8F" TargetMode="External"/><Relationship Id="rId273" Type="http://schemas.openxmlformats.org/officeDocument/2006/relationships/hyperlink" Target="https://ru.wikipedia.org/wiki/%D0%A0%D0%A1%D0%94%D0%A0%D0%9F(%D0%B1)" TargetMode="External"/><Relationship Id="rId329" Type="http://schemas.openxmlformats.org/officeDocument/2006/relationships/hyperlink" Target="http://istmat.info/node/41404" TargetMode="External"/><Relationship Id="rId480" Type="http://schemas.openxmlformats.org/officeDocument/2006/relationships/hyperlink" Target="http://istmat.info/node/37777" TargetMode="External"/><Relationship Id="rId536" Type="http://schemas.openxmlformats.org/officeDocument/2006/relationships/hyperlink" Target="http://istmat.info/node/41150" TargetMode="External"/><Relationship Id="rId701" Type="http://schemas.openxmlformats.org/officeDocument/2006/relationships/hyperlink" Target="https://ru.wikipedia.org/wiki/15_%D0%B4%D0%B5%D0%BA%D0%B0%D0%B1%D1%80%D1%8F" TargetMode="External"/><Relationship Id="rId68" Type="http://schemas.openxmlformats.org/officeDocument/2006/relationships/hyperlink" Target="http://istmat.info/node/44680" TargetMode="External"/><Relationship Id="rId133" Type="http://schemas.openxmlformats.org/officeDocument/2006/relationships/hyperlink" Target="http://istmat.info/node/44807" TargetMode="External"/><Relationship Id="rId175" Type="http://schemas.openxmlformats.org/officeDocument/2006/relationships/hyperlink" Target="http://www.airwar.ru/enc/bww1/wb1.html" TargetMode="External"/><Relationship Id="rId340" Type="http://schemas.openxmlformats.org/officeDocument/2006/relationships/hyperlink" Target="http://istmat.info/node/38260" TargetMode="External"/><Relationship Id="rId578" Type="http://schemas.openxmlformats.org/officeDocument/2006/relationships/hyperlink" Target="https://ru-wiki.ru/wiki/%D0%A1%D1%8A%D0%B5%D0%B7%D0%B4" TargetMode="External"/><Relationship Id="rId743" Type="http://schemas.openxmlformats.org/officeDocument/2006/relationships/hyperlink" Target="https://ru.wikipedia.org/wiki/%D0%90%D0%B2%D1%82%D0%BE%D0%BD%D0%BE%D0%BC%D0%B8%D1%8F" TargetMode="External"/><Relationship Id="rId785" Type="http://schemas.openxmlformats.org/officeDocument/2006/relationships/hyperlink" Target="https://ru.wikipedia.org/wiki/%D0%91%D1%83%D0%BA%D0%BE%D0%B2%D0%B8%D0%BD%D0%B0" TargetMode="External"/><Relationship Id="rId200" Type="http://schemas.openxmlformats.org/officeDocument/2006/relationships/hyperlink" Target="http://istmat.info/node/44686" TargetMode="External"/><Relationship Id="rId382" Type="http://schemas.openxmlformats.org/officeDocument/2006/relationships/hyperlink" Target="https://ru.wikipedia.org/wiki/%D0%9B%D0%B8%D1%82%D0%B5%D0%B9%D0%BD%D1%8B%D0%B9_%D0%BF%D1%80%D0%BE%D1%81%D0%BF%D0%B5%D0%BA%D1%82" TargetMode="External"/><Relationship Id="rId438" Type="http://schemas.openxmlformats.org/officeDocument/2006/relationships/hyperlink" Target="http://istmat.info/node/41405" TargetMode="External"/><Relationship Id="rId603" Type="http://schemas.openxmlformats.org/officeDocument/2006/relationships/hyperlink" Target="http://istmat.info/node/38799" TargetMode="External"/><Relationship Id="rId645" Type="http://schemas.openxmlformats.org/officeDocument/2006/relationships/hyperlink" Target="https://ru.wikipedia.org/wiki/5_%D1%81%D0%B5%D0%BD%D1%82%D1%8F%D0%B1%D1%80%D1%8F" TargetMode="External"/><Relationship Id="rId687" Type="http://schemas.openxmlformats.org/officeDocument/2006/relationships/hyperlink" Target="http://istmat.info/node/41408" TargetMode="External"/><Relationship Id="rId810" Type="http://schemas.openxmlformats.org/officeDocument/2006/relationships/hyperlink" Target="https://ru.wikipedia.org/wiki/%D0%A0%D0%A1%D0%A4%D0%A1%D0%A0" TargetMode="External"/><Relationship Id="rId242" Type="http://schemas.openxmlformats.org/officeDocument/2006/relationships/hyperlink" Target="http://istmat.info/node/41157" TargetMode="External"/><Relationship Id="rId284" Type="http://schemas.openxmlformats.org/officeDocument/2006/relationships/hyperlink" Target="http://istmat.info/node/41158" TargetMode="External"/><Relationship Id="rId491" Type="http://schemas.openxmlformats.org/officeDocument/2006/relationships/hyperlink" Target="http://istmat.info/node/44694" TargetMode="External"/><Relationship Id="rId505" Type="http://schemas.openxmlformats.org/officeDocument/2006/relationships/hyperlink" Target="http://istmat.info/node/37779" TargetMode="External"/><Relationship Id="rId712" Type="http://schemas.openxmlformats.org/officeDocument/2006/relationships/hyperlink" Target="https://ru.wikipedia.org/wiki/1_%D0%BC%D0%B0%D1%80%D1%82%D0%B0" TargetMode="External"/><Relationship Id="rId37" Type="http://schemas.openxmlformats.org/officeDocument/2006/relationships/hyperlink" Target="http://istmat.info/node/37773" TargetMode="External"/><Relationship Id="rId79" Type="http://schemas.openxmlformats.org/officeDocument/2006/relationships/hyperlink" Target="http://istmat.info/node/44682" TargetMode="External"/><Relationship Id="rId102" Type="http://schemas.openxmlformats.org/officeDocument/2006/relationships/hyperlink" Target="http://istmat.info/node/38164" TargetMode="External"/><Relationship Id="rId144" Type="http://schemas.openxmlformats.org/officeDocument/2006/relationships/hyperlink" Target="http://www.airwar.ru/enc/fww1/pup.html" TargetMode="External"/><Relationship Id="rId547" Type="http://schemas.openxmlformats.org/officeDocument/2006/relationships/hyperlink" Target="http://istmat.info/node/38794" TargetMode="External"/><Relationship Id="rId589" Type="http://schemas.openxmlformats.org/officeDocument/2006/relationships/hyperlink" Target="http://istmat.info/node/41153" TargetMode="External"/><Relationship Id="rId754" Type="http://schemas.openxmlformats.org/officeDocument/2006/relationships/hyperlink" Target="https://ru.wikipedia.org/wiki/%D0%90%D0%BD%D1%82%D0%B0%D0%BD%D1%82%D0%B0" TargetMode="External"/><Relationship Id="rId796" Type="http://schemas.openxmlformats.org/officeDocument/2006/relationships/hyperlink" Target="https://ru.wikipedia.org/wiki/10_%D1%84%D0%B5%D0%B2%D1%80%D0%B0%D0%BB%D1%8F" TargetMode="External"/><Relationship Id="rId90" Type="http://schemas.openxmlformats.org/officeDocument/2006/relationships/hyperlink" Target="http://istmat.info/node/44804" TargetMode="External"/><Relationship Id="rId186" Type="http://schemas.openxmlformats.org/officeDocument/2006/relationships/hyperlink" Target="http://istmat.info/node/44732" TargetMode="External"/><Relationship Id="rId351" Type="http://schemas.openxmlformats.org/officeDocument/2006/relationships/hyperlink" Target="http://istmat.info/node/38260" TargetMode="External"/><Relationship Id="rId393" Type="http://schemas.openxmlformats.org/officeDocument/2006/relationships/hyperlink" Target="https://ru.wikipedia.org/wiki/%D0%A1%D1%8A%D0%B5%D0%B7%D0%B4%D1%8B_%D0%A1%D0%BE%D0%B2%D0%B5%D1%82%D0%BE%D0%B2" TargetMode="External"/><Relationship Id="rId407" Type="http://schemas.openxmlformats.org/officeDocument/2006/relationships/hyperlink" Target="https://ru.wikipedia.org/wiki/%D0%A2%D1%80%D0%BE%D0%B8%D1%86%D0%BA%D0%B8%D0%B9_%D0%BC%D0%BE%D1%81%D1%82_(%D0%A1%D0%B0%D0%BD%D0%BA%D1%82-%D0%9F%D0%B5%D1%82%D0%B5%D1%80%D0%B1%D1%83%D1%80%D0%B3)" TargetMode="External"/><Relationship Id="rId449" Type="http://schemas.openxmlformats.org/officeDocument/2006/relationships/hyperlink" Target="http://istmat.info/node/41157" TargetMode="External"/><Relationship Id="rId614" Type="http://schemas.openxmlformats.org/officeDocument/2006/relationships/hyperlink" Target="http://istmat.info/node/38161" TargetMode="External"/><Relationship Id="rId656" Type="http://schemas.openxmlformats.org/officeDocument/2006/relationships/hyperlink" Target="https://ru.wikipedia.org/wiki/%D0%93%D0%B5%D1%80%D0%BC%D0%B0%D0%BD%D0%B8%D1%8F" TargetMode="External"/><Relationship Id="rId821" Type="http://schemas.openxmlformats.org/officeDocument/2006/relationships/hyperlink" Target="https://ru.wikipedia.org/wiki/28_%D1%8F%D0%BD%D0%B2%D0%B0%D1%80%D1%8F" TargetMode="External"/><Relationship Id="rId211" Type="http://schemas.openxmlformats.org/officeDocument/2006/relationships/hyperlink" Target="https://ru.wikipedia.org/wiki/1917_%D0%B3%D0%BE%D0%B4" TargetMode="External"/><Relationship Id="rId253" Type="http://schemas.openxmlformats.org/officeDocument/2006/relationships/hyperlink" Target="http://istmat.info/node/41157" TargetMode="External"/><Relationship Id="rId295" Type="http://schemas.openxmlformats.org/officeDocument/2006/relationships/hyperlink" Target="http://istmat.info/node/44739" TargetMode="External"/><Relationship Id="rId309" Type="http://schemas.openxmlformats.org/officeDocument/2006/relationships/hyperlink" Target="http://istmat.info/node/44814" TargetMode="External"/><Relationship Id="rId460" Type="http://schemas.openxmlformats.org/officeDocument/2006/relationships/hyperlink" Target="http://istmat.info/node/44820" TargetMode="External"/><Relationship Id="rId516" Type="http://schemas.openxmlformats.org/officeDocument/2006/relationships/hyperlink" Target="http://istmat.info/node/37897" TargetMode="External"/><Relationship Id="rId698" Type="http://schemas.openxmlformats.org/officeDocument/2006/relationships/hyperlink" Target="http://istmat.info/node/41408" TargetMode="External"/><Relationship Id="rId48" Type="http://schemas.openxmlformats.org/officeDocument/2006/relationships/hyperlink" Target="http://istmat.info/node/37773" TargetMode="External"/><Relationship Id="rId113" Type="http://schemas.openxmlformats.org/officeDocument/2006/relationships/hyperlink" Target="http://istmat.info/node/44721" TargetMode="External"/><Relationship Id="rId320" Type="http://schemas.openxmlformats.org/officeDocument/2006/relationships/hyperlink" Target="http://istmat.info/node/44690" TargetMode="External"/><Relationship Id="rId558" Type="http://schemas.openxmlformats.org/officeDocument/2006/relationships/hyperlink" Target="http://istmat.info/node/41152" TargetMode="External"/><Relationship Id="rId723" Type="http://schemas.openxmlformats.org/officeDocument/2006/relationships/hyperlink" Target="https://ru.wikipedia.org/wiki/%D0%A2%D1%83%D1%80%D1%86%D0%B8%D1%8F" TargetMode="External"/><Relationship Id="rId765" Type="http://schemas.openxmlformats.org/officeDocument/2006/relationships/hyperlink" Target="https://ru.wikipedia.org/wiki/%D0%A2%D1%80%D0%BE%D1%86%D0%BA%D0%B8%D0%B9,_%D0%9B%D0%B5%D0%B2_%D0%94%D0%B0%D0%B2%D0%B8%D0%B4%D0%BE%D0%B2%D0%B8%D1%87" TargetMode="External"/><Relationship Id="rId155" Type="http://schemas.openxmlformats.org/officeDocument/2006/relationships/hyperlink" Target="http://istmat.info/node/44730" TargetMode="External"/><Relationship Id="rId197" Type="http://schemas.openxmlformats.org/officeDocument/2006/relationships/hyperlink" Target="http://istmat.info/node/44686" TargetMode="External"/><Relationship Id="rId362" Type="http://schemas.openxmlformats.org/officeDocument/2006/relationships/hyperlink" Target="https://ru.wikipedia.org/wiki/%D0%9A%D0%B5%D1%80%D0%B5%D0%BD%D1%81%D0%BA%D0%B8%D0%B9,_%D0%90%D0%BB%D0%B5%D0%BA%D1%81%D0%B0%D0%BD%D0%B4%D1%80_%D0%A4%D1%91%D0%B4%D0%BE%D1%80%D0%BE%D0%B2%D0%B8%D1%87" TargetMode="External"/><Relationship Id="rId418" Type="http://schemas.openxmlformats.org/officeDocument/2006/relationships/hyperlink" Target="https://ru.wikipedia.org/wiki/%D0%A2%D0%B5%D1%80%D0%B8%D0%BE%D0%BA%D0%B8" TargetMode="External"/><Relationship Id="rId625" Type="http://schemas.openxmlformats.org/officeDocument/2006/relationships/hyperlink" Target="http://istmat.info/node/38798" TargetMode="External"/><Relationship Id="rId222" Type="http://schemas.openxmlformats.org/officeDocument/2006/relationships/hyperlink" Target="https://ru.wikipedia.org/wiki/1917_%D0%B3%D0%BE%D0%B4" TargetMode="External"/><Relationship Id="rId264" Type="http://schemas.openxmlformats.org/officeDocument/2006/relationships/hyperlink" Target="https://ru.wikipedia.org/wiki/1917_%D0%B3%D0%BE%D0%B4" TargetMode="External"/><Relationship Id="rId471" Type="http://schemas.openxmlformats.org/officeDocument/2006/relationships/hyperlink" Target="http://istmat.info/node/37795" TargetMode="External"/><Relationship Id="rId667" Type="http://schemas.openxmlformats.org/officeDocument/2006/relationships/hyperlink" Target="https://ru.wikipedia.org/wiki/3_%D0%B4%D0%B5%D0%BA%D0%B0%D0%B1%D1%80%D1%8F" TargetMode="External"/><Relationship Id="rId17" Type="http://schemas.openxmlformats.org/officeDocument/2006/relationships/hyperlink" Target="http://istmat.info/node/37772" TargetMode="External"/><Relationship Id="rId59" Type="http://schemas.openxmlformats.org/officeDocument/2006/relationships/hyperlink" Target="http://saoirse-2010.livejournal.com/31008.html" TargetMode="External"/><Relationship Id="rId124" Type="http://schemas.openxmlformats.org/officeDocument/2006/relationships/hyperlink" Target="http://airspot.ru/catalogue/item/grigorovich-m-11" TargetMode="External"/><Relationship Id="rId527" Type="http://schemas.openxmlformats.org/officeDocument/2006/relationships/hyperlink" Target="http://istmat.info/node/44823" TargetMode="External"/><Relationship Id="rId569" Type="http://schemas.openxmlformats.org/officeDocument/2006/relationships/hyperlink" Target="http://istmat.info/node/38158" TargetMode="External"/><Relationship Id="rId734" Type="http://schemas.openxmlformats.org/officeDocument/2006/relationships/hyperlink" Target="https://ru.wikipedia.org/wiki/%D0%90%D0%BB%D1%8C%D1%82%D1%84%D0%B0%D1%82%D0%B5%D1%80,_%D0%92%D0%B0%D1%81%D0%B8%D0%BB%D0%B8%D0%B9_%D0%9C%D0%B8%D1%85%D0%B0%D0%B9%D0%BB%D0%BE%D0%B2%D0%B8%D1%87" TargetMode="External"/><Relationship Id="rId776" Type="http://schemas.openxmlformats.org/officeDocument/2006/relationships/hyperlink" Target="https://ru.wikipedia.org/wiki/%D0%9A%D0%B0%D0%BD%D1%86%D0%BB%D0%B5%D1%80_%D0%93%D0%B5%D1%80%D0%BC%D0%B0%D0%BD%D0%B8%D0%B8" TargetMode="External"/><Relationship Id="rId70" Type="http://schemas.openxmlformats.org/officeDocument/2006/relationships/hyperlink" Target="http://istmat.info/node/44680" TargetMode="External"/><Relationship Id="rId166" Type="http://schemas.openxmlformats.org/officeDocument/2006/relationships/hyperlink" Target="http://istmat.info/node/44811" TargetMode="External"/><Relationship Id="rId331" Type="http://schemas.openxmlformats.org/officeDocument/2006/relationships/hyperlink" Target="http://istmat.info/node/41404" TargetMode="External"/><Relationship Id="rId373" Type="http://schemas.openxmlformats.org/officeDocument/2006/relationships/hyperlink" Target="https://ru.wikipedia.org/wiki/%D0%9A%D0%B5%D1%80%D0%B5%D0%BD%D1%81%D0%BA%D0%B8%D0%B9,_%D0%90%D0%BB%D0%B5%D0%BA%D1%81%D0%B0%D0%BD%D0%B4%D1%80_%D0%A4%D1%91%D0%B4%D0%BE%D1%80%D0%BE%D0%B2%D0%B8%D1%87" TargetMode="External"/><Relationship Id="rId429" Type="http://schemas.openxmlformats.org/officeDocument/2006/relationships/hyperlink" Target="http://istmat.info/node/37794" TargetMode="External"/><Relationship Id="rId580" Type="http://schemas.openxmlformats.org/officeDocument/2006/relationships/hyperlink" Target="https://ru-wiki.ru/wiki/%D0%9F%D0%A3%D0%90%D0%92" TargetMode="External"/><Relationship Id="rId636" Type="http://schemas.openxmlformats.org/officeDocument/2006/relationships/hyperlink" Target="https://ru.wikipedia.org/wiki/21_%D0%BD%D0%BE%D1%8F%D0%B1%D1%80%D1%8F" TargetMode="External"/><Relationship Id="rId801" Type="http://schemas.openxmlformats.org/officeDocument/2006/relationships/hyperlink" Target="https://ru.wikipedia.org/wiki/1_%D0%BC%D0%B0%D1%80%D1%82%D0%B0" TargetMode="External"/><Relationship Id="rId1" Type="http://schemas.openxmlformats.org/officeDocument/2006/relationships/customXml" Target="../customXml/item1.xml"/><Relationship Id="rId233" Type="http://schemas.openxmlformats.org/officeDocument/2006/relationships/hyperlink" Target="http://istmat.info/node/44736" TargetMode="External"/><Relationship Id="rId440" Type="http://schemas.openxmlformats.org/officeDocument/2006/relationships/hyperlink" Target="http://istmat.info/node/41405" TargetMode="External"/><Relationship Id="rId678" Type="http://schemas.openxmlformats.org/officeDocument/2006/relationships/hyperlink" Target="https://ru.wikipedia.org/wiki/%D0%A0%D0%B8%D0%B3%D0%B0" TargetMode="External"/><Relationship Id="rId28" Type="http://schemas.openxmlformats.org/officeDocument/2006/relationships/hyperlink" Target="http://istmat.info/node/44622" TargetMode="External"/><Relationship Id="rId275" Type="http://schemas.openxmlformats.org/officeDocument/2006/relationships/hyperlink" Target="http://istmat.info/node/44738" TargetMode="External"/><Relationship Id="rId300" Type="http://schemas.openxmlformats.org/officeDocument/2006/relationships/hyperlink" Target="http://istmat.info/node/44814" TargetMode="External"/><Relationship Id="rId482" Type="http://schemas.openxmlformats.org/officeDocument/2006/relationships/hyperlink" Target="http://istmat.info/node/44693" TargetMode="External"/><Relationship Id="rId538" Type="http://schemas.openxmlformats.org/officeDocument/2006/relationships/hyperlink" Target="http://istmat.info/node/44696" TargetMode="External"/><Relationship Id="rId703" Type="http://schemas.openxmlformats.org/officeDocument/2006/relationships/hyperlink" Target="https://ru.wikipedia.org/wiki/17_%D0%B4%D0%B5%D0%BA%D0%B0%D0%B1%D1%80%D1%8F" TargetMode="External"/><Relationship Id="rId745" Type="http://schemas.openxmlformats.org/officeDocument/2006/relationships/hyperlink" Target="https://ru.wikipedia.org/wiki/25_%D0%B4%D0%B5%D0%BA%D0%B0%D0%B1%D1%80%D1%8F" TargetMode="External"/><Relationship Id="rId81" Type="http://schemas.openxmlformats.org/officeDocument/2006/relationships/hyperlink" Target="http://www.airwar.ru/enc/law1/torpedo.html" TargetMode="External"/><Relationship Id="rId135" Type="http://schemas.openxmlformats.org/officeDocument/2006/relationships/hyperlink" Target="http://istmat.info/node/44808" TargetMode="External"/><Relationship Id="rId177" Type="http://schemas.openxmlformats.org/officeDocument/2006/relationships/hyperlink" Target="http://istmat.info/node/44732" TargetMode="External"/><Relationship Id="rId342" Type="http://schemas.openxmlformats.org/officeDocument/2006/relationships/hyperlink" Target="http://istmat.info/node/38260" TargetMode="External"/><Relationship Id="rId384" Type="http://schemas.openxmlformats.org/officeDocument/2006/relationships/hyperlink" Target="https://ru.wikipedia.org/wiki/%D0%9F%D1%83%D0%BB%D0%B5%D0%BC%D1%91%D1%82" TargetMode="External"/><Relationship Id="rId591" Type="http://schemas.openxmlformats.org/officeDocument/2006/relationships/hyperlink" Target="http://istmat.info/node/41153" TargetMode="External"/><Relationship Id="rId605" Type="http://schemas.openxmlformats.org/officeDocument/2006/relationships/hyperlink" Target="http://istmat.info/node/44694" TargetMode="External"/><Relationship Id="rId787" Type="http://schemas.openxmlformats.org/officeDocument/2006/relationships/hyperlink" Target="https://ru.wikipedia.org/wiki/9_%D1%8F%D0%BD%D0%B2%D0%B0%D1%80%D1%8F" TargetMode="External"/><Relationship Id="rId812" Type="http://schemas.openxmlformats.org/officeDocument/2006/relationships/hyperlink" Target="https://ru.wikipedia.org/wiki/%D0%91%D1%80%D0%B5%D1%81%D1%82%D1%81%D0%BA%D0%B8%D0%B9_%D0%BC%D0%B8%D1%80" TargetMode="External"/><Relationship Id="rId202" Type="http://schemas.openxmlformats.org/officeDocument/2006/relationships/hyperlink" Target="http://istmat.info/node/37789" TargetMode="External"/><Relationship Id="rId244" Type="http://schemas.openxmlformats.org/officeDocument/2006/relationships/hyperlink" Target="http://istmat.info/node/41157" TargetMode="External"/><Relationship Id="rId647" Type="http://schemas.openxmlformats.org/officeDocument/2006/relationships/hyperlink" Target="https://ru.wikipedia.org/wiki/%D0%A1%D0%B5%D0%BF%D0%B0%D1%80%D0%B0%D1%82%D0%BD%D1%8B%D0%B9_%D0%BC%D0%B8%D1%80" TargetMode="External"/><Relationship Id="rId689" Type="http://schemas.openxmlformats.org/officeDocument/2006/relationships/hyperlink" Target="http://istmat.info/node/41408" TargetMode="External"/><Relationship Id="rId39" Type="http://schemas.openxmlformats.org/officeDocument/2006/relationships/hyperlink" Target="http://istmat.info/node/37773" TargetMode="External"/><Relationship Id="rId286" Type="http://schemas.openxmlformats.org/officeDocument/2006/relationships/hyperlink" Target="http://istmat.info/node/41158" TargetMode="External"/><Relationship Id="rId451" Type="http://schemas.openxmlformats.org/officeDocument/2006/relationships/hyperlink" Target="http://istmat.info/node/41157" TargetMode="External"/><Relationship Id="rId493" Type="http://schemas.openxmlformats.org/officeDocument/2006/relationships/hyperlink" Target="http://flyingmachines.ru/Site2/Crafts/Craft28218.htm" TargetMode="External"/><Relationship Id="rId507" Type="http://schemas.openxmlformats.org/officeDocument/2006/relationships/hyperlink" Target="http://istmat.info/node/37779" TargetMode="External"/><Relationship Id="rId549" Type="http://schemas.openxmlformats.org/officeDocument/2006/relationships/hyperlink" Target="http://istmat.info/node/38794" TargetMode="External"/><Relationship Id="rId714" Type="http://schemas.openxmlformats.org/officeDocument/2006/relationships/hyperlink" Target="https://ru.wikipedia.org/wiki/1918_%D0%B3%D0%BE%D0%B4" TargetMode="External"/><Relationship Id="rId756" Type="http://schemas.openxmlformats.org/officeDocument/2006/relationships/hyperlink" Target="https://ru.wikipedia.org/wiki/%D0%9F%D0%B5%D1%80%D1%81%D0%B8%D1%8F" TargetMode="External"/><Relationship Id="rId50" Type="http://schemas.openxmlformats.org/officeDocument/2006/relationships/hyperlink" Target="https://ru.wikipedia.org/wiki/22_%D1%8F%D0%BD%D0%B2%D0%B0%D1%80%D1%8F" TargetMode="External"/><Relationship Id="rId104" Type="http://schemas.openxmlformats.org/officeDocument/2006/relationships/hyperlink" Target="http://istmat.info/node/38164" TargetMode="External"/><Relationship Id="rId146" Type="http://schemas.openxmlformats.org/officeDocument/2006/relationships/hyperlink" Target="http://www.tainoe.ru/stati/stani-fatimskoe-chudo.htm" TargetMode="External"/><Relationship Id="rId188" Type="http://schemas.openxmlformats.org/officeDocument/2006/relationships/hyperlink" Target="http://istmat.info/node/44733" TargetMode="External"/><Relationship Id="rId311" Type="http://schemas.openxmlformats.org/officeDocument/2006/relationships/hyperlink" Target="http://istmat.info/node/44814" TargetMode="External"/><Relationship Id="rId353" Type="http://schemas.openxmlformats.org/officeDocument/2006/relationships/hyperlink" Target="http://istmat.info/node/38260" TargetMode="External"/><Relationship Id="rId395" Type="http://schemas.openxmlformats.org/officeDocument/2006/relationships/hyperlink" Target="https://ru.wikipedia.org/wiki/%D0%A7%D1%85%D0%B5%D0%B8%D0%B4%D0%B7%D0%B5,_%D0%9D%D0%B8%D0%BA%D0%BE%D0%BB%D0%B0%D0%B9_%D0%A1%D0%B5%D0%BC%D1%91%D0%BD%D0%BE%D0%B2%D0%B8%D1%87" TargetMode="External"/><Relationship Id="rId409" Type="http://schemas.openxmlformats.org/officeDocument/2006/relationships/hyperlink" Target="https://ru.wikipedia.org/wiki/%D0%92%D0%A6%D0%98%D0%9A" TargetMode="External"/><Relationship Id="rId560" Type="http://schemas.openxmlformats.org/officeDocument/2006/relationships/hyperlink" Target="http://istmat.info/node/41152" TargetMode="External"/><Relationship Id="rId798" Type="http://schemas.openxmlformats.org/officeDocument/2006/relationships/hyperlink" Target="https://ru.wikipedia.org/wiki/22_%D0%B4%D0%B5%D0%BA%D0%B0%D0%B1%D1%80%D1%8F" TargetMode="External"/><Relationship Id="rId92" Type="http://schemas.openxmlformats.org/officeDocument/2006/relationships/hyperlink" Target="http://istmat.info/node/44804" TargetMode="External"/><Relationship Id="rId213" Type="http://schemas.openxmlformats.org/officeDocument/2006/relationships/hyperlink" Target="http://istmat.info/node/44735" TargetMode="External"/><Relationship Id="rId420" Type="http://schemas.openxmlformats.org/officeDocument/2006/relationships/hyperlink" Target="https://ru.wikipedia.org/wiki/1917_%D0%B3%D0%BE%D0%B4" TargetMode="External"/><Relationship Id="rId616" Type="http://schemas.openxmlformats.org/officeDocument/2006/relationships/hyperlink" Target="http://istmat.info/node/38161" TargetMode="External"/><Relationship Id="rId658" Type="http://schemas.openxmlformats.org/officeDocument/2006/relationships/hyperlink" Target="https://ru.wikipedia.org/wiki/%D0%92%D0%B5%D0%BB%D0%B8%D0%BA%D0%BE%D0%B1%D1%80%D0%B8%D1%82%D0%B0%D0%BD%D0%B8%D1%8F" TargetMode="External"/><Relationship Id="rId823" Type="http://schemas.openxmlformats.org/officeDocument/2006/relationships/theme" Target="theme/theme1.xml"/><Relationship Id="rId255" Type="http://schemas.openxmlformats.org/officeDocument/2006/relationships/hyperlink" Target="https://ru.wikipedia.org/wiki/1_%D0%B8%D1%8E%D0%BB%D1%8F" TargetMode="External"/><Relationship Id="rId297" Type="http://schemas.openxmlformats.org/officeDocument/2006/relationships/hyperlink" Target="http://istmat.info/node/44739" TargetMode="External"/><Relationship Id="rId462" Type="http://schemas.openxmlformats.org/officeDocument/2006/relationships/hyperlink" Target="http://istmat.info/node/41403" TargetMode="External"/><Relationship Id="rId518" Type="http://schemas.openxmlformats.org/officeDocument/2006/relationships/hyperlink" Target="http://istmat.info/node/37897" TargetMode="External"/><Relationship Id="rId725" Type="http://schemas.openxmlformats.org/officeDocument/2006/relationships/hyperlink" Target="https://ru.wikipedia.org/wiki/%D0%9B%D0%B5%D0%BE%D0%BF%D0%BE%D0%BB%D1%8C%D0%B4_%D0%91%D0%B0%D0%B2%D0%B0%D1%80%D1%81%D0%BA%D0%B8%D0%B9_(%D0%B3%D0%B5%D0%BD%D0%B5%D1%80%D0%B0%D0%BB-%D1%84%D0%B5%D0%BB%D1%8C%D0%B4%D0%BC%D0%B0%D1%80%D1%88%D0%B0%D0%BB)" TargetMode="External"/><Relationship Id="rId115" Type="http://schemas.openxmlformats.org/officeDocument/2006/relationships/hyperlink" Target="http://istmat.info/node/44723" TargetMode="External"/><Relationship Id="rId157" Type="http://schemas.openxmlformats.org/officeDocument/2006/relationships/hyperlink" Target="http://istmat.info/node/44730" TargetMode="External"/><Relationship Id="rId322" Type="http://schemas.openxmlformats.org/officeDocument/2006/relationships/hyperlink" Target="http://istmat.info/node/44690" TargetMode="External"/><Relationship Id="rId364" Type="http://schemas.openxmlformats.org/officeDocument/2006/relationships/hyperlink" Target="https://ru.wikipedia.org/wiki/%D0%A6%D0%B5%D1%80%D0%B5%D1%82%D0%B5%D0%BB%D0%B8,_%D0%98%D1%80%D0%B0%D0%BA%D0%BB%D0%B8%D0%B9_%D0%93%D0%B5%D0%BE%D1%80%D0%B3%D0%B8%D0%B5%D0%B2%D0%B8%D1%87" TargetMode="External"/><Relationship Id="rId767" Type="http://schemas.openxmlformats.org/officeDocument/2006/relationships/hyperlink" Target="https://ru.wikipedia.org/wiki/%D0%9D%D0%B0%D1%80%D0%BE%D0%B4%D0%BD%D1%8B%D0%B9_%D0%BA%D0%BE%D0%BC%D0%B8%D1%81%D1%81%D0%B0%D1%80%D0%B8%D0%B0%D1%82_%D0%BF%D0%BE_%D0%B8%D0%BD%D0%BE%D1%81%D1%82%D1%80%D0%B0%D0%BD%D0%BD%D1%8B%D0%BC_%D0%B4%D0%B5%D0%BB%D0%B0%D0%BC_%D0%A0%D0%A1%D0%A4%D0%A1%D0%A0" TargetMode="External"/><Relationship Id="rId61" Type="http://schemas.openxmlformats.org/officeDocument/2006/relationships/hyperlink" Target="http://istmat.info/node/44717" TargetMode="External"/><Relationship Id="rId199" Type="http://schemas.openxmlformats.org/officeDocument/2006/relationships/hyperlink" Target="http://istmat.info/node/44686" TargetMode="External"/><Relationship Id="rId571" Type="http://schemas.openxmlformats.org/officeDocument/2006/relationships/hyperlink" Target="http://istmat.info/node/38158" TargetMode="External"/><Relationship Id="rId627" Type="http://schemas.openxmlformats.org/officeDocument/2006/relationships/hyperlink" Target="http://istmat.info/node/38798" TargetMode="External"/><Relationship Id="rId669" Type="http://schemas.openxmlformats.org/officeDocument/2006/relationships/hyperlink" Target="https://ru.wikipedia.org/wiki/%D0%9C%D0%BE%D0%B3%D0%B8%D0%BB%D1%91%D0%B2" TargetMode="External"/><Relationship Id="rId19" Type="http://schemas.openxmlformats.org/officeDocument/2006/relationships/hyperlink" Target="http://www.airwar.ru/enc/bww1/juj1.html" TargetMode="External"/><Relationship Id="rId224" Type="http://schemas.openxmlformats.org/officeDocument/2006/relationships/hyperlink" Target="https://ru.wikipedia.org/wiki/1917_%D0%B3%D0%BE%D0%B4" TargetMode="External"/><Relationship Id="rId266" Type="http://schemas.openxmlformats.org/officeDocument/2006/relationships/hyperlink" Target="https://ru.wikipedia.org/wiki/%D0%A4%D0%B5%D0%B2%D1%80%D0%B0%D0%BB%D1%8C%D1%81%D0%BA%D0%B0%D1%8F_%D1%80%D0%B5%D0%B2%D0%BE%D0%BB%D1%8E%D1%86%D0%B8%D1%8F" TargetMode="External"/><Relationship Id="rId431" Type="http://schemas.openxmlformats.org/officeDocument/2006/relationships/hyperlink" Target="http://istmat.info/node/37794" TargetMode="External"/><Relationship Id="rId473" Type="http://schemas.openxmlformats.org/officeDocument/2006/relationships/hyperlink" Target="http://istmat.info/node/37795" TargetMode="External"/><Relationship Id="rId529" Type="http://schemas.openxmlformats.org/officeDocument/2006/relationships/hyperlink" Target="http://istmat.info/node/38156" TargetMode="External"/><Relationship Id="rId680" Type="http://schemas.openxmlformats.org/officeDocument/2006/relationships/hyperlink" Target="https://ru.wikipedia.org/wiki/%D0%97%D0%B0%D0%BF%D0%B0%D0%B4%D0%BD%D1%8B%D0%B9_%D1%84%D1%80%D0%BE%D0%BD%D1%82_%D0%9F%D0%B5%D1%80%D0%B2%D0%BE%D0%B9_%D0%BC%D0%B8%D1%80%D0%BE%D0%B2%D0%BE%D0%B9_%D0%B2%D0%BE%D0%B9%D0%BD%D1%8B" TargetMode="External"/><Relationship Id="rId736" Type="http://schemas.openxmlformats.org/officeDocument/2006/relationships/hyperlink" Target="https://ru.wikipedia.org/wiki/%D0%A1%D0%B0%D0%BC%D0%BE%D0%B9%D0%BB%D0%BE,_%D0%90%D0%BB%D0%B5%D0%BA%D1%81%D0%B0%D0%BD%D0%B4%D1%80_%D0%90%D0%BB%D0%B5%D0%BA%D1%81%D0%B0%D0%BD%D0%B4%D1%80%D0%BE%D0%B2%D0%B8%D1%87" TargetMode="External"/><Relationship Id="rId30" Type="http://schemas.openxmlformats.org/officeDocument/2006/relationships/hyperlink" Target="http://istmat.info/node/44802" TargetMode="External"/><Relationship Id="rId126" Type="http://schemas.openxmlformats.org/officeDocument/2006/relationships/hyperlink" Target="http://istmat.info/node/44683" TargetMode="External"/><Relationship Id="rId168" Type="http://schemas.openxmlformats.org/officeDocument/2006/relationships/hyperlink" Target="https://ru.wikipedia.org/wiki/25_%D0%BC%D0%B0%D1%8F" TargetMode="External"/><Relationship Id="rId333" Type="http://schemas.openxmlformats.org/officeDocument/2006/relationships/hyperlink" Target="http://eng.ship.bsu.by/ship/104340" TargetMode="External"/><Relationship Id="rId540" Type="http://schemas.openxmlformats.org/officeDocument/2006/relationships/hyperlink" Target="http://istmat.info/node/44696" TargetMode="External"/><Relationship Id="rId778" Type="http://schemas.openxmlformats.org/officeDocument/2006/relationships/hyperlink" Target="https://ru.wikipedia.org/wiki/%D0%A0%D0%B5%D0%B9%D1%85%D1%81%D1%82%D0%B0%D0%B3_(%D0%93%D0%B5%D1%80%D0%BC%D0%B0%D0%BD%D1%81%D0%BA%D0%B0%D1%8F_%D0%B8%D0%BC%D0%BF%D0%B5%D1%80%D0%B8%D1%8F)" TargetMode="External"/><Relationship Id="rId72" Type="http://schemas.openxmlformats.org/officeDocument/2006/relationships/hyperlink" Target="http://istmat.info/node/44681" TargetMode="External"/><Relationship Id="rId375" Type="http://schemas.openxmlformats.org/officeDocument/2006/relationships/hyperlink" Target="https://ru.wikipedia.org/wiki/%D0%A2%D0%B0%D0%B2%D1%80%D0%B8%D1%87%D0%B5%D1%81%D0%BA%D0%B8%D0%B9_%D0%B4%D0%B2%D0%BE%D1%80%D0%B5%D1%86" TargetMode="External"/><Relationship Id="rId582" Type="http://schemas.openxmlformats.org/officeDocument/2006/relationships/hyperlink" Target="http://istmat.info/node/37782" TargetMode="External"/><Relationship Id="rId638" Type="http://schemas.openxmlformats.org/officeDocument/2006/relationships/hyperlink" Target="https://ru.wikipedia.org/wiki/21_%D0%BD%D0%BE%D1%8F%D0%B1%D1%80%D1%8F" TargetMode="External"/><Relationship Id="rId803" Type="http://schemas.openxmlformats.org/officeDocument/2006/relationships/hyperlink" Target="https://ru.wikipedia.org/wiki/1918_%D0%B3%D0%BE%D0%B4" TargetMode="External"/><Relationship Id="rId3" Type="http://schemas.openxmlformats.org/officeDocument/2006/relationships/styles" Target="styles.xml"/><Relationship Id="rId235" Type="http://schemas.openxmlformats.org/officeDocument/2006/relationships/hyperlink" Target="http://www.airwar.ru/enc/fww1/lohneraa.html" TargetMode="External"/><Relationship Id="rId277" Type="http://schemas.openxmlformats.org/officeDocument/2006/relationships/hyperlink" Target="http://istmat.info/node/44738" TargetMode="External"/><Relationship Id="rId400" Type="http://schemas.openxmlformats.org/officeDocument/2006/relationships/hyperlink" Target="https://ru.wikipedia.org/wiki/%D0%9B%D0%B5%D0%B9%D0%B1-%D0%B3%D0%B2%D0%B0%D1%80%D0%B4%D0%B8%D0%B8_%D0%9A%D0%BE%D0%BD%D0%BD%D0%B0%D1%8F_%D0%B0%D1%80%D1%82%D0%B8%D0%BB%D0%BB%D0%B5%D1%80%D0%B8%D1%8F" TargetMode="External"/><Relationship Id="rId442" Type="http://schemas.openxmlformats.org/officeDocument/2006/relationships/hyperlink" Target="http://istmat.info/node/41405" TargetMode="External"/><Relationship Id="rId484" Type="http://schemas.openxmlformats.org/officeDocument/2006/relationships/hyperlink" Target="http://istmat.info/node/44693" TargetMode="External"/><Relationship Id="rId705" Type="http://schemas.openxmlformats.org/officeDocument/2006/relationships/hyperlink" Target="https://ru.wikipedia.org/wiki/22_%D0%B4%D0%B5%D0%BA%D0%B0%D0%B1%D1%80%D1%8F" TargetMode="External"/><Relationship Id="rId137" Type="http://schemas.openxmlformats.org/officeDocument/2006/relationships/hyperlink" Target="http://istmat.info/node/44809" TargetMode="External"/><Relationship Id="rId302" Type="http://schemas.openxmlformats.org/officeDocument/2006/relationships/hyperlink" Target="http://istmat.info/node/44814" TargetMode="External"/><Relationship Id="rId344" Type="http://schemas.openxmlformats.org/officeDocument/2006/relationships/hyperlink" Target="http://istmat.info/node/38260" TargetMode="External"/><Relationship Id="rId691" Type="http://schemas.openxmlformats.org/officeDocument/2006/relationships/hyperlink" Target="http://istmat.info/node/41408" TargetMode="External"/><Relationship Id="rId747" Type="http://schemas.openxmlformats.org/officeDocument/2006/relationships/hyperlink" Target="https://ru.wikipedia.org/wiki/%D0%90%D0%BD%D0%BD%D0%B5%D0%BA%D1%81%D0%B8%D1%8F" TargetMode="External"/><Relationship Id="rId789" Type="http://schemas.openxmlformats.org/officeDocument/2006/relationships/hyperlink" Target="https://ru.wikipedia.org/wiki/4_%D1%8F%D0%BD%D0%B2%D0%B0%D1%80%D1%8F" TargetMode="External"/><Relationship Id="rId41" Type="http://schemas.openxmlformats.org/officeDocument/2006/relationships/hyperlink" Target="http://istmat.info/node/37773" TargetMode="External"/><Relationship Id="rId83" Type="http://schemas.openxmlformats.org/officeDocument/2006/relationships/hyperlink" Target="http://istmat.info/node/44718" TargetMode="External"/><Relationship Id="rId179" Type="http://schemas.openxmlformats.org/officeDocument/2006/relationships/hyperlink" Target="http://istmat.info/node/44732" TargetMode="External"/><Relationship Id="rId386" Type="http://schemas.openxmlformats.org/officeDocument/2006/relationships/hyperlink" Target="https://ru.wikipedia.org/wiki/%D0%93%D1%80%D0%BE%D0%BC%D0%B0%D0%BD,_%D0%92%D0%BB%D0%B0%D0%B4%D0%B8%D0%BC%D0%B8%D1%80_%D0%93%D1%83%D1%81%D1%82%D0%B0%D0%B2%D0%BE%D0%B2%D0%B8%D1%87" TargetMode="External"/><Relationship Id="rId551" Type="http://schemas.openxmlformats.org/officeDocument/2006/relationships/hyperlink" Target="http://istmat.info/node/38794" TargetMode="External"/><Relationship Id="rId593" Type="http://schemas.openxmlformats.org/officeDocument/2006/relationships/hyperlink" Target="http://istmat.info/node/41153" TargetMode="External"/><Relationship Id="rId607" Type="http://schemas.openxmlformats.org/officeDocument/2006/relationships/hyperlink" Target="http://istmat.info/node/38160" TargetMode="External"/><Relationship Id="rId649" Type="http://schemas.openxmlformats.org/officeDocument/2006/relationships/hyperlink" Target="https://ru.wikipedia.org/wiki/%D0%9D%D0%BE%D1%80%D0%B2%D0%B5%D0%B3%D0%B8%D1%8F" TargetMode="External"/><Relationship Id="rId814" Type="http://schemas.openxmlformats.org/officeDocument/2006/relationships/hyperlink" Target="https://ru.wikipedia.org/wiki/21_%D1%8F%D0%BD%D0%B2%D0%B0%D1%80%D1%8F" TargetMode="External"/><Relationship Id="rId190" Type="http://schemas.openxmlformats.org/officeDocument/2006/relationships/hyperlink" Target="http://istmat.info/node/44685" TargetMode="External"/><Relationship Id="rId204" Type="http://schemas.openxmlformats.org/officeDocument/2006/relationships/hyperlink" Target="http://istmat.info/node/37789" TargetMode="External"/><Relationship Id="rId246" Type="http://schemas.openxmlformats.org/officeDocument/2006/relationships/hyperlink" Target="http://istmat.info/node/41157" TargetMode="External"/><Relationship Id="rId288" Type="http://schemas.openxmlformats.org/officeDocument/2006/relationships/hyperlink" Target="http://istmat.info/node/41158" TargetMode="External"/><Relationship Id="rId411" Type="http://schemas.openxmlformats.org/officeDocument/2006/relationships/hyperlink" Target="https://ru.wikipedia.org/wiki/%D0%9B%D1%8C%D0%B2%D0%BE%D0%B2,_%D0%93%D0%B5%D0%BE%D1%80%D0%B3%D0%B8%D0%B9_%D0%95%D0%B2%D0%B3%D0%B5%D0%BD%D1%8C%D0%B5%D0%B2%D0%B8%D1%87" TargetMode="External"/><Relationship Id="rId453" Type="http://schemas.openxmlformats.org/officeDocument/2006/relationships/hyperlink" Target="http://istmat.info/node/44744" TargetMode="External"/><Relationship Id="rId509" Type="http://schemas.openxmlformats.org/officeDocument/2006/relationships/hyperlink" Target="http://istmat.info/node/37778" TargetMode="External"/><Relationship Id="rId660" Type="http://schemas.openxmlformats.org/officeDocument/2006/relationships/hyperlink" Target="https://ru.wikipedia.org/wiki/%D0%A1%D0%A8%D0%90" TargetMode="External"/><Relationship Id="rId106" Type="http://schemas.openxmlformats.org/officeDocument/2006/relationships/hyperlink" Target="http://istmat.info/node/44624" TargetMode="External"/><Relationship Id="rId313" Type="http://schemas.openxmlformats.org/officeDocument/2006/relationships/hyperlink" Target="http://istmat.info/node/44814" TargetMode="External"/><Relationship Id="rId495" Type="http://schemas.openxmlformats.org/officeDocument/2006/relationships/hyperlink" Target="http://istmat.info/node/38790" TargetMode="External"/><Relationship Id="rId716" Type="http://schemas.openxmlformats.org/officeDocument/2006/relationships/hyperlink" Target="https://ru.wikipedia.org/wiki/1917_%D0%B3%D0%BE%D0%B4" TargetMode="External"/><Relationship Id="rId758" Type="http://schemas.openxmlformats.org/officeDocument/2006/relationships/hyperlink" Target="https://ru.wikipedia.org/wiki/%D0%A3%D0%BA%D1%80%D0%B0%D0%B8%D0%BD%D1%81%D0%BA%D0%B0%D1%8F_%D1%86%D0%B5%D0%BD%D1%82%D1%80%D0%B0%D0%BB%D1%8C%D0%BD%D0%B0%D1%8F_%D1%80%D0%B0%D0%B4%D0%B0" TargetMode="External"/><Relationship Id="rId10" Type="http://schemas.openxmlformats.org/officeDocument/2006/relationships/hyperlink" Target="http://istmat.info/node/37772" TargetMode="External"/><Relationship Id="rId52" Type="http://schemas.openxmlformats.org/officeDocument/2006/relationships/hyperlink" Target="http://saoirse-2010.livejournal.com/31008.html" TargetMode="External"/><Relationship Id="rId94" Type="http://schemas.openxmlformats.org/officeDocument/2006/relationships/hyperlink" Target="http://istmat.info/node/44720" TargetMode="External"/><Relationship Id="rId148" Type="http://schemas.openxmlformats.org/officeDocument/2006/relationships/hyperlink" Target="http://istmat.info/node/44810" TargetMode="External"/><Relationship Id="rId355" Type="http://schemas.openxmlformats.org/officeDocument/2006/relationships/hyperlink" Target="http://istmat.info/node/38260" TargetMode="External"/><Relationship Id="rId397" Type="http://schemas.openxmlformats.org/officeDocument/2006/relationships/hyperlink" Target="https://ru.wikipedia.org/wiki/%D0%A7%D0%B5%D1%80%D0%BD%D0%BE%D0%B2,_%D0%92%D0%B8%D0%BA%D1%82%D0%BE%D1%80_%D0%9C%D0%B8%D1%85%D0%B0%D0%B9%D0%BB%D0%BE%D0%B2%D0%B8%D1%87" TargetMode="External"/><Relationship Id="rId520" Type="http://schemas.openxmlformats.org/officeDocument/2006/relationships/hyperlink" Target="http://istmat.info/node/37897" TargetMode="External"/><Relationship Id="rId562" Type="http://schemas.openxmlformats.org/officeDocument/2006/relationships/hyperlink" Target="http://istmat.info/node/41152" TargetMode="External"/><Relationship Id="rId618" Type="http://schemas.openxmlformats.org/officeDocument/2006/relationships/hyperlink" Target="http://istmat.info/node/38161" TargetMode="External"/><Relationship Id="rId215" Type="http://schemas.openxmlformats.org/officeDocument/2006/relationships/hyperlink" Target="http://istmat.info/node/44735" TargetMode="External"/><Relationship Id="rId257" Type="http://schemas.openxmlformats.org/officeDocument/2006/relationships/hyperlink" Target="https://ru.wikipedia.org/wiki/%D0%9C%D0%B0%D1%80%D1%81%D0%BE%D0%B2%D0%BE_%D0%BF%D0%BE%D0%BB%D0%B5_(%D0%A1%D0%B0%D0%BD%D0%BA%D1%82-%D0%9F%D0%B5%D1%82%D0%B5%D1%80%D0%B1%D1%83%D1%80%D0%B3)" TargetMode="External"/><Relationship Id="rId422" Type="http://schemas.openxmlformats.org/officeDocument/2006/relationships/hyperlink" Target="https://ru.wikipedia.org/wiki/%D0%98%D1%8E%D0%BB%D1%8C%D1%81%D0%BA%D0%B8%D0%B5_%D0%B4%D0%BD%D0%B8" TargetMode="External"/><Relationship Id="rId464" Type="http://schemas.openxmlformats.org/officeDocument/2006/relationships/hyperlink" Target="http://istmat.info/node/37795" TargetMode="External"/><Relationship Id="rId299" Type="http://schemas.openxmlformats.org/officeDocument/2006/relationships/hyperlink" Target="http://istmat.info/node/44814" TargetMode="External"/><Relationship Id="rId727" Type="http://schemas.openxmlformats.org/officeDocument/2006/relationships/hyperlink" Target="https://ru.wikipedia.org/wiki/%D0%98%D0%BE%D1%84%D1%84%D0%B5,_%D0%90%D0%B4%D0%BE%D0%BB%D1%8C%D1%84_%D0%90%D0%B1%D1%80%D0%B0%D0%BC%D0%BE%D0%B2%D0%B8%D1%87" TargetMode="External"/><Relationship Id="rId63" Type="http://schemas.openxmlformats.org/officeDocument/2006/relationships/hyperlink" Target="http://airspot.ru/catalogue/item/porohovschikov-p-iv" TargetMode="External"/><Relationship Id="rId159" Type="http://schemas.openxmlformats.org/officeDocument/2006/relationships/hyperlink" Target="http://istmat.info/node/44730" TargetMode="External"/><Relationship Id="rId366" Type="http://schemas.openxmlformats.org/officeDocument/2006/relationships/hyperlink" Target="https://ru.wikipedia.org/wiki/%D0%9C%D0%B0%D0%BD%D1%83%D0%B9%D0%BB%D0%BE%D0%B2,_%D0%90%D0%BB%D0%B5%D0%BA%D1%81%D0%B0%D0%BD%D0%B4%D1%80_%D0%90%D0%BF%D0%BE%D0%BB%D0%BB%D0%BE%D0%BD%D0%BE%D0%B2%D0%B8%D1%87" TargetMode="External"/><Relationship Id="rId573" Type="http://schemas.openxmlformats.org/officeDocument/2006/relationships/hyperlink" Target="https://ru-wiki.ru/wiki/%D0%A0%D0%BE%D1%81%D1%81%D0%B8%D0%B9%D1%81%D0%BA%D0%B0%D1%8F_%D1%80%D0%B5%D1%81%D0%BF%D1%83%D0%B1%D0%BB%D0%B8%D0%BA%D0%B0" TargetMode="External"/><Relationship Id="rId780" Type="http://schemas.openxmlformats.org/officeDocument/2006/relationships/hyperlink" Target="https://ru.wikipedia.org/wiki/%D0%A6%D0%B5%D0%BD%D1%82%D1%80%D0%B0%D0%BB%D1%8C%D0%BD%D0%B0%D1%8F_%D1%80%D0%B0%D0%B4%D0%B0_%D0%A3%D0%9D%D0%A0" TargetMode="External"/><Relationship Id="rId226" Type="http://schemas.openxmlformats.org/officeDocument/2006/relationships/hyperlink" Target="https://ru.wikipedia.org/wiki/1917_%D0%B3%D0%BE%D0%B4" TargetMode="External"/><Relationship Id="rId433" Type="http://schemas.openxmlformats.org/officeDocument/2006/relationships/hyperlink" Target="http://istmat.info/node/37794" TargetMode="External"/><Relationship Id="rId640" Type="http://schemas.openxmlformats.org/officeDocument/2006/relationships/hyperlink" Target="https://ru.wikipedia.org/wiki/%D0%9A%D1%80%D1%8B%D0%BB%D0%B5%D0%BD%D0%BA%D0%BE,_%D0%9D%D0%B8%D0%BA%D0%BE%D0%BB%D0%B0%D0%B9_%D0%92%D0%B0%D1%81%D0%B8%D0%BB%D1%8C%D0%B5%D0%B2%D0%B8%D1%87" TargetMode="External"/><Relationship Id="rId738" Type="http://schemas.openxmlformats.org/officeDocument/2006/relationships/hyperlink" Target="https://ru.wikipedia.org/wiki/%D0%9A%D0%B0%D1%80%D0%B0%D1%85%D0%B0%D0%BD,_%D0%9B%D0%B5%D0%B2_%D0%9C%D0%B8%D1%85%D0%B0%D0%B9%D0%BB%D0%BE%D0%B2%D0%B8%D1%87" TargetMode="External"/><Relationship Id="rId74" Type="http://schemas.openxmlformats.org/officeDocument/2006/relationships/hyperlink" Target="http://istmat.info/node/44681" TargetMode="External"/><Relationship Id="rId377" Type="http://schemas.openxmlformats.org/officeDocument/2006/relationships/hyperlink" Target="https://ru.wikipedia.org/wiki/%D0%90%D0%BD%D0%B3%D0%BB%D0%B8%D0%B9%D1%81%D0%BA%D0%B0%D1%8F_%D0%BD%D0%B0%D0%B1%D0%B5%D1%80%D0%B5%D0%B6%D0%BD%D0%B0%D1%8F" TargetMode="External"/><Relationship Id="rId500" Type="http://schemas.openxmlformats.org/officeDocument/2006/relationships/hyperlink" Target="http://istmat.info/node/37778" TargetMode="External"/><Relationship Id="rId584" Type="http://schemas.openxmlformats.org/officeDocument/2006/relationships/hyperlink" Target="http://istmat.info/node/37782" TargetMode="External"/><Relationship Id="rId805" Type="http://schemas.openxmlformats.org/officeDocument/2006/relationships/hyperlink" Target="https://ru.wikipedia.org/wiki/1918_%D0%B3%D0%BE%D0%B4" TargetMode="External"/><Relationship Id="rId5" Type="http://schemas.openxmlformats.org/officeDocument/2006/relationships/webSettings" Target="webSettings.xml"/><Relationship Id="rId237" Type="http://schemas.openxmlformats.org/officeDocument/2006/relationships/hyperlink" Target="http://istmat.info/node/38258" TargetMode="External"/><Relationship Id="rId791" Type="http://schemas.openxmlformats.org/officeDocument/2006/relationships/hyperlink" Target="https://ru.wikipedia.org/wiki/9_%D1%8F%D0%BD%D0%B2%D0%B0%D1%80%D1%8F" TargetMode="External"/><Relationship Id="rId444" Type="http://schemas.openxmlformats.org/officeDocument/2006/relationships/hyperlink" Target="http://www.airwar.ru/enc/flyboat/vm5.html" TargetMode="External"/><Relationship Id="rId651" Type="http://schemas.openxmlformats.org/officeDocument/2006/relationships/hyperlink" Target="https://ru.wikipedia.org/wiki/%D0%98%D1%81%D0%BF%D0%B0%D0%BD%D0%B8%D1%8F" TargetMode="External"/><Relationship Id="rId749" Type="http://schemas.openxmlformats.org/officeDocument/2006/relationships/hyperlink" Target="https://ru.wikipedia.org/wiki/11_%D0%B4%D0%B5%D0%BA%D0%B0%D0%B1%D1%80%D1%8F" TargetMode="External"/><Relationship Id="rId290" Type="http://schemas.openxmlformats.org/officeDocument/2006/relationships/hyperlink" Target="http://istmat.info/node/41158" TargetMode="External"/><Relationship Id="rId304" Type="http://schemas.openxmlformats.org/officeDocument/2006/relationships/hyperlink" Target="http://istmat.info/node/44814" TargetMode="External"/><Relationship Id="rId388" Type="http://schemas.openxmlformats.org/officeDocument/2006/relationships/hyperlink" Target="https://ru.wikipedia.org/wiki/%D0%9D%D0%B8%D0%BA%D0%B8%D1%82%D0%B8%D0%BD,_%D0%91%D0%BE%D1%80%D0%B8%D1%81_%D0%92%D0%BB%D0%B0%D0%B4%D0%B8%D0%BC%D0%B8%D1%80%D0%BE%D0%B2%D0%B8%D1%87" TargetMode="External"/><Relationship Id="rId511" Type="http://schemas.openxmlformats.org/officeDocument/2006/relationships/hyperlink" Target="http://istmat.info/node/37778" TargetMode="External"/><Relationship Id="rId609" Type="http://schemas.openxmlformats.org/officeDocument/2006/relationships/hyperlink" Target="http://istmat.info/node/38160" TargetMode="External"/><Relationship Id="rId85" Type="http://schemas.openxmlformats.org/officeDocument/2006/relationships/hyperlink" Target="http://istmat.info/node/44803" TargetMode="External"/><Relationship Id="rId150" Type="http://schemas.openxmlformats.org/officeDocument/2006/relationships/hyperlink" Target="http://istmat.info/node/44810" TargetMode="External"/><Relationship Id="rId595" Type="http://schemas.openxmlformats.org/officeDocument/2006/relationships/hyperlink" Target="http://istmat.info/node/41153" TargetMode="External"/><Relationship Id="rId816" Type="http://schemas.openxmlformats.org/officeDocument/2006/relationships/hyperlink" Target="https://ru.wikipedia.org/wiki/1918_%D0%B3%D0%BE%D0%B4" TargetMode="External"/><Relationship Id="rId248" Type="http://schemas.openxmlformats.org/officeDocument/2006/relationships/hyperlink" Target="http://istmat.info/node/41157" TargetMode="External"/><Relationship Id="rId455" Type="http://schemas.openxmlformats.org/officeDocument/2006/relationships/hyperlink" Target="http://rjvneh.narod.ru/1avia-1.htm" TargetMode="External"/><Relationship Id="rId662" Type="http://schemas.openxmlformats.org/officeDocument/2006/relationships/hyperlink" Target="https://ru.wikipedia.org/wiki/%D0%A1%D0%B5%D1%80%D0%B1%D0%B8%D1%8F" TargetMode="External"/><Relationship Id="rId12" Type="http://schemas.openxmlformats.org/officeDocument/2006/relationships/hyperlink" Target="http://istmat.info/node/37772" TargetMode="External"/><Relationship Id="rId108" Type="http://schemas.openxmlformats.org/officeDocument/2006/relationships/hyperlink" Target="http://istmat.info/node/44624" TargetMode="External"/><Relationship Id="rId315" Type="http://schemas.openxmlformats.org/officeDocument/2006/relationships/hyperlink" Target="http://istmat.info/node/44814" TargetMode="External"/><Relationship Id="rId522" Type="http://schemas.openxmlformats.org/officeDocument/2006/relationships/hyperlink" Target="http://istmat.info/node/37897" TargetMode="External"/><Relationship Id="rId96" Type="http://schemas.openxmlformats.org/officeDocument/2006/relationships/hyperlink" Target="http://istmat.info/node/38164" TargetMode="External"/><Relationship Id="rId161" Type="http://schemas.openxmlformats.org/officeDocument/2006/relationships/hyperlink" Target="http://istmat.info/node/44730" TargetMode="External"/><Relationship Id="rId399" Type="http://schemas.openxmlformats.org/officeDocument/2006/relationships/hyperlink" Target="https://ru.wikipedia.org/wiki/%D0%9F%D0%BE%D0%BB%D0%BE%D0%B2%D1%86%D0%BE%D0%B2,_%D0%9F%D1%91%D1%82%D1%80_%D0%90%D0%BB%D0%B5%D0%BA%D1%81%D0%B0%D0%BD%D0%B4%D1%80%D0%BE%D0%B2%D0%B8%D1%87" TargetMode="External"/><Relationship Id="rId259" Type="http://schemas.openxmlformats.org/officeDocument/2006/relationships/hyperlink" Target="http://istmat.info/node/37791" TargetMode="External"/><Relationship Id="rId466" Type="http://schemas.openxmlformats.org/officeDocument/2006/relationships/hyperlink" Target="http://istmat.info/node/37795" TargetMode="External"/><Relationship Id="rId673" Type="http://schemas.openxmlformats.org/officeDocument/2006/relationships/hyperlink" Target="https://ru.wikipedia.org/wiki/1917_%D0%B3%D0%BE%D0%B4" TargetMode="External"/><Relationship Id="rId23" Type="http://schemas.openxmlformats.org/officeDocument/2006/relationships/hyperlink" Target="http://istmat.info/node/44621" TargetMode="External"/><Relationship Id="rId119" Type="http://schemas.openxmlformats.org/officeDocument/2006/relationships/hyperlink" Target="http://istmat.info/node/44723" TargetMode="External"/><Relationship Id="rId326" Type="http://schemas.openxmlformats.org/officeDocument/2006/relationships/hyperlink" Target="http://istmat.info/node/41404" TargetMode="External"/><Relationship Id="rId533" Type="http://schemas.openxmlformats.org/officeDocument/2006/relationships/hyperlink" Target="http://istmat.info/node/38157" TargetMode="External"/><Relationship Id="rId740" Type="http://schemas.openxmlformats.org/officeDocument/2006/relationships/hyperlink" Target="https://ru.wikipedia.org/wiki/18_%D0%B4%D0%B5%D0%BA%D0%B0%D0%B1%D1%80%D1%8F" TargetMode="External"/><Relationship Id="rId172" Type="http://schemas.openxmlformats.org/officeDocument/2006/relationships/hyperlink" Target="https://ru.wikipedia.org/w/index.php?title=%D0%A1%D0%B5%D0%BC%D0%B0%D1%88%D0%BA%D0%BE,_%D0%90%D0%B4%D0%B0%D0%BC_%D0%AF%D0%BA%D0%BE%D0%B2%D0%BB%D0%B5%D0%B2%D0%B8%D1%87&amp;action=edit&amp;redlink=1" TargetMode="External"/><Relationship Id="rId477" Type="http://schemas.openxmlformats.org/officeDocument/2006/relationships/hyperlink" Target="http://istmat.info/node/37796" TargetMode="External"/><Relationship Id="rId600" Type="http://schemas.openxmlformats.org/officeDocument/2006/relationships/hyperlink" Target="http://istmat.info/node/38799" TargetMode="External"/><Relationship Id="rId684" Type="http://schemas.openxmlformats.org/officeDocument/2006/relationships/hyperlink" Target="https://ru.wikipedia.org/wiki/12_%D0%B4%D0%B5%D0%BA%D0%B0%D0%B1%D1%80%D1%8F" TargetMode="External"/><Relationship Id="rId337" Type="http://schemas.openxmlformats.org/officeDocument/2006/relationships/hyperlink" Target="http://istmat.info/node/44815" TargetMode="External"/><Relationship Id="rId34" Type="http://schemas.openxmlformats.org/officeDocument/2006/relationships/hyperlink" Target="http://www.airaces.ru/stati/aviacionnye-otryady-pervojj-mirovojj-vojjny.html" TargetMode="External"/><Relationship Id="rId544" Type="http://schemas.openxmlformats.org/officeDocument/2006/relationships/hyperlink" Target="http://istmat.info/node/44695" TargetMode="External"/><Relationship Id="rId751" Type="http://schemas.openxmlformats.org/officeDocument/2006/relationships/hyperlink" Target="https://ru.wikipedia.org/wiki/25_%D0%B4%D0%B5%D0%BA%D0%B0%D0%B1%D1%80%D1%8F" TargetMode="External"/><Relationship Id="rId183" Type="http://schemas.openxmlformats.org/officeDocument/2006/relationships/hyperlink" Target="http://istmat.info/node/44732" TargetMode="External"/><Relationship Id="rId390" Type="http://schemas.openxmlformats.org/officeDocument/2006/relationships/hyperlink" Target="https://ru.wikipedia.org/w/index.php?title=%D0%98%D1%8E%D0%BB%D1%8C%D1%81%D0%BA%D0%B8%D0%B9_%D0%BA%D1%80%D0%B8%D0%B7%D0%B8%D1%81_%D0%92%D1%80%D0%B5%D0%BC%D0%B5%D0%BD%D0%BD%D0%BE%D0%B3%D0%BE_%D0%BF%D1%80%D0%B0%D0%B2%D0%B8%D1%82%D0%B5%D0%BB%D1%8C%D1%81%D1%82%D0%B2%D0%B0_%D0%A0%D0%BE%D1%81%D1%81%D0%B8%D0%B8&amp;action=edit&amp;redlink=1" TargetMode="External"/><Relationship Id="rId404" Type="http://schemas.openxmlformats.org/officeDocument/2006/relationships/hyperlink" Target="https://ru.wikipedia.org/wiki/%D0%9C%D0%B8%D1%85%D0%B0%D0%B9%D0%BB%D0%BE%D0%B2%D1%81%D0%BA%D0%BE%D0%B5_%D0%B0%D1%80%D1%82%D0%B8%D0%BB%D0%BB%D0%B5%D1%80%D0%B8%D0%B9%D1%81%D0%BA%D0%BE%D0%B5_%D1%83%D1%87%D0%B8%D0%BB%D0%B8%D1%89%D0%B5" TargetMode="External"/><Relationship Id="rId611" Type="http://schemas.openxmlformats.org/officeDocument/2006/relationships/hyperlink" Target="http://istmat.info/node/38160" TargetMode="External"/><Relationship Id="rId250" Type="http://schemas.openxmlformats.org/officeDocument/2006/relationships/hyperlink" Target="http://istmat.info/node/41157" TargetMode="External"/><Relationship Id="rId488" Type="http://schemas.openxmlformats.org/officeDocument/2006/relationships/hyperlink" Target="http://istmat.info/node/44821" TargetMode="External"/><Relationship Id="rId695" Type="http://schemas.openxmlformats.org/officeDocument/2006/relationships/hyperlink" Target="http://istmat.info/node/41408" TargetMode="External"/><Relationship Id="rId709" Type="http://schemas.openxmlformats.org/officeDocument/2006/relationships/hyperlink" Target="https://ru.wikipedia.org/wiki/1918_%D0%B3%D0%BE%D0%B4" TargetMode="External"/><Relationship Id="rId45" Type="http://schemas.openxmlformats.org/officeDocument/2006/relationships/hyperlink" Target="http://istmat.info/node/37773" TargetMode="External"/><Relationship Id="rId110" Type="http://schemas.openxmlformats.org/officeDocument/2006/relationships/hyperlink" Target="http://istmat.info/node/44721" TargetMode="External"/><Relationship Id="rId348" Type="http://schemas.openxmlformats.org/officeDocument/2006/relationships/hyperlink" Target="http://istmat.info/node/38260" TargetMode="External"/><Relationship Id="rId555" Type="http://schemas.openxmlformats.org/officeDocument/2006/relationships/hyperlink" Target="http://istmat.info/node/41152" TargetMode="External"/><Relationship Id="rId762" Type="http://schemas.openxmlformats.org/officeDocument/2006/relationships/hyperlink" Target="https://ru.wikipedia.org/wiki/%D0%9F%D0%B5%D1%82%D1%80%D0%BE%D0%B3%D1%80%D0%B0%D0%B4" TargetMode="External"/><Relationship Id="rId194" Type="http://schemas.openxmlformats.org/officeDocument/2006/relationships/hyperlink" Target="http://xn--80aafy5bs.xn--p1ai/aviamuseum/dvigateli-i-vooruzhenie/aviamotorostroenie/aviamotory-rossijskoj-imperii/inostrannye-aviamotory/rotativnye-aviatsionnye-dvigateli-clerget-klerzhe/" TargetMode="External"/><Relationship Id="rId208" Type="http://schemas.openxmlformats.org/officeDocument/2006/relationships/hyperlink" Target="http://istmat.info/node/41408" TargetMode="External"/><Relationship Id="rId415" Type="http://schemas.openxmlformats.org/officeDocument/2006/relationships/hyperlink" Target="https://ru.wikipedia.org/wiki/%D0%95%D0%BC%D0%B5%D0%BB%D1%8C%D1%8F%D0%BD%D0%BE%D0%B2,_%D0%9D%D0%B8%D0%BA%D0%BE%D0%BB%D0%B0%D0%B9_%D0%90%D0%BB%D0%B5%D0%BA%D1%81%D0%B0%D0%BD%D0%B4%D1%80%D0%BE%D0%B2%D0%B8%D1%87" TargetMode="External"/><Relationship Id="rId622" Type="http://schemas.openxmlformats.org/officeDocument/2006/relationships/hyperlink" Target="http://istmat.info/node/38798" TargetMode="External"/><Relationship Id="rId261" Type="http://schemas.openxmlformats.org/officeDocument/2006/relationships/hyperlink" Target="http://istmat.info/node/37791" TargetMode="External"/><Relationship Id="rId499" Type="http://schemas.openxmlformats.org/officeDocument/2006/relationships/hyperlink" Target="http://istmat.info/node/37778" TargetMode="External"/><Relationship Id="rId56" Type="http://schemas.openxmlformats.org/officeDocument/2006/relationships/hyperlink" Target="http://saoirse-2010.livejournal.com/31008.html" TargetMode="External"/><Relationship Id="rId359" Type="http://schemas.openxmlformats.org/officeDocument/2006/relationships/hyperlink" Target="http://istmat.info/node/38260" TargetMode="External"/><Relationship Id="rId566" Type="http://schemas.openxmlformats.org/officeDocument/2006/relationships/hyperlink" Target="http://istmat.info/node/38150" TargetMode="External"/><Relationship Id="rId773" Type="http://schemas.openxmlformats.org/officeDocument/2006/relationships/hyperlink" Target="https://ru.wikipedia.org/wiki/%D0%A1%D0%BE%D0%B2%D0%B5%D1%82_%D0%9D%D0%B0%D1%80%D0%BE%D0%B4%D0%BD%D1%8B%D1%85_%D0%9A%D0%BE%D0%BC%D0%B8%D1%81%D1%81%D0%B0%D1%80%D0%BE%D0%B2_%D0%A0%D0%A1%D0%A4%D0%A1%D0%A0" TargetMode="External"/><Relationship Id="rId121" Type="http://schemas.openxmlformats.org/officeDocument/2006/relationships/hyperlink" Target="http://istmat.info/node/44723" TargetMode="External"/><Relationship Id="rId219" Type="http://schemas.openxmlformats.org/officeDocument/2006/relationships/hyperlink" Target="http://istmat.info/node/44688" TargetMode="External"/><Relationship Id="rId426" Type="http://schemas.openxmlformats.org/officeDocument/2006/relationships/hyperlink" Target="http://istmat.info/node/37793" TargetMode="External"/><Relationship Id="rId633" Type="http://schemas.openxmlformats.org/officeDocument/2006/relationships/hyperlink" Target="http://istmat.info/node/38798" TargetMode="External"/><Relationship Id="rId67" Type="http://schemas.openxmlformats.org/officeDocument/2006/relationships/hyperlink" Target="http://istmat.info/node/44680" TargetMode="External"/><Relationship Id="rId272" Type="http://schemas.openxmlformats.org/officeDocument/2006/relationships/hyperlink" Target="https://ru.wikipedia.org/wiki/1917_%D0%B3%D0%BE%D0%B4" TargetMode="External"/><Relationship Id="rId577" Type="http://schemas.openxmlformats.org/officeDocument/2006/relationships/hyperlink" Target="https://ru-wiki.ru/w/index.php?title=%D0%90%D0%B2%D0%B8%D0%B0%D1%81%D0%BE%D0%B2%D0%B5%D1%82&amp;action=edit&amp;redlink=1" TargetMode="External"/><Relationship Id="rId700" Type="http://schemas.openxmlformats.org/officeDocument/2006/relationships/hyperlink" Target="https://ru.wikipedia.org/wiki/28_%D1%8F%D0%BD%D0%B2%D0%B0%D1%80%D1%8F" TargetMode="External"/><Relationship Id="rId132" Type="http://schemas.openxmlformats.org/officeDocument/2006/relationships/hyperlink" Target="http://istmat.info/node/44684" TargetMode="External"/><Relationship Id="rId784" Type="http://schemas.openxmlformats.org/officeDocument/2006/relationships/hyperlink" Target="https://ru.wikipedia.org/wiki/%D0%92%D0%BE%D1%81%D1%82%D0%BE%D1%87%D0%BD%D0%B0%D1%8F_%D0%93%D0%B0%D0%BB%D0%B8%D1%86%D0%B8%D1%8F" TargetMode="External"/><Relationship Id="rId437" Type="http://schemas.openxmlformats.org/officeDocument/2006/relationships/hyperlink" Target="http://istmat.info/node/41405" TargetMode="External"/><Relationship Id="rId644" Type="http://schemas.openxmlformats.org/officeDocument/2006/relationships/hyperlink" Target="https://ru.wikipedia.org/wiki/23_%D0%BD%D0%BE%D1%8F%D0%B1%D1%80%D1%8F" TargetMode="External"/><Relationship Id="rId283" Type="http://schemas.openxmlformats.org/officeDocument/2006/relationships/hyperlink" Target="http://istmat.info/node/41158" TargetMode="External"/><Relationship Id="rId490" Type="http://schemas.openxmlformats.org/officeDocument/2006/relationships/hyperlink" Target="http://istmat.info/node/44694" TargetMode="External"/><Relationship Id="rId504" Type="http://schemas.openxmlformats.org/officeDocument/2006/relationships/hyperlink" Target="http://istmat.info/node/37779" TargetMode="External"/><Relationship Id="rId711" Type="http://schemas.openxmlformats.org/officeDocument/2006/relationships/hyperlink" Target="https://ru.wikipedia.org/wiki/1918_%D0%B3%D0%BE%D0%B4" TargetMode="External"/><Relationship Id="rId78" Type="http://schemas.openxmlformats.org/officeDocument/2006/relationships/hyperlink" Target="http://istmat.info/node/44681" TargetMode="External"/><Relationship Id="rId143" Type="http://schemas.openxmlformats.org/officeDocument/2006/relationships/hyperlink" Target="http://www.airwar.ru/enc/fww1/n21.html" TargetMode="External"/><Relationship Id="rId350" Type="http://schemas.openxmlformats.org/officeDocument/2006/relationships/hyperlink" Target="http://istmat.info/node/38260" TargetMode="External"/><Relationship Id="rId588" Type="http://schemas.openxmlformats.org/officeDocument/2006/relationships/hyperlink" Target="http://istmat.info/node/41153" TargetMode="External"/><Relationship Id="rId795" Type="http://schemas.openxmlformats.org/officeDocument/2006/relationships/hyperlink" Target="https://ru.wikipedia.org/wiki/1918_%D0%B3%D0%BE%D0%B4" TargetMode="External"/><Relationship Id="rId809" Type="http://schemas.openxmlformats.org/officeDocument/2006/relationships/hyperlink" Target="https://ru.wikipedia.org/wiki/%D0%A1%D0%BE%D0%B2%D0%B5%D1%82_%D0%BD%D0%B0%D1%80%D0%BE%D0%B4%D0%BD%D1%8B%D1%85_%D0%BA%D0%BE%D0%BC%D0%B8%D1%81%D1%81%D0%B0%D1%80%D0%BE%D0%B2_%D0%A0%D0%A1%D0%A4%D0%A1%D0%A0" TargetMode="External"/><Relationship Id="rId9" Type="http://schemas.openxmlformats.org/officeDocument/2006/relationships/hyperlink" Target="http://istmat.info/node/37772" TargetMode="External"/><Relationship Id="rId210" Type="http://schemas.openxmlformats.org/officeDocument/2006/relationships/hyperlink" Target="https://ru.wikipedia.org/wiki/%D0%92%D1%80%D0%B5%D0%BC%D0%B5%D0%BD%D0%BD%D0%BE%D0%B5_%D0%BF%D1%80%D0%B0%D0%B2%D0%B8%D1%82%D0%B5%D0%BB%D1%8C%D1%81%D1%82%D0%B2%D0%BE" TargetMode="External"/><Relationship Id="rId448" Type="http://schemas.openxmlformats.org/officeDocument/2006/relationships/hyperlink" Target="http://istmat.info/node/41157" TargetMode="External"/><Relationship Id="rId655" Type="http://schemas.openxmlformats.org/officeDocument/2006/relationships/hyperlink" Target="https://ru.wikipedia.org/wiki/27_%D0%BD%D0%BE%D1%8F%D0%B1%D1%80%D1%8F" TargetMode="External"/><Relationship Id="rId294" Type="http://schemas.openxmlformats.org/officeDocument/2006/relationships/hyperlink" Target="http://istmat.info/node/44739" TargetMode="External"/><Relationship Id="rId308" Type="http://schemas.openxmlformats.org/officeDocument/2006/relationships/hyperlink" Target="http://istmat.info/node/44820" TargetMode="External"/><Relationship Id="rId515" Type="http://schemas.openxmlformats.org/officeDocument/2006/relationships/hyperlink" Target="http://istmat.info/node/37897" TargetMode="External"/><Relationship Id="rId722" Type="http://schemas.openxmlformats.org/officeDocument/2006/relationships/hyperlink" Target="https://ru.wikipedia.org/wiki/%D0%91%D0%BE%D0%BB%D0%B3%D0%B0%D1%80%D0%B8%D1%8F" TargetMode="External"/><Relationship Id="rId89" Type="http://schemas.openxmlformats.org/officeDocument/2006/relationships/hyperlink" Target="http://istmat.info/node/44804" TargetMode="External"/><Relationship Id="rId154" Type="http://schemas.openxmlformats.org/officeDocument/2006/relationships/hyperlink" Target="http://alternathistory.org.ua/poliplany-saveleva" TargetMode="External"/><Relationship Id="rId361" Type="http://schemas.openxmlformats.org/officeDocument/2006/relationships/hyperlink" Target="http://flyingmachines.ru/Site2/Crafts/Craft25493.htm" TargetMode="External"/><Relationship Id="rId599" Type="http://schemas.openxmlformats.org/officeDocument/2006/relationships/hyperlink" Target="http://istmat.info/node/38799" TargetMode="External"/><Relationship Id="rId459" Type="http://schemas.openxmlformats.org/officeDocument/2006/relationships/hyperlink" Target="http://istmat.info/node/44820" TargetMode="External"/><Relationship Id="rId666" Type="http://schemas.openxmlformats.org/officeDocument/2006/relationships/hyperlink" Target="https://ru.wikipedia.org/wiki/2_%D0%B4%D0%B5%D0%BA%D0%B0%D0%B1%D1%80%D1%8F" TargetMode="External"/><Relationship Id="rId16" Type="http://schemas.openxmlformats.org/officeDocument/2006/relationships/hyperlink" Target="http://istmat.info/node/37772" TargetMode="External"/><Relationship Id="rId221" Type="http://schemas.openxmlformats.org/officeDocument/2006/relationships/hyperlink" Target="https://ru.wikipedia.org/wiki/21_%D0%B8%D1%8E%D0%BD%D1%8F" TargetMode="External"/><Relationship Id="rId319" Type="http://schemas.openxmlformats.org/officeDocument/2006/relationships/hyperlink" Target="http://istmat.info/node/44690" TargetMode="External"/><Relationship Id="rId526" Type="http://schemas.openxmlformats.org/officeDocument/2006/relationships/hyperlink" Target="http://istmat.info/node/44823" TargetMode="External"/><Relationship Id="rId733" Type="http://schemas.openxmlformats.org/officeDocument/2006/relationships/hyperlink" Target="https://ru.wikipedia.org/wiki/%D0%94%D0%B0%D0%BD%D0%B8%D0%BB%D0%BE%D0%B2,_%D0%AE%D1%80%D0%B8%D0%B9_%D0%9D%D0%B8%D0%BA%D0%B8%D1%84%D0%BE%D1%80%D0%BE%D0%B2%D0%B8%D1%87" TargetMode="External"/><Relationship Id="rId165" Type="http://schemas.openxmlformats.org/officeDocument/2006/relationships/hyperlink" Target="http://istmat.info/node/44811" TargetMode="External"/><Relationship Id="rId372" Type="http://schemas.openxmlformats.org/officeDocument/2006/relationships/hyperlink" Target="https://ru.wikipedia.org/wiki/%D0%9F%D0%B5%D1%82%D1%80%D0%BE%D0%B3%D1%80%D0%B0%D0%B4%D1%81%D0%BA%D0%B8%D0%B9_%D1%81%D0%BE%D0%B2%D0%B5%D1%82_%D1%80%D0%B0%D0%B1%D0%BE%D1%87%D0%B8%D1%85_%D0%B8_%D1%81%D0%BE%D0%BB%D0%B4%D0%B0%D1%82%D1%81%D0%BA%D0%B8%D1%85_%D0%B4%D0%B5%D0%BF%D1%83%D1%82%D0%B0%D1%82%D0%BE%D0%B2" TargetMode="External"/><Relationship Id="rId677" Type="http://schemas.openxmlformats.org/officeDocument/2006/relationships/hyperlink" Target="https://ru.wikipedia.org/wiki/4_%D0%B4%D0%B5%D0%BA%D0%B0%D0%B1%D1%80%D1%8F" TargetMode="External"/><Relationship Id="rId800" Type="http://schemas.openxmlformats.org/officeDocument/2006/relationships/hyperlink" Target="https://ru.wikipedia.org/wiki/1917_%D0%B3%D0%BE%D0%B4" TargetMode="External"/><Relationship Id="rId232" Type="http://schemas.openxmlformats.org/officeDocument/2006/relationships/hyperlink" Target="https://ru.wikipedia.org/wiki/1917_%D0%B3%D0%BE%D0%B4" TargetMode="External"/><Relationship Id="rId27" Type="http://schemas.openxmlformats.org/officeDocument/2006/relationships/hyperlink" Target="http://istmat.info/node/44622" TargetMode="External"/><Relationship Id="rId537" Type="http://schemas.openxmlformats.org/officeDocument/2006/relationships/hyperlink" Target="http://istmat.info/node/44696" TargetMode="External"/><Relationship Id="rId744" Type="http://schemas.openxmlformats.org/officeDocument/2006/relationships/hyperlink" Target="https://ru.wikipedia.org/wiki/%D0%9A%D0%BE%D0%BD%D1%82%D1%80%D0%B8%D0%B1%D1%83%D1%86%D0%B8%D1%8F" TargetMode="External"/><Relationship Id="rId80" Type="http://schemas.openxmlformats.org/officeDocument/2006/relationships/hyperlink" Target="http://istmat.info/node/44682" TargetMode="External"/><Relationship Id="rId176" Type="http://schemas.openxmlformats.org/officeDocument/2006/relationships/hyperlink" Target="http://airspot.ru/catalogue/item/lohner-10-20-spuckerl" TargetMode="External"/><Relationship Id="rId383" Type="http://schemas.openxmlformats.org/officeDocument/2006/relationships/hyperlink" Target="https://ru.wikipedia.org/wiki/%D0%A3%D0%BB%D0%B8%D1%86%D0%B0_%D0%9F%D0%B5%D1%81%D1%82%D0%B5%D0%BB%D1%8F_(%D0%A1%D0%B0%D0%BD%D0%BA%D1%82-%D0%9F%D0%B5%D1%82%D0%B5%D1%80%D0%B1%D1%83%D1%80%D0%B3)" TargetMode="External"/><Relationship Id="rId590" Type="http://schemas.openxmlformats.org/officeDocument/2006/relationships/hyperlink" Target="http://istmat.info/node/41153" TargetMode="External"/><Relationship Id="rId604" Type="http://schemas.openxmlformats.org/officeDocument/2006/relationships/hyperlink" Target="http://istmat.info/node/44697" TargetMode="External"/><Relationship Id="rId811" Type="http://schemas.openxmlformats.org/officeDocument/2006/relationships/hyperlink" Target="https://ru.wikipedia.org/wiki/%D0%9B%D0%B5%D0%B2_%D0%A2%D1%80%D0%BE%D1%86%D0%BA%D0%B8%D0%B9" TargetMode="External"/><Relationship Id="rId243" Type="http://schemas.openxmlformats.org/officeDocument/2006/relationships/hyperlink" Target="http://istmat.info/node/41157" TargetMode="External"/><Relationship Id="rId450" Type="http://schemas.openxmlformats.org/officeDocument/2006/relationships/hyperlink" Target="http://istmat.info/node/41157" TargetMode="External"/><Relationship Id="rId688" Type="http://schemas.openxmlformats.org/officeDocument/2006/relationships/hyperlink" Target="http://istmat.info/node/41408" TargetMode="External"/><Relationship Id="rId38" Type="http://schemas.openxmlformats.org/officeDocument/2006/relationships/hyperlink" Target="http://istmat.info/node/37773" TargetMode="External"/><Relationship Id="rId103" Type="http://schemas.openxmlformats.org/officeDocument/2006/relationships/hyperlink" Target="http://istmat.info/node/38164" TargetMode="External"/><Relationship Id="rId310" Type="http://schemas.openxmlformats.org/officeDocument/2006/relationships/hyperlink" Target="http://istmat.info/node/44814" TargetMode="External"/><Relationship Id="rId548" Type="http://schemas.openxmlformats.org/officeDocument/2006/relationships/hyperlink" Target="http://istmat.info/node/38794" TargetMode="External"/><Relationship Id="rId755" Type="http://schemas.openxmlformats.org/officeDocument/2006/relationships/hyperlink" Target="https://ru.wikipedia.org/wiki/27_%D0%B4%D0%B5%D0%BA%D0%B0%D0%B1%D1%80%D1%8F" TargetMode="External"/><Relationship Id="rId91" Type="http://schemas.openxmlformats.org/officeDocument/2006/relationships/hyperlink" Target="http://istmat.info/node/44804" TargetMode="External"/><Relationship Id="rId187" Type="http://schemas.openxmlformats.org/officeDocument/2006/relationships/hyperlink" Target="http://istmat.info/node/44732" TargetMode="External"/><Relationship Id="rId394" Type="http://schemas.openxmlformats.org/officeDocument/2006/relationships/hyperlink" Target="https://ru.wikipedia.org/wiki/%D0%A1%D1%82%D0%B0%D0%BB%D0%B8%D0%BD" TargetMode="External"/><Relationship Id="rId408" Type="http://schemas.openxmlformats.org/officeDocument/2006/relationships/hyperlink" Target="https://ru.wikipedia.org/wiki/%D0%92%D0%B0%D1%81%D0%B8%D0%BB%D1%8C%D0%B5%D0%B2,_%D0%92%D0%B0%D1%81%D0%B8%D0%BB%D0%B8%D0%B9_%D0%95%D1%84%D0%B8%D0%BC%D0%BE%D0%B2%D0%B8%D1%87" TargetMode="External"/><Relationship Id="rId615" Type="http://schemas.openxmlformats.org/officeDocument/2006/relationships/hyperlink" Target="http://istmat.info/node/38161" TargetMode="External"/><Relationship Id="rId822" Type="http://schemas.openxmlformats.org/officeDocument/2006/relationships/fontTable" Target="fontTable.xml"/><Relationship Id="rId254" Type="http://schemas.openxmlformats.org/officeDocument/2006/relationships/hyperlink" Target="http://istmat.info/node/41157" TargetMode="External"/><Relationship Id="rId699" Type="http://schemas.openxmlformats.org/officeDocument/2006/relationships/hyperlink" Target="https://ru.wikipedia.org/wiki/22_%D1%8F%D0%BD%D0%B2%D0%B0%D1%80%D1%8F" TargetMode="External"/><Relationship Id="rId49" Type="http://schemas.openxmlformats.org/officeDocument/2006/relationships/hyperlink" Target="https://ru.wikipedia.org/wiki/%D0%AD%D1%80%D0%B7%D0%B0%D1%86" TargetMode="External"/><Relationship Id="rId114" Type="http://schemas.openxmlformats.org/officeDocument/2006/relationships/hyperlink" Target="http://istmat.info/node/44723" TargetMode="External"/><Relationship Id="rId461" Type="http://schemas.openxmlformats.org/officeDocument/2006/relationships/hyperlink" Target="http://istmat.info/node/41403" TargetMode="External"/><Relationship Id="rId559" Type="http://schemas.openxmlformats.org/officeDocument/2006/relationships/hyperlink" Target="http://istmat.info/node/41152" TargetMode="External"/><Relationship Id="rId766" Type="http://schemas.openxmlformats.org/officeDocument/2006/relationships/hyperlink" Target="https://ru.wikipedia.org/wiki/%D0%9A%D0%B0%D1%80%D0%BB_%D0%A0%D0%B0%D0%B4%D0%B5%D0%BA" TargetMode="External"/><Relationship Id="rId198" Type="http://schemas.openxmlformats.org/officeDocument/2006/relationships/hyperlink" Target="http://istmat.info/node/44686" TargetMode="External"/><Relationship Id="rId321" Type="http://schemas.openxmlformats.org/officeDocument/2006/relationships/hyperlink" Target="http://istmat.info/node/44690" TargetMode="External"/><Relationship Id="rId419" Type="http://schemas.openxmlformats.org/officeDocument/2006/relationships/hyperlink" Target="https://ru.wikipedia.org/wiki/26_%D0%B8%D1%8E%D0%BB%D1%8F" TargetMode="External"/><Relationship Id="rId626" Type="http://schemas.openxmlformats.org/officeDocument/2006/relationships/hyperlink" Target="http://istmat.info/node/38798" TargetMode="External"/><Relationship Id="rId265" Type="http://schemas.openxmlformats.org/officeDocument/2006/relationships/hyperlink" Target="https://ru.wikipedia.org/wiki/%D0%90%D0%BD%D0%B0%D1%82%D0%BE%D0%BB%D0%B8%D0%B9_%D0%96%D0%B5%D0%BB%D0%B5%D0%B7%D0%BD%D1%8F%D0%BA%D0%BE%D0%B2" TargetMode="External"/><Relationship Id="rId472" Type="http://schemas.openxmlformats.org/officeDocument/2006/relationships/hyperlink" Target="http://istmat.info/node/37795" TargetMode="External"/><Relationship Id="rId125" Type="http://schemas.openxmlformats.org/officeDocument/2006/relationships/hyperlink" Target="http://istmat.info/node/44683" TargetMode="External"/><Relationship Id="rId332" Type="http://schemas.openxmlformats.org/officeDocument/2006/relationships/hyperlink" Target="http://istmat.info/node/41404" TargetMode="External"/><Relationship Id="rId777" Type="http://schemas.openxmlformats.org/officeDocument/2006/relationships/hyperlink" Target="https://ru.wikipedia.org/wiki/%D0%93%D0%B5%D1%80%D1%82%D0%BB%D0%B8%D0%BD%D0%B3,_%D0%93%D0%B5%D0%BE%D1%80%D0%B3_%D1%84%D0%BE%D0%BD" TargetMode="External"/><Relationship Id="rId637" Type="http://schemas.openxmlformats.org/officeDocument/2006/relationships/hyperlink" Target="https://ru.wikipedia.org/wiki/%D0%94%D1%83%D1%85%D0%BE%D0%BD%D0%B8%D0%BD,_%D0%9D%D0%B8%D0%BA%D0%BE%D0%BB%D0%B0%D0%B9_%D0%9D%D0%B8%D0%BA%D0%BE%D0%BB%D0%B0%D0%B5%D0%B2%D0%B8%D1%87" TargetMode="External"/><Relationship Id="rId276" Type="http://schemas.openxmlformats.org/officeDocument/2006/relationships/hyperlink" Target="http://istmat.info/node/44738" TargetMode="External"/><Relationship Id="rId483" Type="http://schemas.openxmlformats.org/officeDocument/2006/relationships/hyperlink" Target="http://istmat.info/node/44693" TargetMode="External"/><Relationship Id="rId690" Type="http://schemas.openxmlformats.org/officeDocument/2006/relationships/hyperlink" Target="http://istmat.info/node/41408" TargetMode="External"/><Relationship Id="rId704" Type="http://schemas.openxmlformats.org/officeDocument/2006/relationships/hyperlink" Target="https://ru.wikipedia.org/wiki/18_%D0%B4%D0%B5%D0%BA%D0%B0%D0%B1%D1%80%D1%8F" TargetMode="External"/><Relationship Id="rId40" Type="http://schemas.openxmlformats.org/officeDocument/2006/relationships/hyperlink" Target="http://istmat.info/node/37773" TargetMode="External"/><Relationship Id="rId136" Type="http://schemas.openxmlformats.org/officeDocument/2006/relationships/hyperlink" Target="http://istmat.info/node/44809" TargetMode="External"/><Relationship Id="rId343" Type="http://schemas.openxmlformats.org/officeDocument/2006/relationships/hyperlink" Target="http://istmat.info/node/38260" TargetMode="External"/><Relationship Id="rId550" Type="http://schemas.openxmlformats.org/officeDocument/2006/relationships/hyperlink" Target="http://istmat.info/node/38794" TargetMode="External"/><Relationship Id="rId788" Type="http://schemas.openxmlformats.org/officeDocument/2006/relationships/hyperlink" Target="https://ru.wikipedia.org/wiki/1918_%D0%B3%D0%BE%D0%B4" TargetMode="External"/><Relationship Id="rId203" Type="http://schemas.openxmlformats.org/officeDocument/2006/relationships/hyperlink" Target="http://istmat.info/node/37789" TargetMode="External"/><Relationship Id="rId648" Type="http://schemas.openxmlformats.org/officeDocument/2006/relationships/hyperlink" Target="https://ru.wikipedia.org/wiki/%D0%A8%D0%B2%D0%B5%D1%86%D0%B8%D1%8F" TargetMode="External"/><Relationship Id="rId287" Type="http://schemas.openxmlformats.org/officeDocument/2006/relationships/hyperlink" Target="http://istmat.info/node/41158" TargetMode="External"/><Relationship Id="rId410" Type="http://schemas.openxmlformats.org/officeDocument/2006/relationships/hyperlink" Target="https://ru.wikipedia.org/wiki/%D0%9A%D0%B5%D1%80%D0%B5%D0%BD%D1%81%D0%BA%D0%B8%D0%B9,_%D0%90%D0%BB%D0%B5%D0%BA%D1%81%D0%B0%D0%BD%D0%B4%D1%80_%D0%A4%D1%91%D0%B4%D0%BE%D1%80%D0%BE%D0%B2%D0%B8%D1%87" TargetMode="External"/><Relationship Id="rId494" Type="http://schemas.openxmlformats.org/officeDocument/2006/relationships/hyperlink" Target="http://istmat.info/node/38790" TargetMode="External"/><Relationship Id="rId508" Type="http://schemas.openxmlformats.org/officeDocument/2006/relationships/hyperlink" Target="http://istmat.info/node/37778" TargetMode="External"/><Relationship Id="rId715" Type="http://schemas.openxmlformats.org/officeDocument/2006/relationships/hyperlink" Target="https://ru.wikipedia.org/wiki/22_%D0%B4%D0%B5%D0%BA%D0%B0%D0%B1%D1%80%D1%8F" TargetMode="External"/><Relationship Id="rId147" Type="http://schemas.openxmlformats.org/officeDocument/2006/relationships/hyperlink" Target="https://warspot.ru/2038-letayuschie-lodki-protiv-vozdushnyh-korabley" TargetMode="External"/><Relationship Id="rId354" Type="http://schemas.openxmlformats.org/officeDocument/2006/relationships/hyperlink" Target="http://istmat.info/node/38260" TargetMode="External"/><Relationship Id="rId799" Type="http://schemas.openxmlformats.org/officeDocument/2006/relationships/hyperlink" Target="https://ru.wikipedia.org/wiki/28_%D0%B4%D0%B5%D0%BA%D0%B0%D0%B1%D1%80%D1%8F" TargetMode="External"/><Relationship Id="rId51" Type="http://schemas.openxmlformats.org/officeDocument/2006/relationships/hyperlink" Target="https://ru.wikipedia.org/wiki/28_%D1%8F%D0%BD%D0%B2%D0%B0%D1%80%D1%8F" TargetMode="External"/><Relationship Id="rId561" Type="http://schemas.openxmlformats.org/officeDocument/2006/relationships/hyperlink" Target="http://istmat.info/node/41152" TargetMode="External"/><Relationship Id="rId659" Type="http://schemas.openxmlformats.org/officeDocument/2006/relationships/hyperlink" Target="https://ru.wikipedia.org/wiki/%D0%98%D1%82%D0%B0%D0%BB%D0%B8%D1%8F" TargetMode="External"/><Relationship Id="rId214" Type="http://schemas.openxmlformats.org/officeDocument/2006/relationships/hyperlink" Target="http://istmat.info/node/44735" TargetMode="External"/><Relationship Id="rId298" Type="http://schemas.openxmlformats.org/officeDocument/2006/relationships/hyperlink" Target="http://istmat.info/node/44739" TargetMode="External"/><Relationship Id="rId421" Type="http://schemas.openxmlformats.org/officeDocument/2006/relationships/hyperlink" Target="https://ru.wikipedia.org/wiki/%D0%9A%D0%B0%D0%BC%D0%B5%D0%BD%D0%B5%D0%B2,_%D0%9B%D0%B5%D0%B2_%D0%91%D0%BE%D1%80%D0%B8%D1%81%D0%BE%D0%B2%D0%B8%D1%87" TargetMode="External"/><Relationship Id="rId519" Type="http://schemas.openxmlformats.org/officeDocument/2006/relationships/hyperlink" Target="http://istmat.info/node/37897" TargetMode="External"/><Relationship Id="rId158" Type="http://schemas.openxmlformats.org/officeDocument/2006/relationships/hyperlink" Target="http://istmat.info/node/44730" TargetMode="External"/><Relationship Id="rId726" Type="http://schemas.openxmlformats.org/officeDocument/2006/relationships/hyperlink" Target="https://ru.wikipedia.org/wiki/%D0%92%D0%A6%D0%98%D0%9A" TargetMode="External"/><Relationship Id="rId62" Type="http://schemas.openxmlformats.org/officeDocument/2006/relationships/hyperlink" Target="http://istmat.info/node/37787" TargetMode="External"/><Relationship Id="rId365" Type="http://schemas.openxmlformats.org/officeDocument/2006/relationships/hyperlink" Target="https://ru.wikipedia.org/wiki/%D0%A8%D0%B0%D1%85%D0%BE%D0%B2%D1%81%D0%BA%D0%BE%D0%B9,_%D0%94%D0%BC%D0%B8%D1%82%D1%80%D0%B8%D0%B9_%D0%98%D0%B2%D0%B0%D0%BD%D0%BE%D0%B2%D0%B8%D1%87" TargetMode="External"/><Relationship Id="rId572" Type="http://schemas.openxmlformats.org/officeDocument/2006/relationships/hyperlink" Target="http://istmat.info/node/37794" TargetMode="External"/><Relationship Id="rId225" Type="http://schemas.openxmlformats.org/officeDocument/2006/relationships/hyperlink" Target="https://ru.wikipedia.org/wiki/25_%D0%B8%D1%8E%D0%BD%D1%8F" TargetMode="External"/><Relationship Id="rId432" Type="http://schemas.openxmlformats.org/officeDocument/2006/relationships/hyperlink" Target="http://istmat.info/node/37794" TargetMode="External"/><Relationship Id="rId737" Type="http://schemas.openxmlformats.org/officeDocument/2006/relationships/hyperlink" Target="https://ru.wikipedia.org/w/index.php?title=%D0%A4%D0%BE%D0%BA%D0%BA%D0%B5,_%D0%94%D0%B6%D0%BE%D0%BD_%D0%93%D1%83%D0%B3%D0%BE%D0%B2%D0%B8%D1%87&amp;action=edit&amp;redlink=1" TargetMode="External"/><Relationship Id="rId73" Type="http://schemas.openxmlformats.org/officeDocument/2006/relationships/hyperlink" Target="http://istmat.info/node/44681" TargetMode="External"/><Relationship Id="rId169" Type="http://schemas.openxmlformats.org/officeDocument/2006/relationships/hyperlink" Target="https://ru.wikipedia.org/wiki/1917_%D0%B3%D0%BE%D0%B4" TargetMode="External"/><Relationship Id="rId376" Type="http://schemas.openxmlformats.org/officeDocument/2006/relationships/hyperlink" Target="https://ru.wikipedia.org/wiki/%D0%92%D0%B0%D1%81%D0%B8%D0%BB%D1%8C%D0%B5%D0%B2%D1%81%D0%BA%D0%B8%D0%B9_%D0%BE%D1%81%D1%82%D1%80%D0%BE%D0%B2" TargetMode="External"/><Relationship Id="rId583" Type="http://schemas.openxmlformats.org/officeDocument/2006/relationships/hyperlink" Target="http://istmat.info/node/37782" TargetMode="External"/><Relationship Id="rId790" Type="http://schemas.openxmlformats.org/officeDocument/2006/relationships/hyperlink" Target="https://ru.wikipedia.org/wiki/1918_%D0%B3%D0%BE%D0%B4" TargetMode="External"/><Relationship Id="rId804" Type="http://schemas.openxmlformats.org/officeDocument/2006/relationships/hyperlink" Target="https://ru.wikipedia.org/wiki/10_%D1%8F%D0%BD%D0%B2%D0%B0%D1%80%D1%8F" TargetMode="External"/><Relationship Id="rId4" Type="http://schemas.openxmlformats.org/officeDocument/2006/relationships/settings" Target="settings.xml"/><Relationship Id="rId236" Type="http://schemas.openxmlformats.org/officeDocument/2006/relationships/hyperlink" Target="http://istmat.info/node/38258" TargetMode="External"/><Relationship Id="rId443" Type="http://schemas.openxmlformats.org/officeDocument/2006/relationships/hyperlink" Target="http://istmat.info/node/41405" TargetMode="External"/><Relationship Id="rId650" Type="http://schemas.openxmlformats.org/officeDocument/2006/relationships/hyperlink" Target="https://ru.wikipedia.org/wiki/%D0%A8%D0%B2%D0%B5%D0%B9%D1%86%D0%B0%D1%80%D0%B8%D1%8F" TargetMode="External"/><Relationship Id="rId303" Type="http://schemas.openxmlformats.org/officeDocument/2006/relationships/hyperlink" Target="http://istmat.info/node/44814" TargetMode="External"/><Relationship Id="rId748" Type="http://schemas.openxmlformats.org/officeDocument/2006/relationships/hyperlink" Target="https://ru.wikipedia.org/wiki/%D0%90%D0%BD%D1%82%D0%B0%D0%BD%D1%82%D0%B0" TargetMode="External"/><Relationship Id="rId84" Type="http://schemas.openxmlformats.org/officeDocument/2006/relationships/hyperlink" Target="http://www.airwar.ru/enc/fww1/spads13.html" TargetMode="External"/><Relationship Id="rId387" Type="http://schemas.openxmlformats.org/officeDocument/2006/relationships/hyperlink" Target="https://ru.wikipedia.org/wiki/%D0%A6%D0%B5%D1%80%D0%B5%D1%82%D0%B5%D0%BB%D0%B8,_%D0%98%D1%80%D0%B0%D0%BA%D0%BB%D0%B8%D0%B9_%D0%93%D0%B5%D0%BE%D1%80%D0%B3%D0%B8%D0%B5%D0%B2%D0%B8%D1%87" TargetMode="External"/><Relationship Id="rId510" Type="http://schemas.openxmlformats.org/officeDocument/2006/relationships/hyperlink" Target="http://istmat.info/node/37778" TargetMode="External"/><Relationship Id="rId594" Type="http://schemas.openxmlformats.org/officeDocument/2006/relationships/hyperlink" Target="http://istmat.info/node/41153" TargetMode="External"/><Relationship Id="rId608" Type="http://schemas.openxmlformats.org/officeDocument/2006/relationships/hyperlink" Target="http://istmat.info/node/38160" TargetMode="External"/><Relationship Id="rId815" Type="http://schemas.openxmlformats.org/officeDocument/2006/relationships/hyperlink" Target="https://ru.wikipedia.org/wiki/12_%D1%8F%D0%BD%D0%B2%D0%B0%D1%80%D1%8F" TargetMode="External"/><Relationship Id="rId247" Type="http://schemas.openxmlformats.org/officeDocument/2006/relationships/hyperlink" Target="http://istmat.info/node/41157" TargetMode="External"/><Relationship Id="rId107" Type="http://schemas.openxmlformats.org/officeDocument/2006/relationships/hyperlink" Target="http://istmat.info/node/44624" TargetMode="External"/><Relationship Id="rId454" Type="http://schemas.openxmlformats.org/officeDocument/2006/relationships/hyperlink" Target="http://istmat.info/node/44745" TargetMode="External"/><Relationship Id="rId661" Type="http://schemas.openxmlformats.org/officeDocument/2006/relationships/hyperlink" Target="https://ru.wikipedia.org/wiki/%D0%91%D0%B5%D0%BB%D1%8C%D0%B3%D0%B8%D1%8F" TargetMode="External"/><Relationship Id="rId759" Type="http://schemas.openxmlformats.org/officeDocument/2006/relationships/hyperlink" Target="https://ru.wikipedia.org/wiki/11_%D0%B4%D0%B5%D0%BA%D0%B0%D0%B1%D1%80%D1%8F" TargetMode="External"/><Relationship Id="rId11" Type="http://schemas.openxmlformats.org/officeDocument/2006/relationships/hyperlink" Target="http://istmat.info/node/37772" TargetMode="External"/><Relationship Id="rId314" Type="http://schemas.openxmlformats.org/officeDocument/2006/relationships/hyperlink" Target="http://istmat.info/node/44814" TargetMode="External"/><Relationship Id="rId398" Type="http://schemas.openxmlformats.org/officeDocument/2006/relationships/hyperlink" Target="https://ru.wikipedia.org/wiki/%D0%98%D1%8E%D0%BB%D1%8C%D1%81%D0%BA%D0%B8%D0%B5_%D0%B4%D0%BD%D0%B8" TargetMode="External"/><Relationship Id="rId521" Type="http://schemas.openxmlformats.org/officeDocument/2006/relationships/hyperlink" Target="http://istmat.info/node/37897" TargetMode="External"/><Relationship Id="rId619" Type="http://schemas.openxmlformats.org/officeDocument/2006/relationships/hyperlink" Target="http://istmat.info/node/38161" TargetMode="External"/><Relationship Id="rId95" Type="http://schemas.openxmlformats.org/officeDocument/2006/relationships/hyperlink" Target="http://istmat.info/node/38164" TargetMode="External"/><Relationship Id="rId160" Type="http://schemas.openxmlformats.org/officeDocument/2006/relationships/hyperlink" Target="http://istmat.info/node/44730" TargetMode="External"/><Relationship Id="rId258" Type="http://schemas.openxmlformats.org/officeDocument/2006/relationships/hyperlink" Target="https://ru.wikipedia.org/wiki/%D0%9A%D1%80%D0%B5%D1%81%D1%82%D1%8B" TargetMode="External"/><Relationship Id="rId465" Type="http://schemas.openxmlformats.org/officeDocument/2006/relationships/hyperlink" Target="http://istmat.info/node/37795" TargetMode="External"/><Relationship Id="rId672" Type="http://schemas.openxmlformats.org/officeDocument/2006/relationships/hyperlink" Target="https://ru.wikipedia.org/wiki/3_%D0%B4%D0%B5%D0%BA%D0%B0%D0%B1%D1%80%D1%8F" TargetMode="External"/><Relationship Id="rId22" Type="http://schemas.openxmlformats.org/officeDocument/2006/relationships/hyperlink" Target="http://istmat.info/node/44621" TargetMode="External"/><Relationship Id="rId118" Type="http://schemas.openxmlformats.org/officeDocument/2006/relationships/hyperlink" Target="http://istmat.info/node/44723" TargetMode="External"/><Relationship Id="rId325" Type="http://schemas.openxmlformats.org/officeDocument/2006/relationships/hyperlink" Target="http://istmat.info/node/41404" TargetMode="External"/><Relationship Id="rId532" Type="http://schemas.openxmlformats.org/officeDocument/2006/relationships/hyperlink" Target="http://istmat.info/node/38157" TargetMode="External"/><Relationship Id="rId171" Type="http://schemas.openxmlformats.org/officeDocument/2006/relationships/hyperlink" Target="https://ru.wikipedia.org/wiki/%D0%A0%D0%BE%D1%88%D0%B0%D0%BB%D1%8C,_%D0%A1%D0%B5%D0%BC%D1%91%D0%BD_%D0%93%D1%80%D0%B8%D0%B3%D0%BE%D1%80%D1%8C%D0%B5%D0%B2%D0%B8%D1%87" TargetMode="External"/><Relationship Id="rId269" Type="http://schemas.openxmlformats.org/officeDocument/2006/relationships/hyperlink" Target="https://ru.wikipedia.org/wiki/%D0%94%D0%B0%D1%87%D0%B0_%D0%94%D1%83%D1%80%D0%BD%D0%BE%D0%B2%D0%BE" TargetMode="External"/><Relationship Id="rId476" Type="http://schemas.openxmlformats.org/officeDocument/2006/relationships/hyperlink" Target="http://istmat.info/node/37794" TargetMode="External"/><Relationship Id="rId683" Type="http://schemas.openxmlformats.org/officeDocument/2006/relationships/hyperlink" Target="https://ru.wikipedia.org/wiki/10_%D0%B4%D0%B5%D0%BA%D0%B0%D0%B1%D1%80%D1%8F" TargetMode="External"/><Relationship Id="rId33" Type="http://schemas.openxmlformats.org/officeDocument/2006/relationships/hyperlink" Target="http://www.airwar.ru/enc/other1/campania.html" TargetMode="External"/><Relationship Id="rId129" Type="http://schemas.openxmlformats.org/officeDocument/2006/relationships/hyperlink" Target="http://istmat.info/node/44684" TargetMode="External"/><Relationship Id="rId336" Type="http://schemas.openxmlformats.org/officeDocument/2006/relationships/hyperlink" Target="http://istmat.info/node/44815" TargetMode="External"/><Relationship Id="rId543" Type="http://schemas.openxmlformats.org/officeDocument/2006/relationships/hyperlink" Target="http://istmat.info/node/44695" TargetMode="External"/><Relationship Id="rId182" Type="http://schemas.openxmlformats.org/officeDocument/2006/relationships/hyperlink" Target="http://istmat.info/node/44732" TargetMode="External"/><Relationship Id="rId403" Type="http://schemas.openxmlformats.org/officeDocument/2006/relationships/hyperlink" Target="https://ru.wikipedia.org/wiki/%D0%9B%D0%B8%D1%82%D0%B5%D0%B9%D0%BD%D1%8B%D0%B9_%D0%BC%D0%BE%D1%81%D1%82" TargetMode="External"/><Relationship Id="rId750" Type="http://schemas.openxmlformats.org/officeDocument/2006/relationships/hyperlink" Target="https://ru.wikipedia.org/wiki/%D0%9B%D0%B8%D1%82%D0%BE%D0%B2%D1%81%D0%BA%D0%B0%D1%8F_%D0%A2%D0%B0%D1%80%D0%B8%D0%B1%D0%B0" TargetMode="External"/><Relationship Id="rId487" Type="http://schemas.openxmlformats.org/officeDocument/2006/relationships/hyperlink" Target="http://istmat.info/node/44821" TargetMode="External"/><Relationship Id="rId610" Type="http://schemas.openxmlformats.org/officeDocument/2006/relationships/hyperlink" Target="http://istmat.info/node/38160" TargetMode="External"/><Relationship Id="rId694" Type="http://schemas.openxmlformats.org/officeDocument/2006/relationships/hyperlink" Target="http://istmat.info/node/41408" TargetMode="External"/><Relationship Id="rId708" Type="http://schemas.openxmlformats.org/officeDocument/2006/relationships/hyperlink" Target="https://ru.wikipedia.org/wiki/9_%D1%8F%D0%BD%D0%B2%D0%B0%D1%80%D1%8F" TargetMode="External"/><Relationship Id="rId347" Type="http://schemas.openxmlformats.org/officeDocument/2006/relationships/hyperlink" Target="http://istmat.info/node/3826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6AB5CC-2E91-4FE6-8C4D-EC794462C5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3211</TotalTime>
  <Pages>759</Pages>
  <Words>928679</Words>
  <Characters>5293474</Characters>
  <Application>Microsoft Office Word</Application>
  <DocSecurity>0</DocSecurity>
  <Lines>44112</Lines>
  <Paragraphs>12419</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6209734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lastModifiedBy>Иван Родионов</cp:lastModifiedBy>
  <cp:revision>483</cp:revision>
  <dcterms:created xsi:type="dcterms:W3CDTF">2022-03-20T13:39:00Z</dcterms:created>
  <dcterms:modified xsi:type="dcterms:W3CDTF">2024-01-29T06:56:00Z</dcterms:modified>
</cp:coreProperties>
</file>